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34C0261" w14:textId="77777777" w:rsidR="00E541EE" w:rsidRDefault="00E541EE" w:rsidP="00E541EE">
      <w:pPr>
        <w:pStyle w:val="Tijeloteksta"/>
        <w:rPr>
          <w:rFonts w:ascii="Times New Roman"/>
          <w:sz w:val="20"/>
        </w:rPr>
      </w:pPr>
    </w:p>
    <w:p w14:paraId="560416A2" w14:textId="77777777" w:rsidR="00E541EE" w:rsidRDefault="00E541EE" w:rsidP="002A4BFB">
      <w:pPr>
        <w:pStyle w:val="Tijeloteksta"/>
        <w:ind w:left="4056"/>
        <w:rPr>
          <w:rFonts w:ascii="Times New Roman"/>
          <w:sz w:val="20"/>
        </w:rPr>
      </w:pPr>
    </w:p>
    <w:p w14:paraId="75E5250E" w14:textId="77777777" w:rsidR="00E541EE" w:rsidRDefault="00E541EE" w:rsidP="002A4BFB">
      <w:pPr>
        <w:pStyle w:val="Tijeloteksta"/>
        <w:ind w:left="4056"/>
        <w:rPr>
          <w:rFonts w:ascii="Times New Roman"/>
          <w:sz w:val="20"/>
        </w:rPr>
      </w:pPr>
    </w:p>
    <w:p w14:paraId="72CB92FA" w14:textId="77777777" w:rsidR="00E541EE" w:rsidRDefault="00E541EE" w:rsidP="002A4BFB">
      <w:pPr>
        <w:pStyle w:val="Tijeloteksta"/>
        <w:ind w:left="4056"/>
        <w:rPr>
          <w:rFonts w:ascii="Times New Roman"/>
          <w:sz w:val="20"/>
        </w:rPr>
      </w:pPr>
    </w:p>
    <w:p w14:paraId="06D27BA2" w14:textId="77777777" w:rsidR="002A4BFB" w:rsidRPr="00EE3A4E" w:rsidRDefault="002A4BFB" w:rsidP="002A4BFB">
      <w:pPr>
        <w:pStyle w:val="Tijeloteksta"/>
        <w:ind w:left="4056"/>
        <w:rPr>
          <w:rFonts w:ascii="Times New Roman"/>
          <w:sz w:val="20"/>
        </w:rPr>
      </w:pPr>
      <w:r w:rsidRPr="00EE3A4E">
        <w:rPr>
          <w:rFonts w:ascii="Times New Roman"/>
          <w:noProof/>
          <w:sz w:val="20"/>
          <w:lang w:val="hr-HR" w:eastAsia="hr-HR"/>
        </w:rPr>
        <w:drawing>
          <wp:inline distT="0" distB="0" distL="0" distR="0" wp14:anchorId="482FC19A" wp14:editId="6B230C48">
            <wp:extent cx="1010031" cy="1257300"/>
            <wp:effectExtent l="0" t="0" r="0" b="0"/>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1010031" cy="1257300"/>
                    </a:xfrm>
                    <a:prstGeom prst="rect">
                      <a:avLst/>
                    </a:prstGeom>
                  </pic:spPr>
                </pic:pic>
              </a:graphicData>
            </a:graphic>
          </wp:inline>
        </w:drawing>
      </w:r>
    </w:p>
    <w:p w14:paraId="53DD9E3D" w14:textId="77777777" w:rsidR="002A4BFB" w:rsidRPr="00EE3A4E" w:rsidRDefault="002A4BFB" w:rsidP="002A4BFB">
      <w:pPr>
        <w:widowControl w:val="0"/>
        <w:autoSpaceDE w:val="0"/>
        <w:autoSpaceDN w:val="0"/>
        <w:rPr>
          <w:rFonts w:ascii="Times New Roman" w:eastAsia="Microsoft Sans Serif" w:hAnsi="Microsoft Sans Serif" w:cs="Microsoft Sans Serif"/>
          <w:sz w:val="36"/>
          <w:szCs w:val="24"/>
          <w:lang w:val="bs-Latn" w:eastAsia="en-US"/>
        </w:rPr>
      </w:pPr>
    </w:p>
    <w:p w14:paraId="780C6053" w14:textId="77777777" w:rsidR="002A4BFB" w:rsidRPr="00EE3A4E" w:rsidRDefault="002A4BFB" w:rsidP="002A4BFB">
      <w:pPr>
        <w:widowControl w:val="0"/>
        <w:autoSpaceDE w:val="0"/>
        <w:autoSpaceDN w:val="0"/>
        <w:rPr>
          <w:rFonts w:ascii="Times New Roman" w:eastAsia="Microsoft Sans Serif" w:hAnsi="Microsoft Sans Serif" w:cs="Microsoft Sans Serif"/>
          <w:sz w:val="36"/>
          <w:szCs w:val="24"/>
          <w:lang w:val="bs-Latn" w:eastAsia="en-US"/>
        </w:rPr>
      </w:pPr>
    </w:p>
    <w:p w14:paraId="0DD84C03" w14:textId="77777777" w:rsidR="002A4BFB" w:rsidRPr="00EE3A4E" w:rsidRDefault="002A4BFB" w:rsidP="002A4BFB">
      <w:pPr>
        <w:widowControl w:val="0"/>
        <w:autoSpaceDE w:val="0"/>
        <w:autoSpaceDN w:val="0"/>
        <w:spacing w:before="108"/>
        <w:rPr>
          <w:rFonts w:ascii="Times New Roman" w:eastAsia="Microsoft Sans Serif" w:hAnsi="Microsoft Sans Serif" w:cs="Microsoft Sans Serif"/>
          <w:sz w:val="36"/>
          <w:szCs w:val="24"/>
          <w:lang w:val="bs-Latn" w:eastAsia="en-US"/>
        </w:rPr>
      </w:pPr>
    </w:p>
    <w:p w14:paraId="3DE8CC4F" w14:textId="77777777" w:rsidR="002A4BFB" w:rsidRPr="00EE3A4E" w:rsidRDefault="002A4BFB" w:rsidP="002A4BFB">
      <w:pPr>
        <w:widowControl w:val="0"/>
        <w:autoSpaceDE w:val="0"/>
        <w:autoSpaceDN w:val="0"/>
        <w:ind w:right="3"/>
        <w:jc w:val="center"/>
        <w:rPr>
          <w:rFonts w:ascii="Arial" w:eastAsia="Microsoft Sans Serif" w:hAnsi="Arial" w:cs="Microsoft Sans Serif"/>
          <w:b/>
          <w:sz w:val="36"/>
          <w:szCs w:val="22"/>
          <w:lang w:val="bs-Latn" w:eastAsia="en-US"/>
        </w:rPr>
      </w:pPr>
      <w:r w:rsidRPr="00EE3A4E">
        <w:rPr>
          <w:rFonts w:ascii="Arial" w:eastAsia="Microsoft Sans Serif" w:hAnsi="Arial" w:cs="Microsoft Sans Serif"/>
          <w:b/>
          <w:sz w:val="36"/>
          <w:szCs w:val="22"/>
          <w:lang w:val="bs-Latn" w:eastAsia="en-US"/>
        </w:rPr>
        <w:t>GRAD</w:t>
      </w:r>
      <w:r w:rsidRPr="00EE3A4E">
        <w:rPr>
          <w:rFonts w:ascii="Arial" w:eastAsia="Microsoft Sans Serif" w:hAnsi="Arial" w:cs="Microsoft Sans Serif"/>
          <w:b/>
          <w:spacing w:val="-8"/>
          <w:sz w:val="36"/>
          <w:szCs w:val="22"/>
          <w:lang w:val="bs-Latn" w:eastAsia="en-US"/>
        </w:rPr>
        <w:t xml:space="preserve"> </w:t>
      </w:r>
      <w:r w:rsidRPr="00EE3A4E">
        <w:rPr>
          <w:rFonts w:ascii="Arial" w:eastAsia="Microsoft Sans Serif" w:hAnsi="Arial" w:cs="Microsoft Sans Serif"/>
          <w:b/>
          <w:sz w:val="36"/>
          <w:szCs w:val="22"/>
          <w:lang w:val="bs-Latn" w:eastAsia="en-US"/>
        </w:rPr>
        <w:t>ROVINJ-ROVIGNO</w:t>
      </w:r>
      <w:r w:rsidRPr="00EE3A4E">
        <w:rPr>
          <w:rFonts w:ascii="Arial" w:eastAsia="Microsoft Sans Serif" w:hAnsi="Arial" w:cs="Microsoft Sans Serif"/>
          <w:b/>
          <w:spacing w:val="-6"/>
          <w:sz w:val="36"/>
          <w:szCs w:val="22"/>
          <w:lang w:val="bs-Latn" w:eastAsia="en-US"/>
        </w:rPr>
        <w:t xml:space="preserve"> </w:t>
      </w:r>
      <w:r w:rsidRPr="00EE3A4E">
        <w:rPr>
          <w:rFonts w:ascii="Arial" w:eastAsia="Microsoft Sans Serif" w:hAnsi="Arial" w:cs="Microsoft Sans Serif"/>
          <w:b/>
          <w:sz w:val="36"/>
          <w:szCs w:val="22"/>
          <w:lang w:val="bs-Latn" w:eastAsia="en-US"/>
        </w:rPr>
        <w:t>–</w:t>
      </w:r>
      <w:r w:rsidRPr="00EE3A4E">
        <w:rPr>
          <w:rFonts w:ascii="Arial" w:eastAsia="Microsoft Sans Serif" w:hAnsi="Arial" w:cs="Microsoft Sans Serif"/>
          <w:b/>
          <w:spacing w:val="-6"/>
          <w:sz w:val="36"/>
          <w:szCs w:val="22"/>
          <w:lang w:val="bs-Latn" w:eastAsia="en-US"/>
        </w:rPr>
        <w:t xml:space="preserve"> </w:t>
      </w:r>
      <w:r w:rsidRPr="00EE3A4E">
        <w:rPr>
          <w:rFonts w:ascii="Arial" w:eastAsia="Microsoft Sans Serif" w:hAnsi="Arial" w:cs="Microsoft Sans Serif"/>
          <w:b/>
          <w:sz w:val="36"/>
          <w:szCs w:val="22"/>
          <w:lang w:val="bs-Latn" w:eastAsia="en-US"/>
        </w:rPr>
        <w:t>CITTA`</w:t>
      </w:r>
      <w:r w:rsidRPr="00EE3A4E">
        <w:rPr>
          <w:rFonts w:ascii="Arial" w:eastAsia="Microsoft Sans Serif" w:hAnsi="Arial" w:cs="Microsoft Sans Serif"/>
          <w:b/>
          <w:spacing w:val="-6"/>
          <w:sz w:val="36"/>
          <w:szCs w:val="22"/>
          <w:lang w:val="bs-Latn" w:eastAsia="en-US"/>
        </w:rPr>
        <w:t xml:space="preserve"> </w:t>
      </w:r>
      <w:r w:rsidRPr="00EE3A4E">
        <w:rPr>
          <w:rFonts w:ascii="Arial" w:eastAsia="Microsoft Sans Serif" w:hAnsi="Arial" w:cs="Microsoft Sans Serif"/>
          <w:b/>
          <w:sz w:val="36"/>
          <w:szCs w:val="22"/>
          <w:lang w:val="bs-Latn" w:eastAsia="en-US"/>
        </w:rPr>
        <w:t>DI</w:t>
      </w:r>
      <w:r w:rsidRPr="00EE3A4E">
        <w:rPr>
          <w:rFonts w:ascii="Arial" w:eastAsia="Microsoft Sans Serif" w:hAnsi="Arial" w:cs="Microsoft Sans Serif"/>
          <w:b/>
          <w:spacing w:val="-5"/>
          <w:sz w:val="36"/>
          <w:szCs w:val="22"/>
          <w:lang w:val="bs-Latn" w:eastAsia="en-US"/>
        </w:rPr>
        <w:t xml:space="preserve"> </w:t>
      </w:r>
      <w:r w:rsidRPr="00EE3A4E">
        <w:rPr>
          <w:rFonts w:ascii="Arial" w:eastAsia="Microsoft Sans Serif" w:hAnsi="Arial" w:cs="Microsoft Sans Serif"/>
          <w:b/>
          <w:sz w:val="36"/>
          <w:szCs w:val="22"/>
          <w:lang w:val="bs-Latn" w:eastAsia="en-US"/>
        </w:rPr>
        <w:t>ROVINJ-</w:t>
      </w:r>
      <w:r w:rsidRPr="00EE3A4E">
        <w:rPr>
          <w:rFonts w:ascii="Arial" w:eastAsia="Microsoft Sans Serif" w:hAnsi="Arial" w:cs="Microsoft Sans Serif"/>
          <w:b/>
          <w:spacing w:val="-2"/>
          <w:sz w:val="36"/>
          <w:szCs w:val="22"/>
          <w:lang w:val="bs-Latn" w:eastAsia="en-US"/>
        </w:rPr>
        <w:t>ROVIGNO</w:t>
      </w:r>
    </w:p>
    <w:p w14:paraId="26F2B58A" w14:textId="77777777" w:rsidR="002A4BFB" w:rsidRPr="00EE3A4E" w:rsidRDefault="002A4BFB" w:rsidP="002A4BFB">
      <w:pPr>
        <w:widowControl w:val="0"/>
        <w:autoSpaceDE w:val="0"/>
        <w:autoSpaceDN w:val="0"/>
        <w:rPr>
          <w:rFonts w:ascii="Arial" w:eastAsia="Microsoft Sans Serif" w:hAnsi="Microsoft Sans Serif" w:cs="Microsoft Sans Serif"/>
          <w:b/>
          <w:sz w:val="36"/>
          <w:szCs w:val="24"/>
          <w:lang w:val="bs-Latn" w:eastAsia="en-US"/>
        </w:rPr>
      </w:pPr>
    </w:p>
    <w:p w14:paraId="482B2382" w14:textId="77777777" w:rsidR="002A4BFB" w:rsidRPr="00EE3A4E" w:rsidRDefault="002A4BFB" w:rsidP="002A4BFB">
      <w:pPr>
        <w:widowControl w:val="0"/>
        <w:autoSpaceDE w:val="0"/>
        <w:autoSpaceDN w:val="0"/>
        <w:rPr>
          <w:rFonts w:ascii="Arial" w:eastAsia="Microsoft Sans Serif" w:hAnsi="Microsoft Sans Serif" w:cs="Microsoft Sans Serif"/>
          <w:b/>
          <w:sz w:val="36"/>
          <w:szCs w:val="24"/>
          <w:lang w:val="bs-Latn" w:eastAsia="en-US"/>
        </w:rPr>
      </w:pPr>
    </w:p>
    <w:p w14:paraId="39FE0ACB" w14:textId="77777777" w:rsidR="002A4BFB" w:rsidRPr="00EE3A4E" w:rsidRDefault="002A4BFB" w:rsidP="002A4BFB">
      <w:pPr>
        <w:widowControl w:val="0"/>
        <w:autoSpaceDE w:val="0"/>
        <w:autoSpaceDN w:val="0"/>
        <w:spacing w:before="319"/>
        <w:rPr>
          <w:rFonts w:ascii="Arial" w:eastAsia="Microsoft Sans Serif" w:hAnsi="Microsoft Sans Serif" w:cs="Microsoft Sans Serif"/>
          <w:b/>
          <w:sz w:val="36"/>
          <w:szCs w:val="24"/>
          <w:lang w:val="bs-Latn" w:eastAsia="en-US"/>
        </w:rPr>
      </w:pPr>
    </w:p>
    <w:p w14:paraId="61F0DC0B" w14:textId="77777777" w:rsidR="002A4BFB" w:rsidRPr="00EE3A4E" w:rsidRDefault="002A4BFB" w:rsidP="002A4BFB">
      <w:pPr>
        <w:widowControl w:val="0"/>
        <w:autoSpaceDE w:val="0"/>
        <w:autoSpaceDN w:val="0"/>
        <w:spacing w:line="252" w:lineRule="auto"/>
        <w:ind w:left="1698" w:right="1775" w:firstLine="4"/>
        <w:jc w:val="center"/>
        <w:rPr>
          <w:rFonts w:ascii="Arial" w:eastAsia="Microsoft Sans Serif" w:hAnsi="Arial" w:cs="Microsoft Sans Serif"/>
          <w:b/>
          <w:sz w:val="48"/>
          <w:szCs w:val="22"/>
          <w:lang w:val="bs-Latn" w:eastAsia="en-US"/>
        </w:rPr>
      </w:pPr>
      <w:r w:rsidRPr="00EE3A4E">
        <w:rPr>
          <w:rFonts w:ascii="Arial" w:eastAsia="Microsoft Sans Serif" w:hAnsi="Arial" w:cs="Microsoft Sans Serif"/>
          <w:b/>
          <w:sz w:val="48"/>
          <w:szCs w:val="22"/>
          <w:lang w:val="bs-Latn" w:eastAsia="en-US"/>
        </w:rPr>
        <w:t>PRIJEDLOG PRORAČUNA GRADA</w:t>
      </w:r>
      <w:r w:rsidRPr="00EE3A4E">
        <w:rPr>
          <w:rFonts w:ascii="Arial" w:eastAsia="Microsoft Sans Serif" w:hAnsi="Arial" w:cs="Microsoft Sans Serif"/>
          <w:b/>
          <w:spacing w:val="-34"/>
          <w:sz w:val="48"/>
          <w:szCs w:val="22"/>
          <w:lang w:val="bs-Latn" w:eastAsia="en-US"/>
        </w:rPr>
        <w:t xml:space="preserve"> </w:t>
      </w:r>
      <w:r w:rsidRPr="00EE3A4E">
        <w:rPr>
          <w:rFonts w:ascii="Arial" w:eastAsia="Microsoft Sans Serif" w:hAnsi="Arial" w:cs="Microsoft Sans Serif"/>
          <w:b/>
          <w:sz w:val="48"/>
          <w:szCs w:val="22"/>
          <w:lang w:val="bs-Latn" w:eastAsia="en-US"/>
        </w:rPr>
        <w:t>ROVINJA-ROVIGNO ZA 202</w:t>
      </w:r>
      <w:r>
        <w:rPr>
          <w:rFonts w:ascii="Arial" w:eastAsia="Microsoft Sans Serif" w:hAnsi="Arial" w:cs="Microsoft Sans Serif"/>
          <w:b/>
          <w:sz w:val="48"/>
          <w:szCs w:val="22"/>
          <w:lang w:val="bs-Latn" w:eastAsia="en-US"/>
        </w:rPr>
        <w:t>6</w:t>
      </w:r>
      <w:r w:rsidRPr="00EE3A4E">
        <w:rPr>
          <w:rFonts w:ascii="Arial" w:eastAsia="Microsoft Sans Serif" w:hAnsi="Arial" w:cs="Microsoft Sans Serif"/>
          <w:b/>
          <w:sz w:val="48"/>
          <w:szCs w:val="22"/>
          <w:lang w:val="bs-Latn" w:eastAsia="en-US"/>
        </w:rPr>
        <w:t>. GODINU</w:t>
      </w:r>
    </w:p>
    <w:p w14:paraId="70368B14" w14:textId="77777777" w:rsidR="002A4BFB" w:rsidRPr="00EE3A4E" w:rsidRDefault="002A4BFB" w:rsidP="002A4BFB">
      <w:pPr>
        <w:widowControl w:val="0"/>
        <w:autoSpaceDE w:val="0"/>
        <w:autoSpaceDN w:val="0"/>
        <w:spacing w:line="547" w:lineRule="exact"/>
        <w:ind w:right="82"/>
        <w:jc w:val="center"/>
        <w:rPr>
          <w:rFonts w:ascii="Arial" w:eastAsia="Microsoft Sans Serif" w:hAnsi="Microsoft Sans Serif" w:cs="Microsoft Sans Serif"/>
          <w:b/>
          <w:sz w:val="48"/>
          <w:szCs w:val="22"/>
          <w:lang w:val="bs-Latn" w:eastAsia="en-US"/>
        </w:rPr>
      </w:pPr>
      <w:r w:rsidRPr="00EE3A4E">
        <w:rPr>
          <w:rFonts w:ascii="Arial" w:eastAsia="Microsoft Sans Serif" w:hAnsi="Microsoft Sans Serif" w:cs="Microsoft Sans Serif"/>
          <w:b/>
          <w:sz w:val="48"/>
          <w:szCs w:val="22"/>
          <w:lang w:val="bs-Latn" w:eastAsia="en-US"/>
        </w:rPr>
        <w:t>I</w:t>
      </w:r>
      <w:r w:rsidRPr="00EE3A4E">
        <w:rPr>
          <w:rFonts w:ascii="Arial" w:eastAsia="Microsoft Sans Serif" w:hAnsi="Microsoft Sans Serif" w:cs="Microsoft Sans Serif"/>
          <w:b/>
          <w:spacing w:val="-4"/>
          <w:sz w:val="48"/>
          <w:szCs w:val="22"/>
          <w:lang w:val="bs-Latn" w:eastAsia="en-US"/>
        </w:rPr>
        <w:t xml:space="preserve"> </w:t>
      </w:r>
      <w:r w:rsidRPr="00EE3A4E">
        <w:rPr>
          <w:rFonts w:ascii="Arial" w:eastAsia="Microsoft Sans Serif" w:hAnsi="Microsoft Sans Serif" w:cs="Microsoft Sans Serif"/>
          <w:b/>
          <w:sz w:val="48"/>
          <w:szCs w:val="22"/>
          <w:lang w:val="bs-Latn" w:eastAsia="en-US"/>
        </w:rPr>
        <w:t>PROJEKCIJE</w:t>
      </w:r>
      <w:r w:rsidRPr="00EE3A4E">
        <w:rPr>
          <w:rFonts w:ascii="Arial" w:eastAsia="Microsoft Sans Serif" w:hAnsi="Microsoft Sans Serif" w:cs="Microsoft Sans Serif"/>
          <w:b/>
          <w:spacing w:val="-4"/>
          <w:sz w:val="48"/>
          <w:szCs w:val="22"/>
          <w:lang w:val="bs-Latn" w:eastAsia="en-US"/>
        </w:rPr>
        <w:t xml:space="preserve"> </w:t>
      </w:r>
      <w:r w:rsidRPr="00EE3A4E">
        <w:rPr>
          <w:rFonts w:ascii="Arial" w:eastAsia="Microsoft Sans Serif" w:hAnsi="Microsoft Sans Serif" w:cs="Microsoft Sans Serif"/>
          <w:b/>
          <w:sz w:val="48"/>
          <w:szCs w:val="22"/>
          <w:lang w:val="bs-Latn" w:eastAsia="en-US"/>
        </w:rPr>
        <w:t>ZA</w:t>
      </w:r>
      <w:r w:rsidRPr="00EE3A4E">
        <w:rPr>
          <w:rFonts w:ascii="Arial" w:eastAsia="Microsoft Sans Serif" w:hAnsi="Microsoft Sans Serif" w:cs="Microsoft Sans Serif"/>
          <w:b/>
          <w:spacing w:val="-3"/>
          <w:sz w:val="48"/>
          <w:szCs w:val="22"/>
          <w:lang w:val="bs-Latn" w:eastAsia="en-US"/>
        </w:rPr>
        <w:t xml:space="preserve"> </w:t>
      </w:r>
      <w:r w:rsidRPr="00EE3A4E">
        <w:rPr>
          <w:rFonts w:ascii="Arial" w:eastAsia="Microsoft Sans Serif" w:hAnsi="Microsoft Sans Serif" w:cs="Microsoft Sans Serif"/>
          <w:b/>
          <w:sz w:val="48"/>
          <w:szCs w:val="22"/>
          <w:lang w:val="bs-Latn" w:eastAsia="en-US"/>
        </w:rPr>
        <w:t>202</w:t>
      </w:r>
      <w:r>
        <w:rPr>
          <w:rFonts w:ascii="Arial" w:eastAsia="Microsoft Sans Serif" w:hAnsi="Microsoft Sans Serif" w:cs="Microsoft Sans Serif"/>
          <w:b/>
          <w:sz w:val="48"/>
          <w:szCs w:val="22"/>
          <w:lang w:val="bs-Latn" w:eastAsia="en-US"/>
        </w:rPr>
        <w:t>7</w:t>
      </w:r>
      <w:r w:rsidRPr="00EE3A4E">
        <w:rPr>
          <w:rFonts w:ascii="Arial" w:eastAsia="Microsoft Sans Serif" w:hAnsi="Microsoft Sans Serif" w:cs="Microsoft Sans Serif"/>
          <w:b/>
          <w:sz w:val="48"/>
          <w:szCs w:val="22"/>
          <w:lang w:val="bs-Latn" w:eastAsia="en-US"/>
        </w:rPr>
        <w:t>.</w:t>
      </w:r>
      <w:r w:rsidRPr="00EE3A4E">
        <w:rPr>
          <w:rFonts w:ascii="Arial" w:eastAsia="Microsoft Sans Serif" w:hAnsi="Microsoft Sans Serif" w:cs="Microsoft Sans Serif"/>
          <w:b/>
          <w:spacing w:val="-4"/>
          <w:sz w:val="48"/>
          <w:szCs w:val="22"/>
          <w:lang w:val="bs-Latn" w:eastAsia="en-US"/>
        </w:rPr>
        <w:t xml:space="preserve"> </w:t>
      </w:r>
      <w:r w:rsidRPr="00EE3A4E">
        <w:rPr>
          <w:rFonts w:ascii="Arial" w:eastAsia="Microsoft Sans Serif" w:hAnsi="Microsoft Sans Serif" w:cs="Microsoft Sans Serif"/>
          <w:b/>
          <w:sz w:val="48"/>
          <w:szCs w:val="22"/>
          <w:lang w:val="bs-Latn" w:eastAsia="en-US"/>
        </w:rPr>
        <w:t>I</w:t>
      </w:r>
      <w:r w:rsidRPr="00EE3A4E">
        <w:rPr>
          <w:rFonts w:ascii="Arial" w:eastAsia="Microsoft Sans Serif" w:hAnsi="Microsoft Sans Serif" w:cs="Microsoft Sans Serif"/>
          <w:b/>
          <w:spacing w:val="59"/>
          <w:w w:val="150"/>
          <w:sz w:val="48"/>
          <w:szCs w:val="22"/>
          <w:lang w:val="bs-Latn" w:eastAsia="en-US"/>
        </w:rPr>
        <w:t xml:space="preserve"> </w:t>
      </w:r>
      <w:r w:rsidRPr="00EE3A4E">
        <w:rPr>
          <w:rFonts w:ascii="Arial" w:eastAsia="Microsoft Sans Serif" w:hAnsi="Microsoft Sans Serif" w:cs="Microsoft Sans Serif"/>
          <w:b/>
          <w:sz w:val="48"/>
          <w:szCs w:val="22"/>
          <w:lang w:val="bs-Latn" w:eastAsia="en-US"/>
        </w:rPr>
        <w:t>202</w:t>
      </w:r>
      <w:r>
        <w:rPr>
          <w:rFonts w:ascii="Arial" w:eastAsia="Microsoft Sans Serif" w:hAnsi="Microsoft Sans Serif" w:cs="Microsoft Sans Serif"/>
          <w:b/>
          <w:sz w:val="48"/>
          <w:szCs w:val="22"/>
          <w:lang w:val="bs-Latn" w:eastAsia="en-US"/>
        </w:rPr>
        <w:t>8</w:t>
      </w:r>
      <w:r w:rsidRPr="00EE3A4E">
        <w:rPr>
          <w:rFonts w:ascii="Arial" w:eastAsia="Microsoft Sans Serif" w:hAnsi="Microsoft Sans Serif" w:cs="Microsoft Sans Serif"/>
          <w:b/>
          <w:sz w:val="48"/>
          <w:szCs w:val="22"/>
          <w:lang w:val="bs-Latn" w:eastAsia="en-US"/>
        </w:rPr>
        <w:t>.</w:t>
      </w:r>
      <w:r w:rsidRPr="00EE3A4E">
        <w:rPr>
          <w:rFonts w:ascii="Arial" w:eastAsia="Microsoft Sans Serif" w:hAnsi="Microsoft Sans Serif" w:cs="Microsoft Sans Serif"/>
          <w:b/>
          <w:spacing w:val="-3"/>
          <w:sz w:val="48"/>
          <w:szCs w:val="22"/>
          <w:lang w:val="bs-Latn" w:eastAsia="en-US"/>
        </w:rPr>
        <w:t xml:space="preserve"> </w:t>
      </w:r>
      <w:r w:rsidRPr="00EE3A4E">
        <w:rPr>
          <w:rFonts w:ascii="Arial" w:eastAsia="Microsoft Sans Serif" w:hAnsi="Microsoft Sans Serif" w:cs="Microsoft Sans Serif"/>
          <w:b/>
          <w:spacing w:val="-2"/>
          <w:sz w:val="48"/>
          <w:szCs w:val="22"/>
          <w:lang w:val="bs-Latn" w:eastAsia="en-US"/>
        </w:rPr>
        <w:t>GODINU</w:t>
      </w:r>
    </w:p>
    <w:p w14:paraId="77826C7B" w14:textId="77777777" w:rsidR="002A4BFB" w:rsidRPr="00EE3A4E" w:rsidRDefault="002A4BFB" w:rsidP="002A4BFB">
      <w:pPr>
        <w:widowControl w:val="0"/>
        <w:autoSpaceDE w:val="0"/>
        <w:autoSpaceDN w:val="0"/>
        <w:rPr>
          <w:rFonts w:ascii="Arial" w:eastAsia="Microsoft Sans Serif" w:hAnsi="Microsoft Sans Serif" w:cs="Microsoft Sans Serif"/>
          <w:b/>
          <w:sz w:val="48"/>
          <w:szCs w:val="24"/>
          <w:lang w:val="bs-Latn" w:eastAsia="en-US"/>
        </w:rPr>
      </w:pPr>
    </w:p>
    <w:p w14:paraId="6188B261" w14:textId="77777777" w:rsidR="002A4BFB" w:rsidRPr="00EE3A4E" w:rsidRDefault="002A4BFB" w:rsidP="002A4BFB">
      <w:pPr>
        <w:widowControl w:val="0"/>
        <w:autoSpaceDE w:val="0"/>
        <w:autoSpaceDN w:val="0"/>
        <w:rPr>
          <w:rFonts w:ascii="Arial" w:eastAsia="Microsoft Sans Serif" w:hAnsi="Microsoft Sans Serif" w:cs="Microsoft Sans Serif"/>
          <w:b/>
          <w:sz w:val="48"/>
          <w:szCs w:val="24"/>
          <w:lang w:val="bs-Latn" w:eastAsia="en-US"/>
        </w:rPr>
      </w:pPr>
    </w:p>
    <w:p w14:paraId="54300B47" w14:textId="77777777" w:rsidR="002A4BFB" w:rsidRPr="00EE3A4E" w:rsidRDefault="002A4BFB" w:rsidP="002A4BFB">
      <w:pPr>
        <w:widowControl w:val="0"/>
        <w:autoSpaceDE w:val="0"/>
        <w:autoSpaceDN w:val="0"/>
        <w:spacing w:before="104"/>
        <w:rPr>
          <w:rFonts w:ascii="Arial" w:eastAsia="Microsoft Sans Serif" w:hAnsi="Microsoft Sans Serif" w:cs="Microsoft Sans Serif"/>
          <w:b/>
          <w:sz w:val="48"/>
          <w:szCs w:val="24"/>
          <w:lang w:val="bs-Latn" w:eastAsia="en-US"/>
        </w:rPr>
      </w:pPr>
    </w:p>
    <w:p w14:paraId="522D8D0A" w14:textId="77777777" w:rsidR="002A4BFB" w:rsidRPr="00EE3A4E" w:rsidRDefault="002A4BFB" w:rsidP="002A4BFB">
      <w:pPr>
        <w:widowControl w:val="0"/>
        <w:autoSpaceDE w:val="0"/>
        <w:autoSpaceDN w:val="0"/>
        <w:spacing w:line="252" w:lineRule="auto"/>
        <w:ind w:left="21" w:right="95"/>
        <w:jc w:val="center"/>
        <w:rPr>
          <w:rFonts w:ascii="Arial" w:eastAsia="Microsoft Sans Serif" w:hAnsi="Microsoft Sans Serif" w:cs="Microsoft Sans Serif"/>
          <w:b/>
          <w:sz w:val="48"/>
          <w:szCs w:val="22"/>
          <w:lang w:val="bs-Latn" w:eastAsia="en-US"/>
        </w:rPr>
      </w:pPr>
      <w:r w:rsidRPr="00EE3A4E">
        <w:rPr>
          <w:rFonts w:ascii="Arial" w:eastAsia="Microsoft Sans Serif" w:hAnsi="Microsoft Sans Serif" w:cs="Microsoft Sans Serif"/>
          <w:b/>
          <w:sz w:val="48"/>
          <w:szCs w:val="22"/>
          <w:lang w:val="bs-Latn" w:eastAsia="en-US"/>
        </w:rPr>
        <w:t>PROPOSTA</w:t>
      </w:r>
      <w:r w:rsidRPr="00EE3A4E">
        <w:rPr>
          <w:rFonts w:ascii="Arial" w:eastAsia="Microsoft Sans Serif" w:hAnsi="Microsoft Sans Serif" w:cs="Microsoft Sans Serif"/>
          <w:b/>
          <w:spacing w:val="-9"/>
          <w:sz w:val="48"/>
          <w:szCs w:val="22"/>
          <w:lang w:val="bs-Latn" w:eastAsia="en-US"/>
        </w:rPr>
        <w:t xml:space="preserve"> </w:t>
      </w:r>
      <w:r w:rsidRPr="00EE3A4E">
        <w:rPr>
          <w:rFonts w:ascii="Arial" w:eastAsia="Microsoft Sans Serif" w:hAnsi="Microsoft Sans Serif" w:cs="Microsoft Sans Serif"/>
          <w:b/>
          <w:sz w:val="48"/>
          <w:szCs w:val="22"/>
          <w:lang w:val="bs-Latn" w:eastAsia="en-US"/>
        </w:rPr>
        <w:t>DI</w:t>
      </w:r>
      <w:r w:rsidRPr="00EE3A4E">
        <w:rPr>
          <w:rFonts w:ascii="Arial" w:eastAsia="Microsoft Sans Serif" w:hAnsi="Microsoft Sans Serif" w:cs="Microsoft Sans Serif"/>
          <w:b/>
          <w:spacing w:val="-9"/>
          <w:sz w:val="48"/>
          <w:szCs w:val="22"/>
          <w:lang w:val="bs-Latn" w:eastAsia="en-US"/>
        </w:rPr>
        <w:t xml:space="preserve"> </w:t>
      </w:r>
      <w:r w:rsidRPr="00EE3A4E">
        <w:rPr>
          <w:rFonts w:ascii="Arial" w:eastAsia="Microsoft Sans Serif" w:hAnsi="Microsoft Sans Serif" w:cs="Microsoft Sans Serif"/>
          <w:b/>
          <w:sz w:val="48"/>
          <w:szCs w:val="22"/>
          <w:lang w:val="bs-Latn" w:eastAsia="en-US"/>
        </w:rPr>
        <w:t>BILANCIO</w:t>
      </w:r>
      <w:r w:rsidRPr="00EE3A4E">
        <w:rPr>
          <w:rFonts w:ascii="Arial" w:eastAsia="Microsoft Sans Serif" w:hAnsi="Microsoft Sans Serif" w:cs="Microsoft Sans Serif"/>
          <w:b/>
          <w:spacing w:val="-9"/>
          <w:sz w:val="48"/>
          <w:szCs w:val="22"/>
          <w:lang w:val="bs-Latn" w:eastAsia="en-US"/>
        </w:rPr>
        <w:t xml:space="preserve"> </w:t>
      </w:r>
      <w:r w:rsidRPr="00EE3A4E">
        <w:rPr>
          <w:rFonts w:ascii="Arial" w:eastAsia="Microsoft Sans Serif" w:hAnsi="Microsoft Sans Serif" w:cs="Microsoft Sans Serif"/>
          <w:b/>
          <w:sz w:val="48"/>
          <w:szCs w:val="22"/>
          <w:lang w:val="bs-Latn" w:eastAsia="en-US"/>
        </w:rPr>
        <w:t>DELLA</w:t>
      </w:r>
      <w:r w:rsidRPr="00EE3A4E">
        <w:rPr>
          <w:rFonts w:ascii="Arial" w:eastAsia="Microsoft Sans Serif" w:hAnsi="Microsoft Sans Serif" w:cs="Microsoft Sans Serif"/>
          <w:b/>
          <w:spacing w:val="-9"/>
          <w:sz w:val="48"/>
          <w:szCs w:val="22"/>
          <w:lang w:val="bs-Latn" w:eastAsia="en-US"/>
        </w:rPr>
        <w:t xml:space="preserve"> </w:t>
      </w:r>
      <w:r w:rsidRPr="00EE3A4E">
        <w:rPr>
          <w:rFonts w:ascii="Arial" w:eastAsia="Microsoft Sans Serif" w:hAnsi="Microsoft Sans Serif" w:cs="Microsoft Sans Serif"/>
          <w:b/>
          <w:sz w:val="48"/>
          <w:szCs w:val="22"/>
          <w:lang w:val="bs-Latn" w:eastAsia="en-US"/>
        </w:rPr>
        <w:t>CITTA`</w:t>
      </w:r>
      <w:r w:rsidRPr="00EE3A4E">
        <w:rPr>
          <w:rFonts w:ascii="Arial" w:eastAsia="Microsoft Sans Serif" w:hAnsi="Microsoft Sans Serif" w:cs="Microsoft Sans Serif"/>
          <w:b/>
          <w:spacing w:val="-9"/>
          <w:sz w:val="48"/>
          <w:szCs w:val="22"/>
          <w:lang w:val="bs-Latn" w:eastAsia="en-US"/>
        </w:rPr>
        <w:t xml:space="preserve"> </w:t>
      </w:r>
      <w:r w:rsidRPr="00EE3A4E">
        <w:rPr>
          <w:rFonts w:ascii="Arial" w:eastAsia="Microsoft Sans Serif" w:hAnsi="Microsoft Sans Serif" w:cs="Microsoft Sans Serif"/>
          <w:b/>
          <w:sz w:val="48"/>
          <w:szCs w:val="22"/>
          <w:lang w:val="bs-Latn" w:eastAsia="en-US"/>
        </w:rPr>
        <w:t>DI ROVINJ-ROVIGNO PER IL 202</w:t>
      </w:r>
      <w:r>
        <w:rPr>
          <w:rFonts w:ascii="Arial" w:eastAsia="Microsoft Sans Serif" w:hAnsi="Microsoft Sans Serif" w:cs="Microsoft Sans Serif"/>
          <w:b/>
          <w:sz w:val="48"/>
          <w:szCs w:val="22"/>
          <w:lang w:val="bs-Latn" w:eastAsia="en-US"/>
        </w:rPr>
        <w:t>6</w:t>
      </w:r>
      <w:r w:rsidRPr="00EE3A4E">
        <w:rPr>
          <w:rFonts w:ascii="Arial" w:eastAsia="Microsoft Sans Serif" w:hAnsi="Microsoft Sans Serif" w:cs="Microsoft Sans Serif"/>
          <w:b/>
          <w:sz w:val="48"/>
          <w:szCs w:val="22"/>
          <w:lang w:val="bs-Latn" w:eastAsia="en-US"/>
        </w:rPr>
        <w:t xml:space="preserve"> E LE PROIEZIONI PER IL 202</w:t>
      </w:r>
      <w:r>
        <w:rPr>
          <w:rFonts w:ascii="Arial" w:eastAsia="Microsoft Sans Serif" w:hAnsi="Microsoft Sans Serif" w:cs="Microsoft Sans Serif"/>
          <w:b/>
          <w:sz w:val="48"/>
          <w:szCs w:val="22"/>
          <w:lang w:val="bs-Latn" w:eastAsia="en-US"/>
        </w:rPr>
        <w:t>7</w:t>
      </w:r>
      <w:r w:rsidRPr="00EE3A4E">
        <w:rPr>
          <w:rFonts w:ascii="Arial" w:eastAsia="Microsoft Sans Serif" w:hAnsi="Microsoft Sans Serif" w:cs="Microsoft Sans Serif"/>
          <w:b/>
          <w:sz w:val="48"/>
          <w:szCs w:val="22"/>
          <w:lang w:val="bs-Latn" w:eastAsia="en-US"/>
        </w:rPr>
        <w:t xml:space="preserve"> E IL 202</w:t>
      </w:r>
      <w:r w:rsidR="00E541EE">
        <w:rPr>
          <w:rFonts w:ascii="Arial" w:eastAsia="Microsoft Sans Serif" w:hAnsi="Microsoft Sans Serif" w:cs="Microsoft Sans Serif"/>
          <w:b/>
          <w:sz w:val="48"/>
          <w:szCs w:val="22"/>
          <w:lang w:val="bs-Latn" w:eastAsia="en-US"/>
        </w:rPr>
        <w:t>8</w:t>
      </w:r>
    </w:p>
    <w:p w14:paraId="3888A834" w14:textId="77777777" w:rsidR="002A4BFB" w:rsidRPr="00EE3A4E" w:rsidRDefault="002A4BFB" w:rsidP="002A4BFB">
      <w:pPr>
        <w:widowControl w:val="0"/>
        <w:autoSpaceDE w:val="0"/>
        <w:autoSpaceDN w:val="0"/>
        <w:spacing w:line="252" w:lineRule="auto"/>
        <w:jc w:val="center"/>
        <w:rPr>
          <w:rFonts w:ascii="Arial" w:eastAsia="Microsoft Sans Serif" w:hAnsi="Microsoft Sans Serif" w:cs="Microsoft Sans Serif"/>
          <w:b/>
          <w:sz w:val="48"/>
          <w:szCs w:val="22"/>
          <w:lang w:val="bs-Latn" w:eastAsia="en-US"/>
        </w:rPr>
        <w:sectPr w:rsidR="002A4BFB" w:rsidRPr="00EE3A4E" w:rsidSect="00107D76">
          <w:pgSz w:w="11910" w:h="16840"/>
          <w:pgMar w:top="1560" w:right="1133" w:bottom="280" w:left="850" w:header="720" w:footer="720" w:gutter="0"/>
          <w:cols w:space="720"/>
        </w:sectPr>
      </w:pPr>
    </w:p>
    <w:p w14:paraId="6DA9981F" w14:textId="77777777" w:rsidR="002A4BFB" w:rsidRPr="000B37C7" w:rsidRDefault="002A4BFB" w:rsidP="002A4BFB">
      <w:pPr>
        <w:rPr>
          <w:rFonts w:ascii="Arial" w:hAnsi="Arial" w:cs="Arial"/>
          <w:sz w:val="20"/>
        </w:rPr>
      </w:pPr>
      <w:r w:rsidRPr="000B37C7">
        <w:rPr>
          <w:rFonts w:ascii="Arial" w:hAnsi="Arial" w:cs="Arial"/>
          <w:sz w:val="20"/>
        </w:rPr>
        <w:lastRenderedPageBreak/>
        <w:t>Sukladno odredbama članka 42. Zakona o proračunu ("Narodne novine", br.144/21</w:t>
      </w:r>
      <w:r w:rsidR="00E541EE">
        <w:rPr>
          <w:rFonts w:ascii="Arial" w:hAnsi="Arial" w:cs="Arial"/>
          <w:sz w:val="20"/>
        </w:rPr>
        <w:t>.</w:t>
      </w:r>
      <w:r w:rsidRPr="000B37C7">
        <w:rPr>
          <w:rFonts w:ascii="Arial" w:hAnsi="Arial" w:cs="Arial"/>
          <w:sz w:val="20"/>
        </w:rPr>
        <w:t>) i članka 65. Statuta Grada Rovinja-Rovigno ("Službeni glasnik" Grada Ro</w:t>
      </w:r>
      <w:r w:rsidR="00E541EE">
        <w:rPr>
          <w:rFonts w:ascii="Arial" w:hAnsi="Arial" w:cs="Arial"/>
          <w:sz w:val="20"/>
        </w:rPr>
        <w:t xml:space="preserve">vinja-Rovigno, br. 3/18., 5/18., </w:t>
      </w:r>
      <w:r w:rsidRPr="000B37C7">
        <w:rPr>
          <w:rFonts w:ascii="Arial" w:hAnsi="Arial" w:cs="Arial"/>
          <w:sz w:val="20"/>
        </w:rPr>
        <w:t>2/21</w:t>
      </w:r>
      <w:r w:rsidR="00E541EE">
        <w:rPr>
          <w:rFonts w:ascii="Arial" w:hAnsi="Arial" w:cs="Arial"/>
          <w:sz w:val="20"/>
        </w:rPr>
        <w:t>., 4/25. i 5/25.-pročišćeni tekst</w:t>
      </w:r>
      <w:r w:rsidRPr="000B37C7">
        <w:rPr>
          <w:rFonts w:ascii="Arial" w:hAnsi="Arial" w:cs="Arial"/>
          <w:sz w:val="20"/>
        </w:rPr>
        <w:t xml:space="preserve">), Gradsko vijeće Grada Rovinja-Rovigno, na sjednici održanoj dana </w:t>
      </w:r>
      <w:r w:rsidR="00E541EE">
        <w:rPr>
          <w:rFonts w:ascii="Arial" w:hAnsi="Arial" w:cs="Arial"/>
          <w:sz w:val="20"/>
        </w:rPr>
        <w:t xml:space="preserve">                </w:t>
      </w:r>
      <w:r w:rsidRPr="000B37C7">
        <w:rPr>
          <w:rFonts w:ascii="Arial" w:hAnsi="Arial" w:cs="Arial"/>
          <w:sz w:val="20"/>
        </w:rPr>
        <w:t>2025. godine, donijelo je</w:t>
      </w:r>
    </w:p>
    <w:p w14:paraId="1E3DD72C" w14:textId="77777777" w:rsidR="002A4BFB" w:rsidRPr="000B37C7" w:rsidRDefault="002A4BFB" w:rsidP="002A4BFB">
      <w:pPr>
        <w:rPr>
          <w:rFonts w:ascii="Arial" w:hAnsi="Arial" w:cs="Arial"/>
          <w:sz w:val="20"/>
        </w:rPr>
      </w:pPr>
    </w:p>
    <w:tbl>
      <w:tblPr>
        <w:tblW w:w="0" w:type="auto"/>
        <w:tblLayout w:type="fixed"/>
        <w:tblCellMar>
          <w:left w:w="0" w:type="dxa"/>
          <w:right w:w="0" w:type="dxa"/>
        </w:tblCellMar>
        <w:tblLook w:val="04A0" w:firstRow="1" w:lastRow="0" w:firstColumn="1" w:lastColumn="0" w:noHBand="0" w:noVBand="1"/>
      </w:tblPr>
      <w:tblGrid>
        <w:gridCol w:w="4530"/>
        <w:gridCol w:w="1995"/>
        <w:gridCol w:w="1980"/>
        <w:gridCol w:w="1980"/>
        <w:gridCol w:w="1980"/>
        <w:gridCol w:w="1995"/>
        <w:gridCol w:w="390"/>
      </w:tblGrid>
      <w:tr w:rsidR="002A4BFB" w:rsidRPr="000B37C7" w14:paraId="10CB13C9" w14:textId="77777777" w:rsidTr="00107D76">
        <w:trPr>
          <w:trHeight w:val="255"/>
        </w:trPr>
        <w:tc>
          <w:tcPr>
            <w:tcW w:w="14850" w:type="dxa"/>
            <w:gridSpan w:val="7"/>
          </w:tcPr>
          <w:p w14:paraId="45747AD7" w14:textId="77777777" w:rsidR="002A4BFB" w:rsidRPr="000B37C7" w:rsidRDefault="002A4BFB" w:rsidP="00107D76">
            <w:pPr>
              <w:pStyle w:val="ParagraphStyle0"/>
              <w:rPr>
                <w:rStyle w:val="CharacterStyle0"/>
                <w:sz w:val="24"/>
                <w:szCs w:val="24"/>
              </w:rPr>
            </w:pPr>
            <w:r w:rsidRPr="000B37C7">
              <w:rPr>
                <w:rStyle w:val="CharacterStyle0"/>
                <w:sz w:val="24"/>
                <w:szCs w:val="24"/>
              </w:rPr>
              <w:t xml:space="preserve">PRIJEDLOG </w:t>
            </w:r>
          </w:p>
          <w:p w14:paraId="20996B5D" w14:textId="77777777" w:rsidR="002A4BFB" w:rsidRPr="000B37C7" w:rsidRDefault="002A4BFB" w:rsidP="00107D76">
            <w:pPr>
              <w:pStyle w:val="ParagraphStyle0"/>
              <w:rPr>
                <w:rStyle w:val="CharacterStyle0"/>
                <w:sz w:val="24"/>
                <w:szCs w:val="24"/>
              </w:rPr>
            </w:pPr>
            <w:r w:rsidRPr="000B37C7">
              <w:rPr>
                <w:rStyle w:val="CharacterStyle0"/>
                <w:sz w:val="24"/>
                <w:szCs w:val="24"/>
              </w:rPr>
              <w:t>PRORAČUNA GRADA ROVINJA-ROVIGNO ZA 2026. GODINU I PROJEKCIJA ZA 2027. I 2028. GODINU</w:t>
            </w:r>
          </w:p>
          <w:p w14:paraId="38B89FC9" w14:textId="77777777" w:rsidR="002A4BFB" w:rsidRPr="000B37C7" w:rsidRDefault="002A4BFB" w:rsidP="00107D76">
            <w:pPr>
              <w:pStyle w:val="ParagraphStyle0"/>
              <w:rPr>
                <w:rFonts w:ascii="Arial" w:hAnsi="Arial" w:cs="Arial"/>
                <w:sz w:val="20"/>
              </w:rPr>
            </w:pPr>
          </w:p>
          <w:p w14:paraId="1DD6A30F" w14:textId="77777777" w:rsidR="002A4BFB" w:rsidRPr="000B37C7" w:rsidRDefault="002A4BFB" w:rsidP="00107D76">
            <w:pPr>
              <w:pStyle w:val="ParagraphStyle0"/>
              <w:rPr>
                <w:rFonts w:ascii="Arial" w:hAnsi="Arial" w:cs="Arial"/>
                <w:b/>
                <w:sz w:val="20"/>
              </w:rPr>
            </w:pPr>
            <w:r w:rsidRPr="000B37C7">
              <w:rPr>
                <w:rFonts w:ascii="Arial" w:hAnsi="Arial" w:cs="Arial"/>
                <w:b/>
                <w:sz w:val="20"/>
              </w:rPr>
              <w:t>Članak 1.</w:t>
            </w:r>
          </w:p>
          <w:p w14:paraId="4E3A4366" w14:textId="77777777" w:rsidR="002A4BFB" w:rsidRPr="000B37C7" w:rsidRDefault="002A4BFB" w:rsidP="00107D76">
            <w:pPr>
              <w:pStyle w:val="ParagraphStyle0"/>
              <w:ind w:left="0" w:right="0"/>
              <w:rPr>
                <w:rFonts w:ascii="Arial" w:hAnsi="Arial" w:cs="Arial"/>
                <w:sz w:val="20"/>
              </w:rPr>
            </w:pPr>
            <w:r w:rsidRPr="000B37C7">
              <w:rPr>
                <w:rFonts w:ascii="Arial" w:hAnsi="Arial" w:cs="Arial"/>
                <w:sz w:val="20"/>
              </w:rPr>
              <w:t>Prorač</w:t>
            </w:r>
            <w:r w:rsidR="00E541EE">
              <w:rPr>
                <w:rFonts w:ascii="Arial" w:hAnsi="Arial" w:cs="Arial"/>
                <w:sz w:val="20"/>
              </w:rPr>
              <w:t>un Grada Rovinja-Rovigno za 2026</w:t>
            </w:r>
            <w:r w:rsidRPr="000B37C7">
              <w:rPr>
                <w:rFonts w:ascii="Arial" w:hAnsi="Arial" w:cs="Arial"/>
                <w:sz w:val="20"/>
              </w:rPr>
              <w:t>. godinu (u daljnjem tekstu</w:t>
            </w:r>
            <w:r w:rsidR="00E541EE">
              <w:rPr>
                <w:rFonts w:ascii="Arial" w:hAnsi="Arial" w:cs="Arial"/>
                <w:sz w:val="20"/>
              </w:rPr>
              <w:t>: Proračun) i projekcije za 2027. i 2028</w:t>
            </w:r>
            <w:r w:rsidRPr="000B37C7">
              <w:rPr>
                <w:rFonts w:ascii="Arial" w:hAnsi="Arial" w:cs="Arial"/>
                <w:sz w:val="20"/>
              </w:rPr>
              <w:t>. godinu (u daljnjem tekstu: i projekcije) sadrže:</w:t>
            </w:r>
          </w:p>
          <w:p w14:paraId="2C388ECD" w14:textId="77777777" w:rsidR="002A4BFB" w:rsidRPr="000B37C7" w:rsidRDefault="002A4BFB" w:rsidP="00107D76">
            <w:pPr>
              <w:pStyle w:val="ParagraphStyle0"/>
              <w:ind w:left="0" w:right="0"/>
              <w:rPr>
                <w:rStyle w:val="CharacterStyle0"/>
                <w:rFonts w:eastAsia="Calibri"/>
                <w:b w:val="0"/>
                <w:noProof w:val="0"/>
                <w:color w:val="auto"/>
              </w:rPr>
            </w:pPr>
          </w:p>
        </w:tc>
      </w:tr>
      <w:tr w:rsidR="002A4BFB" w:rsidRPr="000B37C7" w14:paraId="2D41E4E8" w14:textId="77777777" w:rsidTr="00107D76">
        <w:trPr>
          <w:trHeight w:val="285"/>
        </w:trPr>
        <w:tc>
          <w:tcPr>
            <w:tcW w:w="14850" w:type="dxa"/>
            <w:gridSpan w:val="7"/>
            <w:vAlign w:val="center"/>
          </w:tcPr>
          <w:p w14:paraId="59C2BA2B" w14:textId="77777777" w:rsidR="002A4BFB" w:rsidRDefault="002A4BFB" w:rsidP="00107D76">
            <w:pPr>
              <w:pStyle w:val="ParagraphStyle1"/>
              <w:rPr>
                <w:rStyle w:val="CharacterStyle1"/>
              </w:rPr>
            </w:pPr>
            <w:r w:rsidRPr="000B37C7">
              <w:rPr>
                <w:rStyle w:val="CharacterStyle1"/>
              </w:rPr>
              <w:t>I. OPĆI DIO</w:t>
            </w:r>
          </w:p>
          <w:p w14:paraId="1E6CEDA6" w14:textId="77777777" w:rsidR="002A4BFB" w:rsidRDefault="002A4BFB" w:rsidP="00107D76">
            <w:pPr>
              <w:pStyle w:val="ParagraphStyle1"/>
              <w:rPr>
                <w:rStyle w:val="CharacterStyle1"/>
              </w:rPr>
            </w:pPr>
          </w:p>
          <w:p w14:paraId="53E5AD9B" w14:textId="77777777" w:rsidR="002A4BFB" w:rsidRPr="000B37C7" w:rsidRDefault="002A4BFB" w:rsidP="00107D76">
            <w:pPr>
              <w:pStyle w:val="ParagraphStyle1"/>
              <w:rPr>
                <w:rStyle w:val="CharacterStyle1"/>
              </w:rPr>
            </w:pPr>
            <w:r>
              <w:rPr>
                <w:rStyle w:val="CharacterStyle1"/>
              </w:rPr>
              <w:t>A) SAŽETAK RAČUNA PRIHODA I RASHODA</w:t>
            </w:r>
          </w:p>
        </w:tc>
      </w:tr>
      <w:tr w:rsidR="002A4BFB" w14:paraId="18E43B90" w14:textId="77777777" w:rsidTr="00107D76">
        <w:trPr>
          <w:trHeight w:val="450"/>
        </w:trPr>
        <w:tc>
          <w:tcPr>
            <w:tcW w:w="4530" w:type="dxa"/>
            <w:tcBorders>
              <w:bottom w:val="single" w:sz="6" w:space="0" w:color="000000"/>
              <w:right w:val="single" w:sz="6" w:space="0" w:color="000000"/>
            </w:tcBorders>
            <w:vAlign w:val="center"/>
          </w:tcPr>
          <w:p w14:paraId="53F76AB4" w14:textId="77777777" w:rsidR="002A4BFB" w:rsidRDefault="002A4BFB" w:rsidP="00107D76">
            <w:pPr>
              <w:pStyle w:val="ParagraphStyle2"/>
              <w:rPr>
                <w:rStyle w:val="CharacterStyle2"/>
              </w:rPr>
            </w:pPr>
          </w:p>
        </w:tc>
        <w:tc>
          <w:tcPr>
            <w:tcW w:w="1995" w:type="dxa"/>
            <w:tcBorders>
              <w:top w:val="single" w:sz="6" w:space="0" w:color="000000"/>
              <w:left w:val="single" w:sz="6" w:space="0" w:color="000000"/>
              <w:bottom w:val="single" w:sz="6" w:space="0" w:color="000000"/>
              <w:right w:val="single" w:sz="6" w:space="0" w:color="000000"/>
            </w:tcBorders>
            <w:vAlign w:val="center"/>
          </w:tcPr>
          <w:p w14:paraId="55C54DBC" w14:textId="77777777" w:rsidR="002A4BFB" w:rsidRPr="00EE3A4E" w:rsidRDefault="002A4BFB" w:rsidP="00107D76">
            <w:pPr>
              <w:pStyle w:val="ParagraphStyle3"/>
              <w:rPr>
                <w:rStyle w:val="CharacterStyle3"/>
              </w:rPr>
            </w:pPr>
            <w:r w:rsidRPr="00EE3A4E">
              <w:rPr>
                <w:rStyle w:val="CharacterStyle3"/>
              </w:rPr>
              <w:t>Izvršenje 2024.</w:t>
            </w:r>
          </w:p>
        </w:tc>
        <w:tc>
          <w:tcPr>
            <w:tcW w:w="1980" w:type="dxa"/>
            <w:tcBorders>
              <w:top w:val="single" w:sz="6" w:space="0" w:color="000000"/>
              <w:left w:val="single" w:sz="6" w:space="0" w:color="000000"/>
              <w:bottom w:val="single" w:sz="6" w:space="0" w:color="000000"/>
              <w:right w:val="single" w:sz="6" w:space="0" w:color="000000"/>
            </w:tcBorders>
            <w:vAlign w:val="center"/>
          </w:tcPr>
          <w:p w14:paraId="0D44170B" w14:textId="77777777" w:rsidR="002A4BFB" w:rsidRPr="00EE3A4E" w:rsidRDefault="002A4BFB" w:rsidP="00107D76">
            <w:pPr>
              <w:pStyle w:val="ParagraphStyle3"/>
              <w:rPr>
                <w:rStyle w:val="CharacterStyle3"/>
              </w:rPr>
            </w:pPr>
            <w:r w:rsidRPr="00EE3A4E">
              <w:rPr>
                <w:rStyle w:val="CharacterStyle3"/>
              </w:rPr>
              <w:t>Tekući plan 2025.</w:t>
            </w:r>
          </w:p>
        </w:tc>
        <w:tc>
          <w:tcPr>
            <w:tcW w:w="1980" w:type="dxa"/>
            <w:tcBorders>
              <w:top w:val="single" w:sz="6" w:space="0" w:color="000000"/>
              <w:left w:val="single" w:sz="6" w:space="0" w:color="000000"/>
              <w:bottom w:val="single" w:sz="6" w:space="0" w:color="000000"/>
              <w:right w:val="single" w:sz="6" w:space="0" w:color="000000"/>
            </w:tcBorders>
            <w:vAlign w:val="center"/>
          </w:tcPr>
          <w:p w14:paraId="0834AA23" w14:textId="77777777" w:rsidR="002A4BFB" w:rsidRPr="00EE3A4E" w:rsidRDefault="002A4BFB" w:rsidP="00107D76">
            <w:pPr>
              <w:pStyle w:val="ParagraphStyle3"/>
              <w:rPr>
                <w:rStyle w:val="CharacterStyle3"/>
              </w:rPr>
            </w:pPr>
            <w:r w:rsidRPr="00EE3A4E">
              <w:rPr>
                <w:rStyle w:val="CharacterStyle3"/>
              </w:rPr>
              <w:t>Plan 2026.</w:t>
            </w:r>
          </w:p>
        </w:tc>
        <w:tc>
          <w:tcPr>
            <w:tcW w:w="1980" w:type="dxa"/>
            <w:tcBorders>
              <w:top w:val="single" w:sz="6" w:space="0" w:color="000000"/>
              <w:left w:val="single" w:sz="6" w:space="0" w:color="000000"/>
              <w:bottom w:val="single" w:sz="6" w:space="0" w:color="000000"/>
              <w:right w:val="single" w:sz="6" w:space="0" w:color="000000"/>
            </w:tcBorders>
            <w:vAlign w:val="center"/>
          </w:tcPr>
          <w:p w14:paraId="676FA979" w14:textId="77777777" w:rsidR="002A4BFB" w:rsidRPr="00EE3A4E" w:rsidRDefault="002A4BFB" w:rsidP="00107D76">
            <w:pPr>
              <w:pStyle w:val="ParagraphStyle3"/>
              <w:rPr>
                <w:rStyle w:val="CharacterStyle3"/>
              </w:rPr>
            </w:pPr>
            <w:r w:rsidRPr="00EE3A4E">
              <w:rPr>
                <w:rStyle w:val="CharacterStyle3"/>
              </w:rPr>
              <w:t>Projekcija 2027.</w:t>
            </w:r>
          </w:p>
        </w:tc>
        <w:tc>
          <w:tcPr>
            <w:tcW w:w="1995" w:type="dxa"/>
            <w:tcBorders>
              <w:top w:val="single" w:sz="6" w:space="0" w:color="000000"/>
              <w:left w:val="single" w:sz="6" w:space="0" w:color="000000"/>
              <w:bottom w:val="single" w:sz="6" w:space="0" w:color="000000"/>
              <w:right w:val="single" w:sz="6" w:space="0" w:color="000000"/>
            </w:tcBorders>
            <w:vAlign w:val="center"/>
          </w:tcPr>
          <w:p w14:paraId="41C57FF7" w14:textId="77777777" w:rsidR="002A4BFB" w:rsidRPr="00EE3A4E" w:rsidRDefault="002A4BFB" w:rsidP="00107D76">
            <w:pPr>
              <w:pStyle w:val="ParagraphStyle3"/>
              <w:rPr>
                <w:rStyle w:val="CharacterStyle3"/>
              </w:rPr>
            </w:pPr>
            <w:r w:rsidRPr="00EE3A4E">
              <w:rPr>
                <w:rStyle w:val="CharacterStyle3"/>
              </w:rPr>
              <w:t>Projekcija 2028.</w:t>
            </w:r>
          </w:p>
        </w:tc>
        <w:tc>
          <w:tcPr>
            <w:tcW w:w="390" w:type="dxa"/>
          </w:tcPr>
          <w:p w14:paraId="50CB0DFB" w14:textId="77777777" w:rsidR="002A4BFB" w:rsidRDefault="002A4BFB" w:rsidP="00107D76">
            <w:pPr>
              <w:rPr>
                <w:rStyle w:val="FakeCharacterStyle"/>
              </w:rPr>
            </w:pPr>
          </w:p>
        </w:tc>
      </w:tr>
      <w:tr w:rsidR="002A4BFB" w14:paraId="35569544" w14:textId="77777777" w:rsidTr="00107D76">
        <w:trPr>
          <w:trHeight w:val="225"/>
        </w:trPr>
        <w:tc>
          <w:tcPr>
            <w:tcW w:w="4530" w:type="dxa"/>
            <w:tcBorders>
              <w:left w:val="single" w:sz="6" w:space="0" w:color="000000"/>
              <w:bottom w:val="single" w:sz="6" w:space="0" w:color="000000"/>
              <w:right w:val="single" w:sz="6" w:space="0" w:color="000000"/>
            </w:tcBorders>
            <w:shd w:val="clear" w:color="auto" w:fill="DCDCDC"/>
            <w:vAlign w:val="center"/>
          </w:tcPr>
          <w:p w14:paraId="06CDD3F0" w14:textId="77777777" w:rsidR="002A4BFB" w:rsidRPr="00832B9B" w:rsidRDefault="002A4BFB" w:rsidP="00107D76">
            <w:pPr>
              <w:pStyle w:val="ParagraphStyle4"/>
              <w:rPr>
                <w:rStyle w:val="CharacterStyle4"/>
              </w:rPr>
            </w:pPr>
            <w:r w:rsidRPr="00832B9B">
              <w:rPr>
                <w:rStyle w:val="CharacterStyle4"/>
              </w:rPr>
              <w:t>PRIHODI UKUPNO</w:t>
            </w:r>
          </w:p>
        </w:tc>
        <w:tc>
          <w:tcPr>
            <w:tcW w:w="1995" w:type="dxa"/>
            <w:tcBorders>
              <w:left w:val="single" w:sz="6" w:space="0" w:color="000000"/>
              <w:bottom w:val="single" w:sz="6" w:space="0" w:color="000000"/>
              <w:right w:val="single" w:sz="6" w:space="0" w:color="000000"/>
            </w:tcBorders>
            <w:shd w:val="clear" w:color="auto" w:fill="DCDCDC"/>
            <w:vAlign w:val="bottom"/>
          </w:tcPr>
          <w:p w14:paraId="214862C0" w14:textId="77777777" w:rsidR="002A4BFB" w:rsidRPr="00832B9B" w:rsidRDefault="002A4BFB" w:rsidP="00EA7817">
            <w:pPr>
              <w:pStyle w:val="ParagraphStyle5"/>
              <w:jc w:val="right"/>
              <w:rPr>
                <w:rStyle w:val="CharacterStyle5"/>
              </w:rPr>
            </w:pPr>
            <w:r w:rsidRPr="00832B9B">
              <w:rPr>
                <w:rStyle w:val="CharacterStyle5"/>
              </w:rPr>
              <w:t>34.945.231,80</w:t>
            </w:r>
          </w:p>
        </w:tc>
        <w:tc>
          <w:tcPr>
            <w:tcW w:w="1980" w:type="dxa"/>
            <w:tcBorders>
              <w:left w:val="single" w:sz="6" w:space="0" w:color="000000"/>
              <w:bottom w:val="single" w:sz="6" w:space="0" w:color="000000"/>
              <w:right w:val="single" w:sz="6" w:space="0" w:color="000000"/>
            </w:tcBorders>
            <w:shd w:val="clear" w:color="auto" w:fill="DCDCDC"/>
            <w:vAlign w:val="bottom"/>
          </w:tcPr>
          <w:p w14:paraId="71011AF1" w14:textId="77777777" w:rsidR="002A4BFB" w:rsidRPr="00832B9B" w:rsidRDefault="002A4BFB" w:rsidP="00EA7817">
            <w:pPr>
              <w:pStyle w:val="ParagraphStyle5"/>
              <w:jc w:val="right"/>
              <w:rPr>
                <w:rStyle w:val="CharacterStyle5"/>
              </w:rPr>
            </w:pPr>
            <w:r w:rsidRPr="00832B9B">
              <w:rPr>
                <w:rStyle w:val="CharacterStyle5"/>
              </w:rPr>
              <w:t>46.063.896,26</w:t>
            </w:r>
          </w:p>
        </w:tc>
        <w:tc>
          <w:tcPr>
            <w:tcW w:w="1980" w:type="dxa"/>
            <w:tcBorders>
              <w:left w:val="single" w:sz="6" w:space="0" w:color="000000"/>
              <w:bottom w:val="single" w:sz="6" w:space="0" w:color="000000"/>
              <w:right w:val="single" w:sz="6" w:space="0" w:color="000000"/>
            </w:tcBorders>
            <w:shd w:val="clear" w:color="auto" w:fill="DCDCDC"/>
            <w:vAlign w:val="bottom"/>
          </w:tcPr>
          <w:p w14:paraId="52737C6C" w14:textId="77777777" w:rsidR="002A4BFB" w:rsidRPr="00832B9B" w:rsidRDefault="002A4BFB" w:rsidP="00EA7817">
            <w:pPr>
              <w:pStyle w:val="ParagraphStyle5"/>
              <w:jc w:val="right"/>
              <w:rPr>
                <w:rStyle w:val="CharacterStyle5"/>
              </w:rPr>
            </w:pPr>
            <w:r w:rsidRPr="00832B9B">
              <w:rPr>
                <w:rStyle w:val="CharacterStyle5"/>
              </w:rPr>
              <w:t>45.221.136,66</w:t>
            </w:r>
          </w:p>
        </w:tc>
        <w:tc>
          <w:tcPr>
            <w:tcW w:w="1980" w:type="dxa"/>
            <w:tcBorders>
              <w:left w:val="single" w:sz="6" w:space="0" w:color="000000"/>
              <w:bottom w:val="single" w:sz="6" w:space="0" w:color="000000"/>
              <w:right w:val="single" w:sz="6" w:space="0" w:color="000000"/>
            </w:tcBorders>
            <w:shd w:val="clear" w:color="auto" w:fill="DCDCDC"/>
            <w:vAlign w:val="bottom"/>
          </w:tcPr>
          <w:p w14:paraId="3379123A" w14:textId="77777777" w:rsidR="002A4BFB" w:rsidRPr="00832B9B" w:rsidRDefault="002A4BFB" w:rsidP="00EA7817">
            <w:pPr>
              <w:pStyle w:val="ParagraphStyle5"/>
              <w:jc w:val="right"/>
              <w:rPr>
                <w:rStyle w:val="CharacterStyle5"/>
              </w:rPr>
            </w:pPr>
            <w:r w:rsidRPr="00832B9B">
              <w:rPr>
                <w:rStyle w:val="CharacterStyle5"/>
              </w:rPr>
              <w:t>46.288.000,00</w:t>
            </w:r>
          </w:p>
        </w:tc>
        <w:tc>
          <w:tcPr>
            <w:tcW w:w="1995" w:type="dxa"/>
            <w:tcBorders>
              <w:left w:val="single" w:sz="6" w:space="0" w:color="000000"/>
              <w:bottom w:val="single" w:sz="6" w:space="0" w:color="000000"/>
              <w:right w:val="single" w:sz="6" w:space="0" w:color="000000"/>
            </w:tcBorders>
            <w:shd w:val="clear" w:color="auto" w:fill="DCDCDC"/>
            <w:vAlign w:val="bottom"/>
          </w:tcPr>
          <w:p w14:paraId="46BD107D" w14:textId="77777777" w:rsidR="002A4BFB" w:rsidRPr="00832B9B" w:rsidRDefault="002A4BFB" w:rsidP="00EA7817">
            <w:pPr>
              <w:pStyle w:val="ParagraphStyle5"/>
              <w:jc w:val="right"/>
              <w:rPr>
                <w:rStyle w:val="CharacterStyle5"/>
              </w:rPr>
            </w:pPr>
            <w:r w:rsidRPr="00832B9B">
              <w:rPr>
                <w:rStyle w:val="CharacterStyle5"/>
              </w:rPr>
              <w:t>40.512.500,00</w:t>
            </w:r>
          </w:p>
        </w:tc>
        <w:tc>
          <w:tcPr>
            <w:tcW w:w="390" w:type="dxa"/>
          </w:tcPr>
          <w:p w14:paraId="5E2E67F2" w14:textId="77777777" w:rsidR="002A4BFB" w:rsidRDefault="002A4BFB" w:rsidP="00107D76">
            <w:pPr>
              <w:rPr>
                <w:rStyle w:val="FakeCharacterStyle"/>
              </w:rPr>
            </w:pPr>
          </w:p>
        </w:tc>
      </w:tr>
      <w:tr w:rsidR="002A4BFB" w14:paraId="4B8C860A" w14:textId="77777777" w:rsidTr="00107D76">
        <w:trPr>
          <w:trHeight w:val="225"/>
        </w:trPr>
        <w:tc>
          <w:tcPr>
            <w:tcW w:w="4530" w:type="dxa"/>
            <w:tcBorders>
              <w:left w:val="single" w:sz="6" w:space="0" w:color="000000"/>
              <w:bottom w:val="single" w:sz="6" w:space="0" w:color="000000"/>
              <w:right w:val="single" w:sz="6" w:space="0" w:color="000000"/>
            </w:tcBorders>
            <w:vAlign w:val="center"/>
          </w:tcPr>
          <w:p w14:paraId="55A93030" w14:textId="77777777" w:rsidR="002A4BFB" w:rsidRPr="00832B9B" w:rsidRDefault="002A4BFB" w:rsidP="00EA7817">
            <w:pPr>
              <w:pStyle w:val="ParagraphStyle6"/>
              <w:jc w:val="left"/>
              <w:rPr>
                <w:rStyle w:val="CharacterStyle6"/>
              </w:rPr>
            </w:pPr>
            <w:r w:rsidRPr="00832B9B">
              <w:rPr>
                <w:rStyle w:val="CharacterStyle6"/>
              </w:rPr>
              <w:t>6 PRIHODI POSLOVANJA</w:t>
            </w:r>
          </w:p>
        </w:tc>
        <w:tc>
          <w:tcPr>
            <w:tcW w:w="1995" w:type="dxa"/>
            <w:tcBorders>
              <w:left w:val="single" w:sz="6" w:space="0" w:color="000000"/>
              <w:bottom w:val="single" w:sz="6" w:space="0" w:color="000000"/>
              <w:right w:val="single" w:sz="6" w:space="0" w:color="000000"/>
            </w:tcBorders>
            <w:vAlign w:val="bottom"/>
          </w:tcPr>
          <w:p w14:paraId="56AA7D26" w14:textId="77777777" w:rsidR="002A4BFB" w:rsidRPr="00832B9B" w:rsidRDefault="002A4BFB" w:rsidP="00EA7817">
            <w:pPr>
              <w:pStyle w:val="ParagraphStyle7"/>
              <w:jc w:val="right"/>
              <w:rPr>
                <w:rStyle w:val="CharacterStyle7"/>
                <w:i w:val="0"/>
              </w:rPr>
            </w:pPr>
            <w:r w:rsidRPr="00832B9B">
              <w:rPr>
                <w:rStyle w:val="CharacterStyle7"/>
                <w:i w:val="0"/>
              </w:rPr>
              <w:t>34.026.354,87</w:t>
            </w:r>
          </w:p>
        </w:tc>
        <w:tc>
          <w:tcPr>
            <w:tcW w:w="1980" w:type="dxa"/>
            <w:tcBorders>
              <w:left w:val="single" w:sz="6" w:space="0" w:color="000000"/>
              <w:bottom w:val="single" w:sz="6" w:space="0" w:color="000000"/>
              <w:right w:val="single" w:sz="6" w:space="0" w:color="000000"/>
            </w:tcBorders>
            <w:vAlign w:val="bottom"/>
          </w:tcPr>
          <w:p w14:paraId="6590013B" w14:textId="77777777" w:rsidR="002A4BFB" w:rsidRPr="00832B9B" w:rsidRDefault="002A4BFB" w:rsidP="00EA7817">
            <w:pPr>
              <w:pStyle w:val="ParagraphStyle7"/>
              <w:jc w:val="right"/>
              <w:rPr>
                <w:rStyle w:val="CharacterStyle7"/>
                <w:i w:val="0"/>
              </w:rPr>
            </w:pPr>
            <w:r w:rsidRPr="00832B9B">
              <w:rPr>
                <w:rStyle w:val="CharacterStyle7"/>
                <w:i w:val="0"/>
              </w:rPr>
              <w:t>43.814.057,80</w:t>
            </w:r>
          </w:p>
        </w:tc>
        <w:tc>
          <w:tcPr>
            <w:tcW w:w="1980" w:type="dxa"/>
            <w:tcBorders>
              <w:left w:val="single" w:sz="6" w:space="0" w:color="000000"/>
              <w:bottom w:val="single" w:sz="6" w:space="0" w:color="000000"/>
              <w:right w:val="single" w:sz="6" w:space="0" w:color="000000"/>
            </w:tcBorders>
            <w:vAlign w:val="bottom"/>
          </w:tcPr>
          <w:p w14:paraId="608C19E3" w14:textId="77777777" w:rsidR="002A4BFB" w:rsidRPr="00832B9B" w:rsidRDefault="002A4BFB" w:rsidP="00EA7817">
            <w:pPr>
              <w:pStyle w:val="ParagraphStyle7"/>
              <w:jc w:val="right"/>
              <w:rPr>
                <w:rStyle w:val="CharacterStyle7"/>
                <w:i w:val="0"/>
              </w:rPr>
            </w:pPr>
            <w:r w:rsidRPr="00832B9B">
              <w:rPr>
                <w:rStyle w:val="CharacterStyle7"/>
                <w:i w:val="0"/>
              </w:rPr>
              <w:t>44.097.183,63</w:t>
            </w:r>
          </w:p>
        </w:tc>
        <w:tc>
          <w:tcPr>
            <w:tcW w:w="1980" w:type="dxa"/>
            <w:tcBorders>
              <w:left w:val="single" w:sz="6" w:space="0" w:color="000000"/>
              <w:bottom w:val="single" w:sz="6" w:space="0" w:color="000000"/>
              <w:right w:val="single" w:sz="6" w:space="0" w:color="000000"/>
            </w:tcBorders>
            <w:vAlign w:val="bottom"/>
          </w:tcPr>
          <w:p w14:paraId="79C9F10E" w14:textId="77777777" w:rsidR="002A4BFB" w:rsidRPr="00832B9B" w:rsidRDefault="002A4BFB" w:rsidP="00EA7817">
            <w:pPr>
              <w:pStyle w:val="ParagraphStyle7"/>
              <w:jc w:val="right"/>
              <w:rPr>
                <w:rStyle w:val="CharacterStyle7"/>
                <w:i w:val="0"/>
              </w:rPr>
            </w:pPr>
            <w:r w:rsidRPr="00832B9B">
              <w:rPr>
                <w:rStyle w:val="CharacterStyle7"/>
                <w:i w:val="0"/>
              </w:rPr>
              <w:t>41.465.322,97</w:t>
            </w:r>
          </w:p>
        </w:tc>
        <w:tc>
          <w:tcPr>
            <w:tcW w:w="1995" w:type="dxa"/>
            <w:tcBorders>
              <w:left w:val="single" w:sz="6" w:space="0" w:color="000000"/>
              <w:bottom w:val="single" w:sz="6" w:space="0" w:color="000000"/>
              <w:right w:val="single" w:sz="6" w:space="0" w:color="000000"/>
            </w:tcBorders>
            <w:vAlign w:val="bottom"/>
          </w:tcPr>
          <w:p w14:paraId="53318CE3" w14:textId="77777777" w:rsidR="002A4BFB" w:rsidRPr="00832B9B" w:rsidRDefault="002A4BFB" w:rsidP="00EA7817">
            <w:pPr>
              <w:pStyle w:val="ParagraphStyle7"/>
              <w:jc w:val="right"/>
              <w:rPr>
                <w:rStyle w:val="CharacterStyle7"/>
                <w:i w:val="0"/>
              </w:rPr>
            </w:pPr>
            <w:r w:rsidRPr="00832B9B">
              <w:rPr>
                <w:rStyle w:val="CharacterStyle7"/>
                <w:i w:val="0"/>
              </w:rPr>
              <w:t>39.006.822,97</w:t>
            </w:r>
          </w:p>
        </w:tc>
        <w:tc>
          <w:tcPr>
            <w:tcW w:w="390" w:type="dxa"/>
          </w:tcPr>
          <w:p w14:paraId="2EF6C266" w14:textId="77777777" w:rsidR="002A4BFB" w:rsidRDefault="002A4BFB" w:rsidP="00107D76">
            <w:pPr>
              <w:rPr>
                <w:rStyle w:val="FakeCharacterStyle"/>
              </w:rPr>
            </w:pPr>
          </w:p>
        </w:tc>
      </w:tr>
      <w:tr w:rsidR="002A4BFB" w14:paraId="593C5867" w14:textId="77777777" w:rsidTr="00107D76">
        <w:trPr>
          <w:trHeight w:val="225"/>
        </w:trPr>
        <w:tc>
          <w:tcPr>
            <w:tcW w:w="4530" w:type="dxa"/>
            <w:tcBorders>
              <w:left w:val="single" w:sz="6" w:space="0" w:color="000000"/>
              <w:bottom w:val="single" w:sz="6" w:space="0" w:color="000000"/>
              <w:right w:val="single" w:sz="6" w:space="0" w:color="000000"/>
            </w:tcBorders>
            <w:vAlign w:val="center"/>
          </w:tcPr>
          <w:p w14:paraId="68FF164E" w14:textId="77777777" w:rsidR="002A4BFB" w:rsidRPr="00832B9B" w:rsidRDefault="002A4BFB" w:rsidP="00EA7817">
            <w:pPr>
              <w:pStyle w:val="ParagraphStyle6"/>
              <w:jc w:val="left"/>
              <w:rPr>
                <w:rStyle w:val="CharacterStyle6"/>
              </w:rPr>
            </w:pPr>
            <w:r w:rsidRPr="00832B9B">
              <w:rPr>
                <w:rStyle w:val="CharacterStyle6"/>
              </w:rPr>
              <w:t>7 PRIHODI OD PRODAJE NEFINANCIJSKE IMOVINE</w:t>
            </w:r>
          </w:p>
        </w:tc>
        <w:tc>
          <w:tcPr>
            <w:tcW w:w="1995" w:type="dxa"/>
            <w:tcBorders>
              <w:left w:val="single" w:sz="6" w:space="0" w:color="000000"/>
              <w:bottom w:val="single" w:sz="6" w:space="0" w:color="000000"/>
              <w:right w:val="single" w:sz="6" w:space="0" w:color="000000"/>
            </w:tcBorders>
            <w:vAlign w:val="bottom"/>
          </w:tcPr>
          <w:p w14:paraId="1D07A506" w14:textId="77777777" w:rsidR="002A4BFB" w:rsidRPr="00832B9B" w:rsidRDefault="002A4BFB" w:rsidP="00EA7817">
            <w:pPr>
              <w:pStyle w:val="ParagraphStyle7"/>
              <w:jc w:val="right"/>
              <w:rPr>
                <w:rStyle w:val="CharacterStyle7"/>
                <w:i w:val="0"/>
              </w:rPr>
            </w:pPr>
            <w:r w:rsidRPr="00832B9B">
              <w:rPr>
                <w:rStyle w:val="CharacterStyle7"/>
                <w:i w:val="0"/>
              </w:rPr>
              <w:t>918.876,93</w:t>
            </w:r>
          </w:p>
        </w:tc>
        <w:tc>
          <w:tcPr>
            <w:tcW w:w="1980" w:type="dxa"/>
            <w:tcBorders>
              <w:left w:val="single" w:sz="6" w:space="0" w:color="000000"/>
              <w:bottom w:val="single" w:sz="6" w:space="0" w:color="000000"/>
              <w:right w:val="single" w:sz="6" w:space="0" w:color="000000"/>
            </w:tcBorders>
            <w:vAlign w:val="bottom"/>
          </w:tcPr>
          <w:p w14:paraId="4952A63B" w14:textId="77777777" w:rsidR="002A4BFB" w:rsidRPr="00832B9B" w:rsidRDefault="002A4BFB" w:rsidP="00EA7817">
            <w:pPr>
              <w:pStyle w:val="ParagraphStyle7"/>
              <w:jc w:val="right"/>
              <w:rPr>
                <w:rStyle w:val="CharacterStyle7"/>
                <w:i w:val="0"/>
              </w:rPr>
            </w:pPr>
            <w:r w:rsidRPr="00832B9B">
              <w:rPr>
                <w:rStyle w:val="CharacterStyle7"/>
                <w:i w:val="0"/>
              </w:rPr>
              <w:t>2.249.838,46</w:t>
            </w:r>
          </w:p>
        </w:tc>
        <w:tc>
          <w:tcPr>
            <w:tcW w:w="1980" w:type="dxa"/>
            <w:tcBorders>
              <w:left w:val="single" w:sz="6" w:space="0" w:color="000000"/>
              <w:bottom w:val="single" w:sz="6" w:space="0" w:color="000000"/>
              <w:right w:val="single" w:sz="6" w:space="0" w:color="000000"/>
            </w:tcBorders>
            <w:vAlign w:val="bottom"/>
          </w:tcPr>
          <w:p w14:paraId="02BFF11E" w14:textId="77777777" w:rsidR="002A4BFB" w:rsidRPr="00832B9B" w:rsidRDefault="002A4BFB" w:rsidP="00EA7817">
            <w:pPr>
              <w:pStyle w:val="ParagraphStyle7"/>
              <w:jc w:val="right"/>
              <w:rPr>
                <w:rStyle w:val="CharacterStyle7"/>
                <w:i w:val="0"/>
              </w:rPr>
            </w:pPr>
            <w:r w:rsidRPr="00832B9B">
              <w:rPr>
                <w:rStyle w:val="CharacterStyle7"/>
                <w:i w:val="0"/>
              </w:rPr>
              <w:t>1.123.953,03</w:t>
            </w:r>
          </w:p>
        </w:tc>
        <w:tc>
          <w:tcPr>
            <w:tcW w:w="1980" w:type="dxa"/>
            <w:tcBorders>
              <w:left w:val="single" w:sz="6" w:space="0" w:color="000000"/>
              <w:bottom w:val="single" w:sz="6" w:space="0" w:color="000000"/>
              <w:right w:val="single" w:sz="6" w:space="0" w:color="000000"/>
            </w:tcBorders>
            <w:vAlign w:val="bottom"/>
          </w:tcPr>
          <w:p w14:paraId="1891AA8C" w14:textId="77777777" w:rsidR="002A4BFB" w:rsidRPr="00832B9B" w:rsidRDefault="002A4BFB" w:rsidP="00EA7817">
            <w:pPr>
              <w:pStyle w:val="ParagraphStyle7"/>
              <w:jc w:val="right"/>
              <w:rPr>
                <w:rStyle w:val="CharacterStyle7"/>
                <w:i w:val="0"/>
              </w:rPr>
            </w:pPr>
            <w:r w:rsidRPr="00832B9B">
              <w:rPr>
                <w:rStyle w:val="CharacterStyle7"/>
                <w:i w:val="0"/>
              </w:rPr>
              <w:t>4.822.677,03</w:t>
            </w:r>
          </w:p>
        </w:tc>
        <w:tc>
          <w:tcPr>
            <w:tcW w:w="1995" w:type="dxa"/>
            <w:tcBorders>
              <w:left w:val="single" w:sz="6" w:space="0" w:color="000000"/>
              <w:bottom w:val="single" w:sz="6" w:space="0" w:color="000000"/>
              <w:right w:val="single" w:sz="6" w:space="0" w:color="000000"/>
            </w:tcBorders>
            <w:vAlign w:val="bottom"/>
          </w:tcPr>
          <w:p w14:paraId="27487B81" w14:textId="77777777" w:rsidR="002A4BFB" w:rsidRPr="00832B9B" w:rsidRDefault="002A4BFB" w:rsidP="00EA7817">
            <w:pPr>
              <w:pStyle w:val="ParagraphStyle7"/>
              <w:jc w:val="right"/>
              <w:rPr>
                <w:rStyle w:val="CharacterStyle7"/>
                <w:i w:val="0"/>
              </w:rPr>
            </w:pPr>
            <w:r w:rsidRPr="00832B9B">
              <w:rPr>
                <w:rStyle w:val="CharacterStyle7"/>
                <w:i w:val="0"/>
              </w:rPr>
              <w:t>1.505.677,03</w:t>
            </w:r>
          </w:p>
        </w:tc>
        <w:tc>
          <w:tcPr>
            <w:tcW w:w="390" w:type="dxa"/>
          </w:tcPr>
          <w:p w14:paraId="22B6C8A6" w14:textId="77777777" w:rsidR="002A4BFB" w:rsidRDefault="002A4BFB" w:rsidP="00107D76">
            <w:pPr>
              <w:rPr>
                <w:rStyle w:val="FakeCharacterStyle"/>
              </w:rPr>
            </w:pPr>
          </w:p>
        </w:tc>
      </w:tr>
      <w:tr w:rsidR="002A4BFB" w14:paraId="098B1E41" w14:textId="77777777" w:rsidTr="00107D76">
        <w:trPr>
          <w:trHeight w:val="225"/>
        </w:trPr>
        <w:tc>
          <w:tcPr>
            <w:tcW w:w="4530" w:type="dxa"/>
            <w:tcBorders>
              <w:left w:val="single" w:sz="6" w:space="0" w:color="000000"/>
              <w:bottom w:val="single" w:sz="6" w:space="0" w:color="000000"/>
              <w:right w:val="single" w:sz="6" w:space="0" w:color="000000"/>
            </w:tcBorders>
            <w:shd w:val="clear" w:color="auto" w:fill="DCDCDC"/>
            <w:vAlign w:val="center"/>
          </w:tcPr>
          <w:p w14:paraId="7B1847EC" w14:textId="77777777" w:rsidR="002A4BFB" w:rsidRPr="00832B9B" w:rsidRDefault="002A4BFB" w:rsidP="00EA7817">
            <w:pPr>
              <w:pStyle w:val="ParagraphStyle4"/>
              <w:rPr>
                <w:rStyle w:val="CharacterStyle4"/>
              </w:rPr>
            </w:pPr>
            <w:r w:rsidRPr="00832B9B">
              <w:rPr>
                <w:rStyle w:val="CharacterStyle4"/>
              </w:rPr>
              <w:t>RASHODI UKUPNO</w:t>
            </w:r>
          </w:p>
        </w:tc>
        <w:tc>
          <w:tcPr>
            <w:tcW w:w="1995" w:type="dxa"/>
            <w:tcBorders>
              <w:left w:val="single" w:sz="6" w:space="0" w:color="000000"/>
              <w:bottom w:val="single" w:sz="6" w:space="0" w:color="000000"/>
              <w:right w:val="single" w:sz="6" w:space="0" w:color="000000"/>
            </w:tcBorders>
            <w:shd w:val="clear" w:color="auto" w:fill="DCDCDC"/>
            <w:vAlign w:val="bottom"/>
          </w:tcPr>
          <w:p w14:paraId="6D8C2723" w14:textId="77777777" w:rsidR="002A4BFB" w:rsidRPr="00832B9B" w:rsidRDefault="002A4BFB" w:rsidP="00EA7817">
            <w:pPr>
              <w:pStyle w:val="ParagraphStyle5"/>
              <w:jc w:val="right"/>
              <w:rPr>
                <w:rStyle w:val="CharacterStyle5"/>
              </w:rPr>
            </w:pPr>
            <w:r w:rsidRPr="00832B9B">
              <w:rPr>
                <w:rStyle w:val="CharacterStyle5"/>
              </w:rPr>
              <w:t>36.433.400,28</w:t>
            </w:r>
          </w:p>
        </w:tc>
        <w:tc>
          <w:tcPr>
            <w:tcW w:w="1980" w:type="dxa"/>
            <w:tcBorders>
              <w:left w:val="single" w:sz="6" w:space="0" w:color="000000"/>
              <w:bottom w:val="single" w:sz="6" w:space="0" w:color="000000"/>
              <w:right w:val="single" w:sz="6" w:space="0" w:color="000000"/>
            </w:tcBorders>
            <w:shd w:val="clear" w:color="auto" w:fill="DCDCDC"/>
            <w:vAlign w:val="bottom"/>
          </w:tcPr>
          <w:p w14:paraId="34C6540A" w14:textId="77777777" w:rsidR="002A4BFB" w:rsidRPr="00832B9B" w:rsidRDefault="002A4BFB" w:rsidP="00EA7817">
            <w:pPr>
              <w:pStyle w:val="ParagraphStyle5"/>
              <w:jc w:val="right"/>
              <w:rPr>
                <w:rStyle w:val="CharacterStyle5"/>
              </w:rPr>
            </w:pPr>
            <w:r w:rsidRPr="00832B9B">
              <w:rPr>
                <w:rStyle w:val="CharacterStyle5"/>
              </w:rPr>
              <w:t>64.342.564,00</w:t>
            </w:r>
          </w:p>
        </w:tc>
        <w:tc>
          <w:tcPr>
            <w:tcW w:w="1980" w:type="dxa"/>
            <w:tcBorders>
              <w:left w:val="single" w:sz="6" w:space="0" w:color="000000"/>
              <w:bottom w:val="single" w:sz="6" w:space="0" w:color="000000"/>
              <w:right w:val="single" w:sz="6" w:space="0" w:color="000000"/>
            </w:tcBorders>
            <w:shd w:val="clear" w:color="auto" w:fill="DCDCDC"/>
            <w:vAlign w:val="bottom"/>
          </w:tcPr>
          <w:p w14:paraId="3792D3E2" w14:textId="77777777" w:rsidR="002A4BFB" w:rsidRPr="00832B9B" w:rsidRDefault="002A4BFB" w:rsidP="00EA7817">
            <w:pPr>
              <w:pStyle w:val="ParagraphStyle5"/>
              <w:jc w:val="right"/>
              <w:rPr>
                <w:rStyle w:val="CharacterStyle5"/>
              </w:rPr>
            </w:pPr>
            <w:r w:rsidRPr="00832B9B">
              <w:rPr>
                <w:rStyle w:val="CharacterStyle5"/>
              </w:rPr>
              <w:t>61.300.500,00</w:t>
            </w:r>
          </w:p>
        </w:tc>
        <w:tc>
          <w:tcPr>
            <w:tcW w:w="1980" w:type="dxa"/>
            <w:tcBorders>
              <w:left w:val="single" w:sz="6" w:space="0" w:color="000000"/>
              <w:bottom w:val="single" w:sz="6" w:space="0" w:color="000000"/>
              <w:right w:val="single" w:sz="6" w:space="0" w:color="000000"/>
            </w:tcBorders>
            <w:shd w:val="clear" w:color="auto" w:fill="DCDCDC"/>
            <w:vAlign w:val="bottom"/>
          </w:tcPr>
          <w:p w14:paraId="16D74D2F" w14:textId="77777777" w:rsidR="002A4BFB" w:rsidRPr="00832B9B" w:rsidRDefault="002A4BFB" w:rsidP="00EA7817">
            <w:pPr>
              <w:pStyle w:val="ParagraphStyle5"/>
              <w:jc w:val="right"/>
              <w:rPr>
                <w:rStyle w:val="CharacterStyle5"/>
              </w:rPr>
            </w:pPr>
            <w:r w:rsidRPr="00832B9B">
              <w:rPr>
                <w:rStyle w:val="CharacterStyle5"/>
              </w:rPr>
              <w:t>46.238.000,00</w:t>
            </w:r>
          </w:p>
        </w:tc>
        <w:tc>
          <w:tcPr>
            <w:tcW w:w="1995" w:type="dxa"/>
            <w:tcBorders>
              <w:left w:val="single" w:sz="6" w:space="0" w:color="000000"/>
              <w:bottom w:val="single" w:sz="6" w:space="0" w:color="000000"/>
              <w:right w:val="single" w:sz="6" w:space="0" w:color="000000"/>
            </w:tcBorders>
            <w:shd w:val="clear" w:color="auto" w:fill="DCDCDC"/>
            <w:vAlign w:val="bottom"/>
          </w:tcPr>
          <w:p w14:paraId="5CB8D3DF" w14:textId="77777777" w:rsidR="002A4BFB" w:rsidRPr="00832B9B" w:rsidRDefault="002A4BFB" w:rsidP="00EA7817">
            <w:pPr>
              <w:pStyle w:val="ParagraphStyle5"/>
              <w:jc w:val="right"/>
              <w:rPr>
                <w:rStyle w:val="CharacterStyle5"/>
              </w:rPr>
            </w:pPr>
            <w:r w:rsidRPr="00832B9B">
              <w:rPr>
                <w:rStyle w:val="CharacterStyle5"/>
              </w:rPr>
              <w:t>40.462.500,00</w:t>
            </w:r>
          </w:p>
        </w:tc>
        <w:tc>
          <w:tcPr>
            <w:tcW w:w="390" w:type="dxa"/>
          </w:tcPr>
          <w:p w14:paraId="39A4FD03" w14:textId="77777777" w:rsidR="002A4BFB" w:rsidRDefault="002A4BFB" w:rsidP="00107D76">
            <w:pPr>
              <w:rPr>
                <w:rStyle w:val="FakeCharacterStyle"/>
              </w:rPr>
            </w:pPr>
          </w:p>
        </w:tc>
      </w:tr>
      <w:tr w:rsidR="002A4BFB" w14:paraId="632AD6FD" w14:textId="77777777" w:rsidTr="00107D76">
        <w:trPr>
          <w:trHeight w:val="225"/>
        </w:trPr>
        <w:tc>
          <w:tcPr>
            <w:tcW w:w="4530" w:type="dxa"/>
            <w:tcBorders>
              <w:left w:val="single" w:sz="6" w:space="0" w:color="000000"/>
              <w:bottom w:val="single" w:sz="6" w:space="0" w:color="000000"/>
              <w:right w:val="single" w:sz="6" w:space="0" w:color="000000"/>
            </w:tcBorders>
            <w:vAlign w:val="center"/>
          </w:tcPr>
          <w:p w14:paraId="39146600" w14:textId="77777777" w:rsidR="002A4BFB" w:rsidRPr="00832B9B" w:rsidRDefault="002A4BFB" w:rsidP="00EA7817">
            <w:pPr>
              <w:pStyle w:val="ParagraphStyle6"/>
              <w:jc w:val="left"/>
              <w:rPr>
                <w:rStyle w:val="CharacterStyle6"/>
              </w:rPr>
            </w:pPr>
            <w:r w:rsidRPr="00832B9B">
              <w:rPr>
                <w:rStyle w:val="CharacterStyle6"/>
              </w:rPr>
              <w:t>3 RASHODI POSLOVANJA</w:t>
            </w:r>
          </w:p>
        </w:tc>
        <w:tc>
          <w:tcPr>
            <w:tcW w:w="1995" w:type="dxa"/>
            <w:tcBorders>
              <w:left w:val="single" w:sz="6" w:space="0" w:color="000000"/>
              <w:bottom w:val="single" w:sz="6" w:space="0" w:color="000000"/>
              <w:right w:val="single" w:sz="6" w:space="0" w:color="000000"/>
            </w:tcBorders>
            <w:vAlign w:val="bottom"/>
          </w:tcPr>
          <w:p w14:paraId="5E99E54A" w14:textId="77777777" w:rsidR="002A4BFB" w:rsidRPr="00832B9B" w:rsidRDefault="002A4BFB" w:rsidP="00EA7817">
            <w:pPr>
              <w:pStyle w:val="ParagraphStyle7"/>
              <w:jc w:val="right"/>
              <w:rPr>
                <w:rStyle w:val="CharacterStyle7"/>
                <w:i w:val="0"/>
              </w:rPr>
            </w:pPr>
            <w:r w:rsidRPr="00832B9B">
              <w:rPr>
                <w:rStyle w:val="CharacterStyle7"/>
                <w:i w:val="0"/>
              </w:rPr>
              <w:t>25.776.812,51</w:t>
            </w:r>
          </w:p>
        </w:tc>
        <w:tc>
          <w:tcPr>
            <w:tcW w:w="1980" w:type="dxa"/>
            <w:tcBorders>
              <w:left w:val="single" w:sz="6" w:space="0" w:color="000000"/>
              <w:bottom w:val="single" w:sz="6" w:space="0" w:color="000000"/>
              <w:right w:val="single" w:sz="6" w:space="0" w:color="000000"/>
            </w:tcBorders>
            <w:vAlign w:val="bottom"/>
          </w:tcPr>
          <w:p w14:paraId="50FE392C" w14:textId="77777777" w:rsidR="002A4BFB" w:rsidRPr="00832B9B" w:rsidRDefault="002A4BFB" w:rsidP="00EA7817">
            <w:pPr>
              <w:pStyle w:val="ParagraphStyle7"/>
              <w:jc w:val="right"/>
              <w:rPr>
                <w:rStyle w:val="CharacterStyle7"/>
                <w:i w:val="0"/>
              </w:rPr>
            </w:pPr>
            <w:r w:rsidRPr="00832B9B">
              <w:rPr>
                <w:rStyle w:val="CharacterStyle7"/>
                <w:i w:val="0"/>
              </w:rPr>
              <w:t>34.856.919,98</w:t>
            </w:r>
          </w:p>
        </w:tc>
        <w:tc>
          <w:tcPr>
            <w:tcW w:w="1980" w:type="dxa"/>
            <w:tcBorders>
              <w:left w:val="single" w:sz="6" w:space="0" w:color="000000"/>
              <w:bottom w:val="single" w:sz="6" w:space="0" w:color="000000"/>
              <w:right w:val="single" w:sz="6" w:space="0" w:color="000000"/>
            </w:tcBorders>
            <w:vAlign w:val="bottom"/>
          </w:tcPr>
          <w:p w14:paraId="43E43F66" w14:textId="77777777" w:rsidR="002A4BFB" w:rsidRPr="00832B9B" w:rsidRDefault="002A4BFB" w:rsidP="00EA7817">
            <w:pPr>
              <w:pStyle w:val="ParagraphStyle7"/>
              <w:jc w:val="right"/>
              <w:rPr>
                <w:rStyle w:val="CharacterStyle7"/>
                <w:i w:val="0"/>
              </w:rPr>
            </w:pPr>
            <w:r w:rsidRPr="00832B9B">
              <w:rPr>
                <w:rStyle w:val="CharacterStyle7"/>
                <w:i w:val="0"/>
              </w:rPr>
              <w:t>35.460.041,50</w:t>
            </w:r>
          </w:p>
        </w:tc>
        <w:tc>
          <w:tcPr>
            <w:tcW w:w="1980" w:type="dxa"/>
            <w:tcBorders>
              <w:left w:val="single" w:sz="6" w:space="0" w:color="000000"/>
              <w:bottom w:val="single" w:sz="6" w:space="0" w:color="000000"/>
              <w:right w:val="single" w:sz="6" w:space="0" w:color="000000"/>
            </w:tcBorders>
            <w:vAlign w:val="bottom"/>
          </w:tcPr>
          <w:p w14:paraId="266113E8" w14:textId="77777777" w:rsidR="002A4BFB" w:rsidRPr="00832B9B" w:rsidRDefault="002A4BFB" w:rsidP="00EA7817">
            <w:pPr>
              <w:pStyle w:val="ParagraphStyle7"/>
              <w:jc w:val="right"/>
              <w:rPr>
                <w:rStyle w:val="CharacterStyle7"/>
                <w:i w:val="0"/>
              </w:rPr>
            </w:pPr>
            <w:r w:rsidRPr="00832B9B">
              <w:rPr>
                <w:rStyle w:val="CharacterStyle7"/>
                <w:i w:val="0"/>
              </w:rPr>
              <w:t>35.328.863,05</w:t>
            </w:r>
          </w:p>
        </w:tc>
        <w:tc>
          <w:tcPr>
            <w:tcW w:w="1995" w:type="dxa"/>
            <w:tcBorders>
              <w:left w:val="single" w:sz="6" w:space="0" w:color="000000"/>
              <w:bottom w:val="single" w:sz="6" w:space="0" w:color="000000"/>
              <w:right w:val="single" w:sz="6" w:space="0" w:color="000000"/>
            </w:tcBorders>
            <w:vAlign w:val="bottom"/>
          </w:tcPr>
          <w:p w14:paraId="75457BAD" w14:textId="77777777" w:rsidR="002A4BFB" w:rsidRPr="00832B9B" w:rsidRDefault="002A4BFB" w:rsidP="00EA7817">
            <w:pPr>
              <w:pStyle w:val="ParagraphStyle7"/>
              <w:jc w:val="right"/>
              <w:rPr>
                <w:rStyle w:val="CharacterStyle7"/>
                <w:i w:val="0"/>
              </w:rPr>
            </w:pPr>
            <w:r w:rsidRPr="00832B9B">
              <w:rPr>
                <w:rStyle w:val="CharacterStyle7"/>
                <w:i w:val="0"/>
              </w:rPr>
              <w:t>35.250.057,25</w:t>
            </w:r>
          </w:p>
        </w:tc>
        <w:tc>
          <w:tcPr>
            <w:tcW w:w="390" w:type="dxa"/>
          </w:tcPr>
          <w:p w14:paraId="05A6983C" w14:textId="77777777" w:rsidR="002A4BFB" w:rsidRDefault="002A4BFB" w:rsidP="00107D76">
            <w:pPr>
              <w:rPr>
                <w:rStyle w:val="FakeCharacterStyle"/>
              </w:rPr>
            </w:pPr>
          </w:p>
        </w:tc>
      </w:tr>
      <w:tr w:rsidR="002A4BFB" w14:paraId="2411856D" w14:textId="77777777" w:rsidTr="00107D76">
        <w:trPr>
          <w:trHeight w:val="240"/>
        </w:trPr>
        <w:tc>
          <w:tcPr>
            <w:tcW w:w="4530" w:type="dxa"/>
            <w:tcBorders>
              <w:left w:val="single" w:sz="6" w:space="0" w:color="000000"/>
              <w:bottom w:val="single" w:sz="6" w:space="0" w:color="000000"/>
              <w:right w:val="single" w:sz="6" w:space="0" w:color="000000"/>
            </w:tcBorders>
            <w:vAlign w:val="center"/>
          </w:tcPr>
          <w:p w14:paraId="7D8693A7" w14:textId="77777777" w:rsidR="002A4BFB" w:rsidRPr="00832B9B" w:rsidRDefault="002A4BFB" w:rsidP="00EA7817">
            <w:pPr>
              <w:pStyle w:val="ParagraphStyle6"/>
              <w:jc w:val="left"/>
              <w:rPr>
                <w:rStyle w:val="CharacterStyle6"/>
              </w:rPr>
            </w:pPr>
            <w:r w:rsidRPr="00832B9B">
              <w:rPr>
                <w:rStyle w:val="CharacterStyle6"/>
              </w:rPr>
              <w:t>4 RASHODI ZA NABAVU NEFINANCIJSKE IMOVINE</w:t>
            </w:r>
          </w:p>
        </w:tc>
        <w:tc>
          <w:tcPr>
            <w:tcW w:w="1995" w:type="dxa"/>
            <w:tcBorders>
              <w:left w:val="single" w:sz="6" w:space="0" w:color="000000"/>
              <w:bottom w:val="single" w:sz="6" w:space="0" w:color="000000"/>
              <w:right w:val="single" w:sz="6" w:space="0" w:color="000000"/>
            </w:tcBorders>
            <w:vAlign w:val="bottom"/>
          </w:tcPr>
          <w:p w14:paraId="2EDB7584" w14:textId="77777777" w:rsidR="002A4BFB" w:rsidRPr="00832B9B" w:rsidRDefault="002A4BFB" w:rsidP="00EA7817">
            <w:pPr>
              <w:pStyle w:val="ParagraphStyle7"/>
              <w:jc w:val="right"/>
              <w:rPr>
                <w:rStyle w:val="CharacterStyle7"/>
                <w:i w:val="0"/>
              </w:rPr>
            </w:pPr>
            <w:r w:rsidRPr="00832B9B">
              <w:rPr>
                <w:rStyle w:val="CharacterStyle7"/>
                <w:i w:val="0"/>
              </w:rPr>
              <w:t>10.656.587,77</w:t>
            </w:r>
          </w:p>
        </w:tc>
        <w:tc>
          <w:tcPr>
            <w:tcW w:w="1980" w:type="dxa"/>
            <w:tcBorders>
              <w:left w:val="single" w:sz="6" w:space="0" w:color="000000"/>
              <w:bottom w:val="single" w:sz="6" w:space="0" w:color="000000"/>
              <w:right w:val="single" w:sz="6" w:space="0" w:color="000000"/>
            </w:tcBorders>
            <w:vAlign w:val="bottom"/>
          </w:tcPr>
          <w:p w14:paraId="34380891" w14:textId="77777777" w:rsidR="002A4BFB" w:rsidRPr="00832B9B" w:rsidRDefault="002A4BFB" w:rsidP="00EA7817">
            <w:pPr>
              <w:pStyle w:val="ParagraphStyle7"/>
              <w:jc w:val="right"/>
              <w:rPr>
                <w:rStyle w:val="CharacterStyle7"/>
                <w:i w:val="0"/>
              </w:rPr>
            </w:pPr>
            <w:r w:rsidRPr="00832B9B">
              <w:rPr>
                <w:rStyle w:val="CharacterStyle7"/>
                <w:i w:val="0"/>
              </w:rPr>
              <w:t>29.485.644,02</w:t>
            </w:r>
          </w:p>
        </w:tc>
        <w:tc>
          <w:tcPr>
            <w:tcW w:w="1980" w:type="dxa"/>
            <w:tcBorders>
              <w:left w:val="single" w:sz="6" w:space="0" w:color="000000"/>
              <w:bottom w:val="single" w:sz="6" w:space="0" w:color="000000"/>
              <w:right w:val="single" w:sz="6" w:space="0" w:color="000000"/>
            </w:tcBorders>
            <w:vAlign w:val="bottom"/>
          </w:tcPr>
          <w:p w14:paraId="64AD84AE" w14:textId="77777777" w:rsidR="002A4BFB" w:rsidRPr="00832B9B" w:rsidRDefault="002A4BFB" w:rsidP="00EA7817">
            <w:pPr>
              <w:pStyle w:val="ParagraphStyle7"/>
              <w:jc w:val="right"/>
              <w:rPr>
                <w:rStyle w:val="CharacterStyle7"/>
                <w:i w:val="0"/>
              </w:rPr>
            </w:pPr>
            <w:r w:rsidRPr="00832B9B">
              <w:rPr>
                <w:rStyle w:val="CharacterStyle7"/>
                <w:i w:val="0"/>
              </w:rPr>
              <w:t>25.840.458,50</w:t>
            </w:r>
          </w:p>
        </w:tc>
        <w:tc>
          <w:tcPr>
            <w:tcW w:w="1980" w:type="dxa"/>
            <w:tcBorders>
              <w:left w:val="single" w:sz="6" w:space="0" w:color="000000"/>
              <w:bottom w:val="single" w:sz="6" w:space="0" w:color="000000"/>
              <w:right w:val="single" w:sz="6" w:space="0" w:color="000000"/>
            </w:tcBorders>
            <w:vAlign w:val="bottom"/>
          </w:tcPr>
          <w:p w14:paraId="6FC7F787" w14:textId="77777777" w:rsidR="002A4BFB" w:rsidRPr="00832B9B" w:rsidRDefault="002A4BFB" w:rsidP="00EA7817">
            <w:pPr>
              <w:pStyle w:val="ParagraphStyle7"/>
              <w:jc w:val="right"/>
              <w:rPr>
                <w:rStyle w:val="CharacterStyle7"/>
                <w:i w:val="0"/>
              </w:rPr>
            </w:pPr>
            <w:r w:rsidRPr="00832B9B">
              <w:rPr>
                <w:rStyle w:val="CharacterStyle7"/>
                <w:i w:val="0"/>
              </w:rPr>
              <w:t>10.909.136,95</w:t>
            </w:r>
          </w:p>
        </w:tc>
        <w:tc>
          <w:tcPr>
            <w:tcW w:w="1995" w:type="dxa"/>
            <w:tcBorders>
              <w:left w:val="single" w:sz="6" w:space="0" w:color="000000"/>
              <w:bottom w:val="single" w:sz="6" w:space="0" w:color="000000"/>
              <w:right w:val="single" w:sz="6" w:space="0" w:color="000000"/>
            </w:tcBorders>
            <w:vAlign w:val="bottom"/>
          </w:tcPr>
          <w:p w14:paraId="656FDA98" w14:textId="77777777" w:rsidR="002A4BFB" w:rsidRPr="00832B9B" w:rsidRDefault="002A4BFB" w:rsidP="00EA7817">
            <w:pPr>
              <w:pStyle w:val="ParagraphStyle7"/>
              <w:jc w:val="right"/>
              <w:rPr>
                <w:rStyle w:val="CharacterStyle7"/>
                <w:i w:val="0"/>
              </w:rPr>
            </w:pPr>
            <w:r w:rsidRPr="00832B9B">
              <w:rPr>
                <w:rStyle w:val="CharacterStyle7"/>
                <w:i w:val="0"/>
              </w:rPr>
              <w:t>5.212.442,75</w:t>
            </w:r>
          </w:p>
        </w:tc>
        <w:tc>
          <w:tcPr>
            <w:tcW w:w="390" w:type="dxa"/>
          </w:tcPr>
          <w:p w14:paraId="0F21F06F" w14:textId="77777777" w:rsidR="002A4BFB" w:rsidRDefault="002A4BFB" w:rsidP="00107D76">
            <w:pPr>
              <w:rPr>
                <w:rStyle w:val="FakeCharacterStyle"/>
              </w:rPr>
            </w:pPr>
          </w:p>
        </w:tc>
      </w:tr>
      <w:tr w:rsidR="002A4BFB" w14:paraId="4369655C" w14:textId="77777777" w:rsidTr="00107D76">
        <w:trPr>
          <w:trHeight w:val="225"/>
        </w:trPr>
        <w:tc>
          <w:tcPr>
            <w:tcW w:w="4530" w:type="dxa"/>
            <w:tcBorders>
              <w:left w:val="single" w:sz="6" w:space="0" w:color="000000"/>
              <w:bottom w:val="single" w:sz="6" w:space="0" w:color="000000"/>
              <w:right w:val="single" w:sz="6" w:space="0" w:color="000000"/>
            </w:tcBorders>
            <w:shd w:val="clear" w:color="auto" w:fill="DCDCDC"/>
            <w:vAlign w:val="center"/>
          </w:tcPr>
          <w:p w14:paraId="4F387BCA" w14:textId="77777777" w:rsidR="002A4BFB" w:rsidRPr="00832B9B" w:rsidRDefault="002A4BFB" w:rsidP="00EA7817">
            <w:pPr>
              <w:pStyle w:val="ParagraphStyle4"/>
              <w:rPr>
                <w:rStyle w:val="CharacterStyle4"/>
              </w:rPr>
            </w:pPr>
            <w:r w:rsidRPr="00832B9B">
              <w:rPr>
                <w:rStyle w:val="CharacterStyle4"/>
              </w:rPr>
              <w:t>RAZLIKA - VIŠAK / MANJAK</w:t>
            </w:r>
          </w:p>
        </w:tc>
        <w:tc>
          <w:tcPr>
            <w:tcW w:w="1995" w:type="dxa"/>
            <w:tcBorders>
              <w:left w:val="single" w:sz="6" w:space="0" w:color="000000"/>
              <w:bottom w:val="single" w:sz="6" w:space="0" w:color="000000"/>
              <w:right w:val="single" w:sz="6" w:space="0" w:color="000000"/>
            </w:tcBorders>
            <w:shd w:val="clear" w:color="auto" w:fill="DCDCDC"/>
            <w:vAlign w:val="bottom"/>
          </w:tcPr>
          <w:p w14:paraId="44F1E261" w14:textId="77777777" w:rsidR="002A4BFB" w:rsidRPr="00832B9B" w:rsidRDefault="002A4BFB" w:rsidP="00EA7817">
            <w:pPr>
              <w:pStyle w:val="ParagraphStyle5"/>
              <w:jc w:val="right"/>
              <w:rPr>
                <w:rStyle w:val="CharacterStyle5"/>
              </w:rPr>
            </w:pPr>
            <w:r w:rsidRPr="00832B9B">
              <w:rPr>
                <w:rStyle w:val="CharacterStyle5"/>
              </w:rPr>
              <w:t>-1.488.168,48</w:t>
            </w:r>
          </w:p>
        </w:tc>
        <w:tc>
          <w:tcPr>
            <w:tcW w:w="1980" w:type="dxa"/>
            <w:tcBorders>
              <w:left w:val="single" w:sz="6" w:space="0" w:color="000000"/>
              <w:bottom w:val="single" w:sz="6" w:space="0" w:color="000000"/>
              <w:right w:val="single" w:sz="6" w:space="0" w:color="000000"/>
            </w:tcBorders>
            <w:shd w:val="clear" w:color="auto" w:fill="DCDCDC"/>
            <w:vAlign w:val="bottom"/>
          </w:tcPr>
          <w:p w14:paraId="0E866F98" w14:textId="77777777" w:rsidR="002A4BFB" w:rsidRPr="00832B9B" w:rsidRDefault="002A4BFB" w:rsidP="00EA7817">
            <w:pPr>
              <w:pStyle w:val="ParagraphStyle5"/>
              <w:jc w:val="right"/>
              <w:rPr>
                <w:rStyle w:val="CharacterStyle5"/>
              </w:rPr>
            </w:pPr>
            <w:r w:rsidRPr="00832B9B">
              <w:rPr>
                <w:rStyle w:val="CharacterStyle5"/>
              </w:rPr>
              <w:t>- 18.278.667,74</w:t>
            </w:r>
          </w:p>
        </w:tc>
        <w:tc>
          <w:tcPr>
            <w:tcW w:w="1980" w:type="dxa"/>
            <w:tcBorders>
              <w:left w:val="single" w:sz="6" w:space="0" w:color="000000"/>
              <w:bottom w:val="single" w:sz="6" w:space="0" w:color="000000"/>
              <w:right w:val="single" w:sz="6" w:space="0" w:color="000000"/>
            </w:tcBorders>
            <w:shd w:val="clear" w:color="auto" w:fill="DCDCDC"/>
            <w:vAlign w:val="bottom"/>
          </w:tcPr>
          <w:p w14:paraId="5673D137" w14:textId="77777777" w:rsidR="002A4BFB" w:rsidRPr="00832B9B" w:rsidRDefault="002A4BFB" w:rsidP="00EA7817">
            <w:pPr>
              <w:pStyle w:val="ParagraphStyle5"/>
              <w:jc w:val="right"/>
              <w:rPr>
                <w:rStyle w:val="CharacterStyle5"/>
              </w:rPr>
            </w:pPr>
            <w:r w:rsidRPr="00832B9B">
              <w:rPr>
                <w:rStyle w:val="CharacterStyle5"/>
              </w:rPr>
              <w:t>- 16.079.363,34</w:t>
            </w:r>
          </w:p>
        </w:tc>
        <w:tc>
          <w:tcPr>
            <w:tcW w:w="1980" w:type="dxa"/>
            <w:tcBorders>
              <w:left w:val="single" w:sz="6" w:space="0" w:color="000000"/>
              <w:bottom w:val="single" w:sz="6" w:space="0" w:color="000000"/>
              <w:right w:val="single" w:sz="6" w:space="0" w:color="000000"/>
            </w:tcBorders>
            <w:shd w:val="clear" w:color="auto" w:fill="DCDCDC"/>
            <w:vAlign w:val="bottom"/>
          </w:tcPr>
          <w:p w14:paraId="342E1142" w14:textId="77777777" w:rsidR="002A4BFB" w:rsidRPr="00832B9B" w:rsidRDefault="002A4BFB" w:rsidP="00EA7817">
            <w:pPr>
              <w:pStyle w:val="ParagraphStyle5"/>
              <w:jc w:val="right"/>
              <w:rPr>
                <w:rStyle w:val="CharacterStyle5"/>
              </w:rPr>
            </w:pPr>
            <w:r w:rsidRPr="00832B9B">
              <w:rPr>
                <w:rStyle w:val="CharacterStyle5"/>
              </w:rPr>
              <w:t>50.000,00</w:t>
            </w:r>
          </w:p>
        </w:tc>
        <w:tc>
          <w:tcPr>
            <w:tcW w:w="1995" w:type="dxa"/>
            <w:tcBorders>
              <w:left w:val="single" w:sz="6" w:space="0" w:color="000000"/>
              <w:bottom w:val="single" w:sz="6" w:space="0" w:color="000000"/>
              <w:right w:val="single" w:sz="6" w:space="0" w:color="000000"/>
            </w:tcBorders>
            <w:shd w:val="clear" w:color="auto" w:fill="DCDCDC"/>
            <w:vAlign w:val="bottom"/>
          </w:tcPr>
          <w:p w14:paraId="6658E87E" w14:textId="77777777" w:rsidR="002A4BFB" w:rsidRPr="00832B9B" w:rsidRDefault="002A4BFB" w:rsidP="00EA7817">
            <w:pPr>
              <w:pStyle w:val="ParagraphStyle5"/>
              <w:jc w:val="right"/>
              <w:rPr>
                <w:rStyle w:val="CharacterStyle5"/>
              </w:rPr>
            </w:pPr>
            <w:r w:rsidRPr="00832B9B">
              <w:rPr>
                <w:rStyle w:val="CharacterStyle5"/>
              </w:rPr>
              <w:t>50.000,00</w:t>
            </w:r>
          </w:p>
        </w:tc>
        <w:tc>
          <w:tcPr>
            <w:tcW w:w="390" w:type="dxa"/>
          </w:tcPr>
          <w:p w14:paraId="7BDC099A" w14:textId="77777777" w:rsidR="002A4BFB" w:rsidRDefault="002A4BFB" w:rsidP="00107D76">
            <w:pPr>
              <w:rPr>
                <w:rStyle w:val="FakeCharacterStyle"/>
              </w:rPr>
            </w:pPr>
          </w:p>
        </w:tc>
      </w:tr>
      <w:tr w:rsidR="002A4BFB" w14:paraId="2D578E2D" w14:textId="77777777" w:rsidTr="00107D76">
        <w:trPr>
          <w:trHeight w:val="450"/>
        </w:trPr>
        <w:tc>
          <w:tcPr>
            <w:tcW w:w="14460" w:type="dxa"/>
            <w:gridSpan w:val="6"/>
            <w:tcBorders>
              <w:bottom w:val="single" w:sz="6" w:space="0" w:color="000000"/>
              <w:right w:val="single" w:sz="6" w:space="0" w:color="000000"/>
            </w:tcBorders>
            <w:vAlign w:val="center"/>
          </w:tcPr>
          <w:p w14:paraId="3D62638C" w14:textId="77777777" w:rsidR="002A4BFB" w:rsidRPr="00832B9B" w:rsidRDefault="002A4BFB" w:rsidP="00107D76">
            <w:pPr>
              <w:pStyle w:val="ParagraphStyle3"/>
              <w:rPr>
                <w:rStyle w:val="CharacterStyle3"/>
              </w:rPr>
            </w:pPr>
            <w:r w:rsidRPr="00832B9B">
              <w:rPr>
                <w:rStyle w:val="CharacterStyle1"/>
              </w:rPr>
              <w:t>B) SAŽETAK RAČUNA FINANCIRANJA</w:t>
            </w:r>
          </w:p>
        </w:tc>
        <w:tc>
          <w:tcPr>
            <w:tcW w:w="390" w:type="dxa"/>
          </w:tcPr>
          <w:p w14:paraId="0291C5A2" w14:textId="77777777" w:rsidR="002A4BFB" w:rsidRDefault="002A4BFB" w:rsidP="00107D76">
            <w:pPr>
              <w:rPr>
                <w:rStyle w:val="FakeCharacterStyle"/>
              </w:rPr>
            </w:pPr>
          </w:p>
        </w:tc>
      </w:tr>
      <w:tr w:rsidR="002A4BFB" w14:paraId="2388CFFE" w14:textId="77777777" w:rsidTr="00107D76">
        <w:trPr>
          <w:trHeight w:val="225"/>
        </w:trPr>
        <w:tc>
          <w:tcPr>
            <w:tcW w:w="4530" w:type="dxa"/>
            <w:tcBorders>
              <w:left w:val="single" w:sz="6" w:space="0" w:color="000000"/>
              <w:bottom w:val="single" w:sz="6" w:space="0" w:color="000000"/>
              <w:right w:val="single" w:sz="6" w:space="0" w:color="000000"/>
            </w:tcBorders>
            <w:vAlign w:val="center"/>
          </w:tcPr>
          <w:p w14:paraId="12F62247" w14:textId="77777777" w:rsidR="002A4BFB" w:rsidRPr="00832B9B" w:rsidRDefault="002A4BFB" w:rsidP="00EA7817">
            <w:pPr>
              <w:pStyle w:val="ParagraphStyle9"/>
              <w:jc w:val="left"/>
              <w:rPr>
                <w:rStyle w:val="CharacterStyle9"/>
                <w:i w:val="0"/>
              </w:rPr>
            </w:pPr>
            <w:r w:rsidRPr="00832B9B">
              <w:rPr>
                <w:rStyle w:val="CharacterStyle9"/>
                <w:i w:val="0"/>
              </w:rPr>
              <w:t>8 PRIMICI OD FINANCIJSKE IMOVINE I ZADUŽIVANJA</w:t>
            </w:r>
          </w:p>
        </w:tc>
        <w:tc>
          <w:tcPr>
            <w:tcW w:w="1995" w:type="dxa"/>
            <w:tcBorders>
              <w:left w:val="single" w:sz="6" w:space="0" w:color="000000"/>
              <w:bottom w:val="single" w:sz="6" w:space="0" w:color="000000"/>
              <w:right w:val="single" w:sz="6" w:space="0" w:color="000000"/>
            </w:tcBorders>
            <w:vAlign w:val="bottom"/>
          </w:tcPr>
          <w:p w14:paraId="078DC4AE" w14:textId="77777777" w:rsidR="002A4BFB" w:rsidRPr="00832B9B" w:rsidRDefault="002A4BFB" w:rsidP="00EA7817">
            <w:pPr>
              <w:pStyle w:val="ParagraphStyle7"/>
              <w:jc w:val="right"/>
              <w:rPr>
                <w:rStyle w:val="CharacterStyle7"/>
                <w:i w:val="0"/>
              </w:rPr>
            </w:pPr>
            <w:r w:rsidRPr="00832B9B">
              <w:rPr>
                <w:rStyle w:val="CharacterStyle7"/>
                <w:i w:val="0"/>
              </w:rPr>
              <w:t>0,00</w:t>
            </w:r>
          </w:p>
        </w:tc>
        <w:tc>
          <w:tcPr>
            <w:tcW w:w="1980" w:type="dxa"/>
            <w:tcBorders>
              <w:left w:val="single" w:sz="6" w:space="0" w:color="000000"/>
              <w:bottom w:val="single" w:sz="6" w:space="0" w:color="000000"/>
              <w:right w:val="single" w:sz="6" w:space="0" w:color="000000"/>
            </w:tcBorders>
            <w:vAlign w:val="bottom"/>
          </w:tcPr>
          <w:p w14:paraId="64BEF43E" w14:textId="77777777" w:rsidR="002A4BFB" w:rsidRPr="00832B9B" w:rsidRDefault="002A4BFB" w:rsidP="00EA7817">
            <w:pPr>
              <w:pStyle w:val="ParagraphStyle7"/>
              <w:jc w:val="right"/>
              <w:rPr>
                <w:rStyle w:val="CharacterStyle7"/>
                <w:i w:val="0"/>
              </w:rPr>
            </w:pPr>
            <w:r w:rsidRPr="00832B9B">
              <w:rPr>
                <w:rStyle w:val="CharacterStyle7"/>
                <w:i w:val="0"/>
              </w:rPr>
              <w:t>0,00</w:t>
            </w:r>
          </w:p>
        </w:tc>
        <w:tc>
          <w:tcPr>
            <w:tcW w:w="1980" w:type="dxa"/>
            <w:tcBorders>
              <w:left w:val="single" w:sz="6" w:space="0" w:color="000000"/>
              <w:bottom w:val="single" w:sz="6" w:space="0" w:color="000000"/>
              <w:right w:val="single" w:sz="6" w:space="0" w:color="000000"/>
            </w:tcBorders>
            <w:vAlign w:val="bottom"/>
          </w:tcPr>
          <w:p w14:paraId="0CACCEBC" w14:textId="77777777" w:rsidR="002A4BFB" w:rsidRPr="00832B9B" w:rsidRDefault="002A4BFB" w:rsidP="00EA7817">
            <w:pPr>
              <w:pStyle w:val="ParagraphStyle7"/>
              <w:jc w:val="right"/>
              <w:rPr>
                <w:rStyle w:val="CharacterStyle7"/>
                <w:i w:val="0"/>
              </w:rPr>
            </w:pPr>
            <w:r w:rsidRPr="00832B9B">
              <w:rPr>
                <w:rStyle w:val="CharacterStyle7"/>
                <w:i w:val="0"/>
              </w:rPr>
              <w:t>0,00</w:t>
            </w:r>
          </w:p>
        </w:tc>
        <w:tc>
          <w:tcPr>
            <w:tcW w:w="1980" w:type="dxa"/>
            <w:tcBorders>
              <w:left w:val="single" w:sz="6" w:space="0" w:color="000000"/>
              <w:bottom w:val="single" w:sz="6" w:space="0" w:color="000000"/>
              <w:right w:val="single" w:sz="6" w:space="0" w:color="000000"/>
            </w:tcBorders>
            <w:vAlign w:val="bottom"/>
          </w:tcPr>
          <w:p w14:paraId="5C83BE76" w14:textId="77777777" w:rsidR="002A4BFB" w:rsidRPr="00832B9B" w:rsidRDefault="002A4BFB" w:rsidP="00EA7817">
            <w:pPr>
              <w:pStyle w:val="ParagraphStyle7"/>
              <w:jc w:val="right"/>
              <w:rPr>
                <w:rStyle w:val="CharacterStyle7"/>
                <w:i w:val="0"/>
              </w:rPr>
            </w:pPr>
            <w:r w:rsidRPr="00832B9B">
              <w:rPr>
                <w:rStyle w:val="CharacterStyle7"/>
                <w:i w:val="0"/>
              </w:rPr>
              <w:t>0,00</w:t>
            </w:r>
          </w:p>
        </w:tc>
        <w:tc>
          <w:tcPr>
            <w:tcW w:w="1995" w:type="dxa"/>
            <w:tcBorders>
              <w:left w:val="single" w:sz="6" w:space="0" w:color="000000"/>
              <w:bottom w:val="single" w:sz="6" w:space="0" w:color="000000"/>
              <w:right w:val="single" w:sz="6" w:space="0" w:color="000000"/>
            </w:tcBorders>
            <w:vAlign w:val="bottom"/>
          </w:tcPr>
          <w:p w14:paraId="452EAF9A" w14:textId="77777777" w:rsidR="002A4BFB" w:rsidRPr="00832B9B" w:rsidRDefault="002A4BFB" w:rsidP="00EA7817">
            <w:pPr>
              <w:pStyle w:val="ParagraphStyle7"/>
              <w:jc w:val="right"/>
              <w:rPr>
                <w:rStyle w:val="CharacterStyle7"/>
                <w:i w:val="0"/>
              </w:rPr>
            </w:pPr>
            <w:r w:rsidRPr="00832B9B">
              <w:rPr>
                <w:rStyle w:val="CharacterStyle7"/>
                <w:i w:val="0"/>
              </w:rPr>
              <w:t>0,00</w:t>
            </w:r>
          </w:p>
        </w:tc>
        <w:tc>
          <w:tcPr>
            <w:tcW w:w="390" w:type="dxa"/>
          </w:tcPr>
          <w:p w14:paraId="2B136EA7" w14:textId="77777777" w:rsidR="002A4BFB" w:rsidRDefault="002A4BFB" w:rsidP="00107D76">
            <w:pPr>
              <w:rPr>
                <w:rStyle w:val="FakeCharacterStyle"/>
              </w:rPr>
            </w:pPr>
          </w:p>
        </w:tc>
      </w:tr>
      <w:tr w:rsidR="002A4BFB" w14:paraId="45BD0383" w14:textId="77777777" w:rsidTr="00107D76">
        <w:trPr>
          <w:trHeight w:val="225"/>
        </w:trPr>
        <w:tc>
          <w:tcPr>
            <w:tcW w:w="4530" w:type="dxa"/>
            <w:tcBorders>
              <w:left w:val="single" w:sz="6" w:space="0" w:color="000000"/>
              <w:bottom w:val="single" w:sz="6" w:space="0" w:color="000000"/>
              <w:right w:val="single" w:sz="6" w:space="0" w:color="000000"/>
            </w:tcBorders>
            <w:vAlign w:val="center"/>
          </w:tcPr>
          <w:p w14:paraId="529FF626" w14:textId="77777777" w:rsidR="002A4BFB" w:rsidRPr="00832B9B" w:rsidRDefault="002A4BFB" w:rsidP="00EA7817">
            <w:pPr>
              <w:pStyle w:val="ParagraphStyle9"/>
              <w:jc w:val="left"/>
              <w:rPr>
                <w:rStyle w:val="CharacterStyle9"/>
                <w:i w:val="0"/>
              </w:rPr>
            </w:pPr>
            <w:r w:rsidRPr="00832B9B">
              <w:rPr>
                <w:rStyle w:val="CharacterStyle9"/>
                <w:i w:val="0"/>
              </w:rPr>
              <w:t>5 IZDACI ZA FINANCIJSKU IMOVINU I OTPLATE ZAJMOVA</w:t>
            </w:r>
          </w:p>
        </w:tc>
        <w:tc>
          <w:tcPr>
            <w:tcW w:w="1995" w:type="dxa"/>
            <w:tcBorders>
              <w:left w:val="single" w:sz="6" w:space="0" w:color="000000"/>
              <w:bottom w:val="single" w:sz="6" w:space="0" w:color="000000"/>
              <w:right w:val="single" w:sz="6" w:space="0" w:color="000000"/>
            </w:tcBorders>
            <w:vAlign w:val="bottom"/>
          </w:tcPr>
          <w:p w14:paraId="5DB2F674" w14:textId="77777777" w:rsidR="002A4BFB" w:rsidRPr="00832B9B" w:rsidRDefault="002A4BFB" w:rsidP="00EA7817">
            <w:pPr>
              <w:pStyle w:val="ParagraphStyle7"/>
              <w:jc w:val="right"/>
              <w:rPr>
                <w:rStyle w:val="CharacterStyle7"/>
                <w:i w:val="0"/>
              </w:rPr>
            </w:pPr>
            <w:r w:rsidRPr="00832B9B">
              <w:rPr>
                <w:rStyle w:val="CharacterStyle7"/>
                <w:i w:val="0"/>
              </w:rPr>
              <w:t>-39.824,48</w:t>
            </w:r>
          </w:p>
        </w:tc>
        <w:tc>
          <w:tcPr>
            <w:tcW w:w="1980" w:type="dxa"/>
            <w:tcBorders>
              <w:left w:val="single" w:sz="6" w:space="0" w:color="000000"/>
              <w:bottom w:val="single" w:sz="6" w:space="0" w:color="000000"/>
              <w:right w:val="single" w:sz="6" w:space="0" w:color="000000"/>
            </w:tcBorders>
            <w:vAlign w:val="bottom"/>
          </w:tcPr>
          <w:p w14:paraId="35A5BA80" w14:textId="77777777" w:rsidR="002A4BFB" w:rsidRPr="00832B9B" w:rsidRDefault="002A4BFB" w:rsidP="00EA7817">
            <w:pPr>
              <w:pStyle w:val="ParagraphStyle7"/>
              <w:jc w:val="right"/>
              <w:rPr>
                <w:rStyle w:val="CharacterStyle7"/>
                <w:i w:val="0"/>
              </w:rPr>
            </w:pPr>
            <w:r w:rsidRPr="00832B9B">
              <w:rPr>
                <w:rStyle w:val="CharacterStyle7"/>
                <w:i w:val="0"/>
              </w:rPr>
              <w:t>44.750,00</w:t>
            </w:r>
          </w:p>
        </w:tc>
        <w:tc>
          <w:tcPr>
            <w:tcW w:w="1980" w:type="dxa"/>
            <w:tcBorders>
              <w:left w:val="single" w:sz="6" w:space="0" w:color="000000"/>
              <w:bottom w:val="single" w:sz="6" w:space="0" w:color="000000"/>
              <w:right w:val="single" w:sz="6" w:space="0" w:color="000000"/>
            </w:tcBorders>
            <w:vAlign w:val="bottom"/>
          </w:tcPr>
          <w:p w14:paraId="31F08BBB" w14:textId="77777777" w:rsidR="002A4BFB" w:rsidRPr="00832B9B" w:rsidRDefault="002A4BFB" w:rsidP="00EA7817">
            <w:pPr>
              <w:pStyle w:val="ParagraphStyle7"/>
              <w:jc w:val="right"/>
              <w:rPr>
                <w:rStyle w:val="CharacterStyle7"/>
                <w:i w:val="0"/>
              </w:rPr>
            </w:pPr>
            <w:r w:rsidRPr="00832B9B">
              <w:rPr>
                <w:rStyle w:val="CharacterStyle7"/>
                <w:i w:val="0"/>
              </w:rPr>
              <w:t>50.000,00</w:t>
            </w:r>
          </w:p>
        </w:tc>
        <w:tc>
          <w:tcPr>
            <w:tcW w:w="1980" w:type="dxa"/>
            <w:tcBorders>
              <w:left w:val="single" w:sz="6" w:space="0" w:color="000000"/>
              <w:bottom w:val="single" w:sz="6" w:space="0" w:color="000000"/>
              <w:right w:val="single" w:sz="6" w:space="0" w:color="000000"/>
            </w:tcBorders>
            <w:vAlign w:val="bottom"/>
          </w:tcPr>
          <w:p w14:paraId="742D467E" w14:textId="77777777" w:rsidR="002A4BFB" w:rsidRPr="00832B9B" w:rsidRDefault="002A4BFB" w:rsidP="00EA7817">
            <w:pPr>
              <w:pStyle w:val="ParagraphStyle7"/>
              <w:jc w:val="right"/>
              <w:rPr>
                <w:rStyle w:val="CharacterStyle7"/>
                <w:i w:val="0"/>
              </w:rPr>
            </w:pPr>
            <w:r w:rsidRPr="00832B9B">
              <w:rPr>
                <w:rStyle w:val="CharacterStyle7"/>
                <w:i w:val="0"/>
              </w:rPr>
              <w:t>50.000,00</w:t>
            </w:r>
          </w:p>
        </w:tc>
        <w:tc>
          <w:tcPr>
            <w:tcW w:w="1995" w:type="dxa"/>
            <w:tcBorders>
              <w:left w:val="single" w:sz="6" w:space="0" w:color="000000"/>
              <w:bottom w:val="single" w:sz="6" w:space="0" w:color="000000"/>
              <w:right w:val="single" w:sz="6" w:space="0" w:color="000000"/>
            </w:tcBorders>
            <w:vAlign w:val="bottom"/>
          </w:tcPr>
          <w:p w14:paraId="07F64D82" w14:textId="77777777" w:rsidR="002A4BFB" w:rsidRPr="00832B9B" w:rsidRDefault="002A4BFB" w:rsidP="00EA7817">
            <w:pPr>
              <w:pStyle w:val="ParagraphStyle7"/>
              <w:jc w:val="right"/>
              <w:rPr>
                <w:rStyle w:val="CharacterStyle7"/>
                <w:i w:val="0"/>
              </w:rPr>
            </w:pPr>
            <w:r w:rsidRPr="00832B9B">
              <w:rPr>
                <w:rStyle w:val="CharacterStyle7"/>
                <w:i w:val="0"/>
              </w:rPr>
              <w:t>50.000,00</w:t>
            </w:r>
          </w:p>
        </w:tc>
        <w:tc>
          <w:tcPr>
            <w:tcW w:w="390" w:type="dxa"/>
          </w:tcPr>
          <w:p w14:paraId="0F081FEA" w14:textId="77777777" w:rsidR="002A4BFB" w:rsidRDefault="002A4BFB" w:rsidP="00107D76">
            <w:pPr>
              <w:rPr>
                <w:rStyle w:val="FakeCharacterStyle"/>
              </w:rPr>
            </w:pPr>
          </w:p>
        </w:tc>
      </w:tr>
      <w:tr w:rsidR="002A4BFB" w14:paraId="5B1D861F" w14:textId="77777777" w:rsidTr="00107D76">
        <w:trPr>
          <w:trHeight w:val="225"/>
        </w:trPr>
        <w:tc>
          <w:tcPr>
            <w:tcW w:w="4530" w:type="dxa"/>
            <w:tcBorders>
              <w:left w:val="single" w:sz="6" w:space="0" w:color="000000"/>
              <w:bottom w:val="single" w:sz="6" w:space="0" w:color="000000"/>
              <w:right w:val="single" w:sz="6" w:space="0" w:color="000000"/>
            </w:tcBorders>
            <w:shd w:val="clear" w:color="auto" w:fill="DCDCDC"/>
            <w:vAlign w:val="center"/>
          </w:tcPr>
          <w:p w14:paraId="7F3C9892" w14:textId="77777777" w:rsidR="002A4BFB" w:rsidRPr="00832B9B" w:rsidRDefault="002A4BFB" w:rsidP="00EA7817">
            <w:pPr>
              <w:pStyle w:val="ParagraphStyle4"/>
              <w:rPr>
                <w:rStyle w:val="CharacterStyle4"/>
              </w:rPr>
            </w:pPr>
            <w:r w:rsidRPr="00832B9B">
              <w:rPr>
                <w:rStyle w:val="CharacterStyle4"/>
              </w:rPr>
              <w:t>NETO FINANCIRANJE</w:t>
            </w:r>
          </w:p>
        </w:tc>
        <w:tc>
          <w:tcPr>
            <w:tcW w:w="1995" w:type="dxa"/>
            <w:tcBorders>
              <w:left w:val="single" w:sz="6" w:space="0" w:color="000000"/>
              <w:bottom w:val="single" w:sz="6" w:space="0" w:color="000000"/>
              <w:right w:val="single" w:sz="6" w:space="0" w:color="000000"/>
            </w:tcBorders>
            <w:shd w:val="clear" w:color="auto" w:fill="DCDCDC"/>
            <w:vAlign w:val="bottom"/>
          </w:tcPr>
          <w:p w14:paraId="52B60D07" w14:textId="77777777" w:rsidR="002A4BFB" w:rsidRPr="00832B9B" w:rsidRDefault="002A4BFB" w:rsidP="00EA7817">
            <w:pPr>
              <w:pStyle w:val="ParagraphStyle5"/>
              <w:jc w:val="right"/>
              <w:rPr>
                <w:rStyle w:val="CharacterStyle5"/>
              </w:rPr>
            </w:pPr>
            <w:r w:rsidRPr="00832B9B">
              <w:rPr>
                <w:rStyle w:val="CharacterStyle5"/>
              </w:rPr>
              <w:t>-39.824,48</w:t>
            </w:r>
          </w:p>
        </w:tc>
        <w:tc>
          <w:tcPr>
            <w:tcW w:w="1980" w:type="dxa"/>
            <w:tcBorders>
              <w:left w:val="single" w:sz="6" w:space="0" w:color="000000"/>
              <w:bottom w:val="single" w:sz="6" w:space="0" w:color="000000"/>
              <w:right w:val="single" w:sz="6" w:space="0" w:color="000000"/>
            </w:tcBorders>
            <w:shd w:val="clear" w:color="auto" w:fill="DCDCDC"/>
            <w:vAlign w:val="bottom"/>
          </w:tcPr>
          <w:p w14:paraId="2D1EA647" w14:textId="77777777" w:rsidR="002A4BFB" w:rsidRPr="00832B9B" w:rsidRDefault="002A4BFB" w:rsidP="00EA7817">
            <w:pPr>
              <w:pStyle w:val="ParagraphStyle5"/>
              <w:jc w:val="right"/>
              <w:rPr>
                <w:rStyle w:val="CharacterStyle5"/>
              </w:rPr>
            </w:pPr>
            <w:r w:rsidRPr="00832B9B">
              <w:rPr>
                <w:rStyle w:val="CharacterStyle5"/>
              </w:rPr>
              <w:t>- 44.750,00</w:t>
            </w:r>
          </w:p>
        </w:tc>
        <w:tc>
          <w:tcPr>
            <w:tcW w:w="1980" w:type="dxa"/>
            <w:tcBorders>
              <w:left w:val="single" w:sz="6" w:space="0" w:color="000000"/>
              <w:bottom w:val="single" w:sz="6" w:space="0" w:color="000000"/>
              <w:right w:val="single" w:sz="6" w:space="0" w:color="000000"/>
            </w:tcBorders>
            <w:shd w:val="clear" w:color="auto" w:fill="DCDCDC"/>
            <w:vAlign w:val="bottom"/>
          </w:tcPr>
          <w:p w14:paraId="0BDDB861" w14:textId="77777777" w:rsidR="002A4BFB" w:rsidRPr="00832B9B" w:rsidRDefault="002A4BFB" w:rsidP="00EA7817">
            <w:pPr>
              <w:pStyle w:val="ParagraphStyle5"/>
              <w:jc w:val="right"/>
              <w:rPr>
                <w:rStyle w:val="CharacterStyle5"/>
              </w:rPr>
            </w:pPr>
            <w:r w:rsidRPr="00832B9B">
              <w:rPr>
                <w:rStyle w:val="CharacterStyle5"/>
              </w:rPr>
              <w:t>- 50.000,00</w:t>
            </w:r>
          </w:p>
        </w:tc>
        <w:tc>
          <w:tcPr>
            <w:tcW w:w="1980" w:type="dxa"/>
            <w:tcBorders>
              <w:left w:val="single" w:sz="6" w:space="0" w:color="000000"/>
              <w:bottom w:val="single" w:sz="6" w:space="0" w:color="000000"/>
              <w:right w:val="single" w:sz="6" w:space="0" w:color="000000"/>
            </w:tcBorders>
            <w:shd w:val="clear" w:color="auto" w:fill="DCDCDC"/>
            <w:vAlign w:val="bottom"/>
          </w:tcPr>
          <w:p w14:paraId="53F718C2" w14:textId="77777777" w:rsidR="002A4BFB" w:rsidRPr="00832B9B" w:rsidRDefault="002A4BFB" w:rsidP="00EA7817">
            <w:pPr>
              <w:pStyle w:val="ParagraphStyle5"/>
              <w:jc w:val="right"/>
              <w:rPr>
                <w:rStyle w:val="CharacterStyle5"/>
              </w:rPr>
            </w:pPr>
            <w:r w:rsidRPr="00832B9B">
              <w:rPr>
                <w:rStyle w:val="CharacterStyle5"/>
              </w:rPr>
              <w:t>- 50.000,00</w:t>
            </w:r>
          </w:p>
        </w:tc>
        <w:tc>
          <w:tcPr>
            <w:tcW w:w="1995" w:type="dxa"/>
            <w:tcBorders>
              <w:left w:val="single" w:sz="6" w:space="0" w:color="000000"/>
              <w:bottom w:val="single" w:sz="6" w:space="0" w:color="000000"/>
              <w:right w:val="single" w:sz="6" w:space="0" w:color="000000"/>
            </w:tcBorders>
            <w:shd w:val="clear" w:color="auto" w:fill="DCDCDC"/>
            <w:vAlign w:val="bottom"/>
          </w:tcPr>
          <w:p w14:paraId="497DBB2B" w14:textId="77777777" w:rsidR="002A4BFB" w:rsidRPr="00832B9B" w:rsidRDefault="002A4BFB" w:rsidP="00EA7817">
            <w:pPr>
              <w:pStyle w:val="ParagraphStyle5"/>
              <w:jc w:val="right"/>
              <w:rPr>
                <w:rStyle w:val="CharacterStyle5"/>
              </w:rPr>
            </w:pPr>
            <w:r w:rsidRPr="00832B9B">
              <w:rPr>
                <w:rStyle w:val="CharacterStyle5"/>
              </w:rPr>
              <w:t>- 50.000,00</w:t>
            </w:r>
          </w:p>
        </w:tc>
        <w:tc>
          <w:tcPr>
            <w:tcW w:w="390" w:type="dxa"/>
          </w:tcPr>
          <w:p w14:paraId="778241A6" w14:textId="77777777" w:rsidR="002A4BFB" w:rsidRDefault="002A4BFB" w:rsidP="00107D76">
            <w:pPr>
              <w:rPr>
                <w:rStyle w:val="FakeCharacterStyle"/>
              </w:rPr>
            </w:pPr>
          </w:p>
        </w:tc>
      </w:tr>
      <w:tr w:rsidR="002A4BFB" w14:paraId="08FB7014" w14:textId="77777777" w:rsidTr="00107D76">
        <w:trPr>
          <w:trHeight w:val="240"/>
        </w:trPr>
        <w:tc>
          <w:tcPr>
            <w:tcW w:w="4530" w:type="dxa"/>
            <w:tcBorders>
              <w:left w:val="single" w:sz="6" w:space="0" w:color="000000"/>
              <w:bottom w:val="single" w:sz="6" w:space="0" w:color="000000"/>
              <w:right w:val="single" w:sz="6" w:space="0" w:color="000000"/>
            </w:tcBorders>
            <w:shd w:val="clear" w:color="auto" w:fill="DCDCDC"/>
            <w:vAlign w:val="center"/>
          </w:tcPr>
          <w:p w14:paraId="16AF472E" w14:textId="77777777" w:rsidR="002A4BFB" w:rsidRPr="00832B9B" w:rsidRDefault="002A4BFB" w:rsidP="00EA7817">
            <w:pPr>
              <w:pStyle w:val="ParagraphStyle4"/>
              <w:rPr>
                <w:rStyle w:val="CharacterStyle4"/>
              </w:rPr>
            </w:pPr>
            <w:r w:rsidRPr="00832B9B">
              <w:rPr>
                <w:rStyle w:val="CharacterStyle4"/>
              </w:rPr>
              <w:t>VIŠAK / MANJAK + NETO FINANCIRANJE</w:t>
            </w:r>
          </w:p>
        </w:tc>
        <w:tc>
          <w:tcPr>
            <w:tcW w:w="1995" w:type="dxa"/>
            <w:tcBorders>
              <w:left w:val="single" w:sz="6" w:space="0" w:color="000000"/>
              <w:bottom w:val="single" w:sz="6" w:space="0" w:color="000000"/>
              <w:right w:val="single" w:sz="6" w:space="0" w:color="000000"/>
            </w:tcBorders>
            <w:shd w:val="clear" w:color="auto" w:fill="DCDCDC"/>
            <w:vAlign w:val="bottom"/>
          </w:tcPr>
          <w:p w14:paraId="5D4A631C" w14:textId="77777777" w:rsidR="002A4BFB" w:rsidRPr="00832B9B" w:rsidRDefault="002A4BFB" w:rsidP="00EA7817">
            <w:pPr>
              <w:pStyle w:val="ParagraphStyle5"/>
              <w:jc w:val="right"/>
              <w:rPr>
                <w:rStyle w:val="CharacterStyle5"/>
              </w:rPr>
            </w:pPr>
            <w:r w:rsidRPr="00832B9B">
              <w:rPr>
                <w:rStyle w:val="CharacterStyle5"/>
              </w:rPr>
              <w:t>-1.527.992,96</w:t>
            </w:r>
          </w:p>
        </w:tc>
        <w:tc>
          <w:tcPr>
            <w:tcW w:w="1980" w:type="dxa"/>
            <w:tcBorders>
              <w:left w:val="single" w:sz="6" w:space="0" w:color="000000"/>
              <w:bottom w:val="single" w:sz="6" w:space="0" w:color="000000"/>
              <w:right w:val="single" w:sz="6" w:space="0" w:color="000000"/>
            </w:tcBorders>
            <w:shd w:val="clear" w:color="auto" w:fill="DCDCDC"/>
            <w:vAlign w:val="bottom"/>
          </w:tcPr>
          <w:p w14:paraId="09C91A3E" w14:textId="77777777" w:rsidR="002A4BFB" w:rsidRPr="00832B9B" w:rsidRDefault="002A4BFB" w:rsidP="00EA7817">
            <w:pPr>
              <w:pStyle w:val="ParagraphStyle5"/>
              <w:jc w:val="right"/>
              <w:rPr>
                <w:rStyle w:val="CharacterStyle5"/>
              </w:rPr>
            </w:pPr>
            <w:r w:rsidRPr="00832B9B">
              <w:rPr>
                <w:rStyle w:val="CharacterStyle5"/>
              </w:rPr>
              <w:t>- 18.323.417,74</w:t>
            </w:r>
          </w:p>
        </w:tc>
        <w:tc>
          <w:tcPr>
            <w:tcW w:w="1980" w:type="dxa"/>
            <w:tcBorders>
              <w:left w:val="single" w:sz="6" w:space="0" w:color="000000"/>
              <w:bottom w:val="single" w:sz="6" w:space="0" w:color="000000"/>
              <w:right w:val="single" w:sz="6" w:space="0" w:color="000000"/>
            </w:tcBorders>
            <w:shd w:val="clear" w:color="auto" w:fill="DCDCDC"/>
            <w:vAlign w:val="bottom"/>
          </w:tcPr>
          <w:p w14:paraId="030073AD" w14:textId="77777777" w:rsidR="002A4BFB" w:rsidRPr="00832B9B" w:rsidRDefault="002A4BFB" w:rsidP="00EA7817">
            <w:pPr>
              <w:pStyle w:val="ParagraphStyle5"/>
              <w:jc w:val="right"/>
              <w:rPr>
                <w:rStyle w:val="CharacterStyle5"/>
              </w:rPr>
            </w:pPr>
            <w:r w:rsidRPr="00832B9B">
              <w:rPr>
                <w:rStyle w:val="CharacterStyle5"/>
              </w:rPr>
              <w:t>- 16.129.363,34</w:t>
            </w:r>
          </w:p>
        </w:tc>
        <w:tc>
          <w:tcPr>
            <w:tcW w:w="1980" w:type="dxa"/>
            <w:tcBorders>
              <w:left w:val="single" w:sz="6" w:space="0" w:color="000000"/>
              <w:bottom w:val="single" w:sz="6" w:space="0" w:color="000000"/>
              <w:right w:val="single" w:sz="6" w:space="0" w:color="000000"/>
            </w:tcBorders>
            <w:shd w:val="clear" w:color="auto" w:fill="DCDCDC"/>
            <w:vAlign w:val="bottom"/>
          </w:tcPr>
          <w:p w14:paraId="43625B56" w14:textId="77777777" w:rsidR="002A4BFB" w:rsidRPr="00832B9B" w:rsidRDefault="002A4BFB" w:rsidP="00EA7817">
            <w:pPr>
              <w:pStyle w:val="ParagraphStyle5"/>
              <w:jc w:val="right"/>
              <w:rPr>
                <w:rStyle w:val="CharacterStyle5"/>
              </w:rPr>
            </w:pPr>
            <w:r w:rsidRPr="00832B9B">
              <w:rPr>
                <w:rStyle w:val="CharacterStyle5"/>
              </w:rPr>
              <w:t>0,00</w:t>
            </w:r>
          </w:p>
        </w:tc>
        <w:tc>
          <w:tcPr>
            <w:tcW w:w="1995" w:type="dxa"/>
            <w:tcBorders>
              <w:left w:val="single" w:sz="6" w:space="0" w:color="000000"/>
              <w:bottom w:val="single" w:sz="6" w:space="0" w:color="000000"/>
              <w:right w:val="single" w:sz="6" w:space="0" w:color="000000"/>
            </w:tcBorders>
            <w:shd w:val="clear" w:color="auto" w:fill="DCDCDC"/>
            <w:vAlign w:val="bottom"/>
          </w:tcPr>
          <w:p w14:paraId="2F56C185" w14:textId="77777777" w:rsidR="002A4BFB" w:rsidRPr="00832B9B" w:rsidRDefault="002A4BFB" w:rsidP="00EA7817">
            <w:pPr>
              <w:pStyle w:val="ParagraphStyle5"/>
              <w:jc w:val="right"/>
              <w:rPr>
                <w:rStyle w:val="CharacterStyle5"/>
              </w:rPr>
            </w:pPr>
            <w:r w:rsidRPr="00832B9B">
              <w:rPr>
                <w:rStyle w:val="CharacterStyle5"/>
              </w:rPr>
              <w:t>0,00</w:t>
            </w:r>
          </w:p>
        </w:tc>
        <w:tc>
          <w:tcPr>
            <w:tcW w:w="390" w:type="dxa"/>
          </w:tcPr>
          <w:p w14:paraId="2E4ADC8A" w14:textId="77777777" w:rsidR="002A4BFB" w:rsidRDefault="002A4BFB" w:rsidP="00107D76">
            <w:pPr>
              <w:rPr>
                <w:rStyle w:val="FakeCharacterStyle"/>
              </w:rPr>
            </w:pPr>
          </w:p>
        </w:tc>
      </w:tr>
      <w:tr w:rsidR="002A4BFB" w14:paraId="0C6BBCEC" w14:textId="77777777" w:rsidTr="00107D76">
        <w:trPr>
          <w:trHeight w:val="450"/>
        </w:trPr>
        <w:tc>
          <w:tcPr>
            <w:tcW w:w="14460" w:type="dxa"/>
            <w:gridSpan w:val="6"/>
            <w:tcBorders>
              <w:bottom w:val="single" w:sz="6" w:space="0" w:color="000000"/>
              <w:right w:val="single" w:sz="6" w:space="0" w:color="000000"/>
            </w:tcBorders>
            <w:vAlign w:val="center"/>
          </w:tcPr>
          <w:p w14:paraId="31076FDB" w14:textId="77777777" w:rsidR="002A4BFB" w:rsidRPr="00832B9B" w:rsidRDefault="002A4BFB" w:rsidP="00107D76">
            <w:pPr>
              <w:pStyle w:val="ParagraphStyle3"/>
              <w:rPr>
                <w:rStyle w:val="CharacterStyle3"/>
              </w:rPr>
            </w:pPr>
            <w:r w:rsidRPr="00832B9B">
              <w:rPr>
                <w:rStyle w:val="CharacterStyle1"/>
              </w:rPr>
              <w:t>C) PRENESENI VIŠAK ILI PRENESENI MANJAK</w:t>
            </w:r>
          </w:p>
        </w:tc>
        <w:tc>
          <w:tcPr>
            <w:tcW w:w="390" w:type="dxa"/>
          </w:tcPr>
          <w:p w14:paraId="055AEE11" w14:textId="77777777" w:rsidR="002A4BFB" w:rsidRDefault="002A4BFB" w:rsidP="00107D76">
            <w:pPr>
              <w:rPr>
                <w:rStyle w:val="FakeCharacterStyle"/>
              </w:rPr>
            </w:pPr>
          </w:p>
        </w:tc>
      </w:tr>
      <w:tr w:rsidR="002A4BFB" w14:paraId="3A4EFCEB" w14:textId="77777777" w:rsidTr="00107D76">
        <w:trPr>
          <w:trHeight w:val="225"/>
        </w:trPr>
        <w:tc>
          <w:tcPr>
            <w:tcW w:w="4530" w:type="dxa"/>
            <w:tcBorders>
              <w:left w:val="single" w:sz="6" w:space="0" w:color="000000"/>
              <w:bottom w:val="single" w:sz="6" w:space="0" w:color="000000"/>
              <w:right w:val="single" w:sz="6" w:space="0" w:color="000000"/>
            </w:tcBorders>
            <w:shd w:val="clear" w:color="auto" w:fill="A9A9A9"/>
            <w:vAlign w:val="center"/>
          </w:tcPr>
          <w:p w14:paraId="1C3B6CCC" w14:textId="77777777" w:rsidR="002A4BFB" w:rsidRPr="00832B9B" w:rsidRDefault="002A4BFB" w:rsidP="00107D76">
            <w:pPr>
              <w:pStyle w:val="ParagraphStyle10"/>
              <w:rPr>
                <w:rStyle w:val="CharacterStyle10"/>
              </w:rPr>
            </w:pPr>
            <w:r w:rsidRPr="00832B9B">
              <w:rPr>
                <w:rStyle w:val="CharacterStyle10"/>
              </w:rPr>
              <w:t>PRIJENOS VIŠKA / MANJKA IZ PRETHODNE(IH) GODINA</w:t>
            </w:r>
          </w:p>
        </w:tc>
        <w:tc>
          <w:tcPr>
            <w:tcW w:w="1995" w:type="dxa"/>
            <w:tcBorders>
              <w:left w:val="single" w:sz="6" w:space="0" w:color="000000"/>
              <w:bottom w:val="single" w:sz="6" w:space="0" w:color="000000"/>
              <w:right w:val="single" w:sz="6" w:space="0" w:color="000000"/>
            </w:tcBorders>
            <w:shd w:val="clear" w:color="auto" w:fill="A9A9A9"/>
            <w:vAlign w:val="bottom"/>
          </w:tcPr>
          <w:p w14:paraId="2EC99764" w14:textId="77777777" w:rsidR="002A4BFB" w:rsidRPr="00832B9B" w:rsidRDefault="002A4BFB" w:rsidP="00EA7817">
            <w:pPr>
              <w:pStyle w:val="ParagraphStyle11"/>
              <w:jc w:val="right"/>
              <w:rPr>
                <w:rStyle w:val="CharacterStyle11"/>
              </w:rPr>
            </w:pPr>
            <w:r w:rsidRPr="00832B9B">
              <w:rPr>
                <w:rStyle w:val="CharacterStyle11"/>
              </w:rPr>
              <w:t>19.851.386,54</w:t>
            </w:r>
          </w:p>
        </w:tc>
        <w:tc>
          <w:tcPr>
            <w:tcW w:w="1980" w:type="dxa"/>
            <w:tcBorders>
              <w:left w:val="single" w:sz="6" w:space="0" w:color="000000"/>
              <w:bottom w:val="single" w:sz="6" w:space="0" w:color="000000"/>
              <w:right w:val="single" w:sz="6" w:space="0" w:color="000000"/>
            </w:tcBorders>
            <w:shd w:val="clear" w:color="auto" w:fill="A9A9A9"/>
            <w:vAlign w:val="bottom"/>
          </w:tcPr>
          <w:p w14:paraId="06C1A389" w14:textId="77777777" w:rsidR="002A4BFB" w:rsidRPr="00832B9B" w:rsidRDefault="00992987" w:rsidP="00EA7817">
            <w:pPr>
              <w:pStyle w:val="ParagraphStyle11"/>
              <w:jc w:val="right"/>
              <w:rPr>
                <w:rStyle w:val="CharacterStyle11"/>
              </w:rPr>
            </w:pPr>
            <w:r>
              <w:rPr>
                <w:rStyle w:val="CharacterStyle5"/>
              </w:rPr>
              <w:t>18.323.417,7</w:t>
            </w:r>
            <w:r w:rsidR="002A4BFB" w:rsidRPr="00832B9B">
              <w:rPr>
                <w:rStyle w:val="CharacterStyle5"/>
              </w:rPr>
              <w:t>4</w:t>
            </w:r>
          </w:p>
        </w:tc>
        <w:tc>
          <w:tcPr>
            <w:tcW w:w="1980" w:type="dxa"/>
            <w:tcBorders>
              <w:left w:val="single" w:sz="6" w:space="0" w:color="000000"/>
              <w:bottom w:val="single" w:sz="6" w:space="0" w:color="000000"/>
              <w:right w:val="single" w:sz="6" w:space="0" w:color="000000"/>
            </w:tcBorders>
            <w:shd w:val="clear" w:color="auto" w:fill="A9A9A9"/>
            <w:vAlign w:val="bottom"/>
          </w:tcPr>
          <w:p w14:paraId="4DAB67D4" w14:textId="77777777" w:rsidR="002A4BFB" w:rsidRPr="00832B9B" w:rsidRDefault="002A4BFB" w:rsidP="00EA7817">
            <w:pPr>
              <w:pStyle w:val="ParagraphStyle11"/>
              <w:jc w:val="right"/>
              <w:rPr>
                <w:rStyle w:val="CharacterStyle11"/>
              </w:rPr>
            </w:pPr>
            <w:r w:rsidRPr="00832B9B">
              <w:rPr>
                <w:rStyle w:val="CharacterStyle11"/>
              </w:rPr>
              <w:t>16.129.363,34</w:t>
            </w:r>
          </w:p>
        </w:tc>
        <w:tc>
          <w:tcPr>
            <w:tcW w:w="1980" w:type="dxa"/>
            <w:tcBorders>
              <w:left w:val="single" w:sz="6" w:space="0" w:color="000000"/>
              <w:bottom w:val="single" w:sz="6" w:space="0" w:color="000000"/>
              <w:right w:val="single" w:sz="6" w:space="0" w:color="000000"/>
            </w:tcBorders>
            <w:shd w:val="clear" w:color="auto" w:fill="A9A9A9"/>
            <w:vAlign w:val="bottom"/>
          </w:tcPr>
          <w:p w14:paraId="43BB1E89" w14:textId="77777777" w:rsidR="002A4BFB" w:rsidRPr="00832B9B" w:rsidRDefault="002A4BFB" w:rsidP="00EA7817">
            <w:pPr>
              <w:pStyle w:val="ParagraphStyle11"/>
              <w:jc w:val="right"/>
              <w:rPr>
                <w:rStyle w:val="CharacterStyle11"/>
              </w:rPr>
            </w:pPr>
            <w:r w:rsidRPr="00832B9B">
              <w:rPr>
                <w:rStyle w:val="CharacterStyle11"/>
              </w:rPr>
              <w:t>0,00</w:t>
            </w:r>
          </w:p>
        </w:tc>
        <w:tc>
          <w:tcPr>
            <w:tcW w:w="1995" w:type="dxa"/>
            <w:tcBorders>
              <w:left w:val="single" w:sz="6" w:space="0" w:color="000000"/>
              <w:bottom w:val="single" w:sz="6" w:space="0" w:color="000000"/>
              <w:right w:val="single" w:sz="6" w:space="0" w:color="000000"/>
            </w:tcBorders>
            <w:shd w:val="clear" w:color="auto" w:fill="A9A9A9"/>
            <w:vAlign w:val="bottom"/>
          </w:tcPr>
          <w:p w14:paraId="7C8F4488" w14:textId="77777777" w:rsidR="002A4BFB" w:rsidRPr="00832B9B" w:rsidRDefault="002A4BFB" w:rsidP="00EA7817">
            <w:pPr>
              <w:pStyle w:val="ParagraphStyle11"/>
              <w:jc w:val="right"/>
              <w:rPr>
                <w:rStyle w:val="CharacterStyle11"/>
              </w:rPr>
            </w:pPr>
            <w:r w:rsidRPr="00832B9B">
              <w:rPr>
                <w:rStyle w:val="CharacterStyle11"/>
              </w:rPr>
              <w:t>0,00</w:t>
            </w:r>
          </w:p>
        </w:tc>
        <w:tc>
          <w:tcPr>
            <w:tcW w:w="390" w:type="dxa"/>
          </w:tcPr>
          <w:p w14:paraId="1F4522A6" w14:textId="77777777" w:rsidR="002A4BFB" w:rsidRDefault="002A4BFB" w:rsidP="00107D76">
            <w:pPr>
              <w:rPr>
                <w:rStyle w:val="FakeCharacterStyle"/>
              </w:rPr>
            </w:pPr>
          </w:p>
        </w:tc>
      </w:tr>
      <w:tr w:rsidR="002A4BFB" w14:paraId="4106A8A6" w14:textId="77777777" w:rsidTr="00107D76">
        <w:trPr>
          <w:trHeight w:val="225"/>
        </w:trPr>
        <w:tc>
          <w:tcPr>
            <w:tcW w:w="4530" w:type="dxa"/>
            <w:tcBorders>
              <w:left w:val="single" w:sz="6" w:space="0" w:color="000000"/>
              <w:bottom w:val="single" w:sz="6" w:space="0" w:color="000000"/>
              <w:right w:val="single" w:sz="6" w:space="0" w:color="000000"/>
            </w:tcBorders>
            <w:shd w:val="clear" w:color="auto" w:fill="DCDCDC"/>
            <w:vAlign w:val="center"/>
          </w:tcPr>
          <w:p w14:paraId="03498935" w14:textId="77777777" w:rsidR="002A4BFB" w:rsidRPr="00832B9B" w:rsidRDefault="002A4BFB" w:rsidP="00107D76">
            <w:pPr>
              <w:pStyle w:val="ParagraphStyle4"/>
              <w:rPr>
                <w:rStyle w:val="CharacterStyle4"/>
              </w:rPr>
            </w:pPr>
            <w:r w:rsidRPr="00832B9B">
              <w:rPr>
                <w:rStyle w:val="CharacterStyle4"/>
              </w:rPr>
              <w:t>PRIJENOS VIŠKA / MANJKA U SLJEDEĆE RAZDOBLJE</w:t>
            </w:r>
          </w:p>
        </w:tc>
        <w:tc>
          <w:tcPr>
            <w:tcW w:w="1995" w:type="dxa"/>
            <w:tcBorders>
              <w:left w:val="single" w:sz="6" w:space="0" w:color="000000"/>
              <w:bottom w:val="single" w:sz="6" w:space="0" w:color="000000"/>
              <w:right w:val="single" w:sz="6" w:space="0" w:color="000000"/>
            </w:tcBorders>
            <w:shd w:val="clear" w:color="auto" w:fill="DCDCDC"/>
            <w:vAlign w:val="bottom"/>
          </w:tcPr>
          <w:p w14:paraId="372174D2" w14:textId="77777777" w:rsidR="002A4BFB" w:rsidRPr="00832B9B" w:rsidRDefault="002A4BFB" w:rsidP="00EA7817">
            <w:pPr>
              <w:pStyle w:val="ParagraphStyle5"/>
              <w:jc w:val="right"/>
              <w:rPr>
                <w:rStyle w:val="CharacterStyle5"/>
              </w:rPr>
            </w:pPr>
            <w:r w:rsidRPr="00832B9B">
              <w:rPr>
                <w:rStyle w:val="CharacterStyle5"/>
              </w:rPr>
              <w:t>18.323.393,58</w:t>
            </w:r>
          </w:p>
        </w:tc>
        <w:tc>
          <w:tcPr>
            <w:tcW w:w="1980" w:type="dxa"/>
            <w:tcBorders>
              <w:left w:val="single" w:sz="6" w:space="0" w:color="000000"/>
              <w:bottom w:val="single" w:sz="6" w:space="0" w:color="000000"/>
              <w:right w:val="single" w:sz="6" w:space="0" w:color="000000"/>
            </w:tcBorders>
            <w:shd w:val="clear" w:color="auto" w:fill="DCDCDC"/>
            <w:vAlign w:val="bottom"/>
          </w:tcPr>
          <w:p w14:paraId="198B6978" w14:textId="77777777" w:rsidR="002A4BFB" w:rsidRPr="00832B9B" w:rsidRDefault="002A4BFB" w:rsidP="00EA7817">
            <w:pPr>
              <w:pStyle w:val="ParagraphStyle5"/>
              <w:jc w:val="right"/>
              <w:rPr>
                <w:rStyle w:val="CharacterStyle5"/>
              </w:rPr>
            </w:pPr>
            <w:r w:rsidRPr="00832B9B">
              <w:rPr>
                <w:rStyle w:val="CharacterStyle5"/>
              </w:rPr>
              <w:t>0,00</w:t>
            </w:r>
          </w:p>
        </w:tc>
        <w:tc>
          <w:tcPr>
            <w:tcW w:w="1980" w:type="dxa"/>
            <w:tcBorders>
              <w:left w:val="single" w:sz="6" w:space="0" w:color="000000"/>
              <w:bottom w:val="single" w:sz="6" w:space="0" w:color="000000"/>
              <w:right w:val="single" w:sz="6" w:space="0" w:color="000000"/>
            </w:tcBorders>
            <w:shd w:val="clear" w:color="auto" w:fill="DCDCDC"/>
            <w:vAlign w:val="bottom"/>
          </w:tcPr>
          <w:p w14:paraId="1459EE86" w14:textId="77777777" w:rsidR="002A4BFB" w:rsidRPr="00832B9B" w:rsidRDefault="002A4BFB" w:rsidP="00EA7817">
            <w:pPr>
              <w:pStyle w:val="ParagraphStyle5"/>
              <w:jc w:val="right"/>
              <w:rPr>
                <w:rStyle w:val="CharacterStyle5"/>
              </w:rPr>
            </w:pPr>
            <w:r w:rsidRPr="00832B9B">
              <w:rPr>
                <w:rStyle w:val="CharacterStyle5"/>
              </w:rPr>
              <w:t>0,00</w:t>
            </w:r>
          </w:p>
        </w:tc>
        <w:tc>
          <w:tcPr>
            <w:tcW w:w="1980" w:type="dxa"/>
            <w:tcBorders>
              <w:left w:val="single" w:sz="6" w:space="0" w:color="000000"/>
              <w:bottom w:val="single" w:sz="6" w:space="0" w:color="000000"/>
              <w:right w:val="single" w:sz="6" w:space="0" w:color="000000"/>
            </w:tcBorders>
            <w:shd w:val="clear" w:color="auto" w:fill="DCDCDC"/>
            <w:vAlign w:val="bottom"/>
          </w:tcPr>
          <w:p w14:paraId="59203A8F" w14:textId="77777777" w:rsidR="002A4BFB" w:rsidRPr="00832B9B" w:rsidRDefault="002A4BFB" w:rsidP="00EA7817">
            <w:pPr>
              <w:pStyle w:val="ParagraphStyle5"/>
              <w:jc w:val="right"/>
              <w:rPr>
                <w:rStyle w:val="CharacterStyle5"/>
              </w:rPr>
            </w:pPr>
            <w:r w:rsidRPr="00832B9B">
              <w:rPr>
                <w:rStyle w:val="CharacterStyle5"/>
              </w:rPr>
              <w:t>0,00</w:t>
            </w:r>
          </w:p>
        </w:tc>
        <w:tc>
          <w:tcPr>
            <w:tcW w:w="1995" w:type="dxa"/>
            <w:tcBorders>
              <w:left w:val="single" w:sz="6" w:space="0" w:color="000000"/>
              <w:bottom w:val="single" w:sz="6" w:space="0" w:color="000000"/>
              <w:right w:val="single" w:sz="6" w:space="0" w:color="000000"/>
            </w:tcBorders>
            <w:shd w:val="clear" w:color="auto" w:fill="DCDCDC"/>
            <w:vAlign w:val="bottom"/>
          </w:tcPr>
          <w:p w14:paraId="44735C69" w14:textId="77777777" w:rsidR="002A4BFB" w:rsidRPr="00832B9B" w:rsidRDefault="002A4BFB" w:rsidP="00EA7817">
            <w:pPr>
              <w:pStyle w:val="ParagraphStyle5"/>
              <w:jc w:val="right"/>
              <w:rPr>
                <w:rStyle w:val="CharacterStyle5"/>
              </w:rPr>
            </w:pPr>
            <w:r w:rsidRPr="00832B9B">
              <w:rPr>
                <w:rStyle w:val="CharacterStyle5"/>
              </w:rPr>
              <w:t>0,00</w:t>
            </w:r>
          </w:p>
        </w:tc>
        <w:tc>
          <w:tcPr>
            <w:tcW w:w="390" w:type="dxa"/>
          </w:tcPr>
          <w:p w14:paraId="18AD0788" w14:textId="77777777" w:rsidR="002A4BFB" w:rsidRDefault="002A4BFB" w:rsidP="00107D76">
            <w:pPr>
              <w:rPr>
                <w:rStyle w:val="FakeCharacterStyle"/>
              </w:rPr>
            </w:pPr>
          </w:p>
        </w:tc>
      </w:tr>
      <w:tr w:rsidR="002A4BFB" w14:paraId="002307E8" w14:textId="77777777" w:rsidTr="00107D76">
        <w:trPr>
          <w:trHeight w:val="570"/>
        </w:trPr>
        <w:tc>
          <w:tcPr>
            <w:tcW w:w="4530" w:type="dxa"/>
            <w:tcBorders>
              <w:left w:val="single" w:sz="6" w:space="0" w:color="000000"/>
              <w:bottom w:val="single" w:sz="6" w:space="0" w:color="000000"/>
              <w:right w:val="single" w:sz="6" w:space="0" w:color="000000"/>
            </w:tcBorders>
            <w:shd w:val="clear" w:color="auto" w:fill="DCDCDC"/>
            <w:vAlign w:val="center"/>
          </w:tcPr>
          <w:p w14:paraId="3780C3A5" w14:textId="77777777" w:rsidR="002A4BFB" w:rsidRPr="00832B9B" w:rsidRDefault="002A4BFB" w:rsidP="00107D76">
            <w:pPr>
              <w:pStyle w:val="ParagraphStyle4"/>
              <w:rPr>
                <w:rStyle w:val="CharacterStyle4"/>
              </w:rPr>
            </w:pPr>
            <w:r w:rsidRPr="00832B9B">
              <w:rPr>
                <w:rStyle w:val="CharacterStyle4"/>
              </w:rPr>
              <w:t>VIŠAK / MANJAK + NETO FINANCIRANJE + PRIJENOS VIŠKA / MANJKA IZ PRETHODNE(IH) GODINE - PRIJENOS VIŠKA / MANJKA U SLJEDEĆE RAZDOBLJE</w:t>
            </w:r>
          </w:p>
        </w:tc>
        <w:tc>
          <w:tcPr>
            <w:tcW w:w="1995" w:type="dxa"/>
            <w:tcBorders>
              <w:left w:val="single" w:sz="6" w:space="0" w:color="000000"/>
              <w:bottom w:val="single" w:sz="6" w:space="0" w:color="000000"/>
              <w:right w:val="single" w:sz="6" w:space="0" w:color="000000"/>
            </w:tcBorders>
            <w:shd w:val="clear" w:color="auto" w:fill="DCDCDC"/>
            <w:vAlign w:val="bottom"/>
          </w:tcPr>
          <w:p w14:paraId="61DE5486" w14:textId="77777777" w:rsidR="002A4BFB" w:rsidRPr="00832B9B" w:rsidRDefault="002A4BFB" w:rsidP="00EA7817">
            <w:pPr>
              <w:pStyle w:val="ParagraphStyle5"/>
              <w:jc w:val="right"/>
              <w:rPr>
                <w:rStyle w:val="CharacterStyle5"/>
              </w:rPr>
            </w:pPr>
            <w:r w:rsidRPr="00832B9B">
              <w:rPr>
                <w:rStyle w:val="CharacterStyle5"/>
              </w:rPr>
              <w:t>0,00</w:t>
            </w:r>
          </w:p>
        </w:tc>
        <w:tc>
          <w:tcPr>
            <w:tcW w:w="1980" w:type="dxa"/>
            <w:tcBorders>
              <w:left w:val="single" w:sz="6" w:space="0" w:color="000000"/>
              <w:bottom w:val="single" w:sz="6" w:space="0" w:color="000000"/>
              <w:right w:val="single" w:sz="6" w:space="0" w:color="000000"/>
            </w:tcBorders>
            <w:shd w:val="clear" w:color="auto" w:fill="DCDCDC"/>
            <w:vAlign w:val="bottom"/>
          </w:tcPr>
          <w:p w14:paraId="295D92BD" w14:textId="77777777" w:rsidR="002A4BFB" w:rsidRPr="00832B9B" w:rsidRDefault="002A4BFB" w:rsidP="00EA7817">
            <w:pPr>
              <w:pStyle w:val="ParagraphStyle5"/>
              <w:jc w:val="right"/>
              <w:rPr>
                <w:rStyle w:val="CharacterStyle5"/>
              </w:rPr>
            </w:pPr>
            <w:r w:rsidRPr="00832B9B">
              <w:rPr>
                <w:rStyle w:val="CharacterStyle5"/>
              </w:rPr>
              <w:t>0,00</w:t>
            </w:r>
          </w:p>
        </w:tc>
        <w:tc>
          <w:tcPr>
            <w:tcW w:w="1980" w:type="dxa"/>
            <w:tcBorders>
              <w:left w:val="single" w:sz="6" w:space="0" w:color="000000"/>
              <w:bottom w:val="single" w:sz="6" w:space="0" w:color="000000"/>
              <w:right w:val="single" w:sz="6" w:space="0" w:color="000000"/>
            </w:tcBorders>
            <w:shd w:val="clear" w:color="auto" w:fill="DCDCDC"/>
            <w:vAlign w:val="bottom"/>
          </w:tcPr>
          <w:p w14:paraId="05D33262" w14:textId="77777777" w:rsidR="002A4BFB" w:rsidRPr="00832B9B" w:rsidRDefault="002A4BFB" w:rsidP="00EA7817">
            <w:pPr>
              <w:pStyle w:val="ParagraphStyle5"/>
              <w:jc w:val="right"/>
              <w:rPr>
                <w:rStyle w:val="CharacterStyle5"/>
              </w:rPr>
            </w:pPr>
            <w:r w:rsidRPr="00832B9B">
              <w:rPr>
                <w:rStyle w:val="CharacterStyle5"/>
              </w:rPr>
              <w:t>0,00</w:t>
            </w:r>
          </w:p>
        </w:tc>
        <w:tc>
          <w:tcPr>
            <w:tcW w:w="1980" w:type="dxa"/>
            <w:tcBorders>
              <w:left w:val="single" w:sz="6" w:space="0" w:color="000000"/>
              <w:bottom w:val="single" w:sz="6" w:space="0" w:color="000000"/>
              <w:right w:val="single" w:sz="6" w:space="0" w:color="000000"/>
            </w:tcBorders>
            <w:shd w:val="clear" w:color="auto" w:fill="DCDCDC"/>
            <w:vAlign w:val="bottom"/>
          </w:tcPr>
          <w:p w14:paraId="1240854A" w14:textId="77777777" w:rsidR="002A4BFB" w:rsidRPr="00832B9B" w:rsidRDefault="002A4BFB" w:rsidP="00EA7817">
            <w:pPr>
              <w:pStyle w:val="ParagraphStyle5"/>
              <w:jc w:val="right"/>
              <w:rPr>
                <w:rStyle w:val="CharacterStyle5"/>
              </w:rPr>
            </w:pPr>
            <w:r w:rsidRPr="00832B9B">
              <w:rPr>
                <w:rStyle w:val="CharacterStyle5"/>
              </w:rPr>
              <w:t>0,00</w:t>
            </w:r>
          </w:p>
        </w:tc>
        <w:tc>
          <w:tcPr>
            <w:tcW w:w="1995" w:type="dxa"/>
            <w:tcBorders>
              <w:left w:val="single" w:sz="6" w:space="0" w:color="000000"/>
              <w:bottom w:val="single" w:sz="6" w:space="0" w:color="000000"/>
              <w:right w:val="single" w:sz="6" w:space="0" w:color="000000"/>
            </w:tcBorders>
            <w:shd w:val="clear" w:color="auto" w:fill="DCDCDC"/>
            <w:vAlign w:val="bottom"/>
          </w:tcPr>
          <w:p w14:paraId="50461763" w14:textId="77777777" w:rsidR="002A4BFB" w:rsidRPr="00832B9B" w:rsidRDefault="002A4BFB" w:rsidP="00EA7817">
            <w:pPr>
              <w:pStyle w:val="ParagraphStyle5"/>
              <w:jc w:val="right"/>
              <w:rPr>
                <w:rStyle w:val="CharacterStyle5"/>
              </w:rPr>
            </w:pPr>
            <w:r w:rsidRPr="00832B9B">
              <w:rPr>
                <w:rStyle w:val="CharacterStyle5"/>
              </w:rPr>
              <w:t>0,00</w:t>
            </w:r>
          </w:p>
        </w:tc>
        <w:tc>
          <w:tcPr>
            <w:tcW w:w="390" w:type="dxa"/>
          </w:tcPr>
          <w:p w14:paraId="2BFC10F3" w14:textId="77777777" w:rsidR="002A4BFB" w:rsidRDefault="002A4BFB" w:rsidP="00107D76">
            <w:pPr>
              <w:rPr>
                <w:rStyle w:val="FakeCharacterStyle"/>
              </w:rPr>
            </w:pPr>
          </w:p>
        </w:tc>
      </w:tr>
      <w:tr w:rsidR="002A4BFB" w14:paraId="21B70D86" w14:textId="77777777" w:rsidTr="00107D76">
        <w:trPr>
          <w:trHeight w:val="450"/>
        </w:trPr>
        <w:tc>
          <w:tcPr>
            <w:tcW w:w="14460" w:type="dxa"/>
            <w:gridSpan w:val="6"/>
            <w:tcBorders>
              <w:bottom w:val="single" w:sz="6" w:space="0" w:color="000000"/>
              <w:right w:val="single" w:sz="6" w:space="0" w:color="000000"/>
            </w:tcBorders>
            <w:vAlign w:val="center"/>
          </w:tcPr>
          <w:p w14:paraId="5AF309A6" w14:textId="77777777" w:rsidR="002A4BFB" w:rsidRPr="00832B9B" w:rsidRDefault="002A4BFB" w:rsidP="00107D76">
            <w:pPr>
              <w:pStyle w:val="ParagraphStyle3"/>
              <w:rPr>
                <w:rStyle w:val="CharacterStyle3"/>
              </w:rPr>
            </w:pPr>
            <w:r w:rsidRPr="00832B9B">
              <w:rPr>
                <w:rStyle w:val="CharacterStyle1"/>
              </w:rPr>
              <w:t>D) VIŠEGODIŠNJI PLAN URAVNOTEŽENJA</w:t>
            </w:r>
          </w:p>
        </w:tc>
        <w:tc>
          <w:tcPr>
            <w:tcW w:w="390" w:type="dxa"/>
          </w:tcPr>
          <w:p w14:paraId="38C61241" w14:textId="77777777" w:rsidR="002A4BFB" w:rsidRDefault="002A4BFB" w:rsidP="00107D76">
            <w:pPr>
              <w:rPr>
                <w:rStyle w:val="FakeCharacterStyle"/>
              </w:rPr>
            </w:pPr>
          </w:p>
        </w:tc>
      </w:tr>
      <w:tr w:rsidR="002A4BFB" w14:paraId="033DE829" w14:textId="77777777" w:rsidTr="00107D76">
        <w:trPr>
          <w:trHeight w:val="225"/>
        </w:trPr>
        <w:tc>
          <w:tcPr>
            <w:tcW w:w="4530" w:type="dxa"/>
            <w:tcBorders>
              <w:left w:val="single" w:sz="6" w:space="0" w:color="000000"/>
              <w:bottom w:val="single" w:sz="6" w:space="0" w:color="000000"/>
              <w:right w:val="single" w:sz="6" w:space="0" w:color="000000"/>
            </w:tcBorders>
            <w:shd w:val="clear" w:color="auto" w:fill="A9A9A9"/>
            <w:vAlign w:val="center"/>
          </w:tcPr>
          <w:p w14:paraId="068E9338" w14:textId="77777777" w:rsidR="002A4BFB" w:rsidRPr="00832B9B" w:rsidRDefault="002A4BFB" w:rsidP="00107D76">
            <w:pPr>
              <w:pStyle w:val="ParagraphStyle10"/>
              <w:rPr>
                <w:rStyle w:val="CharacterStyle10"/>
              </w:rPr>
            </w:pPr>
            <w:r w:rsidRPr="00832B9B">
              <w:rPr>
                <w:rStyle w:val="CharacterStyle10"/>
              </w:rPr>
              <w:t>PRIJENOS VIŠKA / MANJKA IZ PRETHODNE(IH) GODINE</w:t>
            </w:r>
          </w:p>
        </w:tc>
        <w:tc>
          <w:tcPr>
            <w:tcW w:w="1995" w:type="dxa"/>
            <w:tcBorders>
              <w:left w:val="single" w:sz="6" w:space="0" w:color="000000"/>
              <w:bottom w:val="single" w:sz="6" w:space="0" w:color="000000"/>
              <w:right w:val="single" w:sz="6" w:space="0" w:color="000000"/>
            </w:tcBorders>
            <w:shd w:val="clear" w:color="auto" w:fill="A9A9A9"/>
            <w:vAlign w:val="bottom"/>
          </w:tcPr>
          <w:p w14:paraId="26B26E0A" w14:textId="77777777" w:rsidR="002A4BFB" w:rsidRPr="00832B9B" w:rsidRDefault="002A4BFB" w:rsidP="00EA7817">
            <w:pPr>
              <w:pStyle w:val="ParagraphStyle11"/>
              <w:jc w:val="right"/>
              <w:rPr>
                <w:rStyle w:val="CharacterStyle11"/>
              </w:rPr>
            </w:pPr>
            <w:r w:rsidRPr="00832B9B">
              <w:rPr>
                <w:rStyle w:val="CharacterStyle11"/>
              </w:rPr>
              <w:t>19.851.386,54</w:t>
            </w:r>
          </w:p>
        </w:tc>
        <w:tc>
          <w:tcPr>
            <w:tcW w:w="1980" w:type="dxa"/>
            <w:tcBorders>
              <w:left w:val="single" w:sz="6" w:space="0" w:color="000000"/>
              <w:bottom w:val="single" w:sz="6" w:space="0" w:color="000000"/>
              <w:right w:val="single" w:sz="6" w:space="0" w:color="000000"/>
            </w:tcBorders>
            <w:shd w:val="clear" w:color="auto" w:fill="A9A9A9"/>
            <w:vAlign w:val="bottom"/>
          </w:tcPr>
          <w:p w14:paraId="26342CEF" w14:textId="77777777" w:rsidR="002A4BFB" w:rsidRPr="00832B9B" w:rsidRDefault="00992987" w:rsidP="00EA7817">
            <w:pPr>
              <w:pStyle w:val="ParagraphStyle11"/>
              <w:jc w:val="right"/>
              <w:rPr>
                <w:rStyle w:val="CharacterStyle11"/>
              </w:rPr>
            </w:pPr>
            <w:r>
              <w:rPr>
                <w:rStyle w:val="CharacterStyle11"/>
              </w:rPr>
              <w:t>18.323.417,7</w:t>
            </w:r>
            <w:r w:rsidR="002A4BFB" w:rsidRPr="00832B9B">
              <w:rPr>
                <w:rStyle w:val="CharacterStyle11"/>
              </w:rPr>
              <w:t>4</w:t>
            </w:r>
          </w:p>
        </w:tc>
        <w:tc>
          <w:tcPr>
            <w:tcW w:w="1980" w:type="dxa"/>
            <w:tcBorders>
              <w:left w:val="single" w:sz="6" w:space="0" w:color="000000"/>
              <w:bottom w:val="single" w:sz="6" w:space="0" w:color="000000"/>
              <w:right w:val="single" w:sz="6" w:space="0" w:color="000000"/>
            </w:tcBorders>
            <w:shd w:val="clear" w:color="auto" w:fill="A9A9A9"/>
            <w:vAlign w:val="bottom"/>
          </w:tcPr>
          <w:p w14:paraId="3AAC8240" w14:textId="77777777" w:rsidR="002A4BFB" w:rsidRPr="00832B9B" w:rsidRDefault="002A4BFB" w:rsidP="00EA7817">
            <w:pPr>
              <w:pStyle w:val="ParagraphStyle11"/>
              <w:jc w:val="right"/>
              <w:rPr>
                <w:rStyle w:val="CharacterStyle11"/>
              </w:rPr>
            </w:pPr>
            <w:r w:rsidRPr="00832B9B">
              <w:rPr>
                <w:rStyle w:val="CharacterStyle11"/>
              </w:rPr>
              <w:t>16.129.363,34</w:t>
            </w:r>
          </w:p>
        </w:tc>
        <w:tc>
          <w:tcPr>
            <w:tcW w:w="1980" w:type="dxa"/>
            <w:tcBorders>
              <w:left w:val="single" w:sz="6" w:space="0" w:color="000000"/>
              <w:bottom w:val="single" w:sz="6" w:space="0" w:color="000000"/>
              <w:right w:val="single" w:sz="6" w:space="0" w:color="000000"/>
            </w:tcBorders>
            <w:shd w:val="clear" w:color="auto" w:fill="A9A9A9"/>
            <w:vAlign w:val="bottom"/>
          </w:tcPr>
          <w:p w14:paraId="070D9849" w14:textId="77777777" w:rsidR="002A4BFB" w:rsidRPr="00832B9B" w:rsidRDefault="002A4BFB" w:rsidP="00EA7817">
            <w:pPr>
              <w:pStyle w:val="ParagraphStyle11"/>
              <w:jc w:val="right"/>
              <w:rPr>
                <w:rStyle w:val="CharacterStyle11"/>
              </w:rPr>
            </w:pPr>
            <w:r w:rsidRPr="00832B9B">
              <w:rPr>
                <w:rStyle w:val="CharacterStyle11"/>
              </w:rPr>
              <w:t>0,00</w:t>
            </w:r>
          </w:p>
        </w:tc>
        <w:tc>
          <w:tcPr>
            <w:tcW w:w="1995" w:type="dxa"/>
            <w:tcBorders>
              <w:left w:val="single" w:sz="6" w:space="0" w:color="000000"/>
              <w:bottom w:val="single" w:sz="6" w:space="0" w:color="000000"/>
              <w:right w:val="single" w:sz="6" w:space="0" w:color="000000"/>
            </w:tcBorders>
            <w:shd w:val="clear" w:color="auto" w:fill="A9A9A9"/>
            <w:vAlign w:val="bottom"/>
          </w:tcPr>
          <w:p w14:paraId="2F97E37D" w14:textId="77777777" w:rsidR="002A4BFB" w:rsidRPr="00832B9B" w:rsidRDefault="002A4BFB" w:rsidP="00EA7817">
            <w:pPr>
              <w:pStyle w:val="ParagraphStyle11"/>
              <w:jc w:val="right"/>
              <w:rPr>
                <w:rStyle w:val="CharacterStyle11"/>
              </w:rPr>
            </w:pPr>
            <w:r w:rsidRPr="00832B9B">
              <w:rPr>
                <w:rStyle w:val="CharacterStyle11"/>
              </w:rPr>
              <w:t>0,00</w:t>
            </w:r>
          </w:p>
        </w:tc>
        <w:tc>
          <w:tcPr>
            <w:tcW w:w="390" w:type="dxa"/>
          </w:tcPr>
          <w:p w14:paraId="70FF0A60" w14:textId="77777777" w:rsidR="002A4BFB" w:rsidRDefault="002A4BFB" w:rsidP="00107D76">
            <w:pPr>
              <w:rPr>
                <w:rStyle w:val="FakeCharacterStyle"/>
              </w:rPr>
            </w:pPr>
          </w:p>
        </w:tc>
      </w:tr>
      <w:tr w:rsidR="002A4BFB" w14:paraId="2CECE44C" w14:textId="77777777" w:rsidTr="00107D76">
        <w:trPr>
          <w:trHeight w:val="405"/>
        </w:trPr>
        <w:tc>
          <w:tcPr>
            <w:tcW w:w="4530" w:type="dxa"/>
            <w:tcBorders>
              <w:left w:val="single" w:sz="6" w:space="0" w:color="000000"/>
              <w:bottom w:val="single" w:sz="6" w:space="0" w:color="000000"/>
              <w:right w:val="single" w:sz="6" w:space="0" w:color="000000"/>
            </w:tcBorders>
            <w:shd w:val="clear" w:color="auto" w:fill="A9A9A9"/>
            <w:vAlign w:val="center"/>
          </w:tcPr>
          <w:p w14:paraId="790013EE" w14:textId="77777777" w:rsidR="002A4BFB" w:rsidRPr="00832B9B" w:rsidRDefault="002A4BFB" w:rsidP="00107D76">
            <w:pPr>
              <w:pStyle w:val="ParagraphStyle10"/>
              <w:rPr>
                <w:rStyle w:val="CharacterStyle10"/>
              </w:rPr>
            </w:pPr>
            <w:r w:rsidRPr="00832B9B">
              <w:rPr>
                <w:rStyle w:val="CharacterStyle10"/>
              </w:rPr>
              <w:t>VIŠAK / MANJAK IZ PRETHODNE(IH) GODINE KOJI ĆE SE RASPOREDITI / POKRITI</w:t>
            </w:r>
          </w:p>
        </w:tc>
        <w:tc>
          <w:tcPr>
            <w:tcW w:w="1995" w:type="dxa"/>
            <w:tcBorders>
              <w:left w:val="single" w:sz="6" w:space="0" w:color="000000"/>
              <w:bottom w:val="single" w:sz="6" w:space="0" w:color="000000"/>
              <w:right w:val="single" w:sz="6" w:space="0" w:color="000000"/>
            </w:tcBorders>
            <w:shd w:val="clear" w:color="auto" w:fill="A9A9A9"/>
            <w:vAlign w:val="bottom"/>
          </w:tcPr>
          <w:p w14:paraId="130983A8" w14:textId="77777777" w:rsidR="002A4BFB" w:rsidRPr="00832B9B" w:rsidRDefault="002A4BFB" w:rsidP="00EA7817">
            <w:pPr>
              <w:pStyle w:val="ParagraphStyle11"/>
              <w:jc w:val="right"/>
              <w:rPr>
                <w:rStyle w:val="CharacterStyle11"/>
              </w:rPr>
            </w:pPr>
            <w:r w:rsidRPr="00832B9B">
              <w:rPr>
                <w:rStyle w:val="CharacterStyle11"/>
              </w:rPr>
              <w:t>0,00</w:t>
            </w:r>
          </w:p>
        </w:tc>
        <w:tc>
          <w:tcPr>
            <w:tcW w:w="1980" w:type="dxa"/>
            <w:tcBorders>
              <w:left w:val="single" w:sz="6" w:space="0" w:color="000000"/>
              <w:bottom w:val="single" w:sz="6" w:space="0" w:color="000000"/>
              <w:right w:val="single" w:sz="6" w:space="0" w:color="000000"/>
            </w:tcBorders>
            <w:shd w:val="clear" w:color="auto" w:fill="A9A9A9"/>
            <w:vAlign w:val="bottom"/>
          </w:tcPr>
          <w:p w14:paraId="6F0C87B0" w14:textId="77777777" w:rsidR="002A4BFB" w:rsidRPr="00832B9B" w:rsidRDefault="002A4BFB" w:rsidP="00EA7817">
            <w:pPr>
              <w:pStyle w:val="ParagraphStyle11"/>
              <w:jc w:val="right"/>
              <w:rPr>
                <w:rStyle w:val="CharacterStyle11"/>
              </w:rPr>
            </w:pPr>
            <w:r w:rsidRPr="00832B9B">
              <w:rPr>
                <w:rStyle w:val="CharacterStyle11"/>
              </w:rPr>
              <w:t>18.323.417,74</w:t>
            </w:r>
          </w:p>
        </w:tc>
        <w:tc>
          <w:tcPr>
            <w:tcW w:w="1980" w:type="dxa"/>
            <w:tcBorders>
              <w:left w:val="single" w:sz="6" w:space="0" w:color="000000"/>
              <w:bottom w:val="single" w:sz="6" w:space="0" w:color="000000"/>
              <w:right w:val="single" w:sz="6" w:space="0" w:color="000000"/>
            </w:tcBorders>
            <w:shd w:val="clear" w:color="auto" w:fill="A9A9A9"/>
            <w:vAlign w:val="bottom"/>
          </w:tcPr>
          <w:p w14:paraId="4EBE6BF7" w14:textId="77777777" w:rsidR="002A4BFB" w:rsidRPr="00832B9B" w:rsidRDefault="002A4BFB" w:rsidP="00EA7817">
            <w:pPr>
              <w:pStyle w:val="ParagraphStyle11"/>
              <w:jc w:val="right"/>
              <w:rPr>
                <w:rStyle w:val="CharacterStyle11"/>
              </w:rPr>
            </w:pPr>
            <w:r w:rsidRPr="00832B9B">
              <w:rPr>
                <w:rStyle w:val="CharacterStyle11"/>
              </w:rPr>
              <w:t>16.129.363,34</w:t>
            </w:r>
          </w:p>
        </w:tc>
        <w:tc>
          <w:tcPr>
            <w:tcW w:w="1980" w:type="dxa"/>
            <w:tcBorders>
              <w:left w:val="single" w:sz="6" w:space="0" w:color="000000"/>
              <w:bottom w:val="single" w:sz="6" w:space="0" w:color="000000"/>
              <w:right w:val="single" w:sz="6" w:space="0" w:color="000000"/>
            </w:tcBorders>
            <w:shd w:val="clear" w:color="auto" w:fill="A9A9A9"/>
            <w:vAlign w:val="bottom"/>
          </w:tcPr>
          <w:p w14:paraId="7A40B479" w14:textId="77777777" w:rsidR="002A4BFB" w:rsidRPr="00832B9B" w:rsidRDefault="002A4BFB" w:rsidP="00EA7817">
            <w:pPr>
              <w:pStyle w:val="ParagraphStyle11"/>
              <w:jc w:val="right"/>
              <w:rPr>
                <w:rStyle w:val="CharacterStyle11"/>
              </w:rPr>
            </w:pPr>
            <w:r w:rsidRPr="00832B9B">
              <w:rPr>
                <w:rStyle w:val="CharacterStyle11"/>
              </w:rPr>
              <w:t>0,00</w:t>
            </w:r>
          </w:p>
        </w:tc>
        <w:tc>
          <w:tcPr>
            <w:tcW w:w="1995" w:type="dxa"/>
            <w:tcBorders>
              <w:left w:val="single" w:sz="6" w:space="0" w:color="000000"/>
              <w:bottom w:val="single" w:sz="6" w:space="0" w:color="000000"/>
              <w:right w:val="single" w:sz="6" w:space="0" w:color="000000"/>
            </w:tcBorders>
            <w:shd w:val="clear" w:color="auto" w:fill="A9A9A9"/>
            <w:vAlign w:val="bottom"/>
          </w:tcPr>
          <w:p w14:paraId="1F588CAE" w14:textId="77777777" w:rsidR="002A4BFB" w:rsidRPr="00832B9B" w:rsidRDefault="002A4BFB" w:rsidP="00EA7817">
            <w:pPr>
              <w:pStyle w:val="ParagraphStyle11"/>
              <w:jc w:val="right"/>
              <w:rPr>
                <w:rStyle w:val="CharacterStyle11"/>
              </w:rPr>
            </w:pPr>
            <w:r w:rsidRPr="00832B9B">
              <w:rPr>
                <w:rStyle w:val="CharacterStyle11"/>
              </w:rPr>
              <w:t>0,00</w:t>
            </w:r>
          </w:p>
        </w:tc>
        <w:tc>
          <w:tcPr>
            <w:tcW w:w="390" w:type="dxa"/>
          </w:tcPr>
          <w:p w14:paraId="2319B978" w14:textId="77777777" w:rsidR="002A4BFB" w:rsidRDefault="002A4BFB" w:rsidP="00107D76">
            <w:pPr>
              <w:rPr>
                <w:rStyle w:val="FakeCharacterStyle"/>
              </w:rPr>
            </w:pPr>
          </w:p>
        </w:tc>
      </w:tr>
      <w:tr w:rsidR="002A4BFB" w14:paraId="3F147F07" w14:textId="77777777" w:rsidTr="00107D76">
        <w:trPr>
          <w:trHeight w:val="225"/>
        </w:trPr>
        <w:tc>
          <w:tcPr>
            <w:tcW w:w="4530" w:type="dxa"/>
            <w:tcBorders>
              <w:left w:val="single" w:sz="6" w:space="0" w:color="000000"/>
              <w:bottom w:val="single" w:sz="6" w:space="0" w:color="000000"/>
              <w:right w:val="single" w:sz="6" w:space="0" w:color="000000"/>
            </w:tcBorders>
            <w:shd w:val="clear" w:color="auto" w:fill="A9A9A9"/>
            <w:vAlign w:val="center"/>
          </w:tcPr>
          <w:p w14:paraId="16FEF7D3" w14:textId="77777777" w:rsidR="002A4BFB" w:rsidRPr="00832B9B" w:rsidRDefault="002A4BFB" w:rsidP="00107D76">
            <w:pPr>
              <w:pStyle w:val="ParagraphStyle10"/>
              <w:rPr>
                <w:rStyle w:val="CharacterStyle10"/>
              </w:rPr>
            </w:pPr>
            <w:r w:rsidRPr="00832B9B">
              <w:rPr>
                <w:rStyle w:val="CharacterStyle10"/>
              </w:rPr>
              <w:t>VIŠAK / MANJAK TEKUĆE GODINE</w:t>
            </w:r>
          </w:p>
        </w:tc>
        <w:tc>
          <w:tcPr>
            <w:tcW w:w="1995" w:type="dxa"/>
            <w:tcBorders>
              <w:left w:val="single" w:sz="6" w:space="0" w:color="000000"/>
              <w:bottom w:val="single" w:sz="6" w:space="0" w:color="000000"/>
              <w:right w:val="single" w:sz="6" w:space="0" w:color="000000"/>
            </w:tcBorders>
            <w:shd w:val="clear" w:color="auto" w:fill="A9A9A9"/>
            <w:vAlign w:val="bottom"/>
          </w:tcPr>
          <w:p w14:paraId="4E7626AE" w14:textId="77777777" w:rsidR="002A4BFB" w:rsidRPr="00832B9B" w:rsidRDefault="002A4BFB" w:rsidP="00EA7817">
            <w:pPr>
              <w:pStyle w:val="ParagraphStyle11"/>
              <w:jc w:val="right"/>
              <w:rPr>
                <w:rStyle w:val="CharacterStyle11"/>
              </w:rPr>
            </w:pPr>
            <w:r w:rsidRPr="00832B9B">
              <w:rPr>
                <w:rStyle w:val="CharacterStyle11"/>
              </w:rPr>
              <w:t>-1.527.992,96</w:t>
            </w:r>
          </w:p>
        </w:tc>
        <w:tc>
          <w:tcPr>
            <w:tcW w:w="1980" w:type="dxa"/>
            <w:tcBorders>
              <w:left w:val="single" w:sz="6" w:space="0" w:color="000000"/>
              <w:bottom w:val="single" w:sz="6" w:space="0" w:color="000000"/>
              <w:right w:val="single" w:sz="6" w:space="0" w:color="000000"/>
            </w:tcBorders>
            <w:shd w:val="clear" w:color="auto" w:fill="A9A9A9"/>
            <w:vAlign w:val="bottom"/>
          </w:tcPr>
          <w:p w14:paraId="25B6B090" w14:textId="77777777" w:rsidR="002A4BFB" w:rsidRPr="00832B9B" w:rsidRDefault="002A4BFB" w:rsidP="00EA7817">
            <w:pPr>
              <w:pStyle w:val="ParagraphStyle11"/>
              <w:jc w:val="right"/>
              <w:rPr>
                <w:rStyle w:val="CharacterStyle11"/>
              </w:rPr>
            </w:pPr>
            <w:r w:rsidRPr="00832B9B">
              <w:rPr>
                <w:rStyle w:val="CharacterStyle11"/>
              </w:rPr>
              <w:t>0,00</w:t>
            </w:r>
          </w:p>
        </w:tc>
        <w:tc>
          <w:tcPr>
            <w:tcW w:w="1980" w:type="dxa"/>
            <w:tcBorders>
              <w:left w:val="single" w:sz="6" w:space="0" w:color="000000"/>
              <w:bottom w:val="single" w:sz="6" w:space="0" w:color="000000"/>
              <w:right w:val="single" w:sz="6" w:space="0" w:color="000000"/>
            </w:tcBorders>
            <w:shd w:val="clear" w:color="auto" w:fill="A9A9A9"/>
            <w:vAlign w:val="bottom"/>
          </w:tcPr>
          <w:p w14:paraId="6CA0457F" w14:textId="77777777" w:rsidR="002A4BFB" w:rsidRPr="00832B9B" w:rsidRDefault="002A4BFB" w:rsidP="00EA7817">
            <w:pPr>
              <w:pStyle w:val="ParagraphStyle11"/>
              <w:jc w:val="right"/>
              <w:rPr>
                <w:rStyle w:val="CharacterStyle11"/>
              </w:rPr>
            </w:pPr>
            <w:r w:rsidRPr="00832B9B">
              <w:rPr>
                <w:rStyle w:val="CharacterStyle11"/>
              </w:rPr>
              <w:t>0,00</w:t>
            </w:r>
          </w:p>
        </w:tc>
        <w:tc>
          <w:tcPr>
            <w:tcW w:w="1980" w:type="dxa"/>
            <w:tcBorders>
              <w:left w:val="single" w:sz="6" w:space="0" w:color="000000"/>
              <w:bottom w:val="single" w:sz="6" w:space="0" w:color="000000"/>
              <w:right w:val="single" w:sz="6" w:space="0" w:color="000000"/>
            </w:tcBorders>
            <w:shd w:val="clear" w:color="auto" w:fill="A9A9A9"/>
            <w:vAlign w:val="bottom"/>
          </w:tcPr>
          <w:p w14:paraId="5B971A63" w14:textId="77777777" w:rsidR="002A4BFB" w:rsidRPr="00832B9B" w:rsidRDefault="002A4BFB" w:rsidP="00EA7817">
            <w:pPr>
              <w:pStyle w:val="ParagraphStyle11"/>
              <w:jc w:val="right"/>
              <w:rPr>
                <w:rStyle w:val="CharacterStyle11"/>
              </w:rPr>
            </w:pPr>
            <w:r w:rsidRPr="00832B9B">
              <w:rPr>
                <w:rStyle w:val="CharacterStyle11"/>
              </w:rPr>
              <w:t>0,00</w:t>
            </w:r>
          </w:p>
        </w:tc>
        <w:tc>
          <w:tcPr>
            <w:tcW w:w="1995" w:type="dxa"/>
            <w:tcBorders>
              <w:left w:val="single" w:sz="6" w:space="0" w:color="000000"/>
              <w:bottom w:val="single" w:sz="6" w:space="0" w:color="000000"/>
              <w:right w:val="single" w:sz="6" w:space="0" w:color="000000"/>
            </w:tcBorders>
            <w:shd w:val="clear" w:color="auto" w:fill="A9A9A9"/>
            <w:vAlign w:val="bottom"/>
          </w:tcPr>
          <w:p w14:paraId="4EDC2E8B" w14:textId="77777777" w:rsidR="002A4BFB" w:rsidRPr="00832B9B" w:rsidRDefault="002A4BFB" w:rsidP="00EA7817">
            <w:pPr>
              <w:pStyle w:val="ParagraphStyle11"/>
              <w:jc w:val="right"/>
              <w:rPr>
                <w:rStyle w:val="CharacterStyle11"/>
              </w:rPr>
            </w:pPr>
            <w:r w:rsidRPr="00832B9B">
              <w:rPr>
                <w:rStyle w:val="CharacterStyle11"/>
              </w:rPr>
              <w:t>0,00</w:t>
            </w:r>
          </w:p>
        </w:tc>
        <w:tc>
          <w:tcPr>
            <w:tcW w:w="390" w:type="dxa"/>
          </w:tcPr>
          <w:p w14:paraId="6FF25785" w14:textId="77777777" w:rsidR="002A4BFB" w:rsidRDefault="002A4BFB" w:rsidP="00107D76">
            <w:pPr>
              <w:rPr>
                <w:rStyle w:val="FakeCharacterStyle"/>
              </w:rPr>
            </w:pPr>
          </w:p>
        </w:tc>
      </w:tr>
      <w:tr w:rsidR="002A4BFB" w14:paraId="571D51AA" w14:textId="77777777" w:rsidTr="00107D76">
        <w:trPr>
          <w:trHeight w:val="225"/>
        </w:trPr>
        <w:tc>
          <w:tcPr>
            <w:tcW w:w="4530" w:type="dxa"/>
            <w:tcBorders>
              <w:left w:val="single" w:sz="6" w:space="0" w:color="000000"/>
              <w:bottom w:val="single" w:sz="6" w:space="0" w:color="000000"/>
              <w:right w:val="single" w:sz="6" w:space="0" w:color="000000"/>
            </w:tcBorders>
            <w:shd w:val="clear" w:color="auto" w:fill="DCDCDC"/>
            <w:vAlign w:val="center"/>
          </w:tcPr>
          <w:p w14:paraId="105A172C" w14:textId="77777777" w:rsidR="002A4BFB" w:rsidRPr="00832B9B" w:rsidRDefault="002A4BFB" w:rsidP="00107D76">
            <w:pPr>
              <w:pStyle w:val="ParagraphStyle4"/>
              <w:rPr>
                <w:rStyle w:val="CharacterStyle4"/>
              </w:rPr>
            </w:pPr>
            <w:r w:rsidRPr="00832B9B">
              <w:rPr>
                <w:rStyle w:val="CharacterStyle4"/>
              </w:rPr>
              <w:t>PRIJENOS VIŠKA / MANJKA U SLJEDEĆE RAZDOBLJE</w:t>
            </w:r>
          </w:p>
        </w:tc>
        <w:tc>
          <w:tcPr>
            <w:tcW w:w="1995" w:type="dxa"/>
            <w:tcBorders>
              <w:left w:val="single" w:sz="6" w:space="0" w:color="000000"/>
              <w:bottom w:val="single" w:sz="6" w:space="0" w:color="000000"/>
              <w:right w:val="single" w:sz="6" w:space="0" w:color="000000"/>
            </w:tcBorders>
            <w:shd w:val="clear" w:color="auto" w:fill="DCDCDC"/>
            <w:vAlign w:val="bottom"/>
          </w:tcPr>
          <w:p w14:paraId="6B37AE7A" w14:textId="77777777" w:rsidR="002A4BFB" w:rsidRPr="00832B9B" w:rsidRDefault="002A4BFB" w:rsidP="00EA7817">
            <w:pPr>
              <w:pStyle w:val="ParagraphStyle5"/>
              <w:jc w:val="right"/>
              <w:rPr>
                <w:rStyle w:val="CharacterStyle5"/>
              </w:rPr>
            </w:pPr>
            <w:r w:rsidRPr="00832B9B">
              <w:rPr>
                <w:rStyle w:val="CharacterStyle5"/>
              </w:rPr>
              <w:t>18.323.393,58</w:t>
            </w:r>
          </w:p>
        </w:tc>
        <w:tc>
          <w:tcPr>
            <w:tcW w:w="1980" w:type="dxa"/>
            <w:tcBorders>
              <w:left w:val="single" w:sz="6" w:space="0" w:color="000000"/>
              <w:bottom w:val="single" w:sz="6" w:space="0" w:color="000000"/>
              <w:right w:val="single" w:sz="6" w:space="0" w:color="000000"/>
            </w:tcBorders>
            <w:shd w:val="clear" w:color="auto" w:fill="DCDCDC"/>
            <w:vAlign w:val="bottom"/>
          </w:tcPr>
          <w:p w14:paraId="522D60B3" w14:textId="77777777" w:rsidR="002A4BFB" w:rsidRPr="00832B9B" w:rsidRDefault="002A4BFB" w:rsidP="00EA7817">
            <w:pPr>
              <w:pStyle w:val="ParagraphStyle5"/>
              <w:jc w:val="right"/>
              <w:rPr>
                <w:rStyle w:val="CharacterStyle5"/>
              </w:rPr>
            </w:pPr>
            <w:r w:rsidRPr="00832B9B">
              <w:rPr>
                <w:rStyle w:val="CharacterStyle5"/>
              </w:rPr>
              <w:t>0,00</w:t>
            </w:r>
          </w:p>
        </w:tc>
        <w:tc>
          <w:tcPr>
            <w:tcW w:w="1980" w:type="dxa"/>
            <w:tcBorders>
              <w:left w:val="single" w:sz="6" w:space="0" w:color="000000"/>
              <w:bottom w:val="single" w:sz="6" w:space="0" w:color="000000"/>
              <w:right w:val="single" w:sz="6" w:space="0" w:color="000000"/>
            </w:tcBorders>
            <w:shd w:val="clear" w:color="auto" w:fill="DCDCDC"/>
            <w:vAlign w:val="bottom"/>
          </w:tcPr>
          <w:p w14:paraId="31E39FE6" w14:textId="77777777" w:rsidR="002A4BFB" w:rsidRPr="00832B9B" w:rsidRDefault="002A4BFB" w:rsidP="00EA7817">
            <w:pPr>
              <w:pStyle w:val="ParagraphStyle5"/>
              <w:jc w:val="right"/>
              <w:rPr>
                <w:rStyle w:val="CharacterStyle5"/>
              </w:rPr>
            </w:pPr>
            <w:r w:rsidRPr="00832B9B">
              <w:rPr>
                <w:rStyle w:val="CharacterStyle5"/>
              </w:rPr>
              <w:t>0,00</w:t>
            </w:r>
          </w:p>
        </w:tc>
        <w:tc>
          <w:tcPr>
            <w:tcW w:w="1980" w:type="dxa"/>
            <w:tcBorders>
              <w:left w:val="single" w:sz="6" w:space="0" w:color="000000"/>
              <w:bottom w:val="single" w:sz="6" w:space="0" w:color="000000"/>
              <w:right w:val="single" w:sz="6" w:space="0" w:color="000000"/>
            </w:tcBorders>
            <w:shd w:val="clear" w:color="auto" w:fill="DCDCDC"/>
            <w:vAlign w:val="bottom"/>
          </w:tcPr>
          <w:p w14:paraId="047A117A" w14:textId="77777777" w:rsidR="002A4BFB" w:rsidRPr="00832B9B" w:rsidRDefault="002A4BFB" w:rsidP="00EA7817">
            <w:pPr>
              <w:pStyle w:val="ParagraphStyle5"/>
              <w:jc w:val="right"/>
              <w:rPr>
                <w:rStyle w:val="CharacterStyle5"/>
              </w:rPr>
            </w:pPr>
            <w:r w:rsidRPr="00832B9B">
              <w:rPr>
                <w:rStyle w:val="CharacterStyle5"/>
              </w:rPr>
              <w:t>0,00</w:t>
            </w:r>
          </w:p>
        </w:tc>
        <w:tc>
          <w:tcPr>
            <w:tcW w:w="1995" w:type="dxa"/>
            <w:tcBorders>
              <w:left w:val="single" w:sz="6" w:space="0" w:color="000000"/>
              <w:bottom w:val="single" w:sz="6" w:space="0" w:color="000000"/>
              <w:right w:val="single" w:sz="6" w:space="0" w:color="000000"/>
            </w:tcBorders>
            <w:shd w:val="clear" w:color="auto" w:fill="DCDCDC"/>
            <w:vAlign w:val="bottom"/>
          </w:tcPr>
          <w:p w14:paraId="59FD1D68" w14:textId="77777777" w:rsidR="002A4BFB" w:rsidRPr="00832B9B" w:rsidRDefault="002A4BFB" w:rsidP="00EA7817">
            <w:pPr>
              <w:pStyle w:val="ParagraphStyle5"/>
              <w:jc w:val="right"/>
              <w:rPr>
                <w:rStyle w:val="CharacterStyle5"/>
              </w:rPr>
            </w:pPr>
            <w:r w:rsidRPr="00832B9B">
              <w:rPr>
                <w:rStyle w:val="CharacterStyle5"/>
              </w:rPr>
              <w:t>0,00</w:t>
            </w:r>
          </w:p>
        </w:tc>
        <w:tc>
          <w:tcPr>
            <w:tcW w:w="390" w:type="dxa"/>
          </w:tcPr>
          <w:p w14:paraId="5E5DFF70" w14:textId="77777777" w:rsidR="002A4BFB" w:rsidRDefault="002A4BFB" w:rsidP="00107D76">
            <w:pPr>
              <w:rPr>
                <w:rStyle w:val="FakeCharacterStyle"/>
              </w:rPr>
            </w:pPr>
          </w:p>
        </w:tc>
      </w:tr>
      <w:tr w:rsidR="002A4BFB" w:rsidRPr="0085388E" w14:paraId="784A4733" w14:textId="77777777" w:rsidTr="00107D76">
        <w:trPr>
          <w:trHeight w:val="315"/>
        </w:trPr>
        <w:tc>
          <w:tcPr>
            <w:tcW w:w="14850" w:type="dxa"/>
            <w:gridSpan w:val="7"/>
            <w:vAlign w:val="center"/>
          </w:tcPr>
          <w:p w14:paraId="1AD2C8C4" w14:textId="77777777" w:rsidR="002A4BFB" w:rsidRDefault="002A4BFB" w:rsidP="00107D76">
            <w:pPr>
              <w:pStyle w:val="ParagraphStyle0"/>
              <w:rPr>
                <w:rFonts w:ascii="Arial" w:eastAsia="Arial" w:hAnsi="Arial" w:cs="Arial"/>
                <w:b/>
                <w:noProof/>
                <w:color w:val="000000"/>
                <w:sz w:val="20"/>
              </w:rPr>
            </w:pPr>
            <w:r>
              <w:lastRenderedPageBreak/>
              <w:br w:type="page"/>
            </w:r>
            <w:r w:rsidRPr="0085388E">
              <w:rPr>
                <w:rFonts w:ascii="Arial" w:eastAsia="Arial" w:hAnsi="Arial" w:cs="Arial"/>
                <w:b/>
                <w:noProof/>
                <w:color w:val="000000"/>
                <w:sz w:val="20"/>
              </w:rPr>
              <w:t>Članak 2.</w:t>
            </w:r>
          </w:p>
          <w:p w14:paraId="236CD129" w14:textId="77777777" w:rsidR="002A4BFB" w:rsidRDefault="002A4BFB" w:rsidP="00107D76">
            <w:pPr>
              <w:pStyle w:val="ParagraphStyle0"/>
              <w:rPr>
                <w:rFonts w:ascii="Arial" w:eastAsia="Arial" w:hAnsi="Arial" w:cs="Arial"/>
                <w:b/>
                <w:noProof/>
                <w:color w:val="000000"/>
                <w:sz w:val="20"/>
              </w:rPr>
            </w:pPr>
          </w:p>
          <w:tbl>
            <w:tblPr>
              <w:tblW w:w="15049" w:type="dxa"/>
              <w:tblLayout w:type="fixed"/>
              <w:tblCellMar>
                <w:top w:w="15" w:type="dxa"/>
                <w:bottom w:w="15" w:type="dxa"/>
              </w:tblCellMar>
              <w:tblLook w:val="04A0" w:firstRow="1" w:lastRow="0" w:firstColumn="1" w:lastColumn="0" w:noHBand="0" w:noVBand="1"/>
            </w:tblPr>
            <w:tblGrid>
              <w:gridCol w:w="15049"/>
            </w:tblGrid>
            <w:tr w:rsidR="002A4BFB" w:rsidRPr="0085388E" w14:paraId="545BACB0" w14:textId="77777777" w:rsidTr="00107D76">
              <w:trPr>
                <w:trHeight w:val="509"/>
              </w:trPr>
              <w:tc>
                <w:tcPr>
                  <w:tcW w:w="15049" w:type="dxa"/>
                  <w:vMerge w:val="restart"/>
                  <w:tcBorders>
                    <w:top w:val="nil"/>
                    <w:left w:val="nil"/>
                    <w:bottom w:val="nil"/>
                    <w:right w:val="nil"/>
                  </w:tcBorders>
                  <w:hideMark/>
                </w:tcPr>
                <w:p w14:paraId="20A0D016" w14:textId="77777777" w:rsidR="002A4BFB" w:rsidRPr="0085388E" w:rsidRDefault="002A4BFB" w:rsidP="00107D76">
                  <w:pPr>
                    <w:spacing w:after="240"/>
                    <w:jc w:val="center"/>
                    <w:rPr>
                      <w:rFonts w:eastAsia="Times New Roman"/>
                      <w:color w:val="000000"/>
                      <w:szCs w:val="22"/>
                    </w:rPr>
                  </w:pPr>
                  <w:r w:rsidRPr="0085388E">
                    <w:rPr>
                      <w:rFonts w:eastAsia="Times New Roman"/>
                      <w:color w:val="000000"/>
                      <w:szCs w:val="22"/>
                    </w:rPr>
                    <w:t>Prihodi i rashodi po razredima, skupinama utvrđuju se u Računu prihoda i rashoda, a primici</w:t>
                  </w:r>
                  <w:r>
                    <w:rPr>
                      <w:rFonts w:eastAsia="Times New Roman"/>
                      <w:color w:val="000000"/>
                      <w:szCs w:val="22"/>
                    </w:rPr>
                    <w:t xml:space="preserve"> </w:t>
                  </w:r>
                  <w:r w:rsidRPr="0085388E">
                    <w:rPr>
                      <w:rFonts w:eastAsia="Times New Roman"/>
                      <w:color w:val="000000"/>
                      <w:szCs w:val="22"/>
                    </w:rPr>
                    <w:t>i izdaci po razredima, skupinama utvrđuju se u Računu financiranja.</w:t>
                  </w:r>
                </w:p>
              </w:tc>
            </w:tr>
            <w:tr w:rsidR="002A4BFB" w:rsidRPr="0085388E" w14:paraId="0C711B74" w14:textId="77777777" w:rsidTr="00107D76">
              <w:trPr>
                <w:trHeight w:val="269"/>
              </w:trPr>
              <w:tc>
                <w:tcPr>
                  <w:tcW w:w="15049" w:type="dxa"/>
                  <w:vMerge/>
                  <w:tcBorders>
                    <w:top w:val="nil"/>
                    <w:left w:val="nil"/>
                    <w:bottom w:val="nil"/>
                    <w:right w:val="nil"/>
                  </w:tcBorders>
                  <w:vAlign w:val="center"/>
                  <w:hideMark/>
                </w:tcPr>
                <w:p w14:paraId="5BFCCDD4" w14:textId="77777777" w:rsidR="002A4BFB" w:rsidRPr="0085388E" w:rsidRDefault="002A4BFB" w:rsidP="00107D76">
                  <w:pPr>
                    <w:rPr>
                      <w:rFonts w:eastAsia="Times New Roman"/>
                      <w:color w:val="000000"/>
                      <w:szCs w:val="22"/>
                    </w:rPr>
                  </w:pPr>
                </w:p>
              </w:tc>
            </w:tr>
            <w:tr w:rsidR="002A4BFB" w:rsidRPr="0085388E" w14:paraId="59D5D193" w14:textId="77777777" w:rsidTr="00107D76">
              <w:trPr>
                <w:trHeight w:val="269"/>
              </w:trPr>
              <w:tc>
                <w:tcPr>
                  <w:tcW w:w="15049" w:type="dxa"/>
                  <w:vMerge/>
                  <w:tcBorders>
                    <w:top w:val="nil"/>
                    <w:left w:val="nil"/>
                    <w:bottom w:val="nil"/>
                    <w:right w:val="nil"/>
                  </w:tcBorders>
                  <w:vAlign w:val="center"/>
                  <w:hideMark/>
                </w:tcPr>
                <w:p w14:paraId="6A36F805" w14:textId="77777777" w:rsidR="002A4BFB" w:rsidRPr="0085388E" w:rsidRDefault="002A4BFB" w:rsidP="00107D76">
                  <w:pPr>
                    <w:rPr>
                      <w:rFonts w:eastAsia="Times New Roman"/>
                      <w:color w:val="000000"/>
                      <w:szCs w:val="22"/>
                    </w:rPr>
                  </w:pPr>
                </w:p>
              </w:tc>
            </w:tr>
          </w:tbl>
          <w:p w14:paraId="7AD5D49B" w14:textId="77777777" w:rsidR="002A4BFB" w:rsidRPr="0085388E" w:rsidRDefault="002A4BFB" w:rsidP="00107D76">
            <w:pPr>
              <w:pStyle w:val="ParagraphStyle0"/>
              <w:rPr>
                <w:rFonts w:ascii="Arial" w:eastAsia="Arial" w:hAnsi="Arial" w:cs="Arial"/>
                <w:b/>
                <w:noProof/>
                <w:color w:val="000000"/>
                <w:sz w:val="20"/>
              </w:rPr>
            </w:pPr>
          </w:p>
        </w:tc>
      </w:tr>
      <w:tr w:rsidR="002A4BFB" w14:paraId="42EE33FE" w14:textId="77777777" w:rsidTr="00107D76">
        <w:trPr>
          <w:trHeight w:val="315"/>
        </w:trPr>
        <w:tc>
          <w:tcPr>
            <w:tcW w:w="14850" w:type="dxa"/>
            <w:gridSpan w:val="7"/>
            <w:vAlign w:val="center"/>
          </w:tcPr>
          <w:p w14:paraId="549A6A55" w14:textId="77777777" w:rsidR="002A4BFB" w:rsidRDefault="002A4BFB" w:rsidP="00107D76">
            <w:pPr>
              <w:pStyle w:val="ParagraphStyle0"/>
              <w:rPr>
                <w:rStyle w:val="CharacterStyle0"/>
              </w:rPr>
            </w:pPr>
            <w:r>
              <w:rPr>
                <w:rStyle w:val="CharacterStyle0"/>
              </w:rPr>
              <w:t>A. RAČUN PRIHODA I RASHODA</w:t>
            </w:r>
          </w:p>
        </w:tc>
      </w:tr>
    </w:tbl>
    <w:p w14:paraId="474D6D71" w14:textId="77777777" w:rsidR="002A4BFB" w:rsidRDefault="002A4BFB" w:rsidP="002A4BFB">
      <w:pPr>
        <w:spacing w:line="255" w:lineRule="exact"/>
      </w:pPr>
    </w:p>
    <w:tbl>
      <w:tblPr>
        <w:tblW w:w="0" w:type="auto"/>
        <w:tblLayout w:type="fixed"/>
        <w:tblCellMar>
          <w:left w:w="0" w:type="dxa"/>
          <w:right w:w="0" w:type="dxa"/>
        </w:tblCellMar>
        <w:tblLook w:val="04A0" w:firstRow="1" w:lastRow="0" w:firstColumn="1" w:lastColumn="0" w:noHBand="0" w:noVBand="1"/>
      </w:tblPr>
      <w:tblGrid>
        <w:gridCol w:w="14850"/>
      </w:tblGrid>
      <w:tr w:rsidR="002A4BFB" w14:paraId="584D8100" w14:textId="77777777" w:rsidTr="00107D76">
        <w:trPr>
          <w:trHeight w:val="300"/>
        </w:trPr>
        <w:tc>
          <w:tcPr>
            <w:tcW w:w="14850" w:type="dxa"/>
            <w:vAlign w:val="center"/>
          </w:tcPr>
          <w:p w14:paraId="006C5D8C" w14:textId="77777777" w:rsidR="002A4BFB" w:rsidRDefault="002A4BFB" w:rsidP="00107D76">
            <w:pPr>
              <w:pStyle w:val="ParagraphStyle1"/>
              <w:rPr>
                <w:rStyle w:val="CharacterStyle1"/>
              </w:rPr>
            </w:pPr>
            <w:r>
              <w:rPr>
                <w:rStyle w:val="CharacterStyle1"/>
              </w:rPr>
              <w:t>A1. PRIHODI I RASHODI PREMA EKONOMSKOJ KLASIFIKACIJI</w:t>
            </w:r>
          </w:p>
        </w:tc>
      </w:tr>
    </w:tbl>
    <w:p w14:paraId="305ABF3C" w14:textId="77777777" w:rsidR="002A4BFB" w:rsidRDefault="002A4BFB" w:rsidP="002A4BFB">
      <w:pPr>
        <w:spacing w:line="405" w:lineRule="exact"/>
      </w:pPr>
    </w:p>
    <w:tbl>
      <w:tblPr>
        <w:tblW w:w="0" w:type="auto"/>
        <w:tblLayout w:type="fixed"/>
        <w:tblCellMar>
          <w:left w:w="0" w:type="dxa"/>
          <w:right w:w="0" w:type="dxa"/>
        </w:tblCellMar>
        <w:tblLook w:val="04A0" w:firstRow="1" w:lastRow="0" w:firstColumn="1" w:lastColumn="0" w:noHBand="0" w:noVBand="1"/>
      </w:tblPr>
      <w:tblGrid>
        <w:gridCol w:w="735"/>
        <w:gridCol w:w="780"/>
        <w:gridCol w:w="3675"/>
        <w:gridCol w:w="1920"/>
        <w:gridCol w:w="1935"/>
        <w:gridCol w:w="1935"/>
        <w:gridCol w:w="1935"/>
        <w:gridCol w:w="1935"/>
      </w:tblGrid>
      <w:tr w:rsidR="002A4BFB" w:rsidRPr="00EE3A4E" w14:paraId="42250FF8" w14:textId="77777777" w:rsidTr="00107D76">
        <w:trPr>
          <w:trHeight w:val="555"/>
        </w:trPr>
        <w:tc>
          <w:tcPr>
            <w:tcW w:w="735" w:type="dxa"/>
            <w:tcBorders>
              <w:top w:val="single" w:sz="6" w:space="0" w:color="000000"/>
              <w:left w:val="single" w:sz="6" w:space="0" w:color="000000"/>
              <w:bottom w:val="single" w:sz="6" w:space="0" w:color="000000"/>
              <w:right w:val="single" w:sz="6" w:space="0" w:color="000000"/>
            </w:tcBorders>
            <w:shd w:val="clear" w:color="auto" w:fill="DCDCDC"/>
            <w:vAlign w:val="center"/>
          </w:tcPr>
          <w:p w14:paraId="246724C2" w14:textId="77777777" w:rsidR="002A4BFB" w:rsidRPr="00EE3A4E" w:rsidRDefault="002A4BFB" w:rsidP="00107D76">
            <w:pPr>
              <w:pStyle w:val="ParagraphStyle2"/>
              <w:rPr>
                <w:rStyle w:val="CharacterStyle2"/>
              </w:rPr>
            </w:pPr>
            <w:r w:rsidRPr="00EE3A4E">
              <w:rPr>
                <w:rStyle w:val="CharacterStyle2"/>
              </w:rPr>
              <w:t>Razred</w:t>
            </w:r>
          </w:p>
        </w:tc>
        <w:tc>
          <w:tcPr>
            <w:tcW w:w="780" w:type="dxa"/>
            <w:tcBorders>
              <w:top w:val="single" w:sz="6" w:space="0" w:color="000000"/>
              <w:bottom w:val="single" w:sz="6" w:space="0" w:color="000000"/>
              <w:right w:val="single" w:sz="6" w:space="0" w:color="000000"/>
            </w:tcBorders>
            <w:shd w:val="clear" w:color="auto" w:fill="DCDCDC"/>
            <w:vAlign w:val="center"/>
          </w:tcPr>
          <w:p w14:paraId="23F9F6A7" w14:textId="77777777" w:rsidR="002A4BFB" w:rsidRPr="00EE3A4E" w:rsidRDefault="002A4BFB" w:rsidP="00107D76">
            <w:pPr>
              <w:pStyle w:val="ParagraphStyle3"/>
              <w:rPr>
                <w:rStyle w:val="CharacterStyle3"/>
              </w:rPr>
            </w:pPr>
            <w:r w:rsidRPr="00EE3A4E">
              <w:rPr>
                <w:rStyle w:val="CharacterStyle3"/>
              </w:rPr>
              <w:t>Skupina</w:t>
            </w:r>
          </w:p>
        </w:tc>
        <w:tc>
          <w:tcPr>
            <w:tcW w:w="3675" w:type="dxa"/>
            <w:tcBorders>
              <w:top w:val="single" w:sz="6" w:space="0" w:color="000000"/>
              <w:bottom w:val="single" w:sz="6" w:space="0" w:color="000000"/>
              <w:right w:val="single" w:sz="6" w:space="0" w:color="000000"/>
            </w:tcBorders>
            <w:shd w:val="clear" w:color="auto" w:fill="DCDCDC"/>
            <w:vAlign w:val="center"/>
          </w:tcPr>
          <w:p w14:paraId="477825C8" w14:textId="77777777" w:rsidR="002A4BFB" w:rsidRPr="00EE3A4E" w:rsidRDefault="002A4BFB" w:rsidP="00107D76">
            <w:pPr>
              <w:pStyle w:val="ParagraphStyle3"/>
              <w:rPr>
                <w:rStyle w:val="CharacterStyle3"/>
              </w:rPr>
            </w:pPr>
            <w:r w:rsidRPr="00EE3A4E">
              <w:rPr>
                <w:rStyle w:val="CharacterStyle3"/>
              </w:rPr>
              <w:t>Naziv prihoda</w:t>
            </w:r>
          </w:p>
        </w:tc>
        <w:tc>
          <w:tcPr>
            <w:tcW w:w="1920" w:type="dxa"/>
            <w:tcBorders>
              <w:top w:val="single" w:sz="6" w:space="0" w:color="000000"/>
              <w:bottom w:val="single" w:sz="6" w:space="0" w:color="000000"/>
              <w:right w:val="single" w:sz="6" w:space="0" w:color="000000"/>
            </w:tcBorders>
            <w:shd w:val="clear" w:color="auto" w:fill="DCDCDC"/>
            <w:vAlign w:val="center"/>
          </w:tcPr>
          <w:p w14:paraId="674E3D93" w14:textId="77777777" w:rsidR="002A4BFB" w:rsidRPr="00EE3A4E" w:rsidRDefault="002A4BFB" w:rsidP="00107D76">
            <w:pPr>
              <w:pStyle w:val="ParagraphStyle3"/>
              <w:rPr>
                <w:rStyle w:val="CharacterStyle3"/>
              </w:rPr>
            </w:pPr>
            <w:r w:rsidRPr="00EE3A4E">
              <w:rPr>
                <w:rStyle w:val="CharacterStyle3"/>
              </w:rPr>
              <w:t>Izvršenje 2024.</w:t>
            </w:r>
          </w:p>
        </w:tc>
        <w:tc>
          <w:tcPr>
            <w:tcW w:w="1935" w:type="dxa"/>
            <w:tcBorders>
              <w:top w:val="single" w:sz="6" w:space="0" w:color="000000"/>
              <w:bottom w:val="single" w:sz="6" w:space="0" w:color="000000"/>
              <w:right w:val="single" w:sz="6" w:space="0" w:color="000000"/>
            </w:tcBorders>
            <w:shd w:val="clear" w:color="auto" w:fill="DCDCDC"/>
            <w:vAlign w:val="center"/>
          </w:tcPr>
          <w:p w14:paraId="3F9D1B07" w14:textId="77777777" w:rsidR="002A4BFB" w:rsidRPr="00EE3A4E" w:rsidRDefault="002A4BFB" w:rsidP="00107D76">
            <w:pPr>
              <w:pStyle w:val="ParagraphStyle3"/>
              <w:rPr>
                <w:rStyle w:val="CharacterStyle3"/>
              </w:rPr>
            </w:pPr>
            <w:r w:rsidRPr="00EE3A4E">
              <w:rPr>
                <w:rStyle w:val="CharacterStyle3"/>
              </w:rPr>
              <w:t>Tekući plan 2025.</w:t>
            </w:r>
          </w:p>
        </w:tc>
        <w:tc>
          <w:tcPr>
            <w:tcW w:w="1935" w:type="dxa"/>
            <w:tcBorders>
              <w:top w:val="single" w:sz="6" w:space="0" w:color="000000"/>
              <w:bottom w:val="single" w:sz="6" w:space="0" w:color="000000"/>
              <w:right w:val="single" w:sz="6" w:space="0" w:color="000000"/>
            </w:tcBorders>
            <w:shd w:val="clear" w:color="auto" w:fill="DCDCDC"/>
            <w:vAlign w:val="center"/>
          </w:tcPr>
          <w:p w14:paraId="0922A13B" w14:textId="77777777" w:rsidR="002A4BFB" w:rsidRPr="00EE3A4E" w:rsidRDefault="002A4BFB" w:rsidP="00107D76">
            <w:pPr>
              <w:pStyle w:val="ParagraphStyle3"/>
              <w:rPr>
                <w:rStyle w:val="CharacterStyle3"/>
              </w:rPr>
            </w:pPr>
            <w:r w:rsidRPr="00EE3A4E">
              <w:rPr>
                <w:rStyle w:val="CharacterStyle3"/>
              </w:rPr>
              <w:t>Plan 2026.</w:t>
            </w:r>
          </w:p>
        </w:tc>
        <w:tc>
          <w:tcPr>
            <w:tcW w:w="1935" w:type="dxa"/>
            <w:tcBorders>
              <w:top w:val="single" w:sz="6" w:space="0" w:color="000000"/>
              <w:bottom w:val="single" w:sz="6" w:space="0" w:color="000000"/>
              <w:right w:val="single" w:sz="6" w:space="0" w:color="000000"/>
            </w:tcBorders>
            <w:shd w:val="clear" w:color="auto" w:fill="DCDCDC"/>
            <w:vAlign w:val="center"/>
          </w:tcPr>
          <w:p w14:paraId="10900511" w14:textId="77777777" w:rsidR="002A4BFB" w:rsidRPr="00EE3A4E" w:rsidRDefault="002A4BFB" w:rsidP="00107D76">
            <w:pPr>
              <w:pStyle w:val="ParagraphStyle3"/>
              <w:rPr>
                <w:rStyle w:val="CharacterStyle3"/>
              </w:rPr>
            </w:pPr>
            <w:r w:rsidRPr="00EE3A4E">
              <w:rPr>
                <w:rStyle w:val="CharacterStyle3"/>
              </w:rPr>
              <w:t>Projekcija 2027.</w:t>
            </w:r>
          </w:p>
        </w:tc>
        <w:tc>
          <w:tcPr>
            <w:tcW w:w="1935" w:type="dxa"/>
            <w:tcBorders>
              <w:top w:val="single" w:sz="6" w:space="0" w:color="000000"/>
              <w:bottom w:val="single" w:sz="6" w:space="0" w:color="000000"/>
              <w:right w:val="single" w:sz="6" w:space="0" w:color="000000"/>
            </w:tcBorders>
            <w:shd w:val="clear" w:color="auto" w:fill="DCDCDC"/>
            <w:vAlign w:val="center"/>
          </w:tcPr>
          <w:p w14:paraId="001F0C3C" w14:textId="77777777" w:rsidR="002A4BFB" w:rsidRPr="00EE3A4E" w:rsidRDefault="002A4BFB" w:rsidP="00107D76">
            <w:pPr>
              <w:pStyle w:val="ParagraphStyle3"/>
              <w:rPr>
                <w:rStyle w:val="CharacterStyle3"/>
              </w:rPr>
            </w:pPr>
            <w:r w:rsidRPr="00EE3A4E">
              <w:rPr>
                <w:rStyle w:val="CharacterStyle3"/>
              </w:rPr>
              <w:t>Projekcija 2028.</w:t>
            </w:r>
          </w:p>
        </w:tc>
      </w:tr>
      <w:tr w:rsidR="002A4BFB" w:rsidRPr="00EE3A4E" w14:paraId="6D43D234" w14:textId="77777777" w:rsidTr="00107D76">
        <w:trPr>
          <w:trHeight w:val="345"/>
        </w:trPr>
        <w:tc>
          <w:tcPr>
            <w:tcW w:w="735" w:type="dxa"/>
            <w:tcBorders>
              <w:left w:val="single" w:sz="6" w:space="0" w:color="000000"/>
              <w:bottom w:val="single" w:sz="6" w:space="0" w:color="000000"/>
              <w:right w:val="single" w:sz="6" w:space="0" w:color="000000"/>
            </w:tcBorders>
            <w:vAlign w:val="center"/>
          </w:tcPr>
          <w:p w14:paraId="22E28373" w14:textId="77777777" w:rsidR="002A4BFB" w:rsidRPr="00EE3A4E" w:rsidRDefault="002A4BFB" w:rsidP="00107D76">
            <w:pPr>
              <w:pStyle w:val="ParagraphStyle4"/>
              <w:rPr>
                <w:rStyle w:val="CharacterStyle4"/>
              </w:rPr>
            </w:pPr>
          </w:p>
        </w:tc>
        <w:tc>
          <w:tcPr>
            <w:tcW w:w="780" w:type="dxa"/>
            <w:tcBorders>
              <w:bottom w:val="single" w:sz="6" w:space="0" w:color="000000"/>
              <w:right w:val="single" w:sz="6" w:space="0" w:color="000000"/>
            </w:tcBorders>
            <w:vAlign w:val="center"/>
          </w:tcPr>
          <w:p w14:paraId="66D99948" w14:textId="77777777" w:rsidR="002A4BFB" w:rsidRPr="00EE3A4E" w:rsidRDefault="002A4BFB" w:rsidP="00107D76">
            <w:pPr>
              <w:pStyle w:val="ParagraphStyle5"/>
              <w:rPr>
                <w:rStyle w:val="CharacterStyle5"/>
              </w:rPr>
            </w:pPr>
          </w:p>
        </w:tc>
        <w:tc>
          <w:tcPr>
            <w:tcW w:w="3675" w:type="dxa"/>
            <w:tcBorders>
              <w:bottom w:val="single" w:sz="6" w:space="0" w:color="000000"/>
              <w:right w:val="single" w:sz="6" w:space="0" w:color="000000"/>
            </w:tcBorders>
            <w:vAlign w:val="center"/>
          </w:tcPr>
          <w:p w14:paraId="44DA5C70" w14:textId="77777777" w:rsidR="002A4BFB" w:rsidRPr="00EE3A4E" w:rsidRDefault="002A4BFB" w:rsidP="00107D76">
            <w:pPr>
              <w:pStyle w:val="ParagraphStyle5"/>
              <w:rPr>
                <w:rStyle w:val="CharacterStyle5"/>
              </w:rPr>
            </w:pPr>
            <w:r w:rsidRPr="00EE3A4E">
              <w:rPr>
                <w:rStyle w:val="CharacterStyle5"/>
              </w:rPr>
              <w:t>UKUPNO PRIHODI</w:t>
            </w:r>
          </w:p>
        </w:tc>
        <w:tc>
          <w:tcPr>
            <w:tcW w:w="1920" w:type="dxa"/>
            <w:tcBorders>
              <w:bottom w:val="single" w:sz="6" w:space="0" w:color="000000"/>
              <w:right w:val="single" w:sz="6" w:space="0" w:color="000000"/>
            </w:tcBorders>
            <w:vAlign w:val="center"/>
          </w:tcPr>
          <w:p w14:paraId="08190324" w14:textId="77777777" w:rsidR="002A4BFB" w:rsidRPr="00EE3A4E" w:rsidRDefault="002A4BFB" w:rsidP="00107D76">
            <w:pPr>
              <w:pStyle w:val="ParagraphStyle6"/>
              <w:rPr>
                <w:rStyle w:val="CharacterStyle6"/>
              </w:rPr>
            </w:pPr>
            <w:r w:rsidRPr="00EE3A4E">
              <w:rPr>
                <w:rStyle w:val="CharacterStyle6"/>
              </w:rPr>
              <w:t>34.945.231,80</w:t>
            </w:r>
          </w:p>
        </w:tc>
        <w:tc>
          <w:tcPr>
            <w:tcW w:w="1935" w:type="dxa"/>
            <w:tcBorders>
              <w:bottom w:val="single" w:sz="6" w:space="0" w:color="000000"/>
              <w:right w:val="single" w:sz="6" w:space="0" w:color="000000"/>
            </w:tcBorders>
            <w:vAlign w:val="center"/>
          </w:tcPr>
          <w:p w14:paraId="429A365F" w14:textId="77777777" w:rsidR="002A4BFB" w:rsidRPr="00EE3A4E" w:rsidRDefault="002A4BFB" w:rsidP="00107D76">
            <w:pPr>
              <w:pStyle w:val="ParagraphStyle6"/>
              <w:rPr>
                <w:rStyle w:val="CharacterStyle6"/>
              </w:rPr>
            </w:pPr>
            <w:r w:rsidRPr="00EE3A4E">
              <w:rPr>
                <w:rStyle w:val="CharacterStyle6"/>
              </w:rPr>
              <w:t>46.063.896,26</w:t>
            </w:r>
          </w:p>
        </w:tc>
        <w:tc>
          <w:tcPr>
            <w:tcW w:w="1935" w:type="dxa"/>
            <w:tcBorders>
              <w:bottom w:val="single" w:sz="6" w:space="0" w:color="000000"/>
              <w:right w:val="single" w:sz="6" w:space="0" w:color="000000"/>
            </w:tcBorders>
            <w:vAlign w:val="center"/>
          </w:tcPr>
          <w:p w14:paraId="3124C07E" w14:textId="77777777" w:rsidR="002A4BFB" w:rsidRPr="00EE3A4E" w:rsidRDefault="002A4BFB" w:rsidP="00107D76">
            <w:pPr>
              <w:pStyle w:val="ParagraphStyle6"/>
              <w:rPr>
                <w:rStyle w:val="CharacterStyle6"/>
              </w:rPr>
            </w:pPr>
            <w:r w:rsidRPr="00EE3A4E">
              <w:rPr>
                <w:rStyle w:val="CharacterStyle6"/>
              </w:rPr>
              <w:t>45.221.136,66</w:t>
            </w:r>
          </w:p>
        </w:tc>
        <w:tc>
          <w:tcPr>
            <w:tcW w:w="1935" w:type="dxa"/>
            <w:tcBorders>
              <w:bottom w:val="single" w:sz="6" w:space="0" w:color="000000"/>
              <w:right w:val="single" w:sz="6" w:space="0" w:color="000000"/>
            </w:tcBorders>
            <w:vAlign w:val="center"/>
          </w:tcPr>
          <w:p w14:paraId="69F95D6A" w14:textId="77777777" w:rsidR="002A4BFB" w:rsidRPr="00EE3A4E" w:rsidRDefault="002A4BFB" w:rsidP="00107D76">
            <w:pPr>
              <w:pStyle w:val="ParagraphStyle6"/>
              <w:rPr>
                <w:rStyle w:val="CharacterStyle6"/>
              </w:rPr>
            </w:pPr>
            <w:r w:rsidRPr="00EE3A4E">
              <w:rPr>
                <w:rStyle w:val="CharacterStyle6"/>
              </w:rPr>
              <w:t>46.288.000,00</w:t>
            </w:r>
          </w:p>
        </w:tc>
        <w:tc>
          <w:tcPr>
            <w:tcW w:w="1935" w:type="dxa"/>
            <w:tcBorders>
              <w:bottom w:val="single" w:sz="6" w:space="0" w:color="000000"/>
              <w:right w:val="single" w:sz="6" w:space="0" w:color="000000"/>
            </w:tcBorders>
            <w:vAlign w:val="center"/>
          </w:tcPr>
          <w:p w14:paraId="1E819BD4" w14:textId="77777777" w:rsidR="002A4BFB" w:rsidRPr="00EE3A4E" w:rsidRDefault="002A4BFB" w:rsidP="00107D76">
            <w:pPr>
              <w:pStyle w:val="ParagraphStyle6"/>
              <w:rPr>
                <w:rStyle w:val="CharacterStyle6"/>
              </w:rPr>
            </w:pPr>
            <w:r w:rsidRPr="00EE3A4E">
              <w:rPr>
                <w:rStyle w:val="CharacterStyle6"/>
              </w:rPr>
              <w:t>40.512.500,00</w:t>
            </w:r>
          </w:p>
        </w:tc>
      </w:tr>
      <w:tr w:rsidR="002A4BFB" w:rsidRPr="00EE3A4E" w14:paraId="586A721B" w14:textId="77777777" w:rsidTr="00107D76">
        <w:trPr>
          <w:trHeight w:val="360"/>
        </w:trPr>
        <w:tc>
          <w:tcPr>
            <w:tcW w:w="735" w:type="dxa"/>
            <w:tcBorders>
              <w:left w:val="single" w:sz="6" w:space="0" w:color="000000"/>
              <w:bottom w:val="single" w:sz="6" w:space="0" w:color="000000"/>
              <w:right w:val="single" w:sz="6" w:space="0" w:color="000000"/>
            </w:tcBorders>
            <w:vAlign w:val="center"/>
          </w:tcPr>
          <w:p w14:paraId="5DE40BF3" w14:textId="77777777" w:rsidR="002A4BFB" w:rsidRPr="002A4BFB" w:rsidRDefault="002A4BFB" w:rsidP="00107D76">
            <w:pPr>
              <w:pStyle w:val="ParagraphStyle7"/>
              <w:rPr>
                <w:rStyle w:val="CharacterStyle7"/>
                <w:b/>
                <w:i w:val="0"/>
              </w:rPr>
            </w:pPr>
            <w:r w:rsidRPr="002A4BFB">
              <w:rPr>
                <w:rStyle w:val="CharacterStyle7"/>
                <w:b/>
                <w:i w:val="0"/>
              </w:rPr>
              <w:t>6</w:t>
            </w:r>
          </w:p>
        </w:tc>
        <w:tc>
          <w:tcPr>
            <w:tcW w:w="780" w:type="dxa"/>
            <w:tcBorders>
              <w:bottom w:val="single" w:sz="6" w:space="0" w:color="000000"/>
              <w:right w:val="single" w:sz="6" w:space="0" w:color="000000"/>
            </w:tcBorders>
          </w:tcPr>
          <w:p w14:paraId="10AB5B3F" w14:textId="77777777" w:rsidR="002A4BFB" w:rsidRPr="002A4BFB" w:rsidRDefault="002A4BFB" w:rsidP="00107D76">
            <w:pPr>
              <w:pStyle w:val="ParagraphStyle8"/>
              <w:rPr>
                <w:rStyle w:val="CharacterStyle8"/>
                <w:b/>
                <w:i w:val="0"/>
              </w:rPr>
            </w:pPr>
          </w:p>
        </w:tc>
        <w:tc>
          <w:tcPr>
            <w:tcW w:w="3675" w:type="dxa"/>
            <w:tcBorders>
              <w:bottom w:val="single" w:sz="6" w:space="0" w:color="000000"/>
              <w:right w:val="single" w:sz="6" w:space="0" w:color="000000"/>
            </w:tcBorders>
            <w:vAlign w:val="center"/>
          </w:tcPr>
          <w:p w14:paraId="18D83DEE" w14:textId="77777777" w:rsidR="002A4BFB" w:rsidRPr="002A4BFB" w:rsidRDefault="002A4BFB" w:rsidP="002A4BFB">
            <w:pPr>
              <w:pStyle w:val="ParagraphStyle9"/>
              <w:jc w:val="left"/>
              <w:rPr>
                <w:rStyle w:val="CharacterStyle9"/>
                <w:b/>
                <w:i w:val="0"/>
              </w:rPr>
            </w:pPr>
            <w:r w:rsidRPr="002A4BFB">
              <w:rPr>
                <w:rStyle w:val="CharacterStyle9"/>
                <w:b/>
                <w:i w:val="0"/>
              </w:rPr>
              <w:t>Prihodi poslovanja</w:t>
            </w:r>
          </w:p>
        </w:tc>
        <w:tc>
          <w:tcPr>
            <w:tcW w:w="1920" w:type="dxa"/>
            <w:tcBorders>
              <w:bottom w:val="single" w:sz="6" w:space="0" w:color="000000"/>
              <w:right w:val="single" w:sz="6" w:space="0" w:color="000000"/>
            </w:tcBorders>
            <w:vAlign w:val="center"/>
          </w:tcPr>
          <w:p w14:paraId="3ACC9639" w14:textId="77777777" w:rsidR="002A4BFB" w:rsidRPr="002A4BFB" w:rsidRDefault="002A4BFB" w:rsidP="00107D76">
            <w:pPr>
              <w:pStyle w:val="ParagraphStyle10"/>
              <w:jc w:val="right"/>
              <w:rPr>
                <w:rStyle w:val="CharacterStyle10"/>
                <w:b/>
              </w:rPr>
            </w:pPr>
            <w:r w:rsidRPr="002A4BFB">
              <w:rPr>
                <w:rStyle w:val="CharacterStyle10"/>
                <w:b/>
              </w:rPr>
              <w:t>34.026.354,87</w:t>
            </w:r>
          </w:p>
        </w:tc>
        <w:tc>
          <w:tcPr>
            <w:tcW w:w="1935" w:type="dxa"/>
            <w:tcBorders>
              <w:bottom w:val="single" w:sz="6" w:space="0" w:color="000000"/>
              <w:right w:val="single" w:sz="6" w:space="0" w:color="000000"/>
            </w:tcBorders>
            <w:vAlign w:val="center"/>
          </w:tcPr>
          <w:p w14:paraId="55ABDC7A" w14:textId="77777777" w:rsidR="002A4BFB" w:rsidRPr="002A4BFB" w:rsidRDefault="002A4BFB" w:rsidP="00107D76">
            <w:pPr>
              <w:pStyle w:val="ParagraphStyle10"/>
              <w:jc w:val="right"/>
              <w:rPr>
                <w:rStyle w:val="CharacterStyle10"/>
                <w:b/>
              </w:rPr>
            </w:pPr>
            <w:r w:rsidRPr="002A4BFB">
              <w:rPr>
                <w:rStyle w:val="CharacterStyle10"/>
                <w:b/>
              </w:rPr>
              <w:t>43.814.057,80</w:t>
            </w:r>
          </w:p>
        </w:tc>
        <w:tc>
          <w:tcPr>
            <w:tcW w:w="1935" w:type="dxa"/>
            <w:tcBorders>
              <w:bottom w:val="single" w:sz="6" w:space="0" w:color="000000"/>
              <w:right w:val="single" w:sz="6" w:space="0" w:color="000000"/>
            </w:tcBorders>
            <w:vAlign w:val="center"/>
          </w:tcPr>
          <w:p w14:paraId="3D361102" w14:textId="77777777" w:rsidR="002A4BFB" w:rsidRPr="002A4BFB" w:rsidRDefault="002A4BFB" w:rsidP="00107D76">
            <w:pPr>
              <w:pStyle w:val="ParagraphStyle10"/>
              <w:jc w:val="right"/>
              <w:rPr>
                <w:rStyle w:val="CharacterStyle10"/>
                <w:b/>
              </w:rPr>
            </w:pPr>
            <w:r w:rsidRPr="002A4BFB">
              <w:rPr>
                <w:rStyle w:val="CharacterStyle10"/>
                <w:b/>
              </w:rPr>
              <w:t>44.097.183,63</w:t>
            </w:r>
          </w:p>
        </w:tc>
        <w:tc>
          <w:tcPr>
            <w:tcW w:w="1935" w:type="dxa"/>
            <w:tcBorders>
              <w:bottom w:val="single" w:sz="6" w:space="0" w:color="000000"/>
              <w:right w:val="single" w:sz="6" w:space="0" w:color="000000"/>
            </w:tcBorders>
            <w:vAlign w:val="center"/>
          </w:tcPr>
          <w:p w14:paraId="5E3747A7" w14:textId="77777777" w:rsidR="002A4BFB" w:rsidRPr="002A4BFB" w:rsidRDefault="002A4BFB" w:rsidP="00107D76">
            <w:pPr>
              <w:pStyle w:val="ParagraphStyle10"/>
              <w:jc w:val="right"/>
              <w:rPr>
                <w:rStyle w:val="CharacterStyle10"/>
                <w:b/>
              </w:rPr>
            </w:pPr>
            <w:r w:rsidRPr="002A4BFB">
              <w:rPr>
                <w:rStyle w:val="CharacterStyle10"/>
                <w:b/>
              </w:rPr>
              <w:t>41.465.322,97</w:t>
            </w:r>
          </w:p>
        </w:tc>
        <w:tc>
          <w:tcPr>
            <w:tcW w:w="1935" w:type="dxa"/>
            <w:tcBorders>
              <w:bottom w:val="single" w:sz="6" w:space="0" w:color="000000"/>
              <w:right w:val="single" w:sz="6" w:space="0" w:color="000000"/>
            </w:tcBorders>
            <w:vAlign w:val="center"/>
          </w:tcPr>
          <w:p w14:paraId="09C4A7EA" w14:textId="77777777" w:rsidR="002A4BFB" w:rsidRPr="002A4BFB" w:rsidRDefault="002A4BFB" w:rsidP="00107D76">
            <w:pPr>
              <w:pStyle w:val="ParagraphStyle10"/>
              <w:jc w:val="right"/>
              <w:rPr>
                <w:rStyle w:val="CharacterStyle10"/>
                <w:b/>
              </w:rPr>
            </w:pPr>
            <w:r w:rsidRPr="002A4BFB">
              <w:rPr>
                <w:rStyle w:val="CharacterStyle10"/>
                <w:b/>
              </w:rPr>
              <w:t>39.006.822,97</w:t>
            </w:r>
          </w:p>
        </w:tc>
      </w:tr>
      <w:tr w:rsidR="002A4BFB" w:rsidRPr="00EE3A4E" w14:paraId="698B9F24" w14:textId="77777777" w:rsidTr="00107D76">
        <w:trPr>
          <w:trHeight w:val="360"/>
        </w:trPr>
        <w:tc>
          <w:tcPr>
            <w:tcW w:w="735" w:type="dxa"/>
            <w:tcBorders>
              <w:left w:val="single" w:sz="6" w:space="0" w:color="000000"/>
              <w:bottom w:val="single" w:sz="6" w:space="0" w:color="000000"/>
              <w:right w:val="single" w:sz="6" w:space="0" w:color="000000"/>
            </w:tcBorders>
            <w:vAlign w:val="center"/>
          </w:tcPr>
          <w:p w14:paraId="06A85532" w14:textId="77777777" w:rsidR="002A4BFB" w:rsidRPr="00EE3A4E" w:rsidRDefault="002A4BFB" w:rsidP="00107D76">
            <w:pPr>
              <w:pStyle w:val="ParagraphStyle11"/>
              <w:rPr>
                <w:rStyle w:val="CharacterStyle11"/>
              </w:rPr>
            </w:pPr>
          </w:p>
        </w:tc>
        <w:tc>
          <w:tcPr>
            <w:tcW w:w="780" w:type="dxa"/>
            <w:tcBorders>
              <w:bottom w:val="single" w:sz="6" w:space="0" w:color="000000"/>
              <w:right w:val="single" w:sz="6" w:space="0" w:color="000000"/>
            </w:tcBorders>
            <w:vAlign w:val="center"/>
          </w:tcPr>
          <w:p w14:paraId="02D91B69" w14:textId="77777777" w:rsidR="002A4BFB" w:rsidRPr="00EE3A4E" w:rsidRDefault="002A4BFB" w:rsidP="009A4261">
            <w:pPr>
              <w:pStyle w:val="ParagraphStyle12"/>
              <w:jc w:val="left"/>
              <w:rPr>
                <w:rStyle w:val="CharacterStyle12"/>
              </w:rPr>
            </w:pPr>
            <w:r w:rsidRPr="00EE3A4E">
              <w:rPr>
                <w:rStyle w:val="CharacterStyle12"/>
              </w:rPr>
              <w:t>61</w:t>
            </w:r>
          </w:p>
        </w:tc>
        <w:tc>
          <w:tcPr>
            <w:tcW w:w="3675" w:type="dxa"/>
            <w:tcBorders>
              <w:bottom w:val="single" w:sz="6" w:space="0" w:color="000000"/>
              <w:right w:val="single" w:sz="6" w:space="0" w:color="000000"/>
            </w:tcBorders>
            <w:vAlign w:val="center"/>
          </w:tcPr>
          <w:p w14:paraId="5DFD401E" w14:textId="77777777" w:rsidR="002A4BFB" w:rsidRPr="00EE3A4E" w:rsidRDefault="002A4BFB" w:rsidP="00107D76">
            <w:pPr>
              <w:pStyle w:val="ParagraphStyle13"/>
              <w:rPr>
                <w:rStyle w:val="CharacterStyle13"/>
              </w:rPr>
            </w:pPr>
            <w:r w:rsidRPr="00EE3A4E">
              <w:rPr>
                <w:rStyle w:val="CharacterStyle13"/>
              </w:rPr>
              <w:t>Prihodi od poreza</w:t>
            </w:r>
          </w:p>
        </w:tc>
        <w:tc>
          <w:tcPr>
            <w:tcW w:w="1920" w:type="dxa"/>
            <w:tcBorders>
              <w:bottom w:val="single" w:sz="6" w:space="0" w:color="000000"/>
              <w:right w:val="single" w:sz="6" w:space="0" w:color="000000"/>
            </w:tcBorders>
            <w:vAlign w:val="center"/>
          </w:tcPr>
          <w:p w14:paraId="5791A8D9" w14:textId="77777777" w:rsidR="002A4BFB" w:rsidRPr="00EE3A4E" w:rsidRDefault="002A4BFB" w:rsidP="00107D76">
            <w:pPr>
              <w:pStyle w:val="ParagraphStyle14"/>
              <w:rPr>
                <w:rStyle w:val="CharacterStyle14"/>
              </w:rPr>
            </w:pPr>
            <w:r w:rsidRPr="00EE3A4E">
              <w:rPr>
                <w:rStyle w:val="CharacterStyle14"/>
              </w:rPr>
              <w:t>15.836.428,25</w:t>
            </w:r>
          </w:p>
        </w:tc>
        <w:tc>
          <w:tcPr>
            <w:tcW w:w="1935" w:type="dxa"/>
            <w:tcBorders>
              <w:bottom w:val="single" w:sz="6" w:space="0" w:color="000000"/>
              <w:right w:val="single" w:sz="6" w:space="0" w:color="000000"/>
            </w:tcBorders>
            <w:vAlign w:val="center"/>
          </w:tcPr>
          <w:p w14:paraId="0A077789" w14:textId="77777777" w:rsidR="002A4BFB" w:rsidRPr="00EE3A4E" w:rsidRDefault="002A4BFB" w:rsidP="00107D76">
            <w:pPr>
              <w:pStyle w:val="ParagraphStyle14"/>
              <w:rPr>
                <w:rStyle w:val="CharacterStyle14"/>
              </w:rPr>
            </w:pPr>
            <w:r w:rsidRPr="00EE3A4E">
              <w:rPr>
                <w:rStyle w:val="CharacterStyle14"/>
              </w:rPr>
              <w:t>20.317.495,41</w:t>
            </w:r>
          </w:p>
        </w:tc>
        <w:tc>
          <w:tcPr>
            <w:tcW w:w="1935" w:type="dxa"/>
            <w:tcBorders>
              <w:bottom w:val="single" w:sz="6" w:space="0" w:color="000000"/>
              <w:right w:val="single" w:sz="6" w:space="0" w:color="000000"/>
            </w:tcBorders>
            <w:vAlign w:val="center"/>
          </w:tcPr>
          <w:p w14:paraId="5B81690E" w14:textId="77777777" w:rsidR="002A4BFB" w:rsidRPr="00EE3A4E" w:rsidRDefault="002A4BFB" w:rsidP="00107D76">
            <w:pPr>
              <w:pStyle w:val="ParagraphStyle15"/>
              <w:rPr>
                <w:rStyle w:val="CharacterStyle15"/>
              </w:rPr>
            </w:pPr>
            <w:r w:rsidRPr="00EE3A4E">
              <w:rPr>
                <w:rStyle w:val="CharacterStyle15"/>
              </w:rPr>
              <w:t>17.794.542,07</w:t>
            </w:r>
          </w:p>
        </w:tc>
        <w:tc>
          <w:tcPr>
            <w:tcW w:w="1935" w:type="dxa"/>
            <w:tcBorders>
              <w:bottom w:val="single" w:sz="6" w:space="0" w:color="000000"/>
              <w:right w:val="single" w:sz="6" w:space="0" w:color="000000"/>
            </w:tcBorders>
            <w:vAlign w:val="center"/>
          </w:tcPr>
          <w:p w14:paraId="0EA83753" w14:textId="77777777" w:rsidR="002A4BFB" w:rsidRPr="00EE3A4E" w:rsidRDefault="002A4BFB" w:rsidP="00107D76">
            <w:pPr>
              <w:pStyle w:val="ParagraphStyle15"/>
              <w:rPr>
                <w:rStyle w:val="CharacterStyle15"/>
              </w:rPr>
            </w:pPr>
            <w:r w:rsidRPr="00EE3A4E">
              <w:rPr>
                <w:rStyle w:val="CharacterStyle15"/>
              </w:rPr>
              <w:t>18.847.492,00</w:t>
            </w:r>
          </w:p>
        </w:tc>
        <w:tc>
          <w:tcPr>
            <w:tcW w:w="1935" w:type="dxa"/>
            <w:tcBorders>
              <w:bottom w:val="single" w:sz="6" w:space="0" w:color="000000"/>
              <w:right w:val="single" w:sz="6" w:space="0" w:color="000000"/>
            </w:tcBorders>
            <w:vAlign w:val="center"/>
          </w:tcPr>
          <w:p w14:paraId="665F1A94" w14:textId="77777777" w:rsidR="002A4BFB" w:rsidRPr="00EE3A4E" w:rsidRDefault="002A4BFB" w:rsidP="00107D76">
            <w:pPr>
              <w:pStyle w:val="ParagraphStyle15"/>
              <w:rPr>
                <w:rStyle w:val="CharacterStyle15"/>
              </w:rPr>
            </w:pPr>
            <w:r w:rsidRPr="00EE3A4E">
              <w:rPr>
                <w:rStyle w:val="CharacterStyle15"/>
              </w:rPr>
              <w:t>19.218.431,24</w:t>
            </w:r>
          </w:p>
        </w:tc>
      </w:tr>
      <w:tr w:rsidR="002A4BFB" w:rsidRPr="00EE3A4E" w14:paraId="28C937BF" w14:textId="77777777" w:rsidTr="00107D76">
        <w:trPr>
          <w:trHeight w:val="405"/>
        </w:trPr>
        <w:tc>
          <w:tcPr>
            <w:tcW w:w="735" w:type="dxa"/>
            <w:tcBorders>
              <w:left w:val="single" w:sz="6" w:space="0" w:color="000000"/>
              <w:bottom w:val="single" w:sz="6" w:space="0" w:color="000000"/>
              <w:right w:val="single" w:sz="6" w:space="0" w:color="000000"/>
            </w:tcBorders>
            <w:vAlign w:val="center"/>
          </w:tcPr>
          <w:p w14:paraId="2C652031" w14:textId="77777777" w:rsidR="002A4BFB" w:rsidRPr="00EE3A4E" w:rsidRDefault="002A4BFB" w:rsidP="00107D76">
            <w:pPr>
              <w:pStyle w:val="ParagraphStyle11"/>
              <w:rPr>
                <w:rStyle w:val="CharacterStyle11"/>
              </w:rPr>
            </w:pPr>
          </w:p>
        </w:tc>
        <w:tc>
          <w:tcPr>
            <w:tcW w:w="780" w:type="dxa"/>
            <w:tcBorders>
              <w:bottom w:val="single" w:sz="6" w:space="0" w:color="000000"/>
              <w:right w:val="single" w:sz="6" w:space="0" w:color="000000"/>
            </w:tcBorders>
            <w:vAlign w:val="center"/>
          </w:tcPr>
          <w:p w14:paraId="3E90B1CC" w14:textId="77777777" w:rsidR="002A4BFB" w:rsidRPr="00EE3A4E" w:rsidRDefault="002A4BFB" w:rsidP="009A4261">
            <w:pPr>
              <w:pStyle w:val="ParagraphStyle12"/>
              <w:jc w:val="left"/>
              <w:rPr>
                <w:rStyle w:val="CharacterStyle12"/>
              </w:rPr>
            </w:pPr>
            <w:r w:rsidRPr="00EE3A4E">
              <w:rPr>
                <w:rStyle w:val="CharacterStyle12"/>
              </w:rPr>
              <w:t>63</w:t>
            </w:r>
          </w:p>
        </w:tc>
        <w:tc>
          <w:tcPr>
            <w:tcW w:w="3675" w:type="dxa"/>
            <w:tcBorders>
              <w:bottom w:val="single" w:sz="6" w:space="0" w:color="000000"/>
              <w:right w:val="single" w:sz="6" w:space="0" w:color="000000"/>
            </w:tcBorders>
            <w:vAlign w:val="center"/>
          </w:tcPr>
          <w:p w14:paraId="5001A936" w14:textId="77777777" w:rsidR="002A4BFB" w:rsidRPr="00EE3A4E" w:rsidRDefault="002A4BFB" w:rsidP="00107D76">
            <w:pPr>
              <w:pStyle w:val="ParagraphStyle13"/>
              <w:rPr>
                <w:rStyle w:val="CharacterStyle13"/>
              </w:rPr>
            </w:pPr>
            <w:r w:rsidRPr="00EE3A4E">
              <w:rPr>
                <w:rStyle w:val="CharacterStyle13"/>
              </w:rPr>
              <w:t>Pomoći iz inozemstva i od subjekata unutar općeg proračuna</w:t>
            </w:r>
          </w:p>
        </w:tc>
        <w:tc>
          <w:tcPr>
            <w:tcW w:w="1920" w:type="dxa"/>
            <w:tcBorders>
              <w:bottom w:val="single" w:sz="6" w:space="0" w:color="000000"/>
              <w:right w:val="single" w:sz="6" w:space="0" w:color="000000"/>
            </w:tcBorders>
            <w:vAlign w:val="center"/>
          </w:tcPr>
          <w:p w14:paraId="6AC56F1B" w14:textId="77777777" w:rsidR="002A4BFB" w:rsidRPr="00EE3A4E" w:rsidRDefault="002A4BFB" w:rsidP="00107D76">
            <w:pPr>
              <w:pStyle w:val="ParagraphStyle14"/>
              <w:rPr>
                <w:rStyle w:val="CharacterStyle14"/>
              </w:rPr>
            </w:pPr>
            <w:r w:rsidRPr="00EE3A4E">
              <w:rPr>
                <w:rStyle w:val="CharacterStyle14"/>
              </w:rPr>
              <w:t>7.786.562,55</w:t>
            </w:r>
          </w:p>
        </w:tc>
        <w:tc>
          <w:tcPr>
            <w:tcW w:w="1935" w:type="dxa"/>
            <w:tcBorders>
              <w:bottom w:val="single" w:sz="6" w:space="0" w:color="000000"/>
              <w:right w:val="single" w:sz="6" w:space="0" w:color="000000"/>
            </w:tcBorders>
            <w:vAlign w:val="center"/>
          </w:tcPr>
          <w:p w14:paraId="33444DA1" w14:textId="77777777" w:rsidR="002A4BFB" w:rsidRPr="00EE3A4E" w:rsidRDefault="002A4BFB" w:rsidP="00107D76">
            <w:pPr>
              <w:pStyle w:val="ParagraphStyle14"/>
              <w:rPr>
                <w:rStyle w:val="CharacterStyle14"/>
              </w:rPr>
            </w:pPr>
            <w:r w:rsidRPr="00EE3A4E">
              <w:rPr>
                <w:rStyle w:val="CharacterStyle14"/>
              </w:rPr>
              <w:t>14.777.360,23</w:t>
            </w:r>
          </w:p>
        </w:tc>
        <w:tc>
          <w:tcPr>
            <w:tcW w:w="1935" w:type="dxa"/>
            <w:tcBorders>
              <w:bottom w:val="single" w:sz="6" w:space="0" w:color="000000"/>
              <w:right w:val="single" w:sz="6" w:space="0" w:color="000000"/>
            </w:tcBorders>
            <w:vAlign w:val="center"/>
          </w:tcPr>
          <w:p w14:paraId="5E62E5D7" w14:textId="77777777" w:rsidR="002A4BFB" w:rsidRPr="00EE3A4E" w:rsidRDefault="002A4BFB" w:rsidP="00107D76">
            <w:pPr>
              <w:pStyle w:val="ParagraphStyle15"/>
              <w:rPr>
                <w:rStyle w:val="CharacterStyle15"/>
              </w:rPr>
            </w:pPr>
            <w:r w:rsidRPr="00EE3A4E">
              <w:rPr>
                <w:rStyle w:val="CharacterStyle15"/>
              </w:rPr>
              <w:t>17.850.371,03</w:t>
            </w:r>
          </w:p>
        </w:tc>
        <w:tc>
          <w:tcPr>
            <w:tcW w:w="1935" w:type="dxa"/>
            <w:tcBorders>
              <w:bottom w:val="single" w:sz="6" w:space="0" w:color="000000"/>
              <w:right w:val="single" w:sz="6" w:space="0" w:color="000000"/>
            </w:tcBorders>
            <w:vAlign w:val="center"/>
          </w:tcPr>
          <w:p w14:paraId="13184678" w14:textId="77777777" w:rsidR="002A4BFB" w:rsidRPr="00EE3A4E" w:rsidRDefault="002A4BFB" w:rsidP="00107D76">
            <w:pPr>
              <w:pStyle w:val="ParagraphStyle15"/>
              <w:rPr>
                <w:rStyle w:val="CharacterStyle15"/>
              </w:rPr>
            </w:pPr>
            <w:r w:rsidRPr="00EE3A4E">
              <w:rPr>
                <w:rStyle w:val="CharacterStyle15"/>
              </w:rPr>
              <w:t>12.135.977,16</w:t>
            </w:r>
          </w:p>
        </w:tc>
        <w:tc>
          <w:tcPr>
            <w:tcW w:w="1935" w:type="dxa"/>
            <w:tcBorders>
              <w:bottom w:val="single" w:sz="6" w:space="0" w:color="000000"/>
              <w:right w:val="single" w:sz="6" w:space="0" w:color="000000"/>
            </w:tcBorders>
            <w:vAlign w:val="center"/>
          </w:tcPr>
          <w:p w14:paraId="25542982" w14:textId="77777777" w:rsidR="002A4BFB" w:rsidRPr="00EE3A4E" w:rsidRDefault="002A4BFB" w:rsidP="00107D76">
            <w:pPr>
              <w:pStyle w:val="ParagraphStyle15"/>
              <w:rPr>
                <w:rStyle w:val="CharacterStyle15"/>
              </w:rPr>
            </w:pPr>
            <w:r w:rsidRPr="00EE3A4E">
              <w:rPr>
                <w:rStyle w:val="CharacterStyle15"/>
              </w:rPr>
              <w:t>10.273.355,51</w:t>
            </w:r>
          </w:p>
        </w:tc>
      </w:tr>
      <w:tr w:rsidR="002A4BFB" w:rsidRPr="00EE3A4E" w14:paraId="13091443" w14:textId="77777777" w:rsidTr="00107D76">
        <w:trPr>
          <w:trHeight w:val="360"/>
        </w:trPr>
        <w:tc>
          <w:tcPr>
            <w:tcW w:w="735" w:type="dxa"/>
            <w:tcBorders>
              <w:left w:val="single" w:sz="6" w:space="0" w:color="000000"/>
              <w:bottom w:val="single" w:sz="6" w:space="0" w:color="000000"/>
              <w:right w:val="single" w:sz="6" w:space="0" w:color="000000"/>
            </w:tcBorders>
            <w:vAlign w:val="center"/>
          </w:tcPr>
          <w:p w14:paraId="4A6C53DB" w14:textId="77777777" w:rsidR="002A4BFB" w:rsidRPr="00EE3A4E" w:rsidRDefault="002A4BFB" w:rsidP="00107D76">
            <w:pPr>
              <w:pStyle w:val="ParagraphStyle11"/>
              <w:rPr>
                <w:rStyle w:val="CharacterStyle11"/>
              </w:rPr>
            </w:pPr>
          </w:p>
        </w:tc>
        <w:tc>
          <w:tcPr>
            <w:tcW w:w="780" w:type="dxa"/>
            <w:tcBorders>
              <w:bottom w:val="single" w:sz="6" w:space="0" w:color="000000"/>
              <w:right w:val="single" w:sz="6" w:space="0" w:color="000000"/>
            </w:tcBorders>
            <w:vAlign w:val="center"/>
          </w:tcPr>
          <w:p w14:paraId="38D9DE9D" w14:textId="77777777" w:rsidR="002A4BFB" w:rsidRPr="00EE3A4E" w:rsidRDefault="002A4BFB" w:rsidP="009A4261">
            <w:pPr>
              <w:pStyle w:val="ParagraphStyle12"/>
              <w:jc w:val="left"/>
              <w:rPr>
                <w:rStyle w:val="CharacterStyle12"/>
              </w:rPr>
            </w:pPr>
            <w:r w:rsidRPr="00EE3A4E">
              <w:rPr>
                <w:rStyle w:val="CharacterStyle12"/>
              </w:rPr>
              <w:t>64</w:t>
            </w:r>
          </w:p>
        </w:tc>
        <w:tc>
          <w:tcPr>
            <w:tcW w:w="3675" w:type="dxa"/>
            <w:tcBorders>
              <w:bottom w:val="single" w:sz="6" w:space="0" w:color="000000"/>
              <w:right w:val="single" w:sz="6" w:space="0" w:color="000000"/>
            </w:tcBorders>
            <w:vAlign w:val="center"/>
          </w:tcPr>
          <w:p w14:paraId="193DEFA6" w14:textId="77777777" w:rsidR="002A4BFB" w:rsidRPr="00EE3A4E" w:rsidRDefault="002A4BFB" w:rsidP="00107D76">
            <w:pPr>
              <w:pStyle w:val="ParagraphStyle13"/>
              <w:rPr>
                <w:rStyle w:val="CharacterStyle13"/>
              </w:rPr>
            </w:pPr>
            <w:r w:rsidRPr="00EE3A4E">
              <w:rPr>
                <w:rStyle w:val="CharacterStyle13"/>
              </w:rPr>
              <w:t>Prihodi od imovine</w:t>
            </w:r>
          </w:p>
        </w:tc>
        <w:tc>
          <w:tcPr>
            <w:tcW w:w="1920" w:type="dxa"/>
            <w:tcBorders>
              <w:bottom w:val="single" w:sz="6" w:space="0" w:color="000000"/>
              <w:right w:val="single" w:sz="6" w:space="0" w:color="000000"/>
            </w:tcBorders>
            <w:vAlign w:val="center"/>
          </w:tcPr>
          <w:p w14:paraId="781F7922" w14:textId="77777777" w:rsidR="002A4BFB" w:rsidRPr="00EE3A4E" w:rsidRDefault="002A4BFB" w:rsidP="00107D76">
            <w:pPr>
              <w:pStyle w:val="ParagraphStyle14"/>
              <w:rPr>
                <w:rStyle w:val="CharacterStyle14"/>
              </w:rPr>
            </w:pPr>
            <w:r w:rsidRPr="00EE3A4E">
              <w:rPr>
                <w:rStyle w:val="CharacterStyle14"/>
              </w:rPr>
              <w:t>3.629.370,33</w:t>
            </w:r>
          </w:p>
        </w:tc>
        <w:tc>
          <w:tcPr>
            <w:tcW w:w="1935" w:type="dxa"/>
            <w:tcBorders>
              <w:bottom w:val="single" w:sz="6" w:space="0" w:color="000000"/>
              <w:right w:val="single" w:sz="6" w:space="0" w:color="000000"/>
            </w:tcBorders>
            <w:vAlign w:val="center"/>
          </w:tcPr>
          <w:p w14:paraId="6A7718A4" w14:textId="77777777" w:rsidR="002A4BFB" w:rsidRPr="00EE3A4E" w:rsidRDefault="002A4BFB" w:rsidP="00107D76">
            <w:pPr>
              <w:pStyle w:val="ParagraphStyle14"/>
              <w:rPr>
                <w:rStyle w:val="CharacterStyle14"/>
              </w:rPr>
            </w:pPr>
            <w:r w:rsidRPr="00EE3A4E">
              <w:rPr>
                <w:rStyle w:val="CharacterStyle14"/>
              </w:rPr>
              <w:t>1.775.256,72</w:t>
            </w:r>
          </w:p>
        </w:tc>
        <w:tc>
          <w:tcPr>
            <w:tcW w:w="1935" w:type="dxa"/>
            <w:tcBorders>
              <w:bottom w:val="single" w:sz="6" w:space="0" w:color="000000"/>
              <w:right w:val="single" w:sz="6" w:space="0" w:color="000000"/>
            </w:tcBorders>
            <w:vAlign w:val="center"/>
          </w:tcPr>
          <w:p w14:paraId="75F93F31" w14:textId="77777777" w:rsidR="002A4BFB" w:rsidRPr="00EE3A4E" w:rsidRDefault="002A4BFB" w:rsidP="00107D76">
            <w:pPr>
              <w:pStyle w:val="ParagraphStyle15"/>
              <w:rPr>
                <w:rStyle w:val="CharacterStyle15"/>
              </w:rPr>
            </w:pPr>
            <w:r w:rsidRPr="00EE3A4E">
              <w:rPr>
                <w:rStyle w:val="CharacterStyle15"/>
              </w:rPr>
              <w:t>1.829.702,44</w:t>
            </w:r>
          </w:p>
        </w:tc>
        <w:tc>
          <w:tcPr>
            <w:tcW w:w="1935" w:type="dxa"/>
            <w:tcBorders>
              <w:bottom w:val="single" w:sz="6" w:space="0" w:color="000000"/>
              <w:right w:val="single" w:sz="6" w:space="0" w:color="000000"/>
            </w:tcBorders>
            <w:vAlign w:val="center"/>
          </w:tcPr>
          <w:p w14:paraId="75FA1F0D" w14:textId="77777777" w:rsidR="002A4BFB" w:rsidRPr="00EE3A4E" w:rsidRDefault="002A4BFB" w:rsidP="00107D76">
            <w:pPr>
              <w:pStyle w:val="ParagraphStyle15"/>
              <w:rPr>
                <w:rStyle w:val="CharacterStyle15"/>
              </w:rPr>
            </w:pPr>
            <w:r w:rsidRPr="00EE3A4E">
              <w:rPr>
                <w:rStyle w:val="CharacterStyle15"/>
              </w:rPr>
              <w:t>1.774.431,20</w:t>
            </w:r>
          </w:p>
        </w:tc>
        <w:tc>
          <w:tcPr>
            <w:tcW w:w="1935" w:type="dxa"/>
            <w:tcBorders>
              <w:bottom w:val="single" w:sz="6" w:space="0" w:color="000000"/>
              <w:right w:val="single" w:sz="6" w:space="0" w:color="000000"/>
            </w:tcBorders>
            <w:vAlign w:val="center"/>
          </w:tcPr>
          <w:p w14:paraId="1786376D" w14:textId="77777777" w:rsidR="002A4BFB" w:rsidRPr="00EE3A4E" w:rsidRDefault="002A4BFB" w:rsidP="00107D76">
            <w:pPr>
              <w:pStyle w:val="ParagraphStyle15"/>
              <w:rPr>
                <w:rStyle w:val="CharacterStyle15"/>
              </w:rPr>
            </w:pPr>
            <w:r w:rsidRPr="00EE3A4E">
              <w:rPr>
                <w:rStyle w:val="CharacterStyle15"/>
              </w:rPr>
              <w:t>1.879.458,07</w:t>
            </w:r>
          </w:p>
        </w:tc>
      </w:tr>
      <w:tr w:rsidR="002A4BFB" w:rsidRPr="00EE3A4E" w14:paraId="0B7620A5" w14:textId="77777777" w:rsidTr="00107D76">
        <w:trPr>
          <w:trHeight w:val="420"/>
        </w:trPr>
        <w:tc>
          <w:tcPr>
            <w:tcW w:w="735" w:type="dxa"/>
            <w:tcBorders>
              <w:left w:val="single" w:sz="6" w:space="0" w:color="000000"/>
              <w:bottom w:val="single" w:sz="6" w:space="0" w:color="000000"/>
              <w:right w:val="single" w:sz="6" w:space="0" w:color="000000"/>
            </w:tcBorders>
            <w:vAlign w:val="center"/>
          </w:tcPr>
          <w:p w14:paraId="5E5B02A3" w14:textId="77777777" w:rsidR="002A4BFB" w:rsidRPr="00EE3A4E" w:rsidRDefault="002A4BFB" w:rsidP="00107D76">
            <w:pPr>
              <w:pStyle w:val="ParagraphStyle11"/>
              <w:rPr>
                <w:rStyle w:val="CharacterStyle11"/>
              </w:rPr>
            </w:pPr>
          </w:p>
        </w:tc>
        <w:tc>
          <w:tcPr>
            <w:tcW w:w="780" w:type="dxa"/>
            <w:tcBorders>
              <w:bottom w:val="single" w:sz="6" w:space="0" w:color="000000"/>
              <w:right w:val="single" w:sz="6" w:space="0" w:color="000000"/>
            </w:tcBorders>
            <w:vAlign w:val="center"/>
          </w:tcPr>
          <w:p w14:paraId="64811F2C" w14:textId="77777777" w:rsidR="002A4BFB" w:rsidRPr="00EE3A4E" w:rsidRDefault="002A4BFB" w:rsidP="009A4261">
            <w:pPr>
              <w:pStyle w:val="ParagraphStyle12"/>
              <w:jc w:val="left"/>
              <w:rPr>
                <w:rStyle w:val="CharacterStyle12"/>
              </w:rPr>
            </w:pPr>
            <w:r w:rsidRPr="00EE3A4E">
              <w:rPr>
                <w:rStyle w:val="CharacterStyle12"/>
              </w:rPr>
              <w:t>65</w:t>
            </w:r>
          </w:p>
        </w:tc>
        <w:tc>
          <w:tcPr>
            <w:tcW w:w="3675" w:type="dxa"/>
            <w:tcBorders>
              <w:bottom w:val="single" w:sz="6" w:space="0" w:color="000000"/>
              <w:right w:val="single" w:sz="6" w:space="0" w:color="000000"/>
            </w:tcBorders>
            <w:vAlign w:val="center"/>
          </w:tcPr>
          <w:p w14:paraId="4895D3C5" w14:textId="77777777" w:rsidR="002A4BFB" w:rsidRPr="00EE3A4E" w:rsidRDefault="002A4BFB" w:rsidP="00107D76">
            <w:pPr>
              <w:pStyle w:val="ParagraphStyle13"/>
              <w:rPr>
                <w:rStyle w:val="CharacterStyle13"/>
              </w:rPr>
            </w:pPr>
            <w:r w:rsidRPr="00EE3A4E">
              <w:rPr>
                <w:rStyle w:val="CharacterStyle13"/>
              </w:rPr>
              <w:t>Prihodi od upravnih i administrativnih pristojbi, pristojbi po posebnim propisima i naknada</w:t>
            </w:r>
          </w:p>
        </w:tc>
        <w:tc>
          <w:tcPr>
            <w:tcW w:w="1920" w:type="dxa"/>
            <w:tcBorders>
              <w:bottom w:val="single" w:sz="6" w:space="0" w:color="000000"/>
              <w:right w:val="single" w:sz="6" w:space="0" w:color="000000"/>
            </w:tcBorders>
            <w:vAlign w:val="center"/>
          </w:tcPr>
          <w:p w14:paraId="36E9FEEA" w14:textId="77777777" w:rsidR="002A4BFB" w:rsidRPr="00EE3A4E" w:rsidRDefault="002A4BFB" w:rsidP="00107D76">
            <w:pPr>
              <w:pStyle w:val="ParagraphStyle14"/>
              <w:rPr>
                <w:rStyle w:val="CharacterStyle14"/>
              </w:rPr>
            </w:pPr>
            <w:r w:rsidRPr="00EE3A4E">
              <w:rPr>
                <w:rStyle w:val="CharacterStyle14"/>
              </w:rPr>
              <w:t>6.224.097,56</w:t>
            </w:r>
          </w:p>
        </w:tc>
        <w:tc>
          <w:tcPr>
            <w:tcW w:w="1935" w:type="dxa"/>
            <w:tcBorders>
              <w:bottom w:val="single" w:sz="6" w:space="0" w:color="000000"/>
              <w:right w:val="single" w:sz="6" w:space="0" w:color="000000"/>
            </w:tcBorders>
            <w:vAlign w:val="center"/>
          </w:tcPr>
          <w:p w14:paraId="49E52263" w14:textId="77777777" w:rsidR="002A4BFB" w:rsidRPr="00EE3A4E" w:rsidRDefault="002A4BFB" w:rsidP="00107D76">
            <w:pPr>
              <w:pStyle w:val="ParagraphStyle14"/>
              <w:rPr>
                <w:rStyle w:val="CharacterStyle14"/>
              </w:rPr>
            </w:pPr>
            <w:r w:rsidRPr="00EE3A4E">
              <w:rPr>
                <w:rStyle w:val="CharacterStyle14"/>
              </w:rPr>
              <w:t>6.444.360,46</w:t>
            </w:r>
          </w:p>
        </w:tc>
        <w:tc>
          <w:tcPr>
            <w:tcW w:w="1935" w:type="dxa"/>
            <w:tcBorders>
              <w:bottom w:val="single" w:sz="6" w:space="0" w:color="000000"/>
              <w:right w:val="single" w:sz="6" w:space="0" w:color="000000"/>
            </w:tcBorders>
            <w:vAlign w:val="center"/>
          </w:tcPr>
          <w:p w14:paraId="7664FF76" w14:textId="77777777" w:rsidR="002A4BFB" w:rsidRPr="00EE3A4E" w:rsidRDefault="002A4BFB" w:rsidP="00107D76">
            <w:pPr>
              <w:pStyle w:val="ParagraphStyle15"/>
              <w:rPr>
                <w:rStyle w:val="CharacterStyle15"/>
              </w:rPr>
            </w:pPr>
            <w:r w:rsidRPr="00EE3A4E">
              <w:rPr>
                <w:rStyle w:val="CharacterStyle15"/>
              </w:rPr>
              <w:t>6.134.889,83</w:t>
            </w:r>
          </w:p>
        </w:tc>
        <w:tc>
          <w:tcPr>
            <w:tcW w:w="1935" w:type="dxa"/>
            <w:tcBorders>
              <w:bottom w:val="single" w:sz="6" w:space="0" w:color="000000"/>
              <w:right w:val="single" w:sz="6" w:space="0" w:color="000000"/>
            </w:tcBorders>
            <w:vAlign w:val="center"/>
          </w:tcPr>
          <w:p w14:paraId="1BA9475B" w14:textId="77777777" w:rsidR="002A4BFB" w:rsidRPr="00EE3A4E" w:rsidRDefault="002A4BFB" w:rsidP="00107D76">
            <w:pPr>
              <w:pStyle w:val="ParagraphStyle15"/>
              <w:rPr>
                <w:rStyle w:val="CharacterStyle15"/>
              </w:rPr>
            </w:pPr>
            <w:r w:rsidRPr="00EE3A4E">
              <w:rPr>
                <w:rStyle w:val="CharacterStyle15"/>
              </w:rPr>
              <w:t>8.211.535,75</w:t>
            </w:r>
          </w:p>
        </w:tc>
        <w:tc>
          <w:tcPr>
            <w:tcW w:w="1935" w:type="dxa"/>
            <w:tcBorders>
              <w:bottom w:val="single" w:sz="6" w:space="0" w:color="000000"/>
              <w:right w:val="single" w:sz="6" w:space="0" w:color="000000"/>
            </w:tcBorders>
            <w:vAlign w:val="center"/>
          </w:tcPr>
          <w:p w14:paraId="482340B4" w14:textId="77777777" w:rsidR="002A4BFB" w:rsidRPr="00EE3A4E" w:rsidRDefault="002A4BFB" w:rsidP="00107D76">
            <w:pPr>
              <w:pStyle w:val="ParagraphStyle15"/>
              <w:rPr>
                <w:rStyle w:val="CharacterStyle15"/>
              </w:rPr>
            </w:pPr>
            <w:r w:rsidRPr="00EE3A4E">
              <w:rPr>
                <w:rStyle w:val="CharacterStyle15"/>
              </w:rPr>
              <w:t>7.157.150,81</w:t>
            </w:r>
          </w:p>
        </w:tc>
      </w:tr>
      <w:tr w:rsidR="002A4BFB" w:rsidRPr="00EE3A4E" w14:paraId="57A9B995" w14:textId="77777777" w:rsidTr="00107D76">
        <w:trPr>
          <w:trHeight w:val="585"/>
        </w:trPr>
        <w:tc>
          <w:tcPr>
            <w:tcW w:w="735" w:type="dxa"/>
            <w:tcBorders>
              <w:left w:val="single" w:sz="6" w:space="0" w:color="000000"/>
              <w:bottom w:val="single" w:sz="6" w:space="0" w:color="000000"/>
              <w:right w:val="single" w:sz="6" w:space="0" w:color="000000"/>
            </w:tcBorders>
            <w:vAlign w:val="center"/>
          </w:tcPr>
          <w:p w14:paraId="4DCF18F5" w14:textId="77777777" w:rsidR="002A4BFB" w:rsidRPr="00EE3A4E" w:rsidRDefault="002A4BFB" w:rsidP="00107D76">
            <w:pPr>
              <w:pStyle w:val="ParagraphStyle11"/>
              <w:rPr>
                <w:rStyle w:val="CharacterStyle11"/>
              </w:rPr>
            </w:pPr>
          </w:p>
        </w:tc>
        <w:tc>
          <w:tcPr>
            <w:tcW w:w="780" w:type="dxa"/>
            <w:tcBorders>
              <w:bottom w:val="single" w:sz="6" w:space="0" w:color="000000"/>
              <w:right w:val="single" w:sz="6" w:space="0" w:color="000000"/>
            </w:tcBorders>
            <w:vAlign w:val="center"/>
          </w:tcPr>
          <w:p w14:paraId="1CFD3FA1" w14:textId="77777777" w:rsidR="002A4BFB" w:rsidRPr="00EE3A4E" w:rsidRDefault="002A4BFB" w:rsidP="009A4261">
            <w:pPr>
              <w:pStyle w:val="ParagraphStyle12"/>
              <w:jc w:val="left"/>
              <w:rPr>
                <w:rStyle w:val="CharacterStyle12"/>
              </w:rPr>
            </w:pPr>
            <w:r w:rsidRPr="00EE3A4E">
              <w:rPr>
                <w:rStyle w:val="CharacterStyle12"/>
              </w:rPr>
              <w:t>66</w:t>
            </w:r>
          </w:p>
        </w:tc>
        <w:tc>
          <w:tcPr>
            <w:tcW w:w="3675" w:type="dxa"/>
            <w:tcBorders>
              <w:bottom w:val="single" w:sz="6" w:space="0" w:color="000000"/>
              <w:right w:val="single" w:sz="6" w:space="0" w:color="000000"/>
            </w:tcBorders>
            <w:vAlign w:val="center"/>
          </w:tcPr>
          <w:p w14:paraId="3A7EC80C" w14:textId="77777777" w:rsidR="002A4BFB" w:rsidRPr="00EE3A4E" w:rsidRDefault="002A4BFB" w:rsidP="00107D76">
            <w:pPr>
              <w:pStyle w:val="ParagraphStyle13"/>
              <w:rPr>
                <w:rStyle w:val="CharacterStyle13"/>
              </w:rPr>
            </w:pPr>
            <w:r w:rsidRPr="00EE3A4E">
              <w:rPr>
                <w:rStyle w:val="CharacterStyle13"/>
              </w:rPr>
              <w:t>Prihodi od prodaje proizvoda i robe te pruženih usluga, prihodi od donacija te povrati po protestiranim jamstvima</w:t>
            </w:r>
          </w:p>
        </w:tc>
        <w:tc>
          <w:tcPr>
            <w:tcW w:w="1920" w:type="dxa"/>
            <w:tcBorders>
              <w:bottom w:val="single" w:sz="6" w:space="0" w:color="000000"/>
              <w:right w:val="single" w:sz="6" w:space="0" w:color="000000"/>
            </w:tcBorders>
            <w:vAlign w:val="center"/>
          </w:tcPr>
          <w:p w14:paraId="2CCD55EB" w14:textId="77777777" w:rsidR="002A4BFB" w:rsidRPr="00EE3A4E" w:rsidRDefault="002A4BFB" w:rsidP="00107D76">
            <w:pPr>
              <w:pStyle w:val="ParagraphStyle14"/>
              <w:rPr>
                <w:rStyle w:val="CharacterStyle14"/>
              </w:rPr>
            </w:pPr>
            <w:r w:rsidRPr="00EE3A4E">
              <w:rPr>
                <w:rStyle w:val="CharacterStyle14"/>
              </w:rPr>
              <w:t>446.573,91</w:t>
            </w:r>
          </w:p>
        </w:tc>
        <w:tc>
          <w:tcPr>
            <w:tcW w:w="1935" w:type="dxa"/>
            <w:tcBorders>
              <w:bottom w:val="single" w:sz="6" w:space="0" w:color="000000"/>
              <w:right w:val="single" w:sz="6" w:space="0" w:color="000000"/>
            </w:tcBorders>
            <w:vAlign w:val="center"/>
          </w:tcPr>
          <w:p w14:paraId="5C65DEE1" w14:textId="77777777" w:rsidR="002A4BFB" w:rsidRPr="00EE3A4E" w:rsidRDefault="002A4BFB" w:rsidP="00107D76">
            <w:pPr>
              <w:pStyle w:val="ParagraphStyle14"/>
              <w:rPr>
                <w:rStyle w:val="CharacterStyle14"/>
              </w:rPr>
            </w:pPr>
            <w:r w:rsidRPr="00EE3A4E">
              <w:rPr>
                <w:rStyle w:val="CharacterStyle14"/>
              </w:rPr>
              <w:t>443.850,06</w:t>
            </w:r>
          </w:p>
        </w:tc>
        <w:tc>
          <w:tcPr>
            <w:tcW w:w="1935" w:type="dxa"/>
            <w:tcBorders>
              <w:bottom w:val="single" w:sz="6" w:space="0" w:color="000000"/>
              <w:right w:val="single" w:sz="6" w:space="0" w:color="000000"/>
            </w:tcBorders>
            <w:vAlign w:val="center"/>
          </w:tcPr>
          <w:p w14:paraId="4B2434A8" w14:textId="77777777" w:rsidR="002A4BFB" w:rsidRPr="00EE3A4E" w:rsidRDefault="002A4BFB" w:rsidP="00107D76">
            <w:pPr>
              <w:pStyle w:val="ParagraphStyle15"/>
              <w:rPr>
                <w:rStyle w:val="CharacterStyle15"/>
              </w:rPr>
            </w:pPr>
            <w:r w:rsidRPr="00EE3A4E">
              <w:rPr>
                <w:rStyle w:val="CharacterStyle15"/>
              </w:rPr>
              <w:t>429.977,46</w:t>
            </w:r>
          </w:p>
        </w:tc>
        <w:tc>
          <w:tcPr>
            <w:tcW w:w="1935" w:type="dxa"/>
            <w:tcBorders>
              <w:bottom w:val="single" w:sz="6" w:space="0" w:color="000000"/>
              <w:right w:val="single" w:sz="6" w:space="0" w:color="000000"/>
            </w:tcBorders>
            <w:vAlign w:val="center"/>
          </w:tcPr>
          <w:p w14:paraId="4704DF7B" w14:textId="77777777" w:rsidR="002A4BFB" w:rsidRPr="00EE3A4E" w:rsidRDefault="002A4BFB" w:rsidP="00107D76">
            <w:pPr>
              <w:pStyle w:val="ParagraphStyle15"/>
              <w:rPr>
                <w:rStyle w:val="CharacterStyle15"/>
              </w:rPr>
            </w:pPr>
            <w:r w:rsidRPr="00EE3A4E">
              <w:rPr>
                <w:rStyle w:val="CharacterStyle15"/>
              </w:rPr>
              <w:t>436.986,86</w:t>
            </w:r>
          </w:p>
        </w:tc>
        <w:tc>
          <w:tcPr>
            <w:tcW w:w="1935" w:type="dxa"/>
            <w:tcBorders>
              <w:bottom w:val="single" w:sz="6" w:space="0" w:color="000000"/>
              <w:right w:val="single" w:sz="6" w:space="0" w:color="000000"/>
            </w:tcBorders>
            <w:vAlign w:val="center"/>
          </w:tcPr>
          <w:p w14:paraId="20FE5258" w14:textId="77777777" w:rsidR="002A4BFB" w:rsidRPr="00EE3A4E" w:rsidRDefault="002A4BFB" w:rsidP="00107D76">
            <w:pPr>
              <w:pStyle w:val="ParagraphStyle15"/>
              <w:rPr>
                <w:rStyle w:val="CharacterStyle15"/>
              </w:rPr>
            </w:pPr>
            <w:r w:rsidRPr="00EE3A4E">
              <w:rPr>
                <w:rStyle w:val="CharacterStyle15"/>
              </w:rPr>
              <w:t>416.907,34</w:t>
            </w:r>
          </w:p>
        </w:tc>
      </w:tr>
      <w:tr w:rsidR="002A4BFB" w:rsidRPr="00EE3A4E" w14:paraId="5E14D198" w14:textId="77777777" w:rsidTr="00107D76">
        <w:trPr>
          <w:trHeight w:val="360"/>
        </w:trPr>
        <w:tc>
          <w:tcPr>
            <w:tcW w:w="735" w:type="dxa"/>
            <w:tcBorders>
              <w:left w:val="single" w:sz="6" w:space="0" w:color="000000"/>
              <w:bottom w:val="single" w:sz="6" w:space="0" w:color="000000"/>
              <w:right w:val="single" w:sz="6" w:space="0" w:color="000000"/>
            </w:tcBorders>
            <w:vAlign w:val="center"/>
          </w:tcPr>
          <w:p w14:paraId="25416B23" w14:textId="77777777" w:rsidR="002A4BFB" w:rsidRPr="00EE3A4E" w:rsidRDefault="002A4BFB" w:rsidP="00107D76">
            <w:pPr>
              <w:pStyle w:val="ParagraphStyle11"/>
              <w:rPr>
                <w:rStyle w:val="CharacterStyle11"/>
              </w:rPr>
            </w:pPr>
          </w:p>
        </w:tc>
        <w:tc>
          <w:tcPr>
            <w:tcW w:w="780" w:type="dxa"/>
            <w:tcBorders>
              <w:bottom w:val="single" w:sz="6" w:space="0" w:color="000000"/>
              <w:right w:val="single" w:sz="6" w:space="0" w:color="000000"/>
            </w:tcBorders>
            <w:vAlign w:val="center"/>
          </w:tcPr>
          <w:p w14:paraId="59B7E7AB" w14:textId="77777777" w:rsidR="002A4BFB" w:rsidRPr="00EE3A4E" w:rsidRDefault="002A4BFB" w:rsidP="009A4261">
            <w:pPr>
              <w:pStyle w:val="ParagraphStyle12"/>
              <w:jc w:val="left"/>
              <w:rPr>
                <w:rStyle w:val="CharacterStyle12"/>
              </w:rPr>
            </w:pPr>
            <w:r w:rsidRPr="00EE3A4E">
              <w:rPr>
                <w:rStyle w:val="CharacterStyle12"/>
              </w:rPr>
              <w:t>68</w:t>
            </w:r>
          </w:p>
        </w:tc>
        <w:tc>
          <w:tcPr>
            <w:tcW w:w="3675" w:type="dxa"/>
            <w:tcBorders>
              <w:bottom w:val="single" w:sz="6" w:space="0" w:color="000000"/>
              <w:right w:val="single" w:sz="6" w:space="0" w:color="000000"/>
            </w:tcBorders>
            <w:vAlign w:val="center"/>
          </w:tcPr>
          <w:p w14:paraId="7F3F6FAC" w14:textId="77777777" w:rsidR="002A4BFB" w:rsidRPr="00EE3A4E" w:rsidRDefault="002A4BFB" w:rsidP="00107D76">
            <w:pPr>
              <w:pStyle w:val="ParagraphStyle13"/>
              <w:rPr>
                <w:rStyle w:val="CharacterStyle13"/>
              </w:rPr>
            </w:pPr>
            <w:r w:rsidRPr="00EE3A4E">
              <w:rPr>
                <w:rStyle w:val="CharacterStyle13"/>
              </w:rPr>
              <w:t>Kazne, upravne mjere i ostali prihodi</w:t>
            </w:r>
          </w:p>
        </w:tc>
        <w:tc>
          <w:tcPr>
            <w:tcW w:w="1920" w:type="dxa"/>
            <w:tcBorders>
              <w:bottom w:val="single" w:sz="6" w:space="0" w:color="000000"/>
              <w:right w:val="single" w:sz="6" w:space="0" w:color="000000"/>
            </w:tcBorders>
            <w:vAlign w:val="center"/>
          </w:tcPr>
          <w:p w14:paraId="3FAC108C" w14:textId="77777777" w:rsidR="002A4BFB" w:rsidRPr="00EE3A4E" w:rsidRDefault="002A4BFB" w:rsidP="00107D76">
            <w:pPr>
              <w:pStyle w:val="ParagraphStyle14"/>
              <w:rPr>
                <w:rStyle w:val="CharacterStyle14"/>
              </w:rPr>
            </w:pPr>
            <w:r w:rsidRPr="00EE3A4E">
              <w:rPr>
                <w:rStyle w:val="CharacterStyle14"/>
              </w:rPr>
              <w:t>103.322,27</w:t>
            </w:r>
          </w:p>
        </w:tc>
        <w:tc>
          <w:tcPr>
            <w:tcW w:w="1935" w:type="dxa"/>
            <w:tcBorders>
              <w:bottom w:val="single" w:sz="6" w:space="0" w:color="000000"/>
              <w:right w:val="single" w:sz="6" w:space="0" w:color="000000"/>
            </w:tcBorders>
            <w:vAlign w:val="center"/>
          </w:tcPr>
          <w:p w14:paraId="47039676" w14:textId="77777777" w:rsidR="002A4BFB" w:rsidRPr="00EE3A4E" w:rsidRDefault="002A4BFB" w:rsidP="00107D76">
            <w:pPr>
              <w:pStyle w:val="ParagraphStyle14"/>
              <w:rPr>
                <w:rStyle w:val="CharacterStyle14"/>
              </w:rPr>
            </w:pPr>
            <w:r w:rsidRPr="00EE3A4E">
              <w:rPr>
                <w:rStyle w:val="CharacterStyle14"/>
              </w:rPr>
              <w:t>55.734,92</w:t>
            </w:r>
          </w:p>
        </w:tc>
        <w:tc>
          <w:tcPr>
            <w:tcW w:w="1935" w:type="dxa"/>
            <w:tcBorders>
              <w:bottom w:val="single" w:sz="6" w:space="0" w:color="000000"/>
              <w:right w:val="single" w:sz="6" w:space="0" w:color="000000"/>
            </w:tcBorders>
            <w:vAlign w:val="center"/>
          </w:tcPr>
          <w:p w14:paraId="6FB01145" w14:textId="77777777" w:rsidR="002A4BFB" w:rsidRPr="00EE3A4E" w:rsidRDefault="002A4BFB" w:rsidP="00107D76">
            <w:pPr>
              <w:pStyle w:val="ParagraphStyle15"/>
              <w:rPr>
                <w:rStyle w:val="CharacterStyle15"/>
              </w:rPr>
            </w:pPr>
            <w:r w:rsidRPr="00EE3A4E">
              <w:rPr>
                <w:rStyle w:val="CharacterStyle15"/>
              </w:rPr>
              <w:t>57.700,80</w:t>
            </w:r>
          </w:p>
        </w:tc>
        <w:tc>
          <w:tcPr>
            <w:tcW w:w="1935" w:type="dxa"/>
            <w:tcBorders>
              <w:bottom w:val="single" w:sz="6" w:space="0" w:color="000000"/>
              <w:right w:val="single" w:sz="6" w:space="0" w:color="000000"/>
            </w:tcBorders>
            <w:vAlign w:val="center"/>
          </w:tcPr>
          <w:p w14:paraId="50936D31" w14:textId="77777777" w:rsidR="002A4BFB" w:rsidRPr="00EE3A4E" w:rsidRDefault="002A4BFB" w:rsidP="00107D76">
            <w:pPr>
              <w:pStyle w:val="ParagraphStyle15"/>
              <w:rPr>
                <w:rStyle w:val="CharacterStyle15"/>
              </w:rPr>
            </w:pPr>
            <w:r w:rsidRPr="00EE3A4E">
              <w:rPr>
                <w:rStyle w:val="CharacterStyle15"/>
              </w:rPr>
              <w:t>58.900,00</w:t>
            </w:r>
          </w:p>
        </w:tc>
        <w:tc>
          <w:tcPr>
            <w:tcW w:w="1935" w:type="dxa"/>
            <w:tcBorders>
              <w:bottom w:val="single" w:sz="6" w:space="0" w:color="000000"/>
              <w:right w:val="single" w:sz="6" w:space="0" w:color="000000"/>
            </w:tcBorders>
            <w:vAlign w:val="center"/>
          </w:tcPr>
          <w:p w14:paraId="42D0C4A5" w14:textId="77777777" w:rsidR="002A4BFB" w:rsidRPr="00EE3A4E" w:rsidRDefault="002A4BFB" w:rsidP="00107D76">
            <w:pPr>
              <w:pStyle w:val="ParagraphStyle15"/>
              <w:rPr>
                <w:rStyle w:val="CharacterStyle15"/>
              </w:rPr>
            </w:pPr>
            <w:r w:rsidRPr="00EE3A4E">
              <w:rPr>
                <w:rStyle w:val="CharacterStyle15"/>
              </w:rPr>
              <w:t>61.520,00</w:t>
            </w:r>
          </w:p>
        </w:tc>
      </w:tr>
      <w:tr w:rsidR="002A4BFB" w:rsidRPr="00EE3A4E" w14:paraId="0A5A8685" w14:textId="77777777" w:rsidTr="00107D76">
        <w:trPr>
          <w:trHeight w:val="360"/>
        </w:trPr>
        <w:tc>
          <w:tcPr>
            <w:tcW w:w="735" w:type="dxa"/>
            <w:tcBorders>
              <w:left w:val="single" w:sz="6" w:space="0" w:color="000000"/>
              <w:bottom w:val="single" w:sz="6" w:space="0" w:color="000000"/>
              <w:right w:val="single" w:sz="6" w:space="0" w:color="000000"/>
            </w:tcBorders>
            <w:vAlign w:val="center"/>
          </w:tcPr>
          <w:p w14:paraId="5FB9A463" w14:textId="77777777" w:rsidR="002A4BFB" w:rsidRPr="002A4BFB" w:rsidRDefault="002A4BFB" w:rsidP="00107D76">
            <w:pPr>
              <w:pStyle w:val="ParagraphStyle7"/>
              <w:rPr>
                <w:rStyle w:val="CharacterStyle7"/>
                <w:b/>
                <w:i w:val="0"/>
              </w:rPr>
            </w:pPr>
            <w:r w:rsidRPr="002A4BFB">
              <w:rPr>
                <w:rStyle w:val="CharacterStyle7"/>
                <w:b/>
                <w:i w:val="0"/>
              </w:rPr>
              <w:t>7</w:t>
            </w:r>
          </w:p>
        </w:tc>
        <w:tc>
          <w:tcPr>
            <w:tcW w:w="780" w:type="dxa"/>
            <w:tcBorders>
              <w:bottom w:val="single" w:sz="6" w:space="0" w:color="000000"/>
              <w:right w:val="single" w:sz="6" w:space="0" w:color="000000"/>
            </w:tcBorders>
          </w:tcPr>
          <w:p w14:paraId="6FE44094" w14:textId="77777777" w:rsidR="002A4BFB" w:rsidRPr="002A4BFB" w:rsidRDefault="002A4BFB" w:rsidP="009A4261">
            <w:pPr>
              <w:pStyle w:val="ParagraphStyle8"/>
              <w:rPr>
                <w:rStyle w:val="CharacterStyle8"/>
                <w:b/>
                <w:i w:val="0"/>
              </w:rPr>
            </w:pPr>
          </w:p>
        </w:tc>
        <w:tc>
          <w:tcPr>
            <w:tcW w:w="3675" w:type="dxa"/>
            <w:tcBorders>
              <w:bottom w:val="single" w:sz="6" w:space="0" w:color="000000"/>
              <w:right w:val="single" w:sz="6" w:space="0" w:color="000000"/>
            </w:tcBorders>
            <w:vAlign w:val="center"/>
          </w:tcPr>
          <w:p w14:paraId="228E6D12" w14:textId="77777777" w:rsidR="002A4BFB" w:rsidRPr="002A4BFB" w:rsidRDefault="002A4BFB" w:rsidP="002A4BFB">
            <w:pPr>
              <w:pStyle w:val="ParagraphStyle9"/>
              <w:jc w:val="left"/>
              <w:rPr>
                <w:rStyle w:val="CharacterStyle9"/>
                <w:b/>
                <w:i w:val="0"/>
              </w:rPr>
            </w:pPr>
            <w:r w:rsidRPr="002A4BFB">
              <w:rPr>
                <w:rStyle w:val="CharacterStyle9"/>
                <w:b/>
                <w:i w:val="0"/>
              </w:rPr>
              <w:t>Prihodi od prodaje nefinancijske imovine</w:t>
            </w:r>
          </w:p>
        </w:tc>
        <w:tc>
          <w:tcPr>
            <w:tcW w:w="1920" w:type="dxa"/>
            <w:tcBorders>
              <w:bottom w:val="single" w:sz="6" w:space="0" w:color="000000"/>
              <w:right w:val="single" w:sz="6" w:space="0" w:color="000000"/>
            </w:tcBorders>
            <w:vAlign w:val="center"/>
          </w:tcPr>
          <w:p w14:paraId="4CFB1664" w14:textId="77777777" w:rsidR="002A4BFB" w:rsidRPr="002A4BFB" w:rsidRDefault="002A4BFB" w:rsidP="00107D76">
            <w:pPr>
              <w:pStyle w:val="ParagraphStyle10"/>
              <w:jc w:val="right"/>
              <w:rPr>
                <w:rStyle w:val="CharacterStyle10"/>
                <w:b/>
              </w:rPr>
            </w:pPr>
            <w:r w:rsidRPr="002A4BFB">
              <w:rPr>
                <w:rStyle w:val="CharacterStyle10"/>
                <w:b/>
              </w:rPr>
              <w:t>918.876,93</w:t>
            </w:r>
          </w:p>
        </w:tc>
        <w:tc>
          <w:tcPr>
            <w:tcW w:w="1935" w:type="dxa"/>
            <w:tcBorders>
              <w:bottom w:val="single" w:sz="6" w:space="0" w:color="000000"/>
              <w:right w:val="single" w:sz="6" w:space="0" w:color="000000"/>
            </w:tcBorders>
            <w:vAlign w:val="center"/>
          </w:tcPr>
          <w:p w14:paraId="5796E5C6" w14:textId="77777777" w:rsidR="002A4BFB" w:rsidRPr="002A4BFB" w:rsidRDefault="002A4BFB" w:rsidP="00107D76">
            <w:pPr>
              <w:pStyle w:val="ParagraphStyle10"/>
              <w:jc w:val="right"/>
              <w:rPr>
                <w:rStyle w:val="CharacterStyle10"/>
                <w:b/>
              </w:rPr>
            </w:pPr>
            <w:r w:rsidRPr="002A4BFB">
              <w:rPr>
                <w:rStyle w:val="CharacterStyle10"/>
                <w:b/>
              </w:rPr>
              <w:t>2.249.838,46</w:t>
            </w:r>
          </w:p>
        </w:tc>
        <w:tc>
          <w:tcPr>
            <w:tcW w:w="1935" w:type="dxa"/>
            <w:tcBorders>
              <w:bottom w:val="single" w:sz="6" w:space="0" w:color="000000"/>
              <w:right w:val="single" w:sz="6" w:space="0" w:color="000000"/>
            </w:tcBorders>
            <w:vAlign w:val="center"/>
          </w:tcPr>
          <w:p w14:paraId="52F9C8E7" w14:textId="77777777" w:rsidR="002A4BFB" w:rsidRPr="002A4BFB" w:rsidRDefault="002A4BFB" w:rsidP="00107D76">
            <w:pPr>
              <w:pStyle w:val="ParagraphStyle10"/>
              <w:jc w:val="right"/>
              <w:rPr>
                <w:rStyle w:val="CharacterStyle10"/>
                <w:b/>
              </w:rPr>
            </w:pPr>
            <w:r w:rsidRPr="002A4BFB">
              <w:rPr>
                <w:rStyle w:val="CharacterStyle10"/>
                <w:b/>
              </w:rPr>
              <w:t>1.123.953,03</w:t>
            </w:r>
          </w:p>
        </w:tc>
        <w:tc>
          <w:tcPr>
            <w:tcW w:w="1935" w:type="dxa"/>
            <w:tcBorders>
              <w:bottom w:val="single" w:sz="6" w:space="0" w:color="000000"/>
              <w:right w:val="single" w:sz="6" w:space="0" w:color="000000"/>
            </w:tcBorders>
            <w:vAlign w:val="center"/>
          </w:tcPr>
          <w:p w14:paraId="539D15F1" w14:textId="77777777" w:rsidR="002A4BFB" w:rsidRPr="002A4BFB" w:rsidRDefault="002A4BFB" w:rsidP="00107D76">
            <w:pPr>
              <w:pStyle w:val="ParagraphStyle10"/>
              <w:jc w:val="right"/>
              <w:rPr>
                <w:rStyle w:val="CharacterStyle10"/>
                <w:b/>
              </w:rPr>
            </w:pPr>
            <w:r w:rsidRPr="002A4BFB">
              <w:rPr>
                <w:rStyle w:val="CharacterStyle10"/>
                <w:b/>
              </w:rPr>
              <w:t>4.822.677,03</w:t>
            </w:r>
          </w:p>
        </w:tc>
        <w:tc>
          <w:tcPr>
            <w:tcW w:w="1935" w:type="dxa"/>
            <w:tcBorders>
              <w:bottom w:val="single" w:sz="6" w:space="0" w:color="000000"/>
              <w:right w:val="single" w:sz="6" w:space="0" w:color="000000"/>
            </w:tcBorders>
            <w:vAlign w:val="center"/>
          </w:tcPr>
          <w:p w14:paraId="4C5F9817" w14:textId="77777777" w:rsidR="002A4BFB" w:rsidRPr="002A4BFB" w:rsidRDefault="002A4BFB" w:rsidP="00107D76">
            <w:pPr>
              <w:pStyle w:val="ParagraphStyle10"/>
              <w:jc w:val="right"/>
              <w:rPr>
                <w:rStyle w:val="CharacterStyle10"/>
                <w:b/>
              </w:rPr>
            </w:pPr>
            <w:r w:rsidRPr="002A4BFB">
              <w:rPr>
                <w:rStyle w:val="CharacterStyle10"/>
                <w:b/>
              </w:rPr>
              <w:t>1.505.677,03</w:t>
            </w:r>
          </w:p>
        </w:tc>
      </w:tr>
      <w:tr w:rsidR="002A4BFB" w:rsidRPr="00EE3A4E" w14:paraId="55540291" w14:textId="77777777" w:rsidTr="00107D76">
        <w:trPr>
          <w:trHeight w:val="420"/>
        </w:trPr>
        <w:tc>
          <w:tcPr>
            <w:tcW w:w="735" w:type="dxa"/>
            <w:tcBorders>
              <w:left w:val="single" w:sz="6" w:space="0" w:color="000000"/>
              <w:bottom w:val="single" w:sz="6" w:space="0" w:color="000000"/>
              <w:right w:val="single" w:sz="6" w:space="0" w:color="000000"/>
            </w:tcBorders>
            <w:vAlign w:val="center"/>
          </w:tcPr>
          <w:p w14:paraId="4DE75FD4" w14:textId="77777777" w:rsidR="002A4BFB" w:rsidRPr="00EE3A4E" w:rsidRDefault="002A4BFB" w:rsidP="00107D76">
            <w:pPr>
              <w:pStyle w:val="ParagraphStyle11"/>
              <w:rPr>
                <w:rStyle w:val="CharacterStyle11"/>
              </w:rPr>
            </w:pPr>
          </w:p>
        </w:tc>
        <w:tc>
          <w:tcPr>
            <w:tcW w:w="780" w:type="dxa"/>
            <w:tcBorders>
              <w:bottom w:val="single" w:sz="6" w:space="0" w:color="000000"/>
              <w:right w:val="single" w:sz="6" w:space="0" w:color="000000"/>
            </w:tcBorders>
            <w:vAlign w:val="center"/>
          </w:tcPr>
          <w:p w14:paraId="405414BE" w14:textId="77777777" w:rsidR="002A4BFB" w:rsidRPr="00EE3A4E" w:rsidRDefault="002A4BFB" w:rsidP="009A4261">
            <w:pPr>
              <w:pStyle w:val="ParagraphStyle12"/>
              <w:jc w:val="left"/>
              <w:rPr>
                <w:rStyle w:val="CharacterStyle12"/>
              </w:rPr>
            </w:pPr>
            <w:r w:rsidRPr="00EE3A4E">
              <w:rPr>
                <w:rStyle w:val="CharacterStyle12"/>
              </w:rPr>
              <w:t>71</w:t>
            </w:r>
          </w:p>
        </w:tc>
        <w:tc>
          <w:tcPr>
            <w:tcW w:w="3675" w:type="dxa"/>
            <w:tcBorders>
              <w:bottom w:val="single" w:sz="6" w:space="0" w:color="000000"/>
              <w:right w:val="single" w:sz="6" w:space="0" w:color="000000"/>
            </w:tcBorders>
            <w:vAlign w:val="center"/>
          </w:tcPr>
          <w:p w14:paraId="74AC96DC" w14:textId="77777777" w:rsidR="002A4BFB" w:rsidRPr="00EE3A4E" w:rsidRDefault="002A4BFB" w:rsidP="00107D76">
            <w:pPr>
              <w:pStyle w:val="ParagraphStyle13"/>
              <w:rPr>
                <w:rStyle w:val="CharacterStyle13"/>
              </w:rPr>
            </w:pPr>
            <w:r w:rsidRPr="00EE3A4E">
              <w:rPr>
                <w:rStyle w:val="CharacterStyle13"/>
              </w:rPr>
              <w:t>Prihodi od prodaje neproizvedene dugotrajne imovine</w:t>
            </w:r>
          </w:p>
        </w:tc>
        <w:tc>
          <w:tcPr>
            <w:tcW w:w="1920" w:type="dxa"/>
            <w:tcBorders>
              <w:bottom w:val="single" w:sz="6" w:space="0" w:color="000000"/>
              <w:right w:val="single" w:sz="6" w:space="0" w:color="000000"/>
            </w:tcBorders>
            <w:vAlign w:val="center"/>
          </w:tcPr>
          <w:p w14:paraId="1C246DF6" w14:textId="77777777" w:rsidR="002A4BFB" w:rsidRPr="00EE3A4E" w:rsidRDefault="002A4BFB" w:rsidP="00107D76">
            <w:pPr>
              <w:pStyle w:val="ParagraphStyle14"/>
              <w:rPr>
                <w:rStyle w:val="CharacterStyle14"/>
              </w:rPr>
            </w:pPr>
            <w:r w:rsidRPr="00EE3A4E">
              <w:rPr>
                <w:rStyle w:val="CharacterStyle14"/>
              </w:rPr>
              <w:t>765.258,53</w:t>
            </w:r>
          </w:p>
        </w:tc>
        <w:tc>
          <w:tcPr>
            <w:tcW w:w="1935" w:type="dxa"/>
            <w:tcBorders>
              <w:bottom w:val="single" w:sz="6" w:space="0" w:color="000000"/>
              <w:right w:val="single" w:sz="6" w:space="0" w:color="000000"/>
            </w:tcBorders>
            <w:vAlign w:val="center"/>
          </w:tcPr>
          <w:p w14:paraId="3C9B298B" w14:textId="77777777" w:rsidR="002A4BFB" w:rsidRPr="00EE3A4E" w:rsidRDefault="002A4BFB" w:rsidP="00107D76">
            <w:pPr>
              <w:pStyle w:val="ParagraphStyle14"/>
              <w:rPr>
                <w:rStyle w:val="CharacterStyle14"/>
              </w:rPr>
            </w:pPr>
            <w:r w:rsidRPr="00EE3A4E">
              <w:rPr>
                <w:rStyle w:val="CharacterStyle14"/>
              </w:rPr>
              <w:t>1.992.837,96</w:t>
            </w:r>
          </w:p>
        </w:tc>
        <w:tc>
          <w:tcPr>
            <w:tcW w:w="1935" w:type="dxa"/>
            <w:tcBorders>
              <w:bottom w:val="single" w:sz="6" w:space="0" w:color="000000"/>
              <w:right w:val="single" w:sz="6" w:space="0" w:color="000000"/>
            </w:tcBorders>
            <w:vAlign w:val="center"/>
          </w:tcPr>
          <w:p w14:paraId="279595A9" w14:textId="77777777" w:rsidR="002A4BFB" w:rsidRPr="00EE3A4E" w:rsidRDefault="002A4BFB" w:rsidP="00107D76">
            <w:pPr>
              <w:pStyle w:val="ParagraphStyle15"/>
              <w:rPr>
                <w:rStyle w:val="CharacterStyle15"/>
              </w:rPr>
            </w:pPr>
            <w:r w:rsidRPr="00EE3A4E">
              <w:rPr>
                <w:rStyle w:val="CharacterStyle15"/>
              </w:rPr>
              <w:t>1.020.953,03</w:t>
            </w:r>
          </w:p>
        </w:tc>
        <w:tc>
          <w:tcPr>
            <w:tcW w:w="1935" w:type="dxa"/>
            <w:tcBorders>
              <w:bottom w:val="single" w:sz="6" w:space="0" w:color="000000"/>
              <w:right w:val="single" w:sz="6" w:space="0" w:color="000000"/>
            </w:tcBorders>
            <w:vAlign w:val="center"/>
          </w:tcPr>
          <w:p w14:paraId="309B37E8" w14:textId="77777777" w:rsidR="002A4BFB" w:rsidRPr="00EE3A4E" w:rsidRDefault="002A4BFB" w:rsidP="00107D76">
            <w:pPr>
              <w:pStyle w:val="ParagraphStyle15"/>
              <w:rPr>
                <w:rStyle w:val="CharacterStyle15"/>
              </w:rPr>
            </w:pPr>
            <w:r w:rsidRPr="00EE3A4E">
              <w:rPr>
                <w:rStyle w:val="CharacterStyle15"/>
              </w:rPr>
              <w:t>4.822.677,03</w:t>
            </w:r>
          </w:p>
        </w:tc>
        <w:tc>
          <w:tcPr>
            <w:tcW w:w="1935" w:type="dxa"/>
            <w:tcBorders>
              <w:bottom w:val="single" w:sz="6" w:space="0" w:color="000000"/>
              <w:right w:val="single" w:sz="6" w:space="0" w:color="000000"/>
            </w:tcBorders>
            <w:vAlign w:val="center"/>
          </w:tcPr>
          <w:p w14:paraId="4DBC8C02" w14:textId="77777777" w:rsidR="002A4BFB" w:rsidRPr="00EE3A4E" w:rsidRDefault="002A4BFB" w:rsidP="00107D76">
            <w:pPr>
              <w:pStyle w:val="ParagraphStyle15"/>
              <w:rPr>
                <w:rStyle w:val="CharacterStyle15"/>
              </w:rPr>
            </w:pPr>
            <w:r w:rsidRPr="00EE3A4E">
              <w:rPr>
                <w:rStyle w:val="CharacterStyle15"/>
              </w:rPr>
              <w:t>1.505.677,03</w:t>
            </w:r>
          </w:p>
        </w:tc>
      </w:tr>
      <w:tr w:rsidR="002A4BFB" w:rsidRPr="00EE3A4E" w14:paraId="0BA4AD7B" w14:textId="77777777" w:rsidTr="00107D76">
        <w:trPr>
          <w:trHeight w:val="360"/>
        </w:trPr>
        <w:tc>
          <w:tcPr>
            <w:tcW w:w="735" w:type="dxa"/>
            <w:tcBorders>
              <w:left w:val="single" w:sz="6" w:space="0" w:color="000000"/>
              <w:bottom w:val="single" w:sz="6" w:space="0" w:color="000000"/>
              <w:right w:val="single" w:sz="6" w:space="0" w:color="000000"/>
            </w:tcBorders>
            <w:vAlign w:val="center"/>
          </w:tcPr>
          <w:p w14:paraId="12F3465A" w14:textId="77777777" w:rsidR="002A4BFB" w:rsidRPr="00EE3A4E" w:rsidRDefault="002A4BFB" w:rsidP="00107D76">
            <w:pPr>
              <w:pStyle w:val="ParagraphStyle11"/>
              <w:rPr>
                <w:rStyle w:val="CharacterStyle11"/>
              </w:rPr>
            </w:pPr>
          </w:p>
        </w:tc>
        <w:tc>
          <w:tcPr>
            <w:tcW w:w="780" w:type="dxa"/>
            <w:tcBorders>
              <w:bottom w:val="single" w:sz="6" w:space="0" w:color="000000"/>
              <w:right w:val="single" w:sz="6" w:space="0" w:color="000000"/>
            </w:tcBorders>
            <w:vAlign w:val="center"/>
          </w:tcPr>
          <w:p w14:paraId="19DE9DB9" w14:textId="77777777" w:rsidR="002A4BFB" w:rsidRPr="00EE3A4E" w:rsidRDefault="002A4BFB" w:rsidP="009A4261">
            <w:pPr>
              <w:pStyle w:val="ParagraphStyle12"/>
              <w:jc w:val="left"/>
              <w:rPr>
                <w:rStyle w:val="CharacterStyle12"/>
              </w:rPr>
            </w:pPr>
            <w:r w:rsidRPr="00EE3A4E">
              <w:rPr>
                <w:rStyle w:val="CharacterStyle12"/>
              </w:rPr>
              <w:t>72</w:t>
            </w:r>
          </w:p>
        </w:tc>
        <w:tc>
          <w:tcPr>
            <w:tcW w:w="3675" w:type="dxa"/>
            <w:tcBorders>
              <w:bottom w:val="single" w:sz="6" w:space="0" w:color="000000"/>
              <w:right w:val="single" w:sz="6" w:space="0" w:color="000000"/>
            </w:tcBorders>
            <w:vAlign w:val="center"/>
          </w:tcPr>
          <w:p w14:paraId="0C559070" w14:textId="77777777" w:rsidR="002A4BFB" w:rsidRPr="00EE3A4E" w:rsidRDefault="002A4BFB" w:rsidP="00107D76">
            <w:pPr>
              <w:pStyle w:val="ParagraphStyle13"/>
              <w:rPr>
                <w:rStyle w:val="CharacterStyle13"/>
              </w:rPr>
            </w:pPr>
            <w:r w:rsidRPr="00EE3A4E">
              <w:rPr>
                <w:rStyle w:val="CharacterStyle13"/>
              </w:rPr>
              <w:t>Prihodi od prodaje proizvedene dugotrajne imovine</w:t>
            </w:r>
          </w:p>
        </w:tc>
        <w:tc>
          <w:tcPr>
            <w:tcW w:w="1920" w:type="dxa"/>
            <w:tcBorders>
              <w:bottom w:val="single" w:sz="6" w:space="0" w:color="000000"/>
              <w:right w:val="single" w:sz="6" w:space="0" w:color="000000"/>
            </w:tcBorders>
            <w:vAlign w:val="center"/>
          </w:tcPr>
          <w:p w14:paraId="4992BE14" w14:textId="77777777" w:rsidR="002A4BFB" w:rsidRPr="00EE3A4E" w:rsidRDefault="002A4BFB" w:rsidP="00107D76">
            <w:pPr>
              <w:pStyle w:val="ParagraphStyle14"/>
              <w:rPr>
                <w:rStyle w:val="CharacterStyle14"/>
              </w:rPr>
            </w:pPr>
            <w:r w:rsidRPr="00EE3A4E">
              <w:rPr>
                <w:rStyle w:val="CharacterStyle14"/>
              </w:rPr>
              <w:t>153.618,40</w:t>
            </w:r>
          </w:p>
        </w:tc>
        <w:tc>
          <w:tcPr>
            <w:tcW w:w="1935" w:type="dxa"/>
            <w:tcBorders>
              <w:bottom w:val="single" w:sz="6" w:space="0" w:color="000000"/>
              <w:right w:val="single" w:sz="6" w:space="0" w:color="000000"/>
            </w:tcBorders>
            <w:vAlign w:val="center"/>
          </w:tcPr>
          <w:p w14:paraId="1D92D13F" w14:textId="77777777" w:rsidR="002A4BFB" w:rsidRPr="00EE3A4E" w:rsidRDefault="002A4BFB" w:rsidP="00107D76">
            <w:pPr>
              <w:pStyle w:val="ParagraphStyle14"/>
              <w:rPr>
                <w:rStyle w:val="CharacterStyle14"/>
              </w:rPr>
            </w:pPr>
            <w:r w:rsidRPr="00EE3A4E">
              <w:rPr>
                <w:rStyle w:val="CharacterStyle14"/>
              </w:rPr>
              <w:t>257.000,50</w:t>
            </w:r>
          </w:p>
        </w:tc>
        <w:tc>
          <w:tcPr>
            <w:tcW w:w="1935" w:type="dxa"/>
            <w:tcBorders>
              <w:bottom w:val="single" w:sz="6" w:space="0" w:color="000000"/>
              <w:right w:val="single" w:sz="6" w:space="0" w:color="000000"/>
            </w:tcBorders>
            <w:vAlign w:val="center"/>
          </w:tcPr>
          <w:p w14:paraId="24721868" w14:textId="77777777" w:rsidR="002A4BFB" w:rsidRPr="00EE3A4E" w:rsidRDefault="002A4BFB" w:rsidP="00107D76">
            <w:pPr>
              <w:pStyle w:val="ParagraphStyle15"/>
              <w:rPr>
                <w:rStyle w:val="CharacterStyle15"/>
              </w:rPr>
            </w:pPr>
            <w:r w:rsidRPr="00EE3A4E">
              <w:rPr>
                <w:rStyle w:val="CharacterStyle15"/>
              </w:rPr>
              <w:t>103.000,00</w:t>
            </w:r>
          </w:p>
        </w:tc>
        <w:tc>
          <w:tcPr>
            <w:tcW w:w="1935" w:type="dxa"/>
            <w:tcBorders>
              <w:bottom w:val="single" w:sz="6" w:space="0" w:color="000000"/>
              <w:right w:val="single" w:sz="6" w:space="0" w:color="000000"/>
            </w:tcBorders>
            <w:vAlign w:val="center"/>
          </w:tcPr>
          <w:p w14:paraId="481F224D" w14:textId="77777777" w:rsidR="002A4BFB" w:rsidRPr="00EE3A4E" w:rsidRDefault="002A4BFB" w:rsidP="00107D76">
            <w:pPr>
              <w:pStyle w:val="ParagraphStyle15"/>
              <w:rPr>
                <w:rStyle w:val="CharacterStyle15"/>
              </w:rPr>
            </w:pPr>
            <w:r w:rsidRPr="00EE3A4E">
              <w:rPr>
                <w:rStyle w:val="CharacterStyle15"/>
              </w:rPr>
              <w:t>0,00</w:t>
            </w:r>
          </w:p>
        </w:tc>
        <w:tc>
          <w:tcPr>
            <w:tcW w:w="1935" w:type="dxa"/>
            <w:tcBorders>
              <w:bottom w:val="single" w:sz="6" w:space="0" w:color="000000"/>
              <w:right w:val="single" w:sz="6" w:space="0" w:color="000000"/>
            </w:tcBorders>
            <w:vAlign w:val="center"/>
          </w:tcPr>
          <w:p w14:paraId="6D73B99D" w14:textId="77777777" w:rsidR="002A4BFB" w:rsidRPr="00EE3A4E" w:rsidRDefault="002A4BFB" w:rsidP="00107D76">
            <w:pPr>
              <w:pStyle w:val="ParagraphStyle15"/>
              <w:rPr>
                <w:rStyle w:val="CharacterStyle15"/>
              </w:rPr>
            </w:pPr>
            <w:r w:rsidRPr="00EE3A4E">
              <w:rPr>
                <w:rStyle w:val="CharacterStyle15"/>
              </w:rPr>
              <w:t>0,00</w:t>
            </w:r>
          </w:p>
        </w:tc>
      </w:tr>
    </w:tbl>
    <w:p w14:paraId="479FFB75" w14:textId="77777777" w:rsidR="002A4BFB" w:rsidRPr="00EE3A4E" w:rsidRDefault="002A4BFB" w:rsidP="002A4BFB">
      <w:pPr>
        <w:spacing w:line="390" w:lineRule="exact"/>
        <w:rPr>
          <w:sz w:val="16"/>
          <w:szCs w:val="16"/>
        </w:rPr>
      </w:pPr>
    </w:p>
    <w:p w14:paraId="5F7EA50C" w14:textId="77777777" w:rsidR="002A4BFB" w:rsidRPr="00EE3A4E" w:rsidRDefault="002A4BFB" w:rsidP="002A4BFB">
      <w:pPr>
        <w:rPr>
          <w:sz w:val="16"/>
          <w:szCs w:val="16"/>
        </w:rPr>
      </w:pPr>
      <w:r w:rsidRPr="00EE3A4E">
        <w:rPr>
          <w:sz w:val="16"/>
          <w:szCs w:val="16"/>
        </w:rPr>
        <w:br w:type="page"/>
      </w:r>
    </w:p>
    <w:p w14:paraId="188EACA1" w14:textId="77777777" w:rsidR="002A4BFB" w:rsidRPr="00EE3A4E" w:rsidRDefault="002A4BFB" w:rsidP="002A4BFB">
      <w:pPr>
        <w:spacing w:line="390" w:lineRule="exact"/>
        <w:rPr>
          <w:sz w:val="16"/>
          <w:szCs w:val="16"/>
        </w:rPr>
      </w:pPr>
    </w:p>
    <w:tbl>
      <w:tblPr>
        <w:tblW w:w="14850" w:type="dxa"/>
        <w:tblLayout w:type="fixed"/>
        <w:tblCellMar>
          <w:left w:w="0" w:type="dxa"/>
          <w:right w:w="0" w:type="dxa"/>
        </w:tblCellMar>
        <w:tblLook w:val="04A0" w:firstRow="1" w:lastRow="0" w:firstColumn="1" w:lastColumn="0" w:noHBand="0" w:noVBand="1"/>
      </w:tblPr>
      <w:tblGrid>
        <w:gridCol w:w="735"/>
        <w:gridCol w:w="780"/>
        <w:gridCol w:w="3675"/>
        <w:gridCol w:w="1920"/>
        <w:gridCol w:w="1935"/>
        <w:gridCol w:w="1935"/>
        <w:gridCol w:w="1935"/>
        <w:gridCol w:w="1935"/>
      </w:tblGrid>
      <w:tr w:rsidR="002A4BFB" w:rsidRPr="00EE3A4E" w14:paraId="2583E09F" w14:textId="77777777" w:rsidTr="009A4261">
        <w:trPr>
          <w:trHeight w:val="570"/>
        </w:trPr>
        <w:tc>
          <w:tcPr>
            <w:tcW w:w="735" w:type="dxa"/>
            <w:tcBorders>
              <w:top w:val="single" w:sz="6" w:space="0" w:color="000000"/>
              <w:left w:val="single" w:sz="6" w:space="0" w:color="000000"/>
              <w:bottom w:val="single" w:sz="6" w:space="0" w:color="000000"/>
              <w:right w:val="single" w:sz="6" w:space="0" w:color="000000"/>
            </w:tcBorders>
            <w:shd w:val="clear" w:color="auto" w:fill="DCDCDC"/>
            <w:vAlign w:val="center"/>
          </w:tcPr>
          <w:p w14:paraId="34816C37" w14:textId="77777777" w:rsidR="002A4BFB" w:rsidRPr="00EE3A4E" w:rsidRDefault="002A4BFB" w:rsidP="00107D76">
            <w:pPr>
              <w:pStyle w:val="ParagraphStyle2"/>
              <w:rPr>
                <w:rStyle w:val="CharacterStyle2"/>
              </w:rPr>
            </w:pPr>
            <w:r w:rsidRPr="00EE3A4E">
              <w:rPr>
                <w:rStyle w:val="CharacterStyle2"/>
              </w:rPr>
              <w:t>Razred</w:t>
            </w:r>
          </w:p>
        </w:tc>
        <w:tc>
          <w:tcPr>
            <w:tcW w:w="780" w:type="dxa"/>
            <w:tcBorders>
              <w:top w:val="single" w:sz="6" w:space="0" w:color="000000"/>
              <w:bottom w:val="single" w:sz="6" w:space="0" w:color="000000"/>
              <w:right w:val="single" w:sz="6" w:space="0" w:color="000000"/>
            </w:tcBorders>
            <w:shd w:val="clear" w:color="auto" w:fill="DCDCDC"/>
            <w:vAlign w:val="center"/>
          </w:tcPr>
          <w:p w14:paraId="642137A5" w14:textId="77777777" w:rsidR="002A4BFB" w:rsidRPr="00EE3A4E" w:rsidRDefault="002A4BFB" w:rsidP="00107D76">
            <w:pPr>
              <w:pStyle w:val="ParagraphStyle3"/>
              <w:rPr>
                <w:rStyle w:val="CharacterStyle3"/>
              </w:rPr>
            </w:pPr>
            <w:r w:rsidRPr="00EE3A4E">
              <w:rPr>
                <w:rStyle w:val="CharacterStyle3"/>
              </w:rPr>
              <w:t>Skupina</w:t>
            </w:r>
          </w:p>
        </w:tc>
        <w:tc>
          <w:tcPr>
            <w:tcW w:w="3675" w:type="dxa"/>
            <w:tcBorders>
              <w:top w:val="single" w:sz="6" w:space="0" w:color="000000"/>
              <w:bottom w:val="single" w:sz="6" w:space="0" w:color="000000"/>
              <w:right w:val="single" w:sz="6" w:space="0" w:color="000000"/>
            </w:tcBorders>
            <w:shd w:val="clear" w:color="auto" w:fill="DCDCDC"/>
            <w:vAlign w:val="center"/>
          </w:tcPr>
          <w:p w14:paraId="6960A196" w14:textId="77777777" w:rsidR="002A4BFB" w:rsidRPr="00EE3A4E" w:rsidRDefault="002A4BFB" w:rsidP="00107D76">
            <w:pPr>
              <w:pStyle w:val="ParagraphStyle3"/>
              <w:rPr>
                <w:rStyle w:val="CharacterStyle3"/>
              </w:rPr>
            </w:pPr>
            <w:r w:rsidRPr="00EE3A4E">
              <w:rPr>
                <w:rStyle w:val="CharacterStyle3"/>
              </w:rPr>
              <w:t>Naziv rashoda</w:t>
            </w:r>
          </w:p>
        </w:tc>
        <w:tc>
          <w:tcPr>
            <w:tcW w:w="1920" w:type="dxa"/>
            <w:tcBorders>
              <w:top w:val="single" w:sz="6" w:space="0" w:color="000000"/>
              <w:bottom w:val="single" w:sz="6" w:space="0" w:color="000000"/>
              <w:right w:val="single" w:sz="6" w:space="0" w:color="000000"/>
            </w:tcBorders>
            <w:shd w:val="clear" w:color="auto" w:fill="DCDCDC"/>
            <w:vAlign w:val="center"/>
          </w:tcPr>
          <w:p w14:paraId="3B23DFDE" w14:textId="77777777" w:rsidR="002A4BFB" w:rsidRPr="00EE3A4E" w:rsidRDefault="002A4BFB" w:rsidP="00107D76">
            <w:pPr>
              <w:pStyle w:val="ParagraphStyle3"/>
              <w:rPr>
                <w:rStyle w:val="CharacterStyle3"/>
              </w:rPr>
            </w:pPr>
            <w:r w:rsidRPr="00EE3A4E">
              <w:rPr>
                <w:rStyle w:val="CharacterStyle3"/>
              </w:rPr>
              <w:t>Izvršenje 2024.</w:t>
            </w:r>
          </w:p>
        </w:tc>
        <w:tc>
          <w:tcPr>
            <w:tcW w:w="1935" w:type="dxa"/>
            <w:tcBorders>
              <w:top w:val="single" w:sz="6" w:space="0" w:color="000000"/>
              <w:bottom w:val="single" w:sz="6" w:space="0" w:color="000000"/>
              <w:right w:val="single" w:sz="6" w:space="0" w:color="000000"/>
            </w:tcBorders>
            <w:shd w:val="clear" w:color="auto" w:fill="DCDCDC"/>
            <w:vAlign w:val="center"/>
          </w:tcPr>
          <w:p w14:paraId="6A502276" w14:textId="77777777" w:rsidR="002A4BFB" w:rsidRPr="00EE3A4E" w:rsidRDefault="002A4BFB" w:rsidP="00107D76">
            <w:pPr>
              <w:pStyle w:val="ParagraphStyle3"/>
              <w:rPr>
                <w:rStyle w:val="CharacterStyle3"/>
              </w:rPr>
            </w:pPr>
            <w:r w:rsidRPr="00EE3A4E">
              <w:rPr>
                <w:rStyle w:val="CharacterStyle3"/>
              </w:rPr>
              <w:t>Tekući plan 2025.</w:t>
            </w:r>
          </w:p>
        </w:tc>
        <w:tc>
          <w:tcPr>
            <w:tcW w:w="1935" w:type="dxa"/>
            <w:tcBorders>
              <w:top w:val="single" w:sz="6" w:space="0" w:color="000000"/>
              <w:bottom w:val="single" w:sz="6" w:space="0" w:color="000000"/>
              <w:right w:val="single" w:sz="6" w:space="0" w:color="000000"/>
            </w:tcBorders>
            <w:shd w:val="clear" w:color="auto" w:fill="DCDCDC"/>
            <w:vAlign w:val="center"/>
          </w:tcPr>
          <w:p w14:paraId="1F46E867" w14:textId="77777777" w:rsidR="002A4BFB" w:rsidRPr="00EE3A4E" w:rsidRDefault="002A4BFB" w:rsidP="00107D76">
            <w:pPr>
              <w:pStyle w:val="ParagraphStyle3"/>
              <w:rPr>
                <w:rStyle w:val="CharacterStyle3"/>
              </w:rPr>
            </w:pPr>
            <w:r w:rsidRPr="00EE3A4E">
              <w:rPr>
                <w:rStyle w:val="CharacterStyle3"/>
              </w:rPr>
              <w:t>Plan 2026.</w:t>
            </w:r>
          </w:p>
        </w:tc>
        <w:tc>
          <w:tcPr>
            <w:tcW w:w="1935" w:type="dxa"/>
            <w:tcBorders>
              <w:top w:val="single" w:sz="6" w:space="0" w:color="000000"/>
              <w:bottom w:val="single" w:sz="6" w:space="0" w:color="000000"/>
              <w:right w:val="single" w:sz="6" w:space="0" w:color="000000"/>
            </w:tcBorders>
            <w:shd w:val="clear" w:color="auto" w:fill="DCDCDC"/>
            <w:vAlign w:val="center"/>
          </w:tcPr>
          <w:p w14:paraId="7E4E8198" w14:textId="77777777" w:rsidR="002A4BFB" w:rsidRPr="00EE3A4E" w:rsidRDefault="002A4BFB" w:rsidP="00107D76">
            <w:pPr>
              <w:pStyle w:val="ParagraphStyle3"/>
              <w:rPr>
                <w:rStyle w:val="CharacterStyle3"/>
              </w:rPr>
            </w:pPr>
            <w:r w:rsidRPr="00EE3A4E">
              <w:rPr>
                <w:rStyle w:val="CharacterStyle3"/>
              </w:rPr>
              <w:t>Projekcija 2027.</w:t>
            </w:r>
          </w:p>
        </w:tc>
        <w:tc>
          <w:tcPr>
            <w:tcW w:w="1935" w:type="dxa"/>
            <w:tcBorders>
              <w:top w:val="single" w:sz="6" w:space="0" w:color="000000"/>
              <w:bottom w:val="single" w:sz="6" w:space="0" w:color="000000"/>
              <w:right w:val="single" w:sz="6" w:space="0" w:color="000000"/>
            </w:tcBorders>
            <w:shd w:val="clear" w:color="auto" w:fill="DCDCDC"/>
            <w:vAlign w:val="center"/>
          </w:tcPr>
          <w:p w14:paraId="24CE9DAE" w14:textId="77777777" w:rsidR="002A4BFB" w:rsidRPr="00EE3A4E" w:rsidRDefault="002A4BFB" w:rsidP="00107D76">
            <w:pPr>
              <w:pStyle w:val="ParagraphStyle3"/>
              <w:rPr>
                <w:rStyle w:val="CharacterStyle3"/>
              </w:rPr>
            </w:pPr>
            <w:r w:rsidRPr="00EE3A4E">
              <w:rPr>
                <w:rStyle w:val="CharacterStyle3"/>
              </w:rPr>
              <w:t>Projekcija 2028.</w:t>
            </w:r>
          </w:p>
        </w:tc>
      </w:tr>
      <w:tr w:rsidR="009A4261" w:rsidRPr="00EE3A4E" w14:paraId="4B65C10E" w14:textId="77777777" w:rsidTr="009A4261">
        <w:trPr>
          <w:trHeight w:val="330"/>
        </w:trPr>
        <w:tc>
          <w:tcPr>
            <w:tcW w:w="735" w:type="dxa"/>
            <w:tcBorders>
              <w:left w:val="single" w:sz="6" w:space="0" w:color="000000"/>
              <w:bottom w:val="single" w:sz="6" w:space="0" w:color="000000"/>
              <w:right w:val="single" w:sz="6" w:space="0" w:color="000000"/>
            </w:tcBorders>
            <w:vAlign w:val="center"/>
          </w:tcPr>
          <w:p w14:paraId="4F4D0762" w14:textId="77777777" w:rsidR="009A4261" w:rsidRPr="00EE3A4E" w:rsidRDefault="009A4261" w:rsidP="009A4261">
            <w:pPr>
              <w:pStyle w:val="ParagraphStyle4"/>
              <w:rPr>
                <w:rStyle w:val="CharacterStyle4"/>
              </w:rPr>
            </w:pPr>
          </w:p>
        </w:tc>
        <w:tc>
          <w:tcPr>
            <w:tcW w:w="780" w:type="dxa"/>
            <w:tcBorders>
              <w:bottom w:val="single" w:sz="6" w:space="0" w:color="000000"/>
              <w:right w:val="single" w:sz="6" w:space="0" w:color="000000"/>
            </w:tcBorders>
            <w:vAlign w:val="center"/>
          </w:tcPr>
          <w:p w14:paraId="5921095A" w14:textId="77777777" w:rsidR="009A4261" w:rsidRPr="00EE3A4E" w:rsidRDefault="009A4261" w:rsidP="009A4261">
            <w:pPr>
              <w:pStyle w:val="ParagraphStyle5"/>
              <w:rPr>
                <w:rStyle w:val="CharacterStyle5"/>
              </w:rPr>
            </w:pPr>
          </w:p>
        </w:tc>
        <w:tc>
          <w:tcPr>
            <w:tcW w:w="3675" w:type="dxa"/>
            <w:tcBorders>
              <w:bottom w:val="single" w:sz="6" w:space="0" w:color="000000"/>
              <w:right w:val="single" w:sz="6" w:space="0" w:color="000000"/>
            </w:tcBorders>
            <w:vAlign w:val="center"/>
          </w:tcPr>
          <w:p w14:paraId="637097DC" w14:textId="77777777" w:rsidR="009A4261" w:rsidRPr="00EE3A4E" w:rsidRDefault="009A4261" w:rsidP="009A4261">
            <w:pPr>
              <w:pStyle w:val="ParagraphStyle5"/>
              <w:rPr>
                <w:rStyle w:val="CharacterStyle5"/>
              </w:rPr>
            </w:pPr>
            <w:r w:rsidRPr="00EE3A4E">
              <w:rPr>
                <w:rStyle w:val="CharacterStyle5"/>
              </w:rPr>
              <w:t>UKUPNO RASHODI</w:t>
            </w:r>
          </w:p>
        </w:tc>
        <w:tc>
          <w:tcPr>
            <w:tcW w:w="1920" w:type="dxa"/>
            <w:tcBorders>
              <w:bottom w:val="single" w:sz="6" w:space="0" w:color="000000"/>
              <w:right w:val="single" w:sz="6" w:space="0" w:color="000000"/>
            </w:tcBorders>
            <w:vAlign w:val="center"/>
          </w:tcPr>
          <w:p w14:paraId="717ECEC7" w14:textId="77777777" w:rsidR="009A4261" w:rsidRPr="009A4261" w:rsidRDefault="009A4261" w:rsidP="009A4261">
            <w:pPr>
              <w:pStyle w:val="ParagraphStyle6"/>
              <w:rPr>
                <w:rStyle w:val="CharacterStyle6"/>
              </w:rPr>
            </w:pPr>
            <w:r w:rsidRPr="009A4261">
              <w:rPr>
                <w:rStyle w:val="CharacterStyle6"/>
              </w:rPr>
              <w:t>36.433.400,28</w:t>
            </w:r>
          </w:p>
        </w:tc>
        <w:tc>
          <w:tcPr>
            <w:tcW w:w="1935" w:type="dxa"/>
            <w:tcBorders>
              <w:bottom w:val="single" w:sz="6" w:space="0" w:color="000000"/>
              <w:right w:val="single" w:sz="6" w:space="0" w:color="000000"/>
            </w:tcBorders>
            <w:vAlign w:val="center"/>
          </w:tcPr>
          <w:p w14:paraId="28CF8BCD" w14:textId="77777777" w:rsidR="009A4261" w:rsidRPr="009A4261" w:rsidRDefault="009A4261" w:rsidP="009A4261">
            <w:pPr>
              <w:pStyle w:val="ParagraphStyle6"/>
              <w:rPr>
                <w:rStyle w:val="CharacterStyle6"/>
              </w:rPr>
            </w:pPr>
            <w:r w:rsidRPr="009A4261">
              <w:rPr>
                <w:rStyle w:val="CharacterStyle6"/>
              </w:rPr>
              <w:t>64.342.564,00</w:t>
            </w:r>
          </w:p>
        </w:tc>
        <w:tc>
          <w:tcPr>
            <w:tcW w:w="1935" w:type="dxa"/>
            <w:tcBorders>
              <w:bottom w:val="single" w:sz="6" w:space="0" w:color="000000"/>
              <w:right w:val="single" w:sz="6" w:space="0" w:color="000000"/>
            </w:tcBorders>
            <w:vAlign w:val="center"/>
          </w:tcPr>
          <w:p w14:paraId="3D32F357" w14:textId="77777777" w:rsidR="009A4261" w:rsidRPr="009A4261" w:rsidRDefault="009A4261" w:rsidP="009A4261">
            <w:pPr>
              <w:pStyle w:val="ParagraphStyle6"/>
              <w:rPr>
                <w:rStyle w:val="CharacterStyle6"/>
              </w:rPr>
            </w:pPr>
            <w:r w:rsidRPr="009A4261">
              <w:rPr>
                <w:rStyle w:val="CharacterStyle6"/>
              </w:rPr>
              <w:t>61.300.500,00</w:t>
            </w:r>
          </w:p>
        </w:tc>
        <w:tc>
          <w:tcPr>
            <w:tcW w:w="1935" w:type="dxa"/>
            <w:tcBorders>
              <w:bottom w:val="single" w:sz="6" w:space="0" w:color="000000"/>
              <w:right w:val="single" w:sz="6" w:space="0" w:color="000000"/>
            </w:tcBorders>
            <w:vAlign w:val="center"/>
          </w:tcPr>
          <w:p w14:paraId="66AE2F76" w14:textId="77777777" w:rsidR="009A4261" w:rsidRPr="009A4261" w:rsidRDefault="009A4261" w:rsidP="009A4261">
            <w:pPr>
              <w:pStyle w:val="ParagraphStyle6"/>
              <w:rPr>
                <w:rStyle w:val="CharacterStyle6"/>
              </w:rPr>
            </w:pPr>
            <w:r w:rsidRPr="009A4261">
              <w:rPr>
                <w:rStyle w:val="CharacterStyle6"/>
              </w:rPr>
              <w:t>46.238.000,00</w:t>
            </w:r>
          </w:p>
        </w:tc>
        <w:tc>
          <w:tcPr>
            <w:tcW w:w="1935" w:type="dxa"/>
            <w:tcBorders>
              <w:bottom w:val="single" w:sz="6" w:space="0" w:color="000000"/>
              <w:right w:val="single" w:sz="6" w:space="0" w:color="000000"/>
            </w:tcBorders>
            <w:vAlign w:val="center"/>
          </w:tcPr>
          <w:p w14:paraId="435FC06C" w14:textId="77777777" w:rsidR="009A4261" w:rsidRPr="009A4261" w:rsidRDefault="009A4261" w:rsidP="009A4261">
            <w:pPr>
              <w:pStyle w:val="ParagraphStyle6"/>
              <w:rPr>
                <w:rStyle w:val="CharacterStyle6"/>
              </w:rPr>
            </w:pPr>
            <w:r w:rsidRPr="009A4261">
              <w:rPr>
                <w:rStyle w:val="CharacterStyle6"/>
              </w:rPr>
              <w:t>40.462.500,00</w:t>
            </w:r>
          </w:p>
        </w:tc>
      </w:tr>
      <w:tr w:rsidR="009A4261" w:rsidRPr="00EE3A4E" w14:paraId="66CD96FD" w14:textId="77777777" w:rsidTr="009A4261">
        <w:trPr>
          <w:trHeight w:val="360"/>
        </w:trPr>
        <w:tc>
          <w:tcPr>
            <w:tcW w:w="735" w:type="dxa"/>
            <w:tcBorders>
              <w:left w:val="single" w:sz="6" w:space="0" w:color="000000"/>
              <w:bottom w:val="single" w:sz="6" w:space="0" w:color="000000"/>
              <w:right w:val="single" w:sz="6" w:space="0" w:color="000000"/>
            </w:tcBorders>
            <w:vAlign w:val="center"/>
          </w:tcPr>
          <w:p w14:paraId="19AC1D6A" w14:textId="77777777" w:rsidR="009A4261" w:rsidRPr="002A4BFB" w:rsidRDefault="009A4261" w:rsidP="009A4261">
            <w:pPr>
              <w:pStyle w:val="ParagraphStyle7"/>
              <w:rPr>
                <w:rStyle w:val="CharacterStyle7"/>
                <w:b/>
                <w:i w:val="0"/>
              </w:rPr>
            </w:pPr>
            <w:r w:rsidRPr="002A4BFB">
              <w:rPr>
                <w:rStyle w:val="CharacterStyle7"/>
                <w:b/>
                <w:i w:val="0"/>
              </w:rPr>
              <w:t>3</w:t>
            </w:r>
          </w:p>
        </w:tc>
        <w:tc>
          <w:tcPr>
            <w:tcW w:w="780" w:type="dxa"/>
            <w:tcBorders>
              <w:bottom w:val="single" w:sz="6" w:space="0" w:color="000000"/>
              <w:right w:val="single" w:sz="6" w:space="0" w:color="000000"/>
            </w:tcBorders>
          </w:tcPr>
          <w:p w14:paraId="7AF1317D" w14:textId="77777777" w:rsidR="009A4261" w:rsidRPr="002A4BFB" w:rsidRDefault="009A4261" w:rsidP="009A4261">
            <w:pPr>
              <w:pStyle w:val="ParagraphStyle8"/>
              <w:rPr>
                <w:rStyle w:val="CharacterStyle8"/>
                <w:b/>
                <w:i w:val="0"/>
              </w:rPr>
            </w:pPr>
          </w:p>
        </w:tc>
        <w:tc>
          <w:tcPr>
            <w:tcW w:w="3675" w:type="dxa"/>
            <w:tcBorders>
              <w:bottom w:val="single" w:sz="6" w:space="0" w:color="000000"/>
              <w:right w:val="single" w:sz="6" w:space="0" w:color="000000"/>
            </w:tcBorders>
            <w:vAlign w:val="center"/>
          </w:tcPr>
          <w:p w14:paraId="12047B47" w14:textId="77777777" w:rsidR="009A4261" w:rsidRPr="002A4BFB" w:rsidRDefault="009A4261" w:rsidP="009A4261">
            <w:pPr>
              <w:pStyle w:val="ParagraphStyle9"/>
              <w:jc w:val="left"/>
              <w:rPr>
                <w:rStyle w:val="CharacterStyle9"/>
                <w:b/>
                <w:i w:val="0"/>
              </w:rPr>
            </w:pPr>
            <w:r w:rsidRPr="002A4BFB">
              <w:rPr>
                <w:rStyle w:val="CharacterStyle9"/>
                <w:b/>
                <w:i w:val="0"/>
              </w:rPr>
              <w:t>Rashodi poslovanja</w:t>
            </w:r>
          </w:p>
        </w:tc>
        <w:tc>
          <w:tcPr>
            <w:tcW w:w="1920" w:type="dxa"/>
            <w:tcBorders>
              <w:bottom w:val="single" w:sz="6" w:space="0" w:color="000000"/>
              <w:right w:val="single" w:sz="6" w:space="0" w:color="000000"/>
            </w:tcBorders>
            <w:vAlign w:val="center"/>
          </w:tcPr>
          <w:p w14:paraId="50FA17CD" w14:textId="77777777" w:rsidR="009A4261" w:rsidRPr="009A4261" w:rsidRDefault="009A4261" w:rsidP="009A4261">
            <w:pPr>
              <w:pStyle w:val="ParagraphStyle10"/>
              <w:jc w:val="right"/>
              <w:rPr>
                <w:rStyle w:val="CharacterStyle10"/>
                <w:b/>
              </w:rPr>
            </w:pPr>
            <w:r w:rsidRPr="009A4261">
              <w:rPr>
                <w:rStyle w:val="CharacterStyle10"/>
                <w:b/>
              </w:rPr>
              <w:t>25.776.812,51</w:t>
            </w:r>
          </w:p>
        </w:tc>
        <w:tc>
          <w:tcPr>
            <w:tcW w:w="1935" w:type="dxa"/>
            <w:tcBorders>
              <w:bottom w:val="single" w:sz="6" w:space="0" w:color="000000"/>
              <w:right w:val="single" w:sz="6" w:space="0" w:color="000000"/>
            </w:tcBorders>
            <w:vAlign w:val="center"/>
          </w:tcPr>
          <w:p w14:paraId="256FF87A" w14:textId="77777777" w:rsidR="009A4261" w:rsidRPr="009A4261" w:rsidRDefault="009A4261" w:rsidP="009A4261">
            <w:pPr>
              <w:pStyle w:val="ParagraphStyle10"/>
              <w:jc w:val="right"/>
              <w:rPr>
                <w:rStyle w:val="CharacterStyle10"/>
                <w:b/>
              </w:rPr>
            </w:pPr>
            <w:r w:rsidRPr="009A4261">
              <w:rPr>
                <w:rStyle w:val="CharacterStyle10"/>
                <w:b/>
              </w:rPr>
              <w:t>34.856.919,98</w:t>
            </w:r>
          </w:p>
        </w:tc>
        <w:tc>
          <w:tcPr>
            <w:tcW w:w="1935" w:type="dxa"/>
            <w:tcBorders>
              <w:bottom w:val="single" w:sz="6" w:space="0" w:color="000000"/>
              <w:right w:val="single" w:sz="6" w:space="0" w:color="000000"/>
            </w:tcBorders>
            <w:vAlign w:val="center"/>
          </w:tcPr>
          <w:p w14:paraId="539C3477" w14:textId="77777777" w:rsidR="009A4261" w:rsidRPr="009A4261" w:rsidRDefault="009A4261" w:rsidP="009A4261">
            <w:pPr>
              <w:pStyle w:val="ParagraphStyle10"/>
              <w:jc w:val="right"/>
              <w:rPr>
                <w:rStyle w:val="CharacterStyle10"/>
                <w:b/>
              </w:rPr>
            </w:pPr>
            <w:r w:rsidRPr="009A4261">
              <w:rPr>
                <w:rStyle w:val="CharacterStyle10"/>
                <w:b/>
              </w:rPr>
              <w:t>35.460.041,50</w:t>
            </w:r>
          </w:p>
        </w:tc>
        <w:tc>
          <w:tcPr>
            <w:tcW w:w="1935" w:type="dxa"/>
            <w:tcBorders>
              <w:bottom w:val="single" w:sz="6" w:space="0" w:color="000000"/>
              <w:right w:val="single" w:sz="6" w:space="0" w:color="000000"/>
            </w:tcBorders>
            <w:vAlign w:val="center"/>
          </w:tcPr>
          <w:p w14:paraId="2A959266" w14:textId="77777777" w:rsidR="009A4261" w:rsidRPr="009A4261" w:rsidRDefault="009A4261" w:rsidP="009A4261">
            <w:pPr>
              <w:pStyle w:val="ParagraphStyle10"/>
              <w:jc w:val="right"/>
              <w:rPr>
                <w:rStyle w:val="CharacterStyle10"/>
                <w:b/>
              </w:rPr>
            </w:pPr>
            <w:r w:rsidRPr="009A4261">
              <w:rPr>
                <w:rStyle w:val="CharacterStyle10"/>
                <w:b/>
              </w:rPr>
              <w:t>35.328.863,05</w:t>
            </w:r>
          </w:p>
        </w:tc>
        <w:tc>
          <w:tcPr>
            <w:tcW w:w="1935" w:type="dxa"/>
            <w:tcBorders>
              <w:bottom w:val="single" w:sz="6" w:space="0" w:color="000000"/>
              <w:right w:val="single" w:sz="6" w:space="0" w:color="000000"/>
            </w:tcBorders>
            <w:vAlign w:val="center"/>
          </w:tcPr>
          <w:p w14:paraId="471E0C60" w14:textId="77777777" w:rsidR="009A4261" w:rsidRPr="009A4261" w:rsidRDefault="009A4261" w:rsidP="009A4261">
            <w:pPr>
              <w:pStyle w:val="ParagraphStyle10"/>
              <w:jc w:val="right"/>
              <w:rPr>
                <w:rStyle w:val="CharacterStyle10"/>
                <w:b/>
              </w:rPr>
            </w:pPr>
            <w:r w:rsidRPr="009A4261">
              <w:rPr>
                <w:rStyle w:val="CharacterStyle10"/>
                <w:b/>
              </w:rPr>
              <w:t>35.250.057,25</w:t>
            </w:r>
          </w:p>
        </w:tc>
      </w:tr>
      <w:tr w:rsidR="009A4261" w:rsidRPr="00EE3A4E" w14:paraId="511BF250" w14:textId="77777777" w:rsidTr="009A4261">
        <w:trPr>
          <w:trHeight w:val="360"/>
        </w:trPr>
        <w:tc>
          <w:tcPr>
            <w:tcW w:w="735" w:type="dxa"/>
            <w:tcBorders>
              <w:left w:val="single" w:sz="6" w:space="0" w:color="000000"/>
              <w:bottom w:val="single" w:sz="6" w:space="0" w:color="000000"/>
              <w:right w:val="single" w:sz="6" w:space="0" w:color="000000"/>
            </w:tcBorders>
            <w:vAlign w:val="center"/>
          </w:tcPr>
          <w:p w14:paraId="78265920" w14:textId="77777777" w:rsidR="009A4261" w:rsidRPr="00EE3A4E" w:rsidRDefault="009A4261" w:rsidP="009A4261">
            <w:pPr>
              <w:pStyle w:val="ParagraphStyle11"/>
              <w:rPr>
                <w:rStyle w:val="CharacterStyle11"/>
              </w:rPr>
            </w:pPr>
          </w:p>
        </w:tc>
        <w:tc>
          <w:tcPr>
            <w:tcW w:w="780" w:type="dxa"/>
            <w:tcBorders>
              <w:bottom w:val="single" w:sz="6" w:space="0" w:color="000000"/>
              <w:right w:val="single" w:sz="6" w:space="0" w:color="000000"/>
            </w:tcBorders>
            <w:vAlign w:val="center"/>
          </w:tcPr>
          <w:p w14:paraId="72360C12" w14:textId="77777777" w:rsidR="009A4261" w:rsidRPr="00EE3A4E" w:rsidRDefault="009A4261" w:rsidP="009A4261">
            <w:pPr>
              <w:pStyle w:val="ParagraphStyle12"/>
              <w:jc w:val="left"/>
              <w:rPr>
                <w:rStyle w:val="CharacterStyle12"/>
              </w:rPr>
            </w:pPr>
            <w:r w:rsidRPr="00EE3A4E">
              <w:rPr>
                <w:rStyle w:val="CharacterStyle12"/>
              </w:rPr>
              <w:t>31</w:t>
            </w:r>
          </w:p>
        </w:tc>
        <w:tc>
          <w:tcPr>
            <w:tcW w:w="3675" w:type="dxa"/>
            <w:tcBorders>
              <w:bottom w:val="single" w:sz="6" w:space="0" w:color="000000"/>
              <w:right w:val="single" w:sz="6" w:space="0" w:color="000000"/>
            </w:tcBorders>
            <w:vAlign w:val="center"/>
          </w:tcPr>
          <w:p w14:paraId="1E79FAAA" w14:textId="77777777" w:rsidR="009A4261" w:rsidRPr="00EE3A4E" w:rsidRDefault="009A4261" w:rsidP="009A4261">
            <w:pPr>
              <w:pStyle w:val="ParagraphStyle13"/>
              <w:rPr>
                <w:rStyle w:val="CharacterStyle13"/>
              </w:rPr>
            </w:pPr>
            <w:r w:rsidRPr="00EE3A4E">
              <w:rPr>
                <w:rStyle w:val="CharacterStyle13"/>
              </w:rPr>
              <w:t>Rashodi za zaposlene</w:t>
            </w:r>
          </w:p>
        </w:tc>
        <w:tc>
          <w:tcPr>
            <w:tcW w:w="1920" w:type="dxa"/>
            <w:tcBorders>
              <w:bottom w:val="single" w:sz="6" w:space="0" w:color="000000"/>
              <w:right w:val="single" w:sz="6" w:space="0" w:color="000000"/>
            </w:tcBorders>
            <w:vAlign w:val="center"/>
          </w:tcPr>
          <w:p w14:paraId="4892036E" w14:textId="77777777" w:rsidR="009A4261" w:rsidRPr="00EE3A4E" w:rsidRDefault="009A4261" w:rsidP="009A4261">
            <w:pPr>
              <w:pStyle w:val="ParagraphStyle14"/>
              <w:rPr>
                <w:rStyle w:val="CharacterStyle14"/>
              </w:rPr>
            </w:pPr>
            <w:r w:rsidRPr="00EE3A4E">
              <w:rPr>
                <w:rStyle w:val="CharacterStyle14"/>
              </w:rPr>
              <w:t>12.932.889,30</w:t>
            </w:r>
          </w:p>
        </w:tc>
        <w:tc>
          <w:tcPr>
            <w:tcW w:w="1935" w:type="dxa"/>
            <w:tcBorders>
              <w:bottom w:val="single" w:sz="6" w:space="0" w:color="000000"/>
              <w:right w:val="single" w:sz="6" w:space="0" w:color="000000"/>
            </w:tcBorders>
            <w:vAlign w:val="center"/>
          </w:tcPr>
          <w:p w14:paraId="249A6B3A" w14:textId="77777777" w:rsidR="009A4261" w:rsidRPr="00EE3A4E" w:rsidRDefault="009A4261" w:rsidP="009A4261">
            <w:pPr>
              <w:pStyle w:val="ParagraphStyle14"/>
              <w:rPr>
                <w:rStyle w:val="CharacterStyle14"/>
              </w:rPr>
            </w:pPr>
            <w:r w:rsidRPr="00EE3A4E">
              <w:rPr>
                <w:rStyle w:val="CharacterStyle14"/>
              </w:rPr>
              <w:t>17.556.444,42</w:t>
            </w:r>
          </w:p>
        </w:tc>
        <w:tc>
          <w:tcPr>
            <w:tcW w:w="1935" w:type="dxa"/>
            <w:tcBorders>
              <w:bottom w:val="single" w:sz="6" w:space="0" w:color="000000"/>
              <w:right w:val="single" w:sz="6" w:space="0" w:color="000000"/>
            </w:tcBorders>
            <w:vAlign w:val="center"/>
          </w:tcPr>
          <w:p w14:paraId="531068DC" w14:textId="77777777" w:rsidR="009A4261" w:rsidRDefault="009A4261" w:rsidP="009A4261">
            <w:pPr>
              <w:pStyle w:val="ParagraphStyle15"/>
              <w:rPr>
                <w:rStyle w:val="CharacterStyle15"/>
              </w:rPr>
            </w:pPr>
            <w:r>
              <w:rPr>
                <w:rStyle w:val="CharacterStyle15"/>
              </w:rPr>
              <w:t>17.745.924,66</w:t>
            </w:r>
          </w:p>
        </w:tc>
        <w:tc>
          <w:tcPr>
            <w:tcW w:w="1935" w:type="dxa"/>
            <w:tcBorders>
              <w:bottom w:val="single" w:sz="6" w:space="0" w:color="000000"/>
              <w:right w:val="single" w:sz="6" w:space="0" w:color="000000"/>
            </w:tcBorders>
            <w:vAlign w:val="center"/>
          </w:tcPr>
          <w:p w14:paraId="3793A321" w14:textId="77777777" w:rsidR="009A4261" w:rsidRDefault="009A4261" w:rsidP="009A4261">
            <w:pPr>
              <w:pStyle w:val="ParagraphStyle15"/>
              <w:rPr>
                <w:rStyle w:val="CharacterStyle15"/>
              </w:rPr>
            </w:pPr>
            <w:r>
              <w:rPr>
                <w:rStyle w:val="CharacterStyle15"/>
              </w:rPr>
              <w:t>18.248.717,12</w:t>
            </w:r>
          </w:p>
        </w:tc>
        <w:tc>
          <w:tcPr>
            <w:tcW w:w="1935" w:type="dxa"/>
            <w:tcBorders>
              <w:bottom w:val="single" w:sz="6" w:space="0" w:color="000000"/>
              <w:right w:val="single" w:sz="6" w:space="0" w:color="000000"/>
            </w:tcBorders>
            <w:vAlign w:val="center"/>
          </w:tcPr>
          <w:p w14:paraId="35E5EF59" w14:textId="77777777" w:rsidR="009A4261" w:rsidRDefault="009A4261" w:rsidP="009A4261">
            <w:pPr>
              <w:pStyle w:val="ParagraphStyle15"/>
              <w:rPr>
                <w:rStyle w:val="CharacterStyle15"/>
              </w:rPr>
            </w:pPr>
            <w:r>
              <w:rPr>
                <w:rStyle w:val="CharacterStyle15"/>
              </w:rPr>
              <w:t>18.490.908,73</w:t>
            </w:r>
          </w:p>
        </w:tc>
      </w:tr>
      <w:tr w:rsidR="009A4261" w:rsidRPr="00EE3A4E" w14:paraId="717A9595" w14:textId="77777777" w:rsidTr="009A4261">
        <w:trPr>
          <w:trHeight w:val="360"/>
        </w:trPr>
        <w:tc>
          <w:tcPr>
            <w:tcW w:w="735" w:type="dxa"/>
            <w:tcBorders>
              <w:left w:val="single" w:sz="6" w:space="0" w:color="000000"/>
              <w:bottom w:val="single" w:sz="6" w:space="0" w:color="000000"/>
              <w:right w:val="single" w:sz="6" w:space="0" w:color="000000"/>
            </w:tcBorders>
            <w:vAlign w:val="center"/>
          </w:tcPr>
          <w:p w14:paraId="382BBDC1" w14:textId="77777777" w:rsidR="009A4261" w:rsidRPr="00EE3A4E" w:rsidRDefault="009A4261" w:rsidP="009A4261">
            <w:pPr>
              <w:pStyle w:val="ParagraphStyle11"/>
              <w:rPr>
                <w:rStyle w:val="CharacterStyle11"/>
              </w:rPr>
            </w:pPr>
          </w:p>
        </w:tc>
        <w:tc>
          <w:tcPr>
            <w:tcW w:w="780" w:type="dxa"/>
            <w:tcBorders>
              <w:bottom w:val="single" w:sz="6" w:space="0" w:color="000000"/>
              <w:right w:val="single" w:sz="6" w:space="0" w:color="000000"/>
            </w:tcBorders>
            <w:vAlign w:val="center"/>
          </w:tcPr>
          <w:p w14:paraId="011B7507" w14:textId="77777777" w:rsidR="009A4261" w:rsidRPr="00EE3A4E" w:rsidRDefault="009A4261" w:rsidP="009A4261">
            <w:pPr>
              <w:pStyle w:val="ParagraphStyle12"/>
              <w:jc w:val="left"/>
              <w:rPr>
                <w:rStyle w:val="CharacterStyle12"/>
              </w:rPr>
            </w:pPr>
            <w:r w:rsidRPr="00EE3A4E">
              <w:rPr>
                <w:rStyle w:val="CharacterStyle12"/>
              </w:rPr>
              <w:t>32</w:t>
            </w:r>
          </w:p>
        </w:tc>
        <w:tc>
          <w:tcPr>
            <w:tcW w:w="3675" w:type="dxa"/>
            <w:tcBorders>
              <w:bottom w:val="single" w:sz="6" w:space="0" w:color="000000"/>
              <w:right w:val="single" w:sz="6" w:space="0" w:color="000000"/>
            </w:tcBorders>
            <w:vAlign w:val="center"/>
          </w:tcPr>
          <w:p w14:paraId="15652DD7" w14:textId="77777777" w:rsidR="009A4261" w:rsidRPr="00EE3A4E" w:rsidRDefault="009A4261" w:rsidP="009A4261">
            <w:pPr>
              <w:pStyle w:val="ParagraphStyle13"/>
              <w:rPr>
                <w:rStyle w:val="CharacterStyle13"/>
              </w:rPr>
            </w:pPr>
            <w:r w:rsidRPr="00EE3A4E">
              <w:rPr>
                <w:rStyle w:val="CharacterStyle13"/>
              </w:rPr>
              <w:t>Materijalni rashodi</w:t>
            </w:r>
          </w:p>
        </w:tc>
        <w:tc>
          <w:tcPr>
            <w:tcW w:w="1920" w:type="dxa"/>
            <w:tcBorders>
              <w:bottom w:val="single" w:sz="6" w:space="0" w:color="000000"/>
              <w:right w:val="single" w:sz="6" w:space="0" w:color="000000"/>
            </w:tcBorders>
            <w:vAlign w:val="center"/>
          </w:tcPr>
          <w:p w14:paraId="659C4F98" w14:textId="77777777" w:rsidR="009A4261" w:rsidRPr="00EE3A4E" w:rsidRDefault="009A4261" w:rsidP="009A4261">
            <w:pPr>
              <w:pStyle w:val="ParagraphStyle14"/>
              <w:rPr>
                <w:rStyle w:val="CharacterStyle14"/>
              </w:rPr>
            </w:pPr>
            <w:r w:rsidRPr="00EE3A4E">
              <w:rPr>
                <w:rStyle w:val="CharacterStyle14"/>
              </w:rPr>
              <w:t>7.688.076,20</w:t>
            </w:r>
          </w:p>
        </w:tc>
        <w:tc>
          <w:tcPr>
            <w:tcW w:w="1935" w:type="dxa"/>
            <w:tcBorders>
              <w:bottom w:val="single" w:sz="6" w:space="0" w:color="000000"/>
              <w:right w:val="single" w:sz="6" w:space="0" w:color="000000"/>
            </w:tcBorders>
            <w:vAlign w:val="center"/>
          </w:tcPr>
          <w:p w14:paraId="38A6724B" w14:textId="77777777" w:rsidR="009A4261" w:rsidRPr="00EE3A4E" w:rsidRDefault="009A4261" w:rsidP="009A4261">
            <w:pPr>
              <w:pStyle w:val="ParagraphStyle14"/>
              <w:rPr>
                <w:rStyle w:val="CharacterStyle14"/>
              </w:rPr>
            </w:pPr>
            <w:r w:rsidRPr="00EE3A4E">
              <w:rPr>
                <w:rStyle w:val="CharacterStyle14"/>
              </w:rPr>
              <w:t>10.589.743,59</w:t>
            </w:r>
          </w:p>
        </w:tc>
        <w:tc>
          <w:tcPr>
            <w:tcW w:w="1935" w:type="dxa"/>
            <w:tcBorders>
              <w:bottom w:val="single" w:sz="6" w:space="0" w:color="000000"/>
              <w:right w:val="single" w:sz="6" w:space="0" w:color="000000"/>
            </w:tcBorders>
            <w:vAlign w:val="center"/>
          </w:tcPr>
          <w:p w14:paraId="647B70F9" w14:textId="77777777" w:rsidR="009A4261" w:rsidRDefault="009A4261" w:rsidP="009A4261">
            <w:pPr>
              <w:pStyle w:val="ParagraphStyle15"/>
              <w:rPr>
                <w:rStyle w:val="CharacterStyle15"/>
              </w:rPr>
            </w:pPr>
            <w:r>
              <w:rPr>
                <w:rStyle w:val="CharacterStyle15"/>
              </w:rPr>
              <w:t>11.182.141,54</w:t>
            </w:r>
          </w:p>
        </w:tc>
        <w:tc>
          <w:tcPr>
            <w:tcW w:w="1935" w:type="dxa"/>
            <w:tcBorders>
              <w:bottom w:val="single" w:sz="6" w:space="0" w:color="000000"/>
              <w:right w:val="single" w:sz="6" w:space="0" w:color="000000"/>
            </w:tcBorders>
            <w:vAlign w:val="center"/>
          </w:tcPr>
          <w:p w14:paraId="6EA9F677" w14:textId="77777777" w:rsidR="009A4261" w:rsidRDefault="009A4261" w:rsidP="009A4261">
            <w:pPr>
              <w:pStyle w:val="ParagraphStyle15"/>
              <w:rPr>
                <w:rStyle w:val="CharacterStyle15"/>
              </w:rPr>
            </w:pPr>
            <w:r>
              <w:rPr>
                <w:rStyle w:val="CharacterStyle15"/>
              </w:rPr>
              <w:t>10.638.760,67</w:t>
            </w:r>
          </w:p>
        </w:tc>
        <w:tc>
          <w:tcPr>
            <w:tcW w:w="1935" w:type="dxa"/>
            <w:tcBorders>
              <w:bottom w:val="single" w:sz="6" w:space="0" w:color="000000"/>
              <w:right w:val="single" w:sz="6" w:space="0" w:color="000000"/>
            </w:tcBorders>
            <w:vAlign w:val="center"/>
          </w:tcPr>
          <w:p w14:paraId="096136A9" w14:textId="77777777" w:rsidR="009A4261" w:rsidRDefault="009A4261" w:rsidP="009A4261">
            <w:pPr>
              <w:pStyle w:val="ParagraphStyle15"/>
              <w:rPr>
                <w:rStyle w:val="CharacterStyle15"/>
              </w:rPr>
            </w:pPr>
            <w:r>
              <w:rPr>
                <w:rStyle w:val="CharacterStyle15"/>
              </w:rPr>
              <w:t>10.276.881,71</w:t>
            </w:r>
          </w:p>
        </w:tc>
      </w:tr>
      <w:tr w:rsidR="009A4261" w:rsidRPr="00EE3A4E" w14:paraId="6238687F" w14:textId="77777777" w:rsidTr="009A4261">
        <w:trPr>
          <w:trHeight w:val="360"/>
        </w:trPr>
        <w:tc>
          <w:tcPr>
            <w:tcW w:w="735" w:type="dxa"/>
            <w:tcBorders>
              <w:left w:val="single" w:sz="6" w:space="0" w:color="000000"/>
              <w:bottom w:val="single" w:sz="6" w:space="0" w:color="000000"/>
              <w:right w:val="single" w:sz="6" w:space="0" w:color="000000"/>
            </w:tcBorders>
            <w:vAlign w:val="center"/>
          </w:tcPr>
          <w:p w14:paraId="06C96B12" w14:textId="77777777" w:rsidR="009A4261" w:rsidRPr="00EE3A4E" w:rsidRDefault="009A4261" w:rsidP="009A4261">
            <w:pPr>
              <w:pStyle w:val="ParagraphStyle11"/>
              <w:rPr>
                <w:rStyle w:val="CharacterStyle11"/>
              </w:rPr>
            </w:pPr>
          </w:p>
        </w:tc>
        <w:tc>
          <w:tcPr>
            <w:tcW w:w="780" w:type="dxa"/>
            <w:tcBorders>
              <w:bottom w:val="single" w:sz="6" w:space="0" w:color="000000"/>
              <w:right w:val="single" w:sz="6" w:space="0" w:color="000000"/>
            </w:tcBorders>
            <w:vAlign w:val="center"/>
          </w:tcPr>
          <w:p w14:paraId="781D416A" w14:textId="77777777" w:rsidR="009A4261" w:rsidRPr="00EE3A4E" w:rsidRDefault="009A4261" w:rsidP="009A4261">
            <w:pPr>
              <w:pStyle w:val="ParagraphStyle12"/>
              <w:jc w:val="left"/>
              <w:rPr>
                <w:rStyle w:val="CharacterStyle12"/>
              </w:rPr>
            </w:pPr>
            <w:r w:rsidRPr="00EE3A4E">
              <w:rPr>
                <w:rStyle w:val="CharacterStyle12"/>
              </w:rPr>
              <w:t>34</w:t>
            </w:r>
          </w:p>
        </w:tc>
        <w:tc>
          <w:tcPr>
            <w:tcW w:w="3675" w:type="dxa"/>
            <w:tcBorders>
              <w:bottom w:val="single" w:sz="6" w:space="0" w:color="000000"/>
              <w:right w:val="single" w:sz="6" w:space="0" w:color="000000"/>
            </w:tcBorders>
            <w:vAlign w:val="center"/>
          </w:tcPr>
          <w:p w14:paraId="15638256" w14:textId="77777777" w:rsidR="009A4261" w:rsidRPr="00EE3A4E" w:rsidRDefault="009A4261" w:rsidP="009A4261">
            <w:pPr>
              <w:pStyle w:val="ParagraphStyle13"/>
              <w:rPr>
                <w:rStyle w:val="CharacterStyle13"/>
              </w:rPr>
            </w:pPr>
            <w:r w:rsidRPr="00EE3A4E">
              <w:rPr>
                <w:rStyle w:val="CharacterStyle13"/>
              </w:rPr>
              <w:t>Financijski rashodi</w:t>
            </w:r>
          </w:p>
        </w:tc>
        <w:tc>
          <w:tcPr>
            <w:tcW w:w="1920" w:type="dxa"/>
            <w:tcBorders>
              <w:bottom w:val="single" w:sz="6" w:space="0" w:color="000000"/>
              <w:right w:val="single" w:sz="6" w:space="0" w:color="000000"/>
            </w:tcBorders>
            <w:vAlign w:val="center"/>
          </w:tcPr>
          <w:p w14:paraId="258BD66A" w14:textId="77777777" w:rsidR="009A4261" w:rsidRPr="00EE3A4E" w:rsidRDefault="009A4261" w:rsidP="009A4261">
            <w:pPr>
              <w:pStyle w:val="ParagraphStyle14"/>
              <w:rPr>
                <w:rStyle w:val="CharacterStyle14"/>
              </w:rPr>
            </w:pPr>
            <w:r w:rsidRPr="00EE3A4E">
              <w:rPr>
                <w:rStyle w:val="CharacterStyle14"/>
              </w:rPr>
              <w:t>27.539,52</w:t>
            </w:r>
          </w:p>
        </w:tc>
        <w:tc>
          <w:tcPr>
            <w:tcW w:w="1935" w:type="dxa"/>
            <w:tcBorders>
              <w:bottom w:val="single" w:sz="6" w:space="0" w:color="000000"/>
              <w:right w:val="single" w:sz="6" w:space="0" w:color="000000"/>
            </w:tcBorders>
            <w:vAlign w:val="center"/>
          </w:tcPr>
          <w:p w14:paraId="00AD6AB1" w14:textId="77777777" w:rsidR="009A4261" w:rsidRPr="00EE3A4E" w:rsidRDefault="009A4261" w:rsidP="009A4261">
            <w:pPr>
              <w:pStyle w:val="ParagraphStyle14"/>
              <w:rPr>
                <w:rStyle w:val="CharacterStyle14"/>
              </w:rPr>
            </w:pPr>
            <w:r w:rsidRPr="00EE3A4E">
              <w:rPr>
                <w:rStyle w:val="CharacterStyle14"/>
              </w:rPr>
              <w:t>87.538,32</w:t>
            </w:r>
          </w:p>
        </w:tc>
        <w:tc>
          <w:tcPr>
            <w:tcW w:w="1935" w:type="dxa"/>
            <w:tcBorders>
              <w:bottom w:val="single" w:sz="6" w:space="0" w:color="000000"/>
              <w:right w:val="single" w:sz="6" w:space="0" w:color="000000"/>
            </w:tcBorders>
            <w:vAlign w:val="center"/>
          </w:tcPr>
          <w:p w14:paraId="17E2B509" w14:textId="77777777" w:rsidR="009A4261" w:rsidRDefault="009A4261" w:rsidP="009A4261">
            <w:pPr>
              <w:pStyle w:val="ParagraphStyle15"/>
              <w:rPr>
                <w:rStyle w:val="CharacterStyle15"/>
              </w:rPr>
            </w:pPr>
            <w:r>
              <w:rPr>
                <w:rStyle w:val="CharacterStyle15"/>
              </w:rPr>
              <w:t>87.873,32</w:t>
            </w:r>
          </w:p>
        </w:tc>
        <w:tc>
          <w:tcPr>
            <w:tcW w:w="1935" w:type="dxa"/>
            <w:tcBorders>
              <w:bottom w:val="single" w:sz="6" w:space="0" w:color="000000"/>
              <w:right w:val="single" w:sz="6" w:space="0" w:color="000000"/>
            </w:tcBorders>
            <w:vAlign w:val="center"/>
          </w:tcPr>
          <w:p w14:paraId="6F47DE9A" w14:textId="77777777" w:rsidR="009A4261" w:rsidRDefault="009A4261" w:rsidP="009A4261">
            <w:pPr>
              <w:pStyle w:val="ParagraphStyle15"/>
              <w:rPr>
                <w:rStyle w:val="CharacterStyle15"/>
              </w:rPr>
            </w:pPr>
            <w:r>
              <w:rPr>
                <w:rStyle w:val="CharacterStyle15"/>
              </w:rPr>
              <w:t>86.997,27</w:t>
            </w:r>
          </w:p>
        </w:tc>
        <w:tc>
          <w:tcPr>
            <w:tcW w:w="1935" w:type="dxa"/>
            <w:tcBorders>
              <w:bottom w:val="single" w:sz="6" w:space="0" w:color="000000"/>
              <w:right w:val="single" w:sz="6" w:space="0" w:color="000000"/>
            </w:tcBorders>
            <w:vAlign w:val="center"/>
          </w:tcPr>
          <w:p w14:paraId="3333B876" w14:textId="77777777" w:rsidR="009A4261" w:rsidRDefault="009A4261" w:rsidP="009A4261">
            <w:pPr>
              <w:pStyle w:val="ParagraphStyle15"/>
              <w:rPr>
                <w:rStyle w:val="CharacterStyle15"/>
              </w:rPr>
            </w:pPr>
            <w:r>
              <w:rPr>
                <w:rStyle w:val="CharacterStyle15"/>
              </w:rPr>
              <w:t>87.586,87</w:t>
            </w:r>
          </w:p>
        </w:tc>
      </w:tr>
      <w:tr w:rsidR="009A4261" w:rsidRPr="00EE3A4E" w14:paraId="2AE31680" w14:textId="77777777" w:rsidTr="009A4261">
        <w:trPr>
          <w:trHeight w:val="360"/>
        </w:trPr>
        <w:tc>
          <w:tcPr>
            <w:tcW w:w="735" w:type="dxa"/>
            <w:tcBorders>
              <w:left w:val="single" w:sz="6" w:space="0" w:color="000000"/>
              <w:bottom w:val="single" w:sz="6" w:space="0" w:color="000000"/>
              <w:right w:val="single" w:sz="6" w:space="0" w:color="000000"/>
            </w:tcBorders>
            <w:vAlign w:val="center"/>
          </w:tcPr>
          <w:p w14:paraId="290DC3FA" w14:textId="77777777" w:rsidR="009A4261" w:rsidRPr="00EE3A4E" w:rsidRDefault="009A4261" w:rsidP="009A4261">
            <w:pPr>
              <w:pStyle w:val="ParagraphStyle11"/>
              <w:rPr>
                <w:rStyle w:val="CharacterStyle11"/>
              </w:rPr>
            </w:pPr>
          </w:p>
        </w:tc>
        <w:tc>
          <w:tcPr>
            <w:tcW w:w="780" w:type="dxa"/>
            <w:tcBorders>
              <w:bottom w:val="single" w:sz="6" w:space="0" w:color="000000"/>
              <w:right w:val="single" w:sz="6" w:space="0" w:color="000000"/>
            </w:tcBorders>
            <w:vAlign w:val="center"/>
          </w:tcPr>
          <w:p w14:paraId="1024209F" w14:textId="77777777" w:rsidR="009A4261" w:rsidRPr="00EE3A4E" w:rsidRDefault="009A4261" w:rsidP="009A4261">
            <w:pPr>
              <w:pStyle w:val="ParagraphStyle12"/>
              <w:jc w:val="left"/>
              <w:rPr>
                <w:rStyle w:val="CharacterStyle12"/>
              </w:rPr>
            </w:pPr>
            <w:r w:rsidRPr="00EE3A4E">
              <w:rPr>
                <w:rStyle w:val="CharacterStyle12"/>
              </w:rPr>
              <w:t>35</w:t>
            </w:r>
          </w:p>
        </w:tc>
        <w:tc>
          <w:tcPr>
            <w:tcW w:w="3675" w:type="dxa"/>
            <w:tcBorders>
              <w:bottom w:val="single" w:sz="6" w:space="0" w:color="000000"/>
              <w:right w:val="single" w:sz="6" w:space="0" w:color="000000"/>
            </w:tcBorders>
            <w:vAlign w:val="center"/>
          </w:tcPr>
          <w:p w14:paraId="55041C39" w14:textId="77777777" w:rsidR="009A4261" w:rsidRPr="00EE3A4E" w:rsidRDefault="009A4261" w:rsidP="009A4261">
            <w:pPr>
              <w:pStyle w:val="ParagraphStyle13"/>
              <w:rPr>
                <w:rStyle w:val="CharacterStyle13"/>
              </w:rPr>
            </w:pPr>
            <w:r w:rsidRPr="00EE3A4E">
              <w:rPr>
                <w:rStyle w:val="CharacterStyle13"/>
              </w:rPr>
              <w:t>Subvencije</w:t>
            </w:r>
          </w:p>
        </w:tc>
        <w:tc>
          <w:tcPr>
            <w:tcW w:w="1920" w:type="dxa"/>
            <w:tcBorders>
              <w:bottom w:val="single" w:sz="6" w:space="0" w:color="000000"/>
              <w:right w:val="single" w:sz="6" w:space="0" w:color="000000"/>
            </w:tcBorders>
            <w:vAlign w:val="center"/>
          </w:tcPr>
          <w:p w14:paraId="19BB93D8" w14:textId="77777777" w:rsidR="009A4261" w:rsidRPr="00EE3A4E" w:rsidRDefault="009A4261" w:rsidP="009A4261">
            <w:pPr>
              <w:pStyle w:val="ParagraphStyle14"/>
              <w:rPr>
                <w:rStyle w:val="CharacterStyle14"/>
              </w:rPr>
            </w:pPr>
            <w:r w:rsidRPr="00EE3A4E">
              <w:rPr>
                <w:rStyle w:val="CharacterStyle14"/>
              </w:rPr>
              <w:t>790.716,91</w:t>
            </w:r>
          </w:p>
        </w:tc>
        <w:tc>
          <w:tcPr>
            <w:tcW w:w="1935" w:type="dxa"/>
            <w:tcBorders>
              <w:bottom w:val="single" w:sz="6" w:space="0" w:color="000000"/>
              <w:right w:val="single" w:sz="6" w:space="0" w:color="000000"/>
            </w:tcBorders>
            <w:vAlign w:val="center"/>
          </w:tcPr>
          <w:p w14:paraId="4C2396D7" w14:textId="77777777" w:rsidR="009A4261" w:rsidRPr="00EE3A4E" w:rsidRDefault="009A4261" w:rsidP="009A4261">
            <w:pPr>
              <w:pStyle w:val="ParagraphStyle14"/>
              <w:rPr>
                <w:rStyle w:val="CharacterStyle14"/>
              </w:rPr>
            </w:pPr>
            <w:r w:rsidRPr="00EE3A4E">
              <w:rPr>
                <w:rStyle w:val="CharacterStyle14"/>
              </w:rPr>
              <w:t>828.201,73</w:t>
            </w:r>
          </w:p>
        </w:tc>
        <w:tc>
          <w:tcPr>
            <w:tcW w:w="1935" w:type="dxa"/>
            <w:tcBorders>
              <w:bottom w:val="single" w:sz="6" w:space="0" w:color="000000"/>
              <w:right w:val="single" w:sz="6" w:space="0" w:color="000000"/>
            </w:tcBorders>
            <w:vAlign w:val="center"/>
          </w:tcPr>
          <w:p w14:paraId="0C5E99FD" w14:textId="77777777" w:rsidR="009A4261" w:rsidRDefault="009A4261" w:rsidP="009A4261">
            <w:pPr>
              <w:pStyle w:val="ParagraphStyle15"/>
              <w:rPr>
                <w:rStyle w:val="CharacterStyle15"/>
              </w:rPr>
            </w:pPr>
            <w:r>
              <w:rPr>
                <w:rStyle w:val="CharacterStyle15"/>
              </w:rPr>
              <w:t>928.451,73</w:t>
            </w:r>
          </w:p>
        </w:tc>
        <w:tc>
          <w:tcPr>
            <w:tcW w:w="1935" w:type="dxa"/>
            <w:tcBorders>
              <w:bottom w:val="single" w:sz="6" w:space="0" w:color="000000"/>
              <w:right w:val="single" w:sz="6" w:space="0" w:color="000000"/>
            </w:tcBorders>
            <w:vAlign w:val="center"/>
          </w:tcPr>
          <w:p w14:paraId="24463742" w14:textId="77777777" w:rsidR="009A4261" w:rsidRDefault="009A4261" w:rsidP="009A4261">
            <w:pPr>
              <w:pStyle w:val="ParagraphStyle15"/>
              <w:rPr>
                <w:rStyle w:val="CharacterStyle15"/>
              </w:rPr>
            </w:pPr>
            <w:r>
              <w:rPr>
                <w:rStyle w:val="CharacterStyle15"/>
              </w:rPr>
              <w:t>1.021.130,00</w:t>
            </w:r>
          </w:p>
        </w:tc>
        <w:tc>
          <w:tcPr>
            <w:tcW w:w="1935" w:type="dxa"/>
            <w:tcBorders>
              <w:bottom w:val="single" w:sz="6" w:space="0" w:color="000000"/>
              <w:right w:val="single" w:sz="6" w:space="0" w:color="000000"/>
            </w:tcBorders>
            <w:vAlign w:val="center"/>
          </w:tcPr>
          <w:p w14:paraId="34C2A93B" w14:textId="77777777" w:rsidR="009A4261" w:rsidRDefault="009A4261" w:rsidP="009A4261">
            <w:pPr>
              <w:pStyle w:val="ParagraphStyle15"/>
              <w:rPr>
                <w:rStyle w:val="CharacterStyle15"/>
              </w:rPr>
            </w:pPr>
            <w:r>
              <w:rPr>
                <w:rStyle w:val="CharacterStyle15"/>
              </w:rPr>
              <w:t>1.046.390,00</w:t>
            </w:r>
          </w:p>
        </w:tc>
      </w:tr>
      <w:tr w:rsidR="009A4261" w:rsidRPr="00EE3A4E" w14:paraId="67B56D30" w14:textId="77777777" w:rsidTr="009A4261">
        <w:trPr>
          <w:trHeight w:val="420"/>
        </w:trPr>
        <w:tc>
          <w:tcPr>
            <w:tcW w:w="735" w:type="dxa"/>
            <w:tcBorders>
              <w:left w:val="single" w:sz="6" w:space="0" w:color="000000"/>
              <w:bottom w:val="single" w:sz="6" w:space="0" w:color="000000"/>
              <w:right w:val="single" w:sz="6" w:space="0" w:color="000000"/>
            </w:tcBorders>
            <w:vAlign w:val="center"/>
          </w:tcPr>
          <w:p w14:paraId="64E2ECB6" w14:textId="77777777" w:rsidR="009A4261" w:rsidRPr="00EE3A4E" w:rsidRDefault="009A4261" w:rsidP="009A4261">
            <w:pPr>
              <w:pStyle w:val="ParagraphStyle11"/>
              <w:rPr>
                <w:rStyle w:val="CharacterStyle11"/>
              </w:rPr>
            </w:pPr>
          </w:p>
        </w:tc>
        <w:tc>
          <w:tcPr>
            <w:tcW w:w="780" w:type="dxa"/>
            <w:tcBorders>
              <w:bottom w:val="single" w:sz="6" w:space="0" w:color="000000"/>
              <w:right w:val="single" w:sz="6" w:space="0" w:color="000000"/>
            </w:tcBorders>
            <w:vAlign w:val="center"/>
          </w:tcPr>
          <w:p w14:paraId="709FF581" w14:textId="77777777" w:rsidR="009A4261" w:rsidRPr="00EE3A4E" w:rsidRDefault="009A4261" w:rsidP="009A4261">
            <w:pPr>
              <w:pStyle w:val="ParagraphStyle12"/>
              <w:jc w:val="left"/>
              <w:rPr>
                <w:rStyle w:val="CharacterStyle12"/>
              </w:rPr>
            </w:pPr>
            <w:r w:rsidRPr="00EE3A4E">
              <w:rPr>
                <w:rStyle w:val="CharacterStyle12"/>
              </w:rPr>
              <w:t>36</w:t>
            </w:r>
          </w:p>
        </w:tc>
        <w:tc>
          <w:tcPr>
            <w:tcW w:w="3675" w:type="dxa"/>
            <w:tcBorders>
              <w:bottom w:val="single" w:sz="6" w:space="0" w:color="000000"/>
              <w:right w:val="single" w:sz="6" w:space="0" w:color="000000"/>
            </w:tcBorders>
            <w:vAlign w:val="center"/>
          </w:tcPr>
          <w:p w14:paraId="439A4B93" w14:textId="77777777" w:rsidR="009A4261" w:rsidRPr="00EE3A4E" w:rsidRDefault="009A4261" w:rsidP="009A4261">
            <w:pPr>
              <w:pStyle w:val="ParagraphStyle13"/>
              <w:rPr>
                <w:rStyle w:val="CharacterStyle13"/>
              </w:rPr>
            </w:pPr>
            <w:r w:rsidRPr="00EE3A4E">
              <w:rPr>
                <w:rStyle w:val="CharacterStyle13"/>
              </w:rPr>
              <w:t>Pomoći dane u inozemstvo i unutar općeg proračuna</w:t>
            </w:r>
          </w:p>
        </w:tc>
        <w:tc>
          <w:tcPr>
            <w:tcW w:w="1920" w:type="dxa"/>
            <w:tcBorders>
              <w:bottom w:val="single" w:sz="6" w:space="0" w:color="000000"/>
              <w:right w:val="single" w:sz="6" w:space="0" w:color="000000"/>
            </w:tcBorders>
            <w:vAlign w:val="center"/>
          </w:tcPr>
          <w:p w14:paraId="11522E08" w14:textId="77777777" w:rsidR="009A4261" w:rsidRPr="00EE3A4E" w:rsidRDefault="009A4261" w:rsidP="009A4261">
            <w:pPr>
              <w:pStyle w:val="ParagraphStyle14"/>
              <w:rPr>
                <w:rStyle w:val="CharacterStyle14"/>
              </w:rPr>
            </w:pPr>
            <w:r w:rsidRPr="00EE3A4E">
              <w:rPr>
                <w:rStyle w:val="CharacterStyle14"/>
              </w:rPr>
              <w:t>726.584,10</w:t>
            </w:r>
          </w:p>
        </w:tc>
        <w:tc>
          <w:tcPr>
            <w:tcW w:w="1935" w:type="dxa"/>
            <w:tcBorders>
              <w:bottom w:val="single" w:sz="6" w:space="0" w:color="000000"/>
              <w:right w:val="single" w:sz="6" w:space="0" w:color="000000"/>
            </w:tcBorders>
            <w:vAlign w:val="center"/>
          </w:tcPr>
          <w:p w14:paraId="18BCA467" w14:textId="77777777" w:rsidR="009A4261" w:rsidRPr="00EE3A4E" w:rsidRDefault="009A4261" w:rsidP="009A4261">
            <w:pPr>
              <w:pStyle w:val="ParagraphStyle14"/>
              <w:rPr>
                <w:rStyle w:val="CharacterStyle14"/>
              </w:rPr>
            </w:pPr>
            <w:r w:rsidRPr="00EE3A4E">
              <w:rPr>
                <w:rStyle w:val="CharacterStyle14"/>
              </w:rPr>
              <w:t>1.361.518,04</w:t>
            </w:r>
          </w:p>
        </w:tc>
        <w:tc>
          <w:tcPr>
            <w:tcW w:w="1935" w:type="dxa"/>
            <w:tcBorders>
              <w:bottom w:val="single" w:sz="6" w:space="0" w:color="000000"/>
              <w:right w:val="single" w:sz="6" w:space="0" w:color="000000"/>
            </w:tcBorders>
            <w:vAlign w:val="center"/>
          </w:tcPr>
          <w:p w14:paraId="17FBBF70" w14:textId="77777777" w:rsidR="009A4261" w:rsidRDefault="009A4261" w:rsidP="009A4261">
            <w:pPr>
              <w:pStyle w:val="ParagraphStyle15"/>
              <w:rPr>
                <w:rStyle w:val="CharacterStyle15"/>
              </w:rPr>
            </w:pPr>
            <w:r>
              <w:rPr>
                <w:rStyle w:val="CharacterStyle15"/>
              </w:rPr>
              <w:t>923.382,37</w:t>
            </w:r>
          </w:p>
        </w:tc>
        <w:tc>
          <w:tcPr>
            <w:tcW w:w="1935" w:type="dxa"/>
            <w:tcBorders>
              <w:bottom w:val="single" w:sz="6" w:space="0" w:color="000000"/>
              <w:right w:val="single" w:sz="6" w:space="0" w:color="000000"/>
            </w:tcBorders>
            <w:vAlign w:val="center"/>
          </w:tcPr>
          <w:p w14:paraId="2FEBF21F" w14:textId="77777777" w:rsidR="009A4261" w:rsidRDefault="009A4261" w:rsidP="009A4261">
            <w:pPr>
              <w:pStyle w:val="ParagraphStyle15"/>
              <w:rPr>
                <w:rStyle w:val="CharacterStyle15"/>
              </w:rPr>
            </w:pPr>
            <w:r>
              <w:rPr>
                <w:rStyle w:val="CharacterStyle15"/>
              </w:rPr>
              <w:t>850.748,00</w:t>
            </w:r>
          </w:p>
        </w:tc>
        <w:tc>
          <w:tcPr>
            <w:tcW w:w="1935" w:type="dxa"/>
            <w:tcBorders>
              <w:bottom w:val="single" w:sz="6" w:space="0" w:color="000000"/>
              <w:right w:val="single" w:sz="6" w:space="0" w:color="000000"/>
            </w:tcBorders>
            <w:vAlign w:val="center"/>
          </w:tcPr>
          <w:p w14:paraId="09B45F37" w14:textId="77777777" w:rsidR="009A4261" w:rsidRDefault="009A4261" w:rsidP="009A4261">
            <w:pPr>
              <w:pStyle w:val="ParagraphStyle15"/>
              <w:rPr>
                <w:rStyle w:val="CharacterStyle15"/>
              </w:rPr>
            </w:pPr>
            <w:r>
              <w:rPr>
                <w:rStyle w:val="CharacterStyle15"/>
              </w:rPr>
              <w:t>766.592,00</w:t>
            </w:r>
          </w:p>
        </w:tc>
      </w:tr>
      <w:tr w:rsidR="009A4261" w:rsidRPr="00EE3A4E" w14:paraId="5E5C2FB0" w14:textId="77777777" w:rsidTr="009A4261">
        <w:trPr>
          <w:trHeight w:val="405"/>
        </w:trPr>
        <w:tc>
          <w:tcPr>
            <w:tcW w:w="735" w:type="dxa"/>
            <w:tcBorders>
              <w:left w:val="single" w:sz="6" w:space="0" w:color="000000"/>
              <w:bottom w:val="single" w:sz="6" w:space="0" w:color="000000"/>
              <w:right w:val="single" w:sz="6" w:space="0" w:color="000000"/>
            </w:tcBorders>
            <w:vAlign w:val="center"/>
          </w:tcPr>
          <w:p w14:paraId="362AAAB9" w14:textId="77777777" w:rsidR="009A4261" w:rsidRPr="00EE3A4E" w:rsidRDefault="009A4261" w:rsidP="009A4261">
            <w:pPr>
              <w:pStyle w:val="ParagraphStyle11"/>
              <w:rPr>
                <w:rStyle w:val="CharacterStyle11"/>
              </w:rPr>
            </w:pPr>
          </w:p>
        </w:tc>
        <w:tc>
          <w:tcPr>
            <w:tcW w:w="780" w:type="dxa"/>
            <w:tcBorders>
              <w:bottom w:val="single" w:sz="6" w:space="0" w:color="000000"/>
              <w:right w:val="single" w:sz="6" w:space="0" w:color="000000"/>
            </w:tcBorders>
            <w:vAlign w:val="center"/>
          </w:tcPr>
          <w:p w14:paraId="1DE43E58" w14:textId="77777777" w:rsidR="009A4261" w:rsidRPr="00EE3A4E" w:rsidRDefault="009A4261" w:rsidP="009A4261">
            <w:pPr>
              <w:pStyle w:val="ParagraphStyle12"/>
              <w:jc w:val="left"/>
              <w:rPr>
                <w:rStyle w:val="CharacterStyle12"/>
              </w:rPr>
            </w:pPr>
            <w:r w:rsidRPr="00EE3A4E">
              <w:rPr>
                <w:rStyle w:val="CharacterStyle12"/>
              </w:rPr>
              <w:t>37</w:t>
            </w:r>
          </w:p>
        </w:tc>
        <w:tc>
          <w:tcPr>
            <w:tcW w:w="3675" w:type="dxa"/>
            <w:tcBorders>
              <w:bottom w:val="single" w:sz="6" w:space="0" w:color="000000"/>
              <w:right w:val="single" w:sz="6" w:space="0" w:color="000000"/>
            </w:tcBorders>
            <w:vAlign w:val="center"/>
          </w:tcPr>
          <w:p w14:paraId="58388637" w14:textId="77777777" w:rsidR="009A4261" w:rsidRPr="00EE3A4E" w:rsidRDefault="009A4261" w:rsidP="009A4261">
            <w:pPr>
              <w:pStyle w:val="ParagraphStyle13"/>
              <w:rPr>
                <w:rStyle w:val="CharacterStyle13"/>
              </w:rPr>
            </w:pPr>
            <w:r w:rsidRPr="00EE3A4E">
              <w:rPr>
                <w:rStyle w:val="CharacterStyle13"/>
              </w:rPr>
              <w:t>Naknade građanima i kućanstvima na temelju osiguranja i druge naknade</w:t>
            </w:r>
          </w:p>
        </w:tc>
        <w:tc>
          <w:tcPr>
            <w:tcW w:w="1920" w:type="dxa"/>
            <w:tcBorders>
              <w:bottom w:val="single" w:sz="6" w:space="0" w:color="000000"/>
              <w:right w:val="single" w:sz="6" w:space="0" w:color="000000"/>
            </w:tcBorders>
            <w:vAlign w:val="center"/>
          </w:tcPr>
          <w:p w14:paraId="0B81DA6E" w14:textId="77777777" w:rsidR="009A4261" w:rsidRPr="00EE3A4E" w:rsidRDefault="009A4261" w:rsidP="009A4261">
            <w:pPr>
              <w:pStyle w:val="ParagraphStyle14"/>
              <w:rPr>
                <w:rStyle w:val="CharacterStyle14"/>
              </w:rPr>
            </w:pPr>
            <w:r w:rsidRPr="00EE3A4E">
              <w:rPr>
                <w:rStyle w:val="CharacterStyle14"/>
              </w:rPr>
              <w:t>842.817,29</w:t>
            </w:r>
          </w:p>
        </w:tc>
        <w:tc>
          <w:tcPr>
            <w:tcW w:w="1935" w:type="dxa"/>
            <w:tcBorders>
              <w:bottom w:val="single" w:sz="6" w:space="0" w:color="000000"/>
              <w:right w:val="single" w:sz="6" w:space="0" w:color="000000"/>
            </w:tcBorders>
            <w:vAlign w:val="center"/>
          </w:tcPr>
          <w:p w14:paraId="0FA55766" w14:textId="77777777" w:rsidR="009A4261" w:rsidRPr="00EE3A4E" w:rsidRDefault="009A4261" w:rsidP="009A4261">
            <w:pPr>
              <w:pStyle w:val="ParagraphStyle14"/>
              <w:rPr>
                <w:rStyle w:val="CharacterStyle14"/>
              </w:rPr>
            </w:pPr>
            <w:r w:rsidRPr="00EE3A4E">
              <w:rPr>
                <w:rStyle w:val="CharacterStyle14"/>
              </w:rPr>
              <w:t>1.086.750,00</w:t>
            </w:r>
          </w:p>
        </w:tc>
        <w:tc>
          <w:tcPr>
            <w:tcW w:w="1935" w:type="dxa"/>
            <w:tcBorders>
              <w:bottom w:val="single" w:sz="6" w:space="0" w:color="000000"/>
              <w:right w:val="single" w:sz="6" w:space="0" w:color="000000"/>
            </w:tcBorders>
            <w:vAlign w:val="center"/>
          </w:tcPr>
          <w:p w14:paraId="5516A8B0" w14:textId="77777777" w:rsidR="009A4261" w:rsidRDefault="009A4261" w:rsidP="009A4261">
            <w:pPr>
              <w:pStyle w:val="ParagraphStyle15"/>
              <w:rPr>
                <w:rStyle w:val="CharacterStyle15"/>
              </w:rPr>
            </w:pPr>
            <w:r>
              <w:rPr>
                <w:rStyle w:val="CharacterStyle15"/>
              </w:rPr>
              <w:t>1.219.520,00</w:t>
            </w:r>
          </w:p>
        </w:tc>
        <w:tc>
          <w:tcPr>
            <w:tcW w:w="1935" w:type="dxa"/>
            <w:tcBorders>
              <w:bottom w:val="single" w:sz="6" w:space="0" w:color="000000"/>
              <w:right w:val="single" w:sz="6" w:space="0" w:color="000000"/>
            </w:tcBorders>
            <w:vAlign w:val="center"/>
          </w:tcPr>
          <w:p w14:paraId="61525076" w14:textId="77777777" w:rsidR="009A4261" w:rsidRDefault="009A4261" w:rsidP="009A4261">
            <w:pPr>
              <w:pStyle w:val="ParagraphStyle15"/>
              <w:rPr>
                <w:rStyle w:val="CharacterStyle15"/>
              </w:rPr>
            </w:pPr>
            <w:r>
              <w:rPr>
                <w:rStyle w:val="CharacterStyle15"/>
              </w:rPr>
              <w:t>1.198.836,25</w:t>
            </w:r>
          </w:p>
        </w:tc>
        <w:tc>
          <w:tcPr>
            <w:tcW w:w="1935" w:type="dxa"/>
            <w:tcBorders>
              <w:bottom w:val="single" w:sz="6" w:space="0" w:color="000000"/>
              <w:right w:val="single" w:sz="6" w:space="0" w:color="000000"/>
            </w:tcBorders>
            <w:vAlign w:val="center"/>
          </w:tcPr>
          <w:p w14:paraId="2DE5A79E" w14:textId="77777777" w:rsidR="009A4261" w:rsidRDefault="009A4261" w:rsidP="009A4261">
            <w:pPr>
              <w:pStyle w:val="ParagraphStyle15"/>
              <w:rPr>
                <w:rStyle w:val="CharacterStyle15"/>
              </w:rPr>
            </w:pPr>
            <w:r>
              <w:rPr>
                <w:rStyle w:val="CharacterStyle15"/>
              </w:rPr>
              <w:t>1.243.497,25</w:t>
            </w:r>
          </w:p>
        </w:tc>
      </w:tr>
      <w:tr w:rsidR="009A4261" w:rsidRPr="00EE3A4E" w14:paraId="156B5657" w14:textId="77777777" w:rsidTr="009A4261">
        <w:trPr>
          <w:trHeight w:val="420"/>
        </w:trPr>
        <w:tc>
          <w:tcPr>
            <w:tcW w:w="735" w:type="dxa"/>
            <w:tcBorders>
              <w:left w:val="single" w:sz="6" w:space="0" w:color="000000"/>
              <w:bottom w:val="single" w:sz="6" w:space="0" w:color="000000"/>
              <w:right w:val="single" w:sz="6" w:space="0" w:color="000000"/>
            </w:tcBorders>
            <w:vAlign w:val="center"/>
          </w:tcPr>
          <w:p w14:paraId="119E643B" w14:textId="77777777" w:rsidR="009A4261" w:rsidRPr="00EE3A4E" w:rsidRDefault="009A4261" w:rsidP="009A4261">
            <w:pPr>
              <w:pStyle w:val="ParagraphStyle11"/>
              <w:rPr>
                <w:rStyle w:val="CharacterStyle11"/>
              </w:rPr>
            </w:pPr>
          </w:p>
        </w:tc>
        <w:tc>
          <w:tcPr>
            <w:tcW w:w="780" w:type="dxa"/>
            <w:tcBorders>
              <w:bottom w:val="single" w:sz="6" w:space="0" w:color="000000"/>
              <w:right w:val="single" w:sz="6" w:space="0" w:color="000000"/>
            </w:tcBorders>
            <w:vAlign w:val="center"/>
          </w:tcPr>
          <w:p w14:paraId="0477F77D" w14:textId="77777777" w:rsidR="009A4261" w:rsidRPr="00EE3A4E" w:rsidRDefault="009A4261" w:rsidP="009A4261">
            <w:pPr>
              <w:pStyle w:val="ParagraphStyle12"/>
              <w:jc w:val="left"/>
              <w:rPr>
                <w:rStyle w:val="CharacterStyle12"/>
              </w:rPr>
            </w:pPr>
            <w:r w:rsidRPr="00EE3A4E">
              <w:rPr>
                <w:rStyle w:val="CharacterStyle12"/>
              </w:rPr>
              <w:t>38</w:t>
            </w:r>
          </w:p>
        </w:tc>
        <w:tc>
          <w:tcPr>
            <w:tcW w:w="3675" w:type="dxa"/>
            <w:tcBorders>
              <w:bottom w:val="single" w:sz="6" w:space="0" w:color="000000"/>
              <w:right w:val="single" w:sz="6" w:space="0" w:color="000000"/>
            </w:tcBorders>
            <w:vAlign w:val="center"/>
          </w:tcPr>
          <w:p w14:paraId="095E37E7" w14:textId="77777777" w:rsidR="009A4261" w:rsidRPr="00EE3A4E" w:rsidRDefault="009A4261" w:rsidP="009A4261">
            <w:pPr>
              <w:pStyle w:val="ParagraphStyle13"/>
              <w:rPr>
                <w:rStyle w:val="CharacterStyle13"/>
              </w:rPr>
            </w:pPr>
            <w:r w:rsidRPr="00EE3A4E">
              <w:rPr>
                <w:rStyle w:val="CharacterStyle13"/>
              </w:rPr>
              <w:t>Rashodi za donacije, kazne, naknade šteta i kapitalne pomoći</w:t>
            </w:r>
          </w:p>
        </w:tc>
        <w:tc>
          <w:tcPr>
            <w:tcW w:w="1920" w:type="dxa"/>
            <w:tcBorders>
              <w:bottom w:val="single" w:sz="6" w:space="0" w:color="000000"/>
              <w:right w:val="single" w:sz="6" w:space="0" w:color="000000"/>
            </w:tcBorders>
            <w:vAlign w:val="center"/>
          </w:tcPr>
          <w:p w14:paraId="7E9342F3" w14:textId="77777777" w:rsidR="009A4261" w:rsidRPr="00EE3A4E" w:rsidRDefault="009A4261" w:rsidP="009A4261">
            <w:pPr>
              <w:pStyle w:val="ParagraphStyle14"/>
              <w:rPr>
                <w:rStyle w:val="CharacterStyle14"/>
              </w:rPr>
            </w:pPr>
            <w:r w:rsidRPr="00EE3A4E">
              <w:rPr>
                <w:rStyle w:val="CharacterStyle14"/>
              </w:rPr>
              <w:t>2.768.189,19</w:t>
            </w:r>
          </w:p>
        </w:tc>
        <w:tc>
          <w:tcPr>
            <w:tcW w:w="1935" w:type="dxa"/>
            <w:tcBorders>
              <w:bottom w:val="single" w:sz="6" w:space="0" w:color="000000"/>
              <w:right w:val="single" w:sz="6" w:space="0" w:color="000000"/>
            </w:tcBorders>
            <w:vAlign w:val="center"/>
          </w:tcPr>
          <w:p w14:paraId="727C60A8" w14:textId="77777777" w:rsidR="009A4261" w:rsidRPr="00EE3A4E" w:rsidRDefault="009A4261" w:rsidP="009A4261">
            <w:pPr>
              <w:pStyle w:val="ParagraphStyle14"/>
              <w:rPr>
                <w:rStyle w:val="CharacterStyle14"/>
              </w:rPr>
            </w:pPr>
            <w:r w:rsidRPr="00EE3A4E">
              <w:rPr>
                <w:rStyle w:val="CharacterStyle14"/>
              </w:rPr>
              <w:t>3.346.723,88</w:t>
            </w:r>
          </w:p>
        </w:tc>
        <w:tc>
          <w:tcPr>
            <w:tcW w:w="1935" w:type="dxa"/>
            <w:tcBorders>
              <w:bottom w:val="single" w:sz="6" w:space="0" w:color="000000"/>
              <w:right w:val="single" w:sz="6" w:space="0" w:color="000000"/>
            </w:tcBorders>
            <w:vAlign w:val="center"/>
          </w:tcPr>
          <w:p w14:paraId="2894FAF4" w14:textId="77777777" w:rsidR="009A4261" w:rsidRDefault="009A4261" w:rsidP="009A4261">
            <w:pPr>
              <w:pStyle w:val="ParagraphStyle15"/>
              <w:rPr>
                <w:rStyle w:val="CharacterStyle15"/>
              </w:rPr>
            </w:pPr>
            <w:r>
              <w:rPr>
                <w:rStyle w:val="CharacterStyle15"/>
              </w:rPr>
              <w:t>3.372.747,88</w:t>
            </w:r>
          </w:p>
        </w:tc>
        <w:tc>
          <w:tcPr>
            <w:tcW w:w="1935" w:type="dxa"/>
            <w:tcBorders>
              <w:bottom w:val="single" w:sz="6" w:space="0" w:color="000000"/>
              <w:right w:val="single" w:sz="6" w:space="0" w:color="000000"/>
            </w:tcBorders>
            <w:vAlign w:val="center"/>
          </w:tcPr>
          <w:p w14:paraId="766C2819" w14:textId="77777777" w:rsidR="009A4261" w:rsidRDefault="009A4261" w:rsidP="009A4261">
            <w:pPr>
              <w:pStyle w:val="ParagraphStyle15"/>
              <w:rPr>
                <w:rStyle w:val="CharacterStyle15"/>
              </w:rPr>
            </w:pPr>
            <w:r>
              <w:rPr>
                <w:rStyle w:val="CharacterStyle15"/>
              </w:rPr>
              <w:t>3.283.673,74</w:t>
            </w:r>
          </w:p>
        </w:tc>
        <w:tc>
          <w:tcPr>
            <w:tcW w:w="1935" w:type="dxa"/>
            <w:tcBorders>
              <w:bottom w:val="single" w:sz="6" w:space="0" w:color="000000"/>
              <w:right w:val="single" w:sz="6" w:space="0" w:color="000000"/>
            </w:tcBorders>
            <w:vAlign w:val="center"/>
          </w:tcPr>
          <w:p w14:paraId="2E4B2F89" w14:textId="77777777" w:rsidR="009A4261" w:rsidRDefault="009A4261" w:rsidP="009A4261">
            <w:pPr>
              <w:pStyle w:val="ParagraphStyle15"/>
              <w:rPr>
                <w:rStyle w:val="CharacterStyle15"/>
              </w:rPr>
            </w:pPr>
            <w:r>
              <w:rPr>
                <w:rStyle w:val="CharacterStyle15"/>
              </w:rPr>
              <w:t>3.338.200,69</w:t>
            </w:r>
          </w:p>
        </w:tc>
      </w:tr>
      <w:tr w:rsidR="009A4261" w:rsidRPr="002A4BFB" w14:paraId="110A9AFB" w14:textId="77777777" w:rsidTr="009A4261">
        <w:trPr>
          <w:trHeight w:val="360"/>
        </w:trPr>
        <w:tc>
          <w:tcPr>
            <w:tcW w:w="735" w:type="dxa"/>
            <w:tcBorders>
              <w:left w:val="single" w:sz="6" w:space="0" w:color="000000"/>
              <w:bottom w:val="single" w:sz="6" w:space="0" w:color="000000"/>
              <w:right w:val="single" w:sz="6" w:space="0" w:color="000000"/>
            </w:tcBorders>
            <w:vAlign w:val="center"/>
          </w:tcPr>
          <w:p w14:paraId="51DC0A97" w14:textId="77777777" w:rsidR="009A4261" w:rsidRPr="002A4BFB" w:rsidRDefault="009A4261" w:rsidP="009A4261">
            <w:pPr>
              <w:pStyle w:val="ParagraphStyle7"/>
              <w:rPr>
                <w:rStyle w:val="CharacterStyle7"/>
                <w:b/>
                <w:i w:val="0"/>
              </w:rPr>
            </w:pPr>
            <w:r w:rsidRPr="002A4BFB">
              <w:rPr>
                <w:rStyle w:val="CharacterStyle7"/>
                <w:b/>
                <w:i w:val="0"/>
              </w:rPr>
              <w:t>4</w:t>
            </w:r>
          </w:p>
        </w:tc>
        <w:tc>
          <w:tcPr>
            <w:tcW w:w="780" w:type="dxa"/>
            <w:tcBorders>
              <w:bottom w:val="single" w:sz="6" w:space="0" w:color="000000"/>
              <w:right w:val="single" w:sz="6" w:space="0" w:color="000000"/>
            </w:tcBorders>
          </w:tcPr>
          <w:p w14:paraId="018F2B89" w14:textId="77777777" w:rsidR="009A4261" w:rsidRPr="002A4BFB" w:rsidRDefault="009A4261" w:rsidP="009A4261">
            <w:pPr>
              <w:pStyle w:val="ParagraphStyle8"/>
              <w:rPr>
                <w:rStyle w:val="CharacterStyle8"/>
                <w:b/>
                <w:i w:val="0"/>
              </w:rPr>
            </w:pPr>
          </w:p>
        </w:tc>
        <w:tc>
          <w:tcPr>
            <w:tcW w:w="3675" w:type="dxa"/>
            <w:tcBorders>
              <w:bottom w:val="single" w:sz="6" w:space="0" w:color="000000"/>
              <w:right w:val="single" w:sz="6" w:space="0" w:color="000000"/>
            </w:tcBorders>
            <w:vAlign w:val="center"/>
          </w:tcPr>
          <w:p w14:paraId="6C85D0BA" w14:textId="77777777" w:rsidR="009A4261" w:rsidRPr="002A4BFB" w:rsidRDefault="009A4261" w:rsidP="009A4261">
            <w:pPr>
              <w:pStyle w:val="ParagraphStyle9"/>
              <w:jc w:val="left"/>
              <w:rPr>
                <w:rStyle w:val="CharacterStyle9"/>
                <w:b/>
                <w:i w:val="0"/>
              </w:rPr>
            </w:pPr>
            <w:r w:rsidRPr="002A4BFB">
              <w:rPr>
                <w:rStyle w:val="CharacterStyle9"/>
                <w:b/>
                <w:i w:val="0"/>
              </w:rPr>
              <w:t>Rashodi za nabavu nefinancijske imovine</w:t>
            </w:r>
          </w:p>
        </w:tc>
        <w:tc>
          <w:tcPr>
            <w:tcW w:w="1920" w:type="dxa"/>
            <w:tcBorders>
              <w:bottom w:val="single" w:sz="6" w:space="0" w:color="000000"/>
              <w:right w:val="single" w:sz="6" w:space="0" w:color="000000"/>
            </w:tcBorders>
            <w:vAlign w:val="center"/>
          </w:tcPr>
          <w:p w14:paraId="64A564FB" w14:textId="77777777" w:rsidR="009A4261" w:rsidRPr="002A4BFB" w:rsidRDefault="009A4261" w:rsidP="009A4261">
            <w:pPr>
              <w:pStyle w:val="ParagraphStyle10"/>
              <w:jc w:val="right"/>
              <w:rPr>
                <w:rStyle w:val="CharacterStyle10"/>
                <w:b/>
              </w:rPr>
            </w:pPr>
            <w:r w:rsidRPr="002A4BFB">
              <w:rPr>
                <w:rStyle w:val="CharacterStyle10"/>
                <w:b/>
              </w:rPr>
              <w:t>10.656.587,77</w:t>
            </w:r>
          </w:p>
        </w:tc>
        <w:tc>
          <w:tcPr>
            <w:tcW w:w="1935" w:type="dxa"/>
            <w:tcBorders>
              <w:bottom w:val="single" w:sz="6" w:space="0" w:color="000000"/>
              <w:right w:val="single" w:sz="6" w:space="0" w:color="000000"/>
            </w:tcBorders>
            <w:vAlign w:val="center"/>
          </w:tcPr>
          <w:p w14:paraId="381FEED7" w14:textId="77777777" w:rsidR="009A4261" w:rsidRPr="002A4BFB" w:rsidRDefault="009A4261" w:rsidP="009A4261">
            <w:pPr>
              <w:pStyle w:val="ParagraphStyle10"/>
              <w:jc w:val="right"/>
              <w:rPr>
                <w:rStyle w:val="CharacterStyle10"/>
                <w:b/>
              </w:rPr>
            </w:pPr>
            <w:r w:rsidRPr="002A4BFB">
              <w:rPr>
                <w:rStyle w:val="CharacterStyle10"/>
                <w:b/>
              </w:rPr>
              <w:t>29.485.644,02</w:t>
            </w:r>
          </w:p>
        </w:tc>
        <w:tc>
          <w:tcPr>
            <w:tcW w:w="1935" w:type="dxa"/>
            <w:tcBorders>
              <w:bottom w:val="single" w:sz="6" w:space="0" w:color="000000"/>
              <w:right w:val="single" w:sz="6" w:space="0" w:color="000000"/>
            </w:tcBorders>
            <w:vAlign w:val="center"/>
          </w:tcPr>
          <w:p w14:paraId="3C1A7909" w14:textId="77777777" w:rsidR="009A4261" w:rsidRPr="009A4261" w:rsidRDefault="009A4261" w:rsidP="009A4261">
            <w:pPr>
              <w:pStyle w:val="ParagraphStyle10"/>
              <w:jc w:val="right"/>
              <w:rPr>
                <w:rStyle w:val="CharacterStyle10"/>
                <w:b/>
              </w:rPr>
            </w:pPr>
            <w:r w:rsidRPr="009A4261">
              <w:rPr>
                <w:rStyle w:val="CharacterStyle10"/>
                <w:b/>
              </w:rPr>
              <w:t>25.840.458,50</w:t>
            </w:r>
          </w:p>
        </w:tc>
        <w:tc>
          <w:tcPr>
            <w:tcW w:w="1935" w:type="dxa"/>
            <w:tcBorders>
              <w:bottom w:val="single" w:sz="6" w:space="0" w:color="000000"/>
              <w:right w:val="single" w:sz="6" w:space="0" w:color="000000"/>
            </w:tcBorders>
            <w:vAlign w:val="center"/>
          </w:tcPr>
          <w:p w14:paraId="5EA21A52" w14:textId="77777777" w:rsidR="009A4261" w:rsidRPr="009A4261" w:rsidRDefault="009A4261" w:rsidP="009A4261">
            <w:pPr>
              <w:pStyle w:val="ParagraphStyle10"/>
              <w:jc w:val="right"/>
              <w:rPr>
                <w:rStyle w:val="CharacterStyle10"/>
                <w:b/>
              </w:rPr>
            </w:pPr>
            <w:r w:rsidRPr="009A4261">
              <w:rPr>
                <w:rStyle w:val="CharacterStyle10"/>
                <w:b/>
              </w:rPr>
              <w:t>10.909.136,95</w:t>
            </w:r>
          </w:p>
        </w:tc>
        <w:tc>
          <w:tcPr>
            <w:tcW w:w="1935" w:type="dxa"/>
            <w:tcBorders>
              <w:bottom w:val="single" w:sz="6" w:space="0" w:color="000000"/>
              <w:right w:val="single" w:sz="6" w:space="0" w:color="000000"/>
            </w:tcBorders>
            <w:vAlign w:val="center"/>
          </w:tcPr>
          <w:p w14:paraId="0BD8A3A5" w14:textId="77777777" w:rsidR="009A4261" w:rsidRPr="009A4261" w:rsidRDefault="009A4261" w:rsidP="009A4261">
            <w:pPr>
              <w:pStyle w:val="ParagraphStyle10"/>
              <w:jc w:val="right"/>
              <w:rPr>
                <w:rStyle w:val="CharacterStyle10"/>
                <w:b/>
              </w:rPr>
            </w:pPr>
            <w:r w:rsidRPr="009A4261">
              <w:rPr>
                <w:rStyle w:val="CharacterStyle10"/>
                <w:b/>
              </w:rPr>
              <w:t>5.212.442,75</w:t>
            </w:r>
          </w:p>
        </w:tc>
      </w:tr>
      <w:tr w:rsidR="009A4261" w:rsidRPr="00EE3A4E" w14:paraId="5F9A8118" w14:textId="77777777" w:rsidTr="009A4261">
        <w:trPr>
          <w:trHeight w:val="405"/>
        </w:trPr>
        <w:tc>
          <w:tcPr>
            <w:tcW w:w="735" w:type="dxa"/>
            <w:tcBorders>
              <w:left w:val="single" w:sz="6" w:space="0" w:color="000000"/>
              <w:bottom w:val="single" w:sz="6" w:space="0" w:color="000000"/>
              <w:right w:val="single" w:sz="6" w:space="0" w:color="000000"/>
            </w:tcBorders>
            <w:vAlign w:val="center"/>
          </w:tcPr>
          <w:p w14:paraId="5EE83ED6" w14:textId="77777777" w:rsidR="009A4261" w:rsidRPr="00EE3A4E" w:rsidRDefault="009A4261" w:rsidP="009A4261">
            <w:pPr>
              <w:pStyle w:val="ParagraphStyle11"/>
              <w:rPr>
                <w:rStyle w:val="CharacterStyle11"/>
              </w:rPr>
            </w:pPr>
          </w:p>
        </w:tc>
        <w:tc>
          <w:tcPr>
            <w:tcW w:w="780" w:type="dxa"/>
            <w:tcBorders>
              <w:bottom w:val="single" w:sz="6" w:space="0" w:color="000000"/>
              <w:right w:val="single" w:sz="6" w:space="0" w:color="000000"/>
            </w:tcBorders>
            <w:vAlign w:val="center"/>
          </w:tcPr>
          <w:p w14:paraId="0EBF85AA" w14:textId="77777777" w:rsidR="009A4261" w:rsidRPr="00EE3A4E" w:rsidRDefault="009A4261" w:rsidP="009A4261">
            <w:pPr>
              <w:pStyle w:val="ParagraphStyle12"/>
              <w:jc w:val="left"/>
              <w:rPr>
                <w:rStyle w:val="CharacterStyle12"/>
              </w:rPr>
            </w:pPr>
            <w:r w:rsidRPr="00EE3A4E">
              <w:rPr>
                <w:rStyle w:val="CharacterStyle12"/>
              </w:rPr>
              <w:t>41</w:t>
            </w:r>
          </w:p>
        </w:tc>
        <w:tc>
          <w:tcPr>
            <w:tcW w:w="3675" w:type="dxa"/>
            <w:tcBorders>
              <w:bottom w:val="single" w:sz="6" w:space="0" w:color="000000"/>
              <w:right w:val="single" w:sz="6" w:space="0" w:color="000000"/>
            </w:tcBorders>
            <w:vAlign w:val="center"/>
          </w:tcPr>
          <w:p w14:paraId="64779024" w14:textId="77777777" w:rsidR="009A4261" w:rsidRPr="00EE3A4E" w:rsidRDefault="009A4261" w:rsidP="009A4261">
            <w:pPr>
              <w:pStyle w:val="ParagraphStyle13"/>
              <w:rPr>
                <w:rStyle w:val="CharacterStyle13"/>
              </w:rPr>
            </w:pPr>
            <w:r w:rsidRPr="00EE3A4E">
              <w:rPr>
                <w:rStyle w:val="CharacterStyle13"/>
              </w:rPr>
              <w:t>Rashodi za nabavu neproizvedene dugotrajne imovine</w:t>
            </w:r>
          </w:p>
        </w:tc>
        <w:tc>
          <w:tcPr>
            <w:tcW w:w="1920" w:type="dxa"/>
            <w:tcBorders>
              <w:bottom w:val="single" w:sz="6" w:space="0" w:color="000000"/>
              <w:right w:val="single" w:sz="6" w:space="0" w:color="000000"/>
            </w:tcBorders>
            <w:vAlign w:val="center"/>
          </w:tcPr>
          <w:p w14:paraId="59E1968F" w14:textId="77777777" w:rsidR="009A4261" w:rsidRPr="00EE3A4E" w:rsidRDefault="009A4261" w:rsidP="009A4261">
            <w:pPr>
              <w:pStyle w:val="ParagraphStyle14"/>
              <w:rPr>
                <w:rStyle w:val="CharacterStyle14"/>
              </w:rPr>
            </w:pPr>
            <w:r w:rsidRPr="00EE3A4E">
              <w:rPr>
                <w:rStyle w:val="CharacterStyle14"/>
              </w:rPr>
              <w:t>70.743,65</w:t>
            </w:r>
          </w:p>
        </w:tc>
        <w:tc>
          <w:tcPr>
            <w:tcW w:w="1935" w:type="dxa"/>
            <w:tcBorders>
              <w:bottom w:val="single" w:sz="6" w:space="0" w:color="000000"/>
              <w:right w:val="single" w:sz="6" w:space="0" w:color="000000"/>
            </w:tcBorders>
            <w:vAlign w:val="center"/>
          </w:tcPr>
          <w:p w14:paraId="3E59D1DA" w14:textId="77777777" w:rsidR="009A4261" w:rsidRPr="00EE3A4E" w:rsidRDefault="009A4261" w:rsidP="009A4261">
            <w:pPr>
              <w:pStyle w:val="ParagraphStyle14"/>
              <w:rPr>
                <w:rStyle w:val="CharacterStyle14"/>
              </w:rPr>
            </w:pPr>
            <w:r w:rsidRPr="00EE3A4E">
              <w:rPr>
                <w:rStyle w:val="CharacterStyle14"/>
              </w:rPr>
              <w:t>1.586.492,82</w:t>
            </w:r>
          </w:p>
        </w:tc>
        <w:tc>
          <w:tcPr>
            <w:tcW w:w="1935" w:type="dxa"/>
            <w:tcBorders>
              <w:bottom w:val="single" w:sz="6" w:space="0" w:color="000000"/>
              <w:right w:val="single" w:sz="6" w:space="0" w:color="000000"/>
            </w:tcBorders>
            <w:vAlign w:val="center"/>
          </w:tcPr>
          <w:p w14:paraId="16D4733C" w14:textId="77777777" w:rsidR="009A4261" w:rsidRDefault="009A4261" w:rsidP="009A4261">
            <w:pPr>
              <w:pStyle w:val="ParagraphStyle15"/>
              <w:rPr>
                <w:rStyle w:val="CharacterStyle15"/>
              </w:rPr>
            </w:pPr>
            <w:r>
              <w:rPr>
                <w:rStyle w:val="CharacterStyle15"/>
              </w:rPr>
              <w:t>1.206.402,82</w:t>
            </w:r>
          </w:p>
        </w:tc>
        <w:tc>
          <w:tcPr>
            <w:tcW w:w="1935" w:type="dxa"/>
            <w:tcBorders>
              <w:bottom w:val="single" w:sz="6" w:space="0" w:color="000000"/>
              <w:right w:val="single" w:sz="6" w:space="0" w:color="000000"/>
            </w:tcBorders>
            <w:vAlign w:val="center"/>
          </w:tcPr>
          <w:p w14:paraId="6F5592DF" w14:textId="77777777" w:rsidR="009A4261" w:rsidRDefault="009A4261" w:rsidP="009A4261">
            <w:pPr>
              <w:pStyle w:val="ParagraphStyle15"/>
              <w:rPr>
                <w:rStyle w:val="CharacterStyle15"/>
              </w:rPr>
            </w:pPr>
            <w:r>
              <w:rPr>
                <w:rStyle w:val="CharacterStyle15"/>
              </w:rPr>
              <w:t>1.065.300,09</w:t>
            </w:r>
          </w:p>
        </w:tc>
        <w:tc>
          <w:tcPr>
            <w:tcW w:w="1935" w:type="dxa"/>
            <w:tcBorders>
              <w:bottom w:val="single" w:sz="6" w:space="0" w:color="000000"/>
              <w:right w:val="single" w:sz="6" w:space="0" w:color="000000"/>
            </w:tcBorders>
            <w:vAlign w:val="center"/>
          </w:tcPr>
          <w:p w14:paraId="40F05931" w14:textId="77777777" w:rsidR="009A4261" w:rsidRDefault="009A4261" w:rsidP="009A4261">
            <w:pPr>
              <w:pStyle w:val="ParagraphStyle15"/>
              <w:rPr>
                <w:rStyle w:val="CharacterStyle15"/>
              </w:rPr>
            </w:pPr>
            <w:r>
              <w:rPr>
                <w:rStyle w:val="CharacterStyle15"/>
              </w:rPr>
              <w:t>1.296.800,09</w:t>
            </w:r>
          </w:p>
        </w:tc>
      </w:tr>
      <w:tr w:rsidR="009A4261" w:rsidRPr="00EE3A4E" w14:paraId="07065794" w14:textId="77777777" w:rsidTr="009A4261">
        <w:trPr>
          <w:trHeight w:val="420"/>
        </w:trPr>
        <w:tc>
          <w:tcPr>
            <w:tcW w:w="735" w:type="dxa"/>
            <w:tcBorders>
              <w:left w:val="single" w:sz="6" w:space="0" w:color="000000"/>
              <w:bottom w:val="single" w:sz="6" w:space="0" w:color="000000"/>
              <w:right w:val="single" w:sz="6" w:space="0" w:color="000000"/>
            </w:tcBorders>
            <w:vAlign w:val="center"/>
          </w:tcPr>
          <w:p w14:paraId="45575CD2" w14:textId="77777777" w:rsidR="009A4261" w:rsidRPr="00EE3A4E" w:rsidRDefault="009A4261" w:rsidP="009A4261">
            <w:pPr>
              <w:pStyle w:val="ParagraphStyle11"/>
              <w:rPr>
                <w:rStyle w:val="CharacterStyle11"/>
              </w:rPr>
            </w:pPr>
          </w:p>
        </w:tc>
        <w:tc>
          <w:tcPr>
            <w:tcW w:w="780" w:type="dxa"/>
            <w:tcBorders>
              <w:bottom w:val="single" w:sz="6" w:space="0" w:color="000000"/>
              <w:right w:val="single" w:sz="6" w:space="0" w:color="000000"/>
            </w:tcBorders>
            <w:vAlign w:val="center"/>
          </w:tcPr>
          <w:p w14:paraId="4390BBBB" w14:textId="77777777" w:rsidR="009A4261" w:rsidRPr="00EE3A4E" w:rsidRDefault="009A4261" w:rsidP="009A4261">
            <w:pPr>
              <w:pStyle w:val="ParagraphStyle12"/>
              <w:jc w:val="left"/>
              <w:rPr>
                <w:rStyle w:val="CharacterStyle12"/>
              </w:rPr>
            </w:pPr>
            <w:r w:rsidRPr="00EE3A4E">
              <w:rPr>
                <w:rStyle w:val="CharacterStyle12"/>
              </w:rPr>
              <w:t>42</w:t>
            </w:r>
          </w:p>
        </w:tc>
        <w:tc>
          <w:tcPr>
            <w:tcW w:w="3675" w:type="dxa"/>
            <w:tcBorders>
              <w:bottom w:val="single" w:sz="6" w:space="0" w:color="000000"/>
              <w:right w:val="single" w:sz="6" w:space="0" w:color="000000"/>
            </w:tcBorders>
            <w:vAlign w:val="center"/>
          </w:tcPr>
          <w:p w14:paraId="227ECDCD" w14:textId="77777777" w:rsidR="009A4261" w:rsidRPr="00EE3A4E" w:rsidRDefault="009A4261" w:rsidP="009A4261">
            <w:pPr>
              <w:pStyle w:val="ParagraphStyle13"/>
              <w:rPr>
                <w:rStyle w:val="CharacterStyle13"/>
              </w:rPr>
            </w:pPr>
            <w:r w:rsidRPr="00EE3A4E">
              <w:rPr>
                <w:rStyle w:val="CharacterStyle13"/>
              </w:rPr>
              <w:t>Rashodi za nabavu proizvedene dugotrajne imovine</w:t>
            </w:r>
          </w:p>
        </w:tc>
        <w:tc>
          <w:tcPr>
            <w:tcW w:w="1920" w:type="dxa"/>
            <w:tcBorders>
              <w:bottom w:val="single" w:sz="6" w:space="0" w:color="000000"/>
              <w:right w:val="single" w:sz="6" w:space="0" w:color="000000"/>
            </w:tcBorders>
            <w:vAlign w:val="center"/>
          </w:tcPr>
          <w:p w14:paraId="75A9F548" w14:textId="77777777" w:rsidR="009A4261" w:rsidRPr="00EE3A4E" w:rsidRDefault="009A4261" w:rsidP="009A4261">
            <w:pPr>
              <w:pStyle w:val="ParagraphStyle14"/>
              <w:rPr>
                <w:rStyle w:val="CharacterStyle14"/>
              </w:rPr>
            </w:pPr>
            <w:r w:rsidRPr="00EE3A4E">
              <w:rPr>
                <w:rStyle w:val="CharacterStyle14"/>
              </w:rPr>
              <w:t>2.444.488,24</w:t>
            </w:r>
          </w:p>
        </w:tc>
        <w:tc>
          <w:tcPr>
            <w:tcW w:w="1935" w:type="dxa"/>
            <w:tcBorders>
              <w:bottom w:val="single" w:sz="6" w:space="0" w:color="000000"/>
              <w:right w:val="single" w:sz="6" w:space="0" w:color="000000"/>
            </w:tcBorders>
            <w:vAlign w:val="center"/>
          </w:tcPr>
          <w:p w14:paraId="1433B3C2" w14:textId="77777777" w:rsidR="009A4261" w:rsidRPr="00EE3A4E" w:rsidRDefault="009A4261" w:rsidP="009A4261">
            <w:pPr>
              <w:pStyle w:val="ParagraphStyle14"/>
              <w:rPr>
                <w:rStyle w:val="CharacterStyle14"/>
              </w:rPr>
            </w:pPr>
            <w:r w:rsidRPr="00EE3A4E">
              <w:rPr>
                <w:rStyle w:val="CharacterStyle14"/>
              </w:rPr>
              <w:t>11.192.742,20</w:t>
            </w:r>
          </w:p>
        </w:tc>
        <w:tc>
          <w:tcPr>
            <w:tcW w:w="1935" w:type="dxa"/>
            <w:tcBorders>
              <w:bottom w:val="single" w:sz="6" w:space="0" w:color="000000"/>
              <w:right w:val="single" w:sz="6" w:space="0" w:color="000000"/>
            </w:tcBorders>
            <w:vAlign w:val="center"/>
          </w:tcPr>
          <w:p w14:paraId="1E83E2D5" w14:textId="77777777" w:rsidR="009A4261" w:rsidRDefault="009A4261" w:rsidP="009A4261">
            <w:pPr>
              <w:pStyle w:val="ParagraphStyle15"/>
              <w:rPr>
                <w:rStyle w:val="CharacterStyle15"/>
              </w:rPr>
            </w:pPr>
            <w:r>
              <w:rPr>
                <w:rStyle w:val="CharacterStyle15"/>
              </w:rPr>
              <w:t>12.517.597,56</w:t>
            </w:r>
          </w:p>
        </w:tc>
        <w:tc>
          <w:tcPr>
            <w:tcW w:w="1935" w:type="dxa"/>
            <w:tcBorders>
              <w:bottom w:val="single" w:sz="6" w:space="0" w:color="000000"/>
              <w:right w:val="single" w:sz="6" w:space="0" w:color="000000"/>
            </w:tcBorders>
            <w:vAlign w:val="center"/>
          </w:tcPr>
          <w:p w14:paraId="44A1D88D" w14:textId="77777777" w:rsidR="009A4261" w:rsidRDefault="009A4261" w:rsidP="009A4261">
            <w:pPr>
              <w:pStyle w:val="ParagraphStyle15"/>
              <w:rPr>
                <w:rStyle w:val="CharacterStyle15"/>
              </w:rPr>
            </w:pPr>
            <w:r>
              <w:rPr>
                <w:rStyle w:val="CharacterStyle15"/>
              </w:rPr>
              <w:t>9.417.836,86</w:t>
            </w:r>
          </w:p>
        </w:tc>
        <w:tc>
          <w:tcPr>
            <w:tcW w:w="1935" w:type="dxa"/>
            <w:tcBorders>
              <w:bottom w:val="single" w:sz="6" w:space="0" w:color="000000"/>
              <w:right w:val="single" w:sz="6" w:space="0" w:color="000000"/>
            </w:tcBorders>
            <w:vAlign w:val="center"/>
          </w:tcPr>
          <w:p w14:paraId="0FFD6487" w14:textId="77777777" w:rsidR="009A4261" w:rsidRDefault="009A4261" w:rsidP="009A4261">
            <w:pPr>
              <w:pStyle w:val="ParagraphStyle15"/>
              <w:rPr>
                <w:rStyle w:val="CharacterStyle15"/>
              </w:rPr>
            </w:pPr>
            <w:r>
              <w:rPr>
                <w:rStyle w:val="CharacterStyle15"/>
              </w:rPr>
              <w:t>3.608.642,66</w:t>
            </w:r>
          </w:p>
        </w:tc>
      </w:tr>
      <w:tr w:rsidR="009A4261" w:rsidRPr="00EE3A4E" w14:paraId="0C663936" w14:textId="77777777" w:rsidTr="009A4261">
        <w:trPr>
          <w:trHeight w:val="405"/>
        </w:trPr>
        <w:tc>
          <w:tcPr>
            <w:tcW w:w="735" w:type="dxa"/>
            <w:tcBorders>
              <w:left w:val="single" w:sz="6" w:space="0" w:color="000000"/>
              <w:bottom w:val="single" w:sz="6" w:space="0" w:color="000000"/>
              <w:right w:val="single" w:sz="6" w:space="0" w:color="000000"/>
            </w:tcBorders>
            <w:vAlign w:val="center"/>
          </w:tcPr>
          <w:p w14:paraId="195A75A6" w14:textId="77777777" w:rsidR="009A4261" w:rsidRPr="00EE3A4E" w:rsidRDefault="009A4261" w:rsidP="009A4261">
            <w:pPr>
              <w:pStyle w:val="ParagraphStyle11"/>
              <w:rPr>
                <w:rStyle w:val="CharacterStyle11"/>
              </w:rPr>
            </w:pPr>
          </w:p>
        </w:tc>
        <w:tc>
          <w:tcPr>
            <w:tcW w:w="780" w:type="dxa"/>
            <w:tcBorders>
              <w:bottom w:val="single" w:sz="6" w:space="0" w:color="000000"/>
              <w:right w:val="single" w:sz="6" w:space="0" w:color="000000"/>
            </w:tcBorders>
            <w:vAlign w:val="center"/>
          </w:tcPr>
          <w:p w14:paraId="3E603394" w14:textId="77777777" w:rsidR="009A4261" w:rsidRPr="00EE3A4E" w:rsidRDefault="009A4261" w:rsidP="009A4261">
            <w:pPr>
              <w:pStyle w:val="ParagraphStyle12"/>
              <w:jc w:val="left"/>
              <w:rPr>
                <w:rStyle w:val="CharacterStyle12"/>
              </w:rPr>
            </w:pPr>
            <w:r w:rsidRPr="00EE3A4E">
              <w:rPr>
                <w:rStyle w:val="CharacterStyle12"/>
              </w:rPr>
              <w:t>45</w:t>
            </w:r>
          </w:p>
        </w:tc>
        <w:tc>
          <w:tcPr>
            <w:tcW w:w="3675" w:type="dxa"/>
            <w:tcBorders>
              <w:bottom w:val="single" w:sz="6" w:space="0" w:color="000000"/>
              <w:right w:val="single" w:sz="6" w:space="0" w:color="000000"/>
            </w:tcBorders>
            <w:vAlign w:val="center"/>
          </w:tcPr>
          <w:p w14:paraId="0BA7792E" w14:textId="77777777" w:rsidR="009A4261" w:rsidRPr="00EE3A4E" w:rsidRDefault="009A4261" w:rsidP="009A4261">
            <w:pPr>
              <w:pStyle w:val="ParagraphStyle13"/>
              <w:rPr>
                <w:rStyle w:val="CharacterStyle13"/>
              </w:rPr>
            </w:pPr>
            <w:r w:rsidRPr="00EE3A4E">
              <w:rPr>
                <w:rStyle w:val="CharacterStyle13"/>
              </w:rPr>
              <w:t>Rashodi za dodatna ulaganja na nefinancijskoj imovini</w:t>
            </w:r>
          </w:p>
        </w:tc>
        <w:tc>
          <w:tcPr>
            <w:tcW w:w="1920" w:type="dxa"/>
            <w:tcBorders>
              <w:bottom w:val="single" w:sz="6" w:space="0" w:color="000000"/>
              <w:right w:val="single" w:sz="6" w:space="0" w:color="000000"/>
            </w:tcBorders>
            <w:vAlign w:val="center"/>
          </w:tcPr>
          <w:p w14:paraId="32E086F8" w14:textId="77777777" w:rsidR="009A4261" w:rsidRPr="00EE3A4E" w:rsidRDefault="009A4261" w:rsidP="009A4261">
            <w:pPr>
              <w:pStyle w:val="ParagraphStyle14"/>
              <w:rPr>
                <w:rStyle w:val="CharacterStyle14"/>
              </w:rPr>
            </w:pPr>
            <w:r w:rsidRPr="00EE3A4E">
              <w:rPr>
                <w:rStyle w:val="CharacterStyle14"/>
              </w:rPr>
              <w:t>8.141.355,88</w:t>
            </w:r>
          </w:p>
        </w:tc>
        <w:tc>
          <w:tcPr>
            <w:tcW w:w="1935" w:type="dxa"/>
            <w:tcBorders>
              <w:bottom w:val="single" w:sz="6" w:space="0" w:color="000000"/>
              <w:right w:val="single" w:sz="6" w:space="0" w:color="000000"/>
            </w:tcBorders>
            <w:vAlign w:val="center"/>
          </w:tcPr>
          <w:p w14:paraId="6AA6A6D7" w14:textId="77777777" w:rsidR="009A4261" w:rsidRPr="00EE3A4E" w:rsidRDefault="009A4261" w:rsidP="009A4261">
            <w:pPr>
              <w:pStyle w:val="ParagraphStyle14"/>
              <w:rPr>
                <w:rStyle w:val="CharacterStyle14"/>
              </w:rPr>
            </w:pPr>
            <w:r w:rsidRPr="00EE3A4E">
              <w:rPr>
                <w:rStyle w:val="CharacterStyle14"/>
              </w:rPr>
              <w:t>16.706.409,00</w:t>
            </w:r>
          </w:p>
        </w:tc>
        <w:tc>
          <w:tcPr>
            <w:tcW w:w="1935" w:type="dxa"/>
            <w:tcBorders>
              <w:bottom w:val="single" w:sz="6" w:space="0" w:color="000000"/>
              <w:right w:val="single" w:sz="6" w:space="0" w:color="000000"/>
            </w:tcBorders>
            <w:vAlign w:val="center"/>
          </w:tcPr>
          <w:p w14:paraId="165B82A4" w14:textId="77777777" w:rsidR="009A4261" w:rsidRDefault="009A4261" w:rsidP="009A4261">
            <w:pPr>
              <w:pStyle w:val="ParagraphStyle15"/>
              <w:rPr>
                <w:rStyle w:val="CharacterStyle15"/>
              </w:rPr>
            </w:pPr>
            <w:r>
              <w:rPr>
                <w:rStyle w:val="CharacterStyle15"/>
              </w:rPr>
              <w:t>12.116.458,12</w:t>
            </w:r>
          </w:p>
        </w:tc>
        <w:tc>
          <w:tcPr>
            <w:tcW w:w="1935" w:type="dxa"/>
            <w:tcBorders>
              <w:bottom w:val="single" w:sz="6" w:space="0" w:color="000000"/>
              <w:right w:val="single" w:sz="6" w:space="0" w:color="000000"/>
            </w:tcBorders>
            <w:vAlign w:val="center"/>
          </w:tcPr>
          <w:p w14:paraId="4FAF7CB5" w14:textId="77777777" w:rsidR="009A4261" w:rsidRDefault="009A4261" w:rsidP="009A4261">
            <w:pPr>
              <w:pStyle w:val="ParagraphStyle15"/>
              <w:rPr>
                <w:rStyle w:val="CharacterStyle15"/>
              </w:rPr>
            </w:pPr>
            <w:r>
              <w:rPr>
                <w:rStyle w:val="CharacterStyle15"/>
              </w:rPr>
              <w:t>426.000,00</w:t>
            </w:r>
          </w:p>
        </w:tc>
        <w:tc>
          <w:tcPr>
            <w:tcW w:w="1935" w:type="dxa"/>
            <w:tcBorders>
              <w:bottom w:val="single" w:sz="6" w:space="0" w:color="000000"/>
              <w:right w:val="single" w:sz="6" w:space="0" w:color="000000"/>
            </w:tcBorders>
            <w:vAlign w:val="center"/>
          </w:tcPr>
          <w:p w14:paraId="1A500F43" w14:textId="77777777" w:rsidR="009A4261" w:rsidRDefault="009A4261" w:rsidP="009A4261">
            <w:pPr>
              <w:pStyle w:val="ParagraphStyle15"/>
              <w:rPr>
                <w:rStyle w:val="CharacterStyle15"/>
              </w:rPr>
            </w:pPr>
            <w:r>
              <w:rPr>
                <w:rStyle w:val="CharacterStyle15"/>
              </w:rPr>
              <w:t>307.000,00</w:t>
            </w:r>
          </w:p>
        </w:tc>
      </w:tr>
    </w:tbl>
    <w:p w14:paraId="48AD851D" w14:textId="77777777" w:rsidR="002A4BFB" w:rsidRDefault="002A4BFB" w:rsidP="002A4BFB"/>
    <w:p w14:paraId="43D881BA" w14:textId="77777777" w:rsidR="002A4BFB" w:rsidRDefault="002A4BFB" w:rsidP="002A4BFB">
      <w:r>
        <w:br w:type="page"/>
      </w:r>
    </w:p>
    <w:tbl>
      <w:tblPr>
        <w:tblW w:w="0" w:type="auto"/>
        <w:tblLayout w:type="fixed"/>
        <w:tblCellMar>
          <w:left w:w="0" w:type="dxa"/>
          <w:right w:w="0" w:type="dxa"/>
        </w:tblCellMar>
        <w:tblLook w:val="04A0" w:firstRow="1" w:lastRow="0" w:firstColumn="1" w:lastColumn="0" w:noHBand="0" w:noVBand="1"/>
      </w:tblPr>
      <w:tblGrid>
        <w:gridCol w:w="14850"/>
      </w:tblGrid>
      <w:tr w:rsidR="002A4BFB" w14:paraId="5E6479A7" w14:textId="77777777" w:rsidTr="00107D76">
        <w:trPr>
          <w:trHeight w:val="315"/>
        </w:trPr>
        <w:tc>
          <w:tcPr>
            <w:tcW w:w="14850" w:type="dxa"/>
            <w:vAlign w:val="center"/>
          </w:tcPr>
          <w:p w14:paraId="63F58E64" w14:textId="77777777" w:rsidR="002A4BFB" w:rsidRDefault="002A4BFB" w:rsidP="00107D76">
            <w:pPr>
              <w:pStyle w:val="ParagraphStyle0"/>
              <w:rPr>
                <w:rStyle w:val="CharacterStyle0"/>
              </w:rPr>
            </w:pPr>
            <w:r>
              <w:rPr>
                <w:rStyle w:val="CharacterStyle0"/>
              </w:rPr>
              <w:lastRenderedPageBreak/>
              <w:t>A2. PRIHODI I RASHODI PREMA IZVORIMA FINANCIRANJA</w:t>
            </w:r>
          </w:p>
        </w:tc>
      </w:tr>
    </w:tbl>
    <w:p w14:paraId="4F9BE803" w14:textId="77777777" w:rsidR="002A4BFB" w:rsidRDefault="002A4BFB" w:rsidP="002A4BFB">
      <w:pPr>
        <w:spacing w:line="405" w:lineRule="exact"/>
      </w:pPr>
    </w:p>
    <w:tbl>
      <w:tblPr>
        <w:tblW w:w="14850" w:type="dxa"/>
        <w:tblLayout w:type="fixed"/>
        <w:tblCellMar>
          <w:left w:w="0" w:type="dxa"/>
          <w:right w:w="0" w:type="dxa"/>
        </w:tblCellMar>
        <w:tblLook w:val="04A0" w:firstRow="1" w:lastRow="0" w:firstColumn="1" w:lastColumn="0" w:noHBand="0" w:noVBand="1"/>
      </w:tblPr>
      <w:tblGrid>
        <w:gridCol w:w="5190"/>
        <w:gridCol w:w="1920"/>
        <w:gridCol w:w="1935"/>
        <w:gridCol w:w="1935"/>
        <w:gridCol w:w="1935"/>
        <w:gridCol w:w="1935"/>
      </w:tblGrid>
      <w:tr w:rsidR="002A4BFB" w14:paraId="77BBA713" w14:textId="77777777" w:rsidTr="009A4261">
        <w:trPr>
          <w:trHeight w:val="555"/>
          <w:tblHeader/>
        </w:trPr>
        <w:tc>
          <w:tcPr>
            <w:tcW w:w="5190" w:type="dxa"/>
            <w:tcBorders>
              <w:top w:val="single" w:sz="6" w:space="0" w:color="000000"/>
              <w:left w:val="single" w:sz="6" w:space="0" w:color="000000"/>
              <w:bottom w:val="single" w:sz="6" w:space="0" w:color="000000"/>
              <w:right w:val="single" w:sz="6" w:space="0" w:color="000000"/>
            </w:tcBorders>
            <w:shd w:val="clear" w:color="auto" w:fill="DCDCDC"/>
            <w:vAlign w:val="center"/>
          </w:tcPr>
          <w:p w14:paraId="2B20ADF5" w14:textId="77777777" w:rsidR="002A4BFB" w:rsidRPr="00EE3A4E" w:rsidRDefault="002A4BFB" w:rsidP="00107D76">
            <w:pPr>
              <w:pStyle w:val="ParagraphStyle1"/>
              <w:rPr>
                <w:rStyle w:val="CharacterStyle1"/>
                <w:sz w:val="16"/>
                <w:szCs w:val="16"/>
              </w:rPr>
            </w:pPr>
            <w:r w:rsidRPr="00EE3A4E">
              <w:rPr>
                <w:rStyle w:val="CharacterStyle1"/>
                <w:sz w:val="16"/>
                <w:szCs w:val="16"/>
              </w:rPr>
              <w:t>Brojčana oznaka i naziv</w:t>
            </w:r>
          </w:p>
        </w:tc>
        <w:tc>
          <w:tcPr>
            <w:tcW w:w="1920" w:type="dxa"/>
            <w:tcBorders>
              <w:top w:val="single" w:sz="6" w:space="0" w:color="000000"/>
              <w:bottom w:val="single" w:sz="6" w:space="0" w:color="000000"/>
              <w:right w:val="single" w:sz="6" w:space="0" w:color="000000"/>
            </w:tcBorders>
            <w:shd w:val="clear" w:color="auto" w:fill="DCDCDC"/>
            <w:vAlign w:val="center"/>
          </w:tcPr>
          <w:p w14:paraId="1FBE54F1" w14:textId="77777777" w:rsidR="002A4BFB" w:rsidRPr="00EE3A4E" w:rsidRDefault="002A4BFB" w:rsidP="00107D76">
            <w:pPr>
              <w:pStyle w:val="ParagraphStyle2"/>
              <w:rPr>
                <w:rStyle w:val="CharacterStyle2"/>
              </w:rPr>
            </w:pPr>
            <w:r w:rsidRPr="00EE3A4E">
              <w:rPr>
                <w:rStyle w:val="CharacterStyle2"/>
              </w:rPr>
              <w:t>Izvršenje 2024.</w:t>
            </w:r>
          </w:p>
        </w:tc>
        <w:tc>
          <w:tcPr>
            <w:tcW w:w="1935" w:type="dxa"/>
            <w:tcBorders>
              <w:top w:val="single" w:sz="6" w:space="0" w:color="000000"/>
              <w:bottom w:val="single" w:sz="6" w:space="0" w:color="000000"/>
              <w:right w:val="single" w:sz="6" w:space="0" w:color="000000"/>
            </w:tcBorders>
            <w:shd w:val="clear" w:color="auto" w:fill="DCDCDC"/>
            <w:vAlign w:val="center"/>
          </w:tcPr>
          <w:p w14:paraId="63CD5938" w14:textId="77777777" w:rsidR="002A4BFB" w:rsidRPr="00EE3A4E" w:rsidRDefault="002A4BFB" w:rsidP="00107D76">
            <w:pPr>
              <w:pStyle w:val="ParagraphStyle2"/>
              <w:rPr>
                <w:rStyle w:val="CharacterStyle2"/>
              </w:rPr>
            </w:pPr>
            <w:r w:rsidRPr="00EE3A4E">
              <w:rPr>
                <w:rStyle w:val="CharacterStyle2"/>
              </w:rPr>
              <w:t>Tekući plan 2025.</w:t>
            </w:r>
          </w:p>
        </w:tc>
        <w:tc>
          <w:tcPr>
            <w:tcW w:w="1935" w:type="dxa"/>
            <w:tcBorders>
              <w:top w:val="single" w:sz="6" w:space="0" w:color="000000"/>
              <w:bottom w:val="single" w:sz="6" w:space="0" w:color="000000"/>
              <w:right w:val="single" w:sz="6" w:space="0" w:color="000000"/>
            </w:tcBorders>
            <w:shd w:val="clear" w:color="auto" w:fill="DCDCDC"/>
            <w:vAlign w:val="center"/>
          </w:tcPr>
          <w:p w14:paraId="57E4B7F9" w14:textId="77777777" w:rsidR="002A4BFB" w:rsidRPr="00EE3A4E" w:rsidRDefault="002A4BFB" w:rsidP="00107D76">
            <w:pPr>
              <w:pStyle w:val="ParagraphStyle2"/>
              <w:rPr>
                <w:rStyle w:val="CharacterStyle2"/>
              </w:rPr>
            </w:pPr>
            <w:r w:rsidRPr="00EE3A4E">
              <w:rPr>
                <w:rStyle w:val="CharacterStyle2"/>
              </w:rPr>
              <w:t>Plan 2026.</w:t>
            </w:r>
          </w:p>
        </w:tc>
        <w:tc>
          <w:tcPr>
            <w:tcW w:w="1935" w:type="dxa"/>
            <w:tcBorders>
              <w:top w:val="single" w:sz="6" w:space="0" w:color="000000"/>
              <w:bottom w:val="single" w:sz="6" w:space="0" w:color="000000"/>
              <w:right w:val="single" w:sz="6" w:space="0" w:color="000000"/>
            </w:tcBorders>
            <w:shd w:val="clear" w:color="auto" w:fill="DCDCDC"/>
            <w:vAlign w:val="center"/>
          </w:tcPr>
          <w:p w14:paraId="7C72A43E" w14:textId="77777777" w:rsidR="002A4BFB" w:rsidRPr="00EE3A4E" w:rsidRDefault="002A4BFB" w:rsidP="00107D76">
            <w:pPr>
              <w:pStyle w:val="ParagraphStyle2"/>
              <w:rPr>
                <w:rStyle w:val="CharacterStyle2"/>
              </w:rPr>
            </w:pPr>
            <w:r w:rsidRPr="00EE3A4E">
              <w:rPr>
                <w:rStyle w:val="CharacterStyle2"/>
              </w:rPr>
              <w:t>Projekcija 2027.</w:t>
            </w:r>
          </w:p>
        </w:tc>
        <w:tc>
          <w:tcPr>
            <w:tcW w:w="1935" w:type="dxa"/>
            <w:tcBorders>
              <w:top w:val="single" w:sz="6" w:space="0" w:color="000000"/>
              <w:bottom w:val="single" w:sz="6" w:space="0" w:color="000000"/>
              <w:right w:val="single" w:sz="6" w:space="0" w:color="000000"/>
            </w:tcBorders>
            <w:shd w:val="clear" w:color="auto" w:fill="DCDCDC"/>
            <w:vAlign w:val="center"/>
          </w:tcPr>
          <w:p w14:paraId="5513E817" w14:textId="77777777" w:rsidR="002A4BFB" w:rsidRPr="00EE3A4E" w:rsidRDefault="002A4BFB" w:rsidP="00107D76">
            <w:pPr>
              <w:pStyle w:val="ParagraphStyle2"/>
              <w:rPr>
                <w:rStyle w:val="CharacterStyle2"/>
              </w:rPr>
            </w:pPr>
            <w:r w:rsidRPr="00EE3A4E">
              <w:rPr>
                <w:rStyle w:val="CharacterStyle2"/>
              </w:rPr>
              <w:t>Projekcija 2028.</w:t>
            </w:r>
          </w:p>
        </w:tc>
      </w:tr>
      <w:tr w:rsidR="009A4261" w14:paraId="167D1368" w14:textId="77777777" w:rsidTr="009A4261">
        <w:trPr>
          <w:trHeight w:val="345"/>
        </w:trPr>
        <w:tc>
          <w:tcPr>
            <w:tcW w:w="5190" w:type="dxa"/>
            <w:tcBorders>
              <w:left w:val="single" w:sz="6" w:space="0" w:color="000000"/>
              <w:bottom w:val="single" w:sz="6" w:space="0" w:color="000000"/>
              <w:right w:val="single" w:sz="6" w:space="0" w:color="000000"/>
            </w:tcBorders>
            <w:vAlign w:val="center"/>
          </w:tcPr>
          <w:p w14:paraId="7505733E" w14:textId="77777777" w:rsidR="009A4261" w:rsidRPr="00EE3A4E" w:rsidRDefault="009A4261" w:rsidP="009A4261">
            <w:pPr>
              <w:pStyle w:val="ParagraphStyle3"/>
              <w:jc w:val="left"/>
              <w:rPr>
                <w:rStyle w:val="CharacterStyle3"/>
              </w:rPr>
            </w:pPr>
            <w:r w:rsidRPr="00EE3A4E">
              <w:rPr>
                <w:rStyle w:val="CharacterStyle3"/>
              </w:rPr>
              <w:t>PRIHODI UKUPNO</w:t>
            </w:r>
          </w:p>
        </w:tc>
        <w:tc>
          <w:tcPr>
            <w:tcW w:w="1920" w:type="dxa"/>
            <w:tcBorders>
              <w:bottom w:val="single" w:sz="6" w:space="0" w:color="000000"/>
              <w:right w:val="single" w:sz="6" w:space="0" w:color="000000"/>
            </w:tcBorders>
            <w:vAlign w:val="center"/>
          </w:tcPr>
          <w:p w14:paraId="6D230EBA" w14:textId="77777777" w:rsidR="009A4261" w:rsidRPr="009A4261" w:rsidRDefault="009A4261" w:rsidP="009A4261">
            <w:pPr>
              <w:pStyle w:val="ParagraphStyle4"/>
              <w:jc w:val="right"/>
              <w:rPr>
                <w:rStyle w:val="CharacterStyle4"/>
              </w:rPr>
            </w:pPr>
            <w:r w:rsidRPr="009A4261">
              <w:rPr>
                <w:rStyle w:val="CharacterStyle4"/>
              </w:rPr>
              <w:t>34.945.231,80</w:t>
            </w:r>
          </w:p>
        </w:tc>
        <w:tc>
          <w:tcPr>
            <w:tcW w:w="1935" w:type="dxa"/>
            <w:tcBorders>
              <w:bottom w:val="single" w:sz="6" w:space="0" w:color="000000"/>
              <w:right w:val="single" w:sz="6" w:space="0" w:color="000000"/>
            </w:tcBorders>
            <w:vAlign w:val="center"/>
          </w:tcPr>
          <w:p w14:paraId="74F8E37D" w14:textId="77777777" w:rsidR="009A4261" w:rsidRPr="009A4261" w:rsidRDefault="009A4261" w:rsidP="009A4261">
            <w:pPr>
              <w:pStyle w:val="ParagraphStyle4"/>
              <w:jc w:val="right"/>
              <w:rPr>
                <w:rStyle w:val="CharacterStyle4"/>
              </w:rPr>
            </w:pPr>
            <w:r w:rsidRPr="009A4261">
              <w:rPr>
                <w:rStyle w:val="CharacterStyle4"/>
              </w:rPr>
              <w:t>46.063.896,26</w:t>
            </w:r>
          </w:p>
        </w:tc>
        <w:tc>
          <w:tcPr>
            <w:tcW w:w="1935" w:type="dxa"/>
            <w:tcBorders>
              <w:bottom w:val="single" w:sz="6" w:space="0" w:color="000000"/>
              <w:right w:val="single" w:sz="6" w:space="0" w:color="000000"/>
            </w:tcBorders>
            <w:vAlign w:val="center"/>
          </w:tcPr>
          <w:p w14:paraId="0B3C1E3C" w14:textId="77777777" w:rsidR="009A4261" w:rsidRPr="009A4261" w:rsidRDefault="009A4261" w:rsidP="009A4261">
            <w:pPr>
              <w:pStyle w:val="ParagraphStyle4"/>
              <w:jc w:val="right"/>
              <w:rPr>
                <w:rStyle w:val="CharacterStyle4"/>
              </w:rPr>
            </w:pPr>
            <w:r w:rsidRPr="009A4261">
              <w:rPr>
                <w:rStyle w:val="CharacterStyle4"/>
              </w:rPr>
              <w:t>45.221.136,66</w:t>
            </w:r>
          </w:p>
        </w:tc>
        <w:tc>
          <w:tcPr>
            <w:tcW w:w="1935" w:type="dxa"/>
            <w:tcBorders>
              <w:bottom w:val="single" w:sz="6" w:space="0" w:color="000000"/>
              <w:right w:val="single" w:sz="6" w:space="0" w:color="000000"/>
            </w:tcBorders>
            <w:vAlign w:val="center"/>
          </w:tcPr>
          <w:p w14:paraId="1C60A5F6" w14:textId="77777777" w:rsidR="009A4261" w:rsidRPr="009A4261" w:rsidRDefault="009A4261" w:rsidP="009A4261">
            <w:pPr>
              <w:pStyle w:val="ParagraphStyle4"/>
              <w:jc w:val="right"/>
              <w:rPr>
                <w:rStyle w:val="CharacterStyle4"/>
              </w:rPr>
            </w:pPr>
            <w:r w:rsidRPr="009A4261">
              <w:rPr>
                <w:rStyle w:val="CharacterStyle4"/>
              </w:rPr>
              <w:t>46.288.000,00</w:t>
            </w:r>
          </w:p>
        </w:tc>
        <w:tc>
          <w:tcPr>
            <w:tcW w:w="1935" w:type="dxa"/>
            <w:tcBorders>
              <w:bottom w:val="single" w:sz="6" w:space="0" w:color="000000"/>
              <w:right w:val="single" w:sz="6" w:space="0" w:color="000000"/>
            </w:tcBorders>
            <w:vAlign w:val="center"/>
          </w:tcPr>
          <w:p w14:paraId="42CB90C1" w14:textId="77777777" w:rsidR="009A4261" w:rsidRPr="009A4261" w:rsidRDefault="009A4261" w:rsidP="009A4261">
            <w:pPr>
              <w:pStyle w:val="ParagraphStyle4"/>
              <w:jc w:val="right"/>
              <w:rPr>
                <w:rStyle w:val="CharacterStyle4"/>
              </w:rPr>
            </w:pPr>
            <w:r w:rsidRPr="009A4261">
              <w:rPr>
                <w:rStyle w:val="CharacterStyle4"/>
              </w:rPr>
              <w:t>40.512.500,00</w:t>
            </w:r>
          </w:p>
        </w:tc>
      </w:tr>
      <w:tr w:rsidR="009A4261" w14:paraId="61E44F09" w14:textId="77777777" w:rsidTr="009A4261">
        <w:trPr>
          <w:trHeight w:val="360"/>
        </w:trPr>
        <w:tc>
          <w:tcPr>
            <w:tcW w:w="5190" w:type="dxa"/>
            <w:tcBorders>
              <w:left w:val="single" w:sz="6" w:space="0" w:color="000000"/>
              <w:bottom w:val="single" w:sz="6" w:space="0" w:color="000000"/>
              <w:right w:val="single" w:sz="6" w:space="0" w:color="000000"/>
            </w:tcBorders>
            <w:vAlign w:val="center"/>
          </w:tcPr>
          <w:p w14:paraId="575E47B5" w14:textId="77777777" w:rsidR="009A4261" w:rsidRPr="00EE3A4E" w:rsidRDefault="009A4261" w:rsidP="009A4261">
            <w:pPr>
              <w:pStyle w:val="ParagraphStyle5"/>
              <w:rPr>
                <w:rStyle w:val="CharacterStyle5"/>
              </w:rPr>
            </w:pPr>
            <w:r w:rsidRPr="00EE3A4E">
              <w:rPr>
                <w:rStyle w:val="CharacterStyle5"/>
              </w:rPr>
              <w:t>1 OPĆI PRIHODI I PRIMICI</w:t>
            </w:r>
          </w:p>
        </w:tc>
        <w:tc>
          <w:tcPr>
            <w:tcW w:w="1920" w:type="dxa"/>
            <w:tcBorders>
              <w:bottom w:val="single" w:sz="6" w:space="0" w:color="000000"/>
              <w:right w:val="single" w:sz="6" w:space="0" w:color="000000"/>
            </w:tcBorders>
            <w:vAlign w:val="center"/>
          </w:tcPr>
          <w:p w14:paraId="56F1DD2B" w14:textId="77777777" w:rsidR="009A4261" w:rsidRPr="009A4261" w:rsidRDefault="009A4261" w:rsidP="009A4261">
            <w:pPr>
              <w:pStyle w:val="ParagraphStyle6"/>
              <w:rPr>
                <w:rStyle w:val="CharacterStyle6"/>
              </w:rPr>
            </w:pPr>
            <w:r w:rsidRPr="009A4261">
              <w:rPr>
                <w:rStyle w:val="CharacterStyle6"/>
              </w:rPr>
              <w:t>16.917.995,23</w:t>
            </w:r>
          </w:p>
        </w:tc>
        <w:tc>
          <w:tcPr>
            <w:tcW w:w="1935" w:type="dxa"/>
            <w:tcBorders>
              <w:bottom w:val="single" w:sz="6" w:space="0" w:color="000000"/>
              <w:right w:val="single" w:sz="6" w:space="0" w:color="000000"/>
            </w:tcBorders>
            <w:vAlign w:val="center"/>
          </w:tcPr>
          <w:p w14:paraId="17BEA279" w14:textId="77777777" w:rsidR="009A4261" w:rsidRPr="009A4261" w:rsidRDefault="009A4261" w:rsidP="009A4261">
            <w:pPr>
              <w:pStyle w:val="ParagraphStyle6"/>
              <w:rPr>
                <w:rStyle w:val="CharacterStyle6"/>
              </w:rPr>
            </w:pPr>
            <w:r w:rsidRPr="009A4261">
              <w:rPr>
                <w:rStyle w:val="CharacterStyle6"/>
              </w:rPr>
              <w:t>21.227.061,64</w:t>
            </w:r>
          </w:p>
        </w:tc>
        <w:tc>
          <w:tcPr>
            <w:tcW w:w="1935" w:type="dxa"/>
            <w:tcBorders>
              <w:bottom w:val="single" w:sz="6" w:space="0" w:color="000000"/>
              <w:right w:val="single" w:sz="6" w:space="0" w:color="000000"/>
            </w:tcBorders>
            <w:vAlign w:val="center"/>
          </w:tcPr>
          <w:p w14:paraId="076BCC5C" w14:textId="77777777" w:rsidR="009A4261" w:rsidRPr="009A4261" w:rsidRDefault="009A4261" w:rsidP="009A4261">
            <w:pPr>
              <w:pStyle w:val="ParagraphStyle6"/>
              <w:rPr>
                <w:rStyle w:val="CharacterStyle6"/>
              </w:rPr>
            </w:pPr>
            <w:r w:rsidRPr="009A4261">
              <w:rPr>
                <w:rStyle w:val="CharacterStyle6"/>
              </w:rPr>
              <w:t>19.279.870,54</w:t>
            </w:r>
          </w:p>
        </w:tc>
        <w:tc>
          <w:tcPr>
            <w:tcW w:w="1935" w:type="dxa"/>
            <w:tcBorders>
              <w:bottom w:val="single" w:sz="6" w:space="0" w:color="000000"/>
              <w:right w:val="single" w:sz="6" w:space="0" w:color="000000"/>
            </w:tcBorders>
            <w:vAlign w:val="center"/>
          </w:tcPr>
          <w:p w14:paraId="4D8B9513" w14:textId="77777777" w:rsidR="009A4261" w:rsidRPr="009A4261" w:rsidRDefault="009A4261" w:rsidP="009A4261">
            <w:pPr>
              <w:pStyle w:val="ParagraphStyle6"/>
              <w:rPr>
                <w:rStyle w:val="CharacterStyle6"/>
              </w:rPr>
            </w:pPr>
            <w:r w:rsidRPr="009A4261">
              <w:rPr>
                <w:rStyle w:val="CharacterStyle6"/>
              </w:rPr>
              <w:t>24.128.066,57</w:t>
            </w:r>
          </w:p>
        </w:tc>
        <w:tc>
          <w:tcPr>
            <w:tcW w:w="1935" w:type="dxa"/>
            <w:tcBorders>
              <w:bottom w:val="single" w:sz="6" w:space="0" w:color="000000"/>
              <w:right w:val="single" w:sz="6" w:space="0" w:color="000000"/>
            </w:tcBorders>
            <w:vAlign w:val="center"/>
          </w:tcPr>
          <w:p w14:paraId="7EE2E7D2" w14:textId="77777777" w:rsidR="009A4261" w:rsidRPr="009A4261" w:rsidRDefault="009A4261" w:rsidP="009A4261">
            <w:pPr>
              <w:pStyle w:val="ParagraphStyle6"/>
              <w:rPr>
                <w:rStyle w:val="CharacterStyle6"/>
              </w:rPr>
            </w:pPr>
            <w:r w:rsidRPr="009A4261">
              <w:rPr>
                <w:rStyle w:val="CharacterStyle6"/>
              </w:rPr>
              <w:t>22.660.739,36</w:t>
            </w:r>
          </w:p>
        </w:tc>
      </w:tr>
      <w:tr w:rsidR="009A4261" w14:paraId="33D2510B" w14:textId="77777777" w:rsidTr="009A4261">
        <w:trPr>
          <w:trHeight w:val="360"/>
        </w:trPr>
        <w:tc>
          <w:tcPr>
            <w:tcW w:w="5190" w:type="dxa"/>
            <w:tcBorders>
              <w:left w:val="single" w:sz="6" w:space="0" w:color="000000"/>
              <w:bottom w:val="single" w:sz="6" w:space="0" w:color="000000"/>
              <w:right w:val="single" w:sz="6" w:space="0" w:color="000000"/>
            </w:tcBorders>
            <w:vAlign w:val="center"/>
          </w:tcPr>
          <w:p w14:paraId="0EB8EDE8" w14:textId="77777777" w:rsidR="009A4261" w:rsidRPr="00EE3A4E" w:rsidRDefault="009A4261" w:rsidP="009A4261">
            <w:pPr>
              <w:pStyle w:val="ParagraphStyle7"/>
              <w:rPr>
                <w:rStyle w:val="CharacterStyle7"/>
              </w:rPr>
            </w:pPr>
            <w:r w:rsidRPr="00EE3A4E">
              <w:rPr>
                <w:rStyle w:val="CharacterStyle7"/>
              </w:rPr>
              <w:t>11 Opći prihodi i primici</w:t>
            </w:r>
          </w:p>
        </w:tc>
        <w:tc>
          <w:tcPr>
            <w:tcW w:w="1920" w:type="dxa"/>
            <w:tcBorders>
              <w:bottom w:val="single" w:sz="6" w:space="0" w:color="000000"/>
              <w:right w:val="single" w:sz="6" w:space="0" w:color="000000"/>
            </w:tcBorders>
            <w:vAlign w:val="center"/>
          </w:tcPr>
          <w:p w14:paraId="678B8464" w14:textId="77777777" w:rsidR="009A4261" w:rsidRPr="009A4261" w:rsidRDefault="009A4261" w:rsidP="009A4261">
            <w:pPr>
              <w:pStyle w:val="ParagraphStyle8"/>
              <w:jc w:val="right"/>
              <w:rPr>
                <w:rStyle w:val="CharacterStyle8"/>
                <w:i w:val="0"/>
              </w:rPr>
            </w:pPr>
            <w:r w:rsidRPr="009A4261">
              <w:rPr>
                <w:rStyle w:val="CharacterStyle8"/>
                <w:i w:val="0"/>
              </w:rPr>
              <w:t>16.917.995,23</w:t>
            </w:r>
          </w:p>
        </w:tc>
        <w:tc>
          <w:tcPr>
            <w:tcW w:w="1935" w:type="dxa"/>
            <w:tcBorders>
              <w:bottom w:val="single" w:sz="6" w:space="0" w:color="000000"/>
              <w:right w:val="single" w:sz="6" w:space="0" w:color="000000"/>
            </w:tcBorders>
            <w:vAlign w:val="center"/>
          </w:tcPr>
          <w:p w14:paraId="6E62E97C" w14:textId="77777777" w:rsidR="009A4261" w:rsidRPr="009A4261" w:rsidRDefault="009A4261" w:rsidP="009A4261">
            <w:pPr>
              <w:pStyle w:val="ParagraphStyle8"/>
              <w:jc w:val="right"/>
              <w:rPr>
                <w:rStyle w:val="CharacterStyle8"/>
                <w:i w:val="0"/>
              </w:rPr>
            </w:pPr>
            <w:r w:rsidRPr="009A4261">
              <w:rPr>
                <w:rStyle w:val="CharacterStyle8"/>
                <w:i w:val="0"/>
              </w:rPr>
              <w:t>21.227.061,64</w:t>
            </w:r>
          </w:p>
        </w:tc>
        <w:tc>
          <w:tcPr>
            <w:tcW w:w="1935" w:type="dxa"/>
            <w:tcBorders>
              <w:bottom w:val="single" w:sz="6" w:space="0" w:color="000000"/>
              <w:right w:val="single" w:sz="6" w:space="0" w:color="000000"/>
            </w:tcBorders>
            <w:vAlign w:val="center"/>
          </w:tcPr>
          <w:p w14:paraId="63A42F3C" w14:textId="77777777" w:rsidR="009A4261" w:rsidRPr="009A4261" w:rsidRDefault="009A4261" w:rsidP="009A4261">
            <w:pPr>
              <w:pStyle w:val="ParagraphStyle9"/>
              <w:rPr>
                <w:rStyle w:val="CharacterStyle9"/>
                <w:i w:val="0"/>
              </w:rPr>
            </w:pPr>
            <w:r w:rsidRPr="009A4261">
              <w:rPr>
                <w:rStyle w:val="CharacterStyle9"/>
                <w:i w:val="0"/>
              </w:rPr>
              <w:t>19.279.870,54</w:t>
            </w:r>
          </w:p>
        </w:tc>
        <w:tc>
          <w:tcPr>
            <w:tcW w:w="1935" w:type="dxa"/>
            <w:tcBorders>
              <w:bottom w:val="single" w:sz="6" w:space="0" w:color="000000"/>
              <w:right w:val="single" w:sz="6" w:space="0" w:color="000000"/>
            </w:tcBorders>
            <w:vAlign w:val="center"/>
          </w:tcPr>
          <w:p w14:paraId="2CB4EDEF" w14:textId="77777777" w:rsidR="009A4261" w:rsidRPr="009A4261" w:rsidRDefault="009A4261" w:rsidP="009A4261">
            <w:pPr>
              <w:pStyle w:val="ParagraphStyle9"/>
              <w:rPr>
                <w:rStyle w:val="CharacterStyle9"/>
                <w:i w:val="0"/>
              </w:rPr>
            </w:pPr>
            <w:r w:rsidRPr="009A4261">
              <w:rPr>
                <w:rStyle w:val="CharacterStyle9"/>
                <w:i w:val="0"/>
              </w:rPr>
              <w:t>24.128.066,57</w:t>
            </w:r>
          </w:p>
        </w:tc>
        <w:tc>
          <w:tcPr>
            <w:tcW w:w="1935" w:type="dxa"/>
            <w:tcBorders>
              <w:bottom w:val="single" w:sz="6" w:space="0" w:color="000000"/>
              <w:right w:val="single" w:sz="6" w:space="0" w:color="000000"/>
            </w:tcBorders>
            <w:vAlign w:val="center"/>
          </w:tcPr>
          <w:p w14:paraId="3418BB33" w14:textId="77777777" w:rsidR="009A4261" w:rsidRPr="009A4261" w:rsidRDefault="009A4261" w:rsidP="009A4261">
            <w:pPr>
              <w:pStyle w:val="ParagraphStyle9"/>
              <w:rPr>
                <w:rStyle w:val="CharacterStyle9"/>
                <w:i w:val="0"/>
              </w:rPr>
            </w:pPr>
            <w:r w:rsidRPr="009A4261">
              <w:rPr>
                <w:rStyle w:val="CharacterStyle9"/>
                <w:i w:val="0"/>
              </w:rPr>
              <w:t>22.660.739,36</w:t>
            </w:r>
          </w:p>
        </w:tc>
      </w:tr>
      <w:tr w:rsidR="009A4261" w14:paraId="66AFBD59" w14:textId="77777777" w:rsidTr="009A4261">
        <w:trPr>
          <w:trHeight w:val="360"/>
        </w:trPr>
        <w:tc>
          <w:tcPr>
            <w:tcW w:w="5190" w:type="dxa"/>
            <w:tcBorders>
              <w:left w:val="single" w:sz="6" w:space="0" w:color="000000"/>
              <w:bottom w:val="single" w:sz="6" w:space="0" w:color="000000"/>
              <w:right w:val="single" w:sz="6" w:space="0" w:color="000000"/>
            </w:tcBorders>
            <w:vAlign w:val="center"/>
          </w:tcPr>
          <w:p w14:paraId="267BF1B5" w14:textId="77777777" w:rsidR="009A4261" w:rsidRPr="00EE3A4E" w:rsidRDefault="009A4261" w:rsidP="009A4261">
            <w:pPr>
              <w:pStyle w:val="ParagraphStyle5"/>
              <w:rPr>
                <w:rStyle w:val="CharacterStyle5"/>
              </w:rPr>
            </w:pPr>
            <w:r w:rsidRPr="00EE3A4E">
              <w:rPr>
                <w:rStyle w:val="CharacterStyle5"/>
              </w:rPr>
              <w:t>3 VLASTITI PRIHODI</w:t>
            </w:r>
          </w:p>
        </w:tc>
        <w:tc>
          <w:tcPr>
            <w:tcW w:w="1920" w:type="dxa"/>
            <w:tcBorders>
              <w:bottom w:val="single" w:sz="6" w:space="0" w:color="000000"/>
              <w:right w:val="single" w:sz="6" w:space="0" w:color="000000"/>
            </w:tcBorders>
            <w:vAlign w:val="center"/>
          </w:tcPr>
          <w:p w14:paraId="7BF47701" w14:textId="77777777" w:rsidR="009A4261" w:rsidRPr="009A4261" w:rsidRDefault="009A4261" w:rsidP="009A4261">
            <w:pPr>
              <w:pStyle w:val="ParagraphStyle6"/>
              <w:rPr>
                <w:rStyle w:val="CharacterStyle6"/>
              </w:rPr>
            </w:pPr>
            <w:r w:rsidRPr="009A4261">
              <w:rPr>
                <w:rStyle w:val="CharacterStyle6"/>
              </w:rPr>
              <w:t>181.557,60</w:t>
            </w:r>
          </w:p>
        </w:tc>
        <w:tc>
          <w:tcPr>
            <w:tcW w:w="1935" w:type="dxa"/>
            <w:tcBorders>
              <w:bottom w:val="single" w:sz="6" w:space="0" w:color="000000"/>
              <w:right w:val="single" w:sz="6" w:space="0" w:color="000000"/>
            </w:tcBorders>
            <w:vAlign w:val="center"/>
          </w:tcPr>
          <w:p w14:paraId="6C8661CA" w14:textId="77777777" w:rsidR="009A4261" w:rsidRPr="009A4261" w:rsidRDefault="009A4261" w:rsidP="009A4261">
            <w:pPr>
              <w:pStyle w:val="ParagraphStyle6"/>
              <w:rPr>
                <w:rStyle w:val="CharacterStyle6"/>
              </w:rPr>
            </w:pPr>
            <w:r w:rsidRPr="009A4261">
              <w:rPr>
                <w:rStyle w:val="CharacterStyle6"/>
              </w:rPr>
              <w:t>226.230,61</w:t>
            </w:r>
          </w:p>
        </w:tc>
        <w:tc>
          <w:tcPr>
            <w:tcW w:w="1935" w:type="dxa"/>
            <w:tcBorders>
              <w:bottom w:val="single" w:sz="6" w:space="0" w:color="000000"/>
              <w:right w:val="single" w:sz="6" w:space="0" w:color="000000"/>
            </w:tcBorders>
            <w:vAlign w:val="center"/>
          </w:tcPr>
          <w:p w14:paraId="7A62691B" w14:textId="77777777" w:rsidR="009A4261" w:rsidRPr="009A4261" w:rsidRDefault="009A4261" w:rsidP="009A4261">
            <w:pPr>
              <w:pStyle w:val="ParagraphStyle6"/>
              <w:rPr>
                <w:rStyle w:val="CharacterStyle6"/>
              </w:rPr>
            </w:pPr>
            <w:r w:rsidRPr="009A4261">
              <w:rPr>
                <w:rStyle w:val="CharacterStyle6"/>
              </w:rPr>
              <w:t>233.395,00</w:t>
            </w:r>
          </w:p>
        </w:tc>
        <w:tc>
          <w:tcPr>
            <w:tcW w:w="1935" w:type="dxa"/>
            <w:tcBorders>
              <w:bottom w:val="single" w:sz="6" w:space="0" w:color="000000"/>
              <w:right w:val="single" w:sz="6" w:space="0" w:color="000000"/>
            </w:tcBorders>
            <w:vAlign w:val="center"/>
          </w:tcPr>
          <w:p w14:paraId="2C673236" w14:textId="77777777" w:rsidR="009A4261" w:rsidRPr="009A4261" w:rsidRDefault="009A4261" w:rsidP="009A4261">
            <w:pPr>
              <w:pStyle w:val="ParagraphStyle6"/>
              <w:rPr>
                <w:rStyle w:val="CharacterStyle6"/>
              </w:rPr>
            </w:pPr>
            <w:r w:rsidRPr="009A4261">
              <w:rPr>
                <w:rStyle w:val="CharacterStyle6"/>
              </w:rPr>
              <w:t>224.386,60</w:t>
            </w:r>
          </w:p>
        </w:tc>
        <w:tc>
          <w:tcPr>
            <w:tcW w:w="1935" w:type="dxa"/>
            <w:tcBorders>
              <w:bottom w:val="single" w:sz="6" w:space="0" w:color="000000"/>
              <w:right w:val="single" w:sz="6" w:space="0" w:color="000000"/>
            </w:tcBorders>
            <w:vAlign w:val="center"/>
          </w:tcPr>
          <w:p w14:paraId="0DFE0FC5" w14:textId="77777777" w:rsidR="009A4261" w:rsidRPr="009A4261" w:rsidRDefault="009A4261" w:rsidP="009A4261">
            <w:pPr>
              <w:pStyle w:val="ParagraphStyle6"/>
              <w:rPr>
                <w:rStyle w:val="CharacterStyle6"/>
              </w:rPr>
            </w:pPr>
            <w:r w:rsidRPr="009A4261">
              <w:rPr>
                <w:rStyle w:val="CharacterStyle6"/>
              </w:rPr>
              <w:t>226.326,00</w:t>
            </w:r>
          </w:p>
        </w:tc>
      </w:tr>
      <w:tr w:rsidR="009A4261" w14:paraId="0015B88D" w14:textId="77777777" w:rsidTr="009A4261">
        <w:trPr>
          <w:trHeight w:val="360"/>
        </w:trPr>
        <w:tc>
          <w:tcPr>
            <w:tcW w:w="5190" w:type="dxa"/>
            <w:tcBorders>
              <w:left w:val="single" w:sz="6" w:space="0" w:color="000000"/>
              <w:bottom w:val="single" w:sz="6" w:space="0" w:color="000000"/>
              <w:right w:val="single" w:sz="6" w:space="0" w:color="000000"/>
            </w:tcBorders>
            <w:vAlign w:val="center"/>
          </w:tcPr>
          <w:p w14:paraId="7EFFF5CA" w14:textId="77777777" w:rsidR="009A4261" w:rsidRPr="00EE3A4E" w:rsidRDefault="009A4261" w:rsidP="009A4261">
            <w:pPr>
              <w:pStyle w:val="ParagraphStyle7"/>
              <w:rPr>
                <w:rStyle w:val="CharacterStyle7"/>
              </w:rPr>
            </w:pPr>
            <w:r w:rsidRPr="00EE3A4E">
              <w:rPr>
                <w:rStyle w:val="CharacterStyle7"/>
              </w:rPr>
              <w:t>31 Vlastiti prihodi</w:t>
            </w:r>
          </w:p>
        </w:tc>
        <w:tc>
          <w:tcPr>
            <w:tcW w:w="1920" w:type="dxa"/>
            <w:tcBorders>
              <w:bottom w:val="single" w:sz="6" w:space="0" w:color="000000"/>
              <w:right w:val="single" w:sz="6" w:space="0" w:color="000000"/>
            </w:tcBorders>
            <w:vAlign w:val="center"/>
          </w:tcPr>
          <w:p w14:paraId="3C854D41" w14:textId="77777777" w:rsidR="009A4261" w:rsidRPr="009A4261" w:rsidRDefault="009A4261" w:rsidP="009A4261">
            <w:pPr>
              <w:pStyle w:val="ParagraphStyle8"/>
              <w:jc w:val="right"/>
              <w:rPr>
                <w:rStyle w:val="CharacterStyle8"/>
                <w:i w:val="0"/>
              </w:rPr>
            </w:pPr>
            <w:r w:rsidRPr="009A4261">
              <w:rPr>
                <w:rStyle w:val="CharacterStyle8"/>
                <w:i w:val="0"/>
              </w:rPr>
              <w:t>181.557,60</w:t>
            </w:r>
          </w:p>
        </w:tc>
        <w:tc>
          <w:tcPr>
            <w:tcW w:w="1935" w:type="dxa"/>
            <w:tcBorders>
              <w:bottom w:val="single" w:sz="6" w:space="0" w:color="000000"/>
              <w:right w:val="single" w:sz="6" w:space="0" w:color="000000"/>
            </w:tcBorders>
            <w:vAlign w:val="center"/>
          </w:tcPr>
          <w:p w14:paraId="60F18EA7" w14:textId="77777777" w:rsidR="009A4261" w:rsidRPr="009A4261" w:rsidRDefault="009A4261" w:rsidP="009A4261">
            <w:pPr>
              <w:pStyle w:val="ParagraphStyle8"/>
              <w:jc w:val="right"/>
              <w:rPr>
                <w:rStyle w:val="CharacterStyle8"/>
                <w:i w:val="0"/>
              </w:rPr>
            </w:pPr>
            <w:r w:rsidRPr="009A4261">
              <w:rPr>
                <w:rStyle w:val="CharacterStyle8"/>
                <w:i w:val="0"/>
              </w:rPr>
              <w:t>226.230,61</w:t>
            </w:r>
          </w:p>
        </w:tc>
        <w:tc>
          <w:tcPr>
            <w:tcW w:w="1935" w:type="dxa"/>
            <w:tcBorders>
              <w:bottom w:val="single" w:sz="6" w:space="0" w:color="000000"/>
              <w:right w:val="single" w:sz="6" w:space="0" w:color="000000"/>
            </w:tcBorders>
            <w:vAlign w:val="center"/>
          </w:tcPr>
          <w:p w14:paraId="2DFA86EB" w14:textId="77777777" w:rsidR="009A4261" w:rsidRPr="009A4261" w:rsidRDefault="009A4261" w:rsidP="009A4261">
            <w:pPr>
              <w:pStyle w:val="ParagraphStyle9"/>
              <w:rPr>
                <w:rStyle w:val="CharacterStyle9"/>
                <w:i w:val="0"/>
              </w:rPr>
            </w:pPr>
            <w:r w:rsidRPr="009A4261">
              <w:rPr>
                <w:rStyle w:val="CharacterStyle9"/>
                <w:i w:val="0"/>
              </w:rPr>
              <w:t>233.395,00</w:t>
            </w:r>
          </w:p>
        </w:tc>
        <w:tc>
          <w:tcPr>
            <w:tcW w:w="1935" w:type="dxa"/>
            <w:tcBorders>
              <w:bottom w:val="single" w:sz="6" w:space="0" w:color="000000"/>
              <w:right w:val="single" w:sz="6" w:space="0" w:color="000000"/>
            </w:tcBorders>
            <w:vAlign w:val="center"/>
          </w:tcPr>
          <w:p w14:paraId="7F16AE93" w14:textId="77777777" w:rsidR="009A4261" w:rsidRPr="009A4261" w:rsidRDefault="009A4261" w:rsidP="009A4261">
            <w:pPr>
              <w:pStyle w:val="ParagraphStyle9"/>
              <w:rPr>
                <w:rStyle w:val="CharacterStyle9"/>
                <w:i w:val="0"/>
              </w:rPr>
            </w:pPr>
            <w:r w:rsidRPr="009A4261">
              <w:rPr>
                <w:rStyle w:val="CharacterStyle9"/>
                <w:i w:val="0"/>
              </w:rPr>
              <w:t>224.386,60</w:t>
            </w:r>
          </w:p>
        </w:tc>
        <w:tc>
          <w:tcPr>
            <w:tcW w:w="1935" w:type="dxa"/>
            <w:tcBorders>
              <w:bottom w:val="single" w:sz="6" w:space="0" w:color="000000"/>
              <w:right w:val="single" w:sz="6" w:space="0" w:color="000000"/>
            </w:tcBorders>
            <w:vAlign w:val="center"/>
          </w:tcPr>
          <w:p w14:paraId="24342900" w14:textId="77777777" w:rsidR="009A4261" w:rsidRPr="009A4261" w:rsidRDefault="009A4261" w:rsidP="009A4261">
            <w:pPr>
              <w:pStyle w:val="ParagraphStyle9"/>
              <w:rPr>
                <w:rStyle w:val="CharacterStyle9"/>
                <w:i w:val="0"/>
              </w:rPr>
            </w:pPr>
            <w:r w:rsidRPr="009A4261">
              <w:rPr>
                <w:rStyle w:val="CharacterStyle9"/>
                <w:i w:val="0"/>
              </w:rPr>
              <w:t>226.326,00</w:t>
            </w:r>
          </w:p>
        </w:tc>
      </w:tr>
      <w:tr w:rsidR="009A4261" w14:paraId="01518DAA" w14:textId="77777777" w:rsidTr="009A4261">
        <w:trPr>
          <w:trHeight w:val="360"/>
        </w:trPr>
        <w:tc>
          <w:tcPr>
            <w:tcW w:w="5190" w:type="dxa"/>
            <w:tcBorders>
              <w:left w:val="single" w:sz="6" w:space="0" w:color="000000"/>
              <w:bottom w:val="single" w:sz="6" w:space="0" w:color="000000"/>
              <w:right w:val="single" w:sz="6" w:space="0" w:color="000000"/>
            </w:tcBorders>
            <w:vAlign w:val="center"/>
          </w:tcPr>
          <w:p w14:paraId="5C559AA4" w14:textId="77777777" w:rsidR="009A4261" w:rsidRPr="00EE3A4E" w:rsidRDefault="009A4261" w:rsidP="009A4261">
            <w:pPr>
              <w:pStyle w:val="ParagraphStyle5"/>
              <w:rPr>
                <w:rStyle w:val="CharacterStyle5"/>
              </w:rPr>
            </w:pPr>
            <w:r w:rsidRPr="00EE3A4E">
              <w:rPr>
                <w:rStyle w:val="CharacterStyle5"/>
              </w:rPr>
              <w:t>4 PRIHODI ZA POSEBNE NAMJENE</w:t>
            </w:r>
          </w:p>
        </w:tc>
        <w:tc>
          <w:tcPr>
            <w:tcW w:w="1920" w:type="dxa"/>
            <w:tcBorders>
              <w:bottom w:val="single" w:sz="6" w:space="0" w:color="000000"/>
              <w:right w:val="single" w:sz="6" w:space="0" w:color="000000"/>
            </w:tcBorders>
            <w:vAlign w:val="center"/>
          </w:tcPr>
          <w:p w14:paraId="5B1A5FDE" w14:textId="77777777" w:rsidR="009A4261" w:rsidRPr="009A4261" w:rsidRDefault="009A4261" w:rsidP="009A4261">
            <w:pPr>
              <w:pStyle w:val="ParagraphStyle6"/>
              <w:rPr>
                <w:rStyle w:val="CharacterStyle6"/>
              </w:rPr>
            </w:pPr>
            <w:r w:rsidRPr="009A4261">
              <w:rPr>
                <w:rStyle w:val="CharacterStyle6"/>
              </w:rPr>
              <w:t>8.517.096,80</w:t>
            </w:r>
          </w:p>
        </w:tc>
        <w:tc>
          <w:tcPr>
            <w:tcW w:w="1935" w:type="dxa"/>
            <w:tcBorders>
              <w:bottom w:val="single" w:sz="6" w:space="0" w:color="000000"/>
              <w:right w:val="single" w:sz="6" w:space="0" w:color="000000"/>
            </w:tcBorders>
            <w:vAlign w:val="center"/>
          </w:tcPr>
          <w:p w14:paraId="1DDCAA68" w14:textId="77777777" w:rsidR="009A4261" w:rsidRPr="009A4261" w:rsidRDefault="009A4261" w:rsidP="009A4261">
            <w:pPr>
              <w:pStyle w:val="ParagraphStyle6"/>
              <w:rPr>
                <w:rStyle w:val="CharacterStyle6"/>
              </w:rPr>
            </w:pPr>
            <w:r w:rsidRPr="009A4261">
              <w:rPr>
                <w:rStyle w:val="CharacterStyle6"/>
              </w:rPr>
              <w:t>6.912.063,79</w:t>
            </w:r>
          </w:p>
        </w:tc>
        <w:tc>
          <w:tcPr>
            <w:tcW w:w="1935" w:type="dxa"/>
            <w:tcBorders>
              <w:bottom w:val="single" w:sz="6" w:space="0" w:color="000000"/>
              <w:right w:val="single" w:sz="6" w:space="0" w:color="000000"/>
            </w:tcBorders>
            <w:vAlign w:val="center"/>
          </w:tcPr>
          <w:p w14:paraId="35821AB1" w14:textId="77777777" w:rsidR="009A4261" w:rsidRPr="009A4261" w:rsidRDefault="009A4261" w:rsidP="009A4261">
            <w:pPr>
              <w:pStyle w:val="ParagraphStyle6"/>
              <w:rPr>
                <w:rStyle w:val="CharacterStyle6"/>
              </w:rPr>
            </w:pPr>
            <w:r w:rsidRPr="009A4261">
              <w:rPr>
                <w:rStyle w:val="CharacterStyle6"/>
              </w:rPr>
              <w:t>6.694.452,24</w:t>
            </w:r>
          </w:p>
        </w:tc>
        <w:tc>
          <w:tcPr>
            <w:tcW w:w="1935" w:type="dxa"/>
            <w:tcBorders>
              <w:bottom w:val="single" w:sz="6" w:space="0" w:color="000000"/>
              <w:right w:val="single" w:sz="6" w:space="0" w:color="000000"/>
            </w:tcBorders>
            <w:vAlign w:val="center"/>
          </w:tcPr>
          <w:p w14:paraId="5B46DA02" w14:textId="77777777" w:rsidR="009A4261" w:rsidRPr="009A4261" w:rsidRDefault="009A4261" w:rsidP="009A4261">
            <w:pPr>
              <w:pStyle w:val="ParagraphStyle6"/>
              <w:rPr>
                <w:rStyle w:val="CharacterStyle6"/>
              </w:rPr>
            </w:pPr>
            <w:r w:rsidRPr="009A4261">
              <w:rPr>
                <w:rStyle w:val="CharacterStyle6"/>
              </w:rPr>
              <w:t>8.684.731,50</w:t>
            </w:r>
          </w:p>
        </w:tc>
        <w:tc>
          <w:tcPr>
            <w:tcW w:w="1935" w:type="dxa"/>
            <w:tcBorders>
              <w:bottom w:val="single" w:sz="6" w:space="0" w:color="000000"/>
              <w:right w:val="single" w:sz="6" w:space="0" w:color="000000"/>
            </w:tcBorders>
            <w:vAlign w:val="center"/>
          </w:tcPr>
          <w:p w14:paraId="4826532C" w14:textId="77777777" w:rsidR="009A4261" w:rsidRPr="009A4261" w:rsidRDefault="009A4261" w:rsidP="009A4261">
            <w:pPr>
              <w:pStyle w:val="ParagraphStyle6"/>
              <w:rPr>
                <w:rStyle w:val="CharacterStyle6"/>
              </w:rPr>
            </w:pPr>
            <w:r w:rsidRPr="009A4261">
              <w:rPr>
                <w:rStyle w:val="CharacterStyle6"/>
              </w:rPr>
              <w:t>7.633.813,50</w:t>
            </w:r>
          </w:p>
        </w:tc>
      </w:tr>
      <w:tr w:rsidR="009A4261" w14:paraId="21A0A132" w14:textId="77777777" w:rsidTr="009A4261">
        <w:trPr>
          <w:trHeight w:val="360"/>
        </w:trPr>
        <w:tc>
          <w:tcPr>
            <w:tcW w:w="5190" w:type="dxa"/>
            <w:tcBorders>
              <w:left w:val="single" w:sz="6" w:space="0" w:color="000000"/>
              <w:bottom w:val="single" w:sz="6" w:space="0" w:color="000000"/>
              <w:right w:val="single" w:sz="6" w:space="0" w:color="000000"/>
            </w:tcBorders>
            <w:vAlign w:val="center"/>
          </w:tcPr>
          <w:p w14:paraId="30B45B98" w14:textId="77777777" w:rsidR="009A4261" w:rsidRPr="00EE3A4E" w:rsidRDefault="009A4261" w:rsidP="009A4261">
            <w:pPr>
              <w:pStyle w:val="ParagraphStyle7"/>
              <w:rPr>
                <w:rStyle w:val="CharacterStyle7"/>
              </w:rPr>
            </w:pPr>
            <w:r w:rsidRPr="00EE3A4E">
              <w:rPr>
                <w:rStyle w:val="CharacterStyle7"/>
              </w:rPr>
              <w:t>40 Prihodi od komunalne naknade i komunalnog doprinosa</w:t>
            </w:r>
          </w:p>
        </w:tc>
        <w:tc>
          <w:tcPr>
            <w:tcW w:w="1920" w:type="dxa"/>
            <w:tcBorders>
              <w:bottom w:val="single" w:sz="6" w:space="0" w:color="000000"/>
              <w:right w:val="single" w:sz="6" w:space="0" w:color="000000"/>
            </w:tcBorders>
            <w:vAlign w:val="center"/>
          </w:tcPr>
          <w:p w14:paraId="122AAFD6" w14:textId="77777777" w:rsidR="009A4261" w:rsidRPr="009A4261" w:rsidRDefault="009A4261" w:rsidP="009A4261">
            <w:pPr>
              <w:pStyle w:val="ParagraphStyle8"/>
              <w:jc w:val="right"/>
              <w:rPr>
                <w:rStyle w:val="CharacterStyle8"/>
                <w:i w:val="0"/>
              </w:rPr>
            </w:pPr>
            <w:r w:rsidRPr="009A4261">
              <w:rPr>
                <w:rStyle w:val="CharacterStyle8"/>
                <w:i w:val="0"/>
              </w:rPr>
              <w:t>0,00</w:t>
            </w:r>
          </w:p>
        </w:tc>
        <w:tc>
          <w:tcPr>
            <w:tcW w:w="1935" w:type="dxa"/>
            <w:tcBorders>
              <w:bottom w:val="single" w:sz="6" w:space="0" w:color="000000"/>
              <w:right w:val="single" w:sz="6" w:space="0" w:color="000000"/>
            </w:tcBorders>
            <w:vAlign w:val="center"/>
          </w:tcPr>
          <w:p w14:paraId="0AA86D04" w14:textId="77777777" w:rsidR="009A4261" w:rsidRPr="009A4261" w:rsidRDefault="009A4261" w:rsidP="009A4261">
            <w:pPr>
              <w:pStyle w:val="ParagraphStyle8"/>
              <w:jc w:val="right"/>
              <w:rPr>
                <w:rStyle w:val="CharacterStyle8"/>
                <w:i w:val="0"/>
              </w:rPr>
            </w:pPr>
            <w:r w:rsidRPr="009A4261">
              <w:rPr>
                <w:rStyle w:val="CharacterStyle8"/>
                <w:i w:val="0"/>
              </w:rPr>
              <w:t>0,00</w:t>
            </w:r>
          </w:p>
        </w:tc>
        <w:tc>
          <w:tcPr>
            <w:tcW w:w="1935" w:type="dxa"/>
            <w:tcBorders>
              <w:bottom w:val="single" w:sz="6" w:space="0" w:color="000000"/>
              <w:right w:val="single" w:sz="6" w:space="0" w:color="000000"/>
            </w:tcBorders>
            <w:vAlign w:val="center"/>
          </w:tcPr>
          <w:p w14:paraId="7A6ADA20" w14:textId="77777777" w:rsidR="009A4261" w:rsidRPr="009A4261" w:rsidRDefault="009A4261" w:rsidP="009A4261">
            <w:pPr>
              <w:pStyle w:val="ParagraphStyle9"/>
              <w:rPr>
                <w:rStyle w:val="CharacterStyle9"/>
                <w:i w:val="0"/>
              </w:rPr>
            </w:pPr>
            <w:r w:rsidRPr="009A4261">
              <w:rPr>
                <w:rStyle w:val="CharacterStyle9"/>
                <w:i w:val="0"/>
              </w:rPr>
              <w:t>3.672.900,55</w:t>
            </w:r>
          </w:p>
        </w:tc>
        <w:tc>
          <w:tcPr>
            <w:tcW w:w="1935" w:type="dxa"/>
            <w:tcBorders>
              <w:bottom w:val="single" w:sz="6" w:space="0" w:color="000000"/>
              <w:right w:val="single" w:sz="6" w:space="0" w:color="000000"/>
            </w:tcBorders>
            <w:vAlign w:val="center"/>
          </w:tcPr>
          <w:p w14:paraId="703EF180" w14:textId="77777777" w:rsidR="009A4261" w:rsidRPr="009A4261" w:rsidRDefault="009A4261" w:rsidP="009A4261">
            <w:pPr>
              <w:pStyle w:val="ParagraphStyle9"/>
              <w:rPr>
                <w:rStyle w:val="CharacterStyle9"/>
                <w:i w:val="0"/>
              </w:rPr>
            </w:pPr>
            <w:r w:rsidRPr="009A4261">
              <w:rPr>
                <w:rStyle w:val="CharacterStyle9"/>
                <w:i w:val="0"/>
              </w:rPr>
              <w:t>5.623.510,00</w:t>
            </w:r>
          </w:p>
        </w:tc>
        <w:tc>
          <w:tcPr>
            <w:tcW w:w="1935" w:type="dxa"/>
            <w:tcBorders>
              <w:bottom w:val="single" w:sz="6" w:space="0" w:color="000000"/>
              <w:right w:val="single" w:sz="6" w:space="0" w:color="000000"/>
            </w:tcBorders>
            <w:vAlign w:val="center"/>
          </w:tcPr>
          <w:p w14:paraId="39C3A513" w14:textId="77777777" w:rsidR="009A4261" w:rsidRPr="009A4261" w:rsidRDefault="009A4261" w:rsidP="009A4261">
            <w:pPr>
              <w:pStyle w:val="ParagraphStyle9"/>
              <w:rPr>
                <w:rStyle w:val="CharacterStyle9"/>
                <w:i w:val="0"/>
              </w:rPr>
            </w:pPr>
            <w:r w:rsidRPr="009A4261">
              <w:rPr>
                <w:rStyle w:val="CharacterStyle9"/>
                <w:i w:val="0"/>
              </w:rPr>
              <w:t>4.575.070,00</w:t>
            </w:r>
          </w:p>
        </w:tc>
      </w:tr>
      <w:tr w:rsidR="009A4261" w14:paraId="71D9905D" w14:textId="77777777" w:rsidTr="009A4261">
        <w:trPr>
          <w:trHeight w:val="360"/>
        </w:trPr>
        <w:tc>
          <w:tcPr>
            <w:tcW w:w="5190" w:type="dxa"/>
            <w:tcBorders>
              <w:left w:val="single" w:sz="6" w:space="0" w:color="000000"/>
              <w:bottom w:val="single" w:sz="6" w:space="0" w:color="000000"/>
              <w:right w:val="single" w:sz="6" w:space="0" w:color="000000"/>
            </w:tcBorders>
            <w:vAlign w:val="center"/>
          </w:tcPr>
          <w:p w14:paraId="2A54C618" w14:textId="77777777" w:rsidR="009A4261" w:rsidRPr="00EE3A4E" w:rsidRDefault="009A4261" w:rsidP="009A4261">
            <w:pPr>
              <w:pStyle w:val="ParagraphStyle7"/>
              <w:rPr>
                <w:rStyle w:val="CharacterStyle7"/>
              </w:rPr>
            </w:pPr>
            <w:r w:rsidRPr="00EE3A4E">
              <w:rPr>
                <w:rStyle w:val="CharacterStyle7"/>
              </w:rPr>
              <w:t>41 Prihodi za posebne namjene</w:t>
            </w:r>
          </w:p>
        </w:tc>
        <w:tc>
          <w:tcPr>
            <w:tcW w:w="1920" w:type="dxa"/>
            <w:tcBorders>
              <w:bottom w:val="single" w:sz="6" w:space="0" w:color="000000"/>
              <w:right w:val="single" w:sz="6" w:space="0" w:color="000000"/>
            </w:tcBorders>
            <w:vAlign w:val="center"/>
          </w:tcPr>
          <w:p w14:paraId="114052C6" w14:textId="77777777" w:rsidR="009A4261" w:rsidRPr="009A4261" w:rsidRDefault="009A4261" w:rsidP="009A4261">
            <w:pPr>
              <w:pStyle w:val="ParagraphStyle8"/>
              <w:jc w:val="right"/>
              <w:rPr>
                <w:rStyle w:val="CharacterStyle8"/>
                <w:i w:val="0"/>
              </w:rPr>
            </w:pPr>
            <w:r w:rsidRPr="009A4261">
              <w:rPr>
                <w:rStyle w:val="CharacterStyle8"/>
                <w:i w:val="0"/>
              </w:rPr>
              <w:t>8.517.096,80</w:t>
            </w:r>
          </w:p>
        </w:tc>
        <w:tc>
          <w:tcPr>
            <w:tcW w:w="1935" w:type="dxa"/>
            <w:tcBorders>
              <w:bottom w:val="single" w:sz="6" w:space="0" w:color="000000"/>
              <w:right w:val="single" w:sz="6" w:space="0" w:color="000000"/>
            </w:tcBorders>
            <w:vAlign w:val="center"/>
          </w:tcPr>
          <w:p w14:paraId="6BB4376A" w14:textId="77777777" w:rsidR="009A4261" w:rsidRPr="009A4261" w:rsidRDefault="009A4261" w:rsidP="009A4261">
            <w:pPr>
              <w:pStyle w:val="ParagraphStyle8"/>
              <w:jc w:val="right"/>
              <w:rPr>
                <w:rStyle w:val="CharacterStyle8"/>
                <w:i w:val="0"/>
              </w:rPr>
            </w:pPr>
            <w:r w:rsidRPr="009A4261">
              <w:rPr>
                <w:rStyle w:val="CharacterStyle8"/>
                <w:i w:val="0"/>
              </w:rPr>
              <w:t>6.912.063,79</w:t>
            </w:r>
          </w:p>
        </w:tc>
        <w:tc>
          <w:tcPr>
            <w:tcW w:w="1935" w:type="dxa"/>
            <w:tcBorders>
              <w:bottom w:val="single" w:sz="6" w:space="0" w:color="000000"/>
              <w:right w:val="single" w:sz="6" w:space="0" w:color="000000"/>
            </w:tcBorders>
            <w:vAlign w:val="center"/>
          </w:tcPr>
          <w:p w14:paraId="7BBED444" w14:textId="77777777" w:rsidR="009A4261" w:rsidRPr="009A4261" w:rsidRDefault="009A4261" w:rsidP="009A4261">
            <w:pPr>
              <w:pStyle w:val="ParagraphStyle9"/>
              <w:rPr>
                <w:rStyle w:val="CharacterStyle9"/>
                <w:i w:val="0"/>
              </w:rPr>
            </w:pPr>
            <w:r w:rsidRPr="009A4261">
              <w:rPr>
                <w:rStyle w:val="CharacterStyle9"/>
                <w:i w:val="0"/>
              </w:rPr>
              <w:t>0,00</w:t>
            </w:r>
          </w:p>
        </w:tc>
        <w:tc>
          <w:tcPr>
            <w:tcW w:w="1935" w:type="dxa"/>
            <w:tcBorders>
              <w:bottom w:val="single" w:sz="6" w:space="0" w:color="000000"/>
              <w:right w:val="single" w:sz="6" w:space="0" w:color="000000"/>
            </w:tcBorders>
            <w:vAlign w:val="center"/>
          </w:tcPr>
          <w:p w14:paraId="62E23128" w14:textId="77777777" w:rsidR="009A4261" w:rsidRPr="009A4261" w:rsidRDefault="009A4261" w:rsidP="009A4261">
            <w:pPr>
              <w:pStyle w:val="ParagraphStyle9"/>
              <w:rPr>
                <w:rStyle w:val="CharacterStyle9"/>
                <w:i w:val="0"/>
              </w:rPr>
            </w:pPr>
            <w:r w:rsidRPr="009A4261">
              <w:rPr>
                <w:rStyle w:val="CharacterStyle9"/>
                <w:i w:val="0"/>
              </w:rPr>
              <w:t>0,00</w:t>
            </w:r>
          </w:p>
        </w:tc>
        <w:tc>
          <w:tcPr>
            <w:tcW w:w="1935" w:type="dxa"/>
            <w:tcBorders>
              <w:bottom w:val="single" w:sz="6" w:space="0" w:color="000000"/>
              <w:right w:val="single" w:sz="6" w:space="0" w:color="000000"/>
            </w:tcBorders>
            <w:vAlign w:val="center"/>
          </w:tcPr>
          <w:p w14:paraId="1A84C07F" w14:textId="77777777" w:rsidR="009A4261" w:rsidRPr="009A4261" w:rsidRDefault="009A4261" w:rsidP="009A4261">
            <w:pPr>
              <w:pStyle w:val="ParagraphStyle9"/>
              <w:rPr>
                <w:rStyle w:val="CharacterStyle9"/>
                <w:i w:val="0"/>
              </w:rPr>
            </w:pPr>
            <w:r w:rsidRPr="009A4261">
              <w:rPr>
                <w:rStyle w:val="CharacterStyle9"/>
                <w:i w:val="0"/>
              </w:rPr>
              <w:t>0,00</w:t>
            </w:r>
          </w:p>
        </w:tc>
      </w:tr>
      <w:tr w:rsidR="009A4261" w14:paraId="41C922E4" w14:textId="77777777" w:rsidTr="009A4261">
        <w:trPr>
          <w:trHeight w:val="360"/>
        </w:trPr>
        <w:tc>
          <w:tcPr>
            <w:tcW w:w="5190" w:type="dxa"/>
            <w:tcBorders>
              <w:left w:val="single" w:sz="6" w:space="0" w:color="000000"/>
              <w:bottom w:val="single" w:sz="6" w:space="0" w:color="000000"/>
              <w:right w:val="single" w:sz="6" w:space="0" w:color="000000"/>
            </w:tcBorders>
            <w:vAlign w:val="center"/>
          </w:tcPr>
          <w:p w14:paraId="428443E2" w14:textId="77777777" w:rsidR="009A4261" w:rsidRPr="00EE3A4E" w:rsidRDefault="009A4261" w:rsidP="009A4261">
            <w:pPr>
              <w:pStyle w:val="ParagraphStyle7"/>
              <w:rPr>
                <w:rStyle w:val="CharacterStyle7"/>
              </w:rPr>
            </w:pPr>
            <w:r w:rsidRPr="00EE3A4E">
              <w:rPr>
                <w:rStyle w:val="CharacterStyle7"/>
              </w:rPr>
              <w:t>42 Prihodi od spomeničke rente</w:t>
            </w:r>
          </w:p>
        </w:tc>
        <w:tc>
          <w:tcPr>
            <w:tcW w:w="1920" w:type="dxa"/>
            <w:tcBorders>
              <w:bottom w:val="single" w:sz="6" w:space="0" w:color="000000"/>
              <w:right w:val="single" w:sz="6" w:space="0" w:color="000000"/>
            </w:tcBorders>
            <w:vAlign w:val="center"/>
          </w:tcPr>
          <w:p w14:paraId="672D17EE" w14:textId="77777777" w:rsidR="009A4261" w:rsidRPr="009A4261" w:rsidRDefault="009A4261" w:rsidP="009A4261">
            <w:pPr>
              <w:pStyle w:val="ParagraphStyle8"/>
              <w:jc w:val="right"/>
              <w:rPr>
                <w:rStyle w:val="CharacterStyle8"/>
                <w:i w:val="0"/>
              </w:rPr>
            </w:pPr>
            <w:r w:rsidRPr="009A4261">
              <w:rPr>
                <w:rStyle w:val="CharacterStyle8"/>
                <w:i w:val="0"/>
              </w:rPr>
              <w:t>0,00</w:t>
            </w:r>
          </w:p>
        </w:tc>
        <w:tc>
          <w:tcPr>
            <w:tcW w:w="1935" w:type="dxa"/>
            <w:tcBorders>
              <w:bottom w:val="single" w:sz="6" w:space="0" w:color="000000"/>
              <w:right w:val="single" w:sz="6" w:space="0" w:color="000000"/>
            </w:tcBorders>
            <w:vAlign w:val="center"/>
          </w:tcPr>
          <w:p w14:paraId="47FBF5B4" w14:textId="77777777" w:rsidR="009A4261" w:rsidRPr="009A4261" w:rsidRDefault="009A4261" w:rsidP="009A4261">
            <w:pPr>
              <w:pStyle w:val="ParagraphStyle8"/>
              <w:jc w:val="right"/>
              <w:rPr>
                <w:rStyle w:val="CharacterStyle8"/>
                <w:i w:val="0"/>
              </w:rPr>
            </w:pPr>
            <w:r w:rsidRPr="009A4261">
              <w:rPr>
                <w:rStyle w:val="CharacterStyle8"/>
                <w:i w:val="0"/>
              </w:rPr>
              <w:t>0,00</w:t>
            </w:r>
          </w:p>
        </w:tc>
        <w:tc>
          <w:tcPr>
            <w:tcW w:w="1935" w:type="dxa"/>
            <w:tcBorders>
              <w:bottom w:val="single" w:sz="6" w:space="0" w:color="000000"/>
              <w:right w:val="single" w:sz="6" w:space="0" w:color="000000"/>
            </w:tcBorders>
            <w:vAlign w:val="center"/>
          </w:tcPr>
          <w:p w14:paraId="280DD7FA" w14:textId="77777777" w:rsidR="009A4261" w:rsidRPr="009A4261" w:rsidRDefault="009A4261" w:rsidP="009A4261">
            <w:pPr>
              <w:pStyle w:val="ParagraphStyle9"/>
              <w:rPr>
                <w:rStyle w:val="CharacterStyle9"/>
                <w:i w:val="0"/>
              </w:rPr>
            </w:pPr>
            <w:r w:rsidRPr="009A4261">
              <w:rPr>
                <w:rStyle w:val="CharacterStyle9"/>
                <w:i w:val="0"/>
              </w:rPr>
              <w:t>140.502,00</w:t>
            </w:r>
          </w:p>
        </w:tc>
        <w:tc>
          <w:tcPr>
            <w:tcW w:w="1935" w:type="dxa"/>
            <w:tcBorders>
              <w:bottom w:val="single" w:sz="6" w:space="0" w:color="000000"/>
              <w:right w:val="single" w:sz="6" w:space="0" w:color="000000"/>
            </w:tcBorders>
            <w:vAlign w:val="center"/>
          </w:tcPr>
          <w:p w14:paraId="362366A4" w14:textId="77777777" w:rsidR="009A4261" w:rsidRPr="009A4261" w:rsidRDefault="009A4261" w:rsidP="009A4261">
            <w:pPr>
              <w:pStyle w:val="ParagraphStyle9"/>
              <w:rPr>
                <w:rStyle w:val="CharacterStyle9"/>
                <w:i w:val="0"/>
              </w:rPr>
            </w:pPr>
            <w:r w:rsidRPr="009A4261">
              <w:rPr>
                <w:rStyle w:val="CharacterStyle9"/>
                <w:i w:val="0"/>
              </w:rPr>
              <w:t>140.000,00</w:t>
            </w:r>
          </w:p>
        </w:tc>
        <w:tc>
          <w:tcPr>
            <w:tcW w:w="1935" w:type="dxa"/>
            <w:tcBorders>
              <w:bottom w:val="single" w:sz="6" w:space="0" w:color="000000"/>
              <w:right w:val="single" w:sz="6" w:space="0" w:color="000000"/>
            </w:tcBorders>
            <w:vAlign w:val="center"/>
          </w:tcPr>
          <w:p w14:paraId="07256CBC" w14:textId="77777777" w:rsidR="009A4261" w:rsidRPr="009A4261" w:rsidRDefault="009A4261" w:rsidP="009A4261">
            <w:pPr>
              <w:pStyle w:val="ParagraphStyle9"/>
              <w:rPr>
                <w:rStyle w:val="CharacterStyle9"/>
                <w:i w:val="0"/>
              </w:rPr>
            </w:pPr>
            <w:r w:rsidRPr="009A4261">
              <w:rPr>
                <w:rStyle w:val="CharacterStyle9"/>
                <w:i w:val="0"/>
              </w:rPr>
              <w:t>125.000,00</w:t>
            </w:r>
          </w:p>
        </w:tc>
      </w:tr>
      <w:tr w:rsidR="009A4261" w14:paraId="461F0A9F" w14:textId="77777777" w:rsidTr="009A4261">
        <w:trPr>
          <w:trHeight w:val="360"/>
        </w:trPr>
        <w:tc>
          <w:tcPr>
            <w:tcW w:w="5190" w:type="dxa"/>
            <w:tcBorders>
              <w:left w:val="single" w:sz="6" w:space="0" w:color="000000"/>
              <w:bottom w:val="single" w:sz="6" w:space="0" w:color="000000"/>
              <w:right w:val="single" w:sz="6" w:space="0" w:color="000000"/>
            </w:tcBorders>
            <w:vAlign w:val="center"/>
          </w:tcPr>
          <w:p w14:paraId="5C4C6050" w14:textId="77777777" w:rsidR="009A4261" w:rsidRPr="00EE3A4E" w:rsidRDefault="009A4261" w:rsidP="009A4261">
            <w:pPr>
              <w:pStyle w:val="ParagraphStyle7"/>
              <w:rPr>
                <w:rStyle w:val="CharacterStyle7"/>
              </w:rPr>
            </w:pPr>
            <w:r w:rsidRPr="00EE3A4E">
              <w:rPr>
                <w:rStyle w:val="CharacterStyle7"/>
              </w:rPr>
              <w:t>43 Ostali prihodi za posebne namjene</w:t>
            </w:r>
          </w:p>
        </w:tc>
        <w:tc>
          <w:tcPr>
            <w:tcW w:w="1920" w:type="dxa"/>
            <w:tcBorders>
              <w:bottom w:val="single" w:sz="6" w:space="0" w:color="000000"/>
              <w:right w:val="single" w:sz="6" w:space="0" w:color="000000"/>
            </w:tcBorders>
            <w:vAlign w:val="center"/>
          </w:tcPr>
          <w:p w14:paraId="7917D4F2" w14:textId="77777777" w:rsidR="009A4261" w:rsidRPr="009A4261" w:rsidRDefault="009A4261" w:rsidP="009A4261">
            <w:pPr>
              <w:pStyle w:val="ParagraphStyle8"/>
              <w:jc w:val="right"/>
              <w:rPr>
                <w:rStyle w:val="CharacterStyle8"/>
                <w:i w:val="0"/>
              </w:rPr>
            </w:pPr>
            <w:r w:rsidRPr="009A4261">
              <w:rPr>
                <w:rStyle w:val="CharacterStyle8"/>
                <w:i w:val="0"/>
              </w:rPr>
              <w:t>0,00</w:t>
            </w:r>
          </w:p>
        </w:tc>
        <w:tc>
          <w:tcPr>
            <w:tcW w:w="1935" w:type="dxa"/>
            <w:tcBorders>
              <w:bottom w:val="single" w:sz="6" w:space="0" w:color="000000"/>
              <w:right w:val="single" w:sz="6" w:space="0" w:color="000000"/>
            </w:tcBorders>
            <w:vAlign w:val="center"/>
          </w:tcPr>
          <w:p w14:paraId="225139BB" w14:textId="77777777" w:rsidR="009A4261" w:rsidRPr="009A4261" w:rsidRDefault="009A4261" w:rsidP="009A4261">
            <w:pPr>
              <w:pStyle w:val="ParagraphStyle8"/>
              <w:jc w:val="right"/>
              <w:rPr>
                <w:rStyle w:val="CharacterStyle8"/>
                <w:i w:val="0"/>
              </w:rPr>
            </w:pPr>
            <w:r w:rsidRPr="009A4261">
              <w:rPr>
                <w:rStyle w:val="CharacterStyle8"/>
                <w:i w:val="0"/>
              </w:rPr>
              <w:t>0,00</w:t>
            </w:r>
          </w:p>
        </w:tc>
        <w:tc>
          <w:tcPr>
            <w:tcW w:w="1935" w:type="dxa"/>
            <w:tcBorders>
              <w:bottom w:val="single" w:sz="6" w:space="0" w:color="000000"/>
              <w:right w:val="single" w:sz="6" w:space="0" w:color="000000"/>
            </w:tcBorders>
            <w:vAlign w:val="center"/>
          </w:tcPr>
          <w:p w14:paraId="2120917A" w14:textId="77777777" w:rsidR="009A4261" w:rsidRPr="009A4261" w:rsidRDefault="009A4261" w:rsidP="009A4261">
            <w:pPr>
              <w:pStyle w:val="ParagraphStyle9"/>
              <w:rPr>
                <w:rStyle w:val="CharacterStyle9"/>
                <w:i w:val="0"/>
              </w:rPr>
            </w:pPr>
            <w:r w:rsidRPr="009A4261">
              <w:rPr>
                <w:rStyle w:val="CharacterStyle9"/>
                <w:i w:val="0"/>
              </w:rPr>
              <w:t>2.881.049,69</w:t>
            </w:r>
          </w:p>
        </w:tc>
        <w:tc>
          <w:tcPr>
            <w:tcW w:w="1935" w:type="dxa"/>
            <w:tcBorders>
              <w:bottom w:val="single" w:sz="6" w:space="0" w:color="000000"/>
              <w:right w:val="single" w:sz="6" w:space="0" w:color="000000"/>
            </w:tcBorders>
            <w:vAlign w:val="center"/>
          </w:tcPr>
          <w:p w14:paraId="7979C74A" w14:textId="77777777" w:rsidR="009A4261" w:rsidRPr="009A4261" w:rsidRDefault="009A4261" w:rsidP="009A4261">
            <w:pPr>
              <w:pStyle w:val="ParagraphStyle9"/>
              <w:rPr>
                <w:rStyle w:val="CharacterStyle9"/>
                <w:i w:val="0"/>
              </w:rPr>
            </w:pPr>
            <w:r w:rsidRPr="009A4261">
              <w:rPr>
                <w:rStyle w:val="CharacterStyle9"/>
                <w:i w:val="0"/>
              </w:rPr>
              <w:t>2.921.221,50</w:t>
            </w:r>
          </w:p>
        </w:tc>
        <w:tc>
          <w:tcPr>
            <w:tcW w:w="1935" w:type="dxa"/>
            <w:tcBorders>
              <w:bottom w:val="single" w:sz="6" w:space="0" w:color="000000"/>
              <w:right w:val="single" w:sz="6" w:space="0" w:color="000000"/>
            </w:tcBorders>
            <w:vAlign w:val="center"/>
          </w:tcPr>
          <w:p w14:paraId="4FDF5725" w14:textId="77777777" w:rsidR="009A4261" w:rsidRPr="009A4261" w:rsidRDefault="009A4261" w:rsidP="009A4261">
            <w:pPr>
              <w:pStyle w:val="ParagraphStyle9"/>
              <w:rPr>
                <w:rStyle w:val="CharacterStyle9"/>
                <w:i w:val="0"/>
              </w:rPr>
            </w:pPr>
            <w:r w:rsidRPr="009A4261">
              <w:rPr>
                <w:rStyle w:val="CharacterStyle9"/>
                <w:i w:val="0"/>
              </w:rPr>
              <w:t>2.933.743,50</w:t>
            </w:r>
          </w:p>
        </w:tc>
      </w:tr>
      <w:tr w:rsidR="009A4261" w14:paraId="4E04A2B3" w14:textId="77777777" w:rsidTr="009A4261">
        <w:trPr>
          <w:trHeight w:val="360"/>
        </w:trPr>
        <w:tc>
          <w:tcPr>
            <w:tcW w:w="5190" w:type="dxa"/>
            <w:tcBorders>
              <w:left w:val="single" w:sz="6" w:space="0" w:color="000000"/>
              <w:bottom w:val="single" w:sz="6" w:space="0" w:color="000000"/>
              <w:right w:val="single" w:sz="6" w:space="0" w:color="000000"/>
            </w:tcBorders>
            <w:vAlign w:val="center"/>
          </w:tcPr>
          <w:p w14:paraId="2FE749FC" w14:textId="77777777" w:rsidR="009A4261" w:rsidRPr="00EE3A4E" w:rsidRDefault="009A4261" w:rsidP="009A4261">
            <w:pPr>
              <w:pStyle w:val="ParagraphStyle5"/>
              <w:rPr>
                <w:rStyle w:val="CharacterStyle5"/>
              </w:rPr>
            </w:pPr>
            <w:r w:rsidRPr="00EE3A4E">
              <w:rPr>
                <w:rStyle w:val="CharacterStyle5"/>
              </w:rPr>
              <w:t>5 POMOĆI</w:t>
            </w:r>
          </w:p>
        </w:tc>
        <w:tc>
          <w:tcPr>
            <w:tcW w:w="1920" w:type="dxa"/>
            <w:tcBorders>
              <w:bottom w:val="single" w:sz="6" w:space="0" w:color="000000"/>
              <w:right w:val="single" w:sz="6" w:space="0" w:color="000000"/>
            </w:tcBorders>
            <w:vAlign w:val="center"/>
          </w:tcPr>
          <w:p w14:paraId="570E0251" w14:textId="77777777" w:rsidR="009A4261" w:rsidRPr="009A4261" w:rsidRDefault="009A4261" w:rsidP="009A4261">
            <w:pPr>
              <w:pStyle w:val="ParagraphStyle6"/>
              <w:rPr>
                <w:rStyle w:val="CharacterStyle6"/>
              </w:rPr>
            </w:pPr>
            <w:r w:rsidRPr="009A4261">
              <w:rPr>
                <w:rStyle w:val="CharacterStyle6"/>
              </w:rPr>
              <w:t>8.197.534,38</w:t>
            </w:r>
          </w:p>
        </w:tc>
        <w:tc>
          <w:tcPr>
            <w:tcW w:w="1935" w:type="dxa"/>
            <w:tcBorders>
              <w:bottom w:val="single" w:sz="6" w:space="0" w:color="000000"/>
              <w:right w:val="single" w:sz="6" w:space="0" w:color="000000"/>
            </w:tcBorders>
            <w:vAlign w:val="center"/>
          </w:tcPr>
          <w:p w14:paraId="4F7BB8FD" w14:textId="77777777" w:rsidR="009A4261" w:rsidRPr="009A4261" w:rsidRDefault="009A4261" w:rsidP="009A4261">
            <w:pPr>
              <w:pStyle w:val="ParagraphStyle6"/>
              <w:rPr>
                <w:rStyle w:val="CharacterStyle6"/>
              </w:rPr>
            </w:pPr>
            <w:r w:rsidRPr="009A4261">
              <w:rPr>
                <w:rStyle w:val="CharacterStyle6"/>
              </w:rPr>
              <w:t>15.298.837,82</w:t>
            </w:r>
          </w:p>
        </w:tc>
        <w:tc>
          <w:tcPr>
            <w:tcW w:w="1935" w:type="dxa"/>
            <w:tcBorders>
              <w:bottom w:val="single" w:sz="6" w:space="0" w:color="000000"/>
              <w:right w:val="single" w:sz="6" w:space="0" w:color="000000"/>
            </w:tcBorders>
            <w:vAlign w:val="center"/>
          </w:tcPr>
          <w:p w14:paraId="58749A66" w14:textId="77777777" w:rsidR="009A4261" w:rsidRPr="009A4261" w:rsidRDefault="009A4261" w:rsidP="009A4261">
            <w:pPr>
              <w:pStyle w:val="ParagraphStyle6"/>
              <w:rPr>
                <w:rStyle w:val="CharacterStyle6"/>
              </w:rPr>
            </w:pPr>
            <w:r w:rsidRPr="009A4261">
              <w:rPr>
                <w:rStyle w:val="CharacterStyle6"/>
              </w:rPr>
              <w:t>17.748.240,85</w:t>
            </w:r>
          </w:p>
        </w:tc>
        <w:tc>
          <w:tcPr>
            <w:tcW w:w="1935" w:type="dxa"/>
            <w:tcBorders>
              <w:bottom w:val="single" w:sz="6" w:space="0" w:color="000000"/>
              <w:right w:val="single" w:sz="6" w:space="0" w:color="000000"/>
            </w:tcBorders>
            <w:vAlign w:val="center"/>
          </w:tcPr>
          <w:p w14:paraId="0C5428C1" w14:textId="77777777" w:rsidR="009A4261" w:rsidRPr="009A4261" w:rsidRDefault="009A4261" w:rsidP="009A4261">
            <w:pPr>
              <w:pStyle w:val="ParagraphStyle6"/>
              <w:rPr>
                <w:rStyle w:val="CharacterStyle6"/>
              </w:rPr>
            </w:pPr>
            <w:r w:rsidRPr="009A4261">
              <w:rPr>
                <w:rStyle w:val="CharacterStyle6"/>
              </w:rPr>
              <w:t>8.279.421,45</w:t>
            </w:r>
          </w:p>
        </w:tc>
        <w:tc>
          <w:tcPr>
            <w:tcW w:w="1935" w:type="dxa"/>
            <w:tcBorders>
              <w:bottom w:val="single" w:sz="6" w:space="0" w:color="000000"/>
              <w:right w:val="single" w:sz="6" w:space="0" w:color="000000"/>
            </w:tcBorders>
            <w:vAlign w:val="center"/>
          </w:tcPr>
          <w:p w14:paraId="13AC2498" w14:textId="77777777" w:rsidR="009A4261" w:rsidRPr="009A4261" w:rsidRDefault="009A4261" w:rsidP="009A4261">
            <w:pPr>
              <w:pStyle w:val="ParagraphStyle6"/>
              <w:rPr>
                <w:rStyle w:val="CharacterStyle6"/>
              </w:rPr>
            </w:pPr>
            <w:r w:rsidRPr="009A4261">
              <w:rPr>
                <w:rStyle w:val="CharacterStyle6"/>
              </w:rPr>
              <w:t>8.365.829,86</w:t>
            </w:r>
          </w:p>
        </w:tc>
      </w:tr>
      <w:tr w:rsidR="009A4261" w14:paraId="4CB50A59" w14:textId="77777777" w:rsidTr="009A4261">
        <w:trPr>
          <w:trHeight w:val="360"/>
        </w:trPr>
        <w:tc>
          <w:tcPr>
            <w:tcW w:w="5190" w:type="dxa"/>
            <w:tcBorders>
              <w:left w:val="single" w:sz="6" w:space="0" w:color="000000"/>
              <w:bottom w:val="single" w:sz="6" w:space="0" w:color="000000"/>
              <w:right w:val="single" w:sz="6" w:space="0" w:color="000000"/>
            </w:tcBorders>
            <w:vAlign w:val="center"/>
          </w:tcPr>
          <w:p w14:paraId="22E291CF" w14:textId="77777777" w:rsidR="009A4261" w:rsidRPr="00EE3A4E" w:rsidRDefault="009A4261" w:rsidP="009A4261">
            <w:pPr>
              <w:pStyle w:val="ParagraphStyle7"/>
              <w:rPr>
                <w:rStyle w:val="CharacterStyle7"/>
              </w:rPr>
            </w:pPr>
            <w:r w:rsidRPr="00EE3A4E">
              <w:rPr>
                <w:rStyle w:val="CharacterStyle7"/>
              </w:rPr>
              <w:t>50 Pomoći iz državnog proračuna</w:t>
            </w:r>
          </w:p>
        </w:tc>
        <w:tc>
          <w:tcPr>
            <w:tcW w:w="1920" w:type="dxa"/>
            <w:tcBorders>
              <w:bottom w:val="single" w:sz="6" w:space="0" w:color="000000"/>
              <w:right w:val="single" w:sz="6" w:space="0" w:color="000000"/>
            </w:tcBorders>
            <w:vAlign w:val="center"/>
          </w:tcPr>
          <w:p w14:paraId="69007170" w14:textId="77777777" w:rsidR="009A4261" w:rsidRPr="009A4261" w:rsidRDefault="009A4261" w:rsidP="009A4261">
            <w:pPr>
              <w:pStyle w:val="ParagraphStyle8"/>
              <w:jc w:val="right"/>
              <w:rPr>
                <w:rStyle w:val="CharacterStyle8"/>
                <w:i w:val="0"/>
              </w:rPr>
            </w:pPr>
            <w:r w:rsidRPr="009A4261">
              <w:rPr>
                <w:rStyle w:val="CharacterStyle8"/>
                <w:i w:val="0"/>
              </w:rPr>
              <w:t>842.739,01</w:t>
            </w:r>
          </w:p>
        </w:tc>
        <w:tc>
          <w:tcPr>
            <w:tcW w:w="1935" w:type="dxa"/>
            <w:tcBorders>
              <w:bottom w:val="single" w:sz="6" w:space="0" w:color="000000"/>
              <w:right w:val="single" w:sz="6" w:space="0" w:color="000000"/>
            </w:tcBorders>
            <w:vAlign w:val="center"/>
          </w:tcPr>
          <w:p w14:paraId="510CBB37" w14:textId="77777777" w:rsidR="009A4261" w:rsidRPr="009A4261" w:rsidRDefault="009A4261" w:rsidP="009A4261">
            <w:pPr>
              <w:pStyle w:val="ParagraphStyle8"/>
              <w:jc w:val="right"/>
              <w:rPr>
                <w:rStyle w:val="CharacterStyle8"/>
                <w:i w:val="0"/>
              </w:rPr>
            </w:pPr>
            <w:r w:rsidRPr="009A4261">
              <w:rPr>
                <w:rStyle w:val="CharacterStyle8"/>
                <w:i w:val="0"/>
              </w:rPr>
              <w:t>892.995,00</w:t>
            </w:r>
          </w:p>
        </w:tc>
        <w:tc>
          <w:tcPr>
            <w:tcW w:w="1935" w:type="dxa"/>
            <w:tcBorders>
              <w:bottom w:val="single" w:sz="6" w:space="0" w:color="000000"/>
              <w:right w:val="single" w:sz="6" w:space="0" w:color="000000"/>
            </w:tcBorders>
            <w:vAlign w:val="center"/>
          </w:tcPr>
          <w:p w14:paraId="70770B8A" w14:textId="77777777" w:rsidR="009A4261" w:rsidRPr="009A4261" w:rsidRDefault="009A4261" w:rsidP="009A4261">
            <w:pPr>
              <w:pStyle w:val="ParagraphStyle9"/>
              <w:rPr>
                <w:rStyle w:val="CharacterStyle9"/>
                <w:i w:val="0"/>
              </w:rPr>
            </w:pPr>
            <w:r w:rsidRPr="009A4261">
              <w:rPr>
                <w:rStyle w:val="CharacterStyle9"/>
                <w:i w:val="0"/>
              </w:rPr>
              <w:t>6.293.949,91</w:t>
            </w:r>
          </w:p>
        </w:tc>
        <w:tc>
          <w:tcPr>
            <w:tcW w:w="1935" w:type="dxa"/>
            <w:tcBorders>
              <w:bottom w:val="single" w:sz="6" w:space="0" w:color="000000"/>
              <w:right w:val="single" w:sz="6" w:space="0" w:color="000000"/>
            </w:tcBorders>
            <w:vAlign w:val="center"/>
          </w:tcPr>
          <w:p w14:paraId="22028FD1" w14:textId="77777777" w:rsidR="009A4261" w:rsidRPr="009A4261" w:rsidRDefault="009A4261" w:rsidP="009A4261">
            <w:pPr>
              <w:pStyle w:val="ParagraphStyle9"/>
              <w:rPr>
                <w:rStyle w:val="CharacterStyle9"/>
                <w:i w:val="0"/>
              </w:rPr>
            </w:pPr>
            <w:r w:rsidRPr="009A4261">
              <w:rPr>
                <w:rStyle w:val="CharacterStyle9"/>
                <w:i w:val="0"/>
              </w:rPr>
              <w:t>6.329.558,27</w:t>
            </w:r>
          </w:p>
        </w:tc>
        <w:tc>
          <w:tcPr>
            <w:tcW w:w="1935" w:type="dxa"/>
            <w:tcBorders>
              <w:bottom w:val="single" w:sz="6" w:space="0" w:color="000000"/>
              <w:right w:val="single" w:sz="6" w:space="0" w:color="000000"/>
            </w:tcBorders>
            <w:vAlign w:val="center"/>
          </w:tcPr>
          <w:p w14:paraId="575400F1" w14:textId="77777777" w:rsidR="009A4261" w:rsidRPr="009A4261" w:rsidRDefault="009A4261" w:rsidP="009A4261">
            <w:pPr>
              <w:pStyle w:val="ParagraphStyle9"/>
              <w:rPr>
                <w:rStyle w:val="CharacterStyle9"/>
                <w:i w:val="0"/>
              </w:rPr>
            </w:pPr>
            <w:r w:rsidRPr="009A4261">
              <w:rPr>
                <w:rStyle w:val="CharacterStyle9"/>
                <w:i w:val="0"/>
              </w:rPr>
              <w:t>6.394.142,54</w:t>
            </w:r>
          </w:p>
        </w:tc>
      </w:tr>
      <w:tr w:rsidR="009A4261" w14:paraId="619E3A27" w14:textId="77777777" w:rsidTr="009A4261">
        <w:trPr>
          <w:trHeight w:val="360"/>
        </w:trPr>
        <w:tc>
          <w:tcPr>
            <w:tcW w:w="5190" w:type="dxa"/>
            <w:tcBorders>
              <w:left w:val="single" w:sz="6" w:space="0" w:color="000000"/>
              <w:bottom w:val="single" w:sz="6" w:space="0" w:color="000000"/>
              <w:right w:val="single" w:sz="6" w:space="0" w:color="000000"/>
            </w:tcBorders>
            <w:vAlign w:val="center"/>
          </w:tcPr>
          <w:p w14:paraId="585AC848" w14:textId="77777777" w:rsidR="009A4261" w:rsidRPr="00EE3A4E" w:rsidRDefault="009A4261" w:rsidP="009A4261">
            <w:pPr>
              <w:pStyle w:val="ParagraphStyle7"/>
              <w:rPr>
                <w:rStyle w:val="CharacterStyle7"/>
              </w:rPr>
            </w:pPr>
            <w:r w:rsidRPr="00EE3A4E">
              <w:rPr>
                <w:rStyle w:val="CharacterStyle7"/>
              </w:rPr>
              <w:t>51 Pomoći EU</w:t>
            </w:r>
          </w:p>
        </w:tc>
        <w:tc>
          <w:tcPr>
            <w:tcW w:w="1920" w:type="dxa"/>
            <w:tcBorders>
              <w:bottom w:val="single" w:sz="6" w:space="0" w:color="000000"/>
              <w:right w:val="single" w:sz="6" w:space="0" w:color="000000"/>
            </w:tcBorders>
            <w:vAlign w:val="center"/>
          </w:tcPr>
          <w:p w14:paraId="2DC244BB" w14:textId="77777777" w:rsidR="009A4261" w:rsidRPr="009A4261" w:rsidRDefault="009A4261" w:rsidP="009A4261">
            <w:pPr>
              <w:pStyle w:val="ParagraphStyle8"/>
              <w:jc w:val="right"/>
              <w:rPr>
                <w:rStyle w:val="CharacterStyle8"/>
                <w:i w:val="0"/>
              </w:rPr>
            </w:pPr>
            <w:r w:rsidRPr="009A4261">
              <w:rPr>
                <w:rStyle w:val="CharacterStyle8"/>
                <w:i w:val="0"/>
              </w:rPr>
              <w:t>0,00</w:t>
            </w:r>
          </w:p>
        </w:tc>
        <w:tc>
          <w:tcPr>
            <w:tcW w:w="1935" w:type="dxa"/>
            <w:tcBorders>
              <w:bottom w:val="single" w:sz="6" w:space="0" w:color="000000"/>
              <w:right w:val="single" w:sz="6" w:space="0" w:color="000000"/>
            </w:tcBorders>
            <w:vAlign w:val="center"/>
          </w:tcPr>
          <w:p w14:paraId="10D373DB" w14:textId="77777777" w:rsidR="009A4261" w:rsidRPr="009A4261" w:rsidRDefault="009A4261" w:rsidP="009A4261">
            <w:pPr>
              <w:pStyle w:val="ParagraphStyle8"/>
              <w:jc w:val="right"/>
              <w:rPr>
                <w:rStyle w:val="CharacterStyle8"/>
                <w:i w:val="0"/>
              </w:rPr>
            </w:pPr>
            <w:r w:rsidRPr="009A4261">
              <w:rPr>
                <w:rStyle w:val="CharacterStyle8"/>
                <w:i w:val="0"/>
              </w:rPr>
              <w:t>5.377.240,00</w:t>
            </w:r>
          </w:p>
        </w:tc>
        <w:tc>
          <w:tcPr>
            <w:tcW w:w="1935" w:type="dxa"/>
            <w:tcBorders>
              <w:bottom w:val="single" w:sz="6" w:space="0" w:color="000000"/>
              <w:right w:val="single" w:sz="6" w:space="0" w:color="000000"/>
            </w:tcBorders>
            <w:vAlign w:val="center"/>
          </w:tcPr>
          <w:p w14:paraId="1B105BB2" w14:textId="77777777" w:rsidR="009A4261" w:rsidRPr="009A4261" w:rsidRDefault="009A4261" w:rsidP="009A4261">
            <w:pPr>
              <w:pStyle w:val="ParagraphStyle9"/>
              <w:rPr>
                <w:rStyle w:val="CharacterStyle9"/>
                <w:i w:val="0"/>
              </w:rPr>
            </w:pPr>
            <w:r w:rsidRPr="009A4261">
              <w:rPr>
                <w:rStyle w:val="CharacterStyle9"/>
                <w:i w:val="0"/>
              </w:rPr>
              <w:t>0,00</w:t>
            </w:r>
          </w:p>
        </w:tc>
        <w:tc>
          <w:tcPr>
            <w:tcW w:w="1935" w:type="dxa"/>
            <w:tcBorders>
              <w:bottom w:val="single" w:sz="6" w:space="0" w:color="000000"/>
              <w:right w:val="single" w:sz="6" w:space="0" w:color="000000"/>
            </w:tcBorders>
            <w:vAlign w:val="center"/>
          </w:tcPr>
          <w:p w14:paraId="5D9A8BE9" w14:textId="77777777" w:rsidR="009A4261" w:rsidRPr="009A4261" w:rsidRDefault="009A4261" w:rsidP="009A4261">
            <w:pPr>
              <w:pStyle w:val="ParagraphStyle9"/>
              <w:rPr>
                <w:rStyle w:val="CharacterStyle9"/>
                <w:i w:val="0"/>
              </w:rPr>
            </w:pPr>
            <w:r w:rsidRPr="009A4261">
              <w:rPr>
                <w:rStyle w:val="CharacterStyle9"/>
                <w:i w:val="0"/>
              </w:rPr>
              <w:t>0,00</w:t>
            </w:r>
          </w:p>
        </w:tc>
        <w:tc>
          <w:tcPr>
            <w:tcW w:w="1935" w:type="dxa"/>
            <w:tcBorders>
              <w:bottom w:val="single" w:sz="6" w:space="0" w:color="000000"/>
              <w:right w:val="single" w:sz="6" w:space="0" w:color="000000"/>
            </w:tcBorders>
            <w:vAlign w:val="center"/>
          </w:tcPr>
          <w:p w14:paraId="0CF65818" w14:textId="77777777" w:rsidR="009A4261" w:rsidRPr="009A4261" w:rsidRDefault="009A4261" w:rsidP="009A4261">
            <w:pPr>
              <w:pStyle w:val="ParagraphStyle9"/>
              <w:rPr>
                <w:rStyle w:val="CharacterStyle9"/>
                <w:i w:val="0"/>
              </w:rPr>
            </w:pPr>
            <w:r w:rsidRPr="009A4261">
              <w:rPr>
                <w:rStyle w:val="CharacterStyle9"/>
                <w:i w:val="0"/>
              </w:rPr>
              <w:t>0,00</w:t>
            </w:r>
          </w:p>
        </w:tc>
      </w:tr>
      <w:tr w:rsidR="009A4261" w14:paraId="0A5B5038" w14:textId="77777777" w:rsidTr="009A4261">
        <w:trPr>
          <w:trHeight w:val="360"/>
        </w:trPr>
        <w:tc>
          <w:tcPr>
            <w:tcW w:w="5190" w:type="dxa"/>
            <w:tcBorders>
              <w:left w:val="single" w:sz="6" w:space="0" w:color="000000"/>
              <w:bottom w:val="single" w:sz="6" w:space="0" w:color="000000"/>
              <w:right w:val="single" w:sz="6" w:space="0" w:color="000000"/>
            </w:tcBorders>
            <w:vAlign w:val="center"/>
          </w:tcPr>
          <w:p w14:paraId="0E29D52B" w14:textId="77777777" w:rsidR="009A4261" w:rsidRPr="00EE3A4E" w:rsidRDefault="009A4261" w:rsidP="009A4261">
            <w:pPr>
              <w:pStyle w:val="ParagraphStyle7"/>
              <w:rPr>
                <w:rStyle w:val="CharacterStyle7"/>
              </w:rPr>
            </w:pPr>
            <w:r w:rsidRPr="00EE3A4E">
              <w:rPr>
                <w:rStyle w:val="CharacterStyle7"/>
              </w:rPr>
              <w:t>51 Programi Unije</w:t>
            </w:r>
          </w:p>
        </w:tc>
        <w:tc>
          <w:tcPr>
            <w:tcW w:w="1920" w:type="dxa"/>
            <w:tcBorders>
              <w:bottom w:val="single" w:sz="6" w:space="0" w:color="000000"/>
              <w:right w:val="single" w:sz="6" w:space="0" w:color="000000"/>
            </w:tcBorders>
            <w:vAlign w:val="center"/>
          </w:tcPr>
          <w:p w14:paraId="75E394C8" w14:textId="77777777" w:rsidR="009A4261" w:rsidRPr="009A4261" w:rsidRDefault="009A4261" w:rsidP="009A4261">
            <w:pPr>
              <w:pStyle w:val="ParagraphStyle8"/>
              <w:jc w:val="right"/>
              <w:rPr>
                <w:rStyle w:val="CharacterStyle8"/>
                <w:i w:val="0"/>
              </w:rPr>
            </w:pPr>
            <w:r w:rsidRPr="009A4261">
              <w:rPr>
                <w:rStyle w:val="CharacterStyle8"/>
                <w:i w:val="0"/>
              </w:rPr>
              <w:t>0,00</w:t>
            </w:r>
          </w:p>
        </w:tc>
        <w:tc>
          <w:tcPr>
            <w:tcW w:w="1935" w:type="dxa"/>
            <w:tcBorders>
              <w:bottom w:val="single" w:sz="6" w:space="0" w:color="000000"/>
              <w:right w:val="single" w:sz="6" w:space="0" w:color="000000"/>
            </w:tcBorders>
            <w:vAlign w:val="center"/>
          </w:tcPr>
          <w:p w14:paraId="36CFA568" w14:textId="77777777" w:rsidR="009A4261" w:rsidRPr="009A4261" w:rsidRDefault="009A4261" w:rsidP="009A4261">
            <w:pPr>
              <w:pStyle w:val="ParagraphStyle8"/>
              <w:jc w:val="right"/>
              <w:rPr>
                <w:rStyle w:val="CharacterStyle8"/>
                <w:i w:val="0"/>
              </w:rPr>
            </w:pPr>
            <w:r w:rsidRPr="009A4261">
              <w:rPr>
                <w:rStyle w:val="CharacterStyle8"/>
                <w:i w:val="0"/>
              </w:rPr>
              <w:t>0,00</w:t>
            </w:r>
          </w:p>
        </w:tc>
        <w:tc>
          <w:tcPr>
            <w:tcW w:w="1935" w:type="dxa"/>
            <w:tcBorders>
              <w:bottom w:val="single" w:sz="6" w:space="0" w:color="000000"/>
              <w:right w:val="single" w:sz="6" w:space="0" w:color="000000"/>
            </w:tcBorders>
            <w:vAlign w:val="center"/>
          </w:tcPr>
          <w:p w14:paraId="57095E39" w14:textId="77777777" w:rsidR="009A4261" w:rsidRPr="009A4261" w:rsidRDefault="009A4261" w:rsidP="009A4261">
            <w:pPr>
              <w:pStyle w:val="ParagraphStyle9"/>
              <w:rPr>
                <w:rStyle w:val="CharacterStyle9"/>
                <w:i w:val="0"/>
              </w:rPr>
            </w:pPr>
            <w:r w:rsidRPr="009A4261">
              <w:rPr>
                <w:rStyle w:val="CharacterStyle9"/>
                <w:i w:val="0"/>
              </w:rPr>
              <w:t>70.000,00</w:t>
            </w:r>
          </w:p>
        </w:tc>
        <w:tc>
          <w:tcPr>
            <w:tcW w:w="1935" w:type="dxa"/>
            <w:tcBorders>
              <w:bottom w:val="single" w:sz="6" w:space="0" w:color="000000"/>
              <w:right w:val="single" w:sz="6" w:space="0" w:color="000000"/>
            </w:tcBorders>
            <w:vAlign w:val="center"/>
          </w:tcPr>
          <w:p w14:paraId="1D708993" w14:textId="77777777" w:rsidR="009A4261" w:rsidRPr="009A4261" w:rsidRDefault="009A4261" w:rsidP="009A4261">
            <w:pPr>
              <w:pStyle w:val="ParagraphStyle9"/>
              <w:rPr>
                <w:rStyle w:val="CharacterStyle9"/>
                <w:i w:val="0"/>
              </w:rPr>
            </w:pPr>
            <w:r w:rsidRPr="009A4261">
              <w:rPr>
                <w:rStyle w:val="CharacterStyle9"/>
                <w:i w:val="0"/>
              </w:rPr>
              <w:t>71.925,00</w:t>
            </w:r>
          </w:p>
        </w:tc>
        <w:tc>
          <w:tcPr>
            <w:tcW w:w="1935" w:type="dxa"/>
            <w:tcBorders>
              <w:bottom w:val="single" w:sz="6" w:space="0" w:color="000000"/>
              <w:right w:val="single" w:sz="6" w:space="0" w:color="000000"/>
            </w:tcBorders>
            <w:vAlign w:val="center"/>
          </w:tcPr>
          <w:p w14:paraId="015A9037" w14:textId="77777777" w:rsidR="009A4261" w:rsidRPr="009A4261" w:rsidRDefault="009A4261" w:rsidP="009A4261">
            <w:pPr>
              <w:pStyle w:val="ParagraphStyle9"/>
              <w:rPr>
                <w:rStyle w:val="CharacterStyle9"/>
                <w:i w:val="0"/>
              </w:rPr>
            </w:pPr>
            <w:r w:rsidRPr="009A4261">
              <w:rPr>
                <w:rStyle w:val="CharacterStyle9"/>
                <w:i w:val="0"/>
              </w:rPr>
              <w:t>72.625,00</w:t>
            </w:r>
          </w:p>
        </w:tc>
      </w:tr>
      <w:tr w:rsidR="009A4261" w14:paraId="03D142AF" w14:textId="77777777" w:rsidTr="009A4261">
        <w:trPr>
          <w:trHeight w:val="360"/>
        </w:trPr>
        <w:tc>
          <w:tcPr>
            <w:tcW w:w="5190" w:type="dxa"/>
            <w:tcBorders>
              <w:left w:val="single" w:sz="6" w:space="0" w:color="000000"/>
              <w:bottom w:val="single" w:sz="6" w:space="0" w:color="000000"/>
              <w:right w:val="single" w:sz="6" w:space="0" w:color="000000"/>
            </w:tcBorders>
            <w:vAlign w:val="center"/>
          </w:tcPr>
          <w:p w14:paraId="6C213DB3" w14:textId="77777777" w:rsidR="009A4261" w:rsidRPr="00EE3A4E" w:rsidRDefault="009A4261" w:rsidP="009A4261">
            <w:pPr>
              <w:pStyle w:val="ParagraphStyle7"/>
              <w:rPr>
                <w:rStyle w:val="CharacterStyle7"/>
              </w:rPr>
            </w:pPr>
            <w:r w:rsidRPr="00EE3A4E">
              <w:rPr>
                <w:rStyle w:val="CharacterStyle7"/>
              </w:rPr>
              <w:t>510 Programi Unije - proračunski korisnici</w:t>
            </w:r>
          </w:p>
        </w:tc>
        <w:tc>
          <w:tcPr>
            <w:tcW w:w="1920" w:type="dxa"/>
            <w:tcBorders>
              <w:bottom w:val="single" w:sz="6" w:space="0" w:color="000000"/>
              <w:right w:val="single" w:sz="6" w:space="0" w:color="000000"/>
            </w:tcBorders>
            <w:vAlign w:val="center"/>
          </w:tcPr>
          <w:p w14:paraId="5248DAB3" w14:textId="77777777" w:rsidR="009A4261" w:rsidRPr="009A4261" w:rsidRDefault="009A4261" w:rsidP="009A4261">
            <w:pPr>
              <w:pStyle w:val="ParagraphStyle8"/>
              <w:jc w:val="right"/>
              <w:rPr>
                <w:rStyle w:val="CharacterStyle8"/>
                <w:i w:val="0"/>
              </w:rPr>
            </w:pPr>
            <w:r w:rsidRPr="009A4261">
              <w:rPr>
                <w:rStyle w:val="CharacterStyle8"/>
                <w:i w:val="0"/>
              </w:rPr>
              <w:t>0,00</w:t>
            </w:r>
          </w:p>
        </w:tc>
        <w:tc>
          <w:tcPr>
            <w:tcW w:w="1935" w:type="dxa"/>
            <w:tcBorders>
              <w:bottom w:val="single" w:sz="6" w:space="0" w:color="000000"/>
              <w:right w:val="single" w:sz="6" w:space="0" w:color="000000"/>
            </w:tcBorders>
            <w:vAlign w:val="center"/>
          </w:tcPr>
          <w:p w14:paraId="4FFADF04" w14:textId="77777777" w:rsidR="009A4261" w:rsidRPr="009A4261" w:rsidRDefault="009A4261" w:rsidP="009A4261">
            <w:pPr>
              <w:pStyle w:val="ParagraphStyle8"/>
              <w:jc w:val="right"/>
              <w:rPr>
                <w:rStyle w:val="CharacterStyle8"/>
                <w:i w:val="0"/>
              </w:rPr>
            </w:pPr>
            <w:r w:rsidRPr="009A4261">
              <w:rPr>
                <w:rStyle w:val="CharacterStyle8"/>
                <w:i w:val="0"/>
              </w:rPr>
              <w:t>0,00</w:t>
            </w:r>
          </w:p>
        </w:tc>
        <w:tc>
          <w:tcPr>
            <w:tcW w:w="1935" w:type="dxa"/>
            <w:tcBorders>
              <w:bottom w:val="single" w:sz="6" w:space="0" w:color="000000"/>
              <w:right w:val="single" w:sz="6" w:space="0" w:color="000000"/>
            </w:tcBorders>
            <w:vAlign w:val="center"/>
          </w:tcPr>
          <w:p w14:paraId="664A7C0F" w14:textId="77777777" w:rsidR="009A4261" w:rsidRPr="009A4261" w:rsidRDefault="009A4261" w:rsidP="009A4261">
            <w:pPr>
              <w:pStyle w:val="ParagraphStyle9"/>
              <w:rPr>
                <w:rStyle w:val="CharacterStyle9"/>
                <w:i w:val="0"/>
              </w:rPr>
            </w:pPr>
            <w:r w:rsidRPr="009A4261">
              <w:rPr>
                <w:rStyle w:val="CharacterStyle9"/>
                <w:i w:val="0"/>
              </w:rPr>
              <w:t>70.000,00</w:t>
            </w:r>
          </w:p>
        </w:tc>
        <w:tc>
          <w:tcPr>
            <w:tcW w:w="1935" w:type="dxa"/>
            <w:tcBorders>
              <w:bottom w:val="single" w:sz="6" w:space="0" w:color="000000"/>
              <w:right w:val="single" w:sz="6" w:space="0" w:color="000000"/>
            </w:tcBorders>
            <w:vAlign w:val="center"/>
          </w:tcPr>
          <w:p w14:paraId="528642F6" w14:textId="77777777" w:rsidR="009A4261" w:rsidRPr="009A4261" w:rsidRDefault="009A4261" w:rsidP="009A4261">
            <w:pPr>
              <w:pStyle w:val="ParagraphStyle9"/>
              <w:rPr>
                <w:rStyle w:val="CharacterStyle9"/>
                <w:i w:val="0"/>
              </w:rPr>
            </w:pPr>
            <w:r w:rsidRPr="009A4261">
              <w:rPr>
                <w:rStyle w:val="CharacterStyle9"/>
                <w:i w:val="0"/>
              </w:rPr>
              <w:t>71.925,00</w:t>
            </w:r>
          </w:p>
        </w:tc>
        <w:tc>
          <w:tcPr>
            <w:tcW w:w="1935" w:type="dxa"/>
            <w:tcBorders>
              <w:bottom w:val="single" w:sz="6" w:space="0" w:color="000000"/>
              <w:right w:val="single" w:sz="6" w:space="0" w:color="000000"/>
            </w:tcBorders>
            <w:vAlign w:val="center"/>
          </w:tcPr>
          <w:p w14:paraId="03C3A658" w14:textId="77777777" w:rsidR="009A4261" w:rsidRPr="009A4261" w:rsidRDefault="009A4261" w:rsidP="009A4261">
            <w:pPr>
              <w:pStyle w:val="ParagraphStyle9"/>
              <w:rPr>
                <w:rStyle w:val="CharacterStyle9"/>
                <w:i w:val="0"/>
              </w:rPr>
            </w:pPr>
            <w:r w:rsidRPr="009A4261">
              <w:rPr>
                <w:rStyle w:val="CharacterStyle9"/>
                <w:i w:val="0"/>
              </w:rPr>
              <w:t>72.625,00</w:t>
            </w:r>
          </w:p>
        </w:tc>
      </w:tr>
      <w:tr w:rsidR="009A4261" w14:paraId="2A0F2638" w14:textId="77777777" w:rsidTr="009A4261">
        <w:trPr>
          <w:trHeight w:val="360"/>
        </w:trPr>
        <w:tc>
          <w:tcPr>
            <w:tcW w:w="5190" w:type="dxa"/>
            <w:tcBorders>
              <w:left w:val="single" w:sz="6" w:space="0" w:color="000000"/>
              <w:bottom w:val="single" w:sz="6" w:space="0" w:color="000000"/>
              <w:right w:val="single" w:sz="6" w:space="0" w:color="000000"/>
            </w:tcBorders>
            <w:vAlign w:val="center"/>
          </w:tcPr>
          <w:p w14:paraId="0DF7D658" w14:textId="77777777" w:rsidR="009A4261" w:rsidRPr="00EE3A4E" w:rsidRDefault="009A4261" w:rsidP="009A4261">
            <w:pPr>
              <w:pStyle w:val="ParagraphStyle7"/>
              <w:rPr>
                <w:rStyle w:val="CharacterStyle7"/>
              </w:rPr>
            </w:pPr>
            <w:r w:rsidRPr="00EE3A4E">
              <w:rPr>
                <w:rStyle w:val="CharacterStyle7"/>
              </w:rPr>
              <w:t>52 Ostale pomoći</w:t>
            </w:r>
          </w:p>
        </w:tc>
        <w:tc>
          <w:tcPr>
            <w:tcW w:w="1920" w:type="dxa"/>
            <w:tcBorders>
              <w:bottom w:val="single" w:sz="6" w:space="0" w:color="000000"/>
              <w:right w:val="single" w:sz="6" w:space="0" w:color="000000"/>
            </w:tcBorders>
            <w:vAlign w:val="center"/>
          </w:tcPr>
          <w:p w14:paraId="77E6AC3B" w14:textId="77777777" w:rsidR="009A4261" w:rsidRPr="009A4261" w:rsidRDefault="009A4261" w:rsidP="009A4261">
            <w:pPr>
              <w:pStyle w:val="ParagraphStyle8"/>
              <w:jc w:val="right"/>
              <w:rPr>
                <w:rStyle w:val="CharacterStyle8"/>
                <w:i w:val="0"/>
              </w:rPr>
            </w:pPr>
            <w:r w:rsidRPr="009A4261">
              <w:rPr>
                <w:rStyle w:val="CharacterStyle8"/>
                <w:i w:val="0"/>
              </w:rPr>
              <w:t>147.444,71</w:t>
            </w:r>
          </w:p>
        </w:tc>
        <w:tc>
          <w:tcPr>
            <w:tcW w:w="1935" w:type="dxa"/>
            <w:tcBorders>
              <w:bottom w:val="single" w:sz="6" w:space="0" w:color="000000"/>
              <w:right w:val="single" w:sz="6" w:space="0" w:color="000000"/>
            </w:tcBorders>
            <w:vAlign w:val="center"/>
          </w:tcPr>
          <w:p w14:paraId="676A5176" w14:textId="77777777" w:rsidR="009A4261" w:rsidRPr="009A4261" w:rsidRDefault="009A4261" w:rsidP="009A4261">
            <w:pPr>
              <w:pStyle w:val="ParagraphStyle8"/>
              <w:jc w:val="right"/>
              <w:rPr>
                <w:rStyle w:val="CharacterStyle8"/>
                <w:i w:val="0"/>
              </w:rPr>
            </w:pPr>
            <w:r w:rsidRPr="009A4261">
              <w:rPr>
                <w:rStyle w:val="CharacterStyle8"/>
                <w:i w:val="0"/>
              </w:rPr>
              <w:t>366.271,85</w:t>
            </w:r>
          </w:p>
        </w:tc>
        <w:tc>
          <w:tcPr>
            <w:tcW w:w="1935" w:type="dxa"/>
            <w:tcBorders>
              <w:bottom w:val="single" w:sz="6" w:space="0" w:color="000000"/>
              <w:right w:val="single" w:sz="6" w:space="0" w:color="000000"/>
            </w:tcBorders>
            <w:vAlign w:val="center"/>
          </w:tcPr>
          <w:p w14:paraId="74C409C9" w14:textId="77777777" w:rsidR="009A4261" w:rsidRPr="009A4261" w:rsidRDefault="009A4261" w:rsidP="009A4261">
            <w:pPr>
              <w:pStyle w:val="ParagraphStyle9"/>
              <w:rPr>
                <w:rStyle w:val="CharacterStyle9"/>
                <w:i w:val="0"/>
              </w:rPr>
            </w:pPr>
            <w:r w:rsidRPr="009A4261">
              <w:rPr>
                <w:rStyle w:val="CharacterStyle9"/>
                <w:i w:val="0"/>
              </w:rPr>
              <w:t>1.735.871,00</w:t>
            </w:r>
          </w:p>
        </w:tc>
        <w:tc>
          <w:tcPr>
            <w:tcW w:w="1935" w:type="dxa"/>
            <w:tcBorders>
              <w:bottom w:val="single" w:sz="6" w:space="0" w:color="000000"/>
              <w:right w:val="single" w:sz="6" w:space="0" w:color="000000"/>
            </w:tcBorders>
            <w:vAlign w:val="center"/>
          </w:tcPr>
          <w:p w14:paraId="1FB84FC5" w14:textId="77777777" w:rsidR="009A4261" w:rsidRPr="009A4261" w:rsidRDefault="009A4261" w:rsidP="009A4261">
            <w:pPr>
              <w:pStyle w:val="ParagraphStyle9"/>
              <w:rPr>
                <w:rStyle w:val="CharacterStyle9"/>
                <w:i w:val="0"/>
              </w:rPr>
            </w:pPr>
            <w:r w:rsidRPr="009A4261">
              <w:rPr>
                <w:rStyle w:val="CharacterStyle9"/>
                <w:i w:val="0"/>
              </w:rPr>
              <w:t>1.481.075,65</w:t>
            </w:r>
          </w:p>
        </w:tc>
        <w:tc>
          <w:tcPr>
            <w:tcW w:w="1935" w:type="dxa"/>
            <w:tcBorders>
              <w:bottom w:val="single" w:sz="6" w:space="0" w:color="000000"/>
              <w:right w:val="single" w:sz="6" w:space="0" w:color="000000"/>
            </w:tcBorders>
            <w:vAlign w:val="center"/>
          </w:tcPr>
          <w:p w14:paraId="7CD8F3D5" w14:textId="77777777" w:rsidR="009A4261" w:rsidRPr="009A4261" w:rsidRDefault="009A4261" w:rsidP="009A4261">
            <w:pPr>
              <w:pStyle w:val="ParagraphStyle9"/>
              <w:rPr>
                <w:rStyle w:val="CharacterStyle9"/>
                <w:i w:val="0"/>
              </w:rPr>
            </w:pPr>
            <w:r w:rsidRPr="009A4261">
              <w:rPr>
                <w:rStyle w:val="CharacterStyle9"/>
                <w:i w:val="0"/>
              </w:rPr>
              <w:t>1.498.280,69</w:t>
            </w:r>
          </w:p>
        </w:tc>
      </w:tr>
      <w:tr w:rsidR="009A4261" w14:paraId="3A5A5AA0" w14:textId="77777777" w:rsidTr="009A4261">
        <w:trPr>
          <w:trHeight w:val="360"/>
        </w:trPr>
        <w:tc>
          <w:tcPr>
            <w:tcW w:w="5190" w:type="dxa"/>
            <w:tcBorders>
              <w:left w:val="single" w:sz="6" w:space="0" w:color="000000"/>
              <w:bottom w:val="single" w:sz="6" w:space="0" w:color="000000"/>
              <w:right w:val="single" w:sz="6" w:space="0" w:color="000000"/>
            </w:tcBorders>
            <w:vAlign w:val="center"/>
          </w:tcPr>
          <w:p w14:paraId="223A054B" w14:textId="77777777" w:rsidR="009A4261" w:rsidRPr="00EE3A4E" w:rsidRDefault="009A4261" w:rsidP="009A4261">
            <w:pPr>
              <w:pStyle w:val="ParagraphStyle7"/>
              <w:rPr>
                <w:rStyle w:val="CharacterStyle7"/>
              </w:rPr>
            </w:pPr>
            <w:r w:rsidRPr="00EE3A4E">
              <w:rPr>
                <w:rStyle w:val="CharacterStyle7"/>
              </w:rPr>
              <w:t>53 Proračuni, drugi nivoi - za posebne i / ili ugovorene namjene</w:t>
            </w:r>
          </w:p>
        </w:tc>
        <w:tc>
          <w:tcPr>
            <w:tcW w:w="1920" w:type="dxa"/>
            <w:tcBorders>
              <w:bottom w:val="single" w:sz="6" w:space="0" w:color="000000"/>
              <w:right w:val="single" w:sz="6" w:space="0" w:color="000000"/>
            </w:tcBorders>
            <w:vAlign w:val="center"/>
          </w:tcPr>
          <w:p w14:paraId="26E9C4A5" w14:textId="77777777" w:rsidR="009A4261" w:rsidRPr="009A4261" w:rsidRDefault="009A4261" w:rsidP="009A4261">
            <w:pPr>
              <w:pStyle w:val="ParagraphStyle8"/>
              <w:jc w:val="right"/>
              <w:rPr>
                <w:rStyle w:val="CharacterStyle8"/>
                <w:i w:val="0"/>
              </w:rPr>
            </w:pPr>
            <w:r w:rsidRPr="009A4261">
              <w:rPr>
                <w:rStyle w:val="CharacterStyle8"/>
                <w:i w:val="0"/>
              </w:rPr>
              <w:t>451.094,75</w:t>
            </w:r>
          </w:p>
        </w:tc>
        <w:tc>
          <w:tcPr>
            <w:tcW w:w="1935" w:type="dxa"/>
            <w:tcBorders>
              <w:bottom w:val="single" w:sz="6" w:space="0" w:color="000000"/>
              <w:right w:val="single" w:sz="6" w:space="0" w:color="000000"/>
            </w:tcBorders>
            <w:vAlign w:val="center"/>
          </w:tcPr>
          <w:p w14:paraId="7129C2D5" w14:textId="77777777" w:rsidR="009A4261" w:rsidRPr="009A4261" w:rsidRDefault="009A4261" w:rsidP="009A4261">
            <w:pPr>
              <w:pStyle w:val="ParagraphStyle8"/>
              <w:jc w:val="right"/>
              <w:rPr>
                <w:rStyle w:val="CharacterStyle8"/>
                <w:i w:val="0"/>
              </w:rPr>
            </w:pPr>
            <w:r w:rsidRPr="009A4261">
              <w:rPr>
                <w:rStyle w:val="CharacterStyle8"/>
                <w:i w:val="0"/>
              </w:rPr>
              <w:t>2.173.924,16</w:t>
            </w:r>
          </w:p>
        </w:tc>
        <w:tc>
          <w:tcPr>
            <w:tcW w:w="1935" w:type="dxa"/>
            <w:tcBorders>
              <w:bottom w:val="single" w:sz="6" w:space="0" w:color="000000"/>
              <w:right w:val="single" w:sz="6" w:space="0" w:color="000000"/>
            </w:tcBorders>
            <w:vAlign w:val="center"/>
          </w:tcPr>
          <w:p w14:paraId="6A245DDD" w14:textId="77777777" w:rsidR="009A4261" w:rsidRPr="009A4261" w:rsidRDefault="009A4261" w:rsidP="009A4261">
            <w:pPr>
              <w:pStyle w:val="ParagraphStyle9"/>
              <w:rPr>
                <w:rStyle w:val="CharacterStyle9"/>
                <w:i w:val="0"/>
              </w:rPr>
            </w:pPr>
            <w:r w:rsidRPr="009A4261">
              <w:rPr>
                <w:rStyle w:val="CharacterStyle9"/>
                <w:i w:val="0"/>
              </w:rPr>
              <w:t>0,00</w:t>
            </w:r>
          </w:p>
        </w:tc>
        <w:tc>
          <w:tcPr>
            <w:tcW w:w="1935" w:type="dxa"/>
            <w:tcBorders>
              <w:bottom w:val="single" w:sz="6" w:space="0" w:color="000000"/>
              <w:right w:val="single" w:sz="6" w:space="0" w:color="000000"/>
            </w:tcBorders>
            <w:vAlign w:val="center"/>
          </w:tcPr>
          <w:p w14:paraId="1031C420" w14:textId="77777777" w:rsidR="009A4261" w:rsidRPr="009A4261" w:rsidRDefault="009A4261" w:rsidP="009A4261">
            <w:pPr>
              <w:pStyle w:val="ParagraphStyle9"/>
              <w:rPr>
                <w:rStyle w:val="CharacterStyle9"/>
                <w:i w:val="0"/>
              </w:rPr>
            </w:pPr>
            <w:r w:rsidRPr="009A4261">
              <w:rPr>
                <w:rStyle w:val="CharacterStyle9"/>
                <w:i w:val="0"/>
              </w:rPr>
              <w:t>0,00</w:t>
            </w:r>
          </w:p>
        </w:tc>
        <w:tc>
          <w:tcPr>
            <w:tcW w:w="1935" w:type="dxa"/>
            <w:tcBorders>
              <w:bottom w:val="single" w:sz="6" w:space="0" w:color="000000"/>
              <w:right w:val="single" w:sz="6" w:space="0" w:color="000000"/>
            </w:tcBorders>
            <w:vAlign w:val="center"/>
          </w:tcPr>
          <w:p w14:paraId="603DB51F" w14:textId="77777777" w:rsidR="009A4261" w:rsidRPr="009A4261" w:rsidRDefault="009A4261" w:rsidP="009A4261">
            <w:pPr>
              <w:pStyle w:val="ParagraphStyle9"/>
              <w:rPr>
                <w:rStyle w:val="CharacterStyle9"/>
                <w:i w:val="0"/>
              </w:rPr>
            </w:pPr>
            <w:r w:rsidRPr="009A4261">
              <w:rPr>
                <w:rStyle w:val="CharacterStyle9"/>
                <w:i w:val="0"/>
              </w:rPr>
              <w:t>0,00</w:t>
            </w:r>
          </w:p>
        </w:tc>
      </w:tr>
      <w:tr w:rsidR="009A4261" w14:paraId="7FCC9463" w14:textId="77777777" w:rsidTr="009A4261">
        <w:trPr>
          <w:trHeight w:val="360"/>
        </w:trPr>
        <w:tc>
          <w:tcPr>
            <w:tcW w:w="5190" w:type="dxa"/>
            <w:tcBorders>
              <w:left w:val="single" w:sz="6" w:space="0" w:color="000000"/>
              <w:bottom w:val="single" w:sz="6" w:space="0" w:color="000000"/>
              <w:right w:val="single" w:sz="6" w:space="0" w:color="000000"/>
            </w:tcBorders>
            <w:vAlign w:val="center"/>
          </w:tcPr>
          <w:p w14:paraId="37538956" w14:textId="77777777" w:rsidR="009A4261" w:rsidRPr="00EE3A4E" w:rsidRDefault="009A4261" w:rsidP="009A4261">
            <w:pPr>
              <w:pStyle w:val="ParagraphStyle7"/>
              <w:rPr>
                <w:rStyle w:val="CharacterStyle7"/>
              </w:rPr>
            </w:pPr>
            <w:r w:rsidRPr="00EE3A4E">
              <w:rPr>
                <w:rStyle w:val="CharacterStyle7"/>
              </w:rPr>
              <w:t>54 Pomoći tijela i fondova EU</w:t>
            </w:r>
          </w:p>
        </w:tc>
        <w:tc>
          <w:tcPr>
            <w:tcW w:w="1920" w:type="dxa"/>
            <w:tcBorders>
              <w:bottom w:val="single" w:sz="6" w:space="0" w:color="000000"/>
              <w:right w:val="single" w:sz="6" w:space="0" w:color="000000"/>
            </w:tcBorders>
            <w:vAlign w:val="center"/>
          </w:tcPr>
          <w:p w14:paraId="1AC88096" w14:textId="77777777" w:rsidR="009A4261" w:rsidRPr="009A4261" w:rsidRDefault="009A4261" w:rsidP="009A4261">
            <w:pPr>
              <w:pStyle w:val="ParagraphStyle8"/>
              <w:jc w:val="right"/>
              <w:rPr>
                <w:rStyle w:val="CharacterStyle8"/>
                <w:i w:val="0"/>
              </w:rPr>
            </w:pPr>
            <w:r w:rsidRPr="009A4261">
              <w:rPr>
                <w:rStyle w:val="CharacterStyle8"/>
                <w:i w:val="0"/>
              </w:rPr>
              <w:t>655.024,12</w:t>
            </w:r>
          </w:p>
        </w:tc>
        <w:tc>
          <w:tcPr>
            <w:tcW w:w="1935" w:type="dxa"/>
            <w:tcBorders>
              <w:bottom w:val="single" w:sz="6" w:space="0" w:color="000000"/>
              <w:right w:val="single" w:sz="6" w:space="0" w:color="000000"/>
            </w:tcBorders>
            <w:vAlign w:val="center"/>
          </w:tcPr>
          <w:p w14:paraId="18F9B3E4" w14:textId="77777777" w:rsidR="009A4261" w:rsidRPr="009A4261" w:rsidRDefault="009A4261" w:rsidP="009A4261">
            <w:pPr>
              <w:pStyle w:val="ParagraphStyle8"/>
              <w:jc w:val="right"/>
              <w:rPr>
                <w:rStyle w:val="CharacterStyle8"/>
                <w:i w:val="0"/>
              </w:rPr>
            </w:pPr>
            <w:r w:rsidRPr="009A4261">
              <w:rPr>
                <w:rStyle w:val="CharacterStyle8"/>
                <w:i w:val="0"/>
              </w:rPr>
              <w:t>6.459.995,81</w:t>
            </w:r>
          </w:p>
        </w:tc>
        <w:tc>
          <w:tcPr>
            <w:tcW w:w="1935" w:type="dxa"/>
            <w:tcBorders>
              <w:bottom w:val="single" w:sz="6" w:space="0" w:color="000000"/>
              <w:right w:val="single" w:sz="6" w:space="0" w:color="000000"/>
            </w:tcBorders>
            <w:vAlign w:val="center"/>
          </w:tcPr>
          <w:p w14:paraId="3E76EA8D" w14:textId="77777777" w:rsidR="009A4261" w:rsidRPr="009A4261" w:rsidRDefault="009A4261" w:rsidP="009A4261">
            <w:pPr>
              <w:pStyle w:val="ParagraphStyle9"/>
              <w:rPr>
                <w:rStyle w:val="CharacterStyle9"/>
                <w:i w:val="0"/>
              </w:rPr>
            </w:pPr>
            <w:r w:rsidRPr="009A4261">
              <w:rPr>
                <w:rStyle w:val="CharacterStyle9"/>
                <w:i w:val="0"/>
              </w:rPr>
              <w:t>0,00</w:t>
            </w:r>
          </w:p>
        </w:tc>
        <w:tc>
          <w:tcPr>
            <w:tcW w:w="1935" w:type="dxa"/>
            <w:tcBorders>
              <w:bottom w:val="single" w:sz="6" w:space="0" w:color="000000"/>
              <w:right w:val="single" w:sz="6" w:space="0" w:color="000000"/>
            </w:tcBorders>
            <w:vAlign w:val="center"/>
          </w:tcPr>
          <w:p w14:paraId="7310E9F4" w14:textId="77777777" w:rsidR="009A4261" w:rsidRPr="009A4261" w:rsidRDefault="009A4261" w:rsidP="009A4261">
            <w:pPr>
              <w:pStyle w:val="ParagraphStyle9"/>
              <w:rPr>
                <w:rStyle w:val="CharacterStyle9"/>
                <w:i w:val="0"/>
              </w:rPr>
            </w:pPr>
            <w:r w:rsidRPr="009A4261">
              <w:rPr>
                <w:rStyle w:val="CharacterStyle9"/>
                <w:i w:val="0"/>
              </w:rPr>
              <w:t>0,00</w:t>
            </w:r>
          </w:p>
        </w:tc>
        <w:tc>
          <w:tcPr>
            <w:tcW w:w="1935" w:type="dxa"/>
            <w:tcBorders>
              <w:bottom w:val="single" w:sz="6" w:space="0" w:color="000000"/>
              <w:right w:val="single" w:sz="6" w:space="0" w:color="000000"/>
            </w:tcBorders>
            <w:vAlign w:val="center"/>
          </w:tcPr>
          <w:p w14:paraId="6AEC2176" w14:textId="77777777" w:rsidR="009A4261" w:rsidRPr="009A4261" w:rsidRDefault="009A4261" w:rsidP="009A4261">
            <w:pPr>
              <w:pStyle w:val="ParagraphStyle9"/>
              <w:rPr>
                <w:rStyle w:val="CharacterStyle9"/>
                <w:i w:val="0"/>
              </w:rPr>
            </w:pPr>
            <w:r w:rsidRPr="009A4261">
              <w:rPr>
                <w:rStyle w:val="CharacterStyle9"/>
                <w:i w:val="0"/>
              </w:rPr>
              <w:t>0,00</w:t>
            </w:r>
          </w:p>
        </w:tc>
      </w:tr>
      <w:tr w:rsidR="009A4261" w14:paraId="05F5683F" w14:textId="77777777" w:rsidTr="009A4261">
        <w:trPr>
          <w:trHeight w:val="360"/>
        </w:trPr>
        <w:tc>
          <w:tcPr>
            <w:tcW w:w="5190" w:type="dxa"/>
            <w:tcBorders>
              <w:left w:val="single" w:sz="6" w:space="0" w:color="000000"/>
              <w:bottom w:val="single" w:sz="6" w:space="0" w:color="000000"/>
              <w:right w:val="single" w:sz="6" w:space="0" w:color="000000"/>
            </w:tcBorders>
            <w:vAlign w:val="center"/>
          </w:tcPr>
          <w:p w14:paraId="6665A927" w14:textId="77777777" w:rsidR="009A4261" w:rsidRPr="00EE3A4E" w:rsidRDefault="009A4261" w:rsidP="009A4261">
            <w:pPr>
              <w:pStyle w:val="ParagraphStyle7"/>
              <w:rPr>
                <w:rStyle w:val="CharacterStyle7"/>
              </w:rPr>
            </w:pPr>
            <w:r w:rsidRPr="00EE3A4E">
              <w:rPr>
                <w:rStyle w:val="CharacterStyle7"/>
              </w:rPr>
              <w:t>55 Pomoći iz inozemstva</w:t>
            </w:r>
          </w:p>
        </w:tc>
        <w:tc>
          <w:tcPr>
            <w:tcW w:w="1920" w:type="dxa"/>
            <w:tcBorders>
              <w:bottom w:val="single" w:sz="6" w:space="0" w:color="000000"/>
              <w:right w:val="single" w:sz="6" w:space="0" w:color="000000"/>
            </w:tcBorders>
            <w:vAlign w:val="center"/>
          </w:tcPr>
          <w:p w14:paraId="65171B80" w14:textId="77777777" w:rsidR="009A4261" w:rsidRPr="009A4261" w:rsidRDefault="009A4261" w:rsidP="009A4261">
            <w:pPr>
              <w:pStyle w:val="ParagraphStyle8"/>
              <w:jc w:val="right"/>
              <w:rPr>
                <w:rStyle w:val="CharacterStyle8"/>
                <w:i w:val="0"/>
              </w:rPr>
            </w:pPr>
            <w:r w:rsidRPr="009A4261">
              <w:rPr>
                <w:rStyle w:val="CharacterStyle8"/>
                <w:i w:val="0"/>
              </w:rPr>
              <w:t>0,00</w:t>
            </w:r>
          </w:p>
        </w:tc>
        <w:tc>
          <w:tcPr>
            <w:tcW w:w="1935" w:type="dxa"/>
            <w:tcBorders>
              <w:bottom w:val="single" w:sz="6" w:space="0" w:color="000000"/>
              <w:right w:val="single" w:sz="6" w:space="0" w:color="000000"/>
            </w:tcBorders>
            <w:vAlign w:val="center"/>
          </w:tcPr>
          <w:p w14:paraId="4286F1A4" w14:textId="77777777" w:rsidR="009A4261" w:rsidRPr="009A4261" w:rsidRDefault="009A4261" w:rsidP="009A4261">
            <w:pPr>
              <w:pStyle w:val="ParagraphStyle8"/>
              <w:jc w:val="right"/>
              <w:rPr>
                <w:rStyle w:val="CharacterStyle8"/>
                <w:i w:val="0"/>
              </w:rPr>
            </w:pPr>
            <w:r w:rsidRPr="009A4261">
              <w:rPr>
                <w:rStyle w:val="CharacterStyle8"/>
                <w:i w:val="0"/>
              </w:rPr>
              <w:t>28.411,00</w:t>
            </w:r>
          </w:p>
        </w:tc>
        <w:tc>
          <w:tcPr>
            <w:tcW w:w="1935" w:type="dxa"/>
            <w:tcBorders>
              <w:bottom w:val="single" w:sz="6" w:space="0" w:color="000000"/>
              <w:right w:val="single" w:sz="6" w:space="0" w:color="000000"/>
            </w:tcBorders>
            <w:vAlign w:val="center"/>
          </w:tcPr>
          <w:p w14:paraId="4DF0E8E2" w14:textId="77777777" w:rsidR="009A4261" w:rsidRPr="009A4261" w:rsidRDefault="009A4261" w:rsidP="009A4261">
            <w:pPr>
              <w:pStyle w:val="ParagraphStyle9"/>
              <w:rPr>
                <w:rStyle w:val="CharacterStyle9"/>
                <w:i w:val="0"/>
              </w:rPr>
            </w:pPr>
            <w:r w:rsidRPr="009A4261">
              <w:rPr>
                <w:rStyle w:val="CharacterStyle9"/>
                <w:i w:val="0"/>
              </w:rPr>
              <w:t>0,00</w:t>
            </w:r>
          </w:p>
        </w:tc>
        <w:tc>
          <w:tcPr>
            <w:tcW w:w="1935" w:type="dxa"/>
            <w:tcBorders>
              <w:bottom w:val="single" w:sz="6" w:space="0" w:color="000000"/>
              <w:right w:val="single" w:sz="6" w:space="0" w:color="000000"/>
            </w:tcBorders>
            <w:vAlign w:val="center"/>
          </w:tcPr>
          <w:p w14:paraId="2E230ACE" w14:textId="77777777" w:rsidR="009A4261" w:rsidRPr="009A4261" w:rsidRDefault="009A4261" w:rsidP="009A4261">
            <w:pPr>
              <w:pStyle w:val="ParagraphStyle9"/>
              <w:rPr>
                <w:rStyle w:val="CharacterStyle9"/>
                <w:i w:val="0"/>
              </w:rPr>
            </w:pPr>
            <w:r w:rsidRPr="009A4261">
              <w:rPr>
                <w:rStyle w:val="CharacterStyle9"/>
                <w:i w:val="0"/>
              </w:rPr>
              <w:t>0,00</w:t>
            </w:r>
          </w:p>
        </w:tc>
        <w:tc>
          <w:tcPr>
            <w:tcW w:w="1935" w:type="dxa"/>
            <w:tcBorders>
              <w:bottom w:val="single" w:sz="6" w:space="0" w:color="000000"/>
              <w:right w:val="single" w:sz="6" w:space="0" w:color="000000"/>
            </w:tcBorders>
            <w:vAlign w:val="center"/>
          </w:tcPr>
          <w:p w14:paraId="11625F79" w14:textId="77777777" w:rsidR="009A4261" w:rsidRPr="009A4261" w:rsidRDefault="009A4261" w:rsidP="009A4261">
            <w:pPr>
              <w:pStyle w:val="ParagraphStyle9"/>
              <w:rPr>
                <w:rStyle w:val="CharacterStyle9"/>
                <w:i w:val="0"/>
              </w:rPr>
            </w:pPr>
            <w:r w:rsidRPr="009A4261">
              <w:rPr>
                <w:rStyle w:val="CharacterStyle9"/>
                <w:i w:val="0"/>
              </w:rPr>
              <w:t>0,00</w:t>
            </w:r>
          </w:p>
        </w:tc>
      </w:tr>
      <w:tr w:rsidR="009A4261" w14:paraId="46530A11" w14:textId="77777777" w:rsidTr="009A4261">
        <w:trPr>
          <w:trHeight w:val="360"/>
        </w:trPr>
        <w:tc>
          <w:tcPr>
            <w:tcW w:w="5190" w:type="dxa"/>
            <w:tcBorders>
              <w:left w:val="single" w:sz="6" w:space="0" w:color="000000"/>
              <w:bottom w:val="single" w:sz="6" w:space="0" w:color="000000"/>
              <w:right w:val="single" w:sz="6" w:space="0" w:color="000000"/>
            </w:tcBorders>
            <w:vAlign w:val="center"/>
          </w:tcPr>
          <w:p w14:paraId="32ACF0B6" w14:textId="77777777" w:rsidR="009A4261" w:rsidRPr="00EE3A4E" w:rsidRDefault="009A4261" w:rsidP="009A4261">
            <w:pPr>
              <w:pStyle w:val="ParagraphStyle7"/>
              <w:rPr>
                <w:rStyle w:val="CharacterStyle7"/>
              </w:rPr>
            </w:pPr>
            <w:r w:rsidRPr="00EE3A4E">
              <w:rPr>
                <w:rStyle w:val="CharacterStyle7"/>
              </w:rPr>
              <w:t>56 Fondovi EU</w:t>
            </w:r>
          </w:p>
        </w:tc>
        <w:tc>
          <w:tcPr>
            <w:tcW w:w="1920" w:type="dxa"/>
            <w:tcBorders>
              <w:bottom w:val="single" w:sz="6" w:space="0" w:color="000000"/>
              <w:right w:val="single" w:sz="6" w:space="0" w:color="000000"/>
            </w:tcBorders>
            <w:vAlign w:val="center"/>
          </w:tcPr>
          <w:p w14:paraId="2F9B35F5" w14:textId="77777777" w:rsidR="009A4261" w:rsidRPr="009A4261" w:rsidRDefault="009A4261" w:rsidP="009A4261">
            <w:pPr>
              <w:pStyle w:val="ParagraphStyle8"/>
              <w:jc w:val="right"/>
              <w:rPr>
                <w:rStyle w:val="CharacterStyle8"/>
                <w:i w:val="0"/>
              </w:rPr>
            </w:pPr>
            <w:r w:rsidRPr="009A4261">
              <w:rPr>
                <w:rStyle w:val="CharacterStyle8"/>
                <w:i w:val="0"/>
              </w:rPr>
              <w:t>0,00</w:t>
            </w:r>
          </w:p>
        </w:tc>
        <w:tc>
          <w:tcPr>
            <w:tcW w:w="1935" w:type="dxa"/>
            <w:tcBorders>
              <w:bottom w:val="single" w:sz="6" w:space="0" w:color="000000"/>
              <w:right w:val="single" w:sz="6" w:space="0" w:color="000000"/>
            </w:tcBorders>
            <w:vAlign w:val="center"/>
          </w:tcPr>
          <w:p w14:paraId="7071C88D" w14:textId="77777777" w:rsidR="009A4261" w:rsidRPr="009A4261" w:rsidRDefault="009A4261" w:rsidP="009A4261">
            <w:pPr>
              <w:pStyle w:val="ParagraphStyle8"/>
              <w:jc w:val="right"/>
              <w:rPr>
                <w:rStyle w:val="CharacterStyle8"/>
                <w:i w:val="0"/>
              </w:rPr>
            </w:pPr>
            <w:r w:rsidRPr="009A4261">
              <w:rPr>
                <w:rStyle w:val="CharacterStyle8"/>
                <w:i w:val="0"/>
              </w:rPr>
              <w:t>0,00</w:t>
            </w:r>
          </w:p>
        </w:tc>
        <w:tc>
          <w:tcPr>
            <w:tcW w:w="1935" w:type="dxa"/>
            <w:tcBorders>
              <w:bottom w:val="single" w:sz="6" w:space="0" w:color="000000"/>
              <w:right w:val="single" w:sz="6" w:space="0" w:color="000000"/>
            </w:tcBorders>
            <w:vAlign w:val="center"/>
          </w:tcPr>
          <w:p w14:paraId="5827AD2D" w14:textId="77777777" w:rsidR="009A4261" w:rsidRPr="009A4261" w:rsidRDefault="009A4261" w:rsidP="009A4261">
            <w:pPr>
              <w:pStyle w:val="ParagraphStyle9"/>
              <w:rPr>
                <w:rStyle w:val="CharacterStyle9"/>
                <w:i w:val="0"/>
              </w:rPr>
            </w:pPr>
            <w:r w:rsidRPr="009A4261">
              <w:rPr>
                <w:rStyle w:val="CharacterStyle9"/>
                <w:i w:val="0"/>
              </w:rPr>
              <w:t>383.910,00</w:t>
            </w:r>
          </w:p>
        </w:tc>
        <w:tc>
          <w:tcPr>
            <w:tcW w:w="1935" w:type="dxa"/>
            <w:tcBorders>
              <w:bottom w:val="single" w:sz="6" w:space="0" w:color="000000"/>
              <w:right w:val="single" w:sz="6" w:space="0" w:color="000000"/>
            </w:tcBorders>
            <w:vAlign w:val="center"/>
          </w:tcPr>
          <w:p w14:paraId="052B7D2E" w14:textId="77777777" w:rsidR="009A4261" w:rsidRPr="009A4261" w:rsidRDefault="009A4261" w:rsidP="009A4261">
            <w:pPr>
              <w:pStyle w:val="ParagraphStyle9"/>
              <w:rPr>
                <w:rStyle w:val="CharacterStyle9"/>
                <w:i w:val="0"/>
              </w:rPr>
            </w:pPr>
            <w:r w:rsidRPr="009A4261">
              <w:rPr>
                <w:rStyle w:val="CharacterStyle9"/>
                <w:i w:val="0"/>
              </w:rPr>
              <w:t>396.862,53</w:t>
            </w:r>
          </w:p>
        </w:tc>
        <w:tc>
          <w:tcPr>
            <w:tcW w:w="1935" w:type="dxa"/>
            <w:tcBorders>
              <w:bottom w:val="single" w:sz="6" w:space="0" w:color="000000"/>
              <w:right w:val="single" w:sz="6" w:space="0" w:color="000000"/>
            </w:tcBorders>
            <w:vAlign w:val="center"/>
          </w:tcPr>
          <w:p w14:paraId="706DFB6A" w14:textId="77777777" w:rsidR="009A4261" w:rsidRPr="009A4261" w:rsidRDefault="009A4261" w:rsidP="009A4261">
            <w:pPr>
              <w:pStyle w:val="ParagraphStyle9"/>
              <w:rPr>
                <w:rStyle w:val="CharacterStyle9"/>
                <w:i w:val="0"/>
              </w:rPr>
            </w:pPr>
            <w:r w:rsidRPr="009A4261">
              <w:rPr>
                <w:rStyle w:val="CharacterStyle9"/>
                <w:i w:val="0"/>
              </w:rPr>
              <w:t>400.781,63</w:t>
            </w:r>
          </w:p>
        </w:tc>
      </w:tr>
      <w:tr w:rsidR="009A4261" w14:paraId="55108534" w14:textId="77777777" w:rsidTr="009A4261">
        <w:trPr>
          <w:trHeight w:val="360"/>
        </w:trPr>
        <w:tc>
          <w:tcPr>
            <w:tcW w:w="5190" w:type="dxa"/>
            <w:tcBorders>
              <w:left w:val="single" w:sz="6" w:space="0" w:color="000000"/>
              <w:bottom w:val="single" w:sz="6" w:space="0" w:color="000000"/>
              <w:right w:val="single" w:sz="6" w:space="0" w:color="000000"/>
            </w:tcBorders>
            <w:vAlign w:val="center"/>
          </w:tcPr>
          <w:p w14:paraId="7AB6120D" w14:textId="77777777" w:rsidR="009A4261" w:rsidRPr="00EE3A4E" w:rsidRDefault="009A4261" w:rsidP="009A4261">
            <w:pPr>
              <w:pStyle w:val="ParagraphStyle7"/>
              <w:rPr>
                <w:rStyle w:val="CharacterStyle7"/>
              </w:rPr>
            </w:pPr>
            <w:r w:rsidRPr="00EE3A4E">
              <w:rPr>
                <w:rStyle w:val="CharacterStyle7"/>
              </w:rPr>
              <w:t>561 Europski socijalni fond plus</w:t>
            </w:r>
          </w:p>
        </w:tc>
        <w:tc>
          <w:tcPr>
            <w:tcW w:w="1920" w:type="dxa"/>
            <w:tcBorders>
              <w:bottom w:val="single" w:sz="6" w:space="0" w:color="000000"/>
              <w:right w:val="single" w:sz="6" w:space="0" w:color="000000"/>
            </w:tcBorders>
            <w:vAlign w:val="center"/>
          </w:tcPr>
          <w:p w14:paraId="35DF81CC" w14:textId="77777777" w:rsidR="009A4261" w:rsidRPr="009A4261" w:rsidRDefault="009A4261" w:rsidP="009A4261">
            <w:pPr>
              <w:pStyle w:val="ParagraphStyle8"/>
              <w:jc w:val="right"/>
              <w:rPr>
                <w:rStyle w:val="CharacterStyle8"/>
                <w:i w:val="0"/>
              </w:rPr>
            </w:pPr>
            <w:r w:rsidRPr="009A4261">
              <w:rPr>
                <w:rStyle w:val="CharacterStyle8"/>
                <w:i w:val="0"/>
              </w:rPr>
              <w:t>0,00</w:t>
            </w:r>
          </w:p>
        </w:tc>
        <w:tc>
          <w:tcPr>
            <w:tcW w:w="1935" w:type="dxa"/>
            <w:tcBorders>
              <w:bottom w:val="single" w:sz="6" w:space="0" w:color="000000"/>
              <w:right w:val="single" w:sz="6" w:space="0" w:color="000000"/>
            </w:tcBorders>
            <w:vAlign w:val="center"/>
          </w:tcPr>
          <w:p w14:paraId="5A83395D" w14:textId="77777777" w:rsidR="009A4261" w:rsidRPr="009A4261" w:rsidRDefault="009A4261" w:rsidP="009A4261">
            <w:pPr>
              <w:pStyle w:val="ParagraphStyle8"/>
              <w:jc w:val="right"/>
              <w:rPr>
                <w:rStyle w:val="CharacterStyle8"/>
                <w:i w:val="0"/>
              </w:rPr>
            </w:pPr>
            <w:r w:rsidRPr="009A4261">
              <w:rPr>
                <w:rStyle w:val="CharacterStyle8"/>
                <w:i w:val="0"/>
              </w:rPr>
              <w:t>0,00</w:t>
            </w:r>
          </w:p>
        </w:tc>
        <w:tc>
          <w:tcPr>
            <w:tcW w:w="1935" w:type="dxa"/>
            <w:tcBorders>
              <w:bottom w:val="single" w:sz="6" w:space="0" w:color="000000"/>
              <w:right w:val="single" w:sz="6" w:space="0" w:color="000000"/>
            </w:tcBorders>
            <w:vAlign w:val="center"/>
          </w:tcPr>
          <w:p w14:paraId="773C7ED9" w14:textId="77777777" w:rsidR="009A4261" w:rsidRPr="009A4261" w:rsidRDefault="009A4261" w:rsidP="009A4261">
            <w:pPr>
              <w:pStyle w:val="ParagraphStyle9"/>
              <w:rPr>
                <w:rStyle w:val="CharacterStyle9"/>
                <w:i w:val="0"/>
              </w:rPr>
            </w:pPr>
            <w:r w:rsidRPr="009A4261">
              <w:rPr>
                <w:rStyle w:val="CharacterStyle9"/>
                <w:i w:val="0"/>
              </w:rPr>
              <w:t>383.910,00</w:t>
            </w:r>
          </w:p>
        </w:tc>
        <w:tc>
          <w:tcPr>
            <w:tcW w:w="1935" w:type="dxa"/>
            <w:tcBorders>
              <w:bottom w:val="single" w:sz="6" w:space="0" w:color="000000"/>
              <w:right w:val="single" w:sz="6" w:space="0" w:color="000000"/>
            </w:tcBorders>
            <w:vAlign w:val="center"/>
          </w:tcPr>
          <w:p w14:paraId="66DB3168" w14:textId="77777777" w:rsidR="009A4261" w:rsidRPr="009A4261" w:rsidRDefault="009A4261" w:rsidP="009A4261">
            <w:pPr>
              <w:pStyle w:val="ParagraphStyle9"/>
              <w:rPr>
                <w:rStyle w:val="CharacterStyle9"/>
                <w:i w:val="0"/>
              </w:rPr>
            </w:pPr>
            <w:r w:rsidRPr="009A4261">
              <w:rPr>
                <w:rStyle w:val="CharacterStyle9"/>
                <w:i w:val="0"/>
              </w:rPr>
              <w:t>396.862,53</w:t>
            </w:r>
          </w:p>
        </w:tc>
        <w:tc>
          <w:tcPr>
            <w:tcW w:w="1935" w:type="dxa"/>
            <w:tcBorders>
              <w:bottom w:val="single" w:sz="6" w:space="0" w:color="000000"/>
              <w:right w:val="single" w:sz="6" w:space="0" w:color="000000"/>
            </w:tcBorders>
            <w:vAlign w:val="center"/>
          </w:tcPr>
          <w:p w14:paraId="02035640" w14:textId="77777777" w:rsidR="009A4261" w:rsidRPr="009A4261" w:rsidRDefault="009A4261" w:rsidP="009A4261">
            <w:pPr>
              <w:pStyle w:val="ParagraphStyle9"/>
              <w:rPr>
                <w:rStyle w:val="CharacterStyle9"/>
                <w:i w:val="0"/>
              </w:rPr>
            </w:pPr>
            <w:r w:rsidRPr="009A4261">
              <w:rPr>
                <w:rStyle w:val="CharacterStyle9"/>
                <w:i w:val="0"/>
              </w:rPr>
              <w:t>400.781,63</w:t>
            </w:r>
          </w:p>
        </w:tc>
      </w:tr>
      <w:tr w:rsidR="009A4261" w14:paraId="26DF1EEE" w14:textId="77777777" w:rsidTr="009A4261">
        <w:trPr>
          <w:trHeight w:val="360"/>
        </w:trPr>
        <w:tc>
          <w:tcPr>
            <w:tcW w:w="5190" w:type="dxa"/>
            <w:tcBorders>
              <w:left w:val="single" w:sz="6" w:space="0" w:color="000000"/>
              <w:bottom w:val="single" w:sz="6" w:space="0" w:color="000000"/>
              <w:right w:val="single" w:sz="6" w:space="0" w:color="000000"/>
            </w:tcBorders>
            <w:vAlign w:val="center"/>
          </w:tcPr>
          <w:p w14:paraId="75D2FF52" w14:textId="77777777" w:rsidR="009A4261" w:rsidRPr="00EE3A4E" w:rsidRDefault="009A4261" w:rsidP="009A4261">
            <w:pPr>
              <w:pStyle w:val="ParagraphStyle7"/>
              <w:rPr>
                <w:rStyle w:val="CharacterStyle7"/>
              </w:rPr>
            </w:pPr>
            <w:r w:rsidRPr="00EE3A4E">
              <w:rPr>
                <w:rStyle w:val="CharacterStyle7"/>
              </w:rPr>
              <w:t>58 Instrumenti EU nove generacije</w:t>
            </w:r>
          </w:p>
        </w:tc>
        <w:tc>
          <w:tcPr>
            <w:tcW w:w="1920" w:type="dxa"/>
            <w:tcBorders>
              <w:bottom w:val="single" w:sz="6" w:space="0" w:color="000000"/>
              <w:right w:val="single" w:sz="6" w:space="0" w:color="000000"/>
            </w:tcBorders>
            <w:vAlign w:val="center"/>
          </w:tcPr>
          <w:p w14:paraId="3A99DF0E" w14:textId="77777777" w:rsidR="009A4261" w:rsidRPr="009A4261" w:rsidRDefault="009A4261" w:rsidP="009A4261">
            <w:pPr>
              <w:pStyle w:val="ParagraphStyle8"/>
              <w:jc w:val="right"/>
              <w:rPr>
                <w:rStyle w:val="CharacterStyle8"/>
                <w:i w:val="0"/>
              </w:rPr>
            </w:pPr>
            <w:r w:rsidRPr="009A4261">
              <w:rPr>
                <w:rStyle w:val="CharacterStyle8"/>
                <w:i w:val="0"/>
              </w:rPr>
              <w:t>0,00</w:t>
            </w:r>
          </w:p>
        </w:tc>
        <w:tc>
          <w:tcPr>
            <w:tcW w:w="1935" w:type="dxa"/>
            <w:tcBorders>
              <w:bottom w:val="single" w:sz="6" w:space="0" w:color="000000"/>
              <w:right w:val="single" w:sz="6" w:space="0" w:color="000000"/>
            </w:tcBorders>
            <w:vAlign w:val="center"/>
          </w:tcPr>
          <w:p w14:paraId="3C0EF613" w14:textId="77777777" w:rsidR="009A4261" w:rsidRPr="009A4261" w:rsidRDefault="009A4261" w:rsidP="009A4261">
            <w:pPr>
              <w:pStyle w:val="ParagraphStyle8"/>
              <w:jc w:val="right"/>
              <w:rPr>
                <w:rStyle w:val="CharacterStyle8"/>
                <w:i w:val="0"/>
              </w:rPr>
            </w:pPr>
            <w:r w:rsidRPr="009A4261">
              <w:rPr>
                <w:rStyle w:val="CharacterStyle8"/>
                <w:i w:val="0"/>
              </w:rPr>
              <w:t>0,00</w:t>
            </w:r>
          </w:p>
        </w:tc>
        <w:tc>
          <w:tcPr>
            <w:tcW w:w="1935" w:type="dxa"/>
            <w:tcBorders>
              <w:bottom w:val="single" w:sz="6" w:space="0" w:color="000000"/>
              <w:right w:val="single" w:sz="6" w:space="0" w:color="000000"/>
            </w:tcBorders>
            <w:vAlign w:val="center"/>
          </w:tcPr>
          <w:p w14:paraId="25031683" w14:textId="77777777" w:rsidR="009A4261" w:rsidRPr="009A4261" w:rsidRDefault="009A4261" w:rsidP="009A4261">
            <w:pPr>
              <w:pStyle w:val="ParagraphStyle9"/>
              <w:rPr>
                <w:rStyle w:val="CharacterStyle9"/>
                <w:i w:val="0"/>
              </w:rPr>
            </w:pPr>
            <w:r w:rsidRPr="009A4261">
              <w:rPr>
                <w:rStyle w:val="CharacterStyle9"/>
                <w:i w:val="0"/>
              </w:rPr>
              <w:t>9.264.509,94</w:t>
            </w:r>
          </w:p>
        </w:tc>
        <w:tc>
          <w:tcPr>
            <w:tcW w:w="1935" w:type="dxa"/>
            <w:tcBorders>
              <w:bottom w:val="single" w:sz="6" w:space="0" w:color="000000"/>
              <w:right w:val="single" w:sz="6" w:space="0" w:color="000000"/>
            </w:tcBorders>
            <w:vAlign w:val="center"/>
          </w:tcPr>
          <w:p w14:paraId="028370BE" w14:textId="77777777" w:rsidR="009A4261" w:rsidRPr="009A4261" w:rsidRDefault="009A4261" w:rsidP="009A4261">
            <w:pPr>
              <w:pStyle w:val="ParagraphStyle9"/>
              <w:rPr>
                <w:rStyle w:val="CharacterStyle9"/>
                <w:i w:val="0"/>
              </w:rPr>
            </w:pPr>
            <w:r w:rsidRPr="009A4261">
              <w:rPr>
                <w:rStyle w:val="CharacterStyle9"/>
                <w:i w:val="0"/>
              </w:rPr>
              <w:t>0,00</w:t>
            </w:r>
          </w:p>
        </w:tc>
        <w:tc>
          <w:tcPr>
            <w:tcW w:w="1935" w:type="dxa"/>
            <w:tcBorders>
              <w:bottom w:val="single" w:sz="6" w:space="0" w:color="000000"/>
              <w:right w:val="single" w:sz="6" w:space="0" w:color="000000"/>
            </w:tcBorders>
            <w:vAlign w:val="center"/>
          </w:tcPr>
          <w:p w14:paraId="0788D1A3" w14:textId="77777777" w:rsidR="009A4261" w:rsidRPr="009A4261" w:rsidRDefault="009A4261" w:rsidP="009A4261">
            <w:pPr>
              <w:pStyle w:val="ParagraphStyle9"/>
              <w:rPr>
                <w:rStyle w:val="CharacterStyle9"/>
                <w:i w:val="0"/>
              </w:rPr>
            </w:pPr>
            <w:r w:rsidRPr="009A4261">
              <w:rPr>
                <w:rStyle w:val="CharacterStyle9"/>
                <w:i w:val="0"/>
              </w:rPr>
              <w:t>0,00</w:t>
            </w:r>
          </w:p>
        </w:tc>
      </w:tr>
      <w:tr w:rsidR="009A4261" w14:paraId="77E853AF" w14:textId="77777777" w:rsidTr="009A4261">
        <w:trPr>
          <w:trHeight w:val="360"/>
        </w:trPr>
        <w:tc>
          <w:tcPr>
            <w:tcW w:w="5190" w:type="dxa"/>
            <w:tcBorders>
              <w:left w:val="single" w:sz="6" w:space="0" w:color="000000"/>
              <w:bottom w:val="single" w:sz="6" w:space="0" w:color="000000"/>
              <w:right w:val="single" w:sz="6" w:space="0" w:color="000000"/>
            </w:tcBorders>
            <w:vAlign w:val="center"/>
          </w:tcPr>
          <w:p w14:paraId="58B24A38" w14:textId="77777777" w:rsidR="009A4261" w:rsidRPr="00EE3A4E" w:rsidRDefault="009A4261" w:rsidP="009A4261">
            <w:pPr>
              <w:pStyle w:val="ParagraphStyle7"/>
              <w:rPr>
                <w:rStyle w:val="CharacterStyle7"/>
              </w:rPr>
            </w:pPr>
            <w:r w:rsidRPr="00EE3A4E">
              <w:rPr>
                <w:rStyle w:val="CharacterStyle7"/>
              </w:rPr>
              <w:t>581 Mehanizam za oporavak i otpornost – bespovratna sredstva</w:t>
            </w:r>
          </w:p>
        </w:tc>
        <w:tc>
          <w:tcPr>
            <w:tcW w:w="1920" w:type="dxa"/>
            <w:tcBorders>
              <w:bottom w:val="single" w:sz="6" w:space="0" w:color="000000"/>
              <w:right w:val="single" w:sz="6" w:space="0" w:color="000000"/>
            </w:tcBorders>
            <w:vAlign w:val="center"/>
          </w:tcPr>
          <w:p w14:paraId="4AD63905" w14:textId="77777777" w:rsidR="009A4261" w:rsidRPr="009A4261" w:rsidRDefault="009A4261" w:rsidP="009A4261">
            <w:pPr>
              <w:pStyle w:val="ParagraphStyle8"/>
              <w:jc w:val="right"/>
              <w:rPr>
                <w:rStyle w:val="CharacterStyle8"/>
                <w:i w:val="0"/>
              </w:rPr>
            </w:pPr>
            <w:r w:rsidRPr="009A4261">
              <w:rPr>
                <w:rStyle w:val="CharacterStyle8"/>
                <w:i w:val="0"/>
              </w:rPr>
              <w:t>0,00</w:t>
            </w:r>
          </w:p>
        </w:tc>
        <w:tc>
          <w:tcPr>
            <w:tcW w:w="1935" w:type="dxa"/>
            <w:tcBorders>
              <w:bottom w:val="single" w:sz="6" w:space="0" w:color="000000"/>
              <w:right w:val="single" w:sz="6" w:space="0" w:color="000000"/>
            </w:tcBorders>
            <w:vAlign w:val="center"/>
          </w:tcPr>
          <w:p w14:paraId="175661EA" w14:textId="77777777" w:rsidR="009A4261" w:rsidRPr="009A4261" w:rsidRDefault="009A4261" w:rsidP="009A4261">
            <w:pPr>
              <w:pStyle w:val="ParagraphStyle8"/>
              <w:jc w:val="right"/>
              <w:rPr>
                <w:rStyle w:val="CharacterStyle8"/>
                <w:i w:val="0"/>
              </w:rPr>
            </w:pPr>
            <w:r w:rsidRPr="009A4261">
              <w:rPr>
                <w:rStyle w:val="CharacterStyle8"/>
                <w:i w:val="0"/>
              </w:rPr>
              <w:t>0,00</w:t>
            </w:r>
          </w:p>
        </w:tc>
        <w:tc>
          <w:tcPr>
            <w:tcW w:w="1935" w:type="dxa"/>
            <w:tcBorders>
              <w:bottom w:val="single" w:sz="6" w:space="0" w:color="000000"/>
              <w:right w:val="single" w:sz="6" w:space="0" w:color="000000"/>
            </w:tcBorders>
            <w:vAlign w:val="center"/>
          </w:tcPr>
          <w:p w14:paraId="67F71377" w14:textId="77777777" w:rsidR="009A4261" w:rsidRPr="009A4261" w:rsidRDefault="009A4261" w:rsidP="009A4261">
            <w:pPr>
              <w:pStyle w:val="ParagraphStyle9"/>
              <w:rPr>
                <w:rStyle w:val="CharacterStyle9"/>
                <w:i w:val="0"/>
              </w:rPr>
            </w:pPr>
            <w:r w:rsidRPr="009A4261">
              <w:rPr>
                <w:rStyle w:val="CharacterStyle9"/>
                <w:i w:val="0"/>
              </w:rPr>
              <w:t>9.264.509,94</w:t>
            </w:r>
          </w:p>
        </w:tc>
        <w:tc>
          <w:tcPr>
            <w:tcW w:w="1935" w:type="dxa"/>
            <w:tcBorders>
              <w:bottom w:val="single" w:sz="6" w:space="0" w:color="000000"/>
              <w:right w:val="single" w:sz="6" w:space="0" w:color="000000"/>
            </w:tcBorders>
            <w:vAlign w:val="center"/>
          </w:tcPr>
          <w:p w14:paraId="0CB2A4AF" w14:textId="77777777" w:rsidR="009A4261" w:rsidRPr="009A4261" w:rsidRDefault="009A4261" w:rsidP="009A4261">
            <w:pPr>
              <w:pStyle w:val="ParagraphStyle9"/>
              <w:rPr>
                <w:rStyle w:val="CharacterStyle9"/>
                <w:i w:val="0"/>
              </w:rPr>
            </w:pPr>
            <w:r w:rsidRPr="009A4261">
              <w:rPr>
                <w:rStyle w:val="CharacterStyle9"/>
                <w:i w:val="0"/>
              </w:rPr>
              <w:t>0,00</w:t>
            </w:r>
          </w:p>
        </w:tc>
        <w:tc>
          <w:tcPr>
            <w:tcW w:w="1935" w:type="dxa"/>
            <w:tcBorders>
              <w:bottom w:val="single" w:sz="6" w:space="0" w:color="000000"/>
              <w:right w:val="single" w:sz="6" w:space="0" w:color="000000"/>
            </w:tcBorders>
            <w:vAlign w:val="center"/>
          </w:tcPr>
          <w:p w14:paraId="3C6488FE" w14:textId="77777777" w:rsidR="009A4261" w:rsidRPr="009A4261" w:rsidRDefault="009A4261" w:rsidP="009A4261">
            <w:pPr>
              <w:pStyle w:val="ParagraphStyle9"/>
              <w:rPr>
                <w:rStyle w:val="CharacterStyle9"/>
                <w:i w:val="0"/>
              </w:rPr>
            </w:pPr>
            <w:r w:rsidRPr="009A4261">
              <w:rPr>
                <w:rStyle w:val="CharacterStyle9"/>
                <w:i w:val="0"/>
              </w:rPr>
              <w:t>0,00</w:t>
            </w:r>
          </w:p>
        </w:tc>
      </w:tr>
      <w:tr w:rsidR="009A4261" w14:paraId="73CBC477" w14:textId="77777777" w:rsidTr="009A4261">
        <w:trPr>
          <w:trHeight w:val="360"/>
        </w:trPr>
        <w:tc>
          <w:tcPr>
            <w:tcW w:w="5190" w:type="dxa"/>
            <w:tcBorders>
              <w:left w:val="single" w:sz="6" w:space="0" w:color="000000"/>
              <w:bottom w:val="single" w:sz="6" w:space="0" w:color="000000"/>
              <w:right w:val="single" w:sz="6" w:space="0" w:color="000000"/>
            </w:tcBorders>
            <w:vAlign w:val="center"/>
          </w:tcPr>
          <w:p w14:paraId="26DF517E" w14:textId="77777777" w:rsidR="009A4261" w:rsidRPr="00EE3A4E" w:rsidRDefault="009A4261" w:rsidP="009A4261">
            <w:pPr>
              <w:pStyle w:val="ParagraphStyle5"/>
              <w:rPr>
                <w:rStyle w:val="CharacterStyle5"/>
              </w:rPr>
            </w:pPr>
            <w:r w:rsidRPr="00EE3A4E">
              <w:rPr>
                <w:rStyle w:val="CharacterStyle5"/>
              </w:rPr>
              <w:lastRenderedPageBreak/>
              <w:t>6 DONACIJE</w:t>
            </w:r>
          </w:p>
        </w:tc>
        <w:tc>
          <w:tcPr>
            <w:tcW w:w="1920" w:type="dxa"/>
            <w:tcBorders>
              <w:bottom w:val="single" w:sz="6" w:space="0" w:color="000000"/>
              <w:right w:val="single" w:sz="6" w:space="0" w:color="000000"/>
            </w:tcBorders>
            <w:vAlign w:val="center"/>
          </w:tcPr>
          <w:p w14:paraId="60461E6C" w14:textId="77777777" w:rsidR="009A4261" w:rsidRPr="009A4261" w:rsidRDefault="009A4261" w:rsidP="009A4261">
            <w:pPr>
              <w:pStyle w:val="ParagraphStyle6"/>
              <w:rPr>
                <w:rStyle w:val="CharacterStyle6"/>
              </w:rPr>
            </w:pPr>
            <w:r w:rsidRPr="009A4261">
              <w:rPr>
                <w:rStyle w:val="CharacterStyle6"/>
              </w:rPr>
              <w:t>212.218,42</w:t>
            </w:r>
          </w:p>
        </w:tc>
        <w:tc>
          <w:tcPr>
            <w:tcW w:w="1935" w:type="dxa"/>
            <w:tcBorders>
              <w:bottom w:val="single" w:sz="6" w:space="0" w:color="000000"/>
              <w:right w:val="single" w:sz="6" w:space="0" w:color="000000"/>
            </w:tcBorders>
            <w:vAlign w:val="center"/>
          </w:tcPr>
          <w:p w14:paraId="7D09F24B" w14:textId="77777777" w:rsidR="009A4261" w:rsidRPr="009A4261" w:rsidRDefault="009A4261" w:rsidP="009A4261">
            <w:pPr>
              <w:pStyle w:val="ParagraphStyle6"/>
              <w:rPr>
                <w:rStyle w:val="CharacterStyle6"/>
              </w:rPr>
            </w:pPr>
            <w:r w:rsidRPr="009A4261">
              <w:rPr>
                <w:rStyle w:val="CharacterStyle6"/>
              </w:rPr>
              <w:t>149.863,94</w:t>
            </w:r>
          </w:p>
        </w:tc>
        <w:tc>
          <w:tcPr>
            <w:tcW w:w="1935" w:type="dxa"/>
            <w:tcBorders>
              <w:bottom w:val="single" w:sz="6" w:space="0" w:color="000000"/>
              <w:right w:val="single" w:sz="6" w:space="0" w:color="000000"/>
            </w:tcBorders>
            <w:vAlign w:val="center"/>
          </w:tcPr>
          <w:p w14:paraId="01A11804" w14:textId="77777777" w:rsidR="009A4261" w:rsidRPr="009A4261" w:rsidRDefault="009A4261" w:rsidP="009A4261">
            <w:pPr>
              <w:pStyle w:val="ParagraphStyle6"/>
              <w:rPr>
                <w:rStyle w:val="CharacterStyle6"/>
              </w:rPr>
            </w:pPr>
            <w:r w:rsidRPr="009A4261">
              <w:rPr>
                <w:rStyle w:val="CharacterStyle6"/>
              </w:rPr>
              <w:t>141.225,00</w:t>
            </w:r>
          </w:p>
        </w:tc>
        <w:tc>
          <w:tcPr>
            <w:tcW w:w="1935" w:type="dxa"/>
            <w:tcBorders>
              <w:bottom w:val="single" w:sz="6" w:space="0" w:color="000000"/>
              <w:right w:val="single" w:sz="6" w:space="0" w:color="000000"/>
            </w:tcBorders>
            <w:vAlign w:val="center"/>
          </w:tcPr>
          <w:p w14:paraId="1C23132B" w14:textId="77777777" w:rsidR="009A4261" w:rsidRPr="009A4261" w:rsidRDefault="009A4261" w:rsidP="009A4261">
            <w:pPr>
              <w:pStyle w:val="ParagraphStyle6"/>
              <w:rPr>
                <w:rStyle w:val="CharacterStyle6"/>
              </w:rPr>
            </w:pPr>
            <w:r w:rsidRPr="009A4261">
              <w:rPr>
                <w:rStyle w:val="CharacterStyle6"/>
              </w:rPr>
              <w:t>148.716,85</w:t>
            </w:r>
          </w:p>
        </w:tc>
        <w:tc>
          <w:tcPr>
            <w:tcW w:w="1935" w:type="dxa"/>
            <w:tcBorders>
              <w:bottom w:val="single" w:sz="6" w:space="0" w:color="000000"/>
              <w:right w:val="single" w:sz="6" w:space="0" w:color="000000"/>
            </w:tcBorders>
            <w:vAlign w:val="center"/>
          </w:tcPr>
          <w:p w14:paraId="08A31791" w14:textId="77777777" w:rsidR="009A4261" w:rsidRPr="009A4261" w:rsidRDefault="009A4261" w:rsidP="009A4261">
            <w:pPr>
              <w:pStyle w:val="ParagraphStyle6"/>
              <w:rPr>
                <w:rStyle w:val="CharacterStyle6"/>
              </w:rPr>
            </w:pPr>
            <w:r w:rsidRPr="009A4261">
              <w:rPr>
                <w:rStyle w:val="CharacterStyle6"/>
              </w:rPr>
              <w:t>120.114,25</w:t>
            </w:r>
          </w:p>
        </w:tc>
      </w:tr>
      <w:tr w:rsidR="009A4261" w14:paraId="26BAF7BC" w14:textId="77777777" w:rsidTr="009A4261">
        <w:trPr>
          <w:trHeight w:val="360"/>
        </w:trPr>
        <w:tc>
          <w:tcPr>
            <w:tcW w:w="5190" w:type="dxa"/>
            <w:tcBorders>
              <w:left w:val="single" w:sz="6" w:space="0" w:color="000000"/>
              <w:bottom w:val="single" w:sz="6" w:space="0" w:color="000000"/>
              <w:right w:val="single" w:sz="6" w:space="0" w:color="000000"/>
            </w:tcBorders>
            <w:vAlign w:val="center"/>
          </w:tcPr>
          <w:p w14:paraId="6B3D06EC" w14:textId="77777777" w:rsidR="009A4261" w:rsidRPr="00EE3A4E" w:rsidRDefault="009A4261" w:rsidP="009A4261">
            <w:pPr>
              <w:pStyle w:val="ParagraphStyle7"/>
              <w:rPr>
                <w:rStyle w:val="CharacterStyle7"/>
              </w:rPr>
            </w:pPr>
            <w:r w:rsidRPr="00EE3A4E">
              <w:rPr>
                <w:rStyle w:val="CharacterStyle7"/>
              </w:rPr>
              <w:t>61 Donacije</w:t>
            </w:r>
          </w:p>
        </w:tc>
        <w:tc>
          <w:tcPr>
            <w:tcW w:w="1920" w:type="dxa"/>
            <w:tcBorders>
              <w:bottom w:val="single" w:sz="6" w:space="0" w:color="000000"/>
              <w:right w:val="single" w:sz="6" w:space="0" w:color="000000"/>
            </w:tcBorders>
            <w:vAlign w:val="center"/>
          </w:tcPr>
          <w:p w14:paraId="1F3F6D5E" w14:textId="77777777" w:rsidR="009A4261" w:rsidRPr="009A4261" w:rsidRDefault="009A4261" w:rsidP="009A4261">
            <w:pPr>
              <w:pStyle w:val="ParagraphStyle8"/>
              <w:jc w:val="right"/>
              <w:rPr>
                <w:rStyle w:val="CharacterStyle8"/>
                <w:i w:val="0"/>
              </w:rPr>
            </w:pPr>
            <w:r w:rsidRPr="009A4261">
              <w:rPr>
                <w:rStyle w:val="CharacterStyle8"/>
                <w:i w:val="0"/>
              </w:rPr>
              <w:t>212.218,42</w:t>
            </w:r>
          </w:p>
        </w:tc>
        <w:tc>
          <w:tcPr>
            <w:tcW w:w="1935" w:type="dxa"/>
            <w:tcBorders>
              <w:bottom w:val="single" w:sz="6" w:space="0" w:color="000000"/>
              <w:right w:val="single" w:sz="6" w:space="0" w:color="000000"/>
            </w:tcBorders>
            <w:vAlign w:val="center"/>
          </w:tcPr>
          <w:p w14:paraId="5F537CB3" w14:textId="77777777" w:rsidR="009A4261" w:rsidRPr="009A4261" w:rsidRDefault="009A4261" w:rsidP="009A4261">
            <w:pPr>
              <w:pStyle w:val="ParagraphStyle8"/>
              <w:jc w:val="right"/>
              <w:rPr>
                <w:rStyle w:val="CharacterStyle8"/>
                <w:i w:val="0"/>
              </w:rPr>
            </w:pPr>
            <w:r w:rsidRPr="009A4261">
              <w:rPr>
                <w:rStyle w:val="CharacterStyle8"/>
                <w:i w:val="0"/>
              </w:rPr>
              <w:t>149.863,94</w:t>
            </w:r>
          </w:p>
        </w:tc>
        <w:tc>
          <w:tcPr>
            <w:tcW w:w="1935" w:type="dxa"/>
            <w:tcBorders>
              <w:bottom w:val="single" w:sz="6" w:space="0" w:color="000000"/>
              <w:right w:val="single" w:sz="6" w:space="0" w:color="000000"/>
            </w:tcBorders>
            <w:vAlign w:val="center"/>
          </w:tcPr>
          <w:p w14:paraId="20E3B8CB" w14:textId="77777777" w:rsidR="009A4261" w:rsidRPr="009A4261" w:rsidRDefault="009A4261" w:rsidP="009A4261">
            <w:pPr>
              <w:pStyle w:val="ParagraphStyle9"/>
              <w:rPr>
                <w:rStyle w:val="CharacterStyle9"/>
                <w:i w:val="0"/>
              </w:rPr>
            </w:pPr>
            <w:r w:rsidRPr="009A4261">
              <w:rPr>
                <w:rStyle w:val="CharacterStyle9"/>
                <w:i w:val="0"/>
              </w:rPr>
              <w:t>141.225,00</w:t>
            </w:r>
          </w:p>
        </w:tc>
        <w:tc>
          <w:tcPr>
            <w:tcW w:w="1935" w:type="dxa"/>
            <w:tcBorders>
              <w:bottom w:val="single" w:sz="6" w:space="0" w:color="000000"/>
              <w:right w:val="single" w:sz="6" w:space="0" w:color="000000"/>
            </w:tcBorders>
            <w:vAlign w:val="center"/>
          </w:tcPr>
          <w:p w14:paraId="5B350E73" w14:textId="77777777" w:rsidR="009A4261" w:rsidRPr="009A4261" w:rsidRDefault="009A4261" w:rsidP="009A4261">
            <w:pPr>
              <w:pStyle w:val="ParagraphStyle9"/>
              <w:rPr>
                <w:rStyle w:val="CharacterStyle9"/>
                <w:i w:val="0"/>
              </w:rPr>
            </w:pPr>
            <w:r w:rsidRPr="009A4261">
              <w:rPr>
                <w:rStyle w:val="CharacterStyle9"/>
                <w:i w:val="0"/>
              </w:rPr>
              <w:t>148.716,85</w:t>
            </w:r>
          </w:p>
        </w:tc>
        <w:tc>
          <w:tcPr>
            <w:tcW w:w="1935" w:type="dxa"/>
            <w:tcBorders>
              <w:bottom w:val="single" w:sz="6" w:space="0" w:color="000000"/>
              <w:right w:val="single" w:sz="6" w:space="0" w:color="000000"/>
            </w:tcBorders>
            <w:vAlign w:val="center"/>
          </w:tcPr>
          <w:p w14:paraId="1D782F4A" w14:textId="77777777" w:rsidR="009A4261" w:rsidRPr="009A4261" w:rsidRDefault="009A4261" w:rsidP="009A4261">
            <w:pPr>
              <w:pStyle w:val="ParagraphStyle9"/>
              <w:rPr>
                <w:rStyle w:val="CharacterStyle9"/>
                <w:i w:val="0"/>
              </w:rPr>
            </w:pPr>
            <w:r w:rsidRPr="009A4261">
              <w:rPr>
                <w:rStyle w:val="CharacterStyle9"/>
                <w:i w:val="0"/>
              </w:rPr>
              <w:t>120.114,25</w:t>
            </w:r>
          </w:p>
        </w:tc>
      </w:tr>
      <w:tr w:rsidR="009A4261" w14:paraId="57C25641" w14:textId="77777777" w:rsidTr="009A4261">
        <w:trPr>
          <w:trHeight w:val="360"/>
        </w:trPr>
        <w:tc>
          <w:tcPr>
            <w:tcW w:w="5190" w:type="dxa"/>
            <w:tcBorders>
              <w:left w:val="single" w:sz="6" w:space="0" w:color="000000"/>
              <w:bottom w:val="single" w:sz="6" w:space="0" w:color="000000"/>
              <w:right w:val="single" w:sz="6" w:space="0" w:color="000000"/>
            </w:tcBorders>
            <w:vAlign w:val="center"/>
          </w:tcPr>
          <w:p w14:paraId="6DBEB692" w14:textId="77777777" w:rsidR="009A4261" w:rsidRPr="00EE3A4E" w:rsidRDefault="009A4261" w:rsidP="009A4261">
            <w:pPr>
              <w:pStyle w:val="ParagraphStyle5"/>
              <w:rPr>
                <w:rStyle w:val="CharacterStyle5"/>
              </w:rPr>
            </w:pPr>
            <w:r w:rsidRPr="00EE3A4E">
              <w:rPr>
                <w:rStyle w:val="CharacterStyle5"/>
              </w:rPr>
              <w:t>7 PRIHODI OD PRODAJE NEFINANCIJSKE IMOVINE</w:t>
            </w:r>
          </w:p>
        </w:tc>
        <w:tc>
          <w:tcPr>
            <w:tcW w:w="1920" w:type="dxa"/>
            <w:tcBorders>
              <w:bottom w:val="single" w:sz="6" w:space="0" w:color="000000"/>
              <w:right w:val="single" w:sz="6" w:space="0" w:color="000000"/>
            </w:tcBorders>
            <w:vAlign w:val="center"/>
          </w:tcPr>
          <w:p w14:paraId="486EDF9F" w14:textId="77777777" w:rsidR="009A4261" w:rsidRPr="009A4261" w:rsidRDefault="009A4261" w:rsidP="009A4261">
            <w:pPr>
              <w:pStyle w:val="ParagraphStyle6"/>
              <w:rPr>
                <w:rStyle w:val="CharacterStyle6"/>
              </w:rPr>
            </w:pPr>
            <w:r w:rsidRPr="009A4261">
              <w:rPr>
                <w:rStyle w:val="CharacterStyle6"/>
              </w:rPr>
              <w:t>918.829,37</w:t>
            </w:r>
          </w:p>
        </w:tc>
        <w:tc>
          <w:tcPr>
            <w:tcW w:w="1935" w:type="dxa"/>
            <w:tcBorders>
              <w:bottom w:val="single" w:sz="6" w:space="0" w:color="000000"/>
              <w:right w:val="single" w:sz="6" w:space="0" w:color="000000"/>
            </w:tcBorders>
            <w:vAlign w:val="center"/>
          </w:tcPr>
          <w:p w14:paraId="6085B5D8" w14:textId="77777777" w:rsidR="009A4261" w:rsidRPr="009A4261" w:rsidRDefault="009A4261" w:rsidP="009A4261">
            <w:pPr>
              <w:pStyle w:val="ParagraphStyle6"/>
              <w:rPr>
                <w:rStyle w:val="CharacterStyle6"/>
              </w:rPr>
            </w:pPr>
            <w:r w:rsidRPr="009A4261">
              <w:rPr>
                <w:rStyle w:val="CharacterStyle6"/>
              </w:rPr>
              <w:t>2.249.838,46</w:t>
            </w:r>
          </w:p>
        </w:tc>
        <w:tc>
          <w:tcPr>
            <w:tcW w:w="1935" w:type="dxa"/>
            <w:tcBorders>
              <w:bottom w:val="single" w:sz="6" w:space="0" w:color="000000"/>
              <w:right w:val="single" w:sz="6" w:space="0" w:color="000000"/>
            </w:tcBorders>
            <w:vAlign w:val="center"/>
          </w:tcPr>
          <w:p w14:paraId="049E0C91" w14:textId="77777777" w:rsidR="009A4261" w:rsidRPr="009A4261" w:rsidRDefault="009A4261" w:rsidP="009A4261">
            <w:pPr>
              <w:pStyle w:val="ParagraphStyle6"/>
              <w:rPr>
                <w:rStyle w:val="CharacterStyle6"/>
              </w:rPr>
            </w:pPr>
            <w:r w:rsidRPr="009A4261">
              <w:rPr>
                <w:rStyle w:val="CharacterStyle6"/>
              </w:rPr>
              <w:t>1.123.953,03</w:t>
            </w:r>
          </w:p>
        </w:tc>
        <w:tc>
          <w:tcPr>
            <w:tcW w:w="1935" w:type="dxa"/>
            <w:tcBorders>
              <w:bottom w:val="single" w:sz="6" w:space="0" w:color="000000"/>
              <w:right w:val="single" w:sz="6" w:space="0" w:color="000000"/>
            </w:tcBorders>
            <w:vAlign w:val="center"/>
          </w:tcPr>
          <w:p w14:paraId="3E54DC22" w14:textId="77777777" w:rsidR="009A4261" w:rsidRPr="009A4261" w:rsidRDefault="009A4261" w:rsidP="009A4261">
            <w:pPr>
              <w:pStyle w:val="ParagraphStyle6"/>
              <w:rPr>
                <w:rStyle w:val="CharacterStyle6"/>
              </w:rPr>
            </w:pPr>
            <w:r w:rsidRPr="009A4261">
              <w:rPr>
                <w:rStyle w:val="CharacterStyle6"/>
              </w:rPr>
              <w:t>4.822.677,03</w:t>
            </w:r>
          </w:p>
        </w:tc>
        <w:tc>
          <w:tcPr>
            <w:tcW w:w="1935" w:type="dxa"/>
            <w:tcBorders>
              <w:bottom w:val="single" w:sz="6" w:space="0" w:color="000000"/>
              <w:right w:val="single" w:sz="6" w:space="0" w:color="000000"/>
            </w:tcBorders>
            <w:vAlign w:val="center"/>
          </w:tcPr>
          <w:p w14:paraId="588DECCD" w14:textId="77777777" w:rsidR="009A4261" w:rsidRPr="009A4261" w:rsidRDefault="009A4261" w:rsidP="009A4261">
            <w:pPr>
              <w:pStyle w:val="ParagraphStyle6"/>
              <w:rPr>
                <w:rStyle w:val="CharacterStyle6"/>
              </w:rPr>
            </w:pPr>
            <w:r w:rsidRPr="009A4261">
              <w:rPr>
                <w:rStyle w:val="CharacterStyle6"/>
              </w:rPr>
              <w:t>1.505.677,03</w:t>
            </w:r>
          </w:p>
        </w:tc>
      </w:tr>
      <w:tr w:rsidR="009A4261" w14:paraId="0F88E3D2" w14:textId="77777777" w:rsidTr="009A4261">
        <w:trPr>
          <w:trHeight w:val="405"/>
        </w:trPr>
        <w:tc>
          <w:tcPr>
            <w:tcW w:w="5190" w:type="dxa"/>
            <w:tcBorders>
              <w:left w:val="single" w:sz="6" w:space="0" w:color="000000"/>
              <w:bottom w:val="single" w:sz="6" w:space="0" w:color="000000"/>
              <w:right w:val="single" w:sz="6" w:space="0" w:color="000000"/>
            </w:tcBorders>
            <w:vAlign w:val="center"/>
          </w:tcPr>
          <w:p w14:paraId="5573D706" w14:textId="77777777" w:rsidR="009A4261" w:rsidRPr="00EE3A4E" w:rsidRDefault="009A4261" w:rsidP="009A4261">
            <w:pPr>
              <w:pStyle w:val="ParagraphStyle7"/>
              <w:rPr>
                <w:rStyle w:val="CharacterStyle7"/>
              </w:rPr>
            </w:pPr>
            <w:r w:rsidRPr="00EE3A4E">
              <w:rPr>
                <w:rStyle w:val="CharacterStyle7"/>
              </w:rPr>
              <w:t>71 Prihodi od prodaje ili zamjene nefinancijske imovine i naknade s naslova osiguranja</w:t>
            </w:r>
          </w:p>
        </w:tc>
        <w:tc>
          <w:tcPr>
            <w:tcW w:w="1920" w:type="dxa"/>
            <w:tcBorders>
              <w:bottom w:val="single" w:sz="6" w:space="0" w:color="000000"/>
              <w:right w:val="single" w:sz="6" w:space="0" w:color="000000"/>
            </w:tcBorders>
            <w:vAlign w:val="center"/>
          </w:tcPr>
          <w:p w14:paraId="580CF218" w14:textId="77777777" w:rsidR="009A4261" w:rsidRPr="009A4261" w:rsidRDefault="009A4261" w:rsidP="009A4261">
            <w:pPr>
              <w:pStyle w:val="ParagraphStyle8"/>
              <w:jc w:val="right"/>
              <w:rPr>
                <w:rStyle w:val="CharacterStyle8"/>
                <w:i w:val="0"/>
              </w:rPr>
            </w:pPr>
            <w:r w:rsidRPr="009A4261">
              <w:rPr>
                <w:rStyle w:val="CharacterStyle8"/>
                <w:i w:val="0"/>
              </w:rPr>
              <w:t>918.829,37</w:t>
            </w:r>
          </w:p>
        </w:tc>
        <w:tc>
          <w:tcPr>
            <w:tcW w:w="1935" w:type="dxa"/>
            <w:tcBorders>
              <w:bottom w:val="single" w:sz="6" w:space="0" w:color="000000"/>
              <w:right w:val="single" w:sz="6" w:space="0" w:color="000000"/>
            </w:tcBorders>
            <w:vAlign w:val="center"/>
          </w:tcPr>
          <w:p w14:paraId="03B078A9" w14:textId="77777777" w:rsidR="009A4261" w:rsidRPr="009A4261" w:rsidRDefault="009A4261" w:rsidP="009A4261">
            <w:pPr>
              <w:pStyle w:val="ParagraphStyle8"/>
              <w:jc w:val="right"/>
              <w:rPr>
                <w:rStyle w:val="CharacterStyle8"/>
                <w:i w:val="0"/>
              </w:rPr>
            </w:pPr>
            <w:r w:rsidRPr="009A4261">
              <w:rPr>
                <w:rStyle w:val="CharacterStyle8"/>
                <w:i w:val="0"/>
              </w:rPr>
              <w:t>2.249.838,46</w:t>
            </w:r>
          </w:p>
        </w:tc>
        <w:tc>
          <w:tcPr>
            <w:tcW w:w="1935" w:type="dxa"/>
            <w:tcBorders>
              <w:bottom w:val="single" w:sz="6" w:space="0" w:color="000000"/>
              <w:right w:val="single" w:sz="6" w:space="0" w:color="000000"/>
            </w:tcBorders>
            <w:vAlign w:val="center"/>
          </w:tcPr>
          <w:p w14:paraId="24119B20" w14:textId="77777777" w:rsidR="009A4261" w:rsidRPr="009A4261" w:rsidRDefault="009A4261" w:rsidP="009A4261">
            <w:pPr>
              <w:pStyle w:val="ParagraphStyle9"/>
              <w:rPr>
                <w:rStyle w:val="CharacterStyle9"/>
                <w:i w:val="0"/>
              </w:rPr>
            </w:pPr>
            <w:r w:rsidRPr="009A4261">
              <w:rPr>
                <w:rStyle w:val="CharacterStyle9"/>
                <w:i w:val="0"/>
              </w:rPr>
              <w:t>1.123.953,03</w:t>
            </w:r>
          </w:p>
        </w:tc>
        <w:tc>
          <w:tcPr>
            <w:tcW w:w="1935" w:type="dxa"/>
            <w:tcBorders>
              <w:bottom w:val="single" w:sz="6" w:space="0" w:color="000000"/>
              <w:right w:val="single" w:sz="6" w:space="0" w:color="000000"/>
            </w:tcBorders>
            <w:vAlign w:val="center"/>
          </w:tcPr>
          <w:p w14:paraId="5278E926" w14:textId="77777777" w:rsidR="009A4261" w:rsidRPr="009A4261" w:rsidRDefault="009A4261" w:rsidP="009A4261">
            <w:pPr>
              <w:pStyle w:val="ParagraphStyle9"/>
              <w:rPr>
                <w:rStyle w:val="CharacterStyle9"/>
                <w:i w:val="0"/>
              </w:rPr>
            </w:pPr>
            <w:r w:rsidRPr="009A4261">
              <w:rPr>
                <w:rStyle w:val="CharacterStyle9"/>
                <w:i w:val="0"/>
              </w:rPr>
              <w:t>4.822.677,03</w:t>
            </w:r>
          </w:p>
        </w:tc>
        <w:tc>
          <w:tcPr>
            <w:tcW w:w="1935" w:type="dxa"/>
            <w:tcBorders>
              <w:bottom w:val="single" w:sz="6" w:space="0" w:color="000000"/>
              <w:right w:val="single" w:sz="6" w:space="0" w:color="000000"/>
            </w:tcBorders>
            <w:vAlign w:val="center"/>
          </w:tcPr>
          <w:p w14:paraId="03953E6F" w14:textId="77777777" w:rsidR="009A4261" w:rsidRPr="009A4261" w:rsidRDefault="009A4261" w:rsidP="009A4261">
            <w:pPr>
              <w:pStyle w:val="ParagraphStyle9"/>
              <w:rPr>
                <w:rStyle w:val="CharacterStyle9"/>
                <w:i w:val="0"/>
              </w:rPr>
            </w:pPr>
            <w:r w:rsidRPr="009A4261">
              <w:rPr>
                <w:rStyle w:val="CharacterStyle9"/>
                <w:i w:val="0"/>
              </w:rPr>
              <w:t>1.505.677,03</w:t>
            </w:r>
          </w:p>
        </w:tc>
      </w:tr>
    </w:tbl>
    <w:p w14:paraId="1198AB4F" w14:textId="77777777" w:rsidR="002A4BFB" w:rsidRDefault="002A4BFB" w:rsidP="002A4BFB">
      <w:pPr>
        <w:spacing w:line="405" w:lineRule="exact"/>
      </w:pPr>
    </w:p>
    <w:tbl>
      <w:tblPr>
        <w:tblW w:w="14850" w:type="dxa"/>
        <w:tblLayout w:type="fixed"/>
        <w:tblCellMar>
          <w:left w:w="0" w:type="dxa"/>
          <w:right w:w="0" w:type="dxa"/>
        </w:tblCellMar>
        <w:tblLook w:val="04A0" w:firstRow="1" w:lastRow="0" w:firstColumn="1" w:lastColumn="0" w:noHBand="0" w:noVBand="1"/>
      </w:tblPr>
      <w:tblGrid>
        <w:gridCol w:w="5190"/>
        <w:gridCol w:w="1920"/>
        <w:gridCol w:w="1935"/>
        <w:gridCol w:w="1935"/>
        <w:gridCol w:w="1935"/>
        <w:gridCol w:w="1935"/>
      </w:tblGrid>
      <w:tr w:rsidR="002A4BFB" w14:paraId="18AB04B8" w14:textId="77777777" w:rsidTr="009A4261">
        <w:trPr>
          <w:trHeight w:val="555"/>
          <w:tblHeader/>
        </w:trPr>
        <w:tc>
          <w:tcPr>
            <w:tcW w:w="5190" w:type="dxa"/>
            <w:tcBorders>
              <w:top w:val="single" w:sz="6" w:space="0" w:color="000000"/>
              <w:left w:val="single" w:sz="6" w:space="0" w:color="000000"/>
              <w:bottom w:val="single" w:sz="6" w:space="0" w:color="000000"/>
              <w:right w:val="single" w:sz="6" w:space="0" w:color="000000"/>
            </w:tcBorders>
            <w:shd w:val="clear" w:color="auto" w:fill="DCDCDC"/>
            <w:vAlign w:val="center"/>
          </w:tcPr>
          <w:p w14:paraId="28F0BC22" w14:textId="77777777" w:rsidR="002A4BFB" w:rsidRPr="00EE3A4E" w:rsidRDefault="002A4BFB" w:rsidP="00107D76">
            <w:pPr>
              <w:pStyle w:val="ParagraphStyle1"/>
              <w:rPr>
                <w:rStyle w:val="CharacterStyle1"/>
                <w:sz w:val="16"/>
                <w:szCs w:val="16"/>
              </w:rPr>
            </w:pPr>
            <w:r w:rsidRPr="00EE3A4E">
              <w:rPr>
                <w:rStyle w:val="CharacterStyle1"/>
                <w:sz w:val="16"/>
                <w:szCs w:val="16"/>
              </w:rPr>
              <w:t>Brojčana oznaka i naziv</w:t>
            </w:r>
          </w:p>
        </w:tc>
        <w:tc>
          <w:tcPr>
            <w:tcW w:w="1920" w:type="dxa"/>
            <w:tcBorders>
              <w:top w:val="single" w:sz="6" w:space="0" w:color="000000"/>
              <w:bottom w:val="single" w:sz="6" w:space="0" w:color="000000"/>
              <w:right w:val="single" w:sz="6" w:space="0" w:color="000000"/>
            </w:tcBorders>
            <w:shd w:val="clear" w:color="auto" w:fill="DCDCDC"/>
            <w:vAlign w:val="center"/>
          </w:tcPr>
          <w:p w14:paraId="366E344D" w14:textId="77777777" w:rsidR="002A4BFB" w:rsidRPr="00EE3A4E" w:rsidRDefault="002A4BFB" w:rsidP="00107D76">
            <w:pPr>
              <w:pStyle w:val="ParagraphStyle2"/>
              <w:rPr>
                <w:rStyle w:val="CharacterStyle2"/>
              </w:rPr>
            </w:pPr>
            <w:r w:rsidRPr="00EE3A4E">
              <w:rPr>
                <w:rStyle w:val="CharacterStyle2"/>
              </w:rPr>
              <w:t>Izvršenje 2024.</w:t>
            </w:r>
          </w:p>
        </w:tc>
        <w:tc>
          <w:tcPr>
            <w:tcW w:w="1935" w:type="dxa"/>
            <w:tcBorders>
              <w:top w:val="single" w:sz="6" w:space="0" w:color="000000"/>
              <w:bottom w:val="single" w:sz="6" w:space="0" w:color="000000"/>
              <w:right w:val="single" w:sz="6" w:space="0" w:color="000000"/>
            </w:tcBorders>
            <w:shd w:val="clear" w:color="auto" w:fill="DCDCDC"/>
            <w:vAlign w:val="center"/>
          </w:tcPr>
          <w:p w14:paraId="3CD9408B" w14:textId="77777777" w:rsidR="002A4BFB" w:rsidRPr="00EE3A4E" w:rsidRDefault="002A4BFB" w:rsidP="00107D76">
            <w:pPr>
              <w:pStyle w:val="ParagraphStyle2"/>
              <w:rPr>
                <w:rStyle w:val="CharacterStyle2"/>
              </w:rPr>
            </w:pPr>
            <w:r w:rsidRPr="00EE3A4E">
              <w:rPr>
                <w:rStyle w:val="CharacterStyle2"/>
              </w:rPr>
              <w:t>Tekući plan 2025.</w:t>
            </w:r>
          </w:p>
        </w:tc>
        <w:tc>
          <w:tcPr>
            <w:tcW w:w="1935" w:type="dxa"/>
            <w:tcBorders>
              <w:top w:val="single" w:sz="6" w:space="0" w:color="000000"/>
              <w:bottom w:val="single" w:sz="6" w:space="0" w:color="000000"/>
              <w:right w:val="single" w:sz="6" w:space="0" w:color="000000"/>
            </w:tcBorders>
            <w:shd w:val="clear" w:color="auto" w:fill="DCDCDC"/>
            <w:vAlign w:val="center"/>
          </w:tcPr>
          <w:p w14:paraId="758DF4C7" w14:textId="77777777" w:rsidR="002A4BFB" w:rsidRPr="00EE3A4E" w:rsidRDefault="002A4BFB" w:rsidP="00107D76">
            <w:pPr>
              <w:pStyle w:val="ParagraphStyle2"/>
              <w:rPr>
                <w:rStyle w:val="CharacterStyle2"/>
              </w:rPr>
            </w:pPr>
            <w:r w:rsidRPr="00EE3A4E">
              <w:rPr>
                <w:rStyle w:val="CharacterStyle2"/>
              </w:rPr>
              <w:t>Plan 2026.</w:t>
            </w:r>
          </w:p>
        </w:tc>
        <w:tc>
          <w:tcPr>
            <w:tcW w:w="1935" w:type="dxa"/>
            <w:tcBorders>
              <w:top w:val="single" w:sz="6" w:space="0" w:color="000000"/>
              <w:bottom w:val="single" w:sz="6" w:space="0" w:color="000000"/>
              <w:right w:val="single" w:sz="6" w:space="0" w:color="000000"/>
            </w:tcBorders>
            <w:shd w:val="clear" w:color="auto" w:fill="DCDCDC"/>
            <w:vAlign w:val="center"/>
          </w:tcPr>
          <w:p w14:paraId="61F45FCA" w14:textId="77777777" w:rsidR="002A4BFB" w:rsidRPr="00EE3A4E" w:rsidRDefault="002A4BFB" w:rsidP="00107D76">
            <w:pPr>
              <w:pStyle w:val="ParagraphStyle2"/>
              <w:rPr>
                <w:rStyle w:val="CharacterStyle2"/>
              </w:rPr>
            </w:pPr>
            <w:r w:rsidRPr="00EE3A4E">
              <w:rPr>
                <w:rStyle w:val="CharacterStyle2"/>
              </w:rPr>
              <w:t>Projekcija 2027.</w:t>
            </w:r>
          </w:p>
        </w:tc>
        <w:tc>
          <w:tcPr>
            <w:tcW w:w="1935" w:type="dxa"/>
            <w:tcBorders>
              <w:top w:val="single" w:sz="6" w:space="0" w:color="000000"/>
              <w:bottom w:val="single" w:sz="6" w:space="0" w:color="000000"/>
              <w:right w:val="single" w:sz="6" w:space="0" w:color="000000"/>
            </w:tcBorders>
            <w:shd w:val="clear" w:color="auto" w:fill="DCDCDC"/>
            <w:vAlign w:val="center"/>
          </w:tcPr>
          <w:p w14:paraId="770BBEFE" w14:textId="77777777" w:rsidR="002A4BFB" w:rsidRPr="00EE3A4E" w:rsidRDefault="002A4BFB" w:rsidP="00107D76">
            <w:pPr>
              <w:pStyle w:val="ParagraphStyle2"/>
              <w:rPr>
                <w:rStyle w:val="CharacterStyle2"/>
              </w:rPr>
            </w:pPr>
            <w:r w:rsidRPr="00EE3A4E">
              <w:rPr>
                <w:rStyle w:val="CharacterStyle2"/>
              </w:rPr>
              <w:t>Projekcija 2028.</w:t>
            </w:r>
          </w:p>
        </w:tc>
      </w:tr>
      <w:tr w:rsidR="009A4261" w14:paraId="78D3A3A1" w14:textId="77777777" w:rsidTr="009A4261">
        <w:trPr>
          <w:trHeight w:val="330"/>
        </w:trPr>
        <w:tc>
          <w:tcPr>
            <w:tcW w:w="5190" w:type="dxa"/>
            <w:tcBorders>
              <w:left w:val="single" w:sz="6" w:space="0" w:color="000000"/>
              <w:bottom w:val="single" w:sz="6" w:space="0" w:color="000000"/>
              <w:right w:val="single" w:sz="6" w:space="0" w:color="000000"/>
            </w:tcBorders>
            <w:vAlign w:val="center"/>
          </w:tcPr>
          <w:p w14:paraId="73E0D6CA" w14:textId="77777777" w:rsidR="009A4261" w:rsidRPr="00EE3A4E" w:rsidRDefault="009A4261" w:rsidP="009A4261">
            <w:pPr>
              <w:pStyle w:val="ParagraphStyle3"/>
              <w:jc w:val="left"/>
              <w:rPr>
                <w:rStyle w:val="CharacterStyle3"/>
              </w:rPr>
            </w:pPr>
            <w:r w:rsidRPr="00EE3A4E">
              <w:rPr>
                <w:rStyle w:val="CharacterStyle3"/>
              </w:rPr>
              <w:t>RASHODI UKUPNO</w:t>
            </w:r>
          </w:p>
        </w:tc>
        <w:tc>
          <w:tcPr>
            <w:tcW w:w="1920" w:type="dxa"/>
            <w:tcBorders>
              <w:bottom w:val="single" w:sz="6" w:space="0" w:color="000000"/>
              <w:right w:val="single" w:sz="6" w:space="0" w:color="000000"/>
            </w:tcBorders>
            <w:vAlign w:val="center"/>
          </w:tcPr>
          <w:p w14:paraId="139CFC52" w14:textId="77777777" w:rsidR="009A4261" w:rsidRPr="009A4261" w:rsidRDefault="009A4261" w:rsidP="009A4261">
            <w:pPr>
              <w:pStyle w:val="ParagraphStyle4"/>
              <w:jc w:val="right"/>
              <w:rPr>
                <w:rStyle w:val="CharacterStyle4"/>
              </w:rPr>
            </w:pPr>
            <w:r w:rsidRPr="009A4261">
              <w:rPr>
                <w:rStyle w:val="CharacterStyle4"/>
              </w:rPr>
              <w:t>36.433.400,28</w:t>
            </w:r>
          </w:p>
        </w:tc>
        <w:tc>
          <w:tcPr>
            <w:tcW w:w="1935" w:type="dxa"/>
            <w:tcBorders>
              <w:bottom w:val="single" w:sz="6" w:space="0" w:color="000000"/>
              <w:right w:val="single" w:sz="6" w:space="0" w:color="000000"/>
            </w:tcBorders>
            <w:vAlign w:val="center"/>
          </w:tcPr>
          <w:p w14:paraId="08888FDD" w14:textId="77777777" w:rsidR="009A4261" w:rsidRPr="009A4261" w:rsidRDefault="009A4261" w:rsidP="009A4261">
            <w:pPr>
              <w:pStyle w:val="ParagraphStyle4"/>
              <w:jc w:val="right"/>
              <w:rPr>
                <w:rStyle w:val="CharacterStyle4"/>
              </w:rPr>
            </w:pPr>
            <w:r w:rsidRPr="009A4261">
              <w:rPr>
                <w:rStyle w:val="CharacterStyle4"/>
              </w:rPr>
              <w:t>64.342.564,00</w:t>
            </w:r>
          </w:p>
        </w:tc>
        <w:tc>
          <w:tcPr>
            <w:tcW w:w="1935" w:type="dxa"/>
            <w:tcBorders>
              <w:bottom w:val="single" w:sz="6" w:space="0" w:color="000000"/>
              <w:right w:val="single" w:sz="6" w:space="0" w:color="000000"/>
            </w:tcBorders>
            <w:vAlign w:val="center"/>
          </w:tcPr>
          <w:p w14:paraId="7A03BBFE" w14:textId="77777777" w:rsidR="009A4261" w:rsidRPr="009A4261" w:rsidRDefault="009A4261" w:rsidP="009A4261">
            <w:pPr>
              <w:pStyle w:val="ParagraphStyle4"/>
              <w:jc w:val="right"/>
              <w:rPr>
                <w:rStyle w:val="CharacterStyle4"/>
              </w:rPr>
            </w:pPr>
            <w:r w:rsidRPr="009A4261">
              <w:rPr>
                <w:rStyle w:val="CharacterStyle4"/>
              </w:rPr>
              <w:t>61.300.500,00</w:t>
            </w:r>
          </w:p>
        </w:tc>
        <w:tc>
          <w:tcPr>
            <w:tcW w:w="1935" w:type="dxa"/>
            <w:tcBorders>
              <w:bottom w:val="single" w:sz="6" w:space="0" w:color="000000"/>
              <w:right w:val="single" w:sz="6" w:space="0" w:color="000000"/>
            </w:tcBorders>
            <w:vAlign w:val="center"/>
          </w:tcPr>
          <w:p w14:paraId="7C4FEDA4" w14:textId="77777777" w:rsidR="009A4261" w:rsidRPr="009A4261" w:rsidRDefault="009A4261" w:rsidP="009A4261">
            <w:pPr>
              <w:pStyle w:val="ParagraphStyle4"/>
              <w:jc w:val="right"/>
              <w:rPr>
                <w:rStyle w:val="CharacterStyle4"/>
              </w:rPr>
            </w:pPr>
            <w:r w:rsidRPr="009A4261">
              <w:rPr>
                <w:rStyle w:val="CharacterStyle4"/>
              </w:rPr>
              <w:t>46.238.000,00</w:t>
            </w:r>
          </w:p>
        </w:tc>
        <w:tc>
          <w:tcPr>
            <w:tcW w:w="1935" w:type="dxa"/>
            <w:tcBorders>
              <w:bottom w:val="single" w:sz="6" w:space="0" w:color="000000"/>
              <w:right w:val="single" w:sz="6" w:space="0" w:color="000000"/>
            </w:tcBorders>
            <w:vAlign w:val="center"/>
          </w:tcPr>
          <w:p w14:paraId="215C9BD9" w14:textId="77777777" w:rsidR="009A4261" w:rsidRPr="009A4261" w:rsidRDefault="009A4261" w:rsidP="009A4261">
            <w:pPr>
              <w:pStyle w:val="ParagraphStyle4"/>
              <w:jc w:val="right"/>
              <w:rPr>
                <w:rStyle w:val="CharacterStyle4"/>
              </w:rPr>
            </w:pPr>
            <w:r w:rsidRPr="009A4261">
              <w:rPr>
                <w:rStyle w:val="CharacterStyle4"/>
              </w:rPr>
              <w:t>40.462.500,00</w:t>
            </w:r>
          </w:p>
        </w:tc>
      </w:tr>
      <w:tr w:rsidR="009A4261" w14:paraId="2DB0FCE5" w14:textId="77777777" w:rsidTr="009A4261">
        <w:trPr>
          <w:trHeight w:val="360"/>
        </w:trPr>
        <w:tc>
          <w:tcPr>
            <w:tcW w:w="5190" w:type="dxa"/>
            <w:tcBorders>
              <w:left w:val="single" w:sz="6" w:space="0" w:color="000000"/>
              <w:bottom w:val="single" w:sz="6" w:space="0" w:color="000000"/>
              <w:right w:val="single" w:sz="6" w:space="0" w:color="000000"/>
            </w:tcBorders>
            <w:vAlign w:val="center"/>
          </w:tcPr>
          <w:p w14:paraId="6A39427C" w14:textId="77777777" w:rsidR="009A4261" w:rsidRPr="00EE3A4E" w:rsidRDefault="009A4261" w:rsidP="009A4261">
            <w:pPr>
              <w:pStyle w:val="ParagraphStyle5"/>
              <w:rPr>
                <w:rStyle w:val="CharacterStyle5"/>
              </w:rPr>
            </w:pPr>
            <w:r w:rsidRPr="00EE3A4E">
              <w:rPr>
                <w:rStyle w:val="CharacterStyle5"/>
              </w:rPr>
              <w:t>1 OPĆI PRIHODI I PRIMICI</w:t>
            </w:r>
          </w:p>
        </w:tc>
        <w:tc>
          <w:tcPr>
            <w:tcW w:w="1920" w:type="dxa"/>
            <w:tcBorders>
              <w:bottom w:val="single" w:sz="6" w:space="0" w:color="000000"/>
              <w:right w:val="single" w:sz="6" w:space="0" w:color="000000"/>
            </w:tcBorders>
            <w:vAlign w:val="center"/>
          </w:tcPr>
          <w:p w14:paraId="31B87793" w14:textId="77777777" w:rsidR="009A4261" w:rsidRPr="009A4261" w:rsidRDefault="009A4261" w:rsidP="009A4261">
            <w:pPr>
              <w:pStyle w:val="ParagraphStyle6"/>
              <w:rPr>
                <w:rStyle w:val="CharacterStyle6"/>
              </w:rPr>
            </w:pPr>
            <w:r w:rsidRPr="009A4261">
              <w:rPr>
                <w:rStyle w:val="CharacterStyle6"/>
              </w:rPr>
              <w:t>13.811.003,70</w:t>
            </w:r>
          </w:p>
        </w:tc>
        <w:tc>
          <w:tcPr>
            <w:tcW w:w="1935" w:type="dxa"/>
            <w:tcBorders>
              <w:bottom w:val="single" w:sz="6" w:space="0" w:color="000000"/>
              <w:right w:val="single" w:sz="6" w:space="0" w:color="000000"/>
            </w:tcBorders>
            <w:vAlign w:val="center"/>
          </w:tcPr>
          <w:p w14:paraId="0CD004CB" w14:textId="77777777" w:rsidR="009A4261" w:rsidRPr="009A4261" w:rsidRDefault="009A4261" w:rsidP="009A4261">
            <w:pPr>
              <w:pStyle w:val="ParagraphStyle6"/>
              <w:rPr>
                <w:rStyle w:val="CharacterStyle6"/>
              </w:rPr>
            </w:pPr>
            <w:r w:rsidRPr="009A4261">
              <w:rPr>
                <w:rStyle w:val="CharacterStyle6"/>
              </w:rPr>
              <w:t>21.182.311,64</w:t>
            </w:r>
          </w:p>
        </w:tc>
        <w:tc>
          <w:tcPr>
            <w:tcW w:w="1935" w:type="dxa"/>
            <w:tcBorders>
              <w:bottom w:val="single" w:sz="6" w:space="0" w:color="000000"/>
              <w:right w:val="single" w:sz="6" w:space="0" w:color="000000"/>
            </w:tcBorders>
            <w:vAlign w:val="center"/>
          </w:tcPr>
          <w:p w14:paraId="235490AD" w14:textId="77777777" w:rsidR="009A4261" w:rsidRPr="009A4261" w:rsidRDefault="009A4261" w:rsidP="009A4261">
            <w:pPr>
              <w:pStyle w:val="ParagraphStyle6"/>
              <w:rPr>
                <w:rStyle w:val="CharacterStyle6"/>
              </w:rPr>
            </w:pPr>
            <w:r w:rsidRPr="009A4261">
              <w:rPr>
                <w:rStyle w:val="CharacterStyle6"/>
              </w:rPr>
              <w:t>34.841.884,31</w:t>
            </w:r>
          </w:p>
        </w:tc>
        <w:tc>
          <w:tcPr>
            <w:tcW w:w="1935" w:type="dxa"/>
            <w:tcBorders>
              <w:bottom w:val="single" w:sz="6" w:space="0" w:color="000000"/>
              <w:right w:val="single" w:sz="6" w:space="0" w:color="000000"/>
            </w:tcBorders>
            <w:vAlign w:val="center"/>
          </w:tcPr>
          <w:p w14:paraId="7E3F07C6" w14:textId="77777777" w:rsidR="009A4261" w:rsidRPr="009A4261" w:rsidRDefault="009A4261" w:rsidP="009A4261">
            <w:pPr>
              <w:pStyle w:val="ParagraphStyle6"/>
              <w:rPr>
                <w:rStyle w:val="CharacterStyle6"/>
              </w:rPr>
            </w:pPr>
            <w:r w:rsidRPr="009A4261">
              <w:rPr>
                <w:rStyle w:val="CharacterStyle6"/>
              </w:rPr>
              <w:t>24.078.066,57</w:t>
            </w:r>
          </w:p>
        </w:tc>
        <w:tc>
          <w:tcPr>
            <w:tcW w:w="1935" w:type="dxa"/>
            <w:tcBorders>
              <w:bottom w:val="single" w:sz="6" w:space="0" w:color="000000"/>
              <w:right w:val="single" w:sz="6" w:space="0" w:color="000000"/>
            </w:tcBorders>
            <w:vAlign w:val="center"/>
          </w:tcPr>
          <w:p w14:paraId="531A2958" w14:textId="77777777" w:rsidR="009A4261" w:rsidRPr="009A4261" w:rsidRDefault="009A4261" w:rsidP="009A4261">
            <w:pPr>
              <w:pStyle w:val="ParagraphStyle6"/>
              <w:rPr>
                <w:rStyle w:val="CharacterStyle6"/>
              </w:rPr>
            </w:pPr>
            <w:r w:rsidRPr="009A4261">
              <w:rPr>
                <w:rStyle w:val="CharacterStyle6"/>
              </w:rPr>
              <w:t>22.610.739,36</w:t>
            </w:r>
          </w:p>
        </w:tc>
      </w:tr>
      <w:tr w:rsidR="009A4261" w14:paraId="67C97A4C" w14:textId="77777777" w:rsidTr="009A4261">
        <w:trPr>
          <w:trHeight w:val="360"/>
        </w:trPr>
        <w:tc>
          <w:tcPr>
            <w:tcW w:w="5190" w:type="dxa"/>
            <w:tcBorders>
              <w:left w:val="single" w:sz="6" w:space="0" w:color="000000"/>
              <w:bottom w:val="single" w:sz="6" w:space="0" w:color="000000"/>
              <w:right w:val="single" w:sz="6" w:space="0" w:color="000000"/>
            </w:tcBorders>
            <w:vAlign w:val="center"/>
          </w:tcPr>
          <w:p w14:paraId="79E2B48E" w14:textId="77777777" w:rsidR="009A4261" w:rsidRPr="00EE3A4E" w:rsidRDefault="009A4261" w:rsidP="009A4261">
            <w:pPr>
              <w:pStyle w:val="ParagraphStyle7"/>
              <w:rPr>
                <w:rStyle w:val="CharacterStyle7"/>
              </w:rPr>
            </w:pPr>
            <w:r w:rsidRPr="00EE3A4E">
              <w:rPr>
                <w:rStyle w:val="CharacterStyle7"/>
              </w:rPr>
              <w:t>11 Opći prihodi i primici</w:t>
            </w:r>
          </w:p>
        </w:tc>
        <w:tc>
          <w:tcPr>
            <w:tcW w:w="1920" w:type="dxa"/>
            <w:tcBorders>
              <w:bottom w:val="single" w:sz="6" w:space="0" w:color="000000"/>
              <w:right w:val="single" w:sz="6" w:space="0" w:color="000000"/>
            </w:tcBorders>
            <w:vAlign w:val="center"/>
          </w:tcPr>
          <w:p w14:paraId="0935A3D9" w14:textId="77777777" w:rsidR="009A4261" w:rsidRPr="009A4261" w:rsidRDefault="009A4261" w:rsidP="009A4261">
            <w:pPr>
              <w:pStyle w:val="ParagraphStyle8"/>
              <w:jc w:val="right"/>
              <w:rPr>
                <w:rStyle w:val="CharacterStyle8"/>
                <w:i w:val="0"/>
              </w:rPr>
            </w:pPr>
            <w:r w:rsidRPr="009A4261">
              <w:rPr>
                <w:rStyle w:val="CharacterStyle8"/>
                <w:i w:val="0"/>
              </w:rPr>
              <w:t>13.811.003,70</w:t>
            </w:r>
          </w:p>
        </w:tc>
        <w:tc>
          <w:tcPr>
            <w:tcW w:w="1935" w:type="dxa"/>
            <w:tcBorders>
              <w:bottom w:val="single" w:sz="6" w:space="0" w:color="000000"/>
              <w:right w:val="single" w:sz="6" w:space="0" w:color="000000"/>
            </w:tcBorders>
            <w:vAlign w:val="center"/>
          </w:tcPr>
          <w:p w14:paraId="69DB83D6" w14:textId="77777777" w:rsidR="009A4261" w:rsidRPr="009A4261" w:rsidRDefault="009A4261" w:rsidP="009A4261">
            <w:pPr>
              <w:pStyle w:val="ParagraphStyle8"/>
              <w:jc w:val="right"/>
              <w:rPr>
                <w:rStyle w:val="CharacterStyle8"/>
                <w:i w:val="0"/>
              </w:rPr>
            </w:pPr>
            <w:r w:rsidRPr="009A4261">
              <w:rPr>
                <w:rStyle w:val="CharacterStyle8"/>
                <w:i w:val="0"/>
              </w:rPr>
              <w:t>21.182.311,64</w:t>
            </w:r>
          </w:p>
        </w:tc>
        <w:tc>
          <w:tcPr>
            <w:tcW w:w="1935" w:type="dxa"/>
            <w:tcBorders>
              <w:bottom w:val="single" w:sz="6" w:space="0" w:color="000000"/>
              <w:right w:val="single" w:sz="6" w:space="0" w:color="000000"/>
            </w:tcBorders>
            <w:vAlign w:val="center"/>
          </w:tcPr>
          <w:p w14:paraId="255D97F0" w14:textId="77777777" w:rsidR="009A4261" w:rsidRPr="009A4261" w:rsidRDefault="009A4261" w:rsidP="009A4261">
            <w:pPr>
              <w:pStyle w:val="ParagraphStyle9"/>
              <w:rPr>
                <w:rStyle w:val="CharacterStyle9"/>
                <w:i w:val="0"/>
              </w:rPr>
            </w:pPr>
            <w:r w:rsidRPr="009A4261">
              <w:rPr>
                <w:rStyle w:val="CharacterStyle9"/>
                <w:i w:val="0"/>
              </w:rPr>
              <w:t>34.841.884,31</w:t>
            </w:r>
          </w:p>
        </w:tc>
        <w:tc>
          <w:tcPr>
            <w:tcW w:w="1935" w:type="dxa"/>
            <w:tcBorders>
              <w:bottom w:val="single" w:sz="6" w:space="0" w:color="000000"/>
              <w:right w:val="single" w:sz="6" w:space="0" w:color="000000"/>
            </w:tcBorders>
            <w:vAlign w:val="center"/>
          </w:tcPr>
          <w:p w14:paraId="129A9AF2" w14:textId="77777777" w:rsidR="009A4261" w:rsidRPr="009A4261" w:rsidRDefault="009A4261" w:rsidP="009A4261">
            <w:pPr>
              <w:pStyle w:val="ParagraphStyle9"/>
              <w:rPr>
                <w:rStyle w:val="CharacterStyle9"/>
                <w:i w:val="0"/>
              </w:rPr>
            </w:pPr>
            <w:r w:rsidRPr="009A4261">
              <w:rPr>
                <w:rStyle w:val="CharacterStyle9"/>
                <w:i w:val="0"/>
              </w:rPr>
              <w:t>24.078.066,57</w:t>
            </w:r>
          </w:p>
        </w:tc>
        <w:tc>
          <w:tcPr>
            <w:tcW w:w="1935" w:type="dxa"/>
            <w:tcBorders>
              <w:bottom w:val="single" w:sz="6" w:space="0" w:color="000000"/>
              <w:right w:val="single" w:sz="6" w:space="0" w:color="000000"/>
            </w:tcBorders>
            <w:vAlign w:val="center"/>
          </w:tcPr>
          <w:p w14:paraId="5036F7B3" w14:textId="77777777" w:rsidR="009A4261" w:rsidRPr="009A4261" w:rsidRDefault="009A4261" w:rsidP="009A4261">
            <w:pPr>
              <w:pStyle w:val="ParagraphStyle9"/>
              <w:rPr>
                <w:rStyle w:val="CharacterStyle9"/>
                <w:i w:val="0"/>
              </w:rPr>
            </w:pPr>
            <w:r w:rsidRPr="009A4261">
              <w:rPr>
                <w:rStyle w:val="CharacterStyle9"/>
                <w:i w:val="0"/>
              </w:rPr>
              <w:t>22.610.739,36</w:t>
            </w:r>
          </w:p>
        </w:tc>
      </w:tr>
      <w:tr w:rsidR="009A4261" w14:paraId="22935FB4" w14:textId="77777777" w:rsidTr="009A4261">
        <w:trPr>
          <w:trHeight w:val="360"/>
        </w:trPr>
        <w:tc>
          <w:tcPr>
            <w:tcW w:w="5190" w:type="dxa"/>
            <w:tcBorders>
              <w:left w:val="single" w:sz="6" w:space="0" w:color="000000"/>
              <w:bottom w:val="single" w:sz="6" w:space="0" w:color="000000"/>
              <w:right w:val="single" w:sz="6" w:space="0" w:color="000000"/>
            </w:tcBorders>
            <w:vAlign w:val="center"/>
          </w:tcPr>
          <w:p w14:paraId="3765A182" w14:textId="77777777" w:rsidR="009A4261" w:rsidRPr="00EE3A4E" w:rsidRDefault="009A4261" w:rsidP="009A4261">
            <w:pPr>
              <w:pStyle w:val="ParagraphStyle5"/>
              <w:rPr>
                <w:rStyle w:val="CharacterStyle5"/>
              </w:rPr>
            </w:pPr>
            <w:r w:rsidRPr="00EE3A4E">
              <w:rPr>
                <w:rStyle w:val="CharacterStyle5"/>
              </w:rPr>
              <w:t>3 VLASTITI PRIHODI</w:t>
            </w:r>
          </w:p>
        </w:tc>
        <w:tc>
          <w:tcPr>
            <w:tcW w:w="1920" w:type="dxa"/>
            <w:tcBorders>
              <w:bottom w:val="single" w:sz="6" w:space="0" w:color="000000"/>
              <w:right w:val="single" w:sz="6" w:space="0" w:color="000000"/>
            </w:tcBorders>
            <w:vAlign w:val="center"/>
          </w:tcPr>
          <w:p w14:paraId="50F1C148" w14:textId="77777777" w:rsidR="009A4261" w:rsidRPr="009A4261" w:rsidRDefault="009A4261" w:rsidP="009A4261">
            <w:pPr>
              <w:pStyle w:val="ParagraphStyle6"/>
              <w:rPr>
                <w:rStyle w:val="CharacterStyle6"/>
              </w:rPr>
            </w:pPr>
            <w:r w:rsidRPr="009A4261">
              <w:rPr>
                <w:rStyle w:val="CharacterStyle6"/>
              </w:rPr>
              <w:t>156.555,04</w:t>
            </w:r>
          </w:p>
        </w:tc>
        <w:tc>
          <w:tcPr>
            <w:tcW w:w="1935" w:type="dxa"/>
            <w:tcBorders>
              <w:bottom w:val="single" w:sz="6" w:space="0" w:color="000000"/>
              <w:right w:val="single" w:sz="6" w:space="0" w:color="000000"/>
            </w:tcBorders>
            <w:vAlign w:val="center"/>
          </w:tcPr>
          <w:p w14:paraId="6590C4D1" w14:textId="77777777" w:rsidR="009A4261" w:rsidRPr="009A4261" w:rsidRDefault="009A4261" w:rsidP="009A4261">
            <w:pPr>
              <w:pStyle w:val="ParagraphStyle6"/>
              <w:rPr>
                <w:rStyle w:val="CharacterStyle6"/>
              </w:rPr>
            </w:pPr>
            <w:r w:rsidRPr="009A4261">
              <w:rPr>
                <w:rStyle w:val="CharacterStyle6"/>
              </w:rPr>
              <w:t>221.705,39</w:t>
            </w:r>
          </w:p>
        </w:tc>
        <w:tc>
          <w:tcPr>
            <w:tcW w:w="1935" w:type="dxa"/>
            <w:tcBorders>
              <w:bottom w:val="single" w:sz="6" w:space="0" w:color="000000"/>
              <w:right w:val="single" w:sz="6" w:space="0" w:color="000000"/>
            </w:tcBorders>
            <w:vAlign w:val="center"/>
          </w:tcPr>
          <w:p w14:paraId="7DDB61B6" w14:textId="77777777" w:rsidR="009A4261" w:rsidRPr="009A4261" w:rsidRDefault="009A4261" w:rsidP="009A4261">
            <w:pPr>
              <w:pStyle w:val="ParagraphStyle6"/>
              <w:rPr>
                <w:rStyle w:val="CharacterStyle6"/>
              </w:rPr>
            </w:pPr>
            <w:r w:rsidRPr="009A4261">
              <w:rPr>
                <w:rStyle w:val="CharacterStyle6"/>
              </w:rPr>
              <w:t>319.545,00</w:t>
            </w:r>
          </w:p>
        </w:tc>
        <w:tc>
          <w:tcPr>
            <w:tcW w:w="1935" w:type="dxa"/>
            <w:tcBorders>
              <w:bottom w:val="single" w:sz="6" w:space="0" w:color="000000"/>
              <w:right w:val="single" w:sz="6" w:space="0" w:color="000000"/>
            </w:tcBorders>
            <w:vAlign w:val="center"/>
          </w:tcPr>
          <w:p w14:paraId="64407083" w14:textId="77777777" w:rsidR="009A4261" w:rsidRPr="009A4261" w:rsidRDefault="009A4261" w:rsidP="009A4261">
            <w:pPr>
              <w:pStyle w:val="ParagraphStyle6"/>
              <w:rPr>
                <w:rStyle w:val="CharacterStyle6"/>
              </w:rPr>
            </w:pPr>
            <w:r w:rsidRPr="009A4261">
              <w:rPr>
                <w:rStyle w:val="CharacterStyle6"/>
              </w:rPr>
              <w:t>224.386,60</w:t>
            </w:r>
          </w:p>
        </w:tc>
        <w:tc>
          <w:tcPr>
            <w:tcW w:w="1935" w:type="dxa"/>
            <w:tcBorders>
              <w:bottom w:val="single" w:sz="6" w:space="0" w:color="000000"/>
              <w:right w:val="single" w:sz="6" w:space="0" w:color="000000"/>
            </w:tcBorders>
            <w:vAlign w:val="center"/>
          </w:tcPr>
          <w:p w14:paraId="172932ED" w14:textId="77777777" w:rsidR="009A4261" w:rsidRPr="009A4261" w:rsidRDefault="009A4261" w:rsidP="009A4261">
            <w:pPr>
              <w:pStyle w:val="ParagraphStyle6"/>
              <w:rPr>
                <w:rStyle w:val="CharacterStyle6"/>
              </w:rPr>
            </w:pPr>
            <w:r w:rsidRPr="009A4261">
              <w:rPr>
                <w:rStyle w:val="CharacterStyle6"/>
              </w:rPr>
              <w:t>226.326,00</w:t>
            </w:r>
          </w:p>
        </w:tc>
      </w:tr>
      <w:tr w:rsidR="009A4261" w14:paraId="2B1BA863" w14:textId="77777777" w:rsidTr="009A4261">
        <w:trPr>
          <w:trHeight w:val="360"/>
        </w:trPr>
        <w:tc>
          <w:tcPr>
            <w:tcW w:w="5190" w:type="dxa"/>
            <w:tcBorders>
              <w:left w:val="single" w:sz="6" w:space="0" w:color="000000"/>
              <w:bottom w:val="single" w:sz="6" w:space="0" w:color="000000"/>
              <w:right w:val="single" w:sz="6" w:space="0" w:color="000000"/>
            </w:tcBorders>
            <w:vAlign w:val="center"/>
          </w:tcPr>
          <w:p w14:paraId="0ACB3950" w14:textId="77777777" w:rsidR="009A4261" w:rsidRPr="00EE3A4E" w:rsidRDefault="009A4261" w:rsidP="009A4261">
            <w:pPr>
              <w:pStyle w:val="ParagraphStyle7"/>
              <w:rPr>
                <w:rStyle w:val="CharacterStyle7"/>
              </w:rPr>
            </w:pPr>
            <w:r w:rsidRPr="00EE3A4E">
              <w:rPr>
                <w:rStyle w:val="CharacterStyle7"/>
              </w:rPr>
              <w:t>31 Vlastiti prihodi</w:t>
            </w:r>
          </w:p>
        </w:tc>
        <w:tc>
          <w:tcPr>
            <w:tcW w:w="1920" w:type="dxa"/>
            <w:tcBorders>
              <w:bottom w:val="single" w:sz="6" w:space="0" w:color="000000"/>
              <w:right w:val="single" w:sz="6" w:space="0" w:color="000000"/>
            </w:tcBorders>
            <w:vAlign w:val="center"/>
          </w:tcPr>
          <w:p w14:paraId="31625907" w14:textId="77777777" w:rsidR="009A4261" w:rsidRPr="009A4261" w:rsidRDefault="009A4261" w:rsidP="009A4261">
            <w:pPr>
              <w:pStyle w:val="ParagraphStyle8"/>
              <w:jc w:val="right"/>
              <w:rPr>
                <w:rStyle w:val="CharacterStyle8"/>
                <w:i w:val="0"/>
              </w:rPr>
            </w:pPr>
            <w:r w:rsidRPr="009A4261">
              <w:rPr>
                <w:rStyle w:val="CharacterStyle8"/>
                <w:i w:val="0"/>
              </w:rPr>
              <w:t>156.555,04</w:t>
            </w:r>
          </w:p>
        </w:tc>
        <w:tc>
          <w:tcPr>
            <w:tcW w:w="1935" w:type="dxa"/>
            <w:tcBorders>
              <w:bottom w:val="single" w:sz="6" w:space="0" w:color="000000"/>
              <w:right w:val="single" w:sz="6" w:space="0" w:color="000000"/>
            </w:tcBorders>
            <w:vAlign w:val="center"/>
          </w:tcPr>
          <w:p w14:paraId="24FE2667" w14:textId="77777777" w:rsidR="009A4261" w:rsidRPr="009A4261" w:rsidRDefault="009A4261" w:rsidP="009A4261">
            <w:pPr>
              <w:pStyle w:val="ParagraphStyle8"/>
              <w:jc w:val="right"/>
              <w:rPr>
                <w:rStyle w:val="CharacterStyle8"/>
                <w:i w:val="0"/>
              </w:rPr>
            </w:pPr>
            <w:r w:rsidRPr="009A4261">
              <w:rPr>
                <w:rStyle w:val="CharacterStyle8"/>
                <w:i w:val="0"/>
              </w:rPr>
              <w:t>221.705,39</w:t>
            </w:r>
          </w:p>
        </w:tc>
        <w:tc>
          <w:tcPr>
            <w:tcW w:w="1935" w:type="dxa"/>
            <w:tcBorders>
              <w:bottom w:val="single" w:sz="6" w:space="0" w:color="000000"/>
              <w:right w:val="single" w:sz="6" w:space="0" w:color="000000"/>
            </w:tcBorders>
            <w:vAlign w:val="center"/>
          </w:tcPr>
          <w:p w14:paraId="4514147C" w14:textId="77777777" w:rsidR="009A4261" w:rsidRPr="009A4261" w:rsidRDefault="009A4261" w:rsidP="009A4261">
            <w:pPr>
              <w:pStyle w:val="ParagraphStyle9"/>
              <w:rPr>
                <w:rStyle w:val="CharacterStyle9"/>
                <w:i w:val="0"/>
              </w:rPr>
            </w:pPr>
            <w:r w:rsidRPr="009A4261">
              <w:rPr>
                <w:rStyle w:val="CharacterStyle9"/>
                <w:i w:val="0"/>
              </w:rPr>
              <w:t>319.545,00</w:t>
            </w:r>
          </w:p>
        </w:tc>
        <w:tc>
          <w:tcPr>
            <w:tcW w:w="1935" w:type="dxa"/>
            <w:tcBorders>
              <w:bottom w:val="single" w:sz="6" w:space="0" w:color="000000"/>
              <w:right w:val="single" w:sz="6" w:space="0" w:color="000000"/>
            </w:tcBorders>
            <w:vAlign w:val="center"/>
          </w:tcPr>
          <w:p w14:paraId="2E62B56F" w14:textId="77777777" w:rsidR="009A4261" w:rsidRPr="009A4261" w:rsidRDefault="009A4261" w:rsidP="009A4261">
            <w:pPr>
              <w:pStyle w:val="ParagraphStyle9"/>
              <w:rPr>
                <w:rStyle w:val="CharacterStyle9"/>
                <w:i w:val="0"/>
              </w:rPr>
            </w:pPr>
            <w:r w:rsidRPr="009A4261">
              <w:rPr>
                <w:rStyle w:val="CharacterStyle9"/>
                <w:i w:val="0"/>
              </w:rPr>
              <w:t>224.386,60</w:t>
            </w:r>
          </w:p>
        </w:tc>
        <w:tc>
          <w:tcPr>
            <w:tcW w:w="1935" w:type="dxa"/>
            <w:tcBorders>
              <w:bottom w:val="single" w:sz="6" w:space="0" w:color="000000"/>
              <w:right w:val="single" w:sz="6" w:space="0" w:color="000000"/>
            </w:tcBorders>
            <w:vAlign w:val="center"/>
          </w:tcPr>
          <w:p w14:paraId="1BD73BBE" w14:textId="77777777" w:rsidR="009A4261" w:rsidRPr="009A4261" w:rsidRDefault="009A4261" w:rsidP="009A4261">
            <w:pPr>
              <w:pStyle w:val="ParagraphStyle9"/>
              <w:rPr>
                <w:rStyle w:val="CharacterStyle9"/>
                <w:i w:val="0"/>
              </w:rPr>
            </w:pPr>
            <w:r w:rsidRPr="009A4261">
              <w:rPr>
                <w:rStyle w:val="CharacterStyle9"/>
                <w:i w:val="0"/>
              </w:rPr>
              <w:t>226.326,00</w:t>
            </w:r>
          </w:p>
        </w:tc>
      </w:tr>
      <w:tr w:rsidR="009A4261" w14:paraId="16B89DAF" w14:textId="77777777" w:rsidTr="009A4261">
        <w:trPr>
          <w:trHeight w:val="360"/>
        </w:trPr>
        <w:tc>
          <w:tcPr>
            <w:tcW w:w="5190" w:type="dxa"/>
            <w:tcBorders>
              <w:left w:val="single" w:sz="6" w:space="0" w:color="000000"/>
              <w:bottom w:val="single" w:sz="6" w:space="0" w:color="000000"/>
              <w:right w:val="single" w:sz="6" w:space="0" w:color="000000"/>
            </w:tcBorders>
            <w:vAlign w:val="center"/>
          </w:tcPr>
          <w:p w14:paraId="5F17B8ED" w14:textId="77777777" w:rsidR="009A4261" w:rsidRPr="00EE3A4E" w:rsidRDefault="009A4261" w:rsidP="009A4261">
            <w:pPr>
              <w:pStyle w:val="ParagraphStyle5"/>
              <w:rPr>
                <w:rStyle w:val="CharacterStyle5"/>
              </w:rPr>
            </w:pPr>
            <w:r w:rsidRPr="00EE3A4E">
              <w:rPr>
                <w:rStyle w:val="CharacterStyle5"/>
              </w:rPr>
              <w:t>4 PRIHODI ZA POSEBNE NAMJENE</w:t>
            </w:r>
          </w:p>
        </w:tc>
        <w:tc>
          <w:tcPr>
            <w:tcW w:w="1920" w:type="dxa"/>
            <w:tcBorders>
              <w:bottom w:val="single" w:sz="6" w:space="0" w:color="000000"/>
              <w:right w:val="single" w:sz="6" w:space="0" w:color="000000"/>
            </w:tcBorders>
            <w:vAlign w:val="center"/>
          </w:tcPr>
          <w:p w14:paraId="2C1E4992" w14:textId="77777777" w:rsidR="009A4261" w:rsidRPr="009A4261" w:rsidRDefault="009A4261" w:rsidP="009A4261">
            <w:pPr>
              <w:pStyle w:val="ParagraphStyle6"/>
              <w:rPr>
                <w:rStyle w:val="CharacterStyle6"/>
              </w:rPr>
            </w:pPr>
            <w:r w:rsidRPr="009A4261">
              <w:rPr>
                <w:rStyle w:val="CharacterStyle6"/>
              </w:rPr>
              <w:t>5.576.640,51</w:t>
            </w:r>
          </w:p>
        </w:tc>
        <w:tc>
          <w:tcPr>
            <w:tcW w:w="1935" w:type="dxa"/>
            <w:tcBorders>
              <w:bottom w:val="single" w:sz="6" w:space="0" w:color="000000"/>
              <w:right w:val="single" w:sz="6" w:space="0" w:color="000000"/>
            </w:tcBorders>
            <w:vAlign w:val="center"/>
          </w:tcPr>
          <w:p w14:paraId="20F927FA" w14:textId="77777777" w:rsidR="009A4261" w:rsidRPr="009A4261" w:rsidRDefault="009A4261" w:rsidP="009A4261">
            <w:pPr>
              <w:pStyle w:val="ParagraphStyle6"/>
              <w:rPr>
                <w:rStyle w:val="CharacterStyle6"/>
              </w:rPr>
            </w:pPr>
            <w:r w:rsidRPr="009A4261">
              <w:rPr>
                <w:rStyle w:val="CharacterStyle6"/>
              </w:rPr>
              <w:t>6.912.063,79</w:t>
            </w:r>
          </w:p>
        </w:tc>
        <w:tc>
          <w:tcPr>
            <w:tcW w:w="1935" w:type="dxa"/>
            <w:tcBorders>
              <w:bottom w:val="single" w:sz="6" w:space="0" w:color="000000"/>
              <w:right w:val="single" w:sz="6" w:space="0" w:color="000000"/>
            </w:tcBorders>
            <w:vAlign w:val="center"/>
          </w:tcPr>
          <w:p w14:paraId="117F75AB" w14:textId="77777777" w:rsidR="009A4261" w:rsidRPr="009A4261" w:rsidRDefault="009A4261" w:rsidP="009A4261">
            <w:pPr>
              <w:pStyle w:val="ParagraphStyle6"/>
              <w:rPr>
                <w:rStyle w:val="CharacterStyle6"/>
              </w:rPr>
            </w:pPr>
            <w:r w:rsidRPr="009A4261">
              <w:rPr>
                <w:rStyle w:val="CharacterStyle6"/>
              </w:rPr>
              <w:t>7.021.187,44</w:t>
            </w:r>
          </w:p>
        </w:tc>
        <w:tc>
          <w:tcPr>
            <w:tcW w:w="1935" w:type="dxa"/>
            <w:tcBorders>
              <w:bottom w:val="single" w:sz="6" w:space="0" w:color="000000"/>
              <w:right w:val="single" w:sz="6" w:space="0" w:color="000000"/>
            </w:tcBorders>
            <w:vAlign w:val="center"/>
          </w:tcPr>
          <w:p w14:paraId="61D1DE69" w14:textId="77777777" w:rsidR="009A4261" w:rsidRPr="009A4261" w:rsidRDefault="009A4261" w:rsidP="009A4261">
            <w:pPr>
              <w:pStyle w:val="ParagraphStyle6"/>
              <w:rPr>
                <w:rStyle w:val="CharacterStyle6"/>
              </w:rPr>
            </w:pPr>
            <w:r w:rsidRPr="009A4261">
              <w:rPr>
                <w:rStyle w:val="CharacterStyle6"/>
              </w:rPr>
              <w:t>8.684.731,50</w:t>
            </w:r>
          </w:p>
        </w:tc>
        <w:tc>
          <w:tcPr>
            <w:tcW w:w="1935" w:type="dxa"/>
            <w:tcBorders>
              <w:bottom w:val="single" w:sz="6" w:space="0" w:color="000000"/>
              <w:right w:val="single" w:sz="6" w:space="0" w:color="000000"/>
            </w:tcBorders>
            <w:vAlign w:val="center"/>
          </w:tcPr>
          <w:p w14:paraId="4B4E5250" w14:textId="77777777" w:rsidR="009A4261" w:rsidRPr="009A4261" w:rsidRDefault="009A4261" w:rsidP="009A4261">
            <w:pPr>
              <w:pStyle w:val="ParagraphStyle6"/>
              <w:rPr>
                <w:rStyle w:val="CharacterStyle6"/>
              </w:rPr>
            </w:pPr>
            <w:r w:rsidRPr="009A4261">
              <w:rPr>
                <w:rStyle w:val="CharacterStyle6"/>
              </w:rPr>
              <w:t>7.633.813,50</w:t>
            </w:r>
          </w:p>
        </w:tc>
      </w:tr>
      <w:tr w:rsidR="009A4261" w14:paraId="079A9DAA" w14:textId="77777777" w:rsidTr="009A4261">
        <w:trPr>
          <w:trHeight w:val="360"/>
        </w:trPr>
        <w:tc>
          <w:tcPr>
            <w:tcW w:w="5190" w:type="dxa"/>
            <w:tcBorders>
              <w:left w:val="single" w:sz="6" w:space="0" w:color="000000"/>
              <w:bottom w:val="single" w:sz="6" w:space="0" w:color="000000"/>
              <w:right w:val="single" w:sz="6" w:space="0" w:color="000000"/>
            </w:tcBorders>
            <w:vAlign w:val="center"/>
          </w:tcPr>
          <w:p w14:paraId="4385F527" w14:textId="77777777" w:rsidR="009A4261" w:rsidRPr="00EE3A4E" w:rsidRDefault="009A4261" w:rsidP="009A4261">
            <w:pPr>
              <w:pStyle w:val="ParagraphStyle7"/>
              <w:rPr>
                <w:rStyle w:val="CharacterStyle7"/>
              </w:rPr>
            </w:pPr>
            <w:r w:rsidRPr="00EE3A4E">
              <w:rPr>
                <w:rStyle w:val="CharacterStyle7"/>
              </w:rPr>
              <w:t>40 Prihodi od komunalne naknade i komunalnog doprinosa</w:t>
            </w:r>
          </w:p>
        </w:tc>
        <w:tc>
          <w:tcPr>
            <w:tcW w:w="1920" w:type="dxa"/>
            <w:tcBorders>
              <w:bottom w:val="single" w:sz="6" w:space="0" w:color="000000"/>
              <w:right w:val="single" w:sz="6" w:space="0" w:color="000000"/>
            </w:tcBorders>
            <w:vAlign w:val="center"/>
          </w:tcPr>
          <w:p w14:paraId="051AA3F3" w14:textId="77777777" w:rsidR="009A4261" w:rsidRPr="009A4261" w:rsidRDefault="009A4261" w:rsidP="009A4261">
            <w:pPr>
              <w:pStyle w:val="ParagraphStyle8"/>
              <w:jc w:val="right"/>
              <w:rPr>
                <w:rStyle w:val="CharacterStyle8"/>
                <w:i w:val="0"/>
              </w:rPr>
            </w:pPr>
            <w:r w:rsidRPr="009A4261">
              <w:rPr>
                <w:rStyle w:val="CharacterStyle8"/>
                <w:i w:val="0"/>
              </w:rPr>
              <w:t>0,00</w:t>
            </w:r>
          </w:p>
        </w:tc>
        <w:tc>
          <w:tcPr>
            <w:tcW w:w="1935" w:type="dxa"/>
            <w:tcBorders>
              <w:bottom w:val="single" w:sz="6" w:space="0" w:color="000000"/>
              <w:right w:val="single" w:sz="6" w:space="0" w:color="000000"/>
            </w:tcBorders>
            <w:vAlign w:val="center"/>
          </w:tcPr>
          <w:p w14:paraId="6A105F64" w14:textId="77777777" w:rsidR="009A4261" w:rsidRPr="009A4261" w:rsidRDefault="009A4261" w:rsidP="009A4261">
            <w:pPr>
              <w:pStyle w:val="ParagraphStyle8"/>
              <w:jc w:val="right"/>
              <w:rPr>
                <w:rStyle w:val="CharacterStyle8"/>
                <w:i w:val="0"/>
              </w:rPr>
            </w:pPr>
            <w:r w:rsidRPr="009A4261">
              <w:rPr>
                <w:rStyle w:val="CharacterStyle8"/>
                <w:i w:val="0"/>
              </w:rPr>
              <w:t>0,00</w:t>
            </w:r>
          </w:p>
        </w:tc>
        <w:tc>
          <w:tcPr>
            <w:tcW w:w="1935" w:type="dxa"/>
            <w:tcBorders>
              <w:bottom w:val="single" w:sz="6" w:space="0" w:color="000000"/>
              <w:right w:val="single" w:sz="6" w:space="0" w:color="000000"/>
            </w:tcBorders>
            <w:vAlign w:val="center"/>
          </w:tcPr>
          <w:p w14:paraId="11286F6D" w14:textId="77777777" w:rsidR="009A4261" w:rsidRPr="009A4261" w:rsidRDefault="009A4261" w:rsidP="009A4261">
            <w:pPr>
              <w:pStyle w:val="ParagraphStyle9"/>
              <w:rPr>
                <w:rStyle w:val="CharacterStyle9"/>
                <w:i w:val="0"/>
              </w:rPr>
            </w:pPr>
            <w:r w:rsidRPr="009A4261">
              <w:rPr>
                <w:rStyle w:val="CharacterStyle9"/>
                <w:i w:val="0"/>
              </w:rPr>
              <w:t>3.916.095,13</w:t>
            </w:r>
          </w:p>
        </w:tc>
        <w:tc>
          <w:tcPr>
            <w:tcW w:w="1935" w:type="dxa"/>
            <w:tcBorders>
              <w:bottom w:val="single" w:sz="6" w:space="0" w:color="000000"/>
              <w:right w:val="single" w:sz="6" w:space="0" w:color="000000"/>
            </w:tcBorders>
            <w:vAlign w:val="center"/>
          </w:tcPr>
          <w:p w14:paraId="574751E2" w14:textId="77777777" w:rsidR="009A4261" w:rsidRPr="009A4261" w:rsidRDefault="009A4261" w:rsidP="009A4261">
            <w:pPr>
              <w:pStyle w:val="ParagraphStyle9"/>
              <w:rPr>
                <w:rStyle w:val="CharacterStyle9"/>
                <w:i w:val="0"/>
              </w:rPr>
            </w:pPr>
            <w:r w:rsidRPr="009A4261">
              <w:rPr>
                <w:rStyle w:val="CharacterStyle9"/>
                <w:i w:val="0"/>
              </w:rPr>
              <w:t>5.623.510,00</w:t>
            </w:r>
          </w:p>
        </w:tc>
        <w:tc>
          <w:tcPr>
            <w:tcW w:w="1935" w:type="dxa"/>
            <w:tcBorders>
              <w:bottom w:val="single" w:sz="6" w:space="0" w:color="000000"/>
              <w:right w:val="single" w:sz="6" w:space="0" w:color="000000"/>
            </w:tcBorders>
            <w:vAlign w:val="center"/>
          </w:tcPr>
          <w:p w14:paraId="661D2829" w14:textId="77777777" w:rsidR="009A4261" w:rsidRPr="009A4261" w:rsidRDefault="009A4261" w:rsidP="009A4261">
            <w:pPr>
              <w:pStyle w:val="ParagraphStyle9"/>
              <w:rPr>
                <w:rStyle w:val="CharacterStyle9"/>
                <w:i w:val="0"/>
              </w:rPr>
            </w:pPr>
            <w:r w:rsidRPr="009A4261">
              <w:rPr>
                <w:rStyle w:val="CharacterStyle9"/>
                <w:i w:val="0"/>
              </w:rPr>
              <w:t>4.575.070,00</w:t>
            </w:r>
          </w:p>
        </w:tc>
      </w:tr>
      <w:tr w:rsidR="009A4261" w14:paraId="5BEDF14C" w14:textId="77777777" w:rsidTr="009A4261">
        <w:trPr>
          <w:trHeight w:val="360"/>
        </w:trPr>
        <w:tc>
          <w:tcPr>
            <w:tcW w:w="5190" w:type="dxa"/>
            <w:tcBorders>
              <w:left w:val="single" w:sz="6" w:space="0" w:color="000000"/>
              <w:bottom w:val="single" w:sz="6" w:space="0" w:color="000000"/>
              <w:right w:val="single" w:sz="6" w:space="0" w:color="000000"/>
            </w:tcBorders>
            <w:vAlign w:val="center"/>
          </w:tcPr>
          <w:p w14:paraId="519F4465" w14:textId="77777777" w:rsidR="009A4261" w:rsidRPr="00EE3A4E" w:rsidRDefault="009A4261" w:rsidP="009A4261">
            <w:pPr>
              <w:pStyle w:val="ParagraphStyle7"/>
              <w:rPr>
                <w:rStyle w:val="CharacterStyle7"/>
              </w:rPr>
            </w:pPr>
            <w:r w:rsidRPr="00EE3A4E">
              <w:rPr>
                <w:rStyle w:val="CharacterStyle7"/>
              </w:rPr>
              <w:t>41 Prihodi za posebne namjene</w:t>
            </w:r>
          </w:p>
        </w:tc>
        <w:tc>
          <w:tcPr>
            <w:tcW w:w="1920" w:type="dxa"/>
            <w:tcBorders>
              <w:bottom w:val="single" w:sz="6" w:space="0" w:color="000000"/>
              <w:right w:val="single" w:sz="6" w:space="0" w:color="000000"/>
            </w:tcBorders>
            <w:vAlign w:val="center"/>
          </w:tcPr>
          <w:p w14:paraId="660FB506" w14:textId="77777777" w:rsidR="009A4261" w:rsidRPr="009A4261" w:rsidRDefault="009A4261" w:rsidP="009A4261">
            <w:pPr>
              <w:pStyle w:val="ParagraphStyle8"/>
              <w:jc w:val="right"/>
              <w:rPr>
                <w:rStyle w:val="CharacterStyle8"/>
                <w:i w:val="0"/>
              </w:rPr>
            </w:pPr>
            <w:r w:rsidRPr="009A4261">
              <w:rPr>
                <w:rStyle w:val="CharacterStyle8"/>
                <w:i w:val="0"/>
              </w:rPr>
              <w:t>5.576.640,51</w:t>
            </w:r>
          </w:p>
        </w:tc>
        <w:tc>
          <w:tcPr>
            <w:tcW w:w="1935" w:type="dxa"/>
            <w:tcBorders>
              <w:bottom w:val="single" w:sz="6" w:space="0" w:color="000000"/>
              <w:right w:val="single" w:sz="6" w:space="0" w:color="000000"/>
            </w:tcBorders>
            <w:vAlign w:val="center"/>
          </w:tcPr>
          <w:p w14:paraId="03A09B53" w14:textId="77777777" w:rsidR="009A4261" w:rsidRPr="009A4261" w:rsidRDefault="009A4261" w:rsidP="009A4261">
            <w:pPr>
              <w:pStyle w:val="ParagraphStyle8"/>
              <w:jc w:val="right"/>
              <w:rPr>
                <w:rStyle w:val="CharacterStyle8"/>
                <w:i w:val="0"/>
              </w:rPr>
            </w:pPr>
            <w:r w:rsidRPr="009A4261">
              <w:rPr>
                <w:rStyle w:val="CharacterStyle8"/>
                <w:i w:val="0"/>
              </w:rPr>
              <w:t>6.912.063,79</w:t>
            </w:r>
          </w:p>
        </w:tc>
        <w:tc>
          <w:tcPr>
            <w:tcW w:w="1935" w:type="dxa"/>
            <w:tcBorders>
              <w:bottom w:val="single" w:sz="6" w:space="0" w:color="000000"/>
              <w:right w:val="single" w:sz="6" w:space="0" w:color="000000"/>
            </w:tcBorders>
            <w:vAlign w:val="center"/>
          </w:tcPr>
          <w:p w14:paraId="43736118" w14:textId="77777777" w:rsidR="009A4261" w:rsidRPr="009A4261" w:rsidRDefault="009A4261" w:rsidP="009A4261">
            <w:pPr>
              <w:pStyle w:val="ParagraphStyle9"/>
              <w:rPr>
                <w:rStyle w:val="CharacterStyle9"/>
                <w:i w:val="0"/>
              </w:rPr>
            </w:pPr>
            <w:r w:rsidRPr="009A4261">
              <w:rPr>
                <w:rStyle w:val="CharacterStyle9"/>
                <w:i w:val="0"/>
              </w:rPr>
              <w:t>0,00</w:t>
            </w:r>
          </w:p>
        </w:tc>
        <w:tc>
          <w:tcPr>
            <w:tcW w:w="1935" w:type="dxa"/>
            <w:tcBorders>
              <w:bottom w:val="single" w:sz="6" w:space="0" w:color="000000"/>
              <w:right w:val="single" w:sz="6" w:space="0" w:color="000000"/>
            </w:tcBorders>
            <w:vAlign w:val="center"/>
          </w:tcPr>
          <w:p w14:paraId="3C60BA6C" w14:textId="77777777" w:rsidR="009A4261" w:rsidRPr="009A4261" w:rsidRDefault="009A4261" w:rsidP="009A4261">
            <w:pPr>
              <w:pStyle w:val="ParagraphStyle9"/>
              <w:rPr>
                <w:rStyle w:val="CharacterStyle9"/>
                <w:i w:val="0"/>
              </w:rPr>
            </w:pPr>
            <w:r w:rsidRPr="009A4261">
              <w:rPr>
                <w:rStyle w:val="CharacterStyle9"/>
                <w:i w:val="0"/>
              </w:rPr>
              <w:t>0,00</w:t>
            </w:r>
          </w:p>
        </w:tc>
        <w:tc>
          <w:tcPr>
            <w:tcW w:w="1935" w:type="dxa"/>
            <w:tcBorders>
              <w:bottom w:val="single" w:sz="6" w:space="0" w:color="000000"/>
              <w:right w:val="single" w:sz="6" w:space="0" w:color="000000"/>
            </w:tcBorders>
            <w:vAlign w:val="center"/>
          </w:tcPr>
          <w:p w14:paraId="65DC9FDE" w14:textId="77777777" w:rsidR="009A4261" w:rsidRPr="009A4261" w:rsidRDefault="009A4261" w:rsidP="009A4261">
            <w:pPr>
              <w:pStyle w:val="ParagraphStyle9"/>
              <w:rPr>
                <w:rStyle w:val="CharacterStyle9"/>
                <w:i w:val="0"/>
              </w:rPr>
            </w:pPr>
            <w:r w:rsidRPr="009A4261">
              <w:rPr>
                <w:rStyle w:val="CharacterStyle9"/>
                <w:i w:val="0"/>
              </w:rPr>
              <w:t>0,00</w:t>
            </w:r>
          </w:p>
        </w:tc>
      </w:tr>
      <w:tr w:rsidR="009A4261" w14:paraId="6E77A64D" w14:textId="77777777" w:rsidTr="009A4261">
        <w:trPr>
          <w:trHeight w:val="360"/>
        </w:trPr>
        <w:tc>
          <w:tcPr>
            <w:tcW w:w="5190" w:type="dxa"/>
            <w:tcBorders>
              <w:left w:val="single" w:sz="6" w:space="0" w:color="000000"/>
              <w:bottom w:val="single" w:sz="6" w:space="0" w:color="000000"/>
              <w:right w:val="single" w:sz="6" w:space="0" w:color="000000"/>
            </w:tcBorders>
            <w:vAlign w:val="center"/>
          </w:tcPr>
          <w:p w14:paraId="524ECECB" w14:textId="77777777" w:rsidR="009A4261" w:rsidRPr="00EE3A4E" w:rsidRDefault="009A4261" w:rsidP="009A4261">
            <w:pPr>
              <w:pStyle w:val="ParagraphStyle7"/>
              <w:rPr>
                <w:rStyle w:val="CharacterStyle7"/>
              </w:rPr>
            </w:pPr>
            <w:r w:rsidRPr="00EE3A4E">
              <w:rPr>
                <w:rStyle w:val="CharacterStyle7"/>
              </w:rPr>
              <w:t>42 Prihodi od spomeničke rente</w:t>
            </w:r>
          </w:p>
        </w:tc>
        <w:tc>
          <w:tcPr>
            <w:tcW w:w="1920" w:type="dxa"/>
            <w:tcBorders>
              <w:bottom w:val="single" w:sz="6" w:space="0" w:color="000000"/>
              <w:right w:val="single" w:sz="6" w:space="0" w:color="000000"/>
            </w:tcBorders>
            <w:vAlign w:val="center"/>
          </w:tcPr>
          <w:p w14:paraId="346027F3" w14:textId="77777777" w:rsidR="009A4261" w:rsidRPr="009A4261" w:rsidRDefault="009A4261" w:rsidP="009A4261">
            <w:pPr>
              <w:pStyle w:val="ParagraphStyle8"/>
              <w:jc w:val="right"/>
              <w:rPr>
                <w:rStyle w:val="CharacterStyle8"/>
                <w:i w:val="0"/>
              </w:rPr>
            </w:pPr>
            <w:r w:rsidRPr="009A4261">
              <w:rPr>
                <w:rStyle w:val="CharacterStyle8"/>
                <w:i w:val="0"/>
              </w:rPr>
              <w:t>0,00</w:t>
            </w:r>
          </w:p>
        </w:tc>
        <w:tc>
          <w:tcPr>
            <w:tcW w:w="1935" w:type="dxa"/>
            <w:tcBorders>
              <w:bottom w:val="single" w:sz="6" w:space="0" w:color="000000"/>
              <w:right w:val="single" w:sz="6" w:space="0" w:color="000000"/>
            </w:tcBorders>
            <w:vAlign w:val="center"/>
          </w:tcPr>
          <w:p w14:paraId="67E965D3" w14:textId="77777777" w:rsidR="009A4261" w:rsidRPr="009A4261" w:rsidRDefault="009A4261" w:rsidP="009A4261">
            <w:pPr>
              <w:pStyle w:val="ParagraphStyle8"/>
              <w:jc w:val="right"/>
              <w:rPr>
                <w:rStyle w:val="CharacterStyle8"/>
                <w:i w:val="0"/>
              </w:rPr>
            </w:pPr>
            <w:r w:rsidRPr="009A4261">
              <w:rPr>
                <w:rStyle w:val="CharacterStyle8"/>
                <w:i w:val="0"/>
              </w:rPr>
              <w:t>0,00</w:t>
            </w:r>
          </w:p>
        </w:tc>
        <w:tc>
          <w:tcPr>
            <w:tcW w:w="1935" w:type="dxa"/>
            <w:tcBorders>
              <w:bottom w:val="single" w:sz="6" w:space="0" w:color="000000"/>
              <w:right w:val="single" w:sz="6" w:space="0" w:color="000000"/>
            </w:tcBorders>
            <w:vAlign w:val="center"/>
          </w:tcPr>
          <w:p w14:paraId="7FF4339A" w14:textId="77777777" w:rsidR="009A4261" w:rsidRPr="009A4261" w:rsidRDefault="009A4261" w:rsidP="009A4261">
            <w:pPr>
              <w:pStyle w:val="ParagraphStyle9"/>
              <w:rPr>
                <w:rStyle w:val="CharacterStyle9"/>
                <w:i w:val="0"/>
              </w:rPr>
            </w:pPr>
            <w:r w:rsidRPr="009A4261">
              <w:rPr>
                <w:rStyle w:val="CharacterStyle9"/>
                <w:i w:val="0"/>
              </w:rPr>
              <w:t>140.502,00</w:t>
            </w:r>
          </w:p>
        </w:tc>
        <w:tc>
          <w:tcPr>
            <w:tcW w:w="1935" w:type="dxa"/>
            <w:tcBorders>
              <w:bottom w:val="single" w:sz="6" w:space="0" w:color="000000"/>
              <w:right w:val="single" w:sz="6" w:space="0" w:color="000000"/>
            </w:tcBorders>
            <w:vAlign w:val="center"/>
          </w:tcPr>
          <w:p w14:paraId="566CA6FC" w14:textId="77777777" w:rsidR="009A4261" w:rsidRPr="009A4261" w:rsidRDefault="009A4261" w:rsidP="009A4261">
            <w:pPr>
              <w:pStyle w:val="ParagraphStyle9"/>
              <w:rPr>
                <w:rStyle w:val="CharacterStyle9"/>
                <w:i w:val="0"/>
              </w:rPr>
            </w:pPr>
            <w:r w:rsidRPr="009A4261">
              <w:rPr>
                <w:rStyle w:val="CharacterStyle9"/>
                <w:i w:val="0"/>
              </w:rPr>
              <w:t>140.000,00</w:t>
            </w:r>
          </w:p>
        </w:tc>
        <w:tc>
          <w:tcPr>
            <w:tcW w:w="1935" w:type="dxa"/>
            <w:tcBorders>
              <w:bottom w:val="single" w:sz="6" w:space="0" w:color="000000"/>
              <w:right w:val="single" w:sz="6" w:space="0" w:color="000000"/>
            </w:tcBorders>
            <w:vAlign w:val="center"/>
          </w:tcPr>
          <w:p w14:paraId="214EFE1F" w14:textId="77777777" w:rsidR="009A4261" w:rsidRPr="009A4261" w:rsidRDefault="009A4261" w:rsidP="009A4261">
            <w:pPr>
              <w:pStyle w:val="ParagraphStyle9"/>
              <w:rPr>
                <w:rStyle w:val="CharacterStyle9"/>
                <w:i w:val="0"/>
              </w:rPr>
            </w:pPr>
            <w:r w:rsidRPr="009A4261">
              <w:rPr>
                <w:rStyle w:val="CharacterStyle9"/>
                <w:i w:val="0"/>
              </w:rPr>
              <w:t>125.000,00</w:t>
            </w:r>
          </w:p>
        </w:tc>
      </w:tr>
      <w:tr w:rsidR="009A4261" w14:paraId="3FFFAD33" w14:textId="77777777" w:rsidTr="009A4261">
        <w:trPr>
          <w:trHeight w:val="360"/>
        </w:trPr>
        <w:tc>
          <w:tcPr>
            <w:tcW w:w="5190" w:type="dxa"/>
            <w:tcBorders>
              <w:left w:val="single" w:sz="6" w:space="0" w:color="000000"/>
              <w:bottom w:val="single" w:sz="6" w:space="0" w:color="000000"/>
              <w:right w:val="single" w:sz="6" w:space="0" w:color="000000"/>
            </w:tcBorders>
            <w:vAlign w:val="center"/>
          </w:tcPr>
          <w:p w14:paraId="7F33DD44" w14:textId="77777777" w:rsidR="009A4261" w:rsidRPr="00EE3A4E" w:rsidRDefault="009A4261" w:rsidP="009A4261">
            <w:pPr>
              <w:pStyle w:val="ParagraphStyle7"/>
              <w:rPr>
                <w:rStyle w:val="CharacterStyle7"/>
              </w:rPr>
            </w:pPr>
            <w:r w:rsidRPr="00EE3A4E">
              <w:rPr>
                <w:rStyle w:val="CharacterStyle7"/>
              </w:rPr>
              <w:t>43 Ostali prihodi za posebne namjene</w:t>
            </w:r>
          </w:p>
        </w:tc>
        <w:tc>
          <w:tcPr>
            <w:tcW w:w="1920" w:type="dxa"/>
            <w:tcBorders>
              <w:bottom w:val="single" w:sz="6" w:space="0" w:color="000000"/>
              <w:right w:val="single" w:sz="6" w:space="0" w:color="000000"/>
            </w:tcBorders>
            <w:vAlign w:val="center"/>
          </w:tcPr>
          <w:p w14:paraId="03BC7F4E" w14:textId="77777777" w:rsidR="009A4261" w:rsidRPr="009A4261" w:rsidRDefault="009A4261" w:rsidP="009A4261">
            <w:pPr>
              <w:pStyle w:val="ParagraphStyle8"/>
              <w:jc w:val="right"/>
              <w:rPr>
                <w:rStyle w:val="CharacterStyle8"/>
                <w:i w:val="0"/>
              </w:rPr>
            </w:pPr>
            <w:r w:rsidRPr="009A4261">
              <w:rPr>
                <w:rStyle w:val="CharacterStyle8"/>
                <w:i w:val="0"/>
              </w:rPr>
              <w:t>0,00</w:t>
            </w:r>
          </w:p>
        </w:tc>
        <w:tc>
          <w:tcPr>
            <w:tcW w:w="1935" w:type="dxa"/>
            <w:tcBorders>
              <w:bottom w:val="single" w:sz="6" w:space="0" w:color="000000"/>
              <w:right w:val="single" w:sz="6" w:space="0" w:color="000000"/>
            </w:tcBorders>
            <w:vAlign w:val="center"/>
          </w:tcPr>
          <w:p w14:paraId="716C81B7" w14:textId="77777777" w:rsidR="009A4261" w:rsidRPr="009A4261" w:rsidRDefault="009A4261" w:rsidP="009A4261">
            <w:pPr>
              <w:pStyle w:val="ParagraphStyle8"/>
              <w:jc w:val="right"/>
              <w:rPr>
                <w:rStyle w:val="CharacterStyle8"/>
                <w:i w:val="0"/>
              </w:rPr>
            </w:pPr>
            <w:r w:rsidRPr="009A4261">
              <w:rPr>
                <w:rStyle w:val="CharacterStyle8"/>
                <w:i w:val="0"/>
              </w:rPr>
              <w:t>0,00</w:t>
            </w:r>
          </w:p>
        </w:tc>
        <w:tc>
          <w:tcPr>
            <w:tcW w:w="1935" w:type="dxa"/>
            <w:tcBorders>
              <w:bottom w:val="single" w:sz="6" w:space="0" w:color="000000"/>
              <w:right w:val="single" w:sz="6" w:space="0" w:color="000000"/>
            </w:tcBorders>
            <w:vAlign w:val="center"/>
          </w:tcPr>
          <w:p w14:paraId="6AB93407" w14:textId="77777777" w:rsidR="009A4261" w:rsidRPr="009A4261" w:rsidRDefault="009A4261" w:rsidP="009A4261">
            <w:pPr>
              <w:pStyle w:val="ParagraphStyle9"/>
              <w:rPr>
                <w:rStyle w:val="CharacterStyle9"/>
                <w:i w:val="0"/>
              </w:rPr>
            </w:pPr>
            <w:r w:rsidRPr="009A4261">
              <w:rPr>
                <w:rStyle w:val="CharacterStyle9"/>
                <w:i w:val="0"/>
              </w:rPr>
              <w:t>2.964.590,31</w:t>
            </w:r>
          </w:p>
        </w:tc>
        <w:tc>
          <w:tcPr>
            <w:tcW w:w="1935" w:type="dxa"/>
            <w:tcBorders>
              <w:bottom w:val="single" w:sz="6" w:space="0" w:color="000000"/>
              <w:right w:val="single" w:sz="6" w:space="0" w:color="000000"/>
            </w:tcBorders>
            <w:vAlign w:val="center"/>
          </w:tcPr>
          <w:p w14:paraId="5E0DD5C5" w14:textId="77777777" w:rsidR="009A4261" w:rsidRPr="009A4261" w:rsidRDefault="009A4261" w:rsidP="009A4261">
            <w:pPr>
              <w:pStyle w:val="ParagraphStyle9"/>
              <w:rPr>
                <w:rStyle w:val="CharacterStyle9"/>
                <w:i w:val="0"/>
              </w:rPr>
            </w:pPr>
            <w:r w:rsidRPr="009A4261">
              <w:rPr>
                <w:rStyle w:val="CharacterStyle9"/>
                <w:i w:val="0"/>
              </w:rPr>
              <w:t>2.921.221,50</w:t>
            </w:r>
          </w:p>
        </w:tc>
        <w:tc>
          <w:tcPr>
            <w:tcW w:w="1935" w:type="dxa"/>
            <w:tcBorders>
              <w:bottom w:val="single" w:sz="6" w:space="0" w:color="000000"/>
              <w:right w:val="single" w:sz="6" w:space="0" w:color="000000"/>
            </w:tcBorders>
            <w:vAlign w:val="center"/>
          </w:tcPr>
          <w:p w14:paraId="53CECF9D" w14:textId="77777777" w:rsidR="009A4261" w:rsidRPr="009A4261" w:rsidRDefault="009A4261" w:rsidP="009A4261">
            <w:pPr>
              <w:pStyle w:val="ParagraphStyle9"/>
              <w:rPr>
                <w:rStyle w:val="CharacterStyle9"/>
                <w:i w:val="0"/>
              </w:rPr>
            </w:pPr>
            <w:r w:rsidRPr="009A4261">
              <w:rPr>
                <w:rStyle w:val="CharacterStyle9"/>
                <w:i w:val="0"/>
              </w:rPr>
              <w:t>2.933.743,50</w:t>
            </w:r>
          </w:p>
        </w:tc>
      </w:tr>
      <w:tr w:rsidR="009A4261" w14:paraId="518228AE" w14:textId="77777777" w:rsidTr="009A4261">
        <w:trPr>
          <w:trHeight w:val="360"/>
        </w:trPr>
        <w:tc>
          <w:tcPr>
            <w:tcW w:w="5190" w:type="dxa"/>
            <w:tcBorders>
              <w:left w:val="single" w:sz="6" w:space="0" w:color="000000"/>
              <w:bottom w:val="single" w:sz="6" w:space="0" w:color="000000"/>
              <w:right w:val="single" w:sz="6" w:space="0" w:color="000000"/>
            </w:tcBorders>
            <w:vAlign w:val="center"/>
          </w:tcPr>
          <w:p w14:paraId="4EA45E56" w14:textId="77777777" w:rsidR="009A4261" w:rsidRPr="00EE3A4E" w:rsidRDefault="009A4261" w:rsidP="009A4261">
            <w:pPr>
              <w:pStyle w:val="ParagraphStyle5"/>
              <w:rPr>
                <w:rStyle w:val="CharacterStyle5"/>
              </w:rPr>
            </w:pPr>
            <w:r w:rsidRPr="00EE3A4E">
              <w:rPr>
                <w:rStyle w:val="CharacterStyle5"/>
              </w:rPr>
              <w:t>5 POMOĆI</w:t>
            </w:r>
          </w:p>
        </w:tc>
        <w:tc>
          <w:tcPr>
            <w:tcW w:w="1920" w:type="dxa"/>
            <w:tcBorders>
              <w:bottom w:val="single" w:sz="6" w:space="0" w:color="000000"/>
              <w:right w:val="single" w:sz="6" w:space="0" w:color="000000"/>
            </w:tcBorders>
            <w:vAlign w:val="center"/>
          </w:tcPr>
          <w:p w14:paraId="12C3D6CC" w14:textId="77777777" w:rsidR="009A4261" w:rsidRPr="009A4261" w:rsidRDefault="009A4261" w:rsidP="009A4261">
            <w:pPr>
              <w:pStyle w:val="ParagraphStyle6"/>
              <w:rPr>
                <w:rStyle w:val="CharacterStyle6"/>
              </w:rPr>
            </w:pPr>
            <w:r w:rsidRPr="009A4261">
              <w:rPr>
                <w:rStyle w:val="CharacterStyle6"/>
              </w:rPr>
              <w:t>8.181.582,74</w:t>
            </w:r>
          </w:p>
        </w:tc>
        <w:tc>
          <w:tcPr>
            <w:tcW w:w="1935" w:type="dxa"/>
            <w:tcBorders>
              <w:bottom w:val="single" w:sz="6" w:space="0" w:color="000000"/>
              <w:right w:val="single" w:sz="6" w:space="0" w:color="000000"/>
            </w:tcBorders>
            <w:vAlign w:val="center"/>
          </w:tcPr>
          <w:p w14:paraId="7E140382" w14:textId="77777777" w:rsidR="009A4261" w:rsidRPr="009A4261" w:rsidRDefault="009A4261" w:rsidP="009A4261">
            <w:pPr>
              <w:pStyle w:val="ParagraphStyle6"/>
              <w:rPr>
                <w:rStyle w:val="CharacterStyle6"/>
              </w:rPr>
            </w:pPr>
            <w:r w:rsidRPr="009A4261">
              <w:rPr>
                <w:rStyle w:val="CharacterStyle6"/>
              </w:rPr>
              <w:t>15.298.837,82</w:t>
            </w:r>
          </w:p>
        </w:tc>
        <w:tc>
          <w:tcPr>
            <w:tcW w:w="1935" w:type="dxa"/>
            <w:tcBorders>
              <w:bottom w:val="single" w:sz="6" w:space="0" w:color="000000"/>
              <w:right w:val="single" w:sz="6" w:space="0" w:color="000000"/>
            </w:tcBorders>
            <w:vAlign w:val="center"/>
          </w:tcPr>
          <w:p w14:paraId="60D7834B" w14:textId="77777777" w:rsidR="009A4261" w:rsidRPr="009A4261" w:rsidRDefault="009A4261" w:rsidP="009A4261">
            <w:pPr>
              <w:pStyle w:val="ParagraphStyle6"/>
              <w:rPr>
                <w:rStyle w:val="CharacterStyle6"/>
              </w:rPr>
            </w:pPr>
            <w:r w:rsidRPr="009A4261">
              <w:rPr>
                <w:rStyle w:val="CharacterStyle6"/>
              </w:rPr>
              <w:t>17.810.240,85</w:t>
            </w:r>
          </w:p>
        </w:tc>
        <w:tc>
          <w:tcPr>
            <w:tcW w:w="1935" w:type="dxa"/>
            <w:tcBorders>
              <w:bottom w:val="single" w:sz="6" w:space="0" w:color="000000"/>
              <w:right w:val="single" w:sz="6" w:space="0" w:color="000000"/>
            </w:tcBorders>
            <w:vAlign w:val="center"/>
          </w:tcPr>
          <w:p w14:paraId="46D4B1D5" w14:textId="77777777" w:rsidR="009A4261" w:rsidRPr="009A4261" w:rsidRDefault="009A4261" w:rsidP="009A4261">
            <w:pPr>
              <w:pStyle w:val="ParagraphStyle6"/>
              <w:rPr>
                <w:rStyle w:val="CharacterStyle6"/>
              </w:rPr>
            </w:pPr>
            <w:r w:rsidRPr="009A4261">
              <w:rPr>
                <w:rStyle w:val="CharacterStyle6"/>
              </w:rPr>
              <w:t>8.279.421,45</w:t>
            </w:r>
          </w:p>
        </w:tc>
        <w:tc>
          <w:tcPr>
            <w:tcW w:w="1935" w:type="dxa"/>
            <w:tcBorders>
              <w:bottom w:val="single" w:sz="6" w:space="0" w:color="000000"/>
              <w:right w:val="single" w:sz="6" w:space="0" w:color="000000"/>
            </w:tcBorders>
            <w:vAlign w:val="center"/>
          </w:tcPr>
          <w:p w14:paraId="68B70D32" w14:textId="77777777" w:rsidR="009A4261" w:rsidRPr="009A4261" w:rsidRDefault="009A4261" w:rsidP="009A4261">
            <w:pPr>
              <w:pStyle w:val="ParagraphStyle6"/>
              <w:rPr>
                <w:rStyle w:val="CharacterStyle6"/>
              </w:rPr>
            </w:pPr>
            <w:r w:rsidRPr="009A4261">
              <w:rPr>
                <w:rStyle w:val="CharacterStyle6"/>
              </w:rPr>
              <w:t>8.365.829,86</w:t>
            </w:r>
          </w:p>
        </w:tc>
      </w:tr>
      <w:tr w:rsidR="009A4261" w14:paraId="7DB4552F" w14:textId="77777777" w:rsidTr="009A4261">
        <w:trPr>
          <w:trHeight w:val="360"/>
        </w:trPr>
        <w:tc>
          <w:tcPr>
            <w:tcW w:w="5190" w:type="dxa"/>
            <w:tcBorders>
              <w:left w:val="single" w:sz="6" w:space="0" w:color="000000"/>
              <w:bottom w:val="single" w:sz="6" w:space="0" w:color="000000"/>
              <w:right w:val="single" w:sz="6" w:space="0" w:color="000000"/>
            </w:tcBorders>
            <w:vAlign w:val="center"/>
          </w:tcPr>
          <w:p w14:paraId="095F7C2C" w14:textId="77777777" w:rsidR="009A4261" w:rsidRPr="00EE3A4E" w:rsidRDefault="009A4261" w:rsidP="009A4261">
            <w:pPr>
              <w:pStyle w:val="ParagraphStyle7"/>
              <w:rPr>
                <w:rStyle w:val="CharacterStyle7"/>
              </w:rPr>
            </w:pPr>
            <w:r w:rsidRPr="00EE3A4E">
              <w:rPr>
                <w:rStyle w:val="CharacterStyle7"/>
              </w:rPr>
              <w:t>50 Pomoći iz državnog proračuna</w:t>
            </w:r>
          </w:p>
        </w:tc>
        <w:tc>
          <w:tcPr>
            <w:tcW w:w="1920" w:type="dxa"/>
            <w:tcBorders>
              <w:bottom w:val="single" w:sz="6" w:space="0" w:color="000000"/>
              <w:right w:val="single" w:sz="6" w:space="0" w:color="000000"/>
            </w:tcBorders>
            <w:vAlign w:val="center"/>
          </w:tcPr>
          <w:p w14:paraId="2F2B591C" w14:textId="77777777" w:rsidR="009A4261" w:rsidRPr="009A4261" w:rsidRDefault="009A4261" w:rsidP="009A4261">
            <w:pPr>
              <w:pStyle w:val="ParagraphStyle8"/>
              <w:jc w:val="right"/>
              <w:rPr>
                <w:rStyle w:val="CharacterStyle8"/>
                <w:i w:val="0"/>
              </w:rPr>
            </w:pPr>
            <w:r w:rsidRPr="009A4261">
              <w:rPr>
                <w:rStyle w:val="CharacterStyle8"/>
                <w:i w:val="0"/>
              </w:rPr>
              <w:t>842.712,36</w:t>
            </w:r>
          </w:p>
        </w:tc>
        <w:tc>
          <w:tcPr>
            <w:tcW w:w="1935" w:type="dxa"/>
            <w:tcBorders>
              <w:bottom w:val="single" w:sz="6" w:space="0" w:color="000000"/>
              <w:right w:val="single" w:sz="6" w:space="0" w:color="000000"/>
            </w:tcBorders>
            <w:vAlign w:val="center"/>
          </w:tcPr>
          <w:p w14:paraId="2D0658B2" w14:textId="77777777" w:rsidR="009A4261" w:rsidRPr="009A4261" w:rsidRDefault="009A4261" w:rsidP="009A4261">
            <w:pPr>
              <w:pStyle w:val="ParagraphStyle8"/>
              <w:jc w:val="right"/>
              <w:rPr>
                <w:rStyle w:val="CharacterStyle8"/>
                <w:i w:val="0"/>
              </w:rPr>
            </w:pPr>
            <w:r w:rsidRPr="009A4261">
              <w:rPr>
                <w:rStyle w:val="CharacterStyle8"/>
                <w:i w:val="0"/>
              </w:rPr>
              <w:t>892.995,00</w:t>
            </w:r>
          </w:p>
        </w:tc>
        <w:tc>
          <w:tcPr>
            <w:tcW w:w="1935" w:type="dxa"/>
            <w:tcBorders>
              <w:bottom w:val="single" w:sz="6" w:space="0" w:color="000000"/>
              <w:right w:val="single" w:sz="6" w:space="0" w:color="000000"/>
            </w:tcBorders>
            <w:vAlign w:val="center"/>
          </w:tcPr>
          <w:p w14:paraId="6785701D" w14:textId="77777777" w:rsidR="009A4261" w:rsidRPr="009A4261" w:rsidRDefault="009A4261" w:rsidP="009A4261">
            <w:pPr>
              <w:pStyle w:val="ParagraphStyle9"/>
              <w:rPr>
                <w:rStyle w:val="CharacterStyle9"/>
                <w:i w:val="0"/>
              </w:rPr>
            </w:pPr>
            <w:r w:rsidRPr="009A4261">
              <w:rPr>
                <w:rStyle w:val="CharacterStyle9"/>
                <w:i w:val="0"/>
              </w:rPr>
              <w:t>6.293.949,91</w:t>
            </w:r>
          </w:p>
        </w:tc>
        <w:tc>
          <w:tcPr>
            <w:tcW w:w="1935" w:type="dxa"/>
            <w:tcBorders>
              <w:bottom w:val="single" w:sz="6" w:space="0" w:color="000000"/>
              <w:right w:val="single" w:sz="6" w:space="0" w:color="000000"/>
            </w:tcBorders>
            <w:vAlign w:val="center"/>
          </w:tcPr>
          <w:p w14:paraId="052B055F" w14:textId="77777777" w:rsidR="009A4261" w:rsidRPr="009A4261" w:rsidRDefault="009A4261" w:rsidP="009A4261">
            <w:pPr>
              <w:pStyle w:val="ParagraphStyle9"/>
              <w:rPr>
                <w:rStyle w:val="CharacterStyle9"/>
                <w:i w:val="0"/>
              </w:rPr>
            </w:pPr>
            <w:r w:rsidRPr="009A4261">
              <w:rPr>
                <w:rStyle w:val="CharacterStyle9"/>
                <w:i w:val="0"/>
              </w:rPr>
              <w:t>6.329.558,27</w:t>
            </w:r>
          </w:p>
        </w:tc>
        <w:tc>
          <w:tcPr>
            <w:tcW w:w="1935" w:type="dxa"/>
            <w:tcBorders>
              <w:bottom w:val="single" w:sz="6" w:space="0" w:color="000000"/>
              <w:right w:val="single" w:sz="6" w:space="0" w:color="000000"/>
            </w:tcBorders>
            <w:vAlign w:val="center"/>
          </w:tcPr>
          <w:p w14:paraId="5E79B226" w14:textId="77777777" w:rsidR="009A4261" w:rsidRPr="009A4261" w:rsidRDefault="009A4261" w:rsidP="009A4261">
            <w:pPr>
              <w:pStyle w:val="ParagraphStyle9"/>
              <w:rPr>
                <w:rStyle w:val="CharacterStyle9"/>
                <w:i w:val="0"/>
              </w:rPr>
            </w:pPr>
            <w:r w:rsidRPr="009A4261">
              <w:rPr>
                <w:rStyle w:val="CharacterStyle9"/>
                <w:i w:val="0"/>
              </w:rPr>
              <w:t>6.394.142,54</w:t>
            </w:r>
          </w:p>
        </w:tc>
      </w:tr>
      <w:tr w:rsidR="009A4261" w14:paraId="2D3A8C5E" w14:textId="77777777" w:rsidTr="009A4261">
        <w:trPr>
          <w:trHeight w:val="360"/>
        </w:trPr>
        <w:tc>
          <w:tcPr>
            <w:tcW w:w="5190" w:type="dxa"/>
            <w:tcBorders>
              <w:left w:val="single" w:sz="6" w:space="0" w:color="000000"/>
              <w:bottom w:val="single" w:sz="6" w:space="0" w:color="000000"/>
              <w:right w:val="single" w:sz="6" w:space="0" w:color="000000"/>
            </w:tcBorders>
            <w:vAlign w:val="center"/>
          </w:tcPr>
          <w:p w14:paraId="0A34F62C" w14:textId="77777777" w:rsidR="009A4261" w:rsidRPr="00EE3A4E" w:rsidRDefault="009A4261" w:rsidP="009A4261">
            <w:pPr>
              <w:pStyle w:val="ParagraphStyle7"/>
              <w:rPr>
                <w:rStyle w:val="CharacterStyle7"/>
              </w:rPr>
            </w:pPr>
            <w:r w:rsidRPr="00EE3A4E">
              <w:rPr>
                <w:rStyle w:val="CharacterStyle7"/>
              </w:rPr>
              <w:t>51 Pomoći EU</w:t>
            </w:r>
          </w:p>
        </w:tc>
        <w:tc>
          <w:tcPr>
            <w:tcW w:w="1920" w:type="dxa"/>
            <w:tcBorders>
              <w:bottom w:val="single" w:sz="6" w:space="0" w:color="000000"/>
              <w:right w:val="single" w:sz="6" w:space="0" w:color="000000"/>
            </w:tcBorders>
            <w:vAlign w:val="center"/>
          </w:tcPr>
          <w:p w14:paraId="2CD4A078" w14:textId="77777777" w:rsidR="009A4261" w:rsidRPr="009A4261" w:rsidRDefault="009A4261" w:rsidP="009A4261">
            <w:pPr>
              <w:pStyle w:val="ParagraphStyle8"/>
              <w:jc w:val="right"/>
              <w:rPr>
                <w:rStyle w:val="CharacterStyle8"/>
                <w:i w:val="0"/>
              </w:rPr>
            </w:pPr>
            <w:r w:rsidRPr="009A4261">
              <w:rPr>
                <w:rStyle w:val="CharacterStyle8"/>
                <w:i w:val="0"/>
              </w:rPr>
              <w:t>0,00</w:t>
            </w:r>
          </w:p>
        </w:tc>
        <w:tc>
          <w:tcPr>
            <w:tcW w:w="1935" w:type="dxa"/>
            <w:tcBorders>
              <w:bottom w:val="single" w:sz="6" w:space="0" w:color="000000"/>
              <w:right w:val="single" w:sz="6" w:space="0" w:color="000000"/>
            </w:tcBorders>
            <w:vAlign w:val="center"/>
          </w:tcPr>
          <w:p w14:paraId="741CF50E" w14:textId="77777777" w:rsidR="009A4261" w:rsidRPr="009A4261" w:rsidRDefault="009A4261" w:rsidP="009A4261">
            <w:pPr>
              <w:pStyle w:val="ParagraphStyle8"/>
              <w:jc w:val="right"/>
              <w:rPr>
                <w:rStyle w:val="CharacterStyle8"/>
                <w:i w:val="0"/>
              </w:rPr>
            </w:pPr>
            <w:r w:rsidRPr="009A4261">
              <w:rPr>
                <w:rStyle w:val="CharacterStyle8"/>
                <w:i w:val="0"/>
              </w:rPr>
              <w:t>5.377.240,00</w:t>
            </w:r>
          </w:p>
        </w:tc>
        <w:tc>
          <w:tcPr>
            <w:tcW w:w="1935" w:type="dxa"/>
            <w:tcBorders>
              <w:bottom w:val="single" w:sz="6" w:space="0" w:color="000000"/>
              <w:right w:val="single" w:sz="6" w:space="0" w:color="000000"/>
            </w:tcBorders>
            <w:vAlign w:val="center"/>
          </w:tcPr>
          <w:p w14:paraId="15F215A5" w14:textId="77777777" w:rsidR="009A4261" w:rsidRPr="009A4261" w:rsidRDefault="009A4261" w:rsidP="009A4261">
            <w:pPr>
              <w:pStyle w:val="ParagraphStyle9"/>
              <w:rPr>
                <w:rStyle w:val="CharacterStyle9"/>
                <w:i w:val="0"/>
              </w:rPr>
            </w:pPr>
            <w:r w:rsidRPr="009A4261">
              <w:rPr>
                <w:rStyle w:val="CharacterStyle9"/>
                <w:i w:val="0"/>
              </w:rPr>
              <w:t>0,00</w:t>
            </w:r>
          </w:p>
        </w:tc>
        <w:tc>
          <w:tcPr>
            <w:tcW w:w="1935" w:type="dxa"/>
            <w:tcBorders>
              <w:bottom w:val="single" w:sz="6" w:space="0" w:color="000000"/>
              <w:right w:val="single" w:sz="6" w:space="0" w:color="000000"/>
            </w:tcBorders>
            <w:vAlign w:val="center"/>
          </w:tcPr>
          <w:p w14:paraId="033522A7" w14:textId="77777777" w:rsidR="009A4261" w:rsidRPr="009A4261" w:rsidRDefault="009A4261" w:rsidP="009A4261">
            <w:pPr>
              <w:pStyle w:val="ParagraphStyle9"/>
              <w:rPr>
                <w:rStyle w:val="CharacterStyle9"/>
                <w:i w:val="0"/>
              </w:rPr>
            </w:pPr>
            <w:r w:rsidRPr="009A4261">
              <w:rPr>
                <w:rStyle w:val="CharacterStyle9"/>
                <w:i w:val="0"/>
              </w:rPr>
              <w:t>0,00</w:t>
            </w:r>
          </w:p>
        </w:tc>
        <w:tc>
          <w:tcPr>
            <w:tcW w:w="1935" w:type="dxa"/>
            <w:tcBorders>
              <w:bottom w:val="single" w:sz="6" w:space="0" w:color="000000"/>
              <w:right w:val="single" w:sz="6" w:space="0" w:color="000000"/>
            </w:tcBorders>
            <w:vAlign w:val="center"/>
          </w:tcPr>
          <w:p w14:paraId="287F0DA0" w14:textId="77777777" w:rsidR="009A4261" w:rsidRPr="009A4261" w:rsidRDefault="009A4261" w:rsidP="009A4261">
            <w:pPr>
              <w:pStyle w:val="ParagraphStyle9"/>
              <w:rPr>
                <w:rStyle w:val="CharacterStyle9"/>
                <w:i w:val="0"/>
              </w:rPr>
            </w:pPr>
            <w:r w:rsidRPr="009A4261">
              <w:rPr>
                <w:rStyle w:val="CharacterStyle9"/>
                <w:i w:val="0"/>
              </w:rPr>
              <w:t>0,00</w:t>
            </w:r>
          </w:p>
        </w:tc>
      </w:tr>
      <w:tr w:rsidR="009A4261" w14:paraId="6D22FEB3" w14:textId="77777777" w:rsidTr="009A4261">
        <w:trPr>
          <w:trHeight w:val="360"/>
        </w:trPr>
        <w:tc>
          <w:tcPr>
            <w:tcW w:w="5190" w:type="dxa"/>
            <w:tcBorders>
              <w:left w:val="single" w:sz="6" w:space="0" w:color="000000"/>
              <w:bottom w:val="single" w:sz="6" w:space="0" w:color="000000"/>
              <w:right w:val="single" w:sz="6" w:space="0" w:color="000000"/>
            </w:tcBorders>
            <w:vAlign w:val="center"/>
          </w:tcPr>
          <w:p w14:paraId="3A27C971" w14:textId="77777777" w:rsidR="009A4261" w:rsidRPr="00EE3A4E" w:rsidRDefault="009A4261" w:rsidP="009A4261">
            <w:pPr>
              <w:pStyle w:val="ParagraphStyle7"/>
              <w:rPr>
                <w:rStyle w:val="CharacterStyle7"/>
              </w:rPr>
            </w:pPr>
            <w:r w:rsidRPr="00EE3A4E">
              <w:rPr>
                <w:rStyle w:val="CharacterStyle7"/>
              </w:rPr>
              <w:t>51 Programi Unije</w:t>
            </w:r>
          </w:p>
        </w:tc>
        <w:tc>
          <w:tcPr>
            <w:tcW w:w="1920" w:type="dxa"/>
            <w:tcBorders>
              <w:bottom w:val="single" w:sz="6" w:space="0" w:color="000000"/>
              <w:right w:val="single" w:sz="6" w:space="0" w:color="000000"/>
            </w:tcBorders>
            <w:vAlign w:val="center"/>
          </w:tcPr>
          <w:p w14:paraId="2367BEFB" w14:textId="77777777" w:rsidR="009A4261" w:rsidRPr="009A4261" w:rsidRDefault="009A4261" w:rsidP="009A4261">
            <w:pPr>
              <w:pStyle w:val="ParagraphStyle8"/>
              <w:jc w:val="right"/>
              <w:rPr>
                <w:rStyle w:val="CharacterStyle8"/>
                <w:i w:val="0"/>
              </w:rPr>
            </w:pPr>
            <w:r w:rsidRPr="009A4261">
              <w:rPr>
                <w:rStyle w:val="CharacterStyle8"/>
                <w:i w:val="0"/>
              </w:rPr>
              <w:t>0,00</w:t>
            </w:r>
          </w:p>
        </w:tc>
        <w:tc>
          <w:tcPr>
            <w:tcW w:w="1935" w:type="dxa"/>
            <w:tcBorders>
              <w:bottom w:val="single" w:sz="6" w:space="0" w:color="000000"/>
              <w:right w:val="single" w:sz="6" w:space="0" w:color="000000"/>
            </w:tcBorders>
            <w:vAlign w:val="center"/>
          </w:tcPr>
          <w:p w14:paraId="5E166F3C" w14:textId="77777777" w:rsidR="009A4261" w:rsidRPr="009A4261" w:rsidRDefault="009A4261" w:rsidP="009A4261">
            <w:pPr>
              <w:pStyle w:val="ParagraphStyle8"/>
              <w:jc w:val="right"/>
              <w:rPr>
                <w:rStyle w:val="CharacterStyle8"/>
                <w:i w:val="0"/>
              </w:rPr>
            </w:pPr>
            <w:r w:rsidRPr="009A4261">
              <w:rPr>
                <w:rStyle w:val="CharacterStyle8"/>
                <w:i w:val="0"/>
              </w:rPr>
              <w:t>0,00</w:t>
            </w:r>
          </w:p>
        </w:tc>
        <w:tc>
          <w:tcPr>
            <w:tcW w:w="1935" w:type="dxa"/>
            <w:tcBorders>
              <w:bottom w:val="single" w:sz="6" w:space="0" w:color="000000"/>
              <w:right w:val="single" w:sz="6" w:space="0" w:color="000000"/>
            </w:tcBorders>
            <w:vAlign w:val="center"/>
          </w:tcPr>
          <w:p w14:paraId="1DB638A6" w14:textId="77777777" w:rsidR="009A4261" w:rsidRPr="009A4261" w:rsidRDefault="009A4261" w:rsidP="009A4261">
            <w:pPr>
              <w:pStyle w:val="ParagraphStyle9"/>
              <w:rPr>
                <w:rStyle w:val="CharacterStyle9"/>
                <w:i w:val="0"/>
              </w:rPr>
            </w:pPr>
            <w:r w:rsidRPr="009A4261">
              <w:rPr>
                <w:rStyle w:val="CharacterStyle9"/>
                <w:i w:val="0"/>
              </w:rPr>
              <w:t>132.000,00</w:t>
            </w:r>
          </w:p>
        </w:tc>
        <w:tc>
          <w:tcPr>
            <w:tcW w:w="1935" w:type="dxa"/>
            <w:tcBorders>
              <w:bottom w:val="single" w:sz="6" w:space="0" w:color="000000"/>
              <w:right w:val="single" w:sz="6" w:space="0" w:color="000000"/>
            </w:tcBorders>
            <w:vAlign w:val="center"/>
          </w:tcPr>
          <w:p w14:paraId="72A808B3" w14:textId="77777777" w:rsidR="009A4261" w:rsidRPr="009A4261" w:rsidRDefault="009A4261" w:rsidP="009A4261">
            <w:pPr>
              <w:pStyle w:val="ParagraphStyle9"/>
              <w:rPr>
                <w:rStyle w:val="CharacterStyle9"/>
                <w:i w:val="0"/>
              </w:rPr>
            </w:pPr>
            <w:r w:rsidRPr="009A4261">
              <w:rPr>
                <w:rStyle w:val="CharacterStyle9"/>
                <w:i w:val="0"/>
              </w:rPr>
              <w:t>71.925,00</w:t>
            </w:r>
          </w:p>
        </w:tc>
        <w:tc>
          <w:tcPr>
            <w:tcW w:w="1935" w:type="dxa"/>
            <w:tcBorders>
              <w:bottom w:val="single" w:sz="6" w:space="0" w:color="000000"/>
              <w:right w:val="single" w:sz="6" w:space="0" w:color="000000"/>
            </w:tcBorders>
            <w:vAlign w:val="center"/>
          </w:tcPr>
          <w:p w14:paraId="3362B769" w14:textId="77777777" w:rsidR="009A4261" w:rsidRPr="009A4261" w:rsidRDefault="009A4261" w:rsidP="009A4261">
            <w:pPr>
              <w:pStyle w:val="ParagraphStyle9"/>
              <w:rPr>
                <w:rStyle w:val="CharacterStyle9"/>
                <w:i w:val="0"/>
              </w:rPr>
            </w:pPr>
            <w:r w:rsidRPr="009A4261">
              <w:rPr>
                <w:rStyle w:val="CharacterStyle9"/>
                <w:i w:val="0"/>
              </w:rPr>
              <w:t>72.625,00</w:t>
            </w:r>
          </w:p>
        </w:tc>
      </w:tr>
      <w:tr w:rsidR="009A4261" w14:paraId="068AE207" w14:textId="77777777" w:rsidTr="009A4261">
        <w:trPr>
          <w:trHeight w:val="360"/>
        </w:trPr>
        <w:tc>
          <w:tcPr>
            <w:tcW w:w="5190" w:type="dxa"/>
            <w:tcBorders>
              <w:left w:val="single" w:sz="6" w:space="0" w:color="000000"/>
              <w:bottom w:val="single" w:sz="6" w:space="0" w:color="000000"/>
              <w:right w:val="single" w:sz="6" w:space="0" w:color="000000"/>
            </w:tcBorders>
            <w:vAlign w:val="center"/>
          </w:tcPr>
          <w:p w14:paraId="729204C5" w14:textId="77777777" w:rsidR="009A4261" w:rsidRPr="00EE3A4E" w:rsidRDefault="009A4261" w:rsidP="009A4261">
            <w:pPr>
              <w:pStyle w:val="ParagraphStyle7"/>
              <w:rPr>
                <w:rStyle w:val="CharacterStyle7"/>
              </w:rPr>
            </w:pPr>
            <w:r w:rsidRPr="00EE3A4E">
              <w:rPr>
                <w:rStyle w:val="CharacterStyle7"/>
              </w:rPr>
              <w:t>510 Programi Unije - proračunski korisnici</w:t>
            </w:r>
          </w:p>
        </w:tc>
        <w:tc>
          <w:tcPr>
            <w:tcW w:w="1920" w:type="dxa"/>
            <w:tcBorders>
              <w:bottom w:val="single" w:sz="6" w:space="0" w:color="000000"/>
              <w:right w:val="single" w:sz="6" w:space="0" w:color="000000"/>
            </w:tcBorders>
            <w:vAlign w:val="center"/>
          </w:tcPr>
          <w:p w14:paraId="66CE018F" w14:textId="77777777" w:rsidR="009A4261" w:rsidRPr="009A4261" w:rsidRDefault="009A4261" w:rsidP="009A4261">
            <w:pPr>
              <w:pStyle w:val="ParagraphStyle8"/>
              <w:jc w:val="right"/>
              <w:rPr>
                <w:rStyle w:val="CharacterStyle8"/>
                <w:i w:val="0"/>
              </w:rPr>
            </w:pPr>
            <w:r w:rsidRPr="009A4261">
              <w:rPr>
                <w:rStyle w:val="CharacterStyle8"/>
                <w:i w:val="0"/>
              </w:rPr>
              <w:t>0,00</w:t>
            </w:r>
          </w:p>
        </w:tc>
        <w:tc>
          <w:tcPr>
            <w:tcW w:w="1935" w:type="dxa"/>
            <w:tcBorders>
              <w:bottom w:val="single" w:sz="6" w:space="0" w:color="000000"/>
              <w:right w:val="single" w:sz="6" w:space="0" w:color="000000"/>
            </w:tcBorders>
            <w:vAlign w:val="center"/>
          </w:tcPr>
          <w:p w14:paraId="081EBEDE" w14:textId="77777777" w:rsidR="009A4261" w:rsidRPr="009A4261" w:rsidRDefault="009A4261" w:rsidP="009A4261">
            <w:pPr>
              <w:pStyle w:val="ParagraphStyle8"/>
              <w:jc w:val="right"/>
              <w:rPr>
                <w:rStyle w:val="CharacterStyle8"/>
                <w:i w:val="0"/>
              </w:rPr>
            </w:pPr>
            <w:r w:rsidRPr="009A4261">
              <w:rPr>
                <w:rStyle w:val="CharacterStyle8"/>
                <w:i w:val="0"/>
              </w:rPr>
              <w:t>0,00</w:t>
            </w:r>
          </w:p>
        </w:tc>
        <w:tc>
          <w:tcPr>
            <w:tcW w:w="1935" w:type="dxa"/>
            <w:tcBorders>
              <w:bottom w:val="single" w:sz="6" w:space="0" w:color="000000"/>
              <w:right w:val="single" w:sz="6" w:space="0" w:color="000000"/>
            </w:tcBorders>
            <w:vAlign w:val="center"/>
          </w:tcPr>
          <w:p w14:paraId="1E8CFE0D" w14:textId="77777777" w:rsidR="009A4261" w:rsidRPr="009A4261" w:rsidRDefault="009A4261" w:rsidP="009A4261">
            <w:pPr>
              <w:pStyle w:val="ParagraphStyle9"/>
              <w:rPr>
                <w:rStyle w:val="CharacterStyle9"/>
                <w:i w:val="0"/>
              </w:rPr>
            </w:pPr>
            <w:r w:rsidRPr="009A4261">
              <w:rPr>
                <w:rStyle w:val="CharacterStyle9"/>
                <w:i w:val="0"/>
              </w:rPr>
              <w:t>132.000,00</w:t>
            </w:r>
          </w:p>
        </w:tc>
        <w:tc>
          <w:tcPr>
            <w:tcW w:w="1935" w:type="dxa"/>
            <w:tcBorders>
              <w:bottom w:val="single" w:sz="6" w:space="0" w:color="000000"/>
              <w:right w:val="single" w:sz="6" w:space="0" w:color="000000"/>
            </w:tcBorders>
            <w:vAlign w:val="center"/>
          </w:tcPr>
          <w:p w14:paraId="21FB036E" w14:textId="77777777" w:rsidR="009A4261" w:rsidRPr="009A4261" w:rsidRDefault="009A4261" w:rsidP="009A4261">
            <w:pPr>
              <w:pStyle w:val="ParagraphStyle9"/>
              <w:rPr>
                <w:rStyle w:val="CharacterStyle9"/>
                <w:i w:val="0"/>
              </w:rPr>
            </w:pPr>
            <w:r w:rsidRPr="009A4261">
              <w:rPr>
                <w:rStyle w:val="CharacterStyle9"/>
                <w:i w:val="0"/>
              </w:rPr>
              <w:t>71.925,00</w:t>
            </w:r>
          </w:p>
        </w:tc>
        <w:tc>
          <w:tcPr>
            <w:tcW w:w="1935" w:type="dxa"/>
            <w:tcBorders>
              <w:bottom w:val="single" w:sz="6" w:space="0" w:color="000000"/>
              <w:right w:val="single" w:sz="6" w:space="0" w:color="000000"/>
            </w:tcBorders>
            <w:vAlign w:val="center"/>
          </w:tcPr>
          <w:p w14:paraId="35BF4A1C" w14:textId="77777777" w:rsidR="009A4261" w:rsidRPr="009A4261" w:rsidRDefault="009A4261" w:rsidP="009A4261">
            <w:pPr>
              <w:pStyle w:val="ParagraphStyle9"/>
              <w:rPr>
                <w:rStyle w:val="CharacterStyle9"/>
                <w:i w:val="0"/>
              </w:rPr>
            </w:pPr>
            <w:r w:rsidRPr="009A4261">
              <w:rPr>
                <w:rStyle w:val="CharacterStyle9"/>
                <w:i w:val="0"/>
              </w:rPr>
              <w:t>72.625,00</w:t>
            </w:r>
          </w:p>
        </w:tc>
      </w:tr>
      <w:tr w:rsidR="009A4261" w14:paraId="557C8CF4" w14:textId="77777777" w:rsidTr="009A4261">
        <w:trPr>
          <w:trHeight w:val="360"/>
        </w:trPr>
        <w:tc>
          <w:tcPr>
            <w:tcW w:w="5190" w:type="dxa"/>
            <w:tcBorders>
              <w:left w:val="single" w:sz="6" w:space="0" w:color="000000"/>
              <w:bottom w:val="single" w:sz="6" w:space="0" w:color="000000"/>
              <w:right w:val="single" w:sz="6" w:space="0" w:color="000000"/>
            </w:tcBorders>
            <w:vAlign w:val="center"/>
          </w:tcPr>
          <w:p w14:paraId="190DCF75" w14:textId="77777777" w:rsidR="009A4261" w:rsidRPr="00EE3A4E" w:rsidRDefault="009A4261" w:rsidP="009A4261">
            <w:pPr>
              <w:pStyle w:val="ParagraphStyle7"/>
              <w:rPr>
                <w:rStyle w:val="CharacterStyle7"/>
              </w:rPr>
            </w:pPr>
            <w:r w:rsidRPr="00EE3A4E">
              <w:rPr>
                <w:rStyle w:val="CharacterStyle7"/>
              </w:rPr>
              <w:t>52 Ostale pomoći</w:t>
            </w:r>
          </w:p>
        </w:tc>
        <w:tc>
          <w:tcPr>
            <w:tcW w:w="1920" w:type="dxa"/>
            <w:tcBorders>
              <w:bottom w:val="single" w:sz="6" w:space="0" w:color="000000"/>
              <w:right w:val="single" w:sz="6" w:space="0" w:color="000000"/>
            </w:tcBorders>
            <w:vAlign w:val="center"/>
          </w:tcPr>
          <w:p w14:paraId="41DC75B9" w14:textId="77777777" w:rsidR="009A4261" w:rsidRPr="009A4261" w:rsidRDefault="009A4261" w:rsidP="009A4261">
            <w:pPr>
              <w:pStyle w:val="ParagraphStyle8"/>
              <w:jc w:val="right"/>
              <w:rPr>
                <w:rStyle w:val="CharacterStyle8"/>
                <w:i w:val="0"/>
              </w:rPr>
            </w:pPr>
            <w:r w:rsidRPr="009A4261">
              <w:rPr>
                <w:rStyle w:val="CharacterStyle8"/>
                <w:i w:val="0"/>
              </w:rPr>
              <w:t>147.450,96</w:t>
            </w:r>
          </w:p>
        </w:tc>
        <w:tc>
          <w:tcPr>
            <w:tcW w:w="1935" w:type="dxa"/>
            <w:tcBorders>
              <w:bottom w:val="single" w:sz="6" w:space="0" w:color="000000"/>
              <w:right w:val="single" w:sz="6" w:space="0" w:color="000000"/>
            </w:tcBorders>
            <w:vAlign w:val="center"/>
          </w:tcPr>
          <w:p w14:paraId="419D1937" w14:textId="77777777" w:rsidR="009A4261" w:rsidRPr="009A4261" w:rsidRDefault="009A4261" w:rsidP="009A4261">
            <w:pPr>
              <w:pStyle w:val="ParagraphStyle8"/>
              <w:jc w:val="right"/>
              <w:rPr>
                <w:rStyle w:val="CharacterStyle8"/>
                <w:i w:val="0"/>
              </w:rPr>
            </w:pPr>
            <w:r w:rsidRPr="009A4261">
              <w:rPr>
                <w:rStyle w:val="CharacterStyle8"/>
                <w:i w:val="0"/>
              </w:rPr>
              <w:t>366.271,85</w:t>
            </w:r>
          </w:p>
        </w:tc>
        <w:tc>
          <w:tcPr>
            <w:tcW w:w="1935" w:type="dxa"/>
            <w:tcBorders>
              <w:bottom w:val="single" w:sz="6" w:space="0" w:color="000000"/>
              <w:right w:val="single" w:sz="6" w:space="0" w:color="000000"/>
            </w:tcBorders>
            <w:vAlign w:val="center"/>
          </w:tcPr>
          <w:p w14:paraId="42DD391C" w14:textId="77777777" w:rsidR="009A4261" w:rsidRPr="009A4261" w:rsidRDefault="009A4261" w:rsidP="009A4261">
            <w:pPr>
              <w:pStyle w:val="ParagraphStyle9"/>
              <w:rPr>
                <w:rStyle w:val="CharacterStyle9"/>
                <w:i w:val="0"/>
              </w:rPr>
            </w:pPr>
            <w:r w:rsidRPr="009A4261">
              <w:rPr>
                <w:rStyle w:val="CharacterStyle9"/>
                <w:i w:val="0"/>
              </w:rPr>
              <w:t>1.735.871,00</w:t>
            </w:r>
          </w:p>
        </w:tc>
        <w:tc>
          <w:tcPr>
            <w:tcW w:w="1935" w:type="dxa"/>
            <w:tcBorders>
              <w:bottom w:val="single" w:sz="6" w:space="0" w:color="000000"/>
              <w:right w:val="single" w:sz="6" w:space="0" w:color="000000"/>
            </w:tcBorders>
            <w:vAlign w:val="center"/>
          </w:tcPr>
          <w:p w14:paraId="3BE4B0C1" w14:textId="77777777" w:rsidR="009A4261" w:rsidRPr="009A4261" w:rsidRDefault="009A4261" w:rsidP="009A4261">
            <w:pPr>
              <w:pStyle w:val="ParagraphStyle9"/>
              <w:rPr>
                <w:rStyle w:val="CharacterStyle9"/>
                <w:i w:val="0"/>
              </w:rPr>
            </w:pPr>
            <w:r w:rsidRPr="009A4261">
              <w:rPr>
                <w:rStyle w:val="CharacterStyle9"/>
                <w:i w:val="0"/>
              </w:rPr>
              <w:t>1.481.075,65</w:t>
            </w:r>
          </w:p>
        </w:tc>
        <w:tc>
          <w:tcPr>
            <w:tcW w:w="1935" w:type="dxa"/>
            <w:tcBorders>
              <w:bottom w:val="single" w:sz="6" w:space="0" w:color="000000"/>
              <w:right w:val="single" w:sz="6" w:space="0" w:color="000000"/>
            </w:tcBorders>
            <w:vAlign w:val="center"/>
          </w:tcPr>
          <w:p w14:paraId="4F5D9DD3" w14:textId="77777777" w:rsidR="009A4261" w:rsidRPr="009A4261" w:rsidRDefault="009A4261" w:rsidP="009A4261">
            <w:pPr>
              <w:pStyle w:val="ParagraphStyle9"/>
              <w:rPr>
                <w:rStyle w:val="CharacterStyle9"/>
                <w:i w:val="0"/>
              </w:rPr>
            </w:pPr>
            <w:r w:rsidRPr="009A4261">
              <w:rPr>
                <w:rStyle w:val="CharacterStyle9"/>
                <w:i w:val="0"/>
              </w:rPr>
              <w:t>1.498.280,69</w:t>
            </w:r>
          </w:p>
        </w:tc>
      </w:tr>
      <w:tr w:rsidR="009A4261" w14:paraId="127B07FB" w14:textId="77777777" w:rsidTr="009A4261">
        <w:trPr>
          <w:trHeight w:val="360"/>
        </w:trPr>
        <w:tc>
          <w:tcPr>
            <w:tcW w:w="5190" w:type="dxa"/>
            <w:tcBorders>
              <w:left w:val="single" w:sz="6" w:space="0" w:color="000000"/>
              <w:bottom w:val="single" w:sz="6" w:space="0" w:color="000000"/>
              <w:right w:val="single" w:sz="6" w:space="0" w:color="000000"/>
            </w:tcBorders>
            <w:vAlign w:val="center"/>
          </w:tcPr>
          <w:p w14:paraId="26385CA9" w14:textId="77777777" w:rsidR="009A4261" w:rsidRPr="00EE3A4E" w:rsidRDefault="009A4261" w:rsidP="009A4261">
            <w:pPr>
              <w:pStyle w:val="ParagraphStyle7"/>
              <w:rPr>
                <w:rStyle w:val="CharacterStyle7"/>
              </w:rPr>
            </w:pPr>
            <w:r w:rsidRPr="00EE3A4E">
              <w:rPr>
                <w:rStyle w:val="CharacterStyle7"/>
              </w:rPr>
              <w:t>53 Proračuni, drugi nivoi - za posebne i / ili ugovorene namjene</w:t>
            </w:r>
          </w:p>
        </w:tc>
        <w:tc>
          <w:tcPr>
            <w:tcW w:w="1920" w:type="dxa"/>
            <w:tcBorders>
              <w:bottom w:val="single" w:sz="6" w:space="0" w:color="000000"/>
              <w:right w:val="single" w:sz="6" w:space="0" w:color="000000"/>
            </w:tcBorders>
            <w:vAlign w:val="center"/>
          </w:tcPr>
          <w:p w14:paraId="5B478813" w14:textId="77777777" w:rsidR="009A4261" w:rsidRPr="009A4261" w:rsidRDefault="009A4261" w:rsidP="009A4261">
            <w:pPr>
              <w:pStyle w:val="ParagraphStyle8"/>
              <w:jc w:val="right"/>
              <w:rPr>
                <w:rStyle w:val="CharacterStyle8"/>
                <w:i w:val="0"/>
              </w:rPr>
            </w:pPr>
            <w:r w:rsidRPr="009A4261">
              <w:rPr>
                <w:rStyle w:val="CharacterStyle8"/>
                <w:i w:val="0"/>
              </w:rPr>
              <w:t>453.843,00</w:t>
            </w:r>
          </w:p>
        </w:tc>
        <w:tc>
          <w:tcPr>
            <w:tcW w:w="1935" w:type="dxa"/>
            <w:tcBorders>
              <w:bottom w:val="single" w:sz="6" w:space="0" w:color="000000"/>
              <w:right w:val="single" w:sz="6" w:space="0" w:color="000000"/>
            </w:tcBorders>
            <w:vAlign w:val="center"/>
          </w:tcPr>
          <w:p w14:paraId="623C2215" w14:textId="77777777" w:rsidR="009A4261" w:rsidRPr="009A4261" w:rsidRDefault="009A4261" w:rsidP="009A4261">
            <w:pPr>
              <w:pStyle w:val="ParagraphStyle8"/>
              <w:jc w:val="right"/>
              <w:rPr>
                <w:rStyle w:val="CharacterStyle8"/>
                <w:i w:val="0"/>
              </w:rPr>
            </w:pPr>
            <w:r w:rsidRPr="009A4261">
              <w:rPr>
                <w:rStyle w:val="CharacterStyle8"/>
                <w:i w:val="0"/>
              </w:rPr>
              <w:t>2.173.924,16</w:t>
            </w:r>
          </w:p>
        </w:tc>
        <w:tc>
          <w:tcPr>
            <w:tcW w:w="1935" w:type="dxa"/>
            <w:tcBorders>
              <w:bottom w:val="single" w:sz="6" w:space="0" w:color="000000"/>
              <w:right w:val="single" w:sz="6" w:space="0" w:color="000000"/>
            </w:tcBorders>
            <w:vAlign w:val="center"/>
          </w:tcPr>
          <w:p w14:paraId="37F47006" w14:textId="77777777" w:rsidR="009A4261" w:rsidRPr="009A4261" w:rsidRDefault="009A4261" w:rsidP="009A4261">
            <w:pPr>
              <w:pStyle w:val="ParagraphStyle9"/>
              <w:rPr>
                <w:rStyle w:val="CharacterStyle9"/>
                <w:i w:val="0"/>
              </w:rPr>
            </w:pPr>
            <w:r w:rsidRPr="009A4261">
              <w:rPr>
                <w:rStyle w:val="CharacterStyle9"/>
                <w:i w:val="0"/>
              </w:rPr>
              <w:t>0,00</w:t>
            </w:r>
          </w:p>
        </w:tc>
        <w:tc>
          <w:tcPr>
            <w:tcW w:w="1935" w:type="dxa"/>
            <w:tcBorders>
              <w:bottom w:val="single" w:sz="6" w:space="0" w:color="000000"/>
              <w:right w:val="single" w:sz="6" w:space="0" w:color="000000"/>
            </w:tcBorders>
            <w:vAlign w:val="center"/>
          </w:tcPr>
          <w:p w14:paraId="377A5B57" w14:textId="77777777" w:rsidR="009A4261" w:rsidRPr="009A4261" w:rsidRDefault="009A4261" w:rsidP="009A4261">
            <w:pPr>
              <w:pStyle w:val="ParagraphStyle9"/>
              <w:rPr>
                <w:rStyle w:val="CharacterStyle9"/>
                <w:i w:val="0"/>
              </w:rPr>
            </w:pPr>
            <w:r w:rsidRPr="009A4261">
              <w:rPr>
                <w:rStyle w:val="CharacterStyle9"/>
                <w:i w:val="0"/>
              </w:rPr>
              <w:t>0,00</w:t>
            </w:r>
          </w:p>
        </w:tc>
        <w:tc>
          <w:tcPr>
            <w:tcW w:w="1935" w:type="dxa"/>
            <w:tcBorders>
              <w:bottom w:val="single" w:sz="6" w:space="0" w:color="000000"/>
              <w:right w:val="single" w:sz="6" w:space="0" w:color="000000"/>
            </w:tcBorders>
            <w:vAlign w:val="center"/>
          </w:tcPr>
          <w:p w14:paraId="6C0EE52E" w14:textId="77777777" w:rsidR="009A4261" w:rsidRPr="009A4261" w:rsidRDefault="009A4261" w:rsidP="009A4261">
            <w:pPr>
              <w:pStyle w:val="ParagraphStyle9"/>
              <w:rPr>
                <w:rStyle w:val="CharacterStyle9"/>
                <w:i w:val="0"/>
              </w:rPr>
            </w:pPr>
            <w:r w:rsidRPr="009A4261">
              <w:rPr>
                <w:rStyle w:val="CharacterStyle9"/>
                <w:i w:val="0"/>
              </w:rPr>
              <w:t>0,00</w:t>
            </w:r>
          </w:p>
        </w:tc>
      </w:tr>
      <w:tr w:rsidR="009A4261" w14:paraId="170A1FD8" w14:textId="77777777" w:rsidTr="009A4261">
        <w:trPr>
          <w:trHeight w:val="360"/>
        </w:trPr>
        <w:tc>
          <w:tcPr>
            <w:tcW w:w="5190" w:type="dxa"/>
            <w:tcBorders>
              <w:left w:val="single" w:sz="6" w:space="0" w:color="000000"/>
              <w:bottom w:val="single" w:sz="6" w:space="0" w:color="000000"/>
              <w:right w:val="single" w:sz="6" w:space="0" w:color="000000"/>
            </w:tcBorders>
            <w:vAlign w:val="center"/>
          </w:tcPr>
          <w:p w14:paraId="14EDDBD0" w14:textId="77777777" w:rsidR="009A4261" w:rsidRPr="00EE3A4E" w:rsidRDefault="009A4261" w:rsidP="009A4261">
            <w:pPr>
              <w:pStyle w:val="ParagraphStyle7"/>
              <w:rPr>
                <w:rStyle w:val="CharacterStyle7"/>
              </w:rPr>
            </w:pPr>
            <w:r w:rsidRPr="00EE3A4E">
              <w:rPr>
                <w:rStyle w:val="CharacterStyle7"/>
              </w:rPr>
              <w:t>54 Pomoći tijela i fondova EU</w:t>
            </w:r>
          </w:p>
        </w:tc>
        <w:tc>
          <w:tcPr>
            <w:tcW w:w="1920" w:type="dxa"/>
            <w:tcBorders>
              <w:bottom w:val="single" w:sz="6" w:space="0" w:color="000000"/>
              <w:right w:val="single" w:sz="6" w:space="0" w:color="000000"/>
            </w:tcBorders>
            <w:vAlign w:val="center"/>
          </w:tcPr>
          <w:p w14:paraId="041673D0" w14:textId="77777777" w:rsidR="009A4261" w:rsidRPr="009A4261" w:rsidRDefault="009A4261" w:rsidP="009A4261">
            <w:pPr>
              <w:pStyle w:val="ParagraphStyle8"/>
              <w:jc w:val="right"/>
              <w:rPr>
                <w:rStyle w:val="CharacterStyle8"/>
                <w:i w:val="0"/>
              </w:rPr>
            </w:pPr>
            <w:r w:rsidRPr="009A4261">
              <w:rPr>
                <w:rStyle w:val="CharacterStyle8"/>
                <w:i w:val="0"/>
              </w:rPr>
              <w:t>652.492,54</w:t>
            </w:r>
          </w:p>
        </w:tc>
        <w:tc>
          <w:tcPr>
            <w:tcW w:w="1935" w:type="dxa"/>
            <w:tcBorders>
              <w:bottom w:val="single" w:sz="6" w:space="0" w:color="000000"/>
              <w:right w:val="single" w:sz="6" w:space="0" w:color="000000"/>
            </w:tcBorders>
            <w:vAlign w:val="center"/>
          </w:tcPr>
          <w:p w14:paraId="6C659D58" w14:textId="77777777" w:rsidR="009A4261" w:rsidRPr="009A4261" w:rsidRDefault="009A4261" w:rsidP="009A4261">
            <w:pPr>
              <w:pStyle w:val="ParagraphStyle8"/>
              <w:jc w:val="right"/>
              <w:rPr>
                <w:rStyle w:val="CharacterStyle8"/>
                <w:i w:val="0"/>
              </w:rPr>
            </w:pPr>
            <w:r w:rsidRPr="009A4261">
              <w:rPr>
                <w:rStyle w:val="CharacterStyle8"/>
                <w:i w:val="0"/>
              </w:rPr>
              <w:t>6.459.995,81</w:t>
            </w:r>
          </w:p>
        </w:tc>
        <w:tc>
          <w:tcPr>
            <w:tcW w:w="1935" w:type="dxa"/>
            <w:tcBorders>
              <w:bottom w:val="single" w:sz="6" w:space="0" w:color="000000"/>
              <w:right w:val="single" w:sz="6" w:space="0" w:color="000000"/>
            </w:tcBorders>
            <w:vAlign w:val="center"/>
          </w:tcPr>
          <w:p w14:paraId="11522E4F" w14:textId="77777777" w:rsidR="009A4261" w:rsidRPr="009A4261" w:rsidRDefault="009A4261" w:rsidP="009A4261">
            <w:pPr>
              <w:pStyle w:val="ParagraphStyle9"/>
              <w:rPr>
                <w:rStyle w:val="CharacterStyle9"/>
                <w:i w:val="0"/>
              </w:rPr>
            </w:pPr>
            <w:r w:rsidRPr="009A4261">
              <w:rPr>
                <w:rStyle w:val="CharacterStyle9"/>
                <w:i w:val="0"/>
              </w:rPr>
              <w:t>0,00</w:t>
            </w:r>
          </w:p>
        </w:tc>
        <w:tc>
          <w:tcPr>
            <w:tcW w:w="1935" w:type="dxa"/>
            <w:tcBorders>
              <w:bottom w:val="single" w:sz="6" w:space="0" w:color="000000"/>
              <w:right w:val="single" w:sz="6" w:space="0" w:color="000000"/>
            </w:tcBorders>
            <w:vAlign w:val="center"/>
          </w:tcPr>
          <w:p w14:paraId="18C75190" w14:textId="77777777" w:rsidR="009A4261" w:rsidRPr="009A4261" w:rsidRDefault="009A4261" w:rsidP="009A4261">
            <w:pPr>
              <w:pStyle w:val="ParagraphStyle9"/>
              <w:rPr>
                <w:rStyle w:val="CharacterStyle9"/>
                <w:i w:val="0"/>
              </w:rPr>
            </w:pPr>
            <w:r w:rsidRPr="009A4261">
              <w:rPr>
                <w:rStyle w:val="CharacterStyle9"/>
                <w:i w:val="0"/>
              </w:rPr>
              <w:t>0,00</w:t>
            </w:r>
          </w:p>
        </w:tc>
        <w:tc>
          <w:tcPr>
            <w:tcW w:w="1935" w:type="dxa"/>
            <w:tcBorders>
              <w:bottom w:val="single" w:sz="6" w:space="0" w:color="000000"/>
              <w:right w:val="single" w:sz="6" w:space="0" w:color="000000"/>
            </w:tcBorders>
            <w:vAlign w:val="center"/>
          </w:tcPr>
          <w:p w14:paraId="3190B204" w14:textId="77777777" w:rsidR="009A4261" w:rsidRPr="009A4261" w:rsidRDefault="009A4261" w:rsidP="009A4261">
            <w:pPr>
              <w:pStyle w:val="ParagraphStyle9"/>
              <w:rPr>
                <w:rStyle w:val="CharacterStyle9"/>
                <w:i w:val="0"/>
              </w:rPr>
            </w:pPr>
            <w:r w:rsidRPr="009A4261">
              <w:rPr>
                <w:rStyle w:val="CharacterStyle9"/>
                <w:i w:val="0"/>
              </w:rPr>
              <w:t>0,00</w:t>
            </w:r>
          </w:p>
        </w:tc>
      </w:tr>
      <w:tr w:rsidR="00C03A15" w14:paraId="04048851" w14:textId="77777777" w:rsidTr="009A4261">
        <w:trPr>
          <w:trHeight w:val="360"/>
        </w:trPr>
        <w:tc>
          <w:tcPr>
            <w:tcW w:w="5190" w:type="dxa"/>
            <w:tcBorders>
              <w:left w:val="single" w:sz="6" w:space="0" w:color="000000"/>
              <w:bottom w:val="single" w:sz="6" w:space="0" w:color="000000"/>
              <w:right w:val="single" w:sz="6" w:space="0" w:color="000000"/>
            </w:tcBorders>
            <w:vAlign w:val="center"/>
          </w:tcPr>
          <w:p w14:paraId="7A745385" w14:textId="77777777" w:rsidR="00C03A15" w:rsidRPr="00EE3A4E" w:rsidRDefault="00C03A15" w:rsidP="00C03A15">
            <w:pPr>
              <w:pStyle w:val="ParagraphStyle7"/>
              <w:rPr>
                <w:rStyle w:val="CharacterStyle7"/>
              </w:rPr>
            </w:pPr>
            <w:r w:rsidRPr="00EE3A4E">
              <w:rPr>
                <w:rStyle w:val="CharacterStyle7"/>
              </w:rPr>
              <w:lastRenderedPageBreak/>
              <w:t>55 Pomoći iz inozemstva</w:t>
            </w:r>
          </w:p>
        </w:tc>
        <w:tc>
          <w:tcPr>
            <w:tcW w:w="1920" w:type="dxa"/>
            <w:tcBorders>
              <w:bottom w:val="single" w:sz="6" w:space="0" w:color="000000"/>
              <w:right w:val="single" w:sz="6" w:space="0" w:color="000000"/>
            </w:tcBorders>
            <w:vAlign w:val="center"/>
          </w:tcPr>
          <w:p w14:paraId="5BB4FC0B" w14:textId="77777777" w:rsidR="00C03A15" w:rsidRPr="00C03A15" w:rsidRDefault="00C03A15" w:rsidP="00C03A15">
            <w:pPr>
              <w:pStyle w:val="ParagraphStyle8"/>
              <w:jc w:val="right"/>
              <w:rPr>
                <w:rStyle w:val="CharacterStyle8"/>
                <w:i w:val="0"/>
              </w:rPr>
            </w:pPr>
            <w:r w:rsidRPr="00C03A15">
              <w:rPr>
                <w:rStyle w:val="CharacterStyle8"/>
                <w:i w:val="0"/>
              </w:rPr>
              <w:t>0,00</w:t>
            </w:r>
          </w:p>
        </w:tc>
        <w:tc>
          <w:tcPr>
            <w:tcW w:w="1935" w:type="dxa"/>
            <w:tcBorders>
              <w:bottom w:val="single" w:sz="6" w:space="0" w:color="000000"/>
              <w:right w:val="single" w:sz="6" w:space="0" w:color="000000"/>
            </w:tcBorders>
            <w:vAlign w:val="center"/>
          </w:tcPr>
          <w:p w14:paraId="49360D09" w14:textId="77777777" w:rsidR="00C03A15" w:rsidRPr="00C03A15" w:rsidRDefault="00C03A15" w:rsidP="00C03A15">
            <w:pPr>
              <w:pStyle w:val="ParagraphStyle8"/>
              <w:jc w:val="right"/>
              <w:rPr>
                <w:rStyle w:val="CharacterStyle8"/>
                <w:i w:val="0"/>
              </w:rPr>
            </w:pPr>
            <w:r w:rsidRPr="00C03A15">
              <w:rPr>
                <w:rStyle w:val="CharacterStyle8"/>
                <w:i w:val="0"/>
              </w:rPr>
              <w:t>28.411,00</w:t>
            </w:r>
          </w:p>
        </w:tc>
        <w:tc>
          <w:tcPr>
            <w:tcW w:w="1935" w:type="dxa"/>
            <w:tcBorders>
              <w:bottom w:val="single" w:sz="6" w:space="0" w:color="000000"/>
              <w:right w:val="single" w:sz="6" w:space="0" w:color="000000"/>
            </w:tcBorders>
            <w:vAlign w:val="center"/>
          </w:tcPr>
          <w:p w14:paraId="399EE058" w14:textId="77777777" w:rsidR="00C03A15" w:rsidRPr="00C03A15" w:rsidRDefault="00C03A15" w:rsidP="00C03A15">
            <w:pPr>
              <w:pStyle w:val="ParagraphStyle9"/>
              <w:rPr>
                <w:rStyle w:val="CharacterStyle9"/>
                <w:i w:val="0"/>
              </w:rPr>
            </w:pPr>
            <w:r w:rsidRPr="00C03A15">
              <w:rPr>
                <w:rStyle w:val="CharacterStyle9"/>
                <w:i w:val="0"/>
              </w:rPr>
              <w:t>0,00</w:t>
            </w:r>
          </w:p>
        </w:tc>
        <w:tc>
          <w:tcPr>
            <w:tcW w:w="1935" w:type="dxa"/>
            <w:tcBorders>
              <w:bottom w:val="single" w:sz="6" w:space="0" w:color="000000"/>
              <w:right w:val="single" w:sz="6" w:space="0" w:color="000000"/>
            </w:tcBorders>
            <w:vAlign w:val="center"/>
          </w:tcPr>
          <w:p w14:paraId="1F117426" w14:textId="77777777" w:rsidR="00C03A15" w:rsidRPr="00C03A15" w:rsidRDefault="00C03A15" w:rsidP="00C03A15">
            <w:pPr>
              <w:pStyle w:val="ParagraphStyle9"/>
              <w:rPr>
                <w:rStyle w:val="CharacterStyle9"/>
                <w:i w:val="0"/>
              </w:rPr>
            </w:pPr>
            <w:r w:rsidRPr="00C03A15">
              <w:rPr>
                <w:rStyle w:val="CharacterStyle9"/>
                <w:i w:val="0"/>
              </w:rPr>
              <w:t>0,00</w:t>
            </w:r>
          </w:p>
        </w:tc>
        <w:tc>
          <w:tcPr>
            <w:tcW w:w="1935" w:type="dxa"/>
            <w:tcBorders>
              <w:bottom w:val="single" w:sz="6" w:space="0" w:color="000000"/>
              <w:right w:val="single" w:sz="6" w:space="0" w:color="000000"/>
            </w:tcBorders>
            <w:vAlign w:val="center"/>
          </w:tcPr>
          <w:p w14:paraId="7BA1AA05" w14:textId="77777777" w:rsidR="00C03A15" w:rsidRPr="00C03A15" w:rsidRDefault="00C03A15" w:rsidP="00C03A15">
            <w:pPr>
              <w:pStyle w:val="ParagraphStyle9"/>
              <w:rPr>
                <w:rStyle w:val="CharacterStyle9"/>
                <w:i w:val="0"/>
              </w:rPr>
            </w:pPr>
            <w:r w:rsidRPr="00C03A15">
              <w:rPr>
                <w:rStyle w:val="CharacterStyle9"/>
                <w:i w:val="0"/>
              </w:rPr>
              <w:t>0,00</w:t>
            </w:r>
          </w:p>
        </w:tc>
      </w:tr>
      <w:tr w:rsidR="00C03A15" w14:paraId="7E27E082" w14:textId="77777777" w:rsidTr="009A4261">
        <w:trPr>
          <w:trHeight w:val="360"/>
        </w:trPr>
        <w:tc>
          <w:tcPr>
            <w:tcW w:w="5190" w:type="dxa"/>
            <w:tcBorders>
              <w:left w:val="single" w:sz="6" w:space="0" w:color="000000"/>
              <w:bottom w:val="single" w:sz="6" w:space="0" w:color="000000"/>
              <w:right w:val="single" w:sz="6" w:space="0" w:color="000000"/>
            </w:tcBorders>
            <w:vAlign w:val="center"/>
          </w:tcPr>
          <w:p w14:paraId="3CEE40B3" w14:textId="77777777" w:rsidR="00C03A15" w:rsidRPr="00EE3A4E" w:rsidRDefault="00C03A15" w:rsidP="00C03A15">
            <w:pPr>
              <w:pStyle w:val="ParagraphStyle7"/>
              <w:rPr>
                <w:rStyle w:val="CharacterStyle7"/>
              </w:rPr>
            </w:pPr>
            <w:r w:rsidRPr="00EE3A4E">
              <w:rPr>
                <w:rStyle w:val="CharacterStyle7"/>
              </w:rPr>
              <w:t>56 Fondovi EU</w:t>
            </w:r>
          </w:p>
        </w:tc>
        <w:tc>
          <w:tcPr>
            <w:tcW w:w="1920" w:type="dxa"/>
            <w:tcBorders>
              <w:bottom w:val="single" w:sz="6" w:space="0" w:color="000000"/>
              <w:right w:val="single" w:sz="6" w:space="0" w:color="000000"/>
            </w:tcBorders>
            <w:vAlign w:val="center"/>
          </w:tcPr>
          <w:p w14:paraId="1B34F27D" w14:textId="77777777" w:rsidR="00C03A15" w:rsidRPr="00C03A15" w:rsidRDefault="00C03A15" w:rsidP="00C03A15">
            <w:pPr>
              <w:pStyle w:val="ParagraphStyle8"/>
              <w:jc w:val="right"/>
              <w:rPr>
                <w:rStyle w:val="CharacterStyle8"/>
                <w:i w:val="0"/>
              </w:rPr>
            </w:pPr>
            <w:r w:rsidRPr="00C03A15">
              <w:rPr>
                <w:rStyle w:val="CharacterStyle8"/>
                <w:i w:val="0"/>
              </w:rPr>
              <w:t>0,00</w:t>
            </w:r>
          </w:p>
        </w:tc>
        <w:tc>
          <w:tcPr>
            <w:tcW w:w="1935" w:type="dxa"/>
            <w:tcBorders>
              <w:bottom w:val="single" w:sz="6" w:space="0" w:color="000000"/>
              <w:right w:val="single" w:sz="6" w:space="0" w:color="000000"/>
            </w:tcBorders>
            <w:vAlign w:val="center"/>
          </w:tcPr>
          <w:p w14:paraId="5947689F" w14:textId="77777777" w:rsidR="00C03A15" w:rsidRPr="00C03A15" w:rsidRDefault="00C03A15" w:rsidP="00C03A15">
            <w:pPr>
              <w:pStyle w:val="ParagraphStyle8"/>
              <w:jc w:val="right"/>
              <w:rPr>
                <w:rStyle w:val="CharacterStyle8"/>
                <w:i w:val="0"/>
              </w:rPr>
            </w:pPr>
            <w:r w:rsidRPr="00C03A15">
              <w:rPr>
                <w:rStyle w:val="CharacterStyle8"/>
                <w:i w:val="0"/>
              </w:rPr>
              <w:t>0,00</w:t>
            </w:r>
          </w:p>
        </w:tc>
        <w:tc>
          <w:tcPr>
            <w:tcW w:w="1935" w:type="dxa"/>
            <w:tcBorders>
              <w:bottom w:val="single" w:sz="6" w:space="0" w:color="000000"/>
              <w:right w:val="single" w:sz="6" w:space="0" w:color="000000"/>
            </w:tcBorders>
            <w:vAlign w:val="center"/>
          </w:tcPr>
          <w:p w14:paraId="238572FB" w14:textId="77777777" w:rsidR="00C03A15" w:rsidRPr="00C03A15" w:rsidRDefault="00C03A15" w:rsidP="00C03A15">
            <w:pPr>
              <w:pStyle w:val="ParagraphStyle9"/>
              <w:rPr>
                <w:rStyle w:val="CharacterStyle9"/>
                <w:i w:val="0"/>
              </w:rPr>
            </w:pPr>
            <w:r w:rsidRPr="00C03A15">
              <w:rPr>
                <w:rStyle w:val="CharacterStyle9"/>
                <w:i w:val="0"/>
              </w:rPr>
              <w:t>383.910,00</w:t>
            </w:r>
          </w:p>
        </w:tc>
        <w:tc>
          <w:tcPr>
            <w:tcW w:w="1935" w:type="dxa"/>
            <w:tcBorders>
              <w:bottom w:val="single" w:sz="6" w:space="0" w:color="000000"/>
              <w:right w:val="single" w:sz="6" w:space="0" w:color="000000"/>
            </w:tcBorders>
            <w:vAlign w:val="center"/>
          </w:tcPr>
          <w:p w14:paraId="5198CB25" w14:textId="77777777" w:rsidR="00C03A15" w:rsidRPr="00C03A15" w:rsidRDefault="00C03A15" w:rsidP="00C03A15">
            <w:pPr>
              <w:pStyle w:val="ParagraphStyle9"/>
              <w:rPr>
                <w:rStyle w:val="CharacterStyle9"/>
                <w:i w:val="0"/>
              </w:rPr>
            </w:pPr>
            <w:r w:rsidRPr="00C03A15">
              <w:rPr>
                <w:rStyle w:val="CharacterStyle9"/>
                <w:i w:val="0"/>
              </w:rPr>
              <w:t>396.862,53</w:t>
            </w:r>
          </w:p>
        </w:tc>
        <w:tc>
          <w:tcPr>
            <w:tcW w:w="1935" w:type="dxa"/>
            <w:tcBorders>
              <w:bottom w:val="single" w:sz="6" w:space="0" w:color="000000"/>
              <w:right w:val="single" w:sz="6" w:space="0" w:color="000000"/>
            </w:tcBorders>
            <w:vAlign w:val="center"/>
          </w:tcPr>
          <w:p w14:paraId="6DB61A9D" w14:textId="77777777" w:rsidR="00C03A15" w:rsidRPr="00C03A15" w:rsidRDefault="00C03A15" w:rsidP="00C03A15">
            <w:pPr>
              <w:pStyle w:val="ParagraphStyle9"/>
              <w:rPr>
                <w:rStyle w:val="CharacterStyle9"/>
                <w:i w:val="0"/>
              </w:rPr>
            </w:pPr>
            <w:r w:rsidRPr="00C03A15">
              <w:rPr>
                <w:rStyle w:val="CharacterStyle9"/>
                <w:i w:val="0"/>
              </w:rPr>
              <w:t>400.781,63</w:t>
            </w:r>
          </w:p>
        </w:tc>
      </w:tr>
      <w:tr w:rsidR="00C03A15" w14:paraId="5C2DF6BC" w14:textId="77777777" w:rsidTr="009A4261">
        <w:trPr>
          <w:trHeight w:val="360"/>
        </w:trPr>
        <w:tc>
          <w:tcPr>
            <w:tcW w:w="5190" w:type="dxa"/>
            <w:tcBorders>
              <w:left w:val="single" w:sz="6" w:space="0" w:color="000000"/>
              <w:bottom w:val="single" w:sz="6" w:space="0" w:color="000000"/>
              <w:right w:val="single" w:sz="6" w:space="0" w:color="000000"/>
            </w:tcBorders>
            <w:vAlign w:val="center"/>
          </w:tcPr>
          <w:p w14:paraId="5ADCD595" w14:textId="77777777" w:rsidR="00C03A15" w:rsidRPr="00EE3A4E" w:rsidRDefault="00C03A15" w:rsidP="00C03A15">
            <w:pPr>
              <w:pStyle w:val="ParagraphStyle7"/>
              <w:rPr>
                <w:rStyle w:val="CharacterStyle7"/>
              </w:rPr>
            </w:pPr>
            <w:r w:rsidRPr="00EE3A4E">
              <w:rPr>
                <w:rStyle w:val="CharacterStyle7"/>
              </w:rPr>
              <w:t>561 Europski socijalni fond plus</w:t>
            </w:r>
          </w:p>
        </w:tc>
        <w:tc>
          <w:tcPr>
            <w:tcW w:w="1920" w:type="dxa"/>
            <w:tcBorders>
              <w:bottom w:val="single" w:sz="6" w:space="0" w:color="000000"/>
              <w:right w:val="single" w:sz="6" w:space="0" w:color="000000"/>
            </w:tcBorders>
            <w:vAlign w:val="center"/>
          </w:tcPr>
          <w:p w14:paraId="64FAA6CB" w14:textId="77777777" w:rsidR="00C03A15" w:rsidRPr="00C03A15" w:rsidRDefault="00C03A15" w:rsidP="00C03A15">
            <w:pPr>
              <w:pStyle w:val="ParagraphStyle8"/>
              <w:jc w:val="right"/>
              <w:rPr>
                <w:rStyle w:val="CharacterStyle8"/>
                <w:i w:val="0"/>
              </w:rPr>
            </w:pPr>
            <w:r w:rsidRPr="00C03A15">
              <w:rPr>
                <w:rStyle w:val="CharacterStyle8"/>
                <w:i w:val="0"/>
              </w:rPr>
              <w:t>0,00</w:t>
            </w:r>
          </w:p>
        </w:tc>
        <w:tc>
          <w:tcPr>
            <w:tcW w:w="1935" w:type="dxa"/>
            <w:tcBorders>
              <w:bottom w:val="single" w:sz="6" w:space="0" w:color="000000"/>
              <w:right w:val="single" w:sz="6" w:space="0" w:color="000000"/>
            </w:tcBorders>
            <w:vAlign w:val="center"/>
          </w:tcPr>
          <w:p w14:paraId="7EDDA8A3" w14:textId="77777777" w:rsidR="00C03A15" w:rsidRPr="00C03A15" w:rsidRDefault="00C03A15" w:rsidP="00C03A15">
            <w:pPr>
              <w:pStyle w:val="ParagraphStyle8"/>
              <w:jc w:val="right"/>
              <w:rPr>
                <w:rStyle w:val="CharacterStyle8"/>
                <w:i w:val="0"/>
              </w:rPr>
            </w:pPr>
            <w:r w:rsidRPr="00C03A15">
              <w:rPr>
                <w:rStyle w:val="CharacterStyle8"/>
                <w:i w:val="0"/>
              </w:rPr>
              <w:t>0,00</w:t>
            </w:r>
          </w:p>
        </w:tc>
        <w:tc>
          <w:tcPr>
            <w:tcW w:w="1935" w:type="dxa"/>
            <w:tcBorders>
              <w:bottom w:val="single" w:sz="6" w:space="0" w:color="000000"/>
              <w:right w:val="single" w:sz="6" w:space="0" w:color="000000"/>
            </w:tcBorders>
            <w:vAlign w:val="center"/>
          </w:tcPr>
          <w:p w14:paraId="189B6ED4" w14:textId="77777777" w:rsidR="00C03A15" w:rsidRPr="00C03A15" w:rsidRDefault="00C03A15" w:rsidP="00C03A15">
            <w:pPr>
              <w:pStyle w:val="ParagraphStyle9"/>
              <w:rPr>
                <w:rStyle w:val="CharacterStyle9"/>
                <w:i w:val="0"/>
              </w:rPr>
            </w:pPr>
            <w:r w:rsidRPr="00C03A15">
              <w:rPr>
                <w:rStyle w:val="CharacterStyle9"/>
                <w:i w:val="0"/>
              </w:rPr>
              <w:t>383.910,00</w:t>
            </w:r>
          </w:p>
        </w:tc>
        <w:tc>
          <w:tcPr>
            <w:tcW w:w="1935" w:type="dxa"/>
            <w:tcBorders>
              <w:bottom w:val="single" w:sz="6" w:space="0" w:color="000000"/>
              <w:right w:val="single" w:sz="6" w:space="0" w:color="000000"/>
            </w:tcBorders>
            <w:vAlign w:val="center"/>
          </w:tcPr>
          <w:p w14:paraId="1DF76700" w14:textId="77777777" w:rsidR="00C03A15" w:rsidRPr="00C03A15" w:rsidRDefault="00C03A15" w:rsidP="00C03A15">
            <w:pPr>
              <w:pStyle w:val="ParagraphStyle9"/>
              <w:rPr>
                <w:rStyle w:val="CharacterStyle9"/>
                <w:i w:val="0"/>
              </w:rPr>
            </w:pPr>
            <w:r w:rsidRPr="00C03A15">
              <w:rPr>
                <w:rStyle w:val="CharacterStyle9"/>
                <w:i w:val="0"/>
              </w:rPr>
              <w:t>396.862,53</w:t>
            </w:r>
          </w:p>
        </w:tc>
        <w:tc>
          <w:tcPr>
            <w:tcW w:w="1935" w:type="dxa"/>
            <w:tcBorders>
              <w:bottom w:val="single" w:sz="6" w:space="0" w:color="000000"/>
              <w:right w:val="single" w:sz="6" w:space="0" w:color="000000"/>
            </w:tcBorders>
            <w:vAlign w:val="center"/>
          </w:tcPr>
          <w:p w14:paraId="37373661" w14:textId="77777777" w:rsidR="00C03A15" w:rsidRPr="00C03A15" w:rsidRDefault="00C03A15" w:rsidP="00C03A15">
            <w:pPr>
              <w:pStyle w:val="ParagraphStyle9"/>
              <w:rPr>
                <w:rStyle w:val="CharacterStyle9"/>
                <w:i w:val="0"/>
              </w:rPr>
            </w:pPr>
            <w:r w:rsidRPr="00C03A15">
              <w:rPr>
                <w:rStyle w:val="CharacterStyle9"/>
                <w:i w:val="0"/>
              </w:rPr>
              <w:t>400.781,63</w:t>
            </w:r>
          </w:p>
        </w:tc>
      </w:tr>
      <w:tr w:rsidR="00C03A15" w14:paraId="6A30D910" w14:textId="77777777" w:rsidTr="009A4261">
        <w:trPr>
          <w:trHeight w:val="360"/>
        </w:trPr>
        <w:tc>
          <w:tcPr>
            <w:tcW w:w="5190" w:type="dxa"/>
            <w:tcBorders>
              <w:left w:val="single" w:sz="6" w:space="0" w:color="000000"/>
              <w:bottom w:val="single" w:sz="6" w:space="0" w:color="000000"/>
              <w:right w:val="single" w:sz="6" w:space="0" w:color="000000"/>
            </w:tcBorders>
            <w:vAlign w:val="center"/>
          </w:tcPr>
          <w:p w14:paraId="6A5F7FC8" w14:textId="77777777" w:rsidR="00C03A15" w:rsidRPr="00EE3A4E" w:rsidRDefault="00C03A15" w:rsidP="00C03A15">
            <w:pPr>
              <w:pStyle w:val="ParagraphStyle7"/>
              <w:rPr>
                <w:rStyle w:val="CharacterStyle7"/>
              </w:rPr>
            </w:pPr>
            <w:r w:rsidRPr="00EE3A4E">
              <w:rPr>
                <w:rStyle w:val="CharacterStyle7"/>
              </w:rPr>
              <w:t>58 Instrumenti EU nove generacije</w:t>
            </w:r>
          </w:p>
        </w:tc>
        <w:tc>
          <w:tcPr>
            <w:tcW w:w="1920" w:type="dxa"/>
            <w:tcBorders>
              <w:bottom w:val="single" w:sz="6" w:space="0" w:color="000000"/>
              <w:right w:val="single" w:sz="6" w:space="0" w:color="000000"/>
            </w:tcBorders>
            <w:vAlign w:val="center"/>
          </w:tcPr>
          <w:p w14:paraId="6CB614AA" w14:textId="77777777" w:rsidR="00C03A15" w:rsidRPr="00C03A15" w:rsidRDefault="00C03A15" w:rsidP="00C03A15">
            <w:pPr>
              <w:pStyle w:val="ParagraphStyle8"/>
              <w:jc w:val="right"/>
              <w:rPr>
                <w:rStyle w:val="CharacterStyle8"/>
                <w:i w:val="0"/>
              </w:rPr>
            </w:pPr>
            <w:r w:rsidRPr="00C03A15">
              <w:rPr>
                <w:rStyle w:val="CharacterStyle8"/>
                <w:i w:val="0"/>
              </w:rPr>
              <w:t>0,00</w:t>
            </w:r>
          </w:p>
        </w:tc>
        <w:tc>
          <w:tcPr>
            <w:tcW w:w="1935" w:type="dxa"/>
            <w:tcBorders>
              <w:bottom w:val="single" w:sz="6" w:space="0" w:color="000000"/>
              <w:right w:val="single" w:sz="6" w:space="0" w:color="000000"/>
            </w:tcBorders>
            <w:vAlign w:val="center"/>
          </w:tcPr>
          <w:p w14:paraId="2043A503" w14:textId="77777777" w:rsidR="00C03A15" w:rsidRPr="00C03A15" w:rsidRDefault="00C03A15" w:rsidP="00C03A15">
            <w:pPr>
              <w:pStyle w:val="ParagraphStyle8"/>
              <w:jc w:val="right"/>
              <w:rPr>
                <w:rStyle w:val="CharacterStyle8"/>
                <w:i w:val="0"/>
              </w:rPr>
            </w:pPr>
            <w:r w:rsidRPr="00C03A15">
              <w:rPr>
                <w:rStyle w:val="CharacterStyle8"/>
                <w:i w:val="0"/>
              </w:rPr>
              <w:t>0,00</w:t>
            </w:r>
          </w:p>
        </w:tc>
        <w:tc>
          <w:tcPr>
            <w:tcW w:w="1935" w:type="dxa"/>
            <w:tcBorders>
              <w:bottom w:val="single" w:sz="6" w:space="0" w:color="000000"/>
              <w:right w:val="single" w:sz="6" w:space="0" w:color="000000"/>
            </w:tcBorders>
            <w:vAlign w:val="center"/>
          </w:tcPr>
          <w:p w14:paraId="5E1E2341" w14:textId="77777777" w:rsidR="00C03A15" w:rsidRPr="00C03A15" w:rsidRDefault="00C03A15" w:rsidP="00C03A15">
            <w:pPr>
              <w:pStyle w:val="ParagraphStyle9"/>
              <w:rPr>
                <w:rStyle w:val="CharacterStyle9"/>
                <w:i w:val="0"/>
              </w:rPr>
            </w:pPr>
            <w:r w:rsidRPr="00C03A15">
              <w:rPr>
                <w:rStyle w:val="CharacterStyle9"/>
                <w:i w:val="0"/>
              </w:rPr>
              <w:t>9.264.509,94</w:t>
            </w:r>
          </w:p>
        </w:tc>
        <w:tc>
          <w:tcPr>
            <w:tcW w:w="1935" w:type="dxa"/>
            <w:tcBorders>
              <w:bottom w:val="single" w:sz="6" w:space="0" w:color="000000"/>
              <w:right w:val="single" w:sz="6" w:space="0" w:color="000000"/>
            </w:tcBorders>
            <w:vAlign w:val="center"/>
          </w:tcPr>
          <w:p w14:paraId="453B532C" w14:textId="77777777" w:rsidR="00C03A15" w:rsidRPr="00C03A15" w:rsidRDefault="00C03A15" w:rsidP="00C03A15">
            <w:pPr>
              <w:pStyle w:val="ParagraphStyle9"/>
              <w:rPr>
                <w:rStyle w:val="CharacterStyle9"/>
                <w:i w:val="0"/>
              </w:rPr>
            </w:pPr>
            <w:r w:rsidRPr="00C03A15">
              <w:rPr>
                <w:rStyle w:val="CharacterStyle9"/>
                <w:i w:val="0"/>
              </w:rPr>
              <w:t>0,00</w:t>
            </w:r>
          </w:p>
        </w:tc>
        <w:tc>
          <w:tcPr>
            <w:tcW w:w="1935" w:type="dxa"/>
            <w:tcBorders>
              <w:bottom w:val="single" w:sz="6" w:space="0" w:color="000000"/>
              <w:right w:val="single" w:sz="6" w:space="0" w:color="000000"/>
            </w:tcBorders>
            <w:vAlign w:val="center"/>
          </w:tcPr>
          <w:p w14:paraId="0FF2A1AB" w14:textId="77777777" w:rsidR="00C03A15" w:rsidRPr="00C03A15" w:rsidRDefault="00C03A15" w:rsidP="00C03A15">
            <w:pPr>
              <w:pStyle w:val="ParagraphStyle9"/>
              <w:rPr>
                <w:rStyle w:val="CharacterStyle9"/>
                <w:i w:val="0"/>
              </w:rPr>
            </w:pPr>
            <w:r w:rsidRPr="00C03A15">
              <w:rPr>
                <w:rStyle w:val="CharacterStyle9"/>
                <w:i w:val="0"/>
              </w:rPr>
              <w:t>0,00</w:t>
            </w:r>
          </w:p>
        </w:tc>
      </w:tr>
      <w:tr w:rsidR="00C03A15" w14:paraId="1CFD8402" w14:textId="77777777" w:rsidTr="009A4261">
        <w:trPr>
          <w:trHeight w:val="360"/>
        </w:trPr>
        <w:tc>
          <w:tcPr>
            <w:tcW w:w="5190" w:type="dxa"/>
            <w:tcBorders>
              <w:left w:val="single" w:sz="6" w:space="0" w:color="000000"/>
              <w:bottom w:val="single" w:sz="6" w:space="0" w:color="000000"/>
              <w:right w:val="single" w:sz="6" w:space="0" w:color="000000"/>
            </w:tcBorders>
            <w:vAlign w:val="center"/>
          </w:tcPr>
          <w:p w14:paraId="6F0420A3" w14:textId="77777777" w:rsidR="00C03A15" w:rsidRPr="00EE3A4E" w:rsidRDefault="00C03A15" w:rsidP="00C03A15">
            <w:pPr>
              <w:pStyle w:val="ParagraphStyle7"/>
              <w:rPr>
                <w:rStyle w:val="CharacterStyle7"/>
              </w:rPr>
            </w:pPr>
            <w:r w:rsidRPr="00EE3A4E">
              <w:rPr>
                <w:rStyle w:val="CharacterStyle7"/>
              </w:rPr>
              <w:t>581 Mehanizam za oporavak i otpornost – bespovratna sredstva</w:t>
            </w:r>
          </w:p>
        </w:tc>
        <w:tc>
          <w:tcPr>
            <w:tcW w:w="1920" w:type="dxa"/>
            <w:tcBorders>
              <w:bottom w:val="single" w:sz="6" w:space="0" w:color="000000"/>
              <w:right w:val="single" w:sz="6" w:space="0" w:color="000000"/>
            </w:tcBorders>
            <w:vAlign w:val="center"/>
          </w:tcPr>
          <w:p w14:paraId="0C6507A7" w14:textId="77777777" w:rsidR="00C03A15" w:rsidRPr="00C03A15" w:rsidRDefault="00C03A15" w:rsidP="00C03A15">
            <w:pPr>
              <w:pStyle w:val="ParagraphStyle8"/>
              <w:jc w:val="right"/>
              <w:rPr>
                <w:rStyle w:val="CharacterStyle8"/>
                <w:i w:val="0"/>
              </w:rPr>
            </w:pPr>
            <w:r w:rsidRPr="00C03A15">
              <w:rPr>
                <w:rStyle w:val="CharacterStyle8"/>
                <w:i w:val="0"/>
              </w:rPr>
              <w:t>0,00</w:t>
            </w:r>
          </w:p>
        </w:tc>
        <w:tc>
          <w:tcPr>
            <w:tcW w:w="1935" w:type="dxa"/>
            <w:tcBorders>
              <w:bottom w:val="single" w:sz="6" w:space="0" w:color="000000"/>
              <w:right w:val="single" w:sz="6" w:space="0" w:color="000000"/>
            </w:tcBorders>
            <w:vAlign w:val="center"/>
          </w:tcPr>
          <w:p w14:paraId="1AE33DA7" w14:textId="77777777" w:rsidR="00C03A15" w:rsidRPr="00C03A15" w:rsidRDefault="00C03A15" w:rsidP="00C03A15">
            <w:pPr>
              <w:pStyle w:val="ParagraphStyle8"/>
              <w:jc w:val="right"/>
              <w:rPr>
                <w:rStyle w:val="CharacterStyle8"/>
                <w:i w:val="0"/>
              </w:rPr>
            </w:pPr>
            <w:r w:rsidRPr="00C03A15">
              <w:rPr>
                <w:rStyle w:val="CharacterStyle8"/>
                <w:i w:val="0"/>
              </w:rPr>
              <w:t>0,00</w:t>
            </w:r>
          </w:p>
        </w:tc>
        <w:tc>
          <w:tcPr>
            <w:tcW w:w="1935" w:type="dxa"/>
            <w:tcBorders>
              <w:bottom w:val="single" w:sz="6" w:space="0" w:color="000000"/>
              <w:right w:val="single" w:sz="6" w:space="0" w:color="000000"/>
            </w:tcBorders>
            <w:vAlign w:val="center"/>
          </w:tcPr>
          <w:p w14:paraId="1AC0FB0C" w14:textId="77777777" w:rsidR="00C03A15" w:rsidRPr="00C03A15" w:rsidRDefault="00C03A15" w:rsidP="00C03A15">
            <w:pPr>
              <w:pStyle w:val="ParagraphStyle9"/>
              <w:rPr>
                <w:rStyle w:val="CharacterStyle9"/>
                <w:i w:val="0"/>
              </w:rPr>
            </w:pPr>
            <w:r w:rsidRPr="00C03A15">
              <w:rPr>
                <w:rStyle w:val="CharacterStyle9"/>
                <w:i w:val="0"/>
              </w:rPr>
              <w:t>9.264.509,94</w:t>
            </w:r>
          </w:p>
        </w:tc>
        <w:tc>
          <w:tcPr>
            <w:tcW w:w="1935" w:type="dxa"/>
            <w:tcBorders>
              <w:bottom w:val="single" w:sz="6" w:space="0" w:color="000000"/>
              <w:right w:val="single" w:sz="6" w:space="0" w:color="000000"/>
            </w:tcBorders>
            <w:vAlign w:val="center"/>
          </w:tcPr>
          <w:p w14:paraId="786BCADB" w14:textId="77777777" w:rsidR="00C03A15" w:rsidRPr="00C03A15" w:rsidRDefault="00C03A15" w:rsidP="00C03A15">
            <w:pPr>
              <w:pStyle w:val="ParagraphStyle9"/>
              <w:rPr>
                <w:rStyle w:val="CharacterStyle9"/>
                <w:i w:val="0"/>
              </w:rPr>
            </w:pPr>
            <w:r w:rsidRPr="00C03A15">
              <w:rPr>
                <w:rStyle w:val="CharacterStyle9"/>
                <w:i w:val="0"/>
              </w:rPr>
              <w:t>0,00</w:t>
            </w:r>
          </w:p>
        </w:tc>
        <w:tc>
          <w:tcPr>
            <w:tcW w:w="1935" w:type="dxa"/>
            <w:tcBorders>
              <w:bottom w:val="single" w:sz="6" w:space="0" w:color="000000"/>
              <w:right w:val="single" w:sz="6" w:space="0" w:color="000000"/>
            </w:tcBorders>
            <w:vAlign w:val="center"/>
          </w:tcPr>
          <w:p w14:paraId="5A52290B" w14:textId="77777777" w:rsidR="00C03A15" w:rsidRPr="00C03A15" w:rsidRDefault="00C03A15" w:rsidP="00C03A15">
            <w:pPr>
              <w:pStyle w:val="ParagraphStyle9"/>
              <w:rPr>
                <w:rStyle w:val="CharacterStyle9"/>
                <w:i w:val="0"/>
              </w:rPr>
            </w:pPr>
            <w:r w:rsidRPr="00C03A15">
              <w:rPr>
                <w:rStyle w:val="CharacterStyle9"/>
                <w:i w:val="0"/>
              </w:rPr>
              <w:t>0,00</w:t>
            </w:r>
          </w:p>
        </w:tc>
      </w:tr>
      <w:tr w:rsidR="00C03A15" w14:paraId="17507CF9" w14:textId="77777777" w:rsidTr="009A4261">
        <w:trPr>
          <w:trHeight w:val="360"/>
        </w:trPr>
        <w:tc>
          <w:tcPr>
            <w:tcW w:w="5190" w:type="dxa"/>
            <w:tcBorders>
              <w:left w:val="single" w:sz="6" w:space="0" w:color="000000"/>
              <w:bottom w:val="single" w:sz="6" w:space="0" w:color="000000"/>
              <w:right w:val="single" w:sz="6" w:space="0" w:color="000000"/>
            </w:tcBorders>
            <w:vAlign w:val="center"/>
          </w:tcPr>
          <w:p w14:paraId="44BE019D" w14:textId="77777777" w:rsidR="00C03A15" w:rsidRPr="00EE3A4E" w:rsidRDefault="00C03A15" w:rsidP="00C03A15">
            <w:pPr>
              <w:pStyle w:val="ParagraphStyle5"/>
              <w:rPr>
                <w:rStyle w:val="CharacterStyle5"/>
              </w:rPr>
            </w:pPr>
            <w:r w:rsidRPr="00EE3A4E">
              <w:rPr>
                <w:rStyle w:val="CharacterStyle5"/>
              </w:rPr>
              <w:t>6 DONACIJE</w:t>
            </w:r>
          </w:p>
        </w:tc>
        <w:tc>
          <w:tcPr>
            <w:tcW w:w="1920" w:type="dxa"/>
            <w:tcBorders>
              <w:bottom w:val="single" w:sz="6" w:space="0" w:color="000000"/>
              <w:right w:val="single" w:sz="6" w:space="0" w:color="000000"/>
            </w:tcBorders>
            <w:vAlign w:val="center"/>
          </w:tcPr>
          <w:p w14:paraId="4850C96A" w14:textId="77777777" w:rsidR="00C03A15" w:rsidRPr="00C03A15" w:rsidRDefault="00C03A15" w:rsidP="00C03A15">
            <w:pPr>
              <w:pStyle w:val="ParagraphStyle6"/>
              <w:rPr>
                <w:rStyle w:val="CharacterStyle6"/>
              </w:rPr>
            </w:pPr>
            <w:r w:rsidRPr="00C03A15">
              <w:rPr>
                <w:rStyle w:val="CharacterStyle6"/>
              </w:rPr>
              <w:t>193.590,73</w:t>
            </w:r>
          </w:p>
        </w:tc>
        <w:tc>
          <w:tcPr>
            <w:tcW w:w="1935" w:type="dxa"/>
            <w:tcBorders>
              <w:bottom w:val="single" w:sz="6" w:space="0" w:color="000000"/>
              <w:right w:val="single" w:sz="6" w:space="0" w:color="000000"/>
            </w:tcBorders>
            <w:vAlign w:val="center"/>
          </w:tcPr>
          <w:p w14:paraId="5E4BB821" w14:textId="77777777" w:rsidR="00C03A15" w:rsidRPr="00C03A15" w:rsidRDefault="00C03A15" w:rsidP="00C03A15">
            <w:pPr>
              <w:pStyle w:val="ParagraphStyle6"/>
              <w:rPr>
                <w:rStyle w:val="CharacterStyle6"/>
              </w:rPr>
            </w:pPr>
            <w:r w:rsidRPr="00C03A15">
              <w:rPr>
                <w:rStyle w:val="CharacterStyle6"/>
              </w:rPr>
              <w:t>149.863,94</w:t>
            </w:r>
          </w:p>
        </w:tc>
        <w:tc>
          <w:tcPr>
            <w:tcW w:w="1935" w:type="dxa"/>
            <w:tcBorders>
              <w:bottom w:val="single" w:sz="6" w:space="0" w:color="000000"/>
              <w:right w:val="single" w:sz="6" w:space="0" w:color="000000"/>
            </w:tcBorders>
            <w:vAlign w:val="center"/>
          </w:tcPr>
          <w:p w14:paraId="19E3B4EA" w14:textId="77777777" w:rsidR="00C03A15" w:rsidRPr="00C03A15" w:rsidRDefault="00C03A15" w:rsidP="00C03A15">
            <w:pPr>
              <w:pStyle w:val="ParagraphStyle6"/>
              <w:rPr>
                <w:rStyle w:val="CharacterStyle6"/>
              </w:rPr>
            </w:pPr>
            <w:r w:rsidRPr="00C03A15">
              <w:rPr>
                <w:rStyle w:val="CharacterStyle6"/>
              </w:rPr>
              <w:t>183.689,37</w:t>
            </w:r>
          </w:p>
        </w:tc>
        <w:tc>
          <w:tcPr>
            <w:tcW w:w="1935" w:type="dxa"/>
            <w:tcBorders>
              <w:bottom w:val="single" w:sz="6" w:space="0" w:color="000000"/>
              <w:right w:val="single" w:sz="6" w:space="0" w:color="000000"/>
            </w:tcBorders>
            <w:vAlign w:val="center"/>
          </w:tcPr>
          <w:p w14:paraId="4FA03033" w14:textId="77777777" w:rsidR="00C03A15" w:rsidRPr="00C03A15" w:rsidRDefault="00C03A15" w:rsidP="00C03A15">
            <w:pPr>
              <w:pStyle w:val="ParagraphStyle6"/>
              <w:rPr>
                <w:rStyle w:val="CharacterStyle6"/>
              </w:rPr>
            </w:pPr>
            <w:r w:rsidRPr="00C03A15">
              <w:rPr>
                <w:rStyle w:val="CharacterStyle6"/>
              </w:rPr>
              <w:t>148.716,85</w:t>
            </w:r>
          </w:p>
        </w:tc>
        <w:tc>
          <w:tcPr>
            <w:tcW w:w="1935" w:type="dxa"/>
            <w:tcBorders>
              <w:bottom w:val="single" w:sz="6" w:space="0" w:color="000000"/>
              <w:right w:val="single" w:sz="6" w:space="0" w:color="000000"/>
            </w:tcBorders>
            <w:vAlign w:val="center"/>
          </w:tcPr>
          <w:p w14:paraId="4F660166" w14:textId="77777777" w:rsidR="00C03A15" w:rsidRPr="00C03A15" w:rsidRDefault="00C03A15" w:rsidP="00C03A15">
            <w:pPr>
              <w:pStyle w:val="ParagraphStyle6"/>
              <w:rPr>
                <w:rStyle w:val="CharacterStyle6"/>
              </w:rPr>
            </w:pPr>
            <w:r w:rsidRPr="00C03A15">
              <w:rPr>
                <w:rStyle w:val="CharacterStyle6"/>
              </w:rPr>
              <w:t>120.114,25</w:t>
            </w:r>
          </w:p>
        </w:tc>
      </w:tr>
      <w:tr w:rsidR="00C03A15" w14:paraId="4B21DE0F" w14:textId="77777777" w:rsidTr="009A4261">
        <w:trPr>
          <w:trHeight w:val="360"/>
        </w:trPr>
        <w:tc>
          <w:tcPr>
            <w:tcW w:w="5190" w:type="dxa"/>
            <w:tcBorders>
              <w:left w:val="single" w:sz="6" w:space="0" w:color="000000"/>
              <w:bottom w:val="single" w:sz="6" w:space="0" w:color="000000"/>
              <w:right w:val="single" w:sz="6" w:space="0" w:color="000000"/>
            </w:tcBorders>
            <w:vAlign w:val="center"/>
          </w:tcPr>
          <w:p w14:paraId="05D72AE9" w14:textId="77777777" w:rsidR="00C03A15" w:rsidRPr="00EE3A4E" w:rsidRDefault="00C03A15" w:rsidP="00C03A15">
            <w:pPr>
              <w:pStyle w:val="ParagraphStyle7"/>
              <w:rPr>
                <w:rStyle w:val="CharacterStyle7"/>
              </w:rPr>
            </w:pPr>
            <w:r w:rsidRPr="00EE3A4E">
              <w:rPr>
                <w:rStyle w:val="CharacterStyle7"/>
              </w:rPr>
              <w:t>61 Donacije</w:t>
            </w:r>
          </w:p>
        </w:tc>
        <w:tc>
          <w:tcPr>
            <w:tcW w:w="1920" w:type="dxa"/>
            <w:tcBorders>
              <w:bottom w:val="single" w:sz="6" w:space="0" w:color="000000"/>
              <w:right w:val="single" w:sz="6" w:space="0" w:color="000000"/>
            </w:tcBorders>
            <w:vAlign w:val="center"/>
          </w:tcPr>
          <w:p w14:paraId="2A95E6F1" w14:textId="77777777" w:rsidR="00C03A15" w:rsidRPr="00C03A15" w:rsidRDefault="00C03A15" w:rsidP="00C03A15">
            <w:pPr>
              <w:pStyle w:val="ParagraphStyle8"/>
              <w:jc w:val="right"/>
              <w:rPr>
                <w:rStyle w:val="CharacterStyle8"/>
                <w:i w:val="0"/>
              </w:rPr>
            </w:pPr>
            <w:r w:rsidRPr="00C03A15">
              <w:rPr>
                <w:rStyle w:val="CharacterStyle8"/>
                <w:i w:val="0"/>
              </w:rPr>
              <w:t>193.590,73</w:t>
            </w:r>
          </w:p>
        </w:tc>
        <w:tc>
          <w:tcPr>
            <w:tcW w:w="1935" w:type="dxa"/>
            <w:tcBorders>
              <w:bottom w:val="single" w:sz="6" w:space="0" w:color="000000"/>
              <w:right w:val="single" w:sz="6" w:space="0" w:color="000000"/>
            </w:tcBorders>
            <w:vAlign w:val="center"/>
          </w:tcPr>
          <w:p w14:paraId="53C96B2A" w14:textId="77777777" w:rsidR="00C03A15" w:rsidRPr="00C03A15" w:rsidRDefault="00C03A15" w:rsidP="00C03A15">
            <w:pPr>
              <w:pStyle w:val="ParagraphStyle8"/>
              <w:jc w:val="right"/>
              <w:rPr>
                <w:rStyle w:val="CharacterStyle8"/>
                <w:i w:val="0"/>
              </w:rPr>
            </w:pPr>
            <w:r w:rsidRPr="00C03A15">
              <w:rPr>
                <w:rStyle w:val="CharacterStyle8"/>
                <w:i w:val="0"/>
              </w:rPr>
              <w:t>149.863,94</w:t>
            </w:r>
          </w:p>
        </w:tc>
        <w:tc>
          <w:tcPr>
            <w:tcW w:w="1935" w:type="dxa"/>
            <w:tcBorders>
              <w:bottom w:val="single" w:sz="6" w:space="0" w:color="000000"/>
              <w:right w:val="single" w:sz="6" w:space="0" w:color="000000"/>
            </w:tcBorders>
            <w:vAlign w:val="center"/>
          </w:tcPr>
          <w:p w14:paraId="71210C43" w14:textId="77777777" w:rsidR="00C03A15" w:rsidRPr="00C03A15" w:rsidRDefault="00C03A15" w:rsidP="00C03A15">
            <w:pPr>
              <w:pStyle w:val="ParagraphStyle9"/>
              <w:rPr>
                <w:rStyle w:val="CharacterStyle9"/>
                <w:i w:val="0"/>
              </w:rPr>
            </w:pPr>
            <w:r w:rsidRPr="00C03A15">
              <w:rPr>
                <w:rStyle w:val="CharacterStyle9"/>
                <w:i w:val="0"/>
              </w:rPr>
              <w:t>183.689,37</w:t>
            </w:r>
          </w:p>
        </w:tc>
        <w:tc>
          <w:tcPr>
            <w:tcW w:w="1935" w:type="dxa"/>
            <w:tcBorders>
              <w:bottom w:val="single" w:sz="6" w:space="0" w:color="000000"/>
              <w:right w:val="single" w:sz="6" w:space="0" w:color="000000"/>
            </w:tcBorders>
            <w:vAlign w:val="center"/>
          </w:tcPr>
          <w:p w14:paraId="1BE056A9" w14:textId="77777777" w:rsidR="00C03A15" w:rsidRPr="00C03A15" w:rsidRDefault="00C03A15" w:rsidP="00C03A15">
            <w:pPr>
              <w:pStyle w:val="ParagraphStyle9"/>
              <w:rPr>
                <w:rStyle w:val="CharacterStyle9"/>
                <w:i w:val="0"/>
              </w:rPr>
            </w:pPr>
            <w:r w:rsidRPr="00C03A15">
              <w:rPr>
                <w:rStyle w:val="CharacterStyle9"/>
                <w:i w:val="0"/>
              </w:rPr>
              <w:t>148.716,85</w:t>
            </w:r>
          </w:p>
        </w:tc>
        <w:tc>
          <w:tcPr>
            <w:tcW w:w="1935" w:type="dxa"/>
            <w:tcBorders>
              <w:bottom w:val="single" w:sz="6" w:space="0" w:color="000000"/>
              <w:right w:val="single" w:sz="6" w:space="0" w:color="000000"/>
            </w:tcBorders>
            <w:vAlign w:val="center"/>
          </w:tcPr>
          <w:p w14:paraId="08694FAA" w14:textId="77777777" w:rsidR="00C03A15" w:rsidRPr="00C03A15" w:rsidRDefault="00C03A15" w:rsidP="00C03A15">
            <w:pPr>
              <w:pStyle w:val="ParagraphStyle9"/>
              <w:rPr>
                <w:rStyle w:val="CharacterStyle9"/>
                <w:i w:val="0"/>
              </w:rPr>
            </w:pPr>
            <w:r w:rsidRPr="00C03A15">
              <w:rPr>
                <w:rStyle w:val="CharacterStyle9"/>
                <w:i w:val="0"/>
              </w:rPr>
              <w:t>120.114,25</w:t>
            </w:r>
          </w:p>
        </w:tc>
      </w:tr>
      <w:tr w:rsidR="00C03A15" w14:paraId="31237F8F" w14:textId="77777777" w:rsidTr="009A4261">
        <w:trPr>
          <w:trHeight w:val="360"/>
        </w:trPr>
        <w:tc>
          <w:tcPr>
            <w:tcW w:w="5190" w:type="dxa"/>
            <w:tcBorders>
              <w:left w:val="single" w:sz="6" w:space="0" w:color="000000"/>
              <w:bottom w:val="single" w:sz="6" w:space="0" w:color="000000"/>
              <w:right w:val="single" w:sz="6" w:space="0" w:color="000000"/>
            </w:tcBorders>
            <w:vAlign w:val="center"/>
          </w:tcPr>
          <w:p w14:paraId="6D50D337" w14:textId="77777777" w:rsidR="00C03A15" w:rsidRPr="00EE3A4E" w:rsidRDefault="00C03A15" w:rsidP="00C03A15">
            <w:pPr>
              <w:pStyle w:val="ParagraphStyle5"/>
              <w:rPr>
                <w:rStyle w:val="CharacterStyle5"/>
              </w:rPr>
            </w:pPr>
            <w:r w:rsidRPr="00EE3A4E">
              <w:rPr>
                <w:rStyle w:val="CharacterStyle5"/>
              </w:rPr>
              <w:t>7 PRIHODI OD PRODAJE NEFINANCIJSKE IMOVINE</w:t>
            </w:r>
          </w:p>
        </w:tc>
        <w:tc>
          <w:tcPr>
            <w:tcW w:w="1920" w:type="dxa"/>
            <w:tcBorders>
              <w:bottom w:val="single" w:sz="6" w:space="0" w:color="000000"/>
              <w:right w:val="single" w:sz="6" w:space="0" w:color="000000"/>
            </w:tcBorders>
            <w:vAlign w:val="center"/>
          </w:tcPr>
          <w:p w14:paraId="50C3E927" w14:textId="77777777" w:rsidR="00C03A15" w:rsidRPr="00C03A15" w:rsidRDefault="00C03A15" w:rsidP="00C03A15">
            <w:pPr>
              <w:pStyle w:val="ParagraphStyle6"/>
              <w:rPr>
                <w:rStyle w:val="CharacterStyle6"/>
              </w:rPr>
            </w:pPr>
            <w:r w:rsidRPr="00C03A15">
              <w:rPr>
                <w:rStyle w:val="CharacterStyle6"/>
              </w:rPr>
              <w:t>120.580,83</w:t>
            </w:r>
          </w:p>
        </w:tc>
        <w:tc>
          <w:tcPr>
            <w:tcW w:w="1935" w:type="dxa"/>
            <w:tcBorders>
              <w:bottom w:val="single" w:sz="6" w:space="0" w:color="000000"/>
              <w:right w:val="single" w:sz="6" w:space="0" w:color="000000"/>
            </w:tcBorders>
            <w:vAlign w:val="center"/>
          </w:tcPr>
          <w:p w14:paraId="06D466E5" w14:textId="77777777" w:rsidR="00C03A15" w:rsidRPr="00C03A15" w:rsidRDefault="00C03A15" w:rsidP="00C03A15">
            <w:pPr>
              <w:pStyle w:val="ParagraphStyle6"/>
              <w:rPr>
                <w:rStyle w:val="CharacterStyle6"/>
              </w:rPr>
            </w:pPr>
            <w:r w:rsidRPr="00C03A15">
              <w:rPr>
                <w:rStyle w:val="CharacterStyle6"/>
              </w:rPr>
              <w:t>2.249.838,46</w:t>
            </w:r>
          </w:p>
        </w:tc>
        <w:tc>
          <w:tcPr>
            <w:tcW w:w="1935" w:type="dxa"/>
            <w:tcBorders>
              <w:bottom w:val="single" w:sz="6" w:space="0" w:color="000000"/>
              <w:right w:val="single" w:sz="6" w:space="0" w:color="000000"/>
            </w:tcBorders>
            <w:vAlign w:val="center"/>
          </w:tcPr>
          <w:p w14:paraId="1D7C1DFC" w14:textId="77777777" w:rsidR="00C03A15" w:rsidRPr="00C03A15" w:rsidRDefault="00C03A15" w:rsidP="00C03A15">
            <w:pPr>
              <w:pStyle w:val="ParagraphStyle6"/>
              <w:rPr>
                <w:rStyle w:val="CharacterStyle6"/>
              </w:rPr>
            </w:pPr>
            <w:r w:rsidRPr="00C03A15">
              <w:rPr>
                <w:rStyle w:val="CharacterStyle6"/>
              </w:rPr>
              <w:t>1.123.953,03</w:t>
            </w:r>
          </w:p>
        </w:tc>
        <w:tc>
          <w:tcPr>
            <w:tcW w:w="1935" w:type="dxa"/>
            <w:tcBorders>
              <w:bottom w:val="single" w:sz="6" w:space="0" w:color="000000"/>
              <w:right w:val="single" w:sz="6" w:space="0" w:color="000000"/>
            </w:tcBorders>
            <w:vAlign w:val="center"/>
          </w:tcPr>
          <w:p w14:paraId="3D970844" w14:textId="77777777" w:rsidR="00C03A15" w:rsidRPr="00C03A15" w:rsidRDefault="00C03A15" w:rsidP="00C03A15">
            <w:pPr>
              <w:pStyle w:val="ParagraphStyle6"/>
              <w:rPr>
                <w:rStyle w:val="CharacterStyle6"/>
              </w:rPr>
            </w:pPr>
            <w:r w:rsidRPr="00C03A15">
              <w:rPr>
                <w:rStyle w:val="CharacterStyle6"/>
              </w:rPr>
              <w:t>4.822.677,03</w:t>
            </w:r>
          </w:p>
        </w:tc>
        <w:tc>
          <w:tcPr>
            <w:tcW w:w="1935" w:type="dxa"/>
            <w:tcBorders>
              <w:bottom w:val="single" w:sz="6" w:space="0" w:color="000000"/>
              <w:right w:val="single" w:sz="6" w:space="0" w:color="000000"/>
            </w:tcBorders>
            <w:vAlign w:val="center"/>
          </w:tcPr>
          <w:p w14:paraId="6624E9A0" w14:textId="77777777" w:rsidR="00C03A15" w:rsidRPr="00C03A15" w:rsidRDefault="00C03A15" w:rsidP="00C03A15">
            <w:pPr>
              <w:pStyle w:val="ParagraphStyle6"/>
              <w:rPr>
                <w:rStyle w:val="CharacterStyle6"/>
              </w:rPr>
            </w:pPr>
            <w:r w:rsidRPr="00C03A15">
              <w:rPr>
                <w:rStyle w:val="CharacterStyle6"/>
              </w:rPr>
              <w:t>1.505.677,03</w:t>
            </w:r>
          </w:p>
        </w:tc>
      </w:tr>
      <w:tr w:rsidR="00C03A15" w14:paraId="1A572DCB" w14:textId="77777777" w:rsidTr="009A4261">
        <w:trPr>
          <w:trHeight w:val="420"/>
        </w:trPr>
        <w:tc>
          <w:tcPr>
            <w:tcW w:w="5190" w:type="dxa"/>
            <w:tcBorders>
              <w:left w:val="single" w:sz="6" w:space="0" w:color="000000"/>
              <w:bottom w:val="single" w:sz="6" w:space="0" w:color="000000"/>
              <w:right w:val="single" w:sz="6" w:space="0" w:color="000000"/>
            </w:tcBorders>
            <w:vAlign w:val="center"/>
          </w:tcPr>
          <w:p w14:paraId="39E16206" w14:textId="77777777" w:rsidR="00C03A15" w:rsidRPr="00EE3A4E" w:rsidRDefault="00C03A15" w:rsidP="00C03A15">
            <w:pPr>
              <w:pStyle w:val="ParagraphStyle7"/>
              <w:rPr>
                <w:rStyle w:val="CharacterStyle7"/>
              </w:rPr>
            </w:pPr>
            <w:r w:rsidRPr="00EE3A4E">
              <w:rPr>
                <w:rStyle w:val="CharacterStyle7"/>
              </w:rPr>
              <w:t>71 Prihodi od prodaje ili zamjene nefinancijske imovine i naknade s naslova osiguranja</w:t>
            </w:r>
          </w:p>
        </w:tc>
        <w:tc>
          <w:tcPr>
            <w:tcW w:w="1920" w:type="dxa"/>
            <w:tcBorders>
              <w:bottom w:val="single" w:sz="6" w:space="0" w:color="000000"/>
              <w:right w:val="single" w:sz="6" w:space="0" w:color="000000"/>
            </w:tcBorders>
            <w:vAlign w:val="center"/>
          </w:tcPr>
          <w:p w14:paraId="167A4830" w14:textId="77777777" w:rsidR="00C03A15" w:rsidRPr="00C03A15" w:rsidRDefault="00C03A15" w:rsidP="00C03A15">
            <w:pPr>
              <w:pStyle w:val="ParagraphStyle8"/>
              <w:jc w:val="right"/>
              <w:rPr>
                <w:rStyle w:val="CharacterStyle8"/>
                <w:i w:val="0"/>
              </w:rPr>
            </w:pPr>
            <w:r w:rsidRPr="00C03A15">
              <w:rPr>
                <w:rStyle w:val="CharacterStyle8"/>
                <w:i w:val="0"/>
              </w:rPr>
              <w:t>120.580,83</w:t>
            </w:r>
          </w:p>
        </w:tc>
        <w:tc>
          <w:tcPr>
            <w:tcW w:w="1935" w:type="dxa"/>
            <w:tcBorders>
              <w:bottom w:val="single" w:sz="6" w:space="0" w:color="000000"/>
              <w:right w:val="single" w:sz="6" w:space="0" w:color="000000"/>
            </w:tcBorders>
            <w:vAlign w:val="center"/>
          </w:tcPr>
          <w:p w14:paraId="6C302244" w14:textId="77777777" w:rsidR="00C03A15" w:rsidRPr="00C03A15" w:rsidRDefault="00C03A15" w:rsidP="00C03A15">
            <w:pPr>
              <w:pStyle w:val="ParagraphStyle8"/>
              <w:jc w:val="right"/>
              <w:rPr>
                <w:rStyle w:val="CharacterStyle8"/>
                <w:i w:val="0"/>
              </w:rPr>
            </w:pPr>
            <w:r w:rsidRPr="00C03A15">
              <w:rPr>
                <w:rStyle w:val="CharacterStyle8"/>
                <w:i w:val="0"/>
              </w:rPr>
              <w:t>2.249.838,46</w:t>
            </w:r>
          </w:p>
        </w:tc>
        <w:tc>
          <w:tcPr>
            <w:tcW w:w="1935" w:type="dxa"/>
            <w:tcBorders>
              <w:bottom w:val="single" w:sz="6" w:space="0" w:color="000000"/>
              <w:right w:val="single" w:sz="6" w:space="0" w:color="000000"/>
            </w:tcBorders>
            <w:vAlign w:val="center"/>
          </w:tcPr>
          <w:p w14:paraId="0D9F79D3" w14:textId="77777777" w:rsidR="00C03A15" w:rsidRPr="00C03A15" w:rsidRDefault="00C03A15" w:rsidP="00C03A15">
            <w:pPr>
              <w:pStyle w:val="ParagraphStyle9"/>
              <w:rPr>
                <w:rStyle w:val="CharacterStyle9"/>
                <w:i w:val="0"/>
              </w:rPr>
            </w:pPr>
            <w:r w:rsidRPr="00C03A15">
              <w:rPr>
                <w:rStyle w:val="CharacterStyle9"/>
                <w:i w:val="0"/>
              </w:rPr>
              <w:t>1.123.953,03</w:t>
            </w:r>
          </w:p>
        </w:tc>
        <w:tc>
          <w:tcPr>
            <w:tcW w:w="1935" w:type="dxa"/>
            <w:tcBorders>
              <w:bottom w:val="single" w:sz="6" w:space="0" w:color="000000"/>
              <w:right w:val="single" w:sz="6" w:space="0" w:color="000000"/>
            </w:tcBorders>
            <w:vAlign w:val="center"/>
          </w:tcPr>
          <w:p w14:paraId="3A115584" w14:textId="77777777" w:rsidR="00C03A15" w:rsidRPr="00C03A15" w:rsidRDefault="00C03A15" w:rsidP="00C03A15">
            <w:pPr>
              <w:pStyle w:val="ParagraphStyle9"/>
              <w:rPr>
                <w:rStyle w:val="CharacterStyle9"/>
                <w:i w:val="0"/>
              </w:rPr>
            </w:pPr>
            <w:r w:rsidRPr="00C03A15">
              <w:rPr>
                <w:rStyle w:val="CharacterStyle9"/>
                <w:i w:val="0"/>
              </w:rPr>
              <w:t>4.822.677,03</w:t>
            </w:r>
          </w:p>
        </w:tc>
        <w:tc>
          <w:tcPr>
            <w:tcW w:w="1935" w:type="dxa"/>
            <w:tcBorders>
              <w:bottom w:val="single" w:sz="6" w:space="0" w:color="000000"/>
              <w:right w:val="single" w:sz="6" w:space="0" w:color="000000"/>
            </w:tcBorders>
            <w:vAlign w:val="center"/>
          </w:tcPr>
          <w:p w14:paraId="460A75D4" w14:textId="77777777" w:rsidR="00C03A15" w:rsidRPr="00C03A15" w:rsidRDefault="00C03A15" w:rsidP="00C03A15">
            <w:pPr>
              <w:pStyle w:val="ParagraphStyle9"/>
              <w:rPr>
                <w:rStyle w:val="CharacterStyle9"/>
                <w:i w:val="0"/>
              </w:rPr>
            </w:pPr>
            <w:r w:rsidRPr="00C03A15">
              <w:rPr>
                <w:rStyle w:val="CharacterStyle9"/>
                <w:i w:val="0"/>
              </w:rPr>
              <w:t>1.505.677,03</w:t>
            </w:r>
          </w:p>
        </w:tc>
      </w:tr>
      <w:tr w:rsidR="00C03A15" w14:paraId="57E62C35" w14:textId="77777777" w:rsidTr="009A4261">
        <w:trPr>
          <w:trHeight w:val="360"/>
        </w:trPr>
        <w:tc>
          <w:tcPr>
            <w:tcW w:w="5190" w:type="dxa"/>
            <w:tcBorders>
              <w:left w:val="single" w:sz="6" w:space="0" w:color="000000"/>
              <w:bottom w:val="single" w:sz="6" w:space="0" w:color="000000"/>
              <w:right w:val="single" w:sz="6" w:space="0" w:color="000000"/>
            </w:tcBorders>
            <w:vAlign w:val="center"/>
          </w:tcPr>
          <w:p w14:paraId="1D848E2E" w14:textId="77777777" w:rsidR="00C03A15" w:rsidRPr="00EE3A4E" w:rsidRDefault="00C03A15" w:rsidP="00C03A15">
            <w:pPr>
              <w:pStyle w:val="ParagraphStyle5"/>
              <w:rPr>
                <w:rStyle w:val="CharacterStyle5"/>
              </w:rPr>
            </w:pPr>
            <w:r w:rsidRPr="00EE3A4E">
              <w:rPr>
                <w:rStyle w:val="CharacterStyle5"/>
              </w:rPr>
              <w:t>8 NAMJENSKI PRIMICI</w:t>
            </w:r>
          </w:p>
        </w:tc>
        <w:tc>
          <w:tcPr>
            <w:tcW w:w="1920" w:type="dxa"/>
            <w:tcBorders>
              <w:bottom w:val="single" w:sz="6" w:space="0" w:color="000000"/>
              <w:right w:val="single" w:sz="6" w:space="0" w:color="000000"/>
            </w:tcBorders>
            <w:vAlign w:val="center"/>
          </w:tcPr>
          <w:p w14:paraId="014F2E7E" w14:textId="77777777" w:rsidR="00C03A15" w:rsidRPr="00C03A15" w:rsidRDefault="00C03A15" w:rsidP="00C03A15">
            <w:pPr>
              <w:pStyle w:val="ParagraphStyle6"/>
              <w:rPr>
                <w:rStyle w:val="CharacterStyle6"/>
              </w:rPr>
            </w:pPr>
            <w:r w:rsidRPr="00C03A15">
              <w:rPr>
                <w:rStyle w:val="CharacterStyle6"/>
              </w:rPr>
              <w:t>8.393.446,73</w:t>
            </w:r>
          </w:p>
        </w:tc>
        <w:tc>
          <w:tcPr>
            <w:tcW w:w="1935" w:type="dxa"/>
            <w:tcBorders>
              <w:bottom w:val="single" w:sz="6" w:space="0" w:color="000000"/>
              <w:right w:val="single" w:sz="6" w:space="0" w:color="000000"/>
            </w:tcBorders>
            <w:vAlign w:val="center"/>
          </w:tcPr>
          <w:p w14:paraId="55B73897" w14:textId="77777777" w:rsidR="00C03A15" w:rsidRPr="00C03A15" w:rsidRDefault="00C03A15" w:rsidP="00C03A15">
            <w:pPr>
              <w:pStyle w:val="ParagraphStyle6"/>
              <w:rPr>
                <w:rStyle w:val="CharacterStyle6"/>
              </w:rPr>
            </w:pPr>
            <w:r w:rsidRPr="00C03A15">
              <w:rPr>
                <w:rStyle w:val="CharacterStyle6"/>
              </w:rPr>
              <w:t>18.327.942,96</w:t>
            </w:r>
          </w:p>
        </w:tc>
        <w:tc>
          <w:tcPr>
            <w:tcW w:w="1935" w:type="dxa"/>
            <w:tcBorders>
              <w:bottom w:val="single" w:sz="6" w:space="0" w:color="000000"/>
              <w:right w:val="single" w:sz="6" w:space="0" w:color="000000"/>
            </w:tcBorders>
            <w:vAlign w:val="center"/>
          </w:tcPr>
          <w:p w14:paraId="7102E81F" w14:textId="77777777" w:rsidR="00C03A15" w:rsidRPr="00C03A15" w:rsidRDefault="00C03A15" w:rsidP="00C03A15">
            <w:pPr>
              <w:pStyle w:val="ParagraphStyle6"/>
              <w:rPr>
                <w:rStyle w:val="CharacterStyle6"/>
              </w:rPr>
            </w:pPr>
            <w:r w:rsidRPr="00C03A15">
              <w:rPr>
                <w:rStyle w:val="CharacterStyle6"/>
              </w:rPr>
              <w:t>0,00</w:t>
            </w:r>
          </w:p>
        </w:tc>
        <w:tc>
          <w:tcPr>
            <w:tcW w:w="1935" w:type="dxa"/>
            <w:tcBorders>
              <w:bottom w:val="single" w:sz="6" w:space="0" w:color="000000"/>
              <w:right w:val="single" w:sz="6" w:space="0" w:color="000000"/>
            </w:tcBorders>
            <w:vAlign w:val="center"/>
          </w:tcPr>
          <w:p w14:paraId="178FEED1" w14:textId="77777777" w:rsidR="00C03A15" w:rsidRPr="00C03A15" w:rsidRDefault="00C03A15" w:rsidP="00C03A15">
            <w:pPr>
              <w:pStyle w:val="ParagraphStyle6"/>
              <w:rPr>
                <w:rStyle w:val="CharacterStyle6"/>
              </w:rPr>
            </w:pPr>
            <w:r w:rsidRPr="00C03A15">
              <w:rPr>
                <w:rStyle w:val="CharacterStyle6"/>
              </w:rPr>
              <w:t>0,00</w:t>
            </w:r>
          </w:p>
        </w:tc>
        <w:tc>
          <w:tcPr>
            <w:tcW w:w="1935" w:type="dxa"/>
            <w:tcBorders>
              <w:bottom w:val="single" w:sz="6" w:space="0" w:color="000000"/>
              <w:right w:val="single" w:sz="6" w:space="0" w:color="000000"/>
            </w:tcBorders>
            <w:vAlign w:val="center"/>
          </w:tcPr>
          <w:p w14:paraId="07C97DA7" w14:textId="77777777" w:rsidR="00C03A15" w:rsidRPr="00C03A15" w:rsidRDefault="00C03A15" w:rsidP="00C03A15">
            <w:pPr>
              <w:pStyle w:val="ParagraphStyle6"/>
              <w:rPr>
                <w:rStyle w:val="CharacterStyle6"/>
              </w:rPr>
            </w:pPr>
            <w:r w:rsidRPr="00C03A15">
              <w:rPr>
                <w:rStyle w:val="CharacterStyle6"/>
              </w:rPr>
              <w:t>0,00</w:t>
            </w:r>
          </w:p>
        </w:tc>
      </w:tr>
      <w:tr w:rsidR="00C03A15" w14:paraId="0E923624" w14:textId="77777777" w:rsidTr="009A4261">
        <w:trPr>
          <w:trHeight w:val="360"/>
        </w:trPr>
        <w:tc>
          <w:tcPr>
            <w:tcW w:w="5190" w:type="dxa"/>
            <w:tcBorders>
              <w:left w:val="single" w:sz="6" w:space="0" w:color="000000"/>
              <w:bottom w:val="single" w:sz="6" w:space="0" w:color="000000"/>
              <w:right w:val="single" w:sz="6" w:space="0" w:color="000000"/>
            </w:tcBorders>
            <w:vAlign w:val="center"/>
          </w:tcPr>
          <w:p w14:paraId="343AE477" w14:textId="77777777" w:rsidR="00C03A15" w:rsidRPr="00EE3A4E" w:rsidRDefault="00C03A15" w:rsidP="00C03A15">
            <w:pPr>
              <w:pStyle w:val="ParagraphStyle7"/>
              <w:rPr>
                <w:rStyle w:val="CharacterStyle7"/>
              </w:rPr>
            </w:pPr>
            <w:r w:rsidRPr="00EE3A4E">
              <w:rPr>
                <w:rStyle w:val="CharacterStyle7"/>
              </w:rPr>
              <w:t>82 Preneseni viškovi iz ranijih godina</w:t>
            </w:r>
          </w:p>
        </w:tc>
        <w:tc>
          <w:tcPr>
            <w:tcW w:w="1920" w:type="dxa"/>
            <w:tcBorders>
              <w:bottom w:val="single" w:sz="6" w:space="0" w:color="000000"/>
              <w:right w:val="single" w:sz="6" w:space="0" w:color="000000"/>
            </w:tcBorders>
            <w:vAlign w:val="center"/>
          </w:tcPr>
          <w:p w14:paraId="525B82B2" w14:textId="77777777" w:rsidR="00C03A15" w:rsidRPr="00C03A15" w:rsidRDefault="00C03A15" w:rsidP="00C03A15">
            <w:pPr>
              <w:pStyle w:val="ParagraphStyle8"/>
              <w:jc w:val="right"/>
              <w:rPr>
                <w:rStyle w:val="CharacterStyle8"/>
                <w:i w:val="0"/>
              </w:rPr>
            </w:pPr>
            <w:r w:rsidRPr="00C03A15">
              <w:rPr>
                <w:rStyle w:val="CharacterStyle8"/>
                <w:i w:val="0"/>
              </w:rPr>
              <w:t>8.393.446,73</w:t>
            </w:r>
          </w:p>
        </w:tc>
        <w:tc>
          <w:tcPr>
            <w:tcW w:w="1935" w:type="dxa"/>
            <w:tcBorders>
              <w:bottom w:val="single" w:sz="6" w:space="0" w:color="000000"/>
              <w:right w:val="single" w:sz="6" w:space="0" w:color="000000"/>
            </w:tcBorders>
            <w:vAlign w:val="center"/>
          </w:tcPr>
          <w:p w14:paraId="1BB1BBDC" w14:textId="77777777" w:rsidR="00C03A15" w:rsidRPr="00C03A15" w:rsidRDefault="00C03A15" w:rsidP="00C03A15">
            <w:pPr>
              <w:pStyle w:val="ParagraphStyle8"/>
              <w:jc w:val="right"/>
              <w:rPr>
                <w:rStyle w:val="CharacterStyle8"/>
                <w:i w:val="0"/>
              </w:rPr>
            </w:pPr>
            <w:r w:rsidRPr="00C03A15">
              <w:rPr>
                <w:rStyle w:val="CharacterStyle8"/>
                <w:i w:val="0"/>
              </w:rPr>
              <w:t>18.327.942,96</w:t>
            </w:r>
          </w:p>
        </w:tc>
        <w:tc>
          <w:tcPr>
            <w:tcW w:w="1935" w:type="dxa"/>
            <w:tcBorders>
              <w:bottom w:val="single" w:sz="6" w:space="0" w:color="000000"/>
              <w:right w:val="single" w:sz="6" w:space="0" w:color="000000"/>
            </w:tcBorders>
            <w:vAlign w:val="center"/>
          </w:tcPr>
          <w:p w14:paraId="0C80AE8F" w14:textId="77777777" w:rsidR="00C03A15" w:rsidRPr="00C03A15" w:rsidRDefault="00C03A15" w:rsidP="00C03A15">
            <w:pPr>
              <w:pStyle w:val="ParagraphStyle9"/>
              <w:rPr>
                <w:rStyle w:val="CharacterStyle9"/>
                <w:i w:val="0"/>
              </w:rPr>
            </w:pPr>
            <w:r w:rsidRPr="00C03A15">
              <w:rPr>
                <w:rStyle w:val="CharacterStyle9"/>
                <w:i w:val="0"/>
              </w:rPr>
              <w:t>0,00</w:t>
            </w:r>
          </w:p>
        </w:tc>
        <w:tc>
          <w:tcPr>
            <w:tcW w:w="1935" w:type="dxa"/>
            <w:tcBorders>
              <w:bottom w:val="single" w:sz="6" w:space="0" w:color="000000"/>
              <w:right w:val="single" w:sz="6" w:space="0" w:color="000000"/>
            </w:tcBorders>
            <w:vAlign w:val="center"/>
          </w:tcPr>
          <w:p w14:paraId="3FB549F0" w14:textId="77777777" w:rsidR="00C03A15" w:rsidRPr="00C03A15" w:rsidRDefault="00C03A15" w:rsidP="00C03A15">
            <w:pPr>
              <w:pStyle w:val="ParagraphStyle9"/>
              <w:rPr>
                <w:rStyle w:val="CharacterStyle9"/>
                <w:i w:val="0"/>
              </w:rPr>
            </w:pPr>
            <w:r w:rsidRPr="00C03A15">
              <w:rPr>
                <w:rStyle w:val="CharacterStyle9"/>
                <w:i w:val="0"/>
              </w:rPr>
              <w:t>0,00</w:t>
            </w:r>
          </w:p>
        </w:tc>
        <w:tc>
          <w:tcPr>
            <w:tcW w:w="1935" w:type="dxa"/>
            <w:tcBorders>
              <w:bottom w:val="single" w:sz="6" w:space="0" w:color="000000"/>
              <w:right w:val="single" w:sz="6" w:space="0" w:color="000000"/>
            </w:tcBorders>
            <w:vAlign w:val="center"/>
          </w:tcPr>
          <w:p w14:paraId="28E2598D" w14:textId="77777777" w:rsidR="00C03A15" w:rsidRPr="00C03A15" w:rsidRDefault="00C03A15" w:rsidP="00C03A15">
            <w:pPr>
              <w:pStyle w:val="ParagraphStyle9"/>
              <w:rPr>
                <w:rStyle w:val="CharacterStyle9"/>
                <w:i w:val="0"/>
              </w:rPr>
            </w:pPr>
            <w:r w:rsidRPr="00C03A15">
              <w:rPr>
                <w:rStyle w:val="CharacterStyle9"/>
                <w:i w:val="0"/>
              </w:rPr>
              <w:t>0,00</w:t>
            </w:r>
          </w:p>
        </w:tc>
      </w:tr>
    </w:tbl>
    <w:p w14:paraId="1A33B43C" w14:textId="77777777" w:rsidR="002A4BFB" w:rsidRDefault="002A4BFB" w:rsidP="002A4BFB"/>
    <w:p w14:paraId="4C961B44" w14:textId="77777777" w:rsidR="002A4BFB" w:rsidRDefault="002A4BFB" w:rsidP="002A4BFB">
      <w:r>
        <w:br w:type="page"/>
      </w:r>
    </w:p>
    <w:tbl>
      <w:tblPr>
        <w:tblW w:w="0" w:type="auto"/>
        <w:tblLayout w:type="fixed"/>
        <w:tblCellMar>
          <w:left w:w="0" w:type="dxa"/>
          <w:right w:w="0" w:type="dxa"/>
        </w:tblCellMar>
        <w:tblLook w:val="04A0" w:firstRow="1" w:lastRow="0" w:firstColumn="1" w:lastColumn="0" w:noHBand="0" w:noVBand="1"/>
      </w:tblPr>
      <w:tblGrid>
        <w:gridCol w:w="14850"/>
      </w:tblGrid>
      <w:tr w:rsidR="002A4BFB" w14:paraId="789B0616" w14:textId="77777777" w:rsidTr="00107D76">
        <w:trPr>
          <w:trHeight w:val="315"/>
        </w:trPr>
        <w:tc>
          <w:tcPr>
            <w:tcW w:w="14850" w:type="dxa"/>
            <w:vAlign w:val="center"/>
          </w:tcPr>
          <w:p w14:paraId="35A0E5C2" w14:textId="77777777" w:rsidR="002A4BFB" w:rsidRDefault="002A4BFB" w:rsidP="00107D76">
            <w:pPr>
              <w:pStyle w:val="ParagraphStyle0"/>
              <w:rPr>
                <w:rStyle w:val="CharacterStyle0"/>
              </w:rPr>
            </w:pPr>
            <w:r>
              <w:rPr>
                <w:rStyle w:val="CharacterStyle0"/>
              </w:rPr>
              <w:lastRenderedPageBreak/>
              <w:t>A3. RASHODI PREMA FUNKCIJSKOJ KLASIFIKACIJI</w:t>
            </w:r>
          </w:p>
        </w:tc>
      </w:tr>
    </w:tbl>
    <w:p w14:paraId="6E456630" w14:textId="77777777" w:rsidR="002A4BFB" w:rsidRDefault="002A4BFB" w:rsidP="002A4BFB">
      <w:pPr>
        <w:spacing w:line="255" w:lineRule="exact"/>
      </w:pPr>
    </w:p>
    <w:tbl>
      <w:tblPr>
        <w:tblW w:w="14850" w:type="dxa"/>
        <w:tblLayout w:type="fixed"/>
        <w:tblCellMar>
          <w:left w:w="0" w:type="dxa"/>
          <w:right w:w="0" w:type="dxa"/>
        </w:tblCellMar>
        <w:tblLook w:val="04A0" w:firstRow="1" w:lastRow="0" w:firstColumn="1" w:lastColumn="0" w:noHBand="0" w:noVBand="1"/>
      </w:tblPr>
      <w:tblGrid>
        <w:gridCol w:w="4200"/>
        <w:gridCol w:w="2130"/>
        <w:gridCol w:w="2130"/>
        <w:gridCol w:w="2115"/>
        <w:gridCol w:w="2130"/>
        <w:gridCol w:w="2145"/>
      </w:tblGrid>
      <w:tr w:rsidR="002A4BFB" w14:paraId="77066150" w14:textId="77777777" w:rsidTr="00C03A15">
        <w:trPr>
          <w:trHeight w:val="525"/>
          <w:tblHeader/>
        </w:trPr>
        <w:tc>
          <w:tcPr>
            <w:tcW w:w="4200" w:type="dxa"/>
            <w:tcBorders>
              <w:top w:val="single" w:sz="6" w:space="0" w:color="000000"/>
              <w:left w:val="single" w:sz="6" w:space="0" w:color="000000"/>
              <w:bottom w:val="single" w:sz="6" w:space="0" w:color="000000"/>
              <w:right w:val="single" w:sz="6" w:space="0" w:color="000000"/>
            </w:tcBorders>
            <w:shd w:val="clear" w:color="auto" w:fill="DCDCDC"/>
            <w:vAlign w:val="center"/>
          </w:tcPr>
          <w:p w14:paraId="776E245D" w14:textId="77777777" w:rsidR="002A4BFB" w:rsidRPr="00EE3A4E" w:rsidRDefault="002A4BFB" w:rsidP="00107D76">
            <w:pPr>
              <w:pStyle w:val="ParagraphStyle1"/>
              <w:rPr>
                <w:rStyle w:val="CharacterStyle1"/>
                <w:sz w:val="16"/>
                <w:szCs w:val="16"/>
              </w:rPr>
            </w:pPr>
            <w:r w:rsidRPr="00EE3A4E">
              <w:rPr>
                <w:rStyle w:val="CharacterStyle1"/>
                <w:sz w:val="16"/>
                <w:szCs w:val="16"/>
              </w:rPr>
              <w:t>Brojčana oznaka i naziv</w:t>
            </w:r>
          </w:p>
        </w:tc>
        <w:tc>
          <w:tcPr>
            <w:tcW w:w="2130" w:type="dxa"/>
            <w:tcBorders>
              <w:top w:val="single" w:sz="6" w:space="0" w:color="000000"/>
              <w:bottom w:val="single" w:sz="6" w:space="0" w:color="000000"/>
              <w:right w:val="single" w:sz="6" w:space="0" w:color="000000"/>
            </w:tcBorders>
            <w:shd w:val="clear" w:color="auto" w:fill="DCDCDC"/>
            <w:vAlign w:val="center"/>
          </w:tcPr>
          <w:p w14:paraId="5775F766" w14:textId="77777777" w:rsidR="002A4BFB" w:rsidRPr="00EE3A4E" w:rsidRDefault="002A4BFB" w:rsidP="00107D76">
            <w:pPr>
              <w:pStyle w:val="ParagraphStyle2"/>
              <w:rPr>
                <w:rStyle w:val="CharacterStyle2"/>
              </w:rPr>
            </w:pPr>
            <w:r w:rsidRPr="00EE3A4E">
              <w:rPr>
                <w:rStyle w:val="CharacterStyle2"/>
              </w:rPr>
              <w:t>Izvršenje 2024.</w:t>
            </w:r>
          </w:p>
        </w:tc>
        <w:tc>
          <w:tcPr>
            <w:tcW w:w="2130" w:type="dxa"/>
            <w:tcBorders>
              <w:top w:val="single" w:sz="6" w:space="0" w:color="000000"/>
              <w:bottom w:val="single" w:sz="6" w:space="0" w:color="000000"/>
              <w:right w:val="single" w:sz="6" w:space="0" w:color="000000"/>
            </w:tcBorders>
            <w:shd w:val="clear" w:color="auto" w:fill="DCDCDC"/>
            <w:vAlign w:val="center"/>
          </w:tcPr>
          <w:p w14:paraId="63A0E862" w14:textId="77777777" w:rsidR="002A4BFB" w:rsidRPr="00EE3A4E" w:rsidRDefault="002A4BFB" w:rsidP="00107D76">
            <w:pPr>
              <w:pStyle w:val="ParagraphStyle2"/>
              <w:rPr>
                <w:rStyle w:val="CharacterStyle2"/>
              </w:rPr>
            </w:pPr>
            <w:r w:rsidRPr="00EE3A4E">
              <w:rPr>
                <w:rStyle w:val="CharacterStyle2"/>
              </w:rPr>
              <w:t>Tekući plan 2025.</w:t>
            </w:r>
          </w:p>
        </w:tc>
        <w:tc>
          <w:tcPr>
            <w:tcW w:w="2115" w:type="dxa"/>
            <w:tcBorders>
              <w:top w:val="single" w:sz="6" w:space="0" w:color="000000"/>
              <w:bottom w:val="single" w:sz="6" w:space="0" w:color="000000"/>
              <w:right w:val="single" w:sz="6" w:space="0" w:color="000000"/>
            </w:tcBorders>
            <w:shd w:val="clear" w:color="auto" w:fill="DCDCDC"/>
            <w:vAlign w:val="center"/>
          </w:tcPr>
          <w:p w14:paraId="2EFFD9C2" w14:textId="77777777" w:rsidR="002A4BFB" w:rsidRPr="00EE3A4E" w:rsidRDefault="002A4BFB" w:rsidP="00107D76">
            <w:pPr>
              <w:pStyle w:val="ParagraphStyle2"/>
              <w:rPr>
                <w:rStyle w:val="CharacterStyle2"/>
              </w:rPr>
            </w:pPr>
            <w:r w:rsidRPr="00EE3A4E">
              <w:rPr>
                <w:rStyle w:val="CharacterStyle2"/>
              </w:rPr>
              <w:t>Plan 2026.</w:t>
            </w:r>
          </w:p>
        </w:tc>
        <w:tc>
          <w:tcPr>
            <w:tcW w:w="2130" w:type="dxa"/>
            <w:tcBorders>
              <w:top w:val="single" w:sz="6" w:space="0" w:color="000000"/>
              <w:bottom w:val="single" w:sz="6" w:space="0" w:color="000000"/>
              <w:right w:val="single" w:sz="6" w:space="0" w:color="000000"/>
            </w:tcBorders>
            <w:shd w:val="clear" w:color="auto" w:fill="DCDCDC"/>
            <w:vAlign w:val="center"/>
          </w:tcPr>
          <w:p w14:paraId="2851BF5F" w14:textId="77777777" w:rsidR="002A4BFB" w:rsidRPr="00EE3A4E" w:rsidRDefault="002A4BFB" w:rsidP="00107D76">
            <w:pPr>
              <w:pStyle w:val="ParagraphStyle2"/>
              <w:rPr>
                <w:rStyle w:val="CharacterStyle2"/>
              </w:rPr>
            </w:pPr>
            <w:r w:rsidRPr="00EE3A4E">
              <w:rPr>
                <w:rStyle w:val="CharacterStyle2"/>
              </w:rPr>
              <w:t>Projekcija 2027.</w:t>
            </w:r>
          </w:p>
        </w:tc>
        <w:tc>
          <w:tcPr>
            <w:tcW w:w="2145" w:type="dxa"/>
            <w:tcBorders>
              <w:top w:val="single" w:sz="6" w:space="0" w:color="000000"/>
              <w:bottom w:val="single" w:sz="6" w:space="0" w:color="000000"/>
              <w:right w:val="single" w:sz="6" w:space="0" w:color="000000"/>
            </w:tcBorders>
            <w:shd w:val="clear" w:color="auto" w:fill="DCDCDC"/>
            <w:vAlign w:val="center"/>
          </w:tcPr>
          <w:p w14:paraId="63275575" w14:textId="77777777" w:rsidR="002A4BFB" w:rsidRPr="00EE3A4E" w:rsidRDefault="002A4BFB" w:rsidP="00107D76">
            <w:pPr>
              <w:pStyle w:val="ParagraphStyle2"/>
              <w:rPr>
                <w:rStyle w:val="CharacterStyle2"/>
              </w:rPr>
            </w:pPr>
            <w:r w:rsidRPr="00EE3A4E">
              <w:rPr>
                <w:rStyle w:val="CharacterStyle2"/>
              </w:rPr>
              <w:t>Projekcija 2028.</w:t>
            </w:r>
          </w:p>
        </w:tc>
      </w:tr>
      <w:tr w:rsidR="00D93EBC" w14:paraId="298692C1" w14:textId="77777777" w:rsidTr="00C03A15">
        <w:trPr>
          <w:trHeight w:val="360"/>
        </w:trPr>
        <w:tc>
          <w:tcPr>
            <w:tcW w:w="4200" w:type="dxa"/>
            <w:tcBorders>
              <w:left w:val="single" w:sz="6" w:space="0" w:color="000000"/>
              <w:bottom w:val="single" w:sz="6" w:space="0" w:color="000000"/>
              <w:right w:val="single" w:sz="6" w:space="0" w:color="000000"/>
            </w:tcBorders>
            <w:vAlign w:val="center"/>
          </w:tcPr>
          <w:p w14:paraId="4AD024E9" w14:textId="77777777" w:rsidR="00D93EBC" w:rsidRPr="00EE3A4E" w:rsidRDefault="00D93EBC" w:rsidP="00D93EBC">
            <w:pPr>
              <w:pStyle w:val="ParagraphStyle3"/>
              <w:jc w:val="left"/>
              <w:rPr>
                <w:rStyle w:val="CharacterStyle3"/>
              </w:rPr>
            </w:pPr>
            <w:r w:rsidRPr="00EE3A4E">
              <w:rPr>
                <w:rStyle w:val="CharacterStyle3"/>
              </w:rPr>
              <w:t>UKUPNO RASHODI</w:t>
            </w:r>
          </w:p>
        </w:tc>
        <w:tc>
          <w:tcPr>
            <w:tcW w:w="2130" w:type="dxa"/>
            <w:tcBorders>
              <w:bottom w:val="single" w:sz="6" w:space="0" w:color="000000"/>
              <w:right w:val="single" w:sz="6" w:space="0" w:color="000000"/>
            </w:tcBorders>
            <w:vAlign w:val="center"/>
          </w:tcPr>
          <w:p w14:paraId="2E24D962" w14:textId="77777777" w:rsidR="00D93EBC" w:rsidRPr="00EE3A4E" w:rsidRDefault="00D93EBC" w:rsidP="00D93EBC">
            <w:pPr>
              <w:pStyle w:val="ParagraphStyle4"/>
              <w:jc w:val="right"/>
              <w:rPr>
                <w:rStyle w:val="CharacterStyle4"/>
              </w:rPr>
            </w:pPr>
            <w:r w:rsidRPr="00EE3A4E">
              <w:rPr>
                <w:rStyle w:val="CharacterStyle4"/>
              </w:rPr>
              <w:t>36.433.400,28</w:t>
            </w:r>
          </w:p>
        </w:tc>
        <w:tc>
          <w:tcPr>
            <w:tcW w:w="2130" w:type="dxa"/>
            <w:tcBorders>
              <w:bottom w:val="single" w:sz="6" w:space="0" w:color="000000"/>
              <w:right w:val="single" w:sz="6" w:space="0" w:color="000000"/>
            </w:tcBorders>
            <w:vAlign w:val="center"/>
          </w:tcPr>
          <w:p w14:paraId="56B45D2A" w14:textId="77777777" w:rsidR="00D93EBC" w:rsidRPr="00EE3A4E" w:rsidRDefault="00D93EBC" w:rsidP="00D93EBC">
            <w:pPr>
              <w:pStyle w:val="ParagraphStyle4"/>
              <w:jc w:val="right"/>
              <w:rPr>
                <w:rStyle w:val="CharacterStyle4"/>
              </w:rPr>
            </w:pPr>
            <w:r w:rsidRPr="00EE3A4E">
              <w:rPr>
                <w:rStyle w:val="CharacterStyle4"/>
              </w:rPr>
              <w:t>64.342.564,00</w:t>
            </w:r>
          </w:p>
        </w:tc>
        <w:tc>
          <w:tcPr>
            <w:tcW w:w="2115" w:type="dxa"/>
            <w:tcBorders>
              <w:bottom w:val="single" w:sz="6" w:space="0" w:color="000000"/>
              <w:right w:val="single" w:sz="6" w:space="0" w:color="000000"/>
            </w:tcBorders>
            <w:vAlign w:val="center"/>
          </w:tcPr>
          <w:p w14:paraId="606708EB" w14:textId="77777777" w:rsidR="00D93EBC" w:rsidRDefault="00D93EBC" w:rsidP="00D93EBC">
            <w:pPr>
              <w:pStyle w:val="ParagraphStyle4"/>
              <w:jc w:val="right"/>
              <w:rPr>
                <w:rStyle w:val="CharacterStyle4"/>
              </w:rPr>
            </w:pPr>
            <w:r>
              <w:rPr>
                <w:rStyle w:val="CharacterStyle4"/>
              </w:rPr>
              <w:t>61.300.500,00</w:t>
            </w:r>
          </w:p>
        </w:tc>
        <w:tc>
          <w:tcPr>
            <w:tcW w:w="2130" w:type="dxa"/>
            <w:tcBorders>
              <w:bottom w:val="single" w:sz="6" w:space="0" w:color="000000"/>
              <w:right w:val="single" w:sz="6" w:space="0" w:color="000000"/>
            </w:tcBorders>
            <w:vAlign w:val="center"/>
          </w:tcPr>
          <w:p w14:paraId="6BCE1874" w14:textId="77777777" w:rsidR="00D93EBC" w:rsidRDefault="00D93EBC" w:rsidP="00D93EBC">
            <w:pPr>
              <w:pStyle w:val="ParagraphStyle4"/>
              <w:jc w:val="right"/>
              <w:rPr>
                <w:rStyle w:val="CharacterStyle4"/>
              </w:rPr>
            </w:pPr>
            <w:r>
              <w:rPr>
                <w:rStyle w:val="CharacterStyle4"/>
              </w:rPr>
              <w:t>46.238.000,00</w:t>
            </w:r>
          </w:p>
        </w:tc>
        <w:tc>
          <w:tcPr>
            <w:tcW w:w="2145" w:type="dxa"/>
            <w:tcBorders>
              <w:bottom w:val="single" w:sz="6" w:space="0" w:color="000000"/>
              <w:right w:val="single" w:sz="6" w:space="0" w:color="000000"/>
            </w:tcBorders>
            <w:vAlign w:val="center"/>
          </w:tcPr>
          <w:p w14:paraId="5C8D085C" w14:textId="77777777" w:rsidR="00D93EBC" w:rsidRDefault="00D93EBC" w:rsidP="00D93EBC">
            <w:pPr>
              <w:pStyle w:val="ParagraphStyle4"/>
              <w:jc w:val="right"/>
              <w:rPr>
                <w:rStyle w:val="CharacterStyle4"/>
              </w:rPr>
            </w:pPr>
            <w:r>
              <w:rPr>
                <w:rStyle w:val="CharacterStyle4"/>
              </w:rPr>
              <w:t>40.462.500,00</w:t>
            </w:r>
          </w:p>
        </w:tc>
      </w:tr>
      <w:tr w:rsidR="00D93EBC" w14:paraId="63D93D1A" w14:textId="77777777" w:rsidTr="00C03A15">
        <w:trPr>
          <w:trHeight w:val="360"/>
        </w:trPr>
        <w:tc>
          <w:tcPr>
            <w:tcW w:w="4200" w:type="dxa"/>
            <w:tcBorders>
              <w:left w:val="single" w:sz="6" w:space="0" w:color="000000"/>
              <w:bottom w:val="single" w:sz="6" w:space="0" w:color="000000"/>
              <w:right w:val="single" w:sz="6" w:space="0" w:color="000000"/>
            </w:tcBorders>
            <w:vAlign w:val="center"/>
          </w:tcPr>
          <w:p w14:paraId="2AB8CE15" w14:textId="77777777" w:rsidR="00D93EBC" w:rsidRPr="00EE3A4E" w:rsidRDefault="00D93EBC" w:rsidP="00D93EBC">
            <w:pPr>
              <w:pStyle w:val="ParagraphStyle3"/>
              <w:jc w:val="left"/>
              <w:rPr>
                <w:rStyle w:val="CharacterStyle3"/>
              </w:rPr>
            </w:pPr>
            <w:r w:rsidRPr="00EE3A4E">
              <w:rPr>
                <w:rStyle w:val="CharacterStyle3"/>
              </w:rPr>
              <w:t>01 Opće javne usluge</w:t>
            </w:r>
          </w:p>
        </w:tc>
        <w:tc>
          <w:tcPr>
            <w:tcW w:w="2130" w:type="dxa"/>
            <w:tcBorders>
              <w:bottom w:val="single" w:sz="6" w:space="0" w:color="000000"/>
              <w:right w:val="single" w:sz="6" w:space="0" w:color="000000"/>
            </w:tcBorders>
            <w:vAlign w:val="center"/>
          </w:tcPr>
          <w:p w14:paraId="0EC6B88D" w14:textId="77777777" w:rsidR="00D93EBC" w:rsidRPr="00EE3A4E" w:rsidRDefault="00D93EBC" w:rsidP="00D93EBC">
            <w:pPr>
              <w:pStyle w:val="ParagraphStyle4"/>
              <w:jc w:val="right"/>
              <w:rPr>
                <w:rStyle w:val="CharacterStyle4"/>
              </w:rPr>
            </w:pPr>
            <w:r w:rsidRPr="00EE3A4E">
              <w:rPr>
                <w:rStyle w:val="CharacterStyle4"/>
              </w:rPr>
              <w:t>4.760.542,10</w:t>
            </w:r>
          </w:p>
        </w:tc>
        <w:tc>
          <w:tcPr>
            <w:tcW w:w="2130" w:type="dxa"/>
            <w:tcBorders>
              <w:bottom w:val="single" w:sz="6" w:space="0" w:color="000000"/>
              <w:right w:val="single" w:sz="6" w:space="0" w:color="000000"/>
            </w:tcBorders>
            <w:vAlign w:val="center"/>
          </w:tcPr>
          <w:p w14:paraId="78A2A02F" w14:textId="77777777" w:rsidR="00D93EBC" w:rsidRPr="00EE3A4E" w:rsidRDefault="00D93EBC" w:rsidP="00D93EBC">
            <w:pPr>
              <w:pStyle w:val="ParagraphStyle4"/>
              <w:jc w:val="right"/>
              <w:rPr>
                <w:rStyle w:val="CharacterStyle4"/>
              </w:rPr>
            </w:pPr>
            <w:r w:rsidRPr="00EE3A4E">
              <w:rPr>
                <w:rStyle w:val="CharacterStyle4"/>
              </w:rPr>
              <w:t>5.905.657,50</w:t>
            </w:r>
          </w:p>
        </w:tc>
        <w:tc>
          <w:tcPr>
            <w:tcW w:w="2115" w:type="dxa"/>
            <w:tcBorders>
              <w:bottom w:val="single" w:sz="6" w:space="0" w:color="000000"/>
              <w:right w:val="single" w:sz="6" w:space="0" w:color="000000"/>
            </w:tcBorders>
            <w:vAlign w:val="center"/>
          </w:tcPr>
          <w:p w14:paraId="11E8164D" w14:textId="77777777" w:rsidR="00D93EBC" w:rsidRDefault="00D93EBC" w:rsidP="00D93EBC">
            <w:pPr>
              <w:pStyle w:val="ParagraphStyle4"/>
              <w:jc w:val="right"/>
              <w:rPr>
                <w:rStyle w:val="CharacterStyle4"/>
              </w:rPr>
            </w:pPr>
            <w:r>
              <w:rPr>
                <w:rStyle w:val="CharacterStyle4"/>
              </w:rPr>
              <w:t>5.939.377,50</w:t>
            </w:r>
          </w:p>
        </w:tc>
        <w:tc>
          <w:tcPr>
            <w:tcW w:w="2130" w:type="dxa"/>
            <w:tcBorders>
              <w:bottom w:val="single" w:sz="6" w:space="0" w:color="000000"/>
              <w:right w:val="single" w:sz="6" w:space="0" w:color="000000"/>
            </w:tcBorders>
            <w:vAlign w:val="center"/>
          </w:tcPr>
          <w:p w14:paraId="0FAC38C1" w14:textId="77777777" w:rsidR="00D93EBC" w:rsidRDefault="00D93EBC" w:rsidP="00D93EBC">
            <w:pPr>
              <w:pStyle w:val="ParagraphStyle4"/>
              <w:jc w:val="right"/>
              <w:rPr>
                <w:rStyle w:val="CharacterStyle4"/>
              </w:rPr>
            </w:pPr>
            <w:r>
              <w:rPr>
                <w:rStyle w:val="CharacterStyle4"/>
              </w:rPr>
              <w:t>5.998.764,86</w:t>
            </w:r>
          </w:p>
        </w:tc>
        <w:tc>
          <w:tcPr>
            <w:tcW w:w="2145" w:type="dxa"/>
            <w:tcBorders>
              <w:bottom w:val="single" w:sz="6" w:space="0" w:color="000000"/>
              <w:right w:val="single" w:sz="6" w:space="0" w:color="000000"/>
            </w:tcBorders>
            <w:vAlign w:val="center"/>
          </w:tcPr>
          <w:p w14:paraId="5D0A011A" w14:textId="77777777" w:rsidR="00D93EBC" w:rsidRDefault="00D93EBC" w:rsidP="00D93EBC">
            <w:pPr>
              <w:pStyle w:val="ParagraphStyle4"/>
              <w:jc w:val="right"/>
              <w:rPr>
                <w:rStyle w:val="CharacterStyle4"/>
              </w:rPr>
            </w:pPr>
            <w:r>
              <w:rPr>
                <w:rStyle w:val="CharacterStyle4"/>
              </w:rPr>
              <w:t>6.143.786,78</w:t>
            </w:r>
          </w:p>
        </w:tc>
      </w:tr>
      <w:tr w:rsidR="00D93EBC" w14:paraId="4CCBE2B7" w14:textId="77777777" w:rsidTr="00C03A15">
        <w:trPr>
          <w:trHeight w:val="405"/>
        </w:trPr>
        <w:tc>
          <w:tcPr>
            <w:tcW w:w="4200" w:type="dxa"/>
            <w:tcBorders>
              <w:left w:val="single" w:sz="6" w:space="0" w:color="000000"/>
              <w:bottom w:val="single" w:sz="6" w:space="0" w:color="000000"/>
              <w:right w:val="single" w:sz="6" w:space="0" w:color="000000"/>
            </w:tcBorders>
            <w:vAlign w:val="center"/>
          </w:tcPr>
          <w:p w14:paraId="2009F58D" w14:textId="77777777" w:rsidR="00D93EBC" w:rsidRPr="00D93EBC" w:rsidRDefault="00D93EBC" w:rsidP="00D93EBC">
            <w:pPr>
              <w:pStyle w:val="ParagraphStyle5"/>
              <w:rPr>
                <w:rStyle w:val="CharacterStyle5"/>
                <w:b w:val="0"/>
              </w:rPr>
            </w:pPr>
            <w:r w:rsidRPr="00D93EBC">
              <w:rPr>
                <w:rStyle w:val="CharacterStyle5"/>
                <w:b w:val="0"/>
              </w:rPr>
              <w:t>011 Izvršna  i zakonodavna tijela, financijski i fiskalni poslovi, vanjski poslovi</w:t>
            </w:r>
          </w:p>
        </w:tc>
        <w:tc>
          <w:tcPr>
            <w:tcW w:w="2130" w:type="dxa"/>
            <w:tcBorders>
              <w:bottom w:val="single" w:sz="6" w:space="0" w:color="000000"/>
              <w:right w:val="single" w:sz="6" w:space="0" w:color="000000"/>
            </w:tcBorders>
            <w:vAlign w:val="center"/>
          </w:tcPr>
          <w:p w14:paraId="391DD34D" w14:textId="77777777" w:rsidR="00D93EBC" w:rsidRPr="00D93EBC" w:rsidRDefault="00D93EBC" w:rsidP="00D93EBC">
            <w:pPr>
              <w:pStyle w:val="ParagraphStyle6"/>
              <w:rPr>
                <w:rStyle w:val="CharacterStyle6"/>
                <w:b w:val="0"/>
              </w:rPr>
            </w:pPr>
            <w:r w:rsidRPr="00D93EBC">
              <w:rPr>
                <w:rStyle w:val="CharacterStyle6"/>
                <w:b w:val="0"/>
              </w:rPr>
              <w:t>4.106.280,34</w:t>
            </w:r>
          </w:p>
        </w:tc>
        <w:tc>
          <w:tcPr>
            <w:tcW w:w="2130" w:type="dxa"/>
            <w:tcBorders>
              <w:bottom w:val="single" w:sz="6" w:space="0" w:color="000000"/>
              <w:right w:val="single" w:sz="6" w:space="0" w:color="000000"/>
            </w:tcBorders>
            <w:vAlign w:val="center"/>
          </w:tcPr>
          <w:p w14:paraId="484009D6" w14:textId="77777777" w:rsidR="00D93EBC" w:rsidRPr="00D93EBC" w:rsidRDefault="00D93EBC" w:rsidP="00D93EBC">
            <w:pPr>
              <w:pStyle w:val="ParagraphStyle6"/>
              <w:rPr>
                <w:rStyle w:val="CharacterStyle6"/>
                <w:b w:val="0"/>
              </w:rPr>
            </w:pPr>
            <w:r w:rsidRPr="00D93EBC">
              <w:rPr>
                <w:rStyle w:val="CharacterStyle6"/>
                <w:b w:val="0"/>
              </w:rPr>
              <w:t>5.225.407,50</w:t>
            </w:r>
          </w:p>
        </w:tc>
        <w:tc>
          <w:tcPr>
            <w:tcW w:w="2115" w:type="dxa"/>
            <w:tcBorders>
              <w:bottom w:val="single" w:sz="6" w:space="0" w:color="000000"/>
              <w:right w:val="single" w:sz="6" w:space="0" w:color="000000"/>
            </w:tcBorders>
            <w:vAlign w:val="center"/>
          </w:tcPr>
          <w:p w14:paraId="5BC640EA" w14:textId="77777777" w:rsidR="00D93EBC" w:rsidRPr="00D93EBC" w:rsidRDefault="00D93EBC" w:rsidP="00D93EBC">
            <w:pPr>
              <w:pStyle w:val="ParagraphStyle6"/>
              <w:rPr>
                <w:rStyle w:val="CharacterStyle6"/>
                <w:b w:val="0"/>
              </w:rPr>
            </w:pPr>
            <w:r w:rsidRPr="00D93EBC">
              <w:rPr>
                <w:rStyle w:val="CharacterStyle6"/>
                <w:b w:val="0"/>
              </w:rPr>
              <w:t>5.229.127,50</w:t>
            </w:r>
          </w:p>
        </w:tc>
        <w:tc>
          <w:tcPr>
            <w:tcW w:w="2130" w:type="dxa"/>
            <w:tcBorders>
              <w:bottom w:val="single" w:sz="6" w:space="0" w:color="000000"/>
              <w:right w:val="single" w:sz="6" w:space="0" w:color="000000"/>
            </w:tcBorders>
            <w:vAlign w:val="center"/>
          </w:tcPr>
          <w:p w14:paraId="5FB5399B" w14:textId="77777777" w:rsidR="00D93EBC" w:rsidRPr="00D93EBC" w:rsidRDefault="00D93EBC" w:rsidP="00D93EBC">
            <w:pPr>
              <w:pStyle w:val="ParagraphStyle6"/>
              <w:rPr>
                <w:rStyle w:val="CharacterStyle6"/>
                <w:b w:val="0"/>
              </w:rPr>
            </w:pPr>
            <w:r w:rsidRPr="00D93EBC">
              <w:rPr>
                <w:rStyle w:val="CharacterStyle6"/>
                <w:b w:val="0"/>
              </w:rPr>
              <w:t>5.277.964,86</w:t>
            </w:r>
          </w:p>
        </w:tc>
        <w:tc>
          <w:tcPr>
            <w:tcW w:w="2145" w:type="dxa"/>
            <w:tcBorders>
              <w:bottom w:val="single" w:sz="6" w:space="0" w:color="000000"/>
              <w:right w:val="single" w:sz="6" w:space="0" w:color="000000"/>
            </w:tcBorders>
            <w:vAlign w:val="center"/>
          </w:tcPr>
          <w:p w14:paraId="466FDF07" w14:textId="77777777" w:rsidR="00D93EBC" w:rsidRPr="00D93EBC" w:rsidRDefault="00D93EBC" w:rsidP="00D93EBC">
            <w:pPr>
              <w:pStyle w:val="ParagraphStyle6"/>
              <w:rPr>
                <w:rStyle w:val="CharacterStyle6"/>
                <w:b w:val="0"/>
              </w:rPr>
            </w:pPr>
            <w:r w:rsidRPr="00D93EBC">
              <w:rPr>
                <w:rStyle w:val="CharacterStyle6"/>
                <w:b w:val="0"/>
              </w:rPr>
              <w:t>5.415.486,78</w:t>
            </w:r>
          </w:p>
        </w:tc>
      </w:tr>
      <w:tr w:rsidR="00D93EBC" w14:paraId="3AC94612" w14:textId="77777777" w:rsidTr="00C03A15">
        <w:trPr>
          <w:trHeight w:val="360"/>
        </w:trPr>
        <w:tc>
          <w:tcPr>
            <w:tcW w:w="4200" w:type="dxa"/>
            <w:tcBorders>
              <w:left w:val="single" w:sz="6" w:space="0" w:color="000000"/>
              <w:bottom w:val="single" w:sz="6" w:space="0" w:color="000000"/>
              <w:right w:val="single" w:sz="6" w:space="0" w:color="000000"/>
            </w:tcBorders>
            <w:vAlign w:val="center"/>
          </w:tcPr>
          <w:p w14:paraId="44C551C9" w14:textId="77777777" w:rsidR="00D93EBC" w:rsidRPr="00D93EBC" w:rsidRDefault="00D93EBC" w:rsidP="00D93EBC">
            <w:pPr>
              <w:pStyle w:val="ParagraphStyle5"/>
              <w:rPr>
                <w:rStyle w:val="CharacterStyle5"/>
                <w:b w:val="0"/>
              </w:rPr>
            </w:pPr>
            <w:r w:rsidRPr="00D93EBC">
              <w:rPr>
                <w:rStyle w:val="CharacterStyle5"/>
                <w:b w:val="0"/>
              </w:rPr>
              <w:t>016 Opće javne usluge koje nisu drugdje svrstane</w:t>
            </w:r>
          </w:p>
        </w:tc>
        <w:tc>
          <w:tcPr>
            <w:tcW w:w="2130" w:type="dxa"/>
            <w:tcBorders>
              <w:bottom w:val="single" w:sz="6" w:space="0" w:color="000000"/>
              <w:right w:val="single" w:sz="6" w:space="0" w:color="000000"/>
            </w:tcBorders>
            <w:vAlign w:val="center"/>
          </w:tcPr>
          <w:p w14:paraId="60DF548C" w14:textId="77777777" w:rsidR="00D93EBC" w:rsidRPr="00D93EBC" w:rsidRDefault="00D93EBC" w:rsidP="00D93EBC">
            <w:pPr>
              <w:pStyle w:val="ParagraphStyle6"/>
              <w:rPr>
                <w:rStyle w:val="CharacterStyle6"/>
                <w:b w:val="0"/>
              </w:rPr>
            </w:pPr>
            <w:r w:rsidRPr="00D93EBC">
              <w:rPr>
                <w:rStyle w:val="CharacterStyle6"/>
                <w:b w:val="0"/>
              </w:rPr>
              <w:t>105.890,79</w:t>
            </w:r>
          </w:p>
        </w:tc>
        <w:tc>
          <w:tcPr>
            <w:tcW w:w="2130" w:type="dxa"/>
            <w:tcBorders>
              <w:bottom w:val="single" w:sz="6" w:space="0" w:color="000000"/>
              <w:right w:val="single" w:sz="6" w:space="0" w:color="000000"/>
            </w:tcBorders>
            <w:vAlign w:val="center"/>
          </w:tcPr>
          <w:p w14:paraId="72BB7877" w14:textId="77777777" w:rsidR="00D93EBC" w:rsidRPr="00D93EBC" w:rsidRDefault="00D93EBC" w:rsidP="00D93EBC">
            <w:pPr>
              <w:pStyle w:val="ParagraphStyle6"/>
              <w:rPr>
                <w:rStyle w:val="CharacterStyle6"/>
                <w:b w:val="0"/>
              </w:rPr>
            </w:pPr>
            <w:r w:rsidRPr="00D93EBC">
              <w:rPr>
                <w:rStyle w:val="CharacterStyle6"/>
                <w:b w:val="0"/>
              </w:rPr>
              <w:t>135.250,00</w:t>
            </w:r>
          </w:p>
        </w:tc>
        <w:tc>
          <w:tcPr>
            <w:tcW w:w="2115" w:type="dxa"/>
            <w:tcBorders>
              <w:bottom w:val="single" w:sz="6" w:space="0" w:color="000000"/>
              <w:right w:val="single" w:sz="6" w:space="0" w:color="000000"/>
            </w:tcBorders>
            <w:vAlign w:val="center"/>
          </w:tcPr>
          <w:p w14:paraId="1D0965DE" w14:textId="77777777" w:rsidR="00D93EBC" w:rsidRPr="00D93EBC" w:rsidRDefault="00D93EBC" w:rsidP="00D93EBC">
            <w:pPr>
              <w:pStyle w:val="ParagraphStyle6"/>
              <w:rPr>
                <w:rStyle w:val="CharacterStyle6"/>
                <w:b w:val="0"/>
              </w:rPr>
            </w:pPr>
            <w:r w:rsidRPr="00D93EBC">
              <w:rPr>
                <w:rStyle w:val="CharacterStyle6"/>
                <w:b w:val="0"/>
              </w:rPr>
              <w:t>170.250,00</w:t>
            </w:r>
          </w:p>
        </w:tc>
        <w:tc>
          <w:tcPr>
            <w:tcW w:w="2130" w:type="dxa"/>
            <w:tcBorders>
              <w:bottom w:val="single" w:sz="6" w:space="0" w:color="000000"/>
              <w:right w:val="single" w:sz="6" w:space="0" w:color="000000"/>
            </w:tcBorders>
            <w:vAlign w:val="center"/>
          </w:tcPr>
          <w:p w14:paraId="0C95BA36" w14:textId="77777777" w:rsidR="00D93EBC" w:rsidRPr="00D93EBC" w:rsidRDefault="00D93EBC" w:rsidP="00D93EBC">
            <w:pPr>
              <w:pStyle w:val="ParagraphStyle6"/>
              <w:rPr>
                <w:rStyle w:val="CharacterStyle6"/>
                <w:b w:val="0"/>
              </w:rPr>
            </w:pPr>
            <w:r w:rsidRPr="00D93EBC">
              <w:rPr>
                <w:rStyle w:val="CharacterStyle6"/>
                <w:b w:val="0"/>
              </w:rPr>
              <w:t>182.800,00</w:t>
            </w:r>
          </w:p>
        </w:tc>
        <w:tc>
          <w:tcPr>
            <w:tcW w:w="2145" w:type="dxa"/>
            <w:tcBorders>
              <w:bottom w:val="single" w:sz="6" w:space="0" w:color="000000"/>
              <w:right w:val="single" w:sz="6" w:space="0" w:color="000000"/>
            </w:tcBorders>
            <w:vAlign w:val="center"/>
          </w:tcPr>
          <w:p w14:paraId="671564CF" w14:textId="77777777" w:rsidR="00D93EBC" w:rsidRPr="00D93EBC" w:rsidRDefault="00D93EBC" w:rsidP="00D93EBC">
            <w:pPr>
              <w:pStyle w:val="ParagraphStyle6"/>
              <w:rPr>
                <w:rStyle w:val="CharacterStyle6"/>
                <w:b w:val="0"/>
              </w:rPr>
            </w:pPr>
            <w:r w:rsidRPr="00D93EBC">
              <w:rPr>
                <w:rStyle w:val="CharacterStyle6"/>
                <w:b w:val="0"/>
              </w:rPr>
              <w:t>193.300,00</w:t>
            </w:r>
          </w:p>
        </w:tc>
      </w:tr>
      <w:tr w:rsidR="00D93EBC" w14:paraId="4A084F75" w14:textId="77777777" w:rsidTr="00C03A15">
        <w:trPr>
          <w:trHeight w:val="360"/>
        </w:trPr>
        <w:tc>
          <w:tcPr>
            <w:tcW w:w="4200" w:type="dxa"/>
            <w:tcBorders>
              <w:left w:val="single" w:sz="6" w:space="0" w:color="000000"/>
              <w:bottom w:val="single" w:sz="6" w:space="0" w:color="000000"/>
              <w:right w:val="single" w:sz="6" w:space="0" w:color="000000"/>
            </w:tcBorders>
            <w:vAlign w:val="center"/>
          </w:tcPr>
          <w:p w14:paraId="5691F774" w14:textId="77777777" w:rsidR="00D93EBC" w:rsidRPr="00D93EBC" w:rsidRDefault="00D93EBC" w:rsidP="00D93EBC">
            <w:pPr>
              <w:pStyle w:val="ParagraphStyle5"/>
              <w:rPr>
                <w:rStyle w:val="CharacterStyle5"/>
                <w:b w:val="0"/>
              </w:rPr>
            </w:pPr>
            <w:r w:rsidRPr="00D93EBC">
              <w:rPr>
                <w:rStyle w:val="CharacterStyle5"/>
                <w:b w:val="0"/>
              </w:rPr>
              <w:t>017 Transakcije vezane za javni dug</w:t>
            </w:r>
          </w:p>
        </w:tc>
        <w:tc>
          <w:tcPr>
            <w:tcW w:w="2130" w:type="dxa"/>
            <w:tcBorders>
              <w:bottom w:val="single" w:sz="6" w:space="0" w:color="000000"/>
              <w:right w:val="single" w:sz="6" w:space="0" w:color="000000"/>
            </w:tcBorders>
            <w:vAlign w:val="center"/>
          </w:tcPr>
          <w:p w14:paraId="38CF11F4" w14:textId="77777777" w:rsidR="00D93EBC" w:rsidRPr="00D93EBC" w:rsidRDefault="00D93EBC" w:rsidP="00D93EBC">
            <w:pPr>
              <w:pStyle w:val="ParagraphStyle6"/>
              <w:rPr>
                <w:rStyle w:val="CharacterStyle6"/>
                <w:b w:val="0"/>
              </w:rPr>
            </w:pPr>
            <w:r w:rsidRPr="00D93EBC">
              <w:rPr>
                <w:rStyle w:val="CharacterStyle6"/>
                <w:b w:val="0"/>
              </w:rPr>
              <w:t>548.370,97</w:t>
            </w:r>
          </w:p>
        </w:tc>
        <w:tc>
          <w:tcPr>
            <w:tcW w:w="2130" w:type="dxa"/>
            <w:tcBorders>
              <w:bottom w:val="single" w:sz="6" w:space="0" w:color="000000"/>
              <w:right w:val="single" w:sz="6" w:space="0" w:color="000000"/>
            </w:tcBorders>
            <w:vAlign w:val="center"/>
          </w:tcPr>
          <w:p w14:paraId="7AF09E4B" w14:textId="77777777" w:rsidR="00D93EBC" w:rsidRPr="00D93EBC" w:rsidRDefault="00D93EBC" w:rsidP="00D93EBC">
            <w:pPr>
              <w:pStyle w:val="ParagraphStyle6"/>
              <w:rPr>
                <w:rStyle w:val="CharacterStyle6"/>
                <w:b w:val="0"/>
              </w:rPr>
            </w:pPr>
            <w:r w:rsidRPr="00D93EBC">
              <w:rPr>
                <w:rStyle w:val="CharacterStyle6"/>
                <w:b w:val="0"/>
              </w:rPr>
              <w:t>545.000,00</w:t>
            </w:r>
          </w:p>
        </w:tc>
        <w:tc>
          <w:tcPr>
            <w:tcW w:w="2115" w:type="dxa"/>
            <w:tcBorders>
              <w:bottom w:val="single" w:sz="6" w:space="0" w:color="000000"/>
              <w:right w:val="single" w:sz="6" w:space="0" w:color="000000"/>
            </w:tcBorders>
            <w:vAlign w:val="center"/>
          </w:tcPr>
          <w:p w14:paraId="7BF5AF95" w14:textId="77777777" w:rsidR="00D93EBC" w:rsidRPr="00D93EBC" w:rsidRDefault="00D93EBC" w:rsidP="00D93EBC">
            <w:pPr>
              <w:pStyle w:val="ParagraphStyle6"/>
              <w:rPr>
                <w:rStyle w:val="CharacterStyle6"/>
                <w:b w:val="0"/>
              </w:rPr>
            </w:pPr>
            <w:r w:rsidRPr="00D93EBC">
              <w:rPr>
                <w:rStyle w:val="CharacterStyle6"/>
                <w:b w:val="0"/>
              </w:rPr>
              <w:t>540.000,00</w:t>
            </w:r>
          </w:p>
        </w:tc>
        <w:tc>
          <w:tcPr>
            <w:tcW w:w="2130" w:type="dxa"/>
            <w:tcBorders>
              <w:bottom w:val="single" w:sz="6" w:space="0" w:color="000000"/>
              <w:right w:val="single" w:sz="6" w:space="0" w:color="000000"/>
            </w:tcBorders>
            <w:vAlign w:val="center"/>
          </w:tcPr>
          <w:p w14:paraId="1B5DEF93" w14:textId="77777777" w:rsidR="00D93EBC" w:rsidRPr="00D93EBC" w:rsidRDefault="00D93EBC" w:rsidP="00D93EBC">
            <w:pPr>
              <w:pStyle w:val="ParagraphStyle6"/>
              <w:rPr>
                <w:rStyle w:val="CharacterStyle6"/>
                <w:b w:val="0"/>
              </w:rPr>
            </w:pPr>
            <w:r w:rsidRPr="00D93EBC">
              <w:rPr>
                <w:rStyle w:val="CharacterStyle6"/>
                <w:b w:val="0"/>
              </w:rPr>
              <w:t>538.000,00</w:t>
            </w:r>
          </w:p>
        </w:tc>
        <w:tc>
          <w:tcPr>
            <w:tcW w:w="2145" w:type="dxa"/>
            <w:tcBorders>
              <w:bottom w:val="single" w:sz="6" w:space="0" w:color="000000"/>
              <w:right w:val="single" w:sz="6" w:space="0" w:color="000000"/>
            </w:tcBorders>
            <w:vAlign w:val="center"/>
          </w:tcPr>
          <w:p w14:paraId="7DBCAB65" w14:textId="77777777" w:rsidR="00D93EBC" w:rsidRPr="00D93EBC" w:rsidRDefault="00D93EBC" w:rsidP="00D93EBC">
            <w:pPr>
              <w:pStyle w:val="ParagraphStyle6"/>
              <w:rPr>
                <w:rStyle w:val="CharacterStyle6"/>
                <w:b w:val="0"/>
              </w:rPr>
            </w:pPr>
            <w:r w:rsidRPr="00D93EBC">
              <w:rPr>
                <w:rStyle w:val="CharacterStyle6"/>
                <w:b w:val="0"/>
              </w:rPr>
              <w:t>535.000,00</w:t>
            </w:r>
          </w:p>
        </w:tc>
      </w:tr>
      <w:tr w:rsidR="00D93EBC" w14:paraId="2A888346" w14:textId="77777777" w:rsidTr="00C03A15">
        <w:trPr>
          <w:trHeight w:val="360"/>
        </w:trPr>
        <w:tc>
          <w:tcPr>
            <w:tcW w:w="4200" w:type="dxa"/>
            <w:tcBorders>
              <w:left w:val="single" w:sz="6" w:space="0" w:color="000000"/>
              <w:bottom w:val="single" w:sz="6" w:space="0" w:color="000000"/>
              <w:right w:val="single" w:sz="6" w:space="0" w:color="000000"/>
            </w:tcBorders>
            <w:vAlign w:val="center"/>
          </w:tcPr>
          <w:p w14:paraId="3BDD0875" w14:textId="77777777" w:rsidR="00D93EBC" w:rsidRPr="00EE3A4E" w:rsidRDefault="00D93EBC" w:rsidP="00D93EBC">
            <w:pPr>
              <w:pStyle w:val="ParagraphStyle3"/>
              <w:jc w:val="left"/>
              <w:rPr>
                <w:rStyle w:val="CharacterStyle3"/>
              </w:rPr>
            </w:pPr>
            <w:r w:rsidRPr="00EE3A4E">
              <w:rPr>
                <w:rStyle w:val="CharacterStyle3"/>
              </w:rPr>
              <w:t>02 Obrana</w:t>
            </w:r>
          </w:p>
        </w:tc>
        <w:tc>
          <w:tcPr>
            <w:tcW w:w="2130" w:type="dxa"/>
            <w:tcBorders>
              <w:bottom w:val="single" w:sz="6" w:space="0" w:color="000000"/>
              <w:right w:val="single" w:sz="6" w:space="0" w:color="000000"/>
            </w:tcBorders>
            <w:vAlign w:val="center"/>
          </w:tcPr>
          <w:p w14:paraId="299A38E3" w14:textId="77777777" w:rsidR="00D93EBC" w:rsidRPr="00EE3A4E" w:rsidRDefault="00D93EBC" w:rsidP="00D93EBC">
            <w:pPr>
              <w:pStyle w:val="ParagraphStyle4"/>
              <w:jc w:val="right"/>
              <w:rPr>
                <w:rStyle w:val="CharacterStyle4"/>
              </w:rPr>
            </w:pPr>
            <w:r w:rsidRPr="00EE3A4E">
              <w:rPr>
                <w:rStyle w:val="CharacterStyle4"/>
              </w:rPr>
              <w:t>33.272,43</w:t>
            </w:r>
          </w:p>
        </w:tc>
        <w:tc>
          <w:tcPr>
            <w:tcW w:w="2130" w:type="dxa"/>
            <w:tcBorders>
              <w:bottom w:val="single" w:sz="6" w:space="0" w:color="000000"/>
              <w:right w:val="single" w:sz="6" w:space="0" w:color="000000"/>
            </w:tcBorders>
            <w:vAlign w:val="center"/>
          </w:tcPr>
          <w:p w14:paraId="1C8521C7" w14:textId="77777777" w:rsidR="00D93EBC" w:rsidRPr="00EE3A4E" w:rsidRDefault="00D93EBC" w:rsidP="00D93EBC">
            <w:pPr>
              <w:pStyle w:val="ParagraphStyle4"/>
              <w:jc w:val="right"/>
              <w:rPr>
                <w:rStyle w:val="CharacterStyle4"/>
              </w:rPr>
            </w:pPr>
            <w:r w:rsidRPr="00EE3A4E">
              <w:rPr>
                <w:rStyle w:val="CharacterStyle4"/>
              </w:rPr>
              <w:t>61.541,00</w:t>
            </w:r>
          </w:p>
        </w:tc>
        <w:tc>
          <w:tcPr>
            <w:tcW w:w="2115" w:type="dxa"/>
            <w:tcBorders>
              <w:bottom w:val="single" w:sz="6" w:space="0" w:color="000000"/>
              <w:right w:val="single" w:sz="6" w:space="0" w:color="000000"/>
            </w:tcBorders>
            <w:vAlign w:val="center"/>
          </w:tcPr>
          <w:p w14:paraId="3A6D8372" w14:textId="77777777" w:rsidR="00D93EBC" w:rsidRDefault="00D93EBC" w:rsidP="00D93EBC">
            <w:pPr>
              <w:pStyle w:val="ParagraphStyle4"/>
              <w:jc w:val="right"/>
              <w:rPr>
                <w:rStyle w:val="CharacterStyle4"/>
              </w:rPr>
            </w:pPr>
            <w:r>
              <w:rPr>
                <w:rStyle w:val="CharacterStyle4"/>
              </w:rPr>
              <w:t>62.970,00</w:t>
            </w:r>
          </w:p>
        </w:tc>
        <w:tc>
          <w:tcPr>
            <w:tcW w:w="2130" w:type="dxa"/>
            <w:tcBorders>
              <w:bottom w:val="single" w:sz="6" w:space="0" w:color="000000"/>
              <w:right w:val="single" w:sz="6" w:space="0" w:color="000000"/>
            </w:tcBorders>
            <w:vAlign w:val="center"/>
          </w:tcPr>
          <w:p w14:paraId="16587014" w14:textId="77777777" w:rsidR="00D93EBC" w:rsidRDefault="00D93EBC" w:rsidP="00D93EBC">
            <w:pPr>
              <w:pStyle w:val="ParagraphStyle4"/>
              <w:jc w:val="right"/>
              <w:rPr>
                <w:rStyle w:val="CharacterStyle4"/>
              </w:rPr>
            </w:pPr>
            <w:r>
              <w:rPr>
                <w:rStyle w:val="CharacterStyle4"/>
              </w:rPr>
              <w:t>56.800,00</w:t>
            </w:r>
          </w:p>
        </w:tc>
        <w:tc>
          <w:tcPr>
            <w:tcW w:w="2145" w:type="dxa"/>
            <w:tcBorders>
              <w:bottom w:val="single" w:sz="6" w:space="0" w:color="000000"/>
              <w:right w:val="single" w:sz="6" w:space="0" w:color="000000"/>
            </w:tcBorders>
            <w:vAlign w:val="center"/>
          </w:tcPr>
          <w:p w14:paraId="59D06390" w14:textId="77777777" w:rsidR="00D93EBC" w:rsidRDefault="00D93EBC" w:rsidP="00D93EBC">
            <w:pPr>
              <w:pStyle w:val="ParagraphStyle4"/>
              <w:jc w:val="right"/>
              <w:rPr>
                <w:rStyle w:val="CharacterStyle4"/>
              </w:rPr>
            </w:pPr>
            <w:r>
              <w:rPr>
                <w:rStyle w:val="CharacterStyle4"/>
              </w:rPr>
              <w:t>58.800,00</w:t>
            </w:r>
          </w:p>
        </w:tc>
      </w:tr>
      <w:tr w:rsidR="00D93EBC" w14:paraId="1F7524B3" w14:textId="77777777" w:rsidTr="00C03A15">
        <w:trPr>
          <w:trHeight w:val="360"/>
        </w:trPr>
        <w:tc>
          <w:tcPr>
            <w:tcW w:w="4200" w:type="dxa"/>
            <w:tcBorders>
              <w:left w:val="single" w:sz="6" w:space="0" w:color="000000"/>
              <w:bottom w:val="single" w:sz="6" w:space="0" w:color="000000"/>
              <w:right w:val="single" w:sz="6" w:space="0" w:color="000000"/>
            </w:tcBorders>
            <w:vAlign w:val="center"/>
          </w:tcPr>
          <w:p w14:paraId="5220E6DA" w14:textId="77777777" w:rsidR="00D93EBC" w:rsidRPr="00C03A15" w:rsidRDefault="00D93EBC" w:rsidP="00D93EBC">
            <w:pPr>
              <w:pStyle w:val="ParagraphStyle5"/>
              <w:rPr>
                <w:rStyle w:val="CharacterStyle5"/>
                <w:b w:val="0"/>
              </w:rPr>
            </w:pPr>
            <w:r w:rsidRPr="00C03A15">
              <w:rPr>
                <w:rStyle w:val="CharacterStyle5"/>
                <w:b w:val="0"/>
              </w:rPr>
              <w:t>022 Civilna obrana</w:t>
            </w:r>
          </w:p>
        </w:tc>
        <w:tc>
          <w:tcPr>
            <w:tcW w:w="2130" w:type="dxa"/>
            <w:tcBorders>
              <w:bottom w:val="single" w:sz="6" w:space="0" w:color="000000"/>
              <w:right w:val="single" w:sz="6" w:space="0" w:color="000000"/>
            </w:tcBorders>
            <w:vAlign w:val="center"/>
          </w:tcPr>
          <w:p w14:paraId="53450B8A" w14:textId="77777777" w:rsidR="00D93EBC" w:rsidRPr="00C03A15" w:rsidRDefault="00D93EBC" w:rsidP="00D93EBC">
            <w:pPr>
              <w:pStyle w:val="ParagraphStyle6"/>
              <w:rPr>
                <w:rStyle w:val="CharacterStyle6"/>
                <w:b w:val="0"/>
              </w:rPr>
            </w:pPr>
            <w:r w:rsidRPr="00C03A15">
              <w:rPr>
                <w:rStyle w:val="CharacterStyle6"/>
                <w:b w:val="0"/>
              </w:rPr>
              <w:t>33.272,43</w:t>
            </w:r>
          </w:p>
        </w:tc>
        <w:tc>
          <w:tcPr>
            <w:tcW w:w="2130" w:type="dxa"/>
            <w:tcBorders>
              <w:bottom w:val="single" w:sz="6" w:space="0" w:color="000000"/>
              <w:right w:val="single" w:sz="6" w:space="0" w:color="000000"/>
            </w:tcBorders>
            <w:vAlign w:val="center"/>
          </w:tcPr>
          <w:p w14:paraId="1AD89EE0" w14:textId="77777777" w:rsidR="00D93EBC" w:rsidRPr="00C03A15" w:rsidRDefault="00D93EBC" w:rsidP="00D93EBC">
            <w:pPr>
              <w:pStyle w:val="ParagraphStyle6"/>
              <w:rPr>
                <w:rStyle w:val="CharacterStyle6"/>
                <w:b w:val="0"/>
              </w:rPr>
            </w:pPr>
            <w:r w:rsidRPr="00C03A15">
              <w:rPr>
                <w:rStyle w:val="CharacterStyle6"/>
                <w:b w:val="0"/>
              </w:rPr>
              <w:t>61.541,00</w:t>
            </w:r>
          </w:p>
        </w:tc>
        <w:tc>
          <w:tcPr>
            <w:tcW w:w="2115" w:type="dxa"/>
            <w:tcBorders>
              <w:bottom w:val="single" w:sz="6" w:space="0" w:color="000000"/>
              <w:right w:val="single" w:sz="6" w:space="0" w:color="000000"/>
            </w:tcBorders>
            <w:vAlign w:val="center"/>
          </w:tcPr>
          <w:p w14:paraId="0353C6E1" w14:textId="77777777" w:rsidR="00D93EBC" w:rsidRPr="00D93EBC" w:rsidRDefault="00D93EBC" w:rsidP="00D93EBC">
            <w:pPr>
              <w:pStyle w:val="ParagraphStyle6"/>
              <w:rPr>
                <w:rStyle w:val="CharacterStyle6"/>
                <w:b w:val="0"/>
              </w:rPr>
            </w:pPr>
            <w:r w:rsidRPr="00D93EBC">
              <w:rPr>
                <w:rStyle w:val="CharacterStyle6"/>
                <w:b w:val="0"/>
              </w:rPr>
              <w:t>62.970,00</w:t>
            </w:r>
          </w:p>
        </w:tc>
        <w:tc>
          <w:tcPr>
            <w:tcW w:w="2130" w:type="dxa"/>
            <w:tcBorders>
              <w:bottom w:val="single" w:sz="6" w:space="0" w:color="000000"/>
              <w:right w:val="single" w:sz="6" w:space="0" w:color="000000"/>
            </w:tcBorders>
            <w:vAlign w:val="center"/>
          </w:tcPr>
          <w:p w14:paraId="40014E80" w14:textId="77777777" w:rsidR="00D93EBC" w:rsidRPr="00D93EBC" w:rsidRDefault="00D93EBC" w:rsidP="00D93EBC">
            <w:pPr>
              <w:pStyle w:val="ParagraphStyle6"/>
              <w:rPr>
                <w:rStyle w:val="CharacterStyle6"/>
                <w:b w:val="0"/>
              </w:rPr>
            </w:pPr>
            <w:r w:rsidRPr="00D93EBC">
              <w:rPr>
                <w:rStyle w:val="CharacterStyle6"/>
                <w:b w:val="0"/>
              </w:rPr>
              <w:t>56.800,00</w:t>
            </w:r>
          </w:p>
        </w:tc>
        <w:tc>
          <w:tcPr>
            <w:tcW w:w="2145" w:type="dxa"/>
            <w:tcBorders>
              <w:bottom w:val="single" w:sz="6" w:space="0" w:color="000000"/>
              <w:right w:val="single" w:sz="6" w:space="0" w:color="000000"/>
            </w:tcBorders>
            <w:vAlign w:val="center"/>
          </w:tcPr>
          <w:p w14:paraId="0D2D5727" w14:textId="77777777" w:rsidR="00D93EBC" w:rsidRPr="00D93EBC" w:rsidRDefault="00D93EBC" w:rsidP="00D93EBC">
            <w:pPr>
              <w:pStyle w:val="ParagraphStyle6"/>
              <w:rPr>
                <w:rStyle w:val="CharacterStyle6"/>
                <w:b w:val="0"/>
              </w:rPr>
            </w:pPr>
            <w:r w:rsidRPr="00D93EBC">
              <w:rPr>
                <w:rStyle w:val="CharacterStyle6"/>
                <w:b w:val="0"/>
              </w:rPr>
              <w:t>58.800,00</w:t>
            </w:r>
          </w:p>
        </w:tc>
      </w:tr>
      <w:tr w:rsidR="00D93EBC" w14:paraId="3C028B4F" w14:textId="77777777" w:rsidTr="00C03A15">
        <w:trPr>
          <w:trHeight w:val="360"/>
        </w:trPr>
        <w:tc>
          <w:tcPr>
            <w:tcW w:w="4200" w:type="dxa"/>
            <w:tcBorders>
              <w:left w:val="single" w:sz="6" w:space="0" w:color="000000"/>
              <w:bottom w:val="single" w:sz="6" w:space="0" w:color="000000"/>
              <w:right w:val="single" w:sz="6" w:space="0" w:color="000000"/>
            </w:tcBorders>
            <w:vAlign w:val="center"/>
          </w:tcPr>
          <w:p w14:paraId="6C0D9CF9" w14:textId="77777777" w:rsidR="00D93EBC" w:rsidRPr="00EE3A4E" w:rsidRDefault="00D93EBC" w:rsidP="00D93EBC">
            <w:pPr>
              <w:pStyle w:val="ParagraphStyle3"/>
              <w:jc w:val="left"/>
              <w:rPr>
                <w:rStyle w:val="CharacterStyle3"/>
              </w:rPr>
            </w:pPr>
            <w:r w:rsidRPr="00EE3A4E">
              <w:rPr>
                <w:rStyle w:val="CharacterStyle3"/>
              </w:rPr>
              <w:t>03 Javni red i sigurnost</w:t>
            </w:r>
          </w:p>
        </w:tc>
        <w:tc>
          <w:tcPr>
            <w:tcW w:w="2130" w:type="dxa"/>
            <w:tcBorders>
              <w:bottom w:val="single" w:sz="6" w:space="0" w:color="000000"/>
              <w:right w:val="single" w:sz="6" w:space="0" w:color="000000"/>
            </w:tcBorders>
            <w:vAlign w:val="center"/>
          </w:tcPr>
          <w:p w14:paraId="614BF444" w14:textId="77777777" w:rsidR="00D93EBC" w:rsidRPr="00EE3A4E" w:rsidRDefault="00D93EBC" w:rsidP="00D93EBC">
            <w:pPr>
              <w:pStyle w:val="ParagraphStyle4"/>
              <w:jc w:val="right"/>
              <w:rPr>
                <w:rStyle w:val="CharacterStyle4"/>
              </w:rPr>
            </w:pPr>
            <w:r w:rsidRPr="00EE3A4E">
              <w:rPr>
                <w:rStyle w:val="CharacterStyle4"/>
              </w:rPr>
              <w:t>1.723.360,45</w:t>
            </w:r>
          </w:p>
        </w:tc>
        <w:tc>
          <w:tcPr>
            <w:tcW w:w="2130" w:type="dxa"/>
            <w:tcBorders>
              <w:bottom w:val="single" w:sz="6" w:space="0" w:color="000000"/>
              <w:right w:val="single" w:sz="6" w:space="0" w:color="000000"/>
            </w:tcBorders>
            <w:vAlign w:val="center"/>
          </w:tcPr>
          <w:p w14:paraId="39E6BFA0" w14:textId="77777777" w:rsidR="00D93EBC" w:rsidRPr="00EE3A4E" w:rsidRDefault="00D93EBC" w:rsidP="00D93EBC">
            <w:pPr>
              <w:pStyle w:val="ParagraphStyle4"/>
              <w:jc w:val="right"/>
              <w:rPr>
                <w:rStyle w:val="CharacterStyle4"/>
              </w:rPr>
            </w:pPr>
            <w:r w:rsidRPr="00EE3A4E">
              <w:rPr>
                <w:rStyle w:val="CharacterStyle4"/>
              </w:rPr>
              <w:t>2.587.785,00</w:t>
            </w:r>
          </w:p>
        </w:tc>
        <w:tc>
          <w:tcPr>
            <w:tcW w:w="2115" w:type="dxa"/>
            <w:tcBorders>
              <w:bottom w:val="single" w:sz="6" w:space="0" w:color="000000"/>
              <w:right w:val="single" w:sz="6" w:space="0" w:color="000000"/>
            </w:tcBorders>
            <w:vAlign w:val="center"/>
          </w:tcPr>
          <w:p w14:paraId="64523EAE" w14:textId="77777777" w:rsidR="00D93EBC" w:rsidRDefault="00D93EBC" w:rsidP="00D93EBC">
            <w:pPr>
              <w:pStyle w:val="ParagraphStyle4"/>
              <w:jc w:val="right"/>
              <w:rPr>
                <w:rStyle w:val="CharacterStyle4"/>
              </w:rPr>
            </w:pPr>
            <w:r>
              <w:rPr>
                <w:rStyle w:val="CharacterStyle4"/>
              </w:rPr>
              <w:t>2.627.004,13</w:t>
            </w:r>
          </w:p>
        </w:tc>
        <w:tc>
          <w:tcPr>
            <w:tcW w:w="2130" w:type="dxa"/>
            <w:tcBorders>
              <w:bottom w:val="single" w:sz="6" w:space="0" w:color="000000"/>
              <w:right w:val="single" w:sz="6" w:space="0" w:color="000000"/>
            </w:tcBorders>
            <w:vAlign w:val="center"/>
          </w:tcPr>
          <w:p w14:paraId="423B8615" w14:textId="77777777" w:rsidR="00D93EBC" w:rsidRDefault="00D93EBC" w:rsidP="00D93EBC">
            <w:pPr>
              <w:pStyle w:val="ParagraphStyle4"/>
              <w:jc w:val="right"/>
              <w:rPr>
                <w:rStyle w:val="CharacterStyle4"/>
              </w:rPr>
            </w:pPr>
            <w:r>
              <w:rPr>
                <w:rStyle w:val="CharacterStyle4"/>
              </w:rPr>
              <w:t>2.773.777,37</w:t>
            </w:r>
          </w:p>
        </w:tc>
        <w:tc>
          <w:tcPr>
            <w:tcW w:w="2145" w:type="dxa"/>
            <w:tcBorders>
              <w:bottom w:val="single" w:sz="6" w:space="0" w:color="000000"/>
              <w:right w:val="single" w:sz="6" w:space="0" w:color="000000"/>
            </w:tcBorders>
            <w:vAlign w:val="center"/>
          </w:tcPr>
          <w:p w14:paraId="0093AA8D" w14:textId="77777777" w:rsidR="00D93EBC" w:rsidRDefault="00D93EBC" w:rsidP="00D93EBC">
            <w:pPr>
              <w:pStyle w:val="ParagraphStyle4"/>
              <w:jc w:val="right"/>
              <w:rPr>
                <w:rStyle w:val="CharacterStyle4"/>
              </w:rPr>
            </w:pPr>
            <w:r>
              <w:rPr>
                <w:rStyle w:val="CharacterStyle4"/>
              </w:rPr>
              <w:t>3.020.376,37</w:t>
            </w:r>
          </w:p>
        </w:tc>
      </w:tr>
      <w:tr w:rsidR="00D93EBC" w14:paraId="4AF71776" w14:textId="77777777" w:rsidTr="00C03A15">
        <w:trPr>
          <w:trHeight w:val="360"/>
        </w:trPr>
        <w:tc>
          <w:tcPr>
            <w:tcW w:w="4200" w:type="dxa"/>
            <w:tcBorders>
              <w:left w:val="single" w:sz="6" w:space="0" w:color="000000"/>
              <w:bottom w:val="single" w:sz="6" w:space="0" w:color="000000"/>
              <w:right w:val="single" w:sz="6" w:space="0" w:color="000000"/>
            </w:tcBorders>
            <w:vAlign w:val="center"/>
          </w:tcPr>
          <w:p w14:paraId="48A7365C" w14:textId="77777777" w:rsidR="00D93EBC" w:rsidRPr="00C03A15" w:rsidRDefault="00D93EBC" w:rsidP="00D93EBC">
            <w:pPr>
              <w:pStyle w:val="ParagraphStyle5"/>
              <w:rPr>
                <w:rStyle w:val="CharacterStyle5"/>
                <w:b w:val="0"/>
              </w:rPr>
            </w:pPr>
            <w:r w:rsidRPr="00C03A15">
              <w:rPr>
                <w:rStyle w:val="CharacterStyle5"/>
                <w:b w:val="0"/>
              </w:rPr>
              <w:t>032 Usluge protupožarne zaštite</w:t>
            </w:r>
          </w:p>
        </w:tc>
        <w:tc>
          <w:tcPr>
            <w:tcW w:w="2130" w:type="dxa"/>
            <w:tcBorders>
              <w:bottom w:val="single" w:sz="6" w:space="0" w:color="000000"/>
              <w:right w:val="single" w:sz="6" w:space="0" w:color="000000"/>
            </w:tcBorders>
            <w:vAlign w:val="center"/>
          </w:tcPr>
          <w:p w14:paraId="51DD3280" w14:textId="77777777" w:rsidR="00D93EBC" w:rsidRPr="00C03A15" w:rsidRDefault="00D93EBC" w:rsidP="00D93EBC">
            <w:pPr>
              <w:pStyle w:val="ParagraphStyle6"/>
              <w:rPr>
                <w:rStyle w:val="CharacterStyle6"/>
                <w:b w:val="0"/>
              </w:rPr>
            </w:pPr>
            <w:r w:rsidRPr="00C03A15">
              <w:rPr>
                <w:rStyle w:val="CharacterStyle6"/>
                <w:b w:val="0"/>
              </w:rPr>
              <w:t>1.715.395,45</w:t>
            </w:r>
          </w:p>
        </w:tc>
        <w:tc>
          <w:tcPr>
            <w:tcW w:w="2130" w:type="dxa"/>
            <w:tcBorders>
              <w:bottom w:val="single" w:sz="6" w:space="0" w:color="000000"/>
              <w:right w:val="single" w:sz="6" w:space="0" w:color="000000"/>
            </w:tcBorders>
            <w:vAlign w:val="center"/>
          </w:tcPr>
          <w:p w14:paraId="2DE7327E" w14:textId="77777777" w:rsidR="00D93EBC" w:rsidRPr="00C03A15" w:rsidRDefault="00D93EBC" w:rsidP="00D93EBC">
            <w:pPr>
              <w:pStyle w:val="ParagraphStyle6"/>
              <w:rPr>
                <w:rStyle w:val="CharacterStyle6"/>
                <w:b w:val="0"/>
              </w:rPr>
            </w:pPr>
            <w:r w:rsidRPr="00C03A15">
              <w:rPr>
                <w:rStyle w:val="CharacterStyle6"/>
                <w:b w:val="0"/>
              </w:rPr>
              <w:t>2.579.820,00</w:t>
            </w:r>
          </w:p>
        </w:tc>
        <w:tc>
          <w:tcPr>
            <w:tcW w:w="2115" w:type="dxa"/>
            <w:tcBorders>
              <w:bottom w:val="single" w:sz="6" w:space="0" w:color="000000"/>
              <w:right w:val="single" w:sz="6" w:space="0" w:color="000000"/>
            </w:tcBorders>
            <w:vAlign w:val="center"/>
          </w:tcPr>
          <w:p w14:paraId="1988C505" w14:textId="77777777" w:rsidR="00D93EBC" w:rsidRPr="00D93EBC" w:rsidRDefault="00D93EBC" w:rsidP="00D93EBC">
            <w:pPr>
              <w:pStyle w:val="ParagraphStyle6"/>
              <w:rPr>
                <w:rStyle w:val="CharacterStyle6"/>
                <w:b w:val="0"/>
              </w:rPr>
            </w:pPr>
            <w:r w:rsidRPr="00D93EBC">
              <w:rPr>
                <w:rStyle w:val="CharacterStyle6"/>
                <w:b w:val="0"/>
              </w:rPr>
              <w:t>2.619.039,13</w:t>
            </w:r>
          </w:p>
        </w:tc>
        <w:tc>
          <w:tcPr>
            <w:tcW w:w="2130" w:type="dxa"/>
            <w:tcBorders>
              <w:bottom w:val="single" w:sz="6" w:space="0" w:color="000000"/>
              <w:right w:val="single" w:sz="6" w:space="0" w:color="000000"/>
            </w:tcBorders>
            <w:vAlign w:val="center"/>
          </w:tcPr>
          <w:p w14:paraId="2EFB21F7" w14:textId="77777777" w:rsidR="00D93EBC" w:rsidRPr="00D93EBC" w:rsidRDefault="00D93EBC" w:rsidP="00D93EBC">
            <w:pPr>
              <w:pStyle w:val="ParagraphStyle6"/>
              <w:rPr>
                <w:rStyle w:val="CharacterStyle6"/>
                <w:b w:val="0"/>
              </w:rPr>
            </w:pPr>
            <w:r w:rsidRPr="00D93EBC">
              <w:rPr>
                <w:rStyle w:val="CharacterStyle6"/>
                <w:b w:val="0"/>
              </w:rPr>
              <w:t>2.765.777,37</w:t>
            </w:r>
          </w:p>
        </w:tc>
        <w:tc>
          <w:tcPr>
            <w:tcW w:w="2145" w:type="dxa"/>
            <w:tcBorders>
              <w:bottom w:val="single" w:sz="6" w:space="0" w:color="000000"/>
              <w:right w:val="single" w:sz="6" w:space="0" w:color="000000"/>
            </w:tcBorders>
            <w:vAlign w:val="center"/>
          </w:tcPr>
          <w:p w14:paraId="7352CFB4" w14:textId="77777777" w:rsidR="00D93EBC" w:rsidRPr="00D93EBC" w:rsidRDefault="00D93EBC" w:rsidP="00D93EBC">
            <w:pPr>
              <w:pStyle w:val="ParagraphStyle6"/>
              <w:rPr>
                <w:rStyle w:val="CharacterStyle6"/>
                <w:b w:val="0"/>
              </w:rPr>
            </w:pPr>
            <w:r w:rsidRPr="00D93EBC">
              <w:rPr>
                <w:rStyle w:val="CharacterStyle6"/>
                <w:b w:val="0"/>
              </w:rPr>
              <w:t>3.012.376,37</w:t>
            </w:r>
          </w:p>
        </w:tc>
      </w:tr>
      <w:tr w:rsidR="00D93EBC" w14:paraId="3A1651FE" w14:textId="77777777" w:rsidTr="00C03A15">
        <w:trPr>
          <w:trHeight w:val="420"/>
        </w:trPr>
        <w:tc>
          <w:tcPr>
            <w:tcW w:w="4200" w:type="dxa"/>
            <w:tcBorders>
              <w:left w:val="single" w:sz="6" w:space="0" w:color="000000"/>
              <w:bottom w:val="single" w:sz="6" w:space="0" w:color="000000"/>
              <w:right w:val="single" w:sz="6" w:space="0" w:color="000000"/>
            </w:tcBorders>
            <w:vAlign w:val="center"/>
          </w:tcPr>
          <w:p w14:paraId="044BF970" w14:textId="77777777" w:rsidR="00D93EBC" w:rsidRPr="00C03A15" w:rsidRDefault="00D93EBC" w:rsidP="00D93EBC">
            <w:pPr>
              <w:pStyle w:val="ParagraphStyle5"/>
              <w:rPr>
                <w:rStyle w:val="CharacterStyle5"/>
                <w:b w:val="0"/>
              </w:rPr>
            </w:pPr>
            <w:r w:rsidRPr="00C03A15">
              <w:rPr>
                <w:rStyle w:val="CharacterStyle5"/>
                <w:b w:val="0"/>
              </w:rPr>
              <w:t>036 Rashodi za javni red i sigurnost koji nisu drugdje svrstani</w:t>
            </w:r>
          </w:p>
        </w:tc>
        <w:tc>
          <w:tcPr>
            <w:tcW w:w="2130" w:type="dxa"/>
            <w:tcBorders>
              <w:bottom w:val="single" w:sz="6" w:space="0" w:color="000000"/>
              <w:right w:val="single" w:sz="6" w:space="0" w:color="000000"/>
            </w:tcBorders>
            <w:vAlign w:val="center"/>
          </w:tcPr>
          <w:p w14:paraId="71AD02EB" w14:textId="77777777" w:rsidR="00D93EBC" w:rsidRPr="00C03A15" w:rsidRDefault="00D93EBC" w:rsidP="00D93EBC">
            <w:pPr>
              <w:pStyle w:val="ParagraphStyle6"/>
              <w:rPr>
                <w:rStyle w:val="CharacterStyle6"/>
                <w:b w:val="0"/>
              </w:rPr>
            </w:pPr>
            <w:r w:rsidRPr="00C03A15">
              <w:rPr>
                <w:rStyle w:val="CharacterStyle6"/>
                <w:b w:val="0"/>
              </w:rPr>
              <w:t>7.965,00</w:t>
            </w:r>
          </w:p>
        </w:tc>
        <w:tc>
          <w:tcPr>
            <w:tcW w:w="2130" w:type="dxa"/>
            <w:tcBorders>
              <w:bottom w:val="single" w:sz="6" w:space="0" w:color="000000"/>
              <w:right w:val="single" w:sz="6" w:space="0" w:color="000000"/>
            </w:tcBorders>
            <w:vAlign w:val="center"/>
          </w:tcPr>
          <w:p w14:paraId="1555EB48" w14:textId="77777777" w:rsidR="00D93EBC" w:rsidRPr="00C03A15" w:rsidRDefault="00D93EBC" w:rsidP="00D93EBC">
            <w:pPr>
              <w:pStyle w:val="ParagraphStyle6"/>
              <w:rPr>
                <w:rStyle w:val="CharacterStyle6"/>
                <w:b w:val="0"/>
              </w:rPr>
            </w:pPr>
            <w:r w:rsidRPr="00C03A15">
              <w:rPr>
                <w:rStyle w:val="CharacterStyle6"/>
                <w:b w:val="0"/>
              </w:rPr>
              <w:t>7.965,00</w:t>
            </w:r>
          </w:p>
        </w:tc>
        <w:tc>
          <w:tcPr>
            <w:tcW w:w="2115" w:type="dxa"/>
            <w:tcBorders>
              <w:bottom w:val="single" w:sz="6" w:space="0" w:color="000000"/>
              <w:right w:val="single" w:sz="6" w:space="0" w:color="000000"/>
            </w:tcBorders>
            <w:vAlign w:val="center"/>
          </w:tcPr>
          <w:p w14:paraId="1C2FF104" w14:textId="77777777" w:rsidR="00D93EBC" w:rsidRPr="00D93EBC" w:rsidRDefault="00D93EBC" w:rsidP="00D93EBC">
            <w:pPr>
              <w:pStyle w:val="ParagraphStyle6"/>
              <w:rPr>
                <w:rStyle w:val="CharacterStyle6"/>
                <w:b w:val="0"/>
              </w:rPr>
            </w:pPr>
            <w:r w:rsidRPr="00D93EBC">
              <w:rPr>
                <w:rStyle w:val="CharacterStyle6"/>
                <w:b w:val="0"/>
              </w:rPr>
              <w:t>7.965,00</w:t>
            </w:r>
          </w:p>
        </w:tc>
        <w:tc>
          <w:tcPr>
            <w:tcW w:w="2130" w:type="dxa"/>
            <w:tcBorders>
              <w:bottom w:val="single" w:sz="6" w:space="0" w:color="000000"/>
              <w:right w:val="single" w:sz="6" w:space="0" w:color="000000"/>
            </w:tcBorders>
            <w:vAlign w:val="center"/>
          </w:tcPr>
          <w:p w14:paraId="763DE158" w14:textId="77777777" w:rsidR="00D93EBC" w:rsidRPr="00D93EBC" w:rsidRDefault="00D93EBC" w:rsidP="00D93EBC">
            <w:pPr>
              <w:pStyle w:val="ParagraphStyle6"/>
              <w:rPr>
                <w:rStyle w:val="CharacterStyle6"/>
                <w:b w:val="0"/>
              </w:rPr>
            </w:pPr>
            <w:r w:rsidRPr="00D93EBC">
              <w:rPr>
                <w:rStyle w:val="CharacterStyle6"/>
                <w:b w:val="0"/>
              </w:rPr>
              <w:t>8.000,00</w:t>
            </w:r>
          </w:p>
        </w:tc>
        <w:tc>
          <w:tcPr>
            <w:tcW w:w="2145" w:type="dxa"/>
            <w:tcBorders>
              <w:bottom w:val="single" w:sz="6" w:space="0" w:color="000000"/>
              <w:right w:val="single" w:sz="6" w:space="0" w:color="000000"/>
            </w:tcBorders>
            <w:vAlign w:val="center"/>
          </w:tcPr>
          <w:p w14:paraId="3EFAE454" w14:textId="77777777" w:rsidR="00D93EBC" w:rsidRPr="00D93EBC" w:rsidRDefault="00D93EBC" w:rsidP="00D93EBC">
            <w:pPr>
              <w:pStyle w:val="ParagraphStyle6"/>
              <w:rPr>
                <w:rStyle w:val="CharacterStyle6"/>
                <w:b w:val="0"/>
              </w:rPr>
            </w:pPr>
            <w:r w:rsidRPr="00D93EBC">
              <w:rPr>
                <w:rStyle w:val="CharacterStyle6"/>
                <w:b w:val="0"/>
              </w:rPr>
              <w:t>8.000,00</w:t>
            </w:r>
          </w:p>
        </w:tc>
      </w:tr>
      <w:tr w:rsidR="00D93EBC" w14:paraId="1A80CDE1" w14:textId="77777777" w:rsidTr="00C03A15">
        <w:trPr>
          <w:trHeight w:val="360"/>
        </w:trPr>
        <w:tc>
          <w:tcPr>
            <w:tcW w:w="4200" w:type="dxa"/>
            <w:tcBorders>
              <w:left w:val="single" w:sz="6" w:space="0" w:color="000000"/>
              <w:bottom w:val="single" w:sz="6" w:space="0" w:color="000000"/>
              <w:right w:val="single" w:sz="6" w:space="0" w:color="000000"/>
            </w:tcBorders>
            <w:vAlign w:val="center"/>
          </w:tcPr>
          <w:p w14:paraId="05545132" w14:textId="77777777" w:rsidR="00D93EBC" w:rsidRPr="00EE3A4E" w:rsidRDefault="00D93EBC" w:rsidP="00D93EBC">
            <w:pPr>
              <w:pStyle w:val="ParagraphStyle3"/>
              <w:jc w:val="left"/>
              <w:rPr>
                <w:rStyle w:val="CharacterStyle3"/>
              </w:rPr>
            </w:pPr>
            <w:r w:rsidRPr="00EE3A4E">
              <w:rPr>
                <w:rStyle w:val="CharacterStyle3"/>
              </w:rPr>
              <w:t>04 Ekonomski poslovi</w:t>
            </w:r>
          </w:p>
        </w:tc>
        <w:tc>
          <w:tcPr>
            <w:tcW w:w="2130" w:type="dxa"/>
            <w:tcBorders>
              <w:bottom w:val="single" w:sz="6" w:space="0" w:color="000000"/>
              <w:right w:val="single" w:sz="6" w:space="0" w:color="000000"/>
            </w:tcBorders>
            <w:vAlign w:val="center"/>
          </w:tcPr>
          <w:p w14:paraId="0EBBAF6D" w14:textId="77777777" w:rsidR="00D93EBC" w:rsidRPr="00EE3A4E" w:rsidRDefault="00D93EBC" w:rsidP="00D93EBC">
            <w:pPr>
              <w:pStyle w:val="ParagraphStyle4"/>
              <w:jc w:val="right"/>
              <w:rPr>
                <w:rStyle w:val="CharacterStyle4"/>
              </w:rPr>
            </w:pPr>
            <w:r w:rsidRPr="00EE3A4E">
              <w:rPr>
                <w:rStyle w:val="CharacterStyle4"/>
              </w:rPr>
              <w:t>189.755,23</w:t>
            </w:r>
          </w:p>
        </w:tc>
        <w:tc>
          <w:tcPr>
            <w:tcW w:w="2130" w:type="dxa"/>
            <w:tcBorders>
              <w:bottom w:val="single" w:sz="6" w:space="0" w:color="000000"/>
              <w:right w:val="single" w:sz="6" w:space="0" w:color="000000"/>
            </w:tcBorders>
            <w:vAlign w:val="center"/>
          </w:tcPr>
          <w:p w14:paraId="5145AE48" w14:textId="77777777" w:rsidR="00D93EBC" w:rsidRPr="00EE3A4E" w:rsidRDefault="00D93EBC" w:rsidP="00D93EBC">
            <w:pPr>
              <w:pStyle w:val="ParagraphStyle4"/>
              <w:jc w:val="right"/>
              <w:rPr>
                <w:rStyle w:val="CharacterStyle4"/>
              </w:rPr>
            </w:pPr>
            <w:r w:rsidRPr="00EE3A4E">
              <w:rPr>
                <w:rStyle w:val="CharacterStyle4"/>
              </w:rPr>
              <w:t>263.677,50</w:t>
            </w:r>
          </w:p>
        </w:tc>
        <w:tc>
          <w:tcPr>
            <w:tcW w:w="2115" w:type="dxa"/>
            <w:tcBorders>
              <w:bottom w:val="single" w:sz="6" w:space="0" w:color="000000"/>
              <w:right w:val="single" w:sz="6" w:space="0" w:color="000000"/>
            </w:tcBorders>
            <w:vAlign w:val="center"/>
          </w:tcPr>
          <w:p w14:paraId="793BD725" w14:textId="77777777" w:rsidR="00D93EBC" w:rsidRDefault="00D93EBC" w:rsidP="00D93EBC">
            <w:pPr>
              <w:pStyle w:val="ParagraphStyle4"/>
              <w:jc w:val="right"/>
              <w:rPr>
                <w:rStyle w:val="CharacterStyle4"/>
              </w:rPr>
            </w:pPr>
            <w:r>
              <w:rPr>
                <w:rStyle w:val="CharacterStyle4"/>
              </w:rPr>
              <w:t>742.811,44</w:t>
            </w:r>
          </w:p>
        </w:tc>
        <w:tc>
          <w:tcPr>
            <w:tcW w:w="2130" w:type="dxa"/>
            <w:tcBorders>
              <w:bottom w:val="single" w:sz="6" w:space="0" w:color="000000"/>
              <w:right w:val="single" w:sz="6" w:space="0" w:color="000000"/>
            </w:tcBorders>
            <w:vAlign w:val="center"/>
          </w:tcPr>
          <w:p w14:paraId="07B9A23A" w14:textId="77777777" w:rsidR="00D93EBC" w:rsidRDefault="00D93EBC" w:rsidP="00D93EBC">
            <w:pPr>
              <w:pStyle w:val="ParagraphStyle4"/>
              <w:jc w:val="right"/>
              <w:rPr>
                <w:rStyle w:val="CharacterStyle4"/>
              </w:rPr>
            </w:pPr>
            <w:r>
              <w:rPr>
                <w:rStyle w:val="CharacterStyle4"/>
              </w:rPr>
              <w:t>535.735,00</w:t>
            </w:r>
          </w:p>
        </w:tc>
        <w:tc>
          <w:tcPr>
            <w:tcW w:w="2145" w:type="dxa"/>
            <w:tcBorders>
              <w:bottom w:val="single" w:sz="6" w:space="0" w:color="000000"/>
              <w:right w:val="single" w:sz="6" w:space="0" w:color="000000"/>
            </w:tcBorders>
            <w:vAlign w:val="center"/>
          </w:tcPr>
          <w:p w14:paraId="7791413E" w14:textId="77777777" w:rsidR="00D93EBC" w:rsidRDefault="00D93EBC" w:rsidP="00D93EBC">
            <w:pPr>
              <w:pStyle w:val="ParagraphStyle4"/>
              <w:jc w:val="right"/>
              <w:rPr>
                <w:rStyle w:val="CharacterStyle4"/>
              </w:rPr>
            </w:pPr>
            <w:r>
              <w:rPr>
                <w:rStyle w:val="CharacterStyle4"/>
              </w:rPr>
              <w:t>428.585,00</w:t>
            </w:r>
          </w:p>
        </w:tc>
      </w:tr>
      <w:tr w:rsidR="00D93EBC" w14:paraId="4311EB5F" w14:textId="77777777" w:rsidTr="00C03A15">
        <w:trPr>
          <w:trHeight w:val="360"/>
        </w:trPr>
        <w:tc>
          <w:tcPr>
            <w:tcW w:w="4200" w:type="dxa"/>
            <w:tcBorders>
              <w:left w:val="single" w:sz="6" w:space="0" w:color="000000"/>
              <w:bottom w:val="single" w:sz="6" w:space="0" w:color="000000"/>
              <w:right w:val="single" w:sz="6" w:space="0" w:color="000000"/>
            </w:tcBorders>
            <w:vAlign w:val="center"/>
          </w:tcPr>
          <w:p w14:paraId="5A66E902" w14:textId="77777777" w:rsidR="00D93EBC" w:rsidRPr="00C03A15" w:rsidRDefault="00D93EBC" w:rsidP="00D93EBC">
            <w:pPr>
              <w:pStyle w:val="ParagraphStyle5"/>
              <w:rPr>
                <w:rStyle w:val="CharacterStyle5"/>
                <w:b w:val="0"/>
              </w:rPr>
            </w:pPr>
            <w:r w:rsidRPr="00C03A15">
              <w:rPr>
                <w:rStyle w:val="CharacterStyle5"/>
                <w:b w:val="0"/>
              </w:rPr>
              <w:t>042 Poljoprivreda, šumarstvo, ribarstvo i lov</w:t>
            </w:r>
          </w:p>
        </w:tc>
        <w:tc>
          <w:tcPr>
            <w:tcW w:w="2130" w:type="dxa"/>
            <w:tcBorders>
              <w:bottom w:val="single" w:sz="6" w:space="0" w:color="000000"/>
              <w:right w:val="single" w:sz="6" w:space="0" w:color="000000"/>
            </w:tcBorders>
            <w:vAlign w:val="center"/>
          </w:tcPr>
          <w:p w14:paraId="3905DB60" w14:textId="77777777" w:rsidR="00D93EBC" w:rsidRPr="00C03A15" w:rsidRDefault="00D93EBC" w:rsidP="00D93EBC">
            <w:pPr>
              <w:pStyle w:val="ParagraphStyle6"/>
              <w:rPr>
                <w:rStyle w:val="CharacterStyle6"/>
                <w:b w:val="0"/>
              </w:rPr>
            </w:pPr>
            <w:r w:rsidRPr="00C03A15">
              <w:rPr>
                <w:rStyle w:val="CharacterStyle6"/>
                <w:b w:val="0"/>
              </w:rPr>
              <w:t>48.657,75</w:t>
            </w:r>
          </w:p>
        </w:tc>
        <w:tc>
          <w:tcPr>
            <w:tcW w:w="2130" w:type="dxa"/>
            <w:tcBorders>
              <w:bottom w:val="single" w:sz="6" w:space="0" w:color="000000"/>
              <w:right w:val="single" w:sz="6" w:space="0" w:color="000000"/>
            </w:tcBorders>
            <w:vAlign w:val="center"/>
          </w:tcPr>
          <w:p w14:paraId="30BDD010" w14:textId="77777777" w:rsidR="00D93EBC" w:rsidRPr="00C03A15" w:rsidRDefault="00D93EBC" w:rsidP="00D93EBC">
            <w:pPr>
              <w:pStyle w:val="ParagraphStyle6"/>
              <w:rPr>
                <w:rStyle w:val="CharacterStyle6"/>
                <w:b w:val="0"/>
              </w:rPr>
            </w:pPr>
            <w:r w:rsidRPr="00C03A15">
              <w:rPr>
                <w:rStyle w:val="CharacterStyle6"/>
                <w:b w:val="0"/>
              </w:rPr>
              <w:t>62.312,00</w:t>
            </w:r>
          </w:p>
        </w:tc>
        <w:tc>
          <w:tcPr>
            <w:tcW w:w="2115" w:type="dxa"/>
            <w:tcBorders>
              <w:bottom w:val="single" w:sz="6" w:space="0" w:color="000000"/>
              <w:right w:val="single" w:sz="6" w:space="0" w:color="000000"/>
            </w:tcBorders>
            <w:vAlign w:val="center"/>
          </w:tcPr>
          <w:p w14:paraId="7CE3B5A6" w14:textId="77777777" w:rsidR="00D93EBC" w:rsidRPr="00D93EBC" w:rsidRDefault="00D93EBC" w:rsidP="00D93EBC">
            <w:pPr>
              <w:pStyle w:val="ParagraphStyle6"/>
              <w:rPr>
                <w:rStyle w:val="CharacterStyle6"/>
                <w:b w:val="0"/>
              </w:rPr>
            </w:pPr>
            <w:r w:rsidRPr="00D93EBC">
              <w:rPr>
                <w:rStyle w:val="CharacterStyle6"/>
                <w:b w:val="0"/>
              </w:rPr>
              <w:t>88.180,00</w:t>
            </w:r>
          </w:p>
        </w:tc>
        <w:tc>
          <w:tcPr>
            <w:tcW w:w="2130" w:type="dxa"/>
            <w:tcBorders>
              <w:bottom w:val="single" w:sz="6" w:space="0" w:color="000000"/>
              <w:right w:val="single" w:sz="6" w:space="0" w:color="000000"/>
            </w:tcBorders>
            <w:vAlign w:val="center"/>
          </w:tcPr>
          <w:p w14:paraId="46BC9837" w14:textId="77777777" w:rsidR="00D93EBC" w:rsidRPr="00D93EBC" w:rsidRDefault="00D93EBC" w:rsidP="00D93EBC">
            <w:pPr>
              <w:pStyle w:val="ParagraphStyle6"/>
              <w:rPr>
                <w:rStyle w:val="CharacterStyle6"/>
                <w:b w:val="0"/>
              </w:rPr>
            </w:pPr>
            <w:r w:rsidRPr="00D93EBC">
              <w:rPr>
                <w:rStyle w:val="CharacterStyle6"/>
                <w:b w:val="0"/>
              </w:rPr>
              <w:t>78.180,00</w:t>
            </w:r>
          </w:p>
        </w:tc>
        <w:tc>
          <w:tcPr>
            <w:tcW w:w="2145" w:type="dxa"/>
            <w:tcBorders>
              <w:bottom w:val="single" w:sz="6" w:space="0" w:color="000000"/>
              <w:right w:val="single" w:sz="6" w:space="0" w:color="000000"/>
            </w:tcBorders>
            <w:vAlign w:val="center"/>
          </w:tcPr>
          <w:p w14:paraId="4C285A02" w14:textId="77777777" w:rsidR="00D93EBC" w:rsidRPr="00D93EBC" w:rsidRDefault="00D93EBC" w:rsidP="00D93EBC">
            <w:pPr>
              <w:pStyle w:val="ParagraphStyle6"/>
              <w:rPr>
                <w:rStyle w:val="CharacterStyle6"/>
                <w:b w:val="0"/>
              </w:rPr>
            </w:pPr>
            <w:r w:rsidRPr="00D93EBC">
              <w:rPr>
                <w:rStyle w:val="CharacterStyle6"/>
                <w:b w:val="0"/>
              </w:rPr>
              <w:t>78.180,00</w:t>
            </w:r>
          </w:p>
        </w:tc>
      </w:tr>
      <w:tr w:rsidR="00D93EBC" w14:paraId="761A5300" w14:textId="77777777" w:rsidTr="00C03A15">
        <w:trPr>
          <w:trHeight w:val="360"/>
        </w:trPr>
        <w:tc>
          <w:tcPr>
            <w:tcW w:w="4200" w:type="dxa"/>
            <w:tcBorders>
              <w:left w:val="single" w:sz="6" w:space="0" w:color="000000"/>
              <w:bottom w:val="single" w:sz="6" w:space="0" w:color="000000"/>
              <w:right w:val="single" w:sz="6" w:space="0" w:color="000000"/>
            </w:tcBorders>
            <w:vAlign w:val="center"/>
          </w:tcPr>
          <w:p w14:paraId="217F83E4" w14:textId="77777777" w:rsidR="00D93EBC" w:rsidRPr="00C03A15" w:rsidRDefault="00D93EBC" w:rsidP="00D93EBC">
            <w:pPr>
              <w:pStyle w:val="ParagraphStyle5"/>
              <w:rPr>
                <w:rStyle w:val="CharacterStyle5"/>
                <w:b w:val="0"/>
              </w:rPr>
            </w:pPr>
            <w:r w:rsidRPr="00C03A15">
              <w:rPr>
                <w:rStyle w:val="CharacterStyle5"/>
                <w:b w:val="0"/>
              </w:rPr>
              <w:t>044 Rudarstvo, proizvodnja i građevinarstvo</w:t>
            </w:r>
          </w:p>
        </w:tc>
        <w:tc>
          <w:tcPr>
            <w:tcW w:w="2130" w:type="dxa"/>
            <w:tcBorders>
              <w:bottom w:val="single" w:sz="6" w:space="0" w:color="000000"/>
              <w:right w:val="single" w:sz="6" w:space="0" w:color="000000"/>
            </w:tcBorders>
            <w:vAlign w:val="center"/>
          </w:tcPr>
          <w:p w14:paraId="33F37647" w14:textId="77777777" w:rsidR="00D93EBC" w:rsidRPr="00C03A15" w:rsidRDefault="00D93EBC" w:rsidP="00D93EBC">
            <w:pPr>
              <w:pStyle w:val="ParagraphStyle6"/>
              <w:rPr>
                <w:rStyle w:val="CharacterStyle6"/>
                <w:b w:val="0"/>
              </w:rPr>
            </w:pPr>
            <w:r w:rsidRPr="00C03A15">
              <w:rPr>
                <w:rStyle w:val="CharacterStyle6"/>
                <w:b w:val="0"/>
              </w:rPr>
              <w:t>0,00</w:t>
            </w:r>
          </w:p>
        </w:tc>
        <w:tc>
          <w:tcPr>
            <w:tcW w:w="2130" w:type="dxa"/>
            <w:tcBorders>
              <w:bottom w:val="single" w:sz="6" w:space="0" w:color="000000"/>
              <w:right w:val="single" w:sz="6" w:space="0" w:color="000000"/>
            </w:tcBorders>
            <w:vAlign w:val="center"/>
          </w:tcPr>
          <w:p w14:paraId="1E0D6154" w14:textId="77777777" w:rsidR="00D93EBC" w:rsidRPr="00C03A15" w:rsidRDefault="00D93EBC" w:rsidP="00D93EBC">
            <w:pPr>
              <w:pStyle w:val="ParagraphStyle6"/>
              <w:rPr>
                <w:rStyle w:val="CharacterStyle6"/>
                <w:b w:val="0"/>
              </w:rPr>
            </w:pPr>
            <w:r w:rsidRPr="00C03A15">
              <w:rPr>
                <w:rStyle w:val="CharacterStyle6"/>
                <w:b w:val="0"/>
              </w:rPr>
              <w:t>0,00</w:t>
            </w:r>
          </w:p>
        </w:tc>
        <w:tc>
          <w:tcPr>
            <w:tcW w:w="2115" w:type="dxa"/>
            <w:tcBorders>
              <w:bottom w:val="single" w:sz="6" w:space="0" w:color="000000"/>
              <w:right w:val="single" w:sz="6" w:space="0" w:color="000000"/>
            </w:tcBorders>
            <w:vAlign w:val="center"/>
          </w:tcPr>
          <w:p w14:paraId="025B9DB3" w14:textId="77777777" w:rsidR="00D93EBC" w:rsidRPr="00D93EBC" w:rsidRDefault="00D93EBC" w:rsidP="00D93EBC">
            <w:pPr>
              <w:pStyle w:val="ParagraphStyle6"/>
              <w:rPr>
                <w:rStyle w:val="CharacterStyle6"/>
                <w:b w:val="0"/>
              </w:rPr>
            </w:pPr>
            <w:r w:rsidRPr="00D93EBC">
              <w:rPr>
                <w:rStyle w:val="CharacterStyle6"/>
                <w:b w:val="0"/>
              </w:rPr>
              <w:t>445.178,44</w:t>
            </w:r>
          </w:p>
        </w:tc>
        <w:tc>
          <w:tcPr>
            <w:tcW w:w="2130" w:type="dxa"/>
            <w:tcBorders>
              <w:bottom w:val="single" w:sz="6" w:space="0" w:color="000000"/>
              <w:right w:val="single" w:sz="6" w:space="0" w:color="000000"/>
            </w:tcBorders>
            <w:vAlign w:val="center"/>
          </w:tcPr>
          <w:p w14:paraId="0FBD88C3" w14:textId="77777777" w:rsidR="00D93EBC" w:rsidRPr="00D93EBC" w:rsidRDefault="00D93EBC" w:rsidP="00D93EBC">
            <w:pPr>
              <w:pStyle w:val="ParagraphStyle6"/>
              <w:rPr>
                <w:rStyle w:val="CharacterStyle6"/>
                <w:b w:val="0"/>
              </w:rPr>
            </w:pPr>
            <w:r w:rsidRPr="00D93EBC">
              <w:rPr>
                <w:rStyle w:val="CharacterStyle6"/>
                <w:b w:val="0"/>
              </w:rPr>
              <w:t>248.000,00</w:t>
            </w:r>
          </w:p>
        </w:tc>
        <w:tc>
          <w:tcPr>
            <w:tcW w:w="2145" w:type="dxa"/>
            <w:tcBorders>
              <w:bottom w:val="single" w:sz="6" w:space="0" w:color="000000"/>
              <w:right w:val="single" w:sz="6" w:space="0" w:color="000000"/>
            </w:tcBorders>
            <w:vAlign w:val="center"/>
          </w:tcPr>
          <w:p w14:paraId="7534652D" w14:textId="77777777" w:rsidR="00D93EBC" w:rsidRPr="00D93EBC" w:rsidRDefault="00D93EBC" w:rsidP="00D93EBC">
            <w:pPr>
              <w:pStyle w:val="ParagraphStyle6"/>
              <w:rPr>
                <w:rStyle w:val="CharacterStyle6"/>
                <w:b w:val="0"/>
              </w:rPr>
            </w:pPr>
            <w:r w:rsidRPr="00D93EBC">
              <w:rPr>
                <w:rStyle w:val="CharacterStyle6"/>
                <w:b w:val="0"/>
              </w:rPr>
              <w:t>140.000,00</w:t>
            </w:r>
          </w:p>
        </w:tc>
      </w:tr>
      <w:tr w:rsidR="00D93EBC" w14:paraId="20306622" w14:textId="77777777" w:rsidTr="00C03A15">
        <w:trPr>
          <w:trHeight w:val="360"/>
        </w:trPr>
        <w:tc>
          <w:tcPr>
            <w:tcW w:w="4200" w:type="dxa"/>
            <w:tcBorders>
              <w:left w:val="single" w:sz="6" w:space="0" w:color="000000"/>
              <w:bottom w:val="single" w:sz="6" w:space="0" w:color="000000"/>
              <w:right w:val="single" w:sz="6" w:space="0" w:color="000000"/>
            </w:tcBorders>
            <w:vAlign w:val="center"/>
          </w:tcPr>
          <w:p w14:paraId="6AEF1751" w14:textId="77777777" w:rsidR="00D93EBC" w:rsidRPr="00C03A15" w:rsidRDefault="00D93EBC" w:rsidP="00D93EBC">
            <w:pPr>
              <w:pStyle w:val="ParagraphStyle5"/>
              <w:rPr>
                <w:rStyle w:val="CharacterStyle5"/>
                <w:b w:val="0"/>
              </w:rPr>
            </w:pPr>
            <w:r w:rsidRPr="00C03A15">
              <w:rPr>
                <w:rStyle w:val="CharacterStyle5"/>
                <w:b w:val="0"/>
              </w:rPr>
              <w:t>047 Ostale industrije</w:t>
            </w:r>
          </w:p>
        </w:tc>
        <w:tc>
          <w:tcPr>
            <w:tcW w:w="2130" w:type="dxa"/>
            <w:tcBorders>
              <w:bottom w:val="single" w:sz="6" w:space="0" w:color="000000"/>
              <w:right w:val="single" w:sz="6" w:space="0" w:color="000000"/>
            </w:tcBorders>
            <w:vAlign w:val="center"/>
          </w:tcPr>
          <w:p w14:paraId="715E630D" w14:textId="77777777" w:rsidR="00D93EBC" w:rsidRPr="00C03A15" w:rsidRDefault="00D93EBC" w:rsidP="00D93EBC">
            <w:pPr>
              <w:pStyle w:val="ParagraphStyle6"/>
              <w:rPr>
                <w:rStyle w:val="CharacterStyle6"/>
                <w:b w:val="0"/>
              </w:rPr>
            </w:pPr>
            <w:r w:rsidRPr="00C03A15">
              <w:rPr>
                <w:rStyle w:val="CharacterStyle6"/>
                <w:b w:val="0"/>
              </w:rPr>
              <w:t>141.097,48</w:t>
            </w:r>
          </w:p>
        </w:tc>
        <w:tc>
          <w:tcPr>
            <w:tcW w:w="2130" w:type="dxa"/>
            <w:tcBorders>
              <w:bottom w:val="single" w:sz="6" w:space="0" w:color="000000"/>
              <w:right w:val="single" w:sz="6" w:space="0" w:color="000000"/>
            </w:tcBorders>
            <w:vAlign w:val="center"/>
          </w:tcPr>
          <w:p w14:paraId="4D0AE7D4" w14:textId="77777777" w:rsidR="00D93EBC" w:rsidRPr="00C03A15" w:rsidRDefault="00D93EBC" w:rsidP="00D93EBC">
            <w:pPr>
              <w:pStyle w:val="ParagraphStyle6"/>
              <w:rPr>
                <w:rStyle w:val="CharacterStyle6"/>
                <w:b w:val="0"/>
              </w:rPr>
            </w:pPr>
            <w:r w:rsidRPr="00C03A15">
              <w:rPr>
                <w:rStyle w:val="CharacterStyle6"/>
                <w:b w:val="0"/>
              </w:rPr>
              <w:t>201.365,50</w:t>
            </w:r>
          </w:p>
        </w:tc>
        <w:tc>
          <w:tcPr>
            <w:tcW w:w="2115" w:type="dxa"/>
            <w:tcBorders>
              <w:bottom w:val="single" w:sz="6" w:space="0" w:color="000000"/>
              <w:right w:val="single" w:sz="6" w:space="0" w:color="000000"/>
            </w:tcBorders>
            <w:vAlign w:val="center"/>
          </w:tcPr>
          <w:p w14:paraId="366C7E77" w14:textId="77777777" w:rsidR="00D93EBC" w:rsidRPr="00D93EBC" w:rsidRDefault="00D93EBC" w:rsidP="00D93EBC">
            <w:pPr>
              <w:pStyle w:val="ParagraphStyle6"/>
              <w:rPr>
                <w:rStyle w:val="CharacterStyle6"/>
                <w:b w:val="0"/>
              </w:rPr>
            </w:pPr>
            <w:r w:rsidRPr="00D93EBC">
              <w:rPr>
                <w:rStyle w:val="CharacterStyle6"/>
                <w:b w:val="0"/>
              </w:rPr>
              <w:t>209.453,00</w:t>
            </w:r>
          </w:p>
        </w:tc>
        <w:tc>
          <w:tcPr>
            <w:tcW w:w="2130" w:type="dxa"/>
            <w:tcBorders>
              <w:bottom w:val="single" w:sz="6" w:space="0" w:color="000000"/>
              <w:right w:val="single" w:sz="6" w:space="0" w:color="000000"/>
            </w:tcBorders>
            <w:vAlign w:val="center"/>
          </w:tcPr>
          <w:p w14:paraId="7B3C7BE2" w14:textId="77777777" w:rsidR="00D93EBC" w:rsidRPr="00D93EBC" w:rsidRDefault="00D93EBC" w:rsidP="00D93EBC">
            <w:pPr>
              <w:pStyle w:val="ParagraphStyle6"/>
              <w:rPr>
                <w:rStyle w:val="CharacterStyle6"/>
                <w:b w:val="0"/>
              </w:rPr>
            </w:pPr>
            <w:r w:rsidRPr="00D93EBC">
              <w:rPr>
                <w:rStyle w:val="CharacterStyle6"/>
                <w:b w:val="0"/>
              </w:rPr>
              <w:t>209.555,00</w:t>
            </w:r>
          </w:p>
        </w:tc>
        <w:tc>
          <w:tcPr>
            <w:tcW w:w="2145" w:type="dxa"/>
            <w:tcBorders>
              <w:bottom w:val="single" w:sz="6" w:space="0" w:color="000000"/>
              <w:right w:val="single" w:sz="6" w:space="0" w:color="000000"/>
            </w:tcBorders>
            <w:vAlign w:val="center"/>
          </w:tcPr>
          <w:p w14:paraId="5A699971" w14:textId="77777777" w:rsidR="00D93EBC" w:rsidRPr="00D93EBC" w:rsidRDefault="00D93EBC" w:rsidP="00D93EBC">
            <w:pPr>
              <w:pStyle w:val="ParagraphStyle6"/>
              <w:rPr>
                <w:rStyle w:val="CharacterStyle6"/>
                <w:b w:val="0"/>
              </w:rPr>
            </w:pPr>
            <w:r w:rsidRPr="00D93EBC">
              <w:rPr>
                <w:rStyle w:val="CharacterStyle6"/>
                <w:b w:val="0"/>
              </w:rPr>
              <w:t>210.405,00</w:t>
            </w:r>
          </w:p>
        </w:tc>
      </w:tr>
      <w:tr w:rsidR="00D93EBC" w14:paraId="283E6205" w14:textId="77777777" w:rsidTr="00C03A15">
        <w:trPr>
          <w:trHeight w:val="360"/>
        </w:trPr>
        <w:tc>
          <w:tcPr>
            <w:tcW w:w="4200" w:type="dxa"/>
            <w:tcBorders>
              <w:left w:val="single" w:sz="6" w:space="0" w:color="000000"/>
              <w:bottom w:val="single" w:sz="6" w:space="0" w:color="000000"/>
              <w:right w:val="single" w:sz="6" w:space="0" w:color="000000"/>
            </w:tcBorders>
            <w:vAlign w:val="center"/>
          </w:tcPr>
          <w:p w14:paraId="7BCAF745" w14:textId="77777777" w:rsidR="00D93EBC" w:rsidRPr="00EE3A4E" w:rsidRDefault="00D93EBC" w:rsidP="00D93EBC">
            <w:pPr>
              <w:pStyle w:val="ParagraphStyle3"/>
              <w:jc w:val="left"/>
              <w:rPr>
                <w:rStyle w:val="CharacterStyle3"/>
              </w:rPr>
            </w:pPr>
            <w:r w:rsidRPr="00EE3A4E">
              <w:rPr>
                <w:rStyle w:val="CharacterStyle3"/>
              </w:rPr>
              <w:t>05 Zaštita okoliša</w:t>
            </w:r>
          </w:p>
        </w:tc>
        <w:tc>
          <w:tcPr>
            <w:tcW w:w="2130" w:type="dxa"/>
            <w:tcBorders>
              <w:bottom w:val="single" w:sz="6" w:space="0" w:color="000000"/>
              <w:right w:val="single" w:sz="6" w:space="0" w:color="000000"/>
            </w:tcBorders>
            <w:vAlign w:val="center"/>
          </w:tcPr>
          <w:p w14:paraId="347D18DD" w14:textId="77777777" w:rsidR="00D93EBC" w:rsidRPr="00EE3A4E" w:rsidRDefault="00D93EBC" w:rsidP="00D93EBC">
            <w:pPr>
              <w:pStyle w:val="ParagraphStyle4"/>
              <w:jc w:val="right"/>
              <w:rPr>
                <w:rStyle w:val="CharacterStyle4"/>
              </w:rPr>
            </w:pPr>
            <w:r w:rsidRPr="00EE3A4E">
              <w:rPr>
                <w:rStyle w:val="CharacterStyle4"/>
              </w:rPr>
              <w:t>1.473.419,07</w:t>
            </w:r>
          </w:p>
        </w:tc>
        <w:tc>
          <w:tcPr>
            <w:tcW w:w="2130" w:type="dxa"/>
            <w:tcBorders>
              <w:bottom w:val="single" w:sz="6" w:space="0" w:color="000000"/>
              <w:right w:val="single" w:sz="6" w:space="0" w:color="000000"/>
            </w:tcBorders>
            <w:vAlign w:val="center"/>
          </w:tcPr>
          <w:p w14:paraId="3E2FA76F" w14:textId="77777777" w:rsidR="00D93EBC" w:rsidRPr="00EE3A4E" w:rsidRDefault="00D93EBC" w:rsidP="00D93EBC">
            <w:pPr>
              <w:pStyle w:val="ParagraphStyle4"/>
              <w:jc w:val="right"/>
              <w:rPr>
                <w:rStyle w:val="CharacterStyle4"/>
              </w:rPr>
            </w:pPr>
            <w:r w:rsidRPr="00EE3A4E">
              <w:rPr>
                <w:rStyle w:val="CharacterStyle4"/>
              </w:rPr>
              <w:t>4.567.776,50</w:t>
            </w:r>
          </w:p>
        </w:tc>
        <w:tc>
          <w:tcPr>
            <w:tcW w:w="2115" w:type="dxa"/>
            <w:tcBorders>
              <w:bottom w:val="single" w:sz="6" w:space="0" w:color="000000"/>
              <w:right w:val="single" w:sz="6" w:space="0" w:color="000000"/>
            </w:tcBorders>
            <w:vAlign w:val="center"/>
          </w:tcPr>
          <w:p w14:paraId="45371C4C" w14:textId="77777777" w:rsidR="00D93EBC" w:rsidRDefault="00D93EBC" w:rsidP="00D93EBC">
            <w:pPr>
              <w:pStyle w:val="ParagraphStyle4"/>
              <w:jc w:val="right"/>
              <w:rPr>
                <w:rStyle w:val="CharacterStyle4"/>
              </w:rPr>
            </w:pPr>
            <w:r>
              <w:rPr>
                <w:rStyle w:val="CharacterStyle4"/>
              </w:rPr>
              <w:t>5.359.649,50</w:t>
            </w:r>
          </w:p>
        </w:tc>
        <w:tc>
          <w:tcPr>
            <w:tcW w:w="2130" w:type="dxa"/>
            <w:tcBorders>
              <w:bottom w:val="single" w:sz="6" w:space="0" w:color="000000"/>
              <w:right w:val="single" w:sz="6" w:space="0" w:color="000000"/>
            </w:tcBorders>
            <w:vAlign w:val="center"/>
          </w:tcPr>
          <w:p w14:paraId="6E457AAE" w14:textId="77777777" w:rsidR="00D93EBC" w:rsidRDefault="00D93EBC" w:rsidP="00D93EBC">
            <w:pPr>
              <w:pStyle w:val="ParagraphStyle4"/>
              <w:jc w:val="right"/>
              <w:rPr>
                <w:rStyle w:val="CharacterStyle4"/>
              </w:rPr>
            </w:pPr>
            <w:r>
              <w:rPr>
                <w:rStyle w:val="CharacterStyle4"/>
              </w:rPr>
              <w:t>6.722.300,00</w:t>
            </w:r>
          </w:p>
        </w:tc>
        <w:tc>
          <w:tcPr>
            <w:tcW w:w="2145" w:type="dxa"/>
            <w:tcBorders>
              <w:bottom w:val="single" w:sz="6" w:space="0" w:color="000000"/>
              <w:right w:val="single" w:sz="6" w:space="0" w:color="000000"/>
            </w:tcBorders>
            <w:vAlign w:val="center"/>
          </w:tcPr>
          <w:p w14:paraId="7A8054B3" w14:textId="77777777" w:rsidR="00D93EBC" w:rsidRDefault="00D93EBC" w:rsidP="00D93EBC">
            <w:pPr>
              <w:pStyle w:val="ParagraphStyle4"/>
              <w:jc w:val="right"/>
              <w:rPr>
                <w:rStyle w:val="CharacterStyle4"/>
              </w:rPr>
            </w:pPr>
            <w:r>
              <w:rPr>
                <w:rStyle w:val="CharacterStyle4"/>
              </w:rPr>
              <w:t>1.494.300,00</w:t>
            </w:r>
          </w:p>
        </w:tc>
      </w:tr>
      <w:tr w:rsidR="00D93EBC" w14:paraId="35A03E11" w14:textId="77777777" w:rsidTr="00C03A15">
        <w:trPr>
          <w:trHeight w:val="405"/>
        </w:trPr>
        <w:tc>
          <w:tcPr>
            <w:tcW w:w="4200" w:type="dxa"/>
            <w:tcBorders>
              <w:left w:val="single" w:sz="6" w:space="0" w:color="000000"/>
              <w:bottom w:val="single" w:sz="6" w:space="0" w:color="000000"/>
              <w:right w:val="single" w:sz="6" w:space="0" w:color="000000"/>
            </w:tcBorders>
            <w:vAlign w:val="center"/>
          </w:tcPr>
          <w:p w14:paraId="7C43318E" w14:textId="77777777" w:rsidR="00D93EBC" w:rsidRPr="00C03A15" w:rsidRDefault="00D93EBC" w:rsidP="00D93EBC">
            <w:pPr>
              <w:pStyle w:val="ParagraphStyle5"/>
              <w:rPr>
                <w:rStyle w:val="CharacterStyle5"/>
                <w:b w:val="0"/>
              </w:rPr>
            </w:pPr>
            <w:r w:rsidRPr="00C03A15">
              <w:rPr>
                <w:rStyle w:val="CharacterStyle5"/>
                <w:b w:val="0"/>
              </w:rPr>
              <w:t>056 Poslovi i usluge zaštite okoliša koji nisu drugdje svrstani</w:t>
            </w:r>
          </w:p>
        </w:tc>
        <w:tc>
          <w:tcPr>
            <w:tcW w:w="2130" w:type="dxa"/>
            <w:tcBorders>
              <w:bottom w:val="single" w:sz="6" w:space="0" w:color="000000"/>
              <w:right w:val="single" w:sz="6" w:space="0" w:color="000000"/>
            </w:tcBorders>
            <w:vAlign w:val="center"/>
          </w:tcPr>
          <w:p w14:paraId="38D10953" w14:textId="77777777" w:rsidR="00D93EBC" w:rsidRPr="00C03A15" w:rsidRDefault="00D93EBC" w:rsidP="00D93EBC">
            <w:pPr>
              <w:pStyle w:val="ParagraphStyle6"/>
              <w:rPr>
                <w:rStyle w:val="CharacterStyle6"/>
                <w:b w:val="0"/>
              </w:rPr>
            </w:pPr>
            <w:r w:rsidRPr="00C03A15">
              <w:rPr>
                <w:rStyle w:val="CharacterStyle6"/>
                <w:b w:val="0"/>
              </w:rPr>
              <w:t>36.189,60</w:t>
            </w:r>
          </w:p>
        </w:tc>
        <w:tc>
          <w:tcPr>
            <w:tcW w:w="2130" w:type="dxa"/>
            <w:tcBorders>
              <w:bottom w:val="single" w:sz="6" w:space="0" w:color="000000"/>
              <w:right w:val="single" w:sz="6" w:space="0" w:color="000000"/>
            </w:tcBorders>
            <w:vAlign w:val="center"/>
          </w:tcPr>
          <w:p w14:paraId="465F8EFE" w14:textId="77777777" w:rsidR="00D93EBC" w:rsidRPr="00C03A15" w:rsidRDefault="00D93EBC" w:rsidP="00D93EBC">
            <w:pPr>
              <w:pStyle w:val="ParagraphStyle6"/>
              <w:rPr>
                <w:rStyle w:val="CharacterStyle6"/>
                <w:b w:val="0"/>
              </w:rPr>
            </w:pPr>
            <w:r w:rsidRPr="00C03A15">
              <w:rPr>
                <w:rStyle w:val="CharacterStyle6"/>
                <w:b w:val="0"/>
              </w:rPr>
              <w:t>42.490,00</w:t>
            </w:r>
          </w:p>
        </w:tc>
        <w:tc>
          <w:tcPr>
            <w:tcW w:w="2115" w:type="dxa"/>
            <w:tcBorders>
              <w:bottom w:val="single" w:sz="6" w:space="0" w:color="000000"/>
              <w:right w:val="single" w:sz="6" w:space="0" w:color="000000"/>
            </w:tcBorders>
            <w:vAlign w:val="center"/>
          </w:tcPr>
          <w:p w14:paraId="5AFD77F2" w14:textId="77777777" w:rsidR="00D93EBC" w:rsidRPr="00D93EBC" w:rsidRDefault="00D93EBC" w:rsidP="00D93EBC">
            <w:pPr>
              <w:pStyle w:val="ParagraphStyle6"/>
              <w:rPr>
                <w:rStyle w:val="CharacterStyle6"/>
                <w:b w:val="0"/>
              </w:rPr>
            </w:pPr>
            <w:r w:rsidRPr="00D93EBC">
              <w:rPr>
                <w:rStyle w:val="CharacterStyle6"/>
                <w:b w:val="0"/>
              </w:rPr>
              <w:t>42.600,00</w:t>
            </w:r>
          </w:p>
        </w:tc>
        <w:tc>
          <w:tcPr>
            <w:tcW w:w="2130" w:type="dxa"/>
            <w:tcBorders>
              <w:bottom w:val="single" w:sz="6" w:space="0" w:color="000000"/>
              <w:right w:val="single" w:sz="6" w:space="0" w:color="000000"/>
            </w:tcBorders>
            <w:vAlign w:val="center"/>
          </w:tcPr>
          <w:p w14:paraId="48EF584E" w14:textId="77777777" w:rsidR="00D93EBC" w:rsidRPr="00D93EBC" w:rsidRDefault="00D93EBC" w:rsidP="00D93EBC">
            <w:pPr>
              <w:pStyle w:val="ParagraphStyle6"/>
              <w:rPr>
                <w:rStyle w:val="CharacterStyle6"/>
                <w:b w:val="0"/>
              </w:rPr>
            </w:pPr>
            <w:r w:rsidRPr="00D93EBC">
              <w:rPr>
                <w:rStyle w:val="CharacterStyle6"/>
                <w:b w:val="0"/>
              </w:rPr>
              <w:t>42.600,00</w:t>
            </w:r>
          </w:p>
        </w:tc>
        <w:tc>
          <w:tcPr>
            <w:tcW w:w="2145" w:type="dxa"/>
            <w:tcBorders>
              <w:bottom w:val="single" w:sz="6" w:space="0" w:color="000000"/>
              <w:right w:val="single" w:sz="6" w:space="0" w:color="000000"/>
            </w:tcBorders>
            <w:vAlign w:val="center"/>
          </w:tcPr>
          <w:p w14:paraId="211B7690" w14:textId="77777777" w:rsidR="00D93EBC" w:rsidRPr="00D93EBC" w:rsidRDefault="00D93EBC" w:rsidP="00D93EBC">
            <w:pPr>
              <w:pStyle w:val="ParagraphStyle6"/>
              <w:rPr>
                <w:rStyle w:val="CharacterStyle6"/>
                <w:b w:val="0"/>
              </w:rPr>
            </w:pPr>
            <w:r w:rsidRPr="00D93EBC">
              <w:rPr>
                <w:rStyle w:val="CharacterStyle6"/>
                <w:b w:val="0"/>
              </w:rPr>
              <w:t>42.600,00</w:t>
            </w:r>
          </w:p>
        </w:tc>
      </w:tr>
      <w:tr w:rsidR="00D93EBC" w14:paraId="6A93780F" w14:textId="77777777" w:rsidTr="00C03A15">
        <w:trPr>
          <w:trHeight w:val="360"/>
        </w:trPr>
        <w:tc>
          <w:tcPr>
            <w:tcW w:w="4200" w:type="dxa"/>
            <w:tcBorders>
              <w:left w:val="single" w:sz="6" w:space="0" w:color="000000"/>
              <w:bottom w:val="single" w:sz="6" w:space="0" w:color="000000"/>
              <w:right w:val="single" w:sz="6" w:space="0" w:color="000000"/>
            </w:tcBorders>
            <w:vAlign w:val="center"/>
          </w:tcPr>
          <w:p w14:paraId="5F79DE27" w14:textId="77777777" w:rsidR="00D93EBC" w:rsidRPr="00C03A15" w:rsidRDefault="00D93EBC" w:rsidP="00D93EBC">
            <w:pPr>
              <w:pStyle w:val="ParagraphStyle5"/>
              <w:rPr>
                <w:rStyle w:val="CharacterStyle5"/>
                <w:b w:val="0"/>
              </w:rPr>
            </w:pPr>
            <w:r w:rsidRPr="00C03A15">
              <w:rPr>
                <w:rStyle w:val="CharacterStyle5"/>
                <w:b w:val="0"/>
              </w:rPr>
              <w:t>051 Gospodarenje otpadom</w:t>
            </w:r>
          </w:p>
        </w:tc>
        <w:tc>
          <w:tcPr>
            <w:tcW w:w="2130" w:type="dxa"/>
            <w:tcBorders>
              <w:bottom w:val="single" w:sz="6" w:space="0" w:color="000000"/>
              <w:right w:val="single" w:sz="6" w:space="0" w:color="000000"/>
            </w:tcBorders>
            <w:vAlign w:val="center"/>
          </w:tcPr>
          <w:p w14:paraId="614C5F0C" w14:textId="77777777" w:rsidR="00D93EBC" w:rsidRPr="00C03A15" w:rsidRDefault="00D93EBC" w:rsidP="00D93EBC">
            <w:pPr>
              <w:pStyle w:val="ParagraphStyle6"/>
              <w:rPr>
                <w:rStyle w:val="CharacterStyle6"/>
                <w:b w:val="0"/>
              </w:rPr>
            </w:pPr>
            <w:r w:rsidRPr="00C03A15">
              <w:rPr>
                <w:rStyle w:val="CharacterStyle6"/>
                <w:b w:val="0"/>
              </w:rPr>
              <w:t>562.336,50</w:t>
            </w:r>
          </w:p>
        </w:tc>
        <w:tc>
          <w:tcPr>
            <w:tcW w:w="2130" w:type="dxa"/>
            <w:tcBorders>
              <w:bottom w:val="single" w:sz="6" w:space="0" w:color="000000"/>
              <w:right w:val="single" w:sz="6" w:space="0" w:color="000000"/>
            </w:tcBorders>
            <w:vAlign w:val="center"/>
          </w:tcPr>
          <w:p w14:paraId="49E74A3E" w14:textId="77777777" w:rsidR="00D93EBC" w:rsidRPr="00C03A15" w:rsidRDefault="00D93EBC" w:rsidP="00D93EBC">
            <w:pPr>
              <w:pStyle w:val="ParagraphStyle6"/>
              <w:rPr>
                <w:rStyle w:val="CharacterStyle6"/>
                <w:b w:val="0"/>
              </w:rPr>
            </w:pPr>
            <w:r w:rsidRPr="00C03A15">
              <w:rPr>
                <w:rStyle w:val="CharacterStyle6"/>
                <w:b w:val="0"/>
              </w:rPr>
              <w:t>562.350,00</w:t>
            </w:r>
          </w:p>
        </w:tc>
        <w:tc>
          <w:tcPr>
            <w:tcW w:w="2115" w:type="dxa"/>
            <w:tcBorders>
              <w:bottom w:val="single" w:sz="6" w:space="0" w:color="000000"/>
              <w:right w:val="single" w:sz="6" w:space="0" w:color="000000"/>
            </w:tcBorders>
            <w:vAlign w:val="center"/>
          </w:tcPr>
          <w:p w14:paraId="4918022B" w14:textId="77777777" w:rsidR="00D93EBC" w:rsidRPr="00D93EBC" w:rsidRDefault="00D93EBC" w:rsidP="00D93EBC">
            <w:pPr>
              <w:pStyle w:val="ParagraphStyle6"/>
              <w:rPr>
                <w:rStyle w:val="CharacterStyle6"/>
                <w:b w:val="0"/>
              </w:rPr>
            </w:pPr>
            <w:r w:rsidRPr="00D93EBC">
              <w:rPr>
                <w:rStyle w:val="CharacterStyle6"/>
                <w:b w:val="0"/>
              </w:rPr>
              <w:t>565.000,00</w:t>
            </w:r>
          </w:p>
        </w:tc>
        <w:tc>
          <w:tcPr>
            <w:tcW w:w="2130" w:type="dxa"/>
            <w:tcBorders>
              <w:bottom w:val="single" w:sz="6" w:space="0" w:color="000000"/>
              <w:right w:val="single" w:sz="6" w:space="0" w:color="000000"/>
            </w:tcBorders>
            <w:vAlign w:val="center"/>
          </w:tcPr>
          <w:p w14:paraId="3917F6B3" w14:textId="77777777" w:rsidR="00D93EBC" w:rsidRPr="00D93EBC" w:rsidRDefault="00D93EBC" w:rsidP="00D93EBC">
            <w:pPr>
              <w:pStyle w:val="ParagraphStyle6"/>
              <w:rPr>
                <w:rStyle w:val="CharacterStyle6"/>
                <w:b w:val="0"/>
              </w:rPr>
            </w:pPr>
            <w:r w:rsidRPr="00D93EBC">
              <w:rPr>
                <w:rStyle w:val="CharacterStyle6"/>
                <w:b w:val="0"/>
              </w:rPr>
              <w:t>569.000,00</w:t>
            </w:r>
          </w:p>
        </w:tc>
        <w:tc>
          <w:tcPr>
            <w:tcW w:w="2145" w:type="dxa"/>
            <w:tcBorders>
              <w:bottom w:val="single" w:sz="6" w:space="0" w:color="000000"/>
              <w:right w:val="single" w:sz="6" w:space="0" w:color="000000"/>
            </w:tcBorders>
            <w:vAlign w:val="center"/>
          </w:tcPr>
          <w:p w14:paraId="67600B04" w14:textId="77777777" w:rsidR="00D93EBC" w:rsidRPr="00D93EBC" w:rsidRDefault="00D93EBC" w:rsidP="00D93EBC">
            <w:pPr>
              <w:pStyle w:val="ParagraphStyle6"/>
              <w:rPr>
                <w:rStyle w:val="CharacterStyle6"/>
                <w:b w:val="0"/>
              </w:rPr>
            </w:pPr>
            <w:r w:rsidRPr="00D93EBC">
              <w:rPr>
                <w:rStyle w:val="CharacterStyle6"/>
                <w:b w:val="0"/>
              </w:rPr>
              <w:t>575.000,00</w:t>
            </w:r>
          </w:p>
        </w:tc>
      </w:tr>
      <w:tr w:rsidR="00D93EBC" w14:paraId="54879582" w14:textId="77777777" w:rsidTr="00C03A15">
        <w:trPr>
          <w:trHeight w:val="360"/>
        </w:trPr>
        <w:tc>
          <w:tcPr>
            <w:tcW w:w="4200" w:type="dxa"/>
            <w:tcBorders>
              <w:left w:val="single" w:sz="6" w:space="0" w:color="000000"/>
              <w:bottom w:val="single" w:sz="6" w:space="0" w:color="000000"/>
              <w:right w:val="single" w:sz="6" w:space="0" w:color="000000"/>
            </w:tcBorders>
            <w:vAlign w:val="center"/>
          </w:tcPr>
          <w:p w14:paraId="3671CEF6" w14:textId="77777777" w:rsidR="00D93EBC" w:rsidRPr="00C03A15" w:rsidRDefault="00D93EBC" w:rsidP="00D93EBC">
            <w:pPr>
              <w:pStyle w:val="ParagraphStyle5"/>
              <w:rPr>
                <w:rStyle w:val="CharacterStyle5"/>
                <w:b w:val="0"/>
              </w:rPr>
            </w:pPr>
            <w:r w:rsidRPr="00C03A15">
              <w:rPr>
                <w:rStyle w:val="CharacterStyle5"/>
                <w:b w:val="0"/>
              </w:rPr>
              <w:t>052 Gospodarenje otpadnim vodama</w:t>
            </w:r>
          </w:p>
        </w:tc>
        <w:tc>
          <w:tcPr>
            <w:tcW w:w="2130" w:type="dxa"/>
            <w:tcBorders>
              <w:bottom w:val="single" w:sz="6" w:space="0" w:color="000000"/>
              <w:right w:val="single" w:sz="6" w:space="0" w:color="000000"/>
            </w:tcBorders>
            <w:vAlign w:val="center"/>
          </w:tcPr>
          <w:p w14:paraId="471D8257" w14:textId="77777777" w:rsidR="00D93EBC" w:rsidRPr="00C03A15" w:rsidRDefault="00D93EBC" w:rsidP="00D93EBC">
            <w:pPr>
              <w:pStyle w:val="ParagraphStyle6"/>
              <w:rPr>
                <w:rStyle w:val="CharacterStyle6"/>
                <w:b w:val="0"/>
              </w:rPr>
            </w:pPr>
            <w:r w:rsidRPr="00C03A15">
              <w:rPr>
                <w:rStyle w:val="CharacterStyle6"/>
                <w:b w:val="0"/>
              </w:rPr>
              <w:t>216.228,06</w:t>
            </w:r>
          </w:p>
        </w:tc>
        <w:tc>
          <w:tcPr>
            <w:tcW w:w="2130" w:type="dxa"/>
            <w:tcBorders>
              <w:bottom w:val="single" w:sz="6" w:space="0" w:color="000000"/>
              <w:right w:val="single" w:sz="6" w:space="0" w:color="000000"/>
            </w:tcBorders>
            <w:vAlign w:val="center"/>
          </w:tcPr>
          <w:p w14:paraId="521E2EAD" w14:textId="77777777" w:rsidR="00D93EBC" w:rsidRPr="00C03A15" w:rsidRDefault="00D93EBC" w:rsidP="00D93EBC">
            <w:pPr>
              <w:pStyle w:val="ParagraphStyle6"/>
              <w:rPr>
                <w:rStyle w:val="CharacterStyle6"/>
                <w:b w:val="0"/>
              </w:rPr>
            </w:pPr>
            <w:r w:rsidRPr="00C03A15">
              <w:rPr>
                <w:rStyle w:val="CharacterStyle6"/>
                <w:b w:val="0"/>
              </w:rPr>
              <w:t>216.400,00</w:t>
            </w:r>
          </w:p>
        </w:tc>
        <w:tc>
          <w:tcPr>
            <w:tcW w:w="2115" w:type="dxa"/>
            <w:tcBorders>
              <w:bottom w:val="single" w:sz="6" w:space="0" w:color="000000"/>
              <w:right w:val="single" w:sz="6" w:space="0" w:color="000000"/>
            </w:tcBorders>
            <w:vAlign w:val="center"/>
          </w:tcPr>
          <w:p w14:paraId="6AF19257" w14:textId="77777777" w:rsidR="00D93EBC" w:rsidRPr="00D93EBC" w:rsidRDefault="00D93EBC" w:rsidP="00D93EBC">
            <w:pPr>
              <w:pStyle w:val="ParagraphStyle6"/>
              <w:rPr>
                <w:rStyle w:val="CharacterStyle6"/>
                <w:b w:val="0"/>
              </w:rPr>
            </w:pPr>
            <w:r w:rsidRPr="00D93EBC">
              <w:rPr>
                <w:rStyle w:val="CharacterStyle6"/>
                <w:b w:val="0"/>
              </w:rPr>
              <w:t>246.400,00</w:t>
            </w:r>
          </w:p>
        </w:tc>
        <w:tc>
          <w:tcPr>
            <w:tcW w:w="2130" w:type="dxa"/>
            <w:tcBorders>
              <w:bottom w:val="single" w:sz="6" w:space="0" w:color="000000"/>
              <w:right w:val="single" w:sz="6" w:space="0" w:color="000000"/>
            </w:tcBorders>
            <w:vAlign w:val="center"/>
          </w:tcPr>
          <w:p w14:paraId="5087F83C" w14:textId="77777777" w:rsidR="00D93EBC" w:rsidRPr="00D93EBC" w:rsidRDefault="00D93EBC" w:rsidP="00D93EBC">
            <w:pPr>
              <w:pStyle w:val="ParagraphStyle6"/>
              <w:rPr>
                <w:rStyle w:val="CharacterStyle6"/>
                <w:b w:val="0"/>
              </w:rPr>
            </w:pPr>
            <w:r w:rsidRPr="00D93EBC">
              <w:rPr>
                <w:rStyle w:val="CharacterStyle6"/>
                <w:b w:val="0"/>
              </w:rPr>
              <w:t>246.400,00</w:t>
            </w:r>
          </w:p>
        </w:tc>
        <w:tc>
          <w:tcPr>
            <w:tcW w:w="2145" w:type="dxa"/>
            <w:tcBorders>
              <w:bottom w:val="single" w:sz="6" w:space="0" w:color="000000"/>
              <w:right w:val="single" w:sz="6" w:space="0" w:color="000000"/>
            </w:tcBorders>
            <w:vAlign w:val="center"/>
          </w:tcPr>
          <w:p w14:paraId="0B4AED8B" w14:textId="77777777" w:rsidR="00D93EBC" w:rsidRPr="00D93EBC" w:rsidRDefault="00D93EBC" w:rsidP="00D93EBC">
            <w:pPr>
              <w:pStyle w:val="ParagraphStyle6"/>
              <w:rPr>
                <w:rStyle w:val="CharacterStyle6"/>
                <w:b w:val="0"/>
              </w:rPr>
            </w:pPr>
            <w:r w:rsidRPr="00D93EBC">
              <w:rPr>
                <w:rStyle w:val="CharacterStyle6"/>
                <w:b w:val="0"/>
              </w:rPr>
              <w:t>246.400,00</w:t>
            </w:r>
          </w:p>
        </w:tc>
      </w:tr>
      <w:tr w:rsidR="00D93EBC" w14:paraId="24DEDF99" w14:textId="77777777" w:rsidTr="00C03A15">
        <w:trPr>
          <w:trHeight w:val="360"/>
        </w:trPr>
        <w:tc>
          <w:tcPr>
            <w:tcW w:w="4200" w:type="dxa"/>
            <w:tcBorders>
              <w:left w:val="single" w:sz="6" w:space="0" w:color="000000"/>
              <w:bottom w:val="single" w:sz="6" w:space="0" w:color="000000"/>
              <w:right w:val="single" w:sz="6" w:space="0" w:color="000000"/>
            </w:tcBorders>
            <w:vAlign w:val="center"/>
          </w:tcPr>
          <w:p w14:paraId="707F75EA" w14:textId="77777777" w:rsidR="00D93EBC" w:rsidRPr="00C03A15" w:rsidRDefault="00D93EBC" w:rsidP="00D93EBC">
            <w:pPr>
              <w:pStyle w:val="ParagraphStyle5"/>
              <w:rPr>
                <w:rStyle w:val="CharacterStyle5"/>
                <w:b w:val="0"/>
              </w:rPr>
            </w:pPr>
            <w:r w:rsidRPr="00C03A15">
              <w:rPr>
                <w:rStyle w:val="CharacterStyle5"/>
                <w:b w:val="0"/>
              </w:rPr>
              <w:t>054 Zaštita bioraznolikosti i krajolika</w:t>
            </w:r>
          </w:p>
        </w:tc>
        <w:tc>
          <w:tcPr>
            <w:tcW w:w="2130" w:type="dxa"/>
            <w:tcBorders>
              <w:bottom w:val="single" w:sz="6" w:space="0" w:color="000000"/>
              <w:right w:val="single" w:sz="6" w:space="0" w:color="000000"/>
            </w:tcBorders>
            <w:vAlign w:val="center"/>
          </w:tcPr>
          <w:p w14:paraId="64DB7C1B" w14:textId="77777777" w:rsidR="00D93EBC" w:rsidRPr="00C03A15" w:rsidRDefault="00D93EBC" w:rsidP="00D93EBC">
            <w:pPr>
              <w:pStyle w:val="ParagraphStyle6"/>
              <w:rPr>
                <w:rStyle w:val="CharacterStyle6"/>
                <w:b w:val="0"/>
              </w:rPr>
            </w:pPr>
            <w:r w:rsidRPr="00C03A15">
              <w:rPr>
                <w:rStyle w:val="CharacterStyle6"/>
                <w:b w:val="0"/>
              </w:rPr>
              <w:t>591.903,04</w:t>
            </w:r>
          </w:p>
        </w:tc>
        <w:tc>
          <w:tcPr>
            <w:tcW w:w="2130" w:type="dxa"/>
            <w:tcBorders>
              <w:bottom w:val="single" w:sz="6" w:space="0" w:color="000000"/>
              <w:right w:val="single" w:sz="6" w:space="0" w:color="000000"/>
            </w:tcBorders>
            <w:vAlign w:val="center"/>
          </w:tcPr>
          <w:p w14:paraId="5334F970" w14:textId="77777777" w:rsidR="00D93EBC" w:rsidRPr="00C03A15" w:rsidRDefault="00D93EBC" w:rsidP="00D93EBC">
            <w:pPr>
              <w:pStyle w:val="ParagraphStyle6"/>
              <w:rPr>
                <w:rStyle w:val="CharacterStyle6"/>
                <w:b w:val="0"/>
              </w:rPr>
            </w:pPr>
            <w:r w:rsidRPr="00C03A15">
              <w:rPr>
                <w:rStyle w:val="CharacterStyle6"/>
                <w:b w:val="0"/>
              </w:rPr>
              <w:t>619.500,00</w:t>
            </w:r>
          </w:p>
        </w:tc>
        <w:tc>
          <w:tcPr>
            <w:tcW w:w="2115" w:type="dxa"/>
            <w:tcBorders>
              <w:bottom w:val="single" w:sz="6" w:space="0" w:color="000000"/>
              <w:right w:val="single" w:sz="6" w:space="0" w:color="000000"/>
            </w:tcBorders>
            <w:vAlign w:val="center"/>
          </w:tcPr>
          <w:p w14:paraId="32523187" w14:textId="77777777" w:rsidR="00D93EBC" w:rsidRPr="00D93EBC" w:rsidRDefault="00D93EBC" w:rsidP="00D93EBC">
            <w:pPr>
              <w:pStyle w:val="ParagraphStyle6"/>
              <w:rPr>
                <w:rStyle w:val="CharacterStyle6"/>
                <w:b w:val="0"/>
              </w:rPr>
            </w:pPr>
            <w:r w:rsidRPr="00D93EBC">
              <w:rPr>
                <w:rStyle w:val="CharacterStyle6"/>
                <w:b w:val="0"/>
              </w:rPr>
              <w:t>630.300,00</w:t>
            </w:r>
          </w:p>
        </w:tc>
        <w:tc>
          <w:tcPr>
            <w:tcW w:w="2130" w:type="dxa"/>
            <w:tcBorders>
              <w:bottom w:val="single" w:sz="6" w:space="0" w:color="000000"/>
              <w:right w:val="single" w:sz="6" w:space="0" w:color="000000"/>
            </w:tcBorders>
            <w:vAlign w:val="center"/>
          </w:tcPr>
          <w:p w14:paraId="1642DAD7" w14:textId="77777777" w:rsidR="00D93EBC" w:rsidRPr="00D93EBC" w:rsidRDefault="00D93EBC" w:rsidP="00D93EBC">
            <w:pPr>
              <w:pStyle w:val="ParagraphStyle6"/>
              <w:rPr>
                <w:rStyle w:val="CharacterStyle6"/>
                <w:b w:val="0"/>
              </w:rPr>
            </w:pPr>
            <w:r w:rsidRPr="00D93EBC">
              <w:rPr>
                <w:rStyle w:val="CharacterStyle6"/>
                <w:b w:val="0"/>
              </w:rPr>
              <w:t>630.300,00</w:t>
            </w:r>
          </w:p>
        </w:tc>
        <w:tc>
          <w:tcPr>
            <w:tcW w:w="2145" w:type="dxa"/>
            <w:tcBorders>
              <w:bottom w:val="single" w:sz="6" w:space="0" w:color="000000"/>
              <w:right w:val="single" w:sz="6" w:space="0" w:color="000000"/>
            </w:tcBorders>
            <w:vAlign w:val="center"/>
          </w:tcPr>
          <w:p w14:paraId="1DD238EF" w14:textId="77777777" w:rsidR="00D93EBC" w:rsidRPr="00D93EBC" w:rsidRDefault="00D93EBC" w:rsidP="00D93EBC">
            <w:pPr>
              <w:pStyle w:val="ParagraphStyle6"/>
              <w:rPr>
                <w:rStyle w:val="CharacterStyle6"/>
                <w:b w:val="0"/>
              </w:rPr>
            </w:pPr>
            <w:r w:rsidRPr="00D93EBC">
              <w:rPr>
                <w:rStyle w:val="CharacterStyle6"/>
                <w:b w:val="0"/>
              </w:rPr>
              <w:t>630.300,00</w:t>
            </w:r>
          </w:p>
        </w:tc>
      </w:tr>
      <w:tr w:rsidR="00D93EBC" w14:paraId="76AF0519" w14:textId="77777777" w:rsidTr="00C03A15">
        <w:trPr>
          <w:trHeight w:val="360"/>
        </w:trPr>
        <w:tc>
          <w:tcPr>
            <w:tcW w:w="4200" w:type="dxa"/>
            <w:tcBorders>
              <w:left w:val="single" w:sz="6" w:space="0" w:color="000000"/>
              <w:bottom w:val="single" w:sz="6" w:space="0" w:color="000000"/>
              <w:right w:val="single" w:sz="6" w:space="0" w:color="000000"/>
            </w:tcBorders>
            <w:vAlign w:val="center"/>
          </w:tcPr>
          <w:p w14:paraId="1534C1F5" w14:textId="77777777" w:rsidR="00D93EBC" w:rsidRPr="00C03A15" w:rsidRDefault="00D93EBC" w:rsidP="00D93EBC">
            <w:pPr>
              <w:pStyle w:val="ParagraphStyle5"/>
              <w:rPr>
                <w:rStyle w:val="CharacterStyle5"/>
                <w:b w:val="0"/>
              </w:rPr>
            </w:pPr>
            <w:r w:rsidRPr="00C03A15">
              <w:rPr>
                <w:rStyle w:val="CharacterStyle5"/>
                <w:b w:val="0"/>
              </w:rPr>
              <w:t>055 Istraživanje i razvoj: Zaštita okoliša</w:t>
            </w:r>
          </w:p>
        </w:tc>
        <w:tc>
          <w:tcPr>
            <w:tcW w:w="2130" w:type="dxa"/>
            <w:tcBorders>
              <w:bottom w:val="single" w:sz="6" w:space="0" w:color="000000"/>
              <w:right w:val="single" w:sz="6" w:space="0" w:color="000000"/>
            </w:tcBorders>
            <w:vAlign w:val="center"/>
          </w:tcPr>
          <w:p w14:paraId="24019186" w14:textId="77777777" w:rsidR="00D93EBC" w:rsidRPr="00C03A15" w:rsidRDefault="00D93EBC" w:rsidP="00D93EBC">
            <w:pPr>
              <w:pStyle w:val="ParagraphStyle6"/>
              <w:rPr>
                <w:rStyle w:val="CharacterStyle6"/>
                <w:b w:val="0"/>
              </w:rPr>
            </w:pPr>
            <w:r w:rsidRPr="00C03A15">
              <w:rPr>
                <w:rStyle w:val="CharacterStyle6"/>
                <w:b w:val="0"/>
              </w:rPr>
              <w:t>66.761,87</w:t>
            </w:r>
          </w:p>
        </w:tc>
        <w:tc>
          <w:tcPr>
            <w:tcW w:w="2130" w:type="dxa"/>
            <w:tcBorders>
              <w:bottom w:val="single" w:sz="6" w:space="0" w:color="000000"/>
              <w:right w:val="single" w:sz="6" w:space="0" w:color="000000"/>
            </w:tcBorders>
            <w:vAlign w:val="center"/>
          </w:tcPr>
          <w:p w14:paraId="6B387A06" w14:textId="77777777" w:rsidR="00D93EBC" w:rsidRPr="00C03A15" w:rsidRDefault="00D93EBC" w:rsidP="00D93EBC">
            <w:pPr>
              <w:pStyle w:val="ParagraphStyle6"/>
              <w:rPr>
                <w:rStyle w:val="CharacterStyle6"/>
                <w:b w:val="0"/>
              </w:rPr>
            </w:pPr>
            <w:r w:rsidRPr="00C03A15">
              <w:rPr>
                <w:rStyle w:val="CharacterStyle6"/>
                <w:b w:val="0"/>
              </w:rPr>
              <w:t>3.127.036,50</w:t>
            </w:r>
          </w:p>
        </w:tc>
        <w:tc>
          <w:tcPr>
            <w:tcW w:w="2115" w:type="dxa"/>
            <w:tcBorders>
              <w:bottom w:val="single" w:sz="6" w:space="0" w:color="000000"/>
              <w:right w:val="single" w:sz="6" w:space="0" w:color="000000"/>
            </w:tcBorders>
            <w:vAlign w:val="center"/>
          </w:tcPr>
          <w:p w14:paraId="70AE28CB" w14:textId="77777777" w:rsidR="00D93EBC" w:rsidRPr="00D93EBC" w:rsidRDefault="00D93EBC" w:rsidP="00D93EBC">
            <w:pPr>
              <w:pStyle w:val="ParagraphStyle6"/>
              <w:rPr>
                <w:rStyle w:val="CharacterStyle6"/>
                <w:b w:val="0"/>
              </w:rPr>
            </w:pPr>
            <w:r w:rsidRPr="00D93EBC">
              <w:rPr>
                <w:rStyle w:val="CharacterStyle6"/>
                <w:b w:val="0"/>
              </w:rPr>
              <w:t>3.875.349,50</w:t>
            </w:r>
          </w:p>
        </w:tc>
        <w:tc>
          <w:tcPr>
            <w:tcW w:w="2130" w:type="dxa"/>
            <w:tcBorders>
              <w:bottom w:val="single" w:sz="6" w:space="0" w:color="000000"/>
              <w:right w:val="single" w:sz="6" w:space="0" w:color="000000"/>
            </w:tcBorders>
            <w:vAlign w:val="center"/>
          </w:tcPr>
          <w:p w14:paraId="645FF43F" w14:textId="77777777" w:rsidR="00D93EBC" w:rsidRPr="00D93EBC" w:rsidRDefault="00D93EBC" w:rsidP="00D93EBC">
            <w:pPr>
              <w:pStyle w:val="ParagraphStyle6"/>
              <w:rPr>
                <w:rStyle w:val="CharacterStyle6"/>
                <w:b w:val="0"/>
              </w:rPr>
            </w:pPr>
            <w:r w:rsidRPr="00D93EBC">
              <w:rPr>
                <w:rStyle w:val="CharacterStyle6"/>
                <w:b w:val="0"/>
              </w:rPr>
              <w:t>5.234.000,00</w:t>
            </w:r>
          </w:p>
        </w:tc>
        <w:tc>
          <w:tcPr>
            <w:tcW w:w="2145" w:type="dxa"/>
            <w:tcBorders>
              <w:bottom w:val="single" w:sz="6" w:space="0" w:color="000000"/>
              <w:right w:val="single" w:sz="6" w:space="0" w:color="000000"/>
            </w:tcBorders>
            <w:vAlign w:val="center"/>
          </w:tcPr>
          <w:p w14:paraId="502A0282" w14:textId="77777777" w:rsidR="00D93EBC" w:rsidRPr="00D93EBC" w:rsidRDefault="00D93EBC" w:rsidP="00D93EBC">
            <w:pPr>
              <w:pStyle w:val="ParagraphStyle6"/>
              <w:rPr>
                <w:rStyle w:val="CharacterStyle6"/>
                <w:b w:val="0"/>
              </w:rPr>
            </w:pPr>
            <w:r w:rsidRPr="00D93EBC">
              <w:rPr>
                <w:rStyle w:val="CharacterStyle6"/>
                <w:b w:val="0"/>
              </w:rPr>
              <w:t>0,00</w:t>
            </w:r>
          </w:p>
        </w:tc>
      </w:tr>
      <w:tr w:rsidR="00D93EBC" w14:paraId="14FD5EB3" w14:textId="77777777" w:rsidTr="00C03A15">
        <w:trPr>
          <w:trHeight w:val="360"/>
        </w:trPr>
        <w:tc>
          <w:tcPr>
            <w:tcW w:w="4200" w:type="dxa"/>
            <w:tcBorders>
              <w:left w:val="single" w:sz="6" w:space="0" w:color="000000"/>
              <w:bottom w:val="single" w:sz="6" w:space="0" w:color="000000"/>
              <w:right w:val="single" w:sz="6" w:space="0" w:color="000000"/>
            </w:tcBorders>
            <w:vAlign w:val="center"/>
          </w:tcPr>
          <w:p w14:paraId="3363820D" w14:textId="77777777" w:rsidR="00D93EBC" w:rsidRPr="00EE3A4E" w:rsidRDefault="00D93EBC" w:rsidP="00D93EBC">
            <w:pPr>
              <w:pStyle w:val="ParagraphStyle3"/>
              <w:jc w:val="left"/>
              <w:rPr>
                <w:rStyle w:val="CharacterStyle3"/>
              </w:rPr>
            </w:pPr>
            <w:r w:rsidRPr="00EE3A4E">
              <w:rPr>
                <w:rStyle w:val="CharacterStyle3"/>
              </w:rPr>
              <w:t>06 Usluge unapređenja stanovanja i zajednice</w:t>
            </w:r>
          </w:p>
        </w:tc>
        <w:tc>
          <w:tcPr>
            <w:tcW w:w="2130" w:type="dxa"/>
            <w:tcBorders>
              <w:bottom w:val="single" w:sz="6" w:space="0" w:color="000000"/>
              <w:right w:val="single" w:sz="6" w:space="0" w:color="000000"/>
            </w:tcBorders>
            <w:vAlign w:val="center"/>
          </w:tcPr>
          <w:p w14:paraId="0B80EAD7" w14:textId="77777777" w:rsidR="00D93EBC" w:rsidRPr="00EE3A4E" w:rsidRDefault="00D93EBC" w:rsidP="00D93EBC">
            <w:pPr>
              <w:pStyle w:val="ParagraphStyle4"/>
              <w:jc w:val="right"/>
              <w:rPr>
                <w:rStyle w:val="CharacterStyle4"/>
              </w:rPr>
            </w:pPr>
            <w:r w:rsidRPr="00EE3A4E">
              <w:rPr>
                <w:rStyle w:val="CharacterStyle4"/>
              </w:rPr>
              <w:t>6.714.760,69</w:t>
            </w:r>
          </w:p>
        </w:tc>
        <w:tc>
          <w:tcPr>
            <w:tcW w:w="2130" w:type="dxa"/>
            <w:tcBorders>
              <w:bottom w:val="single" w:sz="6" w:space="0" w:color="000000"/>
              <w:right w:val="single" w:sz="6" w:space="0" w:color="000000"/>
            </w:tcBorders>
            <w:vAlign w:val="center"/>
          </w:tcPr>
          <w:p w14:paraId="6BBE03D5" w14:textId="77777777" w:rsidR="00D93EBC" w:rsidRPr="00EE3A4E" w:rsidRDefault="00D93EBC" w:rsidP="00D93EBC">
            <w:pPr>
              <w:pStyle w:val="ParagraphStyle4"/>
              <w:jc w:val="right"/>
              <w:rPr>
                <w:rStyle w:val="CharacterStyle4"/>
              </w:rPr>
            </w:pPr>
            <w:r w:rsidRPr="00EE3A4E">
              <w:rPr>
                <w:rStyle w:val="CharacterStyle4"/>
              </w:rPr>
              <w:t>13.672.183,50</w:t>
            </w:r>
          </w:p>
        </w:tc>
        <w:tc>
          <w:tcPr>
            <w:tcW w:w="2115" w:type="dxa"/>
            <w:tcBorders>
              <w:bottom w:val="single" w:sz="6" w:space="0" w:color="000000"/>
              <w:right w:val="single" w:sz="6" w:space="0" w:color="000000"/>
            </w:tcBorders>
            <w:vAlign w:val="center"/>
          </w:tcPr>
          <w:p w14:paraId="73A5F863" w14:textId="77777777" w:rsidR="00D93EBC" w:rsidRDefault="00D93EBC" w:rsidP="00D93EBC">
            <w:pPr>
              <w:pStyle w:val="ParagraphStyle4"/>
              <w:jc w:val="right"/>
              <w:rPr>
                <w:rStyle w:val="CharacterStyle4"/>
              </w:rPr>
            </w:pPr>
            <w:r>
              <w:rPr>
                <w:rStyle w:val="CharacterStyle4"/>
              </w:rPr>
              <w:t>11.199.365,00</w:t>
            </w:r>
          </w:p>
        </w:tc>
        <w:tc>
          <w:tcPr>
            <w:tcW w:w="2130" w:type="dxa"/>
            <w:tcBorders>
              <w:bottom w:val="single" w:sz="6" w:space="0" w:color="000000"/>
              <w:right w:val="single" w:sz="6" w:space="0" w:color="000000"/>
            </w:tcBorders>
            <w:vAlign w:val="center"/>
          </w:tcPr>
          <w:p w14:paraId="4136F177" w14:textId="77777777" w:rsidR="00D93EBC" w:rsidRDefault="00D93EBC" w:rsidP="00D93EBC">
            <w:pPr>
              <w:pStyle w:val="ParagraphStyle4"/>
              <w:jc w:val="right"/>
              <w:rPr>
                <w:rStyle w:val="CharacterStyle4"/>
              </w:rPr>
            </w:pPr>
            <w:r>
              <w:rPr>
                <w:rStyle w:val="CharacterStyle4"/>
              </w:rPr>
              <w:t>7.719.674,00</w:t>
            </w:r>
          </w:p>
        </w:tc>
        <w:tc>
          <w:tcPr>
            <w:tcW w:w="2145" w:type="dxa"/>
            <w:tcBorders>
              <w:bottom w:val="single" w:sz="6" w:space="0" w:color="000000"/>
              <w:right w:val="single" w:sz="6" w:space="0" w:color="000000"/>
            </w:tcBorders>
            <w:vAlign w:val="center"/>
          </w:tcPr>
          <w:p w14:paraId="73DA33AD" w14:textId="77777777" w:rsidR="00D93EBC" w:rsidRDefault="00D93EBC" w:rsidP="00D93EBC">
            <w:pPr>
              <w:pStyle w:val="ParagraphStyle4"/>
              <w:jc w:val="right"/>
              <w:rPr>
                <w:rStyle w:val="CharacterStyle4"/>
              </w:rPr>
            </w:pPr>
            <w:r>
              <w:rPr>
                <w:rStyle w:val="CharacterStyle4"/>
              </w:rPr>
              <w:t>6.580.424,00</w:t>
            </w:r>
          </w:p>
        </w:tc>
      </w:tr>
      <w:tr w:rsidR="00D93EBC" w14:paraId="0931AF22" w14:textId="77777777" w:rsidTr="00C03A15">
        <w:trPr>
          <w:trHeight w:val="360"/>
        </w:trPr>
        <w:tc>
          <w:tcPr>
            <w:tcW w:w="4200" w:type="dxa"/>
            <w:tcBorders>
              <w:left w:val="single" w:sz="6" w:space="0" w:color="000000"/>
              <w:bottom w:val="single" w:sz="6" w:space="0" w:color="000000"/>
              <w:right w:val="single" w:sz="6" w:space="0" w:color="000000"/>
            </w:tcBorders>
            <w:vAlign w:val="center"/>
          </w:tcPr>
          <w:p w14:paraId="5726AD67" w14:textId="77777777" w:rsidR="00D93EBC" w:rsidRPr="00C03A15" w:rsidRDefault="00D93EBC" w:rsidP="00D93EBC">
            <w:pPr>
              <w:pStyle w:val="ParagraphStyle5"/>
              <w:rPr>
                <w:rStyle w:val="CharacterStyle5"/>
                <w:b w:val="0"/>
              </w:rPr>
            </w:pPr>
            <w:r w:rsidRPr="00C03A15">
              <w:rPr>
                <w:rStyle w:val="CharacterStyle5"/>
                <w:b w:val="0"/>
              </w:rPr>
              <w:t>061 Razvoj stanovanja</w:t>
            </w:r>
          </w:p>
        </w:tc>
        <w:tc>
          <w:tcPr>
            <w:tcW w:w="2130" w:type="dxa"/>
            <w:tcBorders>
              <w:bottom w:val="single" w:sz="6" w:space="0" w:color="000000"/>
              <w:right w:val="single" w:sz="6" w:space="0" w:color="000000"/>
            </w:tcBorders>
            <w:vAlign w:val="center"/>
          </w:tcPr>
          <w:p w14:paraId="01D720FD" w14:textId="77777777" w:rsidR="00D93EBC" w:rsidRPr="00C03A15" w:rsidRDefault="00D93EBC" w:rsidP="00D93EBC">
            <w:pPr>
              <w:pStyle w:val="ParagraphStyle6"/>
              <w:rPr>
                <w:rStyle w:val="CharacterStyle6"/>
                <w:b w:val="0"/>
              </w:rPr>
            </w:pPr>
            <w:r w:rsidRPr="00C03A15">
              <w:rPr>
                <w:rStyle w:val="CharacterStyle6"/>
                <w:b w:val="0"/>
              </w:rPr>
              <w:t>0,00</w:t>
            </w:r>
          </w:p>
        </w:tc>
        <w:tc>
          <w:tcPr>
            <w:tcW w:w="2130" w:type="dxa"/>
            <w:tcBorders>
              <w:bottom w:val="single" w:sz="6" w:space="0" w:color="000000"/>
              <w:right w:val="single" w:sz="6" w:space="0" w:color="000000"/>
            </w:tcBorders>
            <w:vAlign w:val="center"/>
          </w:tcPr>
          <w:p w14:paraId="351931D9" w14:textId="77777777" w:rsidR="00D93EBC" w:rsidRPr="00C03A15" w:rsidRDefault="00D93EBC" w:rsidP="00D93EBC">
            <w:pPr>
              <w:pStyle w:val="ParagraphStyle6"/>
              <w:rPr>
                <w:rStyle w:val="CharacterStyle6"/>
                <w:b w:val="0"/>
              </w:rPr>
            </w:pPr>
            <w:r w:rsidRPr="00C03A15">
              <w:rPr>
                <w:rStyle w:val="CharacterStyle6"/>
                <w:b w:val="0"/>
              </w:rPr>
              <w:t>26.550,00</w:t>
            </w:r>
          </w:p>
        </w:tc>
        <w:tc>
          <w:tcPr>
            <w:tcW w:w="2115" w:type="dxa"/>
            <w:tcBorders>
              <w:bottom w:val="single" w:sz="6" w:space="0" w:color="000000"/>
              <w:right w:val="single" w:sz="6" w:space="0" w:color="000000"/>
            </w:tcBorders>
            <w:vAlign w:val="center"/>
          </w:tcPr>
          <w:p w14:paraId="229A248F" w14:textId="77777777" w:rsidR="00D93EBC" w:rsidRPr="00D93EBC" w:rsidRDefault="00D93EBC" w:rsidP="00D93EBC">
            <w:pPr>
              <w:pStyle w:val="ParagraphStyle6"/>
              <w:rPr>
                <w:rStyle w:val="CharacterStyle6"/>
                <w:b w:val="0"/>
              </w:rPr>
            </w:pPr>
            <w:r w:rsidRPr="00D93EBC">
              <w:rPr>
                <w:rStyle w:val="CharacterStyle6"/>
                <w:b w:val="0"/>
              </w:rPr>
              <w:t>26.550,00</w:t>
            </w:r>
          </w:p>
        </w:tc>
        <w:tc>
          <w:tcPr>
            <w:tcW w:w="2130" w:type="dxa"/>
            <w:tcBorders>
              <w:bottom w:val="single" w:sz="6" w:space="0" w:color="000000"/>
              <w:right w:val="single" w:sz="6" w:space="0" w:color="000000"/>
            </w:tcBorders>
            <w:vAlign w:val="center"/>
          </w:tcPr>
          <w:p w14:paraId="0E793A73" w14:textId="77777777" w:rsidR="00D93EBC" w:rsidRPr="00D93EBC" w:rsidRDefault="00D93EBC" w:rsidP="00D93EBC">
            <w:pPr>
              <w:pStyle w:val="ParagraphStyle6"/>
              <w:rPr>
                <w:rStyle w:val="CharacterStyle6"/>
                <w:b w:val="0"/>
              </w:rPr>
            </w:pPr>
            <w:r w:rsidRPr="00D93EBC">
              <w:rPr>
                <w:rStyle w:val="CharacterStyle6"/>
                <w:b w:val="0"/>
              </w:rPr>
              <w:t>73.550,00</w:t>
            </w:r>
          </w:p>
        </w:tc>
        <w:tc>
          <w:tcPr>
            <w:tcW w:w="2145" w:type="dxa"/>
            <w:tcBorders>
              <w:bottom w:val="single" w:sz="6" w:space="0" w:color="000000"/>
              <w:right w:val="single" w:sz="6" w:space="0" w:color="000000"/>
            </w:tcBorders>
            <w:vAlign w:val="center"/>
          </w:tcPr>
          <w:p w14:paraId="5BC3FF9A" w14:textId="77777777" w:rsidR="00D93EBC" w:rsidRPr="00D93EBC" w:rsidRDefault="00D93EBC" w:rsidP="00D93EBC">
            <w:pPr>
              <w:pStyle w:val="ParagraphStyle6"/>
              <w:rPr>
                <w:rStyle w:val="CharacterStyle6"/>
                <w:b w:val="0"/>
              </w:rPr>
            </w:pPr>
            <w:r w:rsidRPr="00D93EBC">
              <w:rPr>
                <w:rStyle w:val="CharacterStyle6"/>
                <w:b w:val="0"/>
              </w:rPr>
              <w:t>289.000,00</w:t>
            </w:r>
          </w:p>
        </w:tc>
      </w:tr>
      <w:tr w:rsidR="00D93EBC" w14:paraId="3BFBA6C0" w14:textId="77777777" w:rsidTr="00C03A15">
        <w:trPr>
          <w:trHeight w:val="360"/>
        </w:trPr>
        <w:tc>
          <w:tcPr>
            <w:tcW w:w="4200" w:type="dxa"/>
            <w:tcBorders>
              <w:left w:val="single" w:sz="6" w:space="0" w:color="000000"/>
              <w:bottom w:val="single" w:sz="6" w:space="0" w:color="000000"/>
              <w:right w:val="single" w:sz="6" w:space="0" w:color="000000"/>
            </w:tcBorders>
            <w:vAlign w:val="center"/>
          </w:tcPr>
          <w:p w14:paraId="52186C50" w14:textId="77777777" w:rsidR="00D93EBC" w:rsidRPr="00C03A15" w:rsidRDefault="00D93EBC" w:rsidP="00D93EBC">
            <w:pPr>
              <w:pStyle w:val="ParagraphStyle5"/>
              <w:rPr>
                <w:rStyle w:val="CharacterStyle5"/>
                <w:b w:val="0"/>
              </w:rPr>
            </w:pPr>
            <w:r w:rsidRPr="00C03A15">
              <w:rPr>
                <w:rStyle w:val="CharacterStyle5"/>
                <w:b w:val="0"/>
              </w:rPr>
              <w:t>062 Razvoj zajednice</w:t>
            </w:r>
          </w:p>
        </w:tc>
        <w:tc>
          <w:tcPr>
            <w:tcW w:w="2130" w:type="dxa"/>
            <w:tcBorders>
              <w:bottom w:val="single" w:sz="6" w:space="0" w:color="000000"/>
              <w:right w:val="single" w:sz="6" w:space="0" w:color="000000"/>
            </w:tcBorders>
            <w:vAlign w:val="center"/>
          </w:tcPr>
          <w:p w14:paraId="0E00256A" w14:textId="77777777" w:rsidR="00D93EBC" w:rsidRPr="00C03A15" w:rsidRDefault="00D93EBC" w:rsidP="00D93EBC">
            <w:pPr>
              <w:pStyle w:val="ParagraphStyle6"/>
              <w:rPr>
                <w:rStyle w:val="CharacterStyle6"/>
                <w:b w:val="0"/>
              </w:rPr>
            </w:pPr>
            <w:r w:rsidRPr="00C03A15">
              <w:rPr>
                <w:rStyle w:val="CharacterStyle6"/>
                <w:b w:val="0"/>
              </w:rPr>
              <w:t>5.802.266,51</w:t>
            </w:r>
          </w:p>
        </w:tc>
        <w:tc>
          <w:tcPr>
            <w:tcW w:w="2130" w:type="dxa"/>
            <w:tcBorders>
              <w:bottom w:val="single" w:sz="6" w:space="0" w:color="000000"/>
              <w:right w:val="single" w:sz="6" w:space="0" w:color="000000"/>
            </w:tcBorders>
            <w:vAlign w:val="center"/>
          </w:tcPr>
          <w:p w14:paraId="36A7F9A6" w14:textId="77777777" w:rsidR="00D93EBC" w:rsidRPr="00C03A15" w:rsidRDefault="00D93EBC" w:rsidP="00D93EBC">
            <w:pPr>
              <w:pStyle w:val="ParagraphStyle6"/>
              <w:rPr>
                <w:rStyle w:val="CharacterStyle6"/>
                <w:b w:val="0"/>
              </w:rPr>
            </w:pPr>
            <w:r w:rsidRPr="00C03A15">
              <w:rPr>
                <w:rStyle w:val="CharacterStyle6"/>
                <w:b w:val="0"/>
              </w:rPr>
              <w:t>12.478.419,00</w:t>
            </w:r>
          </w:p>
        </w:tc>
        <w:tc>
          <w:tcPr>
            <w:tcW w:w="2115" w:type="dxa"/>
            <w:tcBorders>
              <w:bottom w:val="single" w:sz="6" w:space="0" w:color="000000"/>
              <w:right w:val="single" w:sz="6" w:space="0" w:color="000000"/>
            </w:tcBorders>
            <w:vAlign w:val="center"/>
          </w:tcPr>
          <w:p w14:paraId="65211A3D" w14:textId="77777777" w:rsidR="00D93EBC" w:rsidRPr="00D93EBC" w:rsidRDefault="00D93EBC" w:rsidP="00D93EBC">
            <w:pPr>
              <w:pStyle w:val="ParagraphStyle6"/>
              <w:rPr>
                <w:rStyle w:val="CharacterStyle6"/>
                <w:b w:val="0"/>
              </w:rPr>
            </w:pPr>
            <w:r w:rsidRPr="00D93EBC">
              <w:rPr>
                <w:rStyle w:val="CharacterStyle6"/>
                <w:b w:val="0"/>
              </w:rPr>
              <w:t>9.962.515,00</w:t>
            </w:r>
          </w:p>
        </w:tc>
        <w:tc>
          <w:tcPr>
            <w:tcW w:w="2130" w:type="dxa"/>
            <w:tcBorders>
              <w:bottom w:val="single" w:sz="6" w:space="0" w:color="000000"/>
              <w:right w:val="single" w:sz="6" w:space="0" w:color="000000"/>
            </w:tcBorders>
            <w:vAlign w:val="center"/>
          </w:tcPr>
          <w:p w14:paraId="41F87432" w14:textId="77777777" w:rsidR="00D93EBC" w:rsidRPr="00D93EBC" w:rsidRDefault="00D93EBC" w:rsidP="00D93EBC">
            <w:pPr>
              <w:pStyle w:val="ParagraphStyle6"/>
              <w:rPr>
                <w:rStyle w:val="CharacterStyle6"/>
                <w:b w:val="0"/>
              </w:rPr>
            </w:pPr>
            <w:r w:rsidRPr="00D93EBC">
              <w:rPr>
                <w:rStyle w:val="CharacterStyle6"/>
                <w:b w:val="0"/>
              </w:rPr>
              <w:t>6.444.974,00</w:t>
            </w:r>
          </w:p>
        </w:tc>
        <w:tc>
          <w:tcPr>
            <w:tcW w:w="2145" w:type="dxa"/>
            <w:tcBorders>
              <w:bottom w:val="single" w:sz="6" w:space="0" w:color="000000"/>
              <w:right w:val="single" w:sz="6" w:space="0" w:color="000000"/>
            </w:tcBorders>
            <w:vAlign w:val="center"/>
          </w:tcPr>
          <w:p w14:paraId="738E7A6D" w14:textId="77777777" w:rsidR="00D93EBC" w:rsidRPr="00D93EBC" w:rsidRDefault="00D93EBC" w:rsidP="00D93EBC">
            <w:pPr>
              <w:pStyle w:val="ParagraphStyle6"/>
              <w:rPr>
                <w:rStyle w:val="CharacterStyle6"/>
                <w:b w:val="0"/>
              </w:rPr>
            </w:pPr>
            <w:r w:rsidRPr="00D93EBC">
              <w:rPr>
                <w:rStyle w:val="CharacterStyle6"/>
                <w:b w:val="0"/>
              </w:rPr>
              <w:t>5.080.274,00</w:t>
            </w:r>
          </w:p>
        </w:tc>
      </w:tr>
      <w:tr w:rsidR="00D93EBC" w14:paraId="0A167F75" w14:textId="77777777" w:rsidTr="00C03A15">
        <w:trPr>
          <w:trHeight w:val="360"/>
        </w:trPr>
        <w:tc>
          <w:tcPr>
            <w:tcW w:w="4200" w:type="dxa"/>
            <w:tcBorders>
              <w:left w:val="single" w:sz="6" w:space="0" w:color="000000"/>
              <w:bottom w:val="single" w:sz="6" w:space="0" w:color="000000"/>
              <w:right w:val="single" w:sz="6" w:space="0" w:color="000000"/>
            </w:tcBorders>
            <w:vAlign w:val="center"/>
          </w:tcPr>
          <w:p w14:paraId="4038F708" w14:textId="77777777" w:rsidR="00D93EBC" w:rsidRPr="00C03A15" w:rsidRDefault="00D93EBC" w:rsidP="00D93EBC">
            <w:pPr>
              <w:pStyle w:val="ParagraphStyle5"/>
              <w:rPr>
                <w:rStyle w:val="CharacterStyle5"/>
                <w:b w:val="0"/>
              </w:rPr>
            </w:pPr>
            <w:r w:rsidRPr="00C03A15">
              <w:rPr>
                <w:rStyle w:val="CharacterStyle5"/>
                <w:b w:val="0"/>
              </w:rPr>
              <w:lastRenderedPageBreak/>
              <w:t>063 Opskrba vodom</w:t>
            </w:r>
          </w:p>
        </w:tc>
        <w:tc>
          <w:tcPr>
            <w:tcW w:w="2130" w:type="dxa"/>
            <w:tcBorders>
              <w:bottom w:val="single" w:sz="6" w:space="0" w:color="000000"/>
              <w:right w:val="single" w:sz="6" w:space="0" w:color="000000"/>
            </w:tcBorders>
            <w:vAlign w:val="center"/>
          </w:tcPr>
          <w:p w14:paraId="6469BB3B" w14:textId="77777777" w:rsidR="00D93EBC" w:rsidRPr="00C03A15" w:rsidRDefault="00D93EBC" w:rsidP="00D93EBC">
            <w:pPr>
              <w:pStyle w:val="ParagraphStyle6"/>
              <w:rPr>
                <w:rStyle w:val="CharacterStyle6"/>
                <w:b w:val="0"/>
              </w:rPr>
            </w:pPr>
            <w:r w:rsidRPr="00C03A15">
              <w:rPr>
                <w:rStyle w:val="CharacterStyle6"/>
                <w:b w:val="0"/>
              </w:rPr>
              <w:t>7.806,10</w:t>
            </w:r>
          </w:p>
        </w:tc>
        <w:tc>
          <w:tcPr>
            <w:tcW w:w="2130" w:type="dxa"/>
            <w:tcBorders>
              <w:bottom w:val="single" w:sz="6" w:space="0" w:color="000000"/>
              <w:right w:val="single" w:sz="6" w:space="0" w:color="000000"/>
            </w:tcBorders>
            <w:vAlign w:val="center"/>
          </w:tcPr>
          <w:p w14:paraId="4740B1A8" w14:textId="77777777" w:rsidR="00D93EBC" w:rsidRPr="00C03A15" w:rsidRDefault="00D93EBC" w:rsidP="00D93EBC">
            <w:pPr>
              <w:pStyle w:val="ParagraphStyle6"/>
              <w:rPr>
                <w:rStyle w:val="CharacterStyle6"/>
                <w:b w:val="0"/>
              </w:rPr>
            </w:pPr>
            <w:r w:rsidRPr="00C03A15">
              <w:rPr>
                <w:rStyle w:val="CharacterStyle6"/>
                <w:b w:val="0"/>
              </w:rPr>
              <w:t>10.500,00</w:t>
            </w:r>
          </w:p>
        </w:tc>
        <w:tc>
          <w:tcPr>
            <w:tcW w:w="2115" w:type="dxa"/>
            <w:tcBorders>
              <w:bottom w:val="single" w:sz="6" w:space="0" w:color="000000"/>
              <w:right w:val="single" w:sz="6" w:space="0" w:color="000000"/>
            </w:tcBorders>
            <w:vAlign w:val="center"/>
          </w:tcPr>
          <w:p w14:paraId="17EC511A" w14:textId="77777777" w:rsidR="00D93EBC" w:rsidRPr="00D93EBC" w:rsidRDefault="00D93EBC" w:rsidP="00D93EBC">
            <w:pPr>
              <w:pStyle w:val="ParagraphStyle6"/>
              <w:rPr>
                <w:rStyle w:val="CharacterStyle6"/>
                <w:b w:val="0"/>
              </w:rPr>
            </w:pPr>
            <w:r w:rsidRPr="00D93EBC">
              <w:rPr>
                <w:rStyle w:val="CharacterStyle6"/>
                <w:b w:val="0"/>
              </w:rPr>
              <w:t>12.000,00</w:t>
            </w:r>
          </w:p>
        </w:tc>
        <w:tc>
          <w:tcPr>
            <w:tcW w:w="2130" w:type="dxa"/>
            <w:tcBorders>
              <w:bottom w:val="single" w:sz="6" w:space="0" w:color="000000"/>
              <w:right w:val="single" w:sz="6" w:space="0" w:color="000000"/>
            </w:tcBorders>
            <w:vAlign w:val="center"/>
          </w:tcPr>
          <w:p w14:paraId="5FF00878" w14:textId="77777777" w:rsidR="00D93EBC" w:rsidRPr="00D93EBC" w:rsidRDefault="00D93EBC" w:rsidP="00D93EBC">
            <w:pPr>
              <w:pStyle w:val="ParagraphStyle6"/>
              <w:rPr>
                <w:rStyle w:val="CharacterStyle6"/>
                <w:b w:val="0"/>
              </w:rPr>
            </w:pPr>
            <w:r w:rsidRPr="00D93EBC">
              <w:rPr>
                <w:rStyle w:val="CharacterStyle6"/>
                <w:b w:val="0"/>
              </w:rPr>
              <w:t>12.000,00</w:t>
            </w:r>
          </w:p>
        </w:tc>
        <w:tc>
          <w:tcPr>
            <w:tcW w:w="2145" w:type="dxa"/>
            <w:tcBorders>
              <w:bottom w:val="single" w:sz="6" w:space="0" w:color="000000"/>
              <w:right w:val="single" w:sz="6" w:space="0" w:color="000000"/>
            </w:tcBorders>
            <w:vAlign w:val="center"/>
          </w:tcPr>
          <w:p w14:paraId="1681BC03" w14:textId="77777777" w:rsidR="00D93EBC" w:rsidRPr="00D93EBC" w:rsidRDefault="00D93EBC" w:rsidP="00D93EBC">
            <w:pPr>
              <w:pStyle w:val="ParagraphStyle6"/>
              <w:rPr>
                <w:rStyle w:val="CharacterStyle6"/>
                <w:b w:val="0"/>
              </w:rPr>
            </w:pPr>
            <w:r w:rsidRPr="00D93EBC">
              <w:rPr>
                <w:rStyle w:val="CharacterStyle6"/>
                <w:b w:val="0"/>
              </w:rPr>
              <w:t>12.000,00</w:t>
            </w:r>
          </w:p>
        </w:tc>
      </w:tr>
      <w:tr w:rsidR="00D93EBC" w14:paraId="0E9C9D64" w14:textId="77777777" w:rsidTr="00C03A15">
        <w:trPr>
          <w:trHeight w:val="360"/>
        </w:trPr>
        <w:tc>
          <w:tcPr>
            <w:tcW w:w="4200" w:type="dxa"/>
            <w:tcBorders>
              <w:left w:val="single" w:sz="6" w:space="0" w:color="000000"/>
              <w:bottom w:val="single" w:sz="6" w:space="0" w:color="000000"/>
              <w:right w:val="single" w:sz="6" w:space="0" w:color="000000"/>
            </w:tcBorders>
            <w:vAlign w:val="center"/>
          </w:tcPr>
          <w:p w14:paraId="1C24601B" w14:textId="77777777" w:rsidR="00D93EBC" w:rsidRPr="00C03A15" w:rsidRDefault="00D93EBC" w:rsidP="00D93EBC">
            <w:pPr>
              <w:pStyle w:val="ParagraphStyle5"/>
              <w:rPr>
                <w:rStyle w:val="CharacterStyle5"/>
                <w:b w:val="0"/>
              </w:rPr>
            </w:pPr>
            <w:r w:rsidRPr="00C03A15">
              <w:rPr>
                <w:rStyle w:val="CharacterStyle5"/>
                <w:b w:val="0"/>
              </w:rPr>
              <w:t>064 Ulična rasvjeta</w:t>
            </w:r>
          </w:p>
        </w:tc>
        <w:tc>
          <w:tcPr>
            <w:tcW w:w="2130" w:type="dxa"/>
            <w:tcBorders>
              <w:bottom w:val="single" w:sz="6" w:space="0" w:color="000000"/>
              <w:right w:val="single" w:sz="6" w:space="0" w:color="000000"/>
            </w:tcBorders>
            <w:vAlign w:val="center"/>
          </w:tcPr>
          <w:p w14:paraId="3A87B2EB" w14:textId="77777777" w:rsidR="00D93EBC" w:rsidRPr="00C03A15" w:rsidRDefault="00D93EBC" w:rsidP="00D93EBC">
            <w:pPr>
              <w:pStyle w:val="ParagraphStyle6"/>
              <w:rPr>
                <w:rStyle w:val="CharacterStyle6"/>
                <w:b w:val="0"/>
              </w:rPr>
            </w:pPr>
            <w:r w:rsidRPr="00C03A15">
              <w:rPr>
                <w:rStyle w:val="CharacterStyle6"/>
                <w:b w:val="0"/>
              </w:rPr>
              <w:t>340.398,82</w:t>
            </w:r>
          </w:p>
        </w:tc>
        <w:tc>
          <w:tcPr>
            <w:tcW w:w="2130" w:type="dxa"/>
            <w:tcBorders>
              <w:bottom w:val="single" w:sz="6" w:space="0" w:color="000000"/>
              <w:right w:val="single" w:sz="6" w:space="0" w:color="000000"/>
            </w:tcBorders>
            <w:vAlign w:val="center"/>
          </w:tcPr>
          <w:p w14:paraId="02E7A350" w14:textId="77777777" w:rsidR="00D93EBC" w:rsidRPr="00C03A15" w:rsidRDefault="00D93EBC" w:rsidP="00D93EBC">
            <w:pPr>
              <w:pStyle w:val="ParagraphStyle6"/>
              <w:rPr>
                <w:rStyle w:val="CharacterStyle6"/>
                <w:b w:val="0"/>
              </w:rPr>
            </w:pPr>
            <w:r w:rsidRPr="00C03A15">
              <w:rPr>
                <w:rStyle w:val="CharacterStyle6"/>
                <w:b w:val="0"/>
              </w:rPr>
              <w:t>414.065,00</w:t>
            </w:r>
          </w:p>
        </w:tc>
        <w:tc>
          <w:tcPr>
            <w:tcW w:w="2115" w:type="dxa"/>
            <w:tcBorders>
              <w:bottom w:val="single" w:sz="6" w:space="0" w:color="000000"/>
              <w:right w:val="single" w:sz="6" w:space="0" w:color="000000"/>
            </w:tcBorders>
            <w:vAlign w:val="center"/>
          </w:tcPr>
          <w:p w14:paraId="0B70E18C" w14:textId="77777777" w:rsidR="00D93EBC" w:rsidRPr="00D93EBC" w:rsidRDefault="00D93EBC" w:rsidP="00D93EBC">
            <w:pPr>
              <w:pStyle w:val="ParagraphStyle6"/>
              <w:rPr>
                <w:rStyle w:val="CharacterStyle6"/>
                <w:b w:val="0"/>
              </w:rPr>
            </w:pPr>
            <w:r w:rsidRPr="00D93EBC">
              <w:rPr>
                <w:rStyle w:val="CharacterStyle6"/>
                <w:b w:val="0"/>
              </w:rPr>
              <w:t>435.800,00</w:t>
            </w:r>
          </w:p>
        </w:tc>
        <w:tc>
          <w:tcPr>
            <w:tcW w:w="2130" w:type="dxa"/>
            <w:tcBorders>
              <w:bottom w:val="single" w:sz="6" w:space="0" w:color="000000"/>
              <w:right w:val="single" w:sz="6" w:space="0" w:color="000000"/>
            </w:tcBorders>
            <w:vAlign w:val="center"/>
          </w:tcPr>
          <w:p w14:paraId="04897528" w14:textId="77777777" w:rsidR="00D93EBC" w:rsidRPr="00D93EBC" w:rsidRDefault="00D93EBC" w:rsidP="00D93EBC">
            <w:pPr>
              <w:pStyle w:val="ParagraphStyle6"/>
              <w:rPr>
                <w:rStyle w:val="CharacterStyle6"/>
                <w:b w:val="0"/>
              </w:rPr>
            </w:pPr>
            <w:r w:rsidRPr="00D93EBC">
              <w:rPr>
                <w:rStyle w:val="CharacterStyle6"/>
                <w:b w:val="0"/>
              </w:rPr>
              <w:t>435.800,00</w:t>
            </w:r>
          </w:p>
        </w:tc>
        <w:tc>
          <w:tcPr>
            <w:tcW w:w="2145" w:type="dxa"/>
            <w:tcBorders>
              <w:bottom w:val="single" w:sz="6" w:space="0" w:color="000000"/>
              <w:right w:val="single" w:sz="6" w:space="0" w:color="000000"/>
            </w:tcBorders>
            <w:vAlign w:val="center"/>
          </w:tcPr>
          <w:p w14:paraId="286039F8" w14:textId="77777777" w:rsidR="00D93EBC" w:rsidRPr="00D93EBC" w:rsidRDefault="00D93EBC" w:rsidP="00D93EBC">
            <w:pPr>
              <w:pStyle w:val="ParagraphStyle6"/>
              <w:rPr>
                <w:rStyle w:val="CharacterStyle6"/>
                <w:b w:val="0"/>
              </w:rPr>
            </w:pPr>
            <w:r w:rsidRPr="00D93EBC">
              <w:rPr>
                <w:rStyle w:val="CharacterStyle6"/>
                <w:b w:val="0"/>
              </w:rPr>
              <w:t>435.800,00</w:t>
            </w:r>
          </w:p>
        </w:tc>
      </w:tr>
      <w:tr w:rsidR="00D93EBC" w14:paraId="59E9D2F4" w14:textId="77777777" w:rsidTr="00C03A15">
        <w:trPr>
          <w:trHeight w:val="420"/>
        </w:trPr>
        <w:tc>
          <w:tcPr>
            <w:tcW w:w="4200" w:type="dxa"/>
            <w:tcBorders>
              <w:left w:val="single" w:sz="6" w:space="0" w:color="000000"/>
              <w:bottom w:val="single" w:sz="6" w:space="0" w:color="000000"/>
              <w:right w:val="single" w:sz="6" w:space="0" w:color="000000"/>
            </w:tcBorders>
            <w:vAlign w:val="center"/>
          </w:tcPr>
          <w:p w14:paraId="294EBE0D" w14:textId="77777777" w:rsidR="00D93EBC" w:rsidRPr="00C03A15" w:rsidRDefault="00D93EBC" w:rsidP="00D93EBC">
            <w:pPr>
              <w:pStyle w:val="ParagraphStyle5"/>
              <w:rPr>
                <w:rStyle w:val="CharacterStyle5"/>
                <w:b w:val="0"/>
              </w:rPr>
            </w:pPr>
            <w:r w:rsidRPr="00C03A15">
              <w:rPr>
                <w:rStyle w:val="CharacterStyle5"/>
                <w:b w:val="0"/>
              </w:rPr>
              <w:t>066 Rashodi vezani za stanovanje i kom. pogodnosti koji nisu drugdje svrstani</w:t>
            </w:r>
          </w:p>
        </w:tc>
        <w:tc>
          <w:tcPr>
            <w:tcW w:w="2130" w:type="dxa"/>
            <w:tcBorders>
              <w:bottom w:val="single" w:sz="6" w:space="0" w:color="000000"/>
              <w:right w:val="single" w:sz="6" w:space="0" w:color="000000"/>
            </w:tcBorders>
            <w:vAlign w:val="center"/>
          </w:tcPr>
          <w:p w14:paraId="4CDDBF74" w14:textId="77777777" w:rsidR="00D93EBC" w:rsidRPr="00C03A15" w:rsidRDefault="00D93EBC" w:rsidP="00D93EBC">
            <w:pPr>
              <w:pStyle w:val="ParagraphStyle6"/>
              <w:rPr>
                <w:rStyle w:val="CharacterStyle6"/>
                <w:b w:val="0"/>
              </w:rPr>
            </w:pPr>
            <w:r w:rsidRPr="00C03A15">
              <w:rPr>
                <w:rStyle w:val="CharacterStyle6"/>
                <w:b w:val="0"/>
              </w:rPr>
              <w:t>564.289,26</w:t>
            </w:r>
          </w:p>
        </w:tc>
        <w:tc>
          <w:tcPr>
            <w:tcW w:w="2130" w:type="dxa"/>
            <w:tcBorders>
              <w:bottom w:val="single" w:sz="6" w:space="0" w:color="000000"/>
              <w:right w:val="single" w:sz="6" w:space="0" w:color="000000"/>
            </w:tcBorders>
            <w:vAlign w:val="center"/>
          </w:tcPr>
          <w:p w14:paraId="7206B0F6" w14:textId="77777777" w:rsidR="00D93EBC" w:rsidRPr="00C03A15" w:rsidRDefault="00D93EBC" w:rsidP="00D93EBC">
            <w:pPr>
              <w:pStyle w:val="ParagraphStyle6"/>
              <w:rPr>
                <w:rStyle w:val="CharacterStyle6"/>
                <w:b w:val="0"/>
              </w:rPr>
            </w:pPr>
            <w:r w:rsidRPr="00C03A15">
              <w:rPr>
                <w:rStyle w:val="CharacterStyle6"/>
                <w:b w:val="0"/>
              </w:rPr>
              <w:t>742.649,50</w:t>
            </w:r>
          </w:p>
        </w:tc>
        <w:tc>
          <w:tcPr>
            <w:tcW w:w="2115" w:type="dxa"/>
            <w:tcBorders>
              <w:bottom w:val="single" w:sz="6" w:space="0" w:color="000000"/>
              <w:right w:val="single" w:sz="6" w:space="0" w:color="000000"/>
            </w:tcBorders>
            <w:vAlign w:val="center"/>
          </w:tcPr>
          <w:p w14:paraId="05BFB5D2" w14:textId="77777777" w:rsidR="00D93EBC" w:rsidRPr="00D93EBC" w:rsidRDefault="00D93EBC" w:rsidP="00D93EBC">
            <w:pPr>
              <w:pStyle w:val="ParagraphStyle6"/>
              <w:rPr>
                <w:rStyle w:val="CharacterStyle6"/>
                <w:b w:val="0"/>
              </w:rPr>
            </w:pPr>
            <w:r w:rsidRPr="00D93EBC">
              <w:rPr>
                <w:rStyle w:val="CharacterStyle6"/>
                <w:b w:val="0"/>
              </w:rPr>
              <w:t>762.500,00</w:t>
            </w:r>
          </w:p>
        </w:tc>
        <w:tc>
          <w:tcPr>
            <w:tcW w:w="2130" w:type="dxa"/>
            <w:tcBorders>
              <w:bottom w:val="single" w:sz="6" w:space="0" w:color="000000"/>
              <w:right w:val="single" w:sz="6" w:space="0" w:color="000000"/>
            </w:tcBorders>
            <w:vAlign w:val="center"/>
          </w:tcPr>
          <w:p w14:paraId="26AEF4DC" w14:textId="77777777" w:rsidR="00D93EBC" w:rsidRPr="00D93EBC" w:rsidRDefault="00D93EBC" w:rsidP="00D93EBC">
            <w:pPr>
              <w:pStyle w:val="ParagraphStyle6"/>
              <w:rPr>
                <w:rStyle w:val="CharacterStyle6"/>
                <w:b w:val="0"/>
              </w:rPr>
            </w:pPr>
            <w:r w:rsidRPr="00D93EBC">
              <w:rPr>
                <w:rStyle w:val="CharacterStyle6"/>
                <w:b w:val="0"/>
              </w:rPr>
              <w:t>753.350,00</w:t>
            </w:r>
          </w:p>
        </w:tc>
        <w:tc>
          <w:tcPr>
            <w:tcW w:w="2145" w:type="dxa"/>
            <w:tcBorders>
              <w:bottom w:val="single" w:sz="6" w:space="0" w:color="000000"/>
              <w:right w:val="single" w:sz="6" w:space="0" w:color="000000"/>
            </w:tcBorders>
            <w:vAlign w:val="center"/>
          </w:tcPr>
          <w:p w14:paraId="20F45EE9" w14:textId="77777777" w:rsidR="00D93EBC" w:rsidRPr="00D93EBC" w:rsidRDefault="00D93EBC" w:rsidP="00D93EBC">
            <w:pPr>
              <w:pStyle w:val="ParagraphStyle6"/>
              <w:rPr>
                <w:rStyle w:val="CharacterStyle6"/>
                <w:b w:val="0"/>
              </w:rPr>
            </w:pPr>
            <w:r w:rsidRPr="00D93EBC">
              <w:rPr>
                <w:rStyle w:val="CharacterStyle6"/>
                <w:b w:val="0"/>
              </w:rPr>
              <w:t>763.350,00</w:t>
            </w:r>
          </w:p>
        </w:tc>
      </w:tr>
      <w:tr w:rsidR="00D93EBC" w14:paraId="78E36B17" w14:textId="77777777" w:rsidTr="00C03A15">
        <w:trPr>
          <w:trHeight w:val="360"/>
        </w:trPr>
        <w:tc>
          <w:tcPr>
            <w:tcW w:w="4200" w:type="dxa"/>
            <w:tcBorders>
              <w:left w:val="single" w:sz="6" w:space="0" w:color="000000"/>
              <w:bottom w:val="single" w:sz="6" w:space="0" w:color="000000"/>
              <w:right w:val="single" w:sz="6" w:space="0" w:color="000000"/>
            </w:tcBorders>
            <w:vAlign w:val="center"/>
          </w:tcPr>
          <w:p w14:paraId="7A4ED153" w14:textId="77777777" w:rsidR="00D93EBC" w:rsidRPr="00EE3A4E" w:rsidRDefault="00D93EBC" w:rsidP="00D93EBC">
            <w:pPr>
              <w:pStyle w:val="ParagraphStyle3"/>
              <w:jc w:val="left"/>
              <w:rPr>
                <w:rStyle w:val="CharacterStyle3"/>
              </w:rPr>
            </w:pPr>
            <w:r w:rsidRPr="00EE3A4E">
              <w:rPr>
                <w:rStyle w:val="CharacterStyle3"/>
              </w:rPr>
              <w:t>07 Zdravstvo</w:t>
            </w:r>
          </w:p>
        </w:tc>
        <w:tc>
          <w:tcPr>
            <w:tcW w:w="2130" w:type="dxa"/>
            <w:tcBorders>
              <w:bottom w:val="single" w:sz="6" w:space="0" w:color="000000"/>
              <w:right w:val="single" w:sz="6" w:space="0" w:color="000000"/>
            </w:tcBorders>
            <w:vAlign w:val="center"/>
          </w:tcPr>
          <w:p w14:paraId="3CC15291" w14:textId="77777777" w:rsidR="00D93EBC" w:rsidRPr="00EE3A4E" w:rsidRDefault="00D93EBC" w:rsidP="00D93EBC">
            <w:pPr>
              <w:pStyle w:val="ParagraphStyle4"/>
              <w:jc w:val="right"/>
              <w:rPr>
                <w:rStyle w:val="CharacterStyle4"/>
              </w:rPr>
            </w:pPr>
            <w:r w:rsidRPr="00EE3A4E">
              <w:rPr>
                <w:rStyle w:val="CharacterStyle4"/>
              </w:rPr>
              <w:t>432.038,30</w:t>
            </w:r>
          </w:p>
        </w:tc>
        <w:tc>
          <w:tcPr>
            <w:tcW w:w="2130" w:type="dxa"/>
            <w:tcBorders>
              <w:bottom w:val="single" w:sz="6" w:space="0" w:color="000000"/>
              <w:right w:val="single" w:sz="6" w:space="0" w:color="000000"/>
            </w:tcBorders>
            <w:vAlign w:val="center"/>
          </w:tcPr>
          <w:p w14:paraId="5F89506D" w14:textId="77777777" w:rsidR="00D93EBC" w:rsidRPr="00EE3A4E" w:rsidRDefault="00D93EBC" w:rsidP="00D93EBC">
            <w:pPr>
              <w:pStyle w:val="ParagraphStyle4"/>
              <w:jc w:val="right"/>
              <w:rPr>
                <w:rStyle w:val="CharacterStyle4"/>
              </w:rPr>
            </w:pPr>
            <w:r w:rsidRPr="00EE3A4E">
              <w:rPr>
                <w:rStyle w:val="CharacterStyle4"/>
              </w:rPr>
              <w:t>502.378,00</w:t>
            </w:r>
          </w:p>
        </w:tc>
        <w:tc>
          <w:tcPr>
            <w:tcW w:w="2115" w:type="dxa"/>
            <w:tcBorders>
              <w:bottom w:val="single" w:sz="6" w:space="0" w:color="000000"/>
              <w:right w:val="single" w:sz="6" w:space="0" w:color="000000"/>
            </w:tcBorders>
            <w:vAlign w:val="center"/>
          </w:tcPr>
          <w:p w14:paraId="31DF57F0" w14:textId="77777777" w:rsidR="00D93EBC" w:rsidRDefault="00D93EBC" w:rsidP="00D93EBC">
            <w:pPr>
              <w:pStyle w:val="ParagraphStyle4"/>
              <w:jc w:val="right"/>
              <w:rPr>
                <w:rStyle w:val="CharacterStyle4"/>
              </w:rPr>
            </w:pPr>
            <w:r>
              <w:rPr>
                <w:rStyle w:val="CharacterStyle4"/>
              </w:rPr>
              <w:t>517.828,00</w:t>
            </w:r>
          </w:p>
        </w:tc>
        <w:tc>
          <w:tcPr>
            <w:tcW w:w="2130" w:type="dxa"/>
            <w:tcBorders>
              <w:bottom w:val="single" w:sz="6" w:space="0" w:color="000000"/>
              <w:right w:val="single" w:sz="6" w:space="0" w:color="000000"/>
            </w:tcBorders>
            <w:vAlign w:val="center"/>
          </w:tcPr>
          <w:p w14:paraId="603D7311" w14:textId="77777777" w:rsidR="00D93EBC" w:rsidRDefault="00D93EBC" w:rsidP="00D93EBC">
            <w:pPr>
              <w:pStyle w:val="ParagraphStyle4"/>
              <w:jc w:val="right"/>
              <w:rPr>
                <w:rStyle w:val="CharacterStyle4"/>
              </w:rPr>
            </w:pPr>
            <w:r>
              <w:rPr>
                <w:rStyle w:val="CharacterStyle4"/>
              </w:rPr>
              <w:t>499.468,00</w:t>
            </w:r>
          </w:p>
        </w:tc>
        <w:tc>
          <w:tcPr>
            <w:tcW w:w="2145" w:type="dxa"/>
            <w:tcBorders>
              <w:bottom w:val="single" w:sz="6" w:space="0" w:color="000000"/>
              <w:right w:val="single" w:sz="6" w:space="0" w:color="000000"/>
            </w:tcBorders>
            <w:vAlign w:val="center"/>
          </w:tcPr>
          <w:p w14:paraId="30744E0F" w14:textId="77777777" w:rsidR="00D93EBC" w:rsidRDefault="00D93EBC" w:rsidP="00D93EBC">
            <w:pPr>
              <w:pStyle w:val="ParagraphStyle4"/>
              <w:jc w:val="right"/>
              <w:rPr>
                <w:rStyle w:val="CharacterStyle4"/>
              </w:rPr>
            </w:pPr>
            <w:r>
              <w:rPr>
                <w:rStyle w:val="CharacterStyle4"/>
              </w:rPr>
              <w:t>499.692,00</w:t>
            </w:r>
          </w:p>
        </w:tc>
      </w:tr>
      <w:tr w:rsidR="00D93EBC" w14:paraId="184ED6AC" w14:textId="77777777" w:rsidTr="00C03A15">
        <w:trPr>
          <w:trHeight w:val="360"/>
        </w:trPr>
        <w:tc>
          <w:tcPr>
            <w:tcW w:w="4200" w:type="dxa"/>
            <w:tcBorders>
              <w:left w:val="single" w:sz="6" w:space="0" w:color="000000"/>
              <w:bottom w:val="single" w:sz="6" w:space="0" w:color="000000"/>
              <w:right w:val="single" w:sz="6" w:space="0" w:color="000000"/>
            </w:tcBorders>
            <w:vAlign w:val="center"/>
          </w:tcPr>
          <w:p w14:paraId="479042CC" w14:textId="77777777" w:rsidR="00D93EBC" w:rsidRPr="00C03A15" w:rsidRDefault="00D93EBC" w:rsidP="00D93EBC">
            <w:pPr>
              <w:pStyle w:val="ParagraphStyle5"/>
              <w:rPr>
                <w:rStyle w:val="CharacterStyle5"/>
                <w:b w:val="0"/>
              </w:rPr>
            </w:pPr>
            <w:r w:rsidRPr="00C03A15">
              <w:rPr>
                <w:rStyle w:val="CharacterStyle5"/>
                <w:b w:val="0"/>
              </w:rPr>
              <w:t>076 Poslovi i usluge zdravstva koji nisu drugdje svrstani</w:t>
            </w:r>
          </w:p>
        </w:tc>
        <w:tc>
          <w:tcPr>
            <w:tcW w:w="2130" w:type="dxa"/>
            <w:tcBorders>
              <w:bottom w:val="single" w:sz="6" w:space="0" w:color="000000"/>
              <w:right w:val="single" w:sz="6" w:space="0" w:color="000000"/>
            </w:tcBorders>
            <w:vAlign w:val="center"/>
          </w:tcPr>
          <w:p w14:paraId="045F6641" w14:textId="77777777" w:rsidR="00D93EBC" w:rsidRPr="00C03A15" w:rsidRDefault="00D93EBC" w:rsidP="00D93EBC">
            <w:pPr>
              <w:pStyle w:val="ParagraphStyle6"/>
              <w:rPr>
                <w:rStyle w:val="CharacterStyle6"/>
                <w:b w:val="0"/>
              </w:rPr>
            </w:pPr>
            <w:r w:rsidRPr="00C03A15">
              <w:rPr>
                <w:rStyle w:val="CharacterStyle6"/>
                <w:b w:val="0"/>
              </w:rPr>
              <w:t>432.038,30</w:t>
            </w:r>
          </w:p>
        </w:tc>
        <w:tc>
          <w:tcPr>
            <w:tcW w:w="2130" w:type="dxa"/>
            <w:tcBorders>
              <w:bottom w:val="single" w:sz="6" w:space="0" w:color="000000"/>
              <w:right w:val="single" w:sz="6" w:space="0" w:color="000000"/>
            </w:tcBorders>
            <w:vAlign w:val="center"/>
          </w:tcPr>
          <w:p w14:paraId="5AE26C6E" w14:textId="77777777" w:rsidR="00D93EBC" w:rsidRPr="00C03A15" w:rsidRDefault="00D93EBC" w:rsidP="00D93EBC">
            <w:pPr>
              <w:pStyle w:val="ParagraphStyle6"/>
              <w:rPr>
                <w:rStyle w:val="CharacterStyle6"/>
                <w:b w:val="0"/>
              </w:rPr>
            </w:pPr>
            <w:r w:rsidRPr="00C03A15">
              <w:rPr>
                <w:rStyle w:val="CharacterStyle6"/>
                <w:b w:val="0"/>
              </w:rPr>
              <w:t>502.378,00</w:t>
            </w:r>
          </w:p>
        </w:tc>
        <w:tc>
          <w:tcPr>
            <w:tcW w:w="2115" w:type="dxa"/>
            <w:tcBorders>
              <w:bottom w:val="single" w:sz="6" w:space="0" w:color="000000"/>
              <w:right w:val="single" w:sz="6" w:space="0" w:color="000000"/>
            </w:tcBorders>
            <w:vAlign w:val="center"/>
          </w:tcPr>
          <w:p w14:paraId="3B66A73B" w14:textId="77777777" w:rsidR="00D93EBC" w:rsidRPr="00D93EBC" w:rsidRDefault="00D93EBC" w:rsidP="00D93EBC">
            <w:pPr>
              <w:pStyle w:val="ParagraphStyle6"/>
              <w:rPr>
                <w:rStyle w:val="CharacterStyle6"/>
                <w:b w:val="0"/>
              </w:rPr>
            </w:pPr>
            <w:r w:rsidRPr="00D93EBC">
              <w:rPr>
                <w:rStyle w:val="CharacterStyle6"/>
                <w:b w:val="0"/>
              </w:rPr>
              <w:t>517.828,00</w:t>
            </w:r>
          </w:p>
        </w:tc>
        <w:tc>
          <w:tcPr>
            <w:tcW w:w="2130" w:type="dxa"/>
            <w:tcBorders>
              <w:bottom w:val="single" w:sz="6" w:space="0" w:color="000000"/>
              <w:right w:val="single" w:sz="6" w:space="0" w:color="000000"/>
            </w:tcBorders>
            <w:vAlign w:val="center"/>
          </w:tcPr>
          <w:p w14:paraId="6C2A5228" w14:textId="77777777" w:rsidR="00D93EBC" w:rsidRPr="00D93EBC" w:rsidRDefault="00D93EBC" w:rsidP="00D93EBC">
            <w:pPr>
              <w:pStyle w:val="ParagraphStyle6"/>
              <w:rPr>
                <w:rStyle w:val="CharacterStyle6"/>
                <w:b w:val="0"/>
              </w:rPr>
            </w:pPr>
            <w:r w:rsidRPr="00D93EBC">
              <w:rPr>
                <w:rStyle w:val="CharacterStyle6"/>
                <w:b w:val="0"/>
              </w:rPr>
              <w:t>499.468,00</w:t>
            </w:r>
          </w:p>
        </w:tc>
        <w:tc>
          <w:tcPr>
            <w:tcW w:w="2145" w:type="dxa"/>
            <w:tcBorders>
              <w:bottom w:val="single" w:sz="6" w:space="0" w:color="000000"/>
              <w:right w:val="single" w:sz="6" w:space="0" w:color="000000"/>
            </w:tcBorders>
            <w:vAlign w:val="center"/>
          </w:tcPr>
          <w:p w14:paraId="2E9EAC90" w14:textId="77777777" w:rsidR="00D93EBC" w:rsidRPr="00D93EBC" w:rsidRDefault="00D93EBC" w:rsidP="00D93EBC">
            <w:pPr>
              <w:pStyle w:val="ParagraphStyle6"/>
              <w:rPr>
                <w:rStyle w:val="CharacterStyle6"/>
                <w:b w:val="0"/>
              </w:rPr>
            </w:pPr>
            <w:r w:rsidRPr="00D93EBC">
              <w:rPr>
                <w:rStyle w:val="CharacterStyle6"/>
                <w:b w:val="0"/>
              </w:rPr>
              <w:t>499.692,00</w:t>
            </w:r>
          </w:p>
        </w:tc>
      </w:tr>
      <w:tr w:rsidR="00D93EBC" w14:paraId="3789155C" w14:textId="77777777" w:rsidTr="00C03A15">
        <w:trPr>
          <w:trHeight w:val="360"/>
        </w:trPr>
        <w:tc>
          <w:tcPr>
            <w:tcW w:w="4200" w:type="dxa"/>
            <w:tcBorders>
              <w:left w:val="single" w:sz="6" w:space="0" w:color="000000"/>
              <w:bottom w:val="single" w:sz="6" w:space="0" w:color="000000"/>
              <w:right w:val="single" w:sz="6" w:space="0" w:color="000000"/>
            </w:tcBorders>
            <w:vAlign w:val="center"/>
          </w:tcPr>
          <w:p w14:paraId="238E4D77" w14:textId="77777777" w:rsidR="00D93EBC" w:rsidRPr="00EE3A4E" w:rsidRDefault="00D93EBC" w:rsidP="00D93EBC">
            <w:pPr>
              <w:pStyle w:val="ParagraphStyle3"/>
              <w:jc w:val="left"/>
              <w:rPr>
                <w:rStyle w:val="CharacterStyle3"/>
              </w:rPr>
            </w:pPr>
            <w:r w:rsidRPr="00EE3A4E">
              <w:rPr>
                <w:rStyle w:val="CharacterStyle3"/>
              </w:rPr>
              <w:t>08 Rekreacija, kultura i religija</w:t>
            </w:r>
          </w:p>
        </w:tc>
        <w:tc>
          <w:tcPr>
            <w:tcW w:w="2130" w:type="dxa"/>
            <w:tcBorders>
              <w:bottom w:val="single" w:sz="6" w:space="0" w:color="000000"/>
              <w:right w:val="single" w:sz="6" w:space="0" w:color="000000"/>
            </w:tcBorders>
            <w:vAlign w:val="center"/>
          </w:tcPr>
          <w:p w14:paraId="253EA4ED" w14:textId="77777777" w:rsidR="00D93EBC" w:rsidRPr="00EE3A4E" w:rsidRDefault="00D93EBC" w:rsidP="00D93EBC">
            <w:pPr>
              <w:pStyle w:val="ParagraphStyle4"/>
              <w:jc w:val="right"/>
              <w:rPr>
                <w:rStyle w:val="CharacterStyle4"/>
              </w:rPr>
            </w:pPr>
            <w:r w:rsidRPr="00EE3A4E">
              <w:rPr>
                <w:rStyle w:val="CharacterStyle4"/>
              </w:rPr>
              <w:t>4.760.165,03</w:t>
            </w:r>
          </w:p>
        </w:tc>
        <w:tc>
          <w:tcPr>
            <w:tcW w:w="2130" w:type="dxa"/>
            <w:tcBorders>
              <w:bottom w:val="single" w:sz="6" w:space="0" w:color="000000"/>
              <w:right w:val="single" w:sz="6" w:space="0" w:color="000000"/>
            </w:tcBorders>
            <w:vAlign w:val="center"/>
          </w:tcPr>
          <w:p w14:paraId="6F49D1A4" w14:textId="77777777" w:rsidR="00D93EBC" w:rsidRPr="00EE3A4E" w:rsidRDefault="00D93EBC" w:rsidP="00D93EBC">
            <w:pPr>
              <w:pStyle w:val="ParagraphStyle4"/>
              <w:jc w:val="right"/>
              <w:rPr>
                <w:rStyle w:val="CharacterStyle4"/>
              </w:rPr>
            </w:pPr>
            <w:r w:rsidRPr="00EE3A4E">
              <w:rPr>
                <w:rStyle w:val="CharacterStyle4"/>
              </w:rPr>
              <w:t>5.937.161,00</w:t>
            </w:r>
          </w:p>
        </w:tc>
        <w:tc>
          <w:tcPr>
            <w:tcW w:w="2115" w:type="dxa"/>
            <w:tcBorders>
              <w:bottom w:val="single" w:sz="6" w:space="0" w:color="000000"/>
              <w:right w:val="single" w:sz="6" w:space="0" w:color="000000"/>
            </w:tcBorders>
            <w:vAlign w:val="center"/>
          </w:tcPr>
          <w:p w14:paraId="7DFC6D98" w14:textId="77777777" w:rsidR="00D93EBC" w:rsidRDefault="00D93EBC" w:rsidP="00D93EBC">
            <w:pPr>
              <w:pStyle w:val="ParagraphStyle4"/>
              <w:jc w:val="right"/>
              <w:rPr>
                <w:rStyle w:val="CharacterStyle4"/>
              </w:rPr>
            </w:pPr>
            <w:r>
              <w:rPr>
                <w:rStyle w:val="CharacterStyle4"/>
              </w:rPr>
              <w:t>5.954.677,43</w:t>
            </w:r>
          </w:p>
        </w:tc>
        <w:tc>
          <w:tcPr>
            <w:tcW w:w="2130" w:type="dxa"/>
            <w:tcBorders>
              <w:bottom w:val="single" w:sz="6" w:space="0" w:color="000000"/>
              <w:right w:val="single" w:sz="6" w:space="0" w:color="000000"/>
            </w:tcBorders>
            <w:vAlign w:val="center"/>
          </w:tcPr>
          <w:p w14:paraId="58056B82" w14:textId="77777777" w:rsidR="00D93EBC" w:rsidRDefault="00D93EBC" w:rsidP="00D93EBC">
            <w:pPr>
              <w:pStyle w:val="ParagraphStyle4"/>
              <w:jc w:val="right"/>
              <w:rPr>
                <w:rStyle w:val="CharacterStyle4"/>
              </w:rPr>
            </w:pPr>
            <w:r>
              <w:rPr>
                <w:rStyle w:val="CharacterStyle4"/>
              </w:rPr>
              <w:t>5.272.491,00</w:t>
            </w:r>
          </w:p>
        </w:tc>
        <w:tc>
          <w:tcPr>
            <w:tcW w:w="2145" w:type="dxa"/>
            <w:tcBorders>
              <w:bottom w:val="single" w:sz="6" w:space="0" w:color="000000"/>
              <w:right w:val="single" w:sz="6" w:space="0" w:color="000000"/>
            </w:tcBorders>
            <w:vAlign w:val="center"/>
          </w:tcPr>
          <w:p w14:paraId="62FA4DD7" w14:textId="77777777" w:rsidR="00D93EBC" w:rsidRDefault="00D93EBC" w:rsidP="00D93EBC">
            <w:pPr>
              <w:pStyle w:val="ParagraphStyle4"/>
              <w:jc w:val="right"/>
              <w:rPr>
                <w:rStyle w:val="CharacterStyle4"/>
              </w:rPr>
            </w:pPr>
            <w:r>
              <w:rPr>
                <w:rStyle w:val="CharacterStyle4"/>
              </w:rPr>
              <w:t>5.415.856,00</w:t>
            </w:r>
          </w:p>
        </w:tc>
      </w:tr>
      <w:tr w:rsidR="00D93EBC" w14:paraId="2F11A592" w14:textId="77777777" w:rsidTr="00C03A15">
        <w:trPr>
          <w:trHeight w:val="360"/>
        </w:trPr>
        <w:tc>
          <w:tcPr>
            <w:tcW w:w="4200" w:type="dxa"/>
            <w:tcBorders>
              <w:left w:val="single" w:sz="6" w:space="0" w:color="000000"/>
              <w:bottom w:val="single" w:sz="6" w:space="0" w:color="000000"/>
              <w:right w:val="single" w:sz="6" w:space="0" w:color="000000"/>
            </w:tcBorders>
            <w:vAlign w:val="center"/>
          </w:tcPr>
          <w:p w14:paraId="2105459D" w14:textId="77777777" w:rsidR="00D93EBC" w:rsidRPr="00C03A15" w:rsidRDefault="00D93EBC" w:rsidP="00D93EBC">
            <w:pPr>
              <w:pStyle w:val="ParagraphStyle5"/>
              <w:rPr>
                <w:rStyle w:val="CharacterStyle5"/>
                <w:b w:val="0"/>
              </w:rPr>
            </w:pPr>
            <w:r w:rsidRPr="00C03A15">
              <w:rPr>
                <w:rStyle w:val="CharacterStyle5"/>
                <w:b w:val="0"/>
              </w:rPr>
              <w:t>081 Službe rekreacije i sporta</w:t>
            </w:r>
          </w:p>
        </w:tc>
        <w:tc>
          <w:tcPr>
            <w:tcW w:w="2130" w:type="dxa"/>
            <w:tcBorders>
              <w:bottom w:val="single" w:sz="6" w:space="0" w:color="000000"/>
              <w:right w:val="single" w:sz="6" w:space="0" w:color="000000"/>
            </w:tcBorders>
            <w:vAlign w:val="center"/>
          </w:tcPr>
          <w:p w14:paraId="624C4DAF" w14:textId="77777777" w:rsidR="00D93EBC" w:rsidRPr="00C03A15" w:rsidRDefault="00D93EBC" w:rsidP="00D93EBC">
            <w:pPr>
              <w:pStyle w:val="ParagraphStyle6"/>
              <w:rPr>
                <w:rStyle w:val="CharacterStyle6"/>
                <w:b w:val="0"/>
              </w:rPr>
            </w:pPr>
            <w:r w:rsidRPr="00C03A15">
              <w:rPr>
                <w:rStyle w:val="CharacterStyle6"/>
                <w:b w:val="0"/>
              </w:rPr>
              <w:t>2.415.402,84</w:t>
            </w:r>
          </w:p>
        </w:tc>
        <w:tc>
          <w:tcPr>
            <w:tcW w:w="2130" w:type="dxa"/>
            <w:tcBorders>
              <w:bottom w:val="single" w:sz="6" w:space="0" w:color="000000"/>
              <w:right w:val="single" w:sz="6" w:space="0" w:color="000000"/>
            </w:tcBorders>
            <w:vAlign w:val="center"/>
          </w:tcPr>
          <w:p w14:paraId="244D0E83" w14:textId="77777777" w:rsidR="00D93EBC" w:rsidRPr="00C03A15" w:rsidRDefault="00D93EBC" w:rsidP="00D93EBC">
            <w:pPr>
              <w:pStyle w:val="ParagraphStyle6"/>
              <w:rPr>
                <w:rStyle w:val="CharacterStyle6"/>
                <w:b w:val="0"/>
              </w:rPr>
            </w:pPr>
            <w:r w:rsidRPr="00C03A15">
              <w:rPr>
                <w:rStyle w:val="CharacterStyle6"/>
                <w:b w:val="0"/>
              </w:rPr>
              <w:t>2.534.435,00</w:t>
            </w:r>
          </w:p>
        </w:tc>
        <w:tc>
          <w:tcPr>
            <w:tcW w:w="2115" w:type="dxa"/>
            <w:tcBorders>
              <w:bottom w:val="single" w:sz="6" w:space="0" w:color="000000"/>
              <w:right w:val="single" w:sz="6" w:space="0" w:color="000000"/>
            </w:tcBorders>
            <w:vAlign w:val="center"/>
          </w:tcPr>
          <w:p w14:paraId="3B328C8F" w14:textId="77777777" w:rsidR="00D93EBC" w:rsidRPr="00D93EBC" w:rsidRDefault="00D93EBC" w:rsidP="00D93EBC">
            <w:pPr>
              <w:pStyle w:val="ParagraphStyle6"/>
              <w:rPr>
                <w:rStyle w:val="CharacterStyle6"/>
                <w:b w:val="0"/>
              </w:rPr>
            </w:pPr>
            <w:r w:rsidRPr="00D93EBC">
              <w:rPr>
                <w:rStyle w:val="CharacterStyle6"/>
                <w:b w:val="0"/>
              </w:rPr>
              <w:t>2.714.620,00</w:t>
            </w:r>
          </w:p>
        </w:tc>
        <w:tc>
          <w:tcPr>
            <w:tcW w:w="2130" w:type="dxa"/>
            <w:tcBorders>
              <w:bottom w:val="single" w:sz="6" w:space="0" w:color="000000"/>
              <w:right w:val="single" w:sz="6" w:space="0" w:color="000000"/>
            </w:tcBorders>
            <w:vAlign w:val="center"/>
          </w:tcPr>
          <w:p w14:paraId="1D47230B" w14:textId="77777777" w:rsidR="00D93EBC" w:rsidRPr="00D93EBC" w:rsidRDefault="00D93EBC" w:rsidP="00D93EBC">
            <w:pPr>
              <w:pStyle w:val="ParagraphStyle6"/>
              <w:rPr>
                <w:rStyle w:val="CharacterStyle6"/>
                <w:b w:val="0"/>
              </w:rPr>
            </w:pPr>
            <w:r w:rsidRPr="00D93EBC">
              <w:rPr>
                <w:rStyle w:val="CharacterStyle6"/>
                <w:b w:val="0"/>
              </w:rPr>
              <w:t>2.220.000,00</w:t>
            </w:r>
          </w:p>
        </w:tc>
        <w:tc>
          <w:tcPr>
            <w:tcW w:w="2145" w:type="dxa"/>
            <w:tcBorders>
              <w:bottom w:val="single" w:sz="6" w:space="0" w:color="000000"/>
              <w:right w:val="single" w:sz="6" w:space="0" w:color="000000"/>
            </w:tcBorders>
            <w:vAlign w:val="center"/>
          </w:tcPr>
          <w:p w14:paraId="4D180F59" w14:textId="77777777" w:rsidR="00D93EBC" w:rsidRPr="00D93EBC" w:rsidRDefault="00D93EBC" w:rsidP="00D93EBC">
            <w:pPr>
              <w:pStyle w:val="ParagraphStyle6"/>
              <w:rPr>
                <w:rStyle w:val="CharacterStyle6"/>
                <w:b w:val="0"/>
              </w:rPr>
            </w:pPr>
            <w:r w:rsidRPr="00D93EBC">
              <w:rPr>
                <w:rStyle w:val="CharacterStyle6"/>
                <w:b w:val="0"/>
              </w:rPr>
              <w:t>2.314.760,00</w:t>
            </w:r>
          </w:p>
        </w:tc>
      </w:tr>
      <w:tr w:rsidR="00D93EBC" w14:paraId="19F92B73" w14:textId="77777777" w:rsidTr="00C03A15">
        <w:trPr>
          <w:trHeight w:val="360"/>
        </w:trPr>
        <w:tc>
          <w:tcPr>
            <w:tcW w:w="4200" w:type="dxa"/>
            <w:tcBorders>
              <w:left w:val="single" w:sz="6" w:space="0" w:color="000000"/>
              <w:bottom w:val="single" w:sz="6" w:space="0" w:color="000000"/>
              <w:right w:val="single" w:sz="6" w:space="0" w:color="000000"/>
            </w:tcBorders>
            <w:vAlign w:val="center"/>
          </w:tcPr>
          <w:p w14:paraId="53099C84" w14:textId="77777777" w:rsidR="00D93EBC" w:rsidRPr="00C03A15" w:rsidRDefault="00D93EBC" w:rsidP="00D93EBC">
            <w:pPr>
              <w:pStyle w:val="ParagraphStyle5"/>
              <w:rPr>
                <w:rStyle w:val="CharacterStyle5"/>
                <w:b w:val="0"/>
              </w:rPr>
            </w:pPr>
            <w:r w:rsidRPr="00C03A15">
              <w:rPr>
                <w:rStyle w:val="CharacterStyle5"/>
                <w:b w:val="0"/>
              </w:rPr>
              <w:t>082 Službe kulture</w:t>
            </w:r>
          </w:p>
        </w:tc>
        <w:tc>
          <w:tcPr>
            <w:tcW w:w="2130" w:type="dxa"/>
            <w:tcBorders>
              <w:bottom w:val="single" w:sz="6" w:space="0" w:color="000000"/>
              <w:right w:val="single" w:sz="6" w:space="0" w:color="000000"/>
            </w:tcBorders>
            <w:vAlign w:val="center"/>
          </w:tcPr>
          <w:p w14:paraId="32C662EC" w14:textId="77777777" w:rsidR="00D93EBC" w:rsidRPr="00C03A15" w:rsidRDefault="00D93EBC" w:rsidP="00D93EBC">
            <w:pPr>
              <w:pStyle w:val="ParagraphStyle6"/>
              <w:rPr>
                <w:rStyle w:val="CharacterStyle6"/>
                <w:b w:val="0"/>
              </w:rPr>
            </w:pPr>
            <w:r w:rsidRPr="00C03A15">
              <w:rPr>
                <w:rStyle w:val="CharacterStyle6"/>
                <w:b w:val="0"/>
              </w:rPr>
              <w:t>1.856.319,26</w:t>
            </w:r>
          </w:p>
        </w:tc>
        <w:tc>
          <w:tcPr>
            <w:tcW w:w="2130" w:type="dxa"/>
            <w:tcBorders>
              <w:bottom w:val="single" w:sz="6" w:space="0" w:color="000000"/>
              <w:right w:val="single" w:sz="6" w:space="0" w:color="000000"/>
            </w:tcBorders>
            <w:vAlign w:val="center"/>
          </w:tcPr>
          <w:p w14:paraId="7FCDD1F2" w14:textId="77777777" w:rsidR="00D93EBC" w:rsidRPr="00C03A15" w:rsidRDefault="00D93EBC" w:rsidP="00D93EBC">
            <w:pPr>
              <w:pStyle w:val="ParagraphStyle6"/>
              <w:rPr>
                <w:rStyle w:val="CharacterStyle6"/>
                <w:b w:val="0"/>
              </w:rPr>
            </w:pPr>
            <w:r w:rsidRPr="00C03A15">
              <w:rPr>
                <w:rStyle w:val="CharacterStyle6"/>
                <w:b w:val="0"/>
              </w:rPr>
              <w:t>2.948.526,00</w:t>
            </w:r>
          </w:p>
        </w:tc>
        <w:tc>
          <w:tcPr>
            <w:tcW w:w="2115" w:type="dxa"/>
            <w:tcBorders>
              <w:bottom w:val="single" w:sz="6" w:space="0" w:color="000000"/>
              <w:right w:val="single" w:sz="6" w:space="0" w:color="000000"/>
            </w:tcBorders>
            <w:vAlign w:val="center"/>
          </w:tcPr>
          <w:p w14:paraId="15FC256E" w14:textId="77777777" w:rsidR="00D93EBC" w:rsidRPr="00D93EBC" w:rsidRDefault="00D93EBC" w:rsidP="00D93EBC">
            <w:pPr>
              <w:pStyle w:val="ParagraphStyle6"/>
              <w:rPr>
                <w:rStyle w:val="CharacterStyle6"/>
                <w:b w:val="0"/>
              </w:rPr>
            </w:pPr>
            <w:r w:rsidRPr="00D93EBC">
              <w:rPr>
                <w:rStyle w:val="CharacterStyle6"/>
                <w:b w:val="0"/>
              </w:rPr>
              <w:t>3.138.035,87</w:t>
            </w:r>
          </w:p>
        </w:tc>
        <w:tc>
          <w:tcPr>
            <w:tcW w:w="2130" w:type="dxa"/>
            <w:tcBorders>
              <w:bottom w:val="single" w:sz="6" w:space="0" w:color="000000"/>
              <w:right w:val="single" w:sz="6" w:space="0" w:color="000000"/>
            </w:tcBorders>
            <w:vAlign w:val="center"/>
          </w:tcPr>
          <w:p w14:paraId="0534B1D3" w14:textId="77777777" w:rsidR="00D93EBC" w:rsidRPr="00D93EBC" w:rsidRDefault="00D93EBC" w:rsidP="00D93EBC">
            <w:pPr>
              <w:pStyle w:val="ParagraphStyle6"/>
              <w:rPr>
                <w:rStyle w:val="CharacterStyle6"/>
                <w:b w:val="0"/>
              </w:rPr>
            </w:pPr>
            <w:r w:rsidRPr="00D93EBC">
              <w:rPr>
                <w:rStyle w:val="CharacterStyle6"/>
                <w:b w:val="0"/>
              </w:rPr>
              <w:t>3.044.491,00</w:t>
            </w:r>
          </w:p>
        </w:tc>
        <w:tc>
          <w:tcPr>
            <w:tcW w:w="2145" w:type="dxa"/>
            <w:tcBorders>
              <w:bottom w:val="single" w:sz="6" w:space="0" w:color="000000"/>
              <w:right w:val="single" w:sz="6" w:space="0" w:color="000000"/>
            </w:tcBorders>
            <w:vAlign w:val="center"/>
          </w:tcPr>
          <w:p w14:paraId="51969C5B" w14:textId="77777777" w:rsidR="00D93EBC" w:rsidRPr="00D93EBC" w:rsidRDefault="00D93EBC" w:rsidP="00D93EBC">
            <w:pPr>
              <w:pStyle w:val="ParagraphStyle6"/>
              <w:rPr>
                <w:rStyle w:val="CharacterStyle6"/>
                <w:b w:val="0"/>
              </w:rPr>
            </w:pPr>
            <w:r w:rsidRPr="00D93EBC">
              <w:rPr>
                <w:rStyle w:val="CharacterStyle6"/>
                <w:b w:val="0"/>
              </w:rPr>
              <w:t>3.092.096,00</w:t>
            </w:r>
          </w:p>
        </w:tc>
      </w:tr>
      <w:tr w:rsidR="00D93EBC" w14:paraId="0E5AE38D" w14:textId="77777777" w:rsidTr="00C03A15">
        <w:trPr>
          <w:trHeight w:val="360"/>
        </w:trPr>
        <w:tc>
          <w:tcPr>
            <w:tcW w:w="4200" w:type="dxa"/>
            <w:tcBorders>
              <w:left w:val="single" w:sz="6" w:space="0" w:color="000000"/>
              <w:bottom w:val="single" w:sz="6" w:space="0" w:color="000000"/>
              <w:right w:val="single" w:sz="6" w:space="0" w:color="000000"/>
            </w:tcBorders>
            <w:vAlign w:val="center"/>
          </w:tcPr>
          <w:p w14:paraId="07048CD5" w14:textId="77777777" w:rsidR="00D93EBC" w:rsidRPr="00C03A15" w:rsidRDefault="00D93EBC" w:rsidP="00D93EBC">
            <w:pPr>
              <w:pStyle w:val="ParagraphStyle5"/>
              <w:rPr>
                <w:rStyle w:val="CharacterStyle5"/>
                <w:b w:val="0"/>
              </w:rPr>
            </w:pPr>
            <w:r w:rsidRPr="00C03A15">
              <w:rPr>
                <w:rStyle w:val="CharacterStyle5"/>
                <w:b w:val="0"/>
              </w:rPr>
              <w:t>085 Istraživanje i razvoj rekreacije, kulture i religije</w:t>
            </w:r>
          </w:p>
        </w:tc>
        <w:tc>
          <w:tcPr>
            <w:tcW w:w="2130" w:type="dxa"/>
            <w:tcBorders>
              <w:bottom w:val="single" w:sz="6" w:space="0" w:color="000000"/>
              <w:right w:val="single" w:sz="6" w:space="0" w:color="000000"/>
            </w:tcBorders>
            <w:vAlign w:val="center"/>
          </w:tcPr>
          <w:p w14:paraId="549B87BE" w14:textId="77777777" w:rsidR="00D93EBC" w:rsidRPr="00C03A15" w:rsidRDefault="00D93EBC" w:rsidP="00D93EBC">
            <w:pPr>
              <w:pStyle w:val="ParagraphStyle6"/>
              <w:rPr>
                <w:rStyle w:val="CharacterStyle6"/>
                <w:b w:val="0"/>
              </w:rPr>
            </w:pPr>
            <w:r w:rsidRPr="00C03A15">
              <w:rPr>
                <w:rStyle w:val="CharacterStyle6"/>
                <w:b w:val="0"/>
              </w:rPr>
              <w:t>484.192,93</w:t>
            </w:r>
          </w:p>
        </w:tc>
        <w:tc>
          <w:tcPr>
            <w:tcW w:w="2130" w:type="dxa"/>
            <w:tcBorders>
              <w:bottom w:val="single" w:sz="6" w:space="0" w:color="000000"/>
              <w:right w:val="single" w:sz="6" w:space="0" w:color="000000"/>
            </w:tcBorders>
            <w:vAlign w:val="center"/>
          </w:tcPr>
          <w:p w14:paraId="6DB35EFC" w14:textId="77777777" w:rsidR="00D93EBC" w:rsidRPr="00C03A15" w:rsidRDefault="00D93EBC" w:rsidP="00D93EBC">
            <w:pPr>
              <w:pStyle w:val="ParagraphStyle6"/>
              <w:rPr>
                <w:rStyle w:val="CharacterStyle6"/>
                <w:b w:val="0"/>
              </w:rPr>
            </w:pPr>
            <w:r w:rsidRPr="00C03A15">
              <w:rPr>
                <w:rStyle w:val="CharacterStyle6"/>
                <w:b w:val="0"/>
              </w:rPr>
              <w:t>448.450,00</w:t>
            </w:r>
          </w:p>
        </w:tc>
        <w:tc>
          <w:tcPr>
            <w:tcW w:w="2115" w:type="dxa"/>
            <w:tcBorders>
              <w:bottom w:val="single" w:sz="6" w:space="0" w:color="000000"/>
              <w:right w:val="single" w:sz="6" w:space="0" w:color="000000"/>
            </w:tcBorders>
            <w:vAlign w:val="center"/>
          </w:tcPr>
          <w:p w14:paraId="154FD705" w14:textId="77777777" w:rsidR="00D93EBC" w:rsidRPr="00D93EBC" w:rsidRDefault="00D93EBC" w:rsidP="00D93EBC">
            <w:pPr>
              <w:pStyle w:val="ParagraphStyle6"/>
              <w:rPr>
                <w:rStyle w:val="CharacterStyle6"/>
                <w:b w:val="0"/>
              </w:rPr>
            </w:pPr>
            <w:r w:rsidRPr="00D93EBC">
              <w:rPr>
                <w:rStyle w:val="CharacterStyle6"/>
                <w:b w:val="0"/>
              </w:rPr>
              <w:t>94.021,56</w:t>
            </w:r>
          </w:p>
        </w:tc>
        <w:tc>
          <w:tcPr>
            <w:tcW w:w="2130" w:type="dxa"/>
            <w:tcBorders>
              <w:bottom w:val="single" w:sz="6" w:space="0" w:color="000000"/>
              <w:right w:val="single" w:sz="6" w:space="0" w:color="000000"/>
            </w:tcBorders>
            <w:vAlign w:val="center"/>
          </w:tcPr>
          <w:p w14:paraId="32F89CD4" w14:textId="77777777" w:rsidR="00D93EBC" w:rsidRPr="00D93EBC" w:rsidRDefault="00D93EBC" w:rsidP="00D93EBC">
            <w:pPr>
              <w:pStyle w:val="ParagraphStyle6"/>
              <w:rPr>
                <w:rStyle w:val="CharacterStyle6"/>
                <w:b w:val="0"/>
              </w:rPr>
            </w:pPr>
            <w:r w:rsidRPr="00D93EBC">
              <w:rPr>
                <w:rStyle w:val="CharacterStyle6"/>
                <w:b w:val="0"/>
              </w:rPr>
              <w:t>0,00</w:t>
            </w:r>
          </w:p>
        </w:tc>
        <w:tc>
          <w:tcPr>
            <w:tcW w:w="2145" w:type="dxa"/>
            <w:tcBorders>
              <w:bottom w:val="single" w:sz="6" w:space="0" w:color="000000"/>
              <w:right w:val="single" w:sz="6" w:space="0" w:color="000000"/>
            </w:tcBorders>
            <w:vAlign w:val="center"/>
          </w:tcPr>
          <w:p w14:paraId="06A54BD5" w14:textId="77777777" w:rsidR="00D93EBC" w:rsidRPr="00D93EBC" w:rsidRDefault="00D93EBC" w:rsidP="00D93EBC">
            <w:pPr>
              <w:pStyle w:val="ParagraphStyle6"/>
              <w:rPr>
                <w:rStyle w:val="CharacterStyle6"/>
                <w:b w:val="0"/>
              </w:rPr>
            </w:pPr>
            <w:r w:rsidRPr="00D93EBC">
              <w:rPr>
                <w:rStyle w:val="CharacterStyle6"/>
                <w:b w:val="0"/>
              </w:rPr>
              <w:t>0,00</w:t>
            </w:r>
          </w:p>
        </w:tc>
      </w:tr>
      <w:tr w:rsidR="00D93EBC" w14:paraId="5B024B86" w14:textId="77777777" w:rsidTr="00C03A15">
        <w:trPr>
          <w:trHeight w:val="405"/>
        </w:trPr>
        <w:tc>
          <w:tcPr>
            <w:tcW w:w="4200" w:type="dxa"/>
            <w:tcBorders>
              <w:left w:val="single" w:sz="6" w:space="0" w:color="000000"/>
              <w:bottom w:val="single" w:sz="6" w:space="0" w:color="000000"/>
              <w:right w:val="single" w:sz="6" w:space="0" w:color="000000"/>
            </w:tcBorders>
            <w:vAlign w:val="center"/>
          </w:tcPr>
          <w:p w14:paraId="4FD86267" w14:textId="77777777" w:rsidR="00D93EBC" w:rsidRPr="00C03A15" w:rsidRDefault="00D93EBC" w:rsidP="00D93EBC">
            <w:pPr>
              <w:pStyle w:val="ParagraphStyle5"/>
              <w:rPr>
                <w:rStyle w:val="CharacterStyle5"/>
                <w:b w:val="0"/>
              </w:rPr>
            </w:pPr>
            <w:r w:rsidRPr="00C03A15">
              <w:rPr>
                <w:rStyle w:val="CharacterStyle5"/>
                <w:b w:val="0"/>
              </w:rPr>
              <w:t>086 Rashodi za rekreaciju, kulturu i religiju koji nisu drugdje svrstani</w:t>
            </w:r>
          </w:p>
        </w:tc>
        <w:tc>
          <w:tcPr>
            <w:tcW w:w="2130" w:type="dxa"/>
            <w:tcBorders>
              <w:bottom w:val="single" w:sz="6" w:space="0" w:color="000000"/>
              <w:right w:val="single" w:sz="6" w:space="0" w:color="000000"/>
            </w:tcBorders>
            <w:vAlign w:val="center"/>
          </w:tcPr>
          <w:p w14:paraId="3B43DC84" w14:textId="77777777" w:rsidR="00D93EBC" w:rsidRPr="00C03A15" w:rsidRDefault="00D93EBC" w:rsidP="00D93EBC">
            <w:pPr>
              <w:pStyle w:val="ParagraphStyle6"/>
              <w:rPr>
                <w:rStyle w:val="CharacterStyle6"/>
                <w:b w:val="0"/>
              </w:rPr>
            </w:pPr>
            <w:r w:rsidRPr="00C03A15">
              <w:rPr>
                <w:rStyle w:val="CharacterStyle6"/>
                <w:b w:val="0"/>
              </w:rPr>
              <w:t>4.250,00</w:t>
            </w:r>
          </w:p>
        </w:tc>
        <w:tc>
          <w:tcPr>
            <w:tcW w:w="2130" w:type="dxa"/>
            <w:tcBorders>
              <w:bottom w:val="single" w:sz="6" w:space="0" w:color="000000"/>
              <w:right w:val="single" w:sz="6" w:space="0" w:color="000000"/>
            </w:tcBorders>
            <w:vAlign w:val="center"/>
          </w:tcPr>
          <w:p w14:paraId="356F784A" w14:textId="77777777" w:rsidR="00D93EBC" w:rsidRPr="00C03A15" w:rsidRDefault="00D93EBC" w:rsidP="00D93EBC">
            <w:pPr>
              <w:pStyle w:val="ParagraphStyle6"/>
              <w:rPr>
                <w:rStyle w:val="CharacterStyle6"/>
                <w:b w:val="0"/>
              </w:rPr>
            </w:pPr>
            <w:r w:rsidRPr="00C03A15">
              <w:rPr>
                <w:rStyle w:val="CharacterStyle6"/>
                <w:b w:val="0"/>
              </w:rPr>
              <w:t>5.750,00</w:t>
            </w:r>
          </w:p>
        </w:tc>
        <w:tc>
          <w:tcPr>
            <w:tcW w:w="2115" w:type="dxa"/>
            <w:tcBorders>
              <w:bottom w:val="single" w:sz="6" w:space="0" w:color="000000"/>
              <w:right w:val="single" w:sz="6" w:space="0" w:color="000000"/>
            </w:tcBorders>
            <w:vAlign w:val="center"/>
          </w:tcPr>
          <w:p w14:paraId="10667B8A" w14:textId="77777777" w:rsidR="00D93EBC" w:rsidRPr="00D93EBC" w:rsidRDefault="00D93EBC" w:rsidP="00D93EBC">
            <w:pPr>
              <w:pStyle w:val="ParagraphStyle6"/>
              <w:rPr>
                <w:rStyle w:val="CharacterStyle6"/>
                <w:b w:val="0"/>
              </w:rPr>
            </w:pPr>
            <w:r w:rsidRPr="00D93EBC">
              <w:rPr>
                <w:rStyle w:val="CharacterStyle6"/>
                <w:b w:val="0"/>
              </w:rPr>
              <w:t>8.000,00</w:t>
            </w:r>
          </w:p>
        </w:tc>
        <w:tc>
          <w:tcPr>
            <w:tcW w:w="2130" w:type="dxa"/>
            <w:tcBorders>
              <w:bottom w:val="single" w:sz="6" w:space="0" w:color="000000"/>
              <w:right w:val="single" w:sz="6" w:space="0" w:color="000000"/>
            </w:tcBorders>
            <w:vAlign w:val="center"/>
          </w:tcPr>
          <w:p w14:paraId="469E09A4" w14:textId="77777777" w:rsidR="00D93EBC" w:rsidRPr="00D93EBC" w:rsidRDefault="00D93EBC" w:rsidP="00D93EBC">
            <w:pPr>
              <w:pStyle w:val="ParagraphStyle6"/>
              <w:rPr>
                <w:rStyle w:val="CharacterStyle6"/>
                <w:b w:val="0"/>
              </w:rPr>
            </w:pPr>
            <w:r w:rsidRPr="00D93EBC">
              <w:rPr>
                <w:rStyle w:val="CharacterStyle6"/>
                <w:b w:val="0"/>
              </w:rPr>
              <w:t>8.000,00</w:t>
            </w:r>
          </w:p>
        </w:tc>
        <w:tc>
          <w:tcPr>
            <w:tcW w:w="2145" w:type="dxa"/>
            <w:tcBorders>
              <w:bottom w:val="single" w:sz="6" w:space="0" w:color="000000"/>
              <w:right w:val="single" w:sz="6" w:space="0" w:color="000000"/>
            </w:tcBorders>
            <w:vAlign w:val="center"/>
          </w:tcPr>
          <w:p w14:paraId="37E4AE5F" w14:textId="77777777" w:rsidR="00D93EBC" w:rsidRPr="00D93EBC" w:rsidRDefault="00D93EBC" w:rsidP="00D93EBC">
            <w:pPr>
              <w:pStyle w:val="ParagraphStyle6"/>
              <w:rPr>
                <w:rStyle w:val="CharacterStyle6"/>
                <w:b w:val="0"/>
              </w:rPr>
            </w:pPr>
            <w:r w:rsidRPr="00D93EBC">
              <w:rPr>
                <w:rStyle w:val="CharacterStyle6"/>
                <w:b w:val="0"/>
              </w:rPr>
              <w:t>9.000,00</w:t>
            </w:r>
          </w:p>
        </w:tc>
      </w:tr>
      <w:tr w:rsidR="00D93EBC" w14:paraId="46CE60ED" w14:textId="77777777" w:rsidTr="00C03A15">
        <w:trPr>
          <w:trHeight w:val="360"/>
        </w:trPr>
        <w:tc>
          <w:tcPr>
            <w:tcW w:w="4200" w:type="dxa"/>
            <w:tcBorders>
              <w:left w:val="single" w:sz="6" w:space="0" w:color="000000"/>
              <w:bottom w:val="single" w:sz="6" w:space="0" w:color="000000"/>
              <w:right w:val="single" w:sz="6" w:space="0" w:color="000000"/>
            </w:tcBorders>
            <w:vAlign w:val="center"/>
          </w:tcPr>
          <w:p w14:paraId="02184BCB" w14:textId="77777777" w:rsidR="00D93EBC" w:rsidRPr="00EE3A4E" w:rsidRDefault="00D93EBC" w:rsidP="00D93EBC">
            <w:pPr>
              <w:pStyle w:val="ParagraphStyle3"/>
              <w:jc w:val="left"/>
              <w:rPr>
                <w:rStyle w:val="CharacterStyle3"/>
              </w:rPr>
            </w:pPr>
            <w:r w:rsidRPr="00EE3A4E">
              <w:rPr>
                <w:rStyle w:val="CharacterStyle3"/>
              </w:rPr>
              <w:t>09 Obrazovanje</w:t>
            </w:r>
          </w:p>
        </w:tc>
        <w:tc>
          <w:tcPr>
            <w:tcW w:w="2130" w:type="dxa"/>
            <w:tcBorders>
              <w:bottom w:val="single" w:sz="6" w:space="0" w:color="000000"/>
              <w:right w:val="single" w:sz="6" w:space="0" w:color="000000"/>
            </w:tcBorders>
            <w:vAlign w:val="center"/>
          </w:tcPr>
          <w:p w14:paraId="792064BD" w14:textId="77777777" w:rsidR="00D93EBC" w:rsidRPr="00EE3A4E" w:rsidRDefault="00D93EBC" w:rsidP="00D93EBC">
            <w:pPr>
              <w:pStyle w:val="ParagraphStyle4"/>
              <w:jc w:val="right"/>
              <w:rPr>
                <w:rStyle w:val="CharacterStyle4"/>
              </w:rPr>
            </w:pPr>
            <w:r w:rsidRPr="00EE3A4E">
              <w:rPr>
                <w:rStyle w:val="CharacterStyle4"/>
              </w:rPr>
              <w:t>15.591.155,06</w:t>
            </w:r>
          </w:p>
        </w:tc>
        <w:tc>
          <w:tcPr>
            <w:tcW w:w="2130" w:type="dxa"/>
            <w:tcBorders>
              <w:bottom w:val="single" w:sz="6" w:space="0" w:color="000000"/>
              <w:right w:val="single" w:sz="6" w:space="0" w:color="000000"/>
            </w:tcBorders>
            <w:vAlign w:val="center"/>
          </w:tcPr>
          <w:p w14:paraId="6AC59721" w14:textId="77777777" w:rsidR="00D93EBC" w:rsidRPr="00EE3A4E" w:rsidRDefault="00D93EBC" w:rsidP="00D93EBC">
            <w:pPr>
              <w:pStyle w:val="ParagraphStyle4"/>
              <w:jc w:val="right"/>
              <w:rPr>
                <w:rStyle w:val="CharacterStyle4"/>
              </w:rPr>
            </w:pPr>
            <w:r w:rsidRPr="00EE3A4E">
              <w:rPr>
                <w:rStyle w:val="CharacterStyle4"/>
              </w:rPr>
              <w:t>29.502.853,50</w:t>
            </w:r>
          </w:p>
        </w:tc>
        <w:tc>
          <w:tcPr>
            <w:tcW w:w="2115" w:type="dxa"/>
            <w:tcBorders>
              <w:bottom w:val="single" w:sz="6" w:space="0" w:color="000000"/>
              <w:right w:val="single" w:sz="6" w:space="0" w:color="000000"/>
            </w:tcBorders>
            <w:vAlign w:val="center"/>
          </w:tcPr>
          <w:p w14:paraId="3943B01F" w14:textId="77777777" w:rsidR="00D93EBC" w:rsidRDefault="00D93EBC" w:rsidP="00D93EBC">
            <w:pPr>
              <w:pStyle w:val="ParagraphStyle4"/>
              <w:jc w:val="right"/>
              <w:rPr>
                <w:rStyle w:val="CharacterStyle4"/>
              </w:rPr>
            </w:pPr>
            <w:r>
              <w:rPr>
                <w:rStyle w:val="CharacterStyle4"/>
              </w:rPr>
              <w:t>27.796.570,00</w:t>
            </w:r>
          </w:p>
        </w:tc>
        <w:tc>
          <w:tcPr>
            <w:tcW w:w="2130" w:type="dxa"/>
            <w:tcBorders>
              <w:bottom w:val="single" w:sz="6" w:space="0" w:color="000000"/>
              <w:right w:val="single" w:sz="6" w:space="0" w:color="000000"/>
            </w:tcBorders>
            <w:vAlign w:val="center"/>
          </w:tcPr>
          <w:p w14:paraId="74C854B9" w14:textId="77777777" w:rsidR="00D93EBC" w:rsidRDefault="00D93EBC" w:rsidP="00D93EBC">
            <w:pPr>
              <w:pStyle w:val="ParagraphStyle4"/>
              <w:jc w:val="right"/>
              <w:rPr>
                <w:rStyle w:val="CharacterStyle4"/>
              </w:rPr>
            </w:pPr>
            <w:r>
              <w:rPr>
                <w:rStyle w:val="CharacterStyle4"/>
              </w:rPr>
              <w:t>15.615.156,77</w:t>
            </w:r>
          </w:p>
        </w:tc>
        <w:tc>
          <w:tcPr>
            <w:tcW w:w="2145" w:type="dxa"/>
            <w:tcBorders>
              <w:bottom w:val="single" w:sz="6" w:space="0" w:color="000000"/>
              <w:right w:val="single" w:sz="6" w:space="0" w:color="000000"/>
            </w:tcBorders>
            <w:vAlign w:val="center"/>
          </w:tcPr>
          <w:p w14:paraId="446737A4" w14:textId="77777777" w:rsidR="00D93EBC" w:rsidRDefault="00D93EBC" w:rsidP="00D93EBC">
            <w:pPr>
              <w:pStyle w:val="ParagraphStyle4"/>
              <w:jc w:val="right"/>
              <w:rPr>
                <w:rStyle w:val="CharacterStyle4"/>
              </w:rPr>
            </w:pPr>
            <w:r>
              <w:rPr>
                <w:rStyle w:val="CharacterStyle4"/>
              </w:rPr>
              <w:t>15.734.222,85</w:t>
            </w:r>
          </w:p>
        </w:tc>
      </w:tr>
      <w:tr w:rsidR="00D93EBC" w14:paraId="68190E3D" w14:textId="77777777" w:rsidTr="00C03A15">
        <w:trPr>
          <w:trHeight w:val="360"/>
        </w:trPr>
        <w:tc>
          <w:tcPr>
            <w:tcW w:w="4200" w:type="dxa"/>
            <w:tcBorders>
              <w:left w:val="single" w:sz="6" w:space="0" w:color="000000"/>
              <w:bottom w:val="single" w:sz="6" w:space="0" w:color="000000"/>
              <w:right w:val="single" w:sz="6" w:space="0" w:color="000000"/>
            </w:tcBorders>
            <w:vAlign w:val="center"/>
          </w:tcPr>
          <w:p w14:paraId="76692F79" w14:textId="77777777" w:rsidR="00D93EBC" w:rsidRPr="00C03A15" w:rsidRDefault="00D93EBC" w:rsidP="00D93EBC">
            <w:pPr>
              <w:pStyle w:val="ParagraphStyle5"/>
              <w:rPr>
                <w:rStyle w:val="CharacterStyle5"/>
                <w:b w:val="0"/>
              </w:rPr>
            </w:pPr>
            <w:r w:rsidRPr="00C03A15">
              <w:rPr>
                <w:rStyle w:val="CharacterStyle5"/>
                <w:b w:val="0"/>
              </w:rPr>
              <w:t>091 Predškolsko i osnovno obrazovanje</w:t>
            </w:r>
          </w:p>
        </w:tc>
        <w:tc>
          <w:tcPr>
            <w:tcW w:w="2130" w:type="dxa"/>
            <w:tcBorders>
              <w:bottom w:val="single" w:sz="6" w:space="0" w:color="000000"/>
              <w:right w:val="single" w:sz="6" w:space="0" w:color="000000"/>
            </w:tcBorders>
            <w:vAlign w:val="center"/>
          </w:tcPr>
          <w:p w14:paraId="3C4F2AD2" w14:textId="77777777" w:rsidR="00D93EBC" w:rsidRPr="00C03A15" w:rsidRDefault="00D93EBC" w:rsidP="00D93EBC">
            <w:pPr>
              <w:pStyle w:val="ParagraphStyle6"/>
              <w:rPr>
                <w:rStyle w:val="CharacterStyle6"/>
                <w:b w:val="0"/>
              </w:rPr>
            </w:pPr>
            <w:r w:rsidRPr="00C03A15">
              <w:rPr>
                <w:rStyle w:val="CharacterStyle6"/>
                <w:b w:val="0"/>
              </w:rPr>
              <w:t>14.195.219,36</w:t>
            </w:r>
          </w:p>
        </w:tc>
        <w:tc>
          <w:tcPr>
            <w:tcW w:w="2130" w:type="dxa"/>
            <w:tcBorders>
              <w:bottom w:val="single" w:sz="6" w:space="0" w:color="000000"/>
              <w:right w:val="single" w:sz="6" w:space="0" w:color="000000"/>
            </w:tcBorders>
            <w:vAlign w:val="center"/>
          </w:tcPr>
          <w:p w14:paraId="442A897D" w14:textId="77777777" w:rsidR="00D93EBC" w:rsidRPr="00C03A15" w:rsidRDefault="00D93EBC" w:rsidP="00D93EBC">
            <w:pPr>
              <w:pStyle w:val="ParagraphStyle6"/>
              <w:rPr>
                <w:rStyle w:val="CharacterStyle6"/>
                <w:b w:val="0"/>
              </w:rPr>
            </w:pPr>
            <w:r w:rsidRPr="00C03A15">
              <w:rPr>
                <w:rStyle w:val="CharacterStyle6"/>
                <w:b w:val="0"/>
              </w:rPr>
              <w:t>28.741.463,50</w:t>
            </w:r>
          </w:p>
        </w:tc>
        <w:tc>
          <w:tcPr>
            <w:tcW w:w="2115" w:type="dxa"/>
            <w:tcBorders>
              <w:bottom w:val="single" w:sz="6" w:space="0" w:color="000000"/>
              <w:right w:val="single" w:sz="6" w:space="0" w:color="000000"/>
            </w:tcBorders>
            <w:vAlign w:val="center"/>
          </w:tcPr>
          <w:p w14:paraId="2EE95A07" w14:textId="77777777" w:rsidR="00D93EBC" w:rsidRPr="00D93EBC" w:rsidRDefault="00D93EBC" w:rsidP="00D93EBC">
            <w:pPr>
              <w:pStyle w:val="ParagraphStyle6"/>
              <w:rPr>
                <w:rStyle w:val="CharacterStyle6"/>
                <w:b w:val="0"/>
              </w:rPr>
            </w:pPr>
            <w:r w:rsidRPr="00D93EBC">
              <w:rPr>
                <w:rStyle w:val="CharacterStyle6"/>
                <w:b w:val="0"/>
              </w:rPr>
              <w:t>27.376.570,00</w:t>
            </w:r>
          </w:p>
        </w:tc>
        <w:tc>
          <w:tcPr>
            <w:tcW w:w="2130" w:type="dxa"/>
            <w:tcBorders>
              <w:bottom w:val="single" w:sz="6" w:space="0" w:color="000000"/>
              <w:right w:val="single" w:sz="6" w:space="0" w:color="000000"/>
            </w:tcBorders>
            <w:vAlign w:val="center"/>
          </w:tcPr>
          <w:p w14:paraId="492F7B4F" w14:textId="77777777" w:rsidR="00D93EBC" w:rsidRPr="00D93EBC" w:rsidRDefault="00D93EBC" w:rsidP="00D93EBC">
            <w:pPr>
              <w:pStyle w:val="ParagraphStyle6"/>
              <w:rPr>
                <w:rStyle w:val="CharacterStyle6"/>
                <w:b w:val="0"/>
              </w:rPr>
            </w:pPr>
            <w:r w:rsidRPr="00D93EBC">
              <w:rPr>
                <w:rStyle w:val="CharacterStyle6"/>
                <w:b w:val="0"/>
              </w:rPr>
              <w:t>15.188.656,77</w:t>
            </w:r>
          </w:p>
        </w:tc>
        <w:tc>
          <w:tcPr>
            <w:tcW w:w="2145" w:type="dxa"/>
            <w:tcBorders>
              <w:bottom w:val="single" w:sz="6" w:space="0" w:color="000000"/>
              <w:right w:val="single" w:sz="6" w:space="0" w:color="000000"/>
            </w:tcBorders>
            <w:vAlign w:val="center"/>
          </w:tcPr>
          <w:p w14:paraId="3D9A6B74" w14:textId="77777777" w:rsidR="00D93EBC" w:rsidRPr="00D93EBC" w:rsidRDefault="00D93EBC" w:rsidP="00D93EBC">
            <w:pPr>
              <w:pStyle w:val="ParagraphStyle6"/>
              <w:rPr>
                <w:rStyle w:val="CharacterStyle6"/>
                <w:b w:val="0"/>
              </w:rPr>
            </w:pPr>
            <w:r w:rsidRPr="00D93EBC">
              <w:rPr>
                <w:rStyle w:val="CharacterStyle6"/>
                <w:b w:val="0"/>
              </w:rPr>
              <w:t>15.289.722,85</w:t>
            </w:r>
          </w:p>
        </w:tc>
      </w:tr>
      <w:tr w:rsidR="00D93EBC" w14:paraId="7B6A0411" w14:textId="77777777" w:rsidTr="00C03A15">
        <w:trPr>
          <w:trHeight w:val="360"/>
        </w:trPr>
        <w:tc>
          <w:tcPr>
            <w:tcW w:w="4200" w:type="dxa"/>
            <w:tcBorders>
              <w:left w:val="single" w:sz="6" w:space="0" w:color="000000"/>
              <w:bottom w:val="single" w:sz="6" w:space="0" w:color="000000"/>
              <w:right w:val="single" w:sz="6" w:space="0" w:color="000000"/>
            </w:tcBorders>
            <w:vAlign w:val="center"/>
          </w:tcPr>
          <w:p w14:paraId="244436D8" w14:textId="77777777" w:rsidR="00D93EBC" w:rsidRPr="00C03A15" w:rsidRDefault="00D93EBC" w:rsidP="00D93EBC">
            <w:pPr>
              <w:pStyle w:val="ParagraphStyle5"/>
              <w:rPr>
                <w:rStyle w:val="CharacterStyle5"/>
                <w:b w:val="0"/>
              </w:rPr>
            </w:pPr>
            <w:r w:rsidRPr="00C03A15">
              <w:rPr>
                <w:rStyle w:val="CharacterStyle5"/>
                <w:b w:val="0"/>
              </w:rPr>
              <w:t>092 Srednjoškolsko  obrazovanje</w:t>
            </w:r>
          </w:p>
        </w:tc>
        <w:tc>
          <w:tcPr>
            <w:tcW w:w="2130" w:type="dxa"/>
            <w:tcBorders>
              <w:bottom w:val="single" w:sz="6" w:space="0" w:color="000000"/>
              <w:right w:val="single" w:sz="6" w:space="0" w:color="000000"/>
            </w:tcBorders>
            <w:vAlign w:val="center"/>
          </w:tcPr>
          <w:p w14:paraId="67F8B988" w14:textId="77777777" w:rsidR="00D93EBC" w:rsidRPr="00C03A15" w:rsidRDefault="00D93EBC" w:rsidP="00D93EBC">
            <w:pPr>
              <w:pStyle w:val="ParagraphStyle6"/>
              <w:rPr>
                <w:rStyle w:val="CharacterStyle6"/>
                <w:b w:val="0"/>
              </w:rPr>
            </w:pPr>
            <w:r w:rsidRPr="00C03A15">
              <w:rPr>
                <w:rStyle w:val="CharacterStyle6"/>
                <w:b w:val="0"/>
              </w:rPr>
              <w:t>56.000,00</w:t>
            </w:r>
          </w:p>
        </w:tc>
        <w:tc>
          <w:tcPr>
            <w:tcW w:w="2130" w:type="dxa"/>
            <w:tcBorders>
              <w:bottom w:val="single" w:sz="6" w:space="0" w:color="000000"/>
              <w:right w:val="single" w:sz="6" w:space="0" w:color="000000"/>
            </w:tcBorders>
            <w:vAlign w:val="center"/>
          </w:tcPr>
          <w:p w14:paraId="4BF29808" w14:textId="77777777" w:rsidR="00D93EBC" w:rsidRPr="00C03A15" w:rsidRDefault="00D93EBC" w:rsidP="00D93EBC">
            <w:pPr>
              <w:pStyle w:val="ParagraphStyle6"/>
              <w:rPr>
                <w:rStyle w:val="CharacterStyle6"/>
                <w:b w:val="0"/>
              </w:rPr>
            </w:pPr>
            <w:r w:rsidRPr="00C03A15">
              <w:rPr>
                <w:rStyle w:val="CharacterStyle6"/>
                <w:b w:val="0"/>
              </w:rPr>
              <w:t>6.000,00</w:t>
            </w:r>
          </w:p>
        </w:tc>
        <w:tc>
          <w:tcPr>
            <w:tcW w:w="2115" w:type="dxa"/>
            <w:tcBorders>
              <w:bottom w:val="single" w:sz="6" w:space="0" w:color="000000"/>
              <w:right w:val="single" w:sz="6" w:space="0" w:color="000000"/>
            </w:tcBorders>
            <w:vAlign w:val="center"/>
          </w:tcPr>
          <w:p w14:paraId="34BF4DE3" w14:textId="77777777" w:rsidR="00D93EBC" w:rsidRPr="00D93EBC" w:rsidRDefault="00D93EBC" w:rsidP="00D93EBC">
            <w:pPr>
              <w:pStyle w:val="ParagraphStyle6"/>
              <w:rPr>
                <w:rStyle w:val="CharacterStyle6"/>
                <w:b w:val="0"/>
              </w:rPr>
            </w:pPr>
            <w:r w:rsidRPr="00D93EBC">
              <w:rPr>
                <w:rStyle w:val="CharacterStyle6"/>
                <w:b w:val="0"/>
              </w:rPr>
              <w:t>14.000,00</w:t>
            </w:r>
          </w:p>
        </w:tc>
        <w:tc>
          <w:tcPr>
            <w:tcW w:w="2130" w:type="dxa"/>
            <w:tcBorders>
              <w:bottom w:val="single" w:sz="6" w:space="0" w:color="000000"/>
              <w:right w:val="single" w:sz="6" w:space="0" w:color="000000"/>
            </w:tcBorders>
            <w:vAlign w:val="center"/>
          </w:tcPr>
          <w:p w14:paraId="2A1BD548" w14:textId="77777777" w:rsidR="00D93EBC" w:rsidRPr="00D93EBC" w:rsidRDefault="00D93EBC" w:rsidP="00D93EBC">
            <w:pPr>
              <w:pStyle w:val="ParagraphStyle6"/>
              <w:rPr>
                <w:rStyle w:val="CharacterStyle6"/>
                <w:b w:val="0"/>
              </w:rPr>
            </w:pPr>
            <w:r w:rsidRPr="00D93EBC">
              <w:rPr>
                <w:rStyle w:val="CharacterStyle6"/>
                <w:b w:val="0"/>
              </w:rPr>
              <w:t>14.000,00</w:t>
            </w:r>
          </w:p>
        </w:tc>
        <w:tc>
          <w:tcPr>
            <w:tcW w:w="2145" w:type="dxa"/>
            <w:tcBorders>
              <w:bottom w:val="single" w:sz="6" w:space="0" w:color="000000"/>
              <w:right w:val="single" w:sz="6" w:space="0" w:color="000000"/>
            </w:tcBorders>
            <w:vAlign w:val="center"/>
          </w:tcPr>
          <w:p w14:paraId="08D20081" w14:textId="77777777" w:rsidR="00D93EBC" w:rsidRPr="00D93EBC" w:rsidRDefault="00D93EBC" w:rsidP="00D93EBC">
            <w:pPr>
              <w:pStyle w:val="ParagraphStyle6"/>
              <w:rPr>
                <w:rStyle w:val="CharacterStyle6"/>
                <w:b w:val="0"/>
              </w:rPr>
            </w:pPr>
            <w:r w:rsidRPr="00D93EBC">
              <w:rPr>
                <w:rStyle w:val="CharacterStyle6"/>
                <w:b w:val="0"/>
              </w:rPr>
              <w:t>14.000,00</w:t>
            </w:r>
          </w:p>
        </w:tc>
      </w:tr>
      <w:tr w:rsidR="00D93EBC" w14:paraId="5E9E77D5" w14:textId="77777777" w:rsidTr="00C03A15">
        <w:trPr>
          <w:trHeight w:val="360"/>
        </w:trPr>
        <w:tc>
          <w:tcPr>
            <w:tcW w:w="4200" w:type="dxa"/>
            <w:tcBorders>
              <w:left w:val="single" w:sz="6" w:space="0" w:color="000000"/>
              <w:bottom w:val="single" w:sz="6" w:space="0" w:color="000000"/>
              <w:right w:val="single" w:sz="6" w:space="0" w:color="000000"/>
            </w:tcBorders>
            <w:vAlign w:val="center"/>
          </w:tcPr>
          <w:p w14:paraId="2D2AEAA6" w14:textId="77777777" w:rsidR="00D93EBC" w:rsidRPr="00C03A15" w:rsidRDefault="00D93EBC" w:rsidP="00D93EBC">
            <w:pPr>
              <w:pStyle w:val="ParagraphStyle5"/>
              <w:rPr>
                <w:rStyle w:val="CharacterStyle5"/>
                <w:b w:val="0"/>
              </w:rPr>
            </w:pPr>
            <w:r w:rsidRPr="00C03A15">
              <w:rPr>
                <w:rStyle w:val="CharacterStyle5"/>
                <w:b w:val="0"/>
              </w:rPr>
              <w:t>095 Obrazovanje koje se ne može definirati po stupnju</w:t>
            </w:r>
          </w:p>
        </w:tc>
        <w:tc>
          <w:tcPr>
            <w:tcW w:w="2130" w:type="dxa"/>
            <w:tcBorders>
              <w:bottom w:val="single" w:sz="6" w:space="0" w:color="000000"/>
              <w:right w:val="single" w:sz="6" w:space="0" w:color="000000"/>
            </w:tcBorders>
            <w:vAlign w:val="center"/>
          </w:tcPr>
          <w:p w14:paraId="6278C07D" w14:textId="77777777" w:rsidR="00D93EBC" w:rsidRPr="00C03A15" w:rsidRDefault="00D93EBC" w:rsidP="00D93EBC">
            <w:pPr>
              <w:pStyle w:val="ParagraphStyle6"/>
              <w:rPr>
                <w:rStyle w:val="CharacterStyle6"/>
                <w:b w:val="0"/>
              </w:rPr>
            </w:pPr>
            <w:r w:rsidRPr="00C03A15">
              <w:rPr>
                <w:rStyle w:val="CharacterStyle6"/>
                <w:b w:val="0"/>
              </w:rPr>
              <w:t>257.403,17</w:t>
            </w:r>
          </w:p>
        </w:tc>
        <w:tc>
          <w:tcPr>
            <w:tcW w:w="2130" w:type="dxa"/>
            <w:tcBorders>
              <w:bottom w:val="single" w:sz="6" w:space="0" w:color="000000"/>
              <w:right w:val="single" w:sz="6" w:space="0" w:color="000000"/>
            </w:tcBorders>
            <w:vAlign w:val="center"/>
          </w:tcPr>
          <w:p w14:paraId="4D7D619D" w14:textId="77777777" w:rsidR="00D93EBC" w:rsidRPr="00C03A15" w:rsidRDefault="00D93EBC" w:rsidP="00D93EBC">
            <w:pPr>
              <w:pStyle w:val="ParagraphStyle6"/>
              <w:rPr>
                <w:rStyle w:val="CharacterStyle6"/>
                <w:b w:val="0"/>
              </w:rPr>
            </w:pPr>
            <w:r w:rsidRPr="00C03A15">
              <w:rPr>
                <w:rStyle w:val="CharacterStyle6"/>
                <w:b w:val="0"/>
              </w:rPr>
              <w:t>312.440,00</w:t>
            </w:r>
          </w:p>
        </w:tc>
        <w:tc>
          <w:tcPr>
            <w:tcW w:w="2115" w:type="dxa"/>
            <w:tcBorders>
              <w:bottom w:val="single" w:sz="6" w:space="0" w:color="000000"/>
              <w:right w:val="single" w:sz="6" w:space="0" w:color="000000"/>
            </w:tcBorders>
            <w:vAlign w:val="center"/>
          </w:tcPr>
          <w:p w14:paraId="5E169495" w14:textId="77777777" w:rsidR="00D93EBC" w:rsidRPr="00D93EBC" w:rsidRDefault="00D93EBC" w:rsidP="00D93EBC">
            <w:pPr>
              <w:pStyle w:val="ParagraphStyle6"/>
              <w:rPr>
                <w:rStyle w:val="CharacterStyle6"/>
                <w:b w:val="0"/>
              </w:rPr>
            </w:pPr>
            <w:r w:rsidRPr="00D93EBC">
              <w:rPr>
                <w:rStyle w:val="CharacterStyle6"/>
                <w:b w:val="0"/>
              </w:rPr>
              <w:t>348.000,00</w:t>
            </w:r>
          </w:p>
        </w:tc>
        <w:tc>
          <w:tcPr>
            <w:tcW w:w="2130" w:type="dxa"/>
            <w:tcBorders>
              <w:bottom w:val="single" w:sz="6" w:space="0" w:color="000000"/>
              <w:right w:val="single" w:sz="6" w:space="0" w:color="000000"/>
            </w:tcBorders>
            <w:vAlign w:val="center"/>
          </w:tcPr>
          <w:p w14:paraId="234EFC16" w14:textId="77777777" w:rsidR="00D93EBC" w:rsidRPr="00D93EBC" w:rsidRDefault="00D93EBC" w:rsidP="00D93EBC">
            <w:pPr>
              <w:pStyle w:val="ParagraphStyle6"/>
              <w:rPr>
                <w:rStyle w:val="CharacterStyle6"/>
                <w:b w:val="0"/>
              </w:rPr>
            </w:pPr>
            <w:r w:rsidRPr="00D93EBC">
              <w:rPr>
                <w:rStyle w:val="CharacterStyle6"/>
                <w:b w:val="0"/>
              </w:rPr>
              <w:t>350.500,00</w:t>
            </w:r>
          </w:p>
        </w:tc>
        <w:tc>
          <w:tcPr>
            <w:tcW w:w="2145" w:type="dxa"/>
            <w:tcBorders>
              <w:bottom w:val="single" w:sz="6" w:space="0" w:color="000000"/>
              <w:right w:val="single" w:sz="6" w:space="0" w:color="000000"/>
            </w:tcBorders>
            <w:vAlign w:val="center"/>
          </w:tcPr>
          <w:p w14:paraId="2829974F" w14:textId="77777777" w:rsidR="00D93EBC" w:rsidRPr="00D93EBC" w:rsidRDefault="00D93EBC" w:rsidP="00D93EBC">
            <w:pPr>
              <w:pStyle w:val="ParagraphStyle6"/>
              <w:rPr>
                <w:rStyle w:val="CharacterStyle6"/>
                <w:b w:val="0"/>
              </w:rPr>
            </w:pPr>
            <w:r w:rsidRPr="00D93EBC">
              <w:rPr>
                <w:rStyle w:val="CharacterStyle6"/>
                <w:b w:val="0"/>
              </w:rPr>
              <w:t>364.500,00</w:t>
            </w:r>
          </w:p>
        </w:tc>
      </w:tr>
      <w:tr w:rsidR="00D93EBC" w14:paraId="4522C158" w14:textId="77777777" w:rsidTr="00C03A15">
        <w:trPr>
          <w:trHeight w:val="360"/>
        </w:trPr>
        <w:tc>
          <w:tcPr>
            <w:tcW w:w="4200" w:type="dxa"/>
            <w:tcBorders>
              <w:left w:val="single" w:sz="6" w:space="0" w:color="000000"/>
              <w:bottom w:val="single" w:sz="6" w:space="0" w:color="000000"/>
              <w:right w:val="single" w:sz="6" w:space="0" w:color="000000"/>
            </w:tcBorders>
            <w:vAlign w:val="center"/>
          </w:tcPr>
          <w:p w14:paraId="006800D2" w14:textId="77777777" w:rsidR="00D93EBC" w:rsidRPr="00C03A15" w:rsidRDefault="00D93EBC" w:rsidP="00D93EBC">
            <w:pPr>
              <w:pStyle w:val="ParagraphStyle5"/>
              <w:rPr>
                <w:rStyle w:val="CharacterStyle5"/>
                <w:b w:val="0"/>
              </w:rPr>
            </w:pPr>
            <w:r w:rsidRPr="00C03A15">
              <w:rPr>
                <w:rStyle w:val="CharacterStyle5"/>
                <w:b w:val="0"/>
              </w:rPr>
              <w:t>096 Dodatne usluge u obrazovanju</w:t>
            </w:r>
          </w:p>
        </w:tc>
        <w:tc>
          <w:tcPr>
            <w:tcW w:w="2130" w:type="dxa"/>
            <w:tcBorders>
              <w:bottom w:val="single" w:sz="6" w:space="0" w:color="000000"/>
              <w:right w:val="single" w:sz="6" w:space="0" w:color="000000"/>
            </w:tcBorders>
            <w:vAlign w:val="center"/>
          </w:tcPr>
          <w:p w14:paraId="30F434FB" w14:textId="77777777" w:rsidR="00D93EBC" w:rsidRPr="00C03A15" w:rsidRDefault="00D93EBC" w:rsidP="00D93EBC">
            <w:pPr>
              <w:pStyle w:val="ParagraphStyle6"/>
              <w:rPr>
                <w:rStyle w:val="CharacterStyle6"/>
                <w:b w:val="0"/>
              </w:rPr>
            </w:pPr>
            <w:r w:rsidRPr="00C03A15">
              <w:rPr>
                <w:rStyle w:val="CharacterStyle6"/>
                <w:b w:val="0"/>
              </w:rPr>
              <w:t>45.646,60</w:t>
            </w:r>
          </w:p>
        </w:tc>
        <w:tc>
          <w:tcPr>
            <w:tcW w:w="2130" w:type="dxa"/>
            <w:tcBorders>
              <w:bottom w:val="single" w:sz="6" w:space="0" w:color="000000"/>
              <w:right w:val="single" w:sz="6" w:space="0" w:color="000000"/>
            </w:tcBorders>
            <w:vAlign w:val="center"/>
          </w:tcPr>
          <w:p w14:paraId="23A15FF9" w14:textId="77777777" w:rsidR="00D93EBC" w:rsidRPr="00C03A15" w:rsidRDefault="00D93EBC" w:rsidP="00D93EBC">
            <w:pPr>
              <w:pStyle w:val="ParagraphStyle6"/>
              <w:rPr>
                <w:rStyle w:val="CharacterStyle6"/>
                <w:b w:val="0"/>
              </w:rPr>
            </w:pPr>
            <w:r w:rsidRPr="00C03A15">
              <w:rPr>
                <w:rStyle w:val="CharacterStyle6"/>
                <w:b w:val="0"/>
              </w:rPr>
              <w:t>57.950,00</w:t>
            </w:r>
          </w:p>
        </w:tc>
        <w:tc>
          <w:tcPr>
            <w:tcW w:w="2115" w:type="dxa"/>
            <w:tcBorders>
              <w:bottom w:val="single" w:sz="6" w:space="0" w:color="000000"/>
              <w:right w:val="single" w:sz="6" w:space="0" w:color="000000"/>
            </w:tcBorders>
            <w:vAlign w:val="center"/>
          </w:tcPr>
          <w:p w14:paraId="00EB8CB5" w14:textId="77777777" w:rsidR="00D93EBC" w:rsidRPr="00D93EBC" w:rsidRDefault="00D93EBC" w:rsidP="00D93EBC">
            <w:pPr>
              <w:pStyle w:val="ParagraphStyle6"/>
              <w:rPr>
                <w:rStyle w:val="CharacterStyle6"/>
                <w:b w:val="0"/>
              </w:rPr>
            </w:pPr>
            <w:r w:rsidRPr="00D93EBC">
              <w:rPr>
                <w:rStyle w:val="CharacterStyle6"/>
                <w:b w:val="0"/>
              </w:rPr>
              <w:t>58.000,00</w:t>
            </w:r>
          </w:p>
        </w:tc>
        <w:tc>
          <w:tcPr>
            <w:tcW w:w="2130" w:type="dxa"/>
            <w:tcBorders>
              <w:bottom w:val="single" w:sz="6" w:space="0" w:color="000000"/>
              <w:right w:val="single" w:sz="6" w:space="0" w:color="000000"/>
            </w:tcBorders>
            <w:vAlign w:val="center"/>
          </w:tcPr>
          <w:p w14:paraId="6781A689" w14:textId="77777777" w:rsidR="00D93EBC" w:rsidRPr="00D93EBC" w:rsidRDefault="00D93EBC" w:rsidP="00D93EBC">
            <w:pPr>
              <w:pStyle w:val="ParagraphStyle6"/>
              <w:rPr>
                <w:rStyle w:val="CharacterStyle6"/>
                <w:b w:val="0"/>
              </w:rPr>
            </w:pPr>
            <w:r w:rsidRPr="00D93EBC">
              <w:rPr>
                <w:rStyle w:val="CharacterStyle6"/>
                <w:b w:val="0"/>
              </w:rPr>
              <w:t>62.000,00</w:t>
            </w:r>
          </w:p>
        </w:tc>
        <w:tc>
          <w:tcPr>
            <w:tcW w:w="2145" w:type="dxa"/>
            <w:tcBorders>
              <w:bottom w:val="single" w:sz="6" w:space="0" w:color="000000"/>
              <w:right w:val="single" w:sz="6" w:space="0" w:color="000000"/>
            </w:tcBorders>
            <w:vAlign w:val="center"/>
          </w:tcPr>
          <w:p w14:paraId="73DECB1B" w14:textId="77777777" w:rsidR="00D93EBC" w:rsidRPr="00D93EBC" w:rsidRDefault="00D93EBC" w:rsidP="00D93EBC">
            <w:pPr>
              <w:pStyle w:val="ParagraphStyle6"/>
              <w:rPr>
                <w:rStyle w:val="CharacterStyle6"/>
                <w:b w:val="0"/>
              </w:rPr>
            </w:pPr>
            <w:r w:rsidRPr="00D93EBC">
              <w:rPr>
                <w:rStyle w:val="CharacterStyle6"/>
                <w:b w:val="0"/>
              </w:rPr>
              <w:t>66.000,00</w:t>
            </w:r>
          </w:p>
        </w:tc>
      </w:tr>
      <w:tr w:rsidR="00D93EBC" w14:paraId="6236FEC0" w14:textId="77777777" w:rsidTr="00C03A15">
        <w:trPr>
          <w:trHeight w:val="360"/>
        </w:trPr>
        <w:tc>
          <w:tcPr>
            <w:tcW w:w="4200" w:type="dxa"/>
            <w:tcBorders>
              <w:left w:val="single" w:sz="6" w:space="0" w:color="000000"/>
              <w:bottom w:val="single" w:sz="6" w:space="0" w:color="000000"/>
              <w:right w:val="single" w:sz="6" w:space="0" w:color="000000"/>
            </w:tcBorders>
            <w:vAlign w:val="center"/>
          </w:tcPr>
          <w:p w14:paraId="61603498" w14:textId="77777777" w:rsidR="00D93EBC" w:rsidRPr="00C03A15" w:rsidRDefault="00D93EBC" w:rsidP="00D93EBC">
            <w:pPr>
              <w:pStyle w:val="ParagraphStyle5"/>
              <w:rPr>
                <w:rStyle w:val="CharacterStyle5"/>
                <w:b w:val="0"/>
              </w:rPr>
            </w:pPr>
            <w:r w:rsidRPr="00C03A15">
              <w:rPr>
                <w:rStyle w:val="CharacterStyle5"/>
                <w:b w:val="0"/>
              </w:rPr>
              <w:t>097 Istraživanje i razvoj obrazovanja</w:t>
            </w:r>
          </w:p>
        </w:tc>
        <w:tc>
          <w:tcPr>
            <w:tcW w:w="2130" w:type="dxa"/>
            <w:tcBorders>
              <w:bottom w:val="single" w:sz="6" w:space="0" w:color="000000"/>
              <w:right w:val="single" w:sz="6" w:space="0" w:color="000000"/>
            </w:tcBorders>
            <w:vAlign w:val="center"/>
          </w:tcPr>
          <w:p w14:paraId="42CE8D13" w14:textId="77777777" w:rsidR="00D93EBC" w:rsidRPr="00C03A15" w:rsidRDefault="00D93EBC" w:rsidP="00D93EBC">
            <w:pPr>
              <w:pStyle w:val="ParagraphStyle6"/>
              <w:rPr>
                <w:rStyle w:val="CharacterStyle6"/>
                <w:b w:val="0"/>
              </w:rPr>
            </w:pPr>
            <w:r w:rsidRPr="00C03A15">
              <w:rPr>
                <w:rStyle w:val="CharacterStyle6"/>
                <w:b w:val="0"/>
              </w:rPr>
              <w:t>1.036.885,93</w:t>
            </w:r>
          </w:p>
        </w:tc>
        <w:tc>
          <w:tcPr>
            <w:tcW w:w="2130" w:type="dxa"/>
            <w:tcBorders>
              <w:bottom w:val="single" w:sz="6" w:space="0" w:color="000000"/>
              <w:right w:val="single" w:sz="6" w:space="0" w:color="000000"/>
            </w:tcBorders>
            <w:vAlign w:val="center"/>
          </w:tcPr>
          <w:p w14:paraId="0906F449" w14:textId="77777777" w:rsidR="00D93EBC" w:rsidRPr="00C03A15" w:rsidRDefault="00D93EBC" w:rsidP="00D93EBC">
            <w:pPr>
              <w:pStyle w:val="ParagraphStyle6"/>
              <w:rPr>
                <w:rStyle w:val="CharacterStyle6"/>
                <w:b w:val="0"/>
              </w:rPr>
            </w:pPr>
            <w:r w:rsidRPr="00C03A15">
              <w:rPr>
                <w:rStyle w:val="CharacterStyle6"/>
                <w:b w:val="0"/>
              </w:rPr>
              <w:t>385.000,00</w:t>
            </w:r>
          </w:p>
        </w:tc>
        <w:tc>
          <w:tcPr>
            <w:tcW w:w="2115" w:type="dxa"/>
            <w:tcBorders>
              <w:bottom w:val="single" w:sz="6" w:space="0" w:color="000000"/>
              <w:right w:val="single" w:sz="6" w:space="0" w:color="000000"/>
            </w:tcBorders>
            <w:vAlign w:val="center"/>
          </w:tcPr>
          <w:p w14:paraId="6AD65AF3" w14:textId="77777777" w:rsidR="00D93EBC" w:rsidRPr="00D93EBC" w:rsidRDefault="00D93EBC" w:rsidP="00D93EBC">
            <w:pPr>
              <w:pStyle w:val="ParagraphStyle6"/>
              <w:rPr>
                <w:rStyle w:val="CharacterStyle6"/>
                <w:b w:val="0"/>
              </w:rPr>
            </w:pPr>
            <w:r w:rsidRPr="00D93EBC">
              <w:rPr>
                <w:rStyle w:val="CharacterStyle6"/>
                <w:b w:val="0"/>
              </w:rPr>
              <w:t>0,00</w:t>
            </w:r>
          </w:p>
        </w:tc>
        <w:tc>
          <w:tcPr>
            <w:tcW w:w="2130" w:type="dxa"/>
            <w:tcBorders>
              <w:bottom w:val="single" w:sz="6" w:space="0" w:color="000000"/>
              <w:right w:val="single" w:sz="6" w:space="0" w:color="000000"/>
            </w:tcBorders>
            <w:vAlign w:val="center"/>
          </w:tcPr>
          <w:p w14:paraId="3C6C1297" w14:textId="77777777" w:rsidR="00D93EBC" w:rsidRPr="00D93EBC" w:rsidRDefault="00D93EBC" w:rsidP="00D93EBC">
            <w:pPr>
              <w:pStyle w:val="ParagraphStyle6"/>
              <w:rPr>
                <w:rStyle w:val="CharacterStyle6"/>
                <w:b w:val="0"/>
              </w:rPr>
            </w:pPr>
            <w:r w:rsidRPr="00D93EBC">
              <w:rPr>
                <w:rStyle w:val="CharacterStyle6"/>
                <w:b w:val="0"/>
              </w:rPr>
              <w:t>0,00</w:t>
            </w:r>
          </w:p>
        </w:tc>
        <w:tc>
          <w:tcPr>
            <w:tcW w:w="2145" w:type="dxa"/>
            <w:tcBorders>
              <w:bottom w:val="single" w:sz="6" w:space="0" w:color="000000"/>
              <w:right w:val="single" w:sz="6" w:space="0" w:color="000000"/>
            </w:tcBorders>
            <w:vAlign w:val="center"/>
          </w:tcPr>
          <w:p w14:paraId="1911FD81" w14:textId="77777777" w:rsidR="00D93EBC" w:rsidRPr="00D93EBC" w:rsidRDefault="00D93EBC" w:rsidP="00D93EBC">
            <w:pPr>
              <w:pStyle w:val="ParagraphStyle6"/>
              <w:rPr>
                <w:rStyle w:val="CharacterStyle6"/>
                <w:b w:val="0"/>
              </w:rPr>
            </w:pPr>
            <w:r w:rsidRPr="00D93EBC">
              <w:rPr>
                <w:rStyle w:val="CharacterStyle6"/>
                <w:b w:val="0"/>
              </w:rPr>
              <w:t>0,00</w:t>
            </w:r>
          </w:p>
        </w:tc>
      </w:tr>
      <w:tr w:rsidR="00D93EBC" w14:paraId="4FEE8F8F" w14:textId="77777777" w:rsidTr="00C03A15">
        <w:trPr>
          <w:trHeight w:val="360"/>
        </w:trPr>
        <w:tc>
          <w:tcPr>
            <w:tcW w:w="4200" w:type="dxa"/>
            <w:tcBorders>
              <w:left w:val="single" w:sz="6" w:space="0" w:color="000000"/>
              <w:bottom w:val="single" w:sz="6" w:space="0" w:color="000000"/>
              <w:right w:val="single" w:sz="6" w:space="0" w:color="000000"/>
            </w:tcBorders>
            <w:vAlign w:val="center"/>
          </w:tcPr>
          <w:p w14:paraId="72D7F120" w14:textId="77777777" w:rsidR="00D93EBC" w:rsidRPr="00EE3A4E" w:rsidRDefault="00D93EBC" w:rsidP="00D93EBC">
            <w:pPr>
              <w:pStyle w:val="ParagraphStyle3"/>
              <w:jc w:val="left"/>
              <w:rPr>
                <w:rStyle w:val="CharacterStyle3"/>
              </w:rPr>
            </w:pPr>
            <w:r w:rsidRPr="00EE3A4E">
              <w:rPr>
                <w:rStyle w:val="CharacterStyle3"/>
              </w:rPr>
              <w:t>10 Socijalna zaštita</w:t>
            </w:r>
          </w:p>
        </w:tc>
        <w:tc>
          <w:tcPr>
            <w:tcW w:w="2130" w:type="dxa"/>
            <w:tcBorders>
              <w:bottom w:val="single" w:sz="6" w:space="0" w:color="000000"/>
              <w:right w:val="single" w:sz="6" w:space="0" w:color="000000"/>
            </w:tcBorders>
            <w:vAlign w:val="center"/>
          </w:tcPr>
          <w:p w14:paraId="614A4F9C" w14:textId="77777777" w:rsidR="00D93EBC" w:rsidRPr="00EE3A4E" w:rsidRDefault="00D93EBC" w:rsidP="00D93EBC">
            <w:pPr>
              <w:pStyle w:val="ParagraphStyle4"/>
              <w:jc w:val="right"/>
              <w:rPr>
                <w:rStyle w:val="CharacterStyle4"/>
              </w:rPr>
            </w:pPr>
            <w:r w:rsidRPr="00EE3A4E">
              <w:rPr>
                <w:rStyle w:val="CharacterStyle4"/>
              </w:rPr>
              <w:t>754.931,92</w:t>
            </w:r>
          </w:p>
        </w:tc>
        <w:tc>
          <w:tcPr>
            <w:tcW w:w="2130" w:type="dxa"/>
            <w:tcBorders>
              <w:bottom w:val="single" w:sz="6" w:space="0" w:color="000000"/>
              <w:right w:val="single" w:sz="6" w:space="0" w:color="000000"/>
            </w:tcBorders>
            <w:vAlign w:val="center"/>
          </w:tcPr>
          <w:p w14:paraId="7ADCFE97" w14:textId="77777777" w:rsidR="00D93EBC" w:rsidRPr="00EE3A4E" w:rsidRDefault="00D93EBC" w:rsidP="00D93EBC">
            <w:pPr>
              <w:pStyle w:val="ParagraphStyle4"/>
              <w:jc w:val="right"/>
              <w:rPr>
                <w:rStyle w:val="CharacterStyle4"/>
              </w:rPr>
            </w:pPr>
            <w:r w:rsidRPr="00EE3A4E">
              <w:rPr>
                <w:rStyle w:val="CharacterStyle4"/>
              </w:rPr>
              <w:t>1.341.550,50</w:t>
            </w:r>
          </w:p>
        </w:tc>
        <w:tc>
          <w:tcPr>
            <w:tcW w:w="2115" w:type="dxa"/>
            <w:tcBorders>
              <w:bottom w:val="single" w:sz="6" w:space="0" w:color="000000"/>
              <w:right w:val="single" w:sz="6" w:space="0" w:color="000000"/>
            </w:tcBorders>
            <w:vAlign w:val="center"/>
          </w:tcPr>
          <w:p w14:paraId="0B1FEEC7" w14:textId="77777777" w:rsidR="00D93EBC" w:rsidRDefault="00D93EBC" w:rsidP="00D93EBC">
            <w:pPr>
              <w:pStyle w:val="ParagraphStyle4"/>
              <w:jc w:val="right"/>
              <w:rPr>
                <w:rStyle w:val="CharacterStyle4"/>
              </w:rPr>
            </w:pPr>
            <w:r>
              <w:rPr>
                <w:rStyle w:val="CharacterStyle4"/>
              </w:rPr>
              <w:t>1.100.247,00</w:t>
            </w:r>
          </w:p>
        </w:tc>
        <w:tc>
          <w:tcPr>
            <w:tcW w:w="2130" w:type="dxa"/>
            <w:tcBorders>
              <w:bottom w:val="single" w:sz="6" w:space="0" w:color="000000"/>
              <w:right w:val="single" w:sz="6" w:space="0" w:color="000000"/>
            </w:tcBorders>
            <w:vAlign w:val="center"/>
          </w:tcPr>
          <w:p w14:paraId="63180EF3" w14:textId="77777777" w:rsidR="00D93EBC" w:rsidRDefault="00D93EBC" w:rsidP="00D93EBC">
            <w:pPr>
              <w:pStyle w:val="ParagraphStyle4"/>
              <w:jc w:val="right"/>
              <w:rPr>
                <w:rStyle w:val="CharacterStyle4"/>
              </w:rPr>
            </w:pPr>
            <w:r>
              <w:rPr>
                <w:rStyle w:val="CharacterStyle4"/>
              </w:rPr>
              <w:t>1.043.833,00</w:t>
            </w:r>
          </w:p>
        </w:tc>
        <w:tc>
          <w:tcPr>
            <w:tcW w:w="2145" w:type="dxa"/>
            <w:tcBorders>
              <w:bottom w:val="single" w:sz="6" w:space="0" w:color="000000"/>
              <w:right w:val="single" w:sz="6" w:space="0" w:color="000000"/>
            </w:tcBorders>
            <w:vAlign w:val="center"/>
          </w:tcPr>
          <w:p w14:paraId="2D026522" w14:textId="77777777" w:rsidR="00D93EBC" w:rsidRDefault="00D93EBC" w:rsidP="00D93EBC">
            <w:pPr>
              <w:pStyle w:val="ParagraphStyle4"/>
              <w:jc w:val="right"/>
              <w:rPr>
                <w:rStyle w:val="CharacterStyle4"/>
              </w:rPr>
            </w:pPr>
            <w:r>
              <w:rPr>
                <w:rStyle w:val="CharacterStyle4"/>
              </w:rPr>
              <w:t>1.086.457,00</w:t>
            </w:r>
          </w:p>
        </w:tc>
      </w:tr>
      <w:tr w:rsidR="00D93EBC" w14:paraId="2C54B593" w14:textId="77777777" w:rsidTr="00C03A15">
        <w:trPr>
          <w:trHeight w:val="420"/>
        </w:trPr>
        <w:tc>
          <w:tcPr>
            <w:tcW w:w="4200" w:type="dxa"/>
            <w:tcBorders>
              <w:left w:val="single" w:sz="6" w:space="0" w:color="000000"/>
              <w:bottom w:val="single" w:sz="6" w:space="0" w:color="000000"/>
              <w:right w:val="single" w:sz="6" w:space="0" w:color="000000"/>
            </w:tcBorders>
            <w:vAlign w:val="center"/>
          </w:tcPr>
          <w:p w14:paraId="0E06425C" w14:textId="77777777" w:rsidR="00D93EBC" w:rsidRPr="00C03A15" w:rsidRDefault="00D93EBC" w:rsidP="00D93EBC">
            <w:pPr>
              <w:pStyle w:val="ParagraphStyle5"/>
              <w:rPr>
                <w:rStyle w:val="CharacterStyle5"/>
                <w:b w:val="0"/>
              </w:rPr>
            </w:pPr>
            <w:r w:rsidRPr="00C03A15">
              <w:rPr>
                <w:rStyle w:val="CharacterStyle5"/>
                <w:b w:val="0"/>
              </w:rPr>
              <w:t>107 Socijalna pomoć stanovništvu koje nije obuhvaćeno redovnim socijalnim programima</w:t>
            </w:r>
          </w:p>
        </w:tc>
        <w:tc>
          <w:tcPr>
            <w:tcW w:w="2130" w:type="dxa"/>
            <w:tcBorders>
              <w:bottom w:val="single" w:sz="6" w:space="0" w:color="000000"/>
              <w:right w:val="single" w:sz="6" w:space="0" w:color="000000"/>
            </w:tcBorders>
            <w:vAlign w:val="center"/>
          </w:tcPr>
          <w:p w14:paraId="212C7BFF" w14:textId="77777777" w:rsidR="00D93EBC" w:rsidRPr="00C03A15" w:rsidRDefault="00D93EBC" w:rsidP="00D93EBC">
            <w:pPr>
              <w:pStyle w:val="ParagraphStyle6"/>
              <w:rPr>
                <w:rStyle w:val="CharacterStyle6"/>
                <w:b w:val="0"/>
              </w:rPr>
            </w:pPr>
            <w:r w:rsidRPr="00C03A15">
              <w:rPr>
                <w:rStyle w:val="CharacterStyle6"/>
                <w:b w:val="0"/>
              </w:rPr>
              <w:t>754.931,92</w:t>
            </w:r>
          </w:p>
        </w:tc>
        <w:tc>
          <w:tcPr>
            <w:tcW w:w="2130" w:type="dxa"/>
            <w:tcBorders>
              <w:bottom w:val="single" w:sz="6" w:space="0" w:color="000000"/>
              <w:right w:val="single" w:sz="6" w:space="0" w:color="000000"/>
            </w:tcBorders>
            <w:vAlign w:val="center"/>
          </w:tcPr>
          <w:p w14:paraId="429D9E6F" w14:textId="77777777" w:rsidR="00D93EBC" w:rsidRPr="00C03A15" w:rsidRDefault="00D93EBC" w:rsidP="00D93EBC">
            <w:pPr>
              <w:pStyle w:val="ParagraphStyle6"/>
              <w:rPr>
                <w:rStyle w:val="CharacterStyle6"/>
                <w:b w:val="0"/>
              </w:rPr>
            </w:pPr>
            <w:r w:rsidRPr="00C03A15">
              <w:rPr>
                <w:rStyle w:val="CharacterStyle6"/>
                <w:b w:val="0"/>
              </w:rPr>
              <w:t>1.341.550,50</w:t>
            </w:r>
          </w:p>
        </w:tc>
        <w:tc>
          <w:tcPr>
            <w:tcW w:w="2115" w:type="dxa"/>
            <w:tcBorders>
              <w:bottom w:val="single" w:sz="6" w:space="0" w:color="000000"/>
              <w:right w:val="single" w:sz="6" w:space="0" w:color="000000"/>
            </w:tcBorders>
            <w:vAlign w:val="center"/>
          </w:tcPr>
          <w:p w14:paraId="33D3D607" w14:textId="77777777" w:rsidR="00D93EBC" w:rsidRPr="00D93EBC" w:rsidRDefault="00D93EBC" w:rsidP="00D93EBC">
            <w:pPr>
              <w:pStyle w:val="ParagraphStyle6"/>
              <w:rPr>
                <w:rStyle w:val="CharacterStyle6"/>
                <w:b w:val="0"/>
              </w:rPr>
            </w:pPr>
            <w:r w:rsidRPr="00D93EBC">
              <w:rPr>
                <w:rStyle w:val="CharacterStyle6"/>
                <w:b w:val="0"/>
              </w:rPr>
              <w:t>1.100.247,00</w:t>
            </w:r>
          </w:p>
        </w:tc>
        <w:tc>
          <w:tcPr>
            <w:tcW w:w="2130" w:type="dxa"/>
            <w:tcBorders>
              <w:bottom w:val="single" w:sz="6" w:space="0" w:color="000000"/>
              <w:right w:val="single" w:sz="6" w:space="0" w:color="000000"/>
            </w:tcBorders>
            <w:vAlign w:val="center"/>
          </w:tcPr>
          <w:p w14:paraId="60C68BE1" w14:textId="77777777" w:rsidR="00D93EBC" w:rsidRPr="00D93EBC" w:rsidRDefault="00D93EBC" w:rsidP="00D93EBC">
            <w:pPr>
              <w:pStyle w:val="ParagraphStyle6"/>
              <w:rPr>
                <w:rStyle w:val="CharacterStyle6"/>
                <w:b w:val="0"/>
              </w:rPr>
            </w:pPr>
            <w:r w:rsidRPr="00D93EBC">
              <w:rPr>
                <w:rStyle w:val="CharacterStyle6"/>
                <w:b w:val="0"/>
              </w:rPr>
              <w:t>1.043.833,00</w:t>
            </w:r>
          </w:p>
        </w:tc>
        <w:tc>
          <w:tcPr>
            <w:tcW w:w="2145" w:type="dxa"/>
            <w:tcBorders>
              <w:bottom w:val="single" w:sz="6" w:space="0" w:color="000000"/>
              <w:right w:val="single" w:sz="6" w:space="0" w:color="000000"/>
            </w:tcBorders>
            <w:vAlign w:val="center"/>
          </w:tcPr>
          <w:p w14:paraId="3BF11F90" w14:textId="77777777" w:rsidR="00D93EBC" w:rsidRPr="00D93EBC" w:rsidRDefault="00D93EBC" w:rsidP="00D93EBC">
            <w:pPr>
              <w:pStyle w:val="ParagraphStyle6"/>
              <w:rPr>
                <w:rStyle w:val="CharacterStyle6"/>
                <w:b w:val="0"/>
              </w:rPr>
            </w:pPr>
            <w:r w:rsidRPr="00D93EBC">
              <w:rPr>
                <w:rStyle w:val="CharacterStyle6"/>
                <w:b w:val="0"/>
              </w:rPr>
              <w:t>1.086.457,00</w:t>
            </w:r>
          </w:p>
        </w:tc>
      </w:tr>
    </w:tbl>
    <w:p w14:paraId="48C68F36" w14:textId="77777777" w:rsidR="002A4BFB" w:rsidRDefault="002A4BFB" w:rsidP="002A4BFB"/>
    <w:p w14:paraId="0470D70C" w14:textId="77777777" w:rsidR="002A4BFB" w:rsidRDefault="002A4BFB" w:rsidP="002A4BFB">
      <w:r>
        <w:br w:type="page"/>
      </w:r>
    </w:p>
    <w:tbl>
      <w:tblPr>
        <w:tblW w:w="0" w:type="auto"/>
        <w:tblLayout w:type="fixed"/>
        <w:tblCellMar>
          <w:left w:w="0" w:type="dxa"/>
          <w:right w:w="0" w:type="dxa"/>
        </w:tblCellMar>
        <w:tblLook w:val="04A0" w:firstRow="1" w:lastRow="0" w:firstColumn="1" w:lastColumn="0" w:noHBand="0" w:noVBand="1"/>
      </w:tblPr>
      <w:tblGrid>
        <w:gridCol w:w="14850"/>
      </w:tblGrid>
      <w:tr w:rsidR="002A4BFB" w14:paraId="4C31434F" w14:textId="77777777" w:rsidTr="00107D76">
        <w:trPr>
          <w:trHeight w:val="315"/>
        </w:trPr>
        <w:tc>
          <w:tcPr>
            <w:tcW w:w="14850" w:type="dxa"/>
            <w:vAlign w:val="center"/>
          </w:tcPr>
          <w:p w14:paraId="77F6A552" w14:textId="77777777" w:rsidR="002A4BFB" w:rsidRDefault="002A4BFB" w:rsidP="00107D76">
            <w:pPr>
              <w:pStyle w:val="ParagraphStyle0"/>
              <w:rPr>
                <w:rStyle w:val="CharacterStyle0"/>
              </w:rPr>
            </w:pPr>
            <w:r>
              <w:rPr>
                <w:rStyle w:val="CharacterStyle0"/>
              </w:rPr>
              <w:lastRenderedPageBreak/>
              <w:t>B. RAČUN FINANCIRANJA</w:t>
            </w:r>
          </w:p>
        </w:tc>
      </w:tr>
    </w:tbl>
    <w:p w14:paraId="18F005BE" w14:textId="77777777" w:rsidR="002A4BFB" w:rsidRDefault="002A4BFB" w:rsidP="002A4BFB">
      <w:pPr>
        <w:spacing w:line="255" w:lineRule="exact"/>
      </w:pPr>
    </w:p>
    <w:tbl>
      <w:tblPr>
        <w:tblW w:w="0" w:type="auto"/>
        <w:tblLayout w:type="fixed"/>
        <w:tblCellMar>
          <w:left w:w="0" w:type="dxa"/>
          <w:right w:w="0" w:type="dxa"/>
        </w:tblCellMar>
        <w:tblLook w:val="04A0" w:firstRow="1" w:lastRow="0" w:firstColumn="1" w:lastColumn="0" w:noHBand="0" w:noVBand="1"/>
      </w:tblPr>
      <w:tblGrid>
        <w:gridCol w:w="14850"/>
      </w:tblGrid>
      <w:tr w:rsidR="002A4BFB" w14:paraId="3857AC6E" w14:textId="77777777" w:rsidTr="00107D76">
        <w:trPr>
          <w:trHeight w:val="300"/>
        </w:trPr>
        <w:tc>
          <w:tcPr>
            <w:tcW w:w="14850" w:type="dxa"/>
            <w:vAlign w:val="center"/>
          </w:tcPr>
          <w:p w14:paraId="4B190DE8" w14:textId="77777777" w:rsidR="002A4BFB" w:rsidRDefault="002A4BFB" w:rsidP="00107D76">
            <w:pPr>
              <w:pStyle w:val="ParagraphStyle1"/>
              <w:rPr>
                <w:rStyle w:val="CharacterStyle1"/>
              </w:rPr>
            </w:pPr>
            <w:r>
              <w:rPr>
                <w:rStyle w:val="CharacterStyle1"/>
              </w:rPr>
              <w:t>B1. RAČUN FINANCIRANJA PREMA EKONOMSKOJ KLASIFIKACIJI</w:t>
            </w:r>
          </w:p>
          <w:p w14:paraId="1B376CDA" w14:textId="77777777" w:rsidR="002A4BFB" w:rsidRDefault="002A4BFB" w:rsidP="00107D76">
            <w:pPr>
              <w:pStyle w:val="ParagraphStyle1"/>
              <w:rPr>
                <w:rStyle w:val="CharacterStyle1"/>
              </w:rPr>
            </w:pPr>
          </w:p>
        </w:tc>
      </w:tr>
    </w:tbl>
    <w:p w14:paraId="167ECB82" w14:textId="77777777" w:rsidR="002A4BFB" w:rsidRDefault="002A4BFB" w:rsidP="002A4BFB">
      <w:pPr>
        <w:spacing w:line="195" w:lineRule="exact"/>
      </w:pPr>
    </w:p>
    <w:tbl>
      <w:tblPr>
        <w:tblW w:w="0" w:type="auto"/>
        <w:tblLayout w:type="fixed"/>
        <w:tblCellMar>
          <w:left w:w="0" w:type="dxa"/>
          <w:right w:w="0" w:type="dxa"/>
        </w:tblCellMar>
        <w:tblLook w:val="04A0" w:firstRow="1" w:lastRow="0" w:firstColumn="1" w:lastColumn="0" w:noHBand="0" w:noVBand="1"/>
      </w:tblPr>
      <w:tblGrid>
        <w:gridCol w:w="735"/>
        <w:gridCol w:w="780"/>
        <w:gridCol w:w="3675"/>
        <w:gridCol w:w="1920"/>
        <w:gridCol w:w="1935"/>
        <w:gridCol w:w="1935"/>
        <w:gridCol w:w="1935"/>
        <w:gridCol w:w="1935"/>
      </w:tblGrid>
      <w:tr w:rsidR="002A4BFB" w14:paraId="350C65EA" w14:textId="77777777" w:rsidTr="00107D76">
        <w:trPr>
          <w:trHeight w:val="555"/>
        </w:trPr>
        <w:tc>
          <w:tcPr>
            <w:tcW w:w="735" w:type="dxa"/>
            <w:tcBorders>
              <w:top w:val="single" w:sz="6" w:space="0" w:color="000000"/>
              <w:left w:val="single" w:sz="6" w:space="0" w:color="000000"/>
              <w:bottom w:val="single" w:sz="6" w:space="0" w:color="000000"/>
              <w:right w:val="single" w:sz="6" w:space="0" w:color="000000"/>
            </w:tcBorders>
            <w:shd w:val="clear" w:color="auto" w:fill="DCDCDC"/>
            <w:vAlign w:val="center"/>
          </w:tcPr>
          <w:p w14:paraId="19520203" w14:textId="77777777" w:rsidR="002A4BFB" w:rsidRPr="00EE3A4E" w:rsidRDefault="002A4BFB" w:rsidP="00107D76">
            <w:pPr>
              <w:pStyle w:val="ParagraphStyle2"/>
              <w:rPr>
                <w:rStyle w:val="CharacterStyle2"/>
              </w:rPr>
            </w:pPr>
            <w:r w:rsidRPr="00EE3A4E">
              <w:rPr>
                <w:rStyle w:val="CharacterStyle2"/>
              </w:rPr>
              <w:t>Razred</w:t>
            </w:r>
          </w:p>
        </w:tc>
        <w:tc>
          <w:tcPr>
            <w:tcW w:w="780" w:type="dxa"/>
            <w:tcBorders>
              <w:top w:val="single" w:sz="6" w:space="0" w:color="000000"/>
              <w:bottom w:val="single" w:sz="6" w:space="0" w:color="000000"/>
              <w:right w:val="single" w:sz="6" w:space="0" w:color="000000"/>
            </w:tcBorders>
            <w:shd w:val="clear" w:color="auto" w:fill="DCDCDC"/>
            <w:vAlign w:val="center"/>
          </w:tcPr>
          <w:p w14:paraId="7A23E103" w14:textId="77777777" w:rsidR="002A4BFB" w:rsidRPr="00EE3A4E" w:rsidRDefault="002A4BFB" w:rsidP="00107D76">
            <w:pPr>
              <w:pStyle w:val="ParagraphStyle3"/>
              <w:rPr>
                <w:rStyle w:val="CharacterStyle3"/>
              </w:rPr>
            </w:pPr>
            <w:r w:rsidRPr="00EE3A4E">
              <w:rPr>
                <w:rStyle w:val="CharacterStyle3"/>
              </w:rPr>
              <w:t>Skupina</w:t>
            </w:r>
          </w:p>
        </w:tc>
        <w:tc>
          <w:tcPr>
            <w:tcW w:w="3675" w:type="dxa"/>
            <w:tcBorders>
              <w:top w:val="single" w:sz="6" w:space="0" w:color="000000"/>
              <w:bottom w:val="single" w:sz="6" w:space="0" w:color="000000"/>
              <w:right w:val="single" w:sz="6" w:space="0" w:color="000000"/>
            </w:tcBorders>
            <w:shd w:val="clear" w:color="auto" w:fill="DCDCDC"/>
            <w:vAlign w:val="center"/>
          </w:tcPr>
          <w:p w14:paraId="4D7C2B92" w14:textId="77777777" w:rsidR="002A4BFB" w:rsidRPr="00EE3A4E" w:rsidRDefault="002A4BFB" w:rsidP="00107D76">
            <w:pPr>
              <w:pStyle w:val="ParagraphStyle3"/>
              <w:rPr>
                <w:rStyle w:val="CharacterStyle3"/>
              </w:rPr>
            </w:pPr>
            <w:r w:rsidRPr="00EE3A4E">
              <w:rPr>
                <w:rStyle w:val="CharacterStyle3"/>
              </w:rPr>
              <w:t>Naziv</w:t>
            </w:r>
          </w:p>
        </w:tc>
        <w:tc>
          <w:tcPr>
            <w:tcW w:w="1920" w:type="dxa"/>
            <w:tcBorders>
              <w:top w:val="single" w:sz="6" w:space="0" w:color="000000"/>
              <w:bottom w:val="single" w:sz="6" w:space="0" w:color="000000"/>
              <w:right w:val="single" w:sz="6" w:space="0" w:color="000000"/>
            </w:tcBorders>
            <w:shd w:val="clear" w:color="auto" w:fill="DCDCDC"/>
            <w:vAlign w:val="center"/>
          </w:tcPr>
          <w:p w14:paraId="2FA06711" w14:textId="77777777" w:rsidR="002A4BFB" w:rsidRPr="00EE3A4E" w:rsidRDefault="002A4BFB" w:rsidP="00107D76">
            <w:pPr>
              <w:pStyle w:val="ParagraphStyle3"/>
              <w:rPr>
                <w:rStyle w:val="CharacterStyle3"/>
              </w:rPr>
            </w:pPr>
            <w:r w:rsidRPr="00EE3A4E">
              <w:rPr>
                <w:rStyle w:val="CharacterStyle3"/>
              </w:rPr>
              <w:t>Izvršenje 2024.</w:t>
            </w:r>
          </w:p>
        </w:tc>
        <w:tc>
          <w:tcPr>
            <w:tcW w:w="1935" w:type="dxa"/>
            <w:tcBorders>
              <w:top w:val="single" w:sz="6" w:space="0" w:color="000000"/>
              <w:bottom w:val="single" w:sz="6" w:space="0" w:color="000000"/>
              <w:right w:val="single" w:sz="6" w:space="0" w:color="000000"/>
            </w:tcBorders>
            <w:shd w:val="clear" w:color="auto" w:fill="DCDCDC"/>
            <w:vAlign w:val="center"/>
          </w:tcPr>
          <w:p w14:paraId="379EC7A6" w14:textId="77777777" w:rsidR="002A4BFB" w:rsidRPr="00EE3A4E" w:rsidRDefault="002A4BFB" w:rsidP="00107D76">
            <w:pPr>
              <w:pStyle w:val="ParagraphStyle3"/>
              <w:rPr>
                <w:rStyle w:val="CharacterStyle3"/>
              </w:rPr>
            </w:pPr>
            <w:r w:rsidRPr="00EE3A4E">
              <w:rPr>
                <w:rStyle w:val="CharacterStyle3"/>
              </w:rPr>
              <w:t>Tekući plan 2025.</w:t>
            </w:r>
          </w:p>
        </w:tc>
        <w:tc>
          <w:tcPr>
            <w:tcW w:w="1935" w:type="dxa"/>
            <w:tcBorders>
              <w:top w:val="single" w:sz="6" w:space="0" w:color="000000"/>
              <w:bottom w:val="single" w:sz="6" w:space="0" w:color="000000"/>
              <w:right w:val="single" w:sz="6" w:space="0" w:color="000000"/>
            </w:tcBorders>
            <w:shd w:val="clear" w:color="auto" w:fill="DCDCDC"/>
            <w:vAlign w:val="center"/>
          </w:tcPr>
          <w:p w14:paraId="615E084A" w14:textId="77777777" w:rsidR="002A4BFB" w:rsidRPr="00EE3A4E" w:rsidRDefault="002A4BFB" w:rsidP="00107D76">
            <w:pPr>
              <w:pStyle w:val="ParagraphStyle3"/>
              <w:rPr>
                <w:rStyle w:val="CharacterStyle3"/>
              </w:rPr>
            </w:pPr>
            <w:r w:rsidRPr="00EE3A4E">
              <w:rPr>
                <w:rStyle w:val="CharacterStyle3"/>
              </w:rPr>
              <w:t>Plan 2026.</w:t>
            </w:r>
          </w:p>
        </w:tc>
        <w:tc>
          <w:tcPr>
            <w:tcW w:w="1935" w:type="dxa"/>
            <w:tcBorders>
              <w:top w:val="single" w:sz="6" w:space="0" w:color="000000"/>
              <w:bottom w:val="single" w:sz="6" w:space="0" w:color="000000"/>
              <w:right w:val="single" w:sz="6" w:space="0" w:color="000000"/>
            </w:tcBorders>
            <w:shd w:val="clear" w:color="auto" w:fill="DCDCDC"/>
            <w:vAlign w:val="center"/>
          </w:tcPr>
          <w:p w14:paraId="6F70E8AE" w14:textId="77777777" w:rsidR="002A4BFB" w:rsidRPr="00EE3A4E" w:rsidRDefault="002A4BFB" w:rsidP="00107D76">
            <w:pPr>
              <w:pStyle w:val="ParagraphStyle3"/>
              <w:rPr>
                <w:rStyle w:val="CharacterStyle3"/>
              </w:rPr>
            </w:pPr>
            <w:r w:rsidRPr="00EE3A4E">
              <w:rPr>
                <w:rStyle w:val="CharacterStyle3"/>
              </w:rPr>
              <w:t>Projekcija 2027.</w:t>
            </w:r>
          </w:p>
        </w:tc>
        <w:tc>
          <w:tcPr>
            <w:tcW w:w="1935" w:type="dxa"/>
            <w:tcBorders>
              <w:top w:val="single" w:sz="6" w:space="0" w:color="000000"/>
              <w:bottom w:val="single" w:sz="6" w:space="0" w:color="000000"/>
              <w:right w:val="single" w:sz="6" w:space="0" w:color="000000"/>
            </w:tcBorders>
            <w:shd w:val="clear" w:color="auto" w:fill="DCDCDC"/>
            <w:vAlign w:val="center"/>
          </w:tcPr>
          <w:p w14:paraId="599B4755" w14:textId="77777777" w:rsidR="002A4BFB" w:rsidRPr="00EE3A4E" w:rsidRDefault="002A4BFB" w:rsidP="00107D76">
            <w:pPr>
              <w:pStyle w:val="ParagraphStyle3"/>
              <w:rPr>
                <w:rStyle w:val="CharacterStyle3"/>
              </w:rPr>
            </w:pPr>
            <w:r w:rsidRPr="00EE3A4E">
              <w:rPr>
                <w:rStyle w:val="CharacterStyle3"/>
              </w:rPr>
              <w:t>Projekcija 2028.</w:t>
            </w:r>
          </w:p>
        </w:tc>
      </w:tr>
      <w:tr w:rsidR="002A4BFB" w14:paraId="42CCDD83" w14:textId="77777777" w:rsidTr="00107D76">
        <w:trPr>
          <w:trHeight w:val="360"/>
        </w:trPr>
        <w:tc>
          <w:tcPr>
            <w:tcW w:w="735" w:type="dxa"/>
            <w:tcBorders>
              <w:left w:val="single" w:sz="6" w:space="0" w:color="000000"/>
              <w:bottom w:val="single" w:sz="6" w:space="0" w:color="000000"/>
              <w:right w:val="single" w:sz="6" w:space="0" w:color="000000"/>
            </w:tcBorders>
            <w:vAlign w:val="center"/>
          </w:tcPr>
          <w:p w14:paraId="37AE9A46" w14:textId="77777777" w:rsidR="002A4BFB" w:rsidRPr="00C03A15" w:rsidRDefault="002A4BFB" w:rsidP="00107D76">
            <w:pPr>
              <w:pStyle w:val="ParagraphStyle4"/>
              <w:rPr>
                <w:rStyle w:val="CharacterStyle4"/>
              </w:rPr>
            </w:pPr>
            <w:r w:rsidRPr="00C03A15">
              <w:rPr>
                <w:rStyle w:val="CharacterStyle4"/>
              </w:rPr>
              <w:t>8</w:t>
            </w:r>
          </w:p>
        </w:tc>
        <w:tc>
          <w:tcPr>
            <w:tcW w:w="780" w:type="dxa"/>
            <w:tcBorders>
              <w:bottom w:val="single" w:sz="6" w:space="0" w:color="000000"/>
              <w:right w:val="single" w:sz="6" w:space="0" w:color="000000"/>
            </w:tcBorders>
          </w:tcPr>
          <w:p w14:paraId="40614838" w14:textId="77777777" w:rsidR="002A4BFB" w:rsidRPr="00C03A15" w:rsidRDefault="002A4BFB" w:rsidP="00107D76">
            <w:pPr>
              <w:pStyle w:val="ParagraphStyle5"/>
              <w:rPr>
                <w:rStyle w:val="CharacterStyle5"/>
              </w:rPr>
            </w:pPr>
          </w:p>
        </w:tc>
        <w:tc>
          <w:tcPr>
            <w:tcW w:w="3675" w:type="dxa"/>
            <w:tcBorders>
              <w:bottom w:val="single" w:sz="6" w:space="0" w:color="000000"/>
              <w:right w:val="single" w:sz="6" w:space="0" w:color="000000"/>
            </w:tcBorders>
            <w:vAlign w:val="center"/>
          </w:tcPr>
          <w:p w14:paraId="6F1C6F8C" w14:textId="77777777" w:rsidR="002A4BFB" w:rsidRPr="00C03A15" w:rsidRDefault="002A4BFB" w:rsidP="00925A6B">
            <w:pPr>
              <w:pStyle w:val="ParagraphStyle6"/>
              <w:jc w:val="left"/>
              <w:rPr>
                <w:rStyle w:val="CharacterStyle6"/>
                <w:b w:val="0"/>
              </w:rPr>
            </w:pPr>
            <w:r w:rsidRPr="00C03A15">
              <w:rPr>
                <w:rStyle w:val="CharacterStyle6"/>
              </w:rPr>
              <w:t>Primici od financijske imovine i zaduživanja</w:t>
            </w:r>
          </w:p>
        </w:tc>
        <w:tc>
          <w:tcPr>
            <w:tcW w:w="1920" w:type="dxa"/>
            <w:tcBorders>
              <w:bottom w:val="single" w:sz="6" w:space="0" w:color="000000"/>
              <w:right w:val="single" w:sz="6" w:space="0" w:color="000000"/>
            </w:tcBorders>
            <w:vAlign w:val="center"/>
          </w:tcPr>
          <w:p w14:paraId="30F03A95" w14:textId="77777777" w:rsidR="002A4BFB" w:rsidRPr="00C03A15" w:rsidRDefault="002A4BFB" w:rsidP="00925A6B">
            <w:pPr>
              <w:pStyle w:val="ParagraphStyle7"/>
              <w:jc w:val="right"/>
              <w:rPr>
                <w:rStyle w:val="CharacterStyle7"/>
                <w:b/>
                <w:i w:val="0"/>
              </w:rPr>
            </w:pPr>
            <w:r w:rsidRPr="00C03A15">
              <w:rPr>
                <w:rStyle w:val="CharacterStyle7"/>
                <w:b/>
                <w:i w:val="0"/>
              </w:rPr>
              <w:t>0,00</w:t>
            </w:r>
          </w:p>
        </w:tc>
        <w:tc>
          <w:tcPr>
            <w:tcW w:w="1935" w:type="dxa"/>
            <w:tcBorders>
              <w:bottom w:val="single" w:sz="6" w:space="0" w:color="000000"/>
              <w:right w:val="single" w:sz="6" w:space="0" w:color="000000"/>
            </w:tcBorders>
            <w:vAlign w:val="center"/>
          </w:tcPr>
          <w:p w14:paraId="0B042F30" w14:textId="77777777" w:rsidR="002A4BFB" w:rsidRPr="00C03A15" w:rsidRDefault="002A4BFB" w:rsidP="00925A6B">
            <w:pPr>
              <w:pStyle w:val="ParagraphStyle7"/>
              <w:jc w:val="right"/>
              <w:rPr>
                <w:rStyle w:val="CharacterStyle7"/>
                <w:b/>
                <w:i w:val="0"/>
              </w:rPr>
            </w:pPr>
            <w:r w:rsidRPr="00C03A15">
              <w:rPr>
                <w:rStyle w:val="CharacterStyle7"/>
                <w:b/>
                <w:i w:val="0"/>
              </w:rPr>
              <w:t>0,00</w:t>
            </w:r>
          </w:p>
        </w:tc>
        <w:tc>
          <w:tcPr>
            <w:tcW w:w="1935" w:type="dxa"/>
            <w:tcBorders>
              <w:bottom w:val="single" w:sz="6" w:space="0" w:color="000000"/>
              <w:right w:val="single" w:sz="6" w:space="0" w:color="000000"/>
            </w:tcBorders>
            <w:vAlign w:val="center"/>
          </w:tcPr>
          <w:p w14:paraId="3A92FBBC" w14:textId="77777777" w:rsidR="002A4BFB" w:rsidRPr="00C03A15" w:rsidRDefault="002A4BFB" w:rsidP="00925A6B">
            <w:pPr>
              <w:pStyle w:val="ParagraphStyle7"/>
              <w:jc w:val="right"/>
              <w:rPr>
                <w:rStyle w:val="CharacterStyle7"/>
                <w:b/>
                <w:i w:val="0"/>
              </w:rPr>
            </w:pPr>
            <w:r w:rsidRPr="00C03A15">
              <w:rPr>
                <w:rStyle w:val="CharacterStyle7"/>
                <w:b/>
                <w:i w:val="0"/>
              </w:rPr>
              <w:t>0,00</w:t>
            </w:r>
          </w:p>
        </w:tc>
        <w:tc>
          <w:tcPr>
            <w:tcW w:w="1935" w:type="dxa"/>
            <w:tcBorders>
              <w:bottom w:val="single" w:sz="6" w:space="0" w:color="000000"/>
              <w:right w:val="single" w:sz="6" w:space="0" w:color="000000"/>
            </w:tcBorders>
            <w:vAlign w:val="center"/>
          </w:tcPr>
          <w:p w14:paraId="33D03716" w14:textId="77777777" w:rsidR="002A4BFB" w:rsidRPr="00C03A15" w:rsidRDefault="002A4BFB" w:rsidP="00925A6B">
            <w:pPr>
              <w:pStyle w:val="ParagraphStyle7"/>
              <w:jc w:val="right"/>
              <w:rPr>
                <w:rStyle w:val="CharacterStyle7"/>
                <w:b/>
                <w:i w:val="0"/>
              </w:rPr>
            </w:pPr>
            <w:r w:rsidRPr="00C03A15">
              <w:rPr>
                <w:rStyle w:val="CharacterStyle7"/>
                <w:b/>
                <w:i w:val="0"/>
              </w:rPr>
              <w:t>0,00</w:t>
            </w:r>
          </w:p>
        </w:tc>
        <w:tc>
          <w:tcPr>
            <w:tcW w:w="1935" w:type="dxa"/>
            <w:tcBorders>
              <w:bottom w:val="single" w:sz="6" w:space="0" w:color="000000"/>
              <w:right w:val="single" w:sz="6" w:space="0" w:color="000000"/>
            </w:tcBorders>
            <w:vAlign w:val="center"/>
          </w:tcPr>
          <w:p w14:paraId="55DE0E06" w14:textId="77777777" w:rsidR="002A4BFB" w:rsidRPr="00C03A15" w:rsidRDefault="002A4BFB" w:rsidP="00925A6B">
            <w:pPr>
              <w:pStyle w:val="ParagraphStyle7"/>
              <w:jc w:val="right"/>
              <w:rPr>
                <w:rStyle w:val="CharacterStyle7"/>
                <w:b/>
                <w:i w:val="0"/>
              </w:rPr>
            </w:pPr>
            <w:r w:rsidRPr="00C03A15">
              <w:rPr>
                <w:rStyle w:val="CharacterStyle7"/>
                <w:b/>
                <w:i w:val="0"/>
              </w:rPr>
              <w:t>0,00</w:t>
            </w:r>
          </w:p>
        </w:tc>
      </w:tr>
      <w:tr w:rsidR="002A4BFB" w14:paraId="4008ACA9" w14:textId="77777777" w:rsidTr="00107D76">
        <w:trPr>
          <w:trHeight w:val="360"/>
        </w:trPr>
        <w:tc>
          <w:tcPr>
            <w:tcW w:w="735" w:type="dxa"/>
            <w:tcBorders>
              <w:left w:val="single" w:sz="6" w:space="0" w:color="000000"/>
              <w:bottom w:val="single" w:sz="6" w:space="0" w:color="000000"/>
              <w:right w:val="single" w:sz="6" w:space="0" w:color="000000"/>
            </w:tcBorders>
            <w:vAlign w:val="center"/>
          </w:tcPr>
          <w:p w14:paraId="485AC28E" w14:textId="77777777" w:rsidR="002A4BFB" w:rsidRPr="00C03A15" w:rsidRDefault="002A4BFB" w:rsidP="00107D76">
            <w:pPr>
              <w:pStyle w:val="ParagraphStyle4"/>
              <w:rPr>
                <w:rStyle w:val="CharacterStyle4"/>
              </w:rPr>
            </w:pPr>
          </w:p>
        </w:tc>
        <w:tc>
          <w:tcPr>
            <w:tcW w:w="780" w:type="dxa"/>
            <w:tcBorders>
              <w:bottom w:val="single" w:sz="6" w:space="0" w:color="000000"/>
              <w:right w:val="single" w:sz="6" w:space="0" w:color="000000"/>
            </w:tcBorders>
          </w:tcPr>
          <w:p w14:paraId="5CE6A4DD" w14:textId="77777777" w:rsidR="002A4BFB" w:rsidRPr="00C03A15" w:rsidRDefault="002A4BFB" w:rsidP="00107D76">
            <w:pPr>
              <w:pStyle w:val="ParagraphStyle5"/>
              <w:rPr>
                <w:rStyle w:val="CharacterStyle5"/>
              </w:rPr>
            </w:pPr>
          </w:p>
        </w:tc>
        <w:tc>
          <w:tcPr>
            <w:tcW w:w="3675" w:type="dxa"/>
            <w:tcBorders>
              <w:bottom w:val="single" w:sz="6" w:space="0" w:color="000000"/>
              <w:right w:val="single" w:sz="6" w:space="0" w:color="000000"/>
            </w:tcBorders>
            <w:vAlign w:val="center"/>
          </w:tcPr>
          <w:p w14:paraId="174FA5FA" w14:textId="77777777" w:rsidR="002A4BFB" w:rsidRPr="00C03A15" w:rsidRDefault="002A4BFB" w:rsidP="00107D76">
            <w:pPr>
              <w:pStyle w:val="ParagraphStyle6"/>
              <w:rPr>
                <w:rStyle w:val="CharacterStyle6"/>
              </w:rPr>
            </w:pPr>
          </w:p>
        </w:tc>
        <w:tc>
          <w:tcPr>
            <w:tcW w:w="1920" w:type="dxa"/>
            <w:tcBorders>
              <w:bottom w:val="single" w:sz="6" w:space="0" w:color="000000"/>
              <w:right w:val="single" w:sz="6" w:space="0" w:color="000000"/>
            </w:tcBorders>
            <w:vAlign w:val="center"/>
          </w:tcPr>
          <w:p w14:paraId="659F2CAD" w14:textId="77777777" w:rsidR="002A4BFB" w:rsidRPr="00C03A15" w:rsidRDefault="002A4BFB" w:rsidP="00925A6B">
            <w:pPr>
              <w:pStyle w:val="ParagraphStyle7"/>
              <w:jc w:val="right"/>
              <w:rPr>
                <w:rStyle w:val="CharacterStyle7"/>
                <w:i w:val="0"/>
              </w:rPr>
            </w:pPr>
          </w:p>
        </w:tc>
        <w:tc>
          <w:tcPr>
            <w:tcW w:w="1935" w:type="dxa"/>
            <w:tcBorders>
              <w:bottom w:val="single" w:sz="6" w:space="0" w:color="000000"/>
              <w:right w:val="single" w:sz="6" w:space="0" w:color="000000"/>
            </w:tcBorders>
            <w:vAlign w:val="center"/>
          </w:tcPr>
          <w:p w14:paraId="2681E648" w14:textId="77777777" w:rsidR="002A4BFB" w:rsidRPr="00C03A15" w:rsidRDefault="002A4BFB" w:rsidP="00925A6B">
            <w:pPr>
              <w:pStyle w:val="ParagraphStyle7"/>
              <w:jc w:val="right"/>
              <w:rPr>
                <w:rStyle w:val="CharacterStyle7"/>
                <w:i w:val="0"/>
              </w:rPr>
            </w:pPr>
          </w:p>
        </w:tc>
        <w:tc>
          <w:tcPr>
            <w:tcW w:w="1935" w:type="dxa"/>
            <w:tcBorders>
              <w:bottom w:val="single" w:sz="6" w:space="0" w:color="000000"/>
              <w:right w:val="single" w:sz="6" w:space="0" w:color="000000"/>
            </w:tcBorders>
            <w:vAlign w:val="center"/>
          </w:tcPr>
          <w:p w14:paraId="606C0E2E" w14:textId="77777777" w:rsidR="002A4BFB" w:rsidRPr="00C03A15" w:rsidRDefault="002A4BFB" w:rsidP="00925A6B">
            <w:pPr>
              <w:pStyle w:val="ParagraphStyle7"/>
              <w:jc w:val="right"/>
              <w:rPr>
                <w:rStyle w:val="CharacterStyle7"/>
                <w:i w:val="0"/>
              </w:rPr>
            </w:pPr>
          </w:p>
        </w:tc>
        <w:tc>
          <w:tcPr>
            <w:tcW w:w="1935" w:type="dxa"/>
            <w:tcBorders>
              <w:bottom w:val="single" w:sz="6" w:space="0" w:color="000000"/>
              <w:right w:val="single" w:sz="6" w:space="0" w:color="000000"/>
            </w:tcBorders>
            <w:vAlign w:val="center"/>
          </w:tcPr>
          <w:p w14:paraId="2C68D321" w14:textId="77777777" w:rsidR="002A4BFB" w:rsidRPr="00C03A15" w:rsidRDefault="002A4BFB" w:rsidP="00925A6B">
            <w:pPr>
              <w:pStyle w:val="ParagraphStyle7"/>
              <w:jc w:val="right"/>
              <w:rPr>
                <w:rStyle w:val="CharacterStyle7"/>
                <w:i w:val="0"/>
              </w:rPr>
            </w:pPr>
          </w:p>
        </w:tc>
        <w:tc>
          <w:tcPr>
            <w:tcW w:w="1935" w:type="dxa"/>
            <w:tcBorders>
              <w:bottom w:val="single" w:sz="6" w:space="0" w:color="000000"/>
              <w:right w:val="single" w:sz="6" w:space="0" w:color="000000"/>
            </w:tcBorders>
            <w:vAlign w:val="center"/>
          </w:tcPr>
          <w:p w14:paraId="4C78595A" w14:textId="77777777" w:rsidR="002A4BFB" w:rsidRPr="00C03A15" w:rsidRDefault="002A4BFB" w:rsidP="00925A6B">
            <w:pPr>
              <w:pStyle w:val="ParagraphStyle7"/>
              <w:jc w:val="right"/>
              <w:rPr>
                <w:rStyle w:val="CharacterStyle7"/>
                <w:i w:val="0"/>
              </w:rPr>
            </w:pPr>
          </w:p>
        </w:tc>
      </w:tr>
      <w:tr w:rsidR="002A4BFB" w14:paraId="38BA4993" w14:textId="77777777" w:rsidTr="00107D76">
        <w:trPr>
          <w:trHeight w:val="360"/>
        </w:trPr>
        <w:tc>
          <w:tcPr>
            <w:tcW w:w="735" w:type="dxa"/>
            <w:tcBorders>
              <w:left w:val="single" w:sz="6" w:space="0" w:color="000000"/>
              <w:bottom w:val="single" w:sz="6" w:space="0" w:color="000000"/>
              <w:right w:val="single" w:sz="6" w:space="0" w:color="000000"/>
            </w:tcBorders>
            <w:vAlign w:val="center"/>
          </w:tcPr>
          <w:p w14:paraId="27D49681" w14:textId="77777777" w:rsidR="002A4BFB" w:rsidRPr="00C03A15" w:rsidRDefault="002A4BFB" w:rsidP="00107D76">
            <w:pPr>
              <w:pStyle w:val="ParagraphStyle4"/>
              <w:rPr>
                <w:rStyle w:val="CharacterStyle4"/>
              </w:rPr>
            </w:pPr>
            <w:r w:rsidRPr="00C03A15">
              <w:rPr>
                <w:rStyle w:val="CharacterStyle4"/>
              </w:rPr>
              <w:t>5</w:t>
            </w:r>
          </w:p>
        </w:tc>
        <w:tc>
          <w:tcPr>
            <w:tcW w:w="780" w:type="dxa"/>
            <w:tcBorders>
              <w:bottom w:val="single" w:sz="6" w:space="0" w:color="000000"/>
              <w:right w:val="single" w:sz="6" w:space="0" w:color="000000"/>
            </w:tcBorders>
          </w:tcPr>
          <w:p w14:paraId="219E94CD" w14:textId="77777777" w:rsidR="002A4BFB" w:rsidRPr="00C03A15" w:rsidRDefault="002A4BFB" w:rsidP="00107D76">
            <w:pPr>
              <w:pStyle w:val="ParagraphStyle5"/>
              <w:rPr>
                <w:rStyle w:val="CharacterStyle5"/>
              </w:rPr>
            </w:pPr>
          </w:p>
        </w:tc>
        <w:tc>
          <w:tcPr>
            <w:tcW w:w="3675" w:type="dxa"/>
            <w:tcBorders>
              <w:bottom w:val="single" w:sz="6" w:space="0" w:color="000000"/>
              <w:right w:val="single" w:sz="6" w:space="0" w:color="000000"/>
            </w:tcBorders>
            <w:vAlign w:val="center"/>
          </w:tcPr>
          <w:p w14:paraId="5BBF5051" w14:textId="77777777" w:rsidR="002A4BFB" w:rsidRPr="00C03A15" w:rsidRDefault="002A4BFB" w:rsidP="00925A6B">
            <w:pPr>
              <w:pStyle w:val="ParagraphStyle6"/>
              <w:jc w:val="left"/>
              <w:rPr>
                <w:rStyle w:val="CharacterStyle6"/>
                <w:b w:val="0"/>
              </w:rPr>
            </w:pPr>
            <w:r w:rsidRPr="00C03A15">
              <w:rPr>
                <w:rStyle w:val="CharacterStyle6"/>
              </w:rPr>
              <w:t>Izdaci za financijsku imovinu i otplate zajmova</w:t>
            </w:r>
          </w:p>
        </w:tc>
        <w:tc>
          <w:tcPr>
            <w:tcW w:w="1920" w:type="dxa"/>
            <w:tcBorders>
              <w:bottom w:val="single" w:sz="6" w:space="0" w:color="000000"/>
              <w:right w:val="single" w:sz="6" w:space="0" w:color="000000"/>
            </w:tcBorders>
            <w:vAlign w:val="center"/>
          </w:tcPr>
          <w:p w14:paraId="55791714" w14:textId="77777777" w:rsidR="002A4BFB" w:rsidRPr="00C03A15" w:rsidRDefault="002A4BFB" w:rsidP="00925A6B">
            <w:pPr>
              <w:pStyle w:val="ParagraphStyle7"/>
              <w:jc w:val="right"/>
              <w:rPr>
                <w:rStyle w:val="CharacterStyle7"/>
                <w:b/>
                <w:i w:val="0"/>
              </w:rPr>
            </w:pPr>
            <w:r w:rsidRPr="00C03A15">
              <w:rPr>
                <w:rStyle w:val="CharacterStyle11"/>
              </w:rPr>
              <w:t>39.824,48</w:t>
            </w:r>
          </w:p>
        </w:tc>
        <w:tc>
          <w:tcPr>
            <w:tcW w:w="1935" w:type="dxa"/>
            <w:tcBorders>
              <w:bottom w:val="single" w:sz="6" w:space="0" w:color="000000"/>
              <w:right w:val="single" w:sz="6" w:space="0" w:color="000000"/>
            </w:tcBorders>
            <w:vAlign w:val="center"/>
          </w:tcPr>
          <w:p w14:paraId="21774A6F" w14:textId="77777777" w:rsidR="002A4BFB" w:rsidRPr="00C03A15" w:rsidRDefault="002A4BFB" w:rsidP="00925A6B">
            <w:pPr>
              <w:pStyle w:val="ParagraphStyle7"/>
              <w:jc w:val="right"/>
              <w:rPr>
                <w:rStyle w:val="CharacterStyle7"/>
                <w:b/>
                <w:i w:val="0"/>
              </w:rPr>
            </w:pPr>
            <w:r w:rsidRPr="00C03A15">
              <w:rPr>
                <w:rStyle w:val="CharacterStyle7"/>
                <w:b/>
                <w:i w:val="0"/>
              </w:rPr>
              <w:t>44.750,00</w:t>
            </w:r>
          </w:p>
        </w:tc>
        <w:tc>
          <w:tcPr>
            <w:tcW w:w="1935" w:type="dxa"/>
            <w:tcBorders>
              <w:bottom w:val="single" w:sz="6" w:space="0" w:color="000000"/>
              <w:right w:val="single" w:sz="6" w:space="0" w:color="000000"/>
            </w:tcBorders>
            <w:vAlign w:val="center"/>
          </w:tcPr>
          <w:p w14:paraId="786F5AF0" w14:textId="77777777" w:rsidR="002A4BFB" w:rsidRPr="00C03A15" w:rsidRDefault="002A4BFB" w:rsidP="00925A6B">
            <w:pPr>
              <w:pStyle w:val="ParagraphStyle7"/>
              <w:jc w:val="right"/>
              <w:rPr>
                <w:rStyle w:val="CharacterStyle7"/>
                <w:b/>
                <w:i w:val="0"/>
              </w:rPr>
            </w:pPr>
            <w:r w:rsidRPr="00C03A15">
              <w:rPr>
                <w:rStyle w:val="CharacterStyle7"/>
                <w:b/>
                <w:i w:val="0"/>
              </w:rPr>
              <w:t>50.000,00</w:t>
            </w:r>
          </w:p>
        </w:tc>
        <w:tc>
          <w:tcPr>
            <w:tcW w:w="1935" w:type="dxa"/>
            <w:tcBorders>
              <w:bottom w:val="single" w:sz="6" w:space="0" w:color="000000"/>
              <w:right w:val="single" w:sz="6" w:space="0" w:color="000000"/>
            </w:tcBorders>
            <w:vAlign w:val="center"/>
          </w:tcPr>
          <w:p w14:paraId="6300A87D" w14:textId="77777777" w:rsidR="002A4BFB" w:rsidRPr="00C03A15" w:rsidRDefault="002A4BFB" w:rsidP="00925A6B">
            <w:pPr>
              <w:pStyle w:val="ParagraphStyle7"/>
              <w:jc w:val="right"/>
              <w:rPr>
                <w:rStyle w:val="CharacterStyle7"/>
                <w:b/>
                <w:i w:val="0"/>
              </w:rPr>
            </w:pPr>
            <w:r w:rsidRPr="00C03A15">
              <w:rPr>
                <w:rStyle w:val="CharacterStyle7"/>
                <w:b/>
                <w:i w:val="0"/>
              </w:rPr>
              <w:t>50.000,00</w:t>
            </w:r>
          </w:p>
        </w:tc>
        <w:tc>
          <w:tcPr>
            <w:tcW w:w="1935" w:type="dxa"/>
            <w:tcBorders>
              <w:bottom w:val="single" w:sz="6" w:space="0" w:color="000000"/>
              <w:right w:val="single" w:sz="6" w:space="0" w:color="000000"/>
            </w:tcBorders>
            <w:vAlign w:val="center"/>
          </w:tcPr>
          <w:p w14:paraId="2B4CB4A1" w14:textId="77777777" w:rsidR="002A4BFB" w:rsidRPr="00C03A15" w:rsidRDefault="002A4BFB" w:rsidP="00925A6B">
            <w:pPr>
              <w:pStyle w:val="ParagraphStyle7"/>
              <w:jc w:val="right"/>
              <w:rPr>
                <w:rStyle w:val="CharacterStyle7"/>
                <w:b/>
                <w:i w:val="0"/>
              </w:rPr>
            </w:pPr>
            <w:r w:rsidRPr="00C03A15">
              <w:rPr>
                <w:rStyle w:val="CharacterStyle7"/>
                <w:b/>
                <w:i w:val="0"/>
              </w:rPr>
              <w:t>50.000,00</w:t>
            </w:r>
          </w:p>
        </w:tc>
      </w:tr>
      <w:tr w:rsidR="002A4BFB" w14:paraId="3CE80401" w14:textId="77777777" w:rsidTr="00107D76">
        <w:trPr>
          <w:trHeight w:val="360"/>
        </w:trPr>
        <w:tc>
          <w:tcPr>
            <w:tcW w:w="735" w:type="dxa"/>
            <w:tcBorders>
              <w:left w:val="single" w:sz="6" w:space="0" w:color="000000"/>
              <w:bottom w:val="single" w:sz="6" w:space="0" w:color="000000"/>
              <w:right w:val="single" w:sz="6" w:space="0" w:color="000000"/>
            </w:tcBorders>
            <w:vAlign w:val="center"/>
          </w:tcPr>
          <w:p w14:paraId="5DA55202" w14:textId="77777777" w:rsidR="002A4BFB" w:rsidRPr="00C03A15" w:rsidRDefault="002A4BFB" w:rsidP="00107D76">
            <w:pPr>
              <w:pStyle w:val="ParagraphStyle8"/>
              <w:rPr>
                <w:rStyle w:val="CharacterStyle8"/>
                <w:i w:val="0"/>
              </w:rPr>
            </w:pPr>
          </w:p>
        </w:tc>
        <w:tc>
          <w:tcPr>
            <w:tcW w:w="780" w:type="dxa"/>
            <w:tcBorders>
              <w:bottom w:val="single" w:sz="6" w:space="0" w:color="000000"/>
              <w:right w:val="single" w:sz="6" w:space="0" w:color="000000"/>
            </w:tcBorders>
            <w:vAlign w:val="center"/>
          </w:tcPr>
          <w:p w14:paraId="2A480D1D" w14:textId="77777777" w:rsidR="002A4BFB" w:rsidRPr="00C03A15" w:rsidRDefault="002A4BFB" w:rsidP="00EA7817">
            <w:pPr>
              <w:pStyle w:val="ParagraphStyle9"/>
              <w:jc w:val="left"/>
              <w:rPr>
                <w:rStyle w:val="CharacterStyle9"/>
                <w:b/>
                <w:i w:val="0"/>
              </w:rPr>
            </w:pPr>
            <w:r w:rsidRPr="00C03A15">
              <w:rPr>
                <w:rStyle w:val="CharacterStyle9"/>
                <w:i w:val="0"/>
              </w:rPr>
              <w:t>51</w:t>
            </w:r>
          </w:p>
        </w:tc>
        <w:tc>
          <w:tcPr>
            <w:tcW w:w="3675" w:type="dxa"/>
            <w:tcBorders>
              <w:bottom w:val="single" w:sz="6" w:space="0" w:color="000000"/>
              <w:right w:val="single" w:sz="6" w:space="0" w:color="000000"/>
            </w:tcBorders>
            <w:vAlign w:val="center"/>
          </w:tcPr>
          <w:p w14:paraId="292BEB14" w14:textId="77777777" w:rsidR="002A4BFB" w:rsidRPr="00C03A15" w:rsidRDefault="002A4BFB" w:rsidP="00107D76">
            <w:pPr>
              <w:pStyle w:val="ParagraphStyle10"/>
              <w:rPr>
                <w:rStyle w:val="CharacterStyle10"/>
                <w:b/>
              </w:rPr>
            </w:pPr>
            <w:r w:rsidRPr="00C03A15">
              <w:rPr>
                <w:rStyle w:val="CharacterStyle10"/>
              </w:rPr>
              <w:t>Izdaci za dane zajmove i jamčevne pologe</w:t>
            </w:r>
          </w:p>
        </w:tc>
        <w:tc>
          <w:tcPr>
            <w:tcW w:w="1920" w:type="dxa"/>
            <w:tcBorders>
              <w:bottom w:val="single" w:sz="6" w:space="0" w:color="000000"/>
              <w:right w:val="single" w:sz="6" w:space="0" w:color="000000"/>
            </w:tcBorders>
            <w:vAlign w:val="center"/>
          </w:tcPr>
          <w:p w14:paraId="14E61411" w14:textId="77777777" w:rsidR="002A4BFB" w:rsidRPr="00C03A15" w:rsidRDefault="002A4BFB" w:rsidP="00925A6B">
            <w:pPr>
              <w:pStyle w:val="ParagraphStyle11"/>
              <w:jc w:val="right"/>
              <w:rPr>
                <w:rStyle w:val="CharacterStyle11"/>
                <w:b/>
              </w:rPr>
            </w:pPr>
            <w:r w:rsidRPr="00C03A15">
              <w:rPr>
                <w:rStyle w:val="CharacterStyle11"/>
              </w:rPr>
              <w:t>0,00</w:t>
            </w:r>
          </w:p>
        </w:tc>
        <w:tc>
          <w:tcPr>
            <w:tcW w:w="1935" w:type="dxa"/>
            <w:tcBorders>
              <w:bottom w:val="single" w:sz="6" w:space="0" w:color="000000"/>
              <w:right w:val="single" w:sz="6" w:space="0" w:color="000000"/>
            </w:tcBorders>
            <w:vAlign w:val="center"/>
          </w:tcPr>
          <w:p w14:paraId="599C93AF" w14:textId="77777777" w:rsidR="002A4BFB" w:rsidRPr="00C03A15" w:rsidRDefault="002A4BFB" w:rsidP="00925A6B">
            <w:pPr>
              <w:pStyle w:val="ParagraphStyle11"/>
              <w:jc w:val="right"/>
              <w:rPr>
                <w:rStyle w:val="CharacterStyle11"/>
                <w:b/>
              </w:rPr>
            </w:pPr>
            <w:r w:rsidRPr="00C03A15">
              <w:rPr>
                <w:rStyle w:val="CharacterStyle11"/>
              </w:rPr>
              <w:t>4.750,00</w:t>
            </w:r>
          </w:p>
        </w:tc>
        <w:tc>
          <w:tcPr>
            <w:tcW w:w="1935" w:type="dxa"/>
            <w:tcBorders>
              <w:bottom w:val="single" w:sz="6" w:space="0" w:color="000000"/>
              <w:right w:val="single" w:sz="6" w:space="0" w:color="000000"/>
            </w:tcBorders>
            <w:vAlign w:val="center"/>
          </w:tcPr>
          <w:p w14:paraId="66DA93A9" w14:textId="77777777" w:rsidR="002A4BFB" w:rsidRPr="00C03A15" w:rsidRDefault="002A4BFB" w:rsidP="00925A6B">
            <w:pPr>
              <w:pStyle w:val="ParagraphStyle12"/>
              <w:rPr>
                <w:rStyle w:val="CharacterStyle12"/>
              </w:rPr>
            </w:pPr>
            <w:r w:rsidRPr="00C03A15">
              <w:rPr>
                <w:rStyle w:val="CharacterStyle12"/>
              </w:rPr>
              <w:t>10.000,00</w:t>
            </w:r>
          </w:p>
        </w:tc>
        <w:tc>
          <w:tcPr>
            <w:tcW w:w="1935" w:type="dxa"/>
            <w:tcBorders>
              <w:bottom w:val="single" w:sz="6" w:space="0" w:color="000000"/>
              <w:right w:val="single" w:sz="6" w:space="0" w:color="000000"/>
            </w:tcBorders>
            <w:vAlign w:val="center"/>
          </w:tcPr>
          <w:p w14:paraId="6A5FBA98" w14:textId="77777777" w:rsidR="002A4BFB" w:rsidRPr="00C03A15" w:rsidRDefault="002A4BFB" w:rsidP="00925A6B">
            <w:pPr>
              <w:pStyle w:val="ParagraphStyle12"/>
              <w:rPr>
                <w:rStyle w:val="CharacterStyle12"/>
              </w:rPr>
            </w:pPr>
            <w:r w:rsidRPr="00C03A15">
              <w:rPr>
                <w:rStyle w:val="CharacterStyle12"/>
              </w:rPr>
              <w:t>10.000,00</w:t>
            </w:r>
          </w:p>
        </w:tc>
        <w:tc>
          <w:tcPr>
            <w:tcW w:w="1935" w:type="dxa"/>
            <w:tcBorders>
              <w:bottom w:val="single" w:sz="6" w:space="0" w:color="000000"/>
              <w:right w:val="single" w:sz="6" w:space="0" w:color="000000"/>
            </w:tcBorders>
            <w:vAlign w:val="center"/>
          </w:tcPr>
          <w:p w14:paraId="75865140" w14:textId="77777777" w:rsidR="002A4BFB" w:rsidRPr="00C03A15" w:rsidRDefault="002A4BFB" w:rsidP="00925A6B">
            <w:pPr>
              <w:pStyle w:val="ParagraphStyle12"/>
              <w:rPr>
                <w:rStyle w:val="CharacterStyle12"/>
              </w:rPr>
            </w:pPr>
            <w:r w:rsidRPr="00C03A15">
              <w:rPr>
                <w:rStyle w:val="CharacterStyle12"/>
              </w:rPr>
              <w:t>10.000,00</w:t>
            </w:r>
          </w:p>
        </w:tc>
      </w:tr>
      <w:tr w:rsidR="002A4BFB" w14:paraId="01EC2910" w14:textId="77777777" w:rsidTr="00107D76">
        <w:trPr>
          <w:trHeight w:val="405"/>
        </w:trPr>
        <w:tc>
          <w:tcPr>
            <w:tcW w:w="735" w:type="dxa"/>
            <w:tcBorders>
              <w:left w:val="single" w:sz="6" w:space="0" w:color="000000"/>
              <w:bottom w:val="single" w:sz="6" w:space="0" w:color="000000"/>
              <w:right w:val="single" w:sz="6" w:space="0" w:color="000000"/>
            </w:tcBorders>
            <w:vAlign w:val="center"/>
          </w:tcPr>
          <w:p w14:paraId="2BEE68AA" w14:textId="77777777" w:rsidR="002A4BFB" w:rsidRPr="00C03A15" w:rsidRDefault="002A4BFB" w:rsidP="00107D76">
            <w:pPr>
              <w:pStyle w:val="ParagraphStyle8"/>
              <w:rPr>
                <w:rStyle w:val="CharacterStyle8"/>
                <w:i w:val="0"/>
              </w:rPr>
            </w:pPr>
          </w:p>
        </w:tc>
        <w:tc>
          <w:tcPr>
            <w:tcW w:w="780" w:type="dxa"/>
            <w:tcBorders>
              <w:bottom w:val="single" w:sz="6" w:space="0" w:color="000000"/>
              <w:right w:val="single" w:sz="6" w:space="0" w:color="000000"/>
            </w:tcBorders>
            <w:vAlign w:val="center"/>
          </w:tcPr>
          <w:p w14:paraId="7432147A" w14:textId="77777777" w:rsidR="002A4BFB" w:rsidRPr="00C03A15" w:rsidRDefault="002A4BFB" w:rsidP="00EA7817">
            <w:pPr>
              <w:pStyle w:val="ParagraphStyle9"/>
              <w:jc w:val="left"/>
              <w:rPr>
                <w:rStyle w:val="CharacterStyle9"/>
                <w:b/>
                <w:i w:val="0"/>
              </w:rPr>
            </w:pPr>
            <w:r w:rsidRPr="00C03A15">
              <w:rPr>
                <w:rStyle w:val="CharacterStyle9"/>
                <w:i w:val="0"/>
              </w:rPr>
              <w:t>53</w:t>
            </w:r>
          </w:p>
        </w:tc>
        <w:tc>
          <w:tcPr>
            <w:tcW w:w="3675" w:type="dxa"/>
            <w:tcBorders>
              <w:bottom w:val="single" w:sz="6" w:space="0" w:color="000000"/>
              <w:right w:val="single" w:sz="6" w:space="0" w:color="000000"/>
            </w:tcBorders>
            <w:vAlign w:val="center"/>
          </w:tcPr>
          <w:p w14:paraId="40487A8A" w14:textId="77777777" w:rsidR="002A4BFB" w:rsidRPr="00C03A15" w:rsidRDefault="002A4BFB" w:rsidP="00107D76">
            <w:pPr>
              <w:pStyle w:val="ParagraphStyle10"/>
              <w:rPr>
                <w:rStyle w:val="CharacterStyle10"/>
                <w:b/>
              </w:rPr>
            </w:pPr>
            <w:r w:rsidRPr="00C03A15">
              <w:rPr>
                <w:rStyle w:val="CharacterStyle10"/>
              </w:rPr>
              <w:t>Izdaci za ulaganja u financijske instrumente - dionice i udjele u glavnici</w:t>
            </w:r>
          </w:p>
        </w:tc>
        <w:tc>
          <w:tcPr>
            <w:tcW w:w="1920" w:type="dxa"/>
            <w:tcBorders>
              <w:bottom w:val="single" w:sz="6" w:space="0" w:color="000000"/>
              <w:right w:val="single" w:sz="6" w:space="0" w:color="000000"/>
            </w:tcBorders>
            <w:vAlign w:val="center"/>
          </w:tcPr>
          <w:p w14:paraId="3791E177" w14:textId="77777777" w:rsidR="002A4BFB" w:rsidRPr="00C03A15" w:rsidRDefault="002A4BFB" w:rsidP="00925A6B">
            <w:pPr>
              <w:pStyle w:val="ParagraphStyle11"/>
              <w:jc w:val="right"/>
              <w:rPr>
                <w:rStyle w:val="CharacterStyle11"/>
                <w:b/>
              </w:rPr>
            </w:pPr>
            <w:r w:rsidRPr="00C03A15">
              <w:rPr>
                <w:rStyle w:val="CharacterStyle11"/>
              </w:rPr>
              <w:t>39.824,48</w:t>
            </w:r>
          </w:p>
        </w:tc>
        <w:tc>
          <w:tcPr>
            <w:tcW w:w="1935" w:type="dxa"/>
            <w:tcBorders>
              <w:bottom w:val="single" w:sz="6" w:space="0" w:color="000000"/>
              <w:right w:val="single" w:sz="6" w:space="0" w:color="000000"/>
            </w:tcBorders>
            <w:vAlign w:val="center"/>
          </w:tcPr>
          <w:p w14:paraId="72836A32" w14:textId="77777777" w:rsidR="002A4BFB" w:rsidRPr="00C03A15" w:rsidRDefault="002A4BFB" w:rsidP="00925A6B">
            <w:pPr>
              <w:pStyle w:val="ParagraphStyle11"/>
              <w:jc w:val="right"/>
              <w:rPr>
                <w:rStyle w:val="CharacterStyle11"/>
                <w:b/>
              </w:rPr>
            </w:pPr>
            <w:r w:rsidRPr="00C03A15">
              <w:rPr>
                <w:rStyle w:val="CharacterStyle11"/>
              </w:rPr>
              <w:t>40.000,00</w:t>
            </w:r>
          </w:p>
        </w:tc>
        <w:tc>
          <w:tcPr>
            <w:tcW w:w="1935" w:type="dxa"/>
            <w:tcBorders>
              <w:bottom w:val="single" w:sz="6" w:space="0" w:color="000000"/>
              <w:right w:val="single" w:sz="6" w:space="0" w:color="000000"/>
            </w:tcBorders>
            <w:vAlign w:val="center"/>
          </w:tcPr>
          <w:p w14:paraId="368DE372" w14:textId="77777777" w:rsidR="002A4BFB" w:rsidRPr="00C03A15" w:rsidRDefault="002A4BFB" w:rsidP="00925A6B">
            <w:pPr>
              <w:pStyle w:val="ParagraphStyle12"/>
              <w:rPr>
                <w:rStyle w:val="CharacterStyle12"/>
              </w:rPr>
            </w:pPr>
            <w:r w:rsidRPr="00C03A15">
              <w:rPr>
                <w:rStyle w:val="CharacterStyle12"/>
              </w:rPr>
              <w:t>40.000,00</w:t>
            </w:r>
          </w:p>
        </w:tc>
        <w:tc>
          <w:tcPr>
            <w:tcW w:w="1935" w:type="dxa"/>
            <w:tcBorders>
              <w:bottom w:val="single" w:sz="6" w:space="0" w:color="000000"/>
              <w:right w:val="single" w:sz="6" w:space="0" w:color="000000"/>
            </w:tcBorders>
            <w:vAlign w:val="center"/>
          </w:tcPr>
          <w:p w14:paraId="7C5B59D0" w14:textId="77777777" w:rsidR="002A4BFB" w:rsidRPr="00C03A15" w:rsidRDefault="002A4BFB" w:rsidP="00925A6B">
            <w:pPr>
              <w:pStyle w:val="ParagraphStyle12"/>
              <w:rPr>
                <w:rStyle w:val="CharacterStyle12"/>
              </w:rPr>
            </w:pPr>
            <w:r w:rsidRPr="00C03A15">
              <w:rPr>
                <w:rStyle w:val="CharacterStyle12"/>
              </w:rPr>
              <w:t>40.000,00</w:t>
            </w:r>
          </w:p>
        </w:tc>
        <w:tc>
          <w:tcPr>
            <w:tcW w:w="1935" w:type="dxa"/>
            <w:tcBorders>
              <w:bottom w:val="single" w:sz="6" w:space="0" w:color="000000"/>
              <w:right w:val="single" w:sz="6" w:space="0" w:color="000000"/>
            </w:tcBorders>
            <w:vAlign w:val="center"/>
          </w:tcPr>
          <w:p w14:paraId="579172C1" w14:textId="77777777" w:rsidR="002A4BFB" w:rsidRPr="00C03A15" w:rsidRDefault="002A4BFB" w:rsidP="00925A6B">
            <w:pPr>
              <w:pStyle w:val="ParagraphStyle12"/>
              <w:rPr>
                <w:rStyle w:val="CharacterStyle12"/>
              </w:rPr>
            </w:pPr>
            <w:r w:rsidRPr="00C03A15">
              <w:rPr>
                <w:rStyle w:val="CharacterStyle12"/>
              </w:rPr>
              <w:t>40.000,00</w:t>
            </w:r>
          </w:p>
        </w:tc>
      </w:tr>
    </w:tbl>
    <w:p w14:paraId="5BF00136" w14:textId="77777777" w:rsidR="002A4BFB" w:rsidRDefault="002A4BFB" w:rsidP="002A4BFB"/>
    <w:tbl>
      <w:tblPr>
        <w:tblW w:w="0" w:type="auto"/>
        <w:tblLayout w:type="fixed"/>
        <w:tblCellMar>
          <w:left w:w="0" w:type="dxa"/>
          <w:right w:w="0" w:type="dxa"/>
        </w:tblCellMar>
        <w:tblLook w:val="04A0" w:firstRow="1" w:lastRow="0" w:firstColumn="1" w:lastColumn="0" w:noHBand="0" w:noVBand="1"/>
      </w:tblPr>
      <w:tblGrid>
        <w:gridCol w:w="14850"/>
      </w:tblGrid>
      <w:tr w:rsidR="002A4BFB" w14:paraId="3397B340" w14:textId="77777777" w:rsidTr="00107D76">
        <w:trPr>
          <w:trHeight w:val="315"/>
        </w:trPr>
        <w:tc>
          <w:tcPr>
            <w:tcW w:w="14850" w:type="dxa"/>
            <w:vAlign w:val="center"/>
          </w:tcPr>
          <w:p w14:paraId="216B4984" w14:textId="77777777" w:rsidR="002A4BFB" w:rsidRDefault="002A4BFB" w:rsidP="00107D76">
            <w:pPr>
              <w:pStyle w:val="ParagraphStyle0"/>
            </w:pPr>
            <w:r>
              <w:br w:type="page"/>
            </w:r>
          </w:p>
          <w:p w14:paraId="2BF00FB7" w14:textId="77777777" w:rsidR="002A4BFB" w:rsidRDefault="002A4BFB" w:rsidP="00107D76">
            <w:pPr>
              <w:pStyle w:val="ParagraphStyle0"/>
              <w:rPr>
                <w:rStyle w:val="CharacterStyle0"/>
              </w:rPr>
            </w:pPr>
            <w:r>
              <w:rPr>
                <w:rStyle w:val="CharacterStyle0"/>
              </w:rPr>
              <w:t>B2. RAČUN FINANCIRANJA PREMA IZVORIMA FINANCIRANJA</w:t>
            </w:r>
          </w:p>
        </w:tc>
      </w:tr>
    </w:tbl>
    <w:p w14:paraId="5DC47AEF" w14:textId="77777777" w:rsidR="002A4BFB" w:rsidRDefault="002A4BFB" w:rsidP="002A4BFB">
      <w:pPr>
        <w:spacing w:line="405" w:lineRule="exact"/>
      </w:pPr>
    </w:p>
    <w:tbl>
      <w:tblPr>
        <w:tblW w:w="0" w:type="auto"/>
        <w:tblLayout w:type="fixed"/>
        <w:tblCellMar>
          <w:left w:w="0" w:type="dxa"/>
          <w:right w:w="0" w:type="dxa"/>
        </w:tblCellMar>
        <w:tblLook w:val="04A0" w:firstRow="1" w:lastRow="0" w:firstColumn="1" w:lastColumn="0" w:noHBand="0" w:noVBand="1"/>
      </w:tblPr>
      <w:tblGrid>
        <w:gridCol w:w="5190"/>
        <w:gridCol w:w="1920"/>
        <w:gridCol w:w="1935"/>
        <w:gridCol w:w="1935"/>
        <w:gridCol w:w="1935"/>
        <w:gridCol w:w="1935"/>
      </w:tblGrid>
      <w:tr w:rsidR="002A4BFB" w14:paraId="118F2B85" w14:textId="77777777" w:rsidTr="00107D76">
        <w:trPr>
          <w:trHeight w:val="555"/>
        </w:trPr>
        <w:tc>
          <w:tcPr>
            <w:tcW w:w="5190" w:type="dxa"/>
            <w:tcBorders>
              <w:top w:val="single" w:sz="6" w:space="0" w:color="000000"/>
              <w:left w:val="single" w:sz="6" w:space="0" w:color="000000"/>
              <w:bottom w:val="single" w:sz="6" w:space="0" w:color="000000"/>
              <w:right w:val="single" w:sz="6" w:space="0" w:color="000000"/>
            </w:tcBorders>
            <w:shd w:val="clear" w:color="auto" w:fill="DCDCDC"/>
            <w:vAlign w:val="center"/>
          </w:tcPr>
          <w:p w14:paraId="55AD171D" w14:textId="77777777" w:rsidR="002A4BFB" w:rsidRDefault="002A4BFB" w:rsidP="00107D76">
            <w:pPr>
              <w:pStyle w:val="ParagraphStyle1"/>
              <w:rPr>
                <w:rStyle w:val="CharacterStyle1"/>
              </w:rPr>
            </w:pPr>
            <w:r>
              <w:rPr>
                <w:rStyle w:val="CharacterStyle1"/>
              </w:rPr>
              <w:t>Brojčana oznaka i naziv</w:t>
            </w:r>
          </w:p>
        </w:tc>
        <w:tc>
          <w:tcPr>
            <w:tcW w:w="1920" w:type="dxa"/>
            <w:tcBorders>
              <w:top w:val="single" w:sz="6" w:space="0" w:color="000000"/>
              <w:bottom w:val="single" w:sz="6" w:space="0" w:color="000000"/>
              <w:right w:val="single" w:sz="6" w:space="0" w:color="000000"/>
            </w:tcBorders>
            <w:shd w:val="clear" w:color="auto" w:fill="DCDCDC"/>
            <w:vAlign w:val="center"/>
          </w:tcPr>
          <w:p w14:paraId="6C5C89C6" w14:textId="77777777" w:rsidR="002A4BFB" w:rsidRDefault="002A4BFB" w:rsidP="00107D76">
            <w:pPr>
              <w:pStyle w:val="ParagraphStyle2"/>
              <w:rPr>
                <w:rStyle w:val="CharacterStyle2"/>
              </w:rPr>
            </w:pPr>
            <w:r>
              <w:rPr>
                <w:rStyle w:val="CharacterStyle2"/>
              </w:rPr>
              <w:t>Izvršenje 2024.</w:t>
            </w:r>
          </w:p>
        </w:tc>
        <w:tc>
          <w:tcPr>
            <w:tcW w:w="1935" w:type="dxa"/>
            <w:tcBorders>
              <w:top w:val="single" w:sz="6" w:space="0" w:color="000000"/>
              <w:bottom w:val="single" w:sz="6" w:space="0" w:color="000000"/>
              <w:right w:val="single" w:sz="6" w:space="0" w:color="000000"/>
            </w:tcBorders>
            <w:shd w:val="clear" w:color="auto" w:fill="DCDCDC"/>
            <w:vAlign w:val="center"/>
          </w:tcPr>
          <w:p w14:paraId="351E73C1" w14:textId="77777777" w:rsidR="002A4BFB" w:rsidRDefault="002A4BFB" w:rsidP="00107D76">
            <w:pPr>
              <w:pStyle w:val="ParagraphStyle2"/>
              <w:rPr>
                <w:rStyle w:val="CharacterStyle2"/>
              </w:rPr>
            </w:pPr>
            <w:r>
              <w:rPr>
                <w:rStyle w:val="CharacterStyle2"/>
              </w:rPr>
              <w:t>Tekući plan 2025.</w:t>
            </w:r>
          </w:p>
        </w:tc>
        <w:tc>
          <w:tcPr>
            <w:tcW w:w="1935" w:type="dxa"/>
            <w:tcBorders>
              <w:top w:val="single" w:sz="6" w:space="0" w:color="000000"/>
              <w:bottom w:val="single" w:sz="6" w:space="0" w:color="000000"/>
              <w:right w:val="single" w:sz="6" w:space="0" w:color="000000"/>
            </w:tcBorders>
            <w:shd w:val="clear" w:color="auto" w:fill="DCDCDC"/>
            <w:vAlign w:val="center"/>
          </w:tcPr>
          <w:p w14:paraId="6C4B92A5" w14:textId="77777777" w:rsidR="002A4BFB" w:rsidRDefault="002A4BFB" w:rsidP="00107D76">
            <w:pPr>
              <w:pStyle w:val="ParagraphStyle2"/>
              <w:rPr>
                <w:rStyle w:val="CharacterStyle2"/>
              </w:rPr>
            </w:pPr>
            <w:r>
              <w:rPr>
                <w:rStyle w:val="CharacterStyle2"/>
              </w:rPr>
              <w:t>Plan 2026.</w:t>
            </w:r>
          </w:p>
        </w:tc>
        <w:tc>
          <w:tcPr>
            <w:tcW w:w="1935" w:type="dxa"/>
            <w:tcBorders>
              <w:top w:val="single" w:sz="6" w:space="0" w:color="000000"/>
              <w:bottom w:val="single" w:sz="6" w:space="0" w:color="000000"/>
              <w:right w:val="single" w:sz="6" w:space="0" w:color="000000"/>
            </w:tcBorders>
            <w:shd w:val="clear" w:color="auto" w:fill="DCDCDC"/>
            <w:vAlign w:val="center"/>
          </w:tcPr>
          <w:p w14:paraId="2A45B47C" w14:textId="77777777" w:rsidR="002A4BFB" w:rsidRDefault="002A4BFB" w:rsidP="00107D76">
            <w:pPr>
              <w:pStyle w:val="ParagraphStyle2"/>
              <w:rPr>
                <w:rStyle w:val="CharacterStyle2"/>
              </w:rPr>
            </w:pPr>
            <w:r>
              <w:rPr>
                <w:rStyle w:val="CharacterStyle2"/>
              </w:rPr>
              <w:t>Projekcija 2027.</w:t>
            </w:r>
          </w:p>
        </w:tc>
        <w:tc>
          <w:tcPr>
            <w:tcW w:w="1935" w:type="dxa"/>
            <w:tcBorders>
              <w:top w:val="single" w:sz="6" w:space="0" w:color="000000"/>
              <w:bottom w:val="single" w:sz="6" w:space="0" w:color="000000"/>
              <w:right w:val="single" w:sz="6" w:space="0" w:color="000000"/>
            </w:tcBorders>
            <w:shd w:val="clear" w:color="auto" w:fill="DCDCDC"/>
            <w:vAlign w:val="center"/>
          </w:tcPr>
          <w:p w14:paraId="4F29CC4B" w14:textId="77777777" w:rsidR="002A4BFB" w:rsidRDefault="002A4BFB" w:rsidP="00107D76">
            <w:pPr>
              <w:pStyle w:val="ParagraphStyle2"/>
              <w:rPr>
                <w:rStyle w:val="CharacterStyle2"/>
              </w:rPr>
            </w:pPr>
            <w:r>
              <w:rPr>
                <w:rStyle w:val="CharacterStyle2"/>
              </w:rPr>
              <w:t>Projekcija 2028.</w:t>
            </w:r>
          </w:p>
        </w:tc>
      </w:tr>
      <w:tr w:rsidR="002A4BFB" w14:paraId="6F46CED8" w14:textId="77777777" w:rsidTr="00107D76">
        <w:trPr>
          <w:trHeight w:val="345"/>
        </w:trPr>
        <w:tc>
          <w:tcPr>
            <w:tcW w:w="5190" w:type="dxa"/>
            <w:tcBorders>
              <w:left w:val="single" w:sz="6" w:space="0" w:color="000000"/>
              <w:bottom w:val="single" w:sz="6" w:space="0" w:color="000000"/>
              <w:right w:val="single" w:sz="6" w:space="0" w:color="000000"/>
            </w:tcBorders>
            <w:vAlign w:val="center"/>
          </w:tcPr>
          <w:p w14:paraId="3C8551BA" w14:textId="77777777" w:rsidR="002A4BFB" w:rsidRPr="00C03A15" w:rsidRDefault="002A4BFB" w:rsidP="00107D76">
            <w:pPr>
              <w:pStyle w:val="ParagraphStyle3"/>
              <w:jc w:val="left"/>
              <w:rPr>
                <w:rStyle w:val="CharacterStyle3"/>
              </w:rPr>
            </w:pPr>
            <w:r w:rsidRPr="00C03A15">
              <w:rPr>
                <w:rStyle w:val="CharacterStyle3"/>
              </w:rPr>
              <w:t>PRIMICI UKUPNO</w:t>
            </w:r>
          </w:p>
        </w:tc>
        <w:tc>
          <w:tcPr>
            <w:tcW w:w="1920" w:type="dxa"/>
            <w:tcBorders>
              <w:bottom w:val="single" w:sz="6" w:space="0" w:color="000000"/>
              <w:right w:val="single" w:sz="6" w:space="0" w:color="000000"/>
            </w:tcBorders>
            <w:vAlign w:val="center"/>
          </w:tcPr>
          <w:p w14:paraId="619D2030" w14:textId="77777777" w:rsidR="002A4BFB" w:rsidRPr="00C03A15" w:rsidRDefault="002A4BFB" w:rsidP="00107D76">
            <w:pPr>
              <w:pStyle w:val="ParagraphStyle4"/>
              <w:jc w:val="right"/>
              <w:rPr>
                <w:rStyle w:val="CharacterStyle4"/>
              </w:rPr>
            </w:pPr>
            <w:r w:rsidRPr="00C03A15">
              <w:rPr>
                <w:rStyle w:val="CharacterStyle4"/>
              </w:rPr>
              <w:t>0,00</w:t>
            </w:r>
          </w:p>
        </w:tc>
        <w:tc>
          <w:tcPr>
            <w:tcW w:w="1935" w:type="dxa"/>
            <w:tcBorders>
              <w:bottom w:val="single" w:sz="6" w:space="0" w:color="000000"/>
              <w:right w:val="single" w:sz="6" w:space="0" w:color="000000"/>
            </w:tcBorders>
            <w:vAlign w:val="center"/>
          </w:tcPr>
          <w:p w14:paraId="63E8C68C" w14:textId="77777777" w:rsidR="002A4BFB" w:rsidRPr="00C03A15" w:rsidRDefault="002A4BFB" w:rsidP="00107D76">
            <w:pPr>
              <w:pStyle w:val="ParagraphStyle4"/>
              <w:jc w:val="right"/>
              <w:rPr>
                <w:rStyle w:val="CharacterStyle4"/>
              </w:rPr>
            </w:pPr>
            <w:r w:rsidRPr="00C03A15">
              <w:rPr>
                <w:rStyle w:val="CharacterStyle4"/>
              </w:rPr>
              <w:t>0,00</w:t>
            </w:r>
          </w:p>
        </w:tc>
        <w:tc>
          <w:tcPr>
            <w:tcW w:w="1935" w:type="dxa"/>
            <w:tcBorders>
              <w:bottom w:val="single" w:sz="6" w:space="0" w:color="000000"/>
              <w:right w:val="single" w:sz="6" w:space="0" w:color="000000"/>
            </w:tcBorders>
            <w:vAlign w:val="center"/>
          </w:tcPr>
          <w:p w14:paraId="7415E563" w14:textId="77777777" w:rsidR="002A4BFB" w:rsidRPr="00C03A15" w:rsidRDefault="002A4BFB" w:rsidP="00107D76">
            <w:pPr>
              <w:pStyle w:val="ParagraphStyle4"/>
              <w:jc w:val="right"/>
              <w:rPr>
                <w:rStyle w:val="CharacterStyle4"/>
              </w:rPr>
            </w:pPr>
            <w:r w:rsidRPr="00C03A15">
              <w:rPr>
                <w:rStyle w:val="CharacterStyle4"/>
              </w:rPr>
              <w:t>0,00</w:t>
            </w:r>
          </w:p>
        </w:tc>
        <w:tc>
          <w:tcPr>
            <w:tcW w:w="1935" w:type="dxa"/>
            <w:tcBorders>
              <w:bottom w:val="single" w:sz="6" w:space="0" w:color="000000"/>
              <w:right w:val="single" w:sz="6" w:space="0" w:color="000000"/>
            </w:tcBorders>
            <w:vAlign w:val="center"/>
          </w:tcPr>
          <w:p w14:paraId="070E02D3" w14:textId="77777777" w:rsidR="002A4BFB" w:rsidRPr="00C03A15" w:rsidRDefault="002A4BFB" w:rsidP="00107D76">
            <w:pPr>
              <w:pStyle w:val="ParagraphStyle4"/>
              <w:jc w:val="right"/>
              <w:rPr>
                <w:rStyle w:val="CharacterStyle4"/>
              </w:rPr>
            </w:pPr>
            <w:r w:rsidRPr="00C03A15">
              <w:rPr>
                <w:rStyle w:val="CharacterStyle4"/>
              </w:rPr>
              <w:t>0,00</w:t>
            </w:r>
          </w:p>
        </w:tc>
        <w:tc>
          <w:tcPr>
            <w:tcW w:w="1935" w:type="dxa"/>
            <w:tcBorders>
              <w:bottom w:val="single" w:sz="6" w:space="0" w:color="000000"/>
              <w:right w:val="single" w:sz="6" w:space="0" w:color="000000"/>
            </w:tcBorders>
            <w:vAlign w:val="center"/>
          </w:tcPr>
          <w:p w14:paraId="3F8F15DE" w14:textId="77777777" w:rsidR="002A4BFB" w:rsidRPr="00C03A15" w:rsidRDefault="002A4BFB" w:rsidP="00107D76">
            <w:pPr>
              <w:pStyle w:val="ParagraphStyle4"/>
              <w:jc w:val="right"/>
              <w:rPr>
                <w:rStyle w:val="CharacterStyle4"/>
              </w:rPr>
            </w:pPr>
            <w:r w:rsidRPr="00C03A15">
              <w:rPr>
                <w:rStyle w:val="CharacterStyle4"/>
              </w:rPr>
              <w:t>0,00</w:t>
            </w:r>
          </w:p>
        </w:tc>
      </w:tr>
      <w:tr w:rsidR="002A4BFB" w14:paraId="774931CD" w14:textId="77777777" w:rsidTr="00107D76">
        <w:trPr>
          <w:trHeight w:val="345"/>
        </w:trPr>
        <w:tc>
          <w:tcPr>
            <w:tcW w:w="5190" w:type="dxa"/>
            <w:tcBorders>
              <w:left w:val="single" w:sz="6" w:space="0" w:color="000000"/>
              <w:bottom w:val="single" w:sz="6" w:space="0" w:color="000000"/>
              <w:right w:val="single" w:sz="6" w:space="0" w:color="000000"/>
            </w:tcBorders>
            <w:vAlign w:val="center"/>
          </w:tcPr>
          <w:p w14:paraId="0A7A3593" w14:textId="77777777" w:rsidR="002A4BFB" w:rsidRPr="00C03A15" w:rsidRDefault="002A4BFB" w:rsidP="00107D76">
            <w:pPr>
              <w:pStyle w:val="ParagraphStyle3"/>
              <w:jc w:val="left"/>
              <w:rPr>
                <w:rStyle w:val="CharacterStyle3"/>
              </w:rPr>
            </w:pPr>
          </w:p>
        </w:tc>
        <w:tc>
          <w:tcPr>
            <w:tcW w:w="1920" w:type="dxa"/>
            <w:tcBorders>
              <w:bottom w:val="single" w:sz="6" w:space="0" w:color="000000"/>
              <w:right w:val="single" w:sz="6" w:space="0" w:color="000000"/>
            </w:tcBorders>
            <w:vAlign w:val="center"/>
          </w:tcPr>
          <w:p w14:paraId="0D65FAAF" w14:textId="77777777" w:rsidR="002A4BFB" w:rsidRPr="00C03A15" w:rsidRDefault="002A4BFB" w:rsidP="00107D76">
            <w:pPr>
              <w:pStyle w:val="ParagraphStyle4"/>
              <w:jc w:val="right"/>
              <w:rPr>
                <w:rStyle w:val="CharacterStyle4"/>
              </w:rPr>
            </w:pPr>
          </w:p>
        </w:tc>
        <w:tc>
          <w:tcPr>
            <w:tcW w:w="1935" w:type="dxa"/>
            <w:tcBorders>
              <w:bottom w:val="single" w:sz="6" w:space="0" w:color="000000"/>
              <w:right w:val="single" w:sz="6" w:space="0" w:color="000000"/>
            </w:tcBorders>
            <w:vAlign w:val="center"/>
          </w:tcPr>
          <w:p w14:paraId="1C4EBA7B" w14:textId="77777777" w:rsidR="002A4BFB" w:rsidRPr="00C03A15" w:rsidRDefault="002A4BFB" w:rsidP="00107D76">
            <w:pPr>
              <w:pStyle w:val="ParagraphStyle4"/>
              <w:jc w:val="right"/>
              <w:rPr>
                <w:rStyle w:val="CharacterStyle4"/>
              </w:rPr>
            </w:pPr>
          </w:p>
        </w:tc>
        <w:tc>
          <w:tcPr>
            <w:tcW w:w="1935" w:type="dxa"/>
            <w:tcBorders>
              <w:bottom w:val="single" w:sz="6" w:space="0" w:color="000000"/>
              <w:right w:val="single" w:sz="6" w:space="0" w:color="000000"/>
            </w:tcBorders>
            <w:vAlign w:val="center"/>
          </w:tcPr>
          <w:p w14:paraId="1354CF49" w14:textId="77777777" w:rsidR="002A4BFB" w:rsidRPr="00C03A15" w:rsidRDefault="002A4BFB" w:rsidP="00107D76">
            <w:pPr>
              <w:pStyle w:val="ParagraphStyle4"/>
              <w:jc w:val="right"/>
              <w:rPr>
                <w:rStyle w:val="CharacterStyle4"/>
              </w:rPr>
            </w:pPr>
          </w:p>
        </w:tc>
        <w:tc>
          <w:tcPr>
            <w:tcW w:w="1935" w:type="dxa"/>
            <w:tcBorders>
              <w:bottom w:val="single" w:sz="6" w:space="0" w:color="000000"/>
              <w:right w:val="single" w:sz="6" w:space="0" w:color="000000"/>
            </w:tcBorders>
            <w:vAlign w:val="center"/>
          </w:tcPr>
          <w:p w14:paraId="37A0EBC0" w14:textId="77777777" w:rsidR="002A4BFB" w:rsidRPr="00C03A15" w:rsidRDefault="002A4BFB" w:rsidP="00107D76">
            <w:pPr>
              <w:pStyle w:val="ParagraphStyle4"/>
              <w:jc w:val="right"/>
              <w:rPr>
                <w:rStyle w:val="CharacterStyle4"/>
              </w:rPr>
            </w:pPr>
          </w:p>
        </w:tc>
        <w:tc>
          <w:tcPr>
            <w:tcW w:w="1935" w:type="dxa"/>
            <w:tcBorders>
              <w:bottom w:val="single" w:sz="6" w:space="0" w:color="000000"/>
              <w:right w:val="single" w:sz="6" w:space="0" w:color="000000"/>
            </w:tcBorders>
            <w:vAlign w:val="center"/>
          </w:tcPr>
          <w:p w14:paraId="3381027D" w14:textId="77777777" w:rsidR="002A4BFB" w:rsidRPr="00C03A15" w:rsidRDefault="002A4BFB" w:rsidP="00107D76">
            <w:pPr>
              <w:pStyle w:val="ParagraphStyle4"/>
              <w:jc w:val="right"/>
              <w:rPr>
                <w:rStyle w:val="CharacterStyle4"/>
              </w:rPr>
            </w:pPr>
          </w:p>
        </w:tc>
      </w:tr>
      <w:tr w:rsidR="002A4BFB" w14:paraId="2FBE39C9" w14:textId="77777777" w:rsidTr="00107D76">
        <w:trPr>
          <w:trHeight w:val="345"/>
        </w:trPr>
        <w:tc>
          <w:tcPr>
            <w:tcW w:w="5190" w:type="dxa"/>
            <w:tcBorders>
              <w:left w:val="single" w:sz="6" w:space="0" w:color="000000"/>
              <w:bottom w:val="single" w:sz="6" w:space="0" w:color="000000"/>
              <w:right w:val="single" w:sz="6" w:space="0" w:color="000000"/>
            </w:tcBorders>
            <w:vAlign w:val="center"/>
          </w:tcPr>
          <w:p w14:paraId="4E086EBF" w14:textId="77777777" w:rsidR="002A4BFB" w:rsidRPr="00C03A15" w:rsidRDefault="002A4BFB" w:rsidP="00107D76">
            <w:pPr>
              <w:pStyle w:val="ParagraphStyle3"/>
              <w:jc w:val="left"/>
              <w:rPr>
                <w:rStyle w:val="CharacterStyle3"/>
              </w:rPr>
            </w:pPr>
            <w:r w:rsidRPr="00C03A15">
              <w:rPr>
                <w:rStyle w:val="CharacterStyle3"/>
              </w:rPr>
              <w:t>IZDACI UKUPNO</w:t>
            </w:r>
          </w:p>
        </w:tc>
        <w:tc>
          <w:tcPr>
            <w:tcW w:w="1920" w:type="dxa"/>
            <w:tcBorders>
              <w:bottom w:val="single" w:sz="6" w:space="0" w:color="000000"/>
              <w:right w:val="single" w:sz="6" w:space="0" w:color="000000"/>
            </w:tcBorders>
            <w:vAlign w:val="center"/>
          </w:tcPr>
          <w:p w14:paraId="348D772B" w14:textId="77777777" w:rsidR="002A4BFB" w:rsidRPr="00C03A15" w:rsidRDefault="002A4BFB" w:rsidP="00107D76">
            <w:pPr>
              <w:pStyle w:val="ParagraphStyle4"/>
              <w:jc w:val="right"/>
              <w:rPr>
                <w:rStyle w:val="CharacterStyle4"/>
              </w:rPr>
            </w:pPr>
            <w:r w:rsidRPr="00C03A15">
              <w:rPr>
                <w:rStyle w:val="CharacterStyle4"/>
              </w:rPr>
              <w:t>39.824,48</w:t>
            </w:r>
          </w:p>
        </w:tc>
        <w:tc>
          <w:tcPr>
            <w:tcW w:w="1935" w:type="dxa"/>
            <w:tcBorders>
              <w:bottom w:val="single" w:sz="6" w:space="0" w:color="000000"/>
              <w:right w:val="single" w:sz="6" w:space="0" w:color="000000"/>
            </w:tcBorders>
            <w:vAlign w:val="center"/>
          </w:tcPr>
          <w:p w14:paraId="32218809" w14:textId="77777777" w:rsidR="002A4BFB" w:rsidRPr="00C03A15" w:rsidRDefault="002A4BFB" w:rsidP="00107D76">
            <w:pPr>
              <w:pStyle w:val="ParagraphStyle4"/>
              <w:jc w:val="right"/>
              <w:rPr>
                <w:rStyle w:val="CharacterStyle4"/>
              </w:rPr>
            </w:pPr>
            <w:r w:rsidRPr="00C03A15">
              <w:rPr>
                <w:rStyle w:val="CharacterStyle4"/>
              </w:rPr>
              <w:t>44.750,00</w:t>
            </w:r>
          </w:p>
        </w:tc>
        <w:tc>
          <w:tcPr>
            <w:tcW w:w="1935" w:type="dxa"/>
            <w:tcBorders>
              <w:bottom w:val="single" w:sz="6" w:space="0" w:color="000000"/>
              <w:right w:val="single" w:sz="6" w:space="0" w:color="000000"/>
            </w:tcBorders>
            <w:vAlign w:val="center"/>
          </w:tcPr>
          <w:p w14:paraId="4B6C8BD3" w14:textId="77777777" w:rsidR="002A4BFB" w:rsidRPr="00C03A15" w:rsidRDefault="002A4BFB" w:rsidP="00107D76">
            <w:pPr>
              <w:pStyle w:val="ParagraphStyle4"/>
              <w:jc w:val="right"/>
              <w:rPr>
                <w:rStyle w:val="CharacterStyle4"/>
              </w:rPr>
            </w:pPr>
            <w:r w:rsidRPr="00C03A15">
              <w:rPr>
                <w:rStyle w:val="CharacterStyle4"/>
              </w:rPr>
              <w:t>50.000,00</w:t>
            </w:r>
          </w:p>
        </w:tc>
        <w:tc>
          <w:tcPr>
            <w:tcW w:w="1935" w:type="dxa"/>
            <w:tcBorders>
              <w:bottom w:val="single" w:sz="6" w:space="0" w:color="000000"/>
              <w:right w:val="single" w:sz="6" w:space="0" w:color="000000"/>
            </w:tcBorders>
            <w:vAlign w:val="center"/>
          </w:tcPr>
          <w:p w14:paraId="1E3CED3B" w14:textId="77777777" w:rsidR="002A4BFB" w:rsidRPr="00C03A15" w:rsidRDefault="002A4BFB" w:rsidP="00107D76">
            <w:pPr>
              <w:pStyle w:val="ParagraphStyle4"/>
              <w:jc w:val="right"/>
              <w:rPr>
                <w:rStyle w:val="CharacterStyle4"/>
              </w:rPr>
            </w:pPr>
            <w:r w:rsidRPr="00C03A15">
              <w:rPr>
                <w:rStyle w:val="CharacterStyle4"/>
              </w:rPr>
              <w:t>50.000,00</w:t>
            </w:r>
          </w:p>
        </w:tc>
        <w:tc>
          <w:tcPr>
            <w:tcW w:w="1935" w:type="dxa"/>
            <w:tcBorders>
              <w:bottom w:val="single" w:sz="6" w:space="0" w:color="000000"/>
              <w:right w:val="single" w:sz="6" w:space="0" w:color="000000"/>
            </w:tcBorders>
            <w:vAlign w:val="center"/>
          </w:tcPr>
          <w:p w14:paraId="2265A02A" w14:textId="77777777" w:rsidR="002A4BFB" w:rsidRPr="00C03A15" w:rsidRDefault="002A4BFB" w:rsidP="00107D76">
            <w:pPr>
              <w:pStyle w:val="ParagraphStyle4"/>
              <w:jc w:val="right"/>
              <w:rPr>
                <w:rStyle w:val="CharacterStyle4"/>
              </w:rPr>
            </w:pPr>
            <w:r w:rsidRPr="00C03A15">
              <w:rPr>
                <w:rStyle w:val="CharacterStyle4"/>
              </w:rPr>
              <w:t>50.000,00</w:t>
            </w:r>
          </w:p>
        </w:tc>
      </w:tr>
      <w:tr w:rsidR="002A4BFB" w14:paraId="431F9011" w14:textId="77777777" w:rsidTr="00107D76">
        <w:trPr>
          <w:trHeight w:val="360"/>
        </w:trPr>
        <w:tc>
          <w:tcPr>
            <w:tcW w:w="5190" w:type="dxa"/>
            <w:tcBorders>
              <w:left w:val="single" w:sz="6" w:space="0" w:color="000000"/>
              <w:bottom w:val="single" w:sz="6" w:space="0" w:color="000000"/>
              <w:right w:val="single" w:sz="6" w:space="0" w:color="000000"/>
            </w:tcBorders>
            <w:vAlign w:val="center"/>
          </w:tcPr>
          <w:p w14:paraId="2FBB9549" w14:textId="77777777" w:rsidR="002A4BFB" w:rsidRPr="00C03A15" w:rsidRDefault="002A4BFB" w:rsidP="00107D76">
            <w:pPr>
              <w:pStyle w:val="ParagraphStyle5"/>
              <w:rPr>
                <w:rStyle w:val="CharacterStyle5"/>
              </w:rPr>
            </w:pPr>
            <w:r w:rsidRPr="00C03A15">
              <w:rPr>
                <w:rStyle w:val="CharacterStyle5"/>
              </w:rPr>
              <w:t>1 OPĆI PRIHODI I PRIMICI</w:t>
            </w:r>
          </w:p>
        </w:tc>
        <w:tc>
          <w:tcPr>
            <w:tcW w:w="1920" w:type="dxa"/>
            <w:tcBorders>
              <w:bottom w:val="single" w:sz="6" w:space="0" w:color="000000"/>
              <w:right w:val="single" w:sz="6" w:space="0" w:color="000000"/>
            </w:tcBorders>
            <w:vAlign w:val="center"/>
          </w:tcPr>
          <w:p w14:paraId="4A5ACD03" w14:textId="77777777" w:rsidR="002A4BFB" w:rsidRPr="00C03A15" w:rsidRDefault="002A4BFB" w:rsidP="00107D76">
            <w:pPr>
              <w:pStyle w:val="ParagraphStyle6"/>
              <w:rPr>
                <w:rStyle w:val="CharacterStyle6"/>
                <w:b w:val="0"/>
              </w:rPr>
            </w:pPr>
            <w:r w:rsidRPr="00C03A15">
              <w:rPr>
                <w:rStyle w:val="CharacterStyle6"/>
              </w:rPr>
              <w:t>39.824,48</w:t>
            </w:r>
          </w:p>
        </w:tc>
        <w:tc>
          <w:tcPr>
            <w:tcW w:w="1935" w:type="dxa"/>
            <w:tcBorders>
              <w:bottom w:val="single" w:sz="6" w:space="0" w:color="000000"/>
              <w:right w:val="single" w:sz="6" w:space="0" w:color="000000"/>
            </w:tcBorders>
            <w:vAlign w:val="center"/>
          </w:tcPr>
          <w:p w14:paraId="1877CE79" w14:textId="77777777" w:rsidR="002A4BFB" w:rsidRPr="00C03A15" w:rsidRDefault="002A4BFB" w:rsidP="00107D76">
            <w:pPr>
              <w:pStyle w:val="ParagraphStyle6"/>
              <w:rPr>
                <w:rStyle w:val="CharacterStyle6"/>
                <w:b w:val="0"/>
              </w:rPr>
            </w:pPr>
            <w:r w:rsidRPr="00C03A15">
              <w:rPr>
                <w:rStyle w:val="CharacterStyle6"/>
              </w:rPr>
              <w:t>44.750,00</w:t>
            </w:r>
          </w:p>
        </w:tc>
        <w:tc>
          <w:tcPr>
            <w:tcW w:w="1935" w:type="dxa"/>
            <w:tcBorders>
              <w:bottom w:val="single" w:sz="6" w:space="0" w:color="000000"/>
              <w:right w:val="single" w:sz="6" w:space="0" w:color="000000"/>
            </w:tcBorders>
            <w:vAlign w:val="center"/>
          </w:tcPr>
          <w:p w14:paraId="4738BE64" w14:textId="77777777" w:rsidR="002A4BFB" w:rsidRPr="00C03A15" w:rsidRDefault="002A4BFB" w:rsidP="00107D76">
            <w:pPr>
              <w:pStyle w:val="ParagraphStyle6"/>
              <w:rPr>
                <w:rStyle w:val="CharacterStyle6"/>
                <w:b w:val="0"/>
              </w:rPr>
            </w:pPr>
            <w:r w:rsidRPr="00C03A15">
              <w:rPr>
                <w:rStyle w:val="CharacterStyle6"/>
              </w:rPr>
              <w:t>50.000,00</w:t>
            </w:r>
          </w:p>
        </w:tc>
        <w:tc>
          <w:tcPr>
            <w:tcW w:w="1935" w:type="dxa"/>
            <w:tcBorders>
              <w:bottom w:val="single" w:sz="6" w:space="0" w:color="000000"/>
              <w:right w:val="single" w:sz="6" w:space="0" w:color="000000"/>
            </w:tcBorders>
            <w:vAlign w:val="center"/>
          </w:tcPr>
          <w:p w14:paraId="66ECD246" w14:textId="77777777" w:rsidR="002A4BFB" w:rsidRPr="00C03A15" w:rsidRDefault="002A4BFB" w:rsidP="00107D76">
            <w:pPr>
              <w:pStyle w:val="ParagraphStyle6"/>
              <w:rPr>
                <w:rStyle w:val="CharacterStyle6"/>
                <w:b w:val="0"/>
              </w:rPr>
            </w:pPr>
            <w:r w:rsidRPr="00C03A15">
              <w:rPr>
                <w:rStyle w:val="CharacterStyle6"/>
              </w:rPr>
              <w:t>50.000,00</w:t>
            </w:r>
          </w:p>
        </w:tc>
        <w:tc>
          <w:tcPr>
            <w:tcW w:w="1935" w:type="dxa"/>
            <w:tcBorders>
              <w:bottom w:val="single" w:sz="6" w:space="0" w:color="000000"/>
              <w:right w:val="single" w:sz="6" w:space="0" w:color="000000"/>
            </w:tcBorders>
            <w:vAlign w:val="center"/>
          </w:tcPr>
          <w:p w14:paraId="264BC05E" w14:textId="77777777" w:rsidR="002A4BFB" w:rsidRPr="00C03A15" w:rsidRDefault="002A4BFB" w:rsidP="00107D76">
            <w:pPr>
              <w:pStyle w:val="ParagraphStyle6"/>
              <w:rPr>
                <w:rStyle w:val="CharacterStyle6"/>
                <w:b w:val="0"/>
              </w:rPr>
            </w:pPr>
            <w:r w:rsidRPr="00C03A15">
              <w:rPr>
                <w:rStyle w:val="CharacterStyle6"/>
              </w:rPr>
              <w:t>50.000,00</w:t>
            </w:r>
          </w:p>
        </w:tc>
      </w:tr>
      <w:tr w:rsidR="002A4BFB" w14:paraId="3E42EEEB" w14:textId="77777777" w:rsidTr="00107D76">
        <w:trPr>
          <w:trHeight w:val="360"/>
        </w:trPr>
        <w:tc>
          <w:tcPr>
            <w:tcW w:w="5190" w:type="dxa"/>
            <w:tcBorders>
              <w:left w:val="single" w:sz="6" w:space="0" w:color="000000"/>
              <w:bottom w:val="single" w:sz="6" w:space="0" w:color="000000"/>
              <w:right w:val="single" w:sz="6" w:space="0" w:color="000000"/>
            </w:tcBorders>
            <w:vAlign w:val="center"/>
          </w:tcPr>
          <w:p w14:paraId="2CE6C5AD" w14:textId="77777777" w:rsidR="002A4BFB" w:rsidRPr="00C03A15" w:rsidRDefault="002A4BFB" w:rsidP="00107D76">
            <w:pPr>
              <w:pStyle w:val="ParagraphStyle7"/>
              <w:rPr>
                <w:rStyle w:val="CharacterStyle7"/>
                <w:i w:val="0"/>
              </w:rPr>
            </w:pPr>
            <w:r w:rsidRPr="00C03A15">
              <w:rPr>
                <w:rStyle w:val="CharacterStyle7"/>
                <w:i w:val="0"/>
              </w:rPr>
              <w:t>11 Opći prihodi i primici</w:t>
            </w:r>
          </w:p>
        </w:tc>
        <w:tc>
          <w:tcPr>
            <w:tcW w:w="1920" w:type="dxa"/>
            <w:tcBorders>
              <w:bottom w:val="single" w:sz="6" w:space="0" w:color="000000"/>
              <w:right w:val="single" w:sz="6" w:space="0" w:color="000000"/>
            </w:tcBorders>
            <w:vAlign w:val="center"/>
          </w:tcPr>
          <w:p w14:paraId="2C3A4E19" w14:textId="77777777" w:rsidR="002A4BFB" w:rsidRPr="00C03A15" w:rsidRDefault="002A4BFB" w:rsidP="00107D76">
            <w:pPr>
              <w:pStyle w:val="ParagraphStyle8"/>
              <w:jc w:val="right"/>
              <w:rPr>
                <w:rStyle w:val="CharacterStyle8"/>
                <w:i w:val="0"/>
              </w:rPr>
            </w:pPr>
            <w:r w:rsidRPr="00C03A15">
              <w:rPr>
                <w:rStyle w:val="CharacterStyle8"/>
                <w:i w:val="0"/>
              </w:rPr>
              <w:t>39.824,48</w:t>
            </w:r>
          </w:p>
        </w:tc>
        <w:tc>
          <w:tcPr>
            <w:tcW w:w="1935" w:type="dxa"/>
            <w:tcBorders>
              <w:bottom w:val="single" w:sz="6" w:space="0" w:color="000000"/>
              <w:right w:val="single" w:sz="6" w:space="0" w:color="000000"/>
            </w:tcBorders>
            <w:vAlign w:val="center"/>
          </w:tcPr>
          <w:p w14:paraId="53D2DD2A" w14:textId="77777777" w:rsidR="002A4BFB" w:rsidRPr="00C03A15" w:rsidRDefault="002A4BFB" w:rsidP="00107D76">
            <w:pPr>
              <w:pStyle w:val="ParagraphStyle8"/>
              <w:jc w:val="right"/>
              <w:rPr>
                <w:rStyle w:val="CharacterStyle8"/>
                <w:i w:val="0"/>
              </w:rPr>
            </w:pPr>
            <w:r w:rsidRPr="00C03A15">
              <w:rPr>
                <w:rStyle w:val="CharacterStyle8"/>
                <w:i w:val="0"/>
              </w:rPr>
              <w:t>44.750,00</w:t>
            </w:r>
          </w:p>
        </w:tc>
        <w:tc>
          <w:tcPr>
            <w:tcW w:w="1935" w:type="dxa"/>
            <w:tcBorders>
              <w:bottom w:val="single" w:sz="6" w:space="0" w:color="000000"/>
              <w:right w:val="single" w:sz="6" w:space="0" w:color="000000"/>
            </w:tcBorders>
            <w:vAlign w:val="center"/>
          </w:tcPr>
          <w:p w14:paraId="5B7B640E" w14:textId="77777777" w:rsidR="002A4BFB" w:rsidRPr="00C03A15" w:rsidRDefault="002A4BFB" w:rsidP="00107D76">
            <w:pPr>
              <w:pStyle w:val="ParagraphStyle9"/>
              <w:rPr>
                <w:rStyle w:val="CharacterStyle9"/>
                <w:b/>
                <w:i w:val="0"/>
              </w:rPr>
            </w:pPr>
            <w:r w:rsidRPr="00C03A15">
              <w:rPr>
                <w:rStyle w:val="CharacterStyle9"/>
                <w:i w:val="0"/>
              </w:rPr>
              <w:t>50.000,00</w:t>
            </w:r>
          </w:p>
        </w:tc>
        <w:tc>
          <w:tcPr>
            <w:tcW w:w="1935" w:type="dxa"/>
            <w:tcBorders>
              <w:bottom w:val="single" w:sz="6" w:space="0" w:color="000000"/>
              <w:right w:val="single" w:sz="6" w:space="0" w:color="000000"/>
            </w:tcBorders>
            <w:vAlign w:val="center"/>
          </w:tcPr>
          <w:p w14:paraId="27BA5816" w14:textId="77777777" w:rsidR="002A4BFB" w:rsidRPr="00C03A15" w:rsidRDefault="002A4BFB" w:rsidP="00107D76">
            <w:pPr>
              <w:pStyle w:val="ParagraphStyle9"/>
              <w:rPr>
                <w:rStyle w:val="CharacterStyle9"/>
                <w:b/>
                <w:i w:val="0"/>
              </w:rPr>
            </w:pPr>
            <w:r w:rsidRPr="00C03A15">
              <w:rPr>
                <w:rStyle w:val="CharacterStyle9"/>
                <w:i w:val="0"/>
              </w:rPr>
              <w:t>50.000,00</w:t>
            </w:r>
          </w:p>
        </w:tc>
        <w:tc>
          <w:tcPr>
            <w:tcW w:w="1935" w:type="dxa"/>
            <w:tcBorders>
              <w:bottom w:val="single" w:sz="6" w:space="0" w:color="000000"/>
              <w:right w:val="single" w:sz="6" w:space="0" w:color="000000"/>
            </w:tcBorders>
            <w:vAlign w:val="center"/>
          </w:tcPr>
          <w:p w14:paraId="32D20628" w14:textId="77777777" w:rsidR="002A4BFB" w:rsidRPr="00C03A15" w:rsidRDefault="002A4BFB" w:rsidP="00107D76">
            <w:pPr>
              <w:pStyle w:val="ParagraphStyle9"/>
              <w:rPr>
                <w:rStyle w:val="CharacterStyle9"/>
                <w:b/>
                <w:i w:val="0"/>
              </w:rPr>
            </w:pPr>
            <w:r w:rsidRPr="00C03A15">
              <w:rPr>
                <w:rStyle w:val="CharacterStyle9"/>
                <w:i w:val="0"/>
              </w:rPr>
              <w:t>50.000,00</w:t>
            </w:r>
          </w:p>
        </w:tc>
      </w:tr>
    </w:tbl>
    <w:p w14:paraId="28D484AA" w14:textId="77777777" w:rsidR="002A4BFB" w:rsidRDefault="002A4BFB" w:rsidP="002A4BFB"/>
    <w:p w14:paraId="7BF238AF" w14:textId="77777777" w:rsidR="002A4BFB" w:rsidRDefault="002A4BFB" w:rsidP="002A4BFB"/>
    <w:p w14:paraId="167583FE" w14:textId="77777777" w:rsidR="002A4BFB" w:rsidRDefault="002A4BFB" w:rsidP="002A4BFB"/>
    <w:p w14:paraId="355568D6" w14:textId="77777777" w:rsidR="002A4BFB" w:rsidRDefault="002A4BFB" w:rsidP="002A4BFB">
      <w:r>
        <w:br w:type="page"/>
      </w:r>
    </w:p>
    <w:tbl>
      <w:tblPr>
        <w:tblW w:w="0" w:type="auto"/>
        <w:tblLayout w:type="fixed"/>
        <w:tblCellMar>
          <w:left w:w="0" w:type="dxa"/>
          <w:right w:w="0" w:type="dxa"/>
        </w:tblCellMar>
        <w:tblLook w:val="04A0" w:firstRow="1" w:lastRow="0" w:firstColumn="1" w:lastColumn="0" w:noHBand="0" w:noVBand="1"/>
      </w:tblPr>
      <w:tblGrid>
        <w:gridCol w:w="14850"/>
      </w:tblGrid>
      <w:tr w:rsidR="002A4BFB" w14:paraId="2ACE5112" w14:textId="77777777" w:rsidTr="00107D76">
        <w:trPr>
          <w:trHeight w:val="315"/>
        </w:trPr>
        <w:tc>
          <w:tcPr>
            <w:tcW w:w="14850" w:type="dxa"/>
          </w:tcPr>
          <w:p w14:paraId="28A3B11C" w14:textId="77777777" w:rsidR="002A4BFB" w:rsidRDefault="002A4BFB" w:rsidP="00107D76">
            <w:pPr>
              <w:pStyle w:val="ParagraphStyle0"/>
              <w:rPr>
                <w:rStyle w:val="CharacterStyle0"/>
              </w:rPr>
            </w:pPr>
            <w:r>
              <w:rPr>
                <w:rStyle w:val="CharacterStyle0"/>
              </w:rPr>
              <w:lastRenderedPageBreak/>
              <w:t>II. POSEBNI DIO</w:t>
            </w:r>
          </w:p>
        </w:tc>
      </w:tr>
    </w:tbl>
    <w:p w14:paraId="4808E778" w14:textId="77777777" w:rsidR="002A4BFB" w:rsidRDefault="002A4BFB" w:rsidP="002A4BFB">
      <w:pPr>
        <w:spacing w:line="255" w:lineRule="exact"/>
      </w:pPr>
    </w:p>
    <w:tbl>
      <w:tblPr>
        <w:tblW w:w="0" w:type="auto"/>
        <w:tblLayout w:type="fixed"/>
        <w:tblCellMar>
          <w:left w:w="0" w:type="dxa"/>
          <w:right w:w="0" w:type="dxa"/>
        </w:tblCellMar>
        <w:tblLook w:val="04A0" w:firstRow="1" w:lastRow="0" w:firstColumn="1" w:lastColumn="0" w:noHBand="0" w:noVBand="1"/>
      </w:tblPr>
      <w:tblGrid>
        <w:gridCol w:w="14850"/>
      </w:tblGrid>
      <w:tr w:rsidR="002A4BFB" w14:paraId="059F1B2B" w14:textId="77777777" w:rsidTr="00107D76">
        <w:trPr>
          <w:trHeight w:val="300"/>
        </w:trPr>
        <w:tc>
          <w:tcPr>
            <w:tcW w:w="14850" w:type="dxa"/>
          </w:tcPr>
          <w:p w14:paraId="18A4CED2" w14:textId="77777777" w:rsidR="002A4BFB" w:rsidRDefault="002A4BFB" w:rsidP="00107D76">
            <w:pPr>
              <w:pStyle w:val="ParagraphStyle1"/>
              <w:rPr>
                <w:rStyle w:val="CharacterStyle1"/>
              </w:rPr>
            </w:pPr>
            <w:r>
              <w:rPr>
                <w:rStyle w:val="CharacterStyle1"/>
              </w:rPr>
              <w:t>ORGANIZACIJSKA KLASIFIKACIJA</w:t>
            </w:r>
          </w:p>
        </w:tc>
      </w:tr>
    </w:tbl>
    <w:p w14:paraId="43E20209" w14:textId="77777777" w:rsidR="002A4BFB" w:rsidRDefault="002A4BFB" w:rsidP="002A4BFB">
      <w:pPr>
        <w:spacing w:line="255" w:lineRule="exact"/>
      </w:pPr>
    </w:p>
    <w:tbl>
      <w:tblPr>
        <w:tblW w:w="14850" w:type="dxa"/>
        <w:tblLayout w:type="fixed"/>
        <w:tblCellMar>
          <w:left w:w="0" w:type="dxa"/>
          <w:right w:w="0" w:type="dxa"/>
        </w:tblCellMar>
        <w:tblLook w:val="04A0" w:firstRow="1" w:lastRow="0" w:firstColumn="1" w:lastColumn="0" w:noHBand="0" w:noVBand="1"/>
      </w:tblPr>
      <w:tblGrid>
        <w:gridCol w:w="1515"/>
        <w:gridCol w:w="3675"/>
        <w:gridCol w:w="1920"/>
        <w:gridCol w:w="1935"/>
        <w:gridCol w:w="1935"/>
        <w:gridCol w:w="1935"/>
        <w:gridCol w:w="1935"/>
      </w:tblGrid>
      <w:tr w:rsidR="002A4BFB" w14:paraId="5F96B23F" w14:textId="77777777" w:rsidTr="0082221C">
        <w:trPr>
          <w:trHeight w:val="555"/>
          <w:tblHeader/>
        </w:trPr>
        <w:tc>
          <w:tcPr>
            <w:tcW w:w="1515" w:type="dxa"/>
            <w:tcBorders>
              <w:top w:val="single" w:sz="6" w:space="0" w:color="000000"/>
              <w:left w:val="single" w:sz="6" w:space="0" w:color="000000"/>
              <w:bottom w:val="single" w:sz="6" w:space="0" w:color="000000"/>
              <w:right w:val="single" w:sz="6" w:space="0" w:color="000000"/>
            </w:tcBorders>
            <w:shd w:val="clear" w:color="auto" w:fill="DCDCDC"/>
            <w:vAlign w:val="center"/>
          </w:tcPr>
          <w:p w14:paraId="5074DCB3" w14:textId="77777777" w:rsidR="002A4BFB" w:rsidRPr="00EE3A4E" w:rsidRDefault="002A4BFB" w:rsidP="00107D76">
            <w:pPr>
              <w:pStyle w:val="ParagraphStyle2"/>
              <w:rPr>
                <w:rStyle w:val="CharacterStyle2"/>
              </w:rPr>
            </w:pPr>
            <w:r w:rsidRPr="00EE3A4E">
              <w:rPr>
                <w:rStyle w:val="CharacterStyle2"/>
              </w:rPr>
              <w:t>Šifra</w:t>
            </w:r>
          </w:p>
        </w:tc>
        <w:tc>
          <w:tcPr>
            <w:tcW w:w="3675" w:type="dxa"/>
            <w:tcBorders>
              <w:top w:val="single" w:sz="6" w:space="0" w:color="000000"/>
              <w:bottom w:val="single" w:sz="6" w:space="0" w:color="000000"/>
              <w:right w:val="single" w:sz="6" w:space="0" w:color="000000"/>
            </w:tcBorders>
            <w:shd w:val="clear" w:color="auto" w:fill="DCDCDC"/>
            <w:vAlign w:val="center"/>
          </w:tcPr>
          <w:p w14:paraId="2E43992B" w14:textId="77777777" w:rsidR="002A4BFB" w:rsidRPr="00EE3A4E" w:rsidRDefault="002A4BFB" w:rsidP="00107D76">
            <w:pPr>
              <w:pStyle w:val="ParagraphStyle3"/>
              <w:rPr>
                <w:rStyle w:val="CharacterStyle3"/>
              </w:rPr>
            </w:pPr>
            <w:r w:rsidRPr="00EE3A4E">
              <w:rPr>
                <w:rStyle w:val="CharacterStyle3"/>
              </w:rPr>
              <w:t>Naziv</w:t>
            </w:r>
          </w:p>
        </w:tc>
        <w:tc>
          <w:tcPr>
            <w:tcW w:w="1920" w:type="dxa"/>
            <w:tcBorders>
              <w:top w:val="single" w:sz="6" w:space="0" w:color="000000"/>
              <w:bottom w:val="single" w:sz="6" w:space="0" w:color="000000"/>
              <w:right w:val="single" w:sz="6" w:space="0" w:color="000000"/>
            </w:tcBorders>
            <w:shd w:val="clear" w:color="auto" w:fill="DCDCDC"/>
            <w:vAlign w:val="center"/>
          </w:tcPr>
          <w:p w14:paraId="7257CDCD" w14:textId="77777777" w:rsidR="002A4BFB" w:rsidRPr="00EE3A4E" w:rsidRDefault="002A4BFB" w:rsidP="00107D76">
            <w:pPr>
              <w:pStyle w:val="ParagraphStyle3"/>
              <w:rPr>
                <w:rStyle w:val="CharacterStyle3"/>
              </w:rPr>
            </w:pPr>
            <w:r w:rsidRPr="00EE3A4E">
              <w:rPr>
                <w:rStyle w:val="CharacterStyle3"/>
              </w:rPr>
              <w:t>Izvršenje 2024.</w:t>
            </w:r>
          </w:p>
        </w:tc>
        <w:tc>
          <w:tcPr>
            <w:tcW w:w="1935" w:type="dxa"/>
            <w:tcBorders>
              <w:top w:val="single" w:sz="6" w:space="0" w:color="000000"/>
              <w:bottom w:val="single" w:sz="6" w:space="0" w:color="000000"/>
              <w:right w:val="single" w:sz="6" w:space="0" w:color="000000"/>
            </w:tcBorders>
            <w:shd w:val="clear" w:color="auto" w:fill="DCDCDC"/>
            <w:vAlign w:val="center"/>
          </w:tcPr>
          <w:p w14:paraId="2D7F20BE" w14:textId="77777777" w:rsidR="002A4BFB" w:rsidRPr="00EE3A4E" w:rsidRDefault="002A4BFB" w:rsidP="00107D76">
            <w:pPr>
              <w:pStyle w:val="ParagraphStyle3"/>
              <w:rPr>
                <w:rStyle w:val="CharacterStyle3"/>
              </w:rPr>
            </w:pPr>
            <w:r w:rsidRPr="00EE3A4E">
              <w:rPr>
                <w:rStyle w:val="CharacterStyle3"/>
              </w:rPr>
              <w:t>Tekući plan 2025.</w:t>
            </w:r>
          </w:p>
        </w:tc>
        <w:tc>
          <w:tcPr>
            <w:tcW w:w="1935" w:type="dxa"/>
            <w:tcBorders>
              <w:top w:val="single" w:sz="6" w:space="0" w:color="000000"/>
              <w:bottom w:val="single" w:sz="6" w:space="0" w:color="000000"/>
              <w:right w:val="single" w:sz="6" w:space="0" w:color="000000"/>
            </w:tcBorders>
            <w:shd w:val="clear" w:color="auto" w:fill="DCDCDC"/>
            <w:vAlign w:val="center"/>
          </w:tcPr>
          <w:p w14:paraId="0117E8D4" w14:textId="77777777" w:rsidR="002A4BFB" w:rsidRPr="00EE3A4E" w:rsidRDefault="002A4BFB" w:rsidP="00107D76">
            <w:pPr>
              <w:pStyle w:val="ParagraphStyle3"/>
              <w:rPr>
                <w:rStyle w:val="CharacterStyle3"/>
              </w:rPr>
            </w:pPr>
            <w:r w:rsidRPr="00EE3A4E">
              <w:rPr>
                <w:rStyle w:val="CharacterStyle3"/>
              </w:rPr>
              <w:t>Plan 2026.</w:t>
            </w:r>
          </w:p>
        </w:tc>
        <w:tc>
          <w:tcPr>
            <w:tcW w:w="1935" w:type="dxa"/>
            <w:tcBorders>
              <w:top w:val="single" w:sz="6" w:space="0" w:color="000000"/>
              <w:bottom w:val="single" w:sz="6" w:space="0" w:color="000000"/>
              <w:right w:val="single" w:sz="6" w:space="0" w:color="000000"/>
            </w:tcBorders>
            <w:shd w:val="clear" w:color="auto" w:fill="DCDCDC"/>
            <w:vAlign w:val="center"/>
          </w:tcPr>
          <w:p w14:paraId="0D4BAB4A" w14:textId="77777777" w:rsidR="002A4BFB" w:rsidRPr="00EE3A4E" w:rsidRDefault="002A4BFB" w:rsidP="00107D76">
            <w:pPr>
              <w:pStyle w:val="ParagraphStyle3"/>
              <w:rPr>
                <w:rStyle w:val="CharacterStyle3"/>
              </w:rPr>
            </w:pPr>
            <w:r w:rsidRPr="00EE3A4E">
              <w:rPr>
                <w:rStyle w:val="CharacterStyle3"/>
              </w:rPr>
              <w:t>Projekcija 2027.</w:t>
            </w:r>
          </w:p>
        </w:tc>
        <w:tc>
          <w:tcPr>
            <w:tcW w:w="1935" w:type="dxa"/>
            <w:tcBorders>
              <w:top w:val="single" w:sz="6" w:space="0" w:color="000000"/>
              <w:bottom w:val="single" w:sz="6" w:space="0" w:color="000000"/>
              <w:right w:val="single" w:sz="6" w:space="0" w:color="000000"/>
            </w:tcBorders>
            <w:shd w:val="clear" w:color="auto" w:fill="DCDCDC"/>
            <w:vAlign w:val="center"/>
          </w:tcPr>
          <w:p w14:paraId="2AF6F80C" w14:textId="77777777" w:rsidR="002A4BFB" w:rsidRPr="00EE3A4E" w:rsidRDefault="002A4BFB" w:rsidP="00107D76">
            <w:pPr>
              <w:pStyle w:val="ParagraphStyle3"/>
              <w:rPr>
                <w:rStyle w:val="CharacterStyle3"/>
              </w:rPr>
            </w:pPr>
            <w:r w:rsidRPr="00EE3A4E">
              <w:rPr>
                <w:rStyle w:val="CharacterStyle3"/>
              </w:rPr>
              <w:t>Projekcija 2028.</w:t>
            </w:r>
          </w:p>
        </w:tc>
      </w:tr>
      <w:tr w:rsidR="00180899" w14:paraId="18BD5D91" w14:textId="77777777" w:rsidTr="0082221C">
        <w:trPr>
          <w:trHeight w:val="420"/>
        </w:trPr>
        <w:tc>
          <w:tcPr>
            <w:tcW w:w="1515" w:type="dxa"/>
            <w:tcBorders>
              <w:left w:val="single" w:sz="6" w:space="0" w:color="000000"/>
              <w:bottom w:val="single" w:sz="6" w:space="0" w:color="000000"/>
              <w:right w:val="single" w:sz="6" w:space="0" w:color="000000"/>
            </w:tcBorders>
            <w:vAlign w:val="center"/>
          </w:tcPr>
          <w:p w14:paraId="334100D4" w14:textId="77777777" w:rsidR="00180899" w:rsidRPr="0082221C" w:rsidRDefault="00180899" w:rsidP="00180899">
            <w:pPr>
              <w:pStyle w:val="ParagraphStyle4"/>
              <w:rPr>
                <w:rStyle w:val="CharacterStyle4"/>
              </w:rPr>
            </w:pPr>
            <w:r w:rsidRPr="0082221C">
              <w:rPr>
                <w:rStyle w:val="CharacterStyle4"/>
              </w:rPr>
              <w:t>RAZDJEL    001</w:t>
            </w:r>
          </w:p>
        </w:tc>
        <w:tc>
          <w:tcPr>
            <w:tcW w:w="3675" w:type="dxa"/>
            <w:tcBorders>
              <w:bottom w:val="single" w:sz="6" w:space="0" w:color="000000"/>
              <w:right w:val="single" w:sz="6" w:space="0" w:color="000000"/>
            </w:tcBorders>
            <w:vAlign w:val="center"/>
          </w:tcPr>
          <w:p w14:paraId="5FC99064" w14:textId="77777777" w:rsidR="00180899" w:rsidRPr="0082221C" w:rsidRDefault="00180899" w:rsidP="00180899">
            <w:pPr>
              <w:pStyle w:val="ParagraphStyle5"/>
              <w:rPr>
                <w:rStyle w:val="CharacterStyle5"/>
              </w:rPr>
            </w:pPr>
            <w:r w:rsidRPr="0082221C">
              <w:rPr>
                <w:rStyle w:val="CharacterStyle5"/>
              </w:rPr>
              <w:t>R - URED GRADSKOG VIJEĆA I GRADONAČELNIKA</w:t>
            </w:r>
          </w:p>
        </w:tc>
        <w:tc>
          <w:tcPr>
            <w:tcW w:w="1920" w:type="dxa"/>
            <w:tcBorders>
              <w:bottom w:val="single" w:sz="6" w:space="0" w:color="000000"/>
              <w:right w:val="single" w:sz="6" w:space="0" w:color="000000"/>
            </w:tcBorders>
            <w:vAlign w:val="center"/>
          </w:tcPr>
          <w:p w14:paraId="52B54231" w14:textId="77777777" w:rsidR="00180899" w:rsidRPr="0082221C" w:rsidRDefault="00180899" w:rsidP="00180899">
            <w:pPr>
              <w:pStyle w:val="ParagraphStyle6"/>
              <w:rPr>
                <w:rStyle w:val="CharacterStyle6"/>
              </w:rPr>
            </w:pPr>
            <w:r w:rsidRPr="0082221C">
              <w:rPr>
                <w:rStyle w:val="CharacterStyle6"/>
              </w:rPr>
              <w:t>1.455.421,73</w:t>
            </w:r>
          </w:p>
        </w:tc>
        <w:tc>
          <w:tcPr>
            <w:tcW w:w="1935" w:type="dxa"/>
            <w:tcBorders>
              <w:bottom w:val="single" w:sz="6" w:space="0" w:color="000000"/>
              <w:right w:val="single" w:sz="6" w:space="0" w:color="000000"/>
            </w:tcBorders>
            <w:vAlign w:val="center"/>
          </w:tcPr>
          <w:p w14:paraId="0EB920EE" w14:textId="77777777" w:rsidR="00180899" w:rsidRPr="0082221C" w:rsidRDefault="00180899" w:rsidP="00180899">
            <w:pPr>
              <w:pStyle w:val="ParagraphStyle6"/>
              <w:rPr>
                <w:rStyle w:val="CharacterStyle6"/>
              </w:rPr>
            </w:pPr>
            <w:r w:rsidRPr="0082221C">
              <w:rPr>
                <w:rStyle w:val="CharacterStyle6"/>
              </w:rPr>
              <w:t>1.850.185,50</w:t>
            </w:r>
          </w:p>
        </w:tc>
        <w:tc>
          <w:tcPr>
            <w:tcW w:w="1935" w:type="dxa"/>
            <w:tcBorders>
              <w:bottom w:val="single" w:sz="6" w:space="0" w:color="000000"/>
              <w:right w:val="single" w:sz="6" w:space="0" w:color="000000"/>
            </w:tcBorders>
            <w:vAlign w:val="center"/>
          </w:tcPr>
          <w:p w14:paraId="6F30F6BE" w14:textId="77777777" w:rsidR="00180899" w:rsidRDefault="00180899" w:rsidP="00180899">
            <w:pPr>
              <w:pStyle w:val="ParagraphStyle6"/>
              <w:rPr>
                <w:rStyle w:val="CharacterStyle6"/>
              </w:rPr>
            </w:pPr>
            <w:r>
              <w:rPr>
                <w:rStyle w:val="CharacterStyle6"/>
              </w:rPr>
              <w:t>1.859.155,00</w:t>
            </w:r>
          </w:p>
        </w:tc>
        <w:tc>
          <w:tcPr>
            <w:tcW w:w="1935" w:type="dxa"/>
            <w:tcBorders>
              <w:bottom w:val="single" w:sz="6" w:space="0" w:color="000000"/>
              <w:right w:val="single" w:sz="6" w:space="0" w:color="000000"/>
            </w:tcBorders>
            <w:vAlign w:val="center"/>
          </w:tcPr>
          <w:p w14:paraId="4476BE46" w14:textId="77777777" w:rsidR="00180899" w:rsidRDefault="00180899" w:rsidP="00180899">
            <w:pPr>
              <w:pStyle w:val="ParagraphStyle6"/>
              <w:rPr>
                <w:rStyle w:val="CharacterStyle6"/>
              </w:rPr>
            </w:pPr>
            <w:r>
              <w:rPr>
                <w:rStyle w:val="CharacterStyle6"/>
              </w:rPr>
              <w:t>1.857.918,00</w:t>
            </w:r>
          </w:p>
        </w:tc>
        <w:tc>
          <w:tcPr>
            <w:tcW w:w="1935" w:type="dxa"/>
            <w:tcBorders>
              <w:bottom w:val="single" w:sz="6" w:space="0" w:color="000000"/>
              <w:right w:val="single" w:sz="6" w:space="0" w:color="000000"/>
            </w:tcBorders>
            <w:vAlign w:val="center"/>
          </w:tcPr>
          <w:p w14:paraId="1A6E68F6" w14:textId="77777777" w:rsidR="00180899" w:rsidRDefault="00180899" w:rsidP="00180899">
            <w:pPr>
              <w:pStyle w:val="ParagraphStyle6"/>
              <w:rPr>
                <w:rStyle w:val="CharacterStyle6"/>
              </w:rPr>
            </w:pPr>
            <w:r>
              <w:rPr>
                <w:rStyle w:val="CharacterStyle6"/>
              </w:rPr>
              <w:t>1.905.218,00</w:t>
            </w:r>
          </w:p>
        </w:tc>
      </w:tr>
      <w:tr w:rsidR="00180899" w14:paraId="4A0A7188" w14:textId="77777777" w:rsidTr="0082221C">
        <w:trPr>
          <w:trHeight w:val="360"/>
        </w:trPr>
        <w:tc>
          <w:tcPr>
            <w:tcW w:w="1515" w:type="dxa"/>
            <w:tcBorders>
              <w:left w:val="single" w:sz="6" w:space="0" w:color="000000"/>
              <w:bottom w:val="single" w:sz="6" w:space="0" w:color="000000"/>
              <w:right w:val="single" w:sz="6" w:space="0" w:color="000000"/>
            </w:tcBorders>
            <w:vAlign w:val="center"/>
          </w:tcPr>
          <w:p w14:paraId="33BB3FFE" w14:textId="77777777" w:rsidR="00180899" w:rsidRPr="0082221C" w:rsidRDefault="00180899" w:rsidP="00180899">
            <w:pPr>
              <w:pStyle w:val="ParagraphStyle4"/>
              <w:rPr>
                <w:rStyle w:val="CharacterStyle4"/>
              </w:rPr>
            </w:pPr>
            <w:r w:rsidRPr="0082221C">
              <w:rPr>
                <w:rStyle w:val="CharacterStyle4"/>
              </w:rPr>
              <w:t>GLAVA    00101</w:t>
            </w:r>
          </w:p>
        </w:tc>
        <w:tc>
          <w:tcPr>
            <w:tcW w:w="3675" w:type="dxa"/>
            <w:tcBorders>
              <w:bottom w:val="single" w:sz="6" w:space="0" w:color="000000"/>
              <w:right w:val="single" w:sz="6" w:space="0" w:color="000000"/>
            </w:tcBorders>
            <w:vAlign w:val="center"/>
          </w:tcPr>
          <w:p w14:paraId="3192D595" w14:textId="77777777" w:rsidR="00180899" w:rsidRPr="0082221C" w:rsidRDefault="00180899" w:rsidP="00180899">
            <w:pPr>
              <w:pStyle w:val="ParagraphStyle5"/>
              <w:rPr>
                <w:rStyle w:val="CharacterStyle5"/>
              </w:rPr>
            </w:pPr>
            <w:r w:rsidRPr="0082221C">
              <w:rPr>
                <w:rStyle w:val="CharacterStyle5"/>
              </w:rPr>
              <w:t>GRADSKO VIJEĆE</w:t>
            </w:r>
          </w:p>
        </w:tc>
        <w:tc>
          <w:tcPr>
            <w:tcW w:w="1920" w:type="dxa"/>
            <w:tcBorders>
              <w:bottom w:val="single" w:sz="6" w:space="0" w:color="000000"/>
              <w:right w:val="single" w:sz="6" w:space="0" w:color="000000"/>
            </w:tcBorders>
            <w:vAlign w:val="center"/>
          </w:tcPr>
          <w:p w14:paraId="69187497" w14:textId="77777777" w:rsidR="00180899" w:rsidRPr="0082221C" w:rsidRDefault="00180899" w:rsidP="00180899">
            <w:pPr>
              <w:pStyle w:val="ParagraphStyle6"/>
              <w:rPr>
                <w:rStyle w:val="CharacterStyle6"/>
              </w:rPr>
            </w:pPr>
            <w:r w:rsidRPr="0082221C">
              <w:rPr>
                <w:rStyle w:val="CharacterStyle6"/>
              </w:rPr>
              <w:t>166.441,09</w:t>
            </w:r>
          </w:p>
        </w:tc>
        <w:tc>
          <w:tcPr>
            <w:tcW w:w="1935" w:type="dxa"/>
            <w:tcBorders>
              <w:bottom w:val="single" w:sz="6" w:space="0" w:color="000000"/>
              <w:right w:val="single" w:sz="6" w:space="0" w:color="000000"/>
            </w:tcBorders>
            <w:vAlign w:val="center"/>
          </w:tcPr>
          <w:p w14:paraId="6A3DBF49" w14:textId="77777777" w:rsidR="00180899" w:rsidRPr="0082221C" w:rsidRDefault="00180899" w:rsidP="00180899">
            <w:pPr>
              <w:pStyle w:val="ParagraphStyle6"/>
              <w:rPr>
                <w:rStyle w:val="CharacterStyle6"/>
              </w:rPr>
            </w:pPr>
            <w:r w:rsidRPr="0082221C">
              <w:rPr>
                <w:rStyle w:val="CharacterStyle6"/>
              </w:rPr>
              <w:t>255.364,50</w:t>
            </w:r>
          </w:p>
        </w:tc>
        <w:tc>
          <w:tcPr>
            <w:tcW w:w="1935" w:type="dxa"/>
            <w:tcBorders>
              <w:bottom w:val="single" w:sz="6" w:space="0" w:color="000000"/>
              <w:right w:val="single" w:sz="6" w:space="0" w:color="000000"/>
            </w:tcBorders>
            <w:vAlign w:val="center"/>
          </w:tcPr>
          <w:p w14:paraId="5DE04C14" w14:textId="77777777" w:rsidR="00180899" w:rsidRDefault="00180899" w:rsidP="00180899">
            <w:pPr>
              <w:pStyle w:val="ParagraphStyle6"/>
              <w:rPr>
                <w:rStyle w:val="CharacterStyle6"/>
              </w:rPr>
            </w:pPr>
            <w:r>
              <w:rPr>
                <w:rStyle w:val="CharacterStyle6"/>
              </w:rPr>
              <w:t>258.532,00</w:t>
            </w:r>
          </w:p>
        </w:tc>
        <w:tc>
          <w:tcPr>
            <w:tcW w:w="1935" w:type="dxa"/>
            <w:tcBorders>
              <w:bottom w:val="single" w:sz="6" w:space="0" w:color="000000"/>
              <w:right w:val="single" w:sz="6" w:space="0" w:color="000000"/>
            </w:tcBorders>
            <w:vAlign w:val="center"/>
          </w:tcPr>
          <w:p w14:paraId="00D37F13" w14:textId="77777777" w:rsidR="00180899" w:rsidRDefault="00180899" w:rsidP="00180899">
            <w:pPr>
              <w:pStyle w:val="ParagraphStyle6"/>
              <w:rPr>
                <w:rStyle w:val="CharacterStyle6"/>
              </w:rPr>
            </w:pPr>
            <w:r>
              <w:rPr>
                <w:rStyle w:val="CharacterStyle6"/>
              </w:rPr>
              <w:t>243.200,00</w:t>
            </w:r>
          </w:p>
        </w:tc>
        <w:tc>
          <w:tcPr>
            <w:tcW w:w="1935" w:type="dxa"/>
            <w:tcBorders>
              <w:bottom w:val="single" w:sz="6" w:space="0" w:color="000000"/>
              <w:right w:val="single" w:sz="6" w:space="0" w:color="000000"/>
            </w:tcBorders>
            <w:vAlign w:val="center"/>
          </w:tcPr>
          <w:p w14:paraId="4CBEAD48" w14:textId="77777777" w:rsidR="00180899" w:rsidRDefault="00180899" w:rsidP="00180899">
            <w:pPr>
              <w:pStyle w:val="ParagraphStyle6"/>
              <w:rPr>
                <w:rStyle w:val="CharacterStyle6"/>
              </w:rPr>
            </w:pPr>
            <w:r>
              <w:rPr>
                <w:rStyle w:val="CharacterStyle6"/>
              </w:rPr>
              <w:t>278.300,00</w:t>
            </w:r>
          </w:p>
        </w:tc>
      </w:tr>
      <w:tr w:rsidR="00180899" w14:paraId="7A9AA1F6" w14:textId="77777777" w:rsidTr="0082221C">
        <w:trPr>
          <w:trHeight w:val="360"/>
        </w:trPr>
        <w:tc>
          <w:tcPr>
            <w:tcW w:w="1515" w:type="dxa"/>
            <w:tcBorders>
              <w:left w:val="single" w:sz="6" w:space="0" w:color="000000"/>
              <w:bottom w:val="single" w:sz="6" w:space="0" w:color="000000"/>
              <w:right w:val="single" w:sz="6" w:space="0" w:color="000000"/>
            </w:tcBorders>
            <w:vAlign w:val="center"/>
          </w:tcPr>
          <w:p w14:paraId="0DB25390" w14:textId="77777777" w:rsidR="00180899" w:rsidRPr="0082221C" w:rsidRDefault="00180899" w:rsidP="00180899">
            <w:pPr>
              <w:pStyle w:val="ParagraphStyle4"/>
              <w:rPr>
                <w:rStyle w:val="CharacterStyle4"/>
              </w:rPr>
            </w:pPr>
            <w:r w:rsidRPr="0082221C">
              <w:rPr>
                <w:rStyle w:val="CharacterStyle4"/>
              </w:rPr>
              <w:t>GLAVA    00102</w:t>
            </w:r>
          </w:p>
        </w:tc>
        <w:tc>
          <w:tcPr>
            <w:tcW w:w="3675" w:type="dxa"/>
            <w:tcBorders>
              <w:bottom w:val="single" w:sz="6" w:space="0" w:color="000000"/>
              <w:right w:val="single" w:sz="6" w:space="0" w:color="000000"/>
            </w:tcBorders>
            <w:vAlign w:val="center"/>
          </w:tcPr>
          <w:p w14:paraId="0D3C7709" w14:textId="77777777" w:rsidR="00180899" w:rsidRPr="0082221C" w:rsidRDefault="00180899" w:rsidP="00180899">
            <w:pPr>
              <w:pStyle w:val="ParagraphStyle5"/>
              <w:rPr>
                <w:rStyle w:val="CharacterStyle5"/>
              </w:rPr>
            </w:pPr>
            <w:r w:rsidRPr="0082221C">
              <w:rPr>
                <w:rStyle w:val="CharacterStyle5"/>
              </w:rPr>
              <w:t>GRADONAČELNIK</w:t>
            </w:r>
          </w:p>
        </w:tc>
        <w:tc>
          <w:tcPr>
            <w:tcW w:w="1920" w:type="dxa"/>
            <w:tcBorders>
              <w:bottom w:val="single" w:sz="6" w:space="0" w:color="000000"/>
              <w:right w:val="single" w:sz="6" w:space="0" w:color="000000"/>
            </w:tcBorders>
            <w:vAlign w:val="center"/>
          </w:tcPr>
          <w:p w14:paraId="63AF3ED4" w14:textId="77777777" w:rsidR="00180899" w:rsidRPr="0082221C" w:rsidRDefault="00180899" w:rsidP="00180899">
            <w:pPr>
              <w:pStyle w:val="ParagraphStyle6"/>
              <w:rPr>
                <w:rStyle w:val="CharacterStyle6"/>
              </w:rPr>
            </w:pPr>
            <w:r w:rsidRPr="0082221C">
              <w:rPr>
                <w:rStyle w:val="CharacterStyle6"/>
              </w:rPr>
              <w:t>158.831,31</w:t>
            </w:r>
          </w:p>
        </w:tc>
        <w:tc>
          <w:tcPr>
            <w:tcW w:w="1935" w:type="dxa"/>
            <w:tcBorders>
              <w:bottom w:val="single" w:sz="6" w:space="0" w:color="000000"/>
              <w:right w:val="single" w:sz="6" w:space="0" w:color="000000"/>
            </w:tcBorders>
            <w:vAlign w:val="center"/>
          </w:tcPr>
          <w:p w14:paraId="550A2B73" w14:textId="77777777" w:rsidR="00180899" w:rsidRPr="0082221C" w:rsidRDefault="00180899" w:rsidP="00180899">
            <w:pPr>
              <w:pStyle w:val="ParagraphStyle6"/>
              <w:rPr>
                <w:rStyle w:val="CharacterStyle6"/>
              </w:rPr>
            </w:pPr>
            <w:r w:rsidRPr="0082221C">
              <w:rPr>
                <w:rStyle w:val="CharacterStyle6"/>
              </w:rPr>
              <w:t>300.955,00</w:t>
            </w:r>
          </w:p>
        </w:tc>
        <w:tc>
          <w:tcPr>
            <w:tcW w:w="1935" w:type="dxa"/>
            <w:tcBorders>
              <w:bottom w:val="single" w:sz="6" w:space="0" w:color="000000"/>
              <w:right w:val="single" w:sz="6" w:space="0" w:color="000000"/>
            </w:tcBorders>
            <w:vAlign w:val="center"/>
          </w:tcPr>
          <w:p w14:paraId="0231ABDB" w14:textId="77777777" w:rsidR="00180899" w:rsidRDefault="00180899" w:rsidP="00180899">
            <w:pPr>
              <w:pStyle w:val="ParagraphStyle6"/>
              <w:rPr>
                <w:rStyle w:val="CharacterStyle6"/>
              </w:rPr>
            </w:pPr>
            <w:r>
              <w:rPr>
                <w:rStyle w:val="CharacterStyle6"/>
              </w:rPr>
              <w:t>344.230,00</w:t>
            </w:r>
          </w:p>
        </w:tc>
        <w:tc>
          <w:tcPr>
            <w:tcW w:w="1935" w:type="dxa"/>
            <w:tcBorders>
              <w:bottom w:val="single" w:sz="6" w:space="0" w:color="000000"/>
              <w:right w:val="single" w:sz="6" w:space="0" w:color="000000"/>
            </w:tcBorders>
            <w:vAlign w:val="center"/>
          </w:tcPr>
          <w:p w14:paraId="469A9234" w14:textId="77777777" w:rsidR="00180899" w:rsidRDefault="00180899" w:rsidP="00180899">
            <w:pPr>
              <w:pStyle w:val="ParagraphStyle6"/>
              <w:rPr>
                <w:rStyle w:val="CharacterStyle6"/>
              </w:rPr>
            </w:pPr>
            <w:r>
              <w:rPr>
                <w:rStyle w:val="CharacterStyle6"/>
              </w:rPr>
              <w:t>336.318,00</w:t>
            </w:r>
          </w:p>
        </w:tc>
        <w:tc>
          <w:tcPr>
            <w:tcW w:w="1935" w:type="dxa"/>
            <w:tcBorders>
              <w:bottom w:val="single" w:sz="6" w:space="0" w:color="000000"/>
              <w:right w:val="single" w:sz="6" w:space="0" w:color="000000"/>
            </w:tcBorders>
            <w:vAlign w:val="center"/>
          </w:tcPr>
          <w:p w14:paraId="32E79DB9" w14:textId="77777777" w:rsidR="00180899" w:rsidRDefault="00180899" w:rsidP="00180899">
            <w:pPr>
              <w:pStyle w:val="ParagraphStyle6"/>
              <w:rPr>
                <w:rStyle w:val="CharacterStyle6"/>
              </w:rPr>
            </w:pPr>
            <w:r>
              <w:rPr>
                <w:rStyle w:val="CharacterStyle6"/>
              </w:rPr>
              <w:t>339.918,00</w:t>
            </w:r>
          </w:p>
        </w:tc>
      </w:tr>
      <w:tr w:rsidR="00180899" w14:paraId="30DCB228" w14:textId="77777777" w:rsidTr="0082221C">
        <w:trPr>
          <w:trHeight w:val="420"/>
        </w:trPr>
        <w:tc>
          <w:tcPr>
            <w:tcW w:w="1515" w:type="dxa"/>
            <w:tcBorders>
              <w:left w:val="single" w:sz="6" w:space="0" w:color="000000"/>
              <w:bottom w:val="single" w:sz="6" w:space="0" w:color="000000"/>
              <w:right w:val="single" w:sz="6" w:space="0" w:color="000000"/>
            </w:tcBorders>
            <w:vAlign w:val="center"/>
          </w:tcPr>
          <w:p w14:paraId="19445FD1" w14:textId="77777777" w:rsidR="00180899" w:rsidRPr="0082221C" w:rsidRDefault="00180899" w:rsidP="00180899">
            <w:pPr>
              <w:pStyle w:val="ParagraphStyle4"/>
              <w:rPr>
                <w:rStyle w:val="CharacterStyle4"/>
              </w:rPr>
            </w:pPr>
            <w:r w:rsidRPr="0082221C">
              <w:rPr>
                <w:rStyle w:val="CharacterStyle4"/>
              </w:rPr>
              <w:t>GLAVA    00103</w:t>
            </w:r>
          </w:p>
        </w:tc>
        <w:tc>
          <w:tcPr>
            <w:tcW w:w="3675" w:type="dxa"/>
            <w:tcBorders>
              <w:bottom w:val="single" w:sz="6" w:space="0" w:color="000000"/>
              <w:right w:val="single" w:sz="6" w:space="0" w:color="000000"/>
            </w:tcBorders>
            <w:vAlign w:val="center"/>
          </w:tcPr>
          <w:p w14:paraId="6F1C9BBB" w14:textId="77777777" w:rsidR="00180899" w:rsidRPr="0082221C" w:rsidRDefault="00180899" w:rsidP="00180899">
            <w:pPr>
              <w:pStyle w:val="ParagraphStyle5"/>
              <w:rPr>
                <w:rStyle w:val="CharacterStyle5"/>
              </w:rPr>
            </w:pPr>
            <w:r w:rsidRPr="0082221C">
              <w:rPr>
                <w:rStyle w:val="CharacterStyle5"/>
              </w:rPr>
              <w:t>URED GRADSKOG VIJEĆA I GRADONAČELNIKA</w:t>
            </w:r>
          </w:p>
        </w:tc>
        <w:tc>
          <w:tcPr>
            <w:tcW w:w="1920" w:type="dxa"/>
            <w:tcBorders>
              <w:bottom w:val="single" w:sz="6" w:space="0" w:color="000000"/>
              <w:right w:val="single" w:sz="6" w:space="0" w:color="000000"/>
            </w:tcBorders>
            <w:vAlign w:val="center"/>
          </w:tcPr>
          <w:p w14:paraId="378F47B9" w14:textId="77777777" w:rsidR="00180899" w:rsidRPr="0082221C" w:rsidRDefault="00180899" w:rsidP="00180899">
            <w:pPr>
              <w:pStyle w:val="ParagraphStyle6"/>
              <w:rPr>
                <w:rStyle w:val="CharacterStyle6"/>
              </w:rPr>
            </w:pPr>
            <w:r w:rsidRPr="0082221C">
              <w:rPr>
                <w:rStyle w:val="CharacterStyle6"/>
              </w:rPr>
              <w:t>1.122.701,72</w:t>
            </w:r>
          </w:p>
        </w:tc>
        <w:tc>
          <w:tcPr>
            <w:tcW w:w="1935" w:type="dxa"/>
            <w:tcBorders>
              <w:bottom w:val="single" w:sz="6" w:space="0" w:color="000000"/>
              <w:right w:val="single" w:sz="6" w:space="0" w:color="000000"/>
            </w:tcBorders>
            <w:vAlign w:val="center"/>
          </w:tcPr>
          <w:p w14:paraId="0EBF688A" w14:textId="77777777" w:rsidR="00180899" w:rsidRPr="0082221C" w:rsidRDefault="00180899" w:rsidP="00180899">
            <w:pPr>
              <w:pStyle w:val="ParagraphStyle6"/>
              <w:rPr>
                <w:rStyle w:val="CharacterStyle6"/>
              </w:rPr>
            </w:pPr>
            <w:r w:rsidRPr="0082221C">
              <w:rPr>
                <w:rStyle w:val="CharacterStyle6"/>
              </w:rPr>
              <w:t>1.282.766,00</w:t>
            </w:r>
          </w:p>
        </w:tc>
        <w:tc>
          <w:tcPr>
            <w:tcW w:w="1935" w:type="dxa"/>
            <w:tcBorders>
              <w:bottom w:val="single" w:sz="6" w:space="0" w:color="000000"/>
              <w:right w:val="single" w:sz="6" w:space="0" w:color="000000"/>
            </w:tcBorders>
            <w:vAlign w:val="center"/>
          </w:tcPr>
          <w:p w14:paraId="601A31ED" w14:textId="77777777" w:rsidR="00180899" w:rsidRDefault="00180899" w:rsidP="00180899">
            <w:pPr>
              <w:pStyle w:val="ParagraphStyle6"/>
              <w:rPr>
                <w:rStyle w:val="CharacterStyle6"/>
              </w:rPr>
            </w:pPr>
            <w:r>
              <w:rPr>
                <w:rStyle w:val="CharacterStyle6"/>
              </w:rPr>
              <w:t>1.248.458,00</w:t>
            </w:r>
          </w:p>
        </w:tc>
        <w:tc>
          <w:tcPr>
            <w:tcW w:w="1935" w:type="dxa"/>
            <w:tcBorders>
              <w:bottom w:val="single" w:sz="6" w:space="0" w:color="000000"/>
              <w:right w:val="single" w:sz="6" w:space="0" w:color="000000"/>
            </w:tcBorders>
            <w:vAlign w:val="center"/>
          </w:tcPr>
          <w:p w14:paraId="67FA28FD" w14:textId="77777777" w:rsidR="00180899" w:rsidRDefault="00180899" w:rsidP="00180899">
            <w:pPr>
              <w:pStyle w:val="ParagraphStyle6"/>
              <w:rPr>
                <w:rStyle w:val="CharacterStyle6"/>
              </w:rPr>
            </w:pPr>
            <w:r>
              <w:rPr>
                <w:rStyle w:val="CharacterStyle6"/>
              </w:rPr>
              <w:t>1.267.000,00</w:t>
            </w:r>
          </w:p>
        </w:tc>
        <w:tc>
          <w:tcPr>
            <w:tcW w:w="1935" w:type="dxa"/>
            <w:tcBorders>
              <w:bottom w:val="single" w:sz="6" w:space="0" w:color="000000"/>
              <w:right w:val="single" w:sz="6" w:space="0" w:color="000000"/>
            </w:tcBorders>
            <w:vAlign w:val="center"/>
          </w:tcPr>
          <w:p w14:paraId="03034E3A" w14:textId="77777777" w:rsidR="00180899" w:rsidRDefault="00180899" w:rsidP="00180899">
            <w:pPr>
              <w:pStyle w:val="ParagraphStyle6"/>
              <w:rPr>
                <w:rStyle w:val="CharacterStyle6"/>
              </w:rPr>
            </w:pPr>
            <w:r>
              <w:rPr>
                <w:rStyle w:val="CharacterStyle6"/>
              </w:rPr>
              <w:t>1.275.000,00</w:t>
            </w:r>
          </w:p>
        </w:tc>
      </w:tr>
      <w:tr w:rsidR="00180899" w14:paraId="262C1C89" w14:textId="77777777" w:rsidTr="0082221C">
        <w:trPr>
          <w:trHeight w:val="360"/>
        </w:trPr>
        <w:tc>
          <w:tcPr>
            <w:tcW w:w="1515" w:type="dxa"/>
            <w:tcBorders>
              <w:left w:val="single" w:sz="6" w:space="0" w:color="000000"/>
              <w:bottom w:val="single" w:sz="6" w:space="0" w:color="000000"/>
              <w:right w:val="single" w:sz="6" w:space="0" w:color="000000"/>
            </w:tcBorders>
            <w:vAlign w:val="center"/>
          </w:tcPr>
          <w:p w14:paraId="1DAB6D05" w14:textId="77777777" w:rsidR="00180899" w:rsidRPr="0082221C" w:rsidRDefault="00180899" w:rsidP="00180899">
            <w:pPr>
              <w:pStyle w:val="ParagraphStyle4"/>
              <w:rPr>
                <w:rStyle w:val="CharacterStyle4"/>
              </w:rPr>
            </w:pPr>
            <w:r w:rsidRPr="0082221C">
              <w:rPr>
                <w:rStyle w:val="CharacterStyle4"/>
              </w:rPr>
              <w:t>GLAVA    00104</w:t>
            </w:r>
          </w:p>
        </w:tc>
        <w:tc>
          <w:tcPr>
            <w:tcW w:w="3675" w:type="dxa"/>
            <w:tcBorders>
              <w:bottom w:val="single" w:sz="6" w:space="0" w:color="000000"/>
              <w:right w:val="single" w:sz="6" w:space="0" w:color="000000"/>
            </w:tcBorders>
            <w:vAlign w:val="center"/>
          </w:tcPr>
          <w:p w14:paraId="5482240B" w14:textId="77777777" w:rsidR="00180899" w:rsidRPr="0082221C" w:rsidRDefault="00180899" w:rsidP="00180899">
            <w:pPr>
              <w:pStyle w:val="ParagraphStyle5"/>
              <w:rPr>
                <w:rStyle w:val="CharacterStyle5"/>
              </w:rPr>
            </w:pPr>
            <w:r w:rsidRPr="0082221C">
              <w:rPr>
                <w:rStyle w:val="CharacterStyle5"/>
              </w:rPr>
              <w:t>VIJEĆA NACIONALNIH MANJINA</w:t>
            </w:r>
          </w:p>
        </w:tc>
        <w:tc>
          <w:tcPr>
            <w:tcW w:w="1920" w:type="dxa"/>
            <w:tcBorders>
              <w:bottom w:val="single" w:sz="6" w:space="0" w:color="000000"/>
              <w:right w:val="single" w:sz="6" w:space="0" w:color="000000"/>
            </w:tcBorders>
            <w:vAlign w:val="center"/>
          </w:tcPr>
          <w:p w14:paraId="1FADA1ED" w14:textId="77777777" w:rsidR="00180899" w:rsidRPr="0082221C" w:rsidRDefault="00180899" w:rsidP="00180899">
            <w:pPr>
              <w:pStyle w:val="ParagraphStyle6"/>
              <w:rPr>
                <w:rStyle w:val="CharacterStyle6"/>
              </w:rPr>
            </w:pPr>
            <w:r w:rsidRPr="0082221C">
              <w:rPr>
                <w:rStyle w:val="CharacterStyle6"/>
              </w:rPr>
              <w:t>7.447,61</w:t>
            </w:r>
          </w:p>
        </w:tc>
        <w:tc>
          <w:tcPr>
            <w:tcW w:w="1935" w:type="dxa"/>
            <w:tcBorders>
              <w:bottom w:val="single" w:sz="6" w:space="0" w:color="000000"/>
              <w:right w:val="single" w:sz="6" w:space="0" w:color="000000"/>
            </w:tcBorders>
            <w:vAlign w:val="center"/>
          </w:tcPr>
          <w:p w14:paraId="6329B219" w14:textId="77777777" w:rsidR="00180899" w:rsidRPr="0082221C" w:rsidRDefault="00180899" w:rsidP="00180899">
            <w:pPr>
              <w:pStyle w:val="ParagraphStyle6"/>
              <w:rPr>
                <w:rStyle w:val="CharacterStyle6"/>
              </w:rPr>
            </w:pPr>
            <w:r w:rsidRPr="0082221C">
              <w:rPr>
                <w:rStyle w:val="CharacterStyle6"/>
              </w:rPr>
              <w:t>11.100,00</w:t>
            </w:r>
          </w:p>
        </w:tc>
        <w:tc>
          <w:tcPr>
            <w:tcW w:w="1935" w:type="dxa"/>
            <w:tcBorders>
              <w:bottom w:val="single" w:sz="6" w:space="0" w:color="000000"/>
              <w:right w:val="single" w:sz="6" w:space="0" w:color="000000"/>
            </w:tcBorders>
            <w:vAlign w:val="center"/>
          </w:tcPr>
          <w:p w14:paraId="51A26157" w14:textId="77777777" w:rsidR="00180899" w:rsidRDefault="00180899" w:rsidP="00180899">
            <w:pPr>
              <w:pStyle w:val="ParagraphStyle6"/>
              <w:rPr>
                <w:rStyle w:val="CharacterStyle6"/>
              </w:rPr>
            </w:pPr>
            <w:r>
              <w:rPr>
                <w:rStyle w:val="CharacterStyle6"/>
              </w:rPr>
              <w:t>7.935,00</w:t>
            </w:r>
          </w:p>
        </w:tc>
        <w:tc>
          <w:tcPr>
            <w:tcW w:w="1935" w:type="dxa"/>
            <w:tcBorders>
              <w:bottom w:val="single" w:sz="6" w:space="0" w:color="000000"/>
              <w:right w:val="single" w:sz="6" w:space="0" w:color="000000"/>
            </w:tcBorders>
            <w:vAlign w:val="center"/>
          </w:tcPr>
          <w:p w14:paraId="5D7D34E6" w14:textId="77777777" w:rsidR="00180899" w:rsidRDefault="00180899" w:rsidP="00180899">
            <w:pPr>
              <w:pStyle w:val="ParagraphStyle6"/>
              <w:rPr>
                <w:rStyle w:val="CharacterStyle6"/>
              </w:rPr>
            </w:pPr>
            <w:r>
              <w:rPr>
                <w:rStyle w:val="CharacterStyle6"/>
              </w:rPr>
              <w:t>11.400,00</w:t>
            </w:r>
          </w:p>
        </w:tc>
        <w:tc>
          <w:tcPr>
            <w:tcW w:w="1935" w:type="dxa"/>
            <w:tcBorders>
              <w:bottom w:val="single" w:sz="6" w:space="0" w:color="000000"/>
              <w:right w:val="single" w:sz="6" w:space="0" w:color="000000"/>
            </w:tcBorders>
            <w:vAlign w:val="center"/>
          </w:tcPr>
          <w:p w14:paraId="276343C8" w14:textId="77777777" w:rsidR="00180899" w:rsidRDefault="00180899" w:rsidP="00180899">
            <w:pPr>
              <w:pStyle w:val="ParagraphStyle6"/>
              <w:rPr>
                <w:rStyle w:val="CharacterStyle6"/>
              </w:rPr>
            </w:pPr>
            <w:r>
              <w:rPr>
                <w:rStyle w:val="CharacterStyle6"/>
              </w:rPr>
              <w:t>12.000,00</w:t>
            </w:r>
          </w:p>
        </w:tc>
      </w:tr>
      <w:tr w:rsidR="00180899" w14:paraId="48A4B6B4" w14:textId="77777777" w:rsidTr="0082221C">
        <w:trPr>
          <w:trHeight w:val="405"/>
        </w:trPr>
        <w:tc>
          <w:tcPr>
            <w:tcW w:w="1515" w:type="dxa"/>
            <w:tcBorders>
              <w:left w:val="single" w:sz="6" w:space="0" w:color="000000"/>
              <w:bottom w:val="single" w:sz="6" w:space="0" w:color="000000"/>
              <w:right w:val="single" w:sz="6" w:space="0" w:color="000000"/>
            </w:tcBorders>
            <w:vAlign w:val="center"/>
          </w:tcPr>
          <w:p w14:paraId="054F7530" w14:textId="77777777" w:rsidR="00180899" w:rsidRPr="0082221C" w:rsidRDefault="00180899" w:rsidP="00180899">
            <w:pPr>
              <w:pStyle w:val="ParagraphStyle4"/>
              <w:rPr>
                <w:rStyle w:val="CharacterStyle4"/>
              </w:rPr>
            </w:pPr>
            <w:r w:rsidRPr="0082221C">
              <w:rPr>
                <w:rStyle w:val="CharacterStyle4"/>
              </w:rPr>
              <w:t>RAZDJEL    002</w:t>
            </w:r>
          </w:p>
        </w:tc>
        <w:tc>
          <w:tcPr>
            <w:tcW w:w="3675" w:type="dxa"/>
            <w:tcBorders>
              <w:bottom w:val="single" w:sz="6" w:space="0" w:color="000000"/>
              <w:right w:val="single" w:sz="6" w:space="0" w:color="000000"/>
            </w:tcBorders>
            <w:vAlign w:val="center"/>
          </w:tcPr>
          <w:p w14:paraId="544F5581" w14:textId="77777777" w:rsidR="00180899" w:rsidRPr="0082221C" w:rsidRDefault="00180899" w:rsidP="00180899">
            <w:pPr>
              <w:pStyle w:val="ParagraphStyle5"/>
              <w:rPr>
                <w:rStyle w:val="CharacterStyle5"/>
              </w:rPr>
            </w:pPr>
            <w:r w:rsidRPr="0082221C">
              <w:rPr>
                <w:rStyle w:val="CharacterStyle5"/>
              </w:rPr>
              <w:t>R - UPRAVNI ODJEL ZA FINANCIJE,PRORAČUN I NAPLATU PRIHODA</w:t>
            </w:r>
          </w:p>
        </w:tc>
        <w:tc>
          <w:tcPr>
            <w:tcW w:w="1920" w:type="dxa"/>
            <w:tcBorders>
              <w:bottom w:val="single" w:sz="6" w:space="0" w:color="000000"/>
              <w:right w:val="single" w:sz="6" w:space="0" w:color="000000"/>
            </w:tcBorders>
            <w:vAlign w:val="center"/>
          </w:tcPr>
          <w:p w14:paraId="02901002" w14:textId="77777777" w:rsidR="00180899" w:rsidRPr="0082221C" w:rsidRDefault="00180899" w:rsidP="00180899">
            <w:pPr>
              <w:pStyle w:val="ParagraphStyle6"/>
              <w:rPr>
                <w:rStyle w:val="CharacterStyle6"/>
              </w:rPr>
            </w:pPr>
            <w:r w:rsidRPr="0082221C">
              <w:rPr>
                <w:rStyle w:val="CharacterStyle6"/>
              </w:rPr>
              <w:t>3.210.394,58</w:t>
            </w:r>
          </w:p>
        </w:tc>
        <w:tc>
          <w:tcPr>
            <w:tcW w:w="1935" w:type="dxa"/>
            <w:tcBorders>
              <w:bottom w:val="single" w:sz="6" w:space="0" w:color="000000"/>
              <w:right w:val="single" w:sz="6" w:space="0" w:color="000000"/>
            </w:tcBorders>
            <w:vAlign w:val="center"/>
          </w:tcPr>
          <w:p w14:paraId="6BC2BD8B" w14:textId="77777777" w:rsidR="00180899" w:rsidRPr="0082221C" w:rsidRDefault="00180899" w:rsidP="00180899">
            <w:pPr>
              <w:pStyle w:val="ParagraphStyle6"/>
              <w:rPr>
                <w:rStyle w:val="CharacterStyle6"/>
              </w:rPr>
            </w:pPr>
            <w:r w:rsidRPr="0082221C">
              <w:rPr>
                <w:rStyle w:val="CharacterStyle6"/>
              </w:rPr>
              <w:t>3.955.935,00</w:t>
            </w:r>
          </w:p>
        </w:tc>
        <w:tc>
          <w:tcPr>
            <w:tcW w:w="1935" w:type="dxa"/>
            <w:tcBorders>
              <w:bottom w:val="single" w:sz="6" w:space="0" w:color="000000"/>
              <w:right w:val="single" w:sz="6" w:space="0" w:color="000000"/>
            </w:tcBorders>
            <w:vAlign w:val="center"/>
          </w:tcPr>
          <w:p w14:paraId="28EE6CC5" w14:textId="77777777" w:rsidR="00180899" w:rsidRDefault="00180899" w:rsidP="00180899">
            <w:pPr>
              <w:pStyle w:val="ParagraphStyle6"/>
              <w:rPr>
                <w:rStyle w:val="CharacterStyle6"/>
              </w:rPr>
            </w:pPr>
            <w:r>
              <w:rPr>
                <w:rStyle w:val="CharacterStyle6"/>
              </w:rPr>
              <w:t>3.950.935,50</w:t>
            </w:r>
          </w:p>
        </w:tc>
        <w:tc>
          <w:tcPr>
            <w:tcW w:w="1935" w:type="dxa"/>
            <w:tcBorders>
              <w:bottom w:val="single" w:sz="6" w:space="0" w:color="000000"/>
              <w:right w:val="single" w:sz="6" w:space="0" w:color="000000"/>
            </w:tcBorders>
            <w:vAlign w:val="center"/>
          </w:tcPr>
          <w:p w14:paraId="5DCF81EE" w14:textId="77777777" w:rsidR="00180899" w:rsidRDefault="00180899" w:rsidP="00180899">
            <w:pPr>
              <w:pStyle w:val="ParagraphStyle6"/>
              <w:rPr>
                <w:rStyle w:val="CharacterStyle6"/>
              </w:rPr>
            </w:pPr>
            <w:r>
              <w:rPr>
                <w:rStyle w:val="CharacterStyle6"/>
              </w:rPr>
              <w:t>3.999.146,86</w:t>
            </w:r>
          </w:p>
        </w:tc>
        <w:tc>
          <w:tcPr>
            <w:tcW w:w="1935" w:type="dxa"/>
            <w:tcBorders>
              <w:bottom w:val="single" w:sz="6" w:space="0" w:color="000000"/>
              <w:right w:val="single" w:sz="6" w:space="0" w:color="000000"/>
            </w:tcBorders>
            <w:vAlign w:val="center"/>
          </w:tcPr>
          <w:p w14:paraId="7CB8626C" w14:textId="77777777" w:rsidR="00180899" w:rsidRDefault="00180899" w:rsidP="00180899">
            <w:pPr>
              <w:pStyle w:val="ParagraphStyle6"/>
              <w:rPr>
                <w:rStyle w:val="CharacterStyle6"/>
              </w:rPr>
            </w:pPr>
            <w:r>
              <w:rPr>
                <w:rStyle w:val="CharacterStyle6"/>
              </w:rPr>
              <w:t>4.087.218,78</w:t>
            </w:r>
          </w:p>
        </w:tc>
      </w:tr>
      <w:tr w:rsidR="00180899" w14:paraId="4683D7BC" w14:textId="77777777" w:rsidTr="0082221C">
        <w:trPr>
          <w:trHeight w:val="420"/>
        </w:trPr>
        <w:tc>
          <w:tcPr>
            <w:tcW w:w="1515" w:type="dxa"/>
            <w:tcBorders>
              <w:left w:val="single" w:sz="6" w:space="0" w:color="000000"/>
              <w:bottom w:val="single" w:sz="6" w:space="0" w:color="000000"/>
              <w:right w:val="single" w:sz="6" w:space="0" w:color="000000"/>
            </w:tcBorders>
            <w:vAlign w:val="center"/>
          </w:tcPr>
          <w:p w14:paraId="7201FFC3" w14:textId="77777777" w:rsidR="00180899" w:rsidRPr="0082221C" w:rsidRDefault="00180899" w:rsidP="00180899">
            <w:pPr>
              <w:pStyle w:val="ParagraphStyle4"/>
              <w:rPr>
                <w:rStyle w:val="CharacterStyle4"/>
              </w:rPr>
            </w:pPr>
            <w:r w:rsidRPr="0082221C">
              <w:rPr>
                <w:rStyle w:val="CharacterStyle4"/>
              </w:rPr>
              <w:t>GLAVA    00201</w:t>
            </w:r>
          </w:p>
        </w:tc>
        <w:tc>
          <w:tcPr>
            <w:tcW w:w="3675" w:type="dxa"/>
            <w:tcBorders>
              <w:bottom w:val="single" w:sz="6" w:space="0" w:color="000000"/>
              <w:right w:val="single" w:sz="6" w:space="0" w:color="000000"/>
            </w:tcBorders>
            <w:vAlign w:val="center"/>
          </w:tcPr>
          <w:p w14:paraId="51BDDD04" w14:textId="77777777" w:rsidR="00180899" w:rsidRPr="0082221C" w:rsidRDefault="00180899" w:rsidP="00180899">
            <w:pPr>
              <w:pStyle w:val="ParagraphStyle5"/>
              <w:rPr>
                <w:rStyle w:val="CharacterStyle5"/>
              </w:rPr>
            </w:pPr>
            <w:r w:rsidRPr="0082221C">
              <w:rPr>
                <w:rStyle w:val="CharacterStyle5"/>
              </w:rPr>
              <w:t>UPRAVNI ODJEL ZA FINANCIJE,PRORAČUN I NAPLATU PRIHODA</w:t>
            </w:r>
          </w:p>
        </w:tc>
        <w:tc>
          <w:tcPr>
            <w:tcW w:w="1920" w:type="dxa"/>
            <w:tcBorders>
              <w:bottom w:val="single" w:sz="6" w:space="0" w:color="000000"/>
              <w:right w:val="single" w:sz="6" w:space="0" w:color="000000"/>
            </w:tcBorders>
            <w:vAlign w:val="center"/>
          </w:tcPr>
          <w:p w14:paraId="7BD4C1FC" w14:textId="77777777" w:rsidR="00180899" w:rsidRPr="0082221C" w:rsidRDefault="00180899" w:rsidP="00180899">
            <w:pPr>
              <w:pStyle w:val="ParagraphStyle6"/>
              <w:rPr>
                <w:rStyle w:val="CharacterStyle6"/>
              </w:rPr>
            </w:pPr>
            <w:r w:rsidRPr="0082221C">
              <w:rPr>
                <w:rStyle w:val="CharacterStyle6"/>
              </w:rPr>
              <w:t>3.210.394,58</w:t>
            </w:r>
          </w:p>
        </w:tc>
        <w:tc>
          <w:tcPr>
            <w:tcW w:w="1935" w:type="dxa"/>
            <w:tcBorders>
              <w:bottom w:val="single" w:sz="6" w:space="0" w:color="000000"/>
              <w:right w:val="single" w:sz="6" w:space="0" w:color="000000"/>
            </w:tcBorders>
            <w:vAlign w:val="center"/>
          </w:tcPr>
          <w:p w14:paraId="2C22D117" w14:textId="77777777" w:rsidR="00180899" w:rsidRPr="0082221C" w:rsidRDefault="00180899" w:rsidP="00180899">
            <w:pPr>
              <w:pStyle w:val="ParagraphStyle6"/>
              <w:rPr>
                <w:rStyle w:val="CharacterStyle6"/>
              </w:rPr>
            </w:pPr>
            <w:r w:rsidRPr="0082221C">
              <w:rPr>
                <w:rStyle w:val="CharacterStyle6"/>
              </w:rPr>
              <w:t>3.955.935,00</w:t>
            </w:r>
          </w:p>
        </w:tc>
        <w:tc>
          <w:tcPr>
            <w:tcW w:w="1935" w:type="dxa"/>
            <w:tcBorders>
              <w:bottom w:val="single" w:sz="6" w:space="0" w:color="000000"/>
              <w:right w:val="single" w:sz="6" w:space="0" w:color="000000"/>
            </w:tcBorders>
            <w:vAlign w:val="center"/>
          </w:tcPr>
          <w:p w14:paraId="4EBC329A" w14:textId="77777777" w:rsidR="00180899" w:rsidRDefault="00180899" w:rsidP="00180899">
            <w:pPr>
              <w:pStyle w:val="ParagraphStyle6"/>
              <w:rPr>
                <w:rStyle w:val="CharacterStyle6"/>
              </w:rPr>
            </w:pPr>
            <w:r>
              <w:rPr>
                <w:rStyle w:val="CharacterStyle6"/>
              </w:rPr>
              <w:t>3.950.935,50</w:t>
            </w:r>
          </w:p>
        </w:tc>
        <w:tc>
          <w:tcPr>
            <w:tcW w:w="1935" w:type="dxa"/>
            <w:tcBorders>
              <w:bottom w:val="single" w:sz="6" w:space="0" w:color="000000"/>
              <w:right w:val="single" w:sz="6" w:space="0" w:color="000000"/>
            </w:tcBorders>
            <w:vAlign w:val="center"/>
          </w:tcPr>
          <w:p w14:paraId="24EE1038" w14:textId="77777777" w:rsidR="00180899" w:rsidRDefault="00180899" w:rsidP="00180899">
            <w:pPr>
              <w:pStyle w:val="ParagraphStyle6"/>
              <w:rPr>
                <w:rStyle w:val="CharacterStyle6"/>
              </w:rPr>
            </w:pPr>
            <w:r>
              <w:rPr>
                <w:rStyle w:val="CharacterStyle6"/>
              </w:rPr>
              <w:t>3.999.146,86</w:t>
            </w:r>
          </w:p>
        </w:tc>
        <w:tc>
          <w:tcPr>
            <w:tcW w:w="1935" w:type="dxa"/>
            <w:tcBorders>
              <w:bottom w:val="single" w:sz="6" w:space="0" w:color="000000"/>
              <w:right w:val="single" w:sz="6" w:space="0" w:color="000000"/>
            </w:tcBorders>
            <w:vAlign w:val="center"/>
          </w:tcPr>
          <w:p w14:paraId="5BF0F8C0" w14:textId="77777777" w:rsidR="00180899" w:rsidRDefault="00180899" w:rsidP="00180899">
            <w:pPr>
              <w:pStyle w:val="ParagraphStyle6"/>
              <w:rPr>
                <w:rStyle w:val="CharacterStyle6"/>
              </w:rPr>
            </w:pPr>
            <w:r>
              <w:rPr>
                <w:rStyle w:val="CharacterStyle6"/>
              </w:rPr>
              <w:t>4.087.218,78</w:t>
            </w:r>
          </w:p>
        </w:tc>
      </w:tr>
      <w:tr w:rsidR="00180899" w14:paraId="59F4B9A8" w14:textId="77777777" w:rsidTr="0082221C">
        <w:trPr>
          <w:trHeight w:val="405"/>
        </w:trPr>
        <w:tc>
          <w:tcPr>
            <w:tcW w:w="1515" w:type="dxa"/>
            <w:tcBorders>
              <w:left w:val="single" w:sz="6" w:space="0" w:color="000000"/>
              <w:bottom w:val="single" w:sz="6" w:space="0" w:color="000000"/>
              <w:right w:val="single" w:sz="6" w:space="0" w:color="000000"/>
            </w:tcBorders>
            <w:vAlign w:val="center"/>
          </w:tcPr>
          <w:p w14:paraId="4AF8160C" w14:textId="77777777" w:rsidR="00180899" w:rsidRPr="0082221C" w:rsidRDefault="00180899" w:rsidP="00180899">
            <w:pPr>
              <w:pStyle w:val="ParagraphStyle4"/>
              <w:rPr>
                <w:rStyle w:val="CharacterStyle4"/>
              </w:rPr>
            </w:pPr>
            <w:r w:rsidRPr="0082221C">
              <w:rPr>
                <w:rStyle w:val="CharacterStyle4"/>
              </w:rPr>
              <w:t>RAZDJEL    003</w:t>
            </w:r>
          </w:p>
        </w:tc>
        <w:tc>
          <w:tcPr>
            <w:tcW w:w="3675" w:type="dxa"/>
            <w:tcBorders>
              <w:bottom w:val="single" w:sz="6" w:space="0" w:color="000000"/>
              <w:right w:val="single" w:sz="6" w:space="0" w:color="000000"/>
            </w:tcBorders>
            <w:vAlign w:val="center"/>
          </w:tcPr>
          <w:p w14:paraId="2A72A087" w14:textId="77777777" w:rsidR="00180899" w:rsidRPr="0082221C" w:rsidRDefault="00180899" w:rsidP="00180899">
            <w:pPr>
              <w:pStyle w:val="ParagraphStyle5"/>
              <w:rPr>
                <w:rStyle w:val="CharacterStyle5"/>
              </w:rPr>
            </w:pPr>
            <w:r w:rsidRPr="0082221C">
              <w:rPr>
                <w:rStyle w:val="CharacterStyle5"/>
              </w:rPr>
              <w:t>R - UPRAVNI ODJEL ZA GOSPODARSTVO, JAVNU NABAVU I EUROPSKE FONDOVE</w:t>
            </w:r>
          </w:p>
        </w:tc>
        <w:tc>
          <w:tcPr>
            <w:tcW w:w="1920" w:type="dxa"/>
            <w:tcBorders>
              <w:bottom w:val="single" w:sz="6" w:space="0" w:color="000000"/>
              <w:right w:val="single" w:sz="6" w:space="0" w:color="000000"/>
            </w:tcBorders>
            <w:vAlign w:val="center"/>
          </w:tcPr>
          <w:p w14:paraId="0A85308A" w14:textId="77777777" w:rsidR="00180899" w:rsidRPr="0082221C" w:rsidRDefault="00180899" w:rsidP="00180899">
            <w:pPr>
              <w:pStyle w:val="ParagraphStyle6"/>
              <w:rPr>
                <w:rStyle w:val="CharacterStyle6"/>
              </w:rPr>
            </w:pPr>
            <w:r w:rsidRPr="0082221C">
              <w:rPr>
                <w:rStyle w:val="CharacterStyle6"/>
              </w:rPr>
              <w:t>261.439,60</w:t>
            </w:r>
          </w:p>
        </w:tc>
        <w:tc>
          <w:tcPr>
            <w:tcW w:w="1935" w:type="dxa"/>
            <w:tcBorders>
              <w:bottom w:val="single" w:sz="6" w:space="0" w:color="000000"/>
              <w:right w:val="single" w:sz="6" w:space="0" w:color="000000"/>
            </w:tcBorders>
            <w:vAlign w:val="center"/>
          </w:tcPr>
          <w:p w14:paraId="32A3DB47" w14:textId="77777777" w:rsidR="00180899" w:rsidRPr="0082221C" w:rsidRDefault="00180899" w:rsidP="00180899">
            <w:pPr>
              <w:pStyle w:val="ParagraphStyle6"/>
              <w:rPr>
                <w:rStyle w:val="CharacterStyle6"/>
              </w:rPr>
            </w:pPr>
            <w:r w:rsidRPr="0082221C">
              <w:rPr>
                <w:rStyle w:val="CharacterStyle6"/>
              </w:rPr>
              <w:t>3.369.884,00</w:t>
            </w:r>
          </w:p>
        </w:tc>
        <w:tc>
          <w:tcPr>
            <w:tcW w:w="1935" w:type="dxa"/>
            <w:tcBorders>
              <w:bottom w:val="single" w:sz="6" w:space="0" w:color="000000"/>
              <w:right w:val="single" w:sz="6" w:space="0" w:color="000000"/>
            </w:tcBorders>
            <w:vAlign w:val="center"/>
          </w:tcPr>
          <w:p w14:paraId="531FEEA9" w14:textId="77777777" w:rsidR="00180899" w:rsidRDefault="00180899" w:rsidP="00180899">
            <w:pPr>
              <w:pStyle w:val="ParagraphStyle6"/>
              <w:rPr>
                <w:rStyle w:val="CharacterStyle6"/>
              </w:rPr>
            </w:pPr>
            <w:r>
              <w:rPr>
                <w:rStyle w:val="CharacterStyle6"/>
              </w:rPr>
              <w:t>4.133.284,50</w:t>
            </w:r>
          </w:p>
        </w:tc>
        <w:tc>
          <w:tcPr>
            <w:tcW w:w="1935" w:type="dxa"/>
            <w:tcBorders>
              <w:bottom w:val="single" w:sz="6" w:space="0" w:color="000000"/>
              <w:right w:val="single" w:sz="6" w:space="0" w:color="000000"/>
            </w:tcBorders>
            <w:vAlign w:val="center"/>
          </w:tcPr>
          <w:p w14:paraId="0B13A842" w14:textId="77777777" w:rsidR="00180899" w:rsidRDefault="00180899" w:rsidP="00180899">
            <w:pPr>
              <w:pStyle w:val="ParagraphStyle6"/>
              <w:rPr>
                <w:rStyle w:val="CharacterStyle6"/>
              </w:rPr>
            </w:pPr>
            <w:r>
              <w:rPr>
                <w:rStyle w:val="CharacterStyle6"/>
              </w:rPr>
              <w:t>5.491.935,00</w:t>
            </w:r>
          </w:p>
        </w:tc>
        <w:tc>
          <w:tcPr>
            <w:tcW w:w="1935" w:type="dxa"/>
            <w:tcBorders>
              <w:bottom w:val="single" w:sz="6" w:space="0" w:color="000000"/>
              <w:right w:val="single" w:sz="6" w:space="0" w:color="000000"/>
            </w:tcBorders>
            <w:vAlign w:val="center"/>
          </w:tcPr>
          <w:p w14:paraId="0C2A9DCF" w14:textId="77777777" w:rsidR="00180899" w:rsidRDefault="00180899" w:rsidP="00180899">
            <w:pPr>
              <w:pStyle w:val="ParagraphStyle6"/>
              <w:rPr>
                <w:rStyle w:val="CharacterStyle6"/>
              </w:rPr>
            </w:pPr>
            <w:r>
              <w:rPr>
                <w:rStyle w:val="CharacterStyle6"/>
              </w:rPr>
              <w:t>257.935,00</w:t>
            </w:r>
          </w:p>
        </w:tc>
      </w:tr>
      <w:tr w:rsidR="00180899" w14:paraId="2454553A" w14:textId="77777777" w:rsidTr="0082221C">
        <w:trPr>
          <w:trHeight w:val="420"/>
        </w:trPr>
        <w:tc>
          <w:tcPr>
            <w:tcW w:w="1515" w:type="dxa"/>
            <w:tcBorders>
              <w:left w:val="single" w:sz="6" w:space="0" w:color="000000"/>
              <w:bottom w:val="single" w:sz="6" w:space="0" w:color="000000"/>
              <w:right w:val="single" w:sz="6" w:space="0" w:color="000000"/>
            </w:tcBorders>
            <w:vAlign w:val="center"/>
          </w:tcPr>
          <w:p w14:paraId="1C83495C" w14:textId="77777777" w:rsidR="00180899" w:rsidRPr="0082221C" w:rsidRDefault="00180899" w:rsidP="00180899">
            <w:pPr>
              <w:pStyle w:val="ParagraphStyle4"/>
              <w:rPr>
                <w:rStyle w:val="CharacterStyle4"/>
              </w:rPr>
            </w:pPr>
            <w:r w:rsidRPr="0082221C">
              <w:rPr>
                <w:rStyle w:val="CharacterStyle4"/>
              </w:rPr>
              <w:t>GLAVA    00301</w:t>
            </w:r>
          </w:p>
        </w:tc>
        <w:tc>
          <w:tcPr>
            <w:tcW w:w="3675" w:type="dxa"/>
            <w:tcBorders>
              <w:bottom w:val="single" w:sz="6" w:space="0" w:color="000000"/>
              <w:right w:val="single" w:sz="6" w:space="0" w:color="000000"/>
            </w:tcBorders>
            <w:vAlign w:val="center"/>
          </w:tcPr>
          <w:p w14:paraId="73A21467" w14:textId="77777777" w:rsidR="00180899" w:rsidRPr="0082221C" w:rsidRDefault="00180899" w:rsidP="00180899">
            <w:pPr>
              <w:pStyle w:val="ParagraphStyle5"/>
              <w:rPr>
                <w:rStyle w:val="CharacterStyle5"/>
              </w:rPr>
            </w:pPr>
            <w:r w:rsidRPr="0082221C">
              <w:rPr>
                <w:rStyle w:val="CharacterStyle5"/>
              </w:rPr>
              <w:t>UPRAVNI ODJEL ZA GOSPODARSTVO, JAVNU NABAVU I EUROPSKE FONDOVE</w:t>
            </w:r>
          </w:p>
        </w:tc>
        <w:tc>
          <w:tcPr>
            <w:tcW w:w="1920" w:type="dxa"/>
            <w:tcBorders>
              <w:bottom w:val="single" w:sz="6" w:space="0" w:color="000000"/>
              <w:right w:val="single" w:sz="6" w:space="0" w:color="000000"/>
            </w:tcBorders>
            <w:vAlign w:val="center"/>
          </w:tcPr>
          <w:p w14:paraId="2BF5A649" w14:textId="77777777" w:rsidR="00180899" w:rsidRPr="0082221C" w:rsidRDefault="00180899" w:rsidP="00180899">
            <w:pPr>
              <w:pStyle w:val="ParagraphStyle6"/>
              <w:rPr>
                <w:rStyle w:val="CharacterStyle6"/>
              </w:rPr>
            </w:pPr>
            <w:r w:rsidRPr="0082221C">
              <w:rPr>
                <w:rStyle w:val="CharacterStyle6"/>
              </w:rPr>
              <w:t>261.439,60</w:t>
            </w:r>
          </w:p>
        </w:tc>
        <w:tc>
          <w:tcPr>
            <w:tcW w:w="1935" w:type="dxa"/>
            <w:tcBorders>
              <w:bottom w:val="single" w:sz="6" w:space="0" w:color="000000"/>
              <w:right w:val="single" w:sz="6" w:space="0" w:color="000000"/>
            </w:tcBorders>
            <w:vAlign w:val="center"/>
          </w:tcPr>
          <w:p w14:paraId="09F90388" w14:textId="77777777" w:rsidR="00180899" w:rsidRPr="0082221C" w:rsidRDefault="00180899" w:rsidP="00180899">
            <w:pPr>
              <w:pStyle w:val="ParagraphStyle6"/>
              <w:rPr>
                <w:rStyle w:val="CharacterStyle6"/>
              </w:rPr>
            </w:pPr>
            <w:r w:rsidRPr="0082221C">
              <w:rPr>
                <w:rStyle w:val="CharacterStyle6"/>
              </w:rPr>
              <w:t>3.369.884,00</w:t>
            </w:r>
          </w:p>
        </w:tc>
        <w:tc>
          <w:tcPr>
            <w:tcW w:w="1935" w:type="dxa"/>
            <w:tcBorders>
              <w:bottom w:val="single" w:sz="6" w:space="0" w:color="000000"/>
              <w:right w:val="single" w:sz="6" w:space="0" w:color="000000"/>
            </w:tcBorders>
            <w:vAlign w:val="center"/>
          </w:tcPr>
          <w:p w14:paraId="3109370C" w14:textId="77777777" w:rsidR="00180899" w:rsidRDefault="00180899" w:rsidP="00180899">
            <w:pPr>
              <w:pStyle w:val="ParagraphStyle6"/>
              <w:rPr>
                <w:rStyle w:val="CharacterStyle6"/>
              </w:rPr>
            </w:pPr>
            <w:r>
              <w:rPr>
                <w:rStyle w:val="CharacterStyle6"/>
              </w:rPr>
              <w:t>4.133.284,50</w:t>
            </w:r>
          </w:p>
        </w:tc>
        <w:tc>
          <w:tcPr>
            <w:tcW w:w="1935" w:type="dxa"/>
            <w:tcBorders>
              <w:bottom w:val="single" w:sz="6" w:space="0" w:color="000000"/>
              <w:right w:val="single" w:sz="6" w:space="0" w:color="000000"/>
            </w:tcBorders>
            <w:vAlign w:val="center"/>
          </w:tcPr>
          <w:p w14:paraId="49919B81" w14:textId="77777777" w:rsidR="00180899" w:rsidRDefault="00180899" w:rsidP="00180899">
            <w:pPr>
              <w:pStyle w:val="ParagraphStyle6"/>
              <w:rPr>
                <w:rStyle w:val="CharacterStyle6"/>
              </w:rPr>
            </w:pPr>
            <w:r>
              <w:rPr>
                <w:rStyle w:val="CharacterStyle6"/>
              </w:rPr>
              <w:t>5.491.935,00</w:t>
            </w:r>
          </w:p>
        </w:tc>
        <w:tc>
          <w:tcPr>
            <w:tcW w:w="1935" w:type="dxa"/>
            <w:tcBorders>
              <w:bottom w:val="single" w:sz="6" w:space="0" w:color="000000"/>
              <w:right w:val="single" w:sz="6" w:space="0" w:color="000000"/>
            </w:tcBorders>
            <w:vAlign w:val="center"/>
          </w:tcPr>
          <w:p w14:paraId="72077D06" w14:textId="77777777" w:rsidR="00180899" w:rsidRDefault="00180899" w:rsidP="00180899">
            <w:pPr>
              <w:pStyle w:val="ParagraphStyle6"/>
              <w:rPr>
                <w:rStyle w:val="CharacterStyle6"/>
              </w:rPr>
            </w:pPr>
            <w:r>
              <w:rPr>
                <w:rStyle w:val="CharacterStyle6"/>
              </w:rPr>
              <w:t>257.935,00</w:t>
            </w:r>
          </w:p>
        </w:tc>
      </w:tr>
      <w:tr w:rsidR="00180899" w14:paraId="187B1237" w14:textId="77777777" w:rsidTr="0082221C">
        <w:trPr>
          <w:trHeight w:val="585"/>
        </w:trPr>
        <w:tc>
          <w:tcPr>
            <w:tcW w:w="1515" w:type="dxa"/>
            <w:tcBorders>
              <w:left w:val="single" w:sz="6" w:space="0" w:color="000000"/>
              <w:bottom w:val="single" w:sz="6" w:space="0" w:color="000000"/>
              <w:right w:val="single" w:sz="6" w:space="0" w:color="000000"/>
            </w:tcBorders>
            <w:vAlign w:val="center"/>
          </w:tcPr>
          <w:p w14:paraId="52566A43" w14:textId="77777777" w:rsidR="00180899" w:rsidRPr="0082221C" w:rsidRDefault="00180899" w:rsidP="00180899">
            <w:pPr>
              <w:pStyle w:val="ParagraphStyle4"/>
              <w:rPr>
                <w:rStyle w:val="CharacterStyle4"/>
              </w:rPr>
            </w:pPr>
            <w:r w:rsidRPr="0082221C">
              <w:rPr>
                <w:rStyle w:val="CharacterStyle4"/>
              </w:rPr>
              <w:t>RAZDJEL    004</w:t>
            </w:r>
          </w:p>
        </w:tc>
        <w:tc>
          <w:tcPr>
            <w:tcW w:w="3675" w:type="dxa"/>
            <w:tcBorders>
              <w:bottom w:val="single" w:sz="6" w:space="0" w:color="000000"/>
              <w:right w:val="single" w:sz="6" w:space="0" w:color="000000"/>
            </w:tcBorders>
            <w:vAlign w:val="center"/>
          </w:tcPr>
          <w:p w14:paraId="58375E29" w14:textId="77777777" w:rsidR="00180899" w:rsidRPr="0082221C" w:rsidRDefault="00180899" w:rsidP="00180899">
            <w:pPr>
              <w:pStyle w:val="ParagraphStyle5"/>
              <w:rPr>
                <w:rStyle w:val="CharacterStyle5"/>
              </w:rPr>
            </w:pPr>
            <w:r w:rsidRPr="0082221C">
              <w:rPr>
                <w:rStyle w:val="CharacterStyle5"/>
              </w:rPr>
              <w:t>R - UPRAVNI ODJEL ZA PROSTORNO PLANIRANJE, ZAŠTITU OKOLIŠA I IZDAVANJE AKATA</w:t>
            </w:r>
          </w:p>
        </w:tc>
        <w:tc>
          <w:tcPr>
            <w:tcW w:w="1920" w:type="dxa"/>
            <w:tcBorders>
              <w:bottom w:val="single" w:sz="6" w:space="0" w:color="000000"/>
              <w:right w:val="single" w:sz="6" w:space="0" w:color="000000"/>
            </w:tcBorders>
            <w:vAlign w:val="center"/>
          </w:tcPr>
          <w:p w14:paraId="5F243238" w14:textId="77777777" w:rsidR="00180899" w:rsidRPr="0082221C" w:rsidRDefault="00180899" w:rsidP="00180899">
            <w:pPr>
              <w:pStyle w:val="ParagraphStyle6"/>
              <w:rPr>
                <w:rStyle w:val="CharacterStyle6"/>
              </w:rPr>
            </w:pPr>
            <w:r w:rsidRPr="0082221C">
              <w:rPr>
                <w:rStyle w:val="CharacterStyle6"/>
              </w:rPr>
              <w:t>133.033,02</w:t>
            </w:r>
          </w:p>
        </w:tc>
        <w:tc>
          <w:tcPr>
            <w:tcW w:w="1935" w:type="dxa"/>
            <w:tcBorders>
              <w:bottom w:val="single" w:sz="6" w:space="0" w:color="000000"/>
              <w:right w:val="single" w:sz="6" w:space="0" w:color="000000"/>
            </w:tcBorders>
            <w:vAlign w:val="center"/>
          </w:tcPr>
          <w:p w14:paraId="0AA77AB2" w14:textId="77777777" w:rsidR="00180899" w:rsidRPr="0082221C" w:rsidRDefault="00180899" w:rsidP="00180899">
            <w:pPr>
              <w:pStyle w:val="ParagraphStyle6"/>
              <w:rPr>
                <w:rStyle w:val="CharacterStyle6"/>
              </w:rPr>
            </w:pPr>
            <w:r w:rsidRPr="0082221C">
              <w:rPr>
                <w:rStyle w:val="CharacterStyle6"/>
              </w:rPr>
              <w:t>397.230,50</w:t>
            </w:r>
          </w:p>
        </w:tc>
        <w:tc>
          <w:tcPr>
            <w:tcW w:w="1935" w:type="dxa"/>
            <w:tcBorders>
              <w:bottom w:val="single" w:sz="6" w:space="0" w:color="000000"/>
              <w:right w:val="single" w:sz="6" w:space="0" w:color="000000"/>
            </w:tcBorders>
            <w:vAlign w:val="center"/>
          </w:tcPr>
          <w:p w14:paraId="561AA4CD" w14:textId="77777777" w:rsidR="00180899" w:rsidRDefault="00180899" w:rsidP="00180899">
            <w:pPr>
              <w:pStyle w:val="ParagraphStyle6"/>
              <w:rPr>
                <w:rStyle w:val="CharacterStyle6"/>
              </w:rPr>
            </w:pPr>
            <w:r>
              <w:rPr>
                <w:rStyle w:val="CharacterStyle6"/>
              </w:rPr>
              <w:t>797.500,00</w:t>
            </w:r>
          </w:p>
        </w:tc>
        <w:tc>
          <w:tcPr>
            <w:tcW w:w="1935" w:type="dxa"/>
            <w:tcBorders>
              <w:bottom w:val="single" w:sz="6" w:space="0" w:color="000000"/>
              <w:right w:val="single" w:sz="6" w:space="0" w:color="000000"/>
            </w:tcBorders>
            <w:vAlign w:val="center"/>
          </w:tcPr>
          <w:p w14:paraId="573137C5" w14:textId="77777777" w:rsidR="00180899" w:rsidRDefault="00180899" w:rsidP="00180899">
            <w:pPr>
              <w:pStyle w:val="ParagraphStyle6"/>
              <w:rPr>
                <w:rStyle w:val="CharacterStyle6"/>
              </w:rPr>
            </w:pPr>
            <w:r>
              <w:rPr>
                <w:rStyle w:val="CharacterStyle6"/>
              </w:rPr>
              <w:t>618.000,00</w:t>
            </w:r>
          </w:p>
        </w:tc>
        <w:tc>
          <w:tcPr>
            <w:tcW w:w="1935" w:type="dxa"/>
            <w:tcBorders>
              <w:bottom w:val="single" w:sz="6" w:space="0" w:color="000000"/>
              <w:right w:val="single" w:sz="6" w:space="0" w:color="000000"/>
            </w:tcBorders>
            <w:vAlign w:val="center"/>
          </w:tcPr>
          <w:p w14:paraId="16355E9B" w14:textId="77777777" w:rsidR="00180899" w:rsidRDefault="00180899" w:rsidP="00180899">
            <w:pPr>
              <w:pStyle w:val="ParagraphStyle6"/>
              <w:rPr>
                <w:rStyle w:val="CharacterStyle6"/>
              </w:rPr>
            </w:pPr>
            <w:r>
              <w:rPr>
                <w:rStyle w:val="CharacterStyle6"/>
              </w:rPr>
              <w:t>80.000,00</w:t>
            </w:r>
          </w:p>
        </w:tc>
      </w:tr>
      <w:tr w:rsidR="00180899" w14:paraId="6B04543A" w14:textId="77777777" w:rsidTr="0082221C">
        <w:trPr>
          <w:trHeight w:val="600"/>
        </w:trPr>
        <w:tc>
          <w:tcPr>
            <w:tcW w:w="1515" w:type="dxa"/>
            <w:tcBorders>
              <w:left w:val="single" w:sz="6" w:space="0" w:color="000000"/>
              <w:bottom w:val="single" w:sz="6" w:space="0" w:color="000000"/>
              <w:right w:val="single" w:sz="6" w:space="0" w:color="000000"/>
            </w:tcBorders>
            <w:vAlign w:val="center"/>
          </w:tcPr>
          <w:p w14:paraId="44767A68" w14:textId="77777777" w:rsidR="00180899" w:rsidRPr="0082221C" w:rsidRDefault="00180899" w:rsidP="00180899">
            <w:pPr>
              <w:pStyle w:val="ParagraphStyle4"/>
              <w:rPr>
                <w:rStyle w:val="CharacterStyle4"/>
              </w:rPr>
            </w:pPr>
            <w:r w:rsidRPr="0082221C">
              <w:rPr>
                <w:rStyle w:val="CharacterStyle4"/>
              </w:rPr>
              <w:t>GLAVA    00401</w:t>
            </w:r>
          </w:p>
        </w:tc>
        <w:tc>
          <w:tcPr>
            <w:tcW w:w="3675" w:type="dxa"/>
            <w:tcBorders>
              <w:bottom w:val="single" w:sz="6" w:space="0" w:color="000000"/>
              <w:right w:val="single" w:sz="6" w:space="0" w:color="000000"/>
            </w:tcBorders>
            <w:vAlign w:val="center"/>
          </w:tcPr>
          <w:p w14:paraId="1042CAFD" w14:textId="77777777" w:rsidR="00180899" w:rsidRPr="0082221C" w:rsidRDefault="00180899" w:rsidP="00180899">
            <w:pPr>
              <w:pStyle w:val="ParagraphStyle5"/>
              <w:rPr>
                <w:rStyle w:val="CharacterStyle5"/>
              </w:rPr>
            </w:pPr>
            <w:r w:rsidRPr="0082221C">
              <w:rPr>
                <w:rStyle w:val="CharacterStyle5"/>
              </w:rPr>
              <w:t>UPRAVNI ODJEL ZA PROSTORNO PLANIRANJE, ZAŠTITU OKOLIŠA I IZDAVANJE AKATA</w:t>
            </w:r>
          </w:p>
        </w:tc>
        <w:tc>
          <w:tcPr>
            <w:tcW w:w="1920" w:type="dxa"/>
            <w:tcBorders>
              <w:bottom w:val="single" w:sz="6" w:space="0" w:color="000000"/>
              <w:right w:val="single" w:sz="6" w:space="0" w:color="000000"/>
            </w:tcBorders>
            <w:vAlign w:val="center"/>
          </w:tcPr>
          <w:p w14:paraId="6D721244" w14:textId="77777777" w:rsidR="00180899" w:rsidRPr="0082221C" w:rsidRDefault="00180899" w:rsidP="00180899">
            <w:pPr>
              <w:pStyle w:val="ParagraphStyle6"/>
              <w:rPr>
                <w:rStyle w:val="CharacterStyle6"/>
              </w:rPr>
            </w:pPr>
            <w:r w:rsidRPr="0082221C">
              <w:rPr>
                <w:rStyle w:val="CharacterStyle6"/>
              </w:rPr>
              <w:t>133.033,02</w:t>
            </w:r>
          </w:p>
        </w:tc>
        <w:tc>
          <w:tcPr>
            <w:tcW w:w="1935" w:type="dxa"/>
            <w:tcBorders>
              <w:bottom w:val="single" w:sz="6" w:space="0" w:color="000000"/>
              <w:right w:val="single" w:sz="6" w:space="0" w:color="000000"/>
            </w:tcBorders>
            <w:vAlign w:val="center"/>
          </w:tcPr>
          <w:p w14:paraId="4C33AA0C" w14:textId="77777777" w:rsidR="00180899" w:rsidRPr="0082221C" w:rsidRDefault="00180899" w:rsidP="00180899">
            <w:pPr>
              <w:pStyle w:val="ParagraphStyle6"/>
              <w:rPr>
                <w:rStyle w:val="CharacterStyle6"/>
              </w:rPr>
            </w:pPr>
            <w:r w:rsidRPr="0082221C">
              <w:rPr>
                <w:rStyle w:val="CharacterStyle6"/>
              </w:rPr>
              <w:t>397.230,50</w:t>
            </w:r>
          </w:p>
        </w:tc>
        <w:tc>
          <w:tcPr>
            <w:tcW w:w="1935" w:type="dxa"/>
            <w:tcBorders>
              <w:bottom w:val="single" w:sz="6" w:space="0" w:color="000000"/>
              <w:right w:val="single" w:sz="6" w:space="0" w:color="000000"/>
            </w:tcBorders>
            <w:vAlign w:val="center"/>
          </w:tcPr>
          <w:p w14:paraId="750F6533" w14:textId="77777777" w:rsidR="00180899" w:rsidRDefault="00180899" w:rsidP="00180899">
            <w:pPr>
              <w:pStyle w:val="ParagraphStyle6"/>
              <w:rPr>
                <w:rStyle w:val="CharacterStyle6"/>
              </w:rPr>
            </w:pPr>
            <w:r>
              <w:rPr>
                <w:rStyle w:val="CharacterStyle6"/>
              </w:rPr>
              <w:t>797.500,00</w:t>
            </w:r>
          </w:p>
        </w:tc>
        <w:tc>
          <w:tcPr>
            <w:tcW w:w="1935" w:type="dxa"/>
            <w:tcBorders>
              <w:bottom w:val="single" w:sz="6" w:space="0" w:color="000000"/>
              <w:right w:val="single" w:sz="6" w:space="0" w:color="000000"/>
            </w:tcBorders>
            <w:vAlign w:val="center"/>
          </w:tcPr>
          <w:p w14:paraId="6AAA435F" w14:textId="77777777" w:rsidR="00180899" w:rsidRDefault="00180899" w:rsidP="00180899">
            <w:pPr>
              <w:pStyle w:val="ParagraphStyle6"/>
              <w:rPr>
                <w:rStyle w:val="CharacterStyle6"/>
              </w:rPr>
            </w:pPr>
            <w:r>
              <w:rPr>
                <w:rStyle w:val="CharacterStyle6"/>
              </w:rPr>
              <w:t>618.000,00</w:t>
            </w:r>
          </w:p>
        </w:tc>
        <w:tc>
          <w:tcPr>
            <w:tcW w:w="1935" w:type="dxa"/>
            <w:tcBorders>
              <w:bottom w:val="single" w:sz="6" w:space="0" w:color="000000"/>
              <w:right w:val="single" w:sz="6" w:space="0" w:color="000000"/>
            </w:tcBorders>
            <w:vAlign w:val="center"/>
          </w:tcPr>
          <w:p w14:paraId="20E77871" w14:textId="77777777" w:rsidR="00180899" w:rsidRDefault="00180899" w:rsidP="00180899">
            <w:pPr>
              <w:pStyle w:val="ParagraphStyle6"/>
              <w:rPr>
                <w:rStyle w:val="CharacterStyle6"/>
              </w:rPr>
            </w:pPr>
            <w:r>
              <w:rPr>
                <w:rStyle w:val="CharacterStyle6"/>
              </w:rPr>
              <w:t>80.000,00</w:t>
            </w:r>
          </w:p>
        </w:tc>
      </w:tr>
      <w:tr w:rsidR="00180899" w14:paraId="1E912024" w14:textId="77777777" w:rsidTr="0082221C">
        <w:trPr>
          <w:trHeight w:val="420"/>
        </w:trPr>
        <w:tc>
          <w:tcPr>
            <w:tcW w:w="1515" w:type="dxa"/>
            <w:tcBorders>
              <w:left w:val="single" w:sz="6" w:space="0" w:color="000000"/>
              <w:bottom w:val="single" w:sz="6" w:space="0" w:color="000000"/>
              <w:right w:val="single" w:sz="6" w:space="0" w:color="000000"/>
            </w:tcBorders>
            <w:vAlign w:val="center"/>
          </w:tcPr>
          <w:p w14:paraId="2020125C" w14:textId="77777777" w:rsidR="00180899" w:rsidRPr="0082221C" w:rsidRDefault="00180899" w:rsidP="00180899">
            <w:pPr>
              <w:pStyle w:val="ParagraphStyle4"/>
              <w:rPr>
                <w:rStyle w:val="CharacterStyle4"/>
              </w:rPr>
            </w:pPr>
            <w:r w:rsidRPr="0082221C">
              <w:rPr>
                <w:rStyle w:val="CharacterStyle4"/>
              </w:rPr>
              <w:t>RAZDJEL    005</w:t>
            </w:r>
          </w:p>
        </w:tc>
        <w:tc>
          <w:tcPr>
            <w:tcW w:w="3675" w:type="dxa"/>
            <w:tcBorders>
              <w:bottom w:val="single" w:sz="6" w:space="0" w:color="000000"/>
              <w:right w:val="single" w:sz="6" w:space="0" w:color="000000"/>
            </w:tcBorders>
            <w:vAlign w:val="center"/>
          </w:tcPr>
          <w:p w14:paraId="096D0C72" w14:textId="77777777" w:rsidR="00180899" w:rsidRPr="0082221C" w:rsidRDefault="00180899" w:rsidP="00180899">
            <w:pPr>
              <w:pStyle w:val="ParagraphStyle5"/>
              <w:rPr>
                <w:rStyle w:val="CharacterStyle5"/>
              </w:rPr>
            </w:pPr>
            <w:r w:rsidRPr="0082221C">
              <w:rPr>
                <w:rStyle w:val="CharacterStyle5"/>
              </w:rPr>
              <w:t>R - UPRAVNI ODJEL ZA UPRAVLJANJE IMOVINOM  I GEODETSKE POSLOVE</w:t>
            </w:r>
          </w:p>
        </w:tc>
        <w:tc>
          <w:tcPr>
            <w:tcW w:w="1920" w:type="dxa"/>
            <w:tcBorders>
              <w:bottom w:val="single" w:sz="6" w:space="0" w:color="000000"/>
              <w:right w:val="single" w:sz="6" w:space="0" w:color="000000"/>
            </w:tcBorders>
            <w:vAlign w:val="center"/>
          </w:tcPr>
          <w:p w14:paraId="37832DA8" w14:textId="77777777" w:rsidR="00180899" w:rsidRPr="0082221C" w:rsidRDefault="00180899" w:rsidP="00180899">
            <w:pPr>
              <w:pStyle w:val="ParagraphStyle6"/>
              <w:rPr>
                <w:rStyle w:val="CharacterStyle6"/>
              </w:rPr>
            </w:pPr>
            <w:r w:rsidRPr="0082221C">
              <w:rPr>
                <w:rStyle w:val="CharacterStyle6"/>
              </w:rPr>
              <w:t>263.616,55</w:t>
            </w:r>
          </w:p>
        </w:tc>
        <w:tc>
          <w:tcPr>
            <w:tcW w:w="1935" w:type="dxa"/>
            <w:tcBorders>
              <w:bottom w:val="single" w:sz="6" w:space="0" w:color="000000"/>
              <w:right w:val="single" w:sz="6" w:space="0" w:color="000000"/>
            </w:tcBorders>
            <w:vAlign w:val="center"/>
          </w:tcPr>
          <w:p w14:paraId="3E7B615F" w14:textId="77777777" w:rsidR="00180899" w:rsidRPr="0082221C" w:rsidRDefault="00180899" w:rsidP="00180899">
            <w:pPr>
              <w:pStyle w:val="ParagraphStyle6"/>
              <w:rPr>
                <w:rStyle w:val="CharacterStyle6"/>
              </w:rPr>
            </w:pPr>
            <w:r w:rsidRPr="0082221C">
              <w:rPr>
                <w:rStyle w:val="CharacterStyle6"/>
              </w:rPr>
              <w:t>3.111.620,00</w:t>
            </w:r>
          </w:p>
        </w:tc>
        <w:tc>
          <w:tcPr>
            <w:tcW w:w="1935" w:type="dxa"/>
            <w:tcBorders>
              <w:bottom w:val="single" w:sz="6" w:space="0" w:color="000000"/>
              <w:right w:val="single" w:sz="6" w:space="0" w:color="000000"/>
            </w:tcBorders>
            <w:vAlign w:val="center"/>
          </w:tcPr>
          <w:p w14:paraId="1E533D19" w14:textId="77777777" w:rsidR="00180899" w:rsidRDefault="00180899" w:rsidP="00180899">
            <w:pPr>
              <w:pStyle w:val="ParagraphStyle6"/>
              <w:rPr>
                <w:rStyle w:val="CharacterStyle6"/>
              </w:rPr>
            </w:pPr>
            <w:r>
              <w:rPr>
                <w:rStyle w:val="CharacterStyle6"/>
              </w:rPr>
              <w:t>2.472.360,00</w:t>
            </w:r>
          </w:p>
        </w:tc>
        <w:tc>
          <w:tcPr>
            <w:tcW w:w="1935" w:type="dxa"/>
            <w:tcBorders>
              <w:bottom w:val="single" w:sz="6" w:space="0" w:color="000000"/>
              <w:right w:val="single" w:sz="6" w:space="0" w:color="000000"/>
            </w:tcBorders>
            <w:vAlign w:val="center"/>
          </w:tcPr>
          <w:p w14:paraId="7A5BBBC6" w14:textId="77777777" w:rsidR="00180899" w:rsidRDefault="00180899" w:rsidP="00180899">
            <w:pPr>
              <w:pStyle w:val="ParagraphStyle6"/>
              <w:rPr>
                <w:rStyle w:val="CharacterStyle6"/>
              </w:rPr>
            </w:pPr>
            <w:r>
              <w:rPr>
                <w:rStyle w:val="CharacterStyle6"/>
              </w:rPr>
              <w:t>2.590.374,00</w:t>
            </w:r>
          </w:p>
        </w:tc>
        <w:tc>
          <w:tcPr>
            <w:tcW w:w="1935" w:type="dxa"/>
            <w:tcBorders>
              <w:bottom w:val="single" w:sz="6" w:space="0" w:color="000000"/>
              <w:right w:val="single" w:sz="6" w:space="0" w:color="000000"/>
            </w:tcBorders>
            <w:vAlign w:val="center"/>
          </w:tcPr>
          <w:p w14:paraId="2C3F9703" w14:textId="77777777" w:rsidR="00180899" w:rsidRDefault="00180899" w:rsidP="00180899">
            <w:pPr>
              <w:pStyle w:val="ParagraphStyle6"/>
              <w:rPr>
                <w:rStyle w:val="CharacterStyle6"/>
              </w:rPr>
            </w:pPr>
            <w:r>
              <w:rPr>
                <w:rStyle w:val="CharacterStyle6"/>
              </w:rPr>
              <w:t>2.753.374,00</w:t>
            </w:r>
          </w:p>
        </w:tc>
      </w:tr>
      <w:tr w:rsidR="00180899" w14:paraId="6F093613" w14:textId="77777777" w:rsidTr="0082221C">
        <w:trPr>
          <w:trHeight w:val="405"/>
        </w:trPr>
        <w:tc>
          <w:tcPr>
            <w:tcW w:w="1515" w:type="dxa"/>
            <w:tcBorders>
              <w:left w:val="single" w:sz="6" w:space="0" w:color="000000"/>
              <w:bottom w:val="single" w:sz="6" w:space="0" w:color="000000"/>
              <w:right w:val="single" w:sz="6" w:space="0" w:color="000000"/>
            </w:tcBorders>
            <w:vAlign w:val="center"/>
          </w:tcPr>
          <w:p w14:paraId="408AB495" w14:textId="77777777" w:rsidR="00180899" w:rsidRPr="0082221C" w:rsidRDefault="00180899" w:rsidP="00180899">
            <w:pPr>
              <w:pStyle w:val="ParagraphStyle4"/>
              <w:rPr>
                <w:rStyle w:val="CharacterStyle4"/>
              </w:rPr>
            </w:pPr>
            <w:r w:rsidRPr="0082221C">
              <w:rPr>
                <w:rStyle w:val="CharacterStyle4"/>
              </w:rPr>
              <w:t>GLAVA    00501</w:t>
            </w:r>
          </w:p>
        </w:tc>
        <w:tc>
          <w:tcPr>
            <w:tcW w:w="3675" w:type="dxa"/>
            <w:tcBorders>
              <w:bottom w:val="single" w:sz="6" w:space="0" w:color="000000"/>
              <w:right w:val="single" w:sz="6" w:space="0" w:color="000000"/>
            </w:tcBorders>
            <w:vAlign w:val="center"/>
          </w:tcPr>
          <w:p w14:paraId="243E981D" w14:textId="77777777" w:rsidR="00180899" w:rsidRPr="0082221C" w:rsidRDefault="00180899" w:rsidP="00180899">
            <w:pPr>
              <w:pStyle w:val="ParagraphStyle5"/>
              <w:rPr>
                <w:rStyle w:val="CharacterStyle5"/>
              </w:rPr>
            </w:pPr>
            <w:r w:rsidRPr="0082221C">
              <w:rPr>
                <w:rStyle w:val="CharacterStyle5"/>
              </w:rPr>
              <w:t>UPRAVNI ODJEL ZA UPRAVLJANJE IMOVINOM  I GEODETSKE POSLOVE</w:t>
            </w:r>
          </w:p>
        </w:tc>
        <w:tc>
          <w:tcPr>
            <w:tcW w:w="1920" w:type="dxa"/>
            <w:tcBorders>
              <w:bottom w:val="single" w:sz="6" w:space="0" w:color="000000"/>
              <w:right w:val="single" w:sz="6" w:space="0" w:color="000000"/>
            </w:tcBorders>
            <w:vAlign w:val="center"/>
          </w:tcPr>
          <w:p w14:paraId="105E5E2A" w14:textId="77777777" w:rsidR="00180899" w:rsidRPr="0082221C" w:rsidRDefault="00180899" w:rsidP="00180899">
            <w:pPr>
              <w:pStyle w:val="ParagraphStyle6"/>
              <w:rPr>
                <w:rStyle w:val="CharacterStyle6"/>
              </w:rPr>
            </w:pPr>
            <w:r w:rsidRPr="0082221C">
              <w:rPr>
                <w:rStyle w:val="CharacterStyle6"/>
              </w:rPr>
              <w:t>263.616,55</w:t>
            </w:r>
          </w:p>
        </w:tc>
        <w:tc>
          <w:tcPr>
            <w:tcW w:w="1935" w:type="dxa"/>
            <w:tcBorders>
              <w:bottom w:val="single" w:sz="6" w:space="0" w:color="000000"/>
              <w:right w:val="single" w:sz="6" w:space="0" w:color="000000"/>
            </w:tcBorders>
            <w:vAlign w:val="center"/>
          </w:tcPr>
          <w:p w14:paraId="0F4F2BA1" w14:textId="77777777" w:rsidR="00180899" w:rsidRPr="0082221C" w:rsidRDefault="00180899" w:rsidP="00180899">
            <w:pPr>
              <w:pStyle w:val="ParagraphStyle6"/>
              <w:rPr>
                <w:rStyle w:val="CharacterStyle6"/>
              </w:rPr>
            </w:pPr>
            <w:r w:rsidRPr="0082221C">
              <w:rPr>
                <w:rStyle w:val="CharacterStyle6"/>
              </w:rPr>
              <w:t>3.111.620,00</w:t>
            </w:r>
          </w:p>
        </w:tc>
        <w:tc>
          <w:tcPr>
            <w:tcW w:w="1935" w:type="dxa"/>
            <w:tcBorders>
              <w:bottom w:val="single" w:sz="6" w:space="0" w:color="000000"/>
              <w:right w:val="single" w:sz="6" w:space="0" w:color="000000"/>
            </w:tcBorders>
            <w:vAlign w:val="center"/>
          </w:tcPr>
          <w:p w14:paraId="6B498612" w14:textId="77777777" w:rsidR="00180899" w:rsidRDefault="00180899" w:rsidP="00180899">
            <w:pPr>
              <w:pStyle w:val="ParagraphStyle6"/>
              <w:rPr>
                <w:rStyle w:val="CharacterStyle6"/>
              </w:rPr>
            </w:pPr>
            <w:r>
              <w:rPr>
                <w:rStyle w:val="CharacterStyle6"/>
              </w:rPr>
              <w:t>2.472.360,00</w:t>
            </w:r>
          </w:p>
        </w:tc>
        <w:tc>
          <w:tcPr>
            <w:tcW w:w="1935" w:type="dxa"/>
            <w:tcBorders>
              <w:bottom w:val="single" w:sz="6" w:space="0" w:color="000000"/>
              <w:right w:val="single" w:sz="6" w:space="0" w:color="000000"/>
            </w:tcBorders>
            <w:vAlign w:val="center"/>
          </w:tcPr>
          <w:p w14:paraId="7EA93E6C" w14:textId="77777777" w:rsidR="00180899" w:rsidRDefault="00180899" w:rsidP="00180899">
            <w:pPr>
              <w:pStyle w:val="ParagraphStyle6"/>
              <w:rPr>
                <w:rStyle w:val="CharacterStyle6"/>
              </w:rPr>
            </w:pPr>
            <w:r>
              <w:rPr>
                <w:rStyle w:val="CharacterStyle6"/>
              </w:rPr>
              <w:t>2.590.374,00</w:t>
            </w:r>
          </w:p>
        </w:tc>
        <w:tc>
          <w:tcPr>
            <w:tcW w:w="1935" w:type="dxa"/>
            <w:tcBorders>
              <w:bottom w:val="single" w:sz="6" w:space="0" w:color="000000"/>
              <w:right w:val="single" w:sz="6" w:space="0" w:color="000000"/>
            </w:tcBorders>
            <w:vAlign w:val="center"/>
          </w:tcPr>
          <w:p w14:paraId="3DCCA600" w14:textId="77777777" w:rsidR="00180899" w:rsidRDefault="00180899" w:rsidP="00180899">
            <w:pPr>
              <w:pStyle w:val="ParagraphStyle6"/>
              <w:rPr>
                <w:rStyle w:val="CharacterStyle6"/>
              </w:rPr>
            </w:pPr>
            <w:r>
              <w:rPr>
                <w:rStyle w:val="CharacterStyle6"/>
              </w:rPr>
              <w:t>2.753.374,00</w:t>
            </w:r>
          </w:p>
        </w:tc>
      </w:tr>
      <w:tr w:rsidR="00180899" w14:paraId="741BC839" w14:textId="77777777" w:rsidTr="0082221C">
        <w:trPr>
          <w:trHeight w:val="420"/>
        </w:trPr>
        <w:tc>
          <w:tcPr>
            <w:tcW w:w="1515" w:type="dxa"/>
            <w:tcBorders>
              <w:left w:val="single" w:sz="6" w:space="0" w:color="000000"/>
              <w:bottom w:val="single" w:sz="6" w:space="0" w:color="000000"/>
              <w:right w:val="single" w:sz="6" w:space="0" w:color="000000"/>
            </w:tcBorders>
            <w:vAlign w:val="center"/>
          </w:tcPr>
          <w:p w14:paraId="4F6C5C34" w14:textId="77777777" w:rsidR="00180899" w:rsidRPr="0082221C" w:rsidRDefault="00180899" w:rsidP="00180899">
            <w:pPr>
              <w:pStyle w:val="ParagraphStyle4"/>
              <w:rPr>
                <w:rStyle w:val="CharacterStyle4"/>
              </w:rPr>
            </w:pPr>
            <w:r w:rsidRPr="0082221C">
              <w:rPr>
                <w:rStyle w:val="CharacterStyle4"/>
              </w:rPr>
              <w:t>RAZDJEL    006</w:t>
            </w:r>
          </w:p>
        </w:tc>
        <w:tc>
          <w:tcPr>
            <w:tcW w:w="3675" w:type="dxa"/>
            <w:tcBorders>
              <w:bottom w:val="single" w:sz="6" w:space="0" w:color="000000"/>
              <w:right w:val="single" w:sz="6" w:space="0" w:color="000000"/>
            </w:tcBorders>
            <w:vAlign w:val="center"/>
          </w:tcPr>
          <w:p w14:paraId="0B1A26E9" w14:textId="77777777" w:rsidR="00180899" w:rsidRPr="0082221C" w:rsidRDefault="00180899" w:rsidP="00180899">
            <w:pPr>
              <w:pStyle w:val="ParagraphStyle5"/>
              <w:rPr>
                <w:rStyle w:val="CharacterStyle5"/>
              </w:rPr>
            </w:pPr>
            <w:r w:rsidRPr="0082221C">
              <w:rPr>
                <w:rStyle w:val="CharacterStyle5"/>
              </w:rPr>
              <w:t>R - UPRAVNI ODJEL ZA KOMUNALNO GOSPODARSTVO I IZGRADNJU</w:t>
            </w:r>
          </w:p>
        </w:tc>
        <w:tc>
          <w:tcPr>
            <w:tcW w:w="1920" w:type="dxa"/>
            <w:tcBorders>
              <w:bottom w:val="single" w:sz="6" w:space="0" w:color="000000"/>
              <w:right w:val="single" w:sz="6" w:space="0" w:color="000000"/>
            </w:tcBorders>
            <w:vAlign w:val="center"/>
          </w:tcPr>
          <w:p w14:paraId="05538154" w14:textId="77777777" w:rsidR="00180899" w:rsidRPr="0082221C" w:rsidRDefault="00180899" w:rsidP="00180899">
            <w:pPr>
              <w:pStyle w:val="ParagraphStyle6"/>
              <w:rPr>
                <w:rStyle w:val="CharacterStyle6"/>
              </w:rPr>
            </w:pPr>
            <w:r w:rsidRPr="0082221C">
              <w:rPr>
                <w:rStyle w:val="CharacterStyle6"/>
              </w:rPr>
              <w:t>12.675.059,84</w:t>
            </w:r>
          </w:p>
        </w:tc>
        <w:tc>
          <w:tcPr>
            <w:tcW w:w="1935" w:type="dxa"/>
            <w:tcBorders>
              <w:bottom w:val="single" w:sz="6" w:space="0" w:color="000000"/>
              <w:right w:val="single" w:sz="6" w:space="0" w:color="000000"/>
            </w:tcBorders>
            <w:vAlign w:val="center"/>
          </w:tcPr>
          <w:p w14:paraId="6F952E55" w14:textId="77777777" w:rsidR="00180899" w:rsidRPr="0082221C" w:rsidRDefault="00180899" w:rsidP="00180899">
            <w:pPr>
              <w:pStyle w:val="ParagraphStyle6"/>
              <w:rPr>
                <w:rStyle w:val="CharacterStyle6"/>
              </w:rPr>
            </w:pPr>
            <w:r w:rsidRPr="0082221C">
              <w:rPr>
                <w:rStyle w:val="CharacterStyle6"/>
              </w:rPr>
              <w:t>27.083.064,00</w:t>
            </w:r>
          </w:p>
        </w:tc>
        <w:tc>
          <w:tcPr>
            <w:tcW w:w="1935" w:type="dxa"/>
            <w:tcBorders>
              <w:bottom w:val="single" w:sz="6" w:space="0" w:color="000000"/>
              <w:right w:val="single" w:sz="6" w:space="0" w:color="000000"/>
            </w:tcBorders>
            <w:vAlign w:val="center"/>
          </w:tcPr>
          <w:p w14:paraId="491F6345" w14:textId="77777777" w:rsidR="00180899" w:rsidRDefault="00180899" w:rsidP="00180899">
            <w:pPr>
              <w:pStyle w:val="ParagraphStyle6"/>
              <w:rPr>
                <w:rStyle w:val="CharacterStyle6"/>
              </w:rPr>
            </w:pPr>
            <w:r>
              <w:rPr>
                <w:rStyle w:val="CharacterStyle6"/>
              </w:rPr>
              <w:t>23.419.335,00</w:t>
            </w:r>
          </w:p>
        </w:tc>
        <w:tc>
          <w:tcPr>
            <w:tcW w:w="1935" w:type="dxa"/>
            <w:tcBorders>
              <w:bottom w:val="single" w:sz="6" w:space="0" w:color="000000"/>
              <w:right w:val="single" w:sz="6" w:space="0" w:color="000000"/>
            </w:tcBorders>
            <w:vAlign w:val="center"/>
          </w:tcPr>
          <w:p w14:paraId="54303996" w14:textId="77777777" w:rsidR="00180899" w:rsidRDefault="00180899" w:rsidP="00180899">
            <w:pPr>
              <w:pStyle w:val="ParagraphStyle6"/>
              <w:rPr>
                <w:rStyle w:val="CharacterStyle6"/>
              </w:rPr>
            </w:pPr>
            <w:r>
              <w:rPr>
                <w:rStyle w:val="CharacterStyle6"/>
              </w:rPr>
              <w:t>6.772.530,00</w:t>
            </w:r>
          </w:p>
        </w:tc>
        <w:tc>
          <w:tcPr>
            <w:tcW w:w="1935" w:type="dxa"/>
            <w:tcBorders>
              <w:bottom w:val="single" w:sz="6" w:space="0" w:color="000000"/>
              <w:right w:val="single" w:sz="6" w:space="0" w:color="000000"/>
            </w:tcBorders>
            <w:vAlign w:val="center"/>
          </w:tcPr>
          <w:p w14:paraId="591E226E" w14:textId="77777777" w:rsidR="00180899" w:rsidRDefault="00180899" w:rsidP="00180899">
            <w:pPr>
              <w:pStyle w:val="ParagraphStyle6"/>
              <w:rPr>
                <w:rStyle w:val="CharacterStyle6"/>
              </w:rPr>
            </w:pPr>
            <w:r>
              <w:rPr>
                <w:rStyle w:val="CharacterStyle6"/>
              </w:rPr>
              <w:t>6.153.280,00</w:t>
            </w:r>
          </w:p>
        </w:tc>
      </w:tr>
      <w:tr w:rsidR="00180899" w14:paraId="4AA73EB8" w14:textId="77777777" w:rsidTr="0082221C">
        <w:trPr>
          <w:trHeight w:val="405"/>
        </w:trPr>
        <w:tc>
          <w:tcPr>
            <w:tcW w:w="1515" w:type="dxa"/>
            <w:tcBorders>
              <w:left w:val="single" w:sz="6" w:space="0" w:color="000000"/>
              <w:bottom w:val="single" w:sz="6" w:space="0" w:color="000000"/>
              <w:right w:val="single" w:sz="6" w:space="0" w:color="000000"/>
            </w:tcBorders>
            <w:vAlign w:val="center"/>
          </w:tcPr>
          <w:p w14:paraId="68DD32FB" w14:textId="77777777" w:rsidR="00180899" w:rsidRPr="0082221C" w:rsidRDefault="00180899" w:rsidP="00180899">
            <w:pPr>
              <w:pStyle w:val="ParagraphStyle4"/>
              <w:rPr>
                <w:rStyle w:val="CharacterStyle4"/>
              </w:rPr>
            </w:pPr>
            <w:r w:rsidRPr="0082221C">
              <w:rPr>
                <w:rStyle w:val="CharacterStyle4"/>
              </w:rPr>
              <w:t>GLAVA    00601</w:t>
            </w:r>
          </w:p>
        </w:tc>
        <w:tc>
          <w:tcPr>
            <w:tcW w:w="3675" w:type="dxa"/>
            <w:tcBorders>
              <w:bottom w:val="single" w:sz="6" w:space="0" w:color="000000"/>
              <w:right w:val="single" w:sz="6" w:space="0" w:color="000000"/>
            </w:tcBorders>
            <w:vAlign w:val="center"/>
          </w:tcPr>
          <w:p w14:paraId="08F9C631" w14:textId="77777777" w:rsidR="00180899" w:rsidRPr="0082221C" w:rsidRDefault="00180899" w:rsidP="00180899">
            <w:pPr>
              <w:pStyle w:val="ParagraphStyle5"/>
              <w:rPr>
                <w:rStyle w:val="CharacterStyle5"/>
              </w:rPr>
            </w:pPr>
            <w:r w:rsidRPr="0082221C">
              <w:rPr>
                <w:rStyle w:val="CharacterStyle5"/>
              </w:rPr>
              <w:t>UPRAVNI ODJEL ZA KOMUNALNO GOSPODARSTVO I IZGRADNJU</w:t>
            </w:r>
          </w:p>
        </w:tc>
        <w:tc>
          <w:tcPr>
            <w:tcW w:w="1920" w:type="dxa"/>
            <w:tcBorders>
              <w:bottom w:val="single" w:sz="6" w:space="0" w:color="000000"/>
              <w:right w:val="single" w:sz="6" w:space="0" w:color="000000"/>
            </w:tcBorders>
            <w:vAlign w:val="center"/>
          </w:tcPr>
          <w:p w14:paraId="7134F4B4" w14:textId="77777777" w:rsidR="00180899" w:rsidRPr="0082221C" w:rsidRDefault="00180899" w:rsidP="00180899">
            <w:pPr>
              <w:pStyle w:val="ParagraphStyle6"/>
              <w:rPr>
                <w:rStyle w:val="CharacterStyle6"/>
              </w:rPr>
            </w:pPr>
            <w:r w:rsidRPr="0082221C">
              <w:rPr>
                <w:rStyle w:val="CharacterStyle6"/>
              </w:rPr>
              <w:t>12.675.059,84</w:t>
            </w:r>
          </w:p>
        </w:tc>
        <w:tc>
          <w:tcPr>
            <w:tcW w:w="1935" w:type="dxa"/>
            <w:tcBorders>
              <w:bottom w:val="single" w:sz="6" w:space="0" w:color="000000"/>
              <w:right w:val="single" w:sz="6" w:space="0" w:color="000000"/>
            </w:tcBorders>
            <w:vAlign w:val="center"/>
          </w:tcPr>
          <w:p w14:paraId="179C925B" w14:textId="77777777" w:rsidR="00180899" w:rsidRPr="0082221C" w:rsidRDefault="00180899" w:rsidP="00180899">
            <w:pPr>
              <w:pStyle w:val="ParagraphStyle6"/>
              <w:rPr>
                <w:rStyle w:val="CharacterStyle6"/>
              </w:rPr>
            </w:pPr>
            <w:r w:rsidRPr="0082221C">
              <w:rPr>
                <w:rStyle w:val="CharacterStyle6"/>
              </w:rPr>
              <w:t>27.083.064,00</w:t>
            </w:r>
          </w:p>
        </w:tc>
        <w:tc>
          <w:tcPr>
            <w:tcW w:w="1935" w:type="dxa"/>
            <w:tcBorders>
              <w:bottom w:val="single" w:sz="6" w:space="0" w:color="000000"/>
              <w:right w:val="single" w:sz="6" w:space="0" w:color="000000"/>
            </w:tcBorders>
            <w:vAlign w:val="center"/>
          </w:tcPr>
          <w:p w14:paraId="6CA7755D" w14:textId="77777777" w:rsidR="00180899" w:rsidRDefault="00180899" w:rsidP="00180899">
            <w:pPr>
              <w:pStyle w:val="ParagraphStyle6"/>
              <w:rPr>
                <w:rStyle w:val="CharacterStyle6"/>
              </w:rPr>
            </w:pPr>
            <w:r>
              <w:rPr>
                <w:rStyle w:val="CharacterStyle6"/>
              </w:rPr>
              <w:t>23.419.335,00</w:t>
            </w:r>
          </w:p>
        </w:tc>
        <w:tc>
          <w:tcPr>
            <w:tcW w:w="1935" w:type="dxa"/>
            <w:tcBorders>
              <w:bottom w:val="single" w:sz="6" w:space="0" w:color="000000"/>
              <w:right w:val="single" w:sz="6" w:space="0" w:color="000000"/>
            </w:tcBorders>
            <w:vAlign w:val="center"/>
          </w:tcPr>
          <w:p w14:paraId="6F4E557C" w14:textId="77777777" w:rsidR="00180899" w:rsidRDefault="00180899" w:rsidP="00180899">
            <w:pPr>
              <w:pStyle w:val="ParagraphStyle6"/>
              <w:rPr>
                <w:rStyle w:val="CharacterStyle6"/>
              </w:rPr>
            </w:pPr>
            <w:r>
              <w:rPr>
                <w:rStyle w:val="CharacterStyle6"/>
              </w:rPr>
              <w:t>6.772.530,00</w:t>
            </w:r>
          </w:p>
        </w:tc>
        <w:tc>
          <w:tcPr>
            <w:tcW w:w="1935" w:type="dxa"/>
            <w:tcBorders>
              <w:bottom w:val="single" w:sz="6" w:space="0" w:color="000000"/>
              <w:right w:val="single" w:sz="6" w:space="0" w:color="000000"/>
            </w:tcBorders>
            <w:vAlign w:val="center"/>
          </w:tcPr>
          <w:p w14:paraId="2B327B0C" w14:textId="77777777" w:rsidR="00180899" w:rsidRDefault="00180899" w:rsidP="00180899">
            <w:pPr>
              <w:pStyle w:val="ParagraphStyle6"/>
              <w:rPr>
                <w:rStyle w:val="CharacterStyle6"/>
              </w:rPr>
            </w:pPr>
            <w:r>
              <w:rPr>
                <w:rStyle w:val="CharacterStyle6"/>
              </w:rPr>
              <w:t>6.153.280,00</w:t>
            </w:r>
          </w:p>
        </w:tc>
      </w:tr>
      <w:tr w:rsidR="00180899" w14:paraId="50081626" w14:textId="77777777" w:rsidTr="0082221C">
        <w:trPr>
          <w:trHeight w:val="420"/>
        </w:trPr>
        <w:tc>
          <w:tcPr>
            <w:tcW w:w="1515" w:type="dxa"/>
            <w:tcBorders>
              <w:left w:val="single" w:sz="6" w:space="0" w:color="000000"/>
              <w:bottom w:val="single" w:sz="6" w:space="0" w:color="000000"/>
              <w:right w:val="single" w:sz="6" w:space="0" w:color="000000"/>
            </w:tcBorders>
            <w:vAlign w:val="center"/>
          </w:tcPr>
          <w:p w14:paraId="0D1DFE00" w14:textId="77777777" w:rsidR="00180899" w:rsidRPr="0082221C" w:rsidRDefault="00180899" w:rsidP="00180899">
            <w:pPr>
              <w:pStyle w:val="ParagraphStyle4"/>
              <w:rPr>
                <w:rStyle w:val="CharacterStyle4"/>
              </w:rPr>
            </w:pPr>
            <w:r w:rsidRPr="0082221C">
              <w:rPr>
                <w:rStyle w:val="CharacterStyle4"/>
              </w:rPr>
              <w:t>RAZDJEL    007</w:t>
            </w:r>
          </w:p>
        </w:tc>
        <w:tc>
          <w:tcPr>
            <w:tcW w:w="3675" w:type="dxa"/>
            <w:tcBorders>
              <w:bottom w:val="single" w:sz="6" w:space="0" w:color="000000"/>
              <w:right w:val="single" w:sz="6" w:space="0" w:color="000000"/>
            </w:tcBorders>
            <w:vAlign w:val="center"/>
          </w:tcPr>
          <w:p w14:paraId="52A601B8" w14:textId="77777777" w:rsidR="00180899" w:rsidRPr="0082221C" w:rsidRDefault="00180899" w:rsidP="00180899">
            <w:pPr>
              <w:pStyle w:val="ParagraphStyle5"/>
              <w:rPr>
                <w:rStyle w:val="CharacterStyle5"/>
              </w:rPr>
            </w:pPr>
            <w:r w:rsidRPr="0082221C">
              <w:rPr>
                <w:rStyle w:val="CharacterStyle5"/>
              </w:rPr>
              <w:t>R - UPRAVNI ODJEL ZA DRUŠTVENE DJELATNOSTI</w:t>
            </w:r>
          </w:p>
        </w:tc>
        <w:tc>
          <w:tcPr>
            <w:tcW w:w="1920" w:type="dxa"/>
            <w:tcBorders>
              <w:bottom w:val="single" w:sz="6" w:space="0" w:color="000000"/>
              <w:right w:val="single" w:sz="6" w:space="0" w:color="000000"/>
            </w:tcBorders>
            <w:vAlign w:val="center"/>
          </w:tcPr>
          <w:p w14:paraId="459CC0C4" w14:textId="77777777" w:rsidR="00180899" w:rsidRPr="0082221C" w:rsidRDefault="00180899" w:rsidP="00180899">
            <w:pPr>
              <w:pStyle w:val="ParagraphStyle6"/>
              <w:rPr>
                <w:rStyle w:val="CharacterStyle6"/>
              </w:rPr>
            </w:pPr>
            <w:r w:rsidRPr="0082221C">
              <w:rPr>
                <w:rStyle w:val="CharacterStyle6"/>
              </w:rPr>
              <w:t>18.474.259,44</w:t>
            </w:r>
          </w:p>
        </w:tc>
        <w:tc>
          <w:tcPr>
            <w:tcW w:w="1935" w:type="dxa"/>
            <w:tcBorders>
              <w:bottom w:val="single" w:sz="6" w:space="0" w:color="000000"/>
              <w:right w:val="single" w:sz="6" w:space="0" w:color="000000"/>
            </w:tcBorders>
            <w:vAlign w:val="center"/>
          </w:tcPr>
          <w:p w14:paraId="299BFFA3" w14:textId="77777777" w:rsidR="00180899" w:rsidRPr="0082221C" w:rsidRDefault="00180899" w:rsidP="00180899">
            <w:pPr>
              <w:pStyle w:val="ParagraphStyle6"/>
              <w:rPr>
                <w:rStyle w:val="CharacterStyle6"/>
              </w:rPr>
            </w:pPr>
            <w:r w:rsidRPr="0082221C">
              <w:rPr>
                <w:rStyle w:val="CharacterStyle6"/>
              </w:rPr>
              <w:t>24.619.395,00</w:t>
            </w:r>
          </w:p>
        </w:tc>
        <w:tc>
          <w:tcPr>
            <w:tcW w:w="1935" w:type="dxa"/>
            <w:tcBorders>
              <w:bottom w:val="single" w:sz="6" w:space="0" w:color="000000"/>
              <w:right w:val="single" w:sz="6" w:space="0" w:color="000000"/>
            </w:tcBorders>
            <w:vAlign w:val="center"/>
          </w:tcPr>
          <w:p w14:paraId="60AAE149" w14:textId="77777777" w:rsidR="00180899" w:rsidRDefault="00180899" w:rsidP="00180899">
            <w:pPr>
              <w:pStyle w:val="ParagraphStyle6"/>
              <w:rPr>
                <w:rStyle w:val="CharacterStyle6"/>
              </w:rPr>
            </w:pPr>
            <w:r>
              <w:rPr>
                <w:rStyle w:val="CharacterStyle6"/>
              </w:rPr>
              <w:t>24.717.930,00</w:t>
            </w:r>
          </w:p>
        </w:tc>
        <w:tc>
          <w:tcPr>
            <w:tcW w:w="1935" w:type="dxa"/>
            <w:tcBorders>
              <w:bottom w:val="single" w:sz="6" w:space="0" w:color="000000"/>
              <w:right w:val="single" w:sz="6" w:space="0" w:color="000000"/>
            </w:tcBorders>
            <w:vAlign w:val="center"/>
          </w:tcPr>
          <w:p w14:paraId="16919BE4" w14:textId="77777777" w:rsidR="00180899" w:rsidRDefault="00180899" w:rsidP="00180899">
            <w:pPr>
              <w:pStyle w:val="ParagraphStyle6"/>
              <w:rPr>
                <w:rStyle w:val="CharacterStyle6"/>
              </w:rPr>
            </w:pPr>
            <w:r>
              <w:rPr>
                <w:rStyle w:val="CharacterStyle6"/>
              </w:rPr>
              <w:t>24.958.096,14</w:t>
            </w:r>
          </w:p>
        </w:tc>
        <w:tc>
          <w:tcPr>
            <w:tcW w:w="1935" w:type="dxa"/>
            <w:tcBorders>
              <w:bottom w:val="single" w:sz="6" w:space="0" w:color="000000"/>
              <w:right w:val="single" w:sz="6" w:space="0" w:color="000000"/>
            </w:tcBorders>
            <w:vAlign w:val="center"/>
          </w:tcPr>
          <w:p w14:paraId="6B1642A8" w14:textId="77777777" w:rsidR="00180899" w:rsidRDefault="00180899" w:rsidP="00180899">
            <w:pPr>
              <w:pStyle w:val="ParagraphStyle6"/>
              <w:rPr>
                <w:rStyle w:val="CharacterStyle6"/>
              </w:rPr>
            </w:pPr>
            <w:r>
              <w:rPr>
                <w:rStyle w:val="CharacterStyle6"/>
              </w:rPr>
              <w:t>25.275.474,22</w:t>
            </w:r>
          </w:p>
        </w:tc>
      </w:tr>
      <w:tr w:rsidR="00180899" w14:paraId="2D3DD2B7" w14:textId="77777777" w:rsidTr="0082221C">
        <w:trPr>
          <w:trHeight w:val="405"/>
        </w:trPr>
        <w:tc>
          <w:tcPr>
            <w:tcW w:w="1515" w:type="dxa"/>
            <w:tcBorders>
              <w:left w:val="single" w:sz="6" w:space="0" w:color="000000"/>
              <w:bottom w:val="single" w:sz="6" w:space="0" w:color="000000"/>
              <w:right w:val="single" w:sz="6" w:space="0" w:color="000000"/>
            </w:tcBorders>
            <w:vAlign w:val="center"/>
          </w:tcPr>
          <w:p w14:paraId="61469807" w14:textId="77777777" w:rsidR="00180899" w:rsidRPr="0082221C" w:rsidRDefault="00180899" w:rsidP="00180899">
            <w:pPr>
              <w:pStyle w:val="ParagraphStyle4"/>
              <w:rPr>
                <w:rStyle w:val="CharacterStyle4"/>
              </w:rPr>
            </w:pPr>
            <w:r w:rsidRPr="0082221C">
              <w:rPr>
                <w:rStyle w:val="CharacterStyle4"/>
              </w:rPr>
              <w:t>GLAVA    00701</w:t>
            </w:r>
          </w:p>
        </w:tc>
        <w:tc>
          <w:tcPr>
            <w:tcW w:w="3675" w:type="dxa"/>
            <w:tcBorders>
              <w:bottom w:val="single" w:sz="6" w:space="0" w:color="000000"/>
              <w:right w:val="single" w:sz="6" w:space="0" w:color="000000"/>
            </w:tcBorders>
            <w:vAlign w:val="center"/>
          </w:tcPr>
          <w:p w14:paraId="6C4337C8" w14:textId="77777777" w:rsidR="00180899" w:rsidRPr="0082221C" w:rsidRDefault="00180899" w:rsidP="00180899">
            <w:pPr>
              <w:pStyle w:val="ParagraphStyle5"/>
              <w:rPr>
                <w:rStyle w:val="CharacterStyle5"/>
              </w:rPr>
            </w:pPr>
            <w:r w:rsidRPr="0082221C">
              <w:rPr>
                <w:rStyle w:val="CharacterStyle5"/>
              </w:rPr>
              <w:t>UPRAVNI ODJEL ZA DRUŠTVENE DJELATNOSTI</w:t>
            </w:r>
          </w:p>
        </w:tc>
        <w:tc>
          <w:tcPr>
            <w:tcW w:w="1920" w:type="dxa"/>
            <w:tcBorders>
              <w:bottom w:val="single" w:sz="6" w:space="0" w:color="000000"/>
              <w:right w:val="single" w:sz="6" w:space="0" w:color="000000"/>
            </w:tcBorders>
            <w:vAlign w:val="center"/>
          </w:tcPr>
          <w:p w14:paraId="69BFDB6E" w14:textId="77777777" w:rsidR="00180899" w:rsidRPr="0082221C" w:rsidRDefault="00180899" w:rsidP="00180899">
            <w:pPr>
              <w:pStyle w:val="ParagraphStyle6"/>
              <w:rPr>
                <w:rStyle w:val="CharacterStyle6"/>
              </w:rPr>
            </w:pPr>
            <w:r w:rsidRPr="0082221C">
              <w:rPr>
                <w:rStyle w:val="CharacterStyle6"/>
              </w:rPr>
              <w:t>4.586.316,20</w:t>
            </w:r>
          </w:p>
        </w:tc>
        <w:tc>
          <w:tcPr>
            <w:tcW w:w="1935" w:type="dxa"/>
            <w:tcBorders>
              <w:bottom w:val="single" w:sz="6" w:space="0" w:color="000000"/>
              <w:right w:val="single" w:sz="6" w:space="0" w:color="000000"/>
            </w:tcBorders>
            <w:vAlign w:val="center"/>
          </w:tcPr>
          <w:p w14:paraId="0051FAD5" w14:textId="77777777" w:rsidR="00180899" w:rsidRPr="0082221C" w:rsidRDefault="00180899" w:rsidP="00180899">
            <w:pPr>
              <w:pStyle w:val="ParagraphStyle6"/>
              <w:rPr>
                <w:rStyle w:val="CharacterStyle6"/>
              </w:rPr>
            </w:pPr>
            <w:r w:rsidRPr="0082221C">
              <w:rPr>
                <w:rStyle w:val="CharacterStyle6"/>
              </w:rPr>
              <w:t>5.371.154,50</w:t>
            </w:r>
          </w:p>
        </w:tc>
        <w:tc>
          <w:tcPr>
            <w:tcW w:w="1935" w:type="dxa"/>
            <w:tcBorders>
              <w:bottom w:val="single" w:sz="6" w:space="0" w:color="000000"/>
              <w:right w:val="single" w:sz="6" w:space="0" w:color="000000"/>
            </w:tcBorders>
            <w:vAlign w:val="center"/>
          </w:tcPr>
          <w:p w14:paraId="6410781F" w14:textId="77777777" w:rsidR="00180899" w:rsidRDefault="00180899" w:rsidP="00180899">
            <w:pPr>
              <w:pStyle w:val="ParagraphStyle6"/>
              <w:rPr>
                <w:rStyle w:val="CharacterStyle6"/>
              </w:rPr>
            </w:pPr>
            <w:r>
              <w:rPr>
                <w:rStyle w:val="CharacterStyle6"/>
              </w:rPr>
              <w:t>5.441.864,87</w:t>
            </w:r>
          </w:p>
        </w:tc>
        <w:tc>
          <w:tcPr>
            <w:tcW w:w="1935" w:type="dxa"/>
            <w:tcBorders>
              <w:bottom w:val="single" w:sz="6" w:space="0" w:color="000000"/>
              <w:right w:val="single" w:sz="6" w:space="0" w:color="000000"/>
            </w:tcBorders>
            <w:vAlign w:val="center"/>
          </w:tcPr>
          <w:p w14:paraId="66DD26AF" w14:textId="77777777" w:rsidR="00180899" w:rsidRDefault="00180899" w:rsidP="00180899">
            <w:pPr>
              <w:pStyle w:val="ParagraphStyle6"/>
              <w:rPr>
                <w:rStyle w:val="CharacterStyle6"/>
              </w:rPr>
            </w:pPr>
            <w:r>
              <w:rPr>
                <w:rStyle w:val="CharacterStyle6"/>
              </w:rPr>
              <w:t>5.245.795,00</w:t>
            </w:r>
          </w:p>
        </w:tc>
        <w:tc>
          <w:tcPr>
            <w:tcW w:w="1935" w:type="dxa"/>
            <w:tcBorders>
              <w:bottom w:val="single" w:sz="6" w:space="0" w:color="000000"/>
              <w:right w:val="single" w:sz="6" w:space="0" w:color="000000"/>
            </w:tcBorders>
            <w:vAlign w:val="center"/>
          </w:tcPr>
          <w:p w14:paraId="4D22059A" w14:textId="77777777" w:rsidR="00180899" w:rsidRDefault="00180899" w:rsidP="00180899">
            <w:pPr>
              <w:pStyle w:val="ParagraphStyle6"/>
              <w:rPr>
                <w:rStyle w:val="CharacterStyle6"/>
              </w:rPr>
            </w:pPr>
            <w:r>
              <w:rPr>
                <w:rStyle w:val="CharacterStyle6"/>
              </w:rPr>
              <w:t>5.349.079,00</w:t>
            </w:r>
          </w:p>
        </w:tc>
      </w:tr>
      <w:tr w:rsidR="00180899" w14:paraId="76411F34" w14:textId="77777777" w:rsidTr="0082221C">
        <w:trPr>
          <w:trHeight w:val="360"/>
        </w:trPr>
        <w:tc>
          <w:tcPr>
            <w:tcW w:w="1515" w:type="dxa"/>
            <w:tcBorders>
              <w:left w:val="single" w:sz="6" w:space="0" w:color="000000"/>
              <w:bottom w:val="single" w:sz="6" w:space="0" w:color="000000"/>
              <w:right w:val="single" w:sz="6" w:space="0" w:color="000000"/>
            </w:tcBorders>
            <w:vAlign w:val="center"/>
          </w:tcPr>
          <w:p w14:paraId="37C9944B" w14:textId="77777777" w:rsidR="00180899" w:rsidRPr="0082221C" w:rsidRDefault="00180899" w:rsidP="00180899">
            <w:pPr>
              <w:pStyle w:val="ParagraphStyle4"/>
              <w:rPr>
                <w:rStyle w:val="CharacterStyle4"/>
              </w:rPr>
            </w:pPr>
            <w:r w:rsidRPr="0082221C">
              <w:rPr>
                <w:rStyle w:val="CharacterStyle4"/>
              </w:rPr>
              <w:t>GLAVA    00702</w:t>
            </w:r>
          </w:p>
        </w:tc>
        <w:tc>
          <w:tcPr>
            <w:tcW w:w="3675" w:type="dxa"/>
            <w:tcBorders>
              <w:bottom w:val="single" w:sz="6" w:space="0" w:color="000000"/>
              <w:right w:val="single" w:sz="6" w:space="0" w:color="000000"/>
            </w:tcBorders>
            <w:vAlign w:val="center"/>
          </w:tcPr>
          <w:p w14:paraId="4B4AC49B" w14:textId="77777777" w:rsidR="00180899" w:rsidRPr="0082221C" w:rsidRDefault="00180899" w:rsidP="00180899">
            <w:pPr>
              <w:pStyle w:val="ParagraphStyle5"/>
              <w:rPr>
                <w:rStyle w:val="CharacterStyle5"/>
              </w:rPr>
            </w:pPr>
            <w:r w:rsidRPr="0082221C">
              <w:rPr>
                <w:rStyle w:val="CharacterStyle5"/>
              </w:rPr>
              <w:t>DJEČJI VRTIĆI</w:t>
            </w:r>
          </w:p>
        </w:tc>
        <w:tc>
          <w:tcPr>
            <w:tcW w:w="1920" w:type="dxa"/>
            <w:tcBorders>
              <w:bottom w:val="single" w:sz="6" w:space="0" w:color="000000"/>
              <w:right w:val="single" w:sz="6" w:space="0" w:color="000000"/>
            </w:tcBorders>
            <w:vAlign w:val="center"/>
          </w:tcPr>
          <w:p w14:paraId="0E655377" w14:textId="77777777" w:rsidR="00180899" w:rsidRPr="0082221C" w:rsidRDefault="00180899" w:rsidP="00180899">
            <w:pPr>
              <w:pStyle w:val="ParagraphStyle6"/>
              <w:rPr>
                <w:rStyle w:val="CharacterStyle6"/>
              </w:rPr>
            </w:pPr>
            <w:r w:rsidRPr="0082221C">
              <w:rPr>
                <w:rStyle w:val="CharacterStyle6"/>
              </w:rPr>
              <w:t>4.216.697,28</w:t>
            </w:r>
          </w:p>
        </w:tc>
        <w:tc>
          <w:tcPr>
            <w:tcW w:w="1935" w:type="dxa"/>
            <w:tcBorders>
              <w:bottom w:val="single" w:sz="6" w:space="0" w:color="000000"/>
              <w:right w:val="single" w:sz="6" w:space="0" w:color="000000"/>
            </w:tcBorders>
            <w:vAlign w:val="center"/>
          </w:tcPr>
          <w:p w14:paraId="603FB7F2" w14:textId="77777777" w:rsidR="00180899" w:rsidRPr="0082221C" w:rsidRDefault="00180899" w:rsidP="00180899">
            <w:pPr>
              <w:pStyle w:val="ParagraphStyle6"/>
              <w:rPr>
                <w:rStyle w:val="CharacterStyle6"/>
              </w:rPr>
            </w:pPr>
            <w:r w:rsidRPr="0082221C">
              <w:rPr>
                <w:rStyle w:val="CharacterStyle6"/>
              </w:rPr>
              <w:t>6.403.786,00</w:t>
            </w:r>
          </w:p>
        </w:tc>
        <w:tc>
          <w:tcPr>
            <w:tcW w:w="1935" w:type="dxa"/>
            <w:tcBorders>
              <w:bottom w:val="single" w:sz="6" w:space="0" w:color="000000"/>
              <w:right w:val="single" w:sz="6" w:space="0" w:color="000000"/>
            </w:tcBorders>
            <w:vAlign w:val="center"/>
          </w:tcPr>
          <w:p w14:paraId="0780B634" w14:textId="77777777" w:rsidR="00180899" w:rsidRDefault="00180899" w:rsidP="00180899">
            <w:pPr>
              <w:pStyle w:val="ParagraphStyle6"/>
              <w:rPr>
                <w:rStyle w:val="CharacterStyle6"/>
              </w:rPr>
            </w:pPr>
            <w:r>
              <w:rPr>
                <w:rStyle w:val="CharacterStyle6"/>
              </w:rPr>
              <w:t>6.563.005,00</w:t>
            </w:r>
          </w:p>
        </w:tc>
        <w:tc>
          <w:tcPr>
            <w:tcW w:w="1935" w:type="dxa"/>
            <w:tcBorders>
              <w:bottom w:val="single" w:sz="6" w:space="0" w:color="000000"/>
              <w:right w:val="single" w:sz="6" w:space="0" w:color="000000"/>
            </w:tcBorders>
            <w:vAlign w:val="center"/>
          </w:tcPr>
          <w:p w14:paraId="6FDAA2F5" w14:textId="77777777" w:rsidR="00180899" w:rsidRDefault="00180899" w:rsidP="00180899">
            <w:pPr>
              <w:pStyle w:val="ParagraphStyle6"/>
              <w:rPr>
                <w:rStyle w:val="CharacterStyle6"/>
              </w:rPr>
            </w:pPr>
            <w:r>
              <w:rPr>
                <w:rStyle w:val="CharacterStyle6"/>
              </w:rPr>
              <w:t>6.772.910,00</w:t>
            </w:r>
          </w:p>
        </w:tc>
        <w:tc>
          <w:tcPr>
            <w:tcW w:w="1935" w:type="dxa"/>
            <w:tcBorders>
              <w:bottom w:val="single" w:sz="6" w:space="0" w:color="000000"/>
              <w:right w:val="single" w:sz="6" w:space="0" w:color="000000"/>
            </w:tcBorders>
            <w:vAlign w:val="center"/>
          </w:tcPr>
          <w:p w14:paraId="31AA8871" w14:textId="77777777" w:rsidR="00180899" w:rsidRDefault="00180899" w:rsidP="00180899">
            <w:pPr>
              <w:pStyle w:val="ParagraphStyle6"/>
              <w:rPr>
                <w:rStyle w:val="CharacterStyle6"/>
              </w:rPr>
            </w:pPr>
            <w:r>
              <w:rPr>
                <w:rStyle w:val="CharacterStyle6"/>
              </w:rPr>
              <w:t>6.841.266,00</w:t>
            </w:r>
          </w:p>
        </w:tc>
      </w:tr>
      <w:tr w:rsidR="00180899" w14:paraId="6A148BD6" w14:textId="77777777" w:rsidTr="0082221C">
        <w:trPr>
          <w:trHeight w:val="360"/>
        </w:trPr>
        <w:tc>
          <w:tcPr>
            <w:tcW w:w="1515" w:type="dxa"/>
            <w:tcBorders>
              <w:left w:val="single" w:sz="6" w:space="0" w:color="000000"/>
              <w:bottom w:val="single" w:sz="6" w:space="0" w:color="000000"/>
              <w:right w:val="single" w:sz="6" w:space="0" w:color="000000"/>
            </w:tcBorders>
            <w:vAlign w:val="center"/>
          </w:tcPr>
          <w:p w14:paraId="3B570B06" w14:textId="77777777" w:rsidR="00180899" w:rsidRPr="0082221C" w:rsidRDefault="00180899" w:rsidP="00180899">
            <w:pPr>
              <w:pStyle w:val="ParagraphStyle4"/>
              <w:rPr>
                <w:rStyle w:val="CharacterStyle4"/>
              </w:rPr>
            </w:pPr>
            <w:r w:rsidRPr="0082221C">
              <w:rPr>
                <w:rStyle w:val="CharacterStyle4"/>
              </w:rPr>
              <w:t>GLAVA    00703</w:t>
            </w:r>
          </w:p>
        </w:tc>
        <w:tc>
          <w:tcPr>
            <w:tcW w:w="3675" w:type="dxa"/>
            <w:tcBorders>
              <w:bottom w:val="single" w:sz="6" w:space="0" w:color="000000"/>
              <w:right w:val="single" w:sz="6" w:space="0" w:color="000000"/>
            </w:tcBorders>
            <w:vAlign w:val="center"/>
          </w:tcPr>
          <w:p w14:paraId="154EA5D9" w14:textId="77777777" w:rsidR="00180899" w:rsidRPr="0082221C" w:rsidRDefault="00180899" w:rsidP="00180899">
            <w:pPr>
              <w:pStyle w:val="ParagraphStyle5"/>
              <w:rPr>
                <w:rStyle w:val="CharacterStyle5"/>
              </w:rPr>
            </w:pPr>
            <w:r w:rsidRPr="0082221C">
              <w:rPr>
                <w:rStyle w:val="CharacterStyle5"/>
              </w:rPr>
              <w:t>OSNOVNE ŠKOLE</w:t>
            </w:r>
          </w:p>
        </w:tc>
        <w:tc>
          <w:tcPr>
            <w:tcW w:w="1920" w:type="dxa"/>
            <w:tcBorders>
              <w:bottom w:val="single" w:sz="6" w:space="0" w:color="000000"/>
              <w:right w:val="single" w:sz="6" w:space="0" w:color="000000"/>
            </w:tcBorders>
            <w:vAlign w:val="center"/>
          </w:tcPr>
          <w:p w14:paraId="053D1FF2" w14:textId="77777777" w:rsidR="00180899" w:rsidRPr="0082221C" w:rsidRDefault="00180899" w:rsidP="00180899">
            <w:pPr>
              <w:pStyle w:val="ParagraphStyle6"/>
              <w:rPr>
                <w:rStyle w:val="CharacterStyle6"/>
              </w:rPr>
            </w:pPr>
            <w:r w:rsidRPr="0082221C">
              <w:rPr>
                <w:rStyle w:val="CharacterStyle6"/>
              </w:rPr>
              <w:t>6.477.811,10</w:t>
            </w:r>
          </w:p>
        </w:tc>
        <w:tc>
          <w:tcPr>
            <w:tcW w:w="1935" w:type="dxa"/>
            <w:tcBorders>
              <w:bottom w:val="single" w:sz="6" w:space="0" w:color="000000"/>
              <w:right w:val="single" w:sz="6" w:space="0" w:color="000000"/>
            </w:tcBorders>
            <w:vAlign w:val="center"/>
          </w:tcPr>
          <w:p w14:paraId="14FF3D8A" w14:textId="77777777" w:rsidR="00180899" w:rsidRPr="0082221C" w:rsidRDefault="00180899" w:rsidP="00180899">
            <w:pPr>
              <w:pStyle w:val="ParagraphStyle6"/>
              <w:rPr>
                <w:rStyle w:val="CharacterStyle6"/>
              </w:rPr>
            </w:pPr>
            <w:r w:rsidRPr="0082221C">
              <w:rPr>
                <w:rStyle w:val="CharacterStyle6"/>
              </w:rPr>
              <w:t>7.843.768,50</w:t>
            </w:r>
          </w:p>
        </w:tc>
        <w:tc>
          <w:tcPr>
            <w:tcW w:w="1935" w:type="dxa"/>
            <w:tcBorders>
              <w:bottom w:val="single" w:sz="6" w:space="0" w:color="000000"/>
              <w:right w:val="single" w:sz="6" w:space="0" w:color="000000"/>
            </w:tcBorders>
            <w:vAlign w:val="center"/>
          </w:tcPr>
          <w:p w14:paraId="1EE89A92" w14:textId="77777777" w:rsidR="00180899" w:rsidRDefault="00180899" w:rsidP="00180899">
            <w:pPr>
              <w:pStyle w:val="ParagraphStyle6"/>
              <w:rPr>
                <w:rStyle w:val="CharacterStyle6"/>
              </w:rPr>
            </w:pPr>
            <w:r>
              <w:rPr>
                <w:rStyle w:val="CharacterStyle6"/>
              </w:rPr>
              <w:t>7.609.145,00</w:t>
            </w:r>
          </w:p>
        </w:tc>
        <w:tc>
          <w:tcPr>
            <w:tcW w:w="1935" w:type="dxa"/>
            <w:tcBorders>
              <w:bottom w:val="single" w:sz="6" w:space="0" w:color="000000"/>
              <w:right w:val="single" w:sz="6" w:space="0" w:color="000000"/>
            </w:tcBorders>
            <w:vAlign w:val="center"/>
          </w:tcPr>
          <w:p w14:paraId="5C7E98CC" w14:textId="77777777" w:rsidR="00180899" w:rsidRDefault="00180899" w:rsidP="00180899">
            <w:pPr>
              <w:pStyle w:val="ParagraphStyle6"/>
              <w:rPr>
                <w:rStyle w:val="CharacterStyle6"/>
              </w:rPr>
            </w:pPr>
            <w:r>
              <w:rPr>
                <w:rStyle w:val="CharacterStyle6"/>
              </w:rPr>
              <w:t>7.745.822,77</w:t>
            </w:r>
          </w:p>
        </w:tc>
        <w:tc>
          <w:tcPr>
            <w:tcW w:w="1935" w:type="dxa"/>
            <w:tcBorders>
              <w:bottom w:val="single" w:sz="6" w:space="0" w:color="000000"/>
              <w:right w:val="single" w:sz="6" w:space="0" w:color="000000"/>
            </w:tcBorders>
            <w:vAlign w:val="center"/>
          </w:tcPr>
          <w:p w14:paraId="7FB8A811" w14:textId="77777777" w:rsidR="00180899" w:rsidRDefault="00180899" w:rsidP="00180899">
            <w:pPr>
              <w:pStyle w:val="ParagraphStyle6"/>
              <w:rPr>
                <w:rStyle w:val="CharacterStyle6"/>
              </w:rPr>
            </w:pPr>
            <w:r>
              <w:rPr>
                <w:rStyle w:val="CharacterStyle6"/>
              </w:rPr>
              <w:t>7.822.356,85</w:t>
            </w:r>
          </w:p>
        </w:tc>
      </w:tr>
      <w:tr w:rsidR="00180899" w:rsidRPr="0082221C" w14:paraId="48984566" w14:textId="77777777" w:rsidTr="00180899">
        <w:trPr>
          <w:trHeight w:val="360"/>
        </w:trPr>
        <w:tc>
          <w:tcPr>
            <w:tcW w:w="1515" w:type="dxa"/>
            <w:tcBorders>
              <w:left w:val="single" w:sz="6" w:space="0" w:color="000000"/>
              <w:bottom w:val="single" w:sz="6" w:space="0" w:color="000000"/>
              <w:right w:val="single" w:sz="6" w:space="0" w:color="000000"/>
            </w:tcBorders>
            <w:vAlign w:val="center"/>
          </w:tcPr>
          <w:p w14:paraId="31456DBB" w14:textId="77777777" w:rsidR="00180899" w:rsidRPr="0082221C" w:rsidRDefault="00180899" w:rsidP="00180899">
            <w:pPr>
              <w:pStyle w:val="ParagraphStyle4"/>
              <w:rPr>
                <w:rStyle w:val="CharacterStyle4"/>
              </w:rPr>
            </w:pPr>
            <w:r w:rsidRPr="0082221C">
              <w:rPr>
                <w:rStyle w:val="CharacterStyle4"/>
              </w:rPr>
              <w:lastRenderedPageBreak/>
              <w:t>GLAVA    00704</w:t>
            </w:r>
          </w:p>
        </w:tc>
        <w:tc>
          <w:tcPr>
            <w:tcW w:w="3675" w:type="dxa"/>
            <w:tcBorders>
              <w:bottom w:val="single" w:sz="6" w:space="0" w:color="000000"/>
              <w:right w:val="single" w:sz="6" w:space="0" w:color="000000"/>
            </w:tcBorders>
            <w:vAlign w:val="center"/>
          </w:tcPr>
          <w:p w14:paraId="4F8F625E" w14:textId="77777777" w:rsidR="00180899" w:rsidRPr="0082221C" w:rsidRDefault="00180899" w:rsidP="00180899">
            <w:pPr>
              <w:pStyle w:val="ParagraphStyle5"/>
              <w:rPr>
                <w:rStyle w:val="CharacterStyle5"/>
              </w:rPr>
            </w:pPr>
            <w:r w:rsidRPr="0082221C">
              <w:rPr>
                <w:rStyle w:val="CharacterStyle5"/>
              </w:rPr>
              <w:t>USTANOVE U KULTURI</w:t>
            </w:r>
          </w:p>
        </w:tc>
        <w:tc>
          <w:tcPr>
            <w:tcW w:w="1920" w:type="dxa"/>
            <w:tcBorders>
              <w:bottom w:val="single" w:sz="6" w:space="0" w:color="000000"/>
              <w:right w:val="single" w:sz="6" w:space="0" w:color="000000"/>
            </w:tcBorders>
            <w:vAlign w:val="center"/>
          </w:tcPr>
          <w:p w14:paraId="4ABD9C45" w14:textId="77777777" w:rsidR="00180899" w:rsidRPr="0082221C" w:rsidRDefault="00180899" w:rsidP="00180899">
            <w:pPr>
              <w:pStyle w:val="ParagraphStyle6"/>
              <w:rPr>
                <w:rStyle w:val="CharacterStyle6"/>
              </w:rPr>
            </w:pPr>
            <w:r w:rsidRPr="0082221C">
              <w:rPr>
                <w:rStyle w:val="CharacterStyle6"/>
              </w:rPr>
              <w:t>1.444.766,98</w:t>
            </w:r>
          </w:p>
        </w:tc>
        <w:tc>
          <w:tcPr>
            <w:tcW w:w="1935" w:type="dxa"/>
            <w:tcBorders>
              <w:bottom w:val="single" w:sz="6" w:space="0" w:color="000000"/>
              <w:right w:val="single" w:sz="6" w:space="0" w:color="000000"/>
            </w:tcBorders>
            <w:vAlign w:val="center"/>
          </w:tcPr>
          <w:p w14:paraId="6720E106" w14:textId="77777777" w:rsidR="00180899" w:rsidRPr="0082221C" w:rsidRDefault="00180899" w:rsidP="00180899">
            <w:pPr>
              <w:pStyle w:val="ParagraphStyle6"/>
              <w:rPr>
                <w:rStyle w:val="CharacterStyle6"/>
              </w:rPr>
            </w:pPr>
            <w:r w:rsidRPr="0082221C">
              <w:rPr>
                <w:rStyle w:val="CharacterStyle6"/>
              </w:rPr>
              <w:t>2.359.325,00</w:t>
            </w:r>
          </w:p>
        </w:tc>
        <w:tc>
          <w:tcPr>
            <w:tcW w:w="1935" w:type="dxa"/>
            <w:tcBorders>
              <w:bottom w:val="single" w:sz="6" w:space="0" w:color="000000"/>
              <w:right w:val="single" w:sz="6" w:space="0" w:color="000000"/>
            </w:tcBorders>
            <w:vAlign w:val="center"/>
          </w:tcPr>
          <w:p w14:paraId="73659AD6" w14:textId="77777777" w:rsidR="00180899" w:rsidRDefault="00180899" w:rsidP="00180899">
            <w:pPr>
              <w:pStyle w:val="ParagraphStyle6"/>
              <w:rPr>
                <w:rStyle w:val="CharacterStyle6"/>
              </w:rPr>
            </w:pPr>
            <w:r>
              <w:rPr>
                <w:rStyle w:val="CharacterStyle6"/>
              </w:rPr>
              <w:t>2.421.906,00</w:t>
            </w:r>
          </w:p>
        </w:tc>
        <w:tc>
          <w:tcPr>
            <w:tcW w:w="1935" w:type="dxa"/>
            <w:tcBorders>
              <w:bottom w:val="single" w:sz="6" w:space="0" w:color="000000"/>
              <w:right w:val="single" w:sz="6" w:space="0" w:color="000000"/>
            </w:tcBorders>
            <w:vAlign w:val="center"/>
          </w:tcPr>
          <w:p w14:paraId="1BF20705" w14:textId="77777777" w:rsidR="00180899" w:rsidRDefault="00180899" w:rsidP="00180899">
            <w:pPr>
              <w:pStyle w:val="ParagraphStyle6"/>
              <w:rPr>
                <w:rStyle w:val="CharacterStyle6"/>
              </w:rPr>
            </w:pPr>
            <w:r>
              <w:rPr>
                <w:rStyle w:val="CharacterStyle6"/>
              </w:rPr>
              <w:t>2.427.991,00</w:t>
            </w:r>
          </w:p>
        </w:tc>
        <w:tc>
          <w:tcPr>
            <w:tcW w:w="1935" w:type="dxa"/>
            <w:tcBorders>
              <w:bottom w:val="single" w:sz="6" w:space="0" w:color="000000"/>
              <w:right w:val="single" w:sz="6" w:space="0" w:color="000000"/>
            </w:tcBorders>
            <w:vAlign w:val="center"/>
          </w:tcPr>
          <w:p w14:paraId="2F040749" w14:textId="77777777" w:rsidR="00180899" w:rsidRDefault="00180899" w:rsidP="00180899">
            <w:pPr>
              <w:pStyle w:val="ParagraphStyle6"/>
              <w:rPr>
                <w:rStyle w:val="CharacterStyle6"/>
              </w:rPr>
            </w:pPr>
            <w:r>
              <w:rPr>
                <w:rStyle w:val="CharacterStyle6"/>
              </w:rPr>
              <w:t>2.470.596,00</w:t>
            </w:r>
          </w:p>
        </w:tc>
      </w:tr>
      <w:tr w:rsidR="00180899" w:rsidRPr="0082221C" w14:paraId="298EE059" w14:textId="77777777" w:rsidTr="00180899">
        <w:trPr>
          <w:trHeight w:val="360"/>
        </w:trPr>
        <w:tc>
          <w:tcPr>
            <w:tcW w:w="1515" w:type="dxa"/>
            <w:tcBorders>
              <w:left w:val="single" w:sz="6" w:space="0" w:color="000000"/>
              <w:bottom w:val="single" w:sz="6" w:space="0" w:color="000000"/>
              <w:right w:val="single" w:sz="6" w:space="0" w:color="000000"/>
            </w:tcBorders>
            <w:vAlign w:val="center"/>
          </w:tcPr>
          <w:p w14:paraId="14AB37A5" w14:textId="77777777" w:rsidR="00180899" w:rsidRPr="0082221C" w:rsidRDefault="00180899" w:rsidP="00180899">
            <w:pPr>
              <w:pStyle w:val="ParagraphStyle4"/>
              <w:rPr>
                <w:rStyle w:val="CharacterStyle4"/>
              </w:rPr>
            </w:pPr>
            <w:r w:rsidRPr="0082221C">
              <w:rPr>
                <w:rStyle w:val="CharacterStyle4"/>
              </w:rPr>
              <w:t>GLAVA    00705</w:t>
            </w:r>
          </w:p>
        </w:tc>
        <w:tc>
          <w:tcPr>
            <w:tcW w:w="3675" w:type="dxa"/>
            <w:tcBorders>
              <w:bottom w:val="single" w:sz="6" w:space="0" w:color="000000"/>
              <w:right w:val="single" w:sz="6" w:space="0" w:color="000000"/>
            </w:tcBorders>
            <w:vAlign w:val="center"/>
          </w:tcPr>
          <w:p w14:paraId="07826367" w14:textId="77777777" w:rsidR="00180899" w:rsidRPr="0082221C" w:rsidRDefault="00180899" w:rsidP="00180899">
            <w:pPr>
              <w:pStyle w:val="ParagraphStyle5"/>
              <w:rPr>
                <w:rStyle w:val="CharacterStyle5"/>
              </w:rPr>
            </w:pPr>
            <w:r w:rsidRPr="0082221C">
              <w:rPr>
                <w:rStyle w:val="CharacterStyle5"/>
              </w:rPr>
              <w:t>ZAŠTITA I SPAŠAVANJE</w:t>
            </w:r>
          </w:p>
        </w:tc>
        <w:tc>
          <w:tcPr>
            <w:tcW w:w="1920" w:type="dxa"/>
            <w:tcBorders>
              <w:bottom w:val="single" w:sz="6" w:space="0" w:color="000000"/>
              <w:right w:val="single" w:sz="6" w:space="0" w:color="000000"/>
            </w:tcBorders>
            <w:vAlign w:val="center"/>
          </w:tcPr>
          <w:p w14:paraId="302C0B36" w14:textId="77777777" w:rsidR="00180899" w:rsidRPr="0082221C" w:rsidRDefault="00180899" w:rsidP="00180899">
            <w:pPr>
              <w:pStyle w:val="ParagraphStyle6"/>
              <w:rPr>
                <w:rStyle w:val="CharacterStyle6"/>
              </w:rPr>
            </w:pPr>
            <w:r w:rsidRPr="0082221C">
              <w:rPr>
                <w:rStyle w:val="CharacterStyle6"/>
              </w:rPr>
              <w:t>1.748.667,88</w:t>
            </w:r>
          </w:p>
        </w:tc>
        <w:tc>
          <w:tcPr>
            <w:tcW w:w="1935" w:type="dxa"/>
            <w:tcBorders>
              <w:bottom w:val="single" w:sz="6" w:space="0" w:color="000000"/>
              <w:right w:val="single" w:sz="6" w:space="0" w:color="000000"/>
            </w:tcBorders>
            <w:vAlign w:val="center"/>
          </w:tcPr>
          <w:p w14:paraId="24B6D137" w14:textId="77777777" w:rsidR="00180899" w:rsidRPr="0082221C" w:rsidRDefault="00180899" w:rsidP="00180899">
            <w:pPr>
              <w:pStyle w:val="ParagraphStyle6"/>
              <w:rPr>
                <w:rStyle w:val="CharacterStyle6"/>
              </w:rPr>
            </w:pPr>
            <w:r w:rsidRPr="0082221C">
              <w:rPr>
                <w:rStyle w:val="CharacterStyle6"/>
              </w:rPr>
              <w:t>2.641.361,00</w:t>
            </w:r>
          </w:p>
        </w:tc>
        <w:tc>
          <w:tcPr>
            <w:tcW w:w="1935" w:type="dxa"/>
            <w:tcBorders>
              <w:bottom w:val="single" w:sz="6" w:space="0" w:color="000000"/>
              <w:right w:val="single" w:sz="6" w:space="0" w:color="000000"/>
            </w:tcBorders>
            <w:vAlign w:val="center"/>
          </w:tcPr>
          <w:p w14:paraId="1484E01C" w14:textId="77777777" w:rsidR="00180899" w:rsidRDefault="00180899" w:rsidP="00180899">
            <w:pPr>
              <w:pStyle w:val="ParagraphStyle6"/>
              <w:rPr>
                <w:rStyle w:val="CharacterStyle6"/>
              </w:rPr>
            </w:pPr>
            <w:r>
              <w:rPr>
                <w:rStyle w:val="CharacterStyle6"/>
              </w:rPr>
              <w:t>2.682.009,13</w:t>
            </w:r>
          </w:p>
        </w:tc>
        <w:tc>
          <w:tcPr>
            <w:tcW w:w="1935" w:type="dxa"/>
            <w:tcBorders>
              <w:bottom w:val="single" w:sz="6" w:space="0" w:color="000000"/>
              <w:right w:val="single" w:sz="6" w:space="0" w:color="000000"/>
            </w:tcBorders>
            <w:vAlign w:val="center"/>
          </w:tcPr>
          <w:p w14:paraId="48963D55" w14:textId="77777777" w:rsidR="00180899" w:rsidRDefault="00180899" w:rsidP="00180899">
            <w:pPr>
              <w:pStyle w:val="ParagraphStyle6"/>
              <w:rPr>
                <w:rStyle w:val="CharacterStyle6"/>
              </w:rPr>
            </w:pPr>
            <w:r>
              <w:rPr>
                <w:rStyle w:val="CharacterStyle6"/>
              </w:rPr>
              <w:t>2.765.577,37</w:t>
            </w:r>
          </w:p>
        </w:tc>
        <w:tc>
          <w:tcPr>
            <w:tcW w:w="1935" w:type="dxa"/>
            <w:tcBorders>
              <w:bottom w:val="single" w:sz="6" w:space="0" w:color="000000"/>
              <w:right w:val="single" w:sz="6" w:space="0" w:color="000000"/>
            </w:tcBorders>
            <w:vAlign w:val="center"/>
          </w:tcPr>
          <w:p w14:paraId="46BBB155" w14:textId="77777777" w:rsidR="00180899" w:rsidRDefault="00180899" w:rsidP="00180899">
            <w:pPr>
              <w:pStyle w:val="ParagraphStyle6"/>
              <w:rPr>
                <w:rStyle w:val="CharacterStyle6"/>
              </w:rPr>
            </w:pPr>
            <w:r>
              <w:rPr>
                <w:rStyle w:val="CharacterStyle6"/>
              </w:rPr>
              <w:t>2.792.176,37</w:t>
            </w:r>
          </w:p>
        </w:tc>
      </w:tr>
      <w:tr w:rsidR="00180899" w:rsidRPr="0082221C" w14:paraId="7D301DD4" w14:textId="77777777" w:rsidTr="00180899">
        <w:trPr>
          <w:trHeight w:val="360"/>
        </w:trPr>
        <w:tc>
          <w:tcPr>
            <w:tcW w:w="5190" w:type="dxa"/>
            <w:gridSpan w:val="2"/>
            <w:tcBorders>
              <w:left w:val="single" w:sz="6" w:space="0" w:color="000000"/>
              <w:bottom w:val="single" w:sz="6" w:space="0" w:color="000000"/>
              <w:right w:val="single" w:sz="6" w:space="0" w:color="000000"/>
            </w:tcBorders>
            <w:vAlign w:val="center"/>
          </w:tcPr>
          <w:p w14:paraId="69418155" w14:textId="77777777" w:rsidR="00180899" w:rsidRPr="0082221C" w:rsidRDefault="00180899" w:rsidP="00180899">
            <w:pPr>
              <w:pStyle w:val="ParagraphStyle7"/>
              <w:rPr>
                <w:rStyle w:val="CharacterStyle7"/>
                <w:b/>
                <w:i w:val="0"/>
              </w:rPr>
            </w:pPr>
            <w:r w:rsidRPr="0082221C">
              <w:rPr>
                <w:rStyle w:val="CharacterStyle7"/>
                <w:b/>
                <w:i w:val="0"/>
              </w:rPr>
              <w:t>UKUPNO :</w:t>
            </w:r>
          </w:p>
        </w:tc>
        <w:tc>
          <w:tcPr>
            <w:tcW w:w="1920" w:type="dxa"/>
            <w:tcBorders>
              <w:bottom w:val="single" w:sz="6" w:space="0" w:color="000000"/>
              <w:right w:val="single" w:sz="6" w:space="0" w:color="000000"/>
            </w:tcBorders>
            <w:vAlign w:val="center"/>
          </w:tcPr>
          <w:p w14:paraId="110B9344" w14:textId="77777777" w:rsidR="00180899" w:rsidRPr="0082221C" w:rsidRDefault="00180899" w:rsidP="00180899">
            <w:pPr>
              <w:pStyle w:val="ParagraphStyle6"/>
              <w:rPr>
                <w:rStyle w:val="CharacterStyle6"/>
                <w:b w:val="0"/>
              </w:rPr>
            </w:pPr>
            <w:r w:rsidRPr="0082221C">
              <w:rPr>
                <w:rStyle w:val="CharacterStyle6"/>
              </w:rPr>
              <w:t>36.473.224,76</w:t>
            </w:r>
          </w:p>
        </w:tc>
        <w:tc>
          <w:tcPr>
            <w:tcW w:w="1935" w:type="dxa"/>
            <w:tcBorders>
              <w:bottom w:val="single" w:sz="6" w:space="0" w:color="000000"/>
              <w:right w:val="single" w:sz="6" w:space="0" w:color="000000"/>
            </w:tcBorders>
            <w:vAlign w:val="center"/>
          </w:tcPr>
          <w:p w14:paraId="041D5513" w14:textId="77777777" w:rsidR="00180899" w:rsidRPr="0082221C" w:rsidRDefault="00180899" w:rsidP="00180899">
            <w:pPr>
              <w:pStyle w:val="ParagraphStyle6"/>
              <w:rPr>
                <w:rStyle w:val="CharacterStyle6"/>
                <w:b w:val="0"/>
              </w:rPr>
            </w:pPr>
            <w:r w:rsidRPr="0082221C">
              <w:rPr>
                <w:rStyle w:val="CharacterStyle6"/>
              </w:rPr>
              <w:t>64.387.314,00</w:t>
            </w:r>
          </w:p>
        </w:tc>
        <w:tc>
          <w:tcPr>
            <w:tcW w:w="1935" w:type="dxa"/>
            <w:tcBorders>
              <w:bottom w:val="single" w:sz="6" w:space="0" w:color="000000"/>
              <w:right w:val="single" w:sz="6" w:space="0" w:color="000000"/>
            </w:tcBorders>
            <w:vAlign w:val="center"/>
          </w:tcPr>
          <w:p w14:paraId="7455644F" w14:textId="77777777" w:rsidR="00180899" w:rsidRPr="0082221C" w:rsidRDefault="00180899" w:rsidP="00180899">
            <w:pPr>
              <w:pStyle w:val="ParagraphStyle6"/>
              <w:rPr>
                <w:rStyle w:val="CharacterStyle6"/>
                <w:b w:val="0"/>
              </w:rPr>
            </w:pPr>
            <w:r w:rsidRPr="0082221C">
              <w:rPr>
                <w:rStyle w:val="CharacterStyle6"/>
              </w:rPr>
              <w:t>61.350.500,00</w:t>
            </w:r>
          </w:p>
        </w:tc>
        <w:tc>
          <w:tcPr>
            <w:tcW w:w="1935" w:type="dxa"/>
            <w:tcBorders>
              <w:bottom w:val="single" w:sz="6" w:space="0" w:color="000000"/>
              <w:right w:val="single" w:sz="6" w:space="0" w:color="000000"/>
            </w:tcBorders>
            <w:vAlign w:val="center"/>
          </w:tcPr>
          <w:p w14:paraId="0AF62390" w14:textId="77777777" w:rsidR="00180899" w:rsidRDefault="00180899" w:rsidP="00180899">
            <w:pPr>
              <w:pStyle w:val="ParagraphStyle6"/>
              <w:rPr>
                <w:rStyle w:val="CharacterStyle6"/>
              </w:rPr>
            </w:pPr>
            <w:r>
              <w:rPr>
                <w:rStyle w:val="CharacterStyle6"/>
              </w:rPr>
              <w:t>46.288.000,00</w:t>
            </w:r>
          </w:p>
        </w:tc>
        <w:tc>
          <w:tcPr>
            <w:tcW w:w="1935" w:type="dxa"/>
            <w:tcBorders>
              <w:bottom w:val="single" w:sz="6" w:space="0" w:color="000000"/>
              <w:right w:val="single" w:sz="6" w:space="0" w:color="000000"/>
            </w:tcBorders>
            <w:vAlign w:val="center"/>
          </w:tcPr>
          <w:p w14:paraId="1FBEFE57" w14:textId="77777777" w:rsidR="00180899" w:rsidRDefault="00180899" w:rsidP="00180899">
            <w:pPr>
              <w:pStyle w:val="ParagraphStyle6"/>
              <w:rPr>
                <w:rStyle w:val="CharacterStyle6"/>
              </w:rPr>
            </w:pPr>
            <w:r>
              <w:rPr>
                <w:rStyle w:val="CharacterStyle6"/>
              </w:rPr>
              <w:t>40.512.500,00</w:t>
            </w:r>
          </w:p>
        </w:tc>
      </w:tr>
    </w:tbl>
    <w:p w14:paraId="39F54022" w14:textId="77777777" w:rsidR="002A4BFB" w:rsidRPr="0082221C" w:rsidRDefault="002A4BFB" w:rsidP="002A4BFB"/>
    <w:p w14:paraId="10AA2468" w14:textId="77777777" w:rsidR="002A4BFB" w:rsidRDefault="002A4BFB" w:rsidP="002A4BFB"/>
    <w:p w14:paraId="6A436B44" w14:textId="77777777" w:rsidR="002A4BFB" w:rsidRDefault="002A4BFB"/>
    <w:p w14:paraId="37770677" w14:textId="77777777" w:rsidR="002A4BFB" w:rsidRDefault="002A4BFB"/>
    <w:p w14:paraId="6C3FD93F" w14:textId="77777777" w:rsidR="002A4BFB" w:rsidRDefault="002A4BFB"/>
    <w:p w14:paraId="687E33CE" w14:textId="77777777" w:rsidR="002A4BFB" w:rsidRDefault="002A4BFB"/>
    <w:p w14:paraId="4C9651A8" w14:textId="77777777" w:rsidR="002A4BFB" w:rsidRDefault="002A4BFB"/>
    <w:p w14:paraId="3DC7827B" w14:textId="77777777" w:rsidR="002A4BFB" w:rsidRDefault="002A4BFB"/>
    <w:p w14:paraId="29E58A77" w14:textId="77777777" w:rsidR="002A4BFB" w:rsidRDefault="002A4BFB"/>
    <w:p w14:paraId="65FDD2A4" w14:textId="77777777" w:rsidR="002A4BFB" w:rsidRDefault="002A4BFB"/>
    <w:p w14:paraId="5586CE7E" w14:textId="77777777" w:rsidR="002A4BFB" w:rsidRDefault="002A4BFB"/>
    <w:p w14:paraId="2FACADB6" w14:textId="77777777" w:rsidR="002A4BFB" w:rsidRDefault="002A4BFB"/>
    <w:p w14:paraId="0E90F537" w14:textId="77777777" w:rsidR="002A4BFB" w:rsidRDefault="002A4BFB"/>
    <w:p w14:paraId="6A1BE724" w14:textId="77777777" w:rsidR="002A4BFB" w:rsidRDefault="002A4BFB"/>
    <w:p w14:paraId="4B7F37B4" w14:textId="77777777" w:rsidR="002A4BFB" w:rsidRDefault="002A4BFB"/>
    <w:p w14:paraId="6A88D63F" w14:textId="77777777" w:rsidR="002A4BFB" w:rsidRDefault="002A4BFB"/>
    <w:p w14:paraId="1E901145" w14:textId="77777777" w:rsidR="002A4BFB" w:rsidRDefault="002A4BFB"/>
    <w:p w14:paraId="17F34A80" w14:textId="77777777" w:rsidR="002A4BFB" w:rsidRDefault="002A4BFB"/>
    <w:p w14:paraId="6B7DE072" w14:textId="77777777" w:rsidR="002A4BFB" w:rsidRDefault="002A4BFB"/>
    <w:p w14:paraId="57186E59" w14:textId="77777777" w:rsidR="002A4BFB" w:rsidRDefault="002A4BFB"/>
    <w:p w14:paraId="5F4E2CC3" w14:textId="77777777" w:rsidR="002A4BFB" w:rsidRDefault="002A4BFB"/>
    <w:p w14:paraId="55182C46" w14:textId="77777777" w:rsidR="002A4BFB" w:rsidRDefault="002A4BFB"/>
    <w:p w14:paraId="1B6767CD" w14:textId="77777777" w:rsidR="002A4BFB" w:rsidRDefault="002A4BFB"/>
    <w:p w14:paraId="6905EC4D" w14:textId="77777777" w:rsidR="002A4BFB" w:rsidRDefault="002A4BFB"/>
    <w:p w14:paraId="23473518" w14:textId="77777777" w:rsidR="002A4BFB" w:rsidRDefault="002A4BFB"/>
    <w:p w14:paraId="7DCC9B81" w14:textId="77777777" w:rsidR="002A4BFB" w:rsidRDefault="002A4BFB"/>
    <w:p w14:paraId="2D769023" w14:textId="77777777" w:rsidR="002A4BFB" w:rsidRDefault="002A4BFB"/>
    <w:p w14:paraId="38845453" w14:textId="77777777" w:rsidR="002A4BFB" w:rsidRDefault="002A4BFB"/>
    <w:p w14:paraId="47A3C42D" w14:textId="77777777" w:rsidR="002A4BFB" w:rsidRDefault="002A4BFB"/>
    <w:p w14:paraId="70A9CBE2" w14:textId="77777777" w:rsidR="002A4BFB" w:rsidRDefault="002A4BFB"/>
    <w:p w14:paraId="3CFF9FA1" w14:textId="77777777" w:rsidR="002A4BFB" w:rsidRDefault="002A4BFB"/>
    <w:tbl>
      <w:tblPr>
        <w:tblW w:w="0" w:type="auto"/>
        <w:tblLayout w:type="fixed"/>
        <w:tblCellMar>
          <w:left w:w="0" w:type="dxa"/>
          <w:right w:w="0" w:type="dxa"/>
        </w:tblCellMar>
        <w:tblLook w:val="04A0" w:firstRow="1" w:lastRow="0" w:firstColumn="1" w:lastColumn="0" w:noHBand="0" w:noVBand="1"/>
      </w:tblPr>
      <w:tblGrid>
        <w:gridCol w:w="14850"/>
      </w:tblGrid>
      <w:tr w:rsidR="007D706A" w14:paraId="2F683778" w14:textId="77777777" w:rsidTr="00F70508">
        <w:trPr>
          <w:trHeight w:val="315"/>
        </w:trPr>
        <w:tc>
          <w:tcPr>
            <w:tcW w:w="14850" w:type="dxa"/>
          </w:tcPr>
          <w:p w14:paraId="359BA726" w14:textId="77777777" w:rsidR="007D706A" w:rsidRDefault="007D706A" w:rsidP="00F70508">
            <w:pPr>
              <w:pStyle w:val="ParagraphStyle0"/>
              <w:rPr>
                <w:rStyle w:val="CharacterStyle0"/>
              </w:rPr>
            </w:pPr>
            <w:r>
              <w:rPr>
                <w:rStyle w:val="CharacterStyle0"/>
              </w:rPr>
              <w:lastRenderedPageBreak/>
              <w:t>II. POSEBNI DIO</w:t>
            </w:r>
          </w:p>
        </w:tc>
      </w:tr>
    </w:tbl>
    <w:p w14:paraId="4C24C831" w14:textId="77777777" w:rsidR="007D706A" w:rsidRDefault="007D706A" w:rsidP="007D706A">
      <w:pPr>
        <w:spacing w:line="210" w:lineRule="exact"/>
      </w:pPr>
    </w:p>
    <w:tbl>
      <w:tblPr>
        <w:tblW w:w="0" w:type="auto"/>
        <w:tblLayout w:type="fixed"/>
        <w:tblCellMar>
          <w:left w:w="0" w:type="dxa"/>
          <w:right w:w="0" w:type="dxa"/>
        </w:tblCellMar>
        <w:tblLook w:val="04A0" w:firstRow="1" w:lastRow="0" w:firstColumn="1" w:lastColumn="0" w:noHBand="0" w:noVBand="1"/>
      </w:tblPr>
      <w:tblGrid>
        <w:gridCol w:w="14850"/>
      </w:tblGrid>
      <w:tr w:rsidR="007D706A" w14:paraId="182DA70E" w14:textId="77777777" w:rsidTr="00F70508">
        <w:trPr>
          <w:trHeight w:val="300"/>
        </w:trPr>
        <w:tc>
          <w:tcPr>
            <w:tcW w:w="14850" w:type="dxa"/>
          </w:tcPr>
          <w:p w14:paraId="3A20D239" w14:textId="77777777" w:rsidR="007D706A" w:rsidRDefault="007D706A" w:rsidP="00F70508">
            <w:pPr>
              <w:pStyle w:val="ParagraphStyle1"/>
              <w:rPr>
                <w:rStyle w:val="CharacterStyle1"/>
              </w:rPr>
            </w:pPr>
            <w:r>
              <w:rPr>
                <w:rStyle w:val="CharacterStyle1"/>
              </w:rPr>
              <w:t>PROGRAMSKA KLASIFIKACIJA</w:t>
            </w:r>
          </w:p>
        </w:tc>
      </w:tr>
    </w:tbl>
    <w:p w14:paraId="2A6E8F77" w14:textId="77777777" w:rsidR="007D706A" w:rsidRDefault="007D706A" w:rsidP="007D706A">
      <w:pPr>
        <w:spacing w:line="210" w:lineRule="exact"/>
      </w:pPr>
    </w:p>
    <w:tbl>
      <w:tblPr>
        <w:tblW w:w="0" w:type="auto"/>
        <w:tblLayout w:type="fixed"/>
        <w:tblCellMar>
          <w:left w:w="0" w:type="dxa"/>
          <w:right w:w="0" w:type="dxa"/>
        </w:tblCellMar>
        <w:tblLook w:val="04A0" w:firstRow="1" w:lastRow="0" w:firstColumn="1" w:lastColumn="0" w:noHBand="0" w:noVBand="1"/>
      </w:tblPr>
      <w:tblGrid>
        <w:gridCol w:w="2880"/>
        <w:gridCol w:w="4995"/>
        <w:gridCol w:w="1395"/>
        <w:gridCol w:w="1395"/>
        <w:gridCol w:w="1395"/>
        <w:gridCol w:w="1395"/>
        <w:gridCol w:w="1395"/>
      </w:tblGrid>
      <w:tr w:rsidR="007D706A" w14:paraId="2F37CF7F" w14:textId="77777777" w:rsidTr="00F70508">
        <w:trPr>
          <w:trHeight w:val="555"/>
        </w:trPr>
        <w:tc>
          <w:tcPr>
            <w:tcW w:w="2880" w:type="dxa"/>
            <w:tcBorders>
              <w:top w:val="single" w:sz="6" w:space="0" w:color="000000"/>
              <w:left w:val="single" w:sz="6" w:space="0" w:color="000000"/>
              <w:bottom w:val="single" w:sz="6" w:space="0" w:color="000000"/>
              <w:right w:val="single" w:sz="6" w:space="0" w:color="000000"/>
            </w:tcBorders>
            <w:shd w:val="clear" w:color="auto" w:fill="DCDCDC"/>
            <w:vAlign w:val="center"/>
          </w:tcPr>
          <w:p w14:paraId="6E8297BA" w14:textId="77777777" w:rsidR="007D706A" w:rsidRDefault="007D706A" w:rsidP="00F70508">
            <w:pPr>
              <w:pStyle w:val="ParagraphStyle2"/>
              <w:rPr>
                <w:rStyle w:val="CharacterStyle2"/>
              </w:rPr>
            </w:pPr>
            <w:r>
              <w:rPr>
                <w:rStyle w:val="CharacterStyle2"/>
              </w:rPr>
              <w:t>Šifra</w:t>
            </w:r>
          </w:p>
        </w:tc>
        <w:tc>
          <w:tcPr>
            <w:tcW w:w="4995" w:type="dxa"/>
            <w:tcBorders>
              <w:top w:val="single" w:sz="6" w:space="0" w:color="000000"/>
              <w:bottom w:val="single" w:sz="6" w:space="0" w:color="000000"/>
              <w:right w:val="single" w:sz="6" w:space="0" w:color="000000"/>
            </w:tcBorders>
            <w:shd w:val="clear" w:color="auto" w:fill="DCDCDC"/>
            <w:vAlign w:val="center"/>
          </w:tcPr>
          <w:p w14:paraId="2303B00F" w14:textId="77777777" w:rsidR="007D706A" w:rsidRDefault="007D706A" w:rsidP="00F70508">
            <w:pPr>
              <w:pStyle w:val="ParagraphStyle3"/>
              <w:rPr>
                <w:rStyle w:val="CharacterStyle3"/>
              </w:rPr>
            </w:pPr>
            <w:r>
              <w:rPr>
                <w:rStyle w:val="CharacterStyle3"/>
              </w:rPr>
              <w:t>Naziv</w:t>
            </w:r>
          </w:p>
        </w:tc>
        <w:tc>
          <w:tcPr>
            <w:tcW w:w="1395" w:type="dxa"/>
            <w:tcBorders>
              <w:top w:val="single" w:sz="6" w:space="0" w:color="000000"/>
              <w:bottom w:val="single" w:sz="6" w:space="0" w:color="000000"/>
              <w:right w:val="single" w:sz="6" w:space="0" w:color="000000"/>
            </w:tcBorders>
            <w:shd w:val="clear" w:color="auto" w:fill="DCDCDC"/>
            <w:vAlign w:val="center"/>
          </w:tcPr>
          <w:p w14:paraId="5F860218" w14:textId="77777777" w:rsidR="007D706A" w:rsidRDefault="007D706A" w:rsidP="00F70508">
            <w:pPr>
              <w:pStyle w:val="ParagraphStyle3"/>
              <w:rPr>
                <w:rStyle w:val="CharacterStyle3"/>
              </w:rPr>
            </w:pPr>
            <w:r>
              <w:rPr>
                <w:rStyle w:val="CharacterStyle3"/>
              </w:rPr>
              <w:t>Izvršenje 2024.</w:t>
            </w:r>
          </w:p>
        </w:tc>
        <w:tc>
          <w:tcPr>
            <w:tcW w:w="1395" w:type="dxa"/>
            <w:tcBorders>
              <w:top w:val="single" w:sz="6" w:space="0" w:color="000000"/>
              <w:bottom w:val="single" w:sz="6" w:space="0" w:color="000000"/>
              <w:right w:val="single" w:sz="6" w:space="0" w:color="000000"/>
            </w:tcBorders>
            <w:shd w:val="clear" w:color="auto" w:fill="DCDCDC"/>
            <w:vAlign w:val="center"/>
          </w:tcPr>
          <w:p w14:paraId="330B39F9" w14:textId="77777777" w:rsidR="007D706A" w:rsidRDefault="007D706A" w:rsidP="00F70508">
            <w:pPr>
              <w:pStyle w:val="ParagraphStyle3"/>
              <w:rPr>
                <w:rStyle w:val="CharacterStyle3"/>
              </w:rPr>
            </w:pPr>
            <w:r>
              <w:rPr>
                <w:rStyle w:val="CharacterStyle3"/>
              </w:rPr>
              <w:t>Tekući plan 2025.</w:t>
            </w:r>
          </w:p>
        </w:tc>
        <w:tc>
          <w:tcPr>
            <w:tcW w:w="1395" w:type="dxa"/>
            <w:tcBorders>
              <w:top w:val="single" w:sz="6" w:space="0" w:color="000000"/>
              <w:bottom w:val="single" w:sz="6" w:space="0" w:color="000000"/>
              <w:right w:val="single" w:sz="6" w:space="0" w:color="000000"/>
            </w:tcBorders>
            <w:shd w:val="clear" w:color="auto" w:fill="DCDCDC"/>
            <w:vAlign w:val="center"/>
          </w:tcPr>
          <w:p w14:paraId="50BBC479" w14:textId="77777777" w:rsidR="007D706A" w:rsidRDefault="007D706A" w:rsidP="00F70508">
            <w:pPr>
              <w:pStyle w:val="ParagraphStyle3"/>
              <w:rPr>
                <w:rStyle w:val="CharacterStyle3"/>
              </w:rPr>
            </w:pPr>
            <w:r>
              <w:rPr>
                <w:rStyle w:val="CharacterStyle3"/>
              </w:rPr>
              <w:t>Plan 2026.</w:t>
            </w:r>
          </w:p>
        </w:tc>
        <w:tc>
          <w:tcPr>
            <w:tcW w:w="1395" w:type="dxa"/>
            <w:tcBorders>
              <w:top w:val="single" w:sz="6" w:space="0" w:color="000000"/>
              <w:bottom w:val="single" w:sz="6" w:space="0" w:color="000000"/>
              <w:right w:val="single" w:sz="6" w:space="0" w:color="000000"/>
            </w:tcBorders>
            <w:shd w:val="clear" w:color="auto" w:fill="DCDCDC"/>
            <w:vAlign w:val="center"/>
          </w:tcPr>
          <w:p w14:paraId="4E6D2694" w14:textId="77777777" w:rsidR="007D706A" w:rsidRDefault="007D706A" w:rsidP="00F70508">
            <w:pPr>
              <w:pStyle w:val="ParagraphStyle3"/>
              <w:rPr>
                <w:rStyle w:val="CharacterStyle3"/>
              </w:rPr>
            </w:pPr>
            <w:r>
              <w:rPr>
                <w:rStyle w:val="CharacterStyle3"/>
              </w:rPr>
              <w:t>Projekcija 2027.</w:t>
            </w:r>
          </w:p>
        </w:tc>
        <w:tc>
          <w:tcPr>
            <w:tcW w:w="1395" w:type="dxa"/>
            <w:tcBorders>
              <w:top w:val="single" w:sz="6" w:space="0" w:color="000000"/>
              <w:bottom w:val="single" w:sz="6" w:space="0" w:color="000000"/>
              <w:right w:val="single" w:sz="6" w:space="0" w:color="000000"/>
            </w:tcBorders>
            <w:shd w:val="clear" w:color="auto" w:fill="DCDCDC"/>
            <w:vAlign w:val="center"/>
          </w:tcPr>
          <w:p w14:paraId="4C6DE6B0" w14:textId="77777777" w:rsidR="007D706A" w:rsidRDefault="007D706A" w:rsidP="00F70508">
            <w:pPr>
              <w:pStyle w:val="ParagraphStyle3"/>
              <w:rPr>
                <w:rStyle w:val="CharacterStyle3"/>
              </w:rPr>
            </w:pPr>
            <w:r>
              <w:rPr>
                <w:rStyle w:val="CharacterStyle3"/>
              </w:rPr>
              <w:t>Projekcija 2028.</w:t>
            </w:r>
          </w:p>
        </w:tc>
      </w:tr>
      <w:tr w:rsidR="007D706A" w14:paraId="0B3EC5D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B2001A6" w14:textId="77777777" w:rsidR="007D706A" w:rsidRDefault="007D706A" w:rsidP="00F70508">
            <w:pPr>
              <w:pStyle w:val="ParagraphStyle4"/>
              <w:rPr>
                <w:rStyle w:val="CharacterStyle4"/>
              </w:rPr>
            </w:pPr>
            <w:r>
              <w:rPr>
                <w:rStyle w:val="CharacterStyle4"/>
              </w:rPr>
              <w:t>RAZDJEL    001</w:t>
            </w:r>
          </w:p>
        </w:tc>
        <w:tc>
          <w:tcPr>
            <w:tcW w:w="4995" w:type="dxa"/>
            <w:tcBorders>
              <w:bottom w:val="single" w:sz="6" w:space="0" w:color="000000"/>
              <w:right w:val="single" w:sz="6" w:space="0" w:color="000000"/>
            </w:tcBorders>
            <w:vAlign w:val="center"/>
          </w:tcPr>
          <w:p w14:paraId="65EBEDDB" w14:textId="77777777" w:rsidR="007D706A" w:rsidRDefault="007D706A" w:rsidP="00F70508">
            <w:pPr>
              <w:pStyle w:val="ParagraphStyle5"/>
              <w:rPr>
                <w:rStyle w:val="CharacterStyle5"/>
              </w:rPr>
            </w:pPr>
            <w:r>
              <w:rPr>
                <w:rStyle w:val="CharacterStyle5"/>
              </w:rPr>
              <w:t>R - URED GRADSKOG VIJEĆA I GRADONAČELNIKA</w:t>
            </w:r>
          </w:p>
        </w:tc>
        <w:tc>
          <w:tcPr>
            <w:tcW w:w="1395" w:type="dxa"/>
            <w:tcBorders>
              <w:bottom w:val="single" w:sz="6" w:space="0" w:color="000000"/>
              <w:right w:val="single" w:sz="6" w:space="0" w:color="000000"/>
            </w:tcBorders>
            <w:vAlign w:val="center"/>
          </w:tcPr>
          <w:p w14:paraId="2710DF60"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4D56202B" w14:textId="77777777" w:rsidR="007D706A" w:rsidRDefault="007D706A" w:rsidP="00F70508">
            <w:pPr>
              <w:pStyle w:val="ParagraphStyle6"/>
              <w:rPr>
                <w:rStyle w:val="CharacterStyle6"/>
              </w:rPr>
            </w:pPr>
            <w:r>
              <w:rPr>
                <w:rStyle w:val="CharacterStyle6"/>
              </w:rPr>
              <w:t>1.850.185,50</w:t>
            </w:r>
          </w:p>
        </w:tc>
        <w:tc>
          <w:tcPr>
            <w:tcW w:w="1395" w:type="dxa"/>
            <w:tcBorders>
              <w:bottom w:val="single" w:sz="6" w:space="0" w:color="000000"/>
              <w:right w:val="single" w:sz="6" w:space="0" w:color="000000"/>
            </w:tcBorders>
            <w:vAlign w:val="center"/>
          </w:tcPr>
          <w:p w14:paraId="7C1CF798" w14:textId="77777777" w:rsidR="007D706A" w:rsidRDefault="007D706A" w:rsidP="00F70508">
            <w:pPr>
              <w:pStyle w:val="ParagraphStyle6"/>
              <w:rPr>
                <w:rStyle w:val="CharacterStyle6"/>
              </w:rPr>
            </w:pPr>
            <w:r>
              <w:rPr>
                <w:rStyle w:val="CharacterStyle6"/>
              </w:rPr>
              <w:t>1.859.155,00</w:t>
            </w:r>
          </w:p>
        </w:tc>
        <w:tc>
          <w:tcPr>
            <w:tcW w:w="1395" w:type="dxa"/>
            <w:tcBorders>
              <w:bottom w:val="single" w:sz="6" w:space="0" w:color="000000"/>
              <w:right w:val="single" w:sz="6" w:space="0" w:color="000000"/>
            </w:tcBorders>
            <w:vAlign w:val="center"/>
          </w:tcPr>
          <w:p w14:paraId="7E538A96" w14:textId="77777777" w:rsidR="007D706A" w:rsidRDefault="007D706A" w:rsidP="00F70508">
            <w:pPr>
              <w:pStyle w:val="ParagraphStyle6"/>
              <w:rPr>
                <w:rStyle w:val="CharacterStyle6"/>
              </w:rPr>
            </w:pPr>
            <w:r>
              <w:rPr>
                <w:rStyle w:val="CharacterStyle6"/>
              </w:rPr>
              <w:t>1.857.918,00</w:t>
            </w:r>
          </w:p>
        </w:tc>
        <w:tc>
          <w:tcPr>
            <w:tcW w:w="1395" w:type="dxa"/>
            <w:tcBorders>
              <w:bottom w:val="single" w:sz="6" w:space="0" w:color="000000"/>
              <w:right w:val="single" w:sz="6" w:space="0" w:color="000000"/>
            </w:tcBorders>
            <w:vAlign w:val="center"/>
          </w:tcPr>
          <w:p w14:paraId="65F88CCF" w14:textId="77777777" w:rsidR="007D706A" w:rsidRDefault="007D706A" w:rsidP="00F70508">
            <w:pPr>
              <w:pStyle w:val="ParagraphStyle6"/>
              <w:rPr>
                <w:rStyle w:val="CharacterStyle6"/>
              </w:rPr>
            </w:pPr>
            <w:r>
              <w:rPr>
                <w:rStyle w:val="CharacterStyle6"/>
              </w:rPr>
              <w:t>1.905.218,00</w:t>
            </w:r>
          </w:p>
        </w:tc>
      </w:tr>
      <w:tr w:rsidR="007D706A" w14:paraId="51EC5EE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2382DB0" w14:textId="77777777" w:rsidR="007D706A" w:rsidRDefault="007D706A" w:rsidP="00F70508">
            <w:pPr>
              <w:pStyle w:val="ParagraphStyle4"/>
              <w:rPr>
                <w:rStyle w:val="CharacterStyle4"/>
              </w:rPr>
            </w:pPr>
            <w:r>
              <w:rPr>
                <w:rStyle w:val="CharacterStyle4"/>
              </w:rPr>
              <w:t>GLAVA    00101</w:t>
            </w:r>
          </w:p>
        </w:tc>
        <w:tc>
          <w:tcPr>
            <w:tcW w:w="4995" w:type="dxa"/>
            <w:tcBorders>
              <w:bottom w:val="single" w:sz="6" w:space="0" w:color="000000"/>
              <w:right w:val="single" w:sz="6" w:space="0" w:color="000000"/>
            </w:tcBorders>
            <w:vAlign w:val="center"/>
          </w:tcPr>
          <w:p w14:paraId="403D59FB" w14:textId="77777777" w:rsidR="007D706A" w:rsidRDefault="007D706A" w:rsidP="00F70508">
            <w:pPr>
              <w:pStyle w:val="ParagraphStyle5"/>
              <w:rPr>
                <w:rStyle w:val="CharacterStyle5"/>
              </w:rPr>
            </w:pPr>
            <w:r>
              <w:rPr>
                <w:rStyle w:val="CharacterStyle5"/>
              </w:rPr>
              <w:t>GRADSKO VIJEĆE</w:t>
            </w:r>
          </w:p>
        </w:tc>
        <w:tc>
          <w:tcPr>
            <w:tcW w:w="1395" w:type="dxa"/>
            <w:tcBorders>
              <w:bottom w:val="single" w:sz="6" w:space="0" w:color="000000"/>
              <w:right w:val="single" w:sz="6" w:space="0" w:color="000000"/>
            </w:tcBorders>
            <w:vAlign w:val="center"/>
          </w:tcPr>
          <w:p w14:paraId="0CB1D000"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1C854401" w14:textId="77777777" w:rsidR="007D706A" w:rsidRDefault="007D706A" w:rsidP="00F70508">
            <w:pPr>
              <w:pStyle w:val="ParagraphStyle6"/>
              <w:rPr>
                <w:rStyle w:val="CharacterStyle6"/>
              </w:rPr>
            </w:pPr>
            <w:r>
              <w:rPr>
                <w:rStyle w:val="CharacterStyle6"/>
              </w:rPr>
              <w:t>255.364,50</w:t>
            </w:r>
          </w:p>
        </w:tc>
        <w:tc>
          <w:tcPr>
            <w:tcW w:w="1395" w:type="dxa"/>
            <w:tcBorders>
              <w:bottom w:val="single" w:sz="6" w:space="0" w:color="000000"/>
              <w:right w:val="single" w:sz="6" w:space="0" w:color="000000"/>
            </w:tcBorders>
            <w:vAlign w:val="center"/>
          </w:tcPr>
          <w:p w14:paraId="3F8E9016" w14:textId="77777777" w:rsidR="007D706A" w:rsidRDefault="007D706A" w:rsidP="00F70508">
            <w:pPr>
              <w:pStyle w:val="ParagraphStyle6"/>
              <w:rPr>
                <w:rStyle w:val="CharacterStyle6"/>
              </w:rPr>
            </w:pPr>
            <w:r>
              <w:rPr>
                <w:rStyle w:val="CharacterStyle6"/>
              </w:rPr>
              <w:t>258.532,00</w:t>
            </w:r>
          </w:p>
        </w:tc>
        <w:tc>
          <w:tcPr>
            <w:tcW w:w="1395" w:type="dxa"/>
            <w:tcBorders>
              <w:bottom w:val="single" w:sz="6" w:space="0" w:color="000000"/>
              <w:right w:val="single" w:sz="6" w:space="0" w:color="000000"/>
            </w:tcBorders>
            <w:vAlign w:val="center"/>
          </w:tcPr>
          <w:p w14:paraId="5B3A7EE5" w14:textId="77777777" w:rsidR="007D706A" w:rsidRDefault="007D706A" w:rsidP="00F70508">
            <w:pPr>
              <w:pStyle w:val="ParagraphStyle6"/>
              <w:rPr>
                <w:rStyle w:val="CharacterStyle6"/>
              </w:rPr>
            </w:pPr>
            <w:r>
              <w:rPr>
                <w:rStyle w:val="CharacterStyle6"/>
              </w:rPr>
              <w:t>243.200,00</w:t>
            </w:r>
          </w:p>
        </w:tc>
        <w:tc>
          <w:tcPr>
            <w:tcW w:w="1395" w:type="dxa"/>
            <w:tcBorders>
              <w:bottom w:val="single" w:sz="6" w:space="0" w:color="000000"/>
              <w:right w:val="single" w:sz="6" w:space="0" w:color="000000"/>
            </w:tcBorders>
            <w:vAlign w:val="center"/>
          </w:tcPr>
          <w:p w14:paraId="6E230E66" w14:textId="77777777" w:rsidR="007D706A" w:rsidRDefault="007D706A" w:rsidP="00F70508">
            <w:pPr>
              <w:pStyle w:val="ParagraphStyle6"/>
              <w:rPr>
                <w:rStyle w:val="CharacterStyle6"/>
              </w:rPr>
            </w:pPr>
            <w:r>
              <w:rPr>
                <w:rStyle w:val="CharacterStyle6"/>
              </w:rPr>
              <w:t>278.300,00</w:t>
            </w:r>
          </w:p>
        </w:tc>
      </w:tr>
      <w:tr w:rsidR="007D706A" w14:paraId="6B90BC2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400D971" w14:textId="77777777" w:rsidR="007D706A" w:rsidRDefault="007D706A" w:rsidP="00F70508">
            <w:pPr>
              <w:pStyle w:val="ParagraphStyle4"/>
              <w:rPr>
                <w:rStyle w:val="CharacterStyle4"/>
              </w:rPr>
            </w:pPr>
            <w:r>
              <w:rPr>
                <w:rStyle w:val="CharacterStyle4"/>
              </w:rPr>
              <w:t>Izvor financiranja 11</w:t>
            </w:r>
          </w:p>
        </w:tc>
        <w:tc>
          <w:tcPr>
            <w:tcW w:w="4995" w:type="dxa"/>
            <w:tcBorders>
              <w:bottom w:val="single" w:sz="6" w:space="0" w:color="000000"/>
              <w:right w:val="single" w:sz="6" w:space="0" w:color="000000"/>
            </w:tcBorders>
            <w:vAlign w:val="center"/>
          </w:tcPr>
          <w:p w14:paraId="5FA2BFFB" w14:textId="77777777" w:rsidR="007D706A" w:rsidRDefault="007D706A" w:rsidP="00F70508">
            <w:pPr>
              <w:pStyle w:val="ParagraphStyle5"/>
              <w:rPr>
                <w:rStyle w:val="CharacterStyle5"/>
              </w:rPr>
            </w:pPr>
            <w:r>
              <w:rPr>
                <w:rStyle w:val="CharacterStyle5"/>
              </w:rPr>
              <w:t>Opći prihodi i primici</w:t>
            </w:r>
          </w:p>
        </w:tc>
        <w:tc>
          <w:tcPr>
            <w:tcW w:w="1395" w:type="dxa"/>
            <w:tcBorders>
              <w:bottom w:val="single" w:sz="6" w:space="0" w:color="000000"/>
              <w:right w:val="single" w:sz="6" w:space="0" w:color="000000"/>
            </w:tcBorders>
            <w:vAlign w:val="center"/>
          </w:tcPr>
          <w:p w14:paraId="01ABEAD0"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3B5BCCE2" w14:textId="77777777" w:rsidR="007D706A" w:rsidRDefault="007D706A" w:rsidP="00F70508">
            <w:pPr>
              <w:pStyle w:val="ParagraphStyle6"/>
              <w:rPr>
                <w:rStyle w:val="CharacterStyle6"/>
              </w:rPr>
            </w:pPr>
            <w:r>
              <w:rPr>
                <w:rStyle w:val="CharacterStyle6"/>
              </w:rPr>
              <w:t>232.132,50</w:t>
            </w:r>
          </w:p>
        </w:tc>
        <w:tc>
          <w:tcPr>
            <w:tcW w:w="1395" w:type="dxa"/>
            <w:tcBorders>
              <w:bottom w:val="single" w:sz="6" w:space="0" w:color="000000"/>
              <w:right w:val="single" w:sz="6" w:space="0" w:color="000000"/>
            </w:tcBorders>
            <w:vAlign w:val="center"/>
          </w:tcPr>
          <w:p w14:paraId="4BCFD118" w14:textId="77777777" w:rsidR="007D706A" w:rsidRDefault="007D706A" w:rsidP="00F70508">
            <w:pPr>
              <w:pStyle w:val="ParagraphStyle6"/>
              <w:rPr>
                <w:rStyle w:val="CharacterStyle6"/>
              </w:rPr>
            </w:pPr>
            <w:r>
              <w:rPr>
                <w:rStyle w:val="CharacterStyle6"/>
              </w:rPr>
              <w:t>258.512,00</w:t>
            </w:r>
          </w:p>
        </w:tc>
        <w:tc>
          <w:tcPr>
            <w:tcW w:w="1395" w:type="dxa"/>
            <w:tcBorders>
              <w:bottom w:val="single" w:sz="6" w:space="0" w:color="000000"/>
              <w:right w:val="single" w:sz="6" w:space="0" w:color="000000"/>
            </w:tcBorders>
            <w:vAlign w:val="center"/>
          </w:tcPr>
          <w:p w14:paraId="7E957223" w14:textId="77777777" w:rsidR="007D706A" w:rsidRDefault="007D706A" w:rsidP="00F70508">
            <w:pPr>
              <w:pStyle w:val="ParagraphStyle6"/>
              <w:rPr>
                <w:rStyle w:val="CharacterStyle6"/>
              </w:rPr>
            </w:pPr>
            <w:r>
              <w:rPr>
                <w:rStyle w:val="CharacterStyle6"/>
              </w:rPr>
              <w:t>243.200,00</w:t>
            </w:r>
          </w:p>
        </w:tc>
        <w:tc>
          <w:tcPr>
            <w:tcW w:w="1395" w:type="dxa"/>
            <w:tcBorders>
              <w:bottom w:val="single" w:sz="6" w:space="0" w:color="000000"/>
              <w:right w:val="single" w:sz="6" w:space="0" w:color="000000"/>
            </w:tcBorders>
            <w:vAlign w:val="center"/>
          </w:tcPr>
          <w:p w14:paraId="4648A28C" w14:textId="77777777" w:rsidR="007D706A" w:rsidRDefault="007D706A" w:rsidP="00F70508">
            <w:pPr>
              <w:pStyle w:val="ParagraphStyle6"/>
              <w:rPr>
                <w:rStyle w:val="CharacterStyle6"/>
              </w:rPr>
            </w:pPr>
            <w:r>
              <w:rPr>
                <w:rStyle w:val="CharacterStyle6"/>
              </w:rPr>
              <w:t>278.300,00</w:t>
            </w:r>
          </w:p>
        </w:tc>
      </w:tr>
      <w:tr w:rsidR="007D706A" w14:paraId="35676DA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A90436C" w14:textId="77777777" w:rsidR="007D706A" w:rsidRDefault="007D706A" w:rsidP="00F70508">
            <w:pPr>
              <w:pStyle w:val="ParagraphStyle4"/>
              <w:rPr>
                <w:rStyle w:val="CharacterStyle4"/>
              </w:rPr>
            </w:pPr>
            <w:r>
              <w:rPr>
                <w:rStyle w:val="CharacterStyle4"/>
              </w:rPr>
              <w:t>Izvor financiranja 31</w:t>
            </w:r>
          </w:p>
        </w:tc>
        <w:tc>
          <w:tcPr>
            <w:tcW w:w="4995" w:type="dxa"/>
            <w:tcBorders>
              <w:bottom w:val="single" w:sz="6" w:space="0" w:color="000000"/>
              <w:right w:val="single" w:sz="6" w:space="0" w:color="000000"/>
            </w:tcBorders>
            <w:vAlign w:val="center"/>
          </w:tcPr>
          <w:p w14:paraId="7B7752E2" w14:textId="77777777" w:rsidR="007D706A" w:rsidRDefault="007D706A" w:rsidP="00F70508">
            <w:pPr>
              <w:pStyle w:val="ParagraphStyle5"/>
              <w:rPr>
                <w:rStyle w:val="CharacterStyle5"/>
              </w:rPr>
            </w:pPr>
            <w:r>
              <w:rPr>
                <w:rStyle w:val="CharacterStyle5"/>
              </w:rPr>
              <w:t>Vlastiti prihodi</w:t>
            </w:r>
          </w:p>
        </w:tc>
        <w:tc>
          <w:tcPr>
            <w:tcW w:w="1395" w:type="dxa"/>
            <w:tcBorders>
              <w:bottom w:val="single" w:sz="6" w:space="0" w:color="000000"/>
              <w:right w:val="single" w:sz="6" w:space="0" w:color="000000"/>
            </w:tcBorders>
            <w:vAlign w:val="center"/>
          </w:tcPr>
          <w:p w14:paraId="2BB3A156"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25413630" w14:textId="77777777" w:rsidR="007D706A" w:rsidRDefault="007D706A" w:rsidP="00F70508">
            <w:pPr>
              <w:pStyle w:val="ParagraphStyle6"/>
              <w:rPr>
                <w:rStyle w:val="CharacterStyle6"/>
              </w:rPr>
            </w:pPr>
            <w:r>
              <w:rPr>
                <w:rStyle w:val="CharacterStyle6"/>
              </w:rPr>
              <w:t>50,00</w:t>
            </w:r>
          </w:p>
        </w:tc>
        <w:tc>
          <w:tcPr>
            <w:tcW w:w="1395" w:type="dxa"/>
            <w:tcBorders>
              <w:bottom w:val="single" w:sz="6" w:space="0" w:color="000000"/>
              <w:right w:val="single" w:sz="6" w:space="0" w:color="000000"/>
            </w:tcBorders>
            <w:vAlign w:val="center"/>
          </w:tcPr>
          <w:p w14:paraId="51C89006" w14:textId="77777777" w:rsidR="007D706A" w:rsidRDefault="007D706A" w:rsidP="00F70508">
            <w:pPr>
              <w:pStyle w:val="ParagraphStyle6"/>
              <w:rPr>
                <w:rStyle w:val="CharacterStyle6"/>
              </w:rPr>
            </w:pPr>
            <w:r>
              <w:rPr>
                <w:rStyle w:val="CharacterStyle6"/>
              </w:rPr>
              <w:t>20,00</w:t>
            </w:r>
          </w:p>
        </w:tc>
        <w:tc>
          <w:tcPr>
            <w:tcW w:w="1395" w:type="dxa"/>
            <w:tcBorders>
              <w:bottom w:val="single" w:sz="6" w:space="0" w:color="000000"/>
              <w:right w:val="single" w:sz="6" w:space="0" w:color="000000"/>
            </w:tcBorders>
            <w:vAlign w:val="center"/>
          </w:tcPr>
          <w:p w14:paraId="164A260D"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35A27B78" w14:textId="77777777" w:rsidR="007D706A" w:rsidRDefault="007D706A" w:rsidP="00F70508">
            <w:pPr>
              <w:pStyle w:val="ParagraphStyle6"/>
              <w:rPr>
                <w:rStyle w:val="CharacterStyle6"/>
              </w:rPr>
            </w:pPr>
            <w:r>
              <w:rPr>
                <w:rStyle w:val="CharacterStyle6"/>
              </w:rPr>
              <w:t>0,00</w:t>
            </w:r>
          </w:p>
        </w:tc>
      </w:tr>
      <w:tr w:rsidR="007D706A" w14:paraId="6928D3B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BE68F4F" w14:textId="77777777" w:rsidR="007D706A" w:rsidRDefault="007D706A" w:rsidP="00F70508">
            <w:pPr>
              <w:pStyle w:val="ParagraphStyle4"/>
              <w:rPr>
                <w:rStyle w:val="CharacterStyle4"/>
              </w:rPr>
            </w:pPr>
            <w:r>
              <w:rPr>
                <w:rStyle w:val="CharacterStyle4"/>
              </w:rPr>
              <w:t>Izvor financiranja 53</w:t>
            </w:r>
          </w:p>
        </w:tc>
        <w:tc>
          <w:tcPr>
            <w:tcW w:w="4995" w:type="dxa"/>
            <w:tcBorders>
              <w:bottom w:val="single" w:sz="6" w:space="0" w:color="000000"/>
              <w:right w:val="single" w:sz="6" w:space="0" w:color="000000"/>
            </w:tcBorders>
            <w:vAlign w:val="center"/>
          </w:tcPr>
          <w:p w14:paraId="3714BC44" w14:textId="77777777" w:rsidR="007D706A" w:rsidRDefault="007D706A" w:rsidP="00F70508">
            <w:pPr>
              <w:pStyle w:val="ParagraphStyle5"/>
              <w:rPr>
                <w:rStyle w:val="CharacterStyle5"/>
              </w:rPr>
            </w:pPr>
            <w:r>
              <w:rPr>
                <w:rStyle w:val="CharacterStyle5"/>
              </w:rPr>
              <w:t>Proračuni, drugi nivoi - za posebne i / ili ugovorene namjene</w:t>
            </w:r>
          </w:p>
        </w:tc>
        <w:tc>
          <w:tcPr>
            <w:tcW w:w="1395" w:type="dxa"/>
            <w:tcBorders>
              <w:bottom w:val="single" w:sz="6" w:space="0" w:color="000000"/>
              <w:right w:val="single" w:sz="6" w:space="0" w:color="000000"/>
            </w:tcBorders>
            <w:vAlign w:val="center"/>
          </w:tcPr>
          <w:p w14:paraId="31874C21"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2E805625" w14:textId="77777777" w:rsidR="007D706A" w:rsidRDefault="007D706A" w:rsidP="00F70508">
            <w:pPr>
              <w:pStyle w:val="ParagraphStyle6"/>
              <w:rPr>
                <w:rStyle w:val="CharacterStyle6"/>
              </w:rPr>
            </w:pPr>
            <w:r>
              <w:rPr>
                <w:rStyle w:val="CharacterStyle6"/>
              </w:rPr>
              <w:t>23.182,00</w:t>
            </w:r>
          </w:p>
        </w:tc>
        <w:tc>
          <w:tcPr>
            <w:tcW w:w="1395" w:type="dxa"/>
            <w:tcBorders>
              <w:bottom w:val="single" w:sz="6" w:space="0" w:color="000000"/>
              <w:right w:val="single" w:sz="6" w:space="0" w:color="000000"/>
            </w:tcBorders>
            <w:vAlign w:val="center"/>
          </w:tcPr>
          <w:p w14:paraId="0C75A036"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178FF822"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092EF2E4" w14:textId="77777777" w:rsidR="007D706A" w:rsidRDefault="007D706A" w:rsidP="00F70508">
            <w:pPr>
              <w:pStyle w:val="ParagraphStyle6"/>
              <w:rPr>
                <w:rStyle w:val="CharacterStyle6"/>
              </w:rPr>
            </w:pPr>
            <w:r>
              <w:rPr>
                <w:rStyle w:val="CharacterStyle6"/>
              </w:rPr>
              <w:t>0,00</w:t>
            </w:r>
          </w:p>
        </w:tc>
      </w:tr>
      <w:tr w:rsidR="007D706A" w14:paraId="09454EF5" w14:textId="77777777" w:rsidTr="00F70508">
        <w:trPr>
          <w:trHeight w:val="420"/>
        </w:trPr>
        <w:tc>
          <w:tcPr>
            <w:tcW w:w="2880" w:type="dxa"/>
            <w:tcBorders>
              <w:left w:val="single" w:sz="6" w:space="0" w:color="000000"/>
              <w:bottom w:val="single" w:sz="6" w:space="0" w:color="000000"/>
              <w:right w:val="single" w:sz="6" w:space="0" w:color="000000"/>
            </w:tcBorders>
            <w:vAlign w:val="center"/>
          </w:tcPr>
          <w:p w14:paraId="5E4E1659" w14:textId="77777777" w:rsidR="007D706A" w:rsidRDefault="007D706A" w:rsidP="00F70508">
            <w:pPr>
              <w:pStyle w:val="ParagraphStyle4"/>
              <w:rPr>
                <w:rStyle w:val="CharacterStyle4"/>
              </w:rPr>
            </w:pPr>
            <w:r>
              <w:rPr>
                <w:rStyle w:val="CharacterStyle4"/>
              </w:rPr>
              <w:t>PROGRAM    1001</w:t>
            </w:r>
          </w:p>
        </w:tc>
        <w:tc>
          <w:tcPr>
            <w:tcW w:w="4995" w:type="dxa"/>
            <w:tcBorders>
              <w:bottom w:val="single" w:sz="6" w:space="0" w:color="000000"/>
              <w:right w:val="single" w:sz="6" w:space="0" w:color="000000"/>
            </w:tcBorders>
            <w:vAlign w:val="center"/>
          </w:tcPr>
          <w:p w14:paraId="74BC477E" w14:textId="77777777" w:rsidR="007D706A" w:rsidRDefault="007D706A" w:rsidP="00F70508">
            <w:pPr>
              <w:pStyle w:val="ParagraphStyle5"/>
              <w:rPr>
                <w:rStyle w:val="CharacterStyle5"/>
              </w:rPr>
            </w:pPr>
            <w:r>
              <w:rPr>
                <w:rStyle w:val="CharacterStyle5"/>
              </w:rPr>
              <w:t>MJERE I AKTIVNOSTI IZ DJELOKRUGA PREDSTAVNIČKOG TIJELA</w:t>
            </w:r>
          </w:p>
        </w:tc>
        <w:tc>
          <w:tcPr>
            <w:tcW w:w="1395" w:type="dxa"/>
            <w:tcBorders>
              <w:bottom w:val="single" w:sz="6" w:space="0" w:color="000000"/>
              <w:right w:val="single" w:sz="6" w:space="0" w:color="000000"/>
            </w:tcBorders>
            <w:vAlign w:val="center"/>
          </w:tcPr>
          <w:p w14:paraId="760FB3F1"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53771877" w14:textId="77777777" w:rsidR="007D706A" w:rsidRDefault="007D706A" w:rsidP="00F70508">
            <w:pPr>
              <w:pStyle w:val="ParagraphStyle6"/>
              <w:rPr>
                <w:rStyle w:val="CharacterStyle6"/>
              </w:rPr>
            </w:pPr>
            <w:r>
              <w:rPr>
                <w:rStyle w:val="CharacterStyle6"/>
              </w:rPr>
              <w:t>220.214,50</w:t>
            </w:r>
          </w:p>
        </w:tc>
        <w:tc>
          <w:tcPr>
            <w:tcW w:w="1395" w:type="dxa"/>
            <w:tcBorders>
              <w:bottom w:val="single" w:sz="6" w:space="0" w:color="000000"/>
              <w:right w:val="single" w:sz="6" w:space="0" w:color="000000"/>
            </w:tcBorders>
            <w:vAlign w:val="center"/>
          </w:tcPr>
          <w:p w14:paraId="1AF26712" w14:textId="77777777" w:rsidR="007D706A" w:rsidRDefault="007D706A" w:rsidP="00F70508">
            <w:pPr>
              <w:pStyle w:val="ParagraphStyle6"/>
              <w:rPr>
                <w:rStyle w:val="CharacterStyle6"/>
              </w:rPr>
            </w:pPr>
            <w:r>
              <w:rPr>
                <w:rStyle w:val="CharacterStyle6"/>
              </w:rPr>
              <w:t>204.912,00</w:t>
            </w:r>
          </w:p>
        </w:tc>
        <w:tc>
          <w:tcPr>
            <w:tcW w:w="1395" w:type="dxa"/>
            <w:tcBorders>
              <w:bottom w:val="single" w:sz="6" w:space="0" w:color="000000"/>
              <w:right w:val="single" w:sz="6" w:space="0" w:color="000000"/>
            </w:tcBorders>
            <w:vAlign w:val="center"/>
          </w:tcPr>
          <w:p w14:paraId="6068EF36" w14:textId="77777777" w:rsidR="007D706A" w:rsidRDefault="007D706A" w:rsidP="00F70508">
            <w:pPr>
              <w:pStyle w:val="ParagraphStyle6"/>
              <w:rPr>
                <w:rStyle w:val="CharacterStyle6"/>
              </w:rPr>
            </w:pPr>
            <w:r>
              <w:rPr>
                <w:rStyle w:val="CharacterStyle6"/>
              </w:rPr>
              <w:t>206.000,00</w:t>
            </w:r>
          </w:p>
        </w:tc>
        <w:tc>
          <w:tcPr>
            <w:tcW w:w="1395" w:type="dxa"/>
            <w:tcBorders>
              <w:bottom w:val="single" w:sz="6" w:space="0" w:color="000000"/>
              <w:right w:val="single" w:sz="6" w:space="0" w:color="000000"/>
            </w:tcBorders>
            <w:vAlign w:val="center"/>
          </w:tcPr>
          <w:p w14:paraId="34ADC402" w14:textId="77777777" w:rsidR="007D706A" w:rsidRDefault="007D706A" w:rsidP="00F70508">
            <w:pPr>
              <w:pStyle w:val="ParagraphStyle6"/>
              <w:rPr>
                <w:rStyle w:val="CharacterStyle6"/>
              </w:rPr>
            </w:pPr>
            <w:r>
              <w:rPr>
                <w:rStyle w:val="CharacterStyle6"/>
              </w:rPr>
              <w:t>207.000,00</w:t>
            </w:r>
          </w:p>
        </w:tc>
      </w:tr>
      <w:tr w:rsidR="007D706A" w14:paraId="18DDC679" w14:textId="77777777" w:rsidTr="00F70508">
        <w:trPr>
          <w:trHeight w:val="405"/>
        </w:trPr>
        <w:tc>
          <w:tcPr>
            <w:tcW w:w="2880" w:type="dxa"/>
            <w:tcBorders>
              <w:left w:val="single" w:sz="6" w:space="0" w:color="000000"/>
              <w:bottom w:val="single" w:sz="6" w:space="0" w:color="000000"/>
              <w:right w:val="single" w:sz="6" w:space="0" w:color="000000"/>
            </w:tcBorders>
            <w:vAlign w:val="center"/>
          </w:tcPr>
          <w:p w14:paraId="42F2B265" w14:textId="77777777" w:rsidR="007D706A" w:rsidRDefault="007D706A" w:rsidP="00F70508">
            <w:pPr>
              <w:pStyle w:val="ParagraphStyle4"/>
              <w:rPr>
                <w:rStyle w:val="CharacterStyle4"/>
              </w:rPr>
            </w:pPr>
            <w:r>
              <w:rPr>
                <w:rStyle w:val="CharacterStyle4"/>
              </w:rPr>
              <w:t>Aktivnost A100101</w:t>
            </w:r>
          </w:p>
        </w:tc>
        <w:tc>
          <w:tcPr>
            <w:tcW w:w="4995" w:type="dxa"/>
            <w:tcBorders>
              <w:bottom w:val="single" w:sz="6" w:space="0" w:color="000000"/>
              <w:right w:val="single" w:sz="6" w:space="0" w:color="000000"/>
            </w:tcBorders>
            <w:vAlign w:val="center"/>
          </w:tcPr>
          <w:p w14:paraId="73B298AA" w14:textId="77777777" w:rsidR="007D706A" w:rsidRDefault="007D706A" w:rsidP="00F70508">
            <w:pPr>
              <w:pStyle w:val="ParagraphStyle5"/>
              <w:rPr>
                <w:rStyle w:val="CharacterStyle5"/>
              </w:rPr>
            </w:pPr>
            <w:r>
              <w:rPr>
                <w:rStyle w:val="CharacterStyle5"/>
              </w:rPr>
              <w:t>SJEDNICE GRADSKOG VIJEĆA I NAKNADE PREDSTAVNIČKIM I RADNIM TIJELIMA</w:t>
            </w:r>
          </w:p>
        </w:tc>
        <w:tc>
          <w:tcPr>
            <w:tcW w:w="1395" w:type="dxa"/>
            <w:tcBorders>
              <w:bottom w:val="single" w:sz="6" w:space="0" w:color="000000"/>
              <w:right w:val="single" w:sz="6" w:space="0" w:color="000000"/>
            </w:tcBorders>
            <w:vAlign w:val="center"/>
          </w:tcPr>
          <w:p w14:paraId="2597B901"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48A12FF5" w14:textId="77777777" w:rsidR="007D706A" w:rsidRDefault="007D706A" w:rsidP="00F70508">
            <w:pPr>
              <w:pStyle w:val="ParagraphStyle6"/>
              <w:rPr>
                <w:rStyle w:val="CharacterStyle6"/>
              </w:rPr>
            </w:pPr>
            <w:r>
              <w:rPr>
                <w:rStyle w:val="CharacterStyle6"/>
              </w:rPr>
              <w:t>67.026,00</w:t>
            </w:r>
          </w:p>
        </w:tc>
        <w:tc>
          <w:tcPr>
            <w:tcW w:w="1395" w:type="dxa"/>
            <w:tcBorders>
              <w:bottom w:val="single" w:sz="6" w:space="0" w:color="000000"/>
              <w:right w:val="single" w:sz="6" w:space="0" w:color="000000"/>
            </w:tcBorders>
            <w:vAlign w:val="center"/>
          </w:tcPr>
          <w:p w14:paraId="6AB9A69D" w14:textId="77777777" w:rsidR="007D706A" w:rsidRDefault="007D706A" w:rsidP="00F70508">
            <w:pPr>
              <w:pStyle w:val="ParagraphStyle6"/>
              <w:rPr>
                <w:rStyle w:val="CharacterStyle6"/>
              </w:rPr>
            </w:pPr>
            <w:r>
              <w:rPr>
                <w:rStyle w:val="CharacterStyle6"/>
              </w:rPr>
              <w:t>95.255,50</w:t>
            </w:r>
          </w:p>
        </w:tc>
        <w:tc>
          <w:tcPr>
            <w:tcW w:w="1395" w:type="dxa"/>
            <w:tcBorders>
              <w:bottom w:val="single" w:sz="6" w:space="0" w:color="000000"/>
              <w:right w:val="single" w:sz="6" w:space="0" w:color="000000"/>
            </w:tcBorders>
            <w:vAlign w:val="center"/>
          </w:tcPr>
          <w:p w14:paraId="6F39C25A" w14:textId="77777777" w:rsidR="007D706A" w:rsidRDefault="007D706A" w:rsidP="00F70508">
            <w:pPr>
              <w:pStyle w:val="ParagraphStyle6"/>
              <w:rPr>
                <w:rStyle w:val="CharacterStyle6"/>
              </w:rPr>
            </w:pPr>
            <w:r>
              <w:rPr>
                <w:rStyle w:val="CharacterStyle6"/>
              </w:rPr>
              <w:t>96.000,00</w:t>
            </w:r>
          </w:p>
        </w:tc>
        <w:tc>
          <w:tcPr>
            <w:tcW w:w="1395" w:type="dxa"/>
            <w:tcBorders>
              <w:bottom w:val="single" w:sz="6" w:space="0" w:color="000000"/>
              <w:right w:val="single" w:sz="6" w:space="0" w:color="000000"/>
            </w:tcBorders>
            <w:vAlign w:val="center"/>
          </w:tcPr>
          <w:p w14:paraId="15E1F76D" w14:textId="77777777" w:rsidR="007D706A" w:rsidRDefault="007D706A" w:rsidP="00F70508">
            <w:pPr>
              <w:pStyle w:val="ParagraphStyle6"/>
              <w:rPr>
                <w:rStyle w:val="CharacterStyle6"/>
              </w:rPr>
            </w:pPr>
            <w:r>
              <w:rPr>
                <w:rStyle w:val="CharacterStyle6"/>
              </w:rPr>
              <w:t>96.500,00</w:t>
            </w:r>
          </w:p>
        </w:tc>
      </w:tr>
      <w:tr w:rsidR="007D706A" w14:paraId="3577261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F13DA70"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07AFC34C"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7CE3EE75"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F3FF304" w14:textId="77777777" w:rsidR="007D706A" w:rsidRDefault="007D706A" w:rsidP="00F70508">
            <w:pPr>
              <w:pStyle w:val="ParagraphStyle9"/>
              <w:rPr>
                <w:rStyle w:val="CharacterStyle9"/>
              </w:rPr>
            </w:pPr>
            <w:r>
              <w:rPr>
                <w:rStyle w:val="CharacterStyle9"/>
              </w:rPr>
              <w:t>67.026,00</w:t>
            </w:r>
          </w:p>
        </w:tc>
        <w:tc>
          <w:tcPr>
            <w:tcW w:w="1395" w:type="dxa"/>
            <w:tcBorders>
              <w:bottom w:val="single" w:sz="6" w:space="0" w:color="000000"/>
              <w:right w:val="single" w:sz="6" w:space="0" w:color="000000"/>
            </w:tcBorders>
            <w:vAlign w:val="center"/>
          </w:tcPr>
          <w:p w14:paraId="635ACBAC" w14:textId="77777777" w:rsidR="007D706A" w:rsidRDefault="007D706A" w:rsidP="00F70508">
            <w:pPr>
              <w:pStyle w:val="ParagraphStyle9"/>
              <w:rPr>
                <w:rStyle w:val="CharacterStyle9"/>
              </w:rPr>
            </w:pPr>
            <w:r>
              <w:rPr>
                <w:rStyle w:val="CharacterStyle9"/>
              </w:rPr>
              <w:t>95.255,50</w:t>
            </w:r>
          </w:p>
        </w:tc>
        <w:tc>
          <w:tcPr>
            <w:tcW w:w="1395" w:type="dxa"/>
            <w:tcBorders>
              <w:bottom w:val="single" w:sz="6" w:space="0" w:color="000000"/>
              <w:right w:val="single" w:sz="6" w:space="0" w:color="000000"/>
            </w:tcBorders>
            <w:vAlign w:val="center"/>
          </w:tcPr>
          <w:p w14:paraId="2D4482EA" w14:textId="77777777" w:rsidR="007D706A" w:rsidRDefault="007D706A" w:rsidP="00F70508">
            <w:pPr>
              <w:pStyle w:val="ParagraphStyle9"/>
              <w:rPr>
                <w:rStyle w:val="CharacterStyle9"/>
              </w:rPr>
            </w:pPr>
            <w:r>
              <w:rPr>
                <w:rStyle w:val="CharacterStyle9"/>
              </w:rPr>
              <w:t>96.000,00</w:t>
            </w:r>
          </w:p>
        </w:tc>
        <w:tc>
          <w:tcPr>
            <w:tcW w:w="1395" w:type="dxa"/>
            <w:tcBorders>
              <w:bottom w:val="single" w:sz="6" w:space="0" w:color="000000"/>
              <w:right w:val="single" w:sz="6" w:space="0" w:color="000000"/>
            </w:tcBorders>
            <w:vAlign w:val="center"/>
          </w:tcPr>
          <w:p w14:paraId="385F2765" w14:textId="77777777" w:rsidR="007D706A" w:rsidRDefault="007D706A" w:rsidP="00F70508">
            <w:pPr>
              <w:pStyle w:val="ParagraphStyle9"/>
              <w:rPr>
                <w:rStyle w:val="CharacterStyle9"/>
              </w:rPr>
            </w:pPr>
            <w:r>
              <w:rPr>
                <w:rStyle w:val="CharacterStyle9"/>
              </w:rPr>
              <w:t>96.500,00</w:t>
            </w:r>
          </w:p>
        </w:tc>
      </w:tr>
      <w:tr w:rsidR="007D706A" w14:paraId="7EB852D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6FDC089"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3FD022BC"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2ED14D6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E9350B8" w14:textId="77777777" w:rsidR="007D706A" w:rsidRDefault="007D706A" w:rsidP="00F70508">
            <w:pPr>
              <w:pStyle w:val="ParagraphStyle12"/>
              <w:rPr>
                <w:rStyle w:val="CharacterStyle12"/>
              </w:rPr>
            </w:pPr>
            <w:r>
              <w:rPr>
                <w:rStyle w:val="CharacterStyle12"/>
              </w:rPr>
              <w:t>67.026,00</w:t>
            </w:r>
          </w:p>
        </w:tc>
        <w:tc>
          <w:tcPr>
            <w:tcW w:w="1395" w:type="dxa"/>
            <w:tcBorders>
              <w:bottom w:val="single" w:sz="6" w:space="0" w:color="000000"/>
              <w:right w:val="single" w:sz="6" w:space="0" w:color="000000"/>
            </w:tcBorders>
            <w:vAlign w:val="center"/>
          </w:tcPr>
          <w:p w14:paraId="648C76B0" w14:textId="77777777" w:rsidR="007D706A" w:rsidRDefault="007D706A" w:rsidP="00F70508">
            <w:pPr>
              <w:pStyle w:val="ParagraphStyle12"/>
              <w:rPr>
                <w:rStyle w:val="CharacterStyle12"/>
              </w:rPr>
            </w:pPr>
            <w:r>
              <w:rPr>
                <w:rStyle w:val="CharacterStyle12"/>
              </w:rPr>
              <w:t>95.255,50</w:t>
            </w:r>
          </w:p>
        </w:tc>
        <w:tc>
          <w:tcPr>
            <w:tcW w:w="1395" w:type="dxa"/>
            <w:tcBorders>
              <w:bottom w:val="single" w:sz="6" w:space="0" w:color="000000"/>
              <w:right w:val="single" w:sz="6" w:space="0" w:color="000000"/>
            </w:tcBorders>
            <w:vAlign w:val="center"/>
          </w:tcPr>
          <w:p w14:paraId="7BB22197" w14:textId="77777777" w:rsidR="007D706A" w:rsidRDefault="007D706A" w:rsidP="00F70508">
            <w:pPr>
              <w:pStyle w:val="ParagraphStyle12"/>
              <w:rPr>
                <w:rStyle w:val="CharacterStyle12"/>
              </w:rPr>
            </w:pPr>
            <w:r>
              <w:rPr>
                <w:rStyle w:val="CharacterStyle12"/>
              </w:rPr>
              <w:t>96.000,00</w:t>
            </w:r>
          </w:p>
        </w:tc>
        <w:tc>
          <w:tcPr>
            <w:tcW w:w="1395" w:type="dxa"/>
            <w:tcBorders>
              <w:bottom w:val="single" w:sz="6" w:space="0" w:color="000000"/>
              <w:right w:val="single" w:sz="6" w:space="0" w:color="000000"/>
            </w:tcBorders>
            <w:vAlign w:val="center"/>
          </w:tcPr>
          <w:p w14:paraId="7BBF8E05" w14:textId="77777777" w:rsidR="007D706A" w:rsidRDefault="007D706A" w:rsidP="00F70508">
            <w:pPr>
              <w:pStyle w:val="ParagraphStyle12"/>
              <w:rPr>
                <w:rStyle w:val="CharacterStyle12"/>
              </w:rPr>
            </w:pPr>
            <w:r>
              <w:rPr>
                <w:rStyle w:val="CharacterStyle12"/>
              </w:rPr>
              <w:t>96.500,00</w:t>
            </w:r>
          </w:p>
        </w:tc>
      </w:tr>
      <w:tr w:rsidR="007D706A" w14:paraId="6AD535D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0501500"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1B424857"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58DDF2F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5BDFEC3" w14:textId="77777777" w:rsidR="007D706A" w:rsidRDefault="007D706A" w:rsidP="00F70508">
            <w:pPr>
              <w:pStyle w:val="ParagraphStyle12"/>
              <w:rPr>
                <w:rStyle w:val="CharacterStyle12"/>
              </w:rPr>
            </w:pPr>
            <w:r>
              <w:rPr>
                <w:rStyle w:val="CharacterStyle12"/>
              </w:rPr>
              <w:t>67.026,00</w:t>
            </w:r>
          </w:p>
        </w:tc>
        <w:tc>
          <w:tcPr>
            <w:tcW w:w="1395" w:type="dxa"/>
            <w:tcBorders>
              <w:bottom w:val="single" w:sz="6" w:space="0" w:color="000000"/>
              <w:right w:val="single" w:sz="6" w:space="0" w:color="000000"/>
            </w:tcBorders>
            <w:vAlign w:val="center"/>
          </w:tcPr>
          <w:p w14:paraId="74E3584D" w14:textId="77777777" w:rsidR="007D706A" w:rsidRDefault="007D706A" w:rsidP="00F70508">
            <w:pPr>
              <w:pStyle w:val="ParagraphStyle12"/>
              <w:rPr>
                <w:rStyle w:val="CharacterStyle12"/>
              </w:rPr>
            </w:pPr>
            <w:r>
              <w:rPr>
                <w:rStyle w:val="CharacterStyle12"/>
              </w:rPr>
              <w:t>95.255,50</w:t>
            </w:r>
          </w:p>
        </w:tc>
        <w:tc>
          <w:tcPr>
            <w:tcW w:w="1395" w:type="dxa"/>
            <w:tcBorders>
              <w:bottom w:val="single" w:sz="6" w:space="0" w:color="000000"/>
              <w:right w:val="single" w:sz="6" w:space="0" w:color="000000"/>
            </w:tcBorders>
            <w:vAlign w:val="center"/>
          </w:tcPr>
          <w:p w14:paraId="50BF7D87" w14:textId="77777777" w:rsidR="007D706A" w:rsidRDefault="007D706A" w:rsidP="00F70508">
            <w:pPr>
              <w:pStyle w:val="ParagraphStyle12"/>
              <w:rPr>
                <w:rStyle w:val="CharacterStyle12"/>
              </w:rPr>
            </w:pPr>
            <w:r>
              <w:rPr>
                <w:rStyle w:val="CharacterStyle12"/>
              </w:rPr>
              <w:t>96.000,00</w:t>
            </w:r>
          </w:p>
        </w:tc>
        <w:tc>
          <w:tcPr>
            <w:tcW w:w="1395" w:type="dxa"/>
            <w:tcBorders>
              <w:bottom w:val="single" w:sz="6" w:space="0" w:color="000000"/>
              <w:right w:val="single" w:sz="6" w:space="0" w:color="000000"/>
            </w:tcBorders>
            <w:vAlign w:val="center"/>
          </w:tcPr>
          <w:p w14:paraId="5D3F921C" w14:textId="77777777" w:rsidR="007D706A" w:rsidRDefault="007D706A" w:rsidP="00F70508">
            <w:pPr>
              <w:pStyle w:val="ParagraphStyle12"/>
              <w:rPr>
                <w:rStyle w:val="CharacterStyle12"/>
              </w:rPr>
            </w:pPr>
            <w:r>
              <w:rPr>
                <w:rStyle w:val="CharacterStyle12"/>
              </w:rPr>
              <w:t>96.500,00</w:t>
            </w:r>
          </w:p>
        </w:tc>
      </w:tr>
      <w:tr w:rsidR="007D706A" w14:paraId="59F964B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07FEBCD" w14:textId="77777777" w:rsidR="007D706A" w:rsidRDefault="007D706A" w:rsidP="00F70508">
            <w:pPr>
              <w:pStyle w:val="ParagraphStyle4"/>
              <w:rPr>
                <w:rStyle w:val="CharacterStyle4"/>
              </w:rPr>
            </w:pPr>
            <w:r>
              <w:rPr>
                <w:rStyle w:val="CharacterStyle4"/>
              </w:rPr>
              <w:t>Aktivnost A100105</w:t>
            </w:r>
          </w:p>
        </w:tc>
        <w:tc>
          <w:tcPr>
            <w:tcW w:w="4995" w:type="dxa"/>
            <w:tcBorders>
              <w:bottom w:val="single" w:sz="6" w:space="0" w:color="000000"/>
              <w:right w:val="single" w:sz="6" w:space="0" w:color="000000"/>
            </w:tcBorders>
            <w:vAlign w:val="center"/>
          </w:tcPr>
          <w:p w14:paraId="1685D7D7" w14:textId="77777777" w:rsidR="007D706A" w:rsidRDefault="007D706A" w:rsidP="00F70508">
            <w:pPr>
              <w:pStyle w:val="ParagraphStyle5"/>
              <w:rPr>
                <w:rStyle w:val="CharacterStyle5"/>
              </w:rPr>
            </w:pPr>
            <w:r>
              <w:rPr>
                <w:rStyle w:val="CharacterStyle5"/>
              </w:rPr>
              <w:t>ODNOSI S INOZEMSTVOM</w:t>
            </w:r>
          </w:p>
        </w:tc>
        <w:tc>
          <w:tcPr>
            <w:tcW w:w="1395" w:type="dxa"/>
            <w:tcBorders>
              <w:bottom w:val="single" w:sz="6" w:space="0" w:color="000000"/>
              <w:right w:val="single" w:sz="6" w:space="0" w:color="000000"/>
            </w:tcBorders>
            <w:vAlign w:val="center"/>
          </w:tcPr>
          <w:p w14:paraId="27B607B5"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0D5271DD" w14:textId="77777777" w:rsidR="007D706A" w:rsidRDefault="007D706A" w:rsidP="00F70508">
            <w:pPr>
              <w:pStyle w:val="ParagraphStyle6"/>
              <w:rPr>
                <w:rStyle w:val="CharacterStyle6"/>
              </w:rPr>
            </w:pPr>
            <w:r>
              <w:rPr>
                <w:rStyle w:val="CharacterStyle6"/>
              </w:rPr>
              <w:t>19.000,00</w:t>
            </w:r>
          </w:p>
        </w:tc>
        <w:tc>
          <w:tcPr>
            <w:tcW w:w="1395" w:type="dxa"/>
            <w:tcBorders>
              <w:bottom w:val="single" w:sz="6" w:space="0" w:color="000000"/>
              <w:right w:val="single" w:sz="6" w:space="0" w:color="000000"/>
            </w:tcBorders>
            <w:vAlign w:val="center"/>
          </w:tcPr>
          <w:p w14:paraId="2EE6ED39" w14:textId="77777777" w:rsidR="007D706A" w:rsidRDefault="007D706A" w:rsidP="00F70508">
            <w:pPr>
              <w:pStyle w:val="ParagraphStyle6"/>
              <w:rPr>
                <w:rStyle w:val="CharacterStyle6"/>
              </w:rPr>
            </w:pPr>
            <w:r>
              <w:rPr>
                <w:rStyle w:val="CharacterStyle6"/>
              </w:rPr>
              <w:t>35.000,00</w:t>
            </w:r>
          </w:p>
        </w:tc>
        <w:tc>
          <w:tcPr>
            <w:tcW w:w="1395" w:type="dxa"/>
            <w:tcBorders>
              <w:bottom w:val="single" w:sz="6" w:space="0" w:color="000000"/>
              <w:right w:val="single" w:sz="6" w:space="0" w:color="000000"/>
            </w:tcBorders>
            <w:vAlign w:val="center"/>
          </w:tcPr>
          <w:p w14:paraId="6C27778D" w14:textId="77777777" w:rsidR="007D706A" w:rsidRDefault="007D706A" w:rsidP="00F70508">
            <w:pPr>
              <w:pStyle w:val="ParagraphStyle6"/>
              <w:rPr>
                <w:rStyle w:val="CharacterStyle6"/>
              </w:rPr>
            </w:pPr>
            <w:r>
              <w:rPr>
                <w:rStyle w:val="CharacterStyle6"/>
              </w:rPr>
              <w:t>35.000,00</w:t>
            </w:r>
          </w:p>
        </w:tc>
        <w:tc>
          <w:tcPr>
            <w:tcW w:w="1395" w:type="dxa"/>
            <w:tcBorders>
              <w:bottom w:val="single" w:sz="6" w:space="0" w:color="000000"/>
              <w:right w:val="single" w:sz="6" w:space="0" w:color="000000"/>
            </w:tcBorders>
            <w:vAlign w:val="center"/>
          </w:tcPr>
          <w:p w14:paraId="41223FE1" w14:textId="77777777" w:rsidR="007D706A" w:rsidRDefault="007D706A" w:rsidP="00F70508">
            <w:pPr>
              <w:pStyle w:val="ParagraphStyle6"/>
              <w:rPr>
                <w:rStyle w:val="CharacterStyle6"/>
              </w:rPr>
            </w:pPr>
            <w:r>
              <w:rPr>
                <w:rStyle w:val="CharacterStyle6"/>
              </w:rPr>
              <w:t>35.000,00</w:t>
            </w:r>
          </w:p>
        </w:tc>
      </w:tr>
      <w:tr w:rsidR="007D706A" w14:paraId="44CFA85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F98BEDB"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31DEA842"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45E9B781"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231AD4D" w14:textId="77777777" w:rsidR="007D706A" w:rsidRDefault="007D706A" w:rsidP="00F70508">
            <w:pPr>
              <w:pStyle w:val="ParagraphStyle9"/>
              <w:rPr>
                <w:rStyle w:val="CharacterStyle9"/>
              </w:rPr>
            </w:pPr>
            <w:r>
              <w:rPr>
                <w:rStyle w:val="CharacterStyle9"/>
              </w:rPr>
              <w:t>19.000,00</w:t>
            </w:r>
          </w:p>
        </w:tc>
        <w:tc>
          <w:tcPr>
            <w:tcW w:w="1395" w:type="dxa"/>
            <w:tcBorders>
              <w:bottom w:val="single" w:sz="6" w:space="0" w:color="000000"/>
              <w:right w:val="single" w:sz="6" w:space="0" w:color="000000"/>
            </w:tcBorders>
            <w:vAlign w:val="center"/>
          </w:tcPr>
          <w:p w14:paraId="36D229DB" w14:textId="77777777" w:rsidR="007D706A" w:rsidRDefault="007D706A" w:rsidP="00F70508">
            <w:pPr>
              <w:pStyle w:val="ParagraphStyle9"/>
              <w:rPr>
                <w:rStyle w:val="CharacterStyle9"/>
              </w:rPr>
            </w:pPr>
            <w:r>
              <w:rPr>
                <w:rStyle w:val="CharacterStyle9"/>
              </w:rPr>
              <w:t>35.000,00</w:t>
            </w:r>
          </w:p>
        </w:tc>
        <w:tc>
          <w:tcPr>
            <w:tcW w:w="1395" w:type="dxa"/>
            <w:tcBorders>
              <w:bottom w:val="single" w:sz="6" w:space="0" w:color="000000"/>
              <w:right w:val="single" w:sz="6" w:space="0" w:color="000000"/>
            </w:tcBorders>
            <w:vAlign w:val="center"/>
          </w:tcPr>
          <w:p w14:paraId="379C89F4" w14:textId="77777777" w:rsidR="007D706A" w:rsidRDefault="007D706A" w:rsidP="00F70508">
            <w:pPr>
              <w:pStyle w:val="ParagraphStyle9"/>
              <w:rPr>
                <w:rStyle w:val="CharacterStyle9"/>
              </w:rPr>
            </w:pPr>
            <w:r>
              <w:rPr>
                <w:rStyle w:val="CharacterStyle9"/>
              </w:rPr>
              <w:t>35.000,00</w:t>
            </w:r>
          </w:p>
        </w:tc>
        <w:tc>
          <w:tcPr>
            <w:tcW w:w="1395" w:type="dxa"/>
            <w:tcBorders>
              <w:bottom w:val="single" w:sz="6" w:space="0" w:color="000000"/>
              <w:right w:val="single" w:sz="6" w:space="0" w:color="000000"/>
            </w:tcBorders>
            <w:vAlign w:val="center"/>
          </w:tcPr>
          <w:p w14:paraId="0B6535DA" w14:textId="77777777" w:rsidR="007D706A" w:rsidRDefault="007D706A" w:rsidP="00F70508">
            <w:pPr>
              <w:pStyle w:val="ParagraphStyle9"/>
              <w:rPr>
                <w:rStyle w:val="CharacterStyle9"/>
              </w:rPr>
            </w:pPr>
            <w:r>
              <w:rPr>
                <w:rStyle w:val="CharacterStyle9"/>
              </w:rPr>
              <w:t>35.000,00</w:t>
            </w:r>
          </w:p>
        </w:tc>
      </w:tr>
      <w:tr w:rsidR="007D706A" w14:paraId="0CA772C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D7ACC27"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1AF6E23D"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0C52118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37854CB" w14:textId="77777777" w:rsidR="007D706A" w:rsidRDefault="007D706A" w:rsidP="00F70508">
            <w:pPr>
              <w:pStyle w:val="ParagraphStyle12"/>
              <w:rPr>
                <w:rStyle w:val="CharacterStyle12"/>
              </w:rPr>
            </w:pPr>
            <w:r>
              <w:rPr>
                <w:rStyle w:val="CharacterStyle12"/>
              </w:rPr>
              <w:t>19.000,00</w:t>
            </w:r>
          </w:p>
        </w:tc>
        <w:tc>
          <w:tcPr>
            <w:tcW w:w="1395" w:type="dxa"/>
            <w:tcBorders>
              <w:bottom w:val="single" w:sz="6" w:space="0" w:color="000000"/>
              <w:right w:val="single" w:sz="6" w:space="0" w:color="000000"/>
            </w:tcBorders>
            <w:vAlign w:val="center"/>
          </w:tcPr>
          <w:p w14:paraId="7A59D246" w14:textId="77777777" w:rsidR="007D706A" w:rsidRDefault="007D706A" w:rsidP="00F70508">
            <w:pPr>
              <w:pStyle w:val="ParagraphStyle12"/>
              <w:rPr>
                <w:rStyle w:val="CharacterStyle12"/>
              </w:rPr>
            </w:pPr>
            <w:r>
              <w:rPr>
                <w:rStyle w:val="CharacterStyle12"/>
              </w:rPr>
              <w:t>35.000,00</w:t>
            </w:r>
          </w:p>
        </w:tc>
        <w:tc>
          <w:tcPr>
            <w:tcW w:w="1395" w:type="dxa"/>
            <w:tcBorders>
              <w:bottom w:val="single" w:sz="6" w:space="0" w:color="000000"/>
              <w:right w:val="single" w:sz="6" w:space="0" w:color="000000"/>
            </w:tcBorders>
            <w:vAlign w:val="center"/>
          </w:tcPr>
          <w:p w14:paraId="62E4C229" w14:textId="77777777" w:rsidR="007D706A" w:rsidRDefault="007D706A" w:rsidP="00F70508">
            <w:pPr>
              <w:pStyle w:val="ParagraphStyle12"/>
              <w:rPr>
                <w:rStyle w:val="CharacterStyle12"/>
              </w:rPr>
            </w:pPr>
            <w:r>
              <w:rPr>
                <w:rStyle w:val="CharacterStyle12"/>
              </w:rPr>
              <w:t>35.000,00</w:t>
            </w:r>
          </w:p>
        </w:tc>
        <w:tc>
          <w:tcPr>
            <w:tcW w:w="1395" w:type="dxa"/>
            <w:tcBorders>
              <w:bottom w:val="single" w:sz="6" w:space="0" w:color="000000"/>
              <w:right w:val="single" w:sz="6" w:space="0" w:color="000000"/>
            </w:tcBorders>
            <w:vAlign w:val="center"/>
          </w:tcPr>
          <w:p w14:paraId="7CF98D1C" w14:textId="77777777" w:rsidR="007D706A" w:rsidRDefault="007D706A" w:rsidP="00F70508">
            <w:pPr>
              <w:pStyle w:val="ParagraphStyle12"/>
              <w:rPr>
                <w:rStyle w:val="CharacterStyle12"/>
              </w:rPr>
            </w:pPr>
            <w:r>
              <w:rPr>
                <w:rStyle w:val="CharacterStyle12"/>
              </w:rPr>
              <w:t>35.000,00</w:t>
            </w:r>
          </w:p>
        </w:tc>
      </w:tr>
      <w:tr w:rsidR="007D706A" w14:paraId="6E6AE39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EEBA6E6"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016E6E2C"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04852C5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4028204" w14:textId="77777777" w:rsidR="007D706A" w:rsidRDefault="007D706A" w:rsidP="00F70508">
            <w:pPr>
              <w:pStyle w:val="ParagraphStyle12"/>
              <w:rPr>
                <w:rStyle w:val="CharacterStyle12"/>
              </w:rPr>
            </w:pPr>
            <w:r>
              <w:rPr>
                <w:rStyle w:val="CharacterStyle12"/>
              </w:rPr>
              <w:t>19.000,00</w:t>
            </w:r>
          </w:p>
        </w:tc>
        <w:tc>
          <w:tcPr>
            <w:tcW w:w="1395" w:type="dxa"/>
            <w:tcBorders>
              <w:bottom w:val="single" w:sz="6" w:space="0" w:color="000000"/>
              <w:right w:val="single" w:sz="6" w:space="0" w:color="000000"/>
            </w:tcBorders>
            <w:vAlign w:val="center"/>
          </w:tcPr>
          <w:p w14:paraId="6F4276D9" w14:textId="77777777" w:rsidR="007D706A" w:rsidRDefault="007D706A" w:rsidP="00F70508">
            <w:pPr>
              <w:pStyle w:val="ParagraphStyle12"/>
              <w:rPr>
                <w:rStyle w:val="CharacterStyle12"/>
              </w:rPr>
            </w:pPr>
            <w:r>
              <w:rPr>
                <w:rStyle w:val="CharacterStyle12"/>
              </w:rPr>
              <w:t>35.000,00</w:t>
            </w:r>
          </w:p>
        </w:tc>
        <w:tc>
          <w:tcPr>
            <w:tcW w:w="1395" w:type="dxa"/>
            <w:tcBorders>
              <w:bottom w:val="single" w:sz="6" w:space="0" w:color="000000"/>
              <w:right w:val="single" w:sz="6" w:space="0" w:color="000000"/>
            </w:tcBorders>
            <w:vAlign w:val="center"/>
          </w:tcPr>
          <w:p w14:paraId="63D667E1" w14:textId="77777777" w:rsidR="007D706A" w:rsidRDefault="007D706A" w:rsidP="00F70508">
            <w:pPr>
              <w:pStyle w:val="ParagraphStyle12"/>
              <w:rPr>
                <w:rStyle w:val="CharacterStyle12"/>
              </w:rPr>
            </w:pPr>
            <w:r>
              <w:rPr>
                <w:rStyle w:val="CharacterStyle12"/>
              </w:rPr>
              <w:t>35.000,00</w:t>
            </w:r>
          </w:p>
        </w:tc>
        <w:tc>
          <w:tcPr>
            <w:tcW w:w="1395" w:type="dxa"/>
            <w:tcBorders>
              <w:bottom w:val="single" w:sz="6" w:space="0" w:color="000000"/>
              <w:right w:val="single" w:sz="6" w:space="0" w:color="000000"/>
            </w:tcBorders>
            <w:vAlign w:val="center"/>
          </w:tcPr>
          <w:p w14:paraId="335C13A8" w14:textId="77777777" w:rsidR="007D706A" w:rsidRDefault="007D706A" w:rsidP="00F70508">
            <w:pPr>
              <w:pStyle w:val="ParagraphStyle12"/>
              <w:rPr>
                <w:rStyle w:val="CharacterStyle12"/>
              </w:rPr>
            </w:pPr>
            <w:r>
              <w:rPr>
                <w:rStyle w:val="CharacterStyle12"/>
              </w:rPr>
              <w:t>35.000,00</w:t>
            </w:r>
          </w:p>
        </w:tc>
      </w:tr>
      <w:tr w:rsidR="007D706A" w14:paraId="3CE34B86"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5AA8767" w14:textId="77777777" w:rsidR="007D706A" w:rsidRDefault="007D706A" w:rsidP="00F70508">
            <w:pPr>
              <w:pStyle w:val="ParagraphStyle4"/>
              <w:rPr>
                <w:rStyle w:val="CharacterStyle4"/>
              </w:rPr>
            </w:pPr>
            <w:r>
              <w:rPr>
                <w:rStyle w:val="CharacterStyle4"/>
              </w:rPr>
              <w:t>Aktivnost A100104</w:t>
            </w:r>
          </w:p>
        </w:tc>
        <w:tc>
          <w:tcPr>
            <w:tcW w:w="4995" w:type="dxa"/>
            <w:tcBorders>
              <w:bottom w:val="single" w:sz="6" w:space="0" w:color="000000"/>
              <w:right w:val="single" w:sz="6" w:space="0" w:color="000000"/>
            </w:tcBorders>
            <w:vAlign w:val="center"/>
          </w:tcPr>
          <w:p w14:paraId="4A194904" w14:textId="77777777" w:rsidR="007D706A" w:rsidRDefault="007D706A" w:rsidP="00F70508">
            <w:pPr>
              <w:pStyle w:val="ParagraphStyle5"/>
              <w:rPr>
                <w:rStyle w:val="CharacterStyle5"/>
              </w:rPr>
            </w:pPr>
            <w:r>
              <w:rPr>
                <w:rStyle w:val="CharacterStyle5"/>
              </w:rPr>
              <w:t>FINANCIRANJE POLITIČKIH STRANAKA</w:t>
            </w:r>
          </w:p>
        </w:tc>
        <w:tc>
          <w:tcPr>
            <w:tcW w:w="1395" w:type="dxa"/>
            <w:tcBorders>
              <w:bottom w:val="single" w:sz="6" w:space="0" w:color="000000"/>
              <w:right w:val="single" w:sz="6" w:space="0" w:color="000000"/>
            </w:tcBorders>
            <w:vAlign w:val="center"/>
          </w:tcPr>
          <w:p w14:paraId="47130D0C"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40E86318" w14:textId="77777777" w:rsidR="007D706A" w:rsidRDefault="007D706A" w:rsidP="00F70508">
            <w:pPr>
              <w:pStyle w:val="ParagraphStyle6"/>
              <w:rPr>
                <w:rStyle w:val="CharacterStyle6"/>
              </w:rPr>
            </w:pPr>
            <w:r>
              <w:rPr>
                <w:rStyle w:val="CharacterStyle6"/>
              </w:rPr>
              <w:t>58.788,50</w:t>
            </w:r>
          </w:p>
        </w:tc>
        <w:tc>
          <w:tcPr>
            <w:tcW w:w="1395" w:type="dxa"/>
            <w:tcBorders>
              <w:bottom w:val="single" w:sz="6" w:space="0" w:color="000000"/>
              <w:right w:val="single" w:sz="6" w:space="0" w:color="000000"/>
            </w:tcBorders>
            <w:vAlign w:val="center"/>
          </w:tcPr>
          <w:p w14:paraId="2E2E727A" w14:textId="77777777" w:rsidR="007D706A" w:rsidRDefault="007D706A" w:rsidP="00F70508">
            <w:pPr>
              <w:pStyle w:val="ParagraphStyle6"/>
              <w:rPr>
                <w:rStyle w:val="CharacterStyle6"/>
              </w:rPr>
            </w:pPr>
            <w:r>
              <w:rPr>
                <w:rStyle w:val="CharacterStyle6"/>
              </w:rPr>
              <w:t>74.656,50</w:t>
            </w:r>
          </w:p>
        </w:tc>
        <w:tc>
          <w:tcPr>
            <w:tcW w:w="1395" w:type="dxa"/>
            <w:tcBorders>
              <w:bottom w:val="single" w:sz="6" w:space="0" w:color="000000"/>
              <w:right w:val="single" w:sz="6" w:space="0" w:color="000000"/>
            </w:tcBorders>
            <w:vAlign w:val="center"/>
          </w:tcPr>
          <w:p w14:paraId="46EA753B" w14:textId="77777777" w:rsidR="007D706A" w:rsidRDefault="007D706A" w:rsidP="00F70508">
            <w:pPr>
              <w:pStyle w:val="ParagraphStyle6"/>
              <w:rPr>
                <w:rStyle w:val="CharacterStyle6"/>
              </w:rPr>
            </w:pPr>
            <w:r>
              <w:rPr>
                <w:rStyle w:val="CharacterStyle6"/>
              </w:rPr>
              <w:t>75.000,00</w:t>
            </w:r>
          </w:p>
        </w:tc>
        <w:tc>
          <w:tcPr>
            <w:tcW w:w="1395" w:type="dxa"/>
            <w:tcBorders>
              <w:bottom w:val="single" w:sz="6" w:space="0" w:color="000000"/>
              <w:right w:val="single" w:sz="6" w:space="0" w:color="000000"/>
            </w:tcBorders>
            <w:vAlign w:val="center"/>
          </w:tcPr>
          <w:p w14:paraId="2BA03A24" w14:textId="77777777" w:rsidR="007D706A" w:rsidRDefault="007D706A" w:rsidP="00F70508">
            <w:pPr>
              <w:pStyle w:val="ParagraphStyle6"/>
              <w:rPr>
                <w:rStyle w:val="CharacterStyle6"/>
              </w:rPr>
            </w:pPr>
            <w:r>
              <w:rPr>
                <w:rStyle w:val="CharacterStyle6"/>
              </w:rPr>
              <w:t>75.500,00</w:t>
            </w:r>
          </w:p>
        </w:tc>
      </w:tr>
      <w:tr w:rsidR="007D706A" w14:paraId="0A3F91B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6D5225A"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6993CC41"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660FD9AA"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91E38DC" w14:textId="77777777" w:rsidR="007D706A" w:rsidRDefault="007D706A" w:rsidP="00F70508">
            <w:pPr>
              <w:pStyle w:val="ParagraphStyle9"/>
              <w:rPr>
                <w:rStyle w:val="CharacterStyle9"/>
              </w:rPr>
            </w:pPr>
            <w:r>
              <w:rPr>
                <w:rStyle w:val="CharacterStyle9"/>
              </w:rPr>
              <w:t>58.788,50</w:t>
            </w:r>
          </w:p>
        </w:tc>
        <w:tc>
          <w:tcPr>
            <w:tcW w:w="1395" w:type="dxa"/>
            <w:tcBorders>
              <w:bottom w:val="single" w:sz="6" w:space="0" w:color="000000"/>
              <w:right w:val="single" w:sz="6" w:space="0" w:color="000000"/>
            </w:tcBorders>
            <w:vAlign w:val="center"/>
          </w:tcPr>
          <w:p w14:paraId="67780B30" w14:textId="77777777" w:rsidR="007D706A" w:rsidRDefault="007D706A" w:rsidP="00F70508">
            <w:pPr>
              <w:pStyle w:val="ParagraphStyle9"/>
              <w:rPr>
                <w:rStyle w:val="CharacterStyle9"/>
              </w:rPr>
            </w:pPr>
            <w:r>
              <w:rPr>
                <w:rStyle w:val="CharacterStyle9"/>
              </w:rPr>
              <w:t>74.656,50</w:t>
            </w:r>
          </w:p>
        </w:tc>
        <w:tc>
          <w:tcPr>
            <w:tcW w:w="1395" w:type="dxa"/>
            <w:tcBorders>
              <w:bottom w:val="single" w:sz="6" w:space="0" w:color="000000"/>
              <w:right w:val="single" w:sz="6" w:space="0" w:color="000000"/>
            </w:tcBorders>
            <w:vAlign w:val="center"/>
          </w:tcPr>
          <w:p w14:paraId="03522448" w14:textId="77777777" w:rsidR="007D706A" w:rsidRDefault="007D706A" w:rsidP="00F70508">
            <w:pPr>
              <w:pStyle w:val="ParagraphStyle9"/>
              <w:rPr>
                <w:rStyle w:val="CharacterStyle9"/>
              </w:rPr>
            </w:pPr>
            <w:r>
              <w:rPr>
                <w:rStyle w:val="CharacterStyle9"/>
              </w:rPr>
              <w:t>75.000,00</w:t>
            </w:r>
          </w:p>
        </w:tc>
        <w:tc>
          <w:tcPr>
            <w:tcW w:w="1395" w:type="dxa"/>
            <w:tcBorders>
              <w:bottom w:val="single" w:sz="6" w:space="0" w:color="000000"/>
              <w:right w:val="single" w:sz="6" w:space="0" w:color="000000"/>
            </w:tcBorders>
            <w:vAlign w:val="center"/>
          </w:tcPr>
          <w:p w14:paraId="01468A98" w14:textId="77777777" w:rsidR="007D706A" w:rsidRDefault="007D706A" w:rsidP="00F70508">
            <w:pPr>
              <w:pStyle w:val="ParagraphStyle9"/>
              <w:rPr>
                <w:rStyle w:val="CharacterStyle9"/>
              </w:rPr>
            </w:pPr>
            <w:r>
              <w:rPr>
                <w:rStyle w:val="CharacterStyle9"/>
              </w:rPr>
              <w:t>75.500,00</w:t>
            </w:r>
          </w:p>
        </w:tc>
      </w:tr>
      <w:tr w:rsidR="007D706A" w14:paraId="1803447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3C4B458"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6C476F83"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0B8DD4F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B2F3888" w14:textId="77777777" w:rsidR="007D706A" w:rsidRDefault="007D706A" w:rsidP="00F70508">
            <w:pPr>
              <w:pStyle w:val="ParagraphStyle12"/>
              <w:rPr>
                <w:rStyle w:val="CharacterStyle12"/>
              </w:rPr>
            </w:pPr>
            <w:r>
              <w:rPr>
                <w:rStyle w:val="CharacterStyle12"/>
              </w:rPr>
              <w:t>58.788,50</w:t>
            </w:r>
          </w:p>
        </w:tc>
        <w:tc>
          <w:tcPr>
            <w:tcW w:w="1395" w:type="dxa"/>
            <w:tcBorders>
              <w:bottom w:val="single" w:sz="6" w:space="0" w:color="000000"/>
              <w:right w:val="single" w:sz="6" w:space="0" w:color="000000"/>
            </w:tcBorders>
            <w:vAlign w:val="center"/>
          </w:tcPr>
          <w:p w14:paraId="3D989378" w14:textId="77777777" w:rsidR="007D706A" w:rsidRDefault="007D706A" w:rsidP="00F70508">
            <w:pPr>
              <w:pStyle w:val="ParagraphStyle12"/>
              <w:rPr>
                <w:rStyle w:val="CharacterStyle12"/>
              </w:rPr>
            </w:pPr>
            <w:r>
              <w:rPr>
                <w:rStyle w:val="CharacterStyle12"/>
              </w:rPr>
              <w:t>74.656,50</w:t>
            </w:r>
          </w:p>
        </w:tc>
        <w:tc>
          <w:tcPr>
            <w:tcW w:w="1395" w:type="dxa"/>
            <w:tcBorders>
              <w:bottom w:val="single" w:sz="6" w:space="0" w:color="000000"/>
              <w:right w:val="single" w:sz="6" w:space="0" w:color="000000"/>
            </w:tcBorders>
            <w:vAlign w:val="center"/>
          </w:tcPr>
          <w:p w14:paraId="215E492C" w14:textId="77777777" w:rsidR="007D706A" w:rsidRDefault="007D706A" w:rsidP="00F70508">
            <w:pPr>
              <w:pStyle w:val="ParagraphStyle12"/>
              <w:rPr>
                <w:rStyle w:val="CharacterStyle12"/>
              </w:rPr>
            </w:pPr>
            <w:r>
              <w:rPr>
                <w:rStyle w:val="CharacterStyle12"/>
              </w:rPr>
              <w:t>75.000,00</w:t>
            </w:r>
          </w:p>
        </w:tc>
        <w:tc>
          <w:tcPr>
            <w:tcW w:w="1395" w:type="dxa"/>
            <w:tcBorders>
              <w:bottom w:val="single" w:sz="6" w:space="0" w:color="000000"/>
              <w:right w:val="single" w:sz="6" w:space="0" w:color="000000"/>
            </w:tcBorders>
            <w:vAlign w:val="center"/>
          </w:tcPr>
          <w:p w14:paraId="3929EA03" w14:textId="77777777" w:rsidR="007D706A" w:rsidRDefault="007D706A" w:rsidP="00F70508">
            <w:pPr>
              <w:pStyle w:val="ParagraphStyle12"/>
              <w:rPr>
                <w:rStyle w:val="CharacterStyle12"/>
              </w:rPr>
            </w:pPr>
            <w:r>
              <w:rPr>
                <w:rStyle w:val="CharacterStyle12"/>
              </w:rPr>
              <w:t>75.500,00</w:t>
            </w:r>
          </w:p>
        </w:tc>
      </w:tr>
      <w:tr w:rsidR="007D706A" w14:paraId="42A8A36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065643D" w14:textId="77777777" w:rsidR="007D706A" w:rsidRDefault="007D706A" w:rsidP="00F70508">
            <w:pPr>
              <w:pStyle w:val="ParagraphStyle10"/>
              <w:rPr>
                <w:rStyle w:val="CharacterStyle10"/>
              </w:rPr>
            </w:pPr>
            <w:r>
              <w:rPr>
                <w:rStyle w:val="CharacterStyle10"/>
              </w:rPr>
              <w:t>38</w:t>
            </w:r>
          </w:p>
        </w:tc>
        <w:tc>
          <w:tcPr>
            <w:tcW w:w="4995" w:type="dxa"/>
            <w:tcBorders>
              <w:bottom w:val="single" w:sz="6" w:space="0" w:color="000000"/>
              <w:right w:val="single" w:sz="6" w:space="0" w:color="000000"/>
            </w:tcBorders>
            <w:vAlign w:val="center"/>
          </w:tcPr>
          <w:p w14:paraId="5CC3530C" w14:textId="77777777" w:rsidR="007D706A" w:rsidRDefault="007D706A" w:rsidP="00F70508">
            <w:pPr>
              <w:pStyle w:val="ParagraphStyle11"/>
              <w:rPr>
                <w:rStyle w:val="CharacterStyle11"/>
              </w:rPr>
            </w:pPr>
            <w:r>
              <w:rPr>
                <w:rStyle w:val="CharacterStyle11"/>
              </w:rPr>
              <w:t>Rashodi za donacije, kazne, naknade šteta i kapitalne pomoći</w:t>
            </w:r>
          </w:p>
        </w:tc>
        <w:tc>
          <w:tcPr>
            <w:tcW w:w="1395" w:type="dxa"/>
            <w:tcBorders>
              <w:bottom w:val="single" w:sz="6" w:space="0" w:color="000000"/>
              <w:right w:val="single" w:sz="6" w:space="0" w:color="000000"/>
            </w:tcBorders>
            <w:vAlign w:val="center"/>
          </w:tcPr>
          <w:p w14:paraId="4C55D9D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493B959" w14:textId="77777777" w:rsidR="007D706A" w:rsidRDefault="007D706A" w:rsidP="00F70508">
            <w:pPr>
              <w:pStyle w:val="ParagraphStyle12"/>
              <w:rPr>
                <w:rStyle w:val="CharacterStyle12"/>
              </w:rPr>
            </w:pPr>
            <w:r>
              <w:rPr>
                <w:rStyle w:val="CharacterStyle12"/>
              </w:rPr>
              <w:t>58.788,50</w:t>
            </w:r>
          </w:p>
        </w:tc>
        <w:tc>
          <w:tcPr>
            <w:tcW w:w="1395" w:type="dxa"/>
            <w:tcBorders>
              <w:bottom w:val="single" w:sz="6" w:space="0" w:color="000000"/>
              <w:right w:val="single" w:sz="6" w:space="0" w:color="000000"/>
            </w:tcBorders>
            <w:vAlign w:val="center"/>
          </w:tcPr>
          <w:p w14:paraId="023A3871" w14:textId="77777777" w:rsidR="007D706A" w:rsidRDefault="007D706A" w:rsidP="00F70508">
            <w:pPr>
              <w:pStyle w:val="ParagraphStyle12"/>
              <w:rPr>
                <w:rStyle w:val="CharacterStyle12"/>
              </w:rPr>
            </w:pPr>
            <w:r>
              <w:rPr>
                <w:rStyle w:val="CharacterStyle12"/>
              </w:rPr>
              <w:t>74.656,50</w:t>
            </w:r>
          </w:p>
        </w:tc>
        <w:tc>
          <w:tcPr>
            <w:tcW w:w="1395" w:type="dxa"/>
            <w:tcBorders>
              <w:bottom w:val="single" w:sz="6" w:space="0" w:color="000000"/>
              <w:right w:val="single" w:sz="6" w:space="0" w:color="000000"/>
            </w:tcBorders>
            <w:vAlign w:val="center"/>
          </w:tcPr>
          <w:p w14:paraId="0E9407DE" w14:textId="77777777" w:rsidR="007D706A" w:rsidRDefault="007D706A" w:rsidP="00F70508">
            <w:pPr>
              <w:pStyle w:val="ParagraphStyle12"/>
              <w:rPr>
                <w:rStyle w:val="CharacterStyle12"/>
              </w:rPr>
            </w:pPr>
            <w:r>
              <w:rPr>
                <w:rStyle w:val="CharacterStyle12"/>
              </w:rPr>
              <w:t>75.000,00</w:t>
            </w:r>
          </w:p>
        </w:tc>
        <w:tc>
          <w:tcPr>
            <w:tcW w:w="1395" w:type="dxa"/>
            <w:tcBorders>
              <w:bottom w:val="single" w:sz="6" w:space="0" w:color="000000"/>
              <w:right w:val="single" w:sz="6" w:space="0" w:color="000000"/>
            </w:tcBorders>
            <w:vAlign w:val="center"/>
          </w:tcPr>
          <w:p w14:paraId="5FFE87B2" w14:textId="77777777" w:rsidR="007D706A" w:rsidRDefault="007D706A" w:rsidP="00F70508">
            <w:pPr>
              <w:pStyle w:val="ParagraphStyle12"/>
              <w:rPr>
                <w:rStyle w:val="CharacterStyle12"/>
              </w:rPr>
            </w:pPr>
            <w:r>
              <w:rPr>
                <w:rStyle w:val="CharacterStyle12"/>
              </w:rPr>
              <w:t>75.500,00</w:t>
            </w:r>
          </w:p>
        </w:tc>
      </w:tr>
      <w:tr w:rsidR="007D706A" w14:paraId="0866A85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A91D4A0" w14:textId="77777777" w:rsidR="007D706A" w:rsidRDefault="007D706A" w:rsidP="00F70508">
            <w:pPr>
              <w:pStyle w:val="ParagraphStyle4"/>
              <w:rPr>
                <w:rStyle w:val="CharacterStyle4"/>
              </w:rPr>
            </w:pPr>
            <w:r>
              <w:rPr>
                <w:rStyle w:val="CharacterStyle4"/>
              </w:rPr>
              <w:t>Tekući projekt T100104</w:t>
            </w:r>
          </w:p>
        </w:tc>
        <w:tc>
          <w:tcPr>
            <w:tcW w:w="4995" w:type="dxa"/>
            <w:tcBorders>
              <w:bottom w:val="single" w:sz="6" w:space="0" w:color="000000"/>
              <w:right w:val="single" w:sz="6" w:space="0" w:color="000000"/>
            </w:tcBorders>
            <w:vAlign w:val="center"/>
          </w:tcPr>
          <w:p w14:paraId="2796E407" w14:textId="77777777" w:rsidR="007D706A" w:rsidRDefault="007D706A" w:rsidP="00F70508">
            <w:pPr>
              <w:pStyle w:val="ParagraphStyle5"/>
              <w:rPr>
                <w:rStyle w:val="CharacterStyle5"/>
              </w:rPr>
            </w:pPr>
            <w:r>
              <w:rPr>
                <w:rStyle w:val="CharacterStyle5"/>
              </w:rPr>
              <w:t>TROŠKOVI IZBORNE PROMIDŽBE</w:t>
            </w:r>
          </w:p>
        </w:tc>
        <w:tc>
          <w:tcPr>
            <w:tcW w:w="1395" w:type="dxa"/>
            <w:tcBorders>
              <w:bottom w:val="single" w:sz="6" w:space="0" w:color="000000"/>
              <w:right w:val="single" w:sz="6" w:space="0" w:color="000000"/>
            </w:tcBorders>
            <w:vAlign w:val="center"/>
          </w:tcPr>
          <w:p w14:paraId="62B6BB94"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17471135" w14:textId="77777777" w:rsidR="007D706A" w:rsidRDefault="007D706A" w:rsidP="00F70508">
            <w:pPr>
              <w:pStyle w:val="ParagraphStyle6"/>
              <w:rPr>
                <w:rStyle w:val="CharacterStyle6"/>
              </w:rPr>
            </w:pPr>
            <w:r>
              <w:rPr>
                <w:rStyle w:val="CharacterStyle6"/>
              </w:rPr>
              <w:t>11.000,00</w:t>
            </w:r>
          </w:p>
        </w:tc>
        <w:tc>
          <w:tcPr>
            <w:tcW w:w="1395" w:type="dxa"/>
            <w:tcBorders>
              <w:bottom w:val="single" w:sz="6" w:space="0" w:color="000000"/>
              <w:right w:val="single" w:sz="6" w:space="0" w:color="000000"/>
            </w:tcBorders>
            <w:vAlign w:val="center"/>
          </w:tcPr>
          <w:p w14:paraId="1C6BDC12"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70E672C1"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53CD5C9C" w14:textId="77777777" w:rsidR="007D706A" w:rsidRDefault="007D706A" w:rsidP="00F70508">
            <w:pPr>
              <w:pStyle w:val="ParagraphStyle6"/>
              <w:rPr>
                <w:rStyle w:val="CharacterStyle6"/>
              </w:rPr>
            </w:pPr>
            <w:r>
              <w:rPr>
                <w:rStyle w:val="CharacterStyle6"/>
              </w:rPr>
              <w:t>0,00</w:t>
            </w:r>
          </w:p>
        </w:tc>
      </w:tr>
      <w:tr w:rsidR="007D706A" w14:paraId="5C588FF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553BE28"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58B2EE1B"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63655906"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2152581" w14:textId="77777777" w:rsidR="007D706A" w:rsidRDefault="007D706A" w:rsidP="00F70508">
            <w:pPr>
              <w:pStyle w:val="ParagraphStyle9"/>
              <w:rPr>
                <w:rStyle w:val="CharacterStyle9"/>
              </w:rPr>
            </w:pPr>
            <w:r>
              <w:rPr>
                <w:rStyle w:val="CharacterStyle9"/>
              </w:rPr>
              <w:t>11.000,00</w:t>
            </w:r>
          </w:p>
        </w:tc>
        <w:tc>
          <w:tcPr>
            <w:tcW w:w="1395" w:type="dxa"/>
            <w:tcBorders>
              <w:bottom w:val="single" w:sz="6" w:space="0" w:color="000000"/>
              <w:right w:val="single" w:sz="6" w:space="0" w:color="000000"/>
            </w:tcBorders>
            <w:vAlign w:val="center"/>
          </w:tcPr>
          <w:p w14:paraId="404C9609"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524BEBF"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DB6794E" w14:textId="77777777" w:rsidR="007D706A" w:rsidRDefault="007D706A" w:rsidP="00F70508">
            <w:pPr>
              <w:pStyle w:val="ParagraphStyle9"/>
              <w:rPr>
                <w:rStyle w:val="CharacterStyle9"/>
              </w:rPr>
            </w:pPr>
            <w:r>
              <w:rPr>
                <w:rStyle w:val="CharacterStyle9"/>
              </w:rPr>
              <w:t>0,00</w:t>
            </w:r>
          </w:p>
        </w:tc>
      </w:tr>
      <w:tr w:rsidR="007D706A" w14:paraId="799F4EE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C979620"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6E672795"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066676C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3E8005F" w14:textId="77777777" w:rsidR="007D706A" w:rsidRDefault="007D706A" w:rsidP="00F70508">
            <w:pPr>
              <w:pStyle w:val="ParagraphStyle12"/>
              <w:rPr>
                <w:rStyle w:val="CharacterStyle12"/>
              </w:rPr>
            </w:pPr>
            <w:r>
              <w:rPr>
                <w:rStyle w:val="CharacterStyle12"/>
              </w:rPr>
              <w:t>11.000,00</w:t>
            </w:r>
          </w:p>
        </w:tc>
        <w:tc>
          <w:tcPr>
            <w:tcW w:w="1395" w:type="dxa"/>
            <w:tcBorders>
              <w:bottom w:val="single" w:sz="6" w:space="0" w:color="000000"/>
              <w:right w:val="single" w:sz="6" w:space="0" w:color="000000"/>
            </w:tcBorders>
            <w:vAlign w:val="center"/>
          </w:tcPr>
          <w:p w14:paraId="1662FFF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F01D30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409DE3B" w14:textId="77777777" w:rsidR="007D706A" w:rsidRDefault="007D706A" w:rsidP="00F70508">
            <w:pPr>
              <w:pStyle w:val="ParagraphStyle12"/>
              <w:rPr>
                <w:rStyle w:val="CharacterStyle12"/>
              </w:rPr>
            </w:pPr>
            <w:r>
              <w:rPr>
                <w:rStyle w:val="CharacterStyle12"/>
              </w:rPr>
              <w:t>0,00</w:t>
            </w:r>
          </w:p>
        </w:tc>
      </w:tr>
      <w:tr w:rsidR="007D706A" w14:paraId="4ABD91B6"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FA1F895" w14:textId="77777777" w:rsidR="007D706A" w:rsidRDefault="007D706A" w:rsidP="00F70508">
            <w:pPr>
              <w:pStyle w:val="ParagraphStyle10"/>
              <w:rPr>
                <w:rStyle w:val="CharacterStyle10"/>
              </w:rPr>
            </w:pPr>
            <w:r>
              <w:rPr>
                <w:rStyle w:val="CharacterStyle10"/>
              </w:rPr>
              <w:t>38</w:t>
            </w:r>
          </w:p>
        </w:tc>
        <w:tc>
          <w:tcPr>
            <w:tcW w:w="4995" w:type="dxa"/>
            <w:tcBorders>
              <w:bottom w:val="single" w:sz="6" w:space="0" w:color="000000"/>
              <w:right w:val="single" w:sz="6" w:space="0" w:color="000000"/>
            </w:tcBorders>
            <w:vAlign w:val="center"/>
          </w:tcPr>
          <w:p w14:paraId="33CA6D3B" w14:textId="77777777" w:rsidR="007D706A" w:rsidRDefault="007D706A" w:rsidP="00F70508">
            <w:pPr>
              <w:pStyle w:val="ParagraphStyle11"/>
              <w:rPr>
                <w:rStyle w:val="CharacterStyle11"/>
              </w:rPr>
            </w:pPr>
            <w:r>
              <w:rPr>
                <w:rStyle w:val="CharacterStyle11"/>
              </w:rPr>
              <w:t>Rashodi za donacije, kazne, naknade šteta i kapitalne pomoći</w:t>
            </w:r>
          </w:p>
        </w:tc>
        <w:tc>
          <w:tcPr>
            <w:tcW w:w="1395" w:type="dxa"/>
            <w:tcBorders>
              <w:bottom w:val="single" w:sz="6" w:space="0" w:color="000000"/>
              <w:right w:val="single" w:sz="6" w:space="0" w:color="000000"/>
            </w:tcBorders>
            <w:vAlign w:val="center"/>
          </w:tcPr>
          <w:p w14:paraId="77CD491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979332C" w14:textId="77777777" w:rsidR="007D706A" w:rsidRDefault="007D706A" w:rsidP="00F70508">
            <w:pPr>
              <w:pStyle w:val="ParagraphStyle12"/>
              <w:rPr>
                <w:rStyle w:val="CharacterStyle12"/>
              </w:rPr>
            </w:pPr>
            <w:r>
              <w:rPr>
                <w:rStyle w:val="CharacterStyle12"/>
              </w:rPr>
              <w:t>11.000,00</w:t>
            </w:r>
          </w:p>
        </w:tc>
        <w:tc>
          <w:tcPr>
            <w:tcW w:w="1395" w:type="dxa"/>
            <w:tcBorders>
              <w:bottom w:val="single" w:sz="6" w:space="0" w:color="000000"/>
              <w:right w:val="single" w:sz="6" w:space="0" w:color="000000"/>
            </w:tcBorders>
            <w:vAlign w:val="center"/>
          </w:tcPr>
          <w:p w14:paraId="59ACEDB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A291B7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60F79B8" w14:textId="77777777" w:rsidR="007D706A" w:rsidRDefault="007D706A" w:rsidP="00F70508">
            <w:pPr>
              <w:pStyle w:val="ParagraphStyle12"/>
              <w:rPr>
                <w:rStyle w:val="CharacterStyle12"/>
              </w:rPr>
            </w:pPr>
            <w:r>
              <w:rPr>
                <w:rStyle w:val="CharacterStyle12"/>
              </w:rPr>
              <w:t>0,00</w:t>
            </w:r>
          </w:p>
        </w:tc>
      </w:tr>
      <w:tr w:rsidR="007D706A" w14:paraId="61033FE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58BD559" w14:textId="77777777" w:rsidR="007D706A" w:rsidRDefault="007D706A" w:rsidP="00F70508">
            <w:pPr>
              <w:pStyle w:val="ParagraphStyle4"/>
              <w:rPr>
                <w:rStyle w:val="CharacterStyle4"/>
              </w:rPr>
            </w:pPr>
            <w:r>
              <w:rPr>
                <w:rStyle w:val="CharacterStyle4"/>
              </w:rPr>
              <w:lastRenderedPageBreak/>
              <w:t>Tekući projekt T100105</w:t>
            </w:r>
          </w:p>
        </w:tc>
        <w:tc>
          <w:tcPr>
            <w:tcW w:w="4995" w:type="dxa"/>
            <w:tcBorders>
              <w:bottom w:val="single" w:sz="6" w:space="0" w:color="000000"/>
              <w:right w:val="single" w:sz="6" w:space="0" w:color="000000"/>
            </w:tcBorders>
            <w:vAlign w:val="center"/>
          </w:tcPr>
          <w:p w14:paraId="40849631" w14:textId="77777777" w:rsidR="007D706A" w:rsidRDefault="007D706A" w:rsidP="00F70508">
            <w:pPr>
              <w:pStyle w:val="ParagraphStyle5"/>
              <w:rPr>
                <w:rStyle w:val="CharacterStyle5"/>
              </w:rPr>
            </w:pPr>
            <w:r>
              <w:rPr>
                <w:rStyle w:val="CharacterStyle5"/>
              </w:rPr>
              <w:t>IZBORI ZA LOKALNU SAMOUPRAVU</w:t>
            </w:r>
          </w:p>
        </w:tc>
        <w:tc>
          <w:tcPr>
            <w:tcW w:w="1395" w:type="dxa"/>
            <w:tcBorders>
              <w:bottom w:val="single" w:sz="6" w:space="0" w:color="000000"/>
              <w:right w:val="single" w:sz="6" w:space="0" w:color="000000"/>
            </w:tcBorders>
            <w:vAlign w:val="center"/>
          </w:tcPr>
          <w:p w14:paraId="3982ADFE"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6559BB18" w14:textId="77777777" w:rsidR="007D706A" w:rsidRDefault="007D706A" w:rsidP="00F70508">
            <w:pPr>
              <w:pStyle w:val="ParagraphStyle6"/>
              <w:rPr>
                <w:rStyle w:val="CharacterStyle6"/>
              </w:rPr>
            </w:pPr>
            <w:r>
              <w:rPr>
                <w:rStyle w:val="CharacterStyle6"/>
              </w:rPr>
              <w:t>64.400,00</w:t>
            </w:r>
          </w:p>
        </w:tc>
        <w:tc>
          <w:tcPr>
            <w:tcW w:w="1395" w:type="dxa"/>
            <w:tcBorders>
              <w:bottom w:val="single" w:sz="6" w:space="0" w:color="000000"/>
              <w:right w:val="single" w:sz="6" w:space="0" w:color="000000"/>
            </w:tcBorders>
            <w:vAlign w:val="center"/>
          </w:tcPr>
          <w:p w14:paraId="3E6B6F0C"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3A8FE558"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3D5E2D79" w14:textId="77777777" w:rsidR="007D706A" w:rsidRDefault="007D706A" w:rsidP="00F70508">
            <w:pPr>
              <w:pStyle w:val="ParagraphStyle6"/>
              <w:rPr>
                <w:rStyle w:val="CharacterStyle6"/>
              </w:rPr>
            </w:pPr>
            <w:r>
              <w:rPr>
                <w:rStyle w:val="CharacterStyle6"/>
              </w:rPr>
              <w:t>0,00</w:t>
            </w:r>
          </w:p>
        </w:tc>
      </w:tr>
      <w:tr w:rsidR="007D706A" w14:paraId="625CC72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4B6EBDD"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0883558E"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3175DB04"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15FE54C" w14:textId="77777777" w:rsidR="007D706A" w:rsidRDefault="007D706A" w:rsidP="00F70508">
            <w:pPr>
              <w:pStyle w:val="ParagraphStyle9"/>
              <w:rPr>
                <w:rStyle w:val="CharacterStyle9"/>
              </w:rPr>
            </w:pPr>
            <w:r>
              <w:rPr>
                <w:rStyle w:val="CharacterStyle9"/>
              </w:rPr>
              <w:t>41.218,00</w:t>
            </w:r>
          </w:p>
        </w:tc>
        <w:tc>
          <w:tcPr>
            <w:tcW w:w="1395" w:type="dxa"/>
            <w:tcBorders>
              <w:bottom w:val="single" w:sz="6" w:space="0" w:color="000000"/>
              <w:right w:val="single" w:sz="6" w:space="0" w:color="000000"/>
            </w:tcBorders>
            <w:vAlign w:val="center"/>
          </w:tcPr>
          <w:p w14:paraId="26EC5AF8"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46AA513"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A4BA099" w14:textId="77777777" w:rsidR="007D706A" w:rsidRDefault="007D706A" w:rsidP="00F70508">
            <w:pPr>
              <w:pStyle w:val="ParagraphStyle9"/>
              <w:rPr>
                <w:rStyle w:val="CharacterStyle9"/>
              </w:rPr>
            </w:pPr>
            <w:r>
              <w:rPr>
                <w:rStyle w:val="CharacterStyle9"/>
              </w:rPr>
              <w:t>0,00</w:t>
            </w:r>
          </w:p>
        </w:tc>
      </w:tr>
      <w:tr w:rsidR="007D706A" w14:paraId="31E64C3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C5003A6"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44A8B5CC"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1753195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9FF19D5" w14:textId="77777777" w:rsidR="007D706A" w:rsidRDefault="007D706A" w:rsidP="00F70508">
            <w:pPr>
              <w:pStyle w:val="ParagraphStyle12"/>
              <w:rPr>
                <w:rStyle w:val="CharacterStyle12"/>
              </w:rPr>
            </w:pPr>
            <w:r>
              <w:rPr>
                <w:rStyle w:val="CharacterStyle12"/>
              </w:rPr>
              <w:t>41.218,00</w:t>
            </w:r>
          </w:p>
        </w:tc>
        <w:tc>
          <w:tcPr>
            <w:tcW w:w="1395" w:type="dxa"/>
            <w:tcBorders>
              <w:bottom w:val="single" w:sz="6" w:space="0" w:color="000000"/>
              <w:right w:val="single" w:sz="6" w:space="0" w:color="000000"/>
            </w:tcBorders>
            <w:vAlign w:val="center"/>
          </w:tcPr>
          <w:p w14:paraId="7A8EDF4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619DF3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9955B8F" w14:textId="77777777" w:rsidR="007D706A" w:rsidRDefault="007D706A" w:rsidP="00F70508">
            <w:pPr>
              <w:pStyle w:val="ParagraphStyle12"/>
              <w:rPr>
                <w:rStyle w:val="CharacterStyle12"/>
              </w:rPr>
            </w:pPr>
            <w:r>
              <w:rPr>
                <w:rStyle w:val="CharacterStyle12"/>
              </w:rPr>
              <w:t>0,00</w:t>
            </w:r>
          </w:p>
        </w:tc>
      </w:tr>
      <w:tr w:rsidR="007D706A" w14:paraId="66C9D87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B07074A"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07AF80E5"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72F090F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1F5D096" w14:textId="77777777" w:rsidR="007D706A" w:rsidRDefault="007D706A" w:rsidP="00F70508">
            <w:pPr>
              <w:pStyle w:val="ParagraphStyle12"/>
              <w:rPr>
                <w:rStyle w:val="CharacterStyle12"/>
              </w:rPr>
            </w:pPr>
            <w:r>
              <w:rPr>
                <w:rStyle w:val="CharacterStyle12"/>
              </w:rPr>
              <w:t>41.218,00</w:t>
            </w:r>
          </w:p>
        </w:tc>
        <w:tc>
          <w:tcPr>
            <w:tcW w:w="1395" w:type="dxa"/>
            <w:tcBorders>
              <w:bottom w:val="single" w:sz="6" w:space="0" w:color="000000"/>
              <w:right w:val="single" w:sz="6" w:space="0" w:color="000000"/>
            </w:tcBorders>
            <w:vAlign w:val="center"/>
          </w:tcPr>
          <w:p w14:paraId="1E4FCC5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65F8BE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A883799" w14:textId="77777777" w:rsidR="007D706A" w:rsidRDefault="007D706A" w:rsidP="00F70508">
            <w:pPr>
              <w:pStyle w:val="ParagraphStyle12"/>
              <w:rPr>
                <w:rStyle w:val="CharacterStyle12"/>
              </w:rPr>
            </w:pPr>
            <w:r>
              <w:rPr>
                <w:rStyle w:val="CharacterStyle12"/>
              </w:rPr>
              <w:t>0,00</w:t>
            </w:r>
          </w:p>
        </w:tc>
      </w:tr>
      <w:tr w:rsidR="007D706A" w14:paraId="753512E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88194E2" w14:textId="77777777" w:rsidR="007D706A" w:rsidRDefault="007D706A" w:rsidP="00F70508">
            <w:pPr>
              <w:pStyle w:val="ParagraphStyle7"/>
              <w:rPr>
                <w:rStyle w:val="CharacterStyle7"/>
              </w:rPr>
            </w:pPr>
            <w:r>
              <w:rPr>
                <w:rStyle w:val="CharacterStyle7"/>
              </w:rPr>
              <w:t>Izvor financiranja 53</w:t>
            </w:r>
          </w:p>
        </w:tc>
        <w:tc>
          <w:tcPr>
            <w:tcW w:w="4995" w:type="dxa"/>
            <w:tcBorders>
              <w:bottom w:val="single" w:sz="6" w:space="0" w:color="000000"/>
              <w:right w:val="single" w:sz="6" w:space="0" w:color="000000"/>
            </w:tcBorders>
            <w:vAlign w:val="center"/>
          </w:tcPr>
          <w:p w14:paraId="4E398B86" w14:textId="77777777" w:rsidR="007D706A" w:rsidRDefault="007D706A" w:rsidP="00F70508">
            <w:pPr>
              <w:pStyle w:val="ParagraphStyle8"/>
              <w:rPr>
                <w:rStyle w:val="CharacterStyle8"/>
              </w:rPr>
            </w:pPr>
            <w:r>
              <w:rPr>
                <w:rStyle w:val="CharacterStyle8"/>
              </w:rPr>
              <w:t>Proračuni, drugi nivoi - za posebne i / ili ugovorene namjene</w:t>
            </w:r>
          </w:p>
        </w:tc>
        <w:tc>
          <w:tcPr>
            <w:tcW w:w="1395" w:type="dxa"/>
            <w:tcBorders>
              <w:bottom w:val="single" w:sz="6" w:space="0" w:color="000000"/>
              <w:right w:val="single" w:sz="6" w:space="0" w:color="000000"/>
            </w:tcBorders>
            <w:vAlign w:val="center"/>
          </w:tcPr>
          <w:p w14:paraId="10AA8353"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87CD35A" w14:textId="77777777" w:rsidR="007D706A" w:rsidRDefault="007D706A" w:rsidP="00F70508">
            <w:pPr>
              <w:pStyle w:val="ParagraphStyle9"/>
              <w:rPr>
                <w:rStyle w:val="CharacterStyle9"/>
              </w:rPr>
            </w:pPr>
            <w:r>
              <w:rPr>
                <w:rStyle w:val="CharacterStyle9"/>
              </w:rPr>
              <w:t>23.182,00</w:t>
            </w:r>
          </w:p>
        </w:tc>
        <w:tc>
          <w:tcPr>
            <w:tcW w:w="1395" w:type="dxa"/>
            <w:tcBorders>
              <w:bottom w:val="single" w:sz="6" w:space="0" w:color="000000"/>
              <w:right w:val="single" w:sz="6" w:space="0" w:color="000000"/>
            </w:tcBorders>
            <w:vAlign w:val="center"/>
          </w:tcPr>
          <w:p w14:paraId="67C5197B"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F6F7235"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17D0BA8" w14:textId="77777777" w:rsidR="007D706A" w:rsidRDefault="007D706A" w:rsidP="00F70508">
            <w:pPr>
              <w:pStyle w:val="ParagraphStyle9"/>
              <w:rPr>
                <w:rStyle w:val="CharacterStyle9"/>
              </w:rPr>
            </w:pPr>
            <w:r>
              <w:rPr>
                <w:rStyle w:val="CharacterStyle9"/>
              </w:rPr>
              <w:t>0,00</w:t>
            </w:r>
          </w:p>
        </w:tc>
      </w:tr>
      <w:tr w:rsidR="007D706A" w14:paraId="7C02CE7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023372F"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3208C4F1"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1578143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AAD34F6" w14:textId="77777777" w:rsidR="007D706A" w:rsidRDefault="007D706A" w:rsidP="00F70508">
            <w:pPr>
              <w:pStyle w:val="ParagraphStyle12"/>
              <w:rPr>
                <w:rStyle w:val="CharacterStyle12"/>
              </w:rPr>
            </w:pPr>
            <w:r>
              <w:rPr>
                <w:rStyle w:val="CharacterStyle12"/>
              </w:rPr>
              <w:t>23.182,00</w:t>
            </w:r>
          </w:p>
        </w:tc>
        <w:tc>
          <w:tcPr>
            <w:tcW w:w="1395" w:type="dxa"/>
            <w:tcBorders>
              <w:bottom w:val="single" w:sz="6" w:space="0" w:color="000000"/>
              <w:right w:val="single" w:sz="6" w:space="0" w:color="000000"/>
            </w:tcBorders>
            <w:vAlign w:val="center"/>
          </w:tcPr>
          <w:p w14:paraId="21D5A22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BBB65E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F410251" w14:textId="77777777" w:rsidR="007D706A" w:rsidRDefault="007D706A" w:rsidP="00F70508">
            <w:pPr>
              <w:pStyle w:val="ParagraphStyle12"/>
              <w:rPr>
                <w:rStyle w:val="CharacterStyle12"/>
              </w:rPr>
            </w:pPr>
            <w:r>
              <w:rPr>
                <w:rStyle w:val="CharacterStyle12"/>
              </w:rPr>
              <w:t>0,00</w:t>
            </w:r>
          </w:p>
        </w:tc>
      </w:tr>
      <w:tr w:rsidR="007D706A" w14:paraId="6FA8189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2B8955D"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4E46BF51"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0B26588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91FCFB2" w14:textId="77777777" w:rsidR="007D706A" w:rsidRDefault="007D706A" w:rsidP="00F70508">
            <w:pPr>
              <w:pStyle w:val="ParagraphStyle12"/>
              <w:rPr>
                <w:rStyle w:val="CharacterStyle12"/>
              </w:rPr>
            </w:pPr>
            <w:r>
              <w:rPr>
                <w:rStyle w:val="CharacterStyle12"/>
              </w:rPr>
              <w:t>23.182,00</w:t>
            </w:r>
          </w:p>
        </w:tc>
        <w:tc>
          <w:tcPr>
            <w:tcW w:w="1395" w:type="dxa"/>
            <w:tcBorders>
              <w:bottom w:val="single" w:sz="6" w:space="0" w:color="000000"/>
              <w:right w:val="single" w:sz="6" w:space="0" w:color="000000"/>
            </w:tcBorders>
            <w:vAlign w:val="center"/>
          </w:tcPr>
          <w:p w14:paraId="346FBB8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D79F80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B2D9B36" w14:textId="77777777" w:rsidR="007D706A" w:rsidRDefault="007D706A" w:rsidP="00F70508">
            <w:pPr>
              <w:pStyle w:val="ParagraphStyle12"/>
              <w:rPr>
                <w:rStyle w:val="CharacterStyle12"/>
              </w:rPr>
            </w:pPr>
            <w:r>
              <w:rPr>
                <w:rStyle w:val="CharacterStyle12"/>
              </w:rPr>
              <w:t>0,00</w:t>
            </w:r>
          </w:p>
        </w:tc>
      </w:tr>
      <w:tr w:rsidR="007D706A" w14:paraId="1348A89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EC45EFB" w14:textId="77777777" w:rsidR="007D706A" w:rsidRDefault="007D706A" w:rsidP="00F70508">
            <w:pPr>
              <w:pStyle w:val="ParagraphStyle4"/>
              <w:rPr>
                <w:rStyle w:val="CharacterStyle4"/>
              </w:rPr>
            </w:pPr>
            <w:r>
              <w:rPr>
                <w:rStyle w:val="CharacterStyle4"/>
              </w:rPr>
              <w:t>PROGRAM    1045</w:t>
            </w:r>
          </w:p>
        </w:tc>
        <w:tc>
          <w:tcPr>
            <w:tcW w:w="4995" w:type="dxa"/>
            <w:tcBorders>
              <w:bottom w:val="single" w:sz="6" w:space="0" w:color="000000"/>
              <w:right w:val="single" w:sz="6" w:space="0" w:color="000000"/>
            </w:tcBorders>
            <w:vAlign w:val="center"/>
          </w:tcPr>
          <w:p w14:paraId="6E7C7C0D" w14:textId="77777777" w:rsidR="007D706A" w:rsidRDefault="007D706A" w:rsidP="00F70508">
            <w:pPr>
              <w:pStyle w:val="ParagraphStyle5"/>
              <w:rPr>
                <w:rStyle w:val="CharacterStyle5"/>
              </w:rPr>
            </w:pPr>
            <w:r>
              <w:rPr>
                <w:rStyle w:val="CharacterStyle5"/>
              </w:rPr>
              <w:t>FINANCIRANJE MJESNE SAMOUPRAVE</w:t>
            </w:r>
          </w:p>
        </w:tc>
        <w:tc>
          <w:tcPr>
            <w:tcW w:w="1395" w:type="dxa"/>
            <w:tcBorders>
              <w:bottom w:val="single" w:sz="6" w:space="0" w:color="000000"/>
              <w:right w:val="single" w:sz="6" w:space="0" w:color="000000"/>
            </w:tcBorders>
            <w:vAlign w:val="center"/>
          </w:tcPr>
          <w:p w14:paraId="38AFF9C1"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520D44D8" w14:textId="77777777" w:rsidR="007D706A" w:rsidRDefault="007D706A" w:rsidP="00F70508">
            <w:pPr>
              <w:pStyle w:val="ParagraphStyle6"/>
              <w:rPr>
                <w:rStyle w:val="CharacterStyle6"/>
              </w:rPr>
            </w:pPr>
            <w:r>
              <w:rPr>
                <w:rStyle w:val="CharacterStyle6"/>
              </w:rPr>
              <w:t>30.550,00</w:t>
            </w:r>
          </w:p>
        </w:tc>
        <w:tc>
          <w:tcPr>
            <w:tcW w:w="1395" w:type="dxa"/>
            <w:tcBorders>
              <w:bottom w:val="single" w:sz="6" w:space="0" w:color="000000"/>
              <w:right w:val="single" w:sz="6" w:space="0" w:color="000000"/>
            </w:tcBorders>
            <w:vAlign w:val="center"/>
          </w:tcPr>
          <w:p w14:paraId="6216E33D" w14:textId="77777777" w:rsidR="007D706A" w:rsidRDefault="007D706A" w:rsidP="00F70508">
            <w:pPr>
              <w:pStyle w:val="ParagraphStyle6"/>
              <w:rPr>
                <w:rStyle w:val="CharacterStyle6"/>
              </w:rPr>
            </w:pPr>
            <w:r>
              <w:rPr>
                <w:rStyle w:val="CharacterStyle6"/>
              </w:rPr>
              <w:t>49.020,00</w:t>
            </w:r>
          </w:p>
        </w:tc>
        <w:tc>
          <w:tcPr>
            <w:tcW w:w="1395" w:type="dxa"/>
            <w:tcBorders>
              <w:bottom w:val="single" w:sz="6" w:space="0" w:color="000000"/>
              <w:right w:val="single" w:sz="6" w:space="0" w:color="000000"/>
            </w:tcBorders>
            <w:vAlign w:val="center"/>
          </w:tcPr>
          <w:p w14:paraId="23189406" w14:textId="77777777" w:rsidR="007D706A" w:rsidRDefault="007D706A" w:rsidP="00F70508">
            <w:pPr>
              <w:pStyle w:val="ParagraphStyle6"/>
              <w:rPr>
                <w:rStyle w:val="CharacterStyle6"/>
              </w:rPr>
            </w:pPr>
            <w:r>
              <w:rPr>
                <w:rStyle w:val="CharacterStyle6"/>
              </w:rPr>
              <w:t>32.500,00</w:t>
            </w:r>
          </w:p>
        </w:tc>
        <w:tc>
          <w:tcPr>
            <w:tcW w:w="1395" w:type="dxa"/>
            <w:tcBorders>
              <w:bottom w:val="single" w:sz="6" w:space="0" w:color="000000"/>
              <w:right w:val="single" w:sz="6" w:space="0" w:color="000000"/>
            </w:tcBorders>
            <w:vAlign w:val="center"/>
          </w:tcPr>
          <w:p w14:paraId="00F35D23" w14:textId="77777777" w:rsidR="007D706A" w:rsidRDefault="007D706A" w:rsidP="00F70508">
            <w:pPr>
              <w:pStyle w:val="ParagraphStyle6"/>
              <w:rPr>
                <w:rStyle w:val="CharacterStyle6"/>
              </w:rPr>
            </w:pPr>
            <w:r>
              <w:rPr>
                <w:rStyle w:val="CharacterStyle6"/>
              </w:rPr>
              <w:t>66.500,00</w:t>
            </w:r>
          </w:p>
        </w:tc>
      </w:tr>
      <w:tr w:rsidR="007D706A" w14:paraId="387B4BC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579388B" w14:textId="77777777" w:rsidR="007D706A" w:rsidRDefault="007D706A" w:rsidP="00F70508">
            <w:pPr>
              <w:pStyle w:val="ParagraphStyle4"/>
              <w:rPr>
                <w:rStyle w:val="CharacterStyle4"/>
              </w:rPr>
            </w:pPr>
            <w:r>
              <w:rPr>
                <w:rStyle w:val="CharacterStyle4"/>
              </w:rPr>
              <w:t>Aktivnost A104501</w:t>
            </w:r>
          </w:p>
        </w:tc>
        <w:tc>
          <w:tcPr>
            <w:tcW w:w="4995" w:type="dxa"/>
            <w:tcBorders>
              <w:bottom w:val="single" w:sz="6" w:space="0" w:color="000000"/>
              <w:right w:val="single" w:sz="6" w:space="0" w:color="000000"/>
            </w:tcBorders>
            <w:vAlign w:val="center"/>
          </w:tcPr>
          <w:p w14:paraId="767B29F6" w14:textId="77777777" w:rsidR="007D706A" w:rsidRDefault="007D706A" w:rsidP="00F70508">
            <w:pPr>
              <w:pStyle w:val="ParagraphStyle5"/>
              <w:rPr>
                <w:rStyle w:val="CharacterStyle5"/>
              </w:rPr>
            </w:pPr>
            <w:r>
              <w:rPr>
                <w:rStyle w:val="CharacterStyle5"/>
              </w:rPr>
              <w:t>FINANCIRANJE MJESNIH ODBORA</w:t>
            </w:r>
          </w:p>
        </w:tc>
        <w:tc>
          <w:tcPr>
            <w:tcW w:w="1395" w:type="dxa"/>
            <w:tcBorders>
              <w:bottom w:val="single" w:sz="6" w:space="0" w:color="000000"/>
              <w:right w:val="single" w:sz="6" w:space="0" w:color="000000"/>
            </w:tcBorders>
            <w:vAlign w:val="center"/>
          </w:tcPr>
          <w:p w14:paraId="6E05B574"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6C0F2357" w14:textId="77777777" w:rsidR="007D706A" w:rsidRDefault="007D706A" w:rsidP="00F70508">
            <w:pPr>
              <w:pStyle w:val="ParagraphStyle6"/>
              <w:rPr>
                <w:rStyle w:val="CharacterStyle6"/>
              </w:rPr>
            </w:pPr>
            <w:r>
              <w:rPr>
                <w:rStyle w:val="CharacterStyle6"/>
              </w:rPr>
              <w:t>30.550,00</w:t>
            </w:r>
          </w:p>
        </w:tc>
        <w:tc>
          <w:tcPr>
            <w:tcW w:w="1395" w:type="dxa"/>
            <w:tcBorders>
              <w:bottom w:val="single" w:sz="6" w:space="0" w:color="000000"/>
              <w:right w:val="single" w:sz="6" w:space="0" w:color="000000"/>
            </w:tcBorders>
            <w:vAlign w:val="center"/>
          </w:tcPr>
          <w:p w14:paraId="1BCBB8B8" w14:textId="77777777" w:rsidR="007D706A" w:rsidRDefault="007D706A" w:rsidP="00F70508">
            <w:pPr>
              <w:pStyle w:val="ParagraphStyle6"/>
              <w:rPr>
                <w:rStyle w:val="CharacterStyle6"/>
              </w:rPr>
            </w:pPr>
            <w:r>
              <w:rPr>
                <w:rStyle w:val="CharacterStyle6"/>
              </w:rPr>
              <w:t>49.020,00</w:t>
            </w:r>
          </w:p>
        </w:tc>
        <w:tc>
          <w:tcPr>
            <w:tcW w:w="1395" w:type="dxa"/>
            <w:tcBorders>
              <w:bottom w:val="single" w:sz="6" w:space="0" w:color="000000"/>
              <w:right w:val="single" w:sz="6" w:space="0" w:color="000000"/>
            </w:tcBorders>
            <w:vAlign w:val="center"/>
          </w:tcPr>
          <w:p w14:paraId="717A24E9" w14:textId="77777777" w:rsidR="007D706A" w:rsidRDefault="007D706A" w:rsidP="00F70508">
            <w:pPr>
              <w:pStyle w:val="ParagraphStyle6"/>
              <w:rPr>
                <w:rStyle w:val="CharacterStyle6"/>
              </w:rPr>
            </w:pPr>
            <w:r>
              <w:rPr>
                <w:rStyle w:val="CharacterStyle6"/>
              </w:rPr>
              <w:t>32.500,00</w:t>
            </w:r>
          </w:p>
        </w:tc>
        <w:tc>
          <w:tcPr>
            <w:tcW w:w="1395" w:type="dxa"/>
            <w:tcBorders>
              <w:bottom w:val="single" w:sz="6" w:space="0" w:color="000000"/>
              <w:right w:val="single" w:sz="6" w:space="0" w:color="000000"/>
            </w:tcBorders>
            <w:vAlign w:val="center"/>
          </w:tcPr>
          <w:p w14:paraId="75E6F614" w14:textId="77777777" w:rsidR="007D706A" w:rsidRDefault="007D706A" w:rsidP="00F70508">
            <w:pPr>
              <w:pStyle w:val="ParagraphStyle6"/>
              <w:rPr>
                <w:rStyle w:val="CharacterStyle6"/>
              </w:rPr>
            </w:pPr>
            <w:r>
              <w:rPr>
                <w:rStyle w:val="CharacterStyle6"/>
              </w:rPr>
              <w:t>66.500,00</w:t>
            </w:r>
          </w:p>
        </w:tc>
      </w:tr>
      <w:tr w:rsidR="007D706A" w14:paraId="65B4913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D1734DC"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2E53C9C5"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5F704921"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1B26A86" w14:textId="77777777" w:rsidR="007D706A" w:rsidRDefault="007D706A" w:rsidP="00F70508">
            <w:pPr>
              <w:pStyle w:val="ParagraphStyle9"/>
              <w:rPr>
                <w:rStyle w:val="CharacterStyle9"/>
              </w:rPr>
            </w:pPr>
            <w:r>
              <w:rPr>
                <w:rStyle w:val="CharacterStyle9"/>
              </w:rPr>
              <w:t>30.500,00</w:t>
            </w:r>
          </w:p>
        </w:tc>
        <w:tc>
          <w:tcPr>
            <w:tcW w:w="1395" w:type="dxa"/>
            <w:tcBorders>
              <w:bottom w:val="single" w:sz="6" w:space="0" w:color="000000"/>
              <w:right w:val="single" w:sz="6" w:space="0" w:color="000000"/>
            </w:tcBorders>
            <w:vAlign w:val="center"/>
          </w:tcPr>
          <w:p w14:paraId="64AD9A54" w14:textId="77777777" w:rsidR="007D706A" w:rsidRDefault="007D706A" w:rsidP="00F70508">
            <w:pPr>
              <w:pStyle w:val="ParagraphStyle9"/>
              <w:rPr>
                <w:rStyle w:val="CharacterStyle9"/>
              </w:rPr>
            </w:pPr>
            <w:r>
              <w:rPr>
                <w:rStyle w:val="CharacterStyle9"/>
              </w:rPr>
              <w:t>49.000,00</w:t>
            </w:r>
          </w:p>
        </w:tc>
        <w:tc>
          <w:tcPr>
            <w:tcW w:w="1395" w:type="dxa"/>
            <w:tcBorders>
              <w:bottom w:val="single" w:sz="6" w:space="0" w:color="000000"/>
              <w:right w:val="single" w:sz="6" w:space="0" w:color="000000"/>
            </w:tcBorders>
            <w:vAlign w:val="center"/>
          </w:tcPr>
          <w:p w14:paraId="730667E6" w14:textId="77777777" w:rsidR="007D706A" w:rsidRDefault="007D706A" w:rsidP="00F70508">
            <w:pPr>
              <w:pStyle w:val="ParagraphStyle9"/>
              <w:rPr>
                <w:rStyle w:val="CharacterStyle9"/>
              </w:rPr>
            </w:pPr>
            <w:r>
              <w:rPr>
                <w:rStyle w:val="CharacterStyle9"/>
              </w:rPr>
              <w:t>32.500,00</w:t>
            </w:r>
          </w:p>
        </w:tc>
        <w:tc>
          <w:tcPr>
            <w:tcW w:w="1395" w:type="dxa"/>
            <w:tcBorders>
              <w:bottom w:val="single" w:sz="6" w:space="0" w:color="000000"/>
              <w:right w:val="single" w:sz="6" w:space="0" w:color="000000"/>
            </w:tcBorders>
            <w:vAlign w:val="center"/>
          </w:tcPr>
          <w:p w14:paraId="57CCC529" w14:textId="77777777" w:rsidR="007D706A" w:rsidRDefault="007D706A" w:rsidP="00F70508">
            <w:pPr>
              <w:pStyle w:val="ParagraphStyle9"/>
              <w:rPr>
                <w:rStyle w:val="CharacterStyle9"/>
              </w:rPr>
            </w:pPr>
            <w:r>
              <w:rPr>
                <w:rStyle w:val="CharacterStyle9"/>
              </w:rPr>
              <w:t>66.500,00</w:t>
            </w:r>
          </w:p>
        </w:tc>
      </w:tr>
      <w:tr w:rsidR="007D706A" w14:paraId="64CA0DD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B346E62"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057B794D"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6CE92E5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8A31E90" w14:textId="77777777" w:rsidR="007D706A" w:rsidRDefault="007D706A" w:rsidP="00F70508">
            <w:pPr>
              <w:pStyle w:val="ParagraphStyle12"/>
              <w:rPr>
                <w:rStyle w:val="CharacterStyle12"/>
              </w:rPr>
            </w:pPr>
            <w:r>
              <w:rPr>
                <w:rStyle w:val="CharacterStyle12"/>
              </w:rPr>
              <w:t>30.500,00</w:t>
            </w:r>
          </w:p>
        </w:tc>
        <w:tc>
          <w:tcPr>
            <w:tcW w:w="1395" w:type="dxa"/>
            <w:tcBorders>
              <w:bottom w:val="single" w:sz="6" w:space="0" w:color="000000"/>
              <w:right w:val="single" w:sz="6" w:space="0" w:color="000000"/>
            </w:tcBorders>
            <w:vAlign w:val="center"/>
          </w:tcPr>
          <w:p w14:paraId="34D85042" w14:textId="77777777" w:rsidR="007D706A" w:rsidRDefault="007D706A" w:rsidP="00F70508">
            <w:pPr>
              <w:pStyle w:val="ParagraphStyle12"/>
              <w:rPr>
                <w:rStyle w:val="CharacterStyle12"/>
              </w:rPr>
            </w:pPr>
            <w:r>
              <w:rPr>
                <w:rStyle w:val="CharacterStyle12"/>
              </w:rPr>
              <w:t>49.000,00</w:t>
            </w:r>
          </w:p>
        </w:tc>
        <w:tc>
          <w:tcPr>
            <w:tcW w:w="1395" w:type="dxa"/>
            <w:tcBorders>
              <w:bottom w:val="single" w:sz="6" w:space="0" w:color="000000"/>
              <w:right w:val="single" w:sz="6" w:space="0" w:color="000000"/>
            </w:tcBorders>
            <w:vAlign w:val="center"/>
          </w:tcPr>
          <w:p w14:paraId="698BB490" w14:textId="77777777" w:rsidR="007D706A" w:rsidRDefault="007D706A" w:rsidP="00F70508">
            <w:pPr>
              <w:pStyle w:val="ParagraphStyle12"/>
              <w:rPr>
                <w:rStyle w:val="CharacterStyle12"/>
              </w:rPr>
            </w:pPr>
            <w:r>
              <w:rPr>
                <w:rStyle w:val="CharacterStyle12"/>
              </w:rPr>
              <w:t>32.500,00</w:t>
            </w:r>
          </w:p>
        </w:tc>
        <w:tc>
          <w:tcPr>
            <w:tcW w:w="1395" w:type="dxa"/>
            <w:tcBorders>
              <w:bottom w:val="single" w:sz="6" w:space="0" w:color="000000"/>
              <w:right w:val="single" w:sz="6" w:space="0" w:color="000000"/>
            </w:tcBorders>
            <w:vAlign w:val="center"/>
          </w:tcPr>
          <w:p w14:paraId="2F9AE82F" w14:textId="77777777" w:rsidR="007D706A" w:rsidRDefault="007D706A" w:rsidP="00F70508">
            <w:pPr>
              <w:pStyle w:val="ParagraphStyle12"/>
              <w:rPr>
                <w:rStyle w:val="CharacterStyle12"/>
              </w:rPr>
            </w:pPr>
            <w:r>
              <w:rPr>
                <w:rStyle w:val="CharacterStyle12"/>
              </w:rPr>
              <w:t>66.500,00</w:t>
            </w:r>
          </w:p>
        </w:tc>
      </w:tr>
      <w:tr w:rsidR="007D706A" w14:paraId="5BD7ED7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680F45A"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0C2AE9FB"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655EE80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4F7FD9C" w14:textId="77777777" w:rsidR="007D706A" w:rsidRDefault="007D706A" w:rsidP="00F70508">
            <w:pPr>
              <w:pStyle w:val="ParagraphStyle12"/>
              <w:rPr>
                <w:rStyle w:val="CharacterStyle12"/>
              </w:rPr>
            </w:pPr>
            <w:r>
              <w:rPr>
                <w:rStyle w:val="CharacterStyle12"/>
              </w:rPr>
              <w:t>30.150,00</w:t>
            </w:r>
          </w:p>
        </w:tc>
        <w:tc>
          <w:tcPr>
            <w:tcW w:w="1395" w:type="dxa"/>
            <w:tcBorders>
              <w:bottom w:val="single" w:sz="6" w:space="0" w:color="000000"/>
              <w:right w:val="single" w:sz="6" w:space="0" w:color="000000"/>
            </w:tcBorders>
            <w:vAlign w:val="center"/>
          </w:tcPr>
          <w:p w14:paraId="38C8EB77" w14:textId="77777777" w:rsidR="007D706A" w:rsidRDefault="007D706A" w:rsidP="00F70508">
            <w:pPr>
              <w:pStyle w:val="ParagraphStyle12"/>
              <w:rPr>
                <w:rStyle w:val="CharacterStyle12"/>
              </w:rPr>
            </w:pPr>
            <w:r>
              <w:rPr>
                <w:rStyle w:val="CharacterStyle12"/>
              </w:rPr>
              <w:t>48.600,00</w:t>
            </w:r>
          </w:p>
        </w:tc>
        <w:tc>
          <w:tcPr>
            <w:tcW w:w="1395" w:type="dxa"/>
            <w:tcBorders>
              <w:bottom w:val="single" w:sz="6" w:space="0" w:color="000000"/>
              <w:right w:val="single" w:sz="6" w:space="0" w:color="000000"/>
            </w:tcBorders>
            <w:vAlign w:val="center"/>
          </w:tcPr>
          <w:p w14:paraId="0EFE0B00" w14:textId="77777777" w:rsidR="007D706A" w:rsidRDefault="007D706A" w:rsidP="00F70508">
            <w:pPr>
              <w:pStyle w:val="ParagraphStyle12"/>
              <w:rPr>
                <w:rStyle w:val="CharacterStyle12"/>
              </w:rPr>
            </w:pPr>
            <w:r>
              <w:rPr>
                <w:rStyle w:val="CharacterStyle12"/>
              </w:rPr>
              <w:t>32.500,00</w:t>
            </w:r>
          </w:p>
        </w:tc>
        <w:tc>
          <w:tcPr>
            <w:tcW w:w="1395" w:type="dxa"/>
            <w:tcBorders>
              <w:bottom w:val="single" w:sz="6" w:space="0" w:color="000000"/>
              <w:right w:val="single" w:sz="6" w:space="0" w:color="000000"/>
            </w:tcBorders>
            <w:vAlign w:val="center"/>
          </w:tcPr>
          <w:p w14:paraId="42F8BF83" w14:textId="77777777" w:rsidR="007D706A" w:rsidRDefault="007D706A" w:rsidP="00F70508">
            <w:pPr>
              <w:pStyle w:val="ParagraphStyle12"/>
              <w:rPr>
                <w:rStyle w:val="CharacterStyle12"/>
              </w:rPr>
            </w:pPr>
            <w:r>
              <w:rPr>
                <w:rStyle w:val="CharacterStyle12"/>
              </w:rPr>
              <w:t>34.500,00</w:t>
            </w:r>
          </w:p>
        </w:tc>
      </w:tr>
      <w:tr w:rsidR="007D706A" w14:paraId="1444D3F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5BEB9A4" w14:textId="77777777" w:rsidR="007D706A" w:rsidRDefault="007D706A" w:rsidP="00F70508">
            <w:pPr>
              <w:pStyle w:val="ParagraphStyle10"/>
              <w:rPr>
                <w:rStyle w:val="CharacterStyle10"/>
              </w:rPr>
            </w:pPr>
            <w:r>
              <w:rPr>
                <w:rStyle w:val="CharacterStyle10"/>
              </w:rPr>
              <w:t>34</w:t>
            </w:r>
          </w:p>
        </w:tc>
        <w:tc>
          <w:tcPr>
            <w:tcW w:w="4995" w:type="dxa"/>
            <w:tcBorders>
              <w:bottom w:val="single" w:sz="6" w:space="0" w:color="000000"/>
              <w:right w:val="single" w:sz="6" w:space="0" w:color="000000"/>
            </w:tcBorders>
            <w:vAlign w:val="center"/>
          </w:tcPr>
          <w:p w14:paraId="00E48B45" w14:textId="77777777" w:rsidR="007D706A" w:rsidRDefault="007D706A" w:rsidP="00F70508">
            <w:pPr>
              <w:pStyle w:val="ParagraphStyle11"/>
              <w:rPr>
                <w:rStyle w:val="CharacterStyle11"/>
              </w:rPr>
            </w:pPr>
            <w:r>
              <w:rPr>
                <w:rStyle w:val="CharacterStyle11"/>
              </w:rPr>
              <w:t>Financijski rashodi</w:t>
            </w:r>
          </w:p>
        </w:tc>
        <w:tc>
          <w:tcPr>
            <w:tcW w:w="1395" w:type="dxa"/>
            <w:tcBorders>
              <w:bottom w:val="single" w:sz="6" w:space="0" w:color="000000"/>
              <w:right w:val="single" w:sz="6" w:space="0" w:color="000000"/>
            </w:tcBorders>
            <w:vAlign w:val="center"/>
          </w:tcPr>
          <w:p w14:paraId="5ABF7C8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F1841AB" w14:textId="77777777" w:rsidR="007D706A" w:rsidRDefault="007D706A" w:rsidP="00F70508">
            <w:pPr>
              <w:pStyle w:val="ParagraphStyle12"/>
              <w:rPr>
                <w:rStyle w:val="CharacterStyle12"/>
              </w:rPr>
            </w:pPr>
            <w:r>
              <w:rPr>
                <w:rStyle w:val="CharacterStyle12"/>
              </w:rPr>
              <w:t>350,00</w:t>
            </w:r>
          </w:p>
        </w:tc>
        <w:tc>
          <w:tcPr>
            <w:tcW w:w="1395" w:type="dxa"/>
            <w:tcBorders>
              <w:bottom w:val="single" w:sz="6" w:space="0" w:color="000000"/>
              <w:right w:val="single" w:sz="6" w:space="0" w:color="000000"/>
            </w:tcBorders>
            <w:vAlign w:val="center"/>
          </w:tcPr>
          <w:p w14:paraId="609C3C7F" w14:textId="77777777" w:rsidR="007D706A" w:rsidRDefault="007D706A" w:rsidP="00F70508">
            <w:pPr>
              <w:pStyle w:val="ParagraphStyle12"/>
              <w:rPr>
                <w:rStyle w:val="CharacterStyle12"/>
              </w:rPr>
            </w:pPr>
            <w:r>
              <w:rPr>
                <w:rStyle w:val="CharacterStyle12"/>
              </w:rPr>
              <w:t>400,00</w:t>
            </w:r>
          </w:p>
        </w:tc>
        <w:tc>
          <w:tcPr>
            <w:tcW w:w="1395" w:type="dxa"/>
            <w:tcBorders>
              <w:bottom w:val="single" w:sz="6" w:space="0" w:color="000000"/>
              <w:right w:val="single" w:sz="6" w:space="0" w:color="000000"/>
            </w:tcBorders>
            <w:vAlign w:val="center"/>
          </w:tcPr>
          <w:p w14:paraId="64C9CC3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CAD6D3F" w14:textId="77777777" w:rsidR="007D706A" w:rsidRDefault="007D706A" w:rsidP="00F70508">
            <w:pPr>
              <w:pStyle w:val="ParagraphStyle12"/>
              <w:rPr>
                <w:rStyle w:val="CharacterStyle12"/>
              </w:rPr>
            </w:pPr>
            <w:r>
              <w:rPr>
                <w:rStyle w:val="CharacterStyle12"/>
              </w:rPr>
              <w:t>0,00</w:t>
            </w:r>
          </w:p>
        </w:tc>
      </w:tr>
      <w:tr w:rsidR="007D706A" w14:paraId="02F86AD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F858367" w14:textId="77777777" w:rsidR="007D706A" w:rsidRDefault="007D706A" w:rsidP="00F70508">
            <w:pPr>
              <w:pStyle w:val="ParagraphStyle10"/>
              <w:rPr>
                <w:rStyle w:val="CharacterStyle10"/>
              </w:rPr>
            </w:pPr>
            <w:r>
              <w:rPr>
                <w:rStyle w:val="CharacterStyle10"/>
              </w:rPr>
              <w:t>38</w:t>
            </w:r>
          </w:p>
        </w:tc>
        <w:tc>
          <w:tcPr>
            <w:tcW w:w="4995" w:type="dxa"/>
            <w:tcBorders>
              <w:bottom w:val="single" w:sz="6" w:space="0" w:color="000000"/>
              <w:right w:val="single" w:sz="6" w:space="0" w:color="000000"/>
            </w:tcBorders>
            <w:vAlign w:val="center"/>
          </w:tcPr>
          <w:p w14:paraId="300ECEE0" w14:textId="77777777" w:rsidR="007D706A" w:rsidRDefault="007D706A" w:rsidP="00F70508">
            <w:pPr>
              <w:pStyle w:val="ParagraphStyle11"/>
              <w:rPr>
                <w:rStyle w:val="CharacterStyle11"/>
              </w:rPr>
            </w:pPr>
            <w:r>
              <w:rPr>
                <w:rStyle w:val="CharacterStyle11"/>
              </w:rPr>
              <w:t>Rashodi za donacije, kazne, naknade šteta i kapitalne pomoći</w:t>
            </w:r>
          </w:p>
        </w:tc>
        <w:tc>
          <w:tcPr>
            <w:tcW w:w="1395" w:type="dxa"/>
            <w:tcBorders>
              <w:bottom w:val="single" w:sz="6" w:space="0" w:color="000000"/>
              <w:right w:val="single" w:sz="6" w:space="0" w:color="000000"/>
            </w:tcBorders>
            <w:vAlign w:val="center"/>
          </w:tcPr>
          <w:p w14:paraId="432333A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881641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6E87DD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030C4F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A0167D0" w14:textId="77777777" w:rsidR="007D706A" w:rsidRDefault="007D706A" w:rsidP="00F70508">
            <w:pPr>
              <w:pStyle w:val="ParagraphStyle12"/>
              <w:rPr>
                <w:rStyle w:val="CharacterStyle12"/>
              </w:rPr>
            </w:pPr>
            <w:r>
              <w:rPr>
                <w:rStyle w:val="CharacterStyle12"/>
              </w:rPr>
              <w:t>32.000,00</w:t>
            </w:r>
          </w:p>
        </w:tc>
      </w:tr>
      <w:tr w:rsidR="007D706A" w14:paraId="7061278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F283AAA" w14:textId="77777777" w:rsidR="007D706A" w:rsidRDefault="007D706A" w:rsidP="00F70508">
            <w:pPr>
              <w:pStyle w:val="ParagraphStyle7"/>
              <w:rPr>
                <w:rStyle w:val="CharacterStyle7"/>
              </w:rPr>
            </w:pPr>
            <w:r>
              <w:rPr>
                <w:rStyle w:val="CharacterStyle7"/>
              </w:rPr>
              <w:t>Izvor financiranja 31</w:t>
            </w:r>
          </w:p>
        </w:tc>
        <w:tc>
          <w:tcPr>
            <w:tcW w:w="4995" w:type="dxa"/>
            <w:tcBorders>
              <w:bottom w:val="single" w:sz="6" w:space="0" w:color="000000"/>
              <w:right w:val="single" w:sz="6" w:space="0" w:color="000000"/>
            </w:tcBorders>
            <w:vAlign w:val="center"/>
          </w:tcPr>
          <w:p w14:paraId="155F3CD7" w14:textId="77777777" w:rsidR="007D706A" w:rsidRDefault="007D706A" w:rsidP="00F70508">
            <w:pPr>
              <w:pStyle w:val="ParagraphStyle8"/>
              <w:rPr>
                <w:rStyle w:val="CharacterStyle8"/>
              </w:rPr>
            </w:pPr>
            <w:r>
              <w:rPr>
                <w:rStyle w:val="CharacterStyle8"/>
              </w:rPr>
              <w:t>Vlastiti prihodi</w:t>
            </w:r>
          </w:p>
        </w:tc>
        <w:tc>
          <w:tcPr>
            <w:tcW w:w="1395" w:type="dxa"/>
            <w:tcBorders>
              <w:bottom w:val="single" w:sz="6" w:space="0" w:color="000000"/>
              <w:right w:val="single" w:sz="6" w:space="0" w:color="000000"/>
            </w:tcBorders>
            <w:vAlign w:val="center"/>
          </w:tcPr>
          <w:p w14:paraId="01ADCD9D"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3B5BAC8" w14:textId="77777777" w:rsidR="007D706A" w:rsidRDefault="007D706A" w:rsidP="00F70508">
            <w:pPr>
              <w:pStyle w:val="ParagraphStyle9"/>
              <w:rPr>
                <w:rStyle w:val="CharacterStyle9"/>
              </w:rPr>
            </w:pPr>
            <w:r>
              <w:rPr>
                <w:rStyle w:val="CharacterStyle9"/>
              </w:rPr>
              <w:t>50,00</w:t>
            </w:r>
          </w:p>
        </w:tc>
        <w:tc>
          <w:tcPr>
            <w:tcW w:w="1395" w:type="dxa"/>
            <w:tcBorders>
              <w:bottom w:val="single" w:sz="6" w:space="0" w:color="000000"/>
              <w:right w:val="single" w:sz="6" w:space="0" w:color="000000"/>
            </w:tcBorders>
            <w:vAlign w:val="center"/>
          </w:tcPr>
          <w:p w14:paraId="6DCB4DB8" w14:textId="77777777" w:rsidR="007D706A" w:rsidRDefault="007D706A" w:rsidP="00F70508">
            <w:pPr>
              <w:pStyle w:val="ParagraphStyle9"/>
              <w:rPr>
                <w:rStyle w:val="CharacterStyle9"/>
              </w:rPr>
            </w:pPr>
            <w:r>
              <w:rPr>
                <w:rStyle w:val="CharacterStyle9"/>
              </w:rPr>
              <w:t>20,00</w:t>
            </w:r>
          </w:p>
        </w:tc>
        <w:tc>
          <w:tcPr>
            <w:tcW w:w="1395" w:type="dxa"/>
            <w:tcBorders>
              <w:bottom w:val="single" w:sz="6" w:space="0" w:color="000000"/>
              <w:right w:val="single" w:sz="6" w:space="0" w:color="000000"/>
            </w:tcBorders>
            <w:vAlign w:val="center"/>
          </w:tcPr>
          <w:p w14:paraId="2B716C1E"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94D9530" w14:textId="77777777" w:rsidR="007D706A" w:rsidRDefault="007D706A" w:rsidP="00F70508">
            <w:pPr>
              <w:pStyle w:val="ParagraphStyle9"/>
              <w:rPr>
                <w:rStyle w:val="CharacterStyle9"/>
              </w:rPr>
            </w:pPr>
            <w:r>
              <w:rPr>
                <w:rStyle w:val="CharacterStyle9"/>
              </w:rPr>
              <w:t>0,00</w:t>
            </w:r>
          </w:p>
        </w:tc>
      </w:tr>
      <w:tr w:rsidR="007D706A" w14:paraId="15B7082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A37599C"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1875AC96"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756AB41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98B6F4F" w14:textId="77777777" w:rsidR="007D706A" w:rsidRDefault="007D706A" w:rsidP="00F70508">
            <w:pPr>
              <w:pStyle w:val="ParagraphStyle12"/>
              <w:rPr>
                <w:rStyle w:val="CharacterStyle12"/>
              </w:rPr>
            </w:pPr>
            <w:r>
              <w:rPr>
                <w:rStyle w:val="CharacterStyle12"/>
              </w:rPr>
              <w:t>50,00</w:t>
            </w:r>
          </w:p>
        </w:tc>
        <w:tc>
          <w:tcPr>
            <w:tcW w:w="1395" w:type="dxa"/>
            <w:tcBorders>
              <w:bottom w:val="single" w:sz="6" w:space="0" w:color="000000"/>
              <w:right w:val="single" w:sz="6" w:space="0" w:color="000000"/>
            </w:tcBorders>
            <w:vAlign w:val="center"/>
          </w:tcPr>
          <w:p w14:paraId="1539EFE9" w14:textId="77777777" w:rsidR="007D706A" w:rsidRDefault="007D706A" w:rsidP="00F70508">
            <w:pPr>
              <w:pStyle w:val="ParagraphStyle12"/>
              <w:rPr>
                <w:rStyle w:val="CharacterStyle12"/>
              </w:rPr>
            </w:pPr>
            <w:r>
              <w:rPr>
                <w:rStyle w:val="CharacterStyle12"/>
              </w:rPr>
              <w:t>20,00</w:t>
            </w:r>
          </w:p>
        </w:tc>
        <w:tc>
          <w:tcPr>
            <w:tcW w:w="1395" w:type="dxa"/>
            <w:tcBorders>
              <w:bottom w:val="single" w:sz="6" w:space="0" w:color="000000"/>
              <w:right w:val="single" w:sz="6" w:space="0" w:color="000000"/>
            </w:tcBorders>
            <w:vAlign w:val="center"/>
          </w:tcPr>
          <w:p w14:paraId="6AB578B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EE3D6DF" w14:textId="77777777" w:rsidR="007D706A" w:rsidRDefault="007D706A" w:rsidP="00F70508">
            <w:pPr>
              <w:pStyle w:val="ParagraphStyle12"/>
              <w:rPr>
                <w:rStyle w:val="CharacterStyle12"/>
              </w:rPr>
            </w:pPr>
            <w:r>
              <w:rPr>
                <w:rStyle w:val="CharacterStyle12"/>
              </w:rPr>
              <w:t>0,00</w:t>
            </w:r>
          </w:p>
        </w:tc>
      </w:tr>
      <w:tr w:rsidR="007D706A" w14:paraId="2CBA128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9C14DB0"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77CE1A46"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38D2D84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BBF13F4" w14:textId="77777777" w:rsidR="007D706A" w:rsidRDefault="007D706A" w:rsidP="00F70508">
            <w:pPr>
              <w:pStyle w:val="ParagraphStyle12"/>
              <w:rPr>
                <w:rStyle w:val="CharacterStyle12"/>
              </w:rPr>
            </w:pPr>
            <w:r>
              <w:rPr>
                <w:rStyle w:val="CharacterStyle12"/>
              </w:rPr>
              <w:t>50,00</w:t>
            </w:r>
          </w:p>
        </w:tc>
        <w:tc>
          <w:tcPr>
            <w:tcW w:w="1395" w:type="dxa"/>
            <w:tcBorders>
              <w:bottom w:val="single" w:sz="6" w:space="0" w:color="000000"/>
              <w:right w:val="single" w:sz="6" w:space="0" w:color="000000"/>
            </w:tcBorders>
            <w:vAlign w:val="center"/>
          </w:tcPr>
          <w:p w14:paraId="3C6D1F0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14D246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779F508" w14:textId="77777777" w:rsidR="007D706A" w:rsidRDefault="007D706A" w:rsidP="00F70508">
            <w:pPr>
              <w:pStyle w:val="ParagraphStyle12"/>
              <w:rPr>
                <w:rStyle w:val="CharacterStyle12"/>
              </w:rPr>
            </w:pPr>
            <w:r>
              <w:rPr>
                <w:rStyle w:val="CharacterStyle12"/>
              </w:rPr>
              <w:t>0,00</w:t>
            </w:r>
          </w:p>
        </w:tc>
      </w:tr>
      <w:tr w:rsidR="007D706A" w14:paraId="52AD478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96621C7" w14:textId="77777777" w:rsidR="007D706A" w:rsidRDefault="007D706A" w:rsidP="00F70508">
            <w:pPr>
              <w:pStyle w:val="ParagraphStyle10"/>
              <w:rPr>
                <w:rStyle w:val="CharacterStyle10"/>
              </w:rPr>
            </w:pPr>
            <w:r>
              <w:rPr>
                <w:rStyle w:val="CharacterStyle10"/>
              </w:rPr>
              <w:t>34</w:t>
            </w:r>
          </w:p>
        </w:tc>
        <w:tc>
          <w:tcPr>
            <w:tcW w:w="4995" w:type="dxa"/>
            <w:tcBorders>
              <w:bottom w:val="single" w:sz="6" w:space="0" w:color="000000"/>
              <w:right w:val="single" w:sz="6" w:space="0" w:color="000000"/>
            </w:tcBorders>
            <w:vAlign w:val="center"/>
          </w:tcPr>
          <w:p w14:paraId="5E2AD3D7" w14:textId="77777777" w:rsidR="007D706A" w:rsidRDefault="007D706A" w:rsidP="00F70508">
            <w:pPr>
              <w:pStyle w:val="ParagraphStyle11"/>
              <w:rPr>
                <w:rStyle w:val="CharacterStyle11"/>
              </w:rPr>
            </w:pPr>
            <w:r>
              <w:rPr>
                <w:rStyle w:val="CharacterStyle11"/>
              </w:rPr>
              <w:t>Financijski rashodi</w:t>
            </w:r>
          </w:p>
        </w:tc>
        <w:tc>
          <w:tcPr>
            <w:tcW w:w="1395" w:type="dxa"/>
            <w:tcBorders>
              <w:bottom w:val="single" w:sz="6" w:space="0" w:color="000000"/>
              <w:right w:val="single" w:sz="6" w:space="0" w:color="000000"/>
            </w:tcBorders>
            <w:vAlign w:val="center"/>
          </w:tcPr>
          <w:p w14:paraId="2C0DC56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75A181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65C16BB" w14:textId="77777777" w:rsidR="007D706A" w:rsidRDefault="007D706A" w:rsidP="00F70508">
            <w:pPr>
              <w:pStyle w:val="ParagraphStyle12"/>
              <w:rPr>
                <w:rStyle w:val="CharacterStyle12"/>
              </w:rPr>
            </w:pPr>
            <w:r>
              <w:rPr>
                <w:rStyle w:val="CharacterStyle12"/>
              </w:rPr>
              <w:t>20,00</w:t>
            </w:r>
          </w:p>
        </w:tc>
        <w:tc>
          <w:tcPr>
            <w:tcW w:w="1395" w:type="dxa"/>
            <w:tcBorders>
              <w:bottom w:val="single" w:sz="6" w:space="0" w:color="000000"/>
              <w:right w:val="single" w:sz="6" w:space="0" w:color="000000"/>
            </w:tcBorders>
            <w:vAlign w:val="center"/>
          </w:tcPr>
          <w:p w14:paraId="55E0E9F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07D5186" w14:textId="77777777" w:rsidR="007D706A" w:rsidRDefault="007D706A" w:rsidP="00F70508">
            <w:pPr>
              <w:pStyle w:val="ParagraphStyle12"/>
              <w:rPr>
                <w:rStyle w:val="CharacterStyle12"/>
              </w:rPr>
            </w:pPr>
            <w:r>
              <w:rPr>
                <w:rStyle w:val="CharacterStyle12"/>
              </w:rPr>
              <w:t>0,00</w:t>
            </w:r>
          </w:p>
        </w:tc>
      </w:tr>
      <w:tr w:rsidR="007D706A" w14:paraId="35A2DF0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C9D5184" w14:textId="77777777" w:rsidR="007D706A" w:rsidRDefault="007D706A" w:rsidP="00F70508">
            <w:pPr>
              <w:pStyle w:val="ParagraphStyle4"/>
              <w:rPr>
                <w:rStyle w:val="CharacterStyle4"/>
              </w:rPr>
            </w:pPr>
            <w:r>
              <w:rPr>
                <w:rStyle w:val="CharacterStyle4"/>
              </w:rPr>
              <w:t>PROGRAM    1044</w:t>
            </w:r>
          </w:p>
        </w:tc>
        <w:tc>
          <w:tcPr>
            <w:tcW w:w="4995" w:type="dxa"/>
            <w:tcBorders>
              <w:bottom w:val="single" w:sz="6" w:space="0" w:color="000000"/>
              <w:right w:val="single" w:sz="6" w:space="0" w:color="000000"/>
            </w:tcBorders>
            <w:vAlign w:val="center"/>
          </w:tcPr>
          <w:p w14:paraId="1A4D287F" w14:textId="77777777" w:rsidR="007D706A" w:rsidRDefault="007D706A" w:rsidP="00F70508">
            <w:pPr>
              <w:pStyle w:val="ParagraphStyle5"/>
              <w:rPr>
                <w:rStyle w:val="CharacterStyle5"/>
              </w:rPr>
            </w:pPr>
            <w:r>
              <w:rPr>
                <w:rStyle w:val="CharacterStyle5"/>
              </w:rPr>
              <w:t>SAVJET MLADIH GRADA ROVINJA-ROVIGNO</w:t>
            </w:r>
          </w:p>
        </w:tc>
        <w:tc>
          <w:tcPr>
            <w:tcW w:w="1395" w:type="dxa"/>
            <w:tcBorders>
              <w:bottom w:val="single" w:sz="6" w:space="0" w:color="000000"/>
              <w:right w:val="single" w:sz="6" w:space="0" w:color="000000"/>
            </w:tcBorders>
            <w:vAlign w:val="center"/>
          </w:tcPr>
          <w:p w14:paraId="1D174710"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210DE9C3" w14:textId="77777777" w:rsidR="007D706A" w:rsidRDefault="007D706A" w:rsidP="00F70508">
            <w:pPr>
              <w:pStyle w:val="ParagraphStyle6"/>
              <w:rPr>
                <w:rStyle w:val="CharacterStyle6"/>
              </w:rPr>
            </w:pPr>
            <w:r>
              <w:rPr>
                <w:rStyle w:val="CharacterStyle6"/>
              </w:rPr>
              <w:t>4.600,00</w:t>
            </w:r>
          </w:p>
        </w:tc>
        <w:tc>
          <w:tcPr>
            <w:tcW w:w="1395" w:type="dxa"/>
            <w:tcBorders>
              <w:bottom w:val="single" w:sz="6" w:space="0" w:color="000000"/>
              <w:right w:val="single" w:sz="6" w:space="0" w:color="000000"/>
            </w:tcBorders>
            <w:vAlign w:val="center"/>
          </w:tcPr>
          <w:p w14:paraId="2DCD931E" w14:textId="77777777" w:rsidR="007D706A" w:rsidRDefault="007D706A" w:rsidP="00F70508">
            <w:pPr>
              <w:pStyle w:val="ParagraphStyle6"/>
              <w:rPr>
                <w:rStyle w:val="CharacterStyle6"/>
              </w:rPr>
            </w:pPr>
            <w:r>
              <w:rPr>
                <w:rStyle w:val="CharacterStyle6"/>
              </w:rPr>
              <w:t>4.600,00</w:t>
            </w:r>
          </w:p>
        </w:tc>
        <w:tc>
          <w:tcPr>
            <w:tcW w:w="1395" w:type="dxa"/>
            <w:tcBorders>
              <w:bottom w:val="single" w:sz="6" w:space="0" w:color="000000"/>
              <w:right w:val="single" w:sz="6" w:space="0" w:color="000000"/>
            </w:tcBorders>
            <w:vAlign w:val="center"/>
          </w:tcPr>
          <w:p w14:paraId="42919EFE" w14:textId="77777777" w:rsidR="007D706A" w:rsidRDefault="007D706A" w:rsidP="00F70508">
            <w:pPr>
              <w:pStyle w:val="ParagraphStyle6"/>
              <w:rPr>
                <w:rStyle w:val="CharacterStyle6"/>
              </w:rPr>
            </w:pPr>
            <w:r>
              <w:rPr>
                <w:rStyle w:val="CharacterStyle6"/>
              </w:rPr>
              <w:t>4.700,00</w:t>
            </w:r>
          </w:p>
        </w:tc>
        <w:tc>
          <w:tcPr>
            <w:tcW w:w="1395" w:type="dxa"/>
            <w:tcBorders>
              <w:bottom w:val="single" w:sz="6" w:space="0" w:color="000000"/>
              <w:right w:val="single" w:sz="6" w:space="0" w:color="000000"/>
            </w:tcBorders>
            <w:vAlign w:val="center"/>
          </w:tcPr>
          <w:p w14:paraId="678D5FD8" w14:textId="77777777" w:rsidR="007D706A" w:rsidRDefault="007D706A" w:rsidP="00F70508">
            <w:pPr>
              <w:pStyle w:val="ParagraphStyle6"/>
              <w:rPr>
                <w:rStyle w:val="CharacterStyle6"/>
              </w:rPr>
            </w:pPr>
            <w:r>
              <w:rPr>
                <w:rStyle w:val="CharacterStyle6"/>
              </w:rPr>
              <w:t>4.800,00</w:t>
            </w:r>
          </w:p>
        </w:tc>
      </w:tr>
      <w:tr w:rsidR="007D706A" w14:paraId="0BFC66A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453B9AF" w14:textId="77777777" w:rsidR="007D706A" w:rsidRDefault="007D706A" w:rsidP="00F70508">
            <w:pPr>
              <w:pStyle w:val="ParagraphStyle4"/>
              <w:rPr>
                <w:rStyle w:val="CharacterStyle4"/>
              </w:rPr>
            </w:pPr>
            <w:r>
              <w:rPr>
                <w:rStyle w:val="CharacterStyle4"/>
              </w:rPr>
              <w:t>Aktivnost A104401</w:t>
            </w:r>
          </w:p>
        </w:tc>
        <w:tc>
          <w:tcPr>
            <w:tcW w:w="4995" w:type="dxa"/>
            <w:tcBorders>
              <w:bottom w:val="single" w:sz="6" w:space="0" w:color="000000"/>
              <w:right w:val="single" w:sz="6" w:space="0" w:color="000000"/>
            </w:tcBorders>
            <w:vAlign w:val="center"/>
          </w:tcPr>
          <w:p w14:paraId="5B073EBF" w14:textId="77777777" w:rsidR="007D706A" w:rsidRDefault="007D706A" w:rsidP="00F70508">
            <w:pPr>
              <w:pStyle w:val="ParagraphStyle5"/>
              <w:rPr>
                <w:rStyle w:val="CharacterStyle5"/>
              </w:rPr>
            </w:pPr>
            <w:r>
              <w:rPr>
                <w:rStyle w:val="CharacterStyle5"/>
              </w:rPr>
              <w:t>DJELATNOST SAVJETA MLADIH GRADA ROVINJA-ROVIGNO</w:t>
            </w:r>
          </w:p>
        </w:tc>
        <w:tc>
          <w:tcPr>
            <w:tcW w:w="1395" w:type="dxa"/>
            <w:tcBorders>
              <w:bottom w:val="single" w:sz="6" w:space="0" w:color="000000"/>
              <w:right w:val="single" w:sz="6" w:space="0" w:color="000000"/>
            </w:tcBorders>
            <w:vAlign w:val="center"/>
          </w:tcPr>
          <w:p w14:paraId="3FFF0CDD"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369D4E35" w14:textId="77777777" w:rsidR="007D706A" w:rsidRDefault="007D706A" w:rsidP="00F70508">
            <w:pPr>
              <w:pStyle w:val="ParagraphStyle6"/>
              <w:rPr>
                <w:rStyle w:val="CharacterStyle6"/>
              </w:rPr>
            </w:pPr>
            <w:r>
              <w:rPr>
                <w:rStyle w:val="CharacterStyle6"/>
              </w:rPr>
              <w:t>4.600,00</w:t>
            </w:r>
          </w:p>
        </w:tc>
        <w:tc>
          <w:tcPr>
            <w:tcW w:w="1395" w:type="dxa"/>
            <w:tcBorders>
              <w:bottom w:val="single" w:sz="6" w:space="0" w:color="000000"/>
              <w:right w:val="single" w:sz="6" w:space="0" w:color="000000"/>
            </w:tcBorders>
            <w:vAlign w:val="center"/>
          </w:tcPr>
          <w:p w14:paraId="4BCE0B83" w14:textId="77777777" w:rsidR="007D706A" w:rsidRDefault="007D706A" w:rsidP="00F70508">
            <w:pPr>
              <w:pStyle w:val="ParagraphStyle6"/>
              <w:rPr>
                <w:rStyle w:val="CharacterStyle6"/>
              </w:rPr>
            </w:pPr>
            <w:r>
              <w:rPr>
                <w:rStyle w:val="CharacterStyle6"/>
              </w:rPr>
              <w:t>4.600,00</w:t>
            </w:r>
          </w:p>
        </w:tc>
        <w:tc>
          <w:tcPr>
            <w:tcW w:w="1395" w:type="dxa"/>
            <w:tcBorders>
              <w:bottom w:val="single" w:sz="6" w:space="0" w:color="000000"/>
              <w:right w:val="single" w:sz="6" w:space="0" w:color="000000"/>
            </w:tcBorders>
            <w:vAlign w:val="center"/>
          </w:tcPr>
          <w:p w14:paraId="3A9C8CA3" w14:textId="77777777" w:rsidR="007D706A" w:rsidRDefault="007D706A" w:rsidP="00F70508">
            <w:pPr>
              <w:pStyle w:val="ParagraphStyle6"/>
              <w:rPr>
                <w:rStyle w:val="CharacterStyle6"/>
              </w:rPr>
            </w:pPr>
            <w:r>
              <w:rPr>
                <w:rStyle w:val="CharacterStyle6"/>
              </w:rPr>
              <w:t>4.700,00</w:t>
            </w:r>
          </w:p>
        </w:tc>
        <w:tc>
          <w:tcPr>
            <w:tcW w:w="1395" w:type="dxa"/>
            <w:tcBorders>
              <w:bottom w:val="single" w:sz="6" w:space="0" w:color="000000"/>
              <w:right w:val="single" w:sz="6" w:space="0" w:color="000000"/>
            </w:tcBorders>
            <w:vAlign w:val="center"/>
          </w:tcPr>
          <w:p w14:paraId="22CC2035" w14:textId="77777777" w:rsidR="007D706A" w:rsidRDefault="007D706A" w:rsidP="00F70508">
            <w:pPr>
              <w:pStyle w:val="ParagraphStyle6"/>
              <w:rPr>
                <w:rStyle w:val="CharacterStyle6"/>
              </w:rPr>
            </w:pPr>
            <w:r>
              <w:rPr>
                <w:rStyle w:val="CharacterStyle6"/>
              </w:rPr>
              <w:t>4.800,00</w:t>
            </w:r>
          </w:p>
        </w:tc>
      </w:tr>
      <w:tr w:rsidR="007D706A" w14:paraId="08E1EE4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CFBB105"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0EC2F32C"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67F79741"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0728244" w14:textId="77777777" w:rsidR="007D706A" w:rsidRDefault="007D706A" w:rsidP="00F70508">
            <w:pPr>
              <w:pStyle w:val="ParagraphStyle9"/>
              <w:rPr>
                <w:rStyle w:val="CharacterStyle9"/>
              </w:rPr>
            </w:pPr>
            <w:r>
              <w:rPr>
                <w:rStyle w:val="CharacterStyle9"/>
              </w:rPr>
              <w:t>4.600,00</w:t>
            </w:r>
          </w:p>
        </w:tc>
        <w:tc>
          <w:tcPr>
            <w:tcW w:w="1395" w:type="dxa"/>
            <w:tcBorders>
              <w:bottom w:val="single" w:sz="6" w:space="0" w:color="000000"/>
              <w:right w:val="single" w:sz="6" w:space="0" w:color="000000"/>
            </w:tcBorders>
            <w:vAlign w:val="center"/>
          </w:tcPr>
          <w:p w14:paraId="63FC2286" w14:textId="77777777" w:rsidR="007D706A" w:rsidRDefault="007D706A" w:rsidP="00F70508">
            <w:pPr>
              <w:pStyle w:val="ParagraphStyle9"/>
              <w:rPr>
                <w:rStyle w:val="CharacterStyle9"/>
              </w:rPr>
            </w:pPr>
            <w:r>
              <w:rPr>
                <w:rStyle w:val="CharacterStyle9"/>
              </w:rPr>
              <w:t>4.600,00</w:t>
            </w:r>
          </w:p>
        </w:tc>
        <w:tc>
          <w:tcPr>
            <w:tcW w:w="1395" w:type="dxa"/>
            <w:tcBorders>
              <w:bottom w:val="single" w:sz="6" w:space="0" w:color="000000"/>
              <w:right w:val="single" w:sz="6" w:space="0" w:color="000000"/>
            </w:tcBorders>
            <w:vAlign w:val="center"/>
          </w:tcPr>
          <w:p w14:paraId="5AC554E1" w14:textId="77777777" w:rsidR="007D706A" w:rsidRDefault="007D706A" w:rsidP="00F70508">
            <w:pPr>
              <w:pStyle w:val="ParagraphStyle9"/>
              <w:rPr>
                <w:rStyle w:val="CharacterStyle9"/>
              </w:rPr>
            </w:pPr>
            <w:r>
              <w:rPr>
                <w:rStyle w:val="CharacterStyle9"/>
              </w:rPr>
              <w:t>4.700,00</w:t>
            </w:r>
          </w:p>
        </w:tc>
        <w:tc>
          <w:tcPr>
            <w:tcW w:w="1395" w:type="dxa"/>
            <w:tcBorders>
              <w:bottom w:val="single" w:sz="6" w:space="0" w:color="000000"/>
              <w:right w:val="single" w:sz="6" w:space="0" w:color="000000"/>
            </w:tcBorders>
            <w:vAlign w:val="center"/>
          </w:tcPr>
          <w:p w14:paraId="5F5632A6" w14:textId="77777777" w:rsidR="007D706A" w:rsidRDefault="007D706A" w:rsidP="00F70508">
            <w:pPr>
              <w:pStyle w:val="ParagraphStyle9"/>
              <w:rPr>
                <w:rStyle w:val="CharacterStyle9"/>
              </w:rPr>
            </w:pPr>
            <w:r>
              <w:rPr>
                <w:rStyle w:val="CharacterStyle9"/>
              </w:rPr>
              <w:t>4.800,00</w:t>
            </w:r>
          </w:p>
        </w:tc>
      </w:tr>
      <w:tr w:rsidR="007D706A" w14:paraId="2989EFA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E7E3FA7"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2C5CD62A"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0090E3B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17C06B8" w14:textId="77777777" w:rsidR="007D706A" w:rsidRDefault="007D706A" w:rsidP="00F70508">
            <w:pPr>
              <w:pStyle w:val="ParagraphStyle12"/>
              <w:rPr>
                <w:rStyle w:val="CharacterStyle12"/>
              </w:rPr>
            </w:pPr>
            <w:r>
              <w:rPr>
                <w:rStyle w:val="CharacterStyle12"/>
              </w:rPr>
              <w:t>4.600,00</w:t>
            </w:r>
          </w:p>
        </w:tc>
        <w:tc>
          <w:tcPr>
            <w:tcW w:w="1395" w:type="dxa"/>
            <w:tcBorders>
              <w:bottom w:val="single" w:sz="6" w:space="0" w:color="000000"/>
              <w:right w:val="single" w:sz="6" w:space="0" w:color="000000"/>
            </w:tcBorders>
            <w:vAlign w:val="center"/>
          </w:tcPr>
          <w:p w14:paraId="1E1A9FA2" w14:textId="77777777" w:rsidR="007D706A" w:rsidRDefault="007D706A" w:rsidP="00F70508">
            <w:pPr>
              <w:pStyle w:val="ParagraphStyle12"/>
              <w:rPr>
                <w:rStyle w:val="CharacterStyle12"/>
              </w:rPr>
            </w:pPr>
            <w:r>
              <w:rPr>
                <w:rStyle w:val="CharacterStyle12"/>
              </w:rPr>
              <w:t>4.600,00</w:t>
            </w:r>
          </w:p>
        </w:tc>
        <w:tc>
          <w:tcPr>
            <w:tcW w:w="1395" w:type="dxa"/>
            <w:tcBorders>
              <w:bottom w:val="single" w:sz="6" w:space="0" w:color="000000"/>
              <w:right w:val="single" w:sz="6" w:space="0" w:color="000000"/>
            </w:tcBorders>
            <w:vAlign w:val="center"/>
          </w:tcPr>
          <w:p w14:paraId="7E6AC02C" w14:textId="77777777" w:rsidR="007D706A" w:rsidRDefault="007D706A" w:rsidP="00F70508">
            <w:pPr>
              <w:pStyle w:val="ParagraphStyle12"/>
              <w:rPr>
                <w:rStyle w:val="CharacterStyle12"/>
              </w:rPr>
            </w:pPr>
            <w:r>
              <w:rPr>
                <w:rStyle w:val="CharacterStyle12"/>
              </w:rPr>
              <w:t>4.700,00</w:t>
            </w:r>
          </w:p>
        </w:tc>
        <w:tc>
          <w:tcPr>
            <w:tcW w:w="1395" w:type="dxa"/>
            <w:tcBorders>
              <w:bottom w:val="single" w:sz="6" w:space="0" w:color="000000"/>
              <w:right w:val="single" w:sz="6" w:space="0" w:color="000000"/>
            </w:tcBorders>
            <w:vAlign w:val="center"/>
          </w:tcPr>
          <w:p w14:paraId="605B4C45" w14:textId="77777777" w:rsidR="007D706A" w:rsidRDefault="007D706A" w:rsidP="00F70508">
            <w:pPr>
              <w:pStyle w:val="ParagraphStyle12"/>
              <w:rPr>
                <w:rStyle w:val="CharacterStyle12"/>
              </w:rPr>
            </w:pPr>
            <w:r>
              <w:rPr>
                <w:rStyle w:val="CharacterStyle12"/>
              </w:rPr>
              <w:t>4.800,00</w:t>
            </w:r>
          </w:p>
        </w:tc>
      </w:tr>
      <w:tr w:rsidR="007D706A" w14:paraId="4FA3C46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BBC75F3"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7805A44B"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0B7CDA3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FCC4B51" w14:textId="77777777" w:rsidR="007D706A" w:rsidRDefault="007D706A" w:rsidP="00F70508">
            <w:pPr>
              <w:pStyle w:val="ParagraphStyle12"/>
              <w:rPr>
                <w:rStyle w:val="CharacterStyle12"/>
              </w:rPr>
            </w:pPr>
            <w:r>
              <w:rPr>
                <w:rStyle w:val="CharacterStyle12"/>
              </w:rPr>
              <w:t>4.334,55</w:t>
            </w:r>
          </w:p>
        </w:tc>
        <w:tc>
          <w:tcPr>
            <w:tcW w:w="1395" w:type="dxa"/>
            <w:tcBorders>
              <w:bottom w:val="single" w:sz="6" w:space="0" w:color="000000"/>
              <w:right w:val="single" w:sz="6" w:space="0" w:color="000000"/>
            </w:tcBorders>
            <w:vAlign w:val="center"/>
          </w:tcPr>
          <w:p w14:paraId="6B724C5F" w14:textId="77777777" w:rsidR="007D706A" w:rsidRDefault="007D706A" w:rsidP="00F70508">
            <w:pPr>
              <w:pStyle w:val="ParagraphStyle12"/>
              <w:rPr>
                <w:rStyle w:val="CharacterStyle12"/>
              </w:rPr>
            </w:pPr>
            <w:r>
              <w:rPr>
                <w:rStyle w:val="CharacterStyle12"/>
              </w:rPr>
              <w:t>4.334,55</w:t>
            </w:r>
          </w:p>
        </w:tc>
        <w:tc>
          <w:tcPr>
            <w:tcW w:w="1395" w:type="dxa"/>
            <w:tcBorders>
              <w:bottom w:val="single" w:sz="6" w:space="0" w:color="000000"/>
              <w:right w:val="single" w:sz="6" w:space="0" w:color="000000"/>
            </w:tcBorders>
            <w:vAlign w:val="center"/>
          </w:tcPr>
          <w:p w14:paraId="1AE8D293" w14:textId="77777777" w:rsidR="007D706A" w:rsidRDefault="007D706A" w:rsidP="00F70508">
            <w:pPr>
              <w:pStyle w:val="ParagraphStyle12"/>
              <w:rPr>
                <w:rStyle w:val="CharacterStyle12"/>
              </w:rPr>
            </w:pPr>
            <w:r>
              <w:rPr>
                <w:rStyle w:val="CharacterStyle12"/>
              </w:rPr>
              <w:t>4.400,00</w:t>
            </w:r>
          </w:p>
        </w:tc>
        <w:tc>
          <w:tcPr>
            <w:tcW w:w="1395" w:type="dxa"/>
            <w:tcBorders>
              <w:bottom w:val="single" w:sz="6" w:space="0" w:color="000000"/>
              <w:right w:val="single" w:sz="6" w:space="0" w:color="000000"/>
            </w:tcBorders>
            <w:vAlign w:val="center"/>
          </w:tcPr>
          <w:p w14:paraId="70E300D4" w14:textId="77777777" w:rsidR="007D706A" w:rsidRDefault="007D706A" w:rsidP="00F70508">
            <w:pPr>
              <w:pStyle w:val="ParagraphStyle12"/>
              <w:rPr>
                <w:rStyle w:val="CharacterStyle12"/>
              </w:rPr>
            </w:pPr>
            <w:r>
              <w:rPr>
                <w:rStyle w:val="CharacterStyle12"/>
              </w:rPr>
              <w:t>4.450,00</w:t>
            </w:r>
          </w:p>
        </w:tc>
      </w:tr>
      <w:tr w:rsidR="007D706A" w14:paraId="7EEB2CD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8B22870" w14:textId="77777777" w:rsidR="007D706A" w:rsidRDefault="007D706A" w:rsidP="00F70508">
            <w:pPr>
              <w:pStyle w:val="ParagraphStyle10"/>
              <w:rPr>
                <w:rStyle w:val="CharacterStyle10"/>
              </w:rPr>
            </w:pPr>
            <w:r>
              <w:rPr>
                <w:rStyle w:val="CharacterStyle10"/>
              </w:rPr>
              <w:t>36</w:t>
            </w:r>
          </w:p>
        </w:tc>
        <w:tc>
          <w:tcPr>
            <w:tcW w:w="4995" w:type="dxa"/>
            <w:tcBorders>
              <w:bottom w:val="single" w:sz="6" w:space="0" w:color="000000"/>
              <w:right w:val="single" w:sz="6" w:space="0" w:color="000000"/>
            </w:tcBorders>
            <w:vAlign w:val="center"/>
          </w:tcPr>
          <w:p w14:paraId="45C6310C" w14:textId="77777777" w:rsidR="007D706A" w:rsidRDefault="007D706A" w:rsidP="00F70508">
            <w:pPr>
              <w:pStyle w:val="ParagraphStyle11"/>
              <w:rPr>
                <w:rStyle w:val="CharacterStyle11"/>
              </w:rPr>
            </w:pPr>
            <w:r>
              <w:rPr>
                <w:rStyle w:val="CharacterStyle11"/>
              </w:rPr>
              <w:t>Pomoći dane u inozemstvo i unutar općeg proračuna</w:t>
            </w:r>
          </w:p>
        </w:tc>
        <w:tc>
          <w:tcPr>
            <w:tcW w:w="1395" w:type="dxa"/>
            <w:tcBorders>
              <w:bottom w:val="single" w:sz="6" w:space="0" w:color="000000"/>
              <w:right w:val="single" w:sz="6" w:space="0" w:color="000000"/>
            </w:tcBorders>
            <w:vAlign w:val="center"/>
          </w:tcPr>
          <w:p w14:paraId="5F54637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378985C" w14:textId="77777777" w:rsidR="007D706A" w:rsidRDefault="007D706A" w:rsidP="00F70508">
            <w:pPr>
              <w:pStyle w:val="ParagraphStyle12"/>
              <w:rPr>
                <w:rStyle w:val="CharacterStyle12"/>
              </w:rPr>
            </w:pPr>
            <w:r>
              <w:rPr>
                <w:rStyle w:val="CharacterStyle12"/>
              </w:rPr>
              <w:t>265,45</w:t>
            </w:r>
          </w:p>
        </w:tc>
        <w:tc>
          <w:tcPr>
            <w:tcW w:w="1395" w:type="dxa"/>
            <w:tcBorders>
              <w:bottom w:val="single" w:sz="6" w:space="0" w:color="000000"/>
              <w:right w:val="single" w:sz="6" w:space="0" w:color="000000"/>
            </w:tcBorders>
            <w:vAlign w:val="center"/>
          </w:tcPr>
          <w:p w14:paraId="0479C9E2" w14:textId="77777777" w:rsidR="007D706A" w:rsidRDefault="007D706A" w:rsidP="00F70508">
            <w:pPr>
              <w:pStyle w:val="ParagraphStyle12"/>
              <w:rPr>
                <w:rStyle w:val="CharacterStyle12"/>
              </w:rPr>
            </w:pPr>
            <w:r>
              <w:rPr>
                <w:rStyle w:val="CharacterStyle12"/>
              </w:rPr>
              <w:t>265,45</w:t>
            </w:r>
          </w:p>
        </w:tc>
        <w:tc>
          <w:tcPr>
            <w:tcW w:w="1395" w:type="dxa"/>
            <w:tcBorders>
              <w:bottom w:val="single" w:sz="6" w:space="0" w:color="000000"/>
              <w:right w:val="single" w:sz="6" w:space="0" w:color="000000"/>
            </w:tcBorders>
            <w:vAlign w:val="center"/>
          </w:tcPr>
          <w:p w14:paraId="4F428904" w14:textId="77777777" w:rsidR="007D706A" w:rsidRDefault="007D706A" w:rsidP="00F70508">
            <w:pPr>
              <w:pStyle w:val="ParagraphStyle12"/>
              <w:rPr>
                <w:rStyle w:val="CharacterStyle12"/>
              </w:rPr>
            </w:pPr>
            <w:r>
              <w:rPr>
                <w:rStyle w:val="CharacterStyle12"/>
              </w:rPr>
              <w:t>300,00</w:t>
            </w:r>
          </w:p>
        </w:tc>
        <w:tc>
          <w:tcPr>
            <w:tcW w:w="1395" w:type="dxa"/>
            <w:tcBorders>
              <w:bottom w:val="single" w:sz="6" w:space="0" w:color="000000"/>
              <w:right w:val="single" w:sz="6" w:space="0" w:color="000000"/>
            </w:tcBorders>
            <w:vAlign w:val="center"/>
          </w:tcPr>
          <w:p w14:paraId="468F34D8" w14:textId="77777777" w:rsidR="007D706A" w:rsidRDefault="007D706A" w:rsidP="00F70508">
            <w:pPr>
              <w:pStyle w:val="ParagraphStyle12"/>
              <w:rPr>
                <w:rStyle w:val="CharacterStyle12"/>
              </w:rPr>
            </w:pPr>
            <w:r>
              <w:rPr>
                <w:rStyle w:val="CharacterStyle12"/>
              </w:rPr>
              <w:t>350,00</w:t>
            </w:r>
          </w:p>
        </w:tc>
      </w:tr>
      <w:tr w:rsidR="007D706A" w14:paraId="18CA0A5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F2517CB" w14:textId="77777777" w:rsidR="007D706A" w:rsidRDefault="007D706A" w:rsidP="00F70508">
            <w:pPr>
              <w:pStyle w:val="ParagraphStyle4"/>
              <w:rPr>
                <w:rStyle w:val="CharacterStyle4"/>
              </w:rPr>
            </w:pPr>
            <w:r>
              <w:rPr>
                <w:rStyle w:val="CharacterStyle4"/>
              </w:rPr>
              <w:t>GLAVA    00102</w:t>
            </w:r>
          </w:p>
        </w:tc>
        <w:tc>
          <w:tcPr>
            <w:tcW w:w="4995" w:type="dxa"/>
            <w:tcBorders>
              <w:bottom w:val="single" w:sz="6" w:space="0" w:color="000000"/>
              <w:right w:val="single" w:sz="6" w:space="0" w:color="000000"/>
            </w:tcBorders>
            <w:vAlign w:val="center"/>
          </w:tcPr>
          <w:p w14:paraId="6D0E83CF" w14:textId="77777777" w:rsidR="007D706A" w:rsidRDefault="007D706A" w:rsidP="00F70508">
            <w:pPr>
              <w:pStyle w:val="ParagraphStyle5"/>
              <w:rPr>
                <w:rStyle w:val="CharacterStyle5"/>
              </w:rPr>
            </w:pPr>
            <w:r>
              <w:rPr>
                <w:rStyle w:val="CharacterStyle5"/>
              </w:rPr>
              <w:t>GRADONAČELNIK</w:t>
            </w:r>
          </w:p>
        </w:tc>
        <w:tc>
          <w:tcPr>
            <w:tcW w:w="1395" w:type="dxa"/>
            <w:tcBorders>
              <w:bottom w:val="single" w:sz="6" w:space="0" w:color="000000"/>
              <w:right w:val="single" w:sz="6" w:space="0" w:color="000000"/>
            </w:tcBorders>
            <w:vAlign w:val="center"/>
          </w:tcPr>
          <w:p w14:paraId="60E39DD3"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172A8AC9" w14:textId="77777777" w:rsidR="007D706A" w:rsidRDefault="007D706A" w:rsidP="00F70508">
            <w:pPr>
              <w:pStyle w:val="ParagraphStyle6"/>
              <w:rPr>
                <w:rStyle w:val="CharacterStyle6"/>
              </w:rPr>
            </w:pPr>
            <w:r>
              <w:rPr>
                <w:rStyle w:val="CharacterStyle6"/>
              </w:rPr>
              <w:t>300.955,00</w:t>
            </w:r>
          </w:p>
        </w:tc>
        <w:tc>
          <w:tcPr>
            <w:tcW w:w="1395" w:type="dxa"/>
            <w:tcBorders>
              <w:bottom w:val="single" w:sz="6" w:space="0" w:color="000000"/>
              <w:right w:val="single" w:sz="6" w:space="0" w:color="000000"/>
            </w:tcBorders>
            <w:vAlign w:val="center"/>
          </w:tcPr>
          <w:p w14:paraId="561B0068" w14:textId="77777777" w:rsidR="007D706A" w:rsidRDefault="007D706A" w:rsidP="00F70508">
            <w:pPr>
              <w:pStyle w:val="ParagraphStyle6"/>
              <w:rPr>
                <w:rStyle w:val="CharacterStyle6"/>
              </w:rPr>
            </w:pPr>
            <w:r>
              <w:rPr>
                <w:rStyle w:val="CharacterStyle6"/>
              </w:rPr>
              <w:t>344.230,00</w:t>
            </w:r>
          </w:p>
        </w:tc>
        <w:tc>
          <w:tcPr>
            <w:tcW w:w="1395" w:type="dxa"/>
            <w:tcBorders>
              <w:bottom w:val="single" w:sz="6" w:space="0" w:color="000000"/>
              <w:right w:val="single" w:sz="6" w:space="0" w:color="000000"/>
            </w:tcBorders>
            <w:vAlign w:val="center"/>
          </w:tcPr>
          <w:p w14:paraId="64EB893E" w14:textId="77777777" w:rsidR="007D706A" w:rsidRDefault="007D706A" w:rsidP="00F70508">
            <w:pPr>
              <w:pStyle w:val="ParagraphStyle6"/>
              <w:rPr>
                <w:rStyle w:val="CharacterStyle6"/>
              </w:rPr>
            </w:pPr>
            <w:r>
              <w:rPr>
                <w:rStyle w:val="CharacterStyle6"/>
              </w:rPr>
              <w:t>336.318,00</w:t>
            </w:r>
          </w:p>
        </w:tc>
        <w:tc>
          <w:tcPr>
            <w:tcW w:w="1395" w:type="dxa"/>
            <w:tcBorders>
              <w:bottom w:val="single" w:sz="6" w:space="0" w:color="000000"/>
              <w:right w:val="single" w:sz="6" w:space="0" w:color="000000"/>
            </w:tcBorders>
            <w:vAlign w:val="center"/>
          </w:tcPr>
          <w:p w14:paraId="3AFD0C34" w14:textId="77777777" w:rsidR="007D706A" w:rsidRDefault="007D706A" w:rsidP="00F70508">
            <w:pPr>
              <w:pStyle w:val="ParagraphStyle6"/>
              <w:rPr>
                <w:rStyle w:val="CharacterStyle6"/>
              </w:rPr>
            </w:pPr>
            <w:r>
              <w:rPr>
                <w:rStyle w:val="CharacterStyle6"/>
              </w:rPr>
              <w:t>339.918,00</w:t>
            </w:r>
          </w:p>
        </w:tc>
      </w:tr>
      <w:tr w:rsidR="007D706A" w14:paraId="66B5BBE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9FAC70E" w14:textId="77777777" w:rsidR="007D706A" w:rsidRDefault="007D706A" w:rsidP="00F70508">
            <w:pPr>
              <w:pStyle w:val="ParagraphStyle4"/>
              <w:rPr>
                <w:rStyle w:val="CharacterStyle4"/>
              </w:rPr>
            </w:pPr>
            <w:r>
              <w:rPr>
                <w:rStyle w:val="CharacterStyle4"/>
              </w:rPr>
              <w:t>Izvor financiranja 11</w:t>
            </w:r>
          </w:p>
        </w:tc>
        <w:tc>
          <w:tcPr>
            <w:tcW w:w="4995" w:type="dxa"/>
            <w:tcBorders>
              <w:bottom w:val="single" w:sz="6" w:space="0" w:color="000000"/>
              <w:right w:val="single" w:sz="6" w:space="0" w:color="000000"/>
            </w:tcBorders>
            <w:vAlign w:val="center"/>
          </w:tcPr>
          <w:p w14:paraId="44B320B4" w14:textId="77777777" w:rsidR="007D706A" w:rsidRDefault="007D706A" w:rsidP="00F70508">
            <w:pPr>
              <w:pStyle w:val="ParagraphStyle5"/>
              <w:rPr>
                <w:rStyle w:val="CharacterStyle5"/>
              </w:rPr>
            </w:pPr>
            <w:r>
              <w:rPr>
                <w:rStyle w:val="CharacterStyle5"/>
              </w:rPr>
              <w:t>Opći prihodi i primici</w:t>
            </w:r>
          </w:p>
        </w:tc>
        <w:tc>
          <w:tcPr>
            <w:tcW w:w="1395" w:type="dxa"/>
            <w:tcBorders>
              <w:bottom w:val="single" w:sz="6" w:space="0" w:color="000000"/>
              <w:right w:val="single" w:sz="6" w:space="0" w:color="000000"/>
            </w:tcBorders>
            <w:vAlign w:val="center"/>
          </w:tcPr>
          <w:p w14:paraId="26FA7135"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70D5D398" w14:textId="77777777" w:rsidR="007D706A" w:rsidRDefault="007D706A" w:rsidP="00F70508">
            <w:pPr>
              <w:pStyle w:val="ParagraphStyle6"/>
              <w:rPr>
                <w:rStyle w:val="CharacterStyle6"/>
              </w:rPr>
            </w:pPr>
            <w:r>
              <w:rPr>
                <w:rStyle w:val="CharacterStyle6"/>
              </w:rPr>
              <w:t>300.955,00</w:t>
            </w:r>
          </w:p>
        </w:tc>
        <w:tc>
          <w:tcPr>
            <w:tcW w:w="1395" w:type="dxa"/>
            <w:tcBorders>
              <w:bottom w:val="single" w:sz="6" w:space="0" w:color="000000"/>
              <w:right w:val="single" w:sz="6" w:space="0" w:color="000000"/>
            </w:tcBorders>
            <w:vAlign w:val="center"/>
          </w:tcPr>
          <w:p w14:paraId="56236A26" w14:textId="77777777" w:rsidR="007D706A" w:rsidRDefault="007D706A" w:rsidP="00F70508">
            <w:pPr>
              <w:pStyle w:val="ParagraphStyle6"/>
              <w:rPr>
                <w:rStyle w:val="CharacterStyle6"/>
              </w:rPr>
            </w:pPr>
            <w:r>
              <w:rPr>
                <w:rStyle w:val="CharacterStyle6"/>
              </w:rPr>
              <w:t>344.230,00</w:t>
            </w:r>
          </w:p>
        </w:tc>
        <w:tc>
          <w:tcPr>
            <w:tcW w:w="1395" w:type="dxa"/>
            <w:tcBorders>
              <w:bottom w:val="single" w:sz="6" w:space="0" w:color="000000"/>
              <w:right w:val="single" w:sz="6" w:space="0" w:color="000000"/>
            </w:tcBorders>
            <w:vAlign w:val="center"/>
          </w:tcPr>
          <w:p w14:paraId="27AC1E6E" w14:textId="77777777" w:rsidR="007D706A" w:rsidRDefault="007D706A" w:rsidP="00F70508">
            <w:pPr>
              <w:pStyle w:val="ParagraphStyle6"/>
              <w:rPr>
                <w:rStyle w:val="CharacterStyle6"/>
              </w:rPr>
            </w:pPr>
            <w:r>
              <w:rPr>
                <w:rStyle w:val="CharacterStyle6"/>
              </w:rPr>
              <w:t>336.318,00</w:t>
            </w:r>
          </w:p>
        </w:tc>
        <w:tc>
          <w:tcPr>
            <w:tcW w:w="1395" w:type="dxa"/>
            <w:tcBorders>
              <w:bottom w:val="single" w:sz="6" w:space="0" w:color="000000"/>
              <w:right w:val="single" w:sz="6" w:space="0" w:color="000000"/>
            </w:tcBorders>
            <w:vAlign w:val="center"/>
          </w:tcPr>
          <w:p w14:paraId="111827A6" w14:textId="77777777" w:rsidR="007D706A" w:rsidRDefault="007D706A" w:rsidP="00F70508">
            <w:pPr>
              <w:pStyle w:val="ParagraphStyle6"/>
              <w:rPr>
                <w:rStyle w:val="CharacterStyle6"/>
              </w:rPr>
            </w:pPr>
            <w:r>
              <w:rPr>
                <w:rStyle w:val="CharacterStyle6"/>
              </w:rPr>
              <w:t>339.918,00</w:t>
            </w:r>
          </w:p>
        </w:tc>
      </w:tr>
      <w:tr w:rsidR="007D706A" w14:paraId="505AB41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4F7953E" w14:textId="77777777" w:rsidR="007D706A" w:rsidRDefault="007D706A" w:rsidP="00F70508">
            <w:pPr>
              <w:pStyle w:val="ParagraphStyle4"/>
              <w:rPr>
                <w:rStyle w:val="CharacterStyle4"/>
              </w:rPr>
            </w:pPr>
            <w:r>
              <w:rPr>
                <w:rStyle w:val="CharacterStyle4"/>
              </w:rPr>
              <w:t>PROGRAM    1002</w:t>
            </w:r>
          </w:p>
        </w:tc>
        <w:tc>
          <w:tcPr>
            <w:tcW w:w="4995" w:type="dxa"/>
            <w:tcBorders>
              <w:bottom w:val="single" w:sz="6" w:space="0" w:color="000000"/>
              <w:right w:val="single" w:sz="6" w:space="0" w:color="000000"/>
            </w:tcBorders>
            <w:vAlign w:val="center"/>
          </w:tcPr>
          <w:p w14:paraId="09254810" w14:textId="77777777" w:rsidR="007D706A" w:rsidRDefault="007D706A" w:rsidP="00F70508">
            <w:pPr>
              <w:pStyle w:val="ParagraphStyle5"/>
              <w:rPr>
                <w:rStyle w:val="CharacterStyle5"/>
              </w:rPr>
            </w:pPr>
            <w:r>
              <w:rPr>
                <w:rStyle w:val="CharacterStyle5"/>
              </w:rPr>
              <w:t>MJERE I AKTIVNOSTI IZ DJELOKRUGA IZVRŠNOG TIJELA</w:t>
            </w:r>
          </w:p>
        </w:tc>
        <w:tc>
          <w:tcPr>
            <w:tcW w:w="1395" w:type="dxa"/>
            <w:tcBorders>
              <w:bottom w:val="single" w:sz="6" w:space="0" w:color="000000"/>
              <w:right w:val="single" w:sz="6" w:space="0" w:color="000000"/>
            </w:tcBorders>
            <w:vAlign w:val="center"/>
          </w:tcPr>
          <w:p w14:paraId="764A4DCC"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1B978FF6" w14:textId="77777777" w:rsidR="007D706A" w:rsidRDefault="007D706A" w:rsidP="00F70508">
            <w:pPr>
              <w:pStyle w:val="ParagraphStyle6"/>
              <w:rPr>
                <w:rStyle w:val="CharacterStyle6"/>
              </w:rPr>
            </w:pPr>
            <w:r>
              <w:rPr>
                <w:rStyle w:val="CharacterStyle6"/>
              </w:rPr>
              <w:t>300.955,00</w:t>
            </w:r>
          </w:p>
        </w:tc>
        <w:tc>
          <w:tcPr>
            <w:tcW w:w="1395" w:type="dxa"/>
            <w:tcBorders>
              <w:bottom w:val="single" w:sz="6" w:space="0" w:color="000000"/>
              <w:right w:val="single" w:sz="6" w:space="0" w:color="000000"/>
            </w:tcBorders>
            <w:vAlign w:val="center"/>
          </w:tcPr>
          <w:p w14:paraId="207A85CB" w14:textId="77777777" w:rsidR="007D706A" w:rsidRDefault="007D706A" w:rsidP="00F70508">
            <w:pPr>
              <w:pStyle w:val="ParagraphStyle6"/>
              <w:rPr>
                <w:rStyle w:val="CharacterStyle6"/>
              </w:rPr>
            </w:pPr>
            <w:r>
              <w:rPr>
                <w:rStyle w:val="CharacterStyle6"/>
              </w:rPr>
              <w:t>344.230,00</w:t>
            </w:r>
          </w:p>
        </w:tc>
        <w:tc>
          <w:tcPr>
            <w:tcW w:w="1395" w:type="dxa"/>
            <w:tcBorders>
              <w:bottom w:val="single" w:sz="6" w:space="0" w:color="000000"/>
              <w:right w:val="single" w:sz="6" w:space="0" w:color="000000"/>
            </w:tcBorders>
            <w:vAlign w:val="center"/>
          </w:tcPr>
          <w:p w14:paraId="176B83C8" w14:textId="77777777" w:rsidR="007D706A" w:rsidRDefault="007D706A" w:rsidP="00F70508">
            <w:pPr>
              <w:pStyle w:val="ParagraphStyle6"/>
              <w:rPr>
                <w:rStyle w:val="CharacterStyle6"/>
              </w:rPr>
            </w:pPr>
            <w:r>
              <w:rPr>
                <w:rStyle w:val="CharacterStyle6"/>
              </w:rPr>
              <w:t>336.318,00</w:t>
            </w:r>
          </w:p>
        </w:tc>
        <w:tc>
          <w:tcPr>
            <w:tcW w:w="1395" w:type="dxa"/>
            <w:tcBorders>
              <w:bottom w:val="single" w:sz="6" w:space="0" w:color="000000"/>
              <w:right w:val="single" w:sz="6" w:space="0" w:color="000000"/>
            </w:tcBorders>
            <w:vAlign w:val="center"/>
          </w:tcPr>
          <w:p w14:paraId="12AB4AA1" w14:textId="77777777" w:rsidR="007D706A" w:rsidRDefault="007D706A" w:rsidP="00F70508">
            <w:pPr>
              <w:pStyle w:val="ParagraphStyle6"/>
              <w:rPr>
                <w:rStyle w:val="CharacterStyle6"/>
              </w:rPr>
            </w:pPr>
            <w:r>
              <w:rPr>
                <w:rStyle w:val="CharacterStyle6"/>
              </w:rPr>
              <w:t>339.918,00</w:t>
            </w:r>
          </w:p>
        </w:tc>
      </w:tr>
      <w:tr w:rsidR="007D706A" w14:paraId="09DD284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2BBB9A3" w14:textId="77777777" w:rsidR="007D706A" w:rsidRDefault="007D706A" w:rsidP="00F70508">
            <w:pPr>
              <w:pStyle w:val="ParagraphStyle4"/>
              <w:rPr>
                <w:rStyle w:val="CharacterStyle4"/>
              </w:rPr>
            </w:pPr>
            <w:r>
              <w:rPr>
                <w:rStyle w:val="CharacterStyle4"/>
              </w:rPr>
              <w:lastRenderedPageBreak/>
              <w:t>Aktivnost A100201</w:t>
            </w:r>
          </w:p>
        </w:tc>
        <w:tc>
          <w:tcPr>
            <w:tcW w:w="4995" w:type="dxa"/>
            <w:tcBorders>
              <w:bottom w:val="single" w:sz="6" w:space="0" w:color="000000"/>
              <w:right w:val="single" w:sz="6" w:space="0" w:color="000000"/>
            </w:tcBorders>
            <w:vAlign w:val="center"/>
          </w:tcPr>
          <w:p w14:paraId="36CD6F8B" w14:textId="77777777" w:rsidR="007D706A" w:rsidRDefault="007D706A" w:rsidP="00F70508">
            <w:pPr>
              <w:pStyle w:val="ParagraphStyle5"/>
              <w:rPr>
                <w:rStyle w:val="CharacterStyle5"/>
              </w:rPr>
            </w:pPr>
            <w:r>
              <w:rPr>
                <w:rStyle w:val="CharacterStyle5"/>
              </w:rPr>
              <w:t>PROTOKOL I PROMIDŽBA</w:t>
            </w:r>
          </w:p>
        </w:tc>
        <w:tc>
          <w:tcPr>
            <w:tcW w:w="1395" w:type="dxa"/>
            <w:tcBorders>
              <w:bottom w:val="single" w:sz="6" w:space="0" w:color="000000"/>
              <w:right w:val="single" w:sz="6" w:space="0" w:color="000000"/>
            </w:tcBorders>
            <w:vAlign w:val="center"/>
          </w:tcPr>
          <w:p w14:paraId="023CEC5C"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7644361F" w14:textId="77777777" w:rsidR="007D706A" w:rsidRDefault="007D706A" w:rsidP="00F70508">
            <w:pPr>
              <w:pStyle w:val="ParagraphStyle6"/>
              <w:rPr>
                <w:rStyle w:val="CharacterStyle6"/>
              </w:rPr>
            </w:pPr>
            <w:r>
              <w:rPr>
                <w:rStyle w:val="CharacterStyle6"/>
              </w:rPr>
              <w:t>176.052,00</w:t>
            </w:r>
          </w:p>
        </w:tc>
        <w:tc>
          <w:tcPr>
            <w:tcW w:w="1395" w:type="dxa"/>
            <w:tcBorders>
              <w:bottom w:val="single" w:sz="6" w:space="0" w:color="000000"/>
              <w:right w:val="single" w:sz="6" w:space="0" w:color="000000"/>
            </w:tcBorders>
            <w:vAlign w:val="center"/>
          </w:tcPr>
          <w:p w14:paraId="31DD4604" w14:textId="77777777" w:rsidR="007D706A" w:rsidRDefault="007D706A" w:rsidP="00F70508">
            <w:pPr>
              <w:pStyle w:val="ParagraphStyle6"/>
              <w:rPr>
                <w:rStyle w:val="CharacterStyle6"/>
              </w:rPr>
            </w:pPr>
            <w:r>
              <w:rPr>
                <w:rStyle w:val="CharacterStyle6"/>
              </w:rPr>
              <w:t>204.427,00</w:t>
            </w:r>
          </w:p>
        </w:tc>
        <w:tc>
          <w:tcPr>
            <w:tcW w:w="1395" w:type="dxa"/>
            <w:tcBorders>
              <w:bottom w:val="single" w:sz="6" w:space="0" w:color="000000"/>
              <w:right w:val="single" w:sz="6" w:space="0" w:color="000000"/>
            </w:tcBorders>
            <w:vAlign w:val="center"/>
          </w:tcPr>
          <w:p w14:paraId="10D3D083" w14:textId="77777777" w:rsidR="007D706A" w:rsidRDefault="007D706A" w:rsidP="00F70508">
            <w:pPr>
              <w:pStyle w:val="ParagraphStyle6"/>
              <w:rPr>
                <w:rStyle w:val="CharacterStyle6"/>
              </w:rPr>
            </w:pPr>
            <w:r>
              <w:rPr>
                <w:rStyle w:val="CharacterStyle6"/>
              </w:rPr>
              <w:t>194.500,00</w:t>
            </w:r>
          </w:p>
        </w:tc>
        <w:tc>
          <w:tcPr>
            <w:tcW w:w="1395" w:type="dxa"/>
            <w:tcBorders>
              <w:bottom w:val="single" w:sz="6" w:space="0" w:color="000000"/>
              <w:right w:val="single" w:sz="6" w:space="0" w:color="000000"/>
            </w:tcBorders>
            <w:vAlign w:val="center"/>
          </w:tcPr>
          <w:p w14:paraId="28F2E8E3" w14:textId="77777777" w:rsidR="007D706A" w:rsidRDefault="007D706A" w:rsidP="00F70508">
            <w:pPr>
              <w:pStyle w:val="ParagraphStyle6"/>
              <w:rPr>
                <w:rStyle w:val="CharacterStyle6"/>
              </w:rPr>
            </w:pPr>
            <w:r>
              <w:rPr>
                <w:rStyle w:val="CharacterStyle6"/>
              </w:rPr>
              <w:t>196.100,00</w:t>
            </w:r>
          </w:p>
        </w:tc>
      </w:tr>
      <w:tr w:rsidR="007D706A" w14:paraId="76FF023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45E0CA6"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2717F746"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5D761065"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55FD5F9" w14:textId="77777777" w:rsidR="007D706A" w:rsidRDefault="007D706A" w:rsidP="00F70508">
            <w:pPr>
              <w:pStyle w:val="ParagraphStyle9"/>
              <w:rPr>
                <w:rStyle w:val="CharacterStyle9"/>
              </w:rPr>
            </w:pPr>
            <w:r>
              <w:rPr>
                <w:rStyle w:val="CharacterStyle9"/>
              </w:rPr>
              <w:t>176.052,00</w:t>
            </w:r>
          </w:p>
        </w:tc>
        <w:tc>
          <w:tcPr>
            <w:tcW w:w="1395" w:type="dxa"/>
            <w:tcBorders>
              <w:bottom w:val="single" w:sz="6" w:space="0" w:color="000000"/>
              <w:right w:val="single" w:sz="6" w:space="0" w:color="000000"/>
            </w:tcBorders>
            <w:vAlign w:val="center"/>
          </w:tcPr>
          <w:p w14:paraId="18A07EC9" w14:textId="77777777" w:rsidR="007D706A" w:rsidRDefault="007D706A" w:rsidP="00F70508">
            <w:pPr>
              <w:pStyle w:val="ParagraphStyle9"/>
              <w:rPr>
                <w:rStyle w:val="CharacterStyle9"/>
              </w:rPr>
            </w:pPr>
            <w:r>
              <w:rPr>
                <w:rStyle w:val="CharacterStyle9"/>
              </w:rPr>
              <w:t>204.427,00</w:t>
            </w:r>
          </w:p>
        </w:tc>
        <w:tc>
          <w:tcPr>
            <w:tcW w:w="1395" w:type="dxa"/>
            <w:tcBorders>
              <w:bottom w:val="single" w:sz="6" w:space="0" w:color="000000"/>
              <w:right w:val="single" w:sz="6" w:space="0" w:color="000000"/>
            </w:tcBorders>
            <w:vAlign w:val="center"/>
          </w:tcPr>
          <w:p w14:paraId="602CA9E1" w14:textId="77777777" w:rsidR="007D706A" w:rsidRDefault="007D706A" w:rsidP="00F70508">
            <w:pPr>
              <w:pStyle w:val="ParagraphStyle9"/>
              <w:rPr>
                <w:rStyle w:val="CharacterStyle9"/>
              </w:rPr>
            </w:pPr>
            <w:r>
              <w:rPr>
                <w:rStyle w:val="CharacterStyle9"/>
              </w:rPr>
              <w:t>194.500,00</w:t>
            </w:r>
          </w:p>
        </w:tc>
        <w:tc>
          <w:tcPr>
            <w:tcW w:w="1395" w:type="dxa"/>
            <w:tcBorders>
              <w:bottom w:val="single" w:sz="6" w:space="0" w:color="000000"/>
              <w:right w:val="single" w:sz="6" w:space="0" w:color="000000"/>
            </w:tcBorders>
            <w:vAlign w:val="center"/>
          </w:tcPr>
          <w:p w14:paraId="2C7DF3CE" w14:textId="77777777" w:rsidR="007D706A" w:rsidRDefault="007D706A" w:rsidP="00F70508">
            <w:pPr>
              <w:pStyle w:val="ParagraphStyle9"/>
              <w:rPr>
                <w:rStyle w:val="CharacterStyle9"/>
              </w:rPr>
            </w:pPr>
            <w:r>
              <w:rPr>
                <w:rStyle w:val="CharacterStyle9"/>
              </w:rPr>
              <w:t>196.100,00</w:t>
            </w:r>
          </w:p>
        </w:tc>
      </w:tr>
      <w:tr w:rsidR="007D706A" w14:paraId="7E9F0D5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0051D20"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4F3B14FD"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28A108E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4DE407B" w14:textId="77777777" w:rsidR="007D706A" w:rsidRDefault="007D706A" w:rsidP="00F70508">
            <w:pPr>
              <w:pStyle w:val="ParagraphStyle12"/>
              <w:rPr>
                <w:rStyle w:val="CharacterStyle12"/>
              </w:rPr>
            </w:pPr>
            <w:r>
              <w:rPr>
                <w:rStyle w:val="CharacterStyle12"/>
              </w:rPr>
              <w:t>176.052,00</w:t>
            </w:r>
          </w:p>
        </w:tc>
        <w:tc>
          <w:tcPr>
            <w:tcW w:w="1395" w:type="dxa"/>
            <w:tcBorders>
              <w:bottom w:val="single" w:sz="6" w:space="0" w:color="000000"/>
              <w:right w:val="single" w:sz="6" w:space="0" w:color="000000"/>
            </w:tcBorders>
            <w:vAlign w:val="center"/>
          </w:tcPr>
          <w:p w14:paraId="1D5C96FC" w14:textId="77777777" w:rsidR="007D706A" w:rsidRDefault="007D706A" w:rsidP="00F70508">
            <w:pPr>
              <w:pStyle w:val="ParagraphStyle12"/>
              <w:rPr>
                <w:rStyle w:val="CharacterStyle12"/>
              </w:rPr>
            </w:pPr>
            <w:r>
              <w:rPr>
                <w:rStyle w:val="CharacterStyle12"/>
              </w:rPr>
              <w:t>204.427,00</w:t>
            </w:r>
          </w:p>
        </w:tc>
        <w:tc>
          <w:tcPr>
            <w:tcW w:w="1395" w:type="dxa"/>
            <w:tcBorders>
              <w:bottom w:val="single" w:sz="6" w:space="0" w:color="000000"/>
              <w:right w:val="single" w:sz="6" w:space="0" w:color="000000"/>
            </w:tcBorders>
            <w:vAlign w:val="center"/>
          </w:tcPr>
          <w:p w14:paraId="04191565" w14:textId="77777777" w:rsidR="007D706A" w:rsidRDefault="007D706A" w:rsidP="00F70508">
            <w:pPr>
              <w:pStyle w:val="ParagraphStyle12"/>
              <w:rPr>
                <w:rStyle w:val="CharacterStyle12"/>
              </w:rPr>
            </w:pPr>
            <w:r>
              <w:rPr>
                <w:rStyle w:val="CharacterStyle12"/>
              </w:rPr>
              <w:t>194.500,00</w:t>
            </w:r>
          </w:p>
        </w:tc>
        <w:tc>
          <w:tcPr>
            <w:tcW w:w="1395" w:type="dxa"/>
            <w:tcBorders>
              <w:bottom w:val="single" w:sz="6" w:space="0" w:color="000000"/>
              <w:right w:val="single" w:sz="6" w:space="0" w:color="000000"/>
            </w:tcBorders>
            <w:vAlign w:val="center"/>
          </w:tcPr>
          <w:p w14:paraId="515680FB" w14:textId="77777777" w:rsidR="007D706A" w:rsidRDefault="007D706A" w:rsidP="00F70508">
            <w:pPr>
              <w:pStyle w:val="ParagraphStyle12"/>
              <w:rPr>
                <w:rStyle w:val="CharacterStyle12"/>
              </w:rPr>
            </w:pPr>
            <w:r>
              <w:rPr>
                <w:rStyle w:val="CharacterStyle12"/>
              </w:rPr>
              <w:t>196.100,00</w:t>
            </w:r>
          </w:p>
        </w:tc>
      </w:tr>
      <w:tr w:rsidR="007D706A" w14:paraId="27AAAEF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6D00C50"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66753200"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390C1B2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07A188F" w14:textId="77777777" w:rsidR="007D706A" w:rsidRDefault="007D706A" w:rsidP="00F70508">
            <w:pPr>
              <w:pStyle w:val="ParagraphStyle12"/>
              <w:rPr>
                <w:rStyle w:val="CharacterStyle12"/>
              </w:rPr>
            </w:pPr>
            <w:r>
              <w:rPr>
                <w:rStyle w:val="CharacterStyle12"/>
              </w:rPr>
              <w:t>73.741,35</w:t>
            </w:r>
          </w:p>
        </w:tc>
        <w:tc>
          <w:tcPr>
            <w:tcW w:w="1395" w:type="dxa"/>
            <w:tcBorders>
              <w:bottom w:val="single" w:sz="6" w:space="0" w:color="000000"/>
              <w:right w:val="single" w:sz="6" w:space="0" w:color="000000"/>
            </w:tcBorders>
            <w:vAlign w:val="center"/>
          </w:tcPr>
          <w:p w14:paraId="070CEFAF" w14:textId="77777777" w:rsidR="007D706A" w:rsidRDefault="007D706A" w:rsidP="00F70508">
            <w:pPr>
              <w:pStyle w:val="ParagraphStyle12"/>
              <w:rPr>
                <w:rStyle w:val="CharacterStyle12"/>
              </w:rPr>
            </w:pPr>
            <w:r>
              <w:rPr>
                <w:rStyle w:val="CharacterStyle12"/>
              </w:rPr>
              <w:t>95.116,35</w:t>
            </w:r>
          </w:p>
        </w:tc>
        <w:tc>
          <w:tcPr>
            <w:tcW w:w="1395" w:type="dxa"/>
            <w:tcBorders>
              <w:bottom w:val="single" w:sz="6" w:space="0" w:color="000000"/>
              <w:right w:val="single" w:sz="6" w:space="0" w:color="000000"/>
            </w:tcBorders>
            <w:vAlign w:val="center"/>
          </w:tcPr>
          <w:p w14:paraId="1653B5DD" w14:textId="77777777" w:rsidR="007D706A" w:rsidRDefault="007D706A" w:rsidP="00F70508">
            <w:pPr>
              <w:pStyle w:val="ParagraphStyle12"/>
              <w:rPr>
                <w:rStyle w:val="CharacterStyle12"/>
              </w:rPr>
            </w:pPr>
            <w:r>
              <w:rPr>
                <w:rStyle w:val="CharacterStyle12"/>
              </w:rPr>
              <w:t>84.000,00</w:t>
            </w:r>
          </w:p>
        </w:tc>
        <w:tc>
          <w:tcPr>
            <w:tcW w:w="1395" w:type="dxa"/>
            <w:tcBorders>
              <w:bottom w:val="single" w:sz="6" w:space="0" w:color="000000"/>
              <w:right w:val="single" w:sz="6" w:space="0" w:color="000000"/>
            </w:tcBorders>
            <w:vAlign w:val="center"/>
          </w:tcPr>
          <w:p w14:paraId="247495FC" w14:textId="77777777" w:rsidR="007D706A" w:rsidRDefault="007D706A" w:rsidP="00F70508">
            <w:pPr>
              <w:pStyle w:val="ParagraphStyle12"/>
              <w:rPr>
                <w:rStyle w:val="CharacterStyle12"/>
              </w:rPr>
            </w:pPr>
            <w:r>
              <w:rPr>
                <w:rStyle w:val="CharacterStyle12"/>
              </w:rPr>
              <w:t>84.500,00</w:t>
            </w:r>
          </w:p>
        </w:tc>
      </w:tr>
      <w:tr w:rsidR="007D706A" w14:paraId="03BA1E56"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A068847" w14:textId="77777777" w:rsidR="007D706A" w:rsidRDefault="007D706A" w:rsidP="00F70508">
            <w:pPr>
              <w:pStyle w:val="ParagraphStyle10"/>
              <w:rPr>
                <w:rStyle w:val="CharacterStyle10"/>
              </w:rPr>
            </w:pPr>
            <w:r>
              <w:rPr>
                <w:rStyle w:val="CharacterStyle10"/>
              </w:rPr>
              <w:t>35</w:t>
            </w:r>
          </w:p>
        </w:tc>
        <w:tc>
          <w:tcPr>
            <w:tcW w:w="4995" w:type="dxa"/>
            <w:tcBorders>
              <w:bottom w:val="single" w:sz="6" w:space="0" w:color="000000"/>
              <w:right w:val="single" w:sz="6" w:space="0" w:color="000000"/>
            </w:tcBorders>
            <w:vAlign w:val="center"/>
          </w:tcPr>
          <w:p w14:paraId="47A6EA21" w14:textId="77777777" w:rsidR="007D706A" w:rsidRDefault="007D706A" w:rsidP="00F70508">
            <w:pPr>
              <w:pStyle w:val="ParagraphStyle11"/>
              <w:rPr>
                <w:rStyle w:val="CharacterStyle11"/>
              </w:rPr>
            </w:pPr>
            <w:r>
              <w:rPr>
                <w:rStyle w:val="CharacterStyle11"/>
              </w:rPr>
              <w:t>Subvencije</w:t>
            </w:r>
          </w:p>
        </w:tc>
        <w:tc>
          <w:tcPr>
            <w:tcW w:w="1395" w:type="dxa"/>
            <w:tcBorders>
              <w:bottom w:val="single" w:sz="6" w:space="0" w:color="000000"/>
              <w:right w:val="single" w:sz="6" w:space="0" w:color="000000"/>
            </w:tcBorders>
            <w:vAlign w:val="center"/>
          </w:tcPr>
          <w:p w14:paraId="6970C1C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5C64483" w14:textId="77777777" w:rsidR="007D706A" w:rsidRDefault="007D706A" w:rsidP="00F70508">
            <w:pPr>
              <w:pStyle w:val="ParagraphStyle12"/>
              <w:rPr>
                <w:rStyle w:val="CharacterStyle12"/>
              </w:rPr>
            </w:pPr>
            <w:r>
              <w:rPr>
                <w:rStyle w:val="CharacterStyle12"/>
              </w:rPr>
              <w:t>53.901,73</w:t>
            </w:r>
          </w:p>
        </w:tc>
        <w:tc>
          <w:tcPr>
            <w:tcW w:w="1395" w:type="dxa"/>
            <w:tcBorders>
              <w:bottom w:val="single" w:sz="6" w:space="0" w:color="000000"/>
              <w:right w:val="single" w:sz="6" w:space="0" w:color="000000"/>
            </w:tcBorders>
            <w:vAlign w:val="center"/>
          </w:tcPr>
          <w:p w14:paraId="423F13EE" w14:textId="77777777" w:rsidR="007D706A" w:rsidRDefault="007D706A" w:rsidP="00F70508">
            <w:pPr>
              <w:pStyle w:val="ParagraphStyle12"/>
              <w:rPr>
                <w:rStyle w:val="CharacterStyle12"/>
              </w:rPr>
            </w:pPr>
            <w:r>
              <w:rPr>
                <w:rStyle w:val="CharacterStyle12"/>
              </w:rPr>
              <w:t>60.901,73</w:t>
            </w:r>
          </w:p>
        </w:tc>
        <w:tc>
          <w:tcPr>
            <w:tcW w:w="1395" w:type="dxa"/>
            <w:tcBorders>
              <w:bottom w:val="single" w:sz="6" w:space="0" w:color="000000"/>
              <w:right w:val="single" w:sz="6" w:space="0" w:color="000000"/>
            </w:tcBorders>
            <w:vAlign w:val="center"/>
          </w:tcPr>
          <w:p w14:paraId="08EC7019" w14:textId="77777777" w:rsidR="007D706A" w:rsidRDefault="007D706A" w:rsidP="00F70508">
            <w:pPr>
              <w:pStyle w:val="ParagraphStyle12"/>
              <w:rPr>
                <w:rStyle w:val="CharacterStyle12"/>
              </w:rPr>
            </w:pPr>
            <w:r>
              <w:rPr>
                <w:rStyle w:val="CharacterStyle12"/>
              </w:rPr>
              <w:t>61.500,00</w:t>
            </w:r>
          </w:p>
        </w:tc>
        <w:tc>
          <w:tcPr>
            <w:tcW w:w="1395" w:type="dxa"/>
            <w:tcBorders>
              <w:bottom w:val="single" w:sz="6" w:space="0" w:color="000000"/>
              <w:right w:val="single" w:sz="6" w:space="0" w:color="000000"/>
            </w:tcBorders>
            <w:vAlign w:val="center"/>
          </w:tcPr>
          <w:p w14:paraId="7195325D" w14:textId="77777777" w:rsidR="007D706A" w:rsidRDefault="007D706A" w:rsidP="00F70508">
            <w:pPr>
              <w:pStyle w:val="ParagraphStyle12"/>
              <w:rPr>
                <w:rStyle w:val="CharacterStyle12"/>
              </w:rPr>
            </w:pPr>
            <w:r>
              <w:rPr>
                <w:rStyle w:val="CharacterStyle12"/>
              </w:rPr>
              <w:t>62.000,00</w:t>
            </w:r>
          </w:p>
        </w:tc>
      </w:tr>
      <w:tr w:rsidR="007D706A" w14:paraId="4EB4291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62A8929" w14:textId="77777777" w:rsidR="007D706A" w:rsidRDefault="007D706A" w:rsidP="00F70508">
            <w:pPr>
              <w:pStyle w:val="ParagraphStyle10"/>
              <w:rPr>
                <w:rStyle w:val="CharacterStyle10"/>
              </w:rPr>
            </w:pPr>
            <w:r>
              <w:rPr>
                <w:rStyle w:val="CharacterStyle10"/>
              </w:rPr>
              <w:t>36</w:t>
            </w:r>
          </w:p>
        </w:tc>
        <w:tc>
          <w:tcPr>
            <w:tcW w:w="4995" w:type="dxa"/>
            <w:tcBorders>
              <w:bottom w:val="single" w:sz="6" w:space="0" w:color="000000"/>
              <w:right w:val="single" w:sz="6" w:space="0" w:color="000000"/>
            </w:tcBorders>
            <w:vAlign w:val="center"/>
          </w:tcPr>
          <w:p w14:paraId="78DC9B0B" w14:textId="77777777" w:rsidR="007D706A" w:rsidRDefault="007D706A" w:rsidP="00F70508">
            <w:pPr>
              <w:pStyle w:val="ParagraphStyle11"/>
              <w:rPr>
                <w:rStyle w:val="CharacterStyle11"/>
              </w:rPr>
            </w:pPr>
            <w:r>
              <w:rPr>
                <w:rStyle w:val="CharacterStyle11"/>
              </w:rPr>
              <w:t>Pomoći dane u inozemstvo i unutar općeg proračuna</w:t>
            </w:r>
          </w:p>
        </w:tc>
        <w:tc>
          <w:tcPr>
            <w:tcW w:w="1395" w:type="dxa"/>
            <w:tcBorders>
              <w:bottom w:val="single" w:sz="6" w:space="0" w:color="000000"/>
              <w:right w:val="single" w:sz="6" w:space="0" w:color="000000"/>
            </w:tcBorders>
            <w:vAlign w:val="center"/>
          </w:tcPr>
          <w:p w14:paraId="4234FB3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5956CEF" w14:textId="77777777" w:rsidR="007D706A" w:rsidRDefault="007D706A" w:rsidP="00F70508">
            <w:pPr>
              <w:pStyle w:val="ParagraphStyle12"/>
              <w:rPr>
                <w:rStyle w:val="CharacterStyle12"/>
              </w:rPr>
            </w:pPr>
            <w:r>
              <w:rPr>
                <w:rStyle w:val="CharacterStyle12"/>
              </w:rPr>
              <w:t>8.408,92</w:t>
            </w:r>
          </w:p>
        </w:tc>
        <w:tc>
          <w:tcPr>
            <w:tcW w:w="1395" w:type="dxa"/>
            <w:tcBorders>
              <w:bottom w:val="single" w:sz="6" w:space="0" w:color="000000"/>
              <w:right w:val="single" w:sz="6" w:space="0" w:color="000000"/>
            </w:tcBorders>
            <w:vAlign w:val="center"/>
          </w:tcPr>
          <w:p w14:paraId="5080B00A" w14:textId="77777777" w:rsidR="007D706A" w:rsidRDefault="007D706A" w:rsidP="00F70508">
            <w:pPr>
              <w:pStyle w:val="ParagraphStyle12"/>
              <w:rPr>
                <w:rStyle w:val="CharacterStyle12"/>
              </w:rPr>
            </w:pPr>
            <w:r>
              <w:rPr>
                <w:rStyle w:val="CharacterStyle12"/>
              </w:rPr>
              <w:t>8.408,92</w:t>
            </w:r>
          </w:p>
        </w:tc>
        <w:tc>
          <w:tcPr>
            <w:tcW w:w="1395" w:type="dxa"/>
            <w:tcBorders>
              <w:bottom w:val="single" w:sz="6" w:space="0" w:color="000000"/>
              <w:right w:val="single" w:sz="6" w:space="0" w:color="000000"/>
            </w:tcBorders>
            <w:vAlign w:val="center"/>
          </w:tcPr>
          <w:p w14:paraId="73EE57B5" w14:textId="77777777" w:rsidR="007D706A" w:rsidRDefault="007D706A" w:rsidP="00F70508">
            <w:pPr>
              <w:pStyle w:val="ParagraphStyle12"/>
              <w:rPr>
                <w:rStyle w:val="CharacterStyle12"/>
              </w:rPr>
            </w:pPr>
            <w:r>
              <w:rPr>
                <w:rStyle w:val="CharacterStyle12"/>
              </w:rPr>
              <w:t>8.500,00</w:t>
            </w:r>
          </w:p>
        </w:tc>
        <w:tc>
          <w:tcPr>
            <w:tcW w:w="1395" w:type="dxa"/>
            <w:tcBorders>
              <w:bottom w:val="single" w:sz="6" w:space="0" w:color="000000"/>
              <w:right w:val="single" w:sz="6" w:space="0" w:color="000000"/>
            </w:tcBorders>
            <w:vAlign w:val="center"/>
          </w:tcPr>
          <w:p w14:paraId="19A7A00F" w14:textId="77777777" w:rsidR="007D706A" w:rsidRDefault="007D706A" w:rsidP="00F70508">
            <w:pPr>
              <w:pStyle w:val="ParagraphStyle12"/>
              <w:rPr>
                <w:rStyle w:val="CharacterStyle12"/>
              </w:rPr>
            </w:pPr>
            <w:r>
              <w:rPr>
                <w:rStyle w:val="CharacterStyle12"/>
              </w:rPr>
              <w:t>8.600,00</w:t>
            </w:r>
          </w:p>
        </w:tc>
      </w:tr>
      <w:tr w:rsidR="007D706A" w14:paraId="18779A8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099B97D" w14:textId="77777777" w:rsidR="007D706A" w:rsidRDefault="007D706A" w:rsidP="00F70508">
            <w:pPr>
              <w:pStyle w:val="ParagraphStyle10"/>
              <w:rPr>
                <w:rStyle w:val="CharacterStyle10"/>
              </w:rPr>
            </w:pPr>
            <w:r>
              <w:rPr>
                <w:rStyle w:val="CharacterStyle10"/>
              </w:rPr>
              <w:t>38</w:t>
            </w:r>
          </w:p>
        </w:tc>
        <w:tc>
          <w:tcPr>
            <w:tcW w:w="4995" w:type="dxa"/>
            <w:tcBorders>
              <w:bottom w:val="single" w:sz="6" w:space="0" w:color="000000"/>
              <w:right w:val="single" w:sz="6" w:space="0" w:color="000000"/>
            </w:tcBorders>
            <w:vAlign w:val="center"/>
          </w:tcPr>
          <w:p w14:paraId="546DD197" w14:textId="77777777" w:rsidR="007D706A" w:rsidRDefault="007D706A" w:rsidP="00F70508">
            <w:pPr>
              <w:pStyle w:val="ParagraphStyle11"/>
              <w:rPr>
                <w:rStyle w:val="CharacterStyle11"/>
              </w:rPr>
            </w:pPr>
            <w:r>
              <w:rPr>
                <w:rStyle w:val="CharacterStyle11"/>
              </w:rPr>
              <w:t>Rashodi za donacije, kazne, naknade šteta i kapitalne pomoći</w:t>
            </w:r>
          </w:p>
        </w:tc>
        <w:tc>
          <w:tcPr>
            <w:tcW w:w="1395" w:type="dxa"/>
            <w:tcBorders>
              <w:bottom w:val="single" w:sz="6" w:space="0" w:color="000000"/>
              <w:right w:val="single" w:sz="6" w:space="0" w:color="000000"/>
            </w:tcBorders>
            <w:vAlign w:val="center"/>
          </w:tcPr>
          <w:p w14:paraId="140E7E5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B110248" w14:textId="77777777" w:rsidR="007D706A" w:rsidRDefault="007D706A" w:rsidP="00F70508">
            <w:pPr>
              <w:pStyle w:val="ParagraphStyle12"/>
              <w:rPr>
                <w:rStyle w:val="CharacterStyle12"/>
              </w:rPr>
            </w:pPr>
            <w:r>
              <w:rPr>
                <w:rStyle w:val="CharacterStyle12"/>
              </w:rPr>
              <w:t>40.000,00</w:t>
            </w:r>
          </w:p>
        </w:tc>
        <w:tc>
          <w:tcPr>
            <w:tcW w:w="1395" w:type="dxa"/>
            <w:tcBorders>
              <w:bottom w:val="single" w:sz="6" w:space="0" w:color="000000"/>
              <w:right w:val="single" w:sz="6" w:space="0" w:color="000000"/>
            </w:tcBorders>
            <w:vAlign w:val="center"/>
          </w:tcPr>
          <w:p w14:paraId="26914C9D" w14:textId="77777777" w:rsidR="007D706A" w:rsidRDefault="007D706A" w:rsidP="00F70508">
            <w:pPr>
              <w:pStyle w:val="ParagraphStyle12"/>
              <w:rPr>
                <w:rStyle w:val="CharacterStyle12"/>
              </w:rPr>
            </w:pPr>
            <w:r>
              <w:rPr>
                <w:rStyle w:val="CharacterStyle12"/>
              </w:rPr>
              <w:t>40.000,00</w:t>
            </w:r>
          </w:p>
        </w:tc>
        <w:tc>
          <w:tcPr>
            <w:tcW w:w="1395" w:type="dxa"/>
            <w:tcBorders>
              <w:bottom w:val="single" w:sz="6" w:space="0" w:color="000000"/>
              <w:right w:val="single" w:sz="6" w:space="0" w:color="000000"/>
            </w:tcBorders>
            <w:vAlign w:val="center"/>
          </w:tcPr>
          <w:p w14:paraId="2F34EF50" w14:textId="77777777" w:rsidR="007D706A" w:rsidRDefault="007D706A" w:rsidP="00F70508">
            <w:pPr>
              <w:pStyle w:val="ParagraphStyle12"/>
              <w:rPr>
                <w:rStyle w:val="CharacterStyle12"/>
              </w:rPr>
            </w:pPr>
            <w:r>
              <w:rPr>
                <w:rStyle w:val="CharacterStyle12"/>
              </w:rPr>
              <w:t>40.500,00</w:t>
            </w:r>
          </w:p>
        </w:tc>
        <w:tc>
          <w:tcPr>
            <w:tcW w:w="1395" w:type="dxa"/>
            <w:tcBorders>
              <w:bottom w:val="single" w:sz="6" w:space="0" w:color="000000"/>
              <w:right w:val="single" w:sz="6" w:space="0" w:color="000000"/>
            </w:tcBorders>
            <w:vAlign w:val="center"/>
          </w:tcPr>
          <w:p w14:paraId="1CCDA675" w14:textId="77777777" w:rsidR="007D706A" w:rsidRDefault="007D706A" w:rsidP="00F70508">
            <w:pPr>
              <w:pStyle w:val="ParagraphStyle12"/>
              <w:rPr>
                <w:rStyle w:val="CharacterStyle12"/>
              </w:rPr>
            </w:pPr>
            <w:r>
              <w:rPr>
                <w:rStyle w:val="CharacterStyle12"/>
              </w:rPr>
              <w:t>41.000,00</w:t>
            </w:r>
          </w:p>
        </w:tc>
      </w:tr>
      <w:tr w:rsidR="007D706A" w14:paraId="1319B49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F707746" w14:textId="77777777" w:rsidR="007D706A" w:rsidRDefault="007D706A" w:rsidP="00F70508">
            <w:pPr>
              <w:pStyle w:val="ParagraphStyle4"/>
              <w:rPr>
                <w:rStyle w:val="CharacterStyle4"/>
              </w:rPr>
            </w:pPr>
            <w:r>
              <w:rPr>
                <w:rStyle w:val="CharacterStyle4"/>
              </w:rPr>
              <w:t>Aktivnost A100202</w:t>
            </w:r>
          </w:p>
        </w:tc>
        <w:tc>
          <w:tcPr>
            <w:tcW w:w="4995" w:type="dxa"/>
            <w:tcBorders>
              <w:bottom w:val="single" w:sz="6" w:space="0" w:color="000000"/>
              <w:right w:val="single" w:sz="6" w:space="0" w:color="000000"/>
            </w:tcBorders>
            <w:vAlign w:val="center"/>
          </w:tcPr>
          <w:p w14:paraId="589C9BC9" w14:textId="77777777" w:rsidR="007D706A" w:rsidRDefault="007D706A" w:rsidP="00F70508">
            <w:pPr>
              <w:pStyle w:val="ParagraphStyle5"/>
              <w:rPr>
                <w:rStyle w:val="CharacterStyle5"/>
              </w:rPr>
            </w:pPr>
            <w:r>
              <w:rPr>
                <w:rStyle w:val="CharacterStyle5"/>
              </w:rPr>
              <w:t>OBILJEŽAVANJE ZNAČAJNIH DATUMA</w:t>
            </w:r>
          </w:p>
        </w:tc>
        <w:tc>
          <w:tcPr>
            <w:tcW w:w="1395" w:type="dxa"/>
            <w:tcBorders>
              <w:bottom w:val="single" w:sz="6" w:space="0" w:color="000000"/>
              <w:right w:val="single" w:sz="6" w:space="0" w:color="000000"/>
            </w:tcBorders>
            <w:vAlign w:val="center"/>
          </w:tcPr>
          <w:p w14:paraId="0B114251"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3029DE2A" w14:textId="77777777" w:rsidR="007D706A" w:rsidRDefault="007D706A" w:rsidP="00F70508">
            <w:pPr>
              <w:pStyle w:val="ParagraphStyle6"/>
              <w:rPr>
                <w:rStyle w:val="CharacterStyle6"/>
              </w:rPr>
            </w:pPr>
            <w:r>
              <w:rPr>
                <w:rStyle w:val="CharacterStyle6"/>
              </w:rPr>
              <w:t>53.485,00</w:t>
            </w:r>
          </w:p>
        </w:tc>
        <w:tc>
          <w:tcPr>
            <w:tcW w:w="1395" w:type="dxa"/>
            <w:tcBorders>
              <w:bottom w:val="single" w:sz="6" w:space="0" w:color="000000"/>
              <w:right w:val="single" w:sz="6" w:space="0" w:color="000000"/>
            </w:tcBorders>
            <w:vAlign w:val="center"/>
          </w:tcPr>
          <w:p w14:paraId="513CC8B3" w14:textId="77777777" w:rsidR="007D706A" w:rsidRDefault="007D706A" w:rsidP="00F70508">
            <w:pPr>
              <w:pStyle w:val="ParagraphStyle6"/>
              <w:rPr>
                <w:rStyle w:val="CharacterStyle6"/>
              </w:rPr>
            </w:pPr>
            <w:r>
              <w:rPr>
                <w:rStyle w:val="CharacterStyle6"/>
              </w:rPr>
              <w:t>54.985,00</w:t>
            </w:r>
          </w:p>
        </w:tc>
        <w:tc>
          <w:tcPr>
            <w:tcW w:w="1395" w:type="dxa"/>
            <w:tcBorders>
              <w:bottom w:val="single" w:sz="6" w:space="0" w:color="000000"/>
              <w:right w:val="single" w:sz="6" w:space="0" w:color="000000"/>
            </w:tcBorders>
            <w:vAlign w:val="center"/>
          </w:tcPr>
          <w:p w14:paraId="23EC53E5" w14:textId="77777777" w:rsidR="007D706A" w:rsidRDefault="007D706A" w:rsidP="00F70508">
            <w:pPr>
              <w:pStyle w:val="ParagraphStyle6"/>
              <w:rPr>
                <w:rStyle w:val="CharacterStyle6"/>
              </w:rPr>
            </w:pPr>
            <w:r>
              <w:rPr>
                <w:rStyle w:val="CharacterStyle6"/>
              </w:rPr>
              <w:t>56.000,00</w:t>
            </w:r>
          </w:p>
        </w:tc>
        <w:tc>
          <w:tcPr>
            <w:tcW w:w="1395" w:type="dxa"/>
            <w:tcBorders>
              <w:bottom w:val="single" w:sz="6" w:space="0" w:color="000000"/>
              <w:right w:val="single" w:sz="6" w:space="0" w:color="000000"/>
            </w:tcBorders>
            <w:vAlign w:val="center"/>
          </w:tcPr>
          <w:p w14:paraId="3C5B3C01" w14:textId="77777777" w:rsidR="007D706A" w:rsidRDefault="007D706A" w:rsidP="00F70508">
            <w:pPr>
              <w:pStyle w:val="ParagraphStyle6"/>
              <w:rPr>
                <w:rStyle w:val="CharacterStyle6"/>
              </w:rPr>
            </w:pPr>
            <w:r>
              <w:rPr>
                <w:rStyle w:val="CharacterStyle6"/>
              </w:rPr>
              <w:t>57.000,00</w:t>
            </w:r>
          </w:p>
        </w:tc>
      </w:tr>
      <w:tr w:rsidR="007D706A" w14:paraId="739BB8B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C32414C"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0EFFFA25"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0D2C28BF"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223EFEA" w14:textId="77777777" w:rsidR="007D706A" w:rsidRDefault="007D706A" w:rsidP="00F70508">
            <w:pPr>
              <w:pStyle w:val="ParagraphStyle9"/>
              <w:rPr>
                <w:rStyle w:val="CharacterStyle9"/>
              </w:rPr>
            </w:pPr>
            <w:r>
              <w:rPr>
                <w:rStyle w:val="CharacterStyle9"/>
              </w:rPr>
              <w:t>53.485,00</w:t>
            </w:r>
          </w:p>
        </w:tc>
        <w:tc>
          <w:tcPr>
            <w:tcW w:w="1395" w:type="dxa"/>
            <w:tcBorders>
              <w:bottom w:val="single" w:sz="6" w:space="0" w:color="000000"/>
              <w:right w:val="single" w:sz="6" w:space="0" w:color="000000"/>
            </w:tcBorders>
            <w:vAlign w:val="center"/>
          </w:tcPr>
          <w:p w14:paraId="67B7DD9D" w14:textId="77777777" w:rsidR="007D706A" w:rsidRDefault="007D706A" w:rsidP="00F70508">
            <w:pPr>
              <w:pStyle w:val="ParagraphStyle9"/>
              <w:rPr>
                <w:rStyle w:val="CharacterStyle9"/>
              </w:rPr>
            </w:pPr>
            <w:r>
              <w:rPr>
                <w:rStyle w:val="CharacterStyle9"/>
              </w:rPr>
              <w:t>54.985,00</w:t>
            </w:r>
          </w:p>
        </w:tc>
        <w:tc>
          <w:tcPr>
            <w:tcW w:w="1395" w:type="dxa"/>
            <w:tcBorders>
              <w:bottom w:val="single" w:sz="6" w:space="0" w:color="000000"/>
              <w:right w:val="single" w:sz="6" w:space="0" w:color="000000"/>
            </w:tcBorders>
            <w:vAlign w:val="center"/>
          </w:tcPr>
          <w:p w14:paraId="13BDC8BF" w14:textId="77777777" w:rsidR="007D706A" w:rsidRDefault="007D706A" w:rsidP="00F70508">
            <w:pPr>
              <w:pStyle w:val="ParagraphStyle9"/>
              <w:rPr>
                <w:rStyle w:val="CharacterStyle9"/>
              </w:rPr>
            </w:pPr>
            <w:r>
              <w:rPr>
                <w:rStyle w:val="CharacterStyle9"/>
              </w:rPr>
              <w:t>56.000,00</w:t>
            </w:r>
          </w:p>
        </w:tc>
        <w:tc>
          <w:tcPr>
            <w:tcW w:w="1395" w:type="dxa"/>
            <w:tcBorders>
              <w:bottom w:val="single" w:sz="6" w:space="0" w:color="000000"/>
              <w:right w:val="single" w:sz="6" w:space="0" w:color="000000"/>
            </w:tcBorders>
            <w:vAlign w:val="center"/>
          </w:tcPr>
          <w:p w14:paraId="72CB12C3" w14:textId="77777777" w:rsidR="007D706A" w:rsidRDefault="007D706A" w:rsidP="00F70508">
            <w:pPr>
              <w:pStyle w:val="ParagraphStyle9"/>
              <w:rPr>
                <w:rStyle w:val="CharacterStyle9"/>
              </w:rPr>
            </w:pPr>
            <w:r>
              <w:rPr>
                <w:rStyle w:val="CharacterStyle9"/>
              </w:rPr>
              <w:t>57.000,00</w:t>
            </w:r>
          </w:p>
        </w:tc>
      </w:tr>
      <w:tr w:rsidR="007D706A" w14:paraId="3402171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809A097"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64629A8B"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35CFB09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BB698D9" w14:textId="77777777" w:rsidR="007D706A" w:rsidRDefault="007D706A" w:rsidP="00F70508">
            <w:pPr>
              <w:pStyle w:val="ParagraphStyle12"/>
              <w:rPr>
                <w:rStyle w:val="CharacterStyle12"/>
              </w:rPr>
            </w:pPr>
            <w:r>
              <w:rPr>
                <w:rStyle w:val="CharacterStyle12"/>
              </w:rPr>
              <w:t>53.485,00</w:t>
            </w:r>
          </w:p>
        </w:tc>
        <w:tc>
          <w:tcPr>
            <w:tcW w:w="1395" w:type="dxa"/>
            <w:tcBorders>
              <w:bottom w:val="single" w:sz="6" w:space="0" w:color="000000"/>
              <w:right w:val="single" w:sz="6" w:space="0" w:color="000000"/>
            </w:tcBorders>
            <w:vAlign w:val="center"/>
          </w:tcPr>
          <w:p w14:paraId="2712B0AC" w14:textId="77777777" w:rsidR="007D706A" w:rsidRDefault="007D706A" w:rsidP="00F70508">
            <w:pPr>
              <w:pStyle w:val="ParagraphStyle12"/>
              <w:rPr>
                <w:rStyle w:val="CharacterStyle12"/>
              </w:rPr>
            </w:pPr>
            <w:r>
              <w:rPr>
                <w:rStyle w:val="CharacterStyle12"/>
              </w:rPr>
              <w:t>54.985,00</w:t>
            </w:r>
          </w:p>
        </w:tc>
        <w:tc>
          <w:tcPr>
            <w:tcW w:w="1395" w:type="dxa"/>
            <w:tcBorders>
              <w:bottom w:val="single" w:sz="6" w:space="0" w:color="000000"/>
              <w:right w:val="single" w:sz="6" w:space="0" w:color="000000"/>
            </w:tcBorders>
            <w:vAlign w:val="center"/>
          </w:tcPr>
          <w:p w14:paraId="1310896F" w14:textId="77777777" w:rsidR="007D706A" w:rsidRDefault="007D706A" w:rsidP="00F70508">
            <w:pPr>
              <w:pStyle w:val="ParagraphStyle12"/>
              <w:rPr>
                <w:rStyle w:val="CharacterStyle12"/>
              </w:rPr>
            </w:pPr>
            <w:r>
              <w:rPr>
                <w:rStyle w:val="CharacterStyle12"/>
              </w:rPr>
              <w:t>56.000,00</w:t>
            </w:r>
          </w:p>
        </w:tc>
        <w:tc>
          <w:tcPr>
            <w:tcW w:w="1395" w:type="dxa"/>
            <w:tcBorders>
              <w:bottom w:val="single" w:sz="6" w:space="0" w:color="000000"/>
              <w:right w:val="single" w:sz="6" w:space="0" w:color="000000"/>
            </w:tcBorders>
            <w:vAlign w:val="center"/>
          </w:tcPr>
          <w:p w14:paraId="7C751DB8" w14:textId="77777777" w:rsidR="007D706A" w:rsidRDefault="007D706A" w:rsidP="00F70508">
            <w:pPr>
              <w:pStyle w:val="ParagraphStyle12"/>
              <w:rPr>
                <w:rStyle w:val="CharacterStyle12"/>
              </w:rPr>
            </w:pPr>
            <w:r>
              <w:rPr>
                <w:rStyle w:val="CharacterStyle12"/>
              </w:rPr>
              <w:t>57.000,00</w:t>
            </w:r>
          </w:p>
        </w:tc>
      </w:tr>
      <w:tr w:rsidR="007D706A" w14:paraId="28F1CD9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F3D12A4"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75010161"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429EE45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4AAD26B" w14:textId="77777777" w:rsidR="007D706A" w:rsidRDefault="007D706A" w:rsidP="00F70508">
            <w:pPr>
              <w:pStyle w:val="ParagraphStyle12"/>
              <w:rPr>
                <w:rStyle w:val="CharacterStyle12"/>
              </w:rPr>
            </w:pPr>
            <w:r>
              <w:rPr>
                <w:rStyle w:val="CharacterStyle12"/>
              </w:rPr>
              <w:t>53.485,00</w:t>
            </w:r>
          </w:p>
        </w:tc>
        <w:tc>
          <w:tcPr>
            <w:tcW w:w="1395" w:type="dxa"/>
            <w:tcBorders>
              <w:bottom w:val="single" w:sz="6" w:space="0" w:color="000000"/>
              <w:right w:val="single" w:sz="6" w:space="0" w:color="000000"/>
            </w:tcBorders>
            <w:vAlign w:val="center"/>
          </w:tcPr>
          <w:p w14:paraId="08573388" w14:textId="77777777" w:rsidR="007D706A" w:rsidRDefault="007D706A" w:rsidP="00F70508">
            <w:pPr>
              <w:pStyle w:val="ParagraphStyle12"/>
              <w:rPr>
                <w:rStyle w:val="CharacterStyle12"/>
              </w:rPr>
            </w:pPr>
            <w:r>
              <w:rPr>
                <w:rStyle w:val="CharacterStyle12"/>
              </w:rPr>
              <w:t>54.985,00</w:t>
            </w:r>
          </w:p>
        </w:tc>
        <w:tc>
          <w:tcPr>
            <w:tcW w:w="1395" w:type="dxa"/>
            <w:tcBorders>
              <w:bottom w:val="single" w:sz="6" w:space="0" w:color="000000"/>
              <w:right w:val="single" w:sz="6" w:space="0" w:color="000000"/>
            </w:tcBorders>
            <w:vAlign w:val="center"/>
          </w:tcPr>
          <w:p w14:paraId="1460A806" w14:textId="77777777" w:rsidR="007D706A" w:rsidRDefault="007D706A" w:rsidP="00F70508">
            <w:pPr>
              <w:pStyle w:val="ParagraphStyle12"/>
              <w:rPr>
                <w:rStyle w:val="CharacterStyle12"/>
              </w:rPr>
            </w:pPr>
            <w:r>
              <w:rPr>
                <w:rStyle w:val="CharacterStyle12"/>
              </w:rPr>
              <w:t>56.000,00</w:t>
            </w:r>
          </w:p>
        </w:tc>
        <w:tc>
          <w:tcPr>
            <w:tcW w:w="1395" w:type="dxa"/>
            <w:tcBorders>
              <w:bottom w:val="single" w:sz="6" w:space="0" w:color="000000"/>
              <w:right w:val="single" w:sz="6" w:space="0" w:color="000000"/>
            </w:tcBorders>
            <w:vAlign w:val="center"/>
          </w:tcPr>
          <w:p w14:paraId="5B1AA9D2" w14:textId="77777777" w:rsidR="007D706A" w:rsidRDefault="007D706A" w:rsidP="00F70508">
            <w:pPr>
              <w:pStyle w:val="ParagraphStyle12"/>
              <w:rPr>
                <w:rStyle w:val="CharacterStyle12"/>
              </w:rPr>
            </w:pPr>
            <w:r>
              <w:rPr>
                <w:rStyle w:val="CharacterStyle12"/>
              </w:rPr>
              <w:t>57.000,00</w:t>
            </w:r>
          </w:p>
        </w:tc>
      </w:tr>
      <w:tr w:rsidR="007D706A" w14:paraId="56EBF36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F6997DC" w14:textId="77777777" w:rsidR="007D706A" w:rsidRDefault="007D706A" w:rsidP="00F70508">
            <w:pPr>
              <w:pStyle w:val="ParagraphStyle4"/>
              <w:rPr>
                <w:rStyle w:val="CharacterStyle4"/>
              </w:rPr>
            </w:pPr>
            <w:r>
              <w:rPr>
                <w:rStyle w:val="CharacterStyle4"/>
              </w:rPr>
              <w:t>Aktivnost A100204</w:t>
            </w:r>
          </w:p>
        </w:tc>
        <w:tc>
          <w:tcPr>
            <w:tcW w:w="4995" w:type="dxa"/>
            <w:tcBorders>
              <w:bottom w:val="single" w:sz="6" w:space="0" w:color="000000"/>
              <w:right w:val="single" w:sz="6" w:space="0" w:color="000000"/>
            </w:tcBorders>
            <w:vAlign w:val="center"/>
          </w:tcPr>
          <w:p w14:paraId="70F3C9FB" w14:textId="77777777" w:rsidR="007D706A" w:rsidRDefault="007D706A" w:rsidP="00F70508">
            <w:pPr>
              <w:pStyle w:val="ParagraphStyle5"/>
              <w:rPr>
                <w:rStyle w:val="CharacterStyle5"/>
              </w:rPr>
            </w:pPr>
            <w:r>
              <w:rPr>
                <w:rStyle w:val="CharacterStyle5"/>
              </w:rPr>
              <w:t>PRORAČUNSKA ZALIHA</w:t>
            </w:r>
          </w:p>
        </w:tc>
        <w:tc>
          <w:tcPr>
            <w:tcW w:w="1395" w:type="dxa"/>
            <w:tcBorders>
              <w:bottom w:val="single" w:sz="6" w:space="0" w:color="000000"/>
              <w:right w:val="single" w:sz="6" w:space="0" w:color="000000"/>
            </w:tcBorders>
            <w:vAlign w:val="center"/>
          </w:tcPr>
          <w:p w14:paraId="53989413"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1F757A57" w14:textId="77777777" w:rsidR="007D706A" w:rsidRDefault="007D706A" w:rsidP="00F70508">
            <w:pPr>
              <w:pStyle w:val="ParagraphStyle6"/>
              <w:rPr>
                <w:rStyle w:val="CharacterStyle6"/>
              </w:rPr>
            </w:pPr>
            <w:r>
              <w:rPr>
                <w:rStyle w:val="CharacterStyle6"/>
              </w:rPr>
              <w:t>26.545,00</w:t>
            </w:r>
          </w:p>
        </w:tc>
        <w:tc>
          <w:tcPr>
            <w:tcW w:w="1395" w:type="dxa"/>
            <w:tcBorders>
              <w:bottom w:val="single" w:sz="6" w:space="0" w:color="000000"/>
              <w:right w:val="single" w:sz="6" w:space="0" w:color="000000"/>
            </w:tcBorders>
            <w:vAlign w:val="center"/>
          </w:tcPr>
          <w:p w14:paraId="78E3227C" w14:textId="77777777" w:rsidR="007D706A" w:rsidRDefault="007D706A" w:rsidP="00F70508">
            <w:pPr>
              <w:pStyle w:val="ParagraphStyle6"/>
              <w:rPr>
                <w:rStyle w:val="CharacterStyle6"/>
              </w:rPr>
            </w:pPr>
            <w:r>
              <w:rPr>
                <w:rStyle w:val="CharacterStyle6"/>
              </w:rPr>
              <w:t>26.545,00</w:t>
            </w:r>
          </w:p>
        </w:tc>
        <w:tc>
          <w:tcPr>
            <w:tcW w:w="1395" w:type="dxa"/>
            <w:tcBorders>
              <w:bottom w:val="single" w:sz="6" w:space="0" w:color="000000"/>
              <w:right w:val="single" w:sz="6" w:space="0" w:color="000000"/>
            </w:tcBorders>
            <w:vAlign w:val="center"/>
          </w:tcPr>
          <w:p w14:paraId="3CAEE8CE" w14:textId="77777777" w:rsidR="007D706A" w:rsidRDefault="007D706A" w:rsidP="00F70508">
            <w:pPr>
              <w:pStyle w:val="ParagraphStyle6"/>
              <w:rPr>
                <w:rStyle w:val="CharacterStyle6"/>
              </w:rPr>
            </w:pPr>
            <w:r>
              <w:rPr>
                <w:rStyle w:val="CharacterStyle6"/>
              </w:rPr>
              <w:t>26.545,00</w:t>
            </w:r>
          </w:p>
        </w:tc>
        <w:tc>
          <w:tcPr>
            <w:tcW w:w="1395" w:type="dxa"/>
            <w:tcBorders>
              <w:bottom w:val="single" w:sz="6" w:space="0" w:color="000000"/>
              <w:right w:val="single" w:sz="6" w:space="0" w:color="000000"/>
            </w:tcBorders>
            <w:vAlign w:val="center"/>
          </w:tcPr>
          <w:p w14:paraId="1D26071F" w14:textId="77777777" w:rsidR="007D706A" w:rsidRDefault="007D706A" w:rsidP="00F70508">
            <w:pPr>
              <w:pStyle w:val="ParagraphStyle6"/>
              <w:rPr>
                <w:rStyle w:val="CharacterStyle6"/>
              </w:rPr>
            </w:pPr>
            <w:r>
              <w:rPr>
                <w:rStyle w:val="CharacterStyle6"/>
              </w:rPr>
              <w:t>26.545,00</w:t>
            </w:r>
          </w:p>
        </w:tc>
      </w:tr>
      <w:tr w:rsidR="007D706A" w14:paraId="02625BC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4E5604E"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5EAC586A"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14C8D0AC"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6FA1B1E" w14:textId="77777777" w:rsidR="007D706A" w:rsidRDefault="007D706A" w:rsidP="00F70508">
            <w:pPr>
              <w:pStyle w:val="ParagraphStyle9"/>
              <w:rPr>
                <w:rStyle w:val="CharacterStyle9"/>
              </w:rPr>
            </w:pPr>
            <w:r>
              <w:rPr>
                <w:rStyle w:val="CharacterStyle9"/>
              </w:rPr>
              <w:t>26.545,00</w:t>
            </w:r>
          </w:p>
        </w:tc>
        <w:tc>
          <w:tcPr>
            <w:tcW w:w="1395" w:type="dxa"/>
            <w:tcBorders>
              <w:bottom w:val="single" w:sz="6" w:space="0" w:color="000000"/>
              <w:right w:val="single" w:sz="6" w:space="0" w:color="000000"/>
            </w:tcBorders>
            <w:vAlign w:val="center"/>
          </w:tcPr>
          <w:p w14:paraId="73EF366C" w14:textId="77777777" w:rsidR="007D706A" w:rsidRDefault="007D706A" w:rsidP="00F70508">
            <w:pPr>
              <w:pStyle w:val="ParagraphStyle9"/>
              <w:rPr>
                <w:rStyle w:val="CharacterStyle9"/>
              </w:rPr>
            </w:pPr>
            <w:r>
              <w:rPr>
                <w:rStyle w:val="CharacterStyle9"/>
              </w:rPr>
              <w:t>26.545,00</w:t>
            </w:r>
          </w:p>
        </w:tc>
        <w:tc>
          <w:tcPr>
            <w:tcW w:w="1395" w:type="dxa"/>
            <w:tcBorders>
              <w:bottom w:val="single" w:sz="6" w:space="0" w:color="000000"/>
              <w:right w:val="single" w:sz="6" w:space="0" w:color="000000"/>
            </w:tcBorders>
            <w:vAlign w:val="center"/>
          </w:tcPr>
          <w:p w14:paraId="3B07B60F" w14:textId="77777777" w:rsidR="007D706A" w:rsidRDefault="007D706A" w:rsidP="00F70508">
            <w:pPr>
              <w:pStyle w:val="ParagraphStyle9"/>
              <w:rPr>
                <w:rStyle w:val="CharacterStyle9"/>
              </w:rPr>
            </w:pPr>
            <w:r>
              <w:rPr>
                <w:rStyle w:val="CharacterStyle9"/>
              </w:rPr>
              <w:t>26.545,00</w:t>
            </w:r>
          </w:p>
        </w:tc>
        <w:tc>
          <w:tcPr>
            <w:tcW w:w="1395" w:type="dxa"/>
            <w:tcBorders>
              <w:bottom w:val="single" w:sz="6" w:space="0" w:color="000000"/>
              <w:right w:val="single" w:sz="6" w:space="0" w:color="000000"/>
            </w:tcBorders>
            <w:vAlign w:val="center"/>
          </w:tcPr>
          <w:p w14:paraId="31E03BC9" w14:textId="77777777" w:rsidR="007D706A" w:rsidRDefault="007D706A" w:rsidP="00F70508">
            <w:pPr>
              <w:pStyle w:val="ParagraphStyle9"/>
              <w:rPr>
                <w:rStyle w:val="CharacterStyle9"/>
              </w:rPr>
            </w:pPr>
            <w:r>
              <w:rPr>
                <w:rStyle w:val="CharacterStyle9"/>
              </w:rPr>
              <w:t>26.545,00</w:t>
            </w:r>
          </w:p>
        </w:tc>
      </w:tr>
      <w:tr w:rsidR="007D706A" w14:paraId="35417AF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268696B"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4AA0EC37"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1A92C94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C3FA333" w14:textId="77777777" w:rsidR="007D706A" w:rsidRDefault="007D706A" w:rsidP="00F70508">
            <w:pPr>
              <w:pStyle w:val="ParagraphStyle12"/>
              <w:rPr>
                <w:rStyle w:val="CharacterStyle12"/>
              </w:rPr>
            </w:pPr>
            <w:r>
              <w:rPr>
                <w:rStyle w:val="CharacterStyle12"/>
              </w:rPr>
              <w:t>26.545,00</w:t>
            </w:r>
          </w:p>
        </w:tc>
        <w:tc>
          <w:tcPr>
            <w:tcW w:w="1395" w:type="dxa"/>
            <w:tcBorders>
              <w:bottom w:val="single" w:sz="6" w:space="0" w:color="000000"/>
              <w:right w:val="single" w:sz="6" w:space="0" w:color="000000"/>
            </w:tcBorders>
            <w:vAlign w:val="center"/>
          </w:tcPr>
          <w:p w14:paraId="0064942D" w14:textId="77777777" w:rsidR="007D706A" w:rsidRDefault="007D706A" w:rsidP="00F70508">
            <w:pPr>
              <w:pStyle w:val="ParagraphStyle12"/>
              <w:rPr>
                <w:rStyle w:val="CharacterStyle12"/>
              </w:rPr>
            </w:pPr>
            <w:r>
              <w:rPr>
                <w:rStyle w:val="CharacterStyle12"/>
              </w:rPr>
              <w:t>26.545,00</w:t>
            </w:r>
          </w:p>
        </w:tc>
        <w:tc>
          <w:tcPr>
            <w:tcW w:w="1395" w:type="dxa"/>
            <w:tcBorders>
              <w:bottom w:val="single" w:sz="6" w:space="0" w:color="000000"/>
              <w:right w:val="single" w:sz="6" w:space="0" w:color="000000"/>
            </w:tcBorders>
            <w:vAlign w:val="center"/>
          </w:tcPr>
          <w:p w14:paraId="2D95421D" w14:textId="77777777" w:rsidR="007D706A" w:rsidRDefault="007D706A" w:rsidP="00F70508">
            <w:pPr>
              <w:pStyle w:val="ParagraphStyle12"/>
              <w:rPr>
                <w:rStyle w:val="CharacterStyle12"/>
              </w:rPr>
            </w:pPr>
            <w:r>
              <w:rPr>
                <w:rStyle w:val="CharacterStyle12"/>
              </w:rPr>
              <w:t>26.545,00</w:t>
            </w:r>
          </w:p>
        </w:tc>
        <w:tc>
          <w:tcPr>
            <w:tcW w:w="1395" w:type="dxa"/>
            <w:tcBorders>
              <w:bottom w:val="single" w:sz="6" w:space="0" w:color="000000"/>
              <w:right w:val="single" w:sz="6" w:space="0" w:color="000000"/>
            </w:tcBorders>
            <w:vAlign w:val="center"/>
          </w:tcPr>
          <w:p w14:paraId="52161C1E" w14:textId="77777777" w:rsidR="007D706A" w:rsidRDefault="007D706A" w:rsidP="00F70508">
            <w:pPr>
              <w:pStyle w:val="ParagraphStyle12"/>
              <w:rPr>
                <w:rStyle w:val="CharacterStyle12"/>
              </w:rPr>
            </w:pPr>
            <w:r>
              <w:rPr>
                <w:rStyle w:val="CharacterStyle12"/>
              </w:rPr>
              <w:t>26.545,00</w:t>
            </w:r>
          </w:p>
        </w:tc>
      </w:tr>
      <w:tr w:rsidR="007D706A" w14:paraId="5DC7059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C186925" w14:textId="77777777" w:rsidR="007D706A" w:rsidRDefault="007D706A" w:rsidP="00F70508">
            <w:pPr>
              <w:pStyle w:val="ParagraphStyle10"/>
              <w:rPr>
                <w:rStyle w:val="CharacterStyle10"/>
              </w:rPr>
            </w:pPr>
            <w:r>
              <w:rPr>
                <w:rStyle w:val="CharacterStyle10"/>
              </w:rPr>
              <w:t>38</w:t>
            </w:r>
          </w:p>
        </w:tc>
        <w:tc>
          <w:tcPr>
            <w:tcW w:w="4995" w:type="dxa"/>
            <w:tcBorders>
              <w:bottom w:val="single" w:sz="6" w:space="0" w:color="000000"/>
              <w:right w:val="single" w:sz="6" w:space="0" w:color="000000"/>
            </w:tcBorders>
            <w:vAlign w:val="center"/>
          </w:tcPr>
          <w:p w14:paraId="3F86887C" w14:textId="77777777" w:rsidR="007D706A" w:rsidRDefault="007D706A" w:rsidP="00F70508">
            <w:pPr>
              <w:pStyle w:val="ParagraphStyle11"/>
              <w:rPr>
                <w:rStyle w:val="CharacterStyle11"/>
              </w:rPr>
            </w:pPr>
            <w:r>
              <w:rPr>
                <w:rStyle w:val="CharacterStyle11"/>
              </w:rPr>
              <w:t>Rashodi za donacije, kazne, naknade šteta i kapitalne pomoći</w:t>
            </w:r>
          </w:p>
        </w:tc>
        <w:tc>
          <w:tcPr>
            <w:tcW w:w="1395" w:type="dxa"/>
            <w:tcBorders>
              <w:bottom w:val="single" w:sz="6" w:space="0" w:color="000000"/>
              <w:right w:val="single" w:sz="6" w:space="0" w:color="000000"/>
            </w:tcBorders>
            <w:vAlign w:val="center"/>
          </w:tcPr>
          <w:p w14:paraId="272EC0E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7AC5A07" w14:textId="77777777" w:rsidR="007D706A" w:rsidRDefault="007D706A" w:rsidP="00F70508">
            <w:pPr>
              <w:pStyle w:val="ParagraphStyle12"/>
              <w:rPr>
                <w:rStyle w:val="CharacterStyle12"/>
              </w:rPr>
            </w:pPr>
            <w:r>
              <w:rPr>
                <w:rStyle w:val="CharacterStyle12"/>
              </w:rPr>
              <w:t>26.545,00</w:t>
            </w:r>
          </w:p>
        </w:tc>
        <w:tc>
          <w:tcPr>
            <w:tcW w:w="1395" w:type="dxa"/>
            <w:tcBorders>
              <w:bottom w:val="single" w:sz="6" w:space="0" w:color="000000"/>
              <w:right w:val="single" w:sz="6" w:space="0" w:color="000000"/>
            </w:tcBorders>
            <w:vAlign w:val="center"/>
          </w:tcPr>
          <w:p w14:paraId="3A06AA24" w14:textId="77777777" w:rsidR="007D706A" w:rsidRDefault="007D706A" w:rsidP="00F70508">
            <w:pPr>
              <w:pStyle w:val="ParagraphStyle12"/>
              <w:rPr>
                <w:rStyle w:val="CharacterStyle12"/>
              </w:rPr>
            </w:pPr>
            <w:r>
              <w:rPr>
                <w:rStyle w:val="CharacterStyle12"/>
              </w:rPr>
              <w:t>26.545,00</w:t>
            </w:r>
          </w:p>
        </w:tc>
        <w:tc>
          <w:tcPr>
            <w:tcW w:w="1395" w:type="dxa"/>
            <w:tcBorders>
              <w:bottom w:val="single" w:sz="6" w:space="0" w:color="000000"/>
              <w:right w:val="single" w:sz="6" w:space="0" w:color="000000"/>
            </w:tcBorders>
            <w:vAlign w:val="center"/>
          </w:tcPr>
          <w:p w14:paraId="2CB9FAA0" w14:textId="77777777" w:rsidR="007D706A" w:rsidRDefault="007D706A" w:rsidP="00F70508">
            <w:pPr>
              <w:pStyle w:val="ParagraphStyle12"/>
              <w:rPr>
                <w:rStyle w:val="CharacterStyle12"/>
              </w:rPr>
            </w:pPr>
            <w:r>
              <w:rPr>
                <w:rStyle w:val="CharacterStyle12"/>
              </w:rPr>
              <w:t>26.545,00</w:t>
            </w:r>
          </w:p>
        </w:tc>
        <w:tc>
          <w:tcPr>
            <w:tcW w:w="1395" w:type="dxa"/>
            <w:tcBorders>
              <w:bottom w:val="single" w:sz="6" w:space="0" w:color="000000"/>
              <w:right w:val="single" w:sz="6" w:space="0" w:color="000000"/>
            </w:tcBorders>
            <w:vAlign w:val="center"/>
          </w:tcPr>
          <w:p w14:paraId="75D093E7" w14:textId="77777777" w:rsidR="007D706A" w:rsidRDefault="007D706A" w:rsidP="00F70508">
            <w:pPr>
              <w:pStyle w:val="ParagraphStyle12"/>
              <w:rPr>
                <w:rStyle w:val="CharacterStyle12"/>
              </w:rPr>
            </w:pPr>
            <w:r>
              <w:rPr>
                <w:rStyle w:val="CharacterStyle12"/>
              </w:rPr>
              <w:t>26.545,00</w:t>
            </w:r>
          </w:p>
        </w:tc>
      </w:tr>
      <w:tr w:rsidR="007D706A" w14:paraId="3A8B34A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72D873C" w14:textId="77777777" w:rsidR="007D706A" w:rsidRDefault="007D706A" w:rsidP="00F70508">
            <w:pPr>
              <w:pStyle w:val="ParagraphStyle4"/>
              <w:rPr>
                <w:rStyle w:val="CharacterStyle4"/>
              </w:rPr>
            </w:pPr>
            <w:r>
              <w:rPr>
                <w:rStyle w:val="CharacterStyle4"/>
              </w:rPr>
              <w:t>Aktivnost A100205</w:t>
            </w:r>
          </w:p>
        </w:tc>
        <w:tc>
          <w:tcPr>
            <w:tcW w:w="4995" w:type="dxa"/>
            <w:tcBorders>
              <w:bottom w:val="single" w:sz="6" w:space="0" w:color="000000"/>
              <w:right w:val="single" w:sz="6" w:space="0" w:color="000000"/>
            </w:tcBorders>
            <w:vAlign w:val="center"/>
          </w:tcPr>
          <w:p w14:paraId="68A9D06D" w14:textId="77777777" w:rsidR="007D706A" w:rsidRDefault="007D706A" w:rsidP="00F70508">
            <w:pPr>
              <w:pStyle w:val="ParagraphStyle5"/>
              <w:rPr>
                <w:rStyle w:val="CharacterStyle5"/>
              </w:rPr>
            </w:pPr>
            <w:r>
              <w:rPr>
                <w:rStyle w:val="CharacterStyle5"/>
              </w:rPr>
              <w:t>JAMSTVENA PRIČUVA</w:t>
            </w:r>
          </w:p>
        </w:tc>
        <w:tc>
          <w:tcPr>
            <w:tcW w:w="1395" w:type="dxa"/>
            <w:tcBorders>
              <w:bottom w:val="single" w:sz="6" w:space="0" w:color="000000"/>
              <w:right w:val="single" w:sz="6" w:space="0" w:color="000000"/>
            </w:tcBorders>
            <w:vAlign w:val="center"/>
          </w:tcPr>
          <w:p w14:paraId="55ADD850"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0950526D" w14:textId="77777777" w:rsidR="007D706A" w:rsidRDefault="007D706A" w:rsidP="00F70508">
            <w:pPr>
              <w:pStyle w:val="ParagraphStyle6"/>
              <w:rPr>
                <w:rStyle w:val="CharacterStyle6"/>
              </w:rPr>
            </w:pPr>
            <w:r>
              <w:rPr>
                <w:rStyle w:val="CharacterStyle6"/>
              </w:rPr>
              <w:t>13.273,00</w:t>
            </w:r>
          </w:p>
        </w:tc>
        <w:tc>
          <w:tcPr>
            <w:tcW w:w="1395" w:type="dxa"/>
            <w:tcBorders>
              <w:bottom w:val="single" w:sz="6" w:space="0" w:color="000000"/>
              <w:right w:val="single" w:sz="6" w:space="0" w:color="000000"/>
            </w:tcBorders>
            <w:vAlign w:val="center"/>
          </w:tcPr>
          <w:p w14:paraId="6976DF82" w14:textId="77777777" w:rsidR="007D706A" w:rsidRDefault="007D706A" w:rsidP="00F70508">
            <w:pPr>
              <w:pStyle w:val="ParagraphStyle6"/>
              <w:rPr>
                <w:rStyle w:val="CharacterStyle6"/>
              </w:rPr>
            </w:pPr>
            <w:r>
              <w:rPr>
                <w:rStyle w:val="CharacterStyle6"/>
              </w:rPr>
              <w:t>13.273,00</w:t>
            </w:r>
          </w:p>
        </w:tc>
        <w:tc>
          <w:tcPr>
            <w:tcW w:w="1395" w:type="dxa"/>
            <w:tcBorders>
              <w:bottom w:val="single" w:sz="6" w:space="0" w:color="000000"/>
              <w:right w:val="single" w:sz="6" w:space="0" w:color="000000"/>
            </w:tcBorders>
            <w:vAlign w:val="center"/>
          </w:tcPr>
          <w:p w14:paraId="10697C1C" w14:textId="77777777" w:rsidR="007D706A" w:rsidRDefault="007D706A" w:rsidP="00F70508">
            <w:pPr>
              <w:pStyle w:val="ParagraphStyle6"/>
              <w:rPr>
                <w:rStyle w:val="CharacterStyle6"/>
              </w:rPr>
            </w:pPr>
            <w:r>
              <w:rPr>
                <w:rStyle w:val="CharacterStyle6"/>
              </w:rPr>
              <w:t>13.273,00</w:t>
            </w:r>
          </w:p>
        </w:tc>
        <w:tc>
          <w:tcPr>
            <w:tcW w:w="1395" w:type="dxa"/>
            <w:tcBorders>
              <w:bottom w:val="single" w:sz="6" w:space="0" w:color="000000"/>
              <w:right w:val="single" w:sz="6" w:space="0" w:color="000000"/>
            </w:tcBorders>
            <w:vAlign w:val="center"/>
          </w:tcPr>
          <w:p w14:paraId="39CAF7A5" w14:textId="77777777" w:rsidR="007D706A" w:rsidRDefault="007D706A" w:rsidP="00F70508">
            <w:pPr>
              <w:pStyle w:val="ParagraphStyle6"/>
              <w:rPr>
                <w:rStyle w:val="CharacterStyle6"/>
              </w:rPr>
            </w:pPr>
            <w:r>
              <w:rPr>
                <w:rStyle w:val="CharacterStyle6"/>
              </w:rPr>
              <w:t>13.273,00</w:t>
            </w:r>
          </w:p>
        </w:tc>
      </w:tr>
      <w:tr w:rsidR="007D706A" w14:paraId="123353C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96EED77"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7F98B40F"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2040AEBE"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C7C7C46" w14:textId="77777777" w:rsidR="007D706A" w:rsidRDefault="007D706A" w:rsidP="00F70508">
            <w:pPr>
              <w:pStyle w:val="ParagraphStyle9"/>
              <w:rPr>
                <w:rStyle w:val="CharacterStyle9"/>
              </w:rPr>
            </w:pPr>
            <w:r>
              <w:rPr>
                <w:rStyle w:val="CharacterStyle9"/>
              </w:rPr>
              <w:t>13.273,00</w:t>
            </w:r>
          </w:p>
        </w:tc>
        <w:tc>
          <w:tcPr>
            <w:tcW w:w="1395" w:type="dxa"/>
            <w:tcBorders>
              <w:bottom w:val="single" w:sz="6" w:space="0" w:color="000000"/>
              <w:right w:val="single" w:sz="6" w:space="0" w:color="000000"/>
            </w:tcBorders>
            <w:vAlign w:val="center"/>
          </w:tcPr>
          <w:p w14:paraId="7EB86DAE" w14:textId="77777777" w:rsidR="007D706A" w:rsidRDefault="007D706A" w:rsidP="00F70508">
            <w:pPr>
              <w:pStyle w:val="ParagraphStyle9"/>
              <w:rPr>
                <w:rStyle w:val="CharacterStyle9"/>
              </w:rPr>
            </w:pPr>
            <w:r>
              <w:rPr>
                <w:rStyle w:val="CharacterStyle9"/>
              </w:rPr>
              <w:t>13.273,00</w:t>
            </w:r>
          </w:p>
        </w:tc>
        <w:tc>
          <w:tcPr>
            <w:tcW w:w="1395" w:type="dxa"/>
            <w:tcBorders>
              <w:bottom w:val="single" w:sz="6" w:space="0" w:color="000000"/>
              <w:right w:val="single" w:sz="6" w:space="0" w:color="000000"/>
            </w:tcBorders>
            <w:vAlign w:val="center"/>
          </w:tcPr>
          <w:p w14:paraId="0454ADEA" w14:textId="77777777" w:rsidR="007D706A" w:rsidRDefault="007D706A" w:rsidP="00F70508">
            <w:pPr>
              <w:pStyle w:val="ParagraphStyle9"/>
              <w:rPr>
                <w:rStyle w:val="CharacterStyle9"/>
              </w:rPr>
            </w:pPr>
            <w:r>
              <w:rPr>
                <w:rStyle w:val="CharacterStyle9"/>
              </w:rPr>
              <w:t>13.273,00</w:t>
            </w:r>
          </w:p>
        </w:tc>
        <w:tc>
          <w:tcPr>
            <w:tcW w:w="1395" w:type="dxa"/>
            <w:tcBorders>
              <w:bottom w:val="single" w:sz="6" w:space="0" w:color="000000"/>
              <w:right w:val="single" w:sz="6" w:space="0" w:color="000000"/>
            </w:tcBorders>
            <w:vAlign w:val="center"/>
          </w:tcPr>
          <w:p w14:paraId="3FA0ADAB" w14:textId="77777777" w:rsidR="007D706A" w:rsidRDefault="007D706A" w:rsidP="00F70508">
            <w:pPr>
              <w:pStyle w:val="ParagraphStyle9"/>
              <w:rPr>
                <w:rStyle w:val="CharacterStyle9"/>
              </w:rPr>
            </w:pPr>
            <w:r>
              <w:rPr>
                <w:rStyle w:val="CharacterStyle9"/>
              </w:rPr>
              <w:t>13.273,00</w:t>
            </w:r>
          </w:p>
        </w:tc>
      </w:tr>
      <w:tr w:rsidR="007D706A" w14:paraId="6276384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622179E"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74F0DAD1"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57077CA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54544AB" w14:textId="77777777" w:rsidR="007D706A" w:rsidRDefault="007D706A" w:rsidP="00F70508">
            <w:pPr>
              <w:pStyle w:val="ParagraphStyle12"/>
              <w:rPr>
                <w:rStyle w:val="CharacterStyle12"/>
              </w:rPr>
            </w:pPr>
            <w:r>
              <w:rPr>
                <w:rStyle w:val="CharacterStyle12"/>
              </w:rPr>
              <w:t>13.273,00</w:t>
            </w:r>
          </w:p>
        </w:tc>
        <w:tc>
          <w:tcPr>
            <w:tcW w:w="1395" w:type="dxa"/>
            <w:tcBorders>
              <w:bottom w:val="single" w:sz="6" w:space="0" w:color="000000"/>
              <w:right w:val="single" w:sz="6" w:space="0" w:color="000000"/>
            </w:tcBorders>
            <w:vAlign w:val="center"/>
          </w:tcPr>
          <w:p w14:paraId="5D682A96" w14:textId="77777777" w:rsidR="007D706A" w:rsidRDefault="007D706A" w:rsidP="00F70508">
            <w:pPr>
              <w:pStyle w:val="ParagraphStyle12"/>
              <w:rPr>
                <w:rStyle w:val="CharacterStyle12"/>
              </w:rPr>
            </w:pPr>
            <w:r>
              <w:rPr>
                <w:rStyle w:val="CharacterStyle12"/>
              </w:rPr>
              <w:t>13.273,00</w:t>
            </w:r>
          </w:p>
        </w:tc>
        <w:tc>
          <w:tcPr>
            <w:tcW w:w="1395" w:type="dxa"/>
            <w:tcBorders>
              <w:bottom w:val="single" w:sz="6" w:space="0" w:color="000000"/>
              <w:right w:val="single" w:sz="6" w:space="0" w:color="000000"/>
            </w:tcBorders>
            <w:vAlign w:val="center"/>
          </w:tcPr>
          <w:p w14:paraId="0036ADDD" w14:textId="77777777" w:rsidR="007D706A" w:rsidRDefault="007D706A" w:rsidP="00F70508">
            <w:pPr>
              <w:pStyle w:val="ParagraphStyle12"/>
              <w:rPr>
                <w:rStyle w:val="CharacterStyle12"/>
              </w:rPr>
            </w:pPr>
            <w:r>
              <w:rPr>
                <w:rStyle w:val="CharacterStyle12"/>
              </w:rPr>
              <w:t>13.273,00</w:t>
            </w:r>
          </w:p>
        </w:tc>
        <w:tc>
          <w:tcPr>
            <w:tcW w:w="1395" w:type="dxa"/>
            <w:tcBorders>
              <w:bottom w:val="single" w:sz="6" w:space="0" w:color="000000"/>
              <w:right w:val="single" w:sz="6" w:space="0" w:color="000000"/>
            </w:tcBorders>
            <w:vAlign w:val="center"/>
          </w:tcPr>
          <w:p w14:paraId="4CB8A3F1" w14:textId="77777777" w:rsidR="007D706A" w:rsidRDefault="007D706A" w:rsidP="00F70508">
            <w:pPr>
              <w:pStyle w:val="ParagraphStyle12"/>
              <w:rPr>
                <w:rStyle w:val="CharacterStyle12"/>
              </w:rPr>
            </w:pPr>
            <w:r>
              <w:rPr>
                <w:rStyle w:val="CharacterStyle12"/>
              </w:rPr>
              <w:t>13.273,00</w:t>
            </w:r>
          </w:p>
        </w:tc>
      </w:tr>
      <w:tr w:rsidR="007D706A" w14:paraId="725A828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C5A0150" w14:textId="77777777" w:rsidR="007D706A" w:rsidRDefault="007D706A" w:rsidP="00F70508">
            <w:pPr>
              <w:pStyle w:val="ParagraphStyle10"/>
              <w:rPr>
                <w:rStyle w:val="CharacterStyle10"/>
              </w:rPr>
            </w:pPr>
            <w:r>
              <w:rPr>
                <w:rStyle w:val="CharacterStyle10"/>
              </w:rPr>
              <w:t>38</w:t>
            </w:r>
          </w:p>
        </w:tc>
        <w:tc>
          <w:tcPr>
            <w:tcW w:w="4995" w:type="dxa"/>
            <w:tcBorders>
              <w:bottom w:val="single" w:sz="6" w:space="0" w:color="000000"/>
              <w:right w:val="single" w:sz="6" w:space="0" w:color="000000"/>
            </w:tcBorders>
            <w:vAlign w:val="center"/>
          </w:tcPr>
          <w:p w14:paraId="53F14E20" w14:textId="77777777" w:rsidR="007D706A" w:rsidRDefault="007D706A" w:rsidP="00F70508">
            <w:pPr>
              <w:pStyle w:val="ParagraphStyle11"/>
              <w:rPr>
                <w:rStyle w:val="CharacterStyle11"/>
              </w:rPr>
            </w:pPr>
            <w:r>
              <w:rPr>
                <w:rStyle w:val="CharacterStyle11"/>
              </w:rPr>
              <w:t>Rashodi za donacije, kazne, naknade šteta i kapitalne pomoći</w:t>
            </w:r>
          </w:p>
        </w:tc>
        <w:tc>
          <w:tcPr>
            <w:tcW w:w="1395" w:type="dxa"/>
            <w:tcBorders>
              <w:bottom w:val="single" w:sz="6" w:space="0" w:color="000000"/>
              <w:right w:val="single" w:sz="6" w:space="0" w:color="000000"/>
            </w:tcBorders>
            <w:vAlign w:val="center"/>
          </w:tcPr>
          <w:p w14:paraId="6B4F096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2287DD9" w14:textId="77777777" w:rsidR="007D706A" w:rsidRDefault="007D706A" w:rsidP="00F70508">
            <w:pPr>
              <w:pStyle w:val="ParagraphStyle12"/>
              <w:rPr>
                <w:rStyle w:val="CharacterStyle12"/>
              </w:rPr>
            </w:pPr>
            <w:r>
              <w:rPr>
                <w:rStyle w:val="CharacterStyle12"/>
              </w:rPr>
              <w:t>13.273,00</w:t>
            </w:r>
          </w:p>
        </w:tc>
        <w:tc>
          <w:tcPr>
            <w:tcW w:w="1395" w:type="dxa"/>
            <w:tcBorders>
              <w:bottom w:val="single" w:sz="6" w:space="0" w:color="000000"/>
              <w:right w:val="single" w:sz="6" w:space="0" w:color="000000"/>
            </w:tcBorders>
            <w:vAlign w:val="center"/>
          </w:tcPr>
          <w:p w14:paraId="7670C7F8" w14:textId="77777777" w:rsidR="007D706A" w:rsidRDefault="007D706A" w:rsidP="00F70508">
            <w:pPr>
              <w:pStyle w:val="ParagraphStyle12"/>
              <w:rPr>
                <w:rStyle w:val="CharacterStyle12"/>
              </w:rPr>
            </w:pPr>
            <w:r>
              <w:rPr>
                <w:rStyle w:val="CharacterStyle12"/>
              </w:rPr>
              <w:t>13.273,00</w:t>
            </w:r>
          </w:p>
        </w:tc>
        <w:tc>
          <w:tcPr>
            <w:tcW w:w="1395" w:type="dxa"/>
            <w:tcBorders>
              <w:bottom w:val="single" w:sz="6" w:space="0" w:color="000000"/>
              <w:right w:val="single" w:sz="6" w:space="0" w:color="000000"/>
            </w:tcBorders>
            <w:vAlign w:val="center"/>
          </w:tcPr>
          <w:p w14:paraId="5FB462A3" w14:textId="77777777" w:rsidR="007D706A" w:rsidRDefault="007D706A" w:rsidP="00F70508">
            <w:pPr>
              <w:pStyle w:val="ParagraphStyle12"/>
              <w:rPr>
                <w:rStyle w:val="CharacterStyle12"/>
              </w:rPr>
            </w:pPr>
            <w:r>
              <w:rPr>
                <w:rStyle w:val="CharacterStyle12"/>
              </w:rPr>
              <w:t>13.273,00</w:t>
            </w:r>
          </w:p>
        </w:tc>
        <w:tc>
          <w:tcPr>
            <w:tcW w:w="1395" w:type="dxa"/>
            <w:tcBorders>
              <w:bottom w:val="single" w:sz="6" w:space="0" w:color="000000"/>
              <w:right w:val="single" w:sz="6" w:space="0" w:color="000000"/>
            </w:tcBorders>
            <w:vAlign w:val="center"/>
          </w:tcPr>
          <w:p w14:paraId="2638F6A3" w14:textId="77777777" w:rsidR="007D706A" w:rsidRDefault="007D706A" w:rsidP="00F70508">
            <w:pPr>
              <w:pStyle w:val="ParagraphStyle12"/>
              <w:rPr>
                <w:rStyle w:val="CharacterStyle12"/>
              </w:rPr>
            </w:pPr>
            <w:r>
              <w:rPr>
                <w:rStyle w:val="CharacterStyle12"/>
              </w:rPr>
              <w:t>13.273,00</w:t>
            </w:r>
          </w:p>
        </w:tc>
      </w:tr>
      <w:tr w:rsidR="007D706A" w14:paraId="6086255D" w14:textId="77777777" w:rsidTr="00F70508">
        <w:trPr>
          <w:trHeight w:val="420"/>
        </w:trPr>
        <w:tc>
          <w:tcPr>
            <w:tcW w:w="2880" w:type="dxa"/>
            <w:tcBorders>
              <w:left w:val="single" w:sz="6" w:space="0" w:color="000000"/>
              <w:bottom w:val="single" w:sz="6" w:space="0" w:color="000000"/>
              <w:right w:val="single" w:sz="6" w:space="0" w:color="000000"/>
            </w:tcBorders>
            <w:vAlign w:val="center"/>
          </w:tcPr>
          <w:p w14:paraId="154DB761" w14:textId="77777777" w:rsidR="007D706A" w:rsidRDefault="007D706A" w:rsidP="00F70508">
            <w:pPr>
              <w:pStyle w:val="ParagraphStyle4"/>
              <w:rPr>
                <w:rStyle w:val="CharacterStyle4"/>
              </w:rPr>
            </w:pPr>
            <w:r>
              <w:rPr>
                <w:rStyle w:val="CharacterStyle4"/>
              </w:rPr>
              <w:t>Tekući projekt T100201</w:t>
            </w:r>
          </w:p>
        </w:tc>
        <w:tc>
          <w:tcPr>
            <w:tcW w:w="4995" w:type="dxa"/>
            <w:tcBorders>
              <w:bottom w:val="single" w:sz="6" w:space="0" w:color="000000"/>
              <w:right w:val="single" w:sz="6" w:space="0" w:color="000000"/>
            </w:tcBorders>
            <w:vAlign w:val="center"/>
          </w:tcPr>
          <w:p w14:paraId="6180CB58" w14:textId="77777777" w:rsidR="007D706A" w:rsidRDefault="007D706A" w:rsidP="00F70508">
            <w:pPr>
              <w:pStyle w:val="ParagraphStyle5"/>
              <w:rPr>
                <w:rStyle w:val="CharacterStyle5"/>
              </w:rPr>
            </w:pPr>
            <w:r>
              <w:rPr>
                <w:rStyle w:val="CharacterStyle5"/>
              </w:rPr>
              <w:t>PROGRAM OČUVANJA ROVINJSKE KULTURNO-POVIJESNE BAŠTINE_DVOJEZIČNOST U ZAJEDNICI</w:t>
            </w:r>
          </w:p>
        </w:tc>
        <w:tc>
          <w:tcPr>
            <w:tcW w:w="1395" w:type="dxa"/>
            <w:tcBorders>
              <w:bottom w:val="single" w:sz="6" w:space="0" w:color="000000"/>
              <w:right w:val="single" w:sz="6" w:space="0" w:color="000000"/>
            </w:tcBorders>
            <w:vAlign w:val="center"/>
          </w:tcPr>
          <w:p w14:paraId="2505D745"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6C2045E9" w14:textId="77777777" w:rsidR="007D706A" w:rsidRDefault="007D706A" w:rsidP="00F70508">
            <w:pPr>
              <w:pStyle w:val="ParagraphStyle6"/>
              <w:rPr>
                <w:rStyle w:val="CharacterStyle6"/>
              </w:rPr>
            </w:pPr>
            <w:r>
              <w:rPr>
                <w:rStyle w:val="CharacterStyle6"/>
              </w:rPr>
              <w:t>31.600,00</w:t>
            </w:r>
          </w:p>
        </w:tc>
        <w:tc>
          <w:tcPr>
            <w:tcW w:w="1395" w:type="dxa"/>
            <w:tcBorders>
              <w:bottom w:val="single" w:sz="6" w:space="0" w:color="000000"/>
              <w:right w:val="single" w:sz="6" w:space="0" w:color="000000"/>
            </w:tcBorders>
            <w:vAlign w:val="center"/>
          </w:tcPr>
          <w:p w14:paraId="2D26DF4D" w14:textId="77777777" w:rsidR="007D706A" w:rsidRDefault="007D706A" w:rsidP="00F70508">
            <w:pPr>
              <w:pStyle w:val="ParagraphStyle6"/>
              <w:rPr>
                <w:rStyle w:val="CharacterStyle6"/>
              </w:rPr>
            </w:pPr>
            <w:r>
              <w:rPr>
                <w:rStyle w:val="CharacterStyle6"/>
              </w:rPr>
              <w:t>45.000,00</w:t>
            </w:r>
          </w:p>
        </w:tc>
        <w:tc>
          <w:tcPr>
            <w:tcW w:w="1395" w:type="dxa"/>
            <w:tcBorders>
              <w:bottom w:val="single" w:sz="6" w:space="0" w:color="000000"/>
              <w:right w:val="single" w:sz="6" w:space="0" w:color="000000"/>
            </w:tcBorders>
            <w:vAlign w:val="center"/>
          </w:tcPr>
          <w:p w14:paraId="475156ED" w14:textId="77777777" w:rsidR="007D706A" w:rsidRDefault="007D706A" w:rsidP="00F70508">
            <w:pPr>
              <w:pStyle w:val="ParagraphStyle6"/>
              <w:rPr>
                <w:rStyle w:val="CharacterStyle6"/>
              </w:rPr>
            </w:pPr>
            <w:r>
              <w:rPr>
                <w:rStyle w:val="CharacterStyle6"/>
              </w:rPr>
              <w:t>46.000,00</w:t>
            </w:r>
          </w:p>
        </w:tc>
        <w:tc>
          <w:tcPr>
            <w:tcW w:w="1395" w:type="dxa"/>
            <w:tcBorders>
              <w:bottom w:val="single" w:sz="6" w:space="0" w:color="000000"/>
              <w:right w:val="single" w:sz="6" w:space="0" w:color="000000"/>
            </w:tcBorders>
            <w:vAlign w:val="center"/>
          </w:tcPr>
          <w:p w14:paraId="1680A6A7" w14:textId="77777777" w:rsidR="007D706A" w:rsidRDefault="007D706A" w:rsidP="00F70508">
            <w:pPr>
              <w:pStyle w:val="ParagraphStyle6"/>
              <w:rPr>
                <w:rStyle w:val="CharacterStyle6"/>
              </w:rPr>
            </w:pPr>
            <w:r>
              <w:rPr>
                <w:rStyle w:val="CharacterStyle6"/>
              </w:rPr>
              <w:t>47.000,00</w:t>
            </w:r>
          </w:p>
        </w:tc>
      </w:tr>
      <w:tr w:rsidR="007D706A" w14:paraId="2A0AA92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55452AE"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5EF49448"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67E97B66"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32FF1D1" w14:textId="77777777" w:rsidR="007D706A" w:rsidRDefault="007D706A" w:rsidP="00F70508">
            <w:pPr>
              <w:pStyle w:val="ParagraphStyle9"/>
              <w:rPr>
                <w:rStyle w:val="CharacterStyle9"/>
              </w:rPr>
            </w:pPr>
            <w:r>
              <w:rPr>
                <w:rStyle w:val="CharacterStyle9"/>
              </w:rPr>
              <w:t>31.600,00</w:t>
            </w:r>
          </w:p>
        </w:tc>
        <w:tc>
          <w:tcPr>
            <w:tcW w:w="1395" w:type="dxa"/>
            <w:tcBorders>
              <w:bottom w:val="single" w:sz="6" w:space="0" w:color="000000"/>
              <w:right w:val="single" w:sz="6" w:space="0" w:color="000000"/>
            </w:tcBorders>
            <w:vAlign w:val="center"/>
          </w:tcPr>
          <w:p w14:paraId="615C98C5" w14:textId="77777777" w:rsidR="007D706A" w:rsidRDefault="007D706A" w:rsidP="00F70508">
            <w:pPr>
              <w:pStyle w:val="ParagraphStyle9"/>
              <w:rPr>
                <w:rStyle w:val="CharacterStyle9"/>
              </w:rPr>
            </w:pPr>
            <w:r>
              <w:rPr>
                <w:rStyle w:val="CharacterStyle9"/>
              </w:rPr>
              <w:t>45.000,00</w:t>
            </w:r>
          </w:p>
        </w:tc>
        <w:tc>
          <w:tcPr>
            <w:tcW w:w="1395" w:type="dxa"/>
            <w:tcBorders>
              <w:bottom w:val="single" w:sz="6" w:space="0" w:color="000000"/>
              <w:right w:val="single" w:sz="6" w:space="0" w:color="000000"/>
            </w:tcBorders>
            <w:vAlign w:val="center"/>
          </w:tcPr>
          <w:p w14:paraId="385DA01A" w14:textId="77777777" w:rsidR="007D706A" w:rsidRDefault="007D706A" w:rsidP="00F70508">
            <w:pPr>
              <w:pStyle w:val="ParagraphStyle9"/>
              <w:rPr>
                <w:rStyle w:val="CharacterStyle9"/>
              </w:rPr>
            </w:pPr>
            <w:r>
              <w:rPr>
                <w:rStyle w:val="CharacterStyle9"/>
              </w:rPr>
              <w:t>46.000,00</w:t>
            </w:r>
          </w:p>
        </w:tc>
        <w:tc>
          <w:tcPr>
            <w:tcW w:w="1395" w:type="dxa"/>
            <w:tcBorders>
              <w:bottom w:val="single" w:sz="6" w:space="0" w:color="000000"/>
              <w:right w:val="single" w:sz="6" w:space="0" w:color="000000"/>
            </w:tcBorders>
            <w:vAlign w:val="center"/>
          </w:tcPr>
          <w:p w14:paraId="7AD3CA73" w14:textId="77777777" w:rsidR="007D706A" w:rsidRDefault="007D706A" w:rsidP="00F70508">
            <w:pPr>
              <w:pStyle w:val="ParagraphStyle9"/>
              <w:rPr>
                <w:rStyle w:val="CharacterStyle9"/>
              </w:rPr>
            </w:pPr>
            <w:r>
              <w:rPr>
                <w:rStyle w:val="CharacterStyle9"/>
              </w:rPr>
              <w:t>47.000,00</w:t>
            </w:r>
          </w:p>
        </w:tc>
      </w:tr>
      <w:tr w:rsidR="007D706A" w14:paraId="64252CF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607C495"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230D87A9"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591A17D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9125F56" w14:textId="77777777" w:rsidR="007D706A" w:rsidRDefault="007D706A" w:rsidP="00F70508">
            <w:pPr>
              <w:pStyle w:val="ParagraphStyle12"/>
              <w:rPr>
                <w:rStyle w:val="CharacterStyle12"/>
              </w:rPr>
            </w:pPr>
            <w:r>
              <w:rPr>
                <w:rStyle w:val="CharacterStyle12"/>
              </w:rPr>
              <w:t>31.600,00</w:t>
            </w:r>
          </w:p>
        </w:tc>
        <w:tc>
          <w:tcPr>
            <w:tcW w:w="1395" w:type="dxa"/>
            <w:tcBorders>
              <w:bottom w:val="single" w:sz="6" w:space="0" w:color="000000"/>
              <w:right w:val="single" w:sz="6" w:space="0" w:color="000000"/>
            </w:tcBorders>
            <w:vAlign w:val="center"/>
          </w:tcPr>
          <w:p w14:paraId="30E04F38" w14:textId="77777777" w:rsidR="007D706A" w:rsidRDefault="007D706A" w:rsidP="00F70508">
            <w:pPr>
              <w:pStyle w:val="ParagraphStyle12"/>
              <w:rPr>
                <w:rStyle w:val="CharacterStyle12"/>
              </w:rPr>
            </w:pPr>
            <w:r>
              <w:rPr>
                <w:rStyle w:val="CharacterStyle12"/>
              </w:rPr>
              <w:t>45.000,00</w:t>
            </w:r>
          </w:p>
        </w:tc>
        <w:tc>
          <w:tcPr>
            <w:tcW w:w="1395" w:type="dxa"/>
            <w:tcBorders>
              <w:bottom w:val="single" w:sz="6" w:space="0" w:color="000000"/>
              <w:right w:val="single" w:sz="6" w:space="0" w:color="000000"/>
            </w:tcBorders>
            <w:vAlign w:val="center"/>
          </w:tcPr>
          <w:p w14:paraId="284BDD2E" w14:textId="77777777" w:rsidR="007D706A" w:rsidRDefault="007D706A" w:rsidP="00F70508">
            <w:pPr>
              <w:pStyle w:val="ParagraphStyle12"/>
              <w:rPr>
                <w:rStyle w:val="CharacterStyle12"/>
              </w:rPr>
            </w:pPr>
            <w:r>
              <w:rPr>
                <w:rStyle w:val="CharacterStyle12"/>
              </w:rPr>
              <w:t>46.000,00</w:t>
            </w:r>
          </w:p>
        </w:tc>
        <w:tc>
          <w:tcPr>
            <w:tcW w:w="1395" w:type="dxa"/>
            <w:tcBorders>
              <w:bottom w:val="single" w:sz="6" w:space="0" w:color="000000"/>
              <w:right w:val="single" w:sz="6" w:space="0" w:color="000000"/>
            </w:tcBorders>
            <w:vAlign w:val="center"/>
          </w:tcPr>
          <w:p w14:paraId="0170EC48" w14:textId="77777777" w:rsidR="007D706A" w:rsidRDefault="007D706A" w:rsidP="00F70508">
            <w:pPr>
              <w:pStyle w:val="ParagraphStyle12"/>
              <w:rPr>
                <w:rStyle w:val="CharacterStyle12"/>
              </w:rPr>
            </w:pPr>
            <w:r>
              <w:rPr>
                <w:rStyle w:val="CharacterStyle12"/>
              </w:rPr>
              <w:t>47.000,00</w:t>
            </w:r>
          </w:p>
        </w:tc>
      </w:tr>
      <w:tr w:rsidR="007D706A" w14:paraId="699A8E8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13B0363"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4FFD8B03"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4CCAC5B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A0FB155" w14:textId="77777777" w:rsidR="007D706A" w:rsidRDefault="007D706A" w:rsidP="00F70508">
            <w:pPr>
              <w:pStyle w:val="ParagraphStyle12"/>
              <w:rPr>
                <w:rStyle w:val="CharacterStyle12"/>
              </w:rPr>
            </w:pPr>
            <w:r>
              <w:rPr>
                <w:rStyle w:val="CharacterStyle12"/>
              </w:rPr>
              <w:t>31.600,00</w:t>
            </w:r>
          </w:p>
        </w:tc>
        <w:tc>
          <w:tcPr>
            <w:tcW w:w="1395" w:type="dxa"/>
            <w:tcBorders>
              <w:bottom w:val="single" w:sz="6" w:space="0" w:color="000000"/>
              <w:right w:val="single" w:sz="6" w:space="0" w:color="000000"/>
            </w:tcBorders>
            <w:vAlign w:val="center"/>
          </w:tcPr>
          <w:p w14:paraId="6712D807" w14:textId="77777777" w:rsidR="007D706A" w:rsidRDefault="007D706A" w:rsidP="00F70508">
            <w:pPr>
              <w:pStyle w:val="ParagraphStyle12"/>
              <w:rPr>
                <w:rStyle w:val="CharacterStyle12"/>
              </w:rPr>
            </w:pPr>
            <w:r>
              <w:rPr>
                <w:rStyle w:val="CharacterStyle12"/>
              </w:rPr>
              <w:t>45.000,00</w:t>
            </w:r>
          </w:p>
        </w:tc>
        <w:tc>
          <w:tcPr>
            <w:tcW w:w="1395" w:type="dxa"/>
            <w:tcBorders>
              <w:bottom w:val="single" w:sz="6" w:space="0" w:color="000000"/>
              <w:right w:val="single" w:sz="6" w:space="0" w:color="000000"/>
            </w:tcBorders>
            <w:vAlign w:val="center"/>
          </w:tcPr>
          <w:p w14:paraId="58F66FB0" w14:textId="77777777" w:rsidR="007D706A" w:rsidRDefault="007D706A" w:rsidP="00F70508">
            <w:pPr>
              <w:pStyle w:val="ParagraphStyle12"/>
              <w:rPr>
                <w:rStyle w:val="CharacterStyle12"/>
              </w:rPr>
            </w:pPr>
            <w:r>
              <w:rPr>
                <w:rStyle w:val="CharacterStyle12"/>
              </w:rPr>
              <w:t>46.000,00</w:t>
            </w:r>
          </w:p>
        </w:tc>
        <w:tc>
          <w:tcPr>
            <w:tcW w:w="1395" w:type="dxa"/>
            <w:tcBorders>
              <w:bottom w:val="single" w:sz="6" w:space="0" w:color="000000"/>
              <w:right w:val="single" w:sz="6" w:space="0" w:color="000000"/>
            </w:tcBorders>
            <w:vAlign w:val="center"/>
          </w:tcPr>
          <w:p w14:paraId="0127A967" w14:textId="77777777" w:rsidR="007D706A" w:rsidRDefault="007D706A" w:rsidP="00F70508">
            <w:pPr>
              <w:pStyle w:val="ParagraphStyle12"/>
              <w:rPr>
                <w:rStyle w:val="CharacterStyle12"/>
              </w:rPr>
            </w:pPr>
            <w:r>
              <w:rPr>
                <w:rStyle w:val="CharacterStyle12"/>
              </w:rPr>
              <w:t>47.000,00</w:t>
            </w:r>
          </w:p>
        </w:tc>
      </w:tr>
      <w:tr w:rsidR="007D706A" w14:paraId="3C332F1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95C025A" w14:textId="77777777" w:rsidR="007D706A" w:rsidRDefault="007D706A" w:rsidP="00F70508">
            <w:pPr>
              <w:pStyle w:val="ParagraphStyle4"/>
              <w:rPr>
                <w:rStyle w:val="CharacterStyle4"/>
              </w:rPr>
            </w:pPr>
            <w:r>
              <w:rPr>
                <w:rStyle w:val="CharacterStyle4"/>
              </w:rPr>
              <w:t>GLAVA    00103</w:t>
            </w:r>
          </w:p>
        </w:tc>
        <w:tc>
          <w:tcPr>
            <w:tcW w:w="4995" w:type="dxa"/>
            <w:tcBorders>
              <w:bottom w:val="single" w:sz="6" w:space="0" w:color="000000"/>
              <w:right w:val="single" w:sz="6" w:space="0" w:color="000000"/>
            </w:tcBorders>
            <w:vAlign w:val="center"/>
          </w:tcPr>
          <w:p w14:paraId="09D32C69" w14:textId="77777777" w:rsidR="007D706A" w:rsidRDefault="007D706A" w:rsidP="00F70508">
            <w:pPr>
              <w:pStyle w:val="ParagraphStyle5"/>
              <w:rPr>
                <w:rStyle w:val="CharacterStyle5"/>
              </w:rPr>
            </w:pPr>
            <w:r>
              <w:rPr>
                <w:rStyle w:val="CharacterStyle5"/>
              </w:rPr>
              <w:t>URED GRADSKOG VIJEĆA I GRADONAČELNIKA</w:t>
            </w:r>
          </w:p>
        </w:tc>
        <w:tc>
          <w:tcPr>
            <w:tcW w:w="1395" w:type="dxa"/>
            <w:tcBorders>
              <w:bottom w:val="single" w:sz="6" w:space="0" w:color="000000"/>
              <w:right w:val="single" w:sz="6" w:space="0" w:color="000000"/>
            </w:tcBorders>
            <w:vAlign w:val="center"/>
          </w:tcPr>
          <w:p w14:paraId="055B7956"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214A8CC5" w14:textId="77777777" w:rsidR="007D706A" w:rsidRDefault="007D706A" w:rsidP="00F70508">
            <w:pPr>
              <w:pStyle w:val="ParagraphStyle6"/>
              <w:rPr>
                <w:rStyle w:val="CharacterStyle6"/>
              </w:rPr>
            </w:pPr>
            <w:r>
              <w:rPr>
                <w:rStyle w:val="CharacterStyle6"/>
              </w:rPr>
              <w:t>1.282.766,00</w:t>
            </w:r>
          </w:p>
        </w:tc>
        <w:tc>
          <w:tcPr>
            <w:tcW w:w="1395" w:type="dxa"/>
            <w:tcBorders>
              <w:bottom w:val="single" w:sz="6" w:space="0" w:color="000000"/>
              <w:right w:val="single" w:sz="6" w:space="0" w:color="000000"/>
            </w:tcBorders>
            <w:vAlign w:val="center"/>
          </w:tcPr>
          <w:p w14:paraId="440721B5" w14:textId="77777777" w:rsidR="007D706A" w:rsidRDefault="007D706A" w:rsidP="00F70508">
            <w:pPr>
              <w:pStyle w:val="ParagraphStyle6"/>
              <w:rPr>
                <w:rStyle w:val="CharacterStyle6"/>
              </w:rPr>
            </w:pPr>
            <w:r>
              <w:rPr>
                <w:rStyle w:val="CharacterStyle6"/>
              </w:rPr>
              <w:t>1.248.458,00</w:t>
            </w:r>
          </w:p>
        </w:tc>
        <w:tc>
          <w:tcPr>
            <w:tcW w:w="1395" w:type="dxa"/>
            <w:tcBorders>
              <w:bottom w:val="single" w:sz="6" w:space="0" w:color="000000"/>
              <w:right w:val="single" w:sz="6" w:space="0" w:color="000000"/>
            </w:tcBorders>
            <w:vAlign w:val="center"/>
          </w:tcPr>
          <w:p w14:paraId="60A4E2CF" w14:textId="77777777" w:rsidR="007D706A" w:rsidRDefault="007D706A" w:rsidP="00F70508">
            <w:pPr>
              <w:pStyle w:val="ParagraphStyle6"/>
              <w:rPr>
                <w:rStyle w:val="CharacterStyle6"/>
              </w:rPr>
            </w:pPr>
            <w:r>
              <w:rPr>
                <w:rStyle w:val="CharacterStyle6"/>
              </w:rPr>
              <w:t>1.267.000,00</w:t>
            </w:r>
          </w:p>
        </w:tc>
        <w:tc>
          <w:tcPr>
            <w:tcW w:w="1395" w:type="dxa"/>
            <w:tcBorders>
              <w:bottom w:val="single" w:sz="6" w:space="0" w:color="000000"/>
              <w:right w:val="single" w:sz="6" w:space="0" w:color="000000"/>
            </w:tcBorders>
            <w:vAlign w:val="center"/>
          </w:tcPr>
          <w:p w14:paraId="309E1909" w14:textId="77777777" w:rsidR="007D706A" w:rsidRDefault="007D706A" w:rsidP="00F70508">
            <w:pPr>
              <w:pStyle w:val="ParagraphStyle6"/>
              <w:rPr>
                <w:rStyle w:val="CharacterStyle6"/>
              </w:rPr>
            </w:pPr>
            <w:r>
              <w:rPr>
                <w:rStyle w:val="CharacterStyle6"/>
              </w:rPr>
              <w:t>1.275.000,00</w:t>
            </w:r>
          </w:p>
        </w:tc>
      </w:tr>
      <w:tr w:rsidR="007D706A" w14:paraId="257C4FF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2A2170B" w14:textId="77777777" w:rsidR="007D706A" w:rsidRDefault="007D706A" w:rsidP="00F70508">
            <w:pPr>
              <w:pStyle w:val="ParagraphStyle4"/>
              <w:rPr>
                <w:rStyle w:val="CharacterStyle4"/>
              </w:rPr>
            </w:pPr>
            <w:r>
              <w:rPr>
                <w:rStyle w:val="CharacterStyle4"/>
              </w:rPr>
              <w:t>Izvor financiranja 11</w:t>
            </w:r>
          </w:p>
        </w:tc>
        <w:tc>
          <w:tcPr>
            <w:tcW w:w="4995" w:type="dxa"/>
            <w:tcBorders>
              <w:bottom w:val="single" w:sz="6" w:space="0" w:color="000000"/>
              <w:right w:val="single" w:sz="6" w:space="0" w:color="000000"/>
            </w:tcBorders>
            <w:vAlign w:val="center"/>
          </w:tcPr>
          <w:p w14:paraId="6F5AAF60" w14:textId="77777777" w:rsidR="007D706A" w:rsidRDefault="007D706A" w:rsidP="00F70508">
            <w:pPr>
              <w:pStyle w:val="ParagraphStyle5"/>
              <w:rPr>
                <w:rStyle w:val="CharacterStyle5"/>
              </w:rPr>
            </w:pPr>
            <w:r>
              <w:rPr>
                <w:rStyle w:val="CharacterStyle5"/>
              </w:rPr>
              <w:t>Opći prihodi i primici</w:t>
            </w:r>
          </w:p>
        </w:tc>
        <w:tc>
          <w:tcPr>
            <w:tcW w:w="1395" w:type="dxa"/>
            <w:tcBorders>
              <w:bottom w:val="single" w:sz="6" w:space="0" w:color="000000"/>
              <w:right w:val="single" w:sz="6" w:space="0" w:color="000000"/>
            </w:tcBorders>
            <w:vAlign w:val="center"/>
          </w:tcPr>
          <w:p w14:paraId="0506E06D"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73DC7476" w14:textId="77777777" w:rsidR="007D706A" w:rsidRDefault="007D706A" w:rsidP="00F70508">
            <w:pPr>
              <w:pStyle w:val="ParagraphStyle6"/>
              <w:rPr>
                <w:rStyle w:val="CharacterStyle6"/>
              </w:rPr>
            </w:pPr>
            <w:r>
              <w:rPr>
                <w:rStyle w:val="CharacterStyle6"/>
              </w:rPr>
              <w:t>1.147.707,53</w:t>
            </w:r>
          </w:p>
        </w:tc>
        <w:tc>
          <w:tcPr>
            <w:tcW w:w="1395" w:type="dxa"/>
            <w:tcBorders>
              <w:bottom w:val="single" w:sz="6" w:space="0" w:color="000000"/>
              <w:right w:val="single" w:sz="6" w:space="0" w:color="000000"/>
            </w:tcBorders>
            <w:vAlign w:val="center"/>
          </w:tcPr>
          <w:p w14:paraId="6B6CBBEA" w14:textId="77777777" w:rsidR="007D706A" w:rsidRDefault="007D706A" w:rsidP="00F70508">
            <w:pPr>
              <w:pStyle w:val="ParagraphStyle6"/>
              <w:rPr>
                <w:rStyle w:val="CharacterStyle6"/>
              </w:rPr>
            </w:pPr>
            <w:r>
              <w:rPr>
                <w:rStyle w:val="CharacterStyle6"/>
              </w:rPr>
              <w:t>1.248.458,00</w:t>
            </w:r>
          </w:p>
        </w:tc>
        <w:tc>
          <w:tcPr>
            <w:tcW w:w="1395" w:type="dxa"/>
            <w:tcBorders>
              <w:bottom w:val="single" w:sz="6" w:space="0" w:color="000000"/>
              <w:right w:val="single" w:sz="6" w:space="0" w:color="000000"/>
            </w:tcBorders>
            <w:vAlign w:val="center"/>
          </w:tcPr>
          <w:p w14:paraId="4571F353" w14:textId="77777777" w:rsidR="007D706A" w:rsidRDefault="007D706A" w:rsidP="00F70508">
            <w:pPr>
              <w:pStyle w:val="ParagraphStyle6"/>
              <w:rPr>
                <w:rStyle w:val="CharacterStyle6"/>
              </w:rPr>
            </w:pPr>
            <w:r>
              <w:rPr>
                <w:rStyle w:val="CharacterStyle6"/>
              </w:rPr>
              <w:t>1.267.000,00</w:t>
            </w:r>
          </w:p>
        </w:tc>
        <w:tc>
          <w:tcPr>
            <w:tcW w:w="1395" w:type="dxa"/>
            <w:tcBorders>
              <w:bottom w:val="single" w:sz="6" w:space="0" w:color="000000"/>
              <w:right w:val="single" w:sz="6" w:space="0" w:color="000000"/>
            </w:tcBorders>
            <w:vAlign w:val="center"/>
          </w:tcPr>
          <w:p w14:paraId="3F907F9C" w14:textId="77777777" w:rsidR="007D706A" w:rsidRDefault="007D706A" w:rsidP="00F70508">
            <w:pPr>
              <w:pStyle w:val="ParagraphStyle6"/>
              <w:rPr>
                <w:rStyle w:val="CharacterStyle6"/>
              </w:rPr>
            </w:pPr>
            <w:r>
              <w:rPr>
                <w:rStyle w:val="CharacterStyle6"/>
              </w:rPr>
              <w:t>1.275.000,00</w:t>
            </w:r>
          </w:p>
        </w:tc>
      </w:tr>
      <w:tr w:rsidR="007D706A" w14:paraId="1CA579C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D13F3AC" w14:textId="77777777" w:rsidR="007D706A" w:rsidRDefault="007D706A" w:rsidP="00F70508">
            <w:pPr>
              <w:pStyle w:val="ParagraphStyle4"/>
              <w:rPr>
                <w:rStyle w:val="CharacterStyle4"/>
              </w:rPr>
            </w:pPr>
            <w:r>
              <w:rPr>
                <w:rStyle w:val="CharacterStyle4"/>
              </w:rPr>
              <w:t>Izvor financiranja 82</w:t>
            </w:r>
          </w:p>
        </w:tc>
        <w:tc>
          <w:tcPr>
            <w:tcW w:w="4995" w:type="dxa"/>
            <w:tcBorders>
              <w:bottom w:val="single" w:sz="6" w:space="0" w:color="000000"/>
              <w:right w:val="single" w:sz="6" w:space="0" w:color="000000"/>
            </w:tcBorders>
            <w:vAlign w:val="center"/>
          </w:tcPr>
          <w:p w14:paraId="7177D184" w14:textId="77777777" w:rsidR="007D706A" w:rsidRDefault="007D706A" w:rsidP="00F70508">
            <w:pPr>
              <w:pStyle w:val="ParagraphStyle5"/>
              <w:rPr>
                <w:rStyle w:val="CharacterStyle5"/>
              </w:rPr>
            </w:pPr>
            <w:r>
              <w:rPr>
                <w:rStyle w:val="CharacterStyle5"/>
              </w:rPr>
              <w:t>Preneseni viškovi iz ranijih godina</w:t>
            </w:r>
          </w:p>
        </w:tc>
        <w:tc>
          <w:tcPr>
            <w:tcW w:w="1395" w:type="dxa"/>
            <w:tcBorders>
              <w:bottom w:val="single" w:sz="6" w:space="0" w:color="000000"/>
              <w:right w:val="single" w:sz="6" w:space="0" w:color="000000"/>
            </w:tcBorders>
            <w:vAlign w:val="center"/>
          </w:tcPr>
          <w:p w14:paraId="1CADB276"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4EA415EF" w14:textId="77777777" w:rsidR="007D706A" w:rsidRDefault="007D706A" w:rsidP="00F70508">
            <w:pPr>
              <w:pStyle w:val="ParagraphStyle6"/>
              <w:rPr>
                <w:rStyle w:val="CharacterStyle6"/>
              </w:rPr>
            </w:pPr>
            <w:r>
              <w:rPr>
                <w:rStyle w:val="CharacterStyle6"/>
              </w:rPr>
              <w:t>135.058,47</w:t>
            </w:r>
          </w:p>
        </w:tc>
        <w:tc>
          <w:tcPr>
            <w:tcW w:w="1395" w:type="dxa"/>
            <w:tcBorders>
              <w:bottom w:val="single" w:sz="6" w:space="0" w:color="000000"/>
              <w:right w:val="single" w:sz="6" w:space="0" w:color="000000"/>
            </w:tcBorders>
            <w:vAlign w:val="center"/>
          </w:tcPr>
          <w:p w14:paraId="07EA4D17"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429C27F9"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7BB65345" w14:textId="77777777" w:rsidR="007D706A" w:rsidRDefault="007D706A" w:rsidP="00F70508">
            <w:pPr>
              <w:pStyle w:val="ParagraphStyle6"/>
              <w:rPr>
                <w:rStyle w:val="CharacterStyle6"/>
              </w:rPr>
            </w:pPr>
            <w:r>
              <w:rPr>
                <w:rStyle w:val="CharacterStyle6"/>
              </w:rPr>
              <w:t>0,00</w:t>
            </w:r>
          </w:p>
        </w:tc>
      </w:tr>
      <w:tr w:rsidR="007D706A" w14:paraId="5936A0E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33D7693" w14:textId="77777777" w:rsidR="007D706A" w:rsidRDefault="007D706A" w:rsidP="00F70508">
            <w:pPr>
              <w:pStyle w:val="ParagraphStyle4"/>
              <w:rPr>
                <w:rStyle w:val="CharacterStyle4"/>
              </w:rPr>
            </w:pPr>
            <w:r>
              <w:rPr>
                <w:rStyle w:val="CharacterStyle4"/>
              </w:rPr>
              <w:t>PROGRAM    1003</w:t>
            </w:r>
          </w:p>
        </w:tc>
        <w:tc>
          <w:tcPr>
            <w:tcW w:w="4995" w:type="dxa"/>
            <w:tcBorders>
              <w:bottom w:val="single" w:sz="6" w:space="0" w:color="000000"/>
              <w:right w:val="single" w:sz="6" w:space="0" w:color="000000"/>
            </w:tcBorders>
            <w:vAlign w:val="center"/>
          </w:tcPr>
          <w:p w14:paraId="37FAB07B" w14:textId="77777777" w:rsidR="007D706A" w:rsidRDefault="007D706A" w:rsidP="00F70508">
            <w:pPr>
              <w:pStyle w:val="ParagraphStyle5"/>
              <w:rPr>
                <w:rStyle w:val="CharacterStyle5"/>
              </w:rPr>
            </w:pPr>
            <w:r>
              <w:rPr>
                <w:rStyle w:val="CharacterStyle5"/>
              </w:rPr>
              <w:t>MJERE I AKTIVNOSTI IZ DJELOKRUGA UPRAVNOG TIJELA</w:t>
            </w:r>
          </w:p>
        </w:tc>
        <w:tc>
          <w:tcPr>
            <w:tcW w:w="1395" w:type="dxa"/>
            <w:tcBorders>
              <w:bottom w:val="single" w:sz="6" w:space="0" w:color="000000"/>
              <w:right w:val="single" w:sz="6" w:space="0" w:color="000000"/>
            </w:tcBorders>
            <w:vAlign w:val="center"/>
          </w:tcPr>
          <w:p w14:paraId="275138AD"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71F7FE17" w14:textId="77777777" w:rsidR="007D706A" w:rsidRDefault="007D706A" w:rsidP="00F70508">
            <w:pPr>
              <w:pStyle w:val="ParagraphStyle6"/>
              <w:rPr>
                <w:rStyle w:val="CharacterStyle6"/>
              </w:rPr>
            </w:pPr>
            <w:r>
              <w:rPr>
                <w:rStyle w:val="CharacterStyle6"/>
              </w:rPr>
              <w:t>1.254.801,00</w:t>
            </w:r>
          </w:p>
        </w:tc>
        <w:tc>
          <w:tcPr>
            <w:tcW w:w="1395" w:type="dxa"/>
            <w:tcBorders>
              <w:bottom w:val="single" w:sz="6" w:space="0" w:color="000000"/>
              <w:right w:val="single" w:sz="6" w:space="0" w:color="000000"/>
            </w:tcBorders>
            <w:vAlign w:val="center"/>
          </w:tcPr>
          <w:p w14:paraId="51DBAFDE" w14:textId="77777777" w:rsidR="007D706A" w:rsidRDefault="007D706A" w:rsidP="00F70508">
            <w:pPr>
              <w:pStyle w:val="ParagraphStyle6"/>
              <w:rPr>
                <w:rStyle w:val="CharacterStyle6"/>
              </w:rPr>
            </w:pPr>
            <w:r>
              <w:rPr>
                <w:rStyle w:val="CharacterStyle6"/>
              </w:rPr>
              <w:t>1.220.493,00</w:t>
            </w:r>
          </w:p>
        </w:tc>
        <w:tc>
          <w:tcPr>
            <w:tcW w:w="1395" w:type="dxa"/>
            <w:tcBorders>
              <w:bottom w:val="single" w:sz="6" w:space="0" w:color="000000"/>
              <w:right w:val="single" w:sz="6" w:space="0" w:color="000000"/>
            </w:tcBorders>
            <w:vAlign w:val="center"/>
          </w:tcPr>
          <w:p w14:paraId="73F6A6B2" w14:textId="77777777" w:rsidR="007D706A" w:rsidRDefault="007D706A" w:rsidP="00F70508">
            <w:pPr>
              <w:pStyle w:val="ParagraphStyle6"/>
              <w:rPr>
                <w:rStyle w:val="CharacterStyle6"/>
              </w:rPr>
            </w:pPr>
            <w:r>
              <w:rPr>
                <w:rStyle w:val="CharacterStyle6"/>
              </w:rPr>
              <w:t>1.237.000,00</w:t>
            </w:r>
          </w:p>
        </w:tc>
        <w:tc>
          <w:tcPr>
            <w:tcW w:w="1395" w:type="dxa"/>
            <w:tcBorders>
              <w:bottom w:val="single" w:sz="6" w:space="0" w:color="000000"/>
              <w:right w:val="single" w:sz="6" w:space="0" w:color="000000"/>
            </w:tcBorders>
            <w:vAlign w:val="center"/>
          </w:tcPr>
          <w:p w14:paraId="5865ECB4" w14:textId="77777777" w:rsidR="007D706A" w:rsidRDefault="007D706A" w:rsidP="00F70508">
            <w:pPr>
              <w:pStyle w:val="ParagraphStyle6"/>
              <w:rPr>
                <w:rStyle w:val="CharacterStyle6"/>
              </w:rPr>
            </w:pPr>
            <w:r>
              <w:rPr>
                <w:rStyle w:val="CharacterStyle6"/>
              </w:rPr>
              <w:t>1.244.000,00</w:t>
            </w:r>
          </w:p>
        </w:tc>
      </w:tr>
      <w:tr w:rsidR="007D706A" w14:paraId="785B78D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FC7FD96" w14:textId="77777777" w:rsidR="007D706A" w:rsidRDefault="007D706A" w:rsidP="00F70508">
            <w:pPr>
              <w:pStyle w:val="ParagraphStyle4"/>
              <w:rPr>
                <w:rStyle w:val="CharacterStyle4"/>
              </w:rPr>
            </w:pPr>
            <w:r>
              <w:rPr>
                <w:rStyle w:val="CharacterStyle4"/>
              </w:rPr>
              <w:lastRenderedPageBreak/>
              <w:t>Aktivnost A100301</w:t>
            </w:r>
          </w:p>
        </w:tc>
        <w:tc>
          <w:tcPr>
            <w:tcW w:w="4995" w:type="dxa"/>
            <w:tcBorders>
              <w:bottom w:val="single" w:sz="6" w:space="0" w:color="000000"/>
              <w:right w:val="single" w:sz="6" w:space="0" w:color="000000"/>
            </w:tcBorders>
            <w:vAlign w:val="center"/>
          </w:tcPr>
          <w:p w14:paraId="56582F65" w14:textId="77777777" w:rsidR="007D706A" w:rsidRDefault="007D706A" w:rsidP="00F70508">
            <w:pPr>
              <w:pStyle w:val="ParagraphStyle5"/>
              <w:rPr>
                <w:rStyle w:val="CharacterStyle5"/>
              </w:rPr>
            </w:pPr>
            <w:r>
              <w:rPr>
                <w:rStyle w:val="CharacterStyle5"/>
              </w:rPr>
              <w:t>RAD UPRAVNOG TIJELA</w:t>
            </w:r>
          </w:p>
        </w:tc>
        <w:tc>
          <w:tcPr>
            <w:tcW w:w="1395" w:type="dxa"/>
            <w:tcBorders>
              <w:bottom w:val="single" w:sz="6" w:space="0" w:color="000000"/>
              <w:right w:val="single" w:sz="6" w:space="0" w:color="000000"/>
            </w:tcBorders>
            <w:vAlign w:val="center"/>
          </w:tcPr>
          <w:p w14:paraId="101F0F9C"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12A685F4" w14:textId="77777777" w:rsidR="007D706A" w:rsidRDefault="007D706A" w:rsidP="00F70508">
            <w:pPr>
              <w:pStyle w:val="ParagraphStyle6"/>
              <w:rPr>
                <w:rStyle w:val="CharacterStyle6"/>
              </w:rPr>
            </w:pPr>
            <w:r>
              <w:rPr>
                <w:rStyle w:val="CharacterStyle6"/>
              </w:rPr>
              <w:t>1.117.426,00</w:t>
            </w:r>
          </w:p>
        </w:tc>
        <w:tc>
          <w:tcPr>
            <w:tcW w:w="1395" w:type="dxa"/>
            <w:tcBorders>
              <w:bottom w:val="single" w:sz="6" w:space="0" w:color="000000"/>
              <w:right w:val="single" w:sz="6" w:space="0" w:color="000000"/>
            </w:tcBorders>
            <w:vAlign w:val="center"/>
          </w:tcPr>
          <w:p w14:paraId="196D908C" w14:textId="77777777" w:rsidR="007D706A" w:rsidRDefault="007D706A" w:rsidP="00F70508">
            <w:pPr>
              <w:pStyle w:val="ParagraphStyle6"/>
              <w:rPr>
                <w:rStyle w:val="CharacterStyle6"/>
              </w:rPr>
            </w:pPr>
            <w:r>
              <w:rPr>
                <w:rStyle w:val="CharacterStyle6"/>
              </w:rPr>
              <w:t>1.077.868,00</w:t>
            </w:r>
          </w:p>
        </w:tc>
        <w:tc>
          <w:tcPr>
            <w:tcW w:w="1395" w:type="dxa"/>
            <w:tcBorders>
              <w:bottom w:val="single" w:sz="6" w:space="0" w:color="000000"/>
              <w:right w:val="single" w:sz="6" w:space="0" w:color="000000"/>
            </w:tcBorders>
            <w:vAlign w:val="center"/>
          </w:tcPr>
          <w:p w14:paraId="1B4F1976" w14:textId="77777777" w:rsidR="007D706A" w:rsidRDefault="007D706A" w:rsidP="00F70508">
            <w:pPr>
              <w:pStyle w:val="ParagraphStyle6"/>
              <w:rPr>
                <w:rStyle w:val="CharacterStyle6"/>
              </w:rPr>
            </w:pPr>
            <w:r>
              <w:rPr>
                <w:rStyle w:val="CharacterStyle6"/>
              </w:rPr>
              <w:t>1.092.000,00</w:t>
            </w:r>
          </w:p>
        </w:tc>
        <w:tc>
          <w:tcPr>
            <w:tcW w:w="1395" w:type="dxa"/>
            <w:tcBorders>
              <w:bottom w:val="single" w:sz="6" w:space="0" w:color="000000"/>
              <w:right w:val="single" w:sz="6" w:space="0" w:color="000000"/>
            </w:tcBorders>
            <w:vAlign w:val="center"/>
          </w:tcPr>
          <w:p w14:paraId="44908C19" w14:textId="77777777" w:rsidR="007D706A" w:rsidRDefault="007D706A" w:rsidP="00F70508">
            <w:pPr>
              <w:pStyle w:val="ParagraphStyle6"/>
              <w:rPr>
                <w:rStyle w:val="CharacterStyle6"/>
              </w:rPr>
            </w:pPr>
            <w:r>
              <w:rPr>
                <w:rStyle w:val="CharacterStyle6"/>
              </w:rPr>
              <w:t>1.097.500,00</w:t>
            </w:r>
          </w:p>
        </w:tc>
      </w:tr>
      <w:tr w:rsidR="007D706A" w14:paraId="6D4A9AA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836CCAE"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195718A3"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3D58EE7F"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7C24A57" w14:textId="77777777" w:rsidR="007D706A" w:rsidRDefault="007D706A" w:rsidP="00F70508">
            <w:pPr>
              <w:pStyle w:val="ParagraphStyle9"/>
              <w:rPr>
                <w:rStyle w:val="CharacterStyle9"/>
              </w:rPr>
            </w:pPr>
            <w:r>
              <w:rPr>
                <w:rStyle w:val="CharacterStyle9"/>
              </w:rPr>
              <w:t>1.010.571,73</w:t>
            </w:r>
          </w:p>
        </w:tc>
        <w:tc>
          <w:tcPr>
            <w:tcW w:w="1395" w:type="dxa"/>
            <w:tcBorders>
              <w:bottom w:val="single" w:sz="6" w:space="0" w:color="000000"/>
              <w:right w:val="single" w:sz="6" w:space="0" w:color="000000"/>
            </w:tcBorders>
            <w:vAlign w:val="center"/>
          </w:tcPr>
          <w:p w14:paraId="13AABB08" w14:textId="77777777" w:rsidR="007D706A" w:rsidRDefault="007D706A" w:rsidP="00F70508">
            <w:pPr>
              <w:pStyle w:val="ParagraphStyle9"/>
              <w:rPr>
                <w:rStyle w:val="CharacterStyle9"/>
              </w:rPr>
            </w:pPr>
            <w:r>
              <w:rPr>
                <w:rStyle w:val="CharacterStyle9"/>
              </w:rPr>
              <w:t>1.077.868,00</w:t>
            </w:r>
          </w:p>
        </w:tc>
        <w:tc>
          <w:tcPr>
            <w:tcW w:w="1395" w:type="dxa"/>
            <w:tcBorders>
              <w:bottom w:val="single" w:sz="6" w:space="0" w:color="000000"/>
              <w:right w:val="single" w:sz="6" w:space="0" w:color="000000"/>
            </w:tcBorders>
            <w:vAlign w:val="center"/>
          </w:tcPr>
          <w:p w14:paraId="17D5EA11" w14:textId="77777777" w:rsidR="007D706A" w:rsidRDefault="007D706A" w:rsidP="00F70508">
            <w:pPr>
              <w:pStyle w:val="ParagraphStyle9"/>
              <w:rPr>
                <w:rStyle w:val="CharacterStyle9"/>
              </w:rPr>
            </w:pPr>
            <w:r>
              <w:rPr>
                <w:rStyle w:val="CharacterStyle9"/>
              </w:rPr>
              <w:t>1.092.000,00</w:t>
            </w:r>
          </w:p>
        </w:tc>
        <w:tc>
          <w:tcPr>
            <w:tcW w:w="1395" w:type="dxa"/>
            <w:tcBorders>
              <w:bottom w:val="single" w:sz="6" w:space="0" w:color="000000"/>
              <w:right w:val="single" w:sz="6" w:space="0" w:color="000000"/>
            </w:tcBorders>
            <w:vAlign w:val="center"/>
          </w:tcPr>
          <w:p w14:paraId="04813E95" w14:textId="77777777" w:rsidR="007D706A" w:rsidRDefault="007D706A" w:rsidP="00F70508">
            <w:pPr>
              <w:pStyle w:val="ParagraphStyle9"/>
              <w:rPr>
                <w:rStyle w:val="CharacterStyle9"/>
              </w:rPr>
            </w:pPr>
            <w:r>
              <w:rPr>
                <w:rStyle w:val="CharacterStyle9"/>
              </w:rPr>
              <w:t>1.097.500,00</w:t>
            </w:r>
          </w:p>
        </w:tc>
      </w:tr>
      <w:tr w:rsidR="007D706A" w14:paraId="23BC1BE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21B6E7A"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516A238C"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6FE29AE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35DA972" w14:textId="77777777" w:rsidR="007D706A" w:rsidRDefault="007D706A" w:rsidP="00F70508">
            <w:pPr>
              <w:pStyle w:val="ParagraphStyle12"/>
              <w:rPr>
                <w:rStyle w:val="CharacterStyle12"/>
              </w:rPr>
            </w:pPr>
            <w:r>
              <w:rPr>
                <w:rStyle w:val="CharacterStyle12"/>
              </w:rPr>
              <w:t>1.010.571,73</w:t>
            </w:r>
          </w:p>
        </w:tc>
        <w:tc>
          <w:tcPr>
            <w:tcW w:w="1395" w:type="dxa"/>
            <w:tcBorders>
              <w:bottom w:val="single" w:sz="6" w:space="0" w:color="000000"/>
              <w:right w:val="single" w:sz="6" w:space="0" w:color="000000"/>
            </w:tcBorders>
            <w:vAlign w:val="center"/>
          </w:tcPr>
          <w:p w14:paraId="1B3A5B4D" w14:textId="77777777" w:rsidR="007D706A" w:rsidRDefault="007D706A" w:rsidP="00F70508">
            <w:pPr>
              <w:pStyle w:val="ParagraphStyle12"/>
              <w:rPr>
                <w:rStyle w:val="CharacterStyle12"/>
              </w:rPr>
            </w:pPr>
            <w:r>
              <w:rPr>
                <w:rStyle w:val="CharacterStyle12"/>
              </w:rPr>
              <w:t>1.077.868,00</w:t>
            </w:r>
          </w:p>
        </w:tc>
        <w:tc>
          <w:tcPr>
            <w:tcW w:w="1395" w:type="dxa"/>
            <w:tcBorders>
              <w:bottom w:val="single" w:sz="6" w:space="0" w:color="000000"/>
              <w:right w:val="single" w:sz="6" w:space="0" w:color="000000"/>
            </w:tcBorders>
            <w:vAlign w:val="center"/>
          </w:tcPr>
          <w:p w14:paraId="28CD4721" w14:textId="77777777" w:rsidR="007D706A" w:rsidRDefault="007D706A" w:rsidP="00F70508">
            <w:pPr>
              <w:pStyle w:val="ParagraphStyle12"/>
              <w:rPr>
                <w:rStyle w:val="CharacterStyle12"/>
              </w:rPr>
            </w:pPr>
            <w:r>
              <w:rPr>
                <w:rStyle w:val="CharacterStyle12"/>
              </w:rPr>
              <w:t>1.092.000,00</w:t>
            </w:r>
          </w:p>
        </w:tc>
        <w:tc>
          <w:tcPr>
            <w:tcW w:w="1395" w:type="dxa"/>
            <w:tcBorders>
              <w:bottom w:val="single" w:sz="6" w:space="0" w:color="000000"/>
              <w:right w:val="single" w:sz="6" w:space="0" w:color="000000"/>
            </w:tcBorders>
            <w:vAlign w:val="center"/>
          </w:tcPr>
          <w:p w14:paraId="662E92A1" w14:textId="77777777" w:rsidR="007D706A" w:rsidRDefault="007D706A" w:rsidP="00F70508">
            <w:pPr>
              <w:pStyle w:val="ParagraphStyle12"/>
              <w:rPr>
                <w:rStyle w:val="CharacterStyle12"/>
              </w:rPr>
            </w:pPr>
            <w:r>
              <w:rPr>
                <w:rStyle w:val="CharacterStyle12"/>
              </w:rPr>
              <w:t>1.097.500,00</w:t>
            </w:r>
          </w:p>
        </w:tc>
      </w:tr>
      <w:tr w:rsidR="007D706A" w14:paraId="28A1B60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2885374"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42F64263"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7C5DA11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EFABB84" w14:textId="77777777" w:rsidR="007D706A" w:rsidRDefault="007D706A" w:rsidP="00F70508">
            <w:pPr>
              <w:pStyle w:val="ParagraphStyle12"/>
              <w:rPr>
                <w:rStyle w:val="CharacterStyle12"/>
              </w:rPr>
            </w:pPr>
            <w:r>
              <w:rPr>
                <w:rStyle w:val="CharacterStyle12"/>
              </w:rPr>
              <w:t>948.875,03</w:t>
            </w:r>
          </w:p>
        </w:tc>
        <w:tc>
          <w:tcPr>
            <w:tcW w:w="1395" w:type="dxa"/>
            <w:tcBorders>
              <w:bottom w:val="single" w:sz="6" w:space="0" w:color="000000"/>
              <w:right w:val="single" w:sz="6" w:space="0" w:color="000000"/>
            </w:tcBorders>
            <w:vAlign w:val="center"/>
          </w:tcPr>
          <w:p w14:paraId="63F872AB" w14:textId="77777777" w:rsidR="007D706A" w:rsidRDefault="007D706A" w:rsidP="00F70508">
            <w:pPr>
              <w:pStyle w:val="ParagraphStyle12"/>
              <w:rPr>
                <w:rStyle w:val="CharacterStyle12"/>
              </w:rPr>
            </w:pPr>
            <w:r>
              <w:rPr>
                <w:rStyle w:val="CharacterStyle12"/>
              </w:rPr>
              <w:t>1.016.171,30</w:t>
            </w:r>
          </w:p>
        </w:tc>
        <w:tc>
          <w:tcPr>
            <w:tcW w:w="1395" w:type="dxa"/>
            <w:tcBorders>
              <w:bottom w:val="single" w:sz="6" w:space="0" w:color="000000"/>
              <w:right w:val="single" w:sz="6" w:space="0" w:color="000000"/>
            </w:tcBorders>
            <w:vAlign w:val="center"/>
          </w:tcPr>
          <w:p w14:paraId="4D540168" w14:textId="77777777" w:rsidR="007D706A" w:rsidRDefault="007D706A" w:rsidP="00F70508">
            <w:pPr>
              <w:pStyle w:val="ParagraphStyle12"/>
              <w:rPr>
                <w:rStyle w:val="CharacterStyle12"/>
              </w:rPr>
            </w:pPr>
            <w:r>
              <w:rPr>
                <w:rStyle w:val="CharacterStyle12"/>
              </w:rPr>
              <w:t>1.030.000,00</w:t>
            </w:r>
          </w:p>
        </w:tc>
        <w:tc>
          <w:tcPr>
            <w:tcW w:w="1395" w:type="dxa"/>
            <w:tcBorders>
              <w:bottom w:val="single" w:sz="6" w:space="0" w:color="000000"/>
              <w:right w:val="single" w:sz="6" w:space="0" w:color="000000"/>
            </w:tcBorders>
            <w:vAlign w:val="center"/>
          </w:tcPr>
          <w:p w14:paraId="2AC6D337" w14:textId="77777777" w:rsidR="007D706A" w:rsidRDefault="007D706A" w:rsidP="00F70508">
            <w:pPr>
              <w:pStyle w:val="ParagraphStyle12"/>
              <w:rPr>
                <w:rStyle w:val="CharacterStyle12"/>
              </w:rPr>
            </w:pPr>
            <w:r>
              <w:rPr>
                <w:rStyle w:val="CharacterStyle12"/>
              </w:rPr>
              <w:t>1.035.000,00</w:t>
            </w:r>
          </w:p>
        </w:tc>
      </w:tr>
      <w:tr w:rsidR="007D706A" w14:paraId="1751F02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ED1FF17" w14:textId="77777777" w:rsidR="007D706A" w:rsidRDefault="007D706A" w:rsidP="00F70508">
            <w:pPr>
              <w:pStyle w:val="ParagraphStyle10"/>
              <w:rPr>
                <w:rStyle w:val="CharacterStyle10"/>
              </w:rPr>
            </w:pPr>
            <w:r>
              <w:rPr>
                <w:rStyle w:val="CharacterStyle10"/>
              </w:rPr>
              <w:t>34</w:t>
            </w:r>
          </w:p>
        </w:tc>
        <w:tc>
          <w:tcPr>
            <w:tcW w:w="4995" w:type="dxa"/>
            <w:tcBorders>
              <w:bottom w:val="single" w:sz="6" w:space="0" w:color="000000"/>
              <w:right w:val="single" w:sz="6" w:space="0" w:color="000000"/>
            </w:tcBorders>
            <w:vAlign w:val="center"/>
          </w:tcPr>
          <w:p w14:paraId="3934048D" w14:textId="77777777" w:rsidR="007D706A" w:rsidRDefault="007D706A" w:rsidP="00F70508">
            <w:pPr>
              <w:pStyle w:val="ParagraphStyle11"/>
              <w:rPr>
                <w:rStyle w:val="CharacterStyle11"/>
              </w:rPr>
            </w:pPr>
            <w:r>
              <w:rPr>
                <w:rStyle w:val="CharacterStyle11"/>
              </w:rPr>
              <w:t>Financijski rashodi</w:t>
            </w:r>
          </w:p>
        </w:tc>
        <w:tc>
          <w:tcPr>
            <w:tcW w:w="1395" w:type="dxa"/>
            <w:tcBorders>
              <w:bottom w:val="single" w:sz="6" w:space="0" w:color="000000"/>
              <w:right w:val="single" w:sz="6" w:space="0" w:color="000000"/>
            </w:tcBorders>
            <w:vAlign w:val="center"/>
          </w:tcPr>
          <w:p w14:paraId="1B9F5DF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BE527F8" w14:textId="77777777" w:rsidR="007D706A" w:rsidRDefault="007D706A" w:rsidP="00F70508">
            <w:pPr>
              <w:pStyle w:val="ParagraphStyle12"/>
              <w:rPr>
                <w:rStyle w:val="CharacterStyle12"/>
              </w:rPr>
            </w:pPr>
            <w:r>
              <w:rPr>
                <w:rStyle w:val="CharacterStyle12"/>
              </w:rPr>
              <w:t>61.696,70</w:t>
            </w:r>
          </w:p>
        </w:tc>
        <w:tc>
          <w:tcPr>
            <w:tcW w:w="1395" w:type="dxa"/>
            <w:tcBorders>
              <w:bottom w:val="single" w:sz="6" w:space="0" w:color="000000"/>
              <w:right w:val="single" w:sz="6" w:space="0" w:color="000000"/>
            </w:tcBorders>
            <w:vAlign w:val="center"/>
          </w:tcPr>
          <w:p w14:paraId="313B415E" w14:textId="77777777" w:rsidR="007D706A" w:rsidRDefault="007D706A" w:rsidP="00F70508">
            <w:pPr>
              <w:pStyle w:val="ParagraphStyle12"/>
              <w:rPr>
                <w:rStyle w:val="CharacterStyle12"/>
              </w:rPr>
            </w:pPr>
            <w:r>
              <w:rPr>
                <w:rStyle w:val="CharacterStyle12"/>
              </w:rPr>
              <w:t>61.696,70</w:t>
            </w:r>
          </w:p>
        </w:tc>
        <w:tc>
          <w:tcPr>
            <w:tcW w:w="1395" w:type="dxa"/>
            <w:tcBorders>
              <w:bottom w:val="single" w:sz="6" w:space="0" w:color="000000"/>
              <w:right w:val="single" w:sz="6" w:space="0" w:color="000000"/>
            </w:tcBorders>
            <w:vAlign w:val="center"/>
          </w:tcPr>
          <w:p w14:paraId="494778AF" w14:textId="77777777" w:rsidR="007D706A" w:rsidRDefault="007D706A" w:rsidP="00F70508">
            <w:pPr>
              <w:pStyle w:val="ParagraphStyle12"/>
              <w:rPr>
                <w:rStyle w:val="CharacterStyle12"/>
              </w:rPr>
            </w:pPr>
            <w:r>
              <w:rPr>
                <w:rStyle w:val="CharacterStyle12"/>
              </w:rPr>
              <w:t>62.000,00</w:t>
            </w:r>
          </w:p>
        </w:tc>
        <w:tc>
          <w:tcPr>
            <w:tcW w:w="1395" w:type="dxa"/>
            <w:tcBorders>
              <w:bottom w:val="single" w:sz="6" w:space="0" w:color="000000"/>
              <w:right w:val="single" w:sz="6" w:space="0" w:color="000000"/>
            </w:tcBorders>
            <w:vAlign w:val="center"/>
          </w:tcPr>
          <w:p w14:paraId="55ED9AA1" w14:textId="77777777" w:rsidR="007D706A" w:rsidRDefault="007D706A" w:rsidP="00F70508">
            <w:pPr>
              <w:pStyle w:val="ParagraphStyle12"/>
              <w:rPr>
                <w:rStyle w:val="CharacterStyle12"/>
              </w:rPr>
            </w:pPr>
            <w:r>
              <w:rPr>
                <w:rStyle w:val="CharacterStyle12"/>
              </w:rPr>
              <w:t>62.500,00</w:t>
            </w:r>
          </w:p>
        </w:tc>
      </w:tr>
      <w:tr w:rsidR="007D706A" w14:paraId="67AD0CF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D76BD98" w14:textId="77777777" w:rsidR="007D706A" w:rsidRDefault="007D706A" w:rsidP="00F70508">
            <w:pPr>
              <w:pStyle w:val="ParagraphStyle7"/>
              <w:rPr>
                <w:rStyle w:val="CharacterStyle7"/>
              </w:rPr>
            </w:pPr>
            <w:r>
              <w:rPr>
                <w:rStyle w:val="CharacterStyle7"/>
              </w:rPr>
              <w:t>Izvor financiranja 82</w:t>
            </w:r>
          </w:p>
        </w:tc>
        <w:tc>
          <w:tcPr>
            <w:tcW w:w="4995" w:type="dxa"/>
            <w:tcBorders>
              <w:bottom w:val="single" w:sz="6" w:space="0" w:color="000000"/>
              <w:right w:val="single" w:sz="6" w:space="0" w:color="000000"/>
            </w:tcBorders>
            <w:vAlign w:val="center"/>
          </w:tcPr>
          <w:p w14:paraId="0F543741" w14:textId="77777777" w:rsidR="007D706A" w:rsidRDefault="007D706A" w:rsidP="00F70508">
            <w:pPr>
              <w:pStyle w:val="ParagraphStyle8"/>
              <w:rPr>
                <w:rStyle w:val="CharacterStyle8"/>
              </w:rPr>
            </w:pPr>
            <w:r>
              <w:rPr>
                <w:rStyle w:val="CharacterStyle8"/>
              </w:rPr>
              <w:t>Preneseni viškovi iz ranijih godina</w:t>
            </w:r>
          </w:p>
        </w:tc>
        <w:tc>
          <w:tcPr>
            <w:tcW w:w="1395" w:type="dxa"/>
            <w:tcBorders>
              <w:bottom w:val="single" w:sz="6" w:space="0" w:color="000000"/>
              <w:right w:val="single" w:sz="6" w:space="0" w:color="000000"/>
            </w:tcBorders>
            <w:vAlign w:val="center"/>
          </w:tcPr>
          <w:p w14:paraId="2CD87395"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6D6F319" w14:textId="77777777" w:rsidR="007D706A" w:rsidRDefault="007D706A" w:rsidP="00F70508">
            <w:pPr>
              <w:pStyle w:val="ParagraphStyle9"/>
              <w:rPr>
                <w:rStyle w:val="CharacterStyle9"/>
              </w:rPr>
            </w:pPr>
            <w:r>
              <w:rPr>
                <w:rStyle w:val="CharacterStyle9"/>
              </w:rPr>
              <w:t>106.854,27</w:t>
            </w:r>
          </w:p>
        </w:tc>
        <w:tc>
          <w:tcPr>
            <w:tcW w:w="1395" w:type="dxa"/>
            <w:tcBorders>
              <w:bottom w:val="single" w:sz="6" w:space="0" w:color="000000"/>
              <w:right w:val="single" w:sz="6" w:space="0" w:color="000000"/>
            </w:tcBorders>
            <w:vAlign w:val="center"/>
          </w:tcPr>
          <w:p w14:paraId="7F38C2FF"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F9DA454"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DB5EF61" w14:textId="77777777" w:rsidR="007D706A" w:rsidRDefault="007D706A" w:rsidP="00F70508">
            <w:pPr>
              <w:pStyle w:val="ParagraphStyle9"/>
              <w:rPr>
                <w:rStyle w:val="CharacterStyle9"/>
              </w:rPr>
            </w:pPr>
            <w:r>
              <w:rPr>
                <w:rStyle w:val="CharacterStyle9"/>
              </w:rPr>
              <w:t>0,00</w:t>
            </w:r>
          </w:p>
        </w:tc>
      </w:tr>
      <w:tr w:rsidR="007D706A" w14:paraId="2F9C41E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4D655EF"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5DABB09A"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1EA2EAA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B11A372" w14:textId="77777777" w:rsidR="007D706A" w:rsidRDefault="007D706A" w:rsidP="00F70508">
            <w:pPr>
              <w:pStyle w:val="ParagraphStyle12"/>
              <w:rPr>
                <w:rStyle w:val="CharacterStyle12"/>
              </w:rPr>
            </w:pPr>
            <w:r>
              <w:rPr>
                <w:rStyle w:val="CharacterStyle12"/>
              </w:rPr>
              <w:t>106.854,27</w:t>
            </w:r>
          </w:p>
        </w:tc>
        <w:tc>
          <w:tcPr>
            <w:tcW w:w="1395" w:type="dxa"/>
            <w:tcBorders>
              <w:bottom w:val="single" w:sz="6" w:space="0" w:color="000000"/>
              <w:right w:val="single" w:sz="6" w:space="0" w:color="000000"/>
            </w:tcBorders>
            <w:vAlign w:val="center"/>
          </w:tcPr>
          <w:p w14:paraId="1EB839E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C917B7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43AD223" w14:textId="77777777" w:rsidR="007D706A" w:rsidRDefault="007D706A" w:rsidP="00F70508">
            <w:pPr>
              <w:pStyle w:val="ParagraphStyle12"/>
              <w:rPr>
                <w:rStyle w:val="CharacterStyle12"/>
              </w:rPr>
            </w:pPr>
            <w:r>
              <w:rPr>
                <w:rStyle w:val="CharacterStyle12"/>
              </w:rPr>
              <w:t>0,00</w:t>
            </w:r>
          </w:p>
        </w:tc>
      </w:tr>
      <w:tr w:rsidR="007D706A" w14:paraId="49B32FE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8986BA6"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2A666C0A"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364B7FF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97919C0" w14:textId="77777777" w:rsidR="007D706A" w:rsidRDefault="007D706A" w:rsidP="00F70508">
            <w:pPr>
              <w:pStyle w:val="ParagraphStyle12"/>
              <w:rPr>
                <w:rStyle w:val="CharacterStyle12"/>
              </w:rPr>
            </w:pPr>
            <w:r>
              <w:rPr>
                <w:rStyle w:val="CharacterStyle12"/>
              </w:rPr>
              <w:t>106.854,27</w:t>
            </w:r>
          </w:p>
        </w:tc>
        <w:tc>
          <w:tcPr>
            <w:tcW w:w="1395" w:type="dxa"/>
            <w:tcBorders>
              <w:bottom w:val="single" w:sz="6" w:space="0" w:color="000000"/>
              <w:right w:val="single" w:sz="6" w:space="0" w:color="000000"/>
            </w:tcBorders>
            <w:vAlign w:val="center"/>
          </w:tcPr>
          <w:p w14:paraId="05DD874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E9AC4C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27B9295" w14:textId="77777777" w:rsidR="007D706A" w:rsidRDefault="007D706A" w:rsidP="00F70508">
            <w:pPr>
              <w:pStyle w:val="ParagraphStyle12"/>
              <w:rPr>
                <w:rStyle w:val="CharacterStyle12"/>
              </w:rPr>
            </w:pPr>
            <w:r>
              <w:rPr>
                <w:rStyle w:val="CharacterStyle12"/>
              </w:rPr>
              <w:t>0,00</w:t>
            </w:r>
          </w:p>
        </w:tc>
      </w:tr>
      <w:tr w:rsidR="007D706A" w14:paraId="7D67882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A4084BB" w14:textId="77777777" w:rsidR="007D706A" w:rsidRDefault="007D706A" w:rsidP="00F70508">
            <w:pPr>
              <w:pStyle w:val="ParagraphStyle4"/>
              <w:rPr>
                <w:rStyle w:val="CharacterStyle4"/>
              </w:rPr>
            </w:pPr>
            <w:r>
              <w:rPr>
                <w:rStyle w:val="CharacterStyle4"/>
              </w:rPr>
              <w:t>Tekući projekt T100301</w:t>
            </w:r>
          </w:p>
        </w:tc>
        <w:tc>
          <w:tcPr>
            <w:tcW w:w="4995" w:type="dxa"/>
            <w:tcBorders>
              <w:bottom w:val="single" w:sz="6" w:space="0" w:color="000000"/>
              <w:right w:val="single" w:sz="6" w:space="0" w:color="000000"/>
            </w:tcBorders>
            <w:vAlign w:val="center"/>
          </w:tcPr>
          <w:p w14:paraId="1830EA67" w14:textId="77777777" w:rsidR="007D706A" w:rsidRDefault="007D706A" w:rsidP="00F70508">
            <w:pPr>
              <w:pStyle w:val="ParagraphStyle5"/>
              <w:rPr>
                <w:rStyle w:val="CharacterStyle5"/>
              </w:rPr>
            </w:pPr>
            <w:r>
              <w:rPr>
                <w:rStyle w:val="CharacterStyle5"/>
              </w:rPr>
              <w:t>UREĐENJE ARHIVE I ARHIVSKE GRAĐE</w:t>
            </w:r>
          </w:p>
        </w:tc>
        <w:tc>
          <w:tcPr>
            <w:tcW w:w="1395" w:type="dxa"/>
            <w:tcBorders>
              <w:bottom w:val="single" w:sz="6" w:space="0" w:color="000000"/>
              <w:right w:val="single" w:sz="6" w:space="0" w:color="000000"/>
            </w:tcBorders>
            <w:vAlign w:val="center"/>
          </w:tcPr>
          <w:p w14:paraId="279D3D9F"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5651CC2F" w14:textId="77777777" w:rsidR="007D706A" w:rsidRDefault="007D706A" w:rsidP="00F70508">
            <w:pPr>
              <w:pStyle w:val="ParagraphStyle6"/>
              <w:rPr>
                <w:rStyle w:val="CharacterStyle6"/>
              </w:rPr>
            </w:pPr>
            <w:r>
              <w:rPr>
                <w:rStyle w:val="CharacterStyle6"/>
              </w:rPr>
              <w:t>16.000,00</w:t>
            </w:r>
          </w:p>
        </w:tc>
        <w:tc>
          <w:tcPr>
            <w:tcW w:w="1395" w:type="dxa"/>
            <w:tcBorders>
              <w:bottom w:val="single" w:sz="6" w:space="0" w:color="000000"/>
              <w:right w:val="single" w:sz="6" w:space="0" w:color="000000"/>
            </w:tcBorders>
            <w:vAlign w:val="center"/>
          </w:tcPr>
          <w:p w14:paraId="1B131599" w14:textId="77777777" w:rsidR="007D706A" w:rsidRDefault="007D706A" w:rsidP="00F70508">
            <w:pPr>
              <w:pStyle w:val="ParagraphStyle6"/>
              <w:rPr>
                <w:rStyle w:val="CharacterStyle6"/>
              </w:rPr>
            </w:pPr>
            <w:r>
              <w:rPr>
                <w:rStyle w:val="CharacterStyle6"/>
              </w:rPr>
              <w:t>16.000,00</w:t>
            </w:r>
          </w:p>
        </w:tc>
        <w:tc>
          <w:tcPr>
            <w:tcW w:w="1395" w:type="dxa"/>
            <w:tcBorders>
              <w:bottom w:val="single" w:sz="6" w:space="0" w:color="000000"/>
              <w:right w:val="single" w:sz="6" w:space="0" w:color="000000"/>
            </w:tcBorders>
            <w:vAlign w:val="center"/>
          </w:tcPr>
          <w:p w14:paraId="46303EFC" w14:textId="77777777" w:rsidR="007D706A" w:rsidRDefault="007D706A" w:rsidP="00F70508">
            <w:pPr>
              <w:pStyle w:val="ParagraphStyle6"/>
              <w:rPr>
                <w:rStyle w:val="CharacterStyle6"/>
              </w:rPr>
            </w:pPr>
            <w:r>
              <w:rPr>
                <w:rStyle w:val="CharacterStyle6"/>
              </w:rPr>
              <w:t>16.500,00</w:t>
            </w:r>
          </w:p>
        </w:tc>
        <w:tc>
          <w:tcPr>
            <w:tcW w:w="1395" w:type="dxa"/>
            <w:tcBorders>
              <w:bottom w:val="single" w:sz="6" w:space="0" w:color="000000"/>
              <w:right w:val="single" w:sz="6" w:space="0" w:color="000000"/>
            </w:tcBorders>
            <w:vAlign w:val="center"/>
          </w:tcPr>
          <w:p w14:paraId="43ED306C" w14:textId="77777777" w:rsidR="007D706A" w:rsidRDefault="007D706A" w:rsidP="00F70508">
            <w:pPr>
              <w:pStyle w:val="ParagraphStyle6"/>
              <w:rPr>
                <w:rStyle w:val="CharacterStyle6"/>
              </w:rPr>
            </w:pPr>
            <w:r>
              <w:rPr>
                <w:rStyle w:val="CharacterStyle6"/>
              </w:rPr>
              <w:t>17.500,00</w:t>
            </w:r>
          </w:p>
        </w:tc>
      </w:tr>
      <w:tr w:rsidR="007D706A" w14:paraId="282AAD8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7DE6595"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79EBC7E3"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65604999"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9F44F6B" w14:textId="77777777" w:rsidR="007D706A" w:rsidRDefault="007D706A" w:rsidP="00F70508">
            <w:pPr>
              <w:pStyle w:val="ParagraphStyle9"/>
              <w:rPr>
                <w:rStyle w:val="CharacterStyle9"/>
              </w:rPr>
            </w:pPr>
            <w:r>
              <w:rPr>
                <w:rStyle w:val="CharacterStyle9"/>
              </w:rPr>
              <w:t>16.000,00</w:t>
            </w:r>
          </w:p>
        </w:tc>
        <w:tc>
          <w:tcPr>
            <w:tcW w:w="1395" w:type="dxa"/>
            <w:tcBorders>
              <w:bottom w:val="single" w:sz="6" w:space="0" w:color="000000"/>
              <w:right w:val="single" w:sz="6" w:space="0" w:color="000000"/>
            </w:tcBorders>
            <w:vAlign w:val="center"/>
          </w:tcPr>
          <w:p w14:paraId="6C9797BB" w14:textId="77777777" w:rsidR="007D706A" w:rsidRDefault="007D706A" w:rsidP="00F70508">
            <w:pPr>
              <w:pStyle w:val="ParagraphStyle9"/>
              <w:rPr>
                <w:rStyle w:val="CharacterStyle9"/>
              </w:rPr>
            </w:pPr>
            <w:r>
              <w:rPr>
                <w:rStyle w:val="CharacterStyle9"/>
              </w:rPr>
              <w:t>16.000,00</w:t>
            </w:r>
          </w:p>
        </w:tc>
        <w:tc>
          <w:tcPr>
            <w:tcW w:w="1395" w:type="dxa"/>
            <w:tcBorders>
              <w:bottom w:val="single" w:sz="6" w:space="0" w:color="000000"/>
              <w:right w:val="single" w:sz="6" w:space="0" w:color="000000"/>
            </w:tcBorders>
            <w:vAlign w:val="center"/>
          </w:tcPr>
          <w:p w14:paraId="0EA4D54D" w14:textId="77777777" w:rsidR="007D706A" w:rsidRDefault="007D706A" w:rsidP="00F70508">
            <w:pPr>
              <w:pStyle w:val="ParagraphStyle9"/>
              <w:rPr>
                <w:rStyle w:val="CharacterStyle9"/>
              </w:rPr>
            </w:pPr>
            <w:r>
              <w:rPr>
                <w:rStyle w:val="CharacterStyle9"/>
              </w:rPr>
              <w:t>16.500,00</w:t>
            </w:r>
          </w:p>
        </w:tc>
        <w:tc>
          <w:tcPr>
            <w:tcW w:w="1395" w:type="dxa"/>
            <w:tcBorders>
              <w:bottom w:val="single" w:sz="6" w:space="0" w:color="000000"/>
              <w:right w:val="single" w:sz="6" w:space="0" w:color="000000"/>
            </w:tcBorders>
            <w:vAlign w:val="center"/>
          </w:tcPr>
          <w:p w14:paraId="6497A1E5" w14:textId="77777777" w:rsidR="007D706A" w:rsidRDefault="007D706A" w:rsidP="00F70508">
            <w:pPr>
              <w:pStyle w:val="ParagraphStyle9"/>
              <w:rPr>
                <w:rStyle w:val="CharacterStyle9"/>
              </w:rPr>
            </w:pPr>
            <w:r>
              <w:rPr>
                <w:rStyle w:val="CharacterStyle9"/>
              </w:rPr>
              <w:t>17.500,00</w:t>
            </w:r>
          </w:p>
        </w:tc>
      </w:tr>
      <w:tr w:rsidR="007D706A" w14:paraId="03EAB8B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84EE324"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556C952C"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41A3A28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DA01F2B" w14:textId="77777777" w:rsidR="007D706A" w:rsidRDefault="007D706A" w:rsidP="00F70508">
            <w:pPr>
              <w:pStyle w:val="ParagraphStyle12"/>
              <w:rPr>
                <w:rStyle w:val="CharacterStyle12"/>
              </w:rPr>
            </w:pPr>
            <w:r>
              <w:rPr>
                <w:rStyle w:val="CharacterStyle12"/>
              </w:rPr>
              <w:t>13.346,00</w:t>
            </w:r>
          </w:p>
        </w:tc>
        <w:tc>
          <w:tcPr>
            <w:tcW w:w="1395" w:type="dxa"/>
            <w:tcBorders>
              <w:bottom w:val="single" w:sz="6" w:space="0" w:color="000000"/>
              <w:right w:val="single" w:sz="6" w:space="0" w:color="000000"/>
            </w:tcBorders>
            <w:vAlign w:val="center"/>
          </w:tcPr>
          <w:p w14:paraId="42D87895" w14:textId="77777777" w:rsidR="007D706A" w:rsidRDefault="007D706A" w:rsidP="00F70508">
            <w:pPr>
              <w:pStyle w:val="ParagraphStyle12"/>
              <w:rPr>
                <w:rStyle w:val="CharacterStyle12"/>
              </w:rPr>
            </w:pPr>
            <w:r>
              <w:rPr>
                <w:rStyle w:val="CharacterStyle12"/>
              </w:rPr>
              <w:t>13.346,00</w:t>
            </w:r>
          </w:p>
        </w:tc>
        <w:tc>
          <w:tcPr>
            <w:tcW w:w="1395" w:type="dxa"/>
            <w:tcBorders>
              <w:bottom w:val="single" w:sz="6" w:space="0" w:color="000000"/>
              <w:right w:val="single" w:sz="6" w:space="0" w:color="000000"/>
            </w:tcBorders>
            <w:vAlign w:val="center"/>
          </w:tcPr>
          <w:p w14:paraId="0596BC4E" w14:textId="77777777" w:rsidR="007D706A" w:rsidRDefault="007D706A" w:rsidP="00F70508">
            <w:pPr>
              <w:pStyle w:val="ParagraphStyle12"/>
              <w:rPr>
                <w:rStyle w:val="CharacterStyle12"/>
              </w:rPr>
            </w:pPr>
            <w:r>
              <w:rPr>
                <w:rStyle w:val="CharacterStyle12"/>
              </w:rPr>
              <w:t>13.500,00</w:t>
            </w:r>
          </w:p>
        </w:tc>
        <w:tc>
          <w:tcPr>
            <w:tcW w:w="1395" w:type="dxa"/>
            <w:tcBorders>
              <w:bottom w:val="single" w:sz="6" w:space="0" w:color="000000"/>
              <w:right w:val="single" w:sz="6" w:space="0" w:color="000000"/>
            </w:tcBorders>
            <w:vAlign w:val="center"/>
          </w:tcPr>
          <w:p w14:paraId="02C2BD74" w14:textId="77777777" w:rsidR="007D706A" w:rsidRDefault="007D706A" w:rsidP="00F70508">
            <w:pPr>
              <w:pStyle w:val="ParagraphStyle12"/>
              <w:rPr>
                <w:rStyle w:val="CharacterStyle12"/>
              </w:rPr>
            </w:pPr>
            <w:r>
              <w:rPr>
                <w:rStyle w:val="CharacterStyle12"/>
              </w:rPr>
              <w:t>14.000,00</w:t>
            </w:r>
          </w:p>
        </w:tc>
      </w:tr>
      <w:tr w:rsidR="007D706A" w14:paraId="271E8A1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EBC6F4A"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7E06468E"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51CDC0F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D7024C9" w14:textId="77777777" w:rsidR="007D706A" w:rsidRDefault="007D706A" w:rsidP="00F70508">
            <w:pPr>
              <w:pStyle w:val="ParagraphStyle12"/>
              <w:rPr>
                <w:rStyle w:val="CharacterStyle12"/>
              </w:rPr>
            </w:pPr>
            <w:r>
              <w:rPr>
                <w:rStyle w:val="CharacterStyle12"/>
              </w:rPr>
              <w:t>13.346,00</w:t>
            </w:r>
          </w:p>
        </w:tc>
        <w:tc>
          <w:tcPr>
            <w:tcW w:w="1395" w:type="dxa"/>
            <w:tcBorders>
              <w:bottom w:val="single" w:sz="6" w:space="0" w:color="000000"/>
              <w:right w:val="single" w:sz="6" w:space="0" w:color="000000"/>
            </w:tcBorders>
            <w:vAlign w:val="center"/>
          </w:tcPr>
          <w:p w14:paraId="32400C2F" w14:textId="77777777" w:rsidR="007D706A" w:rsidRDefault="007D706A" w:rsidP="00F70508">
            <w:pPr>
              <w:pStyle w:val="ParagraphStyle12"/>
              <w:rPr>
                <w:rStyle w:val="CharacterStyle12"/>
              </w:rPr>
            </w:pPr>
            <w:r>
              <w:rPr>
                <w:rStyle w:val="CharacterStyle12"/>
              </w:rPr>
              <w:t>13.346,00</w:t>
            </w:r>
          </w:p>
        </w:tc>
        <w:tc>
          <w:tcPr>
            <w:tcW w:w="1395" w:type="dxa"/>
            <w:tcBorders>
              <w:bottom w:val="single" w:sz="6" w:space="0" w:color="000000"/>
              <w:right w:val="single" w:sz="6" w:space="0" w:color="000000"/>
            </w:tcBorders>
            <w:vAlign w:val="center"/>
          </w:tcPr>
          <w:p w14:paraId="5E2046C2" w14:textId="77777777" w:rsidR="007D706A" w:rsidRDefault="007D706A" w:rsidP="00F70508">
            <w:pPr>
              <w:pStyle w:val="ParagraphStyle12"/>
              <w:rPr>
                <w:rStyle w:val="CharacterStyle12"/>
              </w:rPr>
            </w:pPr>
            <w:r>
              <w:rPr>
                <w:rStyle w:val="CharacterStyle12"/>
              </w:rPr>
              <w:t>13.500,00</w:t>
            </w:r>
          </w:p>
        </w:tc>
        <w:tc>
          <w:tcPr>
            <w:tcW w:w="1395" w:type="dxa"/>
            <w:tcBorders>
              <w:bottom w:val="single" w:sz="6" w:space="0" w:color="000000"/>
              <w:right w:val="single" w:sz="6" w:space="0" w:color="000000"/>
            </w:tcBorders>
            <w:vAlign w:val="center"/>
          </w:tcPr>
          <w:p w14:paraId="17475898" w14:textId="77777777" w:rsidR="007D706A" w:rsidRDefault="007D706A" w:rsidP="00F70508">
            <w:pPr>
              <w:pStyle w:val="ParagraphStyle12"/>
              <w:rPr>
                <w:rStyle w:val="CharacterStyle12"/>
              </w:rPr>
            </w:pPr>
            <w:r>
              <w:rPr>
                <w:rStyle w:val="CharacterStyle12"/>
              </w:rPr>
              <w:t>14.000,00</w:t>
            </w:r>
          </w:p>
        </w:tc>
      </w:tr>
      <w:tr w:rsidR="007D706A" w14:paraId="5811274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9A3BFFC"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7A091284"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4918485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39C0B25" w14:textId="77777777" w:rsidR="007D706A" w:rsidRDefault="007D706A" w:rsidP="00F70508">
            <w:pPr>
              <w:pStyle w:val="ParagraphStyle12"/>
              <w:rPr>
                <w:rStyle w:val="CharacterStyle12"/>
              </w:rPr>
            </w:pPr>
            <w:r>
              <w:rPr>
                <w:rStyle w:val="CharacterStyle12"/>
              </w:rPr>
              <w:t>2.654,00</w:t>
            </w:r>
          </w:p>
        </w:tc>
        <w:tc>
          <w:tcPr>
            <w:tcW w:w="1395" w:type="dxa"/>
            <w:tcBorders>
              <w:bottom w:val="single" w:sz="6" w:space="0" w:color="000000"/>
              <w:right w:val="single" w:sz="6" w:space="0" w:color="000000"/>
            </w:tcBorders>
            <w:vAlign w:val="center"/>
          </w:tcPr>
          <w:p w14:paraId="5464669A" w14:textId="77777777" w:rsidR="007D706A" w:rsidRDefault="007D706A" w:rsidP="00F70508">
            <w:pPr>
              <w:pStyle w:val="ParagraphStyle12"/>
              <w:rPr>
                <w:rStyle w:val="CharacterStyle12"/>
              </w:rPr>
            </w:pPr>
            <w:r>
              <w:rPr>
                <w:rStyle w:val="CharacterStyle12"/>
              </w:rPr>
              <w:t>2.654,00</w:t>
            </w:r>
          </w:p>
        </w:tc>
        <w:tc>
          <w:tcPr>
            <w:tcW w:w="1395" w:type="dxa"/>
            <w:tcBorders>
              <w:bottom w:val="single" w:sz="6" w:space="0" w:color="000000"/>
              <w:right w:val="single" w:sz="6" w:space="0" w:color="000000"/>
            </w:tcBorders>
            <w:vAlign w:val="center"/>
          </w:tcPr>
          <w:p w14:paraId="2AC10BD2" w14:textId="77777777" w:rsidR="007D706A" w:rsidRDefault="007D706A" w:rsidP="00F70508">
            <w:pPr>
              <w:pStyle w:val="ParagraphStyle12"/>
              <w:rPr>
                <w:rStyle w:val="CharacterStyle12"/>
              </w:rPr>
            </w:pPr>
            <w:r>
              <w:rPr>
                <w:rStyle w:val="CharacterStyle12"/>
              </w:rPr>
              <w:t>3.000,00</w:t>
            </w:r>
          </w:p>
        </w:tc>
        <w:tc>
          <w:tcPr>
            <w:tcW w:w="1395" w:type="dxa"/>
            <w:tcBorders>
              <w:bottom w:val="single" w:sz="6" w:space="0" w:color="000000"/>
              <w:right w:val="single" w:sz="6" w:space="0" w:color="000000"/>
            </w:tcBorders>
            <w:vAlign w:val="center"/>
          </w:tcPr>
          <w:p w14:paraId="4AEF4404" w14:textId="77777777" w:rsidR="007D706A" w:rsidRDefault="007D706A" w:rsidP="00F70508">
            <w:pPr>
              <w:pStyle w:val="ParagraphStyle12"/>
              <w:rPr>
                <w:rStyle w:val="CharacterStyle12"/>
              </w:rPr>
            </w:pPr>
            <w:r>
              <w:rPr>
                <w:rStyle w:val="CharacterStyle12"/>
              </w:rPr>
              <w:t>3.500,00</w:t>
            </w:r>
          </w:p>
        </w:tc>
      </w:tr>
      <w:tr w:rsidR="007D706A" w14:paraId="080EC29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51D39EB" w14:textId="77777777" w:rsidR="007D706A" w:rsidRDefault="007D706A" w:rsidP="00F70508">
            <w:pPr>
              <w:pStyle w:val="ParagraphStyle10"/>
              <w:rPr>
                <w:rStyle w:val="CharacterStyle10"/>
              </w:rPr>
            </w:pPr>
            <w:r>
              <w:rPr>
                <w:rStyle w:val="CharacterStyle10"/>
              </w:rPr>
              <w:t>42</w:t>
            </w:r>
          </w:p>
        </w:tc>
        <w:tc>
          <w:tcPr>
            <w:tcW w:w="4995" w:type="dxa"/>
            <w:tcBorders>
              <w:bottom w:val="single" w:sz="6" w:space="0" w:color="000000"/>
              <w:right w:val="single" w:sz="6" w:space="0" w:color="000000"/>
            </w:tcBorders>
            <w:vAlign w:val="center"/>
          </w:tcPr>
          <w:p w14:paraId="6D43C5C2"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5C06981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4048FEF" w14:textId="77777777" w:rsidR="007D706A" w:rsidRDefault="007D706A" w:rsidP="00F70508">
            <w:pPr>
              <w:pStyle w:val="ParagraphStyle12"/>
              <w:rPr>
                <w:rStyle w:val="CharacterStyle12"/>
              </w:rPr>
            </w:pPr>
            <w:r>
              <w:rPr>
                <w:rStyle w:val="CharacterStyle12"/>
              </w:rPr>
              <w:t>2.654,00</w:t>
            </w:r>
          </w:p>
        </w:tc>
        <w:tc>
          <w:tcPr>
            <w:tcW w:w="1395" w:type="dxa"/>
            <w:tcBorders>
              <w:bottom w:val="single" w:sz="6" w:space="0" w:color="000000"/>
              <w:right w:val="single" w:sz="6" w:space="0" w:color="000000"/>
            </w:tcBorders>
            <w:vAlign w:val="center"/>
          </w:tcPr>
          <w:p w14:paraId="3E126970" w14:textId="77777777" w:rsidR="007D706A" w:rsidRDefault="007D706A" w:rsidP="00F70508">
            <w:pPr>
              <w:pStyle w:val="ParagraphStyle12"/>
              <w:rPr>
                <w:rStyle w:val="CharacterStyle12"/>
              </w:rPr>
            </w:pPr>
            <w:r>
              <w:rPr>
                <w:rStyle w:val="CharacterStyle12"/>
              </w:rPr>
              <w:t>2.654,00</w:t>
            </w:r>
          </w:p>
        </w:tc>
        <w:tc>
          <w:tcPr>
            <w:tcW w:w="1395" w:type="dxa"/>
            <w:tcBorders>
              <w:bottom w:val="single" w:sz="6" w:space="0" w:color="000000"/>
              <w:right w:val="single" w:sz="6" w:space="0" w:color="000000"/>
            </w:tcBorders>
            <w:vAlign w:val="center"/>
          </w:tcPr>
          <w:p w14:paraId="6363CE91" w14:textId="77777777" w:rsidR="007D706A" w:rsidRDefault="007D706A" w:rsidP="00F70508">
            <w:pPr>
              <w:pStyle w:val="ParagraphStyle12"/>
              <w:rPr>
                <w:rStyle w:val="CharacterStyle12"/>
              </w:rPr>
            </w:pPr>
            <w:r>
              <w:rPr>
                <w:rStyle w:val="CharacterStyle12"/>
              </w:rPr>
              <w:t>3.000,00</w:t>
            </w:r>
          </w:p>
        </w:tc>
        <w:tc>
          <w:tcPr>
            <w:tcW w:w="1395" w:type="dxa"/>
            <w:tcBorders>
              <w:bottom w:val="single" w:sz="6" w:space="0" w:color="000000"/>
              <w:right w:val="single" w:sz="6" w:space="0" w:color="000000"/>
            </w:tcBorders>
            <w:vAlign w:val="center"/>
          </w:tcPr>
          <w:p w14:paraId="06F88B90" w14:textId="77777777" w:rsidR="007D706A" w:rsidRDefault="007D706A" w:rsidP="00F70508">
            <w:pPr>
              <w:pStyle w:val="ParagraphStyle12"/>
              <w:rPr>
                <w:rStyle w:val="CharacterStyle12"/>
              </w:rPr>
            </w:pPr>
            <w:r>
              <w:rPr>
                <w:rStyle w:val="CharacterStyle12"/>
              </w:rPr>
              <w:t>3.500,00</w:t>
            </w:r>
          </w:p>
        </w:tc>
      </w:tr>
      <w:tr w:rsidR="007D706A" w14:paraId="34F7F4C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94C0C4C" w14:textId="77777777" w:rsidR="007D706A" w:rsidRDefault="007D706A" w:rsidP="00F70508">
            <w:pPr>
              <w:pStyle w:val="ParagraphStyle4"/>
              <w:rPr>
                <w:rStyle w:val="CharacterStyle4"/>
              </w:rPr>
            </w:pPr>
            <w:r>
              <w:rPr>
                <w:rStyle w:val="CharacterStyle4"/>
              </w:rPr>
              <w:t>Kapitalni projekt K100301</w:t>
            </w:r>
          </w:p>
        </w:tc>
        <w:tc>
          <w:tcPr>
            <w:tcW w:w="4995" w:type="dxa"/>
            <w:tcBorders>
              <w:bottom w:val="single" w:sz="6" w:space="0" w:color="000000"/>
              <w:right w:val="single" w:sz="6" w:space="0" w:color="000000"/>
            </w:tcBorders>
            <w:vAlign w:val="center"/>
          </w:tcPr>
          <w:p w14:paraId="35809999" w14:textId="77777777" w:rsidR="007D706A" w:rsidRDefault="007D706A" w:rsidP="00F70508">
            <w:pPr>
              <w:pStyle w:val="ParagraphStyle5"/>
              <w:rPr>
                <w:rStyle w:val="CharacterStyle5"/>
              </w:rPr>
            </w:pPr>
            <w:r>
              <w:rPr>
                <w:rStyle w:val="CharacterStyle5"/>
              </w:rPr>
              <w:t>NABAVA OPREME ZA POTREBE GRADSKE UPRAVE</w:t>
            </w:r>
          </w:p>
        </w:tc>
        <w:tc>
          <w:tcPr>
            <w:tcW w:w="1395" w:type="dxa"/>
            <w:tcBorders>
              <w:bottom w:val="single" w:sz="6" w:space="0" w:color="000000"/>
              <w:right w:val="single" w:sz="6" w:space="0" w:color="000000"/>
            </w:tcBorders>
            <w:vAlign w:val="center"/>
          </w:tcPr>
          <w:p w14:paraId="21916231"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6170C2F2" w14:textId="77777777" w:rsidR="007D706A" w:rsidRDefault="007D706A" w:rsidP="00F70508">
            <w:pPr>
              <w:pStyle w:val="ParagraphStyle6"/>
              <w:rPr>
                <w:rStyle w:val="CharacterStyle6"/>
              </w:rPr>
            </w:pPr>
            <w:r>
              <w:rPr>
                <w:rStyle w:val="CharacterStyle6"/>
              </w:rPr>
              <w:t>121.375,00</w:t>
            </w:r>
          </w:p>
        </w:tc>
        <w:tc>
          <w:tcPr>
            <w:tcW w:w="1395" w:type="dxa"/>
            <w:tcBorders>
              <w:bottom w:val="single" w:sz="6" w:space="0" w:color="000000"/>
              <w:right w:val="single" w:sz="6" w:space="0" w:color="000000"/>
            </w:tcBorders>
            <w:vAlign w:val="center"/>
          </w:tcPr>
          <w:p w14:paraId="3DF3B341" w14:textId="77777777" w:rsidR="007D706A" w:rsidRDefault="007D706A" w:rsidP="00F70508">
            <w:pPr>
              <w:pStyle w:val="ParagraphStyle6"/>
              <w:rPr>
                <w:rStyle w:val="CharacterStyle6"/>
              </w:rPr>
            </w:pPr>
            <w:r>
              <w:rPr>
                <w:rStyle w:val="CharacterStyle6"/>
              </w:rPr>
              <w:t>126.625,00</w:t>
            </w:r>
          </w:p>
        </w:tc>
        <w:tc>
          <w:tcPr>
            <w:tcW w:w="1395" w:type="dxa"/>
            <w:tcBorders>
              <w:bottom w:val="single" w:sz="6" w:space="0" w:color="000000"/>
              <w:right w:val="single" w:sz="6" w:space="0" w:color="000000"/>
            </w:tcBorders>
            <w:vAlign w:val="center"/>
          </w:tcPr>
          <w:p w14:paraId="49308953" w14:textId="77777777" w:rsidR="007D706A" w:rsidRDefault="007D706A" w:rsidP="00F70508">
            <w:pPr>
              <w:pStyle w:val="ParagraphStyle6"/>
              <w:rPr>
                <w:rStyle w:val="CharacterStyle6"/>
              </w:rPr>
            </w:pPr>
            <w:r>
              <w:rPr>
                <w:rStyle w:val="CharacterStyle6"/>
              </w:rPr>
              <w:t>128.500,00</w:t>
            </w:r>
          </w:p>
        </w:tc>
        <w:tc>
          <w:tcPr>
            <w:tcW w:w="1395" w:type="dxa"/>
            <w:tcBorders>
              <w:bottom w:val="single" w:sz="6" w:space="0" w:color="000000"/>
              <w:right w:val="single" w:sz="6" w:space="0" w:color="000000"/>
            </w:tcBorders>
            <w:vAlign w:val="center"/>
          </w:tcPr>
          <w:p w14:paraId="6610FE48" w14:textId="77777777" w:rsidR="007D706A" w:rsidRDefault="007D706A" w:rsidP="00F70508">
            <w:pPr>
              <w:pStyle w:val="ParagraphStyle6"/>
              <w:rPr>
                <w:rStyle w:val="CharacterStyle6"/>
              </w:rPr>
            </w:pPr>
            <w:r>
              <w:rPr>
                <w:rStyle w:val="CharacterStyle6"/>
              </w:rPr>
              <w:t>129.000,00</w:t>
            </w:r>
          </w:p>
        </w:tc>
      </w:tr>
      <w:tr w:rsidR="007D706A" w14:paraId="36DC0C56"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7769AB0"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0C191959"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39EE22C8"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FB91603" w14:textId="77777777" w:rsidR="007D706A" w:rsidRDefault="007D706A" w:rsidP="00F70508">
            <w:pPr>
              <w:pStyle w:val="ParagraphStyle9"/>
              <w:rPr>
                <w:rStyle w:val="CharacterStyle9"/>
              </w:rPr>
            </w:pPr>
            <w:r>
              <w:rPr>
                <w:rStyle w:val="CharacterStyle9"/>
              </w:rPr>
              <w:t>93.170,80</w:t>
            </w:r>
          </w:p>
        </w:tc>
        <w:tc>
          <w:tcPr>
            <w:tcW w:w="1395" w:type="dxa"/>
            <w:tcBorders>
              <w:bottom w:val="single" w:sz="6" w:space="0" w:color="000000"/>
              <w:right w:val="single" w:sz="6" w:space="0" w:color="000000"/>
            </w:tcBorders>
            <w:vAlign w:val="center"/>
          </w:tcPr>
          <w:p w14:paraId="7A8E7C9A" w14:textId="77777777" w:rsidR="007D706A" w:rsidRDefault="007D706A" w:rsidP="00F70508">
            <w:pPr>
              <w:pStyle w:val="ParagraphStyle9"/>
              <w:rPr>
                <w:rStyle w:val="CharacterStyle9"/>
              </w:rPr>
            </w:pPr>
            <w:r>
              <w:rPr>
                <w:rStyle w:val="CharacterStyle9"/>
              </w:rPr>
              <w:t>126.625,00</w:t>
            </w:r>
          </w:p>
        </w:tc>
        <w:tc>
          <w:tcPr>
            <w:tcW w:w="1395" w:type="dxa"/>
            <w:tcBorders>
              <w:bottom w:val="single" w:sz="6" w:space="0" w:color="000000"/>
              <w:right w:val="single" w:sz="6" w:space="0" w:color="000000"/>
            </w:tcBorders>
            <w:vAlign w:val="center"/>
          </w:tcPr>
          <w:p w14:paraId="474F288A" w14:textId="77777777" w:rsidR="007D706A" w:rsidRDefault="007D706A" w:rsidP="00F70508">
            <w:pPr>
              <w:pStyle w:val="ParagraphStyle9"/>
              <w:rPr>
                <w:rStyle w:val="CharacterStyle9"/>
              </w:rPr>
            </w:pPr>
            <w:r>
              <w:rPr>
                <w:rStyle w:val="CharacterStyle9"/>
              </w:rPr>
              <w:t>128.500,00</w:t>
            </w:r>
          </w:p>
        </w:tc>
        <w:tc>
          <w:tcPr>
            <w:tcW w:w="1395" w:type="dxa"/>
            <w:tcBorders>
              <w:bottom w:val="single" w:sz="6" w:space="0" w:color="000000"/>
              <w:right w:val="single" w:sz="6" w:space="0" w:color="000000"/>
            </w:tcBorders>
            <w:vAlign w:val="center"/>
          </w:tcPr>
          <w:p w14:paraId="42D31511" w14:textId="77777777" w:rsidR="007D706A" w:rsidRDefault="007D706A" w:rsidP="00F70508">
            <w:pPr>
              <w:pStyle w:val="ParagraphStyle9"/>
              <w:rPr>
                <w:rStyle w:val="CharacterStyle9"/>
              </w:rPr>
            </w:pPr>
            <w:r>
              <w:rPr>
                <w:rStyle w:val="CharacterStyle9"/>
              </w:rPr>
              <w:t>129.000,00</w:t>
            </w:r>
          </w:p>
        </w:tc>
      </w:tr>
      <w:tr w:rsidR="007D706A" w14:paraId="427E4996"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2D20CF2"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3F476140"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306ABD1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9E4602A" w14:textId="77777777" w:rsidR="007D706A" w:rsidRDefault="007D706A" w:rsidP="00F70508">
            <w:pPr>
              <w:pStyle w:val="ParagraphStyle12"/>
              <w:rPr>
                <w:rStyle w:val="CharacterStyle12"/>
              </w:rPr>
            </w:pPr>
            <w:r>
              <w:rPr>
                <w:rStyle w:val="CharacterStyle12"/>
              </w:rPr>
              <w:t>88.420,80</w:t>
            </w:r>
          </w:p>
        </w:tc>
        <w:tc>
          <w:tcPr>
            <w:tcW w:w="1395" w:type="dxa"/>
            <w:tcBorders>
              <w:bottom w:val="single" w:sz="6" w:space="0" w:color="000000"/>
              <w:right w:val="single" w:sz="6" w:space="0" w:color="000000"/>
            </w:tcBorders>
            <w:vAlign w:val="center"/>
          </w:tcPr>
          <w:p w14:paraId="1949F211" w14:textId="77777777" w:rsidR="007D706A" w:rsidRDefault="007D706A" w:rsidP="00F70508">
            <w:pPr>
              <w:pStyle w:val="ParagraphStyle12"/>
              <w:rPr>
                <w:rStyle w:val="CharacterStyle12"/>
              </w:rPr>
            </w:pPr>
            <w:r>
              <w:rPr>
                <w:rStyle w:val="CharacterStyle12"/>
              </w:rPr>
              <w:t>116.625,00</w:t>
            </w:r>
          </w:p>
        </w:tc>
        <w:tc>
          <w:tcPr>
            <w:tcW w:w="1395" w:type="dxa"/>
            <w:tcBorders>
              <w:bottom w:val="single" w:sz="6" w:space="0" w:color="000000"/>
              <w:right w:val="single" w:sz="6" w:space="0" w:color="000000"/>
            </w:tcBorders>
            <w:vAlign w:val="center"/>
          </w:tcPr>
          <w:p w14:paraId="44D8429A" w14:textId="77777777" w:rsidR="007D706A" w:rsidRDefault="007D706A" w:rsidP="00F70508">
            <w:pPr>
              <w:pStyle w:val="ParagraphStyle12"/>
              <w:rPr>
                <w:rStyle w:val="CharacterStyle12"/>
              </w:rPr>
            </w:pPr>
            <w:r>
              <w:rPr>
                <w:rStyle w:val="CharacterStyle12"/>
              </w:rPr>
              <w:t>118.500,00</w:t>
            </w:r>
          </w:p>
        </w:tc>
        <w:tc>
          <w:tcPr>
            <w:tcW w:w="1395" w:type="dxa"/>
            <w:tcBorders>
              <w:bottom w:val="single" w:sz="6" w:space="0" w:color="000000"/>
              <w:right w:val="single" w:sz="6" w:space="0" w:color="000000"/>
            </w:tcBorders>
            <w:vAlign w:val="center"/>
          </w:tcPr>
          <w:p w14:paraId="377FF246" w14:textId="77777777" w:rsidR="007D706A" w:rsidRDefault="007D706A" w:rsidP="00F70508">
            <w:pPr>
              <w:pStyle w:val="ParagraphStyle12"/>
              <w:rPr>
                <w:rStyle w:val="CharacterStyle12"/>
              </w:rPr>
            </w:pPr>
            <w:r>
              <w:rPr>
                <w:rStyle w:val="CharacterStyle12"/>
              </w:rPr>
              <w:t>119.000,00</w:t>
            </w:r>
          </w:p>
        </w:tc>
      </w:tr>
      <w:tr w:rsidR="007D706A" w14:paraId="55ADD28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1D9D763" w14:textId="77777777" w:rsidR="007D706A" w:rsidRDefault="007D706A" w:rsidP="00F70508">
            <w:pPr>
              <w:pStyle w:val="ParagraphStyle10"/>
              <w:rPr>
                <w:rStyle w:val="CharacterStyle10"/>
              </w:rPr>
            </w:pPr>
            <w:r>
              <w:rPr>
                <w:rStyle w:val="CharacterStyle10"/>
              </w:rPr>
              <w:t>41</w:t>
            </w:r>
          </w:p>
        </w:tc>
        <w:tc>
          <w:tcPr>
            <w:tcW w:w="4995" w:type="dxa"/>
            <w:tcBorders>
              <w:bottom w:val="single" w:sz="6" w:space="0" w:color="000000"/>
              <w:right w:val="single" w:sz="6" w:space="0" w:color="000000"/>
            </w:tcBorders>
            <w:vAlign w:val="center"/>
          </w:tcPr>
          <w:p w14:paraId="1D28A6EA" w14:textId="77777777" w:rsidR="007D706A" w:rsidRDefault="007D706A" w:rsidP="00F70508">
            <w:pPr>
              <w:pStyle w:val="ParagraphStyle11"/>
              <w:rPr>
                <w:rStyle w:val="CharacterStyle11"/>
              </w:rPr>
            </w:pPr>
            <w:r>
              <w:rPr>
                <w:rStyle w:val="CharacterStyle11"/>
              </w:rPr>
              <w:t>Rashodi za nabavu neproizvedene dugotrajne imovine</w:t>
            </w:r>
          </w:p>
        </w:tc>
        <w:tc>
          <w:tcPr>
            <w:tcW w:w="1395" w:type="dxa"/>
            <w:tcBorders>
              <w:bottom w:val="single" w:sz="6" w:space="0" w:color="000000"/>
              <w:right w:val="single" w:sz="6" w:space="0" w:color="000000"/>
            </w:tcBorders>
            <w:vAlign w:val="center"/>
          </w:tcPr>
          <w:p w14:paraId="3B98307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887D3FD" w14:textId="77777777" w:rsidR="007D706A" w:rsidRDefault="007D706A" w:rsidP="00F70508">
            <w:pPr>
              <w:pStyle w:val="ParagraphStyle12"/>
              <w:rPr>
                <w:rStyle w:val="CharacterStyle12"/>
              </w:rPr>
            </w:pPr>
            <w:r>
              <w:rPr>
                <w:rStyle w:val="CharacterStyle12"/>
              </w:rPr>
              <w:t>6.636,14</w:t>
            </w:r>
          </w:p>
        </w:tc>
        <w:tc>
          <w:tcPr>
            <w:tcW w:w="1395" w:type="dxa"/>
            <w:tcBorders>
              <w:bottom w:val="single" w:sz="6" w:space="0" w:color="000000"/>
              <w:right w:val="single" w:sz="6" w:space="0" w:color="000000"/>
            </w:tcBorders>
            <w:vAlign w:val="center"/>
          </w:tcPr>
          <w:p w14:paraId="6DDC88CB" w14:textId="77777777" w:rsidR="007D706A" w:rsidRDefault="007D706A" w:rsidP="00F70508">
            <w:pPr>
              <w:pStyle w:val="ParagraphStyle12"/>
              <w:rPr>
                <w:rStyle w:val="CharacterStyle12"/>
              </w:rPr>
            </w:pPr>
            <w:r>
              <w:rPr>
                <w:rStyle w:val="CharacterStyle12"/>
              </w:rPr>
              <w:t>11.945,05</w:t>
            </w:r>
          </w:p>
        </w:tc>
        <w:tc>
          <w:tcPr>
            <w:tcW w:w="1395" w:type="dxa"/>
            <w:tcBorders>
              <w:bottom w:val="single" w:sz="6" w:space="0" w:color="000000"/>
              <w:right w:val="single" w:sz="6" w:space="0" w:color="000000"/>
            </w:tcBorders>
            <w:vAlign w:val="center"/>
          </w:tcPr>
          <w:p w14:paraId="4078C590" w14:textId="77777777" w:rsidR="007D706A" w:rsidRDefault="007D706A" w:rsidP="00F70508">
            <w:pPr>
              <w:pStyle w:val="ParagraphStyle12"/>
              <w:rPr>
                <w:rStyle w:val="CharacterStyle12"/>
              </w:rPr>
            </w:pPr>
            <w:r>
              <w:rPr>
                <w:rStyle w:val="CharacterStyle12"/>
              </w:rPr>
              <w:t>12.500,00</w:t>
            </w:r>
          </w:p>
        </w:tc>
        <w:tc>
          <w:tcPr>
            <w:tcW w:w="1395" w:type="dxa"/>
            <w:tcBorders>
              <w:bottom w:val="single" w:sz="6" w:space="0" w:color="000000"/>
              <w:right w:val="single" w:sz="6" w:space="0" w:color="000000"/>
            </w:tcBorders>
            <w:vAlign w:val="center"/>
          </w:tcPr>
          <w:p w14:paraId="743FFBDA" w14:textId="77777777" w:rsidR="007D706A" w:rsidRDefault="007D706A" w:rsidP="00F70508">
            <w:pPr>
              <w:pStyle w:val="ParagraphStyle12"/>
              <w:rPr>
                <w:rStyle w:val="CharacterStyle12"/>
              </w:rPr>
            </w:pPr>
            <w:r>
              <w:rPr>
                <w:rStyle w:val="CharacterStyle12"/>
              </w:rPr>
              <w:t>12.500,00</w:t>
            </w:r>
          </w:p>
        </w:tc>
      </w:tr>
      <w:tr w:rsidR="007D706A" w14:paraId="602247A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8727A76" w14:textId="77777777" w:rsidR="007D706A" w:rsidRDefault="007D706A" w:rsidP="00F70508">
            <w:pPr>
              <w:pStyle w:val="ParagraphStyle10"/>
              <w:rPr>
                <w:rStyle w:val="CharacterStyle10"/>
              </w:rPr>
            </w:pPr>
            <w:r>
              <w:rPr>
                <w:rStyle w:val="CharacterStyle10"/>
              </w:rPr>
              <w:t>42</w:t>
            </w:r>
          </w:p>
        </w:tc>
        <w:tc>
          <w:tcPr>
            <w:tcW w:w="4995" w:type="dxa"/>
            <w:tcBorders>
              <w:bottom w:val="single" w:sz="6" w:space="0" w:color="000000"/>
              <w:right w:val="single" w:sz="6" w:space="0" w:color="000000"/>
            </w:tcBorders>
            <w:vAlign w:val="center"/>
          </w:tcPr>
          <w:p w14:paraId="2AD0A62F"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21841E1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482F0A1" w14:textId="77777777" w:rsidR="007D706A" w:rsidRDefault="007D706A" w:rsidP="00F70508">
            <w:pPr>
              <w:pStyle w:val="ParagraphStyle12"/>
              <w:rPr>
                <w:rStyle w:val="CharacterStyle12"/>
              </w:rPr>
            </w:pPr>
            <w:r>
              <w:rPr>
                <w:rStyle w:val="CharacterStyle12"/>
              </w:rPr>
              <w:t>81.784,66</w:t>
            </w:r>
          </w:p>
        </w:tc>
        <w:tc>
          <w:tcPr>
            <w:tcW w:w="1395" w:type="dxa"/>
            <w:tcBorders>
              <w:bottom w:val="single" w:sz="6" w:space="0" w:color="000000"/>
              <w:right w:val="single" w:sz="6" w:space="0" w:color="000000"/>
            </w:tcBorders>
            <w:vAlign w:val="center"/>
          </w:tcPr>
          <w:p w14:paraId="0E564B00" w14:textId="77777777" w:rsidR="007D706A" w:rsidRDefault="007D706A" w:rsidP="00F70508">
            <w:pPr>
              <w:pStyle w:val="ParagraphStyle12"/>
              <w:rPr>
                <w:rStyle w:val="CharacterStyle12"/>
              </w:rPr>
            </w:pPr>
            <w:r>
              <w:rPr>
                <w:rStyle w:val="CharacterStyle12"/>
              </w:rPr>
              <w:t>104.679,95</w:t>
            </w:r>
          </w:p>
        </w:tc>
        <w:tc>
          <w:tcPr>
            <w:tcW w:w="1395" w:type="dxa"/>
            <w:tcBorders>
              <w:bottom w:val="single" w:sz="6" w:space="0" w:color="000000"/>
              <w:right w:val="single" w:sz="6" w:space="0" w:color="000000"/>
            </w:tcBorders>
            <w:vAlign w:val="center"/>
          </w:tcPr>
          <w:p w14:paraId="1F87F1CE" w14:textId="77777777" w:rsidR="007D706A" w:rsidRDefault="007D706A" w:rsidP="00F70508">
            <w:pPr>
              <w:pStyle w:val="ParagraphStyle12"/>
              <w:rPr>
                <w:rStyle w:val="CharacterStyle12"/>
              </w:rPr>
            </w:pPr>
            <w:r>
              <w:rPr>
                <w:rStyle w:val="CharacterStyle12"/>
              </w:rPr>
              <w:t>106.000,00</w:t>
            </w:r>
          </w:p>
        </w:tc>
        <w:tc>
          <w:tcPr>
            <w:tcW w:w="1395" w:type="dxa"/>
            <w:tcBorders>
              <w:bottom w:val="single" w:sz="6" w:space="0" w:color="000000"/>
              <w:right w:val="single" w:sz="6" w:space="0" w:color="000000"/>
            </w:tcBorders>
            <w:vAlign w:val="center"/>
          </w:tcPr>
          <w:p w14:paraId="3D542528" w14:textId="77777777" w:rsidR="007D706A" w:rsidRDefault="007D706A" w:rsidP="00F70508">
            <w:pPr>
              <w:pStyle w:val="ParagraphStyle12"/>
              <w:rPr>
                <w:rStyle w:val="CharacterStyle12"/>
              </w:rPr>
            </w:pPr>
            <w:r>
              <w:rPr>
                <w:rStyle w:val="CharacterStyle12"/>
              </w:rPr>
              <w:t>106.500,00</w:t>
            </w:r>
          </w:p>
        </w:tc>
      </w:tr>
      <w:tr w:rsidR="007D706A" w14:paraId="24316BD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E237629" w14:textId="77777777" w:rsidR="007D706A" w:rsidRDefault="007D706A" w:rsidP="00F70508">
            <w:pPr>
              <w:pStyle w:val="ParagraphStyle10"/>
              <w:rPr>
                <w:rStyle w:val="CharacterStyle10"/>
              </w:rPr>
            </w:pPr>
            <w:r>
              <w:rPr>
                <w:rStyle w:val="CharacterStyle10"/>
              </w:rPr>
              <w:t>5</w:t>
            </w:r>
          </w:p>
        </w:tc>
        <w:tc>
          <w:tcPr>
            <w:tcW w:w="4995" w:type="dxa"/>
            <w:tcBorders>
              <w:bottom w:val="single" w:sz="6" w:space="0" w:color="000000"/>
              <w:right w:val="single" w:sz="6" w:space="0" w:color="000000"/>
            </w:tcBorders>
            <w:vAlign w:val="center"/>
          </w:tcPr>
          <w:p w14:paraId="5178C7FA" w14:textId="77777777" w:rsidR="007D706A" w:rsidRDefault="007D706A" w:rsidP="00F70508">
            <w:pPr>
              <w:pStyle w:val="ParagraphStyle11"/>
              <w:rPr>
                <w:rStyle w:val="CharacterStyle11"/>
              </w:rPr>
            </w:pPr>
            <w:r>
              <w:rPr>
                <w:rStyle w:val="CharacterStyle11"/>
              </w:rPr>
              <w:t>Izdaci za financijsku imovinu i otplate zajmova</w:t>
            </w:r>
          </w:p>
        </w:tc>
        <w:tc>
          <w:tcPr>
            <w:tcW w:w="1395" w:type="dxa"/>
            <w:tcBorders>
              <w:bottom w:val="single" w:sz="6" w:space="0" w:color="000000"/>
              <w:right w:val="single" w:sz="6" w:space="0" w:color="000000"/>
            </w:tcBorders>
            <w:vAlign w:val="center"/>
          </w:tcPr>
          <w:p w14:paraId="219CADC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2C414C6" w14:textId="77777777" w:rsidR="007D706A" w:rsidRDefault="007D706A" w:rsidP="00F70508">
            <w:pPr>
              <w:pStyle w:val="ParagraphStyle12"/>
              <w:rPr>
                <w:rStyle w:val="CharacterStyle12"/>
              </w:rPr>
            </w:pPr>
            <w:r>
              <w:rPr>
                <w:rStyle w:val="CharacterStyle12"/>
              </w:rPr>
              <w:t>4.750,00</w:t>
            </w:r>
          </w:p>
        </w:tc>
        <w:tc>
          <w:tcPr>
            <w:tcW w:w="1395" w:type="dxa"/>
            <w:tcBorders>
              <w:bottom w:val="single" w:sz="6" w:space="0" w:color="000000"/>
              <w:right w:val="single" w:sz="6" w:space="0" w:color="000000"/>
            </w:tcBorders>
            <w:vAlign w:val="center"/>
          </w:tcPr>
          <w:p w14:paraId="075DA31C" w14:textId="77777777" w:rsidR="007D706A" w:rsidRDefault="007D706A" w:rsidP="00F70508">
            <w:pPr>
              <w:pStyle w:val="ParagraphStyle12"/>
              <w:rPr>
                <w:rStyle w:val="CharacterStyle12"/>
              </w:rPr>
            </w:pPr>
            <w:r>
              <w:rPr>
                <w:rStyle w:val="CharacterStyle12"/>
              </w:rPr>
              <w:t>10.000,00</w:t>
            </w:r>
          </w:p>
        </w:tc>
        <w:tc>
          <w:tcPr>
            <w:tcW w:w="1395" w:type="dxa"/>
            <w:tcBorders>
              <w:bottom w:val="single" w:sz="6" w:space="0" w:color="000000"/>
              <w:right w:val="single" w:sz="6" w:space="0" w:color="000000"/>
            </w:tcBorders>
            <w:vAlign w:val="center"/>
          </w:tcPr>
          <w:p w14:paraId="2E471EF9" w14:textId="77777777" w:rsidR="007D706A" w:rsidRDefault="007D706A" w:rsidP="00F70508">
            <w:pPr>
              <w:pStyle w:val="ParagraphStyle12"/>
              <w:rPr>
                <w:rStyle w:val="CharacterStyle12"/>
              </w:rPr>
            </w:pPr>
            <w:r>
              <w:rPr>
                <w:rStyle w:val="CharacterStyle12"/>
              </w:rPr>
              <w:t>10.000,00</w:t>
            </w:r>
          </w:p>
        </w:tc>
        <w:tc>
          <w:tcPr>
            <w:tcW w:w="1395" w:type="dxa"/>
            <w:tcBorders>
              <w:bottom w:val="single" w:sz="6" w:space="0" w:color="000000"/>
              <w:right w:val="single" w:sz="6" w:space="0" w:color="000000"/>
            </w:tcBorders>
            <w:vAlign w:val="center"/>
          </w:tcPr>
          <w:p w14:paraId="797BF9F7" w14:textId="77777777" w:rsidR="007D706A" w:rsidRDefault="007D706A" w:rsidP="00F70508">
            <w:pPr>
              <w:pStyle w:val="ParagraphStyle12"/>
              <w:rPr>
                <w:rStyle w:val="CharacterStyle12"/>
              </w:rPr>
            </w:pPr>
            <w:r>
              <w:rPr>
                <w:rStyle w:val="CharacterStyle12"/>
              </w:rPr>
              <w:t>10.000,00</w:t>
            </w:r>
          </w:p>
        </w:tc>
      </w:tr>
      <w:tr w:rsidR="007D706A" w14:paraId="43C7641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7023122" w14:textId="77777777" w:rsidR="007D706A" w:rsidRDefault="007D706A" w:rsidP="00F70508">
            <w:pPr>
              <w:pStyle w:val="ParagraphStyle10"/>
              <w:rPr>
                <w:rStyle w:val="CharacterStyle10"/>
              </w:rPr>
            </w:pPr>
            <w:r>
              <w:rPr>
                <w:rStyle w:val="CharacterStyle10"/>
              </w:rPr>
              <w:t>51</w:t>
            </w:r>
          </w:p>
        </w:tc>
        <w:tc>
          <w:tcPr>
            <w:tcW w:w="4995" w:type="dxa"/>
            <w:tcBorders>
              <w:bottom w:val="single" w:sz="6" w:space="0" w:color="000000"/>
              <w:right w:val="single" w:sz="6" w:space="0" w:color="000000"/>
            </w:tcBorders>
            <w:vAlign w:val="center"/>
          </w:tcPr>
          <w:p w14:paraId="4A2390A9" w14:textId="77777777" w:rsidR="007D706A" w:rsidRDefault="007D706A" w:rsidP="00F70508">
            <w:pPr>
              <w:pStyle w:val="ParagraphStyle11"/>
              <w:rPr>
                <w:rStyle w:val="CharacterStyle11"/>
              </w:rPr>
            </w:pPr>
            <w:r>
              <w:rPr>
                <w:rStyle w:val="CharacterStyle11"/>
              </w:rPr>
              <w:t>Izdaci za dane zajmove i jamčevne pologe</w:t>
            </w:r>
          </w:p>
        </w:tc>
        <w:tc>
          <w:tcPr>
            <w:tcW w:w="1395" w:type="dxa"/>
            <w:tcBorders>
              <w:bottom w:val="single" w:sz="6" w:space="0" w:color="000000"/>
              <w:right w:val="single" w:sz="6" w:space="0" w:color="000000"/>
            </w:tcBorders>
            <w:vAlign w:val="center"/>
          </w:tcPr>
          <w:p w14:paraId="51717CC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9CCF940" w14:textId="77777777" w:rsidR="007D706A" w:rsidRDefault="007D706A" w:rsidP="00F70508">
            <w:pPr>
              <w:pStyle w:val="ParagraphStyle12"/>
              <w:rPr>
                <w:rStyle w:val="CharacterStyle12"/>
              </w:rPr>
            </w:pPr>
            <w:r>
              <w:rPr>
                <w:rStyle w:val="CharacterStyle12"/>
              </w:rPr>
              <w:t>4.750,00</w:t>
            </w:r>
          </w:p>
        </w:tc>
        <w:tc>
          <w:tcPr>
            <w:tcW w:w="1395" w:type="dxa"/>
            <w:tcBorders>
              <w:bottom w:val="single" w:sz="6" w:space="0" w:color="000000"/>
              <w:right w:val="single" w:sz="6" w:space="0" w:color="000000"/>
            </w:tcBorders>
            <w:vAlign w:val="center"/>
          </w:tcPr>
          <w:p w14:paraId="1782B1A4" w14:textId="77777777" w:rsidR="007D706A" w:rsidRDefault="007D706A" w:rsidP="00F70508">
            <w:pPr>
              <w:pStyle w:val="ParagraphStyle12"/>
              <w:rPr>
                <w:rStyle w:val="CharacterStyle12"/>
              </w:rPr>
            </w:pPr>
            <w:r>
              <w:rPr>
                <w:rStyle w:val="CharacterStyle12"/>
              </w:rPr>
              <w:t>10.000,00</w:t>
            </w:r>
          </w:p>
        </w:tc>
        <w:tc>
          <w:tcPr>
            <w:tcW w:w="1395" w:type="dxa"/>
            <w:tcBorders>
              <w:bottom w:val="single" w:sz="6" w:space="0" w:color="000000"/>
              <w:right w:val="single" w:sz="6" w:space="0" w:color="000000"/>
            </w:tcBorders>
            <w:vAlign w:val="center"/>
          </w:tcPr>
          <w:p w14:paraId="0BE5AC8F" w14:textId="77777777" w:rsidR="007D706A" w:rsidRDefault="007D706A" w:rsidP="00F70508">
            <w:pPr>
              <w:pStyle w:val="ParagraphStyle12"/>
              <w:rPr>
                <w:rStyle w:val="CharacterStyle12"/>
              </w:rPr>
            </w:pPr>
            <w:r>
              <w:rPr>
                <w:rStyle w:val="CharacterStyle12"/>
              </w:rPr>
              <w:t>10.000,00</w:t>
            </w:r>
          </w:p>
        </w:tc>
        <w:tc>
          <w:tcPr>
            <w:tcW w:w="1395" w:type="dxa"/>
            <w:tcBorders>
              <w:bottom w:val="single" w:sz="6" w:space="0" w:color="000000"/>
              <w:right w:val="single" w:sz="6" w:space="0" w:color="000000"/>
            </w:tcBorders>
            <w:vAlign w:val="center"/>
          </w:tcPr>
          <w:p w14:paraId="0519A479" w14:textId="77777777" w:rsidR="007D706A" w:rsidRDefault="007D706A" w:rsidP="00F70508">
            <w:pPr>
              <w:pStyle w:val="ParagraphStyle12"/>
              <w:rPr>
                <w:rStyle w:val="CharacterStyle12"/>
              </w:rPr>
            </w:pPr>
            <w:r>
              <w:rPr>
                <w:rStyle w:val="CharacterStyle12"/>
              </w:rPr>
              <w:t>10.000,00</w:t>
            </w:r>
          </w:p>
        </w:tc>
      </w:tr>
      <w:tr w:rsidR="007D706A" w14:paraId="263CFF9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358822D" w14:textId="77777777" w:rsidR="007D706A" w:rsidRDefault="007D706A" w:rsidP="00F70508">
            <w:pPr>
              <w:pStyle w:val="ParagraphStyle7"/>
              <w:rPr>
                <w:rStyle w:val="CharacterStyle7"/>
              </w:rPr>
            </w:pPr>
            <w:r>
              <w:rPr>
                <w:rStyle w:val="CharacterStyle7"/>
              </w:rPr>
              <w:t>Izvor financiranja 82</w:t>
            </w:r>
          </w:p>
        </w:tc>
        <w:tc>
          <w:tcPr>
            <w:tcW w:w="4995" w:type="dxa"/>
            <w:tcBorders>
              <w:bottom w:val="single" w:sz="6" w:space="0" w:color="000000"/>
              <w:right w:val="single" w:sz="6" w:space="0" w:color="000000"/>
            </w:tcBorders>
            <w:vAlign w:val="center"/>
          </w:tcPr>
          <w:p w14:paraId="0586E9CB" w14:textId="77777777" w:rsidR="007D706A" w:rsidRDefault="007D706A" w:rsidP="00F70508">
            <w:pPr>
              <w:pStyle w:val="ParagraphStyle8"/>
              <w:rPr>
                <w:rStyle w:val="CharacterStyle8"/>
              </w:rPr>
            </w:pPr>
            <w:r>
              <w:rPr>
                <w:rStyle w:val="CharacterStyle8"/>
              </w:rPr>
              <w:t>Preneseni viškovi iz ranijih godina</w:t>
            </w:r>
          </w:p>
        </w:tc>
        <w:tc>
          <w:tcPr>
            <w:tcW w:w="1395" w:type="dxa"/>
            <w:tcBorders>
              <w:bottom w:val="single" w:sz="6" w:space="0" w:color="000000"/>
              <w:right w:val="single" w:sz="6" w:space="0" w:color="000000"/>
            </w:tcBorders>
            <w:vAlign w:val="center"/>
          </w:tcPr>
          <w:p w14:paraId="23C3C460"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851501F" w14:textId="77777777" w:rsidR="007D706A" w:rsidRDefault="007D706A" w:rsidP="00F70508">
            <w:pPr>
              <w:pStyle w:val="ParagraphStyle9"/>
              <w:rPr>
                <w:rStyle w:val="CharacterStyle9"/>
              </w:rPr>
            </w:pPr>
            <w:r>
              <w:rPr>
                <w:rStyle w:val="CharacterStyle9"/>
              </w:rPr>
              <w:t>28.204,20</w:t>
            </w:r>
          </w:p>
        </w:tc>
        <w:tc>
          <w:tcPr>
            <w:tcW w:w="1395" w:type="dxa"/>
            <w:tcBorders>
              <w:bottom w:val="single" w:sz="6" w:space="0" w:color="000000"/>
              <w:right w:val="single" w:sz="6" w:space="0" w:color="000000"/>
            </w:tcBorders>
            <w:vAlign w:val="center"/>
          </w:tcPr>
          <w:p w14:paraId="527B8669"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7E0391E"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FFC1EF9" w14:textId="77777777" w:rsidR="007D706A" w:rsidRDefault="007D706A" w:rsidP="00F70508">
            <w:pPr>
              <w:pStyle w:val="ParagraphStyle9"/>
              <w:rPr>
                <w:rStyle w:val="CharacterStyle9"/>
              </w:rPr>
            </w:pPr>
            <w:r>
              <w:rPr>
                <w:rStyle w:val="CharacterStyle9"/>
              </w:rPr>
              <w:t>0,00</w:t>
            </w:r>
          </w:p>
        </w:tc>
      </w:tr>
      <w:tr w:rsidR="007D706A" w14:paraId="13F8613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D260220"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062C36EF"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69440FD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3219575" w14:textId="77777777" w:rsidR="007D706A" w:rsidRDefault="007D706A" w:rsidP="00F70508">
            <w:pPr>
              <w:pStyle w:val="ParagraphStyle12"/>
              <w:rPr>
                <w:rStyle w:val="CharacterStyle12"/>
              </w:rPr>
            </w:pPr>
            <w:r>
              <w:rPr>
                <w:rStyle w:val="CharacterStyle12"/>
              </w:rPr>
              <w:t>28.204,20</w:t>
            </w:r>
          </w:p>
        </w:tc>
        <w:tc>
          <w:tcPr>
            <w:tcW w:w="1395" w:type="dxa"/>
            <w:tcBorders>
              <w:bottom w:val="single" w:sz="6" w:space="0" w:color="000000"/>
              <w:right w:val="single" w:sz="6" w:space="0" w:color="000000"/>
            </w:tcBorders>
            <w:vAlign w:val="center"/>
          </w:tcPr>
          <w:p w14:paraId="6A6F933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56FFD4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45535A9" w14:textId="77777777" w:rsidR="007D706A" w:rsidRDefault="007D706A" w:rsidP="00F70508">
            <w:pPr>
              <w:pStyle w:val="ParagraphStyle12"/>
              <w:rPr>
                <w:rStyle w:val="CharacterStyle12"/>
              </w:rPr>
            </w:pPr>
            <w:r>
              <w:rPr>
                <w:rStyle w:val="CharacterStyle12"/>
              </w:rPr>
              <w:t>0,00</w:t>
            </w:r>
          </w:p>
        </w:tc>
      </w:tr>
      <w:tr w:rsidR="007D706A" w14:paraId="2202875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AB59BF9" w14:textId="77777777" w:rsidR="007D706A" w:rsidRDefault="007D706A" w:rsidP="00F70508">
            <w:pPr>
              <w:pStyle w:val="ParagraphStyle10"/>
              <w:rPr>
                <w:rStyle w:val="CharacterStyle10"/>
              </w:rPr>
            </w:pPr>
            <w:r>
              <w:rPr>
                <w:rStyle w:val="CharacterStyle10"/>
              </w:rPr>
              <w:t>41</w:t>
            </w:r>
          </w:p>
        </w:tc>
        <w:tc>
          <w:tcPr>
            <w:tcW w:w="4995" w:type="dxa"/>
            <w:tcBorders>
              <w:bottom w:val="single" w:sz="6" w:space="0" w:color="000000"/>
              <w:right w:val="single" w:sz="6" w:space="0" w:color="000000"/>
            </w:tcBorders>
            <w:vAlign w:val="center"/>
          </w:tcPr>
          <w:p w14:paraId="642D6D02" w14:textId="77777777" w:rsidR="007D706A" w:rsidRDefault="007D706A" w:rsidP="00F70508">
            <w:pPr>
              <w:pStyle w:val="ParagraphStyle11"/>
              <w:rPr>
                <w:rStyle w:val="CharacterStyle11"/>
              </w:rPr>
            </w:pPr>
            <w:r>
              <w:rPr>
                <w:rStyle w:val="CharacterStyle11"/>
              </w:rPr>
              <w:t>Rashodi za nabavu neproizvedene dugotrajne imovine</w:t>
            </w:r>
          </w:p>
        </w:tc>
        <w:tc>
          <w:tcPr>
            <w:tcW w:w="1395" w:type="dxa"/>
            <w:tcBorders>
              <w:bottom w:val="single" w:sz="6" w:space="0" w:color="000000"/>
              <w:right w:val="single" w:sz="6" w:space="0" w:color="000000"/>
            </w:tcBorders>
            <w:vAlign w:val="center"/>
          </w:tcPr>
          <w:p w14:paraId="3DBBBF7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6AE0F7A" w14:textId="77777777" w:rsidR="007D706A" w:rsidRDefault="007D706A" w:rsidP="00F70508">
            <w:pPr>
              <w:pStyle w:val="ParagraphStyle12"/>
              <w:rPr>
                <w:rStyle w:val="CharacterStyle12"/>
              </w:rPr>
            </w:pPr>
            <w:r>
              <w:rPr>
                <w:rStyle w:val="CharacterStyle12"/>
              </w:rPr>
              <w:t>5.308,91</w:t>
            </w:r>
          </w:p>
        </w:tc>
        <w:tc>
          <w:tcPr>
            <w:tcW w:w="1395" w:type="dxa"/>
            <w:tcBorders>
              <w:bottom w:val="single" w:sz="6" w:space="0" w:color="000000"/>
              <w:right w:val="single" w:sz="6" w:space="0" w:color="000000"/>
            </w:tcBorders>
            <w:vAlign w:val="center"/>
          </w:tcPr>
          <w:p w14:paraId="3E9498D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5B7F13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CAE33B5" w14:textId="77777777" w:rsidR="007D706A" w:rsidRDefault="007D706A" w:rsidP="00F70508">
            <w:pPr>
              <w:pStyle w:val="ParagraphStyle12"/>
              <w:rPr>
                <w:rStyle w:val="CharacterStyle12"/>
              </w:rPr>
            </w:pPr>
            <w:r>
              <w:rPr>
                <w:rStyle w:val="CharacterStyle12"/>
              </w:rPr>
              <w:t>0,00</w:t>
            </w:r>
          </w:p>
        </w:tc>
      </w:tr>
      <w:tr w:rsidR="007D706A" w14:paraId="1B9EADD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60ECD40" w14:textId="77777777" w:rsidR="007D706A" w:rsidRDefault="007D706A" w:rsidP="00F70508">
            <w:pPr>
              <w:pStyle w:val="ParagraphStyle10"/>
              <w:rPr>
                <w:rStyle w:val="CharacterStyle10"/>
              </w:rPr>
            </w:pPr>
            <w:r>
              <w:rPr>
                <w:rStyle w:val="CharacterStyle10"/>
              </w:rPr>
              <w:t>42</w:t>
            </w:r>
          </w:p>
        </w:tc>
        <w:tc>
          <w:tcPr>
            <w:tcW w:w="4995" w:type="dxa"/>
            <w:tcBorders>
              <w:bottom w:val="single" w:sz="6" w:space="0" w:color="000000"/>
              <w:right w:val="single" w:sz="6" w:space="0" w:color="000000"/>
            </w:tcBorders>
            <w:vAlign w:val="center"/>
          </w:tcPr>
          <w:p w14:paraId="10E4F661"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3ACCB0D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9A82A00" w14:textId="77777777" w:rsidR="007D706A" w:rsidRDefault="007D706A" w:rsidP="00F70508">
            <w:pPr>
              <w:pStyle w:val="ParagraphStyle12"/>
              <w:rPr>
                <w:rStyle w:val="CharacterStyle12"/>
              </w:rPr>
            </w:pPr>
            <w:r>
              <w:rPr>
                <w:rStyle w:val="CharacterStyle12"/>
              </w:rPr>
              <w:t>22.895,29</w:t>
            </w:r>
          </w:p>
        </w:tc>
        <w:tc>
          <w:tcPr>
            <w:tcW w:w="1395" w:type="dxa"/>
            <w:tcBorders>
              <w:bottom w:val="single" w:sz="6" w:space="0" w:color="000000"/>
              <w:right w:val="single" w:sz="6" w:space="0" w:color="000000"/>
            </w:tcBorders>
            <w:vAlign w:val="center"/>
          </w:tcPr>
          <w:p w14:paraId="2360274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AD0A4F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1566CF4" w14:textId="77777777" w:rsidR="007D706A" w:rsidRDefault="007D706A" w:rsidP="00F70508">
            <w:pPr>
              <w:pStyle w:val="ParagraphStyle12"/>
              <w:rPr>
                <w:rStyle w:val="CharacterStyle12"/>
              </w:rPr>
            </w:pPr>
            <w:r>
              <w:rPr>
                <w:rStyle w:val="CharacterStyle12"/>
              </w:rPr>
              <w:t>0,00</w:t>
            </w:r>
          </w:p>
        </w:tc>
      </w:tr>
      <w:tr w:rsidR="007D706A" w14:paraId="17990C7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17F41C2" w14:textId="77777777" w:rsidR="007D706A" w:rsidRDefault="007D706A" w:rsidP="00F70508">
            <w:pPr>
              <w:pStyle w:val="ParagraphStyle4"/>
              <w:rPr>
                <w:rStyle w:val="CharacterStyle4"/>
              </w:rPr>
            </w:pPr>
            <w:r>
              <w:rPr>
                <w:rStyle w:val="CharacterStyle4"/>
              </w:rPr>
              <w:t>PROGRAM    1050</w:t>
            </w:r>
          </w:p>
        </w:tc>
        <w:tc>
          <w:tcPr>
            <w:tcW w:w="4995" w:type="dxa"/>
            <w:tcBorders>
              <w:bottom w:val="single" w:sz="6" w:space="0" w:color="000000"/>
              <w:right w:val="single" w:sz="6" w:space="0" w:color="000000"/>
            </w:tcBorders>
            <w:vAlign w:val="center"/>
          </w:tcPr>
          <w:p w14:paraId="7A0A7B9A" w14:textId="77777777" w:rsidR="007D706A" w:rsidRDefault="007D706A" w:rsidP="00F70508">
            <w:pPr>
              <w:pStyle w:val="ParagraphStyle5"/>
              <w:rPr>
                <w:rStyle w:val="CharacterStyle5"/>
              </w:rPr>
            </w:pPr>
            <w:r>
              <w:rPr>
                <w:rStyle w:val="CharacterStyle5"/>
              </w:rPr>
              <w:t>DIGITALIZACIJA POSLOVANJA GRADSKE UPRAVE</w:t>
            </w:r>
          </w:p>
        </w:tc>
        <w:tc>
          <w:tcPr>
            <w:tcW w:w="1395" w:type="dxa"/>
            <w:tcBorders>
              <w:bottom w:val="single" w:sz="6" w:space="0" w:color="000000"/>
              <w:right w:val="single" w:sz="6" w:space="0" w:color="000000"/>
            </w:tcBorders>
            <w:vAlign w:val="center"/>
          </w:tcPr>
          <w:p w14:paraId="7F34B1C3"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2394788F" w14:textId="77777777" w:rsidR="007D706A" w:rsidRDefault="007D706A" w:rsidP="00F70508">
            <w:pPr>
              <w:pStyle w:val="ParagraphStyle6"/>
              <w:rPr>
                <w:rStyle w:val="CharacterStyle6"/>
              </w:rPr>
            </w:pPr>
            <w:r>
              <w:rPr>
                <w:rStyle w:val="CharacterStyle6"/>
              </w:rPr>
              <w:t>20.000,00</w:t>
            </w:r>
          </w:p>
        </w:tc>
        <w:tc>
          <w:tcPr>
            <w:tcW w:w="1395" w:type="dxa"/>
            <w:tcBorders>
              <w:bottom w:val="single" w:sz="6" w:space="0" w:color="000000"/>
              <w:right w:val="single" w:sz="6" w:space="0" w:color="000000"/>
            </w:tcBorders>
            <w:vAlign w:val="center"/>
          </w:tcPr>
          <w:p w14:paraId="11E1BD06" w14:textId="77777777" w:rsidR="007D706A" w:rsidRDefault="007D706A" w:rsidP="00F70508">
            <w:pPr>
              <w:pStyle w:val="ParagraphStyle6"/>
              <w:rPr>
                <w:rStyle w:val="CharacterStyle6"/>
              </w:rPr>
            </w:pPr>
            <w:r>
              <w:rPr>
                <w:rStyle w:val="CharacterStyle6"/>
              </w:rPr>
              <w:t>20.000,00</w:t>
            </w:r>
          </w:p>
        </w:tc>
        <w:tc>
          <w:tcPr>
            <w:tcW w:w="1395" w:type="dxa"/>
            <w:tcBorders>
              <w:bottom w:val="single" w:sz="6" w:space="0" w:color="000000"/>
              <w:right w:val="single" w:sz="6" w:space="0" w:color="000000"/>
            </w:tcBorders>
            <w:vAlign w:val="center"/>
          </w:tcPr>
          <w:p w14:paraId="1C1D5610" w14:textId="77777777" w:rsidR="007D706A" w:rsidRDefault="007D706A" w:rsidP="00F70508">
            <w:pPr>
              <w:pStyle w:val="ParagraphStyle6"/>
              <w:rPr>
                <w:rStyle w:val="CharacterStyle6"/>
              </w:rPr>
            </w:pPr>
            <w:r>
              <w:rPr>
                <w:rStyle w:val="CharacterStyle6"/>
              </w:rPr>
              <w:t>22.000,00</w:t>
            </w:r>
          </w:p>
        </w:tc>
        <w:tc>
          <w:tcPr>
            <w:tcW w:w="1395" w:type="dxa"/>
            <w:tcBorders>
              <w:bottom w:val="single" w:sz="6" w:space="0" w:color="000000"/>
              <w:right w:val="single" w:sz="6" w:space="0" w:color="000000"/>
            </w:tcBorders>
            <w:vAlign w:val="center"/>
          </w:tcPr>
          <w:p w14:paraId="2C7B7736" w14:textId="77777777" w:rsidR="007D706A" w:rsidRDefault="007D706A" w:rsidP="00F70508">
            <w:pPr>
              <w:pStyle w:val="ParagraphStyle6"/>
              <w:rPr>
                <w:rStyle w:val="CharacterStyle6"/>
              </w:rPr>
            </w:pPr>
            <w:r>
              <w:rPr>
                <w:rStyle w:val="CharacterStyle6"/>
              </w:rPr>
              <w:t>23.000,00</w:t>
            </w:r>
          </w:p>
        </w:tc>
      </w:tr>
      <w:tr w:rsidR="007D706A" w14:paraId="063CFDB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57FED65" w14:textId="77777777" w:rsidR="007D706A" w:rsidRDefault="007D706A" w:rsidP="00F70508">
            <w:pPr>
              <w:pStyle w:val="ParagraphStyle4"/>
              <w:rPr>
                <w:rStyle w:val="CharacterStyle4"/>
              </w:rPr>
            </w:pPr>
            <w:r>
              <w:rPr>
                <w:rStyle w:val="CharacterStyle4"/>
              </w:rPr>
              <w:t>Tekući projekt T105002</w:t>
            </w:r>
          </w:p>
        </w:tc>
        <w:tc>
          <w:tcPr>
            <w:tcW w:w="4995" w:type="dxa"/>
            <w:tcBorders>
              <w:bottom w:val="single" w:sz="6" w:space="0" w:color="000000"/>
              <w:right w:val="single" w:sz="6" w:space="0" w:color="000000"/>
            </w:tcBorders>
            <w:vAlign w:val="center"/>
          </w:tcPr>
          <w:p w14:paraId="77C3366C" w14:textId="77777777" w:rsidR="007D706A" w:rsidRDefault="007D706A" w:rsidP="00F70508">
            <w:pPr>
              <w:pStyle w:val="ParagraphStyle5"/>
              <w:rPr>
                <w:rStyle w:val="CharacterStyle5"/>
              </w:rPr>
            </w:pPr>
            <w:r>
              <w:rPr>
                <w:rStyle w:val="CharacterStyle5"/>
              </w:rPr>
              <w:t>PROJEKT "ROVINJ-ROVIGNO DIRECT"</w:t>
            </w:r>
          </w:p>
        </w:tc>
        <w:tc>
          <w:tcPr>
            <w:tcW w:w="1395" w:type="dxa"/>
            <w:tcBorders>
              <w:bottom w:val="single" w:sz="6" w:space="0" w:color="000000"/>
              <w:right w:val="single" w:sz="6" w:space="0" w:color="000000"/>
            </w:tcBorders>
            <w:vAlign w:val="center"/>
          </w:tcPr>
          <w:p w14:paraId="170BBB4F"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381D72BB" w14:textId="77777777" w:rsidR="007D706A" w:rsidRDefault="007D706A" w:rsidP="00F70508">
            <w:pPr>
              <w:pStyle w:val="ParagraphStyle6"/>
              <w:rPr>
                <w:rStyle w:val="CharacterStyle6"/>
              </w:rPr>
            </w:pPr>
            <w:r>
              <w:rPr>
                <w:rStyle w:val="CharacterStyle6"/>
              </w:rPr>
              <w:t>20.000,00</w:t>
            </w:r>
          </w:p>
        </w:tc>
        <w:tc>
          <w:tcPr>
            <w:tcW w:w="1395" w:type="dxa"/>
            <w:tcBorders>
              <w:bottom w:val="single" w:sz="6" w:space="0" w:color="000000"/>
              <w:right w:val="single" w:sz="6" w:space="0" w:color="000000"/>
            </w:tcBorders>
            <w:vAlign w:val="center"/>
          </w:tcPr>
          <w:p w14:paraId="5CC75024" w14:textId="77777777" w:rsidR="007D706A" w:rsidRDefault="007D706A" w:rsidP="00F70508">
            <w:pPr>
              <w:pStyle w:val="ParagraphStyle6"/>
              <w:rPr>
                <w:rStyle w:val="CharacterStyle6"/>
              </w:rPr>
            </w:pPr>
            <w:r>
              <w:rPr>
                <w:rStyle w:val="CharacterStyle6"/>
              </w:rPr>
              <w:t>20.000,00</w:t>
            </w:r>
          </w:p>
        </w:tc>
        <w:tc>
          <w:tcPr>
            <w:tcW w:w="1395" w:type="dxa"/>
            <w:tcBorders>
              <w:bottom w:val="single" w:sz="6" w:space="0" w:color="000000"/>
              <w:right w:val="single" w:sz="6" w:space="0" w:color="000000"/>
            </w:tcBorders>
            <w:vAlign w:val="center"/>
          </w:tcPr>
          <w:p w14:paraId="655A579B" w14:textId="77777777" w:rsidR="007D706A" w:rsidRDefault="007D706A" w:rsidP="00F70508">
            <w:pPr>
              <w:pStyle w:val="ParagraphStyle6"/>
              <w:rPr>
                <w:rStyle w:val="CharacterStyle6"/>
              </w:rPr>
            </w:pPr>
            <w:r>
              <w:rPr>
                <w:rStyle w:val="CharacterStyle6"/>
              </w:rPr>
              <w:t>22.000,00</w:t>
            </w:r>
          </w:p>
        </w:tc>
        <w:tc>
          <w:tcPr>
            <w:tcW w:w="1395" w:type="dxa"/>
            <w:tcBorders>
              <w:bottom w:val="single" w:sz="6" w:space="0" w:color="000000"/>
              <w:right w:val="single" w:sz="6" w:space="0" w:color="000000"/>
            </w:tcBorders>
            <w:vAlign w:val="center"/>
          </w:tcPr>
          <w:p w14:paraId="55DFD00A" w14:textId="77777777" w:rsidR="007D706A" w:rsidRDefault="007D706A" w:rsidP="00F70508">
            <w:pPr>
              <w:pStyle w:val="ParagraphStyle6"/>
              <w:rPr>
                <w:rStyle w:val="CharacterStyle6"/>
              </w:rPr>
            </w:pPr>
            <w:r>
              <w:rPr>
                <w:rStyle w:val="CharacterStyle6"/>
              </w:rPr>
              <w:t>23.000,00</w:t>
            </w:r>
          </w:p>
        </w:tc>
      </w:tr>
      <w:tr w:rsidR="007D706A" w14:paraId="7A0FBBB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CDDB5B5" w14:textId="77777777" w:rsidR="007D706A" w:rsidRDefault="007D706A" w:rsidP="00F70508">
            <w:pPr>
              <w:pStyle w:val="ParagraphStyle7"/>
              <w:rPr>
                <w:rStyle w:val="CharacterStyle7"/>
              </w:rPr>
            </w:pPr>
            <w:r>
              <w:rPr>
                <w:rStyle w:val="CharacterStyle7"/>
              </w:rPr>
              <w:lastRenderedPageBreak/>
              <w:t>Izvor financiranja 11</w:t>
            </w:r>
          </w:p>
        </w:tc>
        <w:tc>
          <w:tcPr>
            <w:tcW w:w="4995" w:type="dxa"/>
            <w:tcBorders>
              <w:bottom w:val="single" w:sz="6" w:space="0" w:color="000000"/>
              <w:right w:val="single" w:sz="6" w:space="0" w:color="000000"/>
            </w:tcBorders>
            <w:vAlign w:val="center"/>
          </w:tcPr>
          <w:p w14:paraId="1090E05C"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20FBE9CA"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B449EFB" w14:textId="77777777" w:rsidR="007D706A" w:rsidRDefault="007D706A" w:rsidP="00F70508">
            <w:pPr>
              <w:pStyle w:val="ParagraphStyle9"/>
              <w:rPr>
                <w:rStyle w:val="CharacterStyle9"/>
              </w:rPr>
            </w:pPr>
            <w:r>
              <w:rPr>
                <w:rStyle w:val="CharacterStyle9"/>
              </w:rPr>
              <w:t>20.000,00</w:t>
            </w:r>
          </w:p>
        </w:tc>
        <w:tc>
          <w:tcPr>
            <w:tcW w:w="1395" w:type="dxa"/>
            <w:tcBorders>
              <w:bottom w:val="single" w:sz="6" w:space="0" w:color="000000"/>
              <w:right w:val="single" w:sz="6" w:space="0" w:color="000000"/>
            </w:tcBorders>
            <w:vAlign w:val="center"/>
          </w:tcPr>
          <w:p w14:paraId="1293F0A8" w14:textId="77777777" w:rsidR="007D706A" w:rsidRDefault="007D706A" w:rsidP="00F70508">
            <w:pPr>
              <w:pStyle w:val="ParagraphStyle9"/>
              <w:rPr>
                <w:rStyle w:val="CharacterStyle9"/>
              </w:rPr>
            </w:pPr>
            <w:r>
              <w:rPr>
                <w:rStyle w:val="CharacterStyle9"/>
              </w:rPr>
              <w:t>20.000,00</w:t>
            </w:r>
          </w:p>
        </w:tc>
        <w:tc>
          <w:tcPr>
            <w:tcW w:w="1395" w:type="dxa"/>
            <w:tcBorders>
              <w:bottom w:val="single" w:sz="6" w:space="0" w:color="000000"/>
              <w:right w:val="single" w:sz="6" w:space="0" w:color="000000"/>
            </w:tcBorders>
            <w:vAlign w:val="center"/>
          </w:tcPr>
          <w:p w14:paraId="50841F0B" w14:textId="77777777" w:rsidR="007D706A" w:rsidRDefault="007D706A" w:rsidP="00F70508">
            <w:pPr>
              <w:pStyle w:val="ParagraphStyle9"/>
              <w:rPr>
                <w:rStyle w:val="CharacterStyle9"/>
              </w:rPr>
            </w:pPr>
            <w:r>
              <w:rPr>
                <w:rStyle w:val="CharacterStyle9"/>
              </w:rPr>
              <w:t>22.000,00</w:t>
            </w:r>
          </w:p>
        </w:tc>
        <w:tc>
          <w:tcPr>
            <w:tcW w:w="1395" w:type="dxa"/>
            <w:tcBorders>
              <w:bottom w:val="single" w:sz="6" w:space="0" w:color="000000"/>
              <w:right w:val="single" w:sz="6" w:space="0" w:color="000000"/>
            </w:tcBorders>
            <w:vAlign w:val="center"/>
          </w:tcPr>
          <w:p w14:paraId="77A7C3CE" w14:textId="77777777" w:rsidR="007D706A" w:rsidRDefault="007D706A" w:rsidP="00F70508">
            <w:pPr>
              <w:pStyle w:val="ParagraphStyle9"/>
              <w:rPr>
                <w:rStyle w:val="CharacterStyle9"/>
              </w:rPr>
            </w:pPr>
            <w:r>
              <w:rPr>
                <w:rStyle w:val="CharacterStyle9"/>
              </w:rPr>
              <w:t>23.000,00</w:t>
            </w:r>
          </w:p>
        </w:tc>
      </w:tr>
      <w:tr w:rsidR="007D706A" w14:paraId="74B7566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8A1E58D"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05F02C5E"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69E2B2F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8F89D00" w14:textId="77777777" w:rsidR="007D706A" w:rsidRDefault="007D706A" w:rsidP="00F70508">
            <w:pPr>
              <w:pStyle w:val="ParagraphStyle12"/>
              <w:rPr>
                <w:rStyle w:val="CharacterStyle12"/>
              </w:rPr>
            </w:pPr>
            <w:r>
              <w:rPr>
                <w:rStyle w:val="CharacterStyle12"/>
              </w:rPr>
              <w:t>10.000,00</w:t>
            </w:r>
          </w:p>
        </w:tc>
        <w:tc>
          <w:tcPr>
            <w:tcW w:w="1395" w:type="dxa"/>
            <w:tcBorders>
              <w:bottom w:val="single" w:sz="6" w:space="0" w:color="000000"/>
              <w:right w:val="single" w:sz="6" w:space="0" w:color="000000"/>
            </w:tcBorders>
            <w:vAlign w:val="center"/>
          </w:tcPr>
          <w:p w14:paraId="34ABD8BA" w14:textId="77777777" w:rsidR="007D706A" w:rsidRDefault="007D706A" w:rsidP="00F70508">
            <w:pPr>
              <w:pStyle w:val="ParagraphStyle12"/>
              <w:rPr>
                <w:rStyle w:val="CharacterStyle12"/>
              </w:rPr>
            </w:pPr>
            <w:r>
              <w:rPr>
                <w:rStyle w:val="CharacterStyle12"/>
              </w:rPr>
              <w:t>10.000,00</w:t>
            </w:r>
          </w:p>
        </w:tc>
        <w:tc>
          <w:tcPr>
            <w:tcW w:w="1395" w:type="dxa"/>
            <w:tcBorders>
              <w:bottom w:val="single" w:sz="6" w:space="0" w:color="000000"/>
              <w:right w:val="single" w:sz="6" w:space="0" w:color="000000"/>
            </w:tcBorders>
            <w:vAlign w:val="center"/>
          </w:tcPr>
          <w:p w14:paraId="3FA6153D" w14:textId="77777777" w:rsidR="007D706A" w:rsidRDefault="007D706A" w:rsidP="00F70508">
            <w:pPr>
              <w:pStyle w:val="ParagraphStyle12"/>
              <w:rPr>
                <w:rStyle w:val="CharacterStyle12"/>
              </w:rPr>
            </w:pPr>
            <w:r>
              <w:rPr>
                <w:rStyle w:val="CharacterStyle12"/>
              </w:rPr>
              <w:t>11.000,00</w:t>
            </w:r>
          </w:p>
        </w:tc>
        <w:tc>
          <w:tcPr>
            <w:tcW w:w="1395" w:type="dxa"/>
            <w:tcBorders>
              <w:bottom w:val="single" w:sz="6" w:space="0" w:color="000000"/>
              <w:right w:val="single" w:sz="6" w:space="0" w:color="000000"/>
            </w:tcBorders>
            <w:vAlign w:val="center"/>
          </w:tcPr>
          <w:p w14:paraId="61898B71" w14:textId="77777777" w:rsidR="007D706A" w:rsidRDefault="007D706A" w:rsidP="00F70508">
            <w:pPr>
              <w:pStyle w:val="ParagraphStyle12"/>
              <w:rPr>
                <w:rStyle w:val="CharacterStyle12"/>
              </w:rPr>
            </w:pPr>
            <w:r>
              <w:rPr>
                <w:rStyle w:val="CharacterStyle12"/>
              </w:rPr>
              <w:t>11.500,00</w:t>
            </w:r>
          </w:p>
        </w:tc>
      </w:tr>
      <w:tr w:rsidR="007D706A" w14:paraId="7470021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87B6E69"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724791AD"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3EAC8A6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C45F192" w14:textId="77777777" w:rsidR="007D706A" w:rsidRDefault="007D706A" w:rsidP="00F70508">
            <w:pPr>
              <w:pStyle w:val="ParagraphStyle12"/>
              <w:rPr>
                <w:rStyle w:val="CharacterStyle12"/>
              </w:rPr>
            </w:pPr>
            <w:r>
              <w:rPr>
                <w:rStyle w:val="CharacterStyle12"/>
              </w:rPr>
              <w:t>10.000,00</w:t>
            </w:r>
          </w:p>
        </w:tc>
        <w:tc>
          <w:tcPr>
            <w:tcW w:w="1395" w:type="dxa"/>
            <w:tcBorders>
              <w:bottom w:val="single" w:sz="6" w:space="0" w:color="000000"/>
              <w:right w:val="single" w:sz="6" w:space="0" w:color="000000"/>
            </w:tcBorders>
            <w:vAlign w:val="center"/>
          </w:tcPr>
          <w:p w14:paraId="225166AD" w14:textId="77777777" w:rsidR="007D706A" w:rsidRDefault="007D706A" w:rsidP="00F70508">
            <w:pPr>
              <w:pStyle w:val="ParagraphStyle12"/>
              <w:rPr>
                <w:rStyle w:val="CharacterStyle12"/>
              </w:rPr>
            </w:pPr>
            <w:r>
              <w:rPr>
                <w:rStyle w:val="CharacterStyle12"/>
              </w:rPr>
              <w:t>10.000,00</w:t>
            </w:r>
          </w:p>
        </w:tc>
        <w:tc>
          <w:tcPr>
            <w:tcW w:w="1395" w:type="dxa"/>
            <w:tcBorders>
              <w:bottom w:val="single" w:sz="6" w:space="0" w:color="000000"/>
              <w:right w:val="single" w:sz="6" w:space="0" w:color="000000"/>
            </w:tcBorders>
            <w:vAlign w:val="center"/>
          </w:tcPr>
          <w:p w14:paraId="27DCBF69" w14:textId="77777777" w:rsidR="007D706A" w:rsidRDefault="007D706A" w:rsidP="00F70508">
            <w:pPr>
              <w:pStyle w:val="ParagraphStyle12"/>
              <w:rPr>
                <w:rStyle w:val="CharacterStyle12"/>
              </w:rPr>
            </w:pPr>
            <w:r>
              <w:rPr>
                <w:rStyle w:val="CharacterStyle12"/>
              </w:rPr>
              <w:t>11.000,00</w:t>
            </w:r>
          </w:p>
        </w:tc>
        <w:tc>
          <w:tcPr>
            <w:tcW w:w="1395" w:type="dxa"/>
            <w:tcBorders>
              <w:bottom w:val="single" w:sz="6" w:space="0" w:color="000000"/>
              <w:right w:val="single" w:sz="6" w:space="0" w:color="000000"/>
            </w:tcBorders>
            <w:vAlign w:val="center"/>
          </w:tcPr>
          <w:p w14:paraId="5AA7DA56" w14:textId="77777777" w:rsidR="007D706A" w:rsidRDefault="007D706A" w:rsidP="00F70508">
            <w:pPr>
              <w:pStyle w:val="ParagraphStyle12"/>
              <w:rPr>
                <w:rStyle w:val="CharacterStyle12"/>
              </w:rPr>
            </w:pPr>
            <w:r>
              <w:rPr>
                <w:rStyle w:val="CharacterStyle12"/>
              </w:rPr>
              <w:t>11.500,00</w:t>
            </w:r>
          </w:p>
        </w:tc>
      </w:tr>
      <w:tr w:rsidR="007D706A" w14:paraId="6FA2D94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80DE975"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18C1D598"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5F2BE28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19DA192" w14:textId="77777777" w:rsidR="007D706A" w:rsidRDefault="007D706A" w:rsidP="00F70508">
            <w:pPr>
              <w:pStyle w:val="ParagraphStyle12"/>
              <w:rPr>
                <w:rStyle w:val="CharacterStyle12"/>
              </w:rPr>
            </w:pPr>
            <w:r>
              <w:rPr>
                <w:rStyle w:val="CharacterStyle12"/>
              </w:rPr>
              <w:t>10.000,00</w:t>
            </w:r>
          </w:p>
        </w:tc>
        <w:tc>
          <w:tcPr>
            <w:tcW w:w="1395" w:type="dxa"/>
            <w:tcBorders>
              <w:bottom w:val="single" w:sz="6" w:space="0" w:color="000000"/>
              <w:right w:val="single" w:sz="6" w:space="0" w:color="000000"/>
            </w:tcBorders>
            <w:vAlign w:val="center"/>
          </w:tcPr>
          <w:p w14:paraId="074C19B0" w14:textId="77777777" w:rsidR="007D706A" w:rsidRDefault="007D706A" w:rsidP="00F70508">
            <w:pPr>
              <w:pStyle w:val="ParagraphStyle12"/>
              <w:rPr>
                <w:rStyle w:val="CharacterStyle12"/>
              </w:rPr>
            </w:pPr>
            <w:r>
              <w:rPr>
                <w:rStyle w:val="CharacterStyle12"/>
              </w:rPr>
              <w:t>10.000,00</w:t>
            </w:r>
          </w:p>
        </w:tc>
        <w:tc>
          <w:tcPr>
            <w:tcW w:w="1395" w:type="dxa"/>
            <w:tcBorders>
              <w:bottom w:val="single" w:sz="6" w:space="0" w:color="000000"/>
              <w:right w:val="single" w:sz="6" w:space="0" w:color="000000"/>
            </w:tcBorders>
            <w:vAlign w:val="center"/>
          </w:tcPr>
          <w:p w14:paraId="0D821888" w14:textId="77777777" w:rsidR="007D706A" w:rsidRDefault="007D706A" w:rsidP="00F70508">
            <w:pPr>
              <w:pStyle w:val="ParagraphStyle12"/>
              <w:rPr>
                <w:rStyle w:val="CharacterStyle12"/>
              </w:rPr>
            </w:pPr>
            <w:r>
              <w:rPr>
                <w:rStyle w:val="CharacterStyle12"/>
              </w:rPr>
              <w:t>11.000,00</w:t>
            </w:r>
          </w:p>
        </w:tc>
        <w:tc>
          <w:tcPr>
            <w:tcW w:w="1395" w:type="dxa"/>
            <w:tcBorders>
              <w:bottom w:val="single" w:sz="6" w:space="0" w:color="000000"/>
              <w:right w:val="single" w:sz="6" w:space="0" w:color="000000"/>
            </w:tcBorders>
            <w:vAlign w:val="center"/>
          </w:tcPr>
          <w:p w14:paraId="52F3D799" w14:textId="77777777" w:rsidR="007D706A" w:rsidRDefault="007D706A" w:rsidP="00F70508">
            <w:pPr>
              <w:pStyle w:val="ParagraphStyle12"/>
              <w:rPr>
                <w:rStyle w:val="CharacterStyle12"/>
              </w:rPr>
            </w:pPr>
            <w:r>
              <w:rPr>
                <w:rStyle w:val="CharacterStyle12"/>
              </w:rPr>
              <w:t>11.500,00</w:t>
            </w:r>
          </w:p>
        </w:tc>
      </w:tr>
      <w:tr w:rsidR="007D706A" w14:paraId="41CCC72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5766AAF" w14:textId="77777777" w:rsidR="007D706A" w:rsidRDefault="007D706A" w:rsidP="00F70508">
            <w:pPr>
              <w:pStyle w:val="ParagraphStyle10"/>
              <w:rPr>
                <w:rStyle w:val="CharacterStyle10"/>
              </w:rPr>
            </w:pPr>
            <w:r>
              <w:rPr>
                <w:rStyle w:val="CharacterStyle10"/>
              </w:rPr>
              <w:t>42</w:t>
            </w:r>
          </w:p>
        </w:tc>
        <w:tc>
          <w:tcPr>
            <w:tcW w:w="4995" w:type="dxa"/>
            <w:tcBorders>
              <w:bottom w:val="single" w:sz="6" w:space="0" w:color="000000"/>
              <w:right w:val="single" w:sz="6" w:space="0" w:color="000000"/>
            </w:tcBorders>
            <w:vAlign w:val="center"/>
          </w:tcPr>
          <w:p w14:paraId="3AE79903"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61E5CEF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841F9DA" w14:textId="77777777" w:rsidR="007D706A" w:rsidRDefault="007D706A" w:rsidP="00F70508">
            <w:pPr>
              <w:pStyle w:val="ParagraphStyle12"/>
              <w:rPr>
                <w:rStyle w:val="CharacterStyle12"/>
              </w:rPr>
            </w:pPr>
            <w:r>
              <w:rPr>
                <w:rStyle w:val="CharacterStyle12"/>
              </w:rPr>
              <w:t>10.000,00</w:t>
            </w:r>
          </w:p>
        </w:tc>
        <w:tc>
          <w:tcPr>
            <w:tcW w:w="1395" w:type="dxa"/>
            <w:tcBorders>
              <w:bottom w:val="single" w:sz="6" w:space="0" w:color="000000"/>
              <w:right w:val="single" w:sz="6" w:space="0" w:color="000000"/>
            </w:tcBorders>
            <w:vAlign w:val="center"/>
          </w:tcPr>
          <w:p w14:paraId="261B0068" w14:textId="77777777" w:rsidR="007D706A" w:rsidRDefault="007D706A" w:rsidP="00F70508">
            <w:pPr>
              <w:pStyle w:val="ParagraphStyle12"/>
              <w:rPr>
                <w:rStyle w:val="CharacterStyle12"/>
              </w:rPr>
            </w:pPr>
            <w:r>
              <w:rPr>
                <w:rStyle w:val="CharacterStyle12"/>
              </w:rPr>
              <w:t>10.000,00</w:t>
            </w:r>
          </w:p>
        </w:tc>
        <w:tc>
          <w:tcPr>
            <w:tcW w:w="1395" w:type="dxa"/>
            <w:tcBorders>
              <w:bottom w:val="single" w:sz="6" w:space="0" w:color="000000"/>
              <w:right w:val="single" w:sz="6" w:space="0" w:color="000000"/>
            </w:tcBorders>
            <w:vAlign w:val="center"/>
          </w:tcPr>
          <w:p w14:paraId="74EB51F2" w14:textId="77777777" w:rsidR="007D706A" w:rsidRDefault="007D706A" w:rsidP="00F70508">
            <w:pPr>
              <w:pStyle w:val="ParagraphStyle12"/>
              <w:rPr>
                <w:rStyle w:val="CharacterStyle12"/>
              </w:rPr>
            </w:pPr>
            <w:r>
              <w:rPr>
                <w:rStyle w:val="CharacterStyle12"/>
              </w:rPr>
              <w:t>11.000,00</w:t>
            </w:r>
          </w:p>
        </w:tc>
        <w:tc>
          <w:tcPr>
            <w:tcW w:w="1395" w:type="dxa"/>
            <w:tcBorders>
              <w:bottom w:val="single" w:sz="6" w:space="0" w:color="000000"/>
              <w:right w:val="single" w:sz="6" w:space="0" w:color="000000"/>
            </w:tcBorders>
            <w:vAlign w:val="center"/>
          </w:tcPr>
          <w:p w14:paraId="02B3ABA7" w14:textId="77777777" w:rsidR="007D706A" w:rsidRDefault="007D706A" w:rsidP="00F70508">
            <w:pPr>
              <w:pStyle w:val="ParagraphStyle12"/>
              <w:rPr>
                <w:rStyle w:val="CharacterStyle12"/>
              </w:rPr>
            </w:pPr>
            <w:r>
              <w:rPr>
                <w:rStyle w:val="CharacterStyle12"/>
              </w:rPr>
              <w:t>11.500,00</w:t>
            </w:r>
          </w:p>
        </w:tc>
      </w:tr>
      <w:tr w:rsidR="007D706A" w14:paraId="5104F686"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8015127" w14:textId="77777777" w:rsidR="007D706A" w:rsidRDefault="007D706A" w:rsidP="00F70508">
            <w:pPr>
              <w:pStyle w:val="ParagraphStyle4"/>
              <w:rPr>
                <w:rStyle w:val="CharacterStyle4"/>
              </w:rPr>
            </w:pPr>
            <w:r>
              <w:rPr>
                <w:rStyle w:val="CharacterStyle4"/>
              </w:rPr>
              <w:t>PROGRAM    1041</w:t>
            </w:r>
          </w:p>
        </w:tc>
        <w:tc>
          <w:tcPr>
            <w:tcW w:w="4995" w:type="dxa"/>
            <w:tcBorders>
              <w:bottom w:val="single" w:sz="6" w:space="0" w:color="000000"/>
              <w:right w:val="single" w:sz="6" w:space="0" w:color="000000"/>
            </w:tcBorders>
            <w:vAlign w:val="center"/>
          </w:tcPr>
          <w:p w14:paraId="15932D2C" w14:textId="77777777" w:rsidR="007D706A" w:rsidRDefault="007D706A" w:rsidP="00F70508">
            <w:pPr>
              <w:pStyle w:val="ParagraphStyle5"/>
              <w:rPr>
                <w:rStyle w:val="CharacterStyle5"/>
              </w:rPr>
            </w:pPr>
            <w:r>
              <w:rPr>
                <w:rStyle w:val="CharacterStyle5"/>
              </w:rPr>
              <w:t>SIGURNOST ZAJEDNICE</w:t>
            </w:r>
          </w:p>
        </w:tc>
        <w:tc>
          <w:tcPr>
            <w:tcW w:w="1395" w:type="dxa"/>
            <w:tcBorders>
              <w:bottom w:val="single" w:sz="6" w:space="0" w:color="000000"/>
              <w:right w:val="single" w:sz="6" w:space="0" w:color="000000"/>
            </w:tcBorders>
            <w:vAlign w:val="center"/>
          </w:tcPr>
          <w:p w14:paraId="4A38A8F5"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7AB68CC7" w14:textId="77777777" w:rsidR="007D706A" w:rsidRDefault="007D706A" w:rsidP="00F70508">
            <w:pPr>
              <w:pStyle w:val="ParagraphStyle6"/>
              <w:rPr>
                <w:rStyle w:val="CharacterStyle6"/>
              </w:rPr>
            </w:pPr>
            <w:r>
              <w:rPr>
                <w:rStyle w:val="CharacterStyle6"/>
              </w:rPr>
              <w:t>7.965,00</w:t>
            </w:r>
          </w:p>
        </w:tc>
        <w:tc>
          <w:tcPr>
            <w:tcW w:w="1395" w:type="dxa"/>
            <w:tcBorders>
              <w:bottom w:val="single" w:sz="6" w:space="0" w:color="000000"/>
              <w:right w:val="single" w:sz="6" w:space="0" w:color="000000"/>
            </w:tcBorders>
            <w:vAlign w:val="center"/>
          </w:tcPr>
          <w:p w14:paraId="48439CF6" w14:textId="77777777" w:rsidR="007D706A" w:rsidRDefault="007D706A" w:rsidP="00F70508">
            <w:pPr>
              <w:pStyle w:val="ParagraphStyle6"/>
              <w:rPr>
                <w:rStyle w:val="CharacterStyle6"/>
              </w:rPr>
            </w:pPr>
            <w:r>
              <w:rPr>
                <w:rStyle w:val="CharacterStyle6"/>
              </w:rPr>
              <w:t>7.965,00</w:t>
            </w:r>
          </w:p>
        </w:tc>
        <w:tc>
          <w:tcPr>
            <w:tcW w:w="1395" w:type="dxa"/>
            <w:tcBorders>
              <w:bottom w:val="single" w:sz="6" w:space="0" w:color="000000"/>
              <w:right w:val="single" w:sz="6" w:space="0" w:color="000000"/>
            </w:tcBorders>
            <w:vAlign w:val="center"/>
          </w:tcPr>
          <w:p w14:paraId="64E96E25" w14:textId="77777777" w:rsidR="007D706A" w:rsidRDefault="007D706A" w:rsidP="00F70508">
            <w:pPr>
              <w:pStyle w:val="ParagraphStyle6"/>
              <w:rPr>
                <w:rStyle w:val="CharacterStyle6"/>
              </w:rPr>
            </w:pPr>
            <w:r>
              <w:rPr>
                <w:rStyle w:val="CharacterStyle6"/>
              </w:rPr>
              <w:t>8.000,00</w:t>
            </w:r>
          </w:p>
        </w:tc>
        <w:tc>
          <w:tcPr>
            <w:tcW w:w="1395" w:type="dxa"/>
            <w:tcBorders>
              <w:bottom w:val="single" w:sz="6" w:space="0" w:color="000000"/>
              <w:right w:val="single" w:sz="6" w:space="0" w:color="000000"/>
            </w:tcBorders>
            <w:vAlign w:val="center"/>
          </w:tcPr>
          <w:p w14:paraId="6A33670B" w14:textId="77777777" w:rsidR="007D706A" w:rsidRDefault="007D706A" w:rsidP="00F70508">
            <w:pPr>
              <w:pStyle w:val="ParagraphStyle6"/>
              <w:rPr>
                <w:rStyle w:val="CharacterStyle6"/>
              </w:rPr>
            </w:pPr>
            <w:r>
              <w:rPr>
                <w:rStyle w:val="CharacterStyle6"/>
              </w:rPr>
              <w:t>8.000,00</w:t>
            </w:r>
          </w:p>
        </w:tc>
      </w:tr>
      <w:tr w:rsidR="007D706A" w14:paraId="6F490D7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672513D" w14:textId="77777777" w:rsidR="007D706A" w:rsidRDefault="007D706A" w:rsidP="00F70508">
            <w:pPr>
              <w:pStyle w:val="ParagraphStyle4"/>
              <w:rPr>
                <w:rStyle w:val="CharacterStyle4"/>
              </w:rPr>
            </w:pPr>
            <w:r>
              <w:rPr>
                <w:rStyle w:val="CharacterStyle4"/>
              </w:rPr>
              <w:t>Tekući projekt T104101</w:t>
            </w:r>
          </w:p>
        </w:tc>
        <w:tc>
          <w:tcPr>
            <w:tcW w:w="4995" w:type="dxa"/>
            <w:tcBorders>
              <w:bottom w:val="single" w:sz="6" w:space="0" w:color="000000"/>
              <w:right w:val="single" w:sz="6" w:space="0" w:color="000000"/>
            </w:tcBorders>
            <w:vAlign w:val="center"/>
          </w:tcPr>
          <w:p w14:paraId="2AA373D8" w14:textId="77777777" w:rsidR="007D706A" w:rsidRDefault="007D706A" w:rsidP="00F70508">
            <w:pPr>
              <w:pStyle w:val="ParagraphStyle5"/>
              <w:rPr>
                <w:rStyle w:val="CharacterStyle5"/>
              </w:rPr>
            </w:pPr>
            <w:r>
              <w:rPr>
                <w:rStyle w:val="CharacterStyle5"/>
              </w:rPr>
              <w:t>MUP RH</w:t>
            </w:r>
          </w:p>
        </w:tc>
        <w:tc>
          <w:tcPr>
            <w:tcW w:w="1395" w:type="dxa"/>
            <w:tcBorders>
              <w:bottom w:val="single" w:sz="6" w:space="0" w:color="000000"/>
              <w:right w:val="single" w:sz="6" w:space="0" w:color="000000"/>
            </w:tcBorders>
            <w:vAlign w:val="center"/>
          </w:tcPr>
          <w:p w14:paraId="5B9FE169"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1F975EF9" w14:textId="77777777" w:rsidR="007D706A" w:rsidRDefault="007D706A" w:rsidP="00F70508">
            <w:pPr>
              <w:pStyle w:val="ParagraphStyle6"/>
              <w:rPr>
                <w:rStyle w:val="CharacterStyle6"/>
              </w:rPr>
            </w:pPr>
            <w:r>
              <w:rPr>
                <w:rStyle w:val="CharacterStyle6"/>
              </w:rPr>
              <w:t>7.965,00</w:t>
            </w:r>
          </w:p>
        </w:tc>
        <w:tc>
          <w:tcPr>
            <w:tcW w:w="1395" w:type="dxa"/>
            <w:tcBorders>
              <w:bottom w:val="single" w:sz="6" w:space="0" w:color="000000"/>
              <w:right w:val="single" w:sz="6" w:space="0" w:color="000000"/>
            </w:tcBorders>
            <w:vAlign w:val="center"/>
          </w:tcPr>
          <w:p w14:paraId="0D234A88" w14:textId="77777777" w:rsidR="007D706A" w:rsidRDefault="007D706A" w:rsidP="00F70508">
            <w:pPr>
              <w:pStyle w:val="ParagraphStyle6"/>
              <w:rPr>
                <w:rStyle w:val="CharacterStyle6"/>
              </w:rPr>
            </w:pPr>
            <w:r>
              <w:rPr>
                <w:rStyle w:val="CharacterStyle6"/>
              </w:rPr>
              <w:t>7.965,00</w:t>
            </w:r>
          </w:p>
        </w:tc>
        <w:tc>
          <w:tcPr>
            <w:tcW w:w="1395" w:type="dxa"/>
            <w:tcBorders>
              <w:bottom w:val="single" w:sz="6" w:space="0" w:color="000000"/>
              <w:right w:val="single" w:sz="6" w:space="0" w:color="000000"/>
            </w:tcBorders>
            <w:vAlign w:val="center"/>
          </w:tcPr>
          <w:p w14:paraId="1DEEEF3E" w14:textId="77777777" w:rsidR="007D706A" w:rsidRDefault="007D706A" w:rsidP="00F70508">
            <w:pPr>
              <w:pStyle w:val="ParagraphStyle6"/>
              <w:rPr>
                <w:rStyle w:val="CharacterStyle6"/>
              </w:rPr>
            </w:pPr>
            <w:r>
              <w:rPr>
                <w:rStyle w:val="CharacterStyle6"/>
              </w:rPr>
              <w:t>8.000,00</w:t>
            </w:r>
          </w:p>
        </w:tc>
        <w:tc>
          <w:tcPr>
            <w:tcW w:w="1395" w:type="dxa"/>
            <w:tcBorders>
              <w:bottom w:val="single" w:sz="6" w:space="0" w:color="000000"/>
              <w:right w:val="single" w:sz="6" w:space="0" w:color="000000"/>
            </w:tcBorders>
            <w:vAlign w:val="center"/>
          </w:tcPr>
          <w:p w14:paraId="725CDAF6" w14:textId="77777777" w:rsidR="007D706A" w:rsidRDefault="007D706A" w:rsidP="00F70508">
            <w:pPr>
              <w:pStyle w:val="ParagraphStyle6"/>
              <w:rPr>
                <w:rStyle w:val="CharacterStyle6"/>
              </w:rPr>
            </w:pPr>
            <w:r>
              <w:rPr>
                <w:rStyle w:val="CharacterStyle6"/>
              </w:rPr>
              <w:t>8.000,00</w:t>
            </w:r>
          </w:p>
        </w:tc>
      </w:tr>
      <w:tr w:rsidR="007D706A" w14:paraId="43DE09F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096A968"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0EEDDB84"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560B1D89"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378EEA9" w14:textId="77777777" w:rsidR="007D706A" w:rsidRDefault="007D706A" w:rsidP="00F70508">
            <w:pPr>
              <w:pStyle w:val="ParagraphStyle9"/>
              <w:rPr>
                <w:rStyle w:val="CharacterStyle9"/>
              </w:rPr>
            </w:pPr>
            <w:r>
              <w:rPr>
                <w:rStyle w:val="CharacterStyle9"/>
              </w:rPr>
              <w:t>7.965,00</w:t>
            </w:r>
          </w:p>
        </w:tc>
        <w:tc>
          <w:tcPr>
            <w:tcW w:w="1395" w:type="dxa"/>
            <w:tcBorders>
              <w:bottom w:val="single" w:sz="6" w:space="0" w:color="000000"/>
              <w:right w:val="single" w:sz="6" w:space="0" w:color="000000"/>
            </w:tcBorders>
            <w:vAlign w:val="center"/>
          </w:tcPr>
          <w:p w14:paraId="51686D5C" w14:textId="77777777" w:rsidR="007D706A" w:rsidRDefault="007D706A" w:rsidP="00F70508">
            <w:pPr>
              <w:pStyle w:val="ParagraphStyle9"/>
              <w:rPr>
                <w:rStyle w:val="CharacterStyle9"/>
              </w:rPr>
            </w:pPr>
            <w:r>
              <w:rPr>
                <w:rStyle w:val="CharacterStyle9"/>
              </w:rPr>
              <w:t>7.965,00</w:t>
            </w:r>
          </w:p>
        </w:tc>
        <w:tc>
          <w:tcPr>
            <w:tcW w:w="1395" w:type="dxa"/>
            <w:tcBorders>
              <w:bottom w:val="single" w:sz="6" w:space="0" w:color="000000"/>
              <w:right w:val="single" w:sz="6" w:space="0" w:color="000000"/>
            </w:tcBorders>
            <w:vAlign w:val="center"/>
          </w:tcPr>
          <w:p w14:paraId="2E384375" w14:textId="77777777" w:rsidR="007D706A" w:rsidRDefault="007D706A" w:rsidP="00F70508">
            <w:pPr>
              <w:pStyle w:val="ParagraphStyle9"/>
              <w:rPr>
                <w:rStyle w:val="CharacterStyle9"/>
              </w:rPr>
            </w:pPr>
            <w:r>
              <w:rPr>
                <w:rStyle w:val="CharacterStyle9"/>
              </w:rPr>
              <w:t>8.000,00</w:t>
            </w:r>
          </w:p>
        </w:tc>
        <w:tc>
          <w:tcPr>
            <w:tcW w:w="1395" w:type="dxa"/>
            <w:tcBorders>
              <w:bottom w:val="single" w:sz="6" w:space="0" w:color="000000"/>
              <w:right w:val="single" w:sz="6" w:space="0" w:color="000000"/>
            </w:tcBorders>
            <w:vAlign w:val="center"/>
          </w:tcPr>
          <w:p w14:paraId="3F809B99" w14:textId="77777777" w:rsidR="007D706A" w:rsidRDefault="007D706A" w:rsidP="00F70508">
            <w:pPr>
              <w:pStyle w:val="ParagraphStyle9"/>
              <w:rPr>
                <w:rStyle w:val="CharacterStyle9"/>
              </w:rPr>
            </w:pPr>
            <w:r>
              <w:rPr>
                <w:rStyle w:val="CharacterStyle9"/>
              </w:rPr>
              <w:t>8.000,00</w:t>
            </w:r>
          </w:p>
        </w:tc>
      </w:tr>
      <w:tr w:rsidR="007D706A" w14:paraId="12F1076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831D460"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6AAD39D1"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12900A0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ADE699E" w14:textId="77777777" w:rsidR="007D706A" w:rsidRDefault="007D706A" w:rsidP="00F70508">
            <w:pPr>
              <w:pStyle w:val="ParagraphStyle12"/>
              <w:rPr>
                <w:rStyle w:val="CharacterStyle12"/>
              </w:rPr>
            </w:pPr>
            <w:r>
              <w:rPr>
                <w:rStyle w:val="CharacterStyle12"/>
              </w:rPr>
              <w:t>7.965,00</w:t>
            </w:r>
          </w:p>
        </w:tc>
        <w:tc>
          <w:tcPr>
            <w:tcW w:w="1395" w:type="dxa"/>
            <w:tcBorders>
              <w:bottom w:val="single" w:sz="6" w:space="0" w:color="000000"/>
              <w:right w:val="single" w:sz="6" w:space="0" w:color="000000"/>
            </w:tcBorders>
            <w:vAlign w:val="center"/>
          </w:tcPr>
          <w:p w14:paraId="0186A486" w14:textId="77777777" w:rsidR="007D706A" w:rsidRDefault="007D706A" w:rsidP="00F70508">
            <w:pPr>
              <w:pStyle w:val="ParagraphStyle12"/>
              <w:rPr>
                <w:rStyle w:val="CharacterStyle12"/>
              </w:rPr>
            </w:pPr>
            <w:r>
              <w:rPr>
                <w:rStyle w:val="CharacterStyle12"/>
              </w:rPr>
              <w:t>7.965,00</w:t>
            </w:r>
          </w:p>
        </w:tc>
        <w:tc>
          <w:tcPr>
            <w:tcW w:w="1395" w:type="dxa"/>
            <w:tcBorders>
              <w:bottom w:val="single" w:sz="6" w:space="0" w:color="000000"/>
              <w:right w:val="single" w:sz="6" w:space="0" w:color="000000"/>
            </w:tcBorders>
            <w:vAlign w:val="center"/>
          </w:tcPr>
          <w:p w14:paraId="25625F28" w14:textId="77777777" w:rsidR="007D706A" w:rsidRDefault="007D706A" w:rsidP="00F70508">
            <w:pPr>
              <w:pStyle w:val="ParagraphStyle12"/>
              <w:rPr>
                <w:rStyle w:val="CharacterStyle12"/>
              </w:rPr>
            </w:pPr>
            <w:r>
              <w:rPr>
                <w:rStyle w:val="CharacterStyle12"/>
              </w:rPr>
              <w:t>8.000,00</w:t>
            </w:r>
          </w:p>
        </w:tc>
        <w:tc>
          <w:tcPr>
            <w:tcW w:w="1395" w:type="dxa"/>
            <w:tcBorders>
              <w:bottom w:val="single" w:sz="6" w:space="0" w:color="000000"/>
              <w:right w:val="single" w:sz="6" w:space="0" w:color="000000"/>
            </w:tcBorders>
            <w:vAlign w:val="center"/>
          </w:tcPr>
          <w:p w14:paraId="49E93708" w14:textId="77777777" w:rsidR="007D706A" w:rsidRDefault="007D706A" w:rsidP="00F70508">
            <w:pPr>
              <w:pStyle w:val="ParagraphStyle12"/>
              <w:rPr>
                <w:rStyle w:val="CharacterStyle12"/>
              </w:rPr>
            </w:pPr>
            <w:r>
              <w:rPr>
                <w:rStyle w:val="CharacterStyle12"/>
              </w:rPr>
              <w:t>8.000,00</w:t>
            </w:r>
          </w:p>
        </w:tc>
      </w:tr>
      <w:tr w:rsidR="007D706A" w14:paraId="007697E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3B60CAE"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3A113844"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41A8665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46BD992" w14:textId="77777777" w:rsidR="007D706A" w:rsidRDefault="007D706A" w:rsidP="00F70508">
            <w:pPr>
              <w:pStyle w:val="ParagraphStyle12"/>
              <w:rPr>
                <w:rStyle w:val="CharacterStyle12"/>
              </w:rPr>
            </w:pPr>
            <w:r>
              <w:rPr>
                <w:rStyle w:val="CharacterStyle12"/>
              </w:rPr>
              <w:t>7.965,00</w:t>
            </w:r>
          </w:p>
        </w:tc>
        <w:tc>
          <w:tcPr>
            <w:tcW w:w="1395" w:type="dxa"/>
            <w:tcBorders>
              <w:bottom w:val="single" w:sz="6" w:space="0" w:color="000000"/>
              <w:right w:val="single" w:sz="6" w:space="0" w:color="000000"/>
            </w:tcBorders>
            <w:vAlign w:val="center"/>
          </w:tcPr>
          <w:p w14:paraId="6886A36F" w14:textId="77777777" w:rsidR="007D706A" w:rsidRDefault="007D706A" w:rsidP="00F70508">
            <w:pPr>
              <w:pStyle w:val="ParagraphStyle12"/>
              <w:rPr>
                <w:rStyle w:val="CharacterStyle12"/>
              </w:rPr>
            </w:pPr>
            <w:r>
              <w:rPr>
                <w:rStyle w:val="CharacterStyle12"/>
              </w:rPr>
              <w:t>7.965,00</w:t>
            </w:r>
          </w:p>
        </w:tc>
        <w:tc>
          <w:tcPr>
            <w:tcW w:w="1395" w:type="dxa"/>
            <w:tcBorders>
              <w:bottom w:val="single" w:sz="6" w:space="0" w:color="000000"/>
              <w:right w:val="single" w:sz="6" w:space="0" w:color="000000"/>
            </w:tcBorders>
            <w:vAlign w:val="center"/>
          </w:tcPr>
          <w:p w14:paraId="1038BAA9" w14:textId="77777777" w:rsidR="007D706A" w:rsidRDefault="007D706A" w:rsidP="00F70508">
            <w:pPr>
              <w:pStyle w:val="ParagraphStyle12"/>
              <w:rPr>
                <w:rStyle w:val="CharacterStyle12"/>
              </w:rPr>
            </w:pPr>
            <w:r>
              <w:rPr>
                <w:rStyle w:val="CharacterStyle12"/>
              </w:rPr>
              <w:t>8.000,00</w:t>
            </w:r>
          </w:p>
        </w:tc>
        <w:tc>
          <w:tcPr>
            <w:tcW w:w="1395" w:type="dxa"/>
            <w:tcBorders>
              <w:bottom w:val="single" w:sz="6" w:space="0" w:color="000000"/>
              <w:right w:val="single" w:sz="6" w:space="0" w:color="000000"/>
            </w:tcBorders>
            <w:vAlign w:val="center"/>
          </w:tcPr>
          <w:p w14:paraId="6B5D96FF" w14:textId="77777777" w:rsidR="007D706A" w:rsidRDefault="007D706A" w:rsidP="00F70508">
            <w:pPr>
              <w:pStyle w:val="ParagraphStyle12"/>
              <w:rPr>
                <w:rStyle w:val="CharacterStyle12"/>
              </w:rPr>
            </w:pPr>
            <w:r>
              <w:rPr>
                <w:rStyle w:val="CharacterStyle12"/>
              </w:rPr>
              <w:t>8.000,00</w:t>
            </w:r>
          </w:p>
        </w:tc>
      </w:tr>
      <w:tr w:rsidR="007D706A" w14:paraId="79AEE71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0AEDFC5" w14:textId="77777777" w:rsidR="007D706A" w:rsidRDefault="007D706A" w:rsidP="00F70508">
            <w:pPr>
              <w:pStyle w:val="ParagraphStyle4"/>
              <w:rPr>
                <w:rStyle w:val="CharacterStyle4"/>
              </w:rPr>
            </w:pPr>
            <w:r>
              <w:rPr>
                <w:rStyle w:val="CharacterStyle4"/>
              </w:rPr>
              <w:t>GLAVA    00104</w:t>
            </w:r>
          </w:p>
        </w:tc>
        <w:tc>
          <w:tcPr>
            <w:tcW w:w="4995" w:type="dxa"/>
            <w:tcBorders>
              <w:bottom w:val="single" w:sz="6" w:space="0" w:color="000000"/>
              <w:right w:val="single" w:sz="6" w:space="0" w:color="000000"/>
            </w:tcBorders>
            <w:vAlign w:val="center"/>
          </w:tcPr>
          <w:p w14:paraId="2FCB7AC2" w14:textId="77777777" w:rsidR="007D706A" w:rsidRDefault="007D706A" w:rsidP="00F70508">
            <w:pPr>
              <w:pStyle w:val="ParagraphStyle5"/>
              <w:rPr>
                <w:rStyle w:val="CharacterStyle5"/>
              </w:rPr>
            </w:pPr>
            <w:r>
              <w:rPr>
                <w:rStyle w:val="CharacterStyle5"/>
              </w:rPr>
              <w:t>VIJEĆA NACIONALNIH MANJINA</w:t>
            </w:r>
          </w:p>
        </w:tc>
        <w:tc>
          <w:tcPr>
            <w:tcW w:w="1395" w:type="dxa"/>
            <w:tcBorders>
              <w:bottom w:val="single" w:sz="6" w:space="0" w:color="000000"/>
              <w:right w:val="single" w:sz="6" w:space="0" w:color="000000"/>
            </w:tcBorders>
            <w:vAlign w:val="center"/>
          </w:tcPr>
          <w:p w14:paraId="2C3142E3"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78DFD335" w14:textId="77777777" w:rsidR="007D706A" w:rsidRDefault="007D706A" w:rsidP="00F70508">
            <w:pPr>
              <w:pStyle w:val="ParagraphStyle6"/>
              <w:rPr>
                <w:rStyle w:val="CharacterStyle6"/>
              </w:rPr>
            </w:pPr>
            <w:r>
              <w:rPr>
                <w:rStyle w:val="CharacterStyle6"/>
              </w:rPr>
              <w:t>11.100,00</w:t>
            </w:r>
          </w:p>
        </w:tc>
        <w:tc>
          <w:tcPr>
            <w:tcW w:w="1395" w:type="dxa"/>
            <w:tcBorders>
              <w:bottom w:val="single" w:sz="6" w:space="0" w:color="000000"/>
              <w:right w:val="single" w:sz="6" w:space="0" w:color="000000"/>
            </w:tcBorders>
            <w:vAlign w:val="center"/>
          </w:tcPr>
          <w:p w14:paraId="3DB682CD" w14:textId="77777777" w:rsidR="007D706A" w:rsidRDefault="007D706A" w:rsidP="00F70508">
            <w:pPr>
              <w:pStyle w:val="ParagraphStyle6"/>
              <w:rPr>
                <w:rStyle w:val="CharacterStyle6"/>
              </w:rPr>
            </w:pPr>
            <w:r>
              <w:rPr>
                <w:rStyle w:val="CharacterStyle6"/>
              </w:rPr>
              <w:t>7.935,00</w:t>
            </w:r>
          </w:p>
        </w:tc>
        <w:tc>
          <w:tcPr>
            <w:tcW w:w="1395" w:type="dxa"/>
            <w:tcBorders>
              <w:bottom w:val="single" w:sz="6" w:space="0" w:color="000000"/>
              <w:right w:val="single" w:sz="6" w:space="0" w:color="000000"/>
            </w:tcBorders>
            <w:vAlign w:val="center"/>
          </w:tcPr>
          <w:p w14:paraId="1DC4D7B4" w14:textId="77777777" w:rsidR="007D706A" w:rsidRDefault="007D706A" w:rsidP="00F70508">
            <w:pPr>
              <w:pStyle w:val="ParagraphStyle6"/>
              <w:rPr>
                <w:rStyle w:val="CharacterStyle6"/>
              </w:rPr>
            </w:pPr>
            <w:r>
              <w:rPr>
                <w:rStyle w:val="CharacterStyle6"/>
              </w:rPr>
              <w:t>11.400,00</w:t>
            </w:r>
          </w:p>
        </w:tc>
        <w:tc>
          <w:tcPr>
            <w:tcW w:w="1395" w:type="dxa"/>
            <w:tcBorders>
              <w:bottom w:val="single" w:sz="6" w:space="0" w:color="000000"/>
              <w:right w:val="single" w:sz="6" w:space="0" w:color="000000"/>
            </w:tcBorders>
            <w:vAlign w:val="center"/>
          </w:tcPr>
          <w:p w14:paraId="2393D714" w14:textId="77777777" w:rsidR="007D706A" w:rsidRDefault="007D706A" w:rsidP="00F70508">
            <w:pPr>
              <w:pStyle w:val="ParagraphStyle6"/>
              <w:rPr>
                <w:rStyle w:val="CharacterStyle6"/>
              </w:rPr>
            </w:pPr>
            <w:r>
              <w:rPr>
                <w:rStyle w:val="CharacterStyle6"/>
              </w:rPr>
              <w:t>12.000,00</w:t>
            </w:r>
          </w:p>
        </w:tc>
      </w:tr>
      <w:tr w:rsidR="007D706A" w14:paraId="2647E096"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5E357FC" w14:textId="77777777" w:rsidR="007D706A" w:rsidRDefault="007D706A" w:rsidP="00F70508">
            <w:pPr>
              <w:pStyle w:val="ParagraphStyle4"/>
              <w:rPr>
                <w:rStyle w:val="CharacterStyle4"/>
              </w:rPr>
            </w:pPr>
            <w:r>
              <w:rPr>
                <w:rStyle w:val="CharacterStyle4"/>
              </w:rPr>
              <w:t>Izvor financiranja 11</w:t>
            </w:r>
          </w:p>
        </w:tc>
        <w:tc>
          <w:tcPr>
            <w:tcW w:w="4995" w:type="dxa"/>
            <w:tcBorders>
              <w:bottom w:val="single" w:sz="6" w:space="0" w:color="000000"/>
              <w:right w:val="single" w:sz="6" w:space="0" w:color="000000"/>
            </w:tcBorders>
            <w:vAlign w:val="center"/>
          </w:tcPr>
          <w:p w14:paraId="3DB32C19" w14:textId="77777777" w:rsidR="007D706A" w:rsidRDefault="007D706A" w:rsidP="00F70508">
            <w:pPr>
              <w:pStyle w:val="ParagraphStyle5"/>
              <w:rPr>
                <w:rStyle w:val="CharacterStyle5"/>
              </w:rPr>
            </w:pPr>
            <w:r>
              <w:rPr>
                <w:rStyle w:val="CharacterStyle5"/>
              </w:rPr>
              <w:t>Opći prihodi i primici</w:t>
            </w:r>
          </w:p>
        </w:tc>
        <w:tc>
          <w:tcPr>
            <w:tcW w:w="1395" w:type="dxa"/>
            <w:tcBorders>
              <w:bottom w:val="single" w:sz="6" w:space="0" w:color="000000"/>
              <w:right w:val="single" w:sz="6" w:space="0" w:color="000000"/>
            </w:tcBorders>
            <w:vAlign w:val="center"/>
          </w:tcPr>
          <w:p w14:paraId="1DAF94D9"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73EE1388" w14:textId="77777777" w:rsidR="007D706A" w:rsidRDefault="007D706A" w:rsidP="00F70508">
            <w:pPr>
              <w:pStyle w:val="ParagraphStyle6"/>
              <w:rPr>
                <w:rStyle w:val="CharacterStyle6"/>
              </w:rPr>
            </w:pPr>
            <w:r>
              <w:rPr>
                <w:rStyle w:val="CharacterStyle6"/>
              </w:rPr>
              <w:t>11.000,00</w:t>
            </w:r>
          </w:p>
        </w:tc>
        <w:tc>
          <w:tcPr>
            <w:tcW w:w="1395" w:type="dxa"/>
            <w:tcBorders>
              <w:bottom w:val="single" w:sz="6" w:space="0" w:color="000000"/>
              <w:right w:val="single" w:sz="6" w:space="0" w:color="000000"/>
            </w:tcBorders>
            <w:vAlign w:val="center"/>
          </w:tcPr>
          <w:p w14:paraId="0F704C49" w14:textId="77777777" w:rsidR="007D706A" w:rsidRDefault="007D706A" w:rsidP="00F70508">
            <w:pPr>
              <w:pStyle w:val="ParagraphStyle6"/>
              <w:rPr>
                <w:rStyle w:val="CharacterStyle6"/>
              </w:rPr>
            </w:pPr>
            <w:r>
              <w:rPr>
                <w:rStyle w:val="CharacterStyle6"/>
              </w:rPr>
              <w:t>7.875,00</w:t>
            </w:r>
          </w:p>
        </w:tc>
        <w:tc>
          <w:tcPr>
            <w:tcW w:w="1395" w:type="dxa"/>
            <w:tcBorders>
              <w:bottom w:val="single" w:sz="6" w:space="0" w:color="000000"/>
              <w:right w:val="single" w:sz="6" w:space="0" w:color="000000"/>
            </w:tcBorders>
            <w:vAlign w:val="center"/>
          </w:tcPr>
          <w:p w14:paraId="622B3401" w14:textId="77777777" w:rsidR="007D706A" w:rsidRDefault="007D706A" w:rsidP="00F70508">
            <w:pPr>
              <w:pStyle w:val="ParagraphStyle6"/>
              <w:rPr>
                <w:rStyle w:val="CharacterStyle6"/>
              </w:rPr>
            </w:pPr>
            <w:r>
              <w:rPr>
                <w:rStyle w:val="CharacterStyle6"/>
              </w:rPr>
              <w:t>11.400,00</w:t>
            </w:r>
          </w:p>
        </w:tc>
        <w:tc>
          <w:tcPr>
            <w:tcW w:w="1395" w:type="dxa"/>
            <w:tcBorders>
              <w:bottom w:val="single" w:sz="6" w:space="0" w:color="000000"/>
              <w:right w:val="single" w:sz="6" w:space="0" w:color="000000"/>
            </w:tcBorders>
            <w:vAlign w:val="center"/>
          </w:tcPr>
          <w:p w14:paraId="2E770001" w14:textId="77777777" w:rsidR="007D706A" w:rsidRDefault="007D706A" w:rsidP="00F70508">
            <w:pPr>
              <w:pStyle w:val="ParagraphStyle6"/>
              <w:rPr>
                <w:rStyle w:val="CharacterStyle6"/>
              </w:rPr>
            </w:pPr>
            <w:r>
              <w:rPr>
                <w:rStyle w:val="CharacterStyle6"/>
              </w:rPr>
              <w:t>12.000,00</w:t>
            </w:r>
          </w:p>
        </w:tc>
      </w:tr>
      <w:tr w:rsidR="007D706A" w14:paraId="5A0D587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E7F9324" w14:textId="77777777" w:rsidR="007D706A" w:rsidRDefault="007D706A" w:rsidP="00F70508">
            <w:pPr>
              <w:pStyle w:val="ParagraphStyle4"/>
              <w:rPr>
                <w:rStyle w:val="CharacterStyle4"/>
              </w:rPr>
            </w:pPr>
            <w:r>
              <w:rPr>
                <w:rStyle w:val="CharacterStyle4"/>
              </w:rPr>
              <w:t>Izvor financiranja 31</w:t>
            </w:r>
          </w:p>
        </w:tc>
        <w:tc>
          <w:tcPr>
            <w:tcW w:w="4995" w:type="dxa"/>
            <w:tcBorders>
              <w:bottom w:val="single" w:sz="6" w:space="0" w:color="000000"/>
              <w:right w:val="single" w:sz="6" w:space="0" w:color="000000"/>
            </w:tcBorders>
            <w:vAlign w:val="center"/>
          </w:tcPr>
          <w:p w14:paraId="6F3C8BD7" w14:textId="77777777" w:rsidR="007D706A" w:rsidRDefault="007D706A" w:rsidP="00F70508">
            <w:pPr>
              <w:pStyle w:val="ParagraphStyle5"/>
              <w:rPr>
                <w:rStyle w:val="CharacterStyle5"/>
              </w:rPr>
            </w:pPr>
            <w:r>
              <w:rPr>
                <w:rStyle w:val="CharacterStyle5"/>
              </w:rPr>
              <w:t>Vlastiti prihodi</w:t>
            </w:r>
          </w:p>
        </w:tc>
        <w:tc>
          <w:tcPr>
            <w:tcW w:w="1395" w:type="dxa"/>
            <w:tcBorders>
              <w:bottom w:val="single" w:sz="6" w:space="0" w:color="000000"/>
              <w:right w:val="single" w:sz="6" w:space="0" w:color="000000"/>
            </w:tcBorders>
            <w:vAlign w:val="center"/>
          </w:tcPr>
          <w:p w14:paraId="00CDA70D"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6C8E5F95" w14:textId="77777777" w:rsidR="007D706A" w:rsidRDefault="007D706A" w:rsidP="00F70508">
            <w:pPr>
              <w:pStyle w:val="ParagraphStyle6"/>
              <w:rPr>
                <w:rStyle w:val="CharacterStyle6"/>
              </w:rPr>
            </w:pPr>
            <w:r>
              <w:rPr>
                <w:rStyle w:val="CharacterStyle6"/>
              </w:rPr>
              <w:t>100,00</w:t>
            </w:r>
          </w:p>
        </w:tc>
        <w:tc>
          <w:tcPr>
            <w:tcW w:w="1395" w:type="dxa"/>
            <w:tcBorders>
              <w:bottom w:val="single" w:sz="6" w:space="0" w:color="000000"/>
              <w:right w:val="single" w:sz="6" w:space="0" w:color="000000"/>
            </w:tcBorders>
            <w:vAlign w:val="center"/>
          </w:tcPr>
          <w:p w14:paraId="2CF5CA5F" w14:textId="77777777" w:rsidR="007D706A" w:rsidRDefault="007D706A" w:rsidP="00F70508">
            <w:pPr>
              <w:pStyle w:val="ParagraphStyle6"/>
              <w:rPr>
                <w:rStyle w:val="CharacterStyle6"/>
              </w:rPr>
            </w:pPr>
            <w:r>
              <w:rPr>
                <w:rStyle w:val="CharacterStyle6"/>
              </w:rPr>
              <w:t>60,00</w:t>
            </w:r>
          </w:p>
        </w:tc>
        <w:tc>
          <w:tcPr>
            <w:tcW w:w="1395" w:type="dxa"/>
            <w:tcBorders>
              <w:bottom w:val="single" w:sz="6" w:space="0" w:color="000000"/>
              <w:right w:val="single" w:sz="6" w:space="0" w:color="000000"/>
            </w:tcBorders>
            <w:vAlign w:val="center"/>
          </w:tcPr>
          <w:p w14:paraId="6C616B76"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70647C9C" w14:textId="77777777" w:rsidR="007D706A" w:rsidRDefault="007D706A" w:rsidP="00F70508">
            <w:pPr>
              <w:pStyle w:val="ParagraphStyle6"/>
              <w:rPr>
                <w:rStyle w:val="CharacterStyle6"/>
              </w:rPr>
            </w:pPr>
            <w:r>
              <w:rPr>
                <w:rStyle w:val="CharacterStyle6"/>
              </w:rPr>
              <w:t>0,00</w:t>
            </w:r>
          </w:p>
        </w:tc>
      </w:tr>
      <w:tr w:rsidR="007D706A" w14:paraId="4694C14A" w14:textId="77777777" w:rsidTr="00F70508">
        <w:trPr>
          <w:trHeight w:val="420"/>
        </w:trPr>
        <w:tc>
          <w:tcPr>
            <w:tcW w:w="2880" w:type="dxa"/>
            <w:tcBorders>
              <w:left w:val="single" w:sz="6" w:space="0" w:color="000000"/>
              <w:bottom w:val="single" w:sz="6" w:space="0" w:color="000000"/>
              <w:right w:val="single" w:sz="6" w:space="0" w:color="000000"/>
            </w:tcBorders>
            <w:vAlign w:val="center"/>
          </w:tcPr>
          <w:p w14:paraId="4D08C24C" w14:textId="77777777" w:rsidR="007D706A" w:rsidRDefault="007D706A" w:rsidP="00F70508">
            <w:pPr>
              <w:pStyle w:val="ParagraphStyle4"/>
              <w:rPr>
                <w:rStyle w:val="CharacterStyle4"/>
              </w:rPr>
            </w:pPr>
            <w:r>
              <w:rPr>
                <w:rStyle w:val="CharacterStyle4"/>
              </w:rPr>
              <w:t>PROGRAM    1046</w:t>
            </w:r>
          </w:p>
        </w:tc>
        <w:tc>
          <w:tcPr>
            <w:tcW w:w="4995" w:type="dxa"/>
            <w:tcBorders>
              <w:bottom w:val="single" w:sz="6" w:space="0" w:color="000000"/>
              <w:right w:val="single" w:sz="6" w:space="0" w:color="000000"/>
            </w:tcBorders>
            <w:vAlign w:val="center"/>
          </w:tcPr>
          <w:p w14:paraId="6412C65B" w14:textId="77777777" w:rsidR="007D706A" w:rsidRDefault="007D706A" w:rsidP="00F70508">
            <w:pPr>
              <w:pStyle w:val="ParagraphStyle5"/>
              <w:rPr>
                <w:rStyle w:val="CharacterStyle5"/>
              </w:rPr>
            </w:pPr>
            <w:r>
              <w:rPr>
                <w:rStyle w:val="CharacterStyle5"/>
              </w:rPr>
              <w:t>FINANCIRANJE REDOVNE DJELATNOSTI NACIONALNIH MANJINA</w:t>
            </w:r>
          </w:p>
        </w:tc>
        <w:tc>
          <w:tcPr>
            <w:tcW w:w="1395" w:type="dxa"/>
            <w:tcBorders>
              <w:bottom w:val="single" w:sz="6" w:space="0" w:color="000000"/>
              <w:right w:val="single" w:sz="6" w:space="0" w:color="000000"/>
            </w:tcBorders>
            <w:vAlign w:val="center"/>
          </w:tcPr>
          <w:p w14:paraId="3F508EB7"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107FCD69" w14:textId="77777777" w:rsidR="007D706A" w:rsidRDefault="007D706A" w:rsidP="00F70508">
            <w:pPr>
              <w:pStyle w:val="ParagraphStyle6"/>
              <w:rPr>
                <w:rStyle w:val="CharacterStyle6"/>
              </w:rPr>
            </w:pPr>
            <w:r>
              <w:rPr>
                <w:rStyle w:val="CharacterStyle6"/>
              </w:rPr>
              <w:t>11.100,00</w:t>
            </w:r>
          </w:p>
        </w:tc>
        <w:tc>
          <w:tcPr>
            <w:tcW w:w="1395" w:type="dxa"/>
            <w:tcBorders>
              <w:bottom w:val="single" w:sz="6" w:space="0" w:color="000000"/>
              <w:right w:val="single" w:sz="6" w:space="0" w:color="000000"/>
            </w:tcBorders>
            <w:vAlign w:val="center"/>
          </w:tcPr>
          <w:p w14:paraId="11F80133" w14:textId="77777777" w:rsidR="007D706A" w:rsidRDefault="007D706A" w:rsidP="00F70508">
            <w:pPr>
              <w:pStyle w:val="ParagraphStyle6"/>
              <w:rPr>
                <w:rStyle w:val="CharacterStyle6"/>
              </w:rPr>
            </w:pPr>
            <w:r>
              <w:rPr>
                <w:rStyle w:val="CharacterStyle6"/>
              </w:rPr>
              <w:t>7.935,00</w:t>
            </w:r>
          </w:p>
        </w:tc>
        <w:tc>
          <w:tcPr>
            <w:tcW w:w="1395" w:type="dxa"/>
            <w:tcBorders>
              <w:bottom w:val="single" w:sz="6" w:space="0" w:color="000000"/>
              <w:right w:val="single" w:sz="6" w:space="0" w:color="000000"/>
            </w:tcBorders>
            <w:vAlign w:val="center"/>
          </w:tcPr>
          <w:p w14:paraId="7252C303" w14:textId="77777777" w:rsidR="007D706A" w:rsidRDefault="007D706A" w:rsidP="00F70508">
            <w:pPr>
              <w:pStyle w:val="ParagraphStyle6"/>
              <w:rPr>
                <w:rStyle w:val="CharacterStyle6"/>
              </w:rPr>
            </w:pPr>
            <w:r>
              <w:rPr>
                <w:rStyle w:val="CharacterStyle6"/>
              </w:rPr>
              <w:t>11.400,00</w:t>
            </w:r>
          </w:p>
        </w:tc>
        <w:tc>
          <w:tcPr>
            <w:tcW w:w="1395" w:type="dxa"/>
            <w:tcBorders>
              <w:bottom w:val="single" w:sz="6" w:space="0" w:color="000000"/>
              <w:right w:val="single" w:sz="6" w:space="0" w:color="000000"/>
            </w:tcBorders>
            <w:vAlign w:val="center"/>
          </w:tcPr>
          <w:p w14:paraId="6C1040D9" w14:textId="77777777" w:rsidR="007D706A" w:rsidRDefault="007D706A" w:rsidP="00F70508">
            <w:pPr>
              <w:pStyle w:val="ParagraphStyle6"/>
              <w:rPr>
                <w:rStyle w:val="CharacterStyle6"/>
              </w:rPr>
            </w:pPr>
            <w:r>
              <w:rPr>
                <w:rStyle w:val="CharacterStyle6"/>
              </w:rPr>
              <w:t>12.000,00</w:t>
            </w:r>
          </w:p>
        </w:tc>
      </w:tr>
      <w:tr w:rsidR="007D706A" w14:paraId="77E6121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3C8027B" w14:textId="77777777" w:rsidR="007D706A" w:rsidRDefault="007D706A" w:rsidP="00F70508">
            <w:pPr>
              <w:pStyle w:val="ParagraphStyle4"/>
              <w:rPr>
                <w:rStyle w:val="CharacterStyle4"/>
              </w:rPr>
            </w:pPr>
            <w:r>
              <w:rPr>
                <w:rStyle w:val="CharacterStyle4"/>
              </w:rPr>
              <w:t>Aktivnost A104601</w:t>
            </w:r>
          </w:p>
        </w:tc>
        <w:tc>
          <w:tcPr>
            <w:tcW w:w="4995" w:type="dxa"/>
            <w:tcBorders>
              <w:bottom w:val="single" w:sz="6" w:space="0" w:color="000000"/>
              <w:right w:val="single" w:sz="6" w:space="0" w:color="000000"/>
            </w:tcBorders>
            <w:vAlign w:val="center"/>
          </w:tcPr>
          <w:p w14:paraId="3B141747" w14:textId="77777777" w:rsidR="007D706A" w:rsidRDefault="007D706A" w:rsidP="00F70508">
            <w:pPr>
              <w:pStyle w:val="ParagraphStyle5"/>
              <w:rPr>
                <w:rStyle w:val="CharacterStyle5"/>
              </w:rPr>
            </w:pPr>
            <w:r>
              <w:rPr>
                <w:rStyle w:val="CharacterStyle5"/>
              </w:rPr>
              <w:t>DJELATNOST NACIONALNIH MANJINA</w:t>
            </w:r>
          </w:p>
        </w:tc>
        <w:tc>
          <w:tcPr>
            <w:tcW w:w="1395" w:type="dxa"/>
            <w:tcBorders>
              <w:bottom w:val="single" w:sz="6" w:space="0" w:color="000000"/>
              <w:right w:val="single" w:sz="6" w:space="0" w:color="000000"/>
            </w:tcBorders>
            <w:vAlign w:val="center"/>
          </w:tcPr>
          <w:p w14:paraId="0CCDDC88"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509209CC" w14:textId="77777777" w:rsidR="007D706A" w:rsidRDefault="007D706A" w:rsidP="00F70508">
            <w:pPr>
              <w:pStyle w:val="ParagraphStyle6"/>
              <w:rPr>
                <w:rStyle w:val="CharacterStyle6"/>
              </w:rPr>
            </w:pPr>
            <w:r>
              <w:rPr>
                <w:rStyle w:val="CharacterStyle6"/>
              </w:rPr>
              <w:t>11.100,00</w:t>
            </w:r>
          </w:p>
        </w:tc>
        <w:tc>
          <w:tcPr>
            <w:tcW w:w="1395" w:type="dxa"/>
            <w:tcBorders>
              <w:bottom w:val="single" w:sz="6" w:space="0" w:color="000000"/>
              <w:right w:val="single" w:sz="6" w:space="0" w:color="000000"/>
            </w:tcBorders>
            <w:vAlign w:val="center"/>
          </w:tcPr>
          <w:p w14:paraId="0D8EC063" w14:textId="77777777" w:rsidR="007D706A" w:rsidRDefault="007D706A" w:rsidP="00F70508">
            <w:pPr>
              <w:pStyle w:val="ParagraphStyle6"/>
              <w:rPr>
                <w:rStyle w:val="CharacterStyle6"/>
              </w:rPr>
            </w:pPr>
            <w:r>
              <w:rPr>
                <w:rStyle w:val="CharacterStyle6"/>
              </w:rPr>
              <w:t>7.935,00</w:t>
            </w:r>
          </w:p>
        </w:tc>
        <w:tc>
          <w:tcPr>
            <w:tcW w:w="1395" w:type="dxa"/>
            <w:tcBorders>
              <w:bottom w:val="single" w:sz="6" w:space="0" w:color="000000"/>
              <w:right w:val="single" w:sz="6" w:space="0" w:color="000000"/>
            </w:tcBorders>
            <w:vAlign w:val="center"/>
          </w:tcPr>
          <w:p w14:paraId="3877514F" w14:textId="77777777" w:rsidR="007D706A" w:rsidRDefault="007D706A" w:rsidP="00F70508">
            <w:pPr>
              <w:pStyle w:val="ParagraphStyle6"/>
              <w:rPr>
                <w:rStyle w:val="CharacterStyle6"/>
              </w:rPr>
            </w:pPr>
            <w:r>
              <w:rPr>
                <w:rStyle w:val="CharacterStyle6"/>
              </w:rPr>
              <w:t>11.400,00</w:t>
            </w:r>
          </w:p>
        </w:tc>
        <w:tc>
          <w:tcPr>
            <w:tcW w:w="1395" w:type="dxa"/>
            <w:tcBorders>
              <w:bottom w:val="single" w:sz="6" w:space="0" w:color="000000"/>
              <w:right w:val="single" w:sz="6" w:space="0" w:color="000000"/>
            </w:tcBorders>
            <w:vAlign w:val="center"/>
          </w:tcPr>
          <w:p w14:paraId="54771824" w14:textId="77777777" w:rsidR="007D706A" w:rsidRDefault="007D706A" w:rsidP="00F70508">
            <w:pPr>
              <w:pStyle w:val="ParagraphStyle6"/>
              <w:rPr>
                <w:rStyle w:val="CharacterStyle6"/>
              </w:rPr>
            </w:pPr>
            <w:r>
              <w:rPr>
                <w:rStyle w:val="CharacterStyle6"/>
              </w:rPr>
              <w:t>12.000,00</w:t>
            </w:r>
          </w:p>
        </w:tc>
      </w:tr>
      <w:tr w:rsidR="007D706A" w14:paraId="3182EEF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051D819"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6EDC10C5"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0B7C3FAB"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8A33E64" w14:textId="77777777" w:rsidR="007D706A" w:rsidRDefault="007D706A" w:rsidP="00F70508">
            <w:pPr>
              <w:pStyle w:val="ParagraphStyle9"/>
              <w:rPr>
                <w:rStyle w:val="CharacterStyle9"/>
              </w:rPr>
            </w:pPr>
            <w:r>
              <w:rPr>
                <w:rStyle w:val="CharacterStyle9"/>
              </w:rPr>
              <w:t>11.000,00</w:t>
            </w:r>
          </w:p>
        </w:tc>
        <w:tc>
          <w:tcPr>
            <w:tcW w:w="1395" w:type="dxa"/>
            <w:tcBorders>
              <w:bottom w:val="single" w:sz="6" w:space="0" w:color="000000"/>
              <w:right w:val="single" w:sz="6" w:space="0" w:color="000000"/>
            </w:tcBorders>
            <w:vAlign w:val="center"/>
          </w:tcPr>
          <w:p w14:paraId="699D4FCD" w14:textId="77777777" w:rsidR="007D706A" w:rsidRDefault="007D706A" w:rsidP="00F70508">
            <w:pPr>
              <w:pStyle w:val="ParagraphStyle9"/>
              <w:rPr>
                <w:rStyle w:val="CharacterStyle9"/>
              </w:rPr>
            </w:pPr>
            <w:r>
              <w:rPr>
                <w:rStyle w:val="CharacterStyle9"/>
              </w:rPr>
              <w:t>7.875,00</w:t>
            </w:r>
          </w:p>
        </w:tc>
        <w:tc>
          <w:tcPr>
            <w:tcW w:w="1395" w:type="dxa"/>
            <w:tcBorders>
              <w:bottom w:val="single" w:sz="6" w:space="0" w:color="000000"/>
              <w:right w:val="single" w:sz="6" w:space="0" w:color="000000"/>
            </w:tcBorders>
            <w:vAlign w:val="center"/>
          </w:tcPr>
          <w:p w14:paraId="530B64A2" w14:textId="77777777" w:rsidR="007D706A" w:rsidRDefault="007D706A" w:rsidP="00F70508">
            <w:pPr>
              <w:pStyle w:val="ParagraphStyle9"/>
              <w:rPr>
                <w:rStyle w:val="CharacterStyle9"/>
              </w:rPr>
            </w:pPr>
            <w:r>
              <w:rPr>
                <w:rStyle w:val="CharacterStyle9"/>
              </w:rPr>
              <w:t>11.400,00</w:t>
            </w:r>
          </w:p>
        </w:tc>
        <w:tc>
          <w:tcPr>
            <w:tcW w:w="1395" w:type="dxa"/>
            <w:tcBorders>
              <w:bottom w:val="single" w:sz="6" w:space="0" w:color="000000"/>
              <w:right w:val="single" w:sz="6" w:space="0" w:color="000000"/>
            </w:tcBorders>
            <w:vAlign w:val="center"/>
          </w:tcPr>
          <w:p w14:paraId="772069AC" w14:textId="77777777" w:rsidR="007D706A" w:rsidRDefault="007D706A" w:rsidP="00F70508">
            <w:pPr>
              <w:pStyle w:val="ParagraphStyle9"/>
              <w:rPr>
                <w:rStyle w:val="CharacterStyle9"/>
              </w:rPr>
            </w:pPr>
            <w:r>
              <w:rPr>
                <w:rStyle w:val="CharacterStyle9"/>
              </w:rPr>
              <w:t>12.000,00</w:t>
            </w:r>
          </w:p>
        </w:tc>
      </w:tr>
      <w:tr w:rsidR="007D706A" w14:paraId="4374AA2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7170AFF"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1A0D9D20"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175188D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DFBDDD3" w14:textId="77777777" w:rsidR="007D706A" w:rsidRDefault="007D706A" w:rsidP="00F70508">
            <w:pPr>
              <w:pStyle w:val="ParagraphStyle12"/>
              <w:rPr>
                <w:rStyle w:val="CharacterStyle12"/>
              </w:rPr>
            </w:pPr>
            <w:r>
              <w:rPr>
                <w:rStyle w:val="CharacterStyle12"/>
              </w:rPr>
              <w:t>11.000,00</w:t>
            </w:r>
          </w:p>
        </w:tc>
        <w:tc>
          <w:tcPr>
            <w:tcW w:w="1395" w:type="dxa"/>
            <w:tcBorders>
              <w:bottom w:val="single" w:sz="6" w:space="0" w:color="000000"/>
              <w:right w:val="single" w:sz="6" w:space="0" w:color="000000"/>
            </w:tcBorders>
            <w:vAlign w:val="center"/>
          </w:tcPr>
          <w:p w14:paraId="3279BE32" w14:textId="77777777" w:rsidR="007D706A" w:rsidRDefault="007D706A" w:rsidP="00F70508">
            <w:pPr>
              <w:pStyle w:val="ParagraphStyle12"/>
              <w:rPr>
                <w:rStyle w:val="CharacterStyle12"/>
              </w:rPr>
            </w:pPr>
            <w:r>
              <w:rPr>
                <w:rStyle w:val="CharacterStyle12"/>
              </w:rPr>
              <w:t>7.875,00</w:t>
            </w:r>
          </w:p>
        </w:tc>
        <w:tc>
          <w:tcPr>
            <w:tcW w:w="1395" w:type="dxa"/>
            <w:tcBorders>
              <w:bottom w:val="single" w:sz="6" w:space="0" w:color="000000"/>
              <w:right w:val="single" w:sz="6" w:space="0" w:color="000000"/>
            </w:tcBorders>
            <w:vAlign w:val="center"/>
          </w:tcPr>
          <w:p w14:paraId="03825624" w14:textId="77777777" w:rsidR="007D706A" w:rsidRDefault="007D706A" w:rsidP="00F70508">
            <w:pPr>
              <w:pStyle w:val="ParagraphStyle12"/>
              <w:rPr>
                <w:rStyle w:val="CharacterStyle12"/>
              </w:rPr>
            </w:pPr>
            <w:r>
              <w:rPr>
                <w:rStyle w:val="CharacterStyle12"/>
              </w:rPr>
              <w:t>11.400,00</w:t>
            </w:r>
          </w:p>
        </w:tc>
        <w:tc>
          <w:tcPr>
            <w:tcW w:w="1395" w:type="dxa"/>
            <w:tcBorders>
              <w:bottom w:val="single" w:sz="6" w:space="0" w:color="000000"/>
              <w:right w:val="single" w:sz="6" w:space="0" w:color="000000"/>
            </w:tcBorders>
            <w:vAlign w:val="center"/>
          </w:tcPr>
          <w:p w14:paraId="3A2F4B9D" w14:textId="77777777" w:rsidR="007D706A" w:rsidRDefault="007D706A" w:rsidP="00F70508">
            <w:pPr>
              <w:pStyle w:val="ParagraphStyle12"/>
              <w:rPr>
                <w:rStyle w:val="CharacterStyle12"/>
              </w:rPr>
            </w:pPr>
            <w:r>
              <w:rPr>
                <w:rStyle w:val="CharacterStyle12"/>
              </w:rPr>
              <w:t>12.000,00</w:t>
            </w:r>
          </w:p>
        </w:tc>
      </w:tr>
      <w:tr w:rsidR="007D706A" w14:paraId="10ABD07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DAFF454"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123D1EC6"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4DD246E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6F6F5DF" w14:textId="77777777" w:rsidR="007D706A" w:rsidRDefault="007D706A" w:rsidP="00F70508">
            <w:pPr>
              <w:pStyle w:val="ParagraphStyle12"/>
              <w:rPr>
                <w:rStyle w:val="CharacterStyle12"/>
              </w:rPr>
            </w:pPr>
            <w:r>
              <w:rPr>
                <w:rStyle w:val="CharacterStyle12"/>
              </w:rPr>
              <w:t>10.355,00</w:t>
            </w:r>
          </w:p>
        </w:tc>
        <w:tc>
          <w:tcPr>
            <w:tcW w:w="1395" w:type="dxa"/>
            <w:tcBorders>
              <w:bottom w:val="single" w:sz="6" w:space="0" w:color="000000"/>
              <w:right w:val="single" w:sz="6" w:space="0" w:color="000000"/>
            </w:tcBorders>
            <w:vAlign w:val="center"/>
          </w:tcPr>
          <w:p w14:paraId="1B431959" w14:textId="77777777" w:rsidR="007D706A" w:rsidRDefault="007D706A" w:rsidP="00F70508">
            <w:pPr>
              <w:pStyle w:val="ParagraphStyle12"/>
              <w:rPr>
                <w:rStyle w:val="CharacterStyle12"/>
              </w:rPr>
            </w:pPr>
            <w:r>
              <w:rPr>
                <w:rStyle w:val="CharacterStyle12"/>
              </w:rPr>
              <w:t>7.375,00</w:t>
            </w:r>
          </w:p>
        </w:tc>
        <w:tc>
          <w:tcPr>
            <w:tcW w:w="1395" w:type="dxa"/>
            <w:tcBorders>
              <w:bottom w:val="single" w:sz="6" w:space="0" w:color="000000"/>
              <w:right w:val="single" w:sz="6" w:space="0" w:color="000000"/>
            </w:tcBorders>
            <w:vAlign w:val="center"/>
          </w:tcPr>
          <w:p w14:paraId="78301AAF" w14:textId="77777777" w:rsidR="007D706A" w:rsidRDefault="007D706A" w:rsidP="00F70508">
            <w:pPr>
              <w:pStyle w:val="ParagraphStyle12"/>
              <w:rPr>
                <w:rStyle w:val="CharacterStyle12"/>
              </w:rPr>
            </w:pPr>
            <w:r>
              <w:rPr>
                <w:rStyle w:val="CharacterStyle12"/>
              </w:rPr>
              <w:t>11.400,00</w:t>
            </w:r>
          </w:p>
        </w:tc>
        <w:tc>
          <w:tcPr>
            <w:tcW w:w="1395" w:type="dxa"/>
            <w:tcBorders>
              <w:bottom w:val="single" w:sz="6" w:space="0" w:color="000000"/>
              <w:right w:val="single" w:sz="6" w:space="0" w:color="000000"/>
            </w:tcBorders>
            <w:vAlign w:val="center"/>
          </w:tcPr>
          <w:p w14:paraId="687CA3FB" w14:textId="77777777" w:rsidR="007D706A" w:rsidRDefault="007D706A" w:rsidP="00F70508">
            <w:pPr>
              <w:pStyle w:val="ParagraphStyle12"/>
              <w:rPr>
                <w:rStyle w:val="CharacterStyle12"/>
              </w:rPr>
            </w:pPr>
            <w:r>
              <w:rPr>
                <w:rStyle w:val="CharacterStyle12"/>
              </w:rPr>
              <w:t>12.000,00</w:t>
            </w:r>
          </w:p>
        </w:tc>
      </w:tr>
      <w:tr w:rsidR="007D706A" w14:paraId="4927816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A6A325D" w14:textId="77777777" w:rsidR="007D706A" w:rsidRDefault="007D706A" w:rsidP="00F70508">
            <w:pPr>
              <w:pStyle w:val="ParagraphStyle10"/>
              <w:rPr>
                <w:rStyle w:val="CharacterStyle10"/>
              </w:rPr>
            </w:pPr>
            <w:r>
              <w:rPr>
                <w:rStyle w:val="CharacterStyle10"/>
              </w:rPr>
              <w:t>34</w:t>
            </w:r>
          </w:p>
        </w:tc>
        <w:tc>
          <w:tcPr>
            <w:tcW w:w="4995" w:type="dxa"/>
            <w:tcBorders>
              <w:bottom w:val="single" w:sz="6" w:space="0" w:color="000000"/>
              <w:right w:val="single" w:sz="6" w:space="0" w:color="000000"/>
            </w:tcBorders>
            <w:vAlign w:val="center"/>
          </w:tcPr>
          <w:p w14:paraId="471AE34A" w14:textId="77777777" w:rsidR="007D706A" w:rsidRDefault="007D706A" w:rsidP="00F70508">
            <w:pPr>
              <w:pStyle w:val="ParagraphStyle11"/>
              <w:rPr>
                <w:rStyle w:val="CharacterStyle11"/>
              </w:rPr>
            </w:pPr>
            <w:r>
              <w:rPr>
                <w:rStyle w:val="CharacterStyle11"/>
              </w:rPr>
              <w:t>Financijski rashodi</w:t>
            </w:r>
          </w:p>
        </w:tc>
        <w:tc>
          <w:tcPr>
            <w:tcW w:w="1395" w:type="dxa"/>
            <w:tcBorders>
              <w:bottom w:val="single" w:sz="6" w:space="0" w:color="000000"/>
              <w:right w:val="single" w:sz="6" w:space="0" w:color="000000"/>
            </w:tcBorders>
            <w:vAlign w:val="center"/>
          </w:tcPr>
          <w:p w14:paraId="6D8E6EF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C44C956" w14:textId="77777777" w:rsidR="007D706A" w:rsidRDefault="007D706A" w:rsidP="00F70508">
            <w:pPr>
              <w:pStyle w:val="ParagraphStyle12"/>
              <w:rPr>
                <w:rStyle w:val="CharacterStyle12"/>
              </w:rPr>
            </w:pPr>
            <w:r>
              <w:rPr>
                <w:rStyle w:val="CharacterStyle12"/>
              </w:rPr>
              <w:t>645,00</w:t>
            </w:r>
          </w:p>
        </w:tc>
        <w:tc>
          <w:tcPr>
            <w:tcW w:w="1395" w:type="dxa"/>
            <w:tcBorders>
              <w:bottom w:val="single" w:sz="6" w:space="0" w:color="000000"/>
              <w:right w:val="single" w:sz="6" w:space="0" w:color="000000"/>
            </w:tcBorders>
            <w:vAlign w:val="center"/>
          </w:tcPr>
          <w:p w14:paraId="45ECB199" w14:textId="77777777" w:rsidR="007D706A" w:rsidRDefault="007D706A" w:rsidP="00F70508">
            <w:pPr>
              <w:pStyle w:val="ParagraphStyle12"/>
              <w:rPr>
                <w:rStyle w:val="CharacterStyle12"/>
              </w:rPr>
            </w:pPr>
            <w:r>
              <w:rPr>
                <w:rStyle w:val="CharacterStyle12"/>
              </w:rPr>
              <w:t>500,00</w:t>
            </w:r>
          </w:p>
        </w:tc>
        <w:tc>
          <w:tcPr>
            <w:tcW w:w="1395" w:type="dxa"/>
            <w:tcBorders>
              <w:bottom w:val="single" w:sz="6" w:space="0" w:color="000000"/>
              <w:right w:val="single" w:sz="6" w:space="0" w:color="000000"/>
            </w:tcBorders>
            <w:vAlign w:val="center"/>
          </w:tcPr>
          <w:p w14:paraId="24660DC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A2A706A" w14:textId="77777777" w:rsidR="007D706A" w:rsidRDefault="007D706A" w:rsidP="00F70508">
            <w:pPr>
              <w:pStyle w:val="ParagraphStyle12"/>
              <w:rPr>
                <w:rStyle w:val="CharacterStyle12"/>
              </w:rPr>
            </w:pPr>
            <w:r>
              <w:rPr>
                <w:rStyle w:val="CharacterStyle12"/>
              </w:rPr>
              <w:t>0,00</w:t>
            </w:r>
          </w:p>
        </w:tc>
      </w:tr>
      <w:tr w:rsidR="007D706A" w14:paraId="69CB14F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B9C1FAB" w14:textId="77777777" w:rsidR="007D706A" w:rsidRDefault="007D706A" w:rsidP="00F70508">
            <w:pPr>
              <w:pStyle w:val="ParagraphStyle7"/>
              <w:rPr>
                <w:rStyle w:val="CharacterStyle7"/>
              </w:rPr>
            </w:pPr>
            <w:r>
              <w:rPr>
                <w:rStyle w:val="CharacterStyle7"/>
              </w:rPr>
              <w:t>Izvor financiranja 31</w:t>
            </w:r>
          </w:p>
        </w:tc>
        <w:tc>
          <w:tcPr>
            <w:tcW w:w="4995" w:type="dxa"/>
            <w:tcBorders>
              <w:bottom w:val="single" w:sz="6" w:space="0" w:color="000000"/>
              <w:right w:val="single" w:sz="6" w:space="0" w:color="000000"/>
            </w:tcBorders>
            <w:vAlign w:val="center"/>
          </w:tcPr>
          <w:p w14:paraId="7F778F07" w14:textId="77777777" w:rsidR="007D706A" w:rsidRDefault="007D706A" w:rsidP="00F70508">
            <w:pPr>
              <w:pStyle w:val="ParagraphStyle8"/>
              <w:rPr>
                <w:rStyle w:val="CharacterStyle8"/>
              </w:rPr>
            </w:pPr>
            <w:r>
              <w:rPr>
                <w:rStyle w:val="CharacterStyle8"/>
              </w:rPr>
              <w:t>Vlastiti prihodi</w:t>
            </w:r>
          </w:p>
        </w:tc>
        <w:tc>
          <w:tcPr>
            <w:tcW w:w="1395" w:type="dxa"/>
            <w:tcBorders>
              <w:bottom w:val="single" w:sz="6" w:space="0" w:color="000000"/>
              <w:right w:val="single" w:sz="6" w:space="0" w:color="000000"/>
            </w:tcBorders>
            <w:vAlign w:val="center"/>
          </w:tcPr>
          <w:p w14:paraId="28B6EA51"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C47F920" w14:textId="77777777" w:rsidR="007D706A" w:rsidRDefault="007D706A" w:rsidP="00F70508">
            <w:pPr>
              <w:pStyle w:val="ParagraphStyle9"/>
              <w:rPr>
                <w:rStyle w:val="CharacterStyle9"/>
              </w:rPr>
            </w:pPr>
            <w:r>
              <w:rPr>
                <w:rStyle w:val="CharacterStyle9"/>
              </w:rPr>
              <w:t>100,00</w:t>
            </w:r>
          </w:p>
        </w:tc>
        <w:tc>
          <w:tcPr>
            <w:tcW w:w="1395" w:type="dxa"/>
            <w:tcBorders>
              <w:bottom w:val="single" w:sz="6" w:space="0" w:color="000000"/>
              <w:right w:val="single" w:sz="6" w:space="0" w:color="000000"/>
            </w:tcBorders>
            <w:vAlign w:val="center"/>
          </w:tcPr>
          <w:p w14:paraId="402CEFFB" w14:textId="77777777" w:rsidR="007D706A" w:rsidRDefault="007D706A" w:rsidP="00F70508">
            <w:pPr>
              <w:pStyle w:val="ParagraphStyle9"/>
              <w:rPr>
                <w:rStyle w:val="CharacterStyle9"/>
              </w:rPr>
            </w:pPr>
            <w:r>
              <w:rPr>
                <w:rStyle w:val="CharacterStyle9"/>
              </w:rPr>
              <w:t>60,00</w:t>
            </w:r>
          </w:p>
        </w:tc>
        <w:tc>
          <w:tcPr>
            <w:tcW w:w="1395" w:type="dxa"/>
            <w:tcBorders>
              <w:bottom w:val="single" w:sz="6" w:space="0" w:color="000000"/>
              <w:right w:val="single" w:sz="6" w:space="0" w:color="000000"/>
            </w:tcBorders>
            <w:vAlign w:val="center"/>
          </w:tcPr>
          <w:p w14:paraId="16FF423C"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99CA74D" w14:textId="77777777" w:rsidR="007D706A" w:rsidRDefault="007D706A" w:rsidP="00F70508">
            <w:pPr>
              <w:pStyle w:val="ParagraphStyle9"/>
              <w:rPr>
                <w:rStyle w:val="CharacterStyle9"/>
              </w:rPr>
            </w:pPr>
            <w:r>
              <w:rPr>
                <w:rStyle w:val="CharacterStyle9"/>
              </w:rPr>
              <w:t>0,00</w:t>
            </w:r>
          </w:p>
        </w:tc>
      </w:tr>
      <w:tr w:rsidR="007D706A" w14:paraId="6F53108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EEFC8A2"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3FF0A939"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0E98B64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39612C5" w14:textId="77777777" w:rsidR="007D706A" w:rsidRDefault="007D706A" w:rsidP="00F70508">
            <w:pPr>
              <w:pStyle w:val="ParagraphStyle12"/>
              <w:rPr>
                <w:rStyle w:val="CharacterStyle12"/>
              </w:rPr>
            </w:pPr>
            <w:r>
              <w:rPr>
                <w:rStyle w:val="CharacterStyle12"/>
              </w:rPr>
              <w:t>100,00</w:t>
            </w:r>
          </w:p>
        </w:tc>
        <w:tc>
          <w:tcPr>
            <w:tcW w:w="1395" w:type="dxa"/>
            <w:tcBorders>
              <w:bottom w:val="single" w:sz="6" w:space="0" w:color="000000"/>
              <w:right w:val="single" w:sz="6" w:space="0" w:color="000000"/>
            </w:tcBorders>
            <w:vAlign w:val="center"/>
          </w:tcPr>
          <w:p w14:paraId="7F5AD9E4" w14:textId="77777777" w:rsidR="007D706A" w:rsidRDefault="007D706A" w:rsidP="00F70508">
            <w:pPr>
              <w:pStyle w:val="ParagraphStyle12"/>
              <w:rPr>
                <w:rStyle w:val="CharacterStyle12"/>
              </w:rPr>
            </w:pPr>
            <w:r>
              <w:rPr>
                <w:rStyle w:val="CharacterStyle12"/>
              </w:rPr>
              <w:t>60,00</w:t>
            </w:r>
          </w:p>
        </w:tc>
        <w:tc>
          <w:tcPr>
            <w:tcW w:w="1395" w:type="dxa"/>
            <w:tcBorders>
              <w:bottom w:val="single" w:sz="6" w:space="0" w:color="000000"/>
              <w:right w:val="single" w:sz="6" w:space="0" w:color="000000"/>
            </w:tcBorders>
            <w:vAlign w:val="center"/>
          </w:tcPr>
          <w:p w14:paraId="5B66073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42FF83C" w14:textId="77777777" w:rsidR="007D706A" w:rsidRDefault="007D706A" w:rsidP="00F70508">
            <w:pPr>
              <w:pStyle w:val="ParagraphStyle12"/>
              <w:rPr>
                <w:rStyle w:val="CharacterStyle12"/>
              </w:rPr>
            </w:pPr>
            <w:r>
              <w:rPr>
                <w:rStyle w:val="CharacterStyle12"/>
              </w:rPr>
              <w:t>0,00</w:t>
            </w:r>
          </w:p>
        </w:tc>
      </w:tr>
      <w:tr w:rsidR="007D706A" w14:paraId="53DE7D76"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0ADF943"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0D4060AD"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79C97E7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204E50F" w14:textId="77777777" w:rsidR="007D706A" w:rsidRDefault="007D706A" w:rsidP="00F70508">
            <w:pPr>
              <w:pStyle w:val="ParagraphStyle12"/>
              <w:rPr>
                <w:rStyle w:val="CharacterStyle12"/>
              </w:rPr>
            </w:pPr>
            <w:r>
              <w:rPr>
                <w:rStyle w:val="CharacterStyle12"/>
              </w:rPr>
              <w:t>100,00</w:t>
            </w:r>
          </w:p>
        </w:tc>
        <w:tc>
          <w:tcPr>
            <w:tcW w:w="1395" w:type="dxa"/>
            <w:tcBorders>
              <w:bottom w:val="single" w:sz="6" w:space="0" w:color="000000"/>
              <w:right w:val="single" w:sz="6" w:space="0" w:color="000000"/>
            </w:tcBorders>
            <w:vAlign w:val="center"/>
          </w:tcPr>
          <w:p w14:paraId="50D43DD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955A00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4E8D920" w14:textId="77777777" w:rsidR="007D706A" w:rsidRDefault="007D706A" w:rsidP="00F70508">
            <w:pPr>
              <w:pStyle w:val="ParagraphStyle12"/>
              <w:rPr>
                <w:rStyle w:val="CharacterStyle12"/>
              </w:rPr>
            </w:pPr>
            <w:r>
              <w:rPr>
                <w:rStyle w:val="CharacterStyle12"/>
              </w:rPr>
              <w:t>0,00</w:t>
            </w:r>
          </w:p>
        </w:tc>
      </w:tr>
      <w:tr w:rsidR="007D706A" w14:paraId="2F2D192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97FF3BB" w14:textId="77777777" w:rsidR="007D706A" w:rsidRDefault="007D706A" w:rsidP="00F70508">
            <w:pPr>
              <w:pStyle w:val="ParagraphStyle10"/>
              <w:rPr>
                <w:rStyle w:val="CharacterStyle10"/>
              </w:rPr>
            </w:pPr>
            <w:r>
              <w:rPr>
                <w:rStyle w:val="CharacterStyle10"/>
              </w:rPr>
              <w:t>34</w:t>
            </w:r>
          </w:p>
        </w:tc>
        <w:tc>
          <w:tcPr>
            <w:tcW w:w="4995" w:type="dxa"/>
            <w:tcBorders>
              <w:bottom w:val="single" w:sz="6" w:space="0" w:color="000000"/>
              <w:right w:val="single" w:sz="6" w:space="0" w:color="000000"/>
            </w:tcBorders>
            <w:vAlign w:val="center"/>
          </w:tcPr>
          <w:p w14:paraId="5CB61AEF" w14:textId="77777777" w:rsidR="007D706A" w:rsidRDefault="007D706A" w:rsidP="00F70508">
            <w:pPr>
              <w:pStyle w:val="ParagraphStyle11"/>
              <w:rPr>
                <w:rStyle w:val="CharacterStyle11"/>
              </w:rPr>
            </w:pPr>
            <w:r>
              <w:rPr>
                <w:rStyle w:val="CharacterStyle11"/>
              </w:rPr>
              <w:t>Financijski rashodi</w:t>
            </w:r>
          </w:p>
        </w:tc>
        <w:tc>
          <w:tcPr>
            <w:tcW w:w="1395" w:type="dxa"/>
            <w:tcBorders>
              <w:bottom w:val="single" w:sz="6" w:space="0" w:color="000000"/>
              <w:right w:val="single" w:sz="6" w:space="0" w:color="000000"/>
            </w:tcBorders>
            <w:vAlign w:val="center"/>
          </w:tcPr>
          <w:p w14:paraId="5134200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7BDD19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81F2D6F" w14:textId="77777777" w:rsidR="007D706A" w:rsidRDefault="007D706A" w:rsidP="00F70508">
            <w:pPr>
              <w:pStyle w:val="ParagraphStyle12"/>
              <w:rPr>
                <w:rStyle w:val="CharacterStyle12"/>
              </w:rPr>
            </w:pPr>
            <w:r>
              <w:rPr>
                <w:rStyle w:val="CharacterStyle12"/>
              </w:rPr>
              <w:t>60,00</w:t>
            </w:r>
          </w:p>
        </w:tc>
        <w:tc>
          <w:tcPr>
            <w:tcW w:w="1395" w:type="dxa"/>
            <w:tcBorders>
              <w:bottom w:val="single" w:sz="6" w:space="0" w:color="000000"/>
              <w:right w:val="single" w:sz="6" w:space="0" w:color="000000"/>
            </w:tcBorders>
            <w:vAlign w:val="center"/>
          </w:tcPr>
          <w:p w14:paraId="4F1EB40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7EDF717" w14:textId="77777777" w:rsidR="007D706A" w:rsidRDefault="007D706A" w:rsidP="00F70508">
            <w:pPr>
              <w:pStyle w:val="ParagraphStyle12"/>
              <w:rPr>
                <w:rStyle w:val="CharacterStyle12"/>
              </w:rPr>
            </w:pPr>
            <w:r>
              <w:rPr>
                <w:rStyle w:val="CharacterStyle12"/>
              </w:rPr>
              <w:t>0,00</w:t>
            </w:r>
          </w:p>
        </w:tc>
      </w:tr>
      <w:tr w:rsidR="007D706A" w14:paraId="4553ECFF" w14:textId="77777777" w:rsidTr="00F70508">
        <w:trPr>
          <w:trHeight w:val="420"/>
        </w:trPr>
        <w:tc>
          <w:tcPr>
            <w:tcW w:w="2880" w:type="dxa"/>
            <w:tcBorders>
              <w:left w:val="single" w:sz="6" w:space="0" w:color="000000"/>
              <w:bottom w:val="single" w:sz="6" w:space="0" w:color="000000"/>
              <w:right w:val="single" w:sz="6" w:space="0" w:color="000000"/>
            </w:tcBorders>
            <w:vAlign w:val="center"/>
          </w:tcPr>
          <w:p w14:paraId="702BBBCC" w14:textId="77777777" w:rsidR="007D706A" w:rsidRDefault="007D706A" w:rsidP="00F70508">
            <w:pPr>
              <w:pStyle w:val="ParagraphStyle4"/>
              <w:rPr>
                <w:rStyle w:val="CharacterStyle4"/>
              </w:rPr>
            </w:pPr>
            <w:r>
              <w:rPr>
                <w:rStyle w:val="CharacterStyle4"/>
              </w:rPr>
              <w:t>RAZDJEL    002</w:t>
            </w:r>
          </w:p>
        </w:tc>
        <w:tc>
          <w:tcPr>
            <w:tcW w:w="4995" w:type="dxa"/>
            <w:tcBorders>
              <w:bottom w:val="single" w:sz="6" w:space="0" w:color="000000"/>
              <w:right w:val="single" w:sz="6" w:space="0" w:color="000000"/>
            </w:tcBorders>
            <w:vAlign w:val="center"/>
          </w:tcPr>
          <w:p w14:paraId="58D062E4" w14:textId="77777777" w:rsidR="007D706A" w:rsidRDefault="007D706A" w:rsidP="00F70508">
            <w:pPr>
              <w:pStyle w:val="ParagraphStyle5"/>
              <w:rPr>
                <w:rStyle w:val="CharacterStyle5"/>
              </w:rPr>
            </w:pPr>
            <w:r>
              <w:rPr>
                <w:rStyle w:val="CharacterStyle5"/>
              </w:rPr>
              <w:t>R - UPRAVNI ODJEL ZA FINANCIJE,PRORAČUN I NAPLATU PRIHODA</w:t>
            </w:r>
          </w:p>
        </w:tc>
        <w:tc>
          <w:tcPr>
            <w:tcW w:w="1395" w:type="dxa"/>
            <w:tcBorders>
              <w:bottom w:val="single" w:sz="6" w:space="0" w:color="000000"/>
              <w:right w:val="single" w:sz="6" w:space="0" w:color="000000"/>
            </w:tcBorders>
            <w:vAlign w:val="center"/>
          </w:tcPr>
          <w:p w14:paraId="4D6EA051"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280914F3" w14:textId="77777777" w:rsidR="007D706A" w:rsidRDefault="007D706A" w:rsidP="00F70508">
            <w:pPr>
              <w:pStyle w:val="ParagraphStyle6"/>
              <w:rPr>
                <w:rStyle w:val="CharacterStyle6"/>
              </w:rPr>
            </w:pPr>
            <w:r>
              <w:rPr>
                <w:rStyle w:val="CharacterStyle6"/>
              </w:rPr>
              <w:t>3.955.935,00</w:t>
            </w:r>
          </w:p>
        </w:tc>
        <w:tc>
          <w:tcPr>
            <w:tcW w:w="1395" w:type="dxa"/>
            <w:tcBorders>
              <w:bottom w:val="single" w:sz="6" w:space="0" w:color="000000"/>
              <w:right w:val="single" w:sz="6" w:space="0" w:color="000000"/>
            </w:tcBorders>
            <w:vAlign w:val="center"/>
          </w:tcPr>
          <w:p w14:paraId="7F7579BA" w14:textId="77777777" w:rsidR="007D706A" w:rsidRDefault="007D706A" w:rsidP="00F70508">
            <w:pPr>
              <w:pStyle w:val="ParagraphStyle6"/>
              <w:rPr>
                <w:rStyle w:val="CharacterStyle6"/>
              </w:rPr>
            </w:pPr>
            <w:r>
              <w:rPr>
                <w:rStyle w:val="CharacterStyle6"/>
              </w:rPr>
              <w:t>3.950.935,50</w:t>
            </w:r>
          </w:p>
        </w:tc>
        <w:tc>
          <w:tcPr>
            <w:tcW w:w="1395" w:type="dxa"/>
            <w:tcBorders>
              <w:bottom w:val="single" w:sz="6" w:space="0" w:color="000000"/>
              <w:right w:val="single" w:sz="6" w:space="0" w:color="000000"/>
            </w:tcBorders>
            <w:vAlign w:val="center"/>
          </w:tcPr>
          <w:p w14:paraId="58CBD166" w14:textId="77777777" w:rsidR="007D706A" w:rsidRDefault="007D706A" w:rsidP="00F70508">
            <w:pPr>
              <w:pStyle w:val="ParagraphStyle6"/>
              <w:rPr>
                <w:rStyle w:val="CharacterStyle6"/>
              </w:rPr>
            </w:pPr>
            <w:r>
              <w:rPr>
                <w:rStyle w:val="CharacterStyle6"/>
              </w:rPr>
              <w:t>3.999.146,86</w:t>
            </w:r>
          </w:p>
        </w:tc>
        <w:tc>
          <w:tcPr>
            <w:tcW w:w="1395" w:type="dxa"/>
            <w:tcBorders>
              <w:bottom w:val="single" w:sz="6" w:space="0" w:color="000000"/>
              <w:right w:val="single" w:sz="6" w:space="0" w:color="000000"/>
            </w:tcBorders>
            <w:vAlign w:val="center"/>
          </w:tcPr>
          <w:p w14:paraId="1E2D2793" w14:textId="77777777" w:rsidR="007D706A" w:rsidRDefault="007D706A" w:rsidP="00F70508">
            <w:pPr>
              <w:pStyle w:val="ParagraphStyle6"/>
              <w:rPr>
                <w:rStyle w:val="CharacterStyle6"/>
              </w:rPr>
            </w:pPr>
            <w:r>
              <w:rPr>
                <w:rStyle w:val="CharacterStyle6"/>
              </w:rPr>
              <w:t>4.087.218,78</w:t>
            </w:r>
          </w:p>
        </w:tc>
      </w:tr>
      <w:tr w:rsidR="007D706A" w14:paraId="0D0F1622" w14:textId="77777777" w:rsidTr="00F70508">
        <w:trPr>
          <w:trHeight w:val="405"/>
        </w:trPr>
        <w:tc>
          <w:tcPr>
            <w:tcW w:w="2880" w:type="dxa"/>
            <w:tcBorders>
              <w:left w:val="single" w:sz="6" w:space="0" w:color="000000"/>
              <w:bottom w:val="single" w:sz="6" w:space="0" w:color="000000"/>
              <w:right w:val="single" w:sz="6" w:space="0" w:color="000000"/>
            </w:tcBorders>
            <w:vAlign w:val="center"/>
          </w:tcPr>
          <w:p w14:paraId="3FB7CE20" w14:textId="77777777" w:rsidR="007D706A" w:rsidRDefault="007D706A" w:rsidP="00F70508">
            <w:pPr>
              <w:pStyle w:val="ParagraphStyle4"/>
              <w:rPr>
                <w:rStyle w:val="CharacterStyle4"/>
              </w:rPr>
            </w:pPr>
            <w:r>
              <w:rPr>
                <w:rStyle w:val="CharacterStyle4"/>
              </w:rPr>
              <w:t>GLAVA    00201</w:t>
            </w:r>
          </w:p>
        </w:tc>
        <w:tc>
          <w:tcPr>
            <w:tcW w:w="4995" w:type="dxa"/>
            <w:tcBorders>
              <w:bottom w:val="single" w:sz="6" w:space="0" w:color="000000"/>
              <w:right w:val="single" w:sz="6" w:space="0" w:color="000000"/>
            </w:tcBorders>
            <w:vAlign w:val="center"/>
          </w:tcPr>
          <w:p w14:paraId="096B7327" w14:textId="77777777" w:rsidR="007D706A" w:rsidRDefault="007D706A" w:rsidP="00F70508">
            <w:pPr>
              <w:pStyle w:val="ParagraphStyle5"/>
              <w:rPr>
                <w:rStyle w:val="CharacterStyle5"/>
              </w:rPr>
            </w:pPr>
            <w:r>
              <w:rPr>
                <w:rStyle w:val="CharacterStyle5"/>
              </w:rPr>
              <w:t>UPRAVNI ODJEL ZA FINANCIJE,PRORAČUN I NAPLATU PRIHODA</w:t>
            </w:r>
          </w:p>
        </w:tc>
        <w:tc>
          <w:tcPr>
            <w:tcW w:w="1395" w:type="dxa"/>
            <w:tcBorders>
              <w:bottom w:val="single" w:sz="6" w:space="0" w:color="000000"/>
              <w:right w:val="single" w:sz="6" w:space="0" w:color="000000"/>
            </w:tcBorders>
            <w:vAlign w:val="center"/>
          </w:tcPr>
          <w:p w14:paraId="7A2D4441"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35A06E72" w14:textId="77777777" w:rsidR="007D706A" w:rsidRDefault="007D706A" w:rsidP="00F70508">
            <w:pPr>
              <w:pStyle w:val="ParagraphStyle6"/>
              <w:rPr>
                <w:rStyle w:val="CharacterStyle6"/>
              </w:rPr>
            </w:pPr>
            <w:r>
              <w:rPr>
                <w:rStyle w:val="CharacterStyle6"/>
              </w:rPr>
              <w:t>3.955.935,00</w:t>
            </w:r>
          </w:p>
        </w:tc>
        <w:tc>
          <w:tcPr>
            <w:tcW w:w="1395" w:type="dxa"/>
            <w:tcBorders>
              <w:bottom w:val="single" w:sz="6" w:space="0" w:color="000000"/>
              <w:right w:val="single" w:sz="6" w:space="0" w:color="000000"/>
            </w:tcBorders>
            <w:vAlign w:val="center"/>
          </w:tcPr>
          <w:p w14:paraId="66B9D691" w14:textId="77777777" w:rsidR="007D706A" w:rsidRDefault="007D706A" w:rsidP="00F70508">
            <w:pPr>
              <w:pStyle w:val="ParagraphStyle6"/>
              <w:rPr>
                <w:rStyle w:val="CharacterStyle6"/>
              </w:rPr>
            </w:pPr>
            <w:r>
              <w:rPr>
                <w:rStyle w:val="CharacterStyle6"/>
              </w:rPr>
              <w:t>3.950.935,50</w:t>
            </w:r>
          </w:p>
        </w:tc>
        <w:tc>
          <w:tcPr>
            <w:tcW w:w="1395" w:type="dxa"/>
            <w:tcBorders>
              <w:bottom w:val="single" w:sz="6" w:space="0" w:color="000000"/>
              <w:right w:val="single" w:sz="6" w:space="0" w:color="000000"/>
            </w:tcBorders>
            <w:vAlign w:val="center"/>
          </w:tcPr>
          <w:p w14:paraId="026959A3" w14:textId="77777777" w:rsidR="007D706A" w:rsidRDefault="007D706A" w:rsidP="00F70508">
            <w:pPr>
              <w:pStyle w:val="ParagraphStyle6"/>
              <w:rPr>
                <w:rStyle w:val="CharacterStyle6"/>
              </w:rPr>
            </w:pPr>
            <w:r>
              <w:rPr>
                <w:rStyle w:val="CharacterStyle6"/>
              </w:rPr>
              <w:t>3.999.146,86</w:t>
            </w:r>
          </w:p>
        </w:tc>
        <w:tc>
          <w:tcPr>
            <w:tcW w:w="1395" w:type="dxa"/>
            <w:tcBorders>
              <w:bottom w:val="single" w:sz="6" w:space="0" w:color="000000"/>
              <w:right w:val="single" w:sz="6" w:space="0" w:color="000000"/>
            </w:tcBorders>
            <w:vAlign w:val="center"/>
          </w:tcPr>
          <w:p w14:paraId="1EA07757" w14:textId="77777777" w:rsidR="007D706A" w:rsidRDefault="007D706A" w:rsidP="00F70508">
            <w:pPr>
              <w:pStyle w:val="ParagraphStyle6"/>
              <w:rPr>
                <w:rStyle w:val="CharacterStyle6"/>
              </w:rPr>
            </w:pPr>
            <w:r>
              <w:rPr>
                <w:rStyle w:val="CharacterStyle6"/>
              </w:rPr>
              <w:t>4.087.218,78</w:t>
            </w:r>
          </w:p>
        </w:tc>
      </w:tr>
      <w:tr w:rsidR="007D706A" w14:paraId="3D63D5F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6D0D272" w14:textId="77777777" w:rsidR="007D706A" w:rsidRDefault="007D706A" w:rsidP="00F70508">
            <w:pPr>
              <w:pStyle w:val="ParagraphStyle4"/>
              <w:rPr>
                <w:rStyle w:val="CharacterStyle4"/>
              </w:rPr>
            </w:pPr>
            <w:r>
              <w:rPr>
                <w:rStyle w:val="CharacterStyle4"/>
              </w:rPr>
              <w:t>Izvor financiranja 11</w:t>
            </w:r>
          </w:p>
        </w:tc>
        <w:tc>
          <w:tcPr>
            <w:tcW w:w="4995" w:type="dxa"/>
            <w:tcBorders>
              <w:bottom w:val="single" w:sz="6" w:space="0" w:color="000000"/>
              <w:right w:val="single" w:sz="6" w:space="0" w:color="000000"/>
            </w:tcBorders>
            <w:vAlign w:val="center"/>
          </w:tcPr>
          <w:p w14:paraId="64262CD0" w14:textId="77777777" w:rsidR="007D706A" w:rsidRDefault="007D706A" w:rsidP="00F70508">
            <w:pPr>
              <w:pStyle w:val="ParagraphStyle5"/>
              <w:rPr>
                <w:rStyle w:val="CharacterStyle5"/>
              </w:rPr>
            </w:pPr>
            <w:r>
              <w:rPr>
                <w:rStyle w:val="CharacterStyle5"/>
              </w:rPr>
              <w:t>Opći prihodi i primici</w:t>
            </w:r>
          </w:p>
        </w:tc>
        <w:tc>
          <w:tcPr>
            <w:tcW w:w="1395" w:type="dxa"/>
            <w:tcBorders>
              <w:bottom w:val="single" w:sz="6" w:space="0" w:color="000000"/>
              <w:right w:val="single" w:sz="6" w:space="0" w:color="000000"/>
            </w:tcBorders>
            <w:vAlign w:val="center"/>
          </w:tcPr>
          <w:p w14:paraId="279219C1"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2AF2D40F" w14:textId="77777777" w:rsidR="007D706A" w:rsidRDefault="007D706A" w:rsidP="00F70508">
            <w:pPr>
              <w:pStyle w:val="ParagraphStyle6"/>
              <w:rPr>
                <w:rStyle w:val="CharacterStyle6"/>
              </w:rPr>
            </w:pPr>
            <w:r>
              <w:rPr>
                <w:rStyle w:val="CharacterStyle6"/>
              </w:rPr>
              <w:t>3.474.358,95</w:t>
            </w:r>
          </w:p>
        </w:tc>
        <w:tc>
          <w:tcPr>
            <w:tcW w:w="1395" w:type="dxa"/>
            <w:tcBorders>
              <w:bottom w:val="single" w:sz="6" w:space="0" w:color="000000"/>
              <w:right w:val="single" w:sz="6" w:space="0" w:color="000000"/>
            </w:tcBorders>
            <w:vAlign w:val="center"/>
          </w:tcPr>
          <w:p w14:paraId="40BE2036" w14:textId="77777777" w:rsidR="007D706A" w:rsidRDefault="007D706A" w:rsidP="00F70508">
            <w:pPr>
              <w:pStyle w:val="ParagraphStyle6"/>
              <w:rPr>
                <w:rStyle w:val="CharacterStyle6"/>
              </w:rPr>
            </w:pPr>
            <w:r>
              <w:rPr>
                <w:rStyle w:val="CharacterStyle6"/>
              </w:rPr>
              <w:t>3.950.935,50</w:t>
            </w:r>
          </w:p>
        </w:tc>
        <w:tc>
          <w:tcPr>
            <w:tcW w:w="1395" w:type="dxa"/>
            <w:tcBorders>
              <w:bottom w:val="single" w:sz="6" w:space="0" w:color="000000"/>
              <w:right w:val="single" w:sz="6" w:space="0" w:color="000000"/>
            </w:tcBorders>
            <w:vAlign w:val="center"/>
          </w:tcPr>
          <w:p w14:paraId="58E68C82" w14:textId="77777777" w:rsidR="007D706A" w:rsidRDefault="007D706A" w:rsidP="00F70508">
            <w:pPr>
              <w:pStyle w:val="ParagraphStyle6"/>
              <w:rPr>
                <w:rStyle w:val="CharacterStyle6"/>
              </w:rPr>
            </w:pPr>
            <w:r>
              <w:rPr>
                <w:rStyle w:val="CharacterStyle6"/>
              </w:rPr>
              <w:t>3.999.146,86</w:t>
            </w:r>
          </w:p>
        </w:tc>
        <w:tc>
          <w:tcPr>
            <w:tcW w:w="1395" w:type="dxa"/>
            <w:tcBorders>
              <w:bottom w:val="single" w:sz="6" w:space="0" w:color="000000"/>
              <w:right w:val="single" w:sz="6" w:space="0" w:color="000000"/>
            </w:tcBorders>
            <w:vAlign w:val="center"/>
          </w:tcPr>
          <w:p w14:paraId="1FA94FB7" w14:textId="77777777" w:rsidR="007D706A" w:rsidRDefault="007D706A" w:rsidP="00F70508">
            <w:pPr>
              <w:pStyle w:val="ParagraphStyle6"/>
              <w:rPr>
                <w:rStyle w:val="CharacterStyle6"/>
              </w:rPr>
            </w:pPr>
            <w:r>
              <w:rPr>
                <w:rStyle w:val="CharacterStyle6"/>
              </w:rPr>
              <w:t>4.087.218,78</w:t>
            </w:r>
          </w:p>
        </w:tc>
      </w:tr>
      <w:tr w:rsidR="007D706A" w14:paraId="1482106C" w14:textId="77777777" w:rsidTr="00F70508">
        <w:trPr>
          <w:trHeight w:val="420"/>
        </w:trPr>
        <w:tc>
          <w:tcPr>
            <w:tcW w:w="2880" w:type="dxa"/>
            <w:tcBorders>
              <w:left w:val="single" w:sz="6" w:space="0" w:color="000000"/>
              <w:bottom w:val="single" w:sz="6" w:space="0" w:color="000000"/>
              <w:right w:val="single" w:sz="6" w:space="0" w:color="000000"/>
            </w:tcBorders>
            <w:vAlign w:val="center"/>
          </w:tcPr>
          <w:p w14:paraId="3A13CD81" w14:textId="77777777" w:rsidR="007D706A" w:rsidRDefault="007D706A" w:rsidP="00F70508">
            <w:pPr>
              <w:pStyle w:val="ParagraphStyle4"/>
              <w:rPr>
                <w:rStyle w:val="CharacterStyle4"/>
              </w:rPr>
            </w:pPr>
            <w:r>
              <w:rPr>
                <w:rStyle w:val="CharacterStyle4"/>
              </w:rPr>
              <w:lastRenderedPageBreak/>
              <w:t>Izvor financiranja 71</w:t>
            </w:r>
          </w:p>
        </w:tc>
        <w:tc>
          <w:tcPr>
            <w:tcW w:w="4995" w:type="dxa"/>
            <w:tcBorders>
              <w:bottom w:val="single" w:sz="6" w:space="0" w:color="000000"/>
              <w:right w:val="single" w:sz="6" w:space="0" w:color="000000"/>
            </w:tcBorders>
            <w:vAlign w:val="center"/>
          </w:tcPr>
          <w:p w14:paraId="24BF9BDE" w14:textId="77777777" w:rsidR="007D706A" w:rsidRDefault="007D706A" w:rsidP="00F70508">
            <w:pPr>
              <w:pStyle w:val="ParagraphStyle5"/>
              <w:rPr>
                <w:rStyle w:val="CharacterStyle5"/>
              </w:rPr>
            </w:pPr>
            <w:r>
              <w:rPr>
                <w:rStyle w:val="CharacterStyle5"/>
              </w:rPr>
              <w:t>Prihodi od prodaje ili zamjene nefinancijske imovine i naknade s naslova osiguranja</w:t>
            </w:r>
          </w:p>
        </w:tc>
        <w:tc>
          <w:tcPr>
            <w:tcW w:w="1395" w:type="dxa"/>
            <w:tcBorders>
              <w:bottom w:val="single" w:sz="6" w:space="0" w:color="000000"/>
              <w:right w:val="single" w:sz="6" w:space="0" w:color="000000"/>
            </w:tcBorders>
            <w:vAlign w:val="center"/>
          </w:tcPr>
          <w:p w14:paraId="65CB4A7E"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42F5C27A" w14:textId="77777777" w:rsidR="007D706A" w:rsidRDefault="007D706A" w:rsidP="00F70508">
            <w:pPr>
              <w:pStyle w:val="ParagraphStyle6"/>
              <w:rPr>
                <w:rStyle w:val="CharacterStyle6"/>
              </w:rPr>
            </w:pPr>
            <w:r>
              <w:rPr>
                <w:rStyle w:val="CharacterStyle6"/>
              </w:rPr>
              <w:t>469.900,00</w:t>
            </w:r>
          </w:p>
        </w:tc>
        <w:tc>
          <w:tcPr>
            <w:tcW w:w="1395" w:type="dxa"/>
            <w:tcBorders>
              <w:bottom w:val="single" w:sz="6" w:space="0" w:color="000000"/>
              <w:right w:val="single" w:sz="6" w:space="0" w:color="000000"/>
            </w:tcBorders>
            <w:vAlign w:val="center"/>
          </w:tcPr>
          <w:p w14:paraId="6932A214"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5680B859"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232D1B6E" w14:textId="77777777" w:rsidR="007D706A" w:rsidRDefault="007D706A" w:rsidP="00F70508">
            <w:pPr>
              <w:pStyle w:val="ParagraphStyle6"/>
              <w:rPr>
                <w:rStyle w:val="CharacterStyle6"/>
              </w:rPr>
            </w:pPr>
            <w:r>
              <w:rPr>
                <w:rStyle w:val="CharacterStyle6"/>
              </w:rPr>
              <w:t>0,00</w:t>
            </w:r>
          </w:p>
        </w:tc>
      </w:tr>
      <w:tr w:rsidR="007D706A" w14:paraId="5E81B85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CBCC152" w14:textId="77777777" w:rsidR="007D706A" w:rsidRDefault="007D706A" w:rsidP="00F70508">
            <w:pPr>
              <w:pStyle w:val="ParagraphStyle4"/>
              <w:rPr>
                <w:rStyle w:val="CharacterStyle4"/>
              </w:rPr>
            </w:pPr>
            <w:r>
              <w:rPr>
                <w:rStyle w:val="CharacterStyle4"/>
              </w:rPr>
              <w:t>Izvor financiranja 82</w:t>
            </w:r>
          </w:p>
        </w:tc>
        <w:tc>
          <w:tcPr>
            <w:tcW w:w="4995" w:type="dxa"/>
            <w:tcBorders>
              <w:bottom w:val="single" w:sz="6" w:space="0" w:color="000000"/>
              <w:right w:val="single" w:sz="6" w:space="0" w:color="000000"/>
            </w:tcBorders>
            <w:vAlign w:val="center"/>
          </w:tcPr>
          <w:p w14:paraId="50514892" w14:textId="77777777" w:rsidR="007D706A" w:rsidRDefault="007D706A" w:rsidP="00F70508">
            <w:pPr>
              <w:pStyle w:val="ParagraphStyle5"/>
              <w:rPr>
                <w:rStyle w:val="CharacterStyle5"/>
              </w:rPr>
            </w:pPr>
            <w:r>
              <w:rPr>
                <w:rStyle w:val="CharacterStyle5"/>
              </w:rPr>
              <w:t>Preneseni viškovi iz ranijih godina</w:t>
            </w:r>
          </w:p>
        </w:tc>
        <w:tc>
          <w:tcPr>
            <w:tcW w:w="1395" w:type="dxa"/>
            <w:tcBorders>
              <w:bottom w:val="single" w:sz="6" w:space="0" w:color="000000"/>
              <w:right w:val="single" w:sz="6" w:space="0" w:color="000000"/>
            </w:tcBorders>
            <w:vAlign w:val="center"/>
          </w:tcPr>
          <w:p w14:paraId="5959E473"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689E00B1" w14:textId="77777777" w:rsidR="007D706A" w:rsidRDefault="007D706A" w:rsidP="00F70508">
            <w:pPr>
              <w:pStyle w:val="ParagraphStyle6"/>
              <w:rPr>
                <w:rStyle w:val="CharacterStyle6"/>
              </w:rPr>
            </w:pPr>
            <w:r>
              <w:rPr>
                <w:rStyle w:val="CharacterStyle6"/>
              </w:rPr>
              <w:t>11.676,05</w:t>
            </w:r>
          </w:p>
        </w:tc>
        <w:tc>
          <w:tcPr>
            <w:tcW w:w="1395" w:type="dxa"/>
            <w:tcBorders>
              <w:bottom w:val="single" w:sz="6" w:space="0" w:color="000000"/>
              <w:right w:val="single" w:sz="6" w:space="0" w:color="000000"/>
            </w:tcBorders>
            <w:vAlign w:val="center"/>
          </w:tcPr>
          <w:p w14:paraId="108D7C3E"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1EE40641"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2CD0BA24" w14:textId="77777777" w:rsidR="007D706A" w:rsidRDefault="007D706A" w:rsidP="00F70508">
            <w:pPr>
              <w:pStyle w:val="ParagraphStyle6"/>
              <w:rPr>
                <w:rStyle w:val="CharacterStyle6"/>
              </w:rPr>
            </w:pPr>
            <w:r>
              <w:rPr>
                <w:rStyle w:val="CharacterStyle6"/>
              </w:rPr>
              <w:t>0,00</w:t>
            </w:r>
          </w:p>
        </w:tc>
      </w:tr>
      <w:tr w:rsidR="007D706A" w14:paraId="45A2028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189C377" w14:textId="77777777" w:rsidR="007D706A" w:rsidRDefault="007D706A" w:rsidP="00F70508">
            <w:pPr>
              <w:pStyle w:val="ParagraphStyle4"/>
              <w:rPr>
                <w:rStyle w:val="CharacterStyle4"/>
              </w:rPr>
            </w:pPr>
            <w:r>
              <w:rPr>
                <w:rStyle w:val="CharacterStyle4"/>
              </w:rPr>
              <w:t>PROGRAM    1004</w:t>
            </w:r>
          </w:p>
        </w:tc>
        <w:tc>
          <w:tcPr>
            <w:tcW w:w="4995" w:type="dxa"/>
            <w:tcBorders>
              <w:bottom w:val="single" w:sz="6" w:space="0" w:color="000000"/>
              <w:right w:val="single" w:sz="6" w:space="0" w:color="000000"/>
            </w:tcBorders>
            <w:vAlign w:val="center"/>
          </w:tcPr>
          <w:p w14:paraId="0D1C6840" w14:textId="77777777" w:rsidR="007D706A" w:rsidRDefault="007D706A" w:rsidP="00F70508">
            <w:pPr>
              <w:pStyle w:val="ParagraphStyle5"/>
              <w:rPr>
                <w:rStyle w:val="CharacterStyle5"/>
              </w:rPr>
            </w:pPr>
            <w:r>
              <w:rPr>
                <w:rStyle w:val="CharacterStyle5"/>
              </w:rPr>
              <w:t>SERVISIRANJE JAVNOG DUGA GRADA</w:t>
            </w:r>
          </w:p>
        </w:tc>
        <w:tc>
          <w:tcPr>
            <w:tcW w:w="1395" w:type="dxa"/>
            <w:tcBorders>
              <w:bottom w:val="single" w:sz="6" w:space="0" w:color="000000"/>
              <w:right w:val="single" w:sz="6" w:space="0" w:color="000000"/>
            </w:tcBorders>
            <w:vAlign w:val="center"/>
          </w:tcPr>
          <w:p w14:paraId="15D825AF"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202A7A86" w14:textId="77777777" w:rsidR="007D706A" w:rsidRDefault="007D706A" w:rsidP="00F70508">
            <w:pPr>
              <w:pStyle w:val="ParagraphStyle6"/>
              <w:rPr>
                <w:rStyle w:val="CharacterStyle6"/>
              </w:rPr>
            </w:pPr>
            <w:r>
              <w:rPr>
                <w:rStyle w:val="CharacterStyle6"/>
              </w:rPr>
              <w:t>545.000,00</w:t>
            </w:r>
          </w:p>
        </w:tc>
        <w:tc>
          <w:tcPr>
            <w:tcW w:w="1395" w:type="dxa"/>
            <w:tcBorders>
              <w:bottom w:val="single" w:sz="6" w:space="0" w:color="000000"/>
              <w:right w:val="single" w:sz="6" w:space="0" w:color="000000"/>
            </w:tcBorders>
            <w:vAlign w:val="center"/>
          </w:tcPr>
          <w:p w14:paraId="18AB3941" w14:textId="77777777" w:rsidR="007D706A" w:rsidRDefault="007D706A" w:rsidP="00F70508">
            <w:pPr>
              <w:pStyle w:val="ParagraphStyle6"/>
              <w:rPr>
                <w:rStyle w:val="CharacterStyle6"/>
              </w:rPr>
            </w:pPr>
            <w:r>
              <w:rPr>
                <w:rStyle w:val="CharacterStyle6"/>
              </w:rPr>
              <w:t>540.000,00</w:t>
            </w:r>
          </w:p>
        </w:tc>
        <w:tc>
          <w:tcPr>
            <w:tcW w:w="1395" w:type="dxa"/>
            <w:tcBorders>
              <w:bottom w:val="single" w:sz="6" w:space="0" w:color="000000"/>
              <w:right w:val="single" w:sz="6" w:space="0" w:color="000000"/>
            </w:tcBorders>
            <w:vAlign w:val="center"/>
          </w:tcPr>
          <w:p w14:paraId="7BC02C88" w14:textId="77777777" w:rsidR="007D706A" w:rsidRDefault="007D706A" w:rsidP="00F70508">
            <w:pPr>
              <w:pStyle w:val="ParagraphStyle6"/>
              <w:rPr>
                <w:rStyle w:val="CharacterStyle6"/>
              </w:rPr>
            </w:pPr>
            <w:r>
              <w:rPr>
                <w:rStyle w:val="CharacterStyle6"/>
              </w:rPr>
              <w:t>538.000,00</w:t>
            </w:r>
          </w:p>
        </w:tc>
        <w:tc>
          <w:tcPr>
            <w:tcW w:w="1395" w:type="dxa"/>
            <w:tcBorders>
              <w:bottom w:val="single" w:sz="6" w:space="0" w:color="000000"/>
              <w:right w:val="single" w:sz="6" w:space="0" w:color="000000"/>
            </w:tcBorders>
            <w:vAlign w:val="center"/>
          </w:tcPr>
          <w:p w14:paraId="167946E8" w14:textId="77777777" w:rsidR="007D706A" w:rsidRDefault="007D706A" w:rsidP="00F70508">
            <w:pPr>
              <w:pStyle w:val="ParagraphStyle6"/>
              <w:rPr>
                <w:rStyle w:val="CharacterStyle6"/>
              </w:rPr>
            </w:pPr>
            <w:r>
              <w:rPr>
                <w:rStyle w:val="CharacterStyle6"/>
              </w:rPr>
              <w:t>535.000,00</w:t>
            </w:r>
          </w:p>
        </w:tc>
      </w:tr>
      <w:tr w:rsidR="007D706A" w14:paraId="04E8E8B5" w14:textId="77777777" w:rsidTr="00F70508">
        <w:trPr>
          <w:trHeight w:val="405"/>
        </w:trPr>
        <w:tc>
          <w:tcPr>
            <w:tcW w:w="2880" w:type="dxa"/>
            <w:tcBorders>
              <w:left w:val="single" w:sz="6" w:space="0" w:color="000000"/>
              <w:bottom w:val="single" w:sz="6" w:space="0" w:color="000000"/>
              <w:right w:val="single" w:sz="6" w:space="0" w:color="000000"/>
            </w:tcBorders>
            <w:vAlign w:val="center"/>
          </w:tcPr>
          <w:p w14:paraId="7347E37C" w14:textId="77777777" w:rsidR="007D706A" w:rsidRDefault="007D706A" w:rsidP="00F70508">
            <w:pPr>
              <w:pStyle w:val="ParagraphStyle4"/>
              <w:rPr>
                <w:rStyle w:val="CharacterStyle4"/>
              </w:rPr>
            </w:pPr>
            <w:r>
              <w:rPr>
                <w:rStyle w:val="CharacterStyle4"/>
              </w:rPr>
              <w:t>Aktivnost A100408</w:t>
            </w:r>
          </w:p>
        </w:tc>
        <w:tc>
          <w:tcPr>
            <w:tcW w:w="4995" w:type="dxa"/>
            <w:tcBorders>
              <w:bottom w:val="single" w:sz="6" w:space="0" w:color="000000"/>
              <w:right w:val="single" w:sz="6" w:space="0" w:color="000000"/>
            </w:tcBorders>
            <w:vAlign w:val="center"/>
          </w:tcPr>
          <w:p w14:paraId="27EF0236" w14:textId="77777777" w:rsidR="007D706A" w:rsidRDefault="007D706A" w:rsidP="00F70508">
            <w:pPr>
              <w:pStyle w:val="ParagraphStyle5"/>
              <w:rPr>
                <w:rStyle w:val="CharacterStyle5"/>
              </w:rPr>
            </w:pPr>
            <w:r>
              <w:rPr>
                <w:rStyle w:val="CharacterStyle5"/>
              </w:rPr>
              <w:t>OTPLATA KREDITA MB 2917 UZETOG PUTEM VALBRUNA SPORT D.O.O. ROVINJ-ROVIGNO</w:t>
            </w:r>
          </w:p>
        </w:tc>
        <w:tc>
          <w:tcPr>
            <w:tcW w:w="1395" w:type="dxa"/>
            <w:tcBorders>
              <w:bottom w:val="single" w:sz="6" w:space="0" w:color="000000"/>
              <w:right w:val="single" w:sz="6" w:space="0" w:color="000000"/>
            </w:tcBorders>
            <w:vAlign w:val="center"/>
          </w:tcPr>
          <w:p w14:paraId="17349654"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5777DDA5" w14:textId="77777777" w:rsidR="007D706A" w:rsidRDefault="007D706A" w:rsidP="00F70508">
            <w:pPr>
              <w:pStyle w:val="ParagraphStyle6"/>
              <w:rPr>
                <w:rStyle w:val="CharacterStyle6"/>
              </w:rPr>
            </w:pPr>
            <w:r>
              <w:rPr>
                <w:rStyle w:val="CharacterStyle6"/>
              </w:rPr>
              <w:t>545.000,00</w:t>
            </w:r>
          </w:p>
        </w:tc>
        <w:tc>
          <w:tcPr>
            <w:tcW w:w="1395" w:type="dxa"/>
            <w:tcBorders>
              <w:bottom w:val="single" w:sz="6" w:space="0" w:color="000000"/>
              <w:right w:val="single" w:sz="6" w:space="0" w:color="000000"/>
            </w:tcBorders>
            <w:vAlign w:val="center"/>
          </w:tcPr>
          <w:p w14:paraId="2C7EE792" w14:textId="77777777" w:rsidR="007D706A" w:rsidRDefault="007D706A" w:rsidP="00F70508">
            <w:pPr>
              <w:pStyle w:val="ParagraphStyle6"/>
              <w:rPr>
                <w:rStyle w:val="CharacterStyle6"/>
              </w:rPr>
            </w:pPr>
            <w:r>
              <w:rPr>
                <w:rStyle w:val="CharacterStyle6"/>
              </w:rPr>
              <w:t>540.000,00</w:t>
            </w:r>
          </w:p>
        </w:tc>
        <w:tc>
          <w:tcPr>
            <w:tcW w:w="1395" w:type="dxa"/>
            <w:tcBorders>
              <w:bottom w:val="single" w:sz="6" w:space="0" w:color="000000"/>
              <w:right w:val="single" w:sz="6" w:space="0" w:color="000000"/>
            </w:tcBorders>
            <w:vAlign w:val="center"/>
          </w:tcPr>
          <w:p w14:paraId="1B86A3B5" w14:textId="77777777" w:rsidR="007D706A" w:rsidRDefault="007D706A" w:rsidP="00F70508">
            <w:pPr>
              <w:pStyle w:val="ParagraphStyle6"/>
              <w:rPr>
                <w:rStyle w:val="CharacterStyle6"/>
              </w:rPr>
            </w:pPr>
            <w:r>
              <w:rPr>
                <w:rStyle w:val="CharacterStyle6"/>
              </w:rPr>
              <w:t>538.000,00</w:t>
            </w:r>
          </w:p>
        </w:tc>
        <w:tc>
          <w:tcPr>
            <w:tcW w:w="1395" w:type="dxa"/>
            <w:tcBorders>
              <w:bottom w:val="single" w:sz="6" w:space="0" w:color="000000"/>
              <w:right w:val="single" w:sz="6" w:space="0" w:color="000000"/>
            </w:tcBorders>
            <w:vAlign w:val="center"/>
          </w:tcPr>
          <w:p w14:paraId="17431E2A" w14:textId="77777777" w:rsidR="007D706A" w:rsidRDefault="007D706A" w:rsidP="00F70508">
            <w:pPr>
              <w:pStyle w:val="ParagraphStyle6"/>
              <w:rPr>
                <w:rStyle w:val="CharacterStyle6"/>
              </w:rPr>
            </w:pPr>
            <w:r>
              <w:rPr>
                <w:rStyle w:val="CharacterStyle6"/>
              </w:rPr>
              <w:t>535.000,00</w:t>
            </w:r>
          </w:p>
        </w:tc>
      </w:tr>
      <w:tr w:rsidR="007D706A" w14:paraId="6AE557C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6342B1D"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4A66DCB0"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672D2E2B"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B51067B" w14:textId="77777777" w:rsidR="007D706A" w:rsidRDefault="007D706A" w:rsidP="00F70508">
            <w:pPr>
              <w:pStyle w:val="ParagraphStyle9"/>
              <w:rPr>
                <w:rStyle w:val="CharacterStyle9"/>
              </w:rPr>
            </w:pPr>
            <w:r>
              <w:rPr>
                <w:rStyle w:val="CharacterStyle9"/>
              </w:rPr>
              <w:t>75.100,00</w:t>
            </w:r>
          </w:p>
        </w:tc>
        <w:tc>
          <w:tcPr>
            <w:tcW w:w="1395" w:type="dxa"/>
            <w:tcBorders>
              <w:bottom w:val="single" w:sz="6" w:space="0" w:color="000000"/>
              <w:right w:val="single" w:sz="6" w:space="0" w:color="000000"/>
            </w:tcBorders>
            <w:vAlign w:val="center"/>
          </w:tcPr>
          <w:p w14:paraId="7E7274DF" w14:textId="77777777" w:rsidR="007D706A" w:rsidRDefault="007D706A" w:rsidP="00F70508">
            <w:pPr>
              <w:pStyle w:val="ParagraphStyle9"/>
              <w:rPr>
                <w:rStyle w:val="CharacterStyle9"/>
              </w:rPr>
            </w:pPr>
            <w:r>
              <w:rPr>
                <w:rStyle w:val="CharacterStyle9"/>
              </w:rPr>
              <w:t>540.000,00</w:t>
            </w:r>
          </w:p>
        </w:tc>
        <w:tc>
          <w:tcPr>
            <w:tcW w:w="1395" w:type="dxa"/>
            <w:tcBorders>
              <w:bottom w:val="single" w:sz="6" w:space="0" w:color="000000"/>
              <w:right w:val="single" w:sz="6" w:space="0" w:color="000000"/>
            </w:tcBorders>
            <w:vAlign w:val="center"/>
          </w:tcPr>
          <w:p w14:paraId="07FA8733" w14:textId="77777777" w:rsidR="007D706A" w:rsidRDefault="007D706A" w:rsidP="00F70508">
            <w:pPr>
              <w:pStyle w:val="ParagraphStyle9"/>
              <w:rPr>
                <w:rStyle w:val="CharacterStyle9"/>
              </w:rPr>
            </w:pPr>
            <w:r>
              <w:rPr>
                <w:rStyle w:val="CharacterStyle9"/>
              </w:rPr>
              <w:t>538.000,00</w:t>
            </w:r>
          </w:p>
        </w:tc>
        <w:tc>
          <w:tcPr>
            <w:tcW w:w="1395" w:type="dxa"/>
            <w:tcBorders>
              <w:bottom w:val="single" w:sz="6" w:space="0" w:color="000000"/>
              <w:right w:val="single" w:sz="6" w:space="0" w:color="000000"/>
            </w:tcBorders>
            <w:vAlign w:val="center"/>
          </w:tcPr>
          <w:p w14:paraId="3121707E" w14:textId="77777777" w:rsidR="007D706A" w:rsidRDefault="007D706A" w:rsidP="00F70508">
            <w:pPr>
              <w:pStyle w:val="ParagraphStyle9"/>
              <w:rPr>
                <w:rStyle w:val="CharacterStyle9"/>
              </w:rPr>
            </w:pPr>
            <w:r>
              <w:rPr>
                <w:rStyle w:val="CharacterStyle9"/>
              </w:rPr>
              <w:t>535.000,00</w:t>
            </w:r>
          </w:p>
        </w:tc>
      </w:tr>
      <w:tr w:rsidR="007D706A" w14:paraId="33060CC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B6479FA"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58A85731"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4D25D7E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FD7ADDA" w14:textId="77777777" w:rsidR="007D706A" w:rsidRDefault="007D706A" w:rsidP="00F70508">
            <w:pPr>
              <w:pStyle w:val="ParagraphStyle12"/>
              <w:rPr>
                <w:rStyle w:val="CharacterStyle12"/>
              </w:rPr>
            </w:pPr>
            <w:r>
              <w:rPr>
                <w:rStyle w:val="CharacterStyle12"/>
              </w:rPr>
              <w:t>75.100,00</w:t>
            </w:r>
          </w:p>
        </w:tc>
        <w:tc>
          <w:tcPr>
            <w:tcW w:w="1395" w:type="dxa"/>
            <w:tcBorders>
              <w:bottom w:val="single" w:sz="6" w:space="0" w:color="000000"/>
              <w:right w:val="single" w:sz="6" w:space="0" w:color="000000"/>
            </w:tcBorders>
            <w:vAlign w:val="center"/>
          </w:tcPr>
          <w:p w14:paraId="5035593D" w14:textId="77777777" w:rsidR="007D706A" w:rsidRDefault="007D706A" w:rsidP="00F70508">
            <w:pPr>
              <w:pStyle w:val="ParagraphStyle12"/>
              <w:rPr>
                <w:rStyle w:val="CharacterStyle12"/>
              </w:rPr>
            </w:pPr>
            <w:r>
              <w:rPr>
                <w:rStyle w:val="CharacterStyle12"/>
              </w:rPr>
              <w:t>540.000,00</w:t>
            </w:r>
          </w:p>
        </w:tc>
        <w:tc>
          <w:tcPr>
            <w:tcW w:w="1395" w:type="dxa"/>
            <w:tcBorders>
              <w:bottom w:val="single" w:sz="6" w:space="0" w:color="000000"/>
              <w:right w:val="single" w:sz="6" w:space="0" w:color="000000"/>
            </w:tcBorders>
            <w:vAlign w:val="center"/>
          </w:tcPr>
          <w:p w14:paraId="29AD5938" w14:textId="77777777" w:rsidR="007D706A" w:rsidRDefault="007D706A" w:rsidP="00F70508">
            <w:pPr>
              <w:pStyle w:val="ParagraphStyle12"/>
              <w:rPr>
                <w:rStyle w:val="CharacterStyle12"/>
              </w:rPr>
            </w:pPr>
            <w:r>
              <w:rPr>
                <w:rStyle w:val="CharacterStyle12"/>
              </w:rPr>
              <w:t>538.000,00</w:t>
            </w:r>
          </w:p>
        </w:tc>
        <w:tc>
          <w:tcPr>
            <w:tcW w:w="1395" w:type="dxa"/>
            <w:tcBorders>
              <w:bottom w:val="single" w:sz="6" w:space="0" w:color="000000"/>
              <w:right w:val="single" w:sz="6" w:space="0" w:color="000000"/>
            </w:tcBorders>
            <w:vAlign w:val="center"/>
          </w:tcPr>
          <w:p w14:paraId="7A448DEF" w14:textId="77777777" w:rsidR="007D706A" w:rsidRDefault="007D706A" w:rsidP="00F70508">
            <w:pPr>
              <w:pStyle w:val="ParagraphStyle12"/>
              <w:rPr>
                <w:rStyle w:val="CharacterStyle12"/>
              </w:rPr>
            </w:pPr>
            <w:r>
              <w:rPr>
                <w:rStyle w:val="CharacterStyle12"/>
              </w:rPr>
              <w:t>535.000,00</w:t>
            </w:r>
          </w:p>
        </w:tc>
      </w:tr>
      <w:tr w:rsidR="007D706A" w14:paraId="7829315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A25DB6F" w14:textId="77777777" w:rsidR="007D706A" w:rsidRDefault="007D706A" w:rsidP="00F70508">
            <w:pPr>
              <w:pStyle w:val="ParagraphStyle10"/>
              <w:rPr>
                <w:rStyle w:val="CharacterStyle10"/>
              </w:rPr>
            </w:pPr>
            <w:r>
              <w:rPr>
                <w:rStyle w:val="CharacterStyle10"/>
              </w:rPr>
              <w:t>38</w:t>
            </w:r>
          </w:p>
        </w:tc>
        <w:tc>
          <w:tcPr>
            <w:tcW w:w="4995" w:type="dxa"/>
            <w:tcBorders>
              <w:bottom w:val="single" w:sz="6" w:space="0" w:color="000000"/>
              <w:right w:val="single" w:sz="6" w:space="0" w:color="000000"/>
            </w:tcBorders>
            <w:vAlign w:val="center"/>
          </w:tcPr>
          <w:p w14:paraId="695FE552" w14:textId="77777777" w:rsidR="007D706A" w:rsidRDefault="007D706A" w:rsidP="00F70508">
            <w:pPr>
              <w:pStyle w:val="ParagraphStyle11"/>
              <w:rPr>
                <w:rStyle w:val="CharacterStyle11"/>
              </w:rPr>
            </w:pPr>
            <w:r>
              <w:rPr>
                <w:rStyle w:val="CharacterStyle11"/>
              </w:rPr>
              <w:t>Rashodi za donacije, kazne, naknade šteta i kapitalne pomoći</w:t>
            </w:r>
          </w:p>
        </w:tc>
        <w:tc>
          <w:tcPr>
            <w:tcW w:w="1395" w:type="dxa"/>
            <w:tcBorders>
              <w:bottom w:val="single" w:sz="6" w:space="0" w:color="000000"/>
              <w:right w:val="single" w:sz="6" w:space="0" w:color="000000"/>
            </w:tcBorders>
            <w:vAlign w:val="center"/>
          </w:tcPr>
          <w:p w14:paraId="1EED7D3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7EA7011" w14:textId="77777777" w:rsidR="007D706A" w:rsidRDefault="007D706A" w:rsidP="00F70508">
            <w:pPr>
              <w:pStyle w:val="ParagraphStyle12"/>
              <w:rPr>
                <w:rStyle w:val="CharacterStyle12"/>
              </w:rPr>
            </w:pPr>
            <w:r>
              <w:rPr>
                <w:rStyle w:val="CharacterStyle12"/>
              </w:rPr>
              <w:t>75.100,00</w:t>
            </w:r>
          </w:p>
        </w:tc>
        <w:tc>
          <w:tcPr>
            <w:tcW w:w="1395" w:type="dxa"/>
            <w:tcBorders>
              <w:bottom w:val="single" w:sz="6" w:space="0" w:color="000000"/>
              <w:right w:val="single" w:sz="6" w:space="0" w:color="000000"/>
            </w:tcBorders>
            <w:vAlign w:val="center"/>
          </w:tcPr>
          <w:p w14:paraId="17DA0D07" w14:textId="77777777" w:rsidR="007D706A" w:rsidRDefault="007D706A" w:rsidP="00F70508">
            <w:pPr>
              <w:pStyle w:val="ParagraphStyle12"/>
              <w:rPr>
                <w:rStyle w:val="CharacterStyle12"/>
              </w:rPr>
            </w:pPr>
            <w:r>
              <w:rPr>
                <w:rStyle w:val="CharacterStyle12"/>
              </w:rPr>
              <w:t>540.000,00</w:t>
            </w:r>
          </w:p>
        </w:tc>
        <w:tc>
          <w:tcPr>
            <w:tcW w:w="1395" w:type="dxa"/>
            <w:tcBorders>
              <w:bottom w:val="single" w:sz="6" w:space="0" w:color="000000"/>
              <w:right w:val="single" w:sz="6" w:space="0" w:color="000000"/>
            </w:tcBorders>
            <w:vAlign w:val="center"/>
          </w:tcPr>
          <w:p w14:paraId="233278A5" w14:textId="77777777" w:rsidR="007D706A" w:rsidRDefault="007D706A" w:rsidP="00F70508">
            <w:pPr>
              <w:pStyle w:val="ParagraphStyle12"/>
              <w:rPr>
                <w:rStyle w:val="CharacterStyle12"/>
              </w:rPr>
            </w:pPr>
            <w:r>
              <w:rPr>
                <w:rStyle w:val="CharacterStyle12"/>
              </w:rPr>
              <w:t>538.000,00</w:t>
            </w:r>
          </w:p>
        </w:tc>
        <w:tc>
          <w:tcPr>
            <w:tcW w:w="1395" w:type="dxa"/>
            <w:tcBorders>
              <w:bottom w:val="single" w:sz="6" w:space="0" w:color="000000"/>
              <w:right w:val="single" w:sz="6" w:space="0" w:color="000000"/>
            </w:tcBorders>
            <w:vAlign w:val="center"/>
          </w:tcPr>
          <w:p w14:paraId="624B2722" w14:textId="77777777" w:rsidR="007D706A" w:rsidRDefault="007D706A" w:rsidP="00F70508">
            <w:pPr>
              <w:pStyle w:val="ParagraphStyle12"/>
              <w:rPr>
                <w:rStyle w:val="CharacterStyle12"/>
              </w:rPr>
            </w:pPr>
            <w:r>
              <w:rPr>
                <w:rStyle w:val="CharacterStyle12"/>
              </w:rPr>
              <w:t>535.000,00</w:t>
            </w:r>
          </w:p>
        </w:tc>
      </w:tr>
      <w:tr w:rsidR="007D706A" w14:paraId="5BFBEC1F" w14:textId="77777777" w:rsidTr="00F70508">
        <w:trPr>
          <w:trHeight w:val="420"/>
        </w:trPr>
        <w:tc>
          <w:tcPr>
            <w:tcW w:w="2880" w:type="dxa"/>
            <w:tcBorders>
              <w:left w:val="single" w:sz="6" w:space="0" w:color="000000"/>
              <w:bottom w:val="single" w:sz="6" w:space="0" w:color="000000"/>
              <w:right w:val="single" w:sz="6" w:space="0" w:color="000000"/>
            </w:tcBorders>
            <w:vAlign w:val="center"/>
          </w:tcPr>
          <w:p w14:paraId="5F56EFAF" w14:textId="77777777" w:rsidR="007D706A" w:rsidRDefault="007D706A" w:rsidP="00F70508">
            <w:pPr>
              <w:pStyle w:val="ParagraphStyle7"/>
              <w:rPr>
                <w:rStyle w:val="CharacterStyle7"/>
              </w:rPr>
            </w:pPr>
            <w:r>
              <w:rPr>
                <w:rStyle w:val="CharacterStyle7"/>
              </w:rPr>
              <w:t>Izvor financiranja 71</w:t>
            </w:r>
          </w:p>
        </w:tc>
        <w:tc>
          <w:tcPr>
            <w:tcW w:w="4995" w:type="dxa"/>
            <w:tcBorders>
              <w:bottom w:val="single" w:sz="6" w:space="0" w:color="000000"/>
              <w:right w:val="single" w:sz="6" w:space="0" w:color="000000"/>
            </w:tcBorders>
            <w:vAlign w:val="center"/>
          </w:tcPr>
          <w:p w14:paraId="2535EA03" w14:textId="77777777" w:rsidR="007D706A" w:rsidRDefault="007D706A" w:rsidP="00F70508">
            <w:pPr>
              <w:pStyle w:val="ParagraphStyle8"/>
              <w:rPr>
                <w:rStyle w:val="CharacterStyle8"/>
              </w:rPr>
            </w:pPr>
            <w:r>
              <w:rPr>
                <w:rStyle w:val="CharacterStyle8"/>
              </w:rPr>
              <w:t>Prihodi od prodaje ili zamjene nefinancijske imovine i naknade s naslova osiguranja</w:t>
            </w:r>
          </w:p>
        </w:tc>
        <w:tc>
          <w:tcPr>
            <w:tcW w:w="1395" w:type="dxa"/>
            <w:tcBorders>
              <w:bottom w:val="single" w:sz="6" w:space="0" w:color="000000"/>
              <w:right w:val="single" w:sz="6" w:space="0" w:color="000000"/>
            </w:tcBorders>
            <w:vAlign w:val="center"/>
          </w:tcPr>
          <w:p w14:paraId="205F3BF9"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08C92DB" w14:textId="77777777" w:rsidR="007D706A" w:rsidRDefault="007D706A" w:rsidP="00F70508">
            <w:pPr>
              <w:pStyle w:val="ParagraphStyle9"/>
              <w:rPr>
                <w:rStyle w:val="CharacterStyle9"/>
              </w:rPr>
            </w:pPr>
            <w:r>
              <w:rPr>
                <w:rStyle w:val="CharacterStyle9"/>
              </w:rPr>
              <w:t>469.900,00</w:t>
            </w:r>
          </w:p>
        </w:tc>
        <w:tc>
          <w:tcPr>
            <w:tcW w:w="1395" w:type="dxa"/>
            <w:tcBorders>
              <w:bottom w:val="single" w:sz="6" w:space="0" w:color="000000"/>
              <w:right w:val="single" w:sz="6" w:space="0" w:color="000000"/>
            </w:tcBorders>
            <w:vAlign w:val="center"/>
          </w:tcPr>
          <w:p w14:paraId="2BEA9568"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17272F3"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EB0B425" w14:textId="77777777" w:rsidR="007D706A" w:rsidRDefault="007D706A" w:rsidP="00F70508">
            <w:pPr>
              <w:pStyle w:val="ParagraphStyle9"/>
              <w:rPr>
                <w:rStyle w:val="CharacterStyle9"/>
              </w:rPr>
            </w:pPr>
            <w:r>
              <w:rPr>
                <w:rStyle w:val="CharacterStyle9"/>
              </w:rPr>
              <w:t>0,00</w:t>
            </w:r>
          </w:p>
        </w:tc>
      </w:tr>
      <w:tr w:rsidR="007D706A" w14:paraId="2BFE82B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A9E44B0"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54BE1590"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1B4E184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E06CD10" w14:textId="77777777" w:rsidR="007D706A" w:rsidRDefault="007D706A" w:rsidP="00F70508">
            <w:pPr>
              <w:pStyle w:val="ParagraphStyle12"/>
              <w:rPr>
                <w:rStyle w:val="CharacterStyle12"/>
              </w:rPr>
            </w:pPr>
            <w:r>
              <w:rPr>
                <w:rStyle w:val="CharacterStyle12"/>
              </w:rPr>
              <w:t>469.900,00</w:t>
            </w:r>
          </w:p>
        </w:tc>
        <w:tc>
          <w:tcPr>
            <w:tcW w:w="1395" w:type="dxa"/>
            <w:tcBorders>
              <w:bottom w:val="single" w:sz="6" w:space="0" w:color="000000"/>
              <w:right w:val="single" w:sz="6" w:space="0" w:color="000000"/>
            </w:tcBorders>
            <w:vAlign w:val="center"/>
          </w:tcPr>
          <w:p w14:paraId="05F5B42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E0D381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C2E018F" w14:textId="77777777" w:rsidR="007D706A" w:rsidRDefault="007D706A" w:rsidP="00F70508">
            <w:pPr>
              <w:pStyle w:val="ParagraphStyle12"/>
              <w:rPr>
                <w:rStyle w:val="CharacterStyle12"/>
              </w:rPr>
            </w:pPr>
            <w:r>
              <w:rPr>
                <w:rStyle w:val="CharacterStyle12"/>
              </w:rPr>
              <w:t>0,00</w:t>
            </w:r>
          </w:p>
        </w:tc>
      </w:tr>
      <w:tr w:rsidR="007D706A" w14:paraId="6758697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DE8C5E5" w14:textId="77777777" w:rsidR="007D706A" w:rsidRDefault="007D706A" w:rsidP="00F70508">
            <w:pPr>
              <w:pStyle w:val="ParagraphStyle10"/>
              <w:rPr>
                <w:rStyle w:val="CharacterStyle10"/>
              </w:rPr>
            </w:pPr>
            <w:r>
              <w:rPr>
                <w:rStyle w:val="CharacterStyle10"/>
              </w:rPr>
              <w:t>38</w:t>
            </w:r>
          </w:p>
        </w:tc>
        <w:tc>
          <w:tcPr>
            <w:tcW w:w="4995" w:type="dxa"/>
            <w:tcBorders>
              <w:bottom w:val="single" w:sz="6" w:space="0" w:color="000000"/>
              <w:right w:val="single" w:sz="6" w:space="0" w:color="000000"/>
            </w:tcBorders>
            <w:vAlign w:val="center"/>
          </w:tcPr>
          <w:p w14:paraId="45FCDD39" w14:textId="77777777" w:rsidR="007D706A" w:rsidRDefault="007D706A" w:rsidP="00F70508">
            <w:pPr>
              <w:pStyle w:val="ParagraphStyle11"/>
              <w:rPr>
                <w:rStyle w:val="CharacterStyle11"/>
              </w:rPr>
            </w:pPr>
            <w:r>
              <w:rPr>
                <w:rStyle w:val="CharacterStyle11"/>
              </w:rPr>
              <w:t>Rashodi za donacije, kazne, naknade šteta i kapitalne pomoći</w:t>
            </w:r>
          </w:p>
        </w:tc>
        <w:tc>
          <w:tcPr>
            <w:tcW w:w="1395" w:type="dxa"/>
            <w:tcBorders>
              <w:bottom w:val="single" w:sz="6" w:space="0" w:color="000000"/>
              <w:right w:val="single" w:sz="6" w:space="0" w:color="000000"/>
            </w:tcBorders>
            <w:vAlign w:val="center"/>
          </w:tcPr>
          <w:p w14:paraId="10BFB74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5E754B9" w14:textId="77777777" w:rsidR="007D706A" w:rsidRDefault="007D706A" w:rsidP="00F70508">
            <w:pPr>
              <w:pStyle w:val="ParagraphStyle12"/>
              <w:rPr>
                <w:rStyle w:val="CharacterStyle12"/>
              </w:rPr>
            </w:pPr>
            <w:r>
              <w:rPr>
                <w:rStyle w:val="CharacterStyle12"/>
              </w:rPr>
              <w:t>469.900,00</w:t>
            </w:r>
          </w:p>
        </w:tc>
        <w:tc>
          <w:tcPr>
            <w:tcW w:w="1395" w:type="dxa"/>
            <w:tcBorders>
              <w:bottom w:val="single" w:sz="6" w:space="0" w:color="000000"/>
              <w:right w:val="single" w:sz="6" w:space="0" w:color="000000"/>
            </w:tcBorders>
            <w:vAlign w:val="center"/>
          </w:tcPr>
          <w:p w14:paraId="36A9F19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0A5B9B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0D1AFF6" w14:textId="77777777" w:rsidR="007D706A" w:rsidRDefault="007D706A" w:rsidP="00F70508">
            <w:pPr>
              <w:pStyle w:val="ParagraphStyle12"/>
              <w:rPr>
                <w:rStyle w:val="CharacterStyle12"/>
              </w:rPr>
            </w:pPr>
            <w:r>
              <w:rPr>
                <w:rStyle w:val="CharacterStyle12"/>
              </w:rPr>
              <w:t>0,00</w:t>
            </w:r>
          </w:p>
        </w:tc>
      </w:tr>
      <w:tr w:rsidR="007D706A" w14:paraId="51ED797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5D24EFF" w14:textId="77777777" w:rsidR="007D706A" w:rsidRDefault="007D706A" w:rsidP="00F70508">
            <w:pPr>
              <w:pStyle w:val="ParagraphStyle4"/>
              <w:rPr>
                <w:rStyle w:val="CharacterStyle4"/>
              </w:rPr>
            </w:pPr>
            <w:r>
              <w:rPr>
                <w:rStyle w:val="CharacterStyle4"/>
              </w:rPr>
              <w:t>PROGRAM    1005</w:t>
            </w:r>
          </w:p>
        </w:tc>
        <w:tc>
          <w:tcPr>
            <w:tcW w:w="4995" w:type="dxa"/>
            <w:tcBorders>
              <w:bottom w:val="single" w:sz="6" w:space="0" w:color="000000"/>
              <w:right w:val="single" w:sz="6" w:space="0" w:color="000000"/>
            </w:tcBorders>
            <w:vAlign w:val="center"/>
          </w:tcPr>
          <w:p w14:paraId="302D6DE5" w14:textId="77777777" w:rsidR="007D706A" w:rsidRDefault="007D706A" w:rsidP="00F70508">
            <w:pPr>
              <w:pStyle w:val="ParagraphStyle5"/>
              <w:rPr>
                <w:rStyle w:val="CharacterStyle5"/>
              </w:rPr>
            </w:pPr>
            <w:r>
              <w:rPr>
                <w:rStyle w:val="CharacterStyle5"/>
              </w:rPr>
              <w:t>RAZVOJ GRADSKE RIZNICE</w:t>
            </w:r>
          </w:p>
        </w:tc>
        <w:tc>
          <w:tcPr>
            <w:tcW w:w="1395" w:type="dxa"/>
            <w:tcBorders>
              <w:bottom w:val="single" w:sz="6" w:space="0" w:color="000000"/>
              <w:right w:val="single" w:sz="6" w:space="0" w:color="000000"/>
            </w:tcBorders>
            <w:vAlign w:val="center"/>
          </w:tcPr>
          <w:p w14:paraId="59DDBB30"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2A6307D7" w14:textId="77777777" w:rsidR="007D706A" w:rsidRDefault="007D706A" w:rsidP="00F70508">
            <w:pPr>
              <w:pStyle w:val="ParagraphStyle6"/>
              <w:rPr>
                <w:rStyle w:val="CharacterStyle6"/>
              </w:rPr>
            </w:pPr>
            <w:r>
              <w:rPr>
                <w:rStyle w:val="CharacterStyle6"/>
              </w:rPr>
              <w:t>22.998,00</w:t>
            </w:r>
          </w:p>
        </w:tc>
        <w:tc>
          <w:tcPr>
            <w:tcW w:w="1395" w:type="dxa"/>
            <w:tcBorders>
              <w:bottom w:val="single" w:sz="6" w:space="0" w:color="000000"/>
              <w:right w:val="single" w:sz="6" w:space="0" w:color="000000"/>
            </w:tcBorders>
            <w:vAlign w:val="center"/>
          </w:tcPr>
          <w:p w14:paraId="3430900F" w14:textId="77777777" w:rsidR="007D706A" w:rsidRDefault="007D706A" w:rsidP="00F70508">
            <w:pPr>
              <w:pStyle w:val="ParagraphStyle6"/>
              <w:rPr>
                <w:rStyle w:val="CharacterStyle6"/>
              </w:rPr>
            </w:pPr>
            <w:r>
              <w:rPr>
                <w:rStyle w:val="CharacterStyle6"/>
              </w:rPr>
              <w:t>22.998,00</w:t>
            </w:r>
          </w:p>
        </w:tc>
        <w:tc>
          <w:tcPr>
            <w:tcW w:w="1395" w:type="dxa"/>
            <w:tcBorders>
              <w:bottom w:val="single" w:sz="6" w:space="0" w:color="000000"/>
              <w:right w:val="single" w:sz="6" w:space="0" w:color="000000"/>
            </w:tcBorders>
            <w:vAlign w:val="center"/>
          </w:tcPr>
          <w:p w14:paraId="461357D4" w14:textId="77777777" w:rsidR="007D706A" w:rsidRDefault="007D706A" w:rsidP="00F70508">
            <w:pPr>
              <w:pStyle w:val="ParagraphStyle6"/>
              <w:rPr>
                <w:rStyle w:val="CharacterStyle6"/>
              </w:rPr>
            </w:pPr>
            <w:r>
              <w:rPr>
                <w:rStyle w:val="CharacterStyle6"/>
              </w:rPr>
              <w:t>23.100,00</w:t>
            </w:r>
          </w:p>
        </w:tc>
        <w:tc>
          <w:tcPr>
            <w:tcW w:w="1395" w:type="dxa"/>
            <w:tcBorders>
              <w:bottom w:val="single" w:sz="6" w:space="0" w:color="000000"/>
              <w:right w:val="single" w:sz="6" w:space="0" w:color="000000"/>
            </w:tcBorders>
            <w:vAlign w:val="center"/>
          </w:tcPr>
          <w:p w14:paraId="6F1D4BAF" w14:textId="77777777" w:rsidR="007D706A" w:rsidRDefault="007D706A" w:rsidP="00F70508">
            <w:pPr>
              <w:pStyle w:val="ParagraphStyle6"/>
              <w:rPr>
                <w:rStyle w:val="CharacterStyle6"/>
              </w:rPr>
            </w:pPr>
            <w:r>
              <w:rPr>
                <w:rStyle w:val="CharacterStyle6"/>
              </w:rPr>
              <w:t>23.950,00</w:t>
            </w:r>
          </w:p>
        </w:tc>
      </w:tr>
      <w:tr w:rsidR="007D706A" w14:paraId="32051FA6"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E591ACE" w14:textId="77777777" w:rsidR="007D706A" w:rsidRDefault="007D706A" w:rsidP="00F70508">
            <w:pPr>
              <w:pStyle w:val="ParagraphStyle4"/>
              <w:rPr>
                <w:rStyle w:val="CharacterStyle4"/>
              </w:rPr>
            </w:pPr>
            <w:r>
              <w:rPr>
                <w:rStyle w:val="CharacterStyle4"/>
              </w:rPr>
              <w:t>Aktivnost A100501</w:t>
            </w:r>
          </w:p>
        </w:tc>
        <w:tc>
          <w:tcPr>
            <w:tcW w:w="4995" w:type="dxa"/>
            <w:tcBorders>
              <w:bottom w:val="single" w:sz="6" w:space="0" w:color="000000"/>
              <w:right w:val="single" w:sz="6" w:space="0" w:color="000000"/>
            </w:tcBorders>
            <w:vAlign w:val="center"/>
          </w:tcPr>
          <w:p w14:paraId="5B660522" w14:textId="77777777" w:rsidR="007D706A" w:rsidRDefault="007D706A" w:rsidP="00F70508">
            <w:pPr>
              <w:pStyle w:val="ParagraphStyle5"/>
              <w:rPr>
                <w:rStyle w:val="CharacterStyle5"/>
              </w:rPr>
            </w:pPr>
            <w:r>
              <w:rPr>
                <w:rStyle w:val="CharacterStyle5"/>
              </w:rPr>
              <w:t>INFORMATIČKO POVEZIVANJE PRORAČUNSKIH KORISNIKA</w:t>
            </w:r>
          </w:p>
        </w:tc>
        <w:tc>
          <w:tcPr>
            <w:tcW w:w="1395" w:type="dxa"/>
            <w:tcBorders>
              <w:bottom w:val="single" w:sz="6" w:space="0" w:color="000000"/>
              <w:right w:val="single" w:sz="6" w:space="0" w:color="000000"/>
            </w:tcBorders>
            <w:vAlign w:val="center"/>
          </w:tcPr>
          <w:p w14:paraId="73DFE14F"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6ED38C7B" w14:textId="77777777" w:rsidR="007D706A" w:rsidRDefault="007D706A" w:rsidP="00F70508">
            <w:pPr>
              <w:pStyle w:val="ParagraphStyle6"/>
              <w:rPr>
                <w:rStyle w:val="CharacterStyle6"/>
              </w:rPr>
            </w:pPr>
            <w:r>
              <w:rPr>
                <w:rStyle w:val="CharacterStyle6"/>
              </w:rPr>
              <w:t>22.998,00</w:t>
            </w:r>
          </w:p>
        </w:tc>
        <w:tc>
          <w:tcPr>
            <w:tcW w:w="1395" w:type="dxa"/>
            <w:tcBorders>
              <w:bottom w:val="single" w:sz="6" w:space="0" w:color="000000"/>
              <w:right w:val="single" w:sz="6" w:space="0" w:color="000000"/>
            </w:tcBorders>
            <w:vAlign w:val="center"/>
          </w:tcPr>
          <w:p w14:paraId="44C14365" w14:textId="77777777" w:rsidR="007D706A" w:rsidRDefault="007D706A" w:rsidP="00F70508">
            <w:pPr>
              <w:pStyle w:val="ParagraphStyle6"/>
              <w:rPr>
                <w:rStyle w:val="CharacterStyle6"/>
              </w:rPr>
            </w:pPr>
            <w:r>
              <w:rPr>
                <w:rStyle w:val="CharacterStyle6"/>
              </w:rPr>
              <w:t>22.998,00</w:t>
            </w:r>
          </w:p>
        </w:tc>
        <w:tc>
          <w:tcPr>
            <w:tcW w:w="1395" w:type="dxa"/>
            <w:tcBorders>
              <w:bottom w:val="single" w:sz="6" w:space="0" w:color="000000"/>
              <w:right w:val="single" w:sz="6" w:space="0" w:color="000000"/>
            </w:tcBorders>
            <w:vAlign w:val="center"/>
          </w:tcPr>
          <w:p w14:paraId="45434525" w14:textId="77777777" w:rsidR="007D706A" w:rsidRDefault="007D706A" w:rsidP="00F70508">
            <w:pPr>
              <w:pStyle w:val="ParagraphStyle6"/>
              <w:rPr>
                <w:rStyle w:val="CharacterStyle6"/>
              </w:rPr>
            </w:pPr>
            <w:r>
              <w:rPr>
                <w:rStyle w:val="CharacterStyle6"/>
              </w:rPr>
              <w:t>23.100,00</w:t>
            </w:r>
          </w:p>
        </w:tc>
        <w:tc>
          <w:tcPr>
            <w:tcW w:w="1395" w:type="dxa"/>
            <w:tcBorders>
              <w:bottom w:val="single" w:sz="6" w:space="0" w:color="000000"/>
              <w:right w:val="single" w:sz="6" w:space="0" w:color="000000"/>
            </w:tcBorders>
            <w:vAlign w:val="center"/>
          </w:tcPr>
          <w:p w14:paraId="40C072E9" w14:textId="77777777" w:rsidR="007D706A" w:rsidRDefault="007D706A" w:rsidP="00F70508">
            <w:pPr>
              <w:pStyle w:val="ParagraphStyle6"/>
              <w:rPr>
                <w:rStyle w:val="CharacterStyle6"/>
              </w:rPr>
            </w:pPr>
            <w:r>
              <w:rPr>
                <w:rStyle w:val="CharacterStyle6"/>
              </w:rPr>
              <w:t>23.950,00</w:t>
            </w:r>
          </w:p>
        </w:tc>
      </w:tr>
      <w:tr w:rsidR="007D706A" w14:paraId="1B1434A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99BF654"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3F45B1E2"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6FC5FBDF"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95C92E0" w14:textId="77777777" w:rsidR="007D706A" w:rsidRDefault="007D706A" w:rsidP="00F70508">
            <w:pPr>
              <w:pStyle w:val="ParagraphStyle9"/>
              <w:rPr>
                <w:rStyle w:val="CharacterStyle9"/>
              </w:rPr>
            </w:pPr>
            <w:r>
              <w:rPr>
                <w:rStyle w:val="CharacterStyle9"/>
              </w:rPr>
              <w:t>11.321,95</w:t>
            </w:r>
          </w:p>
        </w:tc>
        <w:tc>
          <w:tcPr>
            <w:tcW w:w="1395" w:type="dxa"/>
            <w:tcBorders>
              <w:bottom w:val="single" w:sz="6" w:space="0" w:color="000000"/>
              <w:right w:val="single" w:sz="6" w:space="0" w:color="000000"/>
            </w:tcBorders>
            <w:vAlign w:val="center"/>
          </w:tcPr>
          <w:p w14:paraId="0F7B4E68" w14:textId="77777777" w:rsidR="007D706A" w:rsidRDefault="007D706A" w:rsidP="00F70508">
            <w:pPr>
              <w:pStyle w:val="ParagraphStyle9"/>
              <w:rPr>
                <w:rStyle w:val="CharacterStyle9"/>
              </w:rPr>
            </w:pPr>
            <w:r>
              <w:rPr>
                <w:rStyle w:val="CharacterStyle9"/>
              </w:rPr>
              <w:t>22.998,00</w:t>
            </w:r>
          </w:p>
        </w:tc>
        <w:tc>
          <w:tcPr>
            <w:tcW w:w="1395" w:type="dxa"/>
            <w:tcBorders>
              <w:bottom w:val="single" w:sz="6" w:space="0" w:color="000000"/>
              <w:right w:val="single" w:sz="6" w:space="0" w:color="000000"/>
            </w:tcBorders>
            <w:vAlign w:val="center"/>
          </w:tcPr>
          <w:p w14:paraId="087B93A6" w14:textId="77777777" w:rsidR="007D706A" w:rsidRDefault="007D706A" w:rsidP="00F70508">
            <w:pPr>
              <w:pStyle w:val="ParagraphStyle9"/>
              <w:rPr>
                <w:rStyle w:val="CharacterStyle9"/>
              </w:rPr>
            </w:pPr>
            <w:r>
              <w:rPr>
                <w:rStyle w:val="CharacterStyle9"/>
              </w:rPr>
              <w:t>23.100,00</w:t>
            </w:r>
          </w:p>
        </w:tc>
        <w:tc>
          <w:tcPr>
            <w:tcW w:w="1395" w:type="dxa"/>
            <w:tcBorders>
              <w:bottom w:val="single" w:sz="6" w:space="0" w:color="000000"/>
              <w:right w:val="single" w:sz="6" w:space="0" w:color="000000"/>
            </w:tcBorders>
            <w:vAlign w:val="center"/>
          </w:tcPr>
          <w:p w14:paraId="07DBECB3" w14:textId="77777777" w:rsidR="007D706A" w:rsidRDefault="007D706A" w:rsidP="00F70508">
            <w:pPr>
              <w:pStyle w:val="ParagraphStyle9"/>
              <w:rPr>
                <w:rStyle w:val="CharacterStyle9"/>
              </w:rPr>
            </w:pPr>
            <w:r>
              <w:rPr>
                <w:rStyle w:val="CharacterStyle9"/>
              </w:rPr>
              <w:t>23.950,00</w:t>
            </w:r>
          </w:p>
        </w:tc>
      </w:tr>
      <w:tr w:rsidR="007D706A" w14:paraId="29D885E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1345875"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00327B64"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2BB45A9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104DDC0" w14:textId="77777777" w:rsidR="007D706A" w:rsidRDefault="007D706A" w:rsidP="00F70508">
            <w:pPr>
              <w:pStyle w:val="ParagraphStyle12"/>
              <w:rPr>
                <w:rStyle w:val="CharacterStyle12"/>
              </w:rPr>
            </w:pPr>
            <w:r>
              <w:rPr>
                <w:rStyle w:val="CharacterStyle12"/>
              </w:rPr>
              <w:t>11.321,95</w:t>
            </w:r>
          </w:p>
        </w:tc>
        <w:tc>
          <w:tcPr>
            <w:tcW w:w="1395" w:type="dxa"/>
            <w:tcBorders>
              <w:bottom w:val="single" w:sz="6" w:space="0" w:color="000000"/>
              <w:right w:val="single" w:sz="6" w:space="0" w:color="000000"/>
            </w:tcBorders>
            <w:vAlign w:val="center"/>
          </w:tcPr>
          <w:p w14:paraId="72BBF71F" w14:textId="77777777" w:rsidR="007D706A" w:rsidRDefault="007D706A" w:rsidP="00F70508">
            <w:pPr>
              <w:pStyle w:val="ParagraphStyle12"/>
              <w:rPr>
                <w:rStyle w:val="CharacterStyle12"/>
              </w:rPr>
            </w:pPr>
            <w:r>
              <w:rPr>
                <w:rStyle w:val="CharacterStyle12"/>
              </w:rPr>
              <w:t>22.998,00</w:t>
            </w:r>
          </w:p>
        </w:tc>
        <w:tc>
          <w:tcPr>
            <w:tcW w:w="1395" w:type="dxa"/>
            <w:tcBorders>
              <w:bottom w:val="single" w:sz="6" w:space="0" w:color="000000"/>
              <w:right w:val="single" w:sz="6" w:space="0" w:color="000000"/>
            </w:tcBorders>
            <w:vAlign w:val="center"/>
          </w:tcPr>
          <w:p w14:paraId="30046170" w14:textId="77777777" w:rsidR="007D706A" w:rsidRDefault="007D706A" w:rsidP="00F70508">
            <w:pPr>
              <w:pStyle w:val="ParagraphStyle12"/>
              <w:rPr>
                <w:rStyle w:val="CharacterStyle12"/>
              </w:rPr>
            </w:pPr>
            <w:r>
              <w:rPr>
                <w:rStyle w:val="CharacterStyle12"/>
              </w:rPr>
              <w:t>23.100,00</w:t>
            </w:r>
          </w:p>
        </w:tc>
        <w:tc>
          <w:tcPr>
            <w:tcW w:w="1395" w:type="dxa"/>
            <w:tcBorders>
              <w:bottom w:val="single" w:sz="6" w:space="0" w:color="000000"/>
              <w:right w:val="single" w:sz="6" w:space="0" w:color="000000"/>
            </w:tcBorders>
            <w:vAlign w:val="center"/>
          </w:tcPr>
          <w:p w14:paraId="331AE539" w14:textId="77777777" w:rsidR="007D706A" w:rsidRDefault="007D706A" w:rsidP="00F70508">
            <w:pPr>
              <w:pStyle w:val="ParagraphStyle12"/>
              <w:rPr>
                <w:rStyle w:val="CharacterStyle12"/>
              </w:rPr>
            </w:pPr>
            <w:r>
              <w:rPr>
                <w:rStyle w:val="CharacterStyle12"/>
              </w:rPr>
              <w:t>23.950,00</w:t>
            </w:r>
          </w:p>
        </w:tc>
      </w:tr>
      <w:tr w:rsidR="007D706A" w14:paraId="11DBF62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295288F" w14:textId="77777777" w:rsidR="007D706A" w:rsidRDefault="007D706A" w:rsidP="00F70508">
            <w:pPr>
              <w:pStyle w:val="ParagraphStyle10"/>
              <w:rPr>
                <w:rStyle w:val="CharacterStyle10"/>
              </w:rPr>
            </w:pPr>
            <w:r>
              <w:rPr>
                <w:rStyle w:val="CharacterStyle10"/>
              </w:rPr>
              <w:t>41</w:t>
            </w:r>
          </w:p>
        </w:tc>
        <w:tc>
          <w:tcPr>
            <w:tcW w:w="4995" w:type="dxa"/>
            <w:tcBorders>
              <w:bottom w:val="single" w:sz="6" w:space="0" w:color="000000"/>
              <w:right w:val="single" w:sz="6" w:space="0" w:color="000000"/>
            </w:tcBorders>
            <w:vAlign w:val="center"/>
          </w:tcPr>
          <w:p w14:paraId="5F41E0A5" w14:textId="77777777" w:rsidR="007D706A" w:rsidRDefault="007D706A" w:rsidP="00F70508">
            <w:pPr>
              <w:pStyle w:val="ParagraphStyle11"/>
              <w:rPr>
                <w:rStyle w:val="CharacterStyle11"/>
              </w:rPr>
            </w:pPr>
            <w:r>
              <w:rPr>
                <w:rStyle w:val="CharacterStyle11"/>
              </w:rPr>
              <w:t>Rashodi za nabavu neproizvedene dugotrajne imovine</w:t>
            </w:r>
          </w:p>
        </w:tc>
        <w:tc>
          <w:tcPr>
            <w:tcW w:w="1395" w:type="dxa"/>
            <w:tcBorders>
              <w:bottom w:val="single" w:sz="6" w:space="0" w:color="000000"/>
              <w:right w:val="single" w:sz="6" w:space="0" w:color="000000"/>
            </w:tcBorders>
            <w:vAlign w:val="center"/>
          </w:tcPr>
          <w:p w14:paraId="7D540CF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C81E5E1" w14:textId="77777777" w:rsidR="007D706A" w:rsidRDefault="007D706A" w:rsidP="00F70508">
            <w:pPr>
              <w:pStyle w:val="ParagraphStyle12"/>
              <w:rPr>
                <w:rStyle w:val="CharacterStyle12"/>
              </w:rPr>
            </w:pPr>
            <w:r>
              <w:rPr>
                <w:rStyle w:val="CharacterStyle12"/>
              </w:rPr>
              <w:t>3.981,68</w:t>
            </w:r>
          </w:p>
        </w:tc>
        <w:tc>
          <w:tcPr>
            <w:tcW w:w="1395" w:type="dxa"/>
            <w:tcBorders>
              <w:bottom w:val="single" w:sz="6" w:space="0" w:color="000000"/>
              <w:right w:val="single" w:sz="6" w:space="0" w:color="000000"/>
            </w:tcBorders>
            <w:vAlign w:val="center"/>
          </w:tcPr>
          <w:p w14:paraId="3E5C9851" w14:textId="77777777" w:rsidR="007D706A" w:rsidRDefault="007D706A" w:rsidP="00F70508">
            <w:pPr>
              <w:pStyle w:val="ParagraphStyle12"/>
              <w:rPr>
                <w:rStyle w:val="CharacterStyle12"/>
              </w:rPr>
            </w:pPr>
            <w:r>
              <w:rPr>
                <w:rStyle w:val="CharacterStyle12"/>
              </w:rPr>
              <w:t>3.981,68</w:t>
            </w:r>
          </w:p>
        </w:tc>
        <w:tc>
          <w:tcPr>
            <w:tcW w:w="1395" w:type="dxa"/>
            <w:tcBorders>
              <w:bottom w:val="single" w:sz="6" w:space="0" w:color="000000"/>
              <w:right w:val="single" w:sz="6" w:space="0" w:color="000000"/>
            </w:tcBorders>
            <w:vAlign w:val="center"/>
          </w:tcPr>
          <w:p w14:paraId="014C4262" w14:textId="77777777" w:rsidR="007D706A" w:rsidRDefault="007D706A" w:rsidP="00F70508">
            <w:pPr>
              <w:pStyle w:val="ParagraphStyle12"/>
              <w:rPr>
                <w:rStyle w:val="CharacterStyle12"/>
              </w:rPr>
            </w:pPr>
            <w:r>
              <w:rPr>
                <w:rStyle w:val="CharacterStyle12"/>
              </w:rPr>
              <w:t>4.000,00</w:t>
            </w:r>
          </w:p>
        </w:tc>
        <w:tc>
          <w:tcPr>
            <w:tcW w:w="1395" w:type="dxa"/>
            <w:tcBorders>
              <w:bottom w:val="single" w:sz="6" w:space="0" w:color="000000"/>
              <w:right w:val="single" w:sz="6" w:space="0" w:color="000000"/>
            </w:tcBorders>
            <w:vAlign w:val="center"/>
          </w:tcPr>
          <w:p w14:paraId="659B4CBE" w14:textId="77777777" w:rsidR="007D706A" w:rsidRDefault="007D706A" w:rsidP="00F70508">
            <w:pPr>
              <w:pStyle w:val="ParagraphStyle12"/>
              <w:rPr>
                <w:rStyle w:val="CharacterStyle12"/>
              </w:rPr>
            </w:pPr>
            <w:r>
              <w:rPr>
                <w:rStyle w:val="CharacterStyle12"/>
              </w:rPr>
              <w:t>4.500,00</w:t>
            </w:r>
          </w:p>
        </w:tc>
      </w:tr>
      <w:tr w:rsidR="007D706A" w14:paraId="204CE10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E7E44E0" w14:textId="77777777" w:rsidR="007D706A" w:rsidRDefault="007D706A" w:rsidP="00F70508">
            <w:pPr>
              <w:pStyle w:val="ParagraphStyle10"/>
              <w:rPr>
                <w:rStyle w:val="CharacterStyle10"/>
              </w:rPr>
            </w:pPr>
            <w:r>
              <w:rPr>
                <w:rStyle w:val="CharacterStyle10"/>
              </w:rPr>
              <w:t>42</w:t>
            </w:r>
          </w:p>
        </w:tc>
        <w:tc>
          <w:tcPr>
            <w:tcW w:w="4995" w:type="dxa"/>
            <w:tcBorders>
              <w:bottom w:val="single" w:sz="6" w:space="0" w:color="000000"/>
              <w:right w:val="single" w:sz="6" w:space="0" w:color="000000"/>
            </w:tcBorders>
            <w:vAlign w:val="center"/>
          </w:tcPr>
          <w:p w14:paraId="0D252D01"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663C3AD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FAAC5F1" w14:textId="77777777" w:rsidR="007D706A" w:rsidRDefault="007D706A" w:rsidP="00F70508">
            <w:pPr>
              <w:pStyle w:val="ParagraphStyle12"/>
              <w:rPr>
                <w:rStyle w:val="CharacterStyle12"/>
              </w:rPr>
            </w:pPr>
            <w:r>
              <w:rPr>
                <w:rStyle w:val="CharacterStyle12"/>
              </w:rPr>
              <w:t>7.340,27</w:t>
            </w:r>
          </w:p>
        </w:tc>
        <w:tc>
          <w:tcPr>
            <w:tcW w:w="1395" w:type="dxa"/>
            <w:tcBorders>
              <w:bottom w:val="single" w:sz="6" w:space="0" w:color="000000"/>
              <w:right w:val="single" w:sz="6" w:space="0" w:color="000000"/>
            </w:tcBorders>
            <w:vAlign w:val="center"/>
          </w:tcPr>
          <w:p w14:paraId="457874FC" w14:textId="77777777" w:rsidR="007D706A" w:rsidRDefault="007D706A" w:rsidP="00F70508">
            <w:pPr>
              <w:pStyle w:val="ParagraphStyle12"/>
              <w:rPr>
                <w:rStyle w:val="CharacterStyle12"/>
              </w:rPr>
            </w:pPr>
            <w:r>
              <w:rPr>
                <w:rStyle w:val="CharacterStyle12"/>
              </w:rPr>
              <w:t>19.016,32</w:t>
            </w:r>
          </w:p>
        </w:tc>
        <w:tc>
          <w:tcPr>
            <w:tcW w:w="1395" w:type="dxa"/>
            <w:tcBorders>
              <w:bottom w:val="single" w:sz="6" w:space="0" w:color="000000"/>
              <w:right w:val="single" w:sz="6" w:space="0" w:color="000000"/>
            </w:tcBorders>
            <w:vAlign w:val="center"/>
          </w:tcPr>
          <w:p w14:paraId="392CB77F" w14:textId="77777777" w:rsidR="007D706A" w:rsidRDefault="007D706A" w:rsidP="00F70508">
            <w:pPr>
              <w:pStyle w:val="ParagraphStyle12"/>
              <w:rPr>
                <w:rStyle w:val="CharacterStyle12"/>
              </w:rPr>
            </w:pPr>
            <w:r>
              <w:rPr>
                <w:rStyle w:val="CharacterStyle12"/>
              </w:rPr>
              <w:t>19.100,00</w:t>
            </w:r>
          </w:p>
        </w:tc>
        <w:tc>
          <w:tcPr>
            <w:tcW w:w="1395" w:type="dxa"/>
            <w:tcBorders>
              <w:bottom w:val="single" w:sz="6" w:space="0" w:color="000000"/>
              <w:right w:val="single" w:sz="6" w:space="0" w:color="000000"/>
            </w:tcBorders>
            <w:vAlign w:val="center"/>
          </w:tcPr>
          <w:p w14:paraId="038855B6" w14:textId="77777777" w:rsidR="007D706A" w:rsidRDefault="007D706A" w:rsidP="00F70508">
            <w:pPr>
              <w:pStyle w:val="ParagraphStyle12"/>
              <w:rPr>
                <w:rStyle w:val="CharacterStyle12"/>
              </w:rPr>
            </w:pPr>
            <w:r>
              <w:rPr>
                <w:rStyle w:val="CharacterStyle12"/>
              </w:rPr>
              <w:t>19.450,00</w:t>
            </w:r>
          </w:p>
        </w:tc>
      </w:tr>
      <w:tr w:rsidR="007D706A" w14:paraId="2CDDB0A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061FFC5" w14:textId="77777777" w:rsidR="007D706A" w:rsidRDefault="007D706A" w:rsidP="00F70508">
            <w:pPr>
              <w:pStyle w:val="ParagraphStyle7"/>
              <w:rPr>
                <w:rStyle w:val="CharacterStyle7"/>
              </w:rPr>
            </w:pPr>
            <w:r>
              <w:rPr>
                <w:rStyle w:val="CharacterStyle7"/>
              </w:rPr>
              <w:t>Izvor financiranja 82</w:t>
            </w:r>
          </w:p>
        </w:tc>
        <w:tc>
          <w:tcPr>
            <w:tcW w:w="4995" w:type="dxa"/>
            <w:tcBorders>
              <w:bottom w:val="single" w:sz="6" w:space="0" w:color="000000"/>
              <w:right w:val="single" w:sz="6" w:space="0" w:color="000000"/>
            </w:tcBorders>
            <w:vAlign w:val="center"/>
          </w:tcPr>
          <w:p w14:paraId="0A9DF8D1" w14:textId="77777777" w:rsidR="007D706A" w:rsidRDefault="007D706A" w:rsidP="00F70508">
            <w:pPr>
              <w:pStyle w:val="ParagraphStyle8"/>
              <w:rPr>
                <w:rStyle w:val="CharacterStyle8"/>
              </w:rPr>
            </w:pPr>
            <w:r>
              <w:rPr>
                <w:rStyle w:val="CharacterStyle8"/>
              </w:rPr>
              <w:t>Preneseni viškovi iz ranijih godina</w:t>
            </w:r>
          </w:p>
        </w:tc>
        <w:tc>
          <w:tcPr>
            <w:tcW w:w="1395" w:type="dxa"/>
            <w:tcBorders>
              <w:bottom w:val="single" w:sz="6" w:space="0" w:color="000000"/>
              <w:right w:val="single" w:sz="6" w:space="0" w:color="000000"/>
            </w:tcBorders>
            <w:vAlign w:val="center"/>
          </w:tcPr>
          <w:p w14:paraId="695F3201"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40E4687" w14:textId="77777777" w:rsidR="007D706A" w:rsidRDefault="007D706A" w:rsidP="00F70508">
            <w:pPr>
              <w:pStyle w:val="ParagraphStyle9"/>
              <w:rPr>
                <w:rStyle w:val="CharacterStyle9"/>
              </w:rPr>
            </w:pPr>
            <w:r>
              <w:rPr>
                <w:rStyle w:val="CharacterStyle9"/>
              </w:rPr>
              <w:t>11.676,05</w:t>
            </w:r>
          </w:p>
        </w:tc>
        <w:tc>
          <w:tcPr>
            <w:tcW w:w="1395" w:type="dxa"/>
            <w:tcBorders>
              <w:bottom w:val="single" w:sz="6" w:space="0" w:color="000000"/>
              <w:right w:val="single" w:sz="6" w:space="0" w:color="000000"/>
            </w:tcBorders>
            <w:vAlign w:val="center"/>
          </w:tcPr>
          <w:p w14:paraId="32B46DAE"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EE06E5F"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2F71B44" w14:textId="77777777" w:rsidR="007D706A" w:rsidRDefault="007D706A" w:rsidP="00F70508">
            <w:pPr>
              <w:pStyle w:val="ParagraphStyle9"/>
              <w:rPr>
                <w:rStyle w:val="CharacterStyle9"/>
              </w:rPr>
            </w:pPr>
            <w:r>
              <w:rPr>
                <w:rStyle w:val="CharacterStyle9"/>
              </w:rPr>
              <w:t>0,00</w:t>
            </w:r>
          </w:p>
        </w:tc>
      </w:tr>
      <w:tr w:rsidR="007D706A" w14:paraId="554EBF3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FCE01C7"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2D2721B6"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5145049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FCE7EB4" w14:textId="77777777" w:rsidR="007D706A" w:rsidRDefault="007D706A" w:rsidP="00F70508">
            <w:pPr>
              <w:pStyle w:val="ParagraphStyle12"/>
              <w:rPr>
                <w:rStyle w:val="CharacterStyle12"/>
              </w:rPr>
            </w:pPr>
            <w:r>
              <w:rPr>
                <w:rStyle w:val="CharacterStyle12"/>
              </w:rPr>
              <w:t>11.676,05</w:t>
            </w:r>
          </w:p>
        </w:tc>
        <w:tc>
          <w:tcPr>
            <w:tcW w:w="1395" w:type="dxa"/>
            <w:tcBorders>
              <w:bottom w:val="single" w:sz="6" w:space="0" w:color="000000"/>
              <w:right w:val="single" w:sz="6" w:space="0" w:color="000000"/>
            </w:tcBorders>
            <w:vAlign w:val="center"/>
          </w:tcPr>
          <w:p w14:paraId="0FDFBBC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533627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F561ACB" w14:textId="77777777" w:rsidR="007D706A" w:rsidRDefault="007D706A" w:rsidP="00F70508">
            <w:pPr>
              <w:pStyle w:val="ParagraphStyle12"/>
              <w:rPr>
                <w:rStyle w:val="CharacterStyle12"/>
              </w:rPr>
            </w:pPr>
            <w:r>
              <w:rPr>
                <w:rStyle w:val="CharacterStyle12"/>
              </w:rPr>
              <w:t>0,00</w:t>
            </w:r>
          </w:p>
        </w:tc>
      </w:tr>
      <w:tr w:rsidR="007D706A" w14:paraId="7CAC060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90AFA0C" w14:textId="77777777" w:rsidR="007D706A" w:rsidRDefault="007D706A" w:rsidP="00F70508">
            <w:pPr>
              <w:pStyle w:val="ParagraphStyle10"/>
              <w:rPr>
                <w:rStyle w:val="CharacterStyle10"/>
              </w:rPr>
            </w:pPr>
            <w:r>
              <w:rPr>
                <w:rStyle w:val="CharacterStyle10"/>
              </w:rPr>
              <w:t>42</w:t>
            </w:r>
          </w:p>
        </w:tc>
        <w:tc>
          <w:tcPr>
            <w:tcW w:w="4995" w:type="dxa"/>
            <w:tcBorders>
              <w:bottom w:val="single" w:sz="6" w:space="0" w:color="000000"/>
              <w:right w:val="single" w:sz="6" w:space="0" w:color="000000"/>
            </w:tcBorders>
            <w:vAlign w:val="center"/>
          </w:tcPr>
          <w:p w14:paraId="4527805E"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1774601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697A9FF" w14:textId="77777777" w:rsidR="007D706A" w:rsidRDefault="007D706A" w:rsidP="00F70508">
            <w:pPr>
              <w:pStyle w:val="ParagraphStyle12"/>
              <w:rPr>
                <w:rStyle w:val="CharacterStyle12"/>
              </w:rPr>
            </w:pPr>
            <w:r>
              <w:rPr>
                <w:rStyle w:val="CharacterStyle12"/>
              </w:rPr>
              <w:t>11.676,05</w:t>
            </w:r>
          </w:p>
        </w:tc>
        <w:tc>
          <w:tcPr>
            <w:tcW w:w="1395" w:type="dxa"/>
            <w:tcBorders>
              <w:bottom w:val="single" w:sz="6" w:space="0" w:color="000000"/>
              <w:right w:val="single" w:sz="6" w:space="0" w:color="000000"/>
            </w:tcBorders>
            <w:vAlign w:val="center"/>
          </w:tcPr>
          <w:p w14:paraId="636192B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145A88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8602D05" w14:textId="77777777" w:rsidR="007D706A" w:rsidRDefault="007D706A" w:rsidP="00F70508">
            <w:pPr>
              <w:pStyle w:val="ParagraphStyle12"/>
              <w:rPr>
                <w:rStyle w:val="CharacterStyle12"/>
              </w:rPr>
            </w:pPr>
            <w:r>
              <w:rPr>
                <w:rStyle w:val="CharacterStyle12"/>
              </w:rPr>
              <w:t>0,00</w:t>
            </w:r>
          </w:p>
        </w:tc>
      </w:tr>
      <w:tr w:rsidR="007D706A" w14:paraId="08CBA0C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E716735" w14:textId="77777777" w:rsidR="007D706A" w:rsidRDefault="007D706A" w:rsidP="00F70508">
            <w:pPr>
              <w:pStyle w:val="ParagraphStyle4"/>
              <w:rPr>
                <w:rStyle w:val="CharacterStyle4"/>
              </w:rPr>
            </w:pPr>
            <w:r>
              <w:rPr>
                <w:rStyle w:val="CharacterStyle4"/>
              </w:rPr>
              <w:t>PROGRAM    1003</w:t>
            </w:r>
          </w:p>
        </w:tc>
        <w:tc>
          <w:tcPr>
            <w:tcW w:w="4995" w:type="dxa"/>
            <w:tcBorders>
              <w:bottom w:val="single" w:sz="6" w:space="0" w:color="000000"/>
              <w:right w:val="single" w:sz="6" w:space="0" w:color="000000"/>
            </w:tcBorders>
            <w:vAlign w:val="center"/>
          </w:tcPr>
          <w:p w14:paraId="0F913C8A" w14:textId="77777777" w:rsidR="007D706A" w:rsidRDefault="007D706A" w:rsidP="00F70508">
            <w:pPr>
              <w:pStyle w:val="ParagraphStyle5"/>
              <w:rPr>
                <w:rStyle w:val="CharacterStyle5"/>
              </w:rPr>
            </w:pPr>
            <w:r>
              <w:rPr>
                <w:rStyle w:val="CharacterStyle5"/>
              </w:rPr>
              <w:t>MJERE I AKTIVNOSTI IZ DJELOKRUGA UPRAVNOG TIJELA (2)</w:t>
            </w:r>
          </w:p>
        </w:tc>
        <w:tc>
          <w:tcPr>
            <w:tcW w:w="1395" w:type="dxa"/>
            <w:tcBorders>
              <w:bottom w:val="single" w:sz="6" w:space="0" w:color="000000"/>
              <w:right w:val="single" w:sz="6" w:space="0" w:color="000000"/>
            </w:tcBorders>
            <w:vAlign w:val="center"/>
          </w:tcPr>
          <w:p w14:paraId="51CC3D58"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235A3030" w14:textId="77777777" w:rsidR="007D706A" w:rsidRDefault="007D706A" w:rsidP="00F70508">
            <w:pPr>
              <w:pStyle w:val="ParagraphStyle6"/>
              <w:rPr>
                <w:rStyle w:val="CharacterStyle6"/>
              </w:rPr>
            </w:pPr>
            <w:r>
              <w:rPr>
                <w:rStyle w:val="CharacterStyle6"/>
              </w:rPr>
              <w:t>3.387.937,00</w:t>
            </w:r>
          </w:p>
        </w:tc>
        <w:tc>
          <w:tcPr>
            <w:tcW w:w="1395" w:type="dxa"/>
            <w:tcBorders>
              <w:bottom w:val="single" w:sz="6" w:space="0" w:color="000000"/>
              <w:right w:val="single" w:sz="6" w:space="0" w:color="000000"/>
            </w:tcBorders>
            <w:vAlign w:val="center"/>
          </w:tcPr>
          <w:p w14:paraId="55F76565" w14:textId="77777777" w:rsidR="007D706A" w:rsidRDefault="007D706A" w:rsidP="00F70508">
            <w:pPr>
              <w:pStyle w:val="ParagraphStyle6"/>
              <w:rPr>
                <w:rStyle w:val="CharacterStyle6"/>
              </w:rPr>
            </w:pPr>
            <w:r>
              <w:rPr>
                <w:rStyle w:val="CharacterStyle6"/>
              </w:rPr>
              <w:t>3.387.937,50</w:t>
            </w:r>
          </w:p>
        </w:tc>
        <w:tc>
          <w:tcPr>
            <w:tcW w:w="1395" w:type="dxa"/>
            <w:tcBorders>
              <w:bottom w:val="single" w:sz="6" w:space="0" w:color="000000"/>
              <w:right w:val="single" w:sz="6" w:space="0" w:color="000000"/>
            </w:tcBorders>
            <w:vAlign w:val="center"/>
          </w:tcPr>
          <w:p w14:paraId="0EF9CA3B" w14:textId="77777777" w:rsidR="007D706A" w:rsidRDefault="007D706A" w:rsidP="00F70508">
            <w:pPr>
              <w:pStyle w:val="ParagraphStyle6"/>
              <w:rPr>
                <w:rStyle w:val="CharacterStyle6"/>
              </w:rPr>
            </w:pPr>
            <w:r>
              <w:rPr>
                <w:rStyle w:val="CharacterStyle6"/>
              </w:rPr>
              <w:t>3.438.046,86</w:t>
            </w:r>
          </w:p>
        </w:tc>
        <w:tc>
          <w:tcPr>
            <w:tcW w:w="1395" w:type="dxa"/>
            <w:tcBorders>
              <w:bottom w:val="single" w:sz="6" w:space="0" w:color="000000"/>
              <w:right w:val="single" w:sz="6" w:space="0" w:color="000000"/>
            </w:tcBorders>
            <w:vAlign w:val="center"/>
          </w:tcPr>
          <w:p w14:paraId="1FCFFA8C" w14:textId="77777777" w:rsidR="007D706A" w:rsidRDefault="007D706A" w:rsidP="00F70508">
            <w:pPr>
              <w:pStyle w:val="ParagraphStyle6"/>
              <w:rPr>
                <w:rStyle w:val="CharacterStyle6"/>
              </w:rPr>
            </w:pPr>
            <w:r>
              <w:rPr>
                <w:rStyle w:val="CharacterStyle6"/>
              </w:rPr>
              <w:t>3.528.268,78</w:t>
            </w:r>
          </w:p>
        </w:tc>
      </w:tr>
      <w:tr w:rsidR="007D706A" w14:paraId="6DF97035" w14:textId="77777777" w:rsidTr="00F70508">
        <w:trPr>
          <w:trHeight w:val="405"/>
        </w:trPr>
        <w:tc>
          <w:tcPr>
            <w:tcW w:w="2880" w:type="dxa"/>
            <w:tcBorders>
              <w:left w:val="single" w:sz="6" w:space="0" w:color="000000"/>
              <w:bottom w:val="single" w:sz="6" w:space="0" w:color="000000"/>
              <w:right w:val="single" w:sz="6" w:space="0" w:color="000000"/>
            </w:tcBorders>
            <w:vAlign w:val="center"/>
          </w:tcPr>
          <w:p w14:paraId="06E3DCEB" w14:textId="77777777" w:rsidR="007D706A" w:rsidRDefault="007D706A" w:rsidP="00F70508">
            <w:pPr>
              <w:pStyle w:val="ParagraphStyle4"/>
              <w:rPr>
                <w:rStyle w:val="CharacterStyle4"/>
              </w:rPr>
            </w:pPr>
            <w:r>
              <w:rPr>
                <w:rStyle w:val="CharacterStyle4"/>
              </w:rPr>
              <w:t>Aktivnost A100302</w:t>
            </w:r>
          </w:p>
        </w:tc>
        <w:tc>
          <w:tcPr>
            <w:tcW w:w="4995" w:type="dxa"/>
            <w:tcBorders>
              <w:bottom w:val="single" w:sz="6" w:space="0" w:color="000000"/>
              <w:right w:val="single" w:sz="6" w:space="0" w:color="000000"/>
            </w:tcBorders>
            <w:vAlign w:val="center"/>
          </w:tcPr>
          <w:p w14:paraId="6E9EE90D" w14:textId="77777777" w:rsidR="007D706A" w:rsidRDefault="007D706A" w:rsidP="00F70508">
            <w:pPr>
              <w:pStyle w:val="ParagraphStyle5"/>
              <w:rPr>
                <w:rStyle w:val="CharacterStyle5"/>
              </w:rPr>
            </w:pPr>
            <w:r>
              <w:rPr>
                <w:rStyle w:val="CharacterStyle5"/>
              </w:rPr>
              <w:t>ADMINISTRATIVNO, TEHNIČKO I STRUČNO OSOBLJE GRADSKE UPRAVE</w:t>
            </w:r>
          </w:p>
        </w:tc>
        <w:tc>
          <w:tcPr>
            <w:tcW w:w="1395" w:type="dxa"/>
            <w:tcBorders>
              <w:bottom w:val="single" w:sz="6" w:space="0" w:color="000000"/>
              <w:right w:val="single" w:sz="6" w:space="0" w:color="000000"/>
            </w:tcBorders>
            <w:vAlign w:val="center"/>
          </w:tcPr>
          <w:p w14:paraId="615F9513"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2AE6F5C3" w14:textId="77777777" w:rsidR="007D706A" w:rsidRDefault="007D706A" w:rsidP="00F70508">
            <w:pPr>
              <w:pStyle w:val="ParagraphStyle6"/>
              <w:rPr>
                <w:rStyle w:val="CharacterStyle6"/>
              </w:rPr>
            </w:pPr>
            <w:r>
              <w:rPr>
                <w:rStyle w:val="CharacterStyle6"/>
              </w:rPr>
              <w:t>3.387.937,00</w:t>
            </w:r>
          </w:p>
        </w:tc>
        <w:tc>
          <w:tcPr>
            <w:tcW w:w="1395" w:type="dxa"/>
            <w:tcBorders>
              <w:bottom w:val="single" w:sz="6" w:space="0" w:color="000000"/>
              <w:right w:val="single" w:sz="6" w:space="0" w:color="000000"/>
            </w:tcBorders>
            <w:vAlign w:val="center"/>
          </w:tcPr>
          <w:p w14:paraId="796EF6FA" w14:textId="77777777" w:rsidR="007D706A" w:rsidRDefault="007D706A" w:rsidP="00F70508">
            <w:pPr>
              <w:pStyle w:val="ParagraphStyle6"/>
              <w:rPr>
                <w:rStyle w:val="CharacterStyle6"/>
              </w:rPr>
            </w:pPr>
            <w:r>
              <w:rPr>
                <w:rStyle w:val="CharacterStyle6"/>
              </w:rPr>
              <w:t>3.387.937,50</w:t>
            </w:r>
          </w:p>
        </w:tc>
        <w:tc>
          <w:tcPr>
            <w:tcW w:w="1395" w:type="dxa"/>
            <w:tcBorders>
              <w:bottom w:val="single" w:sz="6" w:space="0" w:color="000000"/>
              <w:right w:val="single" w:sz="6" w:space="0" w:color="000000"/>
            </w:tcBorders>
            <w:vAlign w:val="center"/>
          </w:tcPr>
          <w:p w14:paraId="3105DD6A" w14:textId="77777777" w:rsidR="007D706A" w:rsidRDefault="007D706A" w:rsidP="00F70508">
            <w:pPr>
              <w:pStyle w:val="ParagraphStyle6"/>
              <w:rPr>
                <w:rStyle w:val="CharacterStyle6"/>
              </w:rPr>
            </w:pPr>
            <w:r>
              <w:rPr>
                <w:rStyle w:val="CharacterStyle6"/>
              </w:rPr>
              <w:t>3.438.046,86</w:t>
            </w:r>
          </w:p>
        </w:tc>
        <w:tc>
          <w:tcPr>
            <w:tcW w:w="1395" w:type="dxa"/>
            <w:tcBorders>
              <w:bottom w:val="single" w:sz="6" w:space="0" w:color="000000"/>
              <w:right w:val="single" w:sz="6" w:space="0" w:color="000000"/>
            </w:tcBorders>
            <w:vAlign w:val="center"/>
          </w:tcPr>
          <w:p w14:paraId="490C0A71" w14:textId="77777777" w:rsidR="007D706A" w:rsidRDefault="007D706A" w:rsidP="00F70508">
            <w:pPr>
              <w:pStyle w:val="ParagraphStyle6"/>
              <w:rPr>
                <w:rStyle w:val="CharacterStyle6"/>
              </w:rPr>
            </w:pPr>
            <w:r>
              <w:rPr>
                <w:rStyle w:val="CharacterStyle6"/>
              </w:rPr>
              <w:t>3.528.268,78</w:t>
            </w:r>
          </w:p>
        </w:tc>
      </w:tr>
      <w:tr w:rsidR="007D706A" w14:paraId="0C36B99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5529552"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1C372C34"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0BA79053"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65873EE" w14:textId="77777777" w:rsidR="007D706A" w:rsidRDefault="007D706A" w:rsidP="00F70508">
            <w:pPr>
              <w:pStyle w:val="ParagraphStyle9"/>
              <w:rPr>
                <w:rStyle w:val="CharacterStyle9"/>
              </w:rPr>
            </w:pPr>
            <w:r>
              <w:rPr>
                <w:rStyle w:val="CharacterStyle9"/>
              </w:rPr>
              <w:t>3.387.937,00</w:t>
            </w:r>
          </w:p>
        </w:tc>
        <w:tc>
          <w:tcPr>
            <w:tcW w:w="1395" w:type="dxa"/>
            <w:tcBorders>
              <w:bottom w:val="single" w:sz="6" w:space="0" w:color="000000"/>
              <w:right w:val="single" w:sz="6" w:space="0" w:color="000000"/>
            </w:tcBorders>
            <w:vAlign w:val="center"/>
          </w:tcPr>
          <w:p w14:paraId="7A6438A4" w14:textId="77777777" w:rsidR="007D706A" w:rsidRDefault="007D706A" w:rsidP="00F70508">
            <w:pPr>
              <w:pStyle w:val="ParagraphStyle9"/>
              <w:rPr>
                <w:rStyle w:val="CharacterStyle9"/>
              </w:rPr>
            </w:pPr>
            <w:r>
              <w:rPr>
                <w:rStyle w:val="CharacterStyle9"/>
              </w:rPr>
              <w:t>3.387.937,50</w:t>
            </w:r>
          </w:p>
        </w:tc>
        <w:tc>
          <w:tcPr>
            <w:tcW w:w="1395" w:type="dxa"/>
            <w:tcBorders>
              <w:bottom w:val="single" w:sz="6" w:space="0" w:color="000000"/>
              <w:right w:val="single" w:sz="6" w:space="0" w:color="000000"/>
            </w:tcBorders>
            <w:vAlign w:val="center"/>
          </w:tcPr>
          <w:p w14:paraId="71DDDAD8" w14:textId="77777777" w:rsidR="007D706A" w:rsidRDefault="007D706A" w:rsidP="00F70508">
            <w:pPr>
              <w:pStyle w:val="ParagraphStyle9"/>
              <w:rPr>
                <w:rStyle w:val="CharacterStyle9"/>
              </w:rPr>
            </w:pPr>
            <w:r>
              <w:rPr>
                <w:rStyle w:val="CharacterStyle9"/>
              </w:rPr>
              <w:t>3.438.046,86</w:t>
            </w:r>
          </w:p>
        </w:tc>
        <w:tc>
          <w:tcPr>
            <w:tcW w:w="1395" w:type="dxa"/>
            <w:tcBorders>
              <w:bottom w:val="single" w:sz="6" w:space="0" w:color="000000"/>
              <w:right w:val="single" w:sz="6" w:space="0" w:color="000000"/>
            </w:tcBorders>
            <w:vAlign w:val="center"/>
          </w:tcPr>
          <w:p w14:paraId="672186A1" w14:textId="77777777" w:rsidR="007D706A" w:rsidRDefault="007D706A" w:rsidP="00F70508">
            <w:pPr>
              <w:pStyle w:val="ParagraphStyle9"/>
              <w:rPr>
                <w:rStyle w:val="CharacterStyle9"/>
              </w:rPr>
            </w:pPr>
            <w:r>
              <w:rPr>
                <w:rStyle w:val="CharacterStyle9"/>
              </w:rPr>
              <w:t>3.528.268,78</w:t>
            </w:r>
          </w:p>
        </w:tc>
      </w:tr>
      <w:tr w:rsidR="007D706A" w14:paraId="4F1BF6C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A799272"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14F3DDAF"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6A8C33E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FAF0626" w14:textId="77777777" w:rsidR="007D706A" w:rsidRDefault="007D706A" w:rsidP="00F70508">
            <w:pPr>
              <w:pStyle w:val="ParagraphStyle12"/>
              <w:rPr>
                <w:rStyle w:val="CharacterStyle12"/>
              </w:rPr>
            </w:pPr>
            <w:r>
              <w:rPr>
                <w:rStyle w:val="CharacterStyle12"/>
              </w:rPr>
              <w:t>3.387.937,00</w:t>
            </w:r>
          </w:p>
        </w:tc>
        <w:tc>
          <w:tcPr>
            <w:tcW w:w="1395" w:type="dxa"/>
            <w:tcBorders>
              <w:bottom w:val="single" w:sz="6" w:space="0" w:color="000000"/>
              <w:right w:val="single" w:sz="6" w:space="0" w:color="000000"/>
            </w:tcBorders>
            <w:vAlign w:val="center"/>
          </w:tcPr>
          <w:p w14:paraId="188B9741" w14:textId="77777777" w:rsidR="007D706A" w:rsidRDefault="007D706A" w:rsidP="00F70508">
            <w:pPr>
              <w:pStyle w:val="ParagraphStyle12"/>
              <w:rPr>
                <w:rStyle w:val="CharacterStyle12"/>
              </w:rPr>
            </w:pPr>
            <w:r>
              <w:rPr>
                <w:rStyle w:val="CharacterStyle12"/>
              </w:rPr>
              <w:t>3.387.937,50</w:t>
            </w:r>
          </w:p>
        </w:tc>
        <w:tc>
          <w:tcPr>
            <w:tcW w:w="1395" w:type="dxa"/>
            <w:tcBorders>
              <w:bottom w:val="single" w:sz="6" w:space="0" w:color="000000"/>
              <w:right w:val="single" w:sz="6" w:space="0" w:color="000000"/>
            </w:tcBorders>
            <w:vAlign w:val="center"/>
          </w:tcPr>
          <w:p w14:paraId="3E365BF9" w14:textId="77777777" w:rsidR="007D706A" w:rsidRDefault="007D706A" w:rsidP="00F70508">
            <w:pPr>
              <w:pStyle w:val="ParagraphStyle12"/>
              <w:rPr>
                <w:rStyle w:val="CharacterStyle12"/>
              </w:rPr>
            </w:pPr>
            <w:r>
              <w:rPr>
                <w:rStyle w:val="CharacterStyle12"/>
              </w:rPr>
              <w:t>3.438.046,86</w:t>
            </w:r>
          </w:p>
        </w:tc>
        <w:tc>
          <w:tcPr>
            <w:tcW w:w="1395" w:type="dxa"/>
            <w:tcBorders>
              <w:bottom w:val="single" w:sz="6" w:space="0" w:color="000000"/>
              <w:right w:val="single" w:sz="6" w:space="0" w:color="000000"/>
            </w:tcBorders>
            <w:vAlign w:val="center"/>
          </w:tcPr>
          <w:p w14:paraId="4673449C" w14:textId="77777777" w:rsidR="007D706A" w:rsidRDefault="007D706A" w:rsidP="00F70508">
            <w:pPr>
              <w:pStyle w:val="ParagraphStyle12"/>
              <w:rPr>
                <w:rStyle w:val="CharacterStyle12"/>
              </w:rPr>
            </w:pPr>
            <w:r>
              <w:rPr>
                <w:rStyle w:val="CharacterStyle12"/>
              </w:rPr>
              <w:t>3.528.268,78</w:t>
            </w:r>
          </w:p>
        </w:tc>
      </w:tr>
      <w:tr w:rsidR="007D706A" w14:paraId="4F5724D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ED61B08" w14:textId="77777777" w:rsidR="007D706A" w:rsidRDefault="007D706A" w:rsidP="00F70508">
            <w:pPr>
              <w:pStyle w:val="ParagraphStyle10"/>
              <w:rPr>
                <w:rStyle w:val="CharacterStyle10"/>
              </w:rPr>
            </w:pPr>
            <w:r>
              <w:rPr>
                <w:rStyle w:val="CharacterStyle10"/>
              </w:rPr>
              <w:t>31</w:t>
            </w:r>
          </w:p>
        </w:tc>
        <w:tc>
          <w:tcPr>
            <w:tcW w:w="4995" w:type="dxa"/>
            <w:tcBorders>
              <w:bottom w:val="single" w:sz="6" w:space="0" w:color="000000"/>
              <w:right w:val="single" w:sz="6" w:space="0" w:color="000000"/>
            </w:tcBorders>
            <w:vAlign w:val="center"/>
          </w:tcPr>
          <w:p w14:paraId="76D808B3" w14:textId="77777777" w:rsidR="007D706A" w:rsidRDefault="007D706A" w:rsidP="00F70508">
            <w:pPr>
              <w:pStyle w:val="ParagraphStyle11"/>
              <w:rPr>
                <w:rStyle w:val="CharacterStyle11"/>
              </w:rPr>
            </w:pPr>
            <w:r>
              <w:rPr>
                <w:rStyle w:val="CharacterStyle11"/>
              </w:rPr>
              <w:t>Rashodi za zaposlene</w:t>
            </w:r>
          </w:p>
        </w:tc>
        <w:tc>
          <w:tcPr>
            <w:tcW w:w="1395" w:type="dxa"/>
            <w:tcBorders>
              <w:bottom w:val="single" w:sz="6" w:space="0" w:color="000000"/>
              <w:right w:val="single" w:sz="6" w:space="0" w:color="000000"/>
            </w:tcBorders>
            <w:vAlign w:val="center"/>
          </w:tcPr>
          <w:p w14:paraId="58D2B28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618272F" w14:textId="77777777" w:rsidR="007D706A" w:rsidRDefault="007D706A" w:rsidP="00F70508">
            <w:pPr>
              <w:pStyle w:val="ParagraphStyle12"/>
              <w:rPr>
                <w:rStyle w:val="CharacterStyle12"/>
              </w:rPr>
            </w:pPr>
            <w:r>
              <w:rPr>
                <w:rStyle w:val="CharacterStyle12"/>
              </w:rPr>
              <w:t>3.304.888,00</w:t>
            </w:r>
          </w:p>
        </w:tc>
        <w:tc>
          <w:tcPr>
            <w:tcW w:w="1395" w:type="dxa"/>
            <w:tcBorders>
              <w:bottom w:val="single" w:sz="6" w:space="0" w:color="000000"/>
              <w:right w:val="single" w:sz="6" w:space="0" w:color="000000"/>
            </w:tcBorders>
            <w:vAlign w:val="center"/>
          </w:tcPr>
          <w:p w14:paraId="07A401C1" w14:textId="77777777" w:rsidR="007D706A" w:rsidRDefault="007D706A" w:rsidP="00F70508">
            <w:pPr>
              <w:pStyle w:val="ParagraphStyle12"/>
              <w:rPr>
                <w:rStyle w:val="CharacterStyle12"/>
              </w:rPr>
            </w:pPr>
            <w:r>
              <w:rPr>
                <w:rStyle w:val="CharacterStyle12"/>
              </w:rPr>
              <w:t>3.304.888,00</w:t>
            </w:r>
          </w:p>
        </w:tc>
        <w:tc>
          <w:tcPr>
            <w:tcW w:w="1395" w:type="dxa"/>
            <w:tcBorders>
              <w:bottom w:val="single" w:sz="6" w:space="0" w:color="000000"/>
              <w:right w:val="single" w:sz="6" w:space="0" w:color="000000"/>
            </w:tcBorders>
            <w:vAlign w:val="center"/>
          </w:tcPr>
          <w:p w14:paraId="39E40E1F" w14:textId="77777777" w:rsidR="007D706A" w:rsidRDefault="007D706A" w:rsidP="00F70508">
            <w:pPr>
              <w:pStyle w:val="ParagraphStyle12"/>
              <w:rPr>
                <w:rStyle w:val="CharacterStyle12"/>
              </w:rPr>
            </w:pPr>
            <w:r>
              <w:rPr>
                <w:rStyle w:val="CharacterStyle12"/>
              </w:rPr>
              <w:t>3.350.986,00</w:t>
            </w:r>
          </w:p>
        </w:tc>
        <w:tc>
          <w:tcPr>
            <w:tcW w:w="1395" w:type="dxa"/>
            <w:tcBorders>
              <w:bottom w:val="single" w:sz="6" w:space="0" w:color="000000"/>
              <w:right w:val="single" w:sz="6" w:space="0" w:color="000000"/>
            </w:tcBorders>
            <w:vAlign w:val="center"/>
          </w:tcPr>
          <w:p w14:paraId="7CFEA043" w14:textId="77777777" w:rsidR="007D706A" w:rsidRDefault="007D706A" w:rsidP="00F70508">
            <w:pPr>
              <w:pStyle w:val="ParagraphStyle12"/>
              <w:rPr>
                <w:rStyle w:val="CharacterStyle12"/>
              </w:rPr>
            </w:pPr>
            <w:r>
              <w:rPr>
                <w:rStyle w:val="CharacterStyle12"/>
              </w:rPr>
              <w:t>3.442.150,00</w:t>
            </w:r>
          </w:p>
        </w:tc>
      </w:tr>
      <w:tr w:rsidR="007D706A" w14:paraId="0E90422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D2D7212"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337E0331"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044D42C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3085757" w14:textId="77777777" w:rsidR="007D706A" w:rsidRDefault="007D706A" w:rsidP="00F70508">
            <w:pPr>
              <w:pStyle w:val="ParagraphStyle12"/>
              <w:rPr>
                <w:rStyle w:val="CharacterStyle12"/>
              </w:rPr>
            </w:pPr>
            <w:r>
              <w:rPr>
                <w:rStyle w:val="CharacterStyle12"/>
              </w:rPr>
              <w:t>83.049,00</w:t>
            </w:r>
          </w:p>
        </w:tc>
        <w:tc>
          <w:tcPr>
            <w:tcW w:w="1395" w:type="dxa"/>
            <w:tcBorders>
              <w:bottom w:val="single" w:sz="6" w:space="0" w:color="000000"/>
              <w:right w:val="single" w:sz="6" w:space="0" w:color="000000"/>
            </w:tcBorders>
            <w:vAlign w:val="center"/>
          </w:tcPr>
          <w:p w14:paraId="120B662C" w14:textId="77777777" w:rsidR="007D706A" w:rsidRDefault="007D706A" w:rsidP="00F70508">
            <w:pPr>
              <w:pStyle w:val="ParagraphStyle12"/>
              <w:rPr>
                <w:rStyle w:val="CharacterStyle12"/>
              </w:rPr>
            </w:pPr>
            <w:r>
              <w:rPr>
                <w:rStyle w:val="CharacterStyle12"/>
              </w:rPr>
              <w:t>83.049,50</w:t>
            </w:r>
          </w:p>
        </w:tc>
        <w:tc>
          <w:tcPr>
            <w:tcW w:w="1395" w:type="dxa"/>
            <w:tcBorders>
              <w:bottom w:val="single" w:sz="6" w:space="0" w:color="000000"/>
              <w:right w:val="single" w:sz="6" w:space="0" w:color="000000"/>
            </w:tcBorders>
            <w:vAlign w:val="center"/>
          </w:tcPr>
          <w:p w14:paraId="5A5B56FC" w14:textId="77777777" w:rsidR="007D706A" w:rsidRDefault="007D706A" w:rsidP="00F70508">
            <w:pPr>
              <w:pStyle w:val="ParagraphStyle12"/>
              <w:rPr>
                <w:rStyle w:val="CharacterStyle12"/>
              </w:rPr>
            </w:pPr>
            <w:r>
              <w:rPr>
                <w:rStyle w:val="CharacterStyle12"/>
              </w:rPr>
              <w:t>87.060,86</w:t>
            </w:r>
          </w:p>
        </w:tc>
        <w:tc>
          <w:tcPr>
            <w:tcW w:w="1395" w:type="dxa"/>
            <w:tcBorders>
              <w:bottom w:val="single" w:sz="6" w:space="0" w:color="000000"/>
              <w:right w:val="single" w:sz="6" w:space="0" w:color="000000"/>
            </w:tcBorders>
            <w:vAlign w:val="center"/>
          </w:tcPr>
          <w:p w14:paraId="7D24F9CE" w14:textId="77777777" w:rsidR="007D706A" w:rsidRDefault="007D706A" w:rsidP="00F70508">
            <w:pPr>
              <w:pStyle w:val="ParagraphStyle12"/>
              <w:rPr>
                <w:rStyle w:val="CharacterStyle12"/>
              </w:rPr>
            </w:pPr>
            <w:r>
              <w:rPr>
                <w:rStyle w:val="CharacterStyle12"/>
              </w:rPr>
              <w:t>86.118,78</w:t>
            </w:r>
          </w:p>
        </w:tc>
      </w:tr>
      <w:tr w:rsidR="007D706A" w14:paraId="0C778509" w14:textId="77777777" w:rsidTr="00F70508">
        <w:trPr>
          <w:trHeight w:val="420"/>
        </w:trPr>
        <w:tc>
          <w:tcPr>
            <w:tcW w:w="2880" w:type="dxa"/>
            <w:tcBorders>
              <w:left w:val="single" w:sz="6" w:space="0" w:color="000000"/>
              <w:bottom w:val="single" w:sz="6" w:space="0" w:color="000000"/>
              <w:right w:val="single" w:sz="6" w:space="0" w:color="000000"/>
            </w:tcBorders>
            <w:vAlign w:val="center"/>
          </w:tcPr>
          <w:p w14:paraId="4F45D437" w14:textId="77777777" w:rsidR="007D706A" w:rsidRDefault="007D706A" w:rsidP="00F70508">
            <w:pPr>
              <w:pStyle w:val="ParagraphStyle4"/>
              <w:rPr>
                <w:rStyle w:val="CharacterStyle4"/>
              </w:rPr>
            </w:pPr>
            <w:r>
              <w:rPr>
                <w:rStyle w:val="CharacterStyle4"/>
              </w:rPr>
              <w:t>RAZDJEL    003</w:t>
            </w:r>
          </w:p>
        </w:tc>
        <w:tc>
          <w:tcPr>
            <w:tcW w:w="4995" w:type="dxa"/>
            <w:tcBorders>
              <w:bottom w:val="single" w:sz="6" w:space="0" w:color="000000"/>
              <w:right w:val="single" w:sz="6" w:space="0" w:color="000000"/>
            </w:tcBorders>
            <w:vAlign w:val="center"/>
          </w:tcPr>
          <w:p w14:paraId="44EB0EDB" w14:textId="77777777" w:rsidR="007D706A" w:rsidRDefault="007D706A" w:rsidP="00F70508">
            <w:pPr>
              <w:pStyle w:val="ParagraphStyle5"/>
              <w:rPr>
                <w:rStyle w:val="CharacterStyle5"/>
              </w:rPr>
            </w:pPr>
            <w:r>
              <w:rPr>
                <w:rStyle w:val="CharacterStyle5"/>
              </w:rPr>
              <w:t>R - UPRAVNI ODJEL ZA GOSPODARSTVO, JAVNU NABAVU I EUROPSKE FONDOVE</w:t>
            </w:r>
          </w:p>
        </w:tc>
        <w:tc>
          <w:tcPr>
            <w:tcW w:w="1395" w:type="dxa"/>
            <w:tcBorders>
              <w:bottom w:val="single" w:sz="6" w:space="0" w:color="000000"/>
              <w:right w:val="single" w:sz="6" w:space="0" w:color="000000"/>
            </w:tcBorders>
            <w:vAlign w:val="center"/>
          </w:tcPr>
          <w:p w14:paraId="08A5CF57"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5C0FDFAC" w14:textId="77777777" w:rsidR="007D706A" w:rsidRDefault="007D706A" w:rsidP="00F70508">
            <w:pPr>
              <w:pStyle w:val="ParagraphStyle6"/>
              <w:rPr>
                <w:rStyle w:val="CharacterStyle6"/>
              </w:rPr>
            </w:pPr>
            <w:r>
              <w:rPr>
                <w:rStyle w:val="CharacterStyle6"/>
              </w:rPr>
              <w:t>3.369.884,00</w:t>
            </w:r>
          </w:p>
        </w:tc>
        <w:tc>
          <w:tcPr>
            <w:tcW w:w="1395" w:type="dxa"/>
            <w:tcBorders>
              <w:bottom w:val="single" w:sz="6" w:space="0" w:color="000000"/>
              <w:right w:val="single" w:sz="6" w:space="0" w:color="000000"/>
            </w:tcBorders>
            <w:vAlign w:val="center"/>
          </w:tcPr>
          <w:p w14:paraId="6804A39F" w14:textId="77777777" w:rsidR="007D706A" w:rsidRDefault="007D706A" w:rsidP="00F70508">
            <w:pPr>
              <w:pStyle w:val="ParagraphStyle6"/>
              <w:rPr>
                <w:rStyle w:val="CharacterStyle6"/>
              </w:rPr>
            </w:pPr>
            <w:r>
              <w:rPr>
                <w:rStyle w:val="CharacterStyle6"/>
              </w:rPr>
              <w:t>4.133.284,50</w:t>
            </w:r>
          </w:p>
        </w:tc>
        <w:tc>
          <w:tcPr>
            <w:tcW w:w="1395" w:type="dxa"/>
            <w:tcBorders>
              <w:bottom w:val="single" w:sz="6" w:space="0" w:color="000000"/>
              <w:right w:val="single" w:sz="6" w:space="0" w:color="000000"/>
            </w:tcBorders>
            <w:vAlign w:val="center"/>
          </w:tcPr>
          <w:p w14:paraId="1505F84F" w14:textId="77777777" w:rsidR="007D706A" w:rsidRDefault="007D706A" w:rsidP="00F70508">
            <w:pPr>
              <w:pStyle w:val="ParagraphStyle6"/>
              <w:rPr>
                <w:rStyle w:val="CharacterStyle6"/>
              </w:rPr>
            </w:pPr>
            <w:r>
              <w:rPr>
                <w:rStyle w:val="CharacterStyle6"/>
              </w:rPr>
              <w:t>5.491.935,00</w:t>
            </w:r>
          </w:p>
        </w:tc>
        <w:tc>
          <w:tcPr>
            <w:tcW w:w="1395" w:type="dxa"/>
            <w:tcBorders>
              <w:bottom w:val="single" w:sz="6" w:space="0" w:color="000000"/>
              <w:right w:val="single" w:sz="6" w:space="0" w:color="000000"/>
            </w:tcBorders>
            <w:vAlign w:val="center"/>
          </w:tcPr>
          <w:p w14:paraId="2113B79B" w14:textId="77777777" w:rsidR="007D706A" w:rsidRDefault="007D706A" w:rsidP="00F70508">
            <w:pPr>
              <w:pStyle w:val="ParagraphStyle6"/>
              <w:rPr>
                <w:rStyle w:val="CharacterStyle6"/>
              </w:rPr>
            </w:pPr>
            <w:r>
              <w:rPr>
                <w:rStyle w:val="CharacterStyle6"/>
              </w:rPr>
              <w:t>257.935,00</w:t>
            </w:r>
          </w:p>
        </w:tc>
      </w:tr>
      <w:tr w:rsidR="007D706A" w14:paraId="1985F661" w14:textId="77777777" w:rsidTr="00F70508">
        <w:trPr>
          <w:trHeight w:val="420"/>
        </w:trPr>
        <w:tc>
          <w:tcPr>
            <w:tcW w:w="2880" w:type="dxa"/>
            <w:tcBorders>
              <w:left w:val="single" w:sz="6" w:space="0" w:color="000000"/>
              <w:bottom w:val="single" w:sz="6" w:space="0" w:color="000000"/>
              <w:right w:val="single" w:sz="6" w:space="0" w:color="000000"/>
            </w:tcBorders>
            <w:vAlign w:val="center"/>
          </w:tcPr>
          <w:p w14:paraId="603767EF" w14:textId="77777777" w:rsidR="007D706A" w:rsidRDefault="007D706A" w:rsidP="00F70508">
            <w:pPr>
              <w:pStyle w:val="ParagraphStyle4"/>
              <w:rPr>
                <w:rStyle w:val="CharacterStyle4"/>
              </w:rPr>
            </w:pPr>
            <w:r>
              <w:rPr>
                <w:rStyle w:val="CharacterStyle4"/>
              </w:rPr>
              <w:lastRenderedPageBreak/>
              <w:t>GLAVA    00301</w:t>
            </w:r>
          </w:p>
        </w:tc>
        <w:tc>
          <w:tcPr>
            <w:tcW w:w="4995" w:type="dxa"/>
            <w:tcBorders>
              <w:bottom w:val="single" w:sz="6" w:space="0" w:color="000000"/>
              <w:right w:val="single" w:sz="6" w:space="0" w:color="000000"/>
            </w:tcBorders>
            <w:vAlign w:val="center"/>
          </w:tcPr>
          <w:p w14:paraId="489B2878" w14:textId="77777777" w:rsidR="007D706A" w:rsidRDefault="007D706A" w:rsidP="00F70508">
            <w:pPr>
              <w:pStyle w:val="ParagraphStyle5"/>
              <w:rPr>
                <w:rStyle w:val="CharacterStyle5"/>
              </w:rPr>
            </w:pPr>
            <w:r>
              <w:rPr>
                <w:rStyle w:val="CharacterStyle5"/>
              </w:rPr>
              <w:t>UPRAVNI ODJEL ZA GOSPODARSTVO, JAVNU NABAVU I EUROPSKE FONDOVE</w:t>
            </w:r>
          </w:p>
        </w:tc>
        <w:tc>
          <w:tcPr>
            <w:tcW w:w="1395" w:type="dxa"/>
            <w:tcBorders>
              <w:bottom w:val="single" w:sz="6" w:space="0" w:color="000000"/>
              <w:right w:val="single" w:sz="6" w:space="0" w:color="000000"/>
            </w:tcBorders>
            <w:vAlign w:val="center"/>
          </w:tcPr>
          <w:p w14:paraId="036C6BF9"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7176E3E7" w14:textId="77777777" w:rsidR="007D706A" w:rsidRDefault="007D706A" w:rsidP="00F70508">
            <w:pPr>
              <w:pStyle w:val="ParagraphStyle6"/>
              <w:rPr>
                <w:rStyle w:val="CharacterStyle6"/>
              </w:rPr>
            </w:pPr>
            <w:r>
              <w:rPr>
                <w:rStyle w:val="CharacterStyle6"/>
              </w:rPr>
              <w:t>3.369.884,00</w:t>
            </w:r>
          </w:p>
        </w:tc>
        <w:tc>
          <w:tcPr>
            <w:tcW w:w="1395" w:type="dxa"/>
            <w:tcBorders>
              <w:bottom w:val="single" w:sz="6" w:space="0" w:color="000000"/>
              <w:right w:val="single" w:sz="6" w:space="0" w:color="000000"/>
            </w:tcBorders>
            <w:vAlign w:val="center"/>
          </w:tcPr>
          <w:p w14:paraId="79121AD0" w14:textId="77777777" w:rsidR="007D706A" w:rsidRDefault="007D706A" w:rsidP="00F70508">
            <w:pPr>
              <w:pStyle w:val="ParagraphStyle6"/>
              <w:rPr>
                <w:rStyle w:val="CharacterStyle6"/>
              </w:rPr>
            </w:pPr>
            <w:r>
              <w:rPr>
                <w:rStyle w:val="CharacterStyle6"/>
              </w:rPr>
              <w:t>4.133.284,50</w:t>
            </w:r>
          </w:p>
        </w:tc>
        <w:tc>
          <w:tcPr>
            <w:tcW w:w="1395" w:type="dxa"/>
            <w:tcBorders>
              <w:bottom w:val="single" w:sz="6" w:space="0" w:color="000000"/>
              <w:right w:val="single" w:sz="6" w:space="0" w:color="000000"/>
            </w:tcBorders>
            <w:vAlign w:val="center"/>
          </w:tcPr>
          <w:p w14:paraId="469B8E2E" w14:textId="77777777" w:rsidR="007D706A" w:rsidRDefault="007D706A" w:rsidP="00F70508">
            <w:pPr>
              <w:pStyle w:val="ParagraphStyle6"/>
              <w:rPr>
                <w:rStyle w:val="CharacterStyle6"/>
              </w:rPr>
            </w:pPr>
            <w:r>
              <w:rPr>
                <w:rStyle w:val="CharacterStyle6"/>
              </w:rPr>
              <w:t>5.491.935,00</w:t>
            </w:r>
          </w:p>
        </w:tc>
        <w:tc>
          <w:tcPr>
            <w:tcW w:w="1395" w:type="dxa"/>
            <w:tcBorders>
              <w:bottom w:val="single" w:sz="6" w:space="0" w:color="000000"/>
              <w:right w:val="single" w:sz="6" w:space="0" w:color="000000"/>
            </w:tcBorders>
            <w:vAlign w:val="center"/>
          </w:tcPr>
          <w:p w14:paraId="58AA54D9" w14:textId="77777777" w:rsidR="007D706A" w:rsidRDefault="007D706A" w:rsidP="00F70508">
            <w:pPr>
              <w:pStyle w:val="ParagraphStyle6"/>
              <w:rPr>
                <w:rStyle w:val="CharacterStyle6"/>
              </w:rPr>
            </w:pPr>
            <w:r>
              <w:rPr>
                <w:rStyle w:val="CharacterStyle6"/>
              </w:rPr>
              <w:t>257.935,00</w:t>
            </w:r>
          </w:p>
        </w:tc>
      </w:tr>
      <w:tr w:rsidR="007D706A" w14:paraId="7EEC127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349B025" w14:textId="77777777" w:rsidR="007D706A" w:rsidRDefault="007D706A" w:rsidP="00F70508">
            <w:pPr>
              <w:pStyle w:val="ParagraphStyle4"/>
              <w:rPr>
                <w:rStyle w:val="CharacterStyle4"/>
              </w:rPr>
            </w:pPr>
            <w:r>
              <w:rPr>
                <w:rStyle w:val="CharacterStyle4"/>
              </w:rPr>
              <w:t>Izvor financiranja 11</w:t>
            </w:r>
          </w:p>
        </w:tc>
        <w:tc>
          <w:tcPr>
            <w:tcW w:w="4995" w:type="dxa"/>
            <w:tcBorders>
              <w:bottom w:val="single" w:sz="6" w:space="0" w:color="000000"/>
              <w:right w:val="single" w:sz="6" w:space="0" w:color="000000"/>
            </w:tcBorders>
            <w:vAlign w:val="center"/>
          </w:tcPr>
          <w:p w14:paraId="7CF74B29" w14:textId="77777777" w:rsidR="007D706A" w:rsidRDefault="007D706A" w:rsidP="00F70508">
            <w:pPr>
              <w:pStyle w:val="ParagraphStyle5"/>
              <w:rPr>
                <w:rStyle w:val="CharacterStyle5"/>
              </w:rPr>
            </w:pPr>
            <w:r>
              <w:rPr>
                <w:rStyle w:val="CharacterStyle5"/>
              </w:rPr>
              <w:t>Opći prihodi i primici</w:t>
            </w:r>
          </w:p>
        </w:tc>
        <w:tc>
          <w:tcPr>
            <w:tcW w:w="1395" w:type="dxa"/>
            <w:tcBorders>
              <w:bottom w:val="single" w:sz="6" w:space="0" w:color="000000"/>
              <w:right w:val="single" w:sz="6" w:space="0" w:color="000000"/>
            </w:tcBorders>
            <w:vAlign w:val="center"/>
          </w:tcPr>
          <w:p w14:paraId="360B6E4A"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6F92D33D" w14:textId="77777777" w:rsidR="007D706A" w:rsidRDefault="007D706A" w:rsidP="00F70508">
            <w:pPr>
              <w:pStyle w:val="ParagraphStyle6"/>
              <w:rPr>
                <w:rStyle w:val="CharacterStyle6"/>
              </w:rPr>
            </w:pPr>
            <w:r>
              <w:rPr>
                <w:rStyle w:val="CharacterStyle6"/>
              </w:rPr>
              <w:t>486.578,20</w:t>
            </w:r>
          </w:p>
        </w:tc>
        <w:tc>
          <w:tcPr>
            <w:tcW w:w="1395" w:type="dxa"/>
            <w:tcBorders>
              <w:bottom w:val="single" w:sz="6" w:space="0" w:color="000000"/>
              <w:right w:val="single" w:sz="6" w:space="0" w:color="000000"/>
            </w:tcBorders>
            <w:vAlign w:val="center"/>
          </w:tcPr>
          <w:p w14:paraId="6EBEBA80" w14:textId="77777777" w:rsidR="007D706A" w:rsidRDefault="007D706A" w:rsidP="00F70508">
            <w:pPr>
              <w:pStyle w:val="ParagraphStyle6"/>
              <w:rPr>
                <w:rStyle w:val="CharacterStyle6"/>
              </w:rPr>
            </w:pPr>
            <w:r>
              <w:rPr>
                <w:rStyle w:val="CharacterStyle6"/>
              </w:rPr>
              <w:t>2.685.813,50</w:t>
            </w:r>
          </w:p>
        </w:tc>
        <w:tc>
          <w:tcPr>
            <w:tcW w:w="1395" w:type="dxa"/>
            <w:tcBorders>
              <w:bottom w:val="single" w:sz="6" w:space="0" w:color="000000"/>
              <w:right w:val="single" w:sz="6" w:space="0" w:color="000000"/>
            </w:tcBorders>
            <w:vAlign w:val="center"/>
          </w:tcPr>
          <w:p w14:paraId="2605BDB5" w14:textId="77777777" w:rsidR="007D706A" w:rsidRDefault="007D706A" w:rsidP="00F70508">
            <w:pPr>
              <w:pStyle w:val="ParagraphStyle6"/>
              <w:rPr>
                <w:rStyle w:val="CharacterStyle6"/>
              </w:rPr>
            </w:pPr>
            <w:r>
              <w:rPr>
                <w:rStyle w:val="CharacterStyle6"/>
              </w:rPr>
              <w:t>1.808.335,00</w:t>
            </w:r>
          </w:p>
        </w:tc>
        <w:tc>
          <w:tcPr>
            <w:tcW w:w="1395" w:type="dxa"/>
            <w:tcBorders>
              <w:bottom w:val="single" w:sz="6" w:space="0" w:color="000000"/>
              <w:right w:val="single" w:sz="6" w:space="0" w:color="000000"/>
            </w:tcBorders>
            <w:vAlign w:val="center"/>
          </w:tcPr>
          <w:p w14:paraId="454B904F" w14:textId="77777777" w:rsidR="007D706A" w:rsidRDefault="007D706A" w:rsidP="00F70508">
            <w:pPr>
              <w:pStyle w:val="ParagraphStyle6"/>
              <w:rPr>
                <w:rStyle w:val="CharacterStyle6"/>
              </w:rPr>
            </w:pPr>
            <w:r>
              <w:rPr>
                <w:rStyle w:val="CharacterStyle6"/>
              </w:rPr>
              <w:t>54.335,00</w:t>
            </w:r>
          </w:p>
        </w:tc>
      </w:tr>
      <w:tr w:rsidR="007D706A" w14:paraId="00B4D50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18C80E5" w14:textId="77777777" w:rsidR="007D706A" w:rsidRDefault="007D706A" w:rsidP="00F70508">
            <w:pPr>
              <w:pStyle w:val="ParagraphStyle4"/>
              <w:rPr>
                <w:rStyle w:val="CharacterStyle4"/>
              </w:rPr>
            </w:pPr>
            <w:r>
              <w:rPr>
                <w:rStyle w:val="CharacterStyle4"/>
              </w:rPr>
              <w:t>Izvor financiranja 41</w:t>
            </w:r>
          </w:p>
        </w:tc>
        <w:tc>
          <w:tcPr>
            <w:tcW w:w="4995" w:type="dxa"/>
            <w:tcBorders>
              <w:bottom w:val="single" w:sz="6" w:space="0" w:color="000000"/>
              <w:right w:val="single" w:sz="6" w:space="0" w:color="000000"/>
            </w:tcBorders>
            <w:vAlign w:val="center"/>
          </w:tcPr>
          <w:p w14:paraId="4639B72B" w14:textId="77777777" w:rsidR="007D706A" w:rsidRDefault="007D706A" w:rsidP="00F70508">
            <w:pPr>
              <w:pStyle w:val="ParagraphStyle5"/>
              <w:rPr>
                <w:rStyle w:val="CharacterStyle5"/>
              </w:rPr>
            </w:pPr>
            <w:r>
              <w:rPr>
                <w:rStyle w:val="CharacterStyle5"/>
              </w:rPr>
              <w:t>Prihodi za posebne namjene</w:t>
            </w:r>
          </w:p>
        </w:tc>
        <w:tc>
          <w:tcPr>
            <w:tcW w:w="1395" w:type="dxa"/>
            <w:tcBorders>
              <w:bottom w:val="single" w:sz="6" w:space="0" w:color="000000"/>
              <w:right w:val="single" w:sz="6" w:space="0" w:color="000000"/>
            </w:tcBorders>
            <w:vAlign w:val="center"/>
          </w:tcPr>
          <w:p w14:paraId="2F34CEA1"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17E7C072" w14:textId="77777777" w:rsidR="007D706A" w:rsidRDefault="007D706A" w:rsidP="00F70508">
            <w:pPr>
              <w:pStyle w:val="ParagraphStyle6"/>
              <w:rPr>
                <w:rStyle w:val="CharacterStyle6"/>
              </w:rPr>
            </w:pPr>
            <w:r>
              <w:rPr>
                <w:rStyle w:val="CharacterStyle6"/>
              </w:rPr>
              <w:t>153.410,80</w:t>
            </w:r>
          </w:p>
        </w:tc>
        <w:tc>
          <w:tcPr>
            <w:tcW w:w="1395" w:type="dxa"/>
            <w:tcBorders>
              <w:bottom w:val="single" w:sz="6" w:space="0" w:color="000000"/>
              <w:right w:val="single" w:sz="6" w:space="0" w:color="000000"/>
            </w:tcBorders>
            <w:vAlign w:val="center"/>
          </w:tcPr>
          <w:p w14:paraId="30CE939B"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00017203"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527F8241" w14:textId="77777777" w:rsidR="007D706A" w:rsidRDefault="007D706A" w:rsidP="00F70508">
            <w:pPr>
              <w:pStyle w:val="ParagraphStyle6"/>
              <w:rPr>
                <w:rStyle w:val="CharacterStyle6"/>
              </w:rPr>
            </w:pPr>
            <w:r>
              <w:rPr>
                <w:rStyle w:val="CharacterStyle6"/>
              </w:rPr>
              <w:t>0,00</w:t>
            </w:r>
          </w:p>
        </w:tc>
      </w:tr>
      <w:tr w:rsidR="007D706A" w14:paraId="4886B1B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45E2878" w14:textId="77777777" w:rsidR="007D706A" w:rsidRDefault="007D706A" w:rsidP="00F70508">
            <w:pPr>
              <w:pStyle w:val="ParagraphStyle4"/>
              <w:rPr>
                <w:rStyle w:val="CharacterStyle4"/>
              </w:rPr>
            </w:pPr>
            <w:r>
              <w:rPr>
                <w:rStyle w:val="CharacterStyle4"/>
              </w:rPr>
              <w:t>Izvor financiranja 43</w:t>
            </w:r>
          </w:p>
        </w:tc>
        <w:tc>
          <w:tcPr>
            <w:tcW w:w="4995" w:type="dxa"/>
            <w:tcBorders>
              <w:bottom w:val="single" w:sz="6" w:space="0" w:color="000000"/>
              <w:right w:val="single" w:sz="6" w:space="0" w:color="000000"/>
            </w:tcBorders>
            <w:vAlign w:val="center"/>
          </w:tcPr>
          <w:p w14:paraId="1B4347C8" w14:textId="77777777" w:rsidR="007D706A" w:rsidRDefault="007D706A" w:rsidP="00F70508">
            <w:pPr>
              <w:pStyle w:val="ParagraphStyle5"/>
              <w:rPr>
                <w:rStyle w:val="CharacterStyle5"/>
              </w:rPr>
            </w:pPr>
            <w:r>
              <w:rPr>
                <w:rStyle w:val="CharacterStyle5"/>
              </w:rPr>
              <w:t>Ostali prihodi za posebne namjene</w:t>
            </w:r>
          </w:p>
        </w:tc>
        <w:tc>
          <w:tcPr>
            <w:tcW w:w="1395" w:type="dxa"/>
            <w:tcBorders>
              <w:bottom w:val="single" w:sz="6" w:space="0" w:color="000000"/>
              <w:right w:val="single" w:sz="6" w:space="0" w:color="000000"/>
            </w:tcBorders>
            <w:vAlign w:val="center"/>
          </w:tcPr>
          <w:p w14:paraId="7F258DDF"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5EC08DC5"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1C0BBA6D" w14:textId="77777777" w:rsidR="007D706A" w:rsidRDefault="007D706A" w:rsidP="00F70508">
            <w:pPr>
              <w:pStyle w:val="ParagraphStyle6"/>
              <w:rPr>
                <w:rStyle w:val="CharacterStyle6"/>
              </w:rPr>
            </w:pPr>
            <w:r>
              <w:rPr>
                <w:rStyle w:val="CharacterStyle6"/>
              </w:rPr>
              <w:t>109.400,00</w:t>
            </w:r>
          </w:p>
        </w:tc>
        <w:tc>
          <w:tcPr>
            <w:tcW w:w="1395" w:type="dxa"/>
            <w:tcBorders>
              <w:bottom w:val="single" w:sz="6" w:space="0" w:color="000000"/>
              <w:right w:val="single" w:sz="6" w:space="0" w:color="000000"/>
            </w:tcBorders>
            <w:vAlign w:val="center"/>
          </w:tcPr>
          <w:p w14:paraId="08FBA4BE" w14:textId="77777777" w:rsidR="007D706A" w:rsidRDefault="007D706A" w:rsidP="00F70508">
            <w:pPr>
              <w:pStyle w:val="ParagraphStyle6"/>
              <w:rPr>
                <w:rStyle w:val="CharacterStyle6"/>
              </w:rPr>
            </w:pPr>
            <w:r>
              <w:rPr>
                <w:rStyle w:val="CharacterStyle6"/>
              </w:rPr>
              <w:t>169.500,00</w:t>
            </w:r>
          </w:p>
        </w:tc>
        <w:tc>
          <w:tcPr>
            <w:tcW w:w="1395" w:type="dxa"/>
            <w:tcBorders>
              <w:bottom w:val="single" w:sz="6" w:space="0" w:color="000000"/>
              <w:right w:val="single" w:sz="6" w:space="0" w:color="000000"/>
            </w:tcBorders>
            <w:vAlign w:val="center"/>
          </w:tcPr>
          <w:p w14:paraId="38EBC8E4" w14:textId="77777777" w:rsidR="007D706A" w:rsidRDefault="007D706A" w:rsidP="00F70508">
            <w:pPr>
              <w:pStyle w:val="ParagraphStyle6"/>
              <w:rPr>
                <w:rStyle w:val="CharacterStyle6"/>
              </w:rPr>
            </w:pPr>
            <w:r>
              <w:rPr>
                <w:rStyle w:val="CharacterStyle6"/>
              </w:rPr>
              <w:t>169.500,00</w:t>
            </w:r>
          </w:p>
        </w:tc>
      </w:tr>
      <w:tr w:rsidR="007D706A" w14:paraId="4930C86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25B8520" w14:textId="77777777" w:rsidR="007D706A" w:rsidRDefault="007D706A" w:rsidP="00F70508">
            <w:pPr>
              <w:pStyle w:val="ParagraphStyle4"/>
              <w:rPr>
                <w:rStyle w:val="CharacterStyle4"/>
              </w:rPr>
            </w:pPr>
            <w:r>
              <w:rPr>
                <w:rStyle w:val="CharacterStyle4"/>
              </w:rPr>
              <w:t>Izvor financiranja 52</w:t>
            </w:r>
          </w:p>
        </w:tc>
        <w:tc>
          <w:tcPr>
            <w:tcW w:w="4995" w:type="dxa"/>
            <w:tcBorders>
              <w:bottom w:val="single" w:sz="6" w:space="0" w:color="000000"/>
              <w:right w:val="single" w:sz="6" w:space="0" w:color="000000"/>
            </w:tcBorders>
            <w:vAlign w:val="center"/>
          </w:tcPr>
          <w:p w14:paraId="3C0F14CF" w14:textId="77777777" w:rsidR="007D706A" w:rsidRDefault="007D706A" w:rsidP="00F70508">
            <w:pPr>
              <w:pStyle w:val="ParagraphStyle5"/>
              <w:rPr>
                <w:rStyle w:val="CharacterStyle5"/>
              </w:rPr>
            </w:pPr>
            <w:r>
              <w:rPr>
                <w:rStyle w:val="CharacterStyle5"/>
              </w:rPr>
              <w:t>Ostale pomoći</w:t>
            </w:r>
          </w:p>
        </w:tc>
        <w:tc>
          <w:tcPr>
            <w:tcW w:w="1395" w:type="dxa"/>
            <w:tcBorders>
              <w:bottom w:val="single" w:sz="6" w:space="0" w:color="000000"/>
              <w:right w:val="single" w:sz="6" w:space="0" w:color="000000"/>
            </w:tcBorders>
            <w:vAlign w:val="center"/>
          </w:tcPr>
          <w:p w14:paraId="299E3087"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34B87107" w14:textId="77777777" w:rsidR="007D706A" w:rsidRDefault="007D706A" w:rsidP="00F70508">
            <w:pPr>
              <w:pStyle w:val="ParagraphStyle6"/>
              <w:rPr>
                <w:rStyle w:val="CharacterStyle6"/>
              </w:rPr>
            </w:pPr>
            <w:r>
              <w:rPr>
                <w:rStyle w:val="CharacterStyle6"/>
              </w:rPr>
              <w:t>357.271,85</w:t>
            </w:r>
          </w:p>
        </w:tc>
        <w:tc>
          <w:tcPr>
            <w:tcW w:w="1395" w:type="dxa"/>
            <w:tcBorders>
              <w:bottom w:val="single" w:sz="6" w:space="0" w:color="000000"/>
              <w:right w:val="single" w:sz="6" w:space="0" w:color="000000"/>
            </w:tcBorders>
            <w:vAlign w:val="center"/>
          </w:tcPr>
          <w:p w14:paraId="22D4E60C" w14:textId="77777777" w:rsidR="007D706A" w:rsidRDefault="007D706A" w:rsidP="00F70508">
            <w:pPr>
              <w:pStyle w:val="ParagraphStyle6"/>
              <w:rPr>
                <w:rStyle w:val="CharacterStyle6"/>
              </w:rPr>
            </w:pPr>
            <w:r>
              <w:rPr>
                <w:rStyle w:val="CharacterStyle6"/>
              </w:rPr>
              <w:t>293.693,00</w:t>
            </w:r>
          </w:p>
        </w:tc>
        <w:tc>
          <w:tcPr>
            <w:tcW w:w="1395" w:type="dxa"/>
            <w:tcBorders>
              <w:bottom w:val="single" w:sz="6" w:space="0" w:color="000000"/>
              <w:right w:val="single" w:sz="6" w:space="0" w:color="000000"/>
            </w:tcBorders>
            <w:vAlign w:val="center"/>
          </w:tcPr>
          <w:p w14:paraId="5C8A1F4B" w14:textId="77777777" w:rsidR="007D706A" w:rsidRDefault="007D706A" w:rsidP="00F70508">
            <w:pPr>
              <w:pStyle w:val="ParagraphStyle6"/>
              <w:rPr>
                <w:rStyle w:val="CharacterStyle6"/>
              </w:rPr>
            </w:pPr>
            <w:r>
              <w:rPr>
                <w:rStyle w:val="CharacterStyle6"/>
              </w:rPr>
              <w:t>34.100,00</w:t>
            </w:r>
          </w:p>
        </w:tc>
        <w:tc>
          <w:tcPr>
            <w:tcW w:w="1395" w:type="dxa"/>
            <w:tcBorders>
              <w:bottom w:val="single" w:sz="6" w:space="0" w:color="000000"/>
              <w:right w:val="single" w:sz="6" w:space="0" w:color="000000"/>
            </w:tcBorders>
            <w:vAlign w:val="center"/>
          </w:tcPr>
          <w:p w14:paraId="39DF5E48" w14:textId="77777777" w:rsidR="007D706A" w:rsidRDefault="007D706A" w:rsidP="00F70508">
            <w:pPr>
              <w:pStyle w:val="ParagraphStyle6"/>
              <w:rPr>
                <w:rStyle w:val="CharacterStyle6"/>
              </w:rPr>
            </w:pPr>
            <w:r>
              <w:rPr>
                <w:rStyle w:val="CharacterStyle6"/>
              </w:rPr>
              <w:t>34.100,00</w:t>
            </w:r>
          </w:p>
        </w:tc>
      </w:tr>
      <w:tr w:rsidR="007D706A" w14:paraId="41D1F36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F85B006" w14:textId="77777777" w:rsidR="007D706A" w:rsidRDefault="007D706A" w:rsidP="00F70508">
            <w:pPr>
              <w:pStyle w:val="ParagraphStyle4"/>
              <w:rPr>
                <w:rStyle w:val="CharacterStyle4"/>
              </w:rPr>
            </w:pPr>
            <w:r>
              <w:rPr>
                <w:rStyle w:val="CharacterStyle4"/>
              </w:rPr>
              <w:t>Izvor financiranja 54</w:t>
            </w:r>
          </w:p>
        </w:tc>
        <w:tc>
          <w:tcPr>
            <w:tcW w:w="4995" w:type="dxa"/>
            <w:tcBorders>
              <w:bottom w:val="single" w:sz="6" w:space="0" w:color="000000"/>
              <w:right w:val="single" w:sz="6" w:space="0" w:color="000000"/>
            </w:tcBorders>
            <w:vAlign w:val="center"/>
          </w:tcPr>
          <w:p w14:paraId="76BEB962" w14:textId="77777777" w:rsidR="007D706A" w:rsidRDefault="007D706A" w:rsidP="00F70508">
            <w:pPr>
              <w:pStyle w:val="ParagraphStyle5"/>
              <w:rPr>
                <w:rStyle w:val="CharacterStyle5"/>
              </w:rPr>
            </w:pPr>
            <w:r>
              <w:rPr>
                <w:rStyle w:val="CharacterStyle5"/>
              </w:rPr>
              <w:t>Pomoći tijela i fondova EU</w:t>
            </w:r>
          </w:p>
        </w:tc>
        <w:tc>
          <w:tcPr>
            <w:tcW w:w="1395" w:type="dxa"/>
            <w:tcBorders>
              <w:bottom w:val="single" w:sz="6" w:space="0" w:color="000000"/>
              <w:right w:val="single" w:sz="6" w:space="0" w:color="000000"/>
            </w:tcBorders>
            <w:vAlign w:val="center"/>
          </w:tcPr>
          <w:p w14:paraId="0DDAD153"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1E9D2636" w14:textId="77777777" w:rsidR="007D706A" w:rsidRDefault="007D706A" w:rsidP="00F70508">
            <w:pPr>
              <w:pStyle w:val="ParagraphStyle6"/>
              <w:rPr>
                <w:rStyle w:val="CharacterStyle6"/>
              </w:rPr>
            </w:pPr>
            <w:r>
              <w:rPr>
                <w:rStyle w:val="CharacterStyle6"/>
              </w:rPr>
              <w:t>1.044.378,00</w:t>
            </w:r>
          </w:p>
        </w:tc>
        <w:tc>
          <w:tcPr>
            <w:tcW w:w="1395" w:type="dxa"/>
            <w:tcBorders>
              <w:bottom w:val="single" w:sz="6" w:space="0" w:color="000000"/>
              <w:right w:val="single" w:sz="6" w:space="0" w:color="000000"/>
            </w:tcBorders>
            <w:vAlign w:val="center"/>
          </w:tcPr>
          <w:p w14:paraId="0DCF9CEB"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70C398CB"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1AC99125" w14:textId="77777777" w:rsidR="007D706A" w:rsidRDefault="007D706A" w:rsidP="00F70508">
            <w:pPr>
              <w:pStyle w:val="ParagraphStyle6"/>
              <w:rPr>
                <w:rStyle w:val="CharacterStyle6"/>
              </w:rPr>
            </w:pPr>
            <w:r>
              <w:rPr>
                <w:rStyle w:val="CharacterStyle6"/>
              </w:rPr>
              <w:t>0,00</w:t>
            </w:r>
          </w:p>
        </w:tc>
      </w:tr>
      <w:tr w:rsidR="007D706A" w14:paraId="701B2EF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E73DB1D" w14:textId="77777777" w:rsidR="007D706A" w:rsidRDefault="007D706A" w:rsidP="00F70508">
            <w:pPr>
              <w:pStyle w:val="ParagraphStyle4"/>
              <w:rPr>
                <w:rStyle w:val="CharacterStyle4"/>
              </w:rPr>
            </w:pPr>
            <w:r>
              <w:rPr>
                <w:rStyle w:val="CharacterStyle4"/>
              </w:rPr>
              <w:t>Izvor financiranja 581</w:t>
            </w:r>
          </w:p>
        </w:tc>
        <w:tc>
          <w:tcPr>
            <w:tcW w:w="4995" w:type="dxa"/>
            <w:tcBorders>
              <w:bottom w:val="single" w:sz="6" w:space="0" w:color="000000"/>
              <w:right w:val="single" w:sz="6" w:space="0" w:color="000000"/>
            </w:tcBorders>
            <w:vAlign w:val="center"/>
          </w:tcPr>
          <w:p w14:paraId="2DA9A474" w14:textId="77777777" w:rsidR="007D706A" w:rsidRDefault="007D706A" w:rsidP="00F70508">
            <w:pPr>
              <w:pStyle w:val="ParagraphStyle5"/>
              <w:rPr>
                <w:rStyle w:val="CharacterStyle5"/>
              </w:rPr>
            </w:pPr>
            <w:r>
              <w:rPr>
                <w:rStyle w:val="CharacterStyle5"/>
              </w:rPr>
              <w:t>Mehanizam za oporavak i otpornost – bespovratna sredstva</w:t>
            </w:r>
          </w:p>
        </w:tc>
        <w:tc>
          <w:tcPr>
            <w:tcW w:w="1395" w:type="dxa"/>
            <w:tcBorders>
              <w:bottom w:val="single" w:sz="6" w:space="0" w:color="000000"/>
              <w:right w:val="single" w:sz="6" w:space="0" w:color="000000"/>
            </w:tcBorders>
            <w:vAlign w:val="center"/>
          </w:tcPr>
          <w:p w14:paraId="6016C377"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64559773"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42A01435" w14:textId="77777777" w:rsidR="007D706A" w:rsidRDefault="007D706A" w:rsidP="00F70508">
            <w:pPr>
              <w:pStyle w:val="ParagraphStyle6"/>
              <w:rPr>
                <w:rStyle w:val="CharacterStyle6"/>
              </w:rPr>
            </w:pPr>
            <w:r>
              <w:rPr>
                <w:rStyle w:val="CharacterStyle6"/>
              </w:rPr>
              <w:t>1.044.378,00</w:t>
            </w:r>
          </w:p>
        </w:tc>
        <w:tc>
          <w:tcPr>
            <w:tcW w:w="1395" w:type="dxa"/>
            <w:tcBorders>
              <w:bottom w:val="single" w:sz="6" w:space="0" w:color="000000"/>
              <w:right w:val="single" w:sz="6" w:space="0" w:color="000000"/>
            </w:tcBorders>
            <w:vAlign w:val="center"/>
          </w:tcPr>
          <w:p w14:paraId="123411A5"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729598FE" w14:textId="77777777" w:rsidR="007D706A" w:rsidRDefault="007D706A" w:rsidP="00F70508">
            <w:pPr>
              <w:pStyle w:val="ParagraphStyle6"/>
              <w:rPr>
                <w:rStyle w:val="CharacterStyle6"/>
              </w:rPr>
            </w:pPr>
            <w:r>
              <w:rPr>
                <w:rStyle w:val="CharacterStyle6"/>
              </w:rPr>
              <w:t>0,00</w:t>
            </w:r>
          </w:p>
        </w:tc>
      </w:tr>
      <w:tr w:rsidR="007D706A" w14:paraId="6680FDEA" w14:textId="77777777" w:rsidTr="00F70508">
        <w:trPr>
          <w:trHeight w:val="420"/>
        </w:trPr>
        <w:tc>
          <w:tcPr>
            <w:tcW w:w="2880" w:type="dxa"/>
            <w:tcBorders>
              <w:left w:val="single" w:sz="6" w:space="0" w:color="000000"/>
              <w:bottom w:val="single" w:sz="6" w:space="0" w:color="000000"/>
              <w:right w:val="single" w:sz="6" w:space="0" w:color="000000"/>
            </w:tcBorders>
            <w:vAlign w:val="center"/>
          </w:tcPr>
          <w:p w14:paraId="5DE6EE09" w14:textId="77777777" w:rsidR="007D706A" w:rsidRDefault="007D706A" w:rsidP="00F70508">
            <w:pPr>
              <w:pStyle w:val="ParagraphStyle4"/>
              <w:rPr>
                <w:rStyle w:val="CharacterStyle4"/>
              </w:rPr>
            </w:pPr>
            <w:r>
              <w:rPr>
                <w:rStyle w:val="CharacterStyle4"/>
              </w:rPr>
              <w:t>Izvor financiranja 71</w:t>
            </w:r>
          </w:p>
        </w:tc>
        <w:tc>
          <w:tcPr>
            <w:tcW w:w="4995" w:type="dxa"/>
            <w:tcBorders>
              <w:bottom w:val="single" w:sz="6" w:space="0" w:color="000000"/>
              <w:right w:val="single" w:sz="6" w:space="0" w:color="000000"/>
            </w:tcBorders>
            <w:vAlign w:val="center"/>
          </w:tcPr>
          <w:p w14:paraId="7F46C3C8" w14:textId="77777777" w:rsidR="007D706A" w:rsidRDefault="007D706A" w:rsidP="00F70508">
            <w:pPr>
              <w:pStyle w:val="ParagraphStyle5"/>
              <w:rPr>
                <w:rStyle w:val="CharacterStyle5"/>
              </w:rPr>
            </w:pPr>
            <w:r>
              <w:rPr>
                <w:rStyle w:val="CharacterStyle5"/>
              </w:rPr>
              <w:t>Prihodi od prodaje ili zamjene nefinancijske imovine i naknade s naslova osiguranja</w:t>
            </w:r>
          </w:p>
        </w:tc>
        <w:tc>
          <w:tcPr>
            <w:tcW w:w="1395" w:type="dxa"/>
            <w:tcBorders>
              <w:bottom w:val="single" w:sz="6" w:space="0" w:color="000000"/>
              <w:right w:val="single" w:sz="6" w:space="0" w:color="000000"/>
            </w:tcBorders>
            <w:vAlign w:val="center"/>
          </w:tcPr>
          <w:p w14:paraId="58D1BACD"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00F84117"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4EE5B113"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5CC6F5B3" w14:textId="77777777" w:rsidR="007D706A" w:rsidRDefault="007D706A" w:rsidP="00F70508">
            <w:pPr>
              <w:pStyle w:val="ParagraphStyle6"/>
              <w:rPr>
                <w:rStyle w:val="CharacterStyle6"/>
              </w:rPr>
            </w:pPr>
            <w:r>
              <w:rPr>
                <w:rStyle w:val="CharacterStyle6"/>
              </w:rPr>
              <w:t>3.480.000,00</w:t>
            </w:r>
          </w:p>
        </w:tc>
        <w:tc>
          <w:tcPr>
            <w:tcW w:w="1395" w:type="dxa"/>
            <w:tcBorders>
              <w:bottom w:val="single" w:sz="6" w:space="0" w:color="000000"/>
              <w:right w:val="single" w:sz="6" w:space="0" w:color="000000"/>
            </w:tcBorders>
            <w:vAlign w:val="center"/>
          </w:tcPr>
          <w:p w14:paraId="57CCCA7D" w14:textId="77777777" w:rsidR="007D706A" w:rsidRDefault="007D706A" w:rsidP="00F70508">
            <w:pPr>
              <w:pStyle w:val="ParagraphStyle6"/>
              <w:rPr>
                <w:rStyle w:val="CharacterStyle6"/>
              </w:rPr>
            </w:pPr>
            <w:r>
              <w:rPr>
                <w:rStyle w:val="CharacterStyle6"/>
              </w:rPr>
              <w:t>0,00</w:t>
            </w:r>
          </w:p>
        </w:tc>
      </w:tr>
      <w:tr w:rsidR="007D706A" w14:paraId="741CAD7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D99F869" w14:textId="77777777" w:rsidR="007D706A" w:rsidRDefault="007D706A" w:rsidP="00F70508">
            <w:pPr>
              <w:pStyle w:val="ParagraphStyle4"/>
              <w:rPr>
                <w:rStyle w:val="CharacterStyle4"/>
              </w:rPr>
            </w:pPr>
            <w:r>
              <w:rPr>
                <w:rStyle w:val="CharacterStyle4"/>
              </w:rPr>
              <w:t>Izvor financiranja 82</w:t>
            </w:r>
          </w:p>
        </w:tc>
        <w:tc>
          <w:tcPr>
            <w:tcW w:w="4995" w:type="dxa"/>
            <w:tcBorders>
              <w:bottom w:val="single" w:sz="6" w:space="0" w:color="000000"/>
              <w:right w:val="single" w:sz="6" w:space="0" w:color="000000"/>
            </w:tcBorders>
            <w:vAlign w:val="center"/>
          </w:tcPr>
          <w:p w14:paraId="16DBBE65" w14:textId="77777777" w:rsidR="007D706A" w:rsidRDefault="007D706A" w:rsidP="00F70508">
            <w:pPr>
              <w:pStyle w:val="ParagraphStyle5"/>
              <w:rPr>
                <w:rStyle w:val="CharacterStyle5"/>
              </w:rPr>
            </w:pPr>
            <w:r>
              <w:rPr>
                <w:rStyle w:val="CharacterStyle5"/>
              </w:rPr>
              <w:t>Preneseni viškovi iz ranijih godina</w:t>
            </w:r>
          </w:p>
        </w:tc>
        <w:tc>
          <w:tcPr>
            <w:tcW w:w="1395" w:type="dxa"/>
            <w:tcBorders>
              <w:bottom w:val="single" w:sz="6" w:space="0" w:color="000000"/>
              <w:right w:val="single" w:sz="6" w:space="0" w:color="000000"/>
            </w:tcBorders>
            <w:vAlign w:val="center"/>
          </w:tcPr>
          <w:p w14:paraId="0723F20D"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09098989" w14:textId="77777777" w:rsidR="007D706A" w:rsidRDefault="007D706A" w:rsidP="00F70508">
            <w:pPr>
              <w:pStyle w:val="ParagraphStyle6"/>
              <w:rPr>
                <w:rStyle w:val="CharacterStyle6"/>
              </w:rPr>
            </w:pPr>
            <w:r>
              <w:rPr>
                <w:rStyle w:val="CharacterStyle6"/>
              </w:rPr>
              <w:t>1.328.245,15</w:t>
            </w:r>
          </w:p>
        </w:tc>
        <w:tc>
          <w:tcPr>
            <w:tcW w:w="1395" w:type="dxa"/>
            <w:tcBorders>
              <w:bottom w:val="single" w:sz="6" w:space="0" w:color="000000"/>
              <w:right w:val="single" w:sz="6" w:space="0" w:color="000000"/>
            </w:tcBorders>
            <w:vAlign w:val="center"/>
          </w:tcPr>
          <w:p w14:paraId="4DEDF1B5"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3C5E9BA6"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1486028E" w14:textId="77777777" w:rsidR="007D706A" w:rsidRDefault="007D706A" w:rsidP="00F70508">
            <w:pPr>
              <w:pStyle w:val="ParagraphStyle6"/>
              <w:rPr>
                <w:rStyle w:val="CharacterStyle6"/>
              </w:rPr>
            </w:pPr>
            <w:r>
              <w:rPr>
                <w:rStyle w:val="CharacterStyle6"/>
              </w:rPr>
              <w:t>0,00</w:t>
            </w:r>
          </w:p>
        </w:tc>
      </w:tr>
      <w:tr w:rsidR="007D706A" w14:paraId="4A690DD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B38A58D" w14:textId="77777777" w:rsidR="007D706A" w:rsidRDefault="007D706A" w:rsidP="00F70508">
            <w:pPr>
              <w:pStyle w:val="ParagraphStyle4"/>
              <w:rPr>
                <w:rStyle w:val="CharacterStyle4"/>
              </w:rPr>
            </w:pPr>
            <w:r>
              <w:rPr>
                <w:rStyle w:val="CharacterStyle4"/>
              </w:rPr>
              <w:t>PROGRAM    1006</w:t>
            </w:r>
          </w:p>
        </w:tc>
        <w:tc>
          <w:tcPr>
            <w:tcW w:w="4995" w:type="dxa"/>
            <w:tcBorders>
              <w:bottom w:val="single" w:sz="6" w:space="0" w:color="000000"/>
              <w:right w:val="single" w:sz="6" w:space="0" w:color="000000"/>
            </w:tcBorders>
            <w:vAlign w:val="center"/>
          </w:tcPr>
          <w:p w14:paraId="1733BF8F" w14:textId="77777777" w:rsidR="007D706A" w:rsidRDefault="007D706A" w:rsidP="00F70508">
            <w:pPr>
              <w:pStyle w:val="ParagraphStyle5"/>
              <w:rPr>
                <w:rStyle w:val="CharacterStyle5"/>
              </w:rPr>
            </w:pPr>
            <w:r>
              <w:rPr>
                <w:rStyle w:val="CharacterStyle5"/>
              </w:rPr>
              <w:t>POTICANJE RAZVOJA GOSPODARSTVA</w:t>
            </w:r>
          </w:p>
        </w:tc>
        <w:tc>
          <w:tcPr>
            <w:tcW w:w="1395" w:type="dxa"/>
            <w:tcBorders>
              <w:bottom w:val="single" w:sz="6" w:space="0" w:color="000000"/>
              <w:right w:val="single" w:sz="6" w:space="0" w:color="000000"/>
            </w:tcBorders>
            <w:vAlign w:val="center"/>
          </w:tcPr>
          <w:p w14:paraId="3748804E"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736F0261" w14:textId="77777777" w:rsidR="007D706A" w:rsidRDefault="007D706A" w:rsidP="00F70508">
            <w:pPr>
              <w:pStyle w:val="ParagraphStyle6"/>
              <w:rPr>
                <w:rStyle w:val="CharacterStyle6"/>
              </w:rPr>
            </w:pPr>
            <w:r>
              <w:rPr>
                <w:rStyle w:val="CharacterStyle6"/>
              </w:rPr>
              <w:t>178.367,50</w:t>
            </w:r>
          </w:p>
        </w:tc>
        <w:tc>
          <w:tcPr>
            <w:tcW w:w="1395" w:type="dxa"/>
            <w:tcBorders>
              <w:bottom w:val="single" w:sz="6" w:space="0" w:color="000000"/>
              <w:right w:val="single" w:sz="6" w:space="0" w:color="000000"/>
            </w:tcBorders>
            <w:vAlign w:val="center"/>
          </w:tcPr>
          <w:p w14:paraId="04BB3F79" w14:textId="77777777" w:rsidR="007D706A" w:rsidRDefault="007D706A" w:rsidP="00F70508">
            <w:pPr>
              <w:pStyle w:val="ParagraphStyle6"/>
              <w:rPr>
                <w:rStyle w:val="CharacterStyle6"/>
              </w:rPr>
            </w:pPr>
            <w:r>
              <w:rPr>
                <w:rStyle w:val="CharacterStyle6"/>
              </w:rPr>
              <w:t>186.455,00</w:t>
            </w:r>
          </w:p>
        </w:tc>
        <w:tc>
          <w:tcPr>
            <w:tcW w:w="1395" w:type="dxa"/>
            <w:tcBorders>
              <w:bottom w:val="single" w:sz="6" w:space="0" w:color="000000"/>
              <w:right w:val="single" w:sz="6" w:space="0" w:color="000000"/>
            </w:tcBorders>
            <w:vAlign w:val="center"/>
          </w:tcPr>
          <w:p w14:paraId="1E7EBEBB" w14:textId="77777777" w:rsidR="007D706A" w:rsidRDefault="007D706A" w:rsidP="00F70508">
            <w:pPr>
              <w:pStyle w:val="ParagraphStyle6"/>
              <w:rPr>
                <w:rStyle w:val="CharacterStyle6"/>
              </w:rPr>
            </w:pPr>
            <w:r>
              <w:rPr>
                <w:rStyle w:val="CharacterStyle6"/>
              </w:rPr>
              <w:t>186.455,00</w:t>
            </w:r>
          </w:p>
        </w:tc>
        <w:tc>
          <w:tcPr>
            <w:tcW w:w="1395" w:type="dxa"/>
            <w:tcBorders>
              <w:bottom w:val="single" w:sz="6" w:space="0" w:color="000000"/>
              <w:right w:val="single" w:sz="6" w:space="0" w:color="000000"/>
            </w:tcBorders>
            <w:vAlign w:val="center"/>
          </w:tcPr>
          <w:p w14:paraId="7F67C121" w14:textId="77777777" w:rsidR="007D706A" w:rsidRDefault="007D706A" w:rsidP="00F70508">
            <w:pPr>
              <w:pStyle w:val="ParagraphStyle6"/>
              <w:rPr>
                <w:rStyle w:val="CharacterStyle6"/>
              </w:rPr>
            </w:pPr>
            <w:r>
              <w:rPr>
                <w:rStyle w:val="CharacterStyle6"/>
              </w:rPr>
              <w:t>186.455,00</w:t>
            </w:r>
          </w:p>
        </w:tc>
      </w:tr>
      <w:tr w:rsidR="007D706A" w14:paraId="2A7F2EC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B44DEE0" w14:textId="77777777" w:rsidR="007D706A" w:rsidRDefault="007D706A" w:rsidP="00F70508">
            <w:pPr>
              <w:pStyle w:val="ParagraphStyle4"/>
              <w:rPr>
                <w:rStyle w:val="CharacterStyle4"/>
              </w:rPr>
            </w:pPr>
            <w:r>
              <w:rPr>
                <w:rStyle w:val="CharacterStyle4"/>
              </w:rPr>
              <w:t>Aktivnost A100601</w:t>
            </w:r>
          </w:p>
        </w:tc>
        <w:tc>
          <w:tcPr>
            <w:tcW w:w="4995" w:type="dxa"/>
            <w:tcBorders>
              <w:bottom w:val="single" w:sz="6" w:space="0" w:color="000000"/>
              <w:right w:val="single" w:sz="6" w:space="0" w:color="000000"/>
            </w:tcBorders>
            <w:vAlign w:val="center"/>
          </w:tcPr>
          <w:p w14:paraId="5C27152F" w14:textId="77777777" w:rsidR="007D706A" w:rsidRDefault="007D706A" w:rsidP="00F70508">
            <w:pPr>
              <w:pStyle w:val="ParagraphStyle5"/>
              <w:rPr>
                <w:rStyle w:val="CharacterStyle5"/>
              </w:rPr>
            </w:pPr>
            <w:r>
              <w:rPr>
                <w:rStyle w:val="CharacterStyle5"/>
              </w:rPr>
              <w:t>RAZVOJNI PROGRAMI</w:t>
            </w:r>
          </w:p>
        </w:tc>
        <w:tc>
          <w:tcPr>
            <w:tcW w:w="1395" w:type="dxa"/>
            <w:tcBorders>
              <w:bottom w:val="single" w:sz="6" w:space="0" w:color="000000"/>
              <w:right w:val="single" w:sz="6" w:space="0" w:color="000000"/>
            </w:tcBorders>
            <w:vAlign w:val="center"/>
          </w:tcPr>
          <w:p w14:paraId="626495CC"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47D39843" w14:textId="77777777" w:rsidR="007D706A" w:rsidRDefault="007D706A" w:rsidP="00F70508">
            <w:pPr>
              <w:pStyle w:val="ParagraphStyle6"/>
              <w:rPr>
                <w:rStyle w:val="CharacterStyle6"/>
              </w:rPr>
            </w:pPr>
            <w:r>
              <w:rPr>
                <w:rStyle w:val="CharacterStyle6"/>
              </w:rPr>
              <w:t>62.087,50</w:t>
            </w:r>
          </w:p>
        </w:tc>
        <w:tc>
          <w:tcPr>
            <w:tcW w:w="1395" w:type="dxa"/>
            <w:tcBorders>
              <w:bottom w:val="single" w:sz="6" w:space="0" w:color="000000"/>
              <w:right w:val="single" w:sz="6" w:space="0" w:color="000000"/>
            </w:tcBorders>
            <w:vAlign w:val="center"/>
          </w:tcPr>
          <w:p w14:paraId="1B85246C" w14:textId="77777777" w:rsidR="007D706A" w:rsidRDefault="007D706A" w:rsidP="00F70508">
            <w:pPr>
              <w:pStyle w:val="ParagraphStyle6"/>
              <w:rPr>
                <w:rStyle w:val="CharacterStyle6"/>
              </w:rPr>
            </w:pPr>
            <w:r>
              <w:rPr>
                <w:rStyle w:val="CharacterStyle6"/>
              </w:rPr>
              <w:t>62.500,00</w:t>
            </w:r>
          </w:p>
        </w:tc>
        <w:tc>
          <w:tcPr>
            <w:tcW w:w="1395" w:type="dxa"/>
            <w:tcBorders>
              <w:bottom w:val="single" w:sz="6" w:space="0" w:color="000000"/>
              <w:right w:val="single" w:sz="6" w:space="0" w:color="000000"/>
            </w:tcBorders>
            <w:vAlign w:val="center"/>
          </w:tcPr>
          <w:p w14:paraId="5DD31428" w14:textId="77777777" w:rsidR="007D706A" w:rsidRDefault="007D706A" w:rsidP="00F70508">
            <w:pPr>
              <w:pStyle w:val="ParagraphStyle6"/>
              <w:rPr>
                <w:rStyle w:val="CharacterStyle6"/>
              </w:rPr>
            </w:pPr>
            <w:r>
              <w:rPr>
                <w:rStyle w:val="CharacterStyle6"/>
              </w:rPr>
              <w:t>62.500,00</w:t>
            </w:r>
          </w:p>
        </w:tc>
        <w:tc>
          <w:tcPr>
            <w:tcW w:w="1395" w:type="dxa"/>
            <w:tcBorders>
              <w:bottom w:val="single" w:sz="6" w:space="0" w:color="000000"/>
              <w:right w:val="single" w:sz="6" w:space="0" w:color="000000"/>
            </w:tcBorders>
            <w:vAlign w:val="center"/>
          </w:tcPr>
          <w:p w14:paraId="05B922F8" w14:textId="77777777" w:rsidR="007D706A" w:rsidRDefault="007D706A" w:rsidP="00F70508">
            <w:pPr>
              <w:pStyle w:val="ParagraphStyle6"/>
              <w:rPr>
                <w:rStyle w:val="CharacterStyle6"/>
              </w:rPr>
            </w:pPr>
            <w:r>
              <w:rPr>
                <w:rStyle w:val="CharacterStyle6"/>
              </w:rPr>
              <w:t>62.500,00</w:t>
            </w:r>
          </w:p>
        </w:tc>
      </w:tr>
      <w:tr w:rsidR="007D706A" w14:paraId="5C3CE0E6"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C335CD7"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097D934D"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3188B9BB"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549FCB8"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2710B1D" w14:textId="77777777" w:rsidR="007D706A" w:rsidRDefault="007D706A" w:rsidP="00F70508">
            <w:pPr>
              <w:pStyle w:val="ParagraphStyle9"/>
              <w:rPr>
                <w:rStyle w:val="CharacterStyle9"/>
              </w:rPr>
            </w:pPr>
            <w:r>
              <w:rPr>
                <w:rStyle w:val="CharacterStyle9"/>
              </w:rPr>
              <w:t>60.600,00</w:t>
            </w:r>
          </w:p>
        </w:tc>
        <w:tc>
          <w:tcPr>
            <w:tcW w:w="1395" w:type="dxa"/>
            <w:tcBorders>
              <w:bottom w:val="single" w:sz="6" w:space="0" w:color="000000"/>
              <w:right w:val="single" w:sz="6" w:space="0" w:color="000000"/>
            </w:tcBorders>
            <w:vAlign w:val="center"/>
          </w:tcPr>
          <w:p w14:paraId="25C4436F"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55BC260" w14:textId="77777777" w:rsidR="007D706A" w:rsidRDefault="007D706A" w:rsidP="00F70508">
            <w:pPr>
              <w:pStyle w:val="ParagraphStyle9"/>
              <w:rPr>
                <w:rStyle w:val="CharacterStyle9"/>
              </w:rPr>
            </w:pPr>
            <w:r>
              <w:rPr>
                <w:rStyle w:val="CharacterStyle9"/>
              </w:rPr>
              <w:t>0,00</w:t>
            </w:r>
          </w:p>
        </w:tc>
      </w:tr>
      <w:tr w:rsidR="007D706A" w14:paraId="0A10A70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68CB37E"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7ECEBDBD"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5C51FB1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01B605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54B335B" w14:textId="77777777" w:rsidR="007D706A" w:rsidRDefault="007D706A" w:rsidP="00F70508">
            <w:pPr>
              <w:pStyle w:val="ParagraphStyle12"/>
              <w:rPr>
                <w:rStyle w:val="CharacterStyle12"/>
              </w:rPr>
            </w:pPr>
            <w:r>
              <w:rPr>
                <w:rStyle w:val="CharacterStyle12"/>
              </w:rPr>
              <w:t>60.600,00</w:t>
            </w:r>
          </w:p>
        </w:tc>
        <w:tc>
          <w:tcPr>
            <w:tcW w:w="1395" w:type="dxa"/>
            <w:tcBorders>
              <w:bottom w:val="single" w:sz="6" w:space="0" w:color="000000"/>
              <w:right w:val="single" w:sz="6" w:space="0" w:color="000000"/>
            </w:tcBorders>
            <w:vAlign w:val="center"/>
          </w:tcPr>
          <w:p w14:paraId="70FE16C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EBCBFA3" w14:textId="77777777" w:rsidR="007D706A" w:rsidRDefault="007D706A" w:rsidP="00F70508">
            <w:pPr>
              <w:pStyle w:val="ParagraphStyle12"/>
              <w:rPr>
                <w:rStyle w:val="CharacterStyle12"/>
              </w:rPr>
            </w:pPr>
            <w:r>
              <w:rPr>
                <w:rStyle w:val="CharacterStyle12"/>
              </w:rPr>
              <w:t>0,00</w:t>
            </w:r>
          </w:p>
        </w:tc>
      </w:tr>
      <w:tr w:rsidR="007D706A" w14:paraId="545B9F5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BE5B1EE"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75E7DC3D"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5AF8F5C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BF91F5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F3537B5" w14:textId="77777777" w:rsidR="007D706A" w:rsidRDefault="007D706A" w:rsidP="00F70508">
            <w:pPr>
              <w:pStyle w:val="ParagraphStyle12"/>
              <w:rPr>
                <w:rStyle w:val="CharacterStyle12"/>
              </w:rPr>
            </w:pPr>
            <w:r>
              <w:rPr>
                <w:rStyle w:val="CharacterStyle12"/>
              </w:rPr>
              <w:t>60.600,00</w:t>
            </w:r>
          </w:p>
        </w:tc>
        <w:tc>
          <w:tcPr>
            <w:tcW w:w="1395" w:type="dxa"/>
            <w:tcBorders>
              <w:bottom w:val="single" w:sz="6" w:space="0" w:color="000000"/>
              <w:right w:val="single" w:sz="6" w:space="0" w:color="000000"/>
            </w:tcBorders>
            <w:vAlign w:val="center"/>
          </w:tcPr>
          <w:p w14:paraId="77A6FD6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C556DA1" w14:textId="77777777" w:rsidR="007D706A" w:rsidRDefault="007D706A" w:rsidP="00F70508">
            <w:pPr>
              <w:pStyle w:val="ParagraphStyle12"/>
              <w:rPr>
                <w:rStyle w:val="CharacterStyle12"/>
              </w:rPr>
            </w:pPr>
            <w:r>
              <w:rPr>
                <w:rStyle w:val="CharacterStyle12"/>
              </w:rPr>
              <w:t>0,00</w:t>
            </w:r>
          </w:p>
        </w:tc>
      </w:tr>
      <w:tr w:rsidR="007D706A" w14:paraId="4FCA85D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9FBBA7E" w14:textId="77777777" w:rsidR="007D706A" w:rsidRDefault="007D706A" w:rsidP="00F70508">
            <w:pPr>
              <w:pStyle w:val="ParagraphStyle7"/>
              <w:rPr>
                <w:rStyle w:val="CharacterStyle7"/>
              </w:rPr>
            </w:pPr>
            <w:r>
              <w:rPr>
                <w:rStyle w:val="CharacterStyle7"/>
              </w:rPr>
              <w:t>Izvor financiranja 41</w:t>
            </w:r>
          </w:p>
        </w:tc>
        <w:tc>
          <w:tcPr>
            <w:tcW w:w="4995" w:type="dxa"/>
            <w:tcBorders>
              <w:bottom w:val="single" w:sz="6" w:space="0" w:color="000000"/>
              <w:right w:val="single" w:sz="6" w:space="0" w:color="000000"/>
            </w:tcBorders>
            <w:vAlign w:val="center"/>
          </w:tcPr>
          <w:p w14:paraId="292E6C56" w14:textId="77777777" w:rsidR="007D706A" w:rsidRDefault="007D706A" w:rsidP="00F70508">
            <w:pPr>
              <w:pStyle w:val="ParagraphStyle8"/>
              <w:rPr>
                <w:rStyle w:val="CharacterStyle8"/>
              </w:rPr>
            </w:pPr>
            <w:r>
              <w:rPr>
                <w:rStyle w:val="CharacterStyle8"/>
              </w:rPr>
              <w:t>Prihodi za posebne namjene</w:t>
            </w:r>
          </w:p>
        </w:tc>
        <w:tc>
          <w:tcPr>
            <w:tcW w:w="1395" w:type="dxa"/>
            <w:tcBorders>
              <w:bottom w:val="single" w:sz="6" w:space="0" w:color="000000"/>
              <w:right w:val="single" w:sz="6" w:space="0" w:color="000000"/>
            </w:tcBorders>
            <w:vAlign w:val="center"/>
          </w:tcPr>
          <w:p w14:paraId="74FEDCAE"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064FD50" w14:textId="77777777" w:rsidR="007D706A" w:rsidRDefault="007D706A" w:rsidP="00F70508">
            <w:pPr>
              <w:pStyle w:val="ParagraphStyle9"/>
              <w:rPr>
                <w:rStyle w:val="CharacterStyle9"/>
              </w:rPr>
            </w:pPr>
            <w:r>
              <w:rPr>
                <w:rStyle w:val="CharacterStyle9"/>
              </w:rPr>
              <w:t>62.087,50</w:t>
            </w:r>
          </w:p>
        </w:tc>
        <w:tc>
          <w:tcPr>
            <w:tcW w:w="1395" w:type="dxa"/>
            <w:tcBorders>
              <w:bottom w:val="single" w:sz="6" w:space="0" w:color="000000"/>
              <w:right w:val="single" w:sz="6" w:space="0" w:color="000000"/>
            </w:tcBorders>
            <w:vAlign w:val="center"/>
          </w:tcPr>
          <w:p w14:paraId="6D56DAE0"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817A41C"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DFF8CD3" w14:textId="77777777" w:rsidR="007D706A" w:rsidRDefault="007D706A" w:rsidP="00F70508">
            <w:pPr>
              <w:pStyle w:val="ParagraphStyle9"/>
              <w:rPr>
                <w:rStyle w:val="CharacterStyle9"/>
              </w:rPr>
            </w:pPr>
            <w:r>
              <w:rPr>
                <w:rStyle w:val="CharacterStyle9"/>
              </w:rPr>
              <w:t>0,00</w:t>
            </w:r>
          </w:p>
        </w:tc>
      </w:tr>
      <w:tr w:rsidR="007D706A" w14:paraId="42A51E4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77E825F"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3B5C3F7E"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5CFC9B7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1E50423" w14:textId="77777777" w:rsidR="007D706A" w:rsidRDefault="007D706A" w:rsidP="00F70508">
            <w:pPr>
              <w:pStyle w:val="ParagraphStyle12"/>
              <w:rPr>
                <w:rStyle w:val="CharacterStyle12"/>
              </w:rPr>
            </w:pPr>
            <w:r>
              <w:rPr>
                <w:rStyle w:val="CharacterStyle12"/>
              </w:rPr>
              <w:t>62.087,50</w:t>
            </w:r>
          </w:p>
        </w:tc>
        <w:tc>
          <w:tcPr>
            <w:tcW w:w="1395" w:type="dxa"/>
            <w:tcBorders>
              <w:bottom w:val="single" w:sz="6" w:space="0" w:color="000000"/>
              <w:right w:val="single" w:sz="6" w:space="0" w:color="000000"/>
            </w:tcBorders>
            <w:vAlign w:val="center"/>
          </w:tcPr>
          <w:p w14:paraId="29DC9FB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FE8D42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21FA260" w14:textId="77777777" w:rsidR="007D706A" w:rsidRDefault="007D706A" w:rsidP="00F70508">
            <w:pPr>
              <w:pStyle w:val="ParagraphStyle12"/>
              <w:rPr>
                <w:rStyle w:val="CharacterStyle12"/>
              </w:rPr>
            </w:pPr>
            <w:r>
              <w:rPr>
                <w:rStyle w:val="CharacterStyle12"/>
              </w:rPr>
              <w:t>0,00</w:t>
            </w:r>
          </w:p>
        </w:tc>
      </w:tr>
      <w:tr w:rsidR="007D706A" w14:paraId="3C9488F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3878F17"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12894484"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371649A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D14735E" w14:textId="77777777" w:rsidR="007D706A" w:rsidRDefault="007D706A" w:rsidP="00F70508">
            <w:pPr>
              <w:pStyle w:val="ParagraphStyle12"/>
              <w:rPr>
                <w:rStyle w:val="CharacterStyle12"/>
              </w:rPr>
            </w:pPr>
            <w:r>
              <w:rPr>
                <w:rStyle w:val="CharacterStyle12"/>
              </w:rPr>
              <w:t>62.087,50</w:t>
            </w:r>
          </w:p>
        </w:tc>
        <w:tc>
          <w:tcPr>
            <w:tcW w:w="1395" w:type="dxa"/>
            <w:tcBorders>
              <w:bottom w:val="single" w:sz="6" w:space="0" w:color="000000"/>
              <w:right w:val="single" w:sz="6" w:space="0" w:color="000000"/>
            </w:tcBorders>
            <w:vAlign w:val="center"/>
          </w:tcPr>
          <w:p w14:paraId="449AC5F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0A9BFC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B2F9C86" w14:textId="77777777" w:rsidR="007D706A" w:rsidRDefault="007D706A" w:rsidP="00F70508">
            <w:pPr>
              <w:pStyle w:val="ParagraphStyle12"/>
              <w:rPr>
                <w:rStyle w:val="CharacterStyle12"/>
              </w:rPr>
            </w:pPr>
            <w:r>
              <w:rPr>
                <w:rStyle w:val="CharacterStyle12"/>
              </w:rPr>
              <w:t>0,00</w:t>
            </w:r>
          </w:p>
        </w:tc>
      </w:tr>
      <w:tr w:rsidR="007D706A" w14:paraId="7C8EED1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9581BC1" w14:textId="77777777" w:rsidR="007D706A" w:rsidRDefault="007D706A" w:rsidP="00F70508">
            <w:pPr>
              <w:pStyle w:val="ParagraphStyle7"/>
              <w:rPr>
                <w:rStyle w:val="CharacterStyle7"/>
              </w:rPr>
            </w:pPr>
            <w:r>
              <w:rPr>
                <w:rStyle w:val="CharacterStyle7"/>
              </w:rPr>
              <w:t>Izvor financiranja 43</w:t>
            </w:r>
          </w:p>
        </w:tc>
        <w:tc>
          <w:tcPr>
            <w:tcW w:w="4995" w:type="dxa"/>
            <w:tcBorders>
              <w:bottom w:val="single" w:sz="6" w:space="0" w:color="000000"/>
              <w:right w:val="single" w:sz="6" w:space="0" w:color="000000"/>
            </w:tcBorders>
            <w:vAlign w:val="center"/>
          </w:tcPr>
          <w:p w14:paraId="342D81FF" w14:textId="77777777" w:rsidR="007D706A" w:rsidRDefault="007D706A" w:rsidP="00F70508">
            <w:pPr>
              <w:pStyle w:val="ParagraphStyle8"/>
              <w:rPr>
                <w:rStyle w:val="CharacterStyle8"/>
              </w:rPr>
            </w:pPr>
            <w:r>
              <w:rPr>
                <w:rStyle w:val="CharacterStyle8"/>
              </w:rPr>
              <w:t>Ostali prihodi za posebne namjene</w:t>
            </w:r>
          </w:p>
        </w:tc>
        <w:tc>
          <w:tcPr>
            <w:tcW w:w="1395" w:type="dxa"/>
            <w:tcBorders>
              <w:bottom w:val="single" w:sz="6" w:space="0" w:color="000000"/>
              <w:right w:val="single" w:sz="6" w:space="0" w:color="000000"/>
            </w:tcBorders>
            <w:vAlign w:val="center"/>
          </w:tcPr>
          <w:p w14:paraId="50E0E708"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F0BFE1D"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A208110" w14:textId="77777777" w:rsidR="007D706A" w:rsidRDefault="007D706A" w:rsidP="00F70508">
            <w:pPr>
              <w:pStyle w:val="ParagraphStyle9"/>
              <w:rPr>
                <w:rStyle w:val="CharacterStyle9"/>
              </w:rPr>
            </w:pPr>
            <w:r>
              <w:rPr>
                <w:rStyle w:val="CharacterStyle9"/>
              </w:rPr>
              <w:t>1.900,00</w:t>
            </w:r>
          </w:p>
        </w:tc>
        <w:tc>
          <w:tcPr>
            <w:tcW w:w="1395" w:type="dxa"/>
            <w:tcBorders>
              <w:bottom w:val="single" w:sz="6" w:space="0" w:color="000000"/>
              <w:right w:val="single" w:sz="6" w:space="0" w:color="000000"/>
            </w:tcBorders>
            <w:vAlign w:val="center"/>
          </w:tcPr>
          <w:p w14:paraId="7C043D8B" w14:textId="77777777" w:rsidR="007D706A" w:rsidRDefault="007D706A" w:rsidP="00F70508">
            <w:pPr>
              <w:pStyle w:val="ParagraphStyle9"/>
              <w:rPr>
                <w:rStyle w:val="CharacterStyle9"/>
              </w:rPr>
            </w:pPr>
            <w:r>
              <w:rPr>
                <w:rStyle w:val="CharacterStyle9"/>
              </w:rPr>
              <w:t>62.500,00</w:t>
            </w:r>
          </w:p>
        </w:tc>
        <w:tc>
          <w:tcPr>
            <w:tcW w:w="1395" w:type="dxa"/>
            <w:tcBorders>
              <w:bottom w:val="single" w:sz="6" w:space="0" w:color="000000"/>
              <w:right w:val="single" w:sz="6" w:space="0" w:color="000000"/>
            </w:tcBorders>
            <w:vAlign w:val="center"/>
          </w:tcPr>
          <w:p w14:paraId="49B9EB91" w14:textId="77777777" w:rsidR="007D706A" w:rsidRDefault="007D706A" w:rsidP="00F70508">
            <w:pPr>
              <w:pStyle w:val="ParagraphStyle9"/>
              <w:rPr>
                <w:rStyle w:val="CharacterStyle9"/>
              </w:rPr>
            </w:pPr>
            <w:r>
              <w:rPr>
                <w:rStyle w:val="CharacterStyle9"/>
              </w:rPr>
              <w:t>62.500,00</w:t>
            </w:r>
          </w:p>
        </w:tc>
      </w:tr>
      <w:tr w:rsidR="007D706A" w14:paraId="571817D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229ABC0"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63AEA0EA"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3D602BB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D7ADFB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DE5DC41" w14:textId="77777777" w:rsidR="007D706A" w:rsidRDefault="007D706A" w:rsidP="00F70508">
            <w:pPr>
              <w:pStyle w:val="ParagraphStyle12"/>
              <w:rPr>
                <w:rStyle w:val="CharacterStyle12"/>
              </w:rPr>
            </w:pPr>
            <w:r>
              <w:rPr>
                <w:rStyle w:val="CharacterStyle12"/>
              </w:rPr>
              <w:t>1.900,00</w:t>
            </w:r>
          </w:p>
        </w:tc>
        <w:tc>
          <w:tcPr>
            <w:tcW w:w="1395" w:type="dxa"/>
            <w:tcBorders>
              <w:bottom w:val="single" w:sz="6" w:space="0" w:color="000000"/>
              <w:right w:val="single" w:sz="6" w:space="0" w:color="000000"/>
            </w:tcBorders>
            <w:vAlign w:val="center"/>
          </w:tcPr>
          <w:p w14:paraId="563F82DA" w14:textId="77777777" w:rsidR="007D706A" w:rsidRDefault="007D706A" w:rsidP="00F70508">
            <w:pPr>
              <w:pStyle w:val="ParagraphStyle12"/>
              <w:rPr>
                <w:rStyle w:val="CharacterStyle12"/>
              </w:rPr>
            </w:pPr>
            <w:r>
              <w:rPr>
                <w:rStyle w:val="CharacterStyle12"/>
              </w:rPr>
              <w:t>62.500,00</w:t>
            </w:r>
          </w:p>
        </w:tc>
        <w:tc>
          <w:tcPr>
            <w:tcW w:w="1395" w:type="dxa"/>
            <w:tcBorders>
              <w:bottom w:val="single" w:sz="6" w:space="0" w:color="000000"/>
              <w:right w:val="single" w:sz="6" w:space="0" w:color="000000"/>
            </w:tcBorders>
            <w:vAlign w:val="center"/>
          </w:tcPr>
          <w:p w14:paraId="5D8BCBD8" w14:textId="77777777" w:rsidR="007D706A" w:rsidRDefault="007D706A" w:rsidP="00F70508">
            <w:pPr>
              <w:pStyle w:val="ParagraphStyle12"/>
              <w:rPr>
                <w:rStyle w:val="CharacterStyle12"/>
              </w:rPr>
            </w:pPr>
            <w:r>
              <w:rPr>
                <w:rStyle w:val="CharacterStyle12"/>
              </w:rPr>
              <w:t>62.500,00</w:t>
            </w:r>
          </w:p>
        </w:tc>
      </w:tr>
      <w:tr w:rsidR="007D706A" w14:paraId="530117F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256EB3E"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6B8B9172"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6457C02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5731D7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C3F1A46" w14:textId="77777777" w:rsidR="007D706A" w:rsidRDefault="007D706A" w:rsidP="00F70508">
            <w:pPr>
              <w:pStyle w:val="ParagraphStyle12"/>
              <w:rPr>
                <w:rStyle w:val="CharacterStyle12"/>
              </w:rPr>
            </w:pPr>
            <w:r>
              <w:rPr>
                <w:rStyle w:val="CharacterStyle12"/>
              </w:rPr>
              <w:t>1.900,00</w:t>
            </w:r>
          </w:p>
        </w:tc>
        <w:tc>
          <w:tcPr>
            <w:tcW w:w="1395" w:type="dxa"/>
            <w:tcBorders>
              <w:bottom w:val="single" w:sz="6" w:space="0" w:color="000000"/>
              <w:right w:val="single" w:sz="6" w:space="0" w:color="000000"/>
            </w:tcBorders>
            <w:vAlign w:val="center"/>
          </w:tcPr>
          <w:p w14:paraId="1BDFF5C7" w14:textId="77777777" w:rsidR="007D706A" w:rsidRDefault="007D706A" w:rsidP="00F70508">
            <w:pPr>
              <w:pStyle w:val="ParagraphStyle12"/>
              <w:rPr>
                <w:rStyle w:val="CharacterStyle12"/>
              </w:rPr>
            </w:pPr>
            <w:r>
              <w:rPr>
                <w:rStyle w:val="CharacterStyle12"/>
              </w:rPr>
              <w:t>62.500,00</w:t>
            </w:r>
          </w:p>
        </w:tc>
        <w:tc>
          <w:tcPr>
            <w:tcW w:w="1395" w:type="dxa"/>
            <w:tcBorders>
              <w:bottom w:val="single" w:sz="6" w:space="0" w:color="000000"/>
              <w:right w:val="single" w:sz="6" w:space="0" w:color="000000"/>
            </w:tcBorders>
            <w:vAlign w:val="center"/>
          </w:tcPr>
          <w:p w14:paraId="79E4A0FE" w14:textId="77777777" w:rsidR="007D706A" w:rsidRDefault="007D706A" w:rsidP="00F70508">
            <w:pPr>
              <w:pStyle w:val="ParagraphStyle12"/>
              <w:rPr>
                <w:rStyle w:val="CharacterStyle12"/>
              </w:rPr>
            </w:pPr>
            <w:r>
              <w:rPr>
                <w:rStyle w:val="CharacterStyle12"/>
              </w:rPr>
              <w:t>62.500,00</w:t>
            </w:r>
          </w:p>
        </w:tc>
      </w:tr>
      <w:tr w:rsidR="007D706A" w14:paraId="353E2F26"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C019448" w14:textId="77777777" w:rsidR="007D706A" w:rsidRDefault="007D706A" w:rsidP="00F70508">
            <w:pPr>
              <w:pStyle w:val="ParagraphStyle4"/>
              <w:rPr>
                <w:rStyle w:val="CharacterStyle4"/>
              </w:rPr>
            </w:pPr>
            <w:r>
              <w:rPr>
                <w:rStyle w:val="CharacterStyle4"/>
              </w:rPr>
              <w:t>Aktivnost A100602</w:t>
            </w:r>
          </w:p>
        </w:tc>
        <w:tc>
          <w:tcPr>
            <w:tcW w:w="4995" w:type="dxa"/>
            <w:tcBorders>
              <w:bottom w:val="single" w:sz="6" w:space="0" w:color="000000"/>
              <w:right w:val="single" w:sz="6" w:space="0" w:color="000000"/>
            </w:tcBorders>
            <w:vAlign w:val="center"/>
          </w:tcPr>
          <w:p w14:paraId="13A26C6B" w14:textId="77777777" w:rsidR="007D706A" w:rsidRDefault="007D706A" w:rsidP="00F70508">
            <w:pPr>
              <w:pStyle w:val="ParagraphStyle5"/>
              <w:rPr>
                <w:rStyle w:val="CharacterStyle5"/>
              </w:rPr>
            </w:pPr>
            <w:r>
              <w:rPr>
                <w:rStyle w:val="CharacterStyle5"/>
              </w:rPr>
              <w:t>POTICANJE RAZVOJA PODUZETNIŠTVA</w:t>
            </w:r>
          </w:p>
        </w:tc>
        <w:tc>
          <w:tcPr>
            <w:tcW w:w="1395" w:type="dxa"/>
            <w:tcBorders>
              <w:bottom w:val="single" w:sz="6" w:space="0" w:color="000000"/>
              <w:right w:val="single" w:sz="6" w:space="0" w:color="000000"/>
            </w:tcBorders>
            <w:vAlign w:val="center"/>
          </w:tcPr>
          <w:p w14:paraId="59260BD4"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23A09E62" w14:textId="77777777" w:rsidR="007D706A" w:rsidRDefault="007D706A" w:rsidP="00F70508">
            <w:pPr>
              <w:pStyle w:val="ParagraphStyle6"/>
              <w:rPr>
                <w:rStyle w:val="CharacterStyle6"/>
              </w:rPr>
            </w:pPr>
            <w:r>
              <w:rPr>
                <w:rStyle w:val="CharacterStyle6"/>
              </w:rPr>
              <w:t>6.650,00</w:t>
            </w:r>
          </w:p>
        </w:tc>
        <w:tc>
          <w:tcPr>
            <w:tcW w:w="1395" w:type="dxa"/>
            <w:tcBorders>
              <w:bottom w:val="single" w:sz="6" w:space="0" w:color="000000"/>
              <w:right w:val="single" w:sz="6" w:space="0" w:color="000000"/>
            </w:tcBorders>
            <w:vAlign w:val="center"/>
          </w:tcPr>
          <w:p w14:paraId="63E8CB53" w14:textId="77777777" w:rsidR="007D706A" w:rsidRDefault="007D706A" w:rsidP="00F70508">
            <w:pPr>
              <w:pStyle w:val="ParagraphStyle6"/>
              <w:rPr>
                <w:rStyle w:val="CharacterStyle6"/>
              </w:rPr>
            </w:pPr>
            <w:r>
              <w:rPr>
                <w:rStyle w:val="CharacterStyle6"/>
              </w:rPr>
              <w:t>6.650,00</w:t>
            </w:r>
          </w:p>
        </w:tc>
        <w:tc>
          <w:tcPr>
            <w:tcW w:w="1395" w:type="dxa"/>
            <w:tcBorders>
              <w:bottom w:val="single" w:sz="6" w:space="0" w:color="000000"/>
              <w:right w:val="single" w:sz="6" w:space="0" w:color="000000"/>
            </w:tcBorders>
            <w:vAlign w:val="center"/>
          </w:tcPr>
          <w:p w14:paraId="74CD120E" w14:textId="77777777" w:rsidR="007D706A" w:rsidRDefault="007D706A" w:rsidP="00F70508">
            <w:pPr>
              <w:pStyle w:val="ParagraphStyle6"/>
              <w:rPr>
                <w:rStyle w:val="CharacterStyle6"/>
              </w:rPr>
            </w:pPr>
            <w:r>
              <w:rPr>
                <w:rStyle w:val="CharacterStyle6"/>
              </w:rPr>
              <w:t>6.650,00</w:t>
            </w:r>
          </w:p>
        </w:tc>
        <w:tc>
          <w:tcPr>
            <w:tcW w:w="1395" w:type="dxa"/>
            <w:tcBorders>
              <w:bottom w:val="single" w:sz="6" w:space="0" w:color="000000"/>
              <w:right w:val="single" w:sz="6" w:space="0" w:color="000000"/>
            </w:tcBorders>
            <w:vAlign w:val="center"/>
          </w:tcPr>
          <w:p w14:paraId="7A3A9A4B" w14:textId="77777777" w:rsidR="007D706A" w:rsidRDefault="007D706A" w:rsidP="00F70508">
            <w:pPr>
              <w:pStyle w:val="ParagraphStyle6"/>
              <w:rPr>
                <w:rStyle w:val="CharacterStyle6"/>
              </w:rPr>
            </w:pPr>
            <w:r>
              <w:rPr>
                <w:rStyle w:val="CharacterStyle6"/>
              </w:rPr>
              <w:t>6.650,00</w:t>
            </w:r>
          </w:p>
        </w:tc>
      </w:tr>
      <w:tr w:rsidR="007D706A" w14:paraId="3E67910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DA3A10B" w14:textId="77777777" w:rsidR="007D706A" w:rsidRDefault="007D706A" w:rsidP="00F70508">
            <w:pPr>
              <w:pStyle w:val="ParagraphStyle7"/>
              <w:rPr>
                <w:rStyle w:val="CharacterStyle7"/>
              </w:rPr>
            </w:pPr>
            <w:r>
              <w:rPr>
                <w:rStyle w:val="CharacterStyle7"/>
              </w:rPr>
              <w:t>Izvor financiranja 41</w:t>
            </w:r>
          </w:p>
        </w:tc>
        <w:tc>
          <w:tcPr>
            <w:tcW w:w="4995" w:type="dxa"/>
            <w:tcBorders>
              <w:bottom w:val="single" w:sz="6" w:space="0" w:color="000000"/>
              <w:right w:val="single" w:sz="6" w:space="0" w:color="000000"/>
            </w:tcBorders>
            <w:vAlign w:val="center"/>
          </w:tcPr>
          <w:p w14:paraId="7965ED79" w14:textId="77777777" w:rsidR="007D706A" w:rsidRDefault="007D706A" w:rsidP="00F70508">
            <w:pPr>
              <w:pStyle w:val="ParagraphStyle8"/>
              <w:rPr>
                <w:rStyle w:val="CharacterStyle8"/>
              </w:rPr>
            </w:pPr>
            <w:r>
              <w:rPr>
                <w:rStyle w:val="CharacterStyle8"/>
              </w:rPr>
              <w:t>Prihodi za posebne namjene</w:t>
            </w:r>
          </w:p>
        </w:tc>
        <w:tc>
          <w:tcPr>
            <w:tcW w:w="1395" w:type="dxa"/>
            <w:tcBorders>
              <w:bottom w:val="single" w:sz="6" w:space="0" w:color="000000"/>
              <w:right w:val="single" w:sz="6" w:space="0" w:color="000000"/>
            </w:tcBorders>
            <w:vAlign w:val="center"/>
          </w:tcPr>
          <w:p w14:paraId="565429ED"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5D94362" w14:textId="77777777" w:rsidR="007D706A" w:rsidRDefault="007D706A" w:rsidP="00F70508">
            <w:pPr>
              <w:pStyle w:val="ParagraphStyle9"/>
              <w:rPr>
                <w:rStyle w:val="CharacterStyle9"/>
              </w:rPr>
            </w:pPr>
            <w:r>
              <w:rPr>
                <w:rStyle w:val="CharacterStyle9"/>
              </w:rPr>
              <w:t>6.650,00</w:t>
            </w:r>
          </w:p>
        </w:tc>
        <w:tc>
          <w:tcPr>
            <w:tcW w:w="1395" w:type="dxa"/>
            <w:tcBorders>
              <w:bottom w:val="single" w:sz="6" w:space="0" w:color="000000"/>
              <w:right w:val="single" w:sz="6" w:space="0" w:color="000000"/>
            </w:tcBorders>
            <w:vAlign w:val="center"/>
          </w:tcPr>
          <w:p w14:paraId="2AFB0216"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A8BC6A7"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F50EB81" w14:textId="77777777" w:rsidR="007D706A" w:rsidRDefault="007D706A" w:rsidP="00F70508">
            <w:pPr>
              <w:pStyle w:val="ParagraphStyle9"/>
              <w:rPr>
                <w:rStyle w:val="CharacterStyle9"/>
              </w:rPr>
            </w:pPr>
            <w:r>
              <w:rPr>
                <w:rStyle w:val="CharacterStyle9"/>
              </w:rPr>
              <w:t>0,00</w:t>
            </w:r>
          </w:p>
        </w:tc>
      </w:tr>
      <w:tr w:rsidR="007D706A" w14:paraId="4C4641B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6327E60"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7A26E663"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4161690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1076EE3" w14:textId="77777777" w:rsidR="007D706A" w:rsidRDefault="007D706A" w:rsidP="00F70508">
            <w:pPr>
              <w:pStyle w:val="ParagraphStyle12"/>
              <w:rPr>
                <w:rStyle w:val="CharacterStyle12"/>
              </w:rPr>
            </w:pPr>
            <w:r>
              <w:rPr>
                <w:rStyle w:val="CharacterStyle12"/>
              </w:rPr>
              <w:t>6.650,00</w:t>
            </w:r>
          </w:p>
        </w:tc>
        <w:tc>
          <w:tcPr>
            <w:tcW w:w="1395" w:type="dxa"/>
            <w:tcBorders>
              <w:bottom w:val="single" w:sz="6" w:space="0" w:color="000000"/>
              <w:right w:val="single" w:sz="6" w:space="0" w:color="000000"/>
            </w:tcBorders>
            <w:vAlign w:val="center"/>
          </w:tcPr>
          <w:p w14:paraId="2535D48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D27259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1DB11CB" w14:textId="77777777" w:rsidR="007D706A" w:rsidRDefault="007D706A" w:rsidP="00F70508">
            <w:pPr>
              <w:pStyle w:val="ParagraphStyle12"/>
              <w:rPr>
                <w:rStyle w:val="CharacterStyle12"/>
              </w:rPr>
            </w:pPr>
            <w:r>
              <w:rPr>
                <w:rStyle w:val="CharacterStyle12"/>
              </w:rPr>
              <w:t>0,00</w:t>
            </w:r>
          </w:p>
        </w:tc>
      </w:tr>
      <w:tr w:rsidR="007D706A" w14:paraId="6B0F3066"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E548A7D" w14:textId="77777777" w:rsidR="007D706A" w:rsidRDefault="007D706A" w:rsidP="00F70508">
            <w:pPr>
              <w:pStyle w:val="ParagraphStyle10"/>
              <w:rPr>
                <w:rStyle w:val="CharacterStyle10"/>
              </w:rPr>
            </w:pPr>
            <w:r>
              <w:rPr>
                <w:rStyle w:val="CharacterStyle10"/>
              </w:rPr>
              <w:t>35</w:t>
            </w:r>
          </w:p>
        </w:tc>
        <w:tc>
          <w:tcPr>
            <w:tcW w:w="4995" w:type="dxa"/>
            <w:tcBorders>
              <w:bottom w:val="single" w:sz="6" w:space="0" w:color="000000"/>
              <w:right w:val="single" w:sz="6" w:space="0" w:color="000000"/>
            </w:tcBorders>
            <w:vAlign w:val="center"/>
          </w:tcPr>
          <w:p w14:paraId="4C51A8F0" w14:textId="77777777" w:rsidR="007D706A" w:rsidRDefault="007D706A" w:rsidP="00F70508">
            <w:pPr>
              <w:pStyle w:val="ParagraphStyle11"/>
              <w:rPr>
                <w:rStyle w:val="CharacterStyle11"/>
              </w:rPr>
            </w:pPr>
            <w:r>
              <w:rPr>
                <w:rStyle w:val="CharacterStyle11"/>
              </w:rPr>
              <w:t>Subvencije</w:t>
            </w:r>
          </w:p>
        </w:tc>
        <w:tc>
          <w:tcPr>
            <w:tcW w:w="1395" w:type="dxa"/>
            <w:tcBorders>
              <w:bottom w:val="single" w:sz="6" w:space="0" w:color="000000"/>
              <w:right w:val="single" w:sz="6" w:space="0" w:color="000000"/>
            </w:tcBorders>
            <w:vAlign w:val="center"/>
          </w:tcPr>
          <w:p w14:paraId="73CADC9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87EAD02" w14:textId="77777777" w:rsidR="007D706A" w:rsidRDefault="007D706A" w:rsidP="00F70508">
            <w:pPr>
              <w:pStyle w:val="ParagraphStyle12"/>
              <w:rPr>
                <w:rStyle w:val="CharacterStyle12"/>
              </w:rPr>
            </w:pPr>
            <w:r>
              <w:rPr>
                <w:rStyle w:val="CharacterStyle12"/>
              </w:rPr>
              <w:t>6.650,00</w:t>
            </w:r>
          </w:p>
        </w:tc>
        <w:tc>
          <w:tcPr>
            <w:tcW w:w="1395" w:type="dxa"/>
            <w:tcBorders>
              <w:bottom w:val="single" w:sz="6" w:space="0" w:color="000000"/>
              <w:right w:val="single" w:sz="6" w:space="0" w:color="000000"/>
            </w:tcBorders>
            <w:vAlign w:val="center"/>
          </w:tcPr>
          <w:p w14:paraId="3EBFF94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5CABA3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D5683E8" w14:textId="77777777" w:rsidR="007D706A" w:rsidRDefault="007D706A" w:rsidP="00F70508">
            <w:pPr>
              <w:pStyle w:val="ParagraphStyle12"/>
              <w:rPr>
                <w:rStyle w:val="CharacterStyle12"/>
              </w:rPr>
            </w:pPr>
            <w:r>
              <w:rPr>
                <w:rStyle w:val="CharacterStyle12"/>
              </w:rPr>
              <w:t>0,00</w:t>
            </w:r>
          </w:p>
        </w:tc>
      </w:tr>
      <w:tr w:rsidR="007D706A" w14:paraId="4C6C87D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0C0A015" w14:textId="77777777" w:rsidR="007D706A" w:rsidRDefault="007D706A" w:rsidP="00F70508">
            <w:pPr>
              <w:pStyle w:val="ParagraphStyle7"/>
              <w:rPr>
                <w:rStyle w:val="CharacterStyle7"/>
              </w:rPr>
            </w:pPr>
            <w:r>
              <w:rPr>
                <w:rStyle w:val="CharacterStyle7"/>
              </w:rPr>
              <w:t>Izvor financiranja 43</w:t>
            </w:r>
          </w:p>
        </w:tc>
        <w:tc>
          <w:tcPr>
            <w:tcW w:w="4995" w:type="dxa"/>
            <w:tcBorders>
              <w:bottom w:val="single" w:sz="6" w:space="0" w:color="000000"/>
              <w:right w:val="single" w:sz="6" w:space="0" w:color="000000"/>
            </w:tcBorders>
            <w:vAlign w:val="center"/>
          </w:tcPr>
          <w:p w14:paraId="38CA162D" w14:textId="77777777" w:rsidR="007D706A" w:rsidRDefault="007D706A" w:rsidP="00F70508">
            <w:pPr>
              <w:pStyle w:val="ParagraphStyle8"/>
              <w:rPr>
                <w:rStyle w:val="CharacterStyle8"/>
              </w:rPr>
            </w:pPr>
            <w:r>
              <w:rPr>
                <w:rStyle w:val="CharacterStyle8"/>
              </w:rPr>
              <w:t>Ostali prihodi za posebne namjene</w:t>
            </w:r>
          </w:p>
        </w:tc>
        <w:tc>
          <w:tcPr>
            <w:tcW w:w="1395" w:type="dxa"/>
            <w:tcBorders>
              <w:bottom w:val="single" w:sz="6" w:space="0" w:color="000000"/>
              <w:right w:val="single" w:sz="6" w:space="0" w:color="000000"/>
            </w:tcBorders>
            <w:vAlign w:val="center"/>
          </w:tcPr>
          <w:p w14:paraId="3BC1A04D"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E2F8FA7"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1A6BFCD" w14:textId="77777777" w:rsidR="007D706A" w:rsidRDefault="007D706A" w:rsidP="00F70508">
            <w:pPr>
              <w:pStyle w:val="ParagraphStyle9"/>
              <w:rPr>
                <w:rStyle w:val="CharacterStyle9"/>
              </w:rPr>
            </w:pPr>
            <w:r>
              <w:rPr>
                <w:rStyle w:val="CharacterStyle9"/>
              </w:rPr>
              <w:t>6.650,00</w:t>
            </w:r>
          </w:p>
        </w:tc>
        <w:tc>
          <w:tcPr>
            <w:tcW w:w="1395" w:type="dxa"/>
            <w:tcBorders>
              <w:bottom w:val="single" w:sz="6" w:space="0" w:color="000000"/>
              <w:right w:val="single" w:sz="6" w:space="0" w:color="000000"/>
            </w:tcBorders>
            <w:vAlign w:val="center"/>
          </w:tcPr>
          <w:p w14:paraId="0518F5EA" w14:textId="77777777" w:rsidR="007D706A" w:rsidRDefault="007D706A" w:rsidP="00F70508">
            <w:pPr>
              <w:pStyle w:val="ParagraphStyle9"/>
              <w:rPr>
                <w:rStyle w:val="CharacterStyle9"/>
              </w:rPr>
            </w:pPr>
            <w:r>
              <w:rPr>
                <w:rStyle w:val="CharacterStyle9"/>
              </w:rPr>
              <w:t>6.650,00</w:t>
            </w:r>
          </w:p>
        </w:tc>
        <w:tc>
          <w:tcPr>
            <w:tcW w:w="1395" w:type="dxa"/>
            <w:tcBorders>
              <w:bottom w:val="single" w:sz="6" w:space="0" w:color="000000"/>
              <w:right w:val="single" w:sz="6" w:space="0" w:color="000000"/>
            </w:tcBorders>
            <w:vAlign w:val="center"/>
          </w:tcPr>
          <w:p w14:paraId="299ECEB4" w14:textId="77777777" w:rsidR="007D706A" w:rsidRDefault="007D706A" w:rsidP="00F70508">
            <w:pPr>
              <w:pStyle w:val="ParagraphStyle9"/>
              <w:rPr>
                <w:rStyle w:val="CharacterStyle9"/>
              </w:rPr>
            </w:pPr>
            <w:r>
              <w:rPr>
                <w:rStyle w:val="CharacterStyle9"/>
              </w:rPr>
              <w:t>6.650,00</w:t>
            </w:r>
          </w:p>
        </w:tc>
      </w:tr>
      <w:tr w:rsidR="007D706A" w14:paraId="6C824D7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AA307C8"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5B6E7FF6"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392FE76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DCCDE2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773CE3F" w14:textId="77777777" w:rsidR="007D706A" w:rsidRDefault="007D706A" w:rsidP="00F70508">
            <w:pPr>
              <w:pStyle w:val="ParagraphStyle12"/>
              <w:rPr>
                <w:rStyle w:val="CharacterStyle12"/>
              </w:rPr>
            </w:pPr>
            <w:r>
              <w:rPr>
                <w:rStyle w:val="CharacterStyle12"/>
              </w:rPr>
              <w:t>6.650,00</w:t>
            </w:r>
          </w:p>
        </w:tc>
        <w:tc>
          <w:tcPr>
            <w:tcW w:w="1395" w:type="dxa"/>
            <w:tcBorders>
              <w:bottom w:val="single" w:sz="6" w:space="0" w:color="000000"/>
              <w:right w:val="single" w:sz="6" w:space="0" w:color="000000"/>
            </w:tcBorders>
            <w:vAlign w:val="center"/>
          </w:tcPr>
          <w:p w14:paraId="70BC0A65" w14:textId="77777777" w:rsidR="007D706A" w:rsidRDefault="007D706A" w:rsidP="00F70508">
            <w:pPr>
              <w:pStyle w:val="ParagraphStyle12"/>
              <w:rPr>
                <w:rStyle w:val="CharacterStyle12"/>
              </w:rPr>
            </w:pPr>
            <w:r>
              <w:rPr>
                <w:rStyle w:val="CharacterStyle12"/>
              </w:rPr>
              <w:t>6.650,00</w:t>
            </w:r>
          </w:p>
        </w:tc>
        <w:tc>
          <w:tcPr>
            <w:tcW w:w="1395" w:type="dxa"/>
            <w:tcBorders>
              <w:bottom w:val="single" w:sz="6" w:space="0" w:color="000000"/>
              <w:right w:val="single" w:sz="6" w:space="0" w:color="000000"/>
            </w:tcBorders>
            <w:vAlign w:val="center"/>
          </w:tcPr>
          <w:p w14:paraId="78E7B7C7" w14:textId="77777777" w:rsidR="007D706A" w:rsidRDefault="007D706A" w:rsidP="00F70508">
            <w:pPr>
              <w:pStyle w:val="ParagraphStyle12"/>
              <w:rPr>
                <w:rStyle w:val="CharacterStyle12"/>
              </w:rPr>
            </w:pPr>
            <w:r>
              <w:rPr>
                <w:rStyle w:val="CharacterStyle12"/>
              </w:rPr>
              <w:t>6.650,00</w:t>
            </w:r>
          </w:p>
        </w:tc>
      </w:tr>
      <w:tr w:rsidR="007D706A" w14:paraId="62665C9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DE3D2E2" w14:textId="77777777" w:rsidR="007D706A" w:rsidRDefault="007D706A" w:rsidP="00F70508">
            <w:pPr>
              <w:pStyle w:val="ParagraphStyle10"/>
              <w:rPr>
                <w:rStyle w:val="CharacterStyle10"/>
              </w:rPr>
            </w:pPr>
            <w:r>
              <w:rPr>
                <w:rStyle w:val="CharacterStyle10"/>
              </w:rPr>
              <w:lastRenderedPageBreak/>
              <w:t>35</w:t>
            </w:r>
          </w:p>
        </w:tc>
        <w:tc>
          <w:tcPr>
            <w:tcW w:w="4995" w:type="dxa"/>
            <w:tcBorders>
              <w:bottom w:val="single" w:sz="6" w:space="0" w:color="000000"/>
              <w:right w:val="single" w:sz="6" w:space="0" w:color="000000"/>
            </w:tcBorders>
            <w:vAlign w:val="center"/>
          </w:tcPr>
          <w:p w14:paraId="081E088A" w14:textId="77777777" w:rsidR="007D706A" w:rsidRDefault="007D706A" w:rsidP="00F70508">
            <w:pPr>
              <w:pStyle w:val="ParagraphStyle11"/>
              <w:rPr>
                <w:rStyle w:val="CharacterStyle11"/>
              </w:rPr>
            </w:pPr>
            <w:r>
              <w:rPr>
                <w:rStyle w:val="CharacterStyle11"/>
              </w:rPr>
              <w:t>Subvencije</w:t>
            </w:r>
          </w:p>
        </w:tc>
        <w:tc>
          <w:tcPr>
            <w:tcW w:w="1395" w:type="dxa"/>
            <w:tcBorders>
              <w:bottom w:val="single" w:sz="6" w:space="0" w:color="000000"/>
              <w:right w:val="single" w:sz="6" w:space="0" w:color="000000"/>
            </w:tcBorders>
            <w:vAlign w:val="center"/>
          </w:tcPr>
          <w:p w14:paraId="033A40D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CD6667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8261F26" w14:textId="77777777" w:rsidR="007D706A" w:rsidRDefault="007D706A" w:rsidP="00F70508">
            <w:pPr>
              <w:pStyle w:val="ParagraphStyle12"/>
              <w:rPr>
                <w:rStyle w:val="CharacterStyle12"/>
              </w:rPr>
            </w:pPr>
            <w:r>
              <w:rPr>
                <w:rStyle w:val="CharacterStyle12"/>
              </w:rPr>
              <w:t>6.650,00</w:t>
            </w:r>
          </w:p>
        </w:tc>
        <w:tc>
          <w:tcPr>
            <w:tcW w:w="1395" w:type="dxa"/>
            <w:tcBorders>
              <w:bottom w:val="single" w:sz="6" w:space="0" w:color="000000"/>
              <w:right w:val="single" w:sz="6" w:space="0" w:color="000000"/>
            </w:tcBorders>
            <w:vAlign w:val="center"/>
          </w:tcPr>
          <w:p w14:paraId="6985FB00" w14:textId="77777777" w:rsidR="007D706A" w:rsidRDefault="007D706A" w:rsidP="00F70508">
            <w:pPr>
              <w:pStyle w:val="ParagraphStyle12"/>
              <w:rPr>
                <w:rStyle w:val="CharacterStyle12"/>
              </w:rPr>
            </w:pPr>
            <w:r>
              <w:rPr>
                <w:rStyle w:val="CharacterStyle12"/>
              </w:rPr>
              <w:t>6.650,00</w:t>
            </w:r>
          </w:p>
        </w:tc>
        <w:tc>
          <w:tcPr>
            <w:tcW w:w="1395" w:type="dxa"/>
            <w:tcBorders>
              <w:bottom w:val="single" w:sz="6" w:space="0" w:color="000000"/>
              <w:right w:val="single" w:sz="6" w:space="0" w:color="000000"/>
            </w:tcBorders>
            <w:vAlign w:val="center"/>
          </w:tcPr>
          <w:p w14:paraId="53FB1520" w14:textId="77777777" w:rsidR="007D706A" w:rsidRDefault="007D706A" w:rsidP="00F70508">
            <w:pPr>
              <w:pStyle w:val="ParagraphStyle12"/>
              <w:rPr>
                <w:rStyle w:val="CharacterStyle12"/>
              </w:rPr>
            </w:pPr>
            <w:r>
              <w:rPr>
                <w:rStyle w:val="CharacterStyle12"/>
              </w:rPr>
              <w:t>6.650,00</w:t>
            </w:r>
          </w:p>
        </w:tc>
      </w:tr>
      <w:tr w:rsidR="007D706A" w14:paraId="0583B58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BFA0EC1" w14:textId="77777777" w:rsidR="007D706A" w:rsidRDefault="007D706A" w:rsidP="00F70508">
            <w:pPr>
              <w:pStyle w:val="ParagraphStyle4"/>
              <w:rPr>
                <w:rStyle w:val="CharacterStyle4"/>
              </w:rPr>
            </w:pPr>
            <w:r>
              <w:rPr>
                <w:rStyle w:val="CharacterStyle4"/>
              </w:rPr>
              <w:t>Aktivnost A100603</w:t>
            </w:r>
          </w:p>
        </w:tc>
        <w:tc>
          <w:tcPr>
            <w:tcW w:w="4995" w:type="dxa"/>
            <w:tcBorders>
              <w:bottom w:val="single" w:sz="6" w:space="0" w:color="000000"/>
              <w:right w:val="single" w:sz="6" w:space="0" w:color="000000"/>
            </w:tcBorders>
            <w:vAlign w:val="center"/>
          </w:tcPr>
          <w:p w14:paraId="1314C10E" w14:textId="77777777" w:rsidR="007D706A" w:rsidRDefault="007D706A" w:rsidP="00F70508">
            <w:pPr>
              <w:pStyle w:val="ParagraphStyle5"/>
              <w:rPr>
                <w:rStyle w:val="CharacterStyle5"/>
              </w:rPr>
            </w:pPr>
            <w:r>
              <w:rPr>
                <w:rStyle w:val="CharacterStyle5"/>
              </w:rPr>
              <w:t>SUBVENCIJE KAMATNE STOPE PODUZETNIČKIH KREDITA</w:t>
            </w:r>
          </w:p>
        </w:tc>
        <w:tc>
          <w:tcPr>
            <w:tcW w:w="1395" w:type="dxa"/>
            <w:tcBorders>
              <w:bottom w:val="single" w:sz="6" w:space="0" w:color="000000"/>
              <w:right w:val="single" w:sz="6" w:space="0" w:color="000000"/>
            </w:tcBorders>
            <w:vAlign w:val="center"/>
          </w:tcPr>
          <w:p w14:paraId="1E3EFFBE"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71E5E4B3" w14:textId="77777777" w:rsidR="007D706A" w:rsidRDefault="007D706A" w:rsidP="00F70508">
            <w:pPr>
              <w:pStyle w:val="ParagraphStyle6"/>
              <w:rPr>
                <w:rStyle w:val="CharacterStyle6"/>
              </w:rPr>
            </w:pPr>
            <w:r>
              <w:rPr>
                <w:rStyle w:val="CharacterStyle6"/>
              </w:rPr>
              <w:t>33.200,00</w:t>
            </w:r>
          </w:p>
        </w:tc>
        <w:tc>
          <w:tcPr>
            <w:tcW w:w="1395" w:type="dxa"/>
            <w:tcBorders>
              <w:bottom w:val="single" w:sz="6" w:space="0" w:color="000000"/>
              <w:right w:val="single" w:sz="6" w:space="0" w:color="000000"/>
            </w:tcBorders>
            <w:vAlign w:val="center"/>
          </w:tcPr>
          <w:p w14:paraId="1B83AE93" w14:textId="77777777" w:rsidR="007D706A" w:rsidRDefault="007D706A" w:rsidP="00F70508">
            <w:pPr>
              <w:pStyle w:val="ParagraphStyle6"/>
              <w:rPr>
                <w:rStyle w:val="CharacterStyle6"/>
              </w:rPr>
            </w:pPr>
            <w:r>
              <w:rPr>
                <w:rStyle w:val="CharacterStyle6"/>
              </w:rPr>
              <w:t>33.200,00</w:t>
            </w:r>
          </w:p>
        </w:tc>
        <w:tc>
          <w:tcPr>
            <w:tcW w:w="1395" w:type="dxa"/>
            <w:tcBorders>
              <w:bottom w:val="single" w:sz="6" w:space="0" w:color="000000"/>
              <w:right w:val="single" w:sz="6" w:space="0" w:color="000000"/>
            </w:tcBorders>
            <w:vAlign w:val="center"/>
          </w:tcPr>
          <w:p w14:paraId="25CD0782" w14:textId="77777777" w:rsidR="007D706A" w:rsidRDefault="007D706A" w:rsidP="00F70508">
            <w:pPr>
              <w:pStyle w:val="ParagraphStyle6"/>
              <w:rPr>
                <w:rStyle w:val="CharacterStyle6"/>
              </w:rPr>
            </w:pPr>
            <w:r>
              <w:rPr>
                <w:rStyle w:val="CharacterStyle6"/>
              </w:rPr>
              <w:t>33.200,00</w:t>
            </w:r>
          </w:p>
        </w:tc>
        <w:tc>
          <w:tcPr>
            <w:tcW w:w="1395" w:type="dxa"/>
            <w:tcBorders>
              <w:bottom w:val="single" w:sz="6" w:space="0" w:color="000000"/>
              <w:right w:val="single" w:sz="6" w:space="0" w:color="000000"/>
            </w:tcBorders>
            <w:vAlign w:val="center"/>
          </w:tcPr>
          <w:p w14:paraId="45A5D25B" w14:textId="77777777" w:rsidR="007D706A" w:rsidRDefault="007D706A" w:rsidP="00F70508">
            <w:pPr>
              <w:pStyle w:val="ParagraphStyle6"/>
              <w:rPr>
                <w:rStyle w:val="CharacterStyle6"/>
              </w:rPr>
            </w:pPr>
            <w:r>
              <w:rPr>
                <w:rStyle w:val="CharacterStyle6"/>
              </w:rPr>
              <w:t>33.200,00</w:t>
            </w:r>
          </w:p>
        </w:tc>
      </w:tr>
      <w:tr w:rsidR="007D706A" w14:paraId="0182A9F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8D7553B"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67ED8ED3"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1F8D1F0E"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3ED0CDE" w14:textId="77777777" w:rsidR="007D706A" w:rsidRDefault="007D706A" w:rsidP="00F70508">
            <w:pPr>
              <w:pStyle w:val="ParagraphStyle9"/>
              <w:rPr>
                <w:rStyle w:val="CharacterStyle9"/>
              </w:rPr>
            </w:pPr>
            <w:r>
              <w:rPr>
                <w:rStyle w:val="CharacterStyle9"/>
              </w:rPr>
              <w:t>33.200,00</w:t>
            </w:r>
          </w:p>
        </w:tc>
        <w:tc>
          <w:tcPr>
            <w:tcW w:w="1395" w:type="dxa"/>
            <w:tcBorders>
              <w:bottom w:val="single" w:sz="6" w:space="0" w:color="000000"/>
              <w:right w:val="single" w:sz="6" w:space="0" w:color="000000"/>
            </w:tcBorders>
            <w:vAlign w:val="center"/>
          </w:tcPr>
          <w:p w14:paraId="38135DA4" w14:textId="77777777" w:rsidR="007D706A" w:rsidRDefault="007D706A" w:rsidP="00F70508">
            <w:pPr>
              <w:pStyle w:val="ParagraphStyle9"/>
              <w:rPr>
                <w:rStyle w:val="CharacterStyle9"/>
              </w:rPr>
            </w:pPr>
            <w:r>
              <w:rPr>
                <w:rStyle w:val="CharacterStyle9"/>
              </w:rPr>
              <w:t>33.200,00</w:t>
            </w:r>
          </w:p>
        </w:tc>
        <w:tc>
          <w:tcPr>
            <w:tcW w:w="1395" w:type="dxa"/>
            <w:tcBorders>
              <w:bottom w:val="single" w:sz="6" w:space="0" w:color="000000"/>
              <w:right w:val="single" w:sz="6" w:space="0" w:color="000000"/>
            </w:tcBorders>
            <w:vAlign w:val="center"/>
          </w:tcPr>
          <w:p w14:paraId="59FC30DF" w14:textId="77777777" w:rsidR="007D706A" w:rsidRDefault="007D706A" w:rsidP="00F70508">
            <w:pPr>
              <w:pStyle w:val="ParagraphStyle9"/>
              <w:rPr>
                <w:rStyle w:val="CharacterStyle9"/>
              </w:rPr>
            </w:pPr>
            <w:r>
              <w:rPr>
                <w:rStyle w:val="CharacterStyle9"/>
              </w:rPr>
              <w:t>33.200,00</w:t>
            </w:r>
          </w:p>
        </w:tc>
        <w:tc>
          <w:tcPr>
            <w:tcW w:w="1395" w:type="dxa"/>
            <w:tcBorders>
              <w:bottom w:val="single" w:sz="6" w:space="0" w:color="000000"/>
              <w:right w:val="single" w:sz="6" w:space="0" w:color="000000"/>
            </w:tcBorders>
            <w:vAlign w:val="center"/>
          </w:tcPr>
          <w:p w14:paraId="3AEBC21D" w14:textId="77777777" w:rsidR="007D706A" w:rsidRDefault="007D706A" w:rsidP="00F70508">
            <w:pPr>
              <w:pStyle w:val="ParagraphStyle9"/>
              <w:rPr>
                <w:rStyle w:val="CharacterStyle9"/>
              </w:rPr>
            </w:pPr>
            <w:r>
              <w:rPr>
                <w:rStyle w:val="CharacterStyle9"/>
              </w:rPr>
              <w:t>33.200,00</w:t>
            </w:r>
          </w:p>
        </w:tc>
      </w:tr>
      <w:tr w:rsidR="007D706A" w14:paraId="569B5C76"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CBFB4B0"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318387C0"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1DFB9E7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8FBF96A" w14:textId="77777777" w:rsidR="007D706A" w:rsidRDefault="007D706A" w:rsidP="00F70508">
            <w:pPr>
              <w:pStyle w:val="ParagraphStyle12"/>
              <w:rPr>
                <w:rStyle w:val="CharacterStyle12"/>
              </w:rPr>
            </w:pPr>
            <w:r>
              <w:rPr>
                <w:rStyle w:val="CharacterStyle12"/>
              </w:rPr>
              <w:t>33.200,00</w:t>
            </w:r>
          </w:p>
        </w:tc>
        <w:tc>
          <w:tcPr>
            <w:tcW w:w="1395" w:type="dxa"/>
            <w:tcBorders>
              <w:bottom w:val="single" w:sz="6" w:space="0" w:color="000000"/>
              <w:right w:val="single" w:sz="6" w:space="0" w:color="000000"/>
            </w:tcBorders>
            <w:vAlign w:val="center"/>
          </w:tcPr>
          <w:p w14:paraId="559C2B17" w14:textId="77777777" w:rsidR="007D706A" w:rsidRDefault="007D706A" w:rsidP="00F70508">
            <w:pPr>
              <w:pStyle w:val="ParagraphStyle12"/>
              <w:rPr>
                <w:rStyle w:val="CharacterStyle12"/>
              </w:rPr>
            </w:pPr>
            <w:r>
              <w:rPr>
                <w:rStyle w:val="CharacterStyle12"/>
              </w:rPr>
              <w:t>33.200,00</w:t>
            </w:r>
          </w:p>
        </w:tc>
        <w:tc>
          <w:tcPr>
            <w:tcW w:w="1395" w:type="dxa"/>
            <w:tcBorders>
              <w:bottom w:val="single" w:sz="6" w:space="0" w:color="000000"/>
              <w:right w:val="single" w:sz="6" w:space="0" w:color="000000"/>
            </w:tcBorders>
            <w:vAlign w:val="center"/>
          </w:tcPr>
          <w:p w14:paraId="632DEFC3" w14:textId="77777777" w:rsidR="007D706A" w:rsidRDefault="007D706A" w:rsidP="00F70508">
            <w:pPr>
              <w:pStyle w:val="ParagraphStyle12"/>
              <w:rPr>
                <w:rStyle w:val="CharacterStyle12"/>
              </w:rPr>
            </w:pPr>
            <w:r>
              <w:rPr>
                <w:rStyle w:val="CharacterStyle12"/>
              </w:rPr>
              <w:t>33.200,00</w:t>
            </w:r>
          </w:p>
        </w:tc>
        <w:tc>
          <w:tcPr>
            <w:tcW w:w="1395" w:type="dxa"/>
            <w:tcBorders>
              <w:bottom w:val="single" w:sz="6" w:space="0" w:color="000000"/>
              <w:right w:val="single" w:sz="6" w:space="0" w:color="000000"/>
            </w:tcBorders>
            <w:vAlign w:val="center"/>
          </w:tcPr>
          <w:p w14:paraId="745406F2" w14:textId="77777777" w:rsidR="007D706A" w:rsidRDefault="007D706A" w:rsidP="00F70508">
            <w:pPr>
              <w:pStyle w:val="ParagraphStyle12"/>
              <w:rPr>
                <w:rStyle w:val="CharacterStyle12"/>
              </w:rPr>
            </w:pPr>
            <w:r>
              <w:rPr>
                <w:rStyle w:val="CharacterStyle12"/>
              </w:rPr>
              <w:t>33.200,00</w:t>
            </w:r>
          </w:p>
        </w:tc>
      </w:tr>
      <w:tr w:rsidR="007D706A" w14:paraId="71C4C79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1370019" w14:textId="77777777" w:rsidR="007D706A" w:rsidRDefault="007D706A" w:rsidP="00F70508">
            <w:pPr>
              <w:pStyle w:val="ParagraphStyle10"/>
              <w:rPr>
                <w:rStyle w:val="CharacterStyle10"/>
              </w:rPr>
            </w:pPr>
            <w:r>
              <w:rPr>
                <w:rStyle w:val="CharacterStyle10"/>
              </w:rPr>
              <w:t>35</w:t>
            </w:r>
          </w:p>
        </w:tc>
        <w:tc>
          <w:tcPr>
            <w:tcW w:w="4995" w:type="dxa"/>
            <w:tcBorders>
              <w:bottom w:val="single" w:sz="6" w:space="0" w:color="000000"/>
              <w:right w:val="single" w:sz="6" w:space="0" w:color="000000"/>
            </w:tcBorders>
            <w:vAlign w:val="center"/>
          </w:tcPr>
          <w:p w14:paraId="560B81C4" w14:textId="77777777" w:rsidR="007D706A" w:rsidRDefault="007D706A" w:rsidP="00F70508">
            <w:pPr>
              <w:pStyle w:val="ParagraphStyle11"/>
              <w:rPr>
                <w:rStyle w:val="CharacterStyle11"/>
              </w:rPr>
            </w:pPr>
            <w:r>
              <w:rPr>
                <w:rStyle w:val="CharacterStyle11"/>
              </w:rPr>
              <w:t>Subvencije</w:t>
            </w:r>
          </w:p>
        </w:tc>
        <w:tc>
          <w:tcPr>
            <w:tcW w:w="1395" w:type="dxa"/>
            <w:tcBorders>
              <w:bottom w:val="single" w:sz="6" w:space="0" w:color="000000"/>
              <w:right w:val="single" w:sz="6" w:space="0" w:color="000000"/>
            </w:tcBorders>
            <w:vAlign w:val="center"/>
          </w:tcPr>
          <w:p w14:paraId="127E2F5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DEC09F6" w14:textId="77777777" w:rsidR="007D706A" w:rsidRDefault="007D706A" w:rsidP="00F70508">
            <w:pPr>
              <w:pStyle w:val="ParagraphStyle12"/>
              <w:rPr>
                <w:rStyle w:val="CharacterStyle12"/>
              </w:rPr>
            </w:pPr>
            <w:r>
              <w:rPr>
                <w:rStyle w:val="CharacterStyle12"/>
              </w:rPr>
              <w:t>33.200,00</w:t>
            </w:r>
          </w:p>
        </w:tc>
        <w:tc>
          <w:tcPr>
            <w:tcW w:w="1395" w:type="dxa"/>
            <w:tcBorders>
              <w:bottom w:val="single" w:sz="6" w:space="0" w:color="000000"/>
              <w:right w:val="single" w:sz="6" w:space="0" w:color="000000"/>
            </w:tcBorders>
            <w:vAlign w:val="center"/>
          </w:tcPr>
          <w:p w14:paraId="3346C98E" w14:textId="77777777" w:rsidR="007D706A" w:rsidRDefault="007D706A" w:rsidP="00F70508">
            <w:pPr>
              <w:pStyle w:val="ParagraphStyle12"/>
              <w:rPr>
                <w:rStyle w:val="CharacterStyle12"/>
              </w:rPr>
            </w:pPr>
            <w:r>
              <w:rPr>
                <w:rStyle w:val="CharacterStyle12"/>
              </w:rPr>
              <w:t>33.200,00</w:t>
            </w:r>
          </w:p>
        </w:tc>
        <w:tc>
          <w:tcPr>
            <w:tcW w:w="1395" w:type="dxa"/>
            <w:tcBorders>
              <w:bottom w:val="single" w:sz="6" w:space="0" w:color="000000"/>
              <w:right w:val="single" w:sz="6" w:space="0" w:color="000000"/>
            </w:tcBorders>
            <w:vAlign w:val="center"/>
          </w:tcPr>
          <w:p w14:paraId="3DAF265A" w14:textId="77777777" w:rsidR="007D706A" w:rsidRDefault="007D706A" w:rsidP="00F70508">
            <w:pPr>
              <w:pStyle w:val="ParagraphStyle12"/>
              <w:rPr>
                <w:rStyle w:val="CharacterStyle12"/>
              </w:rPr>
            </w:pPr>
            <w:r>
              <w:rPr>
                <w:rStyle w:val="CharacterStyle12"/>
              </w:rPr>
              <w:t>33.200,00</w:t>
            </w:r>
          </w:p>
        </w:tc>
        <w:tc>
          <w:tcPr>
            <w:tcW w:w="1395" w:type="dxa"/>
            <w:tcBorders>
              <w:bottom w:val="single" w:sz="6" w:space="0" w:color="000000"/>
              <w:right w:val="single" w:sz="6" w:space="0" w:color="000000"/>
            </w:tcBorders>
            <w:vAlign w:val="center"/>
          </w:tcPr>
          <w:p w14:paraId="035F1567" w14:textId="77777777" w:rsidR="007D706A" w:rsidRDefault="007D706A" w:rsidP="00F70508">
            <w:pPr>
              <w:pStyle w:val="ParagraphStyle12"/>
              <w:rPr>
                <w:rStyle w:val="CharacterStyle12"/>
              </w:rPr>
            </w:pPr>
            <w:r>
              <w:rPr>
                <w:rStyle w:val="CharacterStyle12"/>
              </w:rPr>
              <w:t>33.200,00</w:t>
            </w:r>
          </w:p>
        </w:tc>
      </w:tr>
      <w:tr w:rsidR="007D706A" w14:paraId="7A8CEBD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528D387" w14:textId="77777777" w:rsidR="007D706A" w:rsidRDefault="007D706A" w:rsidP="00F70508">
            <w:pPr>
              <w:pStyle w:val="ParagraphStyle4"/>
              <w:rPr>
                <w:rStyle w:val="CharacterStyle4"/>
              </w:rPr>
            </w:pPr>
            <w:r>
              <w:rPr>
                <w:rStyle w:val="CharacterStyle4"/>
              </w:rPr>
              <w:t>Aktivnost A100604</w:t>
            </w:r>
          </w:p>
        </w:tc>
        <w:tc>
          <w:tcPr>
            <w:tcW w:w="4995" w:type="dxa"/>
            <w:tcBorders>
              <w:bottom w:val="single" w:sz="6" w:space="0" w:color="000000"/>
              <w:right w:val="single" w:sz="6" w:space="0" w:color="000000"/>
            </w:tcBorders>
            <w:vAlign w:val="center"/>
          </w:tcPr>
          <w:p w14:paraId="2A47B165" w14:textId="77777777" w:rsidR="007D706A" w:rsidRDefault="007D706A" w:rsidP="00F70508">
            <w:pPr>
              <w:pStyle w:val="ParagraphStyle5"/>
              <w:rPr>
                <w:rStyle w:val="CharacterStyle5"/>
              </w:rPr>
            </w:pPr>
            <w:r>
              <w:rPr>
                <w:rStyle w:val="CharacterStyle5"/>
              </w:rPr>
              <w:t>POTICAJI I POMOĆI OBRTNICIMA I MALIM PODUZETNICIMA</w:t>
            </w:r>
          </w:p>
        </w:tc>
        <w:tc>
          <w:tcPr>
            <w:tcW w:w="1395" w:type="dxa"/>
            <w:tcBorders>
              <w:bottom w:val="single" w:sz="6" w:space="0" w:color="000000"/>
              <w:right w:val="single" w:sz="6" w:space="0" w:color="000000"/>
            </w:tcBorders>
            <w:vAlign w:val="center"/>
          </w:tcPr>
          <w:p w14:paraId="1B6D30E2"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46F902A0" w14:textId="77777777" w:rsidR="007D706A" w:rsidRDefault="007D706A" w:rsidP="00F70508">
            <w:pPr>
              <w:pStyle w:val="ParagraphStyle6"/>
              <w:rPr>
                <w:rStyle w:val="CharacterStyle6"/>
              </w:rPr>
            </w:pPr>
            <w:r>
              <w:rPr>
                <w:rStyle w:val="CharacterStyle6"/>
              </w:rPr>
              <w:t>13.000,00</w:t>
            </w:r>
          </w:p>
        </w:tc>
        <w:tc>
          <w:tcPr>
            <w:tcW w:w="1395" w:type="dxa"/>
            <w:tcBorders>
              <w:bottom w:val="single" w:sz="6" w:space="0" w:color="000000"/>
              <w:right w:val="single" w:sz="6" w:space="0" w:color="000000"/>
            </w:tcBorders>
            <w:vAlign w:val="center"/>
          </w:tcPr>
          <w:p w14:paraId="59E69AA0" w14:textId="77777777" w:rsidR="007D706A" w:rsidRDefault="007D706A" w:rsidP="00F70508">
            <w:pPr>
              <w:pStyle w:val="ParagraphStyle6"/>
              <w:rPr>
                <w:rStyle w:val="CharacterStyle6"/>
              </w:rPr>
            </w:pPr>
            <w:r>
              <w:rPr>
                <w:rStyle w:val="CharacterStyle6"/>
              </w:rPr>
              <w:t>13.000,00</w:t>
            </w:r>
          </w:p>
        </w:tc>
        <w:tc>
          <w:tcPr>
            <w:tcW w:w="1395" w:type="dxa"/>
            <w:tcBorders>
              <w:bottom w:val="single" w:sz="6" w:space="0" w:color="000000"/>
              <w:right w:val="single" w:sz="6" w:space="0" w:color="000000"/>
            </w:tcBorders>
            <w:vAlign w:val="center"/>
          </w:tcPr>
          <w:p w14:paraId="7EC6D88B" w14:textId="77777777" w:rsidR="007D706A" w:rsidRDefault="007D706A" w:rsidP="00F70508">
            <w:pPr>
              <w:pStyle w:val="ParagraphStyle6"/>
              <w:rPr>
                <w:rStyle w:val="CharacterStyle6"/>
              </w:rPr>
            </w:pPr>
            <w:r>
              <w:rPr>
                <w:rStyle w:val="CharacterStyle6"/>
              </w:rPr>
              <w:t>13.000,00</w:t>
            </w:r>
          </w:p>
        </w:tc>
        <w:tc>
          <w:tcPr>
            <w:tcW w:w="1395" w:type="dxa"/>
            <w:tcBorders>
              <w:bottom w:val="single" w:sz="6" w:space="0" w:color="000000"/>
              <w:right w:val="single" w:sz="6" w:space="0" w:color="000000"/>
            </w:tcBorders>
            <w:vAlign w:val="center"/>
          </w:tcPr>
          <w:p w14:paraId="2D6E4655" w14:textId="77777777" w:rsidR="007D706A" w:rsidRDefault="007D706A" w:rsidP="00F70508">
            <w:pPr>
              <w:pStyle w:val="ParagraphStyle6"/>
              <w:rPr>
                <w:rStyle w:val="CharacterStyle6"/>
              </w:rPr>
            </w:pPr>
            <w:r>
              <w:rPr>
                <w:rStyle w:val="CharacterStyle6"/>
              </w:rPr>
              <w:t>13.000,00</w:t>
            </w:r>
          </w:p>
        </w:tc>
      </w:tr>
      <w:tr w:rsidR="007D706A" w14:paraId="4660577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B408375" w14:textId="77777777" w:rsidR="007D706A" w:rsidRDefault="007D706A" w:rsidP="00F70508">
            <w:pPr>
              <w:pStyle w:val="ParagraphStyle7"/>
              <w:rPr>
                <w:rStyle w:val="CharacterStyle7"/>
              </w:rPr>
            </w:pPr>
            <w:r>
              <w:rPr>
                <w:rStyle w:val="CharacterStyle7"/>
              </w:rPr>
              <w:t>Izvor financiranja 41</w:t>
            </w:r>
          </w:p>
        </w:tc>
        <w:tc>
          <w:tcPr>
            <w:tcW w:w="4995" w:type="dxa"/>
            <w:tcBorders>
              <w:bottom w:val="single" w:sz="6" w:space="0" w:color="000000"/>
              <w:right w:val="single" w:sz="6" w:space="0" w:color="000000"/>
            </w:tcBorders>
            <w:vAlign w:val="center"/>
          </w:tcPr>
          <w:p w14:paraId="44FFC5CB" w14:textId="77777777" w:rsidR="007D706A" w:rsidRDefault="007D706A" w:rsidP="00F70508">
            <w:pPr>
              <w:pStyle w:val="ParagraphStyle8"/>
              <w:rPr>
                <w:rStyle w:val="CharacterStyle8"/>
              </w:rPr>
            </w:pPr>
            <w:r>
              <w:rPr>
                <w:rStyle w:val="CharacterStyle8"/>
              </w:rPr>
              <w:t>Prihodi za posebne namjene</w:t>
            </w:r>
          </w:p>
        </w:tc>
        <w:tc>
          <w:tcPr>
            <w:tcW w:w="1395" w:type="dxa"/>
            <w:tcBorders>
              <w:bottom w:val="single" w:sz="6" w:space="0" w:color="000000"/>
              <w:right w:val="single" w:sz="6" w:space="0" w:color="000000"/>
            </w:tcBorders>
            <w:vAlign w:val="center"/>
          </w:tcPr>
          <w:p w14:paraId="2353CF9E"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150B631" w14:textId="77777777" w:rsidR="007D706A" w:rsidRDefault="007D706A" w:rsidP="00F70508">
            <w:pPr>
              <w:pStyle w:val="ParagraphStyle9"/>
              <w:rPr>
                <w:rStyle w:val="CharacterStyle9"/>
              </w:rPr>
            </w:pPr>
            <w:r>
              <w:rPr>
                <w:rStyle w:val="CharacterStyle9"/>
              </w:rPr>
              <w:t>11.360,80</w:t>
            </w:r>
          </w:p>
        </w:tc>
        <w:tc>
          <w:tcPr>
            <w:tcW w:w="1395" w:type="dxa"/>
            <w:tcBorders>
              <w:bottom w:val="single" w:sz="6" w:space="0" w:color="000000"/>
              <w:right w:val="single" w:sz="6" w:space="0" w:color="000000"/>
            </w:tcBorders>
            <w:vAlign w:val="center"/>
          </w:tcPr>
          <w:p w14:paraId="706A4ED0"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95E79AC"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86E9BEA" w14:textId="77777777" w:rsidR="007D706A" w:rsidRDefault="007D706A" w:rsidP="00F70508">
            <w:pPr>
              <w:pStyle w:val="ParagraphStyle9"/>
              <w:rPr>
                <w:rStyle w:val="CharacterStyle9"/>
              </w:rPr>
            </w:pPr>
            <w:r>
              <w:rPr>
                <w:rStyle w:val="CharacterStyle9"/>
              </w:rPr>
              <w:t>0,00</w:t>
            </w:r>
          </w:p>
        </w:tc>
      </w:tr>
      <w:tr w:rsidR="007D706A" w14:paraId="0311AFB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9077891"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2EA94FCF"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306778D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C9486C3" w14:textId="77777777" w:rsidR="007D706A" w:rsidRDefault="007D706A" w:rsidP="00F70508">
            <w:pPr>
              <w:pStyle w:val="ParagraphStyle12"/>
              <w:rPr>
                <w:rStyle w:val="CharacterStyle12"/>
              </w:rPr>
            </w:pPr>
            <w:r>
              <w:rPr>
                <w:rStyle w:val="CharacterStyle12"/>
              </w:rPr>
              <w:t>11.360,80</w:t>
            </w:r>
          </w:p>
        </w:tc>
        <w:tc>
          <w:tcPr>
            <w:tcW w:w="1395" w:type="dxa"/>
            <w:tcBorders>
              <w:bottom w:val="single" w:sz="6" w:space="0" w:color="000000"/>
              <w:right w:val="single" w:sz="6" w:space="0" w:color="000000"/>
            </w:tcBorders>
            <w:vAlign w:val="center"/>
          </w:tcPr>
          <w:p w14:paraId="39029D7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45FA1A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3C9E2E1" w14:textId="77777777" w:rsidR="007D706A" w:rsidRDefault="007D706A" w:rsidP="00F70508">
            <w:pPr>
              <w:pStyle w:val="ParagraphStyle12"/>
              <w:rPr>
                <w:rStyle w:val="CharacterStyle12"/>
              </w:rPr>
            </w:pPr>
            <w:r>
              <w:rPr>
                <w:rStyle w:val="CharacterStyle12"/>
              </w:rPr>
              <w:t>0,00</w:t>
            </w:r>
          </w:p>
        </w:tc>
      </w:tr>
      <w:tr w:rsidR="007D706A" w14:paraId="65F827A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88E3753" w14:textId="77777777" w:rsidR="007D706A" w:rsidRDefault="007D706A" w:rsidP="00F70508">
            <w:pPr>
              <w:pStyle w:val="ParagraphStyle10"/>
              <w:rPr>
                <w:rStyle w:val="CharacterStyle10"/>
              </w:rPr>
            </w:pPr>
            <w:r>
              <w:rPr>
                <w:rStyle w:val="CharacterStyle10"/>
              </w:rPr>
              <w:t>38</w:t>
            </w:r>
          </w:p>
        </w:tc>
        <w:tc>
          <w:tcPr>
            <w:tcW w:w="4995" w:type="dxa"/>
            <w:tcBorders>
              <w:bottom w:val="single" w:sz="6" w:space="0" w:color="000000"/>
              <w:right w:val="single" w:sz="6" w:space="0" w:color="000000"/>
            </w:tcBorders>
            <w:vAlign w:val="center"/>
          </w:tcPr>
          <w:p w14:paraId="62ED4810" w14:textId="77777777" w:rsidR="007D706A" w:rsidRDefault="007D706A" w:rsidP="00F70508">
            <w:pPr>
              <w:pStyle w:val="ParagraphStyle11"/>
              <w:rPr>
                <w:rStyle w:val="CharacterStyle11"/>
              </w:rPr>
            </w:pPr>
            <w:r>
              <w:rPr>
                <w:rStyle w:val="CharacterStyle11"/>
              </w:rPr>
              <w:t>Rashodi za donacije, kazne, naknade šteta i kapitalne pomoći</w:t>
            </w:r>
          </w:p>
        </w:tc>
        <w:tc>
          <w:tcPr>
            <w:tcW w:w="1395" w:type="dxa"/>
            <w:tcBorders>
              <w:bottom w:val="single" w:sz="6" w:space="0" w:color="000000"/>
              <w:right w:val="single" w:sz="6" w:space="0" w:color="000000"/>
            </w:tcBorders>
            <w:vAlign w:val="center"/>
          </w:tcPr>
          <w:p w14:paraId="43F287A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A4AAC1E" w14:textId="77777777" w:rsidR="007D706A" w:rsidRDefault="007D706A" w:rsidP="00F70508">
            <w:pPr>
              <w:pStyle w:val="ParagraphStyle12"/>
              <w:rPr>
                <w:rStyle w:val="CharacterStyle12"/>
              </w:rPr>
            </w:pPr>
            <w:r>
              <w:rPr>
                <w:rStyle w:val="CharacterStyle12"/>
              </w:rPr>
              <w:t>11.360,80</w:t>
            </w:r>
          </w:p>
        </w:tc>
        <w:tc>
          <w:tcPr>
            <w:tcW w:w="1395" w:type="dxa"/>
            <w:tcBorders>
              <w:bottom w:val="single" w:sz="6" w:space="0" w:color="000000"/>
              <w:right w:val="single" w:sz="6" w:space="0" w:color="000000"/>
            </w:tcBorders>
            <w:vAlign w:val="center"/>
          </w:tcPr>
          <w:p w14:paraId="2DB9D94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DD2807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F96599A" w14:textId="77777777" w:rsidR="007D706A" w:rsidRDefault="007D706A" w:rsidP="00F70508">
            <w:pPr>
              <w:pStyle w:val="ParagraphStyle12"/>
              <w:rPr>
                <w:rStyle w:val="CharacterStyle12"/>
              </w:rPr>
            </w:pPr>
            <w:r>
              <w:rPr>
                <w:rStyle w:val="CharacterStyle12"/>
              </w:rPr>
              <w:t>0,00</w:t>
            </w:r>
          </w:p>
        </w:tc>
      </w:tr>
      <w:tr w:rsidR="007D706A" w14:paraId="4B1C62E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C165981" w14:textId="77777777" w:rsidR="007D706A" w:rsidRDefault="007D706A" w:rsidP="00F70508">
            <w:pPr>
              <w:pStyle w:val="ParagraphStyle7"/>
              <w:rPr>
                <w:rStyle w:val="CharacterStyle7"/>
              </w:rPr>
            </w:pPr>
            <w:r>
              <w:rPr>
                <w:rStyle w:val="CharacterStyle7"/>
              </w:rPr>
              <w:t>Izvor financiranja 43</w:t>
            </w:r>
          </w:p>
        </w:tc>
        <w:tc>
          <w:tcPr>
            <w:tcW w:w="4995" w:type="dxa"/>
            <w:tcBorders>
              <w:bottom w:val="single" w:sz="6" w:space="0" w:color="000000"/>
              <w:right w:val="single" w:sz="6" w:space="0" w:color="000000"/>
            </w:tcBorders>
            <w:vAlign w:val="center"/>
          </w:tcPr>
          <w:p w14:paraId="0074A546" w14:textId="77777777" w:rsidR="007D706A" w:rsidRDefault="007D706A" w:rsidP="00F70508">
            <w:pPr>
              <w:pStyle w:val="ParagraphStyle8"/>
              <w:rPr>
                <w:rStyle w:val="CharacterStyle8"/>
              </w:rPr>
            </w:pPr>
            <w:r>
              <w:rPr>
                <w:rStyle w:val="CharacterStyle8"/>
              </w:rPr>
              <w:t>Ostali prihodi za posebne namjene</w:t>
            </w:r>
          </w:p>
        </w:tc>
        <w:tc>
          <w:tcPr>
            <w:tcW w:w="1395" w:type="dxa"/>
            <w:tcBorders>
              <w:bottom w:val="single" w:sz="6" w:space="0" w:color="000000"/>
              <w:right w:val="single" w:sz="6" w:space="0" w:color="000000"/>
            </w:tcBorders>
            <w:vAlign w:val="center"/>
          </w:tcPr>
          <w:p w14:paraId="15F52834"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9140816"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0873E5A" w14:textId="77777777" w:rsidR="007D706A" w:rsidRDefault="007D706A" w:rsidP="00F70508">
            <w:pPr>
              <w:pStyle w:val="ParagraphStyle9"/>
              <w:rPr>
                <w:rStyle w:val="CharacterStyle9"/>
              </w:rPr>
            </w:pPr>
            <w:r>
              <w:rPr>
                <w:rStyle w:val="CharacterStyle9"/>
              </w:rPr>
              <w:t>13.000,00</w:t>
            </w:r>
          </w:p>
        </w:tc>
        <w:tc>
          <w:tcPr>
            <w:tcW w:w="1395" w:type="dxa"/>
            <w:tcBorders>
              <w:bottom w:val="single" w:sz="6" w:space="0" w:color="000000"/>
              <w:right w:val="single" w:sz="6" w:space="0" w:color="000000"/>
            </w:tcBorders>
            <w:vAlign w:val="center"/>
          </w:tcPr>
          <w:p w14:paraId="2F6FB26D" w14:textId="77777777" w:rsidR="007D706A" w:rsidRDefault="007D706A" w:rsidP="00F70508">
            <w:pPr>
              <w:pStyle w:val="ParagraphStyle9"/>
              <w:rPr>
                <w:rStyle w:val="CharacterStyle9"/>
              </w:rPr>
            </w:pPr>
            <w:r>
              <w:rPr>
                <w:rStyle w:val="CharacterStyle9"/>
              </w:rPr>
              <w:t>13.000,00</w:t>
            </w:r>
          </w:p>
        </w:tc>
        <w:tc>
          <w:tcPr>
            <w:tcW w:w="1395" w:type="dxa"/>
            <w:tcBorders>
              <w:bottom w:val="single" w:sz="6" w:space="0" w:color="000000"/>
              <w:right w:val="single" w:sz="6" w:space="0" w:color="000000"/>
            </w:tcBorders>
            <w:vAlign w:val="center"/>
          </w:tcPr>
          <w:p w14:paraId="6B1CCE1F" w14:textId="77777777" w:rsidR="007D706A" w:rsidRDefault="007D706A" w:rsidP="00F70508">
            <w:pPr>
              <w:pStyle w:val="ParagraphStyle9"/>
              <w:rPr>
                <w:rStyle w:val="CharacterStyle9"/>
              </w:rPr>
            </w:pPr>
            <w:r>
              <w:rPr>
                <w:rStyle w:val="CharacterStyle9"/>
              </w:rPr>
              <w:t>13.000,00</w:t>
            </w:r>
          </w:p>
        </w:tc>
      </w:tr>
      <w:tr w:rsidR="007D706A" w14:paraId="2329E8D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B0A8066"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7CEC8C0A"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19C5444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FDA5B1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6E5A41A" w14:textId="77777777" w:rsidR="007D706A" w:rsidRDefault="007D706A" w:rsidP="00F70508">
            <w:pPr>
              <w:pStyle w:val="ParagraphStyle12"/>
              <w:rPr>
                <w:rStyle w:val="CharacterStyle12"/>
              </w:rPr>
            </w:pPr>
            <w:r>
              <w:rPr>
                <w:rStyle w:val="CharacterStyle12"/>
              </w:rPr>
              <w:t>13.000,00</w:t>
            </w:r>
          </w:p>
        </w:tc>
        <w:tc>
          <w:tcPr>
            <w:tcW w:w="1395" w:type="dxa"/>
            <w:tcBorders>
              <w:bottom w:val="single" w:sz="6" w:space="0" w:color="000000"/>
              <w:right w:val="single" w:sz="6" w:space="0" w:color="000000"/>
            </w:tcBorders>
            <w:vAlign w:val="center"/>
          </w:tcPr>
          <w:p w14:paraId="22D54101" w14:textId="77777777" w:rsidR="007D706A" w:rsidRDefault="007D706A" w:rsidP="00F70508">
            <w:pPr>
              <w:pStyle w:val="ParagraphStyle12"/>
              <w:rPr>
                <w:rStyle w:val="CharacterStyle12"/>
              </w:rPr>
            </w:pPr>
            <w:r>
              <w:rPr>
                <w:rStyle w:val="CharacterStyle12"/>
              </w:rPr>
              <w:t>13.000,00</w:t>
            </w:r>
          </w:p>
        </w:tc>
        <w:tc>
          <w:tcPr>
            <w:tcW w:w="1395" w:type="dxa"/>
            <w:tcBorders>
              <w:bottom w:val="single" w:sz="6" w:space="0" w:color="000000"/>
              <w:right w:val="single" w:sz="6" w:space="0" w:color="000000"/>
            </w:tcBorders>
            <w:vAlign w:val="center"/>
          </w:tcPr>
          <w:p w14:paraId="6A2B88BF" w14:textId="77777777" w:rsidR="007D706A" w:rsidRDefault="007D706A" w:rsidP="00F70508">
            <w:pPr>
              <w:pStyle w:val="ParagraphStyle12"/>
              <w:rPr>
                <w:rStyle w:val="CharacterStyle12"/>
              </w:rPr>
            </w:pPr>
            <w:r>
              <w:rPr>
                <w:rStyle w:val="CharacterStyle12"/>
              </w:rPr>
              <w:t>13.000,00</w:t>
            </w:r>
          </w:p>
        </w:tc>
      </w:tr>
      <w:tr w:rsidR="007D706A" w14:paraId="76D9980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9D7728E" w14:textId="77777777" w:rsidR="007D706A" w:rsidRDefault="007D706A" w:rsidP="00F70508">
            <w:pPr>
              <w:pStyle w:val="ParagraphStyle10"/>
              <w:rPr>
                <w:rStyle w:val="CharacterStyle10"/>
              </w:rPr>
            </w:pPr>
            <w:r>
              <w:rPr>
                <w:rStyle w:val="CharacterStyle10"/>
              </w:rPr>
              <w:t>38</w:t>
            </w:r>
          </w:p>
        </w:tc>
        <w:tc>
          <w:tcPr>
            <w:tcW w:w="4995" w:type="dxa"/>
            <w:tcBorders>
              <w:bottom w:val="single" w:sz="6" w:space="0" w:color="000000"/>
              <w:right w:val="single" w:sz="6" w:space="0" w:color="000000"/>
            </w:tcBorders>
            <w:vAlign w:val="center"/>
          </w:tcPr>
          <w:p w14:paraId="79526642" w14:textId="77777777" w:rsidR="007D706A" w:rsidRDefault="007D706A" w:rsidP="00F70508">
            <w:pPr>
              <w:pStyle w:val="ParagraphStyle11"/>
              <w:rPr>
                <w:rStyle w:val="CharacterStyle11"/>
              </w:rPr>
            </w:pPr>
            <w:r>
              <w:rPr>
                <w:rStyle w:val="CharacterStyle11"/>
              </w:rPr>
              <w:t>Rashodi za donacije, kazne, naknade šteta i kapitalne pomoći</w:t>
            </w:r>
          </w:p>
        </w:tc>
        <w:tc>
          <w:tcPr>
            <w:tcW w:w="1395" w:type="dxa"/>
            <w:tcBorders>
              <w:bottom w:val="single" w:sz="6" w:space="0" w:color="000000"/>
              <w:right w:val="single" w:sz="6" w:space="0" w:color="000000"/>
            </w:tcBorders>
            <w:vAlign w:val="center"/>
          </w:tcPr>
          <w:p w14:paraId="6929E66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77954D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4B877E6" w14:textId="77777777" w:rsidR="007D706A" w:rsidRDefault="007D706A" w:rsidP="00F70508">
            <w:pPr>
              <w:pStyle w:val="ParagraphStyle12"/>
              <w:rPr>
                <w:rStyle w:val="CharacterStyle12"/>
              </w:rPr>
            </w:pPr>
            <w:r>
              <w:rPr>
                <w:rStyle w:val="CharacterStyle12"/>
              </w:rPr>
              <w:t>13.000,00</w:t>
            </w:r>
          </w:p>
        </w:tc>
        <w:tc>
          <w:tcPr>
            <w:tcW w:w="1395" w:type="dxa"/>
            <w:tcBorders>
              <w:bottom w:val="single" w:sz="6" w:space="0" w:color="000000"/>
              <w:right w:val="single" w:sz="6" w:space="0" w:color="000000"/>
            </w:tcBorders>
            <w:vAlign w:val="center"/>
          </w:tcPr>
          <w:p w14:paraId="43DC8A72" w14:textId="77777777" w:rsidR="007D706A" w:rsidRDefault="007D706A" w:rsidP="00F70508">
            <w:pPr>
              <w:pStyle w:val="ParagraphStyle12"/>
              <w:rPr>
                <w:rStyle w:val="CharacterStyle12"/>
              </w:rPr>
            </w:pPr>
            <w:r>
              <w:rPr>
                <w:rStyle w:val="CharacterStyle12"/>
              </w:rPr>
              <w:t>13.000,00</w:t>
            </w:r>
          </w:p>
        </w:tc>
        <w:tc>
          <w:tcPr>
            <w:tcW w:w="1395" w:type="dxa"/>
            <w:tcBorders>
              <w:bottom w:val="single" w:sz="6" w:space="0" w:color="000000"/>
              <w:right w:val="single" w:sz="6" w:space="0" w:color="000000"/>
            </w:tcBorders>
            <w:vAlign w:val="center"/>
          </w:tcPr>
          <w:p w14:paraId="7EB813B9" w14:textId="77777777" w:rsidR="007D706A" w:rsidRDefault="007D706A" w:rsidP="00F70508">
            <w:pPr>
              <w:pStyle w:val="ParagraphStyle12"/>
              <w:rPr>
                <w:rStyle w:val="CharacterStyle12"/>
              </w:rPr>
            </w:pPr>
            <w:r>
              <w:rPr>
                <w:rStyle w:val="CharacterStyle12"/>
              </w:rPr>
              <w:t>13.000,00</w:t>
            </w:r>
          </w:p>
        </w:tc>
      </w:tr>
      <w:tr w:rsidR="007D706A" w14:paraId="6542222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4A9BC61" w14:textId="77777777" w:rsidR="007D706A" w:rsidRDefault="007D706A" w:rsidP="00F70508">
            <w:pPr>
              <w:pStyle w:val="ParagraphStyle7"/>
              <w:rPr>
                <w:rStyle w:val="CharacterStyle7"/>
              </w:rPr>
            </w:pPr>
            <w:r>
              <w:rPr>
                <w:rStyle w:val="CharacterStyle7"/>
              </w:rPr>
              <w:t>Izvor financiranja 82</w:t>
            </w:r>
          </w:p>
        </w:tc>
        <w:tc>
          <w:tcPr>
            <w:tcW w:w="4995" w:type="dxa"/>
            <w:tcBorders>
              <w:bottom w:val="single" w:sz="6" w:space="0" w:color="000000"/>
              <w:right w:val="single" w:sz="6" w:space="0" w:color="000000"/>
            </w:tcBorders>
            <w:vAlign w:val="center"/>
          </w:tcPr>
          <w:p w14:paraId="4EAC9082" w14:textId="77777777" w:rsidR="007D706A" w:rsidRDefault="007D706A" w:rsidP="00F70508">
            <w:pPr>
              <w:pStyle w:val="ParagraphStyle8"/>
              <w:rPr>
                <w:rStyle w:val="CharacterStyle8"/>
              </w:rPr>
            </w:pPr>
            <w:r>
              <w:rPr>
                <w:rStyle w:val="CharacterStyle8"/>
              </w:rPr>
              <w:t>Preneseni viškovi iz ranijih godina</w:t>
            </w:r>
          </w:p>
        </w:tc>
        <w:tc>
          <w:tcPr>
            <w:tcW w:w="1395" w:type="dxa"/>
            <w:tcBorders>
              <w:bottom w:val="single" w:sz="6" w:space="0" w:color="000000"/>
              <w:right w:val="single" w:sz="6" w:space="0" w:color="000000"/>
            </w:tcBorders>
            <w:vAlign w:val="center"/>
          </w:tcPr>
          <w:p w14:paraId="4D3098B4"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C5F042F" w14:textId="77777777" w:rsidR="007D706A" w:rsidRDefault="007D706A" w:rsidP="00F70508">
            <w:pPr>
              <w:pStyle w:val="ParagraphStyle9"/>
              <w:rPr>
                <w:rStyle w:val="CharacterStyle9"/>
              </w:rPr>
            </w:pPr>
            <w:r>
              <w:rPr>
                <w:rStyle w:val="CharacterStyle9"/>
              </w:rPr>
              <w:t>1.639,20</w:t>
            </w:r>
          </w:p>
        </w:tc>
        <w:tc>
          <w:tcPr>
            <w:tcW w:w="1395" w:type="dxa"/>
            <w:tcBorders>
              <w:bottom w:val="single" w:sz="6" w:space="0" w:color="000000"/>
              <w:right w:val="single" w:sz="6" w:space="0" w:color="000000"/>
            </w:tcBorders>
            <w:vAlign w:val="center"/>
          </w:tcPr>
          <w:p w14:paraId="44307443"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1E90B7B"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46A18B2" w14:textId="77777777" w:rsidR="007D706A" w:rsidRDefault="007D706A" w:rsidP="00F70508">
            <w:pPr>
              <w:pStyle w:val="ParagraphStyle9"/>
              <w:rPr>
                <w:rStyle w:val="CharacterStyle9"/>
              </w:rPr>
            </w:pPr>
            <w:r>
              <w:rPr>
                <w:rStyle w:val="CharacterStyle9"/>
              </w:rPr>
              <w:t>0,00</w:t>
            </w:r>
          </w:p>
        </w:tc>
      </w:tr>
      <w:tr w:rsidR="007D706A" w14:paraId="621E9BF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5261D6C"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1243827E"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42F1CF7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1B13B88" w14:textId="77777777" w:rsidR="007D706A" w:rsidRDefault="007D706A" w:rsidP="00F70508">
            <w:pPr>
              <w:pStyle w:val="ParagraphStyle12"/>
              <w:rPr>
                <w:rStyle w:val="CharacterStyle12"/>
              </w:rPr>
            </w:pPr>
            <w:r>
              <w:rPr>
                <w:rStyle w:val="CharacterStyle12"/>
              </w:rPr>
              <w:t>1.639,20</w:t>
            </w:r>
          </w:p>
        </w:tc>
        <w:tc>
          <w:tcPr>
            <w:tcW w:w="1395" w:type="dxa"/>
            <w:tcBorders>
              <w:bottom w:val="single" w:sz="6" w:space="0" w:color="000000"/>
              <w:right w:val="single" w:sz="6" w:space="0" w:color="000000"/>
            </w:tcBorders>
            <w:vAlign w:val="center"/>
          </w:tcPr>
          <w:p w14:paraId="1745C3C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A75387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E03C80E" w14:textId="77777777" w:rsidR="007D706A" w:rsidRDefault="007D706A" w:rsidP="00F70508">
            <w:pPr>
              <w:pStyle w:val="ParagraphStyle12"/>
              <w:rPr>
                <w:rStyle w:val="CharacterStyle12"/>
              </w:rPr>
            </w:pPr>
            <w:r>
              <w:rPr>
                <w:rStyle w:val="CharacterStyle12"/>
              </w:rPr>
              <w:t>0,00</w:t>
            </w:r>
          </w:p>
        </w:tc>
      </w:tr>
      <w:tr w:rsidR="007D706A" w14:paraId="5A7BBCA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B5285F5" w14:textId="77777777" w:rsidR="007D706A" w:rsidRDefault="007D706A" w:rsidP="00F70508">
            <w:pPr>
              <w:pStyle w:val="ParagraphStyle10"/>
              <w:rPr>
                <w:rStyle w:val="CharacterStyle10"/>
              </w:rPr>
            </w:pPr>
            <w:r>
              <w:rPr>
                <w:rStyle w:val="CharacterStyle10"/>
              </w:rPr>
              <w:t>38</w:t>
            </w:r>
          </w:p>
        </w:tc>
        <w:tc>
          <w:tcPr>
            <w:tcW w:w="4995" w:type="dxa"/>
            <w:tcBorders>
              <w:bottom w:val="single" w:sz="6" w:space="0" w:color="000000"/>
              <w:right w:val="single" w:sz="6" w:space="0" w:color="000000"/>
            </w:tcBorders>
            <w:vAlign w:val="center"/>
          </w:tcPr>
          <w:p w14:paraId="37E9F46D" w14:textId="77777777" w:rsidR="007D706A" w:rsidRDefault="007D706A" w:rsidP="00F70508">
            <w:pPr>
              <w:pStyle w:val="ParagraphStyle11"/>
              <w:rPr>
                <w:rStyle w:val="CharacterStyle11"/>
              </w:rPr>
            </w:pPr>
            <w:r>
              <w:rPr>
                <w:rStyle w:val="CharacterStyle11"/>
              </w:rPr>
              <w:t>Rashodi za donacije, kazne, naknade šteta i kapitalne pomoći</w:t>
            </w:r>
          </w:p>
        </w:tc>
        <w:tc>
          <w:tcPr>
            <w:tcW w:w="1395" w:type="dxa"/>
            <w:tcBorders>
              <w:bottom w:val="single" w:sz="6" w:space="0" w:color="000000"/>
              <w:right w:val="single" w:sz="6" w:space="0" w:color="000000"/>
            </w:tcBorders>
            <w:vAlign w:val="center"/>
          </w:tcPr>
          <w:p w14:paraId="2552CD1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491EC59" w14:textId="77777777" w:rsidR="007D706A" w:rsidRDefault="007D706A" w:rsidP="00F70508">
            <w:pPr>
              <w:pStyle w:val="ParagraphStyle12"/>
              <w:rPr>
                <w:rStyle w:val="CharacterStyle12"/>
              </w:rPr>
            </w:pPr>
            <w:r>
              <w:rPr>
                <w:rStyle w:val="CharacterStyle12"/>
              </w:rPr>
              <w:t>1.639,20</w:t>
            </w:r>
          </w:p>
        </w:tc>
        <w:tc>
          <w:tcPr>
            <w:tcW w:w="1395" w:type="dxa"/>
            <w:tcBorders>
              <w:bottom w:val="single" w:sz="6" w:space="0" w:color="000000"/>
              <w:right w:val="single" w:sz="6" w:space="0" w:color="000000"/>
            </w:tcBorders>
            <w:vAlign w:val="center"/>
          </w:tcPr>
          <w:p w14:paraId="1D25171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2F43B8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E9D7AC5" w14:textId="77777777" w:rsidR="007D706A" w:rsidRDefault="007D706A" w:rsidP="00F70508">
            <w:pPr>
              <w:pStyle w:val="ParagraphStyle12"/>
              <w:rPr>
                <w:rStyle w:val="CharacterStyle12"/>
              </w:rPr>
            </w:pPr>
            <w:r>
              <w:rPr>
                <w:rStyle w:val="CharacterStyle12"/>
              </w:rPr>
              <w:t>0,00</w:t>
            </w:r>
          </w:p>
        </w:tc>
      </w:tr>
      <w:tr w:rsidR="007D706A" w14:paraId="3F1BBC8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800E10E" w14:textId="77777777" w:rsidR="007D706A" w:rsidRDefault="007D706A" w:rsidP="00F70508">
            <w:pPr>
              <w:pStyle w:val="ParagraphStyle4"/>
              <w:rPr>
                <w:rStyle w:val="CharacterStyle4"/>
              </w:rPr>
            </w:pPr>
            <w:r>
              <w:rPr>
                <w:rStyle w:val="CharacterStyle4"/>
              </w:rPr>
              <w:t>Aktivnost A100605</w:t>
            </w:r>
          </w:p>
        </w:tc>
        <w:tc>
          <w:tcPr>
            <w:tcW w:w="4995" w:type="dxa"/>
            <w:tcBorders>
              <w:bottom w:val="single" w:sz="6" w:space="0" w:color="000000"/>
              <w:right w:val="single" w:sz="6" w:space="0" w:color="000000"/>
            </w:tcBorders>
            <w:vAlign w:val="center"/>
          </w:tcPr>
          <w:p w14:paraId="34C6AB21" w14:textId="77777777" w:rsidR="007D706A" w:rsidRDefault="007D706A" w:rsidP="00F70508">
            <w:pPr>
              <w:pStyle w:val="ParagraphStyle5"/>
              <w:rPr>
                <w:rStyle w:val="CharacterStyle5"/>
              </w:rPr>
            </w:pPr>
            <w:r>
              <w:rPr>
                <w:rStyle w:val="CharacterStyle5"/>
              </w:rPr>
              <w:t>PODUZETNIČKI INKUBATOR I COWORKING</w:t>
            </w:r>
          </w:p>
        </w:tc>
        <w:tc>
          <w:tcPr>
            <w:tcW w:w="1395" w:type="dxa"/>
            <w:tcBorders>
              <w:bottom w:val="single" w:sz="6" w:space="0" w:color="000000"/>
              <w:right w:val="single" w:sz="6" w:space="0" w:color="000000"/>
            </w:tcBorders>
            <w:vAlign w:val="center"/>
          </w:tcPr>
          <w:p w14:paraId="449FF10C"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46EF2DF4" w14:textId="77777777" w:rsidR="007D706A" w:rsidRDefault="007D706A" w:rsidP="00F70508">
            <w:pPr>
              <w:pStyle w:val="ParagraphStyle6"/>
              <w:rPr>
                <w:rStyle w:val="CharacterStyle6"/>
              </w:rPr>
            </w:pPr>
            <w:r>
              <w:rPr>
                <w:rStyle w:val="CharacterStyle6"/>
              </w:rPr>
              <w:t>9.950,00</w:t>
            </w:r>
          </w:p>
        </w:tc>
        <w:tc>
          <w:tcPr>
            <w:tcW w:w="1395" w:type="dxa"/>
            <w:tcBorders>
              <w:bottom w:val="single" w:sz="6" w:space="0" w:color="000000"/>
              <w:right w:val="single" w:sz="6" w:space="0" w:color="000000"/>
            </w:tcBorders>
            <w:vAlign w:val="center"/>
          </w:tcPr>
          <w:p w14:paraId="60C2C640" w14:textId="77777777" w:rsidR="007D706A" w:rsidRDefault="007D706A" w:rsidP="00F70508">
            <w:pPr>
              <w:pStyle w:val="ParagraphStyle6"/>
              <w:rPr>
                <w:rStyle w:val="CharacterStyle6"/>
              </w:rPr>
            </w:pPr>
            <w:r>
              <w:rPr>
                <w:rStyle w:val="CharacterStyle6"/>
              </w:rPr>
              <w:t>9.950,00</w:t>
            </w:r>
          </w:p>
        </w:tc>
        <w:tc>
          <w:tcPr>
            <w:tcW w:w="1395" w:type="dxa"/>
            <w:tcBorders>
              <w:bottom w:val="single" w:sz="6" w:space="0" w:color="000000"/>
              <w:right w:val="single" w:sz="6" w:space="0" w:color="000000"/>
            </w:tcBorders>
            <w:vAlign w:val="center"/>
          </w:tcPr>
          <w:p w14:paraId="2B3C7292" w14:textId="77777777" w:rsidR="007D706A" w:rsidRDefault="007D706A" w:rsidP="00F70508">
            <w:pPr>
              <w:pStyle w:val="ParagraphStyle6"/>
              <w:rPr>
                <w:rStyle w:val="CharacterStyle6"/>
              </w:rPr>
            </w:pPr>
            <w:r>
              <w:rPr>
                <w:rStyle w:val="CharacterStyle6"/>
              </w:rPr>
              <w:t>9.950,00</w:t>
            </w:r>
          </w:p>
        </w:tc>
        <w:tc>
          <w:tcPr>
            <w:tcW w:w="1395" w:type="dxa"/>
            <w:tcBorders>
              <w:bottom w:val="single" w:sz="6" w:space="0" w:color="000000"/>
              <w:right w:val="single" w:sz="6" w:space="0" w:color="000000"/>
            </w:tcBorders>
            <w:vAlign w:val="center"/>
          </w:tcPr>
          <w:p w14:paraId="49042567" w14:textId="77777777" w:rsidR="007D706A" w:rsidRDefault="007D706A" w:rsidP="00F70508">
            <w:pPr>
              <w:pStyle w:val="ParagraphStyle6"/>
              <w:rPr>
                <w:rStyle w:val="CharacterStyle6"/>
              </w:rPr>
            </w:pPr>
            <w:r>
              <w:rPr>
                <w:rStyle w:val="CharacterStyle6"/>
              </w:rPr>
              <w:t>9.950,00</w:t>
            </w:r>
          </w:p>
        </w:tc>
      </w:tr>
      <w:tr w:rsidR="007D706A" w14:paraId="1D7A65B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61B83C5"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089AED6B"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3A92D4F9"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E0129A7" w14:textId="77777777" w:rsidR="007D706A" w:rsidRDefault="007D706A" w:rsidP="00F70508">
            <w:pPr>
              <w:pStyle w:val="ParagraphStyle9"/>
              <w:rPr>
                <w:rStyle w:val="CharacterStyle9"/>
              </w:rPr>
            </w:pPr>
            <w:r>
              <w:rPr>
                <w:rStyle w:val="CharacterStyle9"/>
              </w:rPr>
              <w:t>9.950,00</w:t>
            </w:r>
          </w:p>
        </w:tc>
        <w:tc>
          <w:tcPr>
            <w:tcW w:w="1395" w:type="dxa"/>
            <w:tcBorders>
              <w:bottom w:val="single" w:sz="6" w:space="0" w:color="000000"/>
              <w:right w:val="single" w:sz="6" w:space="0" w:color="000000"/>
            </w:tcBorders>
            <w:vAlign w:val="center"/>
          </w:tcPr>
          <w:p w14:paraId="7DA7B34C" w14:textId="77777777" w:rsidR="007D706A" w:rsidRDefault="007D706A" w:rsidP="00F70508">
            <w:pPr>
              <w:pStyle w:val="ParagraphStyle9"/>
              <w:rPr>
                <w:rStyle w:val="CharacterStyle9"/>
              </w:rPr>
            </w:pPr>
            <w:r>
              <w:rPr>
                <w:rStyle w:val="CharacterStyle9"/>
              </w:rPr>
              <w:t>9.950,00</w:t>
            </w:r>
          </w:p>
        </w:tc>
        <w:tc>
          <w:tcPr>
            <w:tcW w:w="1395" w:type="dxa"/>
            <w:tcBorders>
              <w:bottom w:val="single" w:sz="6" w:space="0" w:color="000000"/>
              <w:right w:val="single" w:sz="6" w:space="0" w:color="000000"/>
            </w:tcBorders>
            <w:vAlign w:val="center"/>
          </w:tcPr>
          <w:p w14:paraId="25965D54" w14:textId="77777777" w:rsidR="007D706A" w:rsidRDefault="007D706A" w:rsidP="00F70508">
            <w:pPr>
              <w:pStyle w:val="ParagraphStyle9"/>
              <w:rPr>
                <w:rStyle w:val="CharacterStyle9"/>
              </w:rPr>
            </w:pPr>
            <w:r>
              <w:rPr>
                <w:rStyle w:val="CharacterStyle9"/>
              </w:rPr>
              <w:t>9.950,00</w:t>
            </w:r>
          </w:p>
        </w:tc>
        <w:tc>
          <w:tcPr>
            <w:tcW w:w="1395" w:type="dxa"/>
            <w:tcBorders>
              <w:bottom w:val="single" w:sz="6" w:space="0" w:color="000000"/>
              <w:right w:val="single" w:sz="6" w:space="0" w:color="000000"/>
            </w:tcBorders>
            <w:vAlign w:val="center"/>
          </w:tcPr>
          <w:p w14:paraId="14871697" w14:textId="77777777" w:rsidR="007D706A" w:rsidRDefault="007D706A" w:rsidP="00F70508">
            <w:pPr>
              <w:pStyle w:val="ParagraphStyle9"/>
              <w:rPr>
                <w:rStyle w:val="CharacterStyle9"/>
              </w:rPr>
            </w:pPr>
            <w:r>
              <w:rPr>
                <w:rStyle w:val="CharacterStyle9"/>
              </w:rPr>
              <w:t>9.950,00</w:t>
            </w:r>
          </w:p>
        </w:tc>
      </w:tr>
      <w:tr w:rsidR="007D706A" w14:paraId="449A98E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B9DD70D"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7150144B"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282763C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A2B9DBE" w14:textId="77777777" w:rsidR="007D706A" w:rsidRDefault="007D706A" w:rsidP="00F70508">
            <w:pPr>
              <w:pStyle w:val="ParagraphStyle12"/>
              <w:rPr>
                <w:rStyle w:val="CharacterStyle12"/>
              </w:rPr>
            </w:pPr>
            <w:r>
              <w:rPr>
                <w:rStyle w:val="CharacterStyle12"/>
              </w:rPr>
              <w:t>9.950,00</w:t>
            </w:r>
          </w:p>
        </w:tc>
        <w:tc>
          <w:tcPr>
            <w:tcW w:w="1395" w:type="dxa"/>
            <w:tcBorders>
              <w:bottom w:val="single" w:sz="6" w:space="0" w:color="000000"/>
              <w:right w:val="single" w:sz="6" w:space="0" w:color="000000"/>
            </w:tcBorders>
            <w:vAlign w:val="center"/>
          </w:tcPr>
          <w:p w14:paraId="464F2A56" w14:textId="77777777" w:rsidR="007D706A" w:rsidRDefault="007D706A" w:rsidP="00F70508">
            <w:pPr>
              <w:pStyle w:val="ParagraphStyle12"/>
              <w:rPr>
                <w:rStyle w:val="CharacterStyle12"/>
              </w:rPr>
            </w:pPr>
            <w:r>
              <w:rPr>
                <w:rStyle w:val="CharacterStyle12"/>
              </w:rPr>
              <w:t>9.950,00</w:t>
            </w:r>
          </w:p>
        </w:tc>
        <w:tc>
          <w:tcPr>
            <w:tcW w:w="1395" w:type="dxa"/>
            <w:tcBorders>
              <w:bottom w:val="single" w:sz="6" w:space="0" w:color="000000"/>
              <w:right w:val="single" w:sz="6" w:space="0" w:color="000000"/>
            </w:tcBorders>
            <w:vAlign w:val="center"/>
          </w:tcPr>
          <w:p w14:paraId="6617F470" w14:textId="77777777" w:rsidR="007D706A" w:rsidRDefault="007D706A" w:rsidP="00F70508">
            <w:pPr>
              <w:pStyle w:val="ParagraphStyle12"/>
              <w:rPr>
                <w:rStyle w:val="CharacterStyle12"/>
              </w:rPr>
            </w:pPr>
            <w:r>
              <w:rPr>
                <w:rStyle w:val="CharacterStyle12"/>
              </w:rPr>
              <w:t>9.950,00</w:t>
            </w:r>
          </w:p>
        </w:tc>
        <w:tc>
          <w:tcPr>
            <w:tcW w:w="1395" w:type="dxa"/>
            <w:tcBorders>
              <w:bottom w:val="single" w:sz="6" w:space="0" w:color="000000"/>
              <w:right w:val="single" w:sz="6" w:space="0" w:color="000000"/>
            </w:tcBorders>
            <w:vAlign w:val="center"/>
          </w:tcPr>
          <w:p w14:paraId="40096CAA" w14:textId="77777777" w:rsidR="007D706A" w:rsidRDefault="007D706A" w:rsidP="00F70508">
            <w:pPr>
              <w:pStyle w:val="ParagraphStyle12"/>
              <w:rPr>
                <w:rStyle w:val="CharacterStyle12"/>
              </w:rPr>
            </w:pPr>
            <w:r>
              <w:rPr>
                <w:rStyle w:val="CharacterStyle12"/>
              </w:rPr>
              <w:t>9.950,00</w:t>
            </w:r>
          </w:p>
        </w:tc>
      </w:tr>
      <w:tr w:rsidR="007D706A" w14:paraId="04FEBD7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9E82237" w14:textId="77777777" w:rsidR="007D706A" w:rsidRDefault="007D706A" w:rsidP="00F70508">
            <w:pPr>
              <w:pStyle w:val="ParagraphStyle10"/>
              <w:rPr>
                <w:rStyle w:val="CharacterStyle10"/>
              </w:rPr>
            </w:pPr>
            <w:r>
              <w:rPr>
                <w:rStyle w:val="CharacterStyle10"/>
              </w:rPr>
              <w:t>35</w:t>
            </w:r>
          </w:p>
        </w:tc>
        <w:tc>
          <w:tcPr>
            <w:tcW w:w="4995" w:type="dxa"/>
            <w:tcBorders>
              <w:bottom w:val="single" w:sz="6" w:space="0" w:color="000000"/>
              <w:right w:val="single" w:sz="6" w:space="0" w:color="000000"/>
            </w:tcBorders>
            <w:vAlign w:val="center"/>
          </w:tcPr>
          <w:p w14:paraId="59758B72" w14:textId="77777777" w:rsidR="007D706A" w:rsidRDefault="007D706A" w:rsidP="00F70508">
            <w:pPr>
              <w:pStyle w:val="ParagraphStyle11"/>
              <w:rPr>
                <w:rStyle w:val="CharacterStyle11"/>
              </w:rPr>
            </w:pPr>
            <w:r>
              <w:rPr>
                <w:rStyle w:val="CharacterStyle11"/>
              </w:rPr>
              <w:t>Subvencije</w:t>
            </w:r>
          </w:p>
        </w:tc>
        <w:tc>
          <w:tcPr>
            <w:tcW w:w="1395" w:type="dxa"/>
            <w:tcBorders>
              <w:bottom w:val="single" w:sz="6" w:space="0" w:color="000000"/>
              <w:right w:val="single" w:sz="6" w:space="0" w:color="000000"/>
            </w:tcBorders>
            <w:vAlign w:val="center"/>
          </w:tcPr>
          <w:p w14:paraId="0D736AC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FD54B3D" w14:textId="77777777" w:rsidR="007D706A" w:rsidRDefault="007D706A" w:rsidP="00F70508">
            <w:pPr>
              <w:pStyle w:val="ParagraphStyle12"/>
              <w:rPr>
                <w:rStyle w:val="CharacterStyle12"/>
              </w:rPr>
            </w:pPr>
            <w:r>
              <w:rPr>
                <w:rStyle w:val="CharacterStyle12"/>
              </w:rPr>
              <w:t>9.950,00</w:t>
            </w:r>
          </w:p>
        </w:tc>
        <w:tc>
          <w:tcPr>
            <w:tcW w:w="1395" w:type="dxa"/>
            <w:tcBorders>
              <w:bottom w:val="single" w:sz="6" w:space="0" w:color="000000"/>
              <w:right w:val="single" w:sz="6" w:space="0" w:color="000000"/>
            </w:tcBorders>
            <w:vAlign w:val="center"/>
          </w:tcPr>
          <w:p w14:paraId="54B413F0" w14:textId="77777777" w:rsidR="007D706A" w:rsidRDefault="007D706A" w:rsidP="00F70508">
            <w:pPr>
              <w:pStyle w:val="ParagraphStyle12"/>
              <w:rPr>
                <w:rStyle w:val="CharacterStyle12"/>
              </w:rPr>
            </w:pPr>
            <w:r>
              <w:rPr>
                <w:rStyle w:val="CharacterStyle12"/>
              </w:rPr>
              <w:t>9.950,00</w:t>
            </w:r>
          </w:p>
        </w:tc>
        <w:tc>
          <w:tcPr>
            <w:tcW w:w="1395" w:type="dxa"/>
            <w:tcBorders>
              <w:bottom w:val="single" w:sz="6" w:space="0" w:color="000000"/>
              <w:right w:val="single" w:sz="6" w:space="0" w:color="000000"/>
            </w:tcBorders>
            <w:vAlign w:val="center"/>
          </w:tcPr>
          <w:p w14:paraId="1B6DC18C" w14:textId="77777777" w:rsidR="007D706A" w:rsidRDefault="007D706A" w:rsidP="00F70508">
            <w:pPr>
              <w:pStyle w:val="ParagraphStyle12"/>
              <w:rPr>
                <w:rStyle w:val="CharacterStyle12"/>
              </w:rPr>
            </w:pPr>
            <w:r>
              <w:rPr>
                <w:rStyle w:val="CharacterStyle12"/>
              </w:rPr>
              <w:t>9.950,00</w:t>
            </w:r>
          </w:p>
        </w:tc>
        <w:tc>
          <w:tcPr>
            <w:tcW w:w="1395" w:type="dxa"/>
            <w:tcBorders>
              <w:bottom w:val="single" w:sz="6" w:space="0" w:color="000000"/>
              <w:right w:val="single" w:sz="6" w:space="0" w:color="000000"/>
            </w:tcBorders>
            <w:vAlign w:val="center"/>
          </w:tcPr>
          <w:p w14:paraId="5CA6C5CA" w14:textId="77777777" w:rsidR="007D706A" w:rsidRDefault="007D706A" w:rsidP="00F70508">
            <w:pPr>
              <w:pStyle w:val="ParagraphStyle12"/>
              <w:rPr>
                <w:rStyle w:val="CharacterStyle12"/>
              </w:rPr>
            </w:pPr>
            <w:r>
              <w:rPr>
                <w:rStyle w:val="CharacterStyle12"/>
              </w:rPr>
              <w:t>9.950,00</w:t>
            </w:r>
          </w:p>
        </w:tc>
      </w:tr>
      <w:tr w:rsidR="007D706A" w14:paraId="79F3927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BB8157D" w14:textId="77777777" w:rsidR="007D706A" w:rsidRDefault="007D706A" w:rsidP="00F70508">
            <w:pPr>
              <w:pStyle w:val="ParagraphStyle4"/>
              <w:rPr>
                <w:rStyle w:val="CharacterStyle4"/>
              </w:rPr>
            </w:pPr>
            <w:r>
              <w:rPr>
                <w:rStyle w:val="CharacterStyle4"/>
              </w:rPr>
              <w:t>Aktivnost A100606</w:t>
            </w:r>
          </w:p>
        </w:tc>
        <w:tc>
          <w:tcPr>
            <w:tcW w:w="4995" w:type="dxa"/>
            <w:tcBorders>
              <w:bottom w:val="single" w:sz="6" w:space="0" w:color="000000"/>
              <w:right w:val="single" w:sz="6" w:space="0" w:color="000000"/>
            </w:tcBorders>
            <w:vAlign w:val="center"/>
          </w:tcPr>
          <w:p w14:paraId="201D3547" w14:textId="77777777" w:rsidR="007D706A" w:rsidRDefault="007D706A" w:rsidP="00F70508">
            <w:pPr>
              <w:pStyle w:val="ParagraphStyle5"/>
              <w:rPr>
                <w:rStyle w:val="CharacterStyle5"/>
              </w:rPr>
            </w:pPr>
            <w:r>
              <w:rPr>
                <w:rStyle w:val="CharacterStyle5"/>
              </w:rPr>
              <w:t>PROGRAMI PRIPREME I PRAĆENJA TURISTIČKE SEZONE</w:t>
            </w:r>
          </w:p>
        </w:tc>
        <w:tc>
          <w:tcPr>
            <w:tcW w:w="1395" w:type="dxa"/>
            <w:tcBorders>
              <w:bottom w:val="single" w:sz="6" w:space="0" w:color="000000"/>
              <w:right w:val="single" w:sz="6" w:space="0" w:color="000000"/>
            </w:tcBorders>
            <w:vAlign w:val="center"/>
          </w:tcPr>
          <w:p w14:paraId="1B91A89B"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3DFE048C" w14:textId="77777777" w:rsidR="007D706A" w:rsidRDefault="007D706A" w:rsidP="00F70508">
            <w:pPr>
              <w:pStyle w:val="ParagraphStyle6"/>
              <w:rPr>
                <w:rStyle w:val="CharacterStyle6"/>
              </w:rPr>
            </w:pPr>
            <w:r>
              <w:rPr>
                <w:rStyle w:val="CharacterStyle6"/>
              </w:rPr>
              <w:t>17.975,00</w:t>
            </w:r>
          </w:p>
        </w:tc>
        <w:tc>
          <w:tcPr>
            <w:tcW w:w="1395" w:type="dxa"/>
            <w:tcBorders>
              <w:bottom w:val="single" w:sz="6" w:space="0" w:color="000000"/>
              <w:right w:val="single" w:sz="6" w:space="0" w:color="000000"/>
            </w:tcBorders>
            <w:vAlign w:val="center"/>
          </w:tcPr>
          <w:p w14:paraId="55013837" w14:textId="77777777" w:rsidR="007D706A" w:rsidRDefault="007D706A" w:rsidP="00F70508">
            <w:pPr>
              <w:pStyle w:val="ParagraphStyle6"/>
              <w:rPr>
                <w:rStyle w:val="CharacterStyle6"/>
              </w:rPr>
            </w:pPr>
            <w:r>
              <w:rPr>
                <w:rStyle w:val="CharacterStyle6"/>
              </w:rPr>
              <w:t>25.650,00</w:t>
            </w:r>
          </w:p>
        </w:tc>
        <w:tc>
          <w:tcPr>
            <w:tcW w:w="1395" w:type="dxa"/>
            <w:tcBorders>
              <w:bottom w:val="single" w:sz="6" w:space="0" w:color="000000"/>
              <w:right w:val="single" w:sz="6" w:space="0" w:color="000000"/>
            </w:tcBorders>
            <w:vAlign w:val="center"/>
          </w:tcPr>
          <w:p w14:paraId="2AD66927" w14:textId="77777777" w:rsidR="007D706A" w:rsidRDefault="007D706A" w:rsidP="00F70508">
            <w:pPr>
              <w:pStyle w:val="ParagraphStyle6"/>
              <w:rPr>
                <w:rStyle w:val="CharacterStyle6"/>
              </w:rPr>
            </w:pPr>
            <w:r>
              <w:rPr>
                <w:rStyle w:val="CharacterStyle6"/>
              </w:rPr>
              <w:t>25.650,00</w:t>
            </w:r>
          </w:p>
        </w:tc>
        <w:tc>
          <w:tcPr>
            <w:tcW w:w="1395" w:type="dxa"/>
            <w:tcBorders>
              <w:bottom w:val="single" w:sz="6" w:space="0" w:color="000000"/>
              <w:right w:val="single" w:sz="6" w:space="0" w:color="000000"/>
            </w:tcBorders>
            <w:vAlign w:val="center"/>
          </w:tcPr>
          <w:p w14:paraId="7E8CC878" w14:textId="77777777" w:rsidR="007D706A" w:rsidRDefault="007D706A" w:rsidP="00F70508">
            <w:pPr>
              <w:pStyle w:val="ParagraphStyle6"/>
              <w:rPr>
                <w:rStyle w:val="CharacterStyle6"/>
              </w:rPr>
            </w:pPr>
            <w:r>
              <w:rPr>
                <w:rStyle w:val="CharacterStyle6"/>
              </w:rPr>
              <w:t>25.650,00</w:t>
            </w:r>
          </w:p>
        </w:tc>
      </w:tr>
      <w:tr w:rsidR="007D706A" w14:paraId="57A92C7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04798A9" w14:textId="77777777" w:rsidR="007D706A" w:rsidRDefault="007D706A" w:rsidP="00F70508">
            <w:pPr>
              <w:pStyle w:val="ParagraphStyle7"/>
              <w:rPr>
                <w:rStyle w:val="CharacterStyle7"/>
              </w:rPr>
            </w:pPr>
            <w:r>
              <w:rPr>
                <w:rStyle w:val="CharacterStyle7"/>
              </w:rPr>
              <w:t>Izvor financiranja 41</w:t>
            </w:r>
          </w:p>
        </w:tc>
        <w:tc>
          <w:tcPr>
            <w:tcW w:w="4995" w:type="dxa"/>
            <w:tcBorders>
              <w:bottom w:val="single" w:sz="6" w:space="0" w:color="000000"/>
              <w:right w:val="single" w:sz="6" w:space="0" w:color="000000"/>
            </w:tcBorders>
            <w:vAlign w:val="center"/>
          </w:tcPr>
          <w:p w14:paraId="25B83761" w14:textId="77777777" w:rsidR="007D706A" w:rsidRDefault="007D706A" w:rsidP="00F70508">
            <w:pPr>
              <w:pStyle w:val="ParagraphStyle8"/>
              <w:rPr>
                <w:rStyle w:val="CharacterStyle8"/>
              </w:rPr>
            </w:pPr>
            <w:r>
              <w:rPr>
                <w:rStyle w:val="CharacterStyle8"/>
              </w:rPr>
              <w:t>Prihodi za posebne namjene</w:t>
            </w:r>
          </w:p>
        </w:tc>
        <w:tc>
          <w:tcPr>
            <w:tcW w:w="1395" w:type="dxa"/>
            <w:tcBorders>
              <w:bottom w:val="single" w:sz="6" w:space="0" w:color="000000"/>
              <w:right w:val="single" w:sz="6" w:space="0" w:color="000000"/>
            </w:tcBorders>
            <w:vAlign w:val="center"/>
          </w:tcPr>
          <w:p w14:paraId="27314F9E"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9C82FE6" w14:textId="77777777" w:rsidR="007D706A" w:rsidRDefault="007D706A" w:rsidP="00F70508">
            <w:pPr>
              <w:pStyle w:val="ParagraphStyle9"/>
              <w:rPr>
                <w:rStyle w:val="CharacterStyle9"/>
              </w:rPr>
            </w:pPr>
            <w:r>
              <w:rPr>
                <w:rStyle w:val="CharacterStyle9"/>
              </w:rPr>
              <w:t>10.662,50</w:t>
            </w:r>
          </w:p>
        </w:tc>
        <w:tc>
          <w:tcPr>
            <w:tcW w:w="1395" w:type="dxa"/>
            <w:tcBorders>
              <w:bottom w:val="single" w:sz="6" w:space="0" w:color="000000"/>
              <w:right w:val="single" w:sz="6" w:space="0" w:color="000000"/>
            </w:tcBorders>
            <w:vAlign w:val="center"/>
          </w:tcPr>
          <w:p w14:paraId="7FE259AD"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9973ADC"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9B9CAE3" w14:textId="77777777" w:rsidR="007D706A" w:rsidRDefault="007D706A" w:rsidP="00F70508">
            <w:pPr>
              <w:pStyle w:val="ParagraphStyle9"/>
              <w:rPr>
                <w:rStyle w:val="CharacterStyle9"/>
              </w:rPr>
            </w:pPr>
            <w:r>
              <w:rPr>
                <w:rStyle w:val="CharacterStyle9"/>
              </w:rPr>
              <w:t>0,00</w:t>
            </w:r>
          </w:p>
        </w:tc>
      </w:tr>
      <w:tr w:rsidR="007D706A" w14:paraId="55DFD03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01B0448"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77800316"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0503676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EA23FAB" w14:textId="77777777" w:rsidR="007D706A" w:rsidRDefault="007D706A" w:rsidP="00F70508">
            <w:pPr>
              <w:pStyle w:val="ParagraphStyle12"/>
              <w:rPr>
                <w:rStyle w:val="CharacterStyle12"/>
              </w:rPr>
            </w:pPr>
            <w:r>
              <w:rPr>
                <w:rStyle w:val="CharacterStyle12"/>
              </w:rPr>
              <w:t>10.662,50</w:t>
            </w:r>
          </w:p>
        </w:tc>
        <w:tc>
          <w:tcPr>
            <w:tcW w:w="1395" w:type="dxa"/>
            <w:tcBorders>
              <w:bottom w:val="single" w:sz="6" w:space="0" w:color="000000"/>
              <w:right w:val="single" w:sz="6" w:space="0" w:color="000000"/>
            </w:tcBorders>
            <w:vAlign w:val="center"/>
          </w:tcPr>
          <w:p w14:paraId="617162E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5EB30F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AC29520" w14:textId="77777777" w:rsidR="007D706A" w:rsidRDefault="007D706A" w:rsidP="00F70508">
            <w:pPr>
              <w:pStyle w:val="ParagraphStyle12"/>
              <w:rPr>
                <w:rStyle w:val="CharacterStyle12"/>
              </w:rPr>
            </w:pPr>
            <w:r>
              <w:rPr>
                <w:rStyle w:val="CharacterStyle12"/>
              </w:rPr>
              <w:t>0,00</w:t>
            </w:r>
          </w:p>
        </w:tc>
      </w:tr>
      <w:tr w:rsidR="007D706A" w14:paraId="06C6AEF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6434418"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5D980118"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2B6ECE4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4EC94D2" w14:textId="77777777" w:rsidR="007D706A" w:rsidRDefault="007D706A" w:rsidP="00F70508">
            <w:pPr>
              <w:pStyle w:val="ParagraphStyle12"/>
              <w:rPr>
                <w:rStyle w:val="CharacterStyle12"/>
              </w:rPr>
            </w:pPr>
            <w:r>
              <w:rPr>
                <w:rStyle w:val="CharacterStyle12"/>
              </w:rPr>
              <w:t>10.662,50</w:t>
            </w:r>
          </w:p>
        </w:tc>
        <w:tc>
          <w:tcPr>
            <w:tcW w:w="1395" w:type="dxa"/>
            <w:tcBorders>
              <w:bottom w:val="single" w:sz="6" w:space="0" w:color="000000"/>
              <w:right w:val="single" w:sz="6" w:space="0" w:color="000000"/>
            </w:tcBorders>
            <w:vAlign w:val="center"/>
          </w:tcPr>
          <w:p w14:paraId="13160F0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04AADF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BFFFE2B" w14:textId="77777777" w:rsidR="007D706A" w:rsidRDefault="007D706A" w:rsidP="00F70508">
            <w:pPr>
              <w:pStyle w:val="ParagraphStyle12"/>
              <w:rPr>
                <w:rStyle w:val="CharacterStyle12"/>
              </w:rPr>
            </w:pPr>
            <w:r>
              <w:rPr>
                <w:rStyle w:val="CharacterStyle12"/>
              </w:rPr>
              <w:t>0,00</w:t>
            </w:r>
          </w:p>
        </w:tc>
      </w:tr>
      <w:tr w:rsidR="007D706A" w14:paraId="16A77BF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F33BA97" w14:textId="77777777" w:rsidR="007D706A" w:rsidRDefault="007D706A" w:rsidP="00F70508">
            <w:pPr>
              <w:pStyle w:val="ParagraphStyle7"/>
              <w:rPr>
                <w:rStyle w:val="CharacterStyle7"/>
              </w:rPr>
            </w:pPr>
            <w:r>
              <w:rPr>
                <w:rStyle w:val="CharacterStyle7"/>
              </w:rPr>
              <w:t>Izvor financiranja 43</w:t>
            </w:r>
          </w:p>
        </w:tc>
        <w:tc>
          <w:tcPr>
            <w:tcW w:w="4995" w:type="dxa"/>
            <w:tcBorders>
              <w:bottom w:val="single" w:sz="6" w:space="0" w:color="000000"/>
              <w:right w:val="single" w:sz="6" w:space="0" w:color="000000"/>
            </w:tcBorders>
            <w:vAlign w:val="center"/>
          </w:tcPr>
          <w:p w14:paraId="4E89D971" w14:textId="77777777" w:rsidR="007D706A" w:rsidRDefault="007D706A" w:rsidP="00F70508">
            <w:pPr>
              <w:pStyle w:val="ParagraphStyle8"/>
              <w:rPr>
                <w:rStyle w:val="CharacterStyle8"/>
              </w:rPr>
            </w:pPr>
            <w:r>
              <w:rPr>
                <w:rStyle w:val="CharacterStyle8"/>
              </w:rPr>
              <w:t>Ostali prihodi za posebne namjene</w:t>
            </w:r>
          </w:p>
        </w:tc>
        <w:tc>
          <w:tcPr>
            <w:tcW w:w="1395" w:type="dxa"/>
            <w:tcBorders>
              <w:bottom w:val="single" w:sz="6" w:space="0" w:color="000000"/>
              <w:right w:val="single" w:sz="6" w:space="0" w:color="000000"/>
            </w:tcBorders>
            <w:vAlign w:val="center"/>
          </w:tcPr>
          <w:p w14:paraId="1967B2CC"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A43016B"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79A4063" w14:textId="77777777" w:rsidR="007D706A" w:rsidRDefault="007D706A" w:rsidP="00F70508">
            <w:pPr>
              <w:pStyle w:val="ParagraphStyle9"/>
              <w:rPr>
                <w:rStyle w:val="CharacterStyle9"/>
              </w:rPr>
            </w:pPr>
            <w:r>
              <w:rPr>
                <w:rStyle w:val="CharacterStyle9"/>
              </w:rPr>
              <w:t>17.700,00</w:t>
            </w:r>
          </w:p>
        </w:tc>
        <w:tc>
          <w:tcPr>
            <w:tcW w:w="1395" w:type="dxa"/>
            <w:tcBorders>
              <w:bottom w:val="single" w:sz="6" w:space="0" w:color="000000"/>
              <w:right w:val="single" w:sz="6" w:space="0" w:color="000000"/>
            </w:tcBorders>
            <w:vAlign w:val="center"/>
          </w:tcPr>
          <w:p w14:paraId="33A4D9A0" w14:textId="77777777" w:rsidR="007D706A" w:rsidRDefault="007D706A" w:rsidP="00F70508">
            <w:pPr>
              <w:pStyle w:val="ParagraphStyle9"/>
              <w:rPr>
                <w:rStyle w:val="CharacterStyle9"/>
              </w:rPr>
            </w:pPr>
            <w:r>
              <w:rPr>
                <w:rStyle w:val="CharacterStyle9"/>
              </w:rPr>
              <w:t>17.700,00</w:t>
            </w:r>
          </w:p>
        </w:tc>
        <w:tc>
          <w:tcPr>
            <w:tcW w:w="1395" w:type="dxa"/>
            <w:tcBorders>
              <w:bottom w:val="single" w:sz="6" w:space="0" w:color="000000"/>
              <w:right w:val="single" w:sz="6" w:space="0" w:color="000000"/>
            </w:tcBorders>
            <w:vAlign w:val="center"/>
          </w:tcPr>
          <w:p w14:paraId="563DA9CA" w14:textId="77777777" w:rsidR="007D706A" w:rsidRDefault="007D706A" w:rsidP="00F70508">
            <w:pPr>
              <w:pStyle w:val="ParagraphStyle9"/>
              <w:rPr>
                <w:rStyle w:val="CharacterStyle9"/>
              </w:rPr>
            </w:pPr>
            <w:r>
              <w:rPr>
                <w:rStyle w:val="CharacterStyle9"/>
              </w:rPr>
              <w:t>17.700,00</w:t>
            </w:r>
          </w:p>
        </w:tc>
      </w:tr>
      <w:tr w:rsidR="007D706A" w14:paraId="6BDB468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24C1E9B"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2D3EF2A8"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62EFE26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7CDA5A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7587A12" w14:textId="77777777" w:rsidR="007D706A" w:rsidRDefault="007D706A" w:rsidP="00F70508">
            <w:pPr>
              <w:pStyle w:val="ParagraphStyle12"/>
              <w:rPr>
                <w:rStyle w:val="CharacterStyle12"/>
              </w:rPr>
            </w:pPr>
            <w:r>
              <w:rPr>
                <w:rStyle w:val="CharacterStyle12"/>
              </w:rPr>
              <w:t>17.700,00</w:t>
            </w:r>
          </w:p>
        </w:tc>
        <w:tc>
          <w:tcPr>
            <w:tcW w:w="1395" w:type="dxa"/>
            <w:tcBorders>
              <w:bottom w:val="single" w:sz="6" w:space="0" w:color="000000"/>
              <w:right w:val="single" w:sz="6" w:space="0" w:color="000000"/>
            </w:tcBorders>
            <w:vAlign w:val="center"/>
          </w:tcPr>
          <w:p w14:paraId="384FB0D3" w14:textId="77777777" w:rsidR="007D706A" w:rsidRDefault="007D706A" w:rsidP="00F70508">
            <w:pPr>
              <w:pStyle w:val="ParagraphStyle12"/>
              <w:rPr>
                <w:rStyle w:val="CharacterStyle12"/>
              </w:rPr>
            </w:pPr>
            <w:r>
              <w:rPr>
                <w:rStyle w:val="CharacterStyle12"/>
              </w:rPr>
              <w:t>17.700,00</w:t>
            </w:r>
          </w:p>
        </w:tc>
        <w:tc>
          <w:tcPr>
            <w:tcW w:w="1395" w:type="dxa"/>
            <w:tcBorders>
              <w:bottom w:val="single" w:sz="6" w:space="0" w:color="000000"/>
              <w:right w:val="single" w:sz="6" w:space="0" w:color="000000"/>
            </w:tcBorders>
            <w:vAlign w:val="center"/>
          </w:tcPr>
          <w:p w14:paraId="643F4F8A" w14:textId="77777777" w:rsidR="007D706A" w:rsidRDefault="007D706A" w:rsidP="00F70508">
            <w:pPr>
              <w:pStyle w:val="ParagraphStyle12"/>
              <w:rPr>
                <w:rStyle w:val="CharacterStyle12"/>
              </w:rPr>
            </w:pPr>
            <w:r>
              <w:rPr>
                <w:rStyle w:val="CharacterStyle12"/>
              </w:rPr>
              <w:t>17.700,00</w:t>
            </w:r>
          </w:p>
        </w:tc>
      </w:tr>
      <w:tr w:rsidR="007D706A" w14:paraId="0F6C802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62CE036"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12A2628B"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7AAB29B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36B31D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262A932" w14:textId="77777777" w:rsidR="007D706A" w:rsidRDefault="007D706A" w:rsidP="00F70508">
            <w:pPr>
              <w:pStyle w:val="ParagraphStyle12"/>
              <w:rPr>
                <w:rStyle w:val="CharacterStyle12"/>
              </w:rPr>
            </w:pPr>
            <w:r>
              <w:rPr>
                <w:rStyle w:val="CharacterStyle12"/>
              </w:rPr>
              <w:t>14.350,00</w:t>
            </w:r>
          </w:p>
        </w:tc>
        <w:tc>
          <w:tcPr>
            <w:tcW w:w="1395" w:type="dxa"/>
            <w:tcBorders>
              <w:bottom w:val="single" w:sz="6" w:space="0" w:color="000000"/>
              <w:right w:val="single" w:sz="6" w:space="0" w:color="000000"/>
            </w:tcBorders>
            <w:vAlign w:val="center"/>
          </w:tcPr>
          <w:p w14:paraId="6E019237" w14:textId="77777777" w:rsidR="007D706A" w:rsidRDefault="007D706A" w:rsidP="00F70508">
            <w:pPr>
              <w:pStyle w:val="ParagraphStyle12"/>
              <w:rPr>
                <w:rStyle w:val="CharacterStyle12"/>
              </w:rPr>
            </w:pPr>
            <w:r>
              <w:rPr>
                <w:rStyle w:val="CharacterStyle12"/>
              </w:rPr>
              <w:t>14.350,00</w:t>
            </w:r>
          </w:p>
        </w:tc>
        <w:tc>
          <w:tcPr>
            <w:tcW w:w="1395" w:type="dxa"/>
            <w:tcBorders>
              <w:bottom w:val="single" w:sz="6" w:space="0" w:color="000000"/>
              <w:right w:val="single" w:sz="6" w:space="0" w:color="000000"/>
            </w:tcBorders>
            <w:vAlign w:val="center"/>
          </w:tcPr>
          <w:p w14:paraId="4D534AE1" w14:textId="77777777" w:rsidR="007D706A" w:rsidRDefault="007D706A" w:rsidP="00F70508">
            <w:pPr>
              <w:pStyle w:val="ParagraphStyle12"/>
              <w:rPr>
                <w:rStyle w:val="CharacterStyle12"/>
              </w:rPr>
            </w:pPr>
            <w:r>
              <w:rPr>
                <w:rStyle w:val="CharacterStyle12"/>
              </w:rPr>
              <w:t>14.350,00</w:t>
            </w:r>
          </w:p>
        </w:tc>
      </w:tr>
      <w:tr w:rsidR="007D706A" w14:paraId="32D0D14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07DB0B6" w14:textId="77777777" w:rsidR="007D706A" w:rsidRDefault="007D706A" w:rsidP="00F70508">
            <w:pPr>
              <w:pStyle w:val="ParagraphStyle10"/>
              <w:rPr>
                <w:rStyle w:val="CharacterStyle10"/>
              </w:rPr>
            </w:pPr>
            <w:r>
              <w:rPr>
                <w:rStyle w:val="CharacterStyle10"/>
              </w:rPr>
              <w:t>38</w:t>
            </w:r>
          </w:p>
        </w:tc>
        <w:tc>
          <w:tcPr>
            <w:tcW w:w="4995" w:type="dxa"/>
            <w:tcBorders>
              <w:bottom w:val="single" w:sz="6" w:space="0" w:color="000000"/>
              <w:right w:val="single" w:sz="6" w:space="0" w:color="000000"/>
            </w:tcBorders>
            <w:vAlign w:val="center"/>
          </w:tcPr>
          <w:p w14:paraId="00F10DB6" w14:textId="77777777" w:rsidR="007D706A" w:rsidRDefault="007D706A" w:rsidP="00F70508">
            <w:pPr>
              <w:pStyle w:val="ParagraphStyle11"/>
              <w:rPr>
                <w:rStyle w:val="CharacterStyle11"/>
              </w:rPr>
            </w:pPr>
            <w:r>
              <w:rPr>
                <w:rStyle w:val="CharacterStyle11"/>
              </w:rPr>
              <w:t>Rashodi za donacije, kazne, naknade šteta i kapitalne pomoći</w:t>
            </w:r>
          </w:p>
        </w:tc>
        <w:tc>
          <w:tcPr>
            <w:tcW w:w="1395" w:type="dxa"/>
            <w:tcBorders>
              <w:bottom w:val="single" w:sz="6" w:space="0" w:color="000000"/>
              <w:right w:val="single" w:sz="6" w:space="0" w:color="000000"/>
            </w:tcBorders>
            <w:vAlign w:val="center"/>
          </w:tcPr>
          <w:p w14:paraId="3AA7BF8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06C8C8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F5798C4" w14:textId="77777777" w:rsidR="007D706A" w:rsidRDefault="007D706A" w:rsidP="00F70508">
            <w:pPr>
              <w:pStyle w:val="ParagraphStyle12"/>
              <w:rPr>
                <w:rStyle w:val="CharacterStyle12"/>
              </w:rPr>
            </w:pPr>
            <w:r>
              <w:rPr>
                <w:rStyle w:val="CharacterStyle12"/>
              </w:rPr>
              <w:t>3.350,00</w:t>
            </w:r>
          </w:p>
        </w:tc>
        <w:tc>
          <w:tcPr>
            <w:tcW w:w="1395" w:type="dxa"/>
            <w:tcBorders>
              <w:bottom w:val="single" w:sz="6" w:space="0" w:color="000000"/>
              <w:right w:val="single" w:sz="6" w:space="0" w:color="000000"/>
            </w:tcBorders>
            <w:vAlign w:val="center"/>
          </w:tcPr>
          <w:p w14:paraId="0E8C77DD" w14:textId="77777777" w:rsidR="007D706A" w:rsidRDefault="007D706A" w:rsidP="00F70508">
            <w:pPr>
              <w:pStyle w:val="ParagraphStyle12"/>
              <w:rPr>
                <w:rStyle w:val="CharacterStyle12"/>
              </w:rPr>
            </w:pPr>
            <w:r>
              <w:rPr>
                <w:rStyle w:val="CharacterStyle12"/>
              </w:rPr>
              <w:t>3.350,00</w:t>
            </w:r>
          </w:p>
        </w:tc>
        <w:tc>
          <w:tcPr>
            <w:tcW w:w="1395" w:type="dxa"/>
            <w:tcBorders>
              <w:bottom w:val="single" w:sz="6" w:space="0" w:color="000000"/>
              <w:right w:val="single" w:sz="6" w:space="0" w:color="000000"/>
            </w:tcBorders>
            <w:vAlign w:val="center"/>
          </w:tcPr>
          <w:p w14:paraId="3DDF190D" w14:textId="77777777" w:rsidR="007D706A" w:rsidRDefault="007D706A" w:rsidP="00F70508">
            <w:pPr>
              <w:pStyle w:val="ParagraphStyle12"/>
              <w:rPr>
                <w:rStyle w:val="CharacterStyle12"/>
              </w:rPr>
            </w:pPr>
            <w:r>
              <w:rPr>
                <w:rStyle w:val="CharacterStyle12"/>
              </w:rPr>
              <w:t>3.350,00</w:t>
            </w:r>
          </w:p>
        </w:tc>
      </w:tr>
      <w:tr w:rsidR="007D706A" w14:paraId="597DCE4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FFA5F0D" w14:textId="77777777" w:rsidR="007D706A" w:rsidRDefault="007D706A" w:rsidP="00F70508">
            <w:pPr>
              <w:pStyle w:val="ParagraphStyle7"/>
              <w:rPr>
                <w:rStyle w:val="CharacterStyle7"/>
              </w:rPr>
            </w:pPr>
            <w:r>
              <w:rPr>
                <w:rStyle w:val="CharacterStyle7"/>
              </w:rPr>
              <w:lastRenderedPageBreak/>
              <w:t>Izvor financiranja 52</w:t>
            </w:r>
          </w:p>
        </w:tc>
        <w:tc>
          <w:tcPr>
            <w:tcW w:w="4995" w:type="dxa"/>
            <w:tcBorders>
              <w:bottom w:val="single" w:sz="6" w:space="0" w:color="000000"/>
              <w:right w:val="single" w:sz="6" w:space="0" w:color="000000"/>
            </w:tcBorders>
            <w:vAlign w:val="center"/>
          </w:tcPr>
          <w:p w14:paraId="131D34AA" w14:textId="77777777" w:rsidR="007D706A" w:rsidRDefault="007D706A" w:rsidP="00F70508">
            <w:pPr>
              <w:pStyle w:val="ParagraphStyle8"/>
              <w:rPr>
                <w:rStyle w:val="CharacterStyle8"/>
              </w:rPr>
            </w:pPr>
            <w:r>
              <w:rPr>
                <w:rStyle w:val="CharacterStyle8"/>
              </w:rPr>
              <w:t>Ostale pomoći</w:t>
            </w:r>
          </w:p>
        </w:tc>
        <w:tc>
          <w:tcPr>
            <w:tcW w:w="1395" w:type="dxa"/>
            <w:tcBorders>
              <w:bottom w:val="single" w:sz="6" w:space="0" w:color="000000"/>
              <w:right w:val="single" w:sz="6" w:space="0" w:color="000000"/>
            </w:tcBorders>
            <w:vAlign w:val="center"/>
          </w:tcPr>
          <w:p w14:paraId="627A2769"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346D631" w14:textId="77777777" w:rsidR="007D706A" w:rsidRDefault="007D706A" w:rsidP="00F70508">
            <w:pPr>
              <w:pStyle w:val="ParagraphStyle9"/>
              <w:rPr>
                <w:rStyle w:val="CharacterStyle9"/>
              </w:rPr>
            </w:pPr>
            <w:r>
              <w:rPr>
                <w:rStyle w:val="CharacterStyle9"/>
              </w:rPr>
              <w:t>7.312,50</w:t>
            </w:r>
          </w:p>
        </w:tc>
        <w:tc>
          <w:tcPr>
            <w:tcW w:w="1395" w:type="dxa"/>
            <w:tcBorders>
              <w:bottom w:val="single" w:sz="6" w:space="0" w:color="000000"/>
              <w:right w:val="single" w:sz="6" w:space="0" w:color="000000"/>
            </w:tcBorders>
            <w:vAlign w:val="center"/>
          </w:tcPr>
          <w:p w14:paraId="4F93D09E" w14:textId="77777777" w:rsidR="007D706A" w:rsidRDefault="007D706A" w:rsidP="00F70508">
            <w:pPr>
              <w:pStyle w:val="ParagraphStyle9"/>
              <w:rPr>
                <w:rStyle w:val="CharacterStyle9"/>
              </w:rPr>
            </w:pPr>
            <w:r>
              <w:rPr>
                <w:rStyle w:val="CharacterStyle9"/>
              </w:rPr>
              <w:t>7.950,00</w:t>
            </w:r>
          </w:p>
        </w:tc>
        <w:tc>
          <w:tcPr>
            <w:tcW w:w="1395" w:type="dxa"/>
            <w:tcBorders>
              <w:bottom w:val="single" w:sz="6" w:space="0" w:color="000000"/>
              <w:right w:val="single" w:sz="6" w:space="0" w:color="000000"/>
            </w:tcBorders>
            <w:vAlign w:val="center"/>
          </w:tcPr>
          <w:p w14:paraId="74B72DCA" w14:textId="77777777" w:rsidR="007D706A" w:rsidRDefault="007D706A" w:rsidP="00F70508">
            <w:pPr>
              <w:pStyle w:val="ParagraphStyle9"/>
              <w:rPr>
                <w:rStyle w:val="CharacterStyle9"/>
              </w:rPr>
            </w:pPr>
            <w:r>
              <w:rPr>
                <w:rStyle w:val="CharacterStyle9"/>
              </w:rPr>
              <w:t>7.950,00</w:t>
            </w:r>
          </w:p>
        </w:tc>
        <w:tc>
          <w:tcPr>
            <w:tcW w:w="1395" w:type="dxa"/>
            <w:tcBorders>
              <w:bottom w:val="single" w:sz="6" w:space="0" w:color="000000"/>
              <w:right w:val="single" w:sz="6" w:space="0" w:color="000000"/>
            </w:tcBorders>
            <w:vAlign w:val="center"/>
          </w:tcPr>
          <w:p w14:paraId="3264A0E9" w14:textId="77777777" w:rsidR="007D706A" w:rsidRDefault="007D706A" w:rsidP="00F70508">
            <w:pPr>
              <w:pStyle w:val="ParagraphStyle9"/>
              <w:rPr>
                <w:rStyle w:val="CharacterStyle9"/>
              </w:rPr>
            </w:pPr>
            <w:r>
              <w:rPr>
                <w:rStyle w:val="CharacterStyle9"/>
              </w:rPr>
              <w:t>7.950,00</w:t>
            </w:r>
          </w:p>
        </w:tc>
      </w:tr>
      <w:tr w:rsidR="007D706A" w14:paraId="36B2624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A606100"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6E760E98"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421AD60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A90B6B6" w14:textId="77777777" w:rsidR="007D706A" w:rsidRDefault="007D706A" w:rsidP="00F70508">
            <w:pPr>
              <w:pStyle w:val="ParagraphStyle12"/>
              <w:rPr>
                <w:rStyle w:val="CharacterStyle12"/>
              </w:rPr>
            </w:pPr>
            <w:r>
              <w:rPr>
                <w:rStyle w:val="CharacterStyle12"/>
              </w:rPr>
              <w:t>7.312,50</w:t>
            </w:r>
          </w:p>
        </w:tc>
        <w:tc>
          <w:tcPr>
            <w:tcW w:w="1395" w:type="dxa"/>
            <w:tcBorders>
              <w:bottom w:val="single" w:sz="6" w:space="0" w:color="000000"/>
              <w:right w:val="single" w:sz="6" w:space="0" w:color="000000"/>
            </w:tcBorders>
            <w:vAlign w:val="center"/>
          </w:tcPr>
          <w:p w14:paraId="3CBE2F7F" w14:textId="77777777" w:rsidR="007D706A" w:rsidRDefault="007D706A" w:rsidP="00F70508">
            <w:pPr>
              <w:pStyle w:val="ParagraphStyle12"/>
              <w:rPr>
                <w:rStyle w:val="CharacterStyle12"/>
              </w:rPr>
            </w:pPr>
            <w:r>
              <w:rPr>
                <w:rStyle w:val="CharacterStyle12"/>
              </w:rPr>
              <w:t>7.950,00</w:t>
            </w:r>
          </w:p>
        </w:tc>
        <w:tc>
          <w:tcPr>
            <w:tcW w:w="1395" w:type="dxa"/>
            <w:tcBorders>
              <w:bottom w:val="single" w:sz="6" w:space="0" w:color="000000"/>
              <w:right w:val="single" w:sz="6" w:space="0" w:color="000000"/>
            </w:tcBorders>
            <w:vAlign w:val="center"/>
          </w:tcPr>
          <w:p w14:paraId="6730EAA2" w14:textId="77777777" w:rsidR="007D706A" w:rsidRDefault="007D706A" w:rsidP="00F70508">
            <w:pPr>
              <w:pStyle w:val="ParagraphStyle12"/>
              <w:rPr>
                <w:rStyle w:val="CharacterStyle12"/>
              </w:rPr>
            </w:pPr>
            <w:r>
              <w:rPr>
                <w:rStyle w:val="CharacterStyle12"/>
              </w:rPr>
              <w:t>7.950,00</w:t>
            </w:r>
          </w:p>
        </w:tc>
        <w:tc>
          <w:tcPr>
            <w:tcW w:w="1395" w:type="dxa"/>
            <w:tcBorders>
              <w:bottom w:val="single" w:sz="6" w:space="0" w:color="000000"/>
              <w:right w:val="single" w:sz="6" w:space="0" w:color="000000"/>
            </w:tcBorders>
            <w:vAlign w:val="center"/>
          </w:tcPr>
          <w:p w14:paraId="5AA63E56" w14:textId="77777777" w:rsidR="007D706A" w:rsidRDefault="007D706A" w:rsidP="00F70508">
            <w:pPr>
              <w:pStyle w:val="ParagraphStyle12"/>
              <w:rPr>
                <w:rStyle w:val="CharacterStyle12"/>
              </w:rPr>
            </w:pPr>
            <w:r>
              <w:rPr>
                <w:rStyle w:val="CharacterStyle12"/>
              </w:rPr>
              <w:t>7.950,00</w:t>
            </w:r>
          </w:p>
        </w:tc>
      </w:tr>
      <w:tr w:rsidR="007D706A" w14:paraId="796F1B3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4701880"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0B68CBE2"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4E62476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B5B5F38" w14:textId="77777777" w:rsidR="007D706A" w:rsidRDefault="007D706A" w:rsidP="00F70508">
            <w:pPr>
              <w:pStyle w:val="ParagraphStyle12"/>
              <w:rPr>
                <w:rStyle w:val="CharacterStyle12"/>
              </w:rPr>
            </w:pPr>
            <w:r>
              <w:rPr>
                <w:rStyle w:val="CharacterStyle12"/>
              </w:rPr>
              <w:t>7.312,50</w:t>
            </w:r>
          </w:p>
        </w:tc>
        <w:tc>
          <w:tcPr>
            <w:tcW w:w="1395" w:type="dxa"/>
            <w:tcBorders>
              <w:bottom w:val="single" w:sz="6" w:space="0" w:color="000000"/>
              <w:right w:val="single" w:sz="6" w:space="0" w:color="000000"/>
            </w:tcBorders>
            <w:vAlign w:val="center"/>
          </w:tcPr>
          <w:p w14:paraId="6B609E6A" w14:textId="77777777" w:rsidR="007D706A" w:rsidRDefault="007D706A" w:rsidP="00F70508">
            <w:pPr>
              <w:pStyle w:val="ParagraphStyle12"/>
              <w:rPr>
                <w:rStyle w:val="CharacterStyle12"/>
              </w:rPr>
            </w:pPr>
            <w:r>
              <w:rPr>
                <w:rStyle w:val="CharacterStyle12"/>
              </w:rPr>
              <w:t>7.950,00</w:t>
            </w:r>
          </w:p>
        </w:tc>
        <w:tc>
          <w:tcPr>
            <w:tcW w:w="1395" w:type="dxa"/>
            <w:tcBorders>
              <w:bottom w:val="single" w:sz="6" w:space="0" w:color="000000"/>
              <w:right w:val="single" w:sz="6" w:space="0" w:color="000000"/>
            </w:tcBorders>
            <w:vAlign w:val="center"/>
          </w:tcPr>
          <w:p w14:paraId="74AA35C0" w14:textId="77777777" w:rsidR="007D706A" w:rsidRDefault="007D706A" w:rsidP="00F70508">
            <w:pPr>
              <w:pStyle w:val="ParagraphStyle12"/>
              <w:rPr>
                <w:rStyle w:val="CharacterStyle12"/>
              </w:rPr>
            </w:pPr>
            <w:r>
              <w:rPr>
                <w:rStyle w:val="CharacterStyle12"/>
              </w:rPr>
              <w:t>7.950,00</w:t>
            </w:r>
          </w:p>
        </w:tc>
        <w:tc>
          <w:tcPr>
            <w:tcW w:w="1395" w:type="dxa"/>
            <w:tcBorders>
              <w:bottom w:val="single" w:sz="6" w:space="0" w:color="000000"/>
              <w:right w:val="single" w:sz="6" w:space="0" w:color="000000"/>
            </w:tcBorders>
            <w:vAlign w:val="center"/>
          </w:tcPr>
          <w:p w14:paraId="40DD00A9" w14:textId="77777777" w:rsidR="007D706A" w:rsidRDefault="007D706A" w:rsidP="00F70508">
            <w:pPr>
              <w:pStyle w:val="ParagraphStyle12"/>
              <w:rPr>
                <w:rStyle w:val="CharacterStyle12"/>
              </w:rPr>
            </w:pPr>
            <w:r>
              <w:rPr>
                <w:rStyle w:val="CharacterStyle12"/>
              </w:rPr>
              <w:t>7.950,00</w:t>
            </w:r>
          </w:p>
        </w:tc>
      </w:tr>
      <w:tr w:rsidR="007D706A" w14:paraId="380EE7F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6754782" w14:textId="77777777" w:rsidR="007D706A" w:rsidRDefault="007D706A" w:rsidP="00F70508">
            <w:pPr>
              <w:pStyle w:val="ParagraphStyle4"/>
              <w:rPr>
                <w:rStyle w:val="CharacterStyle4"/>
              </w:rPr>
            </w:pPr>
            <w:r>
              <w:rPr>
                <w:rStyle w:val="CharacterStyle4"/>
              </w:rPr>
              <w:t>Aktivnost A100607</w:t>
            </w:r>
          </w:p>
        </w:tc>
        <w:tc>
          <w:tcPr>
            <w:tcW w:w="4995" w:type="dxa"/>
            <w:tcBorders>
              <w:bottom w:val="single" w:sz="6" w:space="0" w:color="000000"/>
              <w:right w:val="single" w:sz="6" w:space="0" w:color="000000"/>
            </w:tcBorders>
            <w:vAlign w:val="center"/>
          </w:tcPr>
          <w:p w14:paraId="4C451760" w14:textId="77777777" w:rsidR="007D706A" w:rsidRDefault="007D706A" w:rsidP="00F70508">
            <w:pPr>
              <w:pStyle w:val="ParagraphStyle5"/>
              <w:rPr>
                <w:rStyle w:val="CharacterStyle5"/>
              </w:rPr>
            </w:pPr>
            <w:r>
              <w:rPr>
                <w:rStyle w:val="CharacterStyle5"/>
              </w:rPr>
              <w:t>SPASILAČKA SLUŽBA U TURISTIČKOJ SEZONI</w:t>
            </w:r>
          </w:p>
        </w:tc>
        <w:tc>
          <w:tcPr>
            <w:tcW w:w="1395" w:type="dxa"/>
            <w:tcBorders>
              <w:bottom w:val="single" w:sz="6" w:space="0" w:color="000000"/>
              <w:right w:val="single" w:sz="6" w:space="0" w:color="000000"/>
            </w:tcBorders>
            <w:vAlign w:val="center"/>
          </w:tcPr>
          <w:p w14:paraId="119E8CDA"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0A8E4BE8" w14:textId="77777777" w:rsidR="007D706A" w:rsidRDefault="007D706A" w:rsidP="00F70508">
            <w:pPr>
              <w:pStyle w:val="ParagraphStyle6"/>
              <w:rPr>
                <w:rStyle w:val="CharacterStyle6"/>
              </w:rPr>
            </w:pPr>
            <w:r>
              <w:rPr>
                <w:rStyle w:val="CharacterStyle6"/>
              </w:rPr>
              <w:t>26.150,00</w:t>
            </w:r>
          </w:p>
        </w:tc>
        <w:tc>
          <w:tcPr>
            <w:tcW w:w="1395" w:type="dxa"/>
            <w:tcBorders>
              <w:bottom w:val="single" w:sz="6" w:space="0" w:color="000000"/>
              <w:right w:val="single" w:sz="6" w:space="0" w:color="000000"/>
            </w:tcBorders>
            <w:vAlign w:val="center"/>
          </w:tcPr>
          <w:p w14:paraId="1002CC6A" w14:textId="77777777" w:rsidR="007D706A" w:rsidRDefault="007D706A" w:rsidP="00F70508">
            <w:pPr>
              <w:pStyle w:val="ParagraphStyle6"/>
              <w:rPr>
                <w:rStyle w:val="CharacterStyle6"/>
              </w:rPr>
            </w:pPr>
            <w:r>
              <w:rPr>
                <w:rStyle w:val="CharacterStyle6"/>
              </w:rPr>
              <w:t>26.150,00</w:t>
            </w:r>
          </w:p>
        </w:tc>
        <w:tc>
          <w:tcPr>
            <w:tcW w:w="1395" w:type="dxa"/>
            <w:tcBorders>
              <w:bottom w:val="single" w:sz="6" w:space="0" w:color="000000"/>
              <w:right w:val="single" w:sz="6" w:space="0" w:color="000000"/>
            </w:tcBorders>
            <w:vAlign w:val="center"/>
          </w:tcPr>
          <w:p w14:paraId="5668BCC6" w14:textId="77777777" w:rsidR="007D706A" w:rsidRDefault="007D706A" w:rsidP="00F70508">
            <w:pPr>
              <w:pStyle w:val="ParagraphStyle6"/>
              <w:rPr>
                <w:rStyle w:val="CharacterStyle6"/>
              </w:rPr>
            </w:pPr>
            <w:r>
              <w:rPr>
                <w:rStyle w:val="CharacterStyle6"/>
              </w:rPr>
              <w:t>26.150,00</w:t>
            </w:r>
          </w:p>
        </w:tc>
        <w:tc>
          <w:tcPr>
            <w:tcW w:w="1395" w:type="dxa"/>
            <w:tcBorders>
              <w:bottom w:val="single" w:sz="6" w:space="0" w:color="000000"/>
              <w:right w:val="single" w:sz="6" w:space="0" w:color="000000"/>
            </w:tcBorders>
            <w:vAlign w:val="center"/>
          </w:tcPr>
          <w:p w14:paraId="0B1ECF99" w14:textId="77777777" w:rsidR="007D706A" w:rsidRDefault="007D706A" w:rsidP="00F70508">
            <w:pPr>
              <w:pStyle w:val="ParagraphStyle6"/>
              <w:rPr>
                <w:rStyle w:val="CharacterStyle6"/>
              </w:rPr>
            </w:pPr>
            <w:r>
              <w:rPr>
                <w:rStyle w:val="CharacterStyle6"/>
              </w:rPr>
              <w:t>26.150,00</w:t>
            </w:r>
          </w:p>
        </w:tc>
      </w:tr>
      <w:tr w:rsidR="007D706A" w14:paraId="1054E04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EE6B2B9" w14:textId="77777777" w:rsidR="007D706A" w:rsidRDefault="007D706A" w:rsidP="00F70508">
            <w:pPr>
              <w:pStyle w:val="ParagraphStyle7"/>
              <w:rPr>
                <w:rStyle w:val="CharacterStyle7"/>
              </w:rPr>
            </w:pPr>
            <w:r>
              <w:rPr>
                <w:rStyle w:val="CharacterStyle7"/>
              </w:rPr>
              <w:t>Izvor financiranja 52</w:t>
            </w:r>
          </w:p>
        </w:tc>
        <w:tc>
          <w:tcPr>
            <w:tcW w:w="4995" w:type="dxa"/>
            <w:tcBorders>
              <w:bottom w:val="single" w:sz="6" w:space="0" w:color="000000"/>
              <w:right w:val="single" w:sz="6" w:space="0" w:color="000000"/>
            </w:tcBorders>
            <w:vAlign w:val="center"/>
          </w:tcPr>
          <w:p w14:paraId="63632691" w14:textId="77777777" w:rsidR="007D706A" w:rsidRDefault="007D706A" w:rsidP="00F70508">
            <w:pPr>
              <w:pStyle w:val="ParagraphStyle8"/>
              <w:rPr>
                <w:rStyle w:val="CharacterStyle8"/>
              </w:rPr>
            </w:pPr>
            <w:r>
              <w:rPr>
                <w:rStyle w:val="CharacterStyle8"/>
              </w:rPr>
              <w:t>Ostale pomoći</w:t>
            </w:r>
          </w:p>
        </w:tc>
        <w:tc>
          <w:tcPr>
            <w:tcW w:w="1395" w:type="dxa"/>
            <w:tcBorders>
              <w:bottom w:val="single" w:sz="6" w:space="0" w:color="000000"/>
              <w:right w:val="single" w:sz="6" w:space="0" w:color="000000"/>
            </w:tcBorders>
            <w:vAlign w:val="center"/>
          </w:tcPr>
          <w:p w14:paraId="6DCB6DD4"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0414019" w14:textId="77777777" w:rsidR="007D706A" w:rsidRDefault="007D706A" w:rsidP="00F70508">
            <w:pPr>
              <w:pStyle w:val="ParagraphStyle9"/>
              <w:rPr>
                <w:rStyle w:val="CharacterStyle9"/>
              </w:rPr>
            </w:pPr>
            <w:r>
              <w:rPr>
                <w:rStyle w:val="CharacterStyle9"/>
              </w:rPr>
              <w:t>26.150,00</w:t>
            </w:r>
          </w:p>
        </w:tc>
        <w:tc>
          <w:tcPr>
            <w:tcW w:w="1395" w:type="dxa"/>
            <w:tcBorders>
              <w:bottom w:val="single" w:sz="6" w:space="0" w:color="000000"/>
              <w:right w:val="single" w:sz="6" w:space="0" w:color="000000"/>
            </w:tcBorders>
            <w:vAlign w:val="center"/>
          </w:tcPr>
          <w:p w14:paraId="5244D014" w14:textId="77777777" w:rsidR="007D706A" w:rsidRDefault="007D706A" w:rsidP="00F70508">
            <w:pPr>
              <w:pStyle w:val="ParagraphStyle9"/>
              <w:rPr>
                <w:rStyle w:val="CharacterStyle9"/>
              </w:rPr>
            </w:pPr>
            <w:r>
              <w:rPr>
                <w:rStyle w:val="CharacterStyle9"/>
              </w:rPr>
              <w:t>26.150,00</w:t>
            </w:r>
          </w:p>
        </w:tc>
        <w:tc>
          <w:tcPr>
            <w:tcW w:w="1395" w:type="dxa"/>
            <w:tcBorders>
              <w:bottom w:val="single" w:sz="6" w:space="0" w:color="000000"/>
              <w:right w:val="single" w:sz="6" w:space="0" w:color="000000"/>
            </w:tcBorders>
            <w:vAlign w:val="center"/>
          </w:tcPr>
          <w:p w14:paraId="34EF76AB" w14:textId="77777777" w:rsidR="007D706A" w:rsidRDefault="007D706A" w:rsidP="00F70508">
            <w:pPr>
              <w:pStyle w:val="ParagraphStyle9"/>
              <w:rPr>
                <w:rStyle w:val="CharacterStyle9"/>
              </w:rPr>
            </w:pPr>
            <w:r>
              <w:rPr>
                <w:rStyle w:val="CharacterStyle9"/>
              </w:rPr>
              <w:t>26.150,00</w:t>
            </w:r>
          </w:p>
        </w:tc>
        <w:tc>
          <w:tcPr>
            <w:tcW w:w="1395" w:type="dxa"/>
            <w:tcBorders>
              <w:bottom w:val="single" w:sz="6" w:space="0" w:color="000000"/>
              <w:right w:val="single" w:sz="6" w:space="0" w:color="000000"/>
            </w:tcBorders>
            <w:vAlign w:val="center"/>
          </w:tcPr>
          <w:p w14:paraId="61A84B12" w14:textId="77777777" w:rsidR="007D706A" w:rsidRDefault="007D706A" w:rsidP="00F70508">
            <w:pPr>
              <w:pStyle w:val="ParagraphStyle9"/>
              <w:rPr>
                <w:rStyle w:val="CharacterStyle9"/>
              </w:rPr>
            </w:pPr>
            <w:r>
              <w:rPr>
                <w:rStyle w:val="CharacterStyle9"/>
              </w:rPr>
              <w:t>26.150,00</w:t>
            </w:r>
          </w:p>
        </w:tc>
      </w:tr>
      <w:tr w:rsidR="007D706A" w14:paraId="41A9043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32D15D5"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13AB4088"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2BD7651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14D17D8" w14:textId="77777777" w:rsidR="007D706A" w:rsidRDefault="007D706A" w:rsidP="00F70508">
            <w:pPr>
              <w:pStyle w:val="ParagraphStyle12"/>
              <w:rPr>
                <w:rStyle w:val="CharacterStyle12"/>
              </w:rPr>
            </w:pPr>
            <w:r>
              <w:rPr>
                <w:rStyle w:val="CharacterStyle12"/>
              </w:rPr>
              <w:t>26.150,00</w:t>
            </w:r>
          </w:p>
        </w:tc>
        <w:tc>
          <w:tcPr>
            <w:tcW w:w="1395" w:type="dxa"/>
            <w:tcBorders>
              <w:bottom w:val="single" w:sz="6" w:space="0" w:color="000000"/>
              <w:right w:val="single" w:sz="6" w:space="0" w:color="000000"/>
            </w:tcBorders>
            <w:vAlign w:val="center"/>
          </w:tcPr>
          <w:p w14:paraId="059864B5" w14:textId="77777777" w:rsidR="007D706A" w:rsidRDefault="007D706A" w:rsidP="00F70508">
            <w:pPr>
              <w:pStyle w:val="ParagraphStyle12"/>
              <w:rPr>
                <w:rStyle w:val="CharacterStyle12"/>
              </w:rPr>
            </w:pPr>
            <w:r>
              <w:rPr>
                <w:rStyle w:val="CharacterStyle12"/>
              </w:rPr>
              <w:t>26.150,00</w:t>
            </w:r>
          </w:p>
        </w:tc>
        <w:tc>
          <w:tcPr>
            <w:tcW w:w="1395" w:type="dxa"/>
            <w:tcBorders>
              <w:bottom w:val="single" w:sz="6" w:space="0" w:color="000000"/>
              <w:right w:val="single" w:sz="6" w:space="0" w:color="000000"/>
            </w:tcBorders>
            <w:vAlign w:val="center"/>
          </w:tcPr>
          <w:p w14:paraId="425C1FD0" w14:textId="77777777" w:rsidR="007D706A" w:rsidRDefault="007D706A" w:rsidP="00F70508">
            <w:pPr>
              <w:pStyle w:val="ParagraphStyle12"/>
              <w:rPr>
                <w:rStyle w:val="CharacterStyle12"/>
              </w:rPr>
            </w:pPr>
            <w:r>
              <w:rPr>
                <w:rStyle w:val="CharacterStyle12"/>
              </w:rPr>
              <w:t>26.150,00</w:t>
            </w:r>
          </w:p>
        </w:tc>
        <w:tc>
          <w:tcPr>
            <w:tcW w:w="1395" w:type="dxa"/>
            <w:tcBorders>
              <w:bottom w:val="single" w:sz="6" w:space="0" w:color="000000"/>
              <w:right w:val="single" w:sz="6" w:space="0" w:color="000000"/>
            </w:tcBorders>
            <w:vAlign w:val="center"/>
          </w:tcPr>
          <w:p w14:paraId="633D4C67" w14:textId="77777777" w:rsidR="007D706A" w:rsidRDefault="007D706A" w:rsidP="00F70508">
            <w:pPr>
              <w:pStyle w:val="ParagraphStyle12"/>
              <w:rPr>
                <w:rStyle w:val="CharacterStyle12"/>
              </w:rPr>
            </w:pPr>
            <w:r>
              <w:rPr>
                <w:rStyle w:val="CharacterStyle12"/>
              </w:rPr>
              <w:t>26.150,00</w:t>
            </w:r>
          </w:p>
        </w:tc>
      </w:tr>
      <w:tr w:rsidR="007D706A" w14:paraId="3A835D7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C13113E"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52891C8A"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7118A9A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A307AF9" w14:textId="77777777" w:rsidR="007D706A" w:rsidRDefault="007D706A" w:rsidP="00F70508">
            <w:pPr>
              <w:pStyle w:val="ParagraphStyle12"/>
              <w:rPr>
                <w:rStyle w:val="CharacterStyle12"/>
              </w:rPr>
            </w:pPr>
            <w:r>
              <w:rPr>
                <w:rStyle w:val="CharacterStyle12"/>
              </w:rPr>
              <w:t>26.150,00</w:t>
            </w:r>
          </w:p>
        </w:tc>
        <w:tc>
          <w:tcPr>
            <w:tcW w:w="1395" w:type="dxa"/>
            <w:tcBorders>
              <w:bottom w:val="single" w:sz="6" w:space="0" w:color="000000"/>
              <w:right w:val="single" w:sz="6" w:space="0" w:color="000000"/>
            </w:tcBorders>
            <w:vAlign w:val="center"/>
          </w:tcPr>
          <w:p w14:paraId="10EA9B78" w14:textId="77777777" w:rsidR="007D706A" w:rsidRDefault="007D706A" w:rsidP="00F70508">
            <w:pPr>
              <w:pStyle w:val="ParagraphStyle12"/>
              <w:rPr>
                <w:rStyle w:val="CharacterStyle12"/>
              </w:rPr>
            </w:pPr>
            <w:r>
              <w:rPr>
                <w:rStyle w:val="CharacterStyle12"/>
              </w:rPr>
              <w:t>26.150,00</w:t>
            </w:r>
          </w:p>
        </w:tc>
        <w:tc>
          <w:tcPr>
            <w:tcW w:w="1395" w:type="dxa"/>
            <w:tcBorders>
              <w:bottom w:val="single" w:sz="6" w:space="0" w:color="000000"/>
              <w:right w:val="single" w:sz="6" w:space="0" w:color="000000"/>
            </w:tcBorders>
            <w:vAlign w:val="center"/>
          </w:tcPr>
          <w:p w14:paraId="135B0B7C" w14:textId="77777777" w:rsidR="007D706A" w:rsidRDefault="007D706A" w:rsidP="00F70508">
            <w:pPr>
              <w:pStyle w:val="ParagraphStyle12"/>
              <w:rPr>
                <w:rStyle w:val="CharacterStyle12"/>
              </w:rPr>
            </w:pPr>
            <w:r>
              <w:rPr>
                <w:rStyle w:val="CharacterStyle12"/>
              </w:rPr>
              <w:t>26.150,00</w:t>
            </w:r>
          </w:p>
        </w:tc>
        <w:tc>
          <w:tcPr>
            <w:tcW w:w="1395" w:type="dxa"/>
            <w:tcBorders>
              <w:bottom w:val="single" w:sz="6" w:space="0" w:color="000000"/>
              <w:right w:val="single" w:sz="6" w:space="0" w:color="000000"/>
            </w:tcBorders>
            <w:vAlign w:val="center"/>
          </w:tcPr>
          <w:p w14:paraId="26D45310" w14:textId="77777777" w:rsidR="007D706A" w:rsidRDefault="007D706A" w:rsidP="00F70508">
            <w:pPr>
              <w:pStyle w:val="ParagraphStyle12"/>
              <w:rPr>
                <w:rStyle w:val="CharacterStyle12"/>
              </w:rPr>
            </w:pPr>
            <w:r>
              <w:rPr>
                <w:rStyle w:val="CharacterStyle12"/>
              </w:rPr>
              <w:t>26.150,00</w:t>
            </w:r>
          </w:p>
        </w:tc>
      </w:tr>
      <w:tr w:rsidR="007D706A" w14:paraId="4DBD922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CA4563F" w14:textId="77777777" w:rsidR="007D706A" w:rsidRDefault="007D706A" w:rsidP="00F70508">
            <w:pPr>
              <w:pStyle w:val="ParagraphStyle4"/>
              <w:rPr>
                <w:rStyle w:val="CharacterStyle4"/>
              </w:rPr>
            </w:pPr>
            <w:r>
              <w:rPr>
                <w:rStyle w:val="CharacterStyle4"/>
              </w:rPr>
              <w:t>Tekući projekt T100601</w:t>
            </w:r>
          </w:p>
        </w:tc>
        <w:tc>
          <w:tcPr>
            <w:tcW w:w="4995" w:type="dxa"/>
            <w:tcBorders>
              <w:bottom w:val="single" w:sz="6" w:space="0" w:color="000000"/>
              <w:right w:val="single" w:sz="6" w:space="0" w:color="000000"/>
            </w:tcBorders>
            <w:vAlign w:val="center"/>
          </w:tcPr>
          <w:p w14:paraId="278D9072" w14:textId="77777777" w:rsidR="007D706A" w:rsidRDefault="007D706A" w:rsidP="00F70508">
            <w:pPr>
              <w:pStyle w:val="ParagraphStyle5"/>
              <w:rPr>
                <w:rStyle w:val="CharacterStyle5"/>
              </w:rPr>
            </w:pPr>
            <w:r>
              <w:rPr>
                <w:rStyle w:val="CharacterStyle5"/>
              </w:rPr>
              <w:t>SUFINANCIRANJE LOKALNE AKCIJSKE GRUPE JUŽNE ISTRE</w:t>
            </w:r>
          </w:p>
        </w:tc>
        <w:tc>
          <w:tcPr>
            <w:tcW w:w="1395" w:type="dxa"/>
            <w:tcBorders>
              <w:bottom w:val="single" w:sz="6" w:space="0" w:color="000000"/>
              <w:right w:val="single" w:sz="6" w:space="0" w:color="000000"/>
            </w:tcBorders>
            <w:vAlign w:val="center"/>
          </w:tcPr>
          <w:p w14:paraId="7CEB2BEB"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6500D3A6" w14:textId="77777777" w:rsidR="007D706A" w:rsidRDefault="007D706A" w:rsidP="00F70508">
            <w:pPr>
              <w:pStyle w:val="ParagraphStyle6"/>
              <w:rPr>
                <w:rStyle w:val="CharacterStyle6"/>
              </w:rPr>
            </w:pPr>
            <w:r>
              <w:rPr>
                <w:rStyle w:val="CharacterStyle6"/>
              </w:rPr>
              <w:t>2.655,00</w:t>
            </w:r>
          </w:p>
        </w:tc>
        <w:tc>
          <w:tcPr>
            <w:tcW w:w="1395" w:type="dxa"/>
            <w:tcBorders>
              <w:bottom w:val="single" w:sz="6" w:space="0" w:color="000000"/>
              <w:right w:val="single" w:sz="6" w:space="0" w:color="000000"/>
            </w:tcBorders>
            <w:vAlign w:val="center"/>
          </w:tcPr>
          <w:p w14:paraId="6BC47C1E" w14:textId="77777777" w:rsidR="007D706A" w:rsidRDefault="007D706A" w:rsidP="00F70508">
            <w:pPr>
              <w:pStyle w:val="ParagraphStyle6"/>
              <w:rPr>
                <w:rStyle w:val="CharacterStyle6"/>
              </w:rPr>
            </w:pPr>
            <w:r>
              <w:rPr>
                <w:rStyle w:val="CharacterStyle6"/>
              </w:rPr>
              <w:t>2.655,00</w:t>
            </w:r>
          </w:p>
        </w:tc>
        <w:tc>
          <w:tcPr>
            <w:tcW w:w="1395" w:type="dxa"/>
            <w:tcBorders>
              <w:bottom w:val="single" w:sz="6" w:space="0" w:color="000000"/>
              <w:right w:val="single" w:sz="6" w:space="0" w:color="000000"/>
            </w:tcBorders>
            <w:vAlign w:val="center"/>
          </w:tcPr>
          <w:p w14:paraId="6BDA6B8E" w14:textId="77777777" w:rsidR="007D706A" w:rsidRDefault="007D706A" w:rsidP="00F70508">
            <w:pPr>
              <w:pStyle w:val="ParagraphStyle6"/>
              <w:rPr>
                <w:rStyle w:val="CharacterStyle6"/>
              </w:rPr>
            </w:pPr>
            <w:r>
              <w:rPr>
                <w:rStyle w:val="CharacterStyle6"/>
              </w:rPr>
              <w:t>2.655,00</w:t>
            </w:r>
          </w:p>
        </w:tc>
        <w:tc>
          <w:tcPr>
            <w:tcW w:w="1395" w:type="dxa"/>
            <w:tcBorders>
              <w:bottom w:val="single" w:sz="6" w:space="0" w:color="000000"/>
              <w:right w:val="single" w:sz="6" w:space="0" w:color="000000"/>
            </w:tcBorders>
            <w:vAlign w:val="center"/>
          </w:tcPr>
          <w:p w14:paraId="355D0CB7" w14:textId="77777777" w:rsidR="007D706A" w:rsidRDefault="007D706A" w:rsidP="00F70508">
            <w:pPr>
              <w:pStyle w:val="ParagraphStyle6"/>
              <w:rPr>
                <w:rStyle w:val="CharacterStyle6"/>
              </w:rPr>
            </w:pPr>
            <w:r>
              <w:rPr>
                <w:rStyle w:val="CharacterStyle6"/>
              </w:rPr>
              <w:t>2.655,00</w:t>
            </w:r>
          </w:p>
        </w:tc>
      </w:tr>
      <w:tr w:rsidR="007D706A" w14:paraId="580FD276"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C9C1164"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0A5430E1"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5AE3CB7A"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001F9CF" w14:textId="77777777" w:rsidR="007D706A" w:rsidRDefault="007D706A" w:rsidP="00F70508">
            <w:pPr>
              <w:pStyle w:val="ParagraphStyle9"/>
              <w:rPr>
                <w:rStyle w:val="CharacterStyle9"/>
              </w:rPr>
            </w:pPr>
            <w:r>
              <w:rPr>
                <w:rStyle w:val="CharacterStyle9"/>
              </w:rPr>
              <w:t>2.655,00</w:t>
            </w:r>
          </w:p>
        </w:tc>
        <w:tc>
          <w:tcPr>
            <w:tcW w:w="1395" w:type="dxa"/>
            <w:tcBorders>
              <w:bottom w:val="single" w:sz="6" w:space="0" w:color="000000"/>
              <w:right w:val="single" w:sz="6" w:space="0" w:color="000000"/>
            </w:tcBorders>
            <w:vAlign w:val="center"/>
          </w:tcPr>
          <w:p w14:paraId="16D96905" w14:textId="77777777" w:rsidR="007D706A" w:rsidRDefault="007D706A" w:rsidP="00F70508">
            <w:pPr>
              <w:pStyle w:val="ParagraphStyle9"/>
              <w:rPr>
                <w:rStyle w:val="CharacterStyle9"/>
              </w:rPr>
            </w:pPr>
            <w:r>
              <w:rPr>
                <w:rStyle w:val="CharacterStyle9"/>
              </w:rPr>
              <w:t>2.655,00</w:t>
            </w:r>
          </w:p>
        </w:tc>
        <w:tc>
          <w:tcPr>
            <w:tcW w:w="1395" w:type="dxa"/>
            <w:tcBorders>
              <w:bottom w:val="single" w:sz="6" w:space="0" w:color="000000"/>
              <w:right w:val="single" w:sz="6" w:space="0" w:color="000000"/>
            </w:tcBorders>
            <w:vAlign w:val="center"/>
          </w:tcPr>
          <w:p w14:paraId="2D9EB12B" w14:textId="77777777" w:rsidR="007D706A" w:rsidRDefault="007D706A" w:rsidP="00F70508">
            <w:pPr>
              <w:pStyle w:val="ParagraphStyle9"/>
              <w:rPr>
                <w:rStyle w:val="CharacterStyle9"/>
              </w:rPr>
            </w:pPr>
            <w:r>
              <w:rPr>
                <w:rStyle w:val="CharacterStyle9"/>
              </w:rPr>
              <w:t>2.655,00</w:t>
            </w:r>
          </w:p>
        </w:tc>
        <w:tc>
          <w:tcPr>
            <w:tcW w:w="1395" w:type="dxa"/>
            <w:tcBorders>
              <w:bottom w:val="single" w:sz="6" w:space="0" w:color="000000"/>
              <w:right w:val="single" w:sz="6" w:space="0" w:color="000000"/>
            </w:tcBorders>
            <w:vAlign w:val="center"/>
          </w:tcPr>
          <w:p w14:paraId="3BFF9BFB" w14:textId="77777777" w:rsidR="007D706A" w:rsidRDefault="007D706A" w:rsidP="00F70508">
            <w:pPr>
              <w:pStyle w:val="ParagraphStyle9"/>
              <w:rPr>
                <w:rStyle w:val="CharacterStyle9"/>
              </w:rPr>
            </w:pPr>
            <w:r>
              <w:rPr>
                <w:rStyle w:val="CharacterStyle9"/>
              </w:rPr>
              <w:t>2.655,00</w:t>
            </w:r>
          </w:p>
        </w:tc>
      </w:tr>
      <w:tr w:rsidR="007D706A" w14:paraId="28F52E9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209D061"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7D8C1F6E"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039ECB7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DEFEACB" w14:textId="77777777" w:rsidR="007D706A" w:rsidRDefault="007D706A" w:rsidP="00F70508">
            <w:pPr>
              <w:pStyle w:val="ParagraphStyle12"/>
              <w:rPr>
                <w:rStyle w:val="CharacterStyle12"/>
              </w:rPr>
            </w:pPr>
            <w:r>
              <w:rPr>
                <w:rStyle w:val="CharacterStyle12"/>
              </w:rPr>
              <w:t>2.655,00</w:t>
            </w:r>
          </w:p>
        </w:tc>
        <w:tc>
          <w:tcPr>
            <w:tcW w:w="1395" w:type="dxa"/>
            <w:tcBorders>
              <w:bottom w:val="single" w:sz="6" w:space="0" w:color="000000"/>
              <w:right w:val="single" w:sz="6" w:space="0" w:color="000000"/>
            </w:tcBorders>
            <w:vAlign w:val="center"/>
          </w:tcPr>
          <w:p w14:paraId="780F5CC9" w14:textId="77777777" w:rsidR="007D706A" w:rsidRDefault="007D706A" w:rsidP="00F70508">
            <w:pPr>
              <w:pStyle w:val="ParagraphStyle12"/>
              <w:rPr>
                <w:rStyle w:val="CharacterStyle12"/>
              </w:rPr>
            </w:pPr>
            <w:r>
              <w:rPr>
                <w:rStyle w:val="CharacterStyle12"/>
              </w:rPr>
              <w:t>2.655,00</w:t>
            </w:r>
          </w:p>
        </w:tc>
        <w:tc>
          <w:tcPr>
            <w:tcW w:w="1395" w:type="dxa"/>
            <w:tcBorders>
              <w:bottom w:val="single" w:sz="6" w:space="0" w:color="000000"/>
              <w:right w:val="single" w:sz="6" w:space="0" w:color="000000"/>
            </w:tcBorders>
            <w:vAlign w:val="center"/>
          </w:tcPr>
          <w:p w14:paraId="006792B8" w14:textId="77777777" w:rsidR="007D706A" w:rsidRDefault="007D706A" w:rsidP="00F70508">
            <w:pPr>
              <w:pStyle w:val="ParagraphStyle12"/>
              <w:rPr>
                <w:rStyle w:val="CharacterStyle12"/>
              </w:rPr>
            </w:pPr>
            <w:r>
              <w:rPr>
                <w:rStyle w:val="CharacterStyle12"/>
              </w:rPr>
              <w:t>2.655,00</w:t>
            </w:r>
          </w:p>
        </w:tc>
        <w:tc>
          <w:tcPr>
            <w:tcW w:w="1395" w:type="dxa"/>
            <w:tcBorders>
              <w:bottom w:val="single" w:sz="6" w:space="0" w:color="000000"/>
              <w:right w:val="single" w:sz="6" w:space="0" w:color="000000"/>
            </w:tcBorders>
            <w:vAlign w:val="center"/>
          </w:tcPr>
          <w:p w14:paraId="20744E86" w14:textId="77777777" w:rsidR="007D706A" w:rsidRDefault="007D706A" w:rsidP="00F70508">
            <w:pPr>
              <w:pStyle w:val="ParagraphStyle12"/>
              <w:rPr>
                <w:rStyle w:val="CharacterStyle12"/>
              </w:rPr>
            </w:pPr>
            <w:r>
              <w:rPr>
                <w:rStyle w:val="CharacterStyle12"/>
              </w:rPr>
              <w:t>2.655,00</w:t>
            </w:r>
          </w:p>
        </w:tc>
      </w:tr>
      <w:tr w:rsidR="007D706A" w14:paraId="670D2C6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1084844"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15C93F82"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649619C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D686A18" w14:textId="77777777" w:rsidR="007D706A" w:rsidRDefault="007D706A" w:rsidP="00F70508">
            <w:pPr>
              <w:pStyle w:val="ParagraphStyle12"/>
              <w:rPr>
                <w:rStyle w:val="CharacterStyle12"/>
              </w:rPr>
            </w:pPr>
            <w:r>
              <w:rPr>
                <w:rStyle w:val="CharacterStyle12"/>
              </w:rPr>
              <w:t>2.655,00</w:t>
            </w:r>
          </w:p>
        </w:tc>
        <w:tc>
          <w:tcPr>
            <w:tcW w:w="1395" w:type="dxa"/>
            <w:tcBorders>
              <w:bottom w:val="single" w:sz="6" w:space="0" w:color="000000"/>
              <w:right w:val="single" w:sz="6" w:space="0" w:color="000000"/>
            </w:tcBorders>
            <w:vAlign w:val="center"/>
          </w:tcPr>
          <w:p w14:paraId="59BB0364" w14:textId="77777777" w:rsidR="007D706A" w:rsidRDefault="007D706A" w:rsidP="00F70508">
            <w:pPr>
              <w:pStyle w:val="ParagraphStyle12"/>
              <w:rPr>
                <w:rStyle w:val="CharacterStyle12"/>
              </w:rPr>
            </w:pPr>
            <w:r>
              <w:rPr>
                <w:rStyle w:val="CharacterStyle12"/>
              </w:rPr>
              <w:t>2.655,00</w:t>
            </w:r>
          </w:p>
        </w:tc>
        <w:tc>
          <w:tcPr>
            <w:tcW w:w="1395" w:type="dxa"/>
            <w:tcBorders>
              <w:bottom w:val="single" w:sz="6" w:space="0" w:color="000000"/>
              <w:right w:val="single" w:sz="6" w:space="0" w:color="000000"/>
            </w:tcBorders>
            <w:vAlign w:val="center"/>
          </w:tcPr>
          <w:p w14:paraId="767E0A16" w14:textId="77777777" w:rsidR="007D706A" w:rsidRDefault="007D706A" w:rsidP="00F70508">
            <w:pPr>
              <w:pStyle w:val="ParagraphStyle12"/>
              <w:rPr>
                <w:rStyle w:val="CharacterStyle12"/>
              </w:rPr>
            </w:pPr>
            <w:r>
              <w:rPr>
                <w:rStyle w:val="CharacterStyle12"/>
              </w:rPr>
              <w:t>2.655,00</w:t>
            </w:r>
          </w:p>
        </w:tc>
        <w:tc>
          <w:tcPr>
            <w:tcW w:w="1395" w:type="dxa"/>
            <w:tcBorders>
              <w:bottom w:val="single" w:sz="6" w:space="0" w:color="000000"/>
              <w:right w:val="single" w:sz="6" w:space="0" w:color="000000"/>
            </w:tcBorders>
            <w:vAlign w:val="center"/>
          </w:tcPr>
          <w:p w14:paraId="5C55EA5F" w14:textId="77777777" w:rsidR="007D706A" w:rsidRDefault="007D706A" w:rsidP="00F70508">
            <w:pPr>
              <w:pStyle w:val="ParagraphStyle12"/>
              <w:rPr>
                <w:rStyle w:val="CharacterStyle12"/>
              </w:rPr>
            </w:pPr>
            <w:r>
              <w:rPr>
                <w:rStyle w:val="CharacterStyle12"/>
              </w:rPr>
              <w:t>2.655,00</w:t>
            </w:r>
          </w:p>
        </w:tc>
      </w:tr>
      <w:tr w:rsidR="007D706A" w14:paraId="70C3F0C0" w14:textId="77777777" w:rsidTr="00F70508">
        <w:trPr>
          <w:trHeight w:val="405"/>
        </w:trPr>
        <w:tc>
          <w:tcPr>
            <w:tcW w:w="2880" w:type="dxa"/>
            <w:tcBorders>
              <w:left w:val="single" w:sz="6" w:space="0" w:color="000000"/>
              <w:bottom w:val="single" w:sz="6" w:space="0" w:color="000000"/>
              <w:right w:val="single" w:sz="6" w:space="0" w:color="000000"/>
            </w:tcBorders>
            <w:vAlign w:val="center"/>
          </w:tcPr>
          <w:p w14:paraId="7F6E63B4" w14:textId="77777777" w:rsidR="007D706A" w:rsidRDefault="007D706A" w:rsidP="00F70508">
            <w:pPr>
              <w:pStyle w:val="ParagraphStyle4"/>
              <w:rPr>
                <w:rStyle w:val="CharacterStyle4"/>
              </w:rPr>
            </w:pPr>
            <w:r>
              <w:rPr>
                <w:rStyle w:val="CharacterStyle4"/>
              </w:rPr>
              <w:t>Tekući projekt T100602</w:t>
            </w:r>
          </w:p>
        </w:tc>
        <w:tc>
          <w:tcPr>
            <w:tcW w:w="4995" w:type="dxa"/>
            <w:tcBorders>
              <w:bottom w:val="single" w:sz="6" w:space="0" w:color="000000"/>
              <w:right w:val="single" w:sz="6" w:space="0" w:color="000000"/>
            </w:tcBorders>
            <w:vAlign w:val="center"/>
          </w:tcPr>
          <w:p w14:paraId="48F3F83C" w14:textId="77777777" w:rsidR="007D706A" w:rsidRDefault="007D706A" w:rsidP="00F70508">
            <w:pPr>
              <w:pStyle w:val="ParagraphStyle5"/>
              <w:rPr>
                <w:rStyle w:val="CharacterStyle5"/>
              </w:rPr>
            </w:pPr>
            <w:r>
              <w:rPr>
                <w:rStyle w:val="CharacterStyle5"/>
              </w:rPr>
              <w:t>SUFINANCIRANJE LOKALNE AKCIJSKE GRUPE U RIBARSTVU ( LAGUR ) ISTARSKA BATANA</w:t>
            </w:r>
          </w:p>
        </w:tc>
        <w:tc>
          <w:tcPr>
            <w:tcW w:w="1395" w:type="dxa"/>
            <w:tcBorders>
              <w:bottom w:val="single" w:sz="6" w:space="0" w:color="000000"/>
              <w:right w:val="single" w:sz="6" w:space="0" w:color="000000"/>
            </w:tcBorders>
            <w:vAlign w:val="center"/>
          </w:tcPr>
          <w:p w14:paraId="5286FBC6"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1F75BCF0" w14:textId="77777777" w:rsidR="007D706A" w:rsidRDefault="007D706A" w:rsidP="00F70508">
            <w:pPr>
              <w:pStyle w:val="ParagraphStyle6"/>
              <w:rPr>
                <w:rStyle w:val="CharacterStyle6"/>
              </w:rPr>
            </w:pPr>
            <w:r>
              <w:rPr>
                <w:rStyle w:val="CharacterStyle6"/>
              </w:rPr>
              <w:t>6.700,00</w:t>
            </w:r>
          </w:p>
        </w:tc>
        <w:tc>
          <w:tcPr>
            <w:tcW w:w="1395" w:type="dxa"/>
            <w:tcBorders>
              <w:bottom w:val="single" w:sz="6" w:space="0" w:color="000000"/>
              <w:right w:val="single" w:sz="6" w:space="0" w:color="000000"/>
            </w:tcBorders>
            <w:vAlign w:val="center"/>
          </w:tcPr>
          <w:p w14:paraId="02DE0D25" w14:textId="77777777" w:rsidR="007D706A" w:rsidRDefault="007D706A" w:rsidP="00F70508">
            <w:pPr>
              <w:pStyle w:val="ParagraphStyle6"/>
              <w:rPr>
                <w:rStyle w:val="CharacterStyle6"/>
              </w:rPr>
            </w:pPr>
            <w:r>
              <w:rPr>
                <w:rStyle w:val="CharacterStyle6"/>
              </w:rPr>
              <w:t>6.700,00</w:t>
            </w:r>
          </w:p>
        </w:tc>
        <w:tc>
          <w:tcPr>
            <w:tcW w:w="1395" w:type="dxa"/>
            <w:tcBorders>
              <w:bottom w:val="single" w:sz="6" w:space="0" w:color="000000"/>
              <w:right w:val="single" w:sz="6" w:space="0" w:color="000000"/>
            </w:tcBorders>
            <w:vAlign w:val="center"/>
          </w:tcPr>
          <w:p w14:paraId="1BAB02A2" w14:textId="77777777" w:rsidR="007D706A" w:rsidRDefault="007D706A" w:rsidP="00F70508">
            <w:pPr>
              <w:pStyle w:val="ParagraphStyle6"/>
              <w:rPr>
                <w:rStyle w:val="CharacterStyle6"/>
              </w:rPr>
            </w:pPr>
            <w:r>
              <w:rPr>
                <w:rStyle w:val="CharacterStyle6"/>
              </w:rPr>
              <w:t>6.700,00</w:t>
            </w:r>
          </w:p>
        </w:tc>
        <w:tc>
          <w:tcPr>
            <w:tcW w:w="1395" w:type="dxa"/>
            <w:tcBorders>
              <w:bottom w:val="single" w:sz="6" w:space="0" w:color="000000"/>
              <w:right w:val="single" w:sz="6" w:space="0" w:color="000000"/>
            </w:tcBorders>
            <w:vAlign w:val="center"/>
          </w:tcPr>
          <w:p w14:paraId="0A90D18E" w14:textId="77777777" w:rsidR="007D706A" w:rsidRDefault="007D706A" w:rsidP="00F70508">
            <w:pPr>
              <w:pStyle w:val="ParagraphStyle6"/>
              <w:rPr>
                <w:rStyle w:val="CharacterStyle6"/>
              </w:rPr>
            </w:pPr>
            <w:r>
              <w:rPr>
                <w:rStyle w:val="CharacterStyle6"/>
              </w:rPr>
              <w:t>6.700,00</w:t>
            </w:r>
          </w:p>
        </w:tc>
      </w:tr>
      <w:tr w:rsidR="007D706A" w14:paraId="5020861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7F7F07C"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6DD18CE7"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1B175B2D"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A119E7E" w14:textId="77777777" w:rsidR="007D706A" w:rsidRDefault="007D706A" w:rsidP="00F70508">
            <w:pPr>
              <w:pStyle w:val="ParagraphStyle9"/>
              <w:rPr>
                <w:rStyle w:val="CharacterStyle9"/>
              </w:rPr>
            </w:pPr>
            <w:r>
              <w:rPr>
                <w:rStyle w:val="CharacterStyle9"/>
              </w:rPr>
              <w:t>6.700,00</w:t>
            </w:r>
          </w:p>
        </w:tc>
        <w:tc>
          <w:tcPr>
            <w:tcW w:w="1395" w:type="dxa"/>
            <w:tcBorders>
              <w:bottom w:val="single" w:sz="6" w:space="0" w:color="000000"/>
              <w:right w:val="single" w:sz="6" w:space="0" w:color="000000"/>
            </w:tcBorders>
            <w:vAlign w:val="center"/>
          </w:tcPr>
          <w:p w14:paraId="40FA3D1D" w14:textId="77777777" w:rsidR="007D706A" w:rsidRDefault="007D706A" w:rsidP="00F70508">
            <w:pPr>
              <w:pStyle w:val="ParagraphStyle9"/>
              <w:rPr>
                <w:rStyle w:val="CharacterStyle9"/>
              </w:rPr>
            </w:pPr>
            <w:r>
              <w:rPr>
                <w:rStyle w:val="CharacterStyle9"/>
              </w:rPr>
              <w:t>6.700,00</w:t>
            </w:r>
          </w:p>
        </w:tc>
        <w:tc>
          <w:tcPr>
            <w:tcW w:w="1395" w:type="dxa"/>
            <w:tcBorders>
              <w:bottom w:val="single" w:sz="6" w:space="0" w:color="000000"/>
              <w:right w:val="single" w:sz="6" w:space="0" w:color="000000"/>
            </w:tcBorders>
            <w:vAlign w:val="center"/>
          </w:tcPr>
          <w:p w14:paraId="5B07463E" w14:textId="77777777" w:rsidR="007D706A" w:rsidRDefault="007D706A" w:rsidP="00F70508">
            <w:pPr>
              <w:pStyle w:val="ParagraphStyle9"/>
              <w:rPr>
                <w:rStyle w:val="CharacterStyle9"/>
              </w:rPr>
            </w:pPr>
            <w:r>
              <w:rPr>
                <w:rStyle w:val="CharacterStyle9"/>
              </w:rPr>
              <w:t>6.700,00</w:t>
            </w:r>
          </w:p>
        </w:tc>
        <w:tc>
          <w:tcPr>
            <w:tcW w:w="1395" w:type="dxa"/>
            <w:tcBorders>
              <w:bottom w:val="single" w:sz="6" w:space="0" w:color="000000"/>
              <w:right w:val="single" w:sz="6" w:space="0" w:color="000000"/>
            </w:tcBorders>
            <w:vAlign w:val="center"/>
          </w:tcPr>
          <w:p w14:paraId="411EA804" w14:textId="77777777" w:rsidR="007D706A" w:rsidRDefault="007D706A" w:rsidP="00F70508">
            <w:pPr>
              <w:pStyle w:val="ParagraphStyle9"/>
              <w:rPr>
                <w:rStyle w:val="CharacterStyle9"/>
              </w:rPr>
            </w:pPr>
            <w:r>
              <w:rPr>
                <w:rStyle w:val="CharacterStyle9"/>
              </w:rPr>
              <w:t>6.700,00</w:t>
            </w:r>
          </w:p>
        </w:tc>
      </w:tr>
      <w:tr w:rsidR="007D706A" w14:paraId="3D638D3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AC4AB4C"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35EC4A04"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44E0594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DCD4910" w14:textId="77777777" w:rsidR="007D706A" w:rsidRDefault="007D706A" w:rsidP="00F70508">
            <w:pPr>
              <w:pStyle w:val="ParagraphStyle12"/>
              <w:rPr>
                <w:rStyle w:val="CharacterStyle12"/>
              </w:rPr>
            </w:pPr>
            <w:r>
              <w:rPr>
                <w:rStyle w:val="CharacterStyle12"/>
              </w:rPr>
              <w:t>6.700,00</w:t>
            </w:r>
          </w:p>
        </w:tc>
        <w:tc>
          <w:tcPr>
            <w:tcW w:w="1395" w:type="dxa"/>
            <w:tcBorders>
              <w:bottom w:val="single" w:sz="6" w:space="0" w:color="000000"/>
              <w:right w:val="single" w:sz="6" w:space="0" w:color="000000"/>
            </w:tcBorders>
            <w:vAlign w:val="center"/>
          </w:tcPr>
          <w:p w14:paraId="7778CFF6" w14:textId="77777777" w:rsidR="007D706A" w:rsidRDefault="007D706A" w:rsidP="00F70508">
            <w:pPr>
              <w:pStyle w:val="ParagraphStyle12"/>
              <w:rPr>
                <w:rStyle w:val="CharacterStyle12"/>
              </w:rPr>
            </w:pPr>
            <w:r>
              <w:rPr>
                <w:rStyle w:val="CharacterStyle12"/>
              </w:rPr>
              <w:t>6.700,00</w:t>
            </w:r>
          </w:p>
        </w:tc>
        <w:tc>
          <w:tcPr>
            <w:tcW w:w="1395" w:type="dxa"/>
            <w:tcBorders>
              <w:bottom w:val="single" w:sz="6" w:space="0" w:color="000000"/>
              <w:right w:val="single" w:sz="6" w:space="0" w:color="000000"/>
            </w:tcBorders>
            <w:vAlign w:val="center"/>
          </w:tcPr>
          <w:p w14:paraId="70CF18F5" w14:textId="77777777" w:rsidR="007D706A" w:rsidRDefault="007D706A" w:rsidP="00F70508">
            <w:pPr>
              <w:pStyle w:val="ParagraphStyle12"/>
              <w:rPr>
                <w:rStyle w:val="CharacterStyle12"/>
              </w:rPr>
            </w:pPr>
            <w:r>
              <w:rPr>
                <w:rStyle w:val="CharacterStyle12"/>
              </w:rPr>
              <w:t>6.700,00</w:t>
            </w:r>
          </w:p>
        </w:tc>
        <w:tc>
          <w:tcPr>
            <w:tcW w:w="1395" w:type="dxa"/>
            <w:tcBorders>
              <w:bottom w:val="single" w:sz="6" w:space="0" w:color="000000"/>
              <w:right w:val="single" w:sz="6" w:space="0" w:color="000000"/>
            </w:tcBorders>
            <w:vAlign w:val="center"/>
          </w:tcPr>
          <w:p w14:paraId="53FD744D" w14:textId="77777777" w:rsidR="007D706A" w:rsidRDefault="007D706A" w:rsidP="00F70508">
            <w:pPr>
              <w:pStyle w:val="ParagraphStyle12"/>
              <w:rPr>
                <w:rStyle w:val="CharacterStyle12"/>
              </w:rPr>
            </w:pPr>
            <w:r>
              <w:rPr>
                <w:rStyle w:val="CharacterStyle12"/>
              </w:rPr>
              <w:t>6.700,00</w:t>
            </w:r>
          </w:p>
        </w:tc>
      </w:tr>
      <w:tr w:rsidR="007D706A" w14:paraId="45AB4FA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F2CFEED"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6C3C8750"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691FF14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9777215" w14:textId="77777777" w:rsidR="007D706A" w:rsidRDefault="007D706A" w:rsidP="00F70508">
            <w:pPr>
              <w:pStyle w:val="ParagraphStyle12"/>
              <w:rPr>
                <w:rStyle w:val="CharacterStyle12"/>
              </w:rPr>
            </w:pPr>
            <w:r>
              <w:rPr>
                <w:rStyle w:val="CharacterStyle12"/>
              </w:rPr>
              <w:t>6.700,00</w:t>
            </w:r>
          </w:p>
        </w:tc>
        <w:tc>
          <w:tcPr>
            <w:tcW w:w="1395" w:type="dxa"/>
            <w:tcBorders>
              <w:bottom w:val="single" w:sz="6" w:space="0" w:color="000000"/>
              <w:right w:val="single" w:sz="6" w:space="0" w:color="000000"/>
            </w:tcBorders>
            <w:vAlign w:val="center"/>
          </w:tcPr>
          <w:p w14:paraId="466041D5" w14:textId="77777777" w:rsidR="007D706A" w:rsidRDefault="007D706A" w:rsidP="00F70508">
            <w:pPr>
              <w:pStyle w:val="ParagraphStyle12"/>
              <w:rPr>
                <w:rStyle w:val="CharacterStyle12"/>
              </w:rPr>
            </w:pPr>
            <w:r>
              <w:rPr>
                <w:rStyle w:val="CharacterStyle12"/>
              </w:rPr>
              <w:t>6.700,00</w:t>
            </w:r>
          </w:p>
        </w:tc>
        <w:tc>
          <w:tcPr>
            <w:tcW w:w="1395" w:type="dxa"/>
            <w:tcBorders>
              <w:bottom w:val="single" w:sz="6" w:space="0" w:color="000000"/>
              <w:right w:val="single" w:sz="6" w:space="0" w:color="000000"/>
            </w:tcBorders>
            <w:vAlign w:val="center"/>
          </w:tcPr>
          <w:p w14:paraId="75CA56AD" w14:textId="77777777" w:rsidR="007D706A" w:rsidRDefault="007D706A" w:rsidP="00F70508">
            <w:pPr>
              <w:pStyle w:val="ParagraphStyle12"/>
              <w:rPr>
                <w:rStyle w:val="CharacterStyle12"/>
              </w:rPr>
            </w:pPr>
            <w:r>
              <w:rPr>
                <w:rStyle w:val="CharacterStyle12"/>
              </w:rPr>
              <w:t>6.700,00</w:t>
            </w:r>
          </w:p>
        </w:tc>
        <w:tc>
          <w:tcPr>
            <w:tcW w:w="1395" w:type="dxa"/>
            <w:tcBorders>
              <w:bottom w:val="single" w:sz="6" w:space="0" w:color="000000"/>
              <w:right w:val="single" w:sz="6" w:space="0" w:color="000000"/>
            </w:tcBorders>
            <w:vAlign w:val="center"/>
          </w:tcPr>
          <w:p w14:paraId="6E6C23EE" w14:textId="77777777" w:rsidR="007D706A" w:rsidRDefault="007D706A" w:rsidP="00F70508">
            <w:pPr>
              <w:pStyle w:val="ParagraphStyle12"/>
              <w:rPr>
                <w:rStyle w:val="CharacterStyle12"/>
              </w:rPr>
            </w:pPr>
            <w:r>
              <w:rPr>
                <w:rStyle w:val="CharacterStyle12"/>
              </w:rPr>
              <w:t>6.700,00</w:t>
            </w:r>
          </w:p>
        </w:tc>
      </w:tr>
      <w:tr w:rsidR="007D706A" w14:paraId="57529D86"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81CA78B" w14:textId="77777777" w:rsidR="007D706A" w:rsidRDefault="007D706A" w:rsidP="00F70508">
            <w:pPr>
              <w:pStyle w:val="ParagraphStyle4"/>
              <w:rPr>
                <w:rStyle w:val="CharacterStyle4"/>
              </w:rPr>
            </w:pPr>
            <w:r>
              <w:rPr>
                <w:rStyle w:val="CharacterStyle4"/>
              </w:rPr>
              <w:t>PROGRAM    1008</w:t>
            </w:r>
          </w:p>
        </w:tc>
        <w:tc>
          <w:tcPr>
            <w:tcW w:w="4995" w:type="dxa"/>
            <w:tcBorders>
              <w:bottom w:val="single" w:sz="6" w:space="0" w:color="000000"/>
              <w:right w:val="single" w:sz="6" w:space="0" w:color="000000"/>
            </w:tcBorders>
            <w:vAlign w:val="center"/>
          </w:tcPr>
          <w:p w14:paraId="5E545776" w14:textId="77777777" w:rsidR="007D706A" w:rsidRDefault="007D706A" w:rsidP="00F70508">
            <w:pPr>
              <w:pStyle w:val="ParagraphStyle5"/>
              <w:rPr>
                <w:rStyle w:val="CharacterStyle5"/>
              </w:rPr>
            </w:pPr>
            <w:r>
              <w:rPr>
                <w:rStyle w:val="CharacterStyle5"/>
              </w:rPr>
              <w:t>POTICANJE RAZVOJA POLJOPRIVREDE</w:t>
            </w:r>
          </w:p>
        </w:tc>
        <w:tc>
          <w:tcPr>
            <w:tcW w:w="1395" w:type="dxa"/>
            <w:tcBorders>
              <w:bottom w:val="single" w:sz="6" w:space="0" w:color="000000"/>
              <w:right w:val="single" w:sz="6" w:space="0" w:color="000000"/>
            </w:tcBorders>
            <w:vAlign w:val="center"/>
          </w:tcPr>
          <w:p w14:paraId="64AC2D25"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3C4CD822" w14:textId="77777777" w:rsidR="007D706A" w:rsidRDefault="007D706A" w:rsidP="00F70508">
            <w:pPr>
              <w:pStyle w:val="ParagraphStyle6"/>
              <w:rPr>
                <w:rStyle w:val="CharacterStyle6"/>
              </w:rPr>
            </w:pPr>
            <w:r>
              <w:rPr>
                <w:rStyle w:val="CharacterStyle6"/>
              </w:rPr>
              <w:t>51.180,00</w:t>
            </w:r>
          </w:p>
        </w:tc>
        <w:tc>
          <w:tcPr>
            <w:tcW w:w="1395" w:type="dxa"/>
            <w:tcBorders>
              <w:bottom w:val="single" w:sz="6" w:space="0" w:color="000000"/>
              <w:right w:val="single" w:sz="6" w:space="0" w:color="000000"/>
            </w:tcBorders>
            <w:vAlign w:val="center"/>
          </w:tcPr>
          <w:p w14:paraId="6B0C5535" w14:textId="77777777" w:rsidR="007D706A" w:rsidRDefault="007D706A" w:rsidP="00F70508">
            <w:pPr>
              <w:pStyle w:val="ParagraphStyle6"/>
              <w:rPr>
                <w:rStyle w:val="CharacterStyle6"/>
              </w:rPr>
            </w:pPr>
            <w:r>
              <w:rPr>
                <w:rStyle w:val="CharacterStyle6"/>
              </w:rPr>
              <w:t>58.180,00</w:t>
            </w:r>
          </w:p>
        </w:tc>
        <w:tc>
          <w:tcPr>
            <w:tcW w:w="1395" w:type="dxa"/>
            <w:tcBorders>
              <w:bottom w:val="single" w:sz="6" w:space="0" w:color="000000"/>
              <w:right w:val="single" w:sz="6" w:space="0" w:color="000000"/>
            </w:tcBorders>
            <w:vAlign w:val="center"/>
          </w:tcPr>
          <w:p w14:paraId="532DCFAF" w14:textId="77777777" w:rsidR="007D706A" w:rsidRDefault="007D706A" w:rsidP="00F70508">
            <w:pPr>
              <w:pStyle w:val="ParagraphStyle6"/>
              <w:rPr>
                <w:rStyle w:val="CharacterStyle6"/>
              </w:rPr>
            </w:pPr>
            <w:r>
              <w:rPr>
                <w:rStyle w:val="CharacterStyle6"/>
              </w:rPr>
              <w:t>58.180,00</w:t>
            </w:r>
          </w:p>
        </w:tc>
        <w:tc>
          <w:tcPr>
            <w:tcW w:w="1395" w:type="dxa"/>
            <w:tcBorders>
              <w:bottom w:val="single" w:sz="6" w:space="0" w:color="000000"/>
              <w:right w:val="single" w:sz="6" w:space="0" w:color="000000"/>
            </w:tcBorders>
            <w:vAlign w:val="center"/>
          </w:tcPr>
          <w:p w14:paraId="1F85491D" w14:textId="77777777" w:rsidR="007D706A" w:rsidRDefault="007D706A" w:rsidP="00F70508">
            <w:pPr>
              <w:pStyle w:val="ParagraphStyle6"/>
              <w:rPr>
                <w:rStyle w:val="CharacterStyle6"/>
              </w:rPr>
            </w:pPr>
            <w:r>
              <w:rPr>
                <w:rStyle w:val="CharacterStyle6"/>
              </w:rPr>
              <w:t>58.180,00</w:t>
            </w:r>
          </w:p>
        </w:tc>
      </w:tr>
      <w:tr w:rsidR="007D706A" w14:paraId="2EF7678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771FC2B" w14:textId="77777777" w:rsidR="007D706A" w:rsidRDefault="007D706A" w:rsidP="00F70508">
            <w:pPr>
              <w:pStyle w:val="ParagraphStyle4"/>
              <w:rPr>
                <w:rStyle w:val="CharacterStyle4"/>
              </w:rPr>
            </w:pPr>
            <w:r>
              <w:rPr>
                <w:rStyle w:val="CharacterStyle4"/>
              </w:rPr>
              <w:t>Aktivnost A100802</w:t>
            </w:r>
          </w:p>
        </w:tc>
        <w:tc>
          <w:tcPr>
            <w:tcW w:w="4995" w:type="dxa"/>
            <w:tcBorders>
              <w:bottom w:val="single" w:sz="6" w:space="0" w:color="000000"/>
              <w:right w:val="single" w:sz="6" w:space="0" w:color="000000"/>
            </w:tcBorders>
            <w:vAlign w:val="center"/>
          </w:tcPr>
          <w:p w14:paraId="0AE3B2F9" w14:textId="77777777" w:rsidR="007D706A" w:rsidRDefault="007D706A" w:rsidP="00F70508">
            <w:pPr>
              <w:pStyle w:val="ParagraphStyle5"/>
              <w:rPr>
                <w:rStyle w:val="CharacterStyle5"/>
              </w:rPr>
            </w:pPr>
            <w:r>
              <w:rPr>
                <w:rStyle w:val="CharacterStyle5"/>
              </w:rPr>
              <w:t>PROGRAMI UDRUGA U AGRARU</w:t>
            </w:r>
          </w:p>
        </w:tc>
        <w:tc>
          <w:tcPr>
            <w:tcW w:w="1395" w:type="dxa"/>
            <w:tcBorders>
              <w:bottom w:val="single" w:sz="6" w:space="0" w:color="000000"/>
              <w:right w:val="single" w:sz="6" w:space="0" w:color="000000"/>
            </w:tcBorders>
            <w:vAlign w:val="center"/>
          </w:tcPr>
          <w:p w14:paraId="5C55BA85"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5FE165C5" w14:textId="77777777" w:rsidR="007D706A" w:rsidRDefault="007D706A" w:rsidP="00F70508">
            <w:pPr>
              <w:pStyle w:val="ParagraphStyle6"/>
              <w:rPr>
                <w:rStyle w:val="CharacterStyle6"/>
              </w:rPr>
            </w:pPr>
            <w:r>
              <w:rPr>
                <w:rStyle w:val="CharacterStyle6"/>
              </w:rPr>
              <w:t>21.000,00</w:t>
            </w:r>
          </w:p>
        </w:tc>
        <w:tc>
          <w:tcPr>
            <w:tcW w:w="1395" w:type="dxa"/>
            <w:tcBorders>
              <w:bottom w:val="single" w:sz="6" w:space="0" w:color="000000"/>
              <w:right w:val="single" w:sz="6" w:space="0" w:color="000000"/>
            </w:tcBorders>
            <w:vAlign w:val="center"/>
          </w:tcPr>
          <w:p w14:paraId="650A0E28" w14:textId="77777777" w:rsidR="007D706A" w:rsidRDefault="007D706A" w:rsidP="00F70508">
            <w:pPr>
              <w:pStyle w:val="ParagraphStyle6"/>
              <w:rPr>
                <w:rStyle w:val="CharacterStyle6"/>
              </w:rPr>
            </w:pPr>
            <w:r>
              <w:rPr>
                <w:rStyle w:val="CharacterStyle6"/>
              </w:rPr>
              <w:t>25.000,00</w:t>
            </w:r>
          </w:p>
        </w:tc>
        <w:tc>
          <w:tcPr>
            <w:tcW w:w="1395" w:type="dxa"/>
            <w:tcBorders>
              <w:bottom w:val="single" w:sz="6" w:space="0" w:color="000000"/>
              <w:right w:val="single" w:sz="6" w:space="0" w:color="000000"/>
            </w:tcBorders>
            <w:vAlign w:val="center"/>
          </w:tcPr>
          <w:p w14:paraId="4DCDFB55" w14:textId="77777777" w:rsidR="007D706A" w:rsidRDefault="007D706A" w:rsidP="00F70508">
            <w:pPr>
              <w:pStyle w:val="ParagraphStyle6"/>
              <w:rPr>
                <w:rStyle w:val="CharacterStyle6"/>
              </w:rPr>
            </w:pPr>
            <w:r>
              <w:rPr>
                <w:rStyle w:val="CharacterStyle6"/>
              </w:rPr>
              <w:t>25.000,00</w:t>
            </w:r>
          </w:p>
        </w:tc>
        <w:tc>
          <w:tcPr>
            <w:tcW w:w="1395" w:type="dxa"/>
            <w:tcBorders>
              <w:bottom w:val="single" w:sz="6" w:space="0" w:color="000000"/>
              <w:right w:val="single" w:sz="6" w:space="0" w:color="000000"/>
            </w:tcBorders>
            <w:vAlign w:val="center"/>
          </w:tcPr>
          <w:p w14:paraId="722FCDCF" w14:textId="77777777" w:rsidR="007D706A" w:rsidRDefault="007D706A" w:rsidP="00F70508">
            <w:pPr>
              <w:pStyle w:val="ParagraphStyle6"/>
              <w:rPr>
                <w:rStyle w:val="CharacterStyle6"/>
              </w:rPr>
            </w:pPr>
            <w:r>
              <w:rPr>
                <w:rStyle w:val="CharacterStyle6"/>
              </w:rPr>
              <w:t>25.000,00</w:t>
            </w:r>
          </w:p>
        </w:tc>
      </w:tr>
      <w:tr w:rsidR="007D706A" w14:paraId="449E7C7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44C4EAF" w14:textId="77777777" w:rsidR="007D706A" w:rsidRDefault="007D706A" w:rsidP="00F70508">
            <w:pPr>
              <w:pStyle w:val="ParagraphStyle7"/>
              <w:rPr>
                <w:rStyle w:val="CharacterStyle7"/>
              </w:rPr>
            </w:pPr>
            <w:r>
              <w:rPr>
                <w:rStyle w:val="CharacterStyle7"/>
              </w:rPr>
              <w:t>Izvor financiranja 41</w:t>
            </w:r>
          </w:p>
        </w:tc>
        <w:tc>
          <w:tcPr>
            <w:tcW w:w="4995" w:type="dxa"/>
            <w:tcBorders>
              <w:bottom w:val="single" w:sz="6" w:space="0" w:color="000000"/>
              <w:right w:val="single" w:sz="6" w:space="0" w:color="000000"/>
            </w:tcBorders>
            <w:vAlign w:val="center"/>
          </w:tcPr>
          <w:p w14:paraId="5E736DD5" w14:textId="77777777" w:rsidR="007D706A" w:rsidRDefault="007D706A" w:rsidP="00F70508">
            <w:pPr>
              <w:pStyle w:val="ParagraphStyle8"/>
              <w:rPr>
                <w:rStyle w:val="CharacterStyle8"/>
              </w:rPr>
            </w:pPr>
            <w:r>
              <w:rPr>
                <w:rStyle w:val="CharacterStyle8"/>
              </w:rPr>
              <w:t>Prihodi za posebne namjene</w:t>
            </w:r>
          </w:p>
        </w:tc>
        <w:tc>
          <w:tcPr>
            <w:tcW w:w="1395" w:type="dxa"/>
            <w:tcBorders>
              <w:bottom w:val="single" w:sz="6" w:space="0" w:color="000000"/>
              <w:right w:val="single" w:sz="6" w:space="0" w:color="000000"/>
            </w:tcBorders>
            <w:vAlign w:val="center"/>
          </w:tcPr>
          <w:p w14:paraId="0D49718E"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595FAA6" w14:textId="77777777" w:rsidR="007D706A" w:rsidRDefault="007D706A" w:rsidP="00F70508">
            <w:pPr>
              <w:pStyle w:val="ParagraphStyle9"/>
              <w:rPr>
                <w:rStyle w:val="CharacterStyle9"/>
              </w:rPr>
            </w:pPr>
            <w:r>
              <w:rPr>
                <w:rStyle w:val="CharacterStyle9"/>
              </w:rPr>
              <w:t>21.000,00</w:t>
            </w:r>
          </w:p>
        </w:tc>
        <w:tc>
          <w:tcPr>
            <w:tcW w:w="1395" w:type="dxa"/>
            <w:tcBorders>
              <w:bottom w:val="single" w:sz="6" w:space="0" w:color="000000"/>
              <w:right w:val="single" w:sz="6" w:space="0" w:color="000000"/>
            </w:tcBorders>
            <w:vAlign w:val="center"/>
          </w:tcPr>
          <w:p w14:paraId="75BD96A1"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548A703"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F3BCFC4" w14:textId="77777777" w:rsidR="007D706A" w:rsidRDefault="007D706A" w:rsidP="00F70508">
            <w:pPr>
              <w:pStyle w:val="ParagraphStyle9"/>
              <w:rPr>
                <w:rStyle w:val="CharacterStyle9"/>
              </w:rPr>
            </w:pPr>
            <w:r>
              <w:rPr>
                <w:rStyle w:val="CharacterStyle9"/>
              </w:rPr>
              <w:t>0,00</w:t>
            </w:r>
          </w:p>
        </w:tc>
      </w:tr>
      <w:tr w:rsidR="007D706A" w14:paraId="7D21951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F193759"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556D1691"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55078C3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D9B2E7E" w14:textId="77777777" w:rsidR="007D706A" w:rsidRDefault="007D706A" w:rsidP="00F70508">
            <w:pPr>
              <w:pStyle w:val="ParagraphStyle12"/>
              <w:rPr>
                <w:rStyle w:val="CharacterStyle12"/>
              </w:rPr>
            </w:pPr>
            <w:r>
              <w:rPr>
                <w:rStyle w:val="CharacterStyle12"/>
              </w:rPr>
              <w:t>21.000,00</w:t>
            </w:r>
          </w:p>
        </w:tc>
        <w:tc>
          <w:tcPr>
            <w:tcW w:w="1395" w:type="dxa"/>
            <w:tcBorders>
              <w:bottom w:val="single" w:sz="6" w:space="0" w:color="000000"/>
              <w:right w:val="single" w:sz="6" w:space="0" w:color="000000"/>
            </w:tcBorders>
            <w:vAlign w:val="center"/>
          </w:tcPr>
          <w:p w14:paraId="65534BB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78BE72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D2F5D77" w14:textId="77777777" w:rsidR="007D706A" w:rsidRDefault="007D706A" w:rsidP="00F70508">
            <w:pPr>
              <w:pStyle w:val="ParagraphStyle12"/>
              <w:rPr>
                <w:rStyle w:val="CharacterStyle12"/>
              </w:rPr>
            </w:pPr>
            <w:r>
              <w:rPr>
                <w:rStyle w:val="CharacterStyle12"/>
              </w:rPr>
              <w:t>0,00</w:t>
            </w:r>
          </w:p>
        </w:tc>
      </w:tr>
      <w:tr w:rsidR="007D706A" w14:paraId="75BC4F4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C608A2A" w14:textId="77777777" w:rsidR="007D706A" w:rsidRDefault="007D706A" w:rsidP="00F70508">
            <w:pPr>
              <w:pStyle w:val="ParagraphStyle10"/>
              <w:rPr>
                <w:rStyle w:val="CharacterStyle10"/>
              </w:rPr>
            </w:pPr>
            <w:r>
              <w:rPr>
                <w:rStyle w:val="CharacterStyle10"/>
              </w:rPr>
              <w:t>38</w:t>
            </w:r>
          </w:p>
        </w:tc>
        <w:tc>
          <w:tcPr>
            <w:tcW w:w="4995" w:type="dxa"/>
            <w:tcBorders>
              <w:bottom w:val="single" w:sz="6" w:space="0" w:color="000000"/>
              <w:right w:val="single" w:sz="6" w:space="0" w:color="000000"/>
            </w:tcBorders>
            <w:vAlign w:val="center"/>
          </w:tcPr>
          <w:p w14:paraId="6EA130C4" w14:textId="77777777" w:rsidR="007D706A" w:rsidRDefault="007D706A" w:rsidP="00F70508">
            <w:pPr>
              <w:pStyle w:val="ParagraphStyle11"/>
              <w:rPr>
                <w:rStyle w:val="CharacterStyle11"/>
              </w:rPr>
            </w:pPr>
            <w:r>
              <w:rPr>
                <w:rStyle w:val="CharacterStyle11"/>
              </w:rPr>
              <w:t>Rashodi za donacije, kazne, naknade šteta i kapitalne pomoći</w:t>
            </w:r>
          </w:p>
        </w:tc>
        <w:tc>
          <w:tcPr>
            <w:tcW w:w="1395" w:type="dxa"/>
            <w:tcBorders>
              <w:bottom w:val="single" w:sz="6" w:space="0" w:color="000000"/>
              <w:right w:val="single" w:sz="6" w:space="0" w:color="000000"/>
            </w:tcBorders>
            <w:vAlign w:val="center"/>
          </w:tcPr>
          <w:p w14:paraId="38D8C24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EA29115" w14:textId="77777777" w:rsidR="007D706A" w:rsidRDefault="007D706A" w:rsidP="00F70508">
            <w:pPr>
              <w:pStyle w:val="ParagraphStyle12"/>
              <w:rPr>
                <w:rStyle w:val="CharacterStyle12"/>
              </w:rPr>
            </w:pPr>
            <w:r>
              <w:rPr>
                <w:rStyle w:val="CharacterStyle12"/>
              </w:rPr>
              <w:t>21.000,00</w:t>
            </w:r>
          </w:p>
        </w:tc>
        <w:tc>
          <w:tcPr>
            <w:tcW w:w="1395" w:type="dxa"/>
            <w:tcBorders>
              <w:bottom w:val="single" w:sz="6" w:space="0" w:color="000000"/>
              <w:right w:val="single" w:sz="6" w:space="0" w:color="000000"/>
            </w:tcBorders>
            <w:vAlign w:val="center"/>
          </w:tcPr>
          <w:p w14:paraId="6DA4CAA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5FFB54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DDB00D9" w14:textId="77777777" w:rsidR="007D706A" w:rsidRDefault="007D706A" w:rsidP="00F70508">
            <w:pPr>
              <w:pStyle w:val="ParagraphStyle12"/>
              <w:rPr>
                <w:rStyle w:val="CharacterStyle12"/>
              </w:rPr>
            </w:pPr>
            <w:r>
              <w:rPr>
                <w:rStyle w:val="CharacterStyle12"/>
              </w:rPr>
              <w:t>0,00</w:t>
            </w:r>
          </w:p>
        </w:tc>
      </w:tr>
      <w:tr w:rsidR="007D706A" w14:paraId="7C6CFE2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43B78AB" w14:textId="77777777" w:rsidR="007D706A" w:rsidRDefault="007D706A" w:rsidP="00F70508">
            <w:pPr>
              <w:pStyle w:val="ParagraphStyle7"/>
              <w:rPr>
                <w:rStyle w:val="CharacterStyle7"/>
              </w:rPr>
            </w:pPr>
            <w:r>
              <w:rPr>
                <w:rStyle w:val="CharacterStyle7"/>
              </w:rPr>
              <w:t>Izvor financiranja 43</w:t>
            </w:r>
          </w:p>
        </w:tc>
        <w:tc>
          <w:tcPr>
            <w:tcW w:w="4995" w:type="dxa"/>
            <w:tcBorders>
              <w:bottom w:val="single" w:sz="6" w:space="0" w:color="000000"/>
              <w:right w:val="single" w:sz="6" w:space="0" w:color="000000"/>
            </w:tcBorders>
            <w:vAlign w:val="center"/>
          </w:tcPr>
          <w:p w14:paraId="0891126A" w14:textId="77777777" w:rsidR="007D706A" w:rsidRDefault="007D706A" w:rsidP="00F70508">
            <w:pPr>
              <w:pStyle w:val="ParagraphStyle8"/>
              <w:rPr>
                <w:rStyle w:val="CharacterStyle8"/>
              </w:rPr>
            </w:pPr>
            <w:r>
              <w:rPr>
                <w:rStyle w:val="CharacterStyle8"/>
              </w:rPr>
              <w:t>Ostali prihodi za posebne namjene</w:t>
            </w:r>
          </w:p>
        </w:tc>
        <w:tc>
          <w:tcPr>
            <w:tcW w:w="1395" w:type="dxa"/>
            <w:tcBorders>
              <w:bottom w:val="single" w:sz="6" w:space="0" w:color="000000"/>
              <w:right w:val="single" w:sz="6" w:space="0" w:color="000000"/>
            </w:tcBorders>
            <w:vAlign w:val="center"/>
          </w:tcPr>
          <w:p w14:paraId="407C1B43"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42EC05D"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096A69F" w14:textId="77777777" w:rsidR="007D706A" w:rsidRDefault="007D706A" w:rsidP="00F70508">
            <w:pPr>
              <w:pStyle w:val="ParagraphStyle9"/>
              <w:rPr>
                <w:rStyle w:val="CharacterStyle9"/>
              </w:rPr>
            </w:pPr>
            <w:r>
              <w:rPr>
                <w:rStyle w:val="CharacterStyle9"/>
              </w:rPr>
              <w:t>25.000,00</w:t>
            </w:r>
          </w:p>
        </w:tc>
        <w:tc>
          <w:tcPr>
            <w:tcW w:w="1395" w:type="dxa"/>
            <w:tcBorders>
              <w:bottom w:val="single" w:sz="6" w:space="0" w:color="000000"/>
              <w:right w:val="single" w:sz="6" w:space="0" w:color="000000"/>
            </w:tcBorders>
            <w:vAlign w:val="center"/>
          </w:tcPr>
          <w:p w14:paraId="6E82FEE5" w14:textId="77777777" w:rsidR="007D706A" w:rsidRDefault="007D706A" w:rsidP="00F70508">
            <w:pPr>
              <w:pStyle w:val="ParagraphStyle9"/>
              <w:rPr>
                <w:rStyle w:val="CharacterStyle9"/>
              </w:rPr>
            </w:pPr>
            <w:r>
              <w:rPr>
                <w:rStyle w:val="CharacterStyle9"/>
              </w:rPr>
              <w:t>25.000,00</w:t>
            </w:r>
          </w:p>
        </w:tc>
        <w:tc>
          <w:tcPr>
            <w:tcW w:w="1395" w:type="dxa"/>
            <w:tcBorders>
              <w:bottom w:val="single" w:sz="6" w:space="0" w:color="000000"/>
              <w:right w:val="single" w:sz="6" w:space="0" w:color="000000"/>
            </w:tcBorders>
            <w:vAlign w:val="center"/>
          </w:tcPr>
          <w:p w14:paraId="32798EEE" w14:textId="77777777" w:rsidR="007D706A" w:rsidRDefault="007D706A" w:rsidP="00F70508">
            <w:pPr>
              <w:pStyle w:val="ParagraphStyle9"/>
              <w:rPr>
                <w:rStyle w:val="CharacterStyle9"/>
              </w:rPr>
            </w:pPr>
            <w:r>
              <w:rPr>
                <w:rStyle w:val="CharacterStyle9"/>
              </w:rPr>
              <w:t>25.000,00</w:t>
            </w:r>
          </w:p>
        </w:tc>
      </w:tr>
      <w:tr w:rsidR="007D706A" w14:paraId="3155267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C5DFE45"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3CF08598"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7241DAA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36F237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9B09FEA" w14:textId="77777777" w:rsidR="007D706A" w:rsidRDefault="007D706A" w:rsidP="00F70508">
            <w:pPr>
              <w:pStyle w:val="ParagraphStyle12"/>
              <w:rPr>
                <w:rStyle w:val="CharacterStyle12"/>
              </w:rPr>
            </w:pPr>
            <w:r>
              <w:rPr>
                <w:rStyle w:val="CharacterStyle12"/>
              </w:rPr>
              <w:t>25.000,00</w:t>
            </w:r>
          </w:p>
        </w:tc>
        <w:tc>
          <w:tcPr>
            <w:tcW w:w="1395" w:type="dxa"/>
            <w:tcBorders>
              <w:bottom w:val="single" w:sz="6" w:space="0" w:color="000000"/>
              <w:right w:val="single" w:sz="6" w:space="0" w:color="000000"/>
            </w:tcBorders>
            <w:vAlign w:val="center"/>
          </w:tcPr>
          <w:p w14:paraId="47F3AE5F" w14:textId="77777777" w:rsidR="007D706A" w:rsidRDefault="007D706A" w:rsidP="00F70508">
            <w:pPr>
              <w:pStyle w:val="ParagraphStyle12"/>
              <w:rPr>
                <w:rStyle w:val="CharacterStyle12"/>
              </w:rPr>
            </w:pPr>
            <w:r>
              <w:rPr>
                <w:rStyle w:val="CharacterStyle12"/>
              </w:rPr>
              <w:t>25.000,00</w:t>
            </w:r>
          </w:p>
        </w:tc>
        <w:tc>
          <w:tcPr>
            <w:tcW w:w="1395" w:type="dxa"/>
            <w:tcBorders>
              <w:bottom w:val="single" w:sz="6" w:space="0" w:color="000000"/>
              <w:right w:val="single" w:sz="6" w:space="0" w:color="000000"/>
            </w:tcBorders>
            <w:vAlign w:val="center"/>
          </w:tcPr>
          <w:p w14:paraId="6A754E99" w14:textId="77777777" w:rsidR="007D706A" w:rsidRDefault="007D706A" w:rsidP="00F70508">
            <w:pPr>
              <w:pStyle w:val="ParagraphStyle12"/>
              <w:rPr>
                <w:rStyle w:val="CharacterStyle12"/>
              </w:rPr>
            </w:pPr>
            <w:r>
              <w:rPr>
                <w:rStyle w:val="CharacterStyle12"/>
              </w:rPr>
              <w:t>25.000,00</w:t>
            </w:r>
          </w:p>
        </w:tc>
      </w:tr>
      <w:tr w:rsidR="007D706A" w14:paraId="17DA02E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AB25A42" w14:textId="77777777" w:rsidR="007D706A" w:rsidRDefault="007D706A" w:rsidP="00F70508">
            <w:pPr>
              <w:pStyle w:val="ParagraphStyle10"/>
              <w:rPr>
                <w:rStyle w:val="CharacterStyle10"/>
              </w:rPr>
            </w:pPr>
            <w:r>
              <w:rPr>
                <w:rStyle w:val="CharacterStyle10"/>
              </w:rPr>
              <w:t>38</w:t>
            </w:r>
          </w:p>
        </w:tc>
        <w:tc>
          <w:tcPr>
            <w:tcW w:w="4995" w:type="dxa"/>
            <w:tcBorders>
              <w:bottom w:val="single" w:sz="6" w:space="0" w:color="000000"/>
              <w:right w:val="single" w:sz="6" w:space="0" w:color="000000"/>
            </w:tcBorders>
            <w:vAlign w:val="center"/>
          </w:tcPr>
          <w:p w14:paraId="173D6F72" w14:textId="77777777" w:rsidR="007D706A" w:rsidRDefault="007D706A" w:rsidP="00F70508">
            <w:pPr>
              <w:pStyle w:val="ParagraphStyle11"/>
              <w:rPr>
                <w:rStyle w:val="CharacterStyle11"/>
              </w:rPr>
            </w:pPr>
            <w:r>
              <w:rPr>
                <w:rStyle w:val="CharacterStyle11"/>
              </w:rPr>
              <w:t>Rashodi za donacije, kazne, naknade šteta i kapitalne pomoći</w:t>
            </w:r>
          </w:p>
        </w:tc>
        <w:tc>
          <w:tcPr>
            <w:tcW w:w="1395" w:type="dxa"/>
            <w:tcBorders>
              <w:bottom w:val="single" w:sz="6" w:space="0" w:color="000000"/>
              <w:right w:val="single" w:sz="6" w:space="0" w:color="000000"/>
            </w:tcBorders>
            <w:vAlign w:val="center"/>
          </w:tcPr>
          <w:p w14:paraId="2AE9173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B2D938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E8121AB" w14:textId="77777777" w:rsidR="007D706A" w:rsidRDefault="007D706A" w:rsidP="00F70508">
            <w:pPr>
              <w:pStyle w:val="ParagraphStyle12"/>
              <w:rPr>
                <w:rStyle w:val="CharacterStyle12"/>
              </w:rPr>
            </w:pPr>
            <w:r>
              <w:rPr>
                <w:rStyle w:val="CharacterStyle12"/>
              </w:rPr>
              <w:t>25.000,00</w:t>
            </w:r>
          </w:p>
        </w:tc>
        <w:tc>
          <w:tcPr>
            <w:tcW w:w="1395" w:type="dxa"/>
            <w:tcBorders>
              <w:bottom w:val="single" w:sz="6" w:space="0" w:color="000000"/>
              <w:right w:val="single" w:sz="6" w:space="0" w:color="000000"/>
            </w:tcBorders>
            <w:vAlign w:val="center"/>
          </w:tcPr>
          <w:p w14:paraId="2AF57A7C" w14:textId="77777777" w:rsidR="007D706A" w:rsidRDefault="007D706A" w:rsidP="00F70508">
            <w:pPr>
              <w:pStyle w:val="ParagraphStyle12"/>
              <w:rPr>
                <w:rStyle w:val="CharacterStyle12"/>
              </w:rPr>
            </w:pPr>
            <w:r>
              <w:rPr>
                <w:rStyle w:val="CharacterStyle12"/>
              </w:rPr>
              <w:t>25.000,00</w:t>
            </w:r>
          </w:p>
        </w:tc>
        <w:tc>
          <w:tcPr>
            <w:tcW w:w="1395" w:type="dxa"/>
            <w:tcBorders>
              <w:bottom w:val="single" w:sz="6" w:space="0" w:color="000000"/>
              <w:right w:val="single" w:sz="6" w:space="0" w:color="000000"/>
            </w:tcBorders>
            <w:vAlign w:val="center"/>
          </w:tcPr>
          <w:p w14:paraId="2668A6F6" w14:textId="77777777" w:rsidR="007D706A" w:rsidRDefault="007D706A" w:rsidP="00F70508">
            <w:pPr>
              <w:pStyle w:val="ParagraphStyle12"/>
              <w:rPr>
                <w:rStyle w:val="CharacterStyle12"/>
              </w:rPr>
            </w:pPr>
            <w:r>
              <w:rPr>
                <w:rStyle w:val="CharacterStyle12"/>
              </w:rPr>
              <w:t>25.000,00</w:t>
            </w:r>
          </w:p>
        </w:tc>
      </w:tr>
      <w:tr w:rsidR="007D706A" w14:paraId="682AEB7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1AD77F0" w14:textId="77777777" w:rsidR="007D706A" w:rsidRDefault="007D706A" w:rsidP="00F70508">
            <w:pPr>
              <w:pStyle w:val="ParagraphStyle4"/>
              <w:rPr>
                <w:rStyle w:val="CharacterStyle4"/>
              </w:rPr>
            </w:pPr>
            <w:r>
              <w:rPr>
                <w:rStyle w:val="CharacterStyle4"/>
              </w:rPr>
              <w:t>Aktivnost A100804</w:t>
            </w:r>
          </w:p>
        </w:tc>
        <w:tc>
          <w:tcPr>
            <w:tcW w:w="4995" w:type="dxa"/>
            <w:tcBorders>
              <w:bottom w:val="single" w:sz="6" w:space="0" w:color="000000"/>
              <w:right w:val="single" w:sz="6" w:space="0" w:color="000000"/>
            </w:tcBorders>
            <w:vAlign w:val="center"/>
          </w:tcPr>
          <w:p w14:paraId="16DEF1E1" w14:textId="77777777" w:rsidR="007D706A" w:rsidRDefault="007D706A" w:rsidP="00F70508">
            <w:pPr>
              <w:pStyle w:val="ParagraphStyle5"/>
              <w:rPr>
                <w:rStyle w:val="CharacterStyle5"/>
              </w:rPr>
            </w:pPr>
            <w:r>
              <w:rPr>
                <w:rStyle w:val="CharacterStyle5"/>
              </w:rPr>
              <w:t>OSTALE POTICAJNE MJERE U POLJOPRIVREDI</w:t>
            </w:r>
          </w:p>
        </w:tc>
        <w:tc>
          <w:tcPr>
            <w:tcW w:w="1395" w:type="dxa"/>
            <w:tcBorders>
              <w:bottom w:val="single" w:sz="6" w:space="0" w:color="000000"/>
              <w:right w:val="single" w:sz="6" w:space="0" w:color="000000"/>
            </w:tcBorders>
            <w:vAlign w:val="center"/>
          </w:tcPr>
          <w:p w14:paraId="01F2075B"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3D10CD87" w14:textId="77777777" w:rsidR="007D706A" w:rsidRDefault="007D706A" w:rsidP="00F70508">
            <w:pPr>
              <w:pStyle w:val="ParagraphStyle6"/>
              <w:rPr>
                <w:rStyle w:val="CharacterStyle6"/>
              </w:rPr>
            </w:pPr>
            <w:r>
              <w:rPr>
                <w:rStyle w:val="CharacterStyle6"/>
              </w:rPr>
              <w:t>8.850,00</w:t>
            </w:r>
          </w:p>
        </w:tc>
        <w:tc>
          <w:tcPr>
            <w:tcW w:w="1395" w:type="dxa"/>
            <w:tcBorders>
              <w:bottom w:val="single" w:sz="6" w:space="0" w:color="000000"/>
              <w:right w:val="single" w:sz="6" w:space="0" w:color="000000"/>
            </w:tcBorders>
            <w:vAlign w:val="center"/>
          </w:tcPr>
          <w:p w14:paraId="48A998F9" w14:textId="77777777" w:rsidR="007D706A" w:rsidRDefault="007D706A" w:rsidP="00F70508">
            <w:pPr>
              <w:pStyle w:val="ParagraphStyle6"/>
              <w:rPr>
                <w:rStyle w:val="CharacterStyle6"/>
              </w:rPr>
            </w:pPr>
            <w:r>
              <w:rPr>
                <w:rStyle w:val="CharacterStyle6"/>
              </w:rPr>
              <w:t>11.850,00</w:t>
            </w:r>
          </w:p>
        </w:tc>
        <w:tc>
          <w:tcPr>
            <w:tcW w:w="1395" w:type="dxa"/>
            <w:tcBorders>
              <w:bottom w:val="single" w:sz="6" w:space="0" w:color="000000"/>
              <w:right w:val="single" w:sz="6" w:space="0" w:color="000000"/>
            </w:tcBorders>
            <w:vAlign w:val="center"/>
          </w:tcPr>
          <w:p w14:paraId="2D5E6CA3" w14:textId="77777777" w:rsidR="007D706A" w:rsidRDefault="007D706A" w:rsidP="00F70508">
            <w:pPr>
              <w:pStyle w:val="ParagraphStyle6"/>
              <w:rPr>
                <w:rStyle w:val="CharacterStyle6"/>
              </w:rPr>
            </w:pPr>
            <w:r>
              <w:rPr>
                <w:rStyle w:val="CharacterStyle6"/>
              </w:rPr>
              <w:t>11.850,00</w:t>
            </w:r>
          </w:p>
        </w:tc>
        <w:tc>
          <w:tcPr>
            <w:tcW w:w="1395" w:type="dxa"/>
            <w:tcBorders>
              <w:bottom w:val="single" w:sz="6" w:space="0" w:color="000000"/>
              <w:right w:val="single" w:sz="6" w:space="0" w:color="000000"/>
            </w:tcBorders>
            <w:vAlign w:val="center"/>
          </w:tcPr>
          <w:p w14:paraId="1A7A7D70" w14:textId="77777777" w:rsidR="007D706A" w:rsidRDefault="007D706A" w:rsidP="00F70508">
            <w:pPr>
              <w:pStyle w:val="ParagraphStyle6"/>
              <w:rPr>
                <w:rStyle w:val="CharacterStyle6"/>
              </w:rPr>
            </w:pPr>
            <w:r>
              <w:rPr>
                <w:rStyle w:val="CharacterStyle6"/>
              </w:rPr>
              <w:t>11.850,00</w:t>
            </w:r>
          </w:p>
        </w:tc>
      </w:tr>
      <w:tr w:rsidR="007D706A" w14:paraId="62789AB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197C311" w14:textId="77777777" w:rsidR="007D706A" w:rsidRDefault="007D706A" w:rsidP="00F70508">
            <w:pPr>
              <w:pStyle w:val="ParagraphStyle7"/>
              <w:rPr>
                <w:rStyle w:val="CharacterStyle7"/>
              </w:rPr>
            </w:pPr>
            <w:r>
              <w:rPr>
                <w:rStyle w:val="CharacterStyle7"/>
              </w:rPr>
              <w:t>Izvor financiranja 41</w:t>
            </w:r>
          </w:p>
        </w:tc>
        <w:tc>
          <w:tcPr>
            <w:tcW w:w="4995" w:type="dxa"/>
            <w:tcBorders>
              <w:bottom w:val="single" w:sz="6" w:space="0" w:color="000000"/>
              <w:right w:val="single" w:sz="6" w:space="0" w:color="000000"/>
            </w:tcBorders>
            <w:vAlign w:val="center"/>
          </w:tcPr>
          <w:p w14:paraId="46233BAB" w14:textId="77777777" w:rsidR="007D706A" w:rsidRDefault="007D706A" w:rsidP="00F70508">
            <w:pPr>
              <w:pStyle w:val="ParagraphStyle8"/>
              <w:rPr>
                <w:rStyle w:val="CharacterStyle8"/>
              </w:rPr>
            </w:pPr>
            <w:r>
              <w:rPr>
                <w:rStyle w:val="CharacterStyle8"/>
              </w:rPr>
              <w:t>Prihodi za posebne namjene</w:t>
            </w:r>
          </w:p>
        </w:tc>
        <w:tc>
          <w:tcPr>
            <w:tcW w:w="1395" w:type="dxa"/>
            <w:tcBorders>
              <w:bottom w:val="single" w:sz="6" w:space="0" w:color="000000"/>
              <w:right w:val="single" w:sz="6" w:space="0" w:color="000000"/>
            </w:tcBorders>
            <w:vAlign w:val="center"/>
          </w:tcPr>
          <w:p w14:paraId="50B4D674"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493F6FC" w14:textId="77777777" w:rsidR="007D706A" w:rsidRDefault="007D706A" w:rsidP="00F70508">
            <w:pPr>
              <w:pStyle w:val="ParagraphStyle9"/>
              <w:rPr>
                <w:rStyle w:val="CharacterStyle9"/>
              </w:rPr>
            </w:pPr>
            <w:r>
              <w:rPr>
                <w:rStyle w:val="CharacterStyle9"/>
              </w:rPr>
              <w:t>8.850,00</w:t>
            </w:r>
          </w:p>
        </w:tc>
        <w:tc>
          <w:tcPr>
            <w:tcW w:w="1395" w:type="dxa"/>
            <w:tcBorders>
              <w:bottom w:val="single" w:sz="6" w:space="0" w:color="000000"/>
              <w:right w:val="single" w:sz="6" w:space="0" w:color="000000"/>
            </w:tcBorders>
            <w:vAlign w:val="center"/>
          </w:tcPr>
          <w:p w14:paraId="7B76E906"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BD69653"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251AD78" w14:textId="77777777" w:rsidR="007D706A" w:rsidRDefault="007D706A" w:rsidP="00F70508">
            <w:pPr>
              <w:pStyle w:val="ParagraphStyle9"/>
              <w:rPr>
                <w:rStyle w:val="CharacterStyle9"/>
              </w:rPr>
            </w:pPr>
            <w:r>
              <w:rPr>
                <w:rStyle w:val="CharacterStyle9"/>
              </w:rPr>
              <w:t>0,00</w:t>
            </w:r>
          </w:p>
        </w:tc>
      </w:tr>
      <w:tr w:rsidR="007D706A" w14:paraId="3D450B7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7D4AC02"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44D7ABC8"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20E5F67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12C1E46" w14:textId="77777777" w:rsidR="007D706A" w:rsidRDefault="007D706A" w:rsidP="00F70508">
            <w:pPr>
              <w:pStyle w:val="ParagraphStyle12"/>
              <w:rPr>
                <w:rStyle w:val="CharacterStyle12"/>
              </w:rPr>
            </w:pPr>
            <w:r>
              <w:rPr>
                <w:rStyle w:val="CharacterStyle12"/>
              </w:rPr>
              <w:t>8.850,00</w:t>
            </w:r>
          </w:p>
        </w:tc>
        <w:tc>
          <w:tcPr>
            <w:tcW w:w="1395" w:type="dxa"/>
            <w:tcBorders>
              <w:bottom w:val="single" w:sz="6" w:space="0" w:color="000000"/>
              <w:right w:val="single" w:sz="6" w:space="0" w:color="000000"/>
            </w:tcBorders>
            <w:vAlign w:val="center"/>
          </w:tcPr>
          <w:p w14:paraId="0492396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8AFD87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D1016BD" w14:textId="77777777" w:rsidR="007D706A" w:rsidRDefault="007D706A" w:rsidP="00F70508">
            <w:pPr>
              <w:pStyle w:val="ParagraphStyle12"/>
              <w:rPr>
                <w:rStyle w:val="CharacterStyle12"/>
              </w:rPr>
            </w:pPr>
            <w:r>
              <w:rPr>
                <w:rStyle w:val="CharacterStyle12"/>
              </w:rPr>
              <w:t>0,00</w:t>
            </w:r>
          </w:p>
        </w:tc>
      </w:tr>
      <w:tr w:rsidR="007D706A" w14:paraId="32AADEA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CD637B7" w14:textId="77777777" w:rsidR="007D706A" w:rsidRDefault="007D706A" w:rsidP="00F70508">
            <w:pPr>
              <w:pStyle w:val="ParagraphStyle10"/>
              <w:rPr>
                <w:rStyle w:val="CharacterStyle10"/>
              </w:rPr>
            </w:pPr>
            <w:r>
              <w:rPr>
                <w:rStyle w:val="CharacterStyle10"/>
              </w:rPr>
              <w:t>35</w:t>
            </w:r>
          </w:p>
        </w:tc>
        <w:tc>
          <w:tcPr>
            <w:tcW w:w="4995" w:type="dxa"/>
            <w:tcBorders>
              <w:bottom w:val="single" w:sz="6" w:space="0" w:color="000000"/>
              <w:right w:val="single" w:sz="6" w:space="0" w:color="000000"/>
            </w:tcBorders>
            <w:vAlign w:val="center"/>
          </w:tcPr>
          <w:p w14:paraId="61242CA3" w14:textId="77777777" w:rsidR="007D706A" w:rsidRDefault="007D706A" w:rsidP="00F70508">
            <w:pPr>
              <w:pStyle w:val="ParagraphStyle11"/>
              <w:rPr>
                <w:rStyle w:val="CharacterStyle11"/>
              </w:rPr>
            </w:pPr>
            <w:r>
              <w:rPr>
                <w:rStyle w:val="CharacterStyle11"/>
              </w:rPr>
              <w:t>Subvencije</w:t>
            </w:r>
          </w:p>
        </w:tc>
        <w:tc>
          <w:tcPr>
            <w:tcW w:w="1395" w:type="dxa"/>
            <w:tcBorders>
              <w:bottom w:val="single" w:sz="6" w:space="0" w:color="000000"/>
              <w:right w:val="single" w:sz="6" w:space="0" w:color="000000"/>
            </w:tcBorders>
            <w:vAlign w:val="center"/>
          </w:tcPr>
          <w:p w14:paraId="43D15C2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1C9366F" w14:textId="77777777" w:rsidR="007D706A" w:rsidRDefault="007D706A" w:rsidP="00F70508">
            <w:pPr>
              <w:pStyle w:val="ParagraphStyle12"/>
              <w:rPr>
                <w:rStyle w:val="CharacterStyle12"/>
              </w:rPr>
            </w:pPr>
            <w:r>
              <w:rPr>
                <w:rStyle w:val="CharacterStyle12"/>
              </w:rPr>
              <w:t>7.000,00</w:t>
            </w:r>
          </w:p>
        </w:tc>
        <w:tc>
          <w:tcPr>
            <w:tcW w:w="1395" w:type="dxa"/>
            <w:tcBorders>
              <w:bottom w:val="single" w:sz="6" w:space="0" w:color="000000"/>
              <w:right w:val="single" w:sz="6" w:space="0" w:color="000000"/>
            </w:tcBorders>
            <w:vAlign w:val="center"/>
          </w:tcPr>
          <w:p w14:paraId="2F3A1A3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30D6EC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56083BE" w14:textId="77777777" w:rsidR="007D706A" w:rsidRDefault="007D706A" w:rsidP="00F70508">
            <w:pPr>
              <w:pStyle w:val="ParagraphStyle12"/>
              <w:rPr>
                <w:rStyle w:val="CharacterStyle12"/>
              </w:rPr>
            </w:pPr>
            <w:r>
              <w:rPr>
                <w:rStyle w:val="CharacterStyle12"/>
              </w:rPr>
              <w:t>0,00</w:t>
            </w:r>
          </w:p>
        </w:tc>
      </w:tr>
      <w:tr w:rsidR="007D706A" w14:paraId="5885395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02B685B" w14:textId="77777777" w:rsidR="007D706A" w:rsidRDefault="007D706A" w:rsidP="00F70508">
            <w:pPr>
              <w:pStyle w:val="ParagraphStyle10"/>
              <w:rPr>
                <w:rStyle w:val="CharacterStyle10"/>
              </w:rPr>
            </w:pPr>
            <w:r>
              <w:rPr>
                <w:rStyle w:val="CharacterStyle10"/>
              </w:rPr>
              <w:lastRenderedPageBreak/>
              <w:t>38</w:t>
            </w:r>
          </w:p>
        </w:tc>
        <w:tc>
          <w:tcPr>
            <w:tcW w:w="4995" w:type="dxa"/>
            <w:tcBorders>
              <w:bottom w:val="single" w:sz="6" w:space="0" w:color="000000"/>
              <w:right w:val="single" w:sz="6" w:space="0" w:color="000000"/>
            </w:tcBorders>
            <w:vAlign w:val="center"/>
          </w:tcPr>
          <w:p w14:paraId="7C4F48CA" w14:textId="77777777" w:rsidR="007D706A" w:rsidRDefault="007D706A" w:rsidP="00F70508">
            <w:pPr>
              <w:pStyle w:val="ParagraphStyle11"/>
              <w:rPr>
                <w:rStyle w:val="CharacterStyle11"/>
              </w:rPr>
            </w:pPr>
            <w:r>
              <w:rPr>
                <w:rStyle w:val="CharacterStyle11"/>
              </w:rPr>
              <w:t>Rashodi za donacije, kazne, naknade šteta i kapitalne pomoći</w:t>
            </w:r>
          </w:p>
        </w:tc>
        <w:tc>
          <w:tcPr>
            <w:tcW w:w="1395" w:type="dxa"/>
            <w:tcBorders>
              <w:bottom w:val="single" w:sz="6" w:space="0" w:color="000000"/>
              <w:right w:val="single" w:sz="6" w:space="0" w:color="000000"/>
            </w:tcBorders>
            <w:vAlign w:val="center"/>
          </w:tcPr>
          <w:p w14:paraId="08A8768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1D6F5ED" w14:textId="77777777" w:rsidR="007D706A" w:rsidRDefault="007D706A" w:rsidP="00F70508">
            <w:pPr>
              <w:pStyle w:val="ParagraphStyle12"/>
              <w:rPr>
                <w:rStyle w:val="CharacterStyle12"/>
              </w:rPr>
            </w:pPr>
            <w:r>
              <w:rPr>
                <w:rStyle w:val="CharacterStyle12"/>
              </w:rPr>
              <w:t>1.850,00</w:t>
            </w:r>
          </w:p>
        </w:tc>
        <w:tc>
          <w:tcPr>
            <w:tcW w:w="1395" w:type="dxa"/>
            <w:tcBorders>
              <w:bottom w:val="single" w:sz="6" w:space="0" w:color="000000"/>
              <w:right w:val="single" w:sz="6" w:space="0" w:color="000000"/>
            </w:tcBorders>
            <w:vAlign w:val="center"/>
          </w:tcPr>
          <w:p w14:paraId="6EA54E6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6BCAB7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F09DD8D" w14:textId="77777777" w:rsidR="007D706A" w:rsidRDefault="007D706A" w:rsidP="00F70508">
            <w:pPr>
              <w:pStyle w:val="ParagraphStyle12"/>
              <w:rPr>
                <w:rStyle w:val="CharacterStyle12"/>
              </w:rPr>
            </w:pPr>
            <w:r>
              <w:rPr>
                <w:rStyle w:val="CharacterStyle12"/>
              </w:rPr>
              <w:t>0,00</w:t>
            </w:r>
          </w:p>
        </w:tc>
      </w:tr>
      <w:tr w:rsidR="007D706A" w14:paraId="08F3B57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9F5DDFB" w14:textId="77777777" w:rsidR="007D706A" w:rsidRDefault="007D706A" w:rsidP="00F70508">
            <w:pPr>
              <w:pStyle w:val="ParagraphStyle7"/>
              <w:rPr>
                <w:rStyle w:val="CharacterStyle7"/>
              </w:rPr>
            </w:pPr>
            <w:r>
              <w:rPr>
                <w:rStyle w:val="CharacterStyle7"/>
              </w:rPr>
              <w:t>Izvor financiranja 43</w:t>
            </w:r>
          </w:p>
        </w:tc>
        <w:tc>
          <w:tcPr>
            <w:tcW w:w="4995" w:type="dxa"/>
            <w:tcBorders>
              <w:bottom w:val="single" w:sz="6" w:space="0" w:color="000000"/>
              <w:right w:val="single" w:sz="6" w:space="0" w:color="000000"/>
            </w:tcBorders>
            <w:vAlign w:val="center"/>
          </w:tcPr>
          <w:p w14:paraId="3851A713" w14:textId="77777777" w:rsidR="007D706A" w:rsidRDefault="007D706A" w:rsidP="00F70508">
            <w:pPr>
              <w:pStyle w:val="ParagraphStyle8"/>
              <w:rPr>
                <w:rStyle w:val="CharacterStyle8"/>
              </w:rPr>
            </w:pPr>
            <w:r>
              <w:rPr>
                <w:rStyle w:val="CharacterStyle8"/>
              </w:rPr>
              <w:t>Ostali prihodi za posebne namjene</w:t>
            </w:r>
          </w:p>
        </w:tc>
        <w:tc>
          <w:tcPr>
            <w:tcW w:w="1395" w:type="dxa"/>
            <w:tcBorders>
              <w:bottom w:val="single" w:sz="6" w:space="0" w:color="000000"/>
              <w:right w:val="single" w:sz="6" w:space="0" w:color="000000"/>
            </w:tcBorders>
            <w:vAlign w:val="center"/>
          </w:tcPr>
          <w:p w14:paraId="2F8342EB"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9AB01FE"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0785833" w14:textId="77777777" w:rsidR="007D706A" w:rsidRDefault="007D706A" w:rsidP="00F70508">
            <w:pPr>
              <w:pStyle w:val="ParagraphStyle9"/>
              <w:rPr>
                <w:rStyle w:val="CharacterStyle9"/>
              </w:rPr>
            </w:pPr>
            <w:r>
              <w:rPr>
                <w:rStyle w:val="CharacterStyle9"/>
              </w:rPr>
              <w:t>11.850,00</w:t>
            </w:r>
          </w:p>
        </w:tc>
        <w:tc>
          <w:tcPr>
            <w:tcW w:w="1395" w:type="dxa"/>
            <w:tcBorders>
              <w:bottom w:val="single" w:sz="6" w:space="0" w:color="000000"/>
              <w:right w:val="single" w:sz="6" w:space="0" w:color="000000"/>
            </w:tcBorders>
            <w:vAlign w:val="center"/>
          </w:tcPr>
          <w:p w14:paraId="73DC57B8" w14:textId="77777777" w:rsidR="007D706A" w:rsidRDefault="007D706A" w:rsidP="00F70508">
            <w:pPr>
              <w:pStyle w:val="ParagraphStyle9"/>
              <w:rPr>
                <w:rStyle w:val="CharacterStyle9"/>
              </w:rPr>
            </w:pPr>
            <w:r>
              <w:rPr>
                <w:rStyle w:val="CharacterStyle9"/>
              </w:rPr>
              <w:t>11.850,00</w:t>
            </w:r>
          </w:p>
        </w:tc>
        <w:tc>
          <w:tcPr>
            <w:tcW w:w="1395" w:type="dxa"/>
            <w:tcBorders>
              <w:bottom w:val="single" w:sz="6" w:space="0" w:color="000000"/>
              <w:right w:val="single" w:sz="6" w:space="0" w:color="000000"/>
            </w:tcBorders>
            <w:vAlign w:val="center"/>
          </w:tcPr>
          <w:p w14:paraId="671E1AB6" w14:textId="77777777" w:rsidR="007D706A" w:rsidRDefault="007D706A" w:rsidP="00F70508">
            <w:pPr>
              <w:pStyle w:val="ParagraphStyle9"/>
              <w:rPr>
                <w:rStyle w:val="CharacterStyle9"/>
              </w:rPr>
            </w:pPr>
            <w:r>
              <w:rPr>
                <w:rStyle w:val="CharacterStyle9"/>
              </w:rPr>
              <w:t>11.850,00</w:t>
            </w:r>
          </w:p>
        </w:tc>
      </w:tr>
      <w:tr w:rsidR="007D706A" w14:paraId="1791A38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885B861"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0CFF176A"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3131FD7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5D6CF9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CE7E278" w14:textId="77777777" w:rsidR="007D706A" w:rsidRDefault="007D706A" w:rsidP="00F70508">
            <w:pPr>
              <w:pStyle w:val="ParagraphStyle12"/>
              <w:rPr>
                <w:rStyle w:val="CharacterStyle12"/>
              </w:rPr>
            </w:pPr>
            <w:r>
              <w:rPr>
                <w:rStyle w:val="CharacterStyle12"/>
              </w:rPr>
              <w:t>11.850,00</w:t>
            </w:r>
          </w:p>
        </w:tc>
        <w:tc>
          <w:tcPr>
            <w:tcW w:w="1395" w:type="dxa"/>
            <w:tcBorders>
              <w:bottom w:val="single" w:sz="6" w:space="0" w:color="000000"/>
              <w:right w:val="single" w:sz="6" w:space="0" w:color="000000"/>
            </w:tcBorders>
            <w:vAlign w:val="center"/>
          </w:tcPr>
          <w:p w14:paraId="66E82262" w14:textId="77777777" w:rsidR="007D706A" w:rsidRDefault="007D706A" w:rsidP="00F70508">
            <w:pPr>
              <w:pStyle w:val="ParagraphStyle12"/>
              <w:rPr>
                <w:rStyle w:val="CharacterStyle12"/>
              </w:rPr>
            </w:pPr>
            <w:r>
              <w:rPr>
                <w:rStyle w:val="CharacterStyle12"/>
              </w:rPr>
              <w:t>11.850,00</w:t>
            </w:r>
          </w:p>
        </w:tc>
        <w:tc>
          <w:tcPr>
            <w:tcW w:w="1395" w:type="dxa"/>
            <w:tcBorders>
              <w:bottom w:val="single" w:sz="6" w:space="0" w:color="000000"/>
              <w:right w:val="single" w:sz="6" w:space="0" w:color="000000"/>
            </w:tcBorders>
            <w:vAlign w:val="center"/>
          </w:tcPr>
          <w:p w14:paraId="727BEF20" w14:textId="77777777" w:rsidR="007D706A" w:rsidRDefault="007D706A" w:rsidP="00F70508">
            <w:pPr>
              <w:pStyle w:val="ParagraphStyle12"/>
              <w:rPr>
                <w:rStyle w:val="CharacterStyle12"/>
              </w:rPr>
            </w:pPr>
            <w:r>
              <w:rPr>
                <w:rStyle w:val="CharacterStyle12"/>
              </w:rPr>
              <w:t>11.850,00</w:t>
            </w:r>
          </w:p>
        </w:tc>
      </w:tr>
      <w:tr w:rsidR="007D706A" w14:paraId="17526ED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93C14B1" w14:textId="77777777" w:rsidR="007D706A" w:rsidRDefault="007D706A" w:rsidP="00F70508">
            <w:pPr>
              <w:pStyle w:val="ParagraphStyle10"/>
              <w:rPr>
                <w:rStyle w:val="CharacterStyle10"/>
              </w:rPr>
            </w:pPr>
            <w:r>
              <w:rPr>
                <w:rStyle w:val="CharacterStyle10"/>
              </w:rPr>
              <w:t>35</w:t>
            </w:r>
          </w:p>
        </w:tc>
        <w:tc>
          <w:tcPr>
            <w:tcW w:w="4995" w:type="dxa"/>
            <w:tcBorders>
              <w:bottom w:val="single" w:sz="6" w:space="0" w:color="000000"/>
              <w:right w:val="single" w:sz="6" w:space="0" w:color="000000"/>
            </w:tcBorders>
            <w:vAlign w:val="center"/>
          </w:tcPr>
          <w:p w14:paraId="20F2942F" w14:textId="77777777" w:rsidR="007D706A" w:rsidRDefault="007D706A" w:rsidP="00F70508">
            <w:pPr>
              <w:pStyle w:val="ParagraphStyle11"/>
              <w:rPr>
                <w:rStyle w:val="CharacterStyle11"/>
              </w:rPr>
            </w:pPr>
            <w:r>
              <w:rPr>
                <w:rStyle w:val="CharacterStyle11"/>
              </w:rPr>
              <w:t>Subvencije</w:t>
            </w:r>
          </w:p>
        </w:tc>
        <w:tc>
          <w:tcPr>
            <w:tcW w:w="1395" w:type="dxa"/>
            <w:tcBorders>
              <w:bottom w:val="single" w:sz="6" w:space="0" w:color="000000"/>
              <w:right w:val="single" w:sz="6" w:space="0" w:color="000000"/>
            </w:tcBorders>
            <w:vAlign w:val="center"/>
          </w:tcPr>
          <w:p w14:paraId="152B864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1CBE66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653D51D" w14:textId="77777777" w:rsidR="007D706A" w:rsidRDefault="007D706A" w:rsidP="00F70508">
            <w:pPr>
              <w:pStyle w:val="ParagraphStyle12"/>
              <w:rPr>
                <w:rStyle w:val="CharacterStyle12"/>
              </w:rPr>
            </w:pPr>
            <w:r>
              <w:rPr>
                <w:rStyle w:val="CharacterStyle12"/>
              </w:rPr>
              <w:t>10.000,00</w:t>
            </w:r>
          </w:p>
        </w:tc>
        <w:tc>
          <w:tcPr>
            <w:tcW w:w="1395" w:type="dxa"/>
            <w:tcBorders>
              <w:bottom w:val="single" w:sz="6" w:space="0" w:color="000000"/>
              <w:right w:val="single" w:sz="6" w:space="0" w:color="000000"/>
            </w:tcBorders>
            <w:vAlign w:val="center"/>
          </w:tcPr>
          <w:p w14:paraId="19239A7F" w14:textId="77777777" w:rsidR="007D706A" w:rsidRDefault="007D706A" w:rsidP="00F70508">
            <w:pPr>
              <w:pStyle w:val="ParagraphStyle12"/>
              <w:rPr>
                <w:rStyle w:val="CharacterStyle12"/>
              </w:rPr>
            </w:pPr>
            <w:r>
              <w:rPr>
                <w:rStyle w:val="CharacterStyle12"/>
              </w:rPr>
              <w:t>10.000,00</w:t>
            </w:r>
          </w:p>
        </w:tc>
        <w:tc>
          <w:tcPr>
            <w:tcW w:w="1395" w:type="dxa"/>
            <w:tcBorders>
              <w:bottom w:val="single" w:sz="6" w:space="0" w:color="000000"/>
              <w:right w:val="single" w:sz="6" w:space="0" w:color="000000"/>
            </w:tcBorders>
            <w:vAlign w:val="center"/>
          </w:tcPr>
          <w:p w14:paraId="05EAAF44" w14:textId="77777777" w:rsidR="007D706A" w:rsidRDefault="007D706A" w:rsidP="00F70508">
            <w:pPr>
              <w:pStyle w:val="ParagraphStyle12"/>
              <w:rPr>
                <w:rStyle w:val="CharacterStyle12"/>
              </w:rPr>
            </w:pPr>
            <w:r>
              <w:rPr>
                <w:rStyle w:val="CharacterStyle12"/>
              </w:rPr>
              <w:t>10.000,00</w:t>
            </w:r>
          </w:p>
        </w:tc>
      </w:tr>
      <w:tr w:rsidR="007D706A" w14:paraId="1E2CE4C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073DFBD" w14:textId="77777777" w:rsidR="007D706A" w:rsidRDefault="007D706A" w:rsidP="00F70508">
            <w:pPr>
              <w:pStyle w:val="ParagraphStyle10"/>
              <w:rPr>
                <w:rStyle w:val="CharacterStyle10"/>
              </w:rPr>
            </w:pPr>
            <w:r>
              <w:rPr>
                <w:rStyle w:val="CharacterStyle10"/>
              </w:rPr>
              <w:t>38</w:t>
            </w:r>
          </w:p>
        </w:tc>
        <w:tc>
          <w:tcPr>
            <w:tcW w:w="4995" w:type="dxa"/>
            <w:tcBorders>
              <w:bottom w:val="single" w:sz="6" w:space="0" w:color="000000"/>
              <w:right w:val="single" w:sz="6" w:space="0" w:color="000000"/>
            </w:tcBorders>
            <w:vAlign w:val="center"/>
          </w:tcPr>
          <w:p w14:paraId="085B2C22" w14:textId="77777777" w:rsidR="007D706A" w:rsidRDefault="007D706A" w:rsidP="00F70508">
            <w:pPr>
              <w:pStyle w:val="ParagraphStyle11"/>
              <w:rPr>
                <w:rStyle w:val="CharacterStyle11"/>
              </w:rPr>
            </w:pPr>
            <w:r>
              <w:rPr>
                <w:rStyle w:val="CharacterStyle11"/>
              </w:rPr>
              <w:t>Rashodi za donacije, kazne, naknade šteta i kapitalne pomoći</w:t>
            </w:r>
          </w:p>
        </w:tc>
        <w:tc>
          <w:tcPr>
            <w:tcW w:w="1395" w:type="dxa"/>
            <w:tcBorders>
              <w:bottom w:val="single" w:sz="6" w:space="0" w:color="000000"/>
              <w:right w:val="single" w:sz="6" w:space="0" w:color="000000"/>
            </w:tcBorders>
            <w:vAlign w:val="center"/>
          </w:tcPr>
          <w:p w14:paraId="2CB8B8F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59DBB4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F270FFA" w14:textId="77777777" w:rsidR="007D706A" w:rsidRDefault="007D706A" w:rsidP="00F70508">
            <w:pPr>
              <w:pStyle w:val="ParagraphStyle12"/>
              <w:rPr>
                <w:rStyle w:val="CharacterStyle12"/>
              </w:rPr>
            </w:pPr>
            <w:r>
              <w:rPr>
                <w:rStyle w:val="CharacterStyle12"/>
              </w:rPr>
              <w:t>1.850,00</w:t>
            </w:r>
          </w:p>
        </w:tc>
        <w:tc>
          <w:tcPr>
            <w:tcW w:w="1395" w:type="dxa"/>
            <w:tcBorders>
              <w:bottom w:val="single" w:sz="6" w:space="0" w:color="000000"/>
              <w:right w:val="single" w:sz="6" w:space="0" w:color="000000"/>
            </w:tcBorders>
            <w:vAlign w:val="center"/>
          </w:tcPr>
          <w:p w14:paraId="289CBA98" w14:textId="77777777" w:rsidR="007D706A" w:rsidRDefault="007D706A" w:rsidP="00F70508">
            <w:pPr>
              <w:pStyle w:val="ParagraphStyle12"/>
              <w:rPr>
                <w:rStyle w:val="CharacterStyle12"/>
              </w:rPr>
            </w:pPr>
            <w:r>
              <w:rPr>
                <w:rStyle w:val="CharacterStyle12"/>
              </w:rPr>
              <w:t>1.850,00</w:t>
            </w:r>
          </w:p>
        </w:tc>
        <w:tc>
          <w:tcPr>
            <w:tcW w:w="1395" w:type="dxa"/>
            <w:tcBorders>
              <w:bottom w:val="single" w:sz="6" w:space="0" w:color="000000"/>
              <w:right w:val="single" w:sz="6" w:space="0" w:color="000000"/>
            </w:tcBorders>
            <w:vAlign w:val="center"/>
          </w:tcPr>
          <w:p w14:paraId="1FAF2BB8" w14:textId="77777777" w:rsidR="007D706A" w:rsidRDefault="007D706A" w:rsidP="00F70508">
            <w:pPr>
              <w:pStyle w:val="ParagraphStyle12"/>
              <w:rPr>
                <w:rStyle w:val="CharacterStyle12"/>
              </w:rPr>
            </w:pPr>
            <w:r>
              <w:rPr>
                <w:rStyle w:val="CharacterStyle12"/>
              </w:rPr>
              <w:t>1.850,00</w:t>
            </w:r>
          </w:p>
        </w:tc>
      </w:tr>
      <w:tr w:rsidR="007D706A" w14:paraId="46C1A427" w14:textId="77777777" w:rsidTr="00F70508">
        <w:trPr>
          <w:trHeight w:val="420"/>
        </w:trPr>
        <w:tc>
          <w:tcPr>
            <w:tcW w:w="2880" w:type="dxa"/>
            <w:tcBorders>
              <w:left w:val="single" w:sz="6" w:space="0" w:color="000000"/>
              <w:bottom w:val="single" w:sz="6" w:space="0" w:color="000000"/>
              <w:right w:val="single" w:sz="6" w:space="0" w:color="000000"/>
            </w:tcBorders>
            <w:vAlign w:val="center"/>
          </w:tcPr>
          <w:p w14:paraId="3B522D5E" w14:textId="77777777" w:rsidR="007D706A" w:rsidRDefault="007D706A" w:rsidP="00F70508">
            <w:pPr>
              <w:pStyle w:val="ParagraphStyle4"/>
              <w:rPr>
                <w:rStyle w:val="CharacterStyle4"/>
              </w:rPr>
            </w:pPr>
            <w:r>
              <w:rPr>
                <w:rStyle w:val="CharacterStyle4"/>
              </w:rPr>
              <w:t>Aktivnost A100805</w:t>
            </w:r>
          </w:p>
        </w:tc>
        <w:tc>
          <w:tcPr>
            <w:tcW w:w="4995" w:type="dxa"/>
            <w:tcBorders>
              <w:bottom w:val="single" w:sz="6" w:space="0" w:color="000000"/>
              <w:right w:val="single" w:sz="6" w:space="0" w:color="000000"/>
            </w:tcBorders>
            <w:vAlign w:val="center"/>
          </w:tcPr>
          <w:p w14:paraId="5AA33F05" w14:textId="77777777" w:rsidR="007D706A" w:rsidRDefault="007D706A" w:rsidP="00F70508">
            <w:pPr>
              <w:pStyle w:val="ParagraphStyle5"/>
              <w:rPr>
                <w:rStyle w:val="CharacterStyle5"/>
              </w:rPr>
            </w:pPr>
            <w:r>
              <w:rPr>
                <w:rStyle w:val="CharacterStyle5"/>
              </w:rPr>
              <w:t>PARTICIPACIJA U FONDU ZA RAZVOJ POLJOPRIVREDE I AGROTURIZMA ISTRE</w:t>
            </w:r>
          </w:p>
        </w:tc>
        <w:tc>
          <w:tcPr>
            <w:tcW w:w="1395" w:type="dxa"/>
            <w:tcBorders>
              <w:bottom w:val="single" w:sz="6" w:space="0" w:color="000000"/>
              <w:right w:val="single" w:sz="6" w:space="0" w:color="000000"/>
            </w:tcBorders>
            <w:vAlign w:val="center"/>
          </w:tcPr>
          <w:p w14:paraId="43B594C8"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2819A110" w14:textId="77777777" w:rsidR="007D706A" w:rsidRDefault="007D706A" w:rsidP="00F70508">
            <w:pPr>
              <w:pStyle w:val="ParagraphStyle6"/>
              <w:rPr>
                <w:rStyle w:val="CharacterStyle6"/>
              </w:rPr>
            </w:pPr>
            <w:r>
              <w:rPr>
                <w:rStyle w:val="CharacterStyle6"/>
              </w:rPr>
              <w:t>1.330,00</w:t>
            </w:r>
          </w:p>
        </w:tc>
        <w:tc>
          <w:tcPr>
            <w:tcW w:w="1395" w:type="dxa"/>
            <w:tcBorders>
              <w:bottom w:val="single" w:sz="6" w:space="0" w:color="000000"/>
              <w:right w:val="single" w:sz="6" w:space="0" w:color="000000"/>
            </w:tcBorders>
            <w:vAlign w:val="center"/>
          </w:tcPr>
          <w:p w14:paraId="7A44A592" w14:textId="77777777" w:rsidR="007D706A" w:rsidRDefault="007D706A" w:rsidP="00F70508">
            <w:pPr>
              <w:pStyle w:val="ParagraphStyle6"/>
              <w:rPr>
                <w:rStyle w:val="CharacterStyle6"/>
              </w:rPr>
            </w:pPr>
            <w:r>
              <w:rPr>
                <w:rStyle w:val="CharacterStyle6"/>
              </w:rPr>
              <w:t>1.330,00</w:t>
            </w:r>
          </w:p>
        </w:tc>
        <w:tc>
          <w:tcPr>
            <w:tcW w:w="1395" w:type="dxa"/>
            <w:tcBorders>
              <w:bottom w:val="single" w:sz="6" w:space="0" w:color="000000"/>
              <w:right w:val="single" w:sz="6" w:space="0" w:color="000000"/>
            </w:tcBorders>
            <w:vAlign w:val="center"/>
          </w:tcPr>
          <w:p w14:paraId="3690CC2C" w14:textId="77777777" w:rsidR="007D706A" w:rsidRDefault="007D706A" w:rsidP="00F70508">
            <w:pPr>
              <w:pStyle w:val="ParagraphStyle6"/>
              <w:rPr>
                <w:rStyle w:val="CharacterStyle6"/>
              </w:rPr>
            </w:pPr>
            <w:r>
              <w:rPr>
                <w:rStyle w:val="CharacterStyle6"/>
              </w:rPr>
              <w:t>1.330,00</w:t>
            </w:r>
          </w:p>
        </w:tc>
        <w:tc>
          <w:tcPr>
            <w:tcW w:w="1395" w:type="dxa"/>
            <w:tcBorders>
              <w:bottom w:val="single" w:sz="6" w:space="0" w:color="000000"/>
              <w:right w:val="single" w:sz="6" w:space="0" w:color="000000"/>
            </w:tcBorders>
            <w:vAlign w:val="center"/>
          </w:tcPr>
          <w:p w14:paraId="6BF590D1" w14:textId="77777777" w:rsidR="007D706A" w:rsidRDefault="007D706A" w:rsidP="00F70508">
            <w:pPr>
              <w:pStyle w:val="ParagraphStyle6"/>
              <w:rPr>
                <w:rStyle w:val="CharacterStyle6"/>
              </w:rPr>
            </w:pPr>
            <w:r>
              <w:rPr>
                <w:rStyle w:val="CharacterStyle6"/>
              </w:rPr>
              <w:t>1.330,00</w:t>
            </w:r>
          </w:p>
        </w:tc>
      </w:tr>
      <w:tr w:rsidR="007D706A" w14:paraId="4148939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DC33A52"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15A12093"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616B7780"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2D44A01" w14:textId="77777777" w:rsidR="007D706A" w:rsidRDefault="007D706A" w:rsidP="00F70508">
            <w:pPr>
              <w:pStyle w:val="ParagraphStyle9"/>
              <w:rPr>
                <w:rStyle w:val="CharacterStyle9"/>
              </w:rPr>
            </w:pPr>
            <w:r>
              <w:rPr>
                <w:rStyle w:val="CharacterStyle9"/>
              </w:rPr>
              <w:t>1.330,00</w:t>
            </w:r>
          </w:p>
        </w:tc>
        <w:tc>
          <w:tcPr>
            <w:tcW w:w="1395" w:type="dxa"/>
            <w:tcBorders>
              <w:bottom w:val="single" w:sz="6" w:space="0" w:color="000000"/>
              <w:right w:val="single" w:sz="6" w:space="0" w:color="000000"/>
            </w:tcBorders>
            <w:vAlign w:val="center"/>
          </w:tcPr>
          <w:p w14:paraId="552806C4" w14:textId="77777777" w:rsidR="007D706A" w:rsidRDefault="007D706A" w:rsidP="00F70508">
            <w:pPr>
              <w:pStyle w:val="ParagraphStyle9"/>
              <w:rPr>
                <w:rStyle w:val="CharacterStyle9"/>
              </w:rPr>
            </w:pPr>
            <w:r>
              <w:rPr>
                <w:rStyle w:val="CharacterStyle9"/>
              </w:rPr>
              <w:t>1.330,00</w:t>
            </w:r>
          </w:p>
        </w:tc>
        <w:tc>
          <w:tcPr>
            <w:tcW w:w="1395" w:type="dxa"/>
            <w:tcBorders>
              <w:bottom w:val="single" w:sz="6" w:space="0" w:color="000000"/>
              <w:right w:val="single" w:sz="6" w:space="0" w:color="000000"/>
            </w:tcBorders>
            <w:vAlign w:val="center"/>
          </w:tcPr>
          <w:p w14:paraId="7B987786" w14:textId="77777777" w:rsidR="007D706A" w:rsidRDefault="007D706A" w:rsidP="00F70508">
            <w:pPr>
              <w:pStyle w:val="ParagraphStyle9"/>
              <w:rPr>
                <w:rStyle w:val="CharacterStyle9"/>
              </w:rPr>
            </w:pPr>
            <w:r>
              <w:rPr>
                <w:rStyle w:val="CharacterStyle9"/>
              </w:rPr>
              <w:t>1.330,00</w:t>
            </w:r>
          </w:p>
        </w:tc>
        <w:tc>
          <w:tcPr>
            <w:tcW w:w="1395" w:type="dxa"/>
            <w:tcBorders>
              <w:bottom w:val="single" w:sz="6" w:space="0" w:color="000000"/>
              <w:right w:val="single" w:sz="6" w:space="0" w:color="000000"/>
            </w:tcBorders>
            <w:vAlign w:val="center"/>
          </w:tcPr>
          <w:p w14:paraId="232E4638" w14:textId="77777777" w:rsidR="007D706A" w:rsidRDefault="007D706A" w:rsidP="00F70508">
            <w:pPr>
              <w:pStyle w:val="ParagraphStyle9"/>
              <w:rPr>
                <w:rStyle w:val="CharacterStyle9"/>
              </w:rPr>
            </w:pPr>
            <w:r>
              <w:rPr>
                <w:rStyle w:val="CharacterStyle9"/>
              </w:rPr>
              <w:t>1.330,00</w:t>
            </w:r>
          </w:p>
        </w:tc>
      </w:tr>
      <w:tr w:rsidR="007D706A" w14:paraId="2457484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853832B"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56DBC4A3"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48138E0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13BD90A" w14:textId="77777777" w:rsidR="007D706A" w:rsidRDefault="007D706A" w:rsidP="00F70508">
            <w:pPr>
              <w:pStyle w:val="ParagraphStyle12"/>
              <w:rPr>
                <w:rStyle w:val="CharacterStyle12"/>
              </w:rPr>
            </w:pPr>
            <w:r>
              <w:rPr>
                <w:rStyle w:val="CharacterStyle12"/>
              </w:rPr>
              <w:t>1.330,00</w:t>
            </w:r>
          </w:p>
        </w:tc>
        <w:tc>
          <w:tcPr>
            <w:tcW w:w="1395" w:type="dxa"/>
            <w:tcBorders>
              <w:bottom w:val="single" w:sz="6" w:space="0" w:color="000000"/>
              <w:right w:val="single" w:sz="6" w:space="0" w:color="000000"/>
            </w:tcBorders>
            <w:vAlign w:val="center"/>
          </w:tcPr>
          <w:p w14:paraId="60022734" w14:textId="77777777" w:rsidR="007D706A" w:rsidRDefault="007D706A" w:rsidP="00F70508">
            <w:pPr>
              <w:pStyle w:val="ParagraphStyle12"/>
              <w:rPr>
                <w:rStyle w:val="CharacterStyle12"/>
              </w:rPr>
            </w:pPr>
            <w:r>
              <w:rPr>
                <w:rStyle w:val="CharacterStyle12"/>
              </w:rPr>
              <w:t>1.330,00</w:t>
            </w:r>
          </w:p>
        </w:tc>
        <w:tc>
          <w:tcPr>
            <w:tcW w:w="1395" w:type="dxa"/>
            <w:tcBorders>
              <w:bottom w:val="single" w:sz="6" w:space="0" w:color="000000"/>
              <w:right w:val="single" w:sz="6" w:space="0" w:color="000000"/>
            </w:tcBorders>
            <w:vAlign w:val="center"/>
          </w:tcPr>
          <w:p w14:paraId="4DA6D62C" w14:textId="77777777" w:rsidR="007D706A" w:rsidRDefault="007D706A" w:rsidP="00F70508">
            <w:pPr>
              <w:pStyle w:val="ParagraphStyle12"/>
              <w:rPr>
                <w:rStyle w:val="CharacterStyle12"/>
              </w:rPr>
            </w:pPr>
            <w:r>
              <w:rPr>
                <w:rStyle w:val="CharacterStyle12"/>
              </w:rPr>
              <w:t>1.330,00</w:t>
            </w:r>
          </w:p>
        </w:tc>
        <w:tc>
          <w:tcPr>
            <w:tcW w:w="1395" w:type="dxa"/>
            <w:tcBorders>
              <w:bottom w:val="single" w:sz="6" w:space="0" w:color="000000"/>
              <w:right w:val="single" w:sz="6" w:space="0" w:color="000000"/>
            </w:tcBorders>
            <w:vAlign w:val="center"/>
          </w:tcPr>
          <w:p w14:paraId="14733F7D" w14:textId="77777777" w:rsidR="007D706A" w:rsidRDefault="007D706A" w:rsidP="00F70508">
            <w:pPr>
              <w:pStyle w:val="ParagraphStyle12"/>
              <w:rPr>
                <w:rStyle w:val="CharacterStyle12"/>
              </w:rPr>
            </w:pPr>
            <w:r>
              <w:rPr>
                <w:rStyle w:val="CharacterStyle12"/>
              </w:rPr>
              <w:t>1.330,00</w:t>
            </w:r>
          </w:p>
        </w:tc>
      </w:tr>
      <w:tr w:rsidR="007D706A" w14:paraId="3C84E61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37D53B1" w14:textId="77777777" w:rsidR="007D706A" w:rsidRDefault="007D706A" w:rsidP="00F70508">
            <w:pPr>
              <w:pStyle w:val="ParagraphStyle10"/>
              <w:rPr>
                <w:rStyle w:val="CharacterStyle10"/>
              </w:rPr>
            </w:pPr>
            <w:r>
              <w:rPr>
                <w:rStyle w:val="CharacterStyle10"/>
              </w:rPr>
              <w:t>36</w:t>
            </w:r>
          </w:p>
        </w:tc>
        <w:tc>
          <w:tcPr>
            <w:tcW w:w="4995" w:type="dxa"/>
            <w:tcBorders>
              <w:bottom w:val="single" w:sz="6" w:space="0" w:color="000000"/>
              <w:right w:val="single" w:sz="6" w:space="0" w:color="000000"/>
            </w:tcBorders>
            <w:vAlign w:val="center"/>
          </w:tcPr>
          <w:p w14:paraId="3A007D1A" w14:textId="77777777" w:rsidR="007D706A" w:rsidRDefault="007D706A" w:rsidP="00F70508">
            <w:pPr>
              <w:pStyle w:val="ParagraphStyle11"/>
              <w:rPr>
                <w:rStyle w:val="CharacterStyle11"/>
              </w:rPr>
            </w:pPr>
            <w:r>
              <w:rPr>
                <w:rStyle w:val="CharacterStyle11"/>
              </w:rPr>
              <w:t>Pomoći dane u inozemstvo i unutar općeg proračuna</w:t>
            </w:r>
          </w:p>
        </w:tc>
        <w:tc>
          <w:tcPr>
            <w:tcW w:w="1395" w:type="dxa"/>
            <w:tcBorders>
              <w:bottom w:val="single" w:sz="6" w:space="0" w:color="000000"/>
              <w:right w:val="single" w:sz="6" w:space="0" w:color="000000"/>
            </w:tcBorders>
            <w:vAlign w:val="center"/>
          </w:tcPr>
          <w:p w14:paraId="3FCC131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304CECB" w14:textId="77777777" w:rsidR="007D706A" w:rsidRDefault="007D706A" w:rsidP="00F70508">
            <w:pPr>
              <w:pStyle w:val="ParagraphStyle12"/>
              <w:rPr>
                <w:rStyle w:val="CharacterStyle12"/>
              </w:rPr>
            </w:pPr>
            <w:r>
              <w:rPr>
                <w:rStyle w:val="CharacterStyle12"/>
              </w:rPr>
              <w:t>1.330,00</w:t>
            </w:r>
          </w:p>
        </w:tc>
        <w:tc>
          <w:tcPr>
            <w:tcW w:w="1395" w:type="dxa"/>
            <w:tcBorders>
              <w:bottom w:val="single" w:sz="6" w:space="0" w:color="000000"/>
              <w:right w:val="single" w:sz="6" w:space="0" w:color="000000"/>
            </w:tcBorders>
            <w:vAlign w:val="center"/>
          </w:tcPr>
          <w:p w14:paraId="3A7E0422" w14:textId="77777777" w:rsidR="007D706A" w:rsidRDefault="007D706A" w:rsidP="00F70508">
            <w:pPr>
              <w:pStyle w:val="ParagraphStyle12"/>
              <w:rPr>
                <w:rStyle w:val="CharacterStyle12"/>
              </w:rPr>
            </w:pPr>
            <w:r>
              <w:rPr>
                <w:rStyle w:val="CharacterStyle12"/>
              </w:rPr>
              <w:t>1.330,00</w:t>
            </w:r>
          </w:p>
        </w:tc>
        <w:tc>
          <w:tcPr>
            <w:tcW w:w="1395" w:type="dxa"/>
            <w:tcBorders>
              <w:bottom w:val="single" w:sz="6" w:space="0" w:color="000000"/>
              <w:right w:val="single" w:sz="6" w:space="0" w:color="000000"/>
            </w:tcBorders>
            <w:vAlign w:val="center"/>
          </w:tcPr>
          <w:p w14:paraId="0F7163A5" w14:textId="77777777" w:rsidR="007D706A" w:rsidRDefault="007D706A" w:rsidP="00F70508">
            <w:pPr>
              <w:pStyle w:val="ParagraphStyle12"/>
              <w:rPr>
                <w:rStyle w:val="CharacterStyle12"/>
              </w:rPr>
            </w:pPr>
            <w:r>
              <w:rPr>
                <w:rStyle w:val="CharacterStyle12"/>
              </w:rPr>
              <w:t>1.330,00</w:t>
            </w:r>
          </w:p>
        </w:tc>
        <w:tc>
          <w:tcPr>
            <w:tcW w:w="1395" w:type="dxa"/>
            <w:tcBorders>
              <w:bottom w:val="single" w:sz="6" w:space="0" w:color="000000"/>
              <w:right w:val="single" w:sz="6" w:space="0" w:color="000000"/>
            </w:tcBorders>
            <w:vAlign w:val="center"/>
          </w:tcPr>
          <w:p w14:paraId="0C087BE0" w14:textId="77777777" w:rsidR="007D706A" w:rsidRDefault="007D706A" w:rsidP="00F70508">
            <w:pPr>
              <w:pStyle w:val="ParagraphStyle12"/>
              <w:rPr>
                <w:rStyle w:val="CharacterStyle12"/>
              </w:rPr>
            </w:pPr>
            <w:r>
              <w:rPr>
                <w:rStyle w:val="CharacterStyle12"/>
              </w:rPr>
              <w:t>1.330,00</w:t>
            </w:r>
          </w:p>
        </w:tc>
      </w:tr>
      <w:tr w:rsidR="007D706A" w14:paraId="556CE5B9" w14:textId="77777777" w:rsidTr="00F70508">
        <w:trPr>
          <w:trHeight w:val="420"/>
        </w:trPr>
        <w:tc>
          <w:tcPr>
            <w:tcW w:w="2880" w:type="dxa"/>
            <w:tcBorders>
              <w:left w:val="single" w:sz="6" w:space="0" w:color="000000"/>
              <w:bottom w:val="single" w:sz="6" w:space="0" w:color="000000"/>
              <w:right w:val="single" w:sz="6" w:space="0" w:color="000000"/>
            </w:tcBorders>
            <w:vAlign w:val="center"/>
          </w:tcPr>
          <w:p w14:paraId="517ADBAA" w14:textId="77777777" w:rsidR="007D706A" w:rsidRDefault="007D706A" w:rsidP="00F70508">
            <w:pPr>
              <w:pStyle w:val="ParagraphStyle4"/>
              <w:rPr>
                <w:rStyle w:val="CharacterStyle4"/>
              </w:rPr>
            </w:pPr>
            <w:r>
              <w:rPr>
                <w:rStyle w:val="CharacterStyle4"/>
              </w:rPr>
              <w:t>Aktivnost A100806</w:t>
            </w:r>
          </w:p>
        </w:tc>
        <w:tc>
          <w:tcPr>
            <w:tcW w:w="4995" w:type="dxa"/>
            <w:tcBorders>
              <w:bottom w:val="single" w:sz="6" w:space="0" w:color="000000"/>
              <w:right w:val="single" w:sz="6" w:space="0" w:color="000000"/>
            </w:tcBorders>
            <w:vAlign w:val="center"/>
          </w:tcPr>
          <w:p w14:paraId="7149D927" w14:textId="77777777" w:rsidR="007D706A" w:rsidRDefault="007D706A" w:rsidP="00F70508">
            <w:pPr>
              <w:pStyle w:val="ParagraphStyle5"/>
              <w:rPr>
                <w:rStyle w:val="CharacterStyle5"/>
              </w:rPr>
            </w:pPr>
            <w:r>
              <w:rPr>
                <w:rStyle w:val="CharacterStyle5"/>
              </w:rPr>
              <w:t>PROSLAVA SV.ANTUNA OPATA U ROVINJSKOM SELU - ANTONJA</w:t>
            </w:r>
          </w:p>
        </w:tc>
        <w:tc>
          <w:tcPr>
            <w:tcW w:w="1395" w:type="dxa"/>
            <w:tcBorders>
              <w:bottom w:val="single" w:sz="6" w:space="0" w:color="000000"/>
              <w:right w:val="single" w:sz="6" w:space="0" w:color="000000"/>
            </w:tcBorders>
            <w:vAlign w:val="center"/>
          </w:tcPr>
          <w:p w14:paraId="391CA98D"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1BA14DC8" w14:textId="77777777" w:rsidR="007D706A" w:rsidRDefault="007D706A" w:rsidP="00F70508">
            <w:pPr>
              <w:pStyle w:val="ParagraphStyle6"/>
              <w:rPr>
                <w:rStyle w:val="CharacterStyle6"/>
              </w:rPr>
            </w:pPr>
            <w:r>
              <w:rPr>
                <w:rStyle w:val="CharacterStyle6"/>
              </w:rPr>
              <w:t>10.000,00</w:t>
            </w:r>
          </w:p>
        </w:tc>
        <w:tc>
          <w:tcPr>
            <w:tcW w:w="1395" w:type="dxa"/>
            <w:tcBorders>
              <w:bottom w:val="single" w:sz="6" w:space="0" w:color="000000"/>
              <w:right w:val="single" w:sz="6" w:space="0" w:color="000000"/>
            </w:tcBorders>
            <w:vAlign w:val="center"/>
          </w:tcPr>
          <w:p w14:paraId="1631B70B" w14:textId="77777777" w:rsidR="007D706A" w:rsidRDefault="007D706A" w:rsidP="00F70508">
            <w:pPr>
              <w:pStyle w:val="ParagraphStyle6"/>
              <w:rPr>
                <w:rStyle w:val="CharacterStyle6"/>
              </w:rPr>
            </w:pPr>
            <w:r>
              <w:rPr>
                <w:rStyle w:val="CharacterStyle6"/>
              </w:rPr>
              <w:t>10.000,00</w:t>
            </w:r>
          </w:p>
        </w:tc>
        <w:tc>
          <w:tcPr>
            <w:tcW w:w="1395" w:type="dxa"/>
            <w:tcBorders>
              <w:bottom w:val="single" w:sz="6" w:space="0" w:color="000000"/>
              <w:right w:val="single" w:sz="6" w:space="0" w:color="000000"/>
            </w:tcBorders>
            <w:vAlign w:val="center"/>
          </w:tcPr>
          <w:p w14:paraId="0C47DC1E" w14:textId="77777777" w:rsidR="007D706A" w:rsidRDefault="007D706A" w:rsidP="00F70508">
            <w:pPr>
              <w:pStyle w:val="ParagraphStyle6"/>
              <w:rPr>
                <w:rStyle w:val="CharacterStyle6"/>
              </w:rPr>
            </w:pPr>
            <w:r>
              <w:rPr>
                <w:rStyle w:val="CharacterStyle6"/>
              </w:rPr>
              <w:t>10.000,00</w:t>
            </w:r>
          </w:p>
        </w:tc>
        <w:tc>
          <w:tcPr>
            <w:tcW w:w="1395" w:type="dxa"/>
            <w:tcBorders>
              <w:bottom w:val="single" w:sz="6" w:space="0" w:color="000000"/>
              <w:right w:val="single" w:sz="6" w:space="0" w:color="000000"/>
            </w:tcBorders>
            <w:vAlign w:val="center"/>
          </w:tcPr>
          <w:p w14:paraId="3BD42A70" w14:textId="77777777" w:rsidR="007D706A" w:rsidRDefault="007D706A" w:rsidP="00F70508">
            <w:pPr>
              <w:pStyle w:val="ParagraphStyle6"/>
              <w:rPr>
                <w:rStyle w:val="CharacterStyle6"/>
              </w:rPr>
            </w:pPr>
            <w:r>
              <w:rPr>
                <w:rStyle w:val="CharacterStyle6"/>
              </w:rPr>
              <w:t>10.000,00</w:t>
            </w:r>
          </w:p>
        </w:tc>
      </w:tr>
      <w:tr w:rsidR="007D706A" w14:paraId="5D62125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DB5DEA5" w14:textId="77777777" w:rsidR="007D706A" w:rsidRDefault="007D706A" w:rsidP="00F70508">
            <w:pPr>
              <w:pStyle w:val="ParagraphStyle7"/>
              <w:rPr>
                <w:rStyle w:val="CharacterStyle7"/>
              </w:rPr>
            </w:pPr>
            <w:r>
              <w:rPr>
                <w:rStyle w:val="CharacterStyle7"/>
              </w:rPr>
              <w:t>Izvor financiranja 41</w:t>
            </w:r>
          </w:p>
        </w:tc>
        <w:tc>
          <w:tcPr>
            <w:tcW w:w="4995" w:type="dxa"/>
            <w:tcBorders>
              <w:bottom w:val="single" w:sz="6" w:space="0" w:color="000000"/>
              <w:right w:val="single" w:sz="6" w:space="0" w:color="000000"/>
            </w:tcBorders>
            <w:vAlign w:val="center"/>
          </w:tcPr>
          <w:p w14:paraId="552B441F" w14:textId="77777777" w:rsidR="007D706A" w:rsidRDefault="007D706A" w:rsidP="00F70508">
            <w:pPr>
              <w:pStyle w:val="ParagraphStyle8"/>
              <w:rPr>
                <w:rStyle w:val="CharacterStyle8"/>
              </w:rPr>
            </w:pPr>
            <w:r>
              <w:rPr>
                <w:rStyle w:val="CharacterStyle8"/>
              </w:rPr>
              <w:t>Prihodi za posebne namjene</w:t>
            </w:r>
          </w:p>
        </w:tc>
        <w:tc>
          <w:tcPr>
            <w:tcW w:w="1395" w:type="dxa"/>
            <w:tcBorders>
              <w:bottom w:val="single" w:sz="6" w:space="0" w:color="000000"/>
              <w:right w:val="single" w:sz="6" w:space="0" w:color="000000"/>
            </w:tcBorders>
            <w:vAlign w:val="center"/>
          </w:tcPr>
          <w:p w14:paraId="77E12D7A"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49AA7D2" w14:textId="77777777" w:rsidR="007D706A" w:rsidRDefault="007D706A" w:rsidP="00F70508">
            <w:pPr>
              <w:pStyle w:val="ParagraphStyle9"/>
              <w:rPr>
                <w:rStyle w:val="CharacterStyle9"/>
              </w:rPr>
            </w:pPr>
            <w:r>
              <w:rPr>
                <w:rStyle w:val="CharacterStyle9"/>
              </w:rPr>
              <w:t>10.000,00</w:t>
            </w:r>
          </w:p>
        </w:tc>
        <w:tc>
          <w:tcPr>
            <w:tcW w:w="1395" w:type="dxa"/>
            <w:tcBorders>
              <w:bottom w:val="single" w:sz="6" w:space="0" w:color="000000"/>
              <w:right w:val="single" w:sz="6" w:space="0" w:color="000000"/>
            </w:tcBorders>
            <w:vAlign w:val="center"/>
          </w:tcPr>
          <w:p w14:paraId="0C24D891"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C94EBC5"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825CE23" w14:textId="77777777" w:rsidR="007D706A" w:rsidRDefault="007D706A" w:rsidP="00F70508">
            <w:pPr>
              <w:pStyle w:val="ParagraphStyle9"/>
              <w:rPr>
                <w:rStyle w:val="CharacterStyle9"/>
              </w:rPr>
            </w:pPr>
            <w:r>
              <w:rPr>
                <w:rStyle w:val="CharacterStyle9"/>
              </w:rPr>
              <w:t>0,00</w:t>
            </w:r>
          </w:p>
        </w:tc>
      </w:tr>
      <w:tr w:rsidR="007D706A" w14:paraId="33CC5C0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6679185"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1E4647FA"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0943FF3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0A1A537" w14:textId="77777777" w:rsidR="007D706A" w:rsidRDefault="007D706A" w:rsidP="00F70508">
            <w:pPr>
              <w:pStyle w:val="ParagraphStyle12"/>
              <w:rPr>
                <w:rStyle w:val="CharacterStyle12"/>
              </w:rPr>
            </w:pPr>
            <w:r>
              <w:rPr>
                <w:rStyle w:val="CharacterStyle12"/>
              </w:rPr>
              <w:t>10.000,00</w:t>
            </w:r>
          </w:p>
        </w:tc>
        <w:tc>
          <w:tcPr>
            <w:tcW w:w="1395" w:type="dxa"/>
            <w:tcBorders>
              <w:bottom w:val="single" w:sz="6" w:space="0" w:color="000000"/>
              <w:right w:val="single" w:sz="6" w:space="0" w:color="000000"/>
            </w:tcBorders>
            <w:vAlign w:val="center"/>
          </w:tcPr>
          <w:p w14:paraId="244BDB1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D21C0D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2F03273" w14:textId="77777777" w:rsidR="007D706A" w:rsidRDefault="007D706A" w:rsidP="00F70508">
            <w:pPr>
              <w:pStyle w:val="ParagraphStyle12"/>
              <w:rPr>
                <w:rStyle w:val="CharacterStyle12"/>
              </w:rPr>
            </w:pPr>
            <w:r>
              <w:rPr>
                <w:rStyle w:val="CharacterStyle12"/>
              </w:rPr>
              <w:t>0,00</w:t>
            </w:r>
          </w:p>
        </w:tc>
      </w:tr>
      <w:tr w:rsidR="007D706A" w14:paraId="16E8B61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1F2D10E" w14:textId="77777777" w:rsidR="007D706A" w:rsidRDefault="007D706A" w:rsidP="00F70508">
            <w:pPr>
              <w:pStyle w:val="ParagraphStyle10"/>
              <w:rPr>
                <w:rStyle w:val="CharacterStyle10"/>
              </w:rPr>
            </w:pPr>
            <w:r>
              <w:rPr>
                <w:rStyle w:val="CharacterStyle10"/>
              </w:rPr>
              <w:t>38</w:t>
            </w:r>
          </w:p>
        </w:tc>
        <w:tc>
          <w:tcPr>
            <w:tcW w:w="4995" w:type="dxa"/>
            <w:tcBorders>
              <w:bottom w:val="single" w:sz="6" w:space="0" w:color="000000"/>
              <w:right w:val="single" w:sz="6" w:space="0" w:color="000000"/>
            </w:tcBorders>
            <w:vAlign w:val="center"/>
          </w:tcPr>
          <w:p w14:paraId="1B4AEA7E" w14:textId="77777777" w:rsidR="007D706A" w:rsidRDefault="007D706A" w:rsidP="00F70508">
            <w:pPr>
              <w:pStyle w:val="ParagraphStyle11"/>
              <w:rPr>
                <w:rStyle w:val="CharacterStyle11"/>
              </w:rPr>
            </w:pPr>
            <w:r>
              <w:rPr>
                <w:rStyle w:val="CharacterStyle11"/>
              </w:rPr>
              <w:t>Rashodi za donacije, kazne, naknade šteta i kapitalne pomoći</w:t>
            </w:r>
          </w:p>
        </w:tc>
        <w:tc>
          <w:tcPr>
            <w:tcW w:w="1395" w:type="dxa"/>
            <w:tcBorders>
              <w:bottom w:val="single" w:sz="6" w:space="0" w:color="000000"/>
              <w:right w:val="single" w:sz="6" w:space="0" w:color="000000"/>
            </w:tcBorders>
            <w:vAlign w:val="center"/>
          </w:tcPr>
          <w:p w14:paraId="2412A68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A8BA989" w14:textId="77777777" w:rsidR="007D706A" w:rsidRDefault="007D706A" w:rsidP="00F70508">
            <w:pPr>
              <w:pStyle w:val="ParagraphStyle12"/>
              <w:rPr>
                <w:rStyle w:val="CharacterStyle12"/>
              </w:rPr>
            </w:pPr>
            <w:r>
              <w:rPr>
                <w:rStyle w:val="CharacterStyle12"/>
              </w:rPr>
              <w:t>10.000,00</w:t>
            </w:r>
          </w:p>
        </w:tc>
        <w:tc>
          <w:tcPr>
            <w:tcW w:w="1395" w:type="dxa"/>
            <w:tcBorders>
              <w:bottom w:val="single" w:sz="6" w:space="0" w:color="000000"/>
              <w:right w:val="single" w:sz="6" w:space="0" w:color="000000"/>
            </w:tcBorders>
            <w:vAlign w:val="center"/>
          </w:tcPr>
          <w:p w14:paraId="5AF3EFD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B44194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E8B0918" w14:textId="77777777" w:rsidR="007D706A" w:rsidRDefault="007D706A" w:rsidP="00F70508">
            <w:pPr>
              <w:pStyle w:val="ParagraphStyle12"/>
              <w:rPr>
                <w:rStyle w:val="CharacterStyle12"/>
              </w:rPr>
            </w:pPr>
            <w:r>
              <w:rPr>
                <w:rStyle w:val="CharacterStyle12"/>
              </w:rPr>
              <w:t>0,00</w:t>
            </w:r>
          </w:p>
        </w:tc>
      </w:tr>
      <w:tr w:rsidR="007D706A" w14:paraId="34222C4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89D3D34" w14:textId="77777777" w:rsidR="007D706A" w:rsidRDefault="007D706A" w:rsidP="00F70508">
            <w:pPr>
              <w:pStyle w:val="ParagraphStyle7"/>
              <w:rPr>
                <w:rStyle w:val="CharacterStyle7"/>
              </w:rPr>
            </w:pPr>
            <w:r>
              <w:rPr>
                <w:rStyle w:val="CharacterStyle7"/>
              </w:rPr>
              <w:t>Izvor financiranja 43</w:t>
            </w:r>
          </w:p>
        </w:tc>
        <w:tc>
          <w:tcPr>
            <w:tcW w:w="4995" w:type="dxa"/>
            <w:tcBorders>
              <w:bottom w:val="single" w:sz="6" w:space="0" w:color="000000"/>
              <w:right w:val="single" w:sz="6" w:space="0" w:color="000000"/>
            </w:tcBorders>
            <w:vAlign w:val="center"/>
          </w:tcPr>
          <w:p w14:paraId="4341F957" w14:textId="77777777" w:rsidR="007D706A" w:rsidRDefault="007D706A" w:rsidP="00F70508">
            <w:pPr>
              <w:pStyle w:val="ParagraphStyle8"/>
              <w:rPr>
                <w:rStyle w:val="CharacterStyle8"/>
              </w:rPr>
            </w:pPr>
            <w:r>
              <w:rPr>
                <w:rStyle w:val="CharacterStyle8"/>
              </w:rPr>
              <w:t>Ostali prihodi za posebne namjene</w:t>
            </w:r>
          </w:p>
        </w:tc>
        <w:tc>
          <w:tcPr>
            <w:tcW w:w="1395" w:type="dxa"/>
            <w:tcBorders>
              <w:bottom w:val="single" w:sz="6" w:space="0" w:color="000000"/>
              <w:right w:val="single" w:sz="6" w:space="0" w:color="000000"/>
            </w:tcBorders>
            <w:vAlign w:val="center"/>
          </w:tcPr>
          <w:p w14:paraId="55074569"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2FEBFF0"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2161827" w14:textId="77777777" w:rsidR="007D706A" w:rsidRDefault="007D706A" w:rsidP="00F70508">
            <w:pPr>
              <w:pStyle w:val="ParagraphStyle9"/>
              <w:rPr>
                <w:rStyle w:val="CharacterStyle9"/>
              </w:rPr>
            </w:pPr>
            <w:r>
              <w:rPr>
                <w:rStyle w:val="CharacterStyle9"/>
              </w:rPr>
              <w:t>10.000,00</w:t>
            </w:r>
          </w:p>
        </w:tc>
        <w:tc>
          <w:tcPr>
            <w:tcW w:w="1395" w:type="dxa"/>
            <w:tcBorders>
              <w:bottom w:val="single" w:sz="6" w:space="0" w:color="000000"/>
              <w:right w:val="single" w:sz="6" w:space="0" w:color="000000"/>
            </w:tcBorders>
            <w:vAlign w:val="center"/>
          </w:tcPr>
          <w:p w14:paraId="34A97253" w14:textId="77777777" w:rsidR="007D706A" w:rsidRDefault="007D706A" w:rsidP="00F70508">
            <w:pPr>
              <w:pStyle w:val="ParagraphStyle9"/>
              <w:rPr>
                <w:rStyle w:val="CharacterStyle9"/>
              </w:rPr>
            </w:pPr>
            <w:r>
              <w:rPr>
                <w:rStyle w:val="CharacterStyle9"/>
              </w:rPr>
              <w:t>10.000,00</w:t>
            </w:r>
          </w:p>
        </w:tc>
        <w:tc>
          <w:tcPr>
            <w:tcW w:w="1395" w:type="dxa"/>
            <w:tcBorders>
              <w:bottom w:val="single" w:sz="6" w:space="0" w:color="000000"/>
              <w:right w:val="single" w:sz="6" w:space="0" w:color="000000"/>
            </w:tcBorders>
            <w:vAlign w:val="center"/>
          </w:tcPr>
          <w:p w14:paraId="6393B20B" w14:textId="77777777" w:rsidR="007D706A" w:rsidRDefault="007D706A" w:rsidP="00F70508">
            <w:pPr>
              <w:pStyle w:val="ParagraphStyle9"/>
              <w:rPr>
                <w:rStyle w:val="CharacterStyle9"/>
              </w:rPr>
            </w:pPr>
            <w:r>
              <w:rPr>
                <w:rStyle w:val="CharacterStyle9"/>
              </w:rPr>
              <w:t>10.000,00</w:t>
            </w:r>
          </w:p>
        </w:tc>
      </w:tr>
      <w:tr w:rsidR="007D706A" w14:paraId="1279AD3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E0AA426"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19480A4B"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7BBF937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F89539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2587809" w14:textId="77777777" w:rsidR="007D706A" w:rsidRDefault="007D706A" w:rsidP="00F70508">
            <w:pPr>
              <w:pStyle w:val="ParagraphStyle12"/>
              <w:rPr>
                <w:rStyle w:val="CharacterStyle12"/>
              </w:rPr>
            </w:pPr>
            <w:r>
              <w:rPr>
                <w:rStyle w:val="CharacterStyle12"/>
              </w:rPr>
              <w:t>10.000,00</w:t>
            </w:r>
          </w:p>
        </w:tc>
        <w:tc>
          <w:tcPr>
            <w:tcW w:w="1395" w:type="dxa"/>
            <w:tcBorders>
              <w:bottom w:val="single" w:sz="6" w:space="0" w:color="000000"/>
              <w:right w:val="single" w:sz="6" w:space="0" w:color="000000"/>
            </w:tcBorders>
            <w:vAlign w:val="center"/>
          </w:tcPr>
          <w:p w14:paraId="2701C351" w14:textId="77777777" w:rsidR="007D706A" w:rsidRDefault="007D706A" w:rsidP="00F70508">
            <w:pPr>
              <w:pStyle w:val="ParagraphStyle12"/>
              <w:rPr>
                <w:rStyle w:val="CharacterStyle12"/>
              </w:rPr>
            </w:pPr>
            <w:r>
              <w:rPr>
                <w:rStyle w:val="CharacterStyle12"/>
              </w:rPr>
              <w:t>10.000,00</w:t>
            </w:r>
          </w:p>
        </w:tc>
        <w:tc>
          <w:tcPr>
            <w:tcW w:w="1395" w:type="dxa"/>
            <w:tcBorders>
              <w:bottom w:val="single" w:sz="6" w:space="0" w:color="000000"/>
              <w:right w:val="single" w:sz="6" w:space="0" w:color="000000"/>
            </w:tcBorders>
            <w:vAlign w:val="center"/>
          </w:tcPr>
          <w:p w14:paraId="09AED04C" w14:textId="77777777" w:rsidR="007D706A" w:rsidRDefault="007D706A" w:rsidP="00F70508">
            <w:pPr>
              <w:pStyle w:val="ParagraphStyle12"/>
              <w:rPr>
                <w:rStyle w:val="CharacterStyle12"/>
              </w:rPr>
            </w:pPr>
            <w:r>
              <w:rPr>
                <w:rStyle w:val="CharacterStyle12"/>
              </w:rPr>
              <w:t>10.000,00</w:t>
            </w:r>
          </w:p>
        </w:tc>
      </w:tr>
      <w:tr w:rsidR="007D706A" w14:paraId="3FEF04A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0F77E0F" w14:textId="77777777" w:rsidR="007D706A" w:rsidRDefault="007D706A" w:rsidP="00F70508">
            <w:pPr>
              <w:pStyle w:val="ParagraphStyle10"/>
              <w:rPr>
                <w:rStyle w:val="CharacterStyle10"/>
              </w:rPr>
            </w:pPr>
            <w:r>
              <w:rPr>
                <w:rStyle w:val="CharacterStyle10"/>
              </w:rPr>
              <w:t>38</w:t>
            </w:r>
          </w:p>
        </w:tc>
        <w:tc>
          <w:tcPr>
            <w:tcW w:w="4995" w:type="dxa"/>
            <w:tcBorders>
              <w:bottom w:val="single" w:sz="6" w:space="0" w:color="000000"/>
              <w:right w:val="single" w:sz="6" w:space="0" w:color="000000"/>
            </w:tcBorders>
            <w:vAlign w:val="center"/>
          </w:tcPr>
          <w:p w14:paraId="11ABE62F" w14:textId="77777777" w:rsidR="007D706A" w:rsidRDefault="007D706A" w:rsidP="00F70508">
            <w:pPr>
              <w:pStyle w:val="ParagraphStyle11"/>
              <w:rPr>
                <w:rStyle w:val="CharacterStyle11"/>
              </w:rPr>
            </w:pPr>
            <w:r>
              <w:rPr>
                <w:rStyle w:val="CharacterStyle11"/>
              </w:rPr>
              <w:t>Rashodi za donacije, kazne, naknade šteta i kapitalne pomoći</w:t>
            </w:r>
          </w:p>
        </w:tc>
        <w:tc>
          <w:tcPr>
            <w:tcW w:w="1395" w:type="dxa"/>
            <w:tcBorders>
              <w:bottom w:val="single" w:sz="6" w:space="0" w:color="000000"/>
              <w:right w:val="single" w:sz="6" w:space="0" w:color="000000"/>
            </w:tcBorders>
            <w:vAlign w:val="center"/>
          </w:tcPr>
          <w:p w14:paraId="0AAA5FA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5248DE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6653AB4" w14:textId="77777777" w:rsidR="007D706A" w:rsidRDefault="007D706A" w:rsidP="00F70508">
            <w:pPr>
              <w:pStyle w:val="ParagraphStyle12"/>
              <w:rPr>
                <w:rStyle w:val="CharacterStyle12"/>
              </w:rPr>
            </w:pPr>
            <w:r>
              <w:rPr>
                <w:rStyle w:val="CharacterStyle12"/>
              </w:rPr>
              <w:t>10.000,00</w:t>
            </w:r>
          </w:p>
        </w:tc>
        <w:tc>
          <w:tcPr>
            <w:tcW w:w="1395" w:type="dxa"/>
            <w:tcBorders>
              <w:bottom w:val="single" w:sz="6" w:space="0" w:color="000000"/>
              <w:right w:val="single" w:sz="6" w:space="0" w:color="000000"/>
            </w:tcBorders>
            <w:vAlign w:val="center"/>
          </w:tcPr>
          <w:p w14:paraId="1489C610" w14:textId="77777777" w:rsidR="007D706A" w:rsidRDefault="007D706A" w:rsidP="00F70508">
            <w:pPr>
              <w:pStyle w:val="ParagraphStyle12"/>
              <w:rPr>
                <w:rStyle w:val="CharacterStyle12"/>
              </w:rPr>
            </w:pPr>
            <w:r>
              <w:rPr>
                <w:rStyle w:val="CharacterStyle12"/>
              </w:rPr>
              <w:t>10.000,00</w:t>
            </w:r>
          </w:p>
        </w:tc>
        <w:tc>
          <w:tcPr>
            <w:tcW w:w="1395" w:type="dxa"/>
            <w:tcBorders>
              <w:bottom w:val="single" w:sz="6" w:space="0" w:color="000000"/>
              <w:right w:val="single" w:sz="6" w:space="0" w:color="000000"/>
            </w:tcBorders>
            <w:vAlign w:val="center"/>
          </w:tcPr>
          <w:p w14:paraId="04800FE9" w14:textId="77777777" w:rsidR="007D706A" w:rsidRDefault="007D706A" w:rsidP="00F70508">
            <w:pPr>
              <w:pStyle w:val="ParagraphStyle12"/>
              <w:rPr>
                <w:rStyle w:val="CharacterStyle12"/>
              </w:rPr>
            </w:pPr>
            <w:r>
              <w:rPr>
                <w:rStyle w:val="CharacterStyle12"/>
              </w:rPr>
              <w:t>10.000,00</w:t>
            </w:r>
          </w:p>
        </w:tc>
      </w:tr>
      <w:tr w:rsidR="007D706A" w14:paraId="4260AEA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F937967" w14:textId="77777777" w:rsidR="007D706A" w:rsidRDefault="007D706A" w:rsidP="00F70508">
            <w:pPr>
              <w:pStyle w:val="ParagraphStyle4"/>
              <w:rPr>
                <w:rStyle w:val="CharacterStyle4"/>
              </w:rPr>
            </w:pPr>
            <w:r>
              <w:rPr>
                <w:rStyle w:val="CharacterStyle4"/>
              </w:rPr>
              <w:t>Aktivnost A100807</w:t>
            </w:r>
          </w:p>
        </w:tc>
        <w:tc>
          <w:tcPr>
            <w:tcW w:w="4995" w:type="dxa"/>
            <w:tcBorders>
              <w:bottom w:val="single" w:sz="6" w:space="0" w:color="000000"/>
              <w:right w:val="single" w:sz="6" w:space="0" w:color="000000"/>
            </w:tcBorders>
            <w:vAlign w:val="center"/>
          </w:tcPr>
          <w:p w14:paraId="67A5375D" w14:textId="77777777" w:rsidR="007D706A" w:rsidRDefault="007D706A" w:rsidP="00F70508">
            <w:pPr>
              <w:pStyle w:val="ParagraphStyle5"/>
              <w:rPr>
                <w:rStyle w:val="CharacterStyle5"/>
              </w:rPr>
            </w:pPr>
            <w:r>
              <w:rPr>
                <w:rStyle w:val="CharacterStyle5"/>
              </w:rPr>
              <w:t>ROVINJSKI FESTIVAL VINA</w:t>
            </w:r>
          </w:p>
        </w:tc>
        <w:tc>
          <w:tcPr>
            <w:tcW w:w="1395" w:type="dxa"/>
            <w:tcBorders>
              <w:bottom w:val="single" w:sz="6" w:space="0" w:color="000000"/>
              <w:right w:val="single" w:sz="6" w:space="0" w:color="000000"/>
            </w:tcBorders>
            <w:vAlign w:val="center"/>
          </w:tcPr>
          <w:p w14:paraId="4849C78C"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51791AC1" w14:textId="77777777" w:rsidR="007D706A" w:rsidRDefault="007D706A" w:rsidP="00F70508">
            <w:pPr>
              <w:pStyle w:val="ParagraphStyle6"/>
              <w:rPr>
                <w:rStyle w:val="CharacterStyle6"/>
              </w:rPr>
            </w:pPr>
            <w:r>
              <w:rPr>
                <w:rStyle w:val="CharacterStyle6"/>
              </w:rPr>
              <w:t>5.000,00</w:t>
            </w:r>
          </w:p>
        </w:tc>
        <w:tc>
          <w:tcPr>
            <w:tcW w:w="1395" w:type="dxa"/>
            <w:tcBorders>
              <w:bottom w:val="single" w:sz="6" w:space="0" w:color="000000"/>
              <w:right w:val="single" w:sz="6" w:space="0" w:color="000000"/>
            </w:tcBorders>
            <w:vAlign w:val="center"/>
          </w:tcPr>
          <w:p w14:paraId="2E04303C" w14:textId="77777777" w:rsidR="007D706A" w:rsidRDefault="007D706A" w:rsidP="00F70508">
            <w:pPr>
              <w:pStyle w:val="ParagraphStyle6"/>
              <w:rPr>
                <w:rStyle w:val="CharacterStyle6"/>
              </w:rPr>
            </w:pPr>
            <w:r>
              <w:rPr>
                <w:rStyle w:val="CharacterStyle6"/>
              </w:rPr>
              <w:t>5.000,00</w:t>
            </w:r>
          </w:p>
        </w:tc>
        <w:tc>
          <w:tcPr>
            <w:tcW w:w="1395" w:type="dxa"/>
            <w:tcBorders>
              <w:bottom w:val="single" w:sz="6" w:space="0" w:color="000000"/>
              <w:right w:val="single" w:sz="6" w:space="0" w:color="000000"/>
            </w:tcBorders>
            <w:vAlign w:val="center"/>
          </w:tcPr>
          <w:p w14:paraId="71BB4AA1" w14:textId="77777777" w:rsidR="007D706A" w:rsidRDefault="007D706A" w:rsidP="00F70508">
            <w:pPr>
              <w:pStyle w:val="ParagraphStyle6"/>
              <w:rPr>
                <w:rStyle w:val="CharacterStyle6"/>
              </w:rPr>
            </w:pPr>
            <w:r>
              <w:rPr>
                <w:rStyle w:val="CharacterStyle6"/>
              </w:rPr>
              <w:t>5.000,00</w:t>
            </w:r>
          </w:p>
        </w:tc>
        <w:tc>
          <w:tcPr>
            <w:tcW w:w="1395" w:type="dxa"/>
            <w:tcBorders>
              <w:bottom w:val="single" w:sz="6" w:space="0" w:color="000000"/>
              <w:right w:val="single" w:sz="6" w:space="0" w:color="000000"/>
            </w:tcBorders>
            <w:vAlign w:val="center"/>
          </w:tcPr>
          <w:p w14:paraId="392B04B7" w14:textId="77777777" w:rsidR="007D706A" w:rsidRDefault="007D706A" w:rsidP="00F70508">
            <w:pPr>
              <w:pStyle w:val="ParagraphStyle6"/>
              <w:rPr>
                <w:rStyle w:val="CharacterStyle6"/>
              </w:rPr>
            </w:pPr>
            <w:r>
              <w:rPr>
                <w:rStyle w:val="CharacterStyle6"/>
              </w:rPr>
              <w:t>5.000,00</w:t>
            </w:r>
          </w:p>
        </w:tc>
      </w:tr>
      <w:tr w:rsidR="007D706A" w14:paraId="25FB198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21841A4" w14:textId="77777777" w:rsidR="007D706A" w:rsidRDefault="007D706A" w:rsidP="00F70508">
            <w:pPr>
              <w:pStyle w:val="ParagraphStyle7"/>
              <w:rPr>
                <w:rStyle w:val="CharacterStyle7"/>
              </w:rPr>
            </w:pPr>
            <w:r>
              <w:rPr>
                <w:rStyle w:val="CharacterStyle7"/>
              </w:rPr>
              <w:t>Izvor financiranja 41</w:t>
            </w:r>
          </w:p>
        </w:tc>
        <w:tc>
          <w:tcPr>
            <w:tcW w:w="4995" w:type="dxa"/>
            <w:tcBorders>
              <w:bottom w:val="single" w:sz="6" w:space="0" w:color="000000"/>
              <w:right w:val="single" w:sz="6" w:space="0" w:color="000000"/>
            </w:tcBorders>
            <w:vAlign w:val="center"/>
          </w:tcPr>
          <w:p w14:paraId="479ADA50" w14:textId="77777777" w:rsidR="007D706A" w:rsidRDefault="007D706A" w:rsidP="00F70508">
            <w:pPr>
              <w:pStyle w:val="ParagraphStyle8"/>
              <w:rPr>
                <w:rStyle w:val="CharacterStyle8"/>
              </w:rPr>
            </w:pPr>
            <w:r>
              <w:rPr>
                <w:rStyle w:val="CharacterStyle8"/>
              </w:rPr>
              <w:t>Prihodi za posebne namjene</w:t>
            </w:r>
          </w:p>
        </w:tc>
        <w:tc>
          <w:tcPr>
            <w:tcW w:w="1395" w:type="dxa"/>
            <w:tcBorders>
              <w:bottom w:val="single" w:sz="6" w:space="0" w:color="000000"/>
              <w:right w:val="single" w:sz="6" w:space="0" w:color="000000"/>
            </w:tcBorders>
            <w:vAlign w:val="center"/>
          </w:tcPr>
          <w:p w14:paraId="1AB60F93"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5802C14" w14:textId="77777777" w:rsidR="007D706A" w:rsidRDefault="007D706A" w:rsidP="00F70508">
            <w:pPr>
              <w:pStyle w:val="ParagraphStyle9"/>
              <w:rPr>
                <w:rStyle w:val="CharacterStyle9"/>
              </w:rPr>
            </w:pPr>
            <w:r>
              <w:rPr>
                <w:rStyle w:val="CharacterStyle9"/>
              </w:rPr>
              <w:t>5.000,00</w:t>
            </w:r>
          </w:p>
        </w:tc>
        <w:tc>
          <w:tcPr>
            <w:tcW w:w="1395" w:type="dxa"/>
            <w:tcBorders>
              <w:bottom w:val="single" w:sz="6" w:space="0" w:color="000000"/>
              <w:right w:val="single" w:sz="6" w:space="0" w:color="000000"/>
            </w:tcBorders>
            <w:vAlign w:val="center"/>
          </w:tcPr>
          <w:p w14:paraId="3127E584"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29CC228"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2D16421" w14:textId="77777777" w:rsidR="007D706A" w:rsidRDefault="007D706A" w:rsidP="00F70508">
            <w:pPr>
              <w:pStyle w:val="ParagraphStyle9"/>
              <w:rPr>
                <w:rStyle w:val="CharacterStyle9"/>
              </w:rPr>
            </w:pPr>
            <w:r>
              <w:rPr>
                <w:rStyle w:val="CharacterStyle9"/>
              </w:rPr>
              <w:t>0,00</w:t>
            </w:r>
          </w:p>
        </w:tc>
      </w:tr>
      <w:tr w:rsidR="007D706A" w14:paraId="720D41B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D0F648D"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42914F83"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5BA429B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3E0EBC8" w14:textId="77777777" w:rsidR="007D706A" w:rsidRDefault="007D706A" w:rsidP="00F70508">
            <w:pPr>
              <w:pStyle w:val="ParagraphStyle12"/>
              <w:rPr>
                <w:rStyle w:val="CharacterStyle12"/>
              </w:rPr>
            </w:pPr>
            <w:r>
              <w:rPr>
                <w:rStyle w:val="CharacterStyle12"/>
              </w:rPr>
              <w:t>5.000,00</w:t>
            </w:r>
          </w:p>
        </w:tc>
        <w:tc>
          <w:tcPr>
            <w:tcW w:w="1395" w:type="dxa"/>
            <w:tcBorders>
              <w:bottom w:val="single" w:sz="6" w:space="0" w:color="000000"/>
              <w:right w:val="single" w:sz="6" w:space="0" w:color="000000"/>
            </w:tcBorders>
            <w:vAlign w:val="center"/>
          </w:tcPr>
          <w:p w14:paraId="26C2282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18A56F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3377842" w14:textId="77777777" w:rsidR="007D706A" w:rsidRDefault="007D706A" w:rsidP="00F70508">
            <w:pPr>
              <w:pStyle w:val="ParagraphStyle12"/>
              <w:rPr>
                <w:rStyle w:val="CharacterStyle12"/>
              </w:rPr>
            </w:pPr>
            <w:r>
              <w:rPr>
                <w:rStyle w:val="CharacterStyle12"/>
              </w:rPr>
              <w:t>0,00</w:t>
            </w:r>
          </w:p>
        </w:tc>
      </w:tr>
      <w:tr w:rsidR="007D706A" w14:paraId="01CFCA4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19FB2C3" w14:textId="77777777" w:rsidR="007D706A" w:rsidRDefault="007D706A" w:rsidP="00F70508">
            <w:pPr>
              <w:pStyle w:val="ParagraphStyle10"/>
              <w:rPr>
                <w:rStyle w:val="CharacterStyle10"/>
              </w:rPr>
            </w:pPr>
            <w:r>
              <w:rPr>
                <w:rStyle w:val="CharacterStyle10"/>
              </w:rPr>
              <w:t>38</w:t>
            </w:r>
          </w:p>
        </w:tc>
        <w:tc>
          <w:tcPr>
            <w:tcW w:w="4995" w:type="dxa"/>
            <w:tcBorders>
              <w:bottom w:val="single" w:sz="6" w:space="0" w:color="000000"/>
              <w:right w:val="single" w:sz="6" w:space="0" w:color="000000"/>
            </w:tcBorders>
            <w:vAlign w:val="center"/>
          </w:tcPr>
          <w:p w14:paraId="66999C75" w14:textId="77777777" w:rsidR="007D706A" w:rsidRDefault="007D706A" w:rsidP="00F70508">
            <w:pPr>
              <w:pStyle w:val="ParagraphStyle11"/>
              <w:rPr>
                <w:rStyle w:val="CharacterStyle11"/>
              </w:rPr>
            </w:pPr>
            <w:r>
              <w:rPr>
                <w:rStyle w:val="CharacterStyle11"/>
              </w:rPr>
              <w:t>Rashodi za donacije, kazne, naknade šteta i kapitalne pomoći</w:t>
            </w:r>
          </w:p>
        </w:tc>
        <w:tc>
          <w:tcPr>
            <w:tcW w:w="1395" w:type="dxa"/>
            <w:tcBorders>
              <w:bottom w:val="single" w:sz="6" w:space="0" w:color="000000"/>
              <w:right w:val="single" w:sz="6" w:space="0" w:color="000000"/>
            </w:tcBorders>
            <w:vAlign w:val="center"/>
          </w:tcPr>
          <w:p w14:paraId="2E14287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66255F8" w14:textId="77777777" w:rsidR="007D706A" w:rsidRDefault="007D706A" w:rsidP="00F70508">
            <w:pPr>
              <w:pStyle w:val="ParagraphStyle12"/>
              <w:rPr>
                <w:rStyle w:val="CharacterStyle12"/>
              </w:rPr>
            </w:pPr>
            <w:r>
              <w:rPr>
                <w:rStyle w:val="CharacterStyle12"/>
              </w:rPr>
              <w:t>5.000,00</w:t>
            </w:r>
          </w:p>
        </w:tc>
        <w:tc>
          <w:tcPr>
            <w:tcW w:w="1395" w:type="dxa"/>
            <w:tcBorders>
              <w:bottom w:val="single" w:sz="6" w:space="0" w:color="000000"/>
              <w:right w:val="single" w:sz="6" w:space="0" w:color="000000"/>
            </w:tcBorders>
            <w:vAlign w:val="center"/>
          </w:tcPr>
          <w:p w14:paraId="1588F00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16CE35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95AF759" w14:textId="77777777" w:rsidR="007D706A" w:rsidRDefault="007D706A" w:rsidP="00F70508">
            <w:pPr>
              <w:pStyle w:val="ParagraphStyle12"/>
              <w:rPr>
                <w:rStyle w:val="CharacterStyle12"/>
              </w:rPr>
            </w:pPr>
            <w:r>
              <w:rPr>
                <w:rStyle w:val="CharacterStyle12"/>
              </w:rPr>
              <w:t>0,00</w:t>
            </w:r>
          </w:p>
        </w:tc>
      </w:tr>
      <w:tr w:rsidR="007D706A" w14:paraId="21DAF62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B8FE16F" w14:textId="77777777" w:rsidR="007D706A" w:rsidRDefault="007D706A" w:rsidP="00F70508">
            <w:pPr>
              <w:pStyle w:val="ParagraphStyle7"/>
              <w:rPr>
                <w:rStyle w:val="CharacterStyle7"/>
              </w:rPr>
            </w:pPr>
            <w:r>
              <w:rPr>
                <w:rStyle w:val="CharacterStyle7"/>
              </w:rPr>
              <w:t>Izvor financiranja 43</w:t>
            </w:r>
          </w:p>
        </w:tc>
        <w:tc>
          <w:tcPr>
            <w:tcW w:w="4995" w:type="dxa"/>
            <w:tcBorders>
              <w:bottom w:val="single" w:sz="6" w:space="0" w:color="000000"/>
              <w:right w:val="single" w:sz="6" w:space="0" w:color="000000"/>
            </w:tcBorders>
            <w:vAlign w:val="center"/>
          </w:tcPr>
          <w:p w14:paraId="79C8186B" w14:textId="77777777" w:rsidR="007D706A" w:rsidRDefault="007D706A" w:rsidP="00F70508">
            <w:pPr>
              <w:pStyle w:val="ParagraphStyle8"/>
              <w:rPr>
                <w:rStyle w:val="CharacterStyle8"/>
              </w:rPr>
            </w:pPr>
            <w:r>
              <w:rPr>
                <w:rStyle w:val="CharacterStyle8"/>
              </w:rPr>
              <w:t>Ostali prihodi za posebne namjene</w:t>
            </w:r>
          </w:p>
        </w:tc>
        <w:tc>
          <w:tcPr>
            <w:tcW w:w="1395" w:type="dxa"/>
            <w:tcBorders>
              <w:bottom w:val="single" w:sz="6" w:space="0" w:color="000000"/>
              <w:right w:val="single" w:sz="6" w:space="0" w:color="000000"/>
            </w:tcBorders>
            <w:vAlign w:val="center"/>
          </w:tcPr>
          <w:p w14:paraId="0C5DC174"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3D326EE"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6893D3E" w14:textId="77777777" w:rsidR="007D706A" w:rsidRDefault="007D706A" w:rsidP="00F70508">
            <w:pPr>
              <w:pStyle w:val="ParagraphStyle9"/>
              <w:rPr>
                <w:rStyle w:val="CharacterStyle9"/>
              </w:rPr>
            </w:pPr>
            <w:r>
              <w:rPr>
                <w:rStyle w:val="CharacterStyle9"/>
              </w:rPr>
              <w:t>5.000,00</w:t>
            </w:r>
          </w:p>
        </w:tc>
        <w:tc>
          <w:tcPr>
            <w:tcW w:w="1395" w:type="dxa"/>
            <w:tcBorders>
              <w:bottom w:val="single" w:sz="6" w:space="0" w:color="000000"/>
              <w:right w:val="single" w:sz="6" w:space="0" w:color="000000"/>
            </w:tcBorders>
            <w:vAlign w:val="center"/>
          </w:tcPr>
          <w:p w14:paraId="69FF69FC" w14:textId="77777777" w:rsidR="007D706A" w:rsidRDefault="007D706A" w:rsidP="00F70508">
            <w:pPr>
              <w:pStyle w:val="ParagraphStyle9"/>
              <w:rPr>
                <w:rStyle w:val="CharacterStyle9"/>
              </w:rPr>
            </w:pPr>
            <w:r>
              <w:rPr>
                <w:rStyle w:val="CharacterStyle9"/>
              </w:rPr>
              <w:t>5.000,00</w:t>
            </w:r>
          </w:p>
        </w:tc>
        <w:tc>
          <w:tcPr>
            <w:tcW w:w="1395" w:type="dxa"/>
            <w:tcBorders>
              <w:bottom w:val="single" w:sz="6" w:space="0" w:color="000000"/>
              <w:right w:val="single" w:sz="6" w:space="0" w:color="000000"/>
            </w:tcBorders>
            <w:vAlign w:val="center"/>
          </w:tcPr>
          <w:p w14:paraId="0691C90F" w14:textId="77777777" w:rsidR="007D706A" w:rsidRDefault="007D706A" w:rsidP="00F70508">
            <w:pPr>
              <w:pStyle w:val="ParagraphStyle9"/>
              <w:rPr>
                <w:rStyle w:val="CharacterStyle9"/>
              </w:rPr>
            </w:pPr>
            <w:r>
              <w:rPr>
                <w:rStyle w:val="CharacterStyle9"/>
              </w:rPr>
              <w:t>5.000,00</w:t>
            </w:r>
          </w:p>
        </w:tc>
      </w:tr>
      <w:tr w:rsidR="007D706A" w14:paraId="722CF11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82113DF"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58044194"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3654B65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AE4E15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9A541A8" w14:textId="77777777" w:rsidR="007D706A" w:rsidRDefault="007D706A" w:rsidP="00F70508">
            <w:pPr>
              <w:pStyle w:val="ParagraphStyle12"/>
              <w:rPr>
                <w:rStyle w:val="CharacterStyle12"/>
              </w:rPr>
            </w:pPr>
            <w:r>
              <w:rPr>
                <w:rStyle w:val="CharacterStyle12"/>
              </w:rPr>
              <w:t>5.000,00</w:t>
            </w:r>
          </w:p>
        </w:tc>
        <w:tc>
          <w:tcPr>
            <w:tcW w:w="1395" w:type="dxa"/>
            <w:tcBorders>
              <w:bottom w:val="single" w:sz="6" w:space="0" w:color="000000"/>
              <w:right w:val="single" w:sz="6" w:space="0" w:color="000000"/>
            </w:tcBorders>
            <w:vAlign w:val="center"/>
          </w:tcPr>
          <w:p w14:paraId="03D4CAD6" w14:textId="77777777" w:rsidR="007D706A" w:rsidRDefault="007D706A" w:rsidP="00F70508">
            <w:pPr>
              <w:pStyle w:val="ParagraphStyle12"/>
              <w:rPr>
                <w:rStyle w:val="CharacterStyle12"/>
              </w:rPr>
            </w:pPr>
            <w:r>
              <w:rPr>
                <w:rStyle w:val="CharacterStyle12"/>
              </w:rPr>
              <w:t>5.000,00</w:t>
            </w:r>
          </w:p>
        </w:tc>
        <w:tc>
          <w:tcPr>
            <w:tcW w:w="1395" w:type="dxa"/>
            <w:tcBorders>
              <w:bottom w:val="single" w:sz="6" w:space="0" w:color="000000"/>
              <w:right w:val="single" w:sz="6" w:space="0" w:color="000000"/>
            </w:tcBorders>
            <w:vAlign w:val="center"/>
          </w:tcPr>
          <w:p w14:paraId="15763070" w14:textId="77777777" w:rsidR="007D706A" w:rsidRDefault="007D706A" w:rsidP="00F70508">
            <w:pPr>
              <w:pStyle w:val="ParagraphStyle12"/>
              <w:rPr>
                <w:rStyle w:val="CharacterStyle12"/>
              </w:rPr>
            </w:pPr>
            <w:r>
              <w:rPr>
                <w:rStyle w:val="CharacterStyle12"/>
              </w:rPr>
              <w:t>5.000,00</w:t>
            </w:r>
          </w:p>
        </w:tc>
      </w:tr>
      <w:tr w:rsidR="007D706A" w14:paraId="1C1BF97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12A9065" w14:textId="77777777" w:rsidR="007D706A" w:rsidRDefault="007D706A" w:rsidP="00F70508">
            <w:pPr>
              <w:pStyle w:val="ParagraphStyle10"/>
              <w:rPr>
                <w:rStyle w:val="CharacterStyle10"/>
              </w:rPr>
            </w:pPr>
            <w:r>
              <w:rPr>
                <w:rStyle w:val="CharacterStyle10"/>
              </w:rPr>
              <w:t>38</w:t>
            </w:r>
          </w:p>
        </w:tc>
        <w:tc>
          <w:tcPr>
            <w:tcW w:w="4995" w:type="dxa"/>
            <w:tcBorders>
              <w:bottom w:val="single" w:sz="6" w:space="0" w:color="000000"/>
              <w:right w:val="single" w:sz="6" w:space="0" w:color="000000"/>
            </w:tcBorders>
            <w:vAlign w:val="center"/>
          </w:tcPr>
          <w:p w14:paraId="18F248A3" w14:textId="77777777" w:rsidR="007D706A" w:rsidRDefault="007D706A" w:rsidP="00F70508">
            <w:pPr>
              <w:pStyle w:val="ParagraphStyle11"/>
              <w:rPr>
                <w:rStyle w:val="CharacterStyle11"/>
              </w:rPr>
            </w:pPr>
            <w:r>
              <w:rPr>
                <w:rStyle w:val="CharacterStyle11"/>
              </w:rPr>
              <w:t>Rashodi za donacije, kazne, naknade šteta i kapitalne pomoći</w:t>
            </w:r>
          </w:p>
        </w:tc>
        <w:tc>
          <w:tcPr>
            <w:tcW w:w="1395" w:type="dxa"/>
            <w:tcBorders>
              <w:bottom w:val="single" w:sz="6" w:space="0" w:color="000000"/>
              <w:right w:val="single" w:sz="6" w:space="0" w:color="000000"/>
            </w:tcBorders>
            <w:vAlign w:val="center"/>
          </w:tcPr>
          <w:p w14:paraId="21D955C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9BD895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74AAFB6" w14:textId="77777777" w:rsidR="007D706A" w:rsidRDefault="007D706A" w:rsidP="00F70508">
            <w:pPr>
              <w:pStyle w:val="ParagraphStyle12"/>
              <w:rPr>
                <w:rStyle w:val="CharacterStyle12"/>
              </w:rPr>
            </w:pPr>
            <w:r>
              <w:rPr>
                <w:rStyle w:val="CharacterStyle12"/>
              </w:rPr>
              <w:t>5.000,00</w:t>
            </w:r>
          </w:p>
        </w:tc>
        <w:tc>
          <w:tcPr>
            <w:tcW w:w="1395" w:type="dxa"/>
            <w:tcBorders>
              <w:bottom w:val="single" w:sz="6" w:space="0" w:color="000000"/>
              <w:right w:val="single" w:sz="6" w:space="0" w:color="000000"/>
            </w:tcBorders>
            <w:vAlign w:val="center"/>
          </w:tcPr>
          <w:p w14:paraId="3743C28B" w14:textId="77777777" w:rsidR="007D706A" w:rsidRDefault="007D706A" w:rsidP="00F70508">
            <w:pPr>
              <w:pStyle w:val="ParagraphStyle12"/>
              <w:rPr>
                <w:rStyle w:val="CharacterStyle12"/>
              </w:rPr>
            </w:pPr>
            <w:r>
              <w:rPr>
                <w:rStyle w:val="CharacterStyle12"/>
              </w:rPr>
              <w:t>5.000,00</w:t>
            </w:r>
          </w:p>
        </w:tc>
        <w:tc>
          <w:tcPr>
            <w:tcW w:w="1395" w:type="dxa"/>
            <w:tcBorders>
              <w:bottom w:val="single" w:sz="6" w:space="0" w:color="000000"/>
              <w:right w:val="single" w:sz="6" w:space="0" w:color="000000"/>
            </w:tcBorders>
            <w:vAlign w:val="center"/>
          </w:tcPr>
          <w:p w14:paraId="3D8B17C7" w14:textId="77777777" w:rsidR="007D706A" w:rsidRDefault="007D706A" w:rsidP="00F70508">
            <w:pPr>
              <w:pStyle w:val="ParagraphStyle12"/>
              <w:rPr>
                <w:rStyle w:val="CharacterStyle12"/>
              </w:rPr>
            </w:pPr>
            <w:r>
              <w:rPr>
                <w:rStyle w:val="CharacterStyle12"/>
              </w:rPr>
              <w:t>5.000,00</w:t>
            </w:r>
          </w:p>
        </w:tc>
      </w:tr>
      <w:tr w:rsidR="007D706A" w14:paraId="50DCD49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83F4C8F" w14:textId="77777777" w:rsidR="007D706A" w:rsidRDefault="007D706A" w:rsidP="00F70508">
            <w:pPr>
              <w:pStyle w:val="ParagraphStyle4"/>
              <w:rPr>
                <w:rStyle w:val="CharacterStyle4"/>
              </w:rPr>
            </w:pPr>
            <w:r>
              <w:rPr>
                <w:rStyle w:val="CharacterStyle4"/>
              </w:rPr>
              <w:t>Aktivnost A100808</w:t>
            </w:r>
          </w:p>
        </w:tc>
        <w:tc>
          <w:tcPr>
            <w:tcW w:w="4995" w:type="dxa"/>
            <w:tcBorders>
              <w:bottom w:val="single" w:sz="6" w:space="0" w:color="000000"/>
              <w:right w:val="single" w:sz="6" w:space="0" w:color="000000"/>
            </w:tcBorders>
            <w:vAlign w:val="center"/>
          </w:tcPr>
          <w:p w14:paraId="2F68F878" w14:textId="77777777" w:rsidR="007D706A" w:rsidRDefault="007D706A" w:rsidP="00F70508">
            <w:pPr>
              <w:pStyle w:val="ParagraphStyle5"/>
              <w:rPr>
                <w:rStyle w:val="CharacterStyle5"/>
              </w:rPr>
            </w:pPr>
            <w:r>
              <w:rPr>
                <w:rStyle w:val="CharacterStyle5"/>
              </w:rPr>
              <w:t>ROVINJSKI FESTIVAL SUPE</w:t>
            </w:r>
          </w:p>
        </w:tc>
        <w:tc>
          <w:tcPr>
            <w:tcW w:w="1395" w:type="dxa"/>
            <w:tcBorders>
              <w:bottom w:val="single" w:sz="6" w:space="0" w:color="000000"/>
              <w:right w:val="single" w:sz="6" w:space="0" w:color="000000"/>
            </w:tcBorders>
            <w:vAlign w:val="center"/>
          </w:tcPr>
          <w:p w14:paraId="6910EA6F"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48FE922B" w14:textId="77777777" w:rsidR="007D706A" w:rsidRDefault="007D706A" w:rsidP="00F70508">
            <w:pPr>
              <w:pStyle w:val="ParagraphStyle6"/>
              <w:rPr>
                <w:rStyle w:val="CharacterStyle6"/>
              </w:rPr>
            </w:pPr>
            <w:r>
              <w:rPr>
                <w:rStyle w:val="CharacterStyle6"/>
              </w:rPr>
              <w:t>4.500,00</w:t>
            </w:r>
          </w:p>
        </w:tc>
        <w:tc>
          <w:tcPr>
            <w:tcW w:w="1395" w:type="dxa"/>
            <w:tcBorders>
              <w:bottom w:val="single" w:sz="6" w:space="0" w:color="000000"/>
              <w:right w:val="single" w:sz="6" w:space="0" w:color="000000"/>
            </w:tcBorders>
            <w:vAlign w:val="center"/>
          </w:tcPr>
          <w:p w14:paraId="693A6066" w14:textId="77777777" w:rsidR="007D706A" w:rsidRDefault="007D706A" w:rsidP="00F70508">
            <w:pPr>
              <w:pStyle w:val="ParagraphStyle6"/>
              <w:rPr>
                <w:rStyle w:val="CharacterStyle6"/>
              </w:rPr>
            </w:pPr>
            <w:r>
              <w:rPr>
                <w:rStyle w:val="CharacterStyle6"/>
              </w:rPr>
              <w:t>4.500,00</w:t>
            </w:r>
          </w:p>
        </w:tc>
        <w:tc>
          <w:tcPr>
            <w:tcW w:w="1395" w:type="dxa"/>
            <w:tcBorders>
              <w:bottom w:val="single" w:sz="6" w:space="0" w:color="000000"/>
              <w:right w:val="single" w:sz="6" w:space="0" w:color="000000"/>
            </w:tcBorders>
            <w:vAlign w:val="center"/>
          </w:tcPr>
          <w:p w14:paraId="7F910EA7" w14:textId="77777777" w:rsidR="007D706A" w:rsidRDefault="007D706A" w:rsidP="00F70508">
            <w:pPr>
              <w:pStyle w:val="ParagraphStyle6"/>
              <w:rPr>
                <w:rStyle w:val="CharacterStyle6"/>
              </w:rPr>
            </w:pPr>
            <w:r>
              <w:rPr>
                <w:rStyle w:val="CharacterStyle6"/>
              </w:rPr>
              <w:t>4.500,00</w:t>
            </w:r>
          </w:p>
        </w:tc>
        <w:tc>
          <w:tcPr>
            <w:tcW w:w="1395" w:type="dxa"/>
            <w:tcBorders>
              <w:bottom w:val="single" w:sz="6" w:space="0" w:color="000000"/>
              <w:right w:val="single" w:sz="6" w:space="0" w:color="000000"/>
            </w:tcBorders>
            <w:vAlign w:val="center"/>
          </w:tcPr>
          <w:p w14:paraId="7AEC288E" w14:textId="77777777" w:rsidR="007D706A" w:rsidRDefault="007D706A" w:rsidP="00F70508">
            <w:pPr>
              <w:pStyle w:val="ParagraphStyle6"/>
              <w:rPr>
                <w:rStyle w:val="CharacterStyle6"/>
              </w:rPr>
            </w:pPr>
            <w:r>
              <w:rPr>
                <w:rStyle w:val="CharacterStyle6"/>
              </w:rPr>
              <w:t>4.500,00</w:t>
            </w:r>
          </w:p>
        </w:tc>
      </w:tr>
      <w:tr w:rsidR="007D706A" w14:paraId="1C056C7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2D441DA" w14:textId="77777777" w:rsidR="007D706A" w:rsidRDefault="007D706A" w:rsidP="00F70508">
            <w:pPr>
              <w:pStyle w:val="ParagraphStyle7"/>
              <w:rPr>
                <w:rStyle w:val="CharacterStyle7"/>
              </w:rPr>
            </w:pPr>
            <w:r>
              <w:rPr>
                <w:rStyle w:val="CharacterStyle7"/>
              </w:rPr>
              <w:t>Izvor financiranja 41</w:t>
            </w:r>
          </w:p>
        </w:tc>
        <w:tc>
          <w:tcPr>
            <w:tcW w:w="4995" w:type="dxa"/>
            <w:tcBorders>
              <w:bottom w:val="single" w:sz="6" w:space="0" w:color="000000"/>
              <w:right w:val="single" w:sz="6" w:space="0" w:color="000000"/>
            </w:tcBorders>
            <w:vAlign w:val="center"/>
          </w:tcPr>
          <w:p w14:paraId="63EF2D59" w14:textId="77777777" w:rsidR="007D706A" w:rsidRDefault="007D706A" w:rsidP="00F70508">
            <w:pPr>
              <w:pStyle w:val="ParagraphStyle8"/>
              <w:rPr>
                <w:rStyle w:val="CharacterStyle8"/>
              </w:rPr>
            </w:pPr>
            <w:r>
              <w:rPr>
                <w:rStyle w:val="CharacterStyle8"/>
              </w:rPr>
              <w:t>Prihodi za posebne namjene</w:t>
            </w:r>
          </w:p>
        </w:tc>
        <w:tc>
          <w:tcPr>
            <w:tcW w:w="1395" w:type="dxa"/>
            <w:tcBorders>
              <w:bottom w:val="single" w:sz="6" w:space="0" w:color="000000"/>
              <w:right w:val="single" w:sz="6" w:space="0" w:color="000000"/>
            </w:tcBorders>
            <w:vAlign w:val="center"/>
          </w:tcPr>
          <w:p w14:paraId="69AB9169"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5F6606D" w14:textId="77777777" w:rsidR="007D706A" w:rsidRDefault="007D706A" w:rsidP="00F70508">
            <w:pPr>
              <w:pStyle w:val="ParagraphStyle9"/>
              <w:rPr>
                <w:rStyle w:val="CharacterStyle9"/>
              </w:rPr>
            </w:pPr>
            <w:r>
              <w:rPr>
                <w:rStyle w:val="CharacterStyle9"/>
              </w:rPr>
              <w:t>4.500,00</w:t>
            </w:r>
          </w:p>
        </w:tc>
        <w:tc>
          <w:tcPr>
            <w:tcW w:w="1395" w:type="dxa"/>
            <w:tcBorders>
              <w:bottom w:val="single" w:sz="6" w:space="0" w:color="000000"/>
              <w:right w:val="single" w:sz="6" w:space="0" w:color="000000"/>
            </w:tcBorders>
            <w:vAlign w:val="center"/>
          </w:tcPr>
          <w:p w14:paraId="07DE3C66"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3BFBFD6"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E2F6A15" w14:textId="77777777" w:rsidR="007D706A" w:rsidRDefault="007D706A" w:rsidP="00F70508">
            <w:pPr>
              <w:pStyle w:val="ParagraphStyle9"/>
              <w:rPr>
                <w:rStyle w:val="CharacterStyle9"/>
              </w:rPr>
            </w:pPr>
            <w:r>
              <w:rPr>
                <w:rStyle w:val="CharacterStyle9"/>
              </w:rPr>
              <w:t>0,00</w:t>
            </w:r>
          </w:p>
        </w:tc>
      </w:tr>
      <w:tr w:rsidR="007D706A" w14:paraId="17DB198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71FCE7B"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3A40FAB5"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69DECA2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2FEBA5A" w14:textId="77777777" w:rsidR="007D706A" w:rsidRDefault="007D706A" w:rsidP="00F70508">
            <w:pPr>
              <w:pStyle w:val="ParagraphStyle12"/>
              <w:rPr>
                <w:rStyle w:val="CharacterStyle12"/>
              </w:rPr>
            </w:pPr>
            <w:r>
              <w:rPr>
                <w:rStyle w:val="CharacterStyle12"/>
              </w:rPr>
              <w:t>4.500,00</w:t>
            </w:r>
          </w:p>
        </w:tc>
        <w:tc>
          <w:tcPr>
            <w:tcW w:w="1395" w:type="dxa"/>
            <w:tcBorders>
              <w:bottom w:val="single" w:sz="6" w:space="0" w:color="000000"/>
              <w:right w:val="single" w:sz="6" w:space="0" w:color="000000"/>
            </w:tcBorders>
            <w:vAlign w:val="center"/>
          </w:tcPr>
          <w:p w14:paraId="213FC34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63401B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432B1C8" w14:textId="77777777" w:rsidR="007D706A" w:rsidRDefault="007D706A" w:rsidP="00F70508">
            <w:pPr>
              <w:pStyle w:val="ParagraphStyle12"/>
              <w:rPr>
                <w:rStyle w:val="CharacterStyle12"/>
              </w:rPr>
            </w:pPr>
            <w:r>
              <w:rPr>
                <w:rStyle w:val="CharacterStyle12"/>
              </w:rPr>
              <w:t>0,00</w:t>
            </w:r>
          </w:p>
        </w:tc>
      </w:tr>
      <w:tr w:rsidR="007D706A" w14:paraId="088BEB7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B6E2727" w14:textId="77777777" w:rsidR="007D706A" w:rsidRDefault="007D706A" w:rsidP="00F70508">
            <w:pPr>
              <w:pStyle w:val="ParagraphStyle10"/>
              <w:rPr>
                <w:rStyle w:val="CharacterStyle10"/>
              </w:rPr>
            </w:pPr>
            <w:r>
              <w:rPr>
                <w:rStyle w:val="CharacterStyle10"/>
              </w:rPr>
              <w:lastRenderedPageBreak/>
              <w:t>38</w:t>
            </w:r>
          </w:p>
        </w:tc>
        <w:tc>
          <w:tcPr>
            <w:tcW w:w="4995" w:type="dxa"/>
            <w:tcBorders>
              <w:bottom w:val="single" w:sz="6" w:space="0" w:color="000000"/>
              <w:right w:val="single" w:sz="6" w:space="0" w:color="000000"/>
            </w:tcBorders>
            <w:vAlign w:val="center"/>
          </w:tcPr>
          <w:p w14:paraId="5BE0F356" w14:textId="77777777" w:rsidR="007D706A" w:rsidRDefault="007D706A" w:rsidP="00F70508">
            <w:pPr>
              <w:pStyle w:val="ParagraphStyle11"/>
              <w:rPr>
                <w:rStyle w:val="CharacterStyle11"/>
              </w:rPr>
            </w:pPr>
            <w:r>
              <w:rPr>
                <w:rStyle w:val="CharacterStyle11"/>
              </w:rPr>
              <w:t>Rashodi za donacije, kazne, naknade šteta i kapitalne pomoći</w:t>
            </w:r>
          </w:p>
        </w:tc>
        <w:tc>
          <w:tcPr>
            <w:tcW w:w="1395" w:type="dxa"/>
            <w:tcBorders>
              <w:bottom w:val="single" w:sz="6" w:space="0" w:color="000000"/>
              <w:right w:val="single" w:sz="6" w:space="0" w:color="000000"/>
            </w:tcBorders>
            <w:vAlign w:val="center"/>
          </w:tcPr>
          <w:p w14:paraId="5FE400D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901D0DD" w14:textId="77777777" w:rsidR="007D706A" w:rsidRDefault="007D706A" w:rsidP="00F70508">
            <w:pPr>
              <w:pStyle w:val="ParagraphStyle12"/>
              <w:rPr>
                <w:rStyle w:val="CharacterStyle12"/>
              </w:rPr>
            </w:pPr>
            <w:r>
              <w:rPr>
                <w:rStyle w:val="CharacterStyle12"/>
              </w:rPr>
              <w:t>4.500,00</w:t>
            </w:r>
          </w:p>
        </w:tc>
        <w:tc>
          <w:tcPr>
            <w:tcW w:w="1395" w:type="dxa"/>
            <w:tcBorders>
              <w:bottom w:val="single" w:sz="6" w:space="0" w:color="000000"/>
              <w:right w:val="single" w:sz="6" w:space="0" w:color="000000"/>
            </w:tcBorders>
            <w:vAlign w:val="center"/>
          </w:tcPr>
          <w:p w14:paraId="65B6791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44F3F4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F3BE9FB" w14:textId="77777777" w:rsidR="007D706A" w:rsidRDefault="007D706A" w:rsidP="00F70508">
            <w:pPr>
              <w:pStyle w:val="ParagraphStyle12"/>
              <w:rPr>
                <w:rStyle w:val="CharacterStyle12"/>
              </w:rPr>
            </w:pPr>
            <w:r>
              <w:rPr>
                <w:rStyle w:val="CharacterStyle12"/>
              </w:rPr>
              <w:t>0,00</w:t>
            </w:r>
          </w:p>
        </w:tc>
      </w:tr>
      <w:tr w:rsidR="007D706A" w14:paraId="1B240A1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AD537A7" w14:textId="77777777" w:rsidR="007D706A" w:rsidRDefault="007D706A" w:rsidP="00F70508">
            <w:pPr>
              <w:pStyle w:val="ParagraphStyle7"/>
              <w:rPr>
                <w:rStyle w:val="CharacterStyle7"/>
              </w:rPr>
            </w:pPr>
            <w:r>
              <w:rPr>
                <w:rStyle w:val="CharacterStyle7"/>
              </w:rPr>
              <w:t>Izvor financiranja 43</w:t>
            </w:r>
          </w:p>
        </w:tc>
        <w:tc>
          <w:tcPr>
            <w:tcW w:w="4995" w:type="dxa"/>
            <w:tcBorders>
              <w:bottom w:val="single" w:sz="6" w:space="0" w:color="000000"/>
              <w:right w:val="single" w:sz="6" w:space="0" w:color="000000"/>
            </w:tcBorders>
            <w:vAlign w:val="center"/>
          </w:tcPr>
          <w:p w14:paraId="60C4F26F" w14:textId="77777777" w:rsidR="007D706A" w:rsidRDefault="007D706A" w:rsidP="00F70508">
            <w:pPr>
              <w:pStyle w:val="ParagraphStyle8"/>
              <w:rPr>
                <w:rStyle w:val="CharacterStyle8"/>
              </w:rPr>
            </w:pPr>
            <w:r>
              <w:rPr>
                <w:rStyle w:val="CharacterStyle8"/>
              </w:rPr>
              <w:t>Ostali prihodi za posebne namjene</w:t>
            </w:r>
          </w:p>
        </w:tc>
        <w:tc>
          <w:tcPr>
            <w:tcW w:w="1395" w:type="dxa"/>
            <w:tcBorders>
              <w:bottom w:val="single" w:sz="6" w:space="0" w:color="000000"/>
              <w:right w:val="single" w:sz="6" w:space="0" w:color="000000"/>
            </w:tcBorders>
            <w:vAlign w:val="center"/>
          </w:tcPr>
          <w:p w14:paraId="7E957465"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69F525C"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9275D13" w14:textId="77777777" w:rsidR="007D706A" w:rsidRDefault="007D706A" w:rsidP="00F70508">
            <w:pPr>
              <w:pStyle w:val="ParagraphStyle9"/>
              <w:rPr>
                <w:rStyle w:val="CharacterStyle9"/>
              </w:rPr>
            </w:pPr>
            <w:r>
              <w:rPr>
                <w:rStyle w:val="CharacterStyle9"/>
              </w:rPr>
              <w:t>4.500,00</w:t>
            </w:r>
          </w:p>
        </w:tc>
        <w:tc>
          <w:tcPr>
            <w:tcW w:w="1395" w:type="dxa"/>
            <w:tcBorders>
              <w:bottom w:val="single" w:sz="6" w:space="0" w:color="000000"/>
              <w:right w:val="single" w:sz="6" w:space="0" w:color="000000"/>
            </w:tcBorders>
            <w:vAlign w:val="center"/>
          </w:tcPr>
          <w:p w14:paraId="262A90F3" w14:textId="77777777" w:rsidR="007D706A" w:rsidRDefault="007D706A" w:rsidP="00F70508">
            <w:pPr>
              <w:pStyle w:val="ParagraphStyle9"/>
              <w:rPr>
                <w:rStyle w:val="CharacterStyle9"/>
              </w:rPr>
            </w:pPr>
            <w:r>
              <w:rPr>
                <w:rStyle w:val="CharacterStyle9"/>
              </w:rPr>
              <w:t>4.500,00</w:t>
            </w:r>
          </w:p>
        </w:tc>
        <w:tc>
          <w:tcPr>
            <w:tcW w:w="1395" w:type="dxa"/>
            <w:tcBorders>
              <w:bottom w:val="single" w:sz="6" w:space="0" w:color="000000"/>
              <w:right w:val="single" w:sz="6" w:space="0" w:color="000000"/>
            </w:tcBorders>
            <w:vAlign w:val="center"/>
          </w:tcPr>
          <w:p w14:paraId="4A077519" w14:textId="77777777" w:rsidR="007D706A" w:rsidRDefault="007D706A" w:rsidP="00F70508">
            <w:pPr>
              <w:pStyle w:val="ParagraphStyle9"/>
              <w:rPr>
                <w:rStyle w:val="CharacterStyle9"/>
              </w:rPr>
            </w:pPr>
            <w:r>
              <w:rPr>
                <w:rStyle w:val="CharacterStyle9"/>
              </w:rPr>
              <w:t>4.500,00</w:t>
            </w:r>
          </w:p>
        </w:tc>
      </w:tr>
      <w:tr w:rsidR="007D706A" w14:paraId="7818CA8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0A4BFB1"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5B5ADC3D"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47C0026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C29E98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EF01F3A" w14:textId="77777777" w:rsidR="007D706A" w:rsidRDefault="007D706A" w:rsidP="00F70508">
            <w:pPr>
              <w:pStyle w:val="ParagraphStyle12"/>
              <w:rPr>
                <w:rStyle w:val="CharacterStyle12"/>
              </w:rPr>
            </w:pPr>
            <w:r>
              <w:rPr>
                <w:rStyle w:val="CharacterStyle12"/>
              </w:rPr>
              <w:t>4.500,00</w:t>
            </w:r>
          </w:p>
        </w:tc>
        <w:tc>
          <w:tcPr>
            <w:tcW w:w="1395" w:type="dxa"/>
            <w:tcBorders>
              <w:bottom w:val="single" w:sz="6" w:space="0" w:color="000000"/>
              <w:right w:val="single" w:sz="6" w:space="0" w:color="000000"/>
            </w:tcBorders>
            <w:vAlign w:val="center"/>
          </w:tcPr>
          <w:p w14:paraId="3CEAEFB4" w14:textId="77777777" w:rsidR="007D706A" w:rsidRDefault="007D706A" w:rsidP="00F70508">
            <w:pPr>
              <w:pStyle w:val="ParagraphStyle12"/>
              <w:rPr>
                <w:rStyle w:val="CharacterStyle12"/>
              </w:rPr>
            </w:pPr>
            <w:r>
              <w:rPr>
                <w:rStyle w:val="CharacterStyle12"/>
              </w:rPr>
              <w:t>4.500,00</w:t>
            </w:r>
          </w:p>
        </w:tc>
        <w:tc>
          <w:tcPr>
            <w:tcW w:w="1395" w:type="dxa"/>
            <w:tcBorders>
              <w:bottom w:val="single" w:sz="6" w:space="0" w:color="000000"/>
              <w:right w:val="single" w:sz="6" w:space="0" w:color="000000"/>
            </w:tcBorders>
            <w:vAlign w:val="center"/>
          </w:tcPr>
          <w:p w14:paraId="1BFA9AFE" w14:textId="77777777" w:rsidR="007D706A" w:rsidRDefault="007D706A" w:rsidP="00F70508">
            <w:pPr>
              <w:pStyle w:val="ParagraphStyle12"/>
              <w:rPr>
                <w:rStyle w:val="CharacterStyle12"/>
              </w:rPr>
            </w:pPr>
            <w:r>
              <w:rPr>
                <w:rStyle w:val="CharacterStyle12"/>
              </w:rPr>
              <w:t>4.500,00</w:t>
            </w:r>
          </w:p>
        </w:tc>
      </w:tr>
      <w:tr w:rsidR="007D706A" w14:paraId="1648785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A1D9499" w14:textId="77777777" w:rsidR="007D706A" w:rsidRDefault="007D706A" w:rsidP="00F70508">
            <w:pPr>
              <w:pStyle w:val="ParagraphStyle10"/>
              <w:rPr>
                <w:rStyle w:val="CharacterStyle10"/>
              </w:rPr>
            </w:pPr>
            <w:r>
              <w:rPr>
                <w:rStyle w:val="CharacterStyle10"/>
              </w:rPr>
              <w:t>38</w:t>
            </w:r>
          </w:p>
        </w:tc>
        <w:tc>
          <w:tcPr>
            <w:tcW w:w="4995" w:type="dxa"/>
            <w:tcBorders>
              <w:bottom w:val="single" w:sz="6" w:space="0" w:color="000000"/>
              <w:right w:val="single" w:sz="6" w:space="0" w:color="000000"/>
            </w:tcBorders>
            <w:vAlign w:val="center"/>
          </w:tcPr>
          <w:p w14:paraId="0BDA946A" w14:textId="77777777" w:rsidR="007D706A" w:rsidRDefault="007D706A" w:rsidP="00F70508">
            <w:pPr>
              <w:pStyle w:val="ParagraphStyle11"/>
              <w:rPr>
                <w:rStyle w:val="CharacterStyle11"/>
              </w:rPr>
            </w:pPr>
            <w:r>
              <w:rPr>
                <w:rStyle w:val="CharacterStyle11"/>
              </w:rPr>
              <w:t>Rashodi za donacije, kazne, naknade šteta i kapitalne pomoći</w:t>
            </w:r>
          </w:p>
        </w:tc>
        <w:tc>
          <w:tcPr>
            <w:tcW w:w="1395" w:type="dxa"/>
            <w:tcBorders>
              <w:bottom w:val="single" w:sz="6" w:space="0" w:color="000000"/>
              <w:right w:val="single" w:sz="6" w:space="0" w:color="000000"/>
            </w:tcBorders>
            <w:vAlign w:val="center"/>
          </w:tcPr>
          <w:p w14:paraId="5B7C706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FF0638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427ED0A" w14:textId="77777777" w:rsidR="007D706A" w:rsidRDefault="007D706A" w:rsidP="00F70508">
            <w:pPr>
              <w:pStyle w:val="ParagraphStyle12"/>
              <w:rPr>
                <w:rStyle w:val="CharacterStyle12"/>
              </w:rPr>
            </w:pPr>
            <w:r>
              <w:rPr>
                <w:rStyle w:val="CharacterStyle12"/>
              </w:rPr>
              <w:t>4.500,00</w:t>
            </w:r>
          </w:p>
        </w:tc>
        <w:tc>
          <w:tcPr>
            <w:tcW w:w="1395" w:type="dxa"/>
            <w:tcBorders>
              <w:bottom w:val="single" w:sz="6" w:space="0" w:color="000000"/>
              <w:right w:val="single" w:sz="6" w:space="0" w:color="000000"/>
            </w:tcBorders>
            <w:vAlign w:val="center"/>
          </w:tcPr>
          <w:p w14:paraId="1ABD8A27" w14:textId="77777777" w:rsidR="007D706A" w:rsidRDefault="007D706A" w:rsidP="00F70508">
            <w:pPr>
              <w:pStyle w:val="ParagraphStyle12"/>
              <w:rPr>
                <w:rStyle w:val="CharacterStyle12"/>
              </w:rPr>
            </w:pPr>
            <w:r>
              <w:rPr>
                <w:rStyle w:val="CharacterStyle12"/>
              </w:rPr>
              <w:t>4.500,00</w:t>
            </w:r>
          </w:p>
        </w:tc>
        <w:tc>
          <w:tcPr>
            <w:tcW w:w="1395" w:type="dxa"/>
            <w:tcBorders>
              <w:bottom w:val="single" w:sz="6" w:space="0" w:color="000000"/>
              <w:right w:val="single" w:sz="6" w:space="0" w:color="000000"/>
            </w:tcBorders>
            <w:vAlign w:val="center"/>
          </w:tcPr>
          <w:p w14:paraId="7469B4C2" w14:textId="77777777" w:rsidR="007D706A" w:rsidRDefault="007D706A" w:rsidP="00F70508">
            <w:pPr>
              <w:pStyle w:val="ParagraphStyle12"/>
              <w:rPr>
                <w:rStyle w:val="CharacterStyle12"/>
              </w:rPr>
            </w:pPr>
            <w:r>
              <w:rPr>
                <w:rStyle w:val="CharacterStyle12"/>
              </w:rPr>
              <w:t>4.500,00</w:t>
            </w:r>
          </w:p>
        </w:tc>
      </w:tr>
      <w:tr w:rsidR="007D706A" w14:paraId="4D49A45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53D001C" w14:textId="77777777" w:rsidR="007D706A" w:rsidRDefault="007D706A" w:rsidP="00F70508">
            <w:pPr>
              <w:pStyle w:val="ParagraphStyle4"/>
              <w:rPr>
                <w:rStyle w:val="CharacterStyle4"/>
              </w:rPr>
            </w:pPr>
            <w:r>
              <w:rPr>
                <w:rStyle w:val="CharacterStyle4"/>
              </w:rPr>
              <w:t>Tekući projekt T100802</w:t>
            </w:r>
          </w:p>
        </w:tc>
        <w:tc>
          <w:tcPr>
            <w:tcW w:w="4995" w:type="dxa"/>
            <w:tcBorders>
              <w:bottom w:val="single" w:sz="6" w:space="0" w:color="000000"/>
              <w:right w:val="single" w:sz="6" w:space="0" w:color="000000"/>
            </w:tcBorders>
            <w:vAlign w:val="center"/>
          </w:tcPr>
          <w:p w14:paraId="403A2AF5" w14:textId="77777777" w:rsidR="007D706A" w:rsidRDefault="007D706A" w:rsidP="00F70508">
            <w:pPr>
              <w:pStyle w:val="ParagraphStyle5"/>
              <w:rPr>
                <w:rStyle w:val="CharacterStyle5"/>
              </w:rPr>
            </w:pPr>
            <w:r>
              <w:rPr>
                <w:rStyle w:val="CharacterStyle5"/>
              </w:rPr>
              <w:t>PROGRAM OČUVANJA ISTARSKE KOZE</w:t>
            </w:r>
          </w:p>
        </w:tc>
        <w:tc>
          <w:tcPr>
            <w:tcW w:w="1395" w:type="dxa"/>
            <w:tcBorders>
              <w:bottom w:val="single" w:sz="6" w:space="0" w:color="000000"/>
              <w:right w:val="single" w:sz="6" w:space="0" w:color="000000"/>
            </w:tcBorders>
            <w:vAlign w:val="center"/>
          </w:tcPr>
          <w:p w14:paraId="128ECB5A"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0B1C0714" w14:textId="77777777" w:rsidR="007D706A" w:rsidRDefault="007D706A" w:rsidP="00F70508">
            <w:pPr>
              <w:pStyle w:val="ParagraphStyle6"/>
              <w:rPr>
                <w:rStyle w:val="CharacterStyle6"/>
              </w:rPr>
            </w:pPr>
            <w:r>
              <w:rPr>
                <w:rStyle w:val="CharacterStyle6"/>
              </w:rPr>
              <w:t>500,00</w:t>
            </w:r>
          </w:p>
        </w:tc>
        <w:tc>
          <w:tcPr>
            <w:tcW w:w="1395" w:type="dxa"/>
            <w:tcBorders>
              <w:bottom w:val="single" w:sz="6" w:space="0" w:color="000000"/>
              <w:right w:val="single" w:sz="6" w:space="0" w:color="000000"/>
            </w:tcBorders>
            <w:vAlign w:val="center"/>
          </w:tcPr>
          <w:p w14:paraId="4D483367" w14:textId="77777777" w:rsidR="007D706A" w:rsidRDefault="007D706A" w:rsidP="00F70508">
            <w:pPr>
              <w:pStyle w:val="ParagraphStyle6"/>
              <w:rPr>
                <w:rStyle w:val="CharacterStyle6"/>
              </w:rPr>
            </w:pPr>
            <w:r>
              <w:rPr>
                <w:rStyle w:val="CharacterStyle6"/>
              </w:rPr>
              <w:t>500,00</w:t>
            </w:r>
          </w:p>
        </w:tc>
        <w:tc>
          <w:tcPr>
            <w:tcW w:w="1395" w:type="dxa"/>
            <w:tcBorders>
              <w:bottom w:val="single" w:sz="6" w:space="0" w:color="000000"/>
              <w:right w:val="single" w:sz="6" w:space="0" w:color="000000"/>
            </w:tcBorders>
            <w:vAlign w:val="center"/>
          </w:tcPr>
          <w:p w14:paraId="65E8C58A" w14:textId="77777777" w:rsidR="007D706A" w:rsidRDefault="007D706A" w:rsidP="00F70508">
            <w:pPr>
              <w:pStyle w:val="ParagraphStyle6"/>
              <w:rPr>
                <w:rStyle w:val="CharacterStyle6"/>
              </w:rPr>
            </w:pPr>
            <w:r>
              <w:rPr>
                <w:rStyle w:val="CharacterStyle6"/>
              </w:rPr>
              <w:t>500,00</w:t>
            </w:r>
          </w:p>
        </w:tc>
        <w:tc>
          <w:tcPr>
            <w:tcW w:w="1395" w:type="dxa"/>
            <w:tcBorders>
              <w:bottom w:val="single" w:sz="6" w:space="0" w:color="000000"/>
              <w:right w:val="single" w:sz="6" w:space="0" w:color="000000"/>
            </w:tcBorders>
            <w:vAlign w:val="center"/>
          </w:tcPr>
          <w:p w14:paraId="2DEF3825" w14:textId="77777777" w:rsidR="007D706A" w:rsidRDefault="007D706A" w:rsidP="00F70508">
            <w:pPr>
              <w:pStyle w:val="ParagraphStyle6"/>
              <w:rPr>
                <w:rStyle w:val="CharacterStyle6"/>
              </w:rPr>
            </w:pPr>
            <w:r>
              <w:rPr>
                <w:rStyle w:val="CharacterStyle6"/>
              </w:rPr>
              <w:t>500,00</w:t>
            </w:r>
          </w:p>
        </w:tc>
      </w:tr>
      <w:tr w:rsidR="007D706A" w14:paraId="1650A40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D320FE5"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249894D1"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0C91DA7D"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277A89A" w14:textId="77777777" w:rsidR="007D706A" w:rsidRDefault="007D706A" w:rsidP="00F70508">
            <w:pPr>
              <w:pStyle w:val="ParagraphStyle9"/>
              <w:rPr>
                <w:rStyle w:val="CharacterStyle9"/>
              </w:rPr>
            </w:pPr>
            <w:r>
              <w:rPr>
                <w:rStyle w:val="CharacterStyle9"/>
              </w:rPr>
              <w:t>500,00</w:t>
            </w:r>
          </w:p>
        </w:tc>
        <w:tc>
          <w:tcPr>
            <w:tcW w:w="1395" w:type="dxa"/>
            <w:tcBorders>
              <w:bottom w:val="single" w:sz="6" w:space="0" w:color="000000"/>
              <w:right w:val="single" w:sz="6" w:space="0" w:color="000000"/>
            </w:tcBorders>
            <w:vAlign w:val="center"/>
          </w:tcPr>
          <w:p w14:paraId="538C08D1"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E3B10D8" w14:textId="77777777" w:rsidR="007D706A" w:rsidRDefault="007D706A" w:rsidP="00F70508">
            <w:pPr>
              <w:pStyle w:val="ParagraphStyle9"/>
              <w:rPr>
                <w:rStyle w:val="CharacterStyle9"/>
              </w:rPr>
            </w:pPr>
            <w:r>
              <w:rPr>
                <w:rStyle w:val="CharacterStyle9"/>
              </w:rPr>
              <w:t>500,00</w:t>
            </w:r>
          </w:p>
        </w:tc>
        <w:tc>
          <w:tcPr>
            <w:tcW w:w="1395" w:type="dxa"/>
            <w:tcBorders>
              <w:bottom w:val="single" w:sz="6" w:space="0" w:color="000000"/>
              <w:right w:val="single" w:sz="6" w:space="0" w:color="000000"/>
            </w:tcBorders>
            <w:vAlign w:val="center"/>
          </w:tcPr>
          <w:p w14:paraId="7B01FCEA" w14:textId="77777777" w:rsidR="007D706A" w:rsidRDefault="007D706A" w:rsidP="00F70508">
            <w:pPr>
              <w:pStyle w:val="ParagraphStyle9"/>
              <w:rPr>
                <w:rStyle w:val="CharacterStyle9"/>
              </w:rPr>
            </w:pPr>
            <w:r>
              <w:rPr>
                <w:rStyle w:val="CharacterStyle9"/>
              </w:rPr>
              <w:t>500,00</w:t>
            </w:r>
          </w:p>
        </w:tc>
      </w:tr>
      <w:tr w:rsidR="007D706A" w14:paraId="72EF143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EB186AC"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6B883E10"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64C1D3E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AEA90D7" w14:textId="77777777" w:rsidR="007D706A" w:rsidRDefault="007D706A" w:rsidP="00F70508">
            <w:pPr>
              <w:pStyle w:val="ParagraphStyle12"/>
              <w:rPr>
                <w:rStyle w:val="CharacterStyle12"/>
              </w:rPr>
            </w:pPr>
            <w:r>
              <w:rPr>
                <w:rStyle w:val="CharacterStyle12"/>
              </w:rPr>
              <w:t>500,00</w:t>
            </w:r>
          </w:p>
        </w:tc>
        <w:tc>
          <w:tcPr>
            <w:tcW w:w="1395" w:type="dxa"/>
            <w:tcBorders>
              <w:bottom w:val="single" w:sz="6" w:space="0" w:color="000000"/>
              <w:right w:val="single" w:sz="6" w:space="0" w:color="000000"/>
            </w:tcBorders>
            <w:vAlign w:val="center"/>
          </w:tcPr>
          <w:p w14:paraId="13C37F1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DEF8047" w14:textId="77777777" w:rsidR="007D706A" w:rsidRDefault="007D706A" w:rsidP="00F70508">
            <w:pPr>
              <w:pStyle w:val="ParagraphStyle12"/>
              <w:rPr>
                <w:rStyle w:val="CharacterStyle12"/>
              </w:rPr>
            </w:pPr>
            <w:r>
              <w:rPr>
                <w:rStyle w:val="CharacterStyle12"/>
              </w:rPr>
              <w:t>500,00</w:t>
            </w:r>
          </w:p>
        </w:tc>
        <w:tc>
          <w:tcPr>
            <w:tcW w:w="1395" w:type="dxa"/>
            <w:tcBorders>
              <w:bottom w:val="single" w:sz="6" w:space="0" w:color="000000"/>
              <w:right w:val="single" w:sz="6" w:space="0" w:color="000000"/>
            </w:tcBorders>
            <w:vAlign w:val="center"/>
          </w:tcPr>
          <w:p w14:paraId="78190559" w14:textId="77777777" w:rsidR="007D706A" w:rsidRDefault="007D706A" w:rsidP="00F70508">
            <w:pPr>
              <w:pStyle w:val="ParagraphStyle12"/>
              <w:rPr>
                <w:rStyle w:val="CharacterStyle12"/>
              </w:rPr>
            </w:pPr>
            <w:r>
              <w:rPr>
                <w:rStyle w:val="CharacterStyle12"/>
              </w:rPr>
              <w:t>500,00</w:t>
            </w:r>
          </w:p>
        </w:tc>
      </w:tr>
      <w:tr w:rsidR="007D706A" w14:paraId="6A80E29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8E6E5E2" w14:textId="77777777" w:rsidR="007D706A" w:rsidRDefault="007D706A" w:rsidP="00F70508">
            <w:pPr>
              <w:pStyle w:val="ParagraphStyle10"/>
              <w:rPr>
                <w:rStyle w:val="CharacterStyle10"/>
              </w:rPr>
            </w:pPr>
            <w:r>
              <w:rPr>
                <w:rStyle w:val="CharacterStyle10"/>
              </w:rPr>
              <w:t>35</w:t>
            </w:r>
          </w:p>
        </w:tc>
        <w:tc>
          <w:tcPr>
            <w:tcW w:w="4995" w:type="dxa"/>
            <w:tcBorders>
              <w:bottom w:val="single" w:sz="6" w:space="0" w:color="000000"/>
              <w:right w:val="single" w:sz="6" w:space="0" w:color="000000"/>
            </w:tcBorders>
            <w:vAlign w:val="center"/>
          </w:tcPr>
          <w:p w14:paraId="2D0DE499" w14:textId="77777777" w:rsidR="007D706A" w:rsidRDefault="007D706A" w:rsidP="00F70508">
            <w:pPr>
              <w:pStyle w:val="ParagraphStyle11"/>
              <w:rPr>
                <w:rStyle w:val="CharacterStyle11"/>
              </w:rPr>
            </w:pPr>
            <w:r>
              <w:rPr>
                <w:rStyle w:val="CharacterStyle11"/>
              </w:rPr>
              <w:t>Subvencije</w:t>
            </w:r>
          </w:p>
        </w:tc>
        <w:tc>
          <w:tcPr>
            <w:tcW w:w="1395" w:type="dxa"/>
            <w:tcBorders>
              <w:bottom w:val="single" w:sz="6" w:space="0" w:color="000000"/>
              <w:right w:val="single" w:sz="6" w:space="0" w:color="000000"/>
            </w:tcBorders>
            <w:vAlign w:val="center"/>
          </w:tcPr>
          <w:p w14:paraId="09077EB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F95616F" w14:textId="77777777" w:rsidR="007D706A" w:rsidRDefault="007D706A" w:rsidP="00F70508">
            <w:pPr>
              <w:pStyle w:val="ParagraphStyle12"/>
              <w:rPr>
                <w:rStyle w:val="CharacterStyle12"/>
              </w:rPr>
            </w:pPr>
            <w:r>
              <w:rPr>
                <w:rStyle w:val="CharacterStyle12"/>
              </w:rPr>
              <w:t>500,00</w:t>
            </w:r>
          </w:p>
        </w:tc>
        <w:tc>
          <w:tcPr>
            <w:tcW w:w="1395" w:type="dxa"/>
            <w:tcBorders>
              <w:bottom w:val="single" w:sz="6" w:space="0" w:color="000000"/>
              <w:right w:val="single" w:sz="6" w:space="0" w:color="000000"/>
            </w:tcBorders>
            <w:vAlign w:val="center"/>
          </w:tcPr>
          <w:p w14:paraId="20C7E48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F97A733" w14:textId="77777777" w:rsidR="007D706A" w:rsidRDefault="007D706A" w:rsidP="00F70508">
            <w:pPr>
              <w:pStyle w:val="ParagraphStyle12"/>
              <w:rPr>
                <w:rStyle w:val="CharacterStyle12"/>
              </w:rPr>
            </w:pPr>
            <w:r>
              <w:rPr>
                <w:rStyle w:val="CharacterStyle12"/>
              </w:rPr>
              <w:t>500,00</w:t>
            </w:r>
          </w:p>
        </w:tc>
        <w:tc>
          <w:tcPr>
            <w:tcW w:w="1395" w:type="dxa"/>
            <w:tcBorders>
              <w:bottom w:val="single" w:sz="6" w:space="0" w:color="000000"/>
              <w:right w:val="single" w:sz="6" w:space="0" w:color="000000"/>
            </w:tcBorders>
            <w:vAlign w:val="center"/>
          </w:tcPr>
          <w:p w14:paraId="67F62F49" w14:textId="77777777" w:rsidR="007D706A" w:rsidRDefault="007D706A" w:rsidP="00F70508">
            <w:pPr>
              <w:pStyle w:val="ParagraphStyle12"/>
              <w:rPr>
                <w:rStyle w:val="CharacterStyle12"/>
              </w:rPr>
            </w:pPr>
            <w:r>
              <w:rPr>
                <w:rStyle w:val="CharacterStyle12"/>
              </w:rPr>
              <w:t>500,00</w:t>
            </w:r>
          </w:p>
        </w:tc>
      </w:tr>
      <w:tr w:rsidR="007D706A" w14:paraId="2EA4B40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D821B0A" w14:textId="77777777" w:rsidR="007D706A" w:rsidRDefault="007D706A" w:rsidP="00F70508">
            <w:pPr>
              <w:pStyle w:val="ParagraphStyle7"/>
              <w:rPr>
                <w:rStyle w:val="CharacterStyle7"/>
              </w:rPr>
            </w:pPr>
            <w:r>
              <w:rPr>
                <w:rStyle w:val="CharacterStyle7"/>
              </w:rPr>
              <w:t>Izvor financiranja 43</w:t>
            </w:r>
          </w:p>
        </w:tc>
        <w:tc>
          <w:tcPr>
            <w:tcW w:w="4995" w:type="dxa"/>
            <w:tcBorders>
              <w:bottom w:val="single" w:sz="6" w:space="0" w:color="000000"/>
              <w:right w:val="single" w:sz="6" w:space="0" w:color="000000"/>
            </w:tcBorders>
            <w:vAlign w:val="center"/>
          </w:tcPr>
          <w:p w14:paraId="33543A75" w14:textId="77777777" w:rsidR="007D706A" w:rsidRDefault="007D706A" w:rsidP="00F70508">
            <w:pPr>
              <w:pStyle w:val="ParagraphStyle8"/>
              <w:rPr>
                <w:rStyle w:val="CharacterStyle8"/>
              </w:rPr>
            </w:pPr>
            <w:r>
              <w:rPr>
                <w:rStyle w:val="CharacterStyle8"/>
              </w:rPr>
              <w:t>Ostali prihodi za posebne namjene</w:t>
            </w:r>
          </w:p>
        </w:tc>
        <w:tc>
          <w:tcPr>
            <w:tcW w:w="1395" w:type="dxa"/>
            <w:tcBorders>
              <w:bottom w:val="single" w:sz="6" w:space="0" w:color="000000"/>
              <w:right w:val="single" w:sz="6" w:space="0" w:color="000000"/>
            </w:tcBorders>
            <w:vAlign w:val="center"/>
          </w:tcPr>
          <w:p w14:paraId="41535CAA"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616CE82"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3FD2885" w14:textId="77777777" w:rsidR="007D706A" w:rsidRDefault="007D706A" w:rsidP="00F70508">
            <w:pPr>
              <w:pStyle w:val="ParagraphStyle9"/>
              <w:rPr>
                <w:rStyle w:val="CharacterStyle9"/>
              </w:rPr>
            </w:pPr>
            <w:r>
              <w:rPr>
                <w:rStyle w:val="CharacterStyle9"/>
              </w:rPr>
              <w:t>500,00</w:t>
            </w:r>
          </w:p>
        </w:tc>
        <w:tc>
          <w:tcPr>
            <w:tcW w:w="1395" w:type="dxa"/>
            <w:tcBorders>
              <w:bottom w:val="single" w:sz="6" w:space="0" w:color="000000"/>
              <w:right w:val="single" w:sz="6" w:space="0" w:color="000000"/>
            </w:tcBorders>
            <w:vAlign w:val="center"/>
          </w:tcPr>
          <w:p w14:paraId="4208413F"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1BBD9F0" w14:textId="77777777" w:rsidR="007D706A" w:rsidRDefault="007D706A" w:rsidP="00F70508">
            <w:pPr>
              <w:pStyle w:val="ParagraphStyle9"/>
              <w:rPr>
                <w:rStyle w:val="CharacterStyle9"/>
              </w:rPr>
            </w:pPr>
            <w:r>
              <w:rPr>
                <w:rStyle w:val="CharacterStyle9"/>
              </w:rPr>
              <w:t>0,00</w:t>
            </w:r>
          </w:p>
        </w:tc>
      </w:tr>
      <w:tr w:rsidR="007D706A" w14:paraId="1396532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F9BB407"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13566CED"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759D87A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769FD6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82BAD23" w14:textId="77777777" w:rsidR="007D706A" w:rsidRDefault="007D706A" w:rsidP="00F70508">
            <w:pPr>
              <w:pStyle w:val="ParagraphStyle12"/>
              <w:rPr>
                <w:rStyle w:val="CharacterStyle12"/>
              </w:rPr>
            </w:pPr>
            <w:r>
              <w:rPr>
                <w:rStyle w:val="CharacterStyle12"/>
              </w:rPr>
              <w:t>500,00</w:t>
            </w:r>
          </w:p>
        </w:tc>
        <w:tc>
          <w:tcPr>
            <w:tcW w:w="1395" w:type="dxa"/>
            <w:tcBorders>
              <w:bottom w:val="single" w:sz="6" w:space="0" w:color="000000"/>
              <w:right w:val="single" w:sz="6" w:space="0" w:color="000000"/>
            </w:tcBorders>
            <w:vAlign w:val="center"/>
          </w:tcPr>
          <w:p w14:paraId="3E9E0B8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02E1988" w14:textId="77777777" w:rsidR="007D706A" w:rsidRDefault="007D706A" w:rsidP="00F70508">
            <w:pPr>
              <w:pStyle w:val="ParagraphStyle12"/>
              <w:rPr>
                <w:rStyle w:val="CharacterStyle12"/>
              </w:rPr>
            </w:pPr>
            <w:r>
              <w:rPr>
                <w:rStyle w:val="CharacterStyle12"/>
              </w:rPr>
              <w:t>0,00</w:t>
            </w:r>
          </w:p>
        </w:tc>
      </w:tr>
      <w:tr w:rsidR="007D706A" w14:paraId="5056662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9016D85" w14:textId="77777777" w:rsidR="007D706A" w:rsidRDefault="007D706A" w:rsidP="00F70508">
            <w:pPr>
              <w:pStyle w:val="ParagraphStyle10"/>
              <w:rPr>
                <w:rStyle w:val="CharacterStyle10"/>
              </w:rPr>
            </w:pPr>
            <w:r>
              <w:rPr>
                <w:rStyle w:val="CharacterStyle10"/>
              </w:rPr>
              <w:t>35</w:t>
            </w:r>
          </w:p>
        </w:tc>
        <w:tc>
          <w:tcPr>
            <w:tcW w:w="4995" w:type="dxa"/>
            <w:tcBorders>
              <w:bottom w:val="single" w:sz="6" w:space="0" w:color="000000"/>
              <w:right w:val="single" w:sz="6" w:space="0" w:color="000000"/>
            </w:tcBorders>
            <w:vAlign w:val="center"/>
          </w:tcPr>
          <w:p w14:paraId="16D33314" w14:textId="77777777" w:rsidR="007D706A" w:rsidRDefault="007D706A" w:rsidP="00F70508">
            <w:pPr>
              <w:pStyle w:val="ParagraphStyle11"/>
              <w:rPr>
                <w:rStyle w:val="CharacterStyle11"/>
              </w:rPr>
            </w:pPr>
            <w:r>
              <w:rPr>
                <w:rStyle w:val="CharacterStyle11"/>
              </w:rPr>
              <w:t>Subvencije</w:t>
            </w:r>
          </w:p>
        </w:tc>
        <w:tc>
          <w:tcPr>
            <w:tcW w:w="1395" w:type="dxa"/>
            <w:tcBorders>
              <w:bottom w:val="single" w:sz="6" w:space="0" w:color="000000"/>
              <w:right w:val="single" w:sz="6" w:space="0" w:color="000000"/>
            </w:tcBorders>
            <w:vAlign w:val="center"/>
          </w:tcPr>
          <w:p w14:paraId="3F5B3CB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A35FA8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3D8B4AD" w14:textId="77777777" w:rsidR="007D706A" w:rsidRDefault="007D706A" w:rsidP="00F70508">
            <w:pPr>
              <w:pStyle w:val="ParagraphStyle12"/>
              <w:rPr>
                <w:rStyle w:val="CharacterStyle12"/>
              </w:rPr>
            </w:pPr>
            <w:r>
              <w:rPr>
                <w:rStyle w:val="CharacterStyle12"/>
              </w:rPr>
              <w:t>500,00</w:t>
            </w:r>
          </w:p>
        </w:tc>
        <w:tc>
          <w:tcPr>
            <w:tcW w:w="1395" w:type="dxa"/>
            <w:tcBorders>
              <w:bottom w:val="single" w:sz="6" w:space="0" w:color="000000"/>
              <w:right w:val="single" w:sz="6" w:space="0" w:color="000000"/>
            </w:tcBorders>
            <w:vAlign w:val="center"/>
          </w:tcPr>
          <w:p w14:paraId="5B98546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DEB8B92" w14:textId="77777777" w:rsidR="007D706A" w:rsidRDefault="007D706A" w:rsidP="00F70508">
            <w:pPr>
              <w:pStyle w:val="ParagraphStyle12"/>
              <w:rPr>
                <w:rStyle w:val="CharacterStyle12"/>
              </w:rPr>
            </w:pPr>
            <w:r>
              <w:rPr>
                <w:rStyle w:val="CharacterStyle12"/>
              </w:rPr>
              <w:t>0,00</w:t>
            </w:r>
          </w:p>
        </w:tc>
      </w:tr>
      <w:tr w:rsidR="007D706A" w14:paraId="69A1AB8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D9A1221" w14:textId="77777777" w:rsidR="007D706A" w:rsidRDefault="007D706A" w:rsidP="00F70508">
            <w:pPr>
              <w:pStyle w:val="ParagraphStyle4"/>
              <w:rPr>
                <w:rStyle w:val="CharacterStyle4"/>
              </w:rPr>
            </w:pPr>
            <w:r>
              <w:rPr>
                <w:rStyle w:val="CharacterStyle4"/>
              </w:rPr>
              <w:t>PROGRAM    1009</w:t>
            </w:r>
          </w:p>
        </w:tc>
        <w:tc>
          <w:tcPr>
            <w:tcW w:w="4995" w:type="dxa"/>
            <w:tcBorders>
              <w:bottom w:val="single" w:sz="6" w:space="0" w:color="000000"/>
              <w:right w:val="single" w:sz="6" w:space="0" w:color="000000"/>
            </w:tcBorders>
            <w:vAlign w:val="center"/>
          </w:tcPr>
          <w:p w14:paraId="3AB650A8" w14:textId="77777777" w:rsidR="007D706A" w:rsidRDefault="007D706A" w:rsidP="00F70508">
            <w:pPr>
              <w:pStyle w:val="ParagraphStyle5"/>
              <w:rPr>
                <w:rStyle w:val="CharacterStyle5"/>
              </w:rPr>
            </w:pPr>
            <w:r>
              <w:rPr>
                <w:rStyle w:val="CharacterStyle5"/>
              </w:rPr>
              <w:t>ZAŠTITA OKOLIŠA</w:t>
            </w:r>
          </w:p>
        </w:tc>
        <w:tc>
          <w:tcPr>
            <w:tcW w:w="1395" w:type="dxa"/>
            <w:tcBorders>
              <w:bottom w:val="single" w:sz="6" w:space="0" w:color="000000"/>
              <w:right w:val="single" w:sz="6" w:space="0" w:color="000000"/>
            </w:tcBorders>
            <w:vAlign w:val="center"/>
          </w:tcPr>
          <w:p w14:paraId="7F41209B"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008CE9E0" w14:textId="77777777" w:rsidR="007D706A" w:rsidRDefault="007D706A" w:rsidP="00F70508">
            <w:pPr>
              <w:pStyle w:val="ParagraphStyle6"/>
              <w:rPr>
                <w:rStyle w:val="CharacterStyle6"/>
              </w:rPr>
            </w:pPr>
            <w:r>
              <w:rPr>
                <w:rStyle w:val="CharacterStyle6"/>
              </w:rPr>
              <w:t>3.140.336,50</w:t>
            </w:r>
          </w:p>
        </w:tc>
        <w:tc>
          <w:tcPr>
            <w:tcW w:w="1395" w:type="dxa"/>
            <w:tcBorders>
              <w:bottom w:val="single" w:sz="6" w:space="0" w:color="000000"/>
              <w:right w:val="single" w:sz="6" w:space="0" w:color="000000"/>
            </w:tcBorders>
            <w:vAlign w:val="center"/>
          </w:tcPr>
          <w:p w14:paraId="38F4EAC0" w14:textId="77777777" w:rsidR="007D706A" w:rsidRDefault="007D706A" w:rsidP="00F70508">
            <w:pPr>
              <w:pStyle w:val="ParagraphStyle6"/>
              <w:rPr>
                <w:rStyle w:val="CharacterStyle6"/>
              </w:rPr>
            </w:pPr>
            <w:r>
              <w:rPr>
                <w:rStyle w:val="CharacterStyle6"/>
              </w:rPr>
              <w:t>3.888.649,50</w:t>
            </w:r>
          </w:p>
        </w:tc>
        <w:tc>
          <w:tcPr>
            <w:tcW w:w="1395" w:type="dxa"/>
            <w:tcBorders>
              <w:bottom w:val="single" w:sz="6" w:space="0" w:color="000000"/>
              <w:right w:val="single" w:sz="6" w:space="0" w:color="000000"/>
            </w:tcBorders>
            <w:vAlign w:val="center"/>
          </w:tcPr>
          <w:p w14:paraId="26DEA051" w14:textId="77777777" w:rsidR="007D706A" w:rsidRDefault="007D706A" w:rsidP="00F70508">
            <w:pPr>
              <w:pStyle w:val="ParagraphStyle6"/>
              <w:rPr>
                <w:rStyle w:val="CharacterStyle6"/>
              </w:rPr>
            </w:pPr>
            <w:r>
              <w:rPr>
                <w:rStyle w:val="CharacterStyle6"/>
              </w:rPr>
              <w:t>5.247.300,00</w:t>
            </w:r>
          </w:p>
        </w:tc>
        <w:tc>
          <w:tcPr>
            <w:tcW w:w="1395" w:type="dxa"/>
            <w:tcBorders>
              <w:bottom w:val="single" w:sz="6" w:space="0" w:color="000000"/>
              <w:right w:val="single" w:sz="6" w:space="0" w:color="000000"/>
            </w:tcBorders>
            <w:vAlign w:val="center"/>
          </w:tcPr>
          <w:p w14:paraId="45B91D31" w14:textId="77777777" w:rsidR="007D706A" w:rsidRDefault="007D706A" w:rsidP="00F70508">
            <w:pPr>
              <w:pStyle w:val="ParagraphStyle6"/>
              <w:rPr>
                <w:rStyle w:val="CharacterStyle6"/>
              </w:rPr>
            </w:pPr>
            <w:r>
              <w:rPr>
                <w:rStyle w:val="CharacterStyle6"/>
              </w:rPr>
              <w:t>13.300,00</w:t>
            </w:r>
          </w:p>
        </w:tc>
      </w:tr>
      <w:tr w:rsidR="007D706A" w14:paraId="2058756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A3D515F" w14:textId="77777777" w:rsidR="007D706A" w:rsidRDefault="007D706A" w:rsidP="00F70508">
            <w:pPr>
              <w:pStyle w:val="ParagraphStyle4"/>
              <w:rPr>
                <w:rStyle w:val="CharacterStyle4"/>
              </w:rPr>
            </w:pPr>
            <w:r>
              <w:rPr>
                <w:rStyle w:val="CharacterStyle4"/>
              </w:rPr>
              <w:t>Aktivnost A100901</w:t>
            </w:r>
          </w:p>
        </w:tc>
        <w:tc>
          <w:tcPr>
            <w:tcW w:w="4995" w:type="dxa"/>
            <w:tcBorders>
              <w:bottom w:val="single" w:sz="6" w:space="0" w:color="000000"/>
              <w:right w:val="single" w:sz="6" w:space="0" w:color="000000"/>
            </w:tcBorders>
            <w:vAlign w:val="center"/>
          </w:tcPr>
          <w:p w14:paraId="1D679DBA" w14:textId="77777777" w:rsidR="007D706A" w:rsidRDefault="007D706A" w:rsidP="00F70508">
            <w:pPr>
              <w:pStyle w:val="ParagraphStyle5"/>
              <w:rPr>
                <w:rStyle w:val="CharacterStyle5"/>
              </w:rPr>
            </w:pPr>
            <w:r>
              <w:rPr>
                <w:rStyle w:val="CharacterStyle5"/>
              </w:rPr>
              <w:t>AKTIVNA ZAŠTITA ORNITOLOŠKOG REZERVATA PALUD</w:t>
            </w:r>
          </w:p>
        </w:tc>
        <w:tc>
          <w:tcPr>
            <w:tcW w:w="1395" w:type="dxa"/>
            <w:tcBorders>
              <w:bottom w:val="single" w:sz="6" w:space="0" w:color="000000"/>
              <w:right w:val="single" w:sz="6" w:space="0" w:color="000000"/>
            </w:tcBorders>
            <w:vAlign w:val="center"/>
          </w:tcPr>
          <w:p w14:paraId="2B1AB7EC"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3B0E99EC" w14:textId="77777777" w:rsidR="007D706A" w:rsidRDefault="007D706A" w:rsidP="00F70508">
            <w:pPr>
              <w:pStyle w:val="ParagraphStyle6"/>
              <w:rPr>
                <w:rStyle w:val="CharacterStyle6"/>
              </w:rPr>
            </w:pPr>
            <w:r>
              <w:rPr>
                <w:rStyle w:val="CharacterStyle6"/>
              </w:rPr>
              <w:t>13.300,00</w:t>
            </w:r>
          </w:p>
        </w:tc>
        <w:tc>
          <w:tcPr>
            <w:tcW w:w="1395" w:type="dxa"/>
            <w:tcBorders>
              <w:bottom w:val="single" w:sz="6" w:space="0" w:color="000000"/>
              <w:right w:val="single" w:sz="6" w:space="0" w:color="000000"/>
            </w:tcBorders>
            <w:vAlign w:val="center"/>
          </w:tcPr>
          <w:p w14:paraId="3A33CDA0" w14:textId="77777777" w:rsidR="007D706A" w:rsidRDefault="007D706A" w:rsidP="00F70508">
            <w:pPr>
              <w:pStyle w:val="ParagraphStyle6"/>
              <w:rPr>
                <w:rStyle w:val="CharacterStyle6"/>
              </w:rPr>
            </w:pPr>
            <w:r>
              <w:rPr>
                <w:rStyle w:val="CharacterStyle6"/>
              </w:rPr>
              <w:t>13.300,00</w:t>
            </w:r>
          </w:p>
        </w:tc>
        <w:tc>
          <w:tcPr>
            <w:tcW w:w="1395" w:type="dxa"/>
            <w:tcBorders>
              <w:bottom w:val="single" w:sz="6" w:space="0" w:color="000000"/>
              <w:right w:val="single" w:sz="6" w:space="0" w:color="000000"/>
            </w:tcBorders>
            <w:vAlign w:val="center"/>
          </w:tcPr>
          <w:p w14:paraId="70643343" w14:textId="77777777" w:rsidR="007D706A" w:rsidRDefault="007D706A" w:rsidP="00F70508">
            <w:pPr>
              <w:pStyle w:val="ParagraphStyle6"/>
              <w:rPr>
                <w:rStyle w:val="CharacterStyle6"/>
              </w:rPr>
            </w:pPr>
            <w:r>
              <w:rPr>
                <w:rStyle w:val="CharacterStyle6"/>
              </w:rPr>
              <w:t>13.300,00</w:t>
            </w:r>
          </w:p>
        </w:tc>
        <w:tc>
          <w:tcPr>
            <w:tcW w:w="1395" w:type="dxa"/>
            <w:tcBorders>
              <w:bottom w:val="single" w:sz="6" w:space="0" w:color="000000"/>
              <w:right w:val="single" w:sz="6" w:space="0" w:color="000000"/>
            </w:tcBorders>
            <w:vAlign w:val="center"/>
          </w:tcPr>
          <w:p w14:paraId="4F0F7DC3" w14:textId="77777777" w:rsidR="007D706A" w:rsidRDefault="007D706A" w:rsidP="00F70508">
            <w:pPr>
              <w:pStyle w:val="ParagraphStyle6"/>
              <w:rPr>
                <w:rStyle w:val="CharacterStyle6"/>
              </w:rPr>
            </w:pPr>
            <w:r>
              <w:rPr>
                <w:rStyle w:val="CharacterStyle6"/>
              </w:rPr>
              <w:t>13.300,00</w:t>
            </w:r>
          </w:p>
        </w:tc>
      </w:tr>
      <w:tr w:rsidR="007D706A" w14:paraId="497438B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C9C1EBE" w14:textId="77777777" w:rsidR="007D706A" w:rsidRDefault="007D706A" w:rsidP="00F70508">
            <w:pPr>
              <w:pStyle w:val="ParagraphStyle7"/>
              <w:rPr>
                <w:rStyle w:val="CharacterStyle7"/>
              </w:rPr>
            </w:pPr>
            <w:r>
              <w:rPr>
                <w:rStyle w:val="CharacterStyle7"/>
              </w:rPr>
              <w:t>Izvor financiranja 41</w:t>
            </w:r>
          </w:p>
        </w:tc>
        <w:tc>
          <w:tcPr>
            <w:tcW w:w="4995" w:type="dxa"/>
            <w:tcBorders>
              <w:bottom w:val="single" w:sz="6" w:space="0" w:color="000000"/>
              <w:right w:val="single" w:sz="6" w:space="0" w:color="000000"/>
            </w:tcBorders>
            <w:vAlign w:val="center"/>
          </w:tcPr>
          <w:p w14:paraId="0C545FAE" w14:textId="77777777" w:rsidR="007D706A" w:rsidRDefault="007D706A" w:rsidP="00F70508">
            <w:pPr>
              <w:pStyle w:val="ParagraphStyle8"/>
              <w:rPr>
                <w:rStyle w:val="CharacterStyle8"/>
              </w:rPr>
            </w:pPr>
            <w:r>
              <w:rPr>
                <w:rStyle w:val="CharacterStyle8"/>
              </w:rPr>
              <w:t>Prihodi za posebne namjene</w:t>
            </w:r>
          </w:p>
        </w:tc>
        <w:tc>
          <w:tcPr>
            <w:tcW w:w="1395" w:type="dxa"/>
            <w:tcBorders>
              <w:bottom w:val="single" w:sz="6" w:space="0" w:color="000000"/>
              <w:right w:val="single" w:sz="6" w:space="0" w:color="000000"/>
            </w:tcBorders>
            <w:vAlign w:val="center"/>
          </w:tcPr>
          <w:p w14:paraId="1BE7450B"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2507EA1" w14:textId="77777777" w:rsidR="007D706A" w:rsidRDefault="007D706A" w:rsidP="00F70508">
            <w:pPr>
              <w:pStyle w:val="ParagraphStyle9"/>
              <w:rPr>
                <w:rStyle w:val="CharacterStyle9"/>
              </w:rPr>
            </w:pPr>
            <w:r>
              <w:rPr>
                <w:rStyle w:val="CharacterStyle9"/>
              </w:rPr>
              <w:t>13.300,00</w:t>
            </w:r>
          </w:p>
        </w:tc>
        <w:tc>
          <w:tcPr>
            <w:tcW w:w="1395" w:type="dxa"/>
            <w:tcBorders>
              <w:bottom w:val="single" w:sz="6" w:space="0" w:color="000000"/>
              <w:right w:val="single" w:sz="6" w:space="0" w:color="000000"/>
            </w:tcBorders>
            <w:vAlign w:val="center"/>
          </w:tcPr>
          <w:p w14:paraId="3516B2D7"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2D7BF77"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9D91E81" w14:textId="77777777" w:rsidR="007D706A" w:rsidRDefault="007D706A" w:rsidP="00F70508">
            <w:pPr>
              <w:pStyle w:val="ParagraphStyle9"/>
              <w:rPr>
                <w:rStyle w:val="CharacterStyle9"/>
              </w:rPr>
            </w:pPr>
            <w:r>
              <w:rPr>
                <w:rStyle w:val="CharacterStyle9"/>
              </w:rPr>
              <w:t>0,00</w:t>
            </w:r>
          </w:p>
        </w:tc>
      </w:tr>
      <w:tr w:rsidR="007D706A" w14:paraId="56A92E2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AB1B0DC"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5DDAA79C"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285CF4A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1224A24" w14:textId="77777777" w:rsidR="007D706A" w:rsidRDefault="007D706A" w:rsidP="00F70508">
            <w:pPr>
              <w:pStyle w:val="ParagraphStyle12"/>
              <w:rPr>
                <w:rStyle w:val="CharacterStyle12"/>
              </w:rPr>
            </w:pPr>
            <w:r>
              <w:rPr>
                <w:rStyle w:val="CharacterStyle12"/>
              </w:rPr>
              <w:t>13.300,00</w:t>
            </w:r>
          </w:p>
        </w:tc>
        <w:tc>
          <w:tcPr>
            <w:tcW w:w="1395" w:type="dxa"/>
            <w:tcBorders>
              <w:bottom w:val="single" w:sz="6" w:space="0" w:color="000000"/>
              <w:right w:val="single" w:sz="6" w:space="0" w:color="000000"/>
            </w:tcBorders>
            <w:vAlign w:val="center"/>
          </w:tcPr>
          <w:p w14:paraId="6B8305A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C7C581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94D5455" w14:textId="77777777" w:rsidR="007D706A" w:rsidRDefault="007D706A" w:rsidP="00F70508">
            <w:pPr>
              <w:pStyle w:val="ParagraphStyle12"/>
              <w:rPr>
                <w:rStyle w:val="CharacterStyle12"/>
              </w:rPr>
            </w:pPr>
            <w:r>
              <w:rPr>
                <w:rStyle w:val="CharacterStyle12"/>
              </w:rPr>
              <w:t>0,00</w:t>
            </w:r>
          </w:p>
        </w:tc>
      </w:tr>
      <w:tr w:rsidR="007D706A" w14:paraId="54E44FC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35B5505" w14:textId="77777777" w:rsidR="007D706A" w:rsidRDefault="007D706A" w:rsidP="00F70508">
            <w:pPr>
              <w:pStyle w:val="ParagraphStyle10"/>
              <w:rPr>
                <w:rStyle w:val="CharacterStyle10"/>
              </w:rPr>
            </w:pPr>
            <w:r>
              <w:rPr>
                <w:rStyle w:val="CharacterStyle10"/>
              </w:rPr>
              <w:t>36</w:t>
            </w:r>
          </w:p>
        </w:tc>
        <w:tc>
          <w:tcPr>
            <w:tcW w:w="4995" w:type="dxa"/>
            <w:tcBorders>
              <w:bottom w:val="single" w:sz="6" w:space="0" w:color="000000"/>
              <w:right w:val="single" w:sz="6" w:space="0" w:color="000000"/>
            </w:tcBorders>
            <w:vAlign w:val="center"/>
          </w:tcPr>
          <w:p w14:paraId="51D98106" w14:textId="77777777" w:rsidR="007D706A" w:rsidRDefault="007D706A" w:rsidP="00F70508">
            <w:pPr>
              <w:pStyle w:val="ParagraphStyle11"/>
              <w:rPr>
                <w:rStyle w:val="CharacterStyle11"/>
              </w:rPr>
            </w:pPr>
            <w:r>
              <w:rPr>
                <w:rStyle w:val="CharacterStyle11"/>
              </w:rPr>
              <w:t>Pomoći dane u inozemstvo i unutar općeg proračuna</w:t>
            </w:r>
          </w:p>
        </w:tc>
        <w:tc>
          <w:tcPr>
            <w:tcW w:w="1395" w:type="dxa"/>
            <w:tcBorders>
              <w:bottom w:val="single" w:sz="6" w:space="0" w:color="000000"/>
              <w:right w:val="single" w:sz="6" w:space="0" w:color="000000"/>
            </w:tcBorders>
            <w:vAlign w:val="center"/>
          </w:tcPr>
          <w:p w14:paraId="2037A5B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1DD0B7D" w14:textId="77777777" w:rsidR="007D706A" w:rsidRDefault="007D706A" w:rsidP="00F70508">
            <w:pPr>
              <w:pStyle w:val="ParagraphStyle12"/>
              <w:rPr>
                <w:rStyle w:val="CharacterStyle12"/>
              </w:rPr>
            </w:pPr>
            <w:r>
              <w:rPr>
                <w:rStyle w:val="CharacterStyle12"/>
              </w:rPr>
              <w:t>13.300,00</w:t>
            </w:r>
          </w:p>
        </w:tc>
        <w:tc>
          <w:tcPr>
            <w:tcW w:w="1395" w:type="dxa"/>
            <w:tcBorders>
              <w:bottom w:val="single" w:sz="6" w:space="0" w:color="000000"/>
              <w:right w:val="single" w:sz="6" w:space="0" w:color="000000"/>
            </w:tcBorders>
            <w:vAlign w:val="center"/>
          </w:tcPr>
          <w:p w14:paraId="680E821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FA28C3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9EA1995" w14:textId="77777777" w:rsidR="007D706A" w:rsidRDefault="007D706A" w:rsidP="00F70508">
            <w:pPr>
              <w:pStyle w:val="ParagraphStyle12"/>
              <w:rPr>
                <w:rStyle w:val="CharacterStyle12"/>
              </w:rPr>
            </w:pPr>
            <w:r>
              <w:rPr>
                <w:rStyle w:val="CharacterStyle12"/>
              </w:rPr>
              <w:t>0,00</w:t>
            </w:r>
          </w:p>
        </w:tc>
      </w:tr>
      <w:tr w:rsidR="007D706A" w14:paraId="0703592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5D57FA6" w14:textId="77777777" w:rsidR="007D706A" w:rsidRDefault="007D706A" w:rsidP="00F70508">
            <w:pPr>
              <w:pStyle w:val="ParagraphStyle7"/>
              <w:rPr>
                <w:rStyle w:val="CharacterStyle7"/>
              </w:rPr>
            </w:pPr>
            <w:r>
              <w:rPr>
                <w:rStyle w:val="CharacterStyle7"/>
              </w:rPr>
              <w:t>Izvor financiranja 43</w:t>
            </w:r>
          </w:p>
        </w:tc>
        <w:tc>
          <w:tcPr>
            <w:tcW w:w="4995" w:type="dxa"/>
            <w:tcBorders>
              <w:bottom w:val="single" w:sz="6" w:space="0" w:color="000000"/>
              <w:right w:val="single" w:sz="6" w:space="0" w:color="000000"/>
            </w:tcBorders>
            <w:vAlign w:val="center"/>
          </w:tcPr>
          <w:p w14:paraId="7A8EF4E5" w14:textId="77777777" w:rsidR="007D706A" w:rsidRDefault="007D706A" w:rsidP="00F70508">
            <w:pPr>
              <w:pStyle w:val="ParagraphStyle8"/>
              <w:rPr>
                <w:rStyle w:val="CharacterStyle8"/>
              </w:rPr>
            </w:pPr>
            <w:r>
              <w:rPr>
                <w:rStyle w:val="CharacterStyle8"/>
              </w:rPr>
              <w:t>Ostali prihodi za posebne namjene</w:t>
            </w:r>
          </w:p>
        </w:tc>
        <w:tc>
          <w:tcPr>
            <w:tcW w:w="1395" w:type="dxa"/>
            <w:tcBorders>
              <w:bottom w:val="single" w:sz="6" w:space="0" w:color="000000"/>
              <w:right w:val="single" w:sz="6" w:space="0" w:color="000000"/>
            </w:tcBorders>
            <w:vAlign w:val="center"/>
          </w:tcPr>
          <w:p w14:paraId="5955DD1E"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E109F57"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EBDA578" w14:textId="77777777" w:rsidR="007D706A" w:rsidRDefault="007D706A" w:rsidP="00F70508">
            <w:pPr>
              <w:pStyle w:val="ParagraphStyle9"/>
              <w:rPr>
                <w:rStyle w:val="CharacterStyle9"/>
              </w:rPr>
            </w:pPr>
            <w:r>
              <w:rPr>
                <w:rStyle w:val="CharacterStyle9"/>
              </w:rPr>
              <w:t>13.300,00</w:t>
            </w:r>
          </w:p>
        </w:tc>
        <w:tc>
          <w:tcPr>
            <w:tcW w:w="1395" w:type="dxa"/>
            <w:tcBorders>
              <w:bottom w:val="single" w:sz="6" w:space="0" w:color="000000"/>
              <w:right w:val="single" w:sz="6" w:space="0" w:color="000000"/>
            </w:tcBorders>
            <w:vAlign w:val="center"/>
          </w:tcPr>
          <w:p w14:paraId="7C81D6C4" w14:textId="77777777" w:rsidR="007D706A" w:rsidRDefault="007D706A" w:rsidP="00F70508">
            <w:pPr>
              <w:pStyle w:val="ParagraphStyle9"/>
              <w:rPr>
                <w:rStyle w:val="CharacterStyle9"/>
              </w:rPr>
            </w:pPr>
            <w:r>
              <w:rPr>
                <w:rStyle w:val="CharacterStyle9"/>
              </w:rPr>
              <w:t>13.300,00</w:t>
            </w:r>
          </w:p>
        </w:tc>
        <w:tc>
          <w:tcPr>
            <w:tcW w:w="1395" w:type="dxa"/>
            <w:tcBorders>
              <w:bottom w:val="single" w:sz="6" w:space="0" w:color="000000"/>
              <w:right w:val="single" w:sz="6" w:space="0" w:color="000000"/>
            </w:tcBorders>
            <w:vAlign w:val="center"/>
          </w:tcPr>
          <w:p w14:paraId="1C1905E1" w14:textId="77777777" w:rsidR="007D706A" w:rsidRDefault="007D706A" w:rsidP="00F70508">
            <w:pPr>
              <w:pStyle w:val="ParagraphStyle9"/>
              <w:rPr>
                <w:rStyle w:val="CharacterStyle9"/>
              </w:rPr>
            </w:pPr>
            <w:r>
              <w:rPr>
                <w:rStyle w:val="CharacterStyle9"/>
              </w:rPr>
              <w:t>13.300,00</w:t>
            </w:r>
          </w:p>
        </w:tc>
      </w:tr>
      <w:tr w:rsidR="007D706A" w14:paraId="5778D50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67F69BC"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010818DC"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2EAE4EF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017550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A26054F" w14:textId="77777777" w:rsidR="007D706A" w:rsidRDefault="007D706A" w:rsidP="00F70508">
            <w:pPr>
              <w:pStyle w:val="ParagraphStyle12"/>
              <w:rPr>
                <w:rStyle w:val="CharacterStyle12"/>
              </w:rPr>
            </w:pPr>
            <w:r>
              <w:rPr>
                <w:rStyle w:val="CharacterStyle12"/>
              </w:rPr>
              <w:t>13.300,00</w:t>
            </w:r>
          </w:p>
        </w:tc>
        <w:tc>
          <w:tcPr>
            <w:tcW w:w="1395" w:type="dxa"/>
            <w:tcBorders>
              <w:bottom w:val="single" w:sz="6" w:space="0" w:color="000000"/>
              <w:right w:val="single" w:sz="6" w:space="0" w:color="000000"/>
            </w:tcBorders>
            <w:vAlign w:val="center"/>
          </w:tcPr>
          <w:p w14:paraId="2FA6916D" w14:textId="77777777" w:rsidR="007D706A" w:rsidRDefault="007D706A" w:rsidP="00F70508">
            <w:pPr>
              <w:pStyle w:val="ParagraphStyle12"/>
              <w:rPr>
                <w:rStyle w:val="CharacterStyle12"/>
              </w:rPr>
            </w:pPr>
            <w:r>
              <w:rPr>
                <w:rStyle w:val="CharacterStyle12"/>
              </w:rPr>
              <w:t>13.300,00</w:t>
            </w:r>
          </w:p>
        </w:tc>
        <w:tc>
          <w:tcPr>
            <w:tcW w:w="1395" w:type="dxa"/>
            <w:tcBorders>
              <w:bottom w:val="single" w:sz="6" w:space="0" w:color="000000"/>
              <w:right w:val="single" w:sz="6" w:space="0" w:color="000000"/>
            </w:tcBorders>
            <w:vAlign w:val="center"/>
          </w:tcPr>
          <w:p w14:paraId="2425C164" w14:textId="77777777" w:rsidR="007D706A" w:rsidRDefault="007D706A" w:rsidP="00F70508">
            <w:pPr>
              <w:pStyle w:val="ParagraphStyle12"/>
              <w:rPr>
                <w:rStyle w:val="CharacterStyle12"/>
              </w:rPr>
            </w:pPr>
            <w:r>
              <w:rPr>
                <w:rStyle w:val="CharacterStyle12"/>
              </w:rPr>
              <w:t>13.300,00</w:t>
            </w:r>
          </w:p>
        </w:tc>
      </w:tr>
      <w:tr w:rsidR="007D706A" w14:paraId="7B5A1FB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191FE48" w14:textId="77777777" w:rsidR="007D706A" w:rsidRDefault="007D706A" w:rsidP="00F70508">
            <w:pPr>
              <w:pStyle w:val="ParagraphStyle10"/>
              <w:rPr>
                <w:rStyle w:val="CharacterStyle10"/>
              </w:rPr>
            </w:pPr>
            <w:r>
              <w:rPr>
                <w:rStyle w:val="CharacterStyle10"/>
              </w:rPr>
              <w:t>36</w:t>
            </w:r>
          </w:p>
        </w:tc>
        <w:tc>
          <w:tcPr>
            <w:tcW w:w="4995" w:type="dxa"/>
            <w:tcBorders>
              <w:bottom w:val="single" w:sz="6" w:space="0" w:color="000000"/>
              <w:right w:val="single" w:sz="6" w:space="0" w:color="000000"/>
            </w:tcBorders>
            <w:vAlign w:val="center"/>
          </w:tcPr>
          <w:p w14:paraId="68D4F096" w14:textId="77777777" w:rsidR="007D706A" w:rsidRDefault="007D706A" w:rsidP="00F70508">
            <w:pPr>
              <w:pStyle w:val="ParagraphStyle11"/>
              <w:rPr>
                <w:rStyle w:val="CharacterStyle11"/>
              </w:rPr>
            </w:pPr>
            <w:r>
              <w:rPr>
                <w:rStyle w:val="CharacterStyle11"/>
              </w:rPr>
              <w:t>Pomoći dane u inozemstvo i unutar općeg proračuna</w:t>
            </w:r>
          </w:p>
        </w:tc>
        <w:tc>
          <w:tcPr>
            <w:tcW w:w="1395" w:type="dxa"/>
            <w:tcBorders>
              <w:bottom w:val="single" w:sz="6" w:space="0" w:color="000000"/>
              <w:right w:val="single" w:sz="6" w:space="0" w:color="000000"/>
            </w:tcBorders>
            <w:vAlign w:val="center"/>
          </w:tcPr>
          <w:p w14:paraId="4C1EA1E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E36EF7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C8D976D" w14:textId="77777777" w:rsidR="007D706A" w:rsidRDefault="007D706A" w:rsidP="00F70508">
            <w:pPr>
              <w:pStyle w:val="ParagraphStyle12"/>
              <w:rPr>
                <w:rStyle w:val="CharacterStyle12"/>
              </w:rPr>
            </w:pPr>
            <w:r>
              <w:rPr>
                <w:rStyle w:val="CharacterStyle12"/>
              </w:rPr>
              <w:t>13.300,00</w:t>
            </w:r>
          </w:p>
        </w:tc>
        <w:tc>
          <w:tcPr>
            <w:tcW w:w="1395" w:type="dxa"/>
            <w:tcBorders>
              <w:bottom w:val="single" w:sz="6" w:space="0" w:color="000000"/>
              <w:right w:val="single" w:sz="6" w:space="0" w:color="000000"/>
            </w:tcBorders>
            <w:vAlign w:val="center"/>
          </w:tcPr>
          <w:p w14:paraId="4EF6F95A" w14:textId="77777777" w:rsidR="007D706A" w:rsidRDefault="007D706A" w:rsidP="00F70508">
            <w:pPr>
              <w:pStyle w:val="ParagraphStyle12"/>
              <w:rPr>
                <w:rStyle w:val="CharacterStyle12"/>
              </w:rPr>
            </w:pPr>
            <w:r>
              <w:rPr>
                <w:rStyle w:val="CharacterStyle12"/>
              </w:rPr>
              <w:t>13.300,00</w:t>
            </w:r>
          </w:p>
        </w:tc>
        <w:tc>
          <w:tcPr>
            <w:tcW w:w="1395" w:type="dxa"/>
            <w:tcBorders>
              <w:bottom w:val="single" w:sz="6" w:space="0" w:color="000000"/>
              <w:right w:val="single" w:sz="6" w:space="0" w:color="000000"/>
            </w:tcBorders>
            <w:vAlign w:val="center"/>
          </w:tcPr>
          <w:p w14:paraId="73C8D9D8" w14:textId="77777777" w:rsidR="007D706A" w:rsidRDefault="007D706A" w:rsidP="00F70508">
            <w:pPr>
              <w:pStyle w:val="ParagraphStyle12"/>
              <w:rPr>
                <w:rStyle w:val="CharacterStyle12"/>
              </w:rPr>
            </w:pPr>
            <w:r>
              <w:rPr>
                <w:rStyle w:val="CharacterStyle12"/>
              </w:rPr>
              <w:t>13.300,00</w:t>
            </w:r>
          </w:p>
        </w:tc>
      </w:tr>
      <w:tr w:rsidR="007D706A" w14:paraId="5DC80A7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B8081A2" w14:textId="77777777" w:rsidR="007D706A" w:rsidRDefault="007D706A" w:rsidP="00F70508">
            <w:pPr>
              <w:pStyle w:val="ParagraphStyle4"/>
              <w:rPr>
                <w:rStyle w:val="CharacterStyle4"/>
              </w:rPr>
            </w:pPr>
            <w:r>
              <w:rPr>
                <w:rStyle w:val="CharacterStyle4"/>
              </w:rPr>
              <w:t>Kapitalni projekt K100903</w:t>
            </w:r>
          </w:p>
        </w:tc>
        <w:tc>
          <w:tcPr>
            <w:tcW w:w="4995" w:type="dxa"/>
            <w:tcBorders>
              <w:bottom w:val="single" w:sz="6" w:space="0" w:color="000000"/>
              <w:right w:val="single" w:sz="6" w:space="0" w:color="000000"/>
            </w:tcBorders>
            <w:vAlign w:val="center"/>
          </w:tcPr>
          <w:p w14:paraId="1BF9F3F4" w14:textId="77777777" w:rsidR="007D706A" w:rsidRDefault="007D706A" w:rsidP="00F70508">
            <w:pPr>
              <w:pStyle w:val="ParagraphStyle5"/>
              <w:rPr>
                <w:rStyle w:val="CharacterStyle5"/>
              </w:rPr>
            </w:pPr>
            <w:r>
              <w:rPr>
                <w:rStyle w:val="CharacterStyle5"/>
              </w:rPr>
              <w:t>PROVEDBA MJERA PRILAGODBE KLIMATSKIM PROMJENAMA</w:t>
            </w:r>
          </w:p>
        </w:tc>
        <w:tc>
          <w:tcPr>
            <w:tcW w:w="1395" w:type="dxa"/>
            <w:tcBorders>
              <w:bottom w:val="single" w:sz="6" w:space="0" w:color="000000"/>
              <w:right w:val="single" w:sz="6" w:space="0" w:color="000000"/>
            </w:tcBorders>
            <w:vAlign w:val="center"/>
          </w:tcPr>
          <w:p w14:paraId="5F1091C9"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19B5A410" w14:textId="77777777" w:rsidR="007D706A" w:rsidRDefault="007D706A" w:rsidP="00F70508">
            <w:pPr>
              <w:pStyle w:val="ParagraphStyle6"/>
              <w:rPr>
                <w:rStyle w:val="CharacterStyle6"/>
              </w:rPr>
            </w:pPr>
            <w:r>
              <w:rPr>
                <w:rStyle w:val="CharacterStyle6"/>
              </w:rPr>
              <w:t>898.947,00</w:t>
            </w:r>
          </w:p>
        </w:tc>
        <w:tc>
          <w:tcPr>
            <w:tcW w:w="1395" w:type="dxa"/>
            <w:tcBorders>
              <w:bottom w:val="single" w:sz="6" w:space="0" w:color="000000"/>
              <w:right w:val="single" w:sz="6" w:space="0" w:color="000000"/>
            </w:tcBorders>
            <w:vAlign w:val="center"/>
          </w:tcPr>
          <w:p w14:paraId="6863BDB2" w14:textId="77777777" w:rsidR="007D706A" w:rsidRDefault="007D706A" w:rsidP="00F70508">
            <w:pPr>
              <w:pStyle w:val="ParagraphStyle6"/>
              <w:rPr>
                <w:rStyle w:val="CharacterStyle6"/>
              </w:rPr>
            </w:pPr>
            <w:r>
              <w:rPr>
                <w:rStyle w:val="CharacterStyle6"/>
              </w:rPr>
              <w:t>1.659.250,00</w:t>
            </w:r>
          </w:p>
        </w:tc>
        <w:tc>
          <w:tcPr>
            <w:tcW w:w="1395" w:type="dxa"/>
            <w:tcBorders>
              <w:bottom w:val="single" w:sz="6" w:space="0" w:color="000000"/>
              <w:right w:val="single" w:sz="6" w:space="0" w:color="000000"/>
            </w:tcBorders>
            <w:vAlign w:val="center"/>
          </w:tcPr>
          <w:p w14:paraId="5571453B" w14:textId="77777777" w:rsidR="007D706A" w:rsidRDefault="007D706A" w:rsidP="00F70508">
            <w:pPr>
              <w:pStyle w:val="ParagraphStyle6"/>
              <w:rPr>
                <w:rStyle w:val="CharacterStyle6"/>
              </w:rPr>
            </w:pPr>
            <w:r>
              <w:rPr>
                <w:rStyle w:val="CharacterStyle6"/>
              </w:rPr>
              <w:t>4.364.000,00</w:t>
            </w:r>
          </w:p>
        </w:tc>
        <w:tc>
          <w:tcPr>
            <w:tcW w:w="1395" w:type="dxa"/>
            <w:tcBorders>
              <w:bottom w:val="single" w:sz="6" w:space="0" w:color="000000"/>
              <w:right w:val="single" w:sz="6" w:space="0" w:color="000000"/>
            </w:tcBorders>
            <w:vAlign w:val="center"/>
          </w:tcPr>
          <w:p w14:paraId="7579D407" w14:textId="77777777" w:rsidR="007D706A" w:rsidRDefault="007D706A" w:rsidP="00F70508">
            <w:pPr>
              <w:pStyle w:val="ParagraphStyle6"/>
              <w:rPr>
                <w:rStyle w:val="CharacterStyle6"/>
              </w:rPr>
            </w:pPr>
            <w:r>
              <w:rPr>
                <w:rStyle w:val="CharacterStyle6"/>
              </w:rPr>
              <w:t>0,00</w:t>
            </w:r>
          </w:p>
        </w:tc>
      </w:tr>
      <w:tr w:rsidR="007D706A" w14:paraId="76F9BA7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E45CBFF"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36AFD6E5"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12D3E031"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54C78D6" w14:textId="77777777" w:rsidR="007D706A" w:rsidRDefault="007D706A" w:rsidP="00F70508">
            <w:pPr>
              <w:pStyle w:val="ParagraphStyle9"/>
              <w:rPr>
                <w:rStyle w:val="CharacterStyle9"/>
              </w:rPr>
            </w:pPr>
            <w:r>
              <w:rPr>
                <w:rStyle w:val="CharacterStyle9"/>
              </w:rPr>
              <w:t>397.868,20</w:t>
            </w:r>
          </w:p>
        </w:tc>
        <w:tc>
          <w:tcPr>
            <w:tcW w:w="1395" w:type="dxa"/>
            <w:tcBorders>
              <w:bottom w:val="single" w:sz="6" w:space="0" w:color="000000"/>
              <w:right w:val="single" w:sz="6" w:space="0" w:color="000000"/>
            </w:tcBorders>
            <w:vAlign w:val="center"/>
          </w:tcPr>
          <w:p w14:paraId="41C49D0F" w14:textId="77777777" w:rsidR="007D706A" w:rsidRDefault="007D706A" w:rsidP="00F70508">
            <w:pPr>
              <w:pStyle w:val="ParagraphStyle9"/>
              <w:rPr>
                <w:rStyle w:val="CharacterStyle9"/>
              </w:rPr>
            </w:pPr>
            <w:r>
              <w:rPr>
                <w:rStyle w:val="CharacterStyle9"/>
              </w:rPr>
              <w:t>1.399.657,00</w:t>
            </w:r>
          </w:p>
        </w:tc>
        <w:tc>
          <w:tcPr>
            <w:tcW w:w="1395" w:type="dxa"/>
            <w:tcBorders>
              <w:bottom w:val="single" w:sz="6" w:space="0" w:color="000000"/>
              <w:right w:val="single" w:sz="6" w:space="0" w:color="000000"/>
            </w:tcBorders>
            <w:vAlign w:val="center"/>
          </w:tcPr>
          <w:p w14:paraId="2ECA10D5" w14:textId="77777777" w:rsidR="007D706A" w:rsidRDefault="007D706A" w:rsidP="00F70508">
            <w:pPr>
              <w:pStyle w:val="ParagraphStyle9"/>
              <w:rPr>
                <w:rStyle w:val="CharacterStyle9"/>
              </w:rPr>
            </w:pPr>
            <w:r>
              <w:rPr>
                <w:rStyle w:val="CharacterStyle9"/>
              </w:rPr>
              <w:t>1.754.000,00</w:t>
            </w:r>
          </w:p>
        </w:tc>
        <w:tc>
          <w:tcPr>
            <w:tcW w:w="1395" w:type="dxa"/>
            <w:tcBorders>
              <w:bottom w:val="single" w:sz="6" w:space="0" w:color="000000"/>
              <w:right w:val="single" w:sz="6" w:space="0" w:color="000000"/>
            </w:tcBorders>
            <w:vAlign w:val="center"/>
          </w:tcPr>
          <w:p w14:paraId="18F480B1" w14:textId="77777777" w:rsidR="007D706A" w:rsidRDefault="007D706A" w:rsidP="00F70508">
            <w:pPr>
              <w:pStyle w:val="ParagraphStyle9"/>
              <w:rPr>
                <w:rStyle w:val="CharacterStyle9"/>
              </w:rPr>
            </w:pPr>
            <w:r>
              <w:rPr>
                <w:rStyle w:val="CharacterStyle9"/>
              </w:rPr>
              <w:t>0,00</w:t>
            </w:r>
          </w:p>
        </w:tc>
      </w:tr>
      <w:tr w:rsidR="007D706A" w14:paraId="08A205A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572B7CD"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7D020E35"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52E8062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A420787" w14:textId="77777777" w:rsidR="007D706A" w:rsidRDefault="007D706A" w:rsidP="00F70508">
            <w:pPr>
              <w:pStyle w:val="ParagraphStyle12"/>
              <w:rPr>
                <w:rStyle w:val="CharacterStyle12"/>
              </w:rPr>
            </w:pPr>
            <w:r>
              <w:rPr>
                <w:rStyle w:val="CharacterStyle12"/>
              </w:rPr>
              <w:t>20.125,00</w:t>
            </w:r>
          </w:p>
        </w:tc>
        <w:tc>
          <w:tcPr>
            <w:tcW w:w="1395" w:type="dxa"/>
            <w:tcBorders>
              <w:bottom w:val="single" w:sz="6" w:space="0" w:color="000000"/>
              <w:right w:val="single" w:sz="6" w:space="0" w:color="000000"/>
            </w:tcBorders>
            <w:vAlign w:val="center"/>
          </w:tcPr>
          <w:p w14:paraId="42278056" w14:textId="77777777" w:rsidR="007D706A" w:rsidRDefault="007D706A" w:rsidP="00F70508">
            <w:pPr>
              <w:pStyle w:val="ParagraphStyle12"/>
              <w:rPr>
                <w:rStyle w:val="CharacterStyle12"/>
              </w:rPr>
            </w:pPr>
            <w:r>
              <w:rPr>
                <w:rStyle w:val="CharacterStyle12"/>
              </w:rPr>
              <w:t>45.625,00</w:t>
            </w:r>
          </w:p>
        </w:tc>
        <w:tc>
          <w:tcPr>
            <w:tcW w:w="1395" w:type="dxa"/>
            <w:tcBorders>
              <w:bottom w:val="single" w:sz="6" w:space="0" w:color="000000"/>
              <w:right w:val="single" w:sz="6" w:space="0" w:color="000000"/>
            </w:tcBorders>
            <w:vAlign w:val="center"/>
          </w:tcPr>
          <w:p w14:paraId="00734939" w14:textId="77777777" w:rsidR="007D706A" w:rsidRDefault="007D706A" w:rsidP="00F70508">
            <w:pPr>
              <w:pStyle w:val="ParagraphStyle12"/>
              <w:rPr>
                <w:rStyle w:val="CharacterStyle12"/>
              </w:rPr>
            </w:pPr>
            <w:r>
              <w:rPr>
                <w:rStyle w:val="CharacterStyle12"/>
              </w:rPr>
              <w:t>14.000,00</w:t>
            </w:r>
          </w:p>
        </w:tc>
        <w:tc>
          <w:tcPr>
            <w:tcW w:w="1395" w:type="dxa"/>
            <w:tcBorders>
              <w:bottom w:val="single" w:sz="6" w:space="0" w:color="000000"/>
              <w:right w:val="single" w:sz="6" w:space="0" w:color="000000"/>
            </w:tcBorders>
            <w:vAlign w:val="center"/>
          </w:tcPr>
          <w:p w14:paraId="61CCCB59" w14:textId="77777777" w:rsidR="007D706A" w:rsidRDefault="007D706A" w:rsidP="00F70508">
            <w:pPr>
              <w:pStyle w:val="ParagraphStyle12"/>
              <w:rPr>
                <w:rStyle w:val="CharacterStyle12"/>
              </w:rPr>
            </w:pPr>
            <w:r>
              <w:rPr>
                <w:rStyle w:val="CharacterStyle12"/>
              </w:rPr>
              <w:t>0,00</w:t>
            </w:r>
          </w:p>
        </w:tc>
      </w:tr>
      <w:tr w:rsidR="007D706A" w14:paraId="6136F3A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ABFA152"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349CB5D5"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7AF88D8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C5B9758" w14:textId="77777777" w:rsidR="007D706A" w:rsidRDefault="007D706A" w:rsidP="00F70508">
            <w:pPr>
              <w:pStyle w:val="ParagraphStyle12"/>
              <w:rPr>
                <w:rStyle w:val="CharacterStyle12"/>
              </w:rPr>
            </w:pPr>
            <w:r>
              <w:rPr>
                <w:rStyle w:val="CharacterStyle12"/>
              </w:rPr>
              <w:t>20.125,00</w:t>
            </w:r>
          </w:p>
        </w:tc>
        <w:tc>
          <w:tcPr>
            <w:tcW w:w="1395" w:type="dxa"/>
            <w:tcBorders>
              <w:bottom w:val="single" w:sz="6" w:space="0" w:color="000000"/>
              <w:right w:val="single" w:sz="6" w:space="0" w:color="000000"/>
            </w:tcBorders>
            <w:vAlign w:val="center"/>
          </w:tcPr>
          <w:p w14:paraId="50C9D020" w14:textId="77777777" w:rsidR="007D706A" w:rsidRDefault="007D706A" w:rsidP="00F70508">
            <w:pPr>
              <w:pStyle w:val="ParagraphStyle12"/>
              <w:rPr>
                <w:rStyle w:val="CharacterStyle12"/>
              </w:rPr>
            </w:pPr>
            <w:r>
              <w:rPr>
                <w:rStyle w:val="CharacterStyle12"/>
              </w:rPr>
              <w:t>45.625,00</w:t>
            </w:r>
          </w:p>
        </w:tc>
        <w:tc>
          <w:tcPr>
            <w:tcW w:w="1395" w:type="dxa"/>
            <w:tcBorders>
              <w:bottom w:val="single" w:sz="6" w:space="0" w:color="000000"/>
              <w:right w:val="single" w:sz="6" w:space="0" w:color="000000"/>
            </w:tcBorders>
            <w:vAlign w:val="center"/>
          </w:tcPr>
          <w:p w14:paraId="69424E90" w14:textId="77777777" w:rsidR="007D706A" w:rsidRDefault="007D706A" w:rsidP="00F70508">
            <w:pPr>
              <w:pStyle w:val="ParagraphStyle12"/>
              <w:rPr>
                <w:rStyle w:val="CharacterStyle12"/>
              </w:rPr>
            </w:pPr>
            <w:r>
              <w:rPr>
                <w:rStyle w:val="CharacterStyle12"/>
              </w:rPr>
              <w:t>14.000,00</w:t>
            </w:r>
          </w:p>
        </w:tc>
        <w:tc>
          <w:tcPr>
            <w:tcW w:w="1395" w:type="dxa"/>
            <w:tcBorders>
              <w:bottom w:val="single" w:sz="6" w:space="0" w:color="000000"/>
              <w:right w:val="single" w:sz="6" w:space="0" w:color="000000"/>
            </w:tcBorders>
            <w:vAlign w:val="center"/>
          </w:tcPr>
          <w:p w14:paraId="2FCCDC94" w14:textId="77777777" w:rsidR="007D706A" w:rsidRDefault="007D706A" w:rsidP="00F70508">
            <w:pPr>
              <w:pStyle w:val="ParagraphStyle12"/>
              <w:rPr>
                <w:rStyle w:val="CharacterStyle12"/>
              </w:rPr>
            </w:pPr>
            <w:r>
              <w:rPr>
                <w:rStyle w:val="CharacterStyle12"/>
              </w:rPr>
              <w:t>0,00</w:t>
            </w:r>
          </w:p>
        </w:tc>
      </w:tr>
      <w:tr w:rsidR="007D706A" w14:paraId="04085DF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42F32DB"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71BEAA76"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3A9E65D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9B564AF" w14:textId="77777777" w:rsidR="007D706A" w:rsidRDefault="007D706A" w:rsidP="00F70508">
            <w:pPr>
              <w:pStyle w:val="ParagraphStyle12"/>
              <w:rPr>
                <w:rStyle w:val="CharacterStyle12"/>
              </w:rPr>
            </w:pPr>
            <w:r>
              <w:rPr>
                <w:rStyle w:val="CharacterStyle12"/>
              </w:rPr>
              <w:t>377.743,20</w:t>
            </w:r>
          </w:p>
        </w:tc>
        <w:tc>
          <w:tcPr>
            <w:tcW w:w="1395" w:type="dxa"/>
            <w:tcBorders>
              <w:bottom w:val="single" w:sz="6" w:space="0" w:color="000000"/>
              <w:right w:val="single" w:sz="6" w:space="0" w:color="000000"/>
            </w:tcBorders>
            <w:vAlign w:val="center"/>
          </w:tcPr>
          <w:p w14:paraId="6EE47246" w14:textId="77777777" w:rsidR="007D706A" w:rsidRDefault="007D706A" w:rsidP="00F70508">
            <w:pPr>
              <w:pStyle w:val="ParagraphStyle12"/>
              <w:rPr>
                <w:rStyle w:val="CharacterStyle12"/>
              </w:rPr>
            </w:pPr>
            <w:r>
              <w:rPr>
                <w:rStyle w:val="CharacterStyle12"/>
              </w:rPr>
              <w:t>1.354.032,00</w:t>
            </w:r>
          </w:p>
        </w:tc>
        <w:tc>
          <w:tcPr>
            <w:tcW w:w="1395" w:type="dxa"/>
            <w:tcBorders>
              <w:bottom w:val="single" w:sz="6" w:space="0" w:color="000000"/>
              <w:right w:val="single" w:sz="6" w:space="0" w:color="000000"/>
            </w:tcBorders>
            <w:vAlign w:val="center"/>
          </w:tcPr>
          <w:p w14:paraId="4D00EC6D" w14:textId="77777777" w:rsidR="007D706A" w:rsidRDefault="007D706A" w:rsidP="00F70508">
            <w:pPr>
              <w:pStyle w:val="ParagraphStyle12"/>
              <w:rPr>
                <w:rStyle w:val="CharacterStyle12"/>
              </w:rPr>
            </w:pPr>
            <w:r>
              <w:rPr>
                <w:rStyle w:val="CharacterStyle12"/>
              </w:rPr>
              <w:t>1.740.000,00</w:t>
            </w:r>
          </w:p>
        </w:tc>
        <w:tc>
          <w:tcPr>
            <w:tcW w:w="1395" w:type="dxa"/>
            <w:tcBorders>
              <w:bottom w:val="single" w:sz="6" w:space="0" w:color="000000"/>
              <w:right w:val="single" w:sz="6" w:space="0" w:color="000000"/>
            </w:tcBorders>
            <w:vAlign w:val="center"/>
          </w:tcPr>
          <w:p w14:paraId="377AFB53" w14:textId="77777777" w:rsidR="007D706A" w:rsidRDefault="007D706A" w:rsidP="00F70508">
            <w:pPr>
              <w:pStyle w:val="ParagraphStyle12"/>
              <w:rPr>
                <w:rStyle w:val="CharacterStyle12"/>
              </w:rPr>
            </w:pPr>
            <w:r>
              <w:rPr>
                <w:rStyle w:val="CharacterStyle12"/>
              </w:rPr>
              <w:t>0,00</w:t>
            </w:r>
          </w:p>
        </w:tc>
      </w:tr>
      <w:tr w:rsidR="007D706A" w14:paraId="1B66D66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008C8A2" w14:textId="77777777" w:rsidR="007D706A" w:rsidRDefault="007D706A" w:rsidP="00F70508">
            <w:pPr>
              <w:pStyle w:val="ParagraphStyle10"/>
              <w:rPr>
                <w:rStyle w:val="CharacterStyle10"/>
              </w:rPr>
            </w:pPr>
            <w:r>
              <w:rPr>
                <w:rStyle w:val="CharacterStyle10"/>
              </w:rPr>
              <w:t>42</w:t>
            </w:r>
          </w:p>
        </w:tc>
        <w:tc>
          <w:tcPr>
            <w:tcW w:w="4995" w:type="dxa"/>
            <w:tcBorders>
              <w:bottom w:val="single" w:sz="6" w:space="0" w:color="000000"/>
              <w:right w:val="single" w:sz="6" w:space="0" w:color="000000"/>
            </w:tcBorders>
            <w:vAlign w:val="center"/>
          </w:tcPr>
          <w:p w14:paraId="7C05BFC5"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039AEF5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9DD93EE" w14:textId="77777777" w:rsidR="007D706A" w:rsidRDefault="007D706A" w:rsidP="00F70508">
            <w:pPr>
              <w:pStyle w:val="ParagraphStyle12"/>
              <w:rPr>
                <w:rStyle w:val="CharacterStyle12"/>
              </w:rPr>
            </w:pPr>
            <w:r>
              <w:rPr>
                <w:rStyle w:val="CharacterStyle12"/>
              </w:rPr>
              <w:t>377.743,20</w:t>
            </w:r>
          </w:p>
        </w:tc>
        <w:tc>
          <w:tcPr>
            <w:tcW w:w="1395" w:type="dxa"/>
            <w:tcBorders>
              <w:bottom w:val="single" w:sz="6" w:space="0" w:color="000000"/>
              <w:right w:val="single" w:sz="6" w:space="0" w:color="000000"/>
            </w:tcBorders>
            <w:vAlign w:val="center"/>
          </w:tcPr>
          <w:p w14:paraId="748106CC" w14:textId="77777777" w:rsidR="007D706A" w:rsidRDefault="007D706A" w:rsidP="00F70508">
            <w:pPr>
              <w:pStyle w:val="ParagraphStyle12"/>
              <w:rPr>
                <w:rStyle w:val="CharacterStyle12"/>
              </w:rPr>
            </w:pPr>
            <w:r>
              <w:rPr>
                <w:rStyle w:val="CharacterStyle12"/>
              </w:rPr>
              <w:t>1.354.032,00</w:t>
            </w:r>
          </w:p>
        </w:tc>
        <w:tc>
          <w:tcPr>
            <w:tcW w:w="1395" w:type="dxa"/>
            <w:tcBorders>
              <w:bottom w:val="single" w:sz="6" w:space="0" w:color="000000"/>
              <w:right w:val="single" w:sz="6" w:space="0" w:color="000000"/>
            </w:tcBorders>
            <w:vAlign w:val="center"/>
          </w:tcPr>
          <w:p w14:paraId="14EEAB2F" w14:textId="77777777" w:rsidR="007D706A" w:rsidRDefault="007D706A" w:rsidP="00F70508">
            <w:pPr>
              <w:pStyle w:val="ParagraphStyle12"/>
              <w:rPr>
                <w:rStyle w:val="CharacterStyle12"/>
              </w:rPr>
            </w:pPr>
            <w:r>
              <w:rPr>
                <w:rStyle w:val="CharacterStyle12"/>
              </w:rPr>
              <w:t>1.740.000,00</w:t>
            </w:r>
          </w:p>
        </w:tc>
        <w:tc>
          <w:tcPr>
            <w:tcW w:w="1395" w:type="dxa"/>
            <w:tcBorders>
              <w:bottom w:val="single" w:sz="6" w:space="0" w:color="000000"/>
              <w:right w:val="single" w:sz="6" w:space="0" w:color="000000"/>
            </w:tcBorders>
            <w:vAlign w:val="center"/>
          </w:tcPr>
          <w:p w14:paraId="2329F348" w14:textId="77777777" w:rsidR="007D706A" w:rsidRDefault="007D706A" w:rsidP="00F70508">
            <w:pPr>
              <w:pStyle w:val="ParagraphStyle12"/>
              <w:rPr>
                <w:rStyle w:val="CharacterStyle12"/>
              </w:rPr>
            </w:pPr>
            <w:r>
              <w:rPr>
                <w:rStyle w:val="CharacterStyle12"/>
              </w:rPr>
              <w:t>0,00</w:t>
            </w:r>
          </w:p>
        </w:tc>
      </w:tr>
      <w:tr w:rsidR="007D706A" w14:paraId="67E7F36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33B8DDF" w14:textId="77777777" w:rsidR="007D706A" w:rsidRDefault="007D706A" w:rsidP="00F70508">
            <w:pPr>
              <w:pStyle w:val="ParagraphStyle7"/>
              <w:rPr>
                <w:rStyle w:val="CharacterStyle7"/>
              </w:rPr>
            </w:pPr>
            <w:r>
              <w:rPr>
                <w:rStyle w:val="CharacterStyle7"/>
              </w:rPr>
              <w:t>Izvor financiranja 52</w:t>
            </w:r>
          </w:p>
        </w:tc>
        <w:tc>
          <w:tcPr>
            <w:tcW w:w="4995" w:type="dxa"/>
            <w:tcBorders>
              <w:bottom w:val="single" w:sz="6" w:space="0" w:color="000000"/>
              <w:right w:val="single" w:sz="6" w:space="0" w:color="000000"/>
            </w:tcBorders>
            <w:vAlign w:val="center"/>
          </w:tcPr>
          <w:p w14:paraId="2EBE9228" w14:textId="77777777" w:rsidR="007D706A" w:rsidRDefault="007D706A" w:rsidP="00F70508">
            <w:pPr>
              <w:pStyle w:val="ParagraphStyle8"/>
              <w:rPr>
                <w:rStyle w:val="CharacterStyle8"/>
              </w:rPr>
            </w:pPr>
            <w:r>
              <w:rPr>
                <w:rStyle w:val="CharacterStyle8"/>
              </w:rPr>
              <w:t>Ostale pomoći</w:t>
            </w:r>
          </w:p>
        </w:tc>
        <w:tc>
          <w:tcPr>
            <w:tcW w:w="1395" w:type="dxa"/>
            <w:tcBorders>
              <w:bottom w:val="single" w:sz="6" w:space="0" w:color="000000"/>
              <w:right w:val="single" w:sz="6" w:space="0" w:color="000000"/>
            </w:tcBorders>
            <w:vAlign w:val="center"/>
          </w:tcPr>
          <w:p w14:paraId="5FF9E2D1"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07F6769" w14:textId="77777777" w:rsidR="007D706A" w:rsidRDefault="007D706A" w:rsidP="00F70508">
            <w:pPr>
              <w:pStyle w:val="ParagraphStyle9"/>
              <w:rPr>
                <w:rStyle w:val="CharacterStyle9"/>
              </w:rPr>
            </w:pPr>
            <w:r>
              <w:rPr>
                <w:rStyle w:val="CharacterStyle9"/>
              </w:rPr>
              <w:t>323.809,35</w:t>
            </w:r>
          </w:p>
        </w:tc>
        <w:tc>
          <w:tcPr>
            <w:tcW w:w="1395" w:type="dxa"/>
            <w:tcBorders>
              <w:bottom w:val="single" w:sz="6" w:space="0" w:color="000000"/>
              <w:right w:val="single" w:sz="6" w:space="0" w:color="000000"/>
            </w:tcBorders>
            <w:vAlign w:val="center"/>
          </w:tcPr>
          <w:p w14:paraId="02AEE7D0" w14:textId="77777777" w:rsidR="007D706A" w:rsidRDefault="007D706A" w:rsidP="00F70508">
            <w:pPr>
              <w:pStyle w:val="ParagraphStyle9"/>
              <w:rPr>
                <w:rStyle w:val="CharacterStyle9"/>
              </w:rPr>
            </w:pPr>
            <w:r>
              <w:rPr>
                <w:rStyle w:val="CharacterStyle9"/>
              </w:rPr>
              <w:t>259.593,00</w:t>
            </w:r>
          </w:p>
        </w:tc>
        <w:tc>
          <w:tcPr>
            <w:tcW w:w="1395" w:type="dxa"/>
            <w:tcBorders>
              <w:bottom w:val="single" w:sz="6" w:space="0" w:color="000000"/>
              <w:right w:val="single" w:sz="6" w:space="0" w:color="000000"/>
            </w:tcBorders>
            <w:vAlign w:val="center"/>
          </w:tcPr>
          <w:p w14:paraId="0AFFC0AD"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08F637A" w14:textId="77777777" w:rsidR="007D706A" w:rsidRDefault="007D706A" w:rsidP="00F70508">
            <w:pPr>
              <w:pStyle w:val="ParagraphStyle9"/>
              <w:rPr>
                <w:rStyle w:val="CharacterStyle9"/>
              </w:rPr>
            </w:pPr>
            <w:r>
              <w:rPr>
                <w:rStyle w:val="CharacterStyle9"/>
              </w:rPr>
              <w:t>0,00</w:t>
            </w:r>
          </w:p>
        </w:tc>
      </w:tr>
      <w:tr w:rsidR="007D706A" w14:paraId="72EFD63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870F0C6"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2FD1A8F5"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194B8E5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2A0FA40" w14:textId="77777777" w:rsidR="007D706A" w:rsidRDefault="007D706A" w:rsidP="00F70508">
            <w:pPr>
              <w:pStyle w:val="ParagraphStyle12"/>
              <w:rPr>
                <w:rStyle w:val="CharacterStyle12"/>
              </w:rPr>
            </w:pPr>
            <w:r>
              <w:rPr>
                <w:rStyle w:val="CharacterStyle12"/>
              </w:rPr>
              <w:t>10.000,00</w:t>
            </w:r>
          </w:p>
        </w:tc>
        <w:tc>
          <w:tcPr>
            <w:tcW w:w="1395" w:type="dxa"/>
            <w:tcBorders>
              <w:bottom w:val="single" w:sz="6" w:space="0" w:color="000000"/>
              <w:right w:val="single" w:sz="6" w:space="0" w:color="000000"/>
            </w:tcBorders>
            <w:vAlign w:val="center"/>
          </w:tcPr>
          <w:p w14:paraId="74AD1DC6" w14:textId="77777777" w:rsidR="007D706A" w:rsidRDefault="007D706A" w:rsidP="00F70508">
            <w:pPr>
              <w:pStyle w:val="ParagraphStyle12"/>
              <w:rPr>
                <w:rStyle w:val="CharacterStyle12"/>
              </w:rPr>
            </w:pPr>
            <w:r>
              <w:rPr>
                <w:rStyle w:val="CharacterStyle12"/>
              </w:rPr>
              <w:t>10.625,00</w:t>
            </w:r>
          </w:p>
        </w:tc>
        <w:tc>
          <w:tcPr>
            <w:tcW w:w="1395" w:type="dxa"/>
            <w:tcBorders>
              <w:bottom w:val="single" w:sz="6" w:space="0" w:color="000000"/>
              <w:right w:val="single" w:sz="6" w:space="0" w:color="000000"/>
            </w:tcBorders>
            <w:vAlign w:val="center"/>
          </w:tcPr>
          <w:p w14:paraId="305C1B6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8954E75" w14:textId="77777777" w:rsidR="007D706A" w:rsidRDefault="007D706A" w:rsidP="00F70508">
            <w:pPr>
              <w:pStyle w:val="ParagraphStyle12"/>
              <w:rPr>
                <w:rStyle w:val="CharacterStyle12"/>
              </w:rPr>
            </w:pPr>
            <w:r>
              <w:rPr>
                <w:rStyle w:val="CharacterStyle12"/>
              </w:rPr>
              <w:t>0,00</w:t>
            </w:r>
          </w:p>
        </w:tc>
      </w:tr>
      <w:tr w:rsidR="007D706A" w14:paraId="7535203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5FAC609" w14:textId="77777777" w:rsidR="007D706A" w:rsidRDefault="007D706A" w:rsidP="00F70508">
            <w:pPr>
              <w:pStyle w:val="ParagraphStyle10"/>
              <w:rPr>
                <w:rStyle w:val="CharacterStyle10"/>
              </w:rPr>
            </w:pPr>
            <w:r>
              <w:rPr>
                <w:rStyle w:val="CharacterStyle10"/>
              </w:rPr>
              <w:lastRenderedPageBreak/>
              <w:t>32</w:t>
            </w:r>
          </w:p>
        </w:tc>
        <w:tc>
          <w:tcPr>
            <w:tcW w:w="4995" w:type="dxa"/>
            <w:tcBorders>
              <w:bottom w:val="single" w:sz="6" w:space="0" w:color="000000"/>
              <w:right w:val="single" w:sz="6" w:space="0" w:color="000000"/>
            </w:tcBorders>
            <w:vAlign w:val="center"/>
          </w:tcPr>
          <w:p w14:paraId="308C4C6B"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115C762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32E2C89" w14:textId="77777777" w:rsidR="007D706A" w:rsidRDefault="007D706A" w:rsidP="00F70508">
            <w:pPr>
              <w:pStyle w:val="ParagraphStyle12"/>
              <w:rPr>
                <w:rStyle w:val="CharacterStyle12"/>
              </w:rPr>
            </w:pPr>
            <w:r>
              <w:rPr>
                <w:rStyle w:val="CharacterStyle12"/>
              </w:rPr>
              <w:t>10.000,00</w:t>
            </w:r>
          </w:p>
        </w:tc>
        <w:tc>
          <w:tcPr>
            <w:tcW w:w="1395" w:type="dxa"/>
            <w:tcBorders>
              <w:bottom w:val="single" w:sz="6" w:space="0" w:color="000000"/>
              <w:right w:val="single" w:sz="6" w:space="0" w:color="000000"/>
            </w:tcBorders>
            <w:vAlign w:val="center"/>
          </w:tcPr>
          <w:p w14:paraId="3D6F403D" w14:textId="77777777" w:rsidR="007D706A" w:rsidRDefault="007D706A" w:rsidP="00F70508">
            <w:pPr>
              <w:pStyle w:val="ParagraphStyle12"/>
              <w:rPr>
                <w:rStyle w:val="CharacterStyle12"/>
              </w:rPr>
            </w:pPr>
            <w:r>
              <w:rPr>
                <w:rStyle w:val="CharacterStyle12"/>
              </w:rPr>
              <w:t>10.625,00</w:t>
            </w:r>
          </w:p>
        </w:tc>
        <w:tc>
          <w:tcPr>
            <w:tcW w:w="1395" w:type="dxa"/>
            <w:tcBorders>
              <w:bottom w:val="single" w:sz="6" w:space="0" w:color="000000"/>
              <w:right w:val="single" w:sz="6" w:space="0" w:color="000000"/>
            </w:tcBorders>
            <w:vAlign w:val="center"/>
          </w:tcPr>
          <w:p w14:paraId="70002E0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1F31338" w14:textId="77777777" w:rsidR="007D706A" w:rsidRDefault="007D706A" w:rsidP="00F70508">
            <w:pPr>
              <w:pStyle w:val="ParagraphStyle12"/>
              <w:rPr>
                <w:rStyle w:val="CharacterStyle12"/>
              </w:rPr>
            </w:pPr>
            <w:r>
              <w:rPr>
                <w:rStyle w:val="CharacterStyle12"/>
              </w:rPr>
              <w:t>0,00</w:t>
            </w:r>
          </w:p>
        </w:tc>
      </w:tr>
      <w:tr w:rsidR="007D706A" w14:paraId="523D703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2229649"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53EC24FE"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2554002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2960CB8" w14:textId="77777777" w:rsidR="007D706A" w:rsidRDefault="007D706A" w:rsidP="00F70508">
            <w:pPr>
              <w:pStyle w:val="ParagraphStyle12"/>
              <w:rPr>
                <w:rStyle w:val="CharacterStyle12"/>
              </w:rPr>
            </w:pPr>
            <w:r>
              <w:rPr>
                <w:rStyle w:val="CharacterStyle12"/>
              </w:rPr>
              <w:t>313.809,35</w:t>
            </w:r>
          </w:p>
        </w:tc>
        <w:tc>
          <w:tcPr>
            <w:tcW w:w="1395" w:type="dxa"/>
            <w:tcBorders>
              <w:bottom w:val="single" w:sz="6" w:space="0" w:color="000000"/>
              <w:right w:val="single" w:sz="6" w:space="0" w:color="000000"/>
            </w:tcBorders>
            <w:vAlign w:val="center"/>
          </w:tcPr>
          <w:p w14:paraId="7172A5B0" w14:textId="77777777" w:rsidR="007D706A" w:rsidRDefault="007D706A" w:rsidP="00F70508">
            <w:pPr>
              <w:pStyle w:val="ParagraphStyle12"/>
              <w:rPr>
                <w:rStyle w:val="CharacterStyle12"/>
              </w:rPr>
            </w:pPr>
            <w:r>
              <w:rPr>
                <w:rStyle w:val="CharacterStyle12"/>
              </w:rPr>
              <w:t>248.968,00</w:t>
            </w:r>
          </w:p>
        </w:tc>
        <w:tc>
          <w:tcPr>
            <w:tcW w:w="1395" w:type="dxa"/>
            <w:tcBorders>
              <w:bottom w:val="single" w:sz="6" w:space="0" w:color="000000"/>
              <w:right w:val="single" w:sz="6" w:space="0" w:color="000000"/>
            </w:tcBorders>
            <w:vAlign w:val="center"/>
          </w:tcPr>
          <w:p w14:paraId="564B4FA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23B266A" w14:textId="77777777" w:rsidR="007D706A" w:rsidRDefault="007D706A" w:rsidP="00F70508">
            <w:pPr>
              <w:pStyle w:val="ParagraphStyle12"/>
              <w:rPr>
                <w:rStyle w:val="CharacterStyle12"/>
              </w:rPr>
            </w:pPr>
            <w:r>
              <w:rPr>
                <w:rStyle w:val="CharacterStyle12"/>
              </w:rPr>
              <w:t>0,00</w:t>
            </w:r>
          </w:p>
        </w:tc>
      </w:tr>
      <w:tr w:rsidR="007D706A" w14:paraId="43666E5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A061724" w14:textId="77777777" w:rsidR="007D706A" w:rsidRDefault="007D706A" w:rsidP="00F70508">
            <w:pPr>
              <w:pStyle w:val="ParagraphStyle10"/>
              <w:rPr>
                <w:rStyle w:val="CharacterStyle10"/>
              </w:rPr>
            </w:pPr>
            <w:r>
              <w:rPr>
                <w:rStyle w:val="CharacterStyle10"/>
              </w:rPr>
              <w:t>42</w:t>
            </w:r>
          </w:p>
        </w:tc>
        <w:tc>
          <w:tcPr>
            <w:tcW w:w="4995" w:type="dxa"/>
            <w:tcBorders>
              <w:bottom w:val="single" w:sz="6" w:space="0" w:color="000000"/>
              <w:right w:val="single" w:sz="6" w:space="0" w:color="000000"/>
            </w:tcBorders>
            <w:vAlign w:val="center"/>
          </w:tcPr>
          <w:p w14:paraId="76B285E9"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39C8209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D9674A7" w14:textId="77777777" w:rsidR="007D706A" w:rsidRDefault="007D706A" w:rsidP="00F70508">
            <w:pPr>
              <w:pStyle w:val="ParagraphStyle12"/>
              <w:rPr>
                <w:rStyle w:val="CharacterStyle12"/>
              </w:rPr>
            </w:pPr>
            <w:r>
              <w:rPr>
                <w:rStyle w:val="CharacterStyle12"/>
              </w:rPr>
              <w:t>313.809,35</w:t>
            </w:r>
          </w:p>
        </w:tc>
        <w:tc>
          <w:tcPr>
            <w:tcW w:w="1395" w:type="dxa"/>
            <w:tcBorders>
              <w:bottom w:val="single" w:sz="6" w:space="0" w:color="000000"/>
              <w:right w:val="single" w:sz="6" w:space="0" w:color="000000"/>
            </w:tcBorders>
            <w:vAlign w:val="center"/>
          </w:tcPr>
          <w:p w14:paraId="20060EED" w14:textId="77777777" w:rsidR="007D706A" w:rsidRDefault="007D706A" w:rsidP="00F70508">
            <w:pPr>
              <w:pStyle w:val="ParagraphStyle12"/>
              <w:rPr>
                <w:rStyle w:val="CharacterStyle12"/>
              </w:rPr>
            </w:pPr>
            <w:r>
              <w:rPr>
                <w:rStyle w:val="CharacterStyle12"/>
              </w:rPr>
              <w:t>248.968,00</w:t>
            </w:r>
          </w:p>
        </w:tc>
        <w:tc>
          <w:tcPr>
            <w:tcW w:w="1395" w:type="dxa"/>
            <w:tcBorders>
              <w:bottom w:val="single" w:sz="6" w:space="0" w:color="000000"/>
              <w:right w:val="single" w:sz="6" w:space="0" w:color="000000"/>
            </w:tcBorders>
            <w:vAlign w:val="center"/>
          </w:tcPr>
          <w:p w14:paraId="23774EE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31B8FBF" w14:textId="77777777" w:rsidR="007D706A" w:rsidRDefault="007D706A" w:rsidP="00F70508">
            <w:pPr>
              <w:pStyle w:val="ParagraphStyle12"/>
              <w:rPr>
                <w:rStyle w:val="CharacterStyle12"/>
              </w:rPr>
            </w:pPr>
            <w:r>
              <w:rPr>
                <w:rStyle w:val="CharacterStyle12"/>
              </w:rPr>
              <w:t>0,00</w:t>
            </w:r>
          </w:p>
        </w:tc>
      </w:tr>
      <w:tr w:rsidR="007D706A" w14:paraId="10653772" w14:textId="77777777" w:rsidTr="00F70508">
        <w:trPr>
          <w:trHeight w:val="405"/>
        </w:trPr>
        <w:tc>
          <w:tcPr>
            <w:tcW w:w="2880" w:type="dxa"/>
            <w:tcBorders>
              <w:left w:val="single" w:sz="6" w:space="0" w:color="000000"/>
              <w:bottom w:val="single" w:sz="6" w:space="0" w:color="000000"/>
              <w:right w:val="single" w:sz="6" w:space="0" w:color="000000"/>
            </w:tcBorders>
            <w:vAlign w:val="center"/>
          </w:tcPr>
          <w:p w14:paraId="4BA33B1F" w14:textId="77777777" w:rsidR="007D706A" w:rsidRDefault="007D706A" w:rsidP="00F70508">
            <w:pPr>
              <w:pStyle w:val="ParagraphStyle7"/>
              <w:rPr>
                <w:rStyle w:val="CharacterStyle7"/>
              </w:rPr>
            </w:pPr>
            <w:r>
              <w:rPr>
                <w:rStyle w:val="CharacterStyle7"/>
              </w:rPr>
              <w:t>Izvor financiranja 71</w:t>
            </w:r>
          </w:p>
        </w:tc>
        <w:tc>
          <w:tcPr>
            <w:tcW w:w="4995" w:type="dxa"/>
            <w:tcBorders>
              <w:bottom w:val="single" w:sz="6" w:space="0" w:color="000000"/>
              <w:right w:val="single" w:sz="6" w:space="0" w:color="000000"/>
            </w:tcBorders>
            <w:vAlign w:val="center"/>
          </w:tcPr>
          <w:p w14:paraId="501FED5A" w14:textId="77777777" w:rsidR="007D706A" w:rsidRDefault="007D706A" w:rsidP="00F70508">
            <w:pPr>
              <w:pStyle w:val="ParagraphStyle8"/>
              <w:rPr>
                <w:rStyle w:val="CharacterStyle8"/>
              </w:rPr>
            </w:pPr>
            <w:r>
              <w:rPr>
                <w:rStyle w:val="CharacterStyle8"/>
              </w:rPr>
              <w:t>Prihodi od prodaje ili zamjene nefinancijske imovine i naknade s naslova osiguranja</w:t>
            </w:r>
          </w:p>
        </w:tc>
        <w:tc>
          <w:tcPr>
            <w:tcW w:w="1395" w:type="dxa"/>
            <w:tcBorders>
              <w:bottom w:val="single" w:sz="6" w:space="0" w:color="000000"/>
              <w:right w:val="single" w:sz="6" w:space="0" w:color="000000"/>
            </w:tcBorders>
            <w:vAlign w:val="center"/>
          </w:tcPr>
          <w:p w14:paraId="73E16E68"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A558E62"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F441028"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12C9E1A" w14:textId="77777777" w:rsidR="007D706A" w:rsidRDefault="007D706A" w:rsidP="00F70508">
            <w:pPr>
              <w:pStyle w:val="ParagraphStyle9"/>
              <w:rPr>
                <w:rStyle w:val="CharacterStyle9"/>
              </w:rPr>
            </w:pPr>
            <w:r>
              <w:rPr>
                <w:rStyle w:val="CharacterStyle9"/>
              </w:rPr>
              <w:t>2.610.000,00</w:t>
            </w:r>
          </w:p>
        </w:tc>
        <w:tc>
          <w:tcPr>
            <w:tcW w:w="1395" w:type="dxa"/>
            <w:tcBorders>
              <w:bottom w:val="single" w:sz="6" w:space="0" w:color="000000"/>
              <w:right w:val="single" w:sz="6" w:space="0" w:color="000000"/>
            </w:tcBorders>
            <w:vAlign w:val="center"/>
          </w:tcPr>
          <w:p w14:paraId="07BA47E8" w14:textId="77777777" w:rsidR="007D706A" w:rsidRDefault="007D706A" w:rsidP="00F70508">
            <w:pPr>
              <w:pStyle w:val="ParagraphStyle9"/>
              <w:rPr>
                <w:rStyle w:val="CharacterStyle9"/>
              </w:rPr>
            </w:pPr>
            <w:r>
              <w:rPr>
                <w:rStyle w:val="CharacterStyle9"/>
              </w:rPr>
              <w:t>0,00</w:t>
            </w:r>
          </w:p>
        </w:tc>
      </w:tr>
      <w:tr w:rsidR="007D706A" w14:paraId="02B3E4F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60CD1AE"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04D4BBB5"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7031CAC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13CD45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5ABC3B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980D5DE" w14:textId="77777777" w:rsidR="007D706A" w:rsidRDefault="007D706A" w:rsidP="00F70508">
            <w:pPr>
              <w:pStyle w:val="ParagraphStyle12"/>
              <w:rPr>
                <w:rStyle w:val="CharacterStyle12"/>
              </w:rPr>
            </w:pPr>
            <w:r>
              <w:rPr>
                <w:rStyle w:val="CharacterStyle12"/>
              </w:rPr>
              <w:t>2.610.000,00</w:t>
            </w:r>
          </w:p>
        </w:tc>
        <w:tc>
          <w:tcPr>
            <w:tcW w:w="1395" w:type="dxa"/>
            <w:tcBorders>
              <w:bottom w:val="single" w:sz="6" w:space="0" w:color="000000"/>
              <w:right w:val="single" w:sz="6" w:space="0" w:color="000000"/>
            </w:tcBorders>
            <w:vAlign w:val="center"/>
          </w:tcPr>
          <w:p w14:paraId="1E9985EF" w14:textId="77777777" w:rsidR="007D706A" w:rsidRDefault="007D706A" w:rsidP="00F70508">
            <w:pPr>
              <w:pStyle w:val="ParagraphStyle12"/>
              <w:rPr>
                <w:rStyle w:val="CharacterStyle12"/>
              </w:rPr>
            </w:pPr>
            <w:r>
              <w:rPr>
                <w:rStyle w:val="CharacterStyle12"/>
              </w:rPr>
              <w:t>0,00</w:t>
            </w:r>
          </w:p>
        </w:tc>
      </w:tr>
      <w:tr w:rsidR="007D706A" w14:paraId="11A80A1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A63819D" w14:textId="77777777" w:rsidR="007D706A" w:rsidRDefault="007D706A" w:rsidP="00F70508">
            <w:pPr>
              <w:pStyle w:val="ParagraphStyle10"/>
              <w:rPr>
                <w:rStyle w:val="CharacterStyle10"/>
              </w:rPr>
            </w:pPr>
            <w:r>
              <w:rPr>
                <w:rStyle w:val="CharacterStyle10"/>
              </w:rPr>
              <w:t>42</w:t>
            </w:r>
          </w:p>
        </w:tc>
        <w:tc>
          <w:tcPr>
            <w:tcW w:w="4995" w:type="dxa"/>
            <w:tcBorders>
              <w:bottom w:val="single" w:sz="6" w:space="0" w:color="000000"/>
              <w:right w:val="single" w:sz="6" w:space="0" w:color="000000"/>
            </w:tcBorders>
            <w:vAlign w:val="center"/>
          </w:tcPr>
          <w:p w14:paraId="6670527B"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7E191F7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4D9B9F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FC0953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A2A5B2B" w14:textId="77777777" w:rsidR="007D706A" w:rsidRDefault="007D706A" w:rsidP="00F70508">
            <w:pPr>
              <w:pStyle w:val="ParagraphStyle12"/>
              <w:rPr>
                <w:rStyle w:val="CharacterStyle12"/>
              </w:rPr>
            </w:pPr>
            <w:r>
              <w:rPr>
                <w:rStyle w:val="CharacterStyle12"/>
              </w:rPr>
              <w:t>2.610.000,00</w:t>
            </w:r>
          </w:p>
        </w:tc>
        <w:tc>
          <w:tcPr>
            <w:tcW w:w="1395" w:type="dxa"/>
            <w:tcBorders>
              <w:bottom w:val="single" w:sz="6" w:space="0" w:color="000000"/>
              <w:right w:val="single" w:sz="6" w:space="0" w:color="000000"/>
            </w:tcBorders>
            <w:vAlign w:val="center"/>
          </w:tcPr>
          <w:p w14:paraId="35F84CD3" w14:textId="77777777" w:rsidR="007D706A" w:rsidRDefault="007D706A" w:rsidP="00F70508">
            <w:pPr>
              <w:pStyle w:val="ParagraphStyle12"/>
              <w:rPr>
                <w:rStyle w:val="CharacterStyle12"/>
              </w:rPr>
            </w:pPr>
            <w:r>
              <w:rPr>
                <w:rStyle w:val="CharacterStyle12"/>
              </w:rPr>
              <w:t>0,00</w:t>
            </w:r>
          </w:p>
        </w:tc>
      </w:tr>
      <w:tr w:rsidR="007D706A" w14:paraId="18CC57F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697696B" w14:textId="77777777" w:rsidR="007D706A" w:rsidRDefault="007D706A" w:rsidP="00F70508">
            <w:pPr>
              <w:pStyle w:val="ParagraphStyle7"/>
              <w:rPr>
                <w:rStyle w:val="CharacterStyle7"/>
              </w:rPr>
            </w:pPr>
            <w:r>
              <w:rPr>
                <w:rStyle w:val="CharacterStyle7"/>
              </w:rPr>
              <w:t>Izvor financiranja 82</w:t>
            </w:r>
          </w:p>
        </w:tc>
        <w:tc>
          <w:tcPr>
            <w:tcW w:w="4995" w:type="dxa"/>
            <w:tcBorders>
              <w:bottom w:val="single" w:sz="6" w:space="0" w:color="000000"/>
              <w:right w:val="single" w:sz="6" w:space="0" w:color="000000"/>
            </w:tcBorders>
            <w:vAlign w:val="center"/>
          </w:tcPr>
          <w:p w14:paraId="29B42B01" w14:textId="77777777" w:rsidR="007D706A" w:rsidRDefault="007D706A" w:rsidP="00F70508">
            <w:pPr>
              <w:pStyle w:val="ParagraphStyle8"/>
              <w:rPr>
                <w:rStyle w:val="CharacterStyle8"/>
              </w:rPr>
            </w:pPr>
            <w:r>
              <w:rPr>
                <w:rStyle w:val="CharacterStyle8"/>
              </w:rPr>
              <w:t>Preneseni viškovi iz ranijih godina</w:t>
            </w:r>
          </w:p>
        </w:tc>
        <w:tc>
          <w:tcPr>
            <w:tcW w:w="1395" w:type="dxa"/>
            <w:tcBorders>
              <w:bottom w:val="single" w:sz="6" w:space="0" w:color="000000"/>
              <w:right w:val="single" w:sz="6" w:space="0" w:color="000000"/>
            </w:tcBorders>
            <w:vAlign w:val="center"/>
          </w:tcPr>
          <w:p w14:paraId="7FE28606"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03C8B04" w14:textId="77777777" w:rsidR="007D706A" w:rsidRDefault="007D706A" w:rsidP="00F70508">
            <w:pPr>
              <w:pStyle w:val="ParagraphStyle9"/>
              <w:rPr>
                <w:rStyle w:val="CharacterStyle9"/>
              </w:rPr>
            </w:pPr>
            <w:r>
              <w:rPr>
                <w:rStyle w:val="CharacterStyle9"/>
              </w:rPr>
              <w:t>177.269,45</w:t>
            </w:r>
          </w:p>
        </w:tc>
        <w:tc>
          <w:tcPr>
            <w:tcW w:w="1395" w:type="dxa"/>
            <w:tcBorders>
              <w:bottom w:val="single" w:sz="6" w:space="0" w:color="000000"/>
              <w:right w:val="single" w:sz="6" w:space="0" w:color="000000"/>
            </w:tcBorders>
            <w:vAlign w:val="center"/>
          </w:tcPr>
          <w:p w14:paraId="1DADF597"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5B3733B"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0585BF3" w14:textId="77777777" w:rsidR="007D706A" w:rsidRDefault="007D706A" w:rsidP="00F70508">
            <w:pPr>
              <w:pStyle w:val="ParagraphStyle9"/>
              <w:rPr>
                <w:rStyle w:val="CharacterStyle9"/>
              </w:rPr>
            </w:pPr>
            <w:r>
              <w:rPr>
                <w:rStyle w:val="CharacterStyle9"/>
              </w:rPr>
              <w:t>0,00</w:t>
            </w:r>
          </w:p>
        </w:tc>
      </w:tr>
      <w:tr w:rsidR="007D706A" w14:paraId="347D390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2584F29"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40E1D852"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3334A88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631AAEC" w14:textId="77777777" w:rsidR="007D706A" w:rsidRDefault="007D706A" w:rsidP="00F70508">
            <w:pPr>
              <w:pStyle w:val="ParagraphStyle12"/>
              <w:rPr>
                <w:rStyle w:val="CharacterStyle12"/>
              </w:rPr>
            </w:pPr>
            <w:r>
              <w:rPr>
                <w:rStyle w:val="CharacterStyle12"/>
              </w:rPr>
              <w:t>177.269,45</w:t>
            </w:r>
          </w:p>
        </w:tc>
        <w:tc>
          <w:tcPr>
            <w:tcW w:w="1395" w:type="dxa"/>
            <w:tcBorders>
              <w:bottom w:val="single" w:sz="6" w:space="0" w:color="000000"/>
              <w:right w:val="single" w:sz="6" w:space="0" w:color="000000"/>
            </w:tcBorders>
            <w:vAlign w:val="center"/>
          </w:tcPr>
          <w:p w14:paraId="3A76C07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8C2F09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995D79B" w14:textId="77777777" w:rsidR="007D706A" w:rsidRDefault="007D706A" w:rsidP="00F70508">
            <w:pPr>
              <w:pStyle w:val="ParagraphStyle12"/>
              <w:rPr>
                <w:rStyle w:val="CharacterStyle12"/>
              </w:rPr>
            </w:pPr>
            <w:r>
              <w:rPr>
                <w:rStyle w:val="CharacterStyle12"/>
              </w:rPr>
              <w:t>0,00</w:t>
            </w:r>
          </w:p>
        </w:tc>
      </w:tr>
      <w:tr w:rsidR="007D706A" w14:paraId="06BF41E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3020568" w14:textId="77777777" w:rsidR="007D706A" w:rsidRDefault="007D706A" w:rsidP="00F70508">
            <w:pPr>
              <w:pStyle w:val="ParagraphStyle10"/>
              <w:rPr>
                <w:rStyle w:val="CharacterStyle10"/>
              </w:rPr>
            </w:pPr>
            <w:r>
              <w:rPr>
                <w:rStyle w:val="CharacterStyle10"/>
              </w:rPr>
              <w:t>42</w:t>
            </w:r>
          </w:p>
        </w:tc>
        <w:tc>
          <w:tcPr>
            <w:tcW w:w="4995" w:type="dxa"/>
            <w:tcBorders>
              <w:bottom w:val="single" w:sz="6" w:space="0" w:color="000000"/>
              <w:right w:val="single" w:sz="6" w:space="0" w:color="000000"/>
            </w:tcBorders>
            <w:vAlign w:val="center"/>
          </w:tcPr>
          <w:p w14:paraId="3F963947"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0120321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B2F236E" w14:textId="77777777" w:rsidR="007D706A" w:rsidRDefault="007D706A" w:rsidP="00F70508">
            <w:pPr>
              <w:pStyle w:val="ParagraphStyle12"/>
              <w:rPr>
                <w:rStyle w:val="CharacterStyle12"/>
              </w:rPr>
            </w:pPr>
            <w:r>
              <w:rPr>
                <w:rStyle w:val="CharacterStyle12"/>
              </w:rPr>
              <w:t>177.269,45</w:t>
            </w:r>
          </w:p>
        </w:tc>
        <w:tc>
          <w:tcPr>
            <w:tcW w:w="1395" w:type="dxa"/>
            <w:tcBorders>
              <w:bottom w:val="single" w:sz="6" w:space="0" w:color="000000"/>
              <w:right w:val="single" w:sz="6" w:space="0" w:color="000000"/>
            </w:tcBorders>
            <w:vAlign w:val="center"/>
          </w:tcPr>
          <w:p w14:paraId="6A6F02D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FCCA2C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88EBB96" w14:textId="77777777" w:rsidR="007D706A" w:rsidRDefault="007D706A" w:rsidP="00F70508">
            <w:pPr>
              <w:pStyle w:val="ParagraphStyle12"/>
              <w:rPr>
                <w:rStyle w:val="CharacterStyle12"/>
              </w:rPr>
            </w:pPr>
            <w:r>
              <w:rPr>
                <w:rStyle w:val="CharacterStyle12"/>
              </w:rPr>
              <w:t>0,00</w:t>
            </w:r>
          </w:p>
        </w:tc>
      </w:tr>
      <w:tr w:rsidR="007D706A" w14:paraId="02984C8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2504801" w14:textId="77777777" w:rsidR="007D706A" w:rsidRDefault="007D706A" w:rsidP="00F70508">
            <w:pPr>
              <w:pStyle w:val="ParagraphStyle4"/>
              <w:rPr>
                <w:rStyle w:val="CharacterStyle4"/>
              </w:rPr>
            </w:pPr>
            <w:r>
              <w:rPr>
                <w:rStyle w:val="CharacterStyle4"/>
              </w:rPr>
              <w:t>Kapitalni projekt K100904</w:t>
            </w:r>
          </w:p>
        </w:tc>
        <w:tc>
          <w:tcPr>
            <w:tcW w:w="4995" w:type="dxa"/>
            <w:tcBorders>
              <w:bottom w:val="single" w:sz="6" w:space="0" w:color="000000"/>
              <w:right w:val="single" w:sz="6" w:space="0" w:color="000000"/>
            </w:tcBorders>
            <w:vAlign w:val="center"/>
          </w:tcPr>
          <w:p w14:paraId="0CE74FB1" w14:textId="77777777" w:rsidR="007D706A" w:rsidRDefault="007D706A" w:rsidP="00F70508">
            <w:pPr>
              <w:pStyle w:val="ParagraphStyle5"/>
              <w:rPr>
                <w:rStyle w:val="CharacterStyle5"/>
              </w:rPr>
            </w:pPr>
            <w:r>
              <w:rPr>
                <w:rStyle w:val="CharacterStyle5"/>
              </w:rPr>
              <w:t>PROJEKT H2O ROVINJ-ROVIGNO</w:t>
            </w:r>
          </w:p>
        </w:tc>
        <w:tc>
          <w:tcPr>
            <w:tcW w:w="1395" w:type="dxa"/>
            <w:tcBorders>
              <w:bottom w:val="single" w:sz="6" w:space="0" w:color="000000"/>
              <w:right w:val="single" w:sz="6" w:space="0" w:color="000000"/>
            </w:tcBorders>
            <w:vAlign w:val="center"/>
          </w:tcPr>
          <w:p w14:paraId="20E9008F"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25C73DD3" w14:textId="77777777" w:rsidR="007D706A" w:rsidRDefault="007D706A" w:rsidP="00F70508">
            <w:pPr>
              <w:pStyle w:val="ParagraphStyle6"/>
              <w:rPr>
                <w:rStyle w:val="CharacterStyle6"/>
              </w:rPr>
            </w:pPr>
            <w:r>
              <w:rPr>
                <w:rStyle w:val="CharacterStyle6"/>
              </w:rPr>
              <w:t>2.228.089,50</w:t>
            </w:r>
          </w:p>
        </w:tc>
        <w:tc>
          <w:tcPr>
            <w:tcW w:w="1395" w:type="dxa"/>
            <w:tcBorders>
              <w:bottom w:val="single" w:sz="6" w:space="0" w:color="000000"/>
              <w:right w:val="single" w:sz="6" w:space="0" w:color="000000"/>
            </w:tcBorders>
            <w:vAlign w:val="center"/>
          </w:tcPr>
          <w:p w14:paraId="679B9341" w14:textId="77777777" w:rsidR="007D706A" w:rsidRDefault="007D706A" w:rsidP="00F70508">
            <w:pPr>
              <w:pStyle w:val="ParagraphStyle6"/>
              <w:rPr>
                <w:rStyle w:val="CharacterStyle6"/>
              </w:rPr>
            </w:pPr>
            <w:r>
              <w:rPr>
                <w:rStyle w:val="CharacterStyle6"/>
              </w:rPr>
              <w:t>2.216.099,50</w:t>
            </w:r>
          </w:p>
        </w:tc>
        <w:tc>
          <w:tcPr>
            <w:tcW w:w="1395" w:type="dxa"/>
            <w:tcBorders>
              <w:bottom w:val="single" w:sz="6" w:space="0" w:color="000000"/>
              <w:right w:val="single" w:sz="6" w:space="0" w:color="000000"/>
            </w:tcBorders>
            <w:vAlign w:val="center"/>
          </w:tcPr>
          <w:p w14:paraId="566D0904" w14:textId="77777777" w:rsidR="007D706A" w:rsidRDefault="007D706A" w:rsidP="00F70508">
            <w:pPr>
              <w:pStyle w:val="ParagraphStyle6"/>
              <w:rPr>
                <w:rStyle w:val="CharacterStyle6"/>
              </w:rPr>
            </w:pPr>
            <w:r>
              <w:rPr>
                <w:rStyle w:val="CharacterStyle6"/>
              </w:rPr>
              <w:t>870.000,00</w:t>
            </w:r>
          </w:p>
        </w:tc>
        <w:tc>
          <w:tcPr>
            <w:tcW w:w="1395" w:type="dxa"/>
            <w:tcBorders>
              <w:bottom w:val="single" w:sz="6" w:space="0" w:color="000000"/>
              <w:right w:val="single" w:sz="6" w:space="0" w:color="000000"/>
            </w:tcBorders>
            <w:vAlign w:val="center"/>
          </w:tcPr>
          <w:p w14:paraId="2FFFC794" w14:textId="77777777" w:rsidR="007D706A" w:rsidRDefault="007D706A" w:rsidP="00F70508">
            <w:pPr>
              <w:pStyle w:val="ParagraphStyle6"/>
              <w:rPr>
                <w:rStyle w:val="CharacterStyle6"/>
              </w:rPr>
            </w:pPr>
            <w:r>
              <w:rPr>
                <w:rStyle w:val="CharacterStyle6"/>
              </w:rPr>
              <w:t>0,00</w:t>
            </w:r>
          </w:p>
        </w:tc>
      </w:tr>
      <w:tr w:rsidR="007D706A" w14:paraId="2FACE66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7BD0075"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18C7566F"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324BA735"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B5A6FA7" w14:textId="77777777" w:rsidR="007D706A" w:rsidRDefault="007D706A" w:rsidP="00F70508">
            <w:pPr>
              <w:pStyle w:val="ParagraphStyle9"/>
              <w:rPr>
                <w:rStyle w:val="CharacterStyle9"/>
              </w:rPr>
            </w:pPr>
            <w:r>
              <w:rPr>
                <w:rStyle w:val="CharacterStyle9"/>
              </w:rPr>
              <w:t>34.375,00</w:t>
            </w:r>
          </w:p>
        </w:tc>
        <w:tc>
          <w:tcPr>
            <w:tcW w:w="1395" w:type="dxa"/>
            <w:tcBorders>
              <w:bottom w:val="single" w:sz="6" w:space="0" w:color="000000"/>
              <w:right w:val="single" w:sz="6" w:space="0" w:color="000000"/>
            </w:tcBorders>
            <w:vAlign w:val="center"/>
          </w:tcPr>
          <w:p w14:paraId="777A1382" w14:textId="77777777" w:rsidR="007D706A" w:rsidRDefault="007D706A" w:rsidP="00F70508">
            <w:pPr>
              <w:pStyle w:val="ParagraphStyle9"/>
              <w:rPr>
                <w:rStyle w:val="CharacterStyle9"/>
              </w:rPr>
            </w:pPr>
            <w:r>
              <w:rPr>
                <w:rStyle w:val="CharacterStyle9"/>
              </w:rPr>
              <w:t>1.171.721,50</w:t>
            </w:r>
          </w:p>
        </w:tc>
        <w:tc>
          <w:tcPr>
            <w:tcW w:w="1395" w:type="dxa"/>
            <w:tcBorders>
              <w:bottom w:val="single" w:sz="6" w:space="0" w:color="000000"/>
              <w:right w:val="single" w:sz="6" w:space="0" w:color="000000"/>
            </w:tcBorders>
            <w:vAlign w:val="center"/>
          </w:tcPr>
          <w:p w14:paraId="214B6B1F"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55958B4" w14:textId="77777777" w:rsidR="007D706A" w:rsidRDefault="007D706A" w:rsidP="00F70508">
            <w:pPr>
              <w:pStyle w:val="ParagraphStyle9"/>
              <w:rPr>
                <w:rStyle w:val="CharacterStyle9"/>
              </w:rPr>
            </w:pPr>
            <w:r>
              <w:rPr>
                <w:rStyle w:val="CharacterStyle9"/>
              </w:rPr>
              <w:t>0,00</w:t>
            </w:r>
          </w:p>
        </w:tc>
      </w:tr>
      <w:tr w:rsidR="007D706A" w14:paraId="140E0C8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710D92A"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7C67D381"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362A055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51C59E4" w14:textId="77777777" w:rsidR="007D706A" w:rsidRDefault="007D706A" w:rsidP="00F70508">
            <w:pPr>
              <w:pStyle w:val="ParagraphStyle12"/>
              <w:rPr>
                <w:rStyle w:val="CharacterStyle12"/>
              </w:rPr>
            </w:pPr>
            <w:r>
              <w:rPr>
                <w:rStyle w:val="CharacterStyle12"/>
              </w:rPr>
              <w:t>34.375,00</w:t>
            </w:r>
          </w:p>
        </w:tc>
        <w:tc>
          <w:tcPr>
            <w:tcW w:w="1395" w:type="dxa"/>
            <w:tcBorders>
              <w:bottom w:val="single" w:sz="6" w:space="0" w:color="000000"/>
              <w:right w:val="single" w:sz="6" w:space="0" w:color="000000"/>
            </w:tcBorders>
            <w:vAlign w:val="center"/>
          </w:tcPr>
          <w:p w14:paraId="2BB12D89" w14:textId="77777777" w:rsidR="007D706A" w:rsidRDefault="007D706A" w:rsidP="00F70508">
            <w:pPr>
              <w:pStyle w:val="ParagraphStyle12"/>
              <w:rPr>
                <w:rStyle w:val="CharacterStyle12"/>
              </w:rPr>
            </w:pPr>
            <w:r>
              <w:rPr>
                <w:rStyle w:val="CharacterStyle12"/>
              </w:rPr>
              <w:t>36.875,00</w:t>
            </w:r>
          </w:p>
        </w:tc>
        <w:tc>
          <w:tcPr>
            <w:tcW w:w="1395" w:type="dxa"/>
            <w:tcBorders>
              <w:bottom w:val="single" w:sz="6" w:space="0" w:color="000000"/>
              <w:right w:val="single" w:sz="6" w:space="0" w:color="000000"/>
            </w:tcBorders>
            <w:vAlign w:val="center"/>
          </w:tcPr>
          <w:p w14:paraId="472CB2F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8DA918A" w14:textId="77777777" w:rsidR="007D706A" w:rsidRDefault="007D706A" w:rsidP="00F70508">
            <w:pPr>
              <w:pStyle w:val="ParagraphStyle12"/>
              <w:rPr>
                <w:rStyle w:val="CharacterStyle12"/>
              </w:rPr>
            </w:pPr>
            <w:r>
              <w:rPr>
                <w:rStyle w:val="CharacterStyle12"/>
              </w:rPr>
              <w:t>0,00</w:t>
            </w:r>
          </w:p>
        </w:tc>
      </w:tr>
      <w:tr w:rsidR="007D706A" w14:paraId="7DAEB51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A02CBF6"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58579C6B"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34189F0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F9A5199" w14:textId="77777777" w:rsidR="007D706A" w:rsidRDefault="007D706A" w:rsidP="00F70508">
            <w:pPr>
              <w:pStyle w:val="ParagraphStyle12"/>
              <w:rPr>
                <w:rStyle w:val="CharacterStyle12"/>
              </w:rPr>
            </w:pPr>
            <w:r>
              <w:rPr>
                <w:rStyle w:val="CharacterStyle12"/>
              </w:rPr>
              <w:t>34.375,00</w:t>
            </w:r>
          </w:p>
        </w:tc>
        <w:tc>
          <w:tcPr>
            <w:tcW w:w="1395" w:type="dxa"/>
            <w:tcBorders>
              <w:bottom w:val="single" w:sz="6" w:space="0" w:color="000000"/>
              <w:right w:val="single" w:sz="6" w:space="0" w:color="000000"/>
            </w:tcBorders>
            <w:vAlign w:val="center"/>
          </w:tcPr>
          <w:p w14:paraId="4E3923F0" w14:textId="77777777" w:rsidR="007D706A" w:rsidRDefault="007D706A" w:rsidP="00F70508">
            <w:pPr>
              <w:pStyle w:val="ParagraphStyle12"/>
              <w:rPr>
                <w:rStyle w:val="CharacterStyle12"/>
              </w:rPr>
            </w:pPr>
            <w:r>
              <w:rPr>
                <w:rStyle w:val="CharacterStyle12"/>
              </w:rPr>
              <w:t>36.875,00</w:t>
            </w:r>
          </w:p>
        </w:tc>
        <w:tc>
          <w:tcPr>
            <w:tcW w:w="1395" w:type="dxa"/>
            <w:tcBorders>
              <w:bottom w:val="single" w:sz="6" w:space="0" w:color="000000"/>
              <w:right w:val="single" w:sz="6" w:space="0" w:color="000000"/>
            </w:tcBorders>
            <w:vAlign w:val="center"/>
          </w:tcPr>
          <w:p w14:paraId="0124815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08371B9" w14:textId="77777777" w:rsidR="007D706A" w:rsidRDefault="007D706A" w:rsidP="00F70508">
            <w:pPr>
              <w:pStyle w:val="ParagraphStyle12"/>
              <w:rPr>
                <w:rStyle w:val="CharacterStyle12"/>
              </w:rPr>
            </w:pPr>
            <w:r>
              <w:rPr>
                <w:rStyle w:val="CharacterStyle12"/>
              </w:rPr>
              <w:t>0,00</w:t>
            </w:r>
          </w:p>
        </w:tc>
      </w:tr>
      <w:tr w:rsidR="007D706A" w14:paraId="488E8F7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266853B"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2211F9BC"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26A657D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684DC4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2043FDA" w14:textId="77777777" w:rsidR="007D706A" w:rsidRDefault="007D706A" w:rsidP="00F70508">
            <w:pPr>
              <w:pStyle w:val="ParagraphStyle12"/>
              <w:rPr>
                <w:rStyle w:val="CharacterStyle12"/>
              </w:rPr>
            </w:pPr>
            <w:r>
              <w:rPr>
                <w:rStyle w:val="CharacterStyle12"/>
              </w:rPr>
              <w:t>1.134.846,50</w:t>
            </w:r>
          </w:p>
        </w:tc>
        <w:tc>
          <w:tcPr>
            <w:tcW w:w="1395" w:type="dxa"/>
            <w:tcBorders>
              <w:bottom w:val="single" w:sz="6" w:space="0" w:color="000000"/>
              <w:right w:val="single" w:sz="6" w:space="0" w:color="000000"/>
            </w:tcBorders>
            <w:vAlign w:val="center"/>
          </w:tcPr>
          <w:p w14:paraId="38126BC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5BDAC7A" w14:textId="77777777" w:rsidR="007D706A" w:rsidRDefault="007D706A" w:rsidP="00F70508">
            <w:pPr>
              <w:pStyle w:val="ParagraphStyle12"/>
              <w:rPr>
                <w:rStyle w:val="CharacterStyle12"/>
              </w:rPr>
            </w:pPr>
            <w:r>
              <w:rPr>
                <w:rStyle w:val="CharacterStyle12"/>
              </w:rPr>
              <w:t>0,00</w:t>
            </w:r>
          </w:p>
        </w:tc>
      </w:tr>
      <w:tr w:rsidR="007D706A" w14:paraId="349C340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022F5EB" w14:textId="77777777" w:rsidR="007D706A" w:rsidRDefault="007D706A" w:rsidP="00F70508">
            <w:pPr>
              <w:pStyle w:val="ParagraphStyle10"/>
              <w:rPr>
                <w:rStyle w:val="CharacterStyle10"/>
              </w:rPr>
            </w:pPr>
            <w:r>
              <w:rPr>
                <w:rStyle w:val="CharacterStyle10"/>
              </w:rPr>
              <w:t>42</w:t>
            </w:r>
          </w:p>
        </w:tc>
        <w:tc>
          <w:tcPr>
            <w:tcW w:w="4995" w:type="dxa"/>
            <w:tcBorders>
              <w:bottom w:val="single" w:sz="6" w:space="0" w:color="000000"/>
              <w:right w:val="single" w:sz="6" w:space="0" w:color="000000"/>
            </w:tcBorders>
            <w:vAlign w:val="center"/>
          </w:tcPr>
          <w:p w14:paraId="7840ED7E"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6DE3F2A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CE108D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01D4360" w14:textId="77777777" w:rsidR="007D706A" w:rsidRDefault="007D706A" w:rsidP="00F70508">
            <w:pPr>
              <w:pStyle w:val="ParagraphStyle12"/>
              <w:rPr>
                <w:rStyle w:val="CharacterStyle12"/>
              </w:rPr>
            </w:pPr>
            <w:r>
              <w:rPr>
                <w:rStyle w:val="CharacterStyle12"/>
              </w:rPr>
              <w:t>1.134.846,50</w:t>
            </w:r>
          </w:p>
        </w:tc>
        <w:tc>
          <w:tcPr>
            <w:tcW w:w="1395" w:type="dxa"/>
            <w:tcBorders>
              <w:bottom w:val="single" w:sz="6" w:space="0" w:color="000000"/>
              <w:right w:val="single" w:sz="6" w:space="0" w:color="000000"/>
            </w:tcBorders>
            <w:vAlign w:val="center"/>
          </w:tcPr>
          <w:p w14:paraId="3DAE8BD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C37D2BB" w14:textId="77777777" w:rsidR="007D706A" w:rsidRDefault="007D706A" w:rsidP="00F70508">
            <w:pPr>
              <w:pStyle w:val="ParagraphStyle12"/>
              <w:rPr>
                <w:rStyle w:val="CharacterStyle12"/>
              </w:rPr>
            </w:pPr>
            <w:r>
              <w:rPr>
                <w:rStyle w:val="CharacterStyle12"/>
              </w:rPr>
              <w:t>0,00</w:t>
            </w:r>
          </w:p>
        </w:tc>
      </w:tr>
      <w:tr w:rsidR="007D706A" w14:paraId="57ADEBC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78530E2" w14:textId="77777777" w:rsidR="007D706A" w:rsidRDefault="007D706A" w:rsidP="00F70508">
            <w:pPr>
              <w:pStyle w:val="ParagraphStyle7"/>
              <w:rPr>
                <w:rStyle w:val="CharacterStyle7"/>
              </w:rPr>
            </w:pPr>
            <w:r>
              <w:rPr>
                <w:rStyle w:val="CharacterStyle7"/>
              </w:rPr>
              <w:t>Izvor financiranja 54</w:t>
            </w:r>
          </w:p>
        </w:tc>
        <w:tc>
          <w:tcPr>
            <w:tcW w:w="4995" w:type="dxa"/>
            <w:tcBorders>
              <w:bottom w:val="single" w:sz="6" w:space="0" w:color="000000"/>
              <w:right w:val="single" w:sz="6" w:space="0" w:color="000000"/>
            </w:tcBorders>
            <w:vAlign w:val="center"/>
          </w:tcPr>
          <w:p w14:paraId="7BB1325A" w14:textId="77777777" w:rsidR="007D706A" w:rsidRDefault="007D706A" w:rsidP="00F70508">
            <w:pPr>
              <w:pStyle w:val="ParagraphStyle8"/>
              <w:rPr>
                <w:rStyle w:val="CharacterStyle8"/>
              </w:rPr>
            </w:pPr>
            <w:r>
              <w:rPr>
                <w:rStyle w:val="CharacterStyle8"/>
              </w:rPr>
              <w:t>Pomoći tijela i fondova EU</w:t>
            </w:r>
          </w:p>
        </w:tc>
        <w:tc>
          <w:tcPr>
            <w:tcW w:w="1395" w:type="dxa"/>
            <w:tcBorders>
              <w:bottom w:val="single" w:sz="6" w:space="0" w:color="000000"/>
              <w:right w:val="single" w:sz="6" w:space="0" w:color="000000"/>
            </w:tcBorders>
            <w:vAlign w:val="center"/>
          </w:tcPr>
          <w:p w14:paraId="57E5A83F"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07454FA" w14:textId="77777777" w:rsidR="007D706A" w:rsidRDefault="007D706A" w:rsidP="00F70508">
            <w:pPr>
              <w:pStyle w:val="ParagraphStyle9"/>
              <w:rPr>
                <w:rStyle w:val="CharacterStyle9"/>
              </w:rPr>
            </w:pPr>
            <w:r>
              <w:rPr>
                <w:rStyle w:val="CharacterStyle9"/>
              </w:rPr>
              <w:t>1.044.378,00</w:t>
            </w:r>
          </w:p>
        </w:tc>
        <w:tc>
          <w:tcPr>
            <w:tcW w:w="1395" w:type="dxa"/>
            <w:tcBorders>
              <w:bottom w:val="single" w:sz="6" w:space="0" w:color="000000"/>
              <w:right w:val="single" w:sz="6" w:space="0" w:color="000000"/>
            </w:tcBorders>
            <w:vAlign w:val="center"/>
          </w:tcPr>
          <w:p w14:paraId="29ECB75D"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9433BA1"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3538F51" w14:textId="77777777" w:rsidR="007D706A" w:rsidRDefault="007D706A" w:rsidP="00F70508">
            <w:pPr>
              <w:pStyle w:val="ParagraphStyle9"/>
              <w:rPr>
                <w:rStyle w:val="CharacterStyle9"/>
              </w:rPr>
            </w:pPr>
            <w:r>
              <w:rPr>
                <w:rStyle w:val="CharacterStyle9"/>
              </w:rPr>
              <w:t>0,00</w:t>
            </w:r>
          </w:p>
        </w:tc>
      </w:tr>
      <w:tr w:rsidR="007D706A" w14:paraId="6306635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63ABA22"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560394D3"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627140C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DCE5813" w14:textId="77777777" w:rsidR="007D706A" w:rsidRDefault="007D706A" w:rsidP="00F70508">
            <w:pPr>
              <w:pStyle w:val="ParagraphStyle12"/>
              <w:rPr>
                <w:rStyle w:val="CharacterStyle12"/>
              </w:rPr>
            </w:pPr>
            <w:r>
              <w:rPr>
                <w:rStyle w:val="CharacterStyle12"/>
              </w:rPr>
              <w:t>8.300,00</w:t>
            </w:r>
          </w:p>
        </w:tc>
        <w:tc>
          <w:tcPr>
            <w:tcW w:w="1395" w:type="dxa"/>
            <w:tcBorders>
              <w:bottom w:val="single" w:sz="6" w:space="0" w:color="000000"/>
              <w:right w:val="single" w:sz="6" w:space="0" w:color="000000"/>
            </w:tcBorders>
            <w:vAlign w:val="center"/>
          </w:tcPr>
          <w:p w14:paraId="6015A59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97DB59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6AD579A" w14:textId="77777777" w:rsidR="007D706A" w:rsidRDefault="007D706A" w:rsidP="00F70508">
            <w:pPr>
              <w:pStyle w:val="ParagraphStyle12"/>
              <w:rPr>
                <w:rStyle w:val="CharacterStyle12"/>
              </w:rPr>
            </w:pPr>
            <w:r>
              <w:rPr>
                <w:rStyle w:val="CharacterStyle12"/>
              </w:rPr>
              <w:t>0,00</w:t>
            </w:r>
          </w:p>
        </w:tc>
      </w:tr>
      <w:tr w:rsidR="007D706A" w14:paraId="6ACE07E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71D195C"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0262865D"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18C94A2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D2E354C" w14:textId="77777777" w:rsidR="007D706A" w:rsidRDefault="007D706A" w:rsidP="00F70508">
            <w:pPr>
              <w:pStyle w:val="ParagraphStyle12"/>
              <w:rPr>
                <w:rStyle w:val="CharacterStyle12"/>
              </w:rPr>
            </w:pPr>
            <w:r>
              <w:rPr>
                <w:rStyle w:val="CharacterStyle12"/>
              </w:rPr>
              <w:t>8.300,00</w:t>
            </w:r>
          </w:p>
        </w:tc>
        <w:tc>
          <w:tcPr>
            <w:tcW w:w="1395" w:type="dxa"/>
            <w:tcBorders>
              <w:bottom w:val="single" w:sz="6" w:space="0" w:color="000000"/>
              <w:right w:val="single" w:sz="6" w:space="0" w:color="000000"/>
            </w:tcBorders>
            <w:vAlign w:val="center"/>
          </w:tcPr>
          <w:p w14:paraId="70BF9CD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1F1DF0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7058BB9" w14:textId="77777777" w:rsidR="007D706A" w:rsidRDefault="007D706A" w:rsidP="00F70508">
            <w:pPr>
              <w:pStyle w:val="ParagraphStyle12"/>
              <w:rPr>
                <w:rStyle w:val="CharacterStyle12"/>
              </w:rPr>
            </w:pPr>
            <w:r>
              <w:rPr>
                <w:rStyle w:val="CharacterStyle12"/>
              </w:rPr>
              <w:t>0,00</w:t>
            </w:r>
          </w:p>
        </w:tc>
      </w:tr>
      <w:tr w:rsidR="007D706A" w14:paraId="0AAF9BC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D13307D"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64383580"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5B6966B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5962D94" w14:textId="77777777" w:rsidR="007D706A" w:rsidRDefault="007D706A" w:rsidP="00F70508">
            <w:pPr>
              <w:pStyle w:val="ParagraphStyle12"/>
              <w:rPr>
                <w:rStyle w:val="CharacterStyle12"/>
              </w:rPr>
            </w:pPr>
            <w:r>
              <w:rPr>
                <w:rStyle w:val="CharacterStyle12"/>
              </w:rPr>
              <w:t>1.036.078,00</w:t>
            </w:r>
          </w:p>
        </w:tc>
        <w:tc>
          <w:tcPr>
            <w:tcW w:w="1395" w:type="dxa"/>
            <w:tcBorders>
              <w:bottom w:val="single" w:sz="6" w:space="0" w:color="000000"/>
              <w:right w:val="single" w:sz="6" w:space="0" w:color="000000"/>
            </w:tcBorders>
            <w:vAlign w:val="center"/>
          </w:tcPr>
          <w:p w14:paraId="1D5F825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41771D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277D83E" w14:textId="77777777" w:rsidR="007D706A" w:rsidRDefault="007D706A" w:rsidP="00F70508">
            <w:pPr>
              <w:pStyle w:val="ParagraphStyle12"/>
              <w:rPr>
                <w:rStyle w:val="CharacterStyle12"/>
              </w:rPr>
            </w:pPr>
            <w:r>
              <w:rPr>
                <w:rStyle w:val="CharacterStyle12"/>
              </w:rPr>
              <w:t>0,00</w:t>
            </w:r>
          </w:p>
        </w:tc>
      </w:tr>
      <w:tr w:rsidR="007D706A" w14:paraId="2ED8648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DF76E7F" w14:textId="77777777" w:rsidR="007D706A" w:rsidRDefault="007D706A" w:rsidP="00F70508">
            <w:pPr>
              <w:pStyle w:val="ParagraphStyle10"/>
              <w:rPr>
                <w:rStyle w:val="CharacterStyle10"/>
              </w:rPr>
            </w:pPr>
            <w:r>
              <w:rPr>
                <w:rStyle w:val="CharacterStyle10"/>
              </w:rPr>
              <w:t>42</w:t>
            </w:r>
          </w:p>
        </w:tc>
        <w:tc>
          <w:tcPr>
            <w:tcW w:w="4995" w:type="dxa"/>
            <w:tcBorders>
              <w:bottom w:val="single" w:sz="6" w:space="0" w:color="000000"/>
              <w:right w:val="single" w:sz="6" w:space="0" w:color="000000"/>
            </w:tcBorders>
            <w:vAlign w:val="center"/>
          </w:tcPr>
          <w:p w14:paraId="6856ABC4"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60086FC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EB5A6AC" w14:textId="77777777" w:rsidR="007D706A" w:rsidRDefault="007D706A" w:rsidP="00F70508">
            <w:pPr>
              <w:pStyle w:val="ParagraphStyle12"/>
              <w:rPr>
                <w:rStyle w:val="CharacterStyle12"/>
              </w:rPr>
            </w:pPr>
            <w:r>
              <w:rPr>
                <w:rStyle w:val="CharacterStyle12"/>
              </w:rPr>
              <w:t>1.036.078,00</w:t>
            </w:r>
          </w:p>
        </w:tc>
        <w:tc>
          <w:tcPr>
            <w:tcW w:w="1395" w:type="dxa"/>
            <w:tcBorders>
              <w:bottom w:val="single" w:sz="6" w:space="0" w:color="000000"/>
              <w:right w:val="single" w:sz="6" w:space="0" w:color="000000"/>
            </w:tcBorders>
            <w:vAlign w:val="center"/>
          </w:tcPr>
          <w:p w14:paraId="59C7EBD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5AFDC1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69B4CA7" w14:textId="77777777" w:rsidR="007D706A" w:rsidRDefault="007D706A" w:rsidP="00F70508">
            <w:pPr>
              <w:pStyle w:val="ParagraphStyle12"/>
              <w:rPr>
                <w:rStyle w:val="CharacterStyle12"/>
              </w:rPr>
            </w:pPr>
            <w:r>
              <w:rPr>
                <w:rStyle w:val="CharacterStyle12"/>
              </w:rPr>
              <w:t>0,00</w:t>
            </w:r>
          </w:p>
        </w:tc>
      </w:tr>
      <w:tr w:rsidR="007D706A" w14:paraId="239DD31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E958248" w14:textId="77777777" w:rsidR="007D706A" w:rsidRDefault="007D706A" w:rsidP="00F70508">
            <w:pPr>
              <w:pStyle w:val="ParagraphStyle7"/>
              <w:rPr>
                <w:rStyle w:val="CharacterStyle7"/>
              </w:rPr>
            </w:pPr>
            <w:r>
              <w:rPr>
                <w:rStyle w:val="CharacterStyle7"/>
              </w:rPr>
              <w:t>Izvor financiranja 581</w:t>
            </w:r>
          </w:p>
        </w:tc>
        <w:tc>
          <w:tcPr>
            <w:tcW w:w="4995" w:type="dxa"/>
            <w:tcBorders>
              <w:bottom w:val="single" w:sz="6" w:space="0" w:color="000000"/>
              <w:right w:val="single" w:sz="6" w:space="0" w:color="000000"/>
            </w:tcBorders>
            <w:vAlign w:val="center"/>
          </w:tcPr>
          <w:p w14:paraId="08B3EBF0" w14:textId="77777777" w:rsidR="007D706A" w:rsidRDefault="007D706A" w:rsidP="00F70508">
            <w:pPr>
              <w:pStyle w:val="ParagraphStyle8"/>
              <w:rPr>
                <w:rStyle w:val="CharacterStyle8"/>
              </w:rPr>
            </w:pPr>
            <w:r>
              <w:rPr>
                <w:rStyle w:val="CharacterStyle8"/>
              </w:rPr>
              <w:t>Mehanizam za oporavak i otpornost – bespovratna sredstva</w:t>
            </w:r>
          </w:p>
        </w:tc>
        <w:tc>
          <w:tcPr>
            <w:tcW w:w="1395" w:type="dxa"/>
            <w:tcBorders>
              <w:bottom w:val="single" w:sz="6" w:space="0" w:color="000000"/>
              <w:right w:val="single" w:sz="6" w:space="0" w:color="000000"/>
            </w:tcBorders>
            <w:vAlign w:val="center"/>
          </w:tcPr>
          <w:p w14:paraId="796EF940"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15D0CC1"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9BF0F5E" w14:textId="77777777" w:rsidR="007D706A" w:rsidRDefault="007D706A" w:rsidP="00F70508">
            <w:pPr>
              <w:pStyle w:val="ParagraphStyle9"/>
              <w:rPr>
                <w:rStyle w:val="CharacterStyle9"/>
              </w:rPr>
            </w:pPr>
            <w:r>
              <w:rPr>
                <w:rStyle w:val="CharacterStyle9"/>
              </w:rPr>
              <w:t>1.044.378,00</w:t>
            </w:r>
          </w:p>
        </w:tc>
        <w:tc>
          <w:tcPr>
            <w:tcW w:w="1395" w:type="dxa"/>
            <w:tcBorders>
              <w:bottom w:val="single" w:sz="6" w:space="0" w:color="000000"/>
              <w:right w:val="single" w:sz="6" w:space="0" w:color="000000"/>
            </w:tcBorders>
            <w:vAlign w:val="center"/>
          </w:tcPr>
          <w:p w14:paraId="11BD7F63"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DCCC492" w14:textId="77777777" w:rsidR="007D706A" w:rsidRDefault="007D706A" w:rsidP="00F70508">
            <w:pPr>
              <w:pStyle w:val="ParagraphStyle9"/>
              <w:rPr>
                <w:rStyle w:val="CharacterStyle9"/>
              </w:rPr>
            </w:pPr>
            <w:r>
              <w:rPr>
                <w:rStyle w:val="CharacterStyle9"/>
              </w:rPr>
              <w:t>0,00</w:t>
            </w:r>
          </w:p>
        </w:tc>
      </w:tr>
      <w:tr w:rsidR="007D706A" w14:paraId="235056C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8B78F63"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3504C319"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12BD72E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8EE7D3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04734CC" w14:textId="77777777" w:rsidR="007D706A" w:rsidRDefault="007D706A" w:rsidP="00F70508">
            <w:pPr>
              <w:pStyle w:val="ParagraphStyle12"/>
              <w:rPr>
                <w:rStyle w:val="CharacterStyle12"/>
              </w:rPr>
            </w:pPr>
            <w:r>
              <w:rPr>
                <w:rStyle w:val="CharacterStyle12"/>
              </w:rPr>
              <w:t>8.300,00</w:t>
            </w:r>
          </w:p>
        </w:tc>
        <w:tc>
          <w:tcPr>
            <w:tcW w:w="1395" w:type="dxa"/>
            <w:tcBorders>
              <w:bottom w:val="single" w:sz="6" w:space="0" w:color="000000"/>
              <w:right w:val="single" w:sz="6" w:space="0" w:color="000000"/>
            </w:tcBorders>
            <w:vAlign w:val="center"/>
          </w:tcPr>
          <w:p w14:paraId="06C1535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1A64921" w14:textId="77777777" w:rsidR="007D706A" w:rsidRDefault="007D706A" w:rsidP="00F70508">
            <w:pPr>
              <w:pStyle w:val="ParagraphStyle12"/>
              <w:rPr>
                <w:rStyle w:val="CharacterStyle12"/>
              </w:rPr>
            </w:pPr>
            <w:r>
              <w:rPr>
                <w:rStyle w:val="CharacterStyle12"/>
              </w:rPr>
              <w:t>0,00</w:t>
            </w:r>
          </w:p>
        </w:tc>
      </w:tr>
      <w:tr w:rsidR="007D706A" w14:paraId="321F63C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C1CBC78"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557734B0"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592D2FC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58E0DE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5B91EE2" w14:textId="77777777" w:rsidR="007D706A" w:rsidRDefault="007D706A" w:rsidP="00F70508">
            <w:pPr>
              <w:pStyle w:val="ParagraphStyle12"/>
              <w:rPr>
                <w:rStyle w:val="CharacterStyle12"/>
              </w:rPr>
            </w:pPr>
            <w:r>
              <w:rPr>
                <w:rStyle w:val="CharacterStyle12"/>
              </w:rPr>
              <w:t>8.300,00</w:t>
            </w:r>
          </w:p>
        </w:tc>
        <w:tc>
          <w:tcPr>
            <w:tcW w:w="1395" w:type="dxa"/>
            <w:tcBorders>
              <w:bottom w:val="single" w:sz="6" w:space="0" w:color="000000"/>
              <w:right w:val="single" w:sz="6" w:space="0" w:color="000000"/>
            </w:tcBorders>
            <w:vAlign w:val="center"/>
          </w:tcPr>
          <w:p w14:paraId="49E2792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04E97BA" w14:textId="77777777" w:rsidR="007D706A" w:rsidRDefault="007D706A" w:rsidP="00F70508">
            <w:pPr>
              <w:pStyle w:val="ParagraphStyle12"/>
              <w:rPr>
                <w:rStyle w:val="CharacterStyle12"/>
              </w:rPr>
            </w:pPr>
            <w:r>
              <w:rPr>
                <w:rStyle w:val="CharacterStyle12"/>
              </w:rPr>
              <w:t>0,00</w:t>
            </w:r>
          </w:p>
        </w:tc>
      </w:tr>
      <w:tr w:rsidR="007D706A" w14:paraId="251E1FB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943C5BF"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38062547"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5ED0D60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CB0B8F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2B3D7EE" w14:textId="77777777" w:rsidR="007D706A" w:rsidRDefault="007D706A" w:rsidP="00F70508">
            <w:pPr>
              <w:pStyle w:val="ParagraphStyle12"/>
              <w:rPr>
                <w:rStyle w:val="CharacterStyle12"/>
              </w:rPr>
            </w:pPr>
            <w:r>
              <w:rPr>
                <w:rStyle w:val="CharacterStyle12"/>
              </w:rPr>
              <w:t>1.036.078,00</w:t>
            </w:r>
          </w:p>
        </w:tc>
        <w:tc>
          <w:tcPr>
            <w:tcW w:w="1395" w:type="dxa"/>
            <w:tcBorders>
              <w:bottom w:val="single" w:sz="6" w:space="0" w:color="000000"/>
              <w:right w:val="single" w:sz="6" w:space="0" w:color="000000"/>
            </w:tcBorders>
            <w:vAlign w:val="center"/>
          </w:tcPr>
          <w:p w14:paraId="786FB24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0165DEC" w14:textId="77777777" w:rsidR="007D706A" w:rsidRDefault="007D706A" w:rsidP="00F70508">
            <w:pPr>
              <w:pStyle w:val="ParagraphStyle12"/>
              <w:rPr>
                <w:rStyle w:val="CharacterStyle12"/>
              </w:rPr>
            </w:pPr>
            <w:r>
              <w:rPr>
                <w:rStyle w:val="CharacterStyle12"/>
              </w:rPr>
              <w:t>0,00</w:t>
            </w:r>
          </w:p>
        </w:tc>
      </w:tr>
      <w:tr w:rsidR="007D706A" w14:paraId="66CBAB9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FB4A35A" w14:textId="77777777" w:rsidR="007D706A" w:rsidRDefault="007D706A" w:rsidP="00F70508">
            <w:pPr>
              <w:pStyle w:val="ParagraphStyle10"/>
              <w:rPr>
                <w:rStyle w:val="CharacterStyle10"/>
              </w:rPr>
            </w:pPr>
            <w:r>
              <w:rPr>
                <w:rStyle w:val="CharacterStyle10"/>
              </w:rPr>
              <w:t>42</w:t>
            </w:r>
          </w:p>
        </w:tc>
        <w:tc>
          <w:tcPr>
            <w:tcW w:w="4995" w:type="dxa"/>
            <w:tcBorders>
              <w:bottom w:val="single" w:sz="6" w:space="0" w:color="000000"/>
              <w:right w:val="single" w:sz="6" w:space="0" w:color="000000"/>
            </w:tcBorders>
            <w:vAlign w:val="center"/>
          </w:tcPr>
          <w:p w14:paraId="1FEB79AE"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27A7D4B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C98356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646018B" w14:textId="77777777" w:rsidR="007D706A" w:rsidRDefault="007D706A" w:rsidP="00F70508">
            <w:pPr>
              <w:pStyle w:val="ParagraphStyle12"/>
              <w:rPr>
                <w:rStyle w:val="CharacterStyle12"/>
              </w:rPr>
            </w:pPr>
            <w:r>
              <w:rPr>
                <w:rStyle w:val="CharacterStyle12"/>
              </w:rPr>
              <w:t>1.036.078,00</w:t>
            </w:r>
          </w:p>
        </w:tc>
        <w:tc>
          <w:tcPr>
            <w:tcW w:w="1395" w:type="dxa"/>
            <w:tcBorders>
              <w:bottom w:val="single" w:sz="6" w:space="0" w:color="000000"/>
              <w:right w:val="single" w:sz="6" w:space="0" w:color="000000"/>
            </w:tcBorders>
            <w:vAlign w:val="center"/>
          </w:tcPr>
          <w:p w14:paraId="66B609D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0A4367F" w14:textId="77777777" w:rsidR="007D706A" w:rsidRDefault="007D706A" w:rsidP="00F70508">
            <w:pPr>
              <w:pStyle w:val="ParagraphStyle12"/>
              <w:rPr>
                <w:rStyle w:val="CharacterStyle12"/>
              </w:rPr>
            </w:pPr>
            <w:r>
              <w:rPr>
                <w:rStyle w:val="CharacterStyle12"/>
              </w:rPr>
              <w:t>0,00</w:t>
            </w:r>
          </w:p>
        </w:tc>
      </w:tr>
      <w:tr w:rsidR="007D706A" w14:paraId="2F0C5635" w14:textId="77777777" w:rsidTr="00F70508">
        <w:trPr>
          <w:trHeight w:val="420"/>
        </w:trPr>
        <w:tc>
          <w:tcPr>
            <w:tcW w:w="2880" w:type="dxa"/>
            <w:tcBorders>
              <w:left w:val="single" w:sz="6" w:space="0" w:color="000000"/>
              <w:bottom w:val="single" w:sz="6" w:space="0" w:color="000000"/>
              <w:right w:val="single" w:sz="6" w:space="0" w:color="000000"/>
            </w:tcBorders>
            <w:vAlign w:val="center"/>
          </w:tcPr>
          <w:p w14:paraId="2E82604D" w14:textId="77777777" w:rsidR="007D706A" w:rsidRDefault="007D706A" w:rsidP="00F70508">
            <w:pPr>
              <w:pStyle w:val="ParagraphStyle7"/>
              <w:rPr>
                <w:rStyle w:val="CharacterStyle7"/>
              </w:rPr>
            </w:pPr>
            <w:r>
              <w:rPr>
                <w:rStyle w:val="CharacterStyle7"/>
              </w:rPr>
              <w:t>Izvor financiranja 71</w:t>
            </w:r>
          </w:p>
        </w:tc>
        <w:tc>
          <w:tcPr>
            <w:tcW w:w="4995" w:type="dxa"/>
            <w:tcBorders>
              <w:bottom w:val="single" w:sz="6" w:space="0" w:color="000000"/>
              <w:right w:val="single" w:sz="6" w:space="0" w:color="000000"/>
            </w:tcBorders>
            <w:vAlign w:val="center"/>
          </w:tcPr>
          <w:p w14:paraId="5AB53666" w14:textId="77777777" w:rsidR="007D706A" w:rsidRDefault="007D706A" w:rsidP="00F70508">
            <w:pPr>
              <w:pStyle w:val="ParagraphStyle8"/>
              <w:rPr>
                <w:rStyle w:val="CharacterStyle8"/>
              </w:rPr>
            </w:pPr>
            <w:r>
              <w:rPr>
                <w:rStyle w:val="CharacterStyle8"/>
              </w:rPr>
              <w:t>Prihodi od prodaje ili zamjene nefinancijske imovine i naknade s naslova osiguranja</w:t>
            </w:r>
          </w:p>
        </w:tc>
        <w:tc>
          <w:tcPr>
            <w:tcW w:w="1395" w:type="dxa"/>
            <w:tcBorders>
              <w:bottom w:val="single" w:sz="6" w:space="0" w:color="000000"/>
              <w:right w:val="single" w:sz="6" w:space="0" w:color="000000"/>
            </w:tcBorders>
            <w:vAlign w:val="center"/>
          </w:tcPr>
          <w:p w14:paraId="74F4CB61"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E2B50C1"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EC5FA85"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C288446" w14:textId="77777777" w:rsidR="007D706A" w:rsidRDefault="007D706A" w:rsidP="00F70508">
            <w:pPr>
              <w:pStyle w:val="ParagraphStyle9"/>
              <w:rPr>
                <w:rStyle w:val="CharacterStyle9"/>
              </w:rPr>
            </w:pPr>
            <w:r>
              <w:rPr>
                <w:rStyle w:val="CharacterStyle9"/>
              </w:rPr>
              <w:t>870.000,00</w:t>
            </w:r>
          </w:p>
        </w:tc>
        <w:tc>
          <w:tcPr>
            <w:tcW w:w="1395" w:type="dxa"/>
            <w:tcBorders>
              <w:bottom w:val="single" w:sz="6" w:space="0" w:color="000000"/>
              <w:right w:val="single" w:sz="6" w:space="0" w:color="000000"/>
            </w:tcBorders>
            <w:vAlign w:val="center"/>
          </w:tcPr>
          <w:p w14:paraId="196767F8" w14:textId="77777777" w:rsidR="007D706A" w:rsidRDefault="007D706A" w:rsidP="00F70508">
            <w:pPr>
              <w:pStyle w:val="ParagraphStyle9"/>
              <w:rPr>
                <w:rStyle w:val="CharacterStyle9"/>
              </w:rPr>
            </w:pPr>
            <w:r>
              <w:rPr>
                <w:rStyle w:val="CharacterStyle9"/>
              </w:rPr>
              <w:t>0,00</w:t>
            </w:r>
          </w:p>
        </w:tc>
      </w:tr>
      <w:tr w:rsidR="007D706A" w14:paraId="1CCCF77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754032D" w14:textId="77777777" w:rsidR="007D706A" w:rsidRDefault="007D706A" w:rsidP="00F70508">
            <w:pPr>
              <w:pStyle w:val="ParagraphStyle10"/>
              <w:rPr>
                <w:rStyle w:val="CharacterStyle10"/>
              </w:rPr>
            </w:pPr>
            <w:r>
              <w:rPr>
                <w:rStyle w:val="CharacterStyle10"/>
              </w:rPr>
              <w:lastRenderedPageBreak/>
              <w:t>4</w:t>
            </w:r>
          </w:p>
        </w:tc>
        <w:tc>
          <w:tcPr>
            <w:tcW w:w="4995" w:type="dxa"/>
            <w:tcBorders>
              <w:bottom w:val="single" w:sz="6" w:space="0" w:color="000000"/>
              <w:right w:val="single" w:sz="6" w:space="0" w:color="000000"/>
            </w:tcBorders>
            <w:vAlign w:val="center"/>
          </w:tcPr>
          <w:p w14:paraId="3D0A999C"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5AB3BB5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C27690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EF5ED2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B975A9D" w14:textId="77777777" w:rsidR="007D706A" w:rsidRDefault="007D706A" w:rsidP="00F70508">
            <w:pPr>
              <w:pStyle w:val="ParagraphStyle12"/>
              <w:rPr>
                <w:rStyle w:val="CharacterStyle12"/>
              </w:rPr>
            </w:pPr>
            <w:r>
              <w:rPr>
                <w:rStyle w:val="CharacterStyle12"/>
              </w:rPr>
              <w:t>870.000,00</w:t>
            </w:r>
          </w:p>
        </w:tc>
        <w:tc>
          <w:tcPr>
            <w:tcW w:w="1395" w:type="dxa"/>
            <w:tcBorders>
              <w:bottom w:val="single" w:sz="6" w:space="0" w:color="000000"/>
              <w:right w:val="single" w:sz="6" w:space="0" w:color="000000"/>
            </w:tcBorders>
            <w:vAlign w:val="center"/>
          </w:tcPr>
          <w:p w14:paraId="087C1F64" w14:textId="77777777" w:rsidR="007D706A" w:rsidRDefault="007D706A" w:rsidP="00F70508">
            <w:pPr>
              <w:pStyle w:val="ParagraphStyle12"/>
              <w:rPr>
                <w:rStyle w:val="CharacterStyle12"/>
              </w:rPr>
            </w:pPr>
            <w:r>
              <w:rPr>
                <w:rStyle w:val="CharacterStyle12"/>
              </w:rPr>
              <w:t>0,00</w:t>
            </w:r>
          </w:p>
        </w:tc>
      </w:tr>
      <w:tr w:rsidR="007D706A" w14:paraId="0251325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E3DD27C" w14:textId="77777777" w:rsidR="007D706A" w:rsidRDefault="007D706A" w:rsidP="00F70508">
            <w:pPr>
              <w:pStyle w:val="ParagraphStyle10"/>
              <w:rPr>
                <w:rStyle w:val="CharacterStyle10"/>
              </w:rPr>
            </w:pPr>
            <w:r>
              <w:rPr>
                <w:rStyle w:val="CharacterStyle10"/>
              </w:rPr>
              <w:t>42</w:t>
            </w:r>
          </w:p>
        </w:tc>
        <w:tc>
          <w:tcPr>
            <w:tcW w:w="4995" w:type="dxa"/>
            <w:tcBorders>
              <w:bottom w:val="single" w:sz="6" w:space="0" w:color="000000"/>
              <w:right w:val="single" w:sz="6" w:space="0" w:color="000000"/>
            </w:tcBorders>
            <w:vAlign w:val="center"/>
          </w:tcPr>
          <w:p w14:paraId="24C0EBD7"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1824564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50E73A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676A3C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076F825" w14:textId="77777777" w:rsidR="007D706A" w:rsidRDefault="007D706A" w:rsidP="00F70508">
            <w:pPr>
              <w:pStyle w:val="ParagraphStyle12"/>
              <w:rPr>
                <w:rStyle w:val="CharacterStyle12"/>
              </w:rPr>
            </w:pPr>
            <w:r>
              <w:rPr>
                <w:rStyle w:val="CharacterStyle12"/>
              </w:rPr>
              <w:t>870.000,00</w:t>
            </w:r>
          </w:p>
        </w:tc>
        <w:tc>
          <w:tcPr>
            <w:tcW w:w="1395" w:type="dxa"/>
            <w:tcBorders>
              <w:bottom w:val="single" w:sz="6" w:space="0" w:color="000000"/>
              <w:right w:val="single" w:sz="6" w:space="0" w:color="000000"/>
            </w:tcBorders>
            <w:vAlign w:val="center"/>
          </w:tcPr>
          <w:p w14:paraId="0F1A62E9" w14:textId="77777777" w:rsidR="007D706A" w:rsidRDefault="007D706A" w:rsidP="00F70508">
            <w:pPr>
              <w:pStyle w:val="ParagraphStyle12"/>
              <w:rPr>
                <w:rStyle w:val="CharacterStyle12"/>
              </w:rPr>
            </w:pPr>
            <w:r>
              <w:rPr>
                <w:rStyle w:val="CharacterStyle12"/>
              </w:rPr>
              <w:t>0,00</w:t>
            </w:r>
          </w:p>
        </w:tc>
      </w:tr>
      <w:tr w:rsidR="007D706A" w14:paraId="1E86263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00578E5" w14:textId="77777777" w:rsidR="007D706A" w:rsidRDefault="007D706A" w:rsidP="00F70508">
            <w:pPr>
              <w:pStyle w:val="ParagraphStyle7"/>
              <w:rPr>
                <w:rStyle w:val="CharacterStyle7"/>
              </w:rPr>
            </w:pPr>
            <w:r>
              <w:rPr>
                <w:rStyle w:val="CharacterStyle7"/>
              </w:rPr>
              <w:t>Izvor financiranja 82</w:t>
            </w:r>
          </w:p>
        </w:tc>
        <w:tc>
          <w:tcPr>
            <w:tcW w:w="4995" w:type="dxa"/>
            <w:tcBorders>
              <w:bottom w:val="single" w:sz="6" w:space="0" w:color="000000"/>
              <w:right w:val="single" w:sz="6" w:space="0" w:color="000000"/>
            </w:tcBorders>
            <w:vAlign w:val="center"/>
          </w:tcPr>
          <w:p w14:paraId="6CFBA6A2" w14:textId="77777777" w:rsidR="007D706A" w:rsidRDefault="007D706A" w:rsidP="00F70508">
            <w:pPr>
              <w:pStyle w:val="ParagraphStyle8"/>
              <w:rPr>
                <w:rStyle w:val="CharacterStyle8"/>
              </w:rPr>
            </w:pPr>
            <w:r>
              <w:rPr>
                <w:rStyle w:val="CharacterStyle8"/>
              </w:rPr>
              <w:t>Preneseni viškovi iz ranijih godina</w:t>
            </w:r>
          </w:p>
        </w:tc>
        <w:tc>
          <w:tcPr>
            <w:tcW w:w="1395" w:type="dxa"/>
            <w:tcBorders>
              <w:bottom w:val="single" w:sz="6" w:space="0" w:color="000000"/>
              <w:right w:val="single" w:sz="6" w:space="0" w:color="000000"/>
            </w:tcBorders>
            <w:vAlign w:val="center"/>
          </w:tcPr>
          <w:p w14:paraId="0D348398"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2A912BF" w14:textId="77777777" w:rsidR="007D706A" w:rsidRDefault="007D706A" w:rsidP="00F70508">
            <w:pPr>
              <w:pStyle w:val="ParagraphStyle9"/>
              <w:rPr>
                <w:rStyle w:val="CharacterStyle9"/>
              </w:rPr>
            </w:pPr>
            <w:r>
              <w:rPr>
                <w:rStyle w:val="CharacterStyle9"/>
              </w:rPr>
              <w:t>1.149.336,50</w:t>
            </w:r>
          </w:p>
        </w:tc>
        <w:tc>
          <w:tcPr>
            <w:tcW w:w="1395" w:type="dxa"/>
            <w:tcBorders>
              <w:bottom w:val="single" w:sz="6" w:space="0" w:color="000000"/>
              <w:right w:val="single" w:sz="6" w:space="0" w:color="000000"/>
            </w:tcBorders>
            <w:vAlign w:val="center"/>
          </w:tcPr>
          <w:p w14:paraId="1B40E987"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44BA61A"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53006EB" w14:textId="77777777" w:rsidR="007D706A" w:rsidRDefault="007D706A" w:rsidP="00F70508">
            <w:pPr>
              <w:pStyle w:val="ParagraphStyle9"/>
              <w:rPr>
                <w:rStyle w:val="CharacterStyle9"/>
              </w:rPr>
            </w:pPr>
            <w:r>
              <w:rPr>
                <w:rStyle w:val="CharacterStyle9"/>
              </w:rPr>
              <w:t>0,00</w:t>
            </w:r>
          </w:p>
        </w:tc>
      </w:tr>
      <w:tr w:rsidR="007D706A" w14:paraId="206324C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B73B77D"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4152E4CB"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242003E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B43A689" w14:textId="77777777" w:rsidR="007D706A" w:rsidRDefault="007D706A" w:rsidP="00F70508">
            <w:pPr>
              <w:pStyle w:val="ParagraphStyle12"/>
              <w:rPr>
                <w:rStyle w:val="CharacterStyle12"/>
              </w:rPr>
            </w:pPr>
            <w:r>
              <w:rPr>
                <w:rStyle w:val="CharacterStyle12"/>
              </w:rPr>
              <w:t>1.149.336,50</w:t>
            </w:r>
          </w:p>
        </w:tc>
        <w:tc>
          <w:tcPr>
            <w:tcW w:w="1395" w:type="dxa"/>
            <w:tcBorders>
              <w:bottom w:val="single" w:sz="6" w:space="0" w:color="000000"/>
              <w:right w:val="single" w:sz="6" w:space="0" w:color="000000"/>
            </w:tcBorders>
            <w:vAlign w:val="center"/>
          </w:tcPr>
          <w:p w14:paraId="6D58D73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44660E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B016A99" w14:textId="77777777" w:rsidR="007D706A" w:rsidRDefault="007D706A" w:rsidP="00F70508">
            <w:pPr>
              <w:pStyle w:val="ParagraphStyle12"/>
              <w:rPr>
                <w:rStyle w:val="CharacterStyle12"/>
              </w:rPr>
            </w:pPr>
            <w:r>
              <w:rPr>
                <w:rStyle w:val="CharacterStyle12"/>
              </w:rPr>
              <w:t>0,00</w:t>
            </w:r>
          </w:p>
        </w:tc>
      </w:tr>
      <w:tr w:rsidR="007D706A" w14:paraId="23881E36"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686E526" w14:textId="77777777" w:rsidR="007D706A" w:rsidRDefault="007D706A" w:rsidP="00F70508">
            <w:pPr>
              <w:pStyle w:val="ParagraphStyle10"/>
              <w:rPr>
                <w:rStyle w:val="CharacterStyle10"/>
              </w:rPr>
            </w:pPr>
            <w:r>
              <w:rPr>
                <w:rStyle w:val="CharacterStyle10"/>
              </w:rPr>
              <w:t>41</w:t>
            </w:r>
          </w:p>
        </w:tc>
        <w:tc>
          <w:tcPr>
            <w:tcW w:w="4995" w:type="dxa"/>
            <w:tcBorders>
              <w:bottom w:val="single" w:sz="6" w:space="0" w:color="000000"/>
              <w:right w:val="single" w:sz="6" w:space="0" w:color="000000"/>
            </w:tcBorders>
            <w:vAlign w:val="center"/>
          </w:tcPr>
          <w:p w14:paraId="5011AA23" w14:textId="77777777" w:rsidR="007D706A" w:rsidRDefault="007D706A" w:rsidP="00F70508">
            <w:pPr>
              <w:pStyle w:val="ParagraphStyle11"/>
              <w:rPr>
                <w:rStyle w:val="CharacterStyle11"/>
              </w:rPr>
            </w:pPr>
            <w:r>
              <w:rPr>
                <w:rStyle w:val="CharacterStyle11"/>
              </w:rPr>
              <w:t>Rashodi za nabavu neproizvedene dugotrajne imovine</w:t>
            </w:r>
          </w:p>
        </w:tc>
        <w:tc>
          <w:tcPr>
            <w:tcW w:w="1395" w:type="dxa"/>
            <w:tcBorders>
              <w:bottom w:val="single" w:sz="6" w:space="0" w:color="000000"/>
              <w:right w:val="single" w:sz="6" w:space="0" w:color="000000"/>
            </w:tcBorders>
            <w:vAlign w:val="center"/>
          </w:tcPr>
          <w:p w14:paraId="50B8D78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E32506E" w14:textId="77777777" w:rsidR="007D706A" w:rsidRDefault="007D706A" w:rsidP="00F70508">
            <w:pPr>
              <w:pStyle w:val="ParagraphStyle12"/>
              <w:rPr>
                <w:rStyle w:val="CharacterStyle12"/>
              </w:rPr>
            </w:pPr>
            <w:r>
              <w:rPr>
                <w:rStyle w:val="CharacterStyle12"/>
              </w:rPr>
              <w:t>14.490,00</w:t>
            </w:r>
          </w:p>
        </w:tc>
        <w:tc>
          <w:tcPr>
            <w:tcW w:w="1395" w:type="dxa"/>
            <w:tcBorders>
              <w:bottom w:val="single" w:sz="6" w:space="0" w:color="000000"/>
              <w:right w:val="single" w:sz="6" w:space="0" w:color="000000"/>
            </w:tcBorders>
            <w:vAlign w:val="center"/>
          </w:tcPr>
          <w:p w14:paraId="4B4470B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BA5E84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6CC37DE" w14:textId="77777777" w:rsidR="007D706A" w:rsidRDefault="007D706A" w:rsidP="00F70508">
            <w:pPr>
              <w:pStyle w:val="ParagraphStyle12"/>
              <w:rPr>
                <w:rStyle w:val="CharacterStyle12"/>
              </w:rPr>
            </w:pPr>
            <w:r>
              <w:rPr>
                <w:rStyle w:val="CharacterStyle12"/>
              </w:rPr>
              <w:t>0,00</w:t>
            </w:r>
          </w:p>
        </w:tc>
      </w:tr>
      <w:tr w:rsidR="007D706A" w14:paraId="1A75D14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7FBB9EF" w14:textId="77777777" w:rsidR="007D706A" w:rsidRDefault="007D706A" w:rsidP="00F70508">
            <w:pPr>
              <w:pStyle w:val="ParagraphStyle10"/>
              <w:rPr>
                <w:rStyle w:val="CharacterStyle10"/>
              </w:rPr>
            </w:pPr>
            <w:r>
              <w:rPr>
                <w:rStyle w:val="CharacterStyle10"/>
              </w:rPr>
              <w:t>42</w:t>
            </w:r>
          </w:p>
        </w:tc>
        <w:tc>
          <w:tcPr>
            <w:tcW w:w="4995" w:type="dxa"/>
            <w:tcBorders>
              <w:bottom w:val="single" w:sz="6" w:space="0" w:color="000000"/>
              <w:right w:val="single" w:sz="6" w:space="0" w:color="000000"/>
            </w:tcBorders>
            <w:vAlign w:val="center"/>
          </w:tcPr>
          <w:p w14:paraId="4F18E821"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098E1FD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C6768FF" w14:textId="77777777" w:rsidR="007D706A" w:rsidRDefault="007D706A" w:rsidP="00F70508">
            <w:pPr>
              <w:pStyle w:val="ParagraphStyle12"/>
              <w:rPr>
                <w:rStyle w:val="CharacterStyle12"/>
              </w:rPr>
            </w:pPr>
            <w:r>
              <w:rPr>
                <w:rStyle w:val="CharacterStyle12"/>
              </w:rPr>
              <w:t>1.134.846,50</w:t>
            </w:r>
          </w:p>
        </w:tc>
        <w:tc>
          <w:tcPr>
            <w:tcW w:w="1395" w:type="dxa"/>
            <w:tcBorders>
              <w:bottom w:val="single" w:sz="6" w:space="0" w:color="000000"/>
              <w:right w:val="single" w:sz="6" w:space="0" w:color="000000"/>
            </w:tcBorders>
            <w:vAlign w:val="center"/>
          </w:tcPr>
          <w:p w14:paraId="1633D0D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CDF5F2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05365D2" w14:textId="77777777" w:rsidR="007D706A" w:rsidRDefault="007D706A" w:rsidP="00F70508">
            <w:pPr>
              <w:pStyle w:val="ParagraphStyle12"/>
              <w:rPr>
                <w:rStyle w:val="CharacterStyle12"/>
              </w:rPr>
            </w:pPr>
            <w:r>
              <w:rPr>
                <w:rStyle w:val="CharacterStyle12"/>
              </w:rPr>
              <w:t>0,00</w:t>
            </w:r>
          </w:p>
        </w:tc>
      </w:tr>
      <w:tr w:rsidR="007D706A" w14:paraId="73F322F7" w14:textId="77777777" w:rsidTr="00F70508">
        <w:trPr>
          <w:trHeight w:val="405"/>
        </w:trPr>
        <w:tc>
          <w:tcPr>
            <w:tcW w:w="2880" w:type="dxa"/>
            <w:tcBorders>
              <w:left w:val="single" w:sz="6" w:space="0" w:color="000000"/>
              <w:bottom w:val="single" w:sz="6" w:space="0" w:color="000000"/>
              <w:right w:val="single" w:sz="6" w:space="0" w:color="000000"/>
            </w:tcBorders>
            <w:vAlign w:val="center"/>
          </w:tcPr>
          <w:p w14:paraId="34EB50AA" w14:textId="77777777" w:rsidR="007D706A" w:rsidRDefault="007D706A" w:rsidP="00F70508">
            <w:pPr>
              <w:pStyle w:val="ParagraphStyle4"/>
              <w:rPr>
                <w:rStyle w:val="CharacterStyle4"/>
              </w:rPr>
            </w:pPr>
            <w:r>
              <w:rPr>
                <w:rStyle w:val="CharacterStyle4"/>
              </w:rPr>
              <w:t>RAZDJEL    004</w:t>
            </w:r>
          </w:p>
        </w:tc>
        <w:tc>
          <w:tcPr>
            <w:tcW w:w="4995" w:type="dxa"/>
            <w:tcBorders>
              <w:bottom w:val="single" w:sz="6" w:space="0" w:color="000000"/>
              <w:right w:val="single" w:sz="6" w:space="0" w:color="000000"/>
            </w:tcBorders>
            <w:vAlign w:val="center"/>
          </w:tcPr>
          <w:p w14:paraId="42825BDC" w14:textId="77777777" w:rsidR="007D706A" w:rsidRDefault="007D706A" w:rsidP="00F70508">
            <w:pPr>
              <w:pStyle w:val="ParagraphStyle5"/>
              <w:rPr>
                <w:rStyle w:val="CharacterStyle5"/>
              </w:rPr>
            </w:pPr>
            <w:r>
              <w:rPr>
                <w:rStyle w:val="CharacterStyle5"/>
              </w:rPr>
              <w:t>R - UPRAVNI ODJEL ZA PROSTORNO PLANIRANJE, ZAŠTITU OKOLIŠA I IZDAVANJE AKATA</w:t>
            </w:r>
          </w:p>
        </w:tc>
        <w:tc>
          <w:tcPr>
            <w:tcW w:w="1395" w:type="dxa"/>
            <w:tcBorders>
              <w:bottom w:val="single" w:sz="6" w:space="0" w:color="000000"/>
              <w:right w:val="single" w:sz="6" w:space="0" w:color="000000"/>
            </w:tcBorders>
            <w:vAlign w:val="center"/>
          </w:tcPr>
          <w:p w14:paraId="1E0AEBA1"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23FE37C3" w14:textId="77777777" w:rsidR="007D706A" w:rsidRDefault="007D706A" w:rsidP="00F70508">
            <w:pPr>
              <w:pStyle w:val="ParagraphStyle6"/>
              <w:rPr>
                <w:rStyle w:val="CharacterStyle6"/>
              </w:rPr>
            </w:pPr>
            <w:r>
              <w:rPr>
                <w:rStyle w:val="CharacterStyle6"/>
              </w:rPr>
              <w:t>397.230,50</w:t>
            </w:r>
          </w:p>
        </w:tc>
        <w:tc>
          <w:tcPr>
            <w:tcW w:w="1395" w:type="dxa"/>
            <w:tcBorders>
              <w:bottom w:val="single" w:sz="6" w:space="0" w:color="000000"/>
              <w:right w:val="single" w:sz="6" w:space="0" w:color="000000"/>
            </w:tcBorders>
            <w:vAlign w:val="center"/>
          </w:tcPr>
          <w:p w14:paraId="6AADF720" w14:textId="77777777" w:rsidR="007D706A" w:rsidRDefault="007D706A" w:rsidP="00F70508">
            <w:pPr>
              <w:pStyle w:val="ParagraphStyle6"/>
              <w:rPr>
                <w:rStyle w:val="CharacterStyle6"/>
              </w:rPr>
            </w:pPr>
            <w:r>
              <w:rPr>
                <w:rStyle w:val="CharacterStyle6"/>
              </w:rPr>
              <w:t>797.500,00</w:t>
            </w:r>
          </w:p>
        </w:tc>
        <w:tc>
          <w:tcPr>
            <w:tcW w:w="1395" w:type="dxa"/>
            <w:tcBorders>
              <w:bottom w:val="single" w:sz="6" w:space="0" w:color="000000"/>
              <w:right w:val="single" w:sz="6" w:space="0" w:color="000000"/>
            </w:tcBorders>
            <w:vAlign w:val="center"/>
          </w:tcPr>
          <w:p w14:paraId="2EEE64D0" w14:textId="77777777" w:rsidR="007D706A" w:rsidRDefault="007D706A" w:rsidP="00F70508">
            <w:pPr>
              <w:pStyle w:val="ParagraphStyle6"/>
              <w:rPr>
                <w:rStyle w:val="CharacterStyle6"/>
              </w:rPr>
            </w:pPr>
            <w:r>
              <w:rPr>
                <w:rStyle w:val="CharacterStyle6"/>
              </w:rPr>
              <w:t>618.000,00</w:t>
            </w:r>
          </w:p>
        </w:tc>
        <w:tc>
          <w:tcPr>
            <w:tcW w:w="1395" w:type="dxa"/>
            <w:tcBorders>
              <w:bottom w:val="single" w:sz="6" w:space="0" w:color="000000"/>
              <w:right w:val="single" w:sz="6" w:space="0" w:color="000000"/>
            </w:tcBorders>
            <w:vAlign w:val="center"/>
          </w:tcPr>
          <w:p w14:paraId="0A9E3F68" w14:textId="77777777" w:rsidR="007D706A" w:rsidRDefault="007D706A" w:rsidP="00F70508">
            <w:pPr>
              <w:pStyle w:val="ParagraphStyle6"/>
              <w:rPr>
                <w:rStyle w:val="CharacterStyle6"/>
              </w:rPr>
            </w:pPr>
            <w:r>
              <w:rPr>
                <w:rStyle w:val="CharacterStyle6"/>
              </w:rPr>
              <w:t>80.000,00</w:t>
            </w:r>
          </w:p>
        </w:tc>
      </w:tr>
      <w:tr w:rsidR="007D706A" w14:paraId="116D7B50" w14:textId="77777777" w:rsidTr="00F70508">
        <w:trPr>
          <w:trHeight w:val="420"/>
        </w:trPr>
        <w:tc>
          <w:tcPr>
            <w:tcW w:w="2880" w:type="dxa"/>
            <w:tcBorders>
              <w:left w:val="single" w:sz="6" w:space="0" w:color="000000"/>
              <w:bottom w:val="single" w:sz="6" w:space="0" w:color="000000"/>
              <w:right w:val="single" w:sz="6" w:space="0" w:color="000000"/>
            </w:tcBorders>
            <w:vAlign w:val="center"/>
          </w:tcPr>
          <w:p w14:paraId="519141AF" w14:textId="77777777" w:rsidR="007D706A" w:rsidRDefault="007D706A" w:rsidP="00F70508">
            <w:pPr>
              <w:pStyle w:val="ParagraphStyle4"/>
              <w:rPr>
                <w:rStyle w:val="CharacterStyle4"/>
              </w:rPr>
            </w:pPr>
            <w:r>
              <w:rPr>
                <w:rStyle w:val="CharacterStyle4"/>
              </w:rPr>
              <w:t>GLAVA    00401</w:t>
            </w:r>
          </w:p>
        </w:tc>
        <w:tc>
          <w:tcPr>
            <w:tcW w:w="4995" w:type="dxa"/>
            <w:tcBorders>
              <w:bottom w:val="single" w:sz="6" w:space="0" w:color="000000"/>
              <w:right w:val="single" w:sz="6" w:space="0" w:color="000000"/>
            </w:tcBorders>
            <w:vAlign w:val="center"/>
          </w:tcPr>
          <w:p w14:paraId="4C91BC67" w14:textId="77777777" w:rsidR="007D706A" w:rsidRDefault="007D706A" w:rsidP="00F70508">
            <w:pPr>
              <w:pStyle w:val="ParagraphStyle5"/>
              <w:rPr>
                <w:rStyle w:val="CharacterStyle5"/>
              </w:rPr>
            </w:pPr>
            <w:r>
              <w:rPr>
                <w:rStyle w:val="CharacterStyle5"/>
              </w:rPr>
              <w:t>UPRAVNI ODJEL ZA PROSTORNO PLANIRANJE, ZAŠTITU OKOLIŠA I IZDAVANJE AKATA</w:t>
            </w:r>
          </w:p>
        </w:tc>
        <w:tc>
          <w:tcPr>
            <w:tcW w:w="1395" w:type="dxa"/>
            <w:tcBorders>
              <w:bottom w:val="single" w:sz="6" w:space="0" w:color="000000"/>
              <w:right w:val="single" w:sz="6" w:space="0" w:color="000000"/>
            </w:tcBorders>
            <w:vAlign w:val="center"/>
          </w:tcPr>
          <w:p w14:paraId="0DF58F7E"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208E809C" w14:textId="77777777" w:rsidR="007D706A" w:rsidRDefault="007D706A" w:rsidP="00F70508">
            <w:pPr>
              <w:pStyle w:val="ParagraphStyle6"/>
              <w:rPr>
                <w:rStyle w:val="CharacterStyle6"/>
              </w:rPr>
            </w:pPr>
            <w:r>
              <w:rPr>
                <w:rStyle w:val="CharacterStyle6"/>
              </w:rPr>
              <w:t>397.230,50</w:t>
            </w:r>
          </w:p>
        </w:tc>
        <w:tc>
          <w:tcPr>
            <w:tcW w:w="1395" w:type="dxa"/>
            <w:tcBorders>
              <w:bottom w:val="single" w:sz="6" w:space="0" w:color="000000"/>
              <w:right w:val="single" w:sz="6" w:space="0" w:color="000000"/>
            </w:tcBorders>
            <w:vAlign w:val="center"/>
          </w:tcPr>
          <w:p w14:paraId="15E89E1E" w14:textId="77777777" w:rsidR="007D706A" w:rsidRDefault="007D706A" w:rsidP="00F70508">
            <w:pPr>
              <w:pStyle w:val="ParagraphStyle6"/>
              <w:rPr>
                <w:rStyle w:val="CharacterStyle6"/>
              </w:rPr>
            </w:pPr>
            <w:r>
              <w:rPr>
                <w:rStyle w:val="CharacterStyle6"/>
              </w:rPr>
              <w:t>797.500,00</w:t>
            </w:r>
          </w:p>
        </w:tc>
        <w:tc>
          <w:tcPr>
            <w:tcW w:w="1395" w:type="dxa"/>
            <w:tcBorders>
              <w:bottom w:val="single" w:sz="6" w:space="0" w:color="000000"/>
              <w:right w:val="single" w:sz="6" w:space="0" w:color="000000"/>
            </w:tcBorders>
            <w:vAlign w:val="center"/>
          </w:tcPr>
          <w:p w14:paraId="18069647" w14:textId="77777777" w:rsidR="007D706A" w:rsidRDefault="007D706A" w:rsidP="00F70508">
            <w:pPr>
              <w:pStyle w:val="ParagraphStyle6"/>
              <w:rPr>
                <w:rStyle w:val="CharacterStyle6"/>
              </w:rPr>
            </w:pPr>
            <w:r>
              <w:rPr>
                <w:rStyle w:val="CharacterStyle6"/>
              </w:rPr>
              <w:t>618.000,00</w:t>
            </w:r>
          </w:p>
        </w:tc>
        <w:tc>
          <w:tcPr>
            <w:tcW w:w="1395" w:type="dxa"/>
            <w:tcBorders>
              <w:bottom w:val="single" w:sz="6" w:space="0" w:color="000000"/>
              <w:right w:val="single" w:sz="6" w:space="0" w:color="000000"/>
            </w:tcBorders>
            <w:vAlign w:val="center"/>
          </w:tcPr>
          <w:p w14:paraId="4FBFF02B" w14:textId="77777777" w:rsidR="007D706A" w:rsidRDefault="007D706A" w:rsidP="00F70508">
            <w:pPr>
              <w:pStyle w:val="ParagraphStyle6"/>
              <w:rPr>
                <w:rStyle w:val="CharacterStyle6"/>
              </w:rPr>
            </w:pPr>
            <w:r>
              <w:rPr>
                <w:rStyle w:val="CharacterStyle6"/>
              </w:rPr>
              <w:t>80.000,00</w:t>
            </w:r>
          </w:p>
        </w:tc>
      </w:tr>
      <w:tr w:rsidR="007D706A" w14:paraId="4CA97E3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0206FCD" w14:textId="77777777" w:rsidR="007D706A" w:rsidRDefault="007D706A" w:rsidP="00F70508">
            <w:pPr>
              <w:pStyle w:val="ParagraphStyle4"/>
              <w:rPr>
                <w:rStyle w:val="CharacterStyle4"/>
              </w:rPr>
            </w:pPr>
            <w:r>
              <w:rPr>
                <w:rStyle w:val="CharacterStyle4"/>
              </w:rPr>
              <w:t>Izvor financiranja 11</w:t>
            </w:r>
          </w:p>
        </w:tc>
        <w:tc>
          <w:tcPr>
            <w:tcW w:w="4995" w:type="dxa"/>
            <w:tcBorders>
              <w:bottom w:val="single" w:sz="6" w:space="0" w:color="000000"/>
              <w:right w:val="single" w:sz="6" w:space="0" w:color="000000"/>
            </w:tcBorders>
            <w:vAlign w:val="center"/>
          </w:tcPr>
          <w:p w14:paraId="676DC6BD" w14:textId="77777777" w:rsidR="007D706A" w:rsidRDefault="007D706A" w:rsidP="00F70508">
            <w:pPr>
              <w:pStyle w:val="ParagraphStyle5"/>
              <w:rPr>
                <w:rStyle w:val="CharacterStyle5"/>
              </w:rPr>
            </w:pPr>
            <w:r>
              <w:rPr>
                <w:rStyle w:val="CharacterStyle5"/>
              </w:rPr>
              <w:t>Opći prihodi i primici</w:t>
            </w:r>
          </w:p>
        </w:tc>
        <w:tc>
          <w:tcPr>
            <w:tcW w:w="1395" w:type="dxa"/>
            <w:tcBorders>
              <w:bottom w:val="single" w:sz="6" w:space="0" w:color="000000"/>
              <w:right w:val="single" w:sz="6" w:space="0" w:color="000000"/>
            </w:tcBorders>
            <w:vAlign w:val="center"/>
          </w:tcPr>
          <w:p w14:paraId="796E347F"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13E0E54C" w14:textId="77777777" w:rsidR="007D706A" w:rsidRDefault="007D706A" w:rsidP="00F70508">
            <w:pPr>
              <w:pStyle w:val="ParagraphStyle6"/>
              <w:rPr>
                <w:rStyle w:val="CharacterStyle6"/>
              </w:rPr>
            </w:pPr>
            <w:r>
              <w:rPr>
                <w:rStyle w:val="CharacterStyle6"/>
              </w:rPr>
              <w:t>37.140,00</w:t>
            </w:r>
          </w:p>
        </w:tc>
        <w:tc>
          <w:tcPr>
            <w:tcW w:w="1395" w:type="dxa"/>
            <w:tcBorders>
              <w:bottom w:val="single" w:sz="6" w:space="0" w:color="000000"/>
              <w:right w:val="single" w:sz="6" w:space="0" w:color="000000"/>
            </w:tcBorders>
            <w:vAlign w:val="center"/>
          </w:tcPr>
          <w:p w14:paraId="35C96383" w14:textId="77777777" w:rsidR="007D706A" w:rsidRDefault="007D706A" w:rsidP="00F70508">
            <w:pPr>
              <w:pStyle w:val="ParagraphStyle6"/>
              <w:rPr>
                <w:rStyle w:val="CharacterStyle6"/>
              </w:rPr>
            </w:pPr>
            <w:r>
              <w:rPr>
                <w:rStyle w:val="CharacterStyle6"/>
              </w:rPr>
              <w:t>686.000,00</w:t>
            </w:r>
          </w:p>
        </w:tc>
        <w:tc>
          <w:tcPr>
            <w:tcW w:w="1395" w:type="dxa"/>
            <w:tcBorders>
              <w:bottom w:val="single" w:sz="6" w:space="0" w:color="000000"/>
              <w:right w:val="single" w:sz="6" w:space="0" w:color="000000"/>
            </w:tcBorders>
            <w:vAlign w:val="center"/>
          </w:tcPr>
          <w:p w14:paraId="09FB5656" w14:textId="77777777" w:rsidR="007D706A" w:rsidRDefault="007D706A" w:rsidP="00F70508">
            <w:pPr>
              <w:pStyle w:val="ParagraphStyle6"/>
              <w:rPr>
                <w:rStyle w:val="CharacterStyle6"/>
              </w:rPr>
            </w:pPr>
            <w:r>
              <w:rPr>
                <w:rStyle w:val="CharacterStyle6"/>
              </w:rPr>
              <w:t>183.000,00</w:t>
            </w:r>
          </w:p>
        </w:tc>
        <w:tc>
          <w:tcPr>
            <w:tcW w:w="1395" w:type="dxa"/>
            <w:tcBorders>
              <w:bottom w:val="single" w:sz="6" w:space="0" w:color="000000"/>
              <w:right w:val="single" w:sz="6" w:space="0" w:color="000000"/>
            </w:tcBorders>
            <w:vAlign w:val="center"/>
          </w:tcPr>
          <w:p w14:paraId="0A2BC822" w14:textId="77777777" w:rsidR="007D706A" w:rsidRDefault="007D706A" w:rsidP="00F70508">
            <w:pPr>
              <w:pStyle w:val="ParagraphStyle6"/>
              <w:rPr>
                <w:rStyle w:val="CharacterStyle6"/>
              </w:rPr>
            </w:pPr>
            <w:r>
              <w:rPr>
                <w:rStyle w:val="CharacterStyle6"/>
              </w:rPr>
              <w:t>50.000,00</w:t>
            </w:r>
          </w:p>
        </w:tc>
      </w:tr>
      <w:tr w:rsidR="007D706A" w14:paraId="497C42A6"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D5CEBB7" w14:textId="77777777" w:rsidR="007D706A" w:rsidRDefault="007D706A" w:rsidP="00F70508">
            <w:pPr>
              <w:pStyle w:val="ParagraphStyle4"/>
              <w:rPr>
                <w:rStyle w:val="CharacterStyle4"/>
              </w:rPr>
            </w:pPr>
            <w:r>
              <w:rPr>
                <w:rStyle w:val="CharacterStyle4"/>
              </w:rPr>
              <w:t>Izvor financiranja 41</w:t>
            </w:r>
          </w:p>
        </w:tc>
        <w:tc>
          <w:tcPr>
            <w:tcW w:w="4995" w:type="dxa"/>
            <w:tcBorders>
              <w:bottom w:val="single" w:sz="6" w:space="0" w:color="000000"/>
              <w:right w:val="single" w:sz="6" w:space="0" w:color="000000"/>
            </w:tcBorders>
            <w:vAlign w:val="center"/>
          </w:tcPr>
          <w:p w14:paraId="10CB8122" w14:textId="77777777" w:rsidR="007D706A" w:rsidRDefault="007D706A" w:rsidP="00F70508">
            <w:pPr>
              <w:pStyle w:val="ParagraphStyle5"/>
              <w:rPr>
                <w:rStyle w:val="CharacterStyle5"/>
              </w:rPr>
            </w:pPr>
            <w:r>
              <w:rPr>
                <w:rStyle w:val="CharacterStyle5"/>
              </w:rPr>
              <w:t>Prihodi za posebne namjene</w:t>
            </w:r>
          </w:p>
        </w:tc>
        <w:tc>
          <w:tcPr>
            <w:tcW w:w="1395" w:type="dxa"/>
            <w:tcBorders>
              <w:bottom w:val="single" w:sz="6" w:space="0" w:color="000000"/>
              <w:right w:val="single" w:sz="6" w:space="0" w:color="000000"/>
            </w:tcBorders>
            <w:vAlign w:val="center"/>
          </w:tcPr>
          <w:p w14:paraId="6A25AAEC"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421B1B11" w14:textId="77777777" w:rsidR="007D706A" w:rsidRDefault="007D706A" w:rsidP="00F70508">
            <w:pPr>
              <w:pStyle w:val="ParagraphStyle6"/>
              <w:rPr>
                <w:rStyle w:val="CharacterStyle6"/>
              </w:rPr>
            </w:pPr>
            <w:r>
              <w:rPr>
                <w:rStyle w:val="CharacterStyle6"/>
              </w:rPr>
              <w:t>14.000,00</w:t>
            </w:r>
          </w:p>
        </w:tc>
        <w:tc>
          <w:tcPr>
            <w:tcW w:w="1395" w:type="dxa"/>
            <w:tcBorders>
              <w:bottom w:val="single" w:sz="6" w:space="0" w:color="000000"/>
              <w:right w:val="single" w:sz="6" w:space="0" w:color="000000"/>
            </w:tcBorders>
            <w:vAlign w:val="center"/>
          </w:tcPr>
          <w:p w14:paraId="24EA3444"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47E3ED6B"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0E17FE1C" w14:textId="77777777" w:rsidR="007D706A" w:rsidRDefault="007D706A" w:rsidP="00F70508">
            <w:pPr>
              <w:pStyle w:val="ParagraphStyle6"/>
              <w:rPr>
                <w:rStyle w:val="CharacterStyle6"/>
              </w:rPr>
            </w:pPr>
            <w:r>
              <w:rPr>
                <w:rStyle w:val="CharacterStyle6"/>
              </w:rPr>
              <w:t>0,00</w:t>
            </w:r>
          </w:p>
        </w:tc>
      </w:tr>
      <w:tr w:rsidR="007D706A" w14:paraId="6EAC7C2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F15C946" w14:textId="77777777" w:rsidR="007D706A" w:rsidRDefault="007D706A" w:rsidP="00F70508">
            <w:pPr>
              <w:pStyle w:val="ParagraphStyle4"/>
              <w:rPr>
                <w:rStyle w:val="CharacterStyle4"/>
              </w:rPr>
            </w:pPr>
            <w:r>
              <w:rPr>
                <w:rStyle w:val="CharacterStyle4"/>
              </w:rPr>
              <w:t>Izvor financiranja 43</w:t>
            </w:r>
          </w:p>
        </w:tc>
        <w:tc>
          <w:tcPr>
            <w:tcW w:w="4995" w:type="dxa"/>
            <w:tcBorders>
              <w:bottom w:val="single" w:sz="6" w:space="0" w:color="000000"/>
              <w:right w:val="single" w:sz="6" w:space="0" w:color="000000"/>
            </w:tcBorders>
            <w:vAlign w:val="center"/>
          </w:tcPr>
          <w:p w14:paraId="41D75CA5" w14:textId="77777777" w:rsidR="007D706A" w:rsidRDefault="007D706A" w:rsidP="00F70508">
            <w:pPr>
              <w:pStyle w:val="ParagraphStyle5"/>
              <w:rPr>
                <w:rStyle w:val="CharacterStyle5"/>
              </w:rPr>
            </w:pPr>
            <w:r>
              <w:rPr>
                <w:rStyle w:val="CharacterStyle5"/>
              </w:rPr>
              <w:t>Ostali prihodi za posebne namjene</w:t>
            </w:r>
          </w:p>
        </w:tc>
        <w:tc>
          <w:tcPr>
            <w:tcW w:w="1395" w:type="dxa"/>
            <w:tcBorders>
              <w:bottom w:val="single" w:sz="6" w:space="0" w:color="000000"/>
              <w:right w:val="single" w:sz="6" w:space="0" w:color="000000"/>
            </w:tcBorders>
            <w:vAlign w:val="center"/>
          </w:tcPr>
          <w:p w14:paraId="7E09F417"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5EE60180"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38D4821D" w14:textId="77777777" w:rsidR="007D706A" w:rsidRDefault="007D706A" w:rsidP="00F70508">
            <w:pPr>
              <w:pStyle w:val="ParagraphStyle6"/>
              <w:rPr>
                <w:rStyle w:val="CharacterStyle6"/>
              </w:rPr>
            </w:pPr>
            <w:r>
              <w:rPr>
                <w:rStyle w:val="CharacterStyle6"/>
              </w:rPr>
              <w:t>74.000,00</w:t>
            </w:r>
          </w:p>
        </w:tc>
        <w:tc>
          <w:tcPr>
            <w:tcW w:w="1395" w:type="dxa"/>
            <w:tcBorders>
              <w:bottom w:val="single" w:sz="6" w:space="0" w:color="000000"/>
              <w:right w:val="single" w:sz="6" w:space="0" w:color="000000"/>
            </w:tcBorders>
            <w:vAlign w:val="center"/>
          </w:tcPr>
          <w:p w14:paraId="4B905A9E" w14:textId="77777777" w:rsidR="007D706A" w:rsidRDefault="007D706A" w:rsidP="00F70508">
            <w:pPr>
              <w:pStyle w:val="ParagraphStyle6"/>
              <w:rPr>
                <w:rStyle w:val="CharacterStyle6"/>
              </w:rPr>
            </w:pPr>
            <w:r>
              <w:rPr>
                <w:rStyle w:val="CharacterStyle6"/>
              </w:rPr>
              <w:t>410.000,00</w:t>
            </w:r>
          </w:p>
        </w:tc>
        <w:tc>
          <w:tcPr>
            <w:tcW w:w="1395" w:type="dxa"/>
            <w:tcBorders>
              <w:bottom w:val="single" w:sz="6" w:space="0" w:color="000000"/>
              <w:right w:val="single" w:sz="6" w:space="0" w:color="000000"/>
            </w:tcBorders>
            <w:vAlign w:val="center"/>
          </w:tcPr>
          <w:p w14:paraId="7BF12F32" w14:textId="77777777" w:rsidR="007D706A" w:rsidRDefault="007D706A" w:rsidP="00F70508">
            <w:pPr>
              <w:pStyle w:val="ParagraphStyle6"/>
              <w:rPr>
                <w:rStyle w:val="CharacterStyle6"/>
              </w:rPr>
            </w:pPr>
            <w:r>
              <w:rPr>
                <w:rStyle w:val="CharacterStyle6"/>
              </w:rPr>
              <w:t>30.000,00</w:t>
            </w:r>
          </w:p>
        </w:tc>
      </w:tr>
      <w:tr w:rsidR="007D706A" w14:paraId="1B4A37E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A24196B" w14:textId="77777777" w:rsidR="007D706A" w:rsidRDefault="007D706A" w:rsidP="00F70508">
            <w:pPr>
              <w:pStyle w:val="ParagraphStyle4"/>
              <w:rPr>
                <w:rStyle w:val="CharacterStyle4"/>
              </w:rPr>
            </w:pPr>
            <w:r>
              <w:rPr>
                <w:rStyle w:val="CharacterStyle4"/>
              </w:rPr>
              <w:t>Izvor financiranja 61</w:t>
            </w:r>
          </w:p>
        </w:tc>
        <w:tc>
          <w:tcPr>
            <w:tcW w:w="4995" w:type="dxa"/>
            <w:tcBorders>
              <w:bottom w:val="single" w:sz="6" w:space="0" w:color="000000"/>
              <w:right w:val="single" w:sz="6" w:space="0" w:color="000000"/>
            </w:tcBorders>
            <w:vAlign w:val="center"/>
          </w:tcPr>
          <w:p w14:paraId="05F006B3" w14:textId="77777777" w:rsidR="007D706A" w:rsidRDefault="007D706A" w:rsidP="00F70508">
            <w:pPr>
              <w:pStyle w:val="ParagraphStyle5"/>
              <w:rPr>
                <w:rStyle w:val="CharacterStyle5"/>
              </w:rPr>
            </w:pPr>
            <w:r>
              <w:rPr>
                <w:rStyle w:val="CharacterStyle5"/>
              </w:rPr>
              <w:t>Donacije</w:t>
            </w:r>
          </w:p>
        </w:tc>
        <w:tc>
          <w:tcPr>
            <w:tcW w:w="1395" w:type="dxa"/>
            <w:tcBorders>
              <w:bottom w:val="single" w:sz="6" w:space="0" w:color="000000"/>
              <w:right w:val="single" w:sz="6" w:space="0" w:color="000000"/>
            </w:tcBorders>
            <w:vAlign w:val="center"/>
          </w:tcPr>
          <w:p w14:paraId="643DB8EC"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2EEC22E8" w14:textId="77777777" w:rsidR="007D706A" w:rsidRDefault="007D706A" w:rsidP="00F70508">
            <w:pPr>
              <w:pStyle w:val="ParagraphStyle6"/>
              <w:rPr>
                <w:rStyle w:val="CharacterStyle6"/>
              </w:rPr>
            </w:pPr>
            <w:r>
              <w:rPr>
                <w:rStyle w:val="CharacterStyle6"/>
              </w:rPr>
              <w:t>15.875,00</w:t>
            </w:r>
          </w:p>
        </w:tc>
        <w:tc>
          <w:tcPr>
            <w:tcW w:w="1395" w:type="dxa"/>
            <w:tcBorders>
              <w:bottom w:val="single" w:sz="6" w:space="0" w:color="000000"/>
              <w:right w:val="single" w:sz="6" w:space="0" w:color="000000"/>
            </w:tcBorders>
            <w:vAlign w:val="center"/>
          </w:tcPr>
          <w:p w14:paraId="3403EAB6" w14:textId="77777777" w:rsidR="007D706A" w:rsidRDefault="007D706A" w:rsidP="00F70508">
            <w:pPr>
              <w:pStyle w:val="ParagraphStyle6"/>
              <w:rPr>
                <w:rStyle w:val="CharacterStyle6"/>
              </w:rPr>
            </w:pPr>
            <w:r>
              <w:rPr>
                <w:rStyle w:val="CharacterStyle6"/>
              </w:rPr>
              <w:t>37.500,00</w:t>
            </w:r>
          </w:p>
        </w:tc>
        <w:tc>
          <w:tcPr>
            <w:tcW w:w="1395" w:type="dxa"/>
            <w:tcBorders>
              <w:bottom w:val="single" w:sz="6" w:space="0" w:color="000000"/>
              <w:right w:val="single" w:sz="6" w:space="0" w:color="000000"/>
            </w:tcBorders>
            <w:vAlign w:val="center"/>
          </w:tcPr>
          <w:p w14:paraId="15500616" w14:textId="77777777" w:rsidR="007D706A" w:rsidRDefault="007D706A" w:rsidP="00F70508">
            <w:pPr>
              <w:pStyle w:val="ParagraphStyle6"/>
              <w:rPr>
                <w:rStyle w:val="CharacterStyle6"/>
              </w:rPr>
            </w:pPr>
            <w:r>
              <w:rPr>
                <w:rStyle w:val="CharacterStyle6"/>
              </w:rPr>
              <w:t>25.000,00</w:t>
            </w:r>
          </w:p>
        </w:tc>
        <w:tc>
          <w:tcPr>
            <w:tcW w:w="1395" w:type="dxa"/>
            <w:tcBorders>
              <w:bottom w:val="single" w:sz="6" w:space="0" w:color="000000"/>
              <w:right w:val="single" w:sz="6" w:space="0" w:color="000000"/>
            </w:tcBorders>
            <w:vAlign w:val="center"/>
          </w:tcPr>
          <w:p w14:paraId="3A0635C9" w14:textId="77777777" w:rsidR="007D706A" w:rsidRDefault="007D706A" w:rsidP="00F70508">
            <w:pPr>
              <w:pStyle w:val="ParagraphStyle6"/>
              <w:rPr>
                <w:rStyle w:val="CharacterStyle6"/>
              </w:rPr>
            </w:pPr>
            <w:r>
              <w:rPr>
                <w:rStyle w:val="CharacterStyle6"/>
              </w:rPr>
              <w:t>0,00</w:t>
            </w:r>
          </w:p>
        </w:tc>
      </w:tr>
      <w:tr w:rsidR="007D706A" w14:paraId="009A50E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94FC1F6" w14:textId="77777777" w:rsidR="007D706A" w:rsidRDefault="007D706A" w:rsidP="00F70508">
            <w:pPr>
              <w:pStyle w:val="ParagraphStyle4"/>
              <w:rPr>
                <w:rStyle w:val="CharacterStyle4"/>
              </w:rPr>
            </w:pPr>
            <w:r>
              <w:rPr>
                <w:rStyle w:val="CharacterStyle4"/>
              </w:rPr>
              <w:t>Izvor financiranja 82</w:t>
            </w:r>
          </w:p>
        </w:tc>
        <w:tc>
          <w:tcPr>
            <w:tcW w:w="4995" w:type="dxa"/>
            <w:tcBorders>
              <w:bottom w:val="single" w:sz="6" w:space="0" w:color="000000"/>
              <w:right w:val="single" w:sz="6" w:space="0" w:color="000000"/>
            </w:tcBorders>
            <w:vAlign w:val="center"/>
          </w:tcPr>
          <w:p w14:paraId="53D0A573" w14:textId="77777777" w:rsidR="007D706A" w:rsidRDefault="007D706A" w:rsidP="00F70508">
            <w:pPr>
              <w:pStyle w:val="ParagraphStyle5"/>
              <w:rPr>
                <w:rStyle w:val="CharacterStyle5"/>
              </w:rPr>
            </w:pPr>
            <w:r>
              <w:rPr>
                <w:rStyle w:val="CharacterStyle5"/>
              </w:rPr>
              <w:t>Preneseni viškovi iz ranijih godina</w:t>
            </w:r>
          </w:p>
        </w:tc>
        <w:tc>
          <w:tcPr>
            <w:tcW w:w="1395" w:type="dxa"/>
            <w:tcBorders>
              <w:bottom w:val="single" w:sz="6" w:space="0" w:color="000000"/>
              <w:right w:val="single" w:sz="6" w:space="0" w:color="000000"/>
            </w:tcBorders>
            <w:vAlign w:val="center"/>
          </w:tcPr>
          <w:p w14:paraId="066817A1"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625F2FB6" w14:textId="77777777" w:rsidR="007D706A" w:rsidRDefault="007D706A" w:rsidP="00F70508">
            <w:pPr>
              <w:pStyle w:val="ParagraphStyle6"/>
              <w:rPr>
                <w:rStyle w:val="CharacterStyle6"/>
              </w:rPr>
            </w:pPr>
            <w:r>
              <w:rPr>
                <w:rStyle w:val="CharacterStyle6"/>
              </w:rPr>
              <w:t>330.215,50</w:t>
            </w:r>
          </w:p>
        </w:tc>
        <w:tc>
          <w:tcPr>
            <w:tcW w:w="1395" w:type="dxa"/>
            <w:tcBorders>
              <w:bottom w:val="single" w:sz="6" w:space="0" w:color="000000"/>
              <w:right w:val="single" w:sz="6" w:space="0" w:color="000000"/>
            </w:tcBorders>
            <w:vAlign w:val="center"/>
          </w:tcPr>
          <w:p w14:paraId="78B64A1B"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0445EAB8"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094A4088" w14:textId="77777777" w:rsidR="007D706A" w:rsidRDefault="007D706A" w:rsidP="00F70508">
            <w:pPr>
              <w:pStyle w:val="ParagraphStyle6"/>
              <w:rPr>
                <w:rStyle w:val="CharacterStyle6"/>
              </w:rPr>
            </w:pPr>
            <w:r>
              <w:rPr>
                <w:rStyle w:val="CharacterStyle6"/>
              </w:rPr>
              <w:t>0,00</w:t>
            </w:r>
          </w:p>
        </w:tc>
      </w:tr>
      <w:tr w:rsidR="007D706A" w14:paraId="212D3FF6"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B1EDAA1" w14:textId="77777777" w:rsidR="007D706A" w:rsidRDefault="007D706A" w:rsidP="00F70508">
            <w:pPr>
              <w:pStyle w:val="ParagraphStyle4"/>
              <w:rPr>
                <w:rStyle w:val="CharacterStyle4"/>
              </w:rPr>
            </w:pPr>
            <w:r>
              <w:rPr>
                <w:rStyle w:val="CharacterStyle4"/>
              </w:rPr>
              <w:t>PROGRAM    1003</w:t>
            </w:r>
          </w:p>
        </w:tc>
        <w:tc>
          <w:tcPr>
            <w:tcW w:w="4995" w:type="dxa"/>
            <w:tcBorders>
              <w:bottom w:val="single" w:sz="6" w:space="0" w:color="000000"/>
              <w:right w:val="single" w:sz="6" w:space="0" w:color="000000"/>
            </w:tcBorders>
            <w:vAlign w:val="center"/>
          </w:tcPr>
          <w:p w14:paraId="29B6201E" w14:textId="77777777" w:rsidR="007D706A" w:rsidRDefault="007D706A" w:rsidP="00F70508">
            <w:pPr>
              <w:pStyle w:val="ParagraphStyle5"/>
              <w:rPr>
                <w:rStyle w:val="CharacterStyle5"/>
              </w:rPr>
            </w:pPr>
            <w:r>
              <w:rPr>
                <w:rStyle w:val="CharacterStyle5"/>
              </w:rPr>
              <w:t>MJERE I AKTIVNOSTI IZ DJELOKRUGA UPRAVNOG TIJELA</w:t>
            </w:r>
          </w:p>
        </w:tc>
        <w:tc>
          <w:tcPr>
            <w:tcW w:w="1395" w:type="dxa"/>
            <w:tcBorders>
              <w:bottom w:val="single" w:sz="6" w:space="0" w:color="000000"/>
              <w:right w:val="single" w:sz="6" w:space="0" w:color="000000"/>
            </w:tcBorders>
            <w:vAlign w:val="center"/>
          </w:tcPr>
          <w:p w14:paraId="4AFAE4BB"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1625BEDD" w14:textId="77777777" w:rsidR="007D706A" w:rsidRDefault="007D706A" w:rsidP="00F70508">
            <w:pPr>
              <w:pStyle w:val="ParagraphStyle6"/>
              <w:rPr>
                <w:rStyle w:val="CharacterStyle6"/>
              </w:rPr>
            </w:pPr>
            <w:r>
              <w:rPr>
                <w:rStyle w:val="CharacterStyle6"/>
              </w:rPr>
              <w:t>240.405,50</w:t>
            </w:r>
          </w:p>
        </w:tc>
        <w:tc>
          <w:tcPr>
            <w:tcW w:w="1395" w:type="dxa"/>
            <w:tcBorders>
              <w:bottom w:val="single" w:sz="6" w:space="0" w:color="000000"/>
              <w:right w:val="single" w:sz="6" w:space="0" w:color="000000"/>
            </w:tcBorders>
            <w:vAlign w:val="center"/>
          </w:tcPr>
          <w:p w14:paraId="4117F176" w14:textId="77777777" w:rsidR="007D706A" w:rsidRDefault="007D706A" w:rsidP="00F70508">
            <w:pPr>
              <w:pStyle w:val="ParagraphStyle6"/>
              <w:rPr>
                <w:rStyle w:val="CharacterStyle6"/>
              </w:rPr>
            </w:pPr>
            <w:r>
              <w:rPr>
                <w:rStyle w:val="CharacterStyle6"/>
              </w:rPr>
              <w:t>587.000,00</w:t>
            </w:r>
          </w:p>
        </w:tc>
        <w:tc>
          <w:tcPr>
            <w:tcW w:w="1395" w:type="dxa"/>
            <w:tcBorders>
              <w:bottom w:val="single" w:sz="6" w:space="0" w:color="000000"/>
              <w:right w:val="single" w:sz="6" w:space="0" w:color="000000"/>
            </w:tcBorders>
            <w:vAlign w:val="center"/>
          </w:tcPr>
          <w:p w14:paraId="4E971927" w14:textId="77777777" w:rsidR="007D706A" w:rsidRDefault="007D706A" w:rsidP="00F70508">
            <w:pPr>
              <w:pStyle w:val="ParagraphStyle6"/>
              <w:rPr>
                <w:rStyle w:val="CharacterStyle6"/>
              </w:rPr>
            </w:pPr>
            <w:r>
              <w:rPr>
                <w:rStyle w:val="CharacterStyle6"/>
              </w:rPr>
              <w:t>550.000,00</w:t>
            </w:r>
          </w:p>
        </w:tc>
        <w:tc>
          <w:tcPr>
            <w:tcW w:w="1395" w:type="dxa"/>
            <w:tcBorders>
              <w:bottom w:val="single" w:sz="6" w:space="0" w:color="000000"/>
              <w:right w:val="single" w:sz="6" w:space="0" w:color="000000"/>
            </w:tcBorders>
            <w:vAlign w:val="center"/>
          </w:tcPr>
          <w:p w14:paraId="15ACCC7B" w14:textId="77777777" w:rsidR="007D706A" w:rsidRDefault="007D706A" w:rsidP="00F70508">
            <w:pPr>
              <w:pStyle w:val="ParagraphStyle6"/>
              <w:rPr>
                <w:rStyle w:val="CharacterStyle6"/>
              </w:rPr>
            </w:pPr>
            <w:r>
              <w:rPr>
                <w:rStyle w:val="CharacterStyle6"/>
              </w:rPr>
              <w:t>80.000,00</w:t>
            </w:r>
          </w:p>
        </w:tc>
      </w:tr>
      <w:tr w:rsidR="007D706A" w14:paraId="53E7FF5B" w14:textId="77777777" w:rsidTr="00F70508">
        <w:trPr>
          <w:trHeight w:val="420"/>
        </w:trPr>
        <w:tc>
          <w:tcPr>
            <w:tcW w:w="2880" w:type="dxa"/>
            <w:tcBorders>
              <w:left w:val="single" w:sz="6" w:space="0" w:color="000000"/>
              <w:bottom w:val="single" w:sz="6" w:space="0" w:color="000000"/>
              <w:right w:val="single" w:sz="6" w:space="0" w:color="000000"/>
            </w:tcBorders>
            <w:vAlign w:val="center"/>
          </w:tcPr>
          <w:p w14:paraId="5FFB7976" w14:textId="77777777" w:rsidR="007D706A" w:rsidRDefault="007D706A" w:rsidP="00F70508">
            <w:pPr>
              <w:pStyle w:val="ParagraphStyle4"/>
              <w:rPr>
                <w:rStyle w:val="CharacterStyle4"/>
              </w:rPr>
            </w:pPr>
            <w:r>
              <w:rPr>
                <w:rStyle w:val="CharacterStyle4"/>
              </w:rPr>
              <w:t>Tekući projekt T100306</w:t>
            </w:r>
          </w:p>
        </w:tc>
        <w:tc>
          <w:tcPr>
            <w:tcW w:w="4995" w:type="dxa"/>
            <w:tcBorders>
              <w:bottom w:val="single" w:sz="6" w:space="0" w:color="000000"/>
              <w:right w:val="single" w:sz="6" w:space="0" w:color="000000"/>
            </w:tcBorders>
            <w:vAlign w:val="center"/>
          </w:tcPr>
          <w:p w14:paraId="4D6F8D71" w14:textId="77777777" w:rsidR="007D706A" w:rsidRDefault="007D706A" w:rsidP="00F70508">
            <w:pPr>
              <w:pStyle w:val="ParagraphStyle5"/>
              <w:rPr>
                <w:rStyle w:val="CharacterStyle5"/>
              </w:rPr>
            </w:pPr>
            <w:r>
              <w:rPr>
                <w:rStyle w:val="CharacterStyle5"/>
              </w:rPr>
              <w:t>ARHITEKTONSKO-URBANISTIČKI NATJEČAJ-KRAJOBRAZNO RJEŠENJE PR</w:t>
            </w:r>
          </w:p>
        </w:tc>
        <w:tc>
          <w:tcPr>
            <w:tcW w:w="1395" w:type="dxa"/>
            <w:tcBorders>
              <w:bottom w:val="single" w:sz="6" w:space="0" w:color="000000"/>
              <w:right w:val="single" w:sz="6" w:space="0" w:color="000000"/>
            </w:tcBorders>
            <w:vAlign w:val="center"/>
          </w:tcPr>
          <w:p w14:paraId="4B91FF44"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3AFABE07" w14:textId="77777777" w:rsidR="007D706A" w:rsidRDefault="007D706A" w:rsidP="00F70508">
            <w:pPr>
              <w:pStyle w:val="ParagraphStyle6"/>
              <w:rPr>
                <w:rStyle w:val="CharacterStyle6"/>
              </w:rPr>
            </w:pPr>
            <w:r>
              <w:rPr>
                <w:rStyle w:val="CharacterStyle6"/>
              </w:rPr>
              <w:t>126.500,00</w:t>
            </w:r>
          </w:p>
        </w:tc>
        <w:tc>
          <w:tcPr>
            <w:tcW w:w="1395" w:type="dxa"/>
            <w:tcBorders>
              <w:bottom w:val="single" w:sz="6" w:space="0" w:color="000000"/>
              <w:right w:val="single" w:sz="6" w:space="0" w:color="000000"/>
            </w:tcBorders>
            <w:vAlign w:val="center"/>
          </w:tcPr>
          <w:p w14:paraId="4058E2B7" w14:textId="77777777" w:rsidR="007D706A" w:rsidRDefault="007D706A" w:rsidP="00F70508">
            <w:pPr>
              <w:pStyle w:val="ParagraphStyle6"/>
              <w:rPr>
                <w:rStyle w:val="CharacterStyle6"/>
              </w:rPr>
            </w:pPr>
            <w:r>
              <w:rPr>
                <w:rStyle w:val="CharacterStyle6"/>
              </w:rPr>
              <w:t>480.000,00</w:t>
            </w:r>
          </w:p>
        </w:tc>
        <w:tc>
          <w:tcPr>
            <w:tcW w:w="1395" w:type="dxa"/>
            <w:tcBorders>
              <w:bottom w:val="single" w:sz="6" w:space="0" w:color="000000"/>
              <w:right w:val="single" w:sz="6" w:space="0" w:color="000000"/>
            </w:tcBorders>
            <w:vAlign w:val="center"/>
          </w:tcPr>
          <w:p w14:paraId="2CFE6DF5" w14:textId="77777777" w:rsidR="007D706A" w:rsidRDefault="007D706A" w:rsidP="00F70508">
            <w:pPr>
              <w:pStyle w:val="ParagraphStyle6"/>
              <w:rPr>
                <w:rStyle w:val="CharacterStyle6"/>
              </w:rPr>
            </w:pPr>
            <w:r>
              <w:rPr>
                <w:rStyle w:val="CharacterStyle6"/>
              </w:rPr>
              <w:t>400.000,00</w:t>
            </w:r>
          </w:p>
        </w:tc>
        <w:tc>
          <w:tcPr>
            <w:tcW w:w="1395" w:type="dxa"/>
            <w:tcBorders>
              <w:bottom w:val="single" w:sz="6" w:space="0" w:color="000000"/>
              <w:right w:val="single" w:sz="6" w:space="0" w:color="000000"/>
            </w:tcBorders>
            <w:vAlign w:val="center"/>
          </w:tcPr>
          <w:p w14:paraId="37CD23ED" w14:textId="77777777" w:rsidR="007D706A" w:rsidRDefault="007D706A" w:rsidP="00F70508">
            <w:pPr>
              <w:pStyle w:val="ParagraphStyle6"/>
              <w:rPr>
                <w:rStyle w:val="CharacterStyle6"/>
              </w:rPr>
            </w:pPr>
            <w:r>
              <w:rPr>
                <w:rStyle w:val="CharacterStyle6"/>
              </w:rPr>
              <w:t>30.000,00</w:t>
            </w:r>
          </w:p>
        </w:tc>
      </w:tr>
      <w:tr w:rsidR="007D706A" w14:paraId="7397E996"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63C321C"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4E5B0CCD"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1606E9E5"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247AC5E"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2AC5223" w14:textId="77777777" w:rsidR="007D706A" w:rsidRDefault="007D706A" w:rsidP="00F70508">
            <w:pPr>
              <w:pStyle w:val="ParagraphStyle9"/>
              <w:rPr>
                <w:rStyle w:val="CharacterStyle9"/>
              </w:rPr>
            </w:pPr>
            <w:r>
              <w:rPr>
                <w:rStyle w:val="CharacterStyle9"/>
              </w:rPr>
              <w:t>480.000,00</w:t>
            </w:r>
          </w:p>
        </w:tc>
        <w:tc>
          <w:tcPr>
            <w:tcW w:w="1395" w:type="dxa"/>
            <w:tcBorders>
              <w:bottom w:val="single" w:sz="6" w:space="0" w:color="000000"/>
              <w:right w:val="single" w:sz="6" w:space="0" w:color="000000"/>
            </w:tcBorders>
            <w:vAlign w:val="center"/>
          </w:tcPr>
          <w:p w14:paraId="17D7E734"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0CD6B3D" w14:textId="77777777" w:rsidR="007D706A" w:rsidRDefault="007D706A" w:rsidP="00F70508">
            <w:pPr>
              <w:pStyle w:val="ParagraphStyle9"/>
              <w:rPr>
                <w:rStyle w:val="CharacterStyle9"/>
              </w:rPr>
            </w:pPr>
            <w:r>
              <w:rPr>
                <w:rStyle w:val="CharacterStyle9"/>
              </w:rPr>
              <w:t>0,00</w:t>
            </w:r>
          </w:p>
        </w:tc>
      </w:tr>
      <w:tr w:rsidR="007D706A" w14:paraId="74F3924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5E904F2"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776F8FA7"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0DE6EE6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F54E59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6F9D66F" w14:textId="77777777" w:rsidR="007D706A" w:rsidRDefault="007D706A" w:rsidP="00F70508">
            <w:pPr>
              <w:pStyle w:val="ParagraphStyle12"/>
              <w:rPr>
                <w:rStyle w:val="CharacterStyle12"/>
              </w:rPr>
            </w:pPr>
            <w:r>
              <w:rPr>
                <w:rStyle w:val="CharacterStyle12"/>
              </w:rPr>
              <w:t>480.000,00</w:t>
            </w:r>
          </w:p>
        </w:tc>
        <w:tc>
          <w:tcPr>
            <w:tcW w:w="1395" w:type="dxa"/>
            <w:tcBorders>
              <w:bottom w:val="single" w:sz="6" w:space="0" w:color="000000"/>
              <w:right w:val="single" w:sz="6" w:space="0" w:color="000000"/>
            </w:tcBorders>
            <w:vAlign w:val="center"/>
          </w:tcPr>
          <w:p w14:paraId="59A439D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C4CAF73" w14:textId="77777777" w:rsidR="007D706A" w:rsidRDefault="007D706A" w:rsidP="00F70508">
            <w:pPr>
              <w:pStyle w:val="ParagraphStyle12"/>
              <w:rPr>
                <w:rStyle w:val="CharacterStyle12"/>
              </w:rPr>
            </w:pPr>
            <w:r>
              <w:rPr>
                <w:rStyle w:val="CharacterStyle12"/>
              </w:rPr>
              <w:t>0,00</w:t>
            </w:r>
          </w:p>
        </w:tc>
      </w:tr>
      <w:tr w:rsidR="007D706A" w14:paraId="7657A00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F3FED9C"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128B5384"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060F9A4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F9DD5B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51D352A" w14:textId="77777777" w:rsidR="007D706A" w:rsidRDefault="007D706A" w:rsidP="00F70508">
            <w:pPr>
              <w:pStyle w:val="ParagraphStyle12"/>
              <w:rPr>
                <w:rStyle w:val="CharacterStyle12"/>
              </w:rPr>
            </w:pPr>
            <w:r>
              <w:rPr>
                <w:rStyle w:val="CharacterStyle12"/>
              </w:rPr>
              <w:t>480.000,00</w:t>
            </w:r>
          </w:p>
        </w:tc>
        <w:tc>
          <w:tcPr>
            <w:tcW w:w="1395" w:type="dxa"/>
            <w:tcBorders>
              <w:bottom w:val="single" w:sz="6" w:space="0" w:color="000000"/>
              <w:right w:val="single" w:sz="6" w:space="0" w:color="000000"/>
            </w:tcBorders>
            <w:vAlign w:val="center"/>
          </w:tcPr>
          <w:p w14:paraId="4C8D31A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FB67948" w14:textId="77777777" w:rsidR="007D706A" w:rsidRDefault="007D706A" w:rsidP="00F70508">
            <w:pPr>
              <w:pStyle w:val="ParagraphStyle12"/>
              <w:rPr>
                <w:rStyle w:val="CharacterStyle12"/>
              </w:rPr>
            </w:pPr>
            <w:r>
              <w:rPr>
                <w:rStyle w:val="CharacterStyle12"/>
              </w:rPr>
              <w:t>0,00</w:t>
            </w:r>
          </w:p>
        </w:tc>
      </w:tr>
      <w:tr w:rsidR="007D706A" w14:paraId="47FC85C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AA37428" w14:textId="77777777" w:rsidR="007D706A" w:rsidRDefault="007D706A" w:rsidP="00F70508">
            <w:pPr>
              <w:pStyle w:val="ParagraphStyle7"/>
              <w:rPr>
                <w:rStyle w:val="CharacterStyle7"/>
              </w:rPr>
            </w:pPr>
            <w:r>
              <w:rPr>
                <w:rStyle w:val="CharacterStyle7"/>
              </w:rPr>
              <w:t>Izvor financiranja 43</w:t>
            </w:r>
          </w:p>
        </w:tc>
        <w:tc>
          <w:tcPr>
            <w:tcW w:w="4995" w:type="dxa"/>
            <w:tcBorders>
              <w:bottom w:val="single" w:sz="6" w:space="0" w:color="000000"/>
              <w:right w:val="single" w:sz="6" w:space="0" w:color="000000"/>
            </w:tcBorders>
            <w:vAlign w:val="center"/>
          </w:tcPr>
          <w:p w14:paraId="0BABD1D1" w14:textId="77777777" w:rsidR="007D706A" w:rsidRDefault="007D706A" w:rsidP="00F70508">
            <w:pPr>
              <w:pStyle w:val="ParagraphStyle8"/>
              <w:rPr>
                <w:rStyle w:val="CharacterStyle8"/>
              </w:rPr>
            </w:pPr>
            <w:r>
              <w:rPr>
                <w:rStyle w:val="CharacterStyle8"/>
              </w:rPr>
              <w:t>Ostali prihodi za posebne namjene</w:t>
            </w:r>
          </w:p>
        </w:tc>
        <w:tc>
          <w:tcPr>
            <w:tcW w:w="1395" w:type="dxa"/>
            <w:tcBorders>
              <w:bottom w:val="single" w:sz="6" w:space="0" w:color="000000"/>
              <w:right w:val="single" w:sz="6" w:space="0" w:color="000000"/>
            </w:tcBorders>
            <w:vAlign w:val="center"/>
          </w:tcPr>
          <w:p w14:paraId="599CE3A4"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2D5E490"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2AE6E4A"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8C9B7AB" w14:textId="77777777" w:rsidR="007D706A" w:rsidRDefault="007D706A" w:rsidP="00F70508">
            <w:pPr>
              <w:pStyle w:val="ParagraphStyle9"/>
              <w:rPr>
                <w:rStyle w:val="CharacterStyle9"/>
              </w:rPr>
            </w:pPr>
            <w:r>
              <w:rPr>
                <w:rStyle w:val="CharacterStyle9"/>
              </w:rPr>
              <w:t>400.000,00</w:t>
            </w:r>
          </w:p>
        </w:tc>
        <w:tc>
          <w:tcPr>
            <w:tcW w:w="1395" w:type="dxa"/>
            <w:tcBorders>
              <w:bottom w:val="single" w:sz="6" w:space="0" w:color="000000"/>
              <w:right w:val="single" w:sz="6" w:space="0" w:color="000000"/>
            </w:tcBorders>
            <w:vAlign w:val="center"/>
          </w:tcPr>
          <w:p w14:paraId="7D97EA18" w14:textId="77777777" w:rsidR="007D706A" w:rsidRDefault="007D706A" w:rsidP="00F70508">
            <w:pPr>
              <w:pStyle w:val="ParagraphStyle9"/>
              <w:rPr>
                <w:rStyle w:val="CharacterStyle9"/>
              </w:rPr>
            </w:pPr>
            <w:r>
              <w:rPr>
                <w:rStyle w:val="CharacterStyle9"/>
              </w:rPr>
              <w:t>30.000,00</w:t>
            </w:r>
          </w:p>
        </w:tc>
      </w:tr>
      <w:tr w:rsidR="007D706A" w14:paraId="3B65F3C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DA585F4"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1210A6E1"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23DEB2E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182CF8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25FD53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18480A5" w14:textId="77777777" w:rsidR="007D706A" w:rsidRDefault="007D706A" w:rsidP="00F70508">
            <w:pPr>
              <w:pStyle w:val="ParagraphStyle12"/>
              <w:rPr>
                <w:rStyle w:val="CharacterStyle12"/>
              </w:rPr>
            </w:pPr>
            <w:r>
              <w:rPr>
                <w:rStyle w:val="CharacterStyle12"/>
              </w:rPr>
              <w:t>400.000,00</w:t>
            </w:r>
          </w:p>
        </w:tc>
        <w:tc>
          <w:tcPr>
            <w:tcW w:w="1395" w:type="dxa"/>
            <w:tcBorders>
              <w:bottom w:val="single" w:sz="6" w:space="0" w:color="000000"/>
              <w:right w:val="single" w:sz="6" w:space="0" w:color="000000"/>
            </w:tcBorders>
            <w:vAlign w:val="center"/>
          </w:tcPr>
          <w:p w14:paraId="4347FA9B" w14:textId="77777777" w:rsidR="007D706A" w:rsidRDefault="007D706A" w:rsidP="00F70508">
            <w:pPr>
              <w:pStyle w:val="ParagraphStyle12"/>
              <w:rPr>
                <w:rStyle w:val="CharacterStyle12"/>
              </w:rPr>
            </w:pPr>
            <w:r>
              <w:rPr>
                <w:rStyle w:val="CharacterStyle12"/>
              </w:rPr>
              <w:t>30.000,00</w:t>
            </w:r>
          </w:p>
        </w:tc>
      </w:tr>
      <w:tr w:rsidR="007D706A" w14:paraId="35DE41B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14639F0"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0E2996D0"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6C8B6F3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C379AE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C3D7F3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E46DDF1" w14:textId="77777777" w:rsidR="007D706A" w:rsidRDefault="007D706A" w:rsidP="00F70508">
            <w:pPr>
              <w:pStyle w:val="ParagraphStyle12"/>
              <w:rPr>
                <w:rStyle w:val="CharacterStyle12"/>
              </w:rPr>
            </w:pPr>
            <w:r>
              <w:rPr>
                <w:rStyle w:val="CharacterStyle12"/>
              </w:rPr>
              <w:t>400.000,00</w:t>
            </w:r>
          </w:p>
        </w:tc>
        <w:tc>
          <w:tcPr>
            <w:tcW w:w="1395" w:type="dxa"/>
            <w:tcBorders>
              <w:bottom w:val="single" w:sz="6" w:space="0" w:color="000000"/>
              <w:right w:val="single" w:sz="6" w:space="0" w:color="000000"/>
            </w:tcBorders>
            <w:vAlign w:val="center"/>
          </w:tcPr>
          <w:p w14:paraId="1FBD226C" w14:textId="77777777" w:rsidR="007D706A" w:rsidRDefault="007D706A" w:rsidP="00F70508">
            <w:pPr>
              <w:pStyle w:val="ParagraphStyle12"/>
              <w:rPr>
                <w:rStyle w:val="CharacterStyle12"/>
              </w:rPr>
            </w:pPr>
            <w:r>
              <w:rPr>
                <w:rStyle w:val="CharacterStyle12"/>
              </w:rPr>
              <w:t>30.000,00</w:t>
            </w:r>
          </w:p>
        </w:tc>
      </w:tr>
      <w:tr w:rsidR="007D706A" w14:paraId="5E3747B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A8C7B20" w14:textId="77777777" w:rsidR="007D706A" w:rsidRDefault="007D706A" w:rsidP="00F70508">
            <w:pPr>
              <w:pStyle w:val="ParagraphStyle7"/>
              <w:rPr>
                <w:rStyle w:val="CharacterStyle7"/>
              </w:rPr>
            </w:pPr>
            <w:r>
              <w:rPr>
                <w:rStyle w:val="CharacterStyle7"/>
              </w:rPr>
              <w:t>Izvor financiranja 82</w:t>
            </w:r>
          </w:p>
        </w:tc>
        <w:tc>
          <w:tcPr>
            <w:tcW w:w="4995" w:type="dxa"/>
            <w:tcBorders>
              <w:bottom w:val="single" w:sz="6" w:space="0" w:color="000000"/>
              <w:right w:val="single" w:sz="6" w:space="0" w:color="000000"/>
            </w:tcBorders>
            <w:vAlign w:val="center"/>
          </w:tcPr>
          <w:p w14:paraId="6A5C4C72" w14:textId="77777777" w:rsidR="007D706A" w:rsidRDefault="007D706A" w:rsidP="00F70508">
            <w:pPr>
              <w:pStyle w:val="ParagraphStyle8"/>
              <w:rPr>
                <w:rStyle w:val="CharacterStyle8"/>
              </w:rPr>
            </w:pPr>
            <w:r>
              <w:rPr>
                <w:rStyle w:val="CharacterStyle8"/>
              </w:rPr>
              <w:t>Preneseni viškovi iz ranijih godina</w:t>
            </w:r>
          </w:p>
        </w:tc>
        <w:tc>
          <w:tcPr>
            <w:tcW w:w="1395" w:type="dxa"/>
            <w:tcBorders>
              <w:bottom w:val="single" w:sz="6" w:space="0" w:color="000000"/>
              <w:right w:val="single" w:sz="6" w:space="0" w:color="000000"/>
            </w:tcBorders>
            <w:vAlign w:val="center"/>
          </w:tcPr>
          <w:p w14:paraId="71ED98BD"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3097702" w14:textId="77777777" w:rsidR="007D706A" w:rsidRDefault="007D706A" w:rsidP="00F70508">
            <w:pPr>
              <w:pStyle w:val="ParagraphStyle9"/>
              <w:rPr>
                <w:rStyle w:val="CharacterStyle9"/>
              </w:rPr>
            </w:pPr>
            <w:r>
              <w:rPr>
                <w:rStyle w:val="CharacterStyle9"/>
              </w:rPr>
              <w:t>126.500,00</w:t>
            </w:r>
          </w:p>
        </w:tc>
        <w:tc>
          <w:tcPr>
            <w:tcW w:w="1395" w:type="dxa"/>
            <w:tcBorders>
              <w:bottom w:val="single" w:sz="6" w:space="0" w:color="000000"/>
              <w:right w:val="single" w:sz="6" w:space="0" w:color="000000"/>
            </w:tcBorders>
            <w:vAlign w:val="center"/>
          </w:tcPr>
          <w:p w14:paraId="5D275460"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8DCE01C"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C8E67F7" w14:textId="77777777" w:rsidR="007D706A" w:rsidRDefault="007D706A" w:rsidP="00F70508">
            <w:pPr>
              <w:pStyle w:val="ParagraphStyle9"/>
              <w:rPr>
                <w:rStyle w:val="CharacterStyle9"/>
              </w:rPr>
            </w:pPr>
            <w:r>
              <w:rPr>
                <w:rStyle w:val="CharacterStyle9"/>
              </w:rPr>
              <w:t>0,00</w:t>
            </w:r>
          </w:p>
        </w:tc>
      </w:tr>
      <w:tr w:rsidR="007D706A" w14:paraId="30D47836"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9C83C23"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61B7C4B5"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6202443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C000AD6" w14:textId="77777777" w:rsidR="007D706A" w:rsidRDefault="007D706A" w:rsidP="00F70508">
            <w:pPr>
              <w:pStyle w:val="ParagraphStyle12"/>
              <w:rPr>
                <w:rStyle w:val="CharacterStyle12"/>
              </w:rPr>
            </w:pPr>
            <w:r>
              <w:rPr>
                <w:rStyle w:val="CharacterStyle12"/>
              </w:rPr>
              <w:t>126.500,00</w:t>
            </w:r>
          </w:p>
        </w:tc>
        <w:tc>
          <w:tcPr>
            <w:tcW w:w="1395" w:type="dxa"/>
            <w:tcBorders>
              <w:bottom w:val="single" w:sz="6" w:space="0" w:color="000000"/>
              <w:right w:val="single" w:sz="6" w:space="0" w:color="000000"/>
            </w:tcBorders>
            <w:vAlign w:val="center"/>
          </w:tcPr>
          <w:p w14:paraId="78AC7C3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C257CC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531C162" w14:textId="77777777" w:rsidR="007D706A" w:rsidRDefault="007D706A" w:rsidP="00F70508">
            <w:pPr>
              <w:pStyle w:val="ParagraphStyle12"/>
              <w:rPr>
                <w:rStyle w:val="CharacterStyle12"/>
              </w:rPr>
            </w:pPr>
            <w:r>
              <w:rPr>
                <w:rStyle w:val="CharacterStyle12"/>
              </w:rPr>
              <w:t>0,00</w:t>
            </w:r>
          </w:p>
        </w:tc>
      </w:tr>
      <w:tr w:rsidR="007D706A" w14:paraId="6B3290A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2147E84"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4746720F"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749276B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1E09548" w14:textId="77777777" w:rsidR="007D706A" w:rsidRDefault="007D706A" w:rsidP="00F70508">
            <w:pPr>
              <w:pStyle w:val="ParagraphStyle12"/>
              <w:rPr>
                <w:rStyle w:val="CharacterStyle12"/>
              </w:rPr>
            </w:pPr>
            <w:r>
              <w:rPr>
                <w:rStyle w:val="CharacterStyle12"/>
              </w:rPr>
              <w:t>126.500,00</w:t>
            </w:r>
          </w:p>
        </w:tc>
        <w:tc>
          <w:tcPr>
            <w:tcW w:w="1395" w:type="dxa"/>
            <w:tcBorders>
              <w:bottom w:val="single" w:sz="6" w:space="0" w:color="000000"/>
              <w:right w:val="single" w:sz="6" w:space="0" w:color="000000"/>
            </w:tcBorders>
            <w:vAlign w:val="center"/>
          </w:tcPr>
          <w:p w14:paraId="0FCBC67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78AB9B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003C1E7" w14:textId="77777777" w:rsidR="007D706A" w:rsidRDefault="007D706A" w:rsidP="00F70508">
            <w:pPr>
              <w:pStyle w:val="ParagraphStyle12"/>
              <w:rPr>
                <w:rStyle w:val="CharacterStyle12"/>
              </w:rPr>
            </w:pPr>
            <w:r>
              <w:rPr>
                <w:rStyle w:val="CharacterStyle12"/>
              </w:rPr>
              <w:t>0,00</w:t>
            </w:r>
          </w:p>
        </w:tc>
      </w:tr>
      <w:tr w:rsidR="007D706A" w14:paraId="0B7D62A6"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DE38F44" w14:textId="77777777" w:rsidR="007D706A" w:rsidRDefault="007D706A" w:rsidP="00F70508">
            <w:pPr>
              <w:pStyle w:val="ParagraphStyle4"/>
              <w:rPr>
                <w:rStyle w:val="CharacterStyle4"/>
              </w:rPr>
            </w:pPr>
            <w:r>
              <w:rPr>
                <w:rStyle w:val="CharacterStyle4"/>
              </w:rPr>
              <w:t>Aktivnost A100303</w:t>
            </w:r>
          </w:p>
        </w:tc>
        <w:tc>
          <w:tcPr>
            <w:tcW w:w="4995" w:type="dxa"/>
            <w:tcBorders>
              <w:bottom w:val="single" w:sz="6" w:space="0" w:color="000000"/>
              <w:right w:val="single" w:sz="6" w:space="0" w:color="000000"/>
            </w:tcBorders>
            <w:vAlign w:val="center"/>
          </w:tcPr>
          <w:p w14:paraId="6DFBD348" w14:textId="77777777" w:rsidR="007D706A" w:rsidRDefault="007D706A" w:rsidP="00F70508">
            <w:pPr>
              <w:pStyle w:val="ParagraphStyle5"/>
              <w:rPr>
                <w:rStyle w:val="CharacterStyle5"/>
              </w:rPr>
            </w:pPr>
            <w:r>
              <w:rPr>
                <w:rStyle w:val="CharacterStyle5"/>
              </w:rPr>
              <w:t>PRIPREMA DOKUMENTACIJE</w:t>
            </w:r>
          </w:p>
        </w:tc>
        <w:tc>
          <w:tcPr>
            <w:tcW w:w="1395" w:type="dxa"/>
            <w:tcBorders>
              <w:bottom w:val="single" w:sz="6" w:space="0" w:color="000000"/>
              <w:right w:val="single" w:sz="6" w:space="0" w:color="000000"/>
            </w:tcBorders>
            <w:vAlign w:val="center"/>
          </w:tcPr>
          <w:p w14:paraId="70E5581B"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2971F3D4" w14:textId="77777777" w:rsidR="007D706A" w:rsidRDefault="007D706A" w:rsidP="00F70508">
            <w:pPr>
              <w:pStyle w:val="ParagraphStyle6"/>
              <w:rPr>
                <w:rStyle w:val="CharacterStyle6"/>
              </w:rPr>
            </w:pPr>
            <w:r>
              <w:rPr>
                <w:rStyle w:val="CharacterStyle6"/>
              </w:rPr>
              <w:t>21.305,50</w:t>
            </w:r>
          </w:p>
        </w:tc>
        <w:tc>
          <w:tcPr>
            <w:tcW w:w="1395" w:type="dxa"/>
            <w:tcBorders>
              <w:bottom w:val="single" w:sz="6" w:space="0" w:color="000000"/>
              <w:right w:val="single" w:sz="6" w:space="0" w:color="000000"/>
            </w:tcBorders>
            <w:vAlign w:val="center"/>
          </w:tcPr>
          <w:p w14:paraId="13A3D4C6" w14:textId="77777777" w:rsidR="007D706A" w:rsidRDefault="007D706A" w:rsidP="00F70508">
            <w:pPr>
              <w:pStyle w:val="ParagraphStyle6"/>
              <w:rPr>
                <w:rStyle w:val="CharacterStyle6"/>
              </w:rPr>
            </w:pPr>
            <w:r>
              <w:rPr>
                <w:rStyle w:val="CharacterStyle6"/>
              </w:rPr>
              <w:t>21.000,00</w:t>
            </w:r>
          </w:p>
        </w:tc>
        <w:tc>
          <w:tcPr>
            <w:tcW w:w="1395" w:type="dxa"/>
            <w:tcBorders>
              <w:bottom w:val="single" w:sz="6" w:space="0" w:color="000000"/>
              <w:right w:val="single" w:sz="6" w:space="0" w:color="000000"/>
            </w:tcBorders>
            <w:vAlign w:val="center"/>
          </w:tcPr>
          <w:p w14:paraId="0F2671B8"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50E565C0" w14:textId="77777777" w:rsidR="007D706A" w:rsidRDefault="007D706A" w:rsidP="00F70508">
            <w:pPr>
              <w:pStyle w:val="ParagraphStyle6"/>
              <w:rPr>
                <w:rStyle w:val="CharacterStyle6"/>
              </w:rPr>
            </w:pPr>
            <w:r>
              <w:rPr>
                <w:rStyle w:val="CharacterStyle6"/>
              </w:rPr>
              <w:t>0,00</w:t>
            </w:r>
          </w:p>
        </w:tc>
      </w:tr>
      <w:tr w:rsidR="007D706A" w14:paraId="20CD30A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43E435C"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43AAFE15"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11E2476B"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0DA9AE8" w14:textId="77777777" w:rsidR="007D706A" w:rsidRDefault="007D706A" w:rsidP="00F70508">
            <w:pPr>
              <w:pStyle w:val="ParagraphStyle9"/>
              <w:rPr>
                <w:rStyle w:val="CharacterStyle9"/>
              </w:rPr>
            </w:pPr>
            <w:r>
              <w:rPr>
                <w:rStyle w:val="CharacterStyle9"/>
              </w:rPr>
              <w:t>1.590,00</w:t>
            </w:r>
          </w:p>
        </w:tc>
        <w:tc>
          <w:tcPr>
            <w:tcW w:w="1395" w:type="dxa"/>
            <w:tcBorders>
              <w:bottom w:val="single" w:sz="6" w:space="0" w:color="000000"/>
              <w:right w:val="single" w:sz="6" w:space="0" w:color="000000"/>
            </w:tcBorders>
            <w:vAlign w:val="center"/>
          </w:tcPr>
          <w:p w14:paraId="4D757140" w14:textId="77777777" w:rsidR="007D706A" w:rsidRDefault="007D706A" w:rsidP="00F70508">
            <w:pPr>
              <w:pStyle w:val="ParagraphStyle9"/>
              <w:rPr>
                <w:rStyle w:val="CharacterStyle9"/>
              </w:rPr>
            </w:pPr>
            <w:r>
              <w:rPr>
                <w:rStyle w:val="CharacterStyle9"/>
              </w:rPr>
              <w:t>21.000,00</w:t>
            </w:r>
          </w:p>
        </w:tc>
        <w:tc>
          <w:tcPr>
            <w:tcW w:w="1395" w:type="dxa"/>
            <w:tcBorders>
              <w:bottom w:val="single" w:sz="6" w:space="0" w:color="000000"/>
              <w:right w:val="single" w:sz="6" w:space="0" w:color="000000"/>
            </w:tcBorders>
            <w:vAlign w:val="center"/>
          </w:tcPr>
          <w:p w14:paraId="2D867C38"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B582D43" w14:textId="77777777" w:rsidR="007D706A" w:rsidRDefault="007D706A" w:rsidP="00F70508">
            <w:pPr>
              <w:pStyle w:val="ParagraphStyle9"/>
              <w:rPr>
                <w:rStyle w:val="CharacterStyle9"/>
              </w:rPr>
            </w:pPr>
            <w:r>
              <w:rPr>
                <w:rStyle w:val="CharacterStyle9"/>
              </w:rPr>
              <w:t>0,00</w:t>
            </w:r>
          </w:p>
        </w:tc>
      </w:tr>
      <w:tr w:rsidR="007D706A" w14:paraId="3DEDABE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AD0D4FA" w14:textId="77777777" w:rsidR="007D706A" w:rsidRDefault="007D706A" w:rsidP="00F70508">
            <w:pPr>
              <w:pStyle w:val="ParagraphStyle10"/>
              <w:rPr>
                <w:rStyle w:val="CharacterStyle10"/>
              </w:rPr>
            </w:pPr>
            <w:r>
              <w:rPr>
                <w:rStyle w:val="CharacterStyle10"/>
              </w:rPr>
              <w:lastRenderedPageBreak/>
              <w:t>3</w:t>
            </w:r>
          </w:p>
        </w:tc>
        <w:tc>
          <w:tcPr>
            <w:tcW w:w="4995" w:type="dxa"/>
            <w:tcBorders>
              <w:bottom w:val="single" w:sz="6" w:space="0" w:color="000000"/>
              <w:right w:val="single" w:sz="6" w:space="0" w:color="000000"/>
            </w:tcBorders>
            <w:vAlign w:val="center"/>
          </w:tcPr>
          <w:p w14:paraId="38877840"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401D0BC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55A045F" w14:textId="77777777" w:rsidR="007D706A" w:rsidRDefault="007D706A" w:rsidP="00F70508">
            <w:pPr>
              <w:pStyle w:val="ParagraphStyle12"/>
              <w:rPr>
                <w:rStyle w:val="CharacterStyle12"/>
              </w:rPr>
            </w:pPr>
            <w:r>
              <w:rPr>
                <w:rStyle w:val="CharacterStyle12"/>
              </w:rPr>
              <w:t>1.590,00</w:t>
            </w:r>
          </w:p>
        </w:tc>
        <w:tc>
          <w:tcPr>
            <w:tcW w:w="1395" w:type="dxa"/>
            <w:tcBorders>
              <w:bottom w:val="single" w:sz="6" w:space="0" w:color="000000"/>
              <w:right w:val="single" w:sz="6" w:space="0" w:color="000000"/>
            </w:tcBorders>
            <w:vAlign w:val="center"/>
          </w:tcPr>
          <w:p w14:paraId="59668EFF" w14:textId="77777777" w:rsidR="007D706A" w:rsidRDefault="007D706A" w:rsidP="00F70508">
            <w:pPr>
              <w:pStyle w:val="ParagraphStyle12"/>
              <w:rPr>
                <w:rStyle w:val="CharacterStyle12"/>
              </w:rPr>
            </w:pPr>
            <w:r>
              <w:rPr>
                <w:rStyle w:val="CharacterStyle12"/>
              </w:rPr>
              <w:t>21.000,00</w:t>
            </w:r>
          </w:p>
        </w:tc>
        <w:tc>
          <w:tcPr>
            <w:tcW w:w="1395" w:type="dxa"/>
            <w:tcBorders>
              <w:bottom w:val="single" w:sz="6" w:space="0" w:color="000000"/>
              <w:right w:val="single" w:sz="6" w:space="0" w:color="000000"/>
            </w:tcBorders>
            <w:vAlign w:val="center"/>
          </w:tcPr>
          <w:p w14:paraId="4E88A85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BAF44C2" w14:textId="77777777" w:rsidR="007D706A" w:rsidRDefault="007D706A" w:rsidP="00F70508">
            <w:pPr>
              <w:pStyle w:val="ParagraphStyle12"/>
              <w:rPr>
                <w:rStyle w:val="CharacterStyle12"/>
              </w:rPr>
            </w:pPr>
            <w:r>
              <w:rPr>
                <w:rStyle w:val="CharacterStyle12"/>
              </w:rPr>
              <w:t>0,00</w:t>
            </w:r>
          </w:p>
        </w:tc>
      </w:tr>
      <w:tr w:rsidR="007D706A" w14:paraId="41486BE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1E9A133"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5ADA1644"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7B95086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F6FCE6E" w14:textId="77777777" w:rsidR="007D706A" w:rsidRDefault="007D706A" w:rsidP="00F70508">
            <w:pPr>
              <w:pStyle w:val="ParagraphStyle12"/>
              <w:rPr>
                <w:rStyle w:val="CharacterStyle12"/>
              </w:rPr>
            </w:pPr>
            <w:r>
              <w:rPr>
                <w:rStyle w:val="CharacterStyle12"/>
              </w:rPr>
              <w:t>1.590,00</w:t>
            </w:r>
          </w:p>
        </w:tc>
        <w:tc>
          <w:tcPr>
            <w:tcW w:w="1395" w:type="dxa"/>
            <w:tcBorders>
              <w:bottom w:val="single" w:sz="6" w:space="0" w:color="000000"/>
              <w:right w:val="single" w:sz="6" w:space="0" w:color="000000"/>
            </w:tcBorders>
            <w:vAlign w:val="center"/>
          </w:tcPr>
          <w:p w14:paraId="1F4F0D3B" w14:textId="77777777" w:rsidR="007D706A" w:rsidRDefault="007D706A" w:rsidP="00F70508">
            <w:pPr>
              <w:pStyle w:val="ParagraphStyle12"/>
              <w:rPr>
                <w:rStyle w:val="CharacterStyle12"/>
              </w:rPr>
            </w:pPr>
            <w:r>
              <w:rPr>
                <w:rStyle w:val="CharacterStyle12"/>
              </w:rPr>
              <w:t>21.000,00</w:t>
            </w:r>
          </w:p>
        </w:tc>
        <w:tc>
          <w:tcPr>
            <w:tcW w:w="1395" w:type="dxa"/>
            <w:tcBorders>
              <w:bottom w:val="single" w:sz="6" w:space="0" w:color="000000"/>
              <w:right w:val="single" w:sz="6" w:space="0" w:color="000000"/>
            </w:tcBorders>
            <w:vAlign w:val="center"/>
          </w:tcPr>
          <w:p w14:paraId="36BB5DE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D0E8671" w14:textId="77777777" w:rsidR="007D706A" w:rsidRDefault="007D706A" w:rsidP="00F70508">
            <w:pPr>
              <w:pStyle w:val="ParagraphStyle12"/>
              <w:rPr>
                <w:rStyle w:val="CharacterStyle12"/>
              </w:rPr>
            </w:pPr>
            <w:r>
              <w:rPr>
                <w:rStyle w:val="CharacterStyle12"/>
              </w:rPr>
              <w:t>0,00</w:t>
            </w:r>
          </w:p>
        </w:tc>
      </w:tr>
      <w:tr w:rsidR="007D706A" w14:paraId="4832333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25F4D84" w14:textId="77777777" w:rsidR="007D706A" w:rsidRDefault="007D706A" w:rsidP="00F70508">
            <w:pPr>
              <w:pStyle w:val="ParagraphStyle7"/>
              <w:rPr>
                <w:rStyle w:val="CharacterStyle7"/>
              </w:rPr>
            </w:pPr>
            <w:r>
              <w:rPr>
                <w:rStyle w:val="CharacterStyle7"/>
              </w:rPr>
              <w:t>Izvor financiranja 82</w:t>
            </w:r>
          </w:p>
        </w:tc>
        <w:tc>
          <w:tcPr>
            <w:tcW w:w="4995" w:type="dxa"/>
            <w:tcBorders>
              <w:bottom w:val="single" w:sz="6" w:space="0" w:color="000000"/>
              <w:right w:val="single" w:sz="6" w:space="0" w:color="000000"/>
            </w:tcBorders>
            <w:vAlign w:val="center"/>
          </w:tcPr>
          <w:p w14:paraId="6D2D6BF6" w14:textId="77777777" w:rsidR="007D706A" w:rsidRDefault="007D706A" w:rsidP="00F70508">
            <w:pPr>
              <w:pStyle w:val="ParagraphStyle8"/>
              <w:rPr>
                <w:rStyle w:val="CharacterStyle8"/>
              </w:rPr>
            </w:pPr>
            <w:r>
              <w:rPr>
                <w:rStyle w:val="CharacterStyle8"/>
              </w:rPr>
              <w:t>Preneseni viškovi iz ranijih godina</w:t>
            </w:r>
          </w:p>
        </w:tc>
        <w:tc>
          <w:tcPr>
            <w:tcW w:w="1395" w:type="dxa"/>
            <w:tcBorders>
              <w:bottom w:val="single" w:sz="6" w:space="0" w:color="000000"/>
              <w:right w:val="single" w:sz="6" w:space="0" w:color="000000"/>
            </w:tcBorders>
            <w:vAlign w:val="center"/>
          </w:tcPr>
          <w:p w14:paraId="0293A040"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4776FAB" w14:textId="77777777" w:rsidR="007D706A" w:rsidRDefault="007D706A" w:rsidP="00F70508">
            <w:pPr>
              <w:pStyle w:val="ParagraphStyle9"/>
              <w:rPr>
                <w:rStyle w:val="CharacterStyle9"/>
              </w:rPr>
            </w:pPr>
            <w:r>
              <w:rPr>
                <w:rStyle w:val="CharacterStyle9"/>
              </w:rPr>
              <w:t>19.715,50</w:t>
            </w:r>
          </w:p>
        </w:tc>
        <w:tc>
          <w:tcPr>
            <w:tcW w:w="1395" w:type="dxa"/>
            <w:tcBorders>
              <w:bottom w:val="single" w:sz="6" w:space="0" w:color="000000"/>
              <w:right w:val="single" w:sz="6" w:space="0" w:color="000000"/>
            </w:tcBorders>
            <w:vAlign w:val="center"/>
          </w:tcPr>
          <w:p w14:paraId="2503EAB6"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2500EC7"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453A6C8" w14:textId="77777777" w:rsidR="007D706A" w:rsidRDefault="007D706A" w:rsidP="00F70508">
            <w:pPr>
              <w:pStyle w:val="ParagraphStyle9"/>
              <w:rPr>
                <w:rStyle w:val="CharacterStyle9"/>
              </w:rPr>
            </w:pPr>
            <w:r>
              <w:rPr>
                <w:rStyle w:val="CharacterStyle9"/>
              </w:rPr>
              <w:t>0,00</w:t>
            </w:r>
          </w:p>
        </w:tc>
      </w:tr>
      <w:tr w:rsidR="007D706A" w14:paraId="47191DF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8E4198D"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71B51C1F"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4C04D2A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01291E8" w14:textId="77777777" w:rsidR="007D706A" w:rsidRDefault="007D706A" w:rsidP="00F70508">
            <w:pPr>
              <w:pStyle w:val="ParagraphStyle12"/>
              <w:rPr>
                <w:rStyle w:val="CharacterStyle12"/>
              </w:rPr>
            </w:pPr>
            <w:r>
              <w:rPr>
                <w:rStyle w:val="CharacterStyle12"/>
              </w:rPr>
              <w:t>19.715,50</w:t>
            </w:r>
          </w:p>
        </w:tc>
        <w:tc>
          <w:tcPr>
            <w:tcW w:w="1395" w:type="dxa"/>
            <w:tcBorders>
              <w:bottom w:val="single" w:sz="6" w:space="0" w:color="000000"/>
              <w:right w:val="single" w:sz="6" w:space="0" w:color="000000"/>
            </w:tcBorders>
            <w:vAlign w:val="center"/>
          </w:tcPr>
          <w:p w14:paraId="13745C6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20AB83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049B7B3" w14:textId="77777777" w:rsidR="007D706A" w:rsidRDefault="007D706A" w:rsidP="00F70508">
            <w:pPr>
              <w:pStyle w:val="ParagraphStyle12"/>
              <w:rPr>
                <w:rStyle w:val="CharacterStyle12"/>
              </w:rPr>
            </w:pPr>
            <w:r>
              <w:rPr>
                <w:rStyle w:val="CharacterStyle12"/>
              </w:rPr>
              <w:t>0,00</w:t>
            </w:r>
          </w:p>
        </w:tc>
      </w:tr>
      <w:tr w:rsidR="007D706A" w14:paraId="1013F9E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99FD265"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7357269C"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7171182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AB9203C" w14:textId="77777777" w:rsidR="007D706A" w:rsidRDefault="007D706A" w:rsidP="00F70508">
            <w:pPr>
              <w:pStyle w:val="ParagraphStyle12"/>
              <w:rPr>
                <w:rStyle w:val="CharacterStyle12"/>
              </w:rPr>
            </w:pPr>
            <w:r>
              <w:rPr>
                <w:rStyle w:val="CharacterStyle12"/>
              </w:rPr>
              <w:t>19.715,50</w:t>
            </w:r>
          </w:p>
        </w:tc>
        <w:tc>
          <w:tcPr>
            <w:tcW w:w="1395" w:type="dxa"/>
            <w:tcBorders>
              <w:bottom w:val="single" w:sz="6" w:space="0" w:color="000000"/>
              <w:right w:val="single" w:sz="6" w:space="0" w:color="000000"/>
            </w:tcBorders>
            <w:vAlign w:val="center"/>
          </w:tcPr>
          <w:p w14:paraId="4B1665F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552186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97F34A9" w14:textId="77777777" w:rsidR="007D706A" w:rsidRDefault="007D706A" w:rsidP="00F70508">
            <w:pPr>
              <w:pStyle w:val="ParagraphStyle12"/>
              <w:rPr>
                <w:rStyle w:val="CharacterStyle12"/>
              </w:rPr>
            </w:pPr>
            <w:r>
              <w:rPr>
                <w:rStyle w:val="CharacterStyle12"/>
              </w:rPr>
              <w:t>0,00</w:t>
            </w:r>
          </w:p>
        </w:tc>
      </w:tr>
      <w:tr w:rsidR="007D706A" w14:paraId="223ACFC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96804B0" w14:textId="77777777" w:rsidR="007D706A" w:rsidRDefault="007D706A" w:rsidP="00F70508">
            <w:pPr>
              <w:pStyle w:val="ParagraphStyle4"/>
              <w:rPr>
                <w:rStyle w:val="CharacterStyle4"/>
              </w:rPr>
            </w:pPr>
            <w:r>
              <w:rPr>
                <w:rStyle w:val="CharacterStyle4"/>
              </w:rPr>
              <w:t>Aktivnost A100304</w:t>
            </w:r>
          </w:p>
        </w:tc>
        <w:tc>
          <w:tcPr>
            <w:tcW w:w="4995" w:type="dxa"/>
            <w:tcBorders>
              <w:bottom w:val="single" w:sz="6" w:space="0" w:color="000000"/>
              <w:right w:val="single" w:sz="6" w:space="0" w:color="000000"/>
            </w:tcBorders>
            <w:vAlign w:val="center"/>
          </w:tcPr>
          <w:p w14:paraId="5688BCFC" w14:textId="77777777" w:rsidR="007D706A" w:rsidRDefault="007D706A" w:rsidP="00F70508">
            <w:pPr>
              <w:pStyle w:val="ParagraphStyle5"/>
              <w:rPr>
                <w:rStyle w:val="CharacterStyle5"/>
              </w:rPr>
            </w:pPr>
            <w:r>
              <w:rPr>
                <w:rStyle w:val="CharacterStyle5"/>
              </w:rPr>
              <w:t>KONZULTANTSKE USLUGE</w:t>
            </w:r>
          </w:p>
        </w:tc>
        <w:tc>
          <w:tcPr>
            <w:tcW w:w="1395" w:type="dxa"/>
            <w:tcBorders>
              <w:bottom w:val="single" w:sz="6" w:space="0" w:color="000000"/>
              <w:right w:val="single" w:sz="6" w:space="0" w:color="000000"/>
            </w:tcBorders>
            <w:vAlign w:val="center"/>
          </w:tcPr>
          <w:p w14:paraId="56C702B6"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2BBFE0ED" w14:textId="77777777" w:rsidR="007D706A" w:rsidRDefault="007D706A" w:rsidP="00F70508">
            <w:pPr>
              <w:pStyle w:val="ParagraphStyle6"/>
              <w:rPr>
                <w:rStyle w:val="CharacterStyle6"/>
              </w:rPr>
            </w:pPr>
            <w:r>
              <w:rPr>
                <w:rStyle w:val="CharacterStyle6"/>
              </w:rPr>
              <w:t>27.600,00</w:t>
            </w:r>
          </w:p>
        </w:tc>
        <w:tc>
          <w:tcPr>
            <w:tcW w:w="1395" w:type="dxa"/>
            <w:tcBorders>
              <w:bottom w:val="single" w:sz="6" w:space="0" w:color="000000"/>
              <w:right w:val="single" w:sz="6" w:space="0" w:color="000000"/>
            </w:tcBorders>
            <w:vAlign w:val="center"/>
          </w:tcPr>
          <w:p w14:paraId="7B24B1A5" w14:textId="77777777" w:rsidR="007D706A" w:rsidRDefault="007D706A" w:rsidP="00F70508">
            <w:pPr>
              <w:pStyle w:val="ParagraphStyle6"/>
              <w:rPr>
                <w:rStyle w:val="CharacterStyle6"/>
              </w:rPr>
            </w:pPr>
            <w:r>
              <w:rPr>
                <w:rStyle w:val="CharacterStyle6"/>
              </w:rPr>
              <w:t>21.000,00</w:t>
            </w:r>
          </w:p>
        </w:tc>
        <w:tc>
          <w:tcPr>
            <w:tcW w:w="1395" w:type="dxa"/>
            <w:tcBorders>
              <w:bottom w:val="single" w:sz="6" w:space="0" w:color="000000"/>
              <w:right w:val="single" w:sz="6" w:space="0" w:color="000000"/>
            </w:tcBorders>
            <w:vAlign w:val="center"/>
          </w:tcPr>
          <w:p w14:paraId="49C00712"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66DC0864" w14:textId="77777777" w:rsidR="007D706A" w:rsidRDefault="007D706A" w:rsidP="00F70508">
            <w:pPr>
              <w:pStyle w:val="ParagraphStyle6"/>
              <w:rPr>
                <w:rStyle w:val="CharacterStyle6"/>
              </w:rPr>
            </w:pPr>
            <w:r>
              <w:rPr>
                <w:rStyle w:val="CharacterStyle6"/>
              </w:rPr>
              <w:t>0,00</w:t>
            </w:r>
          </w:p>
        </w:tc>
      </w:tr>
      <w:tr w:rsidR="007D706A" w14:paraId="34AA97F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541CAE7"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0811CFF2"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2E632A17"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D529085" w14:textId="77777777" w:rsidR="007D706A" w:rsidRDefault="007D706A" w:rsidP="00F70508">
            <w:pPr>
              <w:pStyle w:val="ParagraphStyle9"/>
              <w:rPr>
                <w:rStyle w:val="CharacterStyle9"/>
              </w:rPr>
            </w:pPr>
            <w:r>
              <w:rPr>
                <w:rStyle w:val="CharacterStyle9"/>
              </w:rPr>
              <w:t>12.600,00</w:t>
            </w:r>
          </w:p>
        </w:tc>
        <w:tc>
          <w:tcPr>
            <w:tcW w:w="1395" w:type="dxa"/>
            <w:tcBorders>
              <w:bottom w:val="single" w:sz="6" w:space="0" w:color="000000"/>
              <w:right w:val="single" w:sz="6" w:space="0" w:color="000000"/>
            </w:tcBorders>
            <w:vAlign w:val="center"/>
          </w:tcPr>
          <w:p w14:paraId="537F01D3" w14:textId="77777777" w:rsidR="007D706A" w:rsidRDefault="007D706A" w:rsidP="00F70508">
            <w:pPr>
              <w:pStyle w:val="ParagraphStyle9"/>
              <w:rPr>
                <w:rStyle w:val="CharacterStyle9"/>
              </w:rPr>
            </w:pPr>
            <w:r>
              <w:rPr>
                <w:rStyle w:val="CharacterStyle9"/>
              </w:rPr>
              <w:t>21.000,00</w:t>
            </w:r>
          </w:p>
        </w:tc>
        <w:tc>
          <w:tcPr>
            <w:tcW w:w="1395" w:type="dxa"/>
            <w:tcBorders>
              <w:bottom w:val="single" w:sz="6" w:space="0" w:color="000000"/>
              <w:right w:val="single" w:sz="6" w:space="0" w:color="000000"/>
            </w:tcBorders>
            <w:vAlign w:val="center"/>
          </w:tcPr>
          <w:p w14:paraId="4A75EEBE"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954C8DD" w14:textId="77777777" w:rsidR="007D706A" w:rsidRDefault="007D706A" w:rsidP="00F70508">
            <w:pPr>
              <w:pStyle w:val="ParagraphStyle9"/>
              <w:rPr>
                <w:rStyle w:val="CharacterStyle9"/>
              </w:rPr>
            </w:pPr>
            <w:r>
              <w:rPr>
                <w:rStyle w:val="CharacterStyle9"/>
              </w:rPr>
              <w:t>0,00</w:t>
            </w:r>
          </w:p>
        </w:tc>
      </w:tr>
      <w:tr w:rsidR="007D706A" w14:paraId="3006A096"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F946B66"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4BE8CFEB"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3D7D362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792359B" w14:textId="77777777" w:rsidR="007D706A" w:rsidRDefault="007D706A" w:rsidP="00F70508">
            <w:pPr>
              <w:pStyle w:val="ParagraphStyle12"/>
              <w:rPr>
                <w:rStyle w:val="CharacterStyle12"/>
              </w:rPr>
            </w:pPr>
            <w:r>
              <w:rPr>
                <w:rStyle w:val="CharacterStyle12"/>
              </w:rPr>
              <w:t>12.600,00</w:t>
            </w:r>
          </w:p>
        </w:tc>
        <w:tc>
          <w:tcPr>
            <w:tcW w:w="1395" w:type="dxa"/>
            <w:tcBorders>
              <w:bottom w:val="single" w:sz="6" w:space="0" w:color="000000"/>
              <w:right w:val="single" w:sz="6" w:space="0" w:color="000000"/>
            </w:tcBorders>
            <w:vAlign w:val="center"/>
          </w:tcPr>
          <w:p w14:paraId="0F1F35D5" w14:textId="77777777" w:rsidR="007D706A" w:rsidRDefault="007D706A" w:rsidP="00F70508">
            <w:pPr>
              <w:pStyle w:val="ParagraphStyle12"/>
              <w:rPr>
                <w:rStyle w:val="CharacterStyle12"/>
              </w:rPr>
            </w:pPr>
            <w:r>
              <w:rPr>
                <w:rStyle w:val="CharacterStyle12"/>
              </w:rPr>
              <w:t>21.000,00</w:t>
            </w:r>
          </w:p>
        </w:tc>
        <w:tc>
          <w:tcPr>
            <w:tcW w:w="1395" w:type="dxa"/>
            <w:tcBorders>
              <w:bottom w:val="single" w:sz="6" w:space="0" w:color="000000"/>
              <w:right w:val="single" w:sz="6" w:space="0" w:color="000000"/>
            </w:tcBorders>
            <w:vAlign w:val="center"/>
          </w:tcPr>
          <w:p w14:paraId="3B60DA8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DAC8F6A" w14:textId="77777777" w:rsidR="007D706A" w:rsidRDefault="007D706A" w:rsidP="00F70508">
            <w:pPr>
              <w:pStyle w:val="ParagraphStyle12"/>
              <w:rPr>
                <w:rStyle w:val="CharacterStyle12"/>
              </w:rPr>
            </w:pPr>
            <w:r>
              <w:rPr>
                <w:rStyle w:val="CharacterStyle12"/>
              </w:rPr>
              <w:t>0,00</w:t>
            </w:r>
          </w:p>
        </w:tc>
      </w:tr>
      <w:tr w:rsidR="007D706A" w14:paraId="43A64D3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94B747C"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2EC0724B"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27ED786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C3089AA" w14:textId="77777777" w:rsidR="007D706A" w:rsidRDefault="007D706A" w:rsidP="00F70508">
            <w:pPr>
              <w:pStyle w:val="ParagraphStyle12"/>
              <w:rPr>
                <w:rStyle w:val="CharacterStyle12"/>
              </w:rPr>
            </w:pPr>
            <w:r>
              <w:rPr>
                <w:rStyle w:val="CharacterStyle12"/>
              </w:rPr>
              <w:t>12.600,00</w:t>
            </w:r>
          </w:p>
        </w:tc>
        <w:tc>
          <w:tcPr>
            <w:tcW w:w="1395" w:type="dxa"/>
            <w:tcBorders>
              <w:bottom w:val="single" w:sz="6" w:space="0" w:color="000000"/>
              <w:right w:val="single" w:sz="6" w:space="0" w:color="000000"/>
            </w:tcBorders>
            <w:vAlign w:val="center"/>
          </w:tcPr>
          <w:p w14:paraId="4D1E29D4" w14:textId="77777777" w:rsidR="007D706A" w:rsidRDefault="007D706A" w:rsidP="00F70508">
            <w:pPr>
              <w:pStyle w:val="ParagraphStyle12"/>
              <w:rPr>
                <w:rStyle w:val="CharacterStyle12"/>
              </w:rPr>
            </w:pPr>
            <w:r>
              <w:rPr>
                <w:rStyle w:val="CharacterStyle12"/>
              </w:rPr>
              <w:t>21.000,00</w:t>
            </w:r>
          </w:p>
        </w:tc>
        <w:tc>
          <w:tcPr>
            <w:tcW w:w="1395" w:type="dxa"/>
            <w:tcBorders>
              <w:bottom w:val="single" w:sz="6" w:space="0" w:color="000000"/>
              <w:right w:val="single" w:sz="6" w:space="0" w:color="000000"/>
            </w:tcBorders>
            <w:vAlign w:val="center"/>
          </w:tcPr>
          <w:p w14:paraId="1937998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508F4DC" w14:textId="77777777" w:rsidR="007D706A" w:rsidRDefault="007D706A" w:rsidP="00F70508">
            <w:pPr>
              <w:pStyle w:val="ParagraphStyle12"/>
              <w:rPr>
                <w:rStyle w:val="CharacterStyle12"/>
              </w:rPr>
            </w:pPr>
            <w:r>
              <w:rPr>
                <w:rStyle w:val="CharacterStyle12"/>
              </w:rPr>
              <w:t>0,00</w:t>
            </w:r>
          </w:p>
        </w:tc>
      </w:tr>
      <w:tr w:rsidR="007D706A" w14:paraId="087DE316"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DED717A" w14:textId="77777777" w:rsidR="007D706A" w:rsidRDefault="007D706A" w:rsidP="00F70508">
            <w:pPr>
              <w:pStyle w:val="ParagraphStyle7"/>
              <w:rPr>
                <w:rStyle w:val="CharacterStyle7"/>
              </w:rPr>
            </w:pPr>
            <w:r>
              <w:rPr>
                <w:rStyle w:val="CharacterStyle7"/>
              </w:rPr>
              <w:t>Izvor financiranja 82</w:t>
            </w:r>
          </w:p>
        </w:tc>
        <w:tc>
          <w:tcPr>
            <w:tcW w:w="4995" w:type="dxa"/>
            <w:tcBorders>
              <w:bottom w:val="single" w:sz="6" w:space="0" w:color="000000"/>
              <w:right w:val="single" w:sz="6" w:space="0" w:color="000000"/>
            </w:tcBorders>
            <w:vAlign w:val="center"/>
          </w:tcPr>
          <w:p w14:paraId="79273321" w14:textId="77777777" w:rsidR="007D706A" w:rsidRDefault="007D706A" w:rsidP="00F70508">
            <w:pPr>
              <w:pStyle w:val="ParagraphStyle8"/>
              <w:rPr>
                <w:rStyle w:val="CharacterStyle8"/>
              </w:rPr>
            </w:pPr>
            <w:r>
              <w:rPr>
                <w:rStyle w:val="CharacterStyle8"/>
              </w:rPr>
              <w:t>Preneseni viškovi iz ranijih godina</w:t>
            </w:r>
          </w:p>
        </w:tc>
        <w:tc>
          <w:tcPr>
            <w:tcW w:w="1395" w:type="dxa"/>
            <w:tcBorders>
              <w:bottom w:val="single" w:sz="6" w:space="0" w:color="000000"/>
              <w:right w:val="single" w:sz="6" w:space="0" w:color="000000"/>
            </w:tcBorders>
            <w:vAlign w:val="center"/>
          </w:tcPr>
          <w:p w14:paraId="6FE162B6"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494C559" w14:textId="77777777" w:rsidR="007D706A" w:rsidRDefault="007D706A" w:rsidP="00F70508">
            <w:pPr>
              <w:pStyle w:val="ParagraphStyle9"/>
              <w:rPr>
                <w:rStyle w:val="CharacterStyle9"/>
              </w:rPr>
            </w:pPr>
            <w:r>
              <w:rPr>
                <w:rStyle w:val="CharacterStyle9"/>
              </w:rPr>
              <w:t>15.000,00</w:t>
            </w:r>
          </w:p>
        </w:tc>
        <w:tc>
          <w:tcPr>
            <w:tcW w:w="1395" w:type="dxa"/>
            <w:tcBorders>
              <w:bottom w:val="single" w:sz="6" w:space="0" w:color="000000"/>
              <w:right w:val="single" w:sz="6" w:space="0" w:color="000000"/>
            </w:tcBorders>
            <w:vAlign w:val="center"/>
          </w:tcPr>
          <w:p w14:paraId="4A63AA18"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C812E7C"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2E14E19" w14:textId="77777777" w:rsidR="007D706A" w:rsidRDefault="007D706A" w:rsidP="00F70508">
            <w:pPr>
              <w:pStyle w:val="ParagraphStyle9"/>
              <w:rPr>
                <w:rStyle w:val="CharacterStyle9"/>
              </w:rPr>
            </w:pPr>
            <w:r>
              <w:rPr>
                <w:rStyle w:val="CharacterStyle9"/>
              </w:rPr>
              <w:t>0,00</w:t>
            </w:r>
          </w:p>
        </w:tc>
      </w:tr>
      <w:tr w:rsidR="007D706A" w14:paraId="218B52C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07D79D7"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48B80572"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56B5C62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6806512" w14:textId="77777777" w:rsidR="007D706A" w:rsidRDefault="007D706A" w:rsidP="00F70508">
            <w:pPr>
              <w:pStyle w:val="ParagraphStyle12"/>
              <w:rPr>
                <w:rStyle w:val="CharacterStyle12"/>
              </w:rPr>
            </w:pPr>
            <w:r>
              <w:rPr>
                <w:rStyle w:val="CharacterStyle12"/>
              </w:rPr>
              <w:t>15.000,00</w:t>
            </w:r>
          </w:p>
        </w:tc>
        <w:tc>
          <w:tcPr>
            <w:tcW w:w="1395" w:type="dxa"/>
            <w:tcBorders>
              <w:bottom w:val="single" w:sz="6" w:space="0" w:color="000000"/>
              <w:right w:val="single" w:sz="6" w:space="0" w:color="000000"/>
            </w:tcBorders>
            <w:vAlign w:val="center"/>
          </w:tcPr>
          <w:p w14:paraId="56B22A4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C0C84E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752E0EA" w14:textId="77777777" w:rsidR="007D706A" w:rsidRDefault="007D706A" w:rsidP="00F70508">
            <w:pPr>
              <w:pStyle w:val="ParagraphStyle12"/>
              <w:rPr>
                <w:rStyle w:val="CharacterStyle12"/>
              </w:rPr>
            </w:pPr>
            <w:r>
              <w:rPr>
                <w:rStyle w:val="CharacterStyle12"/>
              </w:rPr>
              <w:t>0,00</w:t>
            </w:r>
          </w:p>
        </w:tc>
      </w:tr>
      <w:tr w:rsidR="007D706A" w14:paraId="2760C24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8F3EACB"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40835EAA"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0AD36F6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C65C5D7" w14:textId="77777777" w:rsidR="007D706A" w:rsidRDefault="007D706A" w:rsidP="00F70508">
            <w:pPr>
              <w:pStyle w:val="ParagraphStyle12"/>
              <w:rPr>
                <w:rStyle w:val="CharacterStyle12"/>
              </w:rPr>
            </w:pPr>
            <w:r>
              <w:rPr>
                <w:rStyle w:val="CharacterStyle12"/>
              </w:rPr>
              <w:t>15.000,00</w:t>
            </w:r>
          </w:p>
        </w:tc>
        <w:tc>
          <w:tcPr>
            <w:tcW w:w="1395" w:type="dxa"/>
            <w:tcBorders>
              <w:bottom w:val="single" w:sz="6" w:space="0" w:color="000000"/>
              <w:right w:val="single" w:sz="6" w:space="0" w:color="000000"/>
            </w:tcBorders>
            <w:vAlign w:val="center"/>
          </w:tcPr>
          <w:p w14:paraId="1763B9E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7DE881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F17994B" w14:textId="77777777" w:rsidR="007D706A" w:rsidRDefault="007D706A" w:rsidP="00F70508">
            <w:pPr>
              <w:pStyle w:val="ParagraphStyle12"/>
              <w:rPr>
                <w:rStyle w:val="CharacterStyle12"/>
              </w:rPr>
            </w:pPr>
            <w:r>
              <w:rPr>
                <w:rStyle w:val="CharacterStyle12"/>
              </w:rPr>
              <w:t>0,00</w:t>
            </w:r>
          </w:p>
        </w:tc>
      </w:tr>
      <w:tr w:rsidR="007D706A" w14:paraId="48A6163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6097362" w14:textId="77777777" w:rsidR="007D706A" w:rsidRDefault="007D706A" w:rsidP="00F70508">
            <w:pPr>
              <w:pStyle w:val="ParagraphStyle4"/>
              <w:rPr>
                <w:rStyle w:val="CharacterStyle4"/>
              </w:rPr>
            </w:pPr>
            <w:r>
              <w:rPr>
                <w:rStyle w:val="CharacterStyle4"/>
              </w:rPr>
              <w:t>Tekući projekt TT100307</w:t>
            </w:r>
          </w:p>
        </w:tc>
        <w:tc>
          <w:tcPr>
            <w:tcW w:w="4995" w:type="dxa"/>
            <w:tcBorders>
              <w:bottom w:val="single" w:sz="6" w:space="0" w:color="000000"/>
              <w:right w:val="single" w:sz="6" w:space="0" w:color="000000"/>
            </w:tcBorders>
            <w:vAlign w:val="center"/>
          </w:tcPr>
          <w:p w14:paraId="739C57C8" w14:textId="77777777" w:rsidR="007D706A" w:rsidRDefault="007D706A" w:rsidP="00F70508">
            <w:pPr>
              <w:pStyle w:val="ParagraphStyle5"/>
              <w:rPr>
                <w:rStyle w:val="CharacterStyle5"/>
              </w:rPr>
            </w:pPr>
            <w:r>
              <w:rPr>
                <w:rStyle w:val="CharacterStyle5"/>
              </w:rPr>
              <w:t>ARHITEKTONSKO-URBANISTIČKI NATJEČAJ VALDIBORA</w:t>
            </w:r>
          </w:p>
        </w:tc>
        <w:tc>
          <w:tcPr>
            <w:tcW w:w="1395" w:type="dxa"/>
            <w:tcBorders>
              <w:bottom w:val="single" w:sz="6" w:space="0" w:color="000000"/>
              <w:right w:val="single" w:sz="6" w:space="0" w:color="000000"/>
            </w:tcBorders>
            <w:vAlign w:val="center"/>
          </w:tcPr>
          <w:p w14:paraId="4FE0840C"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7336ABE1" w14:textId="77777777" w:rsidR="007D706A" w:rsidRDefault="007D706A" w:rsidP="00F70508">
            <w:pPr>
              <w:pStyle w:val="ParagraphStyle6"/>
              <w:rPr>
                <w:rStyle w:val="CharacterStyle6"/>
              </w:rPr>
            </w:pPr>
            <w:r>
              <w:rPr>
                <w:rStyle w:val="CharacterStyle6"/>
              </w:rPr>
              <w:t>65.000,00</w:t>
            </w:r>
          </w:p>
        </w:tc>
        <w:tc>
          <w:tcPr>
            <w:tcW w:w="1395" w:type="dxa"/>
            <w:tcBorders>
              <w:bottom w:val="single" w:sz="6" w:space="0" w:color="000000"/>
              <w:right w:val="single" w:sz="6" w:space="0" w:color="000000"/>
            </w:tcBorders>
            <w:vAlign w:val="center"/>
          </w:tcPr>
          <w:p w14:paraId="136CC9AE" w14:textId="77777777" w:rsidR="007D706A" w:rsidRDefault="007D706A" w:rsidP="00F70508">
            <w:pPr>
              <w:pStyle w:val="ParagraphStyle6"/>
              <w:rPr>
                <w:rStyle w:val="CharacterStyle6"/>
              </w:rPr>
            </w:pPr>
            <w:r>
              <w:rPr>
                <w:rStyle w:val="CharacterStyle6"/>
              </w:rPr>
              <w:t>65.000,00</w:t>
            </w:r>
          </w:p>
        </w:tc>
        <w:tc>
          <w:tcPr>
            <w:tcW w:w="1395" w:type="dxa"/>
            <w:tcBorders>
              <w:bottom w:val="single" w:sz="6" w:space="0" w:color="000000"/>
              <w:right w:val="single" w:sz="6" w:space="0" w:color="000000"/>
            </w:tcBorders>
            <w:vAlign w:val="center"/>
          </w:tcPr>
          <w:p w14:paraId="4F81E443" w14:textId="77777777" w:rsidR="007D706A" w:rsidRDefault="007D706A" w:rsidP="00F70508">
            <w:pPr>
              <w:pStyle w:val="ParagraphStyle6"/>
              <w:rPr>
                <w:rStyle w:val="CharacterStyle6"/>
              </w:rPr>
            </w:pPr>
            <w:r>
              <w:rPr>
                <w:rStyle w:val="CharacterStyle6"/>
              </w:rPr>
              <w:t>150.000,00</w:t>
            </w:r>
          </w:p>
        </w:tc>
        <w:tc>
          <w:tcPr>
            <w:tcW w:w="1395" w:type="dxa"/>
            <w:tcBorders>
              <w:bottom w:val="single" w:sz="6" w:space="0" w:color="000000"/>
              <w:right w:val="single" w:sz="6" w:space="0" w:color="000000"/>
            </w:tcBorders>
            <w:vAlign w:val="center"/>
          </w:tcPr>
          <w:p w14:paraId="451EC631" w14:textId="77777777" w:rsidR="007D706A" w:rsidRDefault="007D706A" w:rsidP="00F70508">
            <w:pPr>
              <w:pStyle w:val="ParagraphStyle6"/>
              <w:rPr>
                <w:rStyle w:val="CharacterStyle6"/>
              </w:rPr>
            </w:pPr>
            <w:r>
              <w:rPr>
                <w:rStyle w:val="CharacterStyle6"/>
              </w:rPr>
              <w:t>50.000,00</w:t>
            </w:r>
          </w:p>
        </w:tc>
      </w:tr>
      <w:tr w:rsidR="007D706A" w14:paraId="2781F00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6AE788C"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0E535A6B"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2EC08042"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A051F19"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186C1A0" w14:textId="77777777" w:rsidR="007D706A" w:rsidRDefault="007D706A" w:rsidP="00F70508">
            <w:pPr>
              <w:pStyle w:val="ParagraphStyle9"/>
              <w:rPr>
                <w:rStyle w:val="CharacterStyle9"/>
              </w:rPr>
            </w:pPr>
            <w:r>
              <w:rPr>
                <w:rStyle w:val="CharacterStyle9"/>
              </w:rPr>
              <w:t>65.000,00</w:t>
            </w:r>
          </w:p>
        </w:tc>
        <w:tc>
          <w:tcPr>
            <w:tcW w:w="1395" w:type="dxa"/>
            <w:tcBorders>
              <w:bottom w:val="single" w:sz="6" w:space="0" w:color="000000"/>
              <w:right w:val="single" w:sz="6" w:space="0" w:color="000000"/>
            </w:tcBorders>
            <w:vAlign w:val="center"/>
          </w:tcPr>
          <w:p w14:paraId="49BECBCD" w14:textId="77777777" w:rsidR="007D706A" w:rsidRDefault="007D706A" w:rsidP="00F70508">
            <w:pPr>
              <w:pStyle w:val="ParagraphStyle9"/>
              <w:rPr>
                <w:rStyle w:val="CharacterStyle9"/>
              </w:rPr>
            </w:pPr>
            <w:r>
              <w:rPr>
                <w:rStyle w:val="CharacterStyle9"/>
              </w:rPr>
              <w:t>150.000,00</w:t>
            </w:r>
          </w:p>
        </w:tc>
        <w:tc>
          <w:tcPr>
            <w:tcW w:w="1395" w:type="dxa"/>
            <w:tcBorders>
              <w:bottom w:val="single" w:sz="6" w:space="0" w:color="000000"/>
              <w:right w:val="single" w:sz="6" w:space="0" w:color="000000"/>
            </w:tcBorders>
            <w:vAlign w:val="center"/>
          </w:tcPr>
          <w:p w14:paraId="379D458C" w14:textId="77777777" w:rsidR="007D706A" w:rsidRDefault="007D706A" w:rsidP="00F70508">
            <w:pPr>
              <w:pStyle w:val="ParagraphStyle9"/>
              <w:rPr>
                <w:rStyle w:val="CharacterStyle9"/>
              </w:rPr>
            </w:pPr>
            <w:r>
              <w:rPr>
                <w:rStyle w:val="CharacterStyle9"/>
              </w:rPr>
              <w:t>50.000,00</w:t>
            </w:r>
          </w:p>
        </w:tc>
      </w:tr>
      <w:tr w:rsidR="007D706A" w14:paraId="0ADD01F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EE283DA"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12E92255"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14D6CC1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F5FF3C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F1720CE" w14:textId="77777777" w:rsidR="007D706A" w:rsidRDefault="007D706A" w:rsidP="00F70508">
            <w:pPr>
              <w:pStyle w:val="ParagraphStyle12"/>
              <w:rPr>
                <w:rStyle w:val="CharacterStyle12"/>
              </w:rPr>
            </w:pPr>
            <w:r>
              <w:rPr>
                <w:rStyle w:val="CharacterStyle12"/>
              </w:rPr>
              <w:t>65.000,00</w:t>
            </w:r>
          </w:p>
        </w:tc>
        <w:tc>
          <w:tcPr>
            <w:tcW w:w="1395" w:type="dxa"/>
            <w:tcBorders>
              <w:bottom w:val="single" w:sz="6" w:space="0" w:color="000000"/>
              <w:right w:val="single" w:sz="6" w:space="0" w:color="000000"/>
            </w:tcBorders>
            <w:vAlign w:val="center"/>
          </w:tcPr>
          <w:p w14:paraId="65527C0A" w14:textId="77777777" w:rsidR="007D706A" w:rsidRDefault="007D706A" w:rsidP="00F70508">
            <w:pPr>
              <w:pStyle w:val="ParagraphStyle12"/>
              <w:rPr>
                <w:rStyle w:val="CharacterStyle12"/>
              </w:rPr>
            </w:pPr>
            <w:r>
              <w:rPr>
                <w:rStyle w:val="CharacterStyle12"/>
              </w:rPr>
              <w:t>150.000,00</w:t>
            </w:r>
          </w:p>
        </w:tc>
        <w:tc>
          <w:tcPr>
            <w:tcW w:w="1395" w:type="dxa"/>
            <w:tcBorders>
              <w:bottom w:val="single" w:sz="6" w:space="0" w:color="000000"/>
              <w:right w:val="single" w:sz="6" w:space="0" w:color="000000"/>
            </w:tcBorders>
            <w:vAlign w:val="center"/>
          </w:tcPr>
          <w:p w14:paraId="286D798E" w14:textId="77777777" w:rsidR="007D706A" w:rsidRDefault="007D706A" w:rsidP="00F70508">
            <w:pPr>
              <w:pStyle w:val="ParagraphStyle12"/>
              <w:rPr>
                <w:rStyle w:val="CharacterStyle12"/>
              </w:rPr>
            </w:pPr>
            <w:r>
              <w:rPr>
                <w:rStyle w:val="CharacterStyle12"/>
              </w:rPr>
              <w:t>50.000,00</w:t>
            </w:r>
          </w:p>
        </w:tc>
      </w:tr>
      <w:tr w:rsidR="007D706A" w14:paraId="51D5C82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BA16893"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5A35B54E"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59794C5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D73CCF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E8A6A74" w14:textId="77777777" w:rsidR="007D706A" w:rsidRDefault="007D706A" w:rsidP="00F70508">
            <w:pPr>
              <w:pStyle w:val="ParagraphStyle12"/>
              <w:rPr>
                <w:rStyle w:val="CharacterStyle12"/>
              </w:rPr>
            </w:pPr>
            <w:r>
              <w:rPr>
                <w:rStyle w:val="CharacterStyle12"/>
              </w:rPr>
              <w:t>65.000,00</w:t>
            </w:r>
          </w:p>
        </w:tc>
        <w:tc>
          <w:tcPr>
            <w:tcW w:w="1395" w:type="dxa"/>
            <w:tcBorders>
              <w:bottom w:val="single" w:sz="6" w:space="0" w:color="000000"/>
              <w:right w:val="single" w:sz="6" w:space="0" w:color="000000"/>
            </w:tcBorders>
            <w:vAlign w:val="center"/>
          </w:tcPr>
          <w:p w14:paraId="1F22DEBA" w14:textId="77777777" w:rsidR="007D706A" w:rsidRDefault="007D706A" w:rsidP="00F70508">
            <w:pPr>
              <w:pStyle w:val="ParagraphStyle12"/>
              <w:rPr>
                <w:rStyle w:val="CharacterStyle12"/>
              </w:rPr>
            </w:pPr>
            <w:r>
              <w:rPr>
                <w:rStyle w:val="CharacterStyle12"/>
              </w:rPr>
              <w:t>150.000,00</w:t>
            </w:r>
          </w:p>
        </w:tc>
        <w:tc>
          <w:tcPr>
            <w:tcW w:w="1395" w:type="dxa"/>
            <w:tcBorders>
              <w:bottom w:val="single" w:sz="6" w:space="0" w:color="000000"/>
              <w:right w:val="single" w:sz="6" w:space="0" w:color="000000"/>
            </w:tcBorders>
            <w:vAlign w:val="center"/>
          </w:tcPr>
          <w:p w14:paraId="17C73F58" w14:textId="77777777" w:rsidR="007D706A" w:rsidRDefault="007D706A" w:rsidP="00F70508">
            <w:pPr>
              <w:pStyle w:val="ParagraphStyle12"/>
              <w:rPr>
                <w:rStyle w:val="CharacterStyle12"/>
              </w:rPr>
            </w:pPr>
            <w:r>
              <w:rPr>
                <w:rStyle w:val="CharacterStyle12"/>
              </w:rPr>
              <w:t>50.000,00</w:t>
            </w:r>
          </w:p>
        </w:tc>
      </w:tr>
      <w:tr w:rsidR="007D706A" w14:paraId="40E7677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16CF21D" w14:textId="77777777" w:rsidR="007D706A" w:rsidRDefault="007D706A" w:rsidP="00F70508">
            <w:pPr>
              <w:pStyle w:val="ParagraphStyle7"/>
              <w:rPr>
                <w:rStyle w:val="CharacterStyle7"/>
              </w:rPr>
            </w:pPr>
            <w:r>
              <w:rPr>
                <w:rStyle w:val="CharacterStyle7"/>
              </w:rPr>
              <w:t>Izvor financiranja 82</w:t>
            </w:r>
          </w:p>
        </w:tc>
        <w:tc>
          <w:tcPr>
            <w:tcW w:w="4995" w:type="dxa"/>
            <w:tcBorders>
              <w:bottom w:val="single" w:sz="6" w:space="0" w:color="000000"/>
              <w:right w:val="single" w:sz="6" w:space="0" w:color="000000"/>
            </w:tcBorders>
            <w:vAlign w:val="center"/>
          </w:tcPr>
          <w:p w14:paraId="1B9109DF" w14:textId="77777777" w:rsidR="007D706A" w:rsidRDefault="007D706A" w:rsidP="00F70508">
            <w:pPr>
              <w:pStyle w:val="ParagraphStyle8"/>
              <w:rPr>
                <w:rStyle w:val="CharacterStyle8"/>
              </w:rPr>
            </w:pPr>
            <w:r>
              <w:rPr>
                <w:rStyle w:val="CharacterStyle8"/>
              </w:rPr>
              <w:t>Preneseni viškovi iz ranijih godina</w:t>
            </w:r>
          </w:p>
        </w:tc>
        <w:tc>
          <w:tcPr>
            <w:tcW w:w="1395" w:type="dxa"/>
            <w:tcBorders>
              <w:bottom w:val="single" w:sz="6" w:space="0" w:color="000000"/>
              <w:right w:val="single" w:sz="6" w:space="0" w:color="000000"/>
            </w:tcBorders>
            <w:vAlign w:val="center"/>
          </w:tcPr>
          <w:p w14:paraId="2634607E"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2668941" w14:textId="77777777" w:rsidR="007D706A" w:rsidRDefault="007D706A" w:rsidP="00F70508">
            <w:pPr>
              <w:pStyle w:val="ParagraphStyle9"/>
              <w:rPr>
                <w:rStyle w:val="CharacterStyle9"/>
              </w:rPr>
            </w:pPr>
            <w:r>
              <w:rPr>
                <w:rStyle w:val="CharacterStyle9"/>
              </w:rPr>
              <w:t>65.000,00</w:t>
            </w:r>
          </w:p>
        </w:tc>
        <w:tc>
          <w:tcPr>
            <w:tcW w:w="1395" w:type="dxa"/>
            <w:tcBorders>
              <w:bottom w:val="single" w:sz="6" w:space="0" w:color="000000"/>
              <w:right w:val="single" w:sz="6" w:space="0" w:color="000000"/>
            </w:tcBorders>
            <w:vAlign w:val="center"/>
          </w:tcPr>
          <w:p w14:paraId="72AC6764"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B074CEE"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21F2BFD" w14:textId="77777777" w:rsidR="007D706A" w:rsidRDefault="007D706A" w:rsidP="00F70508">
            <w:pPr>
              <w:pStyle w:val="ParagraphStyle9"/>
              <w:rPr>
                <w:rStyle w:val="CharacterStyle9"/>
              </w:rPr>
            </w:pPr>
            <w:r>
              <w:rPr>
                <w:rStyle w:val="CharacterStyle9"/>
              </w:rPr>
              <w:t>0,00</w:t>
            </w:r>
          </w:p>
        </w:tc>
      </w:tr>
      <w:tr w:rsidR="007D706A" w14:paraId="0E7E6C7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8794947"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2FFCE4BD"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13DFE62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F8C2DB3" w14:textId="77777777" w:rsidR="007D706A" w:rsidRDefault="007D706A" w:rsidP="00F70508">
            <w:pPr>
              <w:pStyle w:val="ParagraphStyle12"/>
              <w:rPr>
                <w:rStyle w:val="CharacterStyle12"/>
              </w:rPr>
            </w:pPr>
            <w:r>
              <w:rPr>
                <w:rStyle w:val="CharacterStyle12"/>
              </w:rPr>
              <w:t>65.000,00</w:t>
            </w:r>
          </w:p>
        </w:tc>
        <w:tc>
          <w:tcPr>
            <w:tcW w:w="1395" w:type="dxa"/>
            <w:tcBorders>
              <w:bottom w:val="single" w:sz="6" w:space="0" w:color="000000"/>
              <w:right w:val="single" w:sz="6" w:space="0" w:color="000000"/>
            </w:tcBorders>
            <w:vAlign w:val="center"/>
          </w:tcPr>
          <w:p w14:paraId="0FC1D7D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A82F6B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D401550" w14:textId="77777777" w:rsidR="007D706A" w:rsidRDefault="007D706A" w:rsidP="00F70508">
            <w:pPr>
              <w:pStyle w:val="ParagraphStyle12"/>
              <w:rPr>
                <w:rStyle w:val="CharacterStyle12"/>
              </w:rPr>
            </w:pPr>
            <w:r>
              <w:rPr>
                <w:rStyle w:val="CharacterStyle12"/>
              </w:rPr>
              <w:t>0,00</w:t>
            </w:r>
          </w:p>
        </w:tc>
      </w:tr>
      <w:tr w:rsidR="007D706A" w14:paraId="47CF2786"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312DE61"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25E9F2FA"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1B1B1C1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A116BD4" w14:textId="77777777" w:rsidR="007D706A" w:rsidRDefault="007D706A" w:rsidP="00F70508">
            <w:pPr>
              <w:pStyle w:val="ParagraphStyle12"/>
              <w:rPr>
                <w:rStyle w:val="CharacterStyle12"/>
              </w:rPr>
            </w:pPr>
            <w:r>
              <w:rPr>
                <w:rStyle w:val="CharacterStyle12"/>
              </w:rPr>
              <w:t>65.000,00</w:t>
            </w:r>
          </w:p>
        </w:tc>
        <w:tc>
          <w:tcPr>
            <w:tcW w:w="1395" w:type="dxa"/>
            <w:tcBorders>
              <w:bottom w:val="single" w:sz="6" w:space="0" w:color="000000"/>
              <w:right w:val="single" w:sz="6" w:space="0" w:color="000000"/>
            </w:tcBorders>
            <w:vAlign w:val="center"/>
          </w:tcPr>
          <w:p w14:paraId="09629D2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734964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774D2FE" w14:textId="77777777" w:rsidR="007D706A" w:rsidRDefault="007D706A" w:rsidP="00F70508">
            <w:pPr>
              <w:pStyle w:val="ParagraphStyle12"/>
              <w:rPr>
                <w:rStyle w:val="CharacterStyle12"/>
              </w:rPr>
            </w:pPr>
            <w:r>
              <w:rPr>
                <w:rStyle w:val="CharacterStyle12"/>
              </w:rPr>
              <w:t>0,00</w:t>
            </w:r>
          </w:p>
        </w:tc>
      </w:tr>
      <w:tr w:rsidR="007D706A" w14:paraId="57D7779C" w14:textId="77777777" w:rsidTr="00F70508">
        <w:trPr>
          <w:trHeight w:val="405"/>
        </w:trPr>
        <w:tc>
          <w:tcPr>
            <w:tcW w:w="2880" w:type="dxa"/>
            <w:tcBorders>
              <w:left w:val="single" w:sz="6" w:space="0" w:color="000000"/>
              <w:bottom w:val="single" w:sz="6" w:space="0" w:color="000000"/>
              <w:right w:val="single" w:sz="6" w:space="0" w:color="000000"/>
            </w:tcBorders>
            <w:vAlign w:val="center"/>
          </w:tcPr>
          <w:p w14:paraId="712C23EE" w14:textId="77777777" w:rsidR="007D706A" w:rsidRDefault="007D706A" w:rsidP="00F70508">
            <w:pPr>
              <w:pStyle w:val="ParagraphStyle4"/>
              <w:rPr>
                <w:rStyle w:val="CharacterStyle4"/>
              </w:rPr>
            </w:pPr>
            <w:r>
              <w:rPr>
                <w:rStyle w:val="CharacterStyle4"/>
              </w:rPr>
              <w:t>PROGRAM    1010</w:t>
            </w:r>
          </w:p>
        </w:tc>
        <w:tc>
          <w:tcPr>
            <w:tcW w:w="4995" w:type="dxa"/>
            <w:tcBorders>
              <w:bottom w:val="single" w:sz="6" w:space="0" w:color="000000"/>
              <w:right w:val="single" w:sz="6" w:space="0" w:color="000000"/>
            </w:tcBorders>
            <w:vAlign w:val="center"/>
          </w:tcPr>
          <w:p w14:paraId="456B6303" w14:textId="77777777" w:rsidR="007D706A" w:rsidRDefault="007D706A" w:rsidP="00F70508">
            <w:pPr>
              <w:pStyle w:val="ParagraphStyle5"/>
              <w:rPr>
                <w:rStyle w:val="CharacterStyle5"/>
              </w:rPr>
            </w:pPr>
            <w:r>
              <w:rPr>
                <w:rStyle w:val="CharacterStyle5"/>
              </w:rPr>
              <w:t>IZRADA DOKUMENATA PROSTORNOG UREĐENJA - PROSTORNI PLANOVI</w:t>
            </w:r>
          </w:p>
        </w:tc>
        <w:tc>
          <w:tcPr>
            <w:tcW w:w="1395" w:type="dxa"/>
            <w:tcBorders>
              <w:bottom w:val="single" w:sz="6" w:space="0" w:color="000000"/>
              <w:right w:val="single" w:sz="6" w:space="0" w:color="000000"/>
            </w:tcBorders>
            <w:vAlign w:val="center"/>
          </w:tcPr>
          <w:p w14:paraId="43C2462D"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0F0B0F42" w14:textId="77777777" w:rsidR="007D706A" w:rsidRDefault="007D706A" w:rsidP="00F70508">
            <w:pPr>
              <w:pStyle w:val="ParagraphStyle6"/>
              <w:rPr>
                <w:rStyle w:val="CharacterStyle6"/>
              </w:rPr>
            </w:pPr>
            <w:r>
              <w:rPr>
                <w:rStyle w:val="CharacterStyle6"/>
              </w:rPr>
              <w:t>88.375,00</w:t>
            </w:r>
          </w:p>
        </w:tc>
        <w:tc>
          <w:tcPr>
            <w:tcW w:w="1395" w:type="dxa"/>
            <w:tcBorders>
              <w:bottom w:val="single" w:sz="6" w:space="0" w:color="000000"/>
              <w:right w:val="single" w:sz="6" w:space="0" w:color="000000"/>
            </w:tcBorders>
            <w:vAlign w:val="center"/>
          </w:tcPr>
          <w:p w14:paraId="36550176" w14:textId="77777777" w:rsidR="007D706A" w:rsidRDefault="007D706A" w:rsidP="00F70508">
            <w:pPr>
              <w:pStyle w:val="ParagraphStyle6"/>
              <w:rPr>
                <w:rStyle w:val="CharacterStyle6"/>
              </w:rPr>
            </w:pPr>
            <w:r>
              <w:rPr>
                <w:rStyle w:val="CharacterStyle6"/>
              </w:rPr>
              <w:t>141.000,00</w:t>
            </w:r>
          </w:p>
        </w:tc>
        <w:tc>
          <w:tcPr>
            <w:tcW w:w="1395" w:type="dxa"/>
            <w:tcBorders>
              <w:bottom w:val="single" w:sz="6" w:space="0" w:color="000000"/>
              <w:right w:val="single" w:sz="6" w:space="0" w:color="000000"/>
            </w:tcBorders>
            <w:vAlign w:val="center"/>
          </w:tcPr>
          <w:p w14:paraId="7625E554" w14:textId="77777777" w:rsidR="007D706A" w:rsidRDefault="007D706A" w:rsidP="00F70508">
            <w:pPr>
              <w:pStyle w:val="ParagraphStyle6"/>
              <w:rPr>
                <w:rStyle w:val="CharacterStyle6"/>
              </w:rPr>
            </w:pPr>
            <w:r>
              <w:rPr>
                <w:rStyle w:val="CharacterStyle6"/>
              </w:rPr>
              <w:t>58.000,00</w:t>
            </w:r>
          </w:p>
        </w:tc>
        <w:tc>
          <w:tcPr>
            <w:tcW w:w="1395" w:type="dxa"/>
            <w:tcBorders>
              <w:bottom w:val="single" w:sz="6" w:space="0" w:color="000000"/>
              <w:right w:val="single" w:sz="6" w:space="0" w:color="000000"/>
            </w:tcBorders>
            <w:vAlign w:val="center"/>
          </w:tcPr>
          <w:p w14:paraId="26DBC313" w14:textId="77777777" w:rsidR="007D706A" w:rsidRDefault="007D706A" w:rsidP="00F70508">
            <w:pPr>
              <w:pStyle w:val="ParagraphStyle6"/>
              <w:rPr>
                <w:rStyle w:val="CharacterStyle6"/>
              </w:rPr>
            </w:pPr>
            <w:r>
              <w:rPr>
                <w:rStyle w:val="CharacterStyle6"/>
              </w:rPr>
              <w:t>0,00</w:t>
            </w:r>
          </w:p>
        </w:tc>
      </w:tr>
      <w:tr w:rsidR="007D706A" w14:paraId="1C66970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0146EFF" w14:textId="77777777" w:rsidR="007D706A" w:rsidRDefault="007D706A" w:rsidP="00F70508">
            <w:pPr>
              <w:pStyle w:val="ParagraphStyle4"/>
              <w:rPr>
                <w:rStyle w:val="CharacterStyle4"/>
              </w:rPr>
            </w:pPr>
            <w:r>
              <w:rPr>
                <w:rStyle w:val="CharacterStyle4"/>
              </w:rPr>
              <w:t>Kapitalni projekt K101009</w:t>
            </w:r>
          </w:p>
        </w:tc>
        <w:tc>
          <w:tcPr>
            <w:tcW w:w="4995" w:type="dxa"/>
            <w:tcBorders>
              <w:bottom w:val="single" w:sz="6" w:space="0" w:color="000000"/>
              <w:right w:val="single" w:sz="6" w:space="0" w:color="000000"/>
            </w:tcBorders>
            <w:vAlign w:val="center"/>
          </w:tcPr>
          <w:p w14:paraId="2AF2DF84" w14:textId="77777777" w:rsidR="007D706A" w:rsidRDefault="007D706A" w:rsidP="00F70508">
            <w:pPr>
              <w:pStyle w:val="ParagraphStyle5"/>
              <w:rPr>
                <w:rStyle w:val="CharacterStyle5"/>
              </w:rPr>
            </w:pPr>
            <w:r>
              <w:rPr>
                <w:rStyle w:val="CharacterStyle5"/>
              </w:rPr>
              <w:t>UPU LASTE</w:t>
            </w:r>
          </w:p>
        </w:tc>
        <w:tc>
          <w:tcPr>
            <w:tcW w:w="1395" w:type="dxa"/>
            <w:tcBorders>
              <w:bottom w:val="single" w:sz="6" w:space="0" w:color="000000"/>
              <w:right w:val="single" w:sz="6" w:space="0" w:color="000000"/>
            </w:tcBorders>
            <w:vAlign w:val="center"/>
          </w:tcPr>
          <w:p w14:paraId="42758B3E"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326BAB28" w14:textId="77777777" w:rsidR="007D706A" w:rsidRDefault="007D706A" w:rsidP="00F70508">
            <w:pPr>
              <w:pStyle w:val="ParagraphStyle6"/>
              <w:rPr>
                <w:rStyle w:val="CharacterStyle6"/>
              </w:rPr>
            </w:pPr>
            <w:r>
              <w:rPr>
                <w:rStyle w:val="CharacterStyle6"/>
              </w:rPr>
              <w:t>15.875,00</w:t>
            </w:r>
          </w:p>
        </w:tc>
        <w:tc>
          <w:tcPr>
            <w:tcW w:w="1395" w:type="dxa"/>
            <w:tcBorders>
              <w:bottom w:val="single" w:sz="6" w:space="0" w:color="000000"/>
              <w:right w:val="single" w:sz="6" w:space="0" w:color="000000"/>
            </w:tcBorders>
            <w:vAlign w:val="center"/>
          </w:tcPr>
          <w:p w14:paraId="6791EB01"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63F17E85"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428FA981" w14:textId="77777777" w:rsidR="007D706A" w:rsidRDefault="007D706A" w:rsidP="00F70508">
            <w:pPr>
              <w:pStyle w:val="ParagraphStyle6"/>
              <w:rPr>
                <w:rStyle w:val="CharacterStyle6"/>
              </w:rPr>
            </w:pPr>
            <w:r>
              <w:rPr>
                <w:rStyle w:val="CharacterStyle6"/>
              </w:rPr>
              <w:t>0,00</w:t>
            </w:r>
          </w:p>
        </w:tc>
      </w:tr>
      <w:tr w:rsidR="007D706A" w14:paraId="2CB907B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6BBAC60" w14:textId="77777777" w:rsidR="007D706A" w:rsidRDefault="007D706A" w:rsidP="00F70508">
            <w:pPr>
              <w:pStyle w:val="ParagraphStyle7"/>
              <w:rPr>
                <w:rStyle w:val="CharacterStyle7"/>
              </w:rPr>
            </w:pPr>
            <w:r>
              <w:rPr>
                <w:rStyle w:val="CharacterStyle7"/>
              </w:rPr>
              <w:t>Izvor financiranja 61</w:t>
            </w:r>
          </w:p>
        </w:tc>
        <w:tc>
          <w:tcPr>
            <w:tcW w:w="4995" w:type="dxa"/>
            <w:tcBorders>
              <w:bottom w:val="single" w:sz="6" w:space="0" w:color="000000"/>
              <w:right w:val="single" w:sz="6" w:space="0" w:color="000000"/>
            </w:tcBorders>
            <w:vAlign w:val="center"/>
          </w:tcPr>
          <w:p w14:paraId="08D09C65" w14:textId="77777777" w:rsidR="007D706A" w:rsidRDefault="007D706A" w:rsidP="00F70508">
            <w:pPr>
              <w:pStyle w:val="ParagraphStyle8"/>
              <w:rPr>
                <w:rStyle w:val="CharacterStyle8"/>
              </w:rPr>
            </w:pPr>
            <w:r>
              <w:rPr>
                <w:rStyle w:val="CharacterStyle8"/>
              </w:rPr>
              <w:t>Donacije</w:t>
            </w:r>
          </w:p>
        </w:tc>
        <w:tc>
          <w:tcPr>
            <w:tcW w:w="1395" w:type="dxa"/>
            <w:tcBorders>
              <w:bottom w:val="single" w:sz="6" w:space="0" w:color="000000"/>
              <w:right w:val="single" w:sz="6" w:space="0" w:color="000000"/>
            </w:tcBorders>
            <w:vAlign w:val="center"/>
          </w:tcPr>
          <w:p w14:paraId="460C870A"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9A554E2" w14:textId="77777777" w:rsidR="007D706A" w:rsidRDefault="007D706A" w:rsidP="00F70508">
            <w:pPr>
              <w:pStyle w:val="ParagraphStyle9"/>
              <w:rPr>
                <w:rStyle w:val="CharacterStyle9"/>
              </w:rPr>
            </w:pPr>
            <w:r>
              <w:rPr>
                <w:rStyle w:val="CharacterStyle9"/>
              </w:rPr>
              <w:t>15.875,00</w:t>
            </w:r>
          </w:p>
        </w:tc>
        <w:tc>
          <w:tcPr>
            <w:tcW w:w="1395" w:type="dxa"/>
            <w:tcBorders>
              <w:bottom w:val="single" w:sz="6" w:space="0" w:color="000000"/>
              <w:right w:val="single" w:sz="6" w:space="0" w:color="000000"/>
            </w:tcBorders>
            <w:vAlign w:val="center"/>
          </w:tcPr>
          <w:p w14:paraId="06B66288"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DEEBB9F"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AA08FC9" w14:textId="77777777" w:rsidR="007D706A" w:rsidRDefault="007D706A" w:rsidP="00F70508">
            <w:pPr>
              <w:pStyle w:val="ParagraphStyle9"/>
              <w:rPr>
                <w:rStyle w:val="CharacterStyle9"/>
              </w:rPr>
            </w:pPr>
            <w:r>
              <w:rPr>
                <w:rStyle w:val="CharacterStyle9"/>
              </w:rPr>
              <w:t>0,00</w:t>
            </w:r>
          </w:p>
        </w:tc>
      </w:tr>
      <w:tr w:rsidR="007D706A" w14:paraId="1FD58686"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16A787C"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7C9D07EE"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2F46425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56B5693" w14:textId="77777777" w:rsidR="007D706A" w:rsidRDefault="007D706A" w:rsidP="00F70508">
            <w:pPr>
              <w:pStyle w:val="ParagraphStyle12"/>
              <w:rPr>
                <w:rStyle w:val="CharacterStyle12"/>
              </w:rPr>
            </w:pPr>
            <w:r>
              <w:rPr>
                <w:rStyle w:val="CharacterStyle12"/>
              </w:rPr>
              <w:t>15.875,00</w:t>
            </w:r>
          </w:p>
        </w:tc>
        <w:tc>
          <w:tcPr>
            <w:tcW w:w="1395" w:type="dxa"/>
            <w:tcBorders>
              <w:bottom w:val="single" w:sz="6" w:space="0" w:color="000000"/>
              <w:right w:val="single" w:sz="6" w:space="0" w:color="000000"/>
            </w:tcBorders>
            <w:vAlign w:val="center"/>
          </w:tcPr>
          <w:p w14:paraId="71E518D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CF80A2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2ABB1EC" w14:textId="77777777" w:rsidR="007D706A" w:rsidRDefault="007D706A" w:rsidP="00F70508">
            <w:pPr>
              <w:pStyle w:val="ParagraphStyle12"/>
              <w:rPr>
                <w:rStyle w:val="CharacterStyle12"/>
              </w:rPr>
            </w:pPr>
            <w:r>
              <w:rPr>
                <w:rStyle w:val="CharacterStyle12"/>
              </w:rPr>
              <w:t>0,00</w:t>
            </w:r>
          </w:p>
        </w:tc>
      </w:tr>
      <w:tr w:rsidR="007D706A" w14:paraId="05FE123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D9689B6" w14:textId="77777777" w:rsidR="007D706A" w:rsidRDefault="007D706A" w:rsidP="00F70508">
            <w:pPr>
              <w:pStyle w:val="ParagraphStyle10"/>
              <w:rPr>
                <w:rStyle w:val="CharacterStyle10"/>
              </w:rPr>
            </w:pPr>
            <w:r>
              <w:rPr>
                <w:rStyle w:val="CharacterStyle10"/>
              </w:rPr>
              <w:t>42</w:t>
            </w:r>
          </w:p>
        </w:tc>
        <w:tc>
          <w:tcPr>
            <w:tcW w:w="4995" w:type="dxa"/>
            <w:tcBorders>
              <w:bottom w:val="single" w:sz="6" w:space="0" w:color="000000"/>
              <w:right w:val="single" w:sz="6" w:space="0" w:color="000000"/>
            </w:tcBorders>
            <w:vAlign w:val="center"/>
          </w:tcPr>
          <w:p w14:paraId="732DEC72"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43D4CFB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6328F74" w14:textId="77777777" w:rsidR="007D706A" w:rsidRDefault="007D706A" w:rsidP="00F70508">
            <w:pPr>
              <w:pStyle w:val="ParagraphStyle12"/>
              <w:rPr>
                <w:rStyle w:val="CharacterStyle12"/>
              </w:rPr>
            </w:pPr>
            <w:r>
              <w:rPr>
                <w:rStyle w:val="CharacterStyle12"/>
              </w:rPr>
              <w:t>15.875,00</w:t>
            </w:r>
          </w:p>
        </w:tc>
        <w:tc>
          <w:tcPr>
            <w:tcW w:w="1395" w:type="dxa"/>
            <w:tcBorders>
              <w:bottom w:val="single" w:sz="6" w:space="0" w:color="000000"/>
              <w:right w:val="single" w:sz="6" w:space="0" w:color="000000"/>
            </w:tcBorders>
            <w:vAlign w:val="center"/>
          </w:tcPr>
          <w:p w14:paraId="6CB6306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46BC26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50D9AF2" w14:textId="77777777" w:rsidR="007D706A" w:rsidRDefault="007D706A" w:rsidP="00F70508">
            <w:pPr>
              <w:pStyle w:val="ParagraphStyle12"/>
              <w:rPr>
                <w:rStyle w:val="CharacterStyle12"/>
              </w:rPr>
            </w:pPr>
            <w:r>
              <w:rPr>
                <w:rStyle w:val="CharacterStyle12"/>
              </w:rPr>
              <w:t>0,00</w:t>
            </w:r>
          </w:p>
        </w:tc>
      </w:tr>
      <w:tr w:rsidR="007D706A" w14:paraId="1DFCA9F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F0E0C84" w14:textId="77777777" w:rsidR="007D706A" w:rsidRDefault="007D706A" w:rsidP="00F70508">
            <w:pPr>
              <w:pStyle w:val="ParagraphStyle4"/>
              <w:rPr>
                <w:rStyle w:val="CharacterStyle4"/>
              </w:rPr>
            </w:pPr>
            <w:r>
              <w:rPr>
                <w:rStyle w:val="CharacterStyle4"/>
              </w:rPr>
              <w:t>Kapitalni projekt K101012</w:t>
            </w:r>
          </w:p>
        </w:tc>
        <w:tc>
          <w:tcPr>
            <w:tcW w:w="4995" w:type="dxa"/>
            <w:tcBorders>
              <w:bottom w:val="single" w:sz="6" w:space="0" w:color="000000"/>
              <w:right w:val="single" w:sz="6" w:space="0" w:color="000000"/>
            </w:tcBorders>
            <w:vAlign w:val="center"/>
          </w:tcPr>
          <w:p w14:paraId="59030ECD" w14:textId="77777777" w:rsidR="007D706A" w:rsidRDefault="007D706A" w:rsidP="00F70508">
            <w:pPr>
              <w:pStyle w:val="ParagraphStyle5"/>
              <w:rPr>
                <w:rStyle w:val="CharacterStyle5"/>
              </w:rPr>
            </w:pPr>
            <w:r>
              <w:rPr>
                <w:rStyle w:val="CharacterStyle5"/>
              </w:rPr>
              <w:t>UPU VALBRUNA ISTOK</w:t>
            </w:r>
          </w:p>
        </w:tc>
        <w:tc>
          <w:tcPr>
            <w:tcW w:w="1395" w:type="dxa"/>
            <w:tcBorders>
              <w:bottom w:val="single" w:sz="6" w:space="0" w:color="000000"/>
              <w:right w:val="single" w:sz="6" w:space="0" w:color="000000"/>
            </w:tcBorders>
            <w:vAlign w:val="center"/>
          </w:tcPr>
          <w:p w14:paraId="655BA935"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08775530" w14:textId="77777777" w:rsidR="007D706A" w:rsidRDefault="007D706A" w:rsidP="00F70508">
            <w:pPr>
              <w:pStyle w:val="ParagraphStyle6"/>
              <w:rPr>
                <w:rStyle w:val="CharacterStyle6"/>
              </w:rPr>
            </w:pPr>
            <w:r>
              <w:rPr>
                <w:rStyle w:val="CharacterStyle6"/>
              </w:rPr>
              <w:t>20.000,00</w:t>
            </w:r>
          </w:p>
        </w:tc>
        <w:tc>
          <w:tcPr>
            <w:tcW w:w="1395" w:type="dxa"/>
            <w:tcBorders>
              <w:bottom w:val="single" w:sz="6" w:space="0" w:color="000000"/>
              <w:right w:val="single" w:sz="6" w:space="0" w:color="000000"/>
            </w:tcBorders>
            <w:vAlign w:val="center"/>
          </w:tcPr>
          <w:p w14:paraId="650BBA5F" w14:textId="77777777" w:rsidR="007D706A" w:rsidRDefault="007D706A" w:rsidP="00F70508">
            <w:pPr>
              <w:pStyle w:val="ParagraphStyle6"/>
              <w:rPr>
                <w:rStyle w:val="CharacterStyle6"/>
              </w:rPr>
            </w:pPr>
            <w:r>
              <w:rPr>
                <w:rStyle w:val="CharacterStyle6"/>
              </w:rPr>
              <w:t>33.000,00</w:t>
            </w:r>
          </w:p>
        </w:tc>
        <w:tc>
          <w:tcPr>
            <w:tcW w:w="1395" w:type="dxa"/>
            <w:tcBorders>
              <w:bottom w:val="single" w:sz="6" w:space="0" w:color="000000"/>
              <w:right w:val="single" w:sz="6" w:space="0" w:color="000000"/>
            </w:tcBorders>
            <w:vAlign w:val="center"/>
          </w:tcPr>
          <w:p w14:paraId="0DF9C799" w14:textId="77777777" w:rsidR="007D706A" w:rsidRDefault="007D706A" w:rsidP="00F70508">
            <w:pPr>
              <w:pStyle w:val="ParagraphStyle6"/>
              <w:rPr>
                <w:rStyle w:val="CharacterStyle6"/>
              </w:rPr>
            </w:pPr>
            <w:r>
              <w:rPr>
                <w:rStyle w:val="CharacterStyle6"/>
              </w:rPr>
              <w:t>33.000,00</w:t>
            </w:r>
          </w:p>
        </w:tc>
        <w:tc>
          <w:tcPr>
            <w:tcW w:w="1395" w:type="dxa"/>
            <w:tcBorders>
              <w:bottom w:val="single" w:sz="6" w:space="0" w:color="000000"/>
              <w:right w:val="single" w:sz="6" w:space="0" w:color="000000"/>
            </w:tcBorders>
            <w:vAlign w:val="center"/>
          </w:tcPr>
          <w:p w14:paraId="426B0070" w14:textId="77777777" w:rsidR="007D706A" w:rsidRDefault="007D706A" w:rsidP="00F70508">
            <w:pPr>
              <w:pStyle w:val="ParagraphStyle6"/>
              <w:rPr>
                <w:rStyle w:val="CharacterStyle6"/>
              </w:rPr>
            </w:pPr>
            <w:r>
              <w:rPr>
                <w:rStyle w:val="CharacterStyle6"/>
              </w:rPr>
              <w:t>0,00</w:t>
            </w:r>
          </w:p>
        </w:tc>
      </w:tr>
      <w:tr w:rsidR="007D706A" w14:paraId="3C4D278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11079EA"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7021C70B"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5ADDE450"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D8CA50F"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7A4FBAD" w14:textId="77777777" w:rsidR="007D706A" w:rsidRDefault="007D706A" w:rsidP="00F70508">
            <w:pPr>
              <w:pStyle w:val="ParagraphStyle9"/>
              <w:rPr>
                <w:rStyle w:val="CharacterStyle9"/>
              </w:rPr>
            </w:pPr>
            <w:r>
              <w:rPr>
                <w:rStyle w:val="CharacterStyle9"/>
              </w:rPr>
              <w:t>33.000,00</w:t>
            </w:r>
          </w:p>
        </w:tc>
        <w:tc>
          <w:tcPr>
            <w:tcW w:w="1395" w:type="dxa"/>
            <w:tcBorders>
              <w:bottom w:val="single" w:sz="6" w:space="0" w:color="000000"/>
              <w:right w:val="single" w:sz="6" w:space="0" w:color="000000"/>
            </w:tcBorders>
            <w:vAlign w:val="center"/>
          </w:tcPr>
          <w:p w14:paraId="3F5803C6" w14:textId="77777777" w:rsidR="007D706A" w:rsidRDefault="007D706A" w:rsidP="00F70508">
            <w:pPr>
              <w:pStyle w:val="ParagraphStyle9"/>
              <w:rPr>
                <w:rStyle w:val="CharacterStyle9"/>
              </w:rPr>
            </w:pPr>
            <w:r>
              <w:rPr>
                <w:rStyle w:val="CharacterStyle9"/>
              </w:rPr>
              <w:t>33.000,00</w:t>
            </w:r>
          </w:p>
        </w:tc>
        <w:tc>
          <w:tcPr>
            <w:tcW w:w="1395" w:type="dxa"/>
            <w:tcBorders>
              <w:bottom w:val="single" w:sz="6" w:space="0" w:color="000000"/>
              <w:right w:val="single" w:sz="6" w:space="0" w:color="000000"/>
            </w:tcBorders>
            <w:vAlign w:val="center"/>
          </w:tcPr>
          <w:p w14:paraId="2E959A4C" w14:textId="77777777" w:rsidR="007D706A" w:rsidRDefault="007D706A" w:rsidP="00F70508">
            <w:pPr>
              <w:pStyle w:val="ParagraphStyle9"/>
              <w:rPr>
                <w:rStyle w:val="CharacterStyle9"/>
              </w:rPr>
            </w:pPr>
            <w:r>
              <w:rPr>
                <w:rStyle w:val="CharacterStyle9"/>
              </w:rPr>
              <w:t>0,00</w:t>
            </w:r>
          </w:p>
        </w:tc>
      </w:tr>
      <w:tr w:rsidR="007D706A" w14:paraId="1F21607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6F16E28"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271BDCC2"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72F0CB6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AB9035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6C20C6D" w14:textId="77777777" w:rsidR="007D706A" w:rsidRDefault="007D706A" w:rsidP="00F70508">
            <w:pPr>
              <w:pStyle w:val="ParagraphStyle12"/>
              <w:rPr>
                <w:rStyle w:val="CharacterStyle12"/>
              </w:rPr>
            </w:pPr>
            <w:r>
              <w:rPr>
                <w:rStyle w:val="CharacterStyle12"/>
              </w:rPr>
              <w:t>33.000,00</w:t>
            </w:r>
          </w:p>
        </w:tc>
        <w:tc>
          <w:tcPr>
            <w:tcW w:w="1395" w:type="dxa"/>
            <w:tcBorders>
              <w:bottom w:val="single" w:sz="6" w:space="0" w:color="000000"/>
              <w:right w:val="single" w:sz="6" w:space="0" w:color="000000"/>
            </w:tcBorders>
            <w:vAlign w:val="center"/>
          </w:tcPr>
          <w:p w14:paraId="1D639A0D" w14:textId="77777777" w:rsidR="007D706A" w:rsidRDefault="007D706A" w:rsidP="00F70508">
            <w:pPr>
              <w:pStyle w:val="ParagraphStyle12"/>
              <w:rPr>
                <w:rStyle w:val="CharacterStyle12"/>
              </w:rPr>
            </w:pPr>
            <w:r>
              <w:rPr>
                <w:rStyle w:val="CharacterStyle12"/>
              </w:rPr>
              <w:t>33.000,00</w:t>
            </w:r>
          </w:p>
        </w:tc>
        <w:tc>
          <w:tcPr>
            <w:tcW w:w="1395" w:type="dxa"/>
            <w:tcBorders>
              <w:bottom w:val="single" w:sz="6" w:space="0" w:color="000000"/>
              <w:right w:val="single" w:sz="6" w:space="0" w:color="000000"/>
            </w:tcBorders>
            <w:vAlign w:val="center"/>
          </w:tcPr>
          <w:p w14:paraId="1119A025" w14:textId="77777777" w:rsidR="007D706A" w:rsidRDefault="007D706A" w:rsidP="00F70508">
            <w:pPr>
              <w:pStyle w:val="ParagraphStyle12"/>
              <w:rPr>
                <w:rStyle w:val="CharacterStyle12"/>
              </w:rPr>
            </w:pPr>
            <w:r>
              <w:rPr>
                <w:rStyle w:val="CharacterStyle12"/>
              </w:rPr>
              <w:t>0,00</w:t>
            </w:r>
          </w:p>
        </w:tc>
      </w:tr>
      <w:tr w:rsidR="007D706A" w14:paraId="1E6F980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E7F8C53" w14:textId="77777777" w:rsidR="007D706A" w:rsidRDefault="007D706A" w:rsidP="00F70508">
            <w:pPr>
              <w:pStyle w:val="ParagraphStyle10"/>
              <w:rPr>
                <w:rStyle w:val="CharacterStyle10"/>
              </w:rPr>
            </w:pPr>
            <w:r>
              <w:rPr>
                <w:rStyle w:val="CharacterStyle10"/>
              </w:rPr>
              <w:lastRenderedPageBreak/>
              <w:t>42</w:t>
            </w:r>
          </w:p>
        </w:tc>
        <w:tc>
          <w:tcPr>
            <w:tcW w:w="4995" w:type="dxa"/>
            <w:tcBorders>
              <w:bottom w:val="single" w:sz="6" w:space="0" w:color="000000"/>
              <w:right w:val="single" w:sz="6" w:space="0" w:color="000000"/>
            </w:tcBorders>
            <w:vAlign w:val="center"/>
          </w:tcPr>
          <w:p w14:paraId="5E374217"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08EF427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DD5044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012E599" w14:textId="77777777" w:rsidR="007D706A" w:rsidRDefault="007D706A" w:rsidP="00F70508">
            <w:pPr>
              <w:pStyle w:val="ParagraphStyle12"/>
              <w:rPr>
                <w:rStyle w:val="CharacterStyle12"/>
              </w:rPr>
            </w:pPr>
            <w:r>
              <w:rPr>
                <w:rStyle w:val="CharacterStyle12"/>
              </w:rPr>
              <w:t>33.000,00</w:t>
            </w:r>
          </w:p>
        </w:tc>
        <w:tc>
          <w:tcPr>
            <w:tcW w:w="1395" w:type="dxa"/>
            <w:tcBorders>
              <w:bottom w:val="single" w:sz="6" w:space="0" w:color="000000"/>
              <w:right w:val="single" w:sz="6" w:space="0" w:color="000000"/>
            </w:tcBorders>
            <w:vAlign w:val="center"/>
          </w:tcPr>
          <w:p w14:paraId="7FFF006F" w14:textId="77777777" w:rsidR="007D706A" w:rsidRDefault="007D706A" w:rsidP="00F70508">
            <w:pPr>
              <w:pStyle w:val="ParagraphStyle12"/>
              <w:rPr>
                <w:rStyle w:val="CharacterStyle12"/>
              </w:rPr>
            </w:pPr>
            <w:r>
              <w:rPr>
                <w:rStyle w:val="CharacterStyle12"/>
              </w:rPr>
              <w:t>33.000,00</w:t>
            </w:r>
          </w:p>
        </w:tc>
        <w:tc>
          <w:tcPr>
            <w:tcW w:w="1395" w:type="dxa"/>
            <w:tcBorders>
              <w:bottom w:val="single" w:sz="6" w:space="0" w:color="000000"/>
              <w:right w:val="single" w:sz="6" w:space="0" w:color="000000"/>
            </w:tcBorders>
            <w:vAlign w:val="center"/>
          </w:tcPr>
          <w:p w14:paraId="74C0AB11" w14:textId="77777777" w:rsidR="007D706A" w:rsidRDefault="007D706A" w:rsidP="00F70508">
            <w:pPr>
              <w:pStyle w:val="ParagraphStyle12"/>
              <w:rPr>
                <w:rStyle w:val="CharacterStyle12"/>
              </w:rPr>
            </w:pPr>
            <w:r>
              <w:rPr>
                <w:rStyle w:val="CharacterStyle12"/>
              </w:rPr>
              <w:t>0,00</w:t>
            </w:r>
          </w:p>
        </w:tc>
      </w:tr>
      <w:tr w:rsidR="007D706A" w14:paraId="4A4EE36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A28DB5A" w14:textId="77777777" w:rsidR="007D706A" w:rsidRDefault="007D706A" w:rsidP="00F70508">
            <w:pPr>
              <w:pStyle w:val="ParagraphStyle7"/>
              <w:rPr>
                <w:rStyle w:val="CharacterStyle7"/>
              </w:rPr>
            </w:pPr>
            <w:r>
              <w:rPr>
                <w:rStyle w:val="CharacterStyle7"/>
              </w:rPr>
              <w:t>Izvor financiranja 82</w:t>
            </w:r>
          </w:p>
        </w:tc>
        <w:tc>
          <w:tcPr>
            <w:tcW w:w="4995" w:type="dxa"/>
            <w:tcBorders>
              <w:bottom w:val="single" w:sz="6" w:space="0" w:color="000000"/>
              <w:right w:val="single" w:sz="6" w:space="0" w:color="000000"/>
            </w:tcBorders>
            <w:vAlign w:val="center"/>
          </w:tcPr>
          <w:p w14:paraId="4C73E11D" w14:textId="77777777" w:rsidR="007D706A" w:rsidRDefault="007D706A" w:rsidP="00F70508">
            <w:pPr>
              <w:pStyle w:val="ParagraphStyle8"/>
              <w:rPr>
                <w:rStyle w:val="CharacterStyle8"/>
              </w:rPr>
            </w:pPr>
            <w:r>
              <w:rPr>
                <w:rStyle w:val="CharacterStyle8"/>
              </w:rPr>
              <w:t>Preneseni viškovi iz ranijih godina</w:t>
            </w:r>
          </w:p>
        </w:tc>
        <w:tc>
          <w:tcPr>
            <w:tcW w:w="1395" w:type="dxa"/>
            <w:tcBorders>
              <w:bottom w:val="single" w:sz="6" w:space="0" w:color="000000"/>
              <w:right w:val="single" w:sz="6" w:space="0" w:color="000000"/>
            </w:tcBorders>
            <w:vAlign w:val="center"/>
          </w:tcPr>
          <w:p w14:paraId="148FF213"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14682E3" w14:textId="77777777" w:rsidR="007D706A" w:rsidRDefault="007D706A" w:rsidP="00F70508">
            <w:pPr>
              <w:pStyle w:val="ParagraphStyle9"/>
              <w:rPr>
                <w:rStyle w:val="CharacterStyle9"/>
              </w:rPr>
            </w:pPr>
            <w:r>
              <w:rPr>
                <w:rStyle w:val="CharacterStyle9"/>
              </w:rPr>
              <w:t>20.000,00</w:t>
            </w:r>
          </w:p>
        </w:tc>
        <w:tc>
          <w:tcPr>
            <w:tcW w:w="1395" w:type="dxa"/>
            <w:tcBorders>
              <w:bottom w:val="single" w:sz="6" w:space="0" w:color="000000"/>
              <w:right w:val="single" w:sz="6" w:space="0" w:color="000000"/>
            </w:tcBorders>
            <w:vAlign w:val="center"/>
          </w:tcPr>
          <w:p w14:paraId="39184350"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2DB2FD9"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DC7853A" w14:textId="77777777" w:rsidR="007D706A" w:rsidRDefault="007D706A" w:rsidP="00F70508">
            <w:pPr>
              <w:pStyle w:val="ParagraphStyle9"/>
              <w:rPr>
                <w:rStyle w:val="CharacterStyle9"/>
              </w:rPr>
            </w:pPr>
            <w:r>
              <w:rPr>
                <w:rStyle w:val="CharacterStyle9"/>
              </w:rPr>
              <w:t>0,00</w:t>
            </w:r>
          </w:p>
        </w:tc>
      </w:tr>
      <w:tr w:rsidR="007D706A" w14:paraId="627D4D9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F76BE62"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197298E2"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5C5FE36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5A4B7D1" w14:textId="77777777" w:rsidR="007D706A" w:rsidRDefault="007D706A" w:rsidP="00F70508">
            <w:pPr>
              <w:pStyle w:val="ParagraphStyle12"/>
              <w:rPr>
                <w:rStyle w:val="CharacterStyle12"/>
              </w:rPr>
            </w:pPr>
            <w:r>
              <w:rPr>
                <w:rStyle w:val="CharacterStyle12"/>
              </w:rPr>
              <w:t>20.000,00</w:t>
            </w:r>
          </w:p>
        </w:tc>
        <w:tc>
          <w:tcPr>
            <w:tcW w:w="1395" w:type="dxa"/>
            <w:tcBorders>
              <w:bottom w:val="single" w:sz="6" w:space="0" w:color="000000"/>
              <w:right w:val="single" w:sz="6" w:space="0" w:color="000000"/>
            </w:tcBorders>
            <w:vAlign w:val="center"/>
          </w:tcPr>
          <w:p w14:paraId="7B2CCA5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05BE17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FE4AAE7" w14:textId="77777777" w:rsidR="007D706A" w:rsidRDefault="007D706A" w:rsidP="00F70508">
            <w:pPr>
              <w:pStyle w:val="ParagraphStyle12"/>
              <w:rPr>
                <w:rStyle w:val="CharacterStyle12"/>
              </w:rPr>
            </w:pPr>
            <w:r>
              <w:rPr>
                <w:rStyle w:val="CharacterStyle12"/>
              </w:rPr>
              <w:t>0,00</w:t>
            </w:r>
          </w:p>
        </w:tc>
      </w:tr>
      <w:tr w:rsidR="007D706A" w14:paraId="2EB1DEE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C176543" w14:textId="77777777" w:rsidR="007D706A" w:rsidRDefault="007D706A" w:rsidP="00F70508">
            <w:pPr>
              <w:pStyle w:val="ParagraphStyle10"/>
              <w:rPr>
                <w:rStyle w:val="CharacterStyle10"/>
              </w:rPr>
            </w:pPr>
            <w:r>
              <w:rPr>
                <w:rStyle w:val="CharacterStyle10"/>
              </w:rPr>
              <w:t>42</w:t>
            </w:r>
          </w:p>
        </w:tc>
        <w:tc>
          <w:tcPr>
            <w:tcW w:w="4995" w:type="dxa"/>
            <w:tcBorders>
              <w:bottom w:val="single" w:sz="6" w:space="0" w:color="000000"/>
              <w:right w:val="single" w:sz="6" w:space="0" w:color="000000"/>
            </w:tcBorders>
            <w:vAlign w:val="center"/>
          </w:tcPr>
          <w:p w14:paraId="2894A464"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69735D4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9CE5B8A" w14:textId="77777777" w:rsidR="007D706A" w:rsidRDefault="007D706A" w:rsidP="00F70508">
            <w:pPr>
              <w:pStyle w:val="ParagraphStyle12"/>
              <w:rPr>
                <w:rStyle w:val="CharacterStyle12"/>
              </w:rPr>
            </w:pPr>
            <w:r>
              <w:rPr>
                <w:rStyle w:val="CharacterStyle12"/>
              </w:rPr>
              <w:t>20.000,00</w:t>
            </w:r>
          </w:p>
        </w:tc>
        <w:tc>
          <w:tcPr>
            <w:tcW w:w="1395" w:type="dxa"/>
            <w:tcBorders>
              <w:bottom w:val="single" w:sz="6" w:space="0" w:color="000000"/>
              <w:right w:val="single" w:sz="6" w:space="0" w:color="000000"/>
            </w:tcBorders>
            <w:vAlign w:val="center"/>
          </w:tcPr>
          <w:p w14:paraId="4C9A827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E8B039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6149557" w14:textId="77777777" w:rsidR="007D706A" w:rsidRDefault="007D706A" w:rsidP="00F70508">
            <w:pPr>
              <w:pStyle w:val="ParagraphStyle12"/>
              <w:rPr>
                <w:rStyle w:val="CharacterStyle12"/>
              </w:rPr>
            </w:pPr>
            <w:r>
              <w:rPr>
                <w:rStyle w:val="CharacterStyle12"/>
              </w:rPr>
              <w:t>0,00</w:t>
            </w:r>
          </w:p>
        </w:tc>
      </w:tr>
      <w:tr w:rsidR="007D706A" w14:paraId="2B94076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8C13BE0" w14:textId="77777777" w:rsidR="007D706A" w:rsidRDefault="007D706A" w:rsidP="00F70508">
            <w:pPr>
              <w:pStyle w:val="ParagraphStyle4"/>
              <w:rPr>
                <w:rStyle w:val="CharacterStyle4"/>
              </w:rPr>
            </w:pPr>
            <w:r>
              <w:rPr>
                <w:rStyle w:val="CharacterStyle4"/>
              </w:rPr>
              <w:t>Kapitalni projekt K101007</w:t>
            </w:r>
          </w:p>
        </w:tc>
        <w:tc>
          <w:tcPr>
            <w:tcW w:w="4995" w:type="dxa"/>
            <w:tcBorders>
              <w:bottom w:val="single" w:sz="6" w:space="0" w:color="000000"/>
              <w:right w:val="single" w:sz="6" w:space="0" w:color="000000"/>
            </w:tcBorders>
            <w:vAlign w:val="center"/>
          </w:tcPr>
          <w:p w14:paraId="2822F929" w14:textId="77777777" w:rsidR="007D706A" w:rsidRDefault="007D706A" w:rsidP="00F70508">
            <w:pPr>
              <w:pStyle w:val="ParagraphStyle5"/>
              <w:rPr>
                <w:rStyle w:val="CharacterStyle5"/>
              </w:rPr>
            </w:pPr>
            <w:r>
              <w:rPr>
                <w:rStyle w:val="CharacterStyle5"/>
              </w:rPr>
              <w:t>IZMJENA I DOPUNA GUP-A</w:t>
            </w:r>
          </w:p>
        </w:tc>
        <w:tc>
          <w:tcPr>
            <w:tcW w:w="1395" w:type="dxa"/>
            <w:tcBorders>
              <w:bottom w:val="single" w:sz="6" w:space="0" w:color="000000"/>
              <w:right w:val="single" w:sz="6" w:space="0" w:color="000000"/>
            </w:tcBorders>
            <w:vAlign w:val="center"/>
          </w:tcPr>
          <w:p w14:paraId="60BD6C3D"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5DEE51E6" w14:textId="77777777" w:rsidR="007D706A" w:rsidRDefault="007D706A" w:rsidP="00F70508">
            <w:pPr>
              <w:pStyle w:val="ParagraphStyle6"/>
              <w:rPr>
                <w:rStyle w:val="CharacterStyle6"/>
              </w:rPr>
            </w:pPr>
            <w:r>
              <w:rPr>
                <w:rStyle w:val="CharacterStyle6"/>
              </w:rPr>
              <w:t>37.500,00</w:t>
            </w:r>
          </w:p>
        </w:tc>
        <w:tc>
          <w:tcPr>
            <w:tcW w:w="1395" w:type="dxa"/>
            <w:tcBorders>
              <w:bottom w:val="single" w:sz="6" w:space="0" w:color="000000"/>
              <w:right w:val="single" w:sz="6" w:space="0" w:color="000000"/>
            </w:tcBorders>
            <w:vAlign w:val="center"/>
          </w:tcPr>
          <w:p w14:paraId="1AC8DA6B" w14:textId="77777777" w:rsidR="007D706A" w:rsidRDefault="007D706A" w:rsidP="00F70508">
            <w:pPr>
              <w:pStyle w:val="ParagraphStyle6"/>
              <w:rPr>
                <w:rStyle w:val="CharacterStyle6"/>
              </w:rPr>
            </w:pPr>
            <w:r>
              <w:rPr>
                <w:rStyle w:val="CharacterStyle6"/>
              </w:rPr>
              <w:t>37.500,00</w:t>
            </w:r>
          </w:p>
        </w:tc>
        <w:tc>
          <w:tcPr>
            <w:tcW w:w="1395" w:type="dxa"/>
            <w:tcBorders>
              <w:bottom w:val="single" w:sz="6" w:space="0" w:color="000000"/>
              <w:right w:val="single" w:sz="6" w:space="0" w:color="000000"/>
            </w:tcBorders>
            <w:vAlign w:val="center"/>
          </w:tcPr>
          <w:p w14:paraId="267009FF"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333C4E49" w14:textId="77777777" w:rsidR="007D706A" w:rsidRDefault="007D706A" w:rsidP="00F70508">
            <w:pPr>
              <w:pStyle w:val="ParagraphStyle6"/>
              <w:rPr>
                <w:rStyle w:val="CharacterStyle6"/>
              </w:rPr>
            </w:pPr>
            <w:r>
              <w:rPr>
                <w:rStyle w:val="CharacterStyle6"/>
              </w:rPr>
              <w:t>0,00</w:t>
            </w:r>
          </w:p>
        </w:tc>
      </w:tr>
      <w:tr w:rsidR="007D706A" w14:paraId="04A5D39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8ED0628" w14:textId="77777777" w:rsidR="007D706A" w:rsidRDefault="007D706A" w:rsidP="00F70508">
            <w:pPr>
              <w:pStyle w:val="ParagraphStyle7"/>
              <w:rPr>
                <w:rStyle w:val="CharacterStyle7"/>
              </w:rPr>
            </w:pPr>
            <w:r>
              <w:rPr>
                <w:rStyle w:val="CharacterStyle7"/>
              </w:rPr>
              <w:t>Izvor financiranja 41</w:t>
            </w:r>
          </w:p>
        </w:tc>
        <w:tc>
          <w:tcPr>
            <w:tcW w:w="4995" w:type="dxa"/>
            <w:tcBorders>
              <w:bottom w:val="single" w:sz="6" w:space="0" w:color="000000"/>
              <w:right w:val="single" w:sz="6" w:space="0" w:color="000000"/>
            </w:tcBorders>
            <w:vAlign w:val="center"/>
          </w:tcPr>
          <w:p w14:paraId="68122384" w14:textId="77777777" w:rsidR="007D706A" w:rsidRDefault="007D706A" w:rsidP="00F70508">
            <w:pPr>
              <w:pStyle w:val="ParagraphStyle8"/>
              <w:rPr>
                <w:rStyle w:val="CharacterStyle8"/>
              </w:rPr>
            </w:pPr>
            <w:r>
              <w:rPr>
                <w:rStyle w:val="CharacterStyle8"/>
              </w:rPr>
              <w:t>Prihodi za posebne namjene</w:t>
            </w:r>
          </w:p>
        </w:tc>
        <w:tc>
          <w:tcPr>
            <w:tcW w:w="1395" w:type="dxa"/>
            <w:tcBorders>
              <w:bottom w:val="single" w:sz="6" w:space="0" w:color="000000"/>
              <w:right w:val="single" w:sz="6" w:space="0" w:color="000000"/>
            </w:tcBorders>
            <w:vAlign w:val="center"/>
          </w:tcPr>
          <w:p w14:paraId="1AE969E1"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78F97EF" w14:textId="77777777" w:rsidR="007D706A" w:rsidRDefault="007D706A" w:rsidP="00F70508">
            <w:pPr>
              <w:pStyle w:val="ParagraphStyle9"/>
              <w:rPr>
                <w:rStyle w:val="CharacterStyle9"/>
              </w:rPr>
            </w:pPr>
            <w:r>
              <w:rPr>
                <w:rStyle w:val="CharacterStyle9"/>
              </w:rPr>
              <w:t>14.000,00</w:t>
            </w:r>
          </w:p>
        </w:tc>
        <w:tc>
          <w:tcPr>
            <w:tcW w:w="1395" w:type="dxa"/>
            <w:tcBorders>
              <w:bottom w:val="single" w:sz="6" w:space="0" w:color="000000"/>
              <w:right w:val="single" w:sz="6" w:space="0" w:color="000000"/>
            </w:tcBorders>
            <w:vAlign w:val="center"/>
          </w:tcPr>
          <w:p w14:paraId="2AC47255"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D62FDCC"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9AF498F" w14:textId="77777777" w:rsidR="007D706A" w:rsidRDefault="007D706A" w:rsidP="00F70508">
            <w:pPr>
              <w:pStyle w:val="ParagraphStyle9"/>
              <w:rPr>
                <w:rStyle w:val="CharacterStyle9"/>
              </w:rPr>
            </w:pPr>
            <w:r>
              <w:rPr>
                <w:rStyle w:val="CharacterStyle9"/>
              </w:rPr>
              <w:t>0,00</w:t>
            </w:r>
          </w:p>
        </w:tc>
      </w:tr>
      <w:tr w:rsidR="007D706A" w14:paraId="105AAF2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8B3C749"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53F11D86"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64068DF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A825430" w14:textId="77777777" w:rsidR="007D706A" w:rsidRDefault="007D706A" w:rsidP="00F70508">
            <w:pPr>
              <w:pStyle w:val="ParagraphStyle12"/>
              <w:rPr>
                <w:rStyle w:val="CharacterStyle12"/>
              </w:rPr>
            </w:pPr>
            <w:r>
              <w:rPr>
                <w:rStyle w:val="CharacterStyle12"/>
              </w:rPr>
              <w:t>14.000,00</w:t>
            </w:r>
          </w:p>
        </w:tc>
        <w:tc>
          <w:tcPr>
            <w:tcW w:w="1395" w:type="dxa"/>
            <w:tcBorders>
              <w:bottom w:val="single" w:sz="6" w:space="0" w:color="000000"/>
              <w:right w:val="single" w:sz="6" w:space="0" w:color="000000"/>
            </w:tcBorders>
            <w:vAlign w:val="center"/>
          </w:tcPr>
          <w:p w14:paraId="24E4AC8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3BA760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34EC7FA" w14:textId="77777777" w:rsidR="007D706A" w:rsidRDefault="007D706A" w:rsidP="00F70508">
            <w:pPr>
              <w:pStyle w:val="ParagraphStyle12"/>
              <w:rPr>
                <w:rStyle w:val="CharacterStyle12"/>
              </w:rPr>
            </w:pPr>
            <w:r>
              <w:rPr>
                <w:rStyle w:val="CharacterStyle12"/>
              </w:rPr>
              <w:t>0,00</w:t>
            </w:r>
          </w:p>
        </w:tc>
      </w:tr>
      <w:tr w:rsidR="007D706A" w14:paraId="0974265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1FDD272" w14:textId="77777777" w:rsidR="007D706A" w:rsidRDefault="007D706A" w:rsidP="00F70508">
            <w:pPr>
              <w:pStyle w:val="ParagraphStyle10"/>
              <w:rPr>
                <w:rStyle w:val="CharacterStyle10"/>
              </w:rPr>
            </w:pPr>
            <w:r>
              <w:rPr>
                <w:rStyle w:val="CharacterStyle10"/>
              </w:rPr>
              <w:t>42</w:t>
            </w:r>
          </w:p>
        </w:tc>
        <w:tc>
          <w:tcPr>
            <w:tcW w:w="4995" w:type="dxa"/>
            <w:tcBorders>
              <w:bottom w:val="single" w:sz="6" w:space="0" w:color="000000"/>
              <w:right w:val="single" w:sz="6" w:space="0" w:color="000000"/>
            </w:tcBorders>
            <w:vAlign w:val="center"/>
          </w:tcPr>
          <w:p w14:paraId="017F1524"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035AC2A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BE9359B" w14:textId="77777777" w:rsidR="007D706A" w:rsidRDefault="007D706A" w:rsidP="00F70508">
            <w:pPr>
              <w:pStyle w:val="ParagraphStyle12"/>
              <w:rPr>
                <w:rStyle w:val="CharacterStyle12"/>
              </w:rPr>
            </w:pPr>
            <w:r>
              <w:rPr>
                <w:rStyle w:val="CharacterStyle12"/>
              </w:rPr>
              <w:t>14.000,00</w:t>
            </w:r>
          </w:p>
        </w:tc>
        <w:tc>
          <w:tcPr>
            <w:tcW w:w="1395" w:type="dxa"/>
            <w:tcBorders>
              <w:bottom w:val="single" w:sz="6" w:space="0" w:color="000000"/>
              <w:right w:val="single" w:sz="6" w:space="0" w:color="000000"/>
            </w:tcBorders>
            <w:vAlign w:val="center"/>
          </w:tcPr>
          <w:p w14:paraId="4CBA5EF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4D93B9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CCFC2E2" w14:textId="77777777" w:rsidR="007D706A" w:rsidRDefault="007D706A" w:rsidP="00F70508">
            <w:pPr>
              <w:pStyle w:val="ParagraphStyle12"/>
              <w:rPr>
                <w:rStyle w:val="CharacterStyle12"/>
              </w:rPr>
            </w:pPr>
            <w:r>
              <w:rPr>
                <w:rStyle w:val="CharacterStyle12"/>
              </w:rPr>
              <w:t>0,00</w:t>
            </w:r>
          </w:p>
        </w:tc>
      </w:tr>
      <w:tr w:rsidR="007D706A" w14:paraId="35CB626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7EF3045" w14:textId="77777777" w:rsidR="007D706A" w:rsidRDefault="007D706A" w:rsidP="00F70508">
            <w:pPr>
              <w:pStyle w:val="ParagraphStyle7"/>
              <w:rPr>
                <w:rStyle w:val="CharacterStyle7"/>
              </w:rPr>
            </w:pPr>
            <w:r>
              <w:rPr>
                <w:rStyle w:val="CharacterStyle7"/>
              </w:rPr>
              <w:t>Izvor financiranja 43</w:t>
            </w:r>
          </w:p>
        </w:tc>
        <w:tc>
          <w:tcPr>
            <w:tcW w:w="4995" w:type="dxa"/>
            <w:tcBorders>
              <w:bottom w:val="single" w:sz="6" w:space="0" w:color="000000"/>
              <w:right w:val="single" w:sz="6" w:space="0" w:color="000000"/>
            </w:tcBorders>
            <w:vAlign w:val="center"/>
          </w:tcPr>
          <w:p w14:paraId="3E1B930B" w14:textId="77777777" w:rsidR="007D706A" w:rsidRDefault="007D706A" w:rsidP="00F70508">
            <w:pPr>
              <w:pStyle w:val="ParagraphStyle8"/>
              <w:rPr>
                <w:rStyle w:val="CharacterStyle8"/>
              </w:rPr>
            </w:pPr>
            <w:r>
              <w:rPr>
                <w:rStyle w:val="CharacterStyle8"/>
              </w:rPr>
              <w:t>Ostali prihodi za posebne namjene</w:t>
            </w:r>
          </w:p>
        </w:tc>
        <w:tc>
          <w:tcPr>
            <w:tcW w:w="1395" w:type="dxa"/>
            <w:tcBorders>
              <w:bottom w:val="single" w:sz="6" w:space="0" w:color="000000"/>
              <w:right w:val="single" w:sz="6" w:space="0" w:color="000000"/>
            </w:tcBorders>
            <w:vAlign w:val="center"/>
          </w:tcPr>
          <w:p w14:paraId="42E4EDE1"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386A541"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F7EAA9F" w14:textId="77777777" w:rsidR="007D706A" w:rsidRDefault="007D706A" w:rsidP="00F70508">
            <w:pPr>
              <w:pStyle w:val="ParagraphStyle9"/>
              <w:rPr>
                <w:rStyle w:val="CharacterStyle9"/>
              </w:rPr>
            </w:pPr>
            <w:r>
              <w:rPr>
                <w:rStyle w:val="CharacterStyle9"/>
              </w:rPr>
              <w:t>37.500,00</w:t>
            </w:r>
          </w:p>
        </w:tc>
        <w:tc>
          <w:tcPr>
            <w:tcW w:w="1395" w:type="dxa"/>
            <w:tcBorders>
              <w:bottom w:val="single" w:sz="6" w:space="0" w:color="000000"/>
              <w:right w:val="single" w:sz="6" w:space="0" w:color="000000"/>
            </w:tcBorders>
            <w:vAlign w:val="center"/>
          </w:tcPr>
          <w:p w14:paraId="796460D6"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AE3F219" w14:textId="77777777" w:rsidR="007D706A" w:rsidRDefault="007D706A" w:rsidP="00F70508">
            <w:pPr>
              <w:pStyle w:val="ParagraphStyle9"/>
              <w:rPr>
                <w:rStyle w:val="CharacterStyle9"/>
              </w:rPr>
            </w:pPr>
            <w:r>
              <w:rPr>
                <w:rStyle w:val="CharacterStyle9"/>
              </w:rPr>
              <w:t>0,00</w:t>
            </w:r>
          </w:p>
        </w:tc>
      </w:tr>
      <w:tr w:rsidR="007D706A" w14:paraId="440DA69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68AE188"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28FB0FA0"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4293323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3FA073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9F40C18" w14:textId="77777777" w:rsidR="007D706A" w:rsidRDefault="007D706A" w:rsidP="00F70508">
            <w:pPr>
              <w:pStyle w:val="ParagraphStyle12"/>
              <w:rPr>
                <w:rStyle w:val="CharacterStyle12"/>
              </w:rPr>
            </w:pPr>
            <w:r>
              <w:rPr>
                <w:rStyle w:val="CharacterStyle12"/>
              </w:rPr>
              <w:t>37.500,00</w:t>
            </w:r>
          </w:p>
        </w:tc>
        <w:tc>
          <w:tcPr>
            <w:tcW w:w="1395" w:type="dxa"/>
            <w:tcBorders>
              <w:bottom w:val="single" w:sz="6" w:space="0" w:color="000000"/>
              <w:right w:val="single" w:sz="6" w:space="0" w:color="000000"/>
            </w:tcBorders>
            <w:vAlign w:val="center"/>
          </w:tcPr>
          <w:p w14:paraId="3280CE4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2759624" w14:textId="77777777" w:rsidR="007D706A" w:rsidRDefault="007D706A" w:rsidP="00F70508">
            <w:pPr>
              <w:pStyle w:val="ParagraphStyle12"/>
              <w:rPr>
                <w:rStyle w:val="CharacterStyle12"/>
              </w:rPr>
            </w:pPr>
            <w:r>
              <w:rPr>
                <w:rStyle w:val="CharacterStyle12"/>
              </w:rPr>
              <w:t>0,00</w:t>
            </w:r>
          </w:p>
        </w:tc>
      </w:tr>
      <w:tr w:rsidR="007D706A" w14:paraId="18A45C7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ABCBB95" w14:textId="77777777" w:rsidR="007D706A" w:rsidRDefault="007D706A" w:rsidP="00F70508">
            <w:pPr>
              <w:pStyle w:val="ParagraphStyle10"/>
              <w:rPr>
                <w:rStyle w:val="CharacterStyle10"/>
              </w:rPr>
            </w:pPr>
            <w:r>
              <w:rPr>
                <w:rStyle w:val="CharacterStyle10"/>
              </w:rPr>
              <w:t>42</w:t>
            </w:r>
          </w:p>
        </w:tc>
        <w:tc>
          <w:tcPr>
            <w:tcW w:w="4995" w:type="dxa"/>
            <w:tcBorders>
              <w:bottom w:val="single" w:sz="6" w:space="0" w:color="000000"/>
              <w:right w:val="single" w:sz="6" w:space="0" w:color="000000"/>
            </w:tcBorders>
            <w:vAlign w:val="center"/>
          </w:tcPr>
          <w:p w14:paraId="15751CF9"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48E527C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A33639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0808C72" w14:textId="77777777" w:rsidR="007D706A" w:rsidRDefault="007D706A" w:rsidP="00F70508">
            <w:pPr>
              <w:pStyle w:val="ParagraphStyle12"/>
              <w:rPr>
                <w:rStyle w:val="CharacterStyle12"/>
              </w:rPr>
            </w:pPr>
            <w:r>
              <w:rPr>
                <w:rStyle w:val="CharacterStyle12"/>
              </w:rPr>
              <w:t>37.500,00</w:t>
            </w:r>
          </w:p>
        </w:tc>
        <w:tc>
          <w:tcPr>
            <w:tcW w:w="1395" w:type="dxa"/>
            <w:tcBorders>
              <w:bottom w:val="single" w:sz="6" w:space="0" w:color="000000"/>
              <w:right w:val="single" w:sz="6" w:space="0" w:color="000000"/>
            </w:tcBorders>
            <w:vAlign w:val="center"/>
          </w:tcPr>
          <w:p w14:paraId="1E98BD2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49DE699" w14:textId="77777777" w:rsidR="007D706A" w:rsidRDefault="007D706A" w:rsidP="00F70508">
            <w:pPr>
              <w:pStyle w:val="ParagraphStyle12"/>
              <w:rPr>
                <w:rStyle w:val="CharacterStyle12"/>
              </w:rPr>
            </w:pPr>
            <w:r>
              <w:rPr>
                <w:rStyle w:val="CharacterStyle12"/>
              </w:rPr>
              <w:t>0,00</w:t>
            </w:r>
          </w:p>
        </w:tc>
      </w:tr>
      <w:tr w:rsidR="007D706A" w14:paraId="1686414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47C15BF" w14:textId="77777777" w:rsidR="007D706A" w:rsidRDefault="007D706A" w:rsidP="00F70508">
            <w:pPr>
              <w:pStyle w:val="ParagraphStyle7"/>
              <w:rPr>
                <w:rStyle w:val="CharacterStyle7"/>
              </w:rPr>
            </w:pPr>
            <w:r>
              <w:rPr>
                <w:rStyle w:val="CharacterStyle7"/>
              </w:rPr>
              <w:t>Izvor financiranja 82</w:t>
            </w:r>
          </w:p>
        </w:tc>
        <w:tc>
          <w:tcPr>
            <w:tcW w:w="4995" w:type="dxa"/>
            <w:tcBorders>
              <w:bottom w:val="single" w:sz="6" w:space="0" w:color="000000"/>
              <w:right w:val="single" w:sz="6" w:space="0" w:color="000000"/>
            </w:tcBorders>
            <w:vAlign w:val="center"/>
          </w:tcPr>
          <w:p w14:paraId="575B3C64" w14:textId="77777777" w:rsidR="007D706A" w:rsidRDefault="007D706A" w:rsidP="00F70508">
            <w:pPr>
              <w:pStyle w:val="ParagraphStyle8"/>
              <w:rPr>
                <w:rStyle w:val="CharacterStyle8"/>
              </w:rPr>
            </w:pPr>
            <w:r>
              <w:rPr>
                <w:rStyle w:val="CharacterStyle8"/>
              </w:rPr>
              <w:t>Preneseni viškovi iz ranijih godina</w:t>
            </w:r>
          </w:p>
        </w:tc>
        <w:tc>
          <w:tcPr>
            <w:tcW w:w="1395" w:type="dxa"/>
            <w:tcBorders>
              <w:bottom w:val="single" w:sz="6" w:space="0" w:color="000000"/>
              <w:right w:val="single" w:sz="6" w:space="0" w:color="000000"/>
            </w:tcBorders>
            <w:vAlign w:val="center"/>
          </w:tcPr>
          <w:p w14:paraId="6228B9D8"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F6E746D" w14:textId="77777777" w:rsidR="007D706A" w:rsidRDefault="007D706A" w:rsidP="00F70508">
            <w:pPr>
              <w:pStyle w:val="ParagraphStyle9"/>
              <w:rPr>
                <w:rStyle w:val="CharacterStyle9"/>
              </w:rPr>
            </w:pPr>
            <w:r>
              <w:rPr>
                <w:rStyle w:val="CharacterStyle9"/>
              </w:rPr>
              <w:t>23.500,00</w:t>
            </w:r>
          </w:p>
        </w:tc>
        <w:tc>
          <w:tcPr>
            <w:tcW w:w="1395" w:type="dxa"/>
            <w:tcBorders>
              <w:bottom w:val="single" w:sz="6" w:space="0" w:color="000000"/>
              <w:right w:val="single" w:sz="6" w:space="0" w:color="000000"/>
            </w:tcBorders>
            <w:vAlign w:val="center"/>
          </w:tcPr>
          <w:p w14:paraId="5B755515"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F4DFE84"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E29D968" w14:textId="77777777" w:rsidR="007D706A" w:rsidRDefault="007D706A" w:rsidP="00F70508">
            <w:pPr>
              <w:pStyle w:val="ParagraphStyle9"/>
              <w:rPr>
                <w:rStyle w:val="CharacterStyle9"/>
              </w:rPr>
            </w:pPr>
            <w:r>
              <w:rPr>
                <w:rStyle w:val="CharacterStyle9"/>
              </w:rPr>
              <w:t>0,00</w:t>
            </w:r>
          </w:p>
        </w:tc>
      </w:tr>
      <w:tr w:rsidR="007D706A" w14:paraId="3654AF8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781FF41"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112A33A3"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1B0BB19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AA871E7" w14:textId="77777777" w:rsidR="007D706A" w:rsidRDefault="007D706A" w:rsidP="00F70508">
            <w:pPr>
              <w:pStyle w:val="ParagraphStyle12"/>
              <w:rPr>
                <w:rStyle w:val="CharacterStyle12"/>
              </w:rPr>
            </w:pPr>
            <w:r>
              <w:rPr>
                <w:rStyle w:val="CharacterStyle12"/>
              </w:rPr>
              <w:t>23.500,00</w:t>
            </w:r>
          </w:p>
        </w:tc>
        <w:tc>
          <w:tcPr>
            <w:tcW w:w="1395" w:type="dxa"/>
            <w:tcBorders>
              <w:bottom w:val="single" w:sz="6" w:space="0" w:color="000000"/>
              <w:right w:val="single" w:sz="6" w:space="0" w:color="000000"/>
            </w:tcBorders>
            <w:vAlign w:val="center"/>
          </w:tcPr>
          <w:p w14:paraId="1B267D6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EA624D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6DF79E9" w14:textId="77777777" w:rsidR="007D706A" w:rsidRDefault="007D706A" w:rsidP="00F70508">
            <w:pPr>
              <w:pStyle w:val="ParagraphStyle12"/>
              <w:rPr>
                <w:rStyle w:val="CharacterStyle12"/>
              </w:rPr>
            </w:pPr>
            <w:r>
              <w:rPr>
                <w:rStyle w:val="CharacterStyle12"/>
              </w:rPr>
              <w:t>0,00</w:t>
            </w:r>
          </w:p>
        </w:tc>
      </w:tr>
      <w:tr w:rsidR="007D706A" w14:paraId="6DACA84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9DE4CEB" w14:textId="77777777" w:rsidR="007D706A" w:rsidRDefault="007D706A" w:rsidP="00F70508">
            <w:pPr>
              <w:pStyle w:val="ParagraphStyle10"/>
              <w:rPr>
                <w:rStyle w:val="CharacterStyle10"/>
              </w:rPr>
            </w:pPr>
            <w:r>
              <w:rPr>
                <w:rStyle w:val="CharacterStyle10"/>
              </w:rPr>
              <w:t>42</w:t>
            </w:r>
          </w:p>
        </w:tc>
        <w:tc>
          <w:tcPr>
            <w:tcW w:w="4995" w:type="dxa"/>
            <w:tcBorders>
              <w:bottom w:val="single" w:sz="6" w:space="0" w:color="000000"/>
              <w:right w:val="single" w:sz="6" w:space="0" w:color="000000"/>
            </w:tcBorders>
            <w:vAlign w:val="center"/>
          </w:tcPr>
          <w:p w14:paraId="1039B7C7"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114C100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E10BCDB" w14:textId="77777777" w:rsidR="007D706A" w:rsidRDefault="007D706A" w:rsidP="00F70508">
            <w:pPr>
              <w:pStyle w:val="ParagraphStyle12"/>
              <w:rPr>
                <w:rStyle w:val="CharacterStyle12"/>
              </w:rPr>
            </w:pPr>
            <w:r>
              <w:rPr>
                <w:rStyle w:val="CharacterStyle12"/>
              </w:rPr>
              <w:t>23.500,00</w:t>
            </w:r>
          </w:p>
        </w:tc>
        <w:tc>
          <w:tcPr>
            <w:tcW w:w="1395" w:type="dxa"/>
            <w:tcBorders>
              <w:bottom w:val="single" w:sz="6" w:space="0" w:color="000000"/>
              <w:right w:val="single" w:sz="6" w:space="0" w:color="000000"/>
            </w:tcBorders>
            <w:vAlign w:val="center"/>
          </w:tcPr>
          <w:p w14:paraId="5329FA3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C7210D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EFBD1CF" w14:textId="77777777" w:rsidR="007D706A" w:rsidRDefault="007D706A" w:rsidP="00F70508">
            <w:pPr>
              <w:pStyle w:val="ParagraphStyle12"/>
              <w:rPr>
                <w:rStyle w:val="CharacterStyle12"/>
              </w:rPr>
            </w:pPr>
            <w:r>
              <w:rPr>
                <w:rStyle w:val="CharacterStyle12"/>
              </w:rPr>
              <w:t>0,00</w:t>
            </w:r>
          </w:p>
        </w:tc>
      </w:tr>
      <w:tr w:rsidR="007D706A" w14:paraId="72A2699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3C14AFF" w14:textId="77777777" w:rsidR="007D706A" w:rsidRDefault="007D706A" w:rsidP="00F70508">
            <w:pPr>
              <w:pStyle w:val="ParagraphStyle4"/>
              <w:rPr>
                <w:rStyle w:val="CharacterStyle4"/>
              </w:rPr>
            </w:pPr>
            <w:r>
              <w:rPr>
                <w:rStyle w:val="CharacterStyle4"/>
              </w:rPr>
              <w:t>Kapitalni projekt K101008</w:t>
            </w:r>
          </w:p>
        </w:tc>
        <w:tc>
          <w:tcPr>
            <w:tcW w:w="4995" w:type="dxa"/>
            <w:tcBorders>
              <w:bottom w:val="single" w:sz="6" w:space="0" w:color="000000"/>
              <w:right w:val="single" w:sz="6" w:space="0" w:color="000000"/>
            </w:tcBorders>
            <w:vAlign w:val="center"/>
          </w:tcPr>
          <w:p w14:paraId="7966D4F3" w14:textId="77777777" w:rsidR="007D706A" w:rsidRDefault="007D706A" w:rsidP="00F70508">
            <w:pPr>
              <w:pStyle w:val="ParagraphStyle5"/>
              <w:rPr>
                <w:rStyle w:val="CharacterStyle5"/>
              </w:rPr>
            </w:pPr>
            <w:r>
              <w:rPr>
                <w:rStyle w:val="CharacterStyle5"/>
              </w:rPr>
              <w:t>IZMJENA I DOPUNA PPUG-A</w:t>
            </w:r>
          </w:p>
        </w:tc>
        <w:tc>
          <w:tcPr>
            <w:tcW w:w="1395" w:type="dxa"/>
            <w:tcBorders>
              <w:bottom w:val="single" w:sz="6" w:space="0" w:color="000000"/>
              <w:right w:val="single" w:sz="6" w:space="0" w:color="000000"/>
            </w:tcBorders>
            <w:vAlign w:val="center"/>
          </w:tcPr>
          <w:p w14:paraId="790476F2"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3B5407BE" w14:textId="77777777" w:rsidR="007D706A" w:rsidRDefault="007D706A" w:rsidP="00F70508">
            <w:pPr>
              <w:pStyle w:val="ParagraphStyle6"/>
              <w:rPr>
                <w:rStyle w:val="CharacterStyle6"/>
              </w:rPr>
            </w:pPr>
            <w:r>
              <w:rPr>
                <w:rStyle w:val="CharacterStyle6"/>
              </w:rPr>
              <w:t>15.000,00</w:t>
            </w:r>
          </w:p>
        </w:tc>
        <w:tc>
          <w:tcPr>
            <w:tcW w:w="1395" w:type="dxa"/>
            <w:tcBorders>
              <w:bottom w:val="single" w:sz="6" w:space="0" w:color="000000"/>
              <w:right w:val="single" w:sz="6" w:space="0" w:color="000000"/>
            </w:tcBorders>
            <w:vAlign w:val="center"/>
          </w:tcPr>
          <w:p w14:paraId="21B9D82C"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71A6C2C8"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258B78B4" w14:textId="77777777" w:rsidR="007D706A" w:rsidRDefault="007D706A" w:rsidP="00F70508">
            <w:pPr>
              <w:pStyle w:val="ParagraphStyle6"/>
              <w:rPr>
                <w:rStyle w:val="CharacterStyle6"/>
              </w:rPr>
            </w:pPr>
            <w:r>
              <w:rPr>
                <w:rStyle w:val="CharacterStyle6"/>
              </w:rPr>
              <w:t>0,00</w:t>
            </w:r>
          </w:p>
        </w:tc>
      </w:tr>
      <w:tr w:rsidR="007D706A" w14:paraId="7272EBB6"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BB94AF3" w14:textId="77777777" w:rsidR="007D706A" w:rsidRDefault="007D706A" w:rsidP="00F70508">
            <w:pPr>
              <w:pStyle w:val="ParagraphStyle7"/>
              <w:rPr>
                <w:rStyle w:val="CharacterStyle7"/>
              </w:rPr>
            </w:pPr>
            <w:r>
              <w:rPr>
                <w:rStyle w:val="CharacterStyle7"/>
              </w:rPr>
              <w:t>Izvor financiranja 82</w:t>
            </w:r>
          </w:p>
        </w:tc>
        <w:tc>
          <w:tcPr>
            <w:tcW w:w="4995" w:type="dxa"/>
            <w:tcBorders>
              <w:bottom w:val="single" w:sz="6" w:space="0" w:color="000000"/>
              <w:right w:val="single" w:sz="6" w:space="0" w:color="000000"/>
            </w:tcBorders>
            <w:vAlign w:val="center"/>
          </w:tcPr>
          <w:p w14:paraId="6E7D339A" w14:textId="77777777" w:rsidR="007D706A" w:rsidRDefault="007D706A" w:rsidP="00F70508">
            <w:pPr>
              <w:pStyle w:val="ParagraphStyle8"/>
              <w:rPr>
                <w:rStyle w:val="CharacterStyle8"/>
              </w:rPr>
            </w:pPr>
            <w:r>
              <w:rPr>
                <w:rStyle w:val="CharacterStyle8"/>
              </w:rPr>
              <w:t>Preneseni viškovi iz ranijih godina</w:t>
            </w:r>
          </w:p>
        </w:tc>
        <w:tc>
          <w:tcPr>
            <w:tcW w:w="1395" w:type="dxa"/>
            <w:tcBorders>
              <w:bottom w:val="single" w:sz="6" w:space="0" w:color="000000"/>
              <w:right w:val="single" w:sz="6" w:space="0" w:color="000000"/>
            </w:tcBorders>
            <w:vAlign w:val="center"/>
          </w:tcPr>
          <w:p w14:paraId="5431874A"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B2014E7" w14:textId="77777777" w:rsidR="007D706A" w:rsidRDefault="007D706A" w:rsidP="00F70508">
            <w:pPr>
              <w:pStyle w:val="ParagraphStyle9"/>
              <w:rPr>
                <w:rStyle w:val="CharacterStyle9"/>
              </w:rPr>
            </w:pPr>
            <w:r>
              <w:rPr>
                <w:rStyle w:val="CharacterStyle9"/>
              </w:rPr>
              <w:t>15.000,00</w:t>
            </w:r>
          </w:p>
        </w:tc>
        <w:tc>
          <w:tcPr>
            <w:tcW w:w="1395" w:type="dxa"/>
            <w:tcBorders>
              <w:bottom w:val="single" w:sz="6" w:space="0" w:color="000000"/>
              <w:right w:val="single" w:sz="6" w:space="0" w:color="000000"/>
            </w:tcBorders>
            <w:vAlign w:val="center"/>
          </w:tcPr>
          <w:p w14:paraId="68CE8E6C"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73AC164"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419F259" w14:textId="77777777" w:rsidR="007D706A" w:rsidRDefault="007D706A" w:rsidP="00F70508">
            <w:pPr>
              <w:pStyle w:val="ParagraphStyle9"/>
              <w:rPr>
                <w:rStyle w:val="CharacterStyle9"/>
              </w:rPr>
            </w:pPr>
            <w:r>
              <w:rPr>
                <w:rStyle w:val="CharacterStyle9"/>
              </w:rPr>
              <w:t>0,00</w:t>
            </w:r>
          </w:p>
        </w:tc>
      </w:tr>
      <w:tr w:rsidR="007D706A" w14:paraId="7640DE5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DC9ABD7"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7CD2215B"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2456A07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A579BC6" w14:textId="77777777" w:rsidR="007D706A" w:rsidRDefault="007D706A" w:rsidP="00F70508">
            <w:pPr>
              <w:pStyle w:val="ParagraphStyle12"/>
              <w:rPr>
                <w:rStyle w:val="CharacterStyle12"/>
              </w:rPr>
            </w:pPr>
            <w:r>
              <w:rPr>
                <w:rStyle w:val="CharacterStyle12"/>
              </w:rPr>
              <w:t>15.000,00</w:t>
            </w:r>
          </w:p>
        </w:tc>
        <w:tc>
          <w:tcPr>
            <w:tcW w:w="1395" w:type="dxa"/>
            <w:tcBorders>
              <w:bottom w:val="single" w:sz="6" w:space="0" w:color="000000"/>
              <w:right w:val="single" w:sz="6" w:space="0" w:color="000000"/>
            </w:tcBorders>
            <w:vAlign w:val="center"/>
          </w:tcPr>
          <w:p w14:paraId="7DFFD5E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ABD794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1E340FC" w14:textId="77777777" w:rsidR="007D706A" w:rsidRDefault="007D706A" w:rsidP="00F70508">
            <w:pPr>
              <w:pStyle w:val="ParagraphStyle12"/>
              <w:rPr>
                <w:rStyle w:val="CharacterStyle12"/>
              </w:rPr>
            </w:pPr>
            <w:r>
              <w:rPr>
                <w:rStyle w:val="CharacterStyle12"/>
              </w:rPr>
              <w:t>0,00</w:t>
            </w:r>
          </w:p>
        </w:tc>
      </w:tr>
      <w:tr w:rsidR="007D706A" w14:paraId="33D8F33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19F4EF5" w14:textId="77777777" w:rsidR="007D706A" w:rsidRDefault="007D706A" w:rsidP="00F70508">
            <w:pPr>
              <w:pStyle w:val="ParagraphStyle10"/>
              <w:rPr>
                <w:rStyle w:val="CharacterStyle10"/>
              </w:rPr>
            </w:pPr>
            <w:r>
              <w:rPr>
                <w:rStyle w:val="CharacterStyle10"/>
              </w:rPr>
              <w:t>42</w:t>
            </w:r>
          </w:p>
        </w:tc>
        <w:tc>
          <w:tcPr>
            <w:tcW w:w="4995" w:type="dxa"/>
            <w:tcBorders>
              <w:bottom w:val="single" w:sz="6" w:space="0" w:color="000000"/>
              <w:right w:val="single" w:sz="6" w:space="0" w:color="000000"/>
            </w:tcBorders>
            <w:vAlign w:val="center"/>
          </w:tcPr>
          <w:p w14:paraId="47A4D742"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19E2D90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EAD3B36" w14:textId="77777777" w:rsidR="007D706A" w:rsidRDefault="007D706A" w:rsidP="00F70508">
            <w:pPr>
              <w:pStyle w:val="ParagraphStyle12"/>
              <w:rPr>
                <w:rStyle w:val="CharacterStyle12"/>
              </w:rPr>
            </w:pPr>
            <w:r>
              <w:rPr>
                <w:rStyle w:val="CharacterStyle12"/>
              </w:rPr>
              <w:t>15.000,00</w:t>
            </w:r>
          </w:p>
        </w:tc>
        <w:tc>
          <w:tcPr>
            <w:tcW w:w="1395" w:type="dxa"/>
            <w:tcBorders>
              <w:bottom w:val="single" w:sz="6" w:space="0" w:color="000000"/>
              <w:right w:val="single" w:sz="6" w:space="0" w:color="000000"/>
            </w:tcBorders>
            <w:vAlign w:val="center"/>
          </w:tcPr>
          <w:p w14:paraId="46C553A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B26B04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645EE6F" w14:textId="77777777" w:rsidR="007D706A" w:rsidRDefault="007D706A" w:rsidP="00F70508">
            <w:pPr>
              <w:pStyle w:val="ParagraphStyle12"/>
              <w:rPr>
                <w:rStyle w:val="CharacterStyle12"/>
              </w:rPr>
            </w:pPr>
            <w:r>
              <w:rPr>
                <w:rStyle w:val="CharacterStyle12"/>
              </w:rPr>
              <w:t>0,00</w:t>
            </w:r>
          </w:p>
        </w:tc>
      </w:tr>
      <w:tr w:rsidR="007D706A" w14:paraId="317D120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4F7451F" w14:textId="77777777" w:rsidR="007D706A" w:rsidRDefault="007D706A" w:rsidP="00F70508">
            <w:pPr>
              <w:pStyle w:val="ParagraphStyle4"/>
              <w:rPr>
                <w:rStyle w:val="CharacterStyle4"/>
              </w:rPr>
            </w:pPr>
            <w:r>
              <w:rPr>
                <w:rStyle w:val="CharacterStyle4"/>
              </w:rPr>
              <w:t>Kapitalni projekt K101013</w:t>
            </w:r>
          </w:p>
        </w:tc>
        <w:tc>
          <w:tcPr>
            <w:tcW w:w="4995" w:type="dxa"/>
            <w:tcBorders>
              <w:bottom w:val="single" w:sz="6" w:space="0" w:color="000000"/>
              <w:right w:val="single" w:sz="6" w:space="0" w:color="000000"/>
            </w:tcBorders>
            <w:vAlign w:val="center"/>
          </w:tcPr>
          <w:p w14:paraId="3D237C52" w14:textId="77777777" w:rsidR="007D706A" w:rsidRDefault="007D706A" w:rsidP="00F70508">
            <w:pPr>
              <w:pStyle w:val="ParagraphStyle5"/>
              <w:rPr>
                <w:rStyle w:val="CharacterStyle5"/>
              </w:rPr>
            </w:pPr>
            <w:r>
              <w:rPr>
                <w:rStyle w:val="CharacterStyle5"/>
              </w:rPr>
              <w:t>IZMJENA I DOPUNA UPU MONSENA-VALDALISO</w:t>
            </w:r>
          </w:p>
        </w:tc>
        <w:tc>
          <w:tcPr>
            <w:tcW w:w="1395" w:type="dxa"/>
            <w:tcBorders>
              <w:bottom w:val="single" w:sz="6" w:space="0" w:color="000000"/>
              <w:right w:val="single" w:sz="6" w:space="0" w:color="000000"/>
            </w:tcBorders>
            <w:vAlign w:val="center"/>
          </w:tcPr>
          <w:p w14:paraId="15652943"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64ECB027"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672EA693" w14:textId="77777777" w:rsidR="007D706A" w:rsidRDefault="007D706A" w:rsidP="00F70508">
            <w:pPr>
              <w:pStyle w:val="ParagraphStyle6"/>
              <w:rPr>
                <w:rStyle w:val="CharacterStyle6"/>
              </w:rPr>
            </w:pPr>
            <w:r>
              <w:rPr>
                <w:rStyle w:val="CharacterStyle6"/>
              </w:rPr>
              <w:t>37.500,00</w:t>
            </w:r>
          </w:p>
        </w:tc>
        <w:tc>
          <w:tcPr>
            <w:tcW w:w="1395" w:type="dxa"/>
            <w:tcBorders>
              <w:bottom w:val="single" w:sz="6" w:space="0" w:color="000000"/>
              <w:right w:val="single" w:sz="6" w:space="0" w:color="000000"/>
            </w:tcBorders>
            <w:vAlign w:val="center"/>
          </w:tcPr>
          <w:p w14:paraId="03B95083" w14:textId="77777777" w:rsidR="007D706A" w:rsidRDefault="007D706A" w:rsidP="00F70508">
            <w:pPr>
              <w:pStyle w:val="ParagraphStyle6"/>
              <w:rPr>
                <w:rStyle w:val="CharacterStyle6"/>
              </w:rPr>
            </w:pPr>
            <w:r>
              <w:rPr>
                <w:rStyle w:val="CharacterStyle6"/>
              </w:rPr>
              <w:t>25.000,00</w:t>
            </w:r>
          </w:p>
        </w:tc>
        <w:tc>
          <w:tcPr>
            <w:tcW w:w="1395" w:type="dxa"/>
            <w:tcBorders>
              <w:bottom w:val="single" w:sz="6" w:space="0" w:color="000000"/>
              <w:right w:val="single" w:sz="6" w:space="0" w:color="000000"/>
            </w:tcBorders>
            <w:vAlign w:val="center"/>
          </w:tcPr>
          <w:p w14:paraId="775275C6" w14:textId="77777777" w:rsidR="007D706A" w:rsidRDefault="007D706A" w:rsidP="00F70508">
            <w:pPr>
              <w:pStyle w:val="ParagraphStyle6"/>
              <w:rPr>
                <w:rStyle w:val="CharacterStyle6"/>
              </w:rPr>
            </w:pPr>
            <w:r>
              <w:rPr>
                <w:rStyle w:val="CharacterStyle6"/>
              </w:rPr>
              <w:t>0,00</w:t>
            </w:r>
          </w:p>
        </w:tc>
      </w:tr>
      <w:tr w:rsidR="007D706A" w14:paraId="46E1BF2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628B1EB" w14:textId="77777777" w:rsidR="007D706A" w:rsidRDefault="007D706A" w:rsidP="00F70508">
            <w:pPr>
              <w:pStyle w:val="ParagraphStyle7"/>
              <w:rPr>
                <w:rStyle w:val="CharacterStyle7"/>
              </w:rPr>
            </w:pPr>
            <w:r>
              <w:rPr>
                <w:rStyle w:val="CharacterStyle7"/>
              </w:rPr>
              <w:t>Izvor financiranja 61</w:t>
            </w:r>
          </w:p>
        </w:tc>
        <w:tc>
          <w:tcPr>
            <w:tcW w:w="4995" w:type="dxa"/>
            <w:tcBorders>
              <w:bottom w:val="single" w:sz="6" w:space="0" w:color="000000"/>
              <w:right w:val="single" w:sz="6" w:space="0" w:color="000000"/>
            </w:tcBorders>
            <w:vAlign w:val="center"/>
          </w:tcPr>
          <w:p w14:paraId="023E3A06" w14:textId="77777777" w:rsidR="007D706A" w:rsidRDefault="007D706A" w:rsidP="00F70508">
            <w:pPr>
              <w:pStyle w:val="ParagraphStyle8"/>
              <w:rPr>
                <w:rStyle w:val="CharacterStyle8"/>
              </w:rPr>
            </w:pPr>
            <w:r>
              <w:rPr>
                <w:rStyle w:val="CharacterStyle8"/>
              </w:rPr>
              <w:t>Donacije</w:t>
            </w:r>
          </w:p>
        </w:tc>
        <w:tc>
          <w:tcPr>
            <w:tcW w:w="1395" w:type="dxa"/>
            <w:tcBorders>
              <w:bottom w:val="single" w:sz="6" w:space="0" w:color="000000"/>
              <w:right w:val="single" w:sz="6" w:space="0" w:color="000000"/>
            </w:tcBorders>
            <w:vAlign w:val="center"/>
          </w:tcPr>
          <w:p w14:paraId="2844ADC1"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DCA9A15"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08607BA" w14:textId="77777777" w:rsidR="007D706A" w:rsidRDefault="007D706A" w:rsidP="00F70508">
            <w:pPr>
              <w:pStyle w:val="ParagraphStyle9"/>
              <w:rPr>
                <w:rStyle w:val="CharacterStyle9"/>
              </w:rPr>
            </w:pPr>
            <w:r>
              <w:rPr>
                <w:rStyle w:val="CharacterStyle9"/>
              </w:rPr>
              <w:t>37.500,00</w:t>
            </w:r>
          </w:p>
        </w:tc>
        <w:tc>
          <w:tcPr>
            <w:tcW w:w="1395" w:type="dxa"/>
            <w:tcBorders>
              <w:bottom w:val="single" w:sz="6" w:space="0" w:color="000000"/>
              <w:right w:val="single" w:sz="6" w:space="0" w:color="000000"/>
            </w:tcBorders>
            <w:vAlign w:val="center"/>
          </w:tcPr>
          <w:p w14:paraId="00E313DC" w14:textId="77777777" w:rsidR="007D706A" w:rsidRDefault="007D706A" w:rsidP="00F70508">
            <w:pPr>
              <w:pStyle w:val="ParagraphStyle9"/>
              <w:rPr>
                <w:rStyle w:val="CharacterStyle9"/>
              </w:rPr>
            </w:pPr>
            <w:r>
              <w:rPr>
                <w:rStyle w:val="CharacterStyle9"/>
              </w:rPr>
              <w:t>25.000,00</w:t>
            </w:r>
          </w:p>
        </w:tc>
        <w:tc>
          <w:tcPr>
            <w:tcW w:w="1395" w:type="dxa"/>
            <w:tcBorders>
              <w:bottom w:val="single" w:sz="6" w:space="0" w:color="000000"/>
              <w:right w:val="single" w:sz="6" w:space="0" w:color="000000"/>
            </w:tcBorders>
            <w:vAlign w:val="center"/>
          </w:tcPr>
          <w:p w14:paraId="227D959F" w14:textId="77777777" w:rsidR="007D706A" w:rsidRDefault="007D706A" w:rsidP="00F70508">
            <w:pPr>
              <w:pStyle w:val="ParagraphStyle9"/>
              <w:rPr>
                <w:rStyle w:val="CharacterStyle9"/>
              </w:rPr>
            </w:pPr>
            <w:r>
              <w:rPr>
                <w:rStyle w:val="CharacterStyle9"/>
              </w:rPr>
              <w:t>0,00</w:t>
            </w:r>
          </w:p>
        </w:tc>
      </w:tr>
      <w:tr w:rsidR="007D706A" w14:paraId="6B84889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D6FA1C2"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1E9D7C6D"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1ABB191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6BF849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C4E75E3" w14:textId="77777777" w:rsidR="007D706A" w:rsidRDefault="007D706A" w:rsidP="00F70508">
            <w:pPr>
              <w:pStyle w:val="ParagraphStyle12"/>
              <w:rPr>
                <w:rStyle w:val="CharacterStyle12"/>
              </w:rPr>
            </w:pPr>
            <w:r>
              <w:rPr>
                <w:rStyle w:val="CharacterStyle12"/>
              </w:rPr>
              <w:t>37.500,00</w:t>
            </w:r>
          </w:p>
        </w:tc>
        <w:tc>
          <w:tcPr>
            <w:tcW w:w="1395" w:type="dxa"/>
            <w:tcBorders>
              <w:bottom w:val="single" w:sz="6" w:space="0" w:color="000000"/>
              <w:right w:val="single" w:sz="6" w:space="0" w:color="000000"/>
            </w:tcBorders>
            <w:vAlign w:val="center"/>
          </w:tcPr>
          <w:p w14:paraId="790D67EB" w14:textId="77777777" w:rsidR="007D706A" w:rsidRDefault="007D706A" w:rsidP="00F70508">
            <w:pPr>
              <w:pStyle w:val="ParagraphStyle12"/>
              <w:rPr>
                <w:rStyle w:val="CharacterStyle12"/>
              </w:rPr>
            </w:pPr>
            <w:r>
              <w:rPr>
                <w:rStyle w:val="CharacterStyle12"/>
              </w:rPr>
              <w:t>25.000,00</w:t>
            </w:r>
          </w:p>
        </w:tc>
        <w:tc>
          <w:tcPr>
            <w:tcW w:w="1395" w:type="dxa"/>
            <w:tcBorders>
              <w:bottom w:val="single" w:sz="6" w:space="0" w:color="000000"/>
              <w:right w:val="single" w:sz="6" w:space="0" w:color="000000"/>
            </w:tcBorders>
            <w:vAlign w:val="center"/>
          </w:tcPr>
          <w:p w14:paraId="12589623" w14:textId="77777777" w:rsidR="007D706A" w:rsidRDefault="007D706A" w:rsidP="00F70508">
            <w:pPr>
              <w:pStyle w:val="ParagraphStyle12"/>
              <w:rPr>
                <w:rStyle w:val="CharacterStyle12"/>
              </w:rPr>
            </w:pPr>
            <w:r>
              <w:rPr>
                <w:rStyle w:val="CharacterStyle12"/>
              </w:rPr>
              <w:t>0,00</w:t>
            </w:r>
          </w:p>
        </w:tc>
      </w:tr>
      <w:tr w:rsidR="007D706A" w14:paraId="41544D5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679EF50" w14:textId="77777777" w:rsidR="007D706A" w:rsidRDefault="007D706A" w:rsidP="00F70508">
            <w:pPr>
              <w:pStyle w:val="ParagraphStyle10"/>
              <w:rPr>
                <w:rStyle w:val="CharacterStyle10"/>
              </w:rPr>
            </w:pPr>
            <w:r>
              <w:rPr>
                <w:rStyle w:val="CharacterStyle10"/>
              </w:rPr>
              <w:t>42</w:t>
            </w:r>
          </w:p>
        </w:tc>
        <w:tc>
          <w:tcPr>
            <w:tcW w:w="4995" w:type="dxa"/>
            <w:tcBorders>
              <w:bottom w:val="single" w:sz="6" w:space="0" w:color="000000"/>
              <w:right w:val="single" w:sz="6" w:space="0" w:color="000000"/>
            </w:tcBorders>
            <w:vAlign w:val="center"/>
          </w:tcPr>
          <w:p w14:paraId="1EDEA8B4"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5EFAD6A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809DFF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DE301DF" w14:textId="77777777" w:rsidR="007D706A" w:rsidRDefault="007D706A" w:rsidP="00F70508">
            <w:pPr>
              <w:pStyle w:val="ParagraphStyle12"/>
              <w:rPr>
                <w:rStyle w:val="CharacterStyle12"/>
              </w:rPr>
            </w:pPr>
            <w:r>
              <w:rPr>
                <w:rStyle w:val="CharacterStyle12"/>
              </w:rPr>
              <w:t>37.500,00</w:t>
            </w:r>
          </w:p>
        </w:tc>
        <w:tc>
          <w:tcPr>
            <w:tcW w:w="1395" w:type="dxa"/>
            <w:tcBorders>
              <w:bottom w:val="single" w:sz="6" w:space="0" w:color="000000"/>
              <w:right w:val="single" w:sz="6" w:space="0" w:color="000000"/>
            </w:tcBorders>
            <w:vAlign w:val="center"/>
          </w:tcPr>
          <w:p w14:paraId="58CB7F62" w14:textId="77777777" w:rsidR="007D706A" w:rsidRDefault="007D706A" w:rsidP="00F70508">
            <w:pPr>
              <w:pStyle w:val="ParagraphStyle12"/>
              <w:rPr>
                <w:rStyle w:val="CharacterStyle12"/>
              </w:rPr>
            </w:pPr>
            <w:r>
              <w:rPr>
                <w:rStyle w:val="CharacterStyle12"/>
              </w:rPr>
              <w:t>25.000,00</w:t>
            </w:r>
          </w:p>
        </w:tc>
        <w:tc>
          <w:tcPr>
            <w:tcW w:w="1395" w:type="dxa"/>
            <w:tcBorders>
              <w:bottom w:val="single" w:sz="6" w:space="0" w:color="000000"/>
              <w:right w:val="single" w:sz="6" w:space="0" w:color="000000"/>
            </w:tcBorders>
            <w:vAlign w:val="center"/>
          </w:tcPr>
          <w:p w14:paraId="11E2B55C" w14:textId="77777777" w:rsidR="007D706A" w:rsidRDefault="007D706A" w:rsidP="00F70508">
            <w:pPr>
              <w:pStyle w:val="ParagraphStyle12"/>
              <w:rPr>
                <w:rStyle w:val="CharacterStyle12"/>
              </w:rPr>
            </w:pPr>
            <w:r>
              <w:rPr>
                <w:rStyle w:val="CharacterStyle12"/>
              </w:rPr>
              <w:t>0,00</w:t>
            </w:r>
          </w:p>
        </w:tc>
      </w:tr>
      <w:tr w:rsidR="007D706A" w14:paraId="11F98C6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A279796" w14:textId="77777777" w:rsidR="007D706A" w:rsidRDefault="007D706A" w:rsidP="00F70508">
            <w:pPr>
              <w:pStyle w:val="ParagraphStyle4"/>
              <w:rPr>
                <w:rStyle w:val="CharacterStyle4"/>
              </w:rPr>
            </w:pPr>
            <w:r>
              <w:rPr>
                <w:rStyle w:val="CharacterStyle4"/>
              </w:rPr>
              <w:t>Kapitalni projekt K101014</w:t>
            </w:r>
          </w:p>
        </w:tc>
        <w:tc>
          <w:tcPr>
            <w:tcW w:w="4995" w:type="dxa"/>
            <w:tcBorders>
              <w:bottom w:val="single" w:sz="6" w:space="0" w:color="000000"/>
              <w:right w:val="single" w:sz="6" w:space="0" w:color="000000"/>
            </w:tcBorders>
            <w:vAlign w:val="center"/>
          </w:tcPr>
          <w:p w14:paraId="3BEF29F0" w14:textId="77777777" w:rsidR="007D706A" w:rsidRDefault="007D706A" w:rsidP="00F70508">
            <w:pPr>
              <w:pStyle w:val="ParagraphStyle5"/>
              <w:rPr>
                <w:rStyle w:val="CharacterStyle5"/>
              </w:rPr>
            </w:pPr>
            <w:r>
              <w:rPr>
                <w:rStyle w:val="CharacterStyle5"/>
              </w:rPr>
              <w:t>UPU ROVINJSKO SELO</w:t>
            </w:r>
          </w:p>
        </w:tc>
        <w:tc>
          <w:tcPr>
            <w:tcW w:w="1395" w:type="dxa"/>
            <w:tcBorders>
              <w:bottom w:val="single" w:sz="6" w:space="0" w:color="000000"/>
              <w:right w:val="single" w:sz="6" w:space="0" w:color="000000"/>
            </w:tcBorders>
            <w:vAlign w:val="center"/>
          </w:tcPr>
          <w:p w14:paraId="6128AADC"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702FAF7B"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706C01A9" w14:textId="77777777" w:rsidR="007D706A" w:rsidRDefault="007D706A" w:rsidP="00F70508">
            <w:pPr>
              <w:pStyle w:val="ParagraphStyle6"/>
              <w:rPr>
                <w:rStyle w:val="CharacterStyle6"/>
              </w:rPr>
            </w:pPr>
            <w:r>
              <w:rPr>
                <w:rStyle w:val="CharacterStyle6"/>
              </w:rPr>
              <w:t>33.000,00</w:t>
            </w:r>
          </w:p>
        </w:tc>
        <w:tc>
          <w:tcPr>
            <w:tcW w:w="1395" w:type="dxa"/>
            <w:tcBorders>
              <w:bottom w:val="single" w:sz="6" w:space="0" w:color="000000"/>
              <w:right w:val="single" w:sz="6" w:space="0" w:color="000000"/>
            </w:tcBorders>
            <w:vAlign w:val="center"/>
          </w:tcPr>
          <w:p w14:paraId="7A889385"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64906181" w14:textId="77777777" w:rsidR="007D706A" w:rsidRDefault="007D706A" w:rsidP="00F70508">
            <w:pPr>
              <w:pStyle w:val="ParagraphStyle6"/>
              <w:rPr>
                <w:rStyle w:val="CharacterStyle6"/>
              </w:rPr>
            </w:pPr>
            <w:r>
              <w:rPr>
                <w:rStyle w:val="CharacterStyle6"/>
              </w:rPr>
              <w:t>0,00</w:t>
            </w:r>
          </w:p>
        </w:tc>
      </w:tr>
      <w:tr w:rsidR="007D706A" w14:paraId="6A92C07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D8AF1AE"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46665988"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5F858E85"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1B97589"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2DECDDA" w14:textId="77777777" w:rsidR="007D706A" w:rsidRDefault="007D706A" w:rsidP="00F70508">
            <w:pPr>
              <w:pStyle w:val="ParagraphStyle9"/>
              <w:rPr>
                <w:rStyle w:val="CharacterStyle9"/>
              </w:rPr>
            </w:pPr>
            <w:r>
              <w:rPr>
                <w:rStyle w:val="CharacterStyle9"/>
              </w:rPr>
              <w:t>33.000,00</w:t>
            </w:r>
          </w:p>
        </w:tc>
        <w:tc>
          <w:tcPr>
            <w:tcW w:w="1395" w:type="dxa"/>
            <w:tcBorders>
              <w:bottom w:val="single" w:sz="6" w:space="0" w:color="000000"/>
              <w:right w:val="single" w:sz="6" w:space="0" w:color="000000"/>
            </w:tcBorders>
            <w:vAlign w:val="center"/>
          </w:tcPr>
          <w:p w14:paraId="188C102B"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05511A5" w14:textId="77777777" w:rsidR="007D706A" w:rsidRDefault="007D706A" w:rsidP="00F70508">
            <w:pPr>
              <w:pStyle w:val="ParagraphStyle9"/>
              <w:rPr>
                <w:rStyle w:val="CharacterStyle9"/>
              </w:rPr>
            </w:pPr>
            <w:r>
              <w:rPr>
                <w:rStyle w:val="CharacterStyle9"/>
              </w:rPr>
              <w:t>0,00</w:t>
            </w:r>
          </w:p>
        </w:tc>
      </w:tr>
      <w:tr w:rsidR="007D706A" w14:paraId="23160AF6"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AEF0AD9"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5F7FEA57"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494DFEB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030CC8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B224288" w14:textId="77777777" w:rsidR="007D706A" w:rsidRDefault="007D706A" w:rsidP="00F70508">
            <w:pPr>
              <w:pStyle w:val="ParagraphStyle12"/>
              <w:rPr>
                <w:rStyle w:val="CharacterStyle12"/>
              </w:rPr>
            </w:pPr>
            <w:r>
              <w:rPr>
                <w:rStyle w:val="CharacterStyle12"/>
              </w:rPr>
              <w:t>33.000,00</w:t>
            </w:r>
          </w:p>
        </w:tc>
        <w:tc>
          <w:tcPr>
            <w:tcW w:w="1395" w:type="dxa"/>
            <w:tcBorders>
              <w:bottom w:val="single" w:sz="6" w:space="0" w:color="000000"/>
              <w:right w:val="single" w:sz="6" w:space="0" w:color="000000"/>
            </w:tcBorders>
            <w:vAlign w:val="center"/>
          </w:tcPr>
          <w:p w14:paraId="6C5F5B2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1390232" w14:textId="77777777" w:rsidR="007D706A" w:rsidRDefault="007D706A" w:rsidP="00F70508">
            <w:pPr>
              <w:pStyle w:val="ParagraphStyle12"/>
              <w:rPr>
                <w:rStyle w:val="CharacterStyle12"/>
              </w:rPr>
            </w:pPr>
            <w:r>
              <w:rPr>
                <w:rStyle w:val="CharacterStyle12"/>
              </w:rPr>
              <w:t>0,00</w:t>
            </w:r>
          </w:p>
        </w:tc>
      </w:tr>
      <w:tr w:rsidR="007D706A" w14:paraId="10A5DE5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FAF4E32" w14:textId="77777777" w:rsidR="007D706A" w:rsidRDefault="007D706A" w:rsidP="00F70508">
            <w:pPr>
              <w:pStyle w:val="ParagraphStyle10"/>
              <w:rPr>
                <w:rStyle w:val="CharacterStyle10"/>
              </w:rPr>
            </w:pPr>
            <w:r>
              <w:rPr>
                <w:rStyle w:val="CharacterStyle10"/>
              </w:rPr>
              <w:t>42</w:t>
            </w:r>
          </w:p>
        </w:tc>
        <w:tc>
          <w:tcPr>
            <w:tcW w:w="4995" w:type="dxa"/>
            <w:tcBorders>
              <w:bottom w:val="single" w:sz="6" w:space="0" w:color="000000"/>
              <w:right w:val="single" w:sz="6" w:space="0" w:color="000000"/>
            </w:tcBorders>
            <w:vAlign w:val="center"/>
          </w:tcPr>
          <w:p w14:paraId="23578AF0"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7079EA8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02853D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624CACC" w14:textId="77777777" w:rsidR="007D706A" w:rsidRDefault="007D706A" w:rsidP="00F70508">
            <w:pPr>
              <w:pStyle w:val="ParagraphStyle12"/>
              <w:rPr>
                <w:rStyle w:val="CharacterStyle12"/>
              </w:rPr>
            </w:pPr>
            <w:r>
              <w:rPr>
                <w:rStyle w:val="CharacterStyle12"/>
              </w:rPr>
              <w:t>33.000,00</w:t>
            </w:r>
          </w:p>
        </w:tc>
        <w:tc>
          <w:tcPr>
            <w:tcW w:w="1395" w:type="dxa"/>
            <w:tcBorders>
              <w:bottom w:val="single" w:sz="6" w:space="0" w:color="000000"/>
              <w:right w:val="single" w:sz="6" w:space="0" w:color="000000"/>
            </w:tcBorders>
            <w:vAlign w:val="center"/>
          </w:tcPr>
          <w:p w14:paraId="7C84EBB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252E19C" w14:textId="77777777" w:rsidR="007D706A" w:rsidRDefault="007D706A" w:rsidP="00F70508">
            <w:pPr>
              <w:pStyle w:val="ParagraphStyle12"/>
              <w:rPr>
                <w:rStyle w:val="CharacterStyle12"/>
              </w:rPr>
            </w:pPr>
            <w:r>
              <w:rPr>
                <w:rStyle w:val="CharacterStyle12"/>
              </w:rPr>
              <w:t>0,00</w:t>
            </w:r>
          </w:p>
        </w:tc>
      </w:tr>
      <w:tr w:rsidR="007D706A" w14:paraId="5EDF59BD" w14:textId="77777777" w:rsidTr="00F70508">
        <w:trPr>
          <w:trHeight w:val="420"/>
        </w:trPr>
        <w:tc>
          <w:tcPr>
            <w:tcW w:w="2880" w:type="dxa"/>
            <w:tcBorders>
              <w:left w:val="single" w:sz="6" w:space="0" w:color="000000"/>
              <w:bottom w:val="single" w:sz="6" w:space="0" w:color="000000"/>
              <w:right w:val="single" w:sz="6" w:space="0" w:color="000000"/>
            </w:tcBorders>
            <w:vAlign w:val="center"/>
          </w:tcPr>
          <w:p w14:paraId="464F59B7" w14:textId="77777777" w:rsidR="007D706A" w:rsidRDefault="007D706A" w:rsidP="00F70508">
            <w:pPr>
              <w:pStyle w:val="ParagraphStyle4"/>
              <w:rPr>
                <w:rStyle w:val="CharacterStyle4"/>
              </w:rPr>
            </w:pPr>
            <w:r>
              <w:rPr>
                <w:rStyle w:val="CharacterStyle4"/>
              </w:rPr>
              <w:t>PROGRAM    1011</w:t>
            </w:r>
          </w:p>
        </w:tc>
        <w:tc>
          <w:tcPr>
            <w:tcW w:w="4995" w:type="dxa"/>
            <w:tcBorders>
              <w:bottom w:val="single" w:sz="6" w:space="0" w:color="000000"/>
              <w:right w:val="single" w:sz="6" w:space="0" w:color="000000"/>
            </w:tcBorders>
            <w:vAlign w:val="center"/>
          </w:tcPr>
          <w:p w14:paraId="6D319E77" w14:textId="77777777" w:rsidR="007D706A" w:rsidRDefault="007D706A" w:rsidP="00F70508">
            <w:pPr>
              <w:pStyle w:val="ParagraphStyle5"/>
              <w:rPr>
                <w:rStyle w:val="CharacterStyle5"/>
              </w:rPr>
            </w:pPr>
            <w:r>
              <w:rPr>
                <w:rStyle w:val="CharacterStyle5"/>
              </w:rPr>
              <w:t>IZRADA DOKUMENATA PROSTORNOG UREĐENJA-PROJEKTI I STUDIJE</w:t>
            </w:r>
          </w:p>
        </w:tc>
        <w:tc>
          <w:tcPr>
            <w:tcW w:w="1395" w:type="dxa"/>
            <w:tcBorders>
              <w:bottom w:val="single" w:sz="6" w:space="0" w:color="000000"/>
              <w:right w:val="single" w:sz="6" w:space="0" w:color="000000"/>
            </w:tcBorders>
            <w:vAlign w:val="center"/>
          </w:tcPr>
          <w:p w14:paraId="23992508"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452E69AA" w14:textId="77777777" w:rsidR="007D706A" w:rsidRDefault="007D706A" w:rsidP="00F70508">
            <w:pPr>
              <w:pStyle w:val="ParagraphStyle6"/>
              <w:rPr>
                <w:rStyle w:val="CharacterStyle6"/>
              </w:rPr>
            </w:pPr>
            <w:r>
              <w:rPr>
                <w:rStyle w:val="CharacterStyle6"/>
              </w:rPr>
              <w:t>68.450,00</w:t>
            </w:r>
          </w:p>
        </w:tc>
        <w:tc>
          <w:tcPr>
            <w:tcW w:w="1395" w:type="dxa"/>
            <w:tcBorders>
              <w:bottom w:val="single" w:sz="6" w:space="0" w:color="000000"/>
              <w:right w:val="single" w:sz="6" w:space="0" w:color="000000"/>
            </w:tcBorders>
            <w:vAlign w:val="center"/>
          </w:tcPr>
          <w:p w14:paraId="20987CB8" w14:textId="77777777" w:rsidR="007D706A" w:rsidRDefault="007D706A" w:rsidP="00F70508">
            <w:pPr>
              <w:pStyle w:val="ParagraphStyle6"/>
              <w:rPr>
                <w:rStyle w:val="CharacterStyle6"/>
              </w:rPr>
            </w:pPr>
            <w:r>
              <w:rPr>
                <w:rStyle w:val="CharacterStyle6"/>
              </w:rPr>
              <w:t>69.500,00</w:t>
            </w:r>
          </w:p>
        </w:tc>
        <w:tc>
          <w:tcPr>
            <w:tcW w:w="1395" w:type="dxa"/>
            <w:tcBorders>
              <w:bottom w:val="single" w:sz="6" w:space="0" w:color="000000"/>
              <w:right w:val="single" w:sz="6" w:space="0" w:color="000000"/>
            </w:tcBorders>
            <w:vAlign w:val="center"/>
          </w:tcPr>
          <w:p w14:paraId="14F57025" w14:textId="77777777" w:rsidR="007D706A" w:rsidRDefault="007D706A" w:rsidP="00F70508">
            <w:pPr>
              <w:pStyle w:val="ParagraphStyle6"/>
              <w:rPr>
                <w:rStyle w:val="CharacterStyle6"/>
              </w:rPr>
            </w:pPr>
            <w:r>
              <w:rPr>
                <w:rStyle w:val="CharacterStyle6"/>
              </w:rPr>
              <w:t>10.000,00</w:t>
            </w:r>
          </w:p>
        </w:tc>
        <w:tc>
          <w:tcPr>
            <w:tcW w:w="1395" w:type="dxa"/>
            <w:tcBorders>
              <w:bottom w:val="single" w:sz="6" w:space="0" w:color="000000"/>
              <w:right w:val="single" w:sz="6" w:space="0" w:color="000000"/>
            </w:tcBorders>
            <w:vAlign w:val="center"/>
          </w:tcPr>
          <w:p w14:paraId="26DBF1FE" w14:textId="77777777" w:rsidR="007D706A" w:rsidRDefault="007D706A" w:rsidP="00F70508">
            <w:pPr>
              <w:pStyle w:val="ParagraphStyle6"/>
              <w:rPr>
                <w:rStyle w:val="CharacterStyle6"/>
              </w:rPr>
            </w:pPr>
            <w:r>
              <w:rPr>
                <w:rStyle w:val="CharacterStyle6"/>
              </w:rPr>
              <w:t>0,00</w:t>
            </w:r>
          </w:p>
        </w:tc>
      </w:tr>
      <w:tr w:rsidR="007D706A" w14:paraId="44A2112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98297E7" w14:textId="77777777" w:rsidR="007D706A" w:rsidRDefault="007D706A" w:rsidP="00F70508">
            <w:pPr>
              <w:pStyle w:val="ParagraphStyle4"/>
              <w:rPr>
                <w:rStyle w:val="CharacterStyle4"/>
              </w:rPr>
            </w:pPr>
            <w:r>
              <w:rPr>
                <w:rStyle w:val="CharacterStyle4"/>
              </w:rPr>
              <w:lastRenderedPageBreak/>
              <w:t>Kapitalni projekt K101102</w:t>
            </w:r>
          </w:p>
        </w:tc>
        <w:tc>
          <w:tcPr>
            <w:tcW w:w="4995" w:type="dxa"/>
            <w:tcBorders>
              <w:bottom w:val="single" w:sz="6" w:space="0" w:color="000000"/>
              <w:right w:val="single" w:sz="6" w:space="0" w:color="000000"/>
            </w:tcBorders>
            <w:vAlign w:val="center"/>
          </w:tcPr>
          <w:p w14:paraId="620A5680" w14:textId="77777777" w:rsidR="007D706A" w:rsidRDefault="007D706A" w:rsidP="00F70508">
            <w:pPr>
              <w:pStyle w:val="ParagraphStyle5"/>
              <w:rPr>
                <w:rStyle w:val="CharacterStyle5"/>
              </w:rPr>
            </w:pPr>
            <w:r>
              <w:rPr>
                <w:rStyle w:val="CharacterStyle5"/>
              </w:rPr>
              <w:t>ORTOFOTO PLAN (DOF)</w:t>
            </w:r>
          </w:p>
        </w:tc>
        <w:tc>
          <w:tcPr>
            <w:tcW w:w="1395" w:type="dxa"/>
            <w:tcBorders>
              <w:bottom w:val="single" w:sz="6" w:space="0" w:color="000000"/>
              <w:right w:val="single" w:sz="6" w:space="0" w:color="000000"/>
            </w:tcBorders>
            <w:vAlign w:val="center"/>
          </w:tcPr>
          <w:p w14:paraId="41A567AF"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01876FBB" w14:textId="77777777" w:rsidR="007D706A" w:rsidRDefault="007D706A" w:rsidP="00F70508">
            <w:pPr>
              <w:pStyle w:val="ParagraphStyle6"/>
              <w:rPr>
                <w:rStyle w:val="CharacterStyle6"/>
              </w:rPr>
            </w:pPr>
            <w:r>
              <w:rPr>
                <w:rStyle w:val="CharacterStyle6"/>
              </w:rPr>
              <w:t>11.950,00</w:t>
            </w:r>
          </w:p>
        </w:tc>
        <w:tc>
          <w:tcPr>
            <w:tcW w:w="1395" w:type="dxa"/>
            <w:tcBorders>
              <w:bottom w:val="single" w:sz="6" w:space="0" w:color="000000"/>
              <w:right w:val="single" w:sz="6" w:space="0" w:color="000000"/>
            </w:tcBorders>
            <w:vAlign w:val="center"/>
          </w:tcPr>
          <w:p w14:paraId="43D61387" w14:textId="77777777" w:rsidR="007D706A" w:rsidRDefault="007D706A" w:rsidP="00F70508">
            <w:pPr>
              <w:pStyle w:val="ParagraphStyle6"/>
              <w:rPr>
                <w:rStyle w:val="CharacterStyle6"/>
              </w:rPr>
            </w:pPr>
            <w:r>
              <w:rPr>
                <w:rStyle w:val="CharacterStyle6"/>
              </w:rPr>
              <w:t>13.000,00</w:t>
            </w:r>
          </w:p>
        </w:tc>
        <w:tc>
          <w:tcPr>
            <w:tcW w:w="1395" w:type="dxa"/>
            <w:tcBorders>
              <w:bottom w:val="single" w:sz="6" w:space="0" w:color="000000"/>
              <w:right w:val="single" w:sz="6" w:space="0" w:color="000000"/>
            </w:tcBorders>
            <w:vAlign w:val="center"/>
          </w:tcPr>
          <w:p w14:paraId="06B7FD89"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5B862764" w14:textId="77777777" w:rsidR="007D706A" w:rsidRDefault="007D706A" w:rsidP="00F70508">
            <w:pPr>
              <w:pStyle w:val="ParagraphStyle6"/>
              <w:rPr>
                <w:rStyle w:val="CharacterStyle6"/>
              </w:rPr>
            </w:pPr>
            <w:r>
              <w:rPr>
                <w:rStyle w:val="CharacterStyle6"/>
              </w:rPr>
              <w:t>0,00</w:t>
            </w:r>
          </w:p>
        </w:tc>
      </w:tr>
      <w:tr w:rsidR="007D706A" w14:paraId="2B27FB6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877E4C0"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4A8F5159"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773094A0"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DC2C167" w14:textId="77777777" w:rsidR="007D706A" w:rsidRDefault="007D706A" w:rsidP="00F70508">
            <w:pPr>
              <w:pStyle w:val="ParagraphStyle9"/>
              <w:rPr>
                <w:rStyle w:val="CharacterStyle9"/>
              </w:rPr>
            </w:pPr>
            <w:r>
              <w:rPr>
                <w:rStyle w:val="CharacterStyle9"/>
              </w:rPr>
              <w:t>11.950,00</w:t>
            </w:r>
          </w:p>
        </w:tc>
        <w:tc>
          <w:tcPr>
            <w:tcW w:w="1395" w:type="dxa"/>
            <w:tcBorders>
              <w:bottom w:val="single" w:sz="6" w:space="0" w:color="000000"/>
              <w:right w:val="single" w:sz="6" w:space="0" w:color="000000"/>
            </w:tcBorders>
            <w:vAlign w:val="center"/>
          </w:tcPr>
          <w:p w14:paraId="538248E2"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832F658"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6216B8D" w14:textId="77777777" w:rsidR="007D706A" w:rsidRDefault="007D706A" w:rsidP="00F70508">
            <w:pPr>
              <w:pStyle w:val="ParagraphStyle9"/>
              <w:rPr>
                <w:rStyle w:val="CharacterStyle9"/>
              </w:rPr>
            </w:pPr>
            <w:r>
              <w:rPr>
                <w:rStyle w:val="CharacterStyle9"/>
              </w:rPr>
              <w:t>0,00</w:t>
            </w:r>
          </w:p>
        </w:tc>
      </w:tr>
      <w:tr w:rsidR="007D706A" w14:paraId="4B23DC8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7E48FEF"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5672A4C8"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0728682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43024F7" w14:textId="77777777" w:rsidR="007D706A" w:rsidRDefault="007D706A" w:rsidP="00F70508">
            <w:pPr>
              <w:pStyle w:val="ParagraphStyle12"/>
              <w:rPr>
                <w:rStyle w:val="CharacterStyle12"/>
              </w:rPr>
            </w:pPr>
            <w:r>
              <w:rPr>
                <w:rStyle w:val="CharacterStyle12"/>
              </w:rPr>
              <w:t>11.950,00</w:t>
            </w:r>
          </w:p>
        </w:tc>
        <w:tc>
          <w:tcPr>
            <w:tcW w:w="1395" w:type="dxa"/>
            <w:tcBorders>
              <w:bottom w:val="single" w:sz="6" w:space="0" w:color="000000"/>
              <w:right w:val="single" w:sz="6" w:space="0" w:color="000000"/>
            </w:tcBorders>
            <w:vAlign w:val="center"/>
          </w:tcPr>
          <w:p w14:paraId="3606E32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146588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2BF9780" w14:textId="77777777" w:rsidR="007D706A" w:rsidRDefault="007D706A" w:rsidP="00F70508">
            <w:pPr>
              <w:pStyle w:val="ParagraphStyle12"/>
              <w:rPr>
                <w:rStyle w:val="CharacterStyle12"/>
              </w:rPr>
            </w:pPr>
            <w:r>
              <w:rPr>
                <w:rStyle w:val="CharacterStyle12"/>
              </w:rPr>
              <w:t>0,00</w:t>
            </w:r>
          </w:p>
        </w:tc>
      </w:tr>
      <w:tr w:rsidR="007D706A" w14:paraId="67484DE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9CFBE0C" w14:textId="77777777" w:rsidR="007D706A" w:rsidRDefault="007D706A" w:rsidP="00F70508">
            <w:pPr>
              <w:pStyle w:val="ParagraphStyle10"/>
              <w:rPr>
                <w:rStyle w:val="CharacterStyle10"/>
              </w:rPr>
            </w:pPr>
            <w:r>
              <w:rPr>
                <w:rStyle w:val="CharacterStyle10"/>
              </w:rPr>
              <w:t>42</w:t>
            </w:r>
          </w:p>
        </w:tc>
        <w:tc>
          <w:tcPr>
            <w:tcW w:w="4995" w:type="dxa"/>
            <w:tcBorders>
              <w:bottom w:val="single" w:sz="6" w:space="0" w:color="000000"/>
              <w:right w:val="single" w:sz="6" w:space="0" w:color="000000"/>
            </w:tcBorders>
            <w:vAlign w:val="center"/>
          </w:tcPr>
          <w:p w14:paraId="71BAA321"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201121D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C4C5B39" w14:textId="77777777" w:rsidR="007D706A" w:rsidRDefault="007D706A" w:rsidP="00F70508">
            <w:pPr>
              <w:pStyle w:val="ParagraphStyle12"/>
              <w:rPr>
                <w:rStyle w:val="CharacterStyle12"/>
              </w:rPr>
            </w:pPr>
            <w:r>
              <w:rPr>
                <w:rStyle w:val="CharacterStyle12"/>
              </w:rPr>
              <w:t>11.950,00</w:t>
            </w:r>
          </w:p>
        </w:tc>
        <w:tc>
          <w:tcPr>
            <w:tcW w:w="1395" w:type="dxa"/>
            <w:tcBorders>
              <w:bottom w:val="single" w:sz="6" w:space="0" w:color="000000"/>
              <w:right w:val="single" w:sz="6" w:space="0" w:color="000000"/>
            </w:tcBorders>
            <w:vAlign w:val="center"/>
          </w:tcPr>
          <w:p w14:paraId="285467E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924079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64384BF" w14:textId="77777777" w:rsidR="007D706A" w:rsidRDefault="007D706A" w:rsidP="00F70508">
            <w:pPr>
              <w:pStyle w:val="ParagraphStyle12"/>
              <w:rPr>
                <w:rStyle w:val="CharacterStyle12"/>
              </w:rPr>
            </w:pPr>
            <w:r>
              <w:rPr>
                <w:rStyle w:val="CharacterStyle12"/>
              </w:rPr>
              <w:t>0,00</w:t>
            </w:r>
          </w:p>
        </w:tc>
      </w:tr>
      <w:tr w:rsidR="007D706A" w14:paraId="200C90E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BE191CD" w14:textId="77777777" w:rsidR="007D706A" w:rsidRDefault="007D706A" w:rsidP="00F70508">
            <w:pPr>
              <w:pStyle w:val="ParagraphStyle7"/>
              <w:rPr>
                <w:rStyle w:val="CharacterStyle7"/>
              </w:rPr>
            </w:pPr>
            <w:r>
              <w:rPr>
                <w:rStyle w:val="CharacterStyle7"/>
              </w:rPr>
              <w:t>Izvor financiranja 43</w:t>
            </w:r>
          </w:p>
        </w:tc>
        <w:tc>
          <w:tcPr>
            <w:tcW w:w="4995" w:type="dxa"/>
            <w:tcBorders>
              <w:bottom w:val="single" w:sz="6" w:space="0" w:color="000000"/>
              <w:right w:val="single" w:sz="6" w:space="0" w:color="000000"/>
            </w:tcBorders>
            <w:vAlign w:val="center"/>
          </w:tcPr>
          <w:p w14:paraId="77A33B1D" w14:textId="77777777" w:rsidR="007D706A" w:rsidRDefault="007D706A" w:rsidP="00F70508">
            <w:pPr>
              <w:pStyle w:val="ParagraphStyle8"/>
              <w:rPr>
                <w:rStyle w:val="CharacterStyle8"/>
              </w:rPr>
            </w:pPr>
            <w:r>
              <w:rPr>
                <w:rStyle w:val="CharacterStyle8"/>
              </w:rPr>
              <w:t>Ostali prihodi za posebne namjene</w:t>
            </w:r>
          </w:p>
        </w:tc>
        <w:tc>
          <w:tcPr>
            <w:tcW w:w="1395" w:type="dxa"/>
            <w:tcBorders>
              <w:bottom w:val="single" w:sz="6" w:space="0" w:color="000000"/>
              <w:right w:val="single" w:sz="6" w:space="0" w:color="000000"/>
            </w:tcBorders>
            <w:vAlign w:val="center"/>
          </w:tcPr>
          <w:p w14:paraId="4C1FB8FA"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80828F5"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C182C8C" w14:textId="77777777" w:rsidR="007D706A" w:rsidRDefault="007D706A" w:rsidP="00F70508">
            <w:pPr>
              <w:pStyle w:val="ParagraphStyle9"/>
              <w:rPr>
                <w:rStyle w:val="CharacterStyle9"/>
              </w:rPr>
            </w:pPr>
            <w:r>
              <w:rPr>
                <w:rStyle w:val="CharacterStyle9"/>
              </w:rPr>
              <w:t>13.000,00</w:t>
            </w:r>
          </w:p>
        </w:tc>
        <w:tc>
          <w:tcPr>
            <w:tcW w:w="1395" w:type="dxa"/>
            <w:tcBorders>
              <w:bottom w:val="single" w:sz="6" w:space="0" w:color="000000"/>
              <w:right w:val="single" w:sz="6" w:space="0" w:color="000000"/>
            </w:tcBorders>
            <w:vAlign w:val="center"/>
          </w:tcPr>
          <w:p w14:paraId="7671E646"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A9C0F88" w14:textId="77777777" w:rsidR="007D706A" w:rsidRDefault="007D706A" w:rsidP="00F70508">
            <w:pPr>
              <w:pStyle w:val="ParagraphStyle9"/>
              <w:rPr>
                <w:rStyle w:val="CharacterStyle9"/>
              </w:rPr>
            </w:pPr>
            <w:r>
              <w:rPr>
                <w:rStyle w:val="CharacterStyle9"/>
              </w:rPr>
              <w:t>0,00</w:t>
            </w:r>
          </w:p>
        </w:tc>
      </w:tr>
      <w:tr w:rsidR="007D706A" w14:paraId="2FB0A14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D1EAB42"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3C9CBA33"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63A00B5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DE0207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A4B1600" w14:textId="77777777" w:rsidR="007D706A" w:rsidRDefault="007D706A" w:rsidP="00F70508">
            <w:pPr>
              <w:pStyle w:val="ParagraphStyle12"/>
              <w:rPr>
                <w:rStyle w:val="CharacterStyle12"/>
              </w:rPr>
            </w:pPr>
            <w:r>
              <w:rPr>
                <w:rStyle w:val="CharacterStyle12"/>
              </w:rPr>
              <w:t>13.000,00</w:t>
            </w:r>
          </w:p>
        </w:tc>
        <w:tc>
          <w:tcPr>
            <w:tcW w:w="1395" w:type="dxa"/>
            <w:tcBorders>
              <w:bottom w:val="single" w:sz="6" w:space="0" w:color="000000"/>
              <w:right w:val="single" w:sz="6" w:space="0" w:color="000000"/>
            </w:tcBorders>
            <w:vAlign w:val="center"/>
          </w:tcPr>
          <w:p w14:paraId="5D97FFD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B3F1FB8" w14:textId="77777777" w:rsidR="007D706A" w:rsidRDefault="007D706A" w:rsidP="00F70508">
            <w:pPr>
              <w:pStyle w:val="ParagraphStyle12"/>
              <w:rPr>
                <w:rStyle w:val="CharacterStyle12"/>
              </w:rPr>
            </w:pPr>
            <w:r>
              <w:rPr>
                <w:rStyle w:val="CharacterStyle12"/>
              </w:rPr>
              <w:t>0,00</w:t>
            </w:r>
          </w:p>
        </w:tc>
      </w:tr>
      <w:tr w:rsidR="007D706A" w14:paraId="7413BE8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628B714" w14:textId="77777777" w:rsidR="007D706A" w:rsidRDefault="007D706A" w:rsidP="00F70508">
            <w:pPr>
              <w:pStyle w:val="ParagraphStyle10"/>
              <w:rPr>
                <w:rStyle w:val="CharacterStyle10"/>
              </w:rPr>
            </w:pPr>
            <w:r>
              <w:rPr>
                <w:rStyle w:val="CharacterStyle10"/>
              </w:rPr>
              <w:t>42</w:t>
            </w:r>
          </w:p>
        </w:tc>
        <w:tc>
          <w:tcPr>
            <w:tcW w:w="4995" w:type="dxa"/>
            <w:tcBorders>
              <w:bottom w:val="single" w:sz="6" w:space="0" w:color="000000"/>
              <w:right w:val="single" w:sz="6" w:space="0" w:color="000000"/>
            </w:tcBorders>
            <w:vAlign w:val="center"/>
          </w:tcPr>
          <w:p w14:paraId="03044546"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55E23B1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3019EB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03306FB" w14:textId="77777777" w:rsidR="007D706A" w:rsidRDefault="007D706A" w:rsidP="00F70508">
            <w:pPr>
              <w:pStyle w:val="ParagraphStyle12"/>
              <w:rPr>
                <w:rStyle w:val="CharacterStyle12"/>
              </w:rPr>
            </w:pPr>
            <w:r>
              <w:rPr>
                <w:rStyle w:val="CharacterStyle12"/>
              </w:rPr>
              <w:t>13.000,00</w:t>
            </w:r>
          </w:p>
        </w:tc>
        <w:tc>
          <w:tcPr>
            <w:tcW w:w="1395" w:type="dxa"/>
            <w:tcBorders>
              <w:bottom w:val="single" w:sz="6" w:space="0" w:color="000000"/>
              <w:right w:val="single" w:sz="6" w:space="0" w:color="000000"/>
            </w:tcBorders>
            <w:vAlign w:val="center"/>
          </w:tcPr>
          <w:p w14:paraId="509FBAF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AD4E2F6" w14:textId="77777777" w:rsidR="007D706A" w:rsidRDefault="007D706A" w:rsidP="00F70508">
            <w:pPr>
              <w:pStyle w:val="ParagraphStyle12"/>
              <w:rPr>
                <w:rStyle w:val="CharacterStyle12"/>
              </w:rPr>
            </w:pPr>
            <w:r>
              <w:rPr>
                <w:rStyle w:val="CharacterStyle12"/>
              </w:rPr>
              <w:t>0,00</w:t>
            </w:r>
          </w:p>
        </w:tc>
      </w:tr>
      <w:tr w:rsidR="007D706A" w14:paraId="162C4B4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481F021" w14:textId="77777777" w:rsidR="007D706A" w:rsidRDefault="007D706A" w:rsidP="00F70508">
            <w:pPr>
              <w:pStyle w:val="ParagraphStyle4"/>
              <w:rPr>
                <w:rStyle w:val="CharacterStyle4"/>
              </w:rPr>
            </w:pPr>
            <w:r>
              <w:rPr>
                <w:rStyle w:val="CharacterStyle4"/>
              </w:rPr>
              <w:t>Kapitalni projekt K101106</w:t>
            </w:r>
          </w:p>
        </w:tc>
        <w:tc>
          <w:tcPr>
            <w:tcW w:w="4995" w:type="dxa"/>
            <w:tcBorders>
              <w:bottom w:val="single" w:sz="6" w:space="0" w:color="000000"/>
              <w:right w:val="single" w:sz="6" w:space="0" w:color="000000"/>
            </w:tcBorders>
            <w:vAlign w:val="center"/>
          </w:tcPr>
          <w:p w14:paraId="77E5F1C9" w14:textId="77777777" w:rsidR="007D706A" w:rsidRDefault="007D706A" w:rsidP="00F70508">
            <w:pPr>
              <w:pStyle w:val="ParagraphStyle5"/>
              <w:rPr>
                <w:rStyle w:val="CharacterStyle5"/>
              </w:rPr>
            </w:pPr>
            <w:r>
              <w:rPr>
                <w:rStyle w:val="CharacterStyle5"/>
              </w:rPr>
              <w:t>PROJEKTNA DOKUMENTACIJA_PROMETNICE MONTEPOZZO</w:t>
            </w:r>
          </w:p>
        </w:tc>
        <w:tc>
          <w:tcPr>
            <w:tcW w:w="1395" w:type="dxa"/>
            <w:tcBorders>
              <w:bottom w:val="single" w:sz="6" w:space="0" w:color="000000"/>
              <w:right w:val="single" w:sz="6" w:space="0" w:color="000000"/>
            </w:tcBorders>
            <w:vAlign w:val="center"/>
          </w:tcPr>
          <w:p w14:paraId="4B799704"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12A35CFB" w14:textId="77777777" w:rsidR="007D706A" w:rsidRDefault="007D706A" w:rsidP="00F70508">
            <w:pPr>
              <w:pStyle w:val="ParagraphStyle6"/>
              <w:rPr>
                <w:rStyle w:val="CharacterStyle6"/>
              </w:rPr>
            </w:pPr>
            <w:r>
              <w:rPr>
                <w:rStyle w:val="CharacterStyle6"/>
              </w:rPr>
              <w:t>23.500,00</w:t>
            </w:r>
          </w:p>
        </w:tc>
        <w:tc>
          <w:tcPr>
            <w:tcW w:w="1395" w:type="dxa"/>
            <w:tcBorders>
              <w:bottom w:val="single" w:sz="6" w:space="0" w:color="000000"/>
              <w:right w:val="single" w:sz="6" w:space="0" w:color="000000"/>
            </w:tcBorders>
            <w:vAlign w:val="center"/>
          </w:tcPr>
          <w:p w14:paraId="2032CB93" w14:textId="77777777" w:rsidR="007D706A" w:rsidRDefault="007D706A" w:rsidP="00F70508">
            <w:pPr>
              <w:pStyle w:val="ParagraphStyle6"/>
              <w:rPr>
                <w:rStyle w:val="CharacterStyle6"/>
              </w:rPr>
            </w:pPr>
            <w:r>
              <w:rPr>
                <w:rStyle w:val="CharacterStyle6"/>
              </w:rPr>
              <w:t>23.500,00</w:t>
            </w:r>
          </w:p>
        </w:tc>
        <w:tc>
          <w:tcPr>
            <w:tcW w:w="1395" w:type="dxa"/>
            <w:tcBorders>
              <w:bottom w:val="single" w:sz="6" w:space="0" w:color="000000"/>
              <w:right w:val="single" w:sz="6" w:space="0" w:color="000000"/>
            </w:tcBorders>
            <w:vAlign w:val="center"/>
          </w:tcPr>
          <w:p w14:paraId="57B87754" w14:textId="77777777" w:rsidR="007D706A" w:rsidRDefault="007D706A" w:rsidP="00F70508">
            <w:pPr>
              <w:pStyle w:val="ParagraphStyle6"/>
              <w:rPr>
                <w:rStyle w:val="CharacterStyle6"/>
              </w:rPr>
            </w:pPr>
            <w:r>
              <w:rPr>
                <w:rStyle w:val="CharacterStyle6"/>
              </w:rPr>
              <w:t>10.000,00</w:t>
            </w:r>
          </w:p>
        </w:tc>
        <w:tc>
          <w:tcPr>
            <w:tcW w:w="1395" w:type="dxa"/>
            <w:tcBorders>
              <w:bottom w:val="single" w:sz="6" w:space="0" w:color="000000"/>
              <w:right w:val="single" w:sz="6" w:space="0" w:color="000000"/>
            </w:tcBorders>
            <w:vAlign w:val="center"/>
          </w:tcPr>
          <w:p w14:paraId="5AC6C2CE" w14:textId="77777777" w:rsidR="007D706A" w:rsidRDefault="007D706A" w:rsidP="00F70508">
            <w:pPr>
              <w:pStyle w:val="ParagraphStyle6"/>
              <w:rPr>
                <w:rStyle w:val="CharacterStyle6"/>
              </w:rPr>
            </w:pPr>
            <w:r>
              <w:rPr>
                <w:rStyle w:val="CharacterStyle6"/>
              </w:rPr>
              <w:t>0,00</w:t>
            </w:r>
          </w:p>
        </w:tc>
      </w:tr>
      <w:tr w:rsidR="007D706A" w14:paraId="72C6E8C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C4FBE1A"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5A3CBBD8"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66FF237C"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50139F7" w14:textId="77777777" w:rsidR="007D706A" w:rsidRDefault="007D706A" w:rsidP="00F70508">
            <w:pPr>
              <w:pStyle w:val="ParagraphStyle9"/>
              <w:rPr>
                <w:rStyle w:val="CharacterStyle9"/>
              </w:rPr>
            </w:pPr>
            <w:r>
              <w:rPr>
                <w:rStyle w:val="CharacterStyle9"/>
              </w:rPr>
              <w:t>11.000,00</w:t>
            </w:r>
          </w:p>
        </w:tc>
        <w:tc>
          <w:tcPr>
            <w:tcW w:w="1395" w:type="dxa"/>
            <w:tcBorders>
              <w:bottom w:val="single" w:sz="6" w:space="0" w:color="000000"/>
              <w:right w:val="single" w:sz="6" w:space="0" w:color="000000"/>
            </w:tcBorders>
            <w:vAlign w:val="center"/>
          </w:tcPr>
          <w:p w14:paraId="7B19A479"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1C7BDCE"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6C94774" w14:textId="77777777" w:rsidR="007D706A" w:rsidRDefault="007D706A" w:rsidP="00F70508">
            <w:pPr>
              <w:pStyle w:val="ParagraphStyle9"/>
              <w:rPr>
                <w:rStyle w:val="CharacterStyle9"/>
              </w:rPr>
            </w:pPr>
            <w:r>
              <w:rPr>
                <w:rStyle w:val="CharacterStyle9"/>
              </w:rPr>
              <w:t>0,00</w:t>
            </w:r>
          </w:p>
        </w:tc>
      </w:tr>
      <w:tr w:rsidR="007D706A" w14:paraId="7E33EFE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3DD30F9"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67ACA515"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654614A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C935ECD" w14:textId="77777777" w:rsidR="007D706A" w:rsidRDefault="007D706A" w:rsidP="00F70508">
            <w:pPr>
              <w:pStyle w:val="ParagraphStyle12"/>
              <w:rPr>
                <w:rStyle w:val="CharacterStyle12"/>
              </w:rPr>
            </w:pPr>
            <w:r>
              <w:rPr>
                <w:rStyle w:val="CharacterStyle12"/>
              </w:rPr>
              <w:t>11.000,00</w:t>
            </w:r>
          </w:p>
        </w:tc>
        <w:tc>
          <w:tcPr>
            <w:tcW w:w="1395" w:type="dxa"/>
            <w:tcBorders>
              <w:bottom w:val="single" w:sz="6" w:space="0" w:color="000000"/>
              <w:right w:val="single" w:sz="6" w:space="0" w:color="000000"/>
            </w:tcBorders>
            <w:vAlign w:val="center"/>
          </w:tcPr>
          <w:p w14:paraId="4CA8BC4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04BFFE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EA43FE3" w14:textId="77777777" w:rsidR="007D706A" w:rsidRDefault="007D706A" w:rsidP="00F70508">
            <w:pPr>
              <w:pStyle w:val="ParagraphStyle12"/>
              <w:rPr>
                <w:rStyle w:val="CharacterStyle12"/>
              </w:rPr>
            </w:pPr>
            <w:r>
              <w:rPr>
                <w:rStyle w:val="CharacterStyle12"/>
              </w:rPr>
              <w:t>0,00</w:t>
            </w:r>
          </w:p>
        </w:tc>
      </w:tr>
      <w:tr w:rsidR="007D706A" w14:paraId="616B9B0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9879D08" w14:textId="77777777" w:rsidR="007D706A" w:rsidRDefault="007D706A" w:rsidP="00F70508">
            <w:pPr>
              <w:pStyle w:val="ParagraphStyle10"/>
              <w:rPr>
                <w:rStyle w:val="CharacterStyle10"/>
              </w:rPr>
            </w:pPr>
            <w:r>
              <w:rPr>
                <w:rStyle w:val="CharacterStyle10"/>
              </w:rPr>
              <w:t>42</w:t>
            </w:r>
          </w:p>
        </w:tc>
        <w:tc>
          <w:tcPr>
            <w:tcW w:w="4995" w:type="dxa"/>
            <w:tcBorders>
              <w:bottom w:val="single" w:sz="6" w:space="0" w:color="000000"/>
              <w:right w:val="single" w:sz="6" w:space="0" w:color="000000"/>
            </w:tcBorders>
            <w:vAlign w:val="center"/>
          </w:tcPr>
          <w:p w14:paraId="529FF839"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5E02850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1B5A9EB" w14:textId="77777777" w:rsidR="007D706A" w:rsidRDefault="007D706A" w:rsidP="00F70508">
            <w:pPr>
              <w:pStyle w:val="ParagraphStyle12"/>
              <w:rPr>
                <w:rStyle w:val="CharacterStyle12"/>
              </w:rPr>
            </w:pPr>
            <w:r>
              <w:rPr>
                <w:rStyle w:val="CharacterStyle12"/>
              </w:rPr>
              <w:t>11.000,00</w:t>
            </w:r>
          </w:p>
        </w:tc>
        <w:tc>
          <w:tcPr>
            <w:tcW w:w="1395" w:type="dxa"/>
            <w:tcBorders>
              <w:bottom w:val="single" w:sz="6" w:space="0" w:color="000000"/>
              <w:right w:val="single" w:sz="6" w:space="0" w:color="000000"/>
            </w:tcBorders>
            <w:vAlign w:val="center"/>
          </w:tcPr>
          <w:p w14:paraId="5144707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99A713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4F761B1" w14:textId="77777777" w:rsidR="007D706A" w:rsidRDefault="007D706A" w:rsidP="00F70508">
            <w:pPr>
              <w:pStyle w:val="ParagraphStyle12"/>
              <w:rPr>
                <w:rStyle w:val="CharacterStyle12"/>
              </w:rPr>
            </w:pPr>
            <w:r>
              <w:rPr>
                <w:rStyle w:val="CharacterStyle12"/>
              </w:rPr>
              <w:t>0,00</w:t>
            </w:r>
          </w:p>
        </w:tc>
      </w:tr>
      <w:tr w:rsidR="007D706A" w14:paraId="1B1018B6"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827C35E" w14:textId="77777777" w:rsidR="007D706A" w:rsidRDefault="007D706A" w:rsidP="00F70508">
            <w:pPr>
              <w:pStyle w:val="ParagraphStyle7"/>
              <w:rPr>
                <w:rStyle w:val="CharacterStyle7"/>
              </w:rPr>
            </w:pPr>
            <w:r>
              <w:rPr>
                <w:rStyle w:val="CharacterStyle7"/>
              </w:rPr>
              <w:t>Izvor financiranja 43</w:t>
            </w:r>
          </w:p>
        </w:tc>
        <w:tc>
          <w:tcPr>
            <w:tcW w:w="4995" w:type="dxa"/>
            <w:tcBorders>
              <w:bottom w:val="single" w:sz="6" w:space="0" w:color="000000"/>
              <w:right w:val="single" w:sz="6" w:space="0" w:color="000000"/>
            </w:tcBorders>
            <w:vAlign w:val="center"/>
          </w:tcPr>
          <w:p w14:paraId="287EED34" w14:textId="77777777" w:rsidR="007D706A" w:rsidRDefault="007D706A" w:rsidP="00F70508">
            <w:pPr>
              <w:pStyle w:val="ParagraphStyle8"/>
              <w:rPr>
                <w:rStyle w:val="CharacterStyle8"/>
              </w:rPr>
            </w:pPr>
            <w:r>
              <w:rPr>
                <w:rStyle w:val="CharacterStyle8"/>
              </w:rPr>
              <w:t>Ostali prihodi za posebne namjene</w:t>
            </w:r>
          </w:p>
        </w:tc>
        <w:tc>
          <w:tcPr>
            <w:tcW w:w="1395" w:type="dxa"/>
            <w:tcBorders>
              <w:bottom w:val="single" w:sz="6" w:space="0" w:color="000000"/>
              <w:right w:val="single" w:sz="6" w:space="0" w:color="000000"/>
            </w:tcBorders>
            <w:vAlign w:val="center"/>
          </w:tcPr>
          <w:p w14:paraId="285EA7B4"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25466A0"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AF1F7D9" w14:textId="77777777" w:rsidR="007D706A" w:rsidRDefault="007D706A" w:rsidP="00F70508">
            <w:pPr>
              <w:pStyle w:val="ParagraphStyle9"/>
              <w:rPr>
                <w:rStyle w:val="CharacterStyle9"/>
              </w:rPr>
            </w:pPr>
            <w:r>
              <w:rPr>
                <w:rStyle w:val="CharacterStyle9"/>
              </w:rPr>
              <w:t>23.500,00</w:t>
            </w:r>
          </w:p>
        </w:tc>
        <w:tc>
          <w:tcPr>
            <w:tcW w:w="1395" w:type="dxa"/>
            <w:tcBorders>
              <w:bottom w:val="single" w:sz="6" w:space="0" w:color="000000"/>
              <w:right w:val="single" w:sz="6" w:space="0" w:color="000000"/>
            </w:tcBorders>
            <w:vAlign w:val="center"/>
          </w:tcPr>
          <w:p w14:paraId="7FBDECA3" w14:textId="77777777" w:rsidR="007D706A" w:rsidRDefault="007D706A" w:rsidP="00F70508">
            <w:pPr>
              <w:pStyle w:val="ParagraphStyle9"/>
              <w:rPr>
                <w:rStyle w:val="CharacterStyle9"/>
              </w:rPr>
            </w:pPr>
            <w:r>
              <w:rPr>
                <w:rStyle w:val="CharacterStyle9"/>
              </w:rPr>
              <w:t>10.000,00</w:t>
            </w:r>
          </w:p>
        </w:tc>
        <w:tc>
          <w:tcPr>
            <w:tcW w:w="1395" w:type="dxa"/>
            <w:tcBorders>
              <w:bottom w:val="single" w:sz="6" w:space="0" w:color="000000"/>
              <w:right w:val="single" w:sz="6" w:space="0" w:color="000000"/>
            </w:tcBorders>
            <w:vAlign w:val="center"/>
          </w:tcPr>
          <w:p w14:paraId="342C1AE2" w14:textId="77777777" w:rsidR="007D706A" w:rsidRDefault="007D706A" w:rsidP="00F70508">
            <w:pPr>
              <w:pStyle w:val="ParagraphStyle9"/>
              <w:rPr>
                <w:rStyle w:val="CharacterStyle9"/>
              </w:rPr>
            </w:pPr>
            <w:r>
              <w:rPr>
                <w:rStyle w:val="CharacterStyle9"/>
              </w:rPr>
              <w:t>0,00</w:t>
            </w:r>
          </w:p>
        </w:tc>
      </w:tr>
      <w:tr w:rsidR="007D706A" w14:paraId="042F961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390B1F7"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7108453E"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655546A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38504B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1136860" w14:textId="77777777" w:rsidR="007D706A" w:rsidRDefault="007D706A" w:rsidP="00F70508">
            <w:pPr>
              <w:pStyle w:val="ParagraphStyle12"/>
              <w:rPr>
                <w:rStyle w:val="CharacterStyle12"/>
              </w:rPr>
            </w:pPr>
            <w:r>
              <w:rPr>
                <w:rStyle w:val="CharacterStyle12"/>
              </w:rPr>
              <w:t>23.500,00</w:t>
            </w:r>
          </w:p>
        </w:tc>
        <w:tc>
          <w:tcPr>
            <w:tcW w:w="1395" w:type="dxa"/>
            <w:tcBorders>
              <w:bottom w:val="single" w:sz="6" w:space="0" w:color="000000"/>
              <w:right w:val="single" w:sz="6" w:space="0" w:color="000000"/>
            </w:tcBorders>
            <w:vAlign w:val="center"/>
          </w:tcPr>
          <w:p w14:paraId="1098210A" w14:textId="77777777" w:rsidR="007D706A" w:rsidRDefault="007D706A" w:rsidP="00F70508">
            <w:pPr>
              <w:pStyle w:val="ParagraphStyle12"/>
              <w:rPr>
                <w:rStyle w:val="CharacterStyle12"/>
              </w:rPr>
            </w:pPr>
            <w:r>
              <w:rPr>
                <w:rStyle w:val="CharacterStyle12"/>
              </w:rPr>
              <w:t>10.000,00</w:t>
            </w:r>
          </w:p>
        </w:tc>
        <w:tc>
          <w:tcPr>
            <w:tcW w:w="1395" w:type="dxa"/>
            <w:tcBorders>
              <w:bottom w:val="single" w:sz="6" w:space="0" w:color="000000"/>
              <w:right w:val="single" w:sz="6" w:space="0" w:color="000000"/>
            </w:tcBorders>
            <w:vAlign w:val="center"/>
          </w:tcPr>
          <w:p w14:paraId="37384158" w14:textId="77777777" w:rsidR="007D706A" w:rsidRDefault="007D706A" w:rsidP="00F70508">
            <w:pPr>
              <w:pStyle w:val="ParagraphStyle12"/>
              <w:rPr>
                <w:rStyle w:val="CharacterStyle12"/>
              </w:rPr>
            </w:pPr>
            <w:r>
              <w:rPr>
                <w:rStyle w:val="CharacterStyle12"/>
              </w:rPr>
              <w:t>0,00</w:t>
            </w:r>
          </w:p>
        </w:tc>
      </w:tr>
      <w:tr w:rsidR="007D706A" w14:paraId="1ACC27B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09E21B6" w14:textId="77777777" w:rsidR="007D706A" w:rsidRDefault="007D706A" w:rsidP="00F70508">
            <w:pPr>
              <w:pStyle w:val="ParagraphStyle10"/>
              <w:rPr>
                <w:rStyle w:val="CharacterStyle10"/>
              </w:rPr>
            </w:pPr>
            <w:r>
              <w:rPr>
                <w:rStyle w:val="CharacterStyle10"/>
              </w:rPr>
              <w:t>42</w:t>
            </w:r>
          </w:p>
        </w:tc>
        <w:tc>
          <w:tcPr>
            <w:tcW w:w="4995" w:type="dxa"/>
            <w:tcBorders>
              <w:bottom w:val="single" w:sz="6" w:space="0" w:color="000000"/>
              <w:right w:val="single" w:sz="6" w:space="0" w:color="000000"/>
            </w:tcBorders>
            <w:vAlign w:val="center"/>
          </w:tcPr>
          <w:p w14:paraId="3D801AC9"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7690586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A9D2B6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A971E82" w14:textId="77777777" w:rsidR="007D706A" w:rsidRDefault="007D706A" w:rsidP="00F70508">
            <w:pPr>
              <w:pStyle w:val="ParagraphStyle12"/>
              <w:rPr>
                <w:rStyle w:val="CharacterStyle12"/>
              </w:rPr>
            </w:pPr>
            <w:r>
              <w:rPr>
                <w:rStyle w:val="CharacterStyle12"/>
              </w:rPr>
              <w:t>23.500,00</w:t>
            </w:r>
          </w:p>
        </w:tc>
        <w:tc>
          <w:tcPr>
            <w:tcW w:w="1395" w:type="dxa"/>
            <w:tcBorders>
              <w:bottom w:val="single" w:sz="6" w:space="0" w:color="000000"/>
              <w:right w:val="single" w:sz="6" w:space="0" w:color="000000"/>
            </w:tcBorders>
            <w:vAlign w:val="center"/>
          </w:tcPr>
          <w:p w14:paraId="327A2005" w14:textId="77777777" w:rsidR="007D706A" w:rsidRDefault="007D706A" w:rsidP="00F70508">
            <w:pPr>
              <w:pStyle w:val="ParagraphStyle12"/>
              <w:rPr>
                <w:rStyle w:val="CharacterStyle12"/>
              </w:rPr>
            </w:pPr>
            <w:r>
              <w:rPr>
                <w:rStyle w:val="CharacterStyle12"/>
              </w:rPr>
              <w:t>10.000,00</w:t>
            </w:r>
          </w:p>
        </w:tc>
        <w:tc>
          <w:tcPr>
            <w:tcW w:w="1395" w:type="dxa"/>
            <w:tcBorders>
              <w:bottom w:val="single" w:sz="6" w:space="0" w:color="000000"/>
              <w:right w:val="single" w:sz="6" w:space="0" w:color="000000"/>
            </w:tcBorders>
            <w:vAlign w:val="center"/>
          </w:tcPr>
          <w:p w14:paraId="122B1B8A" w14:textId="77777777" w:rsidR="007D706A" w:rsidRDefault="007D706A" w:rsidP="00F70508">
            <w:pPr>
              <w:pStyle w:val="ParagraphStyle12"/>
              <w:rPr>
                <w:rStyle w:val="CharacterStyle12"/>
              </w:rPr>
            </w:pPr>
            <w:r>
              <w:rPr>
                <w:rStyle w:val="CharacterStyle12"/>
              </w:rPr>
              <w:t>0,00</w:t>
            </w:r>
          </w:p>
        </w:tc>
      </w:tr>
      <w:tr w:rsidR="007D706A" w14:paraId="0886249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51B91BC" w14:textId="77777777" w:rsidR="007D706A" w:rsidRDefault="007D706A" w:rsidP="00F70508">
            <w:pPr>
              <w:pStyle w:val="ParagraphStyle7"/>
              <w:rPr>
                <w:rStyle w:val="CharacterStyle7"/>
              </w:rPr>
            </w:pPr>
            <w:r>
              <w:rPr>
                <w:rStyle w:val="CharacterStyle7"/>
              </w:rPr>
              <w:t>Izvor financiranja 82</w:t>
            </w:r>
          </w:p>
        </w:tc>
        <w:tc>
          <w:tcPr>
            <w:tcW w:w="4995" w:type="dxa"/>
            <w:tcBorders>
              <w:bottom w:val="single" w:sz="6" w:space="0" w:color="000000"/>
              <w:right w:val="single" w:sz="6" w:space="0" w:color="000000"/>
            </w:tcBorders>
            <w:vAlign w:val="center"/>
          </w:tcPr>
          <w:p w14:paraId="2DB2AA5F" w14:textId="77777777" w:rsidR="007D706A" w:rsidRDefault="007D706A" w:rsidP="00F70508">
            <w:pPr>
              <w:pStyle w:val="ParagraphStyle8"/>
              <w:rPr>
                <w:rStyle w:val="CharacterStyle8"/>
              </w:rPr>
            </w:pPr>
            <w:r>
              <w:rPr>
                <w:rStyle w:val="CharacterStyle8"/>
              </w:rPr>
              <w:t>Preneseni viškovi iz ranijih godina</w:t>
            </w:r>
          </w:p>
        </w:tc>
        <w:tc>
          <w:tcPr>
            <w:tcW w:w="1395" w:type="dxa"/>
            <w:tcBorders>
              <w:bottom w:val="single" w:sz="6" w:space="0" w:color="000000"/>
              <w:right w:val="single" w:sz="6" w:space="0" w:color="000000"/>
            </w:tcBorders>
            <w:vAlign w:val="center"/>
          </w:tcPr>
          <w:p w14:paraId="3A3EC685"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552A526" w14:textId="77777777" w:rsidR="007D706A" w:rsidRDefault="007D706A" w:rsidP="00F70508">
            <w:pPr>
              <w:pStyle w:val="ParagraphStyle9"/>
              <w:rPr>
                <w:rStyle w:val="CharacterStyle9"/>
              </w:rPr>
            </w:pPr>
            <w:r>
              <w:rPr>
                <w:rStyle w:val="CharacterStyle9"/>
              </w:rPr>
              <w:t>12.500,00</w:t>
            </w:r>
          </w:p>
        </w:tc>
        <w:tc>
          <w:tcPr>
            <w:tcW w:w="1395" w:type="dxa"/>
            <w:tcBorders>
              <w:bottom w:val="single" w:sz="6" w:space="0" w:color="000000"/>
              <w:right w:val="single" w:sz="6" w:space="0" w:color="000000"/>
            </w:tcBorders>
            <w:vAlign w:val="center"/>
          </w:tcPr>
          <w:p w14:paraId="1E966B90"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BA9351A"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566EC5A" w14:textId="77777777" w:rsidR="007D706A" w:rsidRDefault="007D706A" w:rsidP="00F70508">
            <w:pPr>
              <w:pStyle w:val="ParagraphStyle9"/>
              <w:rPr>
                <w:rStyle w:val="CharacterStyle9"/>
              </w:rPr>
            </w:pPr>
            <w:r>
              <w:rPr>
                <w:rStyle w:val="CharacterStyle9"/>
              </w:rPr>
              <w:t>0,00</w:t>
            </w:r>
          </w:p>
        </w:tc>
      </w:tr>
      <w:tr w:rsidR="007D706A" w14:paraId="621559D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D36A447"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5448EF17"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0D09212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2494F79" w14:textId="77777777" w:rsidR="007D706A" w:rsidRDefault="007D706A" w:rsidP="00F70508">
            <w:pPr>
              <w:pStyle w:val="ParagraphStyle12"/>
              <w:rPr>
                <w:rStyle w:val="CharacterStyle12"/>
              </w:rPr>
            </w:pPr>
            <w:r>
              <w:rPr>
                <w:rStyle w:val="CharacterStyle12"/>
              </w:rPr>
              <w:t>12.500,00</w:t>
            </w:r>
          </w:p>
        </w:tc>
        <w:tc>
          <w:tcPr>
            <w:tcW w:w="1395" w:type="dxa"/>
            <w:tcBorders>
              <w:bottom w:val="single" w:sz="6" w:space="0" w:color="000000"/>
              <w:right w:val="single" w:sz="6" w:space="0" w:color="000000"/>
            </w:tcBorders>
            <w:vAlign w:val="center"/>
          </w:tcPr>
          <w:p w14:paraId="417AB64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BB00CD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BE9C41D" w14:textId="77777777" w:rsidR="007D706A" w:rsidRDefault="007D706A" w:rsidP="00F70508">
            <w:pPr>
              <w:pStyle w:val="ParagraphStyle12"/>
              <w:rPr>
                <w:rStyle w:val="CharacterStyle12"/>
              </w:rPr>
            </w:pPr>
            <w:r>
              <w:rPr>
                <w:rStyle w:val="CharacterStyle12"/>
              </w:rPr>
              <w:t>0,00</w:t>
            </w:r>
          </w:p>
        </w:tc>
      </w:tr>
      <w:tr w:rsidR="007D706A" w14:paraId="05481616"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8253824" w14:textId="77777777" w:rsidR="007D706A" w:rsidRDefault="007D706A" w:rsidP="00F70508">
            <w:pPr>
              <w:pStyle w:val="ParagraphStyle10"/>
              <w:rPr>
                <w:rStyle w:val="CharacterStyle10"/>
              </w:rPr>
            </w:pPr>
            <w:r>
              <w:rPr>
                <w:rStyle w:val="CharacterStyle10"/>
              </w:rPr>
              <w:t>42</w:t>
            </w:r>
          </w:p>
        </w:tc>
        <w:tc>
          <w:tcPr>
            <w:tcW w:w="4995" w:type="dxa"/>
            <w:tcBorders>
              <w:bottom w:val="single" w:sz="6" w:space="0" w:color="000000"/>
              <w:right w:val="single" w:sz="6" w:space="0" w:color="000000"/>
            </w:tcBorders>
            <w:vAlign w:val="center"/>
          </w:tcPr>
          <w:p w14:paraId="76E7BA81"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32EAE99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9110486" w14:textId="77777777" w:rsidR="007D706A" w:rsidRDefault="007D706A" w:rsidP="00F70508">
            <w:pPr>
              <w:pStyle w:val="ParagraphStyle12"/>
              <w:rPr>
                <w:rStyle w:val="CharacterStyle12"/>
              </w:rPr>
            </w:pPr>
            <w:r>
              <w:rPr>
                <w:rStyle w:val="CharacterStyle12"/>
              </w:rPr>
              <w:t>12.500,00</w:t>
            </w:r>
          </w:p>
        </w:tc>
        <w:tc>
          <w:tcPr>
            <w:tcW w:w="1395" w:type="dxa"/>
            <w:tcBorders>
              <w:bottom w:val="single" w:sz="6" w:space="0" w:color="000000"/>
              <w:right w:val="single" w:sz="6" w:space="0" w:color="000000"/>
            </w:tcBorders>
            <w:vAlign w:val="center"/>
          </w:tcPr>
          <w:p w14:paraId="1CE7766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6B517B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C5BB554" w14:textId="77777777" w:rsidR="007D706A" w:rsidRDefault="007D706A" w:rsidP="00F70508">
            <w:pPr>
              <w:pStyle w:val="ParagraphStyle12"/>
              <w:rPr>
                <w:rStyle w:val="CharacterStyle12"/>
              </w:rPr>
            </w:pPr>
            <w:r>
              <w:rPr>
                <w:rStyle w:val="CharacterStyle12"/>
              </w:rPr>
              <w:t>0,00</w:t>
            </w:r>
          </w:p>
        </w:tc>
      </w:tr>
      <w:tr w:rsidR="007D706A" w14:paraId="10328BF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983F0CE" w14:textId="77777777" w:rsidR="007D706A" w:rsidRDefault="007D706A" w:rsidP="00F70508">
            <w:pPr>
              <w:pStyle w:val="ParagraphStyle4"/>
              <w:rPr>
                <w:rStyle w:val="CharacterStyle4"/>
              </w:rPr>
            </w:pPr>
            <w:r>
              <w:rPr>
                <w:rStyle w:val="CharacterStyle4"/>
              </w:rPr>
              <w:t>Kapitalni projekt K101103</w:t>
            </w:r>
          </w:p>
        </w:tc>
        <w:tc>
          <w:tcPr>
            <w:tcW w:w="4995" w:type="dxa"/>
            <w:tcBorders>
              <w:bottom w:val="single" w:sz="6" w:space="0" w:color="000000"/>
              <w:right w:val="single" w:sz="6" w:space="0" w:color="000000"/>
            </w:tcBorders>
            <w:vAlign w:val="center"/>
          </w:tcPr>
          <w:p w14:paraId="15B9EC20" w14:textId="77777777" w:rsidR="007D706A" w:rsidRDefault="007D706A" w:rsidP="00F70508">
            <w:pPr>
              <w:pStyle w:val="ParagraphStyle5"/>
              <w:rPr>
                <w:rStyle w:val="CharacterStyle5"/>
              </w:rPr>
            </w:pPr>
            <w:r>
              <w:rPr>
                <w:rStyle w:val="CharacterStyle5"/>
              </w:rPr>
              <w:t>ZELENA INFRASTRUKTURA</w:t>
            </w:r>
          </w:p>
        </w:tc>
        <w:tc>
          <w:tcPr>
            <w:tcW w:w="1395" w:type="dxa"/>
            <w:tcBorders>
              <w:bottom w:val="single" w:sz="6" w:space="0" w:color="000000"/>
              <w:right w:val="single" w:sz="6" w:space="0" w:color="000000"/>
            </w:tcBorders>
            <w:vAlign w:val="center"/>
          </w:tcPr>
          <w:p w14:paraId="18A44093"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704DFCAC" w14:textId="77777777" w:rsidR="007D706A" w:rsidRDefault="007D706A" w:rsidP="00F70508">
            <w:pPr>
              <w:pStyle w:val="ParagraphStyle6"/>
              <w:rPr>
                <w:rStyle w:val="CharacterStyle6"/>
              </w:rPr>
            </w:pPr>
            <w:r>
              <w:rPr>
                <w:rStyle w:val="CharacterStyle6"/>
              </w:rPr>
              <w:t>33.000,00</w:t>
            </w:r>
          </w:p>
        </w:tc>
        <w:tc>
          <w:tcPr>
            <w:tcW w:w="1395" w:type="dxa"/>
            <w:tcBorders>
              <w:bottom w:val="single" w:sz="6" w:space="0" w:color="000000"/>
              <w:right w:val="single" w:sz="6" w:space="0" w:color="000000"/>
            </w:tcBorders>
            <w:vAlign w:val="center"/>
          </w:tcPr>
          <w:p w14:paraId="7AE3584E" w14:textId="77777777" w:rsidR="007D706A" w:rsidRDefault="007D706A" w:rsidP="00F70508">
            <w:pPr>
              <w:pStyle w:val="ParagraphStyle6"/>
              <w:rPr>
                <w:rStyle w:val="CharacterStyle6"/>
              </w:rPr>
            </w:pPr>
            <w:r>
              <w:rPr>
                <w:rStyle w:val="CharacterStyle6"/>
              </w:rPr>
              <w:t>33.000,00</w:t>
            </w:r>
          </w:p>
        </w:tc>
        <w:tc>
          <w:tcPr>
            <w:tcW w:w="1395" w:type="dxa"/>
            <w:tcBorders>
              <w:bottom w:val="single" w:sz="6" w:space="0" w:color="000000"/>
              <w:right w:val="single" w:sz="6" w:space="0" w:color="000000"/>
            </w:tcBorders>
            <w:vAlign w:val="center"/>
          </w:tcPr>
          <w:p w14:paraId="7EBF920E"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16532EAE" w14:textId="77777777" w:rsidR="007D706A" w:rsidRDefault="007D706A" w:rsidP="00F70508">
            <w:pPr>
              <w:pStyle w:val="ParagraphStyle6"/>
              <w:rPr>
                <w:rStyle w:val="CharacterStyle6"/>
              </w:rPr>
            </w:pPr>
            <w:r>
              <w:rPr>
                <w:rStyle w:val="CharacterStyle6"/>
              </w:rPr>
              <w:t>0,00</w:t>
            </w:r>
          </w:p>
        </w:tc>
      </w:tr>
      <w:tr w:rsidR="007D706A" w14:paraId="12A2D08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E30A339"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2AF2C4C2"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3E73147A"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FE56988"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F0E5EBE" w14:textId="77777777" w:rsidR="007D706A" w:rsidRDefault="007D706A" w:rsidP="00F70508">
            <w:pPr>
              <w:pStyle w:val="ParagraphStyle9"/>
              <w:rPr>
                <w:rStyle w:val="CharacterStyle9"/>
              </w:rPr>
            </w:pPr>
            <w:r>
              <w:rPr>
                <w:rStyle w:val="CharacterStyle9"/>
              </w:rPr>
              <w:t>33.000,00</w:t>
            </w:r>
          </w:p>
        </w:tc>
        <w:tc>
          <w:tcPr>
            <w:tcW w:w="1395" w:type="dxa"/>
            <w:tcBorders>
              <w:bottom w:val="single" w:sz="6" w:space="0" w:color="000000"/>
              <w:right w:val="single" w:sz="6" w:space="0" w:color="000000"/>
            </w:tcBorders>
            <w:vAlign w:val="center"/>
          </w:tcPr>
          <w:p w14:paraId="6555A525"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1AD5BAD" w14:textId="77777777" w:rsidR="007D706A" w:rsidRDefault="007D706A" w:rsidP="00F70508">
            <w:pPr>
              <w:pStyle w:val="ParagraphStyle9"/>
              <w:rPr>
                <w:rStyle w:val="CharacterStyle9"/>
              </w:rPr>
            </w:pPr>
            <w:r>
              <w:rPr>
                <w:rStyle w:val="CharacterStyle9"/>
              </w:rPr>
              <w:t>0,00</w:t>
            </w:r>
          </w:p>
        </w:tc>
      </w:tr>
      <w:tr w:rsidR="007D706A" w14:paraId="13E5B81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B263B89"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54C6B99B"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66CB4A0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FE486E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D190066" w14:textId="77777777" w:rsidR="007D706A" w:rsidRDefault="007D706A" w:rsidP="00F70508">
            <w:pPr>
              <w:pStyle w:val="ParagraphStyle12"/>
              <w:rPr>
                <w:rStyle w:val="CharacterStyle12"/>
              </w:rPr>
            </w:pPr>
            <w:r>
              <w:rPr>
                <w:rStyle w:val="CharacterStyle12"/>
              </w:rPr>
              <w:t>33.000,00</w:t>
            </w:r>
          </w:p>
        </w:tc>
        <w:tc>
          <w:tcPr>
            <w:tcW w:w="1395" w:type="dxa"/>
            <w:tcBorders>
              <w:bottom w:val="single" w:sz="6" w:space="0" w:color="000000"/>
              <w:right w:val="single" w:sz="6" w:space="0" w:color="000000"/>
            </w:tcBorders>
            <w:vAlign w:val="center"/>
          </w:tcPr>
          <w:p w14:paraId="63311BC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E036926" w14:textId="77777777" w:rsidR="007D706A" w:rsidRDefault="007D706A" w:rsidP="00F70508">
            <w:pPr>
              <w:pStyle w:val="ParagraphStyle12"/>
              <w:rPr>
                <w:rStyle w:val="CharacterStyle12"/>
              </w:rPr>
            </w:pPr>
            <w:r>
              <w:rPr>
                <w:rStyle w:val="CharacterStyle12"/>
              </w:rPr>
              <w:t>0,00</w:t>
            </w:r>
          </w:p>
        </w:tc>
      </w:tr>
      <w:tr w:rsidR="007D706A" w14:paraId="35BFD1D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ED30EF5" w14:textId="77777777" w:rsidR="007D706A" w:rsidRDefault="007D706A" w:rsidP="00F70508">
            <w:pPr>
              <w:pStyle w:val="ParagraphStyle10"/>
              <w:rPr>
                <w:rStyle w:val="CharacterStyle10"/>
              </w:rPr>
            </w:pPr>
            <w:r>
              <w:rPr>
                <w:rStyle w:val="CharacterStyle10"/>
              </w:rPr>
              <w:t>42</w:t>
            </w:r>
          </w:p>
        </w:tc>
        <w:tc>
          <w:tcPr>
            <w:tcW w:w="4995" w:type="dxa"/>
            <w:tcBorders>
              <w:bottom w:val="single" w:sz="6" w:space="0" w:color="000000"/>
              <w:right w:val="single" w:sz="6" w:space="0" w:color="000000"/>
            </w:tcBorders>
            <w:vAlign w:val="center"/>
          </w:tcPr>
          <w:p w14:paraId="31F1C258"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22B96ED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EDD921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53A0C04" w14:textId="77777777" w:rsidR="007D706A" w:rsidRDefault="007D706A" w:rsidP="00F70508">
            <w:pPr>
              <w:pStyle w:val="ParagraphStyle12"/>
              <w:rPr>
                <w:rStyle w:val="CharacterStyle12"/>
              </w:rPr>
            </w:pPr>
            <w:r>
              <w:rPr>
                <w:rStyle w:val="CharacterStyle12"/>
              </w:rPr>
              <w:t>33.000,00</w:t>
            </w:r>
          </w:p>
        </w:tc>
        <w:tc>
          <w:tcPr>
            <w:tcW w:w="1395" w:type="dxa"/>
            <w:tcBorders>
              <w:bottom w:val="single" w:sz="6" w:space="0" w:color="000000"/>
              <w:right w:val="single" w:sz="6" w:space="0" w:color="000000"/>
            </w:tcBorders>
            <w:vAlign w:val="center"/>
          </w:tcPr>
          <w:p w14:paraId="2EEBCDD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745A461" w14:textId="77777777" w:rsidR="007D706A" w:rsidRDefault="007D706A" w:rsidP="00F70508">
            <w:pPr>
              <w:pStyle w:val="ParagraphStyle12"/>
              <w:rPr>
                <w:rStyle w:val="CharacterStyle12"/>
              </w:rPr>
            </w:pPr>
            <w:r>
              <w:rPr>
                <w:rStyle w:val="CharacterStyle12"/>
              </w:rPr>
              <w:t>0,00</w:t>
            </w:r>
          </w:p>
        </w:tc>
      </w:tr>
      <w:tr w:rsidR="007D706A" w14:paraId="39D7E67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AE1EC37" w14:textId="77777777" w:rsidR="007D706A" w:rsidRDefault="007D706A" w:rsidP="00F70508">
            <w:pPr>
              <w:pStyle w:val="ParagraphStyle7"/>
              <w:rPr>
                <w:rStyle w:val="CharacterStyle7"/>
              </w:rPr>
            </w:pPr>
            <w:r>
              <w:rPr>
                <w:rStyle w:val="CharacterStyle7"/>
              </w:rPr>
              <w:t>Izvor financiranja 82</w:t>
            </w:r>
          </w:p>
        </w:tc>
        <w:tc>
          <w:tcPr>
            <w:tcW w:w="4995" w:type="dxa"/>
            <w:tcBorders>
              <w:bottom w:val="single" w:sz="6" w:space="0" w:color="000000"/>
              <w:right w:val="single" w:sz="6" w:space="0" w:color="000000"/>
            </w:tcBorders>
            <w:vAlign w:val="center"/>
          </w:tcPr>
          <w:p w14:paraId="682FBBEA" w14:textId="77777777" w:rsidR="007D706A" w:rsidRDefault="007D706A" w:rsidP="00F70508">
            <w:pPr>
              <w:pStyle w:val="ParagraphStyle8"/>
              <w:rPr>
                <w:rStyle w:val="CharacterStyle8"/>
              </w:rPr>
            </w:pPr>
            <w:r>
              <w:rPr>
                <w:rStyle w:val="CharacterStyle8"/>
              </w:rPr>
              <w:t>Preneseni viškovi iz ranijih godina</w:t>
            </w:r>
          </w:p>
        </w:tc>
        <w:tc>
          <w:tcPr>
            <w:tcW w:w="1395" w:type="dxa"/>
            <w:tcBorders>
              <w:bottom w:val="single" w:sz="6" w:space="0" w:color="000000"/>
              <w:right w:val="single" w:sz="6" w:space="0" w:color="000000"/>
            </w:tcBorders>
            <w:vAlign w:val="center"/>
          </w:tcPr>
          <w:p w14:paraId="0A48FA38"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CB3F3A3" w14:textId="77777777" w:rsidR="007D706A" w:rsidRDefault="007D706A" w:rsidP="00F70508">
            <w:pPr>
              <w:pStyle w:val="ParagraphStyle9"/>
              <w:rPr>
                <w:rStyle w:val="CharacterStyle9"/>
              </w:rPr>
            </w:pPr>
            <w:r>
              <w:rPr>
                <w:rStyle w:val="CharacterStyle9"/>
              </w:rPr>
              <w:t>33.000,00</w:t>
            </w:r>
          </w:p>
        </w:tc>
        <w:tc>
          <w:tcPr>
            <w:tcW w:w="1395" w:type="dxa"/>
            <w:tcBorders>
              <w:bottom w:val="single" w:sz="6" w:space="0" w:color="000000"/>
              <w:right w:val="single" w:sz="6" w:space="0" w:color="000000"/>
            </w:tcBorders>
            <w:vAlign w:val="center"/>
          </w:tcPr>
          <w:p w14:paraId="0E967E06"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E6D5C6F"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47FE745" w14:textId="77777777" w:rsidR="007D706A" w:rsidRDefault="007D706A" w:rsidP="00F70508">
            <w:pPr>
              <w:pStyle w:val="ParagraphStyle9"/>
              <w:rPr>
                <w:rStyle w:val="CharacterStyle9"/>
              </w:rPr>
            </w:pPr>
            <w:r>
              <w:rPr>
                <w:rStyle w:val="CharacterStyle9"/>
              </w:rPr>
              <w:t>0,00</w:t>
            </w:r>
          </w:p>
        </w:tc>
      </w:tr>
      <w:tr w:rsidR="007D706A" w14:paraId="1E04ABF6"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AB1E12A"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0517D1FE"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7DDFA68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8059904" w14:textId="77777777" w:rsidR="007D706A" w:rsidRDefault="007D706A" w:rsidP="00F70508">
            <w:pPr>
              <w:pStyle w:val="ParagraphStyle12"/>
              <w:rPr>
                <w:rStyle w:val="CharacterStyle12"/>
              </w:rPr>
            </w:pPr>
            <w:r>
              <w:rPr>
                <w:rStyle w:val="CharacterStyle12"/>
              </w:rPr>
              <w:t>33.000,00</w:t>
            </w:r>
          </w:p>
        </w:tc>
        <w:tc>
          <w:tcPr>
            <w:tcW w:w="1395" w:type="dxa"/>
            <w:tcBorders>
              <w:bottom w:val="single" w:sz="6" w:space="0" w:color="000000"/>
              <w:right w:val="single" w:sz="6" w:space="0" w:color="000000"/>
            </w:tcBorders>
            <w:vAlign w:val="center"/>
          </w:tcPr>
          <w:p w14:paraId="59CBD2A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B5CD38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32B450C" w14:textId="77777777" w:rsidR="007D706A" w:rsidRDefault="007D706A" w:rsidP="00F70508">
            <w:pPr>
              <w:pStyle w:val="ParagraphStyle12"/>
              <w:rPr>
                <w:rStyle w:val="CharacterStyle12"/>
              </w:rPr>
            </w:pPr>
            <w:r>
              <w:rPr>
                <w:rStyle w:val="CharacterStyle12"/>
              </w:rPr>
              <w:t>0,00</w:t>
            </w:r>
          </w:p>
        </w:tc>
      </w:tr>
      <w:tr w:rsidR="007D706A" w14:paraId="4AAFE07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445C499" w14:textId="77777777" w:rsidR="007D706A" w:rsidRDefault="007D706A" w:rsidP="00F70508">
            <w:pPr>
              <w:pStyle w:val="ParagraphStyle10"/>
              <w:rPr>
                <w:rStyle w:val="CharacterStyle10"/>
              </w:rPr>
            </w:pPr>
            <w:r>
              <w:rPr>
                <w:rStyle w:val="CharacterStyle10"/>
              </w:rPr>
              <w:t>42</w:t>
            </w:r>
          </w:p>
        </w:tc>
        <w:tc>
          <w:tcPr>
            <w:tcW w:w="4995" w:type="dxa"/>
            <w:tcBorders>
              <w:bottom w:val="single" w:sz="6" w:space="0" w:color="000000"/>
              <w:right w:val="single" w:sz="6" w:space="0" w:color="000000"/>
            </w:tcBorders>
            <w:vAlign w:val="center"/>
          </w:tcPr>
          <w:p w14:paraId="7393FF51"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0FB6A92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D853322" w14:textId="77777777" w:rsidR="007D706A" w:rsidRDefault="007D706A" w:rsidP="00F70508">
            <w:pPr>
              <w:pStyle w:val="ParagraphStyle12"/>
              <w:rPr>
                <w:rStyle w:val="CharacterStyle12"/>
              </w:rPr>
            </w:pPr>
            <w:r>
              <w:rPr>
                <w:rStyle w:val="CharacterStyle12"/>
              </w:rPr>
              <w:t>33.000,00</w:t>
            </w:r>
          </w:p>
        </w:tc>
        <w:tc>
          <w:tcPr>
            <w:tcW w:w="1395" w:type="dxa"/>
            <w:tcBorders>
              <w:bottom w:val="single" w:sz="6" w:space="0" w:color="000000"/>
              <w:right w:val="single" w:sz="6" w:space="0" w:color="000000"/>
            </w:tcBorders>
            <w:vAlign w:val="center"/>
          </w:tcPr>
          <w:p w14:paraId="2A078EF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F0598F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4CAFF46" w14:textId="77777777" w:rsidR="007D706A" w:rsidRDefault="007D706A" w:rsidP="00F70508">
            <w:pPr>
              <w:pStyle w:val="ParagraphStyle12"/>
              <w:rPr>
                <w:rStyle w:val="CharacterStyle12"/>
              </w:rPr>
            </w:pPr>
            <w:r>
              <w:rPr>
                <w:rStyle w:val="CharacterStyle12"/>
              </w:rPr>
              <w:t>0,00</w:t>
            </w:r>
          </w:p>
        </w:tc>
      </w:tr>
      <w:tr w:rsidR="007D706A" w14:paraId="0209975F" w14:textId="77777777" w:rsidTr="00F70508">
        <w:trPr>
          <w:trHeight w:val="405"/>
        </w:trPr>
        <w:tc>
          <w:tcPr>
            <w:tcW w:w="2880" w:type="dxa"/>
            <w:tcBorders>
              <w:left w:val="single" w:sz="6" w:space="0" w:color="000000"/>
              <w:bottom w:val="single" w:sz="6" w:space="0" w:color="000000"/>
              <w:right w:val="single" w:sz="6" w:space="0" w:color="000000"/>
            </w:tcBorders>
            <w:vAlign w:val="center"/>
          </w:tcPr>
          <w:p w14:paraId="5844273A" w14:textId="77777777" w:rsidR="007D706A" w:rsidRDefault="007D706A" w:rsidP="00F70508">
            <w:pPr>
              <w:pStyle w:val="ParagraphStyle4"/>
              <w:rPr>
                <w:rStyle w:val="CharacterStyle4"/>
              </w:rPr>
            </w:pPr>
            <w:r>
              <w:rPr>
                <w:rStyle w:val="CharacterStyle4"/>
              </w:rPr>
              <w:t>RAZDJEL    005</w:t>
            </w:r>
          </w:p>
        </w:tc>
        <w:tc>
          <w:tcPr>
            <w:tcW w:w="4995" w:type="dxa"/>
            <w:tcBorders>
              <w:bottom w:val="single" w:sz="6" w:space="0" w:color="000000"/>
              <w:right w:val="single" w:sz="6" w:space="0" w:color="000000"/>
            </w:tcBorders>
            <w:vAlign w:val="center"/>
          </w:tcPr>
          <w:p w14:paraId="49A1B3A9" w14:textId="77777777" w:rsidR="007D706A" w:rsidRDefault="007D706A" w:rsidP="00F70508">
            <w:pPr>
              <w:pStyle w:val="ParagraphStyle5"/>
              <w:rPr>
                <w:rStyle w:val="CharacterStyle5"/>
              </w:rPr>
            </w:pPr>
            <w:r>
              <w:rPr>
                <w:rStyle w:val="CharacterStyle5"/>
              </w:rPr>
              <w:t>R - UPRAVNI ODJEL ZA UPRAVLJANJE IMOVINOM  I GEODETSKE POSLOVE</w:t>
            </w:r>
          </w:p>
        </w:tc>
        <w:tc>
          <w:tcPr>
            <w:tcW w:w="1395" w:type="dxa"/>
            <w:tcBorders>
              <w:bottom w:val="single" w:sz="6" w:space="0" w:color="000000"/>
              <w:right w:val="single" w:sz="6" w:space="0" w:color="000000"/>
            </w:tcBorders>
            <w:vAlign w:val="center"/>
          </w:tcPr>
          <w:p w14:paraId="5B764132"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62AFFD18" w14:textId="77777777" w:rsidR="007D706A" w:rsidRDefault="007D706A" w:rsidP="00F70508">
            <w:pPr>
              <w:pStyle w:val="ParagraphStyle6"/>
              <w:rPr>
                <w:rStyle w:val="CharacterStyle6"/>
              </w:rPr>
            </w:pPr>
            <w:r>
              <w:rPr>
                <w:rStyle w:val="CharacterStyle6"/>
              </w:rPr>
              <w:t>3.111.620,00</w:t>
            </w:r>
          </w:p>
        </w:tc>
        <w:tc>
          <w:tcPr>
            <w:tcW w:w="1395" w:type="dxa"/>
            <w:tcBorders>
              <w:bottom w:val="single" w:sz="6" w:space="0" w:color="000000"/>
              <w:right w:val="single" w:sz="6" w:space="0" w:color="000000"/>
            </w:tcBorders>
            <w:vAlign w:val="center"/>
          </w:tcPr>
          <w:p w14:paraId="148D6B12" w14:textId="77777777" w:rsidR="007D706A" w:rsidRDefault="007D706A" w:rsidP="00F70508">
            <w:pPr>
              <w:pStyle w:val="ParagraphStyle6"/>
              <w:rPr>
                <w:rStyle w:val="CharacterStyle6"/>
              </w:rPr>
            </w:pPr>
            <w:r>
              <w:rPr>
                <w:rStyle w:val="CharacterStyle6"/>
              </w:rPr>
              <w:t>2.472.360,00</w:t>
            </w:r>
          </w:p>
        </w:tc>
        <w:tc>
          <w:tcPr>
            <w:tcW w:w="1395" w:type="dxa"/>
            <w:tcBorders>
              <w:bottom w:val="single" w:sz="6" w:space="0" w:color="000000"/>
              <w:right w:val="single" w:sz="6" w:space="0" w:color="000000"/>
            </w:tcBorders>
            <w:vAlign w:val="center"/>
          </w:tcPr>
          <w:p w14:paraId="105153DB" w14:textId="77777777" w:rsidR="007D706A" w:rsidRDefault="007D706A" w:rsidP="00F70508">
            <w:pPr>
              <w:pStyle w:val="ParagraphStyle6"/>
              <w:rPr>
                <w:rStyle w:val="CharacterStyle6"/>
              </w:rPr>
            </w:pPr>
            <w:r>
              <w:rPr>
                <w:rStyle w:val="CharacterStyle6"/>
              </w:rPr>
              <w:t>2.590.374,00</w:t>
            </w:r>
          </w:p>
        </w:tc>
        <w:tc>
          <w:tcPr>
            <w:tcW w:w="1395" w:type="dxa"/>
            <w:tcBorders>
              <w:bottom w:val="single" w:sz="6" w:space="0" w:color="000000"/>
              <w:right w:val="single" w:sz="6" w:space="0" w:color="000000"/>
            </w:tcBorders>
            <w:vAlign w:val="center"/>
          </w:tcPr>
          <w:p w14:paraId="1B0AA285" w14:textId="77777777" w:rsidR="007D706A" w:rsidRDefault="007D706A" w:rsidP="00F70508">
            <w:pPr>
              <w:pStyle w:val="ParagraphStyle6"/>
              <w:rPr>
                <w:rStyle w:val="CharacterStyle6"/>
              </w:rPr>
            </w:pPr>
            <w:r>
              <w:rPr>
                <w:rStyle w:val="CharacterStyle6"/>
              </w:rPr>
              <w:t>2.753.374,00</w:t>
            </w:r>
          </w:p>
        </w:tc>
      </w:tr>
      <w:tr w:rsidR="007D706A" w14:paraId="2D3478F9" w14:textId="77777777" w:rsidTr="00F70508">
        <w:trPr>
          <w:trHeight w:val="420"/>
        </w:trPr>
        <w:tc>
          <w:tcPr>
            <w:tcW w:w="2880" w:type="dxa"/>
            <w:tcBorders>
              <w:left w:val="single" w:sz="6" w:space="0" w:color="000000"/>
              <w:bottom w:val="single" w:sz="6" w:space="0" w:color="000000"/>
              <w:right w:val="single" w:sz="6" w:space="0" w:color="000000"/>
            </w:tcBorders>
            <w:vAlign w:val="center"/>
          </w:tcPr>
          <w:p w14:paraId="4500BCD3" w14:textId="77777777" w:rsidR="007D706A" w:rsidRDefault="007D706A" w:rsidP="00F70508">
            <w:pPr>
              <w:pStyle w:val="ParagraphStyle4"/>
              <w:rPr>
                <w:rStyle w:val="CharacterStyle4"/>
              </w:rPr>
            </w:pPr>
            <w:r>
              <w:rPr>
                <w:rStyle w:val="CharacterStyle4"/>
              </w:rPr>
              <w:t>GLAVA    00501</w:t>
            </w:r>
          </w:p>
        </w:tc>
        <w:tc>
          <w:tcPr>
            <w:tcW w:w="4995" w:type="dxa"/>
            <w:tcBorders>
              <w:bottom w:val="single" w:sz="6" w:space="0" w:color="000000"/>
              <w:right w:val="single" w:sz="6" w:space="0" w:color="000000"/>
            </w:tcBorders>
            <w:vAlign w:val="center"/>
          </w:tcPr>
          <w:p w14:paraId="4858D607" w14:textId="77777777" w:rsidR="007D706A" w:rsidRDefault="007D706A" w:rsidP="00F70508">
            <w:pPr>
              <w:pStyle w:val="ParagraphStyle5"/>
              <w:rPr>
                <w:rStyle w:val="CharacterStyle5"/>
              </w:rPr>
            </w:pPr>
            <w:r>
              <w:rPr>
                <w:rStyle w:val="CharacterStyle5"/>
              </w:rPr>
              <w:t>UPRAVNI ODJEL ZA UPRAVLJANJE IMOVINOM  I GEODETSKE POSLOVE</w:t>
            </w:r>
          </w:p>
        </w:tc>
        <w:tc>
          <w:tcPr>
            <w:tcW w:w="1395" w:type="dxa"/>
            <w:tcBorders>
              <w:bottom w:val="single" w:sz="6" w:space="0" w:color="000000"/>
              <w:right w:val="single" w:sz="6" w:space="0" w:color="000000"/>
            </w:tcBorders>
            <w:vAlign w:val="center"/>
          </w:tcPr>
          <w:p w14:paraId="1317A030"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0C691C85" w14:textId="77777777" w:rsidR="007D706A" w:rsidRDefault="007D706A" w:rsidP="00F70508">
            <w:pPr>
              <w:pStyle w:val="ParagraphStyle6"/>
              <w:rPr>
                <w:rStyle w:val="CharacterStyle6"/>
              </w:rPr>
            </w:pPr>
            <w:r>
              <w:rPr>
                <w:rStyle w:val="CharacterStyle6"/>
              </w:rPr>
              <w:t>3.111.620,00</w:t>
            </w:r>
          </w:p>
        </w:tc>
        <w:tc>
          <w:tcPr>
            <w:tcW w:w="1395" w:type="dxa"/>
            <w:tcBorders>
              <w:bottom w:val="single" w:sz="6" w:space="0" w:color="000000"/>
              <w:right w:val="single" w:sz="6" w:space="0" w:color="000000"/>
            </w:tcBorders>
            <w:vAlign w:val="center"/>
          </w:tcPr>
          <w:p w14:paraId="3777CDF1" w14:textId="77777777" w:rsidR="007D706A" w:rsidRDefault="007D706A" w:rsidP="00F70508">
            <w:pPr>
              <w:pStyle w:val="ParagraphStyle6"/>
              <w:rPr>
                <w:rStyle w:val="CharacterStyle6"/>
              </w:rPr>
            </w:pPr>
            <w:r>
              <w:rPr>
                <w:rStyle w:val="CharacterStyle6"/>
              </w:rPr>
              <w:t>2.472.360,00</w:t>
            </w:r>
          </w:p>
        </w:tc>
        <w:tc>
          <w:tcPr>
            <w:tcW w:w="1395" w:type="dxa"/>
            <w:tcBorders>
              <w:bottom w:val="single" w:sz="6" w:space="0" w:color="000000"/>
              <w:right w:val="single" w:sz="6" w:space="0" w:color="000000"/>
            </w:tcBorders>
            <w:vAlign w:val="center"/>
          </w:tcPr>
          <w:p w14:paraId="0A24762A" w14:textId="77777777" w:rsidR="007D706A" w:rsidRDefault="007D706A" w:rsidP="00F70508">
            <w:pPr>
              <w:pStyle w:val="ParagraphStyle6"/>
              <w:rPr>
                <w:rStyle w:val="CharacterStyle6"/>
              </w:rPr>
            </w:pPr>
            <w:r>
              <w:rPr>
                <w:rStyle w:val="CharacterStyle6"/>
              </w:rPr>
              <w:t>2.590.374,00</w:t>
            </w:r>
          </w:p>
        </w:tc>
        <w:tc>
          <w:tcPr>
            <w:tcW w:w="1395" w:type="dxa"/>
            <w:tcBorders>
              <w:bottom w:val="single" w:sz="6" w:space="0" w:color="000000"/>
              <w:right w:val="single" w:sz="6" w:space="0" w:color="000000"/>
            </w:tcBorders>
            <w:vAlign w:val="center"/>
          </w:tcPr>
          <w:p w14:paraId="33D5D40B" w14:textId="77777777" w:rsidR="007D706A" w:rsidRDefault="007D706A" w:rsidP="00F70508">
            <w:pPr>
              <w:pStyle w:val="ParagraphStyle6"/>
              <w:rPr>
                <w:rStyle w:val="CharacterStyle6"/>
              </w:rPr>
            </w:pPr>
            <w:r>
              <w:rPr>
                <w:rStyle w:val="CharacterStyle6"/>
              </w:rPr>
              <w:t>2.753.374,00</w:t>
            </w:r>
          </w:p>
        </w:tc>
      </w:tr>
      <w:tr w:rsidR="007D706A" w14:paraId="1E16155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111AD2A" w14:textId="77777777" w:rsidR="007D706A" w:rsidRDefault="007D706A" w:rsidP="00F70508">
            <w:pPr>
              <w:pStyle w:val="ParagraphStyle4"/>
              <w:rPr>
                <w:rStyle w:val="CharacterStyle4"/>
              </w:rPr>
            </w:pPr>
            <w:r>
              <w:rPr>
                <w:rStyle w:val="CharacterStyle4"/>
              </w:rPr>
              <w:lastRenderedPageBreak/>
              <w:t>Izvor financiranja 11</w:t>
            </w:r>
          </w:p>
        </w:tc>
        <w:tc>
          <w:tcPr>
            <w:tcW w:w="4995" w:type="dxa"/>
            <w:tcBorders>
              <w:bottom w:val="single" w:sz="6" w:space="0" w:color="000000"/>
              <w:right w:val="single" w:sz="6" w:space="0" w:color="000000"/>
            </w:tcBorders>
            <w:vAlign w:val="center"/>
          </w:tcPr>
          <w:p w14:paraId="2E2D13C1" w14:textId="77777777" w:rsidR="007D706A" w:rsidRDefault="007D706A" w:rsidP="00F70508">
            <w:pPr>
              <w:pStyle w:val="ParagraphStyle5"/>
              <w:rPr>
                <w:rStyle w:val="CharacterStyle5"/>
              </w:rPr>
            </w:pPr>
            <w:r>
              <w:rPr>
                <w:rStyle w:val="CharacterStyle5"/>
              </w:rPr>
              <w:t>Opći prihodi i primici</w:t>
            </w:r>
          </w:p>
        </w:tc>
        <w:tc>
          <w:tcPr>
            <w:tcW w:w="1395" w:type="dxa"/>
            <w:tcBorders>
              <w:bottom w:val="single" w:sz="6" w:space="0" w:color="000000"/>
              <w:right w:val="single" w:sz="6" w:space="0" w:color="000000"/>
            </w:tcBorders>
            <w:vAlign w:val="center"/>
          </w:tcPr>
          <w:p w14:paraId="125B9162"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5DE50DE7" w14:textId="77777777" w:rsidR="007D706A" w:rsidRDefault="007D706A" w:rsidP="00F70508">
            <w:pPr>
              <w:pStyle w:val="ParagraphStyle6"/>
              <w:rPr>
                <w:rStyle w:val="CharacterStyle6"/>
              </w:rPr>
            </w:pPr>
            <w:r>
              <w:rPr>
                <w:rStyle w:val="CharacterStyle6"/>
              </w:rPr>
              <w:t>257.050,55</w:t>
            </w:r>
          </w:p>
        </w:tc>
        <w:tc>
          <w:tcPr>
            <w:tcW w:w="1395" w:type="dxa"/>
            <w:tcBorders>
              <w:bottom w:val="single" w:sz="6" w:space="0" w:color="000000"/>
              <w:right w:val="single" w:sz="6" w:space="0" w:color="000000"/>
            </w:tcBorders>
            <w:vAlign w:val="center"/>
          </w:tcPr>
          <w:p w14:paraId="375344B0" w14:textId="77777777" w:rsidR="007D706A" w:rsidRDefault="007D706A" w:rsidP="00F70508">
            <w:pPr>
              <w:pStyle w:val="ParagraphStyle6"/>
              <w:rPr>
                <w:rStyle w:val="CharacterStyle6"/>
              </w:rPr>
            </w:pPr>
            <w:r>
              <w:rPr>
                <w:rStyle w:val="CharacterStyle6"/>
              </w:rPr>
              <w:t>1.211.916,97</w:t>
            </w:r>
          </w:p>
        </w:tc>
        <w:tc>
          <w:tcPr>
            <w:tcW w:w="1395" w:type="dxa"/>
            <w:tcBorders>
              <w:bottom w:val="single" w:sz="6" w:space="0" w:color="000000"/>
              <w:right w:val="single" w:sz="6" w:space="0" w:color="000000"/>
            </w:tcBorders>
            <w:vAlign w:val="center"/>
          </w:tcPr>
          <w:p w14:paraId="107EF1C0" w14:textId="77777777" w:rsidR="007D706A" w:rsidRDefault="007D706A" w:rsidP="00F70508">
            <w:pPr>
              <w:pStyle w:val="ParagraphStyle6"/>
              <w:rPr>
                <w:rStyle w:val="CharacterStyle6"/>
              </w:rPr>
            </w:pPr>
            <w:r>
              <w:rPr>
                <w:rStyle w:val="CharacterStyle6"/>
              </w:rPr>
              <w:t>1.133.846,97</w:t>
            </w:r>
          </w:p>
        </w:tc>
        <w:tc>
          <w:tcPr>
            <w:tcW w:w="1395" w:type="dxa"/>
            <w:tcBorders>
              <w:bottom w:val="single" w:sz="6" w:space="0" w:color="000000"/>
              <w:right w:val="single" w:sz="6" w:space="0" w:color="000000"/>
            </w:tcBorders>
            <w:vAlign w:val="center"/>
          </w:tcPr>
          <w:p w14:paraId="710D161C" w14:textId="77777777" w:rsidR="007D706A" w:rsidRDefault="007D706A" w:rsidP="00F70508">
            <w:pPr>
              <w:pStyle w:val="ParagraphStyle6"/>
              <w:rPr>
                <w:rStyle w:val="CharacterStyle6"/>
              </w:rPr>
            </w:pPr>
            <w:r>
              <w:rPr>
                <w:rStyle w:val="CharacterStyle6"/>
              </w:rPr>
              <w:t>1.133.846,97</w:t>
            </w:r>
          </w:p>
        </w:tc>
      </w:tr>
      <w:tr w:rsidR="007D706A" w14:paraId="3F4F7DA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03CF362" w14:textId="77777777" w:rsidR="007D706A" w:rsidRDefault="007D706A" w:rsidP="00F70508">
            <w:pPr>
              <w:pStyle w:val="ParagraphStyle4"/>
              <w:rPr>
                <w:rStyle w:val="CharacterStyle4"/>
              </w:rPr>
            </w:pPr>
            <w:r>
              <w:rPr>
                <w:rStyle w:val="CharacterStyle4"/>
              </w:rPr>
              <w:t>Izvor financiranja 41</w:t>
            </w:r>
          </w:p>
        </w:tc>
        <w:tc>
          <w:tcPr>
            <w:tcW w:w="4995" w:type="dxa"/>
            <w:tcBorders>
              <w:bottom w:val="single" w:sz="6" w:space="0" w:color="000000"/>
              <w:right w:val="single" w:sz="6" w:space="0" w:color="000000"/>
            </w:tcBorders>
            <w:vAlign w:val="center"/>
          </w:tcPr>
          <w:p w14:paraId="4D51D576" w14:textId="77777777" w:rsidR="007D706A" w:rsidRDefault="007D706A" w:rsidP="00F70508">
            <w:pPr>
              <w:pStyle w:val="ParagraphStyle5"/>
              <w:rPr>
                <w:rStyle w:val="CharacterStyle5"/>
              </w:rPr>
            </w:pPr>
            <w:r>
              <w:rPr>
                <w:rStyle w:val="CharacterStyle5"/>
              </w:rPr>
              <w:t>Prihodi za posebne namjene</w:t>
            </w:r>
          </w:p>
        </w:tc>
        <w:tc>
          <w:tcPr>
            <w:tcW w:w="1395" w:type="dxa"/>
            <w:tcBorders>
              <w:bottom w:val="single" w:sz="6" w:space="0" w:color="000000"/>
              <w:right w:val="single" w:sz="6" w:space="0" w:color="000000"/>
            </w:tcBorders>
            <w:vAlign w:val="center"/>
          </w:tcPr>
          <w:p w14:paraId="5776E80F"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07B15946" w14:textId="77777777" w:rsidR="007D706A" w:rsidRDefault="007D706A" w:rsidP="00F70508">
            <w:pPr>
              <w:pStyle w:val="ParagraphStyle6"/>
              <w:rPr>
                <w:rStyle w:val="CharacterStyle6"/>
              </w:rPr>
            </w:pPr>
            <w:r>
              <w:rPr>
                <w:rStyle w:val="CharacterStyle6"/>
              </w:rPr>
              <w:t>116.277,00</w:t>
            </w:r>
          </w:p>
        </w:tc>
        <w:tc>
          <w:tcPr>
            <w:tcW w:w="1395" w:type="dxa"/>
            <w:tcBorders>
              <w:bottom w:val="single" w:sz="6" w:space="0" w:color="000000"/>
              <w:right w:val="single" w:sz="6" w:space="0" w:color="000000"/>
            </w:tcBorders>
            <w:vAlign w:val="center"/>
          </w:tcPr>
          <w:p w14:paraId="39BA9365"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45B54FAD"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57BE6C59" w14:textId="77777777" w:rsidR="007D706A" w:rsidRDefault="007D706A" w:rsidP="00F70508">
            <w:pPr>
              <w:pStyle w:val="ParagraphStyle6"/>
              <w:rPr>
                <w:rStyle w:val="CharacterStyle6"/>
              </w:rPr>
            </w:pPr>
            <w:r>
              <w:rPr>
                <w:rStyle w:val="CharacterStyle6"/>
              </w:rPr>
              <w:t>0,00</w:t>
            </w:r>
          </w:p>
        </w:tc>
      </w:tr>
      <w:tr w:rsidR="007D706A" w14:paraId="5E1C12F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7936785" w14:textId="77777777" w:rsidR="007D706A" w:rsidRDefault="007D706A" w:rsidP="00F70508">
            <w:pPr>
              <w:pStyle w:val="ParagraphStyle4"/>
              <w:rPr>
                <w:rStyle w:val="CharacterStyle4"/>
              </w:rPr>
            </w:pPr>
            <w:r>
              <w:rPr>
                <w:rStyle w:val="CharacterStyle4"/>
              </w:rPr>
              <w:t>Izvor financiranja 43</w:t>
            </w:r>
          </w:p>
        </w:tc>
        <w:tc>
          <w:tcPr>
            <w:tcW w:w="4995" w:type="dxa"/>
            <w:tcBorders>
              <w:bottom w:val="single" w:sz="6" w:space="0" w:color="000000"/>
              <w:right w:val="single" w:sz="6" w:space="0" w:color="000000"/>
            </w:tcBorders>
            <w:vAlign w:val="center"/>
          </w:tcPr>
          <w:p w14:paraId="1CF757F3" w14:textId="77777777" w:rsidR="007D706A" w:rsidRDefault="007D706A" w:rsidP="00F70508">
            <w:pPr>
              <w:pStyle w:val="ParagraphStyle5"/>
              <w:rPr>
                <w:rStyle w:val="CharacterStyle5"/>
              </w:rPr>
            </w:pPr>
            <w:r>
              <w:rPr>
                <w:rStyle w:val="CharacterStyle5"/>
              </w:rPr>
              <w:t>Ostali prihodi za posebne namjene</w:t>
            </w:r>
          </w:p>
        </w:tc>
        <w:tc>
          <w:tcPr>
            <w:tcW w:w="1395" w:type="dxa"/>
            <w:tcBorders>
              <w:bottom w:val="single" w:sz="6" w:space="0" w:color="000000"/>
              <w:right w:val="single" w:sz="6" w:space="0" w:color="000000"/>
            </w:tcBorders>
            <w:vAlign w:val="center"/>
          </w:tcPr>
          <w:p w14:paraId="57F5B7B4"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08955799"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644E4EF0" w14:textId="77777777" w:rsidR="007D706A" w:rsidRDefault="007D706A" w:rsidP="00F70508">
            <w:pPr>
              <w:pStyle w:val="ParagraphStyle6"/>
              <w:rPr>
                <w:rStyle w:val="CharacterStyle6"/>
              </w:rPr>
            </w:pPr>
            <w:r>
              <w:rPr>
                <w:rStyle w:val="CharacterStyle6"/>
              </w:rPr>
              <w:t>136.490,00</w:t>
            </w:r>
          </w:p>
        </w:tc>
        <w:tc>
          <w:tcPr>
            <w:tcW w:w="1395" w:type="dxa"/>
            <w:tcBorders>
              <w:bottom w:val="single" w:sz="6" w:space="0" w:color="000000"/>
              <w:right w:val="single" w:sz="6" w:space="0" w:color="000000"/>
            </w:tcBorders>
            <w:vAlign w:val="center"/>
          </w:tcPr>
          <w:p w14:paraId="2B373C88" w14:textId="77777777" w:rsidR="007D706A" w:rsidRDefault="007D706A" w:rsidP="00F70508">
            <w:pPr>
              <w:pStyle w:val="ParagraphStyle6"/>
              <w:rPr>
                <w:rStyle w:val="CharacterStyle6"/>
              </w:rPr>
            </w:pPr>
            <w:r>
              <w:rPr>
                <w:rStyle w:val="CharacterStyle6"/>
              </w:rPr>
              <w:t>113.850,00</w:t>
            </w:r>
          </w:p>
        </w:tc>
        <w:tc>
          <w:tcPr>
            <w:tcW w:w="1395" w:type="dxa"/>
            <w:tcBorders>
              <w:bottom w:val="single" w:sz="6" w:space="0" w:color="000000"/>
              <w:right w:val="single" w:sz="6" w:space="0" w:color="000000"/>
            </w:tcBorders>
            <w:vAlign w:val="center"/>
          </w:tcPr>
          <w:p w14:paraId="011A041A" w14:textId="77777777" w:rsidR="007D706A" w:rsidRDefault="007D706A" w:rsidP="00F70508">
            <w:pPr>
              <w:pStyle w:val="ParagraphStyle6"/>
              <w:rPr>
                <w:rStyle w:val="CharacterStyle6"/>
              </w:rPr>
            </w:pPr>
            <w:r>
              <w:rPr>
                <w:rStyle w:val="CharacterStyle6"/>
              </w:rPr>
              <w:t>113.850,00</w:t>
            </w:r>
          </w:p>
        </w:tc>
      </w:tr>
      <w:tr w:rsidR="007D706A" w14:paraId="561A3EE6" w14:textId="77777777" w:rsidTr="00F70508">
        <w:trPr>
          <w:trHeight w:val="420"/>
        </w:trPr>
        <w:tc>
          <w:tcPr>
            <w:tcW w:w="2880" w:type="dxa"/>
            <w:tcBorders>
              <w:left w:val="single" w:sz="6" w:space="0" w:color="000000"/>
              <w:bottom w:val="single" w:sz="6" w:space="0" w:color="000000"/>
              <w:right w:val="single" w:sz="6" w:space="0" w:color="000000"/>
            </w:tcBorders>
            <w:vAlign w:val="center"/>
          </w:tcPr>
          <w:p w14:paraId="761160EE" w14:textId="77777777" w:rsidR="007D706A" w:rsidRDefault="007D706A" w:rsidP="00F70508">
            <w:pPr>
              <w:pStyle w:val="ParagraphStyle4"/>
              <w:rPr>
                <w:rStyle w:val="CharacterStyle4"/>
              </w:rPr>
            </w:pPr>
            <w:r>
              <w:rPr>
                <w:rStyle w:val="CharacterStyle4"/>
              </w:rPr>
              <w:t>Izvor financiranja 71</w:t>
            </w:r>
          </w:p>
        </w:tc>
        <w:tc>
          <w:tcPr>
            <w:tcW w:w="4995" w:type="dxa"/>
            <w:tcBorders>
              <w:bottom w:val="single" w:sz="6" w:space="0" w:color="000000"/>
              <w:right w:val="single" w:sz="6" w:space="0" w:color="000000"/>
            </w:tcBorders>
            <w:vAlign w:val="center"/>
          </w:tcPr>
          <w:p w14:paraId="13C07AC8" w14:textId="77777777" w:rsidR="007D706A" w:rsidRDefault="007D706A" w:rsidP="00F70508">
            <w:pPr>
              <w:pStyle w:val="ParagraphStyle5"/>
              <w:rPr>
                <w:rStyle w:val="CharacterStyle5"/>
              </w:rPr>
            </w:pPr>
            <w:r>
              <w:rPr>
                <w:rStyle w:val="CharacterStyle5"/>
              </w:rPr>
              <w:t>Prihodi od prodaje ili zamjene nefinancijske imovine i naknade s naslova osiguranja</w:t>
            </w:r>
          </w:p>
        </w:tc>
        <w:tc>
          <w:tcPr>
            <w:tcW w:w="1395" w:type="dxa"/>
            <w:tcBorders>
              <w:bottom w:val="single" w:sz="6" w:space="0" w:color="000000"/>
              <w:right w:val="single" w:sz="6" w:space="0" w:color="000000"/>
            </w:tcBorders>
            <w:vAlign w:val="center"/>
          </w:tcPr>
          <w:p w14:paraId="5A3308EC"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72EA1D66" w14:textId="77777777" w:rsidR="007D706A" w:rsidRDefault="007D706A" w:rsidP="00F70508">
            <w:pPr>
              <w:pStyle w:val="ParagraphStyle6"/>
              <w:rPr>
                <w:rStyle w:val="CharacterStyle6"/>
              </w:rPr>
            </w:pPr>
            <w:r>
              <w:rPr>
                <w:rStyle w:val="CharacterStyle6"/>
              </w:rPr>
              <w:t>1.729.938,46</w:t>
            </w:r>
          </w:p>
        </w:tc>
        <w:tc>
          <w:tcPr>
            <w:tcW w:w="1395" w:type="dxa"/>
            <w:tcBorders>
              <w:bottom w:val="single" w:sz="6" w:space="0" w:color="000000"/>
              <w:right w:val="single" w:sz="6" w:space="0" w:color="000000"/>
            </w:tcBorders>
            <w:vAlign w:val="center"/>
          </w:tcPr>
          <w:p w14:paraId="1A76BFD4" w14:textId="77777777" w:rsidR="007D706A" w:rsidRDefault="007D706A" w:rsidP="00F70508">
            <w:pPr>
              <w:pStyle w:val="ParagraphStyle6"/>
              <w:rPr>
                <w:rStyle w:val="CharacterStyle6"/>
              </w:rPr>
            </w:pPr>
            <w:r>
              <w:rPr>
                <w:rStyle w:val="CharacterStyle6"/>
              </w:rPr>
              <w:t>1.123.953,03</w:t>
            </w:r>
          </w:p>
        </w:tc>
        <w:tc>
          <w:tcPr>
            <w:tcW w:w="1395" w:type="dxa"/>
            <w:tcBorders>
              <w:bottom w:val="single" w:sz="6" w:space="0" w:color="000000"/>
              <w:right w:val="single" w:sz="6" w:space="0" w:color="000000"/>
            </w:tcBorders>
            <w:vAlign w:val="center"/>
          </w:tcPr>
          <w:p w14:paraId="58A9DF89" w14:textId="77777777" w:rsidR="007D706A" w:rsidRDefault="007D706A" w:rsidP="00F70508">
            <w:pPr>
              <w:pStyle w:val="ParagraphStyle6"/>
              <w:rPr>
                <w:rStyle w:val="CharacterStyle6"/>
              </w:rPr>
            </w:pPr>
            <w:r>
              <w:rPr>
                <w:rStyle w:val="CharacterStyle6"/>
              </w:rPr>
              <w:t>1.342.677,03</w:t>
            </w:r>
          </w:p>
        </w:tc>
        <w:tc>
          <w:tcPr>
            <w:tcW w:w="1395" w:type="dxa"/>
            <w:tcBorders>
              <w:bottom w:val="single" w:sz="6" w:space="0" w:color="000000"/>
              <w:right w:val="single" w:sz="6" w:space="0" w:color="000000"/>
            </w:tcBorders>
            <w:vAlign w:val="center"/>
          </w:tcPr>
          <w:p w14:paraId="07F17B77" w14:textId="77777777" w:rsidR="007D706A" w:rsidRDefault="007D706A" w:rsidP="00F70508">
            <w:pPr>
              <w:pStyle w:val="ParagraphStyle6"/>
              <w:rPr>
                <w:rStyle w:val="CharacterStyle6"/>
              </w:rPr>
            </w:pPr>
            <w:r>
              <w:rPr>
                <w:rStyle w:val="CharacterStyle6"/>
              </w:rPr>
              <w:t>1.505.677,03</w:t>
            </w:r>
          </w:p>
        </w:tc>
      </w:tr>
      <w:tr w:rsidR="007D706A" w14:paraId="1F4BB1D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7EBE003" w14:textId="77777777" w:rsidR="007D706A" w:rsidRDefault="007D706A" w:rsidP="00F70508">
            <w:pPr>
              <w:pStyle w:val="ParagraphStyle4"/>
              <w:rPr>
                <w:rStyle w:val="CharacterStyle4"/>
              </w:rPr>
            </w:pPr>
            <w:r>
              <w:rPr>
                <w:rStyle w:val="CharacterStyle4"/>
              </w:rPr>
              <w:t>Izvor financiranja 82</w:t>
            </w:r>
          </w:p>
        </w:tc>
        <w:tc>
          <w:tcPr>
            <w:tcW w:w="4995" w:type="dxa"/>
            <w:tcBorders>
              <w:bottom w:val="single" w:sz="6" w:space="0" w:color="000000"/>
              <w:right w:val="single" w:sz="6" w:space="0" w:color="000000"/>
            </w:tcBorders>
            <w:vAlign w:val="center"/>
          </w:tcPr>
          <w:p w14:paraId="3EFDA07E" w14:textId="77777777" w:rsidR="007D706A" w:rsidRDefault="007D706A" w:rsidP="00F70508">
            <w:pPr>
              <w:pStyle w:val="ParagraphStyle5"/>
              <w:rPr>
                <w:rStyle w:val="CharacterStyle5"/>
              </w:rPr>
            </w:pPr>
            <w:r>
              <w:rPr>
                <w:rStyle w:val="CharacterStyle5"/>
              </w:rPr>
              <w:t>Preneseni viškovi iz ranijih godina</w:t>
            </w:r>
          </w:p>
        </w:tc>
        <w:tc>
          <w:tcPr>
            <w:tcW w:w="1395" w:type="dxa"/>
            <w:tcBorders>
              <w:bottom w:val="single" w:sz="6" w:space="0" w:color="000000"/>
              <w:right w:val="single" w:sz="6" w:space="0" w:color="000000"/>
            </w:tcBorders>
            <w:vAlign w:val="center"/>
          </w:tcPr>
          <w:p w14:paraId="2302CD9A"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3D965FE4" w14:textId="77777777" w:rsidR="007D706A" w:rsidRDefault="007D706A" w:rsidP="00F70508">
            <w:pPr>
              <w:pStyle w:val="ParagraphStyle6"/>
              <w:rPr>
                <w:rStyle w:val="CharacterStyle6"/>
              </w:rPr>
            </w:pPr>
            <w:r>
              <w:rPr>
                <w:rStyle w:val="CharacterStyle6"/>
              </w:rPr>
              <w:t>1.008.353,99</w:t>
            </w:r>
          </w:p>
        </w:tc>
        <w:tc>
          <w:tcPr>
            <w:tcW w:w="1395" w:type="dxa"/>
            <w:tcBorders>
              <w:bottom w:val="single" w:sz="6" w:space="0" w:color="000000"/>
              <w:right w:val="single" w:sz="6" w:space="0" w:color="000000"/>
            </w:tcBorders>
            <w:vAlign w:val="center"/>
          </w:tcPr>
          <w:p w14:paraId="4CE98A97"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367697C0"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7EA872DE" w14:textId="77777777" w:rsidR="007D706A" w:rsidRDefault="007D706A" w:rsidP="00F70508">
            <w:pPr>
              <w:pStyle w:val="ParagraphStyle6"/>
              <w:rPr>
                <w:rStyle w:val="CharacterStyle6"/>
              </w:rPr>
            </w:pPr>
            <w:r>
              <w:rPr>
                <w:rStyle w:val="CharacterStyle6"/>
              </w:rPr>
              <w:t>0,00</w:t>
            </w:r>
          </w:p>
        </w:tc>
      </w:tr>
      <w:tr w:rsidR="007D706A" w14:paraId="418F001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5F2ADC5" w14:textId="77777777" w:rsidR="007D706A" w:rsidRDefault="007D706A" w:rsidP="00F70508">
            <w:pPr>
              <w:pStyle w:val="ParagraphStyle4"/>
              <w:rPr>
                <w:rStyle w:val="CharacterStyle4"/>
              </w:rPr>
            </w:pPr>
            <w:r>
              <w:rPr>
                <w:rStyle w:val="CharacterStyle4"/>
              </w:rPr>
              <w:t>PROGRAM    1016</w:t>
            </w:r>
          </w:p>
        </w:tc>
        <w:tc>
          <w:tcPr>
            <w:tcW w:w="4995" w:type="dxa"/>
            <w:tcBorders>
              <w:bottom w:val="single" w:sz="6" w:space="0" w:color="000000"/>
              <w:right w:val="single" w:sz="6" w:space="0" w:color="000000"/>
            </w:tcBorders>
            <w:vAlign w:val="center"/>
          </w:tcPr>
          <w:p w14:paraId="3A013389" w14:textId="77777777" w:rsidR="007D706A" w:rsidRDefault="007D706A" w:rsidP="00F70508">
            <w:pPr>
              <w:pStyle w:val="ParagraphStyle5"/>
              <w:rPr>
                <w:rStyle w:val="CharacterStyle5"/>
              </w:rPr>
            </w:pPr>
            <w:r>
              <w:rPr>
                <w:rStyle w:val="CharacterStyle5"/>
              </w:rPr>
              <w:t>UPRAVLJANJE IMOVINOM GRADA</w:t>
            </w:r>
          </w:p>
        </w:tc>
        <w:tc>
          <w:tcPr>
            <w:tcW w:w="1395" w:type="dxa"/>
            <w:tcBorders>
              <w:bottom w:val="single" w:sz="6" w:space="0" w:color="000000"/>
              <w:right w:val="single" w:sz="6" w:space="0" w:color="000000"/>
            </w:tcBorders>
            <w:vAlign w:val="center"/>
          </w:tcPr>
          <w:p w14:paraId="5B22E7DC"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6525BBA3" w14:textId="77777777" w:rsidR="007D706A" w:rsidRDefault="007D706A" w:rsidP="00F70508">
            <w:pPr>
              <w:pStyle w:val="ParagraphStyle6"/>
              <w:rPr>
                <w:rStyle w:val="CharacterStyle6"/>
              </w:rPr>
            </w:pPr>
            <w:r>
              <w:rPr>
                <w:rStyle w:val="CharacterStyle6"/>
              </w:rPr>
              <w:t>641.979,00</w:t>
            </w:r>
          </w:p>
        </w:tc>
        <w:tc>
          <w:tcPr>
            <w:tcW w:w="1395" w:type="dxa"/>
            <w:tcBorders>
              <w:bottom w:val="single" w:sz="6" w:space="0" w:color="000000"/>
              <w:right w:val="single" w:sz="6" w:space="0" w:color="000000"/>
            </w:tcBorders>
            <w:vAlign w:val="center"/>
          </w:tcPr>
          <w:p w14:paraId="739C3873" w14:textId="77777777" w:rsidR="007D706A" w:rsidRDefault="007D706A" w:rsidP="00F70508">
            <w:pPr>
              <w:pStyle w:val="ParagraphStyle6"/>
              <w:rPr>
                <w:rStyle w:val="CharacterStyle6"/>
              </w:rPr>
            </w:pPr>
            <w:r>
              <w:rPr>
                <w:rStyle w:val="CharacterStyle6"/>
              </w:rPr>
              <w:t>721.394,00</w:t>
            </w:r>
          </w:p>
        </w:tc>
        <w:tc>
          <w:tcPr>
            <w:tcW w:w="1395" w:type="dxa"/>
            <w:tcBorders>
              <w:bottom w:val="single" w:sz="6" w:space="0" w:color="000000"/>
              <w:right w:val="single" w:sz="6" w:space="0" w:color="000000"/>
            </w:tcBorders>
            <w:vAlign w:val="center"/>
          </w:tcPr>
          <w:p w14:paraId="4B2E849E" w14:textId="77777777" w:rsidR="007D706A" w:rsidRDefault="007D706A" w:rsidP="00F70508">
            <w:pPr>
              <w:pStyle w:val="ParagraphStyle6"/>
              <w:rPr>
                <w:rStyle w:val="CharacterStyle6"/>
              </w:rPr>
            </w:pPr>
            <w:r>
              <w:rPr>
                <w:rStyle w:val="CharacterStyle6"/>
              </w:rPr>
              <w:t>630.684,00</w:t>
            </w:r>
          </w:p>
        </w:tc>
        <w:tc>
          <w:tcPr>
            <w:tcW w:w="1395" w:type="dxa"/>
            <w:tcBorders>
              <w:bottom w:val="single" w:sz="6" w:space="0" w:color="000000"/>
              <w:right w:val="single" w:sz="6" w:space="0" w:color="000000"/>
            </w:tcBorders>
            <w:vAlign w:val="center"/>
          </w:tcPr>
          <w:p w14:paraId="52A29084" w14:textId="77777777" w:rsidR="007D706A" w:rsidRDefault="007D706A" w:rsidP="00F70508">
            <w:pPr>
              <w:pStyle w:val="ParagraphStyle6"/>
              <w:rPr>
                <w:rStyle w:val="CharacterStyle6"/>
              </w:rPr>
            </w:pPr>
            <w:r>
              <w:rPr>
                <w:rStyle w:val="CharacterStyle6"/>
              </w:rPr>
              <w:t>630.684,00</w:t>
            </w:r>
          </w:p>
        </w:tc>
      </w:tr>
      <w:tr w:rsidR="007D706A" w14:paraId="1D7A47B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603D1B8" w14:textId="77777777" w:rsidR="007D706A" w:rsidRDefault="007D706A" w:rsidP="00F70508">
            <w:pPr>
              <w:pStyle w:val="ParagraphStyle4"/>
              <w:rPr>
                <w:rStyle w:val="CharacterStyle4"/>
              </w:rPr>
            </w:pPr>
            <w:r>
              <w:rPr>
                <w:rStyle w:val="CharacterStyle4"/>
              </w:rPr>
              <w:t>Tekući projekt T101601</w:t>
            </w:r>
          </w:p>
        </w:tc>
        <w:tc>
          <w:tcPr>
            <w:tcW w:w="4995" w:type="dxa"/>
            <w:tcBorders>
              <w:bottom w:val="single" w:sz="6" w:space="0" w:color="000000"/>
              <w:right w:val="single" w:sz="6" w:space="0" w:color="000000"/>
            </w:tcBorders>
            <w:vAlign w:val="center"/>
          </w:tcPr>
          <w:p w14:paraId="7B914560" w14:textId="77777777" w:rsidR="007D706A" w:rsidRDefault="007D706A" w:rsidP="00F70508">
            <w:pPr>
              <w:pStyle w:val="ParagraphStyle5"/>
              <w:rPr>
                <w:rStyle w:val="CharacterStyle5"/>
              </w:rPr>
            </w:pPr>
            <w:r>
              <w:rPr>
                <w:rStyle w:val="CharacterStyle5"/>
              </w:rPr>
              <w:t>KONZULTANTSKE USLUGE</w:t>
            </w:r>
          </w:p>
        </w:tc>
        <w:tc>
          <w:tcPr>
            <w:tcW w:w="1395" w:type="dxa"/>
            <w:tcBorders>
              <w:bottom w:val="single" w:sz="6" w:space="0" w:color="000000"/>
              <w:right w:val="single" w:sz="6" w:space="0" w:color="000000"/>
            </w:tcBorders>
            <w:vAlign w:val="center"/>
          </w:tcPr>
          <w:p w14:paraId="0F1F634C"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423111FB" w14:textId="77777777" w:rsidR="007D706A" w:rsidRDefault="007D706A" w:rsidP="00F70508">
            <w:pPr>
              <w:pStyle w:val="ParagraphStyle6"/>
              <w:rPr>
                <w:rStyle w:val="CharacterStyle6"/>
              </w:rPr>
            </w:pPr>
            <w:r>
              <w:rPr>
                <w:rStyle w:val="CharacterStyle6"/>
              </w:rPr>
              <w:t>2.655,00</w:t>
            </w:r>
          </w:p>
        </w:tc>
        <w:tc>
          <w:tcPr>
            <w:tcW w:w="1395" w:type="dxa"/>
            <w:tcBorders>
              <w:bottom w:val="single" w:sz="6" w:space="0" w:color="000000"/>
              <w:right w:val="single" w:sz="6" w:space="0" w:color="000000"/>
            </w:tcBorders>
            <w:vAlign w:val="center"/>
          </w:tcPr>
          <w:p w14:paraId="6F8BACF0" w14:textId="77777777" w:rsidR="007D706A" w:rsidRDefault="007D706A" w:rsidP="00F70508">
            <w:pPr>
              <w:pStyle w:val="ParagraphStyle6"/>
              <w:rPr>
                <w:rStyle w:val="CharacterStyle6"/>
              </w:rPr>
            </w:pPr>
            <w:r>
              <w:rPr>
                <w:rStyle w:val="CharacterStyle6"/>
              </w:rPr>
              <w:t>4.000,00</w:t>
            </w:r>
          </w:p>
        </w:tc>
        <w:tc>
          <w:tcPr>
            <w:tcW w:w="1395" w:type="dxa"/>
            <w:tcBorders>
              <w:bottom w:val="single" w:sz="6" w:space="0" w:color="000000"/>
              <w:right w:val="single" w:sz="6" w:space="0" w:color="000000"/>
            </w:tcBorders>
            <w:vAlign w:val="center"/>
          </w:tcPr>
          <w:p w14:paraId="5C765C76" w14:textId="77777777" w:rsidR="007D706A" w:rsidRDefault="007D706A" w:rsidP="00F70508">
            <w:pPr>
              <w:pStyle w:val="ParagraphStyle6"/>
              <w:rPr>
                <w:rStyle w:val="CharacterStyle6"/>
              </w:rPr>
            </w:pPr>
            <w:r>
              <w:rPr>
                <w:rStyle w:val="CharacterStyle6"/>
              </w:rPr>
              <w:t>4.000,00</w:t>
            </w:r>
          </w:p>
        </w:tc>
        <w:tc>
          <w:tcPr>
            <w:tcW w:w="1395" w:type="dxa"/>
            <w:tcBorders>
              <w:bottom w:val="single" w:sz="6" w:space="0" w:color="000000"/>
              <w:right w:val="single" w:sz="6" w:space="0" w:color="000000"/>
            </w:tcBorders>
            <w:vAlign w:val="center"/>
          </w:tcPr>
          <w:p w14:paraId="43C5FCA6" w14:textId="77777777" w:rsidR="007D706A" w:rsidRDefault="007D706A" w:rsidP="00F70508">
            <w:pPr>
              <w:pStyle w:val="ParagraphStyle6"/>
              <w:rPr>
                <w:rStyle w:val="CharacterStyle6"/>
              </w:rPr>
            </w:pPr>
            <w:r>
              <w:rPr>
                <w:rStyle w:val="CharacterStyle6"/>
              </w:rPr>
              <w:t>4.000,00</w:t>
            </w:r>
          </w:p>
        </w:tc>
      </w:tr>
      <w:tr w:rsidR="007D706A" w14:paraId="1168795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71E2865" w14:textId="77777777" w:rsidR="007D706A" w:rsidRDefault="007D706A" w:rsidP="00F70508">
            <w:pPr>
              <w:pStyle w:val="ParagraphStyle7"/>
              <w:rPr>
                <w:rStyle w:val="CharacterStyle7"/>
              </w:rPr>
            </w:pPr>
            <w:r>
              <w:rPr>
                <w:rStyle w:val="CharacterStyle7"/>
              </w:rPr>
              <w:t>Izvor financiranja 41</w:t>
            </w:r>
          </w:p>
        </w:tc>
        <w:tc>
          <w:tcPr>
            <w:tcW w:w="4995" w:type="dxa"/>
            <w:tcBorders>
              <w:bottom w:val="single" w:sz="6" w:space="0" w:color="000000"/>
              <w:right w:val="single" w:sz="6" w:space="0" w:color="000000"/>
            </w:tcBorders>
            <w:vAlign w:val="center"/>
          </w:tcPr>
          <w:p w14:paraId="5B00A0A1" w14:textId="77777777" w:rsidR="007D706A" w:rsidRDefault="007D706A" w:rsidP="00F70508">
            <w:pPr>
              <w:pStyle w:val="ParagraphStyle8"/>
              <w:rPr>
                <w:rStyle w:val="CharacterStyle8"/>
              </w:rPr>
            </w:pPr>
            <w:r>
              <w:rPr>
                <w:rStyle w:val="CharacterStyle8"/>
              </w:rPr>
              <w:t>Prihodi za posebne namjene</w:t>
            </w:r>
          </w:p>
        </w:tc>
        <w:tc>
          <w:tcPr>
            <w:tcW w:w="1395" w:type="dxa"/>
            <w:tcBorders>
              <w:bottom w:val="single" w:sz="6" w:space="0" w:color="000000"/>
              <w:right w:val="single" w:sz="6" w:space="0" w:color="000000"/>
            </w:tcBorders>
            <w:vAlign w:val="center"/>
          </w:tcPr>
          <w:p w14:paraId="421F16BB"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DB7E065" w14:textId="77777777" w:rsidR="007D706A" w:rsidRDefault="007D706A" w:rsidP="00F70508">
            <w:pPr>
              <w:pStyle w:val="ParagraphStyle9"/>
              <w:rPr>
                <w:rStyle w:val="CharacterStyle9"/>
              </w:rPr>
            </w:pPr>
            <w:r>
              <w:rPr>
                <w:rStyle w:val="CharacterStyle9"/>
              </w:rPr>
              <w:t>2.655,00</w:t>
            </w:r>
          </w:p>
        </w:tc>
        <w:tc>
          <w:tcPr>
            <w:tcW w:w="1395" w:type="dxa"/>
            <w:tcBorders>
              <w:bottom w:val="single" w:sz="6" w:space="0" w:color="000000"/>
              <w:right w:val="single" w:sz="6" w:space="0" w:color="000000"/>
            </w:tcBorders>
            <w:vAlign w:val="center"/>
          </w:tcPr>
          <w:p w14:paraId="52286213"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2475581"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5A83791" w14:textId="77777777" w:rsidR="007D706A" w:rsidRDefault="007D706A" w:rsidP="00F70508">
            <w:pPr>
              <w:pStyle w:val="ParagraphStyle9"/>
              <w:rPr>
                <w:rStyle w:val="CharacterStyle9"/>
              </w:rPr>
            </w:pPr>
            <w:r>
              <w:rPr>
                <w:rStyle w:val="CharacterStyle9"/>
              </w:rPr>
              <w:t>0,00</w:t>
            </w:r>
          </w:p>
        </w:tc>
      </w:tr>
      <w:tr w:rsidR="007D706A" w14:paraId="17C4F53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003B2E7"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58F33FE1"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06E66D3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0F9701C" w14:textId="77777777" w:rsidR="007D706A" w:rsidRDefault="007D706A" w:rsidP="00F70508">
            <w:pPr>
              <w:pStyle w:val="ParagraphStyle12"/>
              <w:rPr>
                <w:rStyle w:val="CharacterStyle12"/>
              </w:rPr>
            </w:pPr>
            <w:r>
              <w:rPr>
                <w:rStyle w:val="CharacterStyle12"/>
              </w:rPr>
              <w:t>2.655,00</w:t>
            </w:r>
          </w:p>
        </w:tc>
        <w:tc>
          <w:tcPr>
            <w:tcW w:w="1395" w:type="dxa"/>
            <w:tcBorders>
              <w:bottom w:val="single" w:sz="6" w:space="0" w:color="000000"/>
              <w:right w:val="single" w:sz="6" w:space="0" w:color="000000"/>
            </w:tcBorders>
            <w:vAlign w:val="center"/>
          </w:tcPr>
          <w:p w14:paraId="0C4ECFC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6866E9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E4E955E" w14:textId="77777777" w:rsidR="007D706A" w:rsidRDefault="007D706A" w:rsidP="00F70508">
            <w:pPr>
              <w:pStyle w:val="ParagraphStyle12"/>
              <w:rPr>
                <w:rStyle w:val="CharacterStyle12"/>
              </w:rPr>
            </w:pPr>
            <w:r>
              <w:rPr>
                <w:rStyle w:val="CharacterStyle12"/>
              </w:rPr>
              <w:t>0,00</w:t>
            </w:r>
          </w:p>
        </w:tc>
      </w:tr>
      <w:tr w:rsidR="007D706A" w14:paraId="74706A5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9FF1B8F"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4AD13715"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573AFD7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D1A9A19" w14:textId="77777777" w:rsidR="007D706A" w:rsidRDefault="007D706A" w:rsidP="00F70508">
            <w:pPr>
              <w:pStyle w:val="ParagraphStyle12"/>
              <w:rPr>
                <w:rStyle w:val="CharacterStyle12"/>
              </w:rPr>
            </w:pPr>
            <w:r>
              <w:rPr>
                <w:rStyle w:val="CharacterStyle12"/>
              </w:rPr>
              <w:t>2.655,00</w:t>
            </w:r>
          </w:p>
        </w:tc>
        <w:tc>
          <w:tcPr>
            <w:tcW w:w="1395" w:type="dxa"/>
            <w:tcBorders>
              <w:bottom w:val="single" w:sz="6" w:space="0" w:color="000000"/>
              <w:right w:val="single" w:sz="6" w:space="0" w:color="000000"/>
            </w:tcBorders>
            <w:vAlign w:val="center"/>
          </w:tcPr>
          <w:p w14:paraId="509658B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2D6680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662B96D" w14:textId="77777777" w:rsidR="007D706A" w:rsidRDefault="007D706A" w:rsidP="00F70508">
            <w:pPr>
              <w:pStyle w:val="ParagraphStyle12"/>
              <w:rPr>
                <w:rStyle w:val="CharacterStyle12"/>
              </w:rPr>
            </w:pPr>
            <w:r>
              <w:rPr>
                <w:rStyle w:val="CharacterStyle12"/>
              </w:rPr>
              <w:t>0,00</w:t>
            </w:r>
          </w:p>
        </w:tc>
      </w:tr>
      <w:tr w:rsidR="007D706A" w14:paraId="7B74693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7AD0425" w14:textId="77777777" w:rsidR="007D706A" w:rsidRDefault="007D706A" w:rsidP="00F70508">
            <w:pPr>
              <w:pStyle w:val="ParagraphStyle7"/>
              <w:rPr>
                <w:rStyle w:val="CharacterStyle7"/>
              </w:rPr>
            </w:pPr>
            <w:r>
              <w:rPr>
                <w:rStyle w:val="CharacterStyle7"/>
              </w:rPr>
              <w:t>Izvor financiranja 43</w:t>
            </w:r>
          </w:p>
        </w:tc>
        <w:tc>
          <w:tcPr>
            <w:tcW w:w="4995" w:type="dxa"/>
            <w:tcBorders>
              <w:bottom w:val="single" w:sz="6" w:space="0" w:color="000000"/>
              <w:right w:val="single" w:sz="6" w:space="0" w:color="000000"/>
            </w:tcBorders>
            <w:vAlign w:val="center"/>
          </w:tcPr>
          <w:p w14:paraId="6384C63F" w14:textId="77777777" w:rsidR="007D706A" w:rsidRDefault="007D706A" w:rsidP="00F70508">
            <w:pPr>
              <w:pStyle w:val="ParagraphStyle8"/>
              <w:rPr>
                <w:rStyle w:val="CharacterStyle8"/>
              </w:rPr>
            </w:pPr>
            <w:r>
              <w:rPr>
                <w:rStyle w:val="CharacterStyle8"/>
              </w:rPr>
              <w:t>Ostali prihodi za posebne namjene</w:t>
            </w:r>
          </w:p>
        </w:tc>
        <w:tc>
          <w:tcPr>
            <w:tcW w:w="1395" w:type="dxa"/>
            <w:tcBorders>
              <w:bottom w:val="single" w:sz="6" w:space="0" w:color="000000"/>
              <w:right w:val="single" w:sz="6" w:space="0" w:color="000000"/>
            </w:tcBorders>
            <w:vAlign w:val="center"/>
          </w:tcPr>
          <w:p w14:paraId="77B651AC"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8683E2E"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2262694" w14:textId="77777777" w:rsidR="007D706A" w:rsidRDefault="007D706A" w:rsidP="00F70508">
            <w:pPr>
              <w:pStyle w:val="ParagraphStyle9"/>
              <w:rPr>
                <w:rStyle w:val="CharacterStyle9"/>
              </w:rPr>
            </w:pPr>
            <w:r>
              <w:rPr>
                <w:rStyle w:val="CharacterStyle9"/>
              </w:rPr>
              <w:t>4.000,00</w:t>
            </w:r>
          </w:p>
        </w:tc>
        <w:tc>
          <w:tcPr>
            <w:tcW w:w="1395" w:type="dxa"/>
            <w:tcBorders>
              <w:bottom w:val="single" w:sz="6" w:space="0" w:color="000000"/>
              <w:right w:val="single" w:sz="6" w:space="0" w:color="000000"/>
            </w:tcBorders>
            <w:vAlign w:val="center"/>
          </w:tcPr>
          <w:p w14:paraId="4CA2DAA0" w14:textId="77777777" w:rsidR="007D706A" w:rsidRDefault="007D706A" w:rsidP="00F70508">
            <w:pPr>
              <w:pStyle w:val="ParagraphStyle9"/>
              <w:rPr>
                <w:rStyle w:val="CharacterStyle9"/>
              </w:rPr>
            </w:pPr>
            <w:r>
              <w:rPr>
                <w:rStyle w:val="CharacterStyle9"/>
              </w:rPr>
              <w:t>4.000,00</w:t>
            </w:r>
          </w:p>
        </w:tc>
        <w:tc>
          <w:tcPr>
            <w:tcW w:w="1395" w:type="dxa"/>
            <w:tcBorders>
              <w:bottom w:val="single" w:sz="6" w:space="0" w:color="000000"/>
              <w:right w:val="single" w:sz="6" w:space="0" w:color="000000"/>
            </w:tcBorders>
            <w:vAlign w:val="center"/>
          </w:tcPr>
          <w:p w14:paraId="1EAA0451" w14:textId="77777777" w:rsidR="007D706A" w:rsidRDefault="007D706A" w:rsidP="00F70508">
            <w:pPr>
              <w:pStyle w:val="ParagraphStyle9"/>
              <w:rPr>
                <w:rStyle w:val="CharacterStyle9"/>
              </w:rPr>
            </w:pPr>
            <w:r>
              <w:rPr>
                <w:rStyle w:val="CharacterStyle9"/>
              </w:rPr>
              <w:t>4.000,00</w:t>
            </w:r>
          </w:p>
        </w:tc>
      </w:tr>
      <w:tr w:rsidR="007D706A" w14:paraId="47FDC2B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BF67D37"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7A2E6D09"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6219EC1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78388C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C22D9EA" w14:textId="77777777" w:rsidR="007D706A" w:rsidRDefault="007D706A" w:rsidP="00F70508">
            <w:pPr>
              <w:pStyle w:val="ParagraphStyle12"/>
              <w:rPr>
                <w:rStyle w:val="CharacterStyle12"/>
              </w:rPr>
            </w:pPr>
            <w:r>
              <w:rPr>
                <w:rStyle w:val="CharacterStyle12"/>
              </w:rPr>
              <w:t>4.000,00</w:t>
            </w:r>
          </w:p>
        </w:tc>
        <w:tc>
          <w:tcPr>
            <w:tcW w:w="1395" w:type="dxa"/>
            <w:tcBorders>
              <w:bottom w:val="single" w:sz="6" w:space="0" w:color="000000"/>
              <w:right w:val="single" w:sz="6" w:space="0" w:color="000000"/>
            </w:tcBorders>
            <w:vAlign w:val="center"/>
          </w:tcPr>
          <w:p w14:paraId="500EB282" w14:textId="77777777" w:rsidR="007D706A" w:rsidRDefault="007D706A" w:rsidP="00F70508">
            <w:pPr>
              <w:pStyle w:val="ParagraphStyle12"/>
              <w:rPr>
                <w:rStyle w:val="CharacterStyle12"/>
              </w:rPr>
            </w:pPr>
            <w:r>
              <w:rPr>
                <w:rStyle w:val="CharacterStyle12"/>
              </w:rPr>
              <w:t>4.000,00</w:t>
            </w:r>
          </w:p>
        </w:tc>
        <w:tc>
          <w:tcPr>
            <w:tcW w:w="1395" w:type="dxa"/>
            <w:tcBorders>
              <w:bottom w:val="single" w:sz="6" w:space="0" w:color="000000"/>
              <w:right w:val="single" w:sz="6" w:space="0" w:color="000000"/>
            </w:tcBorders>
            <w:vAlign w:val="center"/>
          </w:tcPr>
          <w:p w14:paraId="5EE31086" w14:textId="77777777" w:rsidR="007D706A" w:rsidRDefault="007D706A" w:rsidP="00F70508">
            <w:pPr>
              <w:pStyle w:val="ParagraphStyle12"/>
              <w:rPr>
                <w:rStyle w:val="CharacterStyle12"/>
              </w:rPr>
            </w:pPr>
            <w:r>
              <w:rPr>
                <w:rStyle w:val="CharacterStyle12"/>
              </w:rPr>
              <w:t>4.000,00</w:t>
            </w:r>
          </w:p>
        </w:tc>
      </w:tr>
      <w:tr w:rsidR="007D706A" w14:paraId="2F9BBF8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D23BEBE"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0F597E2E"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774A67A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C7658D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33A0EC8" w14:textId="77777777" w:rsidR="007D706A" w:rsidRDefault="007D706A" w:rsidP="00F70508">
            <w:pPr>
              <w:pStyle w:val="ParagraphStyle12"/>
              <w:rPr>
                <w:rStyle w:val="CharacterStyle12"/>
              </w:rPr>
            </w:pPr>
            <w:r>
              <w:rPr>
                <w:rStyle w:val="CharacterStyle12"/>
              </w:rPr>
              <w:t>4.000,00</w:t>
            </w:r>
          </w:p>
        </w:tc>
        <w:tc>
          <w:tcPr>
            <w:tcW w:w="1395" w:type="dxa"/>
            <w:tcBorders>
              <w:bottom w:val="single" w:sz="6" w:space="0" w:color="000000"/>
              <w:right w:val="single" w:sz="6" w:space="0" w:color="000000"/>
            </w:tcBorders>
            <w:vAlign w:val="center"/>
          </w:tcPr>
          <w:p w14:paraId="45560C29" w14:textId="77777777" w:rsidR="007D706A" w:rsidRDefault="007D706A" w:rsidP="00F70508">
            <w:pPr>
              <w:pStyle w:val="ParagraphStyle12"/>
              <w:rPr>
                <w:rStyle w:val="CharacterStyle12"/>
              </w:rPr>
            </w:pPr>
            <w:r>
              <w:rPr>
                <w:rStyle w:val="CharacterStyle12"/>
              </w:rPr>
              <w:t>4.000,00</w:t>
            </w:r>
          </w:p>
        </w:tc>
        <w:tc>
          <w:tcPr>
            <w:tcW w:w="1395" w:type="dxa"/>
            <w:tcBorders>
              <w:bottom w:val="single" w:sz="6" w:space="0" w:color="000000"/>
              <w:right w:val="single" w:sz="6" w:space="0" w:color="000000"/>
            </w:tcBorders>
            <w:vAlign w:val="center"/>
          </w:tcPr>
          <w:p w14:paraId="111D6441" w14:textId="77777777" w:rsidR="007D706A" w:rsidRDefault="007D706A" w:rsidP="00F70508">
            <w:pPr>
              <w:pStyle w:val="ParagraphStyle12"/>
              <w:rPr>
                <w:rStyle w:val="CharacterStyle12"/>
              </w:rPr>
            </w:pPr>
            <w:r>
              <w:rPr>
                <w:rStyle w:val="CharacterStyle12"/>
              </w:rPr>
              <w:t>4.000,00</w:t>
            </w:r>
          </w:p>
        </w:tc>
      </w:tr>
      <w:tr w:rsidR="007D706A" w14:paraId="1071B2D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5101E9A" w14:textId="77777777" w:rsidR="007D706A" w:rsidRDefault="007D706A" w:rsidP="00F70508">
            <w:pPr>
              <w:pStyle w:val="ParagraphStyle4"/>
              <w:rPr>
                <w:rStyle w:val="CharacterStyle4"/>
              </w:rPr>
            </w:pPr>
            <w:r>
              <w:rPr>
                <w:rStyle w:val="CharacterStyle4"/>
              </w:rPr>
              <w:t>Aktivnost A101601</w:t>
            </w:r>
          </w:p>
        </w:tc>
        <w:tc>
          <w:tcPr>
            <w:tcW w:w="4995" w:type="dxa"/>
            <w:tcBorders>
              <w:bottom w:val="single" w:sz="6" w:space="0" w:color="000000"/>
              <w:right w:val="single" w:sz="6" w:space="0" w:color="000000"/>
            </w:tcBorders>
            <w:vAlign w:val="center"/>
          </w:tcPr>
          <w:p w14:paraId="5672AB06" w14:textId="77777777" w:rsidR="007D706A" w:rsidRDefault="007D706A" w:rsidP="00F70508">
            <w:pPr>
              <w:pStyle w:val="ParagraphStyle5"/>
              <w:rPr>
                <w:rStyle w:val="CharacterStyle5"/>
              </w:rPr>
            </w:pPr>
            <w:r>
              <w:rPr>
                <w:rStyle w:val="CharacterStyle5"/>
              </w:rPr>
              <w:t>PARCELACIJSKI ELABORATI I SLIČNE USLUGE</w:t>
            </w:r>
          </w:p>
        </w:tc>
        <w:tc>
          <w:tcPr>
            <w:tcW w:w="1395" w:type="dxa"/>
            <w:tcBorders>
              <w:bottom w:val="single" w:sz="6" w:space="0" w:color="000000"/>
              <w:right w:val="single" w:sz="6" w:space="0" w:color="000000"/>
            </w:tcBorders>
            <w:vAlign w:val="center"/>
          </w:tcPr>
          <w:p w14:paraId="0817DE0C"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16AE362C" w14:textId="77777777" w:rsidR="007D706A" w:rsidRDefault="007D706A" w:rsidP="00F70508">
            <w:pPr>
              <w:pStyle w:val="ParagraphStyle6"/>
              <w:rPr>
                <w:rStyle w:val="CharacterStyle6"/>
              </w:rPr>
            </w:pPr>
            <w:r>
              <w:rPr>
                <w:rStyle w:val="CharacterStyle6"/>
              </w:rPr>
              <w:t>26.550,00</w:t>
            </w:r>
          </w:p>
        </w:tc>
        <w:tc>
          <w:tcPr>
            <w:tcW w:w="1395" w:type="dxa"/>
            <w:tcBorders>
              <w:bottom w:val="single" w:sz="6" w:space="0" w:color="000000"/>
              <w:right w:val="single" w:sz="6" w:space="0" w:color="000000"/>
            </w:tcBorders>
            <w:vAlign w:val="center"/>
          </w:tcPr>
          <w:p w14:paraId="3460F839" w14:textId="77777777" w:rsidR="007D706A" w:rsidRDefault="007D706A" w:rsidP="00F70508">
            <w:pPr>
              <w:pStyle w:val="ParagraphStyle6"/>
              <w:rPr>
                <w:rStyle w:val="CharacterStyle6"/>
              </w:rPr>
            </w:pPr>
            <w:r>
              <w:rPr>
                <w:rStyle w:val="CharacterStyle6"/>
              </w:rPr>
              <w:t>26.550,00</w:t>
            </w:r>
          </w:p>
        </w:tc>
        <w:tc>
          <w:tcPr>
            <w:tcW w:w="1395" w:type="dxa"/>
            <w:tcBorders>
              <w:bottom w:val="single" w:sz="6" w:space="0" w:color="000000"/>
              <w:right w:val="single" w:sz="6" w:space="0" w:color="000000"/>
            </w:tcBorders>
            <w:vAlign w:val="center"/>
          </w:tcPr>
          <w:p w14:paraId="071F6C11" w14:textId="77777777" w:rsidR="007D706A" w:rsidRDefault="007D706A" w:rsidP="00F70508">
            <w:pPr>
              <w:pStyle w:val="ParagraphStyle6"/>
              <w:rPr>
                <w:rStyle w:val="CharacterStyle6"/>
              </w:rPr>
            </w:pPr>
            <w:r>
              <w:rPr>
                <w:rStyle w:val="CharacterStyle6"/>
              </w:rPr>
              <w:t>26.550,00</w:t>
            </w:r>
          </w:p>
        </w:tc>
        <w:tc>
          <w:tcPr>
            <w:tcW w:w="1395" w:type="dxa"/>
            <w:tcBorders>
              <w:bottom w:val="single" w:sz="6" w:space="0" w:color="000000"/>
              <w:right w:val="single" w:sz="6" w:space="0" w:color="000000"/>
            </w:tcBorders>
            <w:vAlign w:val="center"/>
          </w:tcPr>
          <w:p w14:paraId="5B8174FB" w14:textId="77777777" w:rsidR="007D706A" w:rsidRDefault="007D706A" w:rsidP="00F70508">
            <w:pPr>
              <w:pStyle w:val="ParagraphStyle6"/>
              <w:rPr>
                <w:rStyle w:val="CharacterStyle6"/>
              </w:rPr>
            </w:pPr>
            <w:r>
              <w:rPr>
                <w:rStyle w:val="CharacterStyle6"/>
              </w:rPr>
              <w:t>26.550,00</w:t>
            </w:r>
          </w:p>
        </w:tc>
      </w:tr>
      <w:tr w:rsidR="007D706A" w14:paraId="397273B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4E71DB9"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616C3BD0"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103F9346"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201AFCE" w14:textId="77777777" w:rsidR="007D706A" w:rsidRDefault="007D706A" w:rsidP="00F70508">
            <w:pPr>
              <w:pStyle w:val="ParagraphStyle9"/>
              <w:rPr>
                <w:rStyle w:val="CharacterStyle9"/>
              </w:rPr>
            </w:pPr>
            <w:r>
              <w:rPr>
                <w:rStyle w:val="CharacterStyle9"/>
              </w:rPr>
              <w:t>13.250,00</w:t>
            </w:r>
          </w:p>
        </w:tc>
        <w:tc>
          <w:tcPr>
            <w:tcW w:w="1395" w:type="dxa"/>
            <w:tcBorders>
              <w:bottom w:val="single" w:sz="6" w:space="0" w:color="000000"/>
              <w:right w:val="single" w:sz="6" w:space="0" w:color="000000"/>
            </w:tcBorders>
            <w:vAlign w:val="center"/>
          </w:tcPr>
          <w:p w14:paraId="45C267B3" w14:textId="77777777" w:rsidR="007D706A" w:rsidRDefault="007D706A" w:rsidP="00F70508">
            <w:pPr>
              <w:pStyle w:val="ParagraphStyle9"/>
              <w:rPr>
                <w:rStyle w:val="CharacterStyle9"/>
              </w:rPr>
            </w:pPr>
            <w:r>
              <w:rPr>
                <w:rStyle w:val="CharacterStyle9"/>
              </w:rPr>
              <w:t>13.250,00</w:t>
            </w:r>
          </w:p>
        </w:tc>
        <w:tc>
          <w:tcPr>
            <w:tcW w:w="1395" w:type="dxa"/>
            <w:tcBorders>
              <w:bottom w:val="single" w:sz="6" w:space="0" w:color="000000"/>
              <w:right w:val="single" w:sz="6" w:space="0" w:color="000000"/>
            </w:tcBorders>
            <w:vAlign w:val="center"/>
          </w:tcPr>
          <w:p w14:paraId="4E110D3A" w14:textId="77777777" w:rsidR="007D706A" w:rsidRDefault="007D706A" w:rsidP="00F70508">
            <w:pPr>
              <w:pStyle w:val="ParagraphStyle9"/>
              <w:rPr>
                <w:rStyle w:val="CharacterStyle9"/>
              </w:rPr>
            </w:pPr>
            <w:r>
              <w:rPr>
                <w:rStyle w:val="CharacterStyle9"/>
              </w:rPr>
              <w:t>13.250,00</w:t>
            </w:r>
          </w:p>
        </w:tc>
        <w:tc>
          <w:tcPr>
            <w:tcW w:w="1395" w:type="dxa"/>
            <w:tcBorders>
              <w:bottom w:val="single" w:sz="6" w:space="0" w:color="000000"/>
              <w:right w:val="single" w:sz="6" w:space="0" w:color="000000"/>
            </w:tcBorders>
            <w:vAlign w:val="center"/>
          </w:tcPr>
          <w:p w14:paraId="7F3543AE" w14:textId="77777777" w:rsidR="007D706A" w:rsidRDefault="007D706A" w:rsidP="00F70508">
            <w:pPr>
              <w:pStyle w:val="ParagraphStyle9"/>
              <w:rPr>
                <w:rStyle w:val="CharacterStyle9"/>
              </w:rPr>
            </w:pPr>
            <w:r>
              <w:rPr>
                <w:rStyle w:val="CharacterStyle9"/>
              </w:rPr>
              <w:t>13.250,00</w:t>
            </w:r>
          </w:p>
        </w:tc>
      </w:tr>
      <w:tr w:rsidR="007D706A" w14:paraId="167EA2D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6CDA637"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4A6E866A"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0D2762D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B0836F0" w14:textId="77777777" w:rsidR="007D706A" w:rsidRDefault="007D706A" w:rsidP="00F70508">
            <w:pPr>
              <w:pStyle w:val="ParagraphStyle12"/>
              <w:rPr>
                <w:rStyle w:val="CharacterStyle12"/>
              </w:rPr>
            </w:pPr>
            <w:r>
              <w:rPr>
                <w:rStyle w:val="CharacterStyle12"/>
              </w:rPr>
              <w:t>13.250,00</w:t>
            </w:r>
          </w:p>
        </w:tc>
        <w:tc>
          <w:tcPr>
            <w:tcW w:w="1395" w:type="dxa"/>
            <w:tcBorders>
              <w:bottom w:val="single" w:sz="6" w:space="0" w:color="000000"/>
              <w:right w:val="single" w:sz="6" w:space="0" w:color="000000"/>
            </w:tcBorders>
            <w:vAlign w:val="center"/>
          </w:tcPr>
          <w:p w14:paraId="453064B0" w14:textId="77777777" w:rsidR="007D706A" w:rsidRDefault="007D706A" w:rsidP="00F70508">
            <w:pPr>
              <w:pStyle w:val="ParagraphStyle12"/>
              <w:rPr>
                <w:rStyle w:val="CharacterStyle12"/>
              </w:rPr>
            </w:pPr>
            <w:r>
              <w:rPr>
                <w:rStyle w:val="CharacterStyle12"/>
              </w:rPr>
              <w:t>13.250,00</w:t>
            </w:r>
          </w:p>
        </w:tc>
        <w:tc>
          <w:tcPr>
            <w:tcW w:w="1395" w:type="dxa"/>
            <w:tcBorders>
              <w:bottom w:val="single" w:sz="6" w:space="0" w:color="000000"/>
              <w:right w:val="single" w:sz="6" w:space="0" w:color="000000"/>
            </w:tcBorders>
            <w:vAlign w:val="center"/>
          </w:tcPr>
          <w:p w14:paraId="6C93830F" w14:textId="77777777" w:rsidR="007D706A" w:rsidRDefault="007D706A" w:rsidP="00F70508">
            <w:pPr>
              <w:pStyle w:val="ParagraphStyle12"/>
              <w:rPr>
                <w:rStyle w:val="CharacterStyle12"/>
              </w:rPr>
            </w:pPr>
            <w:r>
              <w:rPr>
                <w:rStyle w:val="CharacterStyle12"/>
              </w:rPr>
              <w:t>13.250,00</w:t>
            </w:r>
          </w:p>
        </w:tc>
        <w:tc>
          <w:tcPr>
            <w:tcW w:w="1395" w:type="dxa"/>
            <w:tcBorders>
              <w:bottom w:val="single" w:sz="6" w:space="0" w:color="000000"/>
              <w:right w:val="single" w:sz="6" w:space="0" w:color="000000"/>
            </w:tcBorders>
            <w:vAlign w:val="center"/>
          </w:tcPr>
          <w:p w14:paraId="7217CF75" w14:textId="77777777" w:rsidR="007D706A" w:rsidRDefault="007D706A" w:rsidP="00F70508">
            <w:pPr>
              <w:pStyle w:val="ParagraphStyle12"/>
              <w:rPr>
                <w:rStyle w:val="CharacterStyle12"/>
              </w:rPr>
            </w:pPr>
            <w:r>
              <w:rPr>
                <w:rStyle w:val="CharacterStyle12"/>
              </w:rPr>
              <w:t>13.250,00</w:t>
            </w:r>
          </w:p>
        </w:tc>
      </w:tr>
      <w:tr w:rsidR="007D706A" w14:paraId="61A7F10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3398B71"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21A71B29"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22C9B4B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F26622A" w14:textId="77777777" w:rsidR="007D706A" w:rsidRDefault="007D706A" w:rsidP="00F70508">
            <w:pPr>
              <w:pStyle w:val="ParagraphStyle12"/>
              <w:rPr>
                <w:rStyle w:val="CharacterStyle12"/>
              </w:rPr>
            </w:pPr>
            <w:r>
              <w:rPr>
                <w:rStyle w:val="CharacterStyle12"/>
              </w:rPr>
              <w:t>13.250,00</w:t>
            </w:r>
          </w:p>
        </w:tc>
        <w:tc>
          <w:tcPr>
            <w:tcW w:w="1395" w:type="dxa"/>
            <w:tcBorders>
              <w:bottom w:val="single" w:sz="6" w:space="0" w:color="000000"/>
              <w:right w:val="single" w:sz="6" w:space="0" w:color="000000"/>
            </w:tcBorders>
            <w:vAlign w:val="center"/>
          </w:tcPr>
          <w:p w14:paraId="6E90BA00" w14:textId="77777777" w:rsidR="007D706A" w:rsidRDefault="007D706A" w:rsidP="00F70508">
            <w:pPr>
              <w:pStyle w:val="ParagraphStyle12"/>
              <w:rPr>
                <w:rStyle w:val="CharacterStyle12"/>
              </w:rPr>
            </w:pPr>
            <w:r>
              <w:rPr>
                <w:rStyle w:val="CharacterStyle12"/>
              </w:rPr>
              <w:t>13.250,00</w:t>
            </w:r>
          </w:p>
        </w:tc>
        <w:tc>
          <w:tcPr>
            <w:tcW w:w="1395" w:type="dxa"/>
            <w:tcBorders>
              <w:bottom w:val="single" w:sz="6" w:space="0" w:color="000000"/>
              <w:right w:val="single" w:sz="6" w:space="0" w:color="000000"/>
            </w:tcBorders>
            <w:vAlign w:val="center"/>
          </w:tcPr>
          <w:p w14:paraId="413C7C8C" w14:textId="77777777" w:rsidR="007D706A" w:rsidRDefault="007D706A" w:rsidP="00F70508">
            <w:pPr>
              <w:pStyle w:val="ParagraphStyle12"/>
              <w:rPr>
                <w:rStyle w:val="CharacterStyle12"/>
              </w:rPr>
            </w:pPr>
            <w:r>
              <w:rPr>
                <w:rStyle w:val="CharacterStyle12"/>
              </w:rPr>
              <w:t>13.250,00</w:t>
            </w:r>
          </w:p>
        </w:tc>
        <w:tc>
          <w:tcPr>
            <w:tcW w:w="1395" w:type="dxa"/>
            <w:tcBorders>
              <w:bottom w:val="single" w:sz="6" w:space="0" w:color="000000"/>
              <w:right w:val="single" w:sz="6" w:space="0" w:color="000000"/>
            </w:tcBorders>
            <w:vAlign w:val="center"/>
          </w:tcPr>
          <w:p w14:paraId="4882EC16" w14:textId="77777777" w:rsidR="007D706A" w:rsidRDefault="007D706A" w:rsidP="00F70508">
            <w:pPr>
              <w:pStyle w:val="ParagraphStyle12"/>
              <w:rPr>
                <w:rStyle w:val="CharacterStyle12"/>
              </w:rPr>
            </w:pPr>
            <w:r>
              <w:rPr>
                <w:rStyle w:val="CharacterStyle12"/>
              </w:rPr>
              <w:t>13.250,00</w:t>
            </w:r>
          </w:p>
        </w:tc>
      </w:tr>
      <w:tr w:rsidR="007D706A" w14:paraId="387DA6B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2D6FFCD" w14:textId="77777777" w:rsidR="007D706A" w:rsidRDefault="007D706A" w:rsidP="00F70508">
            <w:pPr>
              <w:pStyle w:val="ParagraphStyle7"/>
              <w:rPr>
                <w:rStyle w:val="CharacterStyle7"/>
              </w:rPr>
            </w:pPr>
            <w:r>
              <w:rPr>
                <w:rStyle w:val="CharacterStyle7"/>
              </w:rPr>
              <w:t>Izvor financiranja 41</w:t>
            </w:r>
          </w:p>
        </w:tc>
        <w:tc>
          <w:tcPr>
            <w:tcW w:w="4995" w:type="dxa"/>
            <w:tcBorders>
              <w:bottom w:val="single" w:sz="6" w:space="0" w:color="000000"/>
              <w:right w:val="single" w:sz="6" w:space="0" w:color="000000"/>
            </w:tcBorders>
            <w:vAlign w:val="center"/>
          </w:tcPr>
          <w:p w14:paraId="0D2015EC" w14:textId="77777777" w:rsidR="007D706A" w:rsidRDefault="007D706A" w:rsidP="00F70508">
            <w:pPr>
              <w:pStyle w:val="ParagraphStyle8"/>
              <w:rPr>
                <w:rStyle w:val="CharacterStyle8"/>
              </w:rPr>
            </w:pPr>
            <w:r>
              <w:rPr>
                <w:rStyle w:val="CharacterStyle8"/>
              </w:rPr>
              <w:t>Prihodi za posebne namjene</w:t>
            </w:r>
          </w:p>
        </w:tc>
        <w:tc>
          <w:tcPr>
            <w:tcW w:w="1395" w:type="dxa"/>
            <w:tcBorders>
              <w:bottom w:val="single" w:sz="6" w:space="0" w:color="000000"/>
              <w:right w:val="single" w:sz="6" w:space="0" w:color="000000"/>
            </w:tcBorders>
            <w:vAlign w:val="center"/>
          </w:tcPr>
          <w:p w14:paraId="22F5A5ED"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4EB3F7E" w14:textId="77777777" w:rsidR="007D706A" w:rsidRDefault="007D706A" w:rsidP="00F70508">
            <w:pPr>
              <w:pStyle w:val="ParagraphStyle9"/>
              <w:rPr>
                <w:rStyle w:val="CharacterStyle9"/>
              </w:rPr>
            </w:pPr>
            <w:r>
              <w:rPr>
                <w:rStyle w:val="CharacterStyle9"/>
              </w:rPr>
              <w:t>13.300,00</w:t>
            </w:r>
          </w:p>
        </w:tc>
        <w:tc>
          <w:tcPr>
            <w:tcW w:w="1395" w:type="dxa"/>
            <w:tcBorders>
              <w:bottom w:val="single" w:sz="6" w:space="0" w:color="000000"/>
              <w:right w:val="single" w:sz="6" w:space="0" w:color="000000"/>
            </w:tcBorders>
            <w:vAlign w:val="center"/>
          </w:tcPr>
          <w:p w14:paraId="0FEF9D87"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67B109E"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A396FA9" w14:textId="77777777" w:rsidR="007D706A" w:rsidRDefault="007D706A" w:rsidP="00F70508">
            <w:pPr>
              <w:pStyle w:val="ParagraphStyle9"/>
              <w:rPr>
                <w:rStyle w:val="CharacterStyle9"/>
              </w:rPr>
            </w:pPr>
            <w:r>
              <w:rPr>
                <w:rStyle w:val="CharacterStyle9"/>
              </w:rPr>
              <w:t>0,00</w:t>
            </w:r>
          </w:p>
        </w:tc>
      </w:tr>
      <w:tr w:rsidR="007D706A" w14:paraId="1C8C6E3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772CCFF"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1A2F23C9"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1D7CA4F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1D28F58" w14:textId="77777777" w:rsidR="007D706A" w:rsidRDefault="007D706A" w:rsidP="00F70508">
            <w:pPr>
              <w:pStyle w:val="ParagraphStyle12"/>
              <w:rPr>
                <w:rStyle w:val="CharacterStyle12"/>
              </w:rPr>
            </w:pPr>
            <w:r>
              <w:rPr>
                <w:rStyle w:val="CharacterStyle12"/>
              </w:rPr>
              <w:t>13.300,00</w:t>
            </w:r>
          </w:p>
        </w:tc>
        <w:tc>
          <w:tcPr>
            <w:tcW w:w="1395" w:type="dxa"/>
            <w:tcBorders>
              <w:bottom w:val="single" w:sz="6" w:space="0" w:color="000000"/>
              <w:right w:val="single" w:sz="6" w:space="0" w:color="000000"/>
            </w:tcBorders>
            <w:vAlign w:val="center"/>
          </w:tcPr>
          <w:p w14:paraId="15D2127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71B1D7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64768CE" w14:textId="77777777" w:rsidR="007D706A" w:rsidRDefault="007D706A" w:rsidP="00F70508">
            <w:pPr>
              <w:pStyle w:val="ParagraphStyle12"/>
              <w:rPr>
                <w:rStyle w:val="CharacterStyle12"/>
              </w:rPr>
            </w:pPr>
            <w:r>
              <w:rPr>
                <w:rStyle w:val="CharacterStyle12"/>
              </w:rPr>
              <w:t>0,00</w:t>
            </w:r>
          </w:p>
        </w:tc>
      </w:tr>
      <w:tr w:rsidR="007D706A" w14:paraId="34D9D6F6"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26E1E55"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658E8C9A"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28B4D51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C60022A" w14:textId="77777777" w:rsidR="007D706A" w:rsidRDefault="007D706A" w:rsidP="00F70508">
            <w:pPr>
              <w:pStyle w:val="ParagraphStyle12"/>
              <w:rPr>
                <w:rStyle w:val="CharacterStyle12"/>
              </w:rPr>
            </w:pPr>
            <w:r>
              <w:rPr>
                <w:rStyle w:val="CharacterStyle12"/>
              </w:rPr>
              <w:t>13.300,00</w:t>
            </w:r>
          </w:p>
        </w:tc>
        <w:tc>
          <w:tcPr>
            <w:tcW w:w="1395" w:type="dxa"/>
            <w:tcBorders>
              <w:bottom w:val="single" w:sz="6" w:space="0" w:color="000000"/>
              <w:right w:val="single" w:sz="6" w:space="0" w:color="000000"/>
            </w:tcBorders>
            <w:vAlign w:val="center"/>
          </w:tcPr>
          <w:p w14:paraId="4A3FD62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E08832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79BF383" w14:textId="77777777" w:rsidR="007D706A" w:rsidRDefault="007D706A" w:rsidP="00F70508">
            <w:pPr>
              <w:pStyle w:val="ParagraphStyle12"/>
              <w:rPr>
                <w:rStyle w:val="CharacterStyle12"/>
              </w:rPr>
            </w:pPr>
            <w:r>
              <w:rPr>
                <w:rStyle w:val="CharacterStyle12"/>
              </w:rPr>
              <w:t>0,00</w:t>
            </w:r>
          </w:p>
        </w:tc>
      </w:tr>
      <w:tr w:rsidR="007D706A" w14:paraId="2FC67D3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4186446" w14:textId="77777777" w:rsidR="007D706A" w:rsidRDefault="007D706A" w:rsidP="00F70508">
            <w:pPr>
              <w:pStyle w:val="ParagraphStyle7"/>
              <w:rPr>
                <w:rStyle w:val="CharacterStyle7"/>
              </w:rPr>
            </w:pPr>
            <w:r>
              <w:rPr>
                <w:rStyle w:val="CharacterStyle7"/>
              </w:rPr>
              <w:t>Izvor financiranja 43</w:t>
            </w:r>
          </w:p>
        </w:tc>
        <w:tc>
          <w:tcPr>
            <w:tcW w:w="4995" w:type="dxa"/>
            <w:tcBorders>
              <w:bottom w:val="single" w:sz="6" w:space="0" w:color="000000"/>
              <w:right w:val="single" w:sz="6" w:space="0" w:color="000000"/>
            </w:tcBorders>
            <w:vAlign w:val="center"/>
          </w:tcPr>
          <w:p w14:paraId="56CBA127" w14:textId="77777777" w:rsidR="007D706A" w:rsidRDefault="007D706A" w:rsidP="00F70508">
            <w:pPr>
              <w:pStyle w:val="ParagraphStyle8"/>
              <w:rPr>
                <w:rStyle w:val="CharacterStyle8"/>
              </w:rPr>
            </w:pPr>
            <w:r>
              <w:rPr>
                <w:rStyle w:val="CharacterStyle8"/>
              </w:rPr>
              <w:t>Ostali prihodi za posebne namjene</w:t>
            </w:r>
          </w:p>
        </w:tc>
        <w:tc>
          <w:tcPr>
            <w:tcW w:w="1395" w:type="dxa"/>
            <w:tcBorders>
              <w:bottom w:val="single" w:sz="6" w:space="0" w:color="000000"/>
              <w:right w:val="single" w:sz="6" w:space="0" w:color="000000"/>
            </w:tcBorders>
            <w:vAlign w:val="center"/>
          </w:tcPr>
          <w:p w14:paraId="5CF23932"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3891FCF"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E963093" w14:textId="77777777" w:rsidR="007D706A" w:rsidRDefault="007D706A" w:rsidP="00F70508">
            <w:pPr>
              <w:pStyle w:val="ParagraphStyle9"/>
              <w:rPr>
                <w:rStyle w:val="CharacterStyle9"/>
              </w:rPr>
            </w:pPr>
            <w:r>
              <w:rPr>
                <w:rStyle w:val="CharacterStyle9"/>
              </w:rPr>
              <w:t>13.300,00</w:t>
            </w:r>
          </w:p>
        </w:tc>
        <w:tc>
          <w:tcPr>
            <w:tcW w:w="1395" w:type="dxa"/>
            <w:tcBorders>
              <w:bottom w:val="single" w:sz="6" w:space="0" w:color="000000"/>
              <w:right w:val="single" w:sz="6" w:space="0" w:color="000000"/>
            </w:tcBorders>
            <w:vAlign w:val="center"/>
          </w:tcPr>
          <w:p w14:paraId="72D25236" w14:textId="77777777" w:rsidR="007D706A" w:rsidRDefault="007D706A" w:rsidP="00F70508">
            <w:pPr>
              <w:pStyle w:val="ParagraphStyle9"/>
              <w:rPr>
                <w:rStyle w:val="CharacterStyle9"/>
              </w:rPr>
            </w:pPr>
            <w:r>
              <w:rPr>
                <w:rStyle w:val="CharacterStyle9"/>
              </w:rPr>
              <w:t>13.300,00</w:t>
            </w:r>
          </w:p>
        </w:tc>
        <w:tc>
          <w:tcPr>
            <w:tcW w:w="1395" w:type="dxa"/>
            <w:tcBorders>
              <w:bottom w:val="single" w:sz="6" w:space="0" w:color="000000"/>
              <w:right w:val="single" w:sz="6" w:space="0" w:color="000000"/>
            </w:tcBorders>
            <w:vAlign w:val="center"/>
          </w:tcPr>
          <w:p w14:paraId="09A8E785" w14:textId="77777777" w:rsidR="007D706A" w:rsidRDefault="007D706A" w:rsidP="00F70508">
            <w:pPr>
              <w:pStyle w:val="ParagraphStyle9"/>
              <w:rPr>
                <w:rStyle w:val="CharacterStyle9"/>
              </w:rPr>
            </w:pPr>
            <w:r>
              <w:rPr>
                <w:rStyle w:val="CharacterStyle9"/>
              </w:rPr>
              <w:t>13.300,00</w:t>
            </w:r>
          </w:p>
        </w:tc>
      </w:tr>
      <w:tr w:rsidR="007D706A" w14:paraId="0533250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CBE3451"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57E9EE00"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445C697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846D08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FBB6E4A" w14:textId="77777777" w:rsidR="007D706A" w:rsidRDefault="007D706A" w:rsidP="00F70508">
            <w:pPr>
              <w:pStyle w:val="ParagraphStyle12"/>
              <w:rPr>
                <w:rStyle w:val="CharacterStyle12"/>
              </w:rPr>
            </w:pPr>
            <w:r>
              <w:rPr>
                <w:rStyle w:val="CharacterStyle12"/>
              </w:rPr>
              <w:t>13.300,00</w:t>
            </w:r>
          </w:p>
        </w:tc>
        <w:tc>
          <w:tcPr>
            <w:tcW w:w="1395" w:type="dxa"/>
            <w:tcBorders>
              <w:bottom w:val="single" w:sz="6" w:space="0" w:color="000000"/>
              <w:right w:val="single" w:sz="6" w:space="0" w:color="000000"/>
            </w:tcBorders>
            <w:vAlign w:val="center"/>
          </w:tcPr>
          <w:p w14:paraId="1482E826" w14:textId="77777777" w:rsidR="007D706A" w:rsidRDefault="007D706A" w:rsidP="00F70508">
            <w:pPr>
              <w:pStyle w:val="ParagraphStyle12"/>
              <w:rPr>
                <w:rStyle w:val="CharacterStyle12"/>
              </w:rPr>
            </w:pPr>
            <w:r>
              <w:rPr>
                <w:rStyle w:val="CharacterStyle12"/>
              </w:rPr>
              <w:t>13.300,00</w:t>
            </w:r>
          </w:p>
        </w:tc>
        <w:tc>
          <w:tcPr>
            <w:tcW w:w="1395" w:type="dxa"/>
            <w:tcBorders>
              <w:bottom w:val="single" w:sz="6" w:space="0" w:color="000000"/>
              <w:right w:val="single" w:sz="6" w:space="0" w:color="000000"/>
            </w:tcBorders>
            <w:vAlign w:val="center"/>
          </w:tcPr>
          <w:p w14:paraId="7D10B66B" w14:textId="77777777" w:rsidR="007D706A" w:rsidRDefault="007D706A" w:rsidP="00F70508">
            <w:pPr>
              <w:pStyle w:val="ParagraphStyle12"/>
              <w:rPr>
                <w:rStyle w:val="CharacterStyle12"/>
              </w:rPr>
            </w:pPr>
            <w:r>
              <w:rPr>
                <w:rStyle w:val="CharacterStyle12"/>
              </w:rPr>
              <w:t>13.300,00</w:t>
            </w:r>
          </w:p>
        </w:tc>
      </w:tr>
      <w:tr w:rsidR="007D706A" w14:paraId="1B466C9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6213912"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139716BF"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2650618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4B9233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D8A071E" w14:textId="77777777" w:rsidR="007D706A" w:rsidRDefault="007D706A" w:rsidP="00F70508">
            <w:pPr>
              <w:pStyle w:val="ParagraphStyle12"/>
              <w:rPr>
                <w:rStyle w:val="CharacterStyle12"/>
              </w:rPr>
            </w:pPr>
            <w:r>
              <w:rPr>
                <w:rStyle w:val="CharacterStyle12"/>
              </w:rPr>
              <w:t>13.300,00</w:t>
            </w:r>
          </w:p>
        </w:tc>
        <w:tc>
          <w:tcPr>
            <w:tcW w:w="1395" w:type="dxa"/>
            <w:tcBorders>
              <w:bottom w:val="single" w:sz="6" w:space="0" w:color="000000"/>
              <w:right w:val="single" w:sz="6" w:space="0" w:color="000000"/>
            </w:tcBorders>
            <w:vAlign w:val="center"/>
          </w:tcPr>
          <w:p w14:paraId="33400502" w14:textId="77777777" w:rsidR="007D706A" w:rsidRDefault="007D706A" w:rsidP="00F70508">
            <w:pPr>
              <w:pStyle w:val="ParagraphStyle12"/>
              <w:rPr>
                <w:rStyle w:val="CharacterStyle12"/>
              </w:rPr>
            </w:pPr>
            <w:r>
              <w:rPr>
                <w:rStyle w:val="CharacterStyle12"/>
              </w:rPr>
              <w:t>13.300,00</w:t>
            </w:r>
          </w:p>
        </w:tc>
        <w:tc>
          <w:tcPr>
            <w:tcW w:w="1395" w:type="dxa"/>
            <w:tcBorders>
              <w:bottom w:val="single" w:sz="6" w:space="0" w:color="000000"/>
              <w:right w:val="single" w:sz="6" w:space="0" w:color="000000"/>
            </w:tcBorders>
            <w:vAlign w:val="center"/>
          </w:tcPr>
          <w:p w14:paraId="3A0CE1FD" w14:textId="77777777" w:rsidR="007D706A" w:rsidRDefault="007D706A" w:rsidP="00F70508">
            <w:pPr>
              <w:pStyle w:val="ParagraphStyle12"/>
              <w:rPr>
                <w:rStyle w:val="CharacterStyle12"/>
              </w:rPr>
            </w:pPr>
            <w:r>
              <w:rPr>
                <w:rStyle w:val="CharacterStyle12"/>
              </w:rPr>
              <w:t>13.300,00</w:t>
            </w:r>
          </w:p>
        </w:tc>
      </w:tr>
      <w:tr w:rsidR="007D706A" w14:paraId="7B26458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7C0DA35" w14:textId="77777777" w:rsidR="007D706A" w:rsidRDefault="007D706A" w:rsidP="00F70508">
            <w:pPr>
              <w:pStyle w:val="ParagraphStyle4"/>
              <w:rPr>
                <w:rStyle w:val="CharacterStyle4"/>
              </w:rPr>
            </w:pPr>
            <w:r>
              <w:rPr>
                <w:rStyle w:val="CharacterStyle4"/>
              </w:rPr>
              <w:t>Aktivnost A101602</w:t>
            </w:r>
          </w:p>
        </w:tc>
        <w:tc>
          <w:tcPr>
            <w:tcW w:w="4995" w:type="dxa"/>
            <w:tcBorders>
              <w:bottom w:val="single" w:sz="6" w:space="0" w:color="000000"/>
              <w:right w:val="single" w:sz="6" w:space="0" w:color="000000"/>
            </w:tcBorders>
            <w:vAlign w:val="center"/>
          </w:tcPr>
          <w:p w14:paraId="3C801F09" w14:textId="77777777" w:rsidR="007D706A" w:rsidRDefault="007D706A" w:rsidP="00F70508">
            <w:pPr>
              <w:pStyle w:val="ParagraphStyle5"/>
              <w:rPr>
                <w:rStyle w:val="CharacterStyle5"/>
              </w:rPr>
            </w:pPr>
            <w:r>
              <w:rPr>
                <w:rStyle w:val="CharacterStyle5"/>
              </w:rPr>
              <w:t>GEODETSKO-KATASTARSKI POSLOVI</w:t>
            </w:r>
          </w:p>
        </w:tc>
        <w:tc>
          <w:tcPr>
            <w:tcW w:w="1395" w:type="dxa"/>
            <w:tcBorders>
              <w:bottom w:val="single" w:sz="6" w:space="0" w:color="000000"/>
              <w:right w:val="single" w:sz="6" w:space="0" w:color="000000"/>
            </w:tcBorders>
            <w:vAlign w:val="center"/>
          </w:tcPr>
          <w:p w14:paraId="1A3378CF"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43AE5D30" w14:textId="77777777" w:rsidR="007D706A" w:rsidRDefault="007D706A" w:rsidP="00F70508">
            <w:pPr>
              <w:pStyle w:val="ParagraphStyle6"/>
              <w:rPr>
                <w:rStyle w:val="CharacterStyle6"/>
              </w:rPr>
            </w:pPr>
            <w:r>
              <w:rPr>
                <w:rStyle w:val="CharacterStyle6"/>
              </w:rPr>
              <w:t>26.550,00</w:t>
            </w:r>
          </w:p>
        </w:tc>
        <w:tc>
          <w:tcPr>
            <w:tcW w:w="1395" w:type="dxa"/>
            <w:tcBorders>
              <w:bottom w:val="single" w:sz="6" w:space="0" w:color="000000"/>
              <w:right w:val="single" w:sz="6" w:space="0" w:color="000000"/>
            </w:tcBorders>
            <w:vAlign w:val="center"/>
          </w:tcPr>
          <w:p w14:paraId="1339D8ED" w14:textId="77777777" w:rsidR="007D706A" w:rsidRDefault="007D706A" w:rsidP="00F70508">
            <w:pPr>
              <w:pStyle w:val="ParagraphStyle6"/>
              <w:rPr>
                <w:rStyle w:val="CharacterStyle6"/>
              </w:rPr>
            </w:pPr>
            <w:r>
              <w:rPr>
                <w:rStyle w:val="CharacterStyle6"/>
              </w:rPr>
              <w:t>26.550,00</w:t>
            </w:r>
          </w:p>
        </w:tc>
        <w:tc>
          <w:tcPr>
            <w:tcW w:w="1395" w:type="dxa"/>
            <w:tcBorders>
              <w:bottom w:val="single" w:sz="6" w:space="0" w:color="000000"/>
              <w:right w:val="single" w:sz="6" w:space="0" w:color="000000"/>
            </w:tcBorders>
            <w:vAlign w:val="center"/>
          </w:tcPr>
          <w:p w14:paraId="2D43B173" w14:textId="77777777" w:rsidR="007D706A" w:rsidRDefault="007D706A" w:rsidP="00F70508">
            <w:pPr>
              <w:pStyle w:val="ParagraphStyle6"/>
              <w:rPr>
                <w:rStyle w:val="CharacterStyle6"/>
              </w:rPr>
            </w:pPr>
            <w:r>
              <w:rPr>
                <w:rStyle w:val="CharacterStyle6"/>
              </w:rPr>
              <w:t>26.550,00</w:t>
            </w:r>
          </w:p>
        </w:tc>
        <w:tc>
          <w:tcPr>
            <w:tcW w:w="1395" w:type="dxa"/>
            <w:tcBorders>
              <w:bottom w:val="single" w:sz="6" w:space="0" w:color="000000"/>
              <w:right w:val="single" w:sz="6" w:space="0" w:color="000000"/>
            </w:tcBorders>
            <w:vAlign w:val="center"/>
          </w:tcPr>
          <w:p w14:paraId="18FB48D8" w14:textId="77777777" w:rsidR="007D706A" w:rsidRDefault="007D706A" w:rsidP="00F70508">
            <w:pPr>
              <w:pStyle w:val="ParagraphStyle6"/>
              <w:rPr>
                <w:rStyle w:val="CharacterStyle6"/>
              </w:rPr>
            </w:pPr>
            <w:r>
              <w:rPr>
                <w:rStyle w:val="CharacterStyle6"/>
              </w:rPr>
              <w:t>26.550,00</w:t>
            </w:r>
          </w:p>
        </w:tc>
      </w:tr>
      <w:tr w:rsidR="007D706A" w14:paraId="506F487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647568B" w14:textId="77777777" w:rsidR="007D706A" w:rsidRDefault="007D706A" w:rsidP="00F70508">
            <w:pPr>
              <w:pStyle w:val="ParagraphStyle7"/>
              <w:rPr>
                <w:rStyle w:val="CharacterStyle7"/>
              </w:rPr>
            </w:pPr>
            <w:r>
              <w:rPr>
                <w:rStyle w:val="CharacterStyle7"/>
              </w:rPr>
              <w:t>Izvor financiranja 41</w:t>
            </w:r>
          </w:p>
        </w:tc>
        <w:tc>
          <w:tcPr>
            <w:tcW w:w="4995" w:type="dxa"/>
            <w:tcBorders>
              <w:bottom w:val="single" w:sz="6" w:space="0" w:color="000000"/>
              <w:right w:val="single" w:sz="6" w:space="0" w:color="000000"/>
            </w:tcBorders>
            <w:vAlign w:val="center"/>
          </w:tcPr>
          <w:p w14:paraId="79CFD302" w14:textId="77777777" w:rsidR="007D706A" w:rsidRDefault="007D706A" w:rsidP="00F70508">
            <w:pPr>
              <w:pStyle w:val="ParagraphStyle8"/>
              <w:rPr>
                <w:rStyle w:val="CharacterStyle8"/>
              </w:rPr>
            </w:pPr>
            <w:r>
              <w:rPr>
                <w:rStyle w:val="CharacterStyle8"/>
              </w:rPr>
              <w:t>Prihodi za posebne namjene</w:t>
            </w:r>
          </w:p>
        </w:tc>
        <w:tc>
          <w:tcPr>
            <w:tcW w:w="1395" w:type="dxa"/>
            <w:tcBorders>
              <w:bottom w:val="single" w:sz="6" w:space="0" w:color="000000"/>
              <w:right w:val="single" w:sz="6" w:space="0" w:color="000000"/>
            </w:tcBorders>
            <w:vAlign w:val="center"/>
          </w:tcPr>
          <w:p w14:paraId="34DEDCA1"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4C2CB5A" w14:textId="77777777" w:rsidR="007D706A" w:rsidRDefault="007D706A" w:rsidP="00F70508">
            <w:pPr>
              <w:pStyle w:val="ParagraphStyle9"/>
              <w:rPr>
                <w:rStyle w:val="CharacterStyle9"/>
              </w:rPr>
            </w:pPr>
            <w:r>
              <w:rPr>
                <w:rStyle w:val="CharacterStyle9"/>
              </w:rPr>
              <w:t>26.550,00</w:t>
            </w:r>
          </w:p>
        </w:tc>
        <w:tc>
          <w:tcPr>
            <w:tcW w:w="1395" w:type="dxa"/>
            <w:tcBorders>
              <w:bottom w:val="single" w:sz="6" w:space="0" w:color="000000"/>
              <w:right w:val="single" w:sz="6" w:space="0" w:color="000000"/>
            </w:tcBorders>
            <w:vAlign w:val="center"/>
          </w:tcPr>
          <w:p w14:paraId="200024BF"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08E8030"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5D8923F" w14:textId="77777777" w:rsidR="007D706A" w:rsidRDefault="007D706A" w:rsidP="00F70508">
            <w:pPr>
              <w:pStyle w:val="ParagraphStyle9"/>
              <w:rPr>
                <w:rStyle w:val="CharacterStyle9"/>
              </w:rPr>
            </w:pPr>
            <w:r>
              <w:rPr>
                <w:rStyle w:val="CharacterStyle9"/>
              </w:rPr>
              <w:t>0,00</w:t>
            </w:r>
          </w:p>
        </w:tc>
      </w:tr>
      <w:tr w:rsidR="007D706A" w14:paraId="52B2C68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83ACA73"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62758ED8"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52F5D1F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B855809" w14:textId="77777777" w:rsidR="007D706A" w:rsidRDefault="007D706A" w:rsidP="00F70508">
            <w:pPr>
              <w:pStyle w:val="ParagraphStyle12"/>
              <w:rPr>
                <w:rStyle w:val="CharacterStyle12"/>
              </w:rPr>
            </w:pPr>
            <w:r>
              <w:rPr>
                <w:rStyle w:val="CharacterStyle12"/>
              </w:rPr>
              <w:t>26.550,00</w:t>
            </w:r>
          </w:p>
        </w:tc>
        <w:tc>
          <w:tcPr>
            <w:tcW w:w="1395" w:type="dxa"/>
            <w:tcBorders>
              <w:bottom w:val="single" w:sz="6" w:space="0" w:color="000000"/>
              <w:right w:val="single" w:sz="6" w:space="0" w:color="000000"/>
            </w:tcBorders>
            <w:vAlign w:val="center"/>
          </w:tcPr>
          <w:p w14:paraId="058F208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EE0551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F2CBF46" w14:textId="77777777" w:rsidR="007D706A" w:rsidRDefault="007D706A" w:rsidP="00F70508">
            <w:pPr>
              <w:pStyle w:val="ParagraphStyle12"/>
              <w:rPr>
                <w:rStyle w:val="CharacterStyle12"/>
              </w:rPr>
            </w:pPr>
            <w:r>
              <w:rPr>
                <w:rStyle w:val="CharacterStyle12"/>
              </w:rPr>
              <w:t>0,00</w:t>
            </w:r>
          </w:p>
        </w:tc>
      </w:tr>
      <w:tr w:rsidR="007D706A" w14:paraId="7968A8D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F782588"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2F44941F"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74F3283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F5A1C8C" w14:textId="77777777" w:rsidR="007D706A" w:rsidRDefault="007D706A" w:rsidP="00F70508">
            <w:pPr>
              <w:pStyle w:val="ParagraphStyle12"/>
              <w:rPr>
                <w:rStyle w:val="CharacterStyle12"/>
              </w:rPr>
            </w:pPr>
            <w:r>
              <w:rPr>
                <w:rStyle w:val="CharacterStyle12"/>
              </w:rPr>
              <w:t>26.550,00</w:t>
            </w:r>
          </w:p>
        </w:tc>
        <w:tc>
          <w:tcPr>
            <w:tcW w:w="1395" w:type="dxa"/>
            <w:tcBorders>
              <w:bottom w:val="single" w:sz="6" w:space="0" w:color="000000"/>
              <w:right w:val="single" w:sz="6" w:space="0" w:color="000000"/>
            </w:tcBorders>
            <w:vAlign w:val="center"/>
          </w:tcPr>
          <w:p w14:paraId="2F05EF9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1C6423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DE5F158" w14:textId="77777777" w:rsidR="007D706A" w:rsidRDefault="007D706A" w:rsidP="00F70508">
            <w:pPr>
              <w:pStyle w:val="ParagraphStyle12"/>
              <w:rPr>
                <w:rStyle w:val="CharacterStyle12"/>
              </w:rPr>
            </w:pPr>
            <w:r>
              <w:rPr>
                <w:rStyle w:val="CharacterStyle12"/>
              </w:rPr>
              <w:t>0,00</w:t>
            </w:r>
          </w:p>
        </w:tc>
      </w:tr>
      <w:tr w:rsidR="007D706A" w14:paraId="71905A0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F2315B4" w14:textId="77777777" w:rsidR="007D706A" w:rsidRDefault="007D706A" w:rsidP="00F70508">
            <w:pPr>
              <w:pStyle w:val="ParagraphStyle7"/>
              <w:rPr>
                <w:rStyle w:val="CharacterStyle7"/>
              </w:rPr>
            </w:pPr>
            <w:r>
              <w:rPr>
                <w:rStyle w:val="CharacterStyle7"/>
              </w:rPr>
              <w:lastRenderedPageBreak/>
              <w:t>Izvor financiranja 43</w:t>
            </w:r>
          </w:p>
        </w:tc>
        <w:tc>
          <w:tcPr>
            <w:tcW w:w="4995" w:type="dxa"/>
            <w:tcBorders>
              <w:bottom w:val="single" w:sz="6" w:space="0" w:color="000000"/>
              <w:right w:val="single" w:sz="6" w:space="0" w:color="000000"/>
            </w:tcBorders>
            <w:vAlign w:val="center"/>
          </w:tcPr>
          <w:p w14:paraId="40047820" w14:textId="77777777" w:rsidR="007D706A" w:rsidRDefault="007D706A" w:rsidP="00F70508">
            <w:pPr>
              <w:pStyle w:val="ParagraphStyle8"/>
              <w:rPr>
                <w:rStyle w:val="CharacterStyle8"/>
              </w:rPr>
            </w:pPr>
            <w:r>
              <w:rPr>
                <w:rStyle w:val="CharacterStyle8"/>
              </w:rPr>
              <w:t>Ostali prihodi za posebne namjene</w:t>
            </w:r>
          </w:p>
        </w:tc>
        <w:tc>
          <w:tcPr>
            <w:tcW w:w="1395" w:type="dxa"/>
            <w:tcBorders>
              <w:bottom w:val="single" w:sz="6" w:space="0" w:color="000000"/>
              <w:right w:val="single" w:sz="6" w:space="0" w:color="000000"/>
            </w:tcBorders>
            <w:vAlign w:val="center"/>
          </w:tcPr>
          <w:p w14:paraId="06814662"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875E084"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D32E34C" w14:textId="77777777" w:rsidR="007D706A" w:rsidRDefault="007D706A" w:rsidP="00F70508">
            <w:pPr>
              <w:pStyle w:val="ParagraphStyle9"/>
              <w:rPr>
                <w:rStyle w:val="CharacterStyle9"/>
              </w:rPr>
            </w:pPr>
            <w:r>
              <w:rPr>
                <w:rStyle w:val="CharacterStyle9"/>
              </w:rPr>
              <w:t>26.550,00</w:t>
            </w:r>
          </w:p>
        </w:tc>
        <w:tc>
          <w:tcPr>
            <w:tcW w:w="1395" w:type="dxa"/>
            <w:tcBorders>
              <w:bottom w:val="single" w:sz="6" w:space="0" w:color="000000"/>
              <w:right w:val="single" w:sz="6" w:space="0" w:color="000000"/>
            </w:tcBorders>
            <w:vAlign w:val="center"/>
          </w:tcPr>
          <w:p w14:paraId="3446AF0E" w14:textId="77777777" w:rsidR="007D706A" w:rsidRDefault="007D706A" w:rsidP="00F70508">
            <w:pPr>
              <w:pStyle w:val="ParagraphStyle9"/>
              <w:rPr>
                <w:rStyle w:val="CharacterStyle9"/>
              </w:rPr>
            </w:pPr>
            <w:r>
              <w:rPr>
                <w:rStyle w:val="CharacterStyle9"/>
              </w:rPr>
              <w:t>26.550,00</w:t>
            </w:r>
          </w:p>
        </w:tc>
        <w:tc>
          <w:tcPr>
            <w:tcW w:w="1395" w:type="dxa"/>
            <w:tcBorders>
              <w:bottom w:val="single" w:sz="6" w:space="0" w:color="000000"/>
              <w:right w:val="single" w:sz="6" w:space="0" w:color="000000"/>
            </w:tcBorders>
            <w:vAlign w:val="center"/>
          </w:tcPr>
          <w:p w14:paraId="16B67AC3" w14:textId="77777777" w:rsidR="007D706A" w:rsidRDefault="007D706A" w:rsidP="00F70508">
            <w:pPr>
              <w:pStyle w:val="ParagraphStyle9"/>
              <w:rPr>
                <w:rStyle w:val="CharacterStyle9"/>
              </w:rPr>
            </w:pPr>
            <w:r>
              <w:rPr>
                <w:rStyle w:val="CharacterStyle9"/>
              </w:rPr>
              <w:t>26.550,00</w:t>
            </w:r>
          </w:p>
        </w:tc>
      </w:tr>
      <w:tr w:rsidR="007D706A" w14:paraId="2794D0F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9DB0B3F"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734B5304"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2BBCA63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F410C8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D89951D" w14:textId="77777777" w:rsidR="007D706A" w:rsidRDefault="007D706A" w:rsidP="00F70508">
            <w:pPr>
              <w:pStyle w:val="ParagraphStyle12"/>
              <w:rPr>
                <w:rStyle w:val="CharacterStyle12"/>
              </w:rPr>
            </w:pPr>
            <w:r>
              <w:rPr>
                <w:rStyle w:val="CharacterStyle12"/>
              </w:rPr>
              <w:t>26.550,00</w:t>
            </w:r>
          </w:p>
        </w:tc>
        <w:tc>
          <w:tcPr>
            <w:tcW w:w="1395" w:type="dxa"/>
            <w:tcBorders>
              <w:bottom w:val="single" w:sz="6" w:space="0" w:color="000000"/>
              <w:right w:val="single" w:sz="6" w:space="0" w:color="000000"/>
            </w:tcBorders>
            <w:vAlign w:val="center"/>
          </w:tcPr>
          <w:p w14:paraId="222A7B3D" w14:textId="77777777" w:rsidR="007D706A" w:rsidRDefault="007D706A" w:rsidP="00F70508">
            <w:pPr>
              <w:pStyle w:val="ParagraphStyle12"/>
              <w:rPr>
                <w:rStyle w:val="CharacterStyle12"/>
              </w:rPr>
            </w:pPr>
            <w:r>
              <w:rPr>
                <w:rStyle w:val="CharacterStyle12"/>
              </w:rPr>
              <w:t>26.550,00</w:t>
            </w:r>
          </w:p>
        </w:tc>
        <w:tc>
          <w:tcPr>
            <w:tcW w:w="1395" w:type="dxa"/>
            <w:tcBorders>
              <w:bottom w:val="single" w:sz="6" w:space="0" w:color="000000"/>
              <w:right w:val="single" w:sz="6" w:space="0" w:color="000000"/>
            </w:tcBorders>
            <w:vAlign w:val="center"/>
          </w:tcPr>
          <w:p w14:paraId="52C696D2" w14:textId="77777777" w:rsidR="007D706A" w:rsidRDefault="007D706A" w:rsidP="00F70508">
            <w:pPr>
              <w:pStyle w:val="ParagraphStyle12"/>
              <w:rPr>
                <w:rStyle w:val="CharacterStyle12"/>
              </w:rPr>
            </w:pPr>
            <w:r>
              <w:rPr>
                <w:rStyle w:val="CharacterStyle12"/>
              </w:rPr>
              <w:t>26.550,00</w:t>
            </w:r>
          </w:p>
        </w:tc>
      </w:tr>
      <w:tr w:rsidR="007D706A" w14:paraId="4F55385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320F23E"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71F9E094"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1A29867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618C1C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ECE9F66" w14:textId="77777777" w:rsidR="007D706A" w:rsidRDefault="007D706A" w:rsidP="00F70508">
            <w:pPr>
              <w:pStyle w:val="ParagraphStyle12"/>
              <w:rPr>
                <w:rStyle w:val="CharacterStyle12"/>
              </w:rPr>
            </w:pPr>
            <w:r>
              <w:rPr>
                <w:rStyle w:val="CharacterStyle12"/>
              </w:rPr>
              <w:t>26.550,00</w:t>
            </w:r>
          </w:p>
        </w:tc>
        <w:tc>
          <w:tcPr>
            <w:tcW w:w="1395" w:type="dxa"/>
            <w:tcBorders>
              <w:bottom w:val="single" w:sz="6" w:space="0" w:color="000000"/>
              <w:right w:val="single" w:sz="6" w:space="0" w:color="000000"/>
            </w:tcBorders>
            <w:vAlign w:val="center"/>
          </w:tcPr>
          <w:p w14:paraId="17C5D710" w14:textId="77777777" w:rsidR="007D706A" w:rsidRDefault="007D706A" w:rsidP="00F70508">
            <w:pPr>
              <w:pStyle w:val="ParagraphStyle12"/>
              <w:rPr>
                <w:rStyle w:val="CharacterStyle12"/>
              </w:rPr>
            </w:pPr>
            <w:r>
              <w:rPr>
                <w:rStyle w:val="CharacterStyle12"/>
              </w:rPr>
              <w:t>26.550,00</w:t>
            </w:r>
          </w:p>
        </w:tc>
        <w:tc>
          <w:tcPr>
            <w:tcW w:w="1395" w:type="dxa"/>
            <w:tcBorders>
              <w:bottom w:val="single" w:sz="6" w:space="0" w:color="000000"/>
              <w:right w:val="single" w:sz="6" w:space="0" w:color="000000"/>
            </w:tcBorders>
            <w:vAlign w:val="center"/>
          </w:tcPr>
          <w:p w14:paraId="1BD82D79" w14:textId="77777777" w:rsidR="007D706A" w:rsidRDefault="007D706A" w:rsidP="00F70508">
            <w:pPr>
              <w:pStyle w:val="ParagraphStyle12"/>
              <w:rPr>
                <w:rStyle w:val="CharacterStyle12"/>
              </w:rPr>
            </w:pPr>
            <w:r>
              <w:rPr>
                <w:rStyle w:val="CharacterStyle12"/>
              </w:rPr>
              <w:t>26.550,00</w:t>
            </w:r>
          </w:p>
        </w:tc>
      </w:tr>
      <w:tr w:rsidR="007D706A" w14:paraId="5ABA95D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35E98EE" w14:textId="77777777" w:rsidR="007D706A" w:rsidRDefault="007D706A" w:rsidP="00F70508">
            <w:pPr>
              <w:pStyle w:val="ParagraphStyle4"/>
              <w:rPr>
                <w:rStyle w:val="CharacterStyle4"/>
              </w:rPr>
            </w:pPr>
            <w:r>
              <w:rPr>
                <w:rStyle w:val="CharacterStyle4"/>
              </w:rPr>
              <w:t>Aktivnost A101603</w:t>
            </w:r>
          </w:p>
        </w:tc>
        <w:tc>
          <w:tcPr>
            <w:tcW w:w="4995" w:type="dxa"/>
            <w:tcBorders>
              <w:bottom w:val="single" w:sz="6" w:space="0" w:color="000000"/>
              <w:right w:val="single" w:sz="6" w:space="0" w:color="000000"/>
            </w:tcBorders>
            <w:vAlign w:val="center"/>
          </w:tcPr>
          <w:p w14:paraId="2F1D8E98" w14:textId="77777777" w:rsidR="007D706A" w:rsidRDefault="007D706A" w:rsidP="00F70508">
            <w:pPr>
              <w:pStyle w:val="ParagraphStyle5"/>
              <w:rPr>
                <w:rStyle w:val="CharacterStyle5"/>
              </w:rPr>
            </w:pPr>
            <w:r>
              <w:rPr>
                <w:rStyle w:val="CharacterStyle5"/>
              </w:rPr>
              <w:t>PROCJENE I VJEŠTAČENJA</w:t>
            </w:r>
          </w:p>
        </w:tc>
        <w:tc>
          <w:tcPr>
            <w:tcW w:w="1395" w:type="dxa"/>
            <w:tcBorders>
              <w:bottom w:val="single" w:sz="6" w:space="0" w:color="000000"/>
              <w:right w:val="single" w:sz="6" w:space="0" w:color="000000"/>
            </w:tcBorders>
            <w:vAlign w:val="center"/>
          </w:tcPr>
          <w:p w14:paraId="1BF43689"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02DCED08" w14:textId="77777777" w:rsidR="007D706A" w:rsidRDefault="007D706A" w:rsidP="00F70508">
            <w:pPr>
              <w:pStyle w:val="ParagraphStyle6"/>
              <w:rPr>
                <w:rStyle w:val="CharacterStyle6"/>
              </w:rPr>
            </w:pPr>
            <w:r>
              <w:rPr>
                <w:rStyle w:val="CharacterStyle6"/>
              </w:rPr>
              <w:t>62.640,00</w:t>
            </w:r>
          </w:p>
        </w:tc>
        <w:tc>
          <w:tcPr>
            <w:tcW w:w="1395" w:type="dxa"/>
            <w:tcBorders>
              <w:bottom w:val="single" w:sz="6" w:space="0" w:color="000000"/>
              <w:right w:val="single" w:sz="6" w:space="0" w:color="000000"/>
            </w:tcBorders>
            <w:vAlign w:val="center"/>
          </w:tcPr>
          <w:p w14:paraId="707DF56A" w14:textId="77777777" w:rsidR="007D706A" w:rsidRDefault="007D706A" w:rsidP="00F70508">
            <w:pPr>
              <w:pStyle w:val="ParagraphStyle6"/>
              <w:rPr>
                <w:rStyle w:val="CharacterStyle6"/>
              </w:rPr>
            </w:pPr>
            <w:r>
              <w:rPr>
                <w:rStyle w:val="CharacterStyle6"/>
              </w:rPr>
              <w:t>62.640,00</w:t>
            </w:r>
          </w:p>
        </w:tc>
        <w:tc>
          <w:tcPr>
            <w:tcW w:w="1395" w:type="dxa"/>
            <w:tcBorders>
              <w:bottom w:val="single" w:sz="6" w:space="0" w:color="000000"/>
              <w:right w:val="single" w:sz="6" w:space="0" w:color="000000"/>
            </w:tcBorders>
            <w:vAlign w:val="center"/>
          </w:tcPr>
          <w:p w14:paraId="2B3CD57A" w14:textId="77777777" w:rsidR="007D706A" w:rsidRDefault="007D706A" w:rsidP="00F70508">
            <w:pPr>
              <w:pStyle w:val="ParagraphStyle6"/>
              <w:rPr>
                <w:rStyle w:val="CharacterStyle6"/>
              </w:rPr>
            </w:pPr>
            <w:r>
              <w:rPr>
                <w:rStyle w:val="CharacterStyle6"/>
              </w:rPr>
              <w:t>50.000,00</w:t>
            </w:r>
          </w:p>
        </w:tc>
        <w:tc>
          <w:tcPr>
            <w:tcW w:w="1395" w:type="dxa"/>
            <w:tcBorders>
              <w:bottom w:val="single" w:sz="6" w:space="0" w:color="000000"/>
              <w:right w:val="single" w:sz="6" w:space="0" w:color="000000"/>
            </w:tcBorders>
            <w:vAlign w:val="center"/>
          </w:tcPr>
          <w:p w14:paraId="57D67E5D" w14:textId="77777777" w:rsidR="007D706A" w:rsidRDefault="007D706A" w:rsidP="00F70508">
            <w:pPr>
              <w:pStyle w:val="ParagraphStyle6"/>
              <w:rPr>
                <w:rStyle w:val="CharacterStyle6"/>
              </w:rPr>
            </w:pPr>
            <w:r>
              <w:rPr>
                <w:rStyle w:val="CharacterStyle6"/>
              </w:rPr>
              <w:t>50.000,00</w:t>
            </w:r>
          </w:p>
        </w:tc>
      </w:tr>
      <w:tr w:rsidR="007D706A" w14:paraId="1B4C9946"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3135410" w14:textId="77777777" w:rsidR="007D706A" w:rsidRDefault="007D706A" w:rsidP="00F70508">
            <w:pPr>
              <w:pStyle w:val="ParagraphStyle7"/>
              <w:rPr>
                <w:rStyle w:val="CharacterStyle7"/>
              </w:rPr>
            </w:pPr>
            <w:r>
              <w:rPr>
                <w:rStyle w:val="CharacterStyle7"/>
              </w:rPr>
              <w:t>Izvor financiranja 41</w:t>
            </w:r>
          </w:p>
        </w:tc>
        <w:tc>
          <w:tcPr>
            <w:tcW w:w="4995" w:type="dxa"/>
            <w:tcBorders>
              <w:bottom w:val="single" w:sz="6" w:space="0" w:color="000000"/>
              <w:right w:val="single" w:sz="6" w:space="0" w:color="000000"/>
            </w:tcBorders>
            <w:vAlign w:val="center"/>
          </w:tcPr>
          <w:p w14:paraId="578CC66C" w14:textId="77777777" w:rsidR="007D706A" w:rsidRDefault="007D706A" w:rsidP="00F70508">
            <w:pPr>
              <w:pStyle w:val="ParagraphStyle8"/>
              <w:rPr>
                <w:rStyle w:val="CharacterStyle8"/>
              </w:rPr>
            </w:pPr>
            <w:r>
              <w:rPr>
                <w:rStyle w:val="CharacterStyle8"/>
              </w:rPr>
              <w:t>Prihodi za posebne namjene</w:t>
            </w:r>
          </w:p>
        </w:tc>
        <w:tc>
          <w:tcPr>
            <w:tcW w:w="1395" w:type="dxa"/>
            <w:tcBorders>
              <w:bottom w:val="single" w:sz="6" w:space="0" w:color="000000"/>
              <w:right w:val="single" w:sz="6" w:space="0" w:color="000000"/>
            </w:tcBorders>
            <w:vAlign w:val="center"/>
          </w:tcPr>
          <w:p w14:paraId="4EA50A8E"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C92C3F3" w14:textId="77777777" w:rsidR="007D706A" w:rsidRDefault="007D706A" w:rsidP="00F70508">
            <w:pPr>
              <w:pStyle w:val="ParagraphStyle9"/>
              <w:rPr>
                <w:rStyle w:val="CharacterStyle9"/>
              </w:rPr>
            </w:pPr>
            <w:r>
              <w:rPr>
                <w:rStyle w:val="CharacterStyle9"/>
              </w:rPr>
              <w:t>62.640,00</w:t>
            </w:r>
          </w:p>
        </w:tc>
        <w:tc>
          <w:tcPr>
            <w:tcW w:w="1395" w:type="dxa"/>
            <w:tcBorders>
              <w:bottom w:val="single" w:sz="6" w:space="0" w:color="000000"/>
              <w:right w:val="single" w:sz="6" w:space="0" w:color="000000"/>
            </w:tcBorders>
            <w:vAlign w:val="center"/>
          </w:tcPr>
          <w:p w14:paraId="15741D5E"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2975BB1"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3A56627" w14:textId="77777777" w:rsidR="007D706A" w:rsidRDefault="007D706A" w:rsidP="00F70508">
            <w:pPr>
              <w:pStyle w:val="ParagraphStyle9"/>
              <w:rPr>
                <w:rStyle w:val="CharacterStyle9"/>
              </w:rPr>
            </w:pPr>
            <w:r>
              <w:rPr>
                <w:rStyle w:val="CharacterStyle9"/>
              </w:rPr>
              <w:t>0,00</w:t>
            </w:r>
          </w:p>
        </w:tc>
      </w:tr>
      <w:tr w:rsidR="007D706A" w14:paraId="2667204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4A0C142"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0622EEFA"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053692D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9AAEC90" w14:textId="77777777" w:rsidR="007D706A" w:rsidRDefault="007D706A" w:rsidP="00F70508">
            <w:pPr>
              <w:pStyle w:val="ParagraphStyle12"/>
              <w:rPr>
                <w:rStyle w:val="CharacterStyle12"/>
              </w:rPr>
            </w:pPr>
            <w:r>
              <w:rPr>
                <w:rStyle w:val="CharacterStyle12"/>
              </w:rPr>
              <w:t>62.640,00</w:t>
            </w:r>
          </w:p>
        </w:tc>
        <w:tc>
          <w:tcPr>
            <w:tcW w:w="1395" w:type="dxa"/>
            <w:tcBorders>
              <w:bottom w:val="single" w:sz="6" w:space="0" w:color="000000"/>
              <w:right w:val="single" w:sz="6" w:space="0" w:color="000000"/>
            </w:tcBorders>
            <w:vAlign w:val="center"/>
          </w:tcPr>
          <w:p w14:paraId="4D42103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A75589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2D45254" w14:textId="77777777" w:rsidR="007D706A" w:rsidRDefault="007D706A" w:rsidP="00F70508">
            <w:pPr>
              <w:pStyle w:val="ParagraphStyle12"/>
              <w:rPr>
                <w:rStyle w:val="CharacterStyle12"/>
              </w:rPr>
            </w:pPr>
            <w:r>
              <w:rPr>
                <w:rStyle w:val="CharacterStyle12"/>
              </w:rPr>
              <w:t>0,00</w:t>
            </w:r>
          </w:p>
        </w:tc>
      </w:tr>
      <w:tr w:rsidR="007D706A" w14:paraId="78704D6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D4E33BD"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1C23B261"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207EE91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FC1C804" w14:textId="77777777" w:rsidR="007D706A" w:rsidRDefault="007D706A" w:rsidP="00F70508">
            <w:pPr>
              <w:pStyle w:val="ParagraphStyle12"/>
              <w:rPr>
                <w:rStyle w:val="CharacterStyle12"/>
              </w:rPr>
            </w:pPr>
            <w:r>
              <w:rPr>
                <w:rStyle w:val="CharacterStyle12"/>
              </w:rPr>
              <w:t>62.640,00</w:t>
            </w:r>
          </w:p>
        </w:tc>
        <w:tc>
          <w:tcPr>
            <w:tcW w:w="1395" w:type="dxa"/>
            <w:tcBorders>
              <w:bottom w:val="single" w:sz="6" w:space="0" w:color="000000"/>
              <w:right w:val="single" w:sz="6" w:space="0" w:color="000000"/>
            </w:tcBorders>
            <w:vAlign w:val="center"/>
          </w:tcPr>
          <w:p w14:paraId="08230A1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345BBA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53D36E8" w14:textId="77777777" w:rsidR="007D706A" w:rsidRDefault="007D706A" w:rsidP="00F70508">
            <w:pPr>
              <w:pStyle w:val="ParagraphStyle12"/>
              <w:rPr>
                <w:rStyle w:val="CharacterStyle12"/>
              </w:rPr>
            </w:pPr>
            <w:r>
              <w:rPr>
                <w:rStyle w:val="CharacterStyle12"/>
              </w:rPr>
              <w:t>0,00</w:t>
            </w:r>
          </w:p>
        </w:tc>
      </w:tr>
      <w:tr w:rsidR="007D706A" w14:paraId="7FC1A39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7574510" w14:textId="77777777" w:rsidR="007D706A" w:rsidRDefault="007D706A" w:rsidP="00F70508">
            <w:pPr>
              <w:pStyle w:val="ParagraphStyle7"/>
              <w:rPr>
                <w:rStyle w:val="CharacterStyle7"/>
              </w:rPr>
            </w:pPr>
            <w:r>
              <w:rPr>
                <w:rStyle w:val="CharacterStyle7"/>
              </w:rPr>
              <w:t>Izvor financiranja 43</w:t>
            </w:r>
          </w:p>
        </w:tc>
        <w:tc>
          <w:tcPr>
            <w:tcW w:w="4995" w:type="dxa"/>
            <w:tcBorders>
              <w:bottom w:val="single" w:sz="6" w:space="0" w:color="000000"/>
              <w:right w:val="single" w:sz="6" w:space="0" w:color="000000"/>
            </w:tcBorders>
            <w:vAlign w:val="center"/>
          </w:tcPr>
          <w:p w14:paraId="3A013108" w14:textId="77777777" w:rsidR="007D706A" w:rsidRDefault="007D706A" w:rsidP="00F70508">
            <w:pPr>
              <w:pStyle w:val="ParagraphStyle8"/>
              <w:rPr>
                <w:rStyle w:val="CharacterStyle8"/>
              </w:rPr>
            </w:pPr>
            <w:r>
              <w:rPr>
                <w:rStyle w:val="CharacterStyle8"/>
              </w:rPr>
              <w:t>Ostali prihodi za posebne namjene</w:t>
            </w:r>
          </w:p>
        </w:tc>
        <w:tc>
          <w:tcPr>
            <w:tcW w:w="1395" w:type="dxa"/>
            <w:tcBorders>
              <w:bottom w:val="single" w:sz="6" w:space="0" w:color="000000"/>
              <w:right w:val="single" w:sz="6" w:space="0" w:color="000000"/>
            </w:tcBorders>
            <w:vAlign w:val="center"/>
          </w:tcPr>
          <w:p w14:paraId="5AC2DEEA"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0EE9D24"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D0F114B" w14:textId="77777777" w:rsidR="007D706A" w:rsidRDefault="007D706A" w:rsidP="00F70508">
            <w:pPr>
              <w:pStyle w:val="ParagraphStyle9"/>
              <w:rPr>
                <w:rStyle w:val="CharacterStyle9"/>
              </w:rPr>
            </w:pPr>
            <w:r>
              <w:rPr>
                <w:rStyle w:val="CharacterStyle9"/>
              </w:rPr>
              <w:t>62.640,00</w:t>
            </w:r>
          </w:p>
        </w:tc>
        <w:tc>
          <w:tcPr>
            <w:tcW w:w="1395" w:type="dxa"/>
            <w:tcBorders>
              <w:bottom w:val="single" w:sz="6" w:space="0" w:color="000000"/>
              <w:right w:val="single" w:sz="6" w:space="0" w:color="000000"/>
            </w:tcBorders>
            <w:vAlign w:val="center"/>
          </w:tcPr>
          <w:p w14:paraId="26175253" w14:textId="77777777" w:rsidR="007D706A" w:rsidRDefault="007D706A" w:rsidP="00F70508">
            <w:pPr>
              <w:pStyle w:val="ParagraphStyle9"/>
              <w:rPr>
                <w:rStyle w:val="CharacterStyle9"/>
              </w:rPr>
            </w:pPr>
            <w:r>
              <w:rPr>
                <w:rStyle w:val="CharacterStyle9"/>
              </w:rPr>
              <w:t>50.000,00</w:t>
            </w:r>
          </w:p>
        </w:tc>
        <w:tc>
          <w:tcPr>
            <w:tcW w:w="1395" w:type="dxa"/>
            <w:tcBorders>
              <w:bottom w:val="single" w:sz="6" w:space="0" w:color="000000"/>
              <w:right w:val="single" w:sz="6" w:space="0" w:color="000000"/>
            </w:tcBorders>
            <w:vAlign w:val="center"/>
          </w:tcPr>
          <w:p w14:paraId="67BE048E" w14:textId="77777777" w:rsidR="007D706A" w:rsidRDefault="007D706A" w:rsidP="00F70508">
            <w:pPr>
              <w:pStyle w:val="ParagraphStyle9"/>
              <w:rPr>
                <w:rStyle w:val="CharacterStyle9"/>
              </w:rPr>
            </w:pPr>
            <w:r>
              <w:rPr>
                <w:rStyle w:val="CharacterStyle9"/>
              </w:rPr>
              <w:t>50.000,00</w:t>
            </w:r>
          </w:p>
        </w:tc>
      </w:tr>
      <w:tr w:rsidR="007D706A" w14:paraId="3A6D296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2AD8FD4"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177385DE"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45E364E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FA3925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1310C70" w14:textId="77777777" w:rsidR="007D706A" w:rsidRDefault="007D706A" w:rsidP="00F70508">
            <w:pPr>
              <w:pStyle w:val="ParagraphStyle12"/>
              <w:rPr>
                <w:rStyle w:val="CharacterStyle12"/>
              </w:rPr>
            </w:pPr>
            <w:r>
              <w:rPr>
                <w:rStyle w:val="CharacterStyle12"/>
              </w:rPr>
              <w:t>62.640,00</w:t>
            </w:r>
          </w:p>
        </w:tc>
        <w:tc>
          <w:tcPr>
            <w:tcW w:w="1395" w:type="dxa"/>
            <w:tcBorders>
              <w:bottom w:val="single" w:sz="6" w:space="0" w:color="000000"/>
              <w:right w:val="single" w:sz="6" w:space="0" w:color="000000"/>
            </w:tcBorders>
            <w:vAlign w:val="center"/>
          </w:tcPr>
          <w:p w14:paraId="51B6E473" w14:textId="77777777" w:rsidR="007D706A" w:rsidRDefault="007D706A" w:rsidP="00F70508">
            <w:pPr>
              <w:pStyle w:val="ParagraphStyle12"/>
              <w:rPr>
                <w:rStyle w:val="CharacterStyle12"/>
              </w:rPr>
            </w:pPr>
            <w:r>
              <w:rPr>
                <w:rStyle w:val="CharacterStyle12"/>
              </w:rPr>
              <w:t>50.000,00</w:t>
            </w:r>
          </w:p>
        </w:tc>
        <w:tc>
          <w:tcPr>
            <w:tcW w:w="1395" w:type="dxa"/>
            <w:tcBorders>
              <w:bottom w:val="single" w:sz="6" w:space="0" w:color="000000"/>
              <w:right w:val="single" w:sz="6" w:space="0" w:color="000000"/>
            </w:tcBorders>
            <w:vAlign w:val="center"/>
          </w:tcPr>
          <w:p w14:paraId="7066FFB8" w14:textId="77777777" w:rsidR="007D706A" w:rsidRDefault="007D706A" w:rsidP="00F70508">
            <w:pPr>
              <w:pStyle w:val="ParagraphStyle12"/>
              <w:rPr>
                <w:rStyle w:val="CharacterStyle12"/>
              </w:rPr>
            </w:pPr>
            <w:r>
              <w:rPr>
                <w:rStyle w:val="CharacterStyle12"/>
              </w:rPr>
              <w:t>50.000,00</w:t>
            </w:r>
          </w:p>
        </w:tc>
      </w:tr>
      <w:tr w:rsidR="007D706A" w14:paraId="114B87F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8D9720A"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18F8B085"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17988B5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226B58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20F51AA" w14:textId="77777777" w:rsidR="007D706A" w:rsidRDefault="007D706A" w:rsidP="00F70508">
            <w:pPr>
              <w:pStyle w:val="ParagraphStyle12"/>
              <w:rPr>
                <w:rStyle w:val="CharacterStyle12"/>
              </w:rPr>
            </w:pPr>
            <w:r>
              <w:rPr>
                <w:rStyle w:val="CharacterStyle12"/>
              </w:rPr>
              <w:t>62.640,00</w:t>
            </w:r>
          </w:p>
        </w:tc>
        <w:tc>
          <w:tcPr>
            <w:tcW w:w="1395" w:type="dxa"/>
            <w:tcBorders>
              <w:bottom w:val="single" w:sz="6" w:space="0" w:color="000000"/>
              <w:right w:val="single" w:sz="6" w:space="0" w:color="000000"/>
            </w:tcBorders>
            <w:vAlign w:val="center"/>
          </w:tcPr>
          <w:p w14:paraId="10BCBB21" w14:textId="77777777" w:rsidR="007D706A" w:rsidRDefault="007D706A" w:rsidP="00F70508">
            <w:pPr>
              <w:pStyle w:val="ParagraphStyle12"/>
              <w:rPr>
                <w:rStyle w:val="CharacterStyle12"/>
              </w:rPr>
            </w:pPr>
            <w:r>
              <w:rPr>
                <w:rStyle w:val="CharacterStyle12"/>
              </w:rPr>
              <w:t>50.000,00</w:t>
            </w:r>
          </w:p>
        </w:tc>
        <w:tc>
          <w:tcPr>
            <w:tcW w:w="1395" w:type="dxa"/>
            <w:tcBorders>
              <w:bottom w:val="single" w:sz="6" w:space="0" w:color="000000"/>
              <w:right w:val="single" w:sz="6" w:space="0" w:color="000000"/>
            </w:tcBorders>
            <w:vAlign w:val="center"/>
          </w:tcPr>
          <w:p w14:paraId="3363A8B2" w14:textId="77777777" w:rsidR="007D706A" w:rsidRDefault="007D706A" w:rsidP="00F70508">
            <w:pPr>
              <w:pStyle w:val="ParagraphStyle12"/>
              <w:rPr>
                <w:rStyle w:val="CharacterStyle12"/>
              </w:rPr>
            </w:pPr>
            <w:r>
              <w:rPr>
                <w:rStyle w:val="CharacterStyle12"/>
              </w:rPr>
              <w:t>50.000,00</w:t>
            </w:r>
          </w:p>
        </w:tc>
      </w:tr>
      <w:tr w:rsidR="007D706A" w14:paraId="71132324" w14:textId="77777777" w:rsidTr="00F70508">
        <w:trPr>
          <w:trHeight w:val="405"/>
        </w:trPr>
        <w:tc>
          <w:tcPr>
            <w:tcW w:w="2880" w:type="dxa"/>
            <w:tcBorders>
              <w:left w:val="single" w:sz="6" w:space="0" w:color="000000"/>
              <w:bottom w:val="single" w:sz="6" w:space="0" w:color="000000"/>
              <w:right w:val="single" w:sz="6" w:space="0" w:color="000000"/>
            </w:tcBorders>
            <w:vAlign w:val="center"/>
          </w:tcPr>
          <w:p w14:paraId="19ACA7CA" w14:textId="77777777" w:rsidR="007D706A" w:rsidRDefault="007D706A" w:rsidP="00F70508">
            <w:pPr>
              <w:pStyle w:val="ParagraphStyle4"/>
              <w:rPr>
                <w:rStyle w:val="CharacterStyle4"/>
              </w:rPr>
            </w:pPr>
            <w:r>
              <w:rPr>
                <w:rStyle w:val="CharacterStyle4"/>
              </w:rPr>
              <w:t>Aktivnost A101604</w:t>
            </w:r>
          </w:p>
        </w:tc>
        <w:tc>
          <w:tcPr>
            <w:tcW w:w="4995" w:type="dxa"/>
            <w:tcBorders>
              <w:bottom w:val="single" w:sz="6" w:space="0" w:color="000000"/>
              <w:right w:val="single" w:sz="6" w:space="0" w:color="000000"/>
            </w:tcBorders>
            <w:vAlign w:val="center"/>
          </w:tcPr>
          <w:p w14:paraId="0FADB0AD" w14:textId="77777777" w:rsidR="007D706A" w:rsidRDefault="007D706A" w:rsidP="00F70508">
            <w:pPr>
              <w:pStyle w:val="ParagraphStyle5"/>
              <w:rPr>
                <w:rStyle w:val="CharacterStyle5"/>
              </w:rPr>
            </w:pPr>
            <w:r>
              <w:rPr>
                <w:rStyle w:val="CharacterStyle5"/>
              </w:rPr>
              <w:t>PRIČUVA I REŽIJSKI TROŠKOVI ZA OBJEKTE U VLASNIŠTVU GRADA</w:t>
            </w:r>
          </w:p>
        </w:tc>
        <w:tc>
          <w:tcPr>
            <w:tcW w:w="1395" w:type="dxa"/>
            <w:tcBorders>
              <w:bottom w:val="single" w:sz="6" w:space="0" w:color="000000"/>
              <w:right w:val="single" w:sz="6" w:space="0" w:color="000000"/>
            </w:tcBorders>
            <w:vAlign w:val="center"/>
          </w:tcPr>
          <w:p w14:paraId="155F8A7B"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0D505BEA" w14:textId="77777777" w:rsidR="007D706A" w:rsidRDefault="007D706A" w:rsidP="00F70508">
            <w:pPr>
              <w:pStyle w:val="ParagraphStyle6"/>
              <w:rPr>
                <w:rStyle w:val="CharacterStyle6"/>
              </w:rPr>
            </w:pPr>
            <w:r>
              <w:rPr>
                <w:rStyle w:val="CharacterStyle6"/>
              </w:rPr>
              <w:t>216.800,00</w:t>
            </w:r>
          </w:p>
        </w:tc>
        <w:tc>
          <w:tcPr>
            <w:tcW w:w="1395" w:type="dxa"/>
            <w:tcBorders>
              <w:bottom w:val="single" w:sz="6" w:space="0" w:color="000000"/>
              <w:right w:val="single" w:sz="6" w:space="0" w:color="000000"/>
            </w:tcBorders>
            <w:vAlign w:val="center"/>
          </w:tcPr>
          <w:p w14:paraId="5EE2E192" w14:textId="77777777" w:rsidR="007D706A" w:rsidRDefault="007D706A" w:rsidP="00F70508">
            <w:pPr>
              <w:pStyle w:val="ParagraphStyle6"/>
              <w:rPr>
                <w:rStyle w:val="CharacterStyle6"/>
              </w:rPr>
            </w:pPr>
            <w:r>
              <w:rPr>
                <w:rStyle w:val="CharacterStyle6"/>
              </w:rPr>
              <w:t>294.870,00</w:t>
            </w:r>
          </w:p>
        </w:tc>
        <w:tc>
          <w:tcPr>
            <w:tcW w:w="1395" w:type="dxa"/>
            <w:tcBorders>
              <w:bottom w:val="single" w:sz="6" w:space="0" w:color="000000"/>
              <w:right w:val="single" w:sz="6" w:space="0" w:color="000000"/>
            </w:tcBorders>
            <w:vAlign w:val="center"/>
          </w:tcPr>
          <w:p w14:paraId="40F47568" w14:textId="77777777" w:rsidR="007D706A" w:rsidRDefault="007D706A" w:rsidP="00F70508">
            <w:pPr>
              <w:pStyle w:val="ParagraphStyle6"/>
              <w:rPr>
                <w:rStyle w:val="CharacterStyle6"/>
              </w:rPr>
            </w:pPr>
            <w:r>
              <w:rPr>
                <w:rStyle w:val="CharacterStyle6"/>
              </w:rPr>
              <w:t>216.800,00</w:t>
            </w:r>
          </w:p>
        </w:tc>
        <w:tc>
          <w:tcPr>
            <w:tcW w:w="1395" w:type="dxa"/>
            <w:tcBorders>
              <w:bottom w:val="single" w:sz="6" w:space="0" w:color="000000"/>
              <w:right w:val="single" w:sz="6" w:space="0" w:color="000000"/>
            </w:tcBorders>
            <w:vAlign w:val="center"/>
          </w:tcPr>
          <w:p w14:paraId="7D48E8AD" w14:textId="77777777" w:rsidR="007D706A" w:rsidRDefault="007D706A" w:rsidP="00F70508">
            <w:pPr>
              <w:pStyle w:val="ParagraphStyle6"/>
              <w:rPr>
                <w:rStyle w:val="CharacterStyle6"/>
              </w:rPr>
            </w:pPr>
            <w:r>
              <w:rPr>
                <w:rStyle w:val="CharacterStyle6"/>
              </w:rPr>
              <w:t>216.800,00</w:t>
            </w:r>
          </w:p>
        </w:tc>
      </w:tr>
      <w:tr w:rsidR="007D706A" w14:paraId="00C42FF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638044F"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2E09F14A"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4E7A6C43"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9983203" w14:textId="77777777" w:rsidR="007D706A" w:rsidRDefault="007D706A" w:rsidP="00F70508">
            <w:pPr>
              <w:pStyle w:val="ParagraphStyle9"/>
              <w:rPr>
                <w:rStyle w:val="CharacterStyle9"/>
              </w:rPr>
            </w:pPr>
            <w:r>
              <w:rPr>
                <w:rStyle w:val="CharacterStyle9"/>
              </w:rPr>
              <w:t>216.800,00</w:t>
            </w:r>
          </w:p>
        </w:tc>
        <w:tc>
          <w:tcPr>
            <w:tcW w:w="1395" w:type="dxa"/>
            <w:tcBorders>
              <w:bottom w:val="single" w:sz="6" w:space="0" w:color="000000"/>
              <w:right w:val="single" w:sz="6" w:space="0" w:color="000000"/>
            </w:tcBorders>
            <w:vAlign w:val="center"/>
          </w:tcPr>
          <w:p w14:paraId="6EC3779A" w14:textId="77777777" w:rsidR="007D706A" w:rsidRDefault="007D706A" w:rsidP="00F70508">
            <w:pPr>
              <w:pStyle w:val="ParagraphStyle9"/>
              <w:rPr>
                <w:rStyle w:val="CharacterStyle9"/>
              </w:rPr>
            </w:pPr>
            <w:r>
              <w:rPr>
                <w:rStyle w:val="CharacterStyle9"/>
              </w:rPr>
              <w:t>294.870,00</w:t>
            </w:r>
          </w:p>
        </w:tc>
        <w:tc>
          <w:tcPr>
            <w:tcW w:w="1395" w:type="dxa"/>
            <w:tcBorders>
              <w:bottom w:val="single" w:sz="6" w:space="0" w:color="000000"/>
              <w:right w:val="single" w:sz="6" w:space="0" w:color="000000"/>
            </w:tcBorders>
            <w:vAlign w:val="center"/>
          </w:tcPr>
          <w:p w14:paraId="5BD038F8" w14:textId="77777777" w:rsidR="007D706A" w:rsidRDefault="007D706A" w:rsidP="00F70508">
            <w:pPr>
              <w:pStyle w:val="ParagraphStyle9"/>
              <w:rPr>
                <w:rStyle w:val="CharacterStyle9"/>
              </w:rPr>
            </w:pPr>
            <w:r>
              <w:rPr>
                <w:rStyle w:val="CharacterStyle9"/>
              </w:rPr>
              <w:t>216.800,00</w:t>
            </w:r>
          </w:p>
        </w:tc>
        <w:tc>
          <w:tcPr>
            <w:tcW w:w="1395" w:type="dxa"/>
            <w:tcBorders>
              <w:bottom w:val="single" w:sz="6" w:space="0" w:color="000000"/>
              <w:right w:val="single" w:sz="6" w:space="0" w:color="000000"/>
            </w:tcBorders>
            <w:vAlign w:val="center"/>
          </w:tcPr>
          <w:p w14:paraId="5E265CD5" w14:textId="77777777" w:rsidR="007D706A" w:rsidRDefault="007D706A" w:rsidP="00F70508">
            <w:pPr>
              <w:pStyle w:val="ParagraphStyle9"/>
              <w:rPr>
                <w:rStyle w:val="CharacterStyle9"/>
              </w:rPr>
            </w:pPr>
            <w:r>
              <w:rPr>
                <w:rStyle w:val="CharacterStyle9"/>
              </w:rPr>
              <w:t>216.800,00</w:t>
            </w:r>
          </w:p>
        </w:tc>
      </w:tr>
      <w:tr w:rsidR="007D706A" w14:paraId="3300F99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1702538"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465081B4"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198CA9C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458DD54" w14:textId="77777777" w:rsidR="007D706A" w:rsidRDefault="007D706A" w:rsidP="00F70508">
            <w:pPr>
              <w:pStyle w:val="ParagraphStyle12"/>
              <w:rPr>
                <w:rStyle w:val="CharacterStyle12"/>
              </w:rPr>
            </w:pPr>
            <w:r>
              <w:rPr>
                <w:rStyle w:val="CharacterStyle12"/>
              </w:rPr>
              <w:t>216.800,00</w:t>
            </w:r>
          </w:p>
        </w:tc>
        <w:tc>
          <w:tcPr>
            <w:tcW w:w="1395" w:type="dxa"/>
            <w:tcBorders>
              <w:bottom w:val="single" w:sz="6" w:space="0" w:color="000000"/>
              <w:right w:val="single" w:sz="6" w:space="0" w:color="000000"/>
            </w:tcBorders>
            <w:vAlign w:val="center"/>
          </w:tcPr>
          <w:p w14:paraId="202FAA4C" w14:textId="77777777" w:rsidR="007D706A" w:rsidRDefault="007D706A" w:rsidP="00F70508">
            <w:pPr>
              <w:pStyle w:val="ParagraphStyle12"/>
              <w:rPr>
                <w:rStyle w:val="CharacterStyle12"/>
              </w:rPr>
            </w:pPr>
            <w:r>
              <w:rPr>
                <w:rStyle w:val="CharacterStyle12"/>
              </w:rPr>
              <w:t>294.870,00</w:t>
            </w:r>
          </w:p>
        </w:tc>
        <w:tc>
          <w:tcPr>
            <w:tcW w:w="1395" w:type="dxa"/>
            <w:tcBorders>
              <w:bottom w:val="single" w:sz="6" w:space="0" w:color="000000"/>
              <w:right w:val="single" w:sz="6" w:space="0" w:color="000000"/>
            </w:tcBorders>
            <w:vAlign w:val="center"/>
          </w:tcPr>
          <w:p w14:paraId="5FA4E3B9" w14:textId="77777777" w:rsidR="007D706A" w:rsidRDefault="007D706A" w:rsidP="00F70508">
            <w:pPr>
              <w:pStyle w:val="ParagraphStyle12"/>
              <w:rPr>
                <w:rStyle w:val="CharacterStyle12"/>
              </w:rPr>
            </w:pPr>
            <w:r>
              <w:rPr>
                <w:rStyle w:val="CharacterStyle12"/>
              </w:rPr>
              <w:t>216.800,00</w:t>
            </w:r>
          </w:p>
        </w:tc>
        <w:tc>
          <w:tcPr>
            <w:tcW w:w="1395" w:type="dxa"/>
            <w:tcBorders>
              <w:bottom w:val="single" w:sz="6" w:space="0" w:color="000000"/>
              <w:right w:val="single" w:sz="6" w:space="0" w:color="000000"/>
            </w:tcBorders>
            <w:vAlign w:val="center"/>
          </w:tcPr>
          <w:p w14:paraId="53C1204D" w14:textId="77777777" w:rsidR="007D706A" w:rsidRDefault="007D706A" w:rsidP="00F70508">
            <w:pPr>
              <w:pStyle w:val="ParagraphStyle12"/>
              <w:rPr>
                <w:rStyle w:val="CharacterStyle12"/>
              </w:rPr>
            </w:pPr>
            <w:r>
              <w:rPr>
                <w:rStyle w:val="CharacterStyle12"/>
              </w:rPr>
              <w:t>216.800,00</w:t>
            </w:r>
          </w:p>
        </w:tc>
      </w:tr>
      <w:tr w:rsidR="007D706A" w14:paraId="6EDB95B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77525D3"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7438DA0E"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4412331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93EB155" w14:textId="77777777" w:rsidR="007D706A" w:rsidRDefault="007D706A" w:rsidP="00F70508">
            <w:pPr>
              <w:pStyle w:val="ParagraphStyle12"/>
              <w:rPr>
                <w:rStyle w:val="CharacterStyle12"/>
              </w:rPr>
            </w:pPr>
            <w:r>
              <w:rPr>
                <w:rStyle w:val="CharacterStyle12"/>
              </w:rPr>
              <w:t>216.800,00</w:t>
            </w:r>
          </w:p>
        </w:tc>
        <w:tc>
          <w:tcPr>
            <w:tcW w:w="1395" w:type="dxa"/>
            <w:tcBorders>
              <w:bottom w:val="single" w:sz="6" w:space="0" w:color="000000"/>
              <w:right w:val="single" w:sz="6" w:space="0" w:color="000000"/>
            </w:tcBorders>
            <w:vAlign w:val="center"/>
          </w:tcPr>
          <w:p w14:paraId="4525B14B" w14:textId="77777777" w:rsidR="007D706A" w:rsidRDefault="007D706A" w:rsidP="00F70508">
            <w:pPr>
              <w:pStyle w:val="ParagraphStyle12"/>
              <w:rPr>
                <w:rStyle w:val="CharacterStyle12"/>
              </w:rPr>
            </w:pPr>
            <w:r>
              <w:rPr>
                <w:rStyle w:val="CharacterStyle12"/>
              </w:rPr>
              <w:t>294.870,00</w:t>
            </w:r>
          </w:p>
        </w:tc>
        <w:tc>
          <w:tcPr>
            <w:tcW w:w="1395" w:type="dxa"/>
            <w:tcBorders>
              <w:bottom w:val="single" w:sz="6" w:space="0" w:color="000000"/>
              <w:right w:val="single" w:sz="6" w:space="0" w:color="000000"/>
            </w:tcBorders>
            <w:vAlign w:val="center"/>
          </w:tcPr>
          <w:p w14:paraId="520F528D" w14:textId="77777777" w:rsidR="007D706A" w:rsidRDefault="007D706A" w:rsidP="00F70508">
            <w:pPr>
              <w:pStyle w:val="ParagraphStyle12"/>
              <w:rPr>
                <w:rStyle w:val="CharacterStyle12"/>
              </w:rPr>
            </w:pPr>
            <w:r>
              <w:rPr>
                <w:rStyle w:val="CharacterStyle12"/>
              </w:rPr>
              <w:t>216.800,00</w:t>
            </w:r>
          </w:p>
        </w:tc>
        <w:tc>
          <w:tcPr>
            <w:tcW w:w="1395" w:type="dxa"/>
            <w:tcBorders>
              <w:bottom w:val="single" w:sz="6" w:space="0" w:color="000000"/>
              <w:right w:val="single" w:sz="6" w:space="0" w:color="000000"/>
            </w:tcBorders>
            <w:vAlign w:val="center"/>
          </w:tcPr>
          <w:p w14:paraId="30DECFED" w14:textId="77777777" w:rsidR="007D706A" w:rsidRDefault="007D706A" w:rsidP="00F70508">
            <w:pPr>
              <w:pStyle w:val="ParagraphStyle12"/>
              <w:rPr>
                <w:rStyle w:val="CharacterStyle12"/>
              </w:rPr>
            </w:pPr>
            <w:r>
              <w:rPr>
                <w:rStyle w:val="CharacterStyle12"/>
              </w:rPr>
              <w:t>216.800,00</w:t>
            </w:r>
          </w:p>
        </w:tc>
      </w:tr>
      <w:tr w:rsidR="007D706A" w14:paraId="31A4A1A4" w14:textId="77777777" w:rsidTr="00F70508">
        <w:trPr>
          <w:trHeight w:val="420"/>
        </w:trPr>
        <w:tc>
          <w:tcPr>
            <w:tcW w:w="2880" w:type="dxa"/>
            <w:tcBorders>
              <w:left w:val="single" w:sz="6" w:space="0" w:color="000000"/>
              <w:bottom w:val="single" w:sz="6" w:space="0" w:color="000000"/>
              <w:right w:val="single" w:sz="6" w:space="0" w:color="000000"/>
            </w:tcBorders>
            <w:vAlign w:val="center"/>
          </w:tcPr>
          <w:p w14:paraId="790C1094" w14:textId="77777777" w:rsidR="007D706A" w:rsidRDefault="007D706A" w:rsidP="00F70508">
            <w:pPr>
              <w:pStyle w:val="ParagraphStyle4"/>
              <w:rPr>
                <w:rStyle w:val="CharacterStyle4"/>
              </w:rPr>
            </w:pPr>
            <w:r>
              <w:rPr>
                <w:rStyle w:val="CharacterStyle4"/>
              </w:rPr>
              <w:t>Aktivnost A101605</w:t>
            </w:r>
          </w:p>
        </w:tc>
        <w:tc>
          <w:tcPr>
            <w:tcW w:w="4995" w:type="dxa"/>
            <w:tcBorders>
              <w:bottom w:val="single" w:sz="6" w:space="0" w:color="000000"/>
              <w:right w:val="single" w:sz="6" w:space="0" w:color="000000"/>
            </w:tcBorders>
            <w:vAlign w:val="center"/>
          </w:tcPr>
          <w:p w14:paraId="5EE50276" w14:textId="77777777" w:rsidR="007D706A" w:rsidRDefault="007D706A" w:rsidP="00F70508">
            <w:pPr>
              <w:pStyle w:val="ParagraphStyle5"/>
              <w:rPr>
                <w:rStyle w:val="CharacterStyle5"/>
              </w:rPr>
            </w:pPr>
            <w:r>
              <w:rPr>
                <w:rStyle w:val="CharacterStyle5"/>
              </w:rPr>
              <w:t>NAKNADA ŠTETE ZA ODUZETE NEKRETNINE I NEKRETNINE U SPORU</w:t>
            </w:r>
          </w:p>
        </w:tc>
        <w:tc>
          <w:tcPr>
            <w:tcW w:w="1395" w:type="dxa"/>
            <w:tcBorders>
              <w:bottom w:val="single" w:sz="6" w:space="0" w:color="000000"/>
              <w:right w:val="single" w:sz="6" w:space="0" w:color="000000"/>
            </w:tcBorders>
            <w:vAlign w:val="center"/>
          </w:tcPr>
          <w:p w14:paraId="129C5D16"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13ABBDE8" w14:textId="77777777" w:rsidR="007D706A" w:rsidRDefault="007D706A" w:rsidP="00F70508">
            <w:pPr>
              <w:pStyle w:val="ParagraphStyle6"/>
              <w:rPr>
                <w:rStyle w:val="CharacterStyle6"/>
              </w:rPr>
            </w:pPr>
            <w:r>
              <w:rPr>
                <w:rStyle w:val="CharacterStyle6"/>
              </w:rPr>
              <w:t>306.784,00</w:t>
            </w:r>
          </w:p>
        </w:tc>
        <w:tc>
          <w:tcPr>
            <w:tcW w:w="1395" w:type="dxa"/>
            <w:tcBorders>
              <w:bottom w:val="single" w:sz="6" w:space="0" w:color="000000"/>
              <w:right w:val="single" w:sz="6" w:space="0" w:color="000000"/>
            </w:tcBorders>
            <w:vAlign w:val="center"/>
          </w:tcPr>
          <w:p w14:paraId="3EA12780" w14:textId="77777777" w:rsidR="007D706A" w:rsidRDefault="007D706A" w:rsidP="00F70508">
            <w:pPr>
              <w:pStyle w:val="ParagraphStyle6"/>
              <w:rPr>
                <w:rStyle w:val="CharacterStyle6"/>
              </w:rPr>
            </w:pPr>
            <w:r>
              <w:rPr>
                <w:rStyle w:val="CharacterStyle6"/>
              </w:rPr>
              <w:t>306.784,00</w:t>
            </w:r>
          </w:p>
        </w:tc>
        <w:tc>
          <w:tcPr>
            <w:tcW w:w="1395" w:type="dxa"/>
            <w:tcBorders>
              <w:bottom w:val="single" w:sz="6" w:space="0" w:color="000000"/>
              <w:right w:val="single" w:sz="6" w:space="0" w:color="000000"/>
            </w:tcBorders>
            <w:vAlign w:val="center"/>
          </w:tcPr>
          <w:p w14:paraId="47753882" w14:textId="77777777" w:rsidR="007D706A" w:rsidRDefault="007D706A" w:rsidP="00F70508">
            <w:pPr>
              <w:pStyle w:val="ParagraphStyle6"/>
              <w:rPr>
                <w:rStyle w:val="CharacterStyle6"/>
              </w:rPr>
            </w:pPr>
            <w:r>
              <w:rPr>
                <w:rStyle w:val="CharacterStyle6"/>
              </w:rPr>
              <w:t>306.784,00</w:t>
            </w:r>
          </w:p>
        </w:tc>
        <w:tc>
          <w:tcPr>
            <w:tcW w:w="1395" w:type="dxa"/>
            <w:tcBorders>
              <w:bottom w:val="single" w:sz="6" w:space="0" w:color="000000"/>
              <w:right w:val="single" w:sz="6" w:space="0" w:color="000000"/>
            </w:tcBorders>
            <w:vAlign w:val="center"/>
          </w:tcPr>
          <w:p w14:paraId="7705B95A" w14:textId="77777777" w:rsidR="007D706A" w:rsidRDefault="007D706A" w:rsidP="00F70508">
            <w:pPr>
              <w:pStyle w:val="ParagraphStyle6"/>
              <w:rPr>
                <w:rStyle w:val="CharacterStyle6"/>
              </w:rPr>
            </w:pPr>
            <w:r>
              <w:rPr>
                <w:rStyle w:val="CharacterStyle6"/>
              </w:rPr>
              <w:t>306.784,00</w:t>
            </w:r>
          </w:p>
        </w:tc>
      </w:tr>
      <w:tr w:rsidR="007D706A" w14:paraId="3F0F45C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3D9D271"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266B05EE"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72CF3CDF"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35F26CF" w14:textId="77777777" w:rsidR="007D706A" w:rsidRDefault="007D706A" w:rsidP="00F70508">
            <w:pPr>
              <w:pStyle w:val="ParagraphStyle9"/>
              <w:rPr>
                <w:rStyle w:val="CharacterStyle9"/>
              </w:rPr>
            </w:pPr>
            <w:r>
              <w:rPr>
                <w:rStyle w:val="CharacterStyle9"/>
              </w:rPr>
              <w:t>27.000,55</w:t>
            </w:r>
          </w:p>
        </w:tc>
        <w:tc>
          <w:tcPr>
            <w:tcW w:w="1395" w:type="dxa"/>
            <w:tcBorders>
              <w:bottom w:val="single" w:sz="6" w:space="0" w:color="000000"/>
              <w:right w:val="single" w:sz="6" w:space="0" w:color="000000"/>
            </w:tcBorders>
            <w:vAlign w:val="center"/>
          </w:tcPr>
          <w:p w14:paraId="446086FA" w14:textId="77777777" w:rsidR="007D706A" w:rsidRDefault="007D706A" w:rsidP="00F70508">
            <w:pPr>
              <w:pStyle w:val="ParagraphStyle9"/>
              <w:rPr>
                <w:rStyle w:val="CharacterStyle9"/>
              </w:rPr>
            </w:pPr>
            <w:r>
              <w:rPr>
                <w:rStyle w:val="CharacterStyle9"/>
              </w:rPr>
              <w:t>306.784,00</w:t>
            </w:r>
          </w:p>
        </w:tc>
        <w:tc>
          <w:tcPr>
            <w:tcW w:w="1395" w:type="dxa"/>
            <w:tcBorders>
              <w:bottom w:val="single" w:sz="6" w:space="0" w:color="000000"/>
              <w:right w:val="single" w:sz="6" w:space="0" w:color="000000"/>
            </w:tcBorders>
            <w:vAlign w:val="center"/>
          </w:tcPr>
          <w:p w14:paraId="4626EC01" w14:textId="77777777" w:rsidR="007D706A" w:rsidRDefault="007D706A" w:rsidP="00F70508">
            <w:pPr>
              <w:pStyle w:val="ParagraphStyle9"/>
              <w:rPr>
                <w:rStyle w:val="CharacterStyle9"/>
              </w:rPr>
            </w:pPr>
            <w:r>
              <w:rPr>
                <w:rStyle w:val="CharacterStyle9"/>
              </w:rPr>
              <w:t>306.784,00</w:t>
            </w:r>
          </w:p>
        </w:tc>
        <w:tc>
          <w:tcPr>
            <w:tcW w:w="1395" w:type="dxa"/>
            <w:tcBorders>
              <w:bottom w:val="single" w:sz="6" w:space="0" w:color="000000"/>
              <w:right w:val="single" w:sz="6" w:space="0" w:color="000000"/>
            </w:tcBorders>
            <w:vAlign w:val="center"/>
          </w:tcPr>
          <w:p w14:paraId="5E38AB44" w14:textId="77777777" w:rsidR="007D706A" w:rsidRDefault="007D706A" w:rsidP="00F70508">
            <w:pPr>
              <w:pStyle w:val="ParagraphStyle9"/>
              <w:rPr>
                <w:rStyle w:val="CharacterStyle9"/>
              </w:rPr>
            </w:pPr>
            <w:r>
              <w:rPr>
                <w:rStyle w:val="CharacterStyle9"/>
              </w:rPr>
              <w:t>306.784,00</w:t>
            </w:r>
          </w:p>
        </w:tc>
      </w:tr>
      <w:tr w:rsidR="007D706A" w14:paraId="7709008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7F53A69"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25CEBACB"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06E0BFC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7295049" w14:textId="77777777" w:rsidR="007D706A" w:rsidRDefault="007D706A" w:rsidP="00F70508">
            <w:pPr>
              <w:pStyle w:val="ParagraphStyle12"/>
              <w:rPr>
                <w:rStyle w:val="CharacterStyle12"/>
              </w:rPr>
            </w:pPr>
            <w:r>
              <w:rPr>
                <w:rStyle w:val="CharacterStyle12"/>
              </w:rPr>
              <w:t>27.000,55</w:t>
            </w:r>
          </w:p>
        </w:tc>
        <w:tc>
          <w:tcPr>
            <w:tcW w:w="1395" w:type="dxa"/>
            <w:tcBorders>
              <w:bottom w:val="single" w:sz="6" w:space="0" w:color="000000"/>
              <w:right w:val="single" w:sz="6" w:space="0" w:color="000000"/>
            </w:tcBorders>
            <w:vAlign w:val="center"/>
          </w:tcPr>
          <w:p w14:paraId="06FA066C" w14:textId="77777777" w:rsidR="007D706A" w:rsidRDefault="007D706A" w:rsidP="00F70508">
            <w:pPr>
              <w:pStyle w:val="ParagraphStyle12"/>
              <w:rPr>
                <w:rStyle w:val="CharacterStyle12"/>
              </w:rPr>
            </w:pPr>
            <w:r>
              <w:rPr>
                <w:rStyle w:val="CharacterStyle12"/>
              </w:rPr>
              <w:t>306.784,00</w:t>
            </w:r>
          </w:p>
        </w:tc>
        <w:tc>
          <w:tcPr>
            <w:tcW w:w="1395" w:type="dxa"/>
            <w:tcBorders>
              <w:bottom w:val="single" w:sz="6" w:space="0" w:color="000000"/>
              <w:right w:val="single" w:sz="6" w:space="0" w:color="000000"/>
            </w:tcBorders>
            <w:vAlign w:val="center"/>
          </w:tcPr>
          <w:p w14:paraId="40D50120" w14:textId="77777777" w:rsidR="007D706A" w:rsidRDefault="007D706A" w:rsidP="00F70508">
            <w:pPr>
              <w:pStyle w:val="ParagraphStyle12"/>
              <w:rPr>
                <w:rStyle w:val="CharacterStyle12"/>
              </w:rPr>
            </w:pPr>
            <w:r>
              <w:rPr>
                <w:rStyle w:val="CharacterStyle12"/>
              </w:rPr>
              <w:t>306.784,00</w:t>
            </w:r>
          </w:p>
        </w:tc>
        <w:tc>
          <w:tcPr>
            <w:tcW w:w="1395" w:type="dxa"/>
            <w:tcBorders>
              <w:bottom w:val="single" w:sz="6" w:space="0" w:color="000000"/>
              <w:right w:val="single" w:sz="6" w:space="0" w:color="000000"/>
            </w:tcBorders>
            <w:vAlign w:val="center"/>
          </w:tcPr>
          <w:p w14:paraId="469902B0" w14:textId="77777777" w:rsidR="007D706A" w:rsidRDefault="007D706A" w:rsidP="00F70508">
            <w:pPr>
              <w:pStyle w:val="ParagraphStyle12"/>
              <w:rPr>
                <w:rStyle w:val="CharacterStyle12"/>
              </w:rPr>
            </w:pPr>
            <w:r>
              <w:rPr>
                <w:rStyle w:val="CharacterStyle12"/>
              </w:rPr>
              <w:t>306.784,00</w:t>
            </w:r>
          </w:p>
        </w:tc>
      </w:tr>
      <w:tr w:rsidR="007D706A" w14:paraId="5F3E761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F6594FB"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67113088"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197FB8F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3E769E4" w14:textId="77777777" w:rsidR="007D706A" w:rsidRDefault="007D706A" w:rsidP="00F70508">
            <w:pPr>
              <w:pStyle w:val="ParagraphStyle12"/>
              <w:rPr>
                <w:rStyle w:val="CharacterStyle12"/>
              </w:rPr>
            </w:pPr>
            <w:r>
              <w:rPr>
                <w:rStyle w:val="CharacterStyle12"/>
              </w:rPr>
              <w:t>27.000,00</w:t>
            </w:r>
          </w:p>
        </w:tc>
        <w:tc>
          <w:tcPr>
            <w:tcW w:w="1395" w:type="dxa"/>
            <w:tcBorders>
              <w:bottom w:val="single" w:sz="6" w:space="0" w:color="000000"/>
              <w:right w:val="single" w:sz="6" w:space="0" w:color="000000"/>
            </w:tcBorders>
            <w:vAlign w:val="center"/>
          </w:tcPr>
          <w:p w14:paraId="6FD63654" w14:textId="77777777" w:rsidR="007D706A" w:rsidRDefault="007D706A" w:rsidP="00F70508">
            <w:pPr>
              <w:pStyle w:val="ParagraphStyle12"/>
              <w:rPr>
                <w:rStyle w:val="CharacterStyle12"/>
              </w:rPr>
            </w:pPr>
            <w:r>
              <w:rPr>
                <w:rStyle w:val="CharacterStyle12"/>
              </w:rPr>
              <w:t>27.000,00</w:t>
            </w:r>
          </w:p>
        </w:tc>
        <w:tc>
          <w:tcPr>
            <w:tcW w:w="1395" w:type="dxa"/>
            <w:tcBorders>
              <w:bottom w:val="single" w:sz="6" w:space="0" w:color="000000"/>
              <w:right w:val="single" w:sz="6" w:space="0" w:color="000000"/>
            </w:tcBorders>
            <w:vAlign w:val="center"/>
          </w:tcPr>
          <w:p w14:paraId="07EF20F1" w14:textId="77777777" w:rsidR="007D706A" w:rsidRDefault="007D706A" w:rsidP="00F70508">
            <w:pPr>
              <w:pStyle w:val="ParagraphStyle12"/>
              <w:rPr>
                <w:rStyle w:val="CharacterStyle12"/>
              </w:rPr>
            </w:pPr>
            <w:r>
              <w:rPr>
                <w:rStyle w:val="CharacterStyle12"/>
              </w:rPr>
              <w:t>27.000,00</w:t>
            </w:r>
          </w:p>
        </w:tc>
        <w:tc>
          <w:tcPr>
            <w:tcW w:w="1395" w:type="dxa"/>
            <w:tcBorders>
              <w:bottom w:val="single" w:sz="6" w:space="0" w:color="000000"/>
              <w:right w:val="single" w:sz="6" w:space="0" w:color="000000"/>
            </w:tcBorders>
            <w:vAlign w:val="center"/>
          </w:tcPr>
          <w:p w14:paraId="7BCF6ABB" w14:textId="77777777" w:rsidR="007D706A" w:rsidRDefault="007D706A" w:rsidP="00F70508">
            <w:pPr>
              <w:pStyle w:val="ParagraphStyle12"/>
              <w:rPr>
                <w:rStyle w:val="CharacterStyle12"/>
              </w:rPr>
            </w:pPr>
            <w:r>
              <w:rPr>
                <w:rStyle w:val="CharacterStyle12"/>
              </w:rPr>
              <w:t>27.000,00</w:t>
            </w:r>
          </w:p>
        </w:tc>
      </w:tr>
      <w:tr w:rsidR="007D706A" w14:paraId="5FDE74D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A44B7B3" w14:textId="77777777" w:rsidR="007D706A" w:rsidRDefault="007D706A" w:rsidP="00F70508">
            <w:pPr>
              <w:pStyle w:val="ParagraphStyle10"/>
              <w:rPr>
                <w:rStyle w:val="CharacterStyle10"/>
              </w:rPr>
            </w:pPr>
            <w:r>
              <w:rPr>
                <w:rStyle w:val="CharacterStyle10"/>
              </w:rPr>
              <w:t>34</w:t>
            </w:r>
          </w:p>
        </w:tc>
        <w:tc>
          <w:tcPr>
            <w:tcW w:w="4995" w:type="dxa"/>
            <w:tcBorders>
              <w:bottom w:val="single" w:sz="6" w:space="0" w:color="000000"/>
              <w:right w:val="single" w:sz="6" w:space="0" w:color="000000"/>
            </w:tcBorders>
            <w:vAlign w:val="center"/>
          </w:tcPr>
          <w:p w14:paraId="39485772" w14:textId="77777777" w:rsidR="007D706A" w:rsidRDefault="007D706A" w:rsidP="00F70508">
            <w:pPr>
              <w:pStyle w:val="ParagraphStyle11"/>
              <w:rPr>
                <w:rStyle w:val="CharacterStyle11"/>
              </w:rPr>
            </w:pPr>
            <w:r>
              <w:rPr>
                <w:rStyle w:val="CharacterStyle11"/>
              </w:rPr>
              <w:t>Financijski rashodi</w:t>
            </w:r>
          </w:p>
        </w:tc>
        <w:tc>
          <w:tcPr>
            <w:tcW w:w="1395" w:type="dxa"/>
            <w:tcBorders>
              <w:bottom w:val="single" w:sz="6" w:space="0" w:color="000000"/>
              <w:right w:val="single" w:sz="6" w:space="0" w:color="000000"/>
            </w:tcBorders>
            <w:vAlign w:val="center"/>
          </w:tcPr>
          <w:p w14:paraId="274F8F5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23B287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28D377A" w14:textId="77777777" w:rsidR="007D706A" w:rsidRDefault="007D706A" w:rsidP="00F70508">
            <w:pPr>
              <w:pStyle w:val="ParagraphStyle12"/>
              <w:rPr>
                <w:rStyle w:val="CharacterStyle12"/>
              </w:rPr>
            </w:pPr>
            <w:r>
              <w:rPr>
                <w:rStyle w:val="CharacterStyle12"/>
              </w:rPr>
              <w:t>13.272,62</w:t>
            </w:r>
          </w:p>
        </w:tc>
        <w:tc>
          <w:tcPr>
            <w:tcW w:w="1395" w:type="dxa"/>
            <w:tcBorders>
              <w:bottom w:val="single" w:sz="6" w:space="0" w:color="000000"/>
              <w:right w:val="single" w:sz="6" w:space="0" w:color="000000"/>
            </w:tcBorders>
            <w:vAlign w:val="center"/>
          </w:tcPr>
          <w:p w14:paraId="1E9604A9" w14:textId="77777777" w:rsidR="007D706A" w:rsidRDefault="007D706A" w:rsidP="00F70508">
            <w:pPr>
              <w:pStyle w:val="ParagraphStyle12"/>
              <w:rPr>
                <w:rStyle w:val="CharacterStyle12"/>
              </w:rPr>
            </w:pPr>
            <w:r>
              <w:rPr>
                <w:rStyle w:val="CharacterStyle12"/>
              </w:rPr>
              <w:t>13.272,62</w:t>
            </w:r>
          </w:p>
        </w:tc>
        <w:tc>
          <w:tcPr>
            <w:tcW w:w="1395" w:type="dxa"/>
            <w:tcBorders>
              <w:bottom w:val="single" w:sz="6" w:space="0" w:color="000000"/>
              <w:right w:val="single" w:sz="6" w:space="0" w:color="000000"/>
            </w:tcBorders>
            <w:vAlign w:val="center"/>
          </w:tcPr>
          <w:p w14:paraId="7C3D89DA" w14:textId="77777777" w:rsidR="007D706A" w:rsidRDefault="007D706A" w:rsidP="00F70508">
            <w:pPr>
              <w:pStyle w:val="ParagraphStyle12"/>
              <w:rPr>
                <w:rStyle w:val="CharacterStyle12"/>
              </w:rPr>
            </w:pPr>
            <w:r>
              <w:rPr>
                <w:rStyle w:val="CharacterStyle12"/>
              </w:rPr>
              <w:t>13.272,62</w:t>
            </w:r>
          </w:p>
        </w:tc>
      </w:tr>
      <w:tr w:rsidR="007D706A" w14:paraId="19905A4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434633E" w14:textId="77777777" w:rsidR="007D706A" w:rsidRDefault="007D706A" w:rsidP="00F70508">
            <w:pPr>
              <w:pStyle w:val="ParagraphStyle10"/>
              <w:rPr>
                <w:rStyle w:val="CharacterStyle10"/>
              </w:rPr>
            </w:pPr>
            <w:r>
              <w:rPr>
                <w:rStyle w:val="CharacterStyle10"/>
              </w:rPr>
              <w:t>38</w:t>
            </w:r>
          </w:p>
        </w:tc>
        <w:tc>
          <w:tcPr>
            <w:tcW w:w="4995" w:type="dxa"/>
            <w:tcBorders>
              <w:bottom w:val="single" w:sz="6" w:space="0" w:color="000000"/>
              <w:right w:val="single" w:sz="6" w:space="0" w:color="000000"/>
            </w:tcBorders>
            <w:vAlign w:val="center"/>
          </w:tcPr>
          <w:p w14:paraId="18D04241" w14:textId="77777777" w:rsidR="007D706A" w:rsidRDefault="007D706A" w:rsidP="00F70508">
            <w:pPr>
              <w:pStyle w:val="ParagraphStyle11"/>
              <w:rPr>
                <w:rStyle w:val="CharacterStyle11"/>
              </w:rPr>
            </w:pPr>
            <w:r>
              <w:rPr>
                <w:rStyle w:val="CharacterStyle11"/>
              </w:rPr>
              <w:t>Rashodi za donacije, kazne, naknade šteta i kapitalne pomoći</w:t>
            </w:r>
          </w:p>
        </w:tc>
        <w:tc>
          <w:tcPr>
            <w:tcW w:w="1395" w:type="dxa"/>
            <w:tcBorders>
              <w:bottom w:val="single" w:sz="6" w:space="0" w:color="000000"/>
              <w:right w:val="single" w:sz="6" w:space="0" w:color="000000"/>
            </w:tcBorders>
            <w:vAlign w:val="center"/>
          </w:tcPr>
          <w:p w14:paraId="088A6D7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1971EE4" w14:textId="77777777" w:rsidR="007D706A" w:rsidRDefault="007D706A" w:rsidP="00F70508">
            <w:pPr>
              <w:pStyle w:val="ParagraphStyle12"/>
              <w:rPr>
                <w:rStyle w:val="CharacterStyle12"/>
              </w:rPr>
            </w:pPr>
            <w:r>
              <w:rPr>
                <w:rStyle w:val="CharacterStyle12"/>
              </w:rPr>
              <w:t>0,55</w:t>
            </w:r>
          </w:p>
        </w:tc>
        <w:tc>
          <w:tcPr>
            <w:tcW w:w="1395" w:type="dxa"/>
            <w:tcBorders>
              <w:bottom w:val="single" w:sz="6" w:space="0" w:color="000000"/>
              <w:right w:val="single" w:sz="6" w:space="0" w:color="000000"/>
            </w:tcBorders>
            <w:vAlign w:val="center"/>
          </w:tcPr>
          <w:p w14:paraId="5D88D96F" w14:textId="77777777" w:rsidR="007D706A" w:rsidRDefault="007D706A" w:rsidP="00F70508">
            <w:pPr>
              <w:pStyle w:val="ParagraphStyle12"/>
              <w:rPr>
                <w:rStyle w:val="CharacterStyle12"/>
              </w:rPr>
            </w:pPr>
            <w:r>
              <w:rPr>
                <w:rStyle w:val="CharacterStyle12"/>
              </w:rPr>
              <w:t>266.511,38</w:t>
            </w:r>
          </w:p>
        </w:tc>
        <w:tc>
          <w:tcPr>
            <w:tcW w:w="1395" w:type="dxa"/>
            <w:tcBorders>
              <w:bottom w:val="single" w:sz="6" w:space="0" w:color="000000"/>
              <w:right w:val="single" w:sz="6" w:space="0" w:color="000000"/>
            </w:tcBorders>
            <w:vAlign w:val="center"/>
          </w:tcPr>
          <w:p w14:paraId="660A5189" w14:textId="77777777" w:rsidR="007D706A" w:rsidRDefault="007D706A" w:rsidP="00F70508">
            <w:pPr>
              <w:pStyle w:val="ParagraphStyle12"/>
              <w:rPr>
                <w:rStyle w:val="CharacterStyle12"/>
              </w:rPr>
            </w:pPr>
            <w:r>
              <w:rPr>
                <w:rStyle w:val="CharacterStyle12"/>
              </w:rPr>
              <w:t>266.511,38</w:t>
            </w:r>
          </w:p>
        </w:tc>
        <w:tc>
          <w:tcPr>
            <w:tcW w:w="1395" w:type="dxa"/>
            <w:tcBorders>
              <w:bottom w:val="single" w:sz="6" w:space="0" w:color="000000"/>
              <w:right w:val="single" w:sz="6" w:space="0" w:color="000000"/>
            </w:tcBorders>
            <w:vAlign w:val="center"/>
          </w:tcPr>
          <w:p w14:paraId="34E6E949" w14:textId="77777777" w:rsidR="007D706A" w:rsidRDefault="007D706A" w:rsidP="00F70508">
            <w:pPr>
              <w:pStyle w:val="ParagraphStyle12"/>
              <w:rPr>
                <w:rStyle w:val="CharacterStyle12"/>
              </w:rPr>
            </w:pPr>
            <w:r>
              <w:rPr>
                <w:rStyle w:val="CharacterStyle12"/>
              </w:rPr>
              <w:t>266.511,38</w:t>
            </w:r>
          </w:p>
        </w:tc>
      </w:tr>
      <w:tr w:rsidR="007D706A" w14:paraId="7CDA301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1E5326F" w14:textId="77777777" w:rsidR="007D706A" w:rsidRDefault="007D706A" w:rsidP="00F70508">
            <w:pPr>
              <w:pStyle w:val="ParagraphStyle7"/>
              <w:rPr>
                <w:rStyle w:val="CharacterStyle7"/>
              </w:rPr>
            </w:pPr>
            <w:r>
              <w:rPr>
                <w:rStyle w:val="CharacterStyle7"/>
              </w:rPr>
              <w:t>Izvor financiranja 82</w:t>
            </w:r>
          </w:p>
        </w:tc>
        <w:tc>
          <w:tcPr>
            <w:tcW w:w="4995" w:type="dxa"/>
            <w:tcBorders>
              <w:bottom w:val="single" w:sz="6" w:space="0" w:color="000000"/>
              <w:right w:val="single" w:sz="6" w:space="0" w:color="000000"/>
            </w:tcBorders>
            <w:vAlign w:val="center"/>
          </w:tcPr>
          <w:p w14:paraId="60CCACD5" w14:textId="77777777" w:rsidR="007D706A" w:rsidRDefault="007D706A" w:rsidP="00F70508">
            <w:pPr>
              <w:pStyle w:val="ParagraphStyle8"/>
              <w:rPr>
                <w:rStyle w:val="CharacterStyle8"/>
              </w:rPr>
            </w:pPr>
            <w:r>
              <w:rPr>
                <w:rStyle w:val="CharacterStyle8"/>
              </w:rPr>
              <w:t>Preneseni viškovi iz ranijih godina</w:t>
            </w:r>
          </w:p>
        </w:tc>
        <w:tc>
          <w:tcPr>
            <w:tcW w:w="1395" w:type="dxa"/>
            <w:tcBorders>
              <w:bottom w:val="single" w:sz="6" w:space="0" w:color="000000"/>
              <w:right w:val="single" w:sz="6" w:space="0" w:color="000000"/>
            </w:tcBorders>
            <w:vAlign w:val="center"/>
          </w:tcPr>
          <w:p w14:paraId="270F3F6C"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F00D61F" w14:textId="77777777" w:rsidR="007D706A" w:rsidRDefault="007D706A" w:rsidP="00F70508">
            <w:pPr>
              <w:pStyle w:val="ParagraphStyle9"/>
              <w:rPr>
                <w:rStyle w:val="CharacterStyle9"/>
              </w:rPr>
            </w:pPr>
            <w:r>
              <w:rPr>
                <w:rStyle w:val="CharacterStyle9"/>
              </w:rPr>
              <w:t>279.783,45</w:t>
            </w:r>
          </w:p>
        </w:tc>
        <w:tc>
          <w:tcPr>
            <w:tcW w:w="1395" w:type="dxa"/>
            <w:tcBorders>
              <w:bottom w:val="single" w:sz="6" w:space="0" w:color="000000"/>
              <w:right w:val="single" w:sz="6" w:space="0" w:color="000000"/>
            </w:tcBorders>
            <w:vAlign w:val="center"/>
          </w:tcPr>
          <w:p w14:paraId="2E232C78"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66DBCD5"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AF1E490" w14:textId="77777777" w:rsidR="007D706A" w:rsidRDefault="007D706A" w:rsidP="00F70508">
            <w:pPr>
              <w:pStyle w:val="ParagraphStyle9"/>
              <w:rPr>
                <w:rStyle w:val="CharacterStyle9"/>
              </w:rPr>
            </w:pPr>
            <w:r>
              <w:rPr>
                <w:rStyle w:val="CharacterStyle9"/>
              </w:rPr>
              <w:t>0,00</w:t>
            </w:r>
          </w:p>
        </w:tc>
      </w:tr>
      <w:tr w:rsidR="007D706A" w14:paraId="5F5191B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973E302"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4DD898EB"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096F5D5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05DAB81" w14:textId="77777777" w:rsidR="007D706A" w:rsidRDefault="007D706A" w:rsidP="00F70508">
            <w:pPr>
              <w:pStyle w:val="ParagraphStyle12"/>
              <w:rPr>
                <w:rStyle w:val="CharacterStyle12"/>
              </w:rPr>
            </w:pPr>
            <w:r>
              <w:rPr>
                <w:rStyle w:val="CharacterStyle12"/>
              </w:rPr>
              <w:t>279.783,45</w:t>
            </w:r>
          </w:p>
        </w:tc>
        <w:tc>
          <w:tcPr>
            <w:tcW w:w="1395" w:type="dxa"/>
            <w:tcBorders>
              <w:bottom w:val="single" w:sz="6" w:space="0" w:color="000000"/>
              <w:right w:val="single" w:sz="6" w:space="0" w:color="000000"/>
            </w:tcBorders>
            <w:vAlign w:val="center"/>
          </w:tcPr>
          <w:p w14:paraId="74892AD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D3E203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3661C1E" w14:textId="77777777" w:rsidR="007D706A" w:rsidRDefault="007D706A" w:rsidP="00F70508">
            <w:pPr>
              <w:pStyle w:val="ParagraphStyle12"/>
              <w:rPr>
                <w:rStyle w:val="CharacterStyle12"/>
              </w:rPr>
            </w:pPr>
            <w:r>
              <w:rPr>
                <w:rStyle w:val="CharacterStyle12"/>
              </w:rPr>
              <w:t>0,00</w:t>
            </w:r>
          </w:p>
        </w:tc>
      </w:tr>
      <w:tr w:rsidR="007D706A" w14:paraId="27CB026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74F61F5" w14:textId="77777777" w:rsidR="007D706A" w:rsidRDefault="007D706A" w:rsidP="00F70508">
            <w:pPr>
              <w:pStyle w:val="ParagraphStyle10"/>
              <w:rPr>
                <w:rStyle w:val="CharacterStyle10"/>
              </w:rPr>
            </w:pPr>
            <w:r>
              <w:rPr>
                <w:rStyle w:val="CharacterStyle10"/>
              </w:rPr>
              <w:t>34</w:t>
            </w:r>
          </w:p>
        </w:tc>
        <w:tc>
          <w:tcPr>
            <w:tcW w:w="4995" w:type="dxa"/>
            <w:tcBorders>
              <w:bottom w:val="single" w:sz="6" w:space="0" w:color="000000"/>
              <w:right w:val="single" w:sz="6" w:space="0" w:color="000000"/>
            </w:tcBorders>
            <w:vAlign w:val="center"/>
          </w:tcPr>
          <w:p w14:paraId="1B6DDD5B" w14:textId="77777777" w:rsidR="007D706A" w:rsidRDefault="007D706A" w:rsidP="00F70508">
            <w:pPr>
              <w:pStyle w:val="ParagraphStyle11"/>
              <w:rPr>
                <w:rStyle w:val="CharacterStyle11"/>
              </w:rPr>
            </w:pPr>
            <w:r>
              <w:rPr>
                <w:rStyle w:val="CharacterStyle11"/>
              </w:rPr>
              <w:t>Financijski rashodi</w:t>
            </w:r>
          </w:p>
        </w:tc>
        <w:tc>
          <w:tcPr>
            <w:tcW w:w="1395" w:type="dxa"/>
            <w:tcBorders>
              <w:bottom w:val="single" w:sz="6" w:space="0" w:color="000000"/>
              <w:right w:val="single" w:sz="6" w:space="0" w:color="000000"/>
            </w:tcBorders>
            <w:vAlign w:val="center"/>
          </w:tcPr>
          <w:p w14:paraId="60D1AE5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71B42D5" w14:textId="77777777" w:rsidR="007D706A" w:rsidRDefault="007D706A" w:rsidP="00F70508">
            <w:pPr>
              <w:pStyle w:val="ParagraphStyle12"/>
              <w:rPr>
                <w:rStyle w:val="CharacterStyle12"/>
              </w:rPr>
            </w:pPr>
            <w:r>
              <w:rPr>
                <w:rStyle w:val="CharacterStyle12"/>
              </w:rPr>
              <w:t>13.272,62</w:t>
            </w:r>
          </w:p>
        </w:tc>
        <w:tc>
          <w:tcPr>
            <w:tcW w:w="1395" w:type="dxa"/>
            <w:tcBorders>
              <w:bottom w:val="single" w:sz="6" w:space="0" w:color="000000"/>
              <w:right w:val="single" w:sz="6" w:space="0" w:color="000000"/>
            </w:tcBorders>
            <w:vAlign w:val="center"/>
          </w:tcPr>
          <w:p w14:paraId="1BDFDAC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5D9696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0AE3F9C" w14:textId="77777777" w:rsidR="007D706A" w:rsidRDefault="007D706A" w:rsidP="00F70508">
            <w:pPr>
              <w:pStyle w:val="ParagraphStyle12"/>
              <w:rPr>
                <w:rStyle w:val="CharacterStyle12"/>
              </w:rPr>
            </w:pPr>
            <w:r>
              <w:rPr>
                <w:rStyle w:val="CharacterStyle12"/>
              </w:rPr>
              <w:t>0,00</w:t>
            </w:r>
          </w:p>
        </w:tc>
      </w:tr>
      <w:tr w:rsidR="007D706A" w14:paraId="01DCE90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2276B14" w14:textId="77777777" w:rsidR="007D706A" w:rsidRDefault="007D706A" w:rsidP="00F70508">
            <w:pPr>
              <w:pStyle w:val="ParagraphStyle10"/>
              <w:rPr>
                <w:rStyle w:val="CharacterStyle10"/>
              </w:rPr>
            </w:pPr>
            <w:r>
              <w:rPr>
                <w:rStyle w:val="CharacterStyle10"/>
              </w:rPr>
              <w:t>38</w:t>
            </w:r>
          </w:p>
        </w:tc>
        <w:tc>
          <w:tcPr>
            <w:tcW w:w="4995" w:type="dxa"/>
            <w:tcBorders>
              <w:bottom w:val="single" w:sz="6" w:space="0" w:color="000000"/>
              <w:right w:val="single" w:sz="6" w:space="0" w:color="000000"/>
            </w:tcBorders>
            <w:vAlign w:val="center"/>
          </w:tcPr>
          <w:p w14:paraId="2D43B350" w14:textId="77777777" w:rsidR="007D706A" w:rsidRDefault="007D706A" w:rsidP="00F70508">
            <w:pPr>
              <w:pStyle w:val="ParagraphStyle11"/>
              <w:rPr>
                <w:rStyle w:val="CharacterStyle11"/>
              </w:rPr>
            </w:pPr>
            <w:r>
              <w:rPr>
                <w:rStyle w:val="CharacterStyle11"/>
              </w:rPr>
              <w:t>Rashodi za donacije, kazne, naknade šteta i kapitalne pomoći</w:t>
            </w:r>
          </w:p>
        </w:tc>
        <w:tc>
          <w:tcPr>
            <w:tcW w:w="1395" w:type="dxa"/>
            <w:tcBorders>
              <w:bottom w:val="single" w:sz="6" w:space="0" w:color="000000"/>
              <w:right w:val="single" w:sz="6" w:space="0" w:color="000000"/>
            </w:tcBorders>
            <w:vAlign w:val="center"/>
          </w:tcPr>
          <w:p w14:paraId="1942BDC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0769012" w14:textId="77777777" w:rsidR="007D706A" w:rsidRDefault="007D706A" w:rsidP="00F70508">
            <w:pPr>
              <w:pStyle w:val="ParagraphStyle12"/>
              <w:rPr>
                <w:rStyle w:val="CharacterStyle12"/>
              </w:rPr>
            </w:pPr>
            <w:r>
              <w:rPr>
                <w:rStyle w:val="CharacterStyle12"/>
              </w:rPr>
              <w:t>266.510,83</w:t>
            </w:r>
          </w:p>
        </w:tc>
        <w:tc>
          <w:tcPr>
            <w:tcW w:w="1395" w:type="dxa"/>
            <w:tcBorders>
              <w:bottom w:val="single" w:sz="6" w:space="0" w:color="000000"/>
              <w:right w:val="single" w:sz="6" w:space="0" w:color="000000"/>
            </w:tcBorders>
            <w:vAlign w:val="center"/>
          </w:tcPr>
          <w:p w14:paraId="4F81DF2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45AA22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40A7FFD" w14:textId="77777777" w:rsidR="007D706A" w:rsidRDefault="007D706A" w:rsidP="00F70508">
            <w:pPr>
              <w:pStyle w:val="ParagraphStyle12"/>
              <w:rPr>
                <w:rStyle w:val="CharacterStyle12"/>
              </w:rPr>
            </w:pPr>
            <w:r>
              <w:rPr>
                <w:rStyle w:val="CharacterStyle12"/>
              </w:rPr>
              <w:t>0,00</w:t>
            </w:r>
          </w:p>
        </w:tc>
      </w:tr>
      <w:tr w:rsidR="007D706A" w14:paraId="22EF0D6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2E3618C" w14:textId="77777777" w:rsidR="007D706A" w:rsidRDefault="007D706A" w:rsidP="00F70508">
            <w:pPr>
              <w:pStyle w:val="ParagraphStyle4"/>
              <w:rPr>
                <w:rStyle w:val="CharacterStyle4"/>
              </w:rPr>
            </w:pPr>
            <w:r>
              <w:rPr>
                <w:rStyle w:val="CharacterStyle4"/>
              </w:rPr>
              <w:t>PROGRAM    1017</w:t>
            </w:r>
          </w:p>
        </w:tc>
        <w:tc>
          <w:tcPr>
            <w:tcW w:w="4995" w:type="dxa"/>
            <w:tcBorders>
              <w:bottom w:val="single" w:sz="6" w:space="0" w:color="000000"/>
              <w:right w:val="single" w:sz="6" w:space="0" w:color="000000"/>
            </w:tcBorders>
            <w:vAlign w:val="center"/>
          </w:tcPr>
          <w:p w14:paraId="3821E259" w14:textId="77777777" w:rsidR="007D706A" w:rsidRDefault="007D706A" w:rsidP="00F70508">
            <w:pPr>
              <w:pStyle w:val="ParagraphStyle5"/>
              <w:rPr>
                <w:rStyle w:val="CharacterStyle5"/>
              </w:rPr>
            </w:pPr>
            <w:r>
              <w:rPr>
                <w:rStyle w:val="CharacterStyle5"/>
              </w:rPr>
              <w:t>RASPOLAGANJE POLJOPRIVREDNIM ZEMLJIŠTEM</w:t>
            </w:r>
          </w:p>
        </w:tc>
        <w:tc>
          <w:tcPr>
            <w:tcW w:w="1395" w:type="dxa"/>
            <w:tcBorders>
              <w:bottom w:val="single" w:sz="6" w:space="0" w:color="000000"/>
              <w:right w:val="single" w:sz="6" w:space="0" w:color="000000"/>
            </w:tcBorders>
            <w:vAlign w:val="center"/>
          </w:tcPr>
          <w:p w14:paraId="06F53A71"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08CFA6D1" w14:textId="77777777" w:rsidR="007D706A" w:rsidRDefault="007D706A" w:rsidP="00F70508">
            <w:pPr>
              <w:pStyle w:val="ParagraphStyle6"/>
              <w:rPr>
                <w:rStyle w:val="CharacterStyle6"/>
              </w:rPr>
            </w:pPr>
            <w:r>
              <w:rPr>
                <w:rStyle w:val="CharacterStyle6"/>
              </w:rPr>
              <w:t>11.132,00</w:t>
            </w:r>
          </w:p>
        </w:tc>
        <w:tc>
          <w:tcPr>
            <w:tcW w:w="1395" w:type="dxa"/>
            <w:tcBorders>
              <w:bottom w:val="single" w:sz="6" w:space="0" w:color="000000"/>
              <w:right w:val="single" w:sz="6" w:space="0" w:color="000000"/>
            </w:tcBorders>
            <w:vAlign w:val="center"/>
          </w:tcPr>
          <w:p w14:paraId="213F6862" w14:textId="77777777" w:rsidR="007D706A" w:rsidRDefault="007D706A" w:rsidP="00F70508">
            <w:pPr>
              <w:pStyle w:val="ParagraphStyle6"/>
              <w:rPr>
                <w:rStyle w:val="CharacterStyle6"/>
              </w:rPr>
            </w:pPr>
            <w:r>
              <w:rPr>
                <w:rStyle w:val="CharacterStyle6"/>
              </w:rPr>
              <w:t>30.000,00</w:t>
            </w:r>
          </w:p>
        </w:tc>
        <w:tc>
          <w:tcPr>
            <w:tcW w:w="1395" w:type="dxa"/>
            <w:tcBorders>
              <w:bottom w:val="single" w:sz="6" w:space="0" w:color="000000"/>
              <w:right w:val="single" w:sz="6" w:space="0" w:color="000000"/>
            </w:tcBorders>
            <w:vAlign w:val="center"/>
          </w:tcPr>
          <w:p w14:paraId="189443E2" w14:textId="77777777" w:rsidR="007D706A" w:rsidRDefault="007D706A" w:rsidP="00F70508">
            <w:pPr>
              <w:pStyle w:val="ParagraphStyle6"/>
              <w:rPr>
                <w:rStyle w:val="CharacterStyle6"/>
              </w:rPr>
            </w:pPr>
            <w:r>
              <w:rPr>
                <w:rStyle w:val="CharacterStyle6"/>
              </w:rPr>
              <w:t>20.000,00</w:t>
            </w:r>
          </w:p>
        </w:tc>
        <w:tc>
          <w:tcPr>
            <w:tcW w:w="1395" w:type="dxa"/>
            <w:tcBorders>
              <w:bottom w:val="single" w:sz="6" w:space="0" w:color="000000"/>
              <w:right w:val="single" w:sz="6" w:space="0" w:color="000000"/>
            </w:tcBorders>
            <w:vAlign w:val="center"/>
          </w:tcPr>
          <w:p w14:paraId="0AFCE522" w14:textId="77777777" w:rsidR="007D706A" w:rsidRDefault="007D706A" w:rsidP="00F70508">
            <w:pPr>
              <w:pStyle w:val="ParagraphStyle6"/>
              <w:rPr>
                <w:rStyle w:val="CharacterStyle6"/>
              </w:rPr>
            </w:pPr>
            <w:r>
              <w:rPr>
                <w:rStyle w:val="CharacterStyle6"/>
              </w:rPr>
              <w:t>20.000,00</w:t>
            </w:r>
          </w:p>
        </w:tc>
      </w:tr>
      <w:tr w:rsidR="007D706A" w14:paraId="25910713" w14:textId="77777777" w:rsidTr="00F70508">
        <w:trPr>
          <w:trHeight w:val="420"/>
        </w:trPr>
        <w:tc>
          <w:tcPr>
            <w:tcW w:w="2880" w:type="dxa"/>
            <w:tcBorders>
              <w:left w:val="single" w:sz="6" w:space="0" w:color="000000"/>
              <w:bottom w:val="single" w:sz="6" w:space="0" w:color="000000"/>
              <w:right w:val="single" w:sz="6" w:space="0" w:color="000000"/>
            </w:tcBorders>
            <w:vAlign w:val="center"/>
          </w:tcPr>
          <w:p w14:paraId="47E1661B" w14:textId="77777777" w:rsidR="007D706A" w:rsidRDefault="007D706A" w:rsidP="00F70508">
            <w:pPr>
              <w:pStyle w:val="ParagraphStyle4"/>
              <w:rPr>
                <w:rStyle w:val="CharacterStyle4"/>
              </w:rPr>
            </w:pPr>
            <w:r>
              <w:rPr>
                <w:rStyle w:val="CharacterStyle4"/>
              </w:rPr>
              <w:t>Aktivnost A101701</w:t>
            </w:r>
          </w:p>
        </w:tc>
        <w:tc>
          <w:tcPr>
            <w:tcW w:w="4995" w:type="dxa"/>
            <w:tcBorders>
              <w:bottom w:val="single" w:sz="6" w:space="0" w:color="000000"/>
              <w:right w:val="single" w:sz="6" w:space="0" w:color="000000"/>
            </w:tcBorders>
            <w:vAlign w:val="center"/>
          </w:tcPr>
          <w:p w14:paraId="2D16FD2A" w14:textId="77777777" w:rsidR="007D706A" w:rsidRDefault="007D706A" w:rsidP="00F70508">
            <w:pPr>
              <w:pStyle w:val="ParagraphStyle5"/>
              <w:rPr>
                <w:rStyle w:val="CharacterStyle5"/>
              </w:rPr>
            </w:pPr>
            <w:r>
              <w:rPr>
                <w:rStyle w:val="CharacterStyle5"/>
              </w:rPr>
              <w:t>PRIPREMA I PROVOĐENJE NATJEČAJA ZA DODJELU POLJOPRIVREDNOG ZEMLJIŠTA U ZAKUP</w:t>
            </w:r>
          </w:p>
        </w:tc>
        <w:tc>
          <w:tcPr>
            <w:tcW w:w="1395" w:type="dxa"/>
            <w:tcBorders>
              <w:bottom w:val="single" w:sz="6" w:space="0" w:color="000000"/>
              <w:right w:val="single" w:sz="6" w:space="0" w:color="000000"/>
            </w:tcBorders>
            <w:vAlign w:val="center"/>
          </w:tcPr>
          <w:p w14:paraId="65FB088D"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6A83F052" w14:textId="77777777" w:rsidR="007D706A" w:rsidRDefault="007D706A" w:rsidP="00F70508">
            <w:pPr>
              <w:pStyle w:val="ParagraphStyle6"/>
              <w:rPr>
                <w:rStyle w:val="CharacterStyle6"/>
              </w:rPr>
            </w:pPr>
            <w:r>
              <w:rPr>
                <w:rStyle w:val="CharacterStyle6"/>
              </w:rPr>
              <w:t>11.132,00</w:t>
            </w:r>
          </w:p>
        </w:tc>
        <w:tc>
          <w:tcPr>
            <w:tcW w:w="1395" w:type="dxa"/>
            <w:tcBorders>
              <w:bottom w:val="single" w:sz="6" w:space="0" w:color="000000"/>
              <w:right w:val="single" w:sz="6" w:space="0" w:color="000000"/>
            </w:tcBorders>
            <w:vAlign w:val="center"/>
          </w:tcPr>
          <w:p w14:paraId="62A77798" w14:textId="77777777" w:rsidR="007D706A" w:rsidRDefault="007D706A" w:rsidP="00F70508">
            <w:pPr>
              <w:pStyle w:val="ParagraphStyle6"/>
              <w:rPr>
                <w:rStyle w:val="CharacterStyle6"/>
              </w:rPr>
            </w:pPr>
            <w:r>
              <w:rPr>
                <w:rStyle w:val="CharacterStyle6"/>
              </w:rPr>
              <w:t>30.000,00</w:t>
            </w:r>
          </w:p>
        </w:tc>
        <w:tc>
          <w:tcPr>
            <w:tcW w:w="1395" w:type="dxa"/>
            <w:tcBorders>
              <w:bottom w:val="single" w:sz="6" w:space="0" w:color="000000"/>
              <w:right w:val="single" w:sz="6" w:space="0" w:color="000000"/>
            </w:tcBorders>
            <w:vAlign w:val="center"/>
          </w:tcPr>
          <w:p w14:paraId="4DA3DB15" w14:textId="77777777" w:rsidR="007D706A" w:rsidRDefault="007D706A" w:rsidP="00F70508">
            <w:pPr>
              <w:pStyle w:val="ParagraphStyle6"/>
              <w:rPr>
                <w:rStyle w:val="CharacterStyle6"/>
              </w:rPr>
            </w:pPr>
            <w:r>
              <w:rPr>
                <w:rStyle w:val="CharacterStyle6"/>
              </w:rPr>
              <w:t>20.000,00</w:t>
            </w:r>
          </w:p>
        </w:tc>
        <w:tc>
          <w:tcPr>
            <w:tcW w:w="1395" w:type="dxa"/>
            <w:tcBorders>
              <w:bottom w:val="single" w:sz="6" w:space="0" w:color="000000"/>
              <w:right w:val="single" w:sz="6" w:space="0" w:color="000000"/>
            </w:tcBorders>
            <w:vAlign w:val="center"/>
          </w:tcPr>
          <w:p w14:paraId="22189ECE" w14:textId="77777777" w:rsidR="007D706A" w:rsidRDefault="007D706A" w:rsidP="00F70508">
            <w:pPr>
              <w:pStyle w:val="ParagraphStyle6"/>
              <w:rPr>
                <w:rStyle w:val="CharacterStyle6"/>
              </w:rPr>
            </w:pPr>
            <w:r>
              <w:rPr>
                <w:rStyle w:val="CharacterStyle6"/>
              </w:rPr>
              <w:t>20.000,00</w:t>
            </w:r>
          </w:p>
        </w:tc>
      </w:tr>
      <w:tr w:rsidR="007D706A" w14:paraId="114DAEC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7C92D42" w14:textId="77777777" w:rsidR="007D706A" w:rsidRDefault="007D706A" w:rsidP="00F70508">
            <w:pPr>
              <w:pStyle w:val="ParagraphStyle7"/>
              <w:rPr>
                <w:rStyle w:val="CharacterStyle7"/>
              </w:rPr>
            </w:pPr>
            <w:r>
              <w:rPr>
                <w:rStyle w:val="CharacterStyle7"/>
              </w:rPr>
              <w:lastRenderedPageBreak/>
              <w:t>Izvor financiranja 41</w:t>
            </w:r>
          </w:p>
        </w:tc>
        <w:tc>
          <w:tcPr>
            <w:tcW w:w="4995" w:type="dxa"/>
            <w:tcBorders>
              <w:bottom w:val="single" w:sz="6" w:space="0" w:color="000000"/>
              <w:right w:val="single" w:sz="6" w:space="0" w:color="000000"/>
            </w:tcBorders>
            <w:vAlign w:val="center"/>
          </w:tcPr>
          <w:p w14:paraId="0BDA1027" w14:textId="77777777" w:rsidR="007D706A" w:rsidRDefault="007D706A" w:rsidP="00F70508">
            <w:pPr>
              <w:pStyle w:val="ParagraphStyle8"/>
              <w:rPr>
                <w:rStyle w:val="CharacterStyle8"/>
              </w:rPr>
            </w:pPr>
            <w:r>
              <w:rPr>
                <w:rStyle w:val="CharacterStyle8"/>
              </w:rPr>
              <w:t>Prihodi za posebne namjene</w:t>
            </w:r>
          </w:p>
        </w:tc>
        <w:tc>
          <w:tcPr>
            <w:tcW w:w="1395" w:type="dxa"/>
            <w:tcBorders>
              <w:bottom w:val="single" w:sz="6" w:space="0" w:color="000000"/>
              <w:right w:val="single" w:sz="6" w:space="0" w:color="000000"/>
            </w:tcBorders>
            <w:vAlign w:val="center"/>
          </w:tcPr>
          <w:p w14:paraId="47AA4D1C"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B5CF3B3" w14:textId="77777777" w:rsidR="007D706A" w:rsidRDefault="007D706A" w:rsidP="00F70508">
            <w:pPr>
              <w:pStyle w:val="ParagraphStyle9"/>
              <w:rPr>
                <w:rStyle w:val="CharacterStyle9"/>
              </w:rPr>
            </w:pPr>
            <w:r>
              <w:rPr>
                <w:rStyle w:val="CharacterStyle9"/>
              </w:rPr>
              <w:t>11.132,00</w:t>
            </w:r>
          </w:p>
        </w:tc>
        <w:tc>
          <w:tcPr>
            <w:tcW w:w="1395" w:type="dxa"/>
            <w:tcBorders>
              <w:bottom w:val="single" w:sz="6" w:space="0" w:color="000000"/>
              <w:right w:val="single" w:sz="6" w:space="0" w:color="000000"/>
            </w:tcBorders>
            <w:vAlign w:val="center"/>
          </w:tcPr>
          <w:p w14:paraId="67FE13A2"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9442690"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6882DB0" w14:textId="77777777" w:rsidR="007D706A" w:rsidRDefault="007D706A" w:rsidP="00F70508">
            <w:pPr>
              <w:pStyle w:val="ParagraphStyle9"/>
              <w:rPr>
                <w:rStyle w:val="CharacterStyle9"/>
              </w:rPr>
            </w:pPr>
            <w:r>
              <w:rPr>
                <w:rStyle w:val="CharacterStyle9"/>
              </w:rPr>
              <w:t>0,00</w:t>
            </w:r>
          </w:p>
        </w:tc>
      </w:tr>
      <w:tr w:rsidR="007D706A" w14:paraId="43F8F6D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C37BD98"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3171693B"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66DEBD6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A14B80B" w14:textId="77777777" w:rsidR="007D706A" w:rsidRDefault="007D706A" w:rsidP="00F70508">
            <w:pPr>
              <w:pStyle w:val="ParagraphStyle12"/>
              <w:rPr>
                <w:rStyle w:val="CharacterStyle12"/>
              </w:rPr>
            </w:pPr>
            <w:r>
              <w:rPr>
                <w:rStyle w:val="CharacterStyle12"/>
              </w:rPr>
              <w:t>11.132,00</w:t>
            </w:r>
          </w:p>
        </w:tc>
        <w:tc>
          <w:tcPr>
            <w:tcW w:w="1395" w:type="dxa"/>
            <w:tcBorders>
              <w:bottom w:val="single" w:sz="6" w:space="0" w:color="000000"/>
              <w:right w:val="single" w:sz="6" w:space="0" w:color="000000"/>
            </w:tcBorders>
            <w:vAlign w:val="center"/>
          </w:tcPr>
          <w:p w14:paraId="57E5242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CA817A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7A01957" w14:textId="77777777" w:rsidR="007D706A" w:rsidRDefault="007D706A" w:rsidP="00F70508">
            <w:pPr>
              <w:pStyle w:val="ParagraphStyle12"/>
              <w:rPr>
                <w:rStyle w:val="CharacterStyle12"/>
              </w:rPr>
            </w:pPr>
            <w:r>
              <w:rPr>
                <w:rStyle w:val="CharacterStyle12"/>
              </w:rPr>
              <w:t>0,00</w:t>
            </w:r>
          </w:p>
        </w:tc>
      </w:tr>
      <w:tr w:rsidR="007D706A" w14:paraId="6D4268D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123A1CD"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0F0318AE"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04D6919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69B5705" w14:textId="77777777" w:rsidR="007D706A" w:rsidRDefault="007D706A" w:rsidP="00F70508">
            <w:pPr>
              <w:pStyle w:val="ParagraphStyle12"/>
              <w:rPr>
                <w:rStyle w:val="CharacterStyle12"/>
              </w:rPr>
            </w:pPr>
            <w:r>
              <w:rPr>
                <w:rStyle w:val="CharacterStyle12"/>
              </w:rPr>
              <w:t>11.132,00</w:t>
            </w:r>
          </w:p>
        </w:tc>
        <w:tc>
          <w:tcPr>
            <w:tcW w:w="1395" w:type="dxa"/>
            <w:tcBorders>
              <w:bottom w:val="single" w:sz="6" w:space="0" w:color="000000"/>
              <w:right w:val="single" w:sz="6" w:space="0" w:color="000000"/>
            </w:tcBorders>
            <w:vAlign w:val="center"/>
          </w:tcPr>
          <w:p w14:paraId="0066318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B86282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4BE8D60" w14:textId="77777777" w:rsidR="007D706A" w:rsidRDefault="007D706A" w:rsidP="00F70508">
            <w:pPr>
              <w:pStyle w:val="ParagraphStyle12"/>
              <w:rPr>
                <w:rStyle w:val="CharacterStyle12"/>
              </w:rPr>
            </w:pPr>
            <w:r>
              <w:rPr>
                <w:rStyle w:val="CharacterStyle12"/>
              </w:rPr>
              <w:t>0,00</w:t>
            </w:r>
          </w:p>
        </w:tc>
      </w:tr>
      <w:tr w:rsidR="007D706A" w14:paraId="72C8FE5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7BC5566" w14:textId="77777777" w:rsidR="007D706A" w:rsidRDefault="007D706A" w:rsidP="00F70508">
            <w:pPr>
              <w:pStyle w:val="ParagraphStyle7"/>
              <w:rPr>
                <w:rStyle w:val="CharacterStyle7"/>
              </w:rPr>
            </w:pPr>
            <w:r>
              <w:rPr>
                <w:rStyle w:val="CharacterStyle7"/>
              </w:rPr>
              <w:t>Izvor financiranja 43</w:t>
            </w:r>
          </w:p>
        </w:tc>
        <w:tc>
          <w:tcPr>
            <w:tcW w:w="4995" w:type="dxa"/>
            <w:tcBorders>
              <w:bottom w:val="single" w:sz="6" w:space="0" w:color="000000"/>
              <w:right w:val="single" w:sz="6" w:space="0" w:color="000000"/>
            </w:tcBorders>
            <w:vAlign w:val="center"/>
          </w:tcPr>
          <w:p w14:paraId="7F24EF82" w14:textId="77777777" w:rsidR="007D706A" w:rsidRDefault="007D706A" w:rsidP="00F70508">
            <w:pPr>
              <w:pStyle w:val="ParagraphStyle8"/>
              <w:rPr>
                <w:rStyle w:val="CharacterStyle8"/>
              </w:rPr>
            </w:pPr>
            <w:r>
              <w:rPr>
                <w:rStyle w:val="CharacterStyle8"/>
              </w:rPr>
              <w:t>Ostali prihodi za posebne namjene</w:t>
            </w:r>
          </w:p>
        </w:tc>
        <w:tc>
          <w:tcPr>
            <w:tcW w:w="1395" w:type="dxa"/>
            <w:tcBorders>
              <w:bottom w:val="single" w:sz="6" w:space="0" w:color="000000"/>
              <w:right w:val="single" w:sz="6" w:space="0" w:color="000000"/>
            </w:tcBorders>
            <w:vAlign w:val="center"/>
          </w:tcPr>
          <w:p w14:paraId="47055D0A"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3CF2A91"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DA0BFAA" w14:textId="77777777" w:rsidR="007D706A" w:rsidRDefault="007D706A" w:rsidP="00F70508">
            <w:pPr>
              <w:pStyle w:val="ParagraphStyle9"/>
              <w:rPr>
                <w:rStyle w:val="CharacterStyle9"/>
              </w:rPr>
            </w:pPr>
            <w:r>
              <w:rPr>
                <w:rStyle w:val="CharacterStyle9"/>
              </w:rPr>
              <w:t>30.000,00</w:t>
            </w:r>
          </w:p>
        </w:tc>
        <w:tc>
          <w:tcPr>
            <w:tcW w:w="1395" w:type="dxa"/>
            <w:tcBorders>
              <w:bottom w:val="single" w:sz="6" w:space="0" w:color="000000"/>
              <w:right w:val="single" w:sz="6" w:space="0" w:color="000000"/>
            </w:tcBorders>
            <w:vAlign w:val="center"/>
          </w:tcPr>
          <w:p w14:paraId="0AE59F13" w14:textId="77777777" w:rsidR="007D706A" w:rsidRDefault="007D706A" w:rsidP="00F70508">
            <w:pPr>
              <w:pStyle w:val="ParagraphStyle9"/>
              <w:rPr>
                <w:rStyle w:val="CharacterStyle9"/>
              </w:rPr>
            </w:pPr>
            <w:r>
              <w:rPr>
                <w:rStyle w:val="CharacterStyle9"/>
              </w:rPr>
              <w:t>20.000,00</w:t>
            </w:r>
          </w:p>
        </w:tc>
        <w:tc>
          <w:tcPr>
            <w:tcW w:w="1395" w:type="dxa"/>
            <w:tcBorders>
              <w:bottom w:val="single" w:sz="6" w:space="0" w:color="000000"/>
              <w:right w:val="single" w:sz="6" w:space="0" w:color="000000"/>
            </w:tcBorders>
            <w:vAlign w:val="center"/>
          </w:tcPr>
          <w:p w14:paraId="261445DD" w14:textId="77777777" w:rsidR="007D706A" w:rsidRDefault="007D706A" w:rsidP="00F70508">
            <w:pPr>
              <w:pStyle w:val="ParagraphStyle9"/>
              <w:rPr>
                <w:rStyle w:val="CharacterStyle9"/>
              </w:rPr>
            </w:pPr>
            <w:r>
              <w:rPr>
                <w:rStyle w:val="CharacterStyle9"/>
              </w:rPr>
              <w:t>20.000,00</w:t>
            </w:r>
          </w:p>
        </w:tc>
      </w:tr>
      <w:tr w:rsidR="007D706A" w14:paraId="0C34BEF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3D1F4EC"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48ADC6E5"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4DB40BC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F34507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4FFE581" w14:textId="77777777" w:rsidR="007D706A" w:rsidRDefault="007D706A" w:rsidP="00F70508">
            <w:pPr>
              <w:pStyle w:val="ParagraphStyle12"/>
              <w:rPr>
                <w:rStyle w:val="CharacterStyle12"/>
              </w:rPr>
            </w:pPr>
            <w:r>
              <w:rPr>
                <w:rStyle w:val="CharacterStyle12"/>
              </w:rPr>
              <w:t>30.000,00</w:t>
            </w:r>
          </w:p>
        </w:tc>
        <w:tc>
          <w:tcPr>
            <w:tcW w:w="1395" w:type="dxa"/>
            <w:tcBorders>
              <w:bottom w:val="single" w:sz="6" w:space="0" w:color="000000"/>
              <w:right w:val="single" w:sz="6" w:space="0" w:color="000000"/>
            </w:tcBorders>
            <w:vAlign w:val="center"/>
          </w:tcPr>
          <w:p w14:paraId="481484DE" w14:textId="77777777" w:rsidR="007D706A" w:rsidRDefault="007D706A" w:rsidP="00F70508">
            <w:pPr>
              <w:pStyle w:val="ParagraphStyle12"/>
              <w:rPr>
                <w:rStyle w:val="CharacterStyle12"/>
              </w:rPr>
            </w:pPr>
            <w:r>
              <w:rPr>
                <w:rStyle w:val="CharacterStyle12"/>
              </w:rPr>
              <w:t>20.000,00</w:t>
            </w:r>
          </w:p>
        </w:tc>
        <w:tc>
          <w:tcPr>
            <w:tcW w:w="1395" w:type="dxa"/>
            <w:tcBorders>
              <w:bottom w:val="single" w:sz="6" w:space="0" w:color="000000"/>
              <w:right w:val="single" w:sz="6" w:space="0" w:color="000000"/>
            </w:tcBorders>
            <w:vAlign w:val="center"/>
          </w:tcPr>
          <w:p w14:paraId="563A0DEA" w14:textId="77777777" w:rsidR="007D706A" w:rsidRDefault="007D706A" w:rsidP="00F70508">
            <w:pPr>
              <w:pStyle w:val="ParagraphStyle12"/>
              <w:rPr>
                <w:rStyle w:val="CharacterStyle12"/>
              </w:rPr>
            </w:pPr>
            <w:r>
              <w:rPr>
                <w:rStyle w:val="CharacterStyle12"/>
              </w:rPr>
              <w:t>20.000,00</w:t>
            </w:r>
          </w:p>
        </w:tc>
      </w:tr>
      <w:tr w:rsidR="007D706A" w14:paraId="3632DAB6"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E8F1EB0"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339923AD"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14FA603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44AED6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9839D08" w14:textId="77777777" w:rsidR="007D706A" w:rsidRDefault="007D706A" w:rsidP="00F70508">
            <w:pPr>
              <w:pStyle w:val="ParagraphStyle12"/>
              <w:rPr>
                <w:rStyle w:val="CharacterStyle12"/>
              </w:rPr>
            </w:pPr>
            <w:r>
              <w:rPr>
                <w:rStyle w:val="CharacterStyle12"/>
              </w:rPr>
              <w:t>30.000,00</w:t>
            </w:r>
          </w:p>
        </w:tc>
        <w:tc>
          <w:tcPr>
            <w:tcW w:w="1395" w:type="dxa"/>
            <w:tcBorders>
              <w:bottom w:val="single" w:sz="6" w:space="0" w:color="000000"/>
              <w:right w:val="single" w:sz="6" w:space="0" w:color="000000"/>
            </w:tcBorders>
            <w:vAlign w:val="center"/>
          </w:tcPr>
          <w:p w14:paraId="392C105A" w14:textId="77777777" w:rsidR="007D706A" w:rsidRDefault="007D706A" w:rsidP="00F70508">
            <w:pPr>
              <w:pStyle w:val="ParagraphStyle12"/>
              <w:rPr>
                <w:rStyle w:val="CharacterStyle12"/>
              </w:rPr>
            </w:pPr>
            <w:r>
              <w:rPr>
                <w:rStyle w:val="CharacterStyle12"/>
              </w:rPr>
              <w:t>20.000,00</w:t>
            </w:r>
          </w:p>
        </w:tc>
        <w:tc>
          <w:tcPr>
            <w:tcW w:w="1395" w:type="dxa"/>
            <w:tcBorders>
              <w:bottom w:val="single" w:sz="6" w:space="0" w:color="000000"/>
              <w:right w:val="single" w:sz="6" w:space="0" w:color="000000"/>
            </w:tcBorders>
            <w:vAlign w:val="center"/>
          </w:tcPr>
          <w:p w14:paraId="6A7C1B5E" w14:textId="77777777" w:rsidR="007D706A" w:rsidRDefault="007D706A" w:rsidP="00F70508">
            <w:pPr>
              <w:pStyle w:val="ParagraphStyle12"/>
              <w:rPr>
                <w:rStyle w:val="CharacterStyle12"/>
              </w:rPr>
            </w:pPr>
            <w:r>
              <w:rPr>
                <w:rStyle w:val="CharacterStyle12"/>
              </w:rPr>
              <w:t>20.000,00</w:t>
            </w:r>
          </w:p>
        </w:tc>
      </w:tr>
      <w:tr w:rsidR="007D706A" w14:paraId="14565AAF" w14:textId="77777777" w:rsidTr="00F70508">
        <w:trPr>
          <w:trHeight w:val="405"/>
        </w:trPr>
        <w:tc>
          <w:tcPr>
            <w:tcW w:w="2880" w:type="dxa"/>
            <w:tcBorders>
              <w:left w:val="single" w:sz="6" w:space="0" w:color="000000"/>
              <w:bottom w:val="single" w:sz="6" w:space="0" w:color="000000"/>
              <w:right w:val="single" w:sz="6" w:space="0" w:color="000000"/>
            </w:tcBorders>
            <w:vAlign w:val="center"/>
          </w:tcPr>
          <w:p w14:paraId="57FD51BB" w14:textId="77777777" w:rsidR="007D706A" w:rsidRDefault="007D706A" w:rsidP="00F70508">
            <w:pPr>
              <w:pStyle w:val="ParagraphStyle4"/>
              <w:rPr>
                <w:rStyle w:val="CharacterStyle4"/>
              </w:rPr>
            </w:pPr>
            <w:r>
              <w:rPr>
                <w:rStyle w:val="CharacterStyle4"/>
              </w:rPr>
              <w:t>PROGRAM    1018</w:t>
            </w:r>
          </w:p>
        </w:tc>
        <w:tc>
          <w:tcPr>
            <w:tcW w:w="4995" w:type="dxa"/>
            <w:tcBorders>
              <w:bottom w:val="single" w:sz="6" w:space="0" w:color="000000"/>
              <w:right w:val="single" w:sz="6" w:space="0" w:color="000000"/>
            </w:tcBorders>
            <w:vAlign w:val="center"/>
          </w:tcPr>
          <w:p w14:paraId="2C355611" w14:textId="77777777" w:rsidR="007D706A" w:rsidRDefault="007D706A" w:rsidP="00F70508">
            <w:pPr>
              <w:pStyle w:val="ParagraphStyle5"/>
              <w:rPr>
                <w:rStyle w:val="CharacterStyle5"/>
              </w:rPr>
            </w:pPr>
            <w:r>
              <w:rPr>
                <w:rStyle w:val="CharacterStyle5"/>
              </w:rPr>
              <w:t>IMOVINSKO-PRAVNI ODNOSI VEZANI ZA IZGRADNJU I UREĐENJE</w:t>
            </w:r>
          </w:p>
        </w:tc>
        <w:tc>
          <w:tcPr>
            <w:tcW w:w="1395" w:type="dxa"/>
            <w:tcBorders>
              <w:bottom w:val="single" w:sz="6" w:space="0" w:color="000000"/>
              <w:right w:val="single" w:sz="6" w:space="0" w:color="000000"/>
            </w:tcBorders>
            <w:vAlign w:val="center"/>
          </w:tcPr>
          <w:p w14:paraId="15338991"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75314CC6" w14:textId="77777777" w:rsidR="007D706A" w:rsidRDefault="007D706A" w:rsidP="00F70508">
            <w:pPr>
              <w:pStyle w:val="ParagraphStyle6"/>
              <w:rPr>
                <w:rStyle w:val="CharacterStyle6"/>
              </w:rPr>
            </w:pPr>
            <w:r>
              <w:rPr>
                <w:rStyle w:val="CharacterStyle6"/>
              </w:rPr>
              <w:t>2.458.509,00</w:t>
            </w:r>
          </w:p>
        </w:tc>
        <w:tc>
          <w:tcPr>
            <w:tcW w:w="1395" w:type="dxa"/>
            <w:tcBorders>
              <w:bottom w:val="single" w:sz="6" w:space="0" w:color="000000"/>
              <w:right w:val="single" w:sz="6" w:space="0" w:color="000000"/>
            </w:tcBorders>
            <w:vAlign w:val="center"/>
          </w:tcPr>
          <w:p w14:paraId="7F5B449B" w14:textId="77777777" w:rsidR="007D706A" w:rsidRDefault="007D706A" w:rsidP="00F70508">
            <w:pPr>
              <w:pStyle w:val="ParagraphStyle6"/>
              <w:rPr>
                <w:rStyle w:val="CharacterStyle6"/>
              </w:rPr>
            </w:pPr>
            <w:r>
              <w:rPr>
                <w:rStyle w:val="CharacterStyle6"/>
              </w:rPr>
              <w:t>1.720.966,00</w:t>
            </w:r>
          </w:p>
        </w:tc>
        <w:tc>
          <w:tcPr>
            <w:tcW w:w="1395" w:type="dxa"/>
            <w:tcBorders>
              <w:bottom w:val="single" w:sz="6" w:space="0" w:color="000000"/>
              <w:right w:val="single" w:sz="6" w:space="0" w:color="000000"/>
            </w:tcBorders>
            <w:vAlign w:val="center"/>
          </w:tcPr>
          <w:p w14:paraId="6B63F819" w14:textId="77777777" w:rsidR="007D706A" w:rsidRDefault="007D706A" w:rsidP="00F70508">
            <w:pPr>
              <w:pStyle w:val="ParagraphStyle6"/>
              <w:rPr>
                <w:rStyle w:val="CharacterStyle6"/>
              </w:rPr>
            </w:pPr>
            <w:r>
              <w:rPr>
                <w:rStyle w:val="CharacterStyle6"/>
              </w:rPr>
              <w:t>1.939.690,00</w:t>
            </w:r>
          </w:p>
        </w:tc>
        <w:tc>
          <w:tcPr>
            <w:tcW w:w="1395" w:type="dxa"/>
            <w:tcBorders>
              <w:bottom w:val="single" w:sz="6" w:space="0" w:color="000000"/>
              <w:right w:val="single" w:sz="6" w:space="0" w:color="000000"/>
            </w:tcBorders>
            <w:vAlign w:val="center"/>
          </w:tcPr>
          <w:p w14:paraId="7531D8C8" w14:textId="77777777" w:rsidR="007D706A" w:rsidRDefault="007D706A" w:rsidP="00F70508">
            <w:pPr>
              <w:pStyle w:val="ParagraphStyle6"/>
              <w:rPr>
                <w:rStyle w:val="CharacterStyle6"/>
              </w:rPr>
            </w:pPr>
            <w:r>
              <w:rPr>
                <w:rStyle w:val="CharacterStyle6"/>
              </w:rPr>
              <w:t>2.102.690,00</w:t>
            </w:r>
          </w:p>
        </w:tc>
      </w:tr>
      <w:tr w:rsidR="007D706A" w14:paraId="27C3578D" w14:textId="77777777" w:rsidTr="00F70508">
        <w:trPr>
          <w:trHeight w:val="420"/>
        </w:trPr>
        <w:tc>
          <w:tcPr>
            <w:tcW w:w="2880" w:type="dxa"/>
            <w:tcBorders>
              <w:left w:val="single" w:sz="6" w:space="0" w:color="000000"/>
              <w:bottom w:val="single" w:sz="6" w:space="0" w:color="000000"/>
              <w:right w:val="single" w:sz="6" w:space="0" w:color="000000"/>
            </w:tcBorders>
            <w:vAlign w:val="center"/>
          </w:tcPr>
          <w:p w14:paraId="4FE19FF3" w14:textId="77777777" w:rsidR="007D706A" w:rsidRDefault="007D706A" w:rsidP="00F70508">
            <w:pPr>
              <w:pStyle w:val="ParagraphStyle4"/>
              <w:rPr>
                <w:rStyle w:val="CharacterStyle4"/>
              </w:rPr>
            </w:pPr>
            <w:r>
              <w:rPr>
                <w:rStyle w:val="CharacterStyle4"/>
              </w:rPr>
              <w:t>Kapitalni projekt K101801</w:t>
            </w:r>
          </w:p>
        </w:tc>
        <w:tc>
          <w:tcPr>
            <w:tcW w:w="4995" w:type="dxa"/>
            <w:tcBorders>
              <w:bottom w:val="single" w:sz="6" w:space="0" w:color="000000"/>
              <w:right w:val="single" w:sz="6" w:space="0" w:color="000000"/>
            </w:tcBorders>
            <w:vAlign w:val="center"/>
          </w:tcPr>
          <w:p w14:paraId="1DC205D8" w14:textId="77777777" w:rsidR="007D706A" w:rsidRDefault="007D706A" w:rsidP="00F70508">
            <w:pPr>
              <w:pStyle w:val="ParagraphStyle5"/>
              <w:rPr>
                <w:rStyle w:val="CharacterStyle5"/>
              </w:rPr>
            </w:pPr>
            <w:r>
              <w:rPr>
                <w:rStyle w:val="CharacterStyle5"/>
              </w:rPr>
              <w:t>PRIBAVLJANJE GRAĐEVINSKOG ZEMLJIŠTA ZA POTREBE GRADA</w:t>
            </w:r>
          </w:p>
        </w:tc>
        <w:tc>
          <w:tcPr>
            <w:tcW w:w="1395" w:type="dxa"/>
            <w:tcBorders>
              <w:bottom w:val="single" w:sz="6" w:space="0" w:color="000000"/>
              <w:right w:val="single" w:sz="6" w:space="0" w:color="000000"/>
            </w:tcBorders>
            <w:vAlign w:val="center"/>
          </w:tcPr>
          <w:p w14:paraId="3766FDC5"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0522414B" w14:textId="77777777" w:rsidR="007D706A" w:rsidRDefault="007D706A" w:rsidP="00F70508">
            <w:pPr>
              <w:pStyle w:val="ParagraphStyle6"/>
              <w:rPr>
                <w:rStyle w:val="CharacterStyle6"/>
              </w:rPr>
            </w:pPr>
            <w:r>
              <w:rPr>
                <w:rStyle w:val="CharacterStyle6"/>
              </w:rPr>
              <w:t>663.650,00</w:t>
            </w:r>
          </w:p>
        </w:tc>
        <w:tc>
          <w:tcPr>
            <w:tcW w:w="1395" w:type="dxa"/>
            <w:tcBorders>
              <w:bottom w:val="single" w:sz="6" w:space="0" w:color="000000"/>
              <w:right w:val="single" w:sz="6" w:space="0" w:color="000000"/>
            </w:tcBorders>
            <w:vAlign w:val="center"/>
          </w:tcPr>
          <w:p w14:paraId="0E2F7BBE" w14:textId="77777777" w:rsidR="007D706A" w:rsidRDefault="007D706A" w:rsidP="00F70508">
            <w:pPr>
              <w:pStyle w:val="ParagraphStyle6"/>
              <w:rPr>
                <w:rStyle w:val="CharacterStyle6"/>
              </w:rPr>
            </w:pPr>
            <w:r>
              <w:rPr>
                <w:rStyle w:val="CharacterStyle6"/>
              </w:rPr>
              <w:t>265.450,00</w:t>
            </w:r>
          </w:p>
        </w:tc>
        <w:tc>
          <w:tcPr>
            <w:tcW w:w="1395" w:type="dxa"/>
            <w:tcBorders>
              <w:bottom w:val="single" w:sz="6" w:space="0" w:color="000000"/>
              <w:right w:val="single" w:sz="6" w:space="0" w:color="000000"/>
            </w:tcBorders>
            <w:vAlign w:val="center"/>
          </w:tcPr>
          <w:p w14:paraId="4EAAE2EB" w14:textId="77777777" w:rsidR="007D706A" w:rsidRDefault="007D706A" w:rsidP="00F70508">
            <w:pPr>
              <w:pStyle w:val="ParagraphStyle6"/>
              <w:rPr>
                <w:rStyle w:val="CharacterStyle6"/>
              </w:rPr>
            </w:pPr>
            <w:r>
              <w:rPr>
                <w:rStyle w:val="CharacterStyle6"/>
              </w:rPr>
              <w:t>335.500,00</w:t>
            </w:r>
          </w:p>
        </w:tc>
        <w:tc>
          <w:tcPr>
            <w:tcW w:w="1395" w:type="dxa"/>
            <w:tcBorders>
              <w:bottom w:val="single" w:sz="6" w:space="0" w:color="000000"/>
              <w:right w:val="single" w:sz="6" w:space="0" w:color="000000"/>
            </w:tcBorders>
            <w:vAlign w:val="center"/>
          </w:tcPr>
          <w:p w14:paraId="0CD0225F" w14:textId="77777777" w:rsidR="007D706A" w:rsidRDefault="007D706A" w:rsidP="00F70508">
            <w:pPr>
              <w:pStyle w:val="ParagraphStyle6"/>
              <w:rPr>
                <w:rStyle w:val="CharacterStyle6"/>
              </w:rPr>
            </w:pPr>
            <w:r>
              <w:rPr>
                <w:rStyle w:val="CharacterStyle6"/>
              </w:rPr>
              <w:t>415.500,00</w:t>
            </w:r>
          </w:p>
        </w:tc>
      </w:tr>
      <w:tr w:rsidR="007D706A" w14:paraId="4BED3DF2" w14:textId="77777777" w:rsidTr="00F70508">
        <w:trPr>
          <w:trHeight w:val="405"/>
        </w:trPr>
        <w:tc>
          <w:tcPr>
            <w:tcW w:w="2880" w:type="dxa"/>
            <w:tcBorders>
              <w:left w:val="single" w:sz="6" w:space="0" w:color="000000"/>
              <w:bottom w:val="single" w:sz="6" w:space="0" w:color="000000"/>
              <w:right w:val="single" w:sz="6" w:space="0" w:color="000000"/>
            </w:tcBorders>
            <w:vAlign w:val="center"/>
          </w:tcPr>
          <w:p w14:paraId="0C02892D" w14:textId="77777777" w:rsidR="007D706A" w:rsidRDefault="007D706A" w:rsidP="00F70508">
            <w:pPr>
              <w:pStyle w:val="ParagraphStyle7"/>
              <w:rPr>
                <w:rStyle w:val="CharacterStyle7"/>
              </w:rPr>
            </w:pPr>
            <w:r>
              <w:rPr>
                <w:rStyle w:val="CharacterStyle7"/>
              </w:rPr>
              <w:t>Izvor financiranja 71</w:t>
            </w:r>
          </w:p>
        </w:tc>
        <w:tc>
          <w:tcPr>
            <w:tcW w:w="4995" w:type="dxa"/>
            <w:tcBorders>
              <w:bottom w:val="single" w:sz="6" w:space="0" w:color="000000"/>
              <w:right w:val="single" w:sz="6" w:space="0" w:color="000000"/>
            </w:tcBorders>
            <w:vAlign w:val="center"/>
          </w:tcPr>
          <w:p w14:paraId="58554BBA" w14:textId="77777777" w:rsidR="007D706A" w:rsidRDefault="007D706A" w:rsidP="00F70508">
            <w:pPr>
              <w:pStyle w:val="ParagraphStyle8"/>
              <w:rPr>
                <w:rStyle w:val="CharacterStyle8"/>
              </w:rPr>
            </w:pPr>
            <w:r>
              <w:rPr>
                <w:rStyle w:val="CharacterStyle8"/>
              </w:rPr>
              <w:t>Prihodi od prodaje ili zamjene nefinancijske imovine i naknade s naslova osiguranja</w:t>
            </w:r>
          </w:p>
        </w:tc>
        <w:tc>
          <w:tcPr>
            <w:tcW w:w="1395" w:type="dxa"/>
            <w:tcBorders>
              <w:bottom w:val="single" w:sz="6" w:space="0" w:color="000000"/>
              <w:right w:val="single" w:sz="6" w:space="0" w:color="000000"/>
            </w:tcBorders>
            <w:vAlign w:val="center"/>
          </w:tcPr>
          <w:p w14:paraId="5B470A3E"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F60C709" w14:textId="77777777" w:rsidR="007D706A" w:rsidRDefault="007D706A" w:rsidP="00F70508">
            <w:pPr>
              <w:pStyle w:val="ParagraphStyle9"/>
              <w:rPr>
                <w:rStyle w:val="CharacterStyle9"/>
              </w:rPr>
            </w:pPr>
            <w:r>
              <w:rPr>
                <w:rStyle w:val="CharacterStyle9"/>
              </w:rPr>
              <w:t>663.650,00</w:t>
            </w:r>
          </w:p>
        </w:tc>
        <w:tc>
          <w:tcPr>
            <w:tcW w:w="1395" w:type="dxa"/>
            <w:tcBorders>
              <w:bottom w:val="single" w:sz="6" w:space="0" w:color="000000"/>
              <w:right w:val="single" w:sz="6" w:space="0" w:color="000000"/>
            </w:tcBorders>
            <w:vAlign w:val="center"/>
          </w:tcPr>
          <w:p w14:paraId="4EC08E4B" w14:textId="77777777" w:rsidR="007D706A" w:rsidRDefault="007D706A" w:rsidP="00F70508">
            <w:pPr>
              <w:pStyle w:val="ParagraphStyle9"/>
              <w:rPr>
                <w:rStyle w:val="CharacterStyle9"/>
              </w:rPr>
            </w:pPr>
            <w:r>
              <w:rPr>
                <w:rStyle w:val="CharacterStyle9"/>
              </w:rPr>
              <w:t>265.450,00</w:t>
            </w:r>
          </w:p>
        </w:tc>
        <w:tc>
          <w:tcPr>
            <w:tcW w:w="1395" w:type="dxa"/>
            <w:tcBorders>
              <w:bottom w:val="single" w:sz="6" w:space="0" w:color="000000"/>
              <w:right w:val="single" w:sz="6" w:space="0" w:color="000000"/>
            </w:tcBorders>
            <w:vAlign w:val="center"/>
          </w:tcPr>
          <w:p w14:paraId="4C1FADE9" w14:textId="77777777" w:rsidR="007D706A" w:rsidRDefault="007D706A" w:rsidP="00F70508">
            <w:pPr>
              <w:pStyle w:val="ParagraphStyle9"/>
              <w:rPr>
                <w:rStyle w:val="CharacterStyle9"/>
              </w:rPr>
            </w:pPr>
            <w:r>
              <w:rPr>
                <w:rStyle w:val="CharacterStyle9"/>
              </w:rPr>
              <w:t>335.500,00</w:t>
            </w:r>
          </w:p>
        </w:tc>
        <w:tc>
          <w:tcPr>
            <w:tcW w:w="1395" w:type="dxa"/>
            <w:tcBorders>
              <w:bottom w:val="single" w:sz="6" w:space="0" w:color="000000"/>
              <w:right w:val="single" w:sz="6" w:space="0" w:color="000000"/>
            </w:tcBorders>
            <w:vAlign w:val="center"/>
          </w:tcPr>
          <w:p w14:paraId="765F953D" w14:textId="77777777" w:rsidR="007D706A" w:rsidRDefault="007D706A" w:rsidP="00F70508">
            <w:pPr>
              <w:pStyle w:val="ParagraphStyle9"/>
              <w:rPr>
                <w:rStyle w:val="CharacterStyle9"/>
              </w:rPr>
            </w:pPr>
            <w:r>
              <w:rPr>
                <w:rStyle w:val="CharacterStyle9"/>
              </w:rPr>
              <w:t>415.500,00</w:t>
            </w:r>
          </w:p>
        </w:tc>
      </w:tr>
      <w:tr w:rsidR="007D706A" w14:paraId="5531FDE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76E3F42"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0B7DB8B9"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71243A5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5DF1119" w14:textId="77777777" w:rsidR="007D706A" w:rsidRDefault="007D706A" w:rsidP="00F70508">
            <w:pPr>
              <w:pStyle w:val="ParagraphStyle12"/>
              <w:rPr>
                <w:rStyle w:val="CharacterStyle12"/>
              </w:rPr>
            </w:pPr>
            <w:r>
              <w:rPr>
                <w:rStyle w:val="CharacterStyle12"/>
              </w:rPr>
              <w:t>663.650,00</w:t>
            </w:r>
          </w:p>
        </w:tc>
        <w:tc>
          <w:tcPr>
            <w:tcW w:w="1395" w:type="dxa"/>
            <w:tcBorders>
              <w:bottom w:val="single" w:sz="6" w:space="0" w:color="000000"/>
              <w:right w:val="single" w:sz="6" w:space="0" w:color="000000"/>
            </w:tcBorders>
            <w:vAlign w:val="center"/>
          </w:tcPr>
          <w:p w14:paraId="299F985E" w14:textId="77777777" w:rsidR="007D706A" w:rsidRDefault="007D706A" w:rsidP="00F70508">
            <w:pPr>
              <w:pStyle w:val="ParagraphStyle12"/>
              <w:rPr>
                <w:rStyle w:val="CharacterStyle12"/>
              </w:rPr>
            </w:pPr>
            <w:r>
              <w:rPr>
                <w:rStyle w:val="CharacterStyle12"/>
              </w:rPr>
              <w:t>265.450,00</w:t>
            </w:r>
          </w:p>
        </w:tc>
        <w:tc>
          <w:tcPr>
            <w:tcW w:w="1395" w:type="dxa"/>
            <w:tcBorders>
              <w:bottom w:val="single" w:sz="6" w:space="0" w:color="000000"/>
              <w:right w:val="single" w:sz="6" w:space="0" w:color="000000"/>
            </w:tcBorders>
            <w:vAlign w:val="center"/>
          </w:tcPr>
          <w:p w14:paraId="6AA50F09" w14:textId="77777777" w:rsidR="007D706A" w:rsidRDefault="007D706A" w:rsidP="00F70508">
            <w:pPr>
              <w:pStyle w:val="ParagraphStyle12"/>
              <w:rPr>
                <w:rStyle w:val="CharacterStyle12"/>
              </w:rPr>
            </w:pPr>
            <w:r>
              <w:rPr>
                <w:rStyle w:val="CharacterStyle12"/>
              </w:rPr>
              <w:t>335.500,00</w:t>
            </w:r>
          </w:p>
        </w:tc>
        <w:tc>
          <w:tcPr>
            <w:tcW w:w="1395" w:type="dxa"/>
            <w:tcBorders>
              <w:bottom w:val="single" w:sz="6" w:space="0" w:color="000000"/>
              <w:right w:val="single" w:sz="6" w:space="0" w:color="000000"/>
            </w:tcBorders>
            <w:vAlign w:val="center"/>
          </w:tcPr>
          <w:p w14:paraId="593EB1A5" w14:textId="77777777" w:rsidR="007D706A" w:rsidRDefault="007D706A" w:rsidP="00F70508">
            <w:pPr>
              <w:pStyle w:val="ParagraphStyle12"/>
              <w:rPr>
                <w:rStyle w:val="CharacterStyle12"/>
              </w:rPr>
            </w:pPr>
            <w:r>
              <w:rPr>
                <w:rStyle w:val="CharacterStyle12"/>
              </w:rPr>
              <w:t>415.500,00</w:t>
            </w:r>
          </w:p>
        </w:tc>
      </w:tr>
      <w:tr w:rsidR="007D706A" w14:paraId="0B8F976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9E75804" w14:textId="77777777" w:rsidR="007D706A" w:rsidRDefault="007D706A" w:rsidP="00F70508">
            <w:pPr>
              <w:pStyle w:val="ParagraphStyle10"/>
              <w:rPr>
                <w:rStyle w:val="CharacterStyle10"/>
              </w:rPr>
            </w:pPr>
            <w:r>
              <w:rPr>
                <w:rStyle w:val="CharacterStyle10"/>
              </w:rPr>
              <w:t>41</w:t>
            </w:r>
          </w:p>
        </w:tc>
        <w:tc>
          <w:tcPr>
            <w:tcW w:w="4995" w:type="dxa"/>
            <w:tcBorders>
              <w:bottom w:val="single" w:sz="6" w:space="0" w:color="000000"/>
              <w:right w:val="single" w:sz="6" w:space="0" w:color="000000"/>
            </w:tcBorders>
            <w:vAlign w:val="center"/>
          </w:tcPr>
          <w:p w14:paraId="3B289960" w14:textId="77777777" w:rsidR="007D706A" w:rsidRDefault="007D706A" w:rsidP="00F70508">
            <w:pPr>
              <w:pStyle w:val="ParagraphStyle11"/>
              <w:rPr>
                <w:rStyle w:val="CharacterStyle11"/>
              </w:rPr>
            </w:pPr>
            <w:r>
              <w:rPr>
                <w:rStyle w:val="CharacterStyle11"/>
              </w:rPr>
              <w:t>Rashodi za nabavu neproizvedene dugotrajne imovine</w:t>
            </w:r>
          </w:p>
        </w:tc>
        <w:tc>
          <w:tcPr>
            <w:tcW w:w="1395" w:type="dxa"/>
            <w:tcBorders>
              <w:bottom w:val="single" w:sz="6" w:space="0" w:color="000000"/>
              <w:right w:val="single" w:sz="6" w:space="0" w:color="000000"/>
            </w:tcBorders>
            <w:vAlign w:val="center"/>
          </w:tcPr>
          <w:p w14:paraId="1F90BE8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EEA4C43" w14:textId="77777777" w:rsidR="007D706A" w:rsidRDefault="007D706A" w:rsidP="00F70508">
            <w:pPr>
              <w:pStyle w:val="ParagraphStyle12"/>
              <w:rPr>
                <w:rStyle w:val="CharacterStyle12"/>
              </w:rPr>
            </w:pPr>
            <w:r>
              <w:rPr>
                <w:rStyle w:val="CharacterStyle12"/>
              </w:rPr>
              <w:t>663.650,00</w:t>
            </w:r>
          </w:p>
        </w:tc>
        <w:tc>
          <w:tcPr>
            <w:tcW w:w="1395" w:type="dxa"/>
            <w:tcBorders>
              <w:bottom w:val="single" w:sz="6" w:space="0" w:color="000000"/>
              <w:right w:val="single" w:sz="6" w:space="0" w:color="000000"/>
            </w:tcBorders>
            <w:vAlign w:val="center"/>
          </w:tcPr>
          <w:p w14:paraId="4D7C6C8C" w14:textId="77777777" w:rsidR="007D706A" w:rsidRDefault="007D706A" w:rsidP="00F70508">
            <w:pPr>
              <w:pStyle w:val="ParagraphStyle12"/>
              <w:rPr>
                <w:rStyle w:val="CharacterStyle12"/>
              </w:rPr>
            </w:pPr>
            <w:r>
              <w:rPr>
                <w:rStyle w:val="CharacterStyle12"/>
              </w:rPr>
              <w:t>265.450,00</w:t>
            </w:r>
          </w:p>
        </w:tc>
        <w:tc>
          <w:tcPr>
            <w:tcW w:w="1395" w:type="dxa"/>
            <w:tcBorders>
              <w:bottom w:val="single" w:sz="6" w:space="0" w:color="000000"/>
              <w:right w:val="single" w:sz="6" w:space="0" w:color="000000"/>
            </w:tcBorders>
            <w:vAlign w:val="center"/>
          </w:tcPr>
          <w:p w14:paraId="395D1844" w14:textId="77777777" w:rsidR="007D706A" w:rsidRDefault="007D706A" w:rsidP="00F70508">
            <w:pPr>
              <w:pStyle w:val="ParagraphStyle12"/>
              <w:rPr>
                <w:rStyle w:val="CharacterStyle12"/>
              </w:rPr>
            </w:pPr>
            <w:r>
              <w:rPr>
                <w:rStyle w:val="CharacterStyle12"/>
              </w:rPr>
              <w:t>335.500,00</w:t>
            </w:r>
          </w:p>
        </w:tc>
        <w:tc>
          <w:tcPr>
            <w:tcW w:w="1395" w:type="dxa"/>
            <w:tcBorders>
              <w:bottom w:val="single" w:sz="6" w:space="0" w:color="000000"/>
              <w:right w:val="single" w:sz="6" w:space="0" w:color="000000"/>
            </w:tcBorders>
            <w:vAlign w:val="center"/>
          </w:tcPr>
          <w:p w14:paraId="4378C7A3" w14:textId="77777777" w:rsidR="007D706A" w:rsidRDefault="007D706A" w:rsidP="00F70508">
            <w:pPr>
              <w:pStyle w:val="ParagraphStyle12"/>
              <w:rPr>
                <w:rStyle w:val="CharacterStyle12"/>
              </w:rPr>
            </w:pPr>
            <w:r>
              <w:rPr>
                <w:rStyle w:val="CharacterStyle12"/>
              </w:rPr>
              <w:t>415.500,00</w:t>
            </w:r>
          </w:p>
        </w:tc>
      </w:tr>
      <w:tr w:rsidR="007D706A" w14:paraId="11332AE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EAF0B94" w14:textId="77777777" w:rsidR="007D706A" w:rsidRDefault="007D706A" w:rsidP="00F70508">
            <w:pPr>
              <w:pStyle w:val="ParagraphStyle4"/>
              <w:rPr>
                <w:rStyle w:val="CharacterStyle4"/>
              </w:rPr>
            </w:pPr>
            <w:r>
              <w:rPr>
                <w:rStyle w:val="CharacterStyle4"/>
              </w:rPr>
              <w:t>Kapitalni projekt K101802</w:t>
            </w:r>
          </w:p>
        </w:tc>
        <w:tc>
          <w:tcPr>
            <w:tcW w:w="4995" w:type="dxa"/>
            <w:tcBorders>
              <w:bottom w:val="single" w:sz="6" w:space="0" w:color="000000"/>
              <w:right w:val="single" w:sz="6" w:space="0" w:color="000000"/>
            </w:tcBorders>
            <w:vAlign w:val="center"/>
          </w:tcPr>
          <w:p w14:paraId="3C5BEE1B" w14:textId="77777777" w:rsidR="007D706A" w:rsidRDefault="007D706A" w:rsidP="00F70508">
            <w:pPr>
              <w:pStyle w:val="ParagraphStyle5"/>
              <w:rPr>
                <w:rStyle w:val="CharacterStyle5"/>
              </w:rPr>
            </w:pPr>
            <w:r>
              <w:rPr>
                <w:rStyle w:val="CharacterStyle5"/>
              </w:rPr>
              <w:t>ZAMJENA ZEMLJIŠTA</w:t>
            </w:r>
          </w:p>
        </w:tc>
        <w:tc>
          <w:tcPr>
            <w:tcW w:w="1395" w:type="dxa"/>
            <w:tcBorders>
              <w:bottom w:val="single" w:sz="6" w:space="0" w:color="000000"/>
              <w:right w:val="single" w:sz="6" w:space="0" w:color="000000"/>
            </w:tcBorders>
            <w:vAlign w:val="center"/>
          </w:tcPr>
          <w:p w14:paraId="2DCA4445"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43A9E954"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68690252" w14:textId="77777777" w:rsidR="007D706A" w:rsidRDefault="007D706A" w:rsidP="00F70508">
            <w:pPr>
              <w:pStyle w:val="ParagraphStyle6"/>
              <w:rPr>
                <w:rStyle w:val="CharacterStyle6"/>
              </w:rPr>
            </w:pPr>
            <w:r>
              <w:rPr>
                <w:rStyle w:val="CharacterStyle6"/>
              </w:rPr>
              <w:t>398.200,00</w:t>
            </w:r>
          </w:p>
        </w:tc>
        <w:tc>
          <w:tcPr>
            <w:tcW w:w="1395" w:type="dxa"/>
            <w:tcBorders>
              <w:bottom w:val="single" w:sz="6" w:space="0" w:color="000000"/>
              <w:right w:val="single" w:sz="6" w:space="0" w:color="000000"/>
            </w:tcBorders>
            <w:vAlign w:val="center"/>
          </w:tcPr>
          <w:p w14:paraId="1F8AF695" w14:textId="77777777" w:rsidR="007D706A" w:rsidRDefault="007D706A" w:rsidP="00F70508">
            <w:pPr>
              <w:pStyle w:val="ParagraphStyle6"/>
              <w:rPr>
                <w:rStyle w:val="CharacterStyle6"/>
              </w:rPr>
            </w:pPr>
            <w:r>
              <w:rPr>
                <w:rStyle w:val="CharacterStyle6"/>
              </w:rPr>
              <w:t>398.200,00</w:t>
            </w:r>
          </w:p>
        </w:tc>
        <w:tc>
          <w:tcPr>
            <w:tcW w:w="1395" w:type="dxa"/>
            <w:tcBorders>
              <w:bottom w:val="single" w:sz="6" w:space="0" w:color="000000"/>
              <w:right w:val="single" w:sz="6" w:space="0" w:color="000000"/>
            </w:tcBorders>
            <w:vAlign w:val="center"/>
          </w:tcPr>
          <w:p w14:paraId="31227019" w14:textId="77777777" w:rsidR="007D706A" w:rsidRDefault="007D706A" w:rsidP="00F70508">
            <w:pPr>
              <w:pStyle w:val="ParagraphStyle6"/>
              <w:rPr>
                <w:rStyle w:val="CharacterStyle6"/>
              </w:rPr>
            </w:pPr>
            <w:r>
              <w:rPr>
                <w:rStyle w:val="CharacterStyle6"/>
              </w:rPr>
              <w:t>398.200,00</w:t>
            </w:r>
          </w:p>
        </w:tc>
      </w:tr>
      <w:tr w:rsidR="007D706A" w14:paraId="4FFBA349" w14:textId="77777777" w:rsidTr="00F70508">
        <w:trPr>
          <w:trHeight w:val="420"/>
        </w:trPr>
        <w:tc>
          <w:tcPr>
            <w:tcW w:w="2880" w:type="dxa"/>
            <w:tcBorders>
              <w:left w:val="single" w:sz="6" w:space="0" w:color="000000"/>
              <w:bottom w:val="single" w:sz="6" w:space="0" w:color="000000"/>
              <w:right w:val="single" w:sz="6" w:space="0" w:color="000000"/>
            </w:tcBorders>
            <w:vAlign w:val="center"/>
          </w:tcPr>
          <w:p w14:paraId="7300AB43" w14:textId="77777777" w:rsidR="007D706A" w:rsidRDefault="007D706A" w:rsidP="00F70508">
            <w:pPr>
              <w:pStyle w:val="ParagraphStyle7"/>
              <w:rPr>
                <w:rStyle w:val="CharacterStyle7"/>
              </w:rPr>
            </w:pPr>
            <w:r>
              <w:rPr>
                <w:rStyle w:val="CharacterStyle7"/>
              </w:rPr>
              <w:t>Izvor financiranja 71</w:t>
            </w:r>
          </w:p>
        </w:tc>
        <w:tc>
          <w:tcPr>
            <w:tcW w:w="4995" w:type="dxa"/>
            <w:tcBorders>
              <w:bottom w:val="single" w:sz="6" w:space="0" w:color="000000"/>
              <w:right w:val="single" w:sz="6" w:space="0" w:color="000000"/>
            </w:tcBorders>
            <w:vAlign w:val="center"/>
          </w:tcPr>
          <w:p w14:paraId="7BB72C03" w14:textId="77777777" w:rsidR="007D706A" w:rsidRDefault="007D706A" w:rsidP="00F70508">
            <w:pPr>
              <w:pStyle w:val="ParagraphStyle8"/>
              <w:rPr>
                <w:rStyle w:val="CharacterStyle8"/>
              </w:rPr>
            </w:pPr>
            <w:r>
              <w:rPr>
                <w:rStyle w:val="CharacterStyle8"/>
              </w:rPr>
              <w:t>Prihodi od prodaje ili zamjene nefinancijske imovine i naknade s naslova osiguranja</w:t>
            </w:r>
          </w:p>
        </w:tc>
        <w:tc>
          <w:tcPr>
            <w:tcW w:w="1395" w:type="dxa"/>
            <w:tcBorders>
              <w:bottom w:val="single" w:sz="6" w:space="0" w:color="000000"/>
              <w:right w:val="single" w:sz="6" w:space="0" w:color="000000"/>
            </w:tcBorders>
            <w:vAlign w:val="center"/>
          </w:tcPr>
          <w:p w14:paraId="3D2066E7"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F18707B"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79FD9E1" w14:textId="77777777" w:rsidR="007D706A" w:rsidRDefault="007D706A" w:rsidP="00F70508">
            <w:pPr>
              <w:pStyle w:val="ParagraphStyle9"/>
              <w:rPr>
                <w:rStyle w:val="CharacterStyle9"/>
              </w:rPr>
            </w:pPr>
            <w:r>
              <w:rPr>
                <w:rStyle w:val="CharacterStyle9"/>
              </w:rPr>
              <w:t>398.200,00</w:t>
            </w:r>
          </w:p>
        </w:tc>
        <w:tc>
          <w:tcPr>
            <w:tcW w:w="1395" w:type="dxa"/>
            <w:tcBorders>
              <w:bottom w:val="single" w:sz="6" w:space="0" w:color="000000"/>
              <w:right w:val="single" w:sz="6" w:space="0" w:color="000000"/>
            </w:tcBorders>
            <w:vAlign w:val="center"/>
          </w:tcPr>
          <w:p w14:paraId="1A765340" w14:textId="77777777" w:rsidR="007D706A" w:rsidRDefault="007D706A" w:rsidP="00F70508">
            <w:pPr>
              <w:pStyle w:val="ParagraphStyle9"/>
              <w:rPr>
                <w:rStyle w:val="CharacterStyle9"/>
              </w:rPr>
            </w:pPr>
            <w:r>
              <w:rPr>
                <w:rStyle w:val="CharacterStyle9"/>
              </w:rPr>
              <w:t>398.200,00</w:t>
            </w:r>
          </w:p>
        </w:tc>
        <w:tc>
          <w:tcPr>
            <w:tcW w:w="1395" w:type="dxa"/>
            <w:tcBorders>
              <w:bottom w:val="single" w:sz="6" w:space="0" w:color="000000"/>
              <w:right w:val="single" w:sz="6" w:space="0" w:color="000000"/>
            </w:tcBorders>
            <w:vAlign w:val="center"/>
          </w:tcPr>
          <w:p w14:paraId="48646ECE" w14:textId="77777777" w:rsidR="007D706A" w:rsidRDefault="007D706A" w:rsidP="00F70508">
            <w:pPr>
              <w:pStyle w:val="ParagraphStyle9"/>
              <w:rPr>
                <w:rStyle w:val="CharacterStyle9"/>
              </w:rPr>
            </w:pPr>
            <w:r>
              <w:rPr>
                <w:rStyle w:val="CharacterStyle9"/>
              </w:rPr>
              <w:t>398.200,00</w:t>
            </w:r>
          </w:p>
        </w:tc>
      </w:tr>
      <w:tr w:rsidR="007D706A" w14:paraId="4CB225F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3B4082E"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2CAA8C54"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25D62E2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4B5A4D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781FD62" w14:textId="77777777" w:rsidR="007D706A" w:rsidRDefault="007D706A" w:rsidP="00F70508">
            <w:pPr>
              <w:pStyle w:val="ParagraphStyle12"/>
              <w:rPr>
                <w:rStyle w:val="CharacterStyle12"/>
              </w:rPr>
            </w:pPr>
            <w:r>
              <w:rPr>
                <w:rStyle w:val="CharacterStyle12"/>
              </w:rPr>
              <w:t>398.200,00</w:t>
            </w:r>
          </w:p>
        </w:tc>
        <w:tc>
          <w:tcPr>
            <w:tcW w:w="1395" w:type="dxa"/>
            <w:tcBorders>
              <w:bottom w:val="single" w:sz="6" w:space="0" w:color="000000"/>
              <w:right w:val="single" w:sz="6" w:space="0" w:color="000000"/>
            </w:tcBorders>
            <w:vAlign w:val="center"/>
          </w:tcPr>
          <w:p w14:paraId="00E28FAB" w14:textId="77777777" w:rsidR="007D706A" w:rsidRDefault="007D706A" w:rsidP="00F70508">
            <w:pPr>
              <w:pStyle w:val="ParagraphStyle12"/>
              <w:rPr>
                <w:rStyle w:val="CharacterStyle12"/>
              </w:rPr>
            </w:pPr>
            <w:r>
              <w:rPr>
                <w:rStyle w:val="CharacterStyle12"/>
              </w:rPr>
              <w:t>398.200,00</w:t>
            </w:r>
          </w:p>
        </w:tc>
        <w:tc>
          <w:tcPr>
            <w:tcW w:w="1395" w:type="dxa"/>
            <w:tcBorders>
              <w:bottom w:val="single" w:sz="6" w:space="0" w:color="000000"/>
              <w:right w:val="single" w:sz="6" w:space="0" w:color="000000"/>
            </w:tcBorders>
            <w:vAlign w:val="center"/>
          </w:tcPr>
          <w:p w14:paraId="0EAE384A" w14:textId="77777777" w:rsidR="007D706A" w:rsidRDefault="007D706A" w:rsidP="00F70508">
            <w:pPr>
              <w:pStyle w:val="ParagraphStyle12"/>
              <w:rPr>
                <w:rStyle w:val="CharacterStyle12"/>
              </w:rPr>
            </w:pPr>
            <w:r>
              <w:rPr>
                <w:rStyle w:val="CharacterStyle12"/>
              </w:rPr>
              <w:t>398.200,00</w:t>
            </w:r>
          </w:p>
        </w:tc>
      </w:tr>
      <w:tr w:rsidR="007D706A" w14:paraId="22D2E63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966FA63" w14:textId="77777777" w:rsidR="007D706A" w:rsidRDefault="007D706A" w:rsidP="00F70508">
            <w:pPr>
              <w:pStyle w:val="ParagraphStyle10"/>
              <w:rPr>
                <w:rStyle w:val="CharacterStyle10"/>
              </w:rPr>
            </w:pPr>
            <w:r>
              <w:rPr>
                <w:rStyle w:val="CharacterStyle10"/>
              </w:rPr>
              <w:t>41</w:t>
            </w:r>
          </w:p>
        </w:tc>
        <w:tc>
          <w:tcPr>
            <w:tcW w:w="4995" w:type="dxa"/>
            <w:tcBorders>
              <w:bottom w:val="single" w:sz="6" w:space="0" w:color="000000"/>
              <w:right w:val="single" w:sz="6" w:space="0" w:color="000000"/>
            </w:tcBorders>
            <w:vAlign w:val="center"/>
          </w:tcPr>
          <w:p w14:paraId="2EA089F9" w14:textId="77777777" w:rsidR="007D706A" w:rsidRDefault="007D706A" w:rsidP="00F70508">
            <w:pPr>
              <w:pStyle w:val="ParagraphStyle11"/>
              <w:rPr>
                <w:rStyle w:val="CharacterStyle11"/>
              </w:rPr>
            </w:pPr>
            <w:r>
              <w:rPr>
                <w:rStyle w:val="CharacterStyle11"/>
              </w:rPr>
              <w:t>Rashodi za nabavu neproizvedene dugotrajne imovine</w:t>
            </w:r>
          </w:p>
        </w:tc>
        <w:tc>
          <w:tcPr>
            <w:tcW w:w="1395" w:type="dxa"/>
            <w:tcBorders>
              <w:bottom w:val="single" w:sz="6" w:space="0" w:color="000000"/>
              <w:right w:val="single" w:sz="6" w:space="0" w:color="000000"/>
            </w:tcBorders>
            <w:vAlign w:val="center"/>
          </w:tcPr>
          <w:p w14:paraId="5FD9DF6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45CA3B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100DABA" w14:textId="77777777" w:rsidR="007D706A" w:rsidRDefault="007D706A" w:rsidP="00F70508">
            <w:pPr>
              <w:pStyle w:val="ParagraphStyle12"/>
              <w:rPr>
                <w:rStyle w:val="CharacterStyle12"/>
              </w:rPr>
            </w:pPr>
            <w:r>
              <w:rPr>
                <w:rStyle w:val="CharacterStyle12"/>
              </w:rPr>
              <w:t>398.200,00</w:t>
            </w:r>
          </w:p>
        </w:tc>
        <w:tc>
          <w:tcPr>
            <w:tcW w:w="1395" w:type="dxa"/>
            <w:tcBorders>
              <w:bottom w:val="single" w:sz="6" w:space="0" w:color="000000"/>
              <w:right w:val="single" w:sz="6" w:space="0" w:color="000000"/>
            </w:tcBorders>
            <w:vAlign w:val="center"/>
          </w:tcPr>
          <w:p w14:paraId="08D3DD1A" w14:textId="77777777" w:rsidR="007D706A" w:rsidRDefault="007D706A" w:rsidP="00F70508">
            <w:pPr>
              <w:pStyle w:val="ParagraphStyle12"/>
              <w:rPr>
                <w:rStyle w:val="CharacterStyle12"/>
              </w:rPr>
            </w:pPr>
            <w:r>
              <w:rPr>
                <w:rStyle w:val="CharacterStyle12"/>
              </w:rPr>
              <w:t>398.200,00</w:t>
            </w:r>
          </w:p>
        </w:tc>
        <w:tc>
          <w:tcPr>
            <w:tcW w:w="1395" w:type="dxa"/>
            <w:tcBorders>
              <w:bottom w:val="single" w:sz="6" w:space="0" w:color="000000"/>
              <w:right w:val="single" w:sz="6" w:space="0" w:color="000000"/>
            </w:tcBorders>
            <w:vAlign w:val="center"/>
          </w:tcPr>
          <w:p w14:paraId="42D5E585" w14:textId="77777777" w:rsidR="007D706A" w:rsidRDefault="007D706A" w:rsidP="00F70508">
            <w:pPr>
              <w:pStyle w:val="ParagraphStyle12"/>
              <w:rPr>
                <w:rStyle w:val="CharacterStyle12"/>
              </w:rPr>
            </w:pPr>
            <w:r>
              <w:rPr>
                <w:rStyle w:val="CharacterStyle12"/>
              </w:rPr>
              <w:t>398.200,00</w:t>
            </w:r>
          </w:p>
        </w:tc>
      </w:tr>
      <w:tr w:rsidR="007D706A" w14:paraId="3A0C1BB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FD605ED" w14:textId="77777777" w:rsidR="007D706A" w:rsidRDefault="007D706A" w:rsidP="00F70508">
            <w:pPr>
              <w:pStyle w:val="ParagraphStyle4"/>
              <w:rPr>
                <w:rStyle w:val="CharacterStyle4"/>
              </w:rPr>
            </w:pPr>
            <w:r>
              <w:rPr>
                <w:rStyle w:val="CharacterStyle4"/>
              </w:rPr>
              <w:t>Kapitalni projekt K101803</w:t>
            </w:r>
          </w:p>
        </w:tc>
        <w:tc>
          <w:tcPr>
            <w:tcW w:w="4995" w:type="dxa"/>
            <w:tcBorders>
              <w:bottom w:val="single" w:sz="6" w:space="0" w:color="000000"/>
              <w:right w:val="single" w:sz="6" w:space="0" w:color="000000"/>
            </w:tcBorders>
            <w:vAlign w:val="center"/>
          </w:tcPr>
          <w:p w14:paraId="20AE0EF2" w14:textId="77777777" w:rsidR="007D706A" w:rsidRDefault="007D706A" w:rsidP="00F70508">
            <w:pPr>
              <w:pStyle w:val="ParagraphStyle5"/>
              <w:rPr>
                <w:rStyle w:val="CharacterStyle5"/>
              </w:rPr>
            </w:pPr>
            <w:r>
              <w:rPr>
                <w:rStyle w:val="CharacterStyle5"/>
              </w:rPr>
              <w:t>RJEŠAVANJE IMOVINSKO-PRAVNIH ODNOSA ZA NEKRETNINE</w:t>
            </w:r>
          </w:p>
        </w:tc>
        <w:tc>
          <w:tcPr>
            <w:tcW w:w="1395" w:type="dxa"/>
            <w:tcBorders>
              <w:bottom w:val="single" w:sz="6" w:space="0" w:color="000000"/>
              <w:right w:val="single" w:sz="6" w:space="0" w:color="000000"/>
            </w:tcBorders>
            <w:vAlign w:val="center"/>
          </w:tcPr>
          <w:p w14:paraId="50801615"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5CDBF7FF" w14:textId="77777777" w:rsidR="007D706A" w:rsidRDefault="007D706A" w:rsidP="00F70508">
            <w:pPr>
              <w:pStyle w:val="ParagraphStyle6"/>
              <w:rPr>
                <w:rStyle w:val="CharacterStyle6"/>
              </w:rPr>
            </w:pPr>
            <w:r>
              <w:rPr>
                <w:rStyle w:val="CharacterStyle6"/>
              </w:rPr>
              <w:t>1.794.859,00</w:t>
            </w:r>
          </w:p>
        </w:tc>
        <w:tc>
          <w:tcPr>
            <w:tcW w:w="1395" w:type="dxa"/>
            <w:tcBorders>
              <w:bottom w:val="single" w:sz="6" w:space="0" w:color="000000"/>
              <w:right w:val="single" w:sz="6" w:space="0" w:color="000000"/>
            </w:tcBorders>
            <w:vAlign w:val="center"/>
          </w:tcPr>
          <w:p w14:paraId="7DC5DFB4" w14:textId="77777777" w:rsidR="007D706A" w:rsidRDefault="007D706A" w:rsidP="00F70508">
            <w:pPr>
              <w:pStyle w:val="ParagraphStyle6"/>
              <w:rPr>
                <w:rStyle w:val="CharacterStyle6"/>
              </w:rPr>
            </w:pPr>
            <w:r>
              <w:rPr>
                <w:rStyle w:val="CharacterStyle6"/>
              </w:rPr>
              <w:t>1.057.316,00</w:t>
            </w:r>
          </w:p>
        </w:tc>
        <w:tc>
          <w:tcPr>
            <w:tcW w:w="1395" w:type="dxa"/>
            <w:tcBorders>
              <w:bottom w:val="single" w:sz="6" w:space="0" w:color="000000"/>
              <w:right w:val="single" w:sz="6" w:space="0" w:color="000000"/>
            </w:tcBorders>
            <w:vAlign w:val="center"/>
          </w:tcPr>
          <w:p w14:paraId="2B23F613" w14:textId="77777777" w:rsidR="007D706A" w:rsidRDefault="007D706A" w:rsidP="00F70508">
            <w:pPr>
              <w:pStyle w:val="ParagraphStyle6"/>
              <w:rPr>
                <w:rStyle w:val="CharacterStyle6"/>
              </w:rPr>
            </w:pPr>
            <w:r>
              <w:rPr>
                <w:rStyle w:val="CharacterStyle6"/>
              </w:rPr>
              <w:t>1.205.990,00</w:t>
            </w:r>
          </w:p>
        </w:tc>
        <w:tc>
          <w:tcPr>
            <w:tcW w:w="1395" w:type="dxa"/>
            <w:tcBorders>
              <w:bottom w:val="single" w:sz="6" w:space="0" w:color="000000"/>
              <w:right w:val="single" w:sz="6" w:space="0" w:color="000000"/>
            </w:tcBorders>
            <w:vAlign w:val="center"/>
          </w:tcPr>
          <w:p w14:paraId="1DA41025" w14:textId="77777777" w:rsidR="007D706A" w:rsidRDefault="007D706A" w:rsidP="00F70508">
            <w:pPr>
              <w:pStyle w:val="ParagraphStyle6"/>
              <w:rPr>
                <w:rStyle w:val="CharacterStyle6"/>
              </w:rPr>
            </w:pPr>
            <w:r>
              <w:rPr>
                <w:rStyle w:val="CharacterStyle6"/>
              </w:rPr>
              <w:t>1.288.990,00</w:t>
            </w:r>
          </w:p>
        </w:tc>
      </w:tr>
      <w:tr w:rsidR="007D706A" w14:paraId="06F6EDA6"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D90A8ED"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31AD7DB1"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67BBB0DC"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67CE5A7"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0830991" w14:textId="77777777" w:rsidR="007D706A" w:rsidRDefault="007D706A" w:rsidP="00F70508">
            <w:pPr>
              <w:pStyle w:val="ParagraphStyle9"/>
              <w:rPr>
                <w:rStyle w:val="CharacterStyle9"/>
              </w:rPr>
            </w:pPr>
            <w:r>
              <w:rPr>
                <w:rStyle w:val="CharacterStyle9"/>
              </w:rPr>
              <w:t>597.012,97</w:t>
            </w:r>
          </w:p>
        </w:tc>
        <w:tc>
          <w:tcPr>
            <w:tcW w:w="1395" w:type="dxa"/>
            <w:tcBorders>
              <w:bottom w:val="single" w:sz="6" w:space="0" w:color="000000"/>
              <w:right w:val="single" w:sz="6" w:space="0" w:color="000000"/>
            </w:tcBorders>
            <w:vAlign w:val="center"/>
          </w:tcPr>
          <w:p w14:paraId="5E12C79B" w14:textId="77777777" w:rsidR="007D706A" w:rsidRDefault="007D706A" w:rsidP="00F70508">
            <w:pPr>
              <w:pStyle w:val="ParagraphStyle9"/>
              <w:rPr>
                <w:rStyle w:val="CharacterStyle9"/>
              </w:rPr>
            </w:pPr>
            <w:r>
              <w:rPr>
                <w:rStyle w:val="CharacterStyle9"/>
              </w:rPr>
              <w:t>597.012,97</w:t>
            </w:r>
          </w:p>
        </w:tc>
        <w:tc>
          <w:tcPr>
            <w:tcW w:w="1395" w:type="dxa"/>
            <w:tcBorders>
              <w:bottom w:val="single" w:sz="6" w:space="0" w:color="000000"/>
              <w:right w:val="single" w:sz="6" w:space="0" w:color="000000"/>
            </w:tcBorders>
            <w:vAlign w:val="center"/>
          </w:tcPr>
          <w:p w14:paraId="11806D89" w14:textId="77777777" w:rsidR="007D706A" w:rsidRDefault="007D706A" w:rsidP="00F70508">
            <w:pPr>
              <w:pStyle w:val="ParagraphStyle9"/>
              <w:rPr>
                <w:rStyle w:val="CharacterStyle9"/>
              </w:rPr>
            </w:pPr>
            <w:r>
              <w:rPr>
                <w:rStyle w:val="CharacterStyle9"/>
              </w:rPr>
              <w:t>597.012,97</w:t>
            </w:r>
          </w:p>
        </w:tc>
      </w:tr>
      <w:tr w:rsidR="007D706A" w14:paraId="2E8D1F6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A07BAB8"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2592EE47"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10CBCD9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59A213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4F9509D" w14:textId="77777777" w:rsidR="007D706A" w:rsidRDefault="007D706A" w:rsidP="00F70508">
            <w:pPr>
              <w:pStyle w:val="ParagraphStyle12"/>
              <w:rPr>
                <w:rStyle w:val="CharacterStyle12"/>
              </w:rPr>
            </w:pPr>
            <w:r>
              <w:rPr>
                <w:rStyle w:val="CharacterStyle12"/>
              </w:rPr>
              <w:t>597.012,97</w:t>
            </w:r>
          </w:p>
        </w:tc>
        <w:tc>
          <w:tcPr>
            <w:tcW w:w="1395" w:type="dxa"/>
            <w:tcBorders>
              <w:bottom w:val="single" w:sz="6" w:space="0" w:color="000000"/>
              <w:right w:val="single" w:sz="6" w:space="0" w:color="000000"/>
            </w:tcBorders>
            <w:vAlign w:val="center"/>
          </w:tcPr>
          <w:p w14:paraId="5B9666D5" w14:textId="77777777" w:rsidR="007D706A" w:rsidRDefault="007D706A" w:rsidP="00F70508">
            <w:pPr>
              <w:pStyle w:val="ParagraphStyle12"/>
              <w:rPr>
                <w:rStyle w:val="CharacterStyle12"/>
              </w:rPr>
            </w:pPr>
            <w:r>
              <w:rPr>
                <w:rStyle w:val="CharacterStyle12"/>
              </w:rPr>
              <w:t>597.012,97</w:t>
            </w:r>
          </w:p>
        </w:tc>
        <w:tc>
          <w:tcPr>
            <w:tcW w:w="1395" w:type="dxa"/>
            <w:tcBorders>
              <w:bottom w:val="single" w:sz="6" w:space="0" w:color="000000"/>
              <w:right w:val="single" w:sz="6" w:space="0" w:color="000000"/>
            </w:tcBorders>
            <w:vAlign w:val="center"/>
          </w:tcPr>
          <w:p w14:paraId="33F3E461" w14:textId="77777777" w:rsidR="007D706A" w:rsidRDefault="007D706A" w:rsidP="00F70508">
            <w:pPr>
              <w:pStyle w:val="ParagraphStyle12"/>
              <w:rPr>
                <w:rStyle w:val="CharacterStyle12"/>
              </w:rPr>
            </w:pPr>
            <w:r>
              <w:rPr>
                <w:rStyle w:val="CharacterStyle12"/>
              </w:rPr>
              <w:t>597.012,97</w:t>
            </w:r>
          </w:p>
        </w:tc>
      </w:tr>
      <w:tr w:rsidR="007D706A" w14:paraId="1B9DD1D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6FA74CD" w14:textId="77777777" w:rsidR="007D706A" w:rsidRDefault="007D706A" w:rsidP="00F70508">
            <w:pPr>
              <w:pStyle w:val="ParagraphStyle10"/>
              <w:rPr>
                <w:rStyle w:val="CharacterStyle10"/>
              </w:rPr>
            </w:pPr>
            <w:r>
              <w:rPr>
                <w:rStyle w:val="CharacterStyle10"/>
              </w:rPr>
              <w:t>41</w:t>
            </w:r>
          </w:p>
        </w:tc>
        <w:tc>
          <w:tcPr>
            <w:tcW w:w="4995" w:type="dxa"/>
            <w:tcBorders>
              <w:bottom w:val="single" w:sz="6" w:space="0" w:color="000000"/>
              <w:right w:val="single" w:sz="6" w:space="0" w:color="000000"/>
            </w:tcBorders>
            <w:vAlign w:val="center"/>
          </w:tcPr>
          <w:p w14:paraId="015FDA22" w14:textId="77777777" w:rsidR="007D706A" w:rsidRDefault="007D706A" w:rsidP="00F70508">
            <w:pPr>
              <w:pStyle w:val="ParagraphStyle11"/>
              <w:rPr>
                <w:rStyle w:val="CharacterStyle11"/>
              </w:rPr>
            </w:pPr>
            <w:r>
              <w:rPr>
                <w:rStyle w:val="CharacterStyle11"/>
              </w:rPr>
              <w:t>Rashodi za nabavu neproizvedene dugotrajne imovine</w:t>
            </w:r>
          </w:p>
        </w:tc>
        <w:tc>
          <w:tcPr>
            <w:tcW w:w="1395" w:type="dxa"/>
            <w:tcBorders>
              <w:bottom w:val="single" w:sz="6" w:space="0" w:color="000000"/>
              <w:right w:val="single" w:sz="6" w:space="0" w:color="000000"/>
            </w:tcBorders>
            <w:vAlign w:val="center"/>
          </w:tcPr>
          <w:p w14:paraId="553FEEF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0C0594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E2E8171" w14:textId="77777777" w:rsidR="007D706A" w:rsidRDefault="007D706A" w:rsidP="00F70508">
            <w:pPr>
              <w:pStyle w:val="ParagraphStyle12"/>
              <w:rPr>
                <w:rStyle w:val="CharacterStyle12"/>
              </w:rPr>
            </w:pPr>
            <w:r>
              <w:rPr>
                <w:rStyle w:val="CharacterStyle12"/>
              </w:rPr>
              <w:t>65.599,69</w:t>
            </w:r>
          </w:p>
        </w:tc>
        <w:tc>
          <w:tcPr>
            <w:tcW w:w="1395" w:type="dxa"/>
            <w:tcBorders>
              <w:bottom w:val="single" w:sz="6" w:space="0" w:color="000000"/>
              <w:right w:val="single" w:sz="6" w:space="0" w:color="000000"/>
            </w:tcBorders>
            <w:vAlign w:val="center"/>
          </w:tcPr>
          <w:p w14:paraId="192894CF" w14:textId="77777777" w:rsidR="007D706A" w:rsidRDefault="007D706A" w:rsidP="00F70508">
            <w:pPr>
              <w:pStyle w:val="ParagraphStyle12"/>
              <w:rPr>
                <w:rStyle w:val="CharacterStyle12"/>
              </w:rPr>
            </w:pPr>
            <w:r>
              <w:rPr>
                <w:rStyle w:val="CharacterStyle12"/>
              </w:rPr>
              <w:t>65.599,69</w:t>
            </w:r>
          </w:p>
        </w:tc>
        <w:tc>
          <w:tcPr>
            <w:tcW w:w="1395" w:type="dxa"/>
            <w:tcBorders>
              <w:bottom w:val="single" w:sz="6" w:space="0" w:color="000000"/>
              <w:right w:val="single" w:sz="6" w:space="0" w:color="000000"/>
            </w:tcBorders>
            <w:vAlign w:val="center"/>
          </w:tcPr>
          <w:p w14:paraId="44E18AFC" w14:textId="77777777" w:rsidR="007D706A" w:rsidRDefault="007D706A" w:rsidP="00F70508">
            <w:pPr>
              <w:pStyle w:val="ParagraphStyle12"/>
              <w:rPr>
                <w:rStyle w:val="CharacterStyle12"/>
              </w:rPr>
            </w:pPr>
            <w:r>
              <w:rPr>
                <w:rStyle w:val="CharacterStyle12"/>
              </w:rPr>
              <w:t>65.599,69</w:t>
            </w:r>
          </w:p>
        </w:tc>
      </w:tr>
      <w:tr w:rsidR="007D706A" w14:paraId="556B7BF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0872AD3" w14:textId="77777777" w:rsidR="007D706A" w:rsidRDefault="007D706A" w:rsidP="00F70508">
            <w:pPr>
              <w:pStyle w:val="ParagraphStyle10"/>
              <w:rPr>
                <w:rStyle w:val="CharacterStyle10"/>
              </w:rPr>
            </w:pPr>
            <w:r>
              <w:rPr>
                <w:rStyle w:val="CharacterStyle10"/>
              </w:rPr>
              <w:t>42</w:t>
            </w:r>
          </w:p>
        </w:tc>
        <w:tc>
          <w:tcPr>
            <w:tcW w:w="4995" w:type="dxa"/>
            <w:tcBorders>
              <w:bottom w:val="single" w:sz="6" w:space="0" w:color="000000"/>
              <w:right w:val="single" w:sz="6" w:space="0" w:color="000000"/>
            </w:tcBorders>
            <w:vAlign w:val="center"/>
          </w:tcPr>
          <w:p w14:paraId="2C82A9B5"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2BB5626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88D584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18122A5" w14:textId="77777777" w:rsidR="007D706A" w:rsidRDefault="007D706A" w:rsidP="00F70508">
            <w:pPr>
              <w:pStyle w:val="ParagraphStyle12"/>
              <w:rPr>
                <w:rStyle w:val="CharacterStyle12"/>
              </w:rPr>
            </w:pPr>
            <w:r>
              <w:rPr>
                <w:rStyle w:val="CharacterStyle12"/>
              </w:rPr>
              <w:t>531.413,28</w:t>
            </w:r>
          </w:p>
        </w:tc>
        <w:tc>
          <w:tcPr>
            <w:tcW w:w="1395" w:type="dxa"/>
            <w:tcBorders>
              <w:bottom w:val="single" w:sz="6" w:space="0" w:color="000000"/>
              <w:right w:val="single" w:sz="6" w:space="0" w:color="000000"/>
            </w:tcBorders>
            <w:vAlign w:val="center"/>
          </w:tcPr>
          <w:p w14:paraId="221ACEEA" w14:textId="77777777" w:rsidR="007D706A" w:rsidRDefault="007D706A" w:rsidP="00F70508">
            <w:pPr>
              <w:pStyle w:val="ParagraphStyle12"/>
              <w:rPr>
                <w:rStyle w:val="CharacterStyle12"/>
              </w:rPr>
            </w:pPr>
            <w:r>
              <w:rPr>
                <w:rStyle w:val="CharacterStyle12"/>
              </w:rPr>
              <w:t>531.413,28</w:t>
            </w:r>
          </w:p>
        </w:tc>
        <w:tc>
          <w:tcPr>
            <w:tcW w:w="1395" w:type="dxa"/>
            <w:tcBorders>
              <w:bottom w:val="single" w:sz="6" w:space="0" w:color="000000"/>
              <w:right w:val="single" w:sz="6" w:space="0" w:color="000000"/>
            </w:tcBorders>
            <w:vAlign w:val="center"/>
          </w:tcPr>
          <w:p w14:paraId="7980989B" w14:textId="77777777" w:rsidR="007D706A" w:rsidRDefault="007D706A" w:rsidP="00F70508">
            <w:pPr>
              <w:pStyle w:val="ParagraphStyle12"/>
              <w:rPr>
                <w:rStyle w:val="CharacterStyle12"/>
              </w:rPr>
            </w:pPr>
            <w:r>
              <w:rPr>
                <w:rStyle w:val="CharacterStyle12"/>
              </w:rPr>
              <w:t>531.413,28</w:t>
            </w:r>
          </w:p>
        </w:tc>
      </w:tr>
      <w:tr w:rsidR="007D706A" w14:paraId="356CBE7B" w14:textId="77777777" w:rsidTr="00F70508">
        <w:trPr>
          <w:trHeight w:val="405"/>
        </w:trPr>
        <w:tc>
          <w:tcPr>
            <w:tcW w:w="2880" w:type="dxa"/>
            <w:tcBorders>
              <w:left w:val="single" w:sz="6" w:space="0" w:color="000000"/>
              <w:bottom w:val="single" w:sz="6" w:space="0" w:color="000000"/>
              <w:right w:val="single" w:sz="6" w:space="0" w:color="000000"/>
            </w:tcBorders>
            <w:vAlign w:val="center"/>
          </w:tcPr>
          <w:p w14:paraId="177F0D0B" w14:textId="77777777" w:rsidR="007D706A" w:rsidRDefault="007D706A" w:rsidP="00F70508">
            <w:pPr>
              <w:pStyle w:val="ParagraphStyle7"/>
              <w:rPr>
                <w:rStyle w:val="CharacterStyle7"/>
              </w:rPr>
            </w:pPr>
            <w:r>
              <w:rPr>
                <w:rStyle w:val="CharacterStyle7"/>
              </w:rPr>
              <w:t>Izvor financiranja 71</w:t>
            </w:r>
          </w:p>
        </w:tc>
        <w:tc>
          <w:tcPr>
            <w:tcW w:w="4995" w:type="dxa"/>
            <w:tcBorders>
              <w:bottom w:val="single" w:sz="6" w:space="0" w:color="000000"/>
              <w:right w:val="single" w:sz="6" w:space="0" w:color="000000"/>
            </w:tcBorders>
            <w:vAlign w:val="center"/>
          </w:tcPr>
          <w:p w14:paraId="00242AD4" w14:textId="77777777" w:rsidR="007D706A" w:rsidRDefault="007D706A" w:rsidP="00F70508">
            <w:pPr>
              <w:pStyle w:val="ParagraphStyle8"/>
              <w:rPr>
                <w:rStyle w:val="CharacterStyle8"/>
              </w:rPr>
            </w:pPr>
            <w:r>
              <w:rPr>
                <w:rStyle w:val="CharacterStyle8"/>
              </w:rPr>
              <w:t>Prihodi od prodaje ili zamjene nefinancijske imovine i naknade s naslova osiguranja</w:t>
            </w:r>
          </w:p>
        </w:tc>
        <w:tc>
          <w:tcPr>
            <w:tcW w:w="1395" w:type="dxa"/>
            <w:tcBorders>
              <w:bottom w:val="single" w:sz="6" w:space="0" w:color="000000"/>
              <w:right w:val="single" w:sz="6" w:space="0" w:color="000000"/>
            </w:tcBorders>
            <w:vAlign w:val="center"/>
          </w:tcPr>
          <w:p w14:paraId="068BB39A"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875D158" w14:textId="77777777" w:rsidR="007D706A" w:rsidRDefault="007D706A" w:rsidP="00F70508">
            <w:pPr>
              <w:pStyle w:val="ParagraphStyle9"/>
              <w:rPr>
                <w:rStyle w:val="CharacterStyle9"/>
              </w:rPr>
            </w:pPr>
            <w:r>
              <w:rPr>
                <w:rStyle w:val="CharacterStyle9"/>
              </w:rPr>
              <w:t>1.066.288,46</w:t>
            </w:r>
          </w:p>
        </w:tc>
        <w:tc>
          <w:tcPr>
            <w:tcW w:w="1395" w:type="dxa"/>
            <w:tcBorders>
              <w:bottom w:val="single" w:sz="6" w:space="0" w:color="000000"/>
              <w:right w:val="single" w:sz="6" w:space="0" w:color="000000"/>
            </w:tcBorders>
            <w:vAlign w:val="center"/>
          </w:tcPr>
          <w:p w14:paraId="1AED003D" w14:textId="77777777" w:rsidR="007D706A" w:rsidRDefault="007D706A" w:rsidP="00F70508">
            <w:pPr>
              <w:pStyle w:val="ParagraphStyle9"/>
              <w:rPr>
                <w:rStyle w:val="CharacterStyle9"/>
              </w:rPr>
            </w:pPr>
            <w:r>
              <w:rPr>
                <w:rStyle w:val="CharacterStyle9"/>
              </w:rPr>
              <w:t>460.303,03</w:t>
            </w:r>
          </w:p>
        </w:tc>
        <w:tc>
          <w:tcPr>
            <w:tcW w:w="1395" w:type="dxa"/>
            <w:tcBorders>
              <w:bottom w:val="single" w:sz="6" w:space="0" w:color="000000"/>
              <w:right w:val="single" w:sz="6" w:space="0" w:color="000000"/>
            </w:tcBorders>
            <w:vAlign w:val="center"/>
          </w:tcPr>
          <w:p w14:paraId="112EDAA3" w14:textId="77777777" w:rsidR="007D706A" w:rsidRDefault="007D706A" w:rsidP="00F70508">
            <w:pPr>
              <w:pStyle w:val="ParagraphStyle9"/>
              <w:rPr>
                <w:rStyle w:val="CharacterStyle9"/>
              </w:rPr>
            </w:pPr>
            <w:r>
              <w:rPr>
                <w:rStyle w:val="CharacterStyle9"/>
              </w:rPr>
              <w:t>608.977,03</w:t>
            </w:r>
          </w:p>
        </w:tc>
        <w:tc>
          <w:tcPr>
            <w:tcW w:w="1395" w:type="dxa"/>
            <w:tcBorders>
              <w:bottom w:val="single" w:sz="6" w:space="0" w:color="000000"/>
              <w:right w:val="single" w:sz="6" w:space="0" w:color="000000"/>
            </w:tcBorders>
            <w:vAlign w:val="center"/>
          </w:tcPr>
          <w:p w14:paraId="4D8654B7" w14:textId="77777777" w:rsidR="007D706A" w:rsidRDefault="007D706A" w:rsidP="00F70508">
            <w:pPr>
              <w:pStyle w:val="ParagraphStyle9"/>
              <w:rPr>
                <w:rStyle w:val="CharacterStyle9"/>
              </w:rPr>
            </w:pPr>
            <w:r>
              <w:rPr>
                <w:rStyle w:val="CharacterStyle9"/>
              </w:rPr>
              <w:t>691.977,03</w:t>
            </w:r>
          </w:p>
        </w:tc>
      </w:tr>
      <w:tr w:rsidR="007D706A" w14:paraId="10A3AE2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7D451E5"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17569689"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6FD9BF2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F878D58" w14:textId="77777777" w:rsidR="007D706A" w:rsidRDefault="007D706A" w:rsidP="00F70508">
            <w:pPr>
              <w:pStyle w:val="ParagraphStyle12"/>
              <w:rPr>
                <w:rStyle w:val="CharacterStyle12"/>
              </w:rPr>
            </w:pPr>
            <w:r>
              <w:rPr>
                <w:rStyle w:val="CharacterStyle12"/>
              </w:rPr>
              <w:t>1.066.288,46</w:t>
            </w:r>
          </w:p>
        </w:tc>
        <w:tc>
          <w:tcPr>
            <w:tcW w:w="1395" w:type="dxa"/>
            <w:tcBorders>
              <w:bottom w:val="single" w:sz="6" w:space="0" w:color="000000"/>
              <w:right w:val="single" w:sz="6" w:space="0" w:color="000000"/>
            </w:tcBorders>
            <w:vAlign w:val="center"/>
          </w:tcPr>
          <w:p w14:paraId="5E462FC6" w14:textId="77777777" w:rsidR="007D706A" w:rsidRDefault="007D706A" w:rsidP="00F70508">
            <w:pPr>
              <w:pStyle w:val="ParagraphStyle12"/>
              <w:rPr>
                <w:rStyle w:val="CharacterStyle12"/>
              </w:rPr>
            </w:pPr>
            <w:r>
              <w:rPr>
                <w:rStyle w:val="CharacterStyle12"/>
              </w:rPr>
              <w:t>460.303,03</w:t>
            </w:r>
          </w:p>
        </w:tc>
        <w:tc>
          <w:tcPr>
            <w:tcW w:w="1395" w:type="dxa"/>
            <w:tcBorders>
              <w:bottom w:val="single" w:sz="6" w:space="0" w:color="000000"/>
              <w:right w:val="single" w:sz="6" w:space="0" w:color="000000"/>
            </w:tcBorders>
            <w:vAlign w:val="center"/>
          </w:tcPr>
          <w:p w14:paraId="45A3B1B8" w14:textId="77777777" w:rsidR="007D706A" w:rsidRDefault="007D706A" w:rsidP="00F70508">
            <w:pPr>
              <w:pStyle w:val="ParagraphStyle12"/>
              <w:rPr>
                <w:rStyle w:val="CharacterStyle12"/>
              </w:rPr>
            </w:pPr>
            <w:r>
              <w:rPr>
                <w:rStyle w:val="CharacterStyle12"/>
              </w:rPr>
              <w:t>608.977,03</w:t>
            </w:r>
          </w:p>
        </w:tc>
        <w:tc>
          <w:tcPr>
            <w:tcW w:w="1395" w:type="dxa"/>
            <w:tcBorders>
              <w:bottom w:val="single" w:sz="6" w:space="0" w:color="000000"/>
              <w:right w:val="single" w:sz="6" w:space="0" w:color="000000"/>
            </w:tcBorders>
            <w:vAlign w:val="center"/>
          </w:tcPr>
          <w:p w14:paraId="33E5C42C" w14:textId="77777777" w:rsidR="007D706A" w:rsidRDefault="007D706A" w:rsidP="00F70508">
            <w:pPr>
              <w:pStyle w:val="ParagraphStyle12"/>
              <w:rPr>
                <w:rStyle w:val="CharacterStyle12"/>
              </w:rPr>
            </w:pPr>
            <w:r>
              <w:rPr>
                <w:rStyle w:val="CharacterStyle12"/>
              </w:rPr>
              <w:t>691.977,03</w:t>
            </w:r>
          </w:p>
        </w:tc>
      </w:tr>
      <w:tr w:rsidR="007D706A" w14:paraId="7AF3B64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25C72F7" w14:textId="77777777" w:rsidR="007D706A" w:rsidRDefault="007D706A" w:rsidP="00F70508">
            <w:pPr>
              <w:pStyle w:val="ParagraphStyle10"/>
              <w:rPr>
                <w:rStyle w:val="CharacterStyle10"/>
              </w:rPr>
            </w:pPr>
            <w:r>
              <w:rPr>
                <w:rStyle w:val="CharacterStyle10"/>
              </w:rPr>
              <w:t>41</w:t>
            </w:r>
          </w:p>
        </w:tc>
        <w:tc>
          <w:tcPr>
            <w:tcW w:w="4995" w:type="dxa"/>
            <w:tcBorders>
              <w:bottom w:val="single" w:sz="6" w:space="0" w:color="000000"/>
              <w:right w:val="single" w:sz="6" w:space="0" w:color="000000"/>
            </w:tcBorders>
            <w:vAlign w:val="center"/>
          </w:tcPr>
          <w:p w14:paraId="5FB37067" w14:textId="77777777" w:rsidR="007D706A" w:rsidRDefault="007D706A" w:rsidP="00F70508">
            <w:pPr>
              <w:pStyle w:val="ParagraphStyle11"/>
              <w:rPr>
                <w:rStyle w:val="CharacterStyle11"/>
              </w:rPr>
            </w:pPr>
            <w:r>
              <w:rPr>
                <w:rStyle w:val="CharacterStyle11"/>
              </w:rPr>
              <w:t>Rashodi za nabavu neproizvedene dugotrajne imovine</w:t>
            </w:r>
          </w:p>
        </w:tc>
        <w:tc>
          <w:tcPr>
            <w:tcW w:w="1395" w:type="dxa"/>
            <w:tcBorders>
              <w:bottom w:val="single" w:sz="6" w:space="0" w:color="000000"/>
              <w:right w:val="single" w:sz="6" w:space="0" w:color="000000"/>
            </w:tcBorders>
            <w:vAlign w:val="center"/>
          </w:tcPr>
          <w:p w14:paraId="01EC173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943F6EB" w14:textId="77777777" w:rsidR="007D706A" w:rsidRDefault="007D706A" w:rsidP="00F70508">
            <w:pPr>
              <w:pStyle w:val="ParagraphStyle12"/>
              <w:rPr>
                <w:rStyle w:val="CharacterStyle12"/>
              </w:rPr>
            </w:pPr>
            <w:r>
              <w:rPr>
                <w:rStyle w:val="CharacterStyle12"/>
              </w:rPr>
              <w:t>758.826,40</w:t>
            </w:r>
          </w:p>
        </w:tc>
        <w:tc>
          <w:tcPr>
            <w:tcW w:w="1395" w:type="dxa"/>
            <w:tcBorders>
              <w:bottom w:val="single" w:sz="6" w:space="0" w:color="000000"/>
              <w:right w:val="single" w:sz="6" w:space="0" w:color="000000"/>
            </w:tcBorders>
            <w:vAlign w:val="center"/>
          </w:tcPr>
          <w:p w14:paraId="1F646FF7" w14:textId="77777777" w:rsidR="007D706A" w:rsidRDefault="007D706A" w:rsidP="00F70508">
            <w:pPr>
              <w:pStyle w:val="ParagraphStyle12"/>
              <w:rPr>
                <w:rStyle w:val="CharacterStyle12"/>
              </w:rPr>
            </w:pPr>
            <w:r>
              <w:rPr>
                <w:rStyle w:val="CharacterStyle12"/>
              </w:rPr>
              <w:t>145.826,40</w:t>
            </w:r>
          </w:p>
        </w:tc>
        <w:tc>
          <w:tcPr>
            <w:tcW w:w="1395" w:type="dxa"/>
            <w:tcBorders>
              <w:bottom w:val="single" w:sz="6" w:space="0" w:color="000000"/>
              <w:right w:val="single" w:sz="6" w:space="0" w:color="000000"/>
            </w:tcBorders>
            <w:vAlign w:val="center"/>
          </w:tcPr>
          <w:p w14:paraId="6B2811FF" w14:textId="77777777" w:rsidR="007D706A" w:rsidRDefault="007D706A" w:rsidP="00F70508">
            <w:pPr>
              <w:pStyle w:val="ParagraphStyle12"/>
              <w:rPr>
                <w:rStyle w:val="CharacterStyle12"/>
              </w:rPr>
            </w:pPr>
            <w:r>
              <w:rPr>
                <w:rStyle w:val="CharacterStyle12"/>
              </w:rPr>
              <w:t>224.500,40</w:t>
            </w:r>
          </w:p>
        </w:tc>
        <w:tc>
          <w:tcPr>
            <w:tcW w:w="1395" w:type="dxa"/>
            <w:tcBorders>
              <w:bottom w:val="single" w:sz="6" w:space="0" w:color="000000"/>
              <w:right w:val="single" w:sz="6" w:space="0" w:color="000000"/>
            </w:tcBorders>
            <w:vAlign w:val="center"/>
          </w:tcPr>
          <w:p w14:paraId="7B475779" w14:textId="77777777" w:rsidR="007D706A" w:rsidRDefault="007D706A" w:rsidP="00F70508">
            <w:pPr>
              <w:pStyle w:val="ParagraphStyle12"/>
              <w:rPr>
                <w:rStyle w:val="CharacterStyle12"/>
              </w:rPr>
            </w:pPr>
            <w:r>
              <w:rPr>
                <w:rStyle w:val="CharacterStyle12"/>
              </w:rPr>
              <w:t>286.500,40</w:t>
            </w:r>
          </w:p>
        </w:tc>
      </w:tr>
      <w:tr w:rsidR="007D706A" w14:paraId="70586DC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2A42B89" w14:textId="77777777" w:rsidR="007D706A" w:rsidRDefault="007D706A" w:rsidP="00F70508">
            <w:pPr>
              <w:pStyle w:val="ParagraphStyle10"/>
              <w:rPr>
                <w:rStyle w:val="CharacterStyle10"/>
              </w:rPr>
            </w:pPr>
            <w:r>
              <w:rPr>
                <w:rStyle w:val="CharacterStyle10"/>
              </w:rPr>
              <w:t>42</w:t>
            </w:r>
          </w:p>
        </w:tc>
        <w:tc>
          <w:tcPr>
            <w:tcW w:w="4995" w:type="dxa"/>
            <w:tcBorders>
              <w:bottom w:val="single" w:sz="6" w:space="0" w:color="000000"/>
              <w:right w:val="single" w:sz="6" w:space="0" w:color="000000"/>
            </w:tcBorders>
            <w:vAlign w:val="center"/>
          </w:tcPr>
          <w:p w14:paraId="1F272912"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3C5F6C9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3D57030" w14:textId="77777777" w:rsidR="007D706A" w:rsidRDefault="007D706A" w:rsidP="00F70508">
            <w:pPr>
              <w:pStyle w:val="ParagraphStyle12"/>
              <w:rPr>
                <w:rStyle w:val="CharacterStyle12"/>
              </w:rPr>
            </w:pPr>
            <w:r>
              <w:rPr>
                <w:rStyle w:val="CharacterStyle12"/>
              </w:rPr>
              <w:t>307.462,06</w:t>
            </w:r>
          </w:p>
        </w:tc>
        <w:tc>
          <w:tcPr>
            <w:tcW w:w="1395" w:type="dxa"/>
            <w:tcBorders>
              <w:bottom w:val="single" w:sz="6" w:space="0" w:color="000000"/>
              <w:right w:val="single" w:sz="6" w:space="0" w:color="000000"/>
            </w:tcBorders>
            <w:vAlign w:val="center"/>
          </w:tcPr>
          <w:p w14:paraId="1E3DB609" w14:textId="77777777" w:rsidR="007D706A" w:rsidRDefault="007D706A" w:rsidP="00F70508">
            <w:pPr>
              <w:pStyle w:val="ParagraphStyle12"/>
              <w:rPr>
                <w:rStyle w:val="CharacterStyle12"/>
              </w:rPr>
            </w:pPr>
            <w:r>
              <w:rPr>
                <w:rStyle w:val="CharacterStyle12"/>
              </w:rPr>
              <w:t>314.476,63</w:t>
            </w:r>
          </w:p>
        </w:tc>
        <w:tc>
          <w:tcPr>
            <w:tcW w:w="1395" w:type="dxa"/>
            <w:tcBorders>
              <w:bottom w:val="single" w:sz="6" w:space="0" w:color="000000"/>
              <w:right w:val="single" w:sz="6" w:space="0" w:color="000000"/>
            </w:tcBorders>
            <w:vAlign w:val="center"/>
          </w:tcPr>
          <w:p w14:paraId="407D2D85" w14:textId="77777777" w:rsidR="007D706A" w:rsidRDefault="007D706A" w:rsidP="00F70508">
            <w:pPr>
              <w:pStyle w:val="ParagraphStyle12"/>
              <w:rPr>
                <w:rStyle w:val="CharacterStyle12"/>
              </w:rPr>
            </w:pPr>
            <w:r>
              <w:rPr>
                <w:rStyle w:val="CharacterStyle12"/>
              </w:rPr>
              <w:t>384.476,63</w:t>
            </w:r>
          </w:p>
        </w:tc>
        <w:tc>
          <w:tcPr>
            <w:tcW w:w="1395" w:type="dxa"/>
            <w:tcBorders>
              <w:bottom w:val="single" w:sz="6" w:space="0" w:color="000000"/>
              <w:right w:val="single" w:sz="6" w:space="0" w:color="000000"/>
            </w:tcBorders>
            <w:vAlign w:val="center"/>
          </w:tcPr>
          <w:p w14:paraId="1D480E47" w14:textId="77777777" w:rsidR="007D706A" w:rsidRDefault="007D706A" w:rsidP="00F70508">
            <w:pPr>
              <w:pStyle w:val="ParagraphStyle12"/>
              <w:rPr>
                <w:rStyle w:val="CharacterStyle12"/>
              </w:rPr>
            </w:pPr>
            <w:r>
              <w:rPr>
                <w:rStyle w:val="CharacterStyle12"/>
              </w:rPr>
              <w:t>405.476,63</w:t>
            </w:r>
          </w:p>
        </w:tc>
      </w:tr>
      <w:tr w:rsidR="007D706A" w14:paraId="6445289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B78E0D6" w14:textId="77777777" w:rsidR="007D706A" w:rsidRDefault="007D706A" w:rsidP="00F70508">
            <w:pPr>
              <w:pStyle w:val="ParagraphStyle7"/>
              <w:rPr>
                <w:rStyle w:val="CharacterStyle7"/>
              </w:rPr>
            </w:pPr>
            <w:r>
              <w:rPr>
                <w:rStyle w:val="CharacterStyle7"/>
              </w:rPr>
              <w:t>Izvor financiranja 82</w:t>
            </w:r>
          </w:p>
        </w:tc>
        <w:tc>
          <w:tcPr>
            <w:tcW w:w="4995" w:type="dxa"/>
            <w:tcBorders>
              <w:bottom w:val="single" w:sz="6" w:space="0" w:color="000000"/>
              <w:right w:val="single" w:sz="6" w:space="0" w:color="000000"/>
            </w:tcBorders>
            <w:vAlign w:val="center"/>
          </w:tcPr>
          <w:p w14:paraId="37562E5C" w14:textId="77777777" w:rsidR="007D706A" w:rsidRDefault="007D706A" w:rsidP="00F70508">
            <w:pPr>
              <w:pStyle w:val="ParagraphStyle8"/>
              <w:rPr>
                <w:rStyle w:val="CharacterStyle8"/>
              </w:rPr>
            </w:pPr>
            <w:r>
              <w:rPr>
                <w:rStyle w:val="CharacterStyle8"/>
              </w:rPr>
              <w:t>Preneseni viškovi iz ranijih godina</w:t>
            </w:r>
          </w:p>
        </w:tc>
        <w:tc>
          <w:tcPr>
            <w:tcW w:w="1395" w:type="dxa"/>
            <w:tcBorders>
              <w:bottom w:val="single" w:sz="6" w:space="0" w:color="000000"/>
              <w:right w:val="single" w:sz="6" w:space="0" w:color="000000"/>
            </w:tcBorders>
            <w:vAlign w:val="center"/>
          </w:tcPr>
          <w:p w14:paraId="003D573E"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C489481" w14:textId="77777777" w:rsidR="007D706A" w:rsidRDefault="007D706A" w:rsidP="00F70508">
            <w:pPr>
              <w:pStyle w:val="ParagraphStyle9"/>
              <w:rPr>
                <w:rStyle w:val="CharacterStyle9"/>
              </w:rPr>
            </w:pPr>
            <w:r>
              <w:rPr>
                <w:rStyle w:val="CharacterStyle9"/>
              </w:rPr>
              <w:t>728.570,54</w:t>
            </w:r>
          </w:p>
        </w:tc>
        <w:tc>
          <w:tcPr>
            <w:tcW w:w="1395" w:type="dxa"/>
            <w:tcBorders>
              <w:bottom w:val="single" w:sz="6" w:space="0" w:color="000000"/>
              <w:right w:val="single" w:sz="6" w:space="0" w:color="000000"/>
            </w:tcBorders>
            <w:vAlign w:val="center"/>
          </w:tcPr>
          <w:p w14:paraId="1775EE70"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248EAD3"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265539A" w14:textId="77777777" w:rsidR="007D706A" w:rsidRDefault="007D706A" w:rsidP="00F70508">
            <w:pPr>
              <w:pStyle w:val="ParagraphStyle9"/>
              <w:rPr>
                <w:rStyle w:val="CharacterStyle9"/>
              </w:rPr>
            </w:pPr>
            <w:r>
              <w:rPr>
                <w:rStyle w:val="CharacterStyle9"/>
              </w:rPr>
              <w:t>0,00</w:t>
            </w:r>
          </w:p>
        </w:tc>
      </w:tr>
      <w:tr w:rsidR="007D706A" w14:paraId="54413D6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C32128D"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37FE76D3"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3821610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3953F35" w14:textId="77777777" w:rsidR="007D706A" w:rsidRDefault="007D706A" w:rsidP="00F70508">
            <w:pPr>
              <w:pStyle w:val="ParagraphStyle12"/>
              <w:rPr>
                <w:rStyle w:val="CharacterStyle12"/>
              </w:rPr>
            </w:pPr>
            <w:r>
              <w:rPr>
                <w:rStyle w:val="CharacterStyle12"/>
              </w:rPr>
              <w:t>728.570,54</w:t>
            </w:r>
          </w:p>
        </w:tc>
        <w:tc>
          <w:tcPr>
            <w:tcW w:w="1395" w:type="dxa"/>
            <w:tcBorders>
              <w:bottom w:val="single" w:sz="6" w:space="0" w:color="000000"/>
              <w:right w:val="single" w:sz="6" w:space="0" w:color="000000"/>
            </w:tcBorders>
            <w:vAlign w:val="center"/>
          </w:tcPr>
          <w:p w14:paraId="3FA6CE6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D4888C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2B4FC55" w14:textId="77777777" w:rsidR="007D706A" w:rsidRDefault="007D706A" w:rsidP="00F70508">
            <w:pPr>
              <w:pStyle w:val="ParagraphStyle12"/>
              <w:rPr>
                <w:rStyle w:val="CharacterStyle12"/>
              </w:rPr>
            </w:pPr>
            <w:r>
              <w:rPr>
                <w:rStyle w:val="CharacterStyle12"/>
              </w:rPr>
              <w:t>0,00</w:t>
            </w:r>
          </w:p>
        </w:tc>
      </w:tr>
      <w:tr w:rsidR="007D706A" w14:paraId="1B746A2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5DD1079" w14:textId="77777777" w:rsidR="007D706A" w:rsidRDefault="007D706A" w:rsidP="00F70508">
            <w:pPr>
              <w:pStyle w:val="ParagraphStyle10"/>
              <w:rPr>
                <w:rStyle w:val="CharacterStyle10"/>
              </w:rPr>
            </w:pPr>
            <w:r>
              <w:rPr>
                <w:rStyle w:val="CharacterStyle10"/>
              </w:rPr>
              <w:lastRenderedPageBreak/>
              <w:t>41</w:t>
            </w:r>
          </w:p>
        </w:tc>
        <w:tc>
          <w:tcPr>
            <w:tcW w:w="4995" w:type="dxa"/>
            <w:tcBorders>
              <w:bottom w:val="single" w:sz="6" w:space="0" w:color="000000"/>
              <w:right w:val="single" w:sz="6" w:space="0" w:color="000000"/>
            </w:tcBorders>
            <w:vAlign w:val="center"/>
          </w:tcPr>
          <w:p w14:paraId="6CCDE86B" w14:textId="77777777" w:rsidR="007D706A" w:rsidRDefault="007D706A" w:rsidP="00F70508">
            <w:pPr>
              <w:pStyle w:val="ParagraphStyle11"/>
              <w:rPr>
                <w:rStyle w:val="CharacterStyle11"/>
              </w:rPr>
            </w:pPr>
            <w:r>
              <w:rPr>
                <w:rStyle w:val="CharacterStyle11"/>
              </w:rPr>
              <w:t>Rashodi za nabavu neproizvedene dugotrajne imovine</w:t>
            </w:r>
          </w:p>
        </w:tc>
        <w:tc>
          <w:tcPr>
            <w:tcW w:w="1395" w:type="dxa"/>
            <w:tcBorders>
              <w:bottom w:val="single" w:sz="6" w:space="0" w:color="000000"/>
              <w:right w:val="single" w:sz="6" w:space="0" w:color="000000"/>
            </w:tcBorders>
            <w:vAlign w:val="center"/>
          </w:tcPr>
          <w:p w14:paraId="325A316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9252E47" w14:textId="77777777" w:rsidR="007D706A" w:rsidRDefault="007D706A" w:rsidP="00F70508">
            <w:pPr>
              <w:pStyle w:val="ParagraphStyle12"/>
              <w:rPr>
                <w:rStyle w:val="CharacterStyle12"/>
              </w:rPr>
            </w:pPr>
            <w:r>
              <w:rPr>
                <w:rStyle w:val="CharacterStyle12"/>
              </w:rPr>
              <w:t>65.599,69</w:t>
            </w:r>
          </w:p>
        </w:tc>
        <w:tc>
          <w:tcPr>
            <w:tcW w:w="1395" w:type="dxa"/>
            <w:tcBorders>
              <w:bottom w:val="single" w:sz="6" w:space="0" w:color="000000"/>
              <w:right w:val="single" w:sz="6" w:space="0" w:color="000000"/>
            </w:tcBorders>
            <w:vAlign w:val="center"/>
          </w:tcPr>
          <w:p w14:paraId="326D440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4D8233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2CB4721" w14:textId="77777777" w:rsidR="007D706A" w:rsidRDefault="007D706A" w:rsidP="00F70508">
            <w:pPr>
              <w:pStyle w:val="ParagraphStyle12"/>
              <w:rPr>
                <w:rStyle w:val="CharacterStyle12"/>
              </w:rPr>
            </w:pPr>
            <w:r>
              <w:rPr>
                <w:rStyle w:val="CharacterStyle12"/>
              </w:rPr>
              <w:t>0,00</w:t>
            </w:r>
          </w:p>
        </w:tc>
      </w:tr>
      <w:tr w:rsidR="007D706A" w14:paraId="750D803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C19E1C4" w14:textId="77777777" w:rsidR="007D706A" w:rsidRDefault="007D706A" w:rsidP="00F70508">
            <w:pPr>
              <w:pStyle w:val="ParagraphStyle10"/>
              <w:rPr>
                <w:rStyle w:val="CharacterStyle10"/>
              </w:rPr>
            </w:pPr>
            <w:r>
              <w:rPr>
                <w:rStyle w:val="CharacterStyle10"/>
              </w:rPr>
              <w:t>42</w:t>
            </w:r>
          </w:p>
        </w:tc>
        <w:tc>
          <w:tcPr>
            <w:tcW w:w="4995" w:type="dxa"/>
            <w:tcBorders>
              <w:bottom w:val="single" w:sz="6" w:space="0" w:color="000000"/>
              <w:right w:val="single" w:sz="6" w:space="0" w:color="000000"/>
            </w:tcBorders>
            <w:vAlign w:val="center"/>
          </w:tcPr>
          <w:p w14:paraId="67F6F67D"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085B14E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93D55DB" w14:textId="77777777" w:rsidR="007D706A" w:rsidRDefault="007D706A" w:rsidP="00F70508">
            <w:pPr>
              <w:pStyle w:val="ParagraphStyle12"/>
              <w:rPr>
                <w:rStyle w:val="CharacterStyle12"/>
              </w:rPr>
            </w:pPr>
            <w:r>
              <w:rPr>
                <w:rStyle w:val="CharacterStyle12"/>
              </w:rPr>
              <w:t>662.970,85</w:t>
            </w:r>
          </w:p>
        </w:tc>
        <w:tc>
          <w:tcPr>
            <w:tcW w:w="1395" w:type="dxa"/>
            <w:tcBorders>
              <w:bottom w:val="single" w:sz="6" w:space="0" w:color="000000"/>
              <w:right w:val="single" w:sz="6" w:space="0" w:color="000000"/>
            </w:tcBorders>
            <w:vAlign w:val="center"/>
          </w:tcPr>
          <w:p w14:paraId="3113830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496A6E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28D62A1" w14:textId="77777777" w:rsidR="007D706A" w:rsidRDefault="007D706A" w:rsidP="00F70508">
            <w:pPr>
              <w:pStyle w:val="ParagraphStyle12"/>
              <w:rPr>
                <w:rStyle w:val="CharacterStyle12"/>
              </w:rPr>
            </w:pPr>
            <w:r>
              <w:rPr>
                <w:rStyle w:val="CharacterStyle12"/>
              </w:rPr>
              <w:t>0,00</w:t>
            </w:r>
          </w:p>
        </w:tc>
      </w:tr>
      <w:tr w:rsidR="007D706A" w14:paraId="36252BF2" w14:textId="77777777" w:rsidTr="00F70508">
        <w:trPr>
          <w:trHeight w:val="420"/>
        </w:trPr>
        <w:tc>
          <w:tcPr>
            <w:tcW w:w="2880" w:type="dxa"/>
            <w:tcBorders>
              <w:left w:val="single" w:sz="6" w:space="0" w:color="000000"/>
              <w:bottom w:val="single" w:sz="6" w:space="0" w:color="000000"/>
              <w:right w:val="single" w:sz="6" w:space="0" w:color="000000"/>
            </w:tcBorders>
            <w:vAlign w:val="center"/>
          </w:tcPr>
          <w:p w14:paraId="21FDCED9" w14:textId="77777777" w:rsidR="007D706A" w:rsidRDefault="007D706A" w:rsidP="00F70508">
            <w:pPr>
              <w:pStyle w:val="ParagraphStyle4"/>
              <w:rPr>
                <w:rStyle w:val="CharacterStyle4"/>
              </w:rPr>
            </w:pPr>
            <w:r>
              <w:rPr>
                <w:rStyle w:val="CharacterStyle4"/>
              </w:rPr>
              <w:t>RAZDJEL    006</w:t>
            </w:r>
          </w:p>
        </w:tc>
        <w:tc>
          <w:tcPr>
            <w:tcW w:w="4995" w:type="dxa"/>
            <w:tcBorders>
              <w:bottom w:val="single" w:sz="6" w:space="0" w:color="000000"/>
              <w:right w:val="single" w:sz="6" w:space="0" w:color="000000"/>
            </w:tcBorders>
            <w:vAlign w:val="center"/>
          </w:tcPr>
          <w:p w14:paraId="20F52C48" w14:textId="77777777" w:rsidR="007D706A" w:rsidRDefault="007D706A" w:rsidP="00F70508">
            <w:pPr>
              <w:pStyle w:val="ParagraphStyle5"/>
              <w:rPr>
                <w:rStyle w:val="CharacterStyle5"/>
              </w:rPr>
            </w:pPr>
            <w:r>
              <w:rPr>
                <w:rStyle w:val="CharacterStyle5"/>
              </w:rPr>
              <w:t>R - UPRAVNI ODJEL ZA KOMUNALNO GOSPODARSTVO I IZGRADNJU</w:t>
            </w:r>
          </w:p>
        </w:tc>
        <w:tc>
          <w:tcPr>
            <w:tcW w:w="1395" w:type="dxa"/>
            <w:tcBorders>
              <w:bottom w:val="single" w:sz="6" w:space="0" w:color="000000"/>
              <w:right w:val="single" w:sz="6" w:space="0" w:color="000000"/>
            </w:tcBorders>
            <w:vAlign w:val="center"/>
          </w:tcPr>
          <w:p w14:paraId="78B08AA3"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27C3902B" w14:textId="77777777" w:rsidR="007D706A" w:rsidRDefault="007D706A" w:rsidP="00F70508">
            <w:pPr>
              <w:pStyle w:val="ParagraphStyle6"/>
              <w:rPr>
                <w:rStyle w:val="CharacterStyle6"/>
              </w:rPr>
            </w:pPr>
            <w:r>
              <w:rPr>
                <w:rStyle w:val="CharacterStyle6"/>
              </w:rPr>
              <w:t>27.083.064,00</w:t>
            </w:r>
          </w:p>
        </w:tc>
        <w:tc>
          <w:tcPr>
            <w:tcW w:w="1395" w:type="dxa"/>
            <w:tcBorders>
              <w:bottom w:val="single" w:sz="6" w:space="0" w:color="000000"/>
              <w:right w:val="single" w:sz="6" w:space="0" w:color="000000"/>
            </w:tcBorders>
            <w:vAlign w:val="center"/>
          </w:tcPr>
          <w:p w14:paraId="147E8C54" w14:textId="77777777" w:rsidR="007D706A" w:rsidRDefault="007D706A" w:rsidP="00F70508">
            <w:pPr>
              <w:pStyle w:val="ParagraphStyle6"/>
              <w:rPr>
                <w:rStyle w:val="CharacterStyle6"/>
              </w:rPr>
            </w:pPr>
            <w:r>
              <w:rPr>
                <w:rStyle w:val="CharacterStyle6"/>
              </w:rPr>
              <w:t>23.419.335,00</w:t>
            </w:r>
          </w:p>
        </w:tc>
        <w:tc>
          <w:tcPr>
            <w:tcW w:w="1395" w:type="dxa"/>
            <w:tcBorders>
              <w:bottom w:val="single" w:sz="6" w:space="0" w:color="000000"/>
              <w:right w:val="single" w:sz="6" w:space="0" w:color="000000"/>
            </w:tcBorders>
            <w:vAlign w:val="center"/>
          </w:tcPr>
          <w:p w14:paraId="55DA29A9" w14:textId="77777777" w:rsidR="007D706A" w:rsidRDefault="007D706A" w:rsidP="00F70508">
            <w:pPr>
              <w:pStyle w:val="ParagraphStyle6"/>
              <w:rPr>
                <w:rStyle w:val="CharacterStyle6"/>
              </w:rPr>
            </w:pPr>
            <w:r>
              <w:rPr>
                <w:rStyle w:val="CharacterStyle6"/>
              </w:rPr>
              <w:t>6.772.530,00</w:t>
            </w:r>
          </w:p>
        </w:tc>
        <w:tc>
          <w:tcPr>
            <w:tcW w:w="1395" w:type="dxa"/>
            <w:tcBorders>
              <w:bottom w:val="single" w:sz="6" w:space="0" w:color="000000"/>
              <w:right w:val="single" w:sz="6" w:space="0" w:color="000000"/>
            </w:tcBorders>
            <w:vAlign w:val="center"/>
          </w:tcPr>
          <w:p w14:paraId="2D7D2C9C" w14:textId="77777777" w:rsidR="007D706A" w:rsidRDefault="007D706A" w:rsidP="00F70508">
            <w:pPr>
              <w:pStyle w:val="ParagraphStyle6"/>
              <w:rPr>
                <w:rStyle w:val="CharacterStyle6"/>
              </w:rPr>
            </w:pPr>
            <w:r>
              <w:rPr>
                <w:rStyle w:val="CharacterStyle6"/>
              </w:rPr>
              <w:t>6.153.280,00</w:t>
            </w:r>
          </w:p>
        </w:tc>
      </w:tr>
      <w:tr w:rsidR="007D706A" w14:paraId="4888CF88" w14:textId="77777777" w:rsidTr="00F70508">
        <w:trPr>
          <w:trHeight w:val="405"/>
        </w:trPr>
        <w:tc>
          <w:tcPr>
            <w:tcW w:w="2880" w:type="dxa"/>
            <w:tcBorders>
              <w:left w:val="single" w:sz="6" w:space="0" w:color="000000"/>
              <w:bottom w:val="single" w:sz="6" w:space="0" w:color="000000"/>
              <w:right w:val="single" w:sz="6" w:space="0" w:color="000000"/>
            </w:tcBorders>
            <w:vAlign w:val="center"/>
          </w:tcPr>
          <w:p w14:paraId="4B13C37F" w14:textId="77777777" w:rsidR="007D706A" w:rsidRDefault="007D706A" w:rsidP="00F70508">
            <w:pPr>
              <w:pStyle w:val="ParagraphStyle4"/>
              <w:rPr>
                <w:rStyle w:val="CharacterStyle4"/>
              </w:rPr>
            </w:pPr>
            <w:r>
              <w:rPr>
                <w:rStyle w:val="CharacterStyle4"/>
              </w:rPr>
              <w:t>GLAVA    00601</w:t>
            </w:r>
          </w:p>
        </w:tc>
        <w:tc>
          <w:tcPr>
            <w:tcW w:w="4995" w:type="dxa"/>
            <w:tcBorders>
              <w:bottom w:val="single" w:sz="6" w:space="0" w:color="000000"/>
              <w:right w:val="single" w:sz="6" w:space="0" w:color="000000"/>
            </w:tcBorders>
            <w:vAlign w:val="center"/>
          </w:tcPr>
          <w:p w14:paraId="503FBE25" w14:textId="77777777" w:rsidR="007D706A" w:rsidRDefault="007D706A" w:rsidP="00F70508">
            <w:pPr>
              <w:pStyle w:val="ParagraphStyle5"/>
              <w:rPr>
                <w:rStyle w:val="CharacterStyle5"/>
              </w:rPr>
            </w:pPr>
            <w:r>
              <w:rPr>
                <w:rStyle w:val="CharacterStyle5"/>
              </w:rPr>
              <w:t>UPRAVNI ODJEL ZA KOMUNALNO GOSPODARSTVO I IZGRADNJU</w:t>
            </w:r>
          </w:p>
        </w:tc>
        <w:tc>
          <w:tcPr>
            <w:tcW w:w="1395" w:type="dxa"/>
            <w:tcBorders>
              <w:bottom w:val="single" w:sz="6" w:space="0" w:color="000000"/>
              <w:right w:val="single" w:sz="6" w:space="0" w:color="000000"/>
            </w:tcBorders>
            <w:vAlign w:val="center"/>
          </w:tcPr>
          <w:p w14:paraId="386E7792"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00EDE59F" w14:textId="77777777" w:rsidR="007D706A" w:rsidRDefault="007D706A" w:rsidP="00F70508">
            <w:pPr>
              <w:pStyle w:val="ParagraphStyle6"/>
              <w:rPr>
                <w:rStyle w:val="CharacterStyle6"/>
              </w:rPr>
            </w:pPr>
            <w:r>
              <w:rPr>
                <w:rStyle w:val="CharacterStyle6"/>
              </w:rPr>
              <w:t>27.083.064,00</w:t>
            </w:r>
          </w:p>
        </w:tc>
        <w:tc>
          <w:tcPr>
            <w:tcW w:w="1395" w:type="dxa"/>
            <w:tcBorders>
              <w:bottom w:val="single" w:sz="6" w:space="0" w:color="000000"/>
              <w:right w:val="single" w:sz="6" w:space="0" w:color="000000"/>
            </w:tcBorders>
            <w:vAlign w:val="center"/>
          </w:tcPr>
          <w:p w14:paraId="418EC679" w14:textId="77777777" w:rsidR="007D706A" w:rsidRDefault="007D706A" w:rsidP="00F70508">
            <w:pPr>
              <w:pStyle w:val="ParagraphStyle6"/>
              <w:rPr>
                <w:rStyle w:val="CharacterStyle6"/>
              </w:rPr>
            </w:pPr>
            <w:r>
              <w:rPr>
                <w:rStyle w:val="CharacterStyle6"/>
              </w:rPr>
              <w:t>23.419.335,00</w:t>
            </w:r>
          </w:p>
        </w:tc>
        <w:tc>
          <w:tcPr>
            <w:tcW w:w="1395" w:type="dxa"/>
            <w:tcBorders>
              <w:bottom w:val="single" w:sz="6" w:space="0" w:color="000000"/>
              <w:right w:val="single" w:sz="6" w:space="0" w:color="000000"/>
            </w:tcBorders>
            <w:vAlign w:val="center"/>
          </w:tcPr>
          <w:p w14:paraId="1D60F544" w14:textId="77777777" w:rsidR="007D706A" w:rsidRDefault="007D706A" w:rsidP="00F70508">
            <w:pPr>
              <w:pStyle w:val="ParagraphStyle6"/>
              <w:rPr>
                <w:rStyle w:val="CharacterStyle6"/>
              </w:rPr>
            </w:pPr>
            <w:r>
              <w:rPr>
                <w:rStyle w:val="CharacterStyle6"/>
              </w:rPr>
              <w:t>6.772.530,00</w:t>
            </w:r>
          </w:p>
        </w:tc>
        <w:tc>
          <w:tcPr>
            <w:tcW w:w="1395" w:type="dxa"/>
            <w:tcBorders>
              <w:bottom w:val="single" w:sz="6" w:space="0" w:color="000000"/>
              <w:right w:val="single" w:sz="6" w:space="0" w:color="000000"/>
            </w:tcBorders>
            <w:vAlign w:val="center"/>
          </w:tcPr>
          <w:p w14:paraId="2BADE076" w14:textId="77777777" w:rsidR="007D706A" w:rsidRDefault="007D706A" w:rsidP="00F70508">
            <w:pPr>
              <w:pStyle w:val="ParagraphStyle6"/>
              <w:rPr>
                <w:rStyle w:val="CharacterStyle6"/>
              </w:rPr>
            </w:pPr>
            <w:r>
              <w:rPr>
                <w:rStyle w:val="CharacterStyle6"/>
              </w:rPr>
              <w:t>6.153.280,00</w:t>
            </w:r>
          </w:p>
        </w:tc>
      </w:tr>
      <w:tr w:rsidR="007D706A" w14:paraId="687D3A2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38E64E1" w14:textId="77777777" w:rsidR="007D706A" w:rsidRDefault="007D706A" w:rsidP="00F70508">
            <w:pPr>
              <w:pStyle w:val="ParagraphStyle4"/>
              <w:rPr>
                <w:rStyle w:val="CharacterStyle4"/>
              </w:rPr>
            </w:pPr>
            <w:r>
              <w:rPr>
                <w:rStyle w:val="CharacterStyle4"/>
              </w:rPr>
              <w:t>Izvor financiranja 11</w:t>
            </w:r>
          </w:p>
        </w:tc>
        <w:tc>
          <w:tcPr>
            <w:tcW w:w="4995" w:type="dxa"/>
            <w:tcBorders>
              <w:bottom w:val="single" w:sz="6" w:space="0" w:color="000000"/>
              <w:right w:val="single" w:sz="6" w:space="0" w:color="000000"/>
            </w:tcBorders>
            <w:vAlign w:val="center"/>
          </w:tcPr>
          <w:p w14:paraId="48C0E8B9" w14:textId="77777777" w:rsidR="007D706A" w:rsidRDefault="007D706A" w:rsidP="00F70508">
            <w:pPr>
              <w:pStyle w:val="ParagraphStyle5"/>
              <w:rPr>
                <w:rStyle w:val="CharacterStyle5"/>
              </w:rPr>
            </w:pPr>
            <w:r>
              <w:rPr>
                <w:rStyle w:val="CharacterStyle5"/>
              </w:rPr>
              <w:t>Opći prihodi i primici</w:t>
            </w:r>
          </w:p>
        </w:tc>
        <w:tc>
          <w:tcPr>
            <w:tcW w:w="1395" w:type="dxa"/>
            <w:tcBorders>
              <w:bottom w:val="single" w:sz="6" w:space="0" w:color="000000"/>
              <w:right w:val="single" w:sz="6" w:space="0" w:color="000000"/>
            </w:tcBorders>
            <w:vAlign w:val="center"/>
          </w:tcPr>
          <w:p w14:paraId="2BACEB02"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23C0717D" w14:textId="77777777" w:rsidR="007D706A" w:rsidRDefault="007D706A" w:rsidP="00F70508">
            <w:pPr>
              <w:pStyle w:val="ParagraphStyle6"/>
              <w:rPr>
                <w:rStyle w:val="CharacterStyle6"/>
              </w:rPr>
            </w:pPr>
            <w:r>
              <w:rPr>
                <w:rStyle w:val="CharacterStyle6"/>
              </w:rPr>
              <w:t>2.291.467,97</w:t>
            </w:r>
          </w:p>
        </w:tc>
        <w:tc>
          <w:tcPr>
            <w:tcW w:w="1395" w:type="dxa"/>
            <w:tcBorders>
              <w:bottom w:val="single" w:sz="6" w:space="0" w:color="000000"/>
              <w:right w:val="single" w:sz="6" w:space="0" w:color="000000"/>
            </w:tcBorders>
            <w:vAlign w:val="center"/>
          </w:tcPr>
          <w:p w14:paraId="28CE8002" w14:textId="77777777" w:rsidR="007D706A" w:rsidRDefault="007D706A" w:rsidP="00F70508">
            <w:pPr>
              <w:pStyle w:val="ParagraphStyle6"/>
              <w:rPr>
                <w:rStyle w:val="CharacterStyle6"/>
              </w:rPr>
            </w:pPr>
            <w:r>
              <w:rPr>
                <w:rStyle w:val="CharacterStyle6"/>
              </w:rPr>
              <w:t>10.161.718,56</w:t>
            </w:r>
          </w:p>
        </w:tc>
        <w:tc>
          <w:tcPr>
            <w:tcW w:w="1395" w:type="dxa"/>
            <w:tcBorders>
              <w:bottom w:val="single" w:sz="6" w:space="0" w:color="000000"/>
              <w:right w:val="single" w:sz="6" w:space="0" w:color="000000"/>
            </w:tcBorders>
            <w:vAlign w:val="center"/>
          </w:tcPr>
          <w:p w14:paraId="15119E07" w14:textId="77777777" w:rsidR="007D706A" w:rsidRDefault="007D706A" w:rsidP="00F70508">
            <w:pPr>
              <w:pStyle w:val="ParagraphStyle6"/>
              <w:rPr>
                <w:rStyle w:val="CharacterStyle6"/>
              </w:rPr>
            </w:pPr>
            <w:r>
              <w:rPr>
                <w:rStyle w:val="CharacterStyle6"/>
              </w:rPr>
              <w:t>1.132.800,00</w:t>
            </w:r>
          </w:p>
        </w:tc>
        <w:tc>
          <w:tcPr>
            <w:tcW w:w="1395" w:type="dxa"/>
            <w:tcBorders>
              <w:bottom w:val="single" w:sz="6" w:space="0" w:color="000000"/>
              <w:right w:val="single" w:sz="6" w:space="0" w:color="000000"/>
            </w:tcBorders>
            <w:vAlign w:val="center"/>
          </w:tcPr>
          <w:p w14:paraId="5FE82917" w14:textId="77777777" w:rsidR="007D706A" w:rsidRDefault="007D706A" w:rsidP="00F70508">
            <w:pPr>
              <w:pStyle w:val="ParagraphStyle6"/>
              <w:rPr>
                <w:rStyle w:val="CharacterStyle6"/>
              </w:rPr>
            </w:pPr>
            <w:r>
              <w:rPr>
                <w:rStyle w:val="CharacterStyle6"/>
              </w:rPr>
              <w:t>1.211.750,00</w:t>
            </w:r>
          </w:p>
        </w:tc>
      </w:tr>
      <w:tr w:rsidR="007D706A" w14:paraId="5A369C9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72E0D52" w14:textId="77777777" w:rsidR="007D706A" w:rsidRDefault="007D706A" w:rsidP="00F70508">
            <w:pPr>
              <w:pStyle w:val="ParagraphStyle4"/>
              <w:rPr>
                <w:rStyle w:val="CharacterStyle4"/>
              </w:rPr>
            </w:pPr>
            <w:r>
              <w:rPr>
                <w:rStyle w:val="CharacterStyle4"/>
              </w:rPr>
              <w:t>Izvor financiranja 40</w:t>
            </w:r>
          </w:p>
        </w:tc>
        <w:tc>
          <w:tcPr>
            <w:tcW w:w="4995" w:type="dxa"/>
            <w:tcBorders>
              <w:bottom w:val="single" w:sz="6" w:space="0" w:color="000000"/>
              <w:right w:val="single" w:sz="6" w:space="0" w:color="000000"/>
            </w:tcBorders>
            <w:vAlign w:val="center"/>
          </w:tcPr>
          <w:p w14:paraId="2CC1BA03" w14:textId="77777777" w:rsidR="007D706A" w:rsidRDefault="007D706A" w:rsidP="00F70508">
            <w:pPr>
              <w:pStyle w:val="ParagraphStyle5"/>
              <w:rPr>
                <w:rStyle w:val="CharacterStyle5"/>
              </w:rPr>
            </w:pPr>
            <w:r>
              <w:rPr>
                <w:rStyle w:val="CharacterStyle5"/>
              </w:rPr>
              <w:t>Prihodi od komunalne naknade i komunalnog doprinosa</w:t>
            </w:r>
          </w:p>
        </w:tc>
        <w:tc>
          <w:tcPr>
            <w:tcW w:w="1395" w:type="dxa"/>
            <w:tcBorders>
              <w:bottom w:val="single" w:sz="6" w:space="0" w:color="000000"/>
              <w:right w:val="single" w:sz="6" w:space="0" w:color="000000"/>
            </w:tcBorders>
            <w:vAlign w:val="center"/>
          </w:tcPr>
          <w:p w14:paraId="1F09D9E9"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57F98ACC"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1B4E9512" w14:textId="77777777" w:rsidR="007D706A" w:rsidRDefault="007D706A" w:rsidP="00F70508">
            <w:pPr>
              <w:pStyle w:val="ParagraphStyle6"/>
              <w:rPr>
                <w:rStyle w:val="CharacterStyle6"/>
              </w:rPr>
            </w:pPr>
            <w:r>
              <w:rPr>
                <w:rStyle w:val="CharacterStyle6"/>
              </w:rPr>
              <w:t>3.889.595,13</w:t>
            </w:r>
          </w:p>
        </w:tc>
        <w:tc>
          <w:tcPr>
            <w:tcW w:w="1395" w:type="dxa"/>
            <w:tcBorders>
              <w:bottom w:val="single" w:sz="6" w:space="0" w:color="000000"/>
              <w:right w:val="single" w:sz="6" w:space="0" w:color="000000"/>
            </w:tcBorders>
            <w:vAlign w:val="center"/>
          </w:tcPr>
          <w:p w14:paraId="30B988AA" w14:textId="77777777" w:rsidR="007D706A" w:rsidRDefault="007D706A" w:rsidP="00F70508">
            <w:pPr>
              <w:pStyle w:val="ParagraphStyle6"/>
              <w:rPr>
                <w:rStyle w:val="CharacterStyle6"/>
              </w:rPr>
            </w:pPr>
            <w:r>
              <w:rPr>
                <w:rStyle w:val="CharacterStyle6"/>
              </w:rPr>
              <w:t>5.028.680,00</w:t>
            </w:r>
          </w:p>
        </w:tc>
        <w:tc>
          <w:tcPr>
            <w:tcW w:w="1395" w:type="dxa"/>
            <w:tcBorders>
              <w:bottom w:val="single" w:sz="6" w:space="0" w:color="000000"/>
              <w:right w:val="single" w:sz="6" w:space="0" w:color="000000"/>
            </w:tcBorders>
            <w:vAlign w:val="center"/>
          </w:tcPr>
          <w:p w14:paraId="58BCB347" w14:textId="77777777" w:rsidR="007D706A" w:rsidRDefault="007D706A" w:rsidP="00F70508">
            <w:pPr>
              <w:pStyle w:val="ParagraphStyle6"/>
              <w:rPr>
                <w:rStyle w:val="CharacterStyle6"/>
              </w:rPr>
            </w:pPr>
            <w:r>
              <w:rPr>
                <w:rStyle w:val="CharacterStyle6"/>
              </w:rPr>
              <w:t>3.963.380,00</w:t>
            </w:r>
          </w:p>
        </w:tc>
      </w:tr>
      <w:tr w:rsidR="007D706A" w14:paraId="2114608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C22E323" w14:textId="77777777" w:rsidR="007D706A" w:rsidRDefault="007D706A" w:rsidP="00F70508">
            <w:pPr>
              <w:pStyle w:val="ParagraphStyle4"/>
              <w:rPr>
                <w:rStyle w:val="CharacterStyle4"/>
              </w:rPr>
            </w:pPr>
            <w:r>
              <w:rPr>
                <w:rStyle w:val="CharacterStyle4"/>
              </w:rPr>
              <w:t>Izvor financiranja 41</w:t>
            </w:r>
          </w:p>
        </w:tc>
        <w:tc>
          <w:tcPr>
            <w:tcW w:w="4995" w:type="dxa"/>
            <w:tcBorders>
              <w:bottom w:val="single" w:sz="6" w:space="0" w:color="000000"/>
              <w:right w:val="single" w:sz="6" w:space="0" w:color="000000"/>
            </w:tcBorders>
            <w:vAlign w:val="center"/>
          </w:tcPr>
          <w:p w14:paraId="6170A714" w14:textId="77777777" w:rsidR="007D706A" w:rsidRDefault="007D706A" w:rsidP="00F70508">
            <w:pPr>
              <w:pStyle w:val="ParagraphStyle5"/>
              <w:rPr>
                <w:rStyle w:val="CharacterStyle5"/>
              </w:rPr>
            </w:pPr>
            <w:r>
              <w:rPr>
                <w:rStyle w:val="CharacterStyle5"/>
              </w:rPr>
              <w:t>Prihodi za posebne namjene</w:t>
            </w:r>
          </w:p>
        </w:tc>
        <w:tc>
          <w:tcPr>
            <w:tcW w:w="1395" w:type="dxa"/>
            <w:tcBorders>
              <w:bottom w:val="single" w:sz="6" w:space="0" w:color="000000"/>
              <w:right w:val="single" w:sz="6" w:space="0" w:color="000000"/>
            </w:tcBorders>
            <w:vAlign w:val="center"/>
          </w:tcPr>
          <w:p w14:paraId="39C6A3BA"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1483DAE8" w14:textId="77777777" w:rsidR="007D706A" w:rsidRDefault="007D706A" w:rsidP="00F70508">
            <w:pPr>
              <w:pStyle w:val="ParagraphStyle6"/>
              <w:rPr>
                <w:rStyle w:val="CharacterStyle6"/>
              </w:rPr>
            </w:pPr>
            <w:r>
              <w:rPr>
                <w:rStyle w:val="CharacterStyle6"/>
              </w:rPr>
              <w:t>4.581.470,13</w:t>
            </w:r>
          </w:p>
        </w:tc>
        <w:tc>
          <w:tcPr>
            <w:tcW w:w="1395" w:type="dxa"/>
            <w:tcBorders>
              <w:bottom w:val="single" w:sz="6" w:space="0" w:color="000000"/>
              <w:right w:val="single" w:sz="6" w:space="0" w:color="000000"/>
            </w:tcBorders>
            <w:vAlign w:val="center"/>
          </w:tcPr>
          <w:p w14:paraId="2171C2EF"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24501DB2"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30900B75" w14:textId="77777777" w:rsidR="007D706A" w:rsidRDefault="007D706A" w:rsidP="00F70508">
            <w:pPr>
              <w:pStyle w:val="ParagraphStyle6"/>
              <w:rPr>
                <w:rStyle w:val="CharacterStyle6"/>
              </w:rPr>
            </w:pPr>
            <w:r>
              <w:rPr>
                <w:rStyle w:val="CharacterStyle6"/>
              </w:rPr>
              <w:t>0,00</w:t>
            </w:r>
          </w:p>
        </w:tc>
      </w:tr>
      <w:tr w:rsidR="007D706A" w14:paraId="6839345C" w14:textId="77777777" w:rsidTr="00F70508">
        <w:trPr>
          <w:trHeight w:val="375"/>
        </w:trPr>
        <w:tc>
          <w:tcPr>
            <w:tcW w:w="2880" w:type="dxa"/>
            <w:tcBorders>
              <w:left w:val="single" w:sz="6" w:space="0" w:color="000000"/>
              <w:bottom w:val="single" w:sz="6" w:space="0" w:color="000000"/>
              <w:right w:val="single" w:sz="6" w:space="0" w:color="000000"/>
            </w:tcBorders>
            <w:vAlign w:val="center"/>
          </w:tcPr>
          <w:p w14:paraId="25C7A011" w14:textId="77777777" w:rsidR="007D706A" w:rsidRDefault="007D706A" w:rsidP="00F70508">
            <w:pPr>
              <w:pStyle w:val="ParagraphStyle4"/>
              <w:rPr>
                <w:rStyle w:val="CharacterStyle4"/>
              </w:rPr>
            </w:pPr>
            <w:r>
              <w:rPr>
                <w:rStyle w:val="CharacterStyle4"/>
              </w:rPr>
              <w:t>Izvor financiranja 42</w:t>
            </w:r>
          </w:p>
        </w:tc>
        <w:tc>
          <w:tcPr>
            <w:tcW w:w="4995" w:type="dxa"/>
            <w:tcBorders>
              <w:bottom w:val="single" w:sz="6" w:space="0" w:color="000000"/>
              <w:right w:val="single" w:sz="6" w:space="0" w:color="000000"/>
            </w:tcBorders>
            <w:vAlign w:val="center"/>
          </w:tcPr>
          <w:p w14:paraId="7654662B" w14:textId="77777777" w:rsidR="007D706A" w:rsidRDefault="007D706A" w:rsidP="00F70508">
            <w:pPr>
              <w:pStyle w:val="ParagraphStyle5"/>
              <w:rPr>
                <w:rStyle w:val="CharacterStyle5"/>
              </w:rPr>
            </w:pPr>
            <w:r>
              <w:rPr>
                <w:rStyle w:val="CharacterStyle5"/>
              </w:rPr>
              <w:t>Prihodi od spomeničke rente</w:t>
            </w:r>
          </w:p>
        </w:tc>
        <w:tc>
          <w:tcPr>
            <w:tcW w:w="1395" w:type="dxa"/>
            <w:tcBorders>
              <w:bottom w:val="single" w:sz="6" w:space="0" w:color="000000"/>
              <w:right w:val="single" w:sz="6" w:space="0" w:color="000000"/>
            </w:tcBorders>
            <w:vAlign w:val="center"/>
          </w:tcPr>
          <w:p w14:paraId="1EE07017"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2338EE8F"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5A24B35F" w14:textId="77777777" w:rsidR="007D706A" w:rsidRDefault="007D706A" w:rsidP="00F70508">
            <w:pPr>
              <w:pStyle w:val="ParagraphStyle6"/>
              <w:rPr>
                <w:rStyle w:val="CharacterStyle6"/>
              </w:rPr>
            </w:pPr>
            <w:r>
              <w:rPr>
                <w:rStyle w:val="CharacterStyle6"/>
              </w:rPr>
              <w:t>140.502,00</w:t>
            </w:r>
          </w:p>
        </w:tc>
        <w:tc>
          <w:tcPr>
            <w:tcW w:w="1395" w:type="dxa"/>
            <w:tcBorders>
              <w:bottom w:val="single" w:sz="6" w:space="0" w:color="000000"/>
              <w:right w:val="single" w:sz="6" w:space="0" w:color="000000"/>
            </w:tcBorders>
            <w:vAlign w:val="center"/>
          </w:tcPr>
          <w:p w14:paraId="4D023208" w14:textId="77777777" w:rsidR="007D706A" w:rsidRDefault="007D706A" w:rsidP="00F70508">
            <w:pPr>
              <w:pStyle w:val="ParagraphStyle6"/>
              <w:rPr>
                <w:rStyle w:val="CharacterStyle6"/>
              </w:rPr>
            </w:pPr>
            <w:r>
              <w:rPr>
                <w:rStyle w:val="CharacterStyle6"/>
              </w:rPr>
              <w:t>140.000,00</w:t>
            </w:r>
          </w:p>
        </w:tc>
        <w:tc>
          <w:tcPr>
            <w:tcW w:w="1395" w:type="dxa"/>
            <w:tcBorders>
              <w:bottom w:val="single" w:sz="6" w:space="0" w:color="000000"/>
              <w:right w:val="single" w:sz="6" w:space="0" w:color="000000"/>
            </w:tcBorders>
            <w:vAlign w:val="center"/>
          </w:tcPr>
          <w:p w14:paraId="684633AC" w14:textId="77777777" w:rsidR="007D706A" w:rsidRDefault="007D706A" w:rsidP="00F70508">
            <w:pPr>
              <w:pStyle w:val="ParagraphStyle6"/>
              <w:rPr>
                <w:rStyle w:val="CharacterStyle6"/>
              </w:rPr>
            </w:pPr>
            <w:r>
              <w:rPr>
                <w:rStyle w:val="CharacterStyle6"/>
              </w:rPr>
              <w:t>125.000,00</w:t>
            </w:r>
          </w:p>
        </w:tc>
      </w:tr>
      <w:tr w:rsidR="007D706A" w14:paraId="438FFB5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59A9652" w14:textId="77777777" w:rsidR="007D706A" w:rsidRDefault="007D706A" w:rsidP="00F70508">
            <w:pPr>
              <w:pStyle w:val="ParagraphStyle4"/>
              <w:rPr>
                <w:rStyle w:val="CharacterStyle4"/>
              </w:rPr>
            </w:pPr>
            <w:r>
              <w:rPr>
                <w:rStyle w:val="CharacterStyle4"/>
              </w:rPr>
              <w:t>Izvor financiranja 43</w:t>
            </w:r>
          </w:p>
        </w:tc>
        <w:tc>
          <w:tcPr>
            <w:tcW w:w="4995" w:type="dxa"/>
            <w:tcBorders>
              <w:bottom w:val="single" w:sz="6" w:space="0" w:color="000000"/>
              <w:right w:val="single" w:sz="6" w:space="0" w:color="000000"/>
            </w:tcBorders>
            <w:vAlign w:val="center"/>
          </w:tcPr>
          <w:p w14:paraId="4685AD04" w14:textId="77777777" w:rsidR="007D706A" w:rsidRDefault="007D706A" w:rsidP="00F70508">
            <w:pPr>
              <w:pStyle w:val="ParagraphStyle5"/>
              <w:rPr>
                <w:rStyle w:val="CharacterStyle5"/>
              </w:rPr>
            </w:pPr>
            <w:r>
              <w:rPr>
                <w:rStyle w:val="CharacterStyle5"/>
              </w:rPr>
              <w:t>Ostali prihodi za posebne namjene</w:t>
            </w:r>
          </w:p>
        </w:tc>
        <w:tc>
          <w:tcPr>
            <w:tcW w:w="1395" w:type="dxa"/>
            <w:tcBorders>
              <w:bottom w:val="single" w:sz="6" w:space="0" w:color="000000"/>
              <w:right w:val="single" w:sz="6" w:space="0" w:color="000000"/>
            </w:tcBorders>
            <w:vAlign w:val="center"/>
          </w:tcPr>
          <w:p w14:paraId="114B5B95"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1305108A"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44583475" w14:textId="77777777" w:rsidR="007D706A" w:rsidRDefault="007D706A" w:rsidP="00F70508">
            <w:pPr>
              <w:pStyle w:val="ParagraphStyle6"/>
              <w:rPr>
                <w:rStyle w:val="CharacterStyle6"/>
              </w:rPr>
            </w:pPr>
            <w:r>
              <w:rPr>
                <w:rStyle w:val="CharacterStyle6"/>
              </w:rPr>
              <w:t>939.978,44</w:t>
            </w:r>
          </w:p>
        </w:tc>
        <w:tc>
          <w:tcPr>
            <w:tcW w:w="1395" w:type="dxa"/>
            <w:tcBorders>
              <w:bottom w:val="single" w:sz="6" w:space="0" w:color="000000"/>
              <w:right w:val="single" w:sz="6" w:space="0" w:color="000000"/>
            </w:tcBorders>
            <w:vAlign w:val="center"/>
          </w:tcPr>
          <w:p w14:paraId="06E13A6F" w14:textId="77777777" w:rsidR="007D706A" w:rsidRDefault="007D706A" w:rsidP="00F70508">
            <w:pPr>
              <w:pStyle w:val="ParagraphStyle6"/>
              <w:rPr>
                <w:rStyle w:val="CharacterStyle6"/>
              </w:rPr>
            </w:pPr>
            <w:r>
              <w:rPr>
                <w:rStyle w:val="CharacterStyle6"/>
              </w:rPr>
              <w:t>422.550,00</w:t>
            </w:r>
          </w:p>
        </w:tc>
        <w:tc>
          <w:tcPr>
            <w:tcW w:w="1395" w:type="dxa"/>
            <w:tcBorders>
              <w:bottom w:val="single" w:sz="6" w:space="0" w:color="000000"/>
              <w:right w:val="single" w:sz="6" w:space="0" w:color="000000"/>
            </w:tcBorders>
            <w:vAlign w:val="center"/>
          </w:tcPr>
          <w:p w14:paraId="098B6435" w14:textId="77777777" w:rsidR="007D706A" w:rsidRDefault="007D706A" w:rsidP="00F70508">
            <w:pPr>
              <w:pStyle w:val="ParagraphStyle6"/>
              <w:rPr>
                <w:rStyle w:val="CharacterStyle6"/>
              </w:rPr>
            </w:pPr>
            <w:r>
              <w:rPr>
                <w:rStyle w:val="CharacterStyle6"/>
              </w:rPr>
              <w:t>804.150,00</w:t>
            </w:r>
          </w:p>
        </w:tc>
      </w:tr>
      <w:tr w:rsidR="007D706A" w14:paraId="5ECB3C5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5AA8B15" w14:textId="77777777" w:rsidR="007D706A" w:rsidRDefault="007D706A" w:rsidP="00F70508">
            <w:pPr>
              <w:pStyle w:val="ParagraphStyle4"/>
              <w:rPr>
                <w:rStyle w:val="CharacterStyle4"/>
              </w:rPr>
            </w:pPr>
            <w:r>
              <w:rPr>
                <w:rStyle w:val="CharacterStyle4"/>
              </w:rPr>
              <w:t>Izvor financiranja 50</w:t>
            </w:r>
          </w:p>
        </w:tc>
        <w:tc>
          <w:tcPr>
            <w:tcW w:w="4995" w:type="dxa"/>
            <w:tcBorders>
              <w:bottom w:val="single" w:sz="6" w:space="0" w:color="000000"/>
              <w:right w:val="single" w:sz="6" w:space="0" w:color="000000"/>
            </w:tcBorders>
            <w:vAlign w:val="center"/>
          </w:tcPr>
          <w:p w14:paraId="7AA660DE" w14:textId="77777777" w:rsidR="007D706A" w:rsidRDefault="007D706A" w:rsidP="00F70508">
            <w:pPr>
              <w:pStyle w:val="ParagraphStyle5"/>
              <w:rPr>
                <w:rStyle w:val="CharacterStyle5"/>
              </w:rPr>
            </w:pPr>
            <w:r>
              <w:rPr>
                <w:rStyle w:val="CharacterStyle5"/>
              </w:rPr>
              <w:t>Pomoći iz državnog proračuna</w:t>
            </w:r>
          </w:p>
        </w:tc>
        <w:tc>
          <w:tcPr>
            <w:tcW w:w="1395" w:type="dxa"/>
            <w:tcBorders>
              <w:bottom w:val="single" w:sz="6" w:space="0" w:color="000000"/>
              <w:right w:val="single" w:sz="6" w:space="0" w:color="000000"/>
            </w:tcBorders>
            <w:vAlign w:val="center"/>
          </w:tcPr>
          <w:p w14:paraId="5BDF2659"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1ACF0E5C" w14:textId="77777777" w:rsidR="007D706A" w:rsidRDefault="007D706A" w:rsidP="00F70508">
            <w:pPr>
              <w:pStyle w:val="ParagraphStyle6"/>
              <w:rPr>
                <w:rStyle w:val="CharacterStyle6"/>
              </w:rPr>
            </w:pPr>
            <w:r>
              <w:rPr>
                <w:rStyle w:val="CharacterStyle6"/>
              </w:rPr>
              <w:t>48.096,00</w:t>
            </w:r>
          </w:p>
        </w:tc>
        <w:tc>
          <w:tcPr>
            <w:tcW w:w="1395" w:type="dxa"/>
            <w:tcBorders>
              <w:bottom w:val="single" w:sz="6" w:space="0" w:color="000000"/>
              <w:right w:val="single" w:sz="6" w:space="0" w:color="000000"/>
            </w:tcBorders>
            <w:vAlign w:val="center"/>
          </w:tcPr>
          <w:p w14:paraId="146693BA" w14:textId="77777777" w:rsidR="007D706A" w:rsidRDefault="007D706A" w:rsidP="00F70508">
            <w:pPr>
              <w:pStyle w:val="ParagraphStyle6"/>
              <w:rPr>
                <w:rStyle w:val="CharacterStyle6"/>
              </w:rPr>
            </w:pPr>
            <w:r>
              <w:rPr>
                <w:rStyle w:val="CharacterStyle6"/>
              </w:rPr>
              <w:t>26.944,56</w:t>
            </w:r>
          </w:p>
        </w:tc>
        <w:tc>
          <w:tcPr>
            <w:tcW w:w="1395" w:type="dxa"/>
            <w:tcBorders>
              <w:bottom w:val="single" w:sz="6" w:space="0" w:color="000000"/>
              <w:right w:val="single" w:sz="6" w:space="0" w:color="000000"/>
            </w:tcBorders>
            <w:vAlign w:val="center"/>
          </w:tcPr>
          <w:p w14:paraId="3E3DF1CE" w14:textId="77777777" w:rsidR="007D706A" w:rsidRDefault="007D706A" w:rsidP="00F70508">
            <w:pPr>
              <w:pStyle w:val="ParagraphStyle6"/>
              <w:rPr>
                <w:rStyle w:val="CharacterStyle6"/>
              </w:rPr>
            </w:pPr>
            <w:r>
              <w:rPr>
                <w:rStyle w:val="CharacterStyle6"/>
              </w:rPr>
              <w:t>28.500,00</w:t>
            </w:r>
          </w:p>
        </w:tc>
        <w:tc>
          <w:tcPr>
            <w:tcW w:w="1395" w:type="dxa"/>
            <w:tcBorders>
              <w:bottom w:val="single" w:sz="6" w:space="0" w:color="000000"/>
              <w:right w:val="single" w:sz="6" w:space="0" w:color="000000"/>
            </w:tcBorders>
            <w:vAlign w:val="center"/>
          </w:tcPr>
          <w:p w14:paraId="69723E41" w14:textId="77777777" w:rsidR="007D706A" w:rsidRDefault="007D706A" w:rsidP="00F70508">
            <w:pPr>
              <w:pStyle w:val="ParagraphStyle6"/>
              <w:rPr>
                <w:rStyle w:val="CharacterStyle6"/>
              </w:rPr>
            </w:pPr>
            <w:r>
              <w:rPr>
                <w:rStyle w:val="CharacterStyle6"/>
              </w:rPr>
              <w:t>34.000,00</w:t>
            </w:r>
          </w:p>
        </w:tc>
      </w:tr>
      <w:tr w:rsidR="007D706A" w14:paraId="6B77FF1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5D60788" w14:textId="77777777" w:rsidR="007D706A" w:rsidRDefault="007D706A" w:rsidP="00F70508">
            <w:pPr>
              <w:pStyle w:val="ParagraphStyle4"/>
              <w:rPr>
                <w:rStyle w:val="CharacterStyle4"/>
              </w:rPr>
            </w:pPr>
            <w:r>
              <w:rPr>
                <w:rStyle w:val="CharacterStyle4"/>
              </w:rPr>
              <w:t>Izvor financiranja 53</w:t>
            </w:r>
          </w:p>
        </w:tc>
        <w:tc>
          <w:tcPr>
            <w:tcW w:w="4995" w:type="dxa"/>
            <w:tcBorders>
              <w:bottom w:val="single" w:sz="6" w:space="0" w:color="000000"/>
              <w:right w:val="single" w:sz="6" w:space="0" w:color="000000"/>
            </w:tcBorders>
            <w:vAlign w:val="center"/>
          </w:tcPr>
          <w:p w14:paraId="6EEBBBE7" w14:textId="77777777" w:rsidR="007D706A" w:rsidRDefault="007D706A" w:rsidP="00F70508">
            <w:pPr>
              <w:pStyle w:val="ParagraphStyle5"/>
              <w:rPr>
                <w:rStyle w:val="CharacterStyle5"/>
              </w:rPr>
            </w:pPr>
            <w:r>
              <w:rPr>
                <w:rStyle w:val="CharacterStyle5"/>
              </w:rPr>
              <w:t>Proračuni, drugi nivoi - za posebne i / ili ugovorene namjene</w:t>
            </w:r>
          </w:p>
        </w:tc>
        <w:tc>
          <w:tcPr>
            <w:tcW w:w="1395" w:type="dxa"/>
            <w:tcBorders>
              <w:bottom w:val="single" w:sz="6" w:space="0" w:color="000000"/>
              <w:right w:val="single" w:sz="6" w:space="0" w:color="000000"/>
            </w:tcBorders>
            <w:vAlign w:val="center"/>
          </w:tcPr>
          <w:p w14:paraId="64948267"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305BA26E" w14:textId="77777777" w:rsidR="007D706A" w:rsidRDefault="007D706A" w:rsidP="00F70508">
            <w:pPr>
              <w:pStyle w:val="ParagraphStyle6"/>
              <w:rPr>
                <w:rStyle w:val="CharacterStyle6"/>
              </w:rPr>
            </w:pPr>
            <w:r>
              <w:rPr>
                <w:rStyle w:val="CharacterStyle6"/>
              </w:rPr>
              <w:t>57.996,24</w:t>
            </w:r>
          </w:p>
        </w:tc>
        <w:tc>
          <w:tcPr>
            <w:tcW w:w="1395" w:type="dxa"/>
            <w:tcBorders>
              <w:bottom w:val="single" w:sz="6" w:space="0" w:color="000000"/>
              <w:right w:val="single" w:sz="6" w:space="0" w:color="000000"/>
            </w:tcBorders>
            <w:vAlign w:val="center"/>
          </w:tcPr>
          <w:p w14:paraId="467316D9"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48406836"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69EAB03D" w14:textId="77777777" w:rsidR="007D706A" w:rsidRDefault="007D706A" w:rsidP="00F70508">
            <w:pPr>
              <w:pStyle w:val="ParagraphStyle6"/>
              <w:rPr>
                <w:rStyle w:val="CharacterStyle6"/>
              </w:rPr>
            </w:pPr>
            <w:r>
              <w:rPr>
                <w:rStyle w:val="CharacterStyle6"/>
              </w:rPr>
              <w:t>0,00</w:t>
            </w:r>
          </w:p>
        </w:tc>
      </w:tr>
      <w:tr w:rsidR="007D706A" w14:paraId="6493DF9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581AA2F" w14:textId="77777777" w:rsidR="007D706A" w:rsidRDefault="007D706A" w:rsidP="00F70508">
            <w:pPr>
              <w:pStyle w:val="ParagraphStyle4"/>
              <w:rPr>
                <w:rStyle w:val="CharacterStyle4"/>
              </w:rPr>
            </w:pPr>
            <w:r>
              <w:rPr>
                <w:rStyle w:val="CharacterStyle4"/>
              </w:rPr>
              <w:t>Izvor financiranja 54</w:t>
            </w:r>
          </w:p>
        </w:tc>
        <w:tc>
          <w:tcPr>
            <w:tcW w:w="4995" w:type="dxa"/>
            <w:tcBorders>
              <w:bottom w:val="single" w:sz="6" w:space="0" w:color="000000"/>
              <w:right w:val="single" w:sz="6" w:space="0" w:color="000000"/>
            </w:tcBorders>
            <w:vAlign w:val="center"/>
          </w:tcPr>
          <w:p w14:paraId="0A6ABA19" w14:textId="77777777" w:rsidR="007D706A" w:rsidRDefault="007D706A" w:rsidP="00F70508">
            <w:pPr>
              <w:pStyle w:val="ParagraphStyle5"/>
              <w:rPr>
                <w:rStyle w:val="CharacterStyle5"/>
              </w:rPr>
            </w:pPr>
            <w:r>
              <w:rPr>
                <w:rStyle w:val="CharacterStyle5"/>
              </w:rPr>
              <w:t>Pomoći tijela i fondova EU</w:t>
            </w:r>
          </w:p>
        </w:tc>
        <w:tc>
          <w:tcPr>
            <w:tcW w:w="1395" w:type="dxa"/>
            <w:tcBorders>
              <w:bottom w:val="single" w:sz="6" w:space="0" w:color="000000"/>
              <w:right w:val="single" w:sz="6" w:space="0" w:color="000000"/>
            </w:tcBorders>
            <w:vAlign w:val="center"/>
          </w:tcPr>
          <w:p w14:paraId="3B720FA6"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21CF207C" w14:textId="77777777" w:rsidR="007D706A" w:rsidRDefault="007D706A" w:rsidP="00F70508">
            <w:pPr>
              <w:pStyle w:val="ParagraphStyle6"/>
              <w:rPr>
                <w:rStyle w:val="CharacterStyle6"/>
              </w:rPr>
            </w:pPr>
            <w:r>
              <w:rPr>
                <w:rStyle w:val="CharacterStyle6"/>
              </w:rPr>
              <w:t>4.810.515,14</w:t>
            </w:r>
          </w:p>
        </w:tc>
        <w:tc>
          <w:tcPr>
            <w:tcW w:w="1395" w:type="dxa"/>
            <w:tcBorders>
              <w:bottom w:val="single" w:sz="6" w:space="0" w:color="000000"/>
              <w:right w:val="single" w:sz="6" w:space="0" w:color="000000"/>
            </w:tcBorders>
            <w:vAlign w:val="center"/>
          </w:tcPr>
          <w:p w14:paraId="221DEBF9"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70F26866"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1E9C130F" w14:textId="77777777" w:rsidR="007D706A" w:rsidRDefault="007D706A" w:rsidP="00F70508">
            <w:pPr>
              <w:pStyle w:val="ParagraphStyle6"/>
              <w:rPr>
                <w:rStyle w:val="CharacterStyle6"/>
              </w:rPr>
            </w:pPr>
            <w:r>
              <w:rPr>
                <w:rStyle w:val="CharacterStyle6"/>
              </w:rPr>
              <w:t>0,00</w:t>
            </w:r>
          </w:p>
        </w:tc>
      </w:tr>
      <w:tr w:rsidR="007D706A" w14:paraId="20E0031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7F6A0F2" w14:textId="77777777" w:rsidR="007D706A" w:rsidRDefault="007D706A" w:rsidP="00F70508">
            <w:pPr>
              <w:pStyle w:val="ParagraphStyle4"/>
              <w:rPr>
                <w:rStyle w:val="CharacterStyle4"/>
              </w:rPr>
            </w:pPr>
            <w:r>
              <w:rPr>
                <w:rStyle w:val="CharacterStyle4"/>
              </w:rPr>
              <w:t>Izvor financiranja 581</w:t>
            </w:r>
          </w:p>
        </w:tc>
        <w:tc>
          <w:tcPr>
            <w:tcW w:w="4995" w:type="dxa"/>
            <w:tcBorders>
              <w:bottom w:val="single" w:sz="6" w:space="0" w:color="000000"/>
              <w:right w:val="single" w:sz="6" w:space="0" w:color="000000"/>
            </w:tcBorders>
            <w:vAlign w:val="center"/>
          </w:tcPr>
          <w:p w14:paraId="6B8910A5" w14:textId="77777777" w:rsidR="007D706A" w:rsidRDefault="007D706A" w:rsidP="00F70508">
            <w:pPr>
              <w:pStyle w:val="ParagraphStyle5"/>
              <w:rPr>
                <w:rStyle w:val="CharacterStyle5"/>
              </w:rPr>
            </w:pPr>
            <w:r>
              <w:rPr>
                <w:rStyle w:val="CharacterStyle5"/>
              </w:rPr>
              <w:t>Mehanizam za oporavak i otpornost – bespovratna sredstva</w:t>
            </w:r>
          </w:p>
        </w:tc>
        <w:tc>
          <w:tcPr>
            <w:tcW w:w="1395" w:type="dxa"/>
            <w:tcBorders>
              <w:bottom w:val="single" w:sz="6" w:space="0" w:color="000000"/>
              <w:right w:val="single" w:sz="6" w:space="0" w:color="000000"/>
            </w:tcBorders>
            <w:vAlign w:val="center"/>
          </w:tcPr>
          <w:p w14:paraId="045074A5"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1D97843B"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58B89E4E" w14:textId="77777777" w:rsidR="007D706A" w:rsidRDefault="007D706A" w:rsidP="00F70508">
            <w:pPr>
              <w:pStyle w:val="ParagraphStyle6"/>
              <w:rPr>
                <w:rStyle w:val="CharacterStyle6"/>
              </w:rPr>
            </w:pPr>
            <w:r>
              <w:rPr>
                <w:rStyle w:val="CharacterStyle6"/>
              </w:rPr>
              <w:t>8.220.131,94</w:t>
            </w:r>
          </w:p>
        </w:tc>
        <w:tc>
          <w:tcPr>
            <w:tcW w:w="1395" w:type="dxa"/>
            <w:tcBorders>
              <w:bottom w:val="single" w:sz="6" w:space="0" w:color="000000"/>
              <w:right w:val="single" w:sz="6" w:space="0" w:color="000000"/>
            </w:tcBorders>
            <w:vAlign w:val="center"/>
          </w:tcPr>
          <w:p w14:paraId="3D9DEC21"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6E788700" w14:textId="77777777" w:rsidR="007D706A" w:rsidRDefault="007D706A" w:rsidP="00F70508">
            <w:pPr>
              <w:pStyle w:val="ParagraphStyle6"/>
              <w:rPr>
                <w:rStyle w:val="CharacterStyle6"/>
              </w:rPr>
            </w:pPr>
            <w:r>
              <w:rPr>
                <w:rStyle w:val="CharacterStyle6"/>
              </w:rPr>
              <w:t>0,00</w:t>
            </w:r>
          </w:p>
        </w:tc>
      </w:tr>
      <w:tr w:rsidR="007D706A" w14:paraId="59586AE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CE4299B" w14:textId="77777777" w:rsidR="007D706A" w:rsidRDefault="007D706A" w:rsidP="00F70508">
            <w:pPr>
              <w:pStyle w:val="ParagraphStyle4"/>
              <w:rPr>
                <w:rStyle w:val="CharacterStyle4"/>
              </w:rPr>
            </w:pPr>
            <w:r>
              <w:rPr>
                <w:rStyle w:val="CharacterStyle4"/>
              </w:rPr>
              <w:t>Izvor financiranja 61</w:t>
            </w:r>
          </w:p>
        </w:tc>
        <w:tc>
          <w:tcPr>
            <w:tcW w:w="4995" w:type="dxa"/>
            <w:tcBorders>
              <w:bottom w:val="single" w:sz="6" w:space="0" w:color="000000"/>
              <w:right w:val="single" w:sz="6" w:space="0" w:color="000000"/>
            </w:tcBorders>
            <w:vAlign w:val="center"/>
          </w:tcPr>
          <w:p w14:paraId="681CF061" w14:textId="77777777" w:rsidR="007D706A" w:rsidRDefault="007D706A" w:rsidP="00F70508">
            <w:pPr>
              <w:pStyle w:val="ParagraphStyle5"/>
              <w:rPr>
                <w:rStyle w:val="CharacterStyle5"/>
              </w:rPr>
            </w:pPr>
            <w:r>
              <w:rPr>
                <w:rStyle w:val="CharacterStyle5"/>
              </w:rPr>
              <w:t>Donacije</w:t>
            </w:r>
          </w:p>
        </w:tc>
        <w:tc>
          <w:tcPr>
            <w:tcW w:w="1395" w:type="dxa"/>
            <w:tcBorders>
              <w:bottom w:val="single" w:sz="6" w:space="0" w:color="000000"/>
              <w:right w:val="single" w:sz="6" w:space="0" w:color="000000"/>
            </w:tcBorders>
            <w:vAlign w:val="center"/>
          </w:tcPr>
          <w:p w14:paraId="393EA79C"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33B0D481" w14:textId="77777777" w:rsidR="007D706A" w:rsidRDefault="007D706A" w:rsidP="00F70508">
            <w:pPr>
              <w:pStyle w:val="ParagraphStyle6"/>
              <w:rPr>
                <w:rStyle w:val="CharacterStyle6"/>
              </w:rPr>
            </w:pPr>
            <w:r>
              <w:rPr>
                <w:rStyle w:val="CharacterStyle6"/>
              </w:rPr>
              <w:t>7.039,54</w:t>
            </w:r>
          </w:p>
        </w:tc>
        <w:tc>
          <w:tcPr>
            <w:tcW w:w="1395" w:type="dxa"/>
            <w:tcBorders>
              <w:bottom w:val="single" w:sz="6" w:space="0" w:color="000000"/>
              <w:right w:val="single" w:sz="6" w:space="0" w:color="000000"/>
            </w:tcBorders>
            <w:vAlign w:val="center"/>
          </w:tcPr>
          <w:p w14:paraId="21D5219F" w14:textId="77777777" w:rsidR="007D706A" w:rsidRDefault="007D706A" w:rsidP="00F70508">
            <w:pPr>
              <w:pStyle w:val="ParagraphStyle6"/>
              <w:rPr>
                <w:rStyle w:val="CharacterStyle6"/>
              </w:rPr>
            </w:pPr>
            <w:r>
              <w:rPr>
                <w:rStyle w:val="CharacterStyle6"/>
              </w:rPr>
              <w:t>40.464,37</w:t>
            </w:r>
          </w:p>
        </w:tc>
        <w:tc>
          <w:tcPr>
            <w:tcW w:w="1395" w:type="dxa"/>
            <w:tcBorders>
              <w:bottom w:val="single" w:sz="6" w:space="0" w:color="000000"/>
              <w:right w:val="single" w:sz="6" w:space="0" w:color="000000"/>
            </w:tcBorders>
            <w:vAlign w:val="center"/>
          </w:tcPr>
          <w:p w14:paraId="0877928D" w14:textId="77777777" w:rsidR="007D706A" w:rsidRDefault="007D706A" w:rsidP="00F70508">
            <w:pPr>
              <w:pStyle w:val="ParagraphStyle6"/>
              <w:rPr>
                <w:rStyle w:val="CharacterStyle6"/>
              </w:rPr>
            </w:pPr>
            <w:r>
              <w:rPr>
                <w:rStyle w:val="CharacterStyle6"/>
              </w:rPr>
              <w:t>20.000,00</w:t>
            </w:r>
          </w:p>
        </w:tc>
        <w:tc>
          <w:tcPr>
            <w:tcW w:w="1395" w:type="dxa"/>
            <w:tcBorders>
              <w:bottom w:val="single" w:sz="6" w:space="0" w:color="000000"/>
              <w:right w:val="single" w:sz="6" w:space="0" w:color="000000"/>
            </w:tcBorders>
            <w:vAlign w:val="center"/>
          </w:tcPr>
          <w:p w14:paraId="6E3DF121" w14:textId="77777777" w:rsidR="007D706A" w:rsidRDefault="007D706A" w:rsidP="00F70508">
            <w:pPr>
              <w:pStyle w:val="ParagraphStyle6"/>
              <w:rPr>
                <w:rStyle w:val="CharacterStyle6"/>
              </w:rPr>
            </w:pPr>
            <w:r>
              <w:rPr>
                <w:rStyle w:val="CharacterStyle6"/>
              </w:rPr>
              <w:t>15.000,00</w:t>
            </w:r>
          </w:p>
        </w:tc>
      </w:tr>
      <w:tr w:rsidR="007D706A" w14:paraId="2D56AE66"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0094F85" w14:textId="77777777" w:rsidR="007D706A" w:rsidRDefault="007D706A" w:rsidP="00F70508">
            <w:pPr>
              <w:pStyle w:val="ParagraphStyle4"/>
              <w:rPr>
                <w:rStyle w:val="CharacterStyle4"/>
              </w:rPr>
            </w:pPr>
            <w:r>
              <w:rPr>
                <w:rStyle w:val="CharacterStyle4"/>
              </w:rPr>
              <w:t>Izvor financiranja 82</w:t>
            </w:r>
          </w:p>
        </w:tc>
        <w:tc>
          <w:tcPr>
            <w:tcW w:w="4995" w:type="dxa"/>
            <w:tcBorders>
              <w:bottom w:val="single" w:sz="6" w:space="0" w:color="000000"/>
              <w:right w:val="single" w:sz="6" w:space="0" w:color="000000"/>
            </w:tcBorders>
            <w:vAlign w:val="center"/>
          </w:tcPr>
          <w:p w14:paraId="703C7EF9" w14:textId="77777777" w:rsidR="007D706A" w:rsidRDefault="007D706A" w:rsidP="00F70508">
            <w:pPr>
              <w:pStyle w:val="ParagraphStyle5"/>
              <w:rPr>
                <w:rStyle w:val="CharacterStyle5"/>
              </w:rPr>
            </w:pPr>
            <w:r>
              <w:rPr>
                <w:rStyle w:val="CharacterStyle5"/>
              </w:rPr>
              <w:t>Preneseni viškovi iz ranijih godina</w:t>
            </w:r>
          </w:p>
        </w:tc>
        <w:tc>
          <w:tcPr>
            <w:tcW w:w="1395" w:type="dxa"/>
            <w:tcBorders>
              <w:bottom w:val="single" w:sz="6" w:space="0" w:color="000000"/>
              <w:right w:val="single" w:sz="6" w:space="0" w:color="000000"/>
            </w:tcBorders>
            <w:vAlign w:val="center"/>
          </w:tcPr>
          <w:p w14:paraId="5BE0189B"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3F1CDFC7" w14:textId="77777777" w:rsidR="007D706A" w:rsidRDefault="007D706A" w:rsidP="00F70508">
            <w:pPr>
              <w:pStyle w:val="ParagraphStyle6"/>
              <w:rPr>
                <w:rStyle w:val="CharacterStyle6"/>
              </w:rPr>
            </w:pPr>
            <w:r>
              <w:rPr>
                <w:rStyle w:val="CharacterStyle6"/>
              </w:rPr>
              <w:t>15.286.478,98</w:t>
            </w:r>
          </w:p>
        </w:tc>
        <w:tc>
          <w:tcPr>
            <w:tcW w:w="1395" w:type="dxa"/>
            <w:tcBorders>
              <w:bottom w:val="single" w:sz="6" w:space="0" w:color="000000"/>
              <w:right w:val="single" w:sz="6" w:space="0" w:color="000000"/>
            </w:tcBorders>
            <w:vAlign w:val="center"/>
          </w:tcPr>
          <w:p w14:paraId="51C1BD98"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10934411"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7CA6FD77" w14:textId="77777777" w:rsidR="007D706A" w:rsidRDefault="007D706A" w:rsidP="00F70508">
            <w:pPr>
              <w:pStyle w:val="ParagraphStyle6"/>
              <w:rPr>
                <w:rStyle w:val="CharacterStyle6"/>
              </w:rPr>
            </w:pPr>
            <w:r>
              <w:rPr>
                <w:rStyle w:val="CharacterStyle6"/>
              </w:rPr>
              <w:t>0,00</w:t>
            </w:r>
          </w:p>
        </w:tc>
      </w:tr>
      <w:tr w:rsidR="007D706A" w14:paraId="238B2E5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16D55BE" w14:textId="77777777" w:rsidR="007D706A" w:rsidRDefault="007D706A" w:rsidP="00F70508">
            <w:pPr>
              <w:pStyle w:val="ParagraphStyle4"/>
              <w:rPr>
                <w:rStyle w:val="CharacterStyle4"/>
              </w:rPr>
            </w:pPr>
            <w:r>
              <w:rPr>
                <w:rStyle w:val="CharacterStyle4"/>
              </w:rPr>
              <w:t>PROGRAM    1003</w:t>
            </w:r>
          </w:p>
        </w:tc>
        <w:tc>
          <w:tcPr>
            <w:tcW w:w="4995" w:type="dxa"/>
            <w:tcBorders>
              <w:bottom w:val="single" w:sz="6" w:space="0" w:color="000000"/>
              <w:right w:val="single" w:sz="6" w:space="0" w:color="000000"/>
            </w:tcBorders>
            <w:vAlign w:val="center"/>
          </w:tcPr>
          <w:p w14:paraId="0A7F604C" w14:textId="77777777" w:rsidR="007D706A" w:rsidRDefault="007D706A" w:rsidP="00F70508">
            <w:pPr>
              <w:pStyle w:val="ParagraphStyle5"/>
              <w:rPr>
                <w:rStyle w:val="CharacterStyle5"/>
              </w:rPr>
            </w:pPr>
            <w:r>
              <w:rPr>
                <w:rStyle w:val="CharacterStyle5"/>
              </w:rPr>
              <w:t>MJERE I AKTIVNOSTI IZ DJELOKRUGA UPRAVNOG TIJELA</w:t>
            </w:r>
          </w:p>
        </w:tc>
        <w:tc>
          <w:tcPr>
            <w:tcW w:w="1395" w:type="dxa"/>
            <w:tcBorders>
              <w:bottom w:val="single" w:sz="6" w:space="0" w:color="000000"/>
              <w:right w:val="single" w:sz="6" w:space="0" w:color="000000"/>
            </w:tcBorders>
            <w:vAlign w:val="center"/>
          </w:tcPr>
          <w:p w14:paraId="539E0A44"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70FCB78E"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2A1AAF29" w14:textId="77777777" w:rsidR="007D706A" w:rsidRDefault="007D706A" w:rsidP="00F70508">
            <w:pPr>
              <w:pStyle w:val="ParagraphStyle6"/>
              <w:rPr>
                <w:rStyle w:val="CharacterStyle6"/>
              </w:rPr>
            </w:pPr>
            <w:r>
              <w:rPr>
                <w:rStyle w:val="CharacterStyle6"/>
              </w:rPr>
              <w:t>26.500,00</w:t>
            </w:r>
          </w:p>
        </w:tc>
        <w:tc>
          <w:tcPr>
            <w:tcW w:w="1395" w:type="dxa"/>
            <w:tcBorders>
              <w:bottom w:val="single" w:sz="6" w:space="0" w:color="000000"/>
              <w:right w:val="single" w:sz="6" w:space="0" w:color="000000"/>
            </w:tcBorders>
            <w:vAlign w:val="center"/>
          </w:tcPr>
          <w:p w14:paraId="5CBE7303" w14:textId="77777777" w:rsidR="007D706A" w:rsidRDefault="007D706A" w:rsidP="00F70508">
            <w:pPr>
              <w:pStyle w:val="ParagraphStyle6"/>
              <w:rPr>
                <w:rStyle w:val="CharacterStyle6"/>
              </w:rPr>
            </w:pPr>
            <w:r>
              <w:rPr>
                <w:rStyle w:val="CharacterStyle6"/>
              </w:rPr>
              <w:t>24.200,00</w:t>
            </w:r>
          </w:p>
        </w:tc>
        <w:tc>
          <w:tcPr>
            <w:tcW w:w="1395" w:type="dxa"/>
            <w:tcBorders>
              <w:bottom w:val="single" w:sz="6" w:space="0" w:color="000000"/>
              <w:right w:val="single" w:sz="6" w:space="0" w:color="000000"/>
            </w:tcBorders>
            <w:vAlign w:val="center"/>
          </w:tcPr>
          <w:p w14:paraId="114F1FFF" w14:textId="77777777" w:rsidR="007D706A" w:rsidRDefault="007D706A" w:rsidP="00F70508">
            <w:pPr>
              <w:pStyle w:val="ParagraphStyle6"/>
              <w:rPr>
                <w:rStyle w:val="CharacterStyle6"/>
              </w:rPr>
            </w:pPr>
            <w:r>
              <w:rPr>
                <w:rStyle w:val="CharacterStyle6"/>
              </w:rPr>
              <w:t>22.500,00</w:t>
            </w:r>
          </w:p>
        </w:tc>
      </w:tr>
      <w:tr w:rsidR="007D706A" w14:paraId="1B3D5EC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D7C8124" w14:textId="77777777" w:rsidR="007D706A" w:rsidRDefault="007D706A" w:rsidP="00F70508">
            <w:pPr>
              <w:pStyle w:val="ParagraphStyle4"/>
              <w:rPr>
                <w:rStyle w:val="CharacterStyle4"/>
              </w:rPr>
            </w:pPr>
            <w:r>
              <w:rPr>
                <w:rStyle w:val="CharacterStyle4"/>
              </w:rPr>
              <w:t>Aktivnost A100304</w:t>
            </w:r>
          </w:p>
        </w:tc>
        <w:tc>
          <w:tcPr>
            <w:tcW w:w="4995" w:type="dxa"/>
            <w:tcBorders>
              <w:bottom w:val="single" w:sz="6" w:space="0" w:color="000000"/>
              <w:right w:val="single" w:sz="6" w:space="0" w:color="000000"/>
            </w:tcBorders>
            <w:vAlign w:val="center"/>
          </w:tcPr>
          <w:p w14:paraId="1C72FFE5" w14:textId="77777777" w:rsidR="007D706A" w:rsidRDefault="007D706A" w:rsidP="00F70508">
            <w:pPr>
              <w:pStyle w:val="ParagraphStyle5"/>
              <w:rPr>
                <w:rStyle w:val="CharacterStyle5"/>
              </w:rPr>
            </w:pPr>
            <w:r>
              <w:rPr>
                <w:rStyle w:val="CharacterStyle5"/>
              </w:rPr>
              <w:t>KONZULTANTSKE USLUGE</w:t>
            </w:r>
          </w:p>
        </w:tc>
        <w:tc>
          <w:tcPr>
            <w:tcW w:w="1395" w:type="dxa"/>
            <w:tcBorders>
              <w:bottom w:val="single" w:sz="6" w:space="0" w:color="000000"/>
              <w:right w:val="single" w:sz="6" w:space="0" w:color="000000"/>
            </w:tcBorders>
            <w:vAlign w:val="center"/>
          </w:tcPr>
          <w:p w14:paraId="02CFC86A"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78484446"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0770335D" w14:textId="77777777" w:rsidR="007D706A" w:rsidRDefault="007D706A" w:rsidP="00F70508">
            <w:pPr>
              <w:pStyle w:val="ParagraphStyle6"/>
              <w:rPr>
                <w:rStyle w:val="CharacterStyle6"/>
              </w:rPr>
            </w:pPr>
            <w:r>
              <w:rPr>
                <w:rStyle w:val="CharacterStyle6"/>
              </w:rPr>
              <w:t>26.500,00</w:t>
            </w:r>
          </w:p>
        </w:tc>
        <w:tc>
          <w:tcPr>
            <w:tcW w:w="1395" w:type="dxa"/>
            <w:tcBorders>
              <w:bottom w:val="single" w:sz="6" w:space="0" w:color="000000"/>
              <w:right w:val="single" w:sz="6" w:space="0" w:color="000000"/>
            </w:tcBorders>
            <w:vAlign w:val="center"/>
          </w:tcPr>
          <w:p w14:paraId="766F19A0" w14:textId="77777777" w:rsidR="007D706A" w:rsidRDefault="007D706A" w:rsidP="00F70508">
            <w:pPr>
              <w:pStyle w:val="ParagraphStyle6"/>
              <w:rPr>
                <w:rStyle w:val="CharacterStyle6"/>
              </w:rPr>
            </w:pPr>
            <w:r>
              <w:rPr>
                <w:rStyle w:val="CharacterStyle6"/>
              </w:rPr>
              <w:t>24.200,00</w:t>
            </w:r>
          </w:p>
        </w:tc>
        <w:tc>
          <w:tcPr>
            <w:tcW w:w="1395" w:type="dxa"/>
            <w:tcBorders>
              <w:bottom w:val="single" w:sz="6" w:space="0" w:color="000000"/>
              <w:right w:val="single" w:sz="6" w:space="0" w:color="000000"/>
            </w:tcBorders>
            <w:vAlign w:val="center"/>
          </w:tcPr>
          <w:p w14:paraId="1F36FAB9" w14:textId="77777777" w:rsidR="007D706A" w:rsidRDefault="007D706A" w:rsidP="00F70508">
            <w:pPr>
              <w:pStyle w:val="ParagraphStyle6"/>
              <w:rPr>
                <w:rStyle w:val="CharacterStyle6"/>
              </w:rPr>
            </w:pPr>
            <w:r>
              <w:rPr>
                <w:rStyle w:val="CharacterStyle6"/>
              </w:rPr>
              <w:t>22.500,00</w:t>
            </w:r>
          </w:p>
        </w:tc>
      </w:tr>
      <w:tr w:rsidR="007D706A" w14:paraId="739A09F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C68D9E6" w14:textId="77777777" w:rsidR="007D706A" w:rsidRDefault="007D706A" w:rsidP="00F70508">
            <w:pPr>
              <w:pStyle w:val="ParagraphStyle7"/>
              <w:rPr>
                <w:rStyle w:val="CharacterStyle7"/>
              </w:rPr>
            </w:pPr>
            <w:r>
              <w:rPr>
                <w:rStyle w:val="CharacterStyle7"/>
              </w:rPr>
              <w:t>Izvor financiranja 43</w:t>
            </w:r>
          </w:p>
        </w:tc>
        <w:tc>
          <w:tcPr>
            <w:tcW w:w="4995" w:type="dxa"/>
            <w:tcBorders>
              <w:bottom w:val="single" w:sz="6" w:space="0" w:color="000000"/>
              <w:right w:val="single" w:sz="6" w:space="0" w:color="000000"/>
            </w:tcBorders>
            <w:vAlign w:val="center"/>
          </w:tcPr>
          <w:p w14:paraId="7D7C007A" w14:textId="77777777" w:rsidR="007D706A" w:rsidRDefault="007D706A" w:rsidP="00F70508">
            <w:pPr>
              <w:pStyle w:val="ParagraphStyle8"/>
              <w:rPr>
                <w:rStyle w:val="CharacterStyle8"/>
              </w:rPr>
            </w:pPr>
            <w:r>
              <w:rPr>
                <w:rStyle w:val="CharacterStyle8"/>
              </w:rPr>
              <w:t>Ostali prihodi za posebne namjene</w:t>
            </w:r>
          </w:p>
        </w:tc>
        <w:tc>
          <w:tcPr>
            <w:tcW w:w="1395" w:type="dxa"/>
            <w:tcBorders>
              <w:bottom w:val="single" w:sz="6" w:space="0" w:color="000000"/>
              <w:right w:val="single" w:sz="6" w:space="0" w:color="000000"/>
            </w:tcBorders>
            <w:vAlign w:val="center"/>
          </w:tcPr>
          <w:p w14:paraId="192B43CE"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BD4F680"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4015CFA" w14:textId="77777777" w:rsidR="007D706A" w:rsidRDefault="007D706A" w:rsidP="00F70508">
            <w:pPr>
              <w:pStyle w:val="ParagraphStyle9"/>
              <w:rPr>
                <w:rStyle w:val="CharacterStyle9"/>
              </w:rPr>
            </w:pPr>
            <w:r>
              <w:rPr>
                <w:rStyle w:val="CharacterStyle9"/>
              </w:rPr>
              <w:t>26.500,00</w:t>
            </w:r>
          </w:p>
        </w:tc>
        <w:tc>
          <w:tcPr>
            <w:tcW w:w="1395" w:type="dxa"/>
            <w:tcBorders>
              <w:bottom w:val="single" w:sz="6" w:space="0" w:color="000000"/>
              <w:right w:val="single" w:sz="6" w:space="0" w:color="000000"/>
            </w:tcBorders>
            <w:vAlign w:val="center"/>
          </w:tcPr>
          <w:p w14:paraId="63589971" w14:textId="77777777" w:rsidR="007D706A" w:rsidRDefault="007D706A" w:rsidP="00F70508">
            <w:pPr>
              <w:pStyle w:val="ParagraphStyle9"/>
              <w:rPr>
                <w:rStyle w:val="CharacterStyle9"/>
              </w:rPr>
            </w:pPr>
            <w:r>
              <w:rPr>
                <w:rStyle w:val="CharacterStyle9"/>
              </w:rPr>
              <w:t>24.200,00</w:t>
            </w:r>
          </w:p>
        </w:tc>
        <w:tc>
          <w:tcPr>
            <w:tcW w:w="1395" w:type="dxa"/>
            <w:tcBorders>
              <w:bottom w:val="single" w:sz="6" w:space="0" w:color="000000"/>
              <w:right w:val="single" w:sz="6" w:space="0" w:color="000000"/>
            </w:tcBorders>
            <w:vAlign w:val="center"/>
          </w:tcPr>
          <w:p w14:paraId="59036DD9" w14:textId="77777777" w:rsidR="007D706A" w:rsidRDefault="007D706A" w:rsidP="00F70508">
            <w:pPr>
              <w:pStyle w:val="ParagraphStyle9"/>
              <w:rPr>
                <w:rStyle w:val="CharacterStyle9"/>
              </w:rPr>
            </w:pPr>
            <w:r>
              <w:rPr>
                <w:rStyle w:val="CharacterStyle9"/>
              </w:rPr>
              <w:t>22.500,00</w:t>
            </w:r>
          </w:p>
        </w:tc>
      </w:tr>
      <w:tr w:rsidR="007D706A" w14:paraId="70BF717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77CB399"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0602EC65"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3933A34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D0AAFC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E075EB4" w14:textId="77777777" w:rsidR="007D706A" w:rsidRDefault="007D706A" w:rsidP="00F70508">
            <w:pPr>
              <w:pStyle w:val="ParagraphStyle12"/>
              <w:rPr>
                <w:rStyle w:val="CharacterStyle12"/>
              </w:rPr>
            </w:pPr>
            <w:r>
              <w:rPr>
                <w:rStyle w:val="CharacterStyle12"/>
              </w:rPr>
              <w:t>26.500,00</w:t>
            </w:r>
          </w:p>
        </w:tc>
        <w:tc>
          <w:tcPr>
            <w:tcW w:w="1395" w:type="dxa"/>
            <w:tcBorders>
              <w:bottom w:val="single" w:sz="6" w:space="0" w:color="000000"/>
              <w:right w:val="single" w:sz="6" w:space="0" w:color="000000"/>
            </w:tcBorders>
            <w:vAlign w:val="center"/>
          </w:tcPr>
          <w:p w14:paraId="2BC91CAC" w14:textId="77777777" w:rsidR="007D706A" w:rsidRDefault="007D706A" w:rsidP="00F70508">
            <w:pPr>
              <w:pStyle w:val="ParagraphStyle12"/>
              <w:rPr>
                <w:rStyle w:val="CharacterStyle12"/>
              </w:rPr>
            </w:pPr>
            <w:r>
              <w:rPr>
                <w:rStyle w:val="CharacterStyle12"/>
              </w:rPr>
              <w:t>24.200,00</w:t>
            </w:r>
          </w:p>
        </w:tc>
        <w:tc>
          <w:tcPr>
            <w:tcW w:w="1395" w:type="dxa"/>
            <w:tcBorders>
              <w:bottom w:val="single" w:sz="6" w:space="0" w:color="000000"/>
              <w:right w:val="single" w:sz="6" w:space="0" w:color="000000"/>
            </w:tcBorders>
            <w:vAlign w:val="center"/>
          </w:tcPr>
          <w:p w14:paraId="5D5DC0EF" w14:textId="77777777" w:rsidR="007D706A" w:rsidRDefault="007D706A" w:rsidP="00F70508">
            <w:pPr>
              <w:pStyle w:val="ParagraphStyle12"/>
              <w:rPr>
                <w:rStyle w:val="CharacterStyle12"/>
              </w:rPr>
            </w:pPr>
            <w:r>
              <w:rPr>
                <w:rStyle w:val="CharacterStyle12"/>
              </w:rPr>
              <w:t>22.500,00</w:t>
            </w:r>
          </w:p>
        </w:tc>
      </w:tr>
      <w:tr w:rsidR="007D706A" w14:paraId="7006FC0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B7161A8"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47BC727A"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2380835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43AA1D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85F0EF8" w14:textId="77777777" w:rsidR="007D706A" w:rsidRDefault="007D706A" w:rsidP="00F70508">
            <w:pPr>
              <w:pStyle w:val="ParagraphStyle12"/>
              <w:rPr>
                <w:rStyle w:val="CharacterStyle12"/>
              </w:rPr>
            </w:pPr>
            <w:r>
              <w:rPr>
                <w:rStyle w:val="CharacterStyle12"/>
              </w:rPr>
              <w:t>26.500,00</w:t>
            </w:r>
          </w:p>
        </w:tc>
        <w:tc>
          <w:tcPr>
            <w:tcW w:w="1395" w:type="dxa"/>
            <w:tcBorders>
              <w:bottom w:val="single" w:sz="6" w:space="0" w:color="000000"/>
              <w:right w:val="single" w:sz="6" w:space="0" w:color="000000"/>
            </w:tcBorders>
            <w:vAlign w:val="center"/>
          </w:tcPr>
          <w:p w14:paraId="61CE0879" w14:textId="77777777" w:rsidR="007D706A" w:rsidRDefault="007D706A" w:rsidP="00F70508">
            <w:pPr>
              <w:pStyle w:val="ParagraphStyle12"/>
              <w:rPr>
                <w:rStyle w:val="CharacterStyle12"/>
              </w:rPr>
            </w:pPr>
            <w:r>
              <w:rPr>
                <w:rStyle w:val="CharacterStyle12"/>
              </w:rPr>
              <w:t>24.200,00</w:t>
            </w:r>
          </w:p>
        </w:tc>
        <w:tc>
          <w:tcPr>
            <w:tcW w:w="1395" w:type="dxa"/>
            <w:tcBorders>
              <w:bottom w:val="single" w:sz="6" w:space="0" w:color="000000"/>
              <w:right w:val="single" w:sz="6" w:space="0" w:color="000000"/>
            </w:tcBorders>
            <w:vAlign w:val="center"/>
          </w:tcPr>
          <w:p w14:paraId="3827F5A1" w14:textId="77777777" w:rsidR="007D706A" w:rsidRDefault="007D706A" w:rsidP="00F70508">
            <w:pPr>
              <w:pStyle w:val="ParagraphStyle12"/>
              <w:rPr>
                <w:rStyle w:val="CharacterStyle12"/>
              </w:rPr>
            </w:pPr>
            <w:r>
              <w:rPr>
                <w:rStyle w:val="CharacterStyle12"/>
              </w:rPr>
              <w:t>22.500,00</w:t>
            </w:r>
          </w:p>
        </w:tc>
      </w:tr>
      <w:tr w:rsidR="007D706A" w14:paraId="364C375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6FE7606" w14:textId="77777777" w:rsidR="007D706A" w:rsidRDefault="007D706A" w:rsidP="00F70508">
            <w:pPr>
              <w:pStyle w:val="ParagraphStyle4"/>
              <w:rPr>
                <w:rStyle w:val="CharacterStyle4"/>
              </w:rPr>
            </w:pPr>
            <w:r>
              <w:rPr>
                <w:rStyle w:val="CharacterStyle4"/>
              </w:rPr>
              <w:t>PROGRAM    1014</w:t>
            </w:r>
          </w:p>
        </w:tc>
        <w:tc>
          <w:tcPr>
            <w:tcW w:w="4995" w:type="dxa"/>
            <w:tcBorders>
              <w:bottom w:val="single" w:sz="6" w:space="0" w:color="000000"/>
              <w:right w:val="single" w:sz="6" w:space="0" w:color="000000"/>
            </w:tcBorders>
            <w:vAlign w:val="center"/>
          </w:tcPr>
          <w:p w14:paraId="7B029EEA" w14:textId="77777777" w:rsidR="007D706A" w:rsidRDefault="007D706A" w:rsidP="00F70508">
            <w:pPr>
              <w:pStyle w:val="ParagraphStyle5"/>
              <w:rPr>
                <w:rStyle w:val="CharacterStyle5"/>
              </w:rPr>
            </w:pPr>
            <w:r>
              <w:rPr>
                <w:rStyle w:val="CharacterStyle5"/>
              </w:rPr>
              <w:t>GRAĐENJE OBJEKATA</w:t>
            </w:r>
          </w:p>
        </w:tc>
        <w:tc>
          <w:tcPr>
            <w:tcW w:w="1395" w:type="dxa"/>
            <w:tcBorders>
              <w:bottom w:val="single" w:sz="6" w:space="0" w:color="000000"/>
              <w:right w:val="single" w:sz="6" w:space="0" w:color="000000"/>
            </w:tcBorders>
            <w:vAlign w:val="center"/>
          </w:tcPr>
          <w:p w14:paraId="2E9775F0"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039446A4" w14:textId="77777777" w:rsidR="007D706A" w:rsidRDefault="007D706A" w:rsidP="00F70508">
            <w:pPr>
              <w:pStyle w:val="ParagraphStyle6"/>
              <w:rPr>
                <w:rStyle w:val="CharacterStyle6"/>
              </w:rPr>
            </w:pPr>
            <w:r>
              <w:rPr>
                <w:rStyle w:val="CharacterStyle6"/>
              </w:rPr>
              <w:t>22.267.348,00</w:t>
            </w:r>
          </w:p>
        </w:tc>
        <w:tc>
          <w:tcPr>
            <w:tcW w:w="1395" w:type="dxa"/>
            <w:tcBorders>
              <w:bottom w:val="single" w:sz="6" w:space="0" w:color="000000"/>
              <w:right w:val="single" w:sz="6" w:space="0" w:color="000000"/>
            </w:tcBorders>
            <w:vAlign w:val="center"/>
          </w:tcPr>
          <w:p w14:paraId="6A66BBDF" w14:textId="77777777" w:rsidR="007D706A" w:rsidRDefault="007D706A" w:rsidP="00F70508">
            <w:pPr>
              <w:pStyle w:val="ParagraphStyle6"/>
              <w:rPr>
                <w:rStyle w:val="CharacterStyle6"/>
              </w:rPr>
            </w:pPr>
            <w:r>
              <w:rPr>
                <w:rStyle w:val="CharacterStyle6"/>
              </w:rPr>
              <w:t>19.038.180,00</w:t>
            </w:r>
          </w:p>
        </w:tc>
        <w:tc>
          <w:tcPr>
            <w:tcW w:w="1395" w:type="dxa"/>
            <w:tcBorders>
              <w:bottom w:val="single" w:sz="6" w:space="0" w:color="000000"/>
              <w:right w:val="single" w:sz="6" w:space="0" w:color="000000"/>
            </w:tcBorders>
            <w:vAlign w:val="center"/>
          </w:tcPr>
          <w:p w14:paraId="02423FFE" w14:textId="77777777" w:rsidR="007D706A" w:rsidRDefault="007D706A" w:rsidP="00F70508">
            <w:pPr>
              <w:pStyle w:val="ParagraphStyle6"/>
              <w:rPr>
                <w:rStyle w:val="CharacterStyle6"/>
              </w:rPr>
            </w:pPr>
            <w:r>
              <w:rPr>
                <w:rStyle w:val="CharacterStyle6"/>
              </w:rPr>
              <w:t>2.644.550,00</w:t>
            </w:r>
          </w:p>
        </w:tc>
        <w:tc>
          <w:tcPr>
            <w:tcW w:w="1395" w:type="dxa"/>
            <w:tcBorders>
              <w:bottom w:val="single" w:sz="6" w:space="0" w:color="000000"/>
              <w:right w:val="single" w:sz="6" w:space="0" w:color="000000"/>
            </w:tcBorders>
            <w:vAlign w:val="center"/>
          </w:tcPr>
          <w:p w14:paraId="429DAEEB" w14:textId="77777777" w:rsidR="007D706A" w:rsidRDefault="007D706A" w:rsidP="00F70508">
            <w:pPr>
              <w:pStyle w:val="ParagraphStyle6"/>
              <w:rPr>
                <w:rStyle w:val="CharacterStyle6"/>
              </w:rPr>
            </w:pPr>
            <w:r>
              <w:rPr>
                <w:rStyle w:val="CharacterStyle6"/>
              </w:rPr>
              <w:t>2.054.200,00</w:t>
            </w:r>
          </w:p>
        </w:tc>
      </w:tr>
      <w:tr w:rsidR="007D706A" w14:paraId="12BD2FA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4F366B6" w14:textId="77777777" w:rsidR="007D706A" w:rsidRDefault="007D706A" w:rsidP="00F70508">
            <w:pPr>
              <w:pStyle w:val="ParagraphStyle4"/>
              <w:rPr>
                <w:rStyle w:val="CharacterStyle4"/>
              </w:rPr>
            </w:pPr>
            <w:r>
              <w:rPr>
                <w:rStyle w:val="CharacterStyle4"/>
              </w:rPr>
              <w:t>Kapitalni projekt K101408</w:t>
            </w:r>
          </w:p>
        </w:tc>
        <w:tc>
          <w:tcPr>
            <w:tcW w:w="4995" w:type="dxa"/>
            <w:tcBorders>
              <w:bottom w:val="single" w:sz="6" w:space="0" w:color="000000"/>
              <w:right w:val="single" w:sz="6" w:space="0" w:color="000000"/>
            </w:tcBorders>
            <w:vAlign w:val="center"/>
          </w:tcPr>
          <w:p w14:paraId="28B81BC0" w14:textId="77777777" w:rsidR="007D706A" w:rsidRDefault="007D706A" w:rsidP="00F70508">
            <w:pPr>
              <w:pStyle w:val="ParagraphStyle5"/>
              <w:rPr>
                <w:rStyle w:val="CharacterStyle5"/>
              </w:rPr>
            </w:pPr>
            <w:r>
              <w:rPr>
                <w:rStyle w:val="CharacterStyle5"/>
              </w:rPr>
              <w:t>PLAŽA I OBALNA ŠETNICA KARLA LUEGERA_III FAZA</w:t>
            </w:r>
          </w:p>
        </w:tc>
        <w:tc>
          <w:tcPr>
            <w:tcW w:w="1395" w:type="dxa"/>
            <w:tcBorders>
              <w:bottom w:val="single" w:sz="6" w:space="0" w:color="000000"/>
              <w:right w:val="single" w:sz="6" w:space="0" w:color="000000"/>
            </w:tcBorders>
            <w:vAlign w:val="center"/>
          </w:tcPr>
          <w:p w14:paraId="3A0D611A"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2E52FFCF" w14:textId="77777777" w:rsidR="007D706A" w:rsidRDefault="007D706A" w:rsidP="00F70508">
            <w:pPr>
              <w:pStyle w:val="ParagraphStyle6"/>
              <w:rPr>
                <w:rStyle w:val="CharacterStyle6"/>
              </w:rPr>
            </w:pPr>
            <w:r>
              <w:rPr>
                <w:rStyle w:val="CharacterStyle6"/>
              </w:rPr>
              <w:t>127.500,00</w:t>
            </w:r>
          </w:p>
        </w:tc>
        <w:tc>
          <w:tcPr>
            <w:tcW w:w="1395" w:type="dxa"/>
            <w:tcBorders>
              <w:bottom w:val="single" w:sz="6" w:space="0" w:color="000000"/>
              <w:right w:val="single" w:sz="6" w:space="0" w:color="000000"/>
            </w:tcBorders>
            <w:vAlign w:val="center"/>
          </w:tcPr>
          <w:p w14:paraId="412C681D" w14:textId="77777777" w:rsidR="007D706A" w:rsidRDefault="007D706A" w:rsidP="00F70508">
            <w:pPr>
              <w:pStyle w:val="ParagraphStyle6"/>
              <w:rPr>
                <w:rStyle w:val="CharacterStyle6"/>
              </w:rPr>
            </w:pPr>
            <w:r>
              <w:rPr>
                <w:rStyle w:val="CharacterStyle6"/>
              </w:rPr>
              <w:t>167.000,00</w:t>
            </w:r>
          </w:p>
        </w:tc>
        <w:tc>
          <w:tcPr>
            <w:tcW w:w="1395" w:type="dxa"/>
            <w:tcBorders>
              <w:bottom w:val="single" w:sz="6" w:space="0" w:color="000000"/>
              <w:right w:val="single" w:sz="6" w:space="0" w:color="000000"/>
            </w:tcBorders>
            <w:vAlign w:val="center"/>
          </w:tcPr>
          <w:p w14:paraId="5FA2F80D"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0A12EA8F" w14:textId="77777777" w:rsidR="007D706A" w:rsidRDefault="007D706A" w:rsidP="00F70508">
            <w:pPr>
              <w:pStyle w:val="ParagraphStyle6"/>
              <w:rPr>
                <w:rStyle w:val="CharacterStyle6"/>
              </w:rPr>
            </w:pPr>
            <w:r>
              <w:rPr>
                <w:rStyle w:val="CharacterStyle6"/>
              </w:rPr>
              <w:t>0,00</w:t>
            </w:r>
          </w:p>
        </w:tc>
      </w:tr>
      <w:tr w:rsidR="007D706A" w14:paraId="5A910C4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ED96930" w14:textId="77777777" w:rsidR="007D706A" w:rsidRDefault="007D706A" w:rsidP="00F70508">
            <w:pPr>
              <w:pStyle w:val="ParagraphStyle7"/>
              <w:rPr>
                <w:rStyle w:val="CharacterStyle7"/>
              </w:rPr>
            </w:pPr>
            <w:r>
              <w:rPr>
                <w:rStyle w:val="CharacterStyle7"/>
              </w:rPr>
              <w:t>Izvor financiranja 41</w:t>
            </w:r>
          </w:p>
        </w:tc>
        <w:tc>
          <w:tcPr>
            <w:tcW w:w="4995" w:type="dxa"/>
            <w:tcBorders>
              <w:bottom w:val="single" w:sz="6" w:space="0" w:color="000000"/>
              <w:right w:val="single" w:sz="6" w:space="0" w:color="000000"/>
            </w:tcBorders>
            <w:vAlign w:val="center"/>
          </w:tcPr>
          <w:p w14:paraId="75A542A2" w14:textId="77777777" w:rsidR="007D706A" w:rsidRDefault="007D706A" w:rsidP="00F70508">
            <w:pPr>
              <w:pStyle w:val="ParagraphStyle8"/>
              <w:rPr>
                <w:rStyle w:val="CharacterStyle8"/>
              </w:rPr>
            </w:pPr>
            <w:r>
              <w:rPr>
                <w:rStyle w:val="CharacterStyle8"/>
              </w:rPr>
              <w:t>Prihodi za posebne namjene</w:t>
            </w:r>
          </w:p>
        </w:tc>
        <w:tc>
          <w:tcPr>
            <w:tcW w:w="1395" w:type="dxa"/>
            <w:tcBorders>
              <w:bottom w:val="single" w:sz="6" w:space="0" w:color="000000"/>
              <w:right w:val="single" w:sz="6" w:space="0" w:color="000000"/>
            </w:tcBorders>
            <w:vAlign w:val="center"/>
          </w:tcPr>
          <w:p w14:paraId="5FFA25C7"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A8836E9" w14:textId="77777777" w:rsidR="007D706A" w:rsidRDefault="007D706A" w:rsidP="00F70508">
            <w:pPr>
              <w:pStyle w:val="ParagraphStyle9"/>
              <w:rPr>
                <w:rStyle w:val="CharacterStyle9"/>
              </w:rPr>
            </w:pPr>
            <w:r>
              <w:rPr>
                <w:rStyle w:val="CharacterStyle9"/>
              </w:rPr>
              <w:t>127.500,00</w:t>
            </w:r>
          </w:p>
        </w:tc>
        <w:tc>
          <w:tcPr>
            <w:tcW w:w="1395" w:type="dxa"/>
            <w:tcBorders>
              <w:bottom w:val="single" w:sz="6" w:space="0" w:color="000000"/>
              <w:right w:val="single" w:sz="6" w:space="0" w:color="000000"/>
            </w:tcBorders>
            <w:vAlign w:val="center"/>
          </w:tcPr>
          <w:p w14:paraId="76AF4688"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D31D0F5"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B2A2317" w14:textId="77777777" w:rsidR="007D706A" w:rsidRDefault="007D706A" w:rsidP="00F70508">
            <w:pPr>
              <w:pStyle w:val="ParagraphStyle9"/>
              <w:rPr>
                <w:rStyle w:val="CharacterStyle9"/>
              </w:rPr>
            </w:pPr>
            <w:r>
              <w:rPr>
                <w:rStyle w:val="CharacterStyle9"/>
              </w:rPr>
              <w:t>0,00</w:t>
            </w:r>
          </w:p>
        </w:tc>
      </w:tr>
      <w:tr w:rsidR="007D706A" w14:paraId="7627BC0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9903731"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7CA205E6"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6EC9441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A46D43E" w14:textId="77777777" w:rsidR="007D706A" w:rsidRDefault="007D706A" w:rsidP="00F70508">
            <w:pPr>
              <w:pStyle w:val="ParagraphStyle12"/>
              <w:rPr>
                <w:rStyle w:val="CharacterStyle12"/>
              </w:rPr>
            </w:pPr>
            <w:r>
              <w:rPr>
                <w:rStyle w:val="CharacterStyle12"/>
              </w:rPr>
              <w:t>127.500,00</w:t>
            </w:r>
          </w:p>
        </w:tc>
        <w:tc>
          <w:tcPr>
            <w:tcW w:w="1395" w:type="dxa"/>
            <w:tcBorders>
              <w:bottom w:val="single" w:sz="6" w:space="0" w:color="000000"/>
              <w:right w:val="single" w:sz="6" w:space="0" w:color="000000"/>
            </w:tcBorders>
            <w:vAlign w:val="center"/>
          </w:tcPr>
          <w:p w14:paraId="4A4921E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2A7149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ECD544D" w14:textId="77777777" w:rsidR="007D706A" w:rsidRDefault="007D706A" w:rsidP="00F70508">
            <w:pPr>
              <w:pStyle w:val="ParagraphStyle12"/>
              <w:rPr>
                <w:rStyle w:val="CharacterStyle12"/>
              </w:rPr>
            </w:pPr>
            <w:r>
              <w:rPr>
                <w:rStyle w:val="CharacterStyle12"/>
              </w:rPr>
              <w:t>0,00</w:t>
            </w:r>
          </w:p>
        </w:tc>
      </w:tr>
      <w:tr w:rsidR="007D706A" w14:paraId="5AAE978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D6633C2" w14:textId="77777777" w:rsidR="007D706A" w:rsidRDefault="007D706A" w:rsidP="00F70508">
            <w:pPr>
              <w:pStyle w:val="ParagraphStyle10"/>
              <w:rPr>
                <w:rStyle w:val="CharacterStyle10"/>
              </w:rPr>
            </w:pPr>
            <w:r>
              <w:rPr>
                <w:rStyle w:val="CharacterStyle10"/>
              </w:rPr>
              <w:t>42</w:t>
            </w:r>
          </w:p>
        </w:tc>
        <w:tc>
          <w:tcPr>
            <w:tcW w:w="4995" w:type="dxa"/>
            <w:tcBorders>
              <w:bottom w:val="single" w:sz="6" w:space="0" w:color="000000"/>
              <w:right w:val="single" w:sz="6" w:space="0" w:color="000000"/>
            </w:tcBorders>
            <w:vAlign w:val="center"/>
          </w:tcPr>
          <w:p w14:paraId="04DC8F31"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1C6E0C1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4D1A3AB" w14:textId="77777777" w:rsidR="007D706A" w:rsidRDefault="007D706A" w:rsidP="00F70508">
            <w:pPr>
              <w:pStyle w:val="ParagraphStyle12"/>
              <w:rPr>
                <w:rStyle w:val="CharacterStyle12"/>
              </w:rPr>
            </w:pPr>
            <w:r>
              <w:rPr>
                <w:rStyle w:val="CharacterStyle12"/>
              </w:rPr>
              <w:t>127.500,00</w:t>
            </w:r>
          </w:p>
        </w:tc>
        <w:tc>
          <w:tcPr>
            <w:tcW w:w="1395" w:type="dxa"/>
            <w:tcBorders>
              <w:bottom w:val="single" w:sz="6" w:space="0" w:color="000000"/>
              <w:right w:val="single" w:sz="6" w:space="0" w:color="000000"/>
            </w:tcBorders>
            <w:vAlign w:val="center"/>
          </w:tcPr>
          <w:p w14:paraId="3980B98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A59504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F6A438E" w14:textId="77777777" w:rsidR="007D706A" w:rsidRDefault="007D706A" w:rsidP="00F70508">
            <w:pPr>
              <w:pStyle w:val="ParagraphStyle12"/>
              <w:rPr>
                <w:rStyle w:val="CharacterStyle12"/>
              </w:rPr>
            </w:pPr>
            <w:r>
              <w:rPr>
                <w:rStyle w:val="CharacterStyle12"/>
              </w:rPr>
              <w:t>0,00</w:t>
            </w:r>
          </w:p>
        </w:tc>
      </w:tr>
      <w:tr w:rsidR="007D706A" w14:paraId="68627F2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6F7A9BF" w14:textId="77777777" w:rsidR="007D706A" w:rsidRDefault="007D706A" w:rsidP="00F70508">
            <w:pPr>
              <w:pStyle w:val="ParagraphStyle7"/>
              <w:rPr>
                <w:rStyle w:val="CharacterStyle7"/>
              </w:rPr>
            </w:pPr>
            <w:r>
              <w:rPr>
                <w:rStyle w:val="CharacterStyle7"/>
              </w:rPr>
              <w:t>Izvor financiranja 43</w:t>
            </w:r>
          </w:p>
        </w:tc>
        <w:tc>
          <w:tcPr>
            <w:tcW w:w="4995" w:type="dxa"/>
            <w:tcBorders>
              <w:bottom w:val="single" w:sz="6" w:space="0" w:color="000000"/>
              <w:right w:val="single" w:sz="6" w:space="0" w:color="000000"/>
            </w:tcBorders>
            <w:vAlign w:val="center"/>
          </w:tcPr>
          <w:p w14:paraId="1637FBD3" w14:textId="77777777" w:rsidR="007D706A" w:rsidRDefault="007D706A" w:rsidP="00F70508">
            <w:pPr>
              <w:pStyle w:val="ParagraphStyle8"/>
              <w:rPr>
                <w:rStyle w:val="CharacterStyle8"/>
              </w:rPr>
            </w:pPr>
            <w:r>
              <w:rPr>
                <w:rStyle w:val="CharacterStyle8"/>
              </w:rPr>
              <w:t>Ostali prihodi za posebne namjene</w:t>
            </w:r>
          </w:p>
        </w:tc>
        <w:tc>
          <w:tcPr>
            <w:tcW w:w="1395" w:type="dxa"/>
            <w:tcBorders>
              <w:bottom w:val="single" w:sz="6" w:space="0" w:color="000000"/>
              <w:right w:val="single" w:sz="6" w:space="0" w:color="000000"/>
            </w:tcBorders>
            <w:vAlign w:val="center"/>
          </w:tcPr>
          <w:p w14:paraId="7CC495CE"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CB3FCF8"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FFC76C2" w14:textId="77777777" w:rsidR="007D706A" w:rsidRDefault="007D706A" w:rsidP="00F70508">
            <w:pPr>
              <w:pStyle w:val="ParagraphStyle9"/>
              <w:rPr>
                <w:rStyle w:val="CharacterStyle9"/>
              </w:rPr>
            </w:pPr>
            <w:r>
              <w:rPr>
                <w:rStyle w:val="CharacterStyle9"/>
              </w:rPr>
              <w:t>167.000,00</w:t>
            </w:r>
          </w:p>
        </w:tc>
        <w:tc>
          <w:tcPr>
            <w:tcW w:w="1395" w:type="dxa"/>
            <w:tcBorders>
              <w:bottom w:val="single" w:sz="6" w:space="0" w:color="000000"/>
              <w:right w:val="single" w:sz="6" w:space="0" w:color="000000"/>
            </w:tcBorders>
            <w:vAlign w:val="center"/>
          </w:tcPr>
          <w:p w14:paraId="5364C0F3"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B4B0743" w14:textId="77777777" w:rsidR="007D706A" w:rsidRDefault="007D706A" w:rsidP="00F70508">
            <w:pPr>
              <w:pStyle w:val="ParagraphStyle9"/>
              <w:rPr>
                <w:rStyle w:val="CharacterStyle9"/>
              </w:rPr>
            </w:pPr>
            <w:r>
              <w:rPr>
                <w:rStyle w:val="CharacterStyle9"/>
              </w:rPr>
              <w:t>0,00</w:t>
            </w:r>
          </w:p>
        </w:tc>
      </w:tr>
      <w:tr w:rsidR="007D706A" w14:paraId="200AB34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5B44DD7" w14:textId="77777777" w:rsidR="007D706A" w:rsidRDefault="007D706A" w:rsidP="00F70508">
            <w:pPr>
              <w:pStyle w:val="ParagraphStyle10"/>
              <w:rPr>
                <w:rStyle w:val="CharacterStyle10"/>
              </w:rPr>
            </w:pPr>
            <w:r>
              <w:rPr>
                <w:rStyle w:val="CharacterStyle10"/>
              </w:rPr>
              <w:lastRenderedPageBreak/>
              <w:t>4</w:t>
            </w:r>
          </w:p>
        </w:tc>
        <w:tc>
          <w:tcPr>
            <w:tcW w:w="4995" w:type="dxa"/>
            <w:tcBorders>
              <w:bottom w:val="single" w:sz="6" w:space="0" w:color="000000"/>
              <w:right w:val="single" w:sz="6" w:space="0" w:color="000000"/>
            </w:tcBorders>
            <w:vAlign w:val="center"/>
          </w:tcPr>
          <w:p w14:paraId="111AE8B5"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505E12B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3FFC6D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67C55AA" w14:textId="77777777" w:rsidR="007D706A" w:rsidRDefault="007D706A" w:rsidP="00F70508">
            <w:pPr>
              <w:pStyle w:val="ParagraphStyle12"/>
              <w:rPr>
                <w:rStyle w:val="CharacterStyle12"/>
              </w:rPr>
            </w:pPr>
            <w:r>
              <w:rPr>
                <w:rStyle w:val="CharacterStyle12"/>
              </w:rPr>
              <w:t>167.000,00</w:t>
            </w:r>
          </w:p>
        </w:tc>
        <w:tc>
          <w:tcPr>
            <w:tcW w:w="1395" w:type="dxa"/>
            <w:tcBorders>
              <w:bottom w:val="single" w:sz="6" w:space="0" w:color="000000"/>
              <w:right w:val="single" w:sz="6" w:space="0" w:color="000000"/>
            </w:tcBorders>
            <w:vAlign w:val="center"/>
          </w:tcPr>
          <w:p w14:paraId="2AEF24A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35D5ECD" w14:textId="77777777" w:rsidR="007D706A" w:rsidRDefault="007D706A" w:rsidP="00F70508">
            <w:pPr>
              <w:pStyle w:val="ParagraphStyle12"/>
              <w:rPr>
                <w:rStyle w:val="CharacterStyle12"/>
              </w:rPr>
            </w:pPr>
            <w:r>
              <w:rPr>
                <w:rStyle w:val="CharacterStyle12"/>
              </w:rPr>
              <w:t>0,00</w:t>
            </w:r>
          </w:p>
        </w:tc>
      </w:tr>
      <w:tr w:rsidR="007D706A" w14:paraId="03CC0A4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58D0F66" w14:textId="77777777" w:rsidR="007D706A" w:rsidRDefault="007D706A" w:rsidP="00F70508">
            <w:pPr>
              <w:pStyle w:val="ParagraphStyle10"/>
              <w:rPr>
                <w:rStyle w:val="CharacterStyle10"/>
              </w:rPr>
            </w:pPr>
            <w:r>
              <w:rPr>
                <w:rStyle w:val="CharacterStyle10"/>
              </w:rPr>
              <w:t>42</w:t>
            </w:r>
          </w:p>
        </w:tc>
        <w:tc>
          <w:tcPr>
            <w:tcW w:w="4995" w:type="dxa"/>
            <w:tcBorders>
              <w:bottom w:val="single" w:sz="6" w:space="0" w:color="000000"/>
              <w:right w:val="single" w:sz="6" w:space="0" w:color="000000"/>
            </w:tcBorders>
            <w:vAlign w:val="center"/>
          </w:tcPr>
          <w:p w14:paraId="1F949D04"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2358579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F249A4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A3FD457" w14:textId="77777777" w:rsidR="007D706A" w:rsidRDefault="007D706A" w:rsidP="00F70508">
            <w:pPr>
              <w:pStyle w:val="ParagraphStyle12"/>
              <w:rPr>
                <w:rStyle w:val="CharacterStyle12"/>
              </w:rPr>
            </w:pPr>
            <w:r>
              <w:rPr>
                <w:rStyle w:val="CharacterStyle12"/>
              </w:rPr>
              <w:t>167.000,00</w:t>
            </w:r>
          </w:p>
        </w:tc>
        <w:tc>
          <w:tcPr>
            <w:tcW w:w="1395" w:type="dxa"/>
            <w:tcBorders>
              <w:bottom w:val="single" w:sz="6" w:space="0" w:color="000000"/>
              <w:right w:val="single" w:sz="6" w:space="0" w:color="000000"/>
            </w:tcBorders>
            <w:vAlign w:val="center"/>
          </w:tcPr>
          <w:p w14:paraId="4DC1BDB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C97BA1F" w14:textId="77777777" w:rsidR="007D706A" w:rsidRDefault="007D706A" w:rsidP="00F70508">
            <w:pPr>
              <w:pStyle w:val="ParagraphStyle12"/>
              <w:rPr>
                <w:rStyle w:val="CharacterStyle12"/>
              </w:rPr>
            </w:pPr>
            <w:r>
              <w:rPr>
                <w:rStyle w:val="CharacterStyle12"/>
              </w:rPr>
              <w:t>0,00</w:t>
            </w:r>
          </w:p>
        </w:tc>
      </w:tr>
      <w:tr w:rsidR="007D706A" w14:paraId="6ED3C62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5B34FE3" w14:textId="77777777" w:rsidR="007D706A" w:rsidRDefault="007D706A" w:rsidP="00F70508">
            <w:pPr>
              <w:pStyle w:val="ParagraphStyle4"/>
              <w:rPr>
                <w:rStyle w:val="CharacterStyle4"/>
              </w:rPr>
            </w:pPr>
            <w:r>
              <w:rPr>
                <w:rStyle w:val="CharacterStyle4"/>
              </w:rPr>
              <w:t>Kapitalni projekt K101475</w:t>
            </w:r>
          </w:p>
        </w:tc>
        <w:tc>
          <w:tcPr>
            <w:tcW w:w="4995" w:type="dxa"/>
            <w:tcBorders>
              <w:bottom w:val="single" w:sz="6" w:space="0" w:color="000000"/>
              <w:right w:val="single" w:sz="6" w:space="0" w:color="000000"/>
            </w:tcBorders>
            <w:vAlign w:val="center"/>
          </w:tcPr>
          <w:p w14:paraId="0B0C883E" w14:textId="77777777" w:rsidR="007D706A" w:rsidRDefault="007D706A" w:rsidP="00F70508">
            <w:pPr>
              <w:pStyle w:val="ParagraphStyle5"/>
              <w:rPr>
                <w:rStyle w:val="CharacterStyle5"/>
              </w:rPr>
            </w:pPr>
            <w:r>
              <w:rPr>
                <w:rStyle w:val="CharacterStyle5"/>
              </w:rPr>
              <w:t>HORTIKULTURNO UREĐENJE I OPREMANJE DV NARIDOLA</w:t>
            </w:r>
          </w:p>
        </w:tc>
        <w:tc>
          <w:tcPr>
            <w:tcW w:w="1395" w:type="dxa"/>
            <w:tcBorders>
              <w:bottom w:val="single" w:sz="6" w:space="0" w:color="000000"/>
              <w:right w:val="single" w:sz="6" w:space="0" w:color="000000"/>
            </w:tcBorders>
            <w:vAlign w:val="center"/>
          </w:tcPr>
          <w:p w14:paraId="7AD35EA7"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19E32C59" w14:textId="77777777" w:rsidR="007D706A" w:rsidRDefault="007D706A" w:rsidP="00F70508">
            <w:pPr>
              <w:pStyle w:val="ParagraphStyle6"/>
              <w:rPr>
                <w:rStyle w:val="CharacterStyle6"/>
              </w:rPr>
            </w:pPr>
            <w:r>
              <w:rPr>
                <w:rStyle w:val="CharacterStyle6"/>
              </w:rPr>
              <w:t>113.693,00</w:t>
            </w:r>
          </w:p>
        </w:tc>
        <w:tc>
          <w:tcPr>
            <w:tcW w:w="1395" w:type="dxa"/>
            <w:tcBorders>
              <w:bottom w:val="single" w:sz="6" w:space="0" w:color="000000"/>
              <w:right w:val="single" w:sz="6" w:space="0" w:color="000000"/>
            </w:tcBorders>
            <w:vAlign w:val="center"/>
          </w:tcPr>
          <w:p w14:paraId="3B291997"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32C785BB"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2B62228A" w14:textId="77777777" w:rsidR="007D706A" w:rsidRDefault="007D706A" w:rsidP="00F70508">
            <w:pPr>
              <w:pStyle w:val="ParagraphStyle6"/>
              <w:rPr>
                <w:rStyle w:val="CharacterStyle6"/>
              </w:rPr>
            </w:pPr>
            <w:r>
              <w:rPr>
                <w:rStyle w:val="CharacterStyle6"/>
              </w:rPr>
              <w:t>0,00</w:t>
            </w:r>
          </w:p>
        </w:tc>
      </w:tr>
      <w:tr w:rsidR="007D706A" w14:paraId="583F41D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D666F1C"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6DC15904"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2D80D21C"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2094620" w14:textId="77777777" w:rsidR="007D706A" w:rsidRDefault="007D706A" w:rsidP="00F70508">
            <w:pPr>
              <w:pStyle w:val="ParagraphStyle9"/>
              <w:rPr>
                <w:rStyle w:val="CharacterStyle9"/>
              </w:rPr>
            </w:pPr>
            <w:r>
              <w:rPr>
                <w:rStyle w:val="CharacterStyle9"/>
              </w:rPr>
              <w:t>65.376,89</w:t>
            </w:r>
          </w:p>
        </w:tc>
        <w:tc>
          <w:tcPr>
            <w:tcW w:w="1395" w:type="dxa"/>
            <w:tcBorders>
              <w:bottom w:val="single" w:sz="6" w:space="0" w:color="000000"/>
              <w:right w:val="single" w:sz="6" w:space="0" w:color="000000"/>
            </w:tcBorders>
            <w:vAlign w:val="center"/>
          </w:tcPr>
          <w:p w14:paraId="78D41E2D"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C969B68"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8D4D6BF" w14:textId="77777777" w:rsidR="007D706A" w:rsidRDefault="007D706A" w:rsidP="00F70508">
            <w:pPr>
              <w:pStyle w:val="ParagraphStyle9"/>
              <w:rPr>
                <w:rStyle w:val="CharacterStyle9"/>
              </w:rPr>
            </w:pPr>
            <w:r>
              <w:rPr>
                <w:rStyle w:val="CharacterStyle9"/>
              </w:rPr>
              <w:t>0,00</w:t>
            </w:r>
          </w:p>
        </w:tc>
      </w:tr>
      <w:tr w:rsidR="007D706A" w14:paraId="0116E73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DCEAB62"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4C9177E3"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03B11C8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CA03173" w14:textId="77777777" w:rsidR="007D706A" w:rsidRDefault="007D706A" w:rsidP="00F70508">
            <w:pPr>
              <w:pStyle w:val="ParagraphStyle12"/>
              <w:rPr>
                <w:rStyle w:val="CharacterStyle12"/>
              </w:rPr>
            </w:pPr>
            <w:r>
              <w:rPr>
                <w:rStyle w:val="CharacterStyle12"/>
              </w:rPr>
              <w:t>65.376,89</w:t>
            </w:r>
          </w:p>
        </w:tc>
        <w:tc>
          <w:tcPr>
            <w:tcW w:w="1395" w:type="dxa"/>
            <w:tcBorders>
              <w:bottom w:val="single" w:sz="6" w:space="0" w:color="000000"/>
              <w:right w:val="single" w:sz="6" w:space="0" w:color="000000"/>
            </w:tcBorders>
            <w:vAlign w:val="center"/>
          </w:tcPr>
          <w:p w14:paraId="6895CA6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58322D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2DC863F" w14:textId="77777777" w:rsidR="007D706A" w:rsidRDefault="007D706A" w:rsidP="00F70508">
            <w:pPr>
              <w:pStyle w:val="ParagraphStyle12"/>
              <w:rPr>
                <w:rStyle w:val="CharacterStyle12"/>
              </w:rPr>
            </w:pPr>
            <w:r>
              <w:rPr>
                <w:rStyle w:val="CharacterStyle12"/>
              </w:rPr>
              <w:t>0,00</w:t>
            </w:r>
          </w:p>
        </w:tc>
      </w:tr>
      <w:tr w:rsidR="007D706A" w14:paraId="7E38116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6B02781" w14:textId="77777777" w:rsidR="007D706A" w:rsidRDefault="007D706A" w:rsidP="00F70508">
            <w:pPr>
              <w:pStyle w:val="ParagraphStyle10"/>
              <w:rPr>
                <w:rStyle w:val="CharacterStyle10"/>
              </w:rPr>
            </w:pPr>
            <w:r>
              <w:rPr>
                <w:rStyle w:val="CharacterStyle10"/>
              </w:rPr>
              <w:t>42</w:t>
            </w:r>
          </w:p>
        </w:tc>
        <w:tc>
          <w:tcPr>
            <w:tcW w:w="4995" w:type="dxa"/>
            <w:tcBorders>
              <w:bottom w:val="single" w:sz="6" w:space="0" w:color="000000"/>
              <w:right w:val="single" w:sz="6" w:space="0" w:color="000000"/>
            </w:tcBorders>
            <w:vAlign w:val="center"/>
          </w:tcPr>
          <w:p w14:paraId="0EE85E81"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037E234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91B246C" w14:textId="77777777" w:rsidR="007D706A" w:rsidRDefault="007D706A" w:rsidP="00F70508">
            <w:pPr>
              <w:pStyle w:val="ParagraphStyle12"/>
              <w:rPr>
                <w:rStyle w:val="CharacterStyle12"/>
              </w:rPr>
            </w:pPr>
            <w:r>
              <w:rPr>
                <w:rStyle w:val="CharacterStyle12"/>
              </w:rPr>
              <w:t>38.800,00</w:t>
            </w:r>
          </w:p>
        </w:tc>
        <w:tc>
          <w:tcPr>
            <w:tcW w:w="1395" w:type="dxa"/>
            <w:tcBorders>
              <w:bottom w:val="single" w:sz="6" w:space="0" w:color="000000"/>
              <w:right w:val="single" w:sz="6" w:space="0" w:color="000000"/>
            </w:tcBorders>
            <w:vAlign w:val="center"/>
          </w:tcPr>
          <w:p w14:paraId="4150F25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96EBD4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860A21E" w14:textId="77777777" w:rsidR="007D706A" w:rsidRDefault="007D706A" w:rsidP="00F70508">
            <w:pPr>
              <w:pStyle w:val="ParagraphStyle12"/>
              <w:rPr>
                <w:rStyle w:val="CharacterStyle12"/>
              </w:rPr>
            </w:pPr>
            <w:r>
              <w:rPr>
                <w:rStyle w:val="CharacterStyle12"/>
              </w:rPr>
              <w:t>0,00</w:t>
            </w:r>
          </w:p>
        </w:tc>
      </w:tr>
      <w:tr w:rsidR="007D706A" w14:paraId="6280716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80027E2" w14:textId="77777777" w:rsidR="007D706A" w:rsidRDefault="007D706A" w:rsidP="00F70508">
            <w:pPr>
              <w:pStyle w:val="ParagraphStyle10"/>
              <w:rPr>
                <w:rStyle w:val="CharacterStyle10"/>
              </w:rPr>
            </w:pPr>
            <w:r>
              <w:rPr>
                <w:rStyle w:val="CharacterStyle10"/>
              </w:rPr>
              <w:t>45</w:t>
            </w:r>
          </w:p>
        </w:tc>
        <w:tc>
          <w:tcPr>
            <w:tcW w:w="4995" w:type="dxa"/>
            <w:tcBorders>
              <w:bottom w:val="single" w:sz="6" w:space="0" w:color="000000"/>
              <w:right w:val="single" w:sz="6" w:space="0" w:color="000000"/>
            </w:tcBorders>
            <w:vAlign w:val="center"/>
          </w:tcPr>
          <w:p w14:paraId="4906DAFF" w14:textId="77777777" w:rsidR="007D706A" w:rsidRDefault="007D706A" w:rsidP="00F70508">
            <w:pPr>
              <w:pStyle w:val="ParagraphStyle11"/>
              <w:rPr>
                <w:rStyle w:val="CharacterStyle11"/>
              </w:rPr>
            </w:pPr>
            <w:r>
              <w:rPr>
                <w:rStyle w:val="CharacterStyle11"/>
              </w:rPr>
              <w:t>Rashodi za dodatna ulaganja na nefinancijskoj imovini</w:t>
            </w:r>
          </w:p>
        </w:tc>
        <w:tc>
          <w:tcPr>
            <w:tcW w:w="1395" w:type="dxa"/>
            <w:tcBorders>
              <w:bottom w:val="single" w:sz="6" w:space="0" w:color="000000"/>
              <w:right w:val="single" w:sz="6" w:space="0" w:color="000000"/>
            </w:tcBorders>
            <w:vAlign w:val="center"/>
          </w:tcPr>
          <w:p w14:paraId="270C56E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F6FD0B0" w14:textId="77777777" w:rsidR="007D706A" w:rsidRDefault="007D706A" w:rsidP="00F70508">
            <w:pPr>
              <w:pStyle w:val="ParagraphStyle12"/>
              <w:rPr>
                <w:rStyle w:val="CharacterStyle12"/>
              </w:rPr>
            </w:pPr>
            <w:r>
              <w:rPr>
                <w:rStyle w:val="CharacterStyle12"/>
              </w:rPr>
              <w:t>26.576,89</w:t>
            </w:r>
          </w:p>
        </w:tc>
        <w:tc>
          <w:tcPr>
            <w:tcW w:w="1395" w:type="dxa"/>
            <w:tcBorders>
              <w:bottom w:val="single" w:sz="6" w:space="0" w:color="000000"/>
              <w:right w:val="single" w:sz="6" w:space="0" w:color="000000"/>
            </w:tcBorders>
            <w:vAlign w:val="center"/>
          </w:tcPr>
          <w:p w14:paraId="1FA5BCD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4495F5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DDB5608" w14:textId="77777777" w:rsidR="007D706A" w:rsidRDefault="007D706A" w:rsidP="00F70508">
            <w:pPr>
              <w:pStyle w:val="ParagraphStyle12"/>
              <w:rPr>
                <w:rStyle w:val="CharacterStyle12"/>
              </w:rPr>
            </w:pPr>
            <w:r>
              <w:rPr>
                <w:rStyle w:val="CharacterStyle12"/>
              </w:rPr>
              <w:t>0,00</w:t>
            </w:r>
          </w:p>
        </w:tc>
      </w:tr>
      <w:tr w:rsidR="007D706A" w14:paraId="344D510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48B9066" w14:textId="77777777" w:rsidR="007D706A" w:rsidRDefault="007D706A" w:rsidP="00F70508">
            <w:pPr>
              <w:pStyle w:val="ParagraphStyle7"/>
              <w:rPr>
                <w:rStyle w:val="CharacterStyle7"/>
              </w:rPr>
            </w:pPr>
            <w:r>
              <w:rPr>
                <w:rStyle w:val="CharacterStyle7"/>
              </w:rPr>
              <w:t>Izvor financiranja 53</w:t>
            </w:r>
          </w:p>
        </w:tc>
        <w:tc>
          <w:tcPr>
            <w:tcW w:w="4995" w:type="dxa"/>
            <w:tcBorders>
              <w:bottom w:val="single" w:sz="6" w:space="0" w:color="000000"/>
              <w:right w:val="single" w:sz="6" w:space="0" w:color="000000"/>
            </w:tcBorders>
            <w:vAlign w:val="center"/>
          </w:tcPr>
          <w:p w14:paraId="292F8F4B" w14:textId="77777777" w:rsidR="007D706A" w:rsidRDefault="007D706A" w:rsidP="00F70508">
            <w:pPr>
              <w:pStyle w:val="ParagraphStyle8"/>
              <w:rPr>
                <w:rStyle w:val="CharacterStyle8"/>
              </w:rPr>
            </w:pPr>
            <w:r>
              <w:rPr>
                <w:rStyle w:val="CharacterStyle8"/>
              </w:rPr>
              <w:t>Proračuni, drugi nivoi - za posebne i / ili ugovorene namjene</w:t>
            </w:r>
          </w:p>
        </w:tc>
        <w:tc>
          <w:tcPr>
            <w:tcW w:w="1395" w:type="dxa"/>
            <w:tcBorders>
              <w:bottom w:val="single" w:sz="6" w:space="0" w:color="000000"/>
              <w:right w:val="single" w:sz="6" w:space="0" w:color="000000"/>
            </w:tcBorders>
            <w:vAlign w:val="center"/>
          </w:tcPr>
          <w:p w14:paraId="2098FC00"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80857FB" w14:textId="77777777" w:rsidR="007D706A" w:rsidRDefault="007D706A" w:rsidP="00F70508">
            <w:pPr>
              <w:pStyle w:val="ParagraphStyle9"/>
              <w:rPr>
                <w:rStyle w:val="CharacterStyle9"/>
              </w:rPr>
            </w:pPr>
            <w:r>
              <w:rPr>
                <w:rStyle w:val="CharacterStyle9"/>
              </w:rPr>
              <w:t>48.316,11</w:t>
            </w:r>
          </w:p>
        </w:tc>
        <w:tc>
          <w:tcPr>
            <w:tcW w:w="1395" w:type="dxa"/>
            <w:tcBorders>
              <w:bottom w:val="single" w:sz="6" w:space="0" w:color="000000"/>
              <w:right w:val="single" w:sz="6" w:space="0" w:color="000000"/>
            </w:tcBorders>
            <w:vAlign w:val="center"/>
          </w:tcPr>
          <w:p w14:paraId="6323F2B3"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522B7E8"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FF63B49" w14:textId="77777777" w:rsidR="007D706A" w:rsidRDefault="007D706A" w:rsidP="00F70508">
            <w:pPr>
              <w:pStyle w:val="ParagraphStyle9"/>
              <w:rPr>
                <w:rStyle w:val="CharacterStyle9"/>
              </w:rPr>
            </w:pPr>
            <w:r>
              <w:rPr>
                <w:rStyle w:val="CharacterStyle9"/>
              </w:rPr>
              <w:t>0,00</w:t>
            </w:r>
          </w:p>
        </w:tc>
      </w:tr>
      <w:tr w:rsidR="007D706A" w14:paraId="22A91F66"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52AA73B"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205E378F"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59863A7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D7DFF6A" w14:textId="77777777" w:rsidR="007D706A" w:rsidRDefault="007D706A" w:rsidP="00F70508">
            <w:pPr>
              <w:pStyle w:val="ParagraphStyle12"/>
              <w:rPr>
                <w:rStyle w:val="CharacterStyle12"/>
              </w:rPr>
            </w:pPr>
            <w:r>
              <w:rPr>
                <w:rStyle w:val="CharacterStyle12"/>
              </w:rPr>
              <w:t>48.316,11</w:t>
            </w:r>
          </w:p>
        </w:tc>
        <w:tc>
          <w:tcPr>
            <w:tcW w:w="1395" w:type="dxa"/>
            <w:tcBorders>
              <w:bottom w:val="single" w:sz="6" w:space="0" w:color="000000"/>
              <w:right w:val="single" w:sz="6" w:space="0" w:color="000000"/>
            </w:tcBorders>
            <w:vAlign w:val="center"/>
          </w:tcPr>
          <w:p w14:paraId="35BC359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061930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A52B9A8" w14:textId="77777777" w:rsidR="007D706A" w:rsidRDefault="007D706A" w:rsidP="00F70508">
            <w:pPr>
              <w:pStyle w:val="ParagraphStyle12"/>
              <w:rPr>
                <w:rStyle w:val="CharacterStyle12"/>
              </w:rPr>
            </w:pPr>
            <w:r>
              <w:rPr>
                <w:rStyle w:val="CharacterStyle12"/>
              </w:rPr>
              <w:t>0,00</w:t>
            </w:r>
          </w:p>
        </w:tc>
      </w:tr>
      <w:tr w:rsidR="007D706A" w14:paraId="2EC6A7B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D265CD4" w14:textId="77777777" w:rsidR="007D706A" w:rsidRDefault="007D706A" w:rsidP="00F70508">
            <w:pPr>
              <w:pStyle w:val="ParagraphStyle10"/>
              <w:rPr>
                <w:rStyle w:val="CharacterStyle10"/>
              </w:rPr>
            </w:pPr>
            <w:r>
              <w:rPr>
                <w:rStyle w:val="CharacterStyle10"/>
              </w:rPr>
              <w:t>45</w:t>
            </w:r>
          </w:p>
        </w:tc>
        <w:tc>
          <w:tcPr>
            <w:tcW w:w="4995" w:type="dxa"/>
            <w:tcBorders>
              <w:bottom w:val="single" w:sz="6" w:space="0" w:color="000000"/>
              <w:right w:val="single" w:sz="6" w:space="0" w:color="000000"/>
            </w:tcBorders>
            <w:vAlign w:val="center"/>
          </w:tcPr>
          <w:p w14:paraId="53C40383" w14:textId="77777777" w:rsidR="007D706A" w:rsidRDefault="007D706A" w:rsidP="00F70508">
            <w:pPr>
              <w:pStyle w:val="ParagraphStyle11"/>
              <w:rPr>
                <w:rStyle w:val="CharacterStyle11"/>
              </w:rPr>
            </w:pPr>
            <w:r>
              <w:rPr>
                <w:rStyle w:val="CharacterStyle11"/>
              </w:rPr>
              <w:t>Rashodi za dodatna ulaganja na nefinancijskoj imovini</w:t>
            </w:r>
          </w:p>
        </w:tc>
        <w:tc>
          <w:tcPr>
            <w:tcW w:w="1395" w:type="dxa"/>
            <w:tcBorders>
              <w:bottom w:val="single" w:sz="6" w:space="0" w:color="000000"/>
              <w:right w:val="single" w:sz="6" w:space="0" w:color="000000"/>
            </w:tcBorders>
            <w:vAlign w:val="center"/>
          </w:tcPr>
          <w:p w14:paraId="21C791E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035388B" w14:textId="77777777" w:rsidR="007D706A" w:rsidRDefault="007D706A" w:rsidP="00F70508">
            <w:pPr>
              <w:pStyle w:val="ParagraphStyle12"/>
              <w:rPr>
                <w:rStyle w:val="CharacterStyle12"/>
              </w:rPr>
            </w:pPr>
            <w:r>
              <w:rPr>
                <w:rStyle w:val="CharacterStyle12"/>
              </w:rPr>
              <w:t>48.316,11</w:t>
            </w:r>
          </w:p>
        </w:tc>
        <w:tc>
          <w:tcPr>
            <w:tcW w:w="1395" w:type="dxa"/>
            <w:tcBorders>
              <w:bottom w:val="single" w:sz="6" w:space="0" w:color="000000"/>
              <w:right w:val="single" w:sz="6" w:space="0" w:color="000000"/>
            </w:tcBorders>
            <w:vAlign w:val="center"/>
          </w:tcPr>
          <w:p w14:paraId="14C6D60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B0CD65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687474A" w14:textId="77777777" w:rsidR="007D706A" w:rsidRDefault="007D706A" w:rsidP="00F70508">
            <w:pPr>
              <w:pStyle w:val="ParagraphStyle12"/>
              <w:rPr>
                <w:rStyle w:val="CharacterStyle12"/>
              </w:rPr>
            </w:pPr>
            <w:r>
              <w:rPr>
                <w:rStyle w:val="CharacterStyle12"/>
              </w:rPr>
              <w:t>0,00</w:t>
            </w:r>
          </w:p>
        </w:tc>
      </w:tr>
      <w:tr w:rsidR="007D706A" w14:paraId="52C5675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61CFC69" w14:textId="77777777" w:rsidR="007D706A" w:rsidRDefault="007D706A" w:rsidP="00F70508">
            <w:pPr>
              <w:pStyle w:val="ParagraphStyle4"/>
              <w:rPr>
                <w:rStyle w:val="CharacterStyle4"/>
              </w:rPr>
            </w:pPr>
            <w:r>
              <w:rPr>
                <w:rStyle w:val="CharacterStyle4"/>
              </w:rPr>
              <w:t>Kapitalni projekt K101467</w:t>
            </w:r>
          </w:p>
        </w:tc>
        <w:tc>
          <w:tcPr>
            <w:tcW w:w="4995" w:type="dxa"/>
            <w:tcBorders>
              <w:bottom w:val="single" w:sz="6" w:space="0" w:color="000000"/>
              <w:right w:val="single" w:sz="6" w:space="0" w:color="000000"/>
            </w:tcBorders>
            <w:vAlign w:val="center"/>
          </w:tcPr>
          <w:p w14:paraId="710C1551" w14:textId="77777777" w:rsidR="007D706A" w:rsidRDefault="007D706A" w:rsidP="00F70508">
            <w:pPr>
              <w:pStyle w:val="ParagraphStyle5"/>
              <w:rPr>
                <w:rStyle w:val="CharacterStyle5"/>
              </w:rPr>
            </w:pPr>
            <w:r>
              <w:rPr>
                <w:rStyle w:val="CharacterStyle5"/>
              </w:rPr>
              <w:t>IZGRADNJA ŠETNICE PUNTA MUCCIA</w:t>
            </w:r>
          </w:p>
        </w:tc>
        <w:tc>
          <w:tcPr>
            <w:tcW w:w="1395" w:type="dxa"/>
            <w:tcBorders>
              <w:bottom w:val="single" w:sz="6" w:space="0" w:color="000000"/>
              <w:right w:val="single" w:sz="6" w:space="0" w:color="000000"/>
            </w:tcBorders>
            <w:vAlign w:val="center"/>
          </w:tcPr>
          <w:p w14:paraId="779AC812"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07FA604A" w14:textId="77777777" w:rsidR="007D706A" w:rsidRDefault="007D706A" w:rsidP="00F70508">
            <w:pPr>
              <w:pStyle w:val="ParagraphStyle6"/>
              <w:rPr>
                <w:rStyle w:val="CharacterStyle6"/>
              </w:rPr>
            </w:pPr>
            <w:r>
              <w:rPr>
                <w:rStyle w:val="CharacterStyle6"/>
              </w:rPr>
              <w:t>68.000,00</w:t>
            </w:r>
          </w:p>
        </w:tc>
        <w:tc>
          <w:tcPr>
            <w:tcW w:w="1395" w:type="dxa"/>
            <w:tcBorders>
              <w:bottom w:val="single" w:sz="6" w:space="0" w:color="000000"/>
              <w:right w:val="single" w:sz="6" w:space="0" w:color="000000"/>
            </w:tcBorders>
            <w:vAlign w:val="center"/>
          </w:tcPr>
          <w:p w14:paraId="2B4CB334" w14:textId="77777777" w:rsidR="007D706A" w:rsidRDefault="007D706A" w:rsidP="00F70508">
            <w:pPr>
              <w:pStyle w:val="ParagraphStyle6"/>
              <w:rPr>
                <w:rStyle w:val="CharacterStyle6"/>
              </w:rPr>
            </w:pPr>
            <w:r>
              <w:rPr>
                <w:rStyle w:val="CharacterStyle6"/>
              </w:rPr>
              <w:t>315.400,00</w:t>
            </w:r>
          </w:p>
        </w:tc>
        <w:tc>
          <w:tcPr>
            <w:tcW w:w="1395" w:type="dxa"/>
            <w:tcBorders>
              <w:bottom w:val="single" w:sz="6" w:space="0" w:color="000000"/>
              <w:right w:val="single" w:sz="6" w:space="0" w:color="000000"/>
            </w:tcBorders>
            <w:vAlign w:val="center"/>
          </w:tcPr>
          <w:p w14:paraId="38838DD6" w14:textId="77777777" w:rsidR="007D706A" w:rsidRDefault="007D706A" w:rsidP="00F70508">
            <w:pPr>
              <w:pStyle w:val="ParagraphStyle6"/>
              <w:rPr>
                <w:rStyle w:val="CharacterStyle6"/>
              </w:rPr>
            </w:pPr>
            <w:r>
              <w:rPr>
                <w:rStyle w:val="CharacterStyle6"/>
              </w:rPr>
              <w:t>25.000,00</w:t>
            </w:r>
          </w:p>
        </w:tc>
        <w:tc>
          <w:tcPr>
            <w:tcW w:w="1395" w:type="dxa"/>
            <w:tcBorders>
              <w:bottom w:val="single" w:sz="6" w:space="0" w:color="000000"/>
              <w:right w:val="single" w:sz="6" w:space="0" w:color="000000"/>
            </w:tcBorders>
            <w:vAlign w:val="center"/>
          </w:tcPr>
          <w:p w14:paraId="29E50A35" w14:textId="77777777" w:rsidR="007D706A" w:rsidRDefault="007D706A" w:rsidP="00F70508">
            <w:pPr>
              <w:pStyle w:val="ParagraphStyle6"/>
              <w:rPr>
                <w:rStyle w:val="CharacterStyle6"/>
              </w:rPr>
            </w:pPr>
            <w:r>
              <w:rPr>
                <w:rStyle w:val="CharacterStyle6"/>
              </w:rPr>
              <w:t>114.000,00</w:t>
            </w:r>
          </w:p>
        </w:tc>
      </w:tr>
      <w:tr w:rsidR="007D706A" w14:paraId="11A7822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A19AD58"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461C1323"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3E16FD75"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3063FE2"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1CD746D" w14:textId="77777777" w:rsidR="007D706A" w:rsidRDefault="007D706A" w:rsidP="00F70508">
            <w:pPr>
              <w:pStyle w:val="ParagraphStyle9"/>
              <w:rPr>
                <w:rStyle w:val="CharacterStyle9"/>
              </w:rPr>
            </w:pPr>
            <w:r>
              <w:rPr>
                <w:rStyle w:val="CharacterStyle9"/>
              </w:rPr>
              <w:t>288.900,00</w:t>
            </w:r>
          </w:p>
        </w:tc>
        <w:tc>
          <w:tcPr>
            <w:tcW w:w="1395" w:type="dxa"/>
            <w:tcBorders>
              <w:bottom w:val="single" w:sz="6" w:space="0" w:color="000000"/>
              <w:right w:val="single" w:sz="6" w:space="0" w:color="000000"/>
            </w:tcBorders>
            <w:vAlign w:val="center"/>
          </w:tcPr>
          <w:p w14:paraId="71F863B2"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115854B" w14:textId="77777777" w:rsidR="007D706A" w:rsidRDefault="007D706A" w:rsidP="00F70508">
            <w:pPr>
              <w:pStyle w:val="ParagraphStyle9"/>
              <w:rPr>
                <w:rStyle w:val="CharacterStyle9"/>
              </w:rPr>
            </w:pPr>
            <w:r>
              <w:rPr>
                <w:rStyle w:val="CharacterStyle9"/>
              </w:rPr>
              <w:t>0,00</w:t>
            </w:r>
          </w:p>
        </w:tc>
      </w:tr>
      <w:tr w:rsidR="007D706A" w14:paraId="40142BE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23938A8"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483F7619"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45A27A9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545E71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5BE6CD0" w14:textId="77777777" w:rsidR="007D706A" w:rsidRDefault="007D706A" w:rsidP="00F70508">
            <w:pPr>
              <w:pStyle w:val="ParagraphStyle12"/>
              <w:rPr>
                <w:rStyle w:val="CharacterStyle12"/>
              </w:rPr>
            </w:pPr>
            <w:r>
              <w:rPr>
                <w:rStyle w:val="CharacterStyle12"/>
              </w:rPr>
              <w:t>288.900,00</w:t>
            </w:r>
          </w:p>
        </w:tc>
        <w:tc>
          <w:tcPr>
            <w:tcW w:w="1395" w:type="dxa"/>
            <w:tcBorders>
              <w:bottom w:val="single" w:sz="6" w:space="0" w:color="000000"/>
              <w:right w:val="single" w:sz="6" w:space="0" w:color="000000"/>
            </w:tcBorders>
            <w:vAlign w:val="center"/>
          </w:tcPr>
          <w:p w14:paraId="5561482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0199274" w14:textId="77777777" w:rsidR="007D706A" w:rsidRDefault="007D706A" w:rsidP="00F70508">
            <w:pPr>
              <w:pStyle w:val="ParagraphStyle12"/>
              <w:rPr>
                <w:rStyle w:val="CharacterStyle12"/>
              </w:rPr>
            </w:pPr>
            <w:r>
              <w:rPr>
                <w:rStyle w:val="CharacterStyle12"/>
              </w:rPr>
              <w:t>0,00</w:t>
            </w:r>
          </w:p>
        </w:tc>
      </w:tr>
      <w:tr w:rsidR="007D706A" w14:paraId="70D40D9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0E52CDC" w14:textId="77777777" w:rsidR="007D706A" w:rsidRDefault="007D706A" w:rsidP="00F70508">
            <w:pPr>
              <w:pStyle w:val="ParagraphStyle10"/>
              <w:rPr>
                <w:rStyle w:val="CharacterStyle10"/>
              </w:rPr>
            </w:pPr>
            <w:r>
              <w:rPr>
                <w:rStyle w:val="CharacterStyle10"/>
              </w:rPr>
              <w:t>41</w:t>
            </w:r>
          </w:p>
        </w:tc>
        <w:tc>
          <w:tcPr>
            <w:tcW w:w="4995" w:type="dxa"/>
            <w:tcBorders>
              <w:bottom w:val="single" w:sz="6" w:space="0" w:color="000000"/>
              <w:right w:val="single" w:sz="6" w:space="0" w:color="000000"/>
            </w:tcBorders>
            <w:vAlign w:val="center"/>
          </w:tcPr>
          <w:p w14:paraId="52F6DBFF" w14:textId="77777777" w:rsidR="007D706A" w:rsidRDefault="007D706A" w:rsidP="00F70508">
            <w:pPr>
              <w:pStyle w:val="ParagraphStyle11"/>
              <w:rPr>
                <w:rStyle w:val="CharacterStyle11"/>
              </w:rPr>
            </w:pPr>
            <w:r>
              <w:rPr>
                <w:rStyle w:val="CharacterStyle11"/>
              </w:rPr>
              <w:t>Rashodi za nabavu neproizvedene dugotrajne imovine</w:t>
            </w:r>
          </w:p>
        </w:tc>
        <w:tc>
          <w:tcPr>
            <w:tcW w:w="1395" w:type="dxa"/>
            <w:tcBorders>
              <w:bottom w:val="single" w:sz="6" w:space="0" w:color="000000"/>
              <w:right w:val="single" w:sz="6" w:space="0" w:color="000000"/>
            </w:tcBorders>
            <w:vAlign w:val="center"/>
          </w:tcPr>
          <w:p w14:paraId="6362AAF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B44A93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41C1EEE" w14:textId="77777777" w:rsidR="007D706A" w:rsidRDefault="007D706A" w:rsidP="00F70508">
            <w:pPr>
              <w:pStyle w:val="ParagraphStyle12"/>
              <w:rPr>
                <w:rStyle w:val="CharacterStyle12"/>
              </w:rPr>
            </w:pPr>
            <w:r>
              <w:rPr>
                <w:rStyle w:val="CharacterStyle12"/>
              </w:rPr>
              <w:t>288.900,00</w:t>
            </w:r>
          </w:p>
        </w:tc>
        <w:tc>
          <w:tcPr>
            <w:tcW w:w="1395" w:type="dxa"/>
            <w:tcBorders>
              <w:bottom w:val="single" w:sz="6" w:space="0" w:color="000000"/>
              <w:right w:val="single" w:sz="6" w:space="0" w:color="000000"/>
            </w:tcBorders>
            <w:vAlign w:val="center"/>
          </w:tcPr>
          <w:p w14:paraId="75DB980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4634ED6" w14:textId="77777777" w:rsidR="007D706A" w:rsidRDefault="007D706A" w:rsidP="00F70508">
            <w:pPr>
              <w:pStyle w:val="ParagraphStyle12"/>
              <w:rPr>
                <w:rStyle w:val="CharacterStyle12"/>
              </w:rPr>
            </w:pPr>
            <w:r>
              <w:rPr>
                <w:rStyle w:val="CharacterStyle12"/>
              </w:rPr>
              <w:t>0,00</w:t>
            </w:r>
          </w:p>
        </w:tc>
      </w:tr>
      <w:tr w:rsidR="007D706A" w14:paraId="4A2013A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219DC8E" w14:textId="77777777" w:rsidR="007D706A" w:rsidRDefault="007D706A" w:rsidP="00F70508">
            <w:pPr>
              <w:pStyle w:val="ParagraphStyle7"/>
              <w:rPr>
                <w:rStyle w:val="CharacterStyle7"/>
              </w:rPr>
            </w:pPr>
            <w:r>
              <w:rPr>
                <w:rStyle w:val="CharacterStyle7"/>
              </w:rPr>
              <w:t>Izvor financiranja 41</w:t>
            </w:r>
          </w:p>
        </w:tc>
        <w:tc>
          <w:tcPr>
            <w:tcW w:w="4995" w:type="dxa"/>
            <w:tcBorders>
              <w:bottom w:val="single" w:sz="6" w:space="0" w:color="000000"/>
              <w:right w:val="single" w:sz="6" w:space="0" w:color="000000"/>
            </w:tcBorders>
            <w:vAlign w:val="center"/>
          </w:tcPr>
          <w:p w14:paraId="052EFBBF" w14:textId="77777777" w:rsidR="007D706A" w:rsidRDefault="007D706A" w:rsidP="00F70508">
            <w:pPr>
              <w:pStyle w:val="ParagraphStyle8"/>
              <w:rPr>
                <w:rStyle w:val="CharacterStyle8"/>
              </w:rPr>
            </w:pPr>
            <w:r>
              <w:rPr>
                <w:rStyle w:val="CharacterStyle8"/>
              </w:rPr>
              <w:t>Prihodi za posebne namjene</w:t>
            </w:r>
          </w:p>
        </w:tc>
        <w:tc>
          <w:tcPr>
            <w:tcW w:w="1395" w:type="dxa"/>
            <w:tcBorders>
              <w:bottom w:val="single" w:sz="6" w:space="0" w:color="000000"/>
              <w:right w:val="single" w:sz="6" w:space="0" w:color="000000"/>
            </w:tcBorders>
            <w:vAlign w:val="center"/>
          </w:tcPr>
          <w:p w14:paraId="767C7ECA"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118F243" w14:textId="77777777" w:rsidR="007D706A" w:rsidRDefault="007D706A" w:rsidP="00F70508">
            <w:pPr>
              <w:pStyle w:val="ParagraphStyle9"/>
              <w:rPr>
                <w:rStyle w:val="CharacterStyle9"/>
              </w:rPr>
            </w:pPr>
            <w:r>
              <w:rPr>
                <w:rStyle w:val="CharacterStyle9"/>
              </w:rPr>
              <w:t>68.000,00</w:t>
            </w:r>
          </w:p>
        </w:tc>
        <w:tc>
          <w:tcPr>
            <w:tcW w:w="1395" w:type="dxa"/>
            <w:tcBorders>
              <w:bottom w:val="single" w:sz="6" w:space="0" w:color="000000"/>
              <w:right w:val="single" w:sz="6" w:space="0" w:color="000000"/>
            </w:tcBorders>
            <w:vAlign w:val="center"/>
          </w:tcPr>
          <w:p w14:paraId="5512B6F3"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A017479"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4DE2AE3" w14:textId="77777777" w:rsidR="007D706A" w:rsidRDefault="007D706A" w:rsidP="00F70508">
            <w:pPr>
              <w:pStyle w:val="ParagraphStyle9"/>
              <w:rPr>
                <w:rStyle w:val="CharacterStyle9"/>
              </w:rPr>
            </w:pPr>
            <w:r>
              <w:rPr>
                <w:rStyle w:val="CharacterStyle9"/>
              </w:rPr>
              <w:t>0,00</w:t>
            </w:r>
          </w:p>
        </w:tc>
      </w:tr>
      <w:tr w:rsidR="007D706A" w14:paraId="45E3D20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B9E57DD"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149D9899"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7CF3DAD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21FE305" w14:textId="77777777" w:rsidR="007D706A" w:rsidRDefault="007D706A" w:rsidP="00F70508">
            <w:pPr>
              <w:pStyle w:val="ParagraphStyle12"/>
              <w:rPr>
                <w:rStyle w:val="CharacterStyle12"/>
              </w:rPr>
            </w:pPr>
            <w:r>
              <w:rPr>
                <w:rStyle w:val="CharacterStyle12"/>
              </w:rPr>
              <w:t>68.000,00</w:t>
            </w:r>
          </w:p>
        </w:tc>
        <w:tc>
          <w:tcPr>
            <w:tcW w:w="1395" w:type="dxa"/>
            <w:tcBorders>
              <w:bottom w:val="single" w:sz="6" w:space="0" w:color="000000"/>
              <w:right w:val="single" w:sz="6" w:space="0" w:color="000000"/>
            </w:tcBorders>
            <w:vAlign w:val="center"/>
          </w:tcPr>
          <w:p w14:paraId="0C54FA2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30E758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CBE9195" w14:textId="77777777" w:rsidR="007D706A" w:rsidRDefault="007D706A" w:rsidP="00F70508">
            <w:pPr>
              <w:pStyle w:val="ParagraphStyle12"/>
              <w:rPr>
                <w:rStyle w:val="CharacterStyle12"/>
              </w:rPr>
            </w:pPr>
            <w:r>
              <w:rPr>
                <w:rStyle w:val="CharacterStyle12"/>
              </w:rPr>
              <w:t>0,00</w:t>
            </w:r>
          </w:p>
        </w:tc>
      </w:tr>
      <w:tr w:rsidR="007D706A" w14:paraId="7821E87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FFE1D28" w14:textId="77777777" w:rsidR="007D706A" w:rsidRDefault="007D706A" w:rsidP="00F70508">
            <w:pPr>
              <w:pStyle w:val="ParagraphStyle10"/>
              <w:rPr>
                <w:rStyle w:val="CharacterStyle10"/>
              </w:rPr>
            </w:pPr>
            <w:r>
              <w:rPr>
                <w:rStyle w:val="CharacterStyle10"/>
              </w:rPr>
              <w:t>41</w:t>
            </w:r>
          </w:p>
        </w:tc>
        <w:tc>
          <w:tcPr>
            <w:tcW w:w="4995" w:type="dxa"/>
            <w:tcBorders>
              <w:bottom w:val="single" w:sz="6" w:space="0" w:color="000000"/>
              <w:right w:val="single" w:sz="6" w:space="0" w:color="000000"/>
            </w:tcBorders>
            <w:vAlign w:val="center"/>
          </w:tcPr>
          <w:p w14:paraId="62B1589A" w14:textId="77777777" w:rsidR="007D706A" w:rsidRDefault="007D706A" w:rsidP="00F70508">
            <w:pPr>
              <w:pStyle w:val="ParagraphStyle11"/>
              <w:rPr>
                <w:rStyle w:val="CharacterStyle11"/>
              </w:rPr>
            </w:pPr>
            <w:r>
              <w:rPr>
                <w:rStyle w:val="CharacterStyle11"/>
              </w:rPr>
              <w:t>Rashodi za nabavu neproizvedene dugotrajne imovine</w:t>
            </w:r>
          </w:p>
        </w:tc>
        <w:tc>
          <w:tcPr>
            <w:tcW w:w="1395" w:type="dxa"/>
            <w:tcBorders>
              <w:bottom w:val="single" w:sz="6" w:space="0" w:color="000000"/>
              <w:right w:val="single" w:sz="6" w:space="0" w:color="000000"/>
            </w:tcBorders>
            <w:vAlign w:val="center"/>
          </w:tcPr>
          <w:p w14:paraId="48A0FA5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2AFBE41" w14:textId="77777777" w:rsidR="007D706A" w:rsidRDefault="007D706A" w:rsidP="00F70508">
            <w:pPr>
              <w:pStyle w:val="ParagraphStyle12"/>
              <w:rPr>
                <w:rStyle w:val="CharacterStyle12"/>
              </w:rPr>
            </w:pPr>
            <w:r>
              <w:rPr>
                <w:rStyle w:val="CharacterStyle12"/>
              </w:rPr>
              <w:t>68.000,00</w:t>
            </w:r>
          </w:p>
        </w:tc>
        <w:tc>
          <w:tcPr>
            <w:tcW w:w="1395" w:type="dxa"/>
            <w:tcBorders>
              <w:bottom w:val="single" w:sz="6" w:space="0" w:color="000000"/>
              <w:right w:val="single" w:sz="6" w:space="0" w:color="000000"/>
            </w:tcBorders>
            <w:vAlign w:val="center"/>
          </w:tcPr>
          <w:p w14:paraId="0B22B2B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D2F981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5EA49E7" w14:textId="77777777" w:rsidR="007D706A" w:rsidRDefault="007D706A" w:rsidP="00F70508">
            <w:pPr>
              <w:pStyle w:val="ParagraphStyle12"/>
              <w:rPr>
                <w:rStyle w:val="CharacterStyle12"/>
              </w:rPr>
            </w:pPr>
            <w:r>
              <w:rPr>
                <w:rStyle w:val="CharacterStyle12"/>
              </w:rPr>
              <w:t>0,00</w:t>
            </w:r>
          </w:p>
        </w:tc>
      </w:tr>
      <w:tr w:rsidR="007D706A" w14:paraId="36E0C73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7DF7332" w14:textId="77777777" w:rsidR="007D706A" w:rsidRDefault="007D706A" w:rsidP="00F70508">
            <w:pPr>
              <w:pStyle w:val="ParagraphStyle7"/>
              <w:rPr>
                <w:rStyle w:val="CharacterStyle7"/>
              </w:rPr>
            </w:pPr>
            <w:r>
              <w:rPr>
                <w:rStyle w:val="CharacterStyle7"/>
              </w:rPr>
              <w:t>Izvor financiranja 43</w:t>
            </w:r>
          </w:p>
        </w:tc>
        <w:tc>
          <w:tcPr>
            <w:tcW w:w="4995" w:type="dxa"/>
            <w:tcBorders>
              <w:bottom w:val="single" w:sz="6" w:space="0" w:color="000000"/>
              <w:right w:val="single" w:sz="6" w:space="0" w:color="000000"/>
            </w:tcBorders>
            <w:vAlign w:val="center"/>
          </w:tcPr>
          <w:p w14:paraId="625322E6" w14:textId="77777777" w:rsidR="007D706A" w:rsidRDefault="007D706A" w:rsidP="00F70508">
            <w:pPr>
              <w:pStyle w:val="ParagraphStyle8"/>
              <w:rPr>
                <w:rStyle w:val="CharacterStyle8"/>
              </w:rPr>
            </w:pPr>
            <w:r>
              <w:rPr>
                <w:rStyle w:val="CharacterStyle8"/>
              </w:rPr>
              <w:t>Ostali prihodi za posebne namjene</w:t>
            </w:r>
          </w:p>
        </w:tc>
        <w:tc>
          <w:tcPr>
            <w:tcW w:w="1395" w:type="dxa"/>
            <w:tcBorders>
              <w:bottom w:val="single" w:sz="6" w:space="0" w:color="000000"/>
              <w:right w:val="single" w:sz="6" w:space="0" w:color="000000"/>
            </w:tcBorders>
            <w:vAlign w:val="center"/>
          </w:tcPr>
          <w:p w14:paraId="2A6EB450"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40823F8"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758E929" w14:textId="77777777" w:rsidR="007D706A" w:rsidRDefault="007D706A" w:rsidP="00F70508">
            <w:pPr>
              <w:pStyle w:val="ParagraphStyle9"/>
              <w:rPr>
                <w:rStyle w:val="CharacterStyle9"/>
              </w:rPr>
            </w:pPr>
            <w:r>
              <w:rPr>
                <w:rStyle w:val="CharacterStyle9"/>
              </w:rPr>
              <w:t>26.500,00</w:t>
            </w:r>
          </w:p>
        </w:tc>
        <w:tc>
          <w:tcPr>
            <w:tcW w:w="1395" w:type="dxa"/>
            <w:tcBorders>
              <w:bottom w:val="single" w:sz="6" w:space="0" w:color="000000"/>
              <w:right w:val="single" w:sz="6" w:space="0" w:color="000000"/>
            </w:tcBorders>
            <w:vAlign w:val="center"/>
          </w:tcPr>
          <w:p w14:paraId="28F5C4B4" w14:textId="77777777" w:rsidR="007D706A" w:rsidRDefault="007D706A" w:rsidP="00F70508">
            <w:pPr>
              <w:pStyle w:val="ParagraphStyle9"/>
              <w:rPr>
                <w:rStyle w:val="CharacterStyle9"/>
              </w:rPr>
            </w:pPr>
            <w:r>
              <w:rPr>
                <w:rStyle w:val="CharacterStyle9"/>
              </w:rPr>
              <w:t>25.000,00</w:t>
            </w:r>
          </w:p>
        </w:tc>
        <w:tc>
          <w:tcPr>
            <w:tcW w:w="1395" w:type="dxa"/>
            <w:tcBorders>
              <w:bottom w:val="single" w:sz="6" w:space="0" w:color="000000"/>
              <w:right w:val="single" w:sz="6" w:space="0" w:color="000000"/>
            </w:tcBorders>
            <w:vAlign w:val="center"/>
          </w:tcPr>
          <w:p w14:paraId="7787FC23" w14:textId="77777777" w:rsidR="007D706A" w:rsidRDefault="007D706A" w:rsidP="00F70508">
            <w:pPr>
              <w:pStyle w:val="ParagraphStyle9"/>
              <w:rPr>
                <w:rStyle w:val="CharacterStyle9"/>
              </w:rPr>
            </w:pPr>
            <w:r>
              <w:rPr>
                <w:rStyle w:val="CharacterStyle9"/>
              </w:rPr>
              <w:t>114.000,00</w:t>
            </w:r>
          </w:p>
        </w:tc>
      </w:tr>
      <w:tr w:rsidR="007D706A" w14:paraId="77F171D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8489187"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4303D97C"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05BB440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C2DECE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8E544E4" w14:textId="77777777" w:rsidR="007D706A" w:rsidRDefault="007D706A" w:rsidP="00F70508">
            <w:pPr>
              <w:pStyle w:val="ParagraphStyle12"/>
              <w:rPr>
                <w:rStyle w:val="CharacterStyle12"/>
              </w:rPr>
            </w:pPr>
            <w:r>
              <w:rPr>
                <w:rStyle w:val="CharacterStyle12"/>
              </w:rPr>
              <w:t>26.500,00</w:t>
            </w:r>
          </w:p>
        </w:tc>
        <w:tc>
          <w:tcPr>
            <w:tcW w:w="1395" w:type="dxa"/>
            <w:tcBorders>
              <w:bottom w:val="single" w:sz="6" w:space="0" w:color="000000"/>
              <w:right w:val="single" w:sz="6" w:space="0" w:color="000000"/>
            </w:tcBorders>
            <w:vAlign w:val="center"/>
          </w:tcPr>
          <w:p w14:paraId="5E908783" w14:textId="77777777" w:rsidR="007D706A" w:rsidRDefault="007D706A" w:rsidP="00F70508">
            <w:pPr>
              <w:pStyle w:val="ParagraphStyle12"/>
              <w:rPr>
                <w:rStyle w:val="CharacterStyle12"/>
              </w:rPr>
            </w:pPr>
            <w:r>
              <w:rPr>
                <w:rStyle w:val="CharacterStyle12"/>
              </w:rPr>
              <w:t>25.000,00</w:t>
            </w:r>
          </w:p>
        </w:tc>
        <w:tc>
          <w:tcPr>
            <w:tcW w:w="1395" w:type="dxa"/>
            <w:tcBorders>
              <w:bottom w:val="single" w:sz="6" w:space="0" w:color="000000"/>
              <w:right w:val="single" w:sz="6" w:space="0" w:color="000000"/>
            </w:tcBorders>
            <w:vAlign w:val="center"/>
          </w:tcPr>
          <w:p w14:paraId="69AB9EA1" w14:textId="77777777" w:rsidR="007D706A" w:rsidRDefault="007D706A" w:rsidP="00F70508">
            <w:pPr>
              <w:pStyle w:val="ParagraphStyle12"/>
              <w:rPr>
                <w:rStyle w:val="CharacterStyle12"/>
              </w:rPr>
            </w:pPr>
            <w:r>
              <w:rPr>
                <w:rStyle w:val="CharacterStyle12"/>
              </w:rPr>
              <w:t>114.000,00</w:t>
            </w:r>
          </w:p>
        </w:tc>
      </w:tr>
      <w:tr w:rsidR="007D706A" w14:paraId="743D461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4A9E9EE" w14:textId="77777777" w:rsidR="007D706A" w:rsidRDefault="007D706A" w:rsidP="00F70508">
            <w:pPr>
              <w:pStyle w:val="ParagraphStyle10"/>
              <w:rPr>
                <w:rStyle w:val="CharacterStyle10"/>
              </w:rPr>
            </w:pPr>
            <w:r>
              <w:rPr>
                <w:rStyle w:val="CharacterStyle10"/>
              </w:rPr>
              <w:t>41</w:t>
            </w:r>
          </w:p>
        </w:tc>
        <w:tc>
          <w:tcPr>
            <w:tcW w:w="4995" w:type="dxa"/>
            <w:tcBorders>
              <w:bottom w:val="single" w:sz="6" w:space="0" w:color="000000"/>
              <w:right w:val="single" w:sz="6" w:space="0" w:color="000000"/>
            </w:tcBorders>
            <w:vAlign w:val="center"/>
          </w:tcPr>
          <w:p w14:paraId="057FFD3F" w14:textId="77777777" w:rsidR="007D706A" w:rsidRDefault="007D706A" w:rsidP="00F70508">
            <w:pPr>
              <w:pStyle w:val="ParagraphStyle11"/>
              <w:rPr>
                <w:rStyle w:val="CharacterStyle11"/>
              </w:rPr>
            </w:pPr>
            <w:r>
              <w:rPr>
                <w:rStyle w:val="CharacterStyle11"/>
              </w:rPr>
              <w:t>Rashodi za nabavu neproizvedene dugotrajne imovine</w:t>
            </w:r>
          </w:p>
        </w:tc>
        <w:tc>
          <w:tcPr>
            <w:tcW w:w="1395" w:type="dxa"/>
            <w:tcBorders>
              <w:bottom w:val="single" w:sz="6" w:space="0" w:color="000000"/>
              <w:right w:val="single" w:sz="6" w:space="0" w:color="000000"/>
            </w:tcBorders>
            <w:vAlign w:val="center"/>
          </w:tcPr>
          <w:p w14:paraId="1A230CB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DAA9B9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520FAE1" w14:textId="77777777" w:rsidR="007D706A" w:rsidRDefault="007D706A" w:rsidP="00F70508">
            <w:pPr>
              <w:pStyle w:val="ParagraphStyle12"/>
              <w:rPr>
                <w:rStyle w:val="CharacterStyle12"/>
              </w:rPr>
            </w:pPr>
            <w:r>
              <w:rPr>
                <w:rStyle w:val="CharacterStyle12"/>
              </w:rPr>
              <w:t>26.500,00</w:t>
            </w:r>
          </w:p>
        </w:tc>
        <w:tc>
          <w:tcPr>
            <w:tcW w:w="1395" w:type="dxa"/>
            <w:tcBorders>
              <w:bottom w:val="single" w:sz="6" w:space="0" w:color="000000"/>
              <w:right w:val="single" w:sz="6" w:space="0" w:color="000000"/>
            </w:tcBorders>
            <w:vAlign w:val="center"/>
          </w:tcPr>
          <w:p w14:paraId="7D455497" w14:textId="77777777" w:rsidR="007D706A" w:rsidRDefault="007D706A" w:rsidP="00F70508">
            <w:pPr>
              <w:pStyle w:val="ParagraphStyle12"/>
              <w:rPr>
                <w:rStyle w:val="CharacterStyle12"/>
              </w:rPr>
            </w:pPr>
            <w:r>
              <w:rPr>
                <w:rStyle w:val="CharacterStyle12"/>
              </w:rPr>
              <w:t>25.000,00</w:t>
            </w:r>
          </w:p>
        </w:tc>
        <w:tc>
          <w:tcPr>
            <w:tcW w:w="1395" w:type="dxa"/>
            <w:tcBorders>
              <w:bottom w:val="single" w:sz="6" w:space="0" w:color="000000"/>
              <w:right w:val="single" w:sz="6" w:space="0" w:color="000000"/>
            </w:tcBorders>
            <w:vAlign w:val="center"/>
          </w:tcPr>
          <w:p w14:paraId="67CB104D" w14:textId="77777777" w:rsidR="007D706A" w:rsidRDefault="007D706A" w:rsidP="00F70508">
            <w:pPr>
              <w:pStyle w:val="ParagraphStyle12"/>
              <w:rPr>
                <w:rStyle w:val="CharacterStyle12"/>
              </w:rPr>
            </w:pPr>
            <w:r>
              <w:rPr>
                <w:rStyle w:val="CharacterStyle12"/>
              </w:rPr>
              <w:t>114.000,00</w:t>
            </w:r>
          </w:p>
        </w:tc>
      </w:tr>
      <w:tr w:rsidR="007D706A" w14:paraId="56AAA41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DB6E4AD" w14:textId="77777777" w:rsidR="007D706A" w:rsidRDefault="007D706A" w:rsidP="00F70508">
            <w:pPr>
              <w:pStyle w:val="ParagraphStyle4"/>
              <w:rPr>
                <w:rStyle w:val="CharacterStyle4"/>
              </w:rPr>
            </w:pPr>
            <w:r>
              <w:rPr>
                <w:rStyle w:val="CharacterStyle4"/>
              </w:rPr>
              <w:t>Kapitalni projekt K101414</w:t>
            </w:r>
          </w:p>
        </w:tc>
        <w:tc>
          <w:tcPr>
            <w:tcW w:w="4995" w:type="dxa"/>
            <w:tcBorders>
              <w:bottom w:val="single" w:sz="6" w:space="0" w:color="000000"/>
              <w:right w:val="single" w:sz="6" w:space="0" w:color="000000"/>
            </w:tcBorders>
            <w:vAlign w:val="center"/>
          </w:tcPr>
          <w:p w14:paraId="1C6FB8A9" w14:textId="77777777" w:rsidR="007D706A" w:rsidRDefault="007D706A" w:rsidP="00F70508">
            <w:pPr>
              <w:pStyle w:val="ParagraphStyle5"/>
              <w:rPr>
                <w:rStyle w:val="CharacterStyle5"/>
              </w:rPr>
            </w:pPr>
            <w:r>
              <w:rPr>
                <w:rStyle w:val="CharacterStyle5"/>
              </w:rPr>
              <w:t>POPLOČENJE - CRKVA SV. EUFEMIJA - IV. FAZA</w:t>
            </w:r>
          </w:p>
        </w:tc>
        <w:tc>
          <w:tcPr>
            <w:tcW w:w="1395" w:type="dxa"/>
            <w:tcBorders>
              <w:bottom w:val="single" w:sz="6" w:space="0" w:color="000000"/>
              <w:right w:val="single" w:sz="6" w:space="0" w:color="000000"/>
            </w:tcBorders>
            <w:vAlign w:val="center"/>
          </w:tcPr>
          <w:p w14:paraId="050BEFF5"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36014533" w14:textId="77777777" w:rsidR="007D706A" w:rsidRDefault="007D706A" w:rsidP="00F70508">
            <w:pPr>
              <w:pStyle w:val="ParagraphStyle6"/>
              <w:rPr>
                <w:rStyle w:val="CharacterStyle6"/>
              </w:rPr>
            </w:pPr>
            <w:r>
              <w:rPr>
                <w:rStyle w:val="CharacterStyle6"/>
              </w:rPr>
              <w:t>225.000,00</w:t>
            </w:r>
          </w:p>
        </w:tc>
        <w:tc>
          <w:tcPr>
            <w:tcW w:w="1395" w:type="dxa"/>
            <w:tcBorders>
              <w:bottom w:val="single" w:sz="6" w:space="0" w:color="000000"/>
              <w:right w:val="single" w:sz="6" w:space="0" w:color="000000"/>
            </w:tcBorders>
            <w:vAlign w:val="center"/>
          </w:tcPr>
          <w:p w14:paraId="69C87C08"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4B4B3C30"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2050CBE4" w14:textId="77777777" w:rsidR="007D706A" w:rsidRDefault="007D706A" w:rsidP="00F70508">
            <w:pPr>
              <w:pStyle w:val="ParagraphStyle6"/>
              <w:rPr>
                <w:rStyle w:val="CharacterStyle6"/>
              </w:rPr>
            </w:pPr>
            <w:r>
              <w:rPr>
                <w:rStyle w:val="CharacterStyle6"/>
              </w:rPr>
              <w:t>0,00</w:t>
            </w:r>
          </w:p>
        </w:tc>
      </w:tr>
      <w:tr w:rsidR="007D706A" w14:paraId="394881C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B671F3D" w14:textId="77777777" w:rsidR="007D706A" w:rsidRDefault="007D706A" w:rsidP="00F70508">
            <w:pPr>
              <w:pStyle w:val="ParagraphStyle7"/>
              <w:rPr>
                <w:rStyle w:val="CharacterStyle7"/>
              </w:rPr>
            </w:pPr>
            <w:r>
              <w:rPr>
                <w:rStyle w:val="CharacterStyle7"/>
              </w:rPr>
              <w:t>Izvor financiranja 41</w:t>
            </w:r>
          </w:p>
        </w:tc>
        <w:tc>
          <w:tcPr>
            <w:tcW w:w="4995" w:type="dxa"/>
            <w:tcBorders>
              <w:bottom w:val="single" w:sz="6" w:space="0" w:color="000000"/>
              <w:right w:val="single" w:sz="6" w:space="0" w:color="000000"/>
            </w:tcBorders>
            <w:vAlign w:val="center"/>
          </w:tcPr>
          <w:p w14:paraId="6E26492A" w14:textId="77777777" w:rsidR="007D706A" w:rsidRDefault="007D706A" w:rsidP="00F70508">
            <w:pPr>
              <w:pStyle w:val="ParagraphStyle8"/>
              <w:rPr>
                <w:rStyle w:val="CharacterStyle8"/>
              </w:rPr>
            </w:pPr>
            <w:r>
              <w:rPr>
                <w:rStyle w:val="CharacterStyle8"/>
              </w:rPr>
              <w:t>Prihodi za posebne namjene</w:t>
            </w:r>
          </w:p>
        </w:tc>
        <w:tc>
          <w:tcPr>
            <w:tcW w:w="1395" w:type="dxa"/>
            <w:tcBorders>
              <w:bottom w:val="single" w:sz="6" w:space="0" w:color="000000"/>
              <w:right w:val="single" w:sz="6" w:space="0" w:color="000000"/>
            </w:tcBorders>
            <w:vAlign w:val="center"/>
          </w:tcPr>
          <w:p w14:paraId="4DD1C093"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2D5AC09" w14:textId="77777777" w:rsidR="007D706A" w:rsidRDefault="007D706A" w:rsidP="00F70508">
            <w:pPr>
              <w:pStyle w:val="ParagraphStyle9"/>
              <w:rPr>
                <w:rStyle w:val="CharacterStyle9"/>
              </w:rPr>
            </w:pPr>
            <w:r>
              <w:rPr>
                <w:rStyle w:val="CharacterStyle9"/>
              </w:rPr>
              <w:t>100.324,50</w:t>
            </w:r>
          </w:p>
        </w:tc>
        <w:tc>
          <w:tcPr>
            <w:tcW w:w="1395" w:type="dxa"/>
            <w:tcBorders>
              <w:bottom w:val="single" w:sz="6" w:space="0" w:color="000000"/>
              <w:right w:val="single" w:sz="6" w:space="0" w:color="000000"/>
            </w:tcBorders>
            <w:vAlign w:val="center"/>
          </w:tcPr>
          <w:p w14:paraId="5A358692"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2787CD0"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3590602" w14:textId="77777777" w:rsidR="007D706A" w:rsidRDefault="007D706A" w:rsidP="00F70508">
            <w:pPr>
              <w:pStyle w:val="ParagraphStyle9"/>
              <w:rPr>
                <w:rStyle w:val="CharacterStyle9"/>
              </w:rPr>
            </w:pPr>
            <w:r>
              <w:rPr>
                <w:rStyle w:val="CharacterStyle9"/>
              </w:rPr>
              <w:t>0,00</w:t>
            </w:r>
          </w:p>
        </w:tc>
      </w:tr>
      <w:tr w:rsidR="007D706A" w14:paraId="6A3BEDA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DA66284"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631E2B88"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1778E87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47B9BFD" w14:textId="77777777" w:rsidR="007D706A" w:rsidRDefault="007D706A" w:rsidP="00F70508">
            <w:pPr>
              <w:pStyle w:val="ParagraphStyle12"/>
              <w:rPr>
                <w:rStyle w:val="CharacterStyle12"/>
              </w:rPr>
            </w:pPr>
            <w:r>
              <w:rPr>
                <w:rStyle w:val="CharacterStyle12"/>
              </w:rPr>
              <w:t>100.324,50</w:t>
            </w:r>
          </w:p>
        </w:tc>
        <w:tc>
          <w:tcPr>
            <w:tcW w:w="1395" w:type="dxa"/>
            <w:tcBorders>
              <w:bottom w:val="single" w:sz="6" w:space="0" w:color="000000"/>
              <w:right w:val="single" w:sz="6" w:space="0" w:color="000000"/>
            </w:tcBorders>
            <w:vAlign w:val="center"/>
          </w:tcPr>
          <w:p w14:paraId="651C029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E9B3D5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48DAD3E" w14:textId="77777777" w:rsidR="007D706A" w:rsidRDefault="007D706A" w:rsidP="00F70508">
            <w:pPr>
              <w:pStyle w:val="ParagraphStyle12"/>
              <w:rPr>
                <w:rStyle w:val="CharacterStyle12"/>
              </w:rPr>
            </w:pPr>
            <w:r>
              <w:rPr>
                <w:rStyle w:val="CharacterStyle12"/>
              </w:rPr>
              <w:t>0,00</w:t>
            </w:r>
          </w:p>
        </w:tc>
      </w:tr>
      <w:tr w:rsidR="007D706A" w14:paraId="44EDC11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818059E" w14:textId="77777777" w:rsidR="007D706A" w:rsidRDefault="007D706A" w:rsidP="00F70508">
            <w:pPr>
              <w:pStyle w:val="ParagraphStyle10"/>
              <w:rPr>
                <w:rStyle w:val="CharacterStyle10"/>
              </w:rPr>
            </w:pPr>
            <w:r>
              <w:rPr>
                <w:rStyle w:val="CharacterStyle10"/>
              </w:rPr>
              <w:t>42</w:t>
            </w:r>
          </w:p>
        </w:tc>
        <w:tc>
          <w:tcPr>
            <w:tcW w:w="4995" w:type="dxa"/>
            <w:tcBorders>
              <w:bottom w:val="single" w:sz="6" w:space="0" w:color="000000"/>
              <w:right w:val="single" w:sz="6" w:space="0" w:color="000000"/>
            </w:tcBorders>
            <w:vAlign w:val="center"/>
          </w:tcPr>
          <w:p w14:paraId="6C9C46DA"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42570BD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06DE749" w14:textId="77777777" w:rsidR="007D706A" w:rsidRDefault="007D706A" w:rsidP="00F70508">
            <w:pPr>
              <w:pStyle w:val="ParagraphStyle12"/>
              <w:rPr>
                <w:rStyle w:val="CharacterStyle12"/>
              </w:rPr>
            </w:pPr>
            <w:r>
              <w:rPr>
                <w:rStyle w:val="CharacterStyle12"/>
              </w:rPr>
              <w:t>100.324,50</w:t>
            </w:r>
          </w:p>
        </w:tc>
        <w:tc>
          <w:tcPr>
            <w:tcW w:w="1395" w:type="dxa"/>
            <w:tcBorders>
              <w:bottom w:val="single" w:sz="6" w:space="0" w:color="000000"/>
              <w:right w:val="single" w:sz="6" w:space="0" w:color="000000"/>
            </w:tcBorders>
            <w:vAlign w:val="center"/>
          </w:tcPr>
          <w:p w14:paraId="334EAD7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C6289A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B486F97" w14:textId="77777777" w:rsidR="007D706A" w:rsidRDefault="007D706A" w:rsidP="00F70508">
            <w:pPr>
              <w:pStyle w:val="ParagraphStyle12"/>
              <w:rPr>
                <w:rStyle w:val="CharacterStyle12"/>
              </w:rPr>
            </w:pPr>
            <w:r>
              <w:rPr>
                <w:rStyle w:val="CharacterStyle12"/>
              </w:rPr>
              <w:t>0,00</w:t>
            </w:r>
          </w:p>
        </w:tc>
      </w:tr>
      <w:tr w:rsidR="007D706A" w14:paraId="37BF302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0160D0F" w14:textId="77777777" w:rsidR="007D706A" w:rsidRDefault="007D706A" w:rsidP="00F70508">
            <w:pPr>
              <w:pStyle w:val="ParagraphStyle7"/>
              <w:rPr>
                <w:rStyle w:val="CharacterStyle7"/>
              </w:rPr>
            </w:pPr>
            <w:r>
              <w:rPr>
                <w:rStyle w:val="CharacterStyle7"/>
              </w:rPr>
              <w:t>Izvor financiranja 82</w:t>
            </w:r>
          </w:p>
        </w:tc>
        <w:tc>
          <w:tcPr>
            <w:tcW w:w="4995" w:type="dxa"/>
            <w:tcBorders>
              <w:bottom w:val="single" w:sz="6" w:space="0" w:color="000000"/>
              <w:right w:val="single" w:sz="6" w:space="0" w:color="000000"/>
            </w:tcBorders>
            <w:vAlign w:val="center"/>
          </w:tcPr>
          <w:p w14:paraId="18FFFA01" w14:textId="77777777" w:rsidR="007D706A" w:rsidRDefault="007D706A" w:rsidP="00F70508">
            <w:pPr>
              <w:pStyle w:val="ParagraphStyle8"/>
              <w:rPr>
                <w:rStyle w:val="CharacterStyle8"/>
              </w:rPr>
            </w:pPr>
            <w:r>
              <w:rPr>
                <w:rStyle w:val="CharacterStyle8"/>
              </w:rPr>
              <w:t>Preneseni viškovi iz ranijih godina</w:t>
            </w:r>
          </w:p>
        </w:tc>
        <w:tc>
          <w:tcPr>
            <w:tcW w:w="1395" w:type="dxa"/>
            <w:tcBorders>
              <w:bottom w:val="single" w:sz="6" w:space="0" w:color="000000"/>
              <w:right w:val="single" w:sz="6" w:space="0" w:color="000000"/>
            </w:tcBorders>
            <w:vAlign w:val="center"/>
          </w:tcPr>
          <w:p w14:paraId="2F26AE17"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9F164E5" w14:textId="77777777" w:rsidR="007D706A" w:rsidRDefault="007D706A" w:rsidP="00F70508">
            <w:pPr>
              <w:pStyle w:val="ParagraphStyle9"/>
              <w:rPr>
                <w:rStyle w:val="CharacterStyle9"/>
              </w:rPr>
            </w:pPr>
            <w:r>
              <w:rPr>
                <w:rStyle w:val="CharacterStyle9"/>
              </w:rPr>
              <w:t>124.675,50</w:t>
            </w:r>
          </w:p>
        </w:tc>
        <w:tc>
          <w:tcPr>
            <w:tcW w:w="1395" w:type="dxa"/>
            <w:tcBorders>
              <w:bottom w:val="single" w:sz="6" w:space="0" w:color="000000"/>
              <w:right w:val="single" w:sz="6" w:space="0" w:color="000000"/>
            </w:tcBorders>
            <w:vAlign w:val="center"/>
          </w:tcPr>
          <w:p w14:paraId="3CB89C67"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154F4F6"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346372B" w14:textId="77777777" w:rsidR="007D706A" w:rsidRDefault="007D706A" w:rsidP="00F70508">
            <w:pPr>
              <w:pStyle w:val="ParagraphStyle9"/>
              <w:rPr>
                <w:rStyle w:val="CharacterStyle9"/>
              </w:rPr>
            </w:pPr>
            <w:r>
              <w:rPr>
                <w:rStyle w:val="CharacterStyle9"/>
              </w:rPr>
              <w:t>0,00</w:t>
            </w:r>
          </w:p>
        </w:tc>
      </w:tr>
      <w:tr w:rsidR="007D706A" w14:paraId="6794540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CA65515"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541AD11B"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23D4E7C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9CC9782" w14:textId="77777777" w:rsidR="007D706A" w:rsidRDefault="007D706A" w:rsidP="00F70508">
            <w:pPr>
              <w:pStyle w:val="ParagraphStyle12"/>
              <w:rPr>
                <w:rStyle w:val="CharacterStyle12"/>
              </w:rPr>
            </w:pPr>
            <w:r>
              <w:rPr>
                <w:rStyle w:val="CharacterStyle12"/>
              </w:rPr>
              <w:t>124.675,50</w:t>
            </w:r>
          </w:p>
        </w:tc>
        <w:tc>
          <w:tcPr>
            <w:tcW w:w="1395" w:type="dxa"/>
            <w:tcBorders>
              <w:bottom w:val="single" w:sz="6" w:space="0" w:color="000000"/>
              <w:right w:val="single" w:sz="6" w:space="0" w:color="000000"/>
            </w:tcBorders>
            <w:vAlign w:val="center"/>
          </w:tcPr>
          <w:p w14:paraId="78DD246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6C9620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6C2506F" w14:textId="77777777" w:rsidR="007D706A" w:rsidRDefault="007D706A" w:rsidP="00F70508">
            <w:pPr>
              <w:pStyle w:val="ParagraphStyle12"/>
              <w:rPr>
                <w:rStyle w:val="CharacterStyle12"/>
              </w:rPr>
            </w:pPr>
            <w:r>
              <w:rPr>
                <w:rStyle w:val="CharacterStyle12"/>
              </w:rPr>
              <w:t>0,00</w:t>
            </w:r>
          </w:p>
        </w:tc>
      </w:tr>
      <w:tr w:rsidR="007D706A" w14:paraId="7188044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068F9CC" w14:textId="77777777" w:rsidR="007D706A" w:rsidRDefault="007D706A" w:rsidP="00F70508">
            <w:pPr>
              <w:pStyle w:val="ParagraphStyle10"/>
              <w:rPr>
                <w:rStyle w:val="CharacterStyle10"/>
              </w:rPr>
            </w:pPr>
            <w:r>
              <w:rPr>
                <w:rStyle w:val="CharacterStyle10"/>
              </w:rPr>
              <w:t>42</w:t>
            </w:r>
          </w:p>
        </w:tc>
        <w:tc>
          <w:tcPr>
            <w:tcW w:w="4995" w:type="dxa"/>
            <w:tcBorders>
              <w:bottom w:val="single" w:sz="6" w:space="0" w:color="000000"/>
              <w:right w:val="single" w:sz="6" w:space="0" w:color="000000"/>
            </w:tcBorders>
            <w:vAlign w:val="center"/>
          </w:tcPr>
          <w:p w14:paraId="1643CBBF"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41EC208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AA9839D" w14:textId="77777777" w:rsidR="007D706A" w:rsidRDefault="007D706A" w:rsidP="00F70508">
            <w:pPr>
              <w:pStyle w:val="ParagraphStyle12"/>
              <w:rPr>
                <w:rStyle w:val="CharacterStyle12"/>
              </w:rPr>
            </w:pPr>
            <w:r>
              <w:rPr>
                <w:rStyle w:val="CharacterStyle12"/>
              </w:rPr>
              <w:t>124.675,50</w:t>
            </w:r>
          </w:p>
        </w:tc>
        <w:tc>
          <w:tcPr>
            <w:tcW w:w="1395" w:type="dxa"/>
            <w:tcBorders>
              <w:bottom w:val="single" w:sz="6" w:space="0" w:color="000000"/>
              <w:right w:val="single" w:sz="6" w:space="0" w:color="000000"/>
            </w:tcBorders>
            <w:vAlign w:val="center"/>
          </w:tcPr>
          <w:p w14:paraId="742ACEF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952A4A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283B372" w14:textId="77777777" w:rsidR="007D706A" w:rsidRDefault="007D706A" w:rsidP="00F70508">
            <w:pPr>
              <w:pStyle w:val="ParagraphStyle12"/>
              <w:rPr>
                <w:rStyle w:val="CharacterStyle12"/>
              </w:rPr>
            </w:pPr>
            <w:r>
              <w:rPr>
                <w:rStyle w:val="CharacterStyle12"/>
              </w:rPr>
              <w:t>0,00</w:t>
            </w:r>
          </w:p>
        </w:tc>
      </w:tr>
      <w:tr w:rsidR="007D706A" w14:paraId="4EDD17A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A18751B" w14:textId="77777777" w:rsidR="007D706A" w:rsidRDefault="007D706A" w:rsidP="00F70508">
            <w:pPr>
              <w:pStyle w:val="ParagraphStyle4"/>
              <w:rPr>
                <w:rStyle w:val="CharacterStyle4"/>
              </w:rPr>
            </w:pPr>
            <w:r>
              <w:rPr>
                <w:rStyle w:val="CharacterStyle4"/>
              </w:rPr>
              <w:lastRenderedPageBreak/>
              <w:t>Kapitalni projekt K101421</w:t>
            </w:r>
          </w:p>
        </w:tc>
        <w:tc>
          <w:tcPr>
            <w:tcW w:w="4995" w:type="dxa"/>
            <w:tcBorders>
              <w:bottom w:val="single" w:sz="6" w:space="0" w:color="000000"/>
              <w:right w:val="single" w:sz="6" w:space="0" w:color="000000"/>
            </w:tcBorders>
            <w:vAlign w:val="center"/>
          </w:tcPr>
          <w:p w14:paraId="67513C89" w14:textId="77777777" w:rsidR="007D706A" w:rsidRDefault="007D706A" w:rsidP="00F70508">
            <w:pPr>
              <w:pStyle w:val="ParagraphStyle5"/>
              <w:rPr>
                <w:rStyle w:val="CharacterStyle5"/>
              </w:rPr>
            </w:pPr>
            <w:r>
              <w:rPr>
                <w:rStyle w:val="CharacterStyle5"/>
              </w:rPr>
              <w:t>IZGRADNJA PROMETNICE GRIPOLE-SPINE'_ VII FAZA</w:t>
            </w:r>
          </w:p>
        </w:tc>
        <w:tc>
          <w:tcPr>
            <w:tcW w:w="1395" w:type="dxa"/>
            <w:tcBorders>
              <w:bottom w:val="single" w:sz="6" w:space="0" w:color="000000"/>
              <w:right w:val="single" w:sz="6" w:space="0" w:color="000000"/>
            </w:tcBorders>
            <w:vAlign w:val="center"/>
          </w:tcPr>
          <w:p w14:paraId="328C48A9"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4ACC3CA8" w14:textId="77777777" w:rsidR="007D706A" w:rsidRDefault="007D706A" w:rsidP="00F70508">
            <w:pPr>
              <w:pStyle w:val="ParagraphStyle6"/>
              <w:rPr>
                <w:rStyle w:val="CharacterStyle6"/>
              </w:rPr>
            </w:pPr>
            <w:r>
              <w:rPr>
                <w:rStyle w:val="CharacterStyle6"/>
              </w:rPr>
              <w:t>372.500,00</w:t>
            </w:r>
          </w:p>
        </w:tc>
        <w:tc>
          <w:tcPr>
            <w:tcW w:w="1395" w:type="dxa"/>
            <w:tcBorders>
              <w:bottom w:val="single" w:sz="6" w:space="0" w:color="000000"/>
              <w:right w:val="single" w:sz="6" w:space="0" w:color="000000"/>
            </w:tcBorders>
            <w:vAlign w:val="center"/>
          </w:tcPr>
          <w:p w14:paraId="183FDAE4"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64BD18D8"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456F0344" w14:textId="77777777" w:rsidR="007D706A" w:rsidRDefault="007D706A" w:rsidP="00F70508">
            <w:pPr>
              <w:pStyle w:val="ParagraphStyle6"/>
              <w:rPr>
                <w:rStyle w:val="CharacterStyle6"/>
              </w:rPr>
            </w:pPr>
            <w:r>
              <w:rPr>
                <w:rStyle w:val="CharacterStyle6"/>
              </w:rPr>
              <w:t>0,00</w:t>
            </w:r>
          </w:p>
        </w:tc>
      </w:tr>
      <w:tr w:rsidR="007D706A" w14:paraId="09D6A78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2E1343E" w14:textId="77777777" w:rsidR="007D706A" w:rsidRDefault="007D706A" w:rsidP="00F70508">
            <w:pPr>
              <w:pStyle w:val="ParagraphStyle7"/>
              <w:rPr>
                <w:rStyle w:val="CharacterStyle7"/>
              </w:rPr>
            </w:pPr>
            <w:r>
              <w:rPr>
                <w:rStyle w:val="CharacterStyle7"/>
              </w:rPr>
              <w:t>Izvor financiranja 41</w:t>
            </w:r>
          </w:p>
        </w:tc>
        <w:tc>
          <w:tcPr>
            <w:tcW w:w="4995" w:type="dxa"/>
            <w:tcBorders>
              <w:bottom w:val="single" w:sz="6" w:space="0" w:color="000000"/>
              <w:right w:val="single" w:sz="6" w:space="0" w:color="000000"/>
            </w:tcBorders>
            <w:vAlign w:val="center"/>
          </w:tcPr>
          <w:p w14:paraId="649DE871" w14:textId="77777777" w:rsidR="007D706A" w:rsidRDefault="007D706A" w:rsidP="00F70508">
            <w:pPr>
              <w:pStyle w:val="ParagraphStyle8"/>
              <w:rPr>
                <w:rStyle w:val="CharacterStyle8"/>
              </w:rPr>
            </w:pPr>
            <w:r>
              <w:rPr>
                <w:rStyle w:val="CharacterStyle8"/>
              </w:rPr>
              <w:t>Prihodi za posebne namjene</w:t>
            </w:r>
          </w:p>
        </w:tc>
        <w:tc>
          <w:tcPr>
            <w:tcW w:w="1395" w:type="dxa"/>
            <w:tcBorders>
              <w:bottom w:val="single" w:sz="6" w:space="0" w:color="000000"/>
              <w:right w:val="single" w:sz="6" w:space="0" w:color="000000"/>
            </w:tcBorders>
            <w:vAlign w:val="center"/>
          </w:tcPr>
          <w:p w14:paraId="18EB208D"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F4C9179" w14:textId="77777777" w:rsidR="007D706A" w:rsidRDefault="007D706A" w:rsidP="00F70508">
            <w:pPr>
              <w:pStyle w:val="ParagraphStyle9"/>
              <w:rPr>
                <w:rStyle w:val="CharacterStyle9"/>
              </w:rPr>
            </w:pPr>
            <w:r>
              <w:rPr>
                <w:rStyle w:val="CharacterStyle9"/>
              </w:rPr>
              <w:t>305.000,00</w:t>
            </w:r>
          </w:p>
        </w:tc>
        <w:tc>
          <w:tcPr>
            <w:tcW w:w="1395" w:type="dxa"/>
            <w:tcBorders>
              <w:bottom w:val="single" w:sz="6" w:space="0" w:color="000000"/>
              <w:right w:val="single" w:sz="6" w:space="0" w:color="000000"/>
            </w:tcBorders>
            <w:vAlign w:val="center"/>
          </w:tcPr>
          <w:p w14:paraId="0775970B"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5302A6E"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3D8A8F5" w14:textId="77777777" w:rsidR="007D706A" w:rsidRDefault="007D706A" w:rsidP="00F70508">
            <w:pPr>
              <w:pStyle w:val="ParagraphStyle9"/>
              <w:rPr>
                <w:rStyle w:val="CharacterStyle9"/>
              </w:rPr>
            </w:pPr>
            <w:r>
              <w:rPr>
                <w:rStyle w:val="CharacterStyle9"/>
              </w:rPr>
              <w:t>0,00</w:t>
            </w:r>
          </w:p>
        </w:tc>
      </w:tr>
      <w:tr w:rsidR="007D706A" w14:paraId="212F14A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AE5CECC"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2D3B190A"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4F3C5F8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A2AE35D" w14:textId="77777777" w:rsidR="007D706A" w:rsidRDefault="007D706A" w:rsidP="00F70508">
            <w:pPr>
              <w:pStyle w:val="ParagraphStyle12"/>
              <w:rPr>
                <w:rStyle w:val="CharacterStyle12"/>
              </w:rPr>
            </w:pPr>
            <w:r>
              <w:rPr>
                <w:rStyle w:val="CharacterStyle12"/>
              </w:rPr>
              <w:t>305.000,00</w:t>
            </w:r>
          </w:p>
        </w:tc>
        <w:tc>
          <w:tcPr>
            <w:tcW w:w="1395" w:type="dxa"/>
            <w:tcBorders>
              <w:bottom w:val="single" w:sz="6" w:space="0" w:color="000000"/>
              <w:right w:val="single" w:sz="6" w:space="0" w:color="000000"/>
            </w:tcBorders>
            <w:vAlign w:val="center"/>
          </w:tcPr>
          <w:p w14:paraId="3A614EA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212939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DB5C40D" w14:textId="77777777" w:rsidR="007D706A" w:rsidRDefault="007D706A" w:rsidP="00F70508">
            <w:pPr>
              <w:pStyle w:val="ParagraphStyle12"/>
              <w:rPr>
                <w:rStyle w:val="CharacterStyle12"/>
              </w:rPr>
            </w:pPr>
            <w:r>
              <w:rPr>
                <w:rStyle w:val="CharacterStyle12"/>
              </w:rPr>
              <w:t>0,00</w:t>
            </w:r>
          </w:p>
        </w:tc>
      </w:tr>
      <w:tr w:rsidR="007D706A" w14:paraId="74F104B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637C354" w14:textId="77777777" w:rsidR="007D706A" w:rsidRDefault="007D706A" w:rsidP="00F70508">
            <w:pPr>
              <w:pStyle w:val="ParagraphStyle10"/>
              <w:rPr>
                <w:rStyle w:val="CharacterStyle10"/>
              </w:rPr>
            </w:pPr>
            <w:r>
              <w:rPr>
                <w:rStyle w:val="CharacterStyle10"/>
              </w:rPr>
              <w:t>42</w:t>
            </w:r>
          </w:p>
        </w:tc>
        <w:tc>
          <w:tcPr>
            <w:tcW w:w="4995" w:type="dxa"/>
            <w:tcBorders>
              <w:bottom w:val="single" w:sz="6" w:space="0" w:color="000000"/>
              <w:right w:val="single" w:sz="6" w:space="0" w:color="000000"/>
            </w:tcBorders>
            <w:vAlign w:val="center"/>
          </w:tcPr>
          <w:p w14:paraId="444D28A2"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5F1CB4C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B4F2B26" w14:textId="77777777" w:rsidR="007D706A" w:rsidRDefault="007D706A" w:rsidP="00F70508">
            <w:pPr>
              <w:pStyle w:val="ParagraphStyle12"/>
              <w:rPr>
                <w:rStyle w:val="CharacterStyle12"/>
              </w:rPr>
            </w:pPr>
            <w:r>
              <w:rPr>
                <w:rStyle w:val="CharacterStyle12"/>
              </w:rPr>
              <w:t>305.000,00</w:t>
            </w:r>
          </w:p>
        </w:tc>
        <w:tc>
          <w:tcPr>
            <w:tcW w:w="1395" w:type="dxa"/>
            <w:tcBorders>
              <w:bottom w:val="single" w:sz="6" w:space="0" w:color="000000"/>
              <w:right w:val="single" w:sz="6" w:space="0" w:color="000000"/>
            </w:tcBorders>
            <w:vAlign w:val="center"/>
          </w:tcPr>
          <w:p w14:paraId="5737453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E683FD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066705B" w14:textId="77777777" w:rsidR="007D706A" w:rsidRDefault="007D706A" w:rsidP="00F70508">
            <w:pPr>
              <w:pStyle w:val="ParagraphStyle12"/>
              <w:rPr>
                <w:rStyle w:val="CharacterStyle12"/>
              </w:rPr>
            </w:pPr>
            <w:r>
              <w:rPr>
                <w:rStyle w:val="CharacterStyle12"/>
              </w:rPr>
              <w:t>0,00</w:t>
            </w:r>
          </w:p>
        </w:tc>
      </w:tr>
      <w:tr w:rsidR="007D706A" w14:paraId="3DEB5B5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D4F8A8C" w14:textId="77777777" w:rsidR="007D706A" w:rsidRDefault="007D706A" w:rsidP="00F70508">
            <w:pPr>
              <w:pStyle w:val="ParagraphStyle7"/>
              <w:rPr>
                <w:rStyle w:val="CharacterStyle7"/>
              </w:rPr>
            </w:pPr>
            <w:r>
              <w:rPr>
                <w:rStyle w:val="CharacterStyle7"/>
              </w:rPr>
              <w:t>Izvor financiranja 82</w:t>
            </w:r>
          </w:p>
        </w:tc>
        <w:tc>
          <w:tcPr>
            <w:tcW w:w="4995" w:type="dxa"/>
            <w:tcBorders>
              <w:bottom w:val="single" w:sz="6" w:space="0" w:color="000000"/>
              <w:right w:val="single" w:sz="6" w:space="0" w:color="000000"/>
            </w:tcBorders>
            <w:vAlign w:val="center"/>
          </w:tcPr>
          <w:p w14:paraId="4F82F473" w14:textId="77777777" w:rsidR="007D706A" w:rsidRDefault="007D706A" w:rsidP="00F70508">
            <w:pPr>
              <w:pStyle w:val="ParagraphStyle8"/>
              <w:rPr>
                <w:rStyle w:val="CharacterStyle8"/>
              </w:rPr>
            </w:pPr>
            <w:r>
              <w:rPr>
                <w:rStyle w:val="CharacterStyle8"/>
              </w:rPr>
              <w:t>Preneseni viškovi iz ranijih godina</w:t>
            </w:r>
          </w:p>
        </w:tc>
        <w:tc>
          <w:tcPr>
            <w:tcW w:w="1395" w:type="dxa"/>
            <w:tcBorders>
              <w:bottom w:val="single" w:sz="6" w:space="0" w:color="000000"/>
              <w:right w:val="single" w:sz="6" w:space="0" w:color="000000"/>
            </w:tcBorders>
            <w:vAlign w:val="center"/>
          </w:tcPr>
          <w:p w14:paraId="6DE8C694"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616FDB3" w14:textId="77777777" w:rsidR="007D706A" w:rsidRDefault="007D706A" w:rsidP="00F70508">
            <w:pPr>
              <w:pStyle w:val="ParagraphStyle9"/>
              <w:rPr>
                <w:rStyle w:val="CharacterStyle9"/>
              </w:rPr>
            </w:pPr>
            <w:r>
              <w:rPr>
                <w:rStyle w:val="CharacterStyle9"/>
              </w:rPr>
              <w:t>67.500,00</w:t>
            </w:r>
          </w:p>
        </w:tc>
        <w:tc>
          <w:tcPr>
            <w:tcW w:w="1395" w:type="dxa"/>
            <w:tcBorders>
              <w:bottom w:val="single" w:sz="6" w:space="0" w:color="000000"/>
              <w:right w:val="single" w:sz="6" w:space="0" w:color="000000"/>
            </w:tcBorders>
            <w:vAlign w:val="center"/>
          </w:tcPr>
          <w:p w14:paraId="0B0F7F17"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C8B5EA2"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9BA5F6B" w14:textId="77777777" w:rsidR="007D706A" w:rsidRDefault="007D706A" w:rsidP="00F70508">
            <w:pPr>
              <w:pStyle w:val="ParagraphStyle9"/>
              <w:rPr>
                <w:rStyle w:val="CharacterStyle9"/>
              </w:rPr>
            </w:pPr>
            <w:r>
              <w:rPr>
                <w:rStyle w:val="CharacterStyle9"/>
              </w:rPr>
              <w:t>0,00</w:t>
            </w:r>
          </w:p>
        </w:tc>
      </w:tr>
      <w:tr w:rsidR="007D706A" w14:paraId="41196BC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91D1AA4"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3C93B1DC"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091B2C2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27A795C" w14:textId="77777777" w:rsidR="007D706A" w:rsidRDefault="007D706A" w:rsidP="00F70508">
            <w:pPr>
              <w:pStyle w:val="ParagraphStyle12"/>
              <w:rPr>
                <w:rStyle w:val="CharacterStyle12"/>
              </w:rPr>
            </w:pPr>
            <w:r>
              <w:rPr>
                <w:rStyle w:val="CharacterStyle12"/>
              </w:rPr>
              <w:t>67.500,00</w:t>
            </w:r>
          </w:p>
        </w:tc>
        <w:tc>
          <w:tcPr>
            <w:tcW w:w="1395" w:type="dxa"/>
            <w:tcBorders>
              <w:bottom w:val="single" w:sz="6" w:space="0" w:color="000000"/>
              <w:right w:val="single" w:sz="6" w:space="0" w:color="000000"/>
            </w:tcBorders>
            <w:vAlign w:val="center"/>
          </w:tcPr>
          <w:p w14:paraId="5F8EB56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0D241B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D2F77F3" w14:textId="77777777" w:rsidR="007D706A" w:rsidRDefault="007D706A" w:rsidP="00F70508">
            <w:pPr>
              <w:pStyle w:val="ParagraphStyle12"/>
              <w:rPr>
                <w:rStyle w:val="CharacterStyle12"/>
              </w:rPr>
            </w:pPr>
            <w:r>
              <w:rPr>
                <w:rStyle w:val="CharacterStyle12"/>
              </w:rPr>
              <w:t>0,00</w:t>
            </w:r>
          </w:p>
        </w:tc>
      </w:tr>
      <w:tr w:rsidR="007D706A" w14:paraId="4BB7BC4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748E071" w14:textId="77777777" w:rsidR="007D706A" w:rsidRDefault="007D706A" w:rsidP="00F70508">
            <w:pPr>
              <w:pStyle w:val="ParagraphStyle10"/>
              <w:rPr>
                <w:rStyle w:val="CharacterStyle10"/>
              </w:rPr>
            </w:pPr>
            <w:r>
              <w:rPr>
                <w:rStyle w:val="CharacterStyle10"/>
              </w:rPr>
              <w:t>42</w:t>
            </w:r>
          </w:p>
        </w:tc>
        <w:tc>
          <w:tcPr>
            <w:tcW w:w="4995" w:type="dxa"/>
            <w:tcBorders>
              <w:bottom w:val="single" w:sz="6" w:space="0" w:color="000000"/>
              <w:right w:val="single" w:sz="6" w:space="0" w:color="000000"/>
            </w:tcBorders>
            <w:vAlign w:val="center"/>
          </w:tcPr>
          <w:p w14:paraId="11D705C0"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0104612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00FFD2C" w14:textId="77777777" w:rsidR="007D706A" w:rsidRDefault="007D706A" w:rsidP="00F70508">
            <w:pPr>
              <w:pStyle w:val="ParagraphStyle12"/>
              <w:rPr>
                <w:rStyle w:val="CharacterStyle12"/>
              </w:rPr>
            </w:pPr>
            <w:r>
              <w:rPr>
                <w:rStyle w:val="CharacterStyle12"/>
              </w:rPr>
              <w:t>67.500,00</w:t>
            </w:r>
          </w:p>
        </w:tc>
        <w:tc>
          <w:tcPr>
            <w:tcW w:w="1395" w:type="dxa"/>
            <w:tcBorders>
              <w:bottom w:val="single" w:sz="6" w:space="0" w:color="000000"/>
              <w:right w:val="single" w:sz="6" w:space="0" w:color="000000"/>
            </w:tcBorders>
            <w:vAlign w:val="center"/>
          </w:tcPr>
          <w:p w14:paraId="207038F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C45E84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0ECE91C" w14:textId="77777777" w:rsidR="007D706A" w:rsidRDefault="007D706A" w:rsidP="00F70508">
            <w:pPr>
              <w:pStyle w:val="ParagraphStyle12"/>
              <w:rPr>
                <w:rStyle w:val="CharacterStyle12"/>
              </w:rPr>
            </w:pPr>
            <w:r>
              <w:rPr>
                <w:rStyle w:val="CharacterStyle12"/>
              </w:rPr>
              <w:t>0,00</w:t>
            </w:r>
          </w:p>
        </w:tc>
      </w:tr>
      <w:tr w:rsidR="007D706A" w14:paraId="291BA55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2BF2E55" w14:textId="77777777" w:rsidR="007D706A" w:rsidRDefault="007D706A" w:rsidP="00F70508">
            <w:pPr>
              <w:pStyle w:val="ParagraphStyle4"/>
              <w:rPr>
                <w:rStyle w:val="CharacterStyle4"/>
              </w:rPr>
            </w:pPr>
            <w:r>
              <w:rPr>
                <w:rStyle w:val="CharacterStyle4"/>
              </w:rPr>
              <w:t>Kapitalni projekt K101422</w:t>
            </w:r>
          </w:p>
        </w:tc>
        <w:tc>
          <w:tcPr>
            <w:tcW w:w="4995" w:type="dxa"/>
            <w:tcBorders>
              <w:bottom w:val="single" w:sz="6" w:space="0" w:color="000000"/>
              <w:right w:val="single" w:sz="6" w:space="0" w:color="000000"/>
            </w:tcBorders>
            <w:vAlign w:val="center"/>
          </w:tcPr>
          <w:p w14:paraId="5B616FB5" w14:textId="77777777" w:rsidR="007D706A" w:rsidRDefault="007D706A" w:rsidP="00F70508">
            <w:pPr>
              <w:pStyle w:val="ParagraphStyle5"/>
              <w:rPr>
                <w:rStyle w:val="CharacterStyle5"/>
              </w:rPr>
            </w:pPr>
            <w:r>
              <w:rPr>
                <w:rStyle w:val="CharacterStyle5"/>
              </w:rPr>
              <w:t>IZGRADNJA PROMETNICE NASELJE SALTERIA</w:t>
            </w:r>
          </w:p>
        </w:tc>
        <w:tc>
          <w:tcPr>
            <w:tcW w:w="1395" w:type="dxa"/>
            <w:tcBorders>
              <w:bottom w:val="single" w:sz="6" w:space="0" w:color="000000"/>
              <w:right w:val="single" w:sz="6" w:space="0" w:color="000000"/>
            </w:tcBorders>
            <w:vAlign w:val="center"/>
          </w:tcPr>
          <w:p w14:paraId="4407641F"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6A98CC48" w14:textId="77777777" w:rsidR="007D706A" w:rsidRDefault="007D706A" w:rsidP="00F70508">
            <w:pPr>
              <w:pStyle w:val="ParagraphStyle6"/>
              <w:rPr>
                <w:rStyle w:val="CharacterStyle6"/>
              </w:rPr>
            </w:pPr>
            <w:r>
              <w:rPr>
                <w:rStyle w:val="CharacterStyle6"/>
              </w:rPr>
              <w:t>123.525,00</w:t>
            </w:r>
          </w:p>
        </w:tc>
        <w:tc>
          <w:tcPr>
            <w:tcW w:w="1395" w:type="dxa"/>
            <w:tcBorders>
              <w:bottom w:val="single" w:sz="6" w:space="0" w:color="000000"/>
              <w:right w:val="single" w:sz="6" w:space="0" w:color="000000"/>
            </w:tcBorders>
            <w:vAlign w:val="center"/>
          </w:tcPr>
          <w:p w14:paraId="02E1C9E4" w14:textId="77777777" w:rsidR="007D706A" w:rsidRDefault="007D706A" w:rsidP="00F70508">
            <w:pPr>
              <w:pStyle w:val="ParagraphStyle6"/>
              <w:rPr>
                <w:rStyle w:val="CharacterStyle6"/>
              </w:rPr>
            </w:pPr>
            <w:r>
              <w:rPr>
                <w:rStyle w:val="CharacterStyle6"/>
              </w:rPr>
              <w:t>167.000,00</w:t>
            </w:r>
          </w:p>
        </w:tc>
        <w:tc>
          <w:tcPr>
            <w:tcW w:w="1395" w:type="dxa"/>
            <w:tcBorders>
              <w:bottom w:val="single" w:sz="6" w:space="0" w:color="000000"/>
              <w:right w:val="single" w:sz="6" w:space="0" w:color="000000"/>
            </w:tcBorders>
            <w:vAlign w:val="center"/>
          </w:tcPr>
          <w:p w14:paraId="2B0ADA3D" w14:textId="77777777" w:rsidR="007D706A" w:rsidRDefault="007D706A" w:rsidP="00F70508">
            <w:pPr>
              <w:pStyle w:val="ParagraphStyle6"/>
              <w:rPr>
                <w:rStyle w:val="CharacterStyle6"/>
              </w:rPr>
            </w:pPr>
            <w:r>
              <w:rPr>
                <w:rStyle w:val="CharacterStyle6"/>
              </w:rPr>
              <w:t>185.000,00</w:t>
            </w:r>
          </w:p>
        </w:tc>
        <w:tc>
          <w:tcPr>
            <w:tcW w:w="1395" w:type="dxa"/>
            <w:tcBorders>
              <w:bottom w:val="single" w:sz="6" w:space="0" w:color="000000"/>
              <w:right w:val="single" w:sz="6" w:space="0" w:color="000000"/>
            </w:tcBorders>
            <w:vAlign w:val="center"/>
          </w:tcPr>
          <w:p w14:paraId="5A6328A8" w14:textId="77777777" w:rsidR="007D706A" w:rsidRDefault="007D706A" w:rsidP="00F70508">
            <w:pPr>
              <w:pStyle w:val="ParagraphStyle6"/>
              <w:rPr>
                <w:rStyle w:val="CharacterStyle6"/>
              </w:rPr>
            </w:pPr>
            <w:r>
              <w:rPr>
                <w:rStyle w:val="CharacterStyle6"/>
              </w:rPr>
              <w:t>92.000,00</w:t>
            </w:r>
          </w:p>
        </w:tc>
      </w:tr>
      <w:tr w:rsidR="007D706A" w14:paraId="4250120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4A32BE3" w14:textId="77777777" w:rsidR="007D706A" w:rsidRDefault="007D706A" w:rsidP="00F70508">
            <w:pPr>
              <w:pStyle w:val="ParagraphStyle7"/>
              <w:rPr>
                <w:rStyle w:val="CharacterStyle7"/>
              </w:rPr>
            </w:pPr>
            <w:r>
              <w:rPr>
                <w:rStyle w:val="CharacterStyle7"/>
              </w:rPr>
              <w:t>Izvor financiranja 40</w:t>
            </w:r>
          </w:p>
        </w:tc>
        <w:tc>
          <w:tcPr>
            <w:tcW w:w="4995" w:type="dxa"/>
            <w:tcBorders>
              <w:bottom w:val="single" w:sz="6" w:space="0" w:color="000000"/>
              <w:right w:val="single" w:sz="6" w:space="0" w:color="000000"/>
            </w:tcBorders>
            <w:vAlign w:val="center"/>
          </w:tcPr>
          <w:p w14:paraId="22D7742A" w14:textId="77777777" w:rsidR="007D706A" w:rsidRDefault="007D706A" w:rsidP="00F70508">
            <w:pPr>
              <w:pStyle w:val="ParagraphStyle8"/>
              <w:rPr>
                <w:rStyle w:val="CharacterStyle8"/>
              </w:rPr>
            </w:pPr>
            <w:r>
              <w:rPr>
                <w:rStyle w:val="CharacterStyle8"/>
              </w:rPr>
              <w:t>Prihodi od komunalne naknade i komunalnog doprinosa</w:t>
            </w:r>
          </w:p>
        </w:tc>
        <w:tc>
          <w:tcPr>
            <w:tcW w:w="1395" w:type="dxa"/>
            <w:tcBorders>
              <w:bottom w:val="single" w:sz="6" w:space="0" w:color="000000"/>
              <w:right w:val="single" w:sz="6" w:space="0" w:color="000000"/>
            </w:tcBorders>
            <w:vAlign w:val="center"/>
          </w:tcPr>
          <w:p w14:paraId="3E903AC9"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E2C0E75"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B336563" w14:textId="77777777" w:rsidR="007D706A" w:rsidRDefault="007D706A" w:rsidP="00F70508">
            <w:pPr>
              <w:pStyle w:val="ParagraphStyle9"/>
              <w:rPr>
                <w:rStyle w:val="CharacterStyle9"/>
              </w:rPr>
            </w:pPr>
            <w:r>
              <w:rPr>
                <w:rStyle w:val="CharacterStyle9"/>
              </w:rPr>
              <w:t>167.000,00</w:t>
            </w:r>
          </w:p>
        </w:tc>
        <w:tc>
          <w:tcPr>
            <w:tcW w:w="1395" w:type="dxa"/>
            <w:tcBorders>
              <w:bottom w:val="single" w:sz="6" w:space="0" w:color="000000"/>
              <w:right w:val="single" w:sz="6" w:space="0" w:color="000000"/>
            </w:tcBorders>
            <w:vAlign w:val="center"/>
          </w:tcPr>
          <w:p w14:paraId="3DC55A5C" w14:textId="77777777" w:rsidR="007D706A" w:rsidRDefault="007D706A" w:rsidP="00F70508">
            <w:pPr>
              <w:pStyle w:val="ParagraphStyle9"/>
              <w:rPr>
                <w:rStyle w:val="CharacterStyle9"/>
              </w:rPr>
            </w:pPr>
            <w:r>
              <w:rPr>
                <w:rStyle w:val="CharacterStyle9"/>
              </w:rPr>
              <w:t>185.000,00</w:t>
            </w:r>
          </w:p>
        </w:tc>
        <w:tc>
          <w:tcPr>
            <w:tcW w:w="1395" w:type="dxa"/>
            <w:tcBorders>
              <w:bottom w:val="single" w:sz="6" w:space="0" w:color="000000"/>
              <w:right w:val="single" w:sz="6" w:space="0" w:color="000000"/>
            </w:tcBorders>
            <w:vAlign w:val="center"/>
          </w:tcPr>
          <w:p w14:paraId="57285BA1" w14:textId="77777777" w:rsidR="007D706A" w:rsidRDefault="007D706A" w:rsidP="00F70508">
            <w:pPr>
              <w:pStyle w:val="ParagraphStyle9"/>
              <w:rPr>
                <w:rStyle w:val="CharacterStyle9"/>
              </w:rPr>
            </w:pPr>
            <w:r>
              <w:rPr>
                <w:rStyle w:val="CharacterStyle9"/>
              </w:rPr>
              <w:t>92.000,00</w:t>
            </w:r>
          </w:p>
        </w:tc>
      </w:tr>
      <w:tr w:rsidR="007D706A" w14:paraId="1E8BB9C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4D01E30"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0F22DF26"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47D761C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CCE4F1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1BC98EC" w14:textId="77777777" w:rsidR="007D706A" w:rsidRDefault="007D706A" w:rsidP="00F70508">
            <w:pPr>
              <w:pStyle w:val="ParagraphStyle12"/>
              <w:rPr>
                <w:rStyle w:val="CharacterStyle12"/>
              </w:rPr>
            </w:pPr>
            <w:r>
              <w:rPr>
                <w:rStyle w:val="CharacterStyle12"/>
              </w:rPr>
              <w:t>167.000,00</w:t>
            </w:r>
          </w:p>
        </w:tc>
        <w:tc>
          <w:tcPr>
            <w:tcW w:w="1395" w:type="dxa"/>
            <w:tcBorders>
              <w:bottom w:val="single" w:sz="6" w:space="0" w:color="000000"/>
              <w:right w:val="single" w:sz="6" w:space="0" w:color="000000"/>
            </w:tcBorders>
            <w:vAlign w:val="center"/>
          </w:tcPr>
          <w:p w14:paraId="3B43435E" w14:textId="77777777" w:rsidR="007D706A" w:rsidRDefault="007D706A" w:rsidP="00F70508">
            <w:pPr>
              <w:pStyle w:val="ParagraphStyle12"/>
              <w:rPr>
                <w:rStyle w:val="CharacterStyle12"/>
              </w:rPr>
            </w:pPr>
            <w:r>
              <w:rPr>
                <w:rStyle w:val="CharacterStyle12"/>
              </w:rPr>
              <w:t>185.000,00</w:t>
            </w:r>
          </w:p>
        </w:tc>
        <w:tc>
          <w:tcPr>
            <w:tcW w:w="1395" w:type="dxa"/>
            <w:tcBorders>
              <w:bottom w:val="single" w:sz="6" w:space="0" w:color="000000"/>
              <w:right w:val="single" w:sz="6" w:space="0" w:color="000000"/>
            </w:tcBorders>
            <w:vAlign w:val="center"/>
          </w:tcPr>
          <w:p w14:paraId="1E7C3862" w14:textId="77777777" w:rsidR="007D706A" w:rsidRDefault="007D706A" w:rsidP="00F70508">
            <w:pPr>
              <w:pStyle w:val="ParagraphStyle12"/>
              <w:rPr>
                <w:rStyle w:val="CharacterStyle12"/>
              </w:rPr>
            </w:pPr>
            <w:r>
              <w:rPr>
                <w:rStyle w:val="CharacterStyle12"/>
              </w:rPr>
              <w:t>92.000,00</w:t>
            </w:r>
          </w:p>
        </w:tc>
      </w:tr>
      <w:tr w:rsidR="007D706A" w14:paraId="1FFE05E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163E222" w14:textId="77777777" w:rsidR="007D706A" w:rsidRDefault="007D706A" w:rsidP="00F70508">
            <w:pPr>
              <w:pStyle w:val="ParagraphStyle10"/>
              <w:rPr>
                <w:rStyle w:val="CharacterStyle10"/>
              </w:rPr>
            </w:pPr>
            <w:r>
              <w:rPr>
                <w:rStyle w:val="CharacterStyle10"/>
              </w:rPr>
              <w:t>42</w:t>
            </w:r>
          </w:p>
        </w:tc>
        <w:tc>
          <w:tcPr>
            <w:tcW w:w="4995" w:type="dxa"/>
            <w:tcBorders>
              <w:bottom w:val="single" w:sz="6" w:space="0" w:color="000000"/>
              <w:right w:val="single" w:sz="6" w:space="0" w:color="000000"/>
            </w:tcBorders>
            <w:vAlign w:val="center"/>
          </w:tcPr>
          <w:p w14:paraId="1FE72B70"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027A2F8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47EC8C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EE8651D" w14:textId="77777777" w:rsidR="007D706A" w:rsidRDefault="007D706A" w:rsidP="00F70508">
            <w:pPr>
              <w:pStyle w:val="ParagraphStyle12"/>
              <w:rPr>
                <w:rStyle w:val="CharacterStyle12"/>
              </w:rPr>
            </w:pPr>
            <w:r>
              <w:rPr>
                <w:rStyle w:val="CharacterStyle12"/>
              </w:rPr>
              <w:t>167.000,00</w:t>
            </w:r>
          </w:p>
        </w:tc>
        <w:tc>
          <w:tcPr>
            <w:tcW w:w="1395" w:type="dxa"/>
            <w:tcBorders>
              <w:bottom w:val="single" w:sz="6" w:space="0" w:color="000000"/>
              <w:right w:val="single" w:sz="6" w:space="0" w:color="000000"/>
            </w:tcBorders>
            <w:vAlign w:val="center"/>
          </w:tcPr>
          <w:p w14:paraId="247BE194" w14:textId="77777777" w:rsidR="007D706A" w:rsidRDefault="007D706A" w:rsidP="00F70508">
            <w:pPr>
              <w:pStyle w:val="ParagraphStyle12"/>
              <w:rPr>
                <w:rStyle w:val="CharacterStyle12"/>
              </w:rPr>
            </w:pPr>
            <w:r>
              <w:rPr>
                <w:rStyle w:val="CharacterStyle12"/>
              </w:rPr>
              <w:t>185.000,00</w:t>
            </w:r>
          </w:p>
        </w:tc>
        <w:tc>
          <w:tcPr>
            <w:tcW w:w="1395" w:type="dxa"/>
            <w:tcBorders>
              <w:bottom w:val="single" w:sz="6" w:space="0" w:color="000000"/>
              <w:right w:val="single" w:sz="6" w:space="0" w:color="000000"/>
            </w:tcBorders>
            <w:vAlign w:val="center"/>
          </w:tcPr>
          <w:p w14:paraId="3F89AEA7" w14:textId="77777777" w:rsidR="007D706A" w:rsidRDefault="007D706A" w:rsidP="00F70508">
            <w:pPr>
              <w:pStyle w:val="ParagraphStyle12"/>
              <w:rPr>
                <w:rStyle w:val="CharacterStyle12"/>
              </w:rPr>
            </w:pPr>
            <w:r>
              <w:rPr>
                <w:rStyle w:val="CharacterStyle12"/>
              </w:rPr>
              <w:t>92.000,00</w:t>
            </w:r>
          </w:p>
        </w:tc>
      </w:tr>
      <w:tr w:rsidR="007D706A" w14:paraId="172401D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F34279B" w14:textId="77777777" w:rsidR="007D706A" w:rsidRDefault="007D706A" w:rsidP="00F70508">
            <w:pPr>
              <w:pStyle w:val="ParagraphStyle7"/>
              <w:rPr>
                <w:rStyle w:val="CharacterStyle7"/>
              </w:rPr>
            </w:pPr>
            <w:r>
              <w:rPr>
                <w:rStyle w:val="CharacterStyle7"/>
              </w:rPr>
              <w:t>Izvor financiranja 82</w:t>
            </w:r>
          </w:p>
        </w:tc>
        <w:tc>
          <w:tcPr>
            <w:tcW w:w="4995" w:type="dxa"/>
            <w:tcBorders>
              <w:bottom w:val="single" w:sz="6" w:space="0" w:color="000000"/>
              <w:right w:val="single" w:sz="6" w:space="0" w:color="000000"/>
            </w:tcBorders>
            <w:vAlign w:val="center"/>
          </w:tcPr>
          <w:p w14:paraId="3EE05F38" w14:textId="77777777" w:rsidR="007D706A" w:rsidRDefault="007D706A" w:rsidP="00F70508">
            <w:pPr>
              <w:pStyle w:val="ParagraphStyle8"/>
              <w:rPr>
                <w:rStyle w:val="CharacterStyle8"/>
              </w:rPr>
            </w:pPr>
            <w:r>
              <w:rPr>
                <w:rStyle w:val="CharacterStyle8"/>
              </w:rPr>
              <w:t>Preneseni viškovi iz ranijih godina</w:t>
            </w:r>
          </w:p>
        </w:tc>
        <w:tc>
          <w:tcPr>
            <w:tcW w:w="1395" w:type="dxa"/>
            <w:tcBorders>
              <w:bottom w:val="single" w:sz="6" w:space="0" w:color="000000"/>
              <w:right w:val="single" w:sz="6" w:space="0" w:color="000000"/>
            </w:tcBorders>
            <w:vAlign w:val="center"/>
          </w:tcPr>
          <w:p w14:paraId="40B1AF33"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B9B18C8" w14:textId="77777777" w:rsidR="007D706A" w:rsidRDefault="007D706A" w:rsidP="00F70508">
            <w:pPr>
              <w:pStyle w:val="ParagraphStyle9"/>
              <w:rPr>
                <w:rStyle w:val="CharacterStyle9"/>
              </w:rPr>
            </w:pPr>
            <w:r>
              <w:rPr>
                <w:rStyle w:val="CharacterStyle9"/>
              </w:rPr>
              <w:t>123.525,00</w:t>
            </w:r>
          </w:p>
        </w:tc>
        <w:tc>
          <w:tcPr>
            <w:tcW w:w="1395" w:type="dxa"/>
            <w:tcBorders>
              <w:bottom w:val="single" w:sz="6" w:space="0" w:color="000000"/>
              <w:right w:val="single" w:sz="6" w:space="0" w:color="000000"/>
            </w:tcBorders>
            <w:vAlign w:val="center"/>
          </w:tcPr>
          <w:p w14:paraId="0812A805"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EC488EE"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4C5E661" w14:textId="77777777" w:rsidR="007D706A" w:rsidRDefault="007D706A" w:rsidP="00F70508">
            <w:pPr>
              <w:pStyle w:val="ParagraphStyle9"/>
              <w:rPr>
                <w:rStyle w:val="CharacterStyle9"/>
              </w:rPr>
            </w:pPr>
            <w:r>
              <w:rPr>
                <w:rStyle w:val="CharacterStyle9"/>
              </w:rPr>
              <w:t>0,00</w:t>
            </w:r>
          </w:p>
        </w:tc>
      </w:tr>
      <w:tr w:rsidR="007D706A" w14:paraId="5C4E3496"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B6840F8"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49914116"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647ABE6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3E79EAE" w14:textId="77777777" w:rsidR="007D706A" w:rsidRDefault="007D706A" w:rsidP="00F70508">
            <w:pPr>
              <w:pStyle w:val="ParagraphStyle12"/>
              <w:rPr>
                <w:rStyle w:val="CharacterStyle12"/>
              </w:rPr>
            </w:pPr>
            <w:r>
              <w:rPr>
                <w:rStyle w:val="CharacterStyle12"/>
              </w:rPr>
              <w:t>123.525,00</w:t>
            </w:r>
          </w:p>
        </w:tc>
        <w:tc>
          <w:tcPr>
            <w:tcW w:w="1395" w:type="dxa"/>
            <w:tcBorders>
              <w:bottom w:val="single" w:sz="6" w:space="0" w:color="000000"/>
              <w:right w:val="single" w:sz="6" w:space="0" w:color="000000"/>
            </w:tcBorders>
            <w:vAlign w:val="center"/>
          </w:tcPr>
          <w:p w14:paraId="77BF5F8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3C1F5C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2FF6EE6" w14:textId="77777777" w:rsidR="007D706A" w:rsidRDefault="007D706A" w:rsidP="00F70508">
            <w:pPr>
              <w:pStyle w:val="ParagraphStyle12"/>
              <w:rPr>
                <w:rStyle w:val="CharacterStyle12"/>
              </w:rPr>
            </w:pPr>
            <w:r>
              <w:rPr>
                <w:rStyle w:val="CharacterStyle12"/>
              </w:rPr>
              <w:t>0,00</w:t>
            </w:r>
          </w:p>
        </w:tc>
      </w:tr>
      <w:tr w:rsidR="007D706A" w14:paraId="3190536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F443FD3" w14:textId="77777777" w:rsidR="007D706A" w:rsidRDefault="007D706A" w:rsidP="00F70508">
            <w:pPr>
              <w:pStyle w:val="ParagraphStyle10"/>
              <w:rPr>
                <w:rStyle w:val="CharacterStyle10"/>
              </w:rPr>
            </w:pPr>
            <w:r>
              <w:rPr>
                <w:rStyle w:val="CharacterStyle10"/>
              </w:rPr>
              <w:t>42</w:t>
            </w:r>
          </w:p>
        </w:tc>
        <w:tc>
          <w:tcPr>
            <w:tcW w:w="4995" w:type="dxa"/>
            <w:tcBorders>
              <w:bottom w:val="single" w:sz="6" w:space="0" w:color="000000"/>
              <w:right w:val="single" w:sz="6" w:space="0" w:color="000000"/>
            </w:tcBorders>
            <w:vAlign w:val="center"/>
          </w:tcPr>
          <w:p w14:paraId="3851599E"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23E7E5A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263118A" w14:textId="77777777" w:rsidR="007D706A" w:rsidRDefault="007D706A" w:rsidP="00F70508">
            <w:pPr>
              <w:pStyle w:val="ParagraphStyle12"/>
              <w:rPr>
                <w:rStyle w:val="CharacterStyle12"/>
              </w:rPr>
            </w:pPr>
            <w:r>
              <w:rPr>
                <w:rStyle w:val="CharacterStyle12"/>
              </w:rPr>
              <w:t>123.525,00</w:t>
            </w:r>
          </w:p>
        </w:tc>
        <w:tc>
          <w:tcPr>
            <w:tcW w:w="1395" w:type="dxa"/>
            <w:tcBorders>
              <w:bottom w:val="single" w:sz="6" w:space="0" w:color="000000"/>
              <w:right w:val="single" w:sz="6" w:space="0" w:color="000000"/>
            </w:tcBorders>
            <w:vAlign w:val="center"/>
          </w:tcPr>
          <w:p w14:paraId="7DA49FF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F9AAA5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B85A824" w14:textId="77777777" w:rsidR="007D706A" w:rsidRDefault="007D706A" w:rsidP="00F70508">
            <w:pPr>
              <w:pStyle w:val="ParagraphStyle12"/>
              <w:rPr>
                <w:rStyle w:val="CharacterStyle12"/>
              </w:rPr>
            </w:pPr>
            <w:r>
              <w:rPr>
                <w:rStyle w:val="CharacterStyle12"/>
              </w:rPr>
              <w:t>0,00</w:t>
            </w:r>
          </w:p>
        </w:tc>
      </w:tr>
      <w:tr w:rsidR="007D706A" w14:paraId="56EA8E7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8DD8173" w14:textId="77777777" w:rsidR="007D706A" w:rsidRDefault="007D706A" w:rsidP="00F70508">
            <w:pPr>
              <w:pStyle w:val="ParagraphStyle4"/>
              <w:rPr>
                <w:rStyle w:val="CharacterStyle4"/>
              </w:rPr>
            </w:pPr>
            <w:r>
              <w:rPr>
                <w:rStyle w:val="CharacterStyle4"/>
              </w:rPr>
              <w:t>Kapitalni projekt K101436</w:t>
            </w:r>
          </w:p>
        </w:tc>
        <w:tc>
          <w:tcPr>
            <w:tcW w:w="4995" w:type="dxa"/>
            <w:tcBorders>
              <w:bottom w:val="single" w:sz="6" w:space="0" w:color="000000"/>
              <w:right w:val="single" w:sz="6" w:space="0" w:color="000000"/>
            </w:tcBorders>
            <w:vAlign w:val="center"/>
          </w:tcPr>
          <w:p w14:paraId="34BBCE21" w14:textId="77777777" w:rsidR="007D706A" w:rsidRDefault="007D706A" w:rsidP="00F70508">
            <w:pPr>
              <w:pStyle w:val="ParagraphStyle5"/>
              <w:rPr>
                <w:rStyle w:val="CharacterStyle5"/>
              </w:rPr>
            </w:pPr>
            <w:r>
              <w:rPr>
                <w:rStyle w:val="CharacterStyle5"/>
              </w:rPr>
              <w:t>IZGRADNJA PROMETNICE GRIPOLE SPINE'</w:t>
            </w:r>
          </w:p>
        </w:tc>
        <w:tc>
          <w:tcPr>
            <w:tcW w:w="1395" w:type="dxa"/>
            <w:tcBorders>
              <w:bottom w:val="single" w:sz="6" w:space="0" w:color="000000"/>
              <w:right w:val="single" w:sz="6" w:space="0" w:color="000000"/>
            </w:tcBorders>
            <w:vAlign w:val="center"/>
          </w:tcPr>
          <w:p w14:paraId="23DF880E"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5173402D" w14:textId="77777777" w:rsidR="007D706A" w:rsidRDefault="007D706A" w:rsidP="00F70508">
            <w:pPr>
              <w:pStyle w:val="ParagraphStyle6"/>
              <w:rPr>
                <w:rStyle w:val="CharacterStyle6"/>
              </w:rPr>
            </w:pPr>
            <w:r>
              <w:rPr>
                <w:rStyle w:val="CharacterStyle6"/>
              </w:rPr>
              <w:t>464.530,00</w:t>
            </w:r>
          </w:p>
        </w:tc>
        <w:tc>
          <w:tcPr>
            <w:tcW w:w="1395" w:type="dxa"/>
            <w:tcBorders>
              <w:bottom w:val="single" w:sz="6" w:space="0" w:color="000000"/>
              <w:right w:val="single" w:sz="6" w:space="0" w:color="000000"/>
            </w:tcBorders>
            <w:vAlign w:val="center"/>
          </w:tcPr>
          <w:p w14:paraId="4D71D5F0" w14:textId="77777777" w:rsidR="007D706A" w:rsidRDefault="007D706A" w:rsidP="00F70508">
            <w:pPr>
              <w:pStyle w:val="ParagraphStyle6"/>
              <w:rPr>
                <w:rStyle w:val="CharacterStyle6"/>
              </w:rPr>
            </w:pPr>
            <w:r>
              <w:rPr>
                <w:rStyle w:val="CharacterStyle6"/>
              </w:rPr>
              <w:t>464.530,00</w:t>
            </w:r>
          </w:p>
        </w:tc>
        <w:tc>
          <w:tcPr>
            <w:tcW w:w="1395" w:type="dxa"/>
            <w:tcBorders>
              <w:bottom w:val="single" w:sz="6" w:space="0" w:color="000000"/>
              <w:right w:val="single" w:sz="6" w:space="0" w:color="000000"/>
            </w:tcBorders>
            <w:vAlign w:val="center"/>
          </w:tcPr>
          <w:p w14:paraId="23293EFE"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006251D8" w14:textId="77777777" w:rsidR="007D706A" w:rsidRDefault="007D706A" w:rsidP="00F70508">
            <w:pPr>
              <w:pStyle w:val="ParagraphStyle6"/>
              <w:rPr>
                <w:rStyle w:val="CharacterStyle6"/>
              </w:rPr>
            </w:pPr>
            <w:r>
              <w:rPr>
                <w:rStyle w:val="CharacterStyle6"/>
              </w:rPr>
              <w:t>0,00</w:t>
            </w:r>
          </w:p>
        </w:tc>
      </w:tr>
      <w:tr w:rsidR="007D706A" w14:paraId="6570B88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F67E0D0" w14:textId="77777777" w:rsidR="007D706A" w:rsidRDefault="007D706A" w:rsidP="00F70508">
            <w:pPr>
              <w:pStyle w:val="ParagraphStyle7"/>
              <w:rPr>
                <w:rStyle w:val="CharacterStyle7"/>
              </w:rPr>
            </w:pPr>
            <w:r>
              <w:rPr>
                <w:rStyle w:val="CharacterStyle7"/>
              </w:rPr>
              <w:t>Izvor financiranja 40</w:t>
            </w:r>
          </w:p>
        </w:tc>
        <w:tc>
          <w:tcPr>
            <w:tcW w:w="4995" w:type="dxa"/>
            <w:tcBorders>
              <w:bottom w:val="single" w:sz="6" w:space="0" w:color="000000"/>
              <w:right w:val="single" w:sz="6" w:space="0" w:color="000000"/>
            </w:tcBorders>
            <w:vAlign w:val="center"/>
          </w:tcPr>
          <w:p w14:paraId="4F2890A2" w14:textId="77777777" w:rsidR="007D706A" w:rsidRDefault="007D706A" w:rsidP="00F70508">
            <w:pPr>
              <w:pStyle w:val="ParagraphStyle8"/>
              <w:rPr>
                <w:rStyle w:val="CharacterStyle8"/>
              </w:rPr>
            </w:pPr>
            <w:r>
              <w:rPr>
                <w:rStyle w:val="CharacterStyle8"/>
              </w:rPr>
              <w:t>Prihodi od komunalne naknade i komunalnog doprinosa</w:t>
            </w:r>
          </w:p>
        </w:tc>
        <w:tc>
          <w:tcPr>
            <w:tcW w:w="1395" w:type="dxa"/>
            <w:tcBorders>
              <w:bottom w:val="single" w:sz="6" w:space="0" w:color="000000"/>
              <w:right w:val="single" w:sz="6" w:space="0" w:color="000000"/>
            </w:tcBorders>
            <w:vAlign w:val="center"/>
          </w:tcPr>
          <w:p w14:paraId="62418778"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6F6E0A9"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815739C" w14:textId="77777777" w:rsidR="007D706A" w:rsidRDefault="007D706A" w:rsidP="00F70508">
            <w:pPr>
              <w:pStyle w:val="ParagraphStyle9"/>
              <w:rPr>
                <w:rStyle w:val="CharacterStyle9"/>
              </w:rPr>
            </w:pPr>
            <w:r>
              <w:rPr>
                <w:rStyle w:val="CharacterStyle9"/>
              </w:rPr>
              <w:t>464.530,00</w:t>
            </w:r>
          </w:p>
        </w:tc>
        <w:tc>
          <w:tcPr>
            <w:tcW w:w="1395" w:type="dxa"/>
            <w:tcBorders>
              <w:bottom w:val="single" w:sz="6" w:space="0" w:color="000000"/>
              <w:right w:val="single" w:sz="6" w:space="0" w:color="000000"/>
            </w:tcBorders>
            <w:vAlign w:val="center"/>
          </w:tcPr>
          <w:p w14:paraId="7A00F4B2"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1B84661" w14:textId="77777777" w:rsidR="007D706A" w:rsidRDefault="007D706A" w:rsidP="00F70508">
            <w:pPr>
              <w:pStyle w:val="ParagraphStyle9"/>
              <w:rPr>
                <w:rStyle w:val="CharacterStyle9"/>
              </w:rPr>
            </w:pPr>
            <w:r>
              <w:rPr>
                <w:rStyle w:val="CharacterStyle9"/>
              </w:rPr>
              <w:t>0,00</w:t>
            </w:r>
          </w:p>
        </w:tc>
      </w:tr>
      <w:tr w:rsidR="007D706A" w14:paraId="52A1048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062E85C"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5D78CD70"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7E6E2E7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3FA1AF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CEA7B49" w14:textId="77777777" w:rsidR="007D706A" w:rsidRDefault="007D706A" w:rsidP="00F70508">
            <w:pPr>
              <w:pStyle w:val="ParagraphStyle12"/>
              <w:rPr>
                <w:rStyle w:val="CharacterStyle12"/>
              </w:rPr>
            </w:pPr>
            <w:r>
              <w:rPr>
                <w:rStyle w:val="CharacterStyle12"/>
              </w:rPr>
              <w:t>464.530,00</w:t>
            </w:r>
          </w:p>
        </w:tc>
        <w:tc>
          <w:tcPr>
            <w:tcW w:w="1395" w:type="dxa"/>
            <w:tcBorders>
              <w:bottom w:val="single" w:sz="6" w:space="0" w:color="000000"/>
              <w:right w:val="single" w:sz="6" w:space="0" w:color="000000"/>
            </w:tcBorders>
            <w:vAlign w:val="center"/>
          </w:tcPr>
          <w:p w14:paraId="1A88606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CE75B28" w14:textId="77777777" w:rsidR="007D706A" w:rsidRDefault="007D706A" w:rsidP="00F70508">
            <w:pPr>
              <w:pStyle w:val="ParagraphStyle12"/>
              <w:rPr>
                <w:rStyle w:val="CharacterStyle12"/>
              </w:rPr>
            </w:pPr>
            <w:r>
              <w:rPr>
                <w:rStyle w:val="CharacterStyle12"/>
              </w:rPr>
              <w:t>0,00</w:t>
            </w:r>
          </w:p>
        </w:tc>
      </w:tr>
      <w:tr w:rsidR="007D706A" w14:paraId="1EAA5E4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63726E1" w14:textId="77777777" w:rsidR="007D706A" w:rsidRDefault="007D706A" w:rsidP="00F70508">
            <w:pPr>
              <w:pStyle w:val="ParagraphStyle10"/>
              <w:rPr>
                <w:rStyle w:val="CharacterStyle10"/>
              </w:rPr>
            </w:pPr>
            <w:r>
              <w:rPr>
                <w:rStyle w:val="CharacterStyle10"/>
              </w:rPr>
              <w:t>42</w:t>
            </w:r>
          </w:p>
        </w:tc>
        <w:tc>
          <w:tcPr>
            <w:tcW w:w="4995" w:type="dxa"/>
            <w:tcBorders>
              <w:bottom w:val="single" w:sz="6" w:space="0" w:color="000000"/>
              <w:right w:val="single" w:sz="6" w:space="0" w:color="000000"/>
            </w:tcBorders>
            <w:vAlign w:val="center"/>
          </w:tcPr>
          <w:p w14:paraId="0CDB40EF"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5256D75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88FAEC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B31968F" w14:textId="77777777" w:rsidR="007D706A" w:rsidRDefault="007D706A" w:rsidP="00F70508">
            <w:pPr>
              <w:pStyle w:val="ParagraphStyle12"/>
              <w:rPr>
                <w:rStyle w:val="CharacterStyle12"/>
              </w:rPr>
            </w:pPr>
            <w:r>
              <w:rPr>
                <w:rStyle w:val="CharacterStyle12"/>
              </w:rPr>
              <w:t>464.530,00</w:t>
            </w:r>
          </w:p>
        </w:tc>
        <w:tc>
          <w:tcPr>
            <w:tcW w:w="1395" w:type="dxa"/>
            <w:tcBorders>
              <w:bottom w:val="single" w:sz="6" w:space="0" w:color="000000"/>
              <w:right w:val="single" w:sz="6" w:space="0" w:color="000000"/>
            </w:tcBorders>
            <w:vAlign w:val="center"/>
          </w:tcPr>
          <w:p w14:paraId="6869CC9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DDB3C70" w14:textId="77777777" w:rsidR="007D706A" w:rsidRDefault="007D706A" w:rsidP="00F70508">
            <w:pPr>
              <w:pStyle w:val="ParagraphStyle12"/>
              <w:rPr>
                <w:rStyle w:val="CharacterStyle12"/>
              </w:rPr>
            </w:pPr>
            <w:r>
              <w:rPr>
                <w:rStyle w:val="CharacterStyle12"/>
              </w:rPr>
              <w:t>0,00</w:t>
            </w:r>
          </w:p>
        </w:tc>
      </w:tr>
      <w:tr w:rsidR="007D706A" w14:paraId="23AC653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8EF3EC8" w14:textId="77777777" w:rsidR="007D706A" w:rsidRDefault="007D706A" w:rsidP="00F70508">
            <w:pPr>
              <w:pStyle w:val="ParagraphStyle7"/>
              <w:rPr>
                <w:rStyle w:val="CharacterStyle7"/>
              </w:rPr>
            </w:pPr>
            <w:r>
              <w:rPr>
                <w:rStyle w:val="CharacterStyle7"/>
              </w:rPr>
              <w:t>Izvor financiranja 41</w:t>
            </w:r>
          </w:p>
        </w:tc>
        <w:tc>
          <w:tcPr>
            <w:tcW w:w="4995" w:type="dxa"/>
            <w:tcBorders>
              <w:bottom w:val="single" w:sz="6" w:space="0" w:color="000000"/>
              <w:right w:val="single" w:sz="6" w:space="0" w:color="000000"/>
            </w:tcBorders>
            <w:vAlign w:val="center"/>
          </w:tcPr>
          <w:p w14:paraId="5D483D98" w14:textId="77777777" w:rsidR="007D706A" w:rsidRDefault="007D706A" w:rsidP="00F70508">
            <w:pPr>
              <w:pStyle w:val="ParagraphStyle8"/>
              <w:rPr>
                <w:rStyle w:val="CharacterStyle8"/>
              </w:rPr>
            </w:pPr>
            <w:r>
              <w:rPr>
                <w:rStyle w:val="CharacterStyle8"/>
              </w:rPr>
              <w:t>Prihodi za posebne namjene</w:t>
            </w:r>
          </w:p>
        </w:tc>
        <w:tc>
          <w:tcPr>
            <w:tcW w:w="1395" w:type="dxa"/>
            <w:tcBorders>
              <w:bottom w:val="single" w:sz="6" w:space="0" w:color="000000"/>
              <w:right w:val="single" w:sz="6" w:space="0" w:color="000000"/>
            </w:tcBorders>
            <w:vAlign w:val="center"/>
          </w:tcPr>
          <w:p w14:paraId="376FE03D"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9FA4CD7" w14:textId="77777777" w:rsidR="007D706A" w:rsidRDefault="007D706A" w:rsidP="00F70508">
            <w:pPr>
              <w:pStyle w:val="ParagraphStyle9"/>
              <w:rPr>
                <w:rStyle w:val="CharacterStyle9"/>
              </w:rPr>
            </w:pPr>
            <w:r>
              <w:rPr>
                <w:rStyle w:val="CharacterStyle9"/>
              </w:rPr>
              <w:t>464.530,00</w:t>
            </w:r>
          </w:p>
        </w:tc>
        <w:tc>
          <w:tcPr>
            <w:tcW w:w="1395" w:type="dxa"/>
            <w:tcBorders>
              <w:bottom w:val="single" w:sz="6" w:space="0" w:color="000000"/>
              <w:right w:val="single" w:sz="6" w:space="0" w:color="000000"/>
            </w:tcBorders>
            <w:vAlign w:val="center"/>
          </w:tcPr>
          <w:p w14:paraId="7262B549"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FD1A1E9"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83D532B" w14:textId="77777777" w:rsidR="007D706A" w:rsidRDefault="007D706A" w:rsidP="00F70508">
            <w:pPr>
              <w:pStyle w:val="ParagraphStyle9"/>
              <w:rPr>
                <w:rStyle w:val="CharacterStyle9"/>
              </w:rPr>
            </w:pPr>
            <w:r>
              <w:rPr>
                <w:rStyle w:val="CharacterStyle9"/>
              </w:rPr>
              <w:t>0,00</w:t>
            </w:r>
          </w:p>
        </w:tc>
      </w:tr>
      <w:tr w:rsidR="007D706A" w14:paraId="1ADD6E6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7B3216E"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1E1652E1"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5976340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6B652B9" w14:textId="77777777" w:rsidR="007D706A" w:rsidRDefault="007D706A" w:rsidP="00F70508">
            <w:pPr>
              <w:pStyle w:val="ParagraphStyle12"/>
              <w:rPr>
                <w:rStyle w:val="CharacterStyle12"/>
              </w:rPr>
            </w:pPr>
            <w:r>
              <w:rPr>
                <w:rStyle w:val="CharacterStyle12"/>
              </w:rPr>
              <w:t>464.530,00</w:t>
            </w:r>
          </w:p>
        </w:tc>
        <w:tc>
          <w:tcPr>
            <w:tcW w:w="1395" w:type="dxa"/>
            <w:tcBorders>
              <w:bottom w:val="single" w:sz="6" w:space="0" w:color="000000"/>
              <w:right w:val="single" w:sz="6" w:space="0" w:color="000000"/>
            </w:tcBorders>
            <w:vAlign w:val="center"/>
          </w:tcPr>
          <w:p w14:paraId="3B9051C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A9F3A6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9916BB2" w14:textId="77777777" w:rsidR="007D706A" w:rsidRDefault="007D706A" w:rsidP="00F70508">
            <w:pPr>
              <w:pStyle w:val="ParagraphStyle12"/>
              <w:rPr>
                <w:rStyle w:val="CharacterStyle12"/>
              </w:rPr>
            </w:pPr>
            <w:r>
              <w:rPr>
                <w:rStyle w:val="CharacterStyle12"/>
              </w:rPr>
              <w:t>0,00</w:t>
            </w:r>
          </w:p>
        </w:tc>
      </w:tr>
      <w:tr w:rsidR="007D706A" w14:paraId="5CF4449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BE1E825" w14:textId="77777777" w:rsidR="007D706A" w:rsidRDefault="007D706A" w:rsidP="00F70508">
            <w:pPr>
              <w:pStyle w:val="ParagraphStyle10"/>
              <w:rPr>
                <w:rStyle w:val="CharacterStyle10"/>
              </w:rPr>
            </w:pPr>
            <w:r>
              <w:rPr>
                <w:rStyle w:val="CharacterStyle10"/>
              </w:rPr>
              <w:t>42</w:t>
            </w:r>
          </w:p>
        </w:tc>
        <w:tc>
          <w:tcPr>
            <w:tcW w:w="4995" w:type="dxa"/>
            <w:tcBorders>
              <w:bottom w:val="single" w:sz="6" w:space="0" w:color="000000"/>
              <w:right w:val="single" w:sz="6" w:space="0" w:color="000000"/>
            </w:tcBorders>
            <w:vAlign w:val="center"/>
          </w:tcPr>
          <w:p w14:paraId="6493B525"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1199474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04F30ED" w14:textId="77777777" w:rsidR="007D706A" w:rsidRDefault="007D706A" w:rsidP="00F70508">
            <w:pPr>
              <w:pStyle w:val="ParagraphStyle12"/>
              <w:rPr>
                <w:rStyle w:val="CharacterStyle12"/>
              </w:rPr>
            </w:pPr>
            <w:r>
              <w:rPr>
                <w:rStyle w:val="CharacterStyle12"/>
              </w:rPr>
              <w:t>464.530,00</w:t>
            </w:r>
          </w:p>
        </w:tc>
        <w:tc>
          <w:tcPr>
            <w:tcW w:w="1395" w:type="dxa"/>
            <w:tcBorders>
              <w:bottom w:val="single" w:sz="6" w:space="0" w:color="000000"/>
              <w:right w:val="single" w:sz="6" w:space="0" w:color="000000"/>
            </w:tcBorders>
            <w:vAlign w:val="center"/>
          </w:tcPr>
          <w:p w14:paraId="3914C34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C95143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E35B1D7" w14:textId="77777777" w:rsidR="007D706A" w:rsidRDefault="007D706A" w:rsidP="00F70508">
            <w:pPr>
              <w:pStyle w:val="ParagraphStyle12"/>
              <w:rPr>
                <w:rStyle w:val="CharacterStyle12"/>
              </w:rPr>
            </w:pPr>
            <w:r>
              <w:rPr>
                <w:rStyle w:val="CharacterStyle12"/>
              </w:rPr>
              <w:t>0,00</w:t>
            </w:r>
          </w:p>
        </w:tc>
      </w:tr>
      <w:tr w:rsidR="007D706A" w14:paraId="643CB1C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1F7691C" w14:textId="77777777" w:rsidR="007D706A" w:rsidRDefault="007D706A" w:rsidP="00F70508">
            <w:pPr>
              <w:pStyle w:val="ParagraphStyle4"/>
              <w:rPr>
                <w:rStyle w:val="CharacterStyle4"/>
              </w:rPr>
            </w:pPr>
            <w:r>
              <w:rPr>
                <w:rStyle w:val="CharacterStyle4"/>
              </w:rPr>
              <w:t>Kapitalni projekt K101456</w:t>
            </w:r>
          </w:p>
        </w:tc>
        <w:tc>
          <w:tcPr>
            <w:tcW w:w="4995" w:type="dxa"/>
            <w:tcBorders>
              <w:bottom w:val="single" w:sz="6" w:space="0" w:color="000000"/>
              <w:right w:val="single" w:sz="6" w:space="0" w:color="000000"/>
            </w:tcBorders>
            <w:vAlign w:val="center"/>
          </w:tcPr>
          <w:p w14:paraId="2B88295F" w14:textId="77777777" w:rsidR="007D706A" w:rsidRDefault="007D706A" w:rsidP="00F70508">
            <w:pPr>
              <w:pStyle w:val="ParagraphStyle5"/>
              <w:rPr>
                <w:rStyle w:val="CharacterStyle5"/>
              </w:rPr>
            </w:pPr>
            <w:r>
              <w:rPr>
                <w:rStyle w:val="CharacterStyle5"/>
              </w:rPr>
              <w:t>IZGRADNJA AUTOBUSNOG KOLODVORA "CONCETTA"</w:t>
            </w:r>
          </w:p>
        </w:tc>
        <w:tc>
          <w:tcPr>
            <w:tcW w:w="1395" w:type="dxa"/>
            <w:tcBorders>
              <w:bottom w:val="single" w:sz="6" w:space="0" w:color="000000"/>
              <w:right w:val="single" w:sz="6" w:space="0" w:color="000000"/>
            </w:tcBorders>
            <w:vAlign w:val="center"/>
          </w:tcPr>
          <w:p w14:paraId="21A7DEF5"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40210E62" w14:textId="77777777" w:rsidR="007D706A" w:rsidRDefault="007D706A" w:rsidP="00F70508">
            <w:pPr>
              <w:pStyle w:val="ParagraphStyle6"/>
              <w:rPr>
                <w:rStyle w:val="CharacterStyle6"/>
              </w:rPr>
            </w:pPr>
            <w:r>
              <w:rPr>
                <w:rStyle w:val="CharacterStyle6"/>
              </w:rPr>
              <w:t>3.984.684,00</w:t>
            </w:r>
          </w:p>
        </w:tc>
        <w:tc>
          <w:tcPr>
            <w:tcW w:w="1395" w:type="dxa"/>
            <w:tcBorders>
              <w:bottom w:val="single" w:sz="6" w:space="0" w:color="000000"/>
              <w:right w:val="single" w:sz="6" w:space="0" w:color="000000"/>
            </w:tcBorders>
            <w:vAlign w:val="center"/>
          </w:tcPr>
          <w:p w14:paraId="4F3193FA" w14:textId="77777777" w:rsidR="007D706A" w:rsidRDefault="007D706A" w:rsidP="00F70508">
            <w:pPr>
              <w:pStyle w:val="ParagraphStyle6"/>
              <w:rPr>
                <w:rStyle w:val="CharacterStyle6"/>
              </w:rPr>
            </w:pPr>
            <w:r>
              <w:rPr>
                <w:rStyle w:val="CharacterStyle6"/>
              </w:rPr>
              <w:t>3.920.000,00</w:t>
            </w:r>
          </w:p>
        </w:tc>
        <w:tc>
          <w:tcPr>
            <w:tcW w:w="1395" w:type="dxa"/>
            <w:tcBorders>
              <w:bottom w:val="single" w:sz="6" w:space="0" w:color="000000"/>
              <w:right w:val="single" w:sz="6" w:space="0" w:color="000000"/>
            </w:tcBorders>
            <w:vAlign w:val="center"/>
          </w:tcPr>
          <w:p w14:paraId="3C06B783" w14:textId="77777777" w:rsidR="007D706A" w:rsidRDefault="007D706A" w:rsidP="00F70508">
            <w:pPr>
              <w:pStyle w:val="ParagraphStyle6"/>
              <w:rPr>
                <w:rStyle w:val="CharacterStyle6"/>
              </w:rPr>
            </w:pPr>
            <w:r>
              <w:rPr>
                <w:rStyle w:val="CharacterStyle6"/>
              </w:rPr>
              <w:t>102.000,00</w:t>
            </w:r>
          </w:p>
        </w:tc>
        <w:tc>
          <w:tcPr>
            <w:tcW w:w="1395" w:type="dxa"/>
            <w:tcBorders>
              <w:bottom w:val="single" w:sz="6" w:space="0" w:color="000000"/>
              <w:right w:val="single" w:sz="6" w:space="0" w:color="000000"/>
            </w:tcBorders>
            <w:vAlign w:val="center"/>
          </w:tcPr>
          <w:p w14:paraId="68BAE053" w14:textId="77777777" w:rsidR="007D706A" w:rsidRDefault="007D706A" w:rsidP="00F70508">
            <w:pPr>
              <w:pStyle w:val="ParagraphStyle6"/>
              <w:rPr>
                <w:rStyle w:val="CharacterStyle6"/>
              </w:rPr>
            </w:pPr>
            <w:r>
              <w:rPr>
                <w:rStyle w:val="CharacterStyle6"/>
              </w:rPr>
              <w:t>0,00</w:t>
            </w:r>
          </w:p>
        </w:tc>
      </w:tr>
      <w:tr w:rsidR="007D706A" w14:paraId="68AB582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77D3980"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6A138FEE"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0B8592A7"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E57C771"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88B0B6D" w14:textId="77777777" w:rsidR="007D706A" w:rsidRDefault="007D706A" w:rsidP="00F70508">
            <w:pPr>
              <w:pStyle w:val="ParagraphStyle9"/>
              <w:rPr>
                <w:rStyle w:val="CharacterStyle9"/>
              </w:rPr>
            </w:pPr>
            <w:r>
              <w:rPr>
                <w:rStyle w:val="CharacterStyle9"/>
              </w:rPr>
              <w:t>3.920.000,00</w:t>
            </w:r>
          </w:p>
        </w:tc>
        <w:tc>
          <w:tcPr>
            <w:tcW w:w="1395" w:type="dxa"/>
            <w:tcBorders>
              <w:bottom w:val="single" w:sz="6" w:space="0" w:color="000000"/>
              <w:right w:val="single" w:sz="6" w:space="0" w:color="000000"/>
            </w:tcBorders>
            <w:vAlign w:val="center"/>
          </w:tcPr>
          <w:p w14:paraId="7942121C" w14:textId="77777777" w:rsidR="007D706A" w:rsidRDefault="007D706A" w:rsidP="00F70508">
            <w:pPr>
              <w:pStyle w:val="ParagraphStyle9"/>
              <w:rPr>
                <w:rStyle w:val="CharacterStyle9"/>
              </w:rPr>
            </w:pPr>
            <w:r>
              <w:rPr>
                <w:rStyle w:val="CharacterStyle9"/>
              </w:rPr>
              <w:t>102.000,00</w:t>
            </w:r>
          </w:p>
        </w:tc>
        <w:tc>
          <w:tcPr>
            <w:tcW w:w="1395" w:type="dxa"/>
            <w:tcBorders>
              <w:bottom w:val="single" w:sz="6" w:space="0" w:color="000000"/>
              <w:right w:val="single" w:sz="6" w:space="0" w:color="000000"/>
            </w:tcBorders>
            <w:vAlign w:val="center"/>
          </w:tcPr>
          <w:p w14:paraId="76BDC13E" w14:textId="77777777" w:rsidR="007D706A" w:rsidRDefault="007D706A" w:rsidP="00F70508">
            <w:pPr>
              <w:pStyle w:val="ParagraphStyle9"/>
              <w:rPr>
                <w:rStyle w:val="CharacterStyle9"/>
              </w:rPr>
            </w:pPr>
            <w:r>
              <w:rPr>
                <w:rStyle w:val="CharacterStyle9"/>
              </w:rPr>
              <w:t>0,00</w:t>
            </w:r>
          </w:p>
        </w:tc>
      </w:tr>
      <w:tr w:rsidR="007D706A" w14:paraId="7D3BBEE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0613738"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7C902686"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4122D1F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FDD271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230EEE7" w14:textId="77777777" w:rsidR="007D706A" w:rsidRDefault="007D706A" w:rsidP="00F70508">
            <w:pPr>
              <w:pStyle w:val="ParagraphStyle12"/>
              <w:rPr>
                <w:rStyle w:val="CharacterStyle12"/>
              </w:rPr>
            </w:pPr>
            <w:r>
              <w:rPr>
                <w:rStyle w:val="CharacterStyle12"/>
              </w:rPr>
              <w:t>3.920.000,00</w:t>
            </w:r>
          </w:p>
        </w:tc>
        <w:tc>
          <w:tcPr>
            <w:tcW w:w="1395" w:type="dxa"/>
            <w:tcBorders>
              <w:bottom w:val="single" w:sz="6" w:space="0" w:color="000000"/>
              <w:right w:val="single" w:sz="6" w:space="0" w:color="000000"/>
            </w:tcBorders>
            <w:vAlign w:val="center"/>
          </w:tcPr>
          <w:p w14:paraId="7A49D614" w14:textId="77777777" w:rsidR="007D706A" w:rsidRDefault="007D706A" w:rsidP="00F70508">
            <w:pPr>
              <w:pStyle w:val="ParagraphStyle12"/>
              <w:rPr>
                <w:rStyle w:val="CharacterStyle12"/>
              </w:rPr>
            </w:pPr>
            <w:r>
              <w:rPr>
                <w:rStyle w:val="CharacterStyle12"/>
              </w:rPr>
              <w:t>102.000,00</w:t>
            </w:r>
          </w:p>
        </w:tc>
        <w:tc>
          <w:tcPr>
            <w:tcW w:w="1395" w:type="dxa"/>
            <w:tcBorders>
              <w:bottom w:val="single" w:sz="6" w:space="0" w:color="000000"/>
              <w:right w:val="single" w:sz="6" w:space="0" w:color="000000"/>
            </w:tcBorders>
            <w:vAlign w:val="center"/>
          </w:tcPr>
          <w:p w14:paraId="7DA6A603" w14:textId="77777777" w:rsidR="007D706A" w:rsidRDefault="007D706A" w:rsidP="00F70508">
            <w:pPr>
              <w:pStyle w:val="ParagraphStyle12"/>
              <w:rPr>
                <w:rStyle w:val="CharacterStyle12"/>
              </w:rPr>
            </w:pPr>
            <w:r>
              <w:rPr>
                <w:rStyle w:val="CharacterStyle12"/>
              </w:rPr>
              <w:t>0,00</w:t>
            </w:r>
          </w:p>
        </w:tc>
      </w:tr>
      <w:tr w:rsidR="007D706A" w14:paraId="66B7930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8173021" w14:textId="77777777" w:rsidR="007D706A" w:rsidRDefault="007D706A" w:rsidP="00F70508">
            <w:pPr>
              <w:pStyle w:val="ParagraphStyle10"/>
              <w:rPr>
                <w:rStyle w:val="CharacterStyle10"/>
              </w:rPr>
            </w:pPr>
            <w:r>
              <w:rPr>
                <w:rStyle w:val="CharacterStyle10"/>
              </w:rPr>
              <w:t>42</w:t>
            </w:r>
          </w:p>
        </w:tc>
        <w:tc>
          <w:tcPr>
            <w:tcW w:w="4995" w:type="dxa"/>
            <w:tcBorders>
              <w:bottom w:val="single" w:sz="6" w:space="0" w:color="000000"/>
              <w:right w:val="single" w:sz="6" w:space="0" w:color="000000"/>
            </w:tcBorders>
            <w:vAlign w:val="center"/>
          </w:tcPr>
          <w:p w14:paraId="2C9E5335"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50EADD6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D3CF81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7062FE6" w14:textId="77777777" w:rsidR="007D706A" w:rsidRDefault="007D706A" w:rsidP="00F70508">
            <w:pPr>
              <w:pStyle w:val="ParagraphStyle12"/>
              <w:rPr>
                <w:rStyle w:val="CharacterStyle12"/>
              </w:rPr>
            </w:pPr>
            <w:r>
              <w:rPr>
                <w:rStyle w:val="CharacterStyle12"/>
              </w:rPr>
              <w:t>3.920.000,00</w:t>
            </w:r>
          </w:p>
        </w:tc>
        <w:tc>
          <w:tcPr>
            <w:tcW w:w="1395" w:type="dxa"/>
            <w:tcBorders>
              <w:bottom w:val="single" w:sz="6" w:space="0" w:color="000000"/>
              <w:right w:val="single" w:sz="6" w:space="0" w:color="000000"/>
            </w:tcBorders>
            <w:vAlign w:val="center"/>
          </w:tcPr>
          <w:p w14:paraId="13683E1C" w14:textId="77777777" w:rsidR="007D706A" w:rsidRDefault="007D706A" w:rsidP="00F70508">
            <w:pPr>
              <w:pStyle w:val="ParagraphStyle12"/>
              <w:rPr>
                <w:rStyle w:val="CharacterStyle12"/>
              </w:rPr>
            </w:pPr>
            <w:r>
              <w:rPr>
                <w:rStyle w:val="CharacterStyle12"/>
              </w:rPr>
              <w:t>102.000,00</w:t>
            </w:r>
          </w:p>
        </w:tc>
        <w:tc>
          <w:tcPr>
            <w:tcW w:w="1395" w:type="dxa"/>
            <w:tcBorders>
              <w:bottom w:val="single" w:sz="6" w:space="0" w:color="000000"/>
              <w:right w:val="single" w:sz="6" w:space="0" w:color="000000"/>
            </w:tcBorders>
            <w:vAlign w:val="center"/>
          </w:tcPr>
          <w:p w14:paraId="21236A73" w14:textId="77777777" w:rsidR="007D706A" w:rsidRDefault="007D706A" w:rsidP="00F70508">
            <w:pPr>
              <w:pStyle w:val="ParagraphStyle12"/>
              <w:rPr>
                <w:rStyle w:val="CharacterStyle12"/>
              </w:rPr>
            </w:pPr>
            <w:r>
              <w:rPr>
                <w:rStyle w:val="CharacterStyle12"/>
              </w:rPr>
              <w:t>0,00</w:t>
            </w:r>
          </w:p>
        </w:tc>
      </w:tr>
      <w:tr w:rsidR="007D706A" w14:paraId="7FDA847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B9101F6" w14:textId="77777777" w:rsidR="007D706A" w:rsidRDefault="007D706A" w:rsidP="00F70508">
            <w:pPr>
              <w:pStyle w:val="ParagraphStyle7"/>
              <w:rPr>
                <w:rStyle w:val="CharacterStyle7"/>
              </w:rPr>
            </w:pPr>
            <w:r>
              <w:rPr>
                <w:rStyle w:val="CharacterStyle7"/>
              </w:rPr>
              <w:t>Izvor financiranja 82</w:t>
            </w:r>
          </w:p>
        </w:tc>
        <w:tc>
          <w:tcPr>
            <w:tcW w:w="4995" w:type="dxa"/>
            <w:tcBorders>
              <w:bottom w:val="single" w:sz="6" w:space="0" w:color="000000"/>
              <w:right w:val="single" w:sz="6" w:space="0" w:color="000000"/>
            </w:tcBorders>
            <w:vAlign w:val="center"/>
          </w:tcPr>
          <w:p w14:paraId="75050298" w14:textId="77777777" w:rsidR="007D706A" w:rsidRDefault="007D706A" w:rsidP="00F70508">
            <w:pPr>
              <w:pStyle w:val="ParagraphStyle8"/>
              <w:rPr>
                <w:rStyle w:val="CharacterStyle8"/>
              </w:rPr>
            </w:pPr>
            <w:r>
              <w:rPr>
                <w:rStyle w:val="CharacterStyle8"/>
              </w:rPr>
              <w:t>Preneseni viškovi iz ranijih godina</w:t>
            </w:r>
          </w:p>
        </w:tc>
        <w:tc>
          <w:tcPr>
            <w:tcW w:w="1395" w:type="dxa"/>
            <w:tcBorders>
              <w:bottom w:val="single" w:sz="6" w:space="0" w:color="000000"/>
              <w:right w:val="single" w:sz="6" w:space="0" w:color="000000"/>
            </w:tcBorders>
            <w:vAlign w:val="center"/>
          </w:tcPr>
          <w:p w14:paraId="5C418551"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8A45741" w14:textId="77777777" w:rsidR="007D706A" w:rsidRDefault="007D706A" w:rsidP="00F70508">
            <w:pPr>
              <w:pStyle w:val="ParagraphStyle9"/>
              <w:rPr>
                <w:rStyle w:val="CharacterStyle9"/>
              </w:rPr>
            </w:pPr>
            <w:r>
              <w:rPr>
                <w:rStyle w:val="CharacterStyle9"/>
              </w:rPr>
              <w:t>3.984.684,00</w:t>
            </w:r>
          </w:p>
        </w:tc>
        <w:tc>
          <w:tcPr>
            <w:tcW w:w="1395" w:type="dxa"/>
            <w:tcBorders>
              <w:bottom w:val="single" w:sz="6" w:space="0" w:color="000000"/>
              <w:right w:val="single" w:sz="6" w:space="0" w:color="000000"/>
            </w:tcBorders>
            <w:vAlign w:val="center"/>
          </w:tcPr>
          <w:p w14:paraId="33B448DB"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65BD725"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C597B43" w14:textId="77777777" w:rsidR="007D706A" w:rsidRDefault="007D706A" w:rsidP="00F70508">
            <w:pPr>
              <w:pStyle w:val="ParagraphStyle9"/>
              <w:rPr>
                <w:rStyle w:val="CharacterStyle9"/>
              </w:rPr>
            </w:pPr>
            <w:r>
              <w:rPr>
                <w:rStyle w:val="CharacterStyle9"/>
              </w:rPr>
              <w:t>0,00</w:t>
            </w:r>
          </w:p>
        </w:tc>
      </w:tr>
      <w:tr w:rsidR="007D706A" w14:paraId="171DF73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D19B6BA"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5E83FF92"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08F0639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928C896" w14:textId="77777777" w:rsidR="007D706A" w:rsidRDefault="007D706A" w:rsidP="00F70508">
            <w:pPr>
              <w:pStyle w:val="ParagraphStyle12"/>
              <w:rPr>
                <w:rStyle w:val="CharacterStyle12"/>
              </w:rPr>
            </w:pPr>
            <w:r>
              <w:rPr>
                <w:rStyle w:val="CharacterStyle12"/>
              </w:rPr>
              <w:t>3.984.684,00</w:t>
            </w:r>
          </w:p>
        </w:tc>
        <w:tc>
          <w:tcPr>
            <w:tcW w:w="1395" w:type="dxa"/>
            <w:tcBorders>
              <w:bottom w:val="single" w:sz="6" w:space="0" w:color="000000"/>
              <w:right w:val="single" w:sz="6" w:space="0" w:color="000000"/>
            </w:tcBorders>
            <w:vAlign w:val="center"/>
          </w:tcPr>
          <w:p w14:paraId="7CA3CF3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351A86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EB66A6E" w14:textId="77777777" w:rsidR="007D706A" w:rsidRDefault="007D706A" w:rsidP="00F70508">
            <w:pPr>
              <w:pStyle w:val="ParagraphStyle12"/>
              <w:rPr>
                <w:rStyle w:val="CharacterStyle12"/>
              </w:rPr>
            </w:pPr>
            <w:r>
              <w:rPr>
                <w:rStyle w:val="CharacterStyle12"/>
              </w:rPr>
              <w:t>0,00</w:t>
            </w:r>
          </w:p>
        </w:tc>
      </w:tr>
      <w:tr w:rsidR="007D706A" w14:paraId="54149BF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3A10EF4" w14:textId="77777777" w:rsidR="007D706A" w:rsidRDefault="007D706A" w:rsidP="00F70508">
            <w:pPr>
              <w:pStyle w:val="ParagraphStyle10"/>
              <w:rPr>
                <w:rStyle w:val="CharacterStyle10"/>
              </w:rPr>
            </w:pPr>
            <w:r>
              <w:rPr>
                <w:rStyle w:val="CharacterStyle10"/>
              </w:rPr>
              <w:lastRenderedPageBreak/>
              <w:t>42</w:t>
            </w:r>
          </w:p>
        </w:tc>
        <w:tc>
          <w:tcPr>
            <w:tcW w:w="4995" w:type="dxa"/>
            <w:tcBorders>
              <w:bottom w:val="single" w:sz="6" w:space="0" w:color="000000"/>
              <w:right w:val="single" w:sz="6" w:space="0" w:color="000000"/>
            </w:tcBorders>
            <w:vAlign w:val="center"/>
          </w:tcPr>
          <w:p w14:paraId="04C7A606"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7A38DF8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2E577AB" w14:textId="77777777" w:rsidR="007D706A" w:rsidRDefault="007D706A" w:rsidP="00F70508">
            <w:pPr>
              <w:pStyle w:val="ParagraphStyle12"/>
              <w:rPr>
                <w:rStyle w:val="CharacterStyle12"/>
              </w:rPr>
            </w:pPr>
            <w:r>
              <w:rPr>
                <w:rStyle w:val="CharacterStyle12"/>
              </w:rPr>
              <w:t>3.984.684,00</w:t>
            </w:r>
          </w:p>
        </w:tc>
        <w:tc>
          <w:tcPr>
            <w:tcW w:w="1395" w:type="dxa"/>
            <w:tcBorders>
              <w:bottom w:val="single" w:sz="6" w:space="0" w:color="000000"/>
              <w:right w:val="single" w:sz="6" w:space="0" w:color="000000"/>
            </w:tcBorders>
            <w:vAlign w:val="center"/>
          </w:tcPr>
          <w:p w14:paraId="682CCBB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990EBC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7B2DEA7" w14:textId="77777777" w:rsidR="007D706A" w:rsidRDefault="007D706A" w:rsidP="00F70508">
            <w:pPr>
              <w:pStyle w:val="ParagraphStyle12"/>
              <w:rPr>
                <w:rStyle w:val="CharacterStyle12"/>
              </w:rPr>
            </w:pPr>
            <w:r>
              <w:rPr>
                <w:rStyle w:val="CharacterStyle12"/>
              </w:rPr>
              <w:t>0,00</w:t>
            </w:r>
          </w:p>
        </w:tc>
      </w:tr>
      <w:tr w:rsidR="007D706A" w14:paraId="596BC65C" w14:textId="77777777" w:rsidTr="00F70508">
        <w:trPr>
          <w:trHeight w:val="420"/>
        </w:trPr>
        <w:tc>
          <w:tcPr>
            <w:tcW w:w="2880" w:type="dxa"/>
            <w:tcBorders>
              <w:left w:val="single" w:sz="6" w:space="0" w:color="000000"/>
              <w:bottom w:val="single" w:sz="6" w:space="0" w:color="000000"/>
              <w:right w:val="single" w:sz="6" w:space="0" w:color="000000"/>
            </w:tcBorders>
            <w:vAlign w:val="center"/>
          </w:tcPr>
          <w:p w14:paraId="35AF15EA" w14:textId="77777777" w:rsidR="007D706A" w:rsidRDefault="007D706A" w:rsidP="00F70508">
            <w:pPr>
              <w:pStyle w:val="ParagraphStyle4"/>
              <w:rPr>
                <w:rStyle w:val="CharacterStyle4"/>
              </w:rPr>
            </w:pPr>
            <w:r>
              <w:rPr>
                <w:rStyle w:val="CharacterStyle4"/>
              </w:rPr>
              <w:t>Kapitalni projekt K101426</w:t>
            </w:r>
          </w:p>
        </w:tc>
        <w:tc>
          <w:tcPr>
            <w:tcW w:w="4995" w:type="dxa"/>
            <w:tcBorders>
              <w:bottom w:val="single" w:sz="6" w:space="0" w:color="000000"/>
              <w:right w:val="single" w:sz="6" w:space="0" w:color="000000"/>
            </w:tcBorders>
            <w:vAlign w:val="center"/>
          </w:tcPr>
          <w:p w14:paraId="18E86FAD" w14:textId="77777777" w:rsidR="007D706A" w:rsidRDefault="007D706A" w:rsidP="00F70508">
            <w:pPr>
              <w:pStyle w:val="ParagraphStyle5"/>
              <w:rPr>
                <w:rStyle w:val="CharacterStyle5"/>
              </w:rPr>
            </w:pPr>
            <w:r>
              <w:rPr>
                <w:rStyle w:val="CharacterStyle5"/>
              </w:rPr>
              <w:t>IZGRADNJA VIŠESTAMBENE ZGRADE ZA POLICIJSKE SLUŽBENIKE</w:t>
            </w:r>
          </w:p>
        </w:tc>
        <w:tc>
          <w:tcPr>
            <w:tcW w:w="1395" w:type="dxa"/>
            <w:tcBorders>
              <w:bottom w:val="single" w:sz="6" w:space="0" w:color="000000"/>
              <w:right w:val="single" w:sz="6" w:space="0" w:color="000000"/>
            </w:tcBorders>
            <w:vAlign w:val="center"/>
          </w:tcPr>
          <w:p w14:paraId="28110622"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3025085D" w14:textId="77777777" w:rsidR="007D706A" w:rsidRDefault="007D706A" w:rsidP="00F70508">
            <w:pPr>
              <w:pStyle w:val="ParagraphStyle6"/>
              <w:rPr>
                <w:rStyle w:val="CharacterStyle6"/>
              </w:rPr>
            </w:pPr>
            <w:r>
              <w:rPr>
                <w:rStyle w:val="CharacterStyle6"/>
              </w:rPr>
              <w:t>26.550,00</w:t>
            </w:r>
          </w:p>
        </w:tc>
        <w:tc>
          <w:tcPr>
            <w:tcW w:w="1395" w:type="dxa"/>
            <w:tcBorders>
              <w:bottom w:val="single" w:sz="6" w:space="0" w:color="000000"/>
              <w:right w:val="single" w:sz="6" w:space="0" w:color="000000"/>
            </w:tcBorders>
            <w:vAlign w:val="center"/>
          </w:tcPr>
          <w:p w14:paraId="17BEB29A" w14:textId="77777777" w:rsidR="007D706A" w:rsidRDefault="007D706A" w:rsidP="00F70508">
            <w:pPr>
              <w:pStyle w:val="ParagraphStyle6"/>
              <w:rPr>
                <w:rStyle w:val="CharacterStyle6"/>
              </w:rPr>
            </w:pPr>
            <w:r>
              <w:rPr>
                <w:rStyle w:val="CharacterStyle6"/>
              </w:rPr>
              <w:t>26.550,00</w:t>
            </w:r>
          </w:p>
        </w:tc>
        <w:tc>
          <w:tcPr>
            <w:tcW w:w="1395" w:type="dxa"/>
            <w:tcBorders>
              <w:bottom w:val="single" w:sz="6" w:space="0" w:color="000000"/>
              <w:right w:val="single" w:sz="6" w:space="0" w:color="000000"/>
            </w:tcBorders>
            <w:vAlign w:val="center"/>
          </w:tcPr>
          <w:p w14:paraId="09D6771F" w14:textId="77777777" w:rsidR="007D706A" w:rsidRDefault="007D706A" w:rsidP="00F70508">
            <w:pPr>
              <w:pStyle w:val="ParagraphStyle6"/>
              <w:rPr>
                <w:rStyle w:val="CharacterStyle6"/>
              </w:rPr>
            </w:pPr>
            <w:r>
              <w:rPr>
                <w:rStyle w:val="CharacterStyle6"/>
              </w:rPr>
              <w:t>26.550,00</w:t>
            </w:r>
          </w:p>
        </w:tc>
        <w:tc>
          <w:tcPr>
            <w:tcW w:w="1395" w:type="dxa"/>
            <w:tcBorders>
              <w:bottom w:val="single" w:sz="6" w:space="0" w:color="000000"/>
              <w:right w:val="single" w:sz="6" w:space="0" w:color="000000"/>
            </w:tcBorders>
            <w:vAlign w:val="center"/>
          </w:tcPr>
          <w:p w14:paraId="03A48415" w14:textId="77777777" w:rsidR="007D706A" w:rsidRDefault="007D706A" w:rsidP="00F70508">
            <w:pPr>
              <w:pStyle w:val="ParagraphStyle6"/>
              <w:rPr>
                <w:rStyle w:val="CharacterStyle6"/>
              </w:rPr>
            </w:pPr>
            <w:r>
              <w:rPr>
                <w:rStyle w:val="CharacterStyle6"/>
              </w:rPr>
              <w:t>74.000,00</w:t>
            </w:r>
          </w:p>
        </w:tc>
      </w:tr>
      <w:tr w:rsidR="007D706A" w14:paraId="332DBF8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6A5A21F"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6B494BE9"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75F222E0"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530E7AE"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034E53D" w14:textId="77777777" w:rsidR="007D706A" w:rsidRDefault="007D706A" w:rsidP="00F70508">
            <w:pPr>
              <w:pStyle w:val="ParagraphStyle9"/>
              <w:rPr>
                <w:rStyle w:val="CharacterStyle9"/>
              </w:rPr>
            </w:pPr>
            <w:r>
              <w:rPr>
                <w:rStyle w:val="CharacterStyle9"/>
              </w:rPr>
              <w:t>26.550,00</w:t>
            </w:r>
          </w:p>
        </w:tc>
        <w:tc>
          <w:tcPr>
            <w:tcW w:w="1395" w:type="dxa"/>
            <w:tcBorders>
              <w:bottom w:val="single" w:sz="6" w:space="0" w:color="000000"/>
              <w:right w:val="single" w:sz="6" w:space="0" w:color="000000"/>
            </w:tcBorders>
            <w:vAlign w:val="center"/>
          </w:tcPr>
          <w:p w14:paraId="284B25A3" w14:textId="77777777" w:rsidR="007D706A" w:rsidRDefault="007D706A" w:rsidP="00F70508">
            <w:pPr>
              <w:pStyle w:val="ParagraphStyle9"/>
              <w:rPr>
                <w:rStyle w:val="CharacterStyle9"/>
              </w:rPr>
            </w:pPr>
            <w:r>
              <w:rPr>
                <w:rStyle w:val="CharacterStyle9"/>
              </w:rPr>
              <w:t>26.550,00</w:t>
            </w:r>
          </w:p>
        </w:tc>
        <w:tc>
          <w:tcPr>
            <w:tcW w:w="1395" w:type="dxa"/>
            <w:tcBorders>
              <w:bottom w:val="single" w:sz="6" w:space="0" w:color="000000"/>
              <w:right w:val="single" w:sz="6" w:space="0" w:color="000000"/>
            </w:tcBorders>
            <w:vAlign w:val="center"/>
          </w:tcPr>
          <w:p w14:paraId="65EF94D6" w14:textId="77777777" w:rsidR="007D706A" w:rsidRDefault="007D706A" w:rsidP="00F70508">
            <w:pPr>
              <w:pStyle w:val="ParagraphStyle9"/>
              <w:rPr>
                <w:rStyle w:val="CharacterStyle9"/>
              </w:rPr>
            </w:pPr>
            <w:r>
              <w:rPr>
                <w:rStyle w:val="CharacterStyle9"/>
              </w:rPr>
              <w:t>74.000,00</w:t>
            </w:r>
          </w:p>
        </w:tc>
      </w:tr>
      <w:tr w:rsidR="007D706A" w14:paraId="1FDBBA96"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D19FD40"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69158492"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798BCCD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33E8BA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1816CF4" w14:textId="77777777" w:rsidR="007D706A" w:rsidRDefault="007D706A" w:rsidP="00F70508">
            <w:pPr>
              <w:pStyle w:val="ParagraphStyle12"/>
              <w:rPr>
                <w:rStyle w:val="CharacterStyle12"/>
              </w:rPr>
            </w:pPr>
            <w:r>
              <w:rPr>
                <w:rStyle w:val="CharacterStyle12"/>
              </w:rPr>
              <w:t>26.550,00</w:t>
            </w:r>
          </w:p>
        </w:tc>
        <w:tc>
          <w:tcPr>
            <w:tcW w:w="1395" w:type="dxa"/>
            <w:tcBorders>
              <w:bottom w:val="single" w:sz="6" w:space="0" w:color="000000"/>
              <w:right w:val="single" w:sz="6" w:space="0" w:color="000000"/>
            </w:tcBorders>
            <w:vAlign w:val="center"/>
          </w:tcPr>
          <w:p w14:paraId="2D3D7ED9" w14:textId="77777777" w:rsidR="007D706A" w:rsidRDefault="007D706A" w:rsidP="00F70508">
            <w:pPr>
              <w:pStyle w:val="ParagraphStyle12"/>
              <w:rPr>
                <w:rStyle w:val="CharacterStyle12"/>
              </w:rPr>
            </w:pPr>
            <w:r>
              <w:rPr>
                <w:rStyle w:val="CharacterStyle12"/>
              </w:rPr>
              <w:t>26.550,00</w:t>
            </w:r>
          </w:p>
        </w:tc>
        <w:tc>
          <w:tcPr>
            <w:tcW w:w="1395" w:type="dxa"/>
            <w:tcBorders>
              <w:bottom w:val="single" w:sz="6" w:space="0" w:color="000000"/>
              <w:right w:val="single" w:sz="6" w:space="0" w:color="000000"/>
            </w:tcBorders>
            <w:vAlign w:val="center"/>
          </w:tcPr>
          <w:p w14:paraId="2B3809C6" w14:textId="77777777" w:rsidR="007D706A" w:rsidRDefault="007D706A" w:rsidP="00F70508">
            <w:pPr>
              <w:pStyle w:val="ParagraphStyle12"/>
              <w:rPr>
                <w:rStyle w:val="CharacterStyle12"/>
              </w:rPr>
            </w:pPr>
            <w:r>
              <w:rPr>
                <w:rStyle w:val="CharacterStyle12"/>
              </w:rPr>
              <w:t>74.000,00</w:t>
            </w:r>
          </w:p>
        </w:tc>
      </w:tr>
      <w:tr w:rsidR="007D706A" w14:paraId="35769DF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B91D52C" w14:textId="77777777" w:rsidR="007D706A" w:rsidRDefault="007D706A" w:rsidP="00F70508">
            <w:pPr>
              <w:pStyle w:val="ParagraphStyle10"/>
              <w:rPr>
                <w:rStyle w:val="CharacterStyle10"/>
              </w:rPr>
            </w:pPr>
            <w:r>
              <w:rPr>
                <w:rStyle w:val="CharacterStyle10"/>
              </w:rPr>
              <w:t>42</w:t>
            </w:r>
          </w:p>
        </w:tc>
        <w:tc>
          <w:tcPr>
            <w:tcW w:w="4995" w:type="dxa"/>
            <w:tcBorders>
              <w:bottom w:val="single" w:sz="6" w:space="0" w:color="000000"/>
              <w:right w:val="single" w:sz="6" w:space="0" w:color="000000"/>
            </w:tcBorders>
            <w:vAlign w:val="center"/>
          </w:tcPr>
          <w:p w14:paraId="34ABDA2B"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3FDD6DA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CC464D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55CE599" w14:textId="77777777" w:rsidR="007D706A" w:rsidRDefault="007D706A" w:rsidP="00F70508">
            <w:pPr>
              <w:pStyle w:val="ParagraphStyle12"/>
              <w:rPr>
                <w:rStyle w:val="CharacterStyle12"/>
              </w:rPr>
            </w:pPr>
            <w:r>
              <w:rPr>
                <w:rStyle w:val="CharacterStyle12"/>
              </w:rPr>
              <w:t>26.550,00</w:t>
            </w:r>
          </w:p>
        </w:tc>
        <w:tc>
          <w:tcPr>
            <w:tcW w:w="1395" w:type="dxa"/>
            <w:tcBorders>
              <w:bottom w:val="single" w:sz="6" w:space="0" w:color="000000"/>
              <w:right w:val="single" w:sz="6" w:space="0" w:color="000000"/>
            </w:tcBorders>
            <w:vAlign w:val="center"/>
          </w:tcPr>
          <w:p w14:paraId="57E0C41F" w14:textId="77777777" w:rsidR="007D706A" w:rsidRDefault="007D706A" w:rsidP="00F70508">
            <w:pPr>
              <w:pStyle w:val="ParagraphStyle12"/>
              <w:rPr>
                <w:rStyle w:val="CharacterStyle12"/>
              </w:rPr>
            </w:pPr>
            <w:r>
              <w:rPr>
                <w:rStyle w:val="CharacterStyle12"/>
              </w:rPr>
              <w:t>26.550,00</w:t>
            </w:r>
          </w:p>
        </w:tc>
        <w:tc>
          <w:tcPr>
            <w:tcW w:w="1395" w:type="dxa"/>
            <w:tcBorders>
              <w:bottom w:val="single" w:sz="6" w:space="0" w:color="000000"/>
              <w:right w:val="single" w:sz="6" w:space="0" w:color="000000"/>
            </w:tcBorders>
            <w:vAlign w:val="center"/>
          </w:tcPr>
          <w:p w14:paraId="64D0B32C" w14:textId="77777777" w:rsidR="007D706A" w:rsidRDefault="007D706A" w:rsidP="00F70508">
            <w:pPr>
              <w:pStyle w:val="ParagraphStyle12"/>
              <w:rPr>
                <w:rStyle w:val="CharacterStyle12"/>
              </w:rPr>
            </w:pPr>
            <w:r>
              <w:rPr>
                <w:rStyle w:val="CharacterStyle12"/>
              </w:rPr>
              <w:t>74.000,00</w:t>
            </w:r>
          </w:p>
        </w:tc>
      </w:tr>
      <w:tr w:rsidR="007D706A" w14:paraId="45D704D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297C82E" w14:textId="77777777" w:rsidR="007D706A" w:rsidRDefault="007D706A" w:rsidP="00F70508">
            <w:pPr>
              <w:pStyle w:val="ParagraphStyle7"/>
              <w:rPr>
                <w:rStyle w:val="CharacterStyle7"/>
              </w:rPr>
            </w:pPr>
            <w:r>
              <w:rPr>
                <w:rStyle w:val="CharacterStyle7"/>
              </w:rPr>
              <w:t>Izvor financiranja 82</w:t>
            </w:r>
          </w:p>
        </w:tc>
        <w:tc>
          <w:tcPr>
            <w:tcW w:w="4995" w:type="dxa"/>
            <w:tcBorders>
              <w:bottom w:val="single" w:sz="6" w:space="0" w:color="000000"/>
              <w:right w:val="single" w:sz="6" w:space="0" w:color="000000"/>
            </w:tcBorders>
            <w:vAlign w:val="center"/>
          </w:tcPr>
          <w:p w14:paraId="33E75B50" w14:textId="77777777" w:rsidR="007D706A" w:rsidRDefault="007D706A" w:rsidP="00F70508">
            <w:pPr>
              <w:pStyle w:val="ParagraphStyle8"/>
              <w:rPr>
                <w:rStyle w:val="CharacterStyle8"/>
              </w:rPr>
            </w:pPr>
            <w:r>
              <w:rPr>
                <w:rStyle w:val="CharacterStyle8"/>
              </w:rPr>
              <w:t>Preneseni viškovi iz ranijih godina</w:t>
            </w:r>
          </w:p>
        </w:tc>
        <w:tc>
          <w:tcPr>
            <w:tcW w:w="1395" w:type="dxa"/>
            <w:tcBorders>
              <w:bottom w:val="single" w:sz="6" w:space="0" w:color="000000"/>
              <w:right w:val="single" w:sz="6" w:space="0" w:color="000000"/>
            </w:tcBorders>
            <w:vAlign w:val="center"/>
          </w:tcPr>
          <w:p w14:paraId="4DA6D44B"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42B1EFC" w14:textId="77777777" w:rsidR="007D706A" w:rsidRDefault="007D706A" w:rsidP="00F70508">
            <w:pPr>
              <w:pStyle w:val="ParagraphStyle9"/>
              <w:rPr>
                <w:rStyle w:val="CharacterStyle9"/>
              </w:rPr>
            </w:pPr>
            <w:r>
              <w:rPr>
                <w:rStyle w:val="CharacterStyle9"/>
              </w:rPr>
              <w:t>26.550,00</w:t>
            </w:r>
          </w:p>
        </w:tc>
        <w:tc>
          <w:tcPr>
            <w:tcW w:w="1395" w:type="dxa"/>
            <w:tcBorders>
              <w:bottom w:val="single" w:sz="6" w:space="0" w:color="000000"/>
              <w:right w:val="single" w:sz="6" w:space="0" w:color="000000"/>
            </w:tcBorders>
            <w:vAlign w:val="center"/>
          </w:tcPr>
          <w:p w14:paraId="555065F0"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8639177"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ED03D92" w14:textId="77777777" w:rsidR="007D706A" w:rsidRDefault="007D706A" w:rsidP="00F70508">
            <w:pPr>
              <w:pStyle w:val="ParagraphStyle9"/>
              <w:rPr>
                <w:rStyle w:val="CharacterStyle9"/>
              </w:rPr>
            </w:pPr>
            <w:r>
              <w:rPr>
                <w:rStyle w:val="CharacterStyle9"/>
              </w:rPr>
              <w:t>0,00</w:t>
            </w:r>
          </w:p>
        </w:tc>
      </w:tr>
      <w:tr w:rsidR="007D706A" w14:paraId="4D6990E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4E1C794"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44B2754C"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0D4ABA1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6D25AF4" w14:textId="77777777" w:rsidR="007D706A" w:rsidRDefault="007D706A" w:rsidP="00F70508">
            <w:pPr>
              <w:pStyle w:val="ParagraphStyle12"/>
              <w:rPr>
                <w:rStyle w:val="CharacterStyle12"/>
              </w:rPr>
            </w:pPr>
            <w:r>
              <w:rPr>
                <w:rStyle w:val="CharacterStyle12"/>
              </w:rPr>
              <w:t>26.550,00</w:t>
            </w:r>
          </w:p>
        </w:tc>
        <w:tc>
          <w:tcPr>
            <w:tcW w:w="1395" w:type="dxa"/>
            <w:tcBorders>
              <w:bottom w:val="single" w:sz="6" w:space="0" w:color="000000"/>
              <w:right w:val="single" w:sz="6" w:space="0" w:color="000000"/>
            </w:tcBorders>
            <w:vAlign w:val="center"/>
          </w:tcPr>
          <w:p w14:paraId="4EF7FE8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AEBA01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C69442E" w14:textId="77777777" w:rsidR="007D706A" w:rsidRDefault="007D706A" w:rsidP="00F70508">
            <w:pPr>
              <w:pStyle w:val="ParagraphStyle12"/>
              <w:rPr>
                <w:rStyle w:val="CharacterStyle12"/>
              </w:rPr>
            </w:pPr>
            <w:r>
              <w:rPr>
                <w:rStyle w:val="CharacterStyle12"/>
              </w:rPr>
              <w:t>0,00</w:t>
            </w:r>
          </w:p>
        </w:tc>
      </w:tr>
      <w:tr w:rsidR="007D706A" w14:paraId="06FF534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5E88884" w14:textId="77777777" w:rsidR="007D706A" w:rsidRDefault="007D706A" w:rsidP="00F70508">
            <w:pPr>
              <w:pStyle w:val="ParagraphStyle10"/>
              <w:rPr>
                <w:rStyle w:val="CharacterStyle10"/>
              </w:rPr>
            </w:pPr>
            <w:r>
              <w:rPr>
                <w:rStyle w:val="CharacterStyle10"/>
              </w:rPr>
              <w:t>42</w:t>
            </w:r>
          </w:p>
        </w:tc>
        <w:tc>
          <w:tcPr>
            <w:tcW w:w="4995" w:type="dxa"/>
            <w:tcBorders>
              <w:bottom w:val="single" w:sz="6" w:space="0" w:color="000000"/>
              <w:right w:val="single" w:sz="6" w:space="0" w:color="000000"/>
            </w:tcBorders>
            <w:vAlign w:val="center"/>
          </w:tcPr>
          <w:p w14:paraId="24CA1C4D"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78AC827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D164742" w14:textId="77777777" w:rsidR="007D706A" w:rsidRDefault="007D706A" w:rsidP="00F70508">
            <w:pPr>
              <w:pStyle w:val="ParagraphStyle12"/>
              <w:rPr>
                <w:rStyle w:val="CharacterStyle12"/>
              </w:rPr>
            </w:pPr>
            <w:r>
              <w:rPr>
                <w:rStyle w:val="CharacterStyle12"/>
              </w:rPr>
              <w:t>26.550,00</w:t>
            </w:r>
          </w:p>
        </w:tc>
        <w:tc>
          <w:tcPr>
            <w:tcW w:w="1395" w:type="dxa"/>
            <w:tcBorders>
              <w:bottom w:val="single" w:sz="6" w:space="0" w:color="000000"/>
              <w:right w:val="single" w:sz="6" w:space="0" w:color="000000"/>
            </w:tcBorders>
            <w:vAlign w:val="center"/>
          </w:tcPr>
          <w:p w14:paraId="2AB866A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F46C69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93CA7D4" w14:textId="77777777" w:rsidR="007D706A" w:rsidRDefault="007D706A" w:rsidP="00F70508">
            <w:pPr>
              <w:pStyle w:val="ParagraphStyle12"/>
              <w:rPr>
                <w:rStyle w:val="CharacterStyle12"/>
              </w:rPr>
            </w:pPr>
            <w:r>
              <w:rPr>
                <w:rStyle w:val="CharacterStyle12"/>
              </w:rPr>
              <w:t>0,00</w:t>
            </w:r>
          </w:p>
        </w:tc>
      </w:tr>
      <w:tr w:rsidR="007D706A" w14:paraId="79BE94A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C2B57F0" w14:textId="77777777" w:rsidR="007D706A" w:rsidRDefault="007D706A" w:rsidP="00F70508">
            <w:pPr>
              <w:pStyle w:val="ParagraphStyle4"/>
              <w:rPr>
                <w:rStyle w:val="CharacterStyle4"/>
              </w:rPr>
            </w:pPr>
            <w:r>
              <w:rPr>
                <w:rStyle w:val="CharacterStyle4"/>
              </w:rPr>
              <w:t>Kapitalni projekt K101452</w:t>
            </w:r>
          </w:p>
        </w:tc>
        <w:tc>
          <w:tcPr>
            <w:tcW w:w="4995" w:type="dxa"/>
            <w:tcBorders>
              <w:bottom w:val="single" w:sz="6" w:space="0" w:color="000000"/>
              <w:right w:val="single" w:sz="6" w:space="0" w:color="000000"/>
            </w:tcBorders>
            <w:vAlign w:val="center"/>
          </w:tcPr>
          <w:p w14:paraId="75D9570B" w14:textId="77777777" w:rsidR="007D706A" w:rsidRDefault="007D706A" w:rsidP="00F70508">
            <w:pPr>
              <w:pStyle w:val="ParagraphStyle5"/>
              <w:rPr>
                <w:rStyle w:val="CharacterStyle5"/>
              </w:rPr>
            </w:pPr>
            <w:r>
              <w:rPr>
                <w:rStyle w:val="CharacterStyle5"/>
              </w:rPr>
              <w:t>REKONSTRUKCIJA VRTIĆA MONDELACO</w:t>
            </w:r>
          </w:p>
        </w:tc>
        <w:tc>
          <w:tcPr>
            <w:tcW w:w="1395" w:type="dxa"/>
            <w:tcBorders>
              <w:bottom w:val="single" w:sz="6" w:space="0" w:color="000000"/>
              <w:right w:val="single" w:sz="6" w:space="0" w:color="000000"/>
            </w:tcBorders>
            <w:vAlign w:val="center"/>
          </w:tcPr>
          <w:p w14:paraId="2DED3E6D"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0180B823" w14:textId="77777777" w:rsidR="007D706A" w:rsidRDefault="007D706A" w:rsidP="00F70508">
            <w:pPr>
              <w:pStyle w:val="ParagraphStyle6"/>
              <w:rPr>
                <w:rStyle w:val="CharacterStyle6"/>
              </w:rPr>
            </w:pPr>
            <w:r>
              <w:rPr>
                <w:rStyle w:val="CharacterStyle6"/>
              </w:rPr>
              <w:t>4.360.000,00</w:t>
            </w:r>
          </w:p>
        </w:tc>
        <w:tc>
          <w:tcPr>
            <w:tcW w:w="1395" w:type="dxa"/>
            <w:tcBorders>
              <w:bottom w:val="single" w:sz="6" w:space="0" w:color="000000"/>
              <w:right w:val="single" w:sz="6" w:space="0" w:color="000000"/>
            </w:tcBorders>
            <w:vAlign w:val="center"/>
          </w:tcPr>
          <w:p w14:paraId="4224D6B4"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1A4D95E1"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2D7B998D" w14:textId="77777777" w:rsidR="007D706A" w:rsidRDefault="007D706A" w:rsidP="00F70508">
            <w:pPr>
              <w:pStyle w:val="ParagraphStyle6"/>
              <w:rPr>
                <w:rStyle w:val="CharacterStyle6"/>
              </w:rPr>
            </w:pPr>
            <w:r>
              <w:rPr>
                <w:rStyle w:val="CharacterStyle6"/>
              </w:rPr>
              <w:t>0,00</w:t>
            </w:r>
          </w:p>
        </w:tc>
      </w:tr>
      <w:tr w:rsidR="007D706A" w14:paraId="1738605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F58DF99" w14:textId="77777777" w:rsidR="007D706A" w:rsidRDefault="007D706A" w:rsidP="00F70508">
            <w:pPr>
              <w:pStyle w:val="ParagraphStyle7"/>
              <w:rPr>
                <w:rStyle w:val="CharacterStyle7"/>
              </w:rPr>
            </w:pPr>
            <w:r>
              <w:rPr>
                <w:rStyle w:val="CharacterStyle7"/>
              </w:rPr>
              <w:t>Izvor financiranja 54</w:t>
            </w:r>
          </w:p>
        </w:tc>
        <w:tc>
          <w:tcPr>
            <w:tcW w:w="4995" w:type="dxa"/>
            <w:tcBorders>
              <w:bottom w:val="single" w:sz="6" w:space="0" w:color="000000"/>
              <w:right w:val="single" w:sz="6" w:space="0" w:color="000000"/>
            </w:tcBorders>
            <w:vAlign w:val="center"/>
          </w:tcPr>
          <w:p w14:paraId="2F86B4D8" w14:textId="77777777" w:rsidR="007D706A" w:rsidRDefault="007D706A" w:rsidP="00F70508">
            <w:pPr>
              <w:pStyle w:val="ParagraphStyle8"/>
              <w:rPr>
                <w:rStyle w:val="CharacterStyle8"/>
              </w:rPr>
            </w:pPr>
            <w:r>
              <w:rPr>
                <w:rStyle w:val="CharacterStyle8"/>
              </w:rPr>
              <w:t>Pomoći tijela i fondova EU</w:t>
            </w:r>
          </w:p>
        </w:tc>
        <w:tc>
          <w:tcPr>
            <w:tcW w:w="1395" w:type="dxa"/>
            <w:tcBorders>
              <w:bottom w:val="single" w:sz="6" w:space="0" w:color="000000"/>
              <w:right w:val="single" w:sz="6" w:space="0" w:color="000000"/>
            </w:tcBorders>
            <w:vAlign w:val="center"/>
          </w:tcPr>
          <w:p w14:paraId="5DD48827"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D781729" w14:textId="77777777" w:rsidR="007D706A" w:rsidRDefault="007D706A" w:rsidP="00F70508">
            <w:pPr>
              <w:pStyle w:val="ParagraphStyle9"/>
              <w:rPr>
                <w:rStyle w:val="CharacterStyle9"/>
              </w:rPr>
            </w:pPr>
            <w:r>
              <w:rPr>
                <w:rStyle w:val="CharacterStyle9"/>
              </w:rPr>
              <w:t>2.715,80</w:t>
            </w:r>
          </w:p>
        </w:tc>
        <w:tc>
          <w:tcPr>
            <w:tcW w:w="1395" w:type="dxa"/>
            <w:tcBorders>
              <w:bottom w:val="single" w:sz="6" w:space="0" w:color="000000"/>
              <w:right w:val="single" w:sz="6" w:space="0" w:color="000000"/>
            </w:tcBorders>
            <w:vAlign w:val="center"/>
          </w:tcPr>
          <w:p w14:paraId="431D5550"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75EBA99"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82965EF" w14:textId="77777777" w:rsidR="007D706A" w:rsidRDefault="007D706A" w:rsidP="00F70508">
            <w:pPr>
              <w:pStyle w:val="ParagraphStyle9"/>
              <w:rPr>
                <w:rStyle w:val="CharacterStyle9"/>
              </w:rPr>
            </w:pPr>
            <w:r>
              <w:rPr>
                <w:rStyle w:val="CharacterStyle9"/>
              </w:rPr>
              <w:t>0,00</w:t>
            </w:r>
          </w:p>
        </w:tc>
      </w:tr>
      <w:tr w:rsidR="007D706A" w14:paraId="706D81C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8D39269"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17A4AC93"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237D427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76CB35E" w14:textId="77777777" w:rsidR="007D706A" w:rsidRDefault="007D706A" w:rsidP="00F70508">
            <w:pPr>
              <w:pStyle w:val="ParagraphStyle12"/>
              <w:rPr>
                <w:rStyle w:val="CharacterStyle12"/>
              </w:rPr>
            </w:pPr>
            <w:r>
              <w:rPr>
                <w:rStyle w:val="CharacterStyle12"/>
              </w:rPr>
              <w:t>2.715,80</w:t>
            </w:r>
          </w:p>
        </w:tc>
        <w:tc>
          <w:tcPr>
            <w:tcW w:w="1395" w:type="dxa"/>
            <w:tcBorders>
              <w:bottom w:val="single" w:sz="6" w:space="0" w:color="000000"/>
              <w:right w:val="single" w:sz="6" w:space="0" w:color="000000"/>
            </w:tcBorders>
            <w:vAlign w:val="center"/>
          </w:tcPr>
          <w:p w14:paraId="4029DD9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126A56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2A50995" w14:textId="77777777" w:rsidR="007D706A" w:rsidRDefault="007D706A" w:rsidP="00F70508">
            <w:pPr>
              <w:pStyle w:val="ParagraphStyle12"/>
              <w:rPr>
                <w:rStyle w:val="CharacterStyle12"/>
              </w:rPr>
            </w:pPr>
            <w:r>
              <w:rPr>
                <w:rStyle w:val="CharacterStyle12"/>
              </w:rPr>
              <w:t>0,00</w:t>
            </w:r>
          </w:p>
        </w:tc>
      </w:tr>
      <w:tr w:rsidR="007D706A" w14:paraId="573F5E9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4198C29" w14:textId="77777777" w:rsidR="007D706A" w:rsidRDefault="007D706A" w:rsidP="00F70508">
            <w:pPr>
              <w:pStyle w:val="ParagraphStyle10"/>
              <w:rPr>
                <w:rStyle w:val="CharacterStyle10"/>
              </w:rPr>
            </w:pPr>
            <w:r>
              <w:rPr>
                <w:rStyle w:val="CharacterStyle10"/>
              </w:rPr>
              <w:t>45</w:t>
            </w:r>
          </w:p>
        </w:tc>
        <w:tc>
          <w:tcPr>
            <w:tcW w:w="4995" w:type="dxa"/>
            <w:tcBorders>
              <w:bottom w:val="single" w:sz="6" w:space="0" w:color="000000"/>
              <w:right w:val="single" w:sz="6" w:space="0" w:color="000000"/>
            </w:tcBorders>
            <w:vAlign w:val="center"/>
          </w:tcPr>
          <w:p w14:paraId="5322CFF1" w14:textId="77777777" w:rsidR="007D706A" w:rsidRDefault="007D706A" w:rsidP="00F70508">
            <w:pPr>
              <w:pStyle w:val="ParagraphStyle11"/>
              <w:rPr>
                <w:rStyle w:val="CharacterStyle11"/>
              </w:rPr>
            </w:pPr>
            <w:r>
              <w:rPr>
                <w:rStyle w:val="CharacterStyle11"/>
              </w:rPr>
              <w:t>Rashodi za dodatna ulaganja na nefinancijskoj imovini</w:t>
            </w:r>
          </w:p>
        </w:tc>
        <w:tc>
          <w:tcPr>
            <w:tcW w:w="1395" w:type="dxa"/>
            <w:tcBorders>
              <w:bottom w:val="single" w:sz="6" w:space="0" w:color="000000"/>
              <w:right w:val="single" w:sz="6" w:space="0" w:color="000000"/>
            </w:tcBorders>
            <w:vAlign w:val="center"/>
          </w:tcPr>
          <w:p w14:paraId="7990429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E57863B" w14:textId="77777777" w:rsidR="007D706A" w:rsidRDefault="007D706A" w:rsidP="00F70508">
            <w:pPr>
              <w:pStyle w:val="ParagraphStyle12"/>
              <w:rPr>
                <w:rStyle w:val="CharacterStyle12"/>
              </w:rPr>
            </w:pPr>
            <w:r>
              <w:rPr>
                <w:rStyle w:val="CharacterStyle12"/>
              </w:rPr>
              <w:t>2.715,80</w:t>
            </w:r>
          </w:p>
        </w:tc>
        <w:tc>
          <w:tcPr>
            <w:tcW w:w="1395" w:type="dxa"/>
            <w:tcBorders>
              <w:bottom w:val="single" w:sz="6" w:space="0" w:color="000000"/>
              <w:right w:val="single" w:sz="6" w:space="0" w:color="000000"/>
            </w:tcBorders>
            <w:vAlign w:val="center"/>
          </w:tcPr>
          <w:p w14:paraId="6EC5442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0D440E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9CB4C6B" w14:textId="77777777" w:rsidR="007D706A" w:rsidRDefault="007D706A" w:rsidP="00F70508">
            <w:pPr>
              <w:pStyle w:val="ParagraphStyle12"/>
              <w:rPr>
                <w:rStyle w:val="CharacterStyle12"/>
              </w:rPr>
            </w:pPr>
            <w:r>
              <w:rPr>
                <w:rStyle w:val="CharacterStyle12"/>
              </w:rPr>
              <w:t>0,00</w:t>
            </w:r>
          </w:p>
        </w:tc>
      </w:tr>
      <w:tr w:rsidR="007D706A" w14:paraId="18001BD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51BB545" w14:textId="77777777" w:rsidR="007D706A" w:rsidRDefault="007D706A" w:rsidP="00F70508">
            <w:pPr>
              <w:pStyle w:val="ParagraphStyle7"/>
              <w:rPr>
                <w:rStyle w:val="CharacterStyle7"/>
              </w:rPr>
            </w:pPr>
            <w:r>
              <w:rPr>
                <w:rStyle w:val="CharacterStyle7"/>
              </w:rPr>
              <w:t>Izvor financiranja 82</w:t>
            </w:r>
          </w:p>
        </w:tc>
        <w:tc>
          <w:tcPr>
            <w:tcW w:w="4995" w:type="dxa"/>
            <w:tcBorders>
              <w:bottom w:val="single" w:sz="6" w:space="0" w:color="000000"/>
              <w:right w:val="single" w:sz="6" w:space="0" w:color="000000"/>
            </w:tcBorders>
            <w:vAlign w:val="center"/>
          </w:tcPr>
          <w:p w14:paraId="0305F4AF" w14:textId="77777777" w:rsidR="007D706A" w:rsidRDefault="007D706A" w:rsidP="00F70508">
            <w:pPr>
              <w:pStyle w:val="ParagraphStyle8"/>
              <w:rPr>
                <w:rStyle w:val="CharacterStyle8"/>
              </w:rPr>
            </w:pPr>
            <w:r>
              <w:rPr>
                <w:rStyle w:val="CharacterStyle8"/>
              </w:rPr>
              <w:t>Preneseni viškovi iz ranijih godina</w:t>
            </w:r>
          </w:p>
        </w:tc>
        <w:tc>
          <w:tcPr>
            <w:tcW w:w="1395" w:type="dxa"/>
            <w:tcBorders>
              <w:bottom w:val="single" w:sz="6" w:space="0" w:color="000000"/>
              <w:right w:val="single" w:sz="6" w:space="0" w:color="000000"/>
            </w:tcBorders>
            <w:vAlign w:val="center"/>
          </w:tcPr>
          <w:p w14:paraId="16887E2C"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D5D11FE" w14:textId="77777777" w:rsidR="007D706A" w:rsidRDefault="007D706A" w:rsidP="00F70508">
            <w:pPr>
              <w:pStyle w:val="ParagraphStyle9"/>
              <w:rPr>
                <w:rStyle w:val="CharacterStyle9"/>
              </w:rPr>
            </w:pPr>
            <w:r>
              <w:rPr>
                <w:rStyle w:val="CharacterStyle9"/>
              </w:rPr>
              <w:t>4.357.284,20</w:t>
            </w:r>
          </w:p>
        </w:tc>
        <w:tc>
          <w:tcPr>
            <w:tcW w:w="1395" w:type="dxa"/>
            <w:tcBorders>
              <w:bottom w:val="single" w:sz="6" w:space="0" w:color="000000"/>
              <w:right w:val="single" w:sz="6" w:space="0" w:color="000000"/>
            </w:tcBorders>
            <w:vAlign w:val="center"/>
          </w:tcPr>
          <w:p w14:paraId="4687E3A3"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634BE0D"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06BF0C3" w14:textId="77777777" w:rsidR="007D706A" w:rsidRDefault="007D706A" w:rsidP="00F70508">
            <w:pPr>
              <w:pStyle w:val="ParagraphStyle9"/>
              <w:rPr>
                <w:rStyle w:val="CharacterStyle9"/>
              </w:rPr>
            </w:pPr>
            <w:r>
              <w:rPr>
                <w:rStyle w:val="CharacterStyle9"/>
              </w:rPr>
              <w:t>0,00</w:t>
            </w:r>
          </w:p>
        </w:tc>
      </w:tr>
      <w:tr w:rsidR="007D706A" w14:paraId="3648D8D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739E1DF"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629B1A20"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73462FF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6AAF79C" w14:textId="77777777" w:rsidR="007D706A" w:rsidRDefault="007D706A" w:rsidP="00F70508">
            <w:pPr>
              <w:pStyle w:val="ParagraphStyle12"/>
              <w:rPr>
                <w:rStyle w:val="CharacterStyle12"/>
              </w:rPr>
            </w:pPr>
            <w:r>
              <w:rPr>
                <w:rStyle w:val="CharacterStyle12"/>
              </w:rPr>
              <w:t>4.357.284,20</w:t>
            </w:r>
          </w:p>
        </w:tc>
        <w:tc>
          <w:tcPr>
            <w:tcW w:w="1395" w:type="dxa"/>
            <w:tcBorders>
              <w:bottom w:val="single" w:sz="6" w:space="0" w:color="000000"/>
              <w:right w:val="single" w:sz="6" w:space="0" w:color="000000"/>
            </w:tcBorders>
            <w:vAlign w:val="center"/>
          </w:tcPr>
          <w:p w14:paraId="47EA16A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A72FB1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817DB67" w14:textId="77777777" w:rsidR="007D706A" w:rsidRDefault="007D706A" w:rsidP="00F70508">
            <w:pPr>
              <w:pStyle w:val="ParagraphStyle12"/>
              <w:rPr>
                <w:rStyle w:val="CharacterStyle12"/>
              </w:rPr>
            </w:pPr>
            <w:r>
              <w:rPr>
                <w:rStyle w:val="CharacterStyle12"/>
              </w:rPr>
              <w:t>0,00</w:t>
            </w:r>
          </w:p>
        </w:tc>
      </w:tr>
      <w:tr w:rsidR="007D706A" w14:paraId="782BA45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3B42C9E" w14:textId="77777777" w:rsidR="007D706A" w:rsidRDefault="007D706A" w:rsidP="00F70508">
            <w:pPr>
              <w:pStyle w:val="ParagraphStyle10"/>
              <w:rPr>
                <w:rStyle w:val="CharacterStyle10"/>
              </w:rPr>
            </w:pPr>
            <w:r>
              <w:rPr>
                <w:rStyle w:val="CharacterStyle10"/>
              </w:rPr>
              <w:t>42</w:t>
            </w:r>
          </w:p>
        </w:tc>
        <w:tc>
          <w:tcPr>
            <w:tcW w:w="4995" w:type="dxa"/>
            <w:tcBorders>
              <w:bottom w:val="single" w:sz="6" w:space="0" w:color="000000"/>
              <w:right w:val="single" w:sz="6" w:space="0" w:color="000000"/>
            </w:tcBorders>
            <w:vAlign w:val="center"/>
          </w:tcPr>
          <w:p w14:paraId="522061D2"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3F55868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F162588" w14:textId="77777777" w:rsidR="007D706A" w:rsidRDefault="007D706A" w:rsidP="00F70508">
            <w:pPr>
              <w:pStyle w:val="ParagraphStyle12"/>
              <w:rPr>
                <w:rStyle w:val="CharacterStyle12"/>
              </w:rPr>
            </w:pPr>
            <w:r>
              <w:rPr>
                <w:rStyle w:val="CharacterStyle12"/>
              </w:rPr>
              <w:t>530.000,00</w:t>
            </w:r>
          </w:p>
        </w:tc>
        <w:tc>
          <w:tcPr>
            <w:tcW w:w="1395" w:type="dxa"/>
            <w:tcBorders>
              <w:bottom w:val="single" w:sz="6" w:space="0" w:color="000000"/>
              <w:right w:val="single" w:sz="6" w:space="0" w:color="000000"/>
            </w:tcBorders>
            <w:vAlign w:val="center"/>
          </w:tcPr>
          <w:p w14:paraId="1FAAB95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395C7E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423B034" w14:textId="77777777" w:rsidR="007D706A" w:rsidRDefault="007D706A" w:rsidP="00F70508">
            <w:pPr>
              <w:pStyle w:val="ParagraphStyle12"/>
              <w:rPr>
                <w:rStyle w:val="CharacterStyle12"/>
              </w:rPr>
            </w:pPr>
            <w:r>
              <w:rPr>
                <w:rStyle w:val="CharacterStyle12"/>
              </w:rPr>
              <w:t>0,00</w:t>
            </w:r>
          </w:p>
        </w:tc>
      </w:tr>
      <w:tr w:rsidR="007D706A" w14:paraId="6451886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D4B80B5" w14:textId="77777777" w:rsidR="007D706A" w:rsidRDefault="007D706A" w:rsidP="00F70508">
            <w:pPr>
              <w:pStyle w:val="ParagraphStyle10"/>
              <w:rPr>
                <w:rStyle w:val="CharacterStyle10"/>
              </w:rPr>
            </w:pPr>
            <w:r>
              <w:rPr>
                <w:rStyle w:val="CharacterStyle10"/>
              </w:rPr>
              <w:t>45</w:t>
            </w:r>
          </w:p>
        </w:tc>
        <w:tc>
          <w:tcPr>
            <w:tcW w:w="4995" w:type="dxa"/>
            <w:tcBorders>
              <w:bottom w:val="single" w:sz="6" w:space="0" w:color="000000"/>
              <w:right w:val="single" w:sz="6" w:space="0" w:color="000000"/>
            </w:tcBorders>
            <w:vAlign w:val="center"/>
          </w:tcPr>
          <w:p w14:paraId="14956C1C" w14:textId="77777777" w:rsidR="007D706A" w:rsidRDefault="007D706A" w:rsidP="00F70508">
            <w:pPr>
              <w:pStyle w:val="ParagraphStyle11"/>
              <w:rPr>
                <w:rStyle w:val="CharacterStyle11"/>
              </w:rPr>
            </w:pPr>
            <w:r>
              <w:rPr>
                <w:rStyle w:val="CharacterStyle11"/>
              </w:rPr>
              <w:t>Rashodi za dodatna ulaganja na nefinancijskoj imovini</w:t>
            </w:r>
          </w:p>
        </w:tc>
        <w:tc>
          <w:tcPr>
            <w:tcW w:w="1395" w:type="dxa"/>
            <w:tcBorders>
              <w:bottom w:val="single" w:sz="6" w:space="0" w:color="000000"/>
              <w:right w:val="single" w:sz="6" w:space="0" w:color="000000"/>
            </w:tcBorders>
            <w:vAlign w:val="center"/>
          </w:tcPr>
          <w:p w14:paraId="4361252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0DBC8E7" w14:textId="77777777" w:rsidR="007D706A" w:rsidRDefault="007D706A" w:rsidP="00F70508">
            <w:pPr>
              <w:pStyle w:val="ParagraphStyle12"/>
              <w:rPr>
                <w:rStyle w:val="CharacterStyle12"/>
              </w:rPr>
            </w:pPr>
            <w:r>
              <w:rPr>
                <w:rStyle w:val="CharacterStyle12"/>
              </w:rPr>
              <w:t>3.827.284,20</w:t>
            </w:r>
          </w:p>
        </w:tc>
        <w:tc>
          <w:tcPr>
            <w:tcW w:w="1395" w:type="dxa"/>
            <w:tcBorders>
              <w:bottom w:val="single" w:sz="6" w:space="0" w:color="000000"/>
              <w:right w:val="single" w:sz="6" w:space="0" w:color="000000"/>
            </w:tcBorders>
            <w:vAlign w:val="center"/>
          </w:tcPr>
          <w:p w14:paraId="0AB6F71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8314D6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6722712" w14:textId="77777777" w:rsidR="007D706A" w:rsidRDefault="007D706A" w:rsidP="00F70508">
            <w:pPr>
              <w:pStyle w:val="ParagraphStyle12"/>
              <w:rPr>
                <w:rStyle w:val="CharacterStyle12"/>
              </w:rPr>
            </w:pPr>
            <w:r>
              <w:rPr>
                <w:rStyle w:val="CharacterStyle12"/>
              </w:rPr>
              <w:t>0,00</w:t>
            </w:r>
          </w:p>
        </w:tc>
      </w:tr>
      <w:tr w:rsidR="007D706A" w14:paraId="59702C7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6EBF6EF" w14:textId="77777777" w:rsidR="007D706A" w:rsidRDefault="007D706A" w:rsidP="00F70508">
            <w:pPr>
              <w:pStyle w:val="ParagraphStyle4"/>
              <w:rPr>
                <w:rStyle w:val="CharacterStyle4"/>
              </w:rPr>
            </w:pPr>
            <w:r>
              <w:rPr>
                <w:rStyle w:val="CharacterStyle4"/>
              </w:rPr>
              <w:t>Kapitalni projekt K101435</w:t>
            </w:r>
          </w:p>
        </w:tc>
        <w:tc>
          <w:tcPr>
            <w:tcW w:w="4995" w:type="dxa"/>
            <w:tcBorders>
              <w:bottom w:val="single" w:sz="6" w:space="0" w:color="000000"/>
              <w:right w:val="single" w:sz="6" w:space="0" w:color="000000"/>
            </w:tcBorders>
            <w:vAlign w:val="center"/>
          </w:tcPr>
          <w:p w14:paraId="456D007F" w14:textId="77777777" w:rsidR="007D706A" w:rsidRDefault="007D706A" w:rsidP="00F70508">
            <w:pPr>
              <w:pStyle w:val="ParagraphStyle5"/>
              <w:rPr>
                <w:rStyle w:val="CharacterStyle5"/>
              </w:rPr>
            </w:pPr>
            <w:r>
              <w:rPr>
                <w:rStyle w:val="CharacterStyle5"/>
              </w:rPr>
              <w:t>ENERGETSKA OBNOVA ZGRADE DV NEVEN</w:t>
            </w:r>
          </w:p>
        </w:tc>
        <w:tc>
          <w:tcPr>
            <w:tcW w:w="1395" w:type="dxa"/>
            <w:tcBorders>
              <w:bottom w:val="single" w:sz="6" w:space="0" w:color="000000"/>
              <w:right w:val="single" w:sz="6" w:space="0" w:color="000000"/>
            </w:tcBorders>
            <w:vAlign w:val="center"/>
          </w:tcPr>
          <w:p w14:paraId="01B8E188"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2CB0C645" w14:textId="77777777" w:rsidR="007D706A" w:rsidRDefault="007D706A" w:rsidP="00F70508">
            <w:pPr>
              <w:pStyle w:val="ParagraphStyle6"/>
              <w:rPr>
                <w:rStyle w:val="CharacterStyle6"/>
              </w:rPr>
            </w:pPr>
            <w:r>
              <w:rPr>
                <w:rStyle w:val="CharacterStyle6"/>
              </w:rPr>
              <w:t>941.750,00</w:t>
            </w:r>
          </w:p>
        </w:tc>
        <w:tc>
          <w:tcPr>
            <w:tcW w:w="1395" w:type="dxa"/>
            <w:tcBorders>
              <w:bottom w:val="single" w:sz="6" w:space="0" w:color="000000"/>
              <w:right w:val="single" w:sz="6" w:space="0" w:color="000000"/>
            </w:tcBorders>
            <w:vAlign w:val="center"/>
          </w:tcPr>
          <w:p w14:paraId="14B310D3"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34992B45"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731DCDE1" w14:textId="77777777" w:rsidR="007D706A" w:rsidRDefault="007D706A" w:rsidP="00F70508">
            <w:pPr>
              <w:pStyle w:val="ParagraphStyle6"/>
              <w:rPr>
                <w:rStyle w:val="CharacterStyle6"/>
              </w:rPr>
            </w:pPr>
            <w:r>
              <w:rPr>
                <w:rStyle w:val="CharacterStyle6"/>
              </w:rPr>
              <w:t>0,00</w:t>
            </w:r>
          </w:p>
        </w:tc>
      </w:tr>
      <w:tr w:rsidR="007D706A" w14:paraId="0D3E1F1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F65E70F" w14:textId="77777777" w:rsidR="007D706A" w:rsidRDefault="007D706A" w:rsidP="00F70508">
            <w:pPr>
              <w:pStyle w:val="ParagraphStyle7"/>
              <w:rPr>
                <w:rStyle w:val="CharacterStyle7"/>
              </w:rPr>
            </w:pPr>
            <w:r>
              <w:rPr>
                <w:rStyle w:val="CharacterStyle7"/>
              </w:rPr>
              <w:t>Izvor financiranja 82</w:t>
            </w:r>
          </w:p>
        </w:tc>
        <w:tc>
          <w:tcPr>
            <w:tcW w:w="4995" w:type="dxa"/>
            <w:tcBorders>
              <w:bottom w:val="single" w:sz="6" w:space="0" w:color="000000"/>
              <w:right w:val="single" w:sz="6" w:space="0" w:color="000000"/>
            </w:tcBorders>
            <w:vAlign w:val="center"/>
          </w:tcPr>
          <w:p w14:paraId="435DF587" w14:textId="77777777" w:rsidR="007D706A" w:rsidRDefault="007D706A" w:rsidP="00F70508">
            <w:pPr>
              <w:pStyle w:val="ParagraphStyle8"/>
              <w:rPr>
                <w:rStyle w:val="CharacterStyle8"/>
              </w:rPr>
            </w:pPr>
            <w:r>
              <w:rPr>
                <w:rStyle w:val="CharacterStyle8"/>
              </w:rPr>
              <w:t>Preneseni viškovi iz ranijih godina</w:t>
            </w:r>
          </w:p>
        </w:tc>
        <w:tc>
          <w:tcPr>
            <w:tcW w:w="1395" w:type="dxa"/>
            <w:tcBorders>
              <w:bottom w:val="single" w:sz="6" w:space="0" w:color="000000"/>
              <w:right w:val="single" w:sz="6" w:space="0" w:color="000000"/>
            </w:tcBorders>
            <w:vAlign w:val="center"/>
          </w:tcPr>
          <w:p w14:paraId="06A11609"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CD71083" w14:textId="77777777" w:rsidR="007D706A" w:rsidRDefault="007D706A" w:rsidP="00F70508">
            <w:pPr>
              <w:pStyle w:val="ParagraphStyle9"/>
              <w:rPr>
                <w:rStyle w:val="CharacterStyle9"/>
              </w:rPr>
            </w:pPr>
            <w:r>
              <w:rPr>
                <w:rStyle w:val="CharacterStyle9"/>
              </w:rPr>
              <w:t>941.750,00</w:t>
            </w:r>
          </w:p>
        </w:tc>
        <w:tc>
          <w:tcPr>
            <w:tcW w:w="1395" w:type="dxa"/>
            <w:tcBorders>
              <w:bottom w:val="single" w:sz="6" w:space="0" w:color="000000"/>
              <w:right w:val="single" w:sz="6" w:space="0" w:color="000000"/>
            </w:tcBorders>
            <w:vAlign w:val="center"/>
          </w:tcPr>
          <w:p w14:paraId="11A1691B"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849D97E"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429A8D0" w14:textId="77777777" w:rsidR="007D706A" w:rsidRDefault="007D706A" w:rsidP="00F70508">
            <w:pPr>
              <w:pStyle w:val="ParagraphStyle9"/>
              <w:rPr>
                <w:rStyle w:val="CharacterStyle9"/>
              </w:rPr>
            </w:pPr>
            <w:r>
              <w:rPr>
                <w:rStyle w:val="CharacterStyle9"/>
              </w:rPr>
              <w:t>0,00</w:t>
            </w:r>
          </w:p>
        </w:tc>
      </w:tr>
      <w:tr w:rsidR="007D706A" w14:paraId="381F42B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33B5B92"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3734BBF1"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7D1AE67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C083BE0" w14:textId="77777777" w:rsidR="007D706A" w:rsidRDefault="007D706A" w:rsidP="00F70508">
            <w:pPr>
              <w:pStyle w:val="ParagraphStyle12"/>
              <w:rPr>
                <w:rStyle w:val="CharacterStyle12"/>
              </w:rPr>
            </w:pPr>
            <w:r>
              <w:rPr>
                <w:rStyle w:val="CharacterStyle12"/>
              </w:rPr>
              <w:t>941.750,00</w:t>
            </w:r>
          </w:p>
        </w:tc>
        <w:tc>
          <w:tcPr>
            <w:tcW w:w="1395" w:type="dxa"/>
            <w:tcBorders>
              <w:bottom w:val="single" w:sz="6" w:space="0" w:color="000000"/>
              <w:right w:val="single" w:sz="6" w:space="0" w:color="000000"/>
            </w:tcBorders>
            <w:vAlign w:val="center"/>
          </w:tcPr>
          <w:p w14:paraId="32EDAF5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36D0BA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963E399" w14:textId="77777777" w:rsidR="007D706A" w:rsidRDefault="007D706A" w:rsidP="00F70508">
            <w:pPr>
              <w:pStyle w:val="ParagraphStyle12"/>
              <w:rPr>
                <w:rStyle w:val="CharacterStyle12"/>
              </w:rPr>
            </w:pPr>
            <w:r>
              <w:rPr>
                <w:rStyle w:val="CharacterStyle12"/>
              </w:rPr>
              <w:t>0,00</w:t>
            </w:r>
          </w:p>
        </w:tc>
      </w:tr>
      <w:tr w:rsidR="007D706A" w14:paraId="4A9750E6"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24E5F89" w14:textId="77777777" w:rsidR="007D706A" w:rsidRDefault="007D706A" w:rsidP="00F70508">
            <w:pPr>
              <w:pStyle w:val="ParagraphStyle10"/>
              <w:rPr>
                <w:rStyle w:val="CharacterStyle10"/>
              </w:rPr>
            </w:pPr>
            <w:r>
              <w:rPr>
                <w:rStyle w:val="CharacterStyle10"/>
              </w:rPr>
              <w:t>42</w:t>
            </w:r>
          </w:p>
        </w:tc>
        <w:tc>
          <w:tcPr>
            <w:tcW w:w="4995" w:type="dxa"/>
            <w:tcBorders>
              <w:bottom w:val="single" w:sz="6" w:space="0" w:color="000000"/>
              <w:right w:val="single" w:sz="6" w:space="0" w:color="000000"/>
            </w:tcBorders>
            <w:vAlign w:val="center"/>
          </w:tcPr>
          <w:p w14:paraId="33B3DF71"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168FAF4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143ACE8" w14:textId="77777777" w:rsidR="007D706A" w:rsidRDefault="007D706A" w:rsidP="00F70508">
            <w:pPr>
              <w:pStyle w:val="ParagraphStyle12"/>
              <w:rPr>
                <w:rStyle w:val="CharacterStyle12"/>
              </w:rPr>
            </w:pPr>
            <w:r>
              <w:rPr>
                <w:rStyle w:val="CharacterStyle12"/>
              </w:rPr>
              <w:t>125.000,00</w:t>
            </w:r>
          </w:p>
        </w:tc>
        <w:tc>
          <w:tcPr>
            <w:tcW w:w="1395" w:type="dxa"/>
            <w:tcBorders>
              <w:bottom w:val="single" w:sz="6" w:space="0" w:color="000000"/>
              <w:right w:val="single" w:sz="6" w:space="0" w:color="000000"/>
            </w:tcBorders>
            <w:vAlign w:val="center"/>
          </w:tcPr>
          <w:p w14:paraId="3C4CF4A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F52A99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14120E2" w14:textId="77777777" w:rsidR="007D706A" w:rsidRDefault="007D706A" w:rsidP="00F70508">
            <w:pPr>
              <w:pStyle w:val="ParagraphStyle12"/>
              <w:rPr>
                <w:rStyle w:val="CharacterStyle12"/>
              </w:rPr>
            </w:pPr>
            <w:r>
              <w:rPr>
                <w:rStyle w:val="CharacterStyle12"/>
              </w:rPr>
              <w:t>0,00</w:t>
            </w:r>
          </w:p>
        </w:tc>
      </w:tr>
      <w:tr w:rsidR="007D706A" w14:paraId="665D989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A075662" w14:textId="77777777" w:rsidR="007D706A" w:rsidRDefault="007D706A" w:rsidP="00F70508">
            <w:pPr>
              <w:pStyle w:val="ParagraphStyle10"/>
              <w:rPr>
                <w:rStyle w:val="CharacterStyle10"/>
              </w:rPr>
            </w:pPr>
            <w:r>
              <w:rPr>
                <w:rStyle w:val="CharacterStyle10"/>
              </w:rPr>
              <w:t>45</w:t>
            </w:r>
          </w:p>
        </w:tc>
        <w:tc>
          <w:tcPr>
            <w:tcW w:w="4995" w:type="dxa"/>
            <w:tcBorders>
              <w:bottom w:val="single" w:sz="6" w:space="0" w:color="000000"/>
              <w:right w:val="single" w:sz="6" w:space="0" w:color="000000"/>
            </w:tcBorders>
            <w:vAlign w:val="center"/>
          </w:tcPr>
          <w:p w14:paraId="7689A45F" w14:textId="77777777" w:rsidR="007D706A" w:rsidRDefault="007D706A" w:rsidP="00F70508">
            <w:pPr>
              <w:pStyle w:val="ParagraphStyle11"/>
              <w:rPr>
                <w:rStyle w:val="CharacterStyle11"/>
              </w:rPr>
            </w:pPr>
            <w:r>
              <w:rPr>
                <w:rStyle w:val="CharacterStyle11"/>
              </w:rPr>
              <w:t>Rashodi za dodatna ulaganja na nefinancijskoj imovini</w:t>
            </w:r>
          </w:p>
        </w:tc>
        <w:tc>
          <w:tcPr>
            <w:tcW w:w="1395" w:type="dxa"/>
            <w:tcBorders>
              <w:bottom w:val="single" w:sz="6" w:space="0" w:color="000000"/>
              <w:right w:val="single" w:sz="6" w:space="0" w:color="000000"/>
            </w:tcBorders>
            <w:vAlign w:val="center"/>
          </w:tcPr>
          <w:p w14:paraId="1973C84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9D5FCEB" w14:textId="77777777" w:rsidR="007D706A" w:rsidRDefault="007D706A" w:rsidP="00F70508">
            <w:pPr>
              <w:pStyle w:val="ParagraphStyle12"/>
              <w:rPr>
                <w:rStyle w:val="CharacterStyle12"/>
              </w:rPr>
            </w:pPr>
            <w:r>
              <w:rPr>
                <w:rStyle w:val="CharacterStyle12"/>
              </w:rPr>
              <w:t>816.750,00</w:t>
            </w:r>
          </w:p>
        </w:tc>
        <w:tc>
          <w:tcPr>
            <w:tcW w:w="1395" w:type="dxa"/>
            <w:tcBorders>
              <w:bottom w:val="single" w:sz="6" w:space="0" w:color="000000"/>
              <w:right w:val="single" w:sz="6" w:space="0" w:color="000000"/>
            </w:tcBorders>
            <w:vAlign w:val="center"/>
          </w:tcPr>
          <w:p w14:paraId="715489A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331B40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4D4E4E3" w14:textId="77777777" w:rsidR="007D706A" w:rsidRDefault="007D706A" w:rsidP="00F70508">
            <w:pPr>
              <w:pStyle w:val="ParagraphStyle12"/>
              <w:rPr>
                <w:rStyle w:val="CharacterStyle12"/>
              </w:rPr>
            </w:pPr>
            <w:r>
              <w:rPr>
                <w:rStyle w:val="CharacterStyle12"/>
              </w:rPr>
              <w:t>0,00</w:t>
            </w:r>
          </w:p>
        </w:tc>
      </w:tr>
      <w:tr w:rsidR="007D706A" w14:paraId="28159291" w14:textId="77777777" w:rsidTr="00F70508">
        <w:trPr>
          <w:trHeight w:val="405"/>
        </w:trPr>
        <w:tc>
          <w:tcPr>
            <w:tcW w:w="2880" w:type="dxa"/>
            <w:tcBorders>
              <w:left w:val="single" w:sz="6" w:space="0" w:color="000000"/>
              <w:bottom w:val="single" w:sz="6" w:space="0" w:color="000000"/>
              <w:right w:val="single" w:sz="6" w:space="0" w:color="000000"/>
            </w:tcBorders>
            <w:vAlign w:val="center"/>
          </w:tcPr>
          <w:p w14:paraId="2FB4385E" w14:textId="77777777" w:rsidR="007D706A" w:rsidRDefault="007D706A" w:rsidP="00F70508">
            <w:pPr>
              <w:pStyle w:val="ParagraphStyle4"/>
              <w:rPr>
                <w:rStyle w:val="CharacterStyle4"/>
              </w:rPr>
            </w:pPr>
            <w:r>
              <w:rPr>
                <w:rStyle w:val="CharacterStyle4"/>
              </w:rPr>
              <w:t>Kapitalni projekt K101453</w:t>
            </w:r>
          </w:p>
        </w:tc>
        <w:tc>
          <w:tcPr>
            <w:tcW w:w="4995" w:type="dxa"/>
            <w:tcBorders>
              <w:bottom w:val="single" w:sz="6" w:space="0" w:color="000000"/>
              <w:right w:val="single" w:sz="6" w:space="0" w:color="000000"/>
            </w:tcBorders>
            <w:vAlign w:val="center"/>
          </w:tcPr>
          <w:p w14:paraId="2FE3419F" w14:textId="77777777" w:rsidR="007D706A" w:rsidRDefault="007D706A" w:rsidP="00F70508">
            <w:pPr>
              <w:pStyle w:val="ParagraphStyle5"/>
              <w:rPr>
                <w:rStyle w:val="CharacterStyle5"/>
              </w:rPr>
            </w:pPr>
            <w:r>
              <w:rPr>
                <w:rStyle w:val="CharacterStyle5"/>
              </w:rPr>
              <w:t>REKONSTRUKCIJA I DOGRADNJA OSNOVNE ŠKOLE JURJA DOBRILA</w:t>
            </w:r>
          </w:p>
        </w:tc>
        <w:tc>
          <w:tcPr>
            <w:tcW w:w="1395" w:type="dxa"/>
            <w:tcBorders>
              <w:bottom w:val="single" w:sz="6" w:space="0" w:color="000000"/>
              <w:right w:val="single" w:sz="6" w:space="0" w:color="000000"/>
            </w:tcBorders>
            <w:vAlign w:val="center"/>
          </w:tcPr>
          <w:p w14:paraId="3C593193"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44CFB2D0" w14:textId="77777777" w:rsidR="007D706A" w:rsidRDefault="007D706A" w:rsidP="00F70508">
            <w:pPr>
              <w:pStyle w:val="ParagraphStyle6"/>
              <w:rPr>
                <w:rStyle w:val="CharacterStyle6"/>
              </w:rPr>
            </w:pPr>
            <w:r>
              <w:rPr>
                <w:rStyle w:val="CharacterStyle6"/>
              </w:rPr>
              <w:t>8.660.666,00</w:t>
            </w:r>
          </w:p>
        </w:tc>
        <w:tc>
          <w:tcPr>
            <w:tcW w:w="1395" w:type="dxa"/>
            <w:tcBorders>
              <w:bottom w:val="single" w:sz="6" w:space="0" w:color="000000"/>
              <w:right w:val="single" w:sz="6" w:space="0" w:color="000000"/>
            </w:tcBorders>
            <w:vAlign w:val="center"/>
          </w:tcPr>
          <w:p w14:paraId="6F0BAA4E" w14:textId="77777777" w:rsidR="007D706A" w:rsidRDefault="007D706A" w:rsidP="00F70508">
            <w:pPr>
              <w:pStyle w:val="ParagraphStyle6"/>
              <w:rPr>
                <w:rStyle w:val="CharacterStyle6"/>
              </w:rPr>
            </w:pPr>
            <w:r>
              <w:rPr>
                <w:rStyle w:val="CharacterStyle6"/>
              </w:rPr>
              <w:t>11.261.000,00</w:t>
            </w:r>
          </w:p>
        </w:tc>
        <w:tc>
          <w:tcPr>
            <w:tcW w:w="1395" w:type="dxa"/>
            <w:tcBorders>
              <w:bottom w:val="single" w:sz="6" w:space="0" w:color="000000"/>
              <w:right w:val="single" w:sz="6" w:space="0" w:color="000000"/>
            </w:tcBorders>
            <w:vAlign w:val="center"/>
          </w:tcPr>
          <w:p w14:paraId="2D915CE3" w14:textId="77777777" w:rsidR="007D706A" w:rsidRDefault="007D706A" w:rsidP="00F70508">
            <w:pPr>
              <w:pStyle w:val="ParagraphStyle6"/>
              <w:rPr>
                <w:rStyle w:val="CharacterStyle6"/>
              </w:rPr>
            </w:pPr>
            <w:r>
              <w:rPr>
                <w:rStyle w:val="CharacterStyle6"/>
              </w:rPr>
              <w:t>89.000,00</w:t>
            </w:r>
          </w:p>
        </w:tc>
        <w:tc>
          <w:tcPr>
            <w:tcW w:w="1395" w:type="dxa"/>
            <w:tcBorders>
              <w:bottom w:val="single" w:sz="6" w:space="0" w:color="000000"/>
              <w:right w:val="single" w:sz="6" w:space="0" w:color="000000"/>
            </w:tcBorders>
            <w:vAlign w:val="center"/>
          </w:tcPr>
          <w:p w14:paraId="3CA52F55" w14:textId="77777777" w:rsidR="007D706A" w:rsidRDefault="007D706A" w:rsidP="00F70508">
            <w:pPr>
              <w:pStyle w:val="ParagraphStyle6"/>
              <w:rPr>
                <w:rStyle w:val="CharacterStyle6"/>
              </w:rPr>
            </w:pPr>
            <w:r>
              <w:rPr>
                <w:rStyle w:val="CharacterStyle6"/>
              </w:rPr>
              <w:t>55.000,00</w:t>
            </w:r>
          </w:p>
        </w:tc>
      </w:tr>
      <w:tr w:rsidR="007D706A" w14:paraId="4BB461B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EA4917A"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6A6DD620"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12BC7D8B"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428F0E5" w14:textId="77777777" w:rsidR="007D706A" w:rsidRDefault="007D706A" w:rsidP="00F70508">
            <w:pPr>
              <w:pStyle w:val="ParagraphStyle9"/>
              <w:rPr>
                <w:rStyle w:val="CharacterStyle9"/>
              </w:rPr>
            </w:pPr>
            <w:r>
              <w:rPr>
                <w:rStyle w:val="CharacterStyle9"/>
              </w:rPr>
              <w:t>1.908.240,62</w:t>
            </w:r>
          </w:p>
        </w:tc>
        <w:tc>
          <w:tcPr>
            <w:tcW w:w="1395" w:type="dxa"/>
            <w:tcBorders>
              <w:bottom w:val="single" w:sz="6" w:space="0" w:color="000000"/>
              <w:right w:val="single" w:sz="6" w:space="0" w:color="000000"/>
            </w:tcBorders>
            <w:vAlign w:val="center"/>
          </w:tcPr>
          <w:p w14:paraId="11AE7243" w14:textId="77777777" w:rsidR="007D706A" w:rsidRDefault="007D706A" w:rsidP="00F70508">
            <w:pPr>
              <w:pStyle w:val="ParagraphStyle9"/>
              <w:rPr>
                <w:rStyle w:val="CharacterStyle9"/>
              </w:rPr>
            </w:pPr>
            <w:r>
              <w:rPr>
                <w:rStyle w:val="CharacterStyle9"/>
              </w:rPr>
              <w:t>3.040.868,06</w:t>
            </w:r>
          </w:p>
        </w:tc>
        <w:tc>
          <w:tcPr>
            <w:tcW w:w="1395" w:type="dxa"/>
            <w:tcBorders>
              <w:bottom w:val="single" w:sz="6" w:space="0" w:color="000000"/>
              <w:right w:val="single" w:sz="6" w:space="0" w:color="000000"/>
            </w:tcBorders>
            <w:vAlign w:val="center"/>
          </w:tcPr>
          <w:p w14:paraId="6C622B7C" w14:textId="77777777" w:rsidR="007D706A" w:rsidRDefault="007D706A" w:rsidP="00F70508">
            <w:pPr>
              <w:pStyle w:val="ParagraphStyle9"/>
              <w:rPr>
                <w:rStyle w:val="CharacterStyle9"/>
              </w:rPr>
            </w:pPr>
            <w:r>
              <w:rPr>
                <w:rStyle w:val="CharacterStyle9"/>
              </w:rPr>
              <w:t>89.000,00</w:t>
            </w:r>
          </w:p>
        </w:tc>
        <w:tc>
          <w:tcPr>
            <w:tcW w:w="1395" w:type="dxa"/>
            <w:tcBorders>
              <w:bottom w:val="single" w:sz="6" w:space="0" w:color="000000"/>
              <w:right w:val="single" w:sz="6" w:space="0" w:color="000000"/>
            </w:tcBorders>
            <w:vAlign w:val="center"/>
          </w:tcPr>
          <w:p w14:paraId="0D2B2844" w14:textId="77777777" w:rsidR="007D706A" w:rsidRDefault="007D706A" w:rsidP="00F70508">
            <w:pPr>
              <w:pStyle w:val="ParagraphStyle9"/>
              <w:rPr>
                <w:rStyle w:val="CharacterStyle9"/>
              </w:rPr>
            </w:pPr>
            <w:r>
              <w:rPr>
                <w:rStyle w:val="CharacterStyle9"/>
              </w:rPr>
              <w:t>55.000,00</w:t>
            </w:r>
          </w:p>
        </w:tc>
      </w:tr>
      <w:tr w:rsidR="007D706A" w14:paraId="20F9F1A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214847D"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482B8A4C"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49656C1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2F15A98" w14:textId="77777777" w:rsidR="007D706A" w:rsidRDefault="007D706A" w:rsidP="00F70508">
            <w:pPr>
              <w:pStyle w:val="ParagraphStyle12"/>
              <w:rPr>
                <w:rStyle w:val="CharacterStyle12"/>
              </w:rPr>
            </w:pPr>
            <w:r>
              <w:rPr>
                <w:rStyle w:val="CharacterStyle12"/>
              </w:rPr>
              <w:t>1.908.240,62</w:t>
            </w:r>
          </w:p>
        </w:tc>
        <w:tc>
          <w:tcPr>
            <w:tcW w:w="1395" w:type="dxa"/>
            <w:tcBorders>
              <w:bottom w:val="single" w:sz="6" w:space="0" w:color="000000"/>
              <w:right w:val="single" w:sz="6" w:space="0" w:color="000000"/>
            </w:tcBorders>
            <w:vAlign w:val="center"/>
          </w:tcPr>
          <w:p w14:paraId="102D4CB1" w14:textId="77777777" w:rsidR="007D706A" w:rsidRDefault="007D706A" w:rsidP="00F70508">
            <w:pPr>
              <w:pStyle w:val="ParagraphStyle12"/>
              <w:rPr>
                <w:rStyle w:val="CharacterStyle12"/>
              </w:rPr>
            </w:pPr>
            <w:r>
              <w:rPr>
                <w:rStyle w:val="CharacterStyle12"/>
              </w:rPr>
              <w:t>3.040.868,06</w:t>
            </w:r>
          </w:p>
        </w:tc>
        <w:tc>
          <w:tcPr>
            <w:tcW w:w="1395" w:type="dxa"/>
            <w:tcBorders>
              <w:bottom w:val="single" w:sz="6" w:space="0" w:color="000000"/>
              <w:right w:val="single" w:sz="6" w:space="0" w:color="000000"/>
            </w:tcBorders>
            <w:vAlign w:val="center"/>
          </w:tcPr>
          <w:p w14:paraId="34E3E31D" w14:textId="77777777" w:rsidR="007D706A" w:rsidRDefault="007D706A" w:rsidP="00F70508">
            <w:pPr>
              <w:pStyle w:val="ParagraphStyle12"/>
              <w:rPr>
                <w:rStyle w:val="CharacterStyle12"/>
              </w:rPr>
            </w:pPr>
            <w:r>
              <w:rPr>
                <w:rStyle w:val="CharacterStyle12"/>
              </w:rPr>
              <w:t>89.000,00</w:t>
            </w:r>
          </w:p>
        </w:tc>
        <w:tc>
          <w:tcPr>
            <w:tcW w:w="1395" w:type="dxa"/>
            <w:tcBorders>
              <w:bottom w:val="single" w:sz="6" w:space="0" w:color="000000"/>
              <w:right w:val="single" w:sz="6" w:space="0" w:color="000000"/>
            </w:tcBorders>
            <w:vAlign w:val="center"/>
          </w:tcPr>
          <w:p w14:paraId="258CADF2" w14:textId="77777777" w:rsidR="007D706A" w:rsidRDefault="007D706A" w:rsidP="00F70508">
            <w:pPr>
              <w:pStyle w:val="ParagraphStyle12"/>
              <w:rPr>
                <w:rStyle w:val="CharacterStyle12"/>
              </w:rPr>
            </w:pPr>
            <w:r>
              <w:rPr>
                <w:rStyle w:val="CharacterStyle12"/>
              </w:rPr>
              <w:t>55.000,00</w:t>
            </w:r>
          </w:p>
        </w:tc>
      </w:tr>
      <w:tr w:rsidR="007D706A" w14:paraId="42E0A16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FB8A495" w14:textId="77777777" w:rsidR="007D706A" w:rsidRDefault="007D706A" w:rsidP="00F70508">
            <w:pPr>
              <w:pStyle w:val="ParagraphStyle10"/>
              <w:rPr>
                <w:rStyle w:val="CharacterStyle10"/>
              </w:rPr>
            </w:pPr>
            <w:r>
              <w:rPr>
                <w:rStyle w:val="CharacterStyle10"/>
              </w:rPr>
              <w:t>42</w:t>
            </w:r>
          </w:p>
        </w:tc>
        <w:tc>
          <w:tcPr>
            <w:tcW w:w="4995" w:type="dxa"/>
            <w:tcBorders>
              <w:bottom w:val="single" w:sz="6" w:space="0" w:color="000000"/>
              <w:right w:val="single" w:sz="6" w:space="0" w:color="000000"/>
            </w:tcBorders>
            <w:vAlign w:val="center"/>
          </w:tcPr>
          <w:p w14:paraId="598EA6D8"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50A3879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C95342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2FF5C0A" w14:textId="77777777" w:rsidR="007D706A" w:rsidRDefault="007D706A" w:rsidP="00F70508">
            <w:pPr>
              <w:pStyle w:val="ParagraphStyle12"/>
              <w:rPr>
                <w:rStyle w:val="CharacterStyle12"/>
              </w:rPr>
            </w:pPr>
            <w:r>
              <w:rPr>
                <w:rStyle w:val="CharacterStyle12"/>
              </w:rPr>
              <w:t>531.336,70</w:t>
            </w:r>
          </w:p>
        </w:tc>
        <w:tc>
          <w:tcPr>
            <w:tcW w:w="1395" w:type="dxa"/>
            <w:tcBorders>
              <w:bottom w:val="single" w:sz="6" w:space="0" w:color="000000"/>
              <w:right w:val="single" w:sz="6" w:space="0" w:color="000000"/>
            </w:tcBorders>
            <w:vAlign w:val="center"/>
          </w:tcPr>
          <w:p w14:paraId="497AE69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AED0B8C" w14:textId="77777777" w:rsidR="007D706A" w:rsidRDefault="007D706A" w:rsidP="00F70508">
            <w:pPr>
              <w:pStyle w:val="ParagraphStyle12"/>
              <w:rPr>
                <w:rStyle w:val="CharacterStyle12"/>
              </w:rPr>
            </w:pPr>
            <w:r>
              <w:rPr>
                <w:rStyle w:val="CharacterStyle12"/>
              </w:rPr>
              <w:t>0,00</w:t>
            </w:r>
          </w:p>
        </w:tc>
      </w:tr>
      <w:tr w:rsidR="007D706A" w14:paraId="1AD15D66"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E9D827A" w14:textId="77777777" w:rsidR="007D706A" w:rsidRDefault="007D706A" w:rsidP="00F70508">
            <w:pPr>
              <w:pStyle w:val="ParagraphStyle10"/>
              <w:rPr>
                <w:rStyle w:val="CharacterStyle10"/>
              </w:rPr>
            </w:pPr>
            <w:r>
              <w:rPr>
                <w:rStyle w:val="CharacterStyle10"/>
              </w:rPr>
              <w:t>45</w:t>
            </w:r>
          </w:p>
        </w:tc>
        <w:tc>
          <w:tcPr>
            <w:tcW w:w="4995" w:type="dxa"/>
            <w:tcBorders>
              <w:bottom w:val="single" w:sz="6" w:space="0" w:color="000000"/>
              <w:right w:val="single" w:sz="6" w:space="0" w:color="000000"/>
            </w:tcBorders>
            <w:vAlign w:val="center"/>
          </w:tcPr>
          <w:p w14:paraId="3BA35EC8" w14:textId="77777777" w:rsidR="007D706A" w:rsidRDefault="007D706A" w:rsidP="00F70508">
            <w:pPr>
              <w:pStyle w:val="ParagraphStyle11"/>
              <w:rPr>
                <w:rStyle w:val="CharacterStyle11"/>
              </w:rPr>
            </w:pPr>
            <w:r>
              <w:rPr>
                <w:rStyle w:val="CharacterStyle11"/>
              </w:rPr>
              <w:t>Rashodi za dodatna ulaganja na nefinancijskoj imovini</w:t>
            </w:r>
          </w:p>
        </w:tc>
        <w:tc>
          <w:tcPr>
            <w:tcW w:w="1395" w:type="dxa"/>
            <w:tcBorders>
              <w:bottom w:val="single" w:sz="6" w:space="0" w:color="000000"/>
              <w:right w:val="single" w:sz="6" w:space="0" w:color="000000"/>
            </w:tcBorders>
            <w:vAlign w:val="center"/>
          </w:tcPr>
          <w:p w14:paraId="0577FE0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759A83D" w14:textId="77777777" w:rsidR="007D706A" w:rsidRDefault="007D706A" w:rsidP="00F70508">
            <w:pPr>
              <w:pStyle w:val="ParagraphStyle12"/>
              <w:rPr>
                <w:rStyle w:val="CharacterStyle12"/>
              </w:rPr>
            </w:pPr>
            <w:r>
              <w:rPr>
                <w:rStyle w:val="CharacterStyle12"/>
              </w:rPr>
              <w:t>1.908.240,62</w:t>
            </w:r>
          </w:p>
        </w:tc>
        <w:tc>
          <w:tcPr>
            <w:tcW w:w="1395" w:type="dxa"/>
            <w:tcBorders>
              <w:bottom w:val="single" w:sz="6" w:space="0" w:color="000000"/>
              <w:right w:val="single" w:sz="6" w:space="0" w:color="000000"/>
            </w:tcBorders>
            <w:vAlign w:val="center"/>
          </w:tcPr>
          <w:p w14:paraId="7598077F" w14:textId="77777777" w:rsidR="007D706A" w:rsidRDefault="007D706A" w:rsidP="00F70508">
            <w:pPr>
              <w:pStyle w:val="ParagraphStyle12"/>
              <w:rPr>
                <w:rStyle w:val="CharacterStyle12"/>
              </w:rPr>
            </w:pPr>
            <w:r>
              <w:rPr>
                <w:rStyle w:val="CharacterStyle12"/>
              </w:rPr>
              <w:t>2.509.531,36</w:t>
            </w:r>
          </w:p>
        </w:tc>
        <w:tc>
          <w:tcPr>
            <w:tcW w:w="1395" w:type="dxa"/>
            <w:tcBorders>
              <w:bottom w:val="single" w:sz="6" w:space="0" w:color="000000"/>
              <w:right w:val="single" w:sz="6" w:space="0" w:color="000000"/>
            </w:tcBorders>
            <w:vAlign w:val="center"/>
          </w:tcPr>
          <w:p w14:paraId="64647D15" w14:textId="77777777" w:rsidR="007D706A" w:rsidRDefault="007D706A" w:rsidP="00F70508">
            <w:pPr>
              <w:pStyle w:val="ParagraphStyle12"/>
              <w:rPr>
                <w:rStyle w:val="CharacterStyle12"/>
              </w:rPr>
            </w:pPr>
            <w:r>
              <w:rPr>
                <w:rStyle w:val="CharacterStyle12"/>
              </w:rPr>
              <w:t>89.000,00</w:t>
            </w:r>
          </w:p>
        </w:tc>
        <w:tc>
          <w:tcPr>
            <w:tcW w:w="1395" w:type="dxa"/>
            <w:tcBorders>
              <w:bottom w:val="single" w:sz="6" w:space="0" w:color="000000"/>
              <w:right w:val="single" w:sz="6" w:space="0" w:color="000000"/>
            </w:tcBorders>
            <w:vAlign w:val="center"/>
          </w:tcPr>
          <w:p w14:paraId="7E1F88D5" w14:textId="77777777" w:rsidR="007D706A" w:rsidRDefault="007D706A" w:rsidP="00F70508">
            <w:pPr>
              <w:pStyle w:val="ParagraphStyle12"/>
              <w:rPr>
                <w:rStyle w:val="CharacterStyle12"/>
              </w:rPr>
            </w:pPr>
            <w:r>
              <w:rPr>
                <w:rStyle w:val="CharacterStyle12"/>
              </w:rPr>
              <w:t>55.000,00</w:t>
            </w:r>
          </w:p>
        </w:tc>
      </w:tr>
      <w:tr w:rsidR="007D706A" w14:paraId="2278844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CF8DC02" w14:textId="77777777" w:rsidR="007D706A" w:rsidRDefault="007D706A" w:rsidP="00F70508">
            <w:pPr>
              <w:pStyle w:val="ParagraphStyle7"/>
              <w:rPr>
                <w:rStyle w:val="CharacterStyle7"/>
              </w:rPr>
            </w:pPr>
            <w:r>
              <w:rPr>
                <w:rStyle w:val="CharacterStyle7"/>
              </w:rPr>
              <w:lastRenderedPageBreak/>
              <w:t>Izvor financiranja 50</w:t>
            </w:r>
          </w:p>
        </w:tc>
        <w:tc>
          <w:tcPr>
            <w:tcW w:w="4995" w:type="dxa"/>
            <w:tcBorders>
              <w:bottom w:val="single" w:sz="6" w:space="0" w:color="000000"/>
              <w:right w:val="single" w:sz="6" w:space="0" w:color="000000"/>
            </w:tcBorders>
            <w:vAlign w:val="center"/>
          </w:tcPr>
          <w:p w14:paraId="221D1D48" w14:textId="77777777" w:rsidR="007D706A" w:rsidRDefault="007D706A" w:rsidP="00F70508">
            <w:pPr>
              <w:pStyle w:val="ParagraphStyle8"/>
              <w:rPr>
                <w:rStyle w:val="CharacterStyle8"/>
              </w:rPr>
            </w:pPr>
            <w:r>
              <w:rPr>
                <w:rStyle w:val="CharacterStyle8"/>
              </w:rPr>
              <w:t>Pomoći iz državnog proračuna</w:t>
            </w:r>
          </w:p>
        </w:tc>
        <w:tc>
          <w:tcPr>
            <w:tcW w:w="1395" w:type="dxa"/>
            <w:tcBorders>
              <w:bottom w:val="single" w:sz="6" w:space="0" w:color="000000"/>
              <w:right w:val="single" w:sz="6" w:space="0" w:color="000000"/>
            </w:tcBorders>
            <w:vAlign w:val="center"/>
          </w:tcPr>
          <w:p w14:paraId="51F92401"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DE713D3" w14:textId="77777777" w:rsidR="007D706A" w:rsidRDefault="007D706A" w:rsidP="00F70508">
            <w:pPr>
              <w:pStyle w:val="ParagraphStyle9"/>
              <w:rPr>
                <w:rStyle w:val="CharacterStyle9"/>
              </w:rPr>
            </w:pPr>
            <w:r>
              <w:rPr>
                <w:rStyle w:val="CharacterStyle9"/>
              </w:rPr>
              <w:t>48.096,00</w:t>
            </w:r>
          </w:p>
        </w:tc>
        <w:tc>
          <w:tcPr>
            <w:tcW w:w="1395" w:type="dxa"/>
            <w:tcBorders>
              <w:bottom w:val="single" w:sz="6" w:space="0" w:color="000000"/>
              <w:right w:val="single" w:sz="6" w:space="0" w:color="000000"/>
            </w:tcBorders>
            <w:vAlign w:val="center"/>
          </w:tcPr>
          <w:p w14:paraId="04F08137"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999BC40"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9D7AF9A" w14:textId="77777777" w:rsidR="007D706A" w:rsidRDefault="007D706A" w:rsidP="00F70508">
            <w:pPr>
              <w:pStyle w:val="ParagraphStyle9"/>
              <w:rPr>
                <w:rStyle w:val="CharacterStyle9"/>
              </w:rPr>
            </w:pPr>
            <w:r>
              <w:rPr>
                <w:rStyle w:val="CharacterStyle9"/>
              </w:rPr>
              <w:t>0,00</w:t>
            </w:r>
          </w:p>
        </w:tc>
      </w:tr>
      <w:tr w:rsidR="007D706A" w14:paraId="5E6C8B5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4788A9E"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1F6A808E"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53D2810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DADDC23" w14:textId="77777777" w:rsidR="007D706A" w:rsidRDefault="007D706A" w:rsidP="00F70508">
            <w:pPr>
              <w:pStyle w:val="ParagraphStyle12"/>
              <w:rPr>
                <w:rStyle w:val="CharacterStyle12"/>
              </w:rPr>
            </w:pPr>
            <w:r>
              <w:rPr>
                <w:rStyle w:val="CharacterStyle12"/>
              </w:rPr>
              <w:t>48.096,00</w:t>
            </w:r>
          </w:p>
        </w:tc>
        <w:tc>
          <w:tcPr>
            <w:tcW w:w="1395" w:type="dxa"/>
            <w:tcBorders>
              <w:bottom w:val="single" w:sz="6" w:space="0" w:color="000000"/>
              <w:right w:val="single" w:sz="6" w:space="0" w:color="000000"/>
            </w:tcBorders>
            <w:vAlign w:val="center"/>
          </w:tcPr>
          <w:p w14:paraId="21E313B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F77332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AF18448" w14:textId="77777777" w:rsidR="007D706A" w:rsidRDefault="007D706A" w:rsidP="00F70508">
            <w:pPr>
              <w:pStyle w:val="ParagraphStyle12"/>
              <w:rPr>
                <w:rStyle w:val="CharacterStyle12"/>
              </w:rPr>
            </w:pPr>
            <w:r>
              <w:rPr>
                <w:rStyle w:val="CharacterStyle12"/>
              </w:rPr>
              <w:t>0,00</w:t>
            </w:r>
          </w:p>
        </w:tc>
      </w:tr>
      <w:tr w:rsidR="007D706A" w14:paraId="022F39D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52A192B" w14:textId="77777777" w:rsidR="007D706A" w:rsidRDefault="007D706A" w:rsidP="00F70508">
            <w:pPr>
              <w:pStyle w:val="ParagraphStyle10"/>
              <w:rPr>
                <w:rStyle w:val="CharacterStyle10"/>
              </w:rPr>
            </w:pPr>
            <w:r>
              <w:rPr>
                <w:rStyle w:val="CharacterStyle10"/>
              </w:rPr>
              <w:t>45</w:t>
            </w:r>
          </w:p>
        </w:tc>
        <w:tc>
          <w:tcPr>
            <w:tcW w:w="4995" w:type="dxa"/>
            <w:tcBorders>
              <w:bottom w:val="single" w:sz="6" w:space="0" w:color="000000"/>
              <w:right w:val="single" w:sz="6" w:space="0" w:color="000000"/>
            </w:tcBorders>
            <w:vAlign w:val="center"/>
          </w:tcPr>
          <w:p w14:paraId="3B143F91" w14:textId="77777777" w:rsidR="007D706A" w:rsidRDefault="007D706A" w:rsidP="00F70508">
            <w:pPr>
              <w:pStyle w:val="ParagraphStyle11"/>
              <w:rPr>
                <w:rStyle w:val="CharacterStyle11"/>
              </w:rPr>
            </w:pPr>
            <w:r>
              <w:rPr>
                <w:rStyle w:val="CharacterStyle11"/>
              </w:rPr>
              <w:t>Rashodi za dodatna ulaganja na nefinancijskoj imovini</w:t>
            </w:r>
          </w:p>
        </w:tc>
        <w:tc>
          <w:tcPr>
            <w:tcW w:w="1395" w:type="dxa"/>
            <w:tcBorders>
              <w:bottom w:val="single" w:sz="6" w:space="0" w:color="000000"/>
              <w:right w:val="single" w:sz="6" w:space="0" w:color="000000"/>
            </w:tcBorders>
            <w:vAlign w:val="center"/>
          </w:tcPr>
          <w:p w14:paraId="12D7795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F55D185" w14:textId="77777777" w:rsidR="007D706A" w:rsidRDefault="007D706A" w:rsidP="00F70508">
            <w:pPr>
              <w:pStyle w:val="ParagraphStyle12"/>
              <w:rPr>
                <w:rStyle w:val="CharacterStyle12"/>
              </w:rPr>
            </w:pPr>
            <w:r>
              <w:rPr>
                <w:rStyle w:val="CharacterStyle12"/>
              </w:rPr>
              <w:t>48.096,00</w:t>
            </w:r>
          </w:p>
        </w:tc>
        <w:tc>
          <w:tcPr>
            <w:tcW w:w="1395" w:type="dxa"/>
            <w:tcBorders>
              <w:bottom w:val="single" w:sz="6" w:space="0" w:color="000000"/>
              <w:right w:val="single" w:sz="6" w:space="0" w:color="000000"/>
            </w:tcBorders>
            <w:vAlign w:val="center"/>
          </w:tcPr>
          <w:p w14:paraId="4A53C4E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AB5362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4EA0E30" w14:textId="77777777" w:rsidR="007D706A" w:rsidRDefault="007D706A" w:rsidP="00F70508">
            <w:pPr>
              <w:pStyle w:val="ParagraphStyle12"/>
              <w:rPr>
                <w:rStyle w:val="CharacterStyle12"/>
              </w:rPr>
            </w:pPr>
            <w:r>
              <w:rPr>
                <w:rStyle w:val="CharacterStyle12"/>
              </w:rPr>
              <w:t>0,00</w:t>
            </w:r>
          </w:p>
        </w:tc>
      </w:tr>
      <w:tr w:rsidR="007D706A" w14:paraId="461A440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8CB480B" w14:textId="77777777" w:rsidR="007D706A" w:rsidRDefault="007D706A" w:rsidP="00F70508">
            <w:pPr>
              <w:pStyle w:val="ParagraphStyle7"/>
              <w:rPr>
                <w:rStyle w:val="CharacterStyle7"/>
              </w:rPr>
            </w:pPr>
            <w:r>
              <w:rPr>
                <w:rStyle w:val="CharacterStyle7"/>
              </w:rPr>
              <w:t>Izvor financiranja 54</w:t>
            </w:r>
          </w:p>
        </w:tc>
        <w:tc>
          <w:tcPr>
            <w:tcW w:w="4995" w:type="dxa"/>
            <w:tcBorders>
              <w:bottom w:val="single" w:sz="6" w:space="0" w:color="000000"/>
              <w:right w:val="single" w:sz="6" w:space="0" w:color="000000"/>
            </w:tcBorders>
            <w:vAlign w:val="center"/>
          </w:tcPr>
          <w:p w14:paraId="5997C4C2" w14:textId="77777777" w:rsidR="007D706A" w:rsidRDefault="007D706A" w:rsidP="00F70508">
            <w:pPr>
              <w:pStyle w:val="ParagraphStyle8"/>
              <w:rPr>
                <w:rStyle w:val="CharacterStyle8"/>
              </w:rPr>
            </w:pPr>
            <w:r>
              <w:rPr>
                <w:rStyle w:val="CharacterStyle8"/>
              </w:rPr>
              <w:t>Pomoći tijela i fondova EU</w:t>
            </w:r>
          </w:p>
        </w:tc>
        <w:tc>
          <w:tcPr>
            <w:tcW w:w="1395" w:type="dxa"/>
            <w:tcBorders>
              <w:bottom w:val="single" w:sz="6" w:space="0" w:color="000000"/>
              <w:right w:val="single" w:sz="6" w:space="0" w:color="000000"/>
            </w:tcBorders>
            <w:vAlign w:val="center"/>
          </w:tcPr>
          <w:p w14:paraId="2E643380"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51873FD" w14:textId="77777777" w:rsidR="007D706A" w:rsidRDefault="007D706A" w:rsidP="00F70508">
            <w:pPr>
              <w:pStyle w:val="ParagraphStyle9"/>
              <w:rPr>
                <w:rStyle w:val="CharacterStyle9"/>
              </w:rPr>
            </w:pPr>
            <w:r>
              <w:rPr>
                <w:rStyle w:val="CharacterStyle9"/>
              </w:rPr>
              <w:t>4.807.799,34</w:t>
            </w:r>
          </w:p>
        </w:tc>
        <w:tc>
          <w:tcPr>
            <w:tcW w:w="1395" w:type="dxa"/>
            <w:tcBorders>
              <w:bottom w:val="single" w:sz="6" w:space="0" w:color="000000"/>
              <w:right w:val="single" w:sz="6" w:space="0" w:color="000000"/>
            </w:tcBorders>
            <w:vAlign w:val="center"/>
          </w:tcPr>
          <w:p w14:paraId="26269D7C"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2745917"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48AA64A" w14:textId="77777777" w:rsidR="007D706A" w:rsidRDefault="007D706A" w:rsidP="00F70508">
            <w:pPr>
              <w:pStyle w:val="ParagraphStyle9"/>
              <w:rPr>
                <w:rStyle w:val="CharacterStyle9"/>
              </w:rPr>
            </w:pPr>
            <w:r>
              <w:rPr>
                <w:rStyle w:val="CharacterStyle9"/>
              </w:rPr>
              <w:t>0,00</w:t>
            </w:r>
          </w:p>
        </w:tc>
      </w:tr>
      <w:tr w:rsidR="007D706A" w14:paraId="2725AAE6"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8B127B2"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3F4CBF5D"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7E563B9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D39ADEE" w14:textId="77777777" w:rsidR="007D706A" w:rsidRDefault="007D706A" w:rsidP="00F70508">
            <w:pPr>
              <w:pStyle w:val="ParagraphStyle12"/>
              <w:rPr>
                <w:rStyle w:val="CharacterStyle12"/>
              </w:rPr>
            </w:pPr>
            <w:r>
              <w:rPr>
                <w:rStyle w:val="CharacterStyle12"/>
              </w:rPr>
              <w:t>4.807.799,34</w:t>
            </w:r>
          </w:p>
        </w:tc>
        <w:tc>
          <w:tcPr>
            <w:tcW w:w="1395" w:type="dxa"/>
            <w:tcBorders>
              <w:bottom w:val="single" w:sz="6" w:space="0" w:color="000000"/>
              <w:right w:val="single" w:sz="6" w:space="0" w:color="000000"/>
            </w:tcBorders>
            <w:vAlign w:val="center"/>
          </w:tcPr>
          <w:p w14:paraId="38D270C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C3D830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ED832E7" w14:textId="77777777" w:rsidR="007D706A" w:rsidRDefault="007D706A" w:rsidP="00F70508">
            <w:pPr>
              <w:pStyle w:val="ParagraphStyle12"/>
              <w:rPr>
                <w:rStyle w:val="CharacterStyle12"/>
              </w:rPr>
            </w:pPr>
            <w:r>
              <w:rPr>
                <w:rStyle w:val="CharacterStyle12"/>
              </w:rPr>
              <w:t>0,00</w:t>
            </w:r>
          </w:p>
        </w:tc>
      </w:tr>
      <w:tr w:rsidR="007D706A" w14:paraId="72E7961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B1A115E" w14:textId="77777777" w:rsidR="007D706A" w:rsidRDefault="007D706A" w:rsidP="00F70508">
            <w:pPr>
              <w:pStyle w:val="ParagraphStyle10"/>
              <w:rPr>
                <w:rStyle w:val="CharacterStyle10"/>
              </w:rPr>
            </w:pPr>
            <w:r>
              <w:rPr>
                <w:rStyle w:val="CharacterStyle10"/>
              </w:rPr>
              <w:t>45</w:t>
            </w:r>
          </w:p>
        </w:tc>
        <w:tc>
          <w:tcPr>
            <w:tcW w:w="4995" w:type="dxa"/>
            <w:tcBorders>
              <w:bottom w:val="single" w:sz="6" w:space="0" w:color="000000"/>
              <w:right w:val="single" w:sz="6" w:space="0" w:color="000000"/>
            </w:tcBorders>
            <w:vAlign w:val="center"/>
          </w:tcPr>
          <w:p w14:paraId="62193EDA" w14:textId="77777777" w:rsidR="007D706A" w:rsidRDefault="007D706A" w:rsidP="00F70508">
            <w:pPr>
              <w:pStyle w:val="ParagraphStyle11"/>
              <w:rPr>
                <w:rStyle w:val="CharacterStyle11"/>
              </w:rPr>
            </w:pPr>
            <w:r>
              <w:rPr>
                <w:rStyle w:val="CharacterStyle11"/>
              </w:rPr>
              <w:t>Rashodi za dodatna ulaganja na nefinancijskoj imovini</w:t>
            </w:r>
          </w:p>
        </w:tc>
        <w:tc>
          <w:tcPr>
            <w:tcW w:w="1395" w:type="dxa"/>
            <w:tcBorders>
              <w:bottom w:val="single" w:sz="6" w:space="0" w:color="000000"/>
              <w:right w:val="single" w:sz="6" w:space="0" w:color="000000"/>
            </w:tcBorders>
            <w:vAlign w:val="center"/>
          </w:tcPr>
          <w:p w14:paraId="7D8D2D3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C0BEEF8" w14:textId="77777777" w:rsidR="007D706A" w:rsidRDefault="007D706A" w:rsidP="00F70508">
            <w:pPr>
              <w:pStyle w:val="ParagraphStyle12"/>
              <w:rPr>
                <w:rStyle w:val="CharacterStyle12"/>
              </w:rPr>
            </w:pPr>
            <w:r>
              <w:rPr>
                <w:rStyle w:val="CharacterStyle12"/>
              </w:rPr>
              <w:t>4.807.799,34</w:t>
            </w:r>
          </w:p>
        </w:tc>
        <w:tc>
          <w:tcPr>
            <w:tcW w:w="1395" w:type="dxa"/>
            <w:tcBorders>
              <w:bottom w:val="single" w:sz="6" w:space="0" w:color="000000"/>
              <w:right w:val="single" w:sz="6" w:space="0" w:color="000000"/>
            </w:tcBorders>
            <w:vAlign w:val="center"/>
          </w:tcPr>
          <w:p w14:paraId="60DB7A3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EED16F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8976417" w14:textId="77777777" w:rsidR="007D706A" w:rsidRDefault="007D706A" w:rsidP="00F70508">
            <w:pPr>
              <w:pStyle w:val="ParagraphStyle12"/>
              <w:rPr>
                <w:rStyle w:val="CharacterStyle12"/>
              </w:rPr>
            </w:pPr>
            <w:r>
              <w:rPr>
                <w:rStyle w:val="CharacterStyle12"/>
              </w:rPr>
              <w:t>0,00</w:t>
            </w:r>
          </w:p>
        </w:tc>
      </w:tr>
      <w:tr w:rsidR="007D706A" w14:paraId="025A455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975614C" w14:textId="77777777" w:rsidR="007D706A" w:rsidRDefault="007D706A" w:rsidP="00F70508">
            <w:pPr>
              <w:pStyle w:val="ParagraphStyle7"/>
              <w:rPr>
                <w:rStyle w:val="CharacterStyle7"/>
              </w:rPr>
            </w:pPr>
            <w:r>
              <w:rPr>
                <w:rStyle w:val="CharacterStyle7"/>
              </w:rPr>
              <w:t>Izvor financiranja 581</w:t>
            </w:r>
          </w:p>
        </w:tc>
        <w:tc>
          <w:tcPr>
            <w:tcW w:w="4995" w:type="dxa"/>
            <w:tcBorders>
              <w:bottom w:val="single" w:sz="6" w:space="0" w:color="000000"/>
              <w:right w:val="single" w:sz="6" w:space="0" w:color="000000"/>
            </w:tcBorders>
            <w:vAlign w:val="center"/>
          </w:tcPr>
          <w:p w14:paraId="672266F7" w14:textId="77777777" w:rsidR="007D706A" w:rsidRDefault="007D706A" w:rsidP="00F70508">
            <w:pPr>
              <w:pStyle w:val="ParagraphStyle8"/>
              <w:rPr>
                <w:rStyle w:val="CharacterStyle8"/>
              </w:rPr>
            </w:pPr>
            <w:r>
              <w:rPr>
                <w:rStyle w:val="CharacterStyle8"/>
              </w:rPr>
              <w:t>Mehanizam za oporavak i otpornost – bespovratna sredstva</w:t>
            </w:r>
          </w:p>
        </w:tc>
        <w:tc>
          <w:tcPr>
            <w:tcW w:w="1395" w:type="dxa"/>
            <w:tcBorders>
              <w:bottom w:val="single" w:sz="6" w:space="0" w:color="000000"/>
              <w:right w:val="single" w:sz="6" w:space="0" w:color="000000"/>
            </w:tcBorders>
            <w:vAlign w:val="center"/>
          </w:tcPr>
          <w:p w14:paraId="2DD50113"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F970C98"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0CB0321" w14:textId="77777777" w:rsidR="007D706A" w:rsidRDefault="007D706A" w:rsidP="00F70508">
            <w:pPr>
              <w:pStyle w:val="ParagraphStyle9"/>
              <w:rPr>
                <w:rStyle w:val="CharacterStyle9"/>
              </w:rPr>
            </w:pPr>
            <w:r>
              <w:rPr>
                <w:rStyle w:val="CharacterStyle9"/>
              </w:rPr>
              <w:t>8.220.131,94</w:t>
            </w:r>
          </w:p>
        </w:tc>
        <w:tc>
          <w:tcPr>
            <w:tcW w:w="1395" w:type="dxa"/>
            <w:tcBorders>
              <w:bottom w:val="single" w:sz="6" w:space="0" w:color="000000"/>
              <w:right w:val="single" w:sz="6" w:space="0" w:color="000000"/>
            </w:tcBorders>
            <w:vAlign w:val="center"/>
          </w:tcPr>
          <w:p w14:paraId="4743CFA5"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F81D1CC" w14:textId="77777777" w:rsidR="007D706A" w:rsidRDefault="007D706A" w:rsidP="00F70508">
            <w:pPr>
              <w:pStyle w:val="ParagraphStyle9"/>
              <w:rPr>
                <w:rStyle w:val="CharacterStyle9"/>
              </w:rPr>
            </w:pPr>
            <w:r>
              <w:rPr>
                <w:rStyle w:val="CharacterStyle9"/>
              </w:rPr>
              <w:t>0,00</w:t>
            </w:r>
          </w:p>
        </w:tc>
      </w:tr>
      <w:tr w:rsidR="007D706A" w14:paraId="62AD06A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C2215D5"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22AC6B51"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4B9DD23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096BFB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24544EB" w14:textId="77777777" w:rsidR="007D706A" w:rsidRDefault="007D706A" w:rsidP="00F70508">
            <w:pPr>
              <w:pStyle w:val="ParagraphStyle12"/>
              <w:rPr>
                <w:rStyle w:val="CharacterStyle12"/>
              </w:rPr>
            </w:pPr>
            <w:r>
              <w:rPr>
                <w:rStyle w:val="CharacterStyle12"/>
              </w:rPr>
              <w:t>2.500,00</w:t>
            </w:r>
          </w:p>
        </w:tc>
        <w:tc>
          <w:tcPr>
            <w:tcW w:w="1395" w:type="dxa"/>
            <w:tcBorders>
              <w:bottom w:val="single" w:sz="6" w:space="0" w:color="000000"/>
              <w:right w:val="single" w:sz="6" w:space="0" w:color="000000"/>
            </w:tcBorders>
            <w:vAlign w:val="center"/>
          </w:tcPr>
          <w:p w14:paraId="2671ADC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223CE44" w14:textId="77777777" w:rsidR="007D706A" w:rsidRDefault="007D706A" w:rsidP="00F70508">
            <w:pPr>
              <w:pStyle w:val="ParagraphStyle12"/>
              <w:rPr>
                <w:rStyle w:val="CharacterStyle12"/>
              </w:rPr>
            </w:pPr>
            <w:r>
              <w:rPr>
                <w:rStyle w:val="CharacterStyle12"/>
              </w:rPr>
              <w:t>0,00</w:t>
            </w:r>
          </w:p>
        </w:tc>
      </w:tr>
      <w:tr w:rsidR="007D706A" w14:paraId="10332EE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2E4B472"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3AEB3E59"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6DC3BA5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8D1806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8383B72" w14:textId="77777777" w:rsidR="007D706A" w:rsidRDefault="007D706A" w:rsidP="00F70508">
            <w:pPr>
              <w:pStyle w:val="ParagraphStyle12"/>
              <w:rPr>
                <w:rStyle w:val="CharacterStyle12"/>
              </w:rPr>
            </w:pPr>
            <w:r>
              <w:rPr>
                <w:rStyle w:val="CharacterStyle12"/>
              </w:rPr>
              <w:t>2.500,00</w:t>
            </w:r>
          </w:p>
        </w:tc>
        <w:tc>
          <w:tcPr>
            <w:tcW w:w="1395" w:type="dxa"/>
            <w:tcBorders>
              <w:bottom w:val="single" w:sz="6" w:space="0" w:color="000000"/>
              <w:right w:val="single" w:sz="6" w:space="0" w:color="000000"/>
            </w:tcBorders>
            <w:vAlign w:val="center"/>
          </w:tcPr>
          <w:p w14:paraId="504D758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6A3AD11" w14:textId="77777777" w:rsidR="007D706A" w:rsidRDefault="007D706A" w:rsidP="00F70508">
            <w:pPr>
              <w:pStyle w:val="ParagraphStyle12"/>
              <w:rPr>
                <w:rStyle w:val="CharacterStyle12"/>
              </w:rPr>
            </w:pPr>
            <w:r>
              <w:rPr>
                <w:rStyle w:val="CharacterStyle12"/>
              </w:rPr>
              <w:t>0,00</w:t>
            </w:r>
          </w:p>
        </w:tc>
      </w:tr>
      <w:tr w:rsidR="007D706A" w14:paraId="49CFC77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69B49EF"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5E700C85"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0B9D3B1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9F07CA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9EA0AD4" w14:textId="77777777" w:rsidR="007D706A" w:rsidRDefault="007D706A" w:rsidP="00F70508">
            <w:pPr>
              <w:pStyle w:val="ParagraphStyle12"/>
              <w:rPr>
                <w:rStyle w:val="CharacterStyle12"/>
              </w:rPr>
            </w:pPr>
            <w:r>
              <w:rPr>
                <w:rStyle w:val="CharacterStyle12"/>
              </w:rPr>
              <w:t>8.217.631,94</w:t>
            </w:r>
          </w:p>
        </w:tc>
        <w:tc>
          <w:tcPr>
            <w:tcW w:w="1395" w:type="dxa"/>
            <w:tcBorders>
              <w:bottom w:val="single" w:sz="6" w:space="0" w:color="000000"/>
              <w:right w:val="single" w:sz="6" w:space="0" w:color="000000"/>
            </w:tcBorders>
            <w:vAlign w:val="center"/>
          </w:tcPr>
          <w:p w14:paraId="72AE0E6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A6C5A45" w14:textId="77777777" w:rsidR="007D706A" w:rsidRDefault="007D706A" w:rsidP="00F70508">
            <w:pPr>
              <w:pStyle w:val="ParagraphStyle12"/>
              <w:rPr>
                <w:rStyle w:val="CharacterStyle12"/>
              </w:rPr>
            </w:pPr>
            <w:r>
              <w:rPr>
                <w:rStyle w:val="CharacterStyle12"/>
              </w:rPr>
              <w:t>0,00</w:t>
            </w:r>
          </w:p>
        </w:tc>
      </w:tr>
      <w:tr w:rsidR="007D706A" w14:paraId="74583D0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3249F49" w14:textId="77777777" w:rsidR="007D706A" w:rsidRDefault="007D706A" w:rsidP="00F70508">
            <w:pPr>
              <w:pStyle w:val="ParagraphStyle10"/>
              <w:rPr>
                <w:rStyle w:val="CharacterStyle10"/>
              </w:rPr>
            </w:pPr>
            <w:r>
              <w:rPr>
                <w:rStyle w:val="CharacterStyle10"/>
              </w:rPr>
              <w:t>42</w:t>
            </w:r>
          </w:p>
        </w:tc>
        <w:tc>
          <w:tcPr>
            <w:tcW w:w="4995" w:type="dxa"/>
            <w:tcBorders>
              <w:bottom w:val="single" w:sz="6" w:space="0" w:color="000000"/>
              <w:right w:val="single" w:sz="6" w:space="0" w:color="000000"/>
            </w:tcBorders>
            <w:vAlign w:val="center"/>
          </w:tcPr>
          <w:p w14:paraId="6EFF990B"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5E9F3FE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E63FD3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CF57DC4" w14:textId="77777777" w:rsidR="007D706A" w:rsidRDefault="007D706A" w:rsidP="00F70508">
            <w:pPr>
              <w:pStyle w:val="ParagraphStyle12"/>
              <w:rPr>
                <w:rStyle w:val="CharacterStyle12"/>
              </w:rPr>
            </w:pPr>
            <w:r>
              <w:rPr>
                <w:rStyle w:val="CharacterStyle12"/>
              </w:rPr>
              <w:t>717.205,18</w:t>
            </w:r>
          </w:p>
        </w:tc>
        <w:tc>
          <w:tcPr>
            <w:tcW w:w="1395" w:type="dxa"/>
            <w:tcBorders>
              <w:bottom w:val="single" w:sz="6" w:space="0" w:color="000000"/>
              <w:right w:val="single" w:sz="6" w:space="0" w:color="000000"/>
            </w:tcBorders>
            <w:vAlign w:val="center"/>
          </w:tcPr>
          <w:p w14:paraId="70E6CC2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132C90F" w14:textId="77777777" w:rsidR="007D706A" w:rsidRDefault="007D706A" w:rsidP="00F70508">
            <w:pPr>
              <w:pStyle w:val="ParagraphStyle12"/>
              <w:rPr>
                <w:rStyle w:val="CharacterStyle12"/>
              </w:rPr>
            </w:pPr>
            <w:r>
              <w:rPr>
                <w:rStyle w:val="CharacterStyle12"/>
              </w:rPr>
              <w:t>0,00</w:t>
            </w:r>
          </w:p>
        </w:tc>
      </w:tr>
      <w:tr w:rsidR="007D706A" w14:paraId="3DEC8D0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8295987" w14:textId="77777777" w:rsidR="007D706A" w:rsidRDefault="007D706A" w:rsidP="00F70508">
            <w:pPr>
              <w:pStyle w:val="ParagraphStyle10"/>
              <w:rPr>
                <w:rStyle w:val="CharacterStyle10"/>
              </w:rPr>
            </w:pPr>
            <w:r>
              <w:rPr>
                <w:rStyle w:val="CharacterStyle10"/>
              </w:rPr>
              <w:t>45</w:t>
            </w:r>
          </w:p>
        </w:tc>
        <w:tc>
          <w:tcPr>
            <w:tcW w:w="4995" w:type="dxa"/>
            <w:tcBorders>
              <w:bottom w:val="single" w:sz="6" w:space="0" w:color="000000"/>
              <w:right w:val="single" w:sz="6" w:space="0" w:color="000000"/>
            </w:tcBorders>
            <w:vAlign w:val="center"/>
          </w:tcPr>
          <w:p w14:paraId="655C8E25" w14:textId="77777777" w:rsidR="007D706A" w:rsidRDefault="007D706A" w:rsidP="00F70508">
            <w:pPr>
              <w:pStyle w:val="ParagraphStyle11"/>
              <w:rPr>
                <w:rStyle w:val="CharacterStyle11"/>
              </w:rPr>
            </w:pPr>
            <w:r>
              <w:rPr>
                <w:rStyle w:val="CharacterStyle11"/>
              </w:rPr>
              <w:t>Rashodi za dodatna ulaganja na nefinancijskoj imovini</w:t>
            </w:r>
          </w:p>
        </w:tc>
        <w:tc>
          <w:tcPr>
            <w:tcW w:w="1395" w:type="dxa"/>
            <w:tcBorders>
              <w:bottom w:val="single" w:sz="6" w:space="0" w:color="000000"/>
              <w:right w:val="single" w:sz="6" w:space="0" w:color="000000"/>
            </w:tcBorders>
            <w:vAlign w:val="center"/>
          </w:tcPr>
          <w:p w14:paraId="2AC6164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C509C4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B87E90C" w14:textId="77777777" w:rsidR="007D706A" w:rsidRDefault="007D706A" w:rsidP="00F70508">
            <w:pPr>
              <w:pStyle w:val="ParagraphStyle12"/>
              <w:rPr>
                <w:rStyle w:val="CharacterStyle12"/>
              </w:rPr>
            </w:pPr>
            <w:r>
              <w:rPr>
                <w:rStyle w:val="CharacterStyle12"/>
              </w:rPr>
              <w:t>7.500.426,76</w:t>
            </w:r>
          </w:p>
        </w:tc>
        <w:tc>
          <w:tcPr>
            <w:tcW w:w="1395" w:type="dxa"/>
            <w:tcBorders>
              <w:bottom w:val="single" w:sz="6" w:space="0" w:color="000000"/>
              <w:right w:val="single" w:sz="6" w:space="0" w:color="000000"/>
            </w:tcBorders>
            <w:vAlign w:val="center"/>
          </w:tcPr>
          <w:p w14:paraId="78042D0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33F4951" w14:textId="77777777" w:rsidR="007D706A" w:rsidRDefault="007D706A" w:rsidP="00F70508">
            <w:pPr>
              <w:pStyle w:val="ParagraphStyle12"/>
              <w:rPr>
                <w:rStyle w:val="CharacterStyle12"/>
              </w:rPr>
            </w:pPr>
            <w:r>
              <w:rPr>
                <w:rStyle w:val="CharacterStyle12"/>
              </w:rPr>
              <w:t>0,00</w:t>
            </w:r>
          </w:p>
        </w:tc>
      </w:tr>
      <w:tr w:rsidR="007D706A" w14:paraId="2797541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6EC29C1" w14:textId="77777777" w:rsidR="007D706A" w:rsidRDefault="007D706A" w:rsidP="00F70508">
            <w:pPr>
              <w:pStyle w:val="ParagraphStyle7"/>
              <w:rPr>
                <w:rStyle w:val="CharacterStyle7"/>
              </w:rPr>
            </w:pPr>
            <w:r>
              <w:rPr>
                <w:rStyle w:val="CharacterStyle7"/>
              </w:rPr>
              <w:t>Izvor financiranja 82</w:t>
            </w:r>
          </w:p>
        </w:tc>
        <w:tc>
          <w:tcPr>
            <w:tcW w:w="4995" w:type="dxa"/>
            <w:tcBorders>
              <w:bottom w:val="single" w:sz="6" w:space="0" w:color="000000"/>
              <w:right w:val="single" w:sz="6" w:space="0" w:color="000000"/>
            </w:tcBorders>
            <w:vAlign w:val="center"/>
          </w:tcPr>
          <w:p w14:paraId="1D0A9886" w14:textId="77777777" w:rsidR="007D706A" w:rsidRDefault="007D706A" w:rsidP="00F70508">
            <w:pPr>
              <w:pStyle w:val="ParagraphStyle8"/>
              <w:rPr>
                <w:rStyle w:val="CharacterStyle8"/>
              </w:rPr>
            </w:pPr>
            <w:r>
              <w:rPr>
                <w:rStyle w:val="CharacterStyle8"/>
              </w:rPr>
              <w:t>Preneseni viškovi iz ranijih godina</w:t>
            </w:r>
          </w:p>
        </w:tc>
        <w:tc>
          <w:tcPr>
            <w:tcW w:w="1395" w:type="dxa"/>
            <w:tcBorders>
              <w:bottom w:val="single" w:sz="6" w:space="0" w:color="000000"/>
              <w:right w:val="single" w:sz="6" w:space="0" w:color="000000"/>
            </w:tcBorders>
            <w:vAlign w:val="center"/>
          </w:tcPr>
          <w:p w14:paraId="3A8A0421"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BCD2959" w14:textId="77777777" w:rsidR="007D706A" w:rsidRDefault="007D706A" w:rsidP="00F70508">
            <w:pPr>
              <w:pStyle w:val="ParagraphStyle9"/>
              <w:rPr>
                <w:rStyle w:val="CharacterStyle9"/>
              </w:rPr>
            </w:pPr>
            <w:r>
              <w:rPr>
                <w:rStyle w:val="CharacterStyle9"/>
              </w:rPr>
              <w:t>1.896.530,04</w:t>
            </w:r>
          </w:p>
        </w:tc>
        <w:tc>
          <w:tcPr>
            <w:tcW w:w="1395" w:type="dxa"/>
            <w:tcBorders>
              <w:bottom w:val="single" w:sz="6" w:space="0" w:color="000000"/>
              <w:right w:val="single" w:sz="6" w:space="0" w:color="000000"/>
            </w:tcBorders>
            <w:vAlign w:val="center"/>
          </w:tcPr>
          <w:p w14:paraId="68B8207C"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AC31720"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95B1DEA" w14:textId="77777777" w:rsidR="007D706A" w:rsidRDefault="007D706A" w:rsidP="00F70508">
            <w:pPr>
              <w:pStyle w:val="ParagraphStyle9"/>
              <w:rPr>
                <w:rStyle w:val="CharacterStyle9"/>
              </w:rPr>
            </w:pPr>
            <w:r>
              <w:rPr>
                <w:rStyle w:val="CharacterStyle9"/>
              </w:rPr>
              <w:t>0,00</w:t>
            </w:r>
          </w:p>
        </w:tc>
      </w:tr>
      <w:tr w:rsidR="007D706A" w14:paraId="1A04608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3815456"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438D559D"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201A30F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7D45D47" w14:textId="77777777" w:rsidR="007D706A" w:rsidRDefault="007D706A" w:rsidP="00F70508">
            <w:pPr>
              <w:pStyle w:val="ParagraphStyle12"/>
              <w:rPr>
                <w:rStyle w:val="CharacterStyle12"/>
              </w:rPr>
            </w:pPr>
            <w:r>
              <w:rPr>
                <w:rStyle w:val="CharacterStyle12"/>
              </w:rPr>
              <w:t>1.896.530,04</w:t>
            </w:r>
          </w:p>
        </w:tc>
        <w:tc>
          <w:tcPr>
            <w:tcW w:w="1395" w:type="dxa"/>
            <w:tcBorders>
              <w:bottom w:val="single" w:sz="6" w:space="0" w:color="000000"/>
              <w:right w:val="single" w:sz="6" w:space="0" w:color="000000"/>
            </w:tcBorders>
            <w:vAlign w:val="center"/>
          </w:tcPr>
          <w:p w14:paraId="190B2A7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C68B72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847152E" w14:textId="77777777" w:rsidR="007D706A" w:rsidRDefault="007D706A" w:rsidP="00F70508">
            <w:pPr>
              <w:pStyle w:val="ParagraphStyle12"/>
              <w:rPr>
                <w:rStyle w:val="CharacterStyle12"/>
              </w:rPr>
            </w:pPr>
            <w:r>
              <w:rPr>
                <w:rStyle w:val="CharacterStyle12"/>
              </w:rPr>
              <w:t>0,00</w:t>
            </w:r>
          </w:p>
        </w:tc>
      </w:tr>
      <w:tr w:rsidR="007D706A" w14:paraId="03267F7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4F7D437" w14:textId="77777777" w:rsidR="007D706A" w:rsidRDefault="007D706A" w:rsidP="00F70508">
            <w:pPr>
              <w:pStyle w:val="ParagraphStyle10"/>
              <w:rPr>
                <w:rStyle w:val="CharacterStyle10"/>
              </w:rPr>
            </w:pPr>
            <w:r>
              <w:rPr>
                <w:rStyle w:val="CharacterStyle10"/>
              </w:rPr>
              <w:t>45</w:t>
            </w:r>
          </w:p>
        </w:tc>
        <w:tc>
          <w:tcPr>
            <w:tcW w:w="4995" w:type="dxa"/>
            <w:tcBorders>
              <w:bottom w:val="single" w:sz="6" w:space="0" w:color="000000"/>
              <w:right w:val="single" w:sz="6" w:space="0" w:color="000000"/>
            </w:tcBorders>
            <w:vAlign w:val="center"/>
          </w:tcPr>
          <w:p w14:paraId="22950C29" w14:textId="77777777" w:rsidR="007D706A" w:rsidRDefault="007D706A" w:rsidP="00F70508">
            <w:pPr>
              <w:pStyle w:val="ParagraphStyle11"/>
              <w:rPr>
                <w:rStyle w:val="CharacterStyle11"/>
              </w:rPr>
            </w:pPr>
            <w:r>
              <w:rPr>
                <w:rStyle w:val="CharacterStyle11"/>
              </w:rPr>
              <w:t>Rashodi za dodatna ulaganja na nefinancijskoj imovini</w:t>
            </w:r>
          </w:p>
        </w:tc>
        <w:tc>
          <w:tcPr>
            <w:tcW w:w="1395" w:type="dxa"/>
            <w:tcBorders>
              <w:bottom w:val="single" w:sz="6" w:space="0" w:color="000000"/>
              <w:right w:val="single" w:sz="6" w:space="0" w:color="000000"/>
            </w:tcBorders>
            <w:vAlign w:val="center"/>
          </w:tcPr>
          <w:p w14:paraId="4B0053F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6A2FB9B" w14:textId="77777777" w:rsidR="007D706A" w:rsidRDefault="007D706A" w:rsidP="00F70508">
            <w:pPr>
              <w:pStyle w:val="ParagraphStyle12"/>
              <w:rPr>
                <w:rStyle w:val="CharacterStyle12"/>
              </w:rPr>
            </w:pPr>
            <w:r>
              <w:rPr>
                <w:rStyle w:val="CharacterStyle12"/>
              </w:rPr>
              <w:t>1.896.530,04</w:t>
            </w:r>
          </w:p>
        </w:tc>
        <w:tc>
          <w:tcPr>
            <w:tcW w:w="1395" w:type="dxa"/>
            <w:tcBorders>
              <w:bottom w:val="single" w:sz="6" w:space="0" w:color="000000"/>
              <w:right w:val="single" w:sz="6" w:space="0" w:color="000000"/>
            </w:tcBorders>
            <w:vAlign w:val="center"/>
          </w:tcPr>
          <w:p w14:paraId="159B5C5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431AF0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1144EFA" w14:textId="77777777" w:rsidR="007D706A" w:rsidRDefault="007D706A" w:rsidP="00F70508">
            <w:pPr>
              <w:pStyle w:val="ParagraphStyle12"/>
              <w:rPr>
                <w:rStyle w:val="CharacterStyle12"/>
              </w:rPr>
            </w:pPr>
            <w:r>
              <w:rPr>
                <w:rStyle w:val="CharacterStyle12"/>
              </w:rPr>
              <w:t>0,00</w:t>
            </w:r>
          </w:p>
        </w:tc>
      </w:tr>
      <w:tr w:rsidR="007D706A" w14:paraId="0ED81451" w14:textId="77777777" w:rsidTr="00F70508">
        <w:trPr>
          <w:trHeight w:val="420"/>
        </w:trPr>
        <w:tc>
          <w:tcPr>
            <w:tcW w:w="2880" w:type="dxa"/>
            <w:tcBorders>
              <w:left w:val="single" w:sz="6" w:space="0" w:color="000000"/>
              <w:bottom w:val="single" w:sz="6" w:space="0" w:color="000000"/>
              <w:right w:val="single" w:sz="6" w:space="0" w:color="000000"/>
            </w:tcBorders>
            <w:vAlign w:val="center"/>
          </w:tcPr>
          <w:p w14:paraId="76F516B4" w14:textId="77777777" w:rsidR="007D706A" w:rsidRDefault="007D706A" w:rsidP="00F70508">
            <w:pPr>
              <w:pStyle w:val="ParagraphStyle4"/>
              <w:rPr>
                <w:rStyle w:val="CharacterStyle4"/>
              </w:rPr>
            </w:pPr>
            <w:r>
              <w:rPr>
                <w:rStyle w:val="CharacterStyle4"/>
              </w:rPr>
              <w:t>Kapitalni projekt K101469</w:t>
            </w:r>
          </w:p>
        </w:tc>
        <w:tc>
          <w:tcPr>
            <w:tcW w:w="4995" w:type="dxa"/>
            <w:tcBorders>
              <w:bottom w:val="single" w:sz="6" w:space="0" w:color="000000"/>
              <w:right w:val="single" w:sz="6" w:space="0" w:color="000000"/>
            </w:tcBorders>
            <w:vAlign w:val="center"/>
          </w:tcPr>
          <w:p w14:paraId="3374E340" w14:textId="77777777" w:rsidR="007D706A" w:rsidRDefault="007D706A" w:rsidP="00F70508">
            <w:pPr>
              <w:pStyle w:val="ParagraphStyle5"/>
              <w:rPr>
                <w:rStyle w:val="CharacterStyle5"/>
              </w:rPr>
            </w:pPr>
            <w:r>
              <w:rPr>
                <w:rStyle w:val="CharacterStyle5"/>
              </w:rPr>
              <w:t>REKONSTRUKCIJA I DOGRADNJA TALIJANSKE OSNOVNE ŠKOLE</w:t>
            </w:r>
          </w:p>
        </w:tc>
        <w:tc>
          <w:tcPr>
            <w:tcW w:w="1395" w:type="dxa"/>
            <w:tcBorders>
              <w:bottom w:val="single" w:sz="6" w:space="0" w:color="000000"/>
              <w:right w:val="single" w:sz="6" w:space="0" w:color="000000"/>
            </w:tcBorders>
            <w:vAlign w:val="center"/>
          </w:tcPr>
          <w:p w14:paraId="263ED01D"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52C2B569" w14:textId="77777777" w:rsidR="007D706A" w:rsidRDefault="007D706A" w:rsidP="00F70508">
            <w:pPr>
              <w:pStyle w:val="ParagraphStyle6"/>
              <w:rPr>
                <w:rStyle w:val="CharacterStyle6"/>
              </w:rPr>
            </w:pPr>
            <w:r>
              <w:rPr>
                <w:rStyle w:val="CharacterStyle6"/>
              </w:rPr>
              <w:t>75.000,00</w:t>
            </w:r>
          </w:p>
        </w:tc>
        <w:tc>
          <w:tcPr>
            <w:tcW w:w="1395" w:type="dxa"/>
            <w:tcBorders>
              <w:bottom w:val="single" w:sz="6" w:space="0" w:color="000000"/>
              <w:right w:val="single" w:sz="6" w:space="0" w:color="000000"/>
            </w:tcBorders>
            <w:vAlign w:val="center"/>
          </w:tcPr>
          <w:p w14:paraId="12B664EC" w14:textId="77777777" w:rsidR="007D706A" w:rsidRDefault="007D706A" w:rsidP="00F70508">
            <w:pPr>
              <w:pStyle w:val="ParagraphStyle6"/>
              <w:rPr>
                <w:rStyle w:val="CharacterStyle6"/>
              </w:rPr>
            </w:pPr>
            <w:r>
              <w:rPr>
                <w:rStyle w:val="CharacterStyle6"/>
              </w:rPr>
              <w:t>1.520.000,00</w:t>
            </w:r>
          </w:p>
        </w:tc>
        <w:tc>
          <w:tcPr>
            <w:tcW w:w="1395" w:type="dxa"/>
            <w:tcBorders>
              <w:bottom w:val="single" w:sz="6" w:space="0" w:color="000000"/>
              <w:right w:val="single" w:sz="6" w:space="0" w:color="000000"/>
            </w:tcBorders>
            <w:vAlign w:val="center"/>
          </w:tcPr>
          <w:p w14:paraId="7A4A7B29" w14:textId="77777777" w:rsidR="007D706A" w:rsidRDefault="007D706A" w:rsidP="00F70508">
            <w:pPr>
              <w:pStyle w:val="ParagraphStyle6"/>
              <w:rPr>
                <w:rStyle w:val="CharacterStyle6"/>
              </w:rPr>
            </w:pPr>
            <w:r>
              <w:rPr>
                <w:rStyle w:val="CharacterStyle6"/>
              </w:rPr>
              <w:t>45.000,00</w:t>
            </w:r>
          </w:p>
        </w:tc>
        <w:tc>
          <w:tcPr>
            <w:tcW w:w="1395" w:type="dxa"/>
            <w:tcBorders>
              <w:bottom w:val="single" w:sz="6" w:space="0" w:color="000000"/>
              <w:right w:val="single" w:sz="6" w:space="0" w:color="000000"/>
            </w:tcBorders>
            <w:vAlign w:val="center"/>
          </w:tcPr>
          <w:p w14:paraId="1663D466" w14:textId="77777777" w:rsidR="007D706A" w:rsidRDefault="007D706A" w:rsidP="00F70508">
            <w:pPr>
              <w:pStyle w:val="ParagraphStyle6"/>
              <w:rPr>
                <w:rStyle w:val="CharacterStyle6"/>
              </w:rPr>
            </w:pPr>
            <w:r>
              <w:rPr>
                <w:rStyle w:val="CharacterStyle6"/>
              </w:rPr>
              <w:t>0,00</w:t>
            </w:r>
          </w:p>
        </w:tc>
      </w:tr>
      <w:tr w:rsidR="007D706A" w14:paraId="4B6AD49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29010F0"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3BE692CA"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179A33CA"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1C18F26"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99D5236" w14:textId="77777777" w:rsidR="007D706A" w:rsidRDefault="007D706A" w:rsidP="00F70508">
            <w:pPr>
              <w:pStyle w:val="ParagraphStyle9"/>
              <w:rPr>
                <w:rStyle w:val="CharacterStyle9"/>
              </w:rPr>
            </w:pPr>
            <w:r>
              <w:rPr>
                <w:rStyle w:val="CharacterStyle9"/>
              </w:rPr>
              <w:t>1.520.000,00</w:t>
            </w:r>
          </w:p>
        </w:tc>
        <w:tc>
          <w:tcPr>
            <w:tcW w:w="1395" w:type="dxa"/>
            <w:tcBorders>
              <w:bottom w:val="single" w:sz="6" w:space="0" w:color="000000"/>
              <w:right w:val="single" w:sz="6" w:space="0" w:color="000000"/>
            </w:tcBorders>
            <w:vAlign w:val="center"/>
          </w:tcPr>
          <w:p w14:paraId="3367BE4E" w14:textId="77777777" w:rsidR="007D706A" w:rsidRDefault="007D706A" w:rsidP="00F70508">
            <w:pPr>
              <w:pStyle w:val="ParagraphStyle9"/>
              <w:rPr>
                <w:rStyle w:val="CharacterStyle9"/>
              </w:rPr>
            </w:pPr>
            <w:r>
              <w:rPr>
                <w:rStyle w:val="CharacterStyle9"/>
              </w:rPr>
              <w:t>45.000,00</w:t>
            </w:r>
          </w:p>
        </w:tc>
        <w:tc>
          <w:tcPr>
            <w:tcW w:w="1395" w:type="dxa"/>
            <w:tcBorders>
              <w:bottom w:val="single" w:sz="6" w:space="0" w:color="000000"/>
              <w:right w:val="single" w:sz="6" w:space="0" w:color="000000"/>
            </w:tcBorders>
            <w:vAlign w:val="center"/>
          </w:tcPr>
          <w:p w14:paraId="2DFC8443" w14:textId="77777777" w:rsidR="007D706A" w:rsidRDefault="007D706A" w:rsidP="00F70508">
            <w:pPr>
              <w:pStyle w:val="ParagraphStyle9"/>
              <w:rPr>
                <w:rStyle w:val="CharacterStyle9"/>
              </w:rPr>
            </w:pPr>
            <w:r>
              <w:rPr>
                <w:rStyle w:val="CharacterStyle9"/>
              </w:rPr>
              <w:t>0,00</w:t>
            </w:r>
          </w:p>
        </w:tc>
      </w:tr>
      <w:tr w:rsidR="007D706A" w14:paraId="2E82C34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C6A3497"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7170643D"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7FC25AC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E20EC8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01F5428" w14:textId="77777777" w:rsidR="007D706A" w:rsidRDefault="007D706A" w:rsidP="00F70508">
            <w:pPr>
              <w:pStyle w:val="ParagraphStyle12"/>
              <w:rPr>
                <w:rStyle w:val="CharacterStyle12"/>
              </w:rPr>
            </w:pPr>
            <w:r>
              <w:rPr>
                <w:rStyle w:val="CharacterStyle12"/>
              </w:rPr>
              <w:t>1.520.000,00</w:t>
            </w:r>
          </w:p>
        </w:tc>
        <w:tc>
          <w:tcPr>
            <w:tcW w:w="1395" w:type="dxa"/>
            <w:tcBorders>
              <w:bottom w:val="single" w:sz="6" w:space="0" w:color="000000"/>
              <w:right w:val="single" w:sz="6" w:space="0" w:color="000000"/>
            </w:tcBorders>
            <w:vAlign w:val="center"/>
          </w:tcPr>
          <w:p w14:paraId="3CEC5D32" w14:textId="77777777" w:rsidR="007D706A" w:rsidRDefault="007D706A" w:rsidP="00F70508">
            <w:pPr>
              <w:pStyle w:val="ParagraphStyle12"/>
              <w:rPr>
                <w:rStyle w:val="CharacterStyle12"/>
              </w:rPr>
            </w:pPr>
            <w:r>
              <w:rPr>
                <w:rStyle w:val="CharacterStyle12"/>
              </w:rPr>
              <w:t>45.000,00</w:t>
            </w:r>
          </w:p>
        </w:tc>
        <w:tc>
          <w:tcPr>
            <w:tcW w:w="1395" w:type="dxa"/>
            <w:tcBorders>
              <w:bottom w:val="single" w:sz="6" w:space="0" w:color="000000"/>
              <w:right w:val="single" w:sz="6" w:space="0" w:color="000000"/>
            </w:tcBorders>
            <w:vAlign w:val="center"/>
          </w:tcPr>
          <w:p w14:paraId="52C018C3" w14:textId="77777777" w:rsidR="007D706A" w:rsidRDefault="007D706A" w:rsidP="00F70508">
            <w:pPr>
              <w:pStyle w:val="ParagraphStyle12"/>
              <w:rPr>
                <w:rStyle w:val="CharacterStyle12"/>
              </w:rPr>
            </w:pPr>
            <w:r>
              <w:rPr>
                <w:rStyle w:val="CharacterStyle12"/>
              </w:rPr>
              <w:t>0,00</w:t>
            </w:r>
          </w:p>
        </w:tc>
      </w:tr>
      <w:tr w:rsidR="007D706A" w14:paraId="25E02DD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989B3AF" w14:textId="77777777" w:rsidR="007D706A" w:rsidRDefault="007D706A" w:rsidP="00F70508">
            <w:pPr>
              <w:pStyle w:val="ParagraphStyle10"/>
              <w:rPr>
                <w:rStyle w:val="CharacterStyle10"/>
              </w:rPr>
            </w:pPr>
            <w:r>
              <w:rPr>
                <w:rStyle w:val="CharacterStyle10"/>
              </w:rPr>
              <w:t>45</w:t>
            </w:r>
          </w:p>
        </w:tc>
        <w:tc>
          <w:tcPr>
            <w:tcW w:w="4995" w:type="dxa"/>
            <w:tcBorders>
              <w:bottom w:val="single" w:sz="6" w:space="0" w:color="000000"/>
              <w:right w:val="single" w:sz="6" w:space="0" w:color="000000"/>
            </w:tcBorders>
            <w:vAlign w:val="center"/>
          </w:tcPr>
          <w:p w14:paraId="62BF3250" w14:textId="77777777" w:rsidR="007D706A" w:rsidRDefault="007D706A" w:rsidP="00F70508">
            <w:pPr>
              <w:pStyle w:val="ParagraphStyle11"/>
              <w:rPr>
                <w:rStyle w:val="CharacterStyle11"/>
              </w:rPr>
            </w:pPr>
            <w:r>
              <w:rPr>
                <w:rStyle w:val="CharacterStyle11"/>
              </w:rPr>
              <w:t>Rashodi za dodatna ulaganja na nefinancijskoj imovini</w:t>
            </w:r>
          </w:p>
        </w:tc>
        <w:tc>
          <w:tcPr>
            <w:tcW w:w="1395" w:type="dxa"/>
            <w:tcBorders>
              <w:bottom w:val="single" w:sz="6" w:space="0" w:color="000000"/>
              <w:right w:val="single" w:sz="6" w:space="0" w:color="000000"/>
            </w:tcBorders>
            <w:vAlign w:val="center"/>
          </w:tcPr>
          <w:p w14:paraId="5BFA1CE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5347F3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A01805A" w14:textId="77777777" w:rsidR="007D706A" w:rsidRDefault="007D706A" w:rsidP="00F70508">
            <w:pPr>
              <w:pStyle w:val="ParagraphStyle12"/>
              <w:rPr>
                <w:rStyle w:val="CharacterStyle12"/>
              </w:rPr>
            </w:pPr>
            <w:r>
              <w:rPr>
                <w:rStyle w:val="CharacterStyle12"/>
              </w:rPr>
              <w:t>1.520.000,00</w:t>
            </w:r>
          </w:p>
        </w:tc>
        <w:tc>
          <w:tcPr>
            <w:tcW w:w="1395" w:type="dxa"/>
            <w:tcBorders>
              <w:bottom w:val="single" w:sz="6" w:space="0" w:color="000000"/>
              <w:right w:val="single" w:sz="6" w:space="0" w:color="000000"/>
            </w:tcBorders>
            <w:vAlign w:val="center"/>
          </w:tcPr>
          <w:p w14:paraId="56A5E3F2" w14:textId="77777777" w:rsidR="007D706A" w:rsidRDefault="007D706A" w:rsidP="00F70508">
            <w:pPr>
              <w:pStyle w:val="ParagraphStyle12"/>
              <w:rPr>
                <w:rStyle w:val="CharacterStyle12"/>
              </w:rPr>
            </w:pPr>
            <w:r>
              <w:rPr>
                <w:rStyle w:val="CharacterStyle12"/>
              </w:rPr>
              <w:t>45.000,00</w:t>
            </w:r>
          </w:p>
        </w:tc>
        <w:tc>
          <w:tcPr>
            <w:tcW w:w="1395" w:type="dxa"/>
            <w:tcBorders>
              <w:bottom w:val="single" w:sz="6" w:space="0" w:color="000000"/>
              <w:right w:val="single" w:sz="6" w:space="0" w:color="000000"/>
            </w:tcBorders>
            <w:vAlign w:val="center"/>
          </w:tcPr>
          <w:p w14:paraId="3526A04B" w14:textId="77777777" w:rsidR="007D706A" w:rsidRDefault="007D706A" w:rsidP="00F70508">
            <w:pPr>
              <w:pStyle w:val="ParagraphStyle12"/>
              <w:rPr>
                <w:rStyle w:val="CharacterStyle12"/>
              </w:rPr>
            </w:pPr>
            <w:r>
              <w:rPr>
                <w:rStyle w:val="CharacterStyle12"/>
              </w:rPr>
              <w:t>0,00</w:t>
            </w:r>
          </w:p>
        </w:tc>
      </w:tr>
      <w:tr w:rsidR="007D706A" w14:paraId="0A8B902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44C8893" w14:textId="77777777" w:rsidR="007D706A" w:rsidRDefault="007D706A" w:rsidP="00F70508">
            <w:pPr>
              <w:pStyle w:val="ParagraphStyle7"/>
              <w:rPr>
                <w:rStyle w:val="CharacterStyle7"/>
              </w:rPr>
            </w:pPr>
            <w:r>
              <w:rPr>
                <w:rStyle w:val="CharacterStyle7"/>
              </w:rPr>
              <w:t>Izvor financiranja 82</w:t>
            </w:r>
          </w:p>
        </w:tc>
        <w:tc>
          <w:tcPr>
            <w:tcW w:w="4995" w:type="dxa"/>
            <w:tcBorders>
              <w:bottom w:val="single" w:sz="6" w:space="0" w:color="000000"/>
              <w:right w:val="single" w:sz="6" w:space="0" w:color="000000"/>
            </w:tcBorders>
            <w:vAlign w:val="center"/>
          </w:tcPr>
          <w:p w14:paraId="27202A99" w14:textId="77777777" w:rsidR="007D706A" w:rsidRDefault="007D706A" w:rsidP="00F70508">
            <w:pPr>
              <w:pStyle w:val="ParagraphStyle8"/>
              <w:rPr>
                <w:rStyle w:val="CharacterStyle8"/>
              </w:rPr>
            </w:pPr>
            <w:r>
              <w:rPr>
                <w:rStyle w:val="CharacterStyle8"/>
              </w:rPr>
              <w:t>Preneseni viškovi iz ranijih godina</w:t>
            </w:r>
          </w:p>
        </w:tc>
        <w:tc>
          <w:tcPr>
            <w:tcW w:w="1395" w:type="dxa"/>
            <w:tcBorders>
              <w:bottom w:val="single" w:sz="6" w:space="0" w:color="000000"/>
              <w:right w:val="single" w:sz="6" w:space="0" w:color="000000"/>
            </w:tcBorders>
            <w:vAlign w:val="center"/>
          </w:tcPr>
          <w:p w14:paraId="180EF618"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103A747" w14:textId="77777777" w:rsidR="007D706A" w:rsidRDefault="007D706A" w:rsidP="00F70508">
            <w:pPr>
              <w:pStyle w:val="ParagraphStyle9"/>
              <w:rPr>
                <w:rStyle w:val="CharacterStyle9"/>
              </w:rPr>
            </w:pPr>
            <w:r>
              <w:rPr>
                <w:rStyle w:val="CharacterStyle9"/>
              </w:rPr>
              <w:t>75.000,00</w:t>
            </w:r>
          </w:p>
        </w:tc>
        <w:tc>
          <w:tcPr>
            <w:tcW w:w="1395" w:type="dxa"/>
            <w:tcBorders>
              <w:bottom w:val="single" w:sz="6" w:space="0" w:color="000000"/>
              <w:right w:val="single" w:sz="6" w:space="0" w:color="000000"/>
            </w:tcBorders>
            <w:vAlign w:val="center"/>
          </w:tcPr>
          <w:p w14:paraId="5434F6E1"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EEFF666"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6CC66AC" w14:textId="77777777" w:rsidR="007D706A" w:rsidRDefault="007D706A" w:rsidP="00F70508">
            <w:pPr>
              <w:pStyle w:val="ParagraphStyle9"/>
              <w:rPr>
                <w:rStyle w:val="CharacterStyle9"/>
              </w:rPr>
            </w:pPr>
            <w:r>
              <w:rPr>
                <w:rStyle w:val="CharacterStyle9"/>
              </w:rPr>
              <w:t>0,00</w:t>
            </w:r>
          </w:p>
        </w:tc>
      </w:tr>
      <w:tr w:rsidR="007D706A" w14:paraId="3896AE1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7250BF2"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5348011B"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0C5F398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C2DFBC1" w14:textId="77777777" w:rsidR="007D706A" w:rsidRDefault="007D706A" w:rsidP="00F70508">
            <w:pPr>
              <w:pStyle w:val="ParagraphStyle12"/>
              <w:rPr>
                <w:rStyle w:val="CharacterStyle12"/>
              </w:rPr>
            </w:pPr>
            <w:r>
              <w:rPr>
                <w:rStyle w:val="CharacterStyle12"/>
              </w:rPr>
              <w:t>75.000,00</w:t>
            </w:r>
          </w:p>
        </w:tc>
        <w:tc>
          <w:tcPr>
            <w:tcW w:w="1395" w:type="dxa"/>
            <w:tcBorders>
              <w:bottom w:val="single" w:sz="6" w:space="0" w:color="000000"/>
              <w:right w:val="single" w:sz="6" w:space="0" w:color="000000"/>
            </w:tcBorders>
            <w:vAlign w:val="center"/>
          </w:tcPr>
          <w:p w14:paraId="4B1FF88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48F001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D03DF35" w14:textId="77777777" w:rsidR="007D706A" w:rsidRDefault="007D706A" w:rsidP="00F70508">
            <w:pPr>
              <w:pStyle w:val="ParagraphStyle12"/>
              <w:rPr>
                <w:rStyle w:val="CharacterStyle12"/>
              </w:rPr>
            </w:pPr>
            <w:r>
              <w:rPr>
                <w:rStyle w:val="CharacterStyle12"/>
              </w:rPr>
              <w:t>0,00</w:t>
            </w:r>
          </w:p>
        </w:tc>
      </w:tr>
      <w:tr w:rsidR="007D706A" w14:paraId="2FE3220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7A1D79E" w14:textId="77777777" w:rsidR="007D706A" w:rsidRDefault="007D706A" w:rsidP="00F70508">
            <w:pPr>
              <w:pStyle w:val="ParagraphStyle10"/>
              <w:rPr>
                <w:rStyle w:val="CharacterStyle10"/>
              </w:rPr>
            </w:pPr>
            <w:r>
              <w:rPr>
                <w:rStyle w:val="CharacterStyle10"/>
              </w:rPr>
              <w:t>45</w:t>
            </w:r>
          </w:p>
        </w:tc>
        <w:tc>
          <w:tcPr>
            <w:tcW w:w="4995" w:type="dxa"/>
            <w:tcBorders>
              <w:bottom w:val="single" w:sz="6" w:space="0" w:color="000000"/>
              <w:right w:val="single" w:sz="6" w:space="0" w:color="000000"/>
            </w:tcBorders>
            <w:vAlign w:val="center"/>
          </w:tcPr>
          <w:p w14:paraId="66D97667" w14:textId="77777777" w:rsidR="007D706A" w:rsidRDefault="007D706A" w:rsidP="00F70508">
            <w:pPr>
              <w:pStyle w:val="ParagraphStyle11"/>
              <w:rPr>
                <w:rStyle w:val="CharacterStyle11"/>
              </w:rPr>
            </w:pPr>
            <w:r>
              <w:rPr>
                <w:rStyle w:val="CharacterStyle11"/>
              </w:rPr>
              <w:t>Rashodi za dodatna ulaganja na nefinancijskoj imovini</w:t>
            </w:r>
          </w:p>
        </w:tc>
        <w:tc>
          <w:tcPr>
            <w:tcW w:w="1395" w:type="dxa"/>
            <w:tcBorders>
              <w:bottom w:val="single" w:sz="6" w:space="0" w:color="000000"/>
              <w:right w:val="single" w:sz="6" w:space="0" w:color="000000"/>
            </w:tcBorders>
            <w:vAlign w:val="center"/>
          </w:tcPr>
          <w:p w14:paraId="3FA03B7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116FDBC" w14:textId="77777777" w:rsidR="007D706A" w:rsidRDefault="007D706A" w:rsidP="00F70508">
            <w:pPr>
              <w:pStyle w:val="ParagraphStyle12"/>
              <w:rPr>
                <w:rStyle w:val="CharacterStyle12"/>
              </w:rPr>
            </w:pPr>
            <w:r>
              <w:rPr>
                <w:rStyle w:val="CharacterStyle12"/>
              </w:rPr>
              <w:t>75.000,00</w:t>
            </w:r>
          </w:p>
        </w:tc>
        <w:tc>
          <w:tcPr>
            <w:tcW w:w="1395" w:type="dxa"/>
            <w:tcBorders>
              <w:bottom w:val="single" w:sz="6" w:space="0" w:color="000000"/>
              <w:right w:val="single" w:sz="6" w:space="0" w:color="000000"/>
            </w:tcBorders>
            <w:vAlign w:val="center"/>
          </w:tcPr>
          <w:p w14:paraId="6A10C82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0DC26A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8C31AAD" w14:textId="77777777" w:rsidR="007D706A" w:rsidRDefault="007D706A" w:rsidP="00F70508">
            <w:pPr>
              <w:pStyle w:val="ParagraphStyle12"/>
              <w:rPr>
                <w:rStyle w:val="CharacterStyle12"/>
              </w:rPr>
            </w:pPr>
            <w:r>
              <w:rPr>
                <w:rStyle w:val="CharacterStyle12"/>
              </w:rPr>
              <w:t>0,00</w:t>
            </w:r>
          </w:p>
        </w:tc>
      </w:tr>
      <w:tr w:rsidR="007D706A" w14:paraId="0B5ED45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79E70AB" w14:textId="77777777" w:rsidR="007D706A" w:rsidRDefault="007D706A" w:rsidP="00F70508">
            <w:pPr>
              <w:pStyle w:val="ParagraphStyle4"/>
              <w:rPr>
                <w:rStyle w:val="CharacterStyle4"/>
              </w:rPr>
            </w:pPr>
            <w:r>
              <w:rPr>
                <w:rStyle w:val="CharacterStyle4"/>
              </w:rPr>
              <w:t>Kapitalni projekt K101474</w:t>
            </w:r>
          </w:p>
        </w:tc>
        <w:tc>
          <w:tcPr>
            <w:tcW w:w="4995" w:type="dxa"/>
            <w:tcBorders>
              <w:bottom w:val="single" w:sz="6" w:space="0" w:color="000000"/>
              <w:right w:val="single" w:sz="6" w:space="0" w:color="000000"/>
            </w:tcBorders>
            <w:vAlign w:val="center"/>
          </w:tcPr>
          <w:p w14:paraId="54551415" w14:textId="77777777" w:rsidR="007D706A" w:rsidRDefault="007D706A" w:rsidP="00F70508">
            <w:pPr>
              <w:pStyle w:val="ParagraphStyle5"/>
              <w:rPr>
                <w:rStyle w:val="CharacterStyle5"/>
              </w:rPr>
            </w:pPr>
            <w:r>
              <w:rPr>
                <w:rStyle w:val="CharacterStyle5"/>
              </w:rPr>
              <w:t>DOGRADNJA DJEČJEG IGRALIŠTE_PARK HRV.BRANITELJA</w:t>
            </w:r>
          </w:p>
        </w:tc>
        <w:tc>
          <w:tcPr>
            <w:tcW w:w="1395" w:type="dxa"/>
            <w:tcBorders>
              <w:bottom w:val="single" w:sz="6" w:space="0" w:color="000000"/>
              <w:right w:val="single" w:sz="6" w:space="0" w:color="000000"/>
            </w:tcBorders>
            <w:vAlign w:val="center"/>
          </w:tcPr>
          <w:p w14:paraId="5EF039CD"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40E654F3" w14:textId="77777777" w:rsidR="007D706A" w:rsidRDefault="007D706A" w:rsidP="00F70508">
            <w:pPr>
              <w:pStyle w:val="ParagraphStyle6"/>
              <w:rPr>
                <w:rStyle w:val="CharacterStyle6"/>
              </w:rPr>
            </w:pPr>
            <w:r>
              <w:rPr>
                <w:rStyle w:val="CharacterStyle6"/>
              </w:rPr>
              <w:t>35.000,00</w:t>
            </w:r>
          </w:p>
        </w:tc>
        <w:tc>
          <w:tcPr>
            <w:tcW w:w="1395" w:type="dxa"/>
            <w:tcBorders>
              <w:bottom w:val="single" w:sz="6" w:space="0" w:color="000000"/>
              <w:right w:val="single" w:sz="6" w:space="0" w:color="000000"/>
            </w:tcBorders>
            <w:vAlign w:val="center"/>
          </w:tcPr>
          <w:p w14:paraId="5F55C232"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7807E2C9"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61942510" w14:textId="77777777" w:rsidR="007D706A" w:rsidRDefault="007D706A" w:rsidP="00F70508">
            <w:pPr>
              <w:pStyle w:val="ParagraphStyle6"/>
              <w:rPr>
                <w:rStyle w:val="CharacterStyle6"/>
              </w:rPr>
            </w:pPr>
            <w:r>
              <w:rPr>
                <w:rStyle w:val="CharacterStyle6"/>
              </w:rPr>
              <w:t>0,00</w:t>
            </w:r>
          </w:p>
        </w:tc>
      </w:tr>
      <w:tr w:rsidR="007D706A" w14:paraId="696F0D3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0040AC8" w14:textId="77777777" w:rsidR="007D706A" w:rsidRDefault="007D706A" w:rsidP="00F70508">
            <w:pPr>
              <w:pStyle w:val="ParagraphStyle7"/>
              <w:rPr>
                <w:rStyle w:val="CharacterStyle7"/>
              </w:rPr>
            </w:pPr>
            <w:r>
              <w:rPr>
                <w:rStyle w:val="CharacterStyle7"/>
              </w:rPr>
              <w:t>Izvor financiranja 82</w:t>
            </w:r>
          </w:p>
        </w:tc>
        <w:tc>
          <w:tcPr>
            <w:tcW w:w="4995" w:type="dxa"/>
            <w:tcBorders>
              <w:bottom w:val="single" w:sz="6" w:space="0" w:color="000000"/>
              <w:right w:val="single" w:sz="6" w:space="0" w:color="000000"/>
            </w:tcBorders>
            <w:vAlign w:val="center"/>
          </w:tcPr>
          <w:p w14:paraId="461E6EF3" w14:textId="77777777" w:rsidR="007D706A" w:rsidRDefault="007D706A" w:rsidP="00F70508">
            <w:pPr>
              <w:pStyle w:val="ParagraphStyle8"/>
              <w:rPr>
                <w:rStyle w:val="CharacterStyle8"/>
              </w:rPr>
            </w:pPr>
            <w:r>
              <w:rPr>
                <w:rStyle w:val="CharacterStyle8"/>
              </w:rPr>
              <w:t>Preneseni viškovi iz ranijih godina</w:t>
            </w:r>
          </w:p>
        </w:tc>
        <w:tc>
          <w:tcPr>
            <w:tcW w:w="1395" w:type="dxa"/>
            <w:tcBorders>
              <w:bottom w:val="single" w:sz="6" w:space="0" w:color="000000"/>
              <w:right w:val="single" w:sz="6" w:space="0" w:color="000000"/>
            </w:tcBorders>
            <w:vAlign w:val="center"/>
          </w:tcPr>
          <w:p w14:paraId="18934762"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5262BAD" w14:textId="77777777" w:rsidR="007D706A" w:rsidRDefault="007D706A" w:rsidP="00F70508">
            <w:pPr>
              <w:pStyle w:val="ParagraphStyle9"/>
              <w:rPr>
                <w:rStyle w:val="CharacterStyle9"/>
              </w:rPr>
            </w:pPr>
            <w:r>
              <w:rPr>
                <w:rStyle w:val="CharacterStyle9"/>
              </w:rPr>
              <w:t>35.000,00</w:t>
            </w:r>
          </w:p>
        </w:tc>
        <w:tc>
          <w:tcPr>
            <w:tcW w:w="1395" w:type="dxa"/>
            <w:tcBorders>
              <w:bottom w:val="single" w:sz="6" w:space="0" w:color="000000"/>
              <w:right w:val="single" w:sz="6" w:space="0" w:color="000000"/>
            </w:tcBorders>
            <w:vAlign w:val="center"/>
          </w:tcPr>
          <w:p w14:paraId="04668B14"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CF24213"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4DDBB81" w14:textId="77777777" w:rsidR="007D706A" w:rsidRDefault="007D706A" w:rsidP="00F70508">
            <w:pPr>
              <w:pStyle w:val="ParagraphStyle9"/>
              <w:rPr>
                <w:rStyle w:val="CharacterStyle9"/>
              </w:rPr>
            </w:pPr>
            <w:r>
              <w:rPr>
                <w:rStyle w:val="CharacterStyle9"/>
              </w:rPr>
              <w:t>0,00</w:t>
            </w:r>
          </w:p>
        </w:tc>
      </w:tr>
      <w:tr w:rsidR="007D706A" w14:paraId="2DBAD71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45AF083"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0FC9C342"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4A54838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745E579" w14:textId="77777777" w:rsidR="007D706A" w:rsidRDefault="007D706A" w:rsidP="00F70508">
            <w:pPr>
              <w:pStyle w:val="ParagraphStyle12"/>
              <w:rPr>
                <w:rStyle w:val="CharacterStyle12"/>
              </w:rPr>
            </w:pPr>
            <w:r>
              <w:rPr>
                <w:rStyle w:val="CharacterStyle12"/>
              </w:rPr>
              <w:t>35.000,00</w:t>
            </w:r>
          </w:p>
        </w:tc>
        <w:tc>
          <w:tcPr>
            <w:tcW w:w="1395" w:type="dxa"/>
            <w:tcBorders>
              <w:bottom w:val="single" w:sz="6" w:space="0" w:color="000000"/>
              <w:right w:val="single" w:sz="6" w:space="0" w:color="000000"/>
            </w:tcBorders>
            <w:vAlign w:val="center"/>
          </w:tcPr>
          <w:p w14:paraId="3F81253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87E0CD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6BF8E16" w14:textId="77777777" w:rsidR="007D706A" w:rsidRDefault="007D706A" w:rsidP="00F70508">
            <w:pPr>
              <w:pStyle w:val="ParagraphStyle12"/>
              <w:rPr>
                <w:rStyle w:val="CharacterStyle12"/>
              </w:rPr>
            </w:pPr>
            <w:r>
              <w:rPr>
                <w:rStyle w:val="CharacterStyle12"/>
              </w:rPr>
              <w:t>0,00</w:t>
            </w:r>
          </w:p>
        </w:tc>
      </w:tr>
      <w:tr w:rsidR="007D706A" w14:paraId="56F68E9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3DAFD0C" w14:textId="77777777" w:rsidR="007D706A" w:rsidRDefault="007D706A" w:rsidP="00F70508">
            <w:pPr>
              <w:pStyle w:val="ParagraphStyle10"/>
              <w:rPr>
                <w:rStyle w:val="CharacterStyle10"/>
              </w:rPr>
            </w:pPr>
            <w:r>
              <w:rPr>
                <w:rStyle w:val="CharacterStyle10"/>
              </w:rPr>
              <w:t>42</w:t>
            </w:r>
          </w:p>
        </w:tc>
        <w:tc>
          <w:tcPr>
            <w:tcW w:w="4995" w:type="dxa"/>
            <w:tcBorders>
              <w:bottom w:val="single" w:sz="6" w:space="0" w:color="000000"/>
              <w:right w:val="single" w:sz="6" w:space="0" w:color="000000"/>
            </w:tcBorders>
            <w:vAlign w:val="center"/>
          </w:tcPr>
          <w:p w14:paraId="332AB82F"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08E8C29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47EA4D9" w14:textId="77777777" w:rsidR="007D706A" w:rsidRDefault="007D706A" w:rsidP="00F70508">
            <w:pPr>
              <w:pStyle w:val="ParagraphStyle12"/>
              <w:rPr>
                <w:rStyle w:val="CharacterStyle12"/>
              </w:rPr>
            </w:pPr>
            <w:r>
              <w:rPr>
                <w:rStyle w:val="CharacterStyle12"/>
              </w:rPr>
              <w:t>35.000,00</w:t>
            </w:r>
          </w:p>
        </w:tc>
        <w:tc>
          <w:tcPr>
            <w:tcW w:w="1395" w:type="dxa"/>
            <w:tcBorders>
              <w:bottom w:val="single" w:sz="6" w:space="0" w:color="000000"/>
              <w:right w:val="single" w:sz="6" w:space="0" w:color="000000"/>
            </w:tcBorders>
            <w:vAlign w:val="center"/>
          </w:tcPr>
          <w:p w14:paraId="6987124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DD58B9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4589FC9" w14:textId="77777777" w:rsidR="007D706A" w:rsidRDefault="007D706A" w:rsidP="00F70508">
            <w:pPr>
              <w:pStyle w:val="ParagraphStyle12"/>
              <w:rPr>
                <w:rStyle w:val="CharacterStyle12"/>
              </w:rPr>
            </w:pPr>
            <w:r>
              <w:rPr>
                <w:rStyle w:val="CharacterStyle12"/>
              </w:rPr>
              <w:t>0,00</w:t>
            </w:r>
          </w:p>
        </w:tc>
      </w:tr>
      <w:tr w:rsidR="007D706A" w14:paraId="46065BE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BC986B5" w14:textId="77777777" w:rsidR="007D706A" w:rsidRDefault="007D706A" w:rsidP="00F70508">
            <w:pPr>
              <w:pStyle w:val="ParagraphStyle4"/>
              <w:rPr>
                <w:rStyle w:val="CharacterStyle4"/>
              </w:rPr>
            </w:pPr>
            <w:r>
              <w:rPr>
                <w:rStyle w:val="CharacterStyle4"/>
              </w:rPr>
              <w:t>Kapitalni projekt K101448</w:t>
            </w:r>
          </w:p>
        </w:tc>
        <w:tc>
          <w:tcPr>
            <w:tcW w:w="4995" w:type="dxa"/>
            <w:tcBorders>
              <w:bottom w:val="single" w:sz="6" w:space="0" w:color="000000"/>
              <w:right w:val="single" w:sz="6" w:space="0" w:color="000000"/>
            </w:tcBorders>
            <w:vAlign w:val="center"/>
          </w:tcPr>
          <w:p w14:paraId="0D41A2A7" w14:textId="77777777" w:rsidR="007D706A" w:rsidRDefault="007D706A" w:rsidP="00F70508">
            <w:pPr>
              <w:pStyle w:val="ParagraphStyle5"/>
              <w:rPr>
                <w:rStyle w:val="CharacterStyle5"/>
              </w:rPr>
            </w:pPr>
            <w:r>
              <w:rPr>
                <w:rStyle w:val="CharacterStyle5"/>
              </w:rPr>
              <w:t>REKONTRUKCIJA ZGRADE A.GANDUSIO</w:t>
            </w:r>
          </w:p>
        </w:tc>
        <w:tc>
          <w:tcPr>
            <w:tcW w:w="1395" w:type="dxa"/>
            <w:tcBorders>
              <w:bottom w:val="single" w:sz="6" w:space="0" w:color="000000"/>
              <w:right w:val="single" w:sz="6" w:space="0" w:color="000000"/>
            </w:tcBorders>
            <w:vAlign w:val="center"/>
          </w:tcPr>
          <w:p w14:paraId="2A098C6E"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4B5D0E6F" w14:textId="77777777" w:rsidR="007D706A" w:rsidRDefault="007D706A" w:rsidP="00F70508">
            <w:pPr>
              <w:pStyle w:val="ParagraphStyle6"/>
              <w:rPr>
                <w:rStyle w:val="CharacterStyle6"/>
              </w:rPr>
            </w:pPr>
            <w:r>
              <w:rPr>
                <w:rStyle w:val="CharacterStyle6"/>
              </w:rPr>
              <w:t>223.450,00</w:t>
            </w:r>
          </w:p>
        </w:tc>
        <w:tc>
          <w:tcPr>
            <w:tcW w:w="1395" w:type="dxa"/>
            <w:tcBorders>
              <w:bottom w:val="single" w:sz="6" w:space="0" w:color="000000"/>
              <w:right w:val="single" w:sz="6" w:space="0" w:color="000000"/>
            </w:tcBorders>
            <w:vAlign w:val="center"/>
          </w:tcPr>
          <w:p w14:paraId="4BFF9430"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26E4C371"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312A7CE6" w14:textId="77777777" w:rsidR="007D706A" w:rsidRDefault="007D706A" w:rsidP="00F70508">
            <w:pPr>
              <w:pStyle w:val="ParagraphStyle6"/>
              <w:rPr>
                <w:rStyle w:val="CharacterStyle6"/>
              </w:rPr>
            </w:pPr>
            <w:r>
              <w:rPr>
                <w:rStyle w:val="CharacterStyle6"/>
              </w:rPr>
              <w:t>0,00</w:t>
            </w:r>
          </w:p>
        </w:tc>
      </w:tr>
      <w:tr w:rsidR="007D706A" w14:paraId="6B1A07E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D003FF2" w14:textId="77777777" w:rsidR="007D706A" w:rsidRDefault="007D706A" w:rsidP="00F70508">
            <w:pPr>
              <w:pStyle w:val="ParagraphStyle7"/>
              <w:rPr>
                <w:rStyle w:val="CharacterStyle7"/>
              </w:rPr>
            </w:pPr>
            <w:r>
              <w:rPr>
                <w:rStyle w:val="CharacterStyle7"/>
              </w:rPr>
              <w:lastRenderedPageBreak/>
              <w:t>Izvor financiranja 82</w:t>
            </w:r>
          </w:p>
        </w:tc>
        <w:tc>
          <w:tcPr>
            <w:tcW w:w="4995" w:type="dxa"/>
            <w:tcBorders>
              <w:bottom w:val="single" w:sz="6" w:space="0" w:color="000000"/>
              <w:right w:val="single" w:sz="6" w:space="0" w:color="000000"/>
            </w:tcBorders>
            <w:vAlign w:val="center"/>
          </w:tcPr>
          <w:p w14:paraId="0DA22C5D" w14:textId="77777777" w:rsidR="007D706A" w:rsidRDefault="007D706A" w:rsidP="00F70508">
            <w:pPr>
              <w:pStyle w:val="ParagraphStyle8"/>
              <w:rPr>
                <w:rStyle w:val="CharacterStyle8"/>
              </w:rPr>
            </w:pPr>
            <w:r>
              <w:rPr>
                <w:rStyle w:val="CharacterStyle8"/>
              </w:rPr>
              <w:t>Preneseni viškovi iz ranijih godina</w:t>
            </w:r>
          </w:p>
        </w:tc>
        <w:tc>
          <w:tcPr>
            <w:tcW w:w="1395" w:type="dxa"/>
            <w:tcBorders>
              <w:bottom w:val="single" w:sz="6" w:space="0" w:color="000000"/>
              <w:right w:val="single" w:sz="6" w:space="0" w:color="000000"/>
            </w:tcBorders>
            <w:vAlign w:val="center"/>
          </w:tcPr>
          <w:p w14:paraId="218CB298"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DAC3DA6" w14:textId="77777777" w:rsidR="007D706A" w:rsidRDefault="007D706A" w:rsidP="00F70508">
            <w:pPr>
              <w:pStyle w:val="ParagraphStyle9"/>
              <w:rPr>
                <w:rStyle w:val="CharacterStyle9"/>
              </w:rPr>
            </w:pPr>
            <w:r>
              <w:rPr>
                <w:rStyle w:val="CharacterStyle9"/>
              </w:rPr>
              <w:t>223.450,00</w:t>
            </w:r>
          </w:p>
        </w:tc>
        <w:tc>
          <w:tcPr>
            <w:tcW w:w="1395" w:type="dxa"/>
            <w:tcBorders>
              <w:bottom w:val="single" w:sz="6" w:space="0" w:color="000000"/>
              <w:right w:val="single" w:sz="6" w:space="0" w:color="000000"/>
            </w:tcBorders>
            <w:vAlign w:val="center"/>
          </w:tcPr>
          <w:p w14:paraId="43C5C745"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57A843A"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82F569A" w14:textId="77777777" w:rsidR="007D706A" w:rsidRDefault="007D706A" w:rsidP="00F70508">
            <w:pPr>
              <w:pStyle w:val="ParagraphStyle9"/>
              <w:rPr>
                <w:rStyle w:val="CharacterStyle9"/>
              </w:rPr>
            </w:pPr>
            <w:r>
              <w:rPr>
                <w:rStyle w:val="CharacterStyle9"/>
              </w:rPr>
              <w:t>0,00</w:t>
            </w:r>
          </w:p>
        </w:tc>
      </w:tr>
      <w:tr w:rsidR="007D706A" w14:paraId="4819DB1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0ADADA3"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01EB3124"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36C8ED4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5435CF0" w14:textId="77777777" w:rsidR="007D706A" w:rsidRDefault="007D706A" w:rsidP="00F70508">
            <w:pPr>
              <w:pStyle w:val="ParagraphStyle12"/>
              <w:rPr>
                <w:rStyle w:val="CharacterStyle12"/>
              </w:rPr>
            </w:pPr>
            <w:r>
              <w:rPr>
                <w:rStyle w:val="CharacterStyle12"/>
              </w:rPr>
              <w:t>223.450,00</w:t>
            </w:r>
          </w:p>
        </w:tc>
        <w:tc>
          <w:tcPr>
            <w:tcW w:w="1395" w:type="dxa"/>
            <w:tcBorders>
              <w:bottom w:val="single" w:sz="6" w:space="0" w:color="000000"/>
              <w:right w:val="single" w:sz="6" w:space="0" w:color="000000"/>
            </w:tcBorders>
            <w:vAlign w:val="center"/>
          </w:tcPr>
          <w:p w14:paraId="1451511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EA1648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09B7D11" w14:textId="77777777" w:rsidR="007D706A" w:rsidRDefault="007D706A" w:rsidP="00F70508">
            <w:pPr>
              <w:pStyle w:val="ParagraphStyle12"/>
              <w:rPr>
                <w:rStyle w:val="CharacterStyle12"/>
              </w:rPr>
            </w:pPr>
            <w:r>
              <w:rPr>
                <w:rStyle w:val="CharacterStyle12"/>
              </w:rPr>
              <w:t>0,00</w:t>
            </w:r>
          </w:p>
        </w:tc>
      </w:tr>
      <w:tr w:rsidR="007D706A" w14:paraId="53C1DB6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2F6694E" w14:textId="77777777" w:rsidR="007D706A" w:rsidRDefault="007D706A" w:rsidP="00F70508">
            <w:pPr>
              <w:pStyle w:val="ParagraphStyle10"/>
              <w:rPr>
                <w:rStyle w:val="CharacterStyle10"/>
              </w:rPr>
            </w:pPr>
            <w:r>
              <w:rPr>
                <w:rStyle w:val="CharacterStyle10"/>
              </w:rPr>
              <w:t>45</w:t>
            </w:r>
          </w:p>
        </w:tc>
        <w:tc>
          <w:tcPr>
            <w:tcW w:w="4995" w:type="dxa"/>
            <w:tcBorders>
              <w:bottom w:val="single" w:sz="6" w:space="0" w:color="000000"/>
              <w:right w:val="single" w:sz="6" w:space="0" w:color="000000"/>
            </w:tcBorders>
            <w:vAlign w:val="center"/>
          </w:tcPr>
          <w:p w14:paraId="6232A369" w14:textId="77777777" w:rsidR="007D706A" w:rsidRDefault="007D706A" w:rsidP="00F70508">
            <w:pPr>
              <w:pStyle w:val="ParagraphStyle11"/>
              <w:rPr>
                <w:rStyle w:val="CharacterStyle11"/>
              </w:rPr>
            </w:pPr>
            <w:r>
              <w:rPr>
                <w:rStyle w:val="CharacterStyle11"/>
              </w:rPr>
              <w:t>Rashodi za dodatna ulaganja na nefinancijskoj imovini</w:t>
            </w:r>
          </w:p>
        </w:tc>
        <w:tc>
          <w:tcPr>
            <w:tcW w:w="1395" w:type="dxa"/>
            <w:tcBorders>
              <w:bottom w:val="single" w:sz="6" w:space="0" w:color="000000"/>
              <w:right w:val="single" w:sz="6" w:space="0" w:color="000000"/>
            </w:tcBorders>
            <w:vAlign w:val="center"/>
          </w:tcPr>
          <w:p w14:paraId="4BB3D75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D585F5F" w14:textId="77777777" w:rsidR="007D706A" w:rsidRDefault="007D706A" w:rsidP="00F70508">
            <w:pPr>
              <w:pStyle w:val="ParagraphStyle12"/>
              <w:rPr>
                <w:rStyle w:val="CharacterStyle12"/>
              </w:rPr>
            </w:pPr>
            <w:r>
              <w:rPr>
                <w:rStyle w:val="CharacterStyle12"/>
              </w:rPr>
              <w:t>223.450,00</w:t>
            </w:r>
          </w:p>
        </w:tc>
        <w:tc>
          <w:tcPr>
            <w:tcW w:w="1395" w:type="dxa"/>
            <w:tcBorders>
              <w:bottom w:val="single" w:sz="6" w:space="0" w:color="000000"/>
              <w:right w:val="single" w:sz="6" w:space="0" w:color="000000"/>
            </w:tcBorders>
            <w:vAlign w:val="center"/>
          </w:tcPr>
          <w:p w14:paraId="524F9FA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3AC588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5CC255B" w14:textId="77777777" w:rsidR="007D706A" w:rsidRDefault="007D706A" w:rsidP="00F70508">
            <w:pPr>
              <w:pStyle w:val="ParagraphStyle12"/>
              <w:rPr>
                <w:rStyle w:val="CharacterStyle12"/>
              </w:rPr>
            </w:pPr>
            <w:r>
              <w:rPr>
                <w:rStyle w:val="CharacterStyle12"/>
              </w:rPr>
              <w:t>0,00</w:t>
            </w:r>
          </w:p>
        </w:tc>
      </w:tr>
      <w:tr w:rsidR="007D706A" w14:paraId="490FBA0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F0A622B" w14:textId="77777777" w:rsidR="007D706A" w:rsidRDefault="007D706A" w:rsidP="00F70508">
            <w:pPr>
              <w:pStyle w:val="ParagraphStyle4"/>
              <w:rPr>
                <w:rStyle w:val="CharacterStyle4"/>
              </w:rPr>
            </w:pPr>
            <w:r>
              <w:rPr>
                <w:rStyle w:val="CharacterStyle4"/>
              </w:rPr>
              <w:t>Kapitalni projekt K101466</w:t>
            </w:r>
          </w:p>
        </w:tc>
        <w:tc>
          <w:tcPr>
            <w:tcW w:w="4995" w:type="dxa"/>
            <w:tcBorders>
              <w:bottom w:val="single" w:sz="6" w:space="0" w:color="000000"/>
              <w:right w:val="single" w:sz="6" w:space="0" w:color="000000"/>
            </w:tcBorders>
            <w:vAlign w:val="center"/>
          </w:tcPr>
          <w:p w14:paraId="5C64F977" w14:textId="77777777" w:rsidR="007D706A" w:rsidRDefault="007D706A" w:rsidP="00F70508">
            <w:pPr>
              <w:pStyle w:val="ParagraphStyle5"/>
              <w:rPr>
                <w:rStyle w:val="CharacterStyle5"/>
              </w:rPr>
            </w:pPr>
            <w:r>
              <w:rPr>
                <w:rStyle w:val="CharacterStyle5"/>
              </w:rPr>
              <w:t>REKONSTRUKCIJA DVORANE "DOM ROVINJSKO SELO"</w:t>
            </w:r>
          </w:p>
        </w:tc>
        <w:tc>
          <w:tcPr>
            <w:tcW w:w="1395" w:type="dxa"/>
            <w:tcBorders>
              <w:bottom w:val="single" w:sz="6" w:space="0" w:color="000000"/>
              <w:right w:val="single" w:sz="6" w:space="0" w:color="000000"/>
            </w:tcBorders>
            <w:vAlign w:val="center"/>
          </w:tcPr>
          <w:p w14:paraId="28C32F03"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62EF4554" w14:textId="77777777" w:rsidR="007D706A" w:rsidRDefault="007D706A" w:rsidP="00F70508">
            <w:pPr>
              <w:pStyle w:val="ParagraphStyle6"/>
              <w:rPr>
                <w:rStyle w:val="CharacterStyle6"/>
              </w:rPr>
            </w:pPr>
            <w:r>
              <w:rPr>
                <w:rStyle w:val="CharacterStyle6"/>
              </w:rPr>
              <w:t>190.000,00</w:t>
            </w:r>
          </w:p>
        </w:tc>
        <w:tc>
          <w:tcPr>
            <w:tcW w:w="1395" w:type="dxa"/>
            <w:tcBorders>
              <w:bottom w:val="single" w:sz="6" w:space="0" w:color="000000"/>
              <w:right w:val="single" w:sz="6" w:space="0" w:color="000000"/>
            </w:tcBorders>
            <w:vAlign w:val="center"/>
          </w:tcPr>
          <w:p w14:paraId="10438D0C" w14:textId="77777777" w:rsidR="007D706A" w:rsidRDefault="007D706A" w:rsidP="00F70508">
            <w:pPr>
              <w:pStyle w:val="ParagraphStyle6"/>
              <w:rPr>
                <w:rStyle w:val="CharacterStyle6"/>
              </w:rPr>
            </w:pPr>
            <w:r>
              <w:rPr>
                <w:rStyle w:val="CharacterStyle6"/>
              </w:rPr>
              <w:t>36.000,00</w:t>
            </w:r>
          </w:p>
        </w:tc>
        <w:tc>
          <w:tcPr>
            <w:tcW w:w="1395" w:type="dxa"/>
            <w:tcBorders>
              <w:bottom w:val="single" w:sz="6" w:space="0" w:color="000000"/>
              <w:right w:val="single" w:sz="6" w:space="0" w:color="000000"/>
            </w:tcBorders>
            <w:vAlign w:val="center"/>
          </w:tcPr>
          <w:p w14:paraId="0A86BD8F" w14:textId="77777777" w:rsidR="007D706A" w:rsidRDefault="007D706A" w:rsidP="00F70508">
            <w:pPr>
              <w:pStyle w:val="ParagraphStyle6"/>
              <w:rPr>
                <w:rStyle w:val="CharacterStyle6"/>
              </w:rPr>
            </w:pPr>
            <w:r>
              <w:rPr>
                <w:rStyle w:val="CharacterStyle6"/>
              </w:rPr>
              <w:t>41.000,00</w:t>
            </w:r>
          </w:p>
        </w:tc>
        <w:tc>
          <w:tcPr>
            <w:tcW w:w="1395" w:type="dxa"/>
            <w:tcBorders>
              <w:bottom w:val="single" w:sz="6" w:space="0" w:color="000000"/>
              <w:right w:val="single" w:sz="6" w:space="0" w:color="000000"/>
            </w:tcBorders>
            <w:vAlign w:val="center"/>
          </w:tcPr>
          <w:p w14:paraId="6E22D344" w14:textId="77777777" w:rsidR="007D706A" w:rsidRDefault="007D706A" w:rsidP="00F70508">
            <w:pPr>
              <w:pStyle w:val="ParagraphStyle6"/>
              <w:rPr>
                <w:rStyle w:val="CharacterStyle6"/>
              </w:rPr>
            </w:pPr>
            <w:r>
              <w:rPr>
                <w:rStyle w:val="CharacterStyle6"/>
              </w:rPr>
              <w:t>22.000,00</w:t>
            </w:r>
          </w:p>
        </w:tc>
      </w:tr>
      <w:tr w:rsidR="007D706A" w14:paraId="024A221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B5FC48D"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24044FA8"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5470B260"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277FE9F"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06FC2E6" w14:textId="77777777" w:rsidR="007D706A" w:rsidRDefault="007D706A" w:rsidP="00F70508">
            <w:pPr>
              <w:pStyle w:val="ParagraphStyle9"/>
              <w:rPr>
                <w:rStyle w:val="CharacterStyle9"/>
              </w:rPr>
            </w:pPr>
            <w:r>
              <w:rPr>
                <w:rStyle w:val="CharacterStyle9"/>
              </w:rPr>
              <w:t>36.000,00</w:t>
            </w:r>
          </w:p>
        </w:tc>
        <w:tc>
          <w:tcPr>
            <w:tcW w:w="1395" w:type="dxa"/>
            <w:tcBorders>
              <w:bottom w:val="single" w:sz="6" w:space="0" w:color="000000"/>
              <w:right w:val="single" w:sz="6" w:space="0" w:color="000000"/>
            </w:tcBorders>
            <w:vAlign w:val="center"/>
          </w:tcPr>
          <w:p w14:paraId="6A94C0AE" w14:textId="77777777" w:rsidR="007D706A" w:rsidRDefault="007D706A" w:rsidP="00F70508">
            <w:pPr>
              <w:pStyle w:val="ParagraphStyle9"/>
              <w:rPr>
                <w:rStyle w:val="CharacterStyle9"/>
              </w:rPr>
            </w:pPr>
            <w:r>
              <w:rPr>
                <w:rStyle w:val="CharacterStyle9"/>
              </w:rPr>
              <w:t>41.000,00</w:t>
            </w:r>
          </w:p>
        </w:tc>
        <w:tc>
          <w:tcPr>
            <w:tcW w:w="1395" w:type="dxa"/>
            <w:tcBorders>
              <w:bottom w:val="single" w:sz="6" w:space="0" w:color="000000"/>
              <w:right w:val="single" w:sz="6" w:space="0" w:color="000000"/>
            </w:tcBorders>
            <w:vAlign w:val="center"/>
          </w:tcPr>
          <w:p w14:paraId="67B0BCDC" w14:textId="77777777" w:rsidR="007D706A" w:rsidRDefault="007D706A" w:rsidP="00F70508">
            <w:pPr>
              <w:pStyle w:val="ParagraphStyle9"/>
              <w:rPr>
                <w:rStyle w:val="CharacterStyle9"/>
              </w:rPr>
            </w:pPr>
            <w:r>
              <w:rPr>
                <w:rStyle w:val="CharacterStyle9"/>
              </w:rPr>
              <w:t>22.000,00</w:t>
            </w:r>
          </w:p>
        </w:tc>
      </w:tr>
      <w:tr w:rsidR="007D706A" w14:paraId="353D509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10B4C02"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596FDFA4"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33E36B2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693539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CFADB8A" w14:textId="77777777" w:rsidR="007D706A" w:rsidRDefault="007D706A" w:rsidP="00F70508">
            <w:pPr>
              <w:pStyle w:val="ParagraphStyle12"/>
              <w:rPr>
                <w:rStyle w:val="CharacterStyle12"/>
              </w:rPr>
            </w:pPr>
            <w:r>
              <w:rPr>
                <w:rStyle w:val="CharacterStyle12"/>
              </w:rPr>
              <w:t>36.000,00</w:t>
            </w:r>
          </w:p>
        </w:tc>
        <w:tc>
          <w:tcPr>
            <w:tcW w:w="1395" w:type="dxa"/>
            <w:tcBorders>
              <w:bottom w:val="single" w:sz="6" w:space="0" w:color="000000"/>
              <w:right w:val="single" w:sz="6" w:space="0" w:color="000000"/>
            </w:tcBorders>
            <w:vAlign w:val="center"/>
          </w:tcPr>
          <w:p w14:paraId="4EC5177F" w14:textId="77777777" w:rsidR="007D706A" w:rsidRDefault="007D706A" w:rsidP="00F70508">
            <w:pPr>
              <w:pStyle w:val="ParagraphStyle12"/>
              <w:rPr>
                <w:rStyle w:val="CharacterStyle12"/>
              </w:rPr>
            </w:pPr>
            <w:r>
              <w:rPr>
                <w:rStyle w:val="CharacterStyle12"/>
              </w:rPr>
              <w:t>41.000,00</w:t>
            </w:r>
          </w:p>
        </w:tc>
        <w:tc>
          <w:tcPr>
            <w:tcW w:w="1395" w:type="dxa"/>
            <w:tcBorders>
              <w:bottom w:val="single" w:sz="6" w:space="0" w:color="000000"/>
              <w:right w:val="single" w:sz="6" w:space="0" w:color="000000"/>
            </w:tcBorders>
            <w:vAlign w:val="center"/>
          </w:tcPr>
          <w:p w14:paraId="7A233F38" w14:textId="77777777" w:rsidR="007D706A" w:rsidRDefault="007D706A" w:rsidP="00F70508">
            <w:pPr>
              <w:pStyle w:val="ParagraphStyle12"/>
              <w:rPr>
                <w:rStyle w:val="CharacterStyle12"/>
              </w:rPr>
            </w:pPr>
            <w:r>
              <w:rPr>
                <w:rStyle w:val="CharacterStyle12"/>
              </w:rPr>
              <w:t>22.000,00</w:t>
            </w:r>
          </w:p>
        </w:tc>
      </w:tr>
      <w:tr w:rsidR="007D706A" w14:paraId="7587810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C4A67E3" w14:textId="77777777" w:rsidR="007D706A" w:rsidRDefault="007D706A" w:rsidP="00F70508">
            <w:pPr>
              <w:pStyle w:val="ParagraphStyle10"/>
              <w:rPr>
                <w:rStyle w:val="CharacterStyle10"/>
              </w:rPr>
            </w:pPr>
            <w:r>
              <w:rPr>
                <w:rStyle w:val="CharacterStyle10"/>
              </w:rPr>
              <w:t>45</w:t>
            </w:r>
          </w:p>
        </w:tc>
        <w:tc>
          <w:tcPr>
            <w:tcW w:w="4995" w:type="dxa"/>
            <w:tcBorders>
              <w:bottom w:val="single" w:sz="6" w:space="0" w:color="000000"/>
              <w:right w:val="single" w:sz="6" w:space="0" w:color="000000"/>
            </w:tcBorders>
            <w:vAlign w:val="center"/>
          </w:tcPr>
          <w:p w14:paraId="1D802292" w14:textId="77777777" w:rsidR="007D706A" w:rsidRDefault="007D706A" w:rsidP="00F70508">
            <w:pPr>
              <w:pStyle w:val="ParagraphStyle11"/>
              <w:rPr>
                <w:rStyle w:val="CharacterStyle11"/>
              </w:rPr>
            </w:pPr>
            <w:r>
              <w:rPr>
                <w:rStyle w:val="CharacterStyle11"/>
              </w:rPr>
              <w:t>Rashodi za dodatna ulaganja na nefinancijskoj imovini</w:t>
            </w:r>
          </w:p>
        </w:tc>
        <w:tc>
          <w:tcPr>
            <w:tcW w:w="1395" w:type="dxa"/>
            <w:tcBorders>
              <w:bottom w:val="single" w:sz="6" w:space="0" w:color="000000"/>
              <w:right w:val="single" w:sz="6" w:space="0" w:color="000000"/>
            </w:tcBorders>
            <w:vAlign w:val="center"/>
          </w:tcPr>
          <w:p w14:paraId="57BAE9D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8AAD7A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D1FA14C" w14:textId="77777777" w:rsidR="007D706A" w:rsidRDefault="007D706A" w:rsidP="00F70508">
            <w:pPr>
              <w:pStyle w:val="ParagraphStyle12"/>
              <w:rPr>
                <w:rStyle w:val="CharacterStyle12"/>
              </w:rPr>
            </w:pPr>
            <w:r>
              <w:rPr>
                <w:rStyle w:val="CharacterStyle12"/>
              </w:rPr>
              <w:t>36.000,00</w:t>
            </w:r>
          </w:p>
        </w:tc>
        <w:tc>
          <w:tcPr>
            <w:tcW w:w="1395" w:type="dxa"/>
            <w:tcBorders>
              <w:bottom w:val="single" w:sz="6" w:space="0" w:color="000000"/>
              <w:right w:val="single" w:sz="6" w:space="0" w:color="000000"/>
            </w:tcBorders>
            <w:vAlign w:val="center"/>
          </w:tcPr>
          <w:p w14:paraId="117B979C" w14:textId="77777777" w:rsidR="007D706A" w:rsidRDefault="007D706A" w:rsidP="00F70508">
            <w:pPr>
              <w:pStyle w:val="ParagraphStyle12"/>
              <w:rPr>
                <w:rStyle w:val="CharacterStyle12"/>
              </w:rPr>
            </w:pPr>
            <w:r>
              <w:rPr>
                <w:rStyle w:val="CharacterStyle12"/>
              </w:rPr>
              <w:t>41.000,00</w:t>
            </w:r>
          </w:p>
        </w:tc>
        <w:tc>
          <w:tcPr>
            <w:tcW w:w="1395" w:type="dxa"/>
            <w:tcBorders>
              <w:bottom w:val="single" w:sz="6" w:space="0" w:color="000000"/>
              <w:right w:val="single" w:sz="6" w:space="0" w:color="000000"/>
            </w:tcBorders>
            <w:vAlign w:val="center"/>
          </w:tcPr>
          <w:p w14:paraId="4D73FB96" w14:textId="77777777" w:rsidR="007D706A" w:rsidRDefault="007D706A" w:rsidP="00F70508">
            <w:pPr>
              <w:pStyle w:val="ParagraphStyle12"/>
              <w:rPr>
                <w:rStyle w:val="CharacterStyle12"/>
              </w:rPr>
            </w:pPr>
            <w:r>
              <w:rPr>
                <w:rStyle w:val="CharacterStyle12"/>
              </w:rPr>
              <w:t>22.000,00</w:t>
            </w:r>
          </w:p>
        </w:tc>
      </w:tr>
      <w:tr w:rsidR="007D706A" w14:paraId="37B7B00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A6D098F" w14:textId="77777777" w:rsidR="007D706A" w:rsidRDefault="007D706A" w:rsidP="00F70508">
            <w:pPr>
              <w:pStyle w:val="ParagraphStyle7"/>
              <w:rPr>
                <w:rStyle w:val="CharacterStyle7"/>
              </w:rPr>
            </w:pPr>
            <w:r>
              <w:rPr>
                <w:rStyle w:val="CharacterStyle7"/>
              </w:rPr>
              <w:t>Izvor financiranja 82</w:t>
            </w:r>
          </w:p>
        </w:tc>
        <w:tc>
          <w:tcPr>
            <w:tcW w:w="4995" w:type="dxa"/>
            <w:tcBorders>
              <w:bottom w:val="single" w:sz="6" w:space="0" w:color="000000"/>
              <w:right w:val="single" w:sz="6" w:space="0" w:color="000000"/>
            </w:tcBorders>
            <w:vAlign w:val="center"/>
          </w:tcPr>
          <w:p w14:paraId="74149913" w14:textId="77777777" w:rsidR="007D706A" w:rsidRDefault="007D706A" w:rsidP="00F70508">
            <w:pPr>
              <w:pStyle w:val="ParagraphStyle8"/>
              <w:rPr>
                <w:rStyle w:val="CharacterStyle8"/>
              </w:rPr>
            </w:pPr>
            <w:r>
              <w:rPr>
                <w:rStyle w:val="CharacterStyle8"/>
              </w:rPr>
              <w:t>Preneseni viškovi iz ranijih godina</w:t>
            </w:r>
          </w:p>
        </w:tc>
        <w:tc>
          <w:tcPr>
            <w:tcW w:w="1395" w:type="dxa"/>
            <w:tcBorders>
              <w:bottom w:val="single" w:sz="6" w:space="0" w:color="000000"/>
              <w:right w:val="single" w:sz="6" w:space="0" w:color="000000"/>
            </w:tcBorders>
            <w:vAlign w:val="center"/>
          </w:tcPr>
          <w:p w14:paraId="55415DD8"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7BA0FB2" w14:textId="77777777" w:rsidR="007D706A" w:rsidRDefault="007D706A" w:rsidP="00F70508">
            <w:pPr>
              <w:pStyle w:val="ParagraphStyle9"/>
              <w:rPr>
                <w:rStyle w:val="CharacterStyle9"/>
              </w:rPr>
            </w:pPr>
            <w:r>
              <w:rPr>
                <w:rStyle w:val="CharacterStyle9"/>
              </w:rPr>
              <w:t>190.000,00</w:t>
            </w:r>
          </w:p>
        </w:tc>
        <w:tc>
          <w:tcPr>
            <w:tcW w:w="1395" w:type="dxa"/>
            <w:tcBorders>
              <w:bottom w:val="single" w:sz="6" w:space="0" w:color="000000"/>
              <w:right w:val="single" w:sz="6" w:space="0" w:color="000000"/>
            </w:tcBorders>
            <w:vAlign w:val="center"/>
          </w:tcPr>
          <w:p w14:paraId="47F8EC8A"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39751E9"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F2E2113" w14:textId="77777777" w:rsidR="007D706A" w:rsidRDefault="007D706A" w:rsidP="00F70508">
            <w:pPr>
              <w:pStyle w:val="ParagraphStyle9"/>
              <w:rPr>
                <w:rStyle w:val="CharacterStyle9"/>
              </w:rPr>
            </w:pPr>
            <w:r>
              <w:rPr>
                <w:rStyle w:val="CharacterStyle9"/>
              </w:rPr>
              <w:t>0,00</w:t>
            </w:r>
          </w:p>
        </w:tc>
      </w:tr>
      <w:tr w:rsidR="007D706A" w14:paraId="715A321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CE95D2E"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3FA8769E"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3CDB5B1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643984A" w14:textId="77777777" w:rsidR="007D706A" w:rsidRDefault="007D706A" w:rsidP="00F70508">
            <w:pPr>
              <w:pStyle w:val="ParagraphStyle12"/>
              <w:rPr>
                <w:rStyle w:val="CharacterStyle12"/>
              </w:rPr>
            </w:pPr>
            <w:r>
              <w:rPr>
                <w:rStyle w:val="CharacterStyle12"/>
              </w:rPr>
              <w:t>190.000,00</w:t>
            </w:r>
          </w:p>
        </w:tc>
        <w:tc>
          <w:tcPr>
            <w:tcW w:w="1395" w:type="dxa"/>
            <w:tcBorders>
              <w:bottom w:val="single" w:sz="6" w:space="0" w:color="000000"/>
              <w:right w:val="single" w:sz="6" w:space="0" w:color="000000"/>
            </w:tcBorders>
            <w:vAlign w:val="center"/>
          </w:tcPr>
          <w:p w14:paraId="2A363B8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D96926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47BEDB0" w14:textId="77777777" w:rsidR="007D706A" w:rsidRDefault="007D706A" w:rsidP="00F70508">
            <w:pPr>
              <w:pStyle w:val="ParagraphStyle12"/>
              <w:rPr>
                <w:rStyle w:val="CharacterStyle12"/>
              </w:rPr>
            </w:pPr>
            <w:r>
              <w:rPr>
                <w:rStyle w:val="CharacterStyle12"/>
              </w:rPr>
              <w:t>0,00</w:t>
            </w:r>
          </w:p>
        </w:tc>
      </w:tr>
      <w:tr w:rsidR="007D706A" w14:paraId="45D1DC0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C41265A" w14:textId="77777777" w:rsidR="007D706A" w:rsidRDefault="007D706A" w:rsidP="00F70508">
            <w:pPr>
              <w:pStyle w:val="ParagraphStyle10"/>
              <w:rPr>
                <w:rStyle w:val="CharacterStyle10"/>
              </w:rPr>
            </w:pPr>
            <w:r>
              <w:rPr>
                <w:rStyle w:val="CharacterStyle10"/>
              </w:rPr>
              <w:t>45</w:t>
            </w:r>
          </w:p>
        </w:tc>
        <w:tc>
          <w:tcPr>
            <w:tcW w:w="4995" w:type="dxa"/>
            <w:tcBorders>
              <w:bottom w:val="single" w:sz="6" w:space="0" w:color="000000"/>
              <w:right w:val="single" w:sz="6" w:space="0" w:color="000000"/>
            </w:tcBorders>
            <w:vAlign w:val="center"/>
          </w:tcPr>
          <w:p w14:paraId="5A691DF0" w14:textId="77777777" w:rsidR="007D706A" w:rsidRDefault="007D706A" w:rsidP="00F70508">
            <w:pPr>
              <w:pStyle w:val="ParagraphStyle11"/>
              <w:rPr>
                <w:rStyle w:val="CharacterStyle11"/>
              </w:rPr>
            </w:pPr>
            <w:r>
              <w:rPr>
                <w:rStyle w:val="CharacterStyle11"/>
              </w:rPr>
              <w:t>Rashodi za dodatna ulaganja na nefinancijskoj imovini</w:t>
            </w:r>
          </w:p>
        </w:tc>
        <w:tc>
          <w:tcPr>
            <w:tcW w:w="1395" w:type="dxa"/>
            <w:tcBorders>
              <w:bottom w:val="single" w:sz="6" w:space="0" w:color="000000"/>
              <w:right w:val="single" w:sz="6" w:space="0" w:color="000000"/>
            </w:tcBorders>
            <w:vAlign w:val="center"/>
          </w:tcPr>
          <w:p w14:paraId="0DAE78D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95DFB0F" w14:textId="77777777" w:rsidR="007D706A" w:rsidRDefault="007D706A" w:rsidP="00F70508">
            <w:pPr>
              <w:pStyle w:val="ParagraphStyle12"/>
              <w:rPr>
                <w:rStyle w:val="CharacterStyle12"/>
              </w:rPr>
            </w:pPr>
            <w:r>
              <w:rPr>
                <w:rStyle w:val="CharacterStyle12"/>
              </w:rPr>
              <w:t>190.000,00</w:t>
            </w:r>
          </w:p>
        </w:tc>
        <w:tc>
          <w:tcPr>
            <w:tcW w:w="1395" w:type="dxa"/>
            <w:tcBorders>
              <w:bottom w:val="single" w:sz="6" w:space="0" w:color="000000"/>
              <w:right w:val="single" w:sz="6" w:space="0" w:color="000000"/>
            </w:tcBorders>
            <w:vAlign w:val="center"/>
          </w:tcPr>
          <w:p w14:paraId="2575686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434391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27E6413" w14:textId="77777777" w:rsidR="007D706A" w:rsidRDefault="007D706A" w:rsidP="00F70508">
            <w:pPr>
              <w:pStyle w:val="ParagraphStyle12"/>
              <w:rPr>
                <w:rStyle w:val="CharacterStyle12"/>
              </w:rPr>
            </w:pPr>
            <w:r>
              <w:rPr>
                <w:rStyle w:val="CharacterStyle12"/>
              </w:rPr>
              <w:t>0,00</w:t>
            </w:r>
          </w:p>
        </w:tc>
      </w:tr>
      <w:tr w:rsidR="007D706A" w14:paraId="488AEFF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EF3026A" w14:textId="77777777" w:rsidR="007D706A" w:rsidRDefault="007D706A" w:rsidP="00F70508">
            <w:pPr>
              <w:pStyle w:val="ParagraphStyle4"/>
              <w:rPr>
                <w:rStyle w:val="CharacterStyle4"/>
              </w:rPr>
            </w:pPr>
            <w:r>
              <w:rPr>
                <w:rStyle w:val="CharacterStyle4"/>
              </w:rPr>
              <w:t>Kapitalni projekt K101468</w:t>
            </w:r>
          </w:p>
        </w:tc>
        <w:tc>
          <w:tcPr>
            <w:tcW w:w="4995" w:type="dxa"/>
            <w:tcBorders>
              <w:bottom w:val="single" w:sz="6" w:space="0" w:color="000000"/>
              <w:right w:val="single" w:sz="6" w:space="0" w:color="000000"/>
            </w:tcBorders>
            <w:vAlign w:val="center"/>
          </w:tcPr>
          <w:p w14:paraId="6BB06F60" w14:textId="77777777" w:rsidR="007D706A" w:rsidRDefault="007D706A" w:rsidP="00F70508">
            <w:pPr>
              <w:pStyle w:val="ParagraphStyle5"/>
              <w:rPr>
                <w:rStyle w:val="CharacterStyle5"/>
              </w:rPr>
            </w:pPr>
            <w:r>
              <w:rPr>
                <w:rStyle w:val="CharacterStyle5"/>
              </w:rPr>
              <w:t>REKONSTRUKCIJA ULICE G.CARDUCCI</w:t>
            </w:r>
          </w:p>
        </w:tc>
        <w:tc>
          <w:tcPr>
            <w:tcW w:w="1395" w:type="dxa"/>
            <w:tcBorders>
              <w:bottom w:val="single" w:sz="6" w:space="0" w:color="000000"/>
              <w:right w:val="single" w:sz="6" w:space="0" w:color="000000"/>
            </w:tcBorders>
            <w:vAlign w:val="center"/>
          </w:tcPr>
          <w:p w14:paraId="6AADB207"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2493B5FF" w14:textId="77777777" w:rsidR="007D706A" w:rsidRDefault="007D706A" w:rsidP="00F70508">
            <w:pPr>
              <w:pStyle w:val="ParagraphStyle6"/>
              <w:rPr>
                <w:rStyle w:val="CharacterStyle6"/>
              </w:rPr>
            </w:pPr>
            <w:r>
              <w:rPr>
                <w:rStyle w:val="CharacterStyle6"/>
              </w:rPr>
              <w:t>1.125.500,00</w:t>
            </w:r>
          </w:p>
        </w:tc>
        <w:tc>
          <w:tcPr>
            <w:tcW w:w="1395" w:type="dxa"/>
            <w:tcBorders>
              <w:bottom w:val="single" w:sz="6" w:space="0" w:color="000000"/>
              <w:right w:val="single" w:sz="6" w:space="0" w:color="000000"/>
            </w:tcBorders>
            <w:vAlign w:val="center"/>
          </w:tcPr>
          <w:p w14:paraId="51B9D05A" w14:textId="77777777" w:rsidR="007D706A" w:rsidRDefault="007D706A" w:rsidP="00F70508">
            <w:pPr>
              <w:pStyle w:val="ParagraphStyle6"/>
              <w:rPr>
                <w:rStyle w:val="CharacterStyle6"/>
              </w:rPr>
            </w:pPr>
            <w:r>
              <w:rPr>
                <w:rStyle w:val="CharacterStyle6"/>
              </w:rPr>
              <w:t>145.000,00</w:t>
            </w:r>
          </w:p>
        </w:tc>
        <w:tc>
          <w:tcPr>
            <w:tcW w:w="1395" w:type="dxa"/>
            <w:tcBorders>
              <w:bottom w:val="single" w:sz="6" w:space="0" w:color="000000"/>
              <w:right w:val="single" w:sz="6" w:space="0" w:color="000000"/>
            </w:tcBorders>
            <w:vAlign w:val="center"/>
          </w:tcPr>
          <w:p w14:paraId="607AE8EE"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6646E34D" w14:textId="77777777" w:rsidR="007D706A" w:rsidRDefault="007D706A" w:rsidP="00F70508">
            <w:pPr>
              <w:pStyle w:val="ParagraphStyle6"/>
              <w:rPr>
                <w:rStyle w:val="CharacterStyle6"/>
              </w:rPr>
            </w:pPr>
            <w:r>
              <w:rPr>
                <w:rStyle w:val="CharacterStyle6"/>
              </w:rPr>
              <w:t>0,00</w:t>
            </w:r>
          </w:p>
        </w:tc>
      </w:tr>
      <w:tr w:rsidR="007D706A" w14:paraId="51EF546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523CAC4"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19268F5B"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77565AD7"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6E7E091"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89EFB42" w14:textId="77777777" w:rsidR="007D706A" w:rsidRDefault="007D706A" w:rsidP="00F70508">
            <w:pPr>
              <w:pStyle w:val="ParagraphStyle9"/>
              <w:rPr>
                <w:rStyle w:val="CharacterStyle9"/>
              </w:rPr>
            </w:pPr>
            <w:r>
              <w:rPr>
                <w:rStyle w:val="CharacterStyle9"/>
              </w:rPr>
              <w:t>145.000,00</w:t>
            </w:r>
          </w:p>
        </w:tc>
        <w:tc>
          <w:tcPr>
            <w:tcW w:w="1395" w:type="dxa"/>
            <w:tcBorders>
              <w:bottom w:val="single" w:sz="6" w:space="0" w:color="000000"/>
              <w:right w:val="single" w:sz="6" w:space="0" w:color="000000"/>
            </w:tcBorders>
            <w:vAlign w:val="center"/>
          </w:tcPr>
          <w:p w14:paraId="1619F1FD"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C6536AC" w14:textId="77777777" w:rsidR="007D706A" w:rsidRDefault="007D706A" w:rsidP="00F70508">
            <w:pPr>
              <w:pStyle w:val="ParagraphStyle9"/>
              <w:rPr>
                <w:rStyle w:val="CharacterStyle9"/>
              </w:rPr>
            </w:pPr>
            <w:r>
              <w:rPr>
                <w:rStyle w:val="CharacterStyle9"/>
              </w:rPr>
              <w:t>0,00</w:t>
            </w:r>
          </w:p>
        </w:tc>
      </w:tr>
      <w:tr w:rsidR="007D706A" w14:paraId="39BEFE3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586C1D2"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7DC68886"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44708AD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C8A63C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42343DA" w14:textId="77777777" w:rsidR="007D706A" w:rsidRDefault="007D706A" w:rsidP="00F70508">
            <w:pPr>
              <w:pStyle w:val="ParagraphStyle12"/>
              <w:rPr>
                <w:rStyle w:val="CharacterStyle12"/>
              </w:rPr>
            </w:pPr>
            <w:r>
              <w:rPr>
                <w:rStyle w:val="CharacterStyle12"/>
              </w:rPr>
              <w:t>145.000,00</w:t>
            </w:r>
          </w:p>
        </w:tc>
        <w:tc>
          <w:tcPr>
            <w:tcW w:w="1395" w:type="dxa"/>
            <w:tcBorders>
              <w:bottom w:val="single" w:sz="6" w:space="0" w:color="000000"/>
              <w:right w:val="single" w:sz="6" w:space="0" w:color="000000"/>
            </w:tcBorders>
            <w:vAlign w:val="center"/>
          </w:tcPr>
          <w:p w14:paraId="67EEEB9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3D1FC0A" w14:textId="77777777" w:rsidR="007D706A" w:rsidRDefault="007D706A" w:rsidP="00F70508">
            <w:pPr>
              <w:pStyle w:val="ParagraphStyle12"/>
              <w:rPr>
                <w:rStyle w:val="CharacterStyle12"/>
              </w:rPr>
            </w:pPr>
            <w:r>
              <w:rPr>
                <w:rStyle w:val="CharacterStyle12"/>
              </w:rPr>
              <w:t>0,00</w:t>
            </w:r>
          </w:p>
        </w:tc>
      </w:tr>
      <w:tr w:rsidR="007D706A" w14:paraId="6EEEA9B6"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F2AB9F3" w14:textId="77777777" w:rsidR="007D706A" w:rsidRDefault="007D706A" w:rsidP="00F70508">
            <w:pPr>
              <w:pStyle w:val="ParagraphStyle10"/>
              <w:rPr>
                <w:rStyle w:val="CharacterStyle10"/>
              </w:rPr>
            </w:pPr>
            <w:r>
              <w:rPr>
                <w:rStyle w:val="CharacterStyle10"/>
              </w:rPr>
              <w:t>42</w:t>
            </w:r>
          </w:p>
        </w:tc>
        <w:tc>
          <w:tcPr>
            <w:tcW w:w="4995" w:type="dxa"/>
            <w:tcBorders>
              <w:bottom w:val="single" w:sz="6" w:space="0" w:color="000000"/>
              <w:right w:val="single" w:sz="6" w:space="0" w:color="000000"/>
            </w:tcBorders>
            <w:vAlign w:val="center"/>
          </w:tcPr>
          <w:p w14:paraId="552C8DCC"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2948A1F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279D51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6F1EB0A" w14:textId="77777777" w:rsidR="007D706A" w:rsidRDefault="007D706A" w:rsidP="00F70508">
            <w:pPr>
              <w:pStyle w:val="ParagraphStyle12"/>
              <w:rPr>
                <w:rStyle w:val="CharacterStyle12"/>
              </w:rPr>
            </w:pPr>
            <w:r>
              <w:rPr>
                <w:rStyle w:val="CharacterStyle12"/>
              </w:rPr>
              <w:t>145.000,00</w:t>
            </w:r>
          </w:p>
        </w:tc>
        <w:tc>
          <w:tcPr>
            <w:tcW w:w="1395" w:type="dxa"/>
            <w:tcBorders>
              <w:bottom w:val="single" w:sz="6" w:space="0" w:color="000000"/>
              <w:right w:val="single" w:sz="6" w:space="0" w:color="000000"/>
            </w:tcBorders>
            <w:vAlign w:val="center"/>
          </w:tcPr>
          <w:p w14:paraId="39D2C43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5BF1753" w14:textId="77777777" w:rsidR="007D706A" w:rsidRDefault="007D706A" w:rsidP="00F70508">
            <w:pPr>
              <w:pStyle w:val="ParagraphStyle12"/>
              <w:rPr>
                <w:rStyle w:val="CharacterStyle12"/>
              </w:rPr>
            </w:pPr>
            <w:r>
              <w:rPr>
                <w:rStyle w:val="CharacterStyle12"/>
              </w:rPr>
              <w:t>0,00</w:t>
            </w:r>
          </w:p>
        </w:tc>
      </w:tr>
      <w:tr w:rsidR="007D706A" w14:paraId="25962596"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4F18DCC" w14:textId="77777777" w:rsidR="007D706A" w:rsidRDefault="007D706A" w:rsidP="00F70508">
            <w:pPr>
              <w:pStyle w:val="ParagraphStyle7"/>
              <w:rPr>
                <w:rStyle w:val="CharacterStyle7"/>
              </w:rPr>
            </w:pPr>
            <w:r>
              <w:rPr>
                <w:rStyle w:val="CharacterStyle7"/>
              </w:rPr>
              <w:t>Izvor financiranja 41</w:t>
            </w:r>
          </w:p>
        </w:tc>
        <w:tc>
          <w:tcPr>
            <w:tcW w:w="4995" w:type="dxa"/>
            <w:tcBorders>
              <w:bottom w:val="single" w:sz="6" w:space="0" w:color="000000"/>
              <w:right w:val="single" w:sz="6" w:space="0" w:color="000000"/>
            </w:tcBorders>
            <w:vAlign w:val="center"/>
          </w:tcPr>
          <w:p w14:paraId="51D9AD7D" w14:textId="77777777" w:rsidR="007D706A" w:rsidRDefault="007D706A" w:rsidP="00F70508">
            <w:pPr>
              <w:pStyle w:val="ParagraphStyle8"/>
              <w:rPr>
                <w:rStyle w:val="CharacterStyle8"/>
              </w:rPr>
            </w:pPr>
            <w:r>
              <w:rPr>
                <w:rStyle w:val="CharacterStyle8"/>
              </w:rPr>
              <w:t>Prihodi za posebne namjene</w:t>
            </w:r>
          </w:p>
        </w:tc>
        <w:tc>
          <w:tcPr>
            <w:tcW w:w="1395" w:type="dxa"/>
            <w:tcBorders>
              <w:bottom w:val="single" w:sz="6" w:space="0" w:color="000000"/>
              <w:right w:val="single" w:sz="6" w:space="0" w:color="000000"/>
            </w:tcBorders>
            <w:vAlign w:val="center"/>
          </w:tcPr>
          <w:p w14:paraId="26E18135"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4269E34" w14:textId="77777777" w:rsidR="007D706A" w:rsidRDefault="007D706A" w:rsidP="00F70508">
            <w:pPr>
              <w:pStyle w:val="ParagraphStyle9"/>
              <w:rPr>
                <w:rStyle w:val="CharacterStyle9"/>
              </w:rPr>
            </w:pPr>
            <w:r>
              <w:rPr>
                <w:rStyle w:val="CharacterStyle9"/>
              </w:rPr>
              <w:t>200.000,00</w:t>
            </w:r>
          </w:p>
        </w:tc>
        <w:tc>
          <w:tcPr>
            <w:tcW w:w="1395" w:type="dxa"/>
            <w:tcBorders>
              <w:bottom w:val="single" w:sz="6" w:space="0" w:color="000000"/>
              <w:right w:val="single" w:sz="6" w:space="0" w:color="000000"/>
            </w:tcBorders>
            <w:vAlign w:val="center"/>
          </w:tcPr>
          <w:p w14:paraId="48900376"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7E1A626"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6AFE94F" w14:textId="77777777" w:rsidR="007D706A" w:rsidRDefault="007D706A" w:rsidP="00F70508">
            <w:pPr>
              <w:pStyle w:val="ParagraphStyle9"/>
              <w:rPr>
                <w:rStyle w:val="CharacterStyle9"/>
              </w:rPr>
            </w:pPr>
            <w:r>
              <w:rPr>
                <w:rStyle w:val="CharacterStyle9"/>
              </w:rPr>
              <w:t>0,00</w:t>
            </w:r>
          </w:p>
        </w:tc>
      </w:tr>
      <w:tr w:rsidR="007D706A" w14:paraId="747E819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C2CB394"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29F1DE34"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3EE6358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0A03E35" w14:textId="77777777" w:rsidR="007D706A" w:rsidRDefault="007D706A" w:rsidP="00F70508">
            <w:pPr>
              <w:pStyle w:val="ParagraphStyle12"/>
              <w:rPr>
                <w:rStyle w:val="CharacterStyle12"/>
              </w:rPr>
            </w:pPr>
            <w:r>
              <w:rPr>
                <w:rStyle w:val="CharacterStyle12"/>
              </w:rPr>
              <w:t>200.000,00</w:t>
            </w:r>
          </w:p>
        </w:tc>
        <w:tc>
          <w:tcPr>
            <w:tcW w:w="1395" w:type="dxa"/>
            <w:tcBorders>
              <w:bottom w:val="single" w:sz="6" w:space="0" w:color="000000"/>
              <w:right w:val="single" w:sz="6" w:space="0" w:color="000000"/>
            </w:tcBorders>
            <w:vAlign w:val="center"/>
          </w:tcPr>
          <w:p w14:paraId="3E7F39A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1D31FD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B7A78F2" w14:textId="77777777" w:rsidR="007D706A" w:rsidRDefault="007D706A" w:rsidP="00F70508">
            <w:pPr>
              <w:pStyle w:val="ParagraphStyle12"/>
              <w:rPr>
                <w:rStyle w:val="CharacterStyle12"/>
              </w:rPr>
            </w:pPr>
            <w:r>
              <w:rPr>
                <w:rStyle w:val="CharacterStyle12"/>
              </w:rPr>
              <w:t>0,00</w:t>
            </w:r>
          </w:p>
        </w:tc>
      </w:tr>
      <w:tr w:rsidR="007D706A" w14:paraId="6713F806"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43ED8CC" w14:textId="77777777" w:rsidR="007D706A" w:rsidRDefault="007D706A" w:rsidP="00F70508">
            <w:pPr>
              <w:pStyle w:val="ParagraphStyle10"/>
              <w:rPr>
                <w:rStyle w:val="CharacterStyle10"/>
              </w:rPr>
            </w:pPr>
            <w:r>
              <w:rPr>
                <w:rStyle w:val="CharacterStyle10"/>
              </w:rPr>
              <w:t>45</w:t>
            </w:r>
          </w:p>
        </w:tc>
        <w:tc>
          <w:tcPr>
            <w:tcW w:w="4995" w:type="dxa"/>
            <w:tcBorders>
              <w:bottom w:val="single" w:sz="6" w:space="0" w:color="000000"/>
              <w:right w:val="single" w:sz="6" w:space="0" w:color="000000"/>
            </w:tcBorders>
            <w:vAlign w:val="center"/>
          </w:tcPr>
          <w:p w14:paraId="6A0FDAA8" w14:textId="77777777" w:rsidR="007D706A" w:rsidRDefault="007D706A" w:rsidP="00F70508">
            <w:pPr>
              <w:pStyle w:val="ParagraphStyle11"/>
              <w:rPr>
                <w:rStyle w:val="CharacterStyle11"/>
              </w:rPr>
            </w:pPr>
            <w:r>
              <w:rPr>
                <w:rStyle w:val="CharacterStyle11"/>
              </w:rPr>
              <w:t>Rashodi za dodatna ulaganja na nefinancijskoj imovini</w:t>
            </w:r>
          </w:p>
        </w:tc>
        <w:tc>
          <w:tcPr>
            <w:tcW w:w="1395" w:type="dxa"/>
            <w:tcBorders>
              <w:bottom w:val="single" w:sz="6" w:space="0" w:color="000000"/>
              <w:right w:val="single" w:sz="6" w:space="0" w:color="000000"/>
            </w:tcBorders>
            <w:vAlign w:val="center"/>
          </w:tcPr>
          <w:p w14:paraId="7D4442F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ECAA33A" w14:textId="77777777" w:rsidR="007D706A" w:rsidRDefault="007D706A" w:rsidP="00F70508">
            <w:pPr>
              <w:pStyle w:val="ParagraphStyle12"/>
              <w:rPr>
                <w:rStyle w:val="CharacterStyle12"/>
              </w:rPr>
            </w:pPr>
            <w:r>
              <w:rPr>
                <w:rStyle w:val="CharacterStyle12"/>
              </w:rPr>
              <w:t>200.000,00</w:t>
            </w:r>
          </w:p>
        </w:tc>
        <w:tc>
          <w:tcPr>
            <w:tcW w:w="1395" w:type="dxa"/>
            <w:tcBorders>
              <w:bottom w:val="single" w:sz="6" w:space="0" w:color="000000"/>
              <w:right w:val="single" w:sz="6" w:space="0" w:color="000000"/>
            </w:tcBorders>
            <w:vAlign w:val="center"/>
          </w:tcPr>
          <w:p w14:paraId="7EE4AE4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5FEBB3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8607276" w14:textId="77777777" w:rsidR="007D706A" w:rsidRDefault="007D706A" w:rsidP="00F70508">
            <w:pPr>
              <w:pStyle w:val="ParagraphStyle12"/>
              <w:rPr>
                <w:rStyle w:val="CharacterStyle12"/>
              </w:rPr>
            </w:pPr>
            <w:r>
              <w:rPr>
                <w:rStyle w:val="CharacterStyle12"/>
              </w:rPr>
              <w:t>0,00</w:t>
            </w:r>
          </w:p>
        </w:tc>
      </w:tr>
      <w:tr w:rsidR="007D706A" w14:paraId="240FDBE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41EF23F" w14:textId="77777777" w:rsidR="007D706A" w:rsidRDefault="007D706A" w:rsidP="00F70508">
            <w:pPr>
              <w:pStyle w:val="ParagraphStyle7"/>
              <w:rPr>
                <w:rStyle w:val="CharacterStyle7"/>
              </w:rPr>
            </w:pPr>
            <w:r>
              <w:rPr>
                <w:rStyle w:val="CharacterStyle7"/>
              </w:rPr>
              <w:t>Izvor financiranja 82</w:t>
            </w:r>
          </w:p>
        </w:tc>
        <w:tc>
          <w:tcPr>
            <w:tcW w:w="4995" w:type="dxa"/>
            <w:tcBorders>
              <w:bottom w:val="single" w:sz="6" w:space="0" w:color="000000"/>
              <w:right w:val="single" w:sz="6" w:space="0" w:color="000000"/>
            </w:tcBorders>
            <w:vAlign w:val="center"/>
          </w:tcPr>
          <w:p w14:paraId="32401C3A" w14:textId="77777777" w:rsidR="007D706A" w:rsidRDefault="007D706A" w:rsidP="00F70508">
            <w:pPr>
              <w:pStyle w:val="ParagraphStyle8"/>
              <w:rPr>
                <w:rStyle w:val="CharacterStyle8"/>
              </w:rPr>
            </w:pPr>
            <w:r>
              <w:rPr>
                <w:rStyle w:val="CharacterStyle8"/>
              </w:rPr>
              <w:t>Preneseni viškovi iz ranijih godina</w:t>
            </w:r>
          </w:p>
        </w:tc>
        <w:tc>
          <w:tcPr>
            <w:tcW w:w="1395" w:type="dxa"/>
            <w:tcBorders>
              <w:bottom w:val="single" w:sz="6" w:space="0" w:color="000000"/>
              <w:right w:val="single" w:sz="6" w:space="0" w:color="000000"/>
            </w:tcBorders>
            <w:vAlign w:val="center"/>
          </w:tcPr>
          <w:p w14:paraId="60879F88"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E0002AA" w14:textId="77777777" w:rsidR="007D706A" w:rsidRDefault="007D706A" w:rsidP="00F70508">
            <w:pPr>
              <w:pStyle w:val="ParagraphStyle9"/>
              <w:rPr>
                <w:rStyle w:val="CharacterStyle9"/>
              </w:rPr>
            </w:pPr>
            <w:r>
              <w:rPr>
                <w:rStyle w:val="CharacterStyle9"/>
              </w:rPr>
              <w:t>925.500,00</w:t>
            </w:r>
          </w:p>
        </w:tc>
        <w:tc>
          <w:tcPr>
            <w:tcW w:w="1395" w:type="dxa"/>
            <w:tcBorders>
              <w:bottom w:val="single" w:sz="6" w:space="0" w:color="000000"/>
              <w:right w:val="single" w:sz="6" w:space="0" w:color="000000"/>
            </w:tcBorders>
            <w:vAlign w:val="center"/>
          </w:tcPr>
          <w:p w14:paraId="717320ED"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8C316E3"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F51E6CC" w14:textId="77777777" w:rsidR="007D706A" w:rsidRDefault="007D706A" w:rsidP="00F70508">
            <w:pPr>
              <w:pStyle w:val="ParagraphStyle9"/>
              <w:rPr>
                <w:rStyle w:val="CharacterStyle9"/>
              </w:rPr>
            </w:pPr>
            <w:r>
              <w:rPr>
                <w:rStyle w:val="CharacterStyle9"/>
              </w:rPr>
              <w:t>0,00</w:t>
            </w:r>
          </w:p>
        </w:tc>
      </w:tr>
      <w:tr w:rsidR="007D706A" w14:paraId="4693E0B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F7404D0"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70E95582"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4282540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CDEC832" w14:textId="77777777" w:rsidR="007D706A" w:rsidRDefault="007D706A" w:rsidP="00F70508">
            <w:pPr>
              <w:pStyle w:val="ParagraphStyle12"/>
              <w:rPr>
                <w:rStyle w:val="CharacterStyle12"/>
              </w:rPr>
            </w:pPr>
            <w:r>
              <w:rPr>
                <w:rStyle w:val="CharacterStyle12"/>
              </w:rPr>
              <w:t>925.500,00</w:t>
            </w:r>
          </w:p>
        </w:tc>
        <w:tc>
          <w:tcPr>
            <w:tcW w:w="1395" w:type="dxa"/>
            <w:tcBorders>
              <w:bottom w:val="single" w:sz="6" w:space="0" w:color="000000"/>
              <w:right w:val="single" w:sz="6" w:space="0" w:color="000000"/>
            </w:tcBorders>
            <w:vAlign w:val="center"/>
          </w:tcPr>
          <w:p w14:paraId="29B2E15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E7C4CE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1A01D62" w14:textId="77777777" w:rsidR="007D706A" w:rsidRDefault="007D706A" w:rsidP="00F70508">
            <w:pPr>
              <w:pStyle w:val="ParagraphStyle12"/>
              <w:rPr>
                <w:rStyle w:val="CharacterStyle12"/>
              </w:rPr>
            </w:pPr>
            <w:r>
              <w:rPr>
                <w:rStyle w:val="CharacterStyle12"/>
              </w:rPr>
              <w:t>0,00</w:t>
            </w:r>
          </w:p>
        </w:tc>
      </w:tr>
      <w:tr w:rsidR="007D706A" w14:paraId="1C92D9F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21FA099" w14:textId="77777777" w:rsidR="007D706A" w:rsidRDefault="007D706A" w:rsidP="00F70508">
            <w:pPr>
              <w:pStyle w:val="ParagraphStyle10"/>
              <w:rPr>
                <w:rStyle w:val="CharacterStyle10"/>
              </w:rPr>
            </w:pPr>
            <w:r>
              <w:rPr>
                <w:rStyle w:val="CharacterStyle10"/>
              </w:rPr>
              <w:t>45</w:t>
            </w:r>
          </w:p>
        </w:tc>
        <w:tc>
          <w:tcPr>
            <w:tcW w:w="4995" w:type="dxa"/>
            <w:tcBorders>
              <w:bottom w:val="single" w:sz="6" w:space="0" w:color="000000"/>
              <w:right w:val="single" w:sz="6" w:space="0" w:color="000000"/>
            </w:tcBorders>
            <w:vAlign w:val="center"/>
          </w:tcPr>
          <w:p w14:paraId="0260CD33" w14:textId="77777777" w:rsidR="007D706A" w:rsidRDefault="007D706A" w:rsidP="00F70508">
            <w:pPr>
              <w:pStyle w:val="ParagraphStyle11"/>
              <w:rPr>
                <w:rStyle w:val="CharacterStyle11"/>
              </w:rPr>
            </w:pPr>
            <w:r>
              <w:rPr>
                <w:rStyle w:val="CharacterStyle11"/>
              </w:rPr>
              <w:t>Rashodi za dodatna ulaganja na nefinancijskoj imovini</w:t>
            </w:r>
          </w:p>
        </w:tc>
        <w:tc>
          <w:tcPr>
            <w:tcW w:w="1395" w:type="dxa"/>
            <w:tcBorders>
              <w:bottom w:val="single" w:sz="6" w:space="0" w:color="000000"/>
              <w:right w:val="single" w:sz="6" w:space="0" w:color="000000"/>
            </w:tcBorders>
            <w:vAlign w:val="center"/>
          </w:tcPr>
          <w:p w14:paraId="56ACD92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01436F1" w14:textId="77777777" w:rsidR="007D706A" w:rsidRDefault="007D706A" w:rsidP="00F70508">
            <w:pPr>
              <w:pStyle w:val="ParagraphStyle12"/>
              <w:rPr>
                <w:rStyle w:val="CharacterStyle12"/>
              </w:rPr>
            </w:pPr>
            <w:r>
              <w:rPr>
                <w:rStyle w:val="CharacterStyle12"/>
              </w:rPr>
              <w:t>925.500,00</w:t>
            </w:r>
          </w:p>
        </w:tc>
        <w:tc>
          <w:tcPr>
            <w:tcW w:w="1395" w:type="dxa"/>
            <w:tcBorders>
              <w:bottom w:val="single" w:sz="6" w:space="0" w:color="000000"/>
              <w:right w:val="single" w:sz="6" w:space="0" w:color="000000"/>
            </w:tcBorders>
            <w:vAlign w:val="center"/>
          </w:tcPr>
          <w:p w14:paraId="628C90B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599B70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50F072B" w14:textId="77777777" w:rsidR="007D706A" w:rsidRDefault="007D706A" w:rsidP="00F70508">
            <w:pPr>
              <w:pStyle w:val="ParagraphStyle12"/>
              <w:rPr>
                <w:rStyle w:val="CharacterStyle12"/>
              </w:rPr>
            </w:pPr>
            <w:r>
              <w:rPr>
                <w:rStyle w:val="CharacterStyle12"/>
              </w:rPr>
              <w:t>0,00</w:t>
            </w:r>
          </w:p>
        </w:tc>
      </w:tr>
      <w:tr w:rsidR="007D706A" w14:paraId="5BDC619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8C15876" w14:textId="77777777" w:rsidR="007D706A" w:rsidRDefault="007D706A" w:rsidP="00F70508">
            <w:pPr>
              <w:pStyle w:val="ParagraphStyle4"/>
              <w:rPr>
                <w:rStyle w:val="CharacterStyle4"/>
              </w:rPr>
            </w:pPr>
            <w:r>
              <w:rPr>
                <w:rStyle w:val="CharacterStyle4"/>
              </w:rPr>
              <w:t>Kapitalni projekt K101470</w:t>
            </w:r>
          </w:p>
        </w:tc>
        <w:tc>
          <w:tcPr>
            <w:tcW w:w="4995" w:type="dxa"/>
            <w:tcBorders>
              <w:bottom w:val="single" w:sz="6" w:space="0" w:color="000000"/>
              <w:right w:val="single" w:sz="6" w:space="0" w:color="000000"/>
            </w:tcBorders>
            <w:vAlign w:val="center"/>
          </w:tcPr>
          <w:p w14:paraId="3C6B7E62" w14:textId="77777777" w:rsidR="007D706A" w:rsidRDefault="007D706A" w:rsidP="00F70508">
            <w:pPr>
              <w:pStyle w:val="ParagraphStyle5"/>
              <w:rPr>
                <w:rStyle w:val="CharacterStyle5"/>
              </w:rPr>
            </w:pPr>
            <w:r>
              <w:rPr>
                <w:rStyle w:val="CharacterStyle5"/>
              </w:rPr>
              <w:t>SPOMEN OBILJEŽJE HRVATSKIM BRANITELJIMA</w:t>
            </w:r>
          </w:p>
        </w:tc>
        <w:tc>
          <w:tcPr>
            <w:tcW w:w="1395" w:type="dxa"/>
            <w:tcBorders>
              <w:bottom w:val="single" w:sz="6" w:space="0" w:color="000000"/>
              <w:right w:val="single" w:sz="6" w:space="0" w:color="000000"/>
            </w:tcBorders>
            <w:vAlign w:val="center"/>
          </w:tcPr>
          <w:p w14:paraId="02DC5570"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59C66960" w14:textId="77777777" w:rsidR="007D706A" w:rsidRDefault="007D706A" w:rsidP="00F70508">
            <w:pPr>
              <w:pStyle w:val="ParagraphStyle6"/>
              <w:rPr>
                <w:rStyle w:val="CharacterStyle6"/>
              </w:rPr>
            </w:pPr>
            <w:r>
              <w:rPr>
                <w:rStyle w:val="CharacterStyle6"/>
              </w:rPr>
              <w:t>1.030.000,00</w:t>
            </w:r>
          </w:p>
        </w:tc>
        <w:tc>
          <w:tcPr>
            <w:tcW w:w="1395" w:type="dxa"/>
            <w:tcBorders>
              <w:bottom w:val="single" w:sz="6" w:space="0" w:color="000000"/>
              <w:right w:val="single" w:sz="6" w:space="0" w:color="000000"/>
            </w:tcBorders>
            <w:vAlign w:val="center"/>
          </w:tcPr>
          <w:p w14:paraId="2BC570DA"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50873808"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6E7D66C4" w14:textId="77777777" w:rsidR="007D706A" w:rsidRDefault="007D706A" w:rsidP="00F70508">
            <w:pPr>
              <w:pStyle w:val="ParagraphStyle6"/>
              <w:rPr>
                <w:rStyle w:val="CharacterStyle6"/>
              </w:rPr>
            </w:pPr>
            <w:r>
              <w:rPr>
                <w:rStyle w:val="CharacterStyle6"/>
              </w:rPr>
              <w:t>0,00</w:t>
            </w:r>
          </w:p>
        </w:tc>
      </w:tr>
      <w:tr w:rsidR="007D706A" w14:paraId="12DD2BB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097D4F6" w14:textId="77777777" w:rsidR="007D706A" w:rsidRDefault="007D706A" w:rsidP="00F70508">
            <w:pPr>
              <w:pStyle w:val="ParagraphStyle7"/>
              <w:rPr>
                <w:rStyle w:val="CharacterStyle7"/>
              </w:rPr>
            </w:pPr>
            <w:r>
              <w:rPr>
                <w:rStyle w:val="CharacterStyle7"/>
              </w:rPr>
              <w:t>Izvor financiranja 82</w:t>
            </w:r>
          </w:p>
        </w:tc>
        <w:tc>
          <w:tcPr>
            <w:tcW w:w="4995" w:type="dxa"/>
            <w:tcBorders>
              <w:bottom w:val="single" w:sz="6" w:space="0" w:color="000000"/>
              <w:right w:val="single" w:sz="6" w:space="0" w:color="000000"/>
            </w:tcBorders>
            <w:vAlign w:val="center"/>
          </w:tcPr>
          <w:p w14:paraId="4BD1C0AD" w14:textId="77777777" w:rsidR="007D706A" w:rsidRDefault="007D706A" w:rsidP="00F70508">
            <w:pPr>
              <w:pStyle w:val="ParagraphStyle8"/>
              <w:rPr>
                <w:rStyle w:val="CharacterStyle8"/>
              </w:rPr>
            </w:pPr>
            <w:r>
              <w:rPr>
                <w:rStyle w:val="CharacterStyle8"/>
              </w:rPr>
              <w:t>Preneseni viškovi iz ranijih godina</w:t>
            </w:r>
          </w:p>
        </w:tc>
        <w:tc>
          <w:tcPr>
            <w:tcW w:w="1395" w:type="dxa"/>
            <w:tcBorders>
              <w:bottom w:val="single" w:sz="6" w:space="0" w:color="000000"/>
              <w:right w:val="single" w:sz="6" w:space="0" w:color="000000"/>
            </w:tcBorders>
            <w:vAlign w:val="center"/>
          </w:tcPr>
          <w:p w14:paraId="48D9887C"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C55DC81" w14:textId="77777777" w:rsidR="007D706A" w:rsidRDefault="007D706A" w:rsidP="00F70508">
            <w:pPr>
              <w:pStyle w:val="ParagraphStyle9"/>
              <w:rPr>
                <w:rStyle w:val="CharacterStyle9"/>
              </w:rPr>
            </w:pPr>
            <w:r>
              <w:rPr>
                <w:rStyle w:val="CharacterStyle9"/>
              </w:rPr>
              <w:t>1.030.000,00</w:t>
            </w:r>
          </w:p>
        </w:tc>
        <w:tc>
          <w:tcPr>
            <w:tcW w:w="1395" w:type="dxa"/>
            <w:tcBorders>
              <w:bottom w:val="single" w:sz="6" w:space="0" w:color="000000"/>
              <w:right w:val="single" w:sz="6" w:space="0" w:color="000000"/>
            </w:tcBorders>
            <w:vAlign w:val="center"/>
          </w:tcPr>
          <w:p w14:paraId="64F92A6F"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5DDE1E7"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C30453D" w14:textId="77777777" w:rsidR="007D706A" w:rsidRDefault="007D706A" w:rsidP="00F70508">
            <w:pPr>
              <w:pStyle w:val="ParagraphStyle9"/>
              <w:rPr>
                <w:rStyle w:val="CharacterStyle9"/>
              </w:rPr>
            </w:pPr>
            <w:r>
              <w:rPr>
                <w:rStyle w:val="CharacterStyle9"/>
              </w:rPr>
              <w:t>0,00</w:t>
            </w:r>
          </w:p>
        </w:tc>
      </w:tr>
      <w:tr w:rsidR="007D706A" w14:paraId="0FD459D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9E2334A"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05D67FBE"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10EF580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911646E" w14:textId="77777777" w:rsidR="007D706A" w:rsidRDefault="007D706A" w:rsidP="00F70508">
            <w:pPr>
              <w:pStyle w:val="ParagraphStyle12"/>
              <w:rPr>
                <w:rStyle w:val="CharacterStyle12"/>
              </w:rPr>
            </w:pPr>
            <w:r>
              <w:rPr>
                <w:rStyle w:val="CharacterStyle12"/>
              </w:rPr>
              <w:t>1.030.000,00</w:t>
            </w:r>
          </w:p>
        </w:tc>
        <w:tc>
          <w:tcPr>
            <w:tcW w:w="1395" w:type="dxa"/>
            <w:tcBorders>
              <w:bottom w:val="single" w:sz="6" w:space="0" w:color="000000"/>
              <w:right w:val="single" w:sz="6" w:space="0" w:color="000000"/>
            </w:tcBorders>
            <w:vAlign w:val="center"/>
          </w:tcPr>
          <w:p w14:paraId="3B469FE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F71803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0509E43" w14:textId="77777777" w:rsidR="007D706A" w:rsidRDefault="007D706A" w:rsidP="00F70508">
            <w:pPr>
              <w:pStyle w:val="ParagraphStyle12"/>
              <w:rPr>
                <w:rStyle w:val="CharacterStyle12"/>
              </w:rPr>
            </w:pPr>
            <w:r>
              <w:rPr>
                <w:rStyle w:val="CharacterStyle12"/>
              </w:rPr>
              <w:t>0,00</w:t>
            </w:r>
          </w:p>
        </w:tc>
      </w:tr>
      <w:tr w:rsidR="007D706A" w14:paraId="40F9D71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0875D5A" w14:textId="77777777" w:rsidR="007D706A" w:rsidRDefault="007D706A" w:rsidP="00F70508">
            <w:pPr>
              <w:pStyle w:val="ParagraphStyle10"/>
              <w:rPr>
                <w:rStyle w:val="CharacterStyle10"/>
              </w:rPr>
            </w:pPr>
            <w:r>
              <w:rPr>
                <w:rStyle w:val="CharacterStyle10"/>
              </w:rPr>
              <w:t>45</w:t>
            </w:r>
          </w:p>
        </w:tc>
        <w:tc>
          <w:tcPr>
            <w:tcW w:w="4995" w:type="dxa"/>
            <w:tcBorders>
              <w:bottom w:val="single" w:sz="6" w:space="0" w:color="000000"/>
              <w:right w:val="single" w:sz="6" w:space="0" w:color="000000"/>
            </w:tcBorders>
            <w:vAlign w:val="center"/>
          </w:tcPr>
          <w:p w14:paraId="44153424" w14:textId="77777777" w:rsidR="007D706A" w:rsidRDefault="007D706A" w:rsidP="00F70508">
            <w:pPr>
              <w:pStyle w:val="ParagraphStyle11"/>
              <w:rPr>
                <w:rStyle w:val="CharacterStyle11"/>
              </w:rPr>
            </w:pPr>
            <w:r>
              <w:rPr>
                <w:rStyle w:val="CharacterStyle11"/>
              </w:rPr>
              <w:t>Rashodi za dodatna ulaganja na nefinancijskoj imovini</w:t>
            </w:r>
          </w:p>
        </w:tc>
        <w:tc>
          <w:tcPr>
            <w:tcW w:w="1395" w:type="dxa"/>
            <w:tcBorders>
              <w:bottom w:val="single" w:sz="6" w:space="0" w:color="000000"/>
              <w:right w:val="single" w:sz="6" w:space="0" w:color="000000"/>
            </w:tcBorders>
            <w:vAlign w:val="center"/>
          </w:tcPr>
          <w:p w14:paraId="7C7E18E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C8D3460" w14:textId="77777777" w:rsidR="007D706A" w:rsidRDefault="007D706A" w:rsidP="00F70508">
            <w:pPr>
              <w:pStyle w:val="ParagraphStyle12"/>
              <w:rPr>
                <w:rStyle w:val="CharacterStyle12"/>
              </w:rPr>
            </w:pPr>
            <w:r>
              <w:rPr>
                <w:rStyle w:val="CharacterStyle12"/>
              </w:rPr>
              <w:t>1.030.000,00</w:t>
            </w:r>
          </w:p>
        </w:tc>
        <w:tc>
          <w:tcPr>
            <w:tcW w:w="1395" w:type="dxa"/>
            <w:tcBorders>
              <w:bottom w:val="single" w:sz="6" w:space="0" w:color="000000"/>
              <w:right w:val="single" w:sz="6" w:space="0" w:color="000000"/>
            </w:tcBorders>
            <w:vAlign w:val="center"/>
          </w:tcPr>
          <w:p w14:paraId="201F090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1AA870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60AA21B" w14:textId="77777777" w:rsidR="007D706A" w:rsidRDefault="007D706A" w:rsidP="00F70508">
            <w:pPr>
              <w:pStyle w:val="ParagraphStyle12"/>
              <w:rPr>
                <w:rStyle w:val="CharacterStyle12"/>
              </w:rPr>
            </w:pPr>
            <w:r>
              <w:rPr>
                <w:rStyle w:val="CharacterStyle12"/>
              </w:rPr>
              <w:t>0,00</w:t>
            </w:r>
          </w:p>
        </w:tc>
      </w:tr>
      <w:tr w:rsidR="007D706A" w14:paraId="091B528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BBDCC7F" w14:textId="77777777" w:rsidR="007D706A" w:rsidRDefault="007D706A" w:rsidP="00F70508">
            <w:pPr>
              <w:pStyle w:val="ParagraphStyle4"/>
              <w:rPr>
                <w:rStyle w:val="CharacterStyle4"/>
              </w:rPr>
            </w:pPr>
            <w:r>
              <w:rPr>
                <w:rStyle w:val="CharacterStyle4"/>
              </w:rPr>
              <w:t>Kapitalni projekt K101472</w:t>
            </w:r>
          </w:p>
        </w:tc>
        <w:tc>
          <w:tcPr>
            <w:tcW w:w="4995" w:type="dxa"/>
            <w:tcBorders>
              <w:bottom w:val="single" w:sz="6" w:space="0" w:color="000000"/>
              <w:right w:val="single" w:sz="6" w:space="0" w:color="000000"/>
            </w:tcBorders>
            <w:vAlign w:val="center"/>
          </w:tcPr>
          <w:p w14:paraId="4B5B0BFD" w14:textId="77777777" w:rsidR="007D706A" w:rsidRDefault="007D706A" w:rsidP="00F70508">
            <w:pPr>
              <w:pStyle w:val="ParagraphStyle5"/>
              <w:rPr>
                <w:rStyle w:val="CharacterStyle5"/>
              </w:rPr>
            </w:pPr>
            <w:r>
              <w:rPr>
                <w:rStyle w:val="CharacterStyle5"/>
              </w:rPr>
              <w:t>REKONSTRUKCIJA GRAĐEVINE "ŠKVER"</w:t>
            </w:r>
          </w:p>
        </w:tc>
        <w:tc>
          <w:tcPr>
            <w:tcW w:w="1395" w:type="dxa"/>
            <w:tcBorders>
              <w:bottom w:val="single" w:sz="6" w:space="0" w:color="000000"/>
              <w:right w:val="single" w:sz="6" w:space="0" w:color="000000"/>
            </w:tcBorders>
            <w:vAlign w:val="center"/>
          </w:tcPr>
          <w:p w14:paraId="7EE7B94E"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1ABCE1B8" w14:textId="77777777" w:rsidR="007D706A" w:rsidRDefault="007D706A" w:rsidP="00F70508">
            <w:pPr>
              <w:pStyle w:val="ParagraphStyle6"/>
              <w:rPr>
                <w:rStyle w:val="CharacterStyle6"/>
              </w:rPr>
            </w:pPr>
            <w:r>
              <w:rPr>
                <w:rStyle w:val="CharacterStyle6"/>
              </w:rPr>
              <w:t>120.000,00</w:t>
            </w:r>
          </w:p>
        </w:tc>
        <w:tc>
          <w:tcPr>
            <w:tcW w:w="1395" w:type="dxa"/>
            <w:tcBorders>
              <w:bottom w:val="single" w:sz="6" w:space="0" w:color="000000"/>
              <w:right w:val="single" w:sz="6" w:space="0" w:color="000000"/>
            </w:tcBorders>
            <w:vAlign w:val="center"/>
          </w:tcPr>
          <w:p w14:paraId="5B2C1766" w14:textId="77777777" w:rsidR="007D706A" w:rsidRDefault="007D706A" w:rsidP="00F70508">
            <w:pPr>
              <w:pStyle w:val="ParagraphStyle6"/>
              <w:rPr>
                <w:rStyle w:val="CharacterStyle6"/>
              </w:rPr>
            </w:pPr>
            <w:r>
              <w:rPr>
                <w:rStyle w:val="CharacterStyle6"/>
              </w:rPr>
              <w:t>245.500,00</w:t>
            </w:r>
          </w:p>
        </w:tc>
        <w:tc>
          <w:tcPr>
            <w:tcW w:w="1395" w:type="dxa"/>
            <w:tcBorders>
              <w:bottom w:val="single" w:sz="6" w:space="0" w:color="000000"/>
              <w:right w:val="single" w:sz="6" w:space="0" w:color="000000"/>
            </w:tcBorders>
            <w:vAlign w:val="center"/>
          </w:tcPr>
          <w:p w14:paraId="458A8FCD" w14:textId="77777777" w:rsidR="007D706A" w:rsidRDefault="007D706A" w:rsidP="00F70508">
            <w:pPr>
              <w:pStyle w:val="ParagraphStyle6"/>
              <w:rPr>
                <w:rStyle w:val="CharacterStyle6"/>
              </w:rPr>
            </w:pPr>
            <w:r>
              <w:rPr>
                <w:rStyle w:val="CharacterStyle6"/>
              </w:rPr>
              <w:t>21.000,00</w:t>
            </w:r>
          </w:p>
        </w:tc>
        <w:tc>
          <w:tcPr>
            <w:tcW w:w="1395" w:type="dxa"/>
            <w:tcBorders>
              <w:bottom w:val="single" w:sz="6" w:space="0" w:color="000000"/>
              <w:right w:val="single" w:sz="6" w:space="0" w:color="000000"/>
            </w:tcBorders>
            <w:vAlign w:val="center"/>
          </w:tcPr>
          <w:p w14:paraId="6FBB8CF4" w14:textId="77777777" w:rsidR="007D706A" w:rsidRDefault="007D706A" w:rsidP="00F70508">
            <w:pPr>
              <w:pStyle w:val="ParagraphStyle6"/>
              <w:rPr>
                <w:rStyle w:val="CharacterStyle6"/>
              </w:rPr>
            </w:pPr>
            <w:r>
              <w:rPr>
                <w:rStyle w:val="CharacterStyle6"/>
              </w:rPr>
              <w:t>0,00</w:t>
            </w:r>
          </w:p>
        </w:tc>
      </w:tr>
      <w:tr w:rsidR="007D706A" w14:paraId="7B46C26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83A7988"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76554AD8"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412524CC"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9018857"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AD85077" w14:textId="77777777" w:rsidR="007D706A" w:rsidRDefault="007D706A" w:rsidP="00F70508">
            <w:pPr>
              <w:pStyle w:val="ParagraphStyle9"/>
              <w:rPr>
                <w:rStyle w:val="CharacterStyle9"/>
              </w:rPr>
            </w:pPr>
            <w:r>
              <w:rPr>
                <w:rStyle w:val="CharacterStyle9"/>
              </w:rPr>
              <w:t>245.500,00</w:t>
            </w:r>
          </w:p>
        </w:tc>
        <w:tc>
          <w:tcPr>
            <w:tcW w:w="1395" w:type="dxa"/>
            <w:tcBorders>
              <w:bottom w:val="single" w:sz="6" w:space="0" w:color="000000"/>
              <w:right w:val="single" w:sz="6" w:space="0" w:color="000000"/>
            </w:tcBorders>
            <w:vAlign w:val="center"/>
          </w:tcPr>
          <w:p w14:paraId="3793BD6C"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9D6AA0F" w14:textId="77777777" w:rsidR="007D706A" w:rsidRDefault="007D706A" w:rsidP="00F70508">
            <w:pPr>
              <w:pStyle w:val="ParagraphStyle9"/>
              <w:rPr>
                <w:rStyle w:val="CharacterStyle9"/>
              </w:rPr>
            </w:pPr>
            <w:r>
              <w:rPr>
                <w:rStyle w:val="CharacterStyle9"/>
              </w:rPr>
              <w:t>0,00</w:t>
            </w:r>
          </w:p>
        </w:tc>
      </w:tr>
      <w:tr w:rsidR="007D706A" w14:paraId="5C4F281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49D227D"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7B41086C"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08ED107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99DA18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F4AEBB8" w14:textId="77777777" w:rsidR="007D706A" w:rsidRDefault="007D706A" w:rsidP="00F70508">
            <w:pPr>
              <w:pStyle w:val="ParagraphStyle12"/>
              <w:rPr>
                <w:rStyle w:val="CharacterStyle12"/>
              </w:rPr>
            </w:pPr>
            <w:r>
              <w:rPr>
                <w:rStyle w:val="CharacterStyle12"/>
              </w:rPr>
              <w:t>245.500,00</w:t>
            </w:r>
          </w:p>
        </w:tc>
        <w:tc>
          <w:tcPr>
            <w:tcW w:w="1395" w:type="dxa"/>
            <w:tcBorders>
              <w:bottom w:val="single" w:sz="6" w:space="0" w:color="000000"/>
              <w:right w:val="single" w:sz="6" w:space="0" w:color="000000"/>
            </w:tcBorders>
            <w:vAlign w:val="center"/>
          </w:tcPr>
          <w:p w14:paraId="7841E1B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27CE44D" w14:textId="77777777" w:rsidR="007D706A" w:rsidRDefault="007D706A" w:rsidP="00F70508">
            <w:pPr>
              <w:pStyle w:val="ParagraphStyle12"/>
              <w:rPr>
                <w:rStyle w:val="CharacterStyle12"/>
              </w:rPr>
            </w:pPr>
            <w:r>
              <w:rPr>
                <w:rStyle w:val="CharacterStyle12"/>
              </w:rPr>
              <w:t>0,00</w:t>
            </w:r>
          </w:p>
        </w:tc>
      </w:tr>
      <w:tr w:rsidR="007D706A" w14:paraId="6E0FDCB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3C15364" w14:textId="77777777" w:rsidR="007D706A" w:rsidRDefault="007D706A" w:rsidP="00F70508">
            <w:pPr>
              <w:pStyle w:val="ParagraphStyle10"/>
              <w:rPr>
                <w:rStyle w:val="CharacterStyle10"/>
              </w:rPr>
            </w:pPr>
            <w:r>
              <w:rPr>
                <w:rStyle w:val="CharacterStyle10"/>
              </w:rPr>
              <w:lastRenderedPageBreak/>
              <w:t>45</w:t>
            </w:r>
          </w:p>
        </w:tc>
        <w:tc>
          <w:tcPr>
            <w:tcW w:w="4995" w:type="dxa"/>
            <w:tcBorders>
              <w:bottom w:val="single" w:sz="6" w:space="0" w:color="000000"/>
              <w:right w:val="single" w:sz="6" w:space="0" w:color="000000"/>
            </w:tcBorders>
            <w:vAlign w:val="center"/>
          </w:tcPr>
          <w:p w14:paraId="0AA91227" w14:textId="77777777" w:rsidR="007D706A" w:rsidRDefault="007D706A" w:rsidP="00F70508">
            <w:pPr>
              <w:pStyle w:val="ParagraphStyle11"/>
              <w:rPr>
                <w:rStyle w:val="CharacterStyle11"/>
              </w:rPr>
            </w:pPr>
            <w:r>
              <w:rPr>
                <w:rStyle w:val="CharacterStyle11"/>
              </w:rPr>
              <w:t>Rashodi za dodatna ulaganja na nefinancijskoj imovini</w:t>
            </w:r>
          </w:p>
        </w:tc>
        <w:tc>
          <w:tcPr>
            <w:tcW w:w="1395" w:type="dxa"/>
            <w:tcBorders>
              <w:bottom w:val="single" w:sz="6" w:space="0" w:color="000000"/>
              <w:right w:val="single" w:sz="6" w:space="0" w:color="000000"/>
            </w:tcBorders>
            <w:vAlign w:val="center"/>
          </w:tcPr>
          <w:p w14:paraId="132A081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E84E40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B2C7E37" w14:textId="77777777" w:rsidR="007D706A" w:rsidRDefault="007D706A" w:rsidP="00F70508">
            <w:pPr>
              <w:pStyle w:val="ParagraphStyle12"/>
              <w:rPr>
                <w:rStyle w:val="CharacterStyle12"/>
              </w:rPr>
            </w:pPr>
            <w:r>
              <w:rPr>
                <w:rStyle w:val="CharacterStyle12"/>
              </w:rPr>
              <w:t>245.500,00</w:t>
            </w:r>
          </w:p>
        </w:tc>
        <w:tc>
          <w:tcPr>
            <w:tcW w:w="1395" w:type="dxa"/>
            <w:tcBorders>
              <w:bottom w:val="single" w:sz="6" w:space="0" w:color="000000"/>
              <w:right w:val="single" w:sz="6" w:space="0" w:color="000000"/>
            </w:tcBorders>
            <w:vAlign w:val="center"/>
          </w:tcPr>
          <w:p w14:paraId="54F2DB1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3CD179F" w14:textId="77777777" w:rsidR="007D706A" w:rsidRDefault="007D706A" w:rsidP="00F70508">
            <w:pPr>
              <w:pStyle w:val="ParagraphStyle12"/>
              <w:rPr>
                <w:rStyle w:val="CharacterStyle12"/>
              </w:rPr>
            </w:pPr>
            <w:r>
              <w:rPr>
                <w:rStyle w:val="CharacterStyle12"/>
              </w:rPr>
              <w:t>0,00</w:t>
            </w:r>
          </w:p>
        </w:tc>
      </w:tr>
      <w:tr w:rsidR="007D706A" w14:paraId="54AC5AA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1925966" w14:textId="77777777" w:rsidR="007D706A" w:rsidRDefault="007D706A" w:rsidP="00F70508">
            <w:pPr>
              <w:pStyle w:val="ParagraphStyle7"/>
              <w:rPr>
                <w:rStyle w:val="CharacterStyle7"/>
              </w:rPr>
            </w:pPr>
            <w:r>
              <w:rPr>
                <w:rStyle w:val="CharacterStyle7"/>
              </w:rPr>
              <w:t>Izvor financiranja 41</w:t>
            </w:r>
          </w:p>
        </w:tc>
        <w:tc>
          <w:tcPr>
            <w:tcW w:w="4995" w:type="dxa"/>
            <w:tcBorders>
              <w:bottom w:val="single" w:sz="6" w:space="0" w:color="000000"/>
              <w:right w:val="single" w:sz="6" w:space="0" w:color="000000"/>
            </w:tcBorders>
            <w:vAlign w:val="center"/>
          </w:tcPr>
          <w:p w14:paraId="167C9BDD" w14:textId="77777777" w:rsidR="007D706A" w:rsidRDefault="007D706A" w:rsidP="00F70508">
            <w:pPr>
              <w:pStyle w:val="ParagraphStyle8"/>
              <w:rPr>
                <w:rStyle w:val="CharacterStyle8"/>
              </w:rPr>
            </w:pPr>
            <w:r>
              <w:rPr>
                <w:rStyle w:val="CharacterStyle8"/>
              </w:rPr>
              <w:t>Prihodi za posebne namjene</w:t>
            </w:r>
          </w:p>
        </w:tc>
        <w:tc>
          <w:tcPr>
            <w:tcW w:w="1395" w:type="dxa"/>
            <w:tcBorders>
              <w:bottom w:val="single" w:sz="6" w:space="0" w:color="000000"/>
              <w:right w:val="single" w:sz="6" w:space="0" w:color="000000"/>
            </w:tcBorders>
            <w:vAlign w:val="center"/>
          </w:tcPr>
          <w:p w14:paraId="45741FDD"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2F72C11" w14:textId="77777777" w:rsidR="007D706A" w:rsidRDefault="007D706A" w:rsidP="00F70508">
            <w:pPr>
              <w:pStyle w:val="ParagraphStyle9"/>
              <w:rPr>
                <w:rStyle w:val="CharacterStyle9"/>
              </w:rPr>
            </w:pPr>
            <w:r>
              <w:rPr>
                <w:rStyle w:val="CharacterStyle9"/>
              </w:rPr>
              <w:t>35.000,00</w:t>
            </w:r>
          </w:p>
        </w:tc>
        <w:tc>
          <w:tcPr>
            <w:tcW w:w="1395" w:type="dxa"/>
            <w:tcBorders>
              <w:bottom w:val="single" w:sz="6" w:space="0" w:color="000000"/>
              <w:right w:val="single" w:sz="6" w:space="0" w:color="000000"/>
            </w:tcBorders>
            <w:vAlign w:val="center"/>
          </w:tcPr>
          <w:p w14:paraId="2F62464B"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82F74F9"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FA76A77" w14:textId="77777777" w:rsidR="007D706A" w:rsidRDefault="007D706A" w:rsidP="00F70508">
            <w:pPr>
              <w:pStyle w:val="ParagraphStyle9"/>
              <w:rPr>
                <w:rStyle w:val="CharacterStyle9"/>
              </w:rPr>
            </w:pPr>
            <w:r>
              <w:rPr>
                <w:rStyle w:val="CharacterStyle9"/>
              </w:rPr>
              <w:t>0,00</w:t>
            </w:r>
          </w:p>
        </w:tc>
      </w:tr>
      <w:tr w:rsidR="007D706A" w14:paraId="33F1C51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31EA995"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7A5CAF10"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50B4F56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937E668" w14:textId="77777777" w:rsidR="007D706A" w:rsidRDefault="007D706A" w:rsidP="00F70508">
            <w:pPr>
              <w:pStyle w:val="ParagraphStyle12"/>
              <w:rPr>
                <w:rStyle w:val="CharacterStyle12"/>
              </w:rPr>
            </w:pPr>
            <w:r>
              <w:rPr>
                <w:rStyle w:val="CharacterStyle12"/>
              </w:rPr>
              <w:t>35.000,00</w:t>
            </w:r>
          </w:p>
        </w:tc>
        <w:tc>
          <w:tcPr>
            <w:tcW w:w="1395" w:type="dxa"/>
            <w:tcBorders>
              <w:bottom w:val="single" w:sz="6" w:space="0" w:color="000000"/>
              <w:right w:val="single" w:sz="6" w:space="0" w:color="000000"/>
            </w:tcBorders>
            <w:vAlign w:val="center"/>
          </w:tcPr>
          <w:p w14:paraId="008F0A2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A8498D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BE82575" w14:textId="77777777" w:rsidR="007D706A" w:rsidRDefault="007D706A" w:rsidP="00F70508">
            <w:pPr>
              <w:pStyle w:val="ParagraphStyle12"/>
              <w:rPr>
                <w:rStyle w:val="CharacterStyle12"/>
              </w:rPr>
            </w:pPr>
            <w:r>
              <w:rPr>
                <w:rStyle w:val="CharacterStyle12"/>
              </w:rPr>
              <w:t>0,00</w:t>
            </w:r>
          </w:p>
        </w:tc>
      </w:tr>
      <w:tr w:rsidR="007D706A" w14:paraId="481D0FB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D221147" w14:textId="77777777" w:rsidR="007D706A" w:rsidRDefault="007D706A" w:rsidP="00F70508">
            <w:pPr>
              <w:pStyle w:val="ParagraphStyle10"/>
              <w:rPr>
                <w:rStyle w:val="CharacterStyle10"/>
              </w:rPr>
            </w:pPr>
            <w:r>
              <w:rPr>
                <w:rStyle w:val="CharacterStyle10"/>
              </w:rPr>
              <w:t>45</w:t>
            </w:r>
          </w:p>
        </w:tc>
        <w:tc>
          <w:tcPr>
            <w:tcW w:w="4995" w:type="dxa"/>
            <w:tcBorders>
              <w:bottom w:val="single" w:sz="6" w:space="0" w:color="000000"/>
              <w:right w:val="single" w:sz="6" w:space="0" w:color="000000"/>
            </w:tcBorders>
            <w:vAlign w:val="center"/>
          </w:tcPr>
          <w:p w14:paraId="7EFDA8CB" w14:textId="77777777" w:rsidR="007D706A" w:rsidRDefault="007D706A" w:rsidP="00F70508">
            <w:pPr>
              <w:pStyle w:val="ParagraphStyle11"/>
              <w:rPr>
                <w:rStyle w:val="CharacterStyle11"/>
              </w:rPr>
            </w:pPr>
            <w:r>
              <w:rPr>
                <w:rStyle w:val="CharacterStyle11"/>
              </w:rPr>
              <w:t>Rashodi za dodatna ulaganja na nefinancijskoj imovini</w:t>
            </w:r>
          </w:p>
        </w:tc>
        <w:tc>
          <w:tcPr>
            <w:tcW w:w="1395" w:type="dxa"/>
            <w:tcBorders>
              <w:bottom w:val="single" w:sz="6" w:space="0" w:color="000000"/>
              <w:right w:val="single" w:sz="6" w:space="0" w:color="000000"/>
            </w:tcBorders>
            <w:vAlign w:val="center"/>
          </w:tcPr>
          <w:p w14:paraId="64416DB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D1B6DAF" w14:textId="77777777" w:rsidR="007D706A" w:rsidRDefault="007D706A" w:rsidP="00F70508">
            <w:pPr>
              <w:pStyle w:val="ParagraphStyle12"/>
              <w:rPr>
                <w:rStyle w:val="CharacterStyle12"/>
              </w:rPr>
            </w:pPr>
            <w:r>
              <w:rPr>
                <w:rStyle w:val="CharacterStyle12"/>
              </w:rPr>
              <w:t>35.000,00</w:t>
            </w:r>
          </w:p>
        </w:tc>
        <w:tc>
          <w:tcPr>
            <w:tcW w:w="1395" w:type="dxa"/>
            <w:tcBorders>
              <w:bottom w:val="single" w:sz="6" w:space="0" w:color="000000"/>
              <w:right w:val="single" w:sz="6" w:space="0" w:color="000000"/>
            </w:tcBorders>
            <w:vAlign w:val="center"/>
          </w:tcPr>
          <w:p w14:paraId="604BA8B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195568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924E975" w14:textId="77777777" w:rsidR="007D706A" w:rsidRDefault="007D706A" w:rsidP="00F70508">
            <w:pPr>
              <w:pStyle w:val="ParagraphStyle12"/>
              <w:rPr>
                <w:rStyle w:val="CharacterStyle12"/>
              </w:rPr>
            </w:pPr>
            <w:r>
              <w:rPr>
                <w:rStyle w:val="CharacterStyle12"/>
              </w:rPr>
              <w:t>0,00</w:t>
            </w:r>
          </w:p>
        </w:tc>
      </w:tr>
      <w:tr w:rsidR="007D706A" w14:paraId="014ADFC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DF17E29" w14:textId="77777777" w:rsidR="007D706A" w:rsidRDefault="007D706A" w:rsidP="00F70508">
            <w:pPr>
              <w:pStyle w:val="ParagraphStyle7"/>
              <w:rPr>
                <w:rStyle w:val="CharacterStyle7"/>
              </w:rPr>
            </w:pPr>
            <w:r>
              <w:rPr>
                <w:rStyle w:val="CharacterStyle7"/>
              </w:rPr>
              <w:t>Izvor financiranja 43</w:t>
            </w:r>
          </w:p>
        </w:tc>
        <w:tc>
          <w:tcPr>
            <w:tcW w:w="4995" w:type="dxa"/>
            <w:tcBorders>
              <w:bottom w:val="single" w:sz="6" w:space="0" w:color="000000"/>
              <w:right w:val="single" w:sz="6" w:space="0" w:color="000000"/>
            </w:tcBorders>
            <w:vAlign w:val="center"/>
          </w:tcPr>
          <w:p w14:paraId="54819CB9" w14:textId="77777777" w:rsidR="007D706A" w:rsidRDefault="007D706A" w:rsidP="00F70508">
            <w:pPr>
              <w:pStyle w:val="ParagraphStyle8"/>
              <w:rPr>
                <w:rStyle w:val="CharacterStyle8"/>
              </w:rPr>
            </w:pPr>
            <w:r>
              <w:rPr>
                <w:rStyle w:val="CharacterStyle8"/>
              </w:rPr>
              <w:t>Ostali prihodi za posebne namjene</w:t>
            </w:r>
          </w:p>
        </w:tc>
        <w:tc>
          <w:tcPr>
            <w:tcW w:w="1395" w:type="dxa"/>
            <w:tcBorders>
              <w:bottom w:val="single" w:sz="6" w:space="0" w:color="000000"/>
              <w:right w:val="single" w:sz="6" w:space="0" w:color="000000"/>
            </w:tcBorders>
            <w:vAlign w:val="center"/>
          </w:tcPr>
          <w:p w14:paraId="0B663708"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B59EEDE"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42DA6FE"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66C514B" w14:textId="77777777" w:rsidR="007D706A" w:rsidRDefault="007D706A" w:rsidP="00F70508">
            <w:pPr>
              <w:pStyle w:val="ParagraphStyle9"/>
              <w:rPr>
                <w:rStyle w:val="CharacterStyle9"/>
              </w:rPr>
            </w:pPr>
            <w:r>
              <w:rPr>
                <w:rStyle w:val="CharacterStyle9"/>
              </w:rPr>
              <w:t>21.000,00</w:t>
            </w:r>
          </w:p>
        </w:tc>
        <w:tc>
          <w:tcPr>
            <w:tcW w:w="1395" w:type="dxa"/>
            <w:tcBorders>
              <w:bottom w:val="single" w:sz="6" w:space="0" w:color="000000"/>
              <w:right w:val="single" w:sz="6" w:space="0" w:color="000000"/>
            </w:tcBorders>
            <w:vAlign w:val="center"/>
          </w:tcPr>
          <w:p w14:paraId="547756D4" w14:textId="77777777" w:rsidR="007D706A" w:rsidRDefault="007D706A" w:rsidP="00F70508">
            <w:pPr>
              <w:pStyle w:val="ParagraphStyle9"/>
              <w:rPr>
                <w:rStyle w:val="CharacterStyle9"/>
              </w:rPr>
            </w:pPr>
            <w:r>
              <w:rPr>
                <w:rStyle w:val="CharacterStyle9"/>
              </w:rPr>
              <w:t>0,00</w:t>
            </w:r>
          </w:p>
        </w:tc>
      </w:tr>
      <w:tr w:rsidR="007D706A" w14:paraId="5F04D576"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077AA30"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79C8C58F"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264FE74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268C62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8863F1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130859F" w14:textId="77777777" w:rsidR="007D706A" w:rsidRDefault="007D706A" w:rsidP="00F70508">
            <w:pPr>
              <w:pStyle w:val="ParagraphStyle12"/>
              <w:rPr>
                <w:rStyle w:val="CharacterStyle12"/>
              </w:rPr>
            </w:pPr>
            <w:r>
              <w:rPr>
                <w:rStyle w:val="CharacterStyle12"/>
              </w:rPr>
              <w:t>21.000,00</w:t>
            </w:r>
          </w:p>
        </w:tc>
        <w:tc>
          <w:tcPr>
            <w:tcW w:w="1395" w:type="dxa"/>
            <w:tcBorders>
              <w:bottom w:val="single" w:sz="6" w:space="0" w:color="000000"/>
              <w:right w:val="single" w:sz="6" w:space="0" w:color="000000"/>
            </w:tcBorders>
            <w:vAlign w:val="center"/>
          </w:tcPr>
          <w:p w14:paraId="3D82D3D1" w14:textId="77777777" w:rsidR="007D706A" w:rsidRDefault="007D706A" w:rsidP="00F70508">
            <w:pPr>
              <w:pStyle w:val="ParagraphStyle12"/>
              <w:rPr>
                <w:rStyle w:val="CharacterStyle12"/>
              </w:rPr>
            </w:pPr>
            <w:r>
              <w:rPr>
                <w:rStyle w:val="CharacterStyle12"/>
              </w:rPr>
              <w:t>0,00</w:t>
            </w:r>
          </w:p>
        </w:tc>
      </w:tr>
      <w:tr w:rsidR="007D706A" w14:paraId="0D7B5BA6"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77E01AF" w14:textId="77777777" w:rsidR="007D706A" w:rsidRDefault="007D706A" w:rsidP="00F70508">
            <w:pPr>
              <w:pStyle w:val="ParagraphStyle10"/>
              <w:rPr>
                <w:rStyle w:val="CharacterStyle10"/>
              </w:rPr>
            </w:pPr>
            <w:r>
              <w:rPr>
                <w:rStyle w:val="CharacterStyle10"/>
              </w:rPr>
              <w:t>45</w:t>
            </w:r>
          </w:p>
        </w:tc>
        <w:tc>
          <w:tcPr>
            <w:tcW w:w="4995" w:type="dxa"/>
            <w:tcBorders>
              <w:bottom w:val="single" w:sz="6" w:space="0" w:color="000000"/>
              <w:right w:val="single" w:sz="6" w:space="0" w:color="000000"/>
            </w:tcBorders>
            <w:vAlign w:val="center"/>
          </w:tcPr>
          <w:p w14:paraId="18136D0B" w14:textId="77777777" w:rsidR="007D706A" w:rsidRDefault="007D706A" w:rsidP="00F70508">
            <w:pPr>
              <w:pStyle w:val="ParagraphStyle11"/>
              <w:rPr>
                <w:rStyle w:val="CharacterStyle11"/>
              </w:rPr>
            </w:pPr>
            <w:r>
              <w:rPr>
                <w:rStyle w:val="CharacterStyle11"/>
              </w:rPr>
              <w:t>Rashodi za dodatna ulaganja na nefinancijskoj imovini</w:t>
            </w:r>
          </w:p>
        </w:tc>
        <w:tc>
          <w:tcPr>
            <w:tcW w:w="1395" w:type="dxa"/>
            <w:tcBorders>
              <w:bottom w:val="single" w:sz="6" w:space="0" w:color="000000"/>
              <w:right w:val="single" w:sz="6" w:space="0" w:color="000000"/>
            </w:tcBorders>
            <w:vAlign w:val="center"/>
          </w:tcPr>
          <w:p w14:paraId="3C4B0A0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5CB750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955248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267DFA2" w14:textId="77777777" w:rsidR="007D706A" w:rsidRDefault="007D706A" w:rsidP="00F70508">
            <w:pPr>
              <w:pStyle w:val="ParagraphStyle12"/>
              <w:rPr>
                <w:rStyle w:val="CharacterStyle12"/>
              </w:rPr>
            </w:pPr>
            <w:r>
              <w:rPr>
                <w:rStyle w:val="CharacterStyle12"/>
              </w:rPr>
              <w:t>21.000,00</w:t>
            </w:r>
          </w:p>
        </w:tc>
        <w:tc>
          <w:tcPr>
            <w:tcW w:w="1395" w:type="dxa"/>
            <w:tcBorders>
              <w:bottom w:val="single" w:sz="6" w:space="0" w:color="000000"/>
              <w:right w:val="single" w:sz="6" w:space="0" w:color="000000"/>
            </w:tcBorders>
            <w:vAlign w:val="center"/>
          </w:tcPr>
          <w:p w14:paraId="05FB1C5A" w14:textId="77777777" w:rsidR="007D706A" w:rsidRDefault="007D706A" w:rsidP="00F70508">
            <w:pPr>
              <w:pStyle w:val="ParagraphStyle12"/>
              <w:rPr>
                <w:rStyle w:val="CharacterStyle12"/>
              </w:rPr>
            </w:pPr>
            <w:r>
              <w:rPr>
                <w:rStyle w:val="CharacterStyle12"/>
              </w:rPr>
              <w:t>0,00</w:t>
            </w:r>
          </w:p>
        </w:tc>
      </w:tr>
      <w:tr w:rsidR="007D706A" w14:paraId="3326938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077B690" w14:textId="77777777" w:rsidR="007D706A" w:rsidRDefault="007D706A" w:rsidP="00F70508">
            <w:pPr>
              <w:pStyle w:val="ParagraphStyle7"/>
              <w:rPr>
                <w:rStyle w:val="CharacterStyle7"/>
              </w:rPr>
            </w:pPr>
            <w:r>
              <w:rPr>
                <w:rStyle w:val="CharacterStyle7"/>
              </w:rPr>
              <w:t>Izvor financiranja 82</w:t>
            </w:r>
          </w:p>
        </w:tc>
        <w:tc>
          <w:tcPr>
            <w:tcW w:w="4995" w:type="dxa"/>
            <w:tcBorders>
              <w:bottom w:val="single" w:sz="6" w:space="0" w:color="000000"/>
              <w:right w:val="single" w:sz="6" w:space="0" w:color="000000"/>
            </w:tcBorders>
            <w:vAlign w:val="center"/>
          </w:tcPr>
          <w:p w14:paraId="1BA38230" w14:textId="77777777" w:rsidR="007D706A" w:rsidRDefault="007D706A" w:rsidP="00F70508">
            <w:pPr>
              <w:pStyle w:val="ParagraphStyle8"/>
              <w:rPr>
                <w:rStyle w:val="CharacterStyle8"/>
              </w:rPr>
            </w:pPr>
            <w:r>
              <w:rPr>
                <w:rStyle w:val="CharacterStyle8"/>
              </w:rPr>
              <w:t>Preneseni viškovi iz ranijih godina</w:t>
            </w:r>
          </w:p>
        </w:tc>
        <w:tc>
          <w:tcPr>
            <w:tcW w:w="1395" w:type="dxa"/>
            <w:tcBorders>
              <w:bottom w:val="single" w:sz="6" w:space="0" w:color="000000"/>
              <w:right w:val="single" w:sz="6" w:space="0" w:color="000000"/>
            </w:tcBorders>
            <w:vAlign w:val="center"/>
          </w:tcPr>
          <w:p w14:paraId="6AC6370A"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13A5F09" w14:textId="77777777" w:rsidR="007D706A" w:rsidRDefault="007D706A" w:rsidP="00F70508">
            <w:pPr>
              <w:pStyle w:val="ParagraphStyle9"/>
              <w:rPr>
                <w:rStyle w:val="CharacterStyle9"/>
              </w:rPr>
            </w:pPr>
            <w:r>
              <w:rPr>
                <w:rStyle w:val="CharacterStyle9"/>
              </w:rPr>
              <w:t>85.000,00</w:t>
            </w:r>
          </w:p>
        </w:tc>
        <w:tc>
          <w:tcPr>
            <w:tcW w:w="1395" w:type="dxa"/>
            <w:tcBorders>
              <w:bottom w:val="single" w:sz="6" w:space="0" w:color="000000"/>
              <w:right w:val="single" w:sz="6" w:space="0" w:color="000000"/>
            </w:tcBorders>
            <w:vAlign w:val="center"/>
          </w:tcPr>
          <w:p w14:paraId="475CC565"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D0D8776"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B12968E" w14:textId="77777777" w:rsidR="007D706A" w:rsidRDefault="007D706A" w:rsidP="00F70508">
            <w:pPr>
              <w:pStyle w:val="ParagraphStyle9"/>
              <w:rPr>
                <w:rStyle w:val="CharacterStyle9"/>
              </w:rPr>
            </w:pPr>
            <w:r>
              <w:rPr>
                <w:rStyle w:val="CharacterStyle9"/>
              </w:rPr>
              <w:t>0,00</w:t>
            </w:r>
          </w:p>
        </w:tc>
      </w:tr>
      <w:tr w:rsidR="007D706A" w14:paraId="2E0B461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9F5DED4"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18726DD8"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78ECB07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B3B8E04" w14:textId="77777777" w:rsidR="007D706A" w:rsidRDefault="007D706A" w:rsidP="00F70508">
            <w:pPr>
              <w:pStyle w:val="ParagraphStyle12"/>
              <w:rPr>
                <w:rStyle w:val="CharacterStyle12"/>
              </w:rPr>
            </w:pPr>
            <w:r>
              <w:rPr>
                <w:rStyle w:val="CharacterStyle12"/>
              </w:rPr>
              <w:t>85.000,00</w:t>
            </w:r>
          </w:p>
        </w:tc>
        <w:tc>
          <w:tcPr>
            <w:tcW w:w="1395" w:type="dxa"/>
            <w:tcBorders>
              <w:bottom w:val="single" w:sz="6" w:space="0" w:color="000000"/>
              <w:right w:val="single" w:sz="6" w:space="0" w:color="000000"/>
            </w:tcBorders>
            <w:vAlign w:val="center"/>
          </w:tcPr>
          <w:p w14:paraId="26C40AC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9DED15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4117D94" w14:textId="77777777" w:rsidR="007D706A" w:rsidRDefault="007D706A" w:rsidP="00F70508">
            <w:pPr>
              <w:pStyle w:val="ParagraphStyle12"/>
              <w:rPr>
                <w:rStyle w:val="CharacterStyle12"/>
              </w:rPr>
            </w:pPr>
            <w:r>
              <w:rPr>
                <w:rStyle w:val="CharacterStyle12"/>
              </w:rPr>
              <w:t>0,00</w:t>
            </w:r>
          </w:p>
        </w:tc>
      </w:tr>
      <w:tr w:rsidR="007D706A" w14:paraId="78CE6E3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18DE550" w14:textId="77777777" w:rsidR="007D706A" w:rsidRDefault="007D706A" w:rsidP="00F70508">
            <w:pPr>
              <w:pStyle w:val="ParagraphStyle10"/>
              <w:rPr>
                <w:rStyle w:val="CharacterStyle10"/>
              </w:rPr>
            </w:pPr>
            <w:r>
              <w:rPr>
                <w:rStyle w:val="CharacterStyle10"/>
              </w:rPr>
              <w:t>45</w:t>
            </w:r>
          </w:p>
        </w:tc>
        <w:tc>
          <w:tcPr>
            <w:tcW w:w="4995" w:type="dxa"/>
            <w:tcBorders>
              <w:bottom w:val="single" w:sz="6" w:space="0" w:color="000000"/>
              <w:right w:val="single" w:sz="6" w:space="0" w:color="000000"/>
            </w:tcBorders>
            <w:vAlign w:val="center"/>
          </w:tcPr>
          <w:p w14:paraId="3BA2DD91" w14:textId="77777777" w:rsidR="007D706A" w:rsidRDefault="007D706A" w:rsidP="00F70508">
            <w:pPr>
              <w:pStyle w:val="ParagraphStyle11"/>
              <w:rPr>
                <w:rStyle w:val="CharacterStyle11"/>
              </w:rPr>
            </w:pPr>
            <w:r>
              <w:rPr>
                <w:rStyle w:val="CharacterStyle11"/>
              </w:rPr>
              <w:t>Rashodi za dodatna ulaganja na nefinancijskoj imovini</w:t>
            </w:r>
          </w:p>
        </w:tc>
        <w:tc>
          <w:tcPr>
            <w:tcW w:w="1395" w:type="dxa"/>
            <w:tcBorders>
              <w:bottom w:val="single" w:sz="6" w:space="0" w:color="000000"/>
              <w:right w:val="single" w:sz="6" w:space="0" w:color="000000"/>
            </w:tcBorders>
            <w:vAlign w:val="center"/>
          </w:tcPr>
          <w:p w14:paraId="721AE3A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C9CA37D" w14:textId="77777777" w:rsidR="007D706A" w:rsidRDefault="007D706A" w:rsidP="00F70508">
            <w:pPr>
              <w:pStyle w:val="ParagraphStyle12"/>
              <w:rPr>
                <w:rStyle w:val="CharacterStyle12"/>
              </w:rPr>
            </w:pPr>
            <w:r>
              <w:rPr>
                <w:rStyle w:val="CharacterStyle12"/>
              </w:rPr>
              <w:t>85.000,00</w:t>
            </w:r>
          </w:p>
        </w:tc>
        <w:tc>
          <w:tcPr>
            <w:tcW w:w="1395" w:type="dxa"/>
            <w:tcBorders>
              <w:bottom w:val="single" w:sz="6" w:space="0" w:color="000000"/>
              <w:right w:val="single" w:sz="6" w:space="0" w:color="000000"/>
            </w:tcBorders>
            <w:vAlign w:val="center"/>
          </w:tcPr>
          <w:p w14:paraId="7038A4D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81888F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04A98A2" w14:textId="77777777" w:rsidR="007D706A" w:rsidRDefault="007D706A" w:rsidP="00F70508">
            <w:pPr>
              <w:pStyle w:val="ParagraphStyle12"/>
              <w:rPr>
                <w:rStyle w:val="CharacterStyle12"/>
              </w:rPr>
            </w:pPr>
            <w:r>
              <w:rPr>
                <w:rStyle w:val="CharacterStyle12"/>
              </w:rPr>
              <w:t>0,00</w:t>
            </w:r>
          </w:p>
        </w:tc>
      </w:tr>
      <w:tr w:rsidR="007D706A" w14:paraId="28889DB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2664B02" w14:textId="77777777" w:rsidR="007D706A" w:rsidRDefault="007D706A" w:rsidP="00F70508">
            <w:pPr>
              <w:pStyle w:val="ParagraphStyle4"/>
              <w:rPr>
                <w:rStyle w:val="CharacterStyle4"/>
              </w:rPr>
            </w:pPr>
            <w:r>
              <w:rPr>
                <w:rStyle w:val="CharacterStyle4"/>
              </w:rPr>
              <w:t>Kapitalni projekt K101475</w:t>
            </w:r>
          </w:p>
        </w:tc>
        <w:tc>
          <w:tcPr>
            <w:tcW w:w="4995" w:type="dxa"/>
            <w:tcBorders>
              <w:bottom w:val="single" w:sz="6" w:space="0" w:color="000000"/>
              <w:right w:val="single" w:sz="6" w:space="0" w:color="000000"/>
            </w:tcBorders>
            <w:vAlign w:val="center"/>
          </w:tcPr>
          <w:p w14:paraId="49585348" w14:textId="77777777" w:rsidR="007D706A" w:rsidRDefault="007D706A" w:rsidP="00F70508">
            <w:pPr>
              <w:pStyle w:val="ParagraphStyle5"/>
              <w:rPr>
                <w:rStyle w:val="CharacterStyle5"/>
              </w:rPr>
            </w:pPr>
            <w:r>
              <w:rPr>
                <w:rStyle w:val="CharacterStyle5"/>
              </w:rPr>
              <w:t>POPLOČENJE - CRKVA SV. EUFEMIJA - V. FAZA</w:t>
            </w:r>
          </w:p>
        </w:tc>
        <w:tc>
          <w:tcPr>
            <w:tcW w:w="1395" w:type="dxa"/>
            <w:tcBorders>
              <w:bottom w:val="single" w:sz="6" w:space="0" w:color="000000"/>
              <w:right w:val="single" w:sz="6" w:space="0" w:color="000000"/>
            </w:tcBorders>
            <w:vAlign w:val="center"/>
          </w:tcPr>
          <w:p w14:paraId="5C7FDCE7"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304A6B67"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32070DF5" w14:textId="77777777" w:rsidR="007D706A" w:rsidRDefault="007D706A" w:rsidP="00F70508">
            <w:pPr>
              <w:pStyle w:val="ParagraphStyle6"/>
              <w:rPr>
                <w:rStyle w:val="CharacterStyle6"/>
              </w:rPr>
            </w:pPr>
            <w:r>
              <w:rPr>
                <w:rStyle w:val="CharacterStyle6"/>
              </w:rPr>
              <w:t>435.200,00</w:t>
            </w:r>
          </w:p>
        </w:tc>
        <w:tc>
          <w:tcPr>
            <w:tcW w:w="1395" w:type="dxa"/>
            <w:tcBorders>
              <w:bottom w:val="single" w:sz="6" w:space="0" w:color="000000"/>
              <w:right w:val="single" w:sz="6" w:space="0" w:color="000000"/>
            </w:tcBorders>
            <w:vAlign w:val="center"/>
          </w:tcPr>
          <w:p w14:paraId="53AF4B0A"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06DEB313" w14:textId="77777777" w:rsidR="007D706A" w:rsidRDefault="007D706A" w:rsidP="00F70508">
            <w:pPr>
              <w:pStyle w:val="ParagraphStyle6"/>
              <w:rPr>
                <w:rStyle w:val="CharacterStyle6"/>
              </w:rPr>
            </w:pPr>
            <w:r>
              <w:rPr>
                <w:rStyle w:val="CharacterStyle6"/>
              </w:rPr>
              <w:t>0,00</w:t>
            </w:r>
          </w:p>
        </w:tc>
      </w:tr>
      <w:tr w:rsidR="007D706A" w14:paraId="46162C8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C177011" w14:textId="77777777" w:rsidR="007D706A" w:rsidRDefault="007D706A" w:rsidP="00F70508">
            <w:pPr>
              <w:pStyle w:val="ParagraphStyle7"/>
              <w:rPr>
                <w:rStyle w:val="CharacterStyle7"/>
              </w:rPr>
            </w:pPr>
            <w:r>
              <w:rPr>
                <w:rStyle w:val="CharacterStyle7"/>
              </w:rPr>
              <w:t>Izvor financiranja 42</w:t>
            </w:r>
          </w:p>
        </w:tc>
        <w:tc>
          <w:tcPr>
            <w:tcW w:w="4995" w:type="dxa"/>
            <w:tcBorders>
              <w:bottom w:val="single" w:sz="6" w:space="0" w:color="000000"/>
              <w:right w:val="single" w:sz="6" w:space="0" w:color="000000"/>
            </w:tcBorders>
            <w:vAlign w:val="center"/>
          </w:tcPr>
          <w:p w14:paraId="4A32F5F2" w14:textId="77777777" w:rsidR="007D706A" w:rsidRDefault="007D706A" w:rsidP="00F70508">
            <w:pPr>
              <w:pStyle w:val="ParagraphStyle8"/>
              <w:rPr>
                <w:rStyle w:val="CharacterStyle8"/>
              </w:rPr>
            </w:pPr>
            <w:r>
              <w:rPr>
                <w:rStyle w:val="CharacterStyle8"/>
              </w:rPr>
              <w:t>Prihodi od spomeničke rente</w:t>
            </w:r>
          </w:p>
        </w:tc>
        <w:tc>
          <w:tcPr>
            <w:tcW w:w="1395" w:type="dxa"/>
            <w:tcBorders>
              <w:bottom w:val="single" w:sz="6" w:space="0" w:color="000000"/>
              <w:right w:val="single" w:sz="6" w:space="0" w:color="000000"/>
            </w:tcBorders>
            <w:vAlign w:val="center"/>
          </w:tcPr>
          <w:p w14:paraId="2012207B"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274C0CF"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415B2E6" w14:textId="77777777" w:rsidR="007D706A" w:rsidRDefault="007D706A" w:rsidP="00F70508">
            <w:pPr>
              <w:pStyle w:val="ParagraphStyle9"/>
              <w:rPr>
                <w:rStyle w:val="CharacterStyle9"/>
              </w:rPr>
            </w:pPr>
            <w:r>
              <w:rPr>
                <w:rStyle w:val="CharacterStyle9"/>
              </w:rPr>
              <w:t>94.021,56</w:t>
            </w:r>
          </w:p>
        </w:tc>
        <w:tc>
          <w:tcPr>
            <w:tcW w:w="1395" w:type="dxa"/>
            <w:tcBorders>
              <w:bottom w:val="single" w:sz="6" w:space="0" w:color="000000"/>
              <w:right w:val="single" w:sz="6" w:space="0" w:color="000000"/>
            </w:tcBorders>
            <w:vAlign w:val="center"/>
          </w:tcPr>
          <w:p w14:paraId="4F7CD208"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2926AC1" w14:textId="77777777" w:rsidR="007D706A" w:rsidRDefault="007D706A" w:rsidP="00F70508">
            <w:pPr>
              <w:pStyle w:val="ParagraphStyle9"/>
              <w:rPr>
                <w:rStyle w:val="CharacterStyle9"/>
              </w:rPr>
            </w:pPr>
            <w:r>
              <w:rPr>
                <w:rStyle w:val="CharacterStyle9"/>
              </w:rPr>
              <w:t>0,00</w:t>
            </w:r>
          </w:p>
        </w:tc>
      </w:tr>
      <w:tr w:rsidR="007D706A" w14:paraId="11F3142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BB71CA6"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1AD2E27A"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2747117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C754C4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AFC4863" w14:textId="77777777" w:rsidR="007D706A" w:rsidRDefault="007D706A" w:rsidP="00F70508">
            <w:pPr>
              <w:pStyle w:val="ParagraphStyle12"/>
              <w:rPr>
                <w:rStyle w:val="CharacterStyle12"/>
              </w:rPr>
            </w:pPr>
            <w:r>
              <w:rPr>
                <w:rStyle w:val="CharacterStyle12"/>
              </w:rPr>
              <w:t>94.021,56</w:t>
            </w:r>
          </w:p>
        </w:tc>
        <w:tc>
          <w:tcPr>
            <w:tcW w:w="1395" w:type="dxa"/>
            <w:tcBorders>
              <w:bottom w:val="single" w:sz="6" w:space="0" w:color="000000"/>
              <w:right w:val="single" w:sz="6" w:space="0" w:color="000000"/>
            </w:tcBorders>
            <w:vAlign w:val="center"/>
          </w:tcPr>
          <w:p w14:paraId="6B71DCE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A3442CB" w14:textId="77777777" w:rsidR="007D706A" w:rsidRDefault="007D706A" w:rsidP="00F70508">
            <w:pPr>
              <w:pStyle w:val="ParagraphStyle12"/>
              <w:rPr>
                <w:rStyle w:val="CharacterStyle12"/>
              </w:rPr>
            </w:pPr>
            <w:r>
              <w:rPr>
                <w:rStyle w:val="CharacterStyle12"/>
              </w:rPr>
              <w:t>0,00</w:t>
            </w:r>
          </w:p>
        </w:tc>
      </w:tr>
      <w:tr w:rsidR="007D706A" w14:paraId="64E682C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557FA2D" w14:textId="77777777" w:rsidR="007D706A" w:rsidRDefault="007D706A" w:rsidP="00F70508">
            <w:pPr>
              <w:pStyle w:val="ParagraphStyle10"/>
              <w:rPr>
                <w:rStyle w:val="CharacterStyle10"/>
              </w:rPr>
            </w:pPr>
            <w:r>
              <w:rPr>
                <w:rStyle w:val="CharacterStyle10"/>
              </w:rPr>
              <w:t>42</w:t>
            </w:r>
          </w:p>
        </w:tc>
        <w:tc>
          <w:tcPr>
            <w:tcW w:w="4995" w:type="dxa"/>
            <w:tcBorders>
              <w:bottom w:val="single" w:sz="6" w:space="0" w:color="000000"/>
              <w:right w:val="single" w:sz="6" w:space="0" w:color="000000"/>
            </w:tcBorders>
            <w:vAlign w:val="center"/>
          </w:tcPr>
          <w:p w14:paraId="0B254F11"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3156F3E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FD8A02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4846522" w14:textId="77777777" w:rsidR="007D706A" w:rsidRDefault="007D706A" w:rsidP="00F70508">
            <w:pPr>
              <w:pStyle w:val="ParagraphStyle12"/>
              <w:rPr>
                <w:rStyle w:val="CharacterStyle12"/>
              </w:rPr>
            </w:pPr>
            <w:r>
              <w:rPr>
                <w:rStyle w:val="CharacterStyle12"/>
              </w:rPr>
              <w:t>94.021,56</w:t>
            </w:r>
          </w:p>
        </w:tc>
        <w:tc>
          <w:tcPr>
            <w:tcW w:w="1395" w:type="dxa"/>
            <w:tcBorders>
              <w:bottom w:val="single" w:sz="6" w:space="0" w:color="000000"/>
              <w:right w:val="single" w:sz="6" w:space="0" w:color="000000"/>
            </w:tcBorders>
            <w:vAlign w:val="center"/>
          </w:tcPr>
          <w:p w14:paraId="4628C47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505A70E" w14:textId="77777777" w:rsidR="007D706A" w:rsidRDefault="007D706A" w:rsidP="00F70508">
            <w:pPr>
              <w:pStyle w:val="ParagraphStyle12"/>
              <w:rPr>
                <w:rStyle w:val="CharacterStyle12"/>
              </w:rPr>
            </w:pPr>
            <w:r>
              <w:rPr>
                <w:rStyle w:val="CharacterStyle12"/>
              </w:rPr>
              <w:t>0,00</w:t>
            </w:r>
          </w:p>
        </w:tc>
      </w:tr>
      <w:tr w:rsidR="007D706A" w14:paraId="67C25E9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A34CD95" w14:textId="77777777" w:rsidR="007D706A" w:rsidRDefault="007D706A" w:rsidP="00F70508">
            <w:pPr>
              <w:pStyle w:val="ParagraphStyle7"/>
              <w:rPr>
                <w:rStyle w:val="CharacterStyle7"/>
              </w:rPr>
            </w:pPr>
            <w:r>
              <w:rPr>
                <w:rStyle w:val="CharacterStyle7"/>
              </w:rPr>
              <w:t>Izvor financiranja 43</w:t>
            </w:r>
          </w:p>
        </w:tc>
        <w:tc>
          <w:tcPr>
            <w:tcW w:w="4995" w:type="dxa"/>
            <w:tcBorders>
              <w:bottom w:val="single" w:sz="6" w:space="0" w:color="000000"/>
              <w:right w:val="single" w:sz="6" w:space="0" w:color="000000"/>
            </w:tcBorders>
            <w:vAlign w:val="center"/>
          </w:tcPr>
          <w:p w14:paraId="56BFC889" w14:textId="77777777" w:rsidR="007D706A" w:rsidRDefault="007D706A" w:rsidP="00F70508">
            <w:pPr>
              <w:pStyle w:val="ParagraphStyle8"/>
              <w:rPr>
                <w:rStyle w:val="CharacterStyle8"/>
              </w:rPr>
            </w:pPr>
            <w:r>
              <w:rPr>
                <w:rStyle w:val="CharacterStyle8"/>
              </w:rPr>
              <w:t>Ostali prihodi za posebne namjene</w:t>
            </w:r>
          </w:p>
        </w:tc>
        <w:tc>
          <w:tcPr>
            <w:tcW w:w="1395" w:type="dxa"/>
            <w:tcBorders>
              <w:bottom w:val="single" w:sz="6" w:space="0" w:color="000000"/>
              <w:right w:val="single" w:sz="6" w:space="0" w:color="000000"/>
            </w:tcBorders>
            <w:vAlign w:val="center"/>
          </w:tcPr>
          <w:p w14:paraId="167D0FE8"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6D7EC7B"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498032D" w14:textId="77777777" w:rsidR="007D706A" w:rsidRDefault="007D706A" w:rsidP="00F70508">
            <w:pPr>
              <w:pStyle w:val="ParagraphStyle9"/>
              <w:rPr>
                <w:rStyle w:val="CharacterStyle9"/>
              </w:rPr>
            </w:pPr>
            <w:r>
              <w:rPr>
                <w:rStyle w:val="CharacterStyle9"/>
              </w:rPr>
              <w:t>341.178,44</w:t>
            </w:r>
          </w:p>
        </w:tc>
        <w:tc>
          <w:tcPr>
            <w:tcW w:w="1395" w:type="dxa"/>
            <w:tcBorders>
              <w:bottom w:val="single" w:sz="6" w:space="0" w:color="000000"/>
              <w:right w:val="single" w:sz="6" w:space="0" w:color="000000"/>
            </w:tcBorders>
            <w:vAlign w:val="center"/>
          </w:tcPr>
          <w:p w14:paraId="46BE9CAE"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98D960E" w14:textId="77777777" w:rsidR="007D706A" w:rsidRDefault="007D706A" w:rsidP="00F70508">
            <w:pPr>
              <w:pStyle w:val="ParagraphStyle9"/>
              <w:rPr>
                <w:rStyle w:val="CharacterStyle9"/>
              </w:rPr>
            </w:pPr>
            <w:r>
              <w:rPr>
                <w:rStyle w:val="CharacterStyle9"/>
              </w:rPr>
              <w:t>0,00</w:t>
            </w:r>
          </w:p>
        </w:tc>
      </w:tr>
      <w:tr w:rsidR="007D706A" w14:paraId="6318D50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6B2C575"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334DD8BF"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4C80D68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5B3BDC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B848456" w14:textId="77777777" w:rsidR="007D706A" w:rsidRDefault="007D706A" w:rsidP="00F70508">
            <w:pPr>
              <w:pStyle w:val="ParagraphStyle12"/>
              <w:rPr>
                <w:rStyle w:val="CharacterStyle12"/>
              </w:rPr>
            </w:pPr>
            <w:r>
              <w:rPr>
                <w:rStyle w:val="CharacterStyle12"/>
              </w:rPr>
              <w:t>341.178,44</w:t>
            </w:r>
          </w:p>
        </w:tc>
        <w:tc>
          <w:tcPr>
            <w:tcW w:w="1395" w:type="dxa"/>
            <w:tcBorders>
              <w:bottom w:val="single" w:sz="6" w:space="0" w:color="000000"/>
              <w:right w:val="single" w:sz="6" w:space="0" w:color="000000"/>
            </w:tcBorders>
            <w:vAlign w:val="center"/>
          </w:tcPr>
          <w:p w14:paraId="05D5B98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33C15AF" w14:textId="77777777" w:rsidR="007D706A" w:rsidRDefault="007D706A" w:rsidP="00F70508">
            <w:pPr>
              <w:pStyle w:val="ParagraphStyle12"/>
              <w:rPr>
                <w:rStyle w:val="CharacterStyle12"/>
              </w:rPr>
            </w:pPr>
            <w:r>
              <w:rPr>
                <w:rStyle w:val="CharacterStyle12"/>
              </w:rPr>
              <w:t>0,00</w:t>
            </w:r>
          </w:p>
        </w:tc>
      </w:tr>
      <w:tr w:rsidR="007D706A" w14:paraId="2A42565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AB08013" w14:textId="77777777" w:rsidR="007D706A" w:rsidRDefault="007D706A" w:rsidP="00F70508">
            <w:pPr>
              <w:pStyle w:val="ParagraphStyle10"/>
              <w:rPr>
                <w:rStyle w:val="CharacterStyle10"/>
              </w:rPr>
            </w:pPr>
            <w:r>
              <w:rPr>
                <w:rStyle w:val="CharacterStyle10"/>
              </w:rPr>
              <w:t>42</w:t>
            </w:r>
          </w:p>
        </w:tc>
        <w:tc>
          <w:tcPr>
            <w:tcW w:w="4995" w:type="dxa"/>
            <w:tcBorders>
              <w:bottom w:val="single" w:sz="6" w:space="0" w:color="000000"/>
              <w:right w:val="single" w:sz="6" w:space="0" w:color="000000"/>
            </w:tcBorders>
            <w:vAlign w:val="center"/>
          </w:tcPr>
          <w:p w14:paraId="702E2447"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3532ADA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43CD53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CCD120C" w14:textId="77777777" w:rsidR="007D706A" w:rsidRDefault="007D706A" w:rsidP="00F70508">
            <w:pPr>
              <w:pStyle w:val="ParagraphStyle12"/>
              <w:rPr>
                <w:rStyle w:val="CharacterStyle12"/>
              </w:rPr>
            </w:pPr>
            <w:r>
              <w:rPr>
                <w:rStyle w:val="CharacterStyle12"/>
              </w:rPr>
              <w:t>341.178,44</w:t>
            </w:r>
          </w:p>
        </w:tc>
        <w:tc>
          <w:tcPr>
            <w:tcW w:w="1395" w:type="dxa"/>
            <w:tcBorders>
              <w:bottom w:val="single" w:sz="6" w:space="0" w:color="000000"/>
              <w:right w:val="single" w:sz="6" w:space="0" w:color="000000"/>
            </w:tcBorders>
            <w:vAlign w:val="center"/>
          </w:tcPr>
          <w:p w14:paraId="423A397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EBC562A" w14:textId="77777777" w:rsidR="007D706A" w:rsidRDefault="007D706A" w:rsidP="00F70508">
            <w:pPr>
              <w:pStyle w:val="ParagraphStyle12"/>
              <w:rPr>
                <w:rStyle w:val="CharacterStyle12"/>
              </w:rPr>
            </w:pPr>
            <w:r>
              <w:rPr>
                <w:rStyle w:val="CharacterStyle12"/>
              </w:rPr>
              <w:t>0,00</w:t>
            </w:r>
          </w:p>
        </w:tc>
      </w:tr>
      <w:tr w:rsidR="007D706A" w14:paraId="5268958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DF7DDBD" w14:textId="77777777" w:rsidR="007D706A" w:rsidRDefault="007D706A" w:rsidP="00F70508">
            <w:pPr>
              <w:pStyle w:val="ParagraphStyle4"/>
              <w:rPr>
                <w:rStyle w:val="CharacterStyle4"/>
              </w:rPr>
            </w:pPr>
            <w:r>
              <w:rPr>
                <w:rStyle w:val="CharacterStyle4"/>
              </w:rPr>
              <w:t>Kapitalni projekt K101482</w:t>
            </w:r>
          </w:p>
        </w:tc>
        <w:tc>
          <w:tcPr>
            <w:tcW w:w="4995" w:type="dxa"/>
            <w:tcBorders>
              <w:bottom w:val="single" w:sz="6" w:space="0" w:color="000000"/>
              <w:right w:val="single" w:sz="6" w:space="0" w:color="000000"/>
            </w:tcBorders>
            <w:vAlign w:val="center"/>
          </w:tcPr>
          <w:p w14:paraId="39027F17" w14:textId="77777777" w:rsidR="007D706A" w:rsidRDefault="007D706A" w:rsidP="00F70508">
            <w:pPr>
              <w:pStyle w:val="ParagraphStyle5"/>
              <w:rPr>
                <w:rStyle w:val="CharacterStyle5"/>
              </w:rPr>
            </w:pPr>
            <w:r>
              <w:rPr>
                <w:rStyle w:val="CharacterStyle5"/>
              </w:rPr>
              <w:t>REKONSTRUKCIJA OSNOVNE ŠKOLE V. NAZOR</w:t>
            </w:r>
          </w:p>
        </w:tc>
        <w:tc>
          <w:tcPr>
            <w:tcW w:w="1395" w:type="dxa"/>
            <w:tcBorders>
              <w:bottom w:val="single" w:sz="6" w:space="0" w:color="000000"/>
              <w:right w:val="single" w:sz="6" w:space="0" w:color="000000"/>
            </w:tcBorders>
            <w:vAlign w:val="center"/>
          </w:tcPr>
          <w:p w14:paraId="2FD2709F"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37374061"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5DADA10E" w14:textId="77777777" w:rsidR="007D706A" w:rsidRDefault="007D706A" w:rsidP="00F70508">
            <w:pPr>
              <w:pStyle w:val="ParagraphStyle6"/>
              <w:rPr>
                <w:rStyle w:val="CharacterStyle6"/>
              </w:rPr>
            </w:pPr>
            <w:r>
              <w:rPr>
                <w:rStyle w:val="CharacterStyle6"/>
              </w:rPr>
              <w:t>70.000,00</w:t>
            </w:r>
          </w:p>
        </w:tc>
        <w:tc>
          <w:tcPr>
            <w:tcW w:w="1395" w:type="dxa"/>
            <w:tcBorders>
              <w:bottom w:val="single" w:sz="6" w:space="0" w:color="000000"/>
              <w:right w:val="single" w:sz="6" w:space="0" w:color="000000"/>
            </w:tcBorders>
            <w:vAlign w:val="center"/>
          </w:tcPr>
          <w:p w14:paraId="69086B6D" w14:textId="77777777" w:rsidR="007D706A" w:rsidRDefault="007D706A" w:rsidP="00F70508">
            <w:pPr>
              <w:pStyle w:val="ParagraphStyle6"/>
              <w:rPr>
                <w:rStyle w:val="CharacterStyle6"/>
              </w:rPr>
            </w:pPr>
            <w:r>
              <w:rPr>
                <w:rStyle w:val="CharacterStyle6"/>
              </w:rPr>
              <w:t>181.000,00</w:t>
            </w:r>
          </w:p>
        </w:tc>
        <w:tc>
          <w:tcPr>
            <w:tcW w:w="1395" w:type="dxa"/>
            <w:tcBorders>
              <w:bottom w:val="single" w:sz="6" w:space="0" w:color="000000"/>
              <w:right w:val="single" w:sz="6" w:space="0" w:color="000000"/>
            </w:tcBorders>
            <w:vAlign w:val="center"/>
          </w:tcPr>
          <w:p w14:paraId="030E3088" w14:textId="77777777" w:rsidR="007D706A" w:rsidRDefault="007D706A" w:rsidP="00F70508">
            <w:pPr>
              <w:pStyle w:val="ParagraphStyle6"/>
              <w:rPr>
                <w:rStyle w:val="CharacterStyle6"/>
              </w:rPr>
            </w:pPr>
            <w:r>
              <w:rPr>
                <w:rStyle w:val="CharacterStyle6"/>
              </w:rPr>
              <w:t>215.000,00</w:t>
            </w:r>
          </w:p>
        </w:tc>
      </w:tr>
      <w:tr w:rsidR="007D706A" w14:paraId="3CE8BD2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13CC712"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63ADA70C"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17EE6954"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04B798F"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A8325B6" w14:textId="77777777" w:rsidR="007D706A" w:rsidRDefault="007D706A" w:rsidP="00F70508">
            <w:pPr>
              <w:pStyle w:val="ParagraphStyle9"/>
              <w:rPr>
                <w:rStyle w:val="CharacterStyle9"/>
              </w:rPr>
            </w:pPr>
            <w:r>
              <w:rPr>
                <w:rStyle w:val="CharacterStyle9"/>
              </w:rPr>
              <w:t>70.000,00</w:t>
            </w:r>
          </w:p>
        </w:tc>
        <w:tc>
          <w:tcPr>
            <w:tcW w:w="1395" w:type="dxa"/>
            <w:tcBorders>
              <w:bottom w:val="single" w:sz="6" w:space="0" w:color="000000"/>
              <w:right w:val="single" w:sz="6" w:space="0" w:color="000000"/>
            </w:tcBorders>
            <w:vAlign w:val="center"/>
          </w:tcPr>
          <w:p w14:paraId="744A8AE2" w14:textId="77777777" w:rsidR="007D706A" w:rsidRDefault="007D706A" w:rsidP="00F70508">
            <w:pPr>
              <w:pStyle w:val="ParagraphStyle9"/>
              <w:rPr>
                <w:rStyle w:val="CharacterStyle9"/>
              </w:rPr>
            </w:pPr>
            <w:r>
              <w:rPr>
                <w:rStyle w:val="CharacterStyle9"/>
              </w:rPr>
              <w:t>181.000,00</w:t>
            </w:r>
          </w:p>
        </w:tc>
        <w:tc>
          <w:tcPr>
            <w:tcW w:w="1395" w:type="dxa"/>
            <w:tcBorders>
              <w:bottom w:val="single" w:sz="6" w:space="0" w:color="000000"/>
              <w:right w:val="single" w:sz="6" w:space="0" w:color="000000"/>
            </w:tcBorders>
            <w:vAlign w:val="center"/>
          </w:tcPr>
          <w:p w14:paraId="6ABF0326" w14:textId="77777777" w:rsidR="007D706A" w:rsidRDefault="007D706A" w:rsidP="00F70508">
            <w:pPr>
              <w:pStyle w:val="ParagraphStyle9"/>
              <w:rPr>
                <w:rStyle w:val="CharacterStyle9"/>
              </w:rPr>
            </w:pPr>
            <w:r>
              <w:rPr>
                <w:rStyle w:val="CharacterStyle9"/>
              </w:rPr>
              <w:t>215.000,00</w:t>
            </w:r>
          </w:p>
        </w:tc>
      </w:tr>
      <w:tr w:rsidR="007D706A" w14:paraId="49A8B95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7ADF7D5"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78097EB7"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1F4F389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D3B4B2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6BFF862" w14:textId="77777777" w:rsidR="007D706A" w:rsidRDefault="007D706A" w:rsidP="00F70508">
            <w:pPr>
              <w:pStyle w:val="ParagraphStyle12"/>
              <w:rPr>
                <w:rStyle w:val="CharacterStyle12"/>
              </w:rPr>
            </w:pPr>
            <w:r>
              <w:rPr>
                <w:rStyle w:val="CharacterStyle12"/>
              </w:rPr>
              <w:t>70.000,00</w:t>
            </w:r>
          </w:p>
        </w:tc>
        <w:tc>
          <w:tcPr>
            <w:tcW w:w="1395" w:type="dxa"/>
            <w:tcBorders>
              <w:bottom w:val="single" w:sz="6" w:space="0" w:color="000000"/>
              <w:right w:val="single" w:sz="6" w:space="0" w:color="000000"/>
            </w:tcBorders>
            <w:vAlign w:val="center"/>
          </w:tcPr>
          <w:p w14:paraId="2DA884D2" w14:textId="77777777" w:rsidR="007D706A" w:rsidRDefault="007D706A" w:rsidP="00F70508">
            <w:pPr>
              <w:pStyle w:val="ParagraphStyle12"/>
              <w:rPr>
                <w:rStyle w:val="CharacterStyle12"/>
              </w:rPr>
            </w:pPr>
            <w:r>
              <w:rPr>
                <w:rStyle w:val="CharacterStyle12"/>
              </w:rPr>
              <w:t>181.000,00</w:t>
            </w:r>
          </w:p>
        </w:tc>
        <w:tc>
          <w:tcPr>
            <w:tcW w:w="1395" w:type="dxa"/>
            <w:tcBorders>
              <w:bottom w:val="single" w:sz="6" w:space="0" w:color="000000"/>
              <w:right w:val="single" w:sz="6" w:space="0" w:color="000000"/>
            </w:tcBorders>
            <w:vAlign w:val="center"/>
          </w:tcPr>
          <w:p w14:paraId="34FC2F20" w14:textId="77777777" w:rsidR="007D706A" w:rsidRDefault="007D706A" w:rsidP="00F70508">
            <w:pPr>
              <w:pStyle w:val="ParagraphStyle12"/>
              <w:rPr>
                <w:rStyle w:val="CharacterStyle12"/>
              </w:rPr>
            </w:pPr>
            <w:r>
              <w:rPr>
                <w:rStyle w:val="CharacterStyle12"/>
              </w:rPr>
              <w:t>215.000,00</w:t>
            </w:r>
          </w:p>
        </w:tc>
      </w:tr>
      <w:tr w:rsidR="007D706A" w14:paraId="4B87D4B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8DBFD59" w14:textId="77777777" w:rsidR="007D706A" w:rsidRDefault="007D706A" w:rsidP="00F70508">
            <w:pPr>
              <w:pStyle w:val="ParagraphStyle10"/>
              <w:rPr>
                <w:rStyle w:val="CharacterStyle10"/>
              </w:rPr>
            </w:pPr>
            <w:r>
              <w:rPr>
                <w:rStyle w:val="CharacterStyle10"/>
              </w:rPr>
              <w:t>42</w:t>
            </w:r>
          </w:p>
        </w:tc>
        <w:tc>
          <w:tcPr>
            <w:tcW w:w="4995" w:type="dxa"/>
            <w:tcBorders>
              <w:bottom w:val="single" w:sz="6" w:space="0" w:color="000000"/>
              <w:right w:val="single" w:sz="6" w:space="0" w:color="000000"/>
            </w:tcBorders>
            <w:vAlign w:val="center"/>
          </w:tcPr>
          <w:p w14:paraId="5A9333FE"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5C3E905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734E14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2B3420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1F9BDB8" w14:textId="77777777" w:rsidR="007D706A" w:rsidRDefault="007D706A" w:rsidP="00F70508">
            <w:pPr>
              <w:pStyle w:val="ParagraphStyle12"/>
              <w:rPr>
                <w:rStyle w:val="CharacterStyle12"/>
              </w:rPr>
            </w:pPr>
            <w:r>
              <w:rPr>
                <w:rStyle w:val="CharacterStyle12"/>
              </w:rPr>
              <w:t>181.000,00</w:t>
            </w:r>
          </w:p>
        </w:tc>
        <w:tc>
          <w:tcPr>
            <w:tcW w:w="1395" w:type="dxa"/>
            <w:tcBorders>
              <w:bottom w:val="single" w:sz="6" w:space="0" w:color="000000"/>
              <w:right w:val="single" w:sz="6" w:space="0" w:color="000000"/>
            </w:tcBorders>
            <w:vAlign w:val="center"/>
          </w:tcPr>
          <w:p w14:paraId="44F02352" w14:textId="77777777" w:rsidR="007D706A" w:rsidRDefault="007D706A" w:rsidP="00F70508">
            <w:pPr>
              <w:pStyle w:val="ParagraphStyle12"/>
              <w:rPr>
                <w:rStyle w:val="CharacterStyle12"/>
              </w:rPr>
            </w:pPr>
            <w:r>
              <w:rPr>
                <w:rStyle w:val="CharacterStyle12"/>
              </w:rPr>
              <w:t>215.000,00</w:t>
            </w:r>
          </w:p>
        </w:tc>
      </w:tr>
      <w:tr w:rsidR="007D706A" w14:paraId="0B4131A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4F80E61" w14:textId="77777777" w:rsidR="007D706A" w:rsidRDefault="007D706A" w:rsidP="00F70508">
            <w:pPr>
              <w:pStyle w:val="ParagraphStyle10"/>
              <w:rPr>
                <w:rStyle w:val="CharacterStyle10"/>
              </w:rPr>
            </w:pPr>
            <w:r>
              <w:rPr>
                <w:rStyle w:val="CharacterStyle10"/>
              </w:rPr>
              <w:t>45</w:t>
            </w:r>
          </w:p>
        </w:tc>
        <w:tc>
          <w:tcPr>
            <w:tcW w:w="4995" w:type="dxa"/>
            <w:tcBorders>
              <w:bottom w:val="single" w:sz="6" w:space="0" w:color="000000"/>
              <w:right w:val="single" w:sz="6" w:space="0" w:color="000000"/>
            </w:tcBorders>
            <w:vAlign w:val="center"/>
          </w:tcPr>
          <w:p w14:paraId="2B4C64EC" w14:textId="77777777" w:rsidR="007D706A" w:rsidRDefault="007D706A" w:rsidP="00F70508">
            <w:pPr>
              <w:pStyle w:val="ParagraphStyle11"/>
              <w:rPr>
                <w:rStyle w:val="CharacterStyle11"/>
              </w:rPr>
            </w:pPr>
            <w:r>
              <w:rPr>
                <w:rStyle w:val="CharacterStyle11"/>
              </w:rPr>
              <w:t>Rashodi za dodatna ulaganja na nefinancijskoj imovini</w:t>
            </w:r>
          </w:p>
        </w:tc>
        <w:tc>
          <w:tcPr>
            <w:tcW w:w="1395" w:type="dxa"/>
            <w:tcBorders>
              <w:bottom w:val="single" w:sz="6" w:space="0" w:color="000000"/>
              <w:right w:val="single" w:sz="6" w:space="0" w:color="000000"/>
            </w:tcBorders>
            <w:vAlign w:val="center"/>
          </w:tcPr>
          <w:p w14:paraId="2CC888B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4321CF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18EF273" w14:textId="77777777" w:rsidR="007D706A" w:rsidRDefault="007D706A" w:rsidP="00F70508">
            <w:pPr>
              <w:pStyle w:val="ParagraphStyle12"/>
              <w:rPr>
                <w:rStyle w:val="CharacterStyle12"/>
              </w:rPr>
            </w:pPr>
            <w:r>
              <w:rPr>
                <w:rStyle w:val="CharacterStyle12"/>
              </w:rPr>
              <w:t>70.000,00</w:t>
            </w:r>
          </w:p>
        </w:tc>
        <w:tc>
          <w:tcPr>
            <w:tcW w:w="1395" w:type="dxa"/>
            <w:tcBorders>
              <w:bottom w:val="single" w:sz="6" w:space="0" w:color="000000"/>
              <w:right w:val="single" w:sz="6" w:space="0" w:color="000000"/>
            </w:tcBorders>
            <w:vAlign w:val="center"/>
          </w:tcPr>
          <w:p w14:paraId="53F7E5C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8366EB0" w14:textId="77777777" w:rsidR="007D706A" w:rsidRDefault="007D706A" w:rsidP="00F70508">
            <w:pPr>
              <w:pStyle w:val="ParagraphStyle12"/>
              <w:rPr>
                <w:rStyle w:val="CharacterStyle12"/>
              </w:rPr>
            </w:pPr>
            <w:r>
              <w:rPr>
                <w:rStyle w:val="CharacterStyle12"/>
              </w:rPr>
              <w:t>0,00</w:t>
            </w:r>
          </w:p>
        </w:tc>
      </w:tr>
      <w:tr w:rsidR="007D706A" w14:paraId="570C25F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F1A93BB" w14:textId="77777777" w:rsidR="007D706A" w:rsidRDefault="007D706A" w:rsidP="00F70508">
            <w:pPr>
              <w:pStyle w:val="ParagraphStyle4"/>
              <w:rPr>
                <w:rStyle w:val="CharacterStyle4"/>
              </w:rPr>
            </w:pPr>
            <w:r>
              <w:rPr>
                <w:rStyle w:val="CharacterStyle4"/>
              </w:rPr>
              <w:t>Kapitalni projekt K101476</w:t>
            </w:r>
          </w:p>
        </w:tc>
        <w:tc>
          <w:tcPr>
            <w:tcW w:w="4995" w:type="dxa"/>
            <w:tcBorders>
              <w:bottom w:val="single" w:sz="6" w:space="0" w:color="000000"/>
              <w:right w:val="single" w:sz="6" w:space="0" w:color="000000"/>
            </w:tcBorders>
            <w:vAlign w:val="center"/>
          </w:tcPr>
          <w:p w14:paraId="19A25264" w14:textId="77777777" w:rsidR="007D706A" w:rsidRDefault="007D706A" w:rsidP="00F70508">
            <w:pPr>
              <w:pStyle w:val="ParagraphStyle5"/>
              <w:rPr>
                <w:rStyle w:val="CharacterStyle5"/>
              </w:rPr>
            </w:pPr>
            <w:r>
              <w:rPr>
                <w:rStyle w:val="CharacterStyle5"/>
              </w:rPr>
              <w:t>IZGRADNJA PROMETNICE GRIPOLE-SPINE'_ VIII. FAZA</w:t>
            </w:r>
          </w:p>
        </w:tc>
        <w:tc>
          <w:tcPr>
            <w:tcW w:w="1395" w:type="dxa"/>
            <w:tcBorders>
              <w:bottom w:val="single" w:sz="6" w:space="0" w:color="000000"/>
              <w:right w:val="single" w:sz="6" w:space="0" w:color="000000"/>
            </w:tcBorders>
            <w:vAlign w:val="center"/>
          </w:tcPr>
          <w:p w14:paraId="033F778F"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34DA6963"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3A09DCE6" w14:textId="77777777" w:rsidR="007D706A" w:rsidRDefault="007D706A" w:rsidP="00F70508">
            <w:pPr>
              <w:pStyle w:val="ParagraphStyle6"/>
              <w:rPr>
                <w:rStyle w:val="CharacterStyle6"/>
              </w:rPr>
            </w:pPr>
            <w:r>
              <w:rPr>
                <w:rStyle w:val="CharacterStyle6"/>
              </w:rPr>
              <w:t>104.000,00</w:t>
            </w:r>
          </w:p>
        </w:tc>
        <w:tc>
          <w:tcPr>
            <w:tcW w:w="1395" w:type="dxa"/>
            <w:tcBorders>
              <w:bottom w:val="single" w:sz="6" w:space="0" w:color="000000"/>
              <w:right w:val="single" w:sz="6" w:space="0" w:color="000000"/>
            </w:tcBorders>
            <w:vAlign w:val="center"/>
          </w:tcPr>
          <w:p w14:paraId="276C3D8C" w14:textId="77777777" w:rsidR="007D706A" w:rsidRDefault="007D706A" w:rsidP="00F70508">
            <w:pPr>
              <w:pStyle w:val="ParagraphStyle6"/>
              <w:rPr>
                <w:rStyle w:val="CharacterStyle6"/>
              </w:rPr>
            </w:pPr>
            <w:r>
              <w:rPr>
                <w:rStyle w:val="CharacterStyle6"/>
              </w:rPr>
              <w:t>248.000,00</w:t>
            </w:r>
          </w:p>
        </w:tc>
        <w:tc>
          <w:tcPr>
            <w:tcW w:w="1395" w:type="dxa"/>
            <w:tcBorders>
              <w:bottom w:val="single" w:sz="6" w:space="0" w:color="000000"/>
              <w:right w:val="single" w:sz="6" w:space="0" w:color="000000"/>
            </w:tcBorders>
            <w:vAlign w:val="center"/>
          </w:tcPr>
          <w:p w14:paraId="7E81DD1A" w14:textId="77777777" w:rsidR="007D706A" w:rsidRDefault="007D706A" w:rsidP="00F70508">
            <w:pPr>
              <w:pStyle w:val="ParagraphStyle6"/>
              <w:rPr>
                <w:rStyle w:val="CharacterStyle6"/>
              </w:rPr>
            </w:pPr>
            <w:r>
              <w:rPr>
                <w:rStyle w:val="CharacterStyle6"/>
              </w:rPr>
              <w:t>140.000,00</w:t>
            </w:r>
          </w:p>
        </w:tc>
      </w:tr>
      <w:tr w:rsidR="007D706A" w14:paraId="06C376F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818F70F" w14:textId="77777777" w:rsidR="007D706A" w:rsidRDefault="007D706A" w:rsidP="00F70508">
            <w:pPr>
              <w:pStyle w:val="ParagraphStyle7"/>
              <w:rPr>
                <w:rStyle w:val="CharacterStyle7"/>
              </w:rPr>
            </w:pPr>
            <w:r>
              <w:rPr>
                <w:rStyle w:val="CharacterStyle7"/>
              </w:rPr>
              <w:t>Izvor financiranja 40</w:t>
            </w:r>
          </w:p>
        </w:tc>
        <w:tc>
          <w:tcPr>
            <w:tcW w:w="4995" w:type="dxa"/>
            <w:tcBorders>
              <w:bottom w:val="single" w:sz="6" w:space="0" w:color="000000"/>
              <w:right w:val="single" w:sz="6" w:space="0" w:color="000000"/>
            </w:tcBorders>
            <w:vAlign w:val="center"/>
          </w:tcPr>
          <w:p w14:paraId="40CA9FC4" w14:textId="77777777" w:rsidR="007D706A" w:rsidRDefault="007D706A" w:rsidP="00F70508">
            <w:pPr>
              <w:pStyle w:val="ParagraphStyle8"/>
              <w:rPr>
                <w:rStyle w:val="CharacterStyle8"/>
              </w:rPr>
            </w:pPr>
            <w:r>
              <w:rPr>
                <w:rStyle w:val="CharacterStyle8"/>
              </w:rPr>
              <w:t>Prihodi od komunalne naknade i komunalnog doprinosa</w:t>
            </w:r>
          </w:p>
        </w:tc>
        <w:tc>
          <w:tcPr>
            <w:tcW w:w="1395" w:type="dxa"/>
            <w:tcBorders>
              <w:bottom w:val="single" w:sz="6" w:space="0" w:color="000000"/>
              <w:right w:val="single" w:sz="6" w:space="0" w:color="000000"/>
            </w:tcBorders>
            <w:vAlign w:val="center"/>
          </w:tcPr>
          <w:p w14:paraId="385FE736"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235E79F"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90392E7" w14:textId="77777777" w:rsidR="007D706A" w:rsidRDefault="007D706A" w:rsidP="00F70508">
            <w:pPr>
              <w:pStyle w:val="ParagraphStyle9"/>
              <w:rPr>
                <w:rStyle w:val="CharacterStyle9"/>
              </w:rPr>
            </w:pPr>
            <w:r>
              <w:rPr>
                <w:rStyle w:val="CharacterStyle9"/>
              </w:rPr>
              <w:t>104.000,00</w:t>
            </w:r>
          </w:p>
        </w:tc>
        <w:tc>
          <w:tcPr>
            <w:tcW w:w="1395" w:type="dxa"/>
            <w:tcBorders>
              <w:bottom w:val="single" w:sz="6" w:space="0" w:color="000000"/>
              <w:right w:val="single" w:sz="6" w:space="0" w:color="000000"/>
            </w:tcBorders>
            <w:vAlign w:val="center"/>
          </w:tcPr>
          <w:p w14:paraId="1927A773" w14:textId="77777777" w:rsidR="007D706A" w:rsidRDefault="007D706A" w:rsidP="00F70508">
            <w:pPr>
              <w:pStyle w:val="ParagraphStyle9"/>
              <w:rPr>
                <w:rStyle w:val="CharacterStyle9"/>
              </w:rPr>
            </w:pPr>
            <w:r>
              <w:rPr>
                <w:rStyle w:val="CharacterStyle9"/>
              </w:rPr>
              <w:t>248.000,00</w:t>
            </w:r>
          </w:p>
        </w:tc>
        <w:tc>
          <w:tcPr>
            <w:tcW w:w="1395" w:type="dxa"/>
            <w:tcBorders>
              <w:bottom w:val="single" w:sz="6" w:space="0" w:color="000000"/>
              <w:right w:val="single" w:sz="6" w:space="0" w:color="000000"/>
            </w:tcBorders>
            <w:vAlign w:val="center"/>
          </w:tcPr>
          <w:p w14:paraId="214FA040" w14:textId="77777777" w:rsidR="007D706A" w:rsidRDefault="007D706A" w:rsidP="00F70508">
            <w:pPr>
              <w:pStyle w:val="ParagraphStyle9"/>
              <w:rPr>
                <w:rStyle w:val="CharacterStyle9"/>
              </w:rPr>
            </w:pPr>
            <w:r>
              <w:rPr>
                <w:rStyle w:val="CharacterStyle9"/>
              </w:rPr>
              <w:t>140.000,00</w:t>
            </w:r>
          </w:p>
        </w:tc>
      </w:tr>
      <w:tr w:rsidR="007D706A" w14:paraId="3B66D33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3B6BE2A"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64AA1717"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6C44B24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27867B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02EF51B" w14:textId="77777777" w:rsidR="007D706A" w:rsidRDefault="007D706A" w:rsidP="00F70508">
            <w:pPr>
              <w:pStyle w:val="ParagraphStyle12"/>
              <w:rPr>
                <w:rStyle w:val="CharacterStyle12"/>
              </w:rPr>
            </w:pPr>
            <w:r>
              <w:rPr>
                <w:rStyle w:val="CharacterStyle12"/>
              </w:rPr>
              <w:t>104.000,00</w:t>
            </w:r>
          </w:p>
        </w:tc>
        <w:tc>
          <w:tcPr>
            <w:tcW w:w="1395" w:type="dxa"/>
            <w:tcBorders>
              <w:bottom w:val="single" w:sz="6" w:space="0" w:color="000000"/>
              <w:right w:val="single" w:sz="6" w:space="0" w:color="000000"/>
            </w:tcBorders>
            <w:vAlign w:val="center"/>
          </w:tcPr>
          <w:p w14:paraId="247DAD54" w14:textId="77777777" w:rsidR="007D706A" w:rsidRDefault="007D706A" w:rsidP="00F70508">
            <w:pPr>
              <w:pStyle w:val="ParagraphStyle12"/>
              <w:rPr>
                <w:rStyle w:val="CharacterStyle12"/>
              </w:rPr>
            </w:pPr>
            <w:r>
              <w:rPr>
                <w:rStyle w:val="CharacterStyle12"/>
              </w:rPr>
              <w:t>248.000,00</w:t>
            </w:r>
          </w:p>
        </w:tc>
        <w:tc>
          <w:tcPr>
            <w:tcW w:w="1395" w:type="dxa"/>
            <w:tcBorders>
              <w:bottom w:val="single" w:sz="6" w:space="0" w:color="000000"/>
              <w:right w:val="single" w:sz="6" w:space="0" w:color="000000"/>
            </w:tcBorders>
            <w:vAlign w:val="center"/>
          </w:tcPr>
          <w:p w14:paraId="046F42EB" w14:textId="77777777" w:rsidR="007D706A" w:rsidRDefault="007D706A" w:rsidP="00F70508">
            <w:pPr>
              <w:pStyle w:val="ParagraphStyle12"/>
              <w:rPr>
                <w:rStyle w:val="CharacterStyle12"/>
              </w:rPr>
            </w:pPr>
            <w:r>
              <w:rPr>
                <w:rStyle w:val="CharacterStyle12"/>
              </w:rPr>
              <w:t>140.000,00</w:t>
            </w:r>
          </w:p>
        </w:tc>
      </w:tr>
      <w:tr w:rsidR="007D706A" w14:paraId="24CE5C4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2C2A8E5" w14:textId="77777777" w:rsidR="007D706A" w:rsidRDefault="007D706A" w:rsidP="00F70508">
            <w:pPr>
              <w:pStyle w:val="ParagraphStyle10"/>
              <w:rPr>
                <w:rStyle w:val="CharacterStyle10"/>
              </w:rPr>
            </w:pPr>
            <w:r>
              <w:rPr>
                <w:rStyle w:val="CharacterStyle10"/>
              </w:rPr>
              <w:t>42</w:t>
            </w:r>
          </w:p>
        </w:tc>
        <w:tc>
          <w:tcPr>
            <w:tcW w:w="4995" w:type="dxa"/>
            <w:tcBorders>
              <w:bottom w:val="single" w:sz="6" w:space="0" w:color="000000"/>
              <w:right w:val="single" w:sz="6" w:space="0" w:color="000000"/>
            </w:tcBorders>
            <w:vAlign w:val="center"/>
          </w:tcPr>
          <w:p w14:paraId="30D63BF3"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25C69C5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F687EE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6D896AA" w14:textId="77777777" w:rsidR="007D706A" w:rsidRDefault="007D706A" w:rsidP="00F70508">
            <w:pPr>
              <w:pStyle w:val="ParagraphStyle12"/>
              <w:rPr>
                <w:rStyle w:val="CharacterStyle12"/>
              </w:rPr>
            </w:pPr>
            <w:r>
              <w:rPr>
                <w:rStyle w:val="CharacterStyle12"/>
              </w:rPr>
              <w:t>104.000,00</w:t>
            </w:r>
          </w:p>
        </w:tc>
        <w:tc>
          <w:tcPr>
            <w:tcW w:w="1395" w:type="dxa"/>
            <w:tcBorders>
              <w:bottom w:val="single" w:sz="6" w:space="0" w:color="000000"/>
              <w:right w:val="single" w:sz="6" w:space="0" w:color="000000"/>
            </w:tcBorders>
            <w:vAlign w:val="center"/>
          </w:tcPr>
          <w:p w14:paraId="6E18ED8B" w14:textId="77777777" w:rsidR="007D706A" w:rsidRDefault="007D706A" w:rsidP="00F70508">
            <w:pPr>
              <w:pStyle w:val="ParagraphStyle12"/>
              <w:rPr>
                <w:rStyle w:val="CharacterStyle12"/>
              </w:rPr>
            </w:pPr>
            <w:r>
              <w:rPr>
                <w:rStyle w:val="CharacterStyle12"/>
              </w:rPr>
              <w:t>248.000,00</w:t>
            </w:r>
          </w:p>
        </w:tc>
        <w:tc>
          <w:tcPr>
            <w:tcW w:w="1395" w:type="dxa"/>
            <w:tcBorders>
              <w:bottom w:val="single" w:sz="6" w:space="0" w:color="000000"/>
              <w:right w:val="single" w:sz="6" w:space="0" w:color="000000"/>
            </w:tcBorders>
            <w:vAlign w:val="center"/>
          </w:tcPr>
          <w:p w14:paraId="4D5DDC04" w14:textId="77777777" w:rsidR="007D706A" w:rsidRDefault="007D706A" w:rsidP="00F70508">
            <w:pPr>
              <w:pStyle w:val="ParagraphStyle12"/>
              <w:rPr>
                <w:rStyle w:val="CharacterStyle12"/>
              </w:rPr>
            </w:pPr>
            <w:r>
              <w:rPr>
                <w:rStyle w:val="CharacterStyle12"/>
              </w:rPr>
              <w:t>140.000,00</w:t>
            </w:r>
          </w:p>
        </w:tc>
      </w:tr>
      <w:tr w:rsidR="007D706A" w14:paraId="1BCDF2A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BB79718" w14:textId="77777777" w:rsidR="007D706A" w:rsidRDefault="007D706A" w:rsidP="00F70508">
            <w:pPr>
              <w:pStyle w:val="ParagraphStyle4"/>
              <w:rPr>
                <w:rStyle w:val="CharacterStyle4"/>
              </w:rPr>
            </w:pPr>
            <w:r>
              <w:rPr>
                <w:rStyle w:val="CharacterStyle4"/>
              </w:rPr>
              <w:t>Kapitalni projekt K101477</w:t>
            </w:r>
          </w:p>
        </w:tc>
        <w:tc>
          <w:tcPr>
            <w:tcW w:w="4995" w:type="dxa"/>
            <w:tcBorders>
              <w:bottom w:val="single" w:sz="6" w:space="0" w:color="000000"/>
              <w:right w:val="single" w:sz="6" w:space="0" w:color="000000"/>
            </w:tcBorders>
            <w:vAlign w:val="center"/>
          </w:tcPr>
          <w:p w14:paraId="6D2C3222" w14:textId="77777777" w:rsidR="007D706A" w:rsidRDefault="007D706A" w:rsidP="00F70508">
            <w:pPr>
              <w:pStyle w:val="ParagraphStyle5"/>
              <w:rPr>
                <w:rStyle w:val="CharacterStyle5"/>
              </w:rPr>
            </w:pPr>
            <w:r>
              <w:rPr>
                <w:rStyle w:val="CharacterStyle5"/>
              </w:rPr>
              <w:t>IZGRADNJA VATROGASNOG DOMA</w:t>
            </w:r>
          </w:p>
        </w:tc>
        <w:tc>
          <w:tcPr>
            <w:tcW w:w="1395" w:type="dxa"/>
            <w:tcBorders>
              <w:bottom w:val="single" w:sz="6" w:space="0" w:color="000000"/>
              <w:right w:val="single" w:sz="6" w:space="0" w:color="000000"/>
            </w:tcBorders>
            <w:vAlign w:val="center"/>
          </w:tcPr>
          <w:p w14:paraId="538C27F4"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42E5A12B"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7E64CD2D"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7C204063" w14:textId="77777777" w:rsidR="007D706A" w:rsidRDefault="007D706A" w:rsidP="00F70508">
            <w:pPr>
              <w:pStyle w:val="ParagraphStyle6"/>
              <w:rPr>
                <w:rStyle w:val="CharacterStyle6"/>
              </w:rPr>
            </w:pPr>
            <w:r>
              <w:rPr>
                <w:rStyle w:val="CharacterStyle6"/>
              </w:rPr>
              <w:t>57.000,00</w:t>
            </w:r>
          </w:p>
        </w:tc>
        <w:tc>
          <w:tcPr>
            <w:tcW w:w="1395" w:type="dxa"/>
            <w:tcBorders>
              <w:bottom w:val="single" w:sz="6" w:space="0" w:color="000000"/>
              <w:right w:val="single" w:sz="6" w:space="0" w:color="000000"/>
            </w:tcBorders>
            <w:vAlign w:val="center"/>
          </w:tcPr>
          <w:p w14:paraId="7C531EB5" w14:textId="77777777" w:rsidR="007D706A" w:rsidRDefault="007D706A" w:rsidP="00F70508">
            <w:pPr>
              <w:pStyle w:val="ParagraphStyle6"/>
              <w:rPr>
                <w:rStyle w:val="CharacterStyle6"/>
              </w:rPr>
            </w:pPr>
            <w:r>
              <w:rPr>
                <w:rStyle w:val="CharacterStyle6"/>
              </w:rPr>
              <w:t>279.000,00</w:t>
            </w:r>
          </w:p>
        </w:tc>
      </w:tr>
      <w:tr w:rsidR="007D706A" w14:paraId="3A40509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6E1BB1E" w14:textId="77777777" w:rsidR="007D706A" w:rsidRDefault="007D706A" w:rsidP="00F70508">
            <w:pPr>
              <w:pStyle w:val="ParagraphStyle7"/>
              <w:rPr>
                <w:rStyle w:val="CharacterStyle7"/>
              </w:rPr>
            </w:pPr>
            <w:r>
              <w:rPr>
                <w:rStyle w:val="CharacterStyle7"/>
              </w:rPr>
              <w:lastRenderedPageBreak/>
              <w:t>Izvor financiranja 11</w:t>
            </w:r>
          </w:p>
        </w:tc>
        <w:tc>
          <w:tcPr>
            <w:tcW w:w="4995" w:type="dxa"/>
            <w:tcBorders>
              <w:bottom w:val="single" w:sz="6" w:space="0" w:color="000000"/>
              <w:right w:val="single" w:sz="6" w:space="0" w:color="000000"/>
            </w:tcBorders>
            <w:vAlign w:val="center"/>
          </w:tcPr>
          <w:p w14:paraId="5CD44351"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562756F6"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E4001B8"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88ECE54"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98E483A" w14:textId="77777777" w:rsidR="007D706A" w:rsidRDefault="007D706A" w:rsidP="00F70508">
            <w:pPr>
              <w:pStyle w:val="ParagraphStyle9"/>
              <w:rPr>
                <w:rStyle w:val="CharacterStyle9"/>
              </w:rPr>
            </w:pPr>
            <w:r>
              <w:rPr>
                <w:rStyle w:val="CharacterStyle9"/>
              </w:rPr>
              <w:t>57.000,00</w:t>
            </w:r>
          </w:p>
        </w:tc>
        <w:tc>
          <w:tcPr>
            <w:tcW w:w="1395" w:type="dxa"/>
            <w:tcBorders>
              <w:bottom w:val="single" w:sz="6" w:space="0" w:color="000000"/>
              <w:right w:val="single" w:sz="6" w:space="0" w:color="000000"/>
            </w:tcBorders>
            <w:vAlign w:val="center"/>
          </w:tcPr>
          <w:p w14:paraId="4275BF7F" w14:textId="77777777" w:rsidR="007D706A" w:rsidRDefault="007D706A" w:rsidP="00F70508">
            <w:pPr>
              <w:pStyle w:val="ParagraphStyle9"/>
              <w:rPr>
                <w:rStyle w:val="CharacterStyle9"/>
              </w:rPr>
            </w:pPr>
            <w:r>
              <w:rPr>
                <w:rStyle w:val="CharacterStyle9"/>
              </w:rPr>
              <w:t>279.000,00</w:t>
            </w:r>
          </w:p>
        </w:tc>
      </w:tr>
      <w:tr w:rsidR="007D706A" w14:paraId="4BD2385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0608872"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225F6438"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409473E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A2F9AF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F59EAF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7973C9A" w14:textId="77777777" w:rsidR="007D706A" w:rsidRDefault="007D706A" w:rsidP="00F70508">
            <w:pPr>
              <w:pStyle w:val="ParagraphStyle12"/>
              <w:rPr>
                <w:rStyle w:val="CharacterStyle12"/>
              </w:rPr>
            </w:pPr>
            <w:r>
              <w:rPr>
                <w:rStyle w:val="CharacterStyle12"/>
              </w:rPr>
              <w:t>57.000,00</w:t>
            </w:r>
          </w:p>
        </w:tc>
        <w:tc>
          <w:tcPr>
            <w:tcW w:w="1395" w:type="dxa"/>
            <w:tcBorders>
              <w:bottom w:val="single" w:sz="6" w:space="0" w:color="000000"/>
              <w:right w:val="single" w:sz="6" w:space="0" w:color="000000"/>
            </w:tcBorders>
            <w:vAlign w:val="center"/>
          </w:tcPr>
          <w:p w14:paraId="6FFCAEFE" w14:textId="77777777" w:rsidR="007D706A" w:rsidRDefault="007D706A" w:rsidP="00F70508">
            <w:pPr>
              <w:pStyle w:val="ParagraphStyle12"/>
              <w:rPr>
                <w:rStyle w:val="CharacterStyle12"/>
              </w:rPr>
            </w:pPr>
            <w:r>
              <w:rPr>
                <w:rStyle w:val="CharacterStyle12"/>
              </w:rPr>
              <w:t>279.000,00</w:t>
            </w:r>
          </w:p>
        </w:tc>
      </w:tr>
      <w:tr w:rsidR="007D706A" w14:paraId="68B97906"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AC74095" w14:textId="77777777" w:rsidR="007D706A" w:rsidRDefault="007D706A" w:rsidP="00F70508">
            <w:pPr>
              <w:pStyle w:val="ParagraphStyle10"/>
              <w:rPr>
                <w:rStyle w:val="CharacterStyle10"/>
              </w:rPr>
            </w:pPr>
            <w:r>
              <w:rPr>
                <w:rStyle w:val="CharacterStyle10"/>
              </w:rPr>
              <w:t>42</w:t>
            </w:r>
          </w:p>
        </w:tc>
        <w:tc>
          <w:tcPr>
            <w:tcW w:w="4995" w:type="dxa"/>
            <w:tcBorders>
              <w:bottom w:val="single" w:sz="6" w:space="0" w:color="000000"/>
              <w:right w:val="single" w:sz="6" w:space="0" w:color="000000"/>
            </w:tcBorders>
            <w:vAlign w:val="center"/>
          </w:tcPr>
          <w:p w14:paraId="29058712"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541B897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F748DF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577155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47BB2C7" w14:textId="77777777" w:rsidR="007D706A" w:rsidRDefault="007D706A" w:rsidP="00F70508">
            <w:pPr>
              <w:pStyle w:val="ParagraphStyle12"/>
              <w:rPr>
                <w:rStyle w:val="CharacterStyle12"/>
              </w:rPr>
            </w:pPr>
            <w:r>
              <w:rPr>
                <w:rStyle w:val="CharacterStyle12"/>
              </w:rPr>
              <w:t>57.000,00</w:t>
            </w:r>
          </w:p>
        </w:tc>
        <w:tc>
          <w:tcPr>
            <w:tcW w:w="1395" w:type="dxa"/>
            <w:tcBorders>
              <w:bottom w:val="single" w:sz="6" w:space="0" w:color="000000"/>
              <w:right w:val="single" w:sz="6" w:space="0" w:color="000000"/>
            </w:tcBorders>
            <w:vAlign w:val="center"/>
          </w:tcPr>
          <w:p w14:paraId="48867168" w14:textId="77777777" w:rsidR="007D706A" w:rsidRDefault="007D706A" w:rsidP="00F70508">
            <w:pPr>
              <w:pStyle w:val="ParagraphStyle12"/>
              <w:rPr>
                <w:rStyle w:val="CharacterStyle12"/>
              </w:rPr>
            </w:pPr>
            <w:r>
              <w:rPr>
                <w:rStyle w:val="CharacterStyle12"/>
              </w:rPr>
              <w:t>279.000,00</w:t>
            </w:r>
          </w:p>
        </w:tc>
      </w:tr>
      <w:tr w:rsidR="007D706A" w14:paraId="4EB4362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E64B7A5" w14:textId="77777777" w:rsidR="007D706A" w:rsidRDefault="007D706A" w:rsidP="00F70508">
            <w:pPr>
              <w:pStyle w:val="ParagraphStyle4"/>
              <w:rPr>
                <w:rStyle w:val="CharacterStyle4"/>
              </w:rPr>
            </w:pPr>
            <w:r>
              <w:rPr>
                <w:rStyle w:val="CharacterStyle4"/>
              </w:rPr>
              <w:t>Kapitalni projekt K101479</w:t>
            </w:r>
          </w:p>
        </w:tc>
        <w:tc>
          <w:tcPr>
            <w:tcW w:w="4995" w:type="dxa"/>
            <w:tcBorders>
              <w:bottom w:val="single" w:sz="6" w:space="0" w:color="000000"/>
              <w:right w:val="single" w:sz="6" w:space="0" w:color="000000"/>
            </w:tcBorders>
            <w:vAlign w:val="center"/>
          </w:tcPr>
          <w:p w14:paraId="68E5EDF6" w14:textId="77777777" w:rsidR="007D706A" w:rsidRDefault="007D706A" w:rsidP="00F70508">
            <w:pPr>
              <w:pStyle w:val="ParagraphStyle5"/>
              <w:rPr>
                <w:rStyle w:val="CharacterStyle5"/>
              </w:rPr>
            </w:pPr>
            <w:r>
              <w:rPr>
                <w:rStyle w:val="CharacterStyle5"/>
              </w:rPr>
              <w:t>REKONSTRUKCIJA UL. VALSARESI</w:t>
            </w:r>
          </w:p>
        </w:tc>
        <w:tc>
          <w:tcPr>
            <w:tcW w:w="1395" w:type="dxa"/>
            <w:tcBorders>
              <w:bottom w:val="single" w:sz="6" w:space="0" w:color="000000"/>
              <w:right w:val="single" w:sz="6" w:space="0" w:color="000000"/>
            </w:tcBorders>
            <w:vAlign w:val="center"/>
          </w:tcPr>
          <w:p w14:paraId="57E6D8F9"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4E1EA3CB"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087E8CB3" w14:textId="77777777" w:rsidR="007D706A" w:rsidRDefault="007D706A" w:rsidP="00F70508">
            <w:pPr>
              <w:pStyle w:val="ParagraphStyle6"/>
              <w:rPr>
                <w:rStyle w:val="CharacterStyle6"/>
              </w:rPr>
            </w:pPr>
            <w:r>
              <w:rPr>
                <w:rStyle w:val="CharacterStyle6"/>
              </w:rPr>
              <w:t>56.000,00</w:t>
            </w:r>
          </w:p>
        </w:tc>
        <w:tc>
          <w:tcPr>
            <w:tcW w:w="1395" w:type="dxa"/>
            <w:tcBorders>
              <w:bottom w:val="single" w:sz="6" w:space="0" w:color="000000"/>
              <w:right w:val="single" w:sz="6" w:space="0" w:color="000000"/>
            </w:tcBorders>
            <w:vAlign w:val="center"/>
          </w:tcPr>
          <w:p w14:paraId="79E85C5B" w14:textId="77777777" w:rsidR="007D706A" w:rsidRDefault="007D706A" w:rsidP="00F70508">
            <w:pPr>
              <w:pStyle w:val="ParagraphStyle6"/>
              <w:rPr>
                <w:rStyle w:val="CharacterStyle6"/>
              </w:rPr>
            </w:pPr>
            <w:r>
              <w:rPr>
                <w:rStyle w:val="CharacterStyle6"/>
              </w:rPr>
              <w:t>42.000,00</w:t>
            </w:r>
          </w:p>
        </w:tc>
        <w:tc>
          <w:tcPr>
            <w:tcW w:w="1395" w:type="dxa"/>
            <w:tcBorders>
              <w:bottom w:val="single" w:sz="6" w:space="0" w:color="000000"/>
              <w:right w:val="single" w:sz="6" w:space="0" w:color="000000"/>
            </w:tcBorders>
            <w:vAlign w:val="center"/>
          </w:tcPr>
          <w:p w14:paraId="622C0B23" w14:textId="77777777" w:rsidR="007D706A" w:rsidRDefault="007D706A" w:rsidP="00F70508">
            <w:pPr>
              <w:pStyle w:val="ParagraphStyle6"/>
              <w:rPr>
                <w:rStyle w:val="CharacterStyle6"/>
              </w:rPr>
            </w:pPr>
            <w:r>
              <w:rPr>
                <w:rStyle w:val="CharacterStyle6"/>
              </w:rPr>
              <w:t>58.000,00</w:t>
            </w:r>
          </w:p>
        </w:tc>
      </w:tr>
      <w:tr w:rsidR="007D706A" w14:paraId="4E464F0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28D3F7D" w14:textId="77777777" w:rsidR="007D706A" w:rsidRDefault="007D706A" w:rsidP="00F70508">
            <w:pPr>
              <w:pStyle w:val="ParagraphStyle7"/>
              <w:rPr>
                <w:rStyle w:val="CharacterStyle7"/>
              </w:rPr>
            </w:pPr>
            <w:r>
              <w:rPr>
                <w:rStyle w:val="CharacterStyle7"/>
              </w:rPr>
              <w:t>Izvor financiranja 40</w:t>
            </w:r>
          </w:p>
        </w:tc>
        <w:tc>
          <w:tcPr>
            <w:tcW w:w="4995" w:type="dxa"/>
            <w:tcBorders>
              <w:bottom w:val="single" w:sz="6" w:space="0" w:color="000000"/>
              <w:right w:val="single" w:sz="6" w:space="0" w:color="000000"/>
            </w:tcBorders>
            <w:vAlign w:val="center"/>
          </w:tcPr>
          <w:p w14:paraId="2FC9A4C2" w14:textId="77777777" w:rsidR="007D706A" w:rsidRDefault="007D706A" w:rsidP="00F70508">
            <w:pPr>
              <w:pStyle w:val="ParagraphStyle8"/>
              <w:rPr>
                <w:rStyle w:val="CharacterStyle8"/>
              </w:rPr>
            </w:pPr>
            <w:r>
              <w:rPr>
                <w:rStyle w:val="CharacterStyle8"/>
              </w:rPr>
              <w:t>Prihodi od komunalne naknade i komunalnog doprinosa</w:t>
            </w:r>
          </w:p>
        </w:tc>
        <w:tc>
          <w:tcPr>
            <w:tcW w:w="1395" w:type="dxa"/>
            <w:tcBorders>
              <w:bottom w:val="single" w:sz="6" w:space="0" w:color="000000"/>
              <w:right w:val="single" w:sz="6" w:space="0" w:color="000000"/>
            </w:tcBorders>
            <w:vAlign w:val="center"/>
          </w:tcPr>
          <w:p w14:paraId="65C2742D"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FEFCA0C"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D27172F" w14:textId="77777777" w:rsidR="007D706A" w:rsidRDefault="007D706A" w:rsidP="00F70508">
            <w:pPr>
              <w:pStyle w:val="ParagraphStyle9"/>
              <w:rPr>
                <w:rStyle w:val="CharacterStyle9"/>
              </w:rPr>
            </w:pPr>
            <w:r>
              <w:rPr>
                <w:rStyle w:val="CharacterStyle9"/>
              </w:rPr>
              <w:t>56.000,00</w:t>
            </w:r>
          </w:p>
        </w:tc>
        <w:tc>
          <w:tcPr>
            <w:tcW w:w="1395" w:type="dxa"/>
            <w:tcBorders>
              <w:bottom w:val="single" w:sz="6" w:space="0" w:color="000000"/>
              <w:right w:val="single" w:sz="6" w:space="0" w:color="000000"/>
            </w:tcBorders>
            <w:vAlign w:val="center"/>
          </w:tcPr>
          <w:p w14:paraId="3FB14469" w14:textId="77777777" w:rsidR="007D706A" w:rsidRDefault="007D706A" w:rsidP="00F70508">
            <w:pPr>
              <w:pStyle w:val="ParagraphStyle9"/>
              <w:rPr>
                <w:rStyle w:val="CharacterStyle9"/>
              </w:rPr>
            </w:pPr>
            <w:r>
              <w:rPr>
                <w:rStyle w:val="CharacterStyle9"/>
              </w:rPr>
              <w:t>42.000,00</w:t>
            </w:r>
          </w:p>
        </w:tc>
        <w:tc>
          <w:tcPr>
            <w:tcW w:w="1395" w:type="dxa"/>
            <w:tcBorders>
              <w:bottom w:val="single" w:sz="6" w:space="0" w:color="000000"/>
              <w:right w:val="single" w:sz="6" w:space="0" w:color="000000"/>
            </w:tcBorders>
            <w:vAlign w:val="center"/>
          </w:tcPr>
          <w:p w14:paraId="0E9A3DEC" w14:textId="77777777" w:rsidR="007D706A" w:rsidRDefault="007D706A" w:rsidP="00F70508">
            <w:pPr>
              <w:pStyle w:val="ParagraphStyle9"/>
              <w:rPr>
                <w:rStyle w:val="CharacterStyle9"/>
              </w:rPr>
            </w:pPr>
            <w:r>
              <w:rPr>
                <w:rStyle w:val="CharacterStyle9"/>
              </w:rPr>
              <w:t>58.000,00</w:t>
            </w:r>
          </w:p>
        </w:tc>
      </w:tr>
      <w:tr w:rsidR="007D706A" w14:paraId="5BA728F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A531755"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60B31CE0"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5267A71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D824F3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B2692E1" w14:textId="77777777" w:rsidR="007D706A" w:rsidRDefault="007D706A" w:rsidP="00F70508">
            <w:pPr>
              <w:pStyle w:val="ParagraphStyle12"/>
              <w:rPr>
                <w:rStyle w:val="CharacterStyle12"/>
              </w:rPr>
            </w:pPr>
            <w:r>
              <w:rPr>
                <w:rStyle w:val="CharacterStyle12"/>
              </w:rPr>
              <w:t>56.000,00</w:t>
            </w:r>
          </w:p>
        </w:tc>
        <w:tc>
          <w:tcPr>
            <w:tcW w:w="1395" w:type="dxa"/>
            <w:tcBorders>
              <w:bottom w:val="single" w:sz="6" w:space="0" w:color="000000"/>
              <w:right w:val="single" w:sz="6" w:space="0" w:color="000000"/>
            </w:tcBorders>
            <w:vAlign w:val="center"/>
          </w:tcPr>
          <w:p w14:paraId="51DD92BC" w14:textId="77777777" w:rsidR="007D706A" w:rsidRDefault="007D706A" w:rsidP="00F70508">
            <w:pPr>
              <w:pStyle w:val="ParagraphStyle12"/>
              <w:rPr>
                <w:rStyle w:val="CharacterStyle12"/>
              </w:rPr>
            </w:pPr>
            <w:r>
              <w:rPr>
                <w:rStyle w:val="CharacterStyle12"/>
              </w:rPr>
              <w:t>42.000,00</w:t>
            </w:r>
          </w:p>
        </w:tc>
        <w:tc>
          <w:tcPr>
            <w:tcW w:w="1395" w:type="dxa"/>
            <w:tcBorders>
              <w:bottom w:val="single" w:sz="6" w:space="0" w:color="000000"/>
              <w:right w:val="single" w:sz="6" w:space="0" w:color="000000"/>
            </w:tcBorders>
            <w:vAlign w:val="center"/>
          </w:tcPr>
          <w:p w14:paraId="3C531DB3" w14:textId="77777777" w:rsidR="007D706A" w:rsidRDefault="007D706A" w:rsidP="00F70508">
            <w:pPr>
              <w:pStyle w:val="ParagraphStyle12"/>
              <w:rPr>
                <w:rStyle w:val="CharacterStyle12"/>
              </w:rPr>
            </w:pPr>
            <w:r>
              <w:rPr>
                <w:rStyle w:val="CharacterStyle12"/>
              </w:rPr>
              <w:t>58.000,00</w:t>
            </w:r>
          </w:p>
        </w:tc>
      </w:tr>
      <w:tr w:rsidR="007D706A" w14:paraId="656A8FD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6DBED91" w14:textId="77777777" w:rsidR="007D706A" w:rsidRDefault="007D706A" w:rsidP="00F70508">
            <w:pPr>
              <w:pStyle w:val="ParagraphStyle10"/>
              <w:rPr>
                <w:rStyle w:val="CharacterStyle10"/>
              </w:rPr>
            </w:pPr>
            <w:r>
              <w:rPr>
                <w:rStyle w:val="CharacterStyle10"/>
              </w:rPr>
              <w:t>42</w:t>
            </w:r>
          </w:p>
        </w:tc>
        <w:tc>
          <w:tcPr>
            <w:tcW w:w="4995" w:type="dxa"/>
            <w:tcBorders>
              <w:bottom w:val="single" w:sz="6" w:space="0" w:color="000000"/>
              <w:right w:val="single" w:sz="6" w:space="0" w:color="000000"/>
            </w:tcBorders>
            <w:vAlign w:val="center"/>
          </w:tcPr>
          <w:p w14:paraId="2E3598FC"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593AD60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132E77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8E6E79E" w14:textId="77777777" w:rsidR="007D706A" w:rsidRDefault="007D706A" w:rsidP="00F70508">
            <w:pPr>
              <w:pStyle w:val="ParagraphStyle12"/>
              <w:rPr>
                <w:rStyle w:val="CharacterStyle12"/>
              </w:rPr>
            </w:pPr>
            <w:r>
              <w:rPr>
                <w:rStyle w:val="CharacterStyle12"/>
              </w:rPr>
              <w:t>56.000,00</w:t>
            </w:r>
          </w:p>
        </w:tc>
        <w:tc>
          <w:tcPr>
            <w:tcW w:w="1395" w:type="dxa"/>
            <w:tcBorders>
              <w:bottom w:val="single" w:sz="6" w:space="0" w:color="000000"/>
              <w:right w:val="single" w:sz="6" w:space="0" w:color="000000"/>
            </w:tcBorders>
            <w:vAlign w:val="center"/>
          </w:tcPr>
          <w:p w14:paraId="2D50905C" w14:textId="77777777" w:rsidR="007D706A" w:rsidRDefault="007D706A" w:rsidP="00F70508">
            <w:pPr>
              <w:pStyle w:val="ParagraphStyle12"/>
              <w:rPr>
                <w:rStyle w:val="CharacterStyle12"/>
              </w:rPr>
            </w:pPr>
            <w:r>
              <w:rPr>
                <w:rStyle w:val="CharacterStyle12"/>
              </w:rPr>
              <w:t>42.000,00</w:t>
            </w:r>
          </w:p>
        </w:tc>
        <w:tc>
          <w:tcPr>
            <w:tcW w:w="1395" w:type="dxa"/>
            <w:tcBorders>
              <w:bottom w:val="single" w:sz="6" w:space="0" w:color="000000"/>
              <w:right w:val="single" w:sz="6" w:space="0" w:color="000000"/>
            </w:tcBorders>
            <w:vAlign w:val="center"/>
          </w:tcPr>
          <w:p w14:paraId="06BEEBD9" w14:textId="77777777" w:rsidR="007D706A" w:rsidRDefault="007D706A" w:rsidP="00F70508">
            <w:pPr>
              <w:pStyle w:val="ParagraphStyle12"/>
              <w:rPr>
                <w:rStyle w:val="CharacterStyle12"/>
              </w:rPr>
            </w:pPr>
            <w:r>
              <w:rPr>
                <w:rStyle w:val="CharacterStyle12"/>
              </w:rPr>
              <w:t>58.000,00</w:t>
            </w:r>
          </w:p>
        </w:tc>
      </w:tr>
      <w:tr w:rsidR="007D706A" w14:paraId="4CEBD15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41C104E" w14:textId="77777777" w:rsidR="007D706A" w:rsidRDefault="007D706A" w:rsidP="00F70508">
            <w:pPr>
              <w:pStyle w:val="ParagraphStyle4"/>
              <w:rPr>
                <w:rStyle w:val="CharacterStyle4"/>
              </w:rPr>
            </w:pPr>
            <w:r>
              <w:rPr>
                <w:rStyle w:val="CharacterStyle4"/>
              </w:rPr>
              <w:t>Kapitalni projekt K101484</w:t>
            </w:r>
          </w:p>
        </w:tc>
        <w:tc>
          <w:tcPr>
            <w:tcW w:w="4995" w:type="dxa"/>
            <w:tcBorders>
              <w:bottom w:val="single" w:sz="6" w:space="0" w:color="000000"/>
              <w:right w:val="single" w:sz="6" w:space="0" w:color="000000"/>
            </w:tcBorders>
            <w:vAlign w:val="center"/>
          </w:tcPr>
          <w:p w14:paraId="03AA4FD7" w14:textId="77777777" w:rsidR="007D706A" w:rsidRDefault="007D706A" w:rsidP="00F70508">
            <w:pPr>
              <w:pStyle w:val="ParagraphStyle5"/>
              <w:rPr>
                <w:rStyle w:val="CharacterStyle5"/>
              </w:rPr>
            </w:pPr>
            <w:r>
              <w:rPr>
                <w:rStyle w:val="CharacterStyle5"/>
              </w:rPr>
              <w:t>REKONSTRUKCIJA ROVINJSKE ULICE B</w:t>
            </w:r>
          </w:p>
        </w:tc>
        <w:tc>
          <w:tcPr>
            <w:tcW w:w="1395" w:type="dxa"/>
            <w:tcBorders>
              <w:bottom w:val="single" w:sz="6" w:space="0" w:color="000000"/>
              <w:right w:val="single" w:sz="6" w:space="0" w:color="000000"/>
            </w:tcBorders>
            <w:vAlign w:val="center"/>
          </w:tcPr>
          <w:p w14:paraId="37C593DE"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31C67E4C"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26E7EA80" w14:textId="77777777" w:rsidR="007D706A" w:rsidRDefault="007D706A" w:rsidP="00F70508">
            <w:pPr>
              <w:pStyle w:val="ParagraphStyle6"/>
              <w:rPr>
                <w:rStyle w:val="CharacterStyle6"/>
              </w:rPr>
            </w:pPr>
            <w:r>
              <w:rPr>
                <w:rStyle w:val="CharacterStyle6"/>
              </w:rPr>
              <w:t>105.000,00</w:t>
            </w:r>
          </w:p>
        </w:tc>
        <w:tc>
          <w:tcPr>
            <w:tcW w:w="1395" w:type="dxa"/>
            <w:tcBorders>
              <w:bottom w:val="single" w:sz="6" w:space="0" w:color="000000"/>
              <w:right w:val="single" w:sz="6" w:space="0" w:color="000000"/>
            </w:tcBorders>
            <w:vAlign w:val="center"/>
          </w:tcPr>
          <w:p w14:paraId="2A1BEF84" w14:textId="77777777" w:rsidR="007D706A" w:rsidRDefault="007D706A" w:rsidP="00F70508">
            <w:pPr>
              <w:pStyle w:val="ParagraphStyle6"/>
              <w:rPr>
                <w:rStyle w:val="CharacterStyle6"/>
              </w:rPr>
            </w:pPr>
            <w:r>
              <w:rPr>
                <w:rStyle w:val="CharacterStyle6"/>
              </w:rPr>
              <w:t>1.405.000,00</w:t>
            </w:r>
          </w:p>
        </w:tc>
        <w:tc>
          <w:tcPr>
            <w:tcW w:w="1395" w:type="dxa"/>
            <w:tcBorders>
              <w:bottom w:val="single" w:sz="6" w:space="0" w:color="000000"/>
              <w:right w:val="single" w:sz="6" w:space="0" w:color="000000"/>
            </w:tcBorders>
            <w:vAlign w:val="center"/>
          </w:tcPr>
          <w:p w14:paraId="0CC06B94" w14:textId="77777777" w:rsidR="007D706A" w:rsidRDefault="007D706A" w:rsidP="00F70508">
            <w:pPr>
              <w:pStyle w:val="ParagraphStyle6"/>
              <w:rPr>
                <w:rStyle w:val="CharacterStyle6"/>
              </w:rPr>
            </w:pPr>
            <w:r>
              <w:rPr>
                <w:rStyle w:val="CharacterStyle6"/>
              </w:rPr>
              <w:t>320.000,00</w:t>
            </w:r>
          </w:p>
        </w:tc>
      </w:tr>
      <w:tr w:rsidR="007D706A" w14:paraId="42CDA55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DCA3EB6" w14:textId="77777777" w:rsidR="007D706A" w:rsidRDefault="007D706A" w:rsidP="00F70508">
            <w:pPr>
              <w:pStyle w:val="ParagraphStyle7"/>
              <w:rPr>
                <w:rStyle w:val="CharacterStyle7"/>
              </w:rPr>
            </w:pPr>
            <w:r>
              <w:rPr>
                <w:rStyle w:val="CharacterStyle7"/>
              </w:rPr>
              <w:t>Izvor financiranja 40</w:t>
            </w:r>
          </w:p>
        </w:tc>
        <w:tc>
          <w:tcPr>
            <w:tcW w:w="4995" w:type="dxa"/>
            <w:tcBorders>
              <w:bottom w:val="single" w:sz="6" w:space="0" w:color="000000"/>
              <w:right w:val="single" w:sz="6" w:space="0" w:color="000000"/>
            </w:tcBorders>
            <w:vAlign w:val="center"/>
          </w:tcPr>
          <w:p w14:paraId="22D492A0" w14:textId="77777777" w:rsidR="007D706A" w:rsidRDefault="007D706A" w:rsidP="00F70508">
            <w:pPr>
              <w:pStyle w:val="ParagraphStyle8"/>
              <w:rPr>
                <w:rStyle w:val="CharacterStyle8"/>
              </w:rPr>
            </w:pPr>
            <w:r>
              <w:rPr>
                <w:rStyle w:val="CharacterStyle8"/>
              </w:rPr>
              <w:t>Prihodi od komunalne naknade i komunalnog doprinosa</w:t>
            </w:r>
          </w:p>
        </w:tc>
        <w:tc>
          <w:tcPr>
            <w:tcW w:w="1395" w:type="dxa"/>
            <w:tcBorders>
              <w:bottom w:val="single" w:sz="6" w:space="0" w:color="000000"/>
              <w:right w:val="single" w:sz="6" w:space="0" w:color="000000"/>
            </w:tcBorders>
            <w:vAlign w:val="center"/>
          </w:tcPr>
          <w:p w14:paraId="5009DB0B"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5250373"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8020D13" w14:textId="77777777" w:rsidR="007D706A" w:rsidRDefault="007D706A" w:rsidP="00F70508">
            <w:pPr>
              <w:pStyle w:val="ParagraphStyle9"/>
              <w:rPr>
                <w:rStyle w:val="CharacterStyle9"/>
              </w:rPr>
            </w:pPr>
            <w:r>
              <w:rPr>
                <w:rStyle w:val="CharacterStyle9"/>
              </w:rPr>
              <w:t>105.000,00</w:t>
            </w:r>
          </w:p>
        </w:tc>
        <w:tc>
          <w:tcPr>
            <w:tcW w:w="1395" w:type="dxa"/>
            <w:tcBorders>
              <w:bottom w:val="single" w:sz="6" w:space="0" w:color="000000"/>
              <w:right w:val="single" w:sz="6" w:space="0" w:color="000000"/>
            </w:tcBorders>
            <w:vAlign w:val="center"/>
          </w:tcPr>
          <w:p w14:paraId="21BC5185" w14:textId="77777777" w:rsidR="007D706A" w:rsidRDefault="007D706A" w:rsidP="00F70508">
            <w:pPr>
              <w:pStyle w:val="ParagraphStyle9"/>
              <w:rPr>
                <w:rStyle w:val="CharacterStyle9"/>
              </w:rPr>
            </w:pPr>
            <w:r>
              <w:rPr>
                <w:rStyle w:val="CharacterStyle9"/>
              </w:rPr>
              <w:t>1.405.000,00</w:t>
            </w:r>
          </w:p>
        </w:tc>
        <w:tc>
          <w:tcPr>
            <w:tcW w:w="1395" w:type="dxa"/>
            <w:tcBorders>
              <w:bottom w:val="single" w:sz="6" w:space="0" w:color="000000"/>
              <w:right w:val="single" w:sz="6" w:space="0" w:color="000000"/>
            </w:tcBorders>
            <w:vAlign w:val="center"/>
          </w:tcPr>
          <w:p w14:paraId="509016F5" w14:textId="77777777" w:rsidR="007D706A" w:rsidRDefault="007D706A" w:rsidP="00F70508">
            <w:pPr>
              <w:pStyle w:val="ParagraphStyle9"/>
              <w:rPr>
                <w:rStyle w:val="CharacterStyle9"/>
              </w:rPr>
            </w:pPr>
            <w:r>
              <w:rPr>
                <w:rStyle w:val="CharacterStyle9"/>
              </w:rPr>
              <w:t>0,00</w:t>
            </w:r>
          </w:p>
        </w:tc>
      </w:tr>
      <w:tr w:rsidR="007D706A" w14:paraId="431F359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64C1F57"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115B43AB"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753FC2A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A1B37B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1363AFA" w14:textId="77777777" w:rsidR="007D706A" w:rsidRDefault="007D706A" w:rsidP="00F70508">
            <w:pPr>
              <w:pStyle w:val="ParagraphStyle12"/>
              <w:rPr>
                <w:rStyle w:val="CharacterStyle12"/>
              </w:rPr>
            </w:pPr>
            <w:r>
              <w:rPr>
                <w:rStyle w:val="CharacterStyle12"/>
              </w:rPr>
              <w:t>105.000,00</w:t>
            </w:r>
          </w:p>
        </w:tc>
        <w:tc>
          <w:tcPr>
            <w:tcW w:w="1395" w:type="dxa"/>
            <w:tcBorders>
              <w:bottom w:val="single" w:sz="6" w:space="0" w:color="000000"/>
              <w:right w:val="single" w:sz="6" w:space="0" w:color="000000"/>
            </w:tcBorders>
            <w:vAlign w:val="center"/>
          </w:tcPr>
          <w:p w14:paraId="4881898C" w14:textId="77777777" w:rsidR="007D706A" w:rsidRDefault="007D706A" w:rsidP="00F70508">
            <w:pPr>
              <w:pStyle w:val="ParagraphStyle12"/>
              <w:rPr>
                <w:rStyle w:val="CharacterStyle12"/>
              </w:rPr>
            </w:pPr>
            <w:r>
              <w:rPr>
                <w:rStyle w:val="CharacterStyle12"/>
              </w:rPr>
              <w:t>1.405.000,00</w:t>
            </w:r>
          </w:p>
        </w:tc>
        <w:tc>
          <w:tcPr>
            <w:tcW w:w="1395" w:type="dxa"/>
            <w:tcBorders>
              <w:bottom w:val="single" w:sz="6" w:space="0" w:color="000000"/>
              <w:right w:val="single" w:sz="6" w:space="0" w:color="000000"/>
            </w:tcBorders>
            <w:vAlign w:val="center"/>
          </w:tcPr>
          <w:p w14:paraId="2C869C19" w14:textId="77777777" w:rsidR="007D706A" w:rsidRDefault="007D706A" w:rsidP="00F70508">
            <w:pPr>
              <w:pStyle w:val="ParagraphStyle12"/>
              <w:rPr>
                <w:rStyle w:val="CharacterStyle12"/>
              </w:rPr>
            </w:pPr>
            <w:r>
              <w:rPr>
                <w:rStyle w:val="CharacterStyle12"/>
              </w:rPr>
              <w:t>0,00</w:t>
            </w:r>
          </w:p>
        </w:tc>
      </w:tr>
      <w:tr w:rsidR="007D706A" w14:paraId="0E84385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F569DEC" w14:textId="77777777" w:rsidR="007D706A" w:rsidRDefault="007D706A" w:rsidP="00F70508">
            <w:pPr>
              <w:pStyle w:val="ParagraphStyle10"/>
              <w:rPr>
                <w:rStyle w:val="CharacterStyle10"/>
              </w:rPr>
            </w:pPr>
            <w:r>
              <w:rPr>
                <w:rStyle w:val="CharacterStyle10"/>
              </w:rPr>
              <w:t>42</w:t>
            </w:r>
          </w:p>
        </w:tc>
        <w:tc>
          <w:tcPr>
            <w:tcW w:w="4995" w:type="dxa"/>
            <w:tcBorders>
              <w:bottom w:val="single" w:sz="6" w:space="0" w:color="000000"/>
              <w:right w:val="single" w:sz="6" w:space="0" w:color="000000"/>
            </w:tcBorders>
            <w:vAlign w:val="center"/>
          </w:tcPr>
          <w:p w14:paraId="58F51A95"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4E09BAA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64A10B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2707FAB" w14:textId="77777777" w:rsidR="007D706A" w:rsidRDefault="007D706A" w:rsidP="00F70508">
            <w:pPr>
              <w:pStyle w:val="ParagraphStyle12"/>
              <w:rPr>
                <w:rStyle w:val="CharacterStyle12"/>
              </w:rPr>
            </w:pPr>
            <w:r>
              <w:rPr>
                <w:rStyle w:val="CharacterStyle12"/>
              </w:rPr>
              <w:t>105.000,00</w:t>
            </w:r>
          </w:p>
        </w:tc>
        <w:tc>
          <w:tcPr>
            <w:tcW w:w="1395" w:type="dxa"/>
            <w:tcBorders>
              <w:bottom w:val="single" w:sz="6" w:space="0" w:color="000000"/>
              <w:right w:val="single" w:sz="6" w:space="0" w:color="000000"/>
            </w:tcBorders>
            <w:vAlign w:val="center"/>
          </w:tcPr>
          <w:p w14:paraId="70DEA3A0" w14:textId="77777777" w:rsidR="007D706A" w:rsidRDefault="007D706A" w:rsidP="00F70508">
            <w:pPr>
              <w:pStyle w:val="ParagraphStyle12"/>
              <w:rPr>
                <w:rStyle w:val="CharacterStyle12"/>
              </w:rPr>
            </w:pPr>
            <w:r>
              <w:rPr>
                <w:rStyle w:val="CharacterStyle12"/>
              </w:rPr>
              <w:t>1.405.000,00</w:t>
            </w:r>
          </w:p>
        </w:tc>
        <w:tc>
          <w:tcPr>
            <w:tcW w:w="1395" w:type="dxa"/>
            <w:tcBorders>
              <w:bottom w:val="single" w:sz="6" w:space="0" w:color="000000"/>
              <w:right w:val="single" w:sz="6" w:space="0" w:color="000000"/>
            </w:tcBorders>
            <w:vAlign w:val="center"/>
          </w:tcPr>
          <w:p w14:paraId="28382F88" w14:textId="77777777" w:rsidR="007D706A" w:rsidRDefault="007D706A" w:rsidP="00F70508">
            <w:pPr>
              <w:pStyle w:val="ParagraphStyle12"/>
              <w:rPr>
                <w:rStyle w:val="CharacterStyle12"/>
              </w:rPr>
            </w:pPr>
            <w:r>
              <w:rPr>
                <w:rStyle w:val="CharacterStyle12"/>
              </w:rPr>
              <w:t>0,00</w:t>
            </w:r>
          </w:p>
        </w:tc>
      </w:tr>
      <w:tr w:rsidR="007D706A" w14:paraId="209D269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1733E53" w14:textId="77777777" w:rsidR="007D706A" w:rsidRDefault="007D706A" w:rsidP="00F70508">
            <w:pPr>
              <w:pStyle w:val="ParagraphStyle7"/>
              <w:rPr>
                <w:rStyle w:val="CharacterStyle7"/>
              </w:rPr>
            </w:pPr>
            <w:r>
              <w:rPr>
                <w:rStyle w:val="CharacterStyle7"/>
              </w:rPr>
              <w:t>Izvor financiranja 43</w:t>
            </w:r>
          </w:p>
        </w:tc>
        <w:tc>
          <w:tcPr>
            <w:tcW w:w="4995" w:type="dxa"/>
            <w:tcBorders>
              <w:bottom w:val="single" w:sz="6" w:space="0" w:color="000000"/>
              <w:right w:val="single" w:sz="6" w:space="0" w:color="000000"/>
            </w:tcBorders>
            <w:vAlign w:val="center"/>
          </w:tcPr>
          <w:p w14:paraId="3D2AB744" w14:textId="77777777" w:rsidR="007D706A" w:rsidRDefault="007D706A" w:rsidP="00F70508">
            <w:pPr>
              <w:pStyle w:val="ParagraphStyle8"/>
              <w:rPr>
                <w:rStyle w:val="CharacterStyle8"/>
              </w:rPr>
            </w:pPr>
            <w:r>
              <w:rPr>
                <w:rStyle w:val="CharacterStyle8"/>
              </w:rPr>
              <w:t>Ostali prihodi za posebne namjene</w:t>
            </w:r>
          </w:p>
        </w:tc>
        <w:tc>
          <w:tcPr>
            <w:tcW w:w="1395" w:type="dxa"/>
            <w:tcBorders>
              <w:bottom w:val="single" w:sz="6" w:space="0" w:color="000000"/>
              <w:right w:val="single" w:sz="6" w:space="0" w:color="000000"/>
            </w:tcBorders>
            <w:vAlign w:val="center"/>
          </w:tcPr>
          <w:p w14:paraId="2AC57FA0"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5BDECD9"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23424DD"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576F8A4"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02D9AEB" w14:textId="77777777" w:rsidR="007D706A" w:rsidRDefault="007D706A" w:rsidP="00F70508">
            <w:pPr>
              <w:pStyle w:val="ParagraphStyle9"/>
              <w:rPr>
                <w:rStyle w:val="CharacterStyle9"/>
              </w:rPr>
            </w:pPr>
            <w:r>
              <w:rPr>
                <w:rStyle w:val="CharacterStyle9"/>
              </w:rPr>
              <w:t>320.000,00</w:t>
            </w:r>
          </w:p>
        </w:tc>
      </w:tr>
      <w:tr w:rsidR="007D706A" w14:paraId="499CB6E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7DDC352"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219B0C8A"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543CC54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A680E2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4F3C93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77AC45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BCAAEB3" w14:textId="77777777" w:rsidR="007D706A" w:rsidRDefault="007D706A" w:rsidP="00F70508">
            <w:pPr>
              <w:pStyle w:val="ParagraphStyle12"/>
              <w:rPr>
                <w:rStyle w:val="CharacterStyle12"/>
              </w:rPr>
            </w:pPr>
            <w:r>
              <w:rPr>
                <w:rStyle w:val="CharacterStyle12"/>
              </w:rPr>
              <w:t>320.000,00</w:t>
            </w:r>
          </w:p>
        </w:tc>
      </w:tr>
      <w:tr w:rsidR="007D706A" w14:paraId="7D4BD6B6"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C20DC3D" w14:textId="77777777" w:rsidR="007D706A" w:rsidRDefault="007D706A" w:rsidP="00F70508">
            <w:pPr>
              <w:pStyle w:val="ParagraphStyle10"/>
              <w:rPr>
                <w:rStyle w:val="CharacterStyle10"/>
              </w:rPr>
            </w:pPr>
            <w:r>
              <w:rPr>
                <w:rStyle w:val="CharacterStyle10"/>
              </w:rPr>
              <w:t>42</w:t>
            </w:r>
          </w:p>
        </w:tc>
        <w:tc>
          <w:tcPr>
            <w:tcW w:w="4995" w:type="dxa"/>
            <w:tcBorders>
              <w:bottom w:val="single" w:sz="6" w:space="0" w:color="000000"/>
              <w:right w:val="single" w:sz="6" w:space="0" w:color="000000"/>
            </w:tcBorders>
            <w:vAlign w:val="center"/>
          </w:tcPr>
          <w:p w14:paraId="33ADC55C"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2C7932E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0A3025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89D9A7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13AF54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DDFC9C2" w14:textId="77777777" w:rsidR="007D706A" w:rsidRDefault="007D706A" w:rsidP="00F70508">
            <w:pPr>
              <w:pStyle w:val="ParagraphStyle12"/>
              <w:rPr>
                <w:rStyle w:val="CharacterStyle12"/>
              </w:rPr>
            </w:pPr>
            <w:r>
              <w:rPr>
                <w:rStyle w:val="CharacterStyle12"/>
              </w:rPr>
              <w:t>320.000,00</w:t>
            </w:r>
          </w:p>
        </w:tc>
      </w:tr>
      <w:tr w:rsidR="007D706A" w14:paraId="4216A50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1791002" w14:textId="77777777" w:rsidR="007D706A" w:rsidRDefault="007D706A" w:rsidP="00F70508">
            <w:pPr>
              <w:pStyle w:val="ParagraphStyle4"/>
              <w:rPr>
                <w:rStyle w:val="CharacterStyle4"/>
              </w:rPr>
            </w:pPr>
            <w:r>
              <w:rPr>
                <w:rStyle w:val="CharacterStyle4"/>
              </w:rPr>
              <w:t>Kapitalni projekt K101478</w:t>
            </w:r>
          </w:p>
        </w:tc>
        <w:tc>
          <w:tcPr>
            <w:tcW w:w="4995" w:type="dxa"/>
            <w:tcBorders>
              <w:bottom w:val="single" w:sz="6" w:space="0" w:color="000000"/>
              <w:right w:val="single" w:sz="6" w:space="0" w:color="000000"/>
            </w:tcBorders>
            <w:vAlign w:val="center"/>
          </w:tcPr>
          <w:p w14:paraId="7C67FB5C" w14:textId="77777777" w:rsidR="007D706A" w:rsidRDefault="007D706A" w:rsidP="00F70508">
            <w:pPr>
              <w:pStyle w:val="ParagraphStyle5"/>
              <w:rPr>
                <w:rStyle w:val="CharacterStyle5"/>
              </w:rPr>
            </w:pPr>
            <w:r>
              <w:rPr>
                <w:rStyle w:val="CharacterStyle5"/>
              </w:rPr>
              <w:t>IZGRADNJA PROMETNICE IVANA ZAJCA</w:t>
            </w:r>
          </w:p>
        </w:tc>
        <w:tc>
          <w:tcPr>
            <w:tcW w:w="1395" w:type="dxa"/>
            <w:tcBorders>
              <w:bottom w:val="single" w:sz="6" w:space="0" w:color="000000"/>
              <w:right w:val="single" w:sz="6" w:space="0" w:color="000000"/>
            </w:tcBorders>
            <w:vAlign w:val="center"/>
          </w:tcPr>
          <w:p w14:paraId="3C22E212"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2147AAE0"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55732126"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3CCB9D79" w14:textId="77777777" w:rsidR="007D706A" w:rsidRDefault="007D706A" w:rsidP="00F70508">
            <w:pPr>
              <w:pStyle w:val="ParagraphStyle6"/>
              <w:rPr>
                <w:rStyle w:val="CharacterStyle6"/>
              </w:rPr>
            </w:pPr>
            <w:r>
              <w:rPr>
                <w:rStyle w:val="CharacterStyle6"/>
              </w:rPr>
              <w:t>130.000,00</w:t>
            </w:r>
          </w:p>
        </w:tc>
        <w:tc>
          <w:tcPr>
            <w:tcW w:w="1395" w:type="dxa"/>
            <w:tcBorders>
              <w:bottom w:val="single" w:sz="6" w:space="0" w:color="000000"/>
              <w:right w:val="single" w:sz="6" w:space="0" w:color="000000"/>
            </w:tcBorders>
            <w:vAlign w:val="center"/>
          </w:tcPr>
          <w:p w14:paraId="6A650FA9" w14:textId="77777777" w:rsidR="007D706A" w:rsidRDefault="007D706A" w:rsidP="00F70508">
            <w:pPr>
              <w:pStyle w:val="ParagraphStyle6"/>
              <w:rPr>
                <w:rStyle w:val="CharacterStyle6"/>
              </w:rPr>
            </w:pPr>
            <w:r>
              <w:rPr>
                <w:rStyle w:val="CharacterStyle6"/>
              </w:rPr>
              <w:t>470.200,00</w:t>
            </w:r>
          </w:p>
        </w:tc>
      </w:tr>
      <w:tr w:rsidR="007D706A" w14:paraId="2C64DC9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9C5E730" w14:textId="77777777" w:rsidR="007D706A" w:rsidRDefault="007D706A" w:rsidP="00F70508">
            <w:pPr>
              <w:pStyle w:val="ParagraphStyle7"/>
              <w:rPr>
                <w:rStyle w:val="CharacterStyle7"/>
              </w:rPr>
            </w:pPr>
            <w:r>
              <w:rPr>
                <w:rStyle w:val="CharacterStyle7"/>
              </w:rPr>
              <w:t>Izvor financiranja 40</w:t>
            </w:r>
          </w:p>
        </w:tc>
        <w:tc>
          <w:tcPr>
            <w:tcW w:w="4995" w:type="dxa"/>
            <w:tcBorders>
              <w:bottom w:val="single" w:sz="6" w:space="0" w:color="000000"/>
              <w:right w:val="single" w:sz="6" w:space="0" w:color="000000"/>
            </w:tcBorders>
            <w:vAlign w:val="center"/>
          </w:tcPr>
          <w:p w14:paraId="384320FD" w14:textId="77777777" w:rsidR="007D706A" w:rsidRDefault="007D706A" w:rsidP="00F70508">
            <w:pPr>
              <w:pStyle w:val="ParagraphStyle8"/>
              <w:rPr>
                <w:rStyle w:val="CharacterStyle8"/>
              </w:rPr>
            </w:pPr>
            <w:r>
              <w:rPr>
                <w:rStyle w:val="CharacterStyle8"/>
              </w:rPr>
              <w:t>Prihodi od komunalne naknade i komunalnog doprinosa</w:t>
            </w:r>
          </w:p>
        </w:tc>
        <w:tc>
          <w:tcPr>
            <w:tcW w:w="1395" w:type="dxa"/>
            <w:tcBorders>
              <w:bottom w:val="single" w:sz="6" w:space="0" w:color="000000"/>
              <w:right w:val="single" w:sz="6" w:space="0" w:color="000000"/>
            </w:tcBorders>
            <w:vAlign w:val="center"/>
          </w:tcPr>
          <w:p w14:paraId="025549D4"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CFDFB2C"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6998075"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9E1DF32" w14:textId="77777777" w:rsidR="007D706A" w:rsidRDefault="007D706A" w:rsidP="00F70508">
            <w:pPr>
              <w:pStyle w:val="ParagraphStyle9"/>
              <w:rPr>
                <w:rStyle w:val="CharacterStyle9"/>
              </w:rPr>
            </w:pPr>
            <w:r>
              <w:rPr>
                <w:rStyle w:val="CharacterStyle9"/>
              </w:rPr>
              <w:t>130.000,00</w:t>
            </w:r>
          </w:p>
        </w:tc>
        <w:tc>
          <w:tcPr>
            <w:tcW w:w="1395" w:type="dxa"/>
            <w:tcBorders>
              <w:bottom w:val="single" w:sz="6" w:space="0" w:color="000000"/>
              <w:right w:val="single" w:sz="6" w:space="0" w:color="000000"/>
            </w:tcBorders>
            <w:vAlign w:val="center"/>
          </w:tcPr>
          <w:p w14:paraId="493C6112" w14:textId="77777777" w:rsidR="007D706A" w:rsidRDefault="007D706A" w:rsidP="00F70508">
            <w:pPr>
              <w:pStyle w:val="ParagraphStyle9"/>
              <w:rPr>
                <w:rStyle w:val="CharacterStyle9"/>
              </w:rPr>
            </w:pPr>
            <w:r>
              <w:rPr>
                <w:rStyle w:val="CharacterStyle9"/>
              </w:rPr>
              <w:t>470.200,00</w:t>
            </w:r>
          </w:p>
        </w:tc>
      </w:tr>
      <w:tr w:rsidR="007D706A" w14:paraId="03ADDAE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46E3ECE"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046C2B0C"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44BC266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11A1C5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1BE87D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56EAA42" w14:textId="77777777" w:rsidR="007D706A" w:rsidRDefault="007D706A" w:rsidP="00F70508">
            <w:pPr>
              <w:pStyle w:val="ParagraphStyle12"/>
              <w:rPr>
                <w:rStyle w:val="CharacterStyle12"/>
              </w:rPr>
            </w:pPr>
            <w:r>
              <w:rPr>
                <w:rStyle w:val="CharacterStyle12"/>
              </w:rPr>
              <w:t>130.000,00</w:t>
            </w:r>
          </w:p>
        </w:tc>
        <w:tc>
          <w:tcPr>
            <w:tcW w:w="1395" w:type="dxa"/>
            <w:tcBorders>
              <w:bottom w:val="single" w:sz="6" w:space="0" w:color="000000"/>
              <w:right w:val="single" w:sz="6" w:space="0" w:color="000000"/>
            </w:tcBorders>
            <w:vAlign w:val="center"/>
          </w:tcPr>
          <w:p w14:paraId="61869924" w14:textId="77777777" w:rsidR="007D706A" w:rsidRDefault="007D706A" w:rsidP="00F70508">
            <w:pPr>
              <w:pStyle w:val="ParagraphStyle12"/>
              <w:rPr>
                <w:rStyle w:val="CharacterStyle12"/>
              </w:rPr>
            </w:pPr>
            <w:r>
              <w:rPr>
                <w:rStyle w:val="CharacterStyle12"/>
              </w:rPr>
              <w:t>470.200,00</w:t>
            </w:r>
          </w:p>
        </w:tc>
      </w:tr>
      <w:tr w:rsidR="007D706A" w14:paraId="52E7182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FB30404" w14:textId="77777777" w:rsidR="007D706A" w:rsidRDefault="007D706A" w:rsidP="00F70508">
            <w:pPr>
              <w:pStyle w:val="ParagraphStyle10"/>
              <w:rPr>
                <w:rStyle w:val="CharacterStyle10"/>
              </w:rPr>
            </w:pPr>
            <w:r>
              <w:rPr>
                <w:rStyle w:val="CharacterStyle10"/>
              </w:rPr>
              <w:t>42</w:t>
            </w:r>
          </w:p>
        </w:tc>
        <w:tc>
          <w:tcPr>
            <w:tcW w:w="4995" w:type="dxa"/>
            <w:tcBorders>
              <w:bottom w:val="single" w:sz="6" w:space="0" w:color="000000"/>
              <w:right w:val="single" w:sz="6" w:space="0" w:color="000000"/>
            </w:tcBorders>
            <w:vAlign w:val="center"/>
          </w:tcPr>
          <w:p w14:paraId="51ADE737"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178C1A0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4D01BD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ECA07D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79C78A2" w14:textId="77777777" w:rsidR="007D706A" w:rsidRDefault="007D706A" w:rsidP="00F70508">
            <w:pPr>
              <w:pStyle w:val="ParagraphStyle12"/>
              <w:rPr>
                <w:rStyle w:val="CharacterStyle12"/>
              </w:rPr>
            </w:pPr>
            <w:r>
              <w:rPr>
                <w:rStyle w:val="CharacterStyle12"/>
              </w:rPr>
              <w:t>130.000,00</w:t>
            </w:r>
          </w:p>
        </w:tc>
        <w:tc>
          <w:tcPr>
            <w:tcW w:w="1395" w:type="dxa"/>
            <w:tcBorders>
              <w:bottom w:val="single" w:sz="6" w:space="0" w:color="000000"/>
              <w:right w:val="single" w:sz="6" w:space="0" w:color="000000"/>
            </w:tcBorders>
            <w:vAlign w:val="center"/>
          </w:tcPr>
          <w:p w14:paraId="28CCC67B" w14:textId="77777777" w:rsidR="007D706A" w:rsidRDefault="007D706A" w:rsidP="00F70508">
            <w:pPr>
              <w:pStyle w:val="ParagraphStyle12"/>
              <w:rPr>
                <w:rStyle w:val="CharacterStyle12"/>
              </w:rPr>
            </w:pPr>
            <w:r>
              <w:rPr>
                <w:rStyle w:val="CharacterStyle12"/>
              </w:rPr>
              <w:t>470.200,00</w:t>
            </w:r>
          </w:p>
        </w:tc>
      </w:tr>
      <w:tr w:rsidR="007D706A" w14:paraId="2E441DA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69758BB" w14:textId="77777777" w:rsidR="007D706A" w:rsidRDefault="007D706A" w:rsidP="00F70508">
            <w:pPr>
              <w:pStyle w:val="ParagraphStyle4"/>
              <w:rPr>
                <w:rStyle w:val="CharacterStyle4"/>
              </w:rPr>
            </w:pPr>
            <w:r>
              <w:rPr>
                <w:rStyle w:val="CharacterStyle4"/>
              </w:rPr>
              <w:t>Kapitalni projekt K101481</w:t>
            </w:r>
          </w:p>
        </w:tc>
        <w:tc>
          <w:tcPr>
            <w:tcW w:w="4995" w:type="dxa"/>
            <w:tcBorders>
              <w:bottom w:val="single" w:sz="6" w:space="0" w:color="000000"/>
              <w:right w:val="single" w:sz="6" w:space="0" w:color="000000"/>
            </w:tcBorders>
            <w:vAlign w:val="center"/>
          </w:tcPr>
          <w:p w14:paraId="7733C45D" w14:textId="77777777" w:rsidR="007D706A" w:rsidRDefault="007D706A" w:rsidP="00F70508">
            <w:pPr>
              <w:pStyle w:val="ParagraphStyle5"/>
              <w:rPr>
                <w:rStyle w:val="CharacterStyle5"/>
              </w:rPr>
            </w:pPr>
            <w:r>
              <w:rPr>
                <w:rStyle w:val="CharacterStyle5"/>
              </w:rPr>
              <w:t>IZGRADNJA STANOVA POS</w:t>
            </w:r>
          </w:p>
        </w:tc>
        <w:tc>
          <w:tcPr>
            <w:tcW w:w="1395" w:type="dxa"/>
            <w:tcBorders>
              <w:bottom w:val="single" w:sz="6" w:space="0" w:color="000000"/>
              <w:right w:val="single" w:sz="6" w:space="0" w:color="000000"/>
            </w:tcBorders>
            <w:vAlign w:val="center"/>
          </w:tcPr>
          <w:p w14:paraId="18011A1A"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7D5303B9"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74C2DDD2"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72C4A6D0" w14:textId="77777777" w:rsidR="007D706A" w:rsidRDefault="007D706A" w:rsidP="00F70508">
            <w:pPr>
              <w:pStyle w:val="ParagraphStyle6"/>
              <w:rPr>
                <w:rStyle w:val="CharacterStyle6"/>
              </w:rPr>
            </w:pPr>
            <w:r>
              <w:rPr>
                <w:rStyle w:val="CharacterStyle6"/>
              </w:rPr>
              <w:t>47.000,00</w:t>
            </w:r>
          </w:p>
        </w:tc>
        <w:tc>
          <w:tcPr>
            <w:tcW w:w="1395" w:type="dxa"/>
            <w:tcBorders>
              <w:bottom w:val="single" w:sz="6" w:space="0" w:color="000000"/>
              <w:right w:val="single" w:sz="6" w:space="0" w:color="000000"/>
            </w:tcBorders>
            <w:vAlign w:val="center"/>
          </w:tcPr>
          <w:p w14:paraId="7D407E8F" w14:textId="77777777" w:rsidR="007D706A" w:rsidRDefault="007D706A" w:rsidP="00F70508">
            <w:pPr>
              <w:pStyle w:val="ParagraphStyle6"/>
              <w:rPr>
                <w:rStyle w:val="CharacterStyle6"/>
              </w:rPr>
            </w:pPr>
            <w:r>
              <w:rPr>
                <w:rStyle w:val="CharacterStyle6"/>
              </w:rPr>
              <w:t>215.000,00</w:t>
            </w:r>
          </w:p>
        </w:tc>
      </w:tr>
      <w:tr w:rsidR="007D706A" w14:paraId="3252B1E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63334B7" w14:textId="77777777" w:rsidR="007D706A" w:rsidRDefault="007D706A" w:rsidP="00F70508">
            <w:pPr>
              <w:pStyle w:val="ParagraphStyle7"/>
              <w:rPr>
                <w:rStyle w:val="CharacterStyle7"/>
              </w:rPr>
            </w:pPr>
            <w:r>
              <w:rPr>
                <w:rStyle w:val="CharacterStyle7"/>
              </w:rPr>
              <w:t>Izvor financiranja 40</w:t>
            </w:r>
          </w:p>
        </w:tc>
        <w:tc>
          <w:tcPr>
            <w:tcW w:w="4995" w:type="dxa"/>
            <w:tcBorders>
              <w:bottom w:val="single" w:sz="6" w:space="0" w:color="000000"/>
              <w:right w:val="single" w:sz="6" w:space="0" w:color="000000"/>
            </w:tcBorders>
            <w:vAlign w:val="center"/>
          </w:tcPr>
          <w:p w14:paraId="757A132A" w14:textId="77777777" w:rsidR="007D706A" w:rsidRDefault="007D706A" w:rsidP="00F70508">
            <w:pPr>
              <w:pStyle w:val="ParagraphStyle8"/>
              <w:rPr>
                <w:rStyle w:val="CharacterStyle8"/>
              </w:rPr>
            </w:pPr>
            <w:r>
              <w:rPr>
                <w:rStyle w:val="CharacterStyle8"/>
              </w:rPr>
              <w:t>Prihodi od komunalne naknade i komunalnog doprinosa</w:t>
            </w:r>
          </w:p>
        </w:tc>
        <w:tc>
          <w:tcPr>
            <w:tcW w:w="1395" w:type="dxa"/>
            <w:tcBorders>
              <w:bottom w:val="single" w:sz="6" w:space="0" w:color="000000"/>
              <w:right w:val="single" w:sz="6" w:space="0" w:color="000000"/>
            </w:tcBorders>
            <w:vAlign w:val="center"/>
          </w:tcPr>
          <w:p w14:paraId="673E256C"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62E811E"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11C306B"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17A4E84" w14:textId="77777777" w:rsidR="007D706A" w:rsidRDefault="007D706A" w:rsidP="00F70508">
            <w:pPr>
              <w:pStyle w:val="ParagraphStyle9"/>
              <w:rPr>
                <w:rStyle w:val="CharacterStyle9"/>
              </w:rPr>
            </w:pPr>
            <w:r>
              <w:rPr>
                <w:rStyle w:val="CharacterStyle9"/>
              </w:rPr>
              <w:t>47.000,00</w:t>
            </w:r>
          </w:p>
        </w:tc>
        <w:tc>
          <w:tcPr>
            <w:tcW w:w="1395" w:type="dxa"/>
            <w:tcBorders>
              <w:bottom w:val="single" w:sz="6" w:space="0" w:color="000000"/>
              <w:right w:val="single" w:sz="6" w:space="0" w:color="000000"/>
            </w:tcBorders>
            <w:vAlign w:val="center"/>
          </w:tcPr>
          <w:p w14:paraId="0C22E909" w14:textId="77777777" w:rsidR="007D706A" w:rsidRDefault="007D706A" w:rsidP="00F70508">
            <w:pPr>
              <w:pStyle w:val="ParagraphStyle9"/>
              <w:rPr>
                <w:rStyle w:val="CharacterStyle9"/>
              </w:rPr>
            </w:pPr>
            <w:r>
              <w:rPr>
                <w:rStyle w:val="CharacterStyle9"/>
              </w:rPr>
              <w:t>215.000,00</w:t>
            </w:r>
          </w:p>
        </w:tc>
      </w:tr>
      <w:tr w:rsidR="007D706A" w14:paraId="7726812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97F7DCD"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1B09F29F"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67AD8CB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7FCF36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E114CA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8B61435" w14:textId="77777777" w:rsidR="007D706A" w:rsidRDefault="007D706A" w:rsidP="00F70508">
            <w:pPr>
              <w:pStyle w:val="ParagraphStyle12"/>
              <w:rPr>
                <w:rStyle w:val="CharacterStyle12"/>
              </w:rPr>
            </w:pPr>
            <w:r>
              <w:rPr>
                <w:rStyle w:val="CharacterStyle12"/>
              </w:rPr>
              <w:t>47.000,00</w:t>
            </w:r>
          </w:p>
        </w:tc>
        <w:tc>
          <w:tcPr>
            <w:tcW w:w="1395" w:type="dxa"/>
            <w:tcBorders>
              <w:bottom w:val="single" w:sz="6" w:space="0" w:color="000000"/>
              <w:right w:val="single" w:sz="6" w:space="0" w:color="000000"/>
            </w:tcBorders>
            <w:vAlign w:val="center"/>
          </w:tcPr>
          <w:p w14:paraId="0C320CEC" w14:textId="77777777" w:rsidR="007D706A" w:rsidRDefault="007D706A" w:rsidP="00F70508">
            <w:pPr>
              <w:pStyle w:val="ParagraphStyle12"/>
              <w:rPr>
                <w:rStyle w:val="CharacterStyle12"/>
              </w:rPr>
            </w:pPr>
            <w:r>
              <w:rPr>
                <w:rStyle w:val="CharacterStyle12"/>
              </w:rPr>
              <w:t>215.000,00</w:t>
            </w:r>
          </w:p>
        </w:tc>
      </w:tr>
      <w:tr w:rsidR="007D706A" w14:paraId="1BA7C99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B351FE4" w14:textId="77777777" w:rsidR="007D706A" w:rsidRDefault="007D706A" w:rsidP="00F70508">
            <w:pPr>
              <w:pStyle w:val="ParagraphStyle10"/>
              <w:rPr>
                <w:rStyle w:val="CharacterStyle10"/>
              </w:rPr>
            </w:pPr>
            <w:r>
              <w:rPr>
                <w:rStyle w:val="CharacterStyle10"/>
              </w:rPr>
              <w:t>42</w:t>
            </w:r>
          </w:p>
        </w:tc>
        <w:tc>
          <w:tcPr>
            <w:tcW w:w="4995" w:type="dxa"/>
            <w:tcBorders>
              <w:bottom w:val="single" w:sz="6" w:space="0" w:color="000000"/>
              <w:right w:val="single" w:sz="6" w:space="0" w:color="000000"/>
            </w:tcBorders>
            <w:vAlign w:val="center"/>
          </w:tcPr>
          <w:p w14:paraId="60153130"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280CE39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183F9F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F183D1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FED3B9B" w14:textId="77777777" w:rsidR="007D706A" w:rsidRDefault="007D706A" w:rsidP="00F70508">
            <w:pPr>
              <w:pStyle w:val="ParagraphStyle12"/>
              <w:rPr>
                <w:rStyle w:val="CharacterStyle12"/>
              </w:rPr>
            </w:pPr>
            <w:r>
              <w:rPr>
                <w:rStyle w:val="CharacterStyle12"/>
              </w:rPr>
              <w:t>47.000,00</w:t>
            </w:r>
          </w:p>
        </w:tc>
        <w:tc>
          <w:tcPr>
            <w:tcW w:w="1395" w:type="dxa"/>
            <w:tcBorders>
              <w:bottom w:val="single" w:sz="6" w:space="0" w:color="000000"/>
              <w:right w:val="single" w:sz="6" w:space="0" w:color="000000"/>
            </w:tcBorders>
            <w:vAlign w:val="center"/>
          </w:tcPr>
          <w:p w14:paraId="3B147A62" w14:textId="77777777" w:rsidR="007D706A" w:rsidRDefault="007D706A" w:rsidP="00F70508">
            <w:pPr>
              <w:pStyle w:val="ParagraphStyle12"/>
              <w:rPr>
                <w:rStyle w:val="CharacterStyle12"/>
              </w:rPr>
            </w:pPr>
            <w:r>
              <w:rPr>
                <w:rStyle w:val="CharacterStyle12"/>
              </w:rPr>
              <w:t>215.000,00</w:t>
            </w:r>
          </w:p>
        </w:tc>
      </w:tr>
      <w:tr w:rsidR="007D706A" w14:paraId="46AE7A9B" w14:textId="77777777" w:rsidTr="00F70508">
        <w:trPr>
          <w:trHeight w:val="420"/>
        </w:trPr>
        <w:tc>
          <w:tcPr>
            <w:tcW w:w="2880" w:type="dxa"/>
            <w:tcBorders>
              <w:left w:val="single" w:sz="6" w:space="0" w:color="000000"/>
              <w:bottom w:val="single" w:sz="6" w:space="0" w:color="000000"/>
              <w:right w:val="single" w:sz="6" w:space="0" w:color="000000"/>
            </w:tcBorders>
            <w:vAlign w:val="center"/>
          </w:tcPr>
          <w:p w14:paraId="0EEE2E81" w14:textId="77777777" w:rsidR="007D706A" w:rsidRDefault="007D706A" w:rsidP="00F70508">
            <w:pPr>
              <w:pStyle w:val="ParagraphStyle4"/>
              <w:rPr>
                <w:rStyle w:val="CharacterStyle4"/>
              </w:rPr>
            </w:pPr>
            <w:r>
              <w:rPr>
                <w:rStyle w:val="CharacterStyle4"/>
              </w:rPr>
              <w:t>PROGRAM    1015</w:t>
            </w:r>
          </w:p>
        </w:tc>
        <w:tc>
          <w:tcPr>
            <w:tcW w:w="4995" w:type="dxa"/>
            <w:tcBorders>
              <w:bottom w:val="single" w:sz="6" w:space="0" w:color="000000"/>
              <w:right w:val="single" w:sz="6" w:space="0" w:color="000000"/>
            </w:tcBorders>
            <w:vAlign w:val="center"/>
          </w:tcPr>
          <w:p w14:paraId="627AD39E" w14:textId="77777777" w:rsidR="007D706A" w:rsidRDefault="007D706A" w:rsidP="00F70508">
            <w:pPr>
              <w:pStyle w:val="ParagraphStyle5"/>
              <w:rPr>
                <w:rStyle w:val="CharacterStyle5"/>
              </w:rPr>
            </w:pPr>
            <w:r>
              <w:rPr>
                <w:rStyle w:val="CharacterStyle5"/>
              </w:rPr>
              <w:t>UREĐENJE I IZGRADNJA OBJEKATA IZ POSEBNIH NAKNADA I DONACIJA</w:t>
            </w:r>
          </w:p>
        </w:tc>
        <w:tc>
          <w:tcPr>
            <w:tcW w:w="1395" w:type="dxa"/>
            <w:tcBorders>
              <w:bottom w:val="single" w:sz="6" w:space="0" w:color="000000"/>
              <w:right w:val="single" w:sz="6" w:space="0" w:color="000000"/>
            </w:tcBorders>
            <w:vAlign w:val="center"/>
          </w:tcPr>
          <w:p w14:paraId="1D153C8D"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52C0B321" w14:textId="77777777" w:rsidR="007D706A" w:rsidRDefault="007D706A" w:rsidP="00F70508">
            <w:pPr>
              <w:pStyle w:val="ParagraphStyle6"/>
              <w:rPr>
                <w:rStyle w:val="CharacterStyle6"/>
              </w:rPr>
            </w:pPr>
            <w:r>
              <w:rPr>
                <w:rStyle w:val="CharacterStyle6"/>
              </w:rPr>
              <w:t>462.000,00</w:t>
            </w:r>
          </w:p>
        </w:tc>
        <w:tc>
          <w:tcPr>
            <w:tcW w:w="1395" w:type="dxa"/>
            <w:tcBorders>
              <w:bottom w:val="single" w:sz="6" w:space="0" w:color="000000"/>
              <w:right w:val="single" w:sz="6" w:space="0" w:color="000000"/>
            </w:tcBorders>
            <w:vAlign w:val="center"/>
          </w:tcPr>
          <w:p w14:paraId="45A4E4E3" w14:textId="77777777" w:rsidR="007D706A" w:rsidRDefault="007D706A" w:rsidP="00F70508">
            <w:pPr>
              <w:pStyle w:val="ParagraphStyle6"/>
              <w:rPr>
                <w:rStyle w:val="CharacterStyle6"/>
              </w:rPr>
            </w:pPr>
            <w:r>
              <w:rPr>
                <w:rStyle w:val="CharacterStyle6"/>
              </w:rPr>
              <w:t>77.000,00</w:t>
            </w:r>
          </w:p>
        </w:tc>
        <w:tc>
          <w:tcPr>
            <w:tcW w:w="1395" w:type="dxa"/>
            <w:tcBorders>
              <w:bottom w:val="single" w:sz="6" w:space="0" w:color="000000"/>
              <w:right w:val="single" w:sz="6" w:space="0" w:color="000000"/>
            </w:tcBorders>
            <w:vAlign w:val="center"/>
          </w:tcPr>
          <w:p w14:paraId="61EDA185" w14:textId="77777777" w:rsidR="007D706A" w:rsidRDefault="007D706A" w:rsidP="00F70508">
            <w:pPr>
              <w:pStyle w:val="ParagraphStyle6"/>
              <w:rPr>
                <w:rStyle w:val="CharacterStyle6"/>
              </w:rPr>
            </w:pPr>
            <w:r>
              <w:rPr>
                <w:rStyle w:val="CharacterStyle6"/>
              </w:rPr>
              <w:t>82.000,00</w:t>
            </w:r>
          </w:p>
        </w:tc>
        <w:tc>
          <w:tcPr>
            <w:tcW w:w="1395" w:type="dxa"/>
            <w:tcBorders>
              <w:bottom w:val="single" w:sz="6" w:space="0" w:color="000000"/>
              <w:right w:val="single" w:sz="6" w:space="0" w:color="000000"/>
            </w:tcBorders>
            <w:vAlign w:val="center"/>
          </w:tcPr>
          <w:p w14:paraId="745A48F9" w14:textId="77777777" w:rsidR="007D706A" w:rsidRDefault="007D706A" w:rsidP="00F70508">
            <w:pPr>
              <w:pStyle w:val="ParagraphStyle6"/>
              <w:rPr>
                <w:rStyle w:val="CharacterStyle6"/>
              </w:rPr>
            </w:pPr>
            <w:r>
              <w:rPr>
                <w:rStyle w:val="CharacterStyle6"/>
              </w:rPr>
              <w:t>85.000,00</w:t>
            </w:r>
          </w:p>
        </w:tc>
      </w:tr>
      <w:tr w:rsidR="007D706A" w14:paraId="3419AC4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EA279C8" w14:textId="77777777" w:rsidR="007D706A" w:rsidRDefault="007D706A" w:rsidP="00F70508">
            <w:pPr>
              <w:pStyle w:val="ParagraphStyle4"/>
              <w:rPr>
                <w:rStyle w:val="CharacterStyle4"/>
              </w:rPr>
            </w:pPr>
            <w:r>
              <w:rPr>
                <w:rStyle w:val="CharacterStyle4"/>
              </w:rPr>
              <w:t>Kapitalni projekt K101504</w:t>
            </w:r>
          </w:p>
        </w:tc>
        <w:tc>
          <w:tcPr>
            <w:tcW w:w="4995" w:type="dxa"/>
            <w:tcBorders>
              <w:bottom w:val="single" w:sz="6" w:space="0" w:color="000000"/>
              <w:right w:val="single" w:sz="6" w:space="0" w:color="000000"/>
            </w:tcBorders>
            <w:vAlign w:val="center"/>
          </w:tcPr>
          <w:p w14:paraId="2A26AF98" w14:textId="77777777" w:rsidR="007D706A" w:rsidRDefault="007D706A" w:rsidP="00F70508">
            <w:pPr>
              <w:pStyle w:val="ParagraphStyle5"/>
              <w:rPr>
                <w:rStyle w:val="CharacterStyle5"/>
              </w:rPr>
            </w:pPr>
            <w:r>
              <w:rPr>
                <w:rStyle w:val="CharacterStyle5"/>
              </w:rPr>
              <w:t>GRADSKO GROBLJE</w:t>
            </w:r>
          </w:p>
        </w:tc>
        <w:tc>
          <w:tcPr>
            <w:tcW w:w="1395" w:type="dxa"/>
            <w:tcBorders>
              <w:bottom w:val="single" w:sz="6" w:space="0" w:color="000000"/>
              <w:right w:val="single" w:sz="6" w:space="0" w:color="000000"/>
            </w:tcBorders>
            <w:vAlign w:val="center"/>
          </w:tcPr>
          <w:p w14:paraId="292B2E11"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7892FF77" w14:textId="77777777" w:rsidR="007D706A" w:rsidRDefault="007D706A" w:rsidP="00F70508">
            <w:pPr>
              <w:pStyle w:val="ParagraphStyle6"/>
              <w:rPr>
                <w:rStyle w:val="CharacterStyle6"/>
              </w:rPr>
            </w:pPr>
            <w:r>
              <w:rPr>
                <w:rStyle w:val="CharacterStyle6"/>
              </w:rPr>
              <w:t>77.000,00</w:t>
            </w:r>
          </w:p>
        </w:tc>
        <w:tc>
          <w:tcPr>
            <w:tcW w:w="1395" w:type="dxa"/>
            <w:tcBorders>
              <w:bottom w:val="single" w:sz="6" w:space="0" w:color="000000"/>
              <w:right w:val="single" w:sz="6" w:space="0" w:color="000000"/>
            </w:tcBorders>
            <w:vAlign w:val="center"/>
          </w:tcPr>
          <w:p w14:paraId="3A5F6866" w14:textId="77777777" w:rsidR="007D706A" w:rsidRDefault="007D706A" w:rsidP="00F70508">
            <w:pPr>
              <w:pStyle w:val="ParagraphStyle6"/>
              <w:rPr>
                <w:rStyle w:val="CharacterStyle6"/>
              </w:rPr>
            </w:pPr>
            <w:r>
              <w:rPr>
                <w:rStyle w:val="CharacterStyle6"/>
              </w:rPr>
              <w:t>77.000,00</w:t>
            </w:r>
          </w:p>
        </w:tc>
        <w:tc>
          <w:tcPr>
            <w:tcW w:w="1395" w:type="dxa"/>
            <w:tcBorders>
              <w:bottom w:val="single" w:sz="6" w:space="0" w:color="000000"/>
              <w:right w:val="single" w:sz="6" w:space="0" w:color="000000"/>
            </w:tcBorders>
            <w:vAlign w:val="center"/>
          </w:tcPr>
          <w:p w14:paraId="7934E7BE" w14:textId="77777777" w:rsidR="007D706A" w:rsidRDefault="007D706A" w:rsidP="00F70508">
            <w:pPr>
              <w:pStyle w:val="ParagraphStyle6"/>
              <w:rPr>
                <w:rStyle w:val="CharacterStyle6"/>
              </w:rPr>
            </w:pPr>
            <w:r>
              <w:rPr>
                <w:rStyle w:val="CharacterStyle6"/>
              </w:rPr>
              <w:t>82.000,00</w:t>
            </w:r>
          </w:p>
        </w:tc>
        <w:tc>
          <w:tcPr>
            <w:tcW w:w="1395" w:type="dxa"/>
            <w:tcBorders>
              <w:bottom w:val="single" w:sz="6" w:space="0" w:color="000000"/>
              <w:right w:val="single" w:sz="6" w:space="0" w:color="000000"/>
            </w:tcBorders>
            <w:vAlign w:val="center"/>
          </w:tcPr>
          <w:p w14:paraId="7DAB6A4B" w14:textId="77777777" w:rsidR="007D706A" w:rsidRDefault="007D706A" w:rsidP="00F70508">
            <w:pPr>
              <w:pStyle w:val="ParagraphStyle6"/>
              <w:rPr>
                <w:rStyle w:val="CharacterStyle6"/>
              </w:rPr>
            </w:pPr>
            <w:r>
              <w:rPr>
                <w:rStyle w:val="CharacterStyle6"/>
              </w:rPr>
              <w:t>85.000,00</w:t>
            </w:r>
          </w:p>
        </w:tc>
      </w:tr>
      <w:tr w:rsidR="007D706A" w14:paraId="55EFD43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7F291A1" w14:textId="77777777" w:rsidR="007D706A" w:rsidRDefault="007D706A" w:rsidP="00F70508">
            <w:pPr>
              <w:pStyle w:val="ParagraphStyle7"/>
              <w:rPr>
                <w:rStyle w:val="CharacterStyle7"/>
              </w:rPr>
            </w:pPr>
            <w:r>
              <w:rPr>
                <w:rStyle w:val="CharacterStyle7"/>
              </w:rPr>
              <w:t>Izvor financiranja 41</w:t>
            </w:r>
          </w:p>
        </w:tc>
        <w:tc>
          <w:tcPr>
            <w:tcW w:w="4995" w:type="dxa"/>
            <w:tcBorders>
              <w:bottom w:val="single" w:sz="6" w:space="0" w:color="000000"/>
              <w:right w:val="single" w:sz="6" w:space="0" w:color="000000"/>
            </w:tcBorders>
            <w:vAlign w:val="center"/>
          </w:tcPr>
          <w:p w14:paraId="0FC9C108" w14:textId="77777777" w:rsidR="007D706A" w:rsidRDefault="007D706A" w:rsidP="00F70508">
            <w:pPr>
              <w:pStyle w:val="ParagraphStyle8"/>
              <w:rPr>
                <w:rStyle w:val="CharacterStyle8"/>
              </w:rPr>
            </w:pPr>
            <w:r>
              <w:rPr>
                <w:rStyle w:val="CharacterStyle8"/>
              </w:rPr>
              <w:t>Prihodi za posebne namjene</w:t>
            </w:r>
          </w:p>
        </w:tc>
        <w:tc>
          <w:tcPr>
            <w:tcW w:w="1395" w:type="dxa"/>
            <w:tcBorders>
              <w:bottom w:val="single" w:sz="6" w:space="0" w:color="000000"/>
              <w:right w:val="single" w:sz="6" w:space="0" w:color="000000"/>
            </w:tcBorders>
            <w:vAlign w:val="center"/>
          </w:tcPr>
          <w:p w14:paraId="49FF06D4"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7B5D253" w14:textId="77777777" w:rsidR="007D706A" w:rsidRDefault="007D706A" w:rsidP="00F70508">
            <w:pPr>
              <w:pStyle w:val="ParagraphStyle9"/>
              <w:rPr>
                <w:rStyle w:val="CharacterStyle9"/>
              </w:rPr>
            </w:pPr>
            <w:r>
              <w:rPr>
                <w:rStyle w:val="CharacterStyle9"/>
              </w:rPr>
              <w:t>77.000,00</w:t>
            </w:r>
          </w:p>
        </w:tc>
        <w:tc>
          <w:tcPr>
            <w:tcW w:w="1395" w:type="dxa"/>
            <w:tcBorders>
              <w:bottom w:val="single" w:sz="6" w:space="0" w:color="000000"/>
              <w:right w:val="single" w:sz="6" w:space="0" w:color="000000"/>
            </w:tcBorders>
            <w:vAlign w:val="center"/>
          </w:tcPr>
          <w:p w14:paraId="755295C9"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C4945D7"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20932D5" w14:textId="77777777" w:rsidR="007D706A" w:rsidRDefault="007D706A" w:rsidP="00F70508">
            <w:pPr>
              <w:pStyle w:val="ParagraphStyle9"/>
              <w:rPr>
                <w:rStyle w:val="CharacterStyle9"/>
              </w:rPr>
            </w:pPr>
            <w:r>
              <w:rPr>
                <w:rStyle w:val="CharacterStyle9"/>
              </w:rPr>
              <w:t>0,00</w:t>
            </w:r>
          </w:p>
        </w:tc>
      </w:tr>
      <w:tr w:rsidR="007D706A" w14:paraId="6AA369B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CAE3792"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7296CF33"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1E97DEC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34A2686" w14:textId="77777777" w:rsidR="007D706A" w:rsidRDefault="007D706A" w:rsidP="00F70508">
            <w:pPr>
              <w:pStyle w:val="ParagraphStyle12"/>
              <w:rPr>
                <w:rStyle w:val="CharacterStyle12"/>
              </w:rPr>
            </w:pPr>
            <w:r>
              <w:rPr>
                <w:rStyle w:val="CharacterStyle12"/>
              </w:rPr>
              <w:t>77.000,00</w:t>
            </w:r>
          </w:p>
        </w:tc>
        <w:tc>
          <w:tcPr>
            <w:tcW w:w="1395" w:type="dxa"/>
            <w:tcBorders>
              <w:bottom w:val="single" w:sz="6" w:space="0" w:color="000000"/>
              <w:right w:val="single" w:sz="6" w:space="0" w:color="000000"/>
            </w:tcBorders>
            <w:vAlign w:val="center"/>
          </w:tcPr>
          <w:p w14:paraId="0EB4BF4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71B673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1531042" w14:textId="77777777" w:rsidR="007D706A" w:rsidRDefault="007D706A" w:rsidP="00F70508">
            <w:pPr>
              <w:pStyle w:val="ParagraphStyle12"/>
              <w:rPr>
                <w:rStyle w:val="CharacterStyle12"/>
              </w:rPr>
            </w:pPr>
            <w:r>
              <w:rPr>
                <w:rStyle w:val="CharacterStyle12"/>
              </w:rPr>
              <w:t>0,00</w:t>
            </w:r>
          </w:p>
        </w:tc>
      </w:tr>
      <w:tr w:rsidR="007D706A" w14:paraId="4BB67A0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A1ADAF0" w14:textId="77777777" w:rsidR="007D706A" w:rsidRDefault="007D706A" w:rsidP="00F70508">
            <w:pPr>
              <w:pStyle w:val="ParagraphStyle10"/>
              <w:rPr>
                <w:rStyle w:val="CharacterStyle10"/>
              </w:rPr>
            </w:pPr>
            <w:r>
              <w:rPr>
                <w:rStyle w:val="CharacterStyle10"/>
              </w:rPr>
              <w:t>38</w:t>
            </w:r>
          </w:p>
        </w:tc>
        <w:tc>
          <w:tcPr>
            <w:tcW w:w="4995" w:type="dxa"/>
            <w:tcBorders>
              <w:bottom w:val="single" w:sz="6" w:space="0" w:color="000000"/>
              <w:right w:val="single" w:sz="6" w:space="0" w:color="000000"/>
            </w:tcBorders>
            <w:vAlign w:val="center"/>
          </w:tcPr>
          <w:p w14:paraId="134DDF24" w14:textId="77777777" w:rsidR="007D706A" w:rsidRDefault="007D706A" w:rsidP="00F70508">
            <w:pPr>
              <w:pStyle w:val="ParagraphStyle11"/>
              <w:rPr>
                <w:rStyle w:val="CharacterStyle11"/>
              </w:rPr>
            </w:pPr>
            <w:r>
              <w:rPr>
                <w:rStyle w:val="CharacterStyle11"/>
              </w:rPr>
              <w:t>Rashodi za donacije, kazne, naknade šteta i kapitalne pomoći</w:t>
            </w:r>
          </w:p>
        </w:tc>
        <w:tc>
          <w:tcPr>
            <w:tcW w:w="1395" w:type="dxa"/>
            <w:tcBorders>
              <w:bottom w:val="single" w:sz="6" w:space="0" w:color="000000"/>
              <w:right w:val="single" w:sz="6" w:space="0" w:color="000000"/>
            </w:tcBorders>
            <w:vAlign w:val="center"/>
          </w:tcPr>
          <w:p w14:paraId="2D76132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5C9F6BF" w14:textId="77777777" w:rsidR="007D706A" w:rsidRDefault="007D706A" w:rsidP="00F70508">
            <w:pPr>
              <w:pStyle w:val="ParagraphStyle12"/>
              <w:rPr>
                <w:rStyle w:val="CharacterStyle12"/>
              </w:rPr>
            </w:pPr>
            <w:r>
              <w:rPr>
                <w:rStyle w:val="CharacterStyle12"/>
              </w:rPr>
              <w:t>77.000,00</w:t>
            </w:r>
          </w:p>
        </w:tc>
        <w:tc>
          <w:tcPr>
            <w:tcW w:w="1395" w:type="dxa"/>
            <w:tcBorders>
              <w:bottom w:val="single" w:sz="6" w:space="0" w:color="000000"/>
              <w:right w:val="single" w:sz="6" w:space="0" w:color="000000"/>
            </w:tcBorders>
            <w:vAlign w:val="center"/>
          </w:tcPr>
          <w:p w14:paraId="500BB19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BA99EA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538B64C" w14:textId="77777777" w:rsidR="007D706A" w:rsidRDefault="007D706A" w:rsidP="00F70508">
            <w:pPr>
              <w:pStyle w:val="ParagraphStyle12"/>
              <w:rPr>
                <w:rStyle w:val="CharacterStyle12"/>
              </w:rPr>
            </w:pPr>
            <w:r>
              <w:rPr>
                <w:rStyle w:val="CharacterStyle12"/>
              </w:rPr>
              <w:t>0,00</w:t>
            </w:r>
          </w:p>
        </w:tc>
      </w:tr>
      <w:tr w:rsidR="007D706A" w14:paraId="74EC8D4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273E7AF" w14:textId="77777777" w:rsidR="007D706A" w:rsidRDefault="007D706A" w:rsidP="00F70508">
            <w:pPr>
              <w:pStyle w:val="ParagraphStyle7"/>
              <w:rPr>
                <w:rStyle w:val="CharacterStyle7"/>
              </w:rPr>
            </w:pPr>
            <w:r>
              <w:rPr>
                <w:rStyle w:val="CharacterStyle7"/>
              </w:rPr>
              <w:lastRenderedPageBreak/>
              <w:t>Izvor financiranja 43</w:t>
            </w:r>
          </w:p>
        </w:tc>
        <w:tc>
          <w:tcPr>
            <w:tcW w:w="4995" w:type="dxa"/>
            <w:tcBorders>
              <w:bottom w:val="single" w:sz="6" w:space="0" w:color="000000"/>
              <w:right w:val="single" w:sz="6" w:space="0" w:color="000000"/>
            </w:tcBorders>
            <w:vAlign w:val="center"/>
          </w:tcPr>
          <w:p w14:paraId="238C048F" w14:textId="77777777" w:rsidR="007D706A" w:rsidRDefault="007D706A" w:rsidP="00F70508">
            <w:pPr>
              <w:pStyle w:val="ParagraphStyle8"/>
              <w:rPr>
                <w:rStyle w:val="CharacterStyle8"/>
              </w:rPr>
            </w:pPr>
            <w:r>
              <w:rPr>
                <w:rStyle w:val="CharacterStyle8"/>
              </w:rPr>
              <w:t>Ostali prihodi za posebne namjene</w:t>
            </w:r>
          </w:p>
        </w:tc>
        <w:tc>
          <w:tcPr>
            <w:tcW w:w="1395" w:type="dxa"/>
            <w:tcBorders>
              <w:bottom w:val="single" w:sz="6" w:space="0" w:color="000000"/>
              <w:right w:val="single" w:sz="6" w:space="0" w:color="000000"/>
            </w:tcBorders>
            <w:vAlign w:val="center"/>
          </w:tcPr>
          <w:p w14:paraId="4D97AF93"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F377B22"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E7BB44D" w14:textId="77777777" w:rsidR="007D706A" w:rsidRDefault="007D706A" w:rsidP="00F70508">
            <w:pPr>
              <w:pStyle w:val="ParagraphStyle9"/>
              <w:rPr>
                <w:rStyle w:val="CharacterStyle9"/>
              </w:rPr>
            </w:pPr>
            <w:r>
              <w:rPr>
                <w:rStyle w:val="CharacterStyle9"/>
              </w:rPr>
              <w:t>77.000,00</w:t>
            </w:r>
          </w:p>
        </w:tc>
        <w:tc>
          <w:tcPr>
            <w:tcW w:w="1395" w:type="dxa"/>
            <w:tcBorders>
              <w:bottom w:val="single" w:sz="6" w:space="0" w:color="000000"/>
              <w:right w:val="single" w:sz="6" w:space="0" w:color="000000"/>
            </w:tcBorders>
            <w:vAlign w:val="center"/>
          </w:tcPr>
          <w:p w14:paraId="0AC0A580" w14:textId="77777777" w:rsidR="007D706A" w:rsidRDefault="007D706A" w:rsidP="00F70508">
            <w:pPr>
              <w:pStyle w:val="ParagraphStyle9"/>
              <w:rPr>
                <w:rStyle w:val="CharacterStyle9"/>
              </w:rPr>
            </w:pPr>
            <w:r>
              <w:rPr>
                <w:rStyle w:val="CharacterStyle9"/>
              </w:rPr>
              <w:t>82.000,00</w:t>
            </w:r>
          </w:p>
        </w:tc>
        <w:tc>
          <w:tcPr>
            <w:tcW w:w="1395" w:type="dxa"/>
            <w:tcBorders>
              <w:bottom w:val="single" w:sz="6" w:space="0" w:color="000000"/>
              <w:right w:val="single" w:sz="6" w:space="0" w:color="000000"/>
            </w:tcBorders>
            <w:vAlign w:val="center"/>
          </w:tcPr>
          <w:p w14:paraId="1B99C378" w14:textId="77777777" w:rsidR="007D706A" w:rsidRDefault="007D706A" w:rsidP="00F70508">
            <w:pPr>
              <w:pStyle w:val="ParagraphStyle9"/>
              <w:rPr>
                <w:rStyle w:val="CharacterStyle9"/>
              </w:rPr>
            </w:pPr>
            <w:r>
              <w:rPr>
                <w:rStyle w:val="CharacterStyle9"/>
              </w:rPr>
              <w:t>85.000,00</w:t>
            </w:r>
          </w:p>
        </w:tc>
      </w:tr>
      <w:tr w:rsidR="007D706A" w14:paraId="7BB9F19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1F425CC"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7E5AD0A8"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7D03BD2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37C98C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DFCC2E9" w14:textId="77777777" w:rsidR="007D706A" w:rsidRDefault="007D706A" w:rsidP="00F70508">
            <w:pPr>
              <w:pStyle w:val="ParagraphStyle12"/>
              <w:rPr>
                <w:rStyle w:val="CharacterStyle12"/>
              </w:rPr>
            </w:pPr>
            <w:r>
              <w:rPr>
                <w:rStyle w:val="CharacterStyle12"/>
              </w:rPr>
              <w:t>77.000,00</w:t>
            </w:r>
          </w:p>
        </w:tc>
        <w:tc>
          <w:tcPr>
            <w:tcW w:w="1395" w:type="dxa"/>
            <w:tcBorders>
              <w:bottom w:val="single" w:sz="6" w:space="0" w:color="000000"/>
              <w:right w:val="single" w:sz="6" w:space="0" w:color="000000"/>
            </w:tcBorders>
            <w:vAlign w:val="center"/>
          </w:tcPr>
          <w:p w14:paraId="54CE3138" w14:textId="77777777" w:rsidR="007D706A" w:rsidRDefault="007D706A" w:rsidP="00F70508">
            <w:pPr>
              <w:pStyle w:val="ParagraphStyle12"/>
              <w:rPr>
                <w:rStyle w:val="CharacterStyle12"/>
              </w:rPr>
            </w:pPr>
            <w:r>
              <w:rPr>
                <w:rStyle w:val="CharacterStyle12"/>
              </w:rPr>
              <w:t>82.000,00</w:t>
            </w:r>
          </w:p>
        </w:tc>
        <w:tc>
          <w:tcPr>
            <w:tcW w:w="1395" w:type="dxa"/>
            <w:tcBorders>
              <w:bottom w:val="single" w:sz="6" w:space="0" w:color="000000"/>
              <w:right w:val="single" w:sz="6" w:space="0" w:color="000000"/>
            </w:tcBorders>
            <w:vAlign w:val="center"/>
          </w:tcPr>
          <w:p w14:paraId="0543239D" w14:textId="77777777" w:rsidR="007D706A" w:rsidRDefault="007D706A" w:rsidP="00F70508">
            <w:pPr>
              <w:pStyle w:val="ParagraphStyle12"/>
              <w:rPr>
                <w:rStyle w:val="CharacterStyle12"/>
              </w:rPr>
            </w:pPr>
            <w:r>
              <w:rPr>
                <w:rStyle w:val="CharacterStyle12"/>
              </w:rPr>
              <w:t>85.000,00</w:t>
            </w:r>
          </w:p>
        </w:tc>
      </w:tr>
      <w:tr w:rsidR="007D706A" w14:paraId="1600848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775E022" w14:textId="77777777" w:rsidR="007D706A" w:rsidRDefault="007D706A" w:rsidP="00F70508">
            <w:pPr>
              <w:pStyle w:val="ParagraphStyle10"/>
              <w:rPr>
                <w:rStyle w:val="CharacterStyle10"/>
              </w:rPr>
            </w:pPr>
            <w:r>
              <w:rPr>
                <w:rStyle w:val="CharacterStyle10"/>
              </w:rPr>
              <w:t>38</w:t>
            </w:r>
          </w:p>
        </w:tc>
        <w:tc>
          <w:tcPr>
            <w:tcW w:w="4995" w:type="dxa"/>
            <w:tcBorders>
              <w:bottom w:val="single" w:sz="6" w:space="0" w:color="000000"/>
              <w:right w:val="single" w:sz="6" w:space="0" w:color="000000"/>
            </w:tcBorders>
            <w:vAlign w:val="center"/>
          </w:tcPr>
          <w:p w14:paraId="70244DB1" w14:textId="77777777" w:rsidR="007D706A" w:rsidRDefault="007D706A" w:rsidP="00F70508">
            <w:pPr>
              <w:pStyle w:val="ParagraphStyle11"/>
              <w:rPr>
                <w:rStyle w:val="CharacterStyle11"/>
              </w:rPr>
            </w:pPr>
            <w:r>
              <w:rPr>
                <w:rStyle w:val="CharacterStyle11"/>
              </w:rPr>
              <w:t>Rashodi za donacije, kazne, naknade šteta i kapitalne pomoći</w:t>
            </w:r>
          </w:p>
        </w:tc>
        <w:tc>
          <w:tcPr>
            <w:tcW w:w="1395" w:type="dxa"/>
            <w:tcBorders>
              <w:bottom w:val="single" w:sz="6" w:space="0" w:color="000000"/>
              <w:right w:val="single" w:sz="6" w:space="0" w:color="000000"/>
            </w:tcBorders>
            <w:vAlign w:val="center"/>
          </w:tcPr>
          <w:p w14:paraId="3BC57B3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215710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B9F1222" w14:textId="77777777" w:rsidR="007D706A" w:rsidRDefault="007D706A" w:rsidP="00F70508">
            <w:pPr>
              <w:pStyle w:val="ParagraphStyle12"/>
              <w:rPr>
                <w:rStyle w:val="CharacterStyle12"/>
              </w:rPr>
            </w:pPr>
            <w:r>
              <w:rPr>
                <w:rStyle w:val="CharacterStyle12"/>
              </w:rPr>
              <w:t>77.000,00</w:t>
            </w:r>
          </w:p>
        </w:tc>
        <w:tc>
          <w:tcPr>
            <w:tcW w:w="1395" w:type="dxa"/>
            <w:tcBorders>
              <w:bottom w:val="single" w:sz="6" w:space="0" w:color="000000"/>
              <w:right w:val="single" w:sz="6" w:space="0" w:color="000000"/>
            </w:tcBorders>
            <w:vAlign w:val="center"/>
          </w:tcPr>
          <w:p w14:paraId="10877959" w14:textId="77777777" w:rsidR="007D706A" w:rsidRDefault="007D706A" w:rsidP="00F70508">
            <w:pPr>
              <w:pStyle w:val="ParagraphStyle12"/>
              <w:rPr>
                <w:rStyle w:val="CharacterStyle12"/>
              </w:rPr>
            </w:pPr>
            <w:r>
              <w:rPr>
                <w:rStyle w:val="CharacterStyle12"/>
              </w:rPr>
              <w:t>82.000,00</w:t>
            </w:r>
          </w:p>
        </w:tc>
        <w:tc>
          <w:tcPr>
            <w:tcW w:w="1395" w:type="dxa"/>
            <w:tcBorders>
              <w:bottom w:val="single" w:sz="6" w:space="0" w:color="000000"/>
              <w:right w:val="single" w:sz="6" w:space="0" w:color="000000"/>
            </w:tcBorders>
            <w:vAlign w:val="center"/>
          </w:tcPr>
          <w:p w14:paraId="3846FA63" w14:textId="77777777" w:rsidR="007D706A" w:rsidRDefault="007D706A" w:rsidP="00F70508">
            <w:pPr>
              <w:pStyle w:val="ParagraphStyle12"/>
              <w:rPr>
                <w:rStyle w:val="CharacterStyle12"/>
              </w:rPr>
            </w:pPr>
            <w:r>
              <w:rPr>
                <w:rStyle w:val="CharacterStyle12"/>
              </w:rPr>
              <w:t>85.000,00</w:t>
            </w:r>
          </w:p>
        </w:tc>
      </w:tr>
      <w:tr w:rsidR="007D706A" w14:paraId="319087B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CE808DB" w14:textId="77777777" w:rsidR="007D706A" w:rsidRDefault="007D706A" w:rsidP="00F70508">
            <w:pPr>
              <w:pStyle w:val="ParagraphStyle4"/>
              <w:rPr>
                <w:rStyle w:val="CharacterStyle4"/>
              </w:rPr>
            </w:pPr>
            <w:r>
              <w:rPr>
                <w:rStyle w:val="CharacterStyle4"/>
              </w:rPr>
              <w:t>Kapitalni projekt K101517</w:t>
            </w:r>
          </w:p>
        </w:tc>
        <w:tc>
          <w:tcPr>
            <w:tcW w:w="4995" w:type="dxa"/>
            <w:tcBorders>
              <w:bottom w:val="single" w:sz="6" w:space="0" w:color="000000"/>
              <w:right w:val="single" w:sz="6" w:space="0" w:color="000000"/>
            </w:tcBorders>
            <w:vAlign w:val="center"/>
          </w:tcPr>
          <w:p w14:paraId="5CA871AE" w14:textId="77777777" w:rsidR="007D706A" w:rsidRDefault="007D706A" w:rsidP="00F70508">
            <w:pPr>
              <w:pStyle w:val="ParagraphStyle5"/>
              <w:rPr>
                <w:rStyle w:val="CharacterStyle5"/>
              </w:rPr>
            </w:pPr>
            <w:r>
              <w:rPr>
                <w:rStyle w:val="CharacterStyle5"/>
              </w:rPr>
              <w:t>CENTAR ZA MLADE " DR.ING. DINO ŠKRAPIĆ,MBA"</w:t>
            </w:r>
          </w:p>
        </w:tc>
        <w:tc>
          <w:tcPr>
            <w:tcW w:w="1395" w:type="dxa"/>
            <w:tcBorders>
              <w:bottom w:val="single" w:sz="6" w:space="0" w:color="000000"/>
              <w:right w:val="single" w:sz="6" w:space="0" w:color="000000"/>
            </w:tcBorders>
            <w:vAlign w:val="center"/>
          </w:tcPr>
          <w:p w14:paraId="451DFBEC"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2A56732A" w14:textId="77777777" w:rsidR="007D706A" w:rsidRDefault="007D706A" w:rsidP="00F70508">
            <w:pPr>
              <w:pStyle w:val="ParagraphStyle6"/>
              <w:rPr>
                <w:rStyle w:val="CharacterStyle6"/>
              </w:rPr>
            </w:pPr>
            <w:r>
              <w:rPr>
                <w:rStyle w:val="CharacterStyle6"/>
              </w:rPr>
              <w:t>385.000,00</w:t>
            </w:r>
          </w:p>
        </w:tc>
        <w:tc>
          <w:tcPr>
            <w:tcW w:w="1395" w:type="dxa"/>
            <w:tcBorders>
              <w:bottom w:val="single" w:sz="6" w:space="0" w:color="000000"/>
              <w:right w:val="single" w:sz="6" w:space="0" w:color="000000"/>
            </w:tcBorders>
            <w:vAlign w:val="center"/>
          </w:tcPr>
          <w:p w14:paraId="518CD159"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22481AED"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433DB689" w14:textId="77777777" w:rsidR="007D706A" w:rsidRDefault="007D706A" w:rsidP="00F70508">
            <w:pPr>
              <w:pStyle w:val="ParagraphStyle6"/>
              <w:rPr>
                <w:rStyle w:val="CharacterStyle6"/>
              </w:rPr>
            </w:pPr>
            <w:r>
              <w:rPr>
                <w:rStyle w:val="CharacterStyle6"/>
              </w:rPr>
              <w:t>0,00</w:t>
            </w:r>
          </w:p>
        </w:tc>
      </w:tr>
      <w:tr w:rsidR="007D706A" w14:paraId="0E0397B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0B2C761" w14:textId="77777777" w:rsidR="007D706A" w:rsidRDefault="007D706A" w:rsidP="00F70508">
            <w:pPr>
              <w:pStyle w:val="ParagraphStyle7"/>
              <w:rPr>
                <w:rStyle w:val="CharacterStyle7"/>
              </w:rPr>
            </w:pPr>
            <w:r>
              <w:rPr>
                <w:rStyle w:val="CharacterStyle7"/>
              </w:rPr>
              <w:t>Izvor financiranja 82</w:t>
            </w:r>
          </w:p>
        </w:tc>
        <w:tc>
          <w:tcPr>
            <w:tcW w:w="4995" w:type="dxa"/>
            <w:tcBorders>
              <w:bottom w:val="single" w:sz="6" w:space="0" w:color="000000"/>
              <w:right w:val="single" w:sz="6" w:space="0" w:color="000000"/>
            </w:tcBorders>
            <w:vAlign w:val="center"/>
          </w:tcPr>
          <w:p w14:paraId="3597968D" w14:textId="77777777" w:rsidR="007D706A" w:rsidRDefault="007D706A" w:rsidP="00F70508">
            <w:pPr>
              <w:pStyle w:val="ParagraphStyle8"/>
              <w:rPr>
                <w:rStyle w:val="CharacterStyle8"/>
              </w:rPr>
            </w:pPr>
            <w:r>
              <w:rPr>
                <w:rStyle w:val="CharacterStyle8"/>
              </w:rPr>
              <w:t>Preneseni viškovi iz ranijih godina</w:t>
            </w:r>
          </w:p>
        </w:tc>
        <w:tc>
          <w:tcPr>
            <w:tcW w:w="1395" w:type="dxa"/>
            <w:tcBorders>
              <w:bottom w:val="single" w:sz="6" w:space="0" w:color="000000"/>
              <w:right w:val="single" w:sz="6" w:space="0" w:color="000000"/>
            </w:tcBorders>
            <w:vAlign w:val="center"/>
          </w:tcPr>
          <w:p w14:paraId="13776F8D"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7FF1CE8" w14:textId="77777777" w:rsidR="007D706A" w:rsidRDefault="007D706A" w:rsidP="00F70508">
            <w:pPr>
              <w:pStyle w:val="ParagraphStyle9"/>
              <w:rPr>
                <w:rStyle w:val="CharacterStyle9"/>
              </w:rPr>
            </w:pPr>
            <w:r>
              <w:rPr>
                <w:rStyle w:val="CharacterStyle9"/>
              </w:rPr>
              <w:t>385.000,00</w:t>
            </w:r>
          </w:p>
        </w:tc>
        <w:tc>
          <w:tcPr>
            <w:tcW w:w="1395" w:type="dxa"/>
            <w:tcBorders>
              <w:bottom w:val="single" w:sz="6" w:space="0" w:color="000000"/>
              <w:right w:val="single" w:sz="6" w:space="0" w:color="000000"/>
            </w:tcBorders>
            <w:vAlign w:val="center"/>
          </w:tcPr>
          <w:p w14:paraId="4104E253"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36B4F29"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6C8BCE5" w14:textId="77777777" w:rsidR="007D706A" w:rsidRDefault="007D706A" w:rsidP="00F70508">
            <w:pPr>
              <w:pStyle w:val="ParagraphStyle9"/>
              <w:rPr>
                <w:rStyle w:val="CharacterStyle9"/>
              </w:rPr>
            </w:pPr>
            <w:r>
              <w:rPr>
                <w:rStyle w:val="CharacterStyle9"/>
              </w:rPr>
              <w:t>0,00</w:t>
            </w:r>
          </w:p>
        </w:tc>
      </w:tr>
      <w:tr w:rsidR="007D706A" w14:paraId="4DB66D4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ADF8745"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2C55225B"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5913D10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847D150" w14:textId="77777777" w:rsidR="007D706A" w:rsidRDefault="007D706A" w:rsidP="00F70508">
            <w:pPr>
              <w:pStyle w:val="ParagraphStyle12"/>
              <w:rPr>
                <w:rStyle w:val="CharacterStyle12"/>
              </w:rPr>
            </w:pPr>
            <w:r>
              <w:rPr>
                <w:rStyle w:val="CharacterStyle12"/>
              </w:rPr>
              <w:t>385.000,00</w:t>
            </w:r>
          </w:p>
        </w:tc>
        <w:tc>
          <w:tcPr>
            <w:tcW w:w="1395" w:type="dxa"/>
            <w:tcBorders>
              <w:bottom w:val="single" w:sz="6" w:space="0" w:color="000000"/>
              <w:right w:val="single" w:sz="6" w:space="0" w:color="000000"/>
            </w:tcBorders>
            <w:vAlign w:val="center"/>
          </w:tcPr>
          <w:p w14:paraId="2635D1F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9C5AE4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FBBABB1" w14:textId="77777777" w:rsidR="007D706A" w:rsidRDefault="007D706A" w:rsidP="00F70508">
            <w:pPr>
              <w:pStyle w:val="ParagraphStyle12"/>
              <w:rPr>
                <w:rStyle w:val="CharacterStyle12"/>
              </w:rPr>
            </w:pPr>
            <w:r>
              <w:rPr>
                <w:rStyle w:val="CharacterStyle12"/>
              </w:rPr>
              <w:t>0,00</w:t>
            </w:r>
          </w:p>
        </w:tc>
      </w:tr>
      <w:tr w:rsidR="007D706A" w14:paraId="323D762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A8C3887" w14:textId="77777777" w:rsidR="007D706A" w:rsidRDefault="007D706A" w:rsidP="00F70508">
            <w:pPr>
              <w:pStyle w:val="ParagraphStyle10"/>
              <w:rPr>
                <w:rStyle w:val="CharacterStyle10"/>
              </w:rPr>
            </w:pPr>
            <w:r>
              <w:rPr>
                <w:rStyle w:val="CharacterStyle10"/>
              </w:rPr>
              <w:t>42</w:t>
            </w:r>
          </w:p>
        </w:tc>
        <w:tc>
          <w:tcPr>
            <w:tcW w:w="4995" w:type="dxa"/>
            <w:tcBorders>
              <w:bottom w:val="single" w:sz="6" w:space="0" w:color="000000"/>
              <w:right w:val="single" w:sz="6" w:space="0" w:color="000000"/>
            </w:tcBorders>
            <w:vAlign w:val="center"/>
          </w:tcPr>
          <w:p w14:paraId="2061822A"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57CB470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C715D45" w14:textId="77777777" w:rsidR="007D706A" w:rsidRDefault="007D706A" w:rsidP="00F70508">
            <w:pPr>
              <w:pStyle w:val="ParagraphStyle12"/>
              <w:rPr>
                <w:rStyle w:val="CharacterStyle12"/>
              </w:rPr>
            </w:pPr>
            <w:r>
              <w:rPr>
                <w:rStyle w:val="CharacterStyle12"/>
              </w:rPr>
              <w:t>100.000,00</w:t>
            </w:r>
          </w:p>
        </w:tc>
        <w:tc>
          <w:tcPr>
            <w:tcW w:w="1395" w:type="dxa"/>
            <w:tcBorders>
              <w:bottom w:val="single" w:sz="6" w:space="0" w:color="000000"/>
              <w:right w:val="single" w:sz="6" w:space="0" w:color="000000"/>
            </w:tcBorders>
            <w:vAlign w:val="center"/>
          </w:tcPr>
          <w:p w14:paraId="1413E59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A5C0E0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891F3AA" w14:textId="77777777" w:rsidR="007D706A" w:rsidRDefault="007D706A" w:rsidP="00F70508">
            <w:pPr>
              <w:pStyle w:val="ParagraphStyle12"/>
              <w:rPr>
                <w:rStyle w:val="CharacterStyle12"/>
              </w:rPr>
            </w:pPr>
            <w:r>
              <w:rPr>
                <w:rStyle w:val="CharacterStyle12"/>
              </w:rPr>
              <w:t>0,00</w:t>
            </w:r>
          </w:p>
        </w:tc>
      </w:tr>
      <w:tr w:rsidR="007D706A" w14:paraId="4F7517C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AEBB01A" w14:textId="77777777" w:rsidR="007D706A" w:rsidRDefault="007D706A" w:rsidP="00F70508">
            <w:pPr>
              <w:pStyle w:val="ParagraphStyle10"/>
              <w:rPr>
                <w:rStyle w:val="CharacterStyle10"/>
              </w:rPr>
            </w:pPr>
            <w:r>
              <w:rPr>
                <w:rStyle w:val="CharacterStyle10"/>
              </w:rPr>
              <w:t>45</w:t>
            </w:r>
          </w:p>
        </w:tc>
        <w:tc>
          <w:tcPr>
            <w:tcW w:w="4995" w:type="dxa"/>
            <w:tcBorders>
              <w:bottom w:val="single" w:sz="6" w:space="0" w:color="000000"/>
              <w:right w:val="single" w:sz="6" w:space="0" w:color="000000"/>
            </w:tcBorders>
            <w:vAlign w:val="center"/>
          </w:tcPr>
          <w:p w14:paraId="3ECFDD24" w14:textId="77777777" w:rsidR="007D706A" w:rsidRDefault="007D706A" w:rsidP="00F70508">
            <w:pPr>
              <w:pStyle w:val="ParagraphStyle11"/>
              <w:rPr>
                <w:rStyle w:val="CharacterStyle11"/>
              </w:rPr>
            </w:pPr>
            <w:r>
              <w:rPr>
                <w:rStyle w:val="CharacterStyle11"/>
              </w:rPr>
              <w:t>Rashodi za dodatna ulaganja na nefinancijskoj imovini</w:t>
            </w:r>
          </w:p>
        </w:tc>
        <w:tc>
          <w:tcPr>
            <w:tcW w:w="1395" w:type="dxa"/>
            <w:tcBorders>
              <w:bottom w:val="single" w:sz="6" w:space="0" w:color="000000"/>
              <w:right w:val="single" w:sz="6" w:space="0" w:color="000000"/>
            </w:tcBorders>
            <w:vAlign w:val="center"/>
          </w:tcPr>
          <w:p w14:paraId="4763861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01D1725" w14:textId="77777777" w:rsidR="007D706A" w:rsidRDefault="007D706A" w:rsidP="00F70508">
            <w:pPr>
              <w:pStyle w:val="ParagraphStyle12"/>
              <w:rPr>
                <w:rStyle w:val="CharacterStyle12"/>
              </w:rPr>
            </w:pPr>
            <w:r>
              <w:rPr>
                <w:rStyle w:val="CharacterStyle12"/>
              </w:rPr>
              <w:t>285.000,00</w:t>
            </w:r>
          </w:p>
        </w:tc>
        <w:tc>
          <w:tcPr>
            <w:tcW w:w="1395" w:type="dxa"/>
            <w:tcBorders>
              <w:bottom w:val="single" w:sz="6" w:space="0" w:color="000000"/>
              <w:right w:val="single" w:sz="6" w:space="0" w:color="000000"/>
            </w:tcBorders>
            <w:vAlign w:val="center"/>
          </w:tcPr>
          <w:p w14:paraId="070DD60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8D7F65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011A1B2" w14:textId="77777777" w:rsidR="007D706A" w:rsidRDefault="007D706A" w:rsidP="00F70508">
            <w:pPr>
              <w:pStyle w:val="ParagraphStyle12"/>
              <w:rPr>
                <w:rStyle w:val="CharacterStyle12"/>
              </w:rPr>
            </w:pPr>
            <w:r>
              <w:rPr>
                <w:rStyle w:val="CharacterStyle12"/>
              </w:rPr>
              <w:t>0,00</w:t>
            </w:r>
          </w:p>
        </w:tc>
      </w:tr>
      <w:tr w:rsidR="007D706A" w14:paraId="4967EB2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A1F3A7D" w14:textId="77777777" w:rsidR="007D706A" w:rsidRDefault="007D706A" w:rsidP="00F70508">
            <w:pPr>
              <w:pStyle w:val="ParagraphStyle4"/>
              <w:rPr>
                <w:rStyle w:val="CharacterStyle4"/>
              </w:rPr>
            </w:pPr>
            <w:r>
              <w:rPr>
                <w:rStyle w:val="CharacterStyle4"/>
              </w:rPr>
              <w:t>PROGRAM    1019</w:t>
            </w:r>
          </w:p>
        </w:tc>
        <w:tc>
          <w:tcPr>
            <w:tcW w:w="4995" w:type="dxa"/>
            <w:tcBorders>
              <w:bottom w:val="single" w:sz="6" w:space="0" w:color="000000"/>
              <w:right w:val="single" w:sz="6" w:space="0" w:color="000000"/>
            </w:tcBorders>
            <w:vAlign w:val="center"/>
          </w:tcPr>
          <w:p w14:paraId="7B13A287" w14:textId="77777777" w:rsidR="007D706A" w:rsidRDefault="007D706A" w:rsidP="00F70508">
            <w:pPr>
              <w:pStyle w:val="ParagraphStyle5"/>
              <w:rPr>
                <w:rStyle w:val="CharacterStyle5"/>
              </w:rPr>
            </w:pPr>
            <w:r>
              <w:rPr>
                <w:rStyle w:val="CharacterStyle5"/>
              </w:rPr>
              <w:t>OPĆE POTREBE KOMUNALNE DJELATNOSTI</w:t>
            </w:r>
          </w:p>
        </w:tc>
        <w:tc>
          <w:tcPr>
            <w:tcW w:w="1395" w:type="dxa"/>
            <w:tcBorders>
              <w:bottom w:val="single" w:sz="6" w:space="0" w:color="000000"/>
              <w:right w:val="single" w:sz="6" w:space="0" w:color="000000"/>
            </w:tcBorders>
            <w:vAlign w:val="center"/>
          </w:tcPr>
          <w:p w14:paraId="3B4EFC12"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60290F16" w14:textId="77777777" w:rsidR="007D706A" w:rsidRDefault="007D706A" w:rsidP="00F70508">
            <w:pPr>
              <w:pStyle w:val="ParagraphStyle6"/>
              <w:rPr>
                <w:rStyle w:val="CharacterStyle6"/>
              </w:rPr>
            </w:pPr>
            <w:r>
              <w:rPr>
                <w:rStyle w:val="CharacterStyle6"/>
              </w:rPr>
              <w:t>27.420,00</w:t>
            </w:r>
          </w:p>
        </w:tc>
        <w:tc>
          <w:tcPr>
            <w:tcW w:w="1395" w:type="dxa"/>
            <w:tcBorders>
              <w:bottom w:val="single" w:sz="6" w:space="0" w:color="000000"/>
              <w:right w:val="single" w:sz="6" w:space="0" w:color="000000"/>
            </w:tcBorders>
            <w:vAlign w:val="center"/>
          </w:tcPr>
          <w:p w14:paraId="2234A2F3" w14:textId="77777777" w:rsidR="007D706A" w:rsidRDefault="007D706A" w:rsidP="00F70508">
            <w:pPr>
              <w:pStyle w:val="ParagraphStyle6"/>
              <w:rPr>
                <w:rStyle w:val="CharacterStyle6"/>
              </w:rPr>
            </w:pPr>
            <w:r>
              <w:rPr>
                <w:rStyle w:val="CharacterStyle6"/>
              </w:rPr>
              <w:t>37.350,00</w:t>
            </w:r>
          </w:p>
        </w:tc>
        <w:tc>
          <w:tcPr>
            <w:tcW w:w="1395" w:type="dxa"/>
            <w:tcBorders>
              <w:bottom w:val="single" w:sz="6" w:space="0" w:color="000000"/>
              <w:right w:val="single" w:sz="6" w:space="0" w:color="000000"/>
            </w:tcBorders>
            <w:vAlign w:val="center"/>
          </w:tcPr>
          <w:p w14:paraId="585C0397" w14:textId="77777777" w:rsidR="007D706A" w:rsidRDefault="007D706A" w:rsidP="00F70508">
            <w:pPr>
              <w:pStyle w:val="ParagraphStyle6"/>
              <w:rPr>
                <w:rStyle w:val="CharacterStyle6"/>
              </w:rPr>
            </w:pPr>
            <w:r>
              <w:rPr>
                <w:rStyle w:val="CharacterStyle6"/>
              </w:rPr>
              <w:t>36.200,00</w:t>
            </w:r>
          </w:p>
        </w:tc>
        <w:tc>
          <w:tcPr>
            <w:tcW w:w="1395" w:type="dxa"/>
            <w:tcBorders>
              <w:bottom w:val="single" w:sz="6" w:space="0" w:color="000000"/>
              <w:right w:val="single" w:sz="6" w:space="0" w:color="000000"/>
            </w:tcBorders>
            <w:vAlign w:val="center"/>
          </w:tcPr>
          <w:p w14:paraId="5D02A45A" w14:textId="77777777" w:rsidR="007D706A" w:rsidRDefault="007D706A" w:rsidP="00F70508">
            <w:pPr>
              <w:pStyle w:val="ParagraphStyle6"/>
              <w:rPr>
                <w:rStyle w:val="CharacterStyle6"/>
              </w:rPr>
            </w:pPr>
            <w:r>
              <w:rPr>
                <w:rStyle w:val="CharacterStyle6"/>
              </w:rPr>
              <w:t>36.200,00</w:t>
            </w:r>
          </w:p>
        </w:tc>
      </w:tr>
      <w:tr w:rsidR="007D706A" w14:paraId="2BF83A3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2B45A68" w14:textId="77777777" w:rsidR="007D706A" w:rsidRDefault="007D706A" w:rsidP="00F70508">
            <w:pPr>
              <w:pStyle w:val="ParagraphStyle4"/>
              <w:rPr>
                <w:rStyle w:val="CharacterStyle4"/>
              </w:rPr>
            </w:pPr>
            <w:r>
              <w:rPr>
                <w:rStyle w:val="CharacterStyle4"/>
              </w:rPr>
              <w:t>Tekući projekt T101902</w:t>
            </w:r>
          </w:p>
        </w:tc>
        <w:tc>
          <w:tcPr>
            <w:tcW w:w="4995" w:type="dxa"/>
            <w:tcBorders>
              <w:bottom w:val="single" w:sz="6" w:space="0" w:color="000000"/>
              <w:right w:val="single" w:sz="6" w:space="0" w:color="000000"/>
            </w:tcBorders>
            <w:vAlign w:val="center"/>
          </w:tcPr>
          <w:p w14:paraId="4BFD2691" w14:textId="77777777" w:rsidR="007D706A" w:rsidRDefault="007D706A" w:rsidP="00F70508">
            <w:pPr>
              <w:pStyle w:val="ParagraphStyle5"/>
              <w:rPr>
                <w:rStyle w:val="CharacterStyle5"/>
              </w:rPr>
            </w:pPr>
            <w:r>
              <w:rPr>
                <w:rStyle w:val="CharacterStyle5"/>
              </w:rPr>
              <w:t>ODRŽAVANJE GRADSKOG SATA</w:t>
            </w:r>
          </w:p>
        </w:tc>
        <w:tc>
          <w:tcPr>
            <w:tcW w:w="1395" w:type="dxa"/>
            <w:tcBorders>
              <w:bottom w:val="single" w:sz="6" w:space="0" w:color="000000"/>
              <w:right w:val="single" w:sz="6" w:space="0" w:color="000000"/>
            </w:tcBorders>
            <w:vAlign w:val="center"/>
          </w:tcPr>
          <w:p w14:paraId="49BD59E6"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002EA280" w14:textId="77777777" w:rsidR="007D706A" w:rsidRDefault="007D706A" w:rsidP="00F70508">
            <w:pPr>
              <w:pStyle w:val="ParagraphStyle6"/>
              <w:rPr>
                <w:rStyle w:val="CharacterStyle6"/>
              </w:rPr>
            </w:pPr>
            <w:r>
              <w:rPr>
                <w:rStyle w:val="CharacterStyle6"/>
              </w:rPr>
              <w:t>2.800,00</w:t>
            </w:r>
          </w:p>
        </w:tc>
        <w:tc>
          <w:tcPr>
            <w:tcW w:w="1395" w:type="dxa"/>
            <w:tcBorders>
              <w:bottom w:val="single" w:sz="6" w:space="0" w:color="000000"/>
              <w:right w:val="single" w:sz="6" w:space="0" w:color="000000"/>
            </w:tcBorders>
            <w:vAlign w:val="center"/>
          </w:tcPr>
          <w:p w14:paraId="181CC917" w14:textId="77777777" w:rsidR="007D706A" w:rsidRDefault="007D706A" w:rsidP="00F70508">
            <w:pPr>
              <w:pStyle w:val="ParagraphStyle6"/>
              <w:rPr>
                <w:rStyle w:val="CharacterStyle6"/>
              </w:rPr>
            </w:pPr>
            <w:r>
              <w:rPr>
                <w:rStyle w:val="CharacterStyle6"/>
              </w:rPr>
              <w:t>2.800,00</w:t>
            </w:r>
          </w:p>
        </w:tc>
        <w:tc>
          <w:tcPr>
            <w:tcW w:w="1395" w:type="dxa"/>
            <w:tcBorders>
              <w:bottom w:val="single" w:sz="6" w:space="0" w:color="000000"/>
              <w:right w:val="single" w:sz="6" w:space="0" w:color="000000"/>
            </w:tcBorders>
            <w:vAlign w:val="center"/>
          </w:tcPr>
          <w:p w14:paraId="235B40DD" w14:textId="77777777" w:rsidR="007D706A" w:rsidRDefault="007D706A" w:rsidP="00F70508">
            <w:pPr>
              <w:pStyle w:val="ParagraphStyle6"/>
              <w:rPr>
                <w:rStyle w:val="CharacterStyle6"/>
              </w:rPr>
            </w:pPr>
            <w:r>
              <w:rPr>
                <w:rStyle w:val="CharacterStyle6"/>
              </w:rPr>
              <w:t>3.000,00</w:t>
            </w:r>
          </w:p>
        </w:tc>
        <w:tc>
          <w:tcPr>
            <w:tcW w:w="1395" w:type="dxa"/>
            <w:tcBorders>
              <w:bottom w:val="single" w:sz="6" w:space="0" w:color="000000"/>
              <w:right w:val="single" w:sz="6" w:space="0" w:color="000000"/>
            </w:tcBorders>
            <w:vAlign w:val="center"/>
          </w:tcPr>
          <w:p w14:paraId="7ED42765" w14:textId="77777777" w:rsidR="007D706A" w:rsidRDefault="007D706A" w:rsidP="00F70508">
            <w:pPr>
              <w:pStyle w:val="ParagraphStyle6"/>
              <w:rPr>
                <w:rStyle w:val="CharacterStyle6"/>
              </w:rPr>
            </w:pPr>
            <w:r>
              <w:rPr>
                <w:rStyle w:val="CharacterStyle6"/>
              </w:rPr>
              <w:t>3.000,00</w:t>
            </w:r>
          </w:p>
        </w:tc>
      </w:tr>
      <w:tr w:rsidR="007D706A" w14:paraId="768A21A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CDD1DE0" w14:textId="77777777" w:rsidR="007D706A" w:rsidRDefault="007D706A" w:rsidP="00F70508">
            <w:pPr>
              <w:pStyle w:val="ParagraphStyle7"/>
              <w:rPr>
                <w:rStyle w:val="CharacterStyle7"/>
              </w:rPr>
            </w:pPr>
            <w:r>
              <w:rPr>
                <w:rStyle w:val="CharacterStyle7"/>
              </w:rPr>
              <w:t>Izvor financiranja 40</w:t>
            </w:r>
          </w:p>
        </w:tc>
        <w:tc>
          <w:tcPr>
            <w:tcW w:w="4995" w:type="dxa"/>
            <w:tcBorders>
              <w:bottom w:val="single" w:sz="6" w:space="0" w:color="000000"/>
              <w:right w:val="single" w:sz="6" w:space="0" w:color="000000"/>
            </w:tcBorders>
            <w:vAlign w:val="center"/>
          </w:tcPr>
          <w:p w14:paraId="79CFFD6D" w14:textId="77777777" w:rsidR="007D706A" w:rsidRDefault="007D706A" w:rsidP="00F70508">
            <w:pPr>
              <w:pStyle w:val="ParagraphStyle8"/>
              <w:rPr>
                <w:rStyle w:val="CharacterStyle8"/>
              </w:rPr>
            </w:pPr>
            <w:r>
              <w:rPr>
                <w:rStyle w:val="CharacterStyle8"/>
              </w:rPr>
              <w:t>Prihodi od komunalne naknade i komunalnog doprinosa</w:t>
            </w:r>
          </w:p>
        </w:tc>
        <w:tc>
          <w:tcPr>
            <w:tcW w:w="1395" w:type="dxa"/>
            <w:tcBorders>
              <w:bottom w:val="single" w:sz="6" w:space="0" w:color="000000"/>
              <w:right w:val="single" w:sz="6" w:space="0" w:color="000000"/>
            </w:tcBorders>
            <w:vAlign w:val="center"/>
          </w:tcPr>
          <w:p w14:paraId="3B3A43E5"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54B876D"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D973543" w14:textId="77777777" w:rsidR="007D706A" w:rsidRDefault="007D706A" w:rsidP="00F70508">
            <w:pPr>
              <w:pStyle w:val="ParagraphStyle9"/>
              <w:rPr>
                <w:rStyle w:val="CharacterStyle9"/>
              </w:rPr>
            </w:pPr>
            <w:r>
              <w:rPr>
                <w:rStyle w:val="CharacterStyle9"/>
              </w:rPr>
              <w:t>2.800,00</w:t>
            </w:r>
          </w:p>
        </w:tc>
        <w:tc>
          <w:tcPr>
            <w:tcW w:w="1395" w:type="dxa"/>
            <w:tcBorders>
              <w:bottom w:val="single" w:sz="6" w:space="0" w:color="000000"/>
              <w:right w:val="single" w:sz="6" w:space="0" w:color="000000"/>
            </w:tcBorders>
            <w:vAlign w:val="center"/>
          </w:tcPr>
          <w:p w14:paraId="2CE35549" w14:textId="77777777" w:rsidR="007D706A" w:rsidRDefault="007D706A" w:rsidP="00F70508">
            <w:pPr>
              <w:pStyle w:val="ParagraphStyle9"/>
              <w:rPr>
                <w:rStyle w:val="CharacterStyle9"/>
              </w:rPr>
            </w:pPr>
            <w:r>
              <w:rPr>
                <w:rStyle w:val="CharacterStyle9"/>
              </w:rPr>
              <w:t>3.000,00</w:t>
            </w:r>
          </w:p>
        </w:tc>
        <w:tc>
          <w:tcPr>
            <w:tcW w:w="1395" w:type="dxa"/>
            <w:tcBorders>
              <w:bottom w:val="single" w:sz="6" w:space="0" w:color="000000"/>
              <w:right w:val="single" w:sz="6" w:space="0" w:color="000000"/>
            </w:tcBorders>
            <w:vAlign w:val="center"/>
          </w:tcPr>
          <w:p w14:paraId="284B946F" w14:textId="77777777" w:rsidR="007D706A" w:rsidRDefault="007D706A" w:rsidP="00F70508">
            <w:pPr>
              <w:pStyle w:val="ParagraphStyle9"/>
              <w:rPr>
                <w:rStyle w:val="CharacterStyle9"/>
              </w:rPr>
            </w:pPr>
            <w:r>
              <w:rPr>
                <w:rStyle w:val="CharacterStyle9"/>
              </w:rPr>
              <w:t>3.000,00</w:t>
            </w:r>
          </w:p>
        </w:tc>
      </w:tr>
      <w:tr w:rsidR="007D706A" w14:paraId="451DF74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C3A7191"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5923966D"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454EA9C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5D399B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1BC252B" w14:textId="77777777" w:rsidR="007D706A" w:rsidRDefault="007D706A" w:rsidP="00F70508">
            <w:pPr>
              <w:pStyle w:val="ParagraphStyle12"/>
              <w:rPr>
                <w:rStyle w:val="CharacterStyle12"/>
              </w:rPr>
            </w:pPr>
            <w:r>
              <w:rPr>
                <w:rStyle w:val="CharacterStyle12"/>
              </w:rPr>
              <w:t>2.800,00</w:t>
            </w:r>
          </w:p>
        </w:tc>
        <w:tc>
          <w:tcPr>
            <w:tcW w:w="1395" w:type="dxa"/>
            <w:tcBorders>
              <w:bottom w:val="single" w:sz="6" w:space="0" w:color="000000"/>
              <w:right w:val="single" w:sz="6" w:space="0" w:color="000000"/>
            </w:tcBorders>
            <w:vAlign w:val="center"/>
          </w:tcPr>
          <w:p w14:paraId="39EAC4DA" w14:textId="77777777" w:rsidR="007D706A" w:rsidRDefault="007D706A" w:rsidP="00F70508">
            <w:pPr>
              <w:pStyle w:val="ParagraphStyle12"/>
              <w:rPr>
                <w:rStyle w:val="CharacterStyle12"/>
              </w:rPr>
            </w:pPr>
            <w:r>
              <w:rPr>
                <w:rStyle w:val="CharacterStyle12"/>
              </w:rPr>
              <w:t>3.000,00</w:t>
            </w:r>
          </w:p>
        </w:tc>
        <w:tc>
          <w:tcPr>
            <w:tcW w:w="1395" w:type="dxa"/>
            <w:tcBorders>
              <w:bottom w:val="single" w:sz="6" w:space="0" w:color="000000"/>
              <w:right w:val="single" w:sz="6" w:space="0" w:color="000000"/>
            </w:tcBorders>
            <w:vAlign w:val="center"/>
          </w:tcPr>
          <w:p w14:paraId="7E8EBE0D" w14:textId="77777777" w:rsidR="007D706A" w:rsidRDefault="007D706A" w:rsidP="00F70508">
            <w:pPr>
              <w:pStyle w:val="ParagraphStyle12"/>
              <w:rPr>
                <w:rStyle w:val="CharacterStyle12"/>
              </w:rPr>
            </w:pPr>
            <w:r>
              <w:rPr>
                <w:rStyle w:val="CharacterStyle12"/>
              </w:rPr>
              <w:t>3.000,00</w:t>
            </w:r>
          </w:p>
        </w:tc>
      </w:tr>
      <w:tr w:rsidR="007D706A" w14:paraId="206536D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9A430B1"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1AECBE3C"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074AC5A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A8DB14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8D68BD9" w14:textId="77777777" w:rsidR="007D706A" w:rsidRDefault="007D706A" w:rsidP="00F70508">
            <w:pPr>
              <w:pStyle w:val="ParagraphStyle12"/>
              <w:rPr>
                <w:rStyle w:val="CharacterStyle12"/>
              </w:rPr>
            </w:pPr>
            <w:r>
              <w:rPr>
                <w:rStyle w:val="CharacterStyle12"/>
              </w:rPr>
              <w:t>2.800,00</w:t>
            </w:r>
          </w:p>
        </w:tc>
        <w:tc>
          <w:tcPr>
            <w:tcW w:w="1395" w:type="dxa"/>
            <w:tcBorders>
              <w:bottom w:val="single" w:sz="6" w:space="0" w:color="000000"/>
              <w:right w:val="single" w:sz="6" w:space="0" w:color="000000"/>
            </w:tcBorders>
            <w:vAlign w:val="center"/>
          </w:tcPr>
          <w:p w14:paraId="29BFA6E6" w14:textId="77777777" w:rsidR="007D706A" w:rsidRDefault="007D706A" w:rsidP="00F70508">
            <w:pPr>
              <w:pStyle w:val="ParagraphStyle12"/>
              <w:rPr>
                <w:rStyle w:val="CharacterStyle12"/>
              </w:rPr>
            </w:pPr>
            <w:r>
              <w:rPr>
                <w:rStyle w:val="CharacterStyle12"/>
              </w:rPr>
              <w:t>3.000,00</w:t>
            </w:r>
          </w:p>
        </w:tc>
        <w:tc>
          <w:tcPr>
            <w:tcW w:w="1395" w:type="dxa"/>
            <w:tcBorders>
              <w:bottom w:val="single" w:sz="6" w:space="0" w:color="000000"/>
              <w:right w:val="single" w:sz="6" w:space="0" w:color="000000"/>
            </w:tcBorders>
            <w:vAlign w:val="center"/>
          </w:tcPr>
          <w:p w14:paraId="38729FB2" w14:textId="77777777" w:rsidR="007D706A" w:rsidRDefault="007D706A" w:rsidP="00F70508">
            <w:pPr>
              <w:pStyle w:val="ParagraphStyle12"/>
              <w:rPr>
                <w:rStyle w:val="CharacterStyle12"/>
              </w:rPr>
            </w:pPr>
            <w:r>
              <w:rPr>
                <w:rStyle w:val="CharacterStyle12"/>
              </w:rPr>
              <w:t>3.000,00</w:t>
            </w:r>
          </w:p>
        </w:tc>
      </w:tr>
      <w:tr w:rsidR="007D706A" w14:paraId="3E4052E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5F5EBBC" w14:textId="77777777" w:rsidR="007D706A" w:rsidRDefault="007D706A" w:rsidP="00F70508">
            <w:pPr>
              <w:pStyle w:val="ParagraphStyle7"/>
              <w:rPr>
                <w:rStyle w:val="CharacterStyle7"/>
              </w:rPr>
            </w:pPr>
            <w:r>
              <w:rPr>
                <w:rStyle w:val="CharacterStyle7"/>
              </w:rPr>
              <w:t>Izvor financiranja 41</w:t>
            </w:r>
          </w:p>
        </w:tc>
        <w:tc>
          <w:tcPr>
            <w:tcW w:w="4995" w:type="dxa"/>
            <w:tcBorders>
              <w:bottom w:val="single" w:sz="6" w:space="0" w:color="000000"/>
              <w:right w:val="single" w:sz="6" w:space="0" w:color="000000"/>
            </w:tcBorders>
            <w:vAlign w:val="center"/>
          </w:tcPr>
          <w:p w14:paraId="26618163" w14:textId="77777777" w:rsidR="007D706A" w:rsidRDefault="007D706A" w:rsidP="00F70508">
            <w:pPr>
              <w:pStyle w:val="ParagraphStyle8"/>
              <w:rPr>
                <w:rStyle w:val="CharacterStyle8"/>
              </w:rPr>
            </w:pPr>
            <w:r>
              <w:rPr>
                <w:rStyle w:val="CharacterStyle8"/>
              </w:rPr>
              <w:t>Prihodi za posebne namjene</w:t>
            </w:r>
          </w:p>
        </w:tc>
        <w:tc>
          <w:tcPr>
            <w:tcW w:w="1395" w:type="dxa"/>
            <w:tcBorders>
              <w:bottom w:val="single" w:sz="6" w:space="0" w:color="000000"/>
              <w:right w:val="single" w:sz="6" w:space="0" w:color="000000"/>
            </w:tcBorders>
            <w:vAlign w:val="center"/>
          </w:tcPr>
          <w:p w14:paraId="05AD70A2"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9C6BD22" w14:textId="77777777" w:rsidR="007D706A" w:rsidRDefault="007D706A" w:rsidP="00F70508">
            <w:pPr>
              <w:pStyle w:val="ParagraphStyle9"/>
              <w:rPr>
                <w:rStyle w:val="CharacterStyle9"/>
              </w:rPr>
            </w:pPr>
            <w:r>
              <w:rPr>
                <w:rStyle w:val="CharacterStyle9"/>
              </w:rPr>
              <w:t>2.800,00</w:t>
            </w:r>
          </w:p>
        </w:tc>
        <w:tc>
          <w:tcPr>
            <w:tcW w:w="1395" w:type="dxa"/>
            <w:tcBorders>
              <w:bottom w:val="single" w:sz="6" w:space="0" w:color="000000"/>
              <w:right w:val="single" w:sz="6" w:space="0" w:color="000000"/>
            </w:tcBorders>
            <w:vAlign w:val="center"/>
          </w:tcPr>
          <w:p w14:paraId="0852A9BB"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6461F62"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B2ED223" w14:textId="77777777" w:rsidR="007D706A" w:rsidRDefault="007D706A" w:rsidP="00F70508">
            <w:pPr>
              <w:pStyle w:val="ParagraphStyle9"/>
              <w:rPr>
                <w:rStyle w:val="CharacterStyle9"/>
              </w:rPr>
            </w:pPr>
            <w:r>
              <w:rPr>
                <w:rStyle w:val="CharacterStyle9"/>
              </w:rPr>
              <w:t>0,00</w:t>
            </w:r>
          </w:p>
        </w:tc>
      </w:tr>
      <w:tr w:rsidR="007D706A" w14:paraId="7936F40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4B8EE49"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059A5139"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0C2A9E0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9FC1282" w14:textId="77777777" w:rsidR="007D706A" w:rsidRDefault="007D706A" w:rsidP="00F70508">
            <w:pPr>
              <w:pStyle w:val="ParagraphStyle12"/>
              <w:rPr>
                <w:rStyle w:val="CharacterStyle12"/>
              </w:rPr>
            </w:pPr>
            <w:r>
              <w:rPr>
                <w:rStyle w:val="CharacterStyle12"/>
              </w:rPr>
              <w:t>2.800,00</w:t>
            </w:r>
          </w:p>
        </w:tc>
        <w:tc>
          <w:tcPr>
            <w:tcW w:w="1395" w:type="dxa"/>
            <w:tcBorders>
              <w:bottom w:val="single" w:sz="6" w:space="0" w:color="000000"/>
              <w:right w:val="single" w:sz="6" w:space="0" w:color="000000"/>
            </w:tcBorders>
            <w:vAlign w:val="center"/>
          </w:tcPr>
          <w:p w14:paraId="365EDB0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00527D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0D5E821" w14:textId="77777777" w:rsidR="007D706A" w:rsidRDefault="007D706A" w:rsidP="00F70508">
            <w:pPr>
              <w:pStyle w:val="ParagraphStyle12"/>
              <w:rPr>
                <w:rStyle w:val="CharacterStyle12"/>
              </w:rPr>
            </w:pPr>
            <w:r>
              <w:rPr>
                <w:rStyle w:val="CharacterStyle12"/>
              </w:rPr>
              <w:t>0,00</w:t>
            </w:r>
          </w:p>
        </w:tc>
      </w:tr>
      <w:tr w:rsidR="007D706A" w14:paraId="5CAE916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C3DB485"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764340D5"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0D1B288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5EDEA40" w14:textId="77777777" w:rsidR="007D706A" w:rsidRDefault="007D706A" w:rsidP="00F70508">
            <w:pPr>
              <w:pStyle w:val="ParagraphStyle12"/>
              <w:rPr>
                <w:rStyle w:val="CharacterStyle12"/>
              </w:rPr>
            </w:pPr>
            <w:r>
              <w:rPr>
                <w:rStyle w:val="CharacterStyle12"/>
              </w:rPr>
              <w:t>2.800,00</w:t>
            </w:r>
          </w:p>
        </w:tc>
        <w:tc>
          <w:tcPr>
            <w:tcW w:w="1395" w:type="dxa"/>
            <w:tcBorders>
              <w:bottom w:val="single" w:sz="6" w:space="0" w:color="000000"/>
              <w:right w:val="single" w:sz="6" w:space="0" w:color="000000"/>
            </w:tcBorders>
            <w:vAlign w:val="center"/>
          </w:tcPr>
          <w:p w14:paraId="7340901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EE478F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E01F8B1" w14:textId="77777777" w:rsidR="007D706A" w:rsidRDefault="007D706A" w:rsidP="00F70508">
            <w:pPr>
              <w:pStyle w:val="ParagraphStyle12"/>
              <w:rPr>
                <w:rStyle w:val="CharacterStyle12"/>
              </w:rPr>
            </w:pPr>
            <w:r>
              <w:rPr>
                <w:rStyle w:val="CharacterStyle12"/>
              </w:rPr>
              <w:t>0,00</w:t>
            </w:r>
          </w:p>
        </w:tc>
      </w:tr>
      <w:tr w:rsidR="007D706A" w14:paraId="45CBFA7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00C832B" w14:textId="77777777" w:rsidR="007D706A" w:rsidRDefault="007D706A" w:rsidP="00F70508">
            <w:pPr>
              <w:pStyle w:val="ParagraphStyle4"/>
              <w:rPr>
                <w:rStyle w:val="CharacterStyle4"/>
              </w:rPr>
            </w:pPr>
            <w:r>
              <w:rPr>
                <w:rStyle w:val="CharacterStyle4"/>
              </w:rPr>
              <w:t>Tekući projekt T101901</w:t>
            </w:r>
          </w:p>
        </w:tc>
        <w:tc>
          <w:tcPr>
            <w:tcW w:w="4995" w:type="dxa"/>
            <w:tcBorders>
              <w:bottom w:val="single" w:sz="6" w:space="0" w:color="000000"/>
              <w:right w:val="single" w:sz="6" w:space="0" w:color="000000"/>
            </w:tcBorders>
            <w:vAlign w:val="center"/>
          </w:tcPr>
          <w:p w14:paraId="6B10DA4A" w14:textId="77777777" w:rsidR="007D706A" w:rsidRDefault="007D706A" w:rsidP="00F70508">
            <w:pPr>
              <w:pStyle w:val="ParagraphStyle5"/>
              <w:rPr>
                <w:rStyle w:val="CharacterStyle5"/>
              </w:rPr>
            </w:pPr>
            <w:r>
              <w:rPr>
                <w:rStyle w:val="CharacterStyle5"/>
              </w:rPr>
              <w:t>JEDINICA PROMETNE MLADEŽI</w:t>
            </w:r>
          </w:p>
        </w:tc>
        <w:tc>
          <w:tcPr>
            <w:tcW w:w="1395" w:type="dxa"/>
            <w:tcBorders>
              <w:bottom w:val="single" w:sz="6" w:space="0" w:color="000000"/>
              <w:right w:val="single" w:sz="6" w:space="0" w:color="000000"/>
            </w:tcBorders>
            <w:vAlign w:val="center"/>
          </w:tcPr>
          <w:p w14:paraId="009348A4"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2D566384" w14:textId="77777777" w:rsidR="007D706A" w:rsidRDefault="007D706A" w:rsidP="00F70508">
            <w:pPr>
              <w:pStyle w:val="ParagraphStyle6"/>
              <w:rPr>
                <w:rStyle w:val="CharacterStyle6"/>
              </w:rPr>
            </w:pPr>
            <w:r>
              <w:rPr>
                <w:rStyle w:val="CharacterStyle6"/>
              </w:rPr>
              <w:t>2.600,00</w:t>
            </w:r>
          </w:p>
        </w:tc>
        <w:tc>
          <w:tcPr>
            <w:tcW w:w="1395" w:type="dxa"/>
            <w:tcBorders>
              <w:bottom w:val="single" w:sz="6" w:space="0" w:color="000000"/>
              <w:right w:val="single" w:sz="6" w:space="0" w:color="000000"/>
            </w:tcBorders>
            <w:vAlign w:val="center"/>
          </w:tcPr>
          <w:p w14:paraId="663491AC" w14:textId="77777777" w:rsidR="007D706A" w:rsidRDefault="007D706A" w:rsidP="00F70508">
            <w:pPr>
              <w:pStyle w:val="ParagraphStyle6"/>
              <w:rPr>
                <w:rStyle w:val="CharacterStyle6"/>
              </w:rPr>
            </w:pPr>
            <w:r>
              <w:rPr>
                <w:rStyle w:val="CharacterStyle6"/>
              </w:rPr>
              <w:t>7.600,00</w:t>
            </w:r>
          </w:p>
        </w:tc>
        <w:tc>
          <w:tcPr>
            <w:tcW w:w="1395" w:type="dxa"/>
            <w:tcBorders>
              <w:bottom w:val="single" w:sz="6" w:space="0" w:color="000000"/>
              <w:right w:val="single" w:sz="6" w:space="0" w:color="000000"/>
            </w:tcBorders>
            <w:vAlign w:val="center"/>
          </w:tcPr>
          <w:p w14:paraId="09C56D36" w14:textId="77777777" w:rsidR="007D706A" w:rsidRDefault="007D706A" w:rsidP="00F70508">
            <w:pPr>
              <w:pStyle w:val="ParagraphStyle6"/>
              <w:rPr>
                <w:rStyle w:val="CharacterStyle6"/>
              </w:rPr>
            </w:pPr>
            <w:r>
              <w:rPr>
                <w:rStyle w:val="CharacterStyle6"/>
              </w:rPr>
              <w:t>8.200,00</w:t>
            </w:r>
          </w:p>
        </w:tc>
        <w:tc>
          <w:tcPr>
            <w:tcW w:w="1395" w:type="dxa"/>
            <w:tcBorders>
              <w:bottom w:val="single" w:sz="6" w:space="0" w:color="000000"/>
              <w:right w:val="single" w:sz="6" w:space="0" w:color="000000"/>
            </w:tcBorders>
            <w:vAlign w:val="center"/>
          </w:tcPr>
          <w:p w14:paraId="75FB53D5" w14:textId="77777777" w:rsidR="007D706A" w:rsidRDefault="007D706A" w:rsidP="00F70508">
            <w:pPr>
              <w:pStyle w:val="ParagraphStyle6"/>
              <w:rPr>
                <w:rStyle w:val="CharacterStyle6"/>
              </w:rPr>
            </w:pPr>
            <w:r>
              <w:rPr>
                <w:rStyle w:val="CharacterStyle6"/>
              </w:rPr>
              <w:t>8.200,00</w:t>
            </w:r>
          </w:p>
        </w:tc>
      </w:tr>
      <w:tr w:rsidR="007D706A" w14:paraId="185A380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D541985" w14:textId="77777777" w:rsidR="007D706A" w:rsidRDefault="007D706A" w:rsidP="00F70508">
            <w:pPr>
              <w:pStyle w:val="ParagraphStyle7"/>
              <w:rPr>
                <w:rStyle w:val="CharacterStyle7"/>
              </w:rPr>
            </w:pPr>
            <w:r>
              <w:rPr>
                <w:rStyle w:val="CharacterStyle7"/>
              </w:rPr>
              <w:t>Izvor financiranja 40</w:t>
            </w:r>
          </w:p>
        </w:tc>
        <w:tc>
          <w:tcPr>
            <w:tcW w:w="4995" w:type="dxa"/>
            <w:tcBorders>
              <w:bottom w:val="single" w:sz="6" w:space="0" w:color="000000"/>
              <w:right w:val="single" w:sz="6" w:space="0" w:color="000000"/>
            </w:tcBorders>
            <w:vAlign w:val="center"/>
          </w:tcPr>
          <w:p w14:paraId="5E63D3F0" w14:textId="77777777" w:rsidR="007D706A" w:rsidRDefault="007D706A" w:rsidP="00F70508">
            <w:pPr>
              <w:pStyle w:val="ParagraphStyle8"/>
              <w:rPr>
                <w:rStyle w:val="CharacterStyle8"/>
              </w:rPr>
            </w:pPr>
            <w:r>
              <w:rPr>
                <w:rStyle w:val="CharacterStyle8"/>
              </w:rPr>
              <w:t>Prihodi od komunalne naknade i komunalnog doprinosa</w:t>
            </w:r>
          </w:p>
        </w:tc>
        <w:tc>
          <w:tcPr>
            <w:tcW w:w="1395" w:type="dxa"/>
            <w:tcBorders>
              <w:bottom w:val="single" w:sz="6" w:space="0" w:color="000000"/>
              <w:right w:val="single" w:sz="6" w:space="0" w:color="000000"/>
            </w:tcBorders>
            <w:vAlign w:val="center"/>
          </w:tcPr>
          <w:p w14:paraId="36C6891C"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986D8BA"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5354471" w14:textId="77777777" w:rsidR="007D706A" w:rsidRDefault="007D706A" w:rsidP="00F70508">
            <w:pPr>
              <w:pStyle w:val="ParagraphStyle9"/>
              <w:rPr>
                <w:rStyle w:val="CharacterStyle9"/>
              </w:rPr>
            </w:pPr>
            <w:r>
              <w:rPr>
                <w:rStyle w:val="CharacterStyle9"/>
              </w:rPr>
              <w:t>7.600,00</w:t>
            </w:r>
          </w:p>
        </w:tc>
        <w:tc>
          <w:tcPr>
            <w:tcW w:w="1395" w:type="dxa"/>
            <w:tcBorders>
              <w:bottom w:val="single" w:sz="6" w:space="0" w:color="000000"/>
              <w:right w:val="single" w:sz="6" w:space="0" w:color="000000"/>
            </w:tcBorders>
            <w:vAlign w:val="center"/>
          </w:tcPr>
          <w:p w14:paraId="278F7A0B" w14:textId="77777777" w:rsidR="007D706A" w:rsidRDefault="007D706A" w:rsidP="00F70508">
            <w:pPr>
              <w:pStyle w:val="ParagraphStyle9"/>
              <w:rPr>
                <w:rStyle w:val="CharacterStyle9"/>
              </w:rPr>
            </w:pPr>
            <w:r>
              <w:rPr>
                <w:rStyle w:val="CharacterStyle9"/>
              </w:rPr>
              <w:t>8.200,00</w:t>
            </w:r>
          </w:p>
        </w:tc>
        <w:tc>
          <w:tcPr>
            <w:tcW w:w="1395" w:type="dxa"/>
            <w:tcBorders>
              <w:bottom w:val="single" w:sz="6" w:space="0" w:color="000000"/>
              <w:right w:val="single" w:sz="6" w:space="0" w:color="000000"/>
            </w:tcBorders>
            <w:vAlign w:val="center"/>
          </w:tcPr>
          <w:p w14:paraId="4649CD6A" w14:textId="77777777" w:rsidR="007D706A" w:rsidRDefault="007D706A" w:rsidP="00F70508">
            <w:pPr>
              <w:pStyle w:val="ParagraphStyle9"/>
              <w:rPr>
                <w:rStyle w:val="CharacterStyle9"/>
              </w:rPr>
            </w:pPr>
            <w:r>
              <w:rPr>
                <w:rStyle w:val="CharacterStyle9"/>
              </w:rPr>
              <w:t>8.200,00</w:t>
            </w:r>
          </w:p>
        </w:tc>
      </w:tr>
      <w:tr w:rsidR="007D706A" w14:paraId="78578DE6"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824E459"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1A5908D2"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64B415A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BAEF4A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1EC1D08" w14:textId="77777777" w:rsidR="007D706A" w:rsidRDefault="007D706A" w:rsidP="00F70508">
            <w:pPr>
              <w:pStyle w:val="ParagraphStyle12"/>
              <w:rPr>
                <w:rStyle w:val="CharacterStyle12"/>
              </w:rPr>
            </w:pPr>
            <w:r>
              <w:rPr>
                <w:rStyle w:val="CharacterStyle12"/>
              </w:rPr>
              <w:t>7.600,00</w:t>
            </w:r>
          </w:p>
        </w:tc>
        <w:tc>
          <w:tcPr>
            <w:tcW w:w="1395" w:type="dxa"/>
            <w:tcBorders>
              <w:bottom w:val="single" w:sz="6" w:space="0" w:color="000000"/>
              <w:right w:val="single" w:sz="6" w:space="0" w:color="000000"/>
            </w:tcBorders>
            <w:vAlign w:val="center"/>
          </w:tcPr>
          <w:p w14:paraId="4A2293A6" w14:textId="77777777" w:rsidR="007D706A" w:rsidRDefault="007D706A" w:rsidP="00F70508">
            <w:pPr>
              <w:pStyle w:val="ParagraphStyle12"/>
              <w:rPr>
                <w:rStyle w:val="CharacterStyle12"/>
              </w:rPr>
            </w:pPr>
            <w:r>
              <w:rPr>
                <w:rStyle w:val="CharacterStyle12"/>
              </w:rPr>
              <w:t>8.200,00</w:t>
            </w:r>
          </w:p>
        </w:tc>
        <w:tc>
          <w:tcPr>
            <w:tcW w:w="1395" w:type="dxa"/>
            <w:tcBorders>
              <w:bottom w:val="single" w:sz="6" w:space="0" w:color="000000"/>
              <w:right w:val="single" w:sz="6" w:space="0" w:color="000000"/>
            </w:tcBorders>
            <w:vAlign w:val="center"/>
          </w:tcPr>
          <w:p w14:paraId="2B8715AE" w14:textId="77777777" w:rsidR="007D706A" w:rsidRDefault="007D706A" w:rsidP="00F70508">
            <w:pPr>
              <w:pStyle w:val="ParagraphStyle12"/>
              <w:rPr>
                <w:rStyle w:val="CharacterStyle12"/>
              </w:rPr>
            </w:pPr>
            <w:r>
              <w:rPr>
                <w:rStyle w:val="CharacterStyle12"/>
              </w:rPr>
              <w:t>8.200,00</w:t>
            </w:r>
          </w:p>
        </w:tc>
      </w:tr>
      <w:tr w:rsidR="007D706A" w14:paraId="41C1470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1EB9AA7"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5698DA4C"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40FB897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CD4D39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BC57D3A" w14:textId="77777777" w:rsidR="007D706A" w:rsidRDefault="007D706A" w:rsidP="00F70508">
            <w:pPr>
              <w:pStyle w:val="ParagraphStyle12"/>
              <w:rPr>
                <w:rStyle w:val="CharacterStyle12"/>
              </w:rPr>
            </w:pPr>
            <w:r>
              <w:rPr>
                <w:rStyle w:val="CharacterStyle12"/>
              </w:rPr>
              <w:t>7.600,00</w:t>
            </w:r>
          </w:p>
        </w:tc>
        <w:tc>
          <w:tcPr>
            <w:tcW w:w="1395" w:type="dxa"/>
            <w:tcBorders>
              <w:bottom w:val="single" w:sz="6" w:space="0" w:color="000000"/>
              <w:right w:val="single" w:sz="6" w:space="0" w:color="000000"/>
            </w:tcBorders>
            <w:vAlign w:val="center"/>
          </w:tcPr>
          <w:p w14:paraId="4261F735" w14:textId="77777777" w:rsidR="007D706A" w:rsidRDefault="007D706A" w:rsidP="00F70508">
            <w:pPr>
              <w:pStyle w:val="ParagraphStyle12"/>
              <w:rPr>
                <w:rStyle w:val="CharacterStyle12"/>
              </w:rPr>
            </w:pPr>
            <w:r>
              <w:rPr>
                <w:rStyle w:val="CharacterStyle12"/>
              </w:rPr>
              <w:t>8.200,00</w:t>
            </w:r>
          </w:p>
        </w:tc>
        <w:tc>
          <w:tcPr>
            <w:tcW w:w="1395" w:type="dxa"/>
            <w:tcBorders>
              <w:bottom w:val="single" w:sz="6" w:space="0" w:color="000000"/>
              <w:right w:val="single" w:sz="6" w:space="0" w:color="000000"/>
            </w:tcBorders>
            <w:vAlign w:val="center"/>
          </w:tcPr>
          <w:p w14:paraId="43557DA0" w14:textId="77777777" w:rsidR="007D706A" w:rsidRDefault="007D706A" w:rsidP="00F70508">
            <w:pPr>
              <w:pStyle w:val="ParagraphStyle12"/>
              <w:rPr>
                <w:rStyle w:val="CharacterStyle12"/>
              </w:rPr>
            </w:pPr>
            <w:r>
              <w:rPr>
                <w:rStyle w:val="CharacterStyle12"/>
              </w:rPr>
              <w:t>8.200,00</w:t>
            </w:r>
          </w:p>
        </w:tc>
      </w:tr>
      <w:tr w:rsidR="007D706A" w14:paraId="2F81CCA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ECDD013" w14:textId="77777777" w:rsidR="007D706A" w:rsidRDefault="007D706A" w:rsidP="00F70508">
            <w:pPr>
              <w:pStyle w:val="ParagraphStyle7"/>
              <w:rPr>
                <w:rStyle w:val="CharacterStyle7"/>
              </w:rPr>
            </w:pPr>
            <w:r>
              <w:rPr>
                <w:rStyle w:val="CharacterStyle7"/>
              </w:rPr>
              <w:t>Izvor financiranja 41</w:t>
            </w:r>
          </w:p>
        </w:tc>
        <w:tc>
          <w:tcPr>
            <w:tcW w:w="4995" w:type="dxa"/>
            <w:tcBorders>
              <w:bottom w:val="single" w:sz="6" w:space="0" w:color="000000"/>
              <w:right w:val="single" w:sz="6" w:space="0" w:color="000000"/>
            </w:tcBorders>
            <w:vAlign w:val="center"/>
          </w:tcPr>
          <w:p w14:paraId="28B43328" w14:textId="77777777" w:rsidR="007D706A" w:rsidRDefault="007D706A" w:rsidP="00F70508">
            <w:pPr>
              <w:pStyle w:val="ParagraphStyle8"/>
              <w:rPr>
                <w:rStyle w:val="CharacterStyle8"/>
              </w:rPr>
            </w:pPr>
            <w:r>
              <w:rPr>
                <w:rStyle w:val="CharacterStyle8"/>
              </w:rPr>
              <w:t>Prihodi za posebne namjene</w:t>
            </w:r>
          </w:p>
        </w:tc>
        <w:tc>
          <w:tcPr>
            <w:tcW w:w="1395" w:type="dxa"/>
            <w:tcBorders>
              <w:bottom w:val="single" w:sz="6" w:space="0" w:color="000000"/>
              <w:right w:val="single" w:sz="6" w:space="0" w:color="000000"/>
            </w:tcBorders>
            <w:vAlign w:val="center"/>
          </w:tcPr>
          <w:p w14:paraId="241B5F99"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92F30CC" w14:textId="77777777" w:rsidR="007D706A" w:rsidRDefault="007D706A" w:rsidP="00F70508">
            <w:pPr>
              <w:pStyle w:val="ParagraphStyle9"/>
              <w:rPr>
                <w:rStyle w:val="CharacterStyle9"/>
              </w:rPr>
            </w:pPr>
            <w:r>
              <w:rPr>
                <w:rStyle w:val="CharacterStyle9"/>
              </w:rPr>
              <w:t>2.600,00</w:t>
            </w:r>
          </w:p>
        </w:tc>
        <w:tc>
          <w:tcPr>
            <w:tcW w:w="1395" w:type="dxa"/>
            <w:tcBorders>
              <w:bottom w:val="single" w:sz="6" w:space="0" w:color="000000"/>
              <w:right w:val="single" w:sz="6" w:space="0" w:color="000000"/>
            </w:tcBorders>
            <w:vAlign w:val="center"/>
          </w:tcPr>
          <w:p w14:paraId="326FCF23"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66A4111"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54EEA5D" w14:textId="77777777" w:rsidR="007D706A" w:rsidRDefault="007D706A" w:rsidP="00F70508">
            <w:pPr>
              <w:pStyle w:val="ParagraphStyle9"/>
              <w:rPr>
                <w:rStyle w:val="CharacterStyle9"/>
              </w:rPr>
            </w:pPr>
            <w:r>
              <w:rPr>
                <w:rStyle w:val="CharacterStyle9"/>
              </w:rPr>
              <w:t>0,00</w:t>
            </w:r>
          </w:p>
        </w:tc>
      </w:tr>
      <w:tr w:rsidR="007D706A" w14:paraId="522F653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195C8FD"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0A4C57F9"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2DD7989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304B37D" w14:textId="77777777" w:rsidR="007D706A" w:rsidRDefault="007D706A" w:rsidP="00F70508">
            <w:pPr>
              <w:pStyle w:val="ParagraphStyle12"/>
              <w:rPr>
                <w:rStyle w:val="CharacterStyle12"/>
              </w:rPr>
            </w:pPr>
            <w:r>
              <w:rPr>
                <w:rStyle w:val="CharacterStyle12"/>
              </w:rPr>
              <w:t>2.600,00</w:t>
            </w:r>
          </w:p>
        </w:tc>
        <w:tc>
          <w:tcPr>
            <w:tcW w:w="1395" w:type="dxa"/>
            <w:tcBorders>
              <w:bottom w:val="single" w:sz="6" w:space="0" w:color="000000"/>
              <w:right w:val="single" w:sz="6" w:space="0" w:color="000000"/>
            </w:tcBorders>
            <w:vAlign w:val="center"/>
          </w:tcPr>
          <w:p w14:paraId="2666A0D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A346D0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847B674" w14:textId="77777777" w:rsidR="007D706A" w:rsidRDefault="007D706A" w:rsidP="00F70508">
            <w:pPr>
              <w:pStyle w:val="ParagraphStyle12"/>
              <w:rPr>
                <w:rStyle w:val="CharacterStyle12"/>
              </w:rPr>
            </w:pPr>
            <w:r>
              <w:rPr>
                <w:rStyle w:val="CharacterStyle12"/>
              </w:rPr>
              <w:t>0,00</w:t>
            </w:r>
          </w:p>
        </w:tc>
      </w:tr>
      <w:tr w:rsidR="007D706A" w14:paraId="310696F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F4AF074"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78F78D8B"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4BFE13F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D51D2E9" w14:textId="77777777" w:rsidR="007D706A" w:rsidRDefault="007D706A" w:rsidP="00F70508">
            <w:pPr>
              <w:pStyle w:val="ParagraphStyle12"/>
              <w:rPr>
                <w:rStyle w:val="CharacterStyle12"/>
              </w:rPr>
            </w:pPr>
            <w:r>
              <w:rPr>
                <w:rStyle w:val="CharacterStyle12"/>
              </w:rPr>
              <w:t>2.600,00</w:t>
            </w:r>
          </w:p>
        </w:tc>
        <w:tc>
          <w:tcPr>
            <w:tcW w:w="1395" w:type="dxa"/>
            <w:tcBorders>
              <w:bottom w:val="single" w:sz="6" w:space="0" w:color="000000"/>
              <w:right w:val="single" w:sz="6" w:space="0" w:color="000000"/>
            </w:tcBorders>
            <w:vAlign w:val="center"/>
          </w:tcPr>
          <w:p w14:paraId="7715141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EB1132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A393DD9" w14:textId="77777777" w:rsidR="007D706A" w:rsidRDefault="007D706A" w:rsidP="00F70508">
            <w:pPr>
              <w:pStyle w:val="ParagraphStyle12"/>
              <w:rPr>
                <w:rStyle w:val="CharacterStyle12"/>
              </w:rPr>
            </w:pPr>
            <w:r>
              <w:rPr>
                <w:rStyle w:val="CharacterStyle12"/>
              </w:rPr>
              <w:t>0,00</w:t>
            </w:r>
          </w:p>
        </w:tc>
      </w:tr>
      <w:tr w:rsidR="007D706A" w14:paraId="0AFF2A2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4DA08C6" w14:textId="77777777" w:rsidR="007D706A" w:rsidRDefault="007D706A" w:rsidP="00F70508">
            <w:pPr>
              <w:pStyle w:val="ParagraphStyle4"/>
              <w:rPr>
                <w:rStyle w:val="CharacterStyle4"/>
              </w:rPr>
            </w:pPr>
            <w:r>
              <w:rPr>
                <w:rStyle w:val="CharacterStyle4"/>
              </w:rPr>
              <w:t>Tekući projekt T101903</w:t>
            </w:r>
          </w:p>
        </w:tc>
        <w:tc>
          <w:tcPr>
            <w:tcW w:w="4995" w:type="dxa"/>
            <w:tcBorders>
              <w:bottom w:val="single" w:sz="6" w:space="0" w:color="000000"/>
              <w:right w:val="single" w:sz="6" w:space="0" w:color="000000"/>
            </w:tcBorders>
            <w:vAlign w:val="center"/>
          </w:tcPr>
          <w:p w14:paraId="1B8F709E" w14:textId="77777777" w:rsidR="007D706A" w:rsidRDefault="007D706A" w:rsidP="00F70508">
            <w:pPr>
              <w:pStyle w:val="ParagraphStyle5"/>
              <w:rPr>
                <w:rStyle w:val="CharacterStyle5"/>
              </w:rPr>
            </w:pPr>
            <w:r>
              <w:rPr>
                <w:rStyle w:val="CharacterStyle5"/>
              </w:rPr>
              <w:t>PSIHOLOŠKE BARIJERE NA JAVNIM GRADSKIM PLAŽAMA</w:t>
            </w:r>
          </w:p>
        </w:tc>
        <w:tc>
          <w:tcPr>
            <w:tcW w:w="1395" w:type="dxa"/>
            <w:tcBorders>
              <w:bottom w:val="single" w:sz="6" w:space="0" w:color="000000"/>
              <w:right w:val="single" w:sz="6" w:space="0" w:color="000000"/>
            </w:tcBorders>
            <w:vAlign w:val="center"/>
          </w:tcPr>
          <w:p w14:paraId="68E02B52"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7AEAE564" w14:textId="77777777" w:rsidR="007D706A" w:rsidRDefault="007D706A" w:rsidP="00F70508">
            <w:pPr>
              <w:pStyle w:val="ParagraphStyle6"/>
              <w:rPr>
                <w:rStyle w:val="CharacterStyle6"/>
              </w:rPr>
            </w:pPr>
            <w:r>
              <w:rPr>
                <w:rStyle w:val="CharacterStyle6"/>
              </w:rPr>
              <w:t>7.550,00</w:t>
            </w:r>
          </w:p>
        </w:tc>
        <w:tc>
          <w:tcPr>
            <w:tcW w:w="1395" w:type="dxa"/>
            <w:tcBorders>
              <w:bottom w:val="single" w:sz="6" w:space="0" w:color="000000"/>
              <w:right w:val="single" w:sz="6" w:space="0" w:color="000000"/>
            </w:tcBorders>
            <w:vAlign w:val="center"/>
          </w:tcPr>
          <w:p w14:paraId="206F3028" w14:textId="77777777" w:rsidR="007D706A" w:rsidRDefault="007D706A" w:rsidP="00F70508">
            <w:pPr>
              <w:pStyle w:val="ParagraphStyle6"/>
              <w:rPr>
                <w:rStyle w:val="CharacterStyle6"/>
              </w:rPr>
            </w:pPr>
            <w:r>
              <w:rPr>
                <w:rStyle w:val="CharacterStyle6"/>
              </w:rPr>
              <w:t>7.550,00</w:t>
            </w:r>
          </w:p>
        </w:tc>
        <w:tc>
          <w:tcPr>
            <w:tcW w:w="1395" w:type="dxa"/>
            <w:tcBorders>
              <w:bottom w:val="single" w:sz="6" w:space="0" w:color="000000"/>
              <w:right w:val="single" w:sz="6" w:space="0" w:color="000000"/>
            </w:tcBorders>
            <w:vAlign w:val="center"/>
          </w:tcPr>
          <w:p w14:paraId="649727B3" w14:textId="77777777" w:rsidR="007D706A" w:rsidRDefault="007D706A" w:rsidP="00F70508">
            <w:pPr>
              <w:pStyle w:val="ParagraphStyle6"/>
              <w:rPr>
                <w:rStyle w:val="CharacterStyle6"/>
              </w:rPr>
            </w:pPr>
            <w:r>
              <w:rPr>
                <w:rStyle w:val="CharacterStyle6"/>
              </w:rPr>
              <w:t>7.550,00</w:t>
            </w:r>
          </w:p>
        </w:tc>
        <w:tc>
          <w:tcPr>
            <w:tcW w:w="1395" w:type="dxa"/>
            <w:tcBorders>
              <w:bottom w:val="single" w:sz="6" w:space="0" w:color="000000"/>
              <w:right w:val="single" w:sz="6" w:space="0" w:color="000000"/>
            </w:tcBorders>
            <w:vAlign w:val="center"/>
          </w:tcPr>
          <w:p w14:paraId="15DAEE93" w14:textId="77777777" w:rsidR="007D706A" w:rsidRDefault="007D706A" w:rsidP="00F70508">
            <w:pPr>
              <w:pStyle w:val="ParagraphStyle6"/>
              <w:rPr>
                <w:rStyle w:val="CharacterStyle6"/>
              </w:rPr>
            </w:pPr>
            <w:r>
              <w:rPr>
                <w:rStyle w:val="CharacterStyle6"/>
              </w:rPr>
              <w:t>7.550,00</w:t>
            </w:r>
          </w:p>
        </w:tc>
      </w:tr>
      <w:tr w:rsidR="007D706A" w14:paraId="255DAA6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A00450C" w14:textId="77777777" w:rsidR="007D706A" w:rsidRDefault="007D706A" w:rsidP="00F70508">
            <w:pPr>
              <w:pStyle w:val="ParagraphStyle7"/>
              <w:rPr>
                <w:rStyle w:val="CharacterStyle7"/>
              </w:rPr>
            </w:pPr>
            <w:r>
              <w:rPr>
                <w:rStyle w:val="CharacterStyle7"/>
              </w:rPr>
              <w:t>Izvor financiranja 41</w:t>
            </w:r>
          </w:p>
        </w:tc>
        <w:tc>
          <w:tcPr>
            <w:tcW w:w="4995" w:type="dxa"/>
            <w:tcBorders>
              <w:bottom w:val="single" w:sz="6" w:space="0" w:color="000000"/>
              <w:right w:val="single" w:sz="6" w:space="0" w:color="000000"/>
            </w:tcBorders>
            <w:vAlign w:val="center"/>
          </w:tcPr>
          <w:p w14:paraId="7765D05F" w14:textId="77777777" w:rsidR="007D706A" w:rsidRDefault="007D706A" w:rsidP="00F70508">
            <w:pPr>
              <w:pStyle w:val="ParagraphStyle8"/>
              <w:rPr>
                <w:rStyle w:val="CharacterStyle8"/>
              </w:rPr>
            </w:pPr>
            <w:r>
              <w:rPr>
                <w:rStyle w:val="CharacterStyle8"/>
              </w:rPr>
              <w:t>Prihodi za posebne namjene</w:t>
            </w:r>
          </w:p>
        </w:tc>
        <w:tc>
          <w:tcPr>
            <w:tcW w:w="1395" w:type="dxa"/>
            <w:tcBorders>
              <w:bottom w:val="single" w:sz="6" w:space="0" w:color="000000"/>
              <w:right w:val="single" w:sz="6" w:space="0" w:color="000000"/>
            </w:tcBorders>
            <w:vAlign w:val="center"/>
          </w:tcPr>
          <w:p w14:paraId="17F7C5D3"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76CE621" w14:textId="77777777" w:rsidR="007D706A" w:rsidRDefault="007D706A" w:rsidP="00F70508">
            <w:pPr>
              <w:pStyle w:val="ParagraphStyle9"/>
              <w:rPr>
                <w:rStyle w:val="CharacterStyle9"/>
              </w:rPr>
            </w:pPr>
            <w:r>
              <w:rPr>
                <w:rStyle w:val="CharacterStyle9"/>
              </w:rPr>
              <w:t>7.550,00</w:t>
            </w:r>
          </w:p>
        </w:tc>
        <w:tc>
          <w:tcPr>
            <w:tcW w:w="1395" w:type="dxa"/>
            <w:tcBorders>
              <w:bottom w:val="single" w:sz="6" w:space="0" w:color="000000"/>
              <w:right w:val="single" w:sz="6" w:space="0" w:color="000000"/>
            </w:tcBorders>
            <w:vAlign w:val="center"/>
          </w:tcPr>
          <w:p w14:paraId="47C5357D"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3A1CA68"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0DEFB5C" w14:textId="77777777" w:rsidR="007D706A" w:rsidRDefault="007D706A" w:rsidP="00F70508">
            <w:pPr>
              <w:pStyle w:val="ParagraphStyle9"/>
              <w:rPr>
                <w:rStyle w:val="CharacterStyle9"/>
              </w:rPr>
            </w:pPr>
            <w:r>
              <w:rPr>
                <w:rStyle w:val="CharacterStyle9"/>
              </w:rPr>
              <w:t>0,00</w:t>
            </w:r>
          </w:p>
        </w:tc>
      </w:tr>
      <w:tr w:rsidR="007D706A" w14:paraId="2FFE4C5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55EEAD1"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75630CA5"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73E9030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D265C17" w14:textId="77777777" w:rsidR="007D706A" w:rsidRDefault="007D706A" w:rsidP="00F70508">
            <w:pPr>
              <w:pStyle w:val="ParagraphStyle12"/>
              <w:rPr>
                <w:rStyle w:val="CharacterStyle12"/>
              </w:rPr>
            </w:pPr>
            <w:r>
              <w:rPr>
                <w:rStyle w:val="CharacterStyle12"/>
              </w:rPr>
              <w:t>7.550,00</w:t>
            </w:r>
          </w:p>
        </w:tc>
        <w:tc>
          <w:tcPr>
            <w:tcW w:w="1395" w:type="dxa"/>
            <w:tcBorders>
              <w:bottom w:val="single" w:sz="6" w:space="0" w:color="000000"/>
              <w:right w:val="single" w:sz="6" w:space="0" w:color="000000"/>
            </w:tcBorders>
            <w:vAlign w:val="center"/>
          </w:tcPr>
          <w:p w14:paraId="53A7C6E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6858E7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CB828B4" w14:textId="77777777" w:rsidR="007D706A" w:rsidRDefault="007D706A" w:rsidP="00F70508">
            <w:pPr>
              <w:pStyle w:val="ParagraphStyle12"/>
              <w:rPr>
                <w:rStyle w:val="CharacterStyle12"/>
              </w:rPr>
            </w:pPr>
            <w:r>
              <w:rPr>
                <w:rStyle w:val="CharacterStyle12"/>
              </w:rPr>
              <w:t>0,00</w:t>
            </w:r>
          </w:p>
        </w:tc>
      </w:tr>
      <w:tr w:rsidR="007D706A" w14:paraId="26484AC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9C2B1D7"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4D2D6CF5"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62B9C36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B8A1C70" w14:textId="77777777" w:rsidR="007D706A" w:rsidRDefault="007D706A" w:rsidP="00F70508">
            <w:pPr>
              <w:pStyle w:val="ParagraphStyle12"/>
              <w:rPr>
                <w:rStyle w:val="CharacterStyle12"/>
              </w:rPr>
            </w:pPr>
            <w:r>
              <w:rPr>
                <w:rStyle w:val="CharacterStyle12"/>
              </w:rPr>
              <w:t>7.550,00</w:t>
            </w:r>
          </w:p>
        </w:tc>
        <w:tc>
          <w:tcPr>
            <w:tcW w:w="1395" w:type="dxa"/>
            <w:tcBorders>
              <w:bottom w:val="single" w:sz="6" w:space="0" w:color="000000"/>
              <w:right w:val="single" w:sz="6" w:space="0" w:color="000000"/>
            </w:tcBorders>
            <w:vAlign w:val="center"/>
          </w:tcPr>
          <w:p w14:paraId="4C71BC3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24F824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F45728B" w14:textId="77777777" w:rsidR="007D706A" w:rsidRDefault="007D706A" w:rsidP="00F70508">
            <w:pPr>
              <w:pStyle w:val="ParagraphStyle12"/>
              <w:rPr>
                <w:rStyle w:val="CharacterStyle12"/>
              </w:rPr>
            </w:pPr>
            <w:r>
              <w:rPr>
                <w:rStyle w:val="CharacterStyle12"/>
              </w:rPr>
              <w:t>0,00</w:t>
            </w:r>
          </w:p>
        </w:tc>
      </w:tr>
      <w:tr w:rsidR="007D706A" w14:paraId="420E803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E68F5E1" w14:textId="77777777" w:rsidR="007D706A" w:rsidRDefault="007D706A" w:rsidP="00F70508">
            <w:pPr>
              <w:pStyle w:val="ParagraphStyle7"/>
              <w:rPr>
                <w:rStyle w:val="CharacterStyle7"/>
              </w:rPr>
            </w:pPr>
            <w:r>
              <w:rPr>
                <w:rStyle w:val="CharacterStyle7"/>
              </w:rPr>
              <w:lastRenderedPageBreak/>
              <w:t>Izvor financiranja 43</w:t>
            </w:r>
          </w:p>
        </w:tc>
        <w:tc>
          <w:tcPr>
            <w:tcW w:w="4995" w:type="dxa"/>
            <w:tcBorders>
              <w:bottom w:val="single" w:sz="6" w:space="0" w:color="000000"/>
              <w:right w:val="single" w:sz="6" w:space="0" w:color="000000"/>
            </w:tcBorders>
            <w:vAlign w:val="center"/>
          </w:tcPr>
          <w:p w14:paraId="5BAD86D0" w14:textId="77777777" w:rsidR="007D706A" w:rsidRDefault="007D706A" w:rsidP="00F70508">
            <w:pPr>
              <w:pStyle w:val="ParagraphStyle8"/>
              <w:rPr>
                <w:rStyle w:val="CharacterStyle8"/>
              </w:rPr>
            </w:pPr>
            <w:r>
              <w:rPr>
                <w:rStyle w:val="CharacterStyle8"/>
              </w:rPr>
              <w:t>Ostali prihodi za posebne namjene</w:t>
            </w:r>
          </w:p>
        </w:tc>
        <w:tc>
          <w:tcPr>
            <w:tcW w:w="1395" w:type="dxa"/>
            <w:tcBorders>
              <w:bottom w:val="single" w:sz="6" w:space="0" w:color="000000"/>
              <w:right w:val="single" w:sz="6" w:space="0" w:color="000000"/>
            </w:tcBorders>
            <w:vAlign w:val="center"/>
          </w:tcPr>
          <w:p w14:paraId="2B19BDBE"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590F63F"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54388A7" w14:textId="77777777" w:rsidR="007D706A" w:rsidRDefault="007D706A" w:rsidP="00F70508">
            <w:pPr>
              <w:pStyle w:val="ParagraphStyle9"/>
              <w:rPr>
                <w:rStyle w:val="CharacterStyle9"/>
              </w:rPr>
            </w:pPr>
            <w:r>
              <w:rPr>
                <w:rStyle w:val="CharacterStyle9"/>
              </w:rPr>
              <w:t>7.550,00</w:t>
            </w:r>
          </w:p>
        </w:tc>
        <w:tc>
          <w:tcPr>
            <w:tcW w:w="1395" w:type="dxa"/>
            <w:tcBorders>
              <w:bottom w:val="single" w:sz="6" w:space="0" w:color="000000"/>
              <w:right w:val="single" w:sz="6" w:space="0" w:color="000000"/>
            </w:tcBorders>
            <w:vAlign w:val="center"/>
          </w:tcPr>
          <w:p w14:paraId="3ADE7098" w14:textId="77777777" w:rsidR="007D706A" w:rsidRDefault="007D706A" w:rsidP="00F70508">
            <w:pPr>
              <w:pStyle w:val="ParagraphStyle9"/>
              <w:rPr>
                <w:rStyle w:val="CharacterStyle9"/>
              </w:rPr>
            </w:pPr>
            <w:r>
              <w:rPr>
                <w:rStyle w:val="CharacterStyle9"/>
              </w:rPr>
              <w:t>7.550,00</w:t>
            </w:r>
          </w:p>
        </w:tc>
        <w:tc>
          <w:tcPr>
            <w:tcW w:w="1395" w:type="dxa"/>
            <w:tcBorders>
              <w:bottom w:val="single" w:sz="6" w:space="0" w:color="000000"/>
              <w:right w:val="single" w:sz="6" w:space="0" w:color="000000"/>
            </w:tcBorders>
            <w:vAlign w:val="center"/>
          </w:tcPr>
          <w:p w14:paraId="02924FDD" w14:textId="77777777" w:rsidR="007D706A" w:rsidRDefault="007D706A" w:rsidP="00F70508">
            <w:pPr>
              <w:pStyle w:val="ParagraphStyle9"/>
              <w:rPr>
                <w:rStyle w:val="CharacterStyle9"/>
              </w:rPr>
            </w:pPr>
            <w:r>
              <w:rPr>
                <w:rStyle w:val="CharacterStyle9"/>
              </w:rPr>
              <w:t>7.550,00</w:t>
            </w:r>
          </w:p>
        </w:tc>
      </w:tr>
      <w:tr w:rsidR="007D706A" w14:paraId="425767D6"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158A667"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00F49CA8"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432A875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196D1D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1FC59F4" w14:textId="77777777" w:rsidR="007D706A" w:rsidRDefault="007D706A" w:rsidP="00F70508">
            <w:pPr>
              <w:pStyle w:val="ParagraphStyle12"/>
              <w:rPr>
                <w:rStyle w:val="CharacterStyle12"/>
              </w:rPr>
            </w:pPr>
            <w:r>
              <w:rPr>
                <w:rStyle w:val="CharacterStyle12"/>
              </w:rPr>
              <w:t>7.550,00</w:t>
            </w:r>
          </w:p>
        </w:tc>
        <w:tc>
          <w:tcPr>
            <w:tcW w:w="1395" w:type="dxa"/>
            <w:tcBorders>
              <w:bottom w:val="single" w:sz="6" w:space="0" w:color="000000"/>
              <w:right w:val="single" w:sz="6" w:space="0" w:color="000000"/>
            </w:tcBorders>
            <w:vAlign w:val="center"/>
          </w:tcPr>
          <w:p w14:paraId="6913B85C" w14:textId="77777777" w:rsidR="007D706A" w:rsidRDefault="007D706A" w:rsidP="00F70508">
            <w:pPr>
              <w:pStyle w:val="ParagraphStyle12"/>
              <w:rPr>
                <w:rStyle w:val="CharacterStyle12"/>
              </w:rPr>
            </w:pPr>
            <w:r>
              <w:rPr>
                <w:rStyle w:val="CharacterStyle12"/>
              </w:rPr>
              <w:t>7.550,00</w:t>
            </w:r>
          </w:p>
        </w:tc>
        <w:tc>
          <w:tcPr>
            <w:tcW w:w="1395" w:type="dxa"/>
            <w:tcBorders>
              <w:bottom w:val="single" w:sz="6" w:space="0" w:color="000000"/>
              <w:right w:val="single" w:sz="6" w:space="0" w:color="000000"/>
            </w:tcBorders>
            <w:vAlign w:val="center"/>
          </w:tcPr>
          <w:p w14:paraId="34948FA4" w14:textId="77777777" w:rsidR="007D706A" w:rsidRDefault="007D706A" w:rsidP="00F70508">
            <w:pPr>
              <w:pStyle w:val="ParagraphStyle12"/>
              <w:rPr>
                <w:rStyle w:val="CharacterStyle12"/>
              </w:rPr>
            </w:pPr>
            <w:r>
              <w:rPr>
                <w:rStyle w:val="CharacterStyle12"/>
              </w:rPr>
              <w:t>7.550,00</w:t>
            </w:r>
          </w:p>
        </w:tc>
      </w:tr>
      <w:tr w:rsidR="007D706A" w14:paraId="46788DB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E374DBE"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1AAE3310"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27E9B9C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C885C9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654ABCE" w14:textId="77777777" w:rsidR="007D706A" w:rsidRDefault="007D706A" w:rsidP="00F70508">
            <w:pPr>
              <w:pStyle w:val="ParagraphStyle12"/>
              <w:rPr>
                <w:rStyle w:val="CharacterStyle12"/>
              </w:rPr>
            </w:pPr>
            <w:r>
              <w:rPr>
                <w:rStyle w:val="CharacterStyle12"/>
              </w:rPr>
              <w:t>7.550,00</w:t>
            </w:r>
          </w:p>
        </w:tc>
        <w:tc>
          <w:tcPr>
            <w:tcW w:w="1395" w:type="dxa"/>
            <w:tcBorders>
              <w:bottom w:val="single" w:sz="6" w:space="0" w:color="000000"/>
              <w:right w:val="single" w:sz="6" w:space="0" w:color="000000"/>
            </w:tcBorders>
            <w:vAlign w:val="center"/>
          </w:tcPr>
          <w:p w14:paraId="194FB1FD" w14:textId="77777777" w:rsidR="007D706A" w:rsidRDefault="007D706A" w:rsidP="00F70508">
            <w:pPr>
              <w:pStyle w:val="ParagraphStyle12"/>
              <w:rPr>
                <w:rStyle w:val="CharacterStyle12"/>
              </w:rPr>
            </w:pPr>
            <w:r>
              <w:rPr>
                <w:rStyle w:val="CharacterStyle12"/>
              </w:rPr>
              <w:t>7.550,00</w:t>
            </w:r>
          </w:p>
        </w:tc>
        <w:tc>
          <w:tcPr>
            <w:tcW w:w="1395" w:type="dxa"/>
            <w:tcBorders>
              <w:bottom w:val="single" w:sz="6" w:space="0" w:color="000000"/>
              <w:right w:val="single" w:sz="6" w:space="0" w:color="000000"/>
            </w:tcBorders>
            <w:vAlign w:val="center"/>
          </w:tcPr>
          <w:p w14:paraId="216BFA93" w14:textId="77777777" w:rsidR="007D706A" w:rsidRDefault="007D706A" w:rsidP="00F70508">
            <w:pPr>
              <w:pStyle w:val="ParagraphStyle12"/>
              <w:rPr>
                <w:rStyle w:val="CharacterStyle12"/>
              </w:rPr>
            </w:pPr>
            <w:r>
              <w:rPr>
                <w:rStyle w:val="CharacterStyle12"/>
              </w:rPr>
              <w:t>7.550,00</w:t>
            </w:r>
          </w:p>
        </w:tc>
      </w:tr>
      <w:tr w:rsidR="007D706A" w14:paraId="3BF015B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9E103FD" w14:textId="77777777" w:rsidR="007D706A" w:rsidRDefault="007D706A" w:rsidP="00F70508">
            <w:pPr>
              <w:pStyle w:val="ParagraphStyle4"/>
              <w:rPr>
                <w:rStyle w:val="CharacterStyle4"/>
              </w:rPr>
            </w:pPr>
            <w:r>
              <w:rPr>
                <w:rStyle w:val="CharacterStyle4"/>
              </w:rPr>
              <w:t>Tekući projekt T101904</w:t>
            </w:r>
          </w:p>
        </w:tc>
        <w:tc>
          <w:tcPr>
            <w:tcW w:w="4995" w:type="dxa"/>
            <w:tcBorders>
              <w:bottom w:val="single" w:sz="6" w:space="0" w:color="000000"/>
              <w:right w:val="single" w:sz="6" w:space="0" w:color="000000"/>
            </w:tcBorders>
            <w:vAlign w:val="center"/>
          </w:tcPr>
          <w:p w14:paraId="6862D354" w14:textId="77777777" w:rsidR="007D706A" w:rsidRDefault="007D706A" w:rsidP="00F70508">
            <w:pPr>
              <w:pStyle w:val="ParagraphStyle5"/>
              <w:rPr>
                <w:rStyle w:val="CharacterStyle5"/>
              </w:rPr>
            </w:pPr>
            <w:r>
              <w:rPr>
                <w:rStyle w:val="CharacterStyle5"/>
              </w:rPr>
              <w:t>USLUGE IDENTIFIKACIJE I KONZALTINGA</w:t>
            </w:r>
          </w:p>
        </w:tc>
        <w:tc>
          <w:tcPr>
            <w:tcW w:w="1395" w:type="dxa"/>
            <w:tcBorders>
              <w:bottom w:val="single" w:sz="6" w:space="0" w:color="000000"/>
              <w:right w:val="single" w:sz="6" w:space="0" w:color="000000"/>
            </w:tcBorders>
            <w:vAlign w:val="center"/>
          </w:tcPr>
          <w:p w14:paraId="3252363A"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16F71A73" w14:textId="77777777" w:rsidR="007D706A" w:rsidRDefault="007D706A" w:rsidP="00F70508">
            <w:pPr>
              <w:pStyle w:val="ParagraphStyle6"/>
              <w:rPr>
                <w:rStyle w:val="CharacterStyle6"/>
              </w:rPr>
            </w:pPr>
            <w:r>
              <w:rPr>
                <w:rStyle w:val="CharacterStyle6"/>
              </w:rPr>
              <w:t>2.550,00</w:t>
            </w:r>
          </w:p>
        </w:tc>
        <w:tc>
          <w:tcPr>
            <w:tcW w:w="1395" w:type="dxa"/>
            <w:tcBorders>
              <w:bottom w:val="single" w:sz="6" w:space="0" w:color="000000"/>
              <w:right w:val="single" w:sz="6" w:space="0" w:color="000000"/>
            </w:tcBorders>
            <w:vAlign w:val="center"/>
          </w:tcPr>
          <w:p w14:paraId="20BE7D47" w14:textId="77777777" w:rsidR="007D706A" w:rsidRDefault="007D706A" w:rsidP="00F70508">
            <w:pPr>
              <w:pStyle w:val="ParagraphStyle6"/>
              <w:rPr>
                <w:rStyle w:val="CharacterStyle6"/>
              </w:rPr>
            </w:pPr>
            <w:r>
              <w:rPr>
                <w:rStyle w:val="CharacterStyle6"/>
              </w:rPr>
              <w:t>2.550,00</w:t>
            </w:r>
          </w:p>
        </w:tc>
        <w:tc>
          <w:tcPr>
            <w:tcW w:w="1395" w:type="dxa"/>
            <w:tcBorders>
              <w:bottom w:val="single" w:sz="6" w:space="0" w:color="000000"/>
              <w:right w:val="single" w:sz="6" w:space="0" w:color="000000"/>
            </w:tcBorders>
            <w:vAlign w:val="center"/>
          </w:tcPr>
          <w:p w14:paraId="46D8DBEB" w14:textId="77777777" w:rsidR="007D706A" w:rsidRDefault="007D706A" w:rsidP="00F70508">
            <w:pPr>
              <w:pStyle w:val="ParagraphStyle6"/>
              <w:rPr>
                <w:rStyle w:val="CharacterStyle6"/>
              </w:rPr>
            </w:pPr>
            <w:r>
              <w:rPr>
                <w:rStyle w:val="CharacterStyle6"/>
              </w:rPr>
              <w:t>2.550,00</w:t>
            </w:r>
          </w:p>
        </w:tc>
        <w:tc>
          <w:tcPr>
            <w:tcW w:w="1395" w:type="dxa"/>
            <w:tcBorders>
              <w:bottom w:val="single" w:sz="6" w:space="0" w:color="000000"/>
              <w:right w:val="single" w:sz="6" w:space="0" w:color="000000"/>
            </w:tcBorders>
            <w:vAlign w:val="center"/>
          </w:tcPr>
          <w:p w14:paraId="08799905" w14:textId="77777777" w:rsidR="007D706A" w:rsidRDefault="007D706A" w:rsidP="00F70508">
            <w:pPr>
              <w:pStyle w:val="ParagraphStyle6"/>
              <w:rPr>
                <w:rStyle w:val="CharacterStyle6"/>
              </w:rPr>
            </w:pPr>
            <w:r>
              <w:rPr>
                <w:rStyle w:val="CharacterStyle6"/>
              </w:rPr>
              <w:t>2.550,00</w:t>
            </w:r>
          </w:p>
        </w:tc>
      </w:tr>
      <w:tr w:rsidR="007D706A" w14:paraId="15503B2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47D7FC6" w14:textId="77777777" w:rsidR="007D706A" w:rsidRDefault="007D706A" w:rsidP="00F70508">
            <w:pPr>
              <w:pStyle w:val="ParagraphStyle7"/>
              <w:rPr>
                <w:rStyle w:val="CharacterStyle7"/>
              </w:rPr>
            </w:pPr>
            <w:r>
              <w:rPr>
                <w:rStyle w:val="CharacterStyle7"/>
              </w:rPr>
              <w:t>Izvor financiranja 41</w:t>
            </w:r>
          </w:p>
        </w:tc>
        <w:tc>
          <w:tcPr>
            <w:tcW w:w="4995" w:type="dxa"/>
            <w:tcBorders>
              <w:bottom w:val="single" w:sz="6" w:space="0" w:color="000000"/>
              <w:right w:val="single" w:sz="6" w:space="0" w:color="000000"/>
            </w:tcBorders>
            <w:vAlign w:val="center"/>
          </w:tcPr>
          <w:p w14:paraId="5D9B7930" w14:textId="77777777" w:rsidR="007D706A" w:rsidRDefault="007D706A" w:rsidP="00F70508">
            <w:pPr>
              <w:pStyle w:val="ParagraphStyle8"/>
              <w:rPr>
                <w:rStyle w:val="CharacterStyle8"/>
              </w:rPr>
            </w:pPr>
            <w:r>
              <w:rPr>
                <w:rStyle w:val="CharacterStyle8"/>
              </w:rPr>
              <w:t>Prihodi za posebne namjene</w:t>
            </w:r>
          </w:p>
        </w:tc>
        <w:tc>
          <w:tcPr>
            <w:tcW w:w="1395" w:type="dxa"/>
            <w:tcBorders>
              <w:bottom w:val="single" w:sz="6" w:space="0" w:color="000000"/>
              <w:right w:val="single" w:sz="6" w:space="0" w:color="000000"/>
            </w:tcBorders>
            <w:vAlign w:val="center"/>
          </w:tcPr>
          <w:p w14:paraId="3085115D"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BF7D7FA" w14:textId="77777777" w:rsidR="007D706A" w:rsidRDefault="007D706A" w:rsidP="00F70508">
            <w:pPr>
              <w:pStyle w:val="ParagraphStyle9"/>
              <w:rPr>
                <w:rStyle w:val="CharacterStyle9"/>
              </w:rPr>
            </w:pPr>
            <w:r>
              <w:rPr>
                <w:rStyle w:val="CharacterStyle9"/>
              </w:rPr>
              <w:t>2.550,00</w:t>
            </w:r>
          </w:p>
        </w:tc>
        <w:tc>
          <w:tcPr>
            <w:tcW w:w="1395" w:type="dxa"/>
            <w:tcBorders>
              <w:bottom w:val="single" w:sz="6" w:space="0" w:color="000000"/>
              <w:right w:val="single" w:sz="6" w:space="0" w:color="000000"/>
            </w:tcBorders>
            <w:vAlign w:val="center"/>
          </w:tcPr>
          <w:p w14:paraId="6E257EB0"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F7A234B"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BA8C9BC" w14:textId="77777777" w:rsidR="007D706A" w:rsidRDefault="007D706A" w:rsidP="00F70508">
            <w:pPr>
              <w:pStyle w:val="ParagraphStyle9"/>
              <w:rPr>
                <w:rStyle w:val="CharacterStyle9"/>
              </w:rPr>
            </w:pPr>
            <w:r>
              <w:rPr>
                <w:rStyle w:val="CharacterStyle9"/>
              </w:rPr>
              <w:t>0,00</w:t>
            </w:r>
          </w:p>
        </w:tc>
      </w:tr>
      <w:tr w:rsidR="007D706A" w14:paraId="7B8DB1D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1FA9C7D"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46524645"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5D5E9D4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1C3BECD" w14:textId="77777777" w:rsidR="007D706A" w:rsidRDefault="007D706A" w:rsidP="00F70508">
            <w:pPr>
              <w:pStyle w:val="ParagraphStyle12"/>
              <w:rPr>
                <w:rStyle w:val="CharacterStyle12"/>
              </w:rPr>
            </w:pPr>
            <w:r>
              <w:rPr>
                <w:rStyle w:val="CharacterStyle12"/>
              </w:rPr>
              <w:t>2.550,00</w:t>
            </w:r>
          </w:p>
        </w:tc>
        <w:tc>
          <w:tcPr>
            <w:tcW w:w="1395" w:type="dxa"/>
            <w:tcBorders>
              <w:bottom w:val="single" w:sz="6" w:space="0" w:color="000000"/>
              <w:right w:val="single" w:sz="6" w:space="0" w:color="000000"/>
            </w:tcBorders>
            <w:vAlign w:val="center"/>
          </w:tcPr>
          <w:p w14:paraId="1D7B7F7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5D4B1A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BB0DFFC" w14:textId="77777777" w:rsidR="007D706A" w:rsidRDefault="007D706A" w:rsidP="00F70508">
            <w:pPr>
              <w:pStyle w:val="ParagraphStyle12"/>
              <w:rPr>
                <w:rStyle w:val="CharacterStyle12"/>
              </w:rPr>
            </w:pPr>
            <w:r>
              <w:rPr>
                <w:rStyle w:val="CharacterStyle12"/>
              </w:rPr>
              <w:t>0,00</w:t>
            </w:r>
          </w:p>
        </w:tc>
      </w:tr>
      <w:tr w:rsidR="007D706A" w14:paraId="087D11B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5EC8982"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5E63F234"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3B4F94A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7068363" w14:textId="77777777" w:rsidR="007D706A" w:rsidRDefault="007D706A" w:rsidP="00F70508">
            <w:pPr>
              <w:pStyle w:val="ParagraphStyle12"/>
              <w:rPr>
                <w:rStyle w:val="CharacterStyle12"/>
              </w:rPr>
            </w:pPr>
            <w:r>
              <w:rPr>
                <w:rStyle w:val="CharacterStyle12"/>
              </w:rPr>
              <w:t>2.550,00</w:t>
            </w:r>
          </w:p>
        </w:tc>
        <w:tc>
          <w:tcPr>
            <w:tcW w:w="1395" w:type="dxa"/>
            <w:tcBorders>
              <w:bottom w:val="single" w:sz="6" w:space="0" w:color="000000"/>
              <w:right w:val="single" w:sz="6" w:space="0" w:color="000000"/>
            </w:tcBorders>
            <w:vAlign w:val="center"/>
          </w:tcPr>
          <w:p w14:paraId="4FEB5A0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2EADD4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7378884" w14:textId="77777777" w:rsidR="007D706A" w:rsidRDefault="007D706A" w:rsidP="00F70508">
            <w:pPr>
              <w:pStyle w:val="ParagraphStyle12"/>
              <w:rPr>
                <w:rStyle w:val="CharacterStyle12"/>
              </w:rPr>
            </w:pPr>
            <w:r>
              <w:rPr>
                <w:rStyle w:val="CharacterStyle12"/>
              </w:rPr>
              <w:t>0,00</w:t>
            </w:r>
          </w:p>
        </w:tc>
      </w:tr>
      <w:tr w:rsidR="007D706A" w14:paraId="57FB5BA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11E34B6" w14:textId="77777777" w:rsidR="007D706A" w:rsidRDefault="007D706A" w:rsidP="00F70508">
            <w:pPr>
              <w:pStyle w:val="ParagraphStyle7"/>
              <w:rPr>
                <w:rStyle w:val="CharacterStyle7"/>
              </w:rPr>
            </w:pPr>
            <w:r>
              <w:rPr>
                <w:rStyle w:val="CharacterStyle7"/>
              </w:rPr>
              <w:t>Izvor financiranja 43</w:t>
            </w:r>
          </w:p>
        </w:tc>
        <w:tc>
          <w:tcPr>
            <w:tcW w:w="4995" w:type="dxa"/>
            <w:tcBorders>
              <w:bottom w:val="single" w:sz="6" w:space="0" w:color="000000"/>
              <w:right w:val="single" w:sz="6" w:space="0" w:color="000000"/>
            </w:tcBorders>
            <w:vAlign w:val="center"/>
          </w:tcPr>
          <w:p w14:paraId="3ED8F4AC" w14:textId="77777777" w:rsidR="007D706A" w:rsidRDefault="007D706A" w:rsidP="00F70508">
            <w:pPr>
              <w:pStyle w:val="ParagraphStyle8"/>
              <w:rPr>
                <w:rStyle w:val="CharacterStyle8"/>
              </w:rPr>
            </w:pPr>
            <w:r>
              <w:rPr>
                <w:rStyle w:val="CharacterStyle8"/>
              </w:rPr>
              <w:t>Ostali prihodi za posebne namjene</w:t>
            </w:r>
          </w:p>
        </w:tc>
        <w:tc>
          <w:tcPr>
            <w:tcW w:w="1395" w:type="dxa"/>
            <w:tcBorders>
              <w:bottom w:val="single" w:sz="6" w:space="0" w:color="000000"/>
              <w:right w:val="single" w:sz="6" w:space="0" w:color="000000"/>
            </w:tcBorders>
            <w:vAlign w:val="center"/>
          </w:tcPr>
          <w:p w14:paraId="242F3A0F"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2D3278B"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9A0CE06" w14:textId="77777777" w:rsidR="007D706A" w:rsidRDefault="007D706A" w:rsidP="00F70508">
            <w:pPr>
              <w:pStyle w:val="ParagraphStyle9"/>
              <w:rPr>
                <w:rStyle w:val="CharacterStyle9"/>
              </w:rPr>
            </w:pPr>
            <w:r>
              <w:rPr>
                <w:rStyle w:val="CharacterStyle9"/>
              </w:rPr>
              <w:t>2.550,00</w:t>
            </w:r>
          </w:p>
        </w:tc>
        <w:tc>
          <w:tcPr>
            <w:tcW w:w="1395" w:type="dxa"/>
            <w:tcBorders>
              <w:bottom w:val="single" w:sz="6" w:space="0" w:color="000000"/>
              <w:right w:val="single" w:sz="6" w:space="0" w:color="000000"/>
            </w:tcBorders>
            <w:vAlign w:val="center"/>
          </w:tcPr>
          <w:p w14:paraId="690C7D71" w14:textId="77777777" w:rsidR="007D706A" w:rsidRDefault="007D706A" w:rsidP="00F70508">
            <w:pPr>
              <w:pStyle w:val="ParagraphStyle9"/>
              <w:rPr>
                <w:rStyle w:val="CharacterStyle9"/>
              </w:rPr>
            </w:pPr>
            <w:r>
              <w:rPr>
                <w:rStyle w:val="CharacterStyle9"/>
              </w:rPr>
              <w:t>2.550,00</w:t>
            </w:r>
          </w:p>
        </w:tc>
        <w:tc>
          <w:tcPr>
            <w:tcW w:w="1395" w:type="dxa"/>
            <w:tcBorders>
              <w:bottom w:val="single" w:sz="6" w:space="0" w:color="000000"/>
              <w:right w:val="single" w:sz="6" w:space="0" w:color="000000"/>
            </w:tcBorders>
            <w:vAlign w:val="center"/>
          </w:tcPr>
          <w:p w14:paraId="1F3539E9" w14:textId="77777777" w:rsidR="007D706A" w:rsidRDefault="007D706A" w:rsidP="00F70508">
            <w:pPr>
              <w:pStyle w:val="ParagraphStyle9"/>
              <w:rPr>
                <w:rStyle w:val="CharacterStyle9"/>
              </w:rPr>
            </w:pPr>
            <w:r>
              <w:rPr>
                <w:rStyle w:val="CharacterStyle9"/>
              </w:rPr>
              <w:t>2.550,00</w:t>
            </w:r>
          </w:p>
        </w:tc>
      </w:tr>
      <w:tr w:rsidR="007D706A" w14:paraId="516467B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0F84F30"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3102DAC0"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558ECA5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1F48C1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DAE7809" w14:textId="77777777" w:rsidR="007D706A" w:rsidRDefault="007D706A" w:rsidP="00F70508">
            <w:pPr>
              <w:pStyle w:val="ParagraphStyle12"/>
              <w:rPr>
                <w:rStyle w:val="CharacterStyle12"/>
              </w:rPr>
            </w:pPr>
            <w:r>
              <w:rPr>
                <w:rStyle w:val="CharacterStyle12"/>
              </w:rPr>
              <w:t>2.550,00</w:t>
            </w:r>
          </w:p>
        </w:tc>
        <w:tc>
          <w:tcPr>
            <w:tcW w:w="1395" w:type="dxa"/>
            <w:tcBorders>
              <w:bottom w:val="single" w:sz="6" w:space="0" w:color="000000"/>
              <w:right w:val="single" w:sz="6" w:space="0" w:color="000000"/>
            </w:tcBorders>
            <w:vAlign w:val="center"/>
          </w:tcPr>
          <w:p w14:paraId="293FE7E2" w14:textId="77777777" w:rsidR="007D706A" w:rsidRDefault="007D706A" w:rsidP="00F70508">
            <w:pPr>
              <w:pStyle w:val="ParagraphStyle12"/>
              <w:rPr>
                <w:rStyle w:val="CharacterStyle12"/>
              </w:rPr>
            </w:pPr>
            <w:r>
              <w:rPr>
                <w:rStyle w:val="CharacterStyle12"/>
              </w:rPr>
              <w:t>2.550,00</w:t>
            </w:r>
          </w:p>
        </w:tc>
        <w:tc>
          <w:tcPr>
            <w:tcW w:w="1395" w:type="dxa"/>
            <w:tcBorders>
              <w:bottom w:val="single" w:sz="6" w:space="0" w:color="000000"/>
              <w:right w:val="single" w:sz="6" w:space="0" w:color="000000"/>
            </w:tcBorders>
            <w:vAlign w:val="center"/>
          </w:tcPr>
          <w:p w14:paraId="13AF9143" w14:textId="77777777" w:rsidR="007D706A" w:rsidRDefault="007D706A" w:rsidP="00F70508">
            <w:pPr>
              <w:pStyle w:val="ParagraphStyle12"/>
              <w:rPr>
                <w:rStyle w:val="CharacterStyle12"/>
              </w:rPr>
            </w:pPr>
            <w:r>
              <w:rPr>
                <w:rStyle w:val="CharacterStyle12"/>
              </w:rPr>
              <w:t>2.550,00</w:t>
            </w:r>
          </w:p>
        </w:tc>
      </w:tr>
      <w:tr w:rsidR="007D706A" w14:paraId="69BB5386"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3ECCAE7"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7E30C273"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2FA0C15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5271C4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8747D34" w14:textId="77777777" w:rsidR="007D706A" w:rsidRDefault="007D706A" w:rsidP="00F70508">
            <w:pPr>
              <w:pStyle w:val="ParagraphStyle12"/>
              <w:rPr>
                <w:rStyle w:val="CharacterStyle12"/>
              </w:rPr>
            </w:pPr>
            <w:r>
              <w:rPr>
                <w:rStyle w:val="CharacterStyle12"/>
              </w:rPr>
              <w:t>2.550,00</w:t>
            </w:r>
          </w:p>
        </w:tc>
        <w:tc>
          <w:tcPr>
            <w:tcW w:w="1395" w:type="dxa"/>
            <w:tcBorders>
              <w:bottom w:val="single" w:sz="6" w:space="0" w:color="000000"/>
              <w:right w:val="single" w:sz="6" w:space="0" w:color="000000"/>
            </w:tcBorders>
            <w:vAlign w:val="center"/>
          </w:tcPr>
          <w:p w14:paraId="77F3EA36" w14:textId="77777777" w:rsidR="007D706A" w:rsidRDefault="007D706A" w:rsidP="00F70508">
            <w:pPr>
              <w:pStyle w:val="ParagraphStyle12"/>
              <w:rPr>
                <w:rStyle w:val="CharacterStyle12"/>
              </w:rPr>
            </w:pPr>
            <w:r>
              <w:rPr>
                <w:rStyle w:val="CharacterStyle12"/>
              </w:rPr>
              <w:t>2.550,00</w:t>
            </w:r>
          </w:p>
        </w:tc>
        <w:tc>
          <w:tcPr>
            <w:tcW w:w="1395" w:type="dxa"/>
            <w:tcBorders>
              <w:bottom w:val="single" w:sz="6" w:space="0" w:color="000000"/>
              <w:right w:val="single" w:sz="6" w:space="0" w:color="000000"/>
            </w:tcBorders>
            <w:vAlign w:val="center"/>
          </w:tcPr>
          <w:p w14:paraId="636D0DE7" w14:textId="77777777" w:rsidR="007D706A" w:rsidRDefault="007D706A" w:rsidP="00F70508">
            <w:pPr>
              <w:pStyle w:val="ParagraphStyle12"/>
              <w:rPr>
                <w:rStyle w:val="CharacterStyle12"/>
              </w:rPr>
            </w:pPr>
            <w:r>
              <w:rPr>
                <w:rStyle w:val="CharacterStyle12"/>
              </w:rPr>
              <w:t>2.550,00</w:t>
            </w:r>
          </w:p>
        </w:tc>
      </w:tr>
      <w:tr w:rsidR="007D706A" w14:paraId="54477468" w14:textId="77777777" w:rsidTr="00F70508">
        <w:trPr>
          <w:trHeight w:val="405"/>
        </w:trPr>
        <w:tc>
          <w:tcPr>
            <w:tcW w:w="2880" w:type="dxa"/>
            <w:tcBorders>
              <w:left w:val="single" w:sz="6" w:space="0" w:color="000000"/>
              <w:bottom w:val="single" w:sz="6" w:space="0" w:color="000000"/>
              <w:right w:val="single" w:sz="6" w:space="0" w:color="000000"/>
            </w:tcBorders>
            <w:vAlign w:val="center"/>
          </w:tcPr>
          <w:p w14:paraId="52801824" w14:textId="77777777" w:rsidR="007D706A" w:rsidRDefault="007D706A" w:rsidP="00F70508">
            <w:pPr>
              <w:pStyle w:val="ParagraphStyle4"/>
              <w:rPr>
                <w:rStyle w:val="CharacterStyle4"/>
              </w:rPr>
            </w:pPr>
            <w:r>
              <w:rPr>
                <w:rStyle w:val="CharacterStyle4"/>
              </w:rPr>
              <w:t>Tekući projekt T101905</w:t>
            </w:r>
          </w:p>
        </w:tc>
        <w:tc>
          <w:tcPr>
            <w:tcW w:w="4995" w:type="dxa"/>
            <w:tcBorders>
              <w:bottom w:val="single" w:sz="6" w:space="0" w:color="000000"/>
              <w:right w:val="single" w:sz="6" w:space="0" w:color="000000"/>
            </w:tcBorders>
            <w:vAlign w:val="center"/>
          </w:tcPr>
          <w:p w14:paraId="172AFC77" w14:textId="77777777" w:rsidR="007D706A" w:rsidRDefault="007D706A" w:rsidP="00F70508">
            <w:pPr>
              <w:pStyle w:val="ParagraphStyle5"/>
              <w:rPr>
                <w:rStyle w:val="CharacterStyle5"/>
              </w:rPr>
            </w:pPr>
            <w:r>
              <w:rPr>
                <w:rStyle w:val="CharacterStyle5"/>
              </w:rPr>
              <w:t>UČEŠĆE U TROŠKOVIMA GROBNE NAKNADE I UKOPA - PO POSEBNIM ODLUKAMA</w:t>
            </w:r>
          </w:p>
        </w:tc>
        <w:tc>
          <w:tcPr>
            <w:tcW w:w="1395" w:type="dxa"/>
            <w:tcBorders>
              <w:bottom w:val="single" w:sz="6" w:space="0" w:color="000000"/>
              <w:right w:val="single" w:sz="6" w:space="0" w:color="000000"/>
            </w:tcBorders>
            <w:vAlign w:val="center"/>
          </w:tcPr>
          <w:p w14:paraId="67241D79"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6F8B864B" w14:textId="77777777" w:rsidR="007D706A" w:rsidRDefault="007D706A" w:rsidP="00F70508">
            <w:pPr>
              <w:pStyle w:val="ParagraphStyle6"/>
              <w:rPr>
                <w:rStyle w:val="CharacterStyle6"/>
              </w:rPr>
            </w:pPr>
            <w:r>
              <w:rPr>
                <w:rStyle w:val="CharacterStyle6"/>
              </w:rPr>
              <w:t>700,00</w:t>
            </w:r>
          </w:p>
        </w:tc>
        <w:tc>
          <w:tcPr>
            <w:tcW w:w="1395" w:type="dxa"/>
            <w:tcBorders>
              <w:bottom w:val="single" w:sz="6" w:space="0" w:color="000000"/>
              <w:right w:val="single" w:sz="6" w:space="0" w:color="000000"/>
            </w:tcBorders>
            <w:vAlign w:val="center"/>
          </w:tcPr>
          <w:p w14:paraId="56ABD532" w14:textId="77777777" w:rsidR="007D706A" w:rsidRDefault="007D706A" w:rsidP="00F70508">
            <w:pPr>
              <w:pStyle w:val="ParagraphStyle6"/>
              <w:rPr>
                <w:rStyle w:val="CharacterStyle6"/>
              </w:rPr>
            </w:pPr>
            <w:r>
              <w:rPr>
                <w:rStyle w:val="CharacterStyle6"/>
              </w:rPr>
              <w:t>700,00</w:t>
            </w:r>
          </w:p>
        </w:tc>
        <w:tc>
          <w:tcPr>
            <w:tcW w:w="1395" w:type="dxa"/>
            <w:tcBorders>
              <w:bottom w:val="single" w:sz="6" w:space="0" w:color="000000"/>
              <w:right w:val="single" w:sz="6" w:space="0" w:color="000000"/>
            </w:tcBorders>
            <w:vAlign w:val="center"/>
          </w:tcPr>
          <w:p w14:paraId="191EB303" w14:textId="77777777" w:rsidR="007D706A" w:rsidRDefault="007D706A" w:rsidP="00F70508">
            <w:pPr>
              <w:pStyle w:val="ParagraphStyle6"/>
              <w:rPr>
                <w:rStyle w:val="CharacterStyle6"/>
              </w:rPr>
            </w:pPr>
            <w:r>
              <w:rPr>
                <w:rStyle w:val="CharacterStyle6"/>
              </w:rPr>
              <w:t>700,00</w:t>
            </w:r>
          </w:p>
        </w:tc>
        <w:tc>
          <w:tcPr>
            <w:tcW w:w="1395" w:type="dxa"/>
            <w:tcBorders>
              <w:bottom w:val="single" w:sz="6" w:space="0" w:color="000000"/>
              <w:right w:val="single" w:sz="6" w:space="0" w:color="000000"/>
            </w:tcBorders>
            <w:vAlign w:val="center"/>
          </w:tcPr>
          <w:p w14:paraId="49C63762" w14:textId="77777777" w:rsidR="007D706A" w:rsidRDefault="007D706A" w:rsidP="00F70508">
            <w:pPr>
              <w:pStyle w:val="ParagraphStyle6"/>
              <w:rPr>
                <w:rStyle w:val="CharacterStyle6"/>
              </w:rPr>
            </w:pPr>
            <w:r>
              <w:rPr>
                <w:rStyle w:val="CharacterStyle6"/>
              </w:rPr>
              <w:t>700,00</w:t>
            </w:r>
          </w:p>
        </w:tc>
      </w:tr>
      <w:tr w:rsidR="007D706A" w14:paraId="23654EE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4499066"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253571FF"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0E630E6B"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92CDCFE" w14:textId="77777777" w:rsidR="007D706A" w:rsidRDefault="007D706A" w:rsidP="00F70508">
            <w:pPr>
              <w:pStyle w:val="ParagraphStyle9"/>
              <w:rPr>
                <w:rStyle w:val="CharacterStyle9"/>
              </w:rPr>
            </w:pPr>
            <w:r>
              <w:rPr>
                <w:rStyle w:val="CharacterStyle9"/>
              </w:rPr>
              <w:t>700,00</w:t>
            </w:r>
          </w:p>
        </w:tc>
        <w:tc>
          <w:tcPr>
            <w:tcW w:w="1395" w:type="dxa"/>
            <w:tcBorders>
              <w:bottom w:val="single" w:sz="6" w:space="0" w:color="000000"/>
              <w:right w:val="single" w:sz="6" w:space="0" w:color="000000"/>
            </w:tcBorders>
            <w:vAlign w:val="center"/>
          </w:tcPr>
          <w:p w14:paraId="19269FA4" w14:textId="77777777" w:rsidR="007D706A" w:rsidRDefault="007D706A" w:rsidP="00F70508">
            <w:pPr>
              <w:pStyle w:val="ParagraphStyle9"/>
              <w:rPr>
                <w:rStyle w:val="CharacterStyle9"/>
              </w:rPr>
            </w:pPr>
            <w:r>
              <w:rPr>
                <w:rStyle w:val="CharacterStyle9"/>
              </w:rPr>
              <w:t>700,00</w:t>
            </w:r>
          </w:p>
        </w:tc>
        <w:tc>
          <w:tcPr>
            <w:tcW w:w="1395" w:type="dxa"/>
            <w:tcBorders>
              <w:bottom w:val="single" w:sz="6" w:space="0" w:color="000000"/>
              <w:right w:val="single" w:sz="6" w:space="0" w:color="000000"/>
            </w:tcBorders>
            <w:vAlign w:val="center"/>
          </w:tcPr>
          <w:p w14:paraId="79C72639" w14:textId="77777777" w:rsidR="007D706A" w:rsidRDefault="007D706A" w:rsidP="00F70508">
            <w:pPr>
              <w:pStyle w:val="ParagraphStyle9"/>
              <w:rPr>
                <w:rStyle w:val="CharacterStyle9"/>
              </w:rPr>
            </w:pPr>
            <w:r>
              <w:rPr>
                <w:rStyle w:val="CharacterStyle9"/>
              </w:rPr>
              <w:t>700,00</w:t>
            </w:r>
          </w:p>
        </w:tc>
        <w:tc>
          <w:tcPr>
            <w:tcW w:w="1395" w:type="dxa"/>
            <w:tcBorders>
              <w:bottom w:val="single" w:sz="6" w:space="0" w:color="000000"/>
              <w:right w:val="single" w:sz="6" w:space="0" w:color="000000"/>
            </w:tcBorders>
            <w:vAlign w:val="center"/>
          </w:tcPr>
          <w:p w14:paraId="68125C21" w14:textId="77777777" w:rsidR="007D706A" w:rsidRDefault="007D706A" w:rsidP="00F70508">
            <w:pPr>
              <w:pStyle w:val="ParagraphStyle9"/>
              <w:rPr>
                <w:rStyle w:val="CharacterStyle9"/>
              </w:rPr>
            </w:pPr>
            <w:r>
              <w:rPr>
                <w:rStyle w:val="CharacterStyle9"/>
              </w:rPr>
              <w:t>700,00</w:t>
            </w:r>
          </w:p>
        </w:tc>
      </w:tr>
      <w:tr w:rsidR="007D706A" w14:paraId="60AD5BD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090E9DC"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52684CA7"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0651713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D7057E3" w14:textId="77777777" w:rsidR="007D706A" w:rsidRDefault="007D706A" w:rsidP="00F70508">
            <w:pPr>
              <w:pStyle w:val="ParagraphStyle12"/>
              <w:rPr>
                <w:rStyle w:val="CharacterStyle12"/>
              </w:rPr>
            </w:pPr>
            <w:r>
              <w:rPr>
                <w:rStyle w:val="CharacterStyle12"/>
              </w:rPr>
              <w:t>700,00</w:t>
            </w:r>
          </w:p>
        </w:tc>
        <w:tc>
          <w:tcPr>
            <w:tcW w:w="1395" w:type="dxa"/>
            <w:tcBorders>
              <w:bottom w:val="single" w:sz="6" w:space="0" w:color="000000"/>
              <w:right w:val="single" w:sz="6" w:space="0" w:color="000000"/>
            </w:tcBorders>
            <w:vAlign w:val="center"/>
          </w:tcPr>
          <w:p w14:paraId="59E89FAA" w14:textId="77777777" w:rsidR="007D706A" w:rsidRDefault="007D706A" w:rsidP="00F70508">
            <w:pPr>
              <w:pStyle w:val="ParagraphStyle12"/>
              <w:rPr>
                <w:rStyle w:val="CharacterStyle12"/>
              </w:rPr>
            </w:pPr>
            <w:r>
              <w:rPr>
                <w:rStyle w:val="CharacterStyle12"/>
              </w:rPr>
              <w:t>700,00</w:t>
            </w:r>
          </w:p>
        </w:tc>
        <w:tc>
          <w:tcPr>
            <w:tcW w:w="1395" w:type="dxa"/>
            <w:tcBorders>
              <w:bottom w:val="single" w:sz="6" w:space="0" w:color="000000"/>
              <w:right w:val="single" w:sz="6" w:space="0" w:color="000000"/>
            </w:tcBorders>
            <w:vAlign w:val="center"/>
          </w:tcPr>
          <w:p w14:paraId="4C4234DE" w14:textId="77777777" w:rsidR="007D706A" w:rsidRDefault="007D706A" w:rsidP="00F70508">
            <w:pPr>
              <w:pStyle w:val="ParagraphStyle12"/>
              <w:rPr>
                <w:rStyle w:val="CharacterStyle12"/>
              </w:rPr>
            </w:pPr>
            <w:r>
              <w:rPr>
                <w:rStyle w:val="CharacterStyle12"/>
              </w:rPr>
              <w:t>700,00</w:t>
            </w:r>
          </w:p>
        </w:tc>
        <w:tc>
          <w:tcPr>
            <w:tcW w:w="1395" w:type="dxa"/>
            <w:tcBorders>
              <w:bottom w:val="single" w:sz="6" w:space="0" w:color="000000"/>
              <w:right w:val="single" w:sz="6" w:space="0" w:color="000000"/>
            </w:tcBorders>
            <w:vAlign w:val="center"/>
          </w:tcPr>
          <w:p w14:paraId="22F30902" w14:textId="77777777" w:rsidR="007D706A" w:rsidRDefault="007D706A" w:rsidP="00F70508">
            <w:pPr>
              <w:pStyle w:val="ParagraphStyle12"/>
              <w:rPr>
                <w:rStyle w:val="CharacterStyle12"/>
              </w:rPr>
            </w:pPr>
            <w:r>
              <w:rPr>
                <w:rStyle w:val="CharacterStyle12"/>
              </w:rPr>
              <w:t>700,00</w:t>
            </w:r>
          </w:p>
        </w:tc>
      </w:tr>
      <w:tr w:rsidR="007D706A" w14:paraId="55112475" w14:textId="77777777" w:rsidTr="00F70508">
        <w:trPr>
          <w:trHeight w:val="420"/>
        </w:trPr>
        <w:tc>
          <w:tcPr>
            <w:tcW w:w="2880" w:type="dxa"/>
            <w:tcBorders>
              <w:left w:val="single" w:sz="6" w:space="0" w:color="000000"/>
              <w:bottom w:val="single" w:sz="6" w:space="0" w:color="000000"/>
              <w:right w:val="single" w:sz="6" w:space="0" w:color="000000"/>
            </w:tcBorders>
            <w:vAlign w:val="center"/>
          </w:tcPr>
          <w:p w14:paraId="75A8C681" w14:textId="77777777" w:rsidR="007D706A" w:rsidRDefault="007D706A" w:rsidP="00F70508">
            <w:pPr>
              <w:pStyle w:val="ParagraphStyle10"/>
              <w:rPr>
                <w:rStyle w:val="CharacterStyle10"/>
              </w:rPr>
            </w:pPr>
            <w:r>
              <w:rPr>
                <w:rStyle w:val="CharacterStyle10"/>
              </w:rPr>
              <w:t>37</w:t>
            </w:r>
          </w:p>
        </w:tc>
        <w:tc>
          <w:tcPr>
            <w:tcW w:w="4995" w:type="dxa"/>
            <w:tcBorders>
              <w:bottom w:val="single" w:sz="6" w:space="0" w:color="000000"/>
              <w:right w:val="single" w:sz="6" w:space="0" w:color="000000"/>
            </w:tcBorders>
            <w:vAlign w:val="center"/>
          </w:tcPr>
          <w:p w14:paraId="66D431AE" w14:textId="77777777" w:rsidR="007D706A" w:rsidRDefault="007D706A" w:rsidP="00F70508">
            <w:pPr>
              <w:pStyle w:val="ParagraphStyle11"/>
              <w:rPr>
                <w:rStyle w:val="CharacterStyle11"/>
              </w:rPr>
            </w:pPr>
            <w:r>
              <w:rPr>
                <w:rStyle w:val="CharacterStyle11"/>
              </w:rPr>
              <w:t>Naknade građanima i kućanstvima na temelju osiguranja i druge naknade</w:t>
            </w:r>
          </w:p>
        </w:tc>
        <w:tc>
          <w:tcPr>
            <w:tcW w:w="1395" w:type="dxa"/>
            <w:tcBorders>
              <w:bottom w:val="single" w:sz="6" w:space="0" w:color="000000"/>
              <w:right w:val="single" w:sz="6" w:space="0" w:color="000000"/>
            </w:tcBorders>
            <w:vAlign w:val="center"/>
          </w:tcPr>
          <w:p w14:paraId="7582D2E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6E2AB76" w14:textId="77777777" w:rsidR="007D706A" w:rsidRDefault="007D706A" w:rsidP="00F70508">
            <w:pPr>
              <w:pStyle w:val="ParagraphStyle12"/>
              <w:rPr>
                <w:rStyle w:val="CharacterStyle12"/>
              </w:rPr>
            </w:pPr>
            <w:r>
              <w:rPr>
                <w:rStyle w:val="CharacterStyle12"/>
              </w:rPr>
              <w:t>700,00</w:t>
            </w:r>
          </w:p>
        </w:tc>
        <w:tc>
          <w:tcPr>
            <w:tcW w:w="1395" w:type="dxa"/>
            <w:tcBorders>
              <w:bottom w:val="single" w:sz="6" w:space="0" w:color="000000"/>
              <w:right w:val="single" w:sz="6" w:space="0" w:color="000000"/>
            </w:tcBorders>
            <w:vAlign w:val="center"/>
          </w:tcPr>
          <w:p w14:paraId="30D88DEF" w14:textId="77777777" w:rsidR="007D706A" w:rsidRDefault="007D706A" w:rsidP="00F70508">
            <w:pPr>
              <w:pStyle w:val="ParagraphStyle12"/>
              <w:rPr>
                <w:rStyle w:val="CharacterStyle12"/>
              </w:rPr>
            </w:pPr>
            <w:r>
              <w:rPr>
                <w:rStyle w:val="CharacterStyle12"/>
              </w:rPr>
              <w:t>700,00</w:t>
            </w:r>
          </w:p>
        </w:tc>
        <w:tc>
          <w:tcPr>
            <w:tcW w:w="1395" w:type="dxa"/>
            <w:tcBorders>
              <w:bottom w:val="single" w:sz="6" w:space="0" w:color="000000"/>
              <w:right w:val="single" w:sz="6" w:space="0" w:color="000000"/>
            </w:tcBorders>
            <w:vAlign w:val="center"/>
          </w:tcPr>
          <w:p w14:paraId="7EC9C8E9" w14:textId="77777777" w:rsidR="007D706A" w:rsidRDefault="007D706A" w:rsidP="00F70508">
            <w:pPr>
              <w:pStyle w:val="ParagraphStyle12"/>
              <w:rPr>
                <w:rStyle w:val="CharacterStyle12"/>
              </w:rPr>
            </w:pPr>
            <w:r>
              <w:rPr>
                <w:rStyle w:val="CharacterStyle12"/>
              </w:rPr>
              <w:t>700,00</w:t>
            </w:r>
          </w:p>
        </w:tc>
        <w:tc>
          <w:tcPr>
            <w:tcW w:w="1395" w:type="dxa"/>
            <w:tcBorders>
              <w:bottom w:val="single" w:sz="6" w:space="0" w:color="000000"/>
              <w:right w:val="single" w:sz="6" w:space="0" w:color="000000"/>
            </w:tcBorders>
            <w:vAlign w:val="center"/>
          </w:tcPr>
          <w:p w14:paraId="1E2D909A" w14:textId="77777777" w:rsidR="007D706A" w:rsidRDefault="007D706A" w:rsidP="00F70508">
            <w:pPr>
              <w:pStyle w:val="ParagraphStyle12"/>
              <w:rPr>
                <w:rStyle w:val="CharacterStyle12"/>
              </w:rPr>
            </w:pPr>
            <w:r>
              <w:rPr>
                <w:rStyle w:val="CharacterStyle12"/>
              </w:rPr>
              <w:t>700,00</w:t>
            </w:r>
          </w:p>
        </w:tc>
      </w:tr>
      <w:tr w:rsidR="007D706A" w14:paraId="248A206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DB08568" w14:textId="77777777" w:rsidR="007D706A" w:rsidRDefault="007D706A" w:rsidP="00F70508">
            <w:pPr>
              <w:pStyle w:val="ParagraphStyle4"/>
              <w:rPr>
                <w:rStyle w:val="CharacterStyle4"/>
              </w:rPr>
            </w:pPr>
            <w:r>
              <w:rPr>
                <w:rStyle w:val="CharacterStyle4"/>
              </w:rPr>
              <w:t>Tekući projekt T101906</w:t>
            </w:r>
          </w:p>
        </w:tc>
        <w:tc>
          <w:tcPr>
            <w:tcW w:w="4995" w:type="dxa"/>
            <w:tcBorders>
              <w:bottom w:val="single" w:sz="6" w:space="0" w:color="000000"/>
              <w:right w:val="single" w:sz="6" w:space="0" w:color="000000"/>
            </w:tcBorders>
            <w:vAlign w:val="center"/>
          </w:tcPr>
          <w:p w14:paraId="47FAA5A5" w14:textId="77777777" w:rsidR="007D706A" w:rsidRDefault="007D706A" w:rsidP="00F70508">
            <w:pPr>
              <w:pStyle w:val="ParagraphStyle5"/>
              <w:rPr>
                <w:rStyle w:val="CharacterStyle5"/>
              </w:rPr>
            </w:pPr>
            <w:r>
              <w:rPr>
                <w:rStyle w:val="CharacterStyle5"/>
              </w:rPr>
              <w:t>PRIJEVOZ POKOJNIKA</w:t>
            </w:r>
          </w:p>
        </w:tc>
        <w:tc>
          <w:tcPr>
            <w:tcW w:w="1395" w:type="dxa"/>
            <w:tcBorders>
              <w:bottom w:val="single" w:sz="6" w:space="0" w:color="000000"/>
              <w:right w:val="single" w:sz="6" w:space="0" w:color="000000"/>
            </w:tcBorders>
            <w:vAlign w:val="center"/>
          </w:tcPr>
          <w:p w14:paraId="75B193FD"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38874413" w14:textId="77777777" w:rsidR="007D706A" w:rsidRDefault="007D706A" w:rsidP="00F70508">
            <w:pPr>
              <w:pStyle w:val="ParagraphStyle6"/>
              <w:rPr>
                <w:rStyle w:val="CharacterStyle6"/>
              </w:rPr>
            </w:pPr>
            <w:r>
              <w:rPr>
                <w:rStyle w:val="CharacterStyle6"/>
              </w:rPr>
              <w:t>700,00</w:t>
            </w:r>
          </w:p>
        </w:tc>
        <w:tc>
          <w:tcPr>
            <w:tcW w:w="1395" w:type="dxa"/>
            <w:tcBorders>
              <w:bottom w:val="single" w:sz="6" w:space="0" w:color="000000"/>
              <w:right w:val="single" w:sz="6" w:space="0" w:color="000000"/>
            </w:tcBorders>
            <w:vAlign w:val="center"/>
          </w:tcPr>
          <w:p w14:paraId="384B6DC9" w14:textId="77777777" w:rsidR="007D706A" w:rsidRDefault="007D706A" w:rsidP="00F70508">
            <w:pPr>
              <w:pStyle w:val="ParagraphStyle6"/>
              <w:rPr>
                <w:rStyle w:val="CharacterStyle6"/>
              </w:rPr>
            </w:pPr>
            <w:r>
              <w:rPr>
                <w:rStyle w:val="CharacterStyle6"/>
              </w:rPr>
              <w:t>700,00</w:t>
            </w:r>
          </w:p>
        </w:tc>
        <w:tc>
          <w:tcPr>
            <w:tcW w:w="1395" w:type="dxa"/>
            <w:tcBorders>
              <w:bottom w:val="single" w:sz="6" w:space="0" w:color="000000"/>
              <w:right w:val="single" w:sz="6" w:space="0" w:color="000000"/>
            </w:tcBorders>
            <w:vAlign w:val="center"/>
          </w:tcPr>
          <w:p w14:paraId="40BF8C8A" w14:textId="77777777" w:rsidR="007D706A" w:rsidRDefault="007D706A" w:rsidP="00F70508">
            <w:pPr>
              <w:pStyle w:val="ParagraphStyle6"/>
              <w:rPr>
                <w:rStyle w:val="CharacterStyle6"/>
              </w:rPr>
            </w:pPr>
            <w:r>
              <w:rPr>
                <w:rStyle w:val="CharacterStyle6"/>
              </w:rPr>
              <w:t>700,00</w:t>
            </w:r>
          </w:p>
        </w:tc>
        <w:tc>
          <w:tcPr>
            <w:tcW w:w="1395" w:type="dxa"/>
            <w:tcBorders>
              <w:bottom w:val="single" w:sz="6" w:space="0" w:color="000000"/>
              <w:right w:val="single" w:sz="6" w:space="0" w:color="000000"/>
            </w:tcBorders>
            <w:vAlign w:val="center"/>
          </w:tcPr>
          <w:p w14:paraId="0F7F5FC7" w14:textId="77777777" w:rsidR="007D706A" w:rsidRDefault="007D706A" w:rsidP="00F70508">
            <w:pPr>
              <w:pStyle w:val="ParagraphStyle6"/>
              <w:rPr>
                <w:rStyle w:val="CharacterStyle6"/>
              </w:rPr>
            </w:pPr>
            <w:r>
              <w:rPr>
                <w:rStyle w:val="CharacterStyle6"/>
              </w:rPr>
              <w:t>700,00</w:t>
            </w:r>
          </w:p>
        </w:tc>
      </w:tr>
      <w:tr w:rsidR="007D706A" w14:paraId="369070E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208B680"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034E2C1D"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68FEFF51"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995BBC5" w14:textId="77777777" w:rsidR="007D706A" w:rsidRDefault="007D706A" w:rsidP="00F70508">
            <w:pPr>
              <w:pStyle w:val="ParagraphStyle9"/>
              <w:rPr>
                <w:rStyle w:val="CharacterStyle9"/>
              </w:rPr>
            </w:pPr>
            <w:r>
              <w:rPr>
                <w:rStyle w:val="CharacterStyle9"/>
              </w:rPr>
              <w:t>700,00</w:t>
            </w:r>
          </w:p>
        </w:tc>
        <w:tc>
          <w:tcPr>
            <w:tcW w:w="1395" w:type="dxa"/>
            <w:tcBorders>
              <w:bottom w:val="single" w:sz="6" w:space="0" w:color="000000"/>
              <w:right w:val="single" w:sz="6" w:space="0" w:color="000000"/>
            </w:tcBorders>
            <w:vAlign w:val="center"/>
          </w:tcPr>
          <w:p w14:paraId="205129EB" w14:textId="77777777" w:rsidR="007D706A" w:rsidRDefault="007D706A" w:rsidP="00F70508">
            <w:pPr>
              <w:pStyle w:val="ParagraphStyle9"/>
              <w:rPr>
                <w:rStyle w:val="CharacterStyle9"/>
              </w:rPr>
            </w:pPr>
            <w:r>
              <w:rPr>
                <w:rStyle w:val="CharacterStyle9"/>
              </w:rPr>
              <w:t>700,00</w:t>
            </w:r>
          </w:p>
        </w:tc>
        <w:tc>
          <w:tcPr>
            <w:tcW w:w="1395" w:type="dxa"/>
            <w:tcBorders>
              <w:bottom w:val="single" w:sz="6" w:space="0" w:color="000000"/>
              <w:right w:val="single" w:sz="6" w:space="0" w:color="000000"/>
            </w:tcBorders>
            <w:vAlign w:val="center"/>
          </w:tcPr>
          <w:p w14:paraId="64C1DC6F" w14:textId="77777777" w:rsidR="007D706A" w:rsidRDefault="007D706A" w:rsidP="00F70508">
            <w:pPr>
              <w:pStyle w:val="ParagraphStyle9"/>
              <w:rPr>
                <w:rStyle w:val="CharacterStyle9"/>
              </w:rPr>
            </w:pPr>
            <w:r>
              <w:rPr>
                <w:rStyle w:val="CharacterStyle9"/>
              </w:rPr>
              <w:t>700,00</w:t>
            </w:r>
          </w:p>
        </w:tc>
        <w:tc>
          <w:tcPr>
            <w:tcW w:w="1395" w:type="dxa"/>
            <w:tcBorders>
              <w:bottom w:val="single" w:sz="6" w:space="0" w:color="000000"/>
              <w:right w:val="single" w:sz="6" w:space="0" w:color="000000"/>
            </w:tcBorders>
            <w:vAlign w:val="center"/>
          </w:tcPr>
          <w:p w14:paraId="7C3273C6" w14:textId="77777777" w:rsidR="007D706A" w:rsidRDefault="007D706A" w:rsidP="00F70508">
            <w:pPr>
              <w:pStyle w:val="ParagraphStyle9"/>
              <w:rPr>
                <w:rStyle w:val="CharacterStyle9"/>
              </w:rPr>
            </w:pPr>
            <w:r>
              <w:rPr>
                <w:rStyle w:val="CharacterStyle9"/>
              </w:rPr>
              <w:t>700,00</w:t>
            </w:r>
          </w:p>
        </w:tc>
      </w:tr>
      <w:tr w:rsidR="007D706A" w14:paraId="3BA7732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E4774FA"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765F83B8"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494D0F1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C480EAA" w14:textId="77777777" w:rsidR="007D706A" w:rsidRDefault="007D706A" w:rsidP="00F70508">
            <w:pPr>
              <w:pStyle w:val="ParagraphStyle12"/>
              <w:rPr>
                <w:rStyle w:val="CharacterStyle12"/>
              </w:rPr>
            </w:pPr>
            <w:r>
              <w:rPr>
                <w:rStyle w:val="CharacterStyle12"/>
              </w:rPr>
              <w:t>700,00</w:t>
            </w:r>
          </w:p>
        </w:tc>
        <w:tc>
          <w:tcPr>
            <w:tcW w:w="1395" w:type="dxa"/>
            <w:tcBorders>
              <w:bottom w:val="single" w:sz="6" w:space="0" w:color="000000"/>
              <w:right w:val="single" w:sz="6" w:space="0" w:color="000000"/>
            </w:tcBorders>
            <w:vAlign w:val="center"/>
          </w:tcPr>
          <w:p w14:paraId="63676387" w14:textId="77777777" w:rsidR="007D706A" w:rsidRDefault="007D706A" w:rsidP="00F70508">
            <w:pPr>
              <w:pStyle w:val="ParagraphStyle12"/>
              <w:rPr>
                <w:rStyle w:val="CharacterStyle12"/>
              </w:rPr>
            </w:pPr>
            <w:r>
              <w:rPr>
                <w:rStyle w:val="CharacterStyle12"/>
              </w:rPr>
              <w:t>700,00</w:t>
            </w:r>
          </w:p>
        </w:tc>
        <w:tc>
          <w:tcPr>
            <w:tcW w:w="1395" w:type="dxa"/>
            <w:tcBorders>
              <w:bottom w:val="single" w:sz="6" w:space="0" w:color="000000"/>
              <w:right w:val="single" w:sz="6" w:space="0" w:color="000000"/>
            </w:tcBorders>
            <w:vAlign w:val="center"/>
          </w:tcPr>
          <w:p w14:paraId="10620EBC" w14:textId="77777777" w:rsidR="007D706A" w:rsidRDefault="007D706A" w:rsidP="00F70508">
            <w:pPr>
              <w:pStyle w:val="ParagraphStyle12"/>
              <w:rPr>
                <w:rStyle w:val="CharacterStyle12"/>
              </w:rPr>
            </w:pPr>
            <w:r>
              <w:rPr>
                <w:rStyle w:val="CharacterStyle12"/>
              </w:rPr>
              <w:t>700,00</w:t>
            </w:r>
          </w:p>
        </w:tc>
        <w:tc>
          <w:tcPr>
            <w:tcW w:w="1395" w:type="dxa"/>
            <w:tcBorders>
              <w:bottom w:val="single" w:sz="6" w:space="0" w:color="000000"/>
              <w:right w:val="single" w:sz="6" w:space="0" w:color="000000"/>
            </w:tcBorders>
            <w:vAlign w:val="center"/>
          </w:tcPr>
          <w:p w14:paraId="1CDBE9DD" w14:textId="77777777" w:rsidR="007D706A" w:rsidRDefault="007D706A" w:rsidP="00F70508">
            <w:pPr>
              <w:pStyle w:val="ParagraphStyle12"/>
              <w:rPr>
                <w:rStyle w:val="CharacterStyle12"/>
              </w:rPr>
            </w:pPr>
            <w:r>
              <w:rPr>
                <w:rStyle w:val="CharacterStyle12"/>
              </w:rPr>
              <w:t>700,00</w:t>
            </w:r>
          </w:p>
        </w:tc>
      </w:tr>
      <w:tr w:rsidR="007D706A" w14:paraId="707DBA8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1F9EEB9"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0C47E83B"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3DA4DBA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88C572F" w14:textId="77777777" w:rsidR="007D706A" w:rsidRDefault="007D706A" w:rsidP="00F70508">
            <w:pPr>
              <w:pStyle w:val="ParagraphStyle12"/>
              <w:rPr>
                <w:rStyle w:val="CharacterStyle12"/>
              </w:rPr>
            </w:pPr>
            <w:r>
              <w:rPr>
                <w:rStyle w:val="CharacterStyle12"/>
              </w:rPr>
              <w:t>700,00</w:t>
            </w:r>
          </w:p>
        </w:tc>
        <w:tc>
          <w:tcPr>
            <w:tcW w:w="1395" w:type="dxa"/>
            <w:tcBorders>
              <w:bottom w:val="single" w:sz="6" w:space="0" w:color="000000"/>
              <w:right w:val="single" w:sz="6" w:space="0" w:color="000000"/>
            </w:tcBorders>
            <w:vAlign w:val="center"/>
          </w:tcPr>
          <w:p w14:paraId="3AF99006" w14:textId="77777777" w:rsidR="007D706A" w:rsidRDefault="007D706A" w:rsidP="00F70508">
            <w:pPr>
              <w:pStyle w:val="ParagraphStyle12"/>
              <w:rPr>
                <w:rStyle w:val="CharacterStyle12"/>
              </w:rPr>
            </w:pPr>
            <w:r>
              <w:rPr>
                <w:rStyle w:val="CharacterStyle12"/>
              </w:rPr>
              <w:t>700,00</w:t>
            </w:r>
          </w:p>
        </w:tc>
        <w:tc>
          <w:tcPr>
            <w:tcW w:w="1395" w:type="dxa"/>
            <w:tcBorders>
              <w:bottom w:val="single" w:sz="6" w:space="0" w:color="000000"/>
              <w:right w:val="single" w:sz="6" w:space="0" w:color="000000"/>
            </w:tcBorders>
            <w:vAlign w:val="center"/>
          </w:tcPr>
          <w:p w14:paraId="13170A07" w14:textId="77777777" w:rsidR="007D706A" w:rsidRDefault="007D706A" w:rsidP="00F70508">
            <w:pPr>
              <w:pStyle w:val="ParagraphStyle12"/>
              <w:rPr>
                <w:rStyle w:val="CharacterStyle12"/>
              </w:rPr>
            </w:pPr>
            <w:r>
              <w:rPr>
                <w:rStyle w:val="CharacterStyle12"/>
              </w:rPr>
              <w:t>700,00</w:t>
            </w:r>
          </w:p>
        </w:tc>
        <w:tc>
          <w:tcPr>
            <w:tcW w:w="1395" w:type="dxa"/>
            <w:tcBorders>
              <w:bottom w:val="single" w:sz="6" w:space="0" w:color="000000"/>
              <w:right w:val="single" w:sz="6" w:space="0" w:color="000000"/>
            </w:tcBorders>
            <w:vAlign w:val="center"/>
          </w:tcPr>
          <w:p w14:paraId="75E86BD5" w14:textId="77777777" w:rsidR="007D706A" w:rsidRDefault="007D706A" w:rsidP="00F70508">
            <w:pPr>
              <w:pStyle w:val="ParagraphStyle12"/>
              <w:rPr>
                <w:rStyle w:val="CharacterStyle12"/>
              </w:rPr>
            </w:pPr>
            <w:r>
              <w:rPr>
                <w:rStyle w:val="CharacterStyle12"/>
              </w:rPr>
              <w:t>700,00</w:t>
            </w:r>
          </w:p>
        </w:tc>
      </w:tr>
      <w:tr w:rsidR="007D706A" w14:paraId="34B0486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26A638E" w14:textId="77777777" w:rsidR="007D706A" w:rsidRDefault="007D706A" w:rsidP="00F70508">
            <w:pPr>
              <w:pStyle w:val="ParagraphStyle4"/>
              <w:rPr>
                <w:rStyle w:val="CharacterStyle4"/>
              </w:rPr>
            </w:pPr>
            <w:r>
              <w:rPr>
                <w:rStyle w:val="CharacterStyle4"/>
              </w:rPr>
              <w:t>Tekući projekt T101907</w:t>
            </w:r>
          </w:p>
        </w:tc>
        <w:tc>
          <w:tcPr>
            <w:tcW w:w="4995" w:type="dxa"/>
            <w:tcBorders>
              <w:bottom w:val="single" w:sz="6" w:space="0" w:color="000000"/>
              <w:right w:val="single" w:sz="6" w:space="0" w:color="000000"/>
            </w:tcBorders>
            <w:vAlign w:val="center"/>
          </w:tcPr>
          <w:p w14:paraId="6679F834" w14:textId="77777777" w:rsidR="007D706A" w:rsidRDefault="007D706A" w:rsidP="00F70508">
            <w:pPr>
              <w:pStyle w:val="ParagraphStyle5"/>
              <w:rPr>
                <w:rStyle w:val="CharacterStyle5"/>
              </w:rPr>
            </w:pPr>
            <w:r>
              <w:rPr>
                <w:rStyle w:val="CharacterStyle5"/>
              </w:rPr>
              <w:t>PRAĆENJE KAKVOĆE MORA NA PLAŽAMA</w:t>
            </w:r>
          </w:p>
        </w:tc>
        <w:tc>
          <w:tcPr>
            <w:tcW w:w="1395" w:type="dxa"/>
            <w:tcBorders>
              <w:bottom w:val="single" w:sz="6" w:space="0" w:color="000000"/>
              <w:right w:val="single" w:sz="6" w:space="0" w:color="000000"/>
            </w:tcBorders>
            <w:vAlign w:val="center"/>
          </w:tcPr>
          <w:p w14:paraId="7033D6E1"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0FC75679" w14:textId="77777777" w:rsidR="007D706A" w:rsidRDefault="007D706A" w:rsidP="00F70508">
            <w:pPr>
              <w:pStyle w:val="ParagraphStyle6"/>
              <w:rPr>
                <w:rStyle w:val="CharacterStyle6"/>
              </w:rPr>
            </w:pPr>
            <w:r>
              <w:rPr>
                <w:rStyle w:val="CharacterStyle6"/>
              </w:rPr>
              <w:t>8.800,00</w:t>
            </w:r>
          </w:p>
        </w:tc>
        <w:tc>
          <w:tcPr>
            <w:tcW w:w="1395" w:type="dxa"/>
            <w:tcBorders>
              <w:bottom w:val="single" w:sz="6" w:space="0" w:color="000000"/>
              <w:right w:val="single" w:sz="6" w:space="0" w:color="000000"/>
            </w:tcBorders>
            <w:vAlign w:val="center"/>
          </w:tcPr>
          <w:p w14:paraId="6D4D269D" w14:textId="77777777" w:rsidR="007D706A" w:rsidRDefault="007D706A" w:rsidP="00F70508">
            <w:pPr>
              <w:pStyle w:val="ParagraphStyle6"/>
              <w:rPr>
                <w:rStyle w:val="CharacterStyle6"/>
              </w:rPr>
            </w:pPr>
            <w:r>
              <w:rPr>
                <w:rStyle w:val="CharacterStyle6"/>
              </w:rPr>
              <w:t>11.500,00</w:t>
            </w:r>
          </w:p>
        </w:tc>
        <w:tc>
          <w:tcPr>
            <w:tcW w:w="1395" w:type="dxa"/>
            <w:tcBorders>
              <w:bottom w:val="single" w:sz="6" w:space="0" w:color="000000"/>
              <w:right w:val="single" w:sz="6" w:space="0" w:color="000000"/>
            </w:tcBorders>
            <w:vAlign w:val="center"/>
          </w:tcPr>
          <w:p w14:paraId="43CF39E4" w14:textId="77777777" w:rsidR="007D706A" w:rsidRDefault="007D706A" w:rsidP="00F70508">
            <w:pPr>
              <w:pStyle w:val="ParagraphStyle6"/>
              <w:rPr>
                <w:rStyle w:val="CharacterStyle6"/>
              </w:rPr>
            </w:pPr>
            <w:r>
              <w:rPr>
                <w:rStyle w:val="CharacterStyle6"/>
              </w:rPr>
              <w:t>11.500,00</w:t>
            </w:r>
          </w:p>
        </w:tc>
        <w:tc>
          <w:tcPr>
            <w:tcW w:w="1395" w:type="dxa"/>
            <w:tcBorders>
              <w:bottom w:val="single" w:sz="6" w:space="0" w:color="000000"/>
              <w:right w:val="single" w:sz="6" w:space="0" w:color="000000"/>
            </w:tcBorders>
            <w:vAlign w:val="center"/>
          </w:tcPr>
          <w:p w14:paraId="7FECA62F" w14:textId="77777777" w:rsidR="007D706A" w:rsidRDefault="007D706A" w:rsidP="00F70508">
            <w:pPr>
              <w:pStyle w:val="ParagraphStyle6"/>
              <w:rPr>
                <w:rStyle w:val="CharacterStyle6"/>
              </w:rPr>
            </w:pPr>
            <w:r>
              <w:rPr>
                <w:rStyle w:val="CharacterStyle6"/>
              </w:rPr>
              <w:t>11.500,00</w:t>
            </w:r>
          </w:p>
        </w:tc>
      </w:tr>
      <w:tr w:rsidR="007D706A" w14:paraId="32100AC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9D707B6" w14:textId="77777777" w:rsidR="007D706A" w:rsidRDefault="007D706A" w:rsidP="00F70508">
            <w:pPr>
              <w:pStyle w:val="ParagraphStyle7"/>
              <w:rPr>
                <w:rStyle w:val="CharacterStyle7"/>
              </w:rPr>
            </w:pPr>
            <w:r>
              <w:rPr>
                <w:rStyle w:val="CharacterStyle7"/>
              </w:rPr>
              <w:t>Izvor financiranja 41</w:t>
            </w:r>
          </w:p>
        </w:tc>
        <w:tc>
          <w:tcPr>
            <w:tcW w:w="4995" w:type="dxa"/>
            <w:tcBorders>
              <w:bottom w:val="single" w:sz="6" w:space="0" w:color="000000"/>
              <w:right w:val="single" w:sz="6" w:space="0" w:color="000000"/>
            </w:tcBorders>
            <w:vAlign w:val="center"/>
          </w:tcPr>
          <w:p w14:paraId="794FBEF5" w14:textId="77777777" w:rsidR="007D706A" w:rsidRDefault="007D706A" w:rsidP="00F70508">
            <w:pPr>
              <w:pStyle w:val="ParagraphStyle8"/>
              <w:rPr>
                <w:rStyle w:val="CharacterStyle8"/>
              </w:rPr>
            </w:pPr>
            <w:r>
              <w:rPr>
                <w:rStyle w:val="CharacterStyle8"/>
              </w:rPr>
              <w:t>Prihodi za posebne namjene</w:t>
            </w:r>
          </w:p>
        </w:tc>
        <w:tc>
          <w:tcPr>
            <w:tcW w:w="1395" w:type="dxa"/>
            <w:tcBorders>
              <w:bottom w:val="single" w:sz="6" w:space="0" w:color="000000"/>
              <w:right w:val="single" w:sz="6" w:space="0" w:color="000000"/>
            </w:tcBorders>
            <w:vAlign w:val="center"/>
          </w:tcPr>
          <w:p w14:paraId="035DC826"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FD4191F" w14:textId="77777777" w:rsidR="007D706A" w:rsidRDefault="007D706A" w:rsidP="00F70508">
            <w:pPr>
              <w:pStyle w:val="ParagraphStyle9"/>
              <w:rPr>
                <w:rStyle w:val="CharacterStyle9"/>
              </w:rPr>
            </w:pPr>
            <w:r>
              <w:rPr>
                <w:rStyle w:val="CharacterStyle9"/>
              </w:rPr>
              <w:t>8.800,00</w:t>
            </w:r>
          </w:p>
        </w:tc>
        <w:tc>
          <w:tcPr>
            <w:tcW w:w="1395" w:type="dxa"/>
            <w:tcBorders>
              <w:bottom w:val="single" w:sz="6" w:space="0" w:color="000000"/>
              <w:right w:val="single" w:sz="6" w:space="0" w:color="000000"/>
            </w:tcBorders>
            <w:vAlign w:val="center"/>
          </w:tcPr>
          <w:p w14:paraId="46D48065"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14E7D21"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B233E0C" w14:textId="77777777" w:rsidR="007D706A" w:rsidRDefault="007D706A" w:rsidP="00F70508">
            <w:pPr>
              <w:pStyle w:val="ParagraphStyle9"/>
              <w:rPr>
                <w:rStyle w:val="CharacterStyle9"/>
              </w:rPr>
            </w:pPr>
            <w:r>
              <w:rPr>
                <w:rStyle w:val="CharacterStyle9"/>
              </w:rPr>
              <w:t>0,00</w:t>
            </w:r>
          </w:p>
        </w:tc>
      </w:tr>
      <w:tr w:rsidR="007D706A" w14:paraId="35A8CD4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C7A6BE1"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6F896CAE"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061B362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CF9B2E9" w14:textId="77777777" w:rsidR="007D706A" w:rsidRDefault="007D706A" w:rsidP="00F70508">
            <w:pPr>
              <w:pStyle w:val="ParagraphStyle12"/>
              <w:rPr>
                <w:rStyle w:val="CharacterStyle12"/>
              </w:rPr>
            </w:pPr>
            <w:r>
              <w:rPr>
                <w:rStyle w:val="CharacterStyle12"/>
              </w:rPr>
              <w:t>8.800,00</w:t>
            </w:r>
          </w:p>
        </w:tc>
        <w:tc>
          <w:tcPr>
            <w:tcW w:w="1395" w:type="dxa"/>
            <w:tcBorders>
              <w:bottom w:val="single" w:sz="6" w:space="0" w:color="000000"/>
              <w:right w:val="single" w:sz="6" w:space="0" w:color="000000"/>
            </w:tcBorders>
            <w:vAlign w:val="center"/>
          </w:tcPr>
          <w:p w14:paraId="725183A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C35D81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8B0E75D" w14:textId="77777777" w:rsidR="007D706A" w:rsidRDefault="007D706A" w:rsidP="00F70508">
            <w:pPr>
              <w:pStyle w:val="ParagraphStyle12"/>
              <w:rPr>
                <w:rStyle w:val="CharacterStyle12"/>
              </w:rPr>
            </w:pPr>
            <w:r>
              <w:rPr>
                <w:rStyle w:val="CharacterStyle12"/>
              </w:rPr>
              <w:t>0,00</w:t>
            </w:r>
          </w:p>
        </w:tc>
      </w:tr>
      <w:tr w:rsidR="007D706A" w14:paraId="008EB08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7D7E540"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20829487"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4C88D56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870EDB9" w14:textId="77777777" w:rsidR="007D706A" w:rsidRDefault="007D706A" w:rsidP="00F70508">
            <w:pPr>
              <w:pStyle w:val="ParagraphStyle12"/>
              <w:rPr>
                <w:rStyle w:val="CharacterStyle12"/>
              </w:rPr>
            </w:pPr>
            <w:r>
              <w:rPr>
                <w:rStyle w:val="CharacterStyle12"/>
              </w:rPr>
              <w:t>8.800,00</w:t>
            </w:r>
          </w:p>
        </w:tc>
        <w:tc>
          <w:tcPr>
            <w:tcW w:w="1395" w:type="dxa"/>
            <w:tcBorders>
              <w:bottom w:val="single" w:sz="6" w:space="0" w:color="000000"/>
              <w:right w:val="single" w:sz="6" w:space="0" w:color="000000"/>
            </w:tcBorders>
            <w:vAlign w:val="center"/>
          </w:tcPr>
          <w:p w14:paraId="5F5CA95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0D99EB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7A99A3C" w14:textId="77777777" w:rsidR="007D706A" w:rsidRDefault="007D706A" w:rsidP="00F70508">
            <w:pPr>
              <w:pStyle w:val="ParagraphStyle12"/>
              <w:rPr>
                <w:rStyle w:val="CharacterStyle12"/>
              </w:rPr>
            </w:pPr>
            <w:r>
              <w:rPr>
                <w:rStyle w:val="CharacterStyle12"/>
              </w:rPr>
              <w:t>0,00</w:t>
            </w:r>
          </w:p>
        </w:tc>
      </w:tr>
      <w:tr w:rsidR="007D706A" w14:paraId="695C416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D175AAC" w14:textId="77777777" w:rsidR="007D706A" w:rsidRDefault="007D706A" w:rsidP="00F70508">
            <w:pPr>
              <w:pStyle w:val="ParagraphStyle7"/>
              <w:rPr>
                <w:rStyle w:val="CharacterStyle7"/>
              </w:rPr>
            </w:pPr>
            <w:r>
              <w:rPr>
                <w:rStyle w:val="CharacterStyle7"/>
              </w:rPr>
              <w:t>Izvor financiranja 43</w:t>
            </w:r>
          </w:p>
        </w:tc>
        <w:tc>
          <w:tcPr>
            <w:tcW w:w="4995" w:type="dxa"/>
            <w:tcBorders>
              <w:bottom w:val="single" w:sz="6" w:space="0" w:color="000000"/>
              <w:right w:val="single" w:sz="6" w:space="0" w:color="000000"/>
            </w:tcBorders>
            <w:vAlign w:val="center"/>
          </w:tcPr>
          <w:p w14:paraId="03FE6FB3" w14:textId="77777777" w:rsidR="007D706A" w:rsidRDefault="007D706A" w:rsidP="00F70508">
            <w:pPr>
              <w:pStyle w:val="ParagraphStyle8"/>
              <w:rPr>
                <w:rStyle w:val="CharacterStyle8"/>
              </w:rPr>
            </w:pPr>
            <w:r>
              <w:rPr>
                <w:rStyle w:val="CharacterStyle8"/>
              </w:rPr>
              <w:t>Ostali prihodi za posebne namjene</w:t>
            </w:r>
          </w:p>
        </w:tc>
        <w:tc>
          <w:tcPr>
            <w:tcW w:w="1395" w:type="dxa"/>
            <w:tcBorders>
              <w:bottom w:val="single" w:sz="6" w:space="0" w:color="000000"/>
              <w:right w:val="single" w:sz="6" w:space="0" w:color="000000"/>
            </w:tcBorders>
            <w:vAlign w:val="center"/>
          </w:tcPr>
          <w:p w14:paraId="530FE4BE"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3C72823"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A5B9BC3" w14:textId="77777777" w:rsidR="007D706A" w:rsidRDefault="007D706A" w:rsidP="00F70508">
            <w:pPr>
              <w:pStyle w:val="ParagraphStyle9"/>
              <w:rPr>
                <w:rStyle w:val="CharacterStyle9"/>
              </w:rPr>
            </w:pPr>
            <w:r>
              <w:rPr>
                <w:rStyle w:val="CharacterStyle9"/>
              </w:rPr>
              <w:t>11.500,00</w:t>
            </w:r>
          </w:p>
        </w:tc>
        <w:tc>
          <w:tcPr>
            <w:tcW w:w="1395" w:type="dxa"/>
            <w:tcBorders>
              <w:bottom w:val="single" w:sz="6" w:space="0" w:color="000000"/>
              <w:right w:val="single" w:sz="6" w:space="0" w:color="000000"/>
            </w:tcBorders>
            <w:vAlign w:val="center"/>
          </w:tcPr>
          <w:p w14:paraId="1773418A" w14:textId="77777777" w:rsidR="007D706A" w:rsidRDefault="007D706A" w:rsidP="00F70508">
            <w:pPr>
              <w:pStyle w:val="ParagraphStyle9"/>
              <w:rPr>
                <w:rStyle w:val="CharacterStyle9"/>
              </w:rPr>
            </w:pPr>
            <w:r>
              <w:rPr>
                <w:rStyle w:val="CharacterStyle9"/>
              </w:rPr>
              <w:t>11.500,00</w:t>
            </w:r>
          </w:p>
        </w:tc>
        <w:tc>
          <w:tcPr>
            <w:tcW w:w="1395" w:type="dxa"/>
            <w:tcBorders>
              <w:bottom w:val="single" w:sz="6" w:space="0" w:color="000000"/>
              <w:right w:val="single" w:sz="6" w:space="0" w:color="000000"/>
            </w:tcBorders>
            <w:vAlign w:val="center"/>
          </w:tcPr>
          <w:p w14:paraId="3BA5F95D" w14:textId="77777777" w:rsidR="007D706A" w:rsidRDefault="007D706A" w:rsidP="00F70508">
            <w:pPr>
              <w:pStyle w:val="ParagraphStyle9"/>
              <w:rPr>
                <w:rStyle w:val="CharacterStyle9"/>
              </w:rPr>
            </w:pPr>
            <w:r>
              <w:rPr>
                <w:rStyle w:val="CharacterStyle9"/>
              </w:rPr>
              <w:t>11.500,00</w:t>
            </w:r>
          </w:p>
        </w:tc>
      </w:tr>
      <w:tr w:rsidR="007D706A" w14:paraId="379334F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345AD04"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730B2673"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0DCF0C3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B14F00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D49FA8A" w14:textId="77777777" w:rsidR="007D706A" w:rsidRDefault="007D706A" w:rsidP="00F70508">
            <w:pPr>
              <w:pStyle w:val="ParagraphStyle12"/>
              <w:rPr>
                <w:rStyle w:val="CharacterStyle12"/>
              </w:rPr>
            </w:pPr>
            <w:r>
              <w:rPr>
                <w:rStyle w:val="CharacterStyle12"/>
              </w:rPr>
              <w:t>11.500,00</w:t>
            </w:r>
          </w:p>
        </w:tc>
        <w:tc>
          <w:tcPr>
            <w:tcW w:w="1395" w:type="dxa"/>
            <w:tcBorders>
              <w:bottom w:val="single" w:sz="6" w:space="0" w:color="000000"/>
              <w:right w:val="single" w:sz="6" w:space="0" w:color="000000"/>
            </w:tcBorders>
            <w:vAlign w:val="center"/>
          </w:tcPr>
          <w:p w14:paraId="2A1D557A" w14:textId="77777777" w:rsidR="007D706A" w:rsidRDefault="007D706A" w:rsidP="00F70508">
            <w:pPr>
              <w:pStyle w:val="ParagraphStyle12"/>
              <w:rPr>
                <w:rStyle w:val="CharacterStyle12"/>
              </w:rPr>
            </w:pPr>
            <w:r>
              <w:rPr>
                <w:rStyle w:val="CharacterStyle12"/>
              </w:rPr>
              <w:t>11.500,00</w:t>
            </w:r>
          </w:p>
        </w:tc>
        <w:tc>
          <w:tcPr>
            <w:tcW w:w="1395" w:type="dxa"/>
            <w:tcBorders>
              <w:bottom w:val="single" w:sz="6" w:space="0" w:color="000000"/>
              <w:right w:val="single" w:sz="6" w:space="0" w:color="000000"/>
            </w:tcBorders>
            <w:vAlign w:val="center"/>
          </w:tcPr>
          <w:p w14:paraId="4264FEE3" w14:textId="77777777" w:rsidR="007D706A" w:rsidRDefault="007D706A" w:rsidP="00F70508">
            <w:pPr>
              <w:pStyle w:val="ParagraphStyle12"/>
              <w:rPr>
                <w:rStyle w:val="CharacterStyle12"/>
              </w:rPr>
            </w:pPr>
            <w:r>
              <w:rPr>
                <w:rStyle w:val="CharacterStyle12"/>
              </w:rPr>
              <w:t>11.500,00</w:t>
            </w:r>
          </w:p>
        </w:tc>
      </w:tr>
      <w:tr w:rsidR="007D706A" w14:paraId="39E3B09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562B94D"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576B77D8"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50E16E2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34B184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2EFDE73" w14:textId="77777777" w:rsidR="007D706A" w:rsidRDefault="007D706A" w:rsidP="00F70508">
            <w:pPr>
              <w:pStyle w:val="ParagraphStyle12"/>
              <w:rPr>
                <w:rStyle w:val="CharacterStyle12"/>
              </w:rPr>
            </w:pPr>
            <w:r>
              <w:rPr>
                <w:rStyle w:val="CharacterStyle12"/>
              </w:rPr>
              <w:t>11.500,00</w:t>
            </w:r>
          </w:p>
        </w:tc>
        <w:tc>
          <w:tcPr>
            <w:tcW w:w="1395" w:type="dxa"/>
            <w:tcBorders>
              <w:bottom w:val="single" w:sz="6" w:space="0" w:color="000000"/>
              <w:right w:val="single" w:sz="6" w:space="0" w:color="000000"/>
            </w:tcBorders>
            <w:vAlign w:val="center"/>
          </w:tcPr>
          <w:p w14:paraId="67359626" w14:textId="77777777" w:rsidR="007D706A" w:rsidRDefault="007D706A" w:rsidP="00F70508">
            <w:pPr>
              <w:pStyle w:val="ParagraphStyle12"/>
              <w:rPr>
                <w:rStyle w:val="CharacterStyle12"/>
              </w:rPr>
            </w:pPr>
            <w:r>
              <w:rPr>
                <w:rStyle w:val="CharacterStyle12"/>
              </w:rPr>
              <w:t>11.500,00</w:t>
            </w:r>
          </w:p>
        </w:tc>
        <w:tc>
          <w:tcPr>
            <w:tcW w:w="1395" w:type="dxa"/>
            <w:tcBorders>
              <w:bottom w:val="single" w:sz="6" w:space="0" w:color="000000"/>
              <w:right w:val="single" w:sz="6" w:space="0" w:color="000000"/>
            </w:tcBorders>
            <w:vAlign w:val="center"/>
          </w:tcPr>
          <w:p w14:paraId="0DCE2EBD" w14:textId="77777777" w:rsidR="007D706A" w:rsidRDefault="007D706A" w:rsidP="00F70508">
            <w:pPr>
              <w:pStyle w:val="ParagraphStyle12"/>
              <w:rPr>
                <w:rStyle w:val="CharacterStyle12"/>
              </w:rPr>
            </w:pPr>
            <w:r>
              <w:rPr>
                <w:rStyle w:val="CharacterStyle12"/>
              </w:rPr>
              <w:t>11.500,00</w:t>
            </w:r>
          </w:p>
        </w:tc>
      </w:tr>
      <w:tr w:rsidR="007D706A" w14:paraId="42B0A48D" w14:textId="77777777" w:rsidTr="00F70508">
        <w:trPr>
          <w:trHeight w:val="405"/>
        </w:trPr>
        <w:tc>
          <w:tcPr>
            <w:tcW w:w="2880" w:type="dxa"/>
            <w:tcBorders>
              <w:left w:val="single" w:sz="6" w:space="0" w:color="000000"/>
              <w:bottom w:val="single" w:sz="6" w:space="0" w:color="000000"/>
              <w:right w:val="single" w:sz="6" w:space="0" w:color="000000"/>
            </w:tcBorders>
            <w:vAlign w:val="center"/>
          </w:tcPr>
          <w:p w14:paraId="6EFAB04D" w14:textId="77777777" w:rsidR="007D706A" w:rsidRDefault="007D706A" w:rsidP="00F70508">
            <w:pPr>
              <w:pStyle w:val="ParagraphStyle4"/>
              <w:rPr>
                <w:rStyle w:val="CharacterStyle4"/>
              </w:rPr>
            </w:pPr>
            <w:r>
              <w:rPr>
                <w:rStyle w:val="CharacterStyle4"/>
              </w:rPr>
              <w:t>Tekući projekt T101908</w:t>
            </w:r>
          </w:p>
        </w:tc>
        <w:tc>
          <w:tcPr>
            <w:tcW w:w="4995" w:type="dxa"/>
            <w:tcBorders>
              <w:bottom w:val="single" w:sz="6" w:space="0" w:color="000000"/>
              <w:right w:val="single" w:sz="6" w:space="0" w:color="000000"/>
            </w:tcBorders>
            <w:vAlign w:val="center"/>
          </w:tcPr>
          <w:p w14:paraId="224A6832" w14:textId="77777777" w:rsidR="007D706A" w:rsidRDefault="007D706A" w:rsidP="00F70508">
            <w:pPr>
              <w:pStyle w:val="ParagraphStyle5"/>
              <w:rPr>
                <w:rStyle w:val="CharacterStyle5"/>
              </w:rPr>
            </w:pPr>
            <w:r>
              <w:rPr>
                <w:rStyle w:val="CharacterStyle5"/>
              </w:rPr>
              <w:t>IZVANREDNE USLUGE ZA POTREBE RADA UPRAVNOG ODJELA</w:t>
            </w:r>
          </w:p>
        </w:tc>
        <w:tc>
          <w:tcPr>
            <w:tcW w:w="1395" w:type="dxa"/>
            <w:tcBorders>
              <w:bottom w:val="single" w:sz="6" w:space="0" w:color="000000"/>
              <w:right w:val="single" w:sz="6" w:space="0" w:color="000000"/>
            </w:tcBorders>
            <w:vAlign w:val="center"/>
          </w:tcPr>
          <w:p w14:paraId="1B8C0123"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65144D51" w14:textId="77777777" w:rsidR="007D706A" w:rsidRDefault="007D706A" w:rsidP="00F70508">
            <w:pPr>
              <w:pStyle w:val="ParagraphStyle6"/>
              <w:rPr>
                <w:rStyle w:val="CharacterStyle6"/>
              </w:rPr>
            </w:pPr>
            <w:r>
              <w:rPr>
                <w:rStyle w:val="CharacterStyle6"/>
              </w:rPr>
              <w:t>1.720,00</w:t>
            </w:r>
          </w:p>
        </w:tc>
        <w:tc>
          <w:tcPr>
            <w:tcW w:w="1395" w:type="dxa"/>
            <w:tcBorders>
              <w:bottom w:val="single" w:sz="6" w:space="0" w:color="000000"/>
              <w:right w:val="single" w:sz="6" w:space="0" w:color="000000"/>
            </w:tcBorders>
            <w:vAlign w:val="center"/>
          </w:tcPr>
          <w:p w14:paraId="56E6FFB4" w14:textId="77777777" w:rsidR="007D706A" w:rsidRDefault="007D706A" w:rsidP="00F70508">
            <w:pPr>
              <w:pStyle w:val="ParagraphStyle6"/>
              <w:rPr>
                <w:rStyle w:val="CharacterStyle6"/>
              </w:rPr>
            </w:pPr>
            <w:r>
              <w:rPr>
                <w:rStyle w:val="CharacterStyle6"/>
              </w:rPr>
              <w:t>2.000,00</w:t>
            </w:r>
          </w:p>
        </w:tc>
        <w:tc>
          <w:tcPr>
            <w:tcW w:w="1395" w:type="dxa"/>
            <w:tcBorders>
              <w:bottom w:val="single" w:sz="6" w:space="0" w:color="000000"/>
              <w:right w:val="single" w:sz="6" w:space="0" w:color="000000"/>
            </w:tcBorders>
            <w:vAlign w:val="center"/>
          </w:tcPr>
          <w:p w14:paraId="76EC9014" w14:textId="77777777" w:rsidR="007D706A" w:rsidRDefault="007D706A" w:rsidP="00F70508">
            <w:pPr>
              <w:pStyle w:val="ParagraphStyle6"/>
              <w:rPr>
                <w:rStyle w:val="CharacterStyle6"/>
              </w:rPr>
            </w:pPr>
            <w:r>
              <w:rPr>
                <w:rStyle w:val="CharacterStyle6"/>
              </w:rPr>
              <w:t>2.000,00</w:t>
            </w:r>
          </w:p>
        </w:tc>
        <w:tc>
          <w:tcPr>
            <w:tcW w:w="1395" w:type="dxa"/>
            <w:tcBorders>
              <w:bottom w:val="single" w:sz="6" w:space="0" w:color="000000"/>
              <w:right w:val="single" w:sz="6" w:space="0" w:color="000000"/>
            </w:tcBorders>
            <w:vAlign w:val="center"/>
          </w:tcPr>
          <w:p w14:paraId="6C603A7C" w14:textId="77777777" w:rsidR="007D706A" w:rsidRDefault="007D706A" w:rsidP="00F70508">
            <w:pPr>
              <w:pStyle w:val="ParagraphStyle6"/>
              <w:rPr>
                <w:rStyle w:val="CharacterStyle6"/>
              </w:rPr>
            </w:pPr>
            <w:r>
              <w:rPr>
                <w:rStyle w:val="CharacterStyle6"/>
              </w:rPr>
              <w:t>2.000,00</w:t>
            </w:r>
          </w:p>
        </w:tc>
      </w:tr>
      <w:tr w:rsidR="007D706A" w14:paraId="2F814FE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DA598A8" w14:textId="77777777" w:rsidR="007D706A" w:rsidRDefault="007D706A" w:rsidP="00F70508">
            <w:pPr>
              <w:pStyle w:val="ParagraphStyle7"/>
              <w:rPr>
                <w:rStyle w:val="CharacterStyle7"/>
              </w:rPr>
            </w:pPr>
            <w:r>
              <w:rPr>
                <w:rStyle w:val="CharacterStyle7"/>
              </w:rPr>
              <w:lastRenderedPageBreak/>
              <w:t>Izvor financiranja 40</w:t>
            </w:r>
          </w:p>
        </w:tc>
        <w:tc>
          <w:tcPr>
            <w:tcW w:w="4995" w:type="dxa"/>
            <w:tcBorders>
              <w:bottom w:val="single" w:sz="6" w:space="0" w:color="000000"/>
              <w:right w:val="single" w:sz="6" w:space="0" w:color="000000"/>
            </w:tcBorders>
            <w:vAlign w:val="center"/>
          </w:tcPr>
          <w:p w14:paraId="24DE19EF" w14:textId="77777777" w:rsidR="007D706A" w:rsidRDefault="007D706A" w:rsidP="00F70508">
            <w:pPr>
              <w:pStyle w:val="ParagraphStyle8"/>
              <w:rPr>
                <w:rStyle w:val="CharacterStyle8"/>
              </w:rPr>
            </w:pPr>
            <w:r>
              <w:rPr>
                <w:rStyle w:val="CharacterStyle8"/>
              </w:rPr>
              <w:t>Prihodi od komunalne naknade i komunalnog doprinosa</w:t>
            </w:r>
          </w:p>
        </w:tc>
        <w:tc>
          <w:tcPr>
            <w:tcW w:w="1395" w:type="dxa"/>
            <w:tcBorders>
              <w:bottom w:val="single" w:sz="6" w:space="0" w:color="000000"/>
              <w:right w:val="single" w:sz="6" w:space="0" w:color="000000"/>
            </w:tcBorders>
            <w:vAlign w:val="center"/>
          </w:tcPr>
          <w:p w14:paraId="7795A270"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285A0DE"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B7939FF" w14:textId="77777777" w:rsidR="007D706A" w:rsidRDefault="007D706A" w:rsidP="00F70508">
            <w:pPr>
              <w:pStyle w:val="ParagraphStyle9"/>
              <w:rPr>
                <w:rStyle w:val="CharacterStyle9"/>
              </w:rPr>
            </w:pPr>
            <w:r>
              <w:rPr>
                <w:rStyle w:val="CharacterStyle9"/>
              </w:rPr>
              <w:t>2.000,00</w:t>
            </w:r>
          </w:p>
        </w:tc>
        <w:tc>
          <w:tcPr>
            <w:tcW w:w="1395" w:type="dxa"/>
            <w:tcBorders>
              <w:bottom w:val="single" w:sz="6" w:space="0" w:color="000000"/>
              <w:right w:val="single" w:sz="6" w:space="0" w:color="000000"/>
            </w:tcBorders>
            <w:vAlign w:val="center"/>
          </w:tcPr>
          <w:p w14:paraId="14B29AD8" w14:textId="77777777" w:rsidR="007D706A" w:rsidRDefault="007D706A" w:rsidP="00F70508">
            <w:pPr>
              <w:pStyle w:val="ParagraphStyle9"/>
              <w:rPr>
                <w:rStyle w:val="CharacterStyle9"/>
              </w:rPr>
            </w:pPr>
            <w:r>
              <w:rPr>
                <w:rStyle w:val="CharacterStyle9"/>
              </w:rPr>
              <w:t>2.000,00</w:t>
            </w:r>
          </w:p>
        </w:tc>
        <w:tc>
          <w:tcPr>
            <w:tcW w:w="1395" w:type="dxa"/>
            <w:tcBorders>
              <w:bottom w:val="single" w:sz="6" w:space="0" w:color="000000"/>
              <w:right w:val="single" w:sz="6" w:space="0" w:color="000000"/>
            </w:tcBorders>
            <w:vAlign w:val="center"/>
          </w:tcPr>
          <w:p w14:paraId="22EB1495" w14:textId="77777777" w:rsidR="007D706A" w:rsidRDefault="007D706A" w:rsidP="00F70508">
            <w:pPr>
              <w:pStyle w:val="ParagraphStyle9"/>
              <w:rPr>
                <w:rStyle w:val="CharacterStyle9"/>
              </w:rPr>
            </w:pPr>
            <w:r>
              <w:rPr>
                <w:rStyle w:val="CharacterStyle9"/>
              </w:rPr>
              <w:t>2.000,00</w:t>
            </w:r>
          </w:p>
        </w:tc>
      </w:tr>
      <w:tr w:rsidR="007D706A" w14:paraId="60B8436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EE2239D"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147CEC58"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1783A93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0FE594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8B3AD2B" w14:textId="77777777" w:rsidR="007D706A" w:rsidRDefault="007D706A" w:rsidP="00F70508">
            <w:pPr>
              <w:pStyle w:val="ParagraphStyle12"/>
              <w:rPr>
                <w:rStyle w:val="CharacterStyle12"/>
              </w:rPr>
            </w:pPr>
            <w:r>
              <w:rPr>
                <w:rStyle w:val="CharacterStyle12"/>
              </w:rPr>
              <w:t>2.000,00</w:t>
            </w:r>
          </w:p>
        </w:tc>
        <w:tc>
          <w:tcPr>
            <w:tcW w:w="1395" w:type="dxa"/>
            <w:tcBorders>
              <w:bottom w:val="single" w:sz="6" w:space="0" w:color="000000"/>
              <w:right w:val="single" w:sz="6" w:space="0" w:color="000000"/>
            </w:tcBorders>
            <w:vAlign w:val="center"/>
          </w:tcPr>
          <w:p w14:paraId="10072331" w14:textId="77777777" w:rsidR="007D706A" w:rsidRDefault="007D706A" w:rsidP="00F70508">
            <w:pPr>
              <w:pStyle w:val="ParagraphStyle12"/>
              <w:rPr>
                <w:rStyle w:val="CharacterStyle12"/>
              </w:rPr>
            </w:pPr>
            <w:r>
              <w:rPr>
                <w:rStyle w:val="CharacterStyle12"/>
              </w:rPr>
              <w:t>2.000,00</w:t>
            </w:r>
          </w:p>
        </w:tc>
        <w:tc>
          <w:tcPr>
            <w:tcW w:w="1395" w:type="dxa"/>
            <w:tcBorders>
              <w:bottom w:val="single" w:sz="6" w:space="0" w:color="000000"/>
              <w:right w:val="single" w:sz="6" w:space="0" w:color="000000"/>
            </w:tcBorders>
            <w:vAlign w:val="center"/>
          </w:tcPr>
          <w:p w14:paraId="7CDDB6BC" w14:textId="77777777" w:rsidR="007D706A" w:rsidRDefault="007D706A" w:rsidP="00F70508">
            <w:pPr>
              <w:pStyle w:val="ParagraphStyle12"/>
              <w:rPr>
                <w:rStyle w:val="CharacterStyle12"/>
              </w:rPr>
            </w:pPr>
            <w:r>
              <w:rPr>
                <w:rStyle w:val="CharacterStyle12"/>
              </w:rPr>
              <w:t>2.000,00</w:t>
            </w:r>
          </w:p>
        </w:tc>
      </w:tr>
      <w:tr w:rsidR="007D706A" w14:paraId="23752F8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7FDCE76"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7EE63FC2"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6228ECD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712B53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3BEF944" w14:textId="77777777" w:rsidR="007D706A" w:rsidRDefault="007D706A" w:rsidP="00F70508">
            <w:pPr>
              <w:pStyle w:val="ParagraphStyle12"/>
              <w:rPr>
                <w:rStyle w:val="CharacterStyle12"/>
              </w:rPr>
            </w:pPr>
            <w:r>
              <w:rPr>
                <w:rStyle w:val="CharacterStyle12"/>
              </w:rPr>
              <w:t>2.000,00</w:t>
            </w:r>
          </w:p>
        </w:tc>
        <w:tc>
          <w:tcPr>
            <w:tcW w:w="1395" w:type="dxa"/>
            <w:tcBorders>
              <w:bottom w:val="single" w:sz="6" w:space="0" w:color="000000"/>
              <w:right w:val="single" w:sz="6" w:space="0" w:color="000000"/>
            </w:tcBorders>
            <w:vAlign w:val="center"/>
          </w:tcPr>
          <w:p w14:paraId="506D69F6" w14:textId="77777777" w:rsidR="007D706A" w:rsidRDefault="007D706A" w:rsidP="00F70508">
            <w:pPr>
              <w:pStyle w:val="ParagraphStyle12"/>
              <w:rPr>
                <w:rStyle w:val="CharacterStyle12"/>
              </w:rPr>
            </w:pPr>
            <w:r>
              <w:rPr>
                <w:rStyle w:val="CharacterStyle12"/>
              </w:rPr>
              <w:t>2.000,00</w:t>
            </w:r>
          </w:p>
        </w:tc>
        <w:tc>
          <w:tcPr>
            <w:tcW w:w="1395" w:type="dxa"/>
            <w:tcBorders>
              <w:bottom w:val="single" w:sz="6" w:space="0" w:color="000000"/>
              <w:right w:val="single" w:sz="6" w:space="0" w:color="000000"/>
            </w:tcBorders>
            <w:vAlign w:val="center"/>
          </w:tcPr>
          <w:p w14:paraId="1086EE6B" w14:textId="77777777" w:rsidR="007D706A" w:rsidRDefault="007D706A" w:rsidP="00F70508">
            <w:pPr>
              <w:pStyle w:val="ParagraphStyle12"/>
              <w:rPr>
                <w:rStyle w:val="CharacterStyle12"/>
              </w:rPr>
            </w:pPr>
            <w:r>
              <w:rPr>
                <w:rStyle w:val="CharacterStyle12"/>
              </w:rPr>
              <w:t>2.000,00</w:t>
            </w:r>
          </w:p>
        </w:tc>
      </w:tr>
      <w:tr w:rsidR="007D706A" w14:paraId="47616A1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1AC16EB" w14:textId="77777777" w:rsidR="007D706A" w:rsidRDefault="007D706A" w:rsidP="00F70508">
            <w:pPr>
              <w:pStyle w:val="ParagraphStyle7"/>
              <w:rPr>
                <w:rStyle w:val="CharacterStyle7"/>
              </w:rPr>
            </w:pPr>
            <w:r>
              <w:rPr>
                <w:rStyle w:val="CharacterStyle7"/>
              </w:rPr>
              <w:t>Izvor financiranja 41</w:t>
            </w:r>
          </w:p>
        </w:tc>
        <w:tc>
          <w:tcPr>
            <w:tcW w:w="4995" w:type="dxa"/>
            <w:tcBorders>
              <w:bottom w:val="single" w:sz="6" w:space="0" w:color="000000"/>
              <w:right w:val="single" w:sz="6" w:space="0" w:color="000000"/>
            </w:tcBorders>
            <w:vAlign w:val="center"/>
          </w:tcPr>
          <w:p w14:paraId="21F811E9" w14:textId="77777777" w:rsidR="007D706A" w:rsidRDefault="007D706A" w:rsidP="00F70508">
            <w:pPr>
              <w:pStyle w:val="ParagraphStyle8"/>
              <w:rPr>
                <w:rStyle w:val="CharacterStyle8"/>
              </w:rPr>
            </w:pPr>
            <w:r>
              <w:rPr>
                <w:rStyle w:val="CharacterStyle8"/>
              </w:rPr>
              <w:t>Prihodi za posebne namjene</w:t>
            </w:r>
          </w:p>
        </w:tc>
        <w:tc>
          <w:tcPr>
            <w:tcW w:w="1395" w:type="dxa"/>
            <w:tcBorders>
              <w:bottom w:val="single" w:sz="6" w:space="0" w:color="000000"/>
              <w:right w:val="single" w:sz="6" w:space="0" w:color="000000"/>
            </w:tcBorders>
            <w:vAlign w:val="center"/>
          </w:tcPr>
          <w:p w14:paraId="44D3D7A2"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E044057" w14:textId="77777777" w:rsidR="007D706A" w:rsidRDefault="007D706A" w:rsidP="00F70508">
            <w:pPr>
              <w:pStyle w:val="ParagraphStyle9"/>
              <w:rPr>
                <w:rStyle w:val="CharacterStyle9"/>
              </w:rPr>
            </w:pPr>
            <w:r>
              <w:rPr>
                <w:rStyle w:val="CharacterStyle9"/>
              </w:rPr>
              <w:t>1.720,00</w:t>
            </w:r>
          </w:p>
        </w:tc>
        <w:tc>
          <w:tcPr>
            <w:tcW w:w="1395" w:type="dxa"/>
            <w:tcBorders>
              <w:bottom w:val="single" w:sz="6" w:space="0" w:color="000000"/>
              <w:right w:val="single" w:sz="6" w:space="0" w:color="000000"/>
            </w:tcBorders>
            <w:vAlign w:val="center"/>
          </w:tcPr>
          <w:p w14:paraId="5424FEF4"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A55BD12"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6431AA1" w14:textId="77777777" w:rsidR="007D706A" w:rsidRDefault="007D706A" w:rsidP="00F70508">
            <w:pPr>
              <w:pStyle w:val="ParagraphStyle9"/>
              <w:rPr>
                <w:rStyle w:val="CharacterStyle9"/>
              </w:rPr>
            </w:pPr>
            <w:r>
              <w:rPr>
                <w:rStyle w:val="CharacterStyle9"/>
              </w:rPr>
              <w:t>0,00</w:t>
            </w:r>
          </w:p>
        </w:tc>
      </w:tr>
      <w:tr w:rsidR="007D706A" w14:paraId="486E1A3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F2F6810"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58B8361B"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2E00933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71D2E13" w14:textId="77777777" w:rsidR="007D706A" w:rsidRDefault="007D706A" w:rsidP="00F70508">
            <w:pPr>
              <w:pStyle w:val="ParagraphStyle12"/>
              <w:rPr>
                <w:rStyle w:val="CharacterStyle12"/>
              </w:rPr>
            </w:pPr>
            <w:r>
              <w:rPr>
                <w:rStyle w:val="CharacterStyle12"/>
              </w:rPr>
              <w:t>1.720,00</w:t>
            </w:r>
          </w:p>
        </w:tc>
        <w:tc>
          <w:tcPr>
            <w:tcW w:w="1395" w:type="dxa"/>
            <w:tcBorders>
              <w:bottom w:val="single" w:sz="6" w:space="0" w:color="000000"/>
              <w:right w:val="single" w:sz="6" w:space="0" w:color="000000"/>
            </w:tcBorders>
            <w:vAlign w:val="center"/>
          </w:tcPr>
          <w:p w14:paraId="657D817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ADCA80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E268FFA" w14:textId="77777777" w:rsidR="007D706A" w:rsidRDefault="007D706A" w:rsidP="00F70508">
            <w:pPr>
              <w:pStyle w:val="ParagraphStyle12"/>
              <w:rPr>
                <w:rStyle w:val="CharacterStyle12"/>
              </w:rPr>
            </w:pPr>
            <w:r>
              <w:rPr>
                <w:rStyle w:val="CharacterStyle12"/>
              </w:rPr>
              <w:t>0,00</w:t>
            </w:r>
          </w:p>
        </w:tc>
      </w:tr>
      <w:tr w:rsidR="007D706A" w14:paraId="556D8DC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2F0E395"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2E57B408"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75A255C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FC14F9D" w14:textId="77777777" w:rsidR="007D706A" w:rsidRDefault="007D706A" w:rsidP="00F70508">
            <w:pPr>
              <w:pStyle w:val="ParagraphStyle12"/>
              <w:rPr>
                <w:rStyle w:val="CharacterStyle12"/>
              </w:rPr>
            </w:pPr>
            <w:r>
              <w:rPr>
                <w:rStyle w:val="CharacterStyle12"/>
              </w:rPr>
              <w:t>1.720,00</w:t>
            </w:r>
          </w:p>
        </w:tc>
        <w:tc>
          <w:tcPr>
            <w:tcW w:w="1395" w:type="dxa"/>
            <w:tcBorders>
              <w:bottom w:val="single" w:sz="6" w:space="0" w:color="000000"/>
              <w:right w:val="single" w:sz="6" w:space="0" w:color="000000"/>
            </w:tcBorders>
            <w:vAlign w:val="center"/>
          </w:tcPr>
          <w:p w14:paraId="66182D5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8909E2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F100A71" w14:textId="77777777" w:rsidR="007D706A" w:rsidRDefault="007D706A" w:rsidP="00F70508">
            <w:pPr>
              <w:pStyle w:val="ParagraphStyle12"/>
              <w:rPr>
                <w:rStyle w:val="CharacterStyle12"/>
              </w:rPr>
            </w:pPr>
            <w:r>
              <w:rPr>
                <w:rStyle w:val="CharacterStyle12"/>
              </w:rPr>
              <w:t>0,00</w:t>
            </w:r>
          </w:p>
        </w:tc>
      </w:tr>
      <w:tr w:rsidR="007D706A" w14:paraId="63795899" w14:textId="77777777" w:rsidTr="00F70508">
        <w:trPr>
          <w:trHeight w:val="420"/>
        </w:trPr>
        <w:tc>
          <w:tcPr>
            <w:tcW w:w="2880" w:type="dxa"/>
            <w:tcBorders>
              <w:left w:val="single" w:sz="6" w:space="0" w:color="000000"/>
              <w:bottom w:val="single" w:sz="6" w:space="0" w:color="000000"/>
              <w:right w:val="single" w:sz="6" w:space="0" w:color="000000"/>
            </w:tcBorders>
            <w:vAlign w:val="center"/>
          </w:tcPr>
          <w:p w14:paraId="66E6024F" w14:textId="77777777" w:rsidR="007D706A" w:rsidRDefault="007D706A" w:rsidP="00F70508">
            <w:pPr>
              <w:pStyle w:val="ParagraphStyle4"/>
              <w:rPr>
                <w:rStyle w:val="CharacterStyle4"/>
              </w:rPr>
            </w:pPr>
            <w:r>
              <w:rPr>
                <w:rStyle w:val="CharacterStyle4"/>
              </w:rPr>
              <w:t>Tekući projekt T101909</w:t>
            </w:r>
          </w:p>
        </w:tc>
        <w:tc>
          <w:tcPr>
            <w:tcW w:w="4995" w:type="dxa"/>
            <w:tcBorders>
              <w:bottom w:val="single" w:sz="6" w:space="0" w:color="000000"/>
              <w:right w:val="single" w:sz="6" w:space="0" w:color="000000"/>
            </w:tcBorders>
            <w:vAlign w:val="center"/>
          </w:tcPr>
          <w:p w14:paraId="20F36ED0" w14:textId="77777777" w:rsidR="007D706A" w:rsidRDefault="007D706A" w:rsidP="00F70508">
            <w:pPr>
              <w:pStyle w:val="ParagraphStyle5"/>
              <w:rPr>
                <w:rStyle w:val="CharacterStyle5"/>
              </w:rPr>
            </w:pPr>
            <w:r>
              <w:rPr>
                <w:rStyle w:val="CharacterStyle5"/>
              </w:rPr>
              <w:t>UČEŠĆE U TROŠKOVIMA SAKUPLJANJA I ODVOZA OTPADA - PO POSEBNIM ODLUKAMA</w:t>
            </w:r>
          </w:p>
        </w:tc>
        <w:tc>
          <w:tcPr>
            <w:tcW w:w="1395" w:type="dxa"/>
            <w:tcBorders>
              <w:bottom w:val="single" w:sz="6" w:space="0" w:color="000000"/>
              <w:right w:val="single" w:sz="6" w:space="0" w:color="000000"/>
            </w:tcBorders>
            <w:vAlign w:val="center"/>
          </w:tcPr>
          <w:p w14:paraId="35EEDA6F"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273EA8FF"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29E5FBDB" w14:textId="77777777" w:rsidR="007D706A" w:rsidRDefault="007D706A" w:rsidP="00F70508">
            <w:pPr>
              <w:pStyle w:val="ParagraphStyle6"/>
              <w:rPr>
                <w:rStyle w:val="CharacterStyle6"/>
              </w:rPr>
            </w:pPr>
            <w:r>
              <w:rPr>
                <w:rStyle w:val="CharacterStyle6"/>
              </w:rPr>
              <w:t>1.950,00</w:t>
            </w:r>
          </w:p>
        </w:tc>
        <w:tc>
          <w:tcPr>
            <w:tcW w:w="1395" w:type="dxa"/>
            <w:tcBorders>
              <w:bottom w:val="single" w:sz="6" w:space="0" w:color="000000"/>
              <w:right w:val="single" w:sz="6" w:space="0" w:color="000000"/>
            </w:tcBorders>
            <w:vAlign w:val="center"/>
          </w:tcPr>
          <w:p w14:paraId="76FBC364"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3383D46E" w14:textId="77777777" w:rsidR="007D706A" w:rsidRDefault="007D706A" w:rsidP="00F70508">
            <w:pPr>
              <w:pStyle w:val="ParagraphStyle6"/>
              <w:rPr>
                <w:rStyle w:val="CharacterStyle6"/>
              </w:rPr>
            </w:pPr>
            <w:r>
              <w:rPr>
                <w:rStyle w:val="CharacterStyle6"/>
              </w:rPr>
              <w:t>0,00</w:t>
            </w:r>
          </w:p>
        </w:tc>
      </w:tr>
      <w:tr w:rsidR="007D706A" w14:paraId="05D057C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148E137"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23F4C995"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00E6215D"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79AA429"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298754A" w14:textId="77777777" w:rsidR="007D706A" w:rsidRDefault="007D706A" w:rsidP="00F70508">
            <w:pPr>
              <w:pStyle w:val="ParagraphStyle9"/>
              <w:rPr>
                <w:rStyle w:val="CharacterStyle9"/>
              </w:rPr>
            </w:pPr>
            <w:r>
              <w:rPr>
                <w:rStyle w:val="CharacterStyle9"/>
              </w:rPr>
              <w:t>1.950,00</w:t>
            </w:r>
          </w:p>
        </w:tc>
        <w:tc>
          <w:tcPr>
            <w:tcW w:w="1395" w:type="dxa"/>
            <w:tcBorders>
              <w:bottom w:val="single" w:sz="6" w:space="0" w:color="000000"/>
              <w:right w:val="single" w:sz="6" w:space="0" w:color="000000"/>
            </w:tcBorders>
            <w:vAlign w:val="center"/>
          </w:tcPr>
          <w:p w14:paraId="4DD8664B"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1D93B9B" w14:textId="77777777" w:rsidR="007D706A" w:rsidRDefault="007D706A" w:rsidP="00F70508">
            <w:pPr>
              <w:pStyle w:val="ParagraphStyle9"/>
              <w:rPr>
                <w:rStyle w:val="CharacterStyle9"/>
              </w:rPr>
            </w:pPr>
            <w:r>
              <w:rPr>
                <w:rStyle w:val="CharacterStyle9"/>
              </w:rPr>
              <w:t>0,00</w:t>
            </w:r>
          </w:p>
        </w:tc>
      </w:tr>
      <w:tr w:rsidR="007D706A" w14:paraId="2B62DDD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4C3C55C"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05772C03"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47E0324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EF51B4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C2365C8" w14:textId="77777777" w:rsidR="007D706A" w:rsidRDefault="007D706A" w:rsidP="00F70508">
            <w:pPr>
              <w:pStyle w:val="ParagraphStyle12"/>
              <w:rPr>
                <w:rStyle w:val="CharacterStyle12"/>
              </w:rPr>
            </w:pPr>
            <w:r>
              <w:rPr>
                <w:rStyle w:val="CharacterStyle12"/>
              </w:rPr>
              <w:t>1.950,00</w:t>
            </w:r>
          </w:p>
        </w:tc>
        <w:tc>
          <w:tcPr>
            <w:tcW w:w="1395" w:type="dxa"/>
            <w:tcBorders>
              <w:bottom w:val="single" w:sz="6" w:space="0" w:color="000000"/>
              <w:right w:val="single" w:sz="6" w:space="0" w:color="000000"/>
            </w:tcBorders>
            <w:vAlign w:val="center"/>
          </w:tcPr>
          <w:p w14:paraId="1504632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45BA8AD" w14:textId="77777777" w:rsidR="007D706A" w:rsidRDefault="007D706A" w:rsidP="00F70508">
            <w:pPr>
              <w:pStyle w:val="ParagraphStyle12"/>
              <w:rPr>
                <w:rStyle w:val="CharacterStyle12"/>
              </w:rPr>
            </w:pPr>
            <w:r>
              <w:rPr>
                <w:rStyle w:val="CharacterStyle12"/>
              </w:rPr>
              <w:t>0,00</w:t>
            </w:r>
          </w:p>
        </w:tc>
      </w:tr>
      <w:tr w:rsidR="007D706A" w14:paraId="6E94C298" w14:textId="77777777" w:rsidTr="00F70508">
        <w:trPr>
          <w:trHeight w:val="405"/>
        </w:trPr>
        <w:tc>
          <w:tcPr>
            <w:tcW w:w="2880" w:type="dxa"/>
            <w:tcBorders>
              <w:left w:val="single" w:sz="6" w:space="0" w:color="000000"/>
              <w:bottom w:val="single" w:sz="6" w:space="0" w:color="000000"/>
              <w:right w:val="single" w:sz="6" w:space="0" w:color="000000"/>
            </w:tcBorders>
            <w:vAlign w:val="center"/>
          </w:tcPr>
          <w:p w14:paraId="0AE4AD7D" w14:textId="77777777" w:rsidR="007D706A" w:rsidRDefault="007D706A" w:rsidP="00F70508">
            <w:pPr>
              <w:pStyle w:val="ParagraphStyle10"/>
              <w:rPr>
                <w:rStyle w:val="CharacterStyle10"/>
              </w:rPr>
            </w:pPr>
            <w:r>
              <w:rPr>
                <w:rStyle w:val="CharacterStyle10"/>
              </w:rPr>
              <w:t>37</w:t>
            </w:r>
          </w:p>
        </w:tc>
        <w:tc>
          <w:tcPr>
            <w:tcW w:w="4995" w:type="dxa"/>
            <w:tcBorders>
              <w:bottom w:val="single" w:sz="6" w:space="0" w:color="000000"/>
              <w:right w:val="single" w:sz="6" w:space="0" w:color="000000"/>
            </w:tcBorders>
            <w:vAlign w:val="center"/>
          </w:tcPr>
          <w:p w14:paraId="01E052FB" w14:textId="77777777" w:rsidR="007D706A" w:rsidRDefault="007D706A" w:rsidP="00F70508">
            <w:pPr>
              <w:pStyle w:val="ParagraphStyle11"/>
              <w:rPr>
                <w:rStyle w:val="CharacterStyle11"/>
              </w:rPr>
            </w:pPr>
            <w:r>
              <w:rPr>
                <w:rStyle w:val="CharacterStyle11"/>
              </w:rPr>
              <w:t>Naknade građanima i kućanstvima na temelju osiguranja i druge naknade</w:t>
            </w:r>
          </w:p>
        </w:tc>
        <w:tc>
          <w:tcPr>
            <w:tcW w:w="1395" w:type="dxa"/>
            <w:tcBorders>
              <w:bottom w:val="single" w:sz="6" w:space="0" w:color="000000"/>
              <w:right w:val="single" w:sz="6" w:space="0" w:color="000000"/>
            </w:tcBorders>
            <w:vAlign w:val="center"/>
          </w:tcPr>
          <w:p w14:paraId="15DC0E0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611CCE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3EF700B" w14:textId="77777777" w:rsidR="007D706A" w:rsidRDefault="007D706A" w:rsidP="00F70508">
            <w:pPr>
              <w:pStyle w:val="ParagraphStyle12"/>
              <w:rPr>
                <w:rStyle w:val="CharacterStyle12"/>
              </w:rPr>
            </w:pPr>
            <w:r>
              <w:rPr>
                <w:rStyle w:val="CharacterStyle12"/>
              </w:rPr>
              <w:t>1.950,00</w:t>
            </w:r>
          </w:p>
        </w:tc>
        <w:tc>
          <w:tcPr>
            <w:tcW w:w="1395" w:type="dxa"/>
            <w:tcBorders>
              <w:bottom w:val="single" w:sz="6" w:space="0" w:color="000000"/>
              <w:right w:val="single" w:sz="6" w:space="0" w:color="000000"/>
            </w:tcBorders>
            <w:vAlign w:val="center"/>
          </w:tcPr>
          <w:p w14:paraId="73AA4EE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7A2E0BE" w14:textId="77777777" w:rsidR="007D706A" w:rsidRDefault="007D706A" w:rsidP="00F70508">
            <w:pPr>
              <w:pStyle w:val="ParagraphStyle12"/>
              <w:rPr>
                <w:rStyle w:val="CharacterStyle12"/>
              </w:rPr>
            </w:pPr>
            <w:r>
              <w:rPr>
                <w:rStyle w:val="CharacterStyle12"/>
              </w:rPr>
              <w:t>0,00</w:t>
            </w:r>
          </w:p>
        </w:tc>
      </w:tr>
      <w:tr w:rsidR="007D706A" w14:paraId="5E833AF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BFA3ECC" w14:textId="77777777" w:rsidR="007D706A" w:rsidRDefault="007D706A" w:rsidP="00F70508">
            <w:pPr>
              <w:pStyle w:val="ParagraphStyle4"/>
              <w:rPr>
                <w:rStyle w:val="CharacterStyle4"/>
              </w:rPr>
            </w:pPr>
            <w:r>
              <w:rPr>
                <w:rStyle w:val="CharacterStyle4"/>
              </w:rPr>
              <w:t>PROGRAM    1020</w:t>
            </w:r>
          </w:p>
        </w:tc>
        <w:tc>
          <w:tcPr>
            <w:tcW w:w="4995" w:type="dxa"/>
            <w:tcBorders>
              <w:bottom w:val="single" w:sz="6" w:space="0" w:color="000000"/>
              <w:right w:val="single" w:sz="6" w:space="0" w:color="000000"/>
            </w:tcBorders>
            <w:vAlign w:val="center"/>
          </w:tcPr>
          <w:p w14:paraId="2A48026F" w14:textId="77777777" w:rsidR="007D706A" w:rsidRDefault="007D706A" w:rsidP="00F70508">
            <w:pPr>
              <w:pStyle w:val="ParagraphStyle5"/>
              <w:rPr>
                <w:rStyle w:val="CharacterStyle5"/>
              </w:rPr>
            </w:pPr>
            <w:r>
              <w:rPr>
                <w:rStyle w:val="CharacterStyle5"/>
              </w:rPr>
              <w:t>JAVNA RASVJETA</w:t>
            </w:r>
          </w:p>
        </w:tc>
        <w:tc>
          <w:tcPr>
            <w:tcW w:w="1395" w:type="dxa"/>
            <w:tcBorders>
              <w:bottom w:val="single" w:sz="6" w:space="0" w:color="000000"/>
              <w:right w:val="single" w:sz="6" w:space="0" w:color="000000"/>
            </w:tcBorders>
            <w:vAlign w:val="center"/>
          </w:tcPr>
          <w:p w14:paraId="27922C80"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2DC1EB9D" w14:textId="77777777" w:rsidR="007D706A" w:rsidRDefault="007D706A" w:rsidP="00F70508">
            <w:pPr>
              <w:pStyle w:val="ParagraphStyle6"/>
              <w:rPr>
                <w:rStyle w:val="CharacterStyle6"/>
              </w:rPr>
            </w:pPr>
            <w:r>
              <w:rPr>
                <w:rStyle w:val="CharacterStyle6"/>
              </w:rPr>
              <w:t>414.065,00</w:t>
            </w:r>
          </w:p>
        </w:tc>
        <w:tc>
          <w:tcPr>
            <w:tcW w:w="1395" w:type="dxa"/>
            <w:tcBorders>
              <w:bottom w:val="single" w:sz="6" w:space="0" w:color="000000"/>
              <w:right w:val="single" w:sz="6" w:space="0" w:color="000000"/>
            </w:tcBorders>
            <w:vAlign w:val="center"/>
          </w:tcPr>
          <w:p w14:paraId="0378B9F5" w14:textId="77777777" w:rsidR="007D706A" w:rsidRDefault="007D706A" w:rsidP="00F70508">
            <w:pPr>
              <w:pStyle w:val="ParagraphStyle6"/>
              <w:rPr>
                <w:rStyle w:val="CharacterStyle6"/>
              </w:rPr>
            </w:pPr>
            <w:r>
              <w:rPr>
                <w:rStyle w:val="CharacterStyle6"/>
              </w:rPr>
              <w:t>435.800,00</w:t>
            </w:r>
          </w:p>
        </w:tc>
        <w:tc>
          <w:tcPr>
            <w:tcW w:w="1395" w:type="dxa"/>
            <w:tcBorders>
              <w:bottom w:val="single" w:sz="6" w:space="0" w:color="000000"/>
              <w:right w:val="single" w:sz="6" w:space="0" w:color="000000"/>
            </w:tcBorders>
            <w:vAlign w:val="center"/>
          </w:tcPr>
          <w:p w14:paraId="4982B043" w14:textId="77777777" w:rsidR="007D706A" w:rsidRDefault="007D706A" w:rsidP="00F70508">
            <w:pPr>
              <w:pStyle w:val="ParagraphStyle6"/>
              <w:rPr>
                <w:rStyle w:val="CharacterStyle6"/>
              </w:rPr>
            </w:pPr>
            <w:r>
              <w:rPr>
                <w:rStyle w:val="CharacterStyle6"/>
              </w:rPr>
              <w:t>435.800,00</w:t>
            </w:r>
          </w:p>
        </w:tc>
        <w:tc>
          <w:tcPr>
            <w:tcW w:w="1395" w:type="dxa"/>
            <w:tcBorders>
              <w:bottom w:val="single" w:sz="6" w:space="0" w:color="000000"/>
              <w:right w:val="single" w:sz="6" w:space="0" w:color="000000"/>
            </w:tcBorders>
            <w:vAlign w:val="center"/>
          </w:tcPr>
          <w:p w14:paraId="35B0E663" w14:textId="77777777" w:rsidR="007D706A" w:rsidRDefault="007D706A" w:rsidP="00F70508">
            <w:pPr>
              <w:pStyle w:val="ParagraphStyle6"/>
              <w:rPr>
                <w:rStyle w:val="CharacterStyle6"/>
              </w:rPr>
            </w:pPr>
            <w:r>
              <w:rPr>
                <w:rStyle w:val="CharacterStyle6"/>
              </w:rPr>
              <w:t>435.800,00</w:t>
            </w:r>
          </w:p>
        </w:tc>
      </w:tr>
      <w:tr w:rsidR="007D706A" w14:paraId="33F4999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B799E6B" w14:textId="77777777" w:rsidR="007D706A" w:rsidRDefault="007D706A" w:rsidP="00F70508">
            <w:pPr>
              <w:pStyle w:val="ParagraphStyle4"/>
              <w:rPr>
                <w:rStyle w:val="CharacterStyle4"/>
              </w:rPr>
            </w:pPr>
            <w:r>
              <w:rPr>
                <w:rStyle w:val="CharacterStyle4"/>
              </w:rPr>
              <w:t>Aktivnost A102004</w:t>
            </w:r>
          </w:p>
        </w:tc>
        <w:tc>
          <w:tcPr>
            <w:tcW w:w="4995" w:type="dxa"/>
            <w:tcBorders>
              <w:bottom w:val="single" w:sz="6" w:space="0" w:color="000000"/>
              <w:right w:val="single" w:sz="6" w:space="0" w:color="000000"/>
            </w:tcBorders>
            <w:vAlign w:val="center"/>
          </w:tcPr>
          <w:p w14:paraId="33BF71C6" w14:textId="77777777" w:rsidR="007D706A" w:rsidRDefault="007D706A" w:rsidP="00F70508">
            <w:pPr>
              <w:pStyle w:val="ParagraphStyle5"/>
              <w:rPr>
                <w:rStyle w:val="CharacterStyle5"/>
              </w:rPr>
            </w:pPr>
            <w:r>
              <w:rPr>
                <w:rStyle w:val="CharacterStyle5"/>
              </w:rPr>
              <w:t>DEKORATIVNA JAVNA RASVJETA</w:t>
            </w:r>
          </w:p>
        </w:tc>
        <w:tc>
          <w:tcPr>
            <w:tcW w:w="1395" w:type="dxa"/>
            <w:tcBorders>
              <w:bottom w:val="single" w:sz="6" w:space="0" w:color="000000"/>
              <w:right w:val="single" w:sz="6" w:space="0" w:color="000000"/>
            </w:tcBorders>
            <w:vAlign w:val="center"/>
          </w:tcPr>
          <w:p w14:paraId="527C78FE"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0C3A8DBB" w14:textId="77777777" w:rsidR="007D706A" w:rsidRDefault="007D706A" w:rsidP="00F70508">
            <w:pPr>
              <w:pStyle w:val="ParagraphStyle6"/>
              <w:rPr>
                <w:rStyle w:val="CharacterStyle6"/>
              </w:rPr>
            </w:pPr>
            <w:r>
              <w:rPr>
                <w:rStyle w:val="CharacterStyle6"/>
              </w:rPr>
              <w:t>40.250,00</w:t>
            </w:r>
          </w:p>
        </w:tc>
        <w:tc>
          <w:tcPr>
            <w:tcW w:w="1395" w:type="dxa"/>
            <w:tcBorders>
              <w:bottom w:val="single" w:sz="6" w:space="0" w:color="000000"/>
              <w:right w:val="single" w:sz="6" w:space="0" w:color="000000"/>
            </w:tcBorders>
            <w:vAlign w:val="center"/>
          </w:tcPr>
          <w:p w14:paraId="3D5BF029" w14:textId="77777777" w:rsidR="007D706A" w:rsidRDefault="007D706A" w:rsidP="00F70508">
            <w:pPr>
              <w:pStyle w:val="ParagraphStyle6"/>
              <w:rPr>
                <w:rStyle w:val="CharacterStyle6"/>
              </w:rPr>
            </w:pPr>
            <w:r>
              <w:rPr>
                <w:rStyle w:val="CharacterStyle6"/>
              </w:rPr>
              <w:t>40.250,00</w:t>
            </w:r>
          </w:p>
        </w:tc>
        <w:tc>
          <w:tcPr>
            <w:tcW w:w="1395" w:type="dxa"/>
            <w:tcBorders>
              <w:bottom w:val="single" w:sz="6" w:space="0" w:color="000000"/>
              <w:right w:val="single" w:sz="6" w:space="0" w:color="000000"/>
            </w:tcBorders>
            <w:vAlign w:val="center"/>
          </w:tcPr>
          <w:p w14:paraId="0B193BB3" w14:textId="77777777" w:rsidR="007D706A" w:rsidRDefault="007D706A" w:rsidP="00F70508">
            <w:pPr>
              <w:pStyle w:val="ParagraphStyle6"/>
              <w:rPr>
                <w:rStyle w:val="CharacterStyle6"/>
              </w:rPr>
            </w:pPr>
            <w:r>
              <w:rPr>
                <w:rStyle w:val="CharacterStyle6"/>
              </w:rPr>
              <w:t>40.250,00</w:t>
            </w:r>
          </w:p>
        </w:tc>
        <w:tc>
          <w:tcPr>
            <w:tcW w:w="1395" w:type="dxa"/>
            <w:tcBorders>
              <w:bottom w:val="single" w:sz="6" w:space="0" w:color="000000"/>
              <w:right w:val="single" w:sz="6" w:space="0" w:color="000000"/>
            </w:tcBorders>
            <w:vAlign w:val="center"/>
          </w:tcPr>
          <w:p w14:paraId="6213FD98" w14:textId="77777777" w:rsidR="007D706A" w:rsidRDefault="007D706A" w:rsidP="00F70508">
            <w:pPr>
              <w:pStyle w:val="ParagraphStyle6"/>
              <w:rPr>
                <w:rStyle w:val="CharacterStyle6"/>
              </w:rPr>
            </w:pPr>
            <w:r>
              <w:rPr>
                <w:rStyle w:val="CharacterStyle6"/>
              </w:rPr>
              <w:t>40.250,00</w:t>
            </w:r>
          </w:p>
        </w:tc>
      </w:tr>
      <w:tr w:rsidR="007D706A" w14:paraId="60ED79E6"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9B4385A" w14:textId="77777777" w:rsidR="007D706A" w:rsidRDefault="007D706A" w:rsidP="00F70508">
            <w:pPr>
              <w:pStyle w:val="ParagraphStyle7"/>
              <w:rPr>
                <w:rStyle w:val="CharacterStyle7"/>
              </w:rPr>
            </w:pPr>
            <w:r>
              <w:rPr>
                <w:rStyle w:val="CharacterStyle7"/>
              </w:rPr>
              <w:t>Izvor financiranja 40</w:t>
            </w:r>
          </w:p>
        </w:tc>
        <w:tc>
          <w:tcPr>
            <w:tcW w:w="4995" w:type="dxa"/>
            <w:tcBorders>
              <w:bottom w:val="single" w:sz="6" w:space="0" w:color="000000"/>
              <w:right w:val="single" w:sz="6" w:space="0" w:color="000000"/>
            </w:tcBorders>
            <w:vAlign w:val="center"/>
          </w:tcPr>
          <w:p w14:paraId="21E2A505" w14:textId="77777777" w:rsidR="007D706A" w:rsidRDefault="007D706A" w:rsidP="00F70508">
            <w:pPr>
              <w:pStyle w:val="ParagraphStyle8"/>
              <w:rPr>
                <w:rStyle w:val="CharacterStyle8"/>
              </w:rPr>
            </w:pPr>
            <w:r>
              <w:rPr>
                <w:rStyle w:val="CharacterStyle8"/>
              </w:rPr>
              <w:t>Prihodi od komunalne naknade i komunalnog doprinosa</w:t>
            </w:r>
          </w:p>
        </w:tc>
        <w:tc>
          <w:tcPr>
            <w:tcW w:w="1395" w:type="dxa"/>
            <w:tcBorders>
              <w:bottom w:val="single" w:sz="6" w:space="0" w:color="000000"/>
              <w:right w:val="single" w:sz="6" w:space="0" w:color="000000"/>
            </w:tcBorders>
            <w:vAlign w:val="center"/>
          </w:tcPr>
          <w:p w14:paraId="0EE17FDE"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BF33353"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C04E286" w14:textId="77777777" w:rsidR="007D706A" w:rsidRDefault="007D706A" w:rsidP="00F70508">
            <w:pPr>
              <w:pStyle w:val="ParagraphStyle9"/>
              <w:rPr>
                <w:rStyle w:val="CharacterStyle9"/>
              </w:rPr>
            </w:pPr>
            <w:r>
              <w:rPr>
                <w:rStyle w:val="CharacterStyle9"/>
              </w:rPr>
              <w:t>40.250,00</w:t>
            </w:r>
          </w:p>
        </w:tc>
        <w:tc>
          <w:tcPr>
            <w:tcW w:w="1395" w:type="dxa"/>
            <w:tcBorders>
              <w:bottom w:val="single" w:sz="6" w:space="0" w:color="000000"/>
              <w:right w:val="single" w:sz="6" w:space="0" w:color="000000"/>
            </w:tcBorders>
            <w:vAlign w:val="center"/>
          </w:tcPr>
          <w:p w14:paraId="227313C3" w14:textId="77777777" w:rsidR="007D706A" w:rsidRDefault="007D706A" w:rsidP="00F70508">
            <w:pPr>
              <w:pStyle w:val="ParagraphStyle9"/>
              <w:rPr>
                <w:rStyle w:val="CharacterStyle9"/>
              </w:rPr>
            </w:pPr>
            <w:r>
              <w:rPr>
                <w:rStyle w:val="CharacterStyle9"/>
              </w:rPr>
              <w:t>40.250,00</w:t>
            </w:r>
          </w:p>
        </w:tc>
        <w:tc>
          <w:tcPr>
            <w:tcW w:w="1395" w:type="dxa"/>
            <w:tcBorders>
              <w:bottom w:val="single" w:sz="6" w:space="0" w:color="000000"/>
              <w:right w:val="single" w:sz="6" w:space="0" w:color="000000"/>
            </w:tcBorders>
            <w:vAlign w:val="center"/>
          </w:tcPr>
          <w:p w14:paraId="33C9D497" w14:textId="77777777" w:rsidR="007D706A" w:rsidRDefault="007D706A" w:rsidP="00F70508">
            <w:pPr>
              <w:pStyle w:val="ParagraphStyle9"/>
              <w:rPr>
                <w:rStyle w:val="CharacterStyle9"/>
              </w:rPr>
            </w:pPr>
            <w:r>
              <w:rPr>
                <w:rStyle w:val="CharacterStyle9"/>
              </w:rPr>
              <w:t>40.250,00</w:t>
            </w:r>
          </w:p>
        </w:tc>
      </w:tr>
      <w:tr w:rsidR="007D706A" w14:paraId="48F62F4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16A4C9E"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3609F7A1"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376DB81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73C846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7B03DC8" w14:textId="77777777" w:rsidR="007D706A" w:rsidRDefault="007D706A" w:rsidP="00F70508">
            <w:pPr>
              <w:pStyle w:val="ParagraphStyle12"/>
              <w:rPr>
                <w:rStyle w:val="CharacterStyle12"/>
              </w:rPr>
            </w:pPr>
            <w:r>
              <w:rPr>
                <w:rStyle w:val="CharacterStyle12"/>
              </w:rPr>
              <w:t>40.250,00</w:t>
            </w:r>
          </w:p>
        </w:tc>
        <w:tc>
          <w:tcPr>
            <w:tcW w:w="1395" w:type="dxa"/>
            <w:tcBorders>
              <w:bottom w:val="single" w:sz="6" w:space="0" w:color="000000"/>
              <w:right w:val="single" w:sz="6" w:space="0" w:color="000000"/>
            </w:tcBorders>
            <w:vAlign w:val="center"/>
          </w:tcPr>
          <w:p w14:paraId="7F3EFDBD" w14:textId="77777777" w:rsidR="007D706A" w:rsidRDefault="007D706A" w:rsidP="00F70508">
            <w:pPr>
              <w:pStyle w:val="ParagraphStyle12"/>
              <w:rPr>
                <w:rStyle w:val="CharacterStyle12"/>
              </w:rPr>
            </w:pPr>
            <w:r>
              <w:rPr>
                <w:rStyle w:val="CharacterStyle12"/>
              </w:rPr>
              <w:t>40.250,00</w:t>
            </w:r>
          </w:p>
        </w:tc>
        <w:tc>
          <w:tcPr>
            <w:tcW w:w="1395" w:type="dxa"/>
            <w:tcBorders>
              <w:bottom w:val="single" w:sz="6" w:space="0" w:color="000000"/>
              <w:right w:val="single" w:sz="6" w:space="0" w:color="000000"/>
            </w:tcBorders>
            <w:vAlign w:val="center"/>
          </w:tcPr>
          <w:p w14:paraId="2E9944EE" w14:textId="77777777" w:rsidR="007D706A" w:rsidRDefault="007D706A" w:rsidP="00F70508">
            <w:pPr>
              <w:pStyle w:val="ParagraphStyle12"/>
              <w:rPr>
                <w:rStyle w:val="CharacterStyle12"/>
              </w:rPr>
            </w:pPr>
            <w:r>
              <w:rPr>
                <w:rStyle w:val="CharacterStyle12"/>
              </w:rPr>
              <w:t>40.250,00</w:t>
            </w:r>
          </w:p>
        </w:tc>
      </w:tr>
      <w:tr w:rsidR="007D706A" w14:paraId="0A9E6D1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781C32A"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3828F774"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16A9E4C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EBA4C4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C0D4385" w14:textId="77777777" w:rsidR="007D706A" w:rsidRDefault="007D706A" w:rsidP="00F70508">
            <w:pPr>
              <w:pStyle w:val="ParagraphStyle12"/>
              <w:rPr>
                <w:rStyle w:val="CharacterStyle12"/>
              </w:rPr>
            </w:pPr>
            <w:r>
              <w:rPr>
                <w:rStyle w:val="CharacterStyle12"/>
              </w:rPr>
              <w:t>40.250,00</w:t>
            </w:r>
          </w:p>
        </w:tc>
        <w:tc>
          <w:tcPr>
            <w:tcW w:w="1395" w:type="dxa"/>
            <w:tcBorders>
              <w:bottom w:val="single" w:sz="6" w:space="0" w:color="000000"/>
              <w:right w:val="single" w:sz="6" w:space="0" w:color="000000"/>
            </w:tcBorders>
            <w:vAlign w:val="center"/>
          </w:tcPr>
          <w:p w14:paraId="43E4053B" w14:textId="77777777" w:rsidR="007D706A" w:rsidRDefault="007D706A" w:rsidP="00F70508">
            <w:pPr>
              <w:pStyle w:val="ParagraphStyle12"/>
              <w:rPr>
                <w:rStyle w:val="CharacterStyle12"/>
              </w:rPr>
            </w:pPr>
            <w:r>
              <w:rPr>
                <w:rStyle w:val="CharacterStyle12"/>
              </w:rPr>
              <w:t>40.250,00</w:t>
            </w:r>
          </w:p>
        </w:tc>
        <w:tc>
          <w:tcPr>
            <w:tcW w:w="1395" w:type="dxa"/>
            <w:tcBorders>
              <w:bottom w:val="single" w:sz="6" w:space="0" w:color="000000"/>
              <w:right w:val="single" w:sz="6" w:space="0" w:color="000000"/>
            </w:tcBorders>
            <w:vAlign w:val="center"/>
          </w:tcPr>
          <w:p w14:paraId="1DA97FF4" w14:textId="77777777" w:rsidR="007D706A" w:rsidRDefault="007D706A" w:rsidP="00F70508">
            <w:pPr>
              <w:pStyle w:val="ParagraphStyle12"/>
              <w:rPr>
                <w:rStyle w:val="CharacterStyle12"/>
              </w:rPr>
            </w:pPr>
            <w:r>
              <w:rPr>
                <w:rStyle w:val="CharacterStyle12"/>
              </w:rPr>
              <w:t>40.250,00</w:t>
            </w:r>
          </w:p>
        </w:tc>
      </w:tr>
      <w:tr w:rsidR="007D706A" w14:paraId="2387010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ACCB139" w14:textId="77777777" w:rsidR="007D706A" w:rsidRDefault="007D706A" w:rsidP="00F70508">
            <w:pPr>
              <w:pStyle w:val="ParagraphStyle7"/>
              <w:rPr>
                <w:rStyle w:val="CharacterStyle7"/>
              </w:rPr>
            </w:pPr>
            <w:r>
              <w:rPr>
                <w:rStyle w:val="CharacterStyle7"/>
              </w:rPr>
              <w:t>Izvor financiranja 41</w:t>
            </w:r>
          </w:p>
        </w:tc>
        <w:tc>
          <w:tcPr>
            <w:tcW w:w="4995" w:type="dxa"/>
            <w:tcBorders>
              <w:bottom w:val="single" w:sz="6" w:space="0" w:color="000000"/>
              <w:right w:val="single" w:sz="6" w:space="0" w:color="000000"/>
            </w:tcBorders>
            <w:vAlign w:val="center"/>
          </w:tcPr>
          <w:p w14:paraId="19B7C0AF" w14:textId="77777777" w:rsidR="007D706A" w:rsidRDefault="007D706A" w:rsidP="00F70508">
            <w:pPr>
              <w:pStyle w:val="ParagraphStyle8"/>
              <w:rPr>
                <w:rStyle w:val="CharacterStyle8"/>
              </w:rPr>
            </w:pPr>
            <w:r>
              <w:rPr>
                <w:rStyle w:val="CharacterStyle8"/>
              </w:rPr>
              <w:t>Prihodi za posebne namjene</w:t>
            </w:r>
          </w:p>
        </w:tc>
        <w:tc>
          <w:tcPr>
            <w:tcW w:w="1395" w:type="dxa"/>
            <w:tcBorders>
              <w:bottom w:val="single" w:sz="6" w:space="0" w:color="000000"/>
              <w:right w:val="single" w:sz="6" w:space="0" w:color="000000"/>
            </w:tcBorders>
            <w:vAlign w:val="center"/>
          </w:tcPr>
          <w:p w14:paraId="3967BF7C"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C29BD94" w14:textId="77777777" w:rsidR="007D706A" w:rsidRDefault="007D706A" w:rsidP="00F70508">
            <w:pPr>
              <w:pStyle w:val="ParagraphStyle9"/>
              <w:rPr>
                <w:rStyle w:val="CharacterStyle9"/>
              </w:rPr>
            </w:pPr>
            <w:r>
              <w:rPr>
                <w:rStyle w:val="CharacterStyle9"/>
              </w:rPr>
              <w:t>40.250,00</w:t>
            </w:r>
          </w:p>
        </w:tc>
        <w:tc>
          <w:tcPr>
            <w:tcW w:w="1395" w:type="dxa"/>
            <w:tcBorders>
              <w:bottom w:val="single" w:sz="6" w:space="0" w:color="000000"/>
              <w:right w:val="single" w:sz="6" w:space="0" w:color="000000"/>
            </w:tcBorders>
            <w:vAlign w:val="center"/>
          </w:tcPr>
          <w:p w14:paraId="485AC62F"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D71D6BC"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347C615" w14:textId="77777777" w:rsidR="007D706A" w:rsidRDefault="007D706A" w:rsidP="00F70508">
            <w:pPr>
              <w:pStyle w:val="ParagraphStyle9"/>
              <w:rPr>
                <w:rStyle w:val="CharacterStyle9"/>
              </w:rPr>
            </w:pPr>
            <w:r>
              <w:rPr>
                <w:rStyle w:val="CharacterStyle9"/>
              </w:rPr>
              <w:t>0,00</w:t>
            </w:r>
          </w:p>
        </w:tc>
      </w:tr>
      <w:tr w:rsidR="007D706A" w14:paraId="0BB1A62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D3F2484"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4A688D8E"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280B63D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80308F9" w14:textId="77777777" w:rsidR="007D706A" w:rsidRDefault="007D706A" w:rsidP="00F70508">
            <w:pPr>
              <w:pStyle w:val="ParagraphStyle12"/>
              <w:rPr>
                <w:rStyle w:val="CharacterStyle12"/>
              </w:rPr>
            </w:pPr>
            <w:r>
              <w:rPr>
                <w:rStyle w:val="CharacterStyle12"/>
              </w:rPr>
              <w:t>40.250,00</w:t>
            </w:r>
          </w:p>
        </w:tc>
        <w:tc>
          <w:tcPr>
            <w:tcW w:w="1395" w:type="dxa"/>
            <w:tcBorders>
              <w:bottom w:val="single" w:sz="6" w:space="0" w:color="000000"/>
              <w:right w:val="single" w:sz="6" w:space="0" w:color="000000"/>
            </w:tcBorders>
            <w:vAlign w:val="center"/>
          </w:tcPr>
          <w:p w14:paraId="077C23A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071A14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244FD2E" w14:textId="77777777" w:rsidR="007D706A" w:rsidRDefault="007D706A" w:rsidP="00F70508">
            <w:pPr>
              <w:pStyle w:val="ParagraphStyle12"/>
              <w:rPr>
                <w:rStyle w:val="CharacterStyle12"/>
              </w:rPr>
            </w:pPr>
            <w:r>
              <w:rPr>
                <w:rStyle w:val="CharacterStyle12"/>
              </w:rPr>
              <w:t>0,00</w:t>
            </w:r>
          </w:p>
        </w:tc>
      </w:tr>
      <w:tr w:rsidR="007D706A" w14:paraId="3249CDC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93F005A"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40FD57A9"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5218B58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8F7D7CE" w14:textId="77777777" w:rsidR="007D706A" w:rsidRDefault="007D706A" w:rsidP="00F70508">
            <w:pPr>
              <w:pStyle w:val="ParagraphStyle12"/>
              <w:rPr>
                <w:rStyle w:val="CharacterStyle12"/>
              </w:rPr>
            </w:pPr>
            <w:r>
              <w:rPr>
                <w:rStyle w:val="CharacterStyle12"/>
              </w:rPr>
              <w:t>40.250,00</w:t>
            </w:r>
          </w:p>
        </w:tc>
        <w:tc>
          <w:tcPr>
            <w:tcW w:w="1395" w:type="dxa"/>
            <w:tcBorders>
              <w:bottom w:val="single" w:sz="6" w:space="0" w:color="000000"/>
              <w:right w:val="single" w:sz="6" w:space="0" w:color="000000"/>
            </w:tcBorders>
            <w:vAlign w:val="center"/>
          </w:tcPr>
          <w:p w14:paraId="771EA75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E05B21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B8D9995" w14:textId="77777777" w:rsidR="007D706A" w:rsidRDefault="007D706A" w:rsidP="00F70508">
            <w:pPr>
              <w:pStyle w:val="ParagraphStyle12"/>
              <w:rPr>
                <w:rStyle w:val="CharacterStyle12"/>
              </w:rPr>
            </w:pPr>
            <w:r>
              <w:rPr>
                <w:rStyle w:val="CharacterStyle12"/>
              </w:rPr>
              <w:t>0,00</w:t>
            </w:r>
          </w:p>
        </w:tc>
      </w:tr>
      <w:tr w:rsidR="007D706A" w14:paraId="1A78924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4676337" w14:textId="77777777" w:rsidR="007D706A" w:rsidRDefault="007D706A" w:rsidP="00F70508">
            <w:pPr>
              <w:pStyle w:val="ParagraphStyle4"/>
              <w:rPr>
                <w:rStyle w:val="CharacterStyle4"/>
              </w:rPr>
            </w:pPr>
            <w:r>
              <w:rPr>
                <w:rStyle w:val="CharacterStyle4"/>
              </w:rPr>
              <w:t>Aktivnost A102002</w:t>
            </w:r>
          </w:p>
        </w:tc>
        <w:tc>
          <w:tcPr>
            <w:tcW w:w="4995" w:type="dxa"/>
            <w:tcBorders>
              <w:bottom w:val="single" w:sz="6" w:space="0" w:color="000000"/>
              <w:right w:val="single" w:sz="6" w:space="0" w:color="000000"/>
            </w:tcBorders>
            <w:vAlign w:val="center"/>
          </w:tcPr>
          <w:p w14:paraId="1D5629B9" w14:textId="77777777" w:rsidR="007D706A" w:rsidRDefault="007D706A" w:rsidP="00F70508">
            <w:pPr>
              <w:pStyle w:val="ParagraphStyle5"/>
              <w:rPr>
                <w:rStyle w:val="CharacterStyle5"/>
              </w:rPr>
            </w:pPr>
            <w:r>
              <w:rPr>
                <w:rStyle w:val="CharacterStyle5"/>
              </w:rPr>
              <w:t>TEKUĆE ODRŽAVANJE OBJEKATA JAVNE RASVJETE</w:t>
            </w:r>
          </w:p>
        </w:tc>
        <w:tc>
          <w:tcPr>
            <w:tcW w:w="1395" w:type="dxa"/>
            <w:tcBorders>
              <w:bottom w:val="single" w:sz="6" w:space="0" w:color="000000"/>
              <w:right w:val="single" w:sz="6" w:space="0" w:color="000000"/>
            </w:tcBorders>
            <w:vAlign w:val="center"/>
          </w:tcPr>
          <w:p w14:paraId="0D8B5189"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34C3B881" w14:textId="77777777" w:rsidR="007D706A" w:rsidRDefault="007D706A" w:rsidP="00F70508">
            <w:pPr>
              <w:pStyle w:val="ParagraphStyle6"/>
              <w:rPr>
                <w:rStyle w:val="CharacterStyle6"/>
              </w:rPr>
            </w:pPr>
            <w:r>
              <w:rPr>
                <w:rStyle w:val="CharacterStyle6"/>
              </w:rPr>
              <w:t>50.500,00</w:t>
            </w:r>
          </w:p>
        </w:tc>
        <w:tc>
          <w:tcPr>
            <w:tcW w:w="1395" w:type="dxa"/>
            <w:tcBorders>
              <w:bottom w:val="single" w:sz="6" w:space="0" w:color="000000"/>
              <w:right w:val="single" w:sz="6" w:space="0" w:color="000000"/>
            </w:tcBorders>
            <w:vAlign w:val="center"/>
          </w:tcPr>
          <w:p w14:paraId="538A0E7E" w14:textId="77777777" w:rsidR="007D706A" w:rsidRDefault="007D706A" w:rsidP="00F70508">
            <w:pPr>
              <w:pStyle w:val="ParagraphStyle6"/>
              <w:rPr>
                <w:rStyle w:val="CharacterStyle6"/>
              </w:rPr>
            </w:pPr>
            <w:r>
              <w:rPr>
                <w:rStyle w:val="CharacterStyle6"/>
              </w:rPr>
              <w:t>50.500,00</w:t>
            </w:r>
          </w:p>
        </w:tc>
        <w:tc>
          <w:tcPr>
            <w:tcW w:w="1395" w:type="dxa"/>
            <w:tcBorders>
              <w:bottom w:val="single" w:sz="6" w:space="0" w:color="000000"/>
              <w:right w:val="single" w:sz="6" w:space="0" w:color="000000"/>
            </w:tcBorders>
            <w:vAlign w:val="center"/>
          </w:tcPr>
          <w:p w14:paraId="725AEB9C" w14:textId="77777777" w:rsidR="007D706A" w:rsidRDefault="007D706A" w:rsidP="00F70508">
            <w:pPr>
              <w:pStyle w:val="ParagraphStyle6"/>
              <w:rPr>
                <w:rStyle w:val="CharacterStyle6"/>
              </w:rPr>
            </w:pPr>
            <w:r>
              <w:rPr>
                <w:rStyle w:val="CharacterStyle6"/>
              </w:rPr>
              <w:t>50.500,00</w:t>
            </w:r>
          </w:p>
        </w:tc>
        <w:tc>
          <w:tcPr>
            <w:tcW w:w="1395" w:type="dxa"/>
            <w:tcBorders>
              <w:bottom w:val="single" w:sz="6" w:space="0" w:color="000000"/>
              <w:right w:val="single" w:sz="6" w:space="0" w:color="000000"/>
            </w:tcBorders>
            <w:vAlign w:val="center"/>
          </w:tcPr>
          <w:p w14:paraId="250DB8D5" w14:textId="77777777" w:rsidR="007D706A" w:rsidRDefault="007D706A" w:rsidP="00F70508">
            <w:pPr>
              <w:pStyle w:val="ParagraphStyle6"/>
              <w:rPr>
                <w:rStyle w:val="CharacterStyle6"/>
              </w:rPr>
            </w:pPr>
            <w:r>
              <w:rPr>
                <w:rStyle w:val="CharacterStyle6"/>
              </w:rPr>
              <w:t>50.500,00</w:t>
            </w:r>
          </w:p>
        </w:tc>
      </w:tr>
      <w:tr w:rsidR="007D706A" w14:paraId="6409D62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E9091E6" w14:textId="77777777" w:rsidR="007D706A" w:rsidRDefault="007D706A" w:rsidP="00F70508">
            <w:pPr>
              <w:pStyle w:val="ParagraphStyle7"/>
              <w:rPr>
                <w:rStyle w:val="CharacterStyle7"/>
              </w:rPr>
            </w:pPr>
            <w:r>
              <w:rPr>
                <w:rStyle w:val="CharacterStyle7"/>
              </w:rPr>
              <w:t>Izvor financiranja 40</w:t>
            </w:r>
          </w:p>
        </w:tc>
        <w:tc>
          <w:tcPr>
            <w:tcW w:w="4995" w:type="dxa"/>
            <w:tcBorders>
              <w:bottom w:val="single" w:sz="6" w:space="0" w:color="000000"/>
              <w:right w:val="single" w:sz="6" w:space="0" w:color="000000"/>
            </w:tcBorders>
            <w:vAlign w:val="center"/>
          </w:tcPr>
          <w:p w14:paraId="2B39F1CF" w14:textId="77777777" w:rsidR="007D706A" w:rsidRDefault="007D706A" w:rsidP="00F70508">
            <w:pPr>
              <w:pStyle w:val="ParagraphStyle8"/>
              <w:rPr>
                <w:rStyle w:val="CharacterStyle8"/>
              </w:rPr>
            </w:pPr>
            <w:r>
              <w:rPr>
                <w:rStyle w:val="CharacterStyle8"/>
              </w:rPr>
              <w:t>Prihodi od komunalne naknade i komunalnog doprinosa</w:t>
            </w:r>
          </w:p>
        </w:tc>
        <w:tc>
          <w:tcPr>
            <w:tcW w:w="1395" w:type="dxa"/>
            <w:tcBorders>
              <w:bottom w:val="single" w:sz="6" w:space="0" w:color="000000"/>
              <w:right w:val="single" w:sz="6" w:space="0" w:color="000000"/>
            </w:tcBorders>
            <w:vAlign w:val="center"/>
          </w:tcPr>
          <w:p w14:paraId="68FE5016"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F535D8A"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C387982" w14:textId="77777777" w:rsidR="007D706A" w:rsidRDefault="007D706A" w:rsidP="00F70508">
            <w:pPr>
              <w:pStyle w:val="ParagraphStyle9"/>
              <w:rPr>
                <w:rStyle w:val="CharacterStyle9"/>
              </w:rPr>
            </w:pPr>
            <w:r>
              <w:rPr>
                <w:rStyle w:val="CharacterStyle9"/>
              </w:rPr>
              <w:t>50.500,00</w:t>
            </w:r>
          </w:p>
        </w:tc>
        <w:tc>
          <w:tcPr>
            <w:tcW w:w="1395" w:type="dxa"/>
            <w:tcBorders>
              <w:bottom w:val="single" w:sz="6" w:space="0" w:color="000000"/>
              <w:right w:val="single" w:sz="6" w:space="0" w:color="000000"/>
            </w:tcBorders>
            <w:vAlign w:val="center"/>
          </w:tcPr>
          <w:p w14:paraId="5D9A4C29" w14:textId="77777777" w:rsidR="007D706A" w:rsidRDefault="007D706A" w:rsidP="00F70508">
            <w:pPr>
              <w:pStyle w:val="ParagraphStyle9"/>
              <w:rPr>
                <w:rStyle w:val="CharacterStyle9"/>
              </w:rPr>
            </w:pPr>
            <w:r>
              <w:rPr>
                <w:rStyle w:val="CharacterStyle9"/>
              </w:rPr>
              <w:t>50.500,00</w:t>
            </w:r>
          </w:p>
        </w:tc>
        <w:tc>
          <w:tcPr>
            <w:tcW w:w="1395" w:type="dxa"/>
            <w:tcBorders>
              <w:bottom w:val="single" w:sz="6" w:space="0" w:color="000000"/>
              <w:right w:val="single" w:sz="6" w:space="0" w:color="000000"/>
            </w:tcBorders>
            <w:vAlign w:val="center"/>
          </w:tcPr>
          <w:p w14:paraId="0368BC3B" w14:textId="77777777" w:rsidR="007D706A" w:rsidRDefault="007D706A" w:rsidP="00F70508">
            <w:pPr>
              <w:pStyle w:val="ParagraphStyle9"/>
              <w:rPr>
                <w:rStyle w:val="CharacterStyle9"/>
              </w:rPr>
            </w:pPr>
            <w:r>
              <w:rPr>
                <w:rStyle w:val="CharacterStyle9"/>
              </w:rPr>
              <w:t>50.500,00</w:t>
            </w:r>
          </w:p>
        </w:tc>
      </w:tr>
      <w:tr w:rsidR="007D706A" w14:paraId="1FEF8B2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869BB9C"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3B4F2BE9"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6754541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92C183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BAA69A6" w14:textId="77777777" w:rsidR="007D706A" w:rsidRDefault="007D706A" w:rsidP="00F70508">
            <w:pPr>
              <w:pStyle w:val="ParagraphStyle12"/>
              <w:rPr>
                <w:rStyle w:val="CharacterStyle12"/>
              </w:rPr>
            </w:pPr>
            <w:r>
              <w:rPr>
                <w:rStyle w:val="CharacterStyle12"/>
              </w:rPr>
              <w:t>50.500,00</w:t>
            </w:r>
          </w:p>
        </w:tc>
        <w:tc>
          <w:tcPr>
            <w:tcW w:w="1395" w:type="dxa"/>
            <w:tcBorders>
              <w:bottom w:val="single" w:sz="6" w:space="0" w:color="000000"/>
              <w:right w:val="single" w:sz="6" w:space="0" w:color="000000"/>
            </w:tcBorders>
            <w:vAlign w:val="center"/>
          </w:tcPr>
          <w:p w14:paraId="73A3D374" w14:textId="77777777" w:rsidR="007D706A" w:rsidRDefault="007D706A" w:rsidP="00F70508">
            <w:pPr>
              <w:pStyle w:val="ParagraphStyle12"/>
              <w:rPr>
                <w:rStyle w:val="CharacterStyle12"/>
              </w:rPr>
            </w:pPr>
            <w:r>
              <w:rPr>
                <w:rStyle w:val="CharacterStyle12"/>
              </w:rPr>
              <w:t>50.500,00</w:t>
            </w:r>
          </w:p>
        </w:tc>
        <w:tc>
          <w:tcPr>
            <w:tcW w:w="1395" w:type="dxa"/>
            <w:tcBorders>
              <w:bottom w:val="single" w:sz="6" w:space="0" w:color="000000"/>
              <w:right w:val="single" w:sz="6" w:space="0" w:color="000000"/>
            </w:tcBorders>
            <w:vAlign w:val="center"/>
          </w:tcPr>
          <w:p w14:paraId="6EF3F449" w14:textId="77777777" w:rsidR="007D706A" w:rsidRDefault="007D706A" w:rsidP="00F70508">
            <w:pPr>
              <w:pStyle w:val="ParagraphStyle12"/>
              <w:rPr>
                <w:rStyle w:val="CharacterStyle12"/>
              </w:rPr>
            </w:pPr>
            <w:r>
              <w:rPr>
                <w:rStyle w:val="CharacterStyle12"/>
              </w:rPr>
              <w:t>50.500,00</w:t>
            </w:r>
          </w:p>
        </w:tc>
      </w:tr>
      <w:tr w:rsidR="007D706A" w14:paraId="61212B9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3B95F82"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3991D4FF"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2AA4FB2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643C9B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19DE39E" w14:textId="77777777" w:rsidR="007D706A" w:rsidRDefault="007D706A" w:rsidP="00F70508">
            <w:pPr>
              <w:pStyle w:val="ParagraphStyle12"/>
              <w:rPr>
                <w:rStyle w:val="CharacterStyle12"/>
              </w:rPr>
            </w:pPr>
            <w:r>
              <w:rPr>
                <w:rStyle w:val="CharacterStyle12"/>
              </w:rPr>
              <w:t>50.500,00</w:t>
            </w:r>
          </w:p>
        </w:tc>
        <w:tc>
          <w:tcPr>
            <w:tcW w:w="1395" w:type="dxa"/>
            <w:tcBorders>
              <w:bottom w:val="single" w:sz="6" w:space="0" w:color="000000"/>
              <w:right w:val="single" w:sz="6" w:space="0" w:color="000000"/>
            </w:tcBorders>
            <w:vAlign w:val="center"/>
          </w:tcPr>
          <w:p w14:paraId="61320D72" w14:textId="77777777" w:rsidR="007D706A" w:rsidRDefault="007D706A" w:rsidP="00F70508">
            <w:pPr>
              <w:pStyle w:val="ParagraphStyle12"/>
              <w:rPr>
                <w:rStyle w:val="CharacterStyle12"/>
              </w:rPr>
            </w:pPr>
            <w:r>
              <w:rPr>
                <w:rStyle w:val="CharacterStyle12"/>
              </w:rPr>
              <w:t>50.500,00</w:t>
            </w:r>
          </w:p>
        </w:tc>
        <w:tc>
          <w:tcPr>
            <w:tcW w:w="1395" w:type="dxa"/>
            <w:tcBorders>
              <w:bottom w:val="single" w:sz="6" w:space="0" w:color="000000"/>
              <w:right w:val="single" w:sz="6" w:space="0" w:color="000000"/>
            </w:tcBorders>
            <w:vAlign w:val="center"/>
          </w:tcPr>
          <w:p w14:paraId="583AC194" w14:textId="77777777" w:rsidR="007D706A" w:rsidRDefault="007D706A" w:rsidP="00F70508">
            <w:pPr>
              <w:pStyle w:val="ParagraphStyle12"/>
              <w:rPr>
                <w:rStyle w:val="CharacterStyle12"/>
              </w:rPr>
            </w:pPr>
            <w:r>
              <w:rPr>
                <w:rStyle w:val="CharacterStyle12"/>
              </w:rPr>
              <w:t>50.500,00</w:t>
            </w:r>
          </w:p>
        </w:tc>
      </w:tr>
      <w:tr w:rsidR="007D706A" w14:paraId="5A08E47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09173F4" w14:textId="77777777" w:rsidR="007D706A" w:rsidRDefault="007D706A" w:rsidP="00F70508">
            <w:pPr>
              <w:pStyle w:val="ParagraphStyle7"/>
              <w:rPr>
                <w:rStyle w:val="CharacterStyle7"/>
              </w:rPr>
            </w:pPr>
            <w:r>
              <w:rPr>
                <w:rStyle w:val="CharacterStyle7"/>
              </w:rPr>
              <w:t>Izvor financiranja 41</w:t>
            </w:r>
          </w:p>
        </w:tc>
        <w:tc>
          <w:tcPr>
            <w:tcW w:w="4995" w:type="dxa"/>
            <w:tcBorders>
              <w:bottom w:val="single" w:sz="6" w:space="0" w:color="000000"/>
              <w:right w:val="single" w:sz="6" w:space="0" w:color="000000"/>
            </w:tcBorders>
            <w:vAlign w:val="center"/>
          </w:tcPr>
          <w:p w14:paraId="771A3167" w14:textId="77777777" w:rsidR="007D706A" w:rsidRDefault="007D706A" w:rsidP="00F70508">
            <w:pPr>
              <w:pStyle w:val="ParagraphStyle8"/>
              <w:rPr>
                <w:rStyle w:val="CharacterStyle8"/>
              </w:rPr>
            </w:pPr>
            <w:r>
              <w:rPr>
                <w:rStyle w:val="CharacterStyle8"/>
              </w:rPr>
              <w:t>Prihodi za posebne namjene</w:t>
            </w:r>
          </w:p>
        </w:tc>
        <w:tc>
          <w:tcPr>
            <w:tcW w:w="1395" w:type="dxa"/>
            <w:tcBorders>
              <w:bottom w:val="single" w:sz="6" w:space="0" w:color="000000"/>
              <w:right w:val="single" w:sz="6" w:space="0" w:color="000000"/>
            </w:tcBorders>
            <w:vAlign w:val="center"/>
          </w:tcPr>
          <w:p w14:paraId="42E62D7C"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36BCBA3" w14:textId="77777777" w:rsidR="007D706A" w:rsidRDefault="007D706A" w:rsidP="00F70508">
            <w:pPr>
              <w:pStyle w:val="ParagraphStyle9"/>
              <w:rPr>
                <w:rStyle w:val="CharacterStyle9"/>
              </w:rPr>
            </w:pPr>
            <w:r>
              <w:rPr>
                <w:rStyle w:val="CharacterStyle9"/>
              </w:rPr>
              <w:t>50.500,00</w:t>
            </w:r>
          </w:p>
        </w:tc>
        <w:tc>
          <w:tcPr>
            <w:tcW w:w="1395" w:type="dxa"/>
            <w:tcBorders>
              <w:bottom w:val="single" w:sz="6" w:space="0" w:color="000000"/>
              <w:right w:val="single" w:sz="6" w:space="0" w:color="000000"/>
            </w:tcBorders>
            <w:vAlign w:val="center"/>
          </w:tcPr>
          <w:p w14:paraId="296FDAAC"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324C3A3"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472252B" w14:textId="77777777" w:rsidR="007D706A" w:rsidRDefault="007D706A" w:rsidP="00F70508">
            <w:pPr>
              <w:pStyle w:val="ParagraphStyle9"/>
              <w:rPr>
                <w:rStyle w:val="CharacterStyle9"/>
              </w:rPr>
            </w:pPr>
            <w:r>
              <w:rPr>
                <w:rStyle w:val="CharacterStyle9"/>
              </w:rPr>
              <w:t>0,00</w:t>
            </w:r>
          </w:p>
        </w:tc>
      </w:tr>
      <w:tr w:rsidR="007D706A" w14:paraId="5869DF9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231C78E"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6AC16501"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184CD01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5D73447" w14:textId="77777777" w:rsidR="007D706A" w:rsidRDefault="007D706A" w:rsidP="00F70508">
            <w:pPr>
              <w:pStyle w:val="ParagraphStyle12"/>
              <w:rPr>
                <w:rStyle w:val="CharacterStyle12"/>
              </w:rPr>
            </w:pPr>
            <w:r>
              <w:rPr>
                <w:rStyle w:val="CharacterStyle12"/>
              </w:rPr>
              <w:t>50.500,00</w:t>
            </w:r>
          </w:p>
        </w:tc>
        <w:tc>
          <w:tcPr>
            <w:tcW w:w="1395" w:type="dxa"/>
            <w:tcBorders>
              <w:bottom w:val="single" w:sz="6" w:space="0" w:color="000000"/>
              <w:right w:val="single" w:sz="6" w:space="0" w:color="000000"/>
            </w:tcBorders>
            <w:vAlign w:val="center"/>
          </w:tcPr>
          <w:p w14:paraId="3BFD7DA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6CA652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D97822E" w14:textId="77777777" w:rsidR="007D706A" w:rsidRDefault="007D706A" w:rsidP="00F70508">
            <w:pPr>
              <w:pStyle w:val="ParagraphStyle12"/>
              <w:rPr>
                <w:rStyle w:val="CharacterStyle12"/>
              </w:rPr>
            </w:pPr>
            <w:r>
              <w:rPr>
                <w:rStyle w:val="CharacterStyle12"/>
              </w:rPr>
              <w:t>0,00</w:t>
            </w:r>
          </w:p>
        </w:tc>
      </w:tr>
      <w:tr w:rsidR="007D706A" w14:paraId="3D95226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0B3D5F5"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3E240EFE"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085FEAD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2C0CEEF" w14:textId="77777777" w:rsidR="007D706A" w:rsidRDefault="007D706A" w:rsidP="00F70508">
            <w:pPr>
              <w:pStyle w:val="ParagraphStyle12"/>
              <w:rPr>
                <w:rStyle w:val="CharacterStyle12"/>
              </w:rPr>
            </w:pPr>
            <w:r>
              <w:rPr>
                <w:rStyle w:val="CharacterStyle12"/>
              </w:rPr>
              <w:t>50.500,00</w:t>
            </w:r>
          </w:p>
        </w:tc>
        <w:tc>
          <w:tcPr>
            <w:tcW w:w="1395" w:type="dxa"/>
            <w:tcBorders>
              <w:bottom w:val="single" w:sz="6" w:space="0" w:color="000000"/>
              <w:right w:val="single" w:sz="6" w:space="0" w:color="000000"/>
            </w:tcBorders>
            <w:vAlign w:val="center"/>
          </w:tcPr>
          <w:p w14:paraId="19CF93B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B61EA9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6712495" w14:textId="77777777" w:rsidR="007D706A" w:rsidRDefault="007D706A" w:rsidP="00F70508">
            <w:pPr>
              <w:pStyle w:val="ParagraphStyle12"/>
              <w:rPr>
                <w:rStyle w:val="CharacterStyle12"/>
              </w:rPr>
            </w:pPr>
            <w:r>
              <w:rPr>
                <w:rStyle w:val="CharacterStyle12"/>
              </w:rPr>
              <w:t>0,00</w:t>
            </w:r>
          </w:p>
        </w:tc>
      </w:tr>
      <w:tr w:rsidR="007D706A" w14:paraId="7F04989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D566F37" w14:textId="77777777" w:rsidR="007D706A" w:rsidRDefault="007D706A" w:rsidP="00F70508">
            <w:pPr>
              <w:pStyle w:val="ParagraphStyle4"/>
              <w:rPr>
                <w:rStyle w:val="CharacterStyle4"/>
              </w:rPr>
            </w:pPr>
            <w:r>
              <w:rPr>
                <w:rStyle w:val="CharacterStyle4"/>
              </w:rPr>
              <w:t>Aktivnost A102001</w:t>
            </w:r>
          </w:p>
        </w:tc>
        <w:tc>
          <w:tcPr>
            <w:tcW w:w="4995" w:type="dxa"/>
            <w:tcBorders>
              <w:bottom w:val="single" w:sz="6" w:space="0" w:color="000000"/>
              <w:right w:val="single" w:sz="6" w:space="0" w:color="000000"/>
            </w:tcBorders>
            <w:vAlign w:val="center"/>
          </w:tcPr>
          <w:p w14:paraId="17F54CA0" w14:textId="77777777" w:rsidR="007D706A" w:rsidRDefault="007D706A" w:rsidP="00F70508">
            <w:pPr>
              <w:pStyle w:val="ParagraphStyle5"/>
              <w:rPr>
                <w:rStyle w:val="CharacterStyle5"/>
              </w:rPr>
            </w:pPr>
            <w:r>
              <w:rPr>
                <w:rStyle w:val="CharacterStyle5"/>
              </w:rPr>
              <w:t>POTROŠNJA ELEKTRIČNE ENERGIJE</w:t>
            </w:r>
          </w:p>
        </w:tc>
        <w:tc>
          <w:tcPr>
            <w:tcW w:w="1395" w:type="dxa"/>
            <w:tcBorders>
              <w:bottom w:val="single" w:sz="6" w:space="0" w:color="000000"/>
              <w:right w:val="single" w:sz="6" w:space="0" w:color="000000"/>
            </w:tcBorders>
            <w:vAlign w:val="center"/>
          </w:tcPr>
          <w:p w14:paraId="38896014"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0937C3D3" w14:textId="77777777" w:rsidR="007D706A" w:rsidRDefault="007D706A" w:rsidP="00F70508">
            <w:pPr>
              <w:pStyle w:val="ParagraphStyle6"/>
              <w:rPr>
                <w:rStyle w:val="CharacterStyle6"/>
              </w:rPr>
            </w:pPr>
            <w:r>
              <w:rPr>
                <w:rStyle w:val="CharacterStyle6"/>
              </w:rPr>
              <w:t>318.265,00</w:t>
            </w:r>
          </w:p>
        </w:tc>
        <w:tc>
          <w:tcPr>
            <w:tcW w:w="1395" w:type="dxa"/>
            <w:tcBorders>
              <w:bottom w:val="single" w:sz="6" w:space="0" w:color="000000"/>
              <w:right w:val="single" w:sz="6" w:space="0" w:color="000000"/>
            </w:tcBorders>
            <w:vAlign w:val="center"/>
          </w:tcPr>
          <w:p w14:paraId="3B601FFD" w14:textId="77777777" w:rsidR="007D706A" w:rsidRDefault="007D706A" w:rsidP="00F70508">
            <w:pPr>
              <w:pStyle w:val="ParagraphStyle6"/>
              <w:rPr>
                <w:rStyle w:val="CharacterStyle6"/>
              </w:rPr>
            </w:pPr>
            <w:r>
              <w:rPr>
                <w:rStyle w:val="CharacterStyle6"/>
              </w:rPr>
              <w:t>340.000,00</w:t>
            </w:r>
          </w:p>
        </w:tc>
        <w:tc>
          <w:tcPr>
            <w:tcW w:w="1395" w:type="dxa"/>
            <w:tcBorders>
              <w:bottom w:val="single" w:sz="6" w:space="0" w:color="000000"/>
              <w:right w:val="single" w:sz="6" w:space="0" w:color="000000"/>
            </w:tcBorders>
            <w:vAlign w:val="center"/>
          </w:tcPr>
          <w:p w14:paraId="71B7F86F" w14:textId="77777777" w:rsidR="007D706A" w:rsidRDefault="007D706A" w:rsidP="00F70508">
            <w:pPr>
              <w:pStyle w:val="ParagraphStyle6"/>
              <w:rPr>
                <w:rStyle w:val="CharacterStyle6"/>
              </w:rPr>
            </w:pPr>
            <w:r>
              <w:rPr>
                <w:rStyle w:val="CharacterStyle6"/>
              </w:rPr>
              <w:t>340.000,00</w:t>
            </w:r>
          </w:p>
        </w:tc>
        <w:tc>
          <w:tcPr>
            <w:tcW w:w="1395" w:type="dxa"/>
            <w:tcBorders>
              <w:bottom w:val="single" w:sz="6" w:space="0" w:color="000000"/>
              <w:right w:val="single" w:sz="6" w:space="0" w:color="000000"/>
            </w:tcBorders>
            <w:vAlign w:val="center"/>
          </w:tcPr>
          <w:p w14:paraId="39C2BE20" w14:textId="77777777" w:rsidR="007D706A" w:rsidRDefault="007D706A" w:rsidP="00F70508">
            <w:pPr>
              <w:pStyle w:val="ParagraphStyle6"/>
              <w:rPr>
                <w:rStyle w:val="CharacterStyle6"/>
              </w:rPr>
            </w:pPr>
            <w:r>
              <w:rPr>
                <w:rStyle w:val="CharacterStyle6"/>
              </w:rPr>
              <w:t>340.000,00</w:t>
            </w:r>
          </w:p>
        </w:tc>
      </w:tr>
      <w:tr w:rsidR="007D706A" w14:paraId="0923906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E5E667D" w14:textId="77777777" w:rsidR="007D706A" w:rsidRDefault="007D706A" w:rsidP="00F70508">
            <w:pPr>
              <w:pStyle w:val="ParagraphStyle7"/>
              <w:rPr>
                <w:rStyle w:val="CharacterStyle7"/>
              </w:rPr>
            </w:pPr>
            <w:r>
              <w:rPr>
                <w:rStyle w:val="CharacterStyle7"/>
              </w:rPr>
              <w:lastRenderedPageBreak/>
              <w:t>Izvor financiranja 40</w:t>
            </w:r>
          </w:p>
        </w:tc>
        <w:tc>
          <w:tcPr>
            <w:tcW w:w="4995" w:type="dxa"/>
            <w:tcBorders>
              <w:bottom w:val="single" w:sz="6" w:space="0" w:color="000000"/>
              <w:right w:val="single" w:sz="6" w:space="0" w:color="000000"/>
            </w:tcBorders>
            <w:vAlign w:val="center"/>
          </w:tcPr>
          <w:p w14:paraId="368ECC03" w14:textId="77777777" w:rsidR="007D706A" w:rsidRDefault="007D706A" w:rsidP="00F70508">
            <w:pPr>
              <w:pStyle w:val="ParagraphStyle8"/>
              <w:rPr>
                <w:rStyle w:val="CharacterStyle8"/>
              </w:rPr>
            </w:pPr>
            <w:r>
              <w:rPr>
                <w:rStyle w:val="CharacterStyle8"/>
              </w:rPr>
              <w:t>Prihodi od komunalne naknade i komunalnog doprinosa</w:t>
            </w:r>
          </w:p>
        </w:tc>
        <w:tc>
          <w:tcPr>
            <w:tcW w:w="1395" w:type="dxa"/>
            <w:tcBorders>
              <w:bottom w:val="single" w:sz="6" w:space="0" w:color="000000"/>
              <w:right w:val="single" w:sz="6" w:space="0" w:color="000000"/>
            </w:tcBorders>
            <w:vAlign w:val="center"/>
          </w:tcPr>
          <w:p w14:paraId="1F3559A5"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CBCDE84"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4B1440B" w14:textId="77777777" w:rsidR="007D706A" w:rsidRDefault="007D706A" w:rsidP="00F70508">
            <w:pPr>
              <w:pStyle w:val="ParagraphStyle9"/>
              <w:rPr>
                <w:rStyle w:val="CharacterStyle9"/>
              </w:rPr>
            </w:pPr>
            <w:r>
              <w:rPr>
                <w:rStyle w:val="CharacterStyle9"/>
              </w:rPr>
              <w:t>340.000,00</w:t>
            </w:r>
          </w:p>
        </w:tc>
        <w:tc>
          <w:tcPr>
            <w:tcW w:w="1395" w:type="dxa"/>
            <w:tcBorders>
              <w:bottom w:val="single" w:sz="6" w:space="0" w:color="000000"/>
              <w:right w:val="single" w:sz="6" w:space="0" w:color="000000"/>
            </w:tcBorders>
            <w:vAlign w:val="center"/>
          </w:tcPr>
          <w:p w14:paraId="2F8C4EE3" w14:textId="77777777" w:rsidR="007D706A" w:rsidRDefault="007D706A" w:rsidP="00F70508">
            <w:pPr>
              <w:pStyle w:val="ParagraphStyle9"/>
              <w:rPr>
                <w:rStyle w:val="CharacterStyle9"/>
              </w:rPr>
            </w:pPr>
            <w:r>
              <w:rPr>
                <w:rStyle w:val="CharacterStyle9"/>
              </w:rPr>
              <w:t>340.000,00</w:t>
            </w:r>
          </w:p>
        </w:tc>
        <w:tc>
          <w:tcPr>
            <w:tcW w:w="1395" w:type="dxa"/>
            <w:tcBorders>
              <w:bottom w:val="single" w:sz="6" w:space="0" w:color="000000"/>
              <w:right w:val="single" w:sz="6" w:space="0" w:color="000000"/>
            </w:tcBorders>
            <w:vAlign w:val="center"/>
          </w:tcPr>
          <w:p w14:paraId="34BB1BBA" w14:textId="77777777" w:rsidR="007D706A" w:rsidRDefault="007D706A" w:rsidP="00F70508">
            <w:pPr>
              <w:pStyle w:val="ParagraphStyle9"/>
              <w:rPr>
                <w:rStyle w:val="CharacterStyle9"/>
              </w:rPr>
            </w:pPr>
            <w:r>
              <w:rPr>
                <w:rStyle w:val="CharacterStyle9"/>
              </w:rPr>
              <w:t>340.000,00</w:t>
            </w:r>
          </w:p>
        </w:tc>
      </w:tr>
      <w:tr w:rsidR="007D706A" w14:paraId="39422F6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46887FB"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29356E9E"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01E1735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112EFE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E8A5135" w14:textId="77777777" w:rsidR="007D706A" w:rsidRDefault="007D706A" w:rsidP="00F70508">
            <w:pPr>
              <w:pStyle w:val="ParagraphStyle12"/>
              <w:rPr>
                <w:rStyle w:val="CharacterStyle12"/>
              </w:rPr>
            </w:pPr>
            <w:r>
              <w:rPr>
                <w:rStyle w:val="CharacterStyle12"/>
              </w:rPr>
              <w:t>340.000,00</w:t>
            </w:r>
          </w:p>
        </w:tc>
        <w:tc>
          <w:tcPr>
            <w:tcW w:w="1395" w:type="dxa"/>
            <w:tcBorders>
              <w:bottom w:val="single" w:sz="6" w:space="0" w:color="000000"/>
              <w:right w:val="single" w:sz="6" w:space="0" w:color="000000"/>
            </w:tcBorders>
            <w:vAlign w:val="center"/>
          </w:tcPr>
          <w:p w14:paraId="6B5A1207" w14:textId="77777777" w:rsidR="007D706A" w:rsidRDefault="007D706A" w:rsidP="00F70508">
            <w:pPr>
              <w:pStyle w:val="ParagraphStyle12"/>
              <w:rPr>
                <w:rStyle w:val="CharacterStyle12"/>
              </w:rPr>
            </w:pPr>
            <w:r>
              <w:rPr>
                <w:rStyle w:val="CharacterStyle12"/>
              </w:rPr>
              <w:t>340.000,00</w:t>
            </w:r>
          </w:p>
        </w:tc>
        <w:tc>
          <w:tcPr>
            <w:tcW w:w="1395" w:type="dxa"/>
            <w:tcBorders>
              <w:bottom w:val="single" w:sz="6" w:space="0" w:color="000000"/>
              <w:right w:val="single" w:sz="6" w:space="0" w:color="000000"/>
            </w:tcBorders>
            <w:vAlign w:val="center"/>
          </w:tcPr>
          <w:p w14:paraId="79728416" w14:textId="77777777" w:rsidR="007D706A" w:rsidRDefault="007D706A" w:rsidP="00F70508">
            <w:pPr>
              <w:pStyle w:val="ParagraphStyle12"/>
              <w:rPr>
                <w:rStyle w:val="CharacterStyle12"/>
              </w:rPr>
            </w:pPr>
            <w:r>
              <w:rPr>
                <w:rStyle w:val="CharacterStyle12"/>
              </w:rPr>
              <w:t>340.000,00</w:t>
            </w:r>
          </w:p>
        </w:tc>
      </w:tr>
      <w:tr w:rsidR="007D706A" w14:paraId="3007EE1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B21ACE1"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15F2167F"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0355C90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D0EB31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7F867A0" w14:textId="77777777" w:rsidR="007D706A" w:rsidRDefault="007D706A" w:rsidP="00F70508">
            <w:pPr>
              <w:pStyle w:val="ParagraphStyle12"/>
              <w:rPr>
                <w:rStyle w:val="CharacterStyle12"/>
              </w:rPr>
            </w:pPr>
            <w:r>
              <w:rPr>
                <w:rStyle w:val="CharacterStyle12"/>
              </w:rPr>
              <w:t>340.000,00</w:t>
            </w:r>
          </w:p>
        </w:tc>
        <w:tc>
          <w:tcPr>
            <w:tcW w:w="1395" w:type="dxa"/>
            <w:tcBorders>
              <w:bottom w:val="single" w:sz="6" w:space="0" w:color="000000"/>
              <w:right w:val="single" w:sz="6" w:space="0" w:color="000000"/>
            </w:tcBorders>
            <w:vAlign w:val="center"/>
          </w:tcPr>
          <w:p w14:paraId="5FAC0D6F" w14:textId="77777777" w:rsidR="007D706A" w:rsidRDefault="007D706A" w:rsidP="00F70508">
            <w:pPr>
              <w:pStyle w:val="ParagraphStyle12"/>
              <w:rPr>
                <w:rStyle w:val="CharacterStyle12"/>
              </w:rPr>
            </w:pPr>
            <w:r>
              <w:rPr>
                <w:rStyle w:val="CharacterStyle12"/>
              </w:rPr>
              <w:t>340.000,00</w:t>
            </w:r>
          </w:p>
        </w:tc>
        <w:tc>
          <w:tcPr>
            <w:tcW w:w="1395" w:type="dxa"/>
            <w:tcBorders>
              <w:bottom w:val="single" w:sz="6" w:space="0" w:color="000000"/>
              <w:right w:val="single" w:sz="6" w:space="0" w:color="000000"/>
            </w:tcBorders>
            <w:vAlign w:val="center"/>
          </w:tcPr>
          <w:p w14:paraId="668C50E2" w14:textId="77777777" w:rsidR="007D706A" w:rsidRDefault="007D706A" w:rsidP="00F70508">
            <w:pPr>
              <w:pStyle w:val="ParagraphStyle12"/>
              <w:rPr>
                <w:rStyle w:val="CharacterStyle12"/>
              </w:rPr>
            </w:pPr>
            <w:r>
              <w:rPr>
                <w:rStyle w:val="CharacterStyle12"/>
              </w:rPr>
              <w:t>340.000,00</w:t>
            </w:r>
          </w:p>
        </w:tc>
      </w:tr>
      <w:tr w:rsidR="007D706A" w14:paraId="7BFA17A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B455865" w14:textId="77777777" w:rsidR="007D706A" w:rsidRDefault="007D706A" w:rsidP="00F70508">
            <w:pPr>
              <w:pStyle w:val="ParagraphStyle7"/>
              <w:rPr>
                <w:rStyle w:val="CharacterStyle7"/>
              </w:rPr>
            </w:pPr>
            <w:r>
              <w:rPr>
                <w:rStyle w:val="CharacterStyle7"/>
              </w:rPr>
              <w:t>Izvor financiranja 41</w:t>
            </w:r>
          </w:p>
        </w:tc>
        <w:tc>
          <w:tcPr>
            <w:tcW w:w="4995" w:type="dxa"/>
            <w:tcBorders>
              <w:bottom w:val="single" w:sz="6" w:space="0" w:color="000000"/>
              <w:right w:val="single" w:sz="6" w:space="0" w:color="000000"/>
            </w:tcBorders>
            <w:vAlign w:val="center"/>
          </w:tcPr>
          <w:p w14:paraId="6E5D0071" w14:textId="77777777" w:rsidR="007D706A" w:rsidRDefault="007D706A" w:rsidP="00F70508">
            <w:pPr>
              <w:pStyle w:val="ParagraphStyle8"/>
              <w:rPr>
                <w:rStyle w:val="CharacterStyle8"/>
              </w:rPr>
            </w:pPr>
            <w:r>
              <w:rPr>
                <w:rStyle w:val="CharacterStyle8"/>
              </w:rPr>
              <w:t>Prihodi za posebne namjene</w:t>
            </w:r>
          </w:p>
        </w:tc>
        <w:tc>
          <w:tcPr>
            <w:tcW w:w="1395" w:type="dxa"/>
            <w:tcBorders>
              <w:bottom w:val="single" w:sz="6" w:space="0" w:color="000000"/>
              <w:right w:val="single" w:sz="6" w:space="0" w:color="000000"/>
            </w:tcBorders>
            <w:vAlign w:val="center"/>
          </w:tcPr>
          <w:p w14:paraId="00E6E285"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48CB859" w14:textId="77777777" w:rsidR="007D706A" w:rsidRDefault="007D706A" w:rsidP="00F70508">
            <w:pPr>
              <w:pStyle w:val="ParagraphStyle9"/>
              <w:rPr>
                <w:rStyle w:val="CharacterStyle9"/>
              </w:rPr>
            </w:pPr>
            <w:r>
              <w:rPr>
                <w:rStyle w:val="CharacterStyle9"/>
              </w:rPr>
              <w:t>318.265,00</w:t>
            </w:r>
          </w:p>
        </w:tc>
        <w:tc>
          <w:tcPr>
            <w:tcW w:w="1395" w:type="dxa"/>
            <w:tcBorders>
              <w:bottom w:val="single" w:sz="6" w:space="0" w:color="000000"/>
              <w:right w:val="single" w:sz="6" w:space="0" w:color="000000"/>
            </w:tcBorders>
            <w:vAlign w:val="center"/>
          </w:tcPr>
          <w:p w14:paraId="1588F25F"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1C6E2CB"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5F75164" w14:textId="77777777" w:rsidR="007D706A" w:rsidRDefault="007D706A" w:rsidP="00F70508">
            <w:pPr>
              <w:pStyle w:val="ParagraphStyle9"/>
              <w:rPr>
                <w:rStyle w:val="CharacterStyle9"/>
              </w:rPr>
            </w:pPr>
            <w:r>
              <w:rPr>
                <w:rStyle w:val="CharacterStyle9"/>
              </w:rPr>
              <w:t>0,00</w:t>
            </w:r>
          </w:p>
        </w:tc>
      </w:tr>
      <w:tr w:rsidR="007D706A" w14:paraId="2ADA560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469856E"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1F30B63D"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2ACBFD8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EC9124E" w14:textId="77777777" w:rsidR="007D706A" w:rsidRDefault="007D706A" w:rsidP="00F70508">
            <w:pPr>
              <w:pStyle w:val="ParagraphStyle12"/>
              <w:rPr>
                <w:rStyle w:val="CharacterStyle12"/>
              </w:rPr>
            </w:pPr>
            <w:r>
              <w:rPr>
                <w:rStyle w:val="CharacterStyle12"/>
              </w:rPr>
              <w:t>318.265,00</w:t>
            </w:r>
          </w:p>
        </w:tc>
        <w:tc>
          <w:tcPr>
            <w:tcW w:w="1395" w:type="dxa"/>
            <w:tcBorders>
              <w:bottom w:val="single" w:sz="6" w:space="0" w:color="000000"/>
              <w:right w:val="single" w:sz="6" w:space="0" w:color="000000"/>
            </w:tcBorders>
            <w:vAlign w:val="center"/>
          </w:tcPr>
          <w:p w14:paraId="32D02F6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7B6453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68A8343" w14:textId="77777777" w:rsidR="007D706A" w:rsidRDefault="007D706A" w:rsidP="00F70508">
            <w:pPr>
              <w:pStyle w:val="ParagraphStyle12"/>
              <w:rPr>
                <w:rStyle w:val="CharacterStyle12"/>
              </w:rPr>
            </w:pPr>
            <w:r>
              <w:rPr>
                <w:rStyle w:val="CharacterStyle12"/>
              </w:rPr>
              <w:t>0,00</w:t>
            </w:r>
          </w:p>
        </w:tc>
      </w:tr>
      <w:tr w:rsidR="007D706A" w14:paraId="46EEA46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522A588"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6D351038"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27BC2EE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9611A3A" w14:textId="77777777" w:rsidR="007D706A" w:rsidRDefault="007D706A" w:rsidP="00F70508">
            <w:pPr>
              <w:pStyle w:val="ParagraphStyle12"/>
              <w:rPr>
                <w:rStyle w:val="CharacterStyle12"/>
              </w:rPr>
            </w:pPr>
            <w:r>
              <w:rPr>
                <w:rStyle w:val="CharacterStyle12"/>
              </w:rPr>
              <w:t>318.265,00</w:t>
            </w:r>
          </w:p>
        </w:tc>
        <w:tc>
          <w:tcPr>
            <w:tcW w:w="1395" w:type="dxa"/>
            <w:tcBorders>
              <w:bottom w:val="single" w:sz="6" w:space="0" w:color="000000"/>
              <w:right w:val="single" w:sz="6" w:space="0" w:color="000000"/>
            </w:tcBorders>
            <w:vAlign w:val="center"/>
          </w:tcPr>
          <w:p w14:paraId="1D38250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DF0234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0863010" w14:textId="77777777" w:rsidR="007D706A" w:rsidRDefault="007D706A" w:rsidP="00F70508">
            <w:pPr>
              <w:pStyle w:val="ParagraphStyle12"/>
              <w:rPr>
                <w:rStyle w:val="CharacterStyle12"/>
              </w:rPr>
            </w:pPr>
            <w:r>
              <w:rPr>
                <w:rStyle w:val="CharacterStyle12"/>
              </w:rPr>
              <w:t>0,00</w:t>
            </w:r>
          </w:p>
        </w:tc>
      </w:tr>
      <w:tr w:rsidR="007D706A" w14:paraId="7F3E2D83" w14:textId="77777777" w:rsidTr="00F70508">
        <w:trPr>
          <w:trHeight w:val="420"/>
        </w:trPr>
        <w:tc>
          <w:tcPr>
            <w:tcW w:w="2880" w:type="dxa"/>
            <w:tcBorders>
              <w:left w:val="single" w:sz="6" w:space="0" w:color="000000"/>
              <w:bottom w:val="single" w:sz="6" w:space="0" w:color="000000"/>
              <w:right w:val="single" w:sz="6" w:space="0" w:color="000000"/>
            </w:tcBorders>
            <w:vAlign w:val="center"/>
          </w:tcPr>
          <w:p w14:paraId="4C263EBD" w14:textId="77777777" w:rsidR="007D706A" w:rsidRDefault="007D706A" w:rsidP="00F70508">
            <w:pPr>
              <w:pStyle w:val="ParagraphStyle4"/>
              <w:rPr>
                <w:rStyle w:val="CharacterStyle4"/>
              </w:rPr>
            </w:pPr>
            <w:r>
              <w:rPr>
                <w:rStyle w:val="CharacterStyle4"/>
              </w:rPr>
              <w:t>Aktivnost A102003</w:t>
            </w:r>
          </w:p>
        </w:tc>
        <w:tc>
          <w:tcPr>
            <w:tcW w:w="4995" w:type="dxa"/>
            <w:tcBorders>
              <w:bottom w:val="single" w:sz="6" w:space="0" w:color="000000"/>
              <w:right w:val="single" w:sz="6" w:space="0" w:color="000000"/>
            </w:tcBorders>
            <w:vAlign w:val="center"/>
          </w:tcPr>
          <w:p w14:paraId="7241B665" w14:textId="77777777" w:rsidR="007D706A" w:rsidRDefault="007D706A" w:rsidP="00F70508">
            <w:pPr>
              <w:pStyle w:val="ParagraphStyle5"/>
              <w:rPr>
                <w:rStyle w:val="CharacterStyle5"/>
              </w:rPr>
            </w:pPr>
            <w:r>
              <w:rPr>
                <w:rStyle w:val="CharacterStyle5"/>
              </w:rPr>
              <w:t>NADZOR ODRŽAVANJA OBJEKATA JAVNE RASVJETE I ENERGETSKI PREGLEDI</w:t>
            </w:r>
          </w:p>
        </w:tc>
        <w:tc>
          <w:tcPr>
            <w:tcW w:w="1395" w:type="dxa"/>
            <w:tcBorders>
              <w:bottom w:val="single" w:sz="6" w:space="0" w:color="000000"/>
              <w:right w:val="single" w:sz="6" w:space="0" w:color="000000"/>
            </w:tcBorders>
            <w:vAlign w:val="center"/>
          </w:tcPr>
          <w:p w14:paraId="5DFF2372"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1FFFB5D7" w14:textId="77777777" w:rsidR="007D706A" w:rsidRDefault="007D706A" w:rsidP="00F70508">
            <w:pPr>
              <w:pStyle w:val="ParagraphStyle6"/>
              <w:rPr>
                <w:rStyle w:val="CharacterStyle6"/>
              </w:rPr>
            </w:pPr>
            <w:r>
              <w:rPr>
                <w:rStyle w:val="CharacterStyle6"/>
              </w:rPr>
              <w:t>5.050,00</w:t>
            </w:r>
          </w:p>
        </w:tc>
        <w:tc>
          <w:tcPr>
            <w:tcW w:w="1395" w:type="dxa"/>
            <w:tcBorders>
              <w:bottom w:val="single" w:sz="6" w:space="0" w:color="000000"/>
              <w:right w:val="single" w:sz="6" w:space="0" w:color="000000"/>
            </w:tcBorders>
            <w:vAlign w:val="center"/>
          </w:tcPr>
          <w:p w14:paraId="2FEFC263" w14:textId="77777777" w:rsidR="007D706A" w:rsidRDefault="007D706A" w:rsidP="00F70508">
            <w:pPr>
              <w:pStyle w:val="ParagraphStyle6"/>
              <w:rPr>
                <w:rStyle w:val="CharacterStyle6"/>
              </w:rPr>
            </w:pPr>
            <w:r>
              <w:rPr>
                <w:rStyle w:val="CharacterStyle6"/>
              </w:rPr>
              <w:t>5.050,00</w:t>
            </w:r>
          </w:p>
        </w:tc>
        <w:tc>
          <w:tcPr>
            <w:tcW w:w="1395" w:type="dxa"/>
            <w:tcBorders>
              <w:bottom w:val="single" w:sz="6" w:space="0" w:color="000000"/>
              <w:right w:val="single" w:sz="6" w:space="0" w:color="000000"/>
            </w:tcBorders>
            <w:vAlign w:val="center"/>
          </w:tcPr>
          <w:p w14:paraId="1C011C2B" w14:textId="77777777" w:rsidR="007D706A" w:rsidRDefault="007D706A" w:rsidP="00F70508">
            <w:pPr>
              <w:pStyle w:val="ParagraphStyle6"/>
              <w:rPr>
                <w:rStyle w:val="CharacterStyle6"/>
              </w:rPr>
            </w:pPr>
            <w:r>
              <w:rPr>
                <w:rStyle w:val="CharacterStyle6"/>
              </w:rPr>
              <w:t>5.050,00</w:t>
            </w:r>
          </w:p>
        </w:tc>
        <w:tc>
          <w:tcPr>
            <w:tcW w:w="1395" w:type="dxa"/>
            <w:tcBorders>
              <w:bottom w:val="single" w:sz="6" w:space="0" w:color="000000"/>
              <w:right w:val="single" w:sz="6" w:space="0" w:color="000000"/>
            </w:tcBorders>
            <w:vAlign w:val="center"/>
          </w:tcPr>
          <w:p w14:paraId="71A26D0B" w14:textId="77777777" w:rsidR="007D706A" w:rsidRDefault="007D706A" w:rsidP="00F70508">
            <w:pPr>
              <w:pStyle w:val="ParagraphStyle6"/>
              <w:rPr>
                <w:rStyle w:val="CharacterStyle6"/>
              </w:rPr>
            </w:pPr>
            <w:r>
              <w:rPr>
                <w:rStyle w:val="CharacterStyle6"/>
              </w:rPr>
              <w:t>5.050,00</w:t>
            </w:r>
          </w:p>
        </w:tc>
      </w:tr>
      <w:tr w:rsidR="007D706A" w14:paraId="6FBF207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F64F7CC" w14:textId="77777777" w:rsidR="007D706A" w:rsidRDefault="007D706A" w:rsidP="00F70508">
            <w:pPr>
              <w:pStyle w:val="ParagraphStyle7"/>
              <w:rPr>
                <w:rStyle w:val="CharacterStyle7"/>
              </w:rPr>
            </w:pPr>
            <w:r>
              <w:rPr>
                <w:rStyle w:val="CharacterStyle7"/>
              </w:rPr>
              <w:t>Izvor financiranja 40</w:t>
            </w:r>
          </w:p>
        </w:tc>
        <w:tc>
          <w:tcPr>
            <w:tcW w:w="4995" w:type="dxa"/>
            <w:tcBorders>
              <w:bottom w:val="single" w:sz="6" w:space="0" w:color="000000"/>
              <w:right w:val="single" w:sz="6" w:space="0" w:color="000000"/>
            </w:tcBorders>
            <w:vAlign w:val="center"/>
          </w:tcPr>
          <w:p w14:paraId="2F8314AB" w14:textId="77777777" w:rsidR="007D706A" w:rsidRDefault="007D706A" w:rsidP="00F70508">
            <w:pPr>
              <w:pStyle w:val="ParagraphStyle8"/>
              <w:rPr>
                <w:rStyle w:val="CharacterStyle8"/>
              </w:rPr>
            </w:pPr>
            <w:r>
              <w:rPr>
                <w:rStyle w:val="CharacterStyle8"/>
              </w:rPr>
              <w:t>Prihodi od komunalne naknade i komunalnog doprinosa</w:t>
            </w:r>
          </w:p>
        </w:tc>
        <w:tc>
          <w:tcPr>
            <w:tcW w:w="1395" w:type="dxa"/>
            <w:tcBorders>
              <w:bottom w:val="single" w:sz="6" w:space="0" w:color="000000"/>
              <w:right w:val="single" w:sz="6" w:space="0" w:color="000000"/>
            </w:tcBorders>
            <w:vAlign w:val="center"/>
          </w:tcPr>
          <w:p w14:paraId="52BCA981"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ABF9B59"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3B764E0" w14:textId="77777777" w:rsidR="007D706A" w:rsidRDefault="007D706A" w:rsidP="00F70508">
            <w:pPr>
              <w:pStyle w:val="ParagraphStyle9"/>
              <w:rPr>
                <w:rStyle w:val="CharacterStyle9"/>
              </w:rPr>
            </w:pPr>
            <w:r>
              <w:rPr>
                <w:rStyle w:val="CharacterStyle9"/>
              </w:rPr>
              <w:t>5.050,00</w:t>
            </w:r>
          </w:p>
        </w:tc>
        <w:tc>
          <w:tcPr>
            <w:tcW w:w="1395" w:type="dxa"/>
            <w:tcBorders>
              <w:bottom w:val="single" w:sz="6" w:space="0" w:color="000000"/>
              <w:right w:val="single" w:sz="6" w:space="0" w:color="000000"/>
            </w:tcBorders>
            <w:vAlign w:val="center"/>
          </w:tcPr>
          <w:p w14:paraId="7DA59A0C" w14:textId="77777777" w:rsidR="007D706A" w:rsidRDefault="007D706A" w:rsidP="00F70508">
            <w:pPr>
              <w:pStyle w:val="ParagraphStyle9"/>
              <w:rPr>
                <w:rStyle w:val="CharacterStyle9"/>
              </w:rPr>
            </w:pPr>
            <w:r>
              <w:rPr>
                <w:rStyle w:val="CharacterStyle9"/>
              </w:rPr>
              <w:t>5.050,00</w:t>
            </w:r>
          </w:p>
        </w:tc>
        <w:tc>
          <w:tcPr>
            <w:tcW w:w="1395" w:type="dxa"/>
            <w:tcBorders>
              <w:bottom w:val="single" w:sz="6" w:space="0" w:color="000000"/>
              <w:right w:val="single" w:sz="6" w:space="0" w:color="000000"/>
            </w:tcBorders>
            <w:vAlign w:val="center"/>
          </w:tcPr>
          <w:p w14:paraId="5513B2CC" w14:textId="77777777" w:rsidR="007D706A" w:rsidRDefault="007D706A" w:rsidP="00F70508">
            <w:pPr>
              <w:pStyle w:val="ParagraphStyle9"/>
              <w:rPr>
                <w:rStyle w:val="CharacterStyle9"/>
              </w:rPr>
            </w:pPr>
            <w:r>
              <w:rPr>
                <w:rStyle w:val="CharacterStyle9"/>
              </w:rPr>
              <w:t>5.050,00</w:t>
            </w:r>
          </w:p>
        </w:tc>
      </w:tr>
      <w:tr w:rsidR="007D706A" w14:paraId="472EC64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24C4AD9"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13E01883"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17191D7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98C9A8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210F246" w14:textId="77777777" w:rsidR="007D706A" w:rsidRDefault="007D706A" w:rsidP="00F70508">
            <w:pPr>
              <w:pStyle w:val="ParagraphStyle12"/>
              <w:rPr>
                <w:rStyle w:val="CharacterStyle12"/>
              </w:rPr>
            </w:pPr>
            <w:r>
              <w:rPr>
                <w:rStyle w:val="CharacterStyle12"/>
              </w:rPr>
              <w:t>5.050,00</w:t>
            </w:r>
          </w:p>
        </w:tc>
        <w:tc>
          <w:tcPr>
            <w:tcW w:w="1395" w:type="dxa"/>
            <w:tcBorders>
              <w:bottom w:val="single" w:sz="6" w:space="0" w:color="000000"/>
              <w:right w:val="single" w:sz="6" w:space="0" w:color="000000"/>
            </w:tcBorders>
            <w:vAlign w:val="center"/>
          </w:tcPr>
          <w:p w14:paraId="3F2B6157" w14:textId="77777777" w:rsidR="007D706A" w:rsidRDefault="007D706A" w:rsidP="00F70508">
            <w:pPr>
              <w:pStyle w:val="ParagraphStyle12"/>
              <w:rPr>
                <w:rStyle w:val="CharacterStyle12"/>
              </w:rPr>
            </w:pPr>
            <w:r>
              <w:rPr>
                <w:rStyle w:val="CharacterStyle12"/>
              </w:rPr>
              <w:t>5.050,00</w:t>
            </w:r>
          </w:p>
        </w:tc>
        <w:tc>
          <w:tcPr>
            <w:tcW w:w="1395" w:type="dxa"/>
            <w:tcBorders>
              <w:bottom w:val="single" w:sz="6" w:space="0" w:color="000000"/>
              <w:right w:val="single" w:sz="6" w:space="0" w:color="000000"/>
            </w:tcBorders>
            <w:vAlign w:val="center"/>
          </w:tcPr>
          <w:p w14:paraId="7E420E62" w14:textId="77777777" w:rsidR="007D706A" w:rsidRDefault="007D706A" w:rsidP="00F70508">
            <w:pPr>
              <w:pStyle w:val="ParagraphStyle12"/>
              <w:rPr>
                <w:rStyle w:val="CharacterStyle12"/>
              </w:rPr>
            </w:pPr>
            <w:r>
              <w:rPr>
                <w:rStyle w:val="CharacterStyle12"/>
              </w:rPr>
              <w:t>5.050,00</w:t>
            </w:r>
          </w:p>
        </w:tc>
      </w:tr>
      <w:tr w:rsidR="007D706A" w14:paraId="4723324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87880CE"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71F24CD4"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777A53B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AEB0A5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5F9A579" w14:textId="77777777" w:rsidR="007D706A" w:rsidRDefault="007D706A" w:rsidP="00F70508">
            <w:pPr>
              <w:pStyle w:val="ParagraphStyle12"/>
              <w:rPr>
                <w:rStyle w:val="CharacterStyle12"/>
              </w:rPr>
            </w:pPr>
            <w:r>
              <w:rPr>
                <w:rStyle w:val="CharacterStyle12"/>
              </w:rPr>
              <w:t>5.050,00</w:t>
            </w:r>
          </w:p>
        </w:tc>
        <w:tc>
          <w:tcPr>
            <w:tcW w:w="1395" w:type="dxa"/>
            <w:tcBorders>
              <w:bottom w:val="single" w:sz="6" w:space="0" w:color="000000"/>
              <w:right w:val="single" w:sz="6" w:space="0" w:color="000000"/>
            </w:tcBorders>
            <w:vAlign w:val="center"/>
          </w:tcPr>
          <w:p w14:paraId="254DC6F6" w14:textId="77777777" w:rsidR="007D706A" w:rsidRDefault="007D706A" w:rsidP="00F70508">
            <w:pPr>
              <w:pStyle w:val="ParagraphStyle12"/>
              <w:rPr>
                <w:rStyle w:val="CharacterStyle12"/>
              </w:rPr>
            </w:pPr>
            <w:r>
              <w:rPr>
                <w:rStyle w:val="CharacterStyle12"/>
              </w:rPr>
              <w:t>5.050,00</w:t>
            </w:r>
          </w:p>
        </w:tc>
        <w:tc>
          <w:tcPr>
            <w:tcW w:w="1395" w:type="dxa"/>
            <w:tcBorders>
              <w:bottom w:val="single" w:sz="6" w:space="0" w:color="000000"/>
              <w:right w:val="single" w:sz="6" w:space="0" w:color="000000"/>
            </w:tcBorders>
            <w:vAlign w:val="center"/>
          </w:tcPr>
          <w:p w14:paraId="33D68118" w14:textId="77777777" w:rsidR="007D706A" w:rsidRDefault="007D706A" w:rsidP="00F70508">
            <w:pPr>
              <w:pStyle w:val="ParagraphStyle12"/>
              <w:rPr>
                <w:rStyle w:val="CharacterStyle12"/>
              </w:rPr>
            </w:pPr>
            <w:r>
              <w:rPr>
                <w:rStyle w:val="CharacterStyle12"/>
              </w:rPr>
              <w:t>5.050,00</w:t>
            </w:r>
          </w:p>
        </w:tc>
      </w:tr>
      <w:tr w:rsidR="007D706A" w14:paraId="40D831A6"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C4C0530" w14:textId="77777777" w:rsidR="007D706A" w:rsidRDefault="007D706A" w:rsidP="00F70508">
            <w:pPr>
              <w:pStyle w:val="ParagraphStyle7"/>
              <w:rPr>
                <w:rStyle w:val="CharacterStyle7"/>
              </w:rPr>
            </w:pPr>
            <w:r>
              <w:rPr>
                <w:rStyle w:val="CharacterStyle7"/>
              </w:rPr>
              <w:t>Izvor financiranja 41</w:t>
            </w:r>
          </w:p>
        </w:tc>
        <w:tc>
          <w:tcPr>
            <w:tcW w:w="4995" w:type="dxa"/>
            <w:tcBorders>
              <w:bottom w:val="single" w:sz="6" w:space="0" w:color="000000"/>
              <w:right w:val="single" w:sz="6" w:space="0" w:color="000000"/>
            </w:tcBorders>
            <w:vAlign w:val="center"/>
          </w:tcPr>
          <w:p w14:paraId="7B6FDBE6" w14:textId="77777777" w:rsidR="007D706A" w:rsidRDefault="007D706A" w:rsidP="00F70508">
            <w:pPr>
              <w:pStyle w:val="ParagraphStyle8"/>
              <w:rPr>
                <w:rStyle w:val="CharacterStyle8"/>
              </w:rPr>
            </w:pPr>
            <w:r>
              <w:rPr>
                <w:rStyle w:val="CharacterStyle8"/>
              </w:rPr>
              <w:t>Prihodi za posebne namjene</w:t>
            </w:r>
          </w:p>
        </w:tc>
        <w:tc>
          <w:tcPr>
            <w:tcW w:w="1395" w:type="dxa"/>
            <w:tcBorders>
              <w:bottom w:val="single" w:sz="6" w:space="0" w:color="000000"/>
              <w:right w:val="single" w:sz="6" w:space="0" w:color="000000"/>
            </w:tcBorders>
            <w:vAlign w:val="center"/>
          </w:tcPr>
          <w:p w14:paraId="0D54021D"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AE1DA3D" w14:textId="77777777" w:rsidR="007D706A" w:rsidRDefault="007D706A" w:rsidP="00F70508">
            <w:pPr>
              <w:pStyle w:val="ParagraphStyle9"/>
              <w:rPr>
                <w:rStyle w:val="CharacterStyle9"/>
              </w:rPr>
            </w:pPr>
            <w:r>
              <w:rPr>
                <w:rStyle w:val="CharacterStyle9"/>
              </w:rPr>
              <w:t>5.050,00</w:t>
            </w:r>
          </w:p>
        </w:tc>
        <w:tc>
          <w:tcPr>
            <w:tcW w:w="1395" w:type="dxa"/>
            <w:tcBorders>
              <w:bottom w:val="single" w:sz="6" w:space="0" w:color="000000"/>
              <w:right w:val="single" w:sz="6" w:space="0" w:color="000000"/>
            </w:tcBorders>
            <w:vAlign w:val="center"/>
          </w:tcPr>
          <w:p w14:paraId="757E4FD7"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9C9EAB6"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23E087C" w14:textId="77777777" w:rsidR="007D706A" w:rsidRDefault="007D706A" w:rsidP="00F70508">
            <w:pPr>
              <w:pStyle w:val="ParagraphStyle9"/>
              <w:rPr>
                <w:rStyle w:val="CharacterStyle9"/>
              </w:rPr>
            </w:pPr>
            <w:r>
              <w:rPr>
                <w:rStyle w:val="CharacterStyle9"/>
              </w:rPr>
              <w:t>0,00</w:t>
            </w:r>
          </w:p>
        </w:tc>
      </w:tr>
      <w:tr w:rsidR="007D706A" w14:paraId="2B92701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0F57469"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237FC872"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7839914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38674A1" w14:textId="77777777" w:rsidR="007D706A" w:rsidRDefault="007D706A" w:rsidP="00F70508">
            <w:pPr>
              <w:pStyle w:val="ParagraphStyle12"/>
              <w:rPr>
                <w:rStyle w:val="CharacterStyle12"/>
              </w:rPr>
            </w:pPr>
            <w:r>
              <w:rPr>
                <w:rStyle w:val="CharacterStyle12"/>
              </w:rPr>
              <w:t>5.050,00</w:t>
            </w:r>
          </w:p>
        </w:tc>
        <w:tc>
          <w:tcPr>
            <w:tcW w:w="1395" w:type="dxa"/>
            <w:tcBorders>
              <w:bottom w:val="single" w:sz="6" w:space="0" w:color="000000"/>
              <w:right w:val="single" w:sz="6" w:space="0" w:color="000000"/>
            </w:tcBorders>
            <w:vAlign w:val="center"/>
          </w:tcPr>
          <w:p w14:paraId="683534C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C37A76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E1D7806" w14:textId="77777777" w:rsidR="007D706A" w:rsidRDefault="007D706A" w:rsidP="00F70508">
            <w:pPr>
              <w:pStyle w:val="ParagraphStyle12"/>
              <w:rPr>
                <w:rStyle w:val="CharacterStyle12"/>
              </w:rPr>
            </w:pPr>
            <w:r>
              <w:rPr>
                <w:rStyle w:val="CharacterStyle12"/>
              </w:rPr>
              <w:t>0,00</w:t>
            </w:r>
          </w:p>
        </w:tc>
      </w:tr>
      <w:tr w:rsidR="007D706A" w14:paraId="10917CA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BE23FFA"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21BD20B4"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6F9C6CC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F063B3A" w14:textId="77777777" w:rsidR="007D706A" w:rsidRDefault="007D706A" w:rsidP="00F70508">
            <w:pPr>
              <w:pStyle w:val="ParagraphStyle12"/>
              <w:rPr>
                <w:rStyle w:val="CharacterStyle12"/>
              </w:rPr>
            </w:pPr>
            <w:r>
              <w:rPr>
                <w:rStyle w:val="CharacterStyle12"/>
              </w:rPr>
              <w:t>5.050,00</w:t>
            </w:r>
          </w:p>
        </w:tc>
        <w:tc>
          <w:tcPr>
            <w:tcW w:w="1395" w:type="dxa"/>
            <w:tcBorders>
              <w:bottom w:val="single" w:sz="6" w:space="0" w:color="000000"/>
              <w:right w:val="single" w:sz="6" w:space="0" w:color="000000"/>
            </w:tcBorders>
            <w:vAlign w:val="center"/>
          </w:tcPr>
          <w:p w14:paraId="0D1B029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03FA25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442C523" w14:textId="77777777" w:rsidR="007D706A" w:rsidRDefault="007D706A" w:rsidP="00F70508">
            <w:pPr>
              <w:pStyle w:val="ParagraphStyle12"/>
              <w:rPr>
                <w:rStyle w:val="CharacterStyle12"/>
              </w:rPr>
            </w:pPr>
            <w:r>
              <w:rPr>
                <w:rStyle w:val="CharacterStyle12"/>
              </w:rPr>
              <w:t>0,00</w:t>
            </w:r>
          </w:p>
        </w:tc>
      </w:tr>
      <w:tr w:rsidR="007D706A" w14:paraId="63B685D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868ABBA" w14:textId="77777777" w:rsidR="007D706A" w:rsidRDefault="007D706A" w:rsidP="00F70508">
            <w:pPr>
              <w:pStyle w:val="ParagraphStyle4"/>
              <w:rPr>
                <w:rStyle w:val="CharacterStyle4"/>
              </w:rPr>
            </w:pPr>
            <w:r>
              <w:rPr>
                <w:rStyle w:val="CharacterStyle4"/>
              </w:rPr>
              <w:t>PROGRAM    1021</w:t>
            </w:r>
          </w:p>
        </w:tc>
        <w:tc>
          <w:tcPr>
            <w:tcW w:w="4995" w:type="dxa"/>
            <w:tcBorders>
              <w:bottom w:val="single" w:sz="6" w:space="0" w:color="000000"/>
              <w:right w:val="single" w:sz="6" w:space="0" w:color="000000"/>
            </w:tcBorders>
            <w:vAlign w:val="center"/>
          </w:tcPr>
          <w:p w14:paraId="2290BEDC" w14:textId="77777777" w:rsidR="007D706A" w:rsidRDefault="007D706A" w:rsidP="00F70508">
            <w:pPr>
              <w:pStyle w:val="ParagraphStyle5"/>
              <w:rPr>
                <w:rStyle w:val="CharacterStyle5"/>
              </w:rPr>
            </w:pPr>
            <w:r>
              <w:rPr>
                <w:rStyle w:val="CharacterStyle5"/>
              </w:rPr>
              <w:t>JAVNE I ZELENE POVRŠINE</w:t>
            </w:r>
          </w:p>
        </w:tc>
        <w:tc>
          <w:tcPr>
            <w:tcW w:w="1395" w:type="dxa"/>
            <w:tcBorders>
              <w:bottom w:val="single" w:sz="6" w:space="0" w:color="000000"/>
              <w:right w:val="single" w:sz="6" w:space="0" w:color="000000"/>
            </w:tcBorders>
            <w:vAlign w:val="center"/>
          </w:tcPr>
          <w:p w14:paraId="25F6D1EB"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08DFEF9A" w14:textId="77777777" w:rsidR="007D706A" w:rsidRDefault="007D706A" w:rsidP="00F70508">
            <w:pPr>
              <w:pStyle w:val="ParagraphStyle6"/>
              <w:rPr>
                <w:rStyle w:val="CharacterStyle6"/>
              </w:rPr>
            </w:pPr>
            <w:r>
              <w:rPr>
                <w:rStyle w:val="CharacterStyle6"/>
              </w:rPr>
              <w:t>1.333.289,50</w:t>
            </w:r>
          </w:p>
        </w:tc>
        <w:tc>
          <w:tcPr>
            <w:tcW w:w="1395" w:type="dxa"/>
            <w:tcBorders>
              <w:bottom w:val="single" w:sz="6" w:space="0" w:color="000000"/>
              <w:right w:val="single" w:sz="6" w:space="0" w:color="000000"/>
            </w:tcBorders>
            <w:vAlign w:val="center"/>
          </w:tcPr>
          <w:p w14:paraId="11F7A883" w14:textId="77777777" w:rsidR="007D706A" w:rsidRDefault="007D706A" w:rsidP="00F70508">
            <w:pPr>
              <w:pStyle w:val="ParagraphStyle6"/>
              <w:rPr>
                <w:rStyle w:val="CharacterStyle6"/>
              </w:rPr>
            </w:pPr>
            <w:r>
              <w:rPr>
                <w:rStyle w:val="CharacterStyle6"/>
              </w:rPr>
              <w:t>1.349.000,00</w:t>
            </w:r>
          </w:p>
        </w:tc>
        <w:tc>
          <w:tcPr>
            <w:tcW w:w="1395" w:type="dxa"/>
            <w:tcBorders>
              <w:bottom w:val="single" w:sz="6" w:space="0" w:color="000000"/>
              <w:right w:val="single" w:sz="6" w:space="0" w:color="000000"/>
            </w:tcBorders>
            <w:vAlign w:val="center"/>
          </w:tcPr>
          <w:p w14:paraId="65085A97" w14:textId="77777777" w:rsidR="007D706A" w:rsidRDefault="007D706A" w:rsidP="00F70508">
            <w:pPr>
              <w:pStyle w:val="ParagraphStyle6"/>
              <w:rPr>
                <w:rStyle w:val="CharacterStyle6"/>
              </w:rPr>
            </w:pPr>
            <w:r>
              <w:rPr>
                <w:rStyle w:val="CharacterStyle6"/>
              </w:rPr>
              <w:t>1.347.000,00</w:t>
            </w:r>
          </w:p>
        </w:tc>
        <w:tc>
          <w:tcPr>
            <w:tcW w:w="1395" w:type="dxa"/>
            <w:tcBorders>
              <w:bottom w:val="single" w:sz="6" w:space="0" w:color="000000"/>
              <w:right w:val="single" w:sz="6" w:space="0" w:color="000000"/>
            </w:tcBorders>
            <w:vAlign w:val="center"/>
          </w:tcPr>
          <w:p w14:paraId="0C884B1E" w14:textId="77777777" w:rsidR="007D706A" w:rsidRDefault="007D706A" w:rsidP="00F70508">
            <w:pPr>
              <w:pStyle w:val="ParagraphStyle6"/>
              <w:rPr>
                <w:rStyle w:val="CharacterStyle6"/>
              </w:rPr>
            </w:pPr>
            <w:r>
              <w:rPr>
                <w:rStyle w:val="CharacterStyle6"/>
              </w:rPr>
              <w:t>1.360.000,00</w:t>
            </w:r>
          </w:p>
        </w:tc>
      </w:tr>
      <w:tr w:rsidR="007D706A" w14:paraId="29AEA66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C38FE3D" w14:textId="77777777" w:rsidR="007D706A" w:rsidRDefault="007D706A" w:rsidP="00F70508">
            <w:pPr>
              <w:pStyle w:val="ParagraphStyle4"/>
              <w:rPr>
                <w:rStyle w:val="CharacterStyle4"/>
              </w:rPr>
            </w:pPr>
            <w:r>
              <w:rPr>
                <w:rStyle w:val="CharacterStyle4"/>
              </w:rPr>
              <w:t>Aktivnost A102101</w:t>
            </w:r>
          </w:p>
        </w:tc>
        <w:tc>
          <w:tcPr>
            <w:tcW w:w="4995" w:type="dxa"/>
            <w:tcBorders>
              <w:bottom w:val="single" w:sz="6" w:space="0" w:color="000000"/>
              <w:right w:val="single" w:sz="6" w:space="0" w:color="000000"/>
            </w:tcBorders>
            <w:vAlign w:val="center"/>
          </w:tcPr>
          <w:p w14:paraId="617E5D66" w14:textId="77777777" w:rsidR="007D706A" w:rsidRDefault="007D706A" w:rsidP="00F70508">
            <w:pPr>
              <w:pStyle w:val="ParagraphStyle5"/>
              <w:rPr>
                <w:rStyle w:val="CharacterStyle5"/>
              </w:rPr>
            </w:pPr>
            <w:r>
              <w:rPr>
                <w:rStyle w:val="CharacterStyle5"/>
              </w:rPr>
              <w:t>ČIŠĆENJE JAVNIH POVRŠINA</w:t>
            </w:r>
          </w:p>
        </w:tc>
        <w:tc>
          <w:tcPr>
            <w:tcW w:w="1395" w:type="dxa"/>
            <w:tcBorders>
              <w:bottom w:val="single" w:sz="6" w:space="0" w:color="000000"/>
              <w:right w:val="single" w:sz="6" w:space="0" w:color="000000"/>
            </w:tcBorders>
            <w:vAlign w:val="center"/>
          </w:tcPr>
          <w:p w14:paraId="47D1F9FB"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5D6FE98C" w14:textId="77777777" w:rsidR="007D706A" w:rsidRDefault="007D706A" w:rsidP="00F70508">
            <w:pPr>
              <w:pStyle w:val="ParagraphStyle6"/>
              <w:rPr>
                <w:rStyle w:val="CharacterStyle6"/>
              </w:rPr>
            </w:pPr>
            <w:r>
              <w:rPr>
                <w:rStyle w:val="CharacterStyle6"/>
              </w:rPr>
              <w:t>349.800,00</w:t>
            </w:r>
          </w:p>
        </w:tc>
        <w:tc>
          <w:tcPr>
            <w:tcW w:w="1395" w:type="dxa"/>
            <w:tcBorders>
              <w:bottom w:val="single" w:sz="6" w:space="0" w:color="000000"/>
              <w:right w:val="single" w:sz="6" w:space="0" w:color="000000"/>
            </w:tcBorders>
            <w:vAlign w:val="center"/>
          </w:tcPr>
          <w:p w14:paraId="295F981F" w14:textId="77777777" w:rsidR="007D706A" w:rsidRDefault="007D706A" w:rsidP="00F70508">
            <w:pPr>
              <w:pStyle w:val="ParagraphStyle6"/>
              <w:rPr>
                <w:rStyle w:val="CharacterStyle6"/>
              </w:rPr>
            </w:pPr>
            <w:r>
              <w:rPr>
                <w:rStyle w:val="CharacterStyle6"/>
              </w:rPr>
              <w:t>350.000,00</w:t>
            </w:r>
          </w:p>
        </w:tc>
        <w:tc>
          <w:tcPr>
            <w:tcW w:w="1395" w:type="dxa"/>
            <w:tcBorders>
              <w:bottom w:val="single" w:sz="6" w:space="0" w:color="000000"/>
              <w:right w:val="single" w:sz="6" w:space="0" w:color="000000"/>
            </w:tcBorders>
            <w:vAlign w:val="center"/>
          </w:tcPr>
          <w:p w14:paraId="535BA531" w14:textId="77777777" w:rsidR="007D706A" w:rsidRDefault="007D706A" w:rsidP="00F70508">
            <w:pPr>
              <w:pStyle w:val="ParagraphStyle6"/>
              <w:rPr>
                <w:rStyle w:val="CharacterStyle6"/>
              </w:rPr>
            </w:pPr>
            <w:r>
              <w:rPr>
                <w:rStyle w:val="CharacterStyle6"/>
              </w:rPr>
              <w:t>354.000,00</w:t>
            </w:r>
          </w:p>
        </w:tc>
        <w:tc>
          <w:tcPr>
            <w:tcW w:w="1395" w:type="dxa"/>
            <w:tcBorders>
              <w:bottom w:val="single" w:sz="6" w:space="0" w:color="000000"/>
              <w:right w:val="single" w:sz="6" w:space="0" w:color="000000"/>
            </w:tcBorders>
            <w:vAlign w:val="center"/>
          </w:tcPr>
          <w:p w14:paraId="7DDD3106" w14:textId="77777777" w:rsidR="007D706A" w:rsidRDefault="007D706A" w:rsidP="00F70508">
            <w:pPr>
              <w:pStyle w:val="ParagraphStyle6"/>
              <w:rPr>
                <w:rStyle w:val="CharacterStyle6"/>
              </w:rPr>
            </w:pPr>
            <w:r>
              <w:rPr>
                <w:rStyle w:val="CharacterStyle6"/>
              </w:rPr>
              <w:t>360.000,00</w:t>
            </w:r>
          </w:p>
        </w:tc>
      </w:tr>
      <w:tr w:rsidR="007D706A" w14:paraId="66AE53E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C333ECC" w14:textId="77777777" w:rsidR="007D706A" w:rsidRDefault="007D706A" w:rsidP="00F70508">
            <w:pPr>
              <w:pStyle w:val="ParagraphStyle7"/>
              <w:rPr>
                <w:rStyle w:val="CharacterStyle7"/>
              </w:rPr>
            </w:pPr>
            <w:r>
              <w:rPr>
                <w:rStyle w:val="CharacterStyle7"/>
              </w:rPr>
              <w:t>Izvor financiranja 40</w:t>
            </w:r>
          </w:p>
        </w:tc>
        <w:tc>
          <w:tcPr>
            <w:tcW w:w="4995" w:type="dxa"/>
            <w:tcBorders>
              <w:bottom w:val="single" w:sz="6" w:space="0" w:color="000000"/>
              <w:right w:val="single" w:sz="6" w:space="0" w:color="000000"/>
            </w:tcBorders>
            <w:vAlign w:val="center"/>
          </w:tcPr>
          <w:p w14:paraId="44FCEF7A" w14:textId="77777777" w:rsidR="007D706A" w:rsidRDefault="007D706A" w:rsidP="00F70508">
            <w:pPr>
              <w:pStyle w:val="ParagraphStyle8"/>
              <w:rPr>
                <w:rStyle w:val="CharacterStyle8"/>
              </w:rPr>
            </w:pPr>
            <w:r>
              <w:rPr>
                <w:rStyle w:val="CharacterStyle8"/>
              </w:rPr>
              <w:t>Prihodi od komunalne naknade i komunalnog doprinosa</w:t>
            </w:r>
          </w:p>
        </w:tc>
        <w:tc>
          <w:tcPr>
            <w:tcW w:w="1395" w:type="dxa"/>
            <w:tcBorders>
              <w:bottom w:val="single" w:sz="6" w:space="0" w:color="000000"/>
              <w:right w:val="single" w:sz="6" w:space="0" w:color="000000"/>
            </w:tcBorders>
            <w:vAlign w:val="center"/>
          </w:tcPr>
          <w:p w14:paraId="367BED38"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B484546"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E9676A8" w14:textId="77777777" w:rsidR="007D706A" w:rsidRDefault="007D706A" w:rsidP="00F70508">
            <w:pPr>
              <w:pStyle w:val="ParagraphStyle9"/>
              <w:rPr>
                <w:rStyle w:val="CharacterStyle9"/>
              </w:rPr>
            </w:pPr>
            <w:r>
              <w:rPr>
                <w:rStyle w:val="CharacterStyle9"/>
              </w:rPr>
              <w:t>350.000,00</w:t>
            </w:r>
          </w:p>
        </w:tc>
        <w:tc>
          <w:tcPr>
            <w:tcW w:w="1395" w:type="dxa"/>
            <w:tcBorders>
              <w:bottom w:val="single" w:sz="6" w:space="0" w:color="000000"/>
              <w:right w:val="single" w:sz="6" w:space="0" w:color="000000"/>
            </w:tcBorders>
            <w:vAlign w:val="center"/>
          </w:tcPr>
          <w:p w14:paraId="5D52D7E8" w14:textId="77777777" w:rsidR="007D706A" w:rsidRDefault="007D706A" w:rsidP="00F70508">
            <w:pPr>
              <w:pStyle w:val="ParagraphStyle9"/>
              <w:rPr>
                <w:rStyle w:val="CharacterStyle9"/>
              </w:rPr>
            </w:pPr>
            <w:r>
              <w:rPr>
                <w:rStyle w:val="CharacterStyle9"/>
              </w:rPr>
              <w:t>354.000,00</w:t>
            </w:r>
          </w:p>
        </w:tc>
        <w:tc>
          <w:tcPr>
            <w:tcW w:w="1395" w:type="dxa"/>
            <w:tcBorders>
              <w:bottom w:val="single" w:sz="6" w:space="0" w:color="000000"/>
              <w:right w:val="single" w:sz="6" w:space="0" w:color="000000"/>
            </w:tcBorders>
            <w:vAlign w:val="center"/>
          </w:tcPr>
          <w:p w14:paraId="4E31C70E" w14:textId="77777777" w:rsidR="007D706A" w:rsidRDefault="007D706A" w:rsidP="00F70508">
            <w:pPr>
              <w:pStyle w:val="ParagraphStyle9"/>
              <w:rPr>
                <w:rStyle w:val="CharacterStyle9"/>
              </w:rPr>
            </w:pPr>
            <w:r>
              <w:rPr>
                <w:rStyle w:val="CharacterStyle9"/>
              </w:rPr>
              <w:t>360.000,00</w:t>
            </w:r>
          </w:p>
        </w:tc>
      </w:tr>
      <w:tr w:rsidR="007D706A" w14:paraId="2297C83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8D4B8E0"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23C556EC"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64A464A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1B5B74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345E902" w14:textId="77777777" w:rsidR="007D706A" w:rsidRDefault="007D706A" w:rsidP="00F70508">
            <w:pPr>
              <w:pStyle w:val="ParagraphStyle12"/>
              <w:rPr>
                <w:rStyle w:val="CharacterStyle12"/>
              </w:rPr>
            </w:pPr>
            <w:r>
              <w:rPr>
                <w:rStyle w:val="CharacterStyle12"/>
              </w:rPr>
              <w:t>350.000,00</w:t>
            </w:r>
          </w:p>
        </w:tc>
        <w:tc>
          <w:tcPr>
            <w:tcW w:w="1395" w:type="dxa"/>
            <w:tcBorders>
              <w:bottom w:val="single" w:sz="6" w:space="0" w:color="000000"/>
              <w:right w:val="single" w:sz="6" w:space="0" w:color="000000"/>
            </w:tcBorders>
            <w:vAlign w:val="center"/>
          </w:tcPr>
          <w:p w14:paraId="2C0891A6" w14:textId="77777777" w:rsidR="007D706A" w:rsidRDefault="007D706A" w:rsidP="00F70508">
            <w:pPr>
              <w:pStyle w:val="ParagraphStyle12"/>
              <w:rPr>
                <w:rStyle w:val="CharacterStyle12"/>
              </w:rPr>
            </w:pPr>
            <w:r>
              <w:rPr>
                <w:rStyle w:val="CharacterStyle12"/>
              </w:rPr>
              <w:t>354.000,00</w:t>
            </w:r>
          </w:p>
        </w:tc>
        <w:tc>
          <w:tcPr>
            <w:tcW w:w="1395" w:type="dxa"/>
            <w:tcBorders>
              <w:bottom w:val="single" w:sz="6" w:space="0" w:color="000000"/>
              <w:right w:val="single" w:sz="6" w:space="0" w:color="000000"/>
            </w:tcBorders>
            <w:vAlign w:val="center"/>
          </w:tcPr>
          <w:p w14:paraId="5FC84F51" w14:textId="77777777" w:rsidR="007D706A" w:rsidRDefault="007D706A" w:rsidP="00F70508">
            <w:pPr>
              <w:pStyle w:val="ParagraphStyle12"/>
              <w:rPr>
                <w:rStyle w:val="CharacterStyle12"/>
              </w:rPr>
            </w:pPr>
            <w:r>
              <w:rPr>
                <w:rStyle w:val="CharacterStyle12"/>
              </w:rPr>
              <w:t>360.000,00</w:t>
            </w:r>
          </w:p>
        </w:tc>
      </w:tr>
      <w:tr w:rsidR="007D706A" w14:paraId="23ED3E7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3E9C8FE"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2AD08347"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1C490DD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9A3C84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B47B604" w14:textId="77777777" w:rsidR="007D706A" w:rsidRDefault="007D706A" w:rsidP="00F70508">
            <w:pPr>
              <w:pStyle w:val="ParagraphStyle12"/>
              <w:rPr>
                <w:rStyle w:val="CharacterStyle12"/>
              </w:rPr>
            </w:pPr>
            <w:r>
              <w:rPr>
                <w:rStyle w:val="CharacterStyle12"/>
              </w:rPr>
              <w:t>350.000,00</w:t>
            </w:r>
          </w:p>
        </w:tc>
        <w:tc>
          <w:tcPr>
            <w:tcW w:w="1395" w:type="dxa"/>
            <w:tcBorders>
              <w:bottom w:val="single" w:sz="6" w:space="0" w:color="000000"/>
              <w:right w:val="single" w:sz="6" w:space="0" w:color="000000"/>
            </w:tcBorders>
            <w:vAlign w:val="center"/>
          </w:tcPr>
          <w:p w14:paraId="691EB04F" w14:textId="77777777" w:rsidR="007D706A" w:rsidRDefault="007D706A" w:rsidP="00F70508">
            <w:pPr>
              <w:pStyle w:val="ParagraphStyle12"/>
              <w:rPr>
                <w:rStyle w:val="CharacterStyle12"/>
              </w:rPr>
            </w:pPr>
            <w:r>
              <w:rPr>
                <w:rStyle w:val="CharacterStyle12"/>
              </w:rPr>
              <w:t>354.000,00</w:t>
            </w:r>
          </w:p>
        </w:tc>
        <w:tc>
          <w:tcPr>
            <w:tcW w:w="1395" w:type="dxa"/>
            <w:tcBorders>
              <w:bottom w:val="single" w:sz="6" w:space="0" w:color="000000"/>
              <w:right w:val="single" w:sz="6" w:space="0" w:color="000000"/>
            </w:tcBorders>
            <w:vAlign w:val="center"/>
          </w:tcPr>
          <w:p w14:paraId="595EC660" w14:textId="77777777" w:rsidR="007D706A" w:rsidRDefault="007D706A" w:rsidP="00F70508">
            <w:pPr>
              <w:pStyle w:val="ParagraphStyle12"/>
              <w:rPr>
                <w:rStyle w:val="CharacterStyle12"/>
              </w:rPr>
            </w:pPr>
            <w:r>
              <w:rPr>
                <w:rStyle w:val="CharacterStyle12"/>
              </w:rPr>
              <w:t>360.000,00</w:t>
            </w:r>
          </w:p>
        </w:tc>
      </w:tr>
      <w:tr w:rsidR="007D706A" w14:paraId="031A009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F835E02" w14:textId="77777777" w:rsidR="007D706A" w:rsidRDefault="007D706A" w:rsidP="00F70508">
            <w:pPr>
              <w:pStyle w:val="ParagraphStyle7"/>
              <w:rPr>
                <w:rStyle w:val="CharacterStyle7"/>
              </w:rPr>
            </w:pPr>
            <w:r>
              <w:rPr>
                <w:rStyle w:val="CharacterStyle7"/>
              </w:rPr>
              <w:t>Izvor financiranja 41</w:t>
            </w:r>
          </w:p>
        </w:tc>
        <w:tc>
          <w:tcPr>
            <w:tcW w:w="4995" w:type="dxa"/>
            <w:tcBorders>
              <w:bottom w:val="single" w:sz="6" w:space="0" w:color="000000"/>
              <w:right w:val="single" w:sz="6" w:space="0" w:color="000000"/>
            </w:tcBorders>
            <w:vAlign w:val="center"/>
          </w:tcPr>
          <w:p w14:paraId="4DBA64B1" w14:textId="77777777" w:rsidR="007D706A" w:rsidRDefault="007D706A" w:rsidP="00F70508">
            <w:pPr>
              <w:pStyle w:val="ParagraphStyle8"/>
              <w:rPr>
                <w:rStyle w:val="CharacterStyle8"/>
              </w:rPr>
            </w:pPr>
            <w:r>
              <w:rPr>
                <w:rStyle w:val="CharacterStyle8"/>
              </w:rPr>
              <w:t>Prihodi za posebne namjene</w:t>
            </w:r>
          </w:p>
        </w:tc>
        <w:tc>
          <w:tcPr>
            <w:tcW w:w="1395" w:type="dxa"/>
            <w:tcBorders>
              <w:bottom w:val="single" w:sz="6" w:space="0" w:color="000000"/>
              <w:right w:val="single" w:sz="6" w:space="0" w:color="000000"/>
            </w:tcBorders>
            <w:vAlign w:val="center"/>
          </w:tcPr>
          <w:p w14:paraId="02B5BEB5"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161E885" w14:textId="77777777" w:rsidR="007D706A" w:rsidRDefault="007D706A" w:rsidP="00F70508">
            <w:pPr>
              <w:pStyle w:val="ParagraphStyle9"/>
              <w:rPr>
                <w:rStyle w:val="CharacterStyle9"/>
              </w:rPr>
            </w:pPr>
            <w:r>
              <w:rPr>
                <w:rStyle w:val="CharacterStyle9"/>
              </w:rPr>
              <w:t>349.800,00</w:t>
            </w:r>
          </w:p>
        </w:tc>
        <w:tc>
          <w:tcPr>
            <w:tcW w:w="1395" w:type="dxa"/>
            <w:tcBorders>
              <w:bottom w:val="single" w:sz="6" w:space="0" w:color="000000"/>
              <w:right w:val="single" w:sz="6" w:space="0" w:color="000000"/>
            </w:tcBorders>
            <w:vAlign w:val="center"/>
          </w:tcPr>
          <w:p w14:paraId="7421E3B9"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32A23E5"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2AFF36B" w14:textId="77777777" w:rsidR="007D706A" w:rsidRDefault="007D706A" w:rsidP="00F70508">
            <w:pPr>
              <w:pStyle w:val="ParagraphStyle9"/>
              <w:rPr>
                <w:rStyle w:val="CharacterStyle9"/>
              </w:rPr>
            </w:pPr>
            <w:r>
              <w:rPr>
                <w:rStyle w:val="CharacterStyle9"/>
              </w:rPr>
              <w:t>0,00</w:t>
            </w:r>
          </w:p>
        </w:tc>
      </w:tr>
      <w:tr w:rsidR="007D706A" w14:paraId="1262DD1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794E3CB"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45F394CD"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2CA053D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DBD3101" w14:textId="77777777" w:rsidR="007D706A" w:rsidRDefault="007D706A" w:rsidP="00F70508">
            <w:pPr>
              <w:pStyle w:val="ParagraphStyle12"/>
              <w:rPr>
                <w:rStyle w:val="CharacterStyle12"/>
              </w:rPr>
            </w:pPr>
            <w:r>
              <w:rPr>
                <w:rStyle w:val="CharacterStyle12"/>
              </w:rPr>
              <w:t>349.800,00</w:t>
            </w:r>
          </w:p>
        </w:tc>
        <w:tc>
          <w:tcPr>
            <w:tcW w:w="1395" w:type="dxa"/>
            <w:tcBorders>
              <w:bottom w:val="single" w:sz="6" w:space="0" w:color="000000"/>
              <w:right w:val="single" w:sz="6" w:space="0" w:color="000000"/>
            </w:tcBorders>
            <w:vAlign w:val="center"/>
          </w:tcPr>
          <w:p w14:paraId="7E0DBB4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FD7147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93932E9" w14:textId="77777777" w:rsidR="007D706A" w:rsidRDefault="007D706A" w:rsidP="00F70508">
            <w:pPr>
              <w:pStyle w:val="ParagraphStyle12"/>
              <w:rPr>
                <w:rStyle w:val="CharacterStyle12"/>
              </w:rPr>
            </w:pPr>
            <w:r>
              <w:rPr>
                <w:rStyle w:val="CharacterStyle12"/>
              </w:rPr>
              <w:t>0,00</w:t>
            </w:r>
          </w:p>
        </w:tc>
      </w:tr>
      <w:tr w:rsidR="007D706A" w14:paraId="18D321F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5C8FAB8"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3A47619A"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5F78150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CCC9833" w14:textId="77777777" w:rsidR="007D706A" w:rsidRDefault="007D706A" w:rsidP="00F70508">
            <w:pPr>
              <w:pStyle w:val="ParagraphStyle12"/>
              <w:rPr>
                <w:rStyle w:val="CharacterStyle12"/>
              </w:rPr>
            </w:pPr>
            <w:r>
              <w:rPr>
                <w:rStyle w:val="CharacterStyle12"/>
              </w:rPr>
              <w:t>349.800,00</w:t>
            </w:r>
          </w:p>
        </w:tc>
        <w:tc>
          <w:tcPr>
            <w:tcW w:w="1395" w:type="dxa"/>
            <w:tcBorders>
              <w:bottom w:val="single" w:sz="6" w:space="0" w:color="000000"/>
              <w:right w:val="single" w:sz="6" w:space="0" w:color="000000"/>
            </w:tcBorders>
            <w:vAlign w:val="center"/>
          </w:tcPr>
          <w:p w14:paraId="6FF7956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82B3EB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E1222EF" w14:textId="77777777" w:rsidR="007D706A" w:rsidRDefault="007D706A" w:rsidP="00F70508">
            <w:pPr>
              <w:pStyle w:val="ParagraphStyle12"/>
              <w:rPr>
                <w:rStyle w:val="CharacterStyle12"/>
              </w:rPr>
            </w:pPr>
            <w:r>
              <w:rPr>
                <w:rStyle w:val="CharacterStyle12"/>
              </w:rPr>
              <w:t>0,00</w:t>
            </w:r>
          </w:p>
        </w:tc>
      </w:tr>
      <w:tr w:rsidR="007D706A" w14:paraId="2898FDF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6CAAD03" w14:textId="77777777" w:rsidR="007D706A" w:rsidRDefault="007D706A" w:rsidP="00F70508">
            <w:pPr>
              <w:pStyle w:val="ParagraphStyle4"/>
              <w:rPr>
                <w:rStyle w:val="CharacterStyle4"/>
              </w:rPr>
            </w:pPr>
            <w:r>
              <w:rPr>
                <w:rStyle w:val="CharacterStyle4"/>
              </w:rPr>
              <w:t>Aktivnost A102102</w:t>
            </w:r>
          </w:p>
        </w:tc>
        <w:tc>
          <w:tcPr>
            <w:tcW w:w="4995" w:type="dxa"/>
            <w:tcBorders>
              <w:bottom w:val="single" w:sz="6" w:space="0" w:color="000000"/>
              <w:right w:val="single" w:sz="6" w:space="0" w:color="000000"/>
            </w:tcBorders>
            <w:vAlign w:val="center"/>
          </w:tcPr>
          <w:p w14:paraId="585C3357" w14:textId="77777777" w:rsidR="007D706A" w:rsidRDefault="007D706A" w:rsidP="00F70508">
            <w:pPr>
              <w:pStyle w:val="ParagraphStyle5"/>
              <w:rPr>
                <w:rStyle w:val="CharacterStyle5"/>
              </w:rPr>
            </w:pPr>
            <w:r>
              <w:rPr>
                <w:rStyle w:val="CharacterStyle5"/>
              </w:rPr>
              <w:t>ODVOZ I PRAŽNJENJE SPREMNIKA NA JAVNIM POVRŠINAMA</w:t>
            </w:r>
          </w:p>
        </w:tc>
        <w:tc>
          <w:tcPr>
            <w:tcW w:w="1395" w:type="dxa"/>
            <w:tcBorders>
              <w:bottom w:val="single" w:sz="6" w:space="0" w:color="000000"/>
              <w:right w:val="single" w:sz="6" w:space="0" w:color="000000"/>
            </w:tcBorders>
            <w:vAlign w:val="center"/>
          </w:tcPr>
          <w:p w14:paraId="642A7622"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4C02D4E9" w14:textId="77777777" w:rsidR="007D706A" w:rsidRDefault="007D706A" w:rsidP="00F70508">
            <w:pPr>
              <w:pStyle w:val="ParagraphStyle6"/>
              <w:rPr>
                <w:rStyle w:val="CharacterStyle6"/>
              </w:rPr>
            </w:pPr>
            <w:r>
              <w:rPr>
                <w:rStyle w:val="CharacterStyle6"/>
              </w:rPr>
              <w:t>212.550,00</w:t>
            </w:r>
          </w:p>
        </w:tc>
        <w:tc>
          <w:tcPr>
            <w:tcW w:w="1395" w:type="dxa"/>
            <w:tcBorders>
              <w:bottom w:val="single" w:sz="6" w:space="0" w:color="000000"/>
              <w:right w:val="single" w:sz="6" w:space="0" w:color="000000"/>
            </w:tcBorders>
            <w:vAlign w:val="center"/>
          </w:tcPr>
          <w:p w14:paraId="23AED154" w14:textId="77777777" w:rsidR="007D706A" w:rsidRDefault="007D706A" w:rsidP="00F70508">
            <w:pPr>
              <w:pStyle w:val="ParagraphStyle6"/>
              <w:rPr>
                <w:rStyle w:val="CharacterStyle6"/>
              </w:rPr>
            </w:pPr>
            <w:r>
              <w:rPr>
                <w:rStyle w:val="CharacterStyle6"/>
              </w:rPr>
              <w:t>215.000,00</w:t>
            </w:r>
          </w:p>
        </w:tc>
        <w:tc>
          <w:tcPr>
            <w:tcW w:w="1395" w:type="dxa"/>
            <w:tcBorders>
              <w:bottom w:val="single" w:sz="6" w:space="0" w:color="000000"/>
              <w:right w:val="single" w:sz="6" w:space="0" w:color="000000"/>
            </w:tcBorders>
            <w:vAlign w:val="center"/>
          </w:tcPr>
          <w:p w14:paraId="04A13F76" w14:textId="77777777" w:rsidR="007D706A" w:rsidRDefault="007D706A" w:rsidP="00F70508">
            <w:pPr>
              <w:pStyle w:val="ParagraphStyle6"/>
              <w:rPr>
                <w:rStyle w:val="CharacterStyle6"/>
              </w:rPr>
            </w:pPr>
            <w:r>
              <w:rPr>
                <w:rStyle w:val="CharacterStyle6"/>
              </w:rPr>
              <w:t>215.000,00</w:t>
            </w:r>
          </w:p>
        </w:tc>
        <w:tc>
          <w:tcPr>
            <w:tcW w:w="1395" w:type="dxa"/>
            <w:tcBorders>
              <w:bottom w:val="single" w:sz="6" w:space="0" w:color="000000"/>
              <w:right w:val="single" w:sz="6" w:space="0" w:color="000000"/>
            </w:tcBorders>
            <w:vAlign w:val="center"/>
          </w:tcPr>
          <w:p w14:paraId="390C5155" w14:textId="77777777" w:rsidR="007D706A" w:rsidRDefault="007D706A" w:rsidP="00F70508">
            <w:pPr>
              <w:pStyle w:val="ParagraphStyle6"/>
              <w:rPr>
                <w:rStyle w:val="CharacterStyle6"/>
              </w:rPr>
            </w:pPr>
            <w:r>
              <w:rPr>
                <w:rStyle w:val="CharacterStyle6"/>
              </w:rPr>
              <w:t>215.000,00</w:t>
            </w:r>
          </w:p>
        </w:tc>
      </w:tr>
      <w:tr w:rsidR="007D706A" w14:paraId="50703CC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053257A" w14:textId="77777777" w:rsidR="007D706A" w:rsidRDefault="007D706A" w:rsidP="00F70508">
            <w:pPr>
              <w:pStyle w:val="ParagraphStyle7"/>
              <w:rPr>
                <w:rStyle w:val="CharacterStyle7"/>
              </w:rPr>
            </w:pPr>
            <w:r>
              <w:rPr>
                <w:rStyle w:val="CharacterStyle7"/>
              </w:rPr>
              <w:t>Izvor financiranja 40</w:t>
            </w:r>
          </w:p>
        </w:tc>
        <w:tc>
          <w:tcPr>
            <w:tcW w:w="4995" w:type="dxa"/>
            <w:tcBorders>
              <w:bottom w:val="single" w:sz="6" w:space="0" w:color="000000"/>
              <w:right w:val="single" w:sz="6" w:space="0" w:color="000000"/>
            </w:tcBorders>
            <w:vAlign w:val="center"/>
          </w:tcPr>
          <w:p w14:paraId="60D176C3" w14:textId="77777777" w:rsidR="007D706A" w:rsidRDefault="007D706A" w:rsidP="00F70508">
            <w:pPr>
              <w:pStyle w:val="ParagraphStyle8"/>
              <w:rPr>
                <w:rStyle w:val="CharacterStyle8"/>
              </w:rPr>
            </w:pPr>
            <w:r>
              <w:rPr>
                <w:rStyle w:val="CharacterStyle8"/>
              </w:rPr>
              <w:t>Prihodi od komunalne naknade i komunalnog doprinosa</w:t>
            </w:r>
          </w:p>
        </w:tc>
        <w:tc>
          <w:tcPr>
            <w:tcW w:w="1395" w:type="dxa"/>
            <w:tcBorders>
              <w:bottom w:val="single" w:sz="6" w:space="0" w:color="000000"/>
              <w:right w:val="single" w:sz="6" w:space="0" w:color="000000"/>
            </w:tcBorders>
            <w:vAlign w:val="center"/>
          </w:tcPr>
          <w:p w14:paraId="5EC5EE94"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A5E9880"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A0D668D" w14:textId="77777777" w:rsidR="007D706A" w:rsidRDefault="007D706A" w:rsidP="00F70508">
            <w:pPr>
              <w:pStyle w:val="ParagraphStyle9"/>
              <w:rPr>
                <w:rStyle w:val="CharacterStyle9"/>
              </w:rPr>
            </w:pPr>
            <w:r>
              <w:rPr>
                <w:rStyle w:val="CharacterStyle9"/>
              </w:rPr>
              <w:t>215.000,00</w:t>
            </w:r>
          </w:p>
        </w:tc>
        <w:tc>
          <w:tcPr>
            <w:tcW w:w="1395" w:type="dxa"/>
            <w:tcBorders>
              <w:bottom w:val="single" w:sz="6" w:space="0" w:color="000000"/>
              <w:right w:val="single" w:sz="6" w:space="0" w:color="000000"/>
            </w:tcBorders>
            <w:vAlign w:val="center"/>
          </w:tcPr>
          <w:p w14:paraId="7F241951" w14:textId="77777777" w:rsidR="007D706A" w:rsidRDefault="007D706A" w:rsidP="00F70508">
            <w:pPr>
              <w:pStyle w:val="ParagraphStyle9"/>
              <w:rPr>
                <w:rStyle w:val="CharacterStyle9"/>
              </w:rPr>
            </w:pPr>
            <w:r>
              <w:rPr>
                <w:rStyle w:val="CharacterStyle9"/>
              </w:rPr>
              <w:t>215.000,00</w:t>
            </w:r>
          </w:p>
        </w:tc>
        <w:tc>
          <w:tcPr>
            <w:tcW w:w="1395" w:type="dxa"/>
            <w:tcBorders>
              <w:bottom w:val="single" w:sz="6" w:space="0" w:color="000000"/>
              <w:right w:val="single" w:sz="6" w:space="0" w:color="000000"/>
            </w:tcBorders>
            <w:vAlign w:val="center"/>
          </w:tcPr>
          <w:p w14:paraId="26EC406C" w14:textId="77777777" w:rsidR="007D706A" w:rsidRDefault="007D706A" w:rsidP="00F70508">
            <w:pPr>
              <w:pStyle w:val="ParagraphStyle9"/>
              <w:rPr>
                <w:rStyle w:val="CharacterStyle9"/>
              </w:rPr>
            </w:pPr>
            <w:r>
              <w:rPr>
                <w:rStyle w:val="CharacterStyle9"/>
              </w:rPr>
              <w:t>215.000,00</w:t>
            </w:r>
          </w:p>
        </w:tc>
      </w:tr>
      <w:tr w:rsidR="007D706A" w14:paraId="23CECD7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CD8C4C8"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23021DBA"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233B1FC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E3F839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5A71CD4" w14:textId="77777777" w:rsidR="007D706A" w:rsidRDefault="007D706A" w:rsidP="00F70508">
            <w:pPr>
              <w:pStyle w:val="ParagraphStyle12"/>
              <w:rPr>
                <w:rStyle w:val="CharacterStyle12"/>
              </w:rPr>
            </w:pPr>
            <w:r>
              <w:rPr>
                <w:rStyle w:val="CharacterStyle12"/>
              </w:rPr>
              <w:t>215.000,00</w:t>
            </w:r>
          </w:p>
        </w:tc>
        <w:tc>
          <w:tcPr>
            <w:tcW w:w="1395" w:type="dxa"/>
            <w:tcBorders>
              <w:bottom w:val="single" w:sz="6" w:space="0" w:color="000000"/>
              <w:right w:val="single" w:sz="6" w:space="0" w:color="000000"/>
            </w:tcBorders>
            <w:vAlign w:val="center"/>
          </w:tcPr>
          <w:p w14:paraId="0709D1FA" w14:textId="77777777" w:rsidR="007D706A" w:rsidRDefault="007D706A" w:rsidP="00F70508">
            <w:pPr>
              <w:pStyle w:val="ParagraphStyle12"/>
              <w:rPr>
                <w:rStyle w:val="CharacterStyle12"/>
              </w:rPr>
            </w:pPr>
            <w:r>
              <w:rPr>
                <w:rStyle w:val="CharacterStyle12"/>
              </w:rPr>
              <w:t>215.000,00</w:t>
            </w:r>
          </w:p>
        </w:tc>
        <w:tc>
          <w:tcPr>
            <w:tcW w:w="1395" w:type="dxa"/>
            <w:tcBorders>
              <w:bottom w:val="single" w:sz="6" w:space="0" w:color="000000"/>
              <w:right w:val="single" w:sz="6" w:space="0" w:color="000000"/>
            </w:tcBorders>
            <w:vAlign w:val="center"/>
          </w:tcPr>
          <w:p w14:paraId="1EC918F2" w14:textId="77777777" w:rsidR="007D706A" w:rsidRDefault="007D706A" w:rsidP="00F70508">
            <w:pPr>
              <w:pStyle w:val="ParagraphStyle12"/>
              <w:rPr>
                <w:rStyle w:val="CharacterStyle12"/>
              </w:rPr>
            </w:pPr>
            <w:r>
              <w:rPr>
                <w:rStyle w:val="CharacterStyle12"/>
              </w:rPr>
              <w:t>215.000,00</w:t>
            </w:r>
          </w:p>
        </w:tc>
      </w:tr>
      <w:tr w:rsidR="007D706A" w14:paraId="164B673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FAC0D24"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1680F48C"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6C3269D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514164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EA89211" w14:textId="77777777" w:rsidR="007D706A" w:rsidRDefault="007D706A" w:rsidP="00F70508">
            <w:pPr>
              <w:pStyle w:val="ParagraphStyle12"/>
              <w:rPr>
                <w:rStyle w:val="CharacterStyle12"/>
              </w:rPr>
            </w:pPr>
            <w:r>
              <w:rPr>
                <w:rStyle w:val="CharacterStyle12"/>
              </w:rPr>
              <w:t>215.000,00</w:t>
            </w:r>
          </w:p>
        </w:tc>
        <w:tc>
          <w:tcPr>
            <w:tcW w:w="1395" w:type="dxa"/>
            <w:tcBorders>
              <w:bottom w:val="single" w:sz="6" w:space="0" w:color="000000"/>
              <w:right w:val="single" w:sz="6" w:space="0" w:color="000000"/>
            </w:tcBorders>
            <w:vAlign w:val="center"/>
          </w:tcPr>
          <w:p w14:paraId="33F866F3" w14:textId="77777777" w:rsidR="007D706A" w:rsidRDefault="007D706A" w:rsidP="00F70508">
            <w:pPr>
              <w:pStyle w:val="ParagraphStyle12"/>
              <w:rPr>
                <w:rStyle w:val="CharacterStyle12"/>
              </w:rPr>
            </w:pPr>
            <w:r>
              <w:rPr>
                <w:rStyle w:val="CharacterStyle12"/>
              </w:rPr>
              <w:t>215.000,00</w:t>
            </w:r>
          </w:p>
        </w:tc>
        <w:tc>
          <w:tcPr>
            <w:tcW w:w="1395" w:type="dxa"/>
            <w:tcBorders>
              <w:bottom w:val="single" w:sz="6" w:space="0" w:color="000000"/>
              <w:right w:val="single" w:sz="6" w:space="0" w:color="000000"/>
            </w:tcBorders>
            <w:vAlign w:val="center"/>
          </w:tcPr>
          <w:p w14:paraId="5B924AC6" w14:textId="77777777" w:rsidR="007D706A" w:rsidRDefault="007D706A" w:rsidP="00F70508">
            <w:pPr>
              <w:pStyle w:val="ParagraphStyle12"/>
              <w:rPr>
                <w:rStyle w:val="CharacterStyle12"/>
              </w:rPr>
            </w:pPr>
            <w:r>
              <w:rPr>
                <w:rStyle w:val="CharacterStyle12"/>
              </w:rPr>
              <w:t>215.000,00</w:t>
            </w:r>
          </w:p>
        </w:tc>
      </w:tr>
      <w:tr w:rsidR="007D706A" w14:paraId="56FDB67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5C4A324" w14:textId="77777777" w:rsidR="007D706A" w:rsidRDefault="007D706A" w:rsidP="00F70508">
            <w:pPr>
              <w:pStyle w:val="ParagraphStyle7"/>
              <w:rPr>
                <w:rStyle w:val="CharacterStyle7"/>
              </w:rPr>
            </w:pPr>
            <w:r>
              <w:rPr>
                <w:rStyle w:val="CharacterStyle7"/>
              </w:rPr>
              <w:t>Izvor financiranja 41</w:t>
            </w:r>
          </w:p>
        </w:tc>
        <w:tc>
          <w:tcPr>
            <w:tcW w:w="4995" w:type="dxa"/>
            <w:tcBorders>
              <w:bottom w:val="single" w:sz="6" w:space="0" w:color="000000"/>
              <w:right w:val="single" w:sz="6" w:space="0" w:color="000000"/>
            </w:tcBorders>
            <w:vAlign w:val="center"/>
          </w:tcPr>
          <w:p w14:paraId="43B39251" w14:textId="77777777" w:rsidR="007D706A" w:rsidRDefault="007D706A" w:rsidP="00F70508">
            <w:pPr>
              <w:pStyle w:val="ParagraphStyle8"/>
              <w:rPr>
                <w:rStyle w:val="CharacterStyle8"/>
              </w:rPr>
            </w:pPr>
            <w:r>
              <w:rPr>
                <w:rStyle w:val="CharacterStyle8"/>
              </w:rPr>
              <w:t>Prihodi za posebne namjene</w:t>
            </w:r>
          </w:p>
        </w:tc>
        <w:tc>
          <w:tcPr>
            <w:tcW w:w="1395" w:type="dxa"/>
            <w:tcBorders>
              <w:bottom w:val="single" w:sz="6" w:space="0" w:color="000000"/>
              <w:right w:val="single" w:sz="6" w:space="0" w:color="000000"/>
            </w:tcBorders>
            <w:vAlign w:val="center"/>
          </w:tcPr>
          <w:p w14:paraId="5B00F907"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F5E65F2" w14:textId="77777777" w:rsidR="007D706A" w:rsidRDefault="007D706A" w:rsidP="00F70508">
            <w:pPr>
              <w:pStyle w:val="ParagraphStyle9"/>
              <w:rPr>
                <w:rStyle w:val="CharacterStyle9"/>
              </w:rPr>
            </w:pPr>
            <w:r>
              <w:rPr>
                <w:rStyle w:val="CharacterStyle9"/>
              </w:rPr>
              <w:t>212.550,00</w:t>
            </w:r>
          </w:p>
        </w:tc>
        <w:tc>
          <w:tcPr>
            <w:tcW w:w="1395" w:type="dxa"/>
            <w:tcBorders>
              <w:bottom w:val="single" w:sz="6" w:space="0" w:color="000000"/>
              <w:right w:val="single" w:sz="6" w:space="0" w:color="000000"/>
            </w:tcBorders>
            <w:vAlign w:val="center"/>
          </w:tcPr>
          <w:p w14:paraId="7379DE09"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547F968"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537C141" w14:textId="77777777" w:rsidR="007D706A" w:rsidRDefault="007D706A" w:rsidP="00F70508">
            <w:pPr>
              <w:pStyle w:val="ParagraphStyle9"/>
              <w:rPr>
                <w:rStyle w:val="CharacterStyle9"/>
              </w:rPr>
            </w:pPr>
            <w:r>
              <w:rPr>
                <w:rStyle w:val="CharacterStyle9"/>
              </w:rPr>
              <w:t>0,00</w:t>
            </w:r>
          </w:p>
        </w:tc>
      </w:tr>
      <w:tr w:rsidR="007D706A" w14:paraId="149F152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E4E3452"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793A0AFF"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42C4D75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4860471" w14:textId="77777777" w:rsidR="007D706A" w:rsidRDefault="007D706A" w:rsidP="00F70508">
            <w:pPr>
              <w:pStyle w:val="ParagraphStyle12"/>
              <w:rPr>
                <w:rStyle w:val="CharacterStyle12"/>
              </w:rPr>
            </w:pPr>
            <w:r>
              <w:rPr>
                <w:rStyle w:val="CharacterStyle12"/>
              </w:rPr>
              <w:t>212.550,00</w:t>
            </w:r>
          </w:p>
        </w:tc>
        <w:tc>
          <w:tcPr>
            <w:tcW w:w="1395" w:type="dxa"/>
            <w:tcBorders>
              <w:bottom w:val="single" w:sz="6" w:space="0" w:color="000000"/>
              <w:right w:val="single" w:sz="6" w:space="0" w:color="000000"/>
            </w:tcBorders>
            <w:vAlign w:val="center"/>
          </w:tcPr>
          <w:p w14:paraId="746522B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6F295A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3635421" w14:textId="77777777" w:rsidR="007D706A" w:rsidRDefault="007D706A" w:rsidP="00F70508">
            <w:pPr>
              <w:pStyle w:val="ParagraphStyle12"/>
              <w:rPr>
                <w:rStyle w:val="CharacterStyle12"/>
              </w:rPr>
            </w:pPr>
            <w:r>
              <w:rPr>
                <w:rStyle w:val="CharacterStyle12"/>
              </w:rPr>
              <w:t>0,00</w:t>
            </w:r>
          </w:p>
        </w:tc>
      </w:tr>
      <w:tr w:rsidR="007D706A" w14:paraId="3A27FD0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5FB8EF3" w14:textId="77777777" w:rsidR="007D706A" w:rsidRDefault="007D706A" w:rsidP="00F70508">
            <w:pPr>
              <w:pStyle w:val="ParagraphStyle10"/>
              <w:rPr>
                <w:rStyle w:val="CharacterStyle10"/>
              </w:rPr>
            </w:pPr>
            <w:r>
              <w:rPr>
                <w:rStyle w:val="CharacterStyle10"/>
              </w:rPr>
              <w:lastRenderedPageBreak/>
              <w:t>32</w:t>
            </w:r>
          </w:p>
        </w:tc>
        <w:tc>
          <w:tcPr>
            <w:tcW w:w="4995" w:type="dxa"/>
            <w:tcBorders>
              <w:bottom w:val="single" w:sz="6" w:space="0" w:color="000000"/>
              <w:right w:val="single" w:sz="6" w:space="0" w:color="000000"/>
            </w:tcBorders>
            <w:vAlign w:val="center"/>
          </w:tcPr>
          <w:p w14:paraId="0EA7DDF1"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58FA1BF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E100CDB" w14:textId="77777777" w:rsidR="007D706A" w:rsidRDefault="007D706A" w:rsidP="00F70508">
            <w:pPr>
              <w:pStyle w:val="ParagraphStyle12"/>
              <w:rPr>
                <w:rStyle w:val="CharacterStyle12"/>
              </w:rPr>
            </w:pPr>
            <w:r>
              <w:rPr>
                <w:rStyle w:val="CharacterStyle12"/>
              </w:rPr>
              <w:t>212.550,00</w:t>
            </w:r>
          </w:p>
        </w:tc>
        <w:tc>
          <w:tcPr>
            <w:tcW w:w="1395" w:type="dxa"/>
            <w:tcBorders>
              <w:bottom w:val="single" w:sz="6" w:space="0" w:color="000000"/>
              <w:right w:val="single" w:sz="6" w:space="0" w:color="000000"/>
            </w:tcBorders>
            <w:vAlign w:val="center"/>
          </w:tcPr>
          <w:p w14:paraId="18C9E88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4EA5B0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DB23F01" w14:textId="77777777" w:rsidR="007D706A" w:rsidRDefault="007D706A" w:rsidP="00F70508">
            <w:pPr>
              <w:pStyle w:val="ParagraphStyle12"/>
              <w:rPr>
                <w:rStyle w:val="CharacterStyle12"/>
              </w:rPr>
            </w:pPr>
            <w:r>
              <w:rPr>
                <w:rStyle w:val="CharacterStyle12"/>
              </w:rPr>
              <w:t>0,00</w:t>
            </w:r>
          </w:p>
        </w:tc>
      </w:tr>
      <w:tr w:rsidR="007D706A" w14:paraId="3560A24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B23C6F2" w14:textId="77777777" w:rsidR="007D706A" w:rsidRDefault="007D706A" w:rsidP="00F70508">
            <w:pPr>
              <w:pStyle w:val="ParagraphStyle4"/>
              <w:rPr>
                <w:rStyle w:val="CharacterStyle4"/>
              </w:rPr>
            </w:pPr>
            <w:r>
              <w:rPr>
                <w:rStyle w:val="CharacterStyle4"/>
              </w:rPr>
              <w:t>Aktivnost A102103</w:t>
            </w:r>
          </w:p>
        </w:tc>
        <w:tc>
          <w:tcPr>
            <w:tcW w:w="4995" w:type="dxa"/>
            <w:tcBorders>
              <w:bottom w:val="single" w:sz="6" w:space="0" w:color="000000"/>
              <w:right w:val="single" w:sz="6" w:space="0" w:color="000000"/>
            </w:tcBorders>
            <w:vAlign w:val="center"/>
          </w:tcPr>
          <w:p w14:paraId="169408FC" w14:textId="77777777" w:rsidR="007D706A" w:rsidRDefault="007D706A" w:rsidP="00F70508">
            <w:pPr>
              <w:pStyle w:val="ParagraphStyle5"/>
              <w:rPr>
                <w:rStyle w:val="CharacterStyle5"/>
              </w:rPr>
            </w:pPr>
            <w:r>
              <w:rPr>
                <w:rStyle w:val="CharacterStyle5"/>
              </w:rPr>
              <w:t>UREĐENJE PARKOVA I ZELENIH POVRŠINA</w:t>
            </w:r>
          </w:p>
        </w:tc>
        <w:tc>
          <w:tcPr>
            <w:tcW w:w="1395" w:type="dxa"/>
            <w:tcBorders>
              <w:bottom w:val="single" w:sz="6" w:space="0" w:color="000000"/>
              <w:right w:val="single" w:sz="6" w:space="0" w:color="000000"/>
            </w:tcBorders>
            <w:vAlign w:val="center"/>
          </w:tcPr>
          <w:p w14:paraId="48296192"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7690F674" w14:textId="77777777" w:rsidR="007D706A" w:rsidRDefault="007D706A" w:rsidP="00F70508">
            <w:pPr>
              <w:pStyle w:val="ParagraphStyle6"/>
              <w:rPr>
                <w:rStyle w:val="CharacterStyle6"/>
              </w:rPr>
            </w:pPr>
            <w:r>
              <w:rPr>
                <w:rStyle w:val="CharacterStyle6"/>
              </w:rPr>
              <w:t>577.000,00</w:t>
            </w:r>
          </w:p>
        </w:tc>
        <w:tc>
          <w:tcPr>
            <w:tcW w:w="1395" w:type="dxa"/>
            <w:tcBorders>
              <w:bottom w:val="single" w:sz="6" w:space="0" w:color="000000"/>
              <w:right w:val="single" w:sz="6" w:space="0" w:color="000000"/>
            </w:tcBorders>
            <w:vAlign w:val="center"/>
          </w:tcPr>
          <w:p w14:paraId="324BA6DE" w14:textId="77777777" w:rsidR="007D706A" w:rsidRDefault="007D706A" w:rsidP="00F70508">
            <w:pPr>
              <w:pStyle w:val="ParagraphStyle6"/>
              <w:rPr>
                <w:rStyle w:val="CharacterStyle6"/>
              </w:rPr>
            </w:pPr>
            <w:r>
              <w:rPr>
                <w:rStyle w:val="CharacterStyle6"/>
              </w:rPr>
              <w:t>587.000,00</w:t>
            </w:r>
          </w:p>
        </w:tc>
        <w:tc>
          <w:tcPr>
            <w:tcW w:w="1395" w:type="dxa"/>
            <w:tcBorders>
              <w:bottom w:val="single" w:sz="6" w:space="0" w:color="000000"/>
              <w:right w:val="single" w:sz="6" w:space="0" w:color="000000"/>
            </w:tcBorders>
            <w:vAlign w:val="center"/>
          </w:tcPr>
          <w:p w14:paraId="1B4D6DB0" w14:textId="77777777" w:rsidR="007D706A" w:rsidRDefault="007D706A" w:rsidP="00F70508">
            <w:pPr>
              <w:pStyle w:val="ParagraphStyle6"/>
              <w:rPr>
                <w:rStyle w:val="CharacterStyle6"/>
              </w:rPr>
            </w:pPr>
            <w:r>
              <w:rPr>
                <w:rStyle w:val="CharacterStyle6"/>
              </w:rPr>
              <w:t>587.000,00</w:t>
            </w:r>
          </w:p>
        </w:tc>
        <w:tc>
          <w:tcPr>
            <w:tcW w:w="1395" w:type="dxa"/>
            <w:tcBorders>
              <w:bottom w:val="single" w:sz="6" w:space="0" w:color="000000"/>
              <w:right w:val="single" w:sz="6" w:space="0" w:color="000000"/>
            </w:tcBorders>
            <w:vAlign w:val="center"/>
          </w:tcPr>
          <w:p w14:paraId="0475C704" w14:textId="77777777" w:rsidR="007D706A" w:rsidRDefault="007D706A" w:rsidP="00F70508">
            <w:pPr>
              <w:pStyle w:val="ParagraphStyle6"/>
              <w:rPr>
                <w:rStyle w:val="CharacterStyle6"/>
              </w:rPr>
            </w:pPr>
            <w:r>
              <w:rPr>
                <w:rStyle w:val="CharacterStyle6"/>
              </w:rPr>
              <w:t>587.000,00</w:t>
            </w:r>
          </w:p>
        </w:tc>
      </w:tr>
      <w:tr w:rsidR="007D706A" w14:paraId="0874E5C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73E0549" w14:textId="77777777" w:rsidR="007D706A" w:rsidRDefault="007D706A" w:rsidP="00F70508">
            <w:pPr>
              <w:pStyle w:val="ParagraphStyle7"/>
              <w:rPr>
                <w:rStyle w:val="CharacterStyle7"/>
              </w:rPr>
            </w:pPr>
            <w:r>
              <w:rPr>
                <w:rStyle w:val="CharacterStyle7"/>
              </w:rPr>
              <w:t>Izvor financiranja 40</w:t>
            </w:r>
          </w:p>
        </w:tc>
        <w:tc>
          <w:tcPr>
            <w:tcW w:w="4995" w:type="dxa"/>
            <w:tcBorders>
              <w:bottom w:val="single" w:sz="6" w:space="0" w:color="000000"/>
              <w:right w:val="single" w:sz="6" w:space="0" w:color="000000"/>
            </w:tcBorders>
            <w:vAlign w:val="center"/>
          </w:tcPr>
          <w:p w14:paraId="015DA1A8" w14:textId="77777777" w:rsidR="007D706A" w:rsidRDefault="007D706A" w:rsidP="00F70508">
            <w:pPr>
              <w:pStyle w:val="ParagraphStyle8"/>
              <w:rPr>
                <w:rStyle w:val="CharacterStyle8"/>
              </w:rPr>
            </w:pPr>
            <w:r>
              <w:rPr>
                <w:rStyle w:val="CharacterStyle8"/>
              </w:rPr>
              <w:t>Prihodi od komunalne naknade i komunalnog doprinosa</w:t>
            </w:r>
          </w:p>
        </w:tc>
        <w:tc>
          <w:tcPr>
            <w:tcW w:w="1395" w:type="dxa"/>
            <w:tcBorders>
              <w:bottom w:val="single" w:sz="6" w:space="0" w:color="000000"/>
              <w:right w:val="single" w:sz="6" w:space="0" w:color="000000"/>
            </w:tcBorders>
            <w:vAlign w:val="center"/>
          </w:tcPr>
          <w:p w14:paraId="000F5F3C"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8C532EC"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03F80ED" w14:textId="77777777" w:rsidR="007D706A" w:rsidRDefault="007D706A" w:rsidP="00F70508">
            <w:pPr>
              <w:pStyle w:val="ParagraphStyle9"/>
              <w:rPr>
                <w:rStyle w:val="CharacterStyle9"/>
              </w:rPr>
            </w:pPr>
            <w:r>
              <w:rPr>
                <w:rStyle w:val="CharacterStyle9"/>
              </w:rPr>
              <w:t>587.000,00</w:t>
            </w:r>
          </w:p>
        </w:tc>
        <w:tc>
          <w:tcPr>
            <w:tcW w:w="1395" w:type="dxa"/>
            <w:tcBorders>
              <w:bottom w:val="single" w:sz="6" w:space="0" w:color="000000"/>
              <w:right w:val="single" w:sz="6" w:space="0" w:color="000000"/>
            </w:tcBorders>
            <w:vAlign w:val="center"/>
          </w:tcPr>
          <w:p w14:paraId="4F41FB15" w14:textId="77777777" w:rsidR="007D706A" w:rsidRDefault="007D706A" w:rsidP="00F70508">
            <w:pPr>
              <w:pStyle w:val="ParagraphStyle9"/>
              <w:rPr>
                <w:rStyle w:val="CharacterStyle9"/>
              </w:rPr>
            </w:pPr>
            <w:r>
              <w:rPr>
                <w:rStyle w:val="CharacterStyle9"/>
              </w:rPr>
              <w:t>587.000,00</w:t>
            </w:r>
          </w:p>
        </w:tc>
        <w:tc>
          <w:tcPr>
            <w:tcW w:w="1395" w:type="dxa"/>
            <w:tcBorders>
              <w:bottom w:val="single" w:sz="6" w:space="0" w:color="000000"/>
              <w:right w:val="single" w:sz="6" w:space="0" w:color="000000"/>
            </w:tcBorders>
            <w:vAlign w:val="center"/>
          </w:tcPr>
          <w:p w14:paraId="314A3F8E" w14:textId="77777777" w:rsidR="007D706A" w:rsidRDefault="007D706A" w:rsidP="00F70508">
            <w:pPr>
              <w:pStyle w:val="ParagraphStyle9"/>
              <w:rPr>
                <w:rStyle w:val="CharacterStyle9"/>
              </w:rPr>
            </w:pPr>
            <w:r>
              <w:rPr>
                <w:rStyle w:val="CharacterStyle9"/>
              </w:rPr>
              <w:t>587.000,00</w:t>
            </w:r>
          </w:p>
        </w:tc>
      </w:tr>
      <w:tr w:rsidR="007D706A" w14:paraId="4F4AD9F6"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79FF02B"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1DCD522D"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68D656C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1CCB0C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4A6352F" w14:textId="77777777" w:rsidR="007D706A" w:rsidRDefault="007D706A" w:rsidP="00F70508">
            <w:pPr>
              <w:pStyle w:val="ParagraphStyle12"/>
              <w:rPr>
                <w:rStyle w:val="CharacterStyle12"/>
              </w:rPr>
            </w:pPr>
            <w:r>
              <w:rPr>
                <w:rStyle w:val="CharacterStyle12"/>
              </w:rPr>
              <w:t>587.000,00</w:t>
            </w:r>
          </w:p>
        </w:tc>
        <w:tc>
          <w:tcPr>
            <w:tcW w:w="1395" w:type="dxa"/>
            <w:tcBorders>
              <w:bottom w:val="single" w:sz="6" w:space="0" w:color="000000"/>
              <w:right w:val="single" w:sz="6" w:space="0" w:color="000000"/>
            </w:tcBorders>
            <w:vAlign w:val="center"/>
          </w:tcPr>
          <w:p w14:paraId="175307B9" w14:textId="77777777" w:rsidR="007D706A" w:rsidRDefault="007D706A" w:rsidP="00F70508">
            <w:pPr>
              <w:pStyle w:val="ParagraphStyle12"/>
              <w:rPr>
                <w:rStyle w:val="CharacterStyle12"/>
              </w:rPr>
            </w:pPr>
            <w:r>
              <w:rPr>
                <w:rStyle w:val="CharacterStyle12"/>
              </w:rPr>
              <w:t>587.000,00</w:t>
            </w:r>
          </w:p>
        </w:tc>
        <w:tc>
          <w:tcPr>
            <w:tcW w:w="1395" w:type="dxa"/>
            <w:tcBorders>
              <w:bottom w:val="single" w:sz="6" w:space="0" w:color="000000"/>
              <w:right w:val="single" w:sz="6" w:space="0" w:color="000000"/>
            </w:tcBorders>
            <w:vAlign w:val="center"/>
          </w:tcPr>
          <w:p w14:paraId="675BFECD" w14:textId="77777777" w:rsidR="007D706A" w:rsidRDefault="007D706A" w:rsidP="00F70508">
            <w:pPr>
              <w:pStyle w:val="ParagraphStyle12"/>
              <w:rPr>
                <w:rStyle w:val="CharacterStyle12"/>
              </w:rPr>
            </w:pPr>
            <w:r>
              <w:rPr>
                <w:rStyle w:val="CharacterStyle12"/>
              </w:rPr>
              <w:t>587.000,00</w:t>
            </w:r>
          </w:p>
        </w:tc>
      </w:tr>
      <w:tr w:rsidR="007D706A" w14:paraId="6E6C0E7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59883E5"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47088D48"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2E20D9A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D499A2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BAAB702" w14:textId="77777777" w:rsidR="007D706A" w:rsidRDefault="007D706A" w:rsidP="00F70508">
            <w:pPr>
              <w:pStyle w:val="ParagraphStyle12"/>
              <w:rPr>
                <w:rStyle w:val="CharacterStyle12"/>
              </w:rPr>
            </w:pPr>
            <w:r>
              <w:rPr>
                <w:rStyle w:val="CharacterStyle12"/>
              </w:rPr>
              <w:t>587.000,00</w:t>
            </w:r>
          </w:p>
        </w:tc>
        <w:tc>
          <w:tcPr>
            <w:tcW w:w="1395" w:type="dxa"/>
            <w:tcBorders>
              <w:bottom w:val="single" w:sz="6" w:space="0" w:color="000000"/>
              <w:right w:val="single" w:sz="6" w:space="0" w:color="000000"/>
            </w:tcBorders>
            <w:vAlign w:val="center"/>
          </w:tcPr>
          <w:p w14:paraId="6F3BAB74" w14:textId="77777777" w:rsidR="007D706A" w:rsidRDefault="007D706A" w:rsidP="00F70508">
            <w:pPr>
              <w:pStyle w:val="ParagraphStyle12"/>
              <w:rPr>
                <w:rStyle w:val="CharacterStyle12"/>
              </w:rPr>
            </w:pPr>
            <w:r>
              <w:rPr>
                <w:rStyle w:val="CharacterStyle12"/>
              </w:rPr>
              <w:t>587.000,00</w:t>
            </w:r>
          </w:p>
        </w:tc>
        <w:tc>
          <w:tcPr>
            <w:tcW w:w="1395" w:type="dxa"/>
            <w:tcBorders>
              <w:bottom w:val="single" w:sz="6" w:space="0" w:color="000000"/>
              <w:right w:val="single" w:sz="6" w:space="0" w:color="000000"/>
            </w:tcBorders>
            <w:vAlign w:val="center"/>
          </w:tcPr>
          <w:p w14:paraId="5F2D7846" w14:textId="77777777" w:rsidR="007D706A" w:rsidRDefault="007D706A" w:rsidP="00F70508">
            <w:pPr>
              <w:pStyle w:val="ParagraphStyle12"/>
              <w:rPr>
                <w:rStyle w:val="CharacterStyle12"/>
              </w:rPr>
            </w:pPr>
            <w:r>
              <w:rPr>
                <w:rStyle w:val="CharacterStyle12"/>
              </w:rPr>
              <w:t>587.000,00</w:t>
            </w:r>
          </w:p>
        </w:tc>
      </w:tr>
      <w:tr w:rsidR="007D706A" w14:paraId="08EA630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272C5F0" w14:textId="77777777" w:rsidR="007D706A" w:rsidRDefault="007D706A" w:rsidP="00F70508">
            <w:pPr>
              <w:pStyle w:val="ParagraphStyle7"/>
              <w:rPr>
                <w:rStyle w:val="CharacterStyle7"/>
              </w:rPr>
            </w:pPr>
            <w:r>
              <w:rPr>
                <w:rStyle w:val="CharacterStyle7"/>
              </w:rPr>
              <w:t>Izvor financiranja 41</w:t>
            </w:r>
          </w:p>
        </w:tc>
        <w:tc>
          <w:tcPr>
            <w:tcW w:w="4995" w:type="dxa"/>
            <w:tcBorders>
              <w:bottom w:val="single" w:sz="6" w:space="0" w:color="000000"/>
              <w:right w:val="single" w:sz="6" w:space="0" w:color="000000"/>
            </w:tcBorders>
            <w:vAlign w:val="center"/>
          </w:tcPr>
          <w:p w14:paraId="48206DB7" w14:textId="77777777" w:rsidR="007D706A" w:rsidRDefault="007D706A" w:rsidP="00F70508">
            <w:pPr>
              <w:pStyle w:val="ParagraphStyle8"/>
              <w:rPr>
                <w:rStyle w:val="CharacterStyle8"/>
              </w:rPr>
            </w:pPr>
            <w:r>
              <w:rPr>
                <w:rStyle w:val="CharacterStyle8"/>
              </w:rPr>
              <w:t>Prihodi za posebne namjene</w:t>
            </w:r>
          </w:p>
        </w:tc>
        <w:tc>
          <w:tcPr>
            <w:tcW w:w="1395" w:type="dxa"/>
            <w:tcBorders>
              <w:bottom w:val="single" w:sz="6" w:space="0" w:color="000000"/>
              <w:right w:val="single" w:sz="6" w:space="0" w:color="000000"/>
            </w:tcBorders>
            <w:vAlign w:val="center"/>
          </w:tcPr>
          <w:p w14:paraId="1F1DE40B"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8C23650" w14:textId="77777777" w:rsidR="007D706A" w:rsidRDefault="007D706A" w:rsidP="00F70508">
            <w:pPr>
              <w:pStyle w:val="ParagraphStyle9"/>
              <w:rPr>
                <w:rStyle w:val="CharacterStyle9"/>
              </w:rPr>
            </w:pPr>
            <w:r>
              <w:rPr>
                <w:rStyle w:val="CharacterStyle9"/>
              </w:rPr>
              <w:t>577.000,00</w:t>
            </w:r>
          </w:p>
        </w:tc>
        <w:tc>
          <w:tcPr>
            <w:tcW w:w="1395" w:type="dxa"/>
            <w:tcBorders>
              <w:bottom w:val="single" w:sz="6" w:space="0" w:color="000000"/>
              <w:right w:val="single" w:sz="6" w:space="0" w:color="000000"/>
            </w:tcBorders>
            <w:vAlign w:val="center"/>
          </w:tcPr>
          <w:p w14:paraId="2DAA7D5F"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09864FB"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1669EE3" w14:textId="77777777" w:rsidR="007D706A" w:rsidRDefault="007D706A" w:rsidP="00F70508">
            <w:pPr>
              <w:pStyle w:val="ParagraphStyle9"/>
              <w:rPr>
                <w:rStyle w:val="CharacterStyle9"/>
              </w:rPr>
            </w:pPr>
            <w:r>
              <w:rPr>
                <w:rStyle w:val="CharacterStyle9"/>
              </w:rPr>
              <w:t>0,00</w:t>
            </w:r>
          </w:p>
        </w:tc>
      </w:tr>
      <w:tr w:rsidR="007D706A" w14:paraId="5B6545B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2E5CC9A"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64E6E73E"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0942115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69EF118" w14:textId="77777777" w:rsidR="007D706A" w:rsidRDefault="007D706A" w:rsidP="00F70508">
            <w:pPr>
              <w:pStyle w:val="ParagraphStyle12"/>
              <w:rPr>
                <w:rStyle w:val="CharacterStyle12"/>
              </w:rPr>
            </w:pPr>
            <w:r>
              <w:rPr>
                <w:rStyle w:val="CharacterStyle12"/>
              </w:rPr>
              <w:t>577.000,00</w:t>
            </w:r>
          </w:p>
        </w:tc>
        <w:tc>
          <w:tcPr>
            <w:tcW w:w="1395" w:type="dxa"/>
            <w:tcBorders>
              <w:bottom w:val="single" w:sz="6" w:space="0" w:color="000000"/>
              <w:right w:val="single" w:sz="6" w:space="0" w:color="000000"/>
            </w:tcBorders>
            <w:vAlign w:val="center"/>
          </w:tcPr>
          <w:p w14:paraId="5A94070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BDF55A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1E72438" w14:textId="77777777" w:rsidR="007D706A" w:rsidRDefault="007D706A" w:rsidP="00F70508">
            <w:pPr>
              <w:pStyle w:val="ParagraphStyle12"/>
              <w:rPr>
                <w:rStyle w:val="CharacterStyle12"/>
              </w:rPr>
            </w:pPr>
            <w:r>
              <w:rPr>
                <w:rStyle w:val="CharacterStyle12"/>
              </w:rPr>
              <w:t>0,00</w:t>
            </w:r>
          </w:p>
        </w:tc>
      </w:tr>
      <w:tr w:rsidR="007D706A" w14:paraId="5D35198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7317C37"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20771CEE"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149D8CD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B31A8D0" w14:textId="77777777" w:rsidR="007D706A" w:rsidRDefault="007D706A" w:rsidP="00F70508">
            <w:pPr>
              <w:pStyle w:val="ParagraphStyle12"/>
              <w:rPr>
                <w:rStyle w:val="CharacterStyle12"/>
              </w:rPr>
            </w:pPr>
            <w:r>
              <w:rPr>
                <w:rStyle w:val="CharacterStyle12"/>
              </w:rPr>
              <w:t>577.000,00</w:t>
            </w:r>
          </w:p>
        </w:tc>
        <w:tc>
          <w:tcPr>
            <w:tcW w:w="1395" w:type="dxa"/>
            <w:tcBorders>
              <w:bottom w:val="single" w:sz="6" w:space="0" w:color="000000"/>
              <w:right w:val="single" w:sz="6" w:space="0" w:color="000000"/>
            </w:tcBorders>
            <w:vAlign w:val="center"/>
          </w:tcPr>
          <w:p w14:paraId="3B262C0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274A53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FF24B08" w14:textId="77777777" w:rsidR="007D706A" w:rsidRDefault="007D706A" w:rsidP="00F70508">
            <w:pPr>
              <w:pStyle w:val="ParagraphStyle12"/>
              <w:rPr>
                <w:rStyle w:val="CharacterStyle12"/>
              </w:rPr>
            </w:pPr>
            <w:r>
              <w:rPr>
                <w:rStyle w:val="CharacterStyle12"/>
              </w:rPr>
              <w:t>0,00</w:t>
            </w:r>
          </w:p>
        </w:tc>
      </w:tr>
      <w:tr w:rsidR="007D706A" w14:paraId="44FFD1B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921C6B5" w14:textId="77777777" w:rsidR="007D706A" w:rsidRDefault="007D706A" w:rsidP="00F70508">
            <w:pPr>
              <w:pStyle w:val="ParagraphStyle4"/>
              <w:rPr>
                <w:rStyle w:val="CharacterStyle4"/>
              </w:rPr>
            </w:pPr>
            <w:r>
              <w:rPr>
                <w:rStyle w:val="CharacterStyle4"/>
              </w:rPr>
              <w:t>Aktivnost A102104</w:t>
            </w:r>
          </w:p>
        </w:tc>
        <w:tc>
          <w:tcPr>
            <w:tcW w:w="4995" w:type="dxa"/>
            <w:tcBorders>
              <w:bottom w:val="single" w:sz="6" w:space="0" w:color="000000"/>
              <w:right w:val="single" w:sz="6" w:space="0" w:color="000000"/>
            </w:tcBorders>
            <w:vAlign w:val="center"/>
          </w:tcPr>
          <w:p w14:paraId="7FD0E617" w14:textId="77777777" w:rsidR="007D706A" w:rsidRDefault="007D706A" w:rsidP="00F70508">
            <w:pPr>
              <w:pStyle w:val="ParagraphStyle5"/>
              <w:rPr>
                <w:rStyle w:val="CharacterStyle5"/>
              </w:rPr>
            </w:pPr>
            <w:r>
              <w:rPr>
                <w:rStyle w:val="CharacterStyle5"/>
              </w:rPr>
              <w:t>UREĐENJE GRADSKIH GROBLJA</w:t>
            </w:r>
          </w:p>
        </w:tc>
        <w:tc>
          <w:tcPr>
            <w:tcW w:w="1395" w:type="dxa"/>
            <w:tcBorders>
              <w:bottom w:val="single" w:sz="6" w:space="0" w:color="000000"/>
              <w:right w:val="single" w:sz="6" w:space="0" w:color="000000"/>
            </w:tcBorders>
            <w:vAlign w:val="center"/>
          </w:tcPr>
          <w:p w14:paraId="0C18067B"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10BD558F" w14:textId="77777777" w:rsidR="007D706A" w:rsidRDefault="007D706A" w:rsidP="00F70508">
            <w:pPr>
              <w:pStyle w:val="ParagraphStyle6"/>
              <w:rPr>
                <w:rStyle w:val="CharacterStyle6"/>
              </w:rPr>
            </w:pPr>
            <w:r>
              <w:rPr>
                <w:rStyle w:val="CharacterStyle6"/>
              </w:rPr>
              <w:t>29.200,00</w:t>
            </w:r>
          </w:p>
        </w:tc>
        <w:tc>
          <w:tcPr>
            <w:tcW w:w="1395" w:type="dxa"/>
            <w:tcBorders>
              <w:bottom w:val="single" w:sz="6" w:space="0" w:color="000000"/>
              <w:right w:val="single" w:sz="6" w:space="0" w:color="000000"/>
            </w:tcBorders>
            <w:vAlign w:val="center"/>
          </w:tcPr>
          <w:p w14:paraId="4A87FD41" w14:textId="77777777" w:rsidR="007D706A" w:rsidRDefault="007D706A" w:rsidP="00F70508">
            <w:pPr>
              <w:pStyle w:val="ParagraphStyle6"/>
              <w:rPr>
                <w:rStyle w:val="CharacterStyle6"/>
              </w:rPr>
            </w:pPr>
            <w:r>
              <w:rPr>
                <w:rStyle w:val="CharacterStyle6"/>
              </w:rPr>
              <w:t>30.000,00</w:t>
            </w:r>
          </w:p>
        </w:tc>
        <w:tc>
          <w:tcPr>
            <w:tcW w:w="1395" w:type="dxa"/>
            <w:tcBorders>
              <w:bottom w:val="single" w:sz="6" w:space="0" w:color="000000"/>
              <w:right w:val="single" w:sz="6" w:space="0" w:color="000000"/>
            </w:tcBorders>
            <w:vAlign w:val="center"/>
          </w:tcPr>
          <w:p w14:paraId="5E0B8A31" w14:textId="77777777" w:rsidR="007D706A" w:rsidRDefault="007D706A" w:rsidP="00F70508">
            <w:pPr>
              <w:pStyle w:val="ParagraphStyle6"/>
              <w:rPr>
                <w:rStyle w:val="CharacterStyle6"/>
              </w:rPr>
            </w:pPr>
            <w:r>
              <w:rPr>
                <w:rStyle w:val="CharacterStyle6"/>
              </w:rPr>
              <w:t>30.000,00</w:t>
            </w:r>
          </w:p>
        </w:tc>
        <w:tc>
          <w:tcPr>
            <w:tcW w:w="1395" w:type="dxa"/>
            <w:tcBorders>
              <w:bottom w:val="single" w:sz="6" w:space="0" w:color="000000"/>
              <w:right w:val="single" w:sz="6" w:space="0" w:color="000000"/>
            </w:tcBorders>
            <w:vAlign w:val="center"/>
          </w:tcPr>
          <w:p w14:paraId="7BC162FF" w14:textId="77777777" w:rsidR="007D706A" w:rsidRDefault="007D706A" w:rsidP="00F70508">
            <w:pPr>
              <w:pStyle w:val="ParagraphStyle6"/>
              <w:rPr>
                <w:rStyle w:val="CharacterStyle6"/>
              </w:rPr>
            </w:pPr>
            <w:r>
              <w:rPr>
                <w:rStyle w:val="CharacterStyle6"/>
              </w:rPr>
              <w:t>30.000,00</w:t>
            </w:r>
          </w:p>
        </w:tc>
      </w:tr>
      <w:tr w:rsidR="007D706A" w14:paraId="3E4BF62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51E184D" w14:textId="77777777" w:rsidR="007D706A" w:rsidRDefault="007D706A" w:rsidP="00F70508">
            <w:pPr>
              <w:pStyle w:val="ParagraphStyle7"/>
              <w:rPr>
                <w:rStyle w:val="CharacterStyle7"/>
              </w:rPr>
            </w:pPr>
            <w:r>
              <w:rPr>
                <w:rStyle w:val="CharacterStyle7"/>
              </w:rPr>
              <w:t>Izvor financiranja 40</w:t>
            </w:r>
          </w:p>
        </w:tc>
        <w:tc>
          <w:tcPr>
            <w:tcW w:w="4995" w:type="dxa"/>
            <w:tcBorders>
              <w:bottom w:val="single" w:sz="6" w:space="0" w:color="000000"/>
              <w:right w:val="single" w:sz="6" w:space="0" w:color="000000"/>
            </w:tcBorders>
            <w:vAlign w:val="center"/>
          </w:tcPr>
          <w:p w14:paraId="0E97173F" w14:textId="77777777" w:rsidR="007D706A" w:rsidRDefault="007D706A" w:rsidP="00F70508">
            <w:pPr>
              <w:pStyle w:val="ParagraphStyle8"/>
              <w:rPr>
                <w:rStyle w:val="CharacterStyle8"/>
              </w:rPr>
            </w:pPr>
            <w:r>
              <w:rPr>
                <w:rStyle w:val="CharacterStyle8"/>
              </w:rPr>
              <w:t>Prihodi od komunalne naknade i komunalnog doprinosa</w:t>
            </w:r>
          </w:p>
        </w:tc>
        <w:tc>
          <w:tcPr>
            <w:tcW w:w="1395" w:type="dxa"/>
            <w:tcBorders>
              <w:bottom w:val="single" w:sz="6" w:space="0" w:color="000000"/>
              <w:right w:val="single" w:sz="6" w:space="0" w:color="000000"/>
            </w:tcBorders>
            <w:vAlign w:val="center"/>
          </w:tcPr>
          <w:p w14:paraId="5563741F"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36AB7DB"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01C2A4C" w14:textId="77777777" w:rsidR="007D706A" w:rsidRDefault="007D706A" w:rsidP="00F70508">
            <w:pPr>
              <w:pStyle w:val="ParagraphStyle9"/>
              <w:rPr>
                <w:rStyle w:val="CharacterStyle9"/>
              </w:rPr>
            </w:pPr>
            <w:r>
              <w:rPr>
                <w:rStyle w:val="CharacterStyle9"/>
              </w:rPr>
              <w:t>30.000,00</w:t>
            </w:r>
          </w:p>
        </w:tc>
        <w:tc>
          <w:tcPr>
            <w:tcW w:w="1395" w:type="dxa"/>
            <w:tcBorders>
              <w:bottom w:val="single" w:sz="6" w:space="0" w:color="000000"/>
              <w:right w:val="single" w:sz="6" w:space="0" w:color="000000"/>
            </w:tcBorders>
            <w:vAlign w:val="center"/>
          </w:tcPr>
          <w:p w14:paraId="238F6201" w14:textId="77777777" w:rsidR="007D706A" w:rsidRDefault="007D706A" w:rsidP="00F70508">
            <w:pPr>
              <w:pStyle w:val="ParagraphStyle9"/>
              <w:rPr>
                <w:rStyle w:val="CharacterStyle9"/>
              </w:rPr>
            </w:pPr>
            <w:r>
              <w:rPr>
                <w:rStyle w:val="CharacterStyle9"/>
              </w:rPr>
              <w:t>30.000,00</w:t>
            </w:r>
          </w:p>
        </w:tc>
        <w:tc>
          <w:tcPr>
            <w:tcW w:w="1395" w:type="dxa"/>
            <w:tcBorders>
              <w:bottom w:val="single" w:sz="6" w:space="0" w:color="000000"/>
              <w:right w:val="single" w:sz="6" w:space="0" w:color="000000"/>
            </w:tcBorders>
            <w:vAlign w:val="center"/>
          </w:tcPr>
          <w:p w14:paraId="4EAF8346" w14:textId="77777777" w:rsidR="007D706A" w:rsidRDefault="007D706A" w:rsidP="00F70508">
            <w:pPr>
              <w:pStyle w:val="ParagraphStyle9"/>
              <w:rPr>
                <w:rStyle w:val="CharacterStyle9"/>
              </w:rPr>
            </w:pPr>
            <w:r>
              <w:rPr>
                <w:rStyle w:val="CharacterStyle9"/>
              </w:rPr>
              <w:t>30.000,00</w:t>
            </w:r>
          </w:p>
        </w:tc>
      </w:tr>
      <w:tr w:rsidR="007D706A" w14:paraId="4ED23CD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32E712A"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27B80092"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58FAB03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44804C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9EC205B" w14:textId="77777777" w:rsidR="007D706A" w:rsidRDefault="007D706A" w:rsidP="00F70508">
            <w:pPr>
              <w:pStyle w:val="ParagraphStyle12"/>
              <w:rPr>
                <w:rStyle w:val="CharacterStyle12"/>
              </w:rPr>
            </w:pPr>
            <w:r>
              <w:rPr>
                <w:rStyle w:val="CharacterStyle12"/>
              </w:rPr>
              <w:t>30.000,00</w:t>
            </w:r>
          </w:p>
        </w:tc>
        <w:tc>
          <w:tcPr>
            <w:tcW w:w="1395" w:type="dxa"/>
            <w:tcBorders>
              <w:bottom w:val="single" w:sz="6" w:space="0" w:color="000000"/>
              <w:right w:val="single" w:sz="6" w:space="0" w:color="000000"/>
            </w:tcBorders>
            <w:vAlign w:val="center"/>
          </w:tcPr>
          <w:p w14:paraId="72A229A2" w14:textId="77777777" w:rsidR="007D706A" w:rsidRDefault="007D706A" w:rsidP="00F70508">
            <w:pPr>
              <w:pStyle w:val="ParagraphStyle12"/>
              <w:rPr>
                <w:rStyle w:val="CharacterStyle12"/>
              </w:rPr>
            </w:pPr>
            <w:r>
              <w:rPr>
                <w:rStyle w:val="CharacterStyle12"/>
              </w:rPr>
              <w:t>30.000,00</w:t>
            </w:r>
          </w:p>
        </w:tc>
        <w:tc>
          <w:tcPr>
            <w:tcW w:w="1395" w:type="dxa"/>
            <w:tcBorders>
              <w:bottom w:val="single" w:sz="6" w:space="0" w:color="000000"/>
              <w:right w:val="single" w:sz="6" w:space="0" w:color="000000"/>
            </w:tcBorders>
            <w:vAlign w:val="center"/>
          </w:tcPr>
          <w:p w14:paraId="52241F51" w14:textId="77777777" w:rsidR="007D706A" w:rsidRDefault="007D706A" w:rsidP="00F70508">
            <w:pPr>
              <w:pStyle w:val="ParagraphStyle12"/>
              <w:rPr>
                <w:rStyle w:val="CharacterStyle12"/>
              </w:rPr>
            </w:pPr>
            <w:r>
              <w:rPr>
                <w:rStyle w:val="CharacterStyle12"/>
              </w:rPr>
              <w:t>30.000,00</w:t>
            </w:r>
          </w:p>
        </w:tc>
      </w:tr>
      <w:tr w:rsidR="007D706A" w14:paraId="501DF14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2740852"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68702F4B"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32D333A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B724F1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B51C828" w14:textId="77777777" w:rsidR="007D706A" w:rsidRDefault="007D706A" w:rsidP="00F70508">
            <w:pPr>
              <w:pStyle w:val="ParagraphStyle12"/>
              <w:rPr>
                <w:rStyle w:val="CharacterStyle12"/>
              </w:rPr>
            </w:pPr>
            <w:r>
              <w:rPr>
                <w:rStyle w:val="CharacterStyle12"/>
              </w:rPr>
              <w:t>30.000,00</w:t>
            </w:r>
          </w:p>
        </w:tc>
        <w:tc>
          <w:tcPr>
            <w:tcW w:w="1395" w:type="dxa"/>
            <w:tcBorders>
              <w:bottom w:val="single" w:sz="6" w:space="0" w:color="000000"/>
              <w:right w:val="single" w:sz="6" w:space="0" w:color="000000"/>
            </w:tcBorders>
            <w:vAlign w:val="center"/>
          </w:tcPr>
          <w:p w14:paraId="2B78580F" w14:textId="77777777" w:rsidR="007D706A" w:rsidRDefault="007D706A" w:rsidP="00F70508">
            <w:pPr>
              <w:pStyle w:val="ParagraphStyle12"/>
              <w:rPr>
                <w:rStyle w:val="CharacterStyle12"/>
              </w:rPr>
            </w:pPr>
            <w:r>
              <w:rPr>
                <w:rStyle w:val="CharacterStyle12"/>
              </w:rPr>
              <w:t>30.000,00</w:t>
            </w:r>
          </w:p>
        </w:tc>
        <w:tc>
          <w:tcPr>
            <w:tcW w:w="1395" w:type="dxa"/>
            <w:tcBorders>
              <w:bottom w:val="single" w:sz="6" w:space="0" w:color="000000"/>
              <w:right w:val="single" w:sz="6" w:space="0" w:color="000000"/>
            </w:tcBorders>
            <w:vAlign w:val="center"/>
          </w:tcPr>
          <w:p w14:paraId="42D713C3" w14:textId="77777777" w:rsidR="007D706A" w:rsidRDefault="007D706A" w:rsidP="00F70508">
            <w:pPr>
              <w:pStyle w:val="ParagraphStyle12"/>
              <w:rPr>
                <w:rStyle w:val="CharacterStyle12"/>
              </w:rPr>
            </w:pPr>
            <w:r>
              <w:rPr>
                <w:rStyle w:val="CharacterStyle12"/>
              </w:rPr>
              <w:t>30.000,00</w:t>
            </w:r>
          </w:p>
        </w:tc>
      </w:tr>
      <w:tr w:rsidR="007D706A" w14:paraId="5269117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7BE685E" w14:textId="77777777" w:rsidR="007D706A" w:rsidRDefault="007D706A" w:rsidP="00F70508">
            <w:pPr>
              <w:pStyle w:val="ParagraphStyle7"/>
              <w:rPr>
                <w:rStyle w:val="CharacterStyle7"/>
              </w:rPr>
            </w:pPr>
            <w:r>
              <w:rPr>
                <w:rStyle w:val="CharacterStyle7"/>
              </w:rPr>
              <w:t>Izvor financiranja 41</w:t>
            </w:r>
          </w:p>
        </w:tc>
        <w:tc>
          <w:tcPr>
            <w:tcW w:w="4995" w:type="dxa"/>
            <w:tcBorders>
              <w:bottom w:val="single" w:sz="6" w:space="0" w:color="000000"/>
              <w:right w:val="single" w:sz="6" w:space="0" w:color="000000"/>
            </w:tcBorders>
            <w:vAlign w:val="center"/>
          </w:tcPr>
          <w:p w14:paraId="4EB6B8BC" w14:textId="77777777" w:rsidR="007D706A" w:rsidRDefault="007D706A" w:rsidP="00F70508">
            <w:pPr>
              <w:pStyle w:val="ParagraphStyle8"/>
              <w:rPr>
                <w:rStyle w:val="CharacterStyle8"/>
              </w:rPr>
            </w:pPr>
            <w:r>
              <w:rPr>
                <w:rStyle w:val="CharacterStyle8"/>
              </w:rPr>
              <w:t>Prihodi za posebne namjene</w:t>
            </w:r>
          </w:p>
        </w:tc>
        <w:tc>
          <w:tcPr>
            <w:tcW w:w="1395" w:type="dxa"/>
            <w:tcBorders>
              <w:bottom w:val="single" w:sz="6" w:space="0" w:color="000000"/>
              <w:right w:val="single" w:sz="6" w:space="0" w:color="000000"/>
            </w:tcBorders>
            <w:vAlign w:val="center"/>
          </w:tcPr>
          <w:p w14:paraId="52D9F54A"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EA3EE6E" w14:textId="77777777" w:rsidR="007D706A" w:rsidRDefault="007D706A" w:rsidP="00F70508">
            <w:pPr>
              <w:pStyle w:val="ParagraphStyle9"/>
              <w:rPr>
                <w:rStyle w:val="CharacterStyle9"/>
              </w:rPr>
            </w:pPr>
            <w:r>
              <w:rPr>
                <w:rStyle w:val="CharacterStyle9"/>
              </w:rPr>
              <w:t>29.200,00</w:t>
            </w:r>
          </w:p>
        </w:tc>
        <w:tc>
          <w:tcPr>
            <w:tcW w:w="1395" w:type="dxa"/>
            <w:tcBorders>
              <w:bottom w:val="single" w:sz="6" w:space="0" w:color="000000"/>
              <w:right w:val="single" w:sz="6" w:space="0" w:color="000000"/>
            </w:tcBorders>
            <w:vAlign w:val="center"/>
          </w:tcPr>
          <w:p w14:paraId="41FE9D92"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FEFB8F0"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A96B34C" w14:textId="77777777" w:rsidR="007D706A" w:rsidRDefault="007D706A" w:rsidP="00F70508">
            <w:pPr>
              <w:pStyle w:val="ParagraphStyle9"/>
              <w:rPr>
                <w:rStyle w:val="CharacterStyle9"/>
              </w:rPr>
            </w:pPr>
            <w:r>
              <w:rPr>
                <w:rStyle w:val="CharacterStyle9"/>
              </w:rPr>
              <w:t>0,00</w:t>
            </w:r>
          </w:p>
        </w:tc>
      </w:tr>
      <w:tr w:rsidR="007D706A" w14:paraId="1638723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3D11965"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27C7EC85"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3BC95FF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77362AB" w14:textId="77777777" w:rsidR="007D706A" w:rsidRDefault="007D706A" w:rsidP="00F70508">
            <w:pPr>
              <w:pStyle w:val="ParagraphStyle12"/>
              <w:rPr>
                <w:rStyle w:val="CharacterStyle12"/>
              </w:rPr>
            </w:pPr>
            <w:r>
              <w:rPr>
                <w:rStyle w:val="CharacterStyle12"/>
              </w:rPr>
              <w:t>29.200,00</w:t>
            </w:r>
          </w:p>
        </w:tc>
        <w:tc>
          <w:tcPr>
            <w:tcW w:w="1395" w:type="dxa"/>
            <w:tcBorders>
              <w:bottom w:val="single" w:sz="6" w:space="0" w:color="000000"/>
              <w:right w:val="single" w:sz="6" w:space="0" w:color="000000"/>
            </w:tcBorders>
            <w:vAlign w:val="center"/>
          </w:tcPr>
          <w:p w14:paraId="609D0F1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458BE7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B8EF421" w14:textId="77777777" w:rsidR="007D706A" w:rsidRDefault="007D706A" w:rsidP="00F70508">
            <w:pPr>
              <w:pStyle w:val="ParagraphStyle12"/>
              <w:rPr>
                <w:rStyle w:val="CharacterStyle12"/>
              </w:rPr>
            </w:pPr>
            <w:r>
              <w:rPr>
                <w:rStyle w:val="CharacterStyle12"/>
              </w:rPr>
              <w:t>0,00</w:t>
            </w:r>
          </w:p>
        </w:tc>
      </w:tr>
      <w:tr w:rsidR="007D706A" w14:paraId="1E34B24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E82E58D"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4EAD1AD4"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61EB113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200D296" w14:textId="77777777" w:rsidR="007D706A" w:rsidRDefault="007D706A" w:rsidP="00F70508">
            <w:pPr>
              <w:pStyle w:val="ParagraphStyle12"/>
              <w:rPr>
                <w:rStyle w:val="CharacterStyle12"/>
              </w:rPr>
            </w:pPr>
            <w:r>
              <w:rPr>
                <w:rStyle w:val="CharacterStyle12"/>
              </w:rPr>
              <w:t>29.200,00</w:t>
            </w:r>
          </w:p>
        </w:tc>
        <w:tc>
          <w:tcPr>
            <w:tcW w:w="1395" w:type="dxa"/>
            <w:tcBorders>
              <w:bottom w:val="single" w:sz="6" w:space="0" w:color="000000"/>
              <w:right w:val="single" w:sz="6" w:space="0" w:color="000000"/>
            </w:tcBorders>
            <w:vAlign w:val="center"/>
          </w:tcPr>
          <w:p w14:paraId="449B894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DEE38E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7096356" w14:textId="77777777" w:rsidR="007D706A" w:rsidRDefault="007D706A" w:rsidP="00F70508">
            <w:pPr>
              <w:pStyle w:val="ParagraphStyle12"/>
              <w:rPr>
                <w:rStyle w:val="CharacterStyle12"/>
              </w:rPr>
            </w:pPr>
            <w:r>
              <w:rPr>
                <w:rStyle w:val="CharacterStyle12"/>
              </w:rPr>
              <w:t>0,00</w:t>
            </w:r>
          </w:p>
        </w:tc>
      </w:tr>
      <w:tr w:rsidR="007D706A" w14:paraId="42BC125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6A85E67" w14:textId="77777777" w:rsidR="007D706A" w:rsidRDefault="007D706A" w:rsidP="00F70508">
            <w:pPr>
              <w:pStyle w:val="ParagraphStyle4"/>
              <w:rPr>
                <w:rStyle w:val="CharacterStyle4"/>
              </w:rPr>
            </w:pPr>
            <w:r>
              <w:rPr>
                <w:rStyle w:val="CharacterStyle4"/>
              </w:rPr>
              <w:t>Aktivnost A102105</w:t>
            </w:r>
          </w:p>
        </w:tc>
        <w:tc>
          <w:tcPr>
            <w:tcW w:w="4995" w:type="dxa"/>
            <w:tcBorders>
              <w:bottom w:val="single" w:sz="6" w:space="0" w:color="000000"/>
              <w:right w:val="single" w:sz="6" w:space="0" w:color="000000"/>
            </w:tcBorders>
            <w:vAlign w:val="center"/>
          </w:tcPr>
          <w:p w14:paraId="643A84FC" w14:textId="77777777" w:rsidR="007D706A" w:rsidRDefault="007D706A" w:rsidP="00F70508">
            <w:pPr>
              <w:pStyle w:val="ParagraphStyle5"/>
              <w:rPr>
                <w:rStyle w:val="CharacterStyle5"/>
              </w:rPr>
            </w:pPr>
            <w:r>
              <w:rPr>
                <w:rStyle w:val="CharacterStyle5"/>
              </w:rPr>
              <w:t>POTROŠNJA JAVNE VODE</w:t>
            </w:r>
          </w:p>
        </w:tc>
        <w:tc>
          <w:tcPr>
            <w:tcW w:w="1395" w:type="dxa"/>
            <w:tcBorders>
              <w:bottom w:val="single" w:sz="6" w:space="0" w:color="000000"/>
              <w:right w:val="single" w:sz="6" w:space="0" w:color="000000"/>
            </w:tcBorders>
            <w:vAlign w:val="center"/>
          </w:tcPr>
          <w:p w14:paraId="340CA325"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63DB95FC" w14:textId="77777777" w:rsidR="007D706A" w:rsidRDefault="007D706A" w:rsidP="00F70508">
            <w:pPr>
              <w:pStyle w:val="ParagraphStyle6"/>
              <w:rPr>
                <w:rStyle w:val="CharacterStyle6"/>
              </w:rPr>
            </w:pPr>
            <w:r>
              <w:rPr>
                <w:rStyle w:val="CharacterStyle6"/>
              </w:rPr>
              <w:t>10.500,00</w:t>
            </w:r>
          </w:p>
        </w:tc>
        <w:tc>
          <w:tcPr>
            <w:tcW w:w="1395" w:type="dxa"/>
            <w:tcBorders>
              <w:bottom w:val="single" w:sz="6" w:space="0" w:color="000000"/>
              <w:right w:val="single" w:sz="6" w:space="0" w:color="000000"/>
            </w:tcBorders>
            <w:vAlign w:val="center"/>
          </w:tcPr>
          <w:p w14:paraId="7A15D2B0" w14:textId="77777777" w:rsidR="007D706A" w:rsidRDefault="007D706A" w:rsidP="00F70508">
            <w:pPr>
              <w:pStyle w:val="ParagraphStyle6"/>
              <w:rPr>
                <w:rStyle w:val="CharacterStyle6"/>
              </w:rPr>
            </w:pPr>
            <w:r>
              <w:rPr>
                <w:rStyle w:val="CharacterStyle6"/>
              </w:rPr>
              <w:t>12.000,00</w:t>
            </w:r>
          </w:p>
        </w:tc>
        <w:tc>
          <w:tcPr>
            <w:tcW w:w="1395" w:type="dxa"/>
            <w:tcBorders>
              <w:bottom w:val="single" w:sz="6" w:space="0" w:color="000000"/>
              <w:right w:val="single" w:sz="6" w:space="0" w:color="000000"/>
            </w:tcBorders>
            <w:vAlign w:val="center"/>
          </w:tcPr>
          <w:p w14:paraId="3240AA97" w14:textId="77777777" w:rsidR="007D706A" w:rsidRDefault="007D706A" w:rsidP="00F70508">
            <w:pPr>
              <w:pStyle w:val="ParagraphStyle6"/>
              <w:rPr>
                <w:rStyle w:val="CharacterStyle6"/>
              </w:rPr>
            </w:pPr>
            <w:r>
              <w:rPr>
                <w:rStyle w:val="CharacterStyle6"/>
              </w:rPr>
              <w:t>12.000,00</w:t>
            </w:r>
          </w:p>
        </w:tc>
        <w:tc>
          <w:tcPr>
            <w:tcW w:w="1395" w:type="dxa"/>
            <w:tcBorders>
              <w:bottom w:val="single" w:sz="6" w:space="0" w:color="000000"/>
              <w:right w:val="single" w:sz="6" w:space="0" w:color="000000"/>
            </w:tcBorders>
            <w:vAlign w:val="center"/>
          </w:tcPr>
          <w:p w14:paraId="75DD380C" w14:textId="77777777" w:rsidR="007D706A" w:rsidRDefault="007D706A" w:rsidP="00F70508">
            <w:pPr>
              <w:pStyle w:val="ParagraphStyle6"/>
              <w:rPr>
                <w:rStyle w:val="CharacterStyle6"/>
              </w:rPr>
            </w:pPr>
            <w:r>
              <w:rPr>
                <w:rStyle w:val="CharacterStyle6"/>
              </w:rPr>
              <w:t>12.000,00</w:t>
            </w:r>
          </w:p>
        </w:tc>
      </w:tr>
      <w:tr w:rsidR="007D706A" w14:paraId="2B192DB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418F969" w14:textId="77777777" w:rsidR="007D706A" w:rsidRDefault="007D706A" w:rsidP="00F70508">
            <w:pPr>
              <w:pStyle w:val="ParagraphStyle7"/>
              <w:rPr>
                <w:rStyle w:val="CharacterStyle7"/>
              </w:rPr>
            </w:pPr>
            <w:r>
              <w:rPr>
                <w:rStyle w:val="CharacterStyle7"/>
              </w:rPr>
              <w:t>Izvor financiranja 40</w:t>
            </w:r>
          </w:p>
        </w:tc>
        <w:tc>
          <w:tcPr>
            <w:tcW w:w="4995" w:type="dxa"/>
            <w:tcBorders>
              <w:bottom w:val="single" w:sz="6" w:space="0" w:color="000000"/>
              <w:right w:val="single" w:sz="6" w:space="0" w:color="000000"/>
            </w:tcBorders>
            <w:vAlign w:val="center"/>
          </w:tcPr>
          <w:p w14:paraId="0D250E82" w14:textId="77777777" w:rsidR="007D706A" w:rsidRDefault="007D706A" w:rsidP="00F70508">
            <w:pPr>
              <w:pStyle w:val="ParagraphStyle8"/>
              <w:rPr>
                <w:rStyle w:val="CharacterStyle8"/>
              </w:rPr>
            </w:pPr>
            <w:r>
              <w:rPr>
                <w:rStyle w:val="CharacterStyle8"/>
              </w:rPr>
              <w:t>Prihodi od komunalne naknade i komunalnog doprinosa</w:t>
            </w:r>
          </w:p>
        </w:tc>
        <w:tc>
          <w:tcPr>
            <w:tcW w:w="1395" w:type="dxa"/>
            <w:tcBorders>
              <w:bottom w:val="single" w:sz="6" w:space="0" w:color="000000"/>
              <w:right w:val="single" w:sz="6" w:space="0" w:color="000000"/>
            </w:tcBorders>
            <w:vAlign w:val="center"/>
          </w:tcPr>
          <w:p w14:paraId="61AA5123"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DF7A998"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1320C0E" w14:textId="77777777" w:rsidR="007D706A" w:rsidRDefault="007D706A" w:rsidP="00F70508">
            <w:pPr>
              <w:pStyle w:val="ParagraphStyle9"/>
              <w:rPr>
                <w:rStyle w:val="CharacterStyle9"/>
              </w:rPr>
            </w:pPr>
            <w:r>
              <w:rPr>
                <w:rStyle w:val="CharacterStyle9"/>
              </w:rPr>
              <w:t>12.000,00</w:t>
            </w:r>
          </w:p>
        </w:tc>
        <w:tc>
          <w:tcPr>
            <w:tcW w:w="1395" w:type="dxa"/>
            <w:tcBorders>
              <w:bottom w:val="single" w:sz="6" w:space="0" w:color="000000"/>
              <w:right w:val="single" w:sz="6" w:space="0" w:color="000000"/>
            </w:tcBorders>
            <w:vAlign w:val="center"/>
          </w:tcPr>
          <w:p w14:paraId="780534C6" w14:textId="77777777" w:rsidR="007D706A" w:rsidRDefault="007D706A" w:rsidP="00F70508">
            <w:pPr>
              <w:pStyle w:val="ParagraphStyle9"/>
              <w:rPr>
                <w:rStyle w:val="CharacterStyle9"/>
              </w:rPr>
            </w:pPr>
            <w:r>
              <w:rPr>
                <w:rStyle w:val="CharacterStyle9"/>
              </w:rPr>
              <w:t>12.000,00</w:t>
            </w:r>
          </w:p>
        </w:tc>
        <w:tc>
          <w:tcPr>
            <w:tcW w:w="1395" w:type="dxa"/>
            <w:tcBorders>
              <w:bottom w:val="single" w:sz="6" w:space="0" w:color="000000"/>
              <w:right w:val="single" w:sz="6" w:space="0" w:color="000000"/>
            </w:tcBorders>
            <w:vAlign w:val="center"/>
          </w:tcPr>
          <w:p w14:paraId="7AC678E7" w14:textId="77777777" w:rsidR="007D706A" w:rsidRDefault="007D706A" w:rsidP="00F70508">
            <w:pPr>
              <w:pStyle w:val="ParagraphStyle9"/>
              <w:rPr>
                <w:rStyle w:val="CharacterStyle9"/>
              </w:rPr>
            </w:pPr>
            <w:r>
              <w:rPr>
                <w:rStyle w:val="CharacterStyle9"/>
              </w:rPr>
              <w:t>12.000,00</w:t>
            </w:r>
          </w:p>
        </w:tc>
      </w:tr>
      <w:tr w:rsidR="007D706A" w14:paraId="1A273FB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FFC237D"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06EA7A55"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6C63D58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D03CD9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5F4397C" w14:textId="77777777" w:rsidR="007D706A" w:rsidRDefault="007D706A" w:rsidP="00F70508">
            <w:pPr>
              <w:pStyle w:val="ParagraphStyle12"/>
              <w:rPr>
                <w:rStyle w:val="CharacterStyle12"/>
              </w:rPr>
            </w:pPr>
            <w:r>
              <w:rPr>
                <w:rStyle w:val="CharacterStyle12"/>
              </w:rPr>
              <w:t>12.000,00</w:t>
            </w:r>
          </w:p>
        </w:tc>
        <w:tc>
          <w:tcPr>
            <w:tcW w:w="1395" w:type="dxa"/>
            <w:tcBorders>
              <w:bottom w:val="single" w:sz="6" w:space="0" w:color="000000"/>
              <w:right w:val="single" w:sz="6" w:space="0" w:color="000000"/>
            </w:tcBorders>
            <w:vAlign w:val="center"/>
          </w:tcPr>
          <w:p w14:paraId="254E1307" w14:textId="77777777" w:rsidR="007D706A" w:rsidRDefault="007D706A" w:rsidP="00F70508">
            <w:pPr>
              <w:pStyle w:val="ParagraphStyle12"/>
              <w:rPr>
                <w:rStyle w:val="CharacterStyle12"/>
              </w:rPr>
            </w:pPr>
            <w:r>
              <w:rPr>
                <w:rStyle w:val="CharacterStyle12"/>
              </w:rPr>
              <w:t>12.000,00</w:t>
            </w:r>
          </w:p>
        </w:tc>
        <w:tc>
          <w:tcPr>
            <w:tcW w:w="1395" w:type="dxa"/>
            <w:tcBorders>
              <w:bottom w:val="single" w:sz="6" w:space="0" w:color="000000"/>
              <w:right w:val="single" w:sz="6" w:space="0" w:color="000000"/>
            </w:tcBorders>
            <w:vAlign w:val="center"/>
          </w:tcPr>
          <w:p w14:paraId="3F3CCA3C" w14:textId="77777777" w:rsidR="007D706A" w:rsidRDefault="007D706A" w:rsidP="00F70508">
            <w:pPr>
              <w:pStyle w:val="ParagraphStyle12"/>
              <w:rPr>
                <w:rStyle w:val="CharacterStyle12"/>
              </w:rPr>
            </w:pPr>
            <w:r>
              <w:rPr>
                <w:rStyle w:val="CharacterStyle12"/>
              </w:rPr>
              <w:t>12.000,00</w:t>
            </w:r>
          </w:p>
        </w:tc>
      </w:tr>
      <w:tr w:rsidR="007D706A" w14:paraId="0633C76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EC3C969"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6812A5FF"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2E77145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954D66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6B2041C" w14:textId="77777777" w:rsidR="007D706A" w:rsidRDefault="007D706A" w:rsidP="00F70508">
            <w:pPr>
              <w:pStyle w:val="ParagraphStyle12"/>
              <w:rPr>
                <w:rStyle w:val="CharacterStyle12"/>
              </w:rPr>
            </w:pPr>
            <w:r>
              <w:rPr>
                <w:rStyle w:val="CharacterStyle12"/>
              </w:rPr>
              <w:t>12.000,00</w:t>
            </w:r>
          </w:p>
        </w:tc>
        <w:tc>
          <w:tcPr>
            <w:tcW w:w="1395" w:type="dxa"/>
            <w:tcBorders>
              <w:bottom w:val="single" w:sz="6" w:space="0" w:color="000000"/>
              <w:right w:val="single" w:sz="6" w:space="0" w:color="000000"/>
            </w:tcBorders>
            <w:vAlign w:val="center"/>
          </w:tcPr>
          <w:p w14:paraId="66548614" w14:textId="77777777" w:rsidR="007D706A" w:rsidRDefault="007D706A" w:rsidP="00F70508">
            <w:pPr>
              <w:pStyle w:val="ParagraphStyle12"/>
              <w:rPr>
                <w:rStyle w:val="CharacterStyle12"/>
              </w:rPr>
            </w:pPr>
            <w:r>
              <w:rPr>
                <w:rStyle w:val="CharacterStyle12"/>
              </w:rPr>
              <w:t>12.000,00</w:t>
            </w:r>
          </w:p>
        </w:tc>
        <w:tc>
          <w:tcPr>
            <w:tcW w:w="1395" w:type="dxa"/>
            <w:tcBorders>
              <w:bottom w:val="single" w:sz="6" w:space="0" w:color="000000"/>
              <w:right w:val="single" w:sz="6" w:space="0" w:color="000000"/>
            </w:tcBorders>
            <w:vAlign w:val="center"/>
          </w:tcPr>
          <w:p w14:paraId="53A89A49" w14:textId="77777777" w:rsidR="007D706A" w:rsidRDefault="007D706A" w:rsidP="00F70508">
            <w:pPr>
              <w:pStyle w:val="ParagraphStyle12"/>
              <w:rPr>
                <w:rStyle w:val="CharacterStyle12"/>
              </w:rPr>
            </w:pPr>
            <w:r>
              <w:rPr>
                <w:rStyle w:val="CharacterStyle12"/>
              </w:rPr>
              <w:t>12.000,00</w:t>
            </w:r>
          </w:p>
        </w:tc>
      </w:tr>
      <w:tr w:rsidR="007D706A" w14:paraId="18D5CE9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B747416" w14:textId="77777777" w:rsidR="007D706A" w:rsidRDefault="007D706A" w:rsidP="00F70508">
            <w:pPr>
              <w:pStyle w:val="ParagraphStyle7"/>
              <w:rPr>
                <w:rStyle w:val="CharacterStyle7"/>
              </w:rPr>
            </w:pPr>
            <w:r>
              <w:rPr>
                <w:rStyle w:val="CharacterStyle7"/>
              </w:rPr>
              <w:t>Izvor financiranja 41</w:t>
            </w:r>
          </w:p>
        </w:tc>
        <w:tc>
          <w:tcPr>
            <w:tcW w:w="4995" w:type="dxa"/>
            <w:tcBorders>
              <w:bottom w:val="single" w:sz="6" w:space="0" w:color="000000"/>
              <w:right w:val="single" w:sz="6" w:space="0" w:color="000000"/>
            </w:tcBorders>
            <w:vAlign w:val="center"/>
          </w:tcPr>
          <w:p w14:paraId="0D962B0A" w14:textId="77777777" w:rsidR="007D706A" w:rsidRDefault="007D706A" w:rsidP="00F70508">
            <w:pPr>
              <w:pStyle w:val="ParagraphStyle8"/>
              <w:rPr>
                <w:rStyle w:val="CharacterStyle8"/>
              </w:rPr>
            </w:pPr>
            <w:r>
              <w:rPr>
                <w:rStyle w:val="CharacterStyle8"/>
              </w:rPr>
              <w:t>Prihodi za posebne namjene</w:t>
            </w:r>
          </w:p>
        </w:tc>
        <w:tc>
          <w:tcPr>
            <w:tcW w:w="1395" w:type="dxa"/>
            <w:tcBorders>
              <w:bottom w:val="single" w:sz="6" w:space="0" w:color="000000"/>
              <w:right w:val="single" w:sz="6" w:space="0" w:color="000000"/>
            </w:tcBorders>
            <w:vAlign w:val="center"/>
          </w:tcPr>
          <w:p w14:paraId="54FDD734"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935C50D" w14:textId="77777777" w:rsidR="007D706A" w:rsidRDefault="007D706A" w:rsidP="00F70508">
            <w:pPr>
              <w:pStyle w:val="ParagraphStyle9"/>
              <w:rPr>
                <w:rStyle w:val="CharacterStyle9"/>
              </w:rPr>
            </w:pPr>
            <w:r>
              <w:rPr>
                <w:rStyle w:val="CharacterStyle9"/>
              </w:rPr>
              <w:t>10.500,00</w:t>
            </w:r>
          </w:p>
        </w:tc>
        <w:tc>
          <w:tcPr>
            <w:tcW w:w="1395" w:type="dxa"/>
            <w:tcBorders>
              <w:bottom w:val="single" w:sz="6" w:space="0" w:color="000000"/>
              <w:right w:val="single" w:sz="6" w:space="0" w:color="000000"/>
            </w:tcBorders>
            <w:vAlign w:val="center"/>
          </w:tcPr>
          <w:p w14:paraId="0ED5516D"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8A183F0"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74F50A6" w14:textId="77777777" w:rsidR="007D706A" w:rsidRDefault="007D706A" w:rsidP="00F70508">
            <w:pPr>
              <w:pStyle w:val="ParagraphStyle9"/>
              <w:rPr>
                <w:rStyle w:val="CharacterStyle9"/>
              </w:rPr>
            </w:pPr>
            <w:r>
              <w:rPr>
                <w:rStyle w:val="CharacterStyle9"/>
              </w:rPr>
              <w:t>0,00</w:t>
            </w:r>
          </w:p>
        </w:tc>
      </w:tr>
      <w:tr w:rsidR="007D706A" w14:paraId="54ECB42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D62577B"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20C2FC7A"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735C924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164DCAD" w14:textId="77777777" w:rsidR="007D706A" w:rsidRDefault="007D706A" w:rsidP="00F70508">
            <w:pPr>
              <w:pStyle w:val="ParagraphStyle12"/>
              <w:rPr>
                <w:rStyle w:val="CharacterStyle12"/>
              </w:rPr>
            </w:pPr>
            <w:r>
              <w:rPr>
                <w:rStyle w:val="CharacterStyle12"/>
              </w:rPr>
              <w:t>10.500,00</w:t>
            </w:r>
          </w:p>
        </w:tc>
        <w:tc>
          <w:tcPr>
            <w:tcW w:w="1395" w:type="dxa"/>
            <w:tcBorders>
              <w:bottom w:val="single" w:sz="6" w:space="0" w:color="000000"/>
              <w:right w:val="single" w:sz="6" w:space="0" w:color="000000"/>
            </w:tcBorders>
            <w:vAlign w:val="center"/>
          </w:tcPr>
          <w:p w14:paraId="5572B0E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BF8DEB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584DBB0" w14:textId="77777777" w:rsidR="007D706A" w:rsidRDefault="007D706A" w:rsidP="00F70508">
            <w:pPr>
              <w:pStyle w:val="ParagraphStyle12"/>
              <w:rPr>
                <w:rStyle w:val="CharacterStyle12"/>
              </w:rPr>
            </w:pPr>
            <w:r>
              <w:rPr>
                <w:rStyle w:val="CharacterStyle12"/>
              </w:rPr>
              <w:t>0,00</w:t>
            </w:r>
          </w:p>
        </w:tc>
      </w:tr>
      <w:tr w:rsidR="007D706A" w14:paraId="5AC1172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7C8CF88"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0DCE5C31"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40B377B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004EFB0" w14:textId="77777777" w:rsidR="007D706A" w:rsidRDefault="007D706A" w:rsidP="00F70508">
            <w:pPr>
              <w:pStyle w:val="ParagraphStyle12"/>
              <w:rPr>
                <w:rStyle w:val="CharacterStyle12"/>
              </w:rPr>
            </w:pPr>
            <w:r>
              <w:rPr>
                <w:rStyle w:val="CharacterStyle12"/>
              </w:rPr>
              <w:t>10.500,00</w:t>
            </w:r>
          </w:p>
        </w:tc>
        <w:tc>
          <w:tcPr>
            <w:tcW w:w="1395" w:type="dxa"/>
            <w:tcBorders>
              <w:bottom w:val="single" w:sz="6" w:space="0" w:color="000000"/>
              <w:right w:val="single" w:sz="6" w:space="0" w:color="000000"/>
            </w:tcBorders>
            <w:vAlign w:val="center"/>
          </w:tcPr>
          <w:p w14:paraId="186C19F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62CE93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3FB4CE1" w14:textId="77777777" w:rsidR="007D706A" w:rsidRDefault="007D706A" w:rsidP="00F70508">
            <w:pPr>
              <w:pStyle w:val="ParagraphStyle12"/>
              <w:rPr>
                <w:rStyle w:val="CharacterStyle12"/>
              </w:rPr>
            </w:pPr>
            <w:r>
              <w:rPr>
                <w:rStyle w:val="CharacterStyle12"/>
              </w:rPr>
              <w:t>0,00</w:t>
            </w:r>
          </w:p>
        </w:tc>
      </w:tr>
      <w:tr w:rsidR="007D706A" w14:paraId="4FF0E8F3" w14:textId="77777777" w:rsidTr="00F70508">
        <w:trPr>
          <w:trHeight w:val="405"/>
        </w:trPr>
        <w:tc>
          <w:tcPr>
            <w:tcW w:w="2880" w:type="dxa"/>
            <w:tcBorders>
              <w:left w:val="single" w:sz="6" w:space="0" w:color="000000"/>
              <w:bottom w:val="single" w:sz="6" w:space="0" w:color="000000"/>
              <w:right w:val="single" w:sz="6" w:space="0" w:color="000000"/>
            </w:tcBorders>
            <w:vAlign w:val="center"/>
          </w:tcPr>
          <w:p w14:paraId="3CA2DF1B" w14:textId="77777777" w:rsidR="007D706A" w:rsidRDefault="007D706A" w:rsidP="00F70508">
            <w:pPr>
              <w:pStyle w:val="ParagraphStyle4"/>
              <w:rPr>
                <w:rStyle w:val="CharacterStyle4"/>
              </w:rPr>
            </w:pPr>
            <w:r>
              <w:rPr>
                <w:rStyle w:val="CharacterStyle4"/>
              </w:rPr>
              <w:t>Aktivnost A102106</w:t>
            </w:r>
          </w:p>
        </w:tc>
        <w:tc>
          <w:tcPr>
            <w:tcW w:w="4995" w:type="dxa"/>
            <w:tcBorders>
              <w:bottom w:val="single" w:sz="6" w:space="0" w:color="000000"/>
              <w:right w:val="single" w:sz="6" w:space="0" w:color="000000"/>
            </w:tcBorders>
            <w:vAlign w:val="center"/>
          </w:tcPr>
          <w:p w14:paraId="4F55ECC5" w14:textId="77777777" w:rsidR="007D706A" w:rsidRDefault="007D706A" w:rsidP="00F70508">
            <w:pPr>
              <w:pStyle w:val="ParagraphStyle5"/>
              <w:rPr>
                <w:rStyle w:val="CharacterStyle5"/>
              </w:rPr>
            </w:pPr>
            <w:r>
              <w:rPr>
                <w:rStyle w:val="CharacterStyle5"/>
              </w:rPr>
              <w:t>IZVANREDNO ČIŠĆENJE JAVNIH POVRŠINA I UREĐENJE OSTALIH NEKRETNINA</w:t>
            </w:r>
          </w:p>
        </w:tc>
        <w:tc>
          <w:tcPr>
            <w:tcW w:w="1395" w:type="dxa"/>
            <w:tcBorders>
              <w:bottom w:val="single" w:sz="6" w:space="0" w:color="000000"/>
              <w:right w:val="single" w:sz="6" w:space="0" w:color="000000"/>
            </w:tcBorders>
            <w:vAlign w:val="center"/>
          </w:tcPr>
          <w:p w14:paraId="2E6912DD"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10058533" w14:textId="77777777" w:rsidR="007D706A" w:rsidRDefault="007D706A" w:rsidP="00F70508">
            <w:pPr>
              <w:pStyle w:val="ParagraphStyle6"/>
              <w:rPr>
                <w:rStyle w:val="CharacterStyle6"/>
              </w:rPr>
            </w:pPr>
            <w:r>
              <w:rPr>
                <w:rStyle w:val="CharacterStyle6"/>
              </w:rPr>
              <w:t>39.239,50</w:t>
            </w:r>
          </w:p>
        </w:tc>
        <w:tc>
          <w:tcPr>
            <w:tcW w:w="1395" w:type="dxa"/>
            <w:tcBorders>
              <w:bottom w:val="single" w:sz="6" w:space="0" w:color="000000"/>
              <w:right w:val="single" w:sz="6" w:space="0" w:color="000000"/>
            </w:tcBorders>
            <w:vAlign w:val="center"/>
          </w:tcPr>
          <w:p w14:paraId="3ED3B1FF" w14:textId="77777777" w:rsidR="007D706A" w:rsidRDefault="007D706A" w:rsidP="00F70508">
            <w:pPr>
              <w:pStyle w:val="ParagraphStyle6"/>
              <w:rPr>
                <w:rStyle w:val="CharacterStyle6"/>
              </w:rPr>
            </w:pPr>
            <w:r>
              <w:rPr>
                <w:rStyle w:val="CharacterStyle6"/>
              </w:rPr>
              <w:t>50.000,00</w:t>
            </w:r>
          </w:p>
        </w:tc>
        <w:tc>
          <w:tcPr>
            <w:tcW w:w="1395" w:type="dxa"/>
            <w:tcBorders>
              <w:bottom w:val="single" w:sz="6" w:space="0" w:color="000000"/>
              <w:right w:val="single" w:sz="6" w:space="0" w:color="000000"/>
            </w:tcBorders>
            <w:vAlign w:val="center"/>
          </w:tcPr>
          <w:p w14:paraId="5A604D84" w14:textId="77777777" w:rsidR="007D706A" w:rsidRDefault="007D706A" w:rsidP="00F70508">
            <w:pPr>
              <w:pStyle w:val="ParagraphStyle6"/>
              <w:rPr>
                <w:rStyle w:val="CharacterStyle6"/>
              </w:rPr>
            </w:pPr>
            <w:r>
              <w:rPr>
                <w:rStyle w:val="CharacterStyle6"/>
              </w:rPr>
              <w:t>50.000,00</w:t>
            </w:r>
          </w:p>
        </w:tc>
        <w:tc>
          <w:tcPr>
            <w:tcW w:w="1395" w:type="dxa"/>
            <w:tcBorders>
              <w:bottom w:val="single" w:sz="6" w:space="0" w:color="000000"/>
              <w:right w:val="single" w:sz="6" w:space="0" w:color="000000"/>
            </w:tcBorders>
            <w:vAlign w:val="center"/>
          </w:tcPr>
          <w:p w14:paraId="3B8A9E8A" w14:textId="77777777" w:rsidR="007D706A" w:rsidRDefault="007D706A" w:rsidP="00F70508">
            <w:pPr>
              <w:pStyle w:val="ParagraphStyle6"/>
              <w:rPr>
                <w:rStyle w:val="CharacterStyle6"/>
              </w:rPr>
            </w:pPr>
            <w:r>
              <w:rPr>
                <w:rStyle w:val="CharacterStyle6"/>
              </w:rPr>
              <w:t>50.000,00</w:t>
            </w:r>
          </w:p>
        </w:tc>
      </w:tr>
      <w:tr w:rsidR="007D706A" w14:paraId="7F9B619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825A3CB" w14:textId="77777777" w:rsidR="007D706A" w:rsidRDefault="007D706A" w:rsidP="00F70508">
            <w:pPr>
              <w:pStyle w:val="ParagraphStyle7"/>
              <w:rPr>
                <w:rStyle w:val="CharacterStyle7"/>
              </w:rPr>
            </w:pPr>
            <w:r>
              <w:rPr>
                <w:rStyle w:val="CharacterStyle7"/>
              </w:rPr>
              <w:t>Izvor financiranja 40</w:t>
            </w:r>
          </w:p>
        </w:tc>
        <w:tc>
          <w:tcPr>
            <w:tcW w:w="4995" w:type="dxa"/>
            <w:tcBorders>
              <w:bottom w:val="single" w:sz="6" w:space="0" w:color="000000"/>
              <w:right w:val="single" w:sz="6" w:space="0" w:color="000000"/>
            </w:tcBorders>
            <w:vAlign w:val="center"/>
          </w:tcPr>
          <w:p w14:paraId="070983B5" w14:textId="77777777" w:rsidR="007D706A" w:rsidRDefault="007D706A" w:rsidP="00F70508">
            <w:pPr>
              <w:pStyle w:val="ParagraphStyle8"/>
              <w:rPr>
                <w:rStyle w:val="CharacterStyle8"/>
              </w:rPr>
            </w:pPr>
            <w:r>
              <w:rPr>
                <w:rStyle w:val="CharacterStyle8"/>
              </w:rPr>
              <w:t>Prihodi od komunalne naknade i komunalnog doprinosa</w:t>
            </w:r>
          </w:p>
        </w:tc>
        <w:tc>
          <w:tcPr>
            <w:tcW w:w="1395" w:type="dxa"/>
            <w:tcBorders>
              <w:bottom w:val="single" w:sz="6" w:space="0" w:color="000000"/>
              <w:right w:val="single" w:sz="6" w:space="0" w:color="000000"/>
            </w:tcBorders>
            <w:vAlign w:val="center"/>
          </w:tcPr>
          <w:p w14:paraId="130E6BE2"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B4D6843"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3A59DCB" w14:textId="77777777" w:rsidR="007D706A" w:rsidRDefault="007D706A" w:rsidP="00F70508">
            <w:pPr>
              <w:pStyle w:val="ParagraphStyle9"/>
              <w:rPr>
                <w:rStyle w:val="CharacterStyle9"/>
              </w:rPr>
            </w:pPr>
            <w:r>
              <w:rPr>
                <w:rStyle w:val="CharacterStyle9"/>
              </w:rPr>
              <w:t>50.000,00</w:t>
            </w:r>
          </w:p>
        </w:tc>
        <w:tc>
          <w:tcPr>
            <w:tcW w:w="1395" w:type="dxa"/>
            <w:tcBorders>
              <w:bottom w:val="single" w:sz="6" w:space="0" w:color="000000"/>
              <w:right w:val="single" w:sz="6" w:space="0" w:color="000000"/>
            </w:tcBorders>
            <w:vAlign w:val="center"/>
          </w:tcPr>
          <w:p w14:paraId="13A34B37" w14:textId="77777777" w:rsidR="007D706A" w:rsidRDefault="007D706A" w:rsidP="00F70508">
            <w:pPr>
              <w:pStyle w:val="ParagraphStyle9"/>
              <w:rPr>
                <w:rStyle w:val="CharacterStyle9"/>
              </w:rPr>
            </w:pPr>
            <w:r>
              <w:rPr>
                <w:rStyle w:val="CharacterStyle9"/>
              </w:rPr>
              <w:t>50.000,00</w:t>
            </w:r>
          </w:p>
        </w:tc>
        <w:tc>
          <w:tcPr>
            <w:tcW w:w="1395" w:type="dxa"/>
            <w:tcBorders>
              <w:bottom w:val="single" w:sz="6" w:space="0" w:color="000000"/>
              <w:right w:val="single" w:sz="6" w:space="0" w:color="000000"/>
            </w:tcBorders>
            <w:vAlign w:val="center"/>
          </w:tcPr>
          <w:p w14:paraId="7A8947FB" w14:textId="77777777" w:rsidR="007D706A" w:rsidRDefault="007D706A" w:rsidP="00F70508">
            <w:pPr>
              <w:pStyle w:val="ParagraphStyle9"/>
              <w:rPr>
                <w:rStyle w:val="CharacterStyle9"/>
              </w:rPr>
            </w:pPr>
            <w:r>
              <w:rPr>
                <w:rStyle w:val="CharacterStyle9"/>
              </w:rPr>
              <w:t>50.000,00</w:t>
            </w:r>
          </w:p>
        </w:tc>
      </w:tr>
      <w:tr w:rsidR="007D706A" w14:paraId="6857E31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6FADB69"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60BFF5A1"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3F3EFAF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E2E37D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E20D45F" w14:textId="77777777" w:rsidR="007D706A" w:rsidRDefault="007D706A" w:rsidP="00F70508">
            <w:pPr>
              <w:pStyle w:val="ParagraphStyle12"/>
              <w:rPr>
                <w:rStyle w:val="CharacterStyle12"/>
              </w:rPr>
            </w:pPr>
            <w:r>
              <w:rPr>
                <w:rStyle w:val="CharacterStyle12"/>
              </w:rPr>
              <w:t>50.000,00</w:t>
            </w:r>
          </w:p>
        </w:tc>
        <w:tc>
          <w:tcPr>
            <w:tcW w:w="1395" w:type="dxa"/>
            <w:tcBorders>
              <w:bottom w:val="single" w:sz="6" w:space="0" w:color="000000"/>
              <w:right w:val="single" w:sz="6" w:space="0" w:color="000000"/>
            </w:tcBorders>
            <w:vAlign w:val="center"/>
          </w:tcPr>
          <w:p w14:paraId="4C80333A" w14:textId="77777777" w:rsidR="007D706A" w:rsidRDefault="007D706A" w:rsidP="00F70508">
            <w:pPr>
              <w:pStyle w:val="ParagraphStyle12"/>
              <w:rPr>
                <w:rStyle w:val="CharacterStyle12"/>
              </w:rPr>
            </w:pPr>
            <w:r>
              <w:rPr>
                <w:rStyle w:val="CharacterStyle12"/>
              </w:rPr>
              <w:t>50.000,00</w:t>
            </w:r>
          </w:p>
        </w:tc>
        <w:tc>
          <w:tcPr>
            <w:tcW w:w="1395" w:type="dxa"/>
            <w:tcBorders>
              <w:bottom w:val="single" w:sz="6" w:space="0" w:color="000000"/>
              <w:right w:val="single" w:sz="6" w:space="0" w:color="000000"/>
            </w:tcBorders>
            <w:vAlign w:val="center"/>
          </w:tcPr>
          <w:p w14:paraId="6D3A1581" w14:textId="77777777" w:rsidR="007D706A" w:rsidRDefault="007D706A" w:rsidP="00F70508">
            <w:pPr>
              <w:pStyle w:val="ParagraphStyle12"/>
              <w:rPr>
                <w:rStyle w:val="CharacterStyle12"/>
              </w:rPr>
            </w:pPr>
            <w:r>
              <w:rPr>
                <w:rStyle w:val="CharacterStyle12"/>
              </w:rPr>
              <w:t>50.000,00</w:t>
            </w:r>
          </w:p>
        </w:tc>
      </w:tr>
      <w:tr w:rsidR="007D706A" w14:paraId="62341C1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EB07CB8"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23AD66A1"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4E46E26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068D1A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03ECE27" w14:textId="77777777" w:rsidR="007D706A" w:rsidRDefault="007D706A" w:rsidP="00F70508">
            <w:pPr>
              <w:pStyle w:val="ParagraphStyle12"/>
              <w:rPr>
                <w:rStyle w:val="CharacterStyle12"/>
              </w:rPr>
            </w:pPr>
            <w:r>
              <w:rPr>
                <w:rStyle w:val="CharacterStyle12"/>
              </w:rPr>
              <w:t>50.000,00</w:t>
            </w:r>
          </w:p>
        </w:tc>
        <w:tc>
          <w:tcPr>
            <w:tcW w:w="1395" w:type="dxa"/>
            <w:tcBorders>
              <w:bottom w:val="single" w:sz="6" w:space="0" w:color="000000"/>
              <w:right w:val="single" w:sz="6" w:space="0" w:color="000000"/>
            </w:tcBorders>
            <w:vAlign w:val="center"/>
          </w:tcPr>
          <w:p w14:paraId="24777EA5" w14:textId="77777777" w:rsidR="007D706A" w:rsidRDefault="007D706A" w:rsidP="00F70508">
            <w:pPr>
              <w:pStyle w:val="ParagraphStyle12"/>
              <w:rPr>
                <w:rStyle w:val="CharacterStyle12"/>
              </w:rPr>
            </w:pPr>
            <w:r>
              <w:rPr>
                <w:rStyle w:val="CharacterStyle12"/>
              </w:rPr>
              <w:t>50.000,00</w:t>
            </w:r>
          </w:p>
        </w:tc>
        <w:tc>
          <w:tcPr>
            <w:tcW w:w="1395" w:type="dxa"/>
            <w:tcBorders>
              <w:bottom w:val="single" w:sz="6" w:space="0" w:color="000000"/>
              <w:right w:val="single" w:sz="6" w:space="0" w:color="000000"/>
            </w:tcBorders>
            <w:vAlign w:val="center"/>
          </w:tcPr>
          <w:p w14:paraId="17423691" w14:textId="77777777" w:rsidR="007D706A" w:rsidRDefault="007D706A" w:rsidP="00F70508">
            <w:pPr>
              <w:pStyle w:val="ParagraphStyle12"/>
              <w:rPr>
                <w:rStyle w:val="CharacterStyle12"/>
              </w:rPr>
            </w:pPr>
            <w:r>
              <w:rPr>
                <w:rStyle w:val="CharacterStyle12"/>
              </w:rPr>
              <w:t>50.000,00</w:t>
            </w:r>
          </w:p>
        </w:tc>
      </w:tr>
      <w:tr w:rsidR="007D706A" w14:paraId="7549D11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4274A4C" w14:textId="77777777" w:rsidR="007D706A" w:rsidRDefault="007D706A" w:rsidP="00F70508">
            <w:pPr>
              <w:pStyle w:val="ParagraphStyle7"/>
              <w:rPr>
                <w:rStyle w:val="CharacterStyle7"/>
              </w:rPr>
            </w:pPr>
            <w:r>
              <w:rPr>
                <w:rStyle w:val="CharacterStyle7"/>
              </w:rPr>
              <w:t>Izvor financiranja 41</w:t>
            </w:r>
          </w:p>
        </w:tc>
        <w:tc>
          <w:tcPr>
            <w:tcW w:w="4995" w:type="dxa"/>
            <w:tcBorders>
              <w:bottom w:val="single" w:sz="6" w:space="0" w:color="000000"/>
              <w:right w:val="single" w:sz="6" w:space="0" w:color="000000"/>
            </w:tcBorders>
            <w:vAlign w:val="center"/>
          </w:tcPr>
          <w:p w14:paraId="7259FD34" w14:textId="77777777" w:rsidR="007D706A" w:rsidRDefault="007D706A" w:rsidP="00F70508">
            <w:pPr>
              <w:pStyle w:val="ParagraphStyle8"/>
              <w:rPr>
                <w:rStyle w:val="CharacterStyle8"/>
              </w:rPr>
            </w:pPr>
            <w:r>
              <w:rPr>
                <w:rStyle w:val="CharacterStyle8"/>
              </w:rPr>
              <w:t>Prihodi za posebne namjene</w:t>
            </w:r>
          </w:p>
        </w:tc>
        <w:tc>
          <w:tcPr>
            <w:tcW w:w="1395" w:type="dxa"/>
            <w:tcBorders>
              <w:bottom w:val="single" w:sz="6" w:space="0" w:color="000000"/>
              <w:right w:val="single" w:sz="6" w:space="0" w:color="000000"/>
            </w:tcBorders>
            <w:vAlign w:val="center"/>
          </w:tcPr>
          <w:p w14:paraId="0153AB8E"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1E91D36" w14:textId="77777777" w:rsidR="007D706A" w:rsidRDefault="007D706A" w:rsidP="00F70508">
            <w:pPr>
              <w:pStyle w:val="ParagraphStyle9"/>
              <w:rPr>
                <w:rStyle w:val="CharacterStyle9"/>
              </w:rPr>
            </w:pPr>
            <w:r>
              <w:rPr>
                <w:rStyle w:val="CharacterStyle9"/>
              </w:rPr>
              <w:t>39.239,50</w:t>
            </w:r>
          </w:p>
        </w:tc>
        <w:tc>
          <w:tcPr>
            <w:tcW w:w="1395" w:type="dxa"/>
            <w:tcBorders>
              <w:bottom w:val="single" w:sz="6" w:space="0" w:color="000000"/>
              <w:right w:val="single" w:sz="6" w:space="0" w:color="000000"/>
            </w:tcBorders>
            <w:vAlign w:val="center"/>
          </w:tcPr>
          <w:p w14:paraId="6712640D"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7953E58"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3858B9D" w14:textId="77777777" w:rsidR="007D706A" w:rsidRDefault="007D706A" w:rsidP="00F70508">
            <w:pPr>
              <w:pStyle w:val="ParagraphStyle9"/>
              <w:rPr>
                <w:rStyle w:val="CharacterStyle9"/>
              </w:rPr>
            </w:pPr>
            <w:r>
              <w:rPr>
                <w:rStyle w:val="CharacterStyle9"/>
              </w:rPr>
              <w:t>0,00</w:t>
            </w:r>
          </w:p>
        </w:tc>
      </w:tr>
      <w:tr w:rsidR="007D706A" w14:paraId="2B61A88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BE81F87" w14:textId="77777777" w:rsidR="007D706A" w:rsidRDefault="007D706A" w:rsidP="00F70508">
            <w:pPr>
              <w:pStyle w:val="ParagraphStyle10"/>
              <w:rPr>
                <w:rStyle w:val="CharacterStyle10"/>
              </w:rPr>
            </w:pPr>
            <w:r>
              <w:rPr>
                <w:rStyle w:val="CharacterStyle10"/>
              </w:rPr>
              <w:lastRenderedPageBreak/>
              <w:t>3</w:t>
            </w:r>
          </w:p>
        </w:tc>
        <w:tc>
          <w:tcPr>
            <w:tcW w:w="4995" w:type="dxa"/>
            <w:tcBorders>
              <w:bottom w:val="single" w:sz="6" w:space="0" w:color="000000"/>
              <w:right w:val="single" w:sz="6" w:space="0" w:color="000000"/>
            </w:tcBorders>
            <w:vAlign w:val="center"/>
          </w:tcPr>
          <w:p w14:paraId="030E375E"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536EC2E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B37E2C6" w14:textId="77777777" w:rsidR="007D706A" w:rsidRDefault="007D706A" w:rsidP="00F70508">
            <w:pPr>
              <w:pStyle w:val="ParagraphStyle12"/>
              <w:rPr>
                <w:rStyle w:val="CharacterStyle12"/>
              </w:rPr>
            </w:pPr>
            <w:r>
              <w:rPr>
                <w:rStyle w:val="CharacterStyle12"/>
              </w:rPr>
              <w:t>39.239,50</w:t>
            </w:r>
          </w:p>
        </w:tc>
        <w:tc>
          <w:tcPr>
            <w:tcW w:w="1395" w:type="dxa"/>
            <w:tcBorders>
              <w:bottom w:val="single" w:sz="6" w:space="0" w:color="000000"/>
              <w:right w:val="single" w:sz="6" w:space="0" w:color="000000"/>
            </w:tcBorders>
            <w:vAlign w:val="center"/>
          </w:tcPr>
          <w:p w14:paraId="0A03A20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86B565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8DCD845" w14:textId="77777777" w:rsidR="007D706A" w:rsidRDefault="007D706A" w:rsidP="00F70508">
            <w:pPr>
              <w:pStyle w:val="ParagraphStyle12"/>
              <w:rPr>
                <w:rStyle w:val="CharacterStyle12"/>
              </w:rPr>
            </w:pPr>
            <w:r>
              <w:rPr>
                <w:rStyle w:val="CharacterStyle12"/>
              </w:rPr>
              <w:t>0,00</w:t>
            </w:r>
          </w:p>
        </w:tc>
      </w:tr>
      <w:tr w:rsidR="007D706A" w14:paraId="247970A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C8B3E99"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64ED6193"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01C5371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5E05743" w14:textId="77777777" w:rsidR="007D706A" w:rsidRDefault="007D706A" w:rsidP="00F70508">
            <w:pPr>
              <w:pStyle w:val="ParagraphStyle12"/>
              <w:rPr>
                <w:rStyle w:val="CharacterStyle12"/>
              </w:rPr>
            </w:pPr>
            <w:r>
              <w:rPr>
                <w:rStyle w:val="CharacterStyle12"/>
              </w:rPr>
              <w:t>39.239,50</w:t>
            </w:r>
          </w:p>
        </w:tc>
        <w:tc>
          <w:tcPr>
            <w:tcW w:w="1395" w:type="dxa"/>
            <w:tcBorders>
              <w:bottom w:val="single" w:sz="6" w:space="0" w:color="000000"/>
              <w:right w:val="single" w:sz="6" w:space="0" w:color="000000"/>
            </w:tcBorders>
            <w:vAlign w:val="center"/>
          </w:tcPr>
          <w:p w14:paraId="0A80654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AB95D1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4365C23" w14:textId="77777777" w:rsidR="007D706A" w:rsidRDefault="007D706A" w:rsidP="00F70508">
            <w:pPr>
              <w:pStyle w:val="ParagraphStyle12"/>
              <w:rPr>
                <w:rStyle w:val="CharacterStyle12"/>
              </w:rPr>
            </w:pPr>
            <w:r>
              <w:rPr>
                <w:rStyle w:val="CharacterStyle12"/>
              </w:rPr>
              <w:t>0,00</w:t>
            </w:r>
          </w:p>
        </w:tc>
      </w:tr>
      <w:tr w:rsidR="007D706A" w14:paraId="60727BB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1E26FA8" w14:textId="77777777" w:rsidR="007D706A" w:rsidRDefault="007D706A" w:rsidP="00F70508">
            <w:pPr>
              <w:pStyle w:val="ParagraphStyle4"/>
              <w:rPr>
                <w:rStyle w:val="CharacterStyle4"/>
              </w:rPr>
            </w:pPr>
            <w:r>
              <w:rPr>
                <w:rStyle w:val="CharacterStyle4"/>
              </w:rPr>
              <w:t>Aktivnost A102107</w:t>
            </w:r>
          </w:p>
        </w:tc>
        <w:tc>
          <w:tcPr>
            <w:tcW w:w="4995" w:type="dxa"/>
            <w:tcBorders>
              <w:bottom w:val="single" w:sz="6" w:space="0" w:color="000000"/>
              <w:right w:val="single" w:sz="6" w:space="0" w:color="000000"/>
            </w:tcBorders>
            <w:vAlign w:val="center"/>
          </w:tcPr>
          <w:p w14:paraId="46E26F73" w14:textId="77777777" w:rsidR="007D706A" w:rsidRDefault="007D706A" w:rsidP="00F70508">
            <w:pPr>
              <w:pStyle w:val="ParagraphStyle5"/>
              <w:rPr>
                <w:rStyle w:val="CharacterStyle5"/>
              </w:rPr>
            </w:pPr>
            <w:r>
              <w:rPr>
                <w:rStyle w:val="CharacterStyle5"/>
              </w:rPr>
              <w:t>PRIJEVOZ ROBE U PJEŠAČKOJ ZONI</w:t>
            </w:r>
          </w:p>
        </w:tc>
        <w:tc>
          <w:tcPr>
            <w:tcW w:w="1395" w:type="dxa"/>
            <w:tcBorders>
              <w:bottom w:val="single" w:sz="6" w:space="0" w:color="000000"/>
              <w:right w:val="single" w:sz="6" w:space="0" w:color="000000"/>
            </w:tcBorders>
            <w:vAlign w:val="center"/>
          </w:tcPr>
          <w:p w14:paraId="77DA6C6F"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117EE07A" w14:textId="77777777" w:rsidR="007D706A" w:rsidRDefault="007D706A" w:rsidP="00F70508">
            <w:pPr>
              <w:pStyle w:val="ParagraphStyle6"/>
              <w:rPr>
                <w:rStyle w:val="CharacterStyle6"/>
              </w:rPr>
            </w:pPr>
            <w:r>
              <w:rPr>
                <w:rStyle w:val="CharacterStyle6"/>
              </w:rPr>
              <w:t>53.050,00</w:t>
            </w:r>
          </w:p>
        </w:tc>
        <w:tc>
          <w:tcPr>
            <w:tcW w:w="1395" w:type="dxa"/>
            <w:tcBorders>
              <w:bottom w:val="single" w:sz="6" w:space="0" w:color="000000"/>
              <w:right w:val="single" w:sz="6" w:space="0" w:color="000000"/>
            </w:tcBorders>
            <w:vAlign w:val="center"/>
          </w:tcPr>
          <w:p w14:paraId="4B766F6D" w14:textId="77777777" w:rsidR="007D706A" w:rsidRDefault="007D706A" w:rsidP="00F70508">
            <w:pPr>
              <w:pStyle w:val="ParagraphStyle6"/>
              <w:rPr>
                <w:rStyle w:val="CharacterStyle6"/>
              </w:rPr>
            </w:pPr>
            <w:r>
              <w:rPr>
                <w:rStyle w:val="CharacterStyle6"/>
              </w:rPr>
              <w:t>55.000,00</w:t>
            </w:r>
          </w:p>
        </w:tc>
        <w:tc>
          <w:tcPr>
            <w:tcW w:w="1395" w:type="dxa"/>
            <w:tcBorders>
              <w:bottom w:val="single" w:sz="6" w:space="0" w:color="000000"/>
              <w:right w:val="single" w:sz="6" w:space="0" w:color="000000"/>
            </w:tcBorders>
            <w:vAlign w:val="center"/>
          </w:tcPr>
          <w:p w14:paraId="199D90E7" w14:textId="77777777" w:rsidR="007D706A" w:rsidRDefault="007D706A" w:rsidP="00F70508">
            <w:pPr>
              <w:pStyle w:val="ParagraphStyle6"/>
              <w:rPr>
                <w:rStyle w:val="CharacterStyle6"/>
              </w:rPr>
            </w:pPr>
            <w:r>
              <w:rPr>
                <w:rStyle w:val="CharacterStyle6"/>
              </w:rPr>
              <w:t>55.000,00</w:t>
            </w:r>
          </w:p>
        </w:tc>
        <w:tc>
          <w:tcPr>
            <w:tcW w:w="1395" w:type="dxa"/>
            <w:tcBorders>
              <w:bottom w:val="single" w:sz="6" w:space="0" w:color="000000"/>
              <w:right w:val="single" w:sz="6" w:space="0" w:color="000000"/>
            </w:tcBorders>
            <w:vAlign w:val="center"/>
          </w:tcPr>
          <w:p w14:paraId="4CCC9B66" w14:textId="77777777" w:rsidR="007D706A" w:rsidRDefault="007D706A" w:rsidP="00F70508">
            <w:pPr>
              <w:pStyle w:val="ParagraphStyle6"/>
              <w:rPr>
                <w:rStyle w:val="CharacterStyle6"/>
              </w:rPr>
            </w:pPr>
            <w:r>
              <w:rPr>
                <w:rStyle w:val="CharacterStyle6"/>
              </w:rPr>
              <w:t>55.000,00</w:t>
            </w:r>
          </w:p>
        </w:tc>
      </w:tr>
      <w:tr w:rsidR="007D706A" w14:paraId="6977C66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300BEEC" w14:textId="77777777" w:rsidR="007D706A" w:rsidRDefault="007D706A" w:rsidP="00F70508">
            <w:pPr>
              <w:pStyle w:val="ParagraphStyle7"/>
              <w:rPr>
                <w:rStyle w:val="CharacterStyle7"/>
              </w:rPr>
            </w:pPr>
            <w:r>
              <w:rPr>
                <w:rStyle w:val="CharacterStyle7"/>
              </w:rPr>
              <w:t>Izvor financiranja 40</w:t>
            </w:r>
          </w:p>
        </w:tc>
        <w:tc>
          <w:tcPr>
            <w:tcW w:w="4995" w:type="dxa"/>
            <w:tcBorders>
              <w:bottom w:val="single" w:sz="6" w:space="0" w:color="000000"/>
              <w:right w:val="single" w:sz="6" w:space="0" w:color="000000"/>
            </w:tcBorders>
            <w:vAlign w:val="center"/>
          </w:tcPr>
          <w:p w14:paraId="6EA93A59" w14:textId="77777777" w:rsidR="007D706A" w:rsidRDefault="007D706A" w:rsidP="00F70508">
            <w:pPr>
              <w:pStyle w:val="ParagraphStyle8"/>
              <w:rPr>
                <w:rStyle w:val="CharacterStyle8"/>
              </w:rPr>
            </w:pPr>
            <w:r>
              <w:rPr>
                <w:rStyle w:val="CharacterStyle8"/>
              </w:rPr>
              <w:t>Prihodi od komunalne naknade i komunalnog doprinosa</w:t>
            </w:r>
          </w:p>
        </w:tc>
        <w:tc>
          <w:tcPr>
            <w:tcW w:w="1395" w:type="dxa"/>
            <w:tcBorders>
              <w:bottom w:val="single" w:sz="6" w:space="0" w:color="000000"/>
              <w:right w:val="single" w:sz="6" w:space="0" w:color="000000"/>
            </w:tcBorders>
            <w:vAlign w:val="center"/>
          </w:tcPr>
          <w:p w14:paraId="6D3067A2"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504A311"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DF0AEB3" w14:textId="77777777" w:rsidR="007D706A" w:rsidRDefault="007D706A" w:rsidP="00F70508">
            <w:pPr>
              <w:pStyle w:val="ParagraphStyle9"/>
              <w:rPr>
                <w:rStyle w:val="CharacterStyle9"/>
              </w:rPr>
            </w:pPr>
            <w:r>
              <w:rPr>
                <w:rStyle w:val="CharacterStyle9"/>
              </w:rPr>
              <w:t>55.000,00</w:t>
            </w:r>
          </w:p>
        </w:tc>
        <w:tc>
          <w:tcPr>
            <w:tcW w:w="1395" w:type="dxa"/>
            <w:tcBorders>
              <w:bottom w:val="single" w:sz="6" w:space="0" w:color="000000"/>
              <w:right w:val="single" w:sz="6" w:space="0" w:color="000000"/>
            </w:tcBorders>
            <w:vAlign w:val="center"/>
          </w:tcPr>
          <w:p w14:paraId="256AD5AE" w14:textId="77777777" w:rsidR="007D706A" w:rsidRDefault="007D706A" w:rsidP="00F70508">
            <w:pPr>
              <w:pStyle w:val="ParagraphStyle9"/>
              <w:rPr>
                <w:rStyle w:val="CharacterStyle9"/>
              </w:rPr>
            </w:pPr>
            <w:r>
              <w:rPr>
                <w:rStyle w:val="CharacterStyle9"/>
              </w:rPr>
              <w:t>55.000,00</w:t>
            </w:r>
          </w:p>
        </w:tc>
        <w:tc>
          <w:tcPr>
            <w:tcW w:w="1395" w:type="dxa"/>
            <w:tcBorders>
              <w:bottom w:val="single" w:sz="6" w:space="0" w:color="000000"/>
              <w:right w:val="single" w:sz="6" w:space="0" w:color="000000"/>
            </w:tcBorders>
            <w:vAlign w:val="center"/>
          </w:tcPr>
          <w:p w14:paraId="0E944716" w14:textId="77777777" w:rsidR="007D706A" w:rsidRDefault="007D706A" w:rsidP="00F70508">
            <w:pPr>
              <w:pStyle w:val="ParagraphStyle9"/>
              <w:rPr>
                <w:rStyle w:val="CharacterStyle9"/>
              </w:rPr>
            </w:pPr>
            <w:r>
              <w:rPr>
                <w:rStyle w:val="CharacterStyle9"/>
              </w:rPr>
              <w:t>55.000,00</w:t>
            </w:r>
          </w:p>
        </w:tc>
      </w:tr>
      <w:tr w:rsidR="007D706A" w14:paraId="1D55E0D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303F640"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3A0AC6FF"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4A8104F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2A974B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9F06926" w14:textId="77777777" w:rsidR="007D706A" w:rsidRDefault="007D706A" w:rsidP="00F70508">
            <w:pPr>
              <w:pStyle w:val="ParagraphStyle12"/>
              <w:rPr>
                <w:rStyle w:val="CharacterStyle12"/>
              </w:rPr>
            </w:pPr>
            <w:r>
              <w:rPr>
                <w:rStyle w:val="CharacterStyle12"/>
              </w:rPr>
              <w:t>55.000,00</w:t>
            </w:r>
          </w:p>
        </w:tc>
        <w:tc>
          <w:tcPr>
            <w:tcW w:w="1395" w:type="dxa"/>
            <w:tcBorders>
              <w:bottom w:val="single" w:sz="6" w:space="0" w:color="000000"/>
              <w:right w:val="single" w:sz="6" w:space="0" w:color="000000"/>
            </w:tcBorders>
            <w:vAlign w:val="center"/>
          </w:tcPr>
          <w:p w14:paraId="26FEC5A0" w14:textId="77777777" w:rsidR="007D706A" w:rsidRDefault="007D706A" w:rsidP="00F70508">
            <w:pPr>
              <w:pStyle w:val="ParagraphStyle12"/>
              <w:rPr>
                <w:rStyle w:val="CharacterStyle12"/>
              </w:rPr>
            </w:pPr>
            <w:r>
              <w:rPr>
                <w:rStyle w:val="CharacterStyle12"/>
              </w:rPr>
              <w:t>55.000,00</w:t>
            </w:r>
          </w:p>
        </w:tc>
        <w:tc>
          <w:tcPr>
            <w:tcW w:w="1395" w:type="dxa"/>
            <w:tcBorders>
              <w:bottom w:val="single" w:sz="6" w:space="0" w:color="000000"/>
              <w:right w:val="single" w:sz="6" w:space="0" w:color="000000"/>
            </w:tcBorders>
            <w:vAlign w:val="center"/>
          </w:tcPr>
          <w:p w14:paraId="16F05768" w14:textId="77777777" w:rsidR="007D706A" w:rsidRDefault="007D706A" w:rsidP="00F70508">
            <w:pPr>
              <w:pStyle w:val="ParagraphStyle12"/>
              <w:rPr>
                <w:rStyle w:val="CharacterStyle12"/>
              </w:rPr>
            </w:pPr>
            <w:r>
              <w:rPr>
                <w:rStyle w:val="CharacterStyle12"/>
              </w:rPr>
              <w:t>55.000,00</w:t>
            </w:r>
          </w:p>
        </w:tc>
      </w:tr>
      <w:tr w:rsidR="007D706A" w14:paraId="44CA090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29E4F9A"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0E6077BA"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25DDD79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AA39A9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16F30B6" w14:textId="77777777" w:rsidR="007D706A" w:rsidRDefault="007D706A" w:rsidP="00F70508">
            <w:pPr>
              <w:pStyle w:val="ParagraphStyle12"/>
              <w:rPr>
                <w:rStyle w:val="CharacterStyle12"/>
              </w:rPr>
            </w:pPr>
            <w:r>
              <w:rPr>
                <w:rStyle w:val="CharacterStyle12"/>
              </w:rPr>
              <w:t>55.000,00</w:t>
            </w:r>
          </w:p>
        </w:tc>
        <w:tc>
          <w:tcPr>
            <w:tcW w:w="1395" w:type="dxa"/>
            <w:tcBorders>
              <w:bottom w:val="single" w:sz="6" w:space="0" w:color="000000"/>
              <w:right w:val="single" w:sz="6" w:space="0" w:color="000000"/>
            </w:tcBorders>
            <w:vAlign w:val="center"/>
          </w:tcPr>
          <w:p w14:paraId="21AC6806" w14:textId="77777777" w:rsidR="007D706A" w:rsidRDefault="007D706A" w:rsidP="00F70508">
            <w:pPr>
              <w:pStyle w:val="ParagraphStyle12"/>
              <w:rPr>
                <w:rStyle w:val="CharacterStyle12"/>
              </w:rPr>
            </w:pPr>
            <w:r>
              <w:rPr>
                <w:rStyle w:val="CharacterStyle12"/>
              </w:rPr>
              <w:t>55.000,00</w:t>
            </w:r>
          </w:p>
        </w:tc>
        <w:tc>
          <w:tcPr>
            <w:tcW w:w="1395" w:type="dxa"/>
            <w:tcBorders>
              <w:bottom w:val="single" w:sz="6" w:space="0" w:color="000000"/>
              <w:right w:val="single" w:sz="6" w:space="0" w:color="000000"/>
            </w:tcBorders>
            <w:vAlign w:val="center"/>
          </w:tcPr>
          <w:p w14:paraId="6E1F609B" w14:textId="77777777" w:rsidR="007D706A" w:rsidRDefault="007D706A" w:rsidP="00F70508">
            <w:pPr>
              <w:pStyle w:val="ParagraphStyle12"/>
              <w:rPr>
                <w:rStyle w:val="CharacterStyle12"/>
              </w:rPr>
            </w:pPr>
            <w:r>
              <w:rPr>
                <w:rStyle w:val="CharacterStyle12"/>
              </w:rPr>
              <w:t>55.000,00</w:t>
            </w:r>
          </w:p>
        </w:tc>
      </w:tr>
      <w:tr w:rsidR="007D706A" w14:paraId="78DB357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5C8B380" w14:textId="77777777" w:rsidR="007D706A" w:rsidRDefault="007D706A" w:rsidP="00F70508">
            <w:pPr>
              <w:pStyle w:val="ParagraphStyle7"/>
              <w:rPr>
                <w:rStyle w:val="CharacterStyle7"/>
              </w:rPr>
            </w:pPr>
            <w:r>
              <w:rPr>
                <w:rStyle w:val="CharacterStyle7"/>
              </w:rPr>
              <w:t>Izvor financiranja 41</w:t>
            </w:r>
          </w:p>
        </w:tc>
        <w:tc>
          <w:tcPr>
            <w:tcW w:w="4995" w:type="dxa"/>
            <w:tcBorders>
              <w:bottom w:val="single" w:sz="6" w:space="0" w:color="000000"/>
              <w:right w:val="single" w:sz="6" w:space="0" w:color="000000"/>
            </w:tcBorders>
            <w:vAlign w:val="center"/>
          </w:tcPr>
          <w:p w14:paraId="4F9AEF32" w14:textId="77777777" w:rsidR="007D706A" w:rsidRDefault="007D706A" w:rsidP="00F70508">
            <w:pPr>
              <w:pStyle w:val="ParagraphStyle8"/>
              <w:rPr>
                <w:rStyle w:val="CharacterStyle8"/>
              </w:rPr>
            </w:pPr>
            <w:r>
              <w:rPr>
                <w:rStyle w:val="CharacterStyle8"/>
              </w:rPr>
              <w:t>Prihodi za posebne namjene</w:t>
            </w:r>
          </w:p>
        </w:tc>
        <w:tc>
          <w:tcPr>
            <w:tcW w:w="1395" w:type="dxa"/>
            <w:tcBorders>
              <w:bottom w:val="single" w:sz="6" w:space="0" w:color="000000"/>
              <w:right w:val="single" w:sz="6" w:space="0" w:color="000000"/>
            </w:tcBorders>
            <w:vAlign w:val="center"/>
          </w:tcPr>
          <w:p w14:paraId="05D725C3"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9D06017" w14:textId="77777777" w:rsidR="007D706A" w:rsidRDefault="007D706A" w:rsidP="00F70508">
            <w:pPr>
              <w:pStyle w:val="ParagraphStyle9"/>
              <w:rPr>
                <w:rStyle w:val="CharacterStyle9"/>
              </w:rPr>
            </w:pPr>
            <w:r>
              <w:rPr>
                <w:rStyle w:val="CharacterStyle9"/>
              </w:rPr>
              <w:t>53.050,00</w:t>
            </w:r>
          </w:p>
        </w:tc>
        <w:tc>
          <w:tcPr>
            <w:tcW w:w="1395" w:type="dxa"/>
            <w:tcBorders>
              <w:bottom w:val="single" w:sz="6" w:space="0" w:color="000000"/>
              <w:right w:val="single" w:sz="6" w:space="0" w:color="000000"/>
            </w:tcBorders>
            <w:vAlign w:val="center"/>
          </w:tcPr>
          <w:p w14:paraId="3A031950"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3EEEC6E"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FF0EDB0" w14:textId="77777777" w:rsidR="007D706A" w:rsidRDefault="007D706A" w:rsidP="00F70508">
            <w:pPr>
              <w:pStyle w:val="ParagraphStyle9"/>
              <w:rPr>
                <w:rStyle w:val="CharacterStyle9"/>
              </w:rPr>
            </w:pPr>
            <w:r>
              <w:rPr>
                <w:rStyle w:val="CharacterStyle9"/>
              </w:rPr>
              <w:t>0,00</w:t>
            </w:r>
          </w:p>
        </w:tc>
      </w:tr>
      <w:tr w:rsidR="007D706A" w14:paraId="233280C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C9F8089"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5E12BAF2"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0F9AB21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CAE6CC7" w14:textId="77777777" w:rsidR="007D706A" w:rsidRDefault="007D706A" w:rsidP="00F70508">
            <w:pPr>
              <w:pStyle w:val="ParagraphStyle12"/>
              <w:rPr>
                <w:rStyle w:val="CharacterStyle12"/>
              </w:rPr>
            </w:pPr>
            <w:r>
              <w:rPr>
                <w:rStyle w:val="CharacterStyle12"/>
              </w:rPr>
              <w:t>53.050,00</w:t>
            </w:r>
          </w:p>
        </w:tc>
        <w:tc>
          <w:tcPr>
            <w:tcW w:w="1395" w:type="dxa"/>
            <w:tcBorders>
              <w:bottom w:val="single" w:sz="6" w:space="0" w:color="000000"/>
              <w:right w:val="single" w:sz="6" w:space="0" w:color="000000"/>
            </w:tcBorders>
            <w:vAlign w:val="center"/>
          </w:tcPr>
          <w:p w14:paraId="0A8FDB0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BD228A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86E86B4" w14:textId="77777777" w:rsidR="007D706A" w:rsidRDefault="007D706A" w:rsidP="00F70508">
            <w:pPr>
              <w:pStyle w:val="ParagraphStyle12"/>
              <w:rPr>
                <w:rStyle w:val="CharacterStyle12"/>
              </w:rPr>
            </w:pPr>
            <w:r>
              <w:rPr>
                <w:rStyle w:val="CharacterStyle12"/>
              </w:rPr>
              <w:t>0,00</w:t>
            </w:r>
          </w:p>
        </w:tc>
      </w:tr>
      <w:tr w:rsidR="007D706A" w14:paraId="2E2D6FB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38346E1"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3E4317DB"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2EF6F88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3A980A7" w14:textId="77777777" w:rsidR="007D706A" w:rsidRDefault="007D706A" w:rsidP="00F70508">
            <w:pPr>
              <w:pStyle w:val="ParagraphStyle12"/>
              <w:rPr>
                <w:rStyle w:val="CharacterStyle12"/>
              </w:rPr>
            </w:pPr>
            <w:r>
              <w:rPr>
                <w:rStyle w:val="CharacterStyle12"/>
              </w:rPr>
              <w:t>53.050,00</w:t>
            </w:r>
          </w:p>
        </w:tc>
        <w:tc>
          <w:tcPr>
            <w:tcW w:w="1395" w:type="dxa"/>
            <w:tcBorders>
              <w:bottom w:val="single" w:sz="6" w:space="0" w:color="000000"/>
              <w:right w:val="single" w:sz="6" w:space="0" w:color="000000"/>
            </w:tcBorders>
            <w:vAlign w:val="center"/>
          </w:tcPr>
          <w:p w14:paraId="28B95B3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9EC161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117EEB6" w14:textId="77777777" w:rsidR="007D706A" w:rsidRDefault="007D706A" w:rsidP="00F70508">
            <w:pPr>
              <w:pStyle w:val="ParagraphStyle12"/>
              <w:rPr>
                <w:rStyle w:val="CharacterStyle12"/>
              </w:rPr>
            </w:pPr>
            <w:r>
              <w:rPr>
                <w:rStyle w:val="CharacterStyle12"/>
              </w:rPr>
              <w:t>0,00</w:t>
            </w:r>
          </w:p>
        </w:tc>
      </w:tr>
      <w:tr w:rsidR="007D706A" w14:paraId="335ADE7C" w14:textId="77777777" w:rsidTr="00F70508">
        <w:trPr>
          <w:trHeight w:val="420"/>
        </w:trPr>
        <w:tc>
          <w:tcPr>
            <w:tcW w:w="2880" w:type="dxa"/>
            <w:tcBorders>
              <w:left w:val="single" w:sz="6" w:space="0" w:color="000000"/>
              <w:bottom w:val="single" w:sz="6" w:space="0" w:color="000000"/>
              <w:right w:val="single" w:sz="6" w:space="0" w:color="000000"/>
            </w:tcBorders>
            <w:vAlign w:val="center"/>
          </w:tcPr>
          <w:p w14:paraId="2024ABA2" w14:textId="77777777" w:rsidR="007D706A" w:rsidRDefault="007D706A" w:rsidP="00F70508">
            <w:pPr>
              <w:pStyle w:val="ParagraphStyle4"/>
              <w:rPr>
                <w:rStyle w:val="CharacterStyle4"/>
              </w:rPr>
            </w:pPr>
            <w:r>
              <w:rPr>
                <w:rStyle w:val="CharacterStyle4"/>
              </w:rPr>
              <w:t>Aktivnost A102110</w:t>
            </w:r>
          </w:p>
        </w:tc>
        <w:tc>
          <w:tcPr>
            <w:tcW w:w="4995" w:type="dxa"/>
            <w:tcBorders>
              <w:bottom w:val="single" w:sz="6" w:space="0" w:color="000000"/>
              <w:right w:val="single" w:sz="6" w:space="0" w:color="000000"/>
            </w:tcBorders>
            <w:vAlign w:val="center"/>
          </w:tcPr>
          <w:p w14:paraId="39D93700" w14:textId="77777777" w:rsidR="007D706A" w:rsidRDefault="007D706A" w:rsidP="00F70508">
            <w:pPr>
              <w:pStyle w:val="ParagraphStyle5"/>
              <w:rPr>
                <w:rStyle w:val="CharacterStyle5"/>
              </w:rPr>
            </w:pPr>
            <w:r>
              <w:rPr>
                <w:rStyle w:val="CharacterStyle5"/>
              </w:rPr>
              <w:t>FZOEU_POTICAJNA NAKNADA ZBOG SMANJENJA KOLIČINE MJEŠANOG KOMUNALNOG OTPADA</w:t>
            </w:r>
          </w:p>
        </w:tc>
        <w:tc>
          <w:tcPr>
            <w:tcW w:w="1395" w:type="dxa"/>
            <w:tcBorders>
              <w:bottom w:val="single" w:sz="6" w:space="0" w:color="000000"/>
              <w:right w:val="single" w:sz="6" w:space="0" w:color="000000"/>
            </w:tcBorders>
            <w:vAlign w:val="center"/>
          </w:tcPr>
          <w:p w14:paraId="5D1FC9F9"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27944088" w14:textId="77777777" w:rsidR="007D706A" w:rsidRDefault="007D706A" w:rsidP="00F70508">
            <w:pPr>
              <w:pStyle w:val="ParagraphStyle6"/>
              <w:rPr>
                <w:rStyle w:val="CharacterStyle6"/>
              </w:rPr>
            </w:pPr>
            <w:r>
              <w:rPr>
                <w:rStyle w:val="CharacterStyle6"/>
              </w:rPr>
              <w:t>61.950,00</w:t>
            </w:r>
          </w:p>
        </w:tc>
        <w:tc>
          <w:tcPr>
            <w:tcW w:w="1395" w:type="dxa"/>
            <w:tcBorders>
              <w:bottom w:val="single" w:sz="6" w:space="0" w:color="000000"/>
              <w:right w:val="single" w:sz="6" w:space="0" w:color="000000"/>
            </w:tcBorders>
            <w:vAlign w:val="center"/>
          </w:tcPr>
          <w:p w14:paraId="7D7C6A88" w14:textId="77777777" w:rsidR="007D706A" w:rsidRDefault="007D706A" w:rsidP="00F70508">
            <w:pPr>
              <w:pStyle w:val="ParagraphStyle6"/>
              <w:rPr>
                <w:rStyle w:val="CharacterStyle6"/>
              </w:rPr>
            </w:pPr>
            <w:r>
              <w:rPr>
                <w:rStyle w:val="CharacterStyle6"/>
              </w:rPr>
              <w:t>50.000,00</w:t>
            </w:r>
          </w:p>
        </w:tc>
        <w:tc>
          <w:tcPr>
            <w:tcW w:w="1395" w:type="dxa"/>
            <w:tcBorders>
              <w:bottom w:val="single" w:sz="6" w:space="0" w:color="000000"/>
              <w:right w:val="single" w:sz="6" w:space="0" w:color="000000"/>
            </w:tcBorders>
            <w:vAlign w:val="center"/>
          </w:tcPr>
          <w:p w14:paraId="290FEE66" w14:textId="77777777" w:rsidR="007D706A" w:rsidRDefault="007D706A" w:rsidP="00F70508">
            <w:pPr>
              <w:pStyle w:val="ParagraphStyle6"/>
              <w:rPr>
                <w:rStyle w:val="CharacterStyle6"/>
              </w:rPr>
            </w:pPr>
            <w:r>
              <w:rPr>
                <w:rStyle w:val="CharacterStyle6"/>
              </w:rPr>
              <w:t>44.000,00</w:t>
            </w:r>
          </w:p>
        </w:tc>
        <w:tc>
          <w:tcPr>
            <w:tcW w:w="1395" w:type="dxa"/>
            <w:tcBorders>
              <w:bottom w:val="single" w:sz="6" w:space="0" w:color="000000"/>
              <w:right w:val="single" w:sz="6" w:space="0" w:color="000000"/>
            </w:tcBorders>
            <w:vAlign w:val="center"/>
          </w:tcPr>
          <w:p w14:paraId="633996CB" w14:textId="77777777" w:rsidR="007D706A" w:rsidRDefault="007D706A" w:rsidP="00F70508">
            <w:pPr>
              <w:pStyle w:val="ParagraphStyle6"/>
              <w:rPr>
                <w:rStyle w:val="CharacterStyle6"/>
              </w:rPr>
            </w:pPr>
            <w:r>
              <w:rPr>
                <w:rStyle w:val="CharacterStyle6"/>
              </w:rPr>
              <w:t>51.000,00</w:t>
            </w:r>
          </w:p>
        </w:tc>
      </w:tr>
      <w:tr w:rsidR="007D706A" w14:paraId="2292972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01614BD"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2A265A66"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1C66B653"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B6D5BA1" w14:textId="77777777" w:rsidR="007D706A" w:rsidRDefault="007D706A" w:rsidP="00F70508">
            <w:pPr>
              <w:pStyle w:val="ParagraphStyle9"/>
              <w:rPr>
                <w:rStyle w:val="CharacterStyle9"/>
              </w:rPr>
            </w:pPr>
            <w:r>
              <w:rPr>
                <w:rStyle w:val="CharacterStyle9"/>
              </w:rPr>
              <w:t>61.950,00</w:t>
            </w:r>
          </w:p>
        </w:tc>
        <w:tc>
          <w:tcPr>
            <w:tcW w:w="1395" w:type="dxa"/>
            <w:tcBorders>
              <w:bottom w:val="single" w:sz="6" w:space="0" w:color="000000"/>
              <w:right w:val="single" w:sz="6" w:space="0" w:color="000000"/>
            </w:tcBorders>
            <w:vAlign w:val="center"/>
          </w:tcPr>
          <w:p w14:paraId="1D610249" w14:textId="77777777" w:rsidR="007D706A" w:rsidRDefault="007D706A" w:rsidP="00F70508">
            <w:pPr>
              <w:pStyle w:val="ParagraphStyle9"/>
              <w:rPr>
                <w:rStyle w:val="CharacterStyle9"/>
              </w:rPr>
            </w:pPr>
            <w:r>
              <w:rPr>
                <w:rStyle w:val="CharacterStyle9"/>
              </w:rPr>
              <w:t>50.000,00</w:t>
            </w:r>
          </w:p>
        </w:tc>
        <w:tc>
          <w:tcPr>
            <w:tcW w:w="1395" w:type="dxa"/>
            <w:tcBorders>
              <w:bottom w:val="single" w:sz="6" w:space="0" w:color="000000"/>
              <w:right w:val="single" w:sz="6" w:space="0" w:color="000000"/>
            </w:tcBorders>
            <w:vAlign w:val="center"/>
          </w:tcPr>
          <w:p w14:paraId="2DA17958" w14:textId="77777777" w:rsidR="007D706A" w:rsidRDefault="007D706A" w:rsidP="00F70508">
            <w:pPr>
              <w:pStyle w:val="ParagraphStyle9"/>
              <w:rPr>
                <w:rStyle w:val="CharacterStyle9"/>
              </w:rPr>
            </w:pPr>
            <w:r>
              <w:rPr>
                <w:rStyle w:val="CharacterStyle9"/>
              </w:rPr>
              <w:t>44.000,00</w:t>
            </w:r>
          </w:p>
        </w:tc>
        <w:tc>
          <w:tcPr>
            <w:tcW w:w="1395" w:type="dxa"/>
            <w:tcBorders>
              <w:bottom w:val="single" w:sz="6" w:space="0" w:color="000000"/>
              <w:right w:val="single" w:sz="6" w:space="0" w:color="000000"/>
            </w:tcBorders>
            <w:vAlign w:val="center"/>
          </w:tcPr>
          <w:p w14:paraId="26B9021B" w14:textId="77777777" w:rsidR="007D706A" w:rsidRDefault="007D706A" w:rsidP="00F70508">
            <w:pPr>
              <w:pStyle w:val="ParagraphStyle9"/>
              <w:rPr>
                <w:rStyle w:val="CharacterStyle9"/>
              </w:rPr>
            </w:pPr>
            <w:r>
              <w:rPr>
                <w:rStyle w:val="CharacterStyle9"/>
              </w:rPr>
              <w:t>51.000,00</w:t>
            </w:r>
          </w:p>
        </w:tc>
      </w:tr>
      <w:tr w:rsidR="007D706A" w14:paraId="43426D1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CBEA397"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6896B690"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78E6A2E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3055E86" w14:textId="77777777" w:rsidR="007D706A" w:rsidRDefault="007D706A" w:rsidP="00F70508">
            <w:pPr>
              <w:pStyle w:val="ParagraphStyle12"/>
              <w:rPr>
                <w:rStyle w:val="CharacterStyle12"/>
              </w:rPr>
            </w:pPr>
            <w:r>
              <w:rPr>
                <w:rStyle w:val="CharacterStyle12"/>
              </w:rPr>
              <w:t>61.950,00</w:t>
            </w:r>
          </w:p>
        </w:tc>
        <w:tc>
          <w:tcPr>
            <w:tcW w:w="1395" w:type="dxa"/>
            <w:tcBorders>
              <w:bottom w:val="single" w:sz="6" w:space="0" w:color="000000"/>
              <w:right w:val="single" w:sz="6" w:space="0" w:color="000000"/>
            </w:tcBorders>
            <w:vAlign w:val="center"/>
          </w:tcPr>
          <w:p w14:paraId="40082168" w14:textId="77777777" w:rsidR="007D706A" w:rsidRDefault="007D706A" w:rsidP="00F70508">
            <w:pPr>
              <w:pStyle w:val="ParagraphStyle12"/>
              <w:rPr>
                <w:rStyle w:val="CharacterStyle12"/>
              </w:rPr>
            </w:pPr>
            <w:r>
              <w:rPr>
                <w:rStyle w:val="CharacterStyle12"/>
              </w:rPr>
              <w:t>50.000,00</w:t>
            </w:r>
          </w:p>
        </w:tc>
        <w:tc>
          <w:tcPr>
            <w:tcW w:w="1395" w:type="dxa"/>
            <w:tcBorders>
              <w:bottom w:val="single" w:sz="6" w:space="0" w:color="000000"/>
              <w:right w:val="single" w:sz="6" w:space="0" w:color="000000"/>
            </w:tcBorders>
            <w:vAlign w:val="center"/>
          </w:tcPr>
          <w:p w14:paraId="12F66DBF" w14:textId="77777777" w:rsidR="007D706A" w:rsidRDefault="007D706A" w:rsidP="00F70508">
            <w:pPr>
              <w:pStyle w:val="ParagraphStyle12"/>
              <w:rPr>
                <w:rStyle w:val="CharacterStyle12"/>
              </w:rPr>
            </w:pPr>
            <w:r>
              <w:rPr>
                <w:rStyle w:val="CharacterStyle12"/>
              </w:rPr>
              <w:t>44.000,00</w:t>
            </w:r>
          </w:p>
        </w:tc>
        <w:tc>
          <w:tcPr>
            <w:tcW w:w="1395" w:type="dxa"/>
            <w:tcBorders>
              <w:bottom w:val="single" w:sz="6" w:space="0" w:color="000000"/>
              <w:right w:val="single" w:sz="6" w:space="0" w:color="000000"/>
            </w:tcBorders>
            <w:vAlign w:val="center"/>
          </w:tcPr>
          <w:p w14:paraId="12DCFF7F" w14:textId="77777777" w:rsidR="007D706A" w:rsidRDefault="007D706A" w:rsidP="00F70508">
            <w:pPr>
              <w:pStyle w:val="ParagraphStyle12"/>
              <w:rPr>
                <w:rStyle w:val="CharacterStyle12"/>
              </w:rPr>
            </w:pPr>
            <w:r>
              <w:rPr>
                <w:rStyle w:val="CharacterStyle12"/>
              </w:rPr>
              <w:t>51.000,00</w:t>
            </w:r>
          </w:p>
        </w:tc>
      </w:tr>
      <w:tr w:rsidR="007D706A" w14:paraId="06DBD38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65F45BF"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7003940A"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545333C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6F7162B" w14:textId="77777777" w:rsidR="007D706A" w:rsidRDefault="007D706A" w:rsidP="00F70508">
            <w:pPr>
              <w:pStyle w:val="ParagraphStyle12"/>
              <w:rPr>
                <w:rStyle w:val="CharacterStyle12"/>
              </w:rPr>
            </w:pPr>
            <w:r>
              <w:rPr>
                <w:rStyle w:val="CharacterStyle12"/>
              </w:rPr>
              <w:t>61.950,00</w:t>
            </w:r>
          </w:p>
        </w:tc>
        <w:tc>
          <w:tcPr>
            <w:tcW w:w="1395" w:type="dxa"/>
            <w:tcBorders>
              <w:bottom w:val="single" w:sz="6" w:space="0" w:color="000000"/>
              <w:right w:val="single" w:sz="6" w:space="0" w:color="000000"/>
            </w:tcBorders>
            <w:vAlign w:val="center"/>
          </w:tcPr>
          <w:p w14:paraId="201A292B" w14:textId="77777777" w:rsidR="007D706A" w:rsidRDefault="007D706A" w:rsidP="00F70508">
            <w:pPr>
              <w:pStyle w:val="ParagraphStyle12"/>
              <w:rPr>
                <w:rStyle w:val="CharacterStyle12"/>
              </w:rPr>
            </w:pPr>
            <w:r>
              <w:rPr>
                <w:rStyle w:val="CharacterStyle12"/>
              </w:rPr>
              <w:t>50.000,00</w:t>
            </w:r>
          </w:p>
        </w:tc>
        <w:tc>
          <w:tcPr>
            <w:tcW w:w="1395" w:type="dxa"/>
            <w:tcBorders>
              <w:bottom w:val="single" w:sz="6" w:space="0" w:color="000000"/>
              <w:right w:val="single" w:sz="6" w:space="0" w:color="000000"/>
            </w:tcBorders>
            <w:vAlign w:val="center"/>
          </w:tcPr>
          <w:p w14:paraId="26AA1D48" w14:textId="77777777" w:rsidR="007D706A" w:rsidRDefault="007D706A" w:rsidP="00F70508">
            <w:pPr>
              <w:pStyle w:val="ParagraphStyle12"/>
              <w:rPr>
                <w:rStyle w:val="CharacterStyle12"/>
              </w:rPr>
            </w:pPr>
            <w:r>
              <w:rPr>
                <w:rStyle w:val="CharacterStyle12"/>
              </w:rPr>
              <w:t>44.000,00</w:t>
            </w:r>
          </w:p>
        </w:tc>
        <w:tc>
          <w:tcPr>
            <w:tcW w:w="1395" w:type="dxa"/>
            <w:tcBorders>
              <w:bottom w:val="single" w:sz="6" w:space="0" w:color="000000"/>
              <w:right w:val="single" w:sz="6" w:space="0" w:color="000000"/>
            </w:tcBorders>
            <w:vAlign w:val="center"/>
          </w:tcPr>
          <w:p w14:paraId="673211A5" w14:textId="77777777" w:rsidR="007D706A" w:rsidRDefault="007D706A" w:rsidP="00F70508">
            <w:pPr>
              <w:pStyle w:val="ParagraphStyle12"/>
              <w:rPr>
                <w:rStyle w:val="CharacterStyle12"/>
              </w:rPr>
            </w:pPr>
            <w:r>
              <w:rPr>
                <w:rStyle w:val="CharacterStyle12"/>
              </w:rPr>
              <w:t>51.000,00</w:t>
            </w:r>
          </w:p>
        </w:tc>
      </w:tr>
      <w:tr w:rsidR="007D706A" w14:paraId="31282BA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A4E29FF" w14:textId="77777777" w:rsidR="007D706A" w:rsidRDefault="007D706A" w:rsidP="00F70508">
            <w:pPr>
              <w:pStyle w:val="ParagraphStyle4"/>
              <w:rPr>
                <w:rStyle w:val="CharacterStyle4"/>
              </w:rPr>
            </w:pPr>
            <w:r>
              <w:rPr>
                <w:rStyle w:val="CharacterStyle4"/>
              </w:rPr>
              <w:t>PROGRAM    1022</w:t>
            </w:r>
          </w:p>
        </w:tc>
        <w:tc>
          <w:tcPr>
            <w:tcW w:w="4995" w:type="dxa"/>
            <w:tcBorders>
              <w:bottom w:val="single" w:sz="6" w:space="0" w:color="000000"/>
              <w:right w:val="single" w:sz="6" w:space="0" w:color="000000"/>
            </w:tcBorders>
            <w:vAlign w:val="center"/>
          </w:tcPr>
          <w:p w14:paraId="63ADFA92" w14:textId="77777777" w:rsidR="007D706A" w:rsidRDefault="007D706A" w:rsidP="00F70508">
            <w:pPr>
              <w:pStyle w:val="ParagraphStyle5"/>
              <w:rPr>
                <w:rStyle w:val="CharacterStyle5"/>
              </w:rPr>
            </w:pPr>
            <w:r>
              <w:rPr>
                <w:rStyle w:val="CharacterStyle5"/>
              </w:rPr>
              <w:t>NERAZVRSTANE CESTE</w:t>
            </w:r>
          </w:p>
        </w:tc>
        <w:tc>
          <w:tcPr>
            <w:tcW w:w="1395" w:type="dxa"/>
            <w:tcBorders>
              <w:bottom w:val="single" w:sz="6" w:space="0" w:color="000000"/>
              <w:right w:val="single" w:sz="6" w:space="0" w:color="000000"/>
            </w:tcBorders>
            <w:vAlign w:val="center"/>
          </w:tcPr>
          <w:p w14:paraId="24729233"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5A5F7C3A" w14:textId="77777777" w:rsidR="007D706A" w:rsidRDefault="007D706A" w:rsidP="00F70508">
            <w:pPr>
              <w:pStyle w:val="ParagraphStyle6"/>
              <w:rPr>
                <w:rStyle w:val="CharacterStyle6"/>
              </w:rPr>
            </w:pPr>
            <w:r>
              <w:rPr>
                <w:rStyle w:val="CharacterStyle6"/>
              </w:rPr>
              <w:t>514.730,00</w:t>
            </w:r>
          </w:p>
        </w:tc>
        <w:tc>
          <w:tcPr>
            <w:tcW w:w="1395" w:type="dxa"/>
            <w:tcBorders>
              <w:bottom w:val="single" w:sz="6" w:space="0" w:color="000000"/>
              <w:right w:val="single" w:sz="6" w:space="0" w:color="000000"/>
            </w:tcBorders>
            <w:vAlign w:val="center"/>
          </w:tcPr>
          <w:p w14:paraId="1C2DA4C6" w14:textId="77777777" w:rsidR="007D706A" w:rsidRDefault="007D706A" w:rsidP="00F70508">
            <w:pPr>
              <w:pStyle w:val="ParagraphStyle6"/>
              <w:rPr>
                <w:rStyle w:val="CharacterStyle6"/>
              </w:rPr>
            </w:pPr>
            <w:r>
              <w:rPr>
                <w:rStyle w:val="CharacterStyle6"/>
              </w:rPr>
              <w:t>545.900,00</w:t>
            </w:r>
          </w:p>
        </w:tc>
        <w:tc>
          <w:tcPr>
            <w:tcW w:w="1395" w:type="dxa"/>
            <w:tcBorders>
              <w:bottom w:val="single" w:sz="6" w:space="0" w:color="000000"/>
              <w:right w:val="single" w:sz="6" w:space="0" w:color="000000"/>
            </w:tcBorders>
            <w:vAlign w:val="center"/>
          </w:tcPr>
          <w:p w14:paraId="1E170265" w14:textId="77777777" w:rsidR="007D706A" w:rsidRDefault="007D706A" w:rsidP="00F70508">
            <w:pPr>
              <w:pStyle w:val="ParagraphStyle6"/>
              <w:rPr>
                <w:rStyle w:val="CharacterStyle6"/>
              </w:rPr>
            </w:pPr>
            <w:r>
              <w:rPr>
                <w:rStyle w:val="CharacterStyle6"/>
              </w:rPr>
              <w:t>559.900,00</w:t>
            </w:r>
          </w:p>
        </w:tc>
        <w:tc>
          <w:tcPr>
            <w:tcW w:w="1395" w:type="dxa"/>
            <w:tcBorders>
              <w:bottom w:val="single" w:sz="6" w:space="0" w:color="000000"/>
              <w:right w:val="single" w:sz="6" w:space="0" w:color="000000"/>
            </w:tcBorders>
            <w:vAlign w:val="center"/>
          </w:tcPr>
          <w:p w14:paraId="73C39496" w14:textId="77777777" w:rsidR="007D706A" w:rsidRDefault="007D706A" w:rsidP="00F70508">
            <w:pPr>
              <w:pStyle w:val="ParagraphStyle6"/>
              <w:rPr>
                <w:rStyle w:val="CharacterStyle6"/>
              </w:rPr>
            </w:pPr>
            <w:r>
              <w:rPr>
                <w:rStyle w:val="CharacterStyle6"/>
              </w:rPr>
              <w:t>559.900,00</w:t>
            </w:r>
          </w:p>
        </w:tc>
      </w:tr>
      <w:tr w:rsidR="007D706A" w14:paraId="4CA9C5E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D1FE542" w14:textId="77777777" w:rsidR="007D706A" w:rsidRDefault="007D706A" w:rsidP="00F70508">
            <w:pPr>
              <w:pStyle w:val="ParagraphStyle4"/>
              <w:rPr>
                <w:rStyle w:val="CharacterStyle4"/>
              </w:rPr>
            </w:pPr>
            <w:r>
              <w:rPr>
                <w:rStyle w:val="CharacterStyle4"/>
              </w:rPr>
              <w:t>Aktivnost A102201</w:t>
            </w:r>
          </w:p>
        </w:tc>
        <w:tc>
          <w:tcPr>
            <w:tcW w:w="4995" w:type="dxa"/>
            <w:tcBorders>
              <w:bottom w:val="single" w:sz="6" w:space="0" w:color="000000"/>
              <w:right w:val="single" w:sz="6" w:space="0" w:color="000000"/>
            </w:tcBorders>
            <w:vAlign w:val="center"/>
          </w:tcPr>
          <w:p w14:paraId="7BAB0045" w14:textId="77777777" w:rsidR="007D706A" w:rsidRDefault="007D706A" w:rsidP="00F70508">
            <w:pPr>
              <w:pStyle w:val="ParagraphStyle5"/>
              <w:rPr>
                <w:rStyle w:val="CharacterStyle5"/>
              </w:rPr>
            </w:pPr>
            <w:r>
              <w:rPr>
                <w:rStyle w:val="CharacterStyle5"/>
              </w:rPr>
              <w:t>ODRŽAVANJE OBORINSKE ODVODNJE</w:t>
            </w:r>
          </w:p>
        </w:tc>
        <w:tc>
          <w:tcPr>
            <w:tcW w:w="1395" w:type="dxa"/>
            <w:tcBorders>
              <w:bottom w:val="single" w:sz="6" w:space="0" w:color="000000"/>
              <w:right w:val="single" w:sz="6" w:space="0" w:color="000000"/>
            </w:tcBorders>
            <w:vAlign w:val="center"/>
          </w:tcPr>
          <w:p w14:paraId="6A365B76"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425FBC92" w14:textId="77777777" w:rsidR="007D706A" w:rsidRDefault="007D706A" w:rsidP="00F70508">
            <w:pPr>
              <w:pStyle w:val="ParagraphStyle6"/>
              <w:rPr>
                <w:rStyle w:val="CharacterStyle6"/>
              </w:rPr>
            </w:pPr>
            <w:r>
              <w:rPr>
                <w:rStyle w:val="CharacterStyle6"/>
              </w:rPr>
              <w:t>216.400,00</w:t>
            </w:r>
          </w:p>
        </w:tc>
        <w:tc>
          <w:tcPr>
            <w:tcW w:w="1395" w:type="dxa"/>
            <w:tcBorders>
              <w:bottom w:val="single" w:sz="6" w:space="0" w:color="000000"/>
              <w:right w:val="single" w:sz="6" w:space="0" w:color="000000"/>
            </w:tcBorders>
            <w:vAlign w:val="center"/>
          </w:tcPr>
          <w:p w14:paraId="6DD20CCC" w14:textId="77777777" w:rsidR="007D706A" w:rsidRDefault="007D706A" w:rsidP="00F70508">
            <w:pPr>
              <w:pStyle w:val="ParagraphStyle6"/>
              <w:rPr>
                <w:rStyle w:val="CharacterStyle6"/>
              </w:rPr>
            </w:pPr>
            <w:r>
              <w:rPr>
                <w:rStyle w:val="CharacterStyle6"/>
              </w:rPr>
              <w:t>246.400,00</w:t>
            </w:r>
          </w:p>
        </w:tc>
        <w:tc>
          <w:tcPr>
            <w:tcW w:w="1395" w:type="dxa"/>
            <w:tcBorders>
              <w:bottom w:val="single" w:sz="6" w:space="0" w:color="000000"/>
              <w:right w:val="single" w:sz="6" w:space="0" w:color="000000"/>
            </w:tcBorders>
            <w:vAlign w:val="center"/>
          </w:tcPr>
          <w:p w14:paraId="2E41CD32" w14:textId="77777777" w:rsidR="007D706A" w:rsidRDefault="007D706A" w:rsidP="00F70508">
            <w:pPr>
              <w:pStyle w:val="ParagraphStyle6"/>
              <w:rPr>
                <w:rStyle w:val="CharacterStyle6"/>
              </w:rPr>
            </w:pPr>
            <w:r>
              <w:rPr>
                <w:rStyle w:val="CharacterStyle6"/>
              </w:rPr>
              <w:t>246.400,00</w:t>
            </w:r>
          </w:p>
        </w:tc>
        <w:tc>
          <w:tcPr>
            <w:tcW w:w="1395" w:type="dxa"/>
            <w:tcBorders>
              <w:bottom w:val="single" w:sz="6" w:space="0" w:color="000000"/>
              <w:right w:val="single" w:sz="6" w:space="0" w:color="000000"/>
            </w:tcBorders>
            <w:vAlign w:val="center"/>
          </w:tcPr>
          <w:p w14:paraId="2D69BDF9" w14:textId="77777777" w:rsidR="007D706A" w:rsidRDefault="007D706A" w:rsidP="00F70508">
            <w:pPr>
              <w:pStyle w:val="ParagraphStyle6"/>
              <w:rPr>
                <w:rStyle w:val="CharacterStyle6"/>
              </w:rPr>
            </w:pPr>
            <w:r>
              <w:rPr>
                <w:rStyle w:val="CharacterStyle6"/>
              </w:rPr>
              <w:t>246.400,00</w:t>
            </w:r>
          </w:p>
        </w:tc>
      </w:tr>
      <w:tr w:rsidR="007D706A" w14:paraId="198540F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819536F"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6EA2851D"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6BD9A7C9"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806CCC6"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7EA7A0E" w14:textId="77777777" w:rsidR="007D706A" w:rsidRDefault="007D706A" w:rsidP="00F70508">
            <w:pPr>
              <w:pStyle w:val="ParagraphStyle9"/>
              <w:rPr>
                <w:rStyle w:val="CharacterStyle9"/>
              </w:rPr>
            </w:pPr>
            <w:r>
              <w:rPr>
                <w:rStyle w:val="CharacterStyle9"/>
              </w:rPr>
              <w:t>16.400,00</w:t>
            </w:r>
          </w:p>
        </w:tc>
        <w:tc>
          <w:tcPr>
            <w:tcW w:w="1395" w:type="dxa"/>
            <w:tcBorders>
              <w:bottom w:val="single" w:sz="6" w:space="0" w:color="000000"/>
              <w:right w:val="single" w:sz="6" w:space="0" w:color="000000"/>
            </w:tcBorders>
            <w:vAlign w:val="center"/>
          </w:tcPr>
          <w:p w14:paraId="595958C8" w14:textId="77777777" w:rsidR="007D706A" w:rsidRDefault="007D706A" w:rsidP="00F70508">
            <w:pPr>
              <w:pStyle w:val="ParagraphStyle9"/>
              <w:rPr>
                <w:rStyle w:val="CharacterStyle9"/>
              </w:rPr>
            </w:pPr>
            <w:r>
              <w:rPr>
                <w:rStyle w:val="CharacterStyle9"/>
              </w:rPr>
              <w:t>16.400,00</w:t>
            </w:r>
          </w:p>
        </w:tc>
        <w:tc>
          <w:tcPr>
            <w:tcW w:w="1395" w:type="dxa"/>
            <w:tcBorders>
              <w:bottom w:val="single" w:sz="6" w:space="0" w:color="000000"/>
              <w:right w:val="single" w:sz="6" w:space="0" w:color="000000"/>
            </w:tcBorders>
            <w:vAlign w:val="center"/>
          </w:tcPr>
          <w:p w14:paraId="53AFC77F" w14:textId="77777777" w:rsidR="007D706A" w:rsidRDefault="007D706A" w:rsidP="00F70508">
            <w:pPr>
              <w:pStyle w:val="ParagraphStyle9"/>
              <w:rPr>
                <w:rStyle w:val="CharacterStyle9"/>
              </w:rPr>
            </w:pPr>
            <w:r>
              <w:rPr>
                <w:rStyle w:val="CharacterStyle9"/>
              </w:rPr>
              <w:t>16.400,00</w:t>
            </w:r>
          </w:p>
        </w:tc>
      </w:tr>
      <w:tr w:rsidR="007D706A" w14:paraId="2C4475E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81AC1F7"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258FDFF9"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1B9012A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1273C5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941F878" w14:textId="77777777" w:rsidR="007D706A" w:rsidRDefault="007D706A" w:rsidP="00F70508">
            <w:pPr>
              <w:pStyle w:val="ParagraphStyle12"/>
              <w:rPr>
                <w:rStyle w:val="CharacterStyle12"/>
              </w:rPr>
            </w:pPr>
            <w:r>
              <w:rPr>
                <w:rStyle w:val="CharacterStyle12"/>
              </w:rPr>
              <w:t>16.400,00</w:t>
            </w:r>
          </w:p>
        </w:tc>
        <w:tc>
          <w:tcPr>
            <w:tcW w:w="1395" w:type="dxa"/>
            <w:tcBorders>
              <w:bottom w:val="single" w:sz="6" w:space="0" w:color="000000"/>
              <w:right w:val="single" w:sz="6" w:space="0" w:color="000000"/>
            </w:tcBorders>
            <w:vAlign w:val="center"/>
          </w:tcPr>
          <w:p w14:paraId="52E5F5E6" w14:textId="77777777" w:rsidR="007D706A" w:rsidRDefault="007D706A" w:rsidP="00F70508">
            <w:pPr>
              <w:pStyle w:val="ParagraphStyle12"/>
              <w:rPr>
                <w:rStyle w:val="CharacterStyle12"/>
              </w:rPr>
            </w:pPr>
            <w:r>
              <w:rPr>
                <w:rStyle w:val="CharacterStyle12"/>
              </w:rPr>
              <w:t>16.400,00</w:t>
            </w:r>
          </w:p>
        </w:tc>
        <w:tc>
          <w:tcPr>
            <w:tcW w:w="1395" w:type="dxa"/>
            <w:tcBorders>
              <w:bottom w:val="single" w:sz="6" w:space="0" w:color="000000"/>
              <w:right w:val="single" w:sz="6" w:space="0" w:color="000000"/>
            </w:tcBorders>
            <w:vAlign w:val="center"/>
          </w:tcPr>
          <w:p w14:paraId="5B1769D8" w14:textId="77777777" w:rsidR="007D706A" w:rsidRDefault="007D706A" w:rsidP="00F70508">
            <w:pPr>
              <w:pStyle w:val="ParagraphStyle12"/>
              <w:rPr>
                <w:rStyle w:val="CharacterStyle12"/>
              </w:rPr>
            </w:pPr>
            <w:r>
              <w:rPr>
                <w:rStyle w:val="CharacterStyle12"/>
              </w:rPr>
              <w:t>16.400,00</w:t>
            </w:r>
          </w:p>
        </w:tc>
      </w:tr>
      <w:tr w:rsidR="007D706A" w14:paraId="1DD442E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96B46F3"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038DCF0B"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724C88A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D23363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AE41487" w14:textId="77777777" w:rsidR="007D706A" w:rsidRDefault="007D706A" w:rsidP="00F70508">
            <w:pPr>
              <w:pStyle w:val="ParagraphStyle12"/>
              <w:rPr>
                <w:rStyle w:val="CharacterStyle12"/>
              </w:rPr>
            </w:pPr>
            <w:r>
              <w:rPr>
                <w:rStyle w:val="CharacterStyle12"/>
              </w:rPr>
              <w:t>16.400,00</w:t>
            </w:r>
          </w:p>
        </w:tc>
        <w:tc>
          <w:tcPr>
            <w:tcW w:w="1395" w:type="dxa"/>
            <w:tcBorders>
              <w:bottom w:val="single" w:sz="6" w:space="0" w:color="000000"/>
              <w:right w:val="single" w:sz="6" w:space="0" w:color="000000"/>
            </w:tcBorders>
            <w:vAlign w:val="center"/>
          </w:tcPr>
          <w:p w14:paraId="2AF46792" w14:textId="77777777" w:rsidR="007D706A" w:rsidRDefault="007D706A" w:rsidP="00F70508">
            <w:pPr>
              <w:pStyle w:val="ParagraphStyle12"/>
              <w:rPr>
                <w:rStyle w:val="CharacterStyle12"/>
              </w:rPr>
            </w:pPr>
            <w:r>
              <w:rPr>
                <w:rStyle w:val="CharacterStyle12"/>
              </w:rPr>
              <w:t>16.400,00</w:t>
            </w:r>
          </w:p>
        </w:tc>
        <w:tc>
          <w:tcPr>
            <w:tcW w:w="1395" w:type="dxa"/>
            <w:tcBorders>
              <w:bottom w:val="single" w:sz="6" w:space="0" w:color="000000"/>
              <w:right w:val="single" w:sz="6" w:space="0" w:color="000000"/>
            </w:tcBorders>
            <w:vAlign w:val="center"/>
          </w:tcPr>
          <w:p w14:paraId="7D360E6C" w14:textId="77777777" w:rsidR="007D706A" w:rsidRDefault="007D706A" w:rsidP="00F70508">
            <w:pPr>
              <w:pStyle w:val="ParagraphStyle12"/>
              <w:rPr>
                <w:rStyle w:val="CharacterStyle12"/>
              </w:rPr>
            </w:pPr>
            <w:r>
              <w:rPr>
                <w:rStyle w:val="CharacterStyle12"/>
              </w:rPr>
              <w:t>16.400,00</w:t>
            </w:r>
          </w:p>
        </w:tc>
      </w:tr>
      <w:tr w:rsidR="007D706A" w14:paraId="0DCA17A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316EFD4" w14:textId="77777777" w:rsidR="007D706A" w:rsidRDefault="007D706A" w:rsidP="00F70508">
            <w:pPr>
              <w:pStyle w:val="ParagraphStyle7"/>
              <w:rPr>
                <w:rStyle w:val="CharacterStyle7"/>
              </w:rPr>
            </w:pPr>
            <w:r>
              <w:rPr>
                <w:rStyle w:val="CharacterStyle7"/>
              </w:rPr>
              <w:t>Izvor financiranja 40</w:t>
            </w:r>
          </w:p>
        </w:tc>
        <w:tc>
          <w:tcPr>
            <w:tcW w:w="4995" w:type="dxa"/>
            <w:tcBorders>
              <w:bottom w:val="single" w:sz="6" w:space="0" w:color="000000"/>
              <w:right w:val="single" w:sz="6" w:space="0" w:color="000000"/>
            </w:tcBorders>
            <w:vAlign w:val="center"/>
          </w:tcPr>
          <w:p w14:paraId="51FB9166" w14:textId="77777777" w:rsidR="007D706A" w:rsidRDefault="007D706A" w:rsidP="00F70508">
            <w:pPr>
              <w:pStyle w:val="ParagraphStyle8"/>
              <w:rPr>
                <w:rStyle w:val="CharacterStyle8"/>
              </w:rPr>
            </w:pPr>
            <w:r>
              <w:rPr>
                <w:rStyle w:val="CharacterStyle8"/>
              </w:rPr>
              <w:t>Prihodi od komunalne naknade i komunalnog doprinosa</w:t>
            </w:r>
          </w:p>
        </w:tc>
        <w:tc>
          <w:tcPr>
            <w:tcW w:w="1395" w:type="dxa"/>
            <w:tcBorders>
              <w:bottom w:val="single" w:sz="6" w:space="0" w:color="000000"/>
              <w:right w:val="single" w:sz="6" w:space="0" w:color="000000"/>
            </w:tcBorders>
            <w:vAlign w:val="center"/>
          </w:tcPr>
          <w:p w14:paraId="3B05D9C9"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A80C4CA"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90A723D" w14:textId="77777777" w:rsidR="007D706A" w:rsidRDefault="007D706A" w:rsidP="00F70508">
            <w:pPr>
              <w:pStyle w:val="ParagraphStyle9"/>
              <w:rPr>
                <w:rStyle w:val="CharacterStyle9"/>
              </w:rPr>
            </w:pPr>
            <w:r>
              <w:rPr>
                <w:rStyle w:val="CharacterStyle9"/>
              </w:rPr>
              <w:t>230.000,00</w:t>
            </w:r>
          </w:p>
        </w:tc>
        <w:tc>
          <w:tcPr>
            <w:tcW w:w="1395" w:type="dxa"/>
            <w:tcBorders>
              <w:bottom w:val="single" w:sz="6" w:space="0" w:color="000000"/>
              <w:right w:val="single" w:sz="6" w:space="0" w:color="000000"/>
            </w:tcBorders>
            <w:vAlign w:val="center"/>
          </w:tcPr>
          <w:p w14:paraId="50CD8DD6" w14:textId="77777777" w:rsidR="007D706A" w:rsidRDefault="007D706A" w:rsidP="00F70508">
            <w:pPr>
              <w:pStyle w:val="ParagraphStyle9"/>
              <w:rPr>
                <w:rStyle w:val="CharacterStyle9"/>
              </w:rPr>
            </w:pPr>
            <w:r>
              <w:rPr>
                <w:rStyle w:val="CharacterStyle9"/>
              </w:rPr>
              <w:t>230.000,00</w:t>
            </w:r>
          </w:p>
        </w:tc>
        <w:tc>
          <w:tcPr>
            <w:tcW w:w="1395" w:type="dxa"/>
            <w:tcBorders>
              <w:bottom w:val="single" w:sz="6" w:space="0" w:color="000000"/>
              <w:right w:val="single" w:sz="6" w:space="0" w:color="000000"/>
            </w:tcBorders>
            <w:vAlign w:val="center"/>
          </w:tcPr>
          <w:p w14:paraId="78C7385C" w14:textId="77777777" w:rsidR="007D706A" w:rsidRDefault="007D706A" w:rsidP="00F70508">
            <w:pPr>
              <w:pStyle w:val="ParagraphStyle9"/>
              <w:rPr>
                <w:rStyle w:val="CharacterStyle9"/>
              </w:rPr>
            </w:pPr>
            <w:r>
              <w:rPr>
                <w:rStyle w:val="CharacterStyle9"/>
              </w:rPr>
              <w:t>230.000,00</w:t>
            </w:r>
          </w:p>
        </w:tc>
      </w:tr>
      <w:tr w:rsidR="007D706A" w14:paraId="250AA08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CFA7A26"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502CCFC8"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622C0C8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EE9DEA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D0F824F" w14:textId="77777777" w:rsidR="007D706A" w:rsidRDefault="007D706A" w:rsidP="00F70508">
            <w:pPr>
              <w:pStyle w:val="ParagraphStyle12"/>
              <w:rPr>
                <w:rStyle w:val="CharacterStyle12"/>
              </w:rPr>
            </w:pPr>
            <w:r>
              <w:rPr>
                <w:rStyle w:val="CharacterStyle12"/>
              </w:rPr>
              <w:t>230.000,00</w:t>
            </w:r>
          </w:p>
        </w:tc>
        <w:tc>
          <w:tcPr>
            <w:tcW w:w="1395" w:type="dxa"/>
            <w:tcBorders>
              <w:bottom w:val="single" w:sz="6" w:space="0" w:color="000000"/>
              <w:right w:val="single" w:sz="6" w:space="0" w:color="000000"/>
            </w:tcBorders>
            <w:vAlign w:val="center"/>
          </w:tcPr>
          <w:p w14:paraId="57070224" w14:textId="77777777" w:rsidR="007D706A" w:rsidRDefault="007D706A" w:rsidP="00F70508">
            <w:pPr>
              <w:pStyle w:val="ParagraphStyle12"/>
              <w:rPr>
                <w:rStyle w:val="CharacterStyle12"/>
              </w:rPr>
            </w:pPr>
            <w:r>
              <w:rPr>
                <w:rStyle w:val="CharacterStyle12"/>
              </w:rPr>
              <w:t>230.000,00</w:t>
            </w:r>
          </w:p>
        </w:tc>
        <w:tc>
          <w:tcPr>
            <w:tcW w:w="1395" w:type="dxa"/>
            <w:tcBorders>
              <w:bottom w:val="single" w:sz="6" w:space="0" w:color="000000"/>
              <w:right w:val="single" w:sz="6" w:space="0" w:color="000000"/>
            </w:tcBorders>
            <w:vAlign w:val="center"/>
          </w:tcPr>
          <w:p w14:paraId="42E9F938" w14:textId="77777777" w:rsidR="007D706A" w:rsidRDefault="007D706A" w:rsidP="00F70508">
            <w:pPr>
              <w:pStyle w:val="ParagraphStyle12"/>
              <w:rPr>
                <w:rStyle w:val="CharacterStyle12"/>
              </w:rPr>
            </w:pPr>
            <w:r>
              <w:rPr>
                <w:rStyle w:val="CharacterStyle12"/>
              </w:rPr>
              <w:t>230.000,00</w:t>
            </w:r>
          </w:p>
        </w:tc>
      </w:tr>
      <w:tr w:rsidR="007D706A" w14:paraId="0AF0995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3BD23F3"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2A18F101"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19E2710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F17063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15547D0" w14:textId="77777777" w:rsidR="007D706A" w:rsidRDefault="007D706A" w:rsidP="00F70508">
            <w:pPr>
              <w:pStyle w:val="ParagraphStyle12"/>
              <w:rPr>
                <w:rStyle w:val="CharacterStyle12"/>
              </w:rPr>
            </w:pPr>
            <w:r>
              <w:rPr>
                <w:rStyle w:val="CharacterStyle12"/>
              </w:rPr>
              <w:t>230.000,00</w:t>
            </w:r>
          </w:p>
        </w:tc>
        <w:tc>
          <w:tcPr>
            <w:tcW w:w="1395" w:type="dxa"/>
            <w:tcBorders>
              <w:bottom w:val="single" w:sz="6" w:space="0" w:color="000000"/>
              <w:right w:val="single" w:sz="6" w:space="0" w:color="000000"/>
            </w:tcBorders>
            <w:vAlign w:val="center"/>
          </w:tcPr>
          <w:p w14:paraId="4FB0D160" w14:textId="77777777" w:rsidR="007D706A" w:rsidRDefault="007D706A" w:rsidP="00F70508">
            <w:pPr>
              <w:pStyle w:val="ParagraphStyle12"/>
              <w:rPr>
                <w:rStyle w:val="CharacterStyle12"/>
              </w:rPr>
            </w:pPr>
            <w:r>
              <w:rPr>
                <w:rStyle w:val="CharacterStyle12"/>
              </w:rPr>
              <w:t>230.000,00</w:t>
            </w:r>
          </w:p>
        </w:tc>
        <w:tc>
          <w:tcPr>
            <w:tcW w:w="1395" w:type="dxa"/>
            <w:tcBorders>
              <w:bottom w:val="single" w:sz="6" w:space="0" w:color="000000"/>
              <w:right w:val="single" w:sz="6" w:space="0" w:color="000000"/>
            </w:tcBorders>
            <w:vAlign w:val="center"/>
          </w:tcPr>
          <w:p w14:paraId="4D5D2F68" w14:textId="77777777" w:rsidR="007D706A" w:rsidRDefault="007D706A" w:rsidP="00F70508">
            <w:pPr>
              <w:pStyle w:val="ParagraphStyle12"/>
              <w:rPr>
                <w:rStyle w:val="CharacterStyle12"/>
              </w:rPr>
            </w:pPr>
            <w:r>
              <w:rPr>
                <w:rStyle w:val="CharacterStyle12"/>
              </w:rPr>
              <w:t>230.000,00</w:t>
            </w:r>
          </w:p>
        </w:tc>
      </w:tr>
      <w:tr w:rsidR="007D706A" w14:paraId="445C6F4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B36D83F" w14:textId="77777777" w:rsidR="007D706A" w:rsidRDefault="007D706A" w:rsidP="00F70508">
            <w:pPr>
              <w:pStyle w:val="ParagraphStyle7"/>
              <w:rPr>
                <w:rStyle w:val="CharacterStyle7"/>
              </w:rPr>
            </w:pPr>
            <w:r>
              <w:rPr>
                <w:rStyle w:val="CharacterStyle7"/>
              </w:rPr>
              <w:t>Izvor financiranja 41</w:t>
            </w:r>
          </w:p>
        </w:tc>
        <w:tc>
          <w:tcPr>
            <w:tcW w:w="4995" w:type="dxa"/>
            <w:tcBorders>
              <w:bottom w:val="single" w:sz="6" w:space="0" w:color="000000"/>
              <w:right w:val="single" w:sz="6" w:space="0" w:color="000000"/>
            </w:tcBorders>
            <w:vAlign w:val="center"/>
          </w:tcPr>
          <w:p w14:paraId="1212D396" w14:textId="77777777" w:rsidR="007D706A" w:rsidRDefault="007D706A" w:rsidP="00F70508">
            <w:pPr>
              <w:pStyle w:val="ParagraphStyle8"/>
              <w:rPr>
                <w:rStyle w:val="CharacterStyle8"/>
              </w:rPr>
            </w:pPr>
            <w:r>
              <w:rPr>
                <w:rStyle w:val="CharacterStyle8"/>
              </w:rPr>
              <w:t>Prihodi za posebne namjene</w:t>
            </w:r>
          </w:p>
        </w:tc>
        <w:tc>
          <w:tcPr>
            <w:tcW w:w="1395" w:type="dxa"/>
            <w:tcBorders>
              <w:bottom w:val="single" w:sz="6" w:space="0" w:color="000000"/>
              <w:right w:val="single" w:sz="6" w:space="0" w:color="000000"/>
            </w:tcBorders>
            <w:vAlign w:val="center"/>
          </w:tcPr>
          <w:p w14:paraId="774BEE24"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6FBD450" w14:textId="77777777" w:rsidR="007D706A" w:rsidRDefault="007D706A" w:rsidP="00F70508">
            <w:pPr>
              <w:pStyle w:val="ParagraphStyle9"/>
              <w:rPr>
                <w:rStyle w:val="CharacterStyle9"/>
              </w:rPr>
            </w:pPr>
            <w:r>
              <w:rPr>
                <w:rStyle w:val="CharacterStyle9"/>
              </w:rPr>
              <w:t>204.061,00</w:t>
            </w:r>
          </w:p>
        </w:tc>
        <w:tc>
          <w:tcPr>
            <w:tcW w:w="1395" w:type="dxa"/>
            <w:tcBorders>
              <w:bottom w:val="single" w:sz="6" w:space="0" w:color="000000"/>
              <w:right w:val="single" w:sz="6" w:space="0" w:color="000000"/>
            </w:tcBorders>
            <w:vAlign w:val="center"/>
          </w:tcPr>
          <w:p w14:paraId="760CD701"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5A12850"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2947514" w14:textId="77777777" w:rsidR="007D706A" w:rsidRDefault="007D706A" w:rsidP="00F70508">
            <w:pPr>
              <w:pStyle w:val="ParagraphStyle9"/>
              <w:rPr>
                <w:rStyle w:val="CharacterStyle9"/>
              </w:rPr>
            </w:pPr>
            <w:r>
              <w:rPr>
                <w:rStyle w:val="CharacterStyle9"/>
              </w:rPr>
              <w:t>0,00</w:t>
            </w:r>
          </w:p>
        </w:tc>
      </w:tr>
      <w:tr w:rsidR="007D706A" w14:paraId="755A9A0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9270B08"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59DF09DF"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5C8A934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B417192" w14:textId="77777777" w:rsidR="007D706A" w:rsidRDefault="007D706A" w:rsidP="00F70508">
            <w:pPr>
              <w:pStyle w:val="ParagraphStyle12"/>
              <w:rPr>
                <w:rStyle w:val="CharacterStyle12"/>
              </w:rPr>
            </w:pPr>
            <w:r>
              <w:rPr>
                <w:rStyle w:val="CharacterStyle12"/>
              </w:rPr>
              <w:t>204.061,00</w:t>
            </w:r>
          </w:p>
        </w:tc>
        <w:tc>
          <w:tcPr>
            <w:tcW w:w="1395" w:type="dxa"/>
            <w:tcBorders>
              <w:bottom w:val="single" w:sz="6" w:space="0" w:color="000000"/>
              <w:right w:val="single" w:sz="6" w:space="0" w:color="000000"/>
            </w:tcBorders>
            <w:vAlign w:val="center"/>
          </w:tcPr>
          <w:p w14:paraId="28AED94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6D1B66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64F902B" w14:textId="77777777" w:rsidR="007D706A" w:rsidRDefault="007D706A" w:rsidP="00F70508">
            <w:pPr>
              <w:pStyle w:val="ParagraphStyle12"/>
              <w:rPr>
                <w:rStyle w:val="CharacterStyle12"/>
              </w:rPr>
            </w:pPr>
            <w:r>
              <w:rPr>
                <w:rStyle w:val="CharacterStyle12"/>
              </w:rPr>
              <w:t>0,00</w:t>
            </w:r>
          </w:p>
        </w:tc>
      </w:tr>
      <w:tr w:rsidR="007D706A" w14:paraId="3EA97A5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FD431FF"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7A8EDEAC"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560160E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DF02211" w14:textId="77777777" w:rsidR="007D706A" w:rsidRDefault="007D706A" w:rsidP="00F70508">
            <w:pPr>
              <w:pStyle w:val="ParagraphStyle12"/>
              <w:rPr>
                <w:rStyle w:val="CharacterStyle12"/>
              </w:rPr>
            </w:pPr>
            <w:r>
              <w:rPr>
                <w:rStyle w:val="CharacterStyle12"/>
              </w:rPr>
              <w:t>204.061,00</w:t>
            </w:r>
          </w:p>
        </w:tc>
        <w:tc>
          <w:tcPr>
            <w:tcW w:w="1395" w:type="dxa"/>
            <w:tcBorders>
              <w:bottom w:val="single" w:sz="6" w:space="0" w:color="000000"/>
              <w:right w:val="single" w:sz="6" w:space="0" w:color="000000"/>
            </w:tcBorders>
            <w:vAlign w:val="center"/>
          </w:tcPr>
          <w:p w14:paraId="5057A1F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CED7EF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E2D65DC" w14:textId="77777777" w:rsidR="007D706A" w:rsidRDefault="007D706A" w:rsidP="00F70508">
            <w:pPr>
              <w:pStyle w:val="ParagraphStyle12"/>
              <w:rPr>
                <w:rStyle w:val="CharacterStyle12"/>
              </w:rPr>
            </w:pPr>
            <w:r>
              <w:rPr>
                <w:rStyle w:val="CharacterStyle12"/>
              </w:rPr>
              <w:t>0,00</w:t>
            </w:r>
          </w:p>
        </w:tc>
      </w:tr>
      <w:tr w:rsidR="007D706A" w14:paraId="4A6D4FF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6C85300" w14:textId="77777777" w:rsidR="007D706A" w:rsidRDefault="007D706A" w:rsidP="00F70508">
            <w:pPr>
              <w:pStyle w:val="ParagraphStyle7"/>
              <w:rPr>
                <w:rStyle w:val="CharacterStyle7"/>
              </w:rPr>
            </w:pPr>
            <w:r>
              <w:rPr>
                <w:rStyle w:val="CharacterStyle7"/>
              </w:rPr>
              <w:t>Izvor financiranja 82</w:t>
            </w:r>
          </w:p>
        </w:tc>
        <w:tc>
          <w:tcPr>
            <w:tcW w:w="4995" w:type="dxa"/>
            <w:tcBorders>
              <w:bottom w:val="single" w:sz="6" w:space="0" w:color="000000"/>
              <w:right w:val="single" w:sz="6" w:space="0" w:color="000000"/>
            </w:tcBorders>
            <w:vAlign w:val="center"/>
          </w:tcPr>
          <w:p w14:paraId="4E24DB39" w14:textId="77777777" w:rsidR="007D706A" w:rsidRDefault="007D706A" w:rsidP="00F70508">
            <w:pPr>
              <w:pStyle w:val="ParagraphStyle8"/>
              <w:rPr>
                <w:rStyle w:val="CharacterStyle8"/>
              </w:rPr>
            </w:pPr>
            <w:r>
              <w:rPr>
                <w:rStyle w:val="CharacterStyle8"/>
              </w:rPr>
              <w:t>Preneseni viškovi iz ranijih godina</w:t>
            </w:r>
          </w:p>
        </w:tc>
        <w:tc>
          <w:tcPr>
            <w:tcW w:w="1395" w:type="dxa"/>
            <w:tcBorders>
              <w:bottom w:val="single" w:sz="6" w:space="0" w:color="000000"/>
              <w:right w:val="single" w:sz="6" w:space="0" w:color="000000"/>
            </w:tcBorders>
            <w:vAlign w:val="center"/>
          </w:tcPr>
          <w:p w14:paraId="76FB0AB2"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7D64B93" w14:textId="77777777" w:rsidR="007D706A" w:rsidRDefault="007D706A" w:rsidP="00F70508">
            <w:pPr>
              <w:pStyle w:val="ParagraphStyle9"/>
              <w:rPr>
                <w:rStyle w:val="CharacterStyle9"/>
              </w:rPr>
            </w:pPr>
            <w:r>
              <w:rPr>
                <w:rStyle w:val="CharacterStyle9"/>
              </w:rPr>
              <w:t>12.339,00</w:t>
            </w:r>
          </w:p>
        </w:tc>
        <w:tc>
          <w:tcPr>
            <w:tcW w:w="1395" w:type="dxa"/>
            <w:tcBorders>
              <w:bottom w:val="single" w:sz="6" w:space="0" w:color="000000"/>
              <w:right w:val="single" w:sz="6" w:space="0" w:color="000000"/>
            </w:tcBorders>
            <w:vAlign w:val="center"/>
          </w:tcPr>
          <w:p w14:paraId="131DF217"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EDD0BDB"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11CD6E9" w14:textId="77777777" w:rsidR="007D706A" w:rsidRDefault="007D706A" w:rsidP="00F70508">
            <w:pPr>
              <w:pStyle w:val="ParagraphStyle9"/>
              <w:rPr>
                <w:rStyle w:val="CharacterStyle9"/>
              </w:rPr>
            </w:pPr>
            <w:r>
              <w:rPr>
                <w:rStyle w:val="CharacterStyle9"/>
              </w:rPr>
              <w:t>0,00</w:t>
            </w:r>
          </w:p>
        </w:tc>
      </w:tr>
      <w:tr w:rsidR="007D706A" w14:paraId="6EF0486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EA237E2"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1046CD65"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07424B9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559FC81" w14:textId="77777777" w:rsidR="007D706A" w:rsidRDefault="007D706A" w:rsidP="00F70508">
            <w:pPr>
              <w:pStyle w:val="ParagraphStyle12"/>
              <w:rPr>
                <w:rStyle w:val="CharacterStyle12"/>
              </w:rPr>
            </w:pPr>
            <w:r>
              <w:rPr>
                <w:rStyle w:val="CharacterStyle12"/>
              </w:rPr>
              <w:t>12.339,00</w:t>
            </w:r>
          </w:p>
        </w:tc>
        <w:tc>
          <w:tcPr>
            <w:tcW w:w="1395" w:type="dxa"/>
            <w:tcBorders>
              <w:bottom w:val="single" w:sz="6" w:space="0" w:color="000000"/>
              <w:right w:val="single" w:sz="6" w:space="0" w:color="000000"/>
            </w:tcBorders>
            <w:vAlign w:val="center"/>
          </w:tcPr>
          <w:p w14:paraId="383899E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E7455B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008DC19" w14:textId="77777777" w:rsidR="007D706A" w:rsidRDefault="007D706A" w:rsidP="00F70508">
            <w:pPr>
              <w:pStyle w:val="ParagraphStyle12"/>
              <w:rPr>
                <w:rStyle w:val="CharacterStyle12"/>
              </w:rPr>
            </w:pPr>
            <w:r>
              <w:rPr>
                <w:rStyle w:val="CharacterStyle12"/>
              </w:rPr>
              <w:t>0,00</w:t>
            </w:r>
          </w:p>
        </w:tc>
      </w:tr>
      <w:tr w:rsidR="007D706A" w14:paraId="02A8C4E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3158BE8"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3CA4FC4D"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206FF89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2A0211B" w14:textId="77777777" w:rsidR="007D706A" w:rsidRDefault="007D706A" w:rsidP="00F70508">
            <w:pPr>
              <w:pStyle w:val="ParagraphStyle12"/>
              <w:rPr>
                <w:rStyle w:val="CharacterStyle12"/>
              </w:rPr>
            </w:pPr>
            <w:r>
              <w:rPr>
                <w:rStyle w:val="CharacterStyle12"/>
              </w:rPr>
              <w:t>12.339,00</w:t>
            </w:r>
          </w:p>
        </w:tc>
        <w:tc>
          <w:tcPr>
            <w:tcW w:w="1395" w:type="dxa"/>
            <w:tcBorders>
              <w:bottom w:val="single" w:sz="6" w:space="0" w:color="000000"/>
              <w:right w:val="single" w:sz="6" w:space="0" w:color="000000"/>
            </w:tcBorders>
            <w:vAlign w:val="center"/>
          </w:tcPr>
          <w:p w14:paraId="5422CC6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608126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EB64CB0" w14:textId="77777777" w:rsidR="007D706A" w:rsidRDefault="007D706A" w:rsidP="00F70508">
            <w:pPr>
              <w:pStyle w:val="ParagraphStyle12"/>
              <w:rPr>
                <w:rStyle w:val="CharacterStyle12"/>
              </w:rPr>
            </w:pPr>
            <w:r>
              <w:rPr>
                <w:rStyle w:val="CharacterStyle12"/>
              </w:rPr>
              <w:t>0,00</w:t>
            </w:r>
          </w:p>
        </w:tc>
      </w:tr>
      <w:tr w:rsidR="007D706A" w14:paraId="6610B28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F974211" w14:textId="77777777" w:rsidR="007D706A" w:rsidRDefault="007D706A" w:rsidP="00F70508">
            <w:pPr>
              <w:pStyle w:val="ParagraphStyle4"/>
              <w:rPr>
                <w:rStyle w:val="CharacterStyle4"/>
              </w:rPr>
            </w:pPr>
            <w:r>
              <w:rPr>
                <w:rStyle w:val="CharacterStyle4"/>
              </w:rPr>
              <w:lastRenderedPageBreak/>
              <w:t>Aktivnost A102202</w:t>
            </w:r>
          </w:p>
        </w:tc>
        <w:tc>
          <w:tcPr>
            <w:tcW w:w="4995" w:type="dxa"/>
            <w:tcBorders>
              <w:bottom w:val="single" w:sz="6" w:space="0" w:color="000000"/>
              <w:right w:val="single" w:sz="6" w:space="0" w:color="000000"/>
            </w:tcBorders>
            <w:vAlign w:val="center"/>
          </w:tcPr>
          <w:p w14:paraId="08CE3FBA" w14:textId="77777777" w:rsidR="007D706A" w:rsidRDefault="007D706A" w:rsidP="00F70508">
            <w:pPr>
              <w:pStyle w:val="ParagraphStyle5"/>
              <w:rPr>
                <w:rStyle w:val="CharacterStyle5"/>
              </w:rPr>
            </w:pPr>
            <w:r>
              <w:rPr>
                <w:rStyle w:val="CharacterStyle5"/>
              </w:rPr>
              <w:t>ZIMSKA SLUŽBA</w:t>
            </w:r>
          </w:p>
        </w:tc>
        <w:tc>
          <w:tcPr>
            <w:tcW w:w="1395" w:type="dxa"/>
            <w:tcBorders>
              <w:bottom w:val="single" w:sz="6" w:space="0" w:color="000000"/>
              <w:right w:val="single" w:sz="6" w:space="0" w:color="000000"/>
            </w:tcBorders>
            <w:vAlign w:val="center"/>
          </w:tcPr>
          <w:p w14:paraId="6B6F79DD"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2EA31570" w14:textId="77777777" w:rsidR="007D706A" w:rsidRDefault="007D706A" w:rsidP="00F70508">
            <w:pPr>
              <w:pStyle w:val="ParagraphStyle6"/>
              <w:rPr>
                <w:rStyle w:val="CharacterStyle6"/>
              </w:rPr>
            </w:pPr>
            <w:r>
              <w:rPr>
                <w:rStyle w:val="CharacterStyle6"/>
              </w:rPr>
              <w:t>21.235,00</w:t>
            </w:r>
          </w:p>
        </w:tc>
        <w:tc>
          <w:tcPr>
            <w:tcW w:w="1395" w:type="dxa"/>
            <w:tcBorders>
              <w:bottom w:val="single" w:sz="6" w:space="0" w:color="000000"/>
              <w:right w:val="single" w:sz="6" w:space="0" w:color="000000"/>
            </w:tcBorders>
            <w:vAlign w:val="center"/>
          </w:tcPr>
          <w:p w14:paraId="417A30CB" w14:textId="77777777" w:rsidR="007D706A" w:rsidRDefault="007D706A" w:rsidP="00F70508">
            <w:pPr>
              <w:pStyle w:val="ParagraphStyle6"/>
              <w:rPr>
                <w:rStyle w:val="CharacterStyle6"/>
              </w:rPr>
            </w:pPr>
            <w:r>
              <w:rPr>
                <w:rStyle w:val="CharacterStyle6"/>
              </w:rPr>
              <w:t>22.000,00</w:t>
            </w:r>
          </w:p>
        </w:tc>
        <w:tc>
          <w:tcPr>
            <w:tcW w:w="1395" w:type="dxa"/>
            <w:tcBorders>
              <w:bottom w:val="single" w:sz="6" w:space="0" w:color="000000"/>
              <w:right w:val="single" w:sz="6" w:space="0" w:color="000000"/>
            </w:tcBorders>
            <w:vAlign w:val="center"/>
          </w:tcPr>
          <w:p w14:paraId="07AEC40D" w14:textId="77777777" w:rsidR="007D706A" w:rsidRDefault="007D706A" w:rsidP="00F70508">
            <w:pPr>
              <w:pStyle w:val="ParagraphStyle6"/>
              <w:rPr>
                <w:rStyle w:val="CharacterStyle6"/>
              </w:rPr>
            </w:pPr>
            <w:r>
              <w:rPr>
                <w:rStyle w:val="CharacterStyle6"/>
              </w:rPr>
              <w:t>22.000,00</w:t>
            </w:r>
          </w:p>
        </w:tc>
        <w:tc>
          <w:tcPr>
            <w:tcW w:w="1395" w:type="dxa"/>
            <w:tcBorders>
              <w:bottom w:val="single" w:sz="6" w:space="0" w:color="000000"/>
              <w:right w:val="single" w:sz="6" w:space="0" w:color="000000"/>
            </w:tcBorders>
            <w:vAlign w:val="center"/>
          </w:tcPr>
          <w:p w14:paraId="56A3D434" w14:textId="77777777" w:rsidR="007D706A" w:rsidRDefault="007D706A" w:rsidP="00F70508">
            <w:pPr>
              <w:pStyle w:val="ParagraphStyle6"/>
              <w:rPr>
                <w:rStyle w:val="CharacterStyle6"/>
              </w:rPr>
            </w:pPr>
            <w:r>
              <w:rPr>
                <w:rStyle w:val="CharacterStyle6"/>
              </w:rPr>
              <w:t>22.000,00</w:t>
            </w:r>
          </w:p>
        </w:tc>
      </w:tr>
      <w:tr w:rsidR="007D706A" w14:paraId="726F418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99E6EAA" w14:textId="77777777" w:rsidR="007D706A" w:rsidRDefault="007D706A" w:rsidP="00F70508">
            <w:pPr>
              <w:pStyle w:val="ParagraphStyle7"/>
              <w:rPr>
                <w:rStyle w:val="CharacterStyle7"/>
              </w:rPr>
            </w:pPr>
            <w:r>
              <w:rPr>
                <w:rStyle w:val="CharacterStyle7"/>
              </w:rPr>
              <w:t>Izvor financiranja 40</w:t>
            </w:r>
          </w:p>
        </w:tc>
        <w:tc>
          <w:tcPr>
            <w:tcW w:w="4995" w:type="dxa"/>
            <w:tcBorders>
              <w:bottom w:val="single" w:sz="6" w:space="0" w:color="000000"/>
              <w:right w:val="single" w:sz="6" w:space="0" w:color="000000"/>
            </w:tcBorders>
            <w:vAlign w:val="center"/>
          </w:tcPr>
          <w:p w14:paraId="3E084660" w14:textId="77777777" w:rsidR="007D706A" w:rsidRDefault="007D706A" w:rsidP="00F70508">
            <w:pPr>
              <w:pStyle w:val="ParagraphStyle8"/>
              <w:rPr>
                <w:rStyle w:val="CharacterStyle8"/>
              </w:rPr>
            </w:pPr>
            <w:r>
              <w:rPr>
                <w:rStyle w:val="CharacterStyle8"/>
              </w:rPr>
              <w:t>Prihodi od komunalne naknade i komunalnog doprinosa</w:t>
            </w:r>
          </w:p>
        </w:tc>
        <w:tc>
          <w:tcPr>
            <w:tcW w:w="1395" w:type="dxa"/>
            <w:tcBorders>
              <w:bottom w:val="single" w:sz="6" w:space="0" w:color="000000"/>
              <w:right w:val="single" w:sz="6" w:space="0" w:color="000000"/>
            </w:tcBorders>
            <w:vAlign w:val="center"/>
          </w:tcPr>
          <w:p w14:paraId="5E80A9D0"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8FF81B5"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D1FBADE" w14:textId="77777777" w:rsidR="007D706A" w:rsidRDefault="007D706A" w:rsidP="00F70508">
            <w:pPr>
              <w:pStyle w:val="ParagraphStyle9"/>
              <w:rPr>
                <w:rStyle w:val="CharacterStyle9"/>
              </w:rPr>
            </w:pPr>
            <w:r>
              <w:rPr>
                <w:rStyle w:val="CharacterStyle9"/>
              </w:rPr>
              <w:t>22.000,00</w:t>
            </w:r>
          </w:p>
        </w:tc>
        <w:tc>
          <w:tcPr>
            <w:tcW w:w="1395" w:type="dxa"/>
            <w:tcBorders>
              <w:bottom w:val="single" w:sz="6" w:space="0" w:color="000000"/>
              <w:right w:val="single" w:sz="6" w:space="0" w:color="000000"/>
            </w:tcBorders>
            <w:vAlign w:val="center"/>
          </w:tcPr>
          <w:p w14:paraId="5550C6BD" w14:textId="77777777" w:rsidR="007D706A" w:rsidRDefault="007D706A" w:rsidP="00F70508">
            <w:pPr>
              <w:pStyle w:val="ParagraphStyle9"/>
              <w:rPr>
                <w:rStyle w:val="CharacterStyle9"/>
              </w:rPr>
            </w:pPr>
            <w:r>
              <w:rPr>
                <w:rStyle w:val="CharacterStyle9"/>
              </w:rPr>
              <w:t>22.000,00</w:t>
            </w:r>
          </w:p>
        </w:tc>
        <w:tc>
          <w:tcPr>
            <w:tcW w:w="1395" w:type="dxa"/>
            <w:tcBorders>
              <w:bottom w:val="single" w:sz="6" w:space="0" w:color="000000"/>
              <w:right w:val="single" w:sz="6" w:space="0" w:color="000000"/>
            </w:tcBorders>
            <w:vAlign w:val="center"/>
          </w:tcPr>
          <w:p w14:paraId="16E536AD" w14:textId="77777777" w:rsidR="007D706A" w:rsidRDefault="007D706A" w:rsidP="00F70508">
            <w:pPr>
              <w:pStyle w:val="ParagraphStyle9"/>
              <w:rPr>
                <w:rStyle w:val="CharacterStyle9"/>
              </w:rPr>
            </w:pPr>
            <w:r>
              <w:rPr>
                <w:rStyle w:val="CharacterStyle9"/>
              </w:rPr>
              <w:t>22.000,00</w:t>
            </w:r>
          </w:p>
        </w:tc>
      </w:tr>
      <w:tr w:rsidR="007D706A" w14:paraId="0D21581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1326244"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74F08C6A"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4B47A3C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6642C3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C012907" w14:textId="77777777" w:rsidR="007D706A" w:rsidRDefault="007D706A" w:rsidP="00F70508">
            <w:pPr>
              <w:pStyle w:val="ParagraphStyle12"/>
              <w:rPr>
                <w:rStyle w:val="CharacterStyle12"/>
              </w:rPr>
            </w:pPr>
            <w:r>
              <w:rPr>
                <w:rStyle w:val="CharacterStyle12"/>
              </w:rPr>
              <w:t>22.000,00</w:t>
            </w:r>
          </w:p>
        </w:tc>
        <w:tc>
          <w:tcPr>
            <w:tcW w:w="1395" w:type="dxa"/>
            <w:tcBorders>
              <w:bottom w:val="single" w:sz="6" w:space="0" w:color="000000"/>
              <w:right w:val="single" w:sz="6" w:space="0" w:color="000000"/>
            </w:tcBorders>
            <w:vAlign w:val="center"/>
          </w:tcPr>
          <w:p w14:paraId="738FAC5C" w14:textId="77777777" w:rsidR="007D706A" w:rsidRDefault="007D706A" w:rsidP="00F70508">
            <w:pPr>
              <w:pStyle w:val="ParagraphStyle12"/>
              <w:rPr>
                <w:rStyle w:val="CharacterStyle12"/>
              </w:rPr>
            </w:pPr>
            <w:r>
              <w:rPr>
                <w:rStyle w:val="CharacterStyle12"/>
              </w:rPr>
              <w:t>22.000,00</w:t>
            </w:r>
          </w:p>
        </w:tc>
        <w:tc>
          <w:tcPr>
            <w:tcW w:w="1395" w:type="dxa"/>
            <w:tcBorders>
              <w:bottom w:val="single" w:sz="6" w:space="0" w:color="000000"/>
              <w:right w:val="single" w:sz="6" w:space="0" w:color="000000"/>
            </w:tcBorders>
            <w:vAlign w:val="center"/>
          </w:tcPr>
          <w:p w14:paraId="69D435D0" w14:textId="77777777" w:rsidR="007D706A" w:rsidRDefault="007D706A" w:rsidP="00F70508">
            <w:pPr>
              <w:pStyle w:val="ParagraphStyle12"/>
              <w:rPr>
                <w:rStyle w:val="CharacterStyle12"/>
              </w:rPr>
            </w:pPr>
            <w:r>
              <w:rPr>
                <w:rStyle w:val="CharacterStyle12"/>
              </w:rPr>
              <w:t>22.000,00</w:t>
            </w:r>
          </w:p>
        </w:tc>
      </w:tr>
      <w:tr w:rsidR="007D706A" w14:paraId="30D757D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33D1091"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68B17CF0"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7C13037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078C4E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425745B" w14:textId="77777777" w:rsidR="007D706A" w:rsidRDefault="007D706A" w:rsidP="00F70508">
            <w:pPr>
              <w:pStyle w:val="ParagraphStyle12"/>
              <w:rPr>
                <w:rStyle w:val="CharacterStyle12"/>
              </w:rPr>
            </w:pPr>
            <w:r>
              <w:rPr>
                <w:rStyle w:val="CharacterStyle12"/>
              </w:rPr>
              <w:t>22.000,00</w:t>
            </w:r>
          </w:p>
        </w:tc>
        <w:tc>
          <w:tcPr>
            <w:tcW w:w="1395" w:type="dxa"/>
            <w:tcBorders>
              <w:bottom w:val="single" w:sz="6" w:space="0" w:color="000000"/>
              <w:right w:val="single" w:sz="6" w:space="0" w:color="000000"/>
            </w:tcBorders>
            <w:vAlign w:val="center"/>
          </w:tcPr>
          <w:p w14:paraId="1BED9CA1" w14:textId="77777777" w:rsidR="007D706A" w:rsidRDefault="007D706A" w:rsidP="00F70508">
            <w:pPr>
              <w:pStyle w:val="ParagraphStyle12"/>
              <w:rPr>
                <w:rStyle w:val="CharacterStyle12"/>
              </w:rPr>
            </w:pPr>
            <w:r>
              <w:rPr>
                <w:rStyle w:val="CharacterStyle12"/>
              </w:rPr>
              <w:t>22.000,00</w:t>
            </w:r>
          </w:p>
        </w:tc>
        <w:tc>
          <w:tcPr>
            <w:tcW w:w="1395" w:type="dxa"/>
            <w:tcBorders>
              <w:bottom w:val="single" w:sz="6" w:space="0" w:color="000000"/>
              <w:right w:val="single" w:sz="6" w:space="0" w:color="000000"/>
            </w:tcBorders>
            <w:vAlign w:val="center"/>
          </w:tcPr>
          <w:p w14:paraId="059E9C1A" w14:textId="77777777" w:rsidR="007D706A" w:rsidRDefault="007D706A" w:rsidP="00F70508">
            <w:pPr>
              <w:pStyle w:val="ParagraphStyle12"/>
              <w:rPr>
                <w:rStyle w:val="CharacterStyle12"/>
              </w:rPr>
            </w:pPr>
            <w:r>
              <w:rPr>
                <w:rStyle w:val="CharacterStyle12"/>
              </w:rPr>
              <w:t>22.000,00</w:t>
            </w:r>
          </w:p>
        </w:tc>
      </w:tr>
      <w:tr w:rsidR="007D706A" w14:paraId="350DC35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051B2C0" w14:textId="77777777" w:rsidR="007D706A" w:rsidRDefault="007D706A" w:rsidP="00F70508">
            <w:pPr>
              <w:pStyle w:val="ParagraphStyle7"/>
              <w:rPr>
                <w:rStyle w:val="CharacterStyle7"/>
              </w:rPr>
            </w:pPr>
            <w:r>
              <w:rPr>
                <w:rStyle w:val="CharacterStyle7"/>
              </w:rPr>
              <w:t>Izvor financiranja 41</w:t>
            </w:r>
          </w:p>
        </w:tc>
        <w:tc>
          <w:tcPr>
            <w:tcW w:w="4995" w:type="dxa"/>
            <w:tcBorders>
              <w:bottom w:val="single" w:sz="6" w:space="0" w:color="000000"/>
              <w:right w:val="single" w:sz="6" w:space="0" w:color="000000"/>
            </w:tcBorders>
            <w:vAlign w:val="center"/>
          </w:tcPr>
          <w:p w14:paraId="69435790" w14:textId="77777777" w:rsidR="007D706A" w:rsidRDefault="007D706A" w:rsidP="00F70508">
            <w:pPr>
              <w:pStyle w:val="ParagraphStyle8"/>
              <w:rPr>
                <w:rStyle w:val="CharacterStyle8"/>
              </w:rPr>
            </w:pPr>
            <w:r>
              <w:rPr>
                <w:rStyle w:val="CharacterStyle8"/>
              </w:rPr>
              <w:t>Prihodi za posebne namjene</w:t>
            </w:r>
          </w:p>
        </w:tc>
        <w:tc>
          <w:tcPr>
            <w:tcW w:w="1395" w:type="dxa"/>
            <w:tcBorders>
              <w:bottom w:val="single" w:sz="6" w:space="0" w:color="000000"/>
              <w:right w:val="single" w:sz="6" w:space="0" w:color="000000"/>
            </w:tcBorders>
            <w:vAlign w:val="center"/>
          </w:tcPr>
          <w:p w14:paraId="57830F5F"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9F1841B" w14:textId="77777777" w:rsidR="007D706A" w:rsidRDefault="007D706A" w:rsidP="00F70508">
            <w:pPr>
              <w:pStyle w:val="ParagraphStyle9"/>
              <w:rPr>
                <w:rStyle w:val="CharacterStyle9"/>
              </w:rPr>
            </w:pPr>
            <w:r>
              <w:rPr>
                <w:rStyle w:val="CharacterStyle9"/>
              </w:rPr>
              <w:t>21.235,00</w:t>
            </w:r>
          </w:p>
        </w:tc>
        <w:tc>
          <w:tcPr>
            <w:tcW w:w="1395" w:type="dxa"/>
            <w:tcBorders>
              <w:bottom w:val="single" w:sz="6" w:space="0" w:color="000000"/>
              <w:right w:val="single" w:sz="6" w:space="0" w:color="000000"/>
            </w:tcBorders>
            <w:vAlign w:val="center"/>
          </w:tcPr>
          <w:p w14:paraId="2165DC6C"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BC5E231"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1834C2A" w14:textId="77777777" w:rsidR="007D706A" w:rsidRDefault="007D706A" w:rsidP="00F70508">
            <w:pPr>
              <w:pStyle w:val="ParagraphStyle9"/>
              <w:rPr>
                <w:rStyle w:val="CharacterStyle9"/>
              </w:rPr>
            </w:pPr>
            <w:r>
              <w:rPr>
                <w:rStyle w:val="CharacterStyle9"/>
              </w:rPr>
              <w:t>0,00</w:t>
            </w:r>
          </w:p>
        </w:tc>
      </w:tr>
      <w:tr w:rsidR="007D706A" w14:paraId="32987DF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C0BE9DF"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2018073A"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54D9EF3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7BC200C" w14:textId="77777777" w:rsidR="007D706A" w:rsidRDefault="007D706A" w:rsidP="00F70508">
            <w:pPr>
              <w:pStyle w:val="ParagraphStyle12"/>
              <w:rPr>
                <w:rStyle w:val="CharacterStyle12"/>
              </w:rPr>
            </w:pPr>
            <w:r>
              <w:rPr>
                <w:rStyle w:val="CharacterStyle12"/>
              </w:rPr>
              <w:t>21.235,00</w:t>
            </w:r>
          </w:p>
        </w:tc>
        <w:tc>
          <w:tcPr>
            <w:tcW w:w="1395" w:type="dxa"/>
            <w:tcBorders>
              <w:bottom w:val="single" w:sz="6" w:space="0" w:color="000000"/>
              <w:right w:val="single" w:sz="6" w:space="0" w:color="000000"/>
            </w:tcBorders>
            <w:vAlign w:val="center"/>
          </w:tcPr>
          <w:p w14:paraId="1726563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4C7088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29ED685" w14:textId="77777777" w:rsidR="007D706A" w:rsidRDefault="007D706A" w:rsidP="00F70508">
            <w:pPr>
              <w:pStyle w:val="ParagraphStyle12"/>
              <w:rPr>
                <w:rStyle w:val="CharacterStyle12"/>
              </w:rPr>
            </w:pPr>
            <w:r>
              <w:rPr>
                <w:rStyle w:val="CharacterStyle12"/>
              </w:rPr>
              <w:t>0,00</w:t>
            </w:r>
          </w:p>
        </w:tc>
      </w:tr>
      <w:tr w:rsidR="007D706A" w14:paraId="0D830B9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F262C4D"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167E5433"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0770F44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3583A23" w14:textId="77777777" w:rsidR="007D706A" w:rsidRDefault="007D706A" w:rsidP="00F70508">
            <w:pPr>
              <w:pStyle w:val="ParagraphStyle12"/>
              <w:rPr>
                <w:rStyle w:val="CharacterStyle12"/>
              </w:rPr>
            </w:pPr>
            <w:r>
              <w:rPr>
                <w:rStyle w:val="CharacterStyle12"/>
              </w:rPr>
              <w:t>21.235,00</w:t>
            </w:r>
          </w:p>
        </w:tc>
        <w:tc>
          <w:tcPr>
            <w:tcW w:w="1395" w:type="dxa"/>
            <w:tcBorders>
              <w:bottom w:val="single" w:sz="6" w:space="0" w:color="000000"/>
              <w:right w:val="single" w:sz="6" w:space="0" w:color="000000"/>
            </w:tcBorders>
            <w:vAlign w:val="center"/>
          </w:tcPr>
          <w:p w14:paraId="3ABB0B3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4AAD15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82CE612" w14:textId="77777777" w:rsidR="007D706A" w:rsidRDefault="007D706A" w:rsidP="00F70508">
            <w:pPr>
              <w:pStyle w:val="ParagraphStyle12"/>
              <w:rPr>
                <w:rStyle w:val="CharacterStyle12"/>
              </w:rPr>
            </w:pPr>
            <w:r>
              <w:rPr>
                <w:rStyle w:val="CharacterStyle12"/>
              </w:rPr>
              <w:t>0,00</w:t>
            </w:r>
          </w:p>
        </w:tc>
      </w:tr>
      <w:tr w:rsidR="007D706A" w14:paraId="3DA0147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7618662" w14:textId="77777777" w:rsidR="007D706A" w:rsidRDefault="007D706A" w:rsidP="00F70508">
            <w:pPr>
              <w:pStyle w:val="ParagraphStyle4"/>
              <w:rPr>
                <w:rStyle w:val="CharacterStyle4"/>
              </w:rPr>
            </w:pPr>
            <w:r>
              <w:rPr>
                <w:rStyle w:val="CharacterStyle4"/>
              </w:rPr>
              <w:t>Aktivnost A102203</w:t>
            </w:r>
          </w:p>
        </w:tc>
        <w:tc>
          <w:tcPr>
            <w:tcW w:w="4995" w:type="dxa"/>
            <w:tcBorders>
              <w:bottom w:val="single" w:sz="6" w:space="0" w:color="000000"/>
              <w:right w:val="single" w:sz="6" w:space="0" w:color="000000"/>
            </w:tcBorders>
            <w:vAlign w:val="center"/>
          </w:tcPr>
          <w:p w14:paraId="736D6392" w14:textId="77777777" w:rsidR="007D706A" w:rsidRDefault="007D706A" w:rsidP="00F70508">
            <w:pPr>
              <w:pStyle w:val="ParagraphStyle5"/>
              <w:rPr>
                <w:rStyle w:val="CharacterStyle5"/>
              </w:rPr>
            </w:pPr>
            <w:r>
              <w:rPr>
                <w:rStyle w:val="CharacterStyle5"/>
              </w:rPr>
              <w:t>ODRŽAVANJE ASFALTNIH POVRŠINA</w:t>
            </w:r>
          </w:p>
        </w:tc>
        <w:tc>
          <w:tcPr>
            <w:tcW w:w="1395" w:type="dxa"/>
            <w:tcBorders>
              <w:bottom w:val="single" w:sz="6" w:space="0" w:color="000000"/>
              <w:right w:val="single" w:sz="6" w:space="0" w:color="000000"/>
            </w:tcBorders>
            <w:vAlign w:val="center"/>
          </w:tcPr>
          <w:p w14:paraId="4691CF8D"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62D42345" w14:textId="77777777" w:rsidR="007D706A" w:rsidRDefault="007D706A" w:rsidP="00F70508">
            <w:pPr>
              <w:pStyle w:val="ParagraphStyle6"/>
              <w:rPr>
                <w:rStyle w:val="CharacterStyle6"/>
              </w:rPr>
            </w:pPr>
            <w:r>
              <w:rPr>
                <w:rStyle w:val="CharacterStyle6"/>
              </w:rPr>
              <w:t>34.000,00</w:t>
            </w:r>
          </w:p>
        </w:tc>
        <w:tc>
          <w:tcPr>
            <w:tcW w:w="1395" w:type="dxa"/>
            <w:tcBorders>
              <w:bottom w:val="single" w:sz="6" w:space="0" w:color="000000"/>
              <w:right w:val="single" w:sz="6" w:space="0" w:color="000000"/>
            </w:tcBorders>
            <w:vAlign w:val="center"/>
          </w:tcPr>
          <w:p w14:paraId="7F5A001B" w14:textId="77777777" w:rsidR="007D706A" w:rsidRDefault="007D706A" w:rsidP="00F70508">
            <w:pPr>
              <w:pStyle w:val="ParagraphStyle6"/>
              <w:rPr>
                <w:rStyle w:val="CharacterStyle6"/>
              </w:rPr>
            </w:pPr>
            <w:r>
              <w:rPr>
                <w:rStyle w:val="CharacterStyle6"/>
              </w:rPr>
              <w:t>34.000,00</w:t>
            </w:r>
          </w:p>
        </w:tc>
        <w:tc>
          <w:tcPr>
            <w:tcW w:w="1395" w:type="dxa"/>
            <w:tcBorders>
              <w:bottom w:val="single" w:sz="6" w:space="0" w:color="000000"/>
              <w:right w:val="single" w:sz="6" w:space="0" w:color="000000"/>
            </w:tcBorders>
            <w:vAlign w:val="center"/>
          </w:tcPr>
          <w:p w14:paraId="3AC2F72E" w14:textId="77777777" w:rsidR="007D706A" w:rsidRDefault="007D706A" w:rsidP="00F70508">
            <w:pPr>
              <w:pStyle w:val="ParagraphStyle6"/>
              <w:rPr>
                <w:rStyle w:val="CharacterStyle6"/>
              </w:rPr>
            </w:pPr>
            <w:r>
              <w:rPr>
                <w:rStyle w:val="CharacterStyle6"/>
              </w:rPr>
              <w:t>34.000,00</w:t>
            </w:r>
          </w:p>
        </w:tc>
        <w:tc>
          <w:tcPr>
            <w:tcW w:w="1395" w:type="dxa"/>
            <w:tcBorders>
              <w:bottom w:val="single" w:sz="6" w:space="0" w:color="000000"/>
              <w:right w:val="single" w:sz="6" w:space="0" w:color="000000"/>
            </w:tcBorders>
            <w:vAlign w:val="center"/>
          </w:tcPr>
          <w:p w14:paraId="649184CA" w14:textId="77777777" w:rsidR="007D706A" w:rsidRDefault="007D706A" w:rsidP="00F70508">
            <w:pPr>
              <w:pStyle w:val="ParagraphStyle6"/>
              <w:rPr>
                <w:rStyle w:val="CharacterStyle6"/>
              </w:rPr>
            </w:pPr>
            <w:r>
              <w:rPr>
                <w:rStyle w:val="CharacterStyle6"/>
              </w:rPr>
              <w:t>34.000,00</w:t>
            </w:r>
          </w:p>
        </w:tc>
      </w:tr>
      <w:tr w:rsidR="007D706A" w14:paraId="73EB35D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13F212E" w14:textId="77777777" w:rsidR="007D706A" w:rsidRDefault="007D706A" w:rsidP="00F70508">
            <w:pPr>
              <w:pStyle w:val="ParagraphStyle7"/>
              <w:rPr>
                <w:rStyle w:val="CharacterStyle7"/>
              </w:rPr>
            </w:pPr>
            <w:r>
              <w:rPr>
                <w:rStyle w:val="CharacterStyle7"/>
              </w:rPr>
              <w:t>Izvor financiranja 40</w:t>
            </w:r>
          </w:p>
        </w:tc>
        <w:tc>
          <w:tcPr>
            <w:tcW w:w="4995" w:type="dxa"/>
            <w:tcBorders>
              <w:bottom w:val="single" w:sz="6" w:space="0" w:color="000000"/>
              <w:right w:val="single" w:sz="6" w:space="0" w:color="000000"/>
            </w:tcBorders>
            <w:vAlign w:val="center"/>
          </w:tcPr>
          <w:p w14:paraId="2DE8C1C5" w14:textId="77777777" w:rsidR="007D706A" w:rsidRDefault="007D706A" w:rsidP="00F70508">
            <w:pPr>
              <w:pStyle w:val="ParagraphStyle8"/>
              <w:rPr>
                <w:rStyle w:val="CharacterStyle8"/>
              </w:rPr>
            </w:pPr>
            <w:r>
              <w:rPr>
                <w:rStyle w:val="CharacterStyle8"/>
              </w:rPr>
              <w:t>Prihodi od komunalne naknade i komunalnog doprinosa</w:t>
            </w:r>
          </w:p>
        </w:tc>
        <w:tc>
          <w:tcPr>
            <w:tcW w:w="1395" w:type="dxa"/>
            <w:tcBorders>
              <w:bottom w:val="single" w:sz="6" w:space="0" w:color="000000"/>
              <w:right w:val="single" w:sz="6" w:space="0" w:color="000000"/>
            </w:tcBorders>
            <w:vAlign w:val="center"/>
          </w:tcPr>
          <w:p w14:paraId="555E7729"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40E3C82"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1340E2F" w14:textId="77777777" w:rsidR="007D706A" w:rsidRDefault="007D706A" w:rsidP="00F70508">
            <w:pPr>
              <w:pStyle w:val="ParagraphStyle9"/>
              <w:rPr>
                <w:rStyle w:val="CharacterStyle9"/>
              </w:rPr>
            </w:pPr>
            <w:r>
              <w:rPr>
                <w:rStyle w:val="CharacterStyle9"/>
              </w:rPr>
              <w:t>34.000,00</w:t>
            </w:r>
          </w:p>
        </w:tc>
        <w:tc>
          <w:tcPr>
            <w:tcW w:w="1395" w:type="dxa"/>
            <w:tcBorders>
              <w:bottom w:val="single" w:sz="6" w:space="0" w:color="000000"/>
              <w:right w:val="single" w:sz="6" w:space="0" w:color="000000"/>
            </w:tcBorders>
            <w:vAlign w:val="center"/>
          </w:tcPr>
          <w:p w14:paraId="5510FB70" w14:textId="77777777" w:rsidR="007D706A" w:rsidRDefault="007D706A" w:rsidP="00F70508">
            <w:pPr>
              <w:pStyle w:val="ParagraphStyle9"/>
              <w:rPr>
                <w:rStyle w:val="CharacterStyle9"/>
              </w:rPr>
            </w:pPr>
            <w:r>
              <w:rPr>
                <w:rStyle w:val="CharacterStyle9"/>
              </w:rPr>
              <w:t>34.000,00</w:t>
            </w:r>
          </w:p>
        </w:tc>
        <w:tc>
          <w:tcPr>
            <w:tcW w:w="1395" w:type="dxa"/>
            <w:tcBorders>
              <w:bottom w:val="single" w:sz="6" w:space="0" w:color="000000"/>
              <w:right w:val="single" w:sz="6" w:space="0" w:color="000000"/>
            </w:tcBorders>
            <w:vAlign w:val="center"/>
          </w:tcPr>
          <w:p w14:paraId="078AD3C7" w14:textId="77777777" w:rsidR="007D706A" w:rsidRDefault="007D706A" w:rsidP="00F70508">
            <w:pPr>
              <w:pStyle w:val="ParagraphStyle9"/>
              <w:rPr>
                <w:rStyle w:val="CharacterStyle9"/>
              </w:rPr>
            </w:pPr>
            <w:r>
              <w:rPr>
                <w:rStyle w:val="CharacterStyle9"/>
              </w:rPr>
              <w:t>34.000,00</w:t>
            </w:r>
          </w:p>
        </w:tc>
      </w:tr>
      <w:tr w:rsidR="007D706A" w14:paraId="2D32820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17D2398"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58CB3165"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0632CBD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5C3541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17D0345" w14:textId="77777777" w:rsidR="007D706A" w:rsidRDefault="007D706A" w:rsidP="00F70508">
            <w:pPr>
              <w:pStyle w:val="ParagraphStyle12"/>
              <w:rPr>
                <w:rStyle w:val="CharacterStyle12"/>
              </w:rPr>
            </w:pPr>
            <w:r>
              <w:rPr>
                <w:rStyle w:val="CharacterStyle12"/>
              </w:rPr>
              <w:t>34.000,00</w:t>
            </w:r>
          </w:p>
        </w:tc>
        <w:tc>
          <w:tcPr>
            <w:tcW w:w="1395" w:type="dxa"/>
            <w:tcBorders>
              <w:bottom w:val="single" w:sz="6" w:space="0" w:color="000000"/>
              <w:right w:val="single" w:sz="6" w:space="0" w:color="000000"/>
            </w:tcBorders>
            <w:vAlign w:val="center"/>
          </w:tcPr>
          <w:p w14:paraId="03F3218C" w14:textId="77777777" w:rsidR="007D706A" w:rsidRDefault="007D706A" w:rsidP="00F70508">
            <w:pPr>
              <w:pStyle w:val="ParagraphStyle12"/>
              <w:rPr>
                <w:rStyle w:val="CharacterStyle12"/>
              </w:rPr>
            </w:pPr>
            <w:r>
              <w:rPr>
                <w:rStyle w:val="CharacterStyle12"/>
              </w:rPr>
              <w:t>34.000,00</w:t>
            </w:r>
          </w:p>
        </w:tc>
        <w:tc>
          <w:tcPr>
            <w:tcW w:w="1395" w:type="dxa"/>
            <w:tcBorders>
              <w:bottom w:val="single" w:sz="6" w:space="0" w:color="000000"/>
              <w:right w:val="single" w:sz="6" w:space="0" w:color="000000"/>
            </w:tcBorders>
            <w:vAlign w:val="center"/>
          </w:tcPr>
          <w:p w14:paraId="215AA32C" w14:textId="77777777" w:rsidR="007D706A" w:rsidRDefault="007D706A" w:rsidP="00F70508">
            <w:pPr>
              <w:pStyle w:val="ParagraphStyle12"/>
              <w:rPr>
                <w:rStyle w:val="CharacterStyle12"/>
              </w:rPr>
            </w:pPr>
            <w:r>
              <w:rPr>
                <w:rStyle w:val="CharacterStyle12"/>
              </w:rPr>
              <w:t>34.000,00</w:t>
            </w:r>
          </w:p>
        </w:tc>
      </w:tr>
      <w:tr w:rsidR="007D706A" w14:paraId="0BBAFDD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5B27B52"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2B319E2E"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298E16B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B093ED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CBBD2CF" w14:textId="77777777" w:rsidR="007D706A" w:rsidRDefault="007D706A" w:rsidP="00F70508">
            <w:pPr>
              <w:pStyle w:val="ParagraphStyle12"/>
              <w:rPr>
                <w:rStyle w:val="CharacterStyle12"/>
              </w:rPr>
            </w:pPr>
            <w:r>
              <w:rPr>
                <w:rStyle w:val="CharacterStyle12"/>
              </w:rPr>
              <w:t>34.000,00</w:t>
            </w:r>
          </w:p>
        </w:tc>
        <w:tc>
          <w:tcPr>
            <w:tcW w:w="1395" w:type="dxa"/>
            <w:tcBorders>
              <w:bottom w:val="single" w:sz="6" w:space="0" w:color="000000"/>
              <w:right w:val="single" w:sz="6" w:space="0" w:color="000000"/>
            </w:tcBorders>
            <w:vAlign w:val="center"/>
          </w:tcPr>
          <w:p w14:paraId="0C9324D9" w14:textId="77777777" w:rsidR="007D706A" w:rsidRDefault="007D706A" w:rsidP="00F70508">
            <w:pPr>
              <w:pStyle w:val="ParagraphStyle12"/>
              <w:rPr>
                <w:rStyle w:val="CharacterStyle12"/>
              </w:rPr>
            </w:pPr>
            <w:r>
              <w:rPr>
                <w:rStyle w:val="CharacterStyle12"/>
              </w:rPr>
              <w:t>34.000,00</w:t>
            </w:r>
          </w:p>
        </w:tc>
        <w:tc>
          <w:tcPr>
            <w:tcW w:w="1395" w:type="dxa"/>
            <w:tcBorders>
              <w:bottom w:val="single" w:sz="6" w:space="0" w:color="000000"/>
              <w:right w:val="single" w:sz="6" w:space="0" w:color="000000"/>
            </w:tcBorders>
            <w:vAlign w:val="center"/>
          </w:tcPr>
          <w:p w14:paraId="03F93D8D" w14:textId="77777777" w:rsidR="007D706A" w:rsidRDefault="007D706A" w:rsidP="00F70508">
            <w:pPr>
              <w:pStyle w:val="ParagraphStyle12"/>
              <w:rPr>
                <w:rStyle w:val="CharacterStyle12"/>
              </w:rPr>
            </w:pPr>
            <w:r>
              <w:rPr>
                <w:rStyle w:val="CharacterStyle12"/>
              </w:rPr>
              <w:t>34.000,00</w:t>
            </w:r>
          </w:p>
        </w:tc>
      </w:tr>
      <w:tr w:rsidR="007D706A" w14:paraId="25AB057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FA94D71" w14:textId="77777777" w:rsidR="007D706A" w:rsidRDefault="007D706A" w:rsidP="00F70508">
            <w:pPr>
              <w:pStyle w:val="ParagraphStyle7"/>
              <w:rPr>
                <w:rStyle w:val="CharacterStyle7"/>
              </w:rPr>
            </w:pPr>
            <w:r>
              <w:rPr>
                <w:rStyle w:val="CharacterStyle7"/>
              </w:rPr>
              <w:t>Izvor financiranja 41</w:t>
            </w:r>
          </w:p>
        </w:tc>
        <w:tc>
          <w:tcPr>
            <w:tcW w:w="4995" w:type="dxa"/>
            <w:tcBorders>
              <w:bottom w:val="single" w:sz="6" w:space="0" w:color="000000"/>
              <w:right w:val="single" w:sz="6" w:space="0" w:color="000000"/>
            </w:tcBorders>
            <w:vAlign w:val="center"/>
          </w:tcPr>
          <w:p w14:paraId="3D0CB933" w14:textId="77777777" w:rsidR="007D706A" w:rsidRDefault="007D706A" w:rsidP="00F70508">
            <w:pPr>
              <w:pStyle w:val="ParagraphStyle8"/>
              <w:rPr>
                <w:rStyle w:val="CharacterStyle8"/>
              </w:rPr>
            </w:pPr>
            <w:r>
              <w:rPr>
                <w:rStyle w:val="CharacterStyle8"/>
              </w:rPr>
              <w:t>Prihodi za posebne namjene</w:t>
            </w:r>
          </w:p>
        </w:tc>
        <w:tc>
          <w:tcPr>
            <w:tcW w:w="1395" w:type="dxa"/>
            <w:tcBorders>
              <w:bottom w:val="single" w:sz="6" w:space="0" w:color="000000"/>
              <w:right w:val="single" w:sz="6" w:space="0" w:color="000000"/>
            </w:tcBorders>
            <w:vAlign w:val="center"/>
          </w:tcPr>
          <w:p w14:paraId="2C29A881"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5322192" w14:textId="77777777" w:rsidR="007D706A" w:rsidRDefault="007D706A" w:rsidP="00F70508">
            <w:pPr>
              <w:pStyle w:val="ParagraphStyle9"/>
              <w:rPr>
                <w:rStyle w:val="CharacterStyle9"/>
              </w:rPr>
            </w:pPr>
            <w:r>
              <w:rPr>
                <w:rStyle w:val="CharacterStyle9"/>
              </w:rPr>
              <w:t>34.000,00</w:t>
            </w:r>
          </w:p>
        </w:tc>
        <w:tc>
          <w:tcPr>
            <w:tcW w:w="1395" w:type="dxa"/>
            <w:tcBorders>
              <w:bottom w:val="single" w:sz="6" w:space="0" w:color="000000"/>
              <w:right w:val="single" w:sz="6" w:space="0" w:color="000000"/>
            </w:tcBorders>
            <w:vAlign w:val="center"/>
          </w:tcPr>
          <w:p w14:paraId="7F3ECD87"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75FBF09"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F309403" w14:textId="77777777" w:rsidR="007D706A" w:rsidRDefault="007D706A" w:rsidP="00F70508">
            <w:pPr>
              <w:pStyle w:val="ParagraphStyle9"/>
              <w:rPr>
                <w:rStyle w:val="CharacterStyle9"/>
              </w:rPr>
            </w:pPr>
            <w:r>
              <w:rPr>
                <w:rStyle w:val="CharacterStyle9"/>
              </w:rPr>
              <w:t>0,00</w:t>
            </w:r>
          </w:p>
        </w:tc>
      </w:tr>
      <w:tr w:rsidR="007D706A" w14:paraId="1A21E30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CFD7FEC"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14214479"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5B4C913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36C2B8C" w14:textId="77777777" w:rsidR="007D706A" w:rsidRDefault="007D706A" w:rsidP="00F70508">
            <w:pPr>
              <w:pStyle w:val="ParagraphStyle12"/>
              <w:rPr>
                <w:rStyle w:val="CharacterStyle12"/>
              </w:rPr>
            </w:pPr>
            <w:r>
              <w:rPr>
                <w:rStyle w:val="CharacterStyle12"/>
              </w:rPr>
              <w:t>34.000,00</w:t>
            </w:r>
          </w:p>
        </w:tc>
        <w:tc>
          <w:tcPr>
            <w:tcW w:w="1395" w:type="dxa"/>
            <w:tcBorders>
              <w:bottom w:val="single" w:sz="6" w:space="0" w:color="000000"/>
              <w:right w:val="single" w:sz="6" w:space="0" w:color="000000"/>
            </w:tcBorders>
            <w:vAlign w:val="center"/>
          </w:tcPr>
          <w:p w14:paraId="07CF6CA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B8837D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3D3A9B1" w14:textId="77777777" w:rsidR="007D706A" w:rsidRDefault="007D706A" w:rsidP="00F70508">
            <w:pPr>
              <w:pStyle w:val="ParagraphStyle12"/>
              <w:rPr>
                <w:rStyle w:val="CharacterStyle12"/>
              </w:rPr>
            </w:pPr>
            <w:r>
              <w:rPr>
                <w:rStyle w:val="CharacterStyle12"/>
              </w:rPr>
              <w:t>0,00</w:t>
            </w:r>
          </w:p>
        </w:tc>
      </w:tr>
      <w:tr w:rsidR="007D706A" w14:paraId="56AC7A9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10FB44D"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7284B441"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680409F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E0009CB" w14:textId="77777777" w:rsidR="007D706A" w:rsidRDefault="007D706A" w:rsidP="00F70508">
            <w:pPr>
              <w:pStyle w:val="ParagraphStyle12"/>
              <w:rPr>
                <w:rStyle w:val="CharacterStyle12"/>
              </w:rPr>
            </w:pPr>
            <w:r>
              <w:rPr>
                <w:rStyle w:val="CharacterStyle12"/>
              </w:rPr>
              <w:t>34.000,00</w:t>
            </w:r>
          </w:p>
        </w:tc>
        <w:tc>
          <w:tcPr>
            <w:tcW w:w="1395" w:type="dxa"/>
            <w:tcBorders>
              <w:bottom w:val="single" w:sz="6" w:space="0" w:color="000000"/>
              <w:right w:val="single" w:sz="6" w:space="0" w:color="000000"/>
            </w:tcBorders>
            <w:vAlign w:val="center"/>
          </w:tcPr>
          <w:p w14:paraId="6284BD9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96AF61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76FCA31" w14:textId="77777777" w:rsidR="007D706A" w:rsidRDefault="007D706A" w:rsidP="00F70508">
            <w:pPr>
              <w:pStyle w:val="ParagraphStyle12"/>
              <w:rPr>
                <w:rStyle w:val="CharacterStyle12"/>
              </w:rPr>
            </w:pPr>
            <w:r>
              <w:rPr>
                <w:rStyle w:val="CharacterStyle12"/>
              </w:rPr>
              <w:t>0,00</w:t>
            </w:r>
          </w:p>
        </w:tc>
      </w:tr>
      <w:tr w:rsidR="007D706A" w14:paraId="77427E4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1E8B772" w14:textId="77777777" w:rsidR="007D706A" w:rsidRDefault="007D706A" w:rsidP="00F70508">
            <w:pPr>
              <w:pStyle w:val="ParagraphStyle4"/>
              <w:rPr>
                <w:rStyle w:val="CharacterStyle4"/>
              </w:rPr>
            </w:pPr>
            <w:r>
              <w:rPr>
                <w:rStyle w:val="CharacterStyle4"/>
              </w:rPr>
              <w:t>Aktivnost A102204</w:t>
            </w:r>
          </w:p>
        </w:tc>
        <w:tc>
          <w:tcPr>
            <w:tcW w:w="4995" w:type="dxa"/>
            <w:tcBorders>
              <w:bottom w:val="single" w:sz="6" w:space="0" w:color="000000"/>
              <w:right w:val="single" w:sz="6" w:space="0" w:color="000000"/>
            </w:tcBorders>
            <w:vAlign w:val="center"/>
          </w:tcPr>
          <w:p w14:paraId="47D26528" w14:textId="77777777" w:rsidR="007D706A" w:rsidRDefault="007D706A" w:rsidP="00F70508">
            <w:pPr>
              <w:pStyle w:val="ParagraphStyle5"/>
              <w:rPr>
                <w:rStyle w:val="CharacterStyle5"/>
              </w:rPr>
            </w:pPr>
            <w:r>
              <w:rPr>
                <w:rStyle w:val="CharacterStyle5"/>
              </w:rPr>
              <w:t>POSIPAVANJE JAVNIH PUTEVA</w:t>
            </w:r>
          </w:p>
        </w:tc>
        <w:tc>
          <w:tcPr>
            <w:tcW w:w="1395" w:type="dxa"/>
            <w:tcBorders>
              <w:bottom w:val="single" w:sz="6" w:space="0" w:color="000000"/>
              <w:right w:val="single" w:sz="6" w:space="0" w:color="000000"/>
            </w:tcBorders>
            <w:vAlign w:val="center"/>
          </w:tcPr>
          <w:p w14:paraId="6D7F9A14"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5346D658" w14:textId="77777777" w:rsidR="007D706A" w:rsidRDefault="007D706A" w:rsidP="00F70508">
            <w:pPr>
              <w:pStyle w:val="ParagraphStyle6"/>
              <w:rPr>
                <w:rStyle w:val="CharacterStyle6"/>
              </w:rPr>
            </w:pPr>
            <w:r>
              <w:rPr>
                <w:rStyle w:val="CharacterStyle6"/>
              </w:rPr>
              <w:t>124.000,00</w:t>
            </w:r>
          </w:p>
        </w:tc>
        <w:tc>
          <w:tcPr>
            <w:tcW w:w="1395" w:type="dxa"/>
            <w:tcBorders>
              <w:bottom w:val="single" w:sz="6" w:space="0" w:color="000000"/>
              <w:right w:val="single" w:sz="6" w:space="0" w:color="000000"/>
            </w:tcBorders>
            <w:vAlign w:val="center"/>
          </w:tcPr>
          <w:p w14:paraId="5F99C928" w14:textId="77777777" w:rsidR="007D706A" w:rsidRDefault="007D706A" w:rsidP="00F70508">
            <w:pPr>
              <w:pStyle w:val="ParagraphStyle6"/>
              <w:rPr>
                <w:rStyle w:val="CharacterStyle6"/>
              </w:rPr>
            </w:pPr>
            <w:r>
              <w:rPr>
                <w:rStyle w:val="CharacterStyle6"/>
              </w:rPr>
              <w:t>124.000,00</w:t>
            </w:r>
          </w:p>
        </w:tc>
        <w:tc>
          <w:tcPr>
            <w:tcW w:w="1395" w:type="dxa"/>
            <w:tcBorders>
              <w:bottom w:val="single" w:sz="6" w:space="0" w:color="000000"/>
              <w:right w:val="single" w:sz="6" w:space="0" w:color="000000"/>
            </w:tcBorders>
            <w:vAlign w:val="center"/>
          </w:tcPr>
          <w:p w14:paraId="29C6DF8B" w14:textId="77777777" w:rsidR="007D706A" w:rsidRDefault="007D706A" w:rsidP="00F70508">
            <w:pPr>
              <w:pStyle w:val="ParagraphStyle6"/>
              <w:rPr>
                <w:rStyle w:val="CharacterStyle6"/>
              </w:rPr>
            </w:pPr>
            <w:r>
              <w:rPr>
                <w:rStyle w:val="CharacterStyle6"/>
              </w:rPr>
              <w:t>124.000,00</w:t>
            </w:r>
          </w:p>
        </w:tc>
        <w:tc>
          <w:tcPr>
            <w:tcW w:w="1395" w:type="dxa"/>
            <w:tcBorders>
              <w:bottom w:val="single" w:sz="6" w:space="0" w:color="000000"/>
              <w:right w:val="single" w:sz="6" w:space="0" w:color="000000"/>
            </w:tcBorders>
            <w:vAlign w:val="center"/>
          </w:tcPr>
          <w:p w14:paraId="4D7AB36F" w14:textId="77777777" w:rsidR="007D706A" w:rsidRDefault="007D706A" w:rsidP="00F70508">
            <w:pPr>
              <w:pStyle w:val="ParagraphStyle6"/>
              <w:rPr>
                <w:rStyle w:val="CharacterStyle6"/>
              </w:rPr>
            </w:pPr>
            <w:r>
              <w:rPr>
                <w:rStyle w:val="CharacterStyle6"/>
              </w:rPr>
              <w:t>124.000,00</w:t>
            </w:r>
          </w:p>
        </w:tc>
      </w:tr>
      <w:tr w:rsidR="007D706A" w14:paraId="08A3192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CF3DC56"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4258A808"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5E331E1C"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A1704E4"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0238E2D" w14:textId="77777777" w:rsidR="007D706A" w:rsidRDefault="007D706A" w:rsidP="00F70508">
            <w:pPr>
              <w:pStyle w:val="ParagraphStyle9"/>
              <w:rPr>
                <w:rStyle w:val="CharacterStyle9"/>
              </w:rPr>
            </w:pPr>
            <w:r>
              <w:rPr>
                <w:rStyle w:val="CharacterStyle9"/>
              </w:rPr>
              <w:t>24.500,00</w:t>
            </w:r>
          </w:p>
        </w:tc>
        <w:tc>
          <w:tcPr>
            <w:tcW w:w="1395" w:type="dxa"/>
            <w:tcBorders>
              <w:bottom w:val="single" w:sz="6" w:space="0" w:color="000000"/>
              <w:right w:val="single" w:sz="6" w:space="0" w:color="000000"/>
            </w:tcBorders>
            <w:vAlign w:val="center"/>
          </w:tcPr>
          <w:p w14:paraId="3F1204AD" w14:textId="77777777" w:rsidR="007D706A" w:rsidRDefault="007D706A" w:rsidP="00F70508">
            <w:pPr>
              <w:pStyle w:val="ParagraphStyle9"/>
              <w:rPr>
                <w:rStyle w:val="CharacterStyle9"/>
              </w:rPr>
            </w:pPr>
            <w:r>
              <w:rPr>
                <w:rStyle w:val="CharacterStyle9"/>
              </w:rPr>
              <w:t>70.950,00</w:t>
            </w:r>
          </w:p>
        </w:tc>
        <w:tc>
          <w:tcPr>
            <w:tcW w:w="1395" w:type="dxa"/>
            <w:tcBorders>
              <w:bottom w:val="single" w:sz="6" w:space="0" w:color="000000"/>
              <w:right w:val="single" w:sz="6" w:space="0" w:color="000000"/>
            </w:tcBorders>
            <w:vAlign w:val="center"/>
          </w:tcPr>
          <w:p w14:paraId="314A40C2" w14:textId="77777777" w:rsidR="007D706A" w:rsidRDefault="007D706A" w:rsidP="00F70508">
            <w:pPr>
              <w:pStyle w:val="ParagraphStyle9"/>
              <w:rPr>
                <w:rStyle w:val="CharacterStyle9"/>
              </w:rPr>
            </w:pPr>
            <w:r>
              <w:rPr>
                <w:rStyle w:val="CharacterStyle9"/>
              </w:rPr>
              <w:t>70.950,00</w:t>
            </w:r>
          </w:p>
        </w:tc>
      </w:tr>
      <w:tr w:rsidR="007D706A" w14:paraId="600FAFB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4081234"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74AF4175"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026F2D5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E2B954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90BD9B5" w14:textId="77777777" w:rsidR="007D706A" w:rsidRDefault="007D706A" w:rsidP="00F70508">
            <w:pPr>
              <w:pStyle w:val="ParagraphStyle12"/>
              <w:rPr>
                <w:rStyle w:val="CharacterStyle12"/>
              </w:rPr>
            </w:pPr>
            <w:r>
              <w:rPr>
                <w:rStyle w:val="CharacterStyle12"/>
              </w:rPr>
              <w:t>24.500,00</w:t>
            </w:r>
          </w:p>
        </w:tc>
        <w:tc>
          <w:tcPr>
            <w:tcW w:w="1395" w:type="dxa"/>
            <w:tcBorders>
              <w:bottom w:val="single" w:sz="6" w:space="0" w:color="000000"/>
              <w:right w:val="single" w:sz="6" w:space="0" w:color="000000"/>
            </w:tcBorders>
            <w:vAlign w:val="center"/>
          </w:tcPr>
          <w:p w14:paraId="06ABD5CA" w14:textId="77777777" w:rsidR="007D706A" w:rsidRDefault="007D706A" w:rsidP="00F70508">
            <w:pPr>
              <w:pStyle w:val="ParagraphStyle12"/>
              <w:rPr>
                <w:rStyle w:val="CharacterStyle12"/>
              </w:rPr>
            </w:pPr>
            <w:r>
              <w:rPr>
                <w:rStyle w:val="CharacterStyle12"/>
              </w:rPr>
              <w:t>70.950,00</w:t>
            </w:r>
          </w:p>
        </w:tc>
        <w:tc>
          <w:tcPr>
            <w:tcW w:w="1395" w:type="dxa"/>
            <w:tcBorders>
              <w:bottom w:val="single" w:sz="6" w:space="0" w:color="000000"/>
              <w:right w:val="single" w:sz="6" w:space="0" w:color="000000"/>
            </w:tcBorders>
            <w:vAlign w:val="center"/>
          </w:tcPr>
          <w:p w14:paraId="0935627B" w14:textId="77777777" w:rsidR="007D706A" w:rsidRDefault="007D706A" w:rsidP="00F70508">
            <w:pPr>
              <w:pStyle w:val="ParagraphStyle12"/>
              <w:rPr>
                <w:rStyle w:val="CharacterStyle12"/>
              </w:rPr>
            </w:pPr>
            <w:r>
              <w:rPr>
                <w:rStyle w:val="CharacterStyle12"/>
              </w:rPr>
              <w:t>70.950,00</w:t>
            </w:r>
          </w:p>
        </w:tc>
      </w:tr>
      <w:tr w:rsidR="007D706A" w14:paraId="33B6AFE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4D51809"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0E07E438"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5FCAEEB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735C3E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4A9E07E" w14:textId="77777777" w:rsidR="007D706A" w:rsidRDefault="007D706A" w:rsidP="00F70508">
            <w:pPr>
              <w:pStyle w:val="ParagraphStyle12"/>
              <w:rPr>
                <w:rStyle w:val="CharacterStyle12"/>
              </w:rPr>
            </w:pPr>
            <w:r>
              <w:rPr>
                <w:rStyle w:val="CharacterStyle12"/>
              </w:rPr>
              <w:t>24.500,00</w:t>
            </w:r>
          </w:p>
        </w:tc>
        <w:tc>
          <w:tcPr>
            <w:tcW w:w="1395" w:type="dxa"/>
            <w:tcBorders>
              <w:bottom w:val="single" w:sz="6" w:space="0" w:color="000000"/>
              <w:right w:val="single" w:sz="6" w:space="0" w:color="000000"/>
            </w:tcBorders>
            <w:vAlign w:val="center"/>
          </w:tcPr>
          <w:p w14:paraId="74161E9B" w14:textId="77777777" w:rsidR="007D706A" w:rsidRDefault="007D706A" w:rsidP="00F70508">
            <w:pPr>
              <w:pStyle w:val="ParagraphStyle12"/>
              <w:rPr>
                <w:rStyle w:val="CharacterStyle12"/>
              </w:rPr>
            </w:pPr>
            <w:r>
              <w:rPr>
                <w:rStyle w:val="CharacterStyle12"/>
              </w:rPr>
              <w:t>70.950,00</w:t>
            </w:r>
          </w:p>
        </w:tc>
        <w:tc>
          <w:tcPr>
            <w:tcW w:w="1395" w:type="dxa"/>
            <w:tcBorders>
              <w:bottom w:val="single" w:sz="6" w:space="0" w:color="000000"/>
              <w:right w:val="single" w:sz="6" w:space="0" w:color="000000"/>
            </w:tcBorders>
            <w:vAlign w:val="center"/>
          </w:tcPr>
          <w:p w14:paraId="0FA1228A" w14:textId="77777777" w:rsidR="007D706A" w:rsidRDefault="007D706A" w:rsidP="00F70508">
            <w:pPr>
              <w:pStyle w:val="ParagraphStyle12"/>
              <w:rPr>
                <w:rStyle w:val="CharacterStyle12"/>
              </w:rPr>
            </w:pPr>
            <w:r>
              <w:rPr>
                <w:rStyle w:val="CharacterStyle12"/>
              </w:rPr>
              <w:t>70.950,00</w:t>
            </w:r>
          </w:p>
        </w:tc>
      </w:tr>
      <w:tr w:rsidR="007D706A" w14:paraId="59C49F5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287B586" w14:textId="77777777" w:rsidR="007D706A" w:rsidRDefault="007D706A" w:rsidP="00F70508">
            <w:pPr>
              <w:pStyle w:val="ParagraphStyle7"/>
              <w:rPr>
                <w:rStyle w:val="CharacterStyle7"/>
              </w:rPr>
            </w:pPr>
            <w:r>
              <w:rPr>
                <w:rStyle w:val="CharacterStyle7"/>
              </w:rPr>
              <w:t>Izvor financiranja 41</w:t>
            </w:r>
          </w:p>
        </w:tc>
        <w:tc>
          <w:tcPr>
            <w:tcW w:w="4995" w:type="dxa"/>
            <w:tcBorders>
              <w:bottom w:val="single" w:sz="6" w:space="0" w:color="000000"/>
              <w:right w:val="single" w:sz="6" w:space="0" w:color="000000"/>
            </w:tcBorders>
            <w:vAlign w:val="center"/>
          </w:tcPr>
          <w:p w14:paraId="2B4B7F6B" w14:textId="77777777" w:rsidR="007D706A" w:rsidRDefault="007D706A" w:rsidP="00F70508">
            <w:pPr>
              <w:pStyle w:val="ParagraphStyle8"/>
              <w:rPr>
                <w:rStyle w:val="CharacterStyle8"/>
              </w:rPr>
            </w:pPr>
            <w:r>
              <w:rPr>
                <w:rStyle w:val="CharacterStyle8"/>
              </w:rPr>
              <w:t>Prihodi za posebne namjene</w:t>
            </w:r>
          </w:p>
        </w:tc>
        <w:tc>
          <w:tcPr>
            <w:tcW w:w="1395" w:type="dxa"/>
            <w:tcBorders>
              <w:bottom w:val="single" w:sz="6" w:space="0" w:color="000000"/>
              <w:right w:val="single" w:sz="6" w:space="0" w:color="000000"/>
            </w:tcBorders>
            <w:vAlign w:val="center"/>
          </w:tcPr>
          <w:p w14:paraId="0A63E605"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57C167F" w14:textId="77777777" w:rsidR="007D706A" w:rsidRDefault="007D706A" w:rsidP="00F70508">
            <w:pPr>
              <w:pStyle w:val="ParagraphStyle9"/>
              <w:rPr>
                <w:rStyle w:val="CharacterStyle9"/>
              </w:rPr>
            </w:pPr>
            <w:r>
              <w:rPr>
                <w:rStyle w:val="CharacterStyle9"/>
              </w:rPr>
              <w:t>99.500,00</w:t>
            </w:r>
          </w:p>
        </w:tc>
        <w:tc>
          <w:tcPr>
            <w:tcW w:w="1395" w:type="dxa"/>
            <w:tcBorders>
              <w:bottom w:val="single" w:sz="6" w:space="0" w:color="000000"/>
              <w:right w:val="single" w:sz="6" w:space="0" w:color="000000"/>
            </w:tcBorders>
            <w:vAlign w:val="center"/>
          </w:tcPr>
          <w:p w14:paraId="7477E751"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6F1FED2"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CC98372" w14:textId="77777777" w:rsidR="007D706A" w:rsidRDefault="007D706A" w:rsidP="00F70508">
            <w:pPr>
              <w:pStyle w:val="ParagraphStyle9"/>
              <w:rPr>
                <w:rStyle w:val="CharacterStyle9"/>
              </w:rPr>
            </w:pPr>
            <w:r>
              <w:rPr>
                <w:rStyle w:val="CharacterStyle9"/>
              </w:rPr>
              <w:t>0,00</w:t>
            </w:r>
          </w:p>
        </w:tc>
      </w:tr>
      <w:tr w:rsidR="007D706A" w14:paraId="566A29B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722321C"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25E94406"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00E36A9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F7C85C9" w14:textId="77777777" w:rsidR="007D706A" w:rsidRDefault="007D706A" w:rsidP="00F70508">
            <w:pPr>
              <w:pStyle w:val="ParagraphStyle12"/>
              <w:rPr>
                <w:rStyle w:val="CharacterStyle12"/>
              </w:rPr>
            </w:pPr>
            <w:r>
              <w:rPr>
                <w:rStyle w:val="CharacterStyle12"/>
              </w:rPr>
              <w:t>99.500,00</w:t>
            </w:r>
          </w:p>
        </w:tc>
        <w:tc>
          <w:tcPr>
            <w:tcW w:w="1395" w:type="dxa"/>
            <w:tcBorders>
              <w:bottom w:val="single" w:sz="6" w:space="0" w:color="000000"/>
              <w:right w:val="single" w:sz="6" w:space="0" w:color="000000"/>
            </w:tcBorders>
            <w:vAlign w:val="center"/>
          </w:tcPr>
          <w:p w14:paraId="5725379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9D1F9A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7634566" w14:textId="77777777" w:rsidR="007D706A" w:rsidRDefault="007D706A" w:rsidP="00F70508">
            <w:pPr>
              <w:pStyle w:val="ParagraphStyle12"/>
              <w:rPr>
                <w:rStyle w:val="CharacterStyle12"/>
              </w:rPr>
            </w:pPr>
            <w:r>
              <w:rPr>
                <w:rStyle w:val="CharacterStyle12"/>
              </w:rPr>
              <w:t>0,00</w:t>
            </w:r>
          </w:p>
        </w:tc>
      </w:tr>
      <w:tr w:rsidR="007D706A" w14:paraId="36E18AF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1CEBB74"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32FA1B8C"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3FFF8B7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9976579" w14:textId="77777777" w:rsidR="007D706A" w:rsidRDefault="007D706A" w:rsidP="00F70508">
            <w:pPr>
              <w:pStyle w:val="ParagraphStyle12"/>
              <w:rPr>
                <w:rStyle w:val="CharacterStyle12"/>
              </w:rPr>
            </w:pPr>
            <w:r>
              <w:rPr>
                <w:rStyle w:val="CharacterStyle12"/>
              </w:rPr>
              <w:t>99.500,00</w:t>
            </w:r>
          </w:p>
        </w:tc>
        <w:tc>
          <w:tcPr>
            <w:tcW w:w="1395" w:type="dxa"/>
            <w:tcBorders>
              <w:bottom w:val="single" w:sz="6" w:space="0" w:color="000000"/>
              <w:right w:val="single" w:sz="6" w:space="0" w:color="000000"/>
            </w:tcBorders>
            <w:vAlign w:val="center"/>
          </w:tcPr>
          <w:p w14:paraId="501CA0B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54F149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5D63CA5" w14:textId="77777777" w:rsidR="007D706A" w:rsidRDefault="007D706A" w:rsidP="00F70508">
            <w:pPr>
              <w:pStyle w:val="ParagraphStyle12"/>
              <w:rPr>
                <w:rStyle w:val="CharacterStyle12"/>
              </w:rPr>
            </w:pPr>
            <w:r>
              <w:rPr>
                <w:rStyle w:val="CharacterStyle12"/>
              </w:rPr>
              <w:t>0,00</w:t>
            </w:r>
          </w:p>
        </w:tc>
      </w:tr>
      <w:tr w:rsidR="007D706A" w14:paraId="3B3B397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59C02EA" w14:textId="77777777" w:rsidR="007D706A" w:rsidRDefault="007D706A" w:rsidP="00F70508">
            <w:pPr>
              <w:pStyle w:val="ParagraphStyle7"/>
              <w:rPr>
                <w:rStyle w:val="CharacterStyle7"/>
              </w:rPr>
            </w:pPr>
            <w:r>
              <w:rPr>
                <w:rStyle w:val="CharacterStyle7"/>
              </w:rPr>
              <w:t>Izvor financiranja 43</w:t>
            </w:r>
          </w:p>
        </w:tc>
        <w:tc>
          <w:tcPr>
            <w:tcW w:w="4995" w:type="dxa"/>
            <w:tcBorders>
              <w:bottom w:val="single" w:sz="6" w:space="0" w:color="000000"/>
              <w:right w:val="single" w:sz="6" w:space="0" w:color="000000"/>
            </w:tcBorders>
            <w:vAlign w:val="center"/>
          </w:tcPr>
          <w:p w14:paraId="4D2889CC" w14:textId="77777777" w:rsidR="007D706A" w:rsidRDefault="007D706A" w:rsidP="00F70508">
            <w:pPr>
              <w:pStyle w:val="ParagraphStyle8"/>
              <w:rPr>
                <w:rStyle w:val="CharacterStyle8"/>
              </w:rPr>
            </w:pPr>
            <w:r>
              <w:rPr>
                <w:rStyle w:val="CharacterStyle8"/>
              </w:rPr>
              <w:t>Ostali prihodi za posebne namjene</w:t>
            </w:r>
          </w:p>
        </w:tc>
        <w:tc>
          <w:tcPr>
            <w:tcW w:w="1395" w:type="dxa"/>
            <w:tcBorders>
              <w:bottom w:val="single" w:sz="6" w:space="0" w:color="000000"/>
              <w:right w:val="single" w:sz="6" w:space="0" w:color="000000"/>
            </w:tcBorders>
            <w:vAlign w:val="center"/>
          </w:tcPr>
          <w:p w14:paraId="273B3931"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60DDDBA"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CFFE2A3" w14:textId="77777777" w:rsidR="007D706A" w:rsidRDefault="007D706A" w:rsidP="00F70508">
            <w:pPr>
              <w:pStyle w:val="ParagraphStyle9"/>
              <w:rPr>
                <w:rStyle w:val="CharacterStyle9"/>
              </w:rPr>
            </w:pPr>
            <w:r>
              <w:rPr>
                <w:rStyle w:val="CharacterStyle9"/>
              </w:rPr>
              <w:t>99.500,00</w:t>
            </w:r>
          </w:p>
        </w:tc>
        <w:tc>
          <w:tcPr>
            <w:tcW w:w="1395" w:type="dxa"/>
            <w:tcBorders>
              <w:bottom w:val="single" w:sz="6" w:space="0" w:color="000000"/>
              <w:right w:val="single" w:sz="6" w:space="0" w:color="000000"/>
            </w:tcBorders>
            <w:vAlign w:val="center"/>
          </w:tcPr>
          <w:p w14:paraId="7FA67EA6" w14:textId="77777777" w:rsidR="007D706A" w:rsidRDefault="007D706A" w:rsidP="00F70508">
            <w:pPr>
              <w:pStyle w:val="ParagraphStyle9"/>
              <w:rPr>
                <w:rStyle w:val="CharacterStyle9"/>
              </w:rPr>
            </w:pPr>
            <w:r>
              <w:rPr>
                <w:rStyle w:val="CharacterStyle9"/>
              </w:rPr>
              <w:t>53.050,00</w:t>
            </w:r>
          </w:p>
        </w:tc>
        <w:tc>
          <w:tcPr>
            <w:tcW w:w="1395" w:type="dxa"/>
            <w:tcBorders>
              <w:bottom w:val="single" w:sz="6" w:space="0" w:color="000000"/>
              <w:right w:val="single" w:sz="6" w:space="0" w:color="000000"/>
            </w:tcBorders>
            <w:vAlign w:val="center"/>
          </w:tcPr>
          <w:p w14:paraId="315594D3" w14:textId="77777777" w:rsidR="007D706A" w:rsidRDefault="007D706A" w:rsidP="00F70508">
            <w:pPr>
              <w:pStyle w:val="ParagraphStyle9"/>
              <w:rPr>
                <w:rStyle w:val="CharacterStyle9"/>
              </w:rPr>
            </w:pPr>
            <w:r>
              <w:rPr>
                <w:rStyle w:val="CharacterStyle9"/>
              </w:rPr>
              <w:t>53.050,00</w:t>
            </w:r>
          </w:p>
        </w:tc>
      </w:tr>
      <w:tr w:rsidR="007D706A" w14:paraId="24A317A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A19849E"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7001862D"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058551F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6A5BCC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F490964" w14:textId="77777777" w:rsidR="007D706A" w:rsidRDefault="007D706A" w:rsidP="00F70508">
            <w:pPr>
              <w:pStyle w:val="ParagraphStyle12"/>
              <w:rPr>
                <w:rStyle w:val="CharacterStyle12"/>
              </w:rPr>
            </w:pPr>
            <w:r>
              <w:rPr>
                <w:rStyle w:val="CharacterStyle12"/>
              </w:rPr>
              <w:t>99.500,00</w:t>
            </w:r>
          </w:p>
        </w:tc>
        <w:tc>
          <w:tcPr>
            <w:tcW w:w="1395" w:type="dxa"/>
            <w:tcBorders>
              <w:bottom w:val="single" w:sz="6" w:space="0" w:color="000000"/>
              <w:right w:val="single" w:sz="6" w:space="0" w:color="000000"/>
            </w:tcBorders>
            <w:vAlign w:val="center"/>
          </w:tcPr>
          <w:p w14:paraId="2FFA4A60" w14:textId="77777777" w:rsidR="007D706A" w:rsidRDefault="007D706A" w:rsidP="00F70508">
            <w:pPr>
              <w:pStyle w:val="ParagraphStyle12"/>
              <w:rPr>
                <w:rStyle w:val="CharacterStyle12"/>
              </w:rPr>
            </w:pPr>
            <w:r>
              <w:rPr>
                <w:rStyle w:val="CharacterStyle12"/>
              </w:rPr>
              <w:t>53.050,00</w:t>
            </w:r>
          </w:p>
        </w:tc>
        <w:tc>
          <w:tcPr>
            <w:tcW w:w="1395" w:type="dxa"/>
            <w:tcBorders>
              <w:bottom w:val="single" w:sz="6" w:space="0" w:color="000000"/>
              <w:right w:val="single" w:sz="6" w:space="0" w:color="000000"/>
            </w:tcBorders>
            <w:vAlign w:val="center"/>
          </w:tcPr>
          <w:p w14:paraId="300400E5" w14:textId="77777777" w:rsidR="007D706A" w:rsidRDefault="007D706A" w:rsidP="00F70508">
            <w:pPr>
              <w:pStyle w:val="ParagraphStyle12"/>
              <w:rPr>
                <w:rStyle w:val="CharacterStyle12"/>
              </w:rPr>
            </w:pPr>
            <w:r>
              <w:rPr>
                <w:rStyle w:val="CharacterStyle12"/>
              </w:rPr>
              <w:t>53.050,00</w:t>
            </w:r>
          </w:p>
        </w:tc>
      </w:tr>
      <w:tr w:rsidR="007D706A" w14:paraId="6CC316D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FCE2513"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42711C79"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085E2E3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020C3A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3FEFAA5" w14:textId="77777777" w:rsidR="007D706A" w:rsidRDefault="007D706A" w:rsidP="00F70508">
            <w:pPr>
              <w:pStyle w:val="ParagraphStyle12"/>
              <w:rPr>
                <w:rStyle w:val="CharacterStyle12"/>
              </w:rPr>
            </w:pPr>
            <w:r>
              <w:rPr>
                <w:rStyle w:val="CharacterStyle12"/>
              </w:rPr>
              <w:t>99.500,00</w:t>
            </w:r>
          </w:p>
        </w:tc>
        <w:tc>
          <w:tcPr>
            <w:tcW w:w="1395" w:type="dxa"/>
            <w:tcBorders>
              <w:bottom w:val="single" w:sz="6" w:space="0" w:color="000000"/>
              <w:right w:val="single" w:sz="6" w:space="0" w:color="000000"/>
            </w:tcBorders>
            <w:vAlign w:val="center"/>
          </w:tcPr>
          <w:p w14:paraId="07E25407" w14:textId="77777777" w:rsidR="007D706A" w:rsidRDefault="007D706A" w:rsidP="00F70508">
            <w:pPr>
              <w:pStyle w:val="ParagraphStyle12"/>
              <w:rPr>
                <w:rStyle w:val="CharacterStyle12"/>
              </w:rPr>
            </w:pPr>
            <w:r>
              <w:rPr>
                <w:rStyle w:val="CharacterStyle12"/>
              </w:rPr>
              <w:t>53.050,00</w:t>
            </w:r>
          </w:p>
        </w:tc>
        <w:tc>
          <w:tcPr>
            <w:tcW w:w="1395" w:type="dxa"/>
            <w:tcBorders>
              <w:bottom w:val="single" w:sz="6" w:space="0" w:color="000000"/>
              <w:right w:val="single" w:sz="6" w:space="0" w:color="000000"/>
            </w:tcBorders>
            <w:vAlign w:val="center"/>
          </w:tcPr>
          <w:p w14:paraId="10BE39FB" w14:textId="77777777" w:rsidR="007D706A" w:rsidRDefault="007D706A" w:rsidP="00F70508">
            <w:pPr>
              <w:pStyle w:val="ParagraphStyle12"/>
              <w:rPr>
                <w:rStyle w:val="CharacterStyle12"/>
              </w:rPr>
            </w:pPr>
            <w:r>
              <w:rPr>
                <w:rStyle w:val="CharacterStyle12"/>
              </w:rPr>
              <w:t>53.050,00</w:t>
            </w:r>
          </w:p>
        </w:tc>
      </w:tr>
      <w:tr w:rsidR="007D706A" w14:paraId="16673BB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34F3874" w14:textId="77777777" w:rsidR="007D706A" w:rsidRDefault="007D706A" w:rsidP="00F70508">
            <w:pPr>
              <w:pStyle w:val="ParagraphStyle7"/>
              <w:rPr>
                <w:rStyle w:val="CharacterStyle7"/>
              </w:rPr>
            </w:pPr>
            <w:r>
              <w:rPr>
                <w:rStyle w:val="CharacterStyle7"/>
              </w:rPr>
              <w:t>Izvor financiranja 82</w:t>
            </w:r>
          </w:p>
        </w:tc>
        <w:tc>
          <w:tcPr>
            <w:tcW w:w="4995" w:type="dxa"/>
            <w:tcBorders>
              <w:bottom w:val="single" w:sz="6" w:space="0" w:color="000000"/>
              <w:right w:val="single" w:sz="6" w:space="0" w:color="000000"/>
            </w:tcBorders>
            <w:vAlign w:val="center"/>
          </w:tcPr>
          <w:p w14:paraId="61357C9A" w14:textId="77777777" w:rsidR="007D706A" w:rsidRDefault="007D706A" w:rsidP="00F70508">
            <w:pPr>
              <w:pStyle w:val="ParagraphStyle8"/>
              <w:rPr>
                <w:rStyle w:val="CharacterStyle8"/>
              </w:rPr>
            </w:pPr>
            <w:r>
              <w:rPr>
                <w:rStyle w:val="CharacterStyle8"/>
              </w:rPr>
              <w:t>Preneseni viškovi iz ranijih godina</w:t>
            </w:r>
          </w:p>
        </w:tc>
        <w:tc>
          <w:tcPr>
            <w:tcW w:w="1395" w:type="dxa"/>
            <w:tcBorders>
              <w:bottom w:val="single" w:sz="6" w:space="0" w:color="000000"/>
              <w:right w:val="single" w:sz="6" w:space="0" w:color="000000"/>
            </w:tcBorders>
            <w:vAlign w:val="center"/>
          </w:tcPr>
          <w:p w14:paraId="5BF9FE34"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099FE10" w14:textId="77777777" w:rsidR="007D706A" w:rsidRDefault="007D706A" w:rsidP="00F70508">
            <w:pPr>
              <w:pStyle w:val="ParagraphStyle9"/>
              <w:rPr>
                <w:rStyle w:val="CharacterStyle9"/>
              </w:rPr>
            </w:pPr>
            <w:r>
              <w:rPr>
                <w:rStyle w:val="CharacterStyle9"/>
              </w:rPr>
              <w:t>24.500,00</w:t>
            </w:r>
          </w:p>
        </w:tc>
        <w:tc>
          <w:tcPr>
            <w:tcW w:w="1395" w:type="dxa"/>
            <w:tcBorders>
              <w:bottom w:val="single" w:sz="6" w:space="0" w:color="000000"/>
              <w:right w:val="single" w:sz="6" w:space="0" w:color="000000"/>
            </w:tcBorders>
            <w:vAlign w:val="center"/>
          </w:tcPr>
          <w:p w14:paraId="4EB4783D"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C75A07C"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79ABD91" w14:textId="77777777" w:rsidR="007D706A" w:rsidRDefault="007D706A" w:rsidP="00F70508">
            <w:pPr>
              <w:pStyle w:val="ParagraphStyle9"/>
              <w:rPr>
                <w:rStyle w:val="CharacterStyle9"/>
              </w:rPr>
            </w:pPr>
            <w:r>
              <w:rPr>
                <w:rStyle w:val="CharacterStyle9"/>
              </w:rPr>
              <w:t>0,00</w:t>
            </w:r>
          </w:p>
        </w:tc>
      </w:tr>
      <w:tr w:rsidR="007D706A" w14:paraId="757F45B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16AC5BB"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48306023"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02E50A5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7C9729C" w14:textId="77777777" w:rsidR="007D706A" w:rsidRDefault="007D706A" w:rsidP="00F70508">
            <w:pPr>
              <w:pStyle w:val="ParagraphStyle12"/>
              <w:rPr>
                <w:rStyle w:val="CharacterStyle12"/>
              </w:rPr>
            </w:pPr>
            <w:r>
              <w:rPr>
                <w:rStyle w:val="CharacterStyle12"/>
              </w:rPr>
              <w:t>24.500,00</w:t>
            </w:r>
          </w:p>
        </w:tc>
        <w:tc>
          <w:tcPr>
            <w:tcW w:w="1395" w:type="dxa"/>
            <w:tcBorders>
              <w:bottom w:val="single" w:sz="6" w:space="0" w:color="000000"/>
              <w:right w:val="single" w:sz="6" w:space="0" w:color="000000"/>
            </w:tcBorders>
            <w:vAlign w:val="center"/>
          </w:tcPr>
          <w:p w14:paraId="763E927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9855D6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C5E3760" w14:textId="77777777" w:rsidR="007D706A" w:rsidRDefault="007D706A" w:rsidP="00F70508">
            <w:pPr>
              <w:pStyle w:val="ParagraphStyle12"/>
              <w:rPr>
                <w:rStyle w:val="CharacterStyle12"/>
              </w:rPr>
            </w:pPr>
            <w:r>
              <w:rPr>
                <w:rStyle w:val="CharacterStyle12"/>
              </w:rPr>
              <w:t>0,00</w:t>
            </w:r>
          </w:p>
        </w:tc>
      </w:tr>
      <w:tr w:rsidR="007D706A" w14:paraId="0EBE2CB6"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EA2C11F"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34D77FEE"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4A5393B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357C867" w14:textId="77777777" w:rsidR="007D706A" w:rsidRDefault="007D706A" w:rsidP="00F70508">
            <w:pPr>
              <w:pStyle w:val="ParagraphStyle12"/>
              <w:rPr>
                <w:rStyle w:val="CharacterStyle12"/>
              </w:rPr>
            </w:pPr>
            <w:r>
              <w:rPr>
                <w:rStyle w:val="CharacterStyle12"/>
              </w:rPr>
              <w:t>24.500,00</w:t>
            </w:r>
          </w:p>
        </w:tc>
        <w:tc>
          <w:tcPr>
            <w:tcW w:w="1395" w:type="dxa"/>
            <w:tcBorders>
              <w:bottom w:val="single" w:sz="6" w:space="0" w:color="000000"/>
              <w:right w:val="single" w:sz="6" w:space="0" w:color="000000"/>
            </w:tcBorders>
            <w:vAlign w:val="center"/>
          </w:tcPr>
          <w:p w14:paraId="59AFCBD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82CE32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D144C40" w14:textId="77777777" w:rsidR="007D706A" w:rsidRDefault="007D706A" w:rsidP="00F70508">
            <w:pPr>
              <w:pStyle w:val="ParagraphStyle12"/>
              <w:rPr>
                <w:rStyle w:val="CharacterStyle12"/>
              </w:rPr>
            </w:pPr>
            <w:r>
              <w:rPr>
                <w:rStyle w:val="CharacterStyle12"/>
              </w:rPr>
              <w:t>0,00</w:t>
            </w:r>
          </w:p>
        </w:tc>
      </w:tr>
      <w:tr w:rsidR="007D706A" w14:paraId="58CDE37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0C60687" w14:textId="77777777" w:rsidR="007D706A" w:rsidRDefault="007D706A" w:rsidP="00F70508">
            <w:pPr>
              <w:pStyle w:val="ParagraphStyle4"/>
              <w:rPr>
                <w:rStyle w:val="CharacterStyle4"/>
              </w:rPr>
            </w:pPr>
            <w:r>
              <w:rPr>
                <w:rStyle w:val="CharacterStyle4"/>
              </w:rPr>
              <w:lastRenderedPageBreak/>
              <w:t>Aktivnost A102205</w:t>
            </w:r>
          </w:p>
        </w:tc>
        <w:tc>
          <w:tcPr>
            <w:tcW w:w="4995" w:type="dxa"/>
            <w:tcBorders>
              <w:bottom w:val="single" w:sz="6" w:space="0" w:color="000000"/>
              <w:right w:val="single" w:sz="6" w:space="0" w:color="000000"/>
            </w:tcBorders>
            <w:vAlign w:val="center"/>
          </w:tcPr>
          <w:p w14:paraId="37F53CAA" w14:textId="77777777" w:rsidR="007D706A" w:rsidRDefault="007D706A" w:rsidP="00F70508">
            <w:pPr>
              <w:pStyle w:val="ParagraphStyle5"/>
              <w:rPr>
                <w:rStyle w:val="CharacterStyle5"/>
              </w:rPr>
            </w:pPr>
            <w:r>
              <w:rPr>
                <w:rStyle w:val="CharacterStyle5"/>
              </w:rPr>
              <w:t>KOŠNJA</w:t>
            </w:r>
          </w:p>
        </w:tc>
        <w:tc>
          <w:tcPr>
            <w:tcW w:w="1395" w:type="dxa"/>
            <w:tcBorders>
              <w:bottom w:val="single" w:sz="6" w:space="0" w:color="000000"/>
              <w:right w:val="single" w:sz="6" w:space="0" w:color="000000"/>
            </w:tcBorders>
            <w:vAlign w:val="center"/>
          </w:tcPr>
          <w:p w14:paraId="56251482"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67909564" w14:textId="77777777" w:rsidR="007D706A" w:rsidRDefault="007D706A" w:rsidP="00F70508">
            <w:pPr>
              <w:pStyle w:val="ParagraphStyle6"/>
              <w:rPr>
                <w:rStyle w:val="CharacterStyle6"/>
              </w:rPr>
            </w:pPr>
            <w:r>
              <w:rPr>
                <w:rStyle w:val="CharacterStyle6"/>
              </w:rPr>
              <w:t>26.545,00</w:t>
            </w:r>
          </w:p>
        </w:tc>
        <w:tc>
          <w:tcPr>
            <w:tcW w:w="1395" w:type="dxa"/>
            <w:tcBorders>
              <w:bottom w:val="single" w:sz="6" w:space="0" w:color="000000"/>
              <w:right w:val="single" w:sz="6" w:space="0" w:color="000000"/>
            </w:tcBorders>
            <w:vAlign w:val="center"/>
          </w:tcPr>
          <w:p w14:paraId="30C01930" w14:textId="77777777" w:rsidR="007D706A" w:rsidRDefault="007D706A" w:rsidP="00F70508">
            <w:pPr>
              <w:pStyle w:val="ParagraphStyle6"/>
              <w:rPr>
                <w:rStyle w:val="CharacterStyle6"/>
              </w:rPr>
            </w:pPr>
            <w:r>
              <w:rPr>
                <w:rStyle w:val="CharacterStyle6"/>
              </w:rPr>
              <w:t>27.000,00</w:t>
            </w:r>
          </w:p>
        </w:tc>
        <w:tc>
          <w:tcPr>
            <w:tcW w:w="1395" w:type="dxa"/>
            <w:tcBorders>
              <w:bottom w:val="single" w:sz="6" w:space="0" w:color="000000"/>
              <w:right w:val="single" w:sz="6" w:space="0" w:color="000000"/>
            </w:tcBorders>
            <w:vAlign w:val="center"/>
          </w:tcPr>
          <w:p w14:paraId="54930394" w14:textId="77777777" w:rsidR="007D706A" w:rsidRDefault="007D706A" w:rsidP="00F70508">
            <w:pPr>
              <w:pStyle w:val="ParagraphStyle6"/>
              <w:rPr>
                <w:rStyle w:val="CharacterStyle6"/>
              </w:rPr>
            </w:pPr>
            <w:r>
              <w:rPr>
                <w:rStyle w:val="CharacterStyle6"/>
              </w:rPr>
              <w:t>27.000,00</w:t>
            </w:r>
          </w:p>
        </w:tc>
        <w:tc>
          <w:tcPr>
            <w:tcW w:w="1395" w:type="dxa"/>
            <w:tcBorders>
              <w:bottom w:val="single" w:sz="6" w:space="0" w:color="000000"/>
              <w:right w:val="single" w:sz="6" w:space="0" w:color="000000"/>
            </w:tcBorders>
            <w:vAlign w:val="center"/>
          </w:tcPr>
          <w:p w14:paraId="26FD2700" w14:textId="77777777" w:rsidR="007D706A" w:rsidRDefault="007D706A" w:rsidP="00F70508">
            <w:pPr>
              <w:pStyle w:val="ParagraphStyle6"/>
              <w:rPr>
                <w:rStyle w:val="CharacterStyle6"/>
              </w:rPr>
            </w:pPr>
            <w:r>
              <w:rPr>
                <w:rStyle w:val="CharacterStyle6"/>
              </w:rPr>
              <w:t>27.000,00</w:t>
            </w:r>
          </w:p>
        </w:tc>
      </w:tr>
      <w:tr w:rsidR="007D706A" w14:paraId="79F4C39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D9D5753" w14:textId="77777777" w:rsidR="007D706A" w:rsidRDefault="007D706A" w:rsidP="00F70508">
            <w:pPr>
              <w:pStyle w:val="ParagraphStyle7"/>
              <w:rPr>
                <w:rStyle w:val="CharacterStyle7"/>
              </w:rPr>
            </w:pPr>
            <w:r>
              <w:rPr>
                <w:rStyle w:val="CharacterStyle7"/>
              </w:rPr>
              <w:t>Izvor financiranja 40</w:t>
            </w:r>
          </w:p>
        </w:tc>
        <w:tc>
          <w:tcPr>
            <w:tcW w:w="4995" w:type="dxa"/>
            <w:tcBorders>
              <w:bottom w:val="single" w:sz="6" w:space="0" w:color="000000"/>
              <w:right w:val="single" w:sz="6" w:space="0" w:color="000000"/>
            </w:tcBorders>
            <w:vAlign w:val="center"/>
          </w:tcPr>
          <w:p w14:paraId="482C0356" w14:textId="77777777" w:rsidR="007D706A" w:rsidRDefault="007D706A" w:rsidP="00F70508">
            <w:pPr>
              <w:pStyle w:val="ParagraphStyle8"/>
              <w:rPr>
                <w:rStyle w:val="CharacterStyle8"/>
              </w:rPr>
            </w:pPr>
            <w:r>
              <w:rPr>
                <w:rStyle w:val="CharacterStyle8"/>
              </w:rPr>
              <w:t>Prihodi od komunalne naknade i komunalnog doprinosa</w:t>
            </w:r>
          </w:p>
        </w:tc>
        <w:tc>
          <w:tcPr>
            <w:tcW w:w="1395" w:type="dxa"/>
            <w:tcBorders>
              <w:bottom w:val="single" w:sz="6" w:space="0" w:color="000000"/>
              <w:right w:val="single" w:sz="6" w:space="0" w:color="000000"/>
            </w:tcBorders>
            <w:vAlign w:val="center"/>
          </w:tcPr>
          <w:p w14:paraId="5B88E191"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D426406"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70406AE" w14:textId="77777777" w:rsidR="007D706A" w:rsidRDefault="007D706A" w:rsidP="00F70508">
            <w:pPr>
              <w:pStyle w:val="ParagraphStyle9"/>
              <w:rPr>
                <w:rStyle w:val="CharacterStyle9"/>
              </w:rPr>
            </w:pPr>
            <w:r>
              <w:rPr>
                <w:rStyle w:val="CharacterStyle9"/>
              </w:rPr>
              <w:t>27.000,00</w:t>
            </w:r>
          </w:p>
        </w:tc>
        <w:tc>
          <w:tcPr>
            <w:tcW w:w="1395" w:type="dxa"/>
            <w:tcBorders>
              <w:bottom w:val="single" w:sz="6" w:space="0" w:color="000000"/>
              <w:right w:val="single" w:sz="6" w:space="0" w:color="000000"/>
            </w:tcBorders>
            <w:vAlign w:val="center"/>
          </w:tcPr>
          <w:p w14:paraId="20812C83" w14:textId="77777777" w:rsidR="007D706A" w:rsidRDefault="007D706A" w:rsidP="00F70508">
            <w:pPr>
              <w:pStyle w:val="ParagraphStyle9"/>
              <w:rPr>
                <w:rStyle w:val="CharacterStyle9"/>
              </w:rPr>
            </w:pPr>
            <w:r>
              <w:rPr>
                <w:rStyle w:val="CharacterStyle9"/>
              </w:rPr>
              <w:t>27.000,00</w:t>
            </w:r>
          </w:p>
        </w:tc>
        <w:tc>
          <w:tcPr>
            <w:tcW w:w="1395" w:type="dxa"/>
            <w:tcBorders>
              <w:bottom w:val="single" w:sz="6" w:space="0" w:color="000000"/>
              <w:right w:val="single" w:sz="6" w:space="0" w:color="000000"/>
            </w:tcBorders>
            <w:vAlign w:val="center"/>
          </w:tcPr>
          <w:p w14:paraId="16955544" w14:textId="77777777" w:rsidR="007D706A" w:rsidRDefault="007D706A" w:rsidP="00F70508">
            <w:pPr>
              <w:pStyle w:val="ParagraphStyle9"/>
              <w:rPr>
                <w:rStyle w:val="CharacterStyle9"/>
              </w:rPr>
            </w:pPr>
            <w:r>
              <w:rPr>
                <w:rStyle w:val="CharacterStyle9"/>
              </w:rPr>
              <w:t>27.000,00</w:t>
            </w:r>
          </w:p>
        </w:tc>
      </w:tr>
      <w:tr w:rsidR="007D706A" w14:paraId="41CD7CC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E00EA19"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4421A45D"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59AB511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C538A6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BF11BC2" w14:textId="77777777" w:rsidR="007D706A" w:rsidRDefault="007D706A" w:rsidP="00F70508">
            <w:pPr>
              <w:pStyle w:val="ParagraphStyle12"/>
              <w:rPr>
                <w:rStyle w:val="CharacterStyle12"/>
              </w:rPr>
            </w:pPr>
            <w:r>
              <w:rPr>
                <w:rStyle w:val="CharacterStyle12"/>
              </w:rPr>
              <w:t>27.000,00</w:t>
            </w:r>
          </w:p>
        </w:tc>
        <w:tc>
          <w:tcPr>
            <w:tcW w:w="1395" w:type="dxa"/>
            <w:tcBorders>
              <w:bottom w:val="single" w:sz="6" w:space="0" w:color="000000"/>
              <w:right w:val="single" w:sz="6" w:space="0" w:color="000000"/>
            </w:tcBorders>
            <w:vAlign w:val="center"/>
          </w:tcPr>
          <w:p w14:paraId="7BC2BDDC" w14:textId="77777777" w:rsidR="007D706A" w:rsidRDefault="007D706A" w:rsidP="00F70508">
            <w:pPr>
              <w:pStyle w:val="ParagraphStyle12"/>
              <w:rPr>
                <w:rStyle w:val="CharacterStyle12"/>
              </w:rPr>
            </w:pPr>
            <w:r>
              <w:rPr>
                <w:rStyle w:val="CharacterStyle12"/>
              </w:rPr>
              <w:t>27.000,00</w:t>
            </w:r>
          </w:p>
        </w:tc>
        <w:tc>
          <w:tcPr>
            <w:tcW w:w="1395" w:type="dxa"/>
            <w:tcBorders>
              <w:bottom w:val="single" w:sz="6" w:space="0" w:color="000000"/>
              <w:right w:val="single" w:sz="6" w:space="0" w:color="000000"/>
            </w:tcBorders>
            <w:vAlign w:val="center"/>
          </w:tcPr>
          <w:p w14:paraId="78FA9FB3" w14:textId="77777777" w:rsidR="007D706A" w:rsidRDefault="007D706A" w:rsidP="00F70508">
            <w:pPr>
              <w:pStyle w:val="ParagraphStyle12"/>
              <w:rPr>
                <w:rStyle w:val="CharacterStyle12"/>
              </w:rPr>
            </w:pPr>
            <w:r>
              <w:rPr>
                <w:rStyle w:val="CharacterStyle12"/>
              </w:rPr>
              <w:t>27.000,00</w:t>
            </w:r>
          </w:p>
        </w:tc>
      </w:tr>
      <w:tr w:rsidR="007D706A" w14:paraId="092BC77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337D328"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0FAC4D3F"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601C27B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32C0F9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C5FD11A" w14:textId="77777777" w:rsidR="007D706A" w:rsidRDefault="007D706A" w:rsidP="00F70508">
            <w:pPr>
              <w:pStyle w:val="ParagraphStyle12"/>
              <w:rPr>
                <w:rStyle w:val="CharacterStyle12"/>
              </w:rPr>
            </w:pPr>
            <w:r>
              <w:rPr>
                <w:rStyle w:val="CharacterStyle12"/>
              </w:rPr>
              <w:t>27.000,00</w:t>
            </w:r>
          </w:p>
        </w:tc>
        <w:tc>
          <w:tcPr>
            <w:tcW w:w="1395" w:type="dxa"/>
            <w:tcBorders>
              <w:bottom w:val="single" w:sz="6" w:space="0" w:color="000000"/>
              <w:right w:val="single" w:sz="6" w:space="0" w:color="000000"/>
            </w:tcBorders>
            <w:vAlign w:val="center"/>
          </w:tcPr>
          <w:p w14:paraId="42E5AED5" w14:textId="77777777" w:rsidR="007D706A" w:rsidRDefault="007D706A" w:rsidP="00F70508">
            <w:pPr>
              <w:pStyle w:val="ParagraphStyle12"/>
              <w:rPr>
                <w:rStyle w:val="CharacterStyle12"/>
              </w:rPr>
            </w:pPr>
            <w:r>
              <w:rPr>
                <w:rStyle w:val="CharacterStyle12"/>
              </w:rPr>
              <w:t>27.000,00</w:t>
            </w:r>
          </w:p>
        </w:tc>
        <w:tc>
          <w:tcPr>
            <w:tcW w:w="1395" w:type="dxa"/>
            <w:tcBorders>
              <w:bottom w:val="single" w:sz="6" w:space="0" w:color="000000"/>
              <w:right w:val="single" w:sz="6" w:space="0" w:color="000000"/>
            </w:tcBorders>
            <w:vAlign w:val="center"/>
          </w:tcPr>
          <w:p w14:paraId="0070F9CC" w14:textId="77777777" w:rsidR="007D706A" w:rsidRDefault="007D706A" w:rsidP="00F70508">
            <w:pPr>
              <w:pStyle w:val="ParagraphStyle12"/>
              <w:rPr>
                <w:rStyle w:val="CharacterStyle12"/>
              </w:rPr>
            </w:pPr>
            <w:r>
              <w:rPr>
                <w:rStyle w:val="CharacterStyle12"/>
              </w:rPr>
              <w:t>27.000,00</w:t>
            </w:r>
          </w:p>
        </w:tc>
      </w:tr>
      <w:tr w:rsidR="007D706A" w14:paraId="265B17F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F9047EB" w14:textId="77777777" w:rsidR="007D706A" w:rsidRDefault="007D706A" w:rsidP="00F70508">
            <w:pPr>
              <w:pStyle w:val="ParagraphStyle7"/>
              <w:rPr>
                <w:rStyle w:val="CharacterStyle7"/>
              </w:rPr>
            </w:pPr>
            <w:r>
              <w:rPr>
                <w:rStyle w:val="CharacterStyle7"/>
              </w:rPr>
              <w:t>Izvor financiranja 41</w:t>
            </w:r>
          </w:p>
        </w:tc>
        <w:tc>
          <w:tcPr>
            <w:tcW w:w="4995" w:type="dxa"/>
            <w:tcBorders>
              <w:bottom w:val="single" w:sz="6" w:space="0" w:color="000000"/>
              <w:right w:val="single" w:sz="6" w:space="0" w:color="000000"/>
            </w:tcBorders>
            <w:vAlign w:val="center"/>
          </w:tcPr>
          <w:p w14:paraId="0D23FB59" w14:textId="77777777" w:rsidR="007D706A" w:rsidRDefault="007D706A" w:rsidP="00F70508">
            <w:pPr>
              <w:pStyle w:val="ParagraphStyle8"/>
              <w:rPr>
                <w:rStyle w:val="CharacterStyle8"/>
              </w:rPr>
            </w:pPr>
            <w:r>
              <w:rPr>
                <w:rStyle w:val="CharacterStyle8"/>
              </w:rPr>
              <w:t>Prihodi za posebne namjene</w:t>
            </w:r>
          </w:p>
        </w:tc>
        <w:tc>
          <w:tcPr>
            <w:tcW w:w="1395" w:type="dxa"/>
            <w:tcBorders>
              <w:bottom w:val="single" w:sz="6" w:space="0" w:color="000000"/>
              <w:right w:val="single" w:sz="6" w:space="0" w:color="000000"/>
            </w:tcBorders>
            <w:vAlign w:val="center"/>
          </w:tcPr>
          <w:p w14:paraId="386E2FAB"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6277EA5" w14:textId="77777777" w:rsidR="007D706A" w:rsidRDefault="007D706A" w:rsidP="00F70508">
            <w:pPr>
              <w:pStyle w:val="ParagraphStyle9"/>
              <w:rPr>
                <w:rStyle w:val="CharacterStyle9"/>
              </w:rPr>
            </w:pPr>
            <w:r>
              <w:rPr>
                <w:rStyle w:val="CharacterStyle9"/>
              </w:rPr>
              <w:t>26.545,00</w:t>
            </w:r>
          </w:p>
        </w:tc>
        <w:tc>
          <w:tcPr>
            <w:tcW w:w="1395" w:type="dxa"/>
            <w:tcBorders>
              <w:bottom w:val="single" w:sz="6" w:space="0" w:color="000000"/>
              <w:right w:val="single" w:sz="6" w:space="0" w:color="000000"/>
            </w:tcBorders>
            <w:vAlign w:val="center"/>
          </w:tcPr>
          <w:p w14:paraId="643283BD"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0F4D6FC"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BE8358C" w14:textId="77777777" w:rsidR="007D706A" w:rsidRDefault="007D706A" w:rsidP="00F70508">
            <w:pPr>
              <w:pStyle w:val="ParagraphStyle9"/>
              <w:rPr>
                <w:rStyle w:val="CharacterStyle9"/>
              </w:rPr>
            </w:pPr>
            <w:r>
              <w:rPr>
                <w:rStyle w:val="CharacterStyle9"/>
              </w:rPr>
              <w:t>0,00</w:t>
            </w:r>
          </w:p>
        </w:tc>
      </w:tr>
      <w:tr w:rsidR="007D706A" w14:paraId="571EB92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FB28D49"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4FE2F259"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50782F7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DC136EE" w14:textId="77777777" w:rsidR="007D706A" w:rsidRDefault="007D706A" w:rsidP="00F70508">
            <w:pPr>
              <w:pStyle w:val="ParagraphStyle12"/>
              <w:rPr>
                <w:rStyle w:val="CharacterStyle12"/>
              </w:rPr>
            </w:pPr>
            <w:r>
              <w:rPr>
                <w:rStyle w:val="CharacterStyle12"/>
              </w:rPr>
              <w:t>26.545,00</w:t>
            </w:r>
          </w:p>
        </w:tc>
        <w:tc>
          <w:tcPr>
            <w:tcW w:w="1395" w:type="dxa"/>
            <w:tcBorders>
              <w:bottom w:val="single" w:sz="6" w:space="0" w:color="000000"/>
              <w:right w:val="single" w:sz="6" w:space="0" w:color="000000"/>
            </w:tcBorders>
            <w:vAlign w:val="center"/>
          </w:tcPr>
          <w:p w14:paraId="68650E5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7E5180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AD84D69" w14:textId="77777777" w:rsidR="007D706A" w:rsidRDefault="007D706A" w:rsidP="00F70508">
            <w:pPr>
              <w:pStyle w:val="ParagraphStyle12"/>
              <w:rPr>
                <w:rStyle w:val="CharacterStyle12"/>
              </w:rPr>
            </w:pPr>
            <w:r>
              <w:rPr>
                <w:rStyle w:val="CharacterStyle12"/>
              </w:rPr>
              <w:t>0,00</w:t>
            </w:r>
          </w:p>
        </w:tc>
      </w:tr>
      <w:tr w:rsidR="007D706A" w14:paraId="6B90E24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0B2828F"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6B477CEA"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30901C7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3A0B3A9" w14:textId="77777777" w:rsidR="007D706A" w:rsidRDefault="007D706A" w:rsidP="00F70508">
            <w:pPr>
              <w:pStyle w:val="ParagraphStyle12"/>
              <w:rPr>
                <w:rStyle w:val="CharacterStyle12"/>
              </w:rPr>
            </w:pPr>
            <w:r>
              <w:rPr>
                <w:rStyle w:val="CharacterStyle12"/>
              </w:rPr>
              <w:t>26.545,00</w:t>
            </w:r>
          </w:p>
        </w:tc>
        <w:tc>
          <w:tcPr>
            <w:tcW w:w="1395" w:type="dxa"/>
            <w:tcBorders>
              <w:bottom w:val="single" w:sz="6" w:space="0" w:color="000000"/>
              <w:right w:val="single" w:sz="6" w:space="0" w:color="000000"/>
            </w:tcBorders>
            <w:vAlign w:val="center"/>
          </w:tcPr>
          <w:p w14:paraId="6719173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89D458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480C84C" w14:textId="77777777" w:rsidR="007D706A" w:rsidRDefault="007D706A" w:rsidP="00F70508">
            <w:pPr>
              <w:pStyle w:val="ParagraphStyle12"/>
              <w:rPr>
                <w:rStyle w:val="CharacterStyle12"/>
              </w:rPr>
            </w:pPr>
            <w:r>
              <w:rPr>
                <w:rStyle w:val="CharacterStyle12"/>
              </w:rPr>
              <w:t>0,00</w:t>
            </w:r>
          </w:p>
        </w:tc>
      </w:tr>
      <w:tr w:rsidR="007D706A" w14:paraId="0881663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04683E2" w14:textId="77777777" w:rsidR="007D706A" w:rsidRDefault="007D706A" w:rsidP="00F70508">
            <w:pPr>
              <w:pStyle w:val="ParagraphStyle4"/>
              <w:rPr>
                <w:rStyle w:val="CharacterStyle4"/>
              </w:rPr>
            </w:pPr>
            <w:r>
              <w:rPr>
                <w:rStyle w:val="CharacterStyle4"/>
              </w:rPr>
              <w:t>Aktivnost A102206</w:t>
            </w:r>
          </w:p>
        </w:tc>
        <w:tc>
          <w:tcPr>
            <w:tcW w:w="4995" w:type="dxa"/>
            <w:tcBorders>
              <w:bottom w:val="single" w:sz="6" w:space="0" w:color="000000"/>
              <w:right w:val="single" w:sz="6" w:space="0" w:color="000000"/>
            </w:tcBorders>
            <w:vAlign w:val="center"/>
          </w:tcPr>
          <w:p w14:paraId="1C3E3BC3" w14:textId="77777777" w:rsidR="007D706A" w:rsidRDefault="007D706A" w:rsidP="00F70508">
            <w:pPr>
              <w:pStyle w:val="ParagraphStyle5"/>
              <w:rPr>
                <w:rStyle w:val="CharacterStyle5"/>
              </w:rPr>
            </w:pPr>
            <w:r>
              <w:rPr>
                <w:rStyle w:val="CharacterStyle5"/>
              </w:rPr>
              <w:t>HORIZONTALNA SIGNALIZACIJA</w:t>
            </w:r>
          </w:p>
        </w:tc>
        <w:tc>
          <w:tcPr>
            <w:tcW w:w="1395" w:type="dxa"/>
            <w:tcBorders>
              <w:bottom w:val="single" w:sz="6" w:space="0" w:color="000000"/>
              <w:right w:val="single" w:sz="6" w:space="0" w:color="000000"/>
            </w:tcBorders>
            <w:vAlign w:val="center"/>
          </w:tcPr>
          <w:p w14:paraId="1A876655"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576D9116" w14:textId="77777777" w:rsidR="007D706A" w:rsidRDefault="007D706A" w:rsidP="00F70508">
            <w:pPr>
              <w:pStyle w:val="ParagraphStyle6"/>
              <w:rPr>
                <w:rStyle w:val="CharacterStyle6"/>
              </w:rPr>
            </w:pPr>
            <w:r>
              <w:rPr>
                <w:rStyle w:val="CharacterStyle6"/>
              </w:rPr>
              <w:t>70.050,00</w:t>
            </w:r>
          </w:p>
        </w:tc>
        <w:tc>
          <w:tcPr>
            <w:tcW w:w="1395" w:type="dxa"/>
            <w:tcBorders>
              <w:bottom w:val="single" w:sz="6" w:space="0" w:color="000000"/>
              <w:right w:val="single" w:sz="6" w:space="0" w:color="000000"/>
            </w:tcBorders>
            <w:vAlign w:val="center"/>
          </w:tcPr>
          <w:p w14:paraId="2163DA67" w14:textId="77777777" w:rsidR="007D706A" w:rsidRDefault="007D706A" w:rsidP="00F70508">
            <w:pPr>
              <w:pStyle w:val="ParagraphStyle6"/>
              <w:rPr>
                <w:rStyle w:val="CharacterStyle6"/>
              </w:rPr>
            </w:pPr>
            <w:r>
              <w:rPr>
                <w:rStyle w:val="CharacterStyle6"/>
              </w:rPr>
              <w:t>82.000,00</w:t>
            </w:r>
          </w:p>
        </w:tc>
        <w:tc>
          <w:tcPr>
            <w:tcW w:w="1395" w:type="dxa"/>
            <w:tcBorders>
              <w:bottom w:val="single" w:sz="6" w:space="0" w:color="000000"/>
              <w:right w:val="single" w:sz="6" w:space="0" w:color="000000"/>
            </w:tcBorders>
            <w:vAlign w:val="center"/>
          </w:tcPr>
          <w:p w14:paraId="0EBE59FE" w14:textId="77777777" w:rsidR="007D706A" w:rsidRDefault="007D706A" w:rsidP="00F70508">
            <w:pPr>
              <w:pStyle w:val="ParagraphStyle6"/>
              <w:rPr>
                <w:rStyle w:val="CharacterStyle6"/>
              </w:rPr>
            </w:pPr>
            <w:r>
              <w:rPr>
                <w:rStyle w:val="CharacterStyle6"/>
              </w:rPr>
              <w:t>82.000,00</w:t>
            </w:r>
          </w:p>
        </w:tc>
        <w:tc>
          <w:tcPr>
            <w:tcW w:w="1395" w:type="dxa"/>
            <w:tcBorders>
              <w:bottom w:val="single" w:sz="6" w:space="0" w:color="000000"/>
              <w:right w:val="single" w:sz="6" w:space="0" w:color="000000"/>
            </w:tcBorders>
            <w:vAlign w:val="center"/>
          </w:tcPr>
          <w:p w14:paraId="378F1E12" w14:textId="77777777" w:rsidR="007D706A" w:rsidRDefault="007D706A" w:rsidP="00F70508">
            <w:pPr>
              <w:pStyle w:val="ParagraphStyle6"/>
              <w:rPr>
                <w:rStyle w:val="CharacterStyle6"/>
              </w:rPr>
            </w:pPr>
            <w:r>
              <w:rPr>
                <w:rStyle w:val="CharacterStyle6"/>
              </w:rPr>
              <w:t>82.000,00</w:t>
            </w:r>
          </w:p>
        </w:tc>
      </w:tr>
      <w:tr w:rsidR="007D706A" w14:paraId="17E5202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73C19DC" w14:textId="77777777" w:rsidR="007D706A" w:rsidRDefault="007D706A" w:rsidP="00F70508">
            <w:pPr>
              <w:pStyle w:val="ParagraphStyle7"/>
              <w:rPr>
                <w:rStyle w:val="CharacterStyle7"/>
              </w:rPr>
            </w:pPr>
            <w:r>
              <w:rPr>
                <w:rStyle w:val="CharacterStyle7"/>
              </w:rPr>
              <w:t>Izvor financiranja 40</w:t>
            </w:r>
          </w:p>
        </w:tc>
        <w:tc>
          <w:tcPr>
            <w:tcW w:w="4995" w:type="dxa"/>
            <w:tcBorders>
              <w:bottom w:val="single" w:sz="6" w:space="0" w:color="000000"/>
              <w:right w:val="single" w:sz="6" w:space="0" w:color="000000"/>
            </w:tcBorders>
            <w:vAlign w:val="center"/>
          </w:tcPr>
          <w:p w14:paraId="07B8F5C0" w14:textId="77777777" w:rsidR="007D706A" w:rsidRDefault="007D706A" w:rsidP="00F70508">
            <w:pPr>
              <w:pStyle w:val="ParagraphStyle8"/>
              <w:rPr>
                <w:rStyle w:val="CharacterStyle8"/>
              </w:rPr>
            </w:pPr>
            <w:r>
              <w:rPr>
                <w:rStyle w:val="CharacterStyle8"/>
              </w:rPr>
              <w:t>Prihodi od komunalne naknade i komunalnog doprinosa</w:t>
            </w:r>
          </w:p>
        </w:tc>
        <w:tc>
          <w:tcPr>
            <w:tcW w:w="1395" w:type="dxa"/>
            <w:tcBorders>
              <w:bottom w:val="single" w:sz="6" w:space="0" w:color="000000"/>
              <w:right w:val="single" w:sz="6" w:space="0" w:color="000000"/>
            </w:tcBorders>
            <w:vAlign w:val="center"/>
          </w:tcPr>
          <w:p w14:paraId="5DB87EA5"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9DF6D1E"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B69BDF6" w14:textId="77777777" w:rsidR="007D706A" w:rsidRDefault="007D706A" w:rsidP="00F70508">
            <w:pPr>
              <w:pStyle w:val="ParagraphStyle9"/>
              <w:rPr>
                <w:rStyle w:val="CharacterStyle9"/>
              </w:rPr>
            </w:pPr>
            <w:r>
              <w:rPr>
                <w:rStyle w:val="CharacterStyle9"/>
              </w:rPr>
              <w:t>82.000,00</w:t>
            </w:r>
          </w:p>
        </w:tc>
        <w:tc>
          <w:tcPr>
            <w:tcW w:w="1395" w:type="dxa"/>
            <w:tcBorders>
              <w:bottom w:val="single" w:sz="6" w:space="0" w:color="000000"/>
              <w:right w:val="single" w:sz="6" w:space="0" w:color="000000"/>
            </w:tcBorders>
            <w:vAlign w:val="center"/>
          </w:tcPr>
          <w:p w14:paraId="02A96AB3" w14:textId="77777777" w:rsidR="007D706A" w:rsidRDefault="007D706A" w:rsidP="00F70508">
            <w:pPr>
              <w:pStyle w:val="ParagraphStyle9"/>
              <w:rPr>
                <w:rStyle w:val="CharacterStyle9"/>
              </w:rPr>
            </w:pPr>
            <w:r>
              <w:rPr>
                <w:rStyle w:val="CharacterStyle9"/>
              </w:rPr>
              <w:t>82.000,00</w:t>
            </w:r>
          </w:p>
        </w:tc>
        <w:tc>
          <w:tcPr>
            <w:tcW w:w="1395" w:type="dxa"/>
            <w:tcBorders>
              <w:bottom w:val="single" w:sz="6" w:space="0" w:color="000000"/>
              <w:right w:val="single" w:sz="6" w:space="0" w:color="000000"/>
            </w:tcBorders>
            <w:vAlign w:val="center"/>
          </w:tcPr>
          <w:p w14:paraId="386F10D2" w14:textId="77777777" w:rsidR="007D706A" w:rsidRDefault="007D706A" w:rsidP="00F70508">
            <w:pPr>
              <w:pStyle w:val="ParagraphStyle9"/>
              <w:rPr>
                <w:rStyle w:val="CharacterStyle9"/>
              </w:rPr>
            </w:pPr>
            <w:r>
              <w:rPr>
                <w:rStyle w:val="CharacterStyle9"/>
              </w:rPr>
              <w:t>82.000,00</w:t>
            </w:r>
          </w:p>
        </w:tc>
      </w:tr>
      <w:tr w:rsidR="007D706A" w14:paraId="30CCDB9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C107806"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2ED96CED"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6634856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7EEC14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D7A4444" w14:textId="77777777" w:rsidR="007D706A" w:rsidRDefault="007D706A" w:rsidP="00F70508">
            <w:pPr>
              <w:pStyle w:val="ParagraphStyle12"/>
              <w:rPr>
                <w:rStyle w:val="CharacterStyle12"/>
              </w:rPr>
            </w:pPr>
            <w:r>
              <w:rPr>
                <w:rStyle w:val="CharacterStyle12"/>
              </w:rPr>
              <w:t>82.000,00</w:t>
            </w:r>
          </w:p>
        </w:tc>
        <w:tc>
          <w:tcPr>
            <w:tcW w:w="1395" w:type="dxa"/>
            <w:tcBorders>
              <w:bottom w:val="single" w:sz="6" w:space="0" w:color="000000"/>
              <w:right w:val="single" w:sz="6" w:space="0" w:color="000000"/>
            </w:tcBorders>
            <w:vAlign w:val="center"/>
          </w:tcPr>
          <w:p w14:paraId="0699E5BC" w14:textId="77777777" w:rsidR="007D706A" w:rsidRDefault="007D706A" w:rsidP="00F70508">
            <w:pPr>
              <w:pStyle w:val="ParagraphStyle12"/>
              <w:rPr>
                <w:rStyle w:val="CharacterStyle12"/>
              </w:rPr>
            </w:pPr>
            <w:r>
              <w:rPr>
                <w:rStyle w:val="CharacterStyle12"/>
              </w:rPr>
              <w:t>82.000,00</w:t>
            </w:r>
          </w:p>
        </w:tc>
        <w:tc>
          <w:tcPr>
            <w:tcW w:w="1395" w:type="dxa"/>
            <w:tcBorders>
              <w:bottom w:val="single" w:sz="6" w:space="0" w:color="000000"/>
              <w:right w:val="single" w:sz="6" w:space="0" w:color="000000"/>
            </w:tcBorders>
            <w:vAlign w:val="center"/>
          </w:tcPr>
          <w:p w14:paraId="590F08AE" w14:textId="77777777" w:rsidR="007D706A" w:rsidRDefault="007D706A" w:rsidP="00F70508">
            <w:pPr>
              <w:pStyle w:val="ParagraphStyle12"/>
              <w:rPr>
                <w:rStyle w:val="CharacterStyle12"/>
              </w:rPr>
            </w:pPr>
            <w:r>
              <w:rPr>
                <w:rStyle w:val="CharacterStyle12"/>
              </w:rPr>
              <w:t>82.000,00</w:t>
            </w:r>
          </w:p>
        </w:tc>
      </w:tr>
      <w:tr w:rsidR="007D706A" w14:paraId="62294A4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E103A25"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0F936992"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2545CE7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20FAA6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E097AE7" w14:textId="77777777" w:rsidR="007D706A" w:rsidRDefault="007D706A" w:rsidP="00F70508">
            <w:pPr>
              <w:pStyle w:val="ParagraphStyle12"/>
              <w:rPr>
                <w:rStyle w:val="CharacterStyle12"/>
              </w:rPr>
            </w:pPr>
            <w:r>
              <w:rPr>
                <w:rStyle w:val="CharacterStyle12"/>
              </w:rPr>
              <w:t>82.000,00</w:t>
            </w:r>
          </w:p>
        </w:tc>
        <w:tc>
          <w:tcPr>
            <w:tcW w:w="1395" w:type="dxa"/>
            <w:tcBorders>
              <w:bottom w:val="single" w:sz="6" w:space="0" w:color="000000"/>
              <w:right w:val="single" w:sz="6" w:space="0" w:color="000000"/>
            </w:tcBorders>
            <w:vAlign w:val="center"/>
          </w:tcPr>
          <w:p w14:paraId="3CBCB3F5" w14:textId="77777777" w:rsidR="007D706A" w:rsidRDefault="007D706A" w:rsidP="00F70508">
            <w:pPr>
              <w:pStyle w:val="ParagraphStyle12"/>
              <w:rPr>
                <w:rStyle w:val="CharacterStyle12"/>
              </w:rPr>
            </w:pPr>
            <w:r>
              <w:rPr>
                <w:rStyle w:val="CharacterStyle12"/>
              </w:rPr>
              <w:t>82.000,00</w:t>
            </w:r>
          </w:p>
        </w:tc>
        <w:tc>
          <w:tcPr>
            <w:tcW w:w="1395" w:type="dxa"/>
            <w:tcBorders>
              <w:bottom w:val="single" w:sz="6" w:space="0" w:color="000000"/>
              <w:right w:val="single" w:sz="6" w:space="0" w:color="000000"/>
            </w:tcBorders>
            <w:vAlign w:val="center"/>
          </w:tcPr>
          <w:p w14:paraId="2E5085C9" w14:textId="77777777" w:rsidR="007D706A" w:rsidRDefault="007D706A" w:rsidP="00F70508">
            <w:pPr>
              <w:pStyle w:val="ParagraphStyle12"/>
              <w:rPr>
                <w:rStyle w:val="CharacterStyle12"/>
              </w:rPr>
            </w:pPr>
            <w:r>
              <w:rPr>
                <w:rStyle w:val="CharacterStyle12"/>
              </w:rPr>
              <w:t>82.000,00</w:t>
            </w:r>
          </w:p>
        </w:tc>
      </w:tr>
      <w:tr w:rsidR="007D706A" w14:paraId="63FD3A9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5148DD1" w14:textId="77777777" w:rsidR="007D706A" w:rsidRDefault="007D706A" w:rsidP="00F70508">
            <w:pPr>
              <w:pStyle w:val="ParagraphStyle7"/>
              <w:rPr>
                <w:rStyle w:val="CharacterStyle7"/>
              </w:rPr>
            </w:pPr>
            <w:r>
              <w:rPr>
                <w:rStyle w:val="CharacterStyle7"/>
              </w:rPr>
              <w:t>Izvor financiranja 41</w:t>
            </w:r>
          </w:p>
        </w:tc>
        <w:tc>
          <w:tcPr>
            <w:tcW w:w="4995" w:type="dxa"/>
            <w:tcBorders>
              <w:bottom w:val="single" w:sz="6" w:space="0" w:color="000000"/>
              <w:right w:val="single" w:sz="6" w:space="0" w:color="000000"/>
            </w:tcBorders>
            <w:vAlign w:val="center"/>
          </w:tcPr>
          <w:p w14:paraId="609171F3" w14:textId="77777777" w:rsidR="007D706A" w:rsidRDefault="007D706A" w:rsidP="00F70508">
            <w:pPr>
              <w:pStyle w:val="ParagraphStyle8"/>
              <w:rPr>
                <w:rStyle w:val="CharacterStyle8"/>
              </w:rPr>
            </w:pPr>
            <w:r>
              <w:rPr>
                <w:rStyle w:val="CharacterStyle8"/>
              </w:rPr>
              <w:t>Prihodi za posebne namjene</w:t>
            </w:r>
          </w:p>
        </w:tc>
        <w:tc>
          <w:tcPr>
            <w:tcW w:w="1395" w:type="dxa"/>
            <w:tcBorders>
              <w:bottom w:val="single" w:sz="6" w:space="0" w:color="000000"/>
              <w:right w:val="single" w:sz="6" w:space="0" w:color="000000"/>
            </w:tcBorders>
            <w:vAlign w:val="center"/>
          </w:tcPr>
          <w:p w14:paraId="46CD6E1D"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2062B85" w14:textId="77777777" w:rsidR="007D706A" w:rsidRDefault="007D706A" w:rsidP="00F70508">
            <w:pPr>
              <w:pStyle w:val="ParagraphStyle9"/>
              <w:rPr>
                <w:rStyle w:val="CharacterStyle9"/>
              </w:rPr>
            </w:pPr>
            <w:r>
              <w:rPr>
                <w:rStyle w:val="CharacterStyle9"/>
              </w:rPr>
              <w:t>70.050,00</w:t>
            </w:r>
          </w:p>
        </w:tc>
        <w:tc>
          <w:tcPr>
            <w:tcW w:w="1395" w:type="dxa"/>
            <w:tcBorders>
              <w:bottom w:val="single" w:sz="6" w:space="0" w:color="000000"/>
              <w:right w:val="single" w:sz="6" w:space="0" w:color="000000"/>
            </w:tcBorders>
            <w:vAlign w:val="center"/>
          </w:tcPr>
          <w:p w14:paraId="51C0771D"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FA67FA8"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17C2DFF" w14:textId="77777777" w:rsidR="007D706A" w:rsidRDefault="007D706A" w:rsidP="00F70508">
            <w:pPr>
              <w:pStyle w:val="ParagraphStyle9"/>
              <w:rPr>
                <w:rStyle w:val="CharacterStyle9"/>
              </w:rPr>
            </w:pPr>
            <w:r>
              <w:rPr>
                <w:rStyle w:val="CharacterStyle9"/>
              </w:rPr>
              <w:t>0,00</w:t>
            </w:r>
          </w:p>
        </w:tc>
      </w:tr>
      <w:tr w:rsidR="007D706A" w14:paraId="7FA91CB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4BCCFF4"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5A82801B"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5B797C0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E98DC4E" w14:textId="77777777" w:rsidR="007D706A" w:rsidRDefault="007D706A" w:rsidP="00F70508">
            <w:pPr>
              <w:pStyle w:val="ParagraphStyle12"/>
              <w:rPr>
                <w:rStyle w:val="CharacterStyle12"/>
              </w:rPr>
            </w:pPr>
            <w:r>
              <w:rPr>
                <w:rStyle w:val="CharacterStyle12"/>
              </w:rPr>
              <w:t>70.050,00</w:t>
            </w:r>
          </w:p>
        </w:tc>
        <w:tc>
          <w:tcPr>
            <w:tcW w:w="1395" w:type="dxa"/>
            <w:tcBorders>
              <w:bottom w:val="single" w:sz="6" w:space="0" w:color="000000"/>
              <w:right w:val="single" w:sz="6" w:space="0" w:color="000000"/>
            </w:tcBorders>
            <w:vAlign w:val="center"/>
          </w:tcPr>
          <w:p w14:paraId="2948978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0E9947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BF1A08C" w14:textId="77777777" w:rsidR="007D706A" w:rsidRDefault="007D706A" w:rsidP="00F70508">
            <w:pPr>
              <w:pStyle w:val="ParagraphStyle12"/>
              <w:rPr>
                <w:rStyle w:val="CharacterStyle12"/>
              </w:rPr>
            </w:pPr>
            <w:r>
              <w:rPr>
                <w:rStyle w:val="CharacterStyle12"/>
              </w:rPr>
              <w:t>0,00</w:t>
            </w:r>
          </w:p>
        </w:tc>
      </w:tr>
      <w:tr w:rsidR="007D706A" w14:paraId="1CED55F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5BF43B8"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659595F9"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36A7712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0AC12F9" w14:textId="77777777" w:rsidR="007D706A" w:rsidRDefault="007D706A" w:rsidP="00F70508">
            <w:pPr>
              <w:pStyle w:val="ParagraphStyle12"/>
              <w:rPr>
                <w:rStyle w:val="CharacterStyle12"/>
              </w:rPr>
            </w:pPr>
            <w:r>
              <w:rPr>
                <w:rStyle w:val="CharacterStyle12"/>
              </w:rPr>
              <w:t>70.050,00</w:t>
            </w:r>
          </w:p>
        </w:tc>
        <w:tc>
          <w:tcPr>
            <w:tcW w:w="1395" w:type="dxa"/>
            <w:tcBorders>
              <w:bottom w:val="single" w:sz="6" w:space="0" w:color="000000"/>
              <w:right w:val="single" w:sz="6" w:space="0" w:color="000000"/>
            </w:tcBorders>
            <w:vAlign w:val="center"/>
          </w:tcPr>
          <w:p w14:paraId="7460AA5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B734A7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0FD3529" w14:textId="77777777" w:rsidR="007D706A" w:rsidRDefault="007D706A" w:rsidP="00F70508">
            <w:pPr>
              <w:pStyle w:val="ParagraphStyle12"/>
              <w:rPr>
                <w:rStyle w:val="CharacterStyle12"/>
              </w:rPr>
            </w:pPr>
            <w:r>
              <w:rPr>
                <w:rStyle w:val="CharacterStyle12"/>
              </w:rPr>
              <w:t>0,00</w:t>
            </w:r>
          </w:p>
        </w:tc>
      </w:tr>
      <w:tr w:rsidR="007D706A" w14:paraId="7D2ED36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8089A8F" w14:textId="77777777" w:rsidR="007D706A" w:rsidRDefault="007D706A" w:rsidP="00F70508">
            <w:pPr>
              <w:pStyle w:val="ParagraphStyle4"/>
              <w:rPr>
                <w:rStyle w:val="CharacterStyle4"/>
              </w:rPr>
            </w:pPr>
            <w:r>
              <w:rPr>
                <w:rStyle w:val="CharacterStyle4"/>
              </w:rPr>
              <w:t>Tekući projekt T102201</w:t>
            </w:r>
          </w:p>
        </w:tc>
        <w:tc>
          <w:tcPr>
            <w:tcW w:w="4995" w:type="dxa"/>
            <w:tcBorders>
              <w:bottom w:val="single" w:sz="6" w:space="0" w:color="000000"/>
              <w:right w:val="single" w:sz="6" w:space="0" w:color="000000"/>
            </w:tcBorders>
            <w:vAlign w:val="center"/>
          </w:tcPr>
          <w:p w14:paraId="5D1E3D02" w14:textId="77777777" w:rsidR="007D706A" w:rsidRDefault="007D706A" w:rsidP="00F70508">
            <w:pPr>
              <w:pStyle w:val="ParagraphStyle5"/>
              <w:rPr>
                <w:rStyle w:val="CharacterStyle5"/>
              </w:rPr>
            </w:pPr>
            <w:r>
              <w:rPr>
                <w:rStyle w:val="CharacterStyle5"/>
              </w:rPr>
              <w:t>SANACIJA OPASNIH MJESTA</w:t>
            </w:r>
          </w:p>
        </w:tc>
        <w:tc>
          <w:tcPr>
            <w:tcW w:w="1395" w:type="dxa"/>
            <w:tcBorders>
              <w:bottom w:val="single" w:sz="6" w:space="0" w:color="000000"/>
              <w:right w:val="single" w:sz="6" w:space="0" w:color="000000"/>
            </w:tcBorders>
            <w:vAlign w:val="center"/>
          </w:tcPr>
          <w:p w14:paraId="6C17667E"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58C3D7C6" w14:textId="77777777" w:rsidR="007D706A" w:rsidRDefault="007D706A" w:rsidP="00F70508">
            <w:pPr>
              <w:pStyle w:val="ParagraphStyle6"/>
              <w:rPr>
                <w:rStyle w:val="CharacterStyle6"/>
              </w:rPr>
            </w:pPr>
            <w:r>
              <w:rPr>
                <w:rStyle w:val="CharacterStyle6"/>
              </w:rPr>
              <w:t>22.500,00</w:t>
            </w:r>
          </w:p>
        </w:tc>
        <w:tc>
          <w:tcPr>
            <w:tcW w:w="1395" w:type="dxa"/>
            <w:tcBorders>
              <w:bottom w:val="single" w:sz="6" w:space="0" w:color="000000"/>
              <w:right w:val="single" w:sz="6" w:space="0" w:color="000000"/>
            </w:tcBorders>
            <w:vAlign w:val="center"/>
          </w:tcPr>
          <w:p w14:paraId="6C39A543" w14:textId="77777777" w:rsidR="007D706A" w:rsidRDefault="007D706A" w:rsidP="00F70508">
            <w:pPr>
              <w:pStyle w:val="ParagraphStyle6"/>
              <w:rPr>
                <w:rStyle w:val="CharacterStyle6"/>
              </w:rPr>
            </w:pPr>
            <w:r>
              <w:rPr>
                <w:rStyle w:val="CharacterStyle6"/>
              </w:rPr>
              <w:t>10.500,00</w:t>
            </w:r>
          </w:p>
        </w:tc>
        <w:tc>
          <w:tcPr>
            <w:tcW w:w="1395" w:type="dxa"/>
            <w:tcBorders>
              <w:bottom w:val="single" w:sz="6" w:space="0" w:color="000000"/>
              <w:right w:val="single" w:sz="6" w:space="0" w:color="000000"/>
            </w:tcBorders>
            <w:vAlign w:val="center"/>
          </w:tcPr>
          <w:p w14:paraId="7A85EF7A" w14:textId="77777777" w:rsidR="007D706A" w:rsidRDefault="007D706A" w:rsidP="00F70508">
            <w:pPr>
              <w:pStyle w:val="ParagraphStyle6"/>
              <w:rPr>
                <w:rStyle w:val="CharacterStyle6"/>
              </w:rPr>
            </w:pPr>
            <w:r>
              <w:rPr>
                <w:rStyle w:val="CharacterStyle6"/>
              </w:rPr>
              <w:t>24.500,00</w:t>
            </w:r>
          </w:p>
        </w:tc>
        <w:tc>
          <w:tcPr>
            <w:tcW w:w="1395" w:type="dxa"/>
            <w:tcBorders>
              <w:bottom w:val="single" w:sz="6" w:space="0" w:color="000000"/>
              <w:right w:val="single" w:sz="6" w:space="0" w:color="000000"/>
            </w:tcBorders>
            <w:vAlign w:val="center"/>
          </w:tcPr>
          <w:p w14:paraId="7F410A23" w14:textId="77777777" w:rsidR="007D706A" w:rsidRDefault="007D706A" w:rsidP="00F70508">
            <w:pPr>
              <w:pStyle w:val="ParagraphStyle6"/>
              <w:rPr>
                <w:rStyle w:val="CharacterStyle6"/>
              </w:rPr>
            </w:pPr>
            <w:r>
              <w:rPr>
                <w:rStyle w:val="CharacterStyle6"/>
              </w:rPr>
              <w:t>24.500,00</w:t>
            </w:r>
          </w:p>
        </w:tc>
      </w:tr>
      <w:tr w:rsidR="007D706A" w14:paraId="01D259B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8720066"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18861004"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6A211D73"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373C73B"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BAEDEF9" w14:textId="77777777" w:rsidR="007D706A" w:rsidRDefault="007D706A" w:rsidP="00F70508">
            <w:pPr>
              <w:pStyle w:val="ParagraphStyle9"/>
              <w:rPr>
                <w:rStyle w:val="CharacterStyle9"/>
              </w:rPr>
            </w:pPr>
            <w:r>
              <w:rPr>
                <w:rStyle w:val="CharacterStyle9"/>
              </w:rPr>
              <w:t>10.500,00</w:t>
            </w:r>
          </w:p>
        </w:tc>
        <w:tc>
          <w:tcPr>
            <w:tcW w:w="1395" w:type="dxa"/>
            <w:tcBorders>
              <w:bottom w:val="single" w:sz="6" w:space="0" w:color="000000"/>
              <w:right w:val="single" w:sz="6" w:space="0" w:color="000000"/>
            </w:tcBorders>
            <w:vAlign w:val="center"/>
          </w:tcPr>
          <w:p w14:paraId="5EACEDAB" w14:textId="77777777" w:rsidR="007D706A" w:rsidRDefault="007D706A" w:rsidP="00F70508">
            <w:pPr>
              <w:pStyle w:val="ParagraphStyle9"/>
              <w:rPr>
                <w:rStyle w:val="CharacterStyle9"/>
              </w:rPr>
            </w:pPr>
            <w:r>
              <w:rPr>
                <w:rStyle w:val="CharacterStyle9"/>
              </w:rPr>
              <w:t>24.500,00</w:t>
            </w:r>
          </w:p>
        </w:tc>
        <w:tc>
          <w:tcPr>
            <w:tcW w:w="1395" w:type="dxa"/>
            <w:tcBorders>
              <w:bottom w:val="single" w:sz="6" w:space="0" w:color="000000"/>
              <w:right w:val="single" w:sz="6" w:space="0" w:color="000000"/>
            </w:tcBorders>
            <w:vAlign w:val="center"/>
          </w:tcPr>
          <w:p w14:paraId="2B269296" w14:textId="77777777" w:rsidR="007D706A" w:rsidRDefault="007D706A" w:rsidP="00F70508">
            <w:pPr>
              <w:pStyle w:val="ParagraphStyle9"/>
              <w:rPr>
                <w:rStyle w:val="CharacterStyle9"/>
              </w:rPr>
            </w:pPr>
            <w:r>
              <w:rPr>
                <w:rStyle w:val="CharacterStyle9"/>
              </w:rPr>
              <w:t>24.500,00</w:t>
            </w:r>
          </w:p>
        </w:tc>
      </w:tr>
      <w:tr w:rsidR="007D706A" w14:paraId="15A5247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DC77C91"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6902B964"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288F25B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6A5D48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2D67DED" w14:textId="77777777" w:rsidR="007D706A" w:rsidRDefault="007D706A" w:rsidP="00F70508">
            <w:pPr>
              <w:pStyle w:val="ParagraphStyle12"/>
              <w:rPr>
                <w:rStyle w:val="CharacterStyle12"/>
              </w:rPr>
            </w:pPr>
            <w:r>
              <w:rPr>
                <w:rStyle w:val="CharacterStyle12"/>
              </w:rPr>
              <w:t>10.500,00</w:t>
            </w:r>
          </w:p>
        </w:tc>
        <w:tc>
          <w:tcPr>
            <w:tcW w:w="1395" w:type="dxa"/>
            <w:tcBorders>
              <w:bottom w:val="single" w:sz="6" w:space="0" w:color="000000"/>
              <w:right w:val="single" w:sz="6" w:space="0" w:color="000000"/>
            </w:tcBorders>
            <w:vAlign w:val="center"/>
          </w:tcPr>
          <w:p w14:paraId="29A9F339" w14:textId="77777777" w:rsidR="007D706A" w:rsidRDefault="007D706A" w:rsidP="00F70508">
            <w:pPr>
              <w:pStyle w:val="ParagraphStyle12"/>
              <w:rPr>
                <w:rStyle w:val="CharacterStyle12"/>
              </w:rPr>
            </w:pPr>
            <w:r>
              <w:rPr>
                <w:rStyle w:val="CharacterStyle12"/>
              </w:rPr>
              <w:t>24.500,00</w:t>
            </w:r>
          </w:p>
        </w:tc>
        <w:tc>
          <w:tcPr>
            <w:tcW w:w="1395" w:type="dxa"/>
            <w:tcBorders>
              <w:bottom w:val="single" w:sz="6" w:space="0" w:color="000000"/>
              <w:right w:val="single" w:sz="6" w:space="0" w:color="000000"/>
            </w:tcBorders>
            <w:vAlign w:val="center"/>
          </w:tcPr>
          <w:p w14:paraId="77E48A93" w14:textId="77777777" w:rsidR="007D706A" w:rsidRDefault="007D706A" w:rsidP="00F70508">
            <w:pPr>
              <w:pStyle w:val="ParagraphStyle12"/>
              <w:rPr>
                <w:rStyle w:val="CharacterStyle12"/>
              </w:rPr>
            </w:pPr>
            <w:r>
              <w:rPr>
                <w:rStyle w:val="CharacterStyle12"/>
              </w:rPr>
              <w:t>24.500,00</w:t>
            </w:r>
          </w:p>
        </w:tc>
      </w:tr>
      <w:tr w:rsidR="007D706A" w14:paraId="37C9A68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B739A0D"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1CE9DBDC"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52A4599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60CF6E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A69C77A" w14:textId="77777777" w:rsidR="007D706A" w:rsidRDefault="007D706A" w:rsidP="00F70508">
            <w:pPr>
              <w:pStyle w:val="ParagraphStyle12"/>
              <w:rPr>
                <w:rStyle w:val="CharacterStyle12"/>
              </w:rPr>
            </w:pPr>
            <w:r>
              <w:rPr>
                <w:rStyle w:val="CharacterStyle12"/>
              </w:rPr>
              <w:t>10.500,00</w:t>
            </w:r>
          </w:p>
        </w:tc>
        <w:tc>
          <w:tcPr>
            <w:tcW w:w="1395" w:type="dxa"/>
            <w:tcBorders>
              <w:bottom w:val="single" w:sz="6" w:space="0" w:color="000000"/>
              <w:right w:val="single" w:sz="6" w:space="0" w:color="000000"/>
            </w:tcBorders>
            <w:vAlign w:val="center"/>
          </w:tcPr>
          <w:p w14:paraId="071663F2" w14:textId="77777777" w:rsidR="007D706A" w:rsidRDefault="007D706A" w:rsidP="00F70508">
            <w:pPr>
              <w:pStyle w:val="ParagraphStyle12"/>
              <w:rPr>
                <w:rStyle w:val="CharacterStyle12"/>
              </w:rPr>
            </w:pPr>
            <w:r>
              <w:rPr>
                <w:rStyle w:val="CharacterStyle12"/>
              </w:rPr>
              <w:t>24.500,00</w:t>
            </w:r>
          </w:p>
        </w:tc>
        <w:tc>
          <w:tcPr>
            <w:tcW w:w="1395" w:type="dxa"/>
            <w:tcBorders>
              <w:bottom w:val="single" w:sz="6" w:space="0" w:color="000000"/>
              <w:right w:val="single" w:sz="6" w:space="0" w:color="000000"/>
            </w:tcBorders>
            <w:vAlign w:val="center"/>
          </w:tcPr>
          <w:p w14:paraId="0104FF7A" w14:textId="77777777" w:rsidR="007D706A" w:rsidRDefault="007D706A" w:rsidP="00F70508">
            <w:pPr>
              <w:pStyle w:val="ParagraphStyle12"/>
              <w:rPr>
                <w:rStyle w:val="CharacterStyle12"/>
              </w:rPr>
            </w:pPr>
            <w:r>
              <w:rPr>
                <w:rStyle w:val="CharacterStyle12"/>
              </w:rPr>
              <w:t>24.500,00</w:t>
            </w:r>
          </w:p>
        </w:tc>
      </w:tr>
      <w:tr w:rsidR="007D706A" w14:paraId="67870F8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E05DC76" w14:textId="77777777" w:rsidR="007D706A" w:rsidRDefault="007D706A" w:rsidP="00F70508">
            <w:pPr>
              <w:pStyle w:val="ParagraphStyle7"/>
              <w:rPr>
                <w:rStyle w:val="CharacterStyle7"/>
              </w:rPr>
            </w:pPr>
            <w:r>
              <w:rPr>
                <w:rStyle w:val="CharacterStyle7"/>
              </w:rPr>
              <w:t>Izvor financiranja 53</w:t>
            </w:r>
          </w:p>
        </w:tc>
        <w:tc>
          <w:tcPr>
            <w:tcW w:w="4995" w:type="dxa"/>
            <w:tcBorders>
              <w:bottom w:val="single" w:sz="6" w:space="0" w:color="000000"/>
              <w:right w:val="single" w:sz="6" w:space="0" w:color="000000"/>
            </w:tcBorders>
            <w:vAlign w:val="center"/>
          </w:tcPr>
          <w:p w14:paraId="51E77D3F" w14:textId="77777777" w:rsidR="007D706A" w:rsidRDefault="007D706A" w:rsidP="00F70508">
            <w:pPr>
              <w:pStyle w:val="ParagraphStyle8"/>
              <w:rPr>
                <w:rStyle w:val="CharacterStyle8"/>
              </w:rPr>
            </w:pPr>
            <w:r>
              <w:rPr>
                <w:rStyle w:val="CharacterStyle8"/>
              </w:rPr>
              <w:t>Proračuni, drugi nivoi - za posebne i / ili ugovorene namjene</w:t>
            </w:r>
          </w:p>
        </w:tc>
        <w:tc>
          <w:tcPr>
            <w:tcW w:w="1395" w:type="dxa"/>
            <w:tcBorders>
              <w:bottom w:val="single" w:sz="6" w:space="0" w:color="000000"/>
              <w:right w:val="single" w:sz="6" w:space="0" w:color="000000"/>
            </w:tcBorders>
            <w:vAlign w:val="center"/>
          </w:tcPr>
          <w:p w14:paraId="38BCC6AF"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D1EF786" w14:textId="77777777" w:rsidR="007D706A" w:rsidRDefault="007D706A" w:rsidP="00F70508">
            <w:pPr>
              <w:pStyle w:val="ParagraphStyle9"/>
              <w:rPr>
                <w:rStyle w:val="CharacterStyle9"/>
              </w:rPr>
            </w:pPr>
            <w:r>
              <w:rPr>
                <w:rStyle w:val="CharacterStyle9"/>
              </w:rPr>
              <w:t>9.680,13</w:t>
            </w:r>
          </w:p>
        </w:tc>
        <w:tc>
          <w:tcPr>
            <w:tcW w:w="1395" w:type="dxa"/>
            <w:tcBorders>
              <w:bottom w:val="single" w:sz="6" w:space="0" w:color="000000"/>
              <w:right w:val="single" w:sz="6" w:space="0" w:color="000000"/>
            </w:tcBorders>
            <w:vAlign w:val="center"/>
          </w:tcPr>
          <w:p w14:paraId="680AA240"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AFF5188"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FE7B7E8" w14:textId="77777777" w:rsidR="007D706A" w:rsidRDefault="007D706A" w:rsidP="00F70508">
            <w:pPr>
              <w:pStyle w:val="ParagraphStyle9"/>
              <w:rPr>
                <w:rStyle w:val="CharacterStyle9"/>
              </w:rPr>
            </w:pPr>
            <w:r>
              <w:rPr>
                <w:rStyle w:val="CharacterStyle9"/>
              </w:rPr>
              <w:t>0,00</w:t>
            </w:r>
          </w:p>
        </w:tc>
      </w:tr>
      <w:tr w:rsidR="007D706A" w14:paraId="5587D2C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36B9C7D"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125F3736"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69D5D74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BAF9AC6" w14:textId="77777777" w:rsidR="007D706A" w:rsidRDefault="007D706A" w:rsidP="00F70508">
            <w:pPr>
              <w:pStyle w:val="ParagraphStyle12"/>
              <w:rPr>
                <w:rStyle w:val="CharacterStyle12"/>
              </w:rPr>
            </w:pPr>
            <w:r>
              <w:rPr>
                <w:rStyle w:val="CharacterStyle12"/>
              </w:rPr>
              <w:t>9.680,13</w:t>
            </w:r>
          </w:p>
        </w:tc>
        <w:tc>
          <w:tcPr>
            <w:tcW w:w="1395" w:type="dxa"/>
            <w:tcBorders>
              <w:bottom w:val="single" w:sz="6" w:space="0" w:color="000000"/>
              <w:right w:val="single" w:sz="6" w:space="0" w:color="000000"/>
            </w:tcBorders>
            <w:vAlign w:val="center"/>
          </w:tcPr>
          <w:p w14:paraId="2AD186A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328988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76F57CC" w14:textId="77777777" w:rsidR="007D706A" w:rsidRDefault="007D706A" w:rsidP="00F70508">
            <w:pPr>
              <w:pStyle w:val="ParagraphStyle12"/>
              <w:rPr>
                <w:rStyle w:val="CharacterStyle12"/>
              </w:rPr>
            </w:pPr>
            <w:r>
              <w:rPr>
                <w:rStyle w:val="CharacterStyle12"/>
              </w:rPr>
              <w:t>0,00</w:t>
            </w:r>
          </w:p>
        </w:tc>
      </w:tr>
      <w:tr w:rsidR="007D706A" w14:paraId="1CAAB82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6AEC3F5"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09A084C5"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6E12293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9C43743" w14:textId="77777777" w:rsidR="007D706A" w:rsidRDefault="007D706A" w:rsidP="00F70508">
            <w:pPr>
              <w:pStyle w:val="ParagraphStyle12"/>
              <w:rPr>
                <w:rStyle w:val="CharacterStyle12"/>
              </w:rPr>
            </w:pPr>
            <w:r>
              <w:rPr>
                <w:rStyle w:val="CharacterStyle12"/>
              </w:rPr>
              <w:t>9.680,13</w:t>
            </w:r>
          </w:p>
        </w:tc>
        <w:tc>
          <w:tcPr>
            <w:tcW w:w="1395" w:type="dxa"/>
            <w:tcBorders>
              <w:bottom w:val="single" w:sz="6" w:space="0" w:color="000000"/>
              <w:right w:val="single" w:sz="6" w:space="0" w:color="000000"/>
            </w:tcBorders>
            <w:vAlign w:val="center"/>
          </w:tcPr>
          <w:p w14:paraId="0788F12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B989A5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86603C1" w14:textId="77777777" w:rsidR="007D706A" w:rsidRDefault="007D706A" w:rsidP="00F70508">
            <w:pPr>
              <w:pStyle w:val="ParagraphStyle12"/>
              <w:rPr>
                <w:rStyle w:val="CharacterStyle12"/>
              </w:rPr>
            </w:pPr>
            <w:r>
              <w:rPr>
                <w:rStyle w:val="CharacterStyle12"/>
              </w:rPr>
              <w:t>0,00</w:t>
            </w:r>
          </w:p>
        </w:tc>
      </w:tr>
      <w:tr w:rsidR="007D706A" w14:paraId="4294DB3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C67EDCF" w14:textId="77777777" w:rsidR="007D706A" w:rsidRDefault="007D706A" w:rsidP="00F70508">
            <w:pPr>
              <w:pStyle w:val="ParagraphStyle7"/>
              <w:rPr>
                <w:rStyle w:val="CharacterStyle7"/>
              </w:rPr>
            </w:pPr>
            <w:r>
              <w:rPr>
                <w:rStyle w:val="CharacterStyle7"/>
              </w:rPr>
              <w:t>Izvor financiranja 82</w:t>
            </w:r>
          </w:p>
        </w:tc>
        <w:tc>
          <w:tcPr>
            <w:tcW w:w="4995" w:type="dxa"/>
            <w:tcBorders>
              <w:bottom w:val="single" w:sz="6" w:space="0" w:color="000000"/>
              <w:right w:val="single" w:sz="6" w:space="0" w:color="000000"/>
            </w:tcBorders>
            <w:vAlign w:val="center"/>
          </w:tcPr>
          <w:p w14:paraId="1A1B1424" w14:textId="77777777" w:rsidR="007D706A" w:rsidRDefault="007D706A" w:rsidP="00F70508">
            <w:pPr>
              <w:pStyle w:val="ParagraphStyle8"/>
              <w:rPr>
                <w:rStyle w:val="CharacterStyle8"/>
              </w:rPr>
            </w:pPr>
            <w:r>
              <w:rPr>
                <w:rStyle w:val="CharacterStyle8"/>
              </w:rPr>
              <w:t>Preneseni viškovi iz ranijih godina</w:t>
            </w:r>
          </w:p>
        </w:tc>
        <w:tc>
          <w:tcPr>
            <w:tcW w:w="1395" w:type="dxa"/>
            <w:tcBorders>
              <w:bottom w:val="single" w:sz="6" w:space="0" w:color="000000"/>
              <w:right w:val="single" w:sz="6" w:space="0" w:color="000000"/>
            </w:tcBorders>
            <w:vAlign w:val="center"/>
          </w:tcPr>
          <w:p w14:paraId="1BE058CF"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8BBCBBA" w14:textId="77777777" w:rsidR="007D706A" w:rsidRDefault="007D706A" w:rsidP="00F70508">
            <w:pPr>
              <w:pStyle w:val="ParagraphStyle9"/>
              <w:rPr>
                <w:rStyle w:val="CharacterStyle9"/>
              </w:rPr>
            </w:pPr>
            <w:r>
              <w:rPr>
                <w:rStyle w:val="CharacterStyle9"/>
              </w:rPr>
              <w:t>12.819,87</w:t>
            </w:r>
          </w:p>
        </w:tc>
        <w:tc>
          <w:tcPr>
            <w:tcW w:w="1395" w:type="dxa"/>
            <w:tcBorders>
              <w:bottom w:val="single" w:sz="6" w:space="0" w:color="000000"/>
              <w:right w:val="single" w:sz="6" w:space="0" w:color="000000"/>
            </w:tcBorders>
            <w:vAlign w:val="center"/>
          </w:tcPr>
          <w:p w14:paraId="27835FD6"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600503B"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512F02F" w14:textId="77777777" w:rsidR="007D706A" w:rsidRDefault="007D706A" w:rsidP="00F70508">
            <w:pPr>
              <w:pStyle w:val="ParagraphStyle9"/>
              <w:rPr>
                <w:rStyle w:val="CharacterStyle9"/>
              </w:rPr>
            </w:pPr>
            <w:r>
              <w:rPr>
                <w:rStyle w:val="CharacterStyle9"/>
              </w:rPr>
              <w:t>0,00</w:t>
            </w:r>
          </w:p>
        </w:tc>
      </w:tr>
      <w:tr w:rsidR="007D706A" w14:paraId="6B612B6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3AACA42"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2A1E3ACB"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64C2380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9ECBD9D" w14:textId="77777777" w:rsidR="007D706A" w:rsidRDefault="007D706A" w:rsidP="00F70508">
            <w:pPr>
              <w:pStyle w:val="ParagraphStyle12"/>
              <w:rPr>
                <w:rStyle w:val="CharacterStyle12"/>
              </w:rPr>
            </w:pPr>
            <w:r>
              <w:rPr>
                <w:rStyle w:val="CharacterStyle12"/>
              </w:rPr>
              <w:t>12.819,87</w:t>
            </w:r>
          </w:p>
        </w:tc>
        <w:tc>
          <w:tcPr>
            <w:tcW w:w="1395" w:type="dxa"/>
            <w:tcBorders>
              <w:bottom w:val="single" w:sz="6" w:space="0" w:color="000000"/>
              <w:right w:val="single" w:sz="6" w:space="0" w:color="000000"/>
            </w:tcBorders>
            <w:vAlign w:val="center"/>
          </w:tcPr>
          <w:p w14:paraId="5A32EBA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E883C2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B78FBCF" w14:textId="77777777" w:rsidR="007D706A" w:rsidRDefault="007D706A" w:rsidP="00F70508">
            <w:pPr>
              <w:pStyle w:val="ParagraphStyle12"/>
              <w:rPr>
                <w:rStyle w:val="CharacterStyle12"/>
              </w:rPr>
            </w:pPr>
            <w:r>
              <w:rPr>
                <w:rStyle w:val="CharacterStyle12"/>
              </w:rPr>
              <w:t>0,00</w:t>
            </w:r>
          </w:p>
        </w:tc>
      </w:tr>
      <w:tr w:rsidR="007D706A" w14:paraId="05CB568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9CB34B0"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53B0F9CF"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476C6B0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5534D9B" w14:textId="77777777" w:rsidR="007D706A" w:rsidRDefault="007D706A" w:rsidP="00F70508">
            <w:pPr>
              <w:pStyle w:val="ParagraphStyle12"/>
              <w:rPr>
                <w:rStyle w:val="CharacterStyle12"/>
              </w:rPr>
            </w:pPr>
            <w:r>
              <w:rPr>
                <w:rStyle w:val="CharacterStyle12"/>
              </w:rPr>
              <w:t>12.819,87</w:t>
            </w:r>
          </w:p>
        </w:tc>
        <w:tc>
          <w:tcPr>
            <w:tcW w:w="1395" w:type="dxa"/>
            <w:tcBorders>
              <w:bottom w:val="single" w:sz="6" w:space="0" w:color="000000"/>
              <w:right w:val="single" w:sz="6" w:space="0" w:color="000000"/>
            </w:tcBorders>
            <w:vAlign w:val="center"/>
          </w:tcPr>
          <w:p w14:paraId="07D4E72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DB4DE0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EB73724" w14:textId="77777777" w:rsidR="007D706A" w:rsidRDefault="007D706A" w:rsidP="00F70508">
            <w:pPr>
              <w:pStyle w:val="ParagraphStyle12"/>
              <w:rPr>
                <w:rStyle w:val="CharacterStyle12"/>
              </w:rPr>
            </w:pPr>
            <w:r>
              <w:rPr>
                <w:rStyle w:val="CharacterStyle12"/>
              </w:rPr>
              <w:t>0,00</w:t>
            </w:r>
          </w:p>
        </w:tc>
      </w:tr>
      <w:tr w:rsidR="007D706A" w14:paraId="491A0CE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4C3CCB7" w14:textId="77777777" w:rsidR="007D706A" w:rsidRDefault="007D706A" w:rsidP="00F70508">
            <w:pPr>
              <w:pStyle w:val="ParagraphStyle4"/>
              <w:rPr>
                <w:rStyle w:val="CharacterStyle4"/>
              </w:rPr>
            </w:pPr>
            <w:r>
              <w:rPr>
                <w:rStyle w:val="CharacterStyle4"/>
              </w:rPr>
              <w:t>PROGRAM    1023</w:t>
            </w:r>
          </w:p>
        </w:tc>
        <w:tc>
          <w:tcPr>
            <w:tcW w:w="4995" w:type="dxa"/>
            <w:tcBorders>
              <w:bottom w:val="single" w:sz="6" w:space="0" w:color="000000"/>
              <w:right w:val="single" w:sz="6" w:space="0" w:color="000000"/>
            </w:tcBorders>
            <w:vAlign w:val="center"/>
          </w:tcPr>
          <w:p w14:paraId="4691677D" w14:textId="77777777" w:rsidR="007D706A" w:rsidRDefault="007D706A" w:rsidP="00F70508">
            <w:pPr>
              <w:pStyle w:val="ParagraphStyle5"/>
              <w:rPr>
                <w:rStyle w:val="CharacterStyle5"/>
              </w:rPr>
            </w:pPr>
            <w:r>
              <w:rPr>
                <w:rStyle w:val="CharacterStyle5"/>
              </w:rPr>
              <w:t>OSTALE KOMUNALNE DJELATNOSTI</w:t>
            </w:r>
          </w:p>
        </w:tc>
        <w:tc>
          <w:tcPr>
            <w:tcW w:w="1395" w:type="dxa"/>
            <w:tcBorders>
              <w:bottom w:val="single" w:sz="6" w:space="0" w:color="000000"/>
              <w:right w:val="single" w:sz="6" w:space="0" w:color="000000"/>
            </w:tcBorders>
            <w:vAlign w:val="center"/>
          </w:tcPr>
          <w:p w14:paraId="533C0C89"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41B9D3B6" w14:textId="77777777" w:rsidR="007D706A" w:rsidRDefault="007D706A" w:rsidP="00F70508">
            <w:pPr>
              <w:pStyle w:val="ParagraphStyle6"/>
              <w:rPr>
                <w:rStyle w:val="CharacterStyle6"/>
              </w:rPr>
            </w:pPr>
            <w:r>
              <w:rPr>
                <w:rStyle w:val="CharacterStyle6"/>
              </w:rPr>
              <w:t>137.290,00</w:t>
            </w:r>
          </w:p>
        </w:tc>
        <w:tc>
          <w:tcPr>
            <w:tcW w:w="1395" w:type="dxa"/>
            <w:tcBorders>
              <w:bottom w:val="single" w:sz="6" w:space="0" w:color="000000"/>
              <w:right w:val="single" w:sz="6" w:space="0" w:color="000000"/>
            </w:tcBorders>
            <w:vAlign w:val="center"/>
          </w:tcPr>
          <w:p w14:paraId="10FBD532" w14:textId="77777777" w:rsidR="007D706A" w:rsidRDefault="007D706A" w:rsidP="00F70508">
            <w:pPr>
              <w:pStyle w:val="ParagraphStyle6"/>
              <w:rPr>
                <w:rStyle w:val="CharacterStyle6"/>
              </w:rPr>
            </w:pPr>
            <w:r>
              <w:rPr>
                <w:rStyle w:val="CharacterStyle6"/>
              </w:rPr>
              <w:t>144.730,00</w:t>
            </w:r>
          </w:p>
        </w:tc>
        <w:tc>
          <w:tcPr>
            <w:tcW w:w="1395" w:type="dxa"/>
            <w:tcBorders>
              <w:bottom w:val="single" w:sz="6" w:space="0" w:color="000000"/>
              <w:right w:val="single" w:sz="6" w:space="0" w:color="000000"/>
            </w:tcBorders>
            <w:vAlign w:val="center"/>
          </w:tcPr>
          <w:p w14:paraId="282E9E1B" w14:textId="77777777" w:rsidR="007D706A" w:rsidRDefault="007D706A" w:rsidP="00F70508">
            <w:pPr>
              <w:pStyle w:val="ParagraphStyle6"/>
              <w:rPr>
                <w:rStyle w:val="CharacterStyle6"/>
              </w:rPr>
            </w:pPr>
            <w:r>
              <w:rPr>
                <w:rStyle w:val="CharacterStyle6"/>
              </w:rPr>
              <w:t>150.730,00</w:t>
            </w:r>
          </w:p>
        </w:tc>
        <w:tc>
          <w:tcPr>
            <w:tcW w:w="1395" w:type="dxa"/>
            <w:tcBorders>
              <w:bottom w:val="single" w:sz="6" w:space="0" w:color="000000"/>
              <w:right w:val="single" w:sz="6" w:space="0" w:color="000000"/>
            </w:tcBorders>
            <w:vAlign w:val="center"/>
          </w:tcPr>
          <w:p w14:paraId="1F743B77" w14:textId="77777777" w:rsidR="007D706A" w:rsidRDefault="007D706A" w:rsidP="00F70508">
            <w:pPr>
              <w:pStyle w:val="ParagraphStyle6"/>
              <w:rPr>
                <w:rStyle w:val="CharacterStyle6"/>
              </w:rPr>
            </w:pPr>
            <w:r>
              <w:rPr>
                <w:rStyle w:val="CharacterStyle6"/>
              </w:rPr>
              <w:t>150.730,00</w:t>
            </w:r>
          </w:p>
        </w:tc>
      </w:tr>
      <w:tr w:rsidR="007D706A" w14:paraId="47FF4E0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76E27D5" w14:textId="77777777" w:rsidR="007D706A" w:rsidRDefault="007D706A" w:rsidP="00F70508">
            <w:pPr>
              <w:pStyle w:val="ParagraphStyle4"/>
              <w:rPr>
                <w:rStyle w:val="CharacterStyle4"/>
              </w:rPr>
            </w:pPr>
            <w:r>
              <w:rPr>
                <w:rStyle w:val="CharacterStyle4"/>
              </w:rPr>
              <w:t>Aktivnost A102301</w:t>
            </w:r>
          </w:p>
        </w:tc>
        <w:tc>
          <w:tcPr>
            <w:tcW w:w="4995" w:type="dxa"/>
            <w:tcBorders>
              <w:bottom w:val="single" w:sz="6" w:space="0" w:color="000000"/>
              <w:right w:val="single" w:sz="6" w:space="0" w:color="000000"/>
            </w:tcBorders>
            <w:vAlign w:val="center"/>
          </w:tcPr>
          <w:p w14:paraId="27FABA0C" w14:textId="77777777" w:rsidR="007D706A" w:rsidRDefault="007D706A" w:rsidP="00F70508">
            <w:pPr>
              <w:pStyle w:val="ParagraphStyle5"/>
              <w:rPr>
                <w:rStyle w:val="CharacterStyle5"/>
              </w:rPr>
            </w:pPr>
            <w:r>
              <w:rPr>
                <w:rStyle w:val="CharacterStyle5"/>
              </w:rPr>
              <w:t>HIGIJENIČARSKA SLUŽBA</w:t>
            </w:r>
          </w:p>
        </w:tc>
        <w:tc>
          <w:tcPr>
            <w:tcW w:w="1395" w:type="dxa"/>
            <w:tcBorders>
              <w:bottom w:val="single" w:sz="6" w:space="0" w:color="000000"/>
              <w:right w:val="single" w:sz="6" w:space="0" w:color="000000"/>
            </w:tcBorders>
            <w:vAlign w:val="center"/>
          </w:tcPr>
          <w:p w14:paraId="58C02384"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5E1F71E4" w14:textId="77777777" w:rsidR="007D706A" w:rsidRDefault="007D706A" w:rsidP="00F70508">
            <w:pPr>
              <w:pStyle w:val="ParagraphStyle6"/>
              <w:rPr>
                <w:rStyle w:val="CharacterStyle6"/>
              </w:rPr>
            </w:pPr>
            <w:r>
              <w:rPr>
                <w:rStyle w:val="CharacterStyle6"/>
              </w:rPr>
              <w:t>23.900,00</w:t>
            </w:r>
          </w:p>
        </w:tc>
        <w:tc>
          <w:tcPr>
            <w:tcW w:w="1395" w:type="dxa"/>
            <w:tcBorders>
              <w:bottom w:val="single" w:sz="6" w:space="0" w:color="000000"/>
              <w:right w:val="single" w:sz="6" w:space="0" w:color="000000"/>
            </w:tcBorders>
            <w:vAlign w:val="center"/>
          </w:tcPr>
          <w:p w14:paraId="77612A17" w14:textId="77777777" w:rsidR="007D706A" w:rsidRDefault="007D706A" w:rsidP="00F70508">
            <w:pPr>
              <w:pStyle w:val="ParagraphStyle6"/>
              <w:rPr>
                <w:rStyle w:val="CharacterStyle6"/>
              </w:rPr>
            </w:pPr>
            <w:r>
              <w:rPr>
                <w:rStyle w:val="CharacterStyle6"/>
              </w:rPr>
              <w:t>24.000,00</w:t>
            </w:r>
          </w:p>
        </w:tc>
        <w:tc>
          <w:tcPr>
            <w:tcW w:w="1395" w:type="dxa"/>
            <w:tcBorders>
              <w:bottom w:val="single" w:sz="6" w:space="0" w:color="000000"/>
              <w:right w:val="single" w:sz="6" w:space="0" w:color="000000"/>
            </w:tcBorders>
            <w:vAlign w:val="center"/>
          </w:tcPr>
          <w:p w14:paraId="6598B4A1" w14:textId="77777777" w:rsidR="007D706A" w:rsidRDefault="007D706A" w:rsidP="00F70508">
            <w:pPr>
              <w:pStyle w:val="ParagraphStyle6"/>
              <w:rPr>
                <w:rStyle w:val="CharacterStyle6"/>
              </w:rPr>
            </w:pPr>
            <w:r>
              <w:rPr>
                <w:rStyle w:val="CharacterStyle6"/>
              </w:rPr>
              <w:t>24.000,00</w:t>
            </w:r>
          </w:p>
        </w:tc>
        <w:tc>
          <w:tcPr>
            <w:tcW w:w="1395" w:type="dxa"/>
            <w:tcBorders>
              <w:bottom w:val="single" w:sz="6" w:space="0" w:color="000000"/>
              <w:right w:val="single" w:sz="6" w:space="0" w:color="000000"/>
            </w:tcBorders>
            <w:vAlign w:val="center"/>
          </w:tcPr>
          <w:p w14:paraId="2E56837E" w14:textId="77777777" w:rsidR="007D706A" w:rsidRDefault="007D706A" w:rsidP="00F70508">
            <w:pPr>
              <w:pStyle w:val="ParagraphStyle6"/>
              <w:rPr>
                <w:rStyle w:val="CharacterStyle6"/>
              </w:rPr>
            </w:pPr>
            <w:r>
              <w:rPr>
                <w:rStyle w:val="CharacterStyle6"/>
              </w:rPr>
              <w:t>24.000,00</w:t>
            </w:r>
          </w:p>
        </w:tc>
      </w:tr>
      <w:tr w:rsidR="007D706A" w14:paraId="10C46F8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861CA99" w14:textId="77777777" w:rsidR="007D706A" w:rsidRDefault="007D706A" w:rsidP="00F70508">
            <w:pPr>
              <w:pStyle w:val="ParagraphStyle7"/>
              <w:rPr>
                <w:rStyle w:val="CharacterStyle7"/>
              </w:rPr>
            </w:pPr>
            <w:r>
              <w:rPr>
                <w:rStyle w:val="CharacterStyle7"/>
              </w:rPr>
              <w:t>Izvor financiranja 40</w:t>
            </w:r>
          </w:p>
        </w:tc>
        <w:tc>
          <w:tcPr>
            <w:tcW w:w="4995" w:type="dxa"/>
            <w:tcBorders>
              <w:bottom w:val="single" w:sz="6" w:space="0" w:color="000000"/>
              <w:right w:val="single" w:sz="6" w:space="0" w:color="000000"/>
            </w:tcBorders>
            <w:vAlign w:val="center"/>
          </w:tcPr>
          <w:p w14:paraId="4AA617D0" w14:textId="77777777" w:rsidR="007D706A" w:rsidRDefault="007D706A" w:rsidP="00F70508">
            <w:pPr>
              <w:pStyle w:val="ParagraphStyle8"/>
              <w:rPr>
                <w:rStyle w:val="CharacterStyle8"/>
              </w:rPr>
            </w:pPr>
            <w:r>
              <w:rPr>
                <w:rStyle w:val="CharacterStyle8"/>
              </w:rPr>
              <w:t>Prihodi od komunalne naknade i komunalnog doprinosa</w:t>
            </w:r>
          </w:p>
        </w:tc>
        <w:tc>
          <w:tcPr>
            <w:tcW w:w="1395" w:type="dxa"/>
            <w:tcBorders>
              <w:bottom w:val="single" w:sz="6" w:space="0" w:color="000000"/>
              <w:right w:val="single" w:sz="6" w:space="0" w:color="000000"/>
            </w:tcBorders>
            <w:vAlign w:val="center"/>
          </w:tcPr>
          <w:p w14:paraId="60EC644C"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7D09A5D"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8BECB0F" w14:textId="77777777" w:rsidR="007D706A" w:rsidRDefault="007D706A" w:rsidP="00F70508">
            <w:pPr>
              <w:pStyle w:val="ParagraphStyle9"/>
              <w:rPr>
                <w:rStyle w:val="CharacterStyle9"/>
              </w:rPr>
            </w:pPr>
            <w:r>
              <w:rPr>
                <w:rStyle w:val="CharacterStyle9"/>
              </w:rPr>
              <w:t>24.000,00</w:t>
            </w:r>
          </w:p>
        </w:tc>
        <w:tc>
          <w:tcPr>
            <w:tcW w:w="1395" w:type="dxa"/>
            <w:tcBorders>
              <w:bottom w:val="single" w:sz="6" w:space="0" w:color="000000"/>
              <w:right w:val="single" w:sz="6" w:space="0" w:color="000000"/>
            </w:tcBorders>
            <w:vAlign w:val="center"/>
          </w:tcPr>
          <w:p w14:paraId="5A80E028" w14:textId="77777777" w:rsidR="007D706A" w:rsidRDefault="007D706A" w:rsidP="00F70508">
            <w:pPr>
              <w:pStyle w:val="ParagraphStyle9"/>
              <w:rPr>
                <w:rStyle w:val="CharacterStyle9"/>
              </w:rPr>
            </w:pPr>
            <w:r>
              <w:rPr>
                <w:rStyle w:val="CharacterStyle9"/>
              </w:rPr>
              <w:t>24.000,00</w:t>
            </w:r>
          </w:p>
        </w:tc>
        <w:tc>
          <w:tcPr>
            <w:tcW w:w="1395" w:type="dxa"/>
            <w:tcBorders>
              <w:bottom w:val="single" w:sz="6" w:space="0" w:color="000000"/>
              <w:right w:val="single" w:sz="6" w:space="0" w:color="000000"/>
            </w:tcBorders>
            <w:vAlign w:val="center"/>
          </w:tcPr>
          <w:p w14:paraId="1D2432FA" w14:textId="77777777" w:rsidR="007D706A" w:rsidRDefault="007D706A" w:rsidP="00F70508">
            <w:pPr>
              <w:pStyle w:val="ParagraphStyle9"/>
              <w:rPr>
                <w:rStyle w:val="CharacterStyle9"/>
              </w:rPr>
            </w:pPr>
            <w:r>
              <w:rPr>
                <w:rStyle w:val="CharacterStyle9"/>
              </w:rPr>
              <w:t>24.000,00</w:t>
            </w:r>
          </w:p>
        </w:tc>
      </w:tr>
      <w:tr w:rsidR="007D706A" w14:paraId="2EC9C0D6"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AF62A56" w14:textId="77777777" w:rsidR="007D706A" w:rsidRDefault="007D706A" w:rsidP="00F70508">
            <w:pPr>
              <w:pStyle w:val="ParagraphStyle10"/>
              <w:rPr>
                <w:rStyle w:val="CharacterStyle10"/>
              </w:rPr>
            </w:pPr>
            <w:r>
              <w:rPr>
                <w:rStyle w:val="CharacterStyle10"/>
              </w:rPr>
              <w:lastRenderedPageBreak/>
              <w:t>4</w:t>
            </w:r>
          </w:p>
        </w:tc>
        <w:tc>
          <w:tcPr>
            <w:tcW w:w="4995" w:type="dxa"/>
            <w:tcBorders>
              <w:bottom w:val="single" w:sz="6" w:space="0" w:color="000000"/>
              <w:right w:val="single" w:sz="6" w:space="0" w:color="000000"/>
            </w:tcBorders>
            <w:vAlign w:val="center"/>
          </w:tcPr>
          <w:p w14:paraId="30C2FEDC"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43B7FAB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41917B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1AEAE67" w14:textId="77777777" w:rsidR="007D706A" w:rsidRDefault="007D706A" w:rsidP="00F70508">
            <w:pPr>
              <w:pStyle w:val="ParagraphStyle12"/>
              <w:rPr>
                <w:rStyle w:val="CharacterStyle12"/>
              </w:rPr>
            </w:pPr>
            <w:r>
              <w:rPr>
                <w:rStyle w:val="CharacterStyle12"/>
              </w:rPr>
              <w:t>24.000,00</w:t>
            </w:r>
          </w:p>
        </w:tc>
        <w:tc>
          <w:tcPr>
            <w:tcW w:w="1395" w:type="dxa"/>
            <w:tcBorders>
              <w:bottom w:val="single" w:sz="6" w:space="0" w:color="000000"/>
              <w:right w:val="single" w:sz="6" w:space="0" w:color="000000"/>
            </w:tcBorders>
            <w:vAlign w:val="center"/>
          </w:tcPr>
          <w:p w14:paraId="35657BBD" w14:textId="77777777" w:rsidR="007D706A" w:rsidRDefault="007D706A" w:rsidP="00F70508">
            <w:pPr>
              <w:pStyle w:val="ParagraphStyle12"/>
              <w:rPr>
                <w:rStyle w:val="CharacterStyle12"/>
              </w:rPr>
            </w:pPr>
            <w:r>
              <w:rPr>
                <w:rStyle w:val="CharacterStyle12"/>
              </w:rPr>
              <w:t>24.000,00</w:t>
            </w:r>
          </w:p>
        </w:tc>
        <w:tc>
          <w:tcPr>
            <w:tcW w:w="1395" w:type="dxa"/>
            <w:tcBorders>
              <w:bottom w:val="single" w:sz="6" w:space="0" w:color="000000"/>
              <w:right w:val="single" w:sz="6" w:space="0" w:color="000000"/>
            </w:tcBorders>
            <w:vAlign w:val="center"/>
          </w:tcPr>
          <w:p w14:paraId="1148BEBB" w14:textId="77777777" w:rsidR="007D706A" w:rsidRDefault="007D706A" w:rsidP="00F70508">
            <w:pPr>
              <w:pStyle w:val="ParagraphStyle12"/>
              <w:rPr>
                <w:rStyle w:val="CharacterStyle12"/>
              </w:rPr>
            </w:pPr>
            <w:r>
              <w:rPr>
                <w:rStyle w:val="CharacterStyle12"/>
              </w:rPr>
              <w:t>24.000,00</w:t>
            </w:r>
          </w:p>
        </w:tc>
      </w:tr>
      <w:tr w:rsidR="007D706A" w14:paraId="141C156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CF78E5D" w14:textId="77777777" w:rsidR="007D706A" w:rsidRDefault="007D706A" w:rsidP="00F70508">
            <w:pPr>
              <w:pStyle w:val="ParagraphStyle10"/>
              <w:rPr>
                <w:rStyle w:val="CharacterStyle10"/>
              </w:rPr>
            </w:pPr>
            <w:r>
              <w:rPr>
                <w:rStyle w:val="CharacterStyle10"/>
              </w:rPr>
              <w:t>42</w:t>
            </w:r>
          </w:p>
        </w:tc>
        <w:tc>
          <w:tcPr>
            <w:tcW w:w="4995" w:type="dxa"/>
            <w:tcBorders>
              <w:bottom w:val="single" w:sz="6" w:space="0" w:color="000000"/>
              <w:right w:val="single" w:sz="6" w:space="0" w:color="000000"/>
            </w:tcBorders>
            <w:vAlign w:val="center"/>
          </w:tcPr>
          <w:p w14:paraId="101D373E"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4BDCF48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69CCE6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8A83C6E" w14:textId="77777777" w:rsidR="007D706A" w:rsidRDefault="007D706A" w:rsidP="00F70508">
            <w:pPr>
              <w:pStyle w:val="ParagraphStyle12"/>
              <w:rPr>
                <w:rStyle w:val="CharacterStyle12"/>
              </w:rPr>
            </w:pPr>
            <w:r>
              <w:rPr>
                <w:rStyle w:val="CharacterStyle12"/>
              </w:rPr>
              <w:t>24.000,00</w:t>
            </w:r>
          </w:p>
        </w:tc>
        <w:tc>
          <w:tcPr>
            <w:tcW w:w="1395" w:type="dxa"/>
            <w:tcBorders>
              <w:bottom w:val="single" w:sz="6" w:space="0" w:color="000000"/>
              <w:right w:val="single" w:sz="6" w:space="0" w:color="000000"/>
            </w:tcBorders>
            <w:vAlign w:val="center"/>
          </w:tcPr>
          <w:p w14:paraId="69234C82" w14:textId="77777777" w:rsidR="007D706A" w:rsidRDefault="007D706A" w:rsidP="00F70508">
            <w:pPr>
              <w:pStyle w:val="ParagraphStyle12"/>
              <w:rPr>
                <w:rStyle w:val="CharacterStyle12"/>
              </w:rPr>
            </w:pPr>
            <w:r>
              <w:rPr>
                <w:rStyle w:val="CharacterStyle12"/>
              </w:rPr>
              <w:t>24.000,00</w:t>
            </w:r>
          </w:p>
        </w:tc>
        <w:tc>
          <w:tcPr>
            <w:tcW w:w="1395" w:type="dxa"/>
            <w:tcBorders>
              <w:bottom w:val="single" w:sz="6" w:space="0" w:color="000000"/>
              <w:right w:val="single" w:sz="6" w:space="0" w:color="000000"/>
            </w:tcBorders>
            <w:vAlign w:val="center"/>
          </w:tcPr>
          <w:p w14:paraId="0A3AFD82" w14:textId="77777777" w:rsidR="007D706A" w:rsidRDefault="007D706A" w:rsidP="00F70508">
            <w:pPr>
              <w:pStyle w:val="ParagraphStyle12"/>
              <w:rPr>
                <w:rStyle w:val="CharacterStyle12"/>
              </w:rPr>
            </w:pPr>
            <w:r>
              <w:rPr>
                <w:rStyle w:val="CharacterStyle12"/>
              </w:rPr>
              <w:t>24.000,00</w:t>
            </w:r>
          </w:p>
        </w:tc>
      </w:tr>
      <w:tr w:rsidR="007D706A" w14:paraId="5E09B8E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46D0A13" w14:textId="77777777" w:rsidR="007D706A" w:rsidRDefault="007D706A" w:rsidP="00F70508">
            <w:pPr>
              <w:pStyle w:val="ParagraphStyle7"/>
              <w:rPr>
                <w:rStyle w:val="CharacterStyle7"/>
              </w:rPr>
            </w:pPr>
            <w:r>
              <w:rPr>
                <w:rStyle w:val="CharacterStyle7"/>
              </w:rPr>
              <w:t>Izvor financiranja 41</w:t>
            </w:r>
          </w:p>
        </w:tc>
        <w:tc>
          <w:tcPr>
            <w:tcW w:w="4995" w:type="dxa"/>
            <w:tcBorders>
              <w:bottom w:val="single" w:sz="6" w:space="0" w:color="000000"/>
              <w:right w:val="single" w:sz="6" w:space="0" w:color="000000"/>
            </w:tcBorders>
            <w:vAlign w:val="center"/>
          </w:tcPr>
          <w:p w14:paraId="36283A98" w14:textId="77777777" w:rsidR="007D706A" w:rsidRDefault="007D706A" w:rsidP="00F70508">
            <w:pPr>
              <w:pStyle w:val="ParagraphStyle8"/>
              <w:rPr>
                <w:rStyle w:val="CharacterStyle8"/>
              </w:rPr>
            </w:pPr>
            <w:r>
              <w:rPr>
                <w:rStyle w:val="CharacterStyle8"/>
              </w:rPr>
              <w:t>Prihodi za posebne namjene</w:t>
            </w:r>
          </w:p>
        </w:tc>
        <w:tc>
          <w:tcPr>
            <w:tcW w:w="1395" w:type="dxa"/>
            <w:tcBorders>
              <w:bottom w:val="single" w:sz="6" w:space="0" w:color="000000"/>
              <w:right w:val="single" w:sz="6" w:space="0" w:color="000000"/>
            </w:tcBorders>
            <w:vAlign w:val="center"/>
          </w:tcPr>
          <w:p w14:paraId="405C9BD5"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BD30036" w14:textId="77777777" w:rsidR="007D706A" w:rsidRDefault="007D706A" w:rsidP="00F70508">
            <w:pPr>
              <w:pStyle w:val="ParagraphStyle9"/>
              <w:rPr>
                <w:rStyle w:val="CharacterStyle9"/>
              </w:rPr>
            </w:pPr>
            <w:r>
              <w:rPr>
                <w:rStyle w:val="CharacterStyle9"/>
              </w:rPr>
              <w:t>23.900,00</w:t>
            </w:r>
          </w:p>
        </w:tc>
        <w:tc>
          <w:tcPr>
            <w:tcW w:w="1395" w:type="dxa"/>
            <w:tcBorders>
              <w:bottom w:val="single" w:sz="6" w:space="0" w:color="000000"/>
              <w:right w:val="single" w:sz="6" w:space="0" w:color="000000"/>
            </w:tcBorders>
            <w:vAlign w:val="center"/>
          </w:tcPr>
          <w:p w14:paraId="28BBFC8C"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ED45409"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2A8BA8E" w14:textId="77777777" w:rsidR="007D706A" w:rsidRDefault="007D706A" w:rsidP="00F70508">
            <w:pPr>
              <w:pStyle w:val="ParagraphStyle9"/>
              <w:rPr>
                <w:rStyle w:val="CharacterStyle9"/>
              </w:rPr>
            </w:pPr>
            <w:r>
              <w:rPr>
                <w:rStyle w:val="CharacterStyle9"/>
              </w:rPr>
              <w:t>0,00</w:t>
            </w:r>
          </w:p>
        </w:tc>
      </w:tr>
      <w:tr w:rsidR="007D706A" w14:paraId="47EB1B3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60704D4"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46511879"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3024C38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D6E0FA0" w14:textId="77777777" w:rsidR="007D706A" w:rsidRDefault="007D706A" w:rsidP="00F70508">
            <w:pPr>
              <w:pStyle w:val="ParagraphStyle12"/>
              <w:rPr>
                <w:rStyle w:val="CharacterStyle12"/>
              </w:rPr>
            </w:pPr>
            <w:r>
              <w:rPr>
                <w:rStyle w:val="CharacterStyle12"/>
              </w:rPr>
              <w:t>23.900,00</w:t>
            </w:r>
          </w:p>
        </w:tc>
        <w:tc>
          <w:tcPr>
            <w:tcW w:w="1395" w:type="dxa"/>
            <w:tcBorders>
              <w:bottom w:val="single" w:sz="6" w:space="0" w:color="000000"/>
              <w:right w:val="single" w:sz="6" w:space="0" w:color="000000"/>
            </w:tcBorders>
            <w:vAlign w:val="center"/>
          </w:tcPr>
          <w:p w14:paraId="525A311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919E92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212D7BC" w14:textId="77777777" w:rsidR="007D706A" w:rsidRDefault="007D706A" w:rsidP="00F70508">
            <w:pPr>
              <w:pStyle w:val="ParagraphStyle12"/>
              <w:rPr>
                <w:rStyle w:val="CharacterStyle12"/>
              </w:rPr>
            </w:pPr>
            <w:r>
              <w:rPr>
                <w:rStyle w:val="CharacterStyle12"/>
              </w:rPr>
              <w:t>0,00</w:t>
            </w:r>
          </w:p>
        </w:tc>
      </w:tr>
      <w:tr w:rsidR="007D706A" w14:paraId="4A60396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17FF79B"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454ABAFE"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5EF4794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3DCFB1F" w14:textId="77777777" w:rsidR="007D706A" w:rsidRDefault="007D706A" w:rsidP="00F70508">
            <w:pPr>
              <w:pStyle w:val="ParagraphStyle12"/>
              <w:rPr>
                <w:rStyle w:val="CharacterStyle12"/>
              </w:rPr>
            </w:pPr>
            <w:r>
              <w:rPr>
                <w:rStyle w:val="CharacterStyle12"/>
              </w:rPr>
              <w:t>23.900,00</w:t>
            </w:r>
          </w:p>
        </w:tc>
        <w:tc>
          <w:tcPr>
            <w:tcW w:w="1395" w:type="dxa"/>
            <w:tcBorders>
              <w:bottom w:val="single" w:sz="6" w:space="0" w:color="000000"/>
              <w:right w:val="single" w:sz="6" w:space="0" w:color="000000"/>
            </w:tcBorders>
            <w:vAlign w:val="center"/>
          </w:tcPr>
          <w:p w14:paraId="2F9AB0C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C7D687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21D555A" w14:textId="77777777" w:rsidR="007D706A" w:rsidRDefault="007D706A" w:rsidP="00F70508">
            <w:pPr>
              <w:pStyle w:val="ParagraphStyle12"/>
              <w:rPr>
                <w:rStyle w:val="CharacterStyle12"/>
              </w:rPr>
            </w:pPr>
            <w:r>
              <w:rPr>
                <w:rStyle w:val="CharacterStyle12"/>
              </w:rPr>
              <w:t>0,00</w:t>
            </w:r>
          </w:p>
        </w:tc>
      </w:tr>
      <w:tr w:rsidR="007D706A" w14:paraId="2A227A46"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8873135" w14:textId="77777777" w:rsidR="007D706A" w:rsidRDefault="007D706A" w:rsidP="00F70508">
            <w:pPr>
              <w:pStyle w:val="ParagraphStyle4"/>
              <w:rPr>
                <w:rStyle w:val="CharacterStyle4"/>
              </w:rPr>
            </w:pPr>
            <w:r>
              <w:rPr>
                <w:rStyle w:val="CharacterStyle4"/>
              </w:rPr>
              <w:t>Aktivnost A102302</w:t>
            </w:r>
          </w:p>
        </w:tc>
        <w:tc>
          <w:tcPr>
            <w:tcW w:w="4995" w:type="dxa"/>
            <w:tcBorders>
              <w:bottom w:val="single" w:sz="6" w:space="0" w:color="000000"/>
              <w:right w:val="single" w:sz="6" w:space="0" w:color="000000"/>
            </w:tcBorders>
            <w:vAlign w:val="center"/>
          </w:tcPr>
          <w:p w14:paraId="2577A3B5" w14:textId="77777777" w:rsidR="007D706A" w:rsidRDefault="007D706A" w:rsidP="00F70508">
            <w:pPr>
              <w:pStyle w:val="ParagraphStyle5"/>
              <w:rPr>
                <w:rStyle w:val="CharacterStyle5"/>
              </w:rPr>
            </w:pPr>
            <w:r>
              <w:rPr>
                <w:rStyle w:val="CharacterStyle5"/>
              </w:rPr>
              <w:t>ČUVANJE NAPUŠTENIH I IZGUBLJENIH ŽIVOTINJA</w:t>
            </w:r>
          </w:p>
        </w:tc>
        <w:tc>
          <w:tcPr>
            <w:tcW w:w="1395" w:type="dxa"/>
            <w:tcBorders>
              <w:bottom w:val="single" w:sz="6" w:space="0" w:color="000000"/>
              <w:right w:val="single" w:sz="6" w:space="0" w:color="000000"/>
            </w:tcBorders>
            <w:vAlign w:val="center"/>
          </w:tcPr>
          <w:p w14:paraId="79D02E58"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428ECCC5" w14:textId="77777777" w:rsidR="007D706A" w:rsidRDefault="007D706A" w:rsidP="00F70508">
            <w:pPr>
              <w:pStyle w:val="ParagraphStyle6"/>
              <w:rPr>
                <w:rStyle w:val="CharacterStyle6"/>
              </w:rPr>
            </w:pPr>
            <w:r>
              <w:rPr>
                <w:rStyle w:val="CharacterStyle6"/>
              </w:rPr>
              <w:t>18.590,00</w:t>
            </w:r>
          </w:p>
        </w:tc>
        <w:tc>
          <w:tcPr>
            <w:tcW w:w="1395" w:type="dxa"/>
            <w:tcBorders>
              <w:bottom w:val="single" w:sz="6" w:space="0" w:color="000000"/>
              <w:right w:val="single" w:sz="6" w:space="0" w:color="000000"/>
            </w:tcBorders>
            <w:vAlign w:val="center"/>
          </w:tcPr>
          <w:p w14:paraId="7B52837F" w14:textId="77777777" w:rsidR="007D706A" w:rsidRDefault="007D706A" w:rsidP="00F70508">
            <w:pPr>
              <w:pStyle w:val="ParagraphStyle6"/>
              <w:rPr>
                <w:rStyle w:val="CharacterStyle6"/>
              </w:rPr>
            </w:pPr>
            <w:r>
              <w:rPr>
                <w:rStyle w:val="CharacterStyle6"/>
              </w:rPr>
              <w:t>18.600,00</w:t>
            </w:r>
          </w:p>
        </w:tc>
        <w:tc>
          <w:tcPr>
            <w:tcW w:w="1395" w:type="dxa"/>
            <w:tcBorders>
              <w:bottom w:val="single" w:sz="6" w:space="0" w:color="000000"/>
              <w:right w:val="single" w:sz="6" w:space="0" w:color="000000"/>
            </w:tcBorders>
            <w:vAlign w:val="center"/>
          </w:tcPr>
          <w:p w14:paraId="278B887D" w14:textId="77777777" w:rsidR="007D706A" w:rsidRDefault="007D706A" w:rsidP="00F70508">
            <w:pPr>
              <w:pStyle w:val="ParagraphStyle6"/>
              <w:rPr>
                <w:rStyle w:val="CharacterStyle6"/>
              </w:rPr>
            </w:pPr>
            <w:r>
              <w:rPr>
                <w:rStyle w:val="CharacterStyle6"/>
              </w:rPr>
              <w:t>18.600,00</w:t>
            </w:r>
          </w:p>
        </w:tc>
        <w:tc>
          <w:tcPr>
            <w:tcW w:w="1395" w:type="dxa"/>
            <w:tcBorders>
              <w:bottom w:val="single" w:sz="6" w:space="0" w:color="000000"/>
              <w:right w:val="single" w:sz="6" w:space="0" w:color="000000"/>
            </w:tcBorders>
            <w:vAlign w:val="center"/>
          </w:tcPr>
          <w:p w14:paraId="2EFFE5DF" w14:textId="77777777" w:rsidR="007D706A" w:rsidRDefault="007D706A" w:rsidP="00F70508">
            <w:pPr>
              <w:pStyle w:val="ParagraphStyle6"/>
              <w:rPr>
                <w:rStyle w:val="CharacterStyle6"/>
              </w:rPr>
            </w:pPr>
            <w:r>
              <w:rPr>
                <w:rStyle w:val="CharacterStyle6"/>
              </w:rPr>
              <w:t>18.600,00</w:t>
            </w:r>
          </w:p>
        </w:tc>
      </w:tr>
      <w:tr w:rsidR="007D706A" w14:paraId="076D184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7B9963E" w14:textId="77777777" w:rsidR="007D706A" w:rsidRDefault="007D706A" w:rsidP="00F70508">
            <w:pPr>
              <w:pStyle w:val="ParagraphStyle7"/>
              <w:rPr>
                <w:rStyle w:val="CharacterStyle7"/>
              </w:rPr>
            </w:pPr>
            <w:r>
              <w:rPr>
                <w:rStyle w:val="CharacterStyle7"/>
              </w:rPr>
              <w:t>Izvor financiranja 40</w:t>
            </w:r>
          </w:p>
        </w:tc>
        <w:tc>
          <w:tcPr>
            <w:tcW w:w="4995" w:type="dxa"/>
            <w:tcBorders>
              <w:bottom w:val="single" w:sz="6" w:space="0" w:color="000000"/>
              <w:right w:val="single" w:sz="6" w:space="0" w:color="000000"/>
            </w:tcBorders>
            <w:vAlign w:val="center"/>
          </w:tcPr>
          <w:p w14:paraId="75C56E96" w14:textId="77777777" w:rsidR="007D706A" w:rsidRDefault="007D706A" w:rsidP="00F70508">
            <w:pPr>
              <w:pStyle w:val="ParagraphStyle8"/>
              <w:rPr>
                <w:rStyle w:val="CharacterStyle8"/>
              </w:rPr>
            </w:pPr>
            <w:r>
              <w:rPr>
                <w:rStyle w:val="CharacterStyle8"/>
              </w:rPr>
              <w:t>Prihodi od komunalne naknade i komunalnog doprinosa</w:t>
            </w:r>
          </w:p>
        </w:tc>
        <w:tc>
          <w:tcPr>
            <w:tcW w:w="1395" w:type="dxa"/>
            <w:tcBorders>
              <w:bottom w:val="single" w:sz="6" w:space="0" w:color="000000"/>
              <w:right w:val="single" w:sz="6" w:space="0" w:color="000000"/>
            </w:tcBorders>
            <w:vAlign w:val="center"/>
          </w:tcPr>
          <w:p w14:paraId="323054D3"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332DE86"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18F732D" w14:textId="77777777" w:rsidR="007D706A" w:rsidRDefault="007D706A" w:rsidP="00F70508">
            <w:pPr>
              <w:pStyle w:val="ParagraphStyle9"/>
              <w:rPr>
                <w:rStyle w:val="CharacterStyle9"/>
              </w:rPr>
            </w:pPr>
            <w:r>
              <w:rPr>
                <w:rStyle w:val="CharacterStyle9"/>
              </w:rPr>
              <w:t>18.600,00</w:t>
            </w:r>
          </w:p>
        </w:tc>
        <w:tc>
          <w:tcPr>
            <w:tcW w:w="1395" w:type="dxa"/>
            <w:tcBorders>
              <w:bottom w:val="single" w:sz="6" w:space="0" w:color="000000"/>
              <w:right w:val="single" w:sz="6" w:space="0" w:color="000000"/>
            </w:tcBorders>
            <w:vAlign w:val="center"/>
          </w:tcPr>
          <w:p w14:paraId="07425D8B" w14:textId="77777777" w:rsidR="007D706A" w:rsidRDefault="007D706A" w:rsidP="00F70508">
            <w:pPr>
              <w:pStyle w:val="ParagraphStyle9"/>
              <w:rPr>
                <w:rStyle w:val="CharacterStyle9"/>
              </w:rPr>
            </w:pPr>
            <w:r>
              <w:rPr>
                <w:rStyle w:val="CharacterStyle9"/>
              </w:rPr>
              <w:t>18.600,00</w:t>
            </w:r>
          </w:p>
        </w:tc>
        <w:tc>
          <w:tcPr>
            <w:tcW w:w="1395" w:type="dxa"/>
            <w:tcBorders>
              <w:bottom w:val="single" w:sz="6" w:space="0" w:color="000000"/>
              <w:right w:val="single" w:sz="6" w:space="0" w:color="000000"/>
            </w:tcBorders>
            <w:vAlign w:val="center"/>
          </w:tcPr>
          <w:p w14:paraId="180B5FF6" w14:textId="77777777" w:rsidR="007D706A" w:rsidRDefault="007D706A" w:rsidP="00F70508">
            <w:pPr>
              <w:pStyle w:val="ParagraphStyle9"/>
              <w:rPr>
                <w:rStyle w:val="CharacterStyle9"/>
              </w:rPr>
            </w:pPr>
            <w:r>
              <w:rPr>
                <w:rStyle w:val="CharacterStyle9"/>
              </w:rPr>
              <w:t>18.600,00</w:t>
            </w:r>
          </w:p>
        </w:tc>
      </w:tr>
      <w:tr w:rsidR="007D706A" w14:paraId="547C15B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F48AF82"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22820105"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706DDAC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16F0CD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C4B5F9A" w14:textId="77777777" w:rsidR="007D706A" w:rsidRDefault="007D706A" w:rsidP="00F70508">
            <w:pPr>
              <w:pStyle w:val="ParagraphStyle12"/>
              <w:rPr>
                <w:rStyle w:val="CharacterStyle12"/>
              </w:rPr>
            </w:pPr>
            <w:r>
              <w:rPr>
                <w:rStyle w:val="CharacterStyle12"/>
              </w:rPr>
              <w:t>18.600,00</w:t>
            </w:r>
          </w:p>
        </w:tc>
        <w:tc>
          <w:tcPr>
            <w:tcW w:w="1395" w:type="dxa"/>
            <w:tcBorders>
              <w:bottom w:val="single" w:sz="6" w:space="0" w:color="000000"/>
              <w:right w:val="single" w:sz="6" w:space="0" w:color="000000"/>
            </w:tcBorders>
            <w:vAlign w:val="center"/>
          </w:tcPr>
          <w:p w14:paraId="529F8131" w14:textId="77777777" w:rsidR="007D706A" w:rsidRDefault="007D706A" w:rsidP="00F70508">
            <w:pPr>
              <w:pStyle w:val="ParagraphStyle12"/>
              <w:rPr>
                <w:rStyle w:val="CharacterStyle12"/>
              </w:rPr>
            </w:pPr>
            <w:r>
              <w:rPr>
                <w:rStyle w:val="CharacterStyle12"/>
              </w:rPr>
              <w:t>18.600,00</w:t>
            </w:r>
          </w:p>
        </w:tc>
        <w:tc>
          <w:tcPr>
            <w:tcW w:w="1395" w:type="dxa"/>
            <w:tcBorders>
              <w:bottom w:val="single" w:sz="6" w:space="0" w:color="000000"/>
              <w:right w:val="single" w:sz="6" w:space="0" w:color="000000"/>
            </w:tcBorders>
            <w:vAlign w:val="center"/>
          </w:tcPr>
          <w:p w14:paraId="4C2C245E" w14:textId="77777777" w:rsidR="007D706A" w:rsidRDefault="007D706A" w:rsidP="00F70508">
            <w:pPr>
              <w:pStyle w:val="ParagraphStyle12"/>
              <w:rPr>
                <w:rStyle w:val="CharacterStyle12"/>
              </w:rPr>
            </w:pPr>
            <w:r>
              <w:rPr>
                <w:rStyle w:val="CharacterStyle12"/>
              </w:rPr>
              <w:t>18.600,00</w:t>
            </w:r>
          </w:p>
        </w:tc>
      </w:tr>
      <w:tr w:rsidR="007D706A" w14:paraId="475C7C9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75B13EF"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3C187F9B"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12E4379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835BDB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0BB630E" w14:textId="77777777" w:rsidR="007D706A" w:rsidRDefault="007D706A" w:rsidP="00F70508">
            <w:pPr>
              <w:pStyle w:val="ParagraphStyle12"/>
              <w:rPr>
                <w:rStyle w:val="CharacterStyle12"/>
              </w:rPr>
            </w:pPr>
            <w:r>
              <w:rPr>
                <w:rStyle w:val="CharacterStyle12"/>
              </w:rPr>
              <w:t>18.600,00</w:t>
            </w:r>
          </w:p>
        </w:tc>
        <w:tc>
          <w:tcPr>
            <w:tcW w:w="1395" w:type="dxa"/>
            <w:tcBorders>
              <w:bottom w:val="single" w:sz="6" w:space="0" w:color="000000"/>
              <w:right w:val="single" w:sz="6" w:space="0" w:color="000000"/>
            </w:tcBorders>
            <w:vAlign w:val="center"/>
          </w:tcPr>
          <w:p w14:paraId="4FD3E08F" w14:textId="77777777" w:rsidR="007D706A" w:rsidRDefault="007D706A" w:rsidP="00F70508">
            <w:pPr>
              <w:pStyle w:val="ParagraphStyle12"/>
              <w:rPr>
                <w:rStyle w:val="CharacterStyle12"/>
              </w:rPr>
            </w:pPr>
            <w:r>
              <w:rPr>
                <w:rStyle w:val="CharacterStyle12"/>
              </w:rPr>
              <w:t>18.600,00</w:t>
            </w:r>
          </w:p>
        </w:tc>
        <w:tc>
          <w:tcPr>
            <w:tcW w:w="1395" w:type="dxa"/>
            <w:tcBorders>
              <w:bottom w:val="single" w:sz="6" w:space="0" w:color="000000"/>
              <w:right w:val="single" w:sz="6" w:space="0" w:color="000000"/>
            </w:tcBorders>
            <w:vAlign w:val="center"/>
          </w:tcPr>
          <w:p w14:paraId="0E5AAAF0" w14:textId="77777777" w:rsidR="007D706A" w:rsidRDefault="007D706A" w:rsidP="00F70508">
            <w:pPr>
              <w:pStyle w:val="ParagraphStyle12"/>
              <w:rPr>
                <w:rStyle w:val="CharacterStyle12"/>
              </w:rPr>
            </w:pPr>
            <w:r>
              <w:rPr>
                <w:rStyle w:val="CharacterStyle12"/>
              </w:rPr>
              <w:t>18.600,00</w:t>
            </w:r>
          </w:p>
        </w:tc>
      </w:tr>
      <w:tr w:rsidR="007D706A" w14:paraId="5B86282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225CBE2" w14:textId="77777777" w:rsidR="007D706A" w:rsidRDefault="007D706A" w:rsidP="00F70508">
            <w:pPr>
              <w:pStyle w:val="ParagraphStyle7"/>
              <w:rPr>
                <w:rStyle w:val="CharacterStyle7"/>
              </w:rPr>
            </w:pPr>
            <w:r>
              <w:rPr>
                <w:rStyle w:val="CharacterStyle7"/>
              </w:rPr>
              <w:t>Izvor financiranja 41</w:t>
            </w:r>
          </w:p>
        </w:tc>
        <w:tc>
          <w:tcPr>
            <w:tcW w:w="4995" w:type="dxa"/>
            <w:tcBorders>
              <w:bottom w:val="single" w:sz="6" w:space="0" w:color="000000"/>
              <w:right w:val="single" w:sz="6" w:space="0" w:color="000000"/>
            </w:tcBorders>
            <w:vAlign w:val="center"/>
          </w:tcPr>
          <w:p w14:paraId="3F0B7B10" w14:textId="77777777" w:rsidR="007D706A" w:rsidRDefault="007D706A" w:rsidP="00F70508">
            <w:pPr>
              <w:pStyle w:val="ParagraphStyle8"/>
              <w:rPr>
                <w:rStyle w:val="CharacterStyle8"/>
              </w:rPr>
            </w:pPr>
            <w:r>
              <w:rPr>
                <w:rStyle w:val="CharacterStyle8"/>
              </w:rPr>
              <w:t>Prihodi za posebne namjene</w:t>
            </w:r>
          </w:p>
        </w:tc>
        <w:tc>
          <w:tcPr>
            <w:tcW w:w="1395" w:type="dxa"/>
            <w:tcBorders>
              <w:bottom w:val="single" w:sz="6" w:space="0" w:color="000000"/>
              <w:right w:val="single" w:sz="6" w:space="0" w:color="000000"/>
            </w:tcBorders>
            <w:vAlign w:val="center"/>
          </w:tcPr>
          <w:p w14:paraId="367CE61C"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0949D15" w14:textId="77777777" w:rsidR="007D706A" w:rsidRDefault="007D706A" w:rsidP="00F70508">
            <w:pPr>
              <w:pStyle w:val="ParagraphStyle9"/>
              <w:rPr>
                <w:rStyle w:val="CharacterStyle9"/>
              </w:rPr>
            </w:pPr>
            <w:r>
              <w:rPr>
                <w:rStyle w:val="CharacterStyle9"/>
              </w:rPr>
              <w:t>18.590,00</w:t>
            </w:r>
          </w:p>
        </w:tc>
        <w:tc>
          <w:tcPr>
            <w:tcW w:w="1395" w:type="dxa"/>
            <w:tcBorders>
              <w:bottom w:val="single" w:sz="6" w:space="0" w:color="000000"/>
              <w:right w:val="single" w:sz="6" w:space="0" w:color="000000"/>
            </w:tcBorders>
            <w:vAlign w:val="center"/>
          </w:tcPr>
          <w:p w14:paraId="105B1176"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0B9A5D3"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D1B4DD8" w14:textId="77777777" w:rsidR="007D706A" w:rsidRDefault="007D706A" w:rsidP="00F70508">
            <w:pPr>
              <w:pStyle w:val="ParagraphStyle9"/>
              <w:rPr>
                <w:rStyle w:val="CharacterStyle9"/>
              </w:rPr>
            </w:pPr>
            <w:r>
              <w:rPr>
                <w:rStyle w:val="CharacterStyle9"/>
              </w:rPr>
              <w:t>0,00</w:t>
            </w:r>
          </w:p>
        </w:tc>
      </w:tr>
      <w:tr w:rsidR="007D706A" w14:paraId="503BEBC6"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4BFC526"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0BFB203E"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3C10B16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772B62D" w14:textId="77777777" w:rsidR="007D706A" w:rsidRDefault="007D706A" w:rsidP="00F70508">
            <w:pPr>
              <w:pStyle w:val="ParagraphStyle12"/>
              <w:rPr>
                <w:rStyle w:val="CharacterStyle12"/>
              </w:rPr>
            </w:pPr>
            <w:r>
              <w:rPr>
                <w:rStyle w:val="CharacterStyle12"/>
              </w:rPr>
              <w:t>18.590,00</w:t>
            </w:r>
          </w:p>
        </w:tc>
        <w:tc>
          <w:tcPr>
            <w:tcW w:w="1395" w:type="dxa"/>
            <w:tcBorders>
              <w:bottom w:val="single" w:sz="6" w:space="0" w:color="000000"/>
              <w:right w:val="single" w:sz="6" w:space="0" w:color="000000"/>
            </w:tcBorders>
            <w:vAlign w:val="center"/>
          </w:tcPr>
          <w:p w14:paraId="36C3BC8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E25761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E313144" w14:textId="77777777" w:rsidR="007D706A" w:rsidRDefault="007D706A" w:rsidP="00F70508">
            <w:pPr>
              <w:pStyle w:val="ParagraphStyle12"/>
              <w:rPr>
                <w:rStyle w:val="CharacterStyle12"/>
              </w:rPr>
            </w:pPr>
            <w:r>
              <w:rPr>
                <w:rStyle w:val="CharacterStyle12"/>
              </w:rPr>
              <w:t>0,00</w:t>
            </w:r>
          </w:p>
        </w:tc>
      </w:tr>
      <w:tr w:rsidR="007D706A" w14:paraId="57D7F84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5D0DE40"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58EB167D"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4DCAA01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16B59CE" w14:textId="77777777" w:rsidR="007D706A" w:rsidRDefault="007D706A" w:rsidP="00F70508">
            <w:pPr>
              <w:pStyle w:val="ParagraphStyle12"/>
              <w:rPr>
                <w:rStyle w:val="CharacterStyle12"/>
              </w:rPr>
            </w:pPr>
            <w:r>
              <w:rPr>
                <w:rStyle w:val="CharacterStyle12"/>
              </w:rPr>
              <w:t>18.590,00</w:t>
            </w:r>
          </w:p>
        </w:tc>
        <w:tc>
          <w:tcPr>
            <w:tcW w:w="1395" w:type="dxa"/>
            <w:tcBorders>
              <w:bottom w:val="single" w:sz="6" w:space="0" w:color="000000"/>
              <w:right w:val="single" w:sz="6" w:space="0" w:color="000000"/>
            </w:tcBorders>
            <w:vAlign w:val="center"/>
          </w:tcPr>
          <w:p w14:paraId="3E61256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FE5AE8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965220C" w14:textId="77777777" w:rsidR="007D706A" w:rsidRDefault="007D706A" w:rsidP="00F70508">
            <w:pPr>
              <w:pStyle w:val="ParagraphStyle12"/>
              <w:rPr>
                <w:rStyle w:val="CharacterStyle12"/>
              </w:rPr>
            </w:pPr>
            <w:r>
              <w:rPr>
                <w:rStyle w:val="CharacterStyle12"/>
              </w:rPr>
              <w:t>0,00</w:t>
            </w:r>
          </w:p>
        </w:tc>
      </w:tr>
      <w:tr w:rsidR="007D706A" w14:paraId="189E162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35BC3E9" w14:textId="77777777" w:rsidR="007D706A" w:rsidRDefault="007D706A" w:rsidP="00F70508">
            <w:pPr>
              <w:pStyle w:val="ParagraphStyle4"/>
              <w:rPr>
                <w:rStyle w:val="CharacterStyle4"/>
              </w:rPr>
            </w:pPr>
            <w:r>
              <w:rPr>
                <w:rStyle w:val="CharacterStyle4"/>
              </w:rPr>
              <w:t>Aktivnost A102303</w:t>
            </w:r>
          </w:p>
        </w:tc>
        <w:tc>
          <w:tcPr>
            <w:tcW w:w="4995" w:type="dxa"/>
            <w:tcBorders>
              <w:bottom w:val="single" w:sz="6" w:space="0" w:color="000000"/>
              <w:right w:val="single" w:sz="6" w:space="0" w:color="000000"/>
            </w:tcBorders>
            <w:vAlign w:val="center"/>
          </w:tcPr>
          <w:p w14:paraId="42778382" w14:textId="77777777" w:rsidR="007D706A" w:rsidRDefault="007D706A" w:rsidP="00F70508">
            <w:pPr>
              <w:pStyle w:val="ParagraphStyle5"/>
              <w:rPr>
                <w:rStyle w:val="CharacterStyle5"/>
              </w:rPr>
            </w:pPr>
            <w:r>
              <w:rPr>
                <w:rStyle w:val="CharacterStyle5"/>
              </w:rPr>
              <w:t>ZAŠTITARSKE I REDARSKE USLUGE</w:t>
            </w:r>
          </w:p>
        </w:tc>
        <w:tc>
          <w:tcPr>
            <w:tcW w:w="1395" w:type="dxa"/>
            <w:tcBorders>
              <w:bottom w:val="single" w:sz="6" w:space="0" w:color="000000"/>
              <w:right w:val="single" w:sz="6" w:space="0" w:color="000000"/>
            </w:tcBorders>
            <w:vAlign w:val="center"/>
          </w:tcPr>
          <w:p w14:paraId="7DFCDF19"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6907D038" w14:textId="77777777" w:rsidR="007D706A" w:rsidRDefault="007D706A" w:rsidP="00F70508">
            <w:pPr>
              <w:pStyle w:val="ParagraphStyle6"/>
              <w:rPr>
                <w:rStyle w:val="CharacterStyle6"/>
              </w:rPr>
            </w:pPr>
            <w:r>
              <w:rPr>
                <w:rStyle w:val="CharacterStyle6"/>
              </w:rPr>
              <w:t>33.000,00</w:t>
            </w:r>
          </w:p>
        </w:tc>
        <w:tc>
          <w:tcPr>
            <w:tcW w:w="1395" w:type="dxa"/>
            <w:tcBorders>
              <w:bottom w:val="single" w:sz="6" w:space="0" w:color="000000"/>
              <w:right w:val="single" w:sz="6" w:space="0" w:color="000000"/>
            </w:tcBorders>
            <w:vAlign w:val="center"/>
          </w:tcPr>
          <w:p w14:paraId="6BCBE436" w14:textId="77777777" w:rsidR="007D706A" w:rsidRDefault="007D706A" w:rsidP="00F70508">
            <w:pPr>
              <w:pStyle w:val="ParagraphStyle6"/>
              <w:rPr>
                <w:rStyle w:val="CharacterStyle6"/>
              </w:rPr>
            </w:pPr>
            <w:r>
              <w:rPr>
                <w:rStyle w:val="CharacterStyle6"/>
              </w:rPr>
              <w:t>36.000,00</w:t>
            </w:r>
          </w:p>
        </w:tc>
        <w:tc>
          <w:tcPr>
            <w:tcW w:w="1395" w:type="dxa"/>
            <w:tcBorders>
              <w:bottom w:val="single" w:sz="6" w:space="0" w:color="000000"/>
              <w:right w:val="single" w:sz="6" w:space="0" w:color="000000"/>
            </w:tcBorders>
            <w:vAlign w:val="center"/>
          </w:tcPr>
          <w:p w14:paraId="07FECCBA" w14:textId="77777777" w:rsidR="007D706A" w:rsidRDefault="007D706A" w:rsidP="00F70508">
            <w:pPr>
              <w:pStyle w:val="ParagraphStyle6"/>
              <w:rPr>
                <w:rStyle w:val="CharacterStyle6"/>
              </w:rPr>
            </w:pPr>
            <w:r>
              <w:rPr>
                <w:rStyle w:val="CharacterStyle6"/>
              </w:rPr>
              <w:t>42.000,00</w:t>
            </w:r>
          </w:p>
        </w:tc>
        <w:tc>
          <w:tcPr>
            <w:tcW w:w="1395" w:type="dxa"/>
            <w:tcBorders>
              <w:bottom w:val="single" w:sz="6" w:space="0" w:color="000000"/>
              <w:right w:val="single" w:sz="6" w:space="0" w:color="000000"/>
            </w:tcBorders>
            <w:vAlign w:val="center"/>
          </w:tcPr>
          <w:p w14:paraId="5500BEA1" w14:textId="77777777" w:rsidR="007D706A" w:rsidRDefault="007D706A" w:rsidP="00F70508">
            <w:pPr>
              <w:pStyle w:val="ParagraphStyle6"/>
              <w:rPr>
                <w:rStyle w:val="CharacterStyle6"/>
              </w:rPr>
            </w:pPr>
            <w:r>
              <w:rPr>
                <w:rStyle w:val="CharacterStyle6"/>
              </w:rPr>
              <w:t>42.000,00</w:t>
            </w:r>
          </w:p>
        </w:tc>
      </w:tr>
      <w:tr w:rsidR="007D706A" w14:paraId="347D107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3C3E28F" w14:textId="77777777" w:rsidR="007D706A" w:rsidRDefault="007D706A" w:rsidP="00F70508">
            <w:pPr>
              <w:pStyle w:val="ParagraphStyle7"/>
              <w:rPr>
                <w:rStyle w:val="CharacterStyle7"/>
              </w:rPr>
            </w:pPr>
            <w:r>
              <w:rPr>
                <w:rStyle w:val="CharacterStyle7"/>
              </w:rPr>
              <w:t>Izvor financiranja 40</w:t>
            </w:r>
          </w:p>
        </w:tc>
        <w:tc>
          <w:tcPr>
            <w:tcW w:w="4995" w:type="dxa"/>
            <w:tcBorders>
              <w:bottom w:val="single" w:sz="6" w:space="0" w:color="000000"/>
              <w:right w:val="single" w:sz="6" w:space="0" w:color="000000"/>
            </w:tcBorders>
            <w:vAlign w:val="center"/>
          </w:tcPr>
          <w:p w14:paraId="0CD73103" w14:textId="77777777" w:rsidR="007D706A" w:rsidRDefault="007D706A" w:rsidP="00F70508">
            <w:pPr>
              <w:pStyle w:val="ParagraphStyle8"/>
              <w:rPr>
                <w:rStyle w:val="CharacterStyle8"/>
              </w:rPr>
            </w:pPr>
            <w:r>
              <w:rPr>
                <w:rStyle w:val="CharacterStyle8"/>
              </w:rPr>
              <w:t>Prihodi od komunalne naknade i komunalnog doprinosa</w:t>
            </w:r>
          </w:p>
        </w:tc>
        <w:tc>
          <w:tcPr>
            <w:tcW w:w="1395" w:type="dxa"/>
            <w:tcBorders>
              <w:bottom w:val="single" w:sz="6" w:space="0" w:color="000000"/>
              <w:right w:val="single" w:sz="6" w:space="0" w:color="000000"/>
            </w:tcBorders>
            <w:vAlign w:val="center"/>
          </w:tcPr>
          <w:p w14:paraId="3680083F"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8C92FA7"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936008C" w14:textId="77777777" w:rsidR="007D706A" w:rsidRDefault="007D706A" w:rsidP="00F70508">
            <w:pPr>
              <w:pStyle w:val="ParagraphStyle9"/>
              <w:rPr>
                <w:rStyle w:val="CharacterStyle9"/>
              </w:rPr>
            </w:pPr>
            <w:r>
              <w:rPr>
                <w:rStyle w:val="CharacterStyle9"/>
              </w:rPr>
              <w:t>36.000,00</w:t>
            </w:r>
          </w:p>
        </w:tc>
        <w:tc>
          <w:tcPr>
            <w:tcW w:w="1395" w:type="dxa"/>
            <w:tcBorders>
              <w:bottom w:val="single" w:sz="6" w:space="0" w:color="000000"/>
              <w:right w:val="single" w:sz="6" w:space="0" w:color="000000"/>
            </w:tcBorders>
            <w:vAlign w:val="center"/>
          </w:tcPr>
          <w:p w14:paraId="77BFBD65" w14:textId="77777777" w:rsidR="007D706A" w:rsidRDefault="007D706A" w:rsidP="00F70508">
            <w:pPr>
              <w:pStyle w:val="ParagraphStyle9"/>
              <w:rPr>
                <w:rStyle w:val="CharacterStyle9"/>
              </w:rPr>
            </w:pPr>
            <w:r>
              <w:rPr>
                <w:rStyle w:val="CharacterStyle9"/>
              </w:rPr>
              <w:t>42.000,00</w:t>
            </w:r>
          </w:p>
        </w:tc>
        <w:tc>
          <w:tcPr>
            <w:tcW w:w="1395" w:type="dxa"/>
            <w:tcBorders>
              <w:bottom w:val="single" w:sz="6" w:space="0" w:color="000000"/>
              <w:right w:val="single" w:sz="6" w:space="0" w:color="000000"/>
            </w:tcBorders>
            <w:vAlign w:val="center"/>
          </w:tcPr>
          <w:p w14:paraId="11D1B0EC" w14:textId="77777777" w:rsidR="007D706A" w:rsidRDefault="007D706A" w:rsidP="00F70508">
            <w:pPr>
              <w:pStyle w:val="ParagraphStyle9"/>
              <w:rPr>
                <w:rStyle w:val="CharacterStyle9"/>
              </w:rPr>
            </w:pPr>
            <w:r>
              <w:rPr>
                <w:rStyle w:val="CharacterStyle9"/>
              </w:rPr>
              <w:t>42.000,00</w:t>
            </w:r>
          </w:p>
        </w:tc>
      </w:tr>
      <w:tr w:rsidR="007D706A" w14:paraId="497E160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CEEABE8"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2B45BFF8"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2DE25B0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FCAA50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C2B0CE8" w14:textId="77777777" w:rsidR="007D706A" w:rsidRDefault="007D706A" w:rsidP="00F70508">
            <w:pPr>
              <w:pStyle w:val="ParagraphStyle12"/>
              <w:rPr>
                <w:rStyle w:val="CharacterStyle12"/>
              </w:rPr>
            </w:pPr>
            <w:r>
              <w:rPr>
                <w:rStyle w:val="CharacterStyle12"/>
              </w:rPr>
              <w:t>36.000,00</w:t>
            </w:r>
          </w:p>
        </w:tc>
        <w:tc>
          <w:tcPr>
            <w:tcW w:w="1395" w:type="dxa"/>
            <w:tcBorders>
              <w:bottom w:val="single" w:sz="6" w:space="0" w:color="000000"/>
              <w:right w:val="single" w:sz="6" w:space="0" w:color="000000"/>
            </w:tcBorders>
            <w:vAlign w:val="center"/>
          </w:tcPr>
          <w:p w14:paraId="1A9B2608" w14:textId="77777777" w:rsidR="007D706A" w:rsidRDefault="007D706A" w:rsidP="00F70508">
            <w:pPr>
              <w:pStyle w:val="ParagraphStyle12"/>
              <w:rPr>
                <w:rStyle w:val="CharacterStyle12"/>
              </w:rPr>
            </w:pPr>
            <w:r>
              <w:rPr>
                <w:rStyle w:val="CharacterStyle12"/>
              </w:rPr>
              <w:t>42.000,00</w:t>
            </w:r>
          </w:p>
        </w:tc>
        <w:tc>
          <w:tcPr>
            <w:tcW w:w="1395" w:type="dxa"/>
            <w:tcBorders>
              <w:bottom w:val="single" w:sz="6" w:space="0" w:color="000000"/>
              <w:right w:val="single" w:sz="6" w:space="0" w:color="000000"/>
            </w:tcBorders>
            <w:vAlign w:val="center"/>
          </w:tcPr>
          <w:p w14:paraId="4D0EBD39" w14:textId="77777777" w:rsidR="007D706A" w:rsidRDefault="007D706A" w:rsidP="00F70508">
            <w:pPr>
              <w:pStyle w:val="ParagraphStyle12"/>
              <w:rPr>
                <w:rStyle w:val="CharacterStyle12"/>
              </w:rPr>
            </w:pPr>
            <w:r>
              <w:rPr>
                <w:rStyle w:val="CharacterStyle12"/>
              </w:rPr>
              <w:t>42.000,00</w:t>
            </w:r>
          </w:p>
        </w:tc>
      </w:tr>
      <w:tr w:rsidR="007D706A" w14:paraId="6C6CD8A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51F56EC"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1E564971"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6F4C463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C2FC2B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F4CD80B" w14:textId="77777777" w:rsidR="007D706A" w:rsidRDefault="007D706A" w:rsidP="00F70508">
            <w:pPr>
              <w:pStyle w:val="ParagraphStyle12"/>
              <w:rPr>
                <w:rStyle w:val="CharacterStyle12"/>
              </w:rPr>
            </w:pPr>
            <w:r>
              <w:rPr>
                <w:rStyle w:val="CharacterStyle12"/>
              </w:rPr>
              <w:t>36.000,00</w:t>
            </w:r>
          </w:p>
        </w:tc>
        <w:tc>
          <w:tcPr>
            <w:tcW w:w="1395" w:type="dxa"/>
            <w:tcBorders>
              <w:bottom w:val="single" w:sz="6" w:space="0" w:color="000000"/>
              <w:right w:val="single" w:sz="6" w:space="0" w:color="000000"/>
            </w:tcBorders>
            <w:vAlign w:val="center"/>
          </w:tcPr>
          <w:p w14:paraId="3208EC5F" w14:textId="77777777" w:rsidR="007D706A" w:rsidRDefault="007D706A" w:rsidP="00F70508">
            <w:pPr>
              <w:pStyle w:val="ParagraphStyle12"/>
              <w:rPr>
                <w:rStyle w:val="CharacterStyle12"/>
              </w:rPr>
            </w:pPr>
            <w:r>
              <w:rPr>
                <w:rStyle w:val="CharacterStyle12"/>
              </w:rPr>
              <w:t>42.000,00</w:t>
            </w:r>
          </w:p>
        </w:tc>
        <w:tc>
          <w:tcPr>
            <w:tcW w:w="1395" w:type="dxa"/>
            <w:tcBorders>
              <w:bottom w:val="single" w:sz="6" w:space="0" w:color="000000"/>
              <w:right w:val="single" w:sz="6" w:space="0" w:color="000000"/>
            </w:tcBorders>
            <w:vAlign w:val="center"/>
          </w:tcPr>
          <w:p w14:paraId="1B60D234" w14:textId="77777777" w:rsidR="007D706A" w:rsidRDefault="007D706A" w:rsidP="00F70508">
            <w:pPr>
              <w:pStyle w:val="ParagraphStyle12"/>
              <w:rPr>
                <w:rStyle w:val="CharacterStyle12"/>
              </w:rPr>
            </w:pPr>
            <w:r>
              <w:rPr>
                <w:rStyle w:val="CharacterStyle12"/>
              </w:rPr>
              <w:t>42.000,00</w:t>
            </w:r>
          </w:p>
        </w:tc>
      </w:tr>
      <w:tr w:rsidR="007D706A" w14:paraId="15BEDDF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6BF53C2" w14:textId="77777777" w:rsidR="007D706A" w:rsidRDefault="007D706A" w:rsidP="00F70508">
            <w:pPr>
              <w:pStyle w:val="ParagraphStyle7"/>
              <w:rPr>
                <w:rStyle w:val="CharacterStyle7"/>
              </w:rPr>
            </w:pPr>
            <w:r>
              <w:rPr>
                <w:rStyle w:val="CharacterStyle7"/>
              </w:rPr>
              <w:t>Izvor financiranja 41</w:t>
            </w:r>
          </w:p>
        </w:tc>
        <w:tc>
          <w:tcPr>
            <w:tcW w:w="4995" w:type="dxa"/>
            <w:tcBorders>
              <w:bottom w:val="single" w:sz="6" w:space="0" w:color="000000"/>
              <w:right w:val="single" w:sz="6" w:space="0" w:color="000000"/>
            </w:tcBorders>
            <w:vAlign w:val="center"/>
          </w:tcPr>
          <w:p w14:paraId="14FD0708" w14:textId="77777777" w:rsidR="007D706A" w:rsidRDefault="007D706A" w:rsidP="00F70508">
            <w:pPr>
              <w:pStyle w:val="ParagraphStyle8"/>
              <w:rPr>
                <w:rStyle w:val="CharacterStyle8"/>
              </w:rPr>
            </w:pPr>
            <w:r>
              <w:rPr>
                <w:rStyle w:val="CharacterStyle8"/>
              </w:rPr>
              <w:t>Prihodi za posebne namjene</w:t>
            </w:r>
          </w:p>
        </w:tc>
        <w:tc>
          <w:tcPr>
            <w:tcW w:w="1395" w:type="dxa"/>
            <w:tcBorders>
              <w:bottom w:val="single" w:sz="6" w:space="0" w:color="000000"/>
              <w:right w:val="single" w:sz="6" w:space="0" w:color="000000"/>
            </w:tcBorders>
            <w:vAlign w:val="center"/>
          </w:tcPr>
          <w:p w14:paraId="4A03714F"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11EAE68" w14:textId="77777777" w:rsidR="007D706A" w:rsidRDefault="007D706A" w:rsidP="00F70508">
            <w:pPr>
              <w:pStyle w:val="ParagraphStyle9"/>
              <w:rPr>
                <w:rStyle w:val="CharacterStyle9"/>
              </w:rPr>
            </w:pPr>
            <w:r>
              <w:rPr>
                <w:rStyle w:val="CharacterStyle9"/>
              </w:rPr>
              <w:t>33.000,00</w:t>
            </w:r>
          </w:p>
        </w:tc>
        <w:tc>
          <w:tcPr>
            <w:tcW w:w="1395" w:type="dxa"/>
            <w:tcBorders>
              <w:bottom w:val="single" w:sz="6" w:space="0" w:color="000000"/>
              <w:right w:val="single" w:sz="6" w:space="0" w:color="000000"/>
            </w:tcBorders>
            <w:vAlign w:val="center"/>
          </w:tcPr>
          <w:p w14:paraId="111582EF"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14CB251"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66181D6" w14:textId="77777777" w:rsidR="007D706A" w:rsidRDefault="007D706A" w:rsidP="00F70508">
            <w:pPr>
              <w:pStyle w:val="ParagraphStyle9"/>
              <w:rPr>
                <w:rStyle w:val="CharacterStyle9"/>
              </w:rPr>
            </w:pPr>
            <w:r>
              <w:rPr>
                <w:rStyle w:val="CharacterStyle9"/>
              </w:rPr>
              <w:t>0,00</w:t>
            </w:r>
          </w:p>
        </w:tc>
      </w:tr>
      <w:tr w:rsidR="007D706A" w14:paraId="4897D8E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6568461"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50215ECB"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2B3E7E9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78C4A51" w14:textId="77777777" w:rsidR="007D706A" w:rsidRDefault="007D706A" w:rsidP="00F70508">
            <w:pPr>
              <w:pStyle w:val="ParagraphStyle12"/>
              <w:rPr>
                <w:rStyle w:val="CharacterStyle12"/>
              </w:rPr>
            </w:pPr>
            <w:r>
              <w:rPr>
                <w:rStyle w:val="CharacterStyle12"/>
              </w:rPr>
              <w:t>33.000,00</w:t>
            </w:r>
          </w:p>
        </w:tc>
        <w:tc>
          <w:tcPr>
            <w:tcW w:w="1395" w:type="dxa"/>
            <w:tcBorders>
              <w:bottom w:val="single" w:sz="6" w:space="0" w:color="000000"/>
              <w:right w:val="single" w:sz="6" w:space="0" w:color="000000"/>
            </w:tcBorders>
            <w:vAlign w:val="center"/>
          </w:tcPr>
          <w:p w14:paraId="7C0BD3D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CCC190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CE92E08" w14:textId="77777777" w:rsidR="007D706A" w:rsidRDefault="007D706A" w:rsidP="00F70508">
            <w:pPr>
              <w:pStyle w:val="ParagraphStyle12"/>
              <w:rPr>
                <w:rStyle w:val="CharacterStyle12"/>
              </w:rPr>
            </w:pPr>
            <w:r>
              <w:rPr>
                <w:rStyle w:val="CharacterStyle12"/>
              </w:rPr>
              <w:t>0,00</w:t>
            </w:r>
          </w:p>
        </w:tc>
      </w:tr>
      <w:tr w:rsidR="007D706A" w14:paraId="6DADC7A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469C4DB"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68B1C758"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0739673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03A7B0F" w14:textId="77777777" w:rsidR="007D706A" w:rsidRDefault="007D706A" w:rsidP="00F70508">
            <w:pPr>
              <w:pStyle w:val="ParagraphStyle12"/>
              <w:rPr>
                <w:rStyle w:val="CharacterStyle12"/>
              </w:rPr>
            </w:pPr>
            <w:r>
              <w:rPr>
                <w:rStyle w:val="CharacterStyle12"/>
              </w:rPr>
              <w:t>33.000,00</w:t>
            </w:r>
          </w:p>
        </w:tc>
        <w:tc>
          <w:tcPr>
            <w:tcW w:w="1395" w:type="dxa"/>
            <w:tcBorders>
              <w:bottom w:val="single" w:sz="6" w:space="0" w:color="000000"/>
              <w:right w:val="single" w:sz="6" w:space="0" w:color="000000"/>
            </w:tcBorders>
            <w:vAlign w:val="center"/>
          </w:tcPr>
          <w:p w14:paraId="1E8FB78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A7FAD8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F30C977" w14:textId="77777777" w:rsidR="007D706A" w:rsidRDefault="007D706A" w:rsidP="00F70508">
            <w:pPr>
              <w:pStyle w:val="ParagraphStyle12"/>
              <w:rPr>
                <w:rStyle w:val="CharacterStyle12"/>
              </w:rPr>
            </w:pPr>
            <w:r>
              <w:rPr>
                <w:rStyle w:val="CharacterStyle12"/>
              </w:rPr>
              <w:t>0,00</w:t>
            </w:r>
          </w:p>
        </w:tc>
      </w:tr>
      <w:tr w:rsidR="007D706A" w14:paraId="12453D4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ED02675" w14:textId="77777777" w:rsidR="007D706A" w:rsidRDefault="007D706A" w:rsidP="00F70508">
            <w:pPr>
              <w:pStyle w:val="ParagraphStyle4"/>
              <w:rPr>
                <w:rStyle w:val="CharacterStyle4"/>
              </w:rPr>
            </w:pPr>
            <w:r>
              <w:rPr>
                <w:rStyle w:val="CharacterStyle4"/>
              </w:rPr>
              <w:t>Aktivnost A102304</w:t>
            </w:r>
          </w:p>
        </w:tc>
        <w:tc>
          <w:tcPr>
            <w:tcW w:w="4995" w:type="dxa"/>
            <w:tcBorders>
              <w:bottom w:val="single" w:sz="6" w:space="0" w:color="000000"/>
              <w:right w:val="single" w:sz="6" w:space="0" w:color="000000"/>
            </w:tcBorders>
            <w:vAlign w:val="center"/>
          </w:tcPr>
          <w:p w14:paraId="52602E8B" w14:textId="77777777" w:rsidR="007D706A" w:rsidRDefault="007D706A" w:rsidP="00F70508">
            <w:pPr>
              <w:pStyle w:val="ParagraphStyle5"/>
              <w:rPr>
                <w:rStyle w:val="CharacterStyle5"/>
              </w:rPr>
            </w:pPr>
            <w:r>
              <w:rPr>
                <w:rStyle w:val="CharacterStyle5"/>
              </w:rPr>
              <w:t>UKLANJANJE BESPRAVNE GRADNJE</w:t>
            </w:r>
          </w:p>
        </w:tc>
        <w:tc>
          <w:tcPr>
            <w:tcW w:w="1395" w:type="dxa"/>
            <w:tcBorders>
              <w:bottom w:val="single" w:sz="6" w:space="0" w:color="000000"/>
              <w:right w:val="single" w:sz="6" w:space="0" w:color="000000"/>
            </w:tcBorders>
            <w:vAlign w:val="center"/>
          </w:tcPr>
          <w:p w14:paraId="4EE674BE"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7A198C97" w14:textId="77777777" w:rsidR="007D706A" w:rsidRDefault="007D706A" w:rsidP="00F70508">
            <w:pPr>
              <w:pStyle w:val="ParagraphStyle6"/>
              <w:rPr>
                <w:rStyle w:val="CharacterStyle6"/>
              </w:rPr>
            </w:pPr>
            <w:r>
              <w:rPr>
                <w:rStyle w:val="CharacterStyle6"/>
              </w:rPr>
              <w:t>6.400,00</w:t>
            </w:r>
          </w:p>
        </w:tc>
        <w:tc>
          <w:tcPr>
            <w:tcW w:w="1395" w:type="dxa"/>
            <w:tcBorders>
              <w:bottom w:val="single" w:sz="6" w:space="0" w:color="000000"/>
              <w:right w:val="single" w:sz="6" w:space="0" w:color="000000"/>
            </w:tcBorders>
            <w:vAlign w:val="center"/>
          </w:tcPr>
          <w:p w14:paraId="41336874" w14:textId="77777777" w:rsidR="007D706A" w:rsidRDefault="007D706A" w:rsidP="00F70508">
            <w:pPr>
              <w:pStyle w:val="ParagraphStyle6"/>
              <w:rPr>
                <w:rStyle w:val="CharacterStyle6"/>
              </w:rPr>
            </w:pPr>
            <w:r>
              <w:rPr>
                <w:rStyle w:val="CharacterStyle6"/>
              </w:rPr>
              <w:t>6.400,00</w:t>
            </w:r>
          </w:p>
        </w:tc>
        <w:tc>
          <w:tcPr>
            <w:tcW w:w="1395" w:type="dxa"/>
            <w:tcBorders>
              <w:bottom w:val="single" w:sz="6" w:space="0" w:color="000000"/>
              <w:right w:val="single" w:sz="6" w:space="0" w:color="000000"/>
            </w:tcBorders>
            <w:vAlign w:val="center"/>
          </w:tcPr>
          <w:p w14:paraId="6C3AFDAF" w14:textId="77777777" w:rsidR="007D706A" w:rsidRDefault="007D706A" w:rsidP="00F70508">
            <w:pPr>
              <w:pStyle w:val="ParagraphStyle6"/>
              <w:rPr>
                <w:rStyle w:val="CharacterStyle6"/>
              </w:rPr>
            </w:pPr>
            <w:r>
              <w:rPr>
                <w:rStyle w:val="CharacterStyle6"/>
              </w:rPr>
              <w:t>6.400,00</w:t>
            </w:r>
          </w:p>
        </w:tc>
        <w:tc>
          <w:tcPr>
            <w:tcW w:w="1395" w:type="dxa"/>
            <w:tcBorders>
              <w:bottom w:val="single" w:sz="6" w:space="0" w:color="000000"/>
              <w:right w:val="single" w:sz="6" w:space="0" w:color="000000"/>
            </w:tcBorders>
            <w:vAlign w:val="center"/>
          </w:tcPr>
          <w:p w14:paraId="2E2310B8" w14:textId="77777777" w:rsidR="007D706A" w:rsidRDefault="007D706A" w:rsidP="00F70508">
            <w:pPr>
              <w:pStyle w:val="ParagraphStyle6"/>
              <w:rPr>
                <w:rStyle w:val="CharacterStyle6"/>
              </w:rPr>
            </w:pPr>
            <w:r>
              <w:rPr>
                <w:rStyle w:val="CharacterStyle6"/>
              </w:rPr>
              <w:t>6.400,00</w:t>
            </w:r>
          </w:p>
        </w:tc>
      </w:tr>
      <w:tr w:rsidR="007D706A" w14:paraId="401498A6"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54CD637" w14:textId="77777777" w:rsidR="007D706A" w:rsidRDefault="007D706A" w:rsidP="00F70508">
            <w:pPr>
              <w:pStyle w:val="ParagraphStyle7"/>
              <w:rPr>
                <w:rStyle w:val="CharacterStyle7"/>
              </w:rPr>
            </w:pPr>
            <w:r>
              <w:rPr>
                <w:rStyle w:val="CharacterStyle7"/>
              </w:rPr>
              <w:t>Izvor financiranja 40</w:t>
            </w:r>
          </w:p>
        </w:tc>
        <w:tc>
          <w:tcPr>
            <w:tcW w:w="4995" w:type="dxa"/>
            <w:tcBorders>
              <w:bottom w:val="single" w:sz="6" w:space="0" w:color="000000"/>
              <w:right w:val="single" w:sz="6" w:space="0" w:color="000000"/>
            </w:tcBorders>
            <w:vAlign w:val="center"/>
          </w:tcPr>
          <w:p w14:paraId="6FC2B466" w14:textId="77777777" w:rsidR="007D706A" w:rsidRDefault="007D706A" w:rsidP="00F70508">
            <w:pPr>
              <w:pStyle w:val="ParagraphStyle8"/>
              <w:rPr>
                <w:rStyle w:val="CharacterStyle8"/>
              </w:rPr>
            </w:pPr>
            <w:r>
              <w:rPr>
                <w:rStyle w:val="CharacterStyle8"/>
              </w:rPr>
              <w:t>Prihodi od komunalne naknade i komunalnog doprinosa</w:t>
            </w:r>
          </w:p>
        </w:tc>
        <w:tc>
          <w:tcPr>
            <w:tcW w:w="1395" w:type="dxa"/>
            <w:tcBorders>
              <w:bottom w:val="single" w:sz="6" w:space="0" w:color="000000"/>
              <w:right w:val="single" w:sz="6" w:space="0" w:color="000000"/>
            </w:tcBorders>
            <w:vAlign w:val="center"/>
          </w:tcPr>
          <w:p w14:paraId="1B8FA4A5"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0ABFD85"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129BE45" w14:textId="77777777" w:rsidR="007D706A" w:rsidRDefault="007D706A" w:rsidP="00F70508">
            <w:pPr>
              <w:pStyle w:val="ParagraphStyle9"/>
              <w:rPr>
                <w:rStyle w:val="CharacterStyle9"/>
              </w:rPr>
            </w:pPr>
            <w:r>
              <w:rPr>
                <w:rStyle w:val="CharacterStyle9"/>
              </w:rPr>
              <w:t>6.400,00</w:t>
            </w:r>
          </w:p>
        </w:tc>
        <w:tc>
          <w:tcPr>
            <w:tcW w:w="1395" w:type="dxa"/>
            <w:tcBorders>
              <w:bottom w:val="single" w:sz="6" w:space="0" w:color="000000"/>
              <w:right w:val="single" w:sz="6" w:space="0" w:color="000000"/>
            </w:tcBorders>
            <w:vAlign w:val="center"/>
          </w:tcPr>
          <w:p w14:paraId="097526B9" w14:textId="77777777" w:rsidR="007D706A" w:rsidRDefault="007D706A" w:rsidP="00F70508">
            <w:pPr>
              <w:pStyle w:val="ParagraphStyle9"/>
              <w:rPr>
                <w:rStyle w:val="CharacterStyle9"/>
              </w:rPr>
            </w:pPr>
            <w:r>
              <w:rPr>
                <w:rStyle w:val="CharacterStyle9"/>
              </w:rPr>
              <w:t>6.400,00</w:t>
            </w:r>
          </w:p>
        </w:tc>
        <w:tc>
          <w:tcPr>
            <w:tcW w:w="1395" w:type="dxa"/>
            <w:tcBorders>
              <w:bottom w:val="single" w:sz="6" w:space="0" w:color="000000"/>
              <w:right w:val="single" w:sz="6" w:space="0" w:color="000000"/>
            </w:tcBorders>
            <w:vAlign w:val="center"/>
          </w:tcPr>
          <w:p w14:paraId="6E5B4FE3" w14:textId="77777777" w:rsidR="007D706A" w:rsidRDefault="007D706A" w:rsidP="00F70508">
            <w:pPr>
              <w:pStyle w:val="ParagraphStyle9"/>
              <w:rPr>
                <w:rStyle w:val="CharacterStyle9"/>
              </w:rPr>
            </w:pPr>
            <w:r>
              <w:rPr>
                <w:rStyle w:val="CharacterStyle9"/>
              </w:rPr>
              <w:t>6.400,00</w:t>
            </w:r>
          </w:p>
        </w:tc>
      </w:tr>
      <w:tr w:rsidR="007D706A" w14:paraId="30F272F6"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130E268"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7B6AA245"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44E01FE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53413D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9E9164A" w14:textId="77777777" w:rsidR="007D706A" w:rsidRDefault="007D706A" w:rsidP="00F70508">
            <w:pPr>
              <w:pStyle w:val="ParagraphStyle12"/>
              <w:rPr>
                <w:rStyle w:val="CharacterStyle12"/>
              </w:rPr>
            </w:pPr>
            <w:r>
              <w:rPr>
                <w:rStyle w:val="CharacterStyle12"/>
              </w:rPr>
              <w:t>6.400,00</w:t>
            </w:r>
          </w:p>
        </w:tc>
        <w:tc>
          <w:tcPr>
            <w:tcW w:w="1395" w:type="dxa"/>
            <w:tcBorders>
              <w:bottom w:val="single" w:sz="6" w:space="0" w:color="000000"/>
              <w:right w:val="single" w:sz="6" w:space="0" w:color="000000"/>
            </w:tcBorders>
            <w:vAlign w:val="center"/>
          </w:tcPr>
          <w:p w14:paraId="1E08D4CD" w14:textId="77777777" w:rsidR="007D706A" w:rsidRDefault="007D706A" w:rsidP="00F70508">
            <w:pPr>
              <w:pStyle w:val="ParagraphStyle12"/>
              <w:rPr>
                <w:rStyle w:val="CharacterStyle12"/>
              </w:rPr>
            </w:pPr>
            <w:r>
              <w:rPr>
                <w:rStyle w:val="CharacterStyle12"/>
              </w:rPr>
              <w:t>6.400,00</w:t>
            </w:r>
          </w:p>
        </w:tc>
        <w:tc>
          <w:tcPr>
            <w:tcW w:w="1395" w:type="dxa"/>
            <w:tcBorders>
              <w:bottom w:val="single" w:sz="6" w:space="0" w:color="000000"/>
              <w:right w:val="single" w:sz="6" w:space="0" w:color="000000"/>
            </w:tcBorders>
            <w:vAlign w:val="center"/>
          </w:tcPr>
          <w:p w14:paraId="53D86DA0" w14:textId="77777777" w:rsidR="007D706A" w:rsidRDefault="007D706A" w:rsidP="00F70508">
            <w:pPr>
              <w:pStyle w:val="ParagraphStyle12"/>
              <w:rPr>
                <w:rStyle w:val="CharacterStyle12"/>
              </w:rPr>
            </w:pPr>
            <w:r>
              <w:rPr>
                <w:rStyle w:val="CharacterStyle12"/>
              </w:rPr>
              <w:t>6.400,00</w:t>
            </w:r>
          </w:p>
        </w:tc>
      </w:tr>
      <w:tr w:rsidR="007D706A" w14:paraId="06E5576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031070E"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53E88D0F"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1B7864A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4B9F2D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CA72231" w14:textId="77777777" w:rsidR="007D706A" w:rsidRDefault="007D706A" w:rsidP="00F70508">
            <w:pPr>
              <w:pStyle w:val="ParagraphStyle12"/>
              <w:rPr>
                <w:rStyle w:val="CharacterStyle12"/>
              </w:rPr>
            </w:pPr>
            <w:r>
              <w:rPr>
                <w:rStyle w:val="CharacterStyle12"/>
              </w:rPr>
              <w:t>6.400,00</w:t>
            </w:r>
          </w:p>
        </w:tc>
        <w:tc>
          <w:tcPr>
            <w:tcW w:w="1395" w:type="dxa"/>
            <w:tcBorders>
              <w:bottom w:val="single" w:sz="6" w:space="0" w:color="000000"/>
              <w:right w:val="single" w:sz="6" w:space="0" w:color="000000"/>
            </w:tcBorders>
            <w:vAlign w:val="center"/>
          </w:tcPr>
          <w:p w14:paraId="52D768DF" w14:textId="77777777" w:rsidR="007D706A" w:rsidRDefault="007D706A" w:rsidP="00F70508">
            <w:pPr>
              <w:pStyle w:val="ParagraphStyle12"/>
              <w:rPr>
                <w:rStyle w:val="CharacterStyle12"/>
              </w:rPr>
            </w:pPr>
            <w:r>
              <w:rPr>
                <w:rStyle w:val="CharacterStyle12"/>
              </w:rPr>
              <w:t>6.400,00</w:t>
            </w:r>
          </w:p>
        </w:tc>
        <w:tc>
          <w:tcPr>
            <w:tcW w:w="1395" w:type="dxa"/>
            <w:tcBorders>
              <w:bottom w:val="single" w:sz="6" w:space="0" w:color="000000"/>
              <w:right w:val="single" w:sz="6" w:space="0" w:color="000000"/>
            </w:tcBorders>
            <w:vAlign w:val="center"/>
          </w:tcPr>
          <w:p w14:paraId="2CDF2042" w14:textId="77777777" w:rsidR="007D706A" w:rsidRDefault="007D706A" w:rsidP="00F70508">
            <w:pPr>
              <w:pStyle w:val="ParagraphStyle12"/>
              <w:rPr>
                <w:rStyle w:val="CharacterStyle12"/>
              </w:rPr>
            </w:pPr>
            <w:r>
              <w:rPr>
                <w:rStyle w:val="CharacterStyle12"/>
              </w:rPr>
              <w:t>6.400,00</w:t>
            </w:r>
          </w:p>
        </w:tc>
      </w:tr>
      <w:tr w:rsidR="007D706A" w14:paraId="08E6EA4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755B7B9" w14:textId="77777777" w:rsidR="007D706A" w:rsidRDefault="007D706A" w:rsidP="00F70508">
            <w:pPr>
              <w:pStyle w:val="ParagraphStyle7"/>
              <w:rPr>
                <w:rStyle w:val="CharacterStyle7"/>
              </w:rPr>
            </w:pPr>
            <w:r>
              <w:rPr>
                <w:rStyle w:val="CharacterStyle7"/>
              </w:rPr>
              <w:t>Izvor financiranja 41</w:t>
            </w:r>
          </w:p>
        </w:tc>
        <w:tc>
          <w:tcPr>
            <w:tcW w:w="4995" w:type="dxa"/>
            <w:tcBorders>
              <w:bottom w:val="single" w:sz="6" w:space="0" w:color="000000"/>
              <w:right w:val="single" w:sz="6" w:space="0" w:color="000000"/>
            </w:tcBorders>
            <w:vAlign w:val="center"/>
          </w:tcPr>
          <w:p w14:paraId="1E75F060" w14:textId="77777777" w:rsidR="007D706A" w:rsidRDefault="007D706A" w:rsidP="00F70508">
            <w:pPr>
              <w:pStyle w:val="ParagraphStyle8"/>
              <w:rPr>
                <w:rStyle w:val="CharacterStyle8"/>
              </w:rPr>
            </w:pPr>
            <w:r>
              <w:rPr>
                <w:rStyle w:val="CharacterStyle8"/>
              </w:rPr>
              <w:t>Prihodi za posebne namjene</w:t>
            </w:r>
          </w:p>
        </w:tc>
        <w:tc>
          <w:tcPr>
            <w:tcW w:w="1395" w:type="dxa"/>
            <w:tcBorders>
              <w:bottom w:val="single" w:sz="6" w:space="0" w:color="000000"/>
              <w:right w:val="single" w:sz="6" w:space="0" w:color="000000"/>
            </w:tcBorders>
            <w:vAlign w:val="center"/>
          </w:tcPr>
          <w:p w14:paraId="2D93673F"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AECA399" w14:textId="77777777" w:rsidR="007D706A" w:rsidRDefault="007D706A" w:rsidP="00F70508">
            <w:pPr>
              <w:pStyle w:val="ParagraphStyle9"/>
              <w:rPr>
                <w:rStyle w:val="CharacterStyle9"/>
              </w:rPr>
            </w:pPr>
            <w:r>
              <w:rPr>
                <w:rStyle w:val="CharacterStyle9"/>
              </w:rPr>
              <w:t>6.400,00</w:t>
            </w:r>
          </w:p>
        </w:tc>
        <w:tc>
          <w:tcPr>
            <w:tcW w:w="1395" w:type="dxa"/>
            <w:tcBorders>
              <w:bottom w:val="single" w:sz="6" w:space="0" w:color="000000"/>
              <w:right w:val="single" w:sz="6" w:space="0" w:color="000000"/>
            </w:tcBorders>
            <w:vAlign w:val="center"/>
          </w:tcPr>
          <w:p w14:paraId="334CD18A"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50F7460"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CF04729" w14:textId="77777777" w:rsidR="007D706A" w:rsidRDefault="007D706A" w:rsidP="00F70508">
            <w:pPr>
              <w:pStyle w:val="ParagraphStyle9"/>
              <w:rPr>
                <w:rStyle w:val="CharacterStyle9"/>
              </w:rPr>
            </w:pPr>
            <w:r>
              <w:rPr>
                <w:rStyle w:val="CharacterStyle9"/>
              </w:rPr>
              <w:t>0,00</w:t>
            </w:r>
          </w:p>
        </w:tc>
      </w:tr>
      <w:tr w:rsidR="007D706A" w14:paraId="788C281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DB58AD8"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589C4208"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7D9E044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216C354" w14:textId="77777777" w:rsidR="007D706A" w:rsidRDefault="007D706A" w:rsidP="00F70508">
            <w:pPr>
              <w:pStyle w:val="ParagraphStyle12"/>
              <w:rPr>
                <w:rStyle w:val="CharacterStyle12"/>
              </w:rPr>
            </w:pPr>
            <w:r>
              <w:rPr>
                <w:rStyle w:val="CharacterStyle12"/>
              </w:rPr>
              <w:t>6.400,00</w:t>
            </w:r>
          </w:p>
        </w:tc>
        <w:tc>
          <w:tcPr>
            <w:tcW w:w="1395" w:type="dxa"/>
            <w:tcBorders>
              <w:bottom w:val="single" w:sz="6" w:space="0" w:color="000000"/>
              <w:right w:val="single" w:sz="6" w:space="0" w:color="000000"/>
            </w:tcBorders>
            <w:vAlign w:val="center"/>
          </w:tcPr>
          <w:p w14:paraId="2E50358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6221E8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5F95058" w14:textId="77777777" w:rsidR="007D706A" w:rsidRDefault="007D706A" w:rsidP="00F70508">
            <w:pPr>
              <w:pStyle w:val="ParagraphStyle12"/>
              <w:rPr>
                <w:rStyle w:val="CharacterStyle12"/>
              </w:rPr>
            </w:pPr>
            <w:r>
              <w:rPr>
                <w:rStyle w:val="CharacterStyle12"/>
              </w:rPr>
              <w:t>0,00</w:t>
            </w:r>
          </w:p>
        </w:tc>
      </w:tr>
      <w:tr w:rsidR="007D706A" w14:paraId="4CF6340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3EBF352"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7DE26455"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712FFF0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957639E" w14:textId="77777777" w:rsidR="007D706A" w:rsidRDefault="007D706A" w:rsidP="00F70508">
            <w:pPr>
              <w:pStyle w:val="ParagraphStyle12"/>
              <w:rPr>
                <w:rStyle w:val="CharacterStyle12"/>
              </w:rPr>
            </w:pPr>
            <w:r>
              <w:rPr>
                <w:rStyle w:val="CharacterStyle12"/>
              </w:rPr>
              <w:t>6.400,00</w:t>
            </w:r>
          </w:p>
        </w:tc>
        <w:tc>
          <w:tcPr>
            <w:tcW w:w="1395" w:type="dxa"/>
            <w:tcBorders>
              <w:bottom w:val="single" w:sz="6" w:space="0" w:color="000000"/>
              <w:right w:val="single" w:sz="6" w:space="0" w:color="000000"/>
            </w:tcBorders>
            <w:vAlign w:val="center"/>
          </w:tcPr>
          <w:p w14:paraId="0895878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B7D2BC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C05FE36" w14:textId="77777777" w:rsidR="007D706A" w:rsidRDefault="007D706A" w:rsidP="00F70508">
            <w:pPr>
              <w:pStyle w:val="ParagraphStyle12"/>
              <w:rPr>
                <w:rStyle w:val="CharacterStyle12"/>
              </w:rPr>
            </w:pPr>
            <w:r>
              <w:rPr>
                <w:rStyle w:val="CharacterStyle12"/>
              </w:rPr>
              <w:t>0,00</w:t>
            </w:r>
          </w:p>
        </w:tc>
      </w:tr>
      <w:tr w:rsidR="007D706A" w14:paraId="25AA124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C361B21" w14:textId="77777777" w:rsidR="007D706A" w:rsidRDefault="007D706A" w:rsidP="00F70508">
            <w:pPr>
              <w:pStyle w:val="ParagraphStyle4"/>
              <w:rPr>
                <w:rStyle w:val="CharacterStyle4"/>
              </w:rPr>
            </w:pPr>
            <w:r>
              <w:rPr>
                <w:rStyle w:val="CharacterStyle4"/>
              </w:rPr>
              <w:t>Aktivnost A102305</w:t>
            </w:r>
          </w:p>
        </w:tc>
        <w:tc>
          <w:tcPr>
            <w:tcW w:w="4995" w:type="dxa"/>
            <w:tcBorders>
              <w:bottom w:val="single" w:sz="6" w:space="0" w:color="000000"/>
              <w:right w:val="single" w:sz="6" w:space="0" w:color="000000"/>
            </w:tcBorders>
            <w:vAlign w:val="center"/>
          </w:tcPr>
          <w:p w14:paraId="62BB71C4" w14:textId="77777777" w:rsidR="007D706A" w:rsidRDefault="007D706A" w:rsidP="00F70508">
            <w:pPr>
              <w:pStyle w:val="ParagraphStyle5"/>
              <w:rPr>
                <w:rStyle w:val="CharacterStyle5"/>
              </w:rPr>
            </w:pPr>
            <w:r>
              <w:rPr>
                <w:rStyle w:val="CharacterStyle5"/>
              </w:rPr>
              <w:t>SUFINANCIRANJE ZAMJENE POKROVA KOJI SADRŽE AZBEST</w:t>
            </w:r>
          </w:p>
        </w:tc>
        <w:tc>
          <w:tcPr>
            <w:tcW w:w="1395" w:type="dxa"/>
            <w:tcBorders>
              <w:bottom w:val="single" w:sz="6" w:space="0" w:color="000000"/>
              <w:right w:val="single" w:sz="6" w:space="0" w:color="000000"/>
            </w:tcBorders>
            <w:vAlign w:val="center"/>
          </w:tcPr>
          <w:p w14:paraId="4C084F8F"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75E0F53E" w14:textId="77777777" w:rsidR="007D706A" w:rsidRDefault="007D706A" w:rsidP="00F70508">
            <w:pPr>
              <w:pStyle w:val="ParagraphStyle6"/>
              <w:rPr>
                <w:rStyle w:val="CharacterStyle6"/>
              </w:rPr>
            </w:pPr>
            <w:r>
              <w:rPr>
                <w:rStyle w:val="CharacterStyle6"/>
              </w:rPr>
              <w:t>6.800,00</w:t>
            </w:r>
          </w:p>
        </w:tc>
        <w:tc>
          <w:tcPr>
            <w:tcW w:w="1395" w:type="dxa"/>
            <w:tcBorders>
              <w:bottom w:val="single" w:sz="6" w:space="0" w:color="000000"/>
              <w:right w:val="single" w:sz="6" w:space="0" w:color="000000"/>
            </w:tcBorders>
            <w:vAlign w:val="center"/>
          </w:tcPr>
          <w:p w14:paraId="522D32A0" w14:textId="77777777" w:rsidR="007D706A" w:rsidRDefault="007D706A" w:rsidP="00F70508">
            <w:pPr>
              <w:pStyle w:val="ParagraphStyle6"/>
              <w:rPr>
                <w:rStyle w:val="CharacterStyle6"/>
              </w:rPr>
            </w:pPr>
            <w:r>
              <w:rPr>
                <w:rStyle w:val="CharacterStyle6"/>
              </w:rPr>
              <w:t>7.000,00</w:t>
            </w:r>
          </w:p>
        </w:tc>
        <w:tc>
          <w:tcPr>
            <w:tcW w:w="1395" w:type="dxa"/>
            <w:tcBorders>
              <w:bottom w:val="single" w:sz="6" w:space="0" w:color="000000"/>
              <w:right w:val="single" w:sz="6" w:space="0" w:color="000000"/>
            </w:tcBorders>
            <w:vAlign w:val="center"/>
          </w:tcPr>
          <w:p w14:paraId="2AFBFB91" w14:textId="77777777" w:rsidR="007D706A" w:rsidRDefault="007D706A" w:rsidP="00F70508">
            <w:pPr>
              <w:pStyle w:val="ParagraphStyle6"/>
              <w:rPr>
                <w:rStyle w:val="CharacterStyle6"/>
              </w:rPr>
            </w:pPr>
            <w:r>
              <w:rPr>
                <w:rStyle w:val="CharacterStyle6"/>
              </w:rPr>
              <w:t>7.000,00</w:t>
            </w:r>
          </w:p>
        </w:tc>
        <w:tc>
          <w:tcPr>
            <w:tcW w:w="1395" w:type="dxa"/>
            <w:tcBorders>
              <w:bottom w:val="single" w:sz="6" w:space="0" w:color="000000"/>
              <w:right w:val="single" w:sz="6" w:space="0" w:color="000000"/>
            </w:tcBorders>
            <w:vAlign w:val="center"/>
          </w:tcPr>
          <w:p w14:paraId="1FEEC28B" w14:textId="77777777" w:rsidR="007D706A" w:rsidRDefault="007D706A" w:rsidP="00F70508">
            <w:pPr>
              <w:pStyle w:val="ParagraphStyle6"/>
              <w:rPr>
                <w:rStyle w:val="CharacterStyle6"/>
              </w:rPr>
            </w:pPr>
            <w:r>
              <w:rPr>
                <w:rStyle w:val="CharacterStyle6"/>
              </w:rPr>
              <w:t>7.000,00</w:t>
            </w:r>
          </w:p>
        </w:tc>
      </w:tr>
      <w:tr w:rsidR="007D706A" w14:paraId="16DF840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88D22F1" w14:textId="77777777" w:rsidR="007D706A" w:rsidRDefault="007D706A" w:rsidP="00F70508">
            <w:pPr>
              <w:pStyle w:val="ParagraphStyle7"/>
              <w:rPr>
                <w:rStyle w:val="CharacterStyle7"/>
              </w:rPr>
            </w:pPr>
            <w:r>
              <w:rPr>
                <w:rStyle w:val="CharacterStyle7"/>
              </w:rPr>
              <w:lastRenderedPageBreak/>
              <w:t>Izvor financiranja 40</w:t>
            </w:r>
          </w:p>
        </w:tc>
        <w:tc>
          <w:tcPr>
            <w:tcW w:w="4995" w:type="dxa"/>
            <w:tcBorders>
              <w:bottom w:val="single" w:sz="6" w:space="0" w:color="000000"/>
              <w:right w:val="single" w:sz="6" w:space="0" w:color="000000"/>
            </w:tcBorders>
            <w:vAlign w:val="center"/>
          </w:tcPr>
          <w:p w14:paraId="29821A8B" w14:textId="77777777" w:rsidR="007D706A" w:rsidRDefault="007D706A" w:rsidP="00F70508">
            <w:pPr>
              <w:pStyle w:val="ParagraphStyle8"/>
              <w:rPr>
                <w:rStyle w:val="CharacterStyle8"/>
              </w:rPr>
            </w:pPr>
            <w:r>
              <w:rPr>
                <w:rStyle w:val="CharacterStyle8"/>
              </w:rPr>
              <w:t>Prihodi od komunalne naknade i komunalnog doprinosa</w:t>
            </w:r>
          </w:p>
        </w:tc>
        <w:tc>
          <w:tcPr>
            <w:tcW w:w="1395" w:type="dxa"/>
            <w:tcBorders>
              <w:bottom w:val="single" w:sz="6" w:space="0" w:color="000000"/>
              <w:right w:val="single" w:sz="6" w:space="0" w:color="000000"/>
            </w:tcBorders>
            <w:vAlign w:val="center"/>
          </w:tcPr>
          <w:p w14:paraId="7F4119AA"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F82806C"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C859E34" w14:textId="77777777" w:rsidR="007D706A" w:rsidRDefault="007D706A" w:rsidP="00F70508">
            <w:pPr>
              <w:pStyle w:val="ParagraphStyle9"/>
              <w:rPr>
                <w:rStyle w:val="CharacterStyle9"/>
              </w:rPr>
            </w:pPr>
            <w:r>
              <w:rPr>
                <w:rStyle w:val="CharacterStyle9"/>
              </w:rPr>
              <w:t>7.000,00</w:t>
            </w:r>
          </w:p>
        </w:tc>
        <w:tc>
          <w:tcPr>
            <w:tcW w:w="1395" w:type="dxa"/>
            <w:tcBorders>
              <w:bottom w:val="single" w:sz="6" w:space="0" w:color="000000"/>
              <w:right w:val="single" w:sz="6" w:space="0" w:color="000000"/>
            </w:tcBorders>
            <w:vAlign w:val="center"/>
          </w:tcPr>
          <w:p w14:paraId="3D130B2E" w14:textId="77777777" w:rsidR="007D706A" w:rsidRDefault="007D706A" w:rsidP="00F70508">
            <w:pPr>
              <w:pStyle w:val="ParagraphStyle9"/>
              <w:rPr>
                <w:rStyle w:val="CharacterStyle9"/>
              </w:rPr>
            </w:pPr>
            <w:r>
              <w:rPr>
                <w:rStyle w:val="CharacterStyle9"/>
              </w:rPr>
              <w:t>7.000,00</w:t>
            </w:r>
          </w:p>
        </w:tc>
        <w:tc>
          <w:tcPr>
            <w:tcW w:w="1395" w:type="dxa"/>
            <w:tcBorders>
              <w:bottom w:val="single" w:sz="6" w:space="0" w:color="000000"/>
              <w:right w:val="single" w:sz="6" w:space="0" w:color="000000"/>
            </w:tcBorders>
            <w:vAlign w:val="center"/>
          </w:tcPr>
          <w:p w14:paraId="1EA0B8D5" w14:textId="77777777" w:rsidR="007D706A" w:rsidRDefault="007D706A" w:rsidP="00F70508">
            <w:pPr>
              <w:pStyle w:val="ParagraphStyle9"/>
              <w:rPr>
                <w:rStyle w:val="CharacterStyle9"/>
              </w:rPr>
            </w:pPr>
            <w:r>
              <w:rPr>
                <w:rStyle w:val="CharacterStyle9"/>
              </w:rPr>
              <w:t>7.000,00</w:t>
            </w:r>
          </w:p>
        </w:tc>
      </w:tr>
      <w:tr w:rsidR="007D706A" w14:paraId="73DE489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7D96A79"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0AD65A95"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5C5DC99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50A857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FADD149" w14:textId="77777777" w:rsidR="007D706A" w:rsidRDefault="007D706A" w:rsidP="00F70508">
            <w:pPr>
              <w:pStyle w:val="ParagraphStyle12"/>
              <w:rPr>
                <w:rStyle w:val="CharacterStyle12"/>
              </w:rPr>
            </w:pPr>
            <w:r>
              <w:rPr>
                <w:rStyle w:val="CharacterStyle12"/>
              </w:rPr>
              <w:t>7.000,00</w:t>
            </w:r>
          </w:p>
        </w:tc>
        <w:tc>
          <w:tcPr>
            <w:tcW w:w="1395" w:type="dxa"/>
            <w:tcBorders>
              <w:bottom w:val="single" w:sz="6" w:space="0" w:color="000000"/>
              <w:right w:val="single" w:sz="6" w:space="0" w:color="000000"/>
            </w:tcBorders>
            <w:vAlign w:val="center"/>
          </w:tcPr>
          <w:p w14:paraId="5A42AED1" w14:textId="77777777" w:rsidR="007D706A" w:rsidRDefault="007D706A" w:rsidP="00F70508">
            <w:pPr>
              <w:pStyle w:val="ParagraphStyle12"/>
              <w:rPr>
                <w:rStyle w:val="CharacterStyle12"/>
              </w:rPr>
            </w:pPr>
            <w:r>
              <w:rPr>
                <w:rStyle w:val="CharacterStyle12"/>
              </w:rPr>
              <w:t>7.000,00</w:t>
            </w:r>
          </w:p>
        </w:tc>
        <w:tc>
          <w:tcPr>
            <w:tcW w:w="1395" w:type="dxa"/>
            <w:tcBorders>
              <w:bottom w:val="single" w:sz="6" w:space="0" w:color="000000"/>
              <w:right w:val="single" w:sz="6" w:space="0" w:color="000000"/>
            </w:tcBorders>
            <w:vAlign w:val="center"/>
          </w:tcPr>
          <w:p w14:paraId="4B3964D6" w14:textId="77777777" w:rsidR="007D706A" w:rsidRDefault="007D706A" w:rsidP="00F70508">
            <w:pPr>
              <w:pStyle w:val="ParagraphStyle12"/>
              <w:rPr>
                <w:rStyle w:val="CharacterStyle12"/>
              </w:rPr>
            </w:pPr>
            <w:r>
              <w:rPr>
                <w:rStyle w:val="CharacterStyle12"/>
              </w:rPr>
              <w:t>7.000,00</w:t>
            </w:r>
          </w:p>
        </w:tc>
      </w:tr>
      <w:tr w:rsidR="007D706A" w14:paraId="673A5FE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192F948"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6E721CE4"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2ACB399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16CF28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BA1FADD" w14:textId="77777777" w:rsidR="007D706A" w:rsidRDefault="007D706A" w:rsidP="00F70508">
            <w:pPr>
              <w:pStyle w:val="ParagraphStyle12"/>
              <w:rPr>
                <w:rStyle w:val="CharacterStyle12"/>
              </w:rPr>
            </w:pPr>
            <w:r>
              <w:rPr>
                <w:rStyle w:val="CharacterStyle12"/>
              </w:rPr>
              <w:t>4.000,00</w:t>
            </w:r>
          </w:p>
        </w:tc>
        <w:tc>
          <w:tcPr>
            <w:tcW w:w="1395" w:type="dxa"/>
            <w:tcBorders>
              <w:bottom w:val="single" w:sz="6" w:space="0" w:color="000000"/>
              <w:right w:val="single" w:sz="6" w:space="0" w:color="000000"/>
            </w:tcBorders>
            <w:vAlign w:val="center"/>
          </w:tcPr>
          <w:p w14:paraId="7021E2D9" w14:textId="77777777" w:rsidR="007D706A" w:rsidRDefault="007D706A" w:rsidP="00F70508">
            <w:pPr>
              <w:pStyle w:val="ParagraphStyle12"/>
              <w:rPr>
                <w:rStyle w:val="CharacterStyle12"/>
              </w:rPr>
            </w:pPr>
            <w:r>
              <w:rPr>
                <w:rStyle w:val="CharacterStyle12"/>
              </w:rPr>
              <w:t>4.000,00</w:t>
            </w:r>
          </w:p>
        </w:tc>
        <w:tc>
          <w:tcPr>
            <w:tcW w:w="1395" w:type="dxa"/>
            <w:tcBorders>
              <w:bottom w:val="single" w:sz="6" w:space="0" w:color="000000"/>
              <w:right w:val="single" w:sz="6" w:space="0" w:color="000000"/>
            </w:tcBorders>
            <w:vAlign w:val="center"/>
          </w:tcPr>
          <w:p w14:paraId="5F08949E" w14:textId="77777777" w:rsidR="007D706A" w:rsidRDefault="007D706A" w:rsidP="00F70508">
            <w:pPr>
              <w:pStyle w:val="ParagraphStyle12"/>
              <w:rPr>
                <w:rStyle w:val="CharacterStyle12"/>
              </w:rPr>
            </w:pPr>
            <w:r>
              <w:rPr>
                <w:rStyle w:val="CharacterStyle12"/>
              </w:rPr>
              <w:t>4.000,00</w:t>
            </w:r>
          </w:p>
        </w:tc>
      </w:tr>
      <w:tr w:rsidR="007D706A" w14:paraId="588F2DDC" w14:textId="77777777" w:rsidTr="00F70508">
        <w:trPr>
          <w:trHeight w:val="405"/>
        </w:trPr>
        <w:tc>
          <w:tcPr>
            <w:tcW w:w="2880" w:type="dxa"/>
            <w:tcBorders>
              <w:left w:val="single" w:sz="6" w:space="0" w:color="000000"/>
              <w:bottom w:val="single" w:sz="6" w:space="0" w:color="000000"/>
              <w:right w:val="single" w:sz="6" w:space="0" w:color="000000"/>
            </w:tcBorders>
            <w:vAlign w:val="center"/>
          </w:tcPr>
          <w:p w14:paraId="457E9123" w14:textId="77777777" w:rsidR="007D706A" w:rsidRDefault="007D706A" w:rsidP="00F70508">
            <w:pPr>
              <w:pStyle w:val="ParagraphStyle10"/>
              <w:rPr>
                <w:rStyle w:val="CharacterStyle10"/>
              </w:rPr>
            </w:pPr>
            <w:r>
              <w:rPr>
                <w:rStyle w:val="CharacterStyle10"/>
              </w:rPr>
              <w:t>37</w:t>
            </w:r>
          </w:p>
        </w:tc>
        <w:tc>
          <w:tcPr>
            <w:tcW w:w="4995" w:type="dxa"/>
            <w:tcBorders>
              <w:bottom w:val="single" w:sz="6" w:space="0" w:color="000000"/>
              <w:right w:val="single" w:sz="6" w:space="0" w:color="000000"/>
            </w:tcBorders>
            <w:vAlign w:val="center"/>
          </w:tcPr>
          <w:p w14:paraId="2392D298" w14:textId="77777777" w:rsidR="007D706A" w:rsidRDefault="007D706A" w:rsidP="00F70508">
            <w:pPr>
              <w:pStyle w:val="ParagraphStyle11"/>
              <w:rPr>
                <w:rStyle w:val="CharacterStyle11"/>
              </w:rPr>
            </w:pPr>
            <w:r>
              <w:rPr>
                <w:rStyle w:val="CharacterStyle11"/>
              </w:rPr>
              <w:t>Naknade građanima i kućanstvima na temelju osiguranja i druge naknade</w:t>
            </w:r>
          </w:p>
        </w:tc>
        <w:tc>
          <w:tcPr>
            <w:tcW w:w="1395" w:type="dxa"/>
            <w:tcBorders>
              <w:bottom w:val="single" w:sz="6" w:space="0" w:color="000000"/>
              <w:right w:val="single" w:sz="6" w:space="0" w:color="000000"/>
            </w:tcBorders>
            <w:vAlign w:val="center"/>
          </w:tcPr>
          <w:p w14:paraId="52A5D3C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EB9785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C4A8AA7" w14:textId="77777777" w:rsidR="007D706A" w:rsidRDefault="007D706A" w:rsidP="00F70508">
            <w:pPr>
              <w:pStyle w:val="ParagraphStyle12"/>
              <w:rPr>
                <w:rStyle w:val="CharacterStyle12"/>
              </w:rPr>
            </w:pPr>
            <w:r>
              <w:rPr>
                <w:rStyle w:val="CharacterStyle12"/>
              </w:rPr>
              <w:t>3.000,00</w:t>
            </w:r>
          </w:p>
        </w:tc>
        <w:tc>
          <w:tcPr>
            <w:tcW w:w="1395" w:type="dxa"/>
            <w:tcBorders>
              <w:bottom w:val="single" w:sz="6" w:space="0" w:color="000000"/>
              <w:right w:val="single" w:sz="6" w:space="0" w:color="000000"/>
            </w:tcBorders>
            <w:vAlign w:val="center"/>
          </w:tcPr>
          <w:p w14:paraId="02B61BD6" w14:textId="77777777" w:rsidR="007D706A" w:rsidRDefault="007D706A" w:rsidP="00F70508">
            <w:pPr>
              <w:pStyle w:val="ParagraphStyle12"/>
              <w:rPr>
                <w:rStyle w:val="CharacterStyle12"/>
              </w:rPr>
            </w:pPr>
            <w:r>
              <w:rPr>
                <w:rStyle w:val="CharacterStyle12"/>
              </w:rPr>
              <w:t>3.000,00</w:t>
            </w:r>
          </w:p>
        </w:tc>
        <w:tc>
          <w:tcPr>
            <w:tcW w:w="1395" w:type="dxa"/>
            <w:tcBorders>
              <w:bottom w:val="single" w:sz="6" w:space="0" w:color="000000"/>
              <w:right w:val="single" w:sz="6" w:space="0" w:color="000000"/>
            </w:tcBorders>
            <w:vAlign w:val="center"/>
          </w:tcPr>
          <w:p w14:paraId="1F569B43" w14:textId="77777777" w:rsidR="007D706A" w:rsidRDefault="007D706A" w:rsidP="00F70508">
            <w:pPr>
              <w:pStyle w:val="ParagraphStyle12"/>
              <w:rPr>
                <w:rStyle w:val="CharacterStyle12"/>
              </w:rPr>
            </w:pPr>
            <w:r>
              <w:rPr>
                <w:rStyle w:val="CharacterStyle12"/>
              </w:rPr>
              <w:t>3.000,00</w:t>
            </w:r>
          </w:p>
        </w:tc>
      </w:tr>
      <w:tr w:rsidR="007D706A" w14:paraId="6EDC3BE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7DF3D92" w14:textId="77777777" w:rsidR="007D706A" w:rsidRDefault="007D706A" w:rsidP="00F70508">
            <w:pPr>
              <w:pStyle w:val="ParagraphStyle7"/>
              <w:rPr>
                <w:rStyle w:val="CharacterStyle7"/>
              </w:rPr>
            </w:pPr>
            <w:r>
              <w:rPr>
                <w:rStyle w:val="CharacterStyle7"/>
              </w:rPr>
              <w:t>Izvor financiranja 41</w:t>
            </w:r>
          </w:p>
        </w:tc>
        <w:tc>
          <w:tcPr>
            <w:tcW w:w="4995" w:type="dxa"/>
            <w:tcBorders>
              <w:bottom w:val="single" w:sz="6" w:space="0" w:color="000000"/>
              <w:right w:val="single" w:sz="6" w:space="0" w:color="000000"/>
            </w:tcBorders>
            <w:vAlign w:val="center"/>
          </w:tcPr>
          <w:p w14:paraId="1A49CC0E" w14:textId="77777777" w:rsidR="007D706A" w:rsidRDefault="007D706A" w:rsidP="00F70508">
            <w:pPr>
              <w:pStyle w:val="ParagraphStyle8"/>
              <w:rPr>
                <w:rStyle w:val="CharacterStyle8"/>
              </w:rPr>
            </w:pPr>
            <w:r>
              <w:rPr>
                <w:rStyle w:val="CharacterStyle8"/>
              </w:rPr>
              <w:t>Prihodi za posebne namjene</w:t>
            </w:r>
          </w:p>
        </w:tc>
        <w:tc>
          <w:tcPr>
            <w:tcW w:w="1395" w:type="dxa"/>
            <w:tcBorders>
              <w:bottom w:val="single" w:sz="6" w:space="0" w:color="000000"/>
              <w:right w:val="single" w:sz="6" w:space="0" w:color="000000"/>
            </w:tcBorders>
            <w:vAlign w:val="center"/>
          </w:tcPr>
          <w:p w14:paraId="1C25E98A"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57D0C4D" w14:textId="77777777" w:rsidR="007D706A" w:rsidRDefault="007D706A" w:rsidP="00F70508">
            <w:pPr>
              <w:pStyle w:val="ParagraphStyle9"/>
              <w:rPr>
                <w:rStyle w:val="CharacterStyle9"/>
              </w:rPr>
            </w:pPr>
            <w:r>
              <w:rPr>
                <w:rStyle w:val="CharacterStyle9"/>
              </w:rPr>
              <w:t>6.800,00</w:t>
            </w:r>
          </w:p>
        </w:tc>
        <w:tc>
          <w:tcPr>
            <w:tcW w:w="1395" w:type="dxa"/>
            <w:tcBorders>
              <w:bottom w:val="single" w:sz="6" w:space="0" w:color="000000"/>
              <w:right w:val="single" w:sz="6" w:space="0" w:color="000000"/>
            </w:tcBorders>
            <w:vAlign w:val="center"/>
          </w:tcPr>
          <w:p w14:paraId="594DD684"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A2B5933"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C09CBCD" w14:textId="77777777" w:rsidR="007D706A" w:rsidRDefault="007D706A" w:rsidP="00F70508">
            <w:pPr>
              <w:pStyle w:val="ParagraphStyle9"/>
              <w:rPr>
                <w:rStyle w:val="CharacterStyle9"/>
              </w:rPr>
            </w:pPr>
            <w:r>
              <w:rPr>
                <w:rStyle w:val="CharacterStyle9"/>
              </w:rPr>
              <w:t>0,00</w:t>
            </w:r>
          </w:p>
        </w:tc>
      </w:tr>
      <w:tr w:rsidR="007D706A" w14:paraId="483F8D8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1F220BA"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10DE27F6"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35AFB82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139457B" w14:textId="77777777" w:rsidR="007D706A" w:rsidRDefault="007D706A" w:rsidP="00F70508">
            <w:pPr>
              <w:pStyle w:val="ParagraphStyle12"/>
              <w:rPr>
                <w:rStyle w:val="CharacterStyle12"/>
              </w:rPr>
            </w:pPr>
            <w:r>
              <w:rPr>
                <w:rStyle w:val="CharacterStyle12"/>
              </w:rPr>
              <w:t>6.800,00</w:t>
            </w:r>
          </w:p>
        </w:tc>
        <w:tc>
          <w:tcPr>
            <w:tcW w:w="1395" w:type="dxa"/>
            <w:tcBorders>
              <w:bottom w:val="single" w:sz="6" w:space="0" w:color="000000"/>
              <w:right w:val="single" w:sz="6" w:space="0" w:color="000000"/>
            </w:tcBorders>
            <w:vAlign w:val="center"/>
          </w:tcPr>
          <w:p w14:paraId="7D2B3CD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EC94CE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B97590A" w14:textId="77777777" w:rsidR="007D706A" w:rsidRDefault="007D706A" w:rsidP="00F70508">
            <w:pPr>
              <w:pStyle w:val="ParagraphStyle12"/>
              <w:rPr>
                <w:rStyle w:val="CharacterStyle12"/>
              </w:rPr>
            </w:pPr>
            <w:r>
              <w:rPr>
                <w:rStyle w:val="CharacterStyle12"/>
              </w:rPr>
              <w:t>0,00</w:t>
            </w:r>
          </w:p>
        </w:tc>
      </w:tr>
      <w:tr w:rsidR="007D706A" w14:paraId="08B39F7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9246288"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13E4DEFD"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4E4B52B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AB24420" w14:textId="77777777" w:rsidR="007D706A" w:rsidRDefault="007D706A" w:rsidP="00F70508">
            <w:pPr>
              <w:pStyle w:val="ParagraphStyle12"/>
              <w:rPr>
                <w:rStyle w:val="CharacterStyle12"/>
              </w:rPr>
            </w:pPr>
            <w:r>
              <w:rPr>
                <w:rStyle w:val="CharacterStyle12"/>
              </w:rPr>
              <w:t>3.800,00</w:t>
            </w:r>
          </w:p>
        </w:tc>
        <w:tc>
          <w:tcPr>
            <w:tcW w:w="1395" w:type="dxa"/>
            <w:tcBorders>
              <w:bottom w:val="single" w:sz="6" w:space="0" w:color="000000"/>
              <w:right w:val="single" w:sz="6" w:space="0" w:color="000000"/>
            </w:tcBorders>
            <w:vAlign w:val="center"/>
          </w:tcPr>
          <w:p w14:paraId="63EC583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D001E1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88F9E2B" w14:textId="77777777" w:rsidR="007D706A" w:rsidRDefault="007D706A" w:rsidP="00F70508">
            <w:pPr>
              <w:pStyle w:val="ParagraphStyle12"/>
              <w:rPr>
                <w:rStyle w:val="CharacterStyle12"/>
              </w:rPr>
            </w:pPr>
            <w:r>
              <w:rPr>
                <w:rStyle w:val="CharacterStyle12"/>
              </w:rPr>
              <w:t>0,00</w:t>
            </w:r>
          </w:p>
        </w:tc>
      </w:tr>
      <w:tr w:rsidR="007D706A" w14:paraId="721DC30F" w14:textId="77777777" w:rsidTr="00F70508">
        <w:trPr>
          <w:trHeight w:val="420"/>
        </w:trPr>
        <w:tc>
          <w:tcPr>
            <w:tcW w:w="2880" w:type="dxa"/>
            <w:tcBorders>
              <w:left w:val="single" w:sz="6" w:space="0" w:color="000000"/>
              <w:bottom w:val="single" w:sz="6" w:space="0" w:color="000000"/>
              <w:right w:val="single" w:sz="6" w:space="0" w:color="000000"/>
            </w:tcBorders>
            <w:vAlign w:val="center"/>
          </w:tcPr>
          <w:p w14:paraId="6DF9EC93" w14:textId="77777777" w:rsidR="007D706A" w:rsidRDefault="007D706A" w:rsidP="00F70508">
            <w:pPr>
              <w:pStyle w:val="ParagraphStyle10"/>
              <w:rPr>
                <w:rStyle w:val="CharacterStyle10"/>
              </w:rPr>
            </w:pPr>
            <w:r>
              <w:rPr>
                <w:rStyle w:val="CharacterStyle10"/>
              </w:rPr>
              <w:t>37</w:t>
            </w:r>
          </w:p>
        </w:tc>
        <w:tc>
          <w:tcPr>
            <w:tcW w:w="4995" w:type="dxa"/>
            <w:tcBorders>
              <w:bottom w:val="single" w:sz="6" w:space="0" w:color="000000"/>
              <w:right w:val="single" w:sz="6" w:space="0" w:color="000000"/>
            </w:tcBorders>
            <w:vAlign w:val="center"/>
          </w:tcPr>
          <w:p w14:paraId="27F5BAC4" w14:textId="77777777" w:rsidR="007D706A" w:rsidRDefault="007D706A" w:rsidP="00F70508">
            <w:pPr>
              <w:pStyle w:val="ParagraphStyle11"/>
              <w:rPr>
                <w:rStyle w:val="CharacterStyle11"/>
              </w:rPr>
            </w:pPr>
            <w:r>
              <w:rPr>
                <w:rStyle w:val="CharacterStyle11"/>
              </w:rPr>
              <w:t>Naknade građanima i kućanstvima na temelju osiguranja i druge naknade</w:t>
            </w:r>
          </w:p>
        </w:tc>
        <w:tc>
          <w:tcPr>
            <w:tcW w:w="1395" w:type="dxa"/>
            <w:tcBorders>
              <w:bottom w:val="single" w:sz="6" w:space="0" w:color="000000"/>
              <w:right w:val="single" w:sz="6" w:space="0" w:color="000000"/>
            </w:tcBorders>
            <w:vAlign w:val="center"/>
          </w:tcPr>
          <w:p w14:paraId="190AB25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A67A158" w14:textId="77777777" w:rsidR="007D706A" w:rsidRDefault="007D706A" w:rsidP="00F70508">
            <w:pPr>
              <w:pStyle w:val="ParagraphStyle12"/>
              <w:rPr>
                <w:rStyle w:val="CharacterStyle12"/>
              </w:rPr>
            </w:pPr>
            <w:r>
              <w:rPr>
                <w:rStyle w:val="CharacterStyle12"/>
              </w:rPr>
              <w:t>3.000,00</w:t>
            </w:r>
          </w:p>
        </w:tc>
        <w:tc>
          <w:tcPr>
            <w:tcW w:w="1395" w:type="dxa"/>
            <w:tcBorders>
              <w:bottom w:val="single" w:sz="6" w:space="0" w:color="000000"/>
              <w:right w:val="single" w:sz="6" w:space="0" w:color="000000"/>
            </w:tcBorders>
            <w:vAlign w:val="center"/>
          </w:tcPr>
          <w:p w14:paraId="04A5979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FB567E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D5FDFE9" w14:textId="77777777" w:rsidR="007D706A" w:rsidRDefault="007D706A" w:rsidP="00F70508">
            <w:pPr>
              <w:pStyle w:val="ParagraphStyle12"/>
              <w:rPr>
                <w:rStyle w:val="CharacterStyle12"/>
              </w:rPr>
            </w:pPr>
            <w:r>
              <w:rPr>
                <w:rStyle w:val="CharacterStyle12"/>
              </w:rPr>
              <w:t>0,00</w:t>
            </w:r>
          </w:p>
        </w:tc>
      </w:tr>
      <w:tr w:rsidR="007D706A" w14:paraId="458A504A" w14:textId="77777777" w:rsidTr="00F70508">
        <w:trPr>
          <w:trHeight w:val="405"/>
        </w:trPr>
        <w:tc>
          <w:tcPr>
            <w:tcW w:w="2880" w:type="dxa"/>
            <w:tcBorders>
              <w:left w:val="single" w:sz="6" w:space="0" w:color="000000"/>
              <w:bottom w:val="single" w:sz="6" w:space="0" w:color="000000"/>
              <w:right w:val="single" w:sz="6" w:space="0" w:color="000000"/>
            </w:tcBorders>
            <w:vAlign w:val="center"/>
          </w:tcPr>
          <w:p w14:paraId="7AD11958" w14:textId="77777777" w:rsidR="007D706A" w:rsidRDefault="007D706A" w:rsidP="00F70508">
            <w:pPr>
              <w:pStyle w:val="ParagraphStyle4"/>
              <w:rPr>
                <w:rStyle w:val="CharacterStyle4"/>
              </w:rPr>
            </w:pPr>
            <w:r>
              <w:rPr>
                <w:rStyle w:val="CharacterStyle4"/>
              </w:rPr>
              <w:t>Aktivnost A102306</w:t>
            </w:r>
          </w:p>
        </w:tc>
        <w:tc>
          <w:tcPr>
            <w:tcW w:w="4995" w:type="dxa"/>
            <w:tcBorders>
              <w:bottom w:val="single" w:sz="6" w:space="0" w:color="000000"/>
              <w:right w:val="single" w:sz="6" w:space="0" w:color="000000"/>
            </w:tcBorders>
            <w:vAlign w:val="center"/>
          </w:tcPr>
          <w:p w14:paraId="42C651C2" w14:textId="77777777" w:rsidR="007D706A" w:rsidRDefault="007D706A" w:rsidP="00F70508">
            <w:pPr>
              <w:pStyle w:val="ParagraphStyle5"/>
              <w:rPr>
                <w:rStyle w:val="CharacterStyle5"/>
              </w:rPr>
            </w:pPr>
            <w:r>
              <w:rPr>
                <w:rStyle w:val="CharacterStyle5"/>
              </w:rPr>
              <w:t>ZDRAVSTVENA NJEGA NAPUŠTENIH I IZGUBLJENIH ŽIVOTINJA</w:t>
            </w:r>
          </w:p>
        </w:tc>
        <w:tc>
          <w:tcPr>
            <w:tcW w:w="1395" w:type="dxa"/>
            <w:tcBorders>
              <w:bottom w:val="single" w:sz="6" w:space="0" w:color="000000"/>
              <w:right w:val="single" w:sz="6" w:space="0" w:color="000000"/>
            </w:tcBorders>
            <w:vAlign w:val="center"/>
          </w:tcPr>
          <w:p w14:paraId="4D3B6501"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7A9EB5EB" w14:textId="77777777" w:rsidR="007D706A" w:rsidRDefault="007D706A" w:rsidP="00F70508">
            <w:pPr>
              <w:pStyle w:val="ParagraphStyle6"/>
              <w:rPr>
                <w:rStyle w:val="CharacterStyle6"/>
              </w:rPr>
            </w:pPr>
            <w:r>
              <w:rPr>
                <w:rStyle w:val="CharacterStyle6"/>
              </w:rPr>
              <w:t>15.500,00</w:t>
            </w:r>
          </w:p>
        </w:tc>
        <w:tc>
          <w:tcPr>
            <w:tcW w:w="1395" w:type="dxa"/>
            <w:tcBorders>
              <w:bottom w:val="single" w:sz="6" w:space="0" w:color="000000"/>
              <w:right w:val="single" w:sz="6" w:space="0" w:color="000000"/>
            </w:tcBorders>
            <w:vAlign w:val="center"/>
          </w:tcPr>
          <w:p w14:paraId="35B6016A" w14:textId="77777777" w:rsidR="007D706A" w:rsidRDefault="007D706A" w:rsidP="00F70508">
            <w:pPr>
              <w:pStyle w:val="ParagraphStyle6"/>
              <w:rPr>
                <w:rStyle w:val="CharacterStyle6"/>
              </w:rPr>
            </w:pPr>
            <w:r>
              <w:rPr>
                <w:rStyle w:val="CharacterStyle6"/>
              </w:rPr>
              <w:t>17.000,00</w:t>
            </w:r>
          </w:p>
        </w:tc>
        <w:tc>
          <w:tcPr>
            <w:tcW w:w="1395" w:type="dxa"/>
            <w:tcBorders>
              <w:bottom w:val="single" w:sz="6" w:space="0" w:color="000000"/>
              <w:right w:val="single" w:sz="6" w:space="0" w:color="000000"/>
            </w:tcBorders>
            <w:vAlign w:val="center"/>
          </w:tcPr>
          <w:p w14:paraId="226121E4" w14:textId="77777777" w:rsidR="007D706A" w:rsidRDefault="007D706A" w:rsidP="00F70508">
            <w:pPr>
              <w:pStyle w:val="ParagraphStyle6"/>
              <w:rPr>
                <w:rStyle w:val="CharacterStyle6"/>
              </w:rPr>
            </w:pPr>
            <w:r>
              <w:rPr>
                <w:rStyle w:val="CharacterStyle6"/>
              </w:rPr>
              <w:t>17.000,00</w:t>
            </w:r>
          </w:p>
        </w:tc>
        <w:tc>
          <w:tcPr>
            <w:tcW w:w="1395" w:type="dxa"/>
            <w:tcBorders>
              <w:bottom w:val="single" w:sz="6" w:space="0" w:color="000000"/>
              <w:right w:val="single" w:sz="6" w:space="0" w:color="000000"/>
            </w:tcBorders>
            <w:vAlign w:val="center"/>
          </w:tcPr>
          <w:p w14:paraId="035DEE44" w14:textId="77777777" w:rsidR="007D706A" w:rsidRDefault="007D706A" w:rsidP="00F70508">
            <w:pPr>
              <w:pStyle w:val="ParagraphStyle6"/>
              <w:rPr>
                <w:rStyle w:val="CharacterStyle6"/>
              </w:rPr>
            </w:pPr>
            <w:r>
              <w:rPr>
                <w:rStyle w:val="CharacterStyle6"/>
              </w:rPr>
              <w:t>17.000,00</w:t>
            </w:r>
          </w:p>
        </w:tc>
      </w:tr>
      <w:tr w:rsidR="007D706A" w14:paraId="423EADF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636F974"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660CB76C"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10E593BD"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261638B" w14:textId="77777777" w:rsidR="007D706A" w:rsidRDefault="007D706A" w:rsidP="00F70508">
            <w:pPr>
              <w:pStyle w:val="ParagraphStyle9"/>
              <w:rPr>
                <w:rStyle w:val="CharacterStyle9"/>
              </w:rPr>
            </w:pPr>
            <w:r>
              <w:rPr>
                <w:rStyle w:val="CharacterStyle9"/>
              </w:rPr>
              <w:t>3.000,00</w:t>
            </w:r>
          </w:p>
        </w:tc>
        <w:tc>
          <w:tcPr>
            <w:tcW w:w="1395" w:type="dxa"/>
            <w:tcBorders>
              <w:bottom w:val="single" w:sz="6" w:space="0" w:color="000000"/>
              <w:right w:val="single" w:sz="6" w:space="0" w:color="000000"/>
            </w:tcBorders>
            <w:vAlign w:val="center"/>
          </w:tcPr>
          <w:p w14:paraId="7D34B9F0" w14:textId="77777777" w:rsidR="007D706A" w:rsidRDefault="007D706A" w:rsidP="00F70508">
            <w:pPr>
              <w:pStyle w:val="ParagraphStyle9"/>
              <w:rPr>
                <w:rStyle w:val="CharacterStyle9"/>
              </w:rPr>
            </w:pPr>
            <w:r>
              <w:rPr>
                <w:rStyle w:val="CharacterStyle9"/>
              </w:rPr>
              <w:t>4.000,00</w:t>
            </w:r>
          </w:p>
        </w:tc>
        <w:tc>
          <w:tcPr>
            <w:tcW w:w="1395" w:type="dxa"/>
            <w:tcBorders>
              <w:bottom w:val="single" w:sz="6" w:space="0" w:color="000000"/>
              <w:right w:val="single" w:sz="6" w:space="0" w:color="000000"/>
            </w:tcBorders>
            <w:vAlign w:val="center"/>
          </w:tcPr>
          <w:p w14:paraId="6ACE2259" w14:textId="77777777" w:rsidR="007D706A" w:rsidRDefault="007D706A" w:rsidP="00F70508">
            <w:pPr>
              <w:pStyle w:val="ParagraphStyle9"/>
              <w:rPr>
                <w:rStyle w:val="CharacterStyle9"/>
              </w:rPr>
            </w:pPr>
            <w:r>
              <w:rPr>
                <w:rStyle w:val="CharacterStyle9"/>
              </w:rPr>
              <w:t>4.000,00</w:t>
            </w:r>
          </w:p>
        </w:tc>
        <w:tc>
          <w:tcPr>
            <w:tcW w:w="1395" w:type="dxa"/>
            <w:tcBorders>
              <w:bottom w:val="single" w:sz="6" w:space="0" w:color="000000"/>
              <w:right w:val="single" w:sz="6" w:space="0" w:color="000000"/>
            </w:tcBorders>
            <w:vAlign w:val="center"/>
          </w:tcPr>
          <w:p w14:paraId="01089B69" w14:textId="77777777" w:rsidR="007D706A" w:rsidRDefault="007D706A" w:rsidP="00F70508">
            <w:pPr>
              <w:pStyle w:val="ParagraphStyle9"/>
              <w:rPr>
                <w:rStyle w:val="CharacterStyle9"/>
              </w:rPr>
            </w:pPr>
            <w:r>
              <w:rPr>
                <w:rStyle w:val="CharacterStyle9"/>
              </w:rPr>
              <w:t>4.000,00</w:t>
            </w:r>
          </w:p>
        </w:tc>
      </w:tr>
      <w:tr w:rsidR="007D706A" w14:paraId="7D755EE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9A58824"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5E64D273"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5CEA6BE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83A6CDD" w14:textId="77777777" w:rsidR="007D706A" w:rsidRDefault="007D706A" w:rsidP="00F70508">
            <w:pPr>
              <w:pStyle w:val="ParagraphStyle12"/>
              <w:rPr>
                <w:rStyle w:val="CharacterStyle12"/>
              </w:rPr>
            </w:pPr>
            <w:r>
              <w:rPr>
                <w:rStyle w:val="CharacterStyle12"/>
              </w:rPr>
              <w:t>3.000,00</w:t>
            </w:r>
          </w:p>
        </w:tc>
        <w:tc>
          <w:tcPr>
            <w:tcW w:w="1395" w:type="dxa"/>
            <w:tcBorders>
              <w:bottom w:val="single" w:sz="6" w:space="0" w:color="000000"/>
              <w:right w:val="single" w:sz="6" w:space="0" w:color="000000"/>
            </w:tcBorders>
            <w:vAlign w:val="center"/>
          </w:tcPr>
          <w:p w14:paraId="646F1BFF" w14:textId="77777777" w:rsidR="007D706A" w:rsidRDefault="007D706A" w:rsidP="00F70508">
            <w:pPr>
              <w:pStyle w:val="ParagraphStyle12"/>
              <w:rPr>
                <w:rStyle w:val="CharacterStyle12"/>
              </w:rPr>
            </w:pPr>
            <w:r>
              <w:rPr>
                <w:rStyle w:val="CharacterStyle12"/>
              </w:rPr>
              <w:t>4.000,00</w:t>
            </w:r>
          </w:p>
        </w:tc>
        <w:tc>
          <w:tcPr>
            <w:tcW w:w="1395" w:type="dxa"/>
            <w:tcBorders>
              <w:bottom w:val="single" w:sz="6" w:space="0" w:color="000000"/>
              <w:right w:val="single" w:sz="6" w:space="0" w:color="000000"/>
            </w:tcBorders>
            <w:vAlign w:val="center"/>
          </w:tcPr>
          <w:p w14:paraId="1591EAF1" w14:textId="77777777" w:rsidR="007D706A" w:rsidRDefault="007D706A" w:rsidP="00F70508">
            <w:pPr>
              <w:pStyle w:val="ParagraphStyle12"/>
              <w:rPr>
                <w:rStyle w:val="CharacterStyle12"/>
              </w:rPr>
            </w:pPr>
            <w:r>
              <w:rPr>
                <w:rStyle w:val="CharacterStyle12"/>
              </w:rPr>
              <w:t>4.000,00</w:t>
            </w:r>
          </w:p>
        </w:tc>
        <w:tc>
          <w:tcPr>
            <w:tcW w:w="1395" w:type="dxa"/>
            <w:tcBorders>
              <w:bottom w:val="single" w:sz="6" w:space="0" w:color="000000"/>
              <w:right w:val="single" w:sz="6" w:space="0" w:color="000000"/>
            </w:tcBorders>
            <w:vAlign w:val="center"/>
          </w:tcPr>
          <w:p w14:paraId="19EEE935" w14:textId="77777777" w:rsidR="007D706A" w:rsidRDefault="007D706A" w:rsidP="00F70508">
            <w:pPr>
              <w:pStyle w:val="ParagraphStyle12"/>
              <w:rPr>
                <w:rStyle w:val="CharacterStyle12"/>
              </w:rPr>
            </w:pPr>
            <w:r>
              <w:rPr>
                <w:rStyle w:val="CharacterStyle12"/>
              </w:rPr>
              <w:t>4.000,00</w:t>
            </w:r>
          </w:p>
        </w:tc>
      </w:tr>
      <w:tr w:rsidR="007D706A" w14:paraId="7BCDB3F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AC7D802"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7FB68ED4"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19924D8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CB43CAF" w14:textId="77777777" w:rsidR="007D706A" w:rsidRDefault="007D706A" w:rsidP="00F70508">
            <w:pPr>
              <w:pStyle w:val="ParagraphStyle12"/>
              <w:rPr>
                <w:rStyle w:val="CharacterStyle12"/>
              </w:rPr>
            </w:pPr>
            <w:r>
              <w:rPr>
                <w:rStyle w:val="CharacterStyle12"/>
              </w:rPr>
              <w:t>3.000,00</w:t>
            </w:r>
          </w:p>
        </w:tc>
        <w:tc>
          <w:tcPr>
            <w:tcW w:w="1395" w:type="dxa"/>
            <w:tcBorders>
              <w:bottom w:val="single" w:sz="6" w:space="0" w:color="000000"/>
              <w:right w:val="single" w:sz="6" w:space="0" w:color="000000"/>
            </w:tcBorders>
            <w:vAlign w:val="center"/>
          </w:tcPr>
          <w:p w14:paraId="4988D1DA" w14:textId="77777777" w:rsidR="007D706A" w:rsidRDefault="007D706A" w:rsidP="00F70508">
            <w:pPr>
              <w:pStyle w:val="ParagraphStyle12"/>
              <w:rPr>
                <w:rStyle w:val="CharacterStyle12"/>
              </w:rPr>
            </w:pPr>
            <w:r>
              <w:rPr>
                <w:rStyle w:val="CharacterStyle12"/>
              </w:rPr>
              <w:t>4.000,00</w:t>
            </w:r>
          </w:p>
        </w:tc>
        <w:tc>
          <w:tcPr>
            <w:tcW w:w="1395" w:type="dxa"/>
            <w:tcBorders>
              <w:bottom w:val="single" w:sz="6" w:space="0" w:color="000000"/>
              <w:right w:val="single" w:sz="6" w:space="0" w:color="000000"/>
            </w:tcBorders>
            <w:vAlign w:val="center"/>
          </w:tcPr>
          <w:p w14:paraId="20E76E97" w14:textId="77777777" w:rsidR="007D706A" w:rsidRDefault="007D706A" w:rsidP="00F70508">
            <w:pPr>
              <w:pStyle w:val="ParagraphStyle12"/>
              <w:rPr>
                <w:rStyle w:val="CharacterStyle12"/>
              </w:rPr>
            </w:pPr>
            <w:r>
              <w:rPr>
                <w:rStyle w:val="CharacterStyle12"/>
              </w:rPr>
              <w:t>4.000,00</w:t>
            </w:r>
          </w:p>
        </w:tc>
        <w:tc>
          <w:tcPr>
            <w:tcW w:w="1395" w:type="dxa"/>
            <w:tcBorders>
              <w:bottom w:val="single" w:sz="6" w:space="0" w:color="000000"/>
              <w:right w:val="single" w:sz="6" w:space="0" w:color="000000"/>
            </w:tcBorders>
            <w:vAlign w:val="center"/>
          </w:tcPr>
          <w:p w14:paraId="698A5AE3" w14:textId="77777777" w:rsidR="007D706A" w:rsidRDefault="007D706A" w:rsidP="00F70508">
            <w:pPr>
              <w:pStyle w:val="ParagraphStyle12"/>
              <w:rPr>
                <w:rStyle w:val="CharacterStyle12"/>
              </w:rPr>
            </w:pPr>
            <w:r>
              <w:rPr>
                <w:rStyle w:val="CharacterStyle12"/>
              </w:rPr>
              <w:t>4.000,00</w:t>
            </w:r>
          </w:p>
        </w:tc>
      </w:tr>
      <w:tr w:rsidR="007D706A" w14:paraId="1C19FD6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D7E1473" w14:textId="77777777" w:rsidR="007D706A" w:rsidRDefault="007D706A" w:rsidP="00F70508">
            <w:pPr>
              <w:pStyle w:val="ParagraphStyle7"/>
              <w:rPr>
                <w:rStyle w:val="CharacterStyle7"/>
              </w:rPr>
            </w:pPr>
            <w:r>
              <w:rPr>
                <w:rStyle w:val="CharacterStyle7"/>
              </w:rPr>
              <w:t>Izvor financiranja 40</w:t>
            </w:r>
          </w:p>
        </w:tc>
        <w:tc>
          <w:tcPr>
            <w:tcW w:w="4995" w:type="dxa"/>
            <w:tcBorders>
              <w:bottom w:val="single" w:sz="6" w:space="0" w:color="000000"/>
              <w:right w:val="single" w:sz="6" w:space="0" w:color="000000"/>
            </w:tcBorders>
            <w:vAlign w:val="center"/>
          </w:tcPr>
          <w:p w14:paraId="08E3543A" w14:textId="77777777" w:rsidR="007D706A" w:rsidRDefault="007D706A" w:rsidP="00F70508">
            <w:pPr>
              <w:pStyle w:val="ParagraphStyle8"/>
              <w:rPr>
                <w:rStyle w:val="CharacterStyle8"/>
              </w:rPr>
            </w:pPr>
            <w:r>
              <w:rPr>
                <w:rStyle w:val="CharacterStyle8"/>
              </w:rPr>
              <w:t>Prihodi od komunalne naknade i komunalnog doprinosa</w:t>
            </w:r>
          </w:p>
        </w:tc>
        <w:tc>
          <w:tcPr>
            <w:tcW w:w="1395" w:type="dxa"/>
            <w:tcBorders>
              <w:bottom w:val="single" w:sz="6" w:space="0" w:color="000000"/>
              <w:right w:val="single" w:sz="6" w:space="0" w:color="000000"/>
            </w:tcBorders>
            <w:vAlign w:val="center"/>
          </w:tcPr>
          <w:p w14:paraId="1422DD62"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893C7CE"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864DD15" w14:textId="77777777" w:rsidR="007D706A" w:rsidRDefault="007D706A" w:rsidP="00F70508">
            <w:pPr>
              <w:pStyle w:val="ParagraphStyle9"/>
              <w:rPr>
                <w:rStyle w:val="CharacterStyle9"/>
              </w:rPr>
            </w:pPr>
            <w:r>
              <w:rPr>
                <w:rStyle w:val="CharacterStyle9"/>
              </w:rPr>
              <w:t>13.000,00</w:t>
            </w:r>
          </w:p>
        </w:tc>
        <w:tc>
          <w:tcPr>
            <w:tcW w:w="1395" w:type="dxa"/>
            <w:tcBorders>
              <w:bottom w:val="single" w:sz="6" w:space="0" w:color="000000"/>
              <w:right w:val="single" w:sz="6" w:space="0" w:color="000000"/>
            </w:tcBorders>
            <w:vAlign w:val="center"/>
          </w:tcPr>
          <w:p w14:paraId="5082781F" w14:textId="77777777" w:rsidR="007D706A" w:rsidRDefault="007D706A" w:rsidP="00F70508">
            <w:pPr>
              <w:pStyle w:val="ParagraphStyle9"/>
              <w:rPr>
                <w:rStyle w:val="CharacterStyle9"/>
              </w:rPr>
            </w:pPr>
            <w:r>
              <w:rPr>
                <w:rStyle w:val="CharacterStyle9"/>
              </w:rPr>
              <w:t>13.000,00</w:t>
            </w:r>
          </w:p>
        </w:tc>
        <w:tc>
          <w:tcPr>
            <w:tcW w:w="1395" w:type="dxa"/>
            <w:tcBorders>
              <w:bottom w:val="single" w:sz="6" w:space="0" w:color="000000"/>
              <w:right w:val="single" w:sz="6" w:space="0" w:color="000000"/>
            </w:tcBorders>
            <w:vAlign w:val="center"/>
          </w:tcPr>
          <w:p w14:paraId="38472317" w14:textId="77777777" w:rsidR="007D706A" w:rsidRDefault="007D706A" w:rsidP="00F70508">
            <w:pPr>
              <w:pStyle w:val="ParagraphStyle9"/>
              <w:rPr>
                <w:rStyle w:val="CharacterStyle9"/>
              </w:rPr>
            </w:pPr>
            <w:r>
              <w:rPr>
                <w:rStyle w:val="CharacterStyle9"/>
              </w:rPr>
              <w:t>13.000,00</w:t>
            </w:r>
          </w:p>
        </w:tc>
      </w:tr>
      <w:tr w:rsidR="007D706A" w14:paraId="6389D86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C1C10CC"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4BBD1F8D"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31703BF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9B9411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3038280" w14:textId="77777777" w:rsidR="007D706A" w:rsidRDefault="007D706A" w:rsidP="00F70508">
            <w:pPr>
              <w:pStyle w:val="ParagraphStyle12"/>
              <w:rPr>
                <w:rStyle w:val="CharacterStyle12"/>
              </w:rPr>
            </w:pPr>
            <w:r>
              <w:rPr>
                <w:rStyle w:val="CharacterStyle12"/>
              </w:rPr>
              <w:t>13.000,00</w:t>
            </w:r>
          </w:p>
        </w:tc>
        <w:tc>
          <w:tcPr>
            <w:tcW w:w="1395" w:type="dxa"/>
            <w:tcBorders>
              <w:bottom w:val="single" w:sz="6" w:space="0" w:color="000000"/>
              <w:right w:val="single" w:sz="6" w:space="0" w:color="000000"/>
            </w:tcBorders>
            <w:vAlign w:val="center"/>
          </w:tcPr>
          <w:p w14:paraId="08B22C3D" w14:textId="77777777" w:rsidR="007D706A" w:rsidRDefault="007D706A" w:rsidP="00F70508">
            <w:pPr>
              <w:pStyle w:val="ParagraphStyle12"/>
              <w:rPr>
                <w:rStyle w:val="CharacterStyle12"/>
              </w:rPr>
            </w:pPr>
            <w:r>
              <w:rPr>
                <w:rStyle w:val="CharacterStyle12"/>
              </w:rPr>
              <w:t>13.000,00</w:t>
            </w:r>
          </w:p>
        </w:tc>
        <w:tc>
          <w:tcPr>
            <w:tcW w:w="1395" w:type="dxa"/>
            <w:tcBorders>
              <w:bottom w:val="single" w:sz="6" w:space="0" w:color="000000"/>
              <w:right w:val="single" w:sz="6" w:space="0" w:color="000000"/>
            </w:tcBorders>
            <w:vAlign w:val="center"/>
          </w:tcPr>
          <w:p w14:paraId="3657DB6E" w14:textId="77777777" w:rsidR="007D706A" w:rsidRDefault="007D706A" w:rsidP="00F70508">
            <w:pPr>
              <w:pStyle w:val="ParagraphStyle12"/>
              <w:rPr>
                <w:rStyle w:val="CharacterStyle12"/>
              </w:rPr>
            </w:pPr>
            <w:r>
              <w:rPr>
                <w:rStyle w:val="CharacterStyle12"/>
              </w:rPr>
              <w:t>13.000,00</w:t>
            </w:r>
          </w:p>
        </w:tc>
      </w:tr>
      <w:tr w:rsidR="007D706A" w14:paraId="11D65C1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A41137C"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6D954ADE"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13662A2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16BC54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E7B1319" w14:textId="77777777" w:rsidR="007D706A" w:rsidRDefault="007D706A" w:rsidP="00F70508">
            <w:pPr>
              <w:pStyle w:val="ParagraphStyle12"/>
              <w:rPr>
                <w:rStyle w:val="CharacterStyle12"/>
              </w:rPr>
            </w:pPr>
            <w:r>
              <w:rPr>
                <w:rStyle w:val="CharacterStyle12"/>
              </w:rPr>
              <w:t>13.000,00</w:t>
            </w:r>
          </w:p>
        </w:tc>
        <w:tc>
          <w:tcPr>
            <w:tcW w:w="1395" w:type="dxa"/>
            <w:tcBorders>
              <w:bottom w:val="single" w:sz="6" w:space="0" w:color="000000"/>
              <w:right w:val="single" w:sz="6" w:space="0" w:color="000000"/>
            </w:tcBorders>
            <w:vAlign w:val="center"/>
          </w:tcPr>
          <w:p w14:paraId="429880AC" w14:textId="77777777" w:rsidR="007D706A" w:rsidRDefault="007D706A" w:rsidP="00F70508">
            <w:pPr>
              <w:pStyle w:val="ParagraphStyle12"/>
              <w:rPr>
                <w:rStyle w:val="CharacterStyle12"/>
              </w:rPr>
            </w:pPr>
            <w:r>
              <w:rPr>
                <w:rStyle w:val="CharacterStyle12"/>
              </w:rPr>
              <w:t>13.000,00</w:t>
            </w:r>
          </w:p>
        </w:tc>
        <w:tc>
          <w:tcPr>
            <w:tcW w:w="1395" w:type="dxa"/>
            <w:tcBorders>
              <w:bottom w:val="single" w:sz="6" w:space="0" w:color="000000"/>
              <w:right w:val="single" w:sz="6" w:space="0" w:color="000000"/>
            </w:tcBorders>
            <w:vAlign w:val="center"/>
          </w:tcPr>
          <w:p w14:paraId="6F8D111C" w14:textId="77777777" w:rsidR="007D706A" w:rsidRDefault="007D706A" w:rsidP="00F70508">
            <w:pPr>
              <w:pStyle w:val="ParagraphStyle12"/>
              <w:rPr>
                <w:rStyle w:val="CharacterStyle12"/>
              </w:rPr>
            </w:pPr>
            <w:r>
              <w:rPr>
                <w:rStyle w:val="CharacterStyle12"/>
              </w:rPr>
              <w:t>13.000,00</w:t>
            </w:r>
          </w:p>
        </w:tc>
      </w:tr>
      <w:tr w:rsidR="007D706A" w14:paraId="5814578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7973D4F" w14:textId="77777777" w:rsidR="007D706A" w:rsidRDefault="007D706A" w:rsidP="00F70508">
            <w:pPr>
              <w:pStyle w:val="ParagraphStyle7"/>
              <w:rPr>
                <w:rStyle w:val="CharacterStyle7"/>
              </w:rPr>
            </w:pPr>
            <w:r>
              <w:rPr>
                <w:rStyle w:val="CharacterStyle7"/>
              </w:rPr>
              <w:t>Izvor financiranja 41</w:t>
            </w:r>
          </w:p>
        </w:tc>
        <w:tc>
          <w:tcPr>
            <w:tcW w:w="4995" w:type="dxa"/>
            <w:tcBorders>
              <w:bottom w:val="single" w:sz="6" w:space="0" w:color="000000"/>
              <w:right w:val="single" w:sz="6" w:space="0" w:color="000000"/>
            </w:tcBorders>
            <w:vAlign w:val="center"/>
          </w:tcPr>
          <w:p w14:paraId="3017FBEE" w14:textId="77777777" w:rsidR="007D706A" w:rsidRDefault="007D706A" w:rsidP="00F70508">
            <w:pPr>
              <w:pStyle w:val="ParagraphStyle8"/>
              <w:rPr>
                <w:rStyle w:val="CharacterStyle8"/>
              </w:rPr>
            </w:pPr>
            <w:r>
              <w:rPr>
                <w:rStyle w:val="CharacterStyle8"/>
              </w:rPr>
              <w:t>Prihodi za posebne namjene</w:t>
            </w:r>
          </w:p>
        </w:tc>
        <w:tc>
          <w:tcPr>
            <w:tcW w:w="1395" w:type="dxa"/>
            <w:tcBorders>
              <w:bottom w:val="single" w:sz="6" w:space="0" w:color="000000"/>
              <w:right w:val="single" w:sz="6" w:space="0" w:color="000000"/>
            </w:tcBorders>
            <w:vAlign w:val="center"/>
          </w:tcPr>
          <w:p w14:paraId="2328B972"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C5F180A" w14:textId="77777777" w:rsidR="007D706A" w:rsidRDefault="007D706A" w:rsidP="00F70508">
            <w:pPr>
              <w:pStyle w:val="ParagraphStyle9"/>
              <w:rPr>
                <w:rStyle w:val="CharacterStyle9"/>
              </w:rPr>
            </w:pPr>
            <w:r>
              <w:rPr>
                <w:rStyle w:val="CharacterStyle9"/>
              </w:rPr>
              <w:t>12.500,00</w:t>
            </w:r>
          </w:p>
        </w:tc>
        <w:tc>
          <w:tcPr>
            <w:tcW w:w="1395" w:type="dxa"/>
            <w:tcBorders>
              <w:bottom w:val="single" w:sz="6" w:space="0" w:color="000000"/>
              <w:right w:val="single" w:sz="6" w:space="0" w:color="000000"/>
            </w:tcBorders>
            <w:vAlign w:val="center"/>
          </w:tcPr>
          <w:p w14:paraId="172A185E"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4F594CE"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C5A87B1" w14:textId="77777777" w:rsidR="007D706A" w:rsidRDefault="007D706A" w:rsidP="00F70508">
            <w:pPr>
              <w:pStyle w:val="ParagraphStyle9"/>
              <w:rPr>
                <w:rStyle w:val="CharacterStyle9"/>
              </w:rPr>
            </w:pPr>
            <w:r>
              <w:rPr>
                <w:rStyle w:val="CharacterStyle9"/>
              </w:rPr>
              <w:t>0,00</w:t>
            </w:r>
          </w:p>
        </w:tc>
      </w:tr>
      <w:tr w:rsidR="007D706A" w14:paraId="39B9570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F6DF7A3"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58C1E0C9"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20D95E2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DFED869" w14:textId="77777777" w:rsidR="007D706A" w:rsidRDefault="007D706A" w:rsidP="00F70508">
            <w:pPr>
              <w:pStyle w:val="ParagraphStyle12"/>
              <w:rPr>
                <w:rStyle w:val="CharacterStyle12"/>
              </w:rPr>
            </w:pPr>
            <w:r>
              <w:rPr>
                <w:rStyle w:val="CharacterStyle12"/>
              </w:rPr>
              <w:t>12.500,00</w:t>
            </w:r>
          </w:p>
        </w:tc>
        <w:tc>
          <w:tcPr>
            <w:tcW w:w="1395" w:type="dxa"/>
            <w:tcBorders>
              <w:bottom w:val="single" w:sz="6" w:space="0" w:color="000000"/>
              <w:right w:val="single" w:sz="6" w:space="0" w:color="000000"/>
            </w:tcBorders>
            <w:vAlign w:val="center"/>
          </w:tcPr>
          <w:p w14:paraId="44C11BD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F56164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4A21981" w14:textId="77777777" w:rsidR="007D706A" w:rsidRDefault="007D706A" w:rsidP="00F70508">
            <w:pPr>
              <w:pStyle w:val="ParagraphStyle12"/>
              <w:rPr>
                <w:rStyle w:val="CharacterStyle12"/>
              </w:rPr>
            </w:pPr>
            <w:r>
              <w:rPr>
                <w:rStyle w:val="CharacterStyle12"/>
              </w:rPr>
              <w:t>0,00</w:t>
            </w:r>
          </w:p>
        </w:tc>
      </w:tr>
      <w:tr w:rsidR="007D706A" w14:paraId="6FE1D09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64CC0B3"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198950FF"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43F5026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96B0DDB" w14:textId="77777777" w:rsidR="007D706A" w:rsidRDefault="007D706A" w:rsidP="00F70508">
            <w:pPr>
              <w:pStyle w:val="ParagraphStyle12"/>
              <w:rPr>
                <w:rStyle w:val="CharacterStyle12"/>
              </w:rPr>
            </w:pPr>
            <w:r>
              <w:rPr>
                <w:rStyle w:val="CharacterStyle12"/>
              </w:rPr>
              <w:t>12.500,00</w:t>
            </w:r>
          </w:p>
        </w:tc>
        <w:tc>
          <w:tcPr>
            <w:tcW w:w="1395" w:type="dxa"/>
            <w:tcBorders>
              <w:bottom w:val="single" w:sz="6" w:space="0" w:color="000000"/>
              <w:right w:val="single" w:sz="6" w:space="0" w:color="000000"/>
            </w:tcBorders>
            <w:vAlign w:val="center"/>
          </w:tcPr>
          <w:p w14:paraId="0AFF408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D5A8CA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5D38D56" w14:textId="77777777" w:rsidR="007D706A" w:rsidRDefault="007D706A" w:rsidP="00F70508">
            <w:pPr>
              <w:pStyle w:val="ParagraphStyle12"/>
              <w:rPr>
                <w:rStyle w:val="CharacterStyle12"/>
              </w:rPr>
            </w:pPr>
            <w:r>
              <w:rPr>
                <w:rStyle w:val="CharacterStyle12"/>
              </w:rPr>
              <w:t>0,00</w:t>
            </w:r>
          </w:p>
        </w:tc>
      </w:tr>
      <w:tr w:rsidR="007D706A" w14:paraId="6F1A3D4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50D15F7" w14:textId="77777777" w:rsidR="007D706A" w:rsidRDefault="007D706A" w:rsidP="00F70508">
            <w:pPr>
              <w:pStyle w:val="ParagraphStyle4"/>
              <w:rPr>
                <w:rStyle w:val="CharacterStyle4"/>
              </w:rPr>
            </w:pPr>
            <w:r>
              <w:rPr>
                <w:rStyle w:val="CharacterStyle4"/>
              </w:rPr>
              <w:t>Aktivnost A102307</w:t>
            </w:r>
          </w:p>
        </w:tc>
        <w:tc>
          <w:tcPr>
            <w:tcW w:w="4995" w:type="dxa"/>
            <w:tcBorders>
              <w:bottom w:val="single" w:sz="6" w:space="0" w:color="000000"/>
              <w:right w:val="single" w:sz="6" w:space="0" w:color="000000"/>
            </w:tcBorders>
            <w:vAlign w:val="center"/>
          </w:tcPr>
          <w:p w14:paraId="2210732F" w14:textId="77777777" w:rsidR="007D706A" w:rsidRDefault="007D706A" w:rsidP="00F70508">
            <w:pPr>
              <w:pStyle w:val="ParagraphStyle5"/>
              <w:rPr>
                <w:rStyle w:val="CharacterStyle5"/>
              </w:rPr>
            </w:pPr>
            <w:r>
              <w:rPr>
                <w:rStyle w:val="CharacterStyle5"/>
              </w:rPr>
              <w:t>KONTROLA I SUZBIJANJE GALEBOVA KLAUKAVACA</w:t>
            </w:r>
          </w:p>
        </w:tc>
        <w:tc>
          <w:tcPr>
            <w:tcW w:w="1395" w:type="dxa"/>
            <w:tcBorders>
              <w:bottom w:val="single" w:sz="6" w:space="0" w:color="000000"/>
              <w:right w:val="single" w:sz="6" w:space="0" w:color="000000"/>
            </w:tcBorders>
            <w:vAlign w:val="center"/>
          </w:tcPr>
          <w:p w14:paraId="6C1F8C5E"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1158D821" w14:textId="77777777" w:rsidR="007D706A" w:rsidRDefault="007D706A" w:rsidP="00F70508">
            <w:pPr>
              <w:pStyle w:val="ParagraphStyle6"/>
              <w:rPr>
                <w:rStyle w:val="CharacterStyle6"/>
              </w:rPr>
            </w:pPr>
            <w:r>
              <w:rPr>
                <w:rStyle w:val="CharacterStyle6"/>
              </w:rPr>
              <w:t>5.350,00</w:t>
            </w:r>
          </w:p>
        </w:tc>
        <w:tc>
          <w:tcPr>
            <w:tcW w:w="1395" w:type="dxa"/>
            <w:tcBorders>
              <w:bottom w:val="single" w:sz="6" w:space="0" w:color="000000"/>
              <w:right w:val="single" w:sz="6" w:space="0" w:color="000000"/>
            </w:tcBorders>
            <w:vAlign w:val="center"/>
          </w:tcPr>
          <w:p w14:paraId="186825B5" w14:textId="77777777" w:rsidR="007D706A" w:rsidRDefault="007D706A" w:rsidP="00F70508">
            <w:pPr>
              <w:pStyle w:val="ParagraphStyle6"/>
              <w:rPr>
                <w:rStyle w:val="CharacterStyle6"/>
              </w:rPr>
            </w:pPr>
            <w:r>
              <w:rPr>
                <w:rStyle w:val="CharacterStyle6"/>
              </w:rPr>
              <w:t>7.230,00</w:t>
            </w:r>
          </w:p>
        </w:tc>
        <w:tc>
          <w:tcPr>
            <w:tcW w:w="1395" w:type="dxa"/>
            <w:tcBorders>
              <w:bottom w:val="single" w:sz="6" w:space="0" w:color="000000"/>
              <w:right w:val="single" w:sz="6" w:space="0" w:color="000000"/>
            </w:tcBorders>
            <w:vAlign w:val="center"/>
          </w:tcPr>
          <w:p w14:paraId="6E7B61AD" w14:textId="77777777" w:rsidR="007D706A" w:rsidRDefault="007D706A" w:rsidP="00F70508">
            <w:pPr>
              <w:pStyle w:val="ParagraphStyle6"/>
              <w:rPr>
                <w:rStyle w:val="CharacterStyle6"/>
              </w:rPr>
            </w:pPr>
            <w:r>
              <w:rPr>
                <w:rStyle w:val="CharacterStyle6"/>
              </w:rPr>
              <w:t>7.230,00</w:t>
            </w:r>
          </w:p>
        </w:tc>
        <w:tc>
          <w:tcPr>
            <w:tcW w:w="1395" w:type="dxa"/>
            <w:tcBorders>
              <w:bottom w:val="single" w:sz="6" w:space="0" w:color="000000"/>
              <w:right w:val="single" w:sz="6" w:space="0" w:color="000000"/>
            </w:tcBorders>
            <w:vAlign w:val="center"/>
          </w:tcPr>
          <w:p w14:paraId="0E5F0A49" w14:textId="77777777" w:rsidR="007D706A" w:rsidRDefault="007D706A" w:rsidP="00F70508">
            <w:pPr>
              <w:pStyle w:val="ParagraphStyle6"/>
              <w:rPr>
                <w:rStyle w:val="CharacterStyle6"/>
              </w:rPr>
            </w:pPr>
            <w:r>
              <w:rPr>
                <w:rStyle w:val="CharacterStyle6"/>
              </w:rPr>
              <w:t>7.230,00</w:t>
            </w:r>
          </w:p>
        </w:tc>
      </w:tr>
      <w:tr w:rsidR="007D706A" w14:paraId="1B58518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CAEA84F" w14:textId="77777777" w:rsidR="007D706A" w:rsidRDefault="007D706A" w:rsidP="00F70508">
            <w:pPr>
              <w:pStyle w:val="ParagraphStyle7"/>
              <w:rPr>
                <w:rStyle w:val="CharacterStyle7"/>
              </w:rPr>
            </w:pPr>
            <w:r>
              <w:rPr>
                <w:rStyle w:val="CharacterStyle7"/>
              </w:rPr>
              <w:t>Izvor financiranja 40</w:t>
            </w:r>
          </w:p>
        </w:tc>
        <w:tc>
          <w:tcPr>
            <w:tcW w:w="4995" w:type="dxa"/>
            <w:tcBorders>
              <w:bottom w:val="single" w:sz="6" w:space="0" w:color="000000"/>
              <w:right w:val="single" w:sz="6" w:space="0" w:color="000000"/>
            </w:tcBorders>
            <w:vAlign w:val="center"/>
          </w:tcPr>
          <w:p w14:paraId="337BC9EC" w14:textId="77777777" w:rsidR="007D706A" w:rsidRDefault="007D706A" w:rsidP="00F70508">
            <w:pPr>
              <w:pStyle w:val="ParagraphStyle8"/>
              <w:rPr>
                <w:rStyle w:val="CharacterStyle8"/>
              </w:rPr>
            </w:pPr>
            <w:r>
              <w:rPr>
                <w:rStyle w:val="CharacterStyle8"/>
              </w:rPr>
              <w:t>Prihodi od komunalne naknade i komunalnog doprinosa</w:t>
            </w:r>
          </w:p>
        </w:tc>
        <w:tc>
          <w:tcPr>
            <w:tcW w:w="1395" w:type="dxa"/>
            <w:tcBorders>
              <w:bottom w:val="single" w:sz="6" w:space="0" w:color="000000"/>
              <w:right w:val="single" w:sz="6" w:space="0" w:color="000000"/>
            </w:tcBorders>
            <w:vAlign w:val="center"/>
          </w:tcPr>
          <w:p w14:paraId="2EFE39CD"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9FC49DB"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EAA5557" w14:textId="77777777" w:rsidR="007D706A" w:rsidRDefault="007D706A" w:rsidP="00F70508">
            <w:pPr>
              <w:pStyle w:val="ParagraphStyle9"/>
              <w:rPr>
                <w:rStyle w:val="CharacterStyle9"/>
              </w:rPr>
            </w:pPr>
            <w:r>
              <w:rPr>
                <w:rStyle w:val="CharacterStyle9"/>
              </w:rPr>
              <w:t>7.230,00</w:t>
            </w:r>
          </w:p>
        </w:tc>
        <w:tc>
          <w:tcPr>
            <w:tcW w:w="1395" w:type="dxa"/>
            <w:tcBorders>
              <w:bottom w:val="single" w:sz="6" w:space="0" w:color="000000"/>
              <w:right w:val="single" w:sz="6" w:space="0" w:color="000000"/>
            </w:tcBorders>
            <w:vAlign w:val="center"/>
          </w:tcPr>
          <w:p w14:paraId="3798AAF8" w14:textId="77777777" w:rsidR="007D706A" w:rsidRDefault="007D706A" w:rsidP="00F70508">
            <w:pPr>
              <w:pStyle w:val="ParagraphStyle9"/>
              <w:rPr>
                <w:rStyle w:val="CharacterStyle9"/>
              </w:rPr>
            </w:pPr>
            <w:r>
              <w:rPr>
                <w:rStyle w:val="CharacterStyle9"/>
              </w:rPr>
              <w:t>7.230,00</w:t>
            </w:r>
          </w:p>
        </w:tc>
        <w:tc>
          <w:tcPr>
            <w:tcW w:w="1395" w:type="dxa"/>
            <w:tcBorders>
              <w:bottom w:val="single" w:sz="6" w:space="0" w:color="000000"/>
              <w:right w:val="single" w:sz="6" w:space="0" w:color="000000"/>
            </w:tcBorders>
            <w:vAlign w:val="center"/>
          </w:tcPr>
          <w:p w14:paraId="76E3C70E" w14:textId="77777777" w:rsidR="007D706A" w:rsidRDefault="007D706A" w:rsidP="00F70508">
            <w:pPr>
              <w:pStyle w:val="ParagraphStyle9"/>
              <w:rPr>
                <w:rStyle w:val="CharacterStyle9"/>
              </w:rPr>
            </w:pPr>
            <w:r>
              <w:rPr>
                <w:rStyle w:val="CharacterStyle9"/>
              </w:rPr>
              <w:t>7.230,00</w:t>
            </w:r>
          </w:p>
        </w:tc>
      </w:tr>
      <w:tr w:rsidR="007D706A" w14:paraId="09518A6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63D9CF7"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24BB642F"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43FF183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C51F31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EE6A645" w14:textId="77777777" w:rsidR="007D706A" w:rsidRDefault="007D706A" w:rsidP="00F70508">
            <w:pPr>
              <w:pStyle w:val="ParagraphStyle12"/>
              <w:rPr>
                <w:rStyle w:val="CharacterStyle12"/>
              </w:rPr>
            </w:pPr>
            <w:r>
              <w:rPr>
                <w:rStyle w:val="CharacterStyle12"/>
              </w:rPr>
              <w:t>7.230,00</w:t>
            </w:r>
          </w:p>
        </w:tc>
        <w:tc>
          <w:tcPr>
            <w:tcW w:w="1395" w:type="dxa"/>
            <w:tcBorders>
              <w:bottom w:val="single" w:sz="6" w:space="0" w:color="000000"/>
              <w:right w:val="single" w:sz="6" w:space="0" w:color="000000"/>
            </w:tcBorders>
            <w:vAlign w:val="center"/>
          </w:tcPr>
          <w:p w14:paraId="51858FC3" w14:textId="77777777" w:rsidR="007D706A" w:rsidRDefault="007D706A" w:rsidP="00F70508">
            <w:pPr>
              <w:pStyle w:val="ParagraphStyle12"/>
              <w:rPr>
                <w:rStyle w:val="CharacterStyle12"/>
              </w:rPr>
            </w:pPr>
            <w:r>
              <w:rPr>
                <w:rStyle w:val="CharacterStyle12"/>
              </w:rPr>
              <w:t>7.230,00</w:t>
            </w:r>
          </w:p>
        </w:tc>
        <w:tc>
          <w:tcPr>
            <w:tcW w:w="1395" w:type="dxa"/>
            <w:tcBorders>
              <w:bottom w:val="single" w:sz="6" w:space="0" w:color="000000"/>
              <w:right w:val="single" w:sz="6" w:space="0" w:color="000000"/>
            </w:tcBorders>
            <w:vAlign w:val="center"/>
          </w:tcPr>
          <w:p w14:paraId="0BE91EDC" w14:textId="77777777" w:rsidR="007D706A" w:rsidRDefault="007D706A" w:rsidP="00F70508">
            <w:pPr>
              <w:pStyle w:val="ParagraphStyle12"/>
              <w:rPr>
                <w:rStyle w:val="CharacterStyle12"/>
              </w:rPr>
            </w:pPr>
            <w:r>
              <w:rPr>
                <w:rStyle w:val="CharacterStyle12"/>
              </w:rPr>
              <w:t>7.230,00</w:t>
            </w:r>
          </w:p>
        </w:tc>
      </w:tr>
      <w:tr w:rsidR="007D706A" w14:paraId="29BBCA7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83873C2"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48BD8C21"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2AB59FB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4BDCFA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0D42A22" w14:textId="77777777" w:rsidR="007D706A" w:rsidRDefault="007D706A" w:rsidP="00F70508">
            <w:pPr>
              <w:pStyle w:val="ParagraphStyle12"/>
              <w:rPr>
                <w:rStyle w:val="CharacterStyle12"/>
              </w:rPr>
            </w:pPr>
            <w:r>
              <w:rPr>
                <w:rStyle w:val="CharacterStyle12"/>
              </w:rPr>
              <w:t>7.230,00</w:t>
            </w:r>
          </w:p>
        </w:tc>
        <w:tc>
          <w:tcPr>
            <w:tcW w:w="1395" w:type="dxa"/>
            <w:tcBorders>
              <w:bottom w:val="single" w:sz="6" w:space="0" w:color="000000"/>
              <w:right w:val="single" w:sz="6" w:space="0" w:color="000000"/>
            </w:tcBorders>
            <w:vAlign w:val="center"/>
          </w:tcPr>
          <w:p w14:paraId="76614CD7" w14:textId="77777777" w:rsidR="007D706A" w:rsidRDefault="007D706A" w:rsidP="00F70508">
            <w:pPr>
              <w:pStyle w:val="ParagraphStyle12"/>
              <w:rPr>
                <w:rStyle w:val="CharacterStyle12"/>
              </w:rPr>
            </w:pPr>
            <w:r>
              <w:rPr>
                <w:rStyle w:val="CharacterStyle12"/>
              </w:rPr>
              <w:t>7.230,00</w:t>
            </w:r>
          </w:p>
        </w:tc>
        <w:tc>
          <w:tcPr>
            <w:tcW w:w="1395" w:type="dxa"/>
            <w:tcBorders>
              <w:bottom w:val="single" w:sz="6" w:space="0" w:color="000000"/>
              <w:right w:val="single" w:sz="6" w:space="0" w:color="000000"/>
            </w:tcBorders>
            <w:vAlign w:val="center"/>
          </w:tcPr>
          <w:p w14:paraId="0DCDC2EE" w14:textId="77777777" w:rsidR="007D706A" w:rsidRDefault="007D706A" w:rsidP="00F70508">
            <w:pPr>
              <w:pStyle w:val="ParagraphStyle12"/>
              <w:rPr>
                <w:rStyle w:val="CharacterStyle12"/>
              </w:rPr>
            </w:pPr>
            <w:r>
              <w:rPr>
                <w:rStyle w:val="CharacterStyle12"/>
              </w:rPr>
              <w:t>7.230,00</w:t>
            </w:r>
          </w:p>
        </w:tc>
      </w:tr>
      <w:tr w:rsidR="007D706A" w14:paraId="2C7E7EC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4527B24" w14:textId="77777777" w:rsidR="007D706A" w:rsidRDefault="007D706A" w:rsidP="00F70508">
            <w:pPr>
              <w:pStyle w:val="ParagraphStyle7"/>
              <w:rPr>
                <w:rStyle w:val="CharacterStyle7"/>
              </w:rPr>
            </w:pPr>
            <w:r>
              <w:rPr>
                <w:rStyle w:val="CharacterStyle7"/>
              </w:rPr>
              <w:t>Izvor financiranja 41</w:t>
            </w:r>
          </w:p>
        </w:tc>
        <w:tc>
          <w:tcPr>
            <w:tcW w:w="4995" w:type="dxa"/>
            <w:tcBorders>
              <w:bottom w:val="single" w:sz="6" w:space="0" w:color="000000"/>
              <w:right w:val="single" w:sz="6" w:space="0" w:color="000000"/>
            </w:tcBorders>
            <w:vAlign w:val="center"/>
          </w:tcPr>
          <w:p w14:paraId="0B4AD3FF" w14:textId="77777777" w:rsidR="007D706A" w:rsidRDefault="007D706A" w:rsidP="00F70508">
            <w:pPr>
              <w:pStyle w:val="ParagraphStyle8"/>
              <w:rPr>
                <w:rStyle w:val="CharacterStyle8"/>
              </w:rPr>
            </w:pPr>
            <w:r>
              <w:rPr>
                <w:rStyle w:val="CharacterStyle8"/>
              </w:rPr>
              <w:t>Prihodi za posebne namjene</w:t>
            </w:r>
          </w:p>
        </w:tc>
        <w:tc>
          <w:tcPr>
            <w:tcW w:w="1395" w:type="dxa"/>
            <w:tcBorders>
              <w:bottom w:val="single" w:sz="6" w:space="0" w:color="000000"/>
              <w:right w:val="single" w:sz="6" w:space="0" w:color="000000"/>
            </w:tcBorders>
            <w:vAlign w:val="center"/>
          </w:tcPr>
          <w:p w14:paraId="50B38ECA"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379BB38" w14:textId="77777777" w:rsidR="007D706A" w:rsidRDefault="007D706A" w:rsidP="00F70508">
            <w:pPr>
              <w:pStyle w:val="ParagraphStyle9"/>
              <w:rPr>
                <w:rStyle w:val="CharacterStyle9"/>
              </w:rPr>
            </w:pPr>
            <w:r>
              <w:rPr>
                <w:rStyle w:val="CharacterStyle9"/>
              </w:rPr>
              <w:t>5.350,00</w:t>
            </w:r>
          </w:p>
        </w:tc>
        <w:tc>
          <w:tcPr>
            <w:tcW w:w="1395" w:type="dxa"/>
            <w:tcBorders>
              <w:bottom w:val="single" w:sz="6" w:space="0" w:color="000000"/>
              <w:right w:val="single" w:sz="6" w:space="0" w:color="000000"/>
            </w:tcBorders>
            <w:vAlign w:val="center"/>
          </w:tcPr>
          <w:p w14:paraId="40101308"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3B702E2"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EF65DEF" w14:textId="77777777" w:rsidR="007D706A" w:rsidRDefault="007D706A" w:rsidP="00F70508">
            <w:pPr>
              <w:pStyle w:val="ParagraphStyle9"/>
              <w:rPr>
                <w:rStyle w:val="CharacterStyle9"/>
              </w:rPr>
            </w:pPr>
            <w:r>
              <w:rPr>
                <w:rStyle w:val="CharacterStyle9"/>
              </w:rPr>
              <w:t>0,00</w:t>
            </w:r>
          </w:p>
        </w:tc>
      </w:tr>
      <w:tr w:rsidR="007D706A" w14:paraId="7CF7CC6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BD17F4B"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7F0D172A"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343EABE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356A519" w14:textId="77777777" w:rsidR="007D706A" w:rsidRDefault="007D706A" w:rsidP="00F70508">
            <w:pPr>
              <w:pStyle w:val="ParagraphStyle12"/>
              <w:rPr>
                <w:rStyle w:val="CharacterStyle12"/>
              </w:rPr>
            </w:pPr>
            <w:r>
              <w:rPr>
                <w:rStyle w:val="CharacterStyle12"/>
              </w:rPr>
              <w:t>5.350,00</w:t>
            </w:r>
          </w:p>
        </w:tc>
        <w:tc>
          <w:tcPr>
            <w:tcW w:w="1395" w:type="dxa"/>
            <w:tcBorders>
              <w:bottom w:val="single" w:sz="6" w:space="0" w:color="000000"/>
              <w:right w:val="single" w:sz="6" w:space="0" w:color="000000"/>
            </w:tcBorders>
            <w:vAlign w:val="center"/>
          </w:tcPr>
          <w:p w14:paraId="0E088F8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9778AB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A1118F8" w14:textId="77777777" w:rsidR="007D706A" w:rsidRDefault="007D706A" w:rsidP="00F70508">
            <w:pPr>
              <w:pStyle w:val="ParagraphStyle12"/>
              <w:rPr>
                <w:rStyle w:val="CharacterStyle12"/>
              </w:rPr>
            </w:pPr>
            <w:r>
              <w:rPr>
                <w:rStyle w:val="CharacterStyle12"/>
              </w:rPr>
              <w:t>0,00</w:t>
            </w:r>
          </w:p>
        </w:tc>
      </w:tr>
      <w:tr w:rsidR="007D706A" w14:paraId="0C99688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969F51E"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00ED6E6C"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2FB1D5A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45DB517" w14:textId="77777777" w:rsidR="007D706A" w:rsidRDefault="007D706A" w:rsidP="00F70508">
            <w:pPr>
              <w:pStyle w:val="ParagraphStyle12"/>
              <w:rPr>
                <w:rStyle w:val="CharacterStyle12"/>
              </w:rPr>
            </w:pPr>
            <w:r>
              <w:rPr>
                <w:rStyle w:val="CharacterStyle12"/>
              </w:rPr>
              <w:t>5.350,00</w:t>
            </w:r>
          </w:p>
        </w:tc>
        <w:tc>
          <w:tcPr>
            <w:tcW w:w="1395" w:type="dxa"/>
            <w:tcBorders>
              <w:bottom w:val="single" w:sz="6" w:space="0" w:color="000000"/>
              <w:right w:val="single" w:sz="6" w:space="0" w:color="000000"/>
            </w:tcBorders>
            <w:vAlign w:val="center"/>
          </w:tcPr>
          <w:p w14:paraId="29F927C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6770AF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FEC0570" w14:textId="77777777" w:rsidR="007D706A" w:rsidRDefault="007D706A" w:rsidP="00F70508">
            <w:pPr>
              <w:pStyle w:val="ParagraphStyle12"/>
              <w:rPr>
                <w:rStyle w:val="CharacterStyle12"/>
              </w:rPr>
            </w:pPr>
            <w:r>
              <w:rPr>
                <w:rStyle w:val="CharacterStyle12"/>
              </w:rPr>
              <w:t>0,00</w:t>
            </w:r>
          </w:p>
        </w:tc>
      </w:tr>
      <w:tr w:rsidR="007D706A" w14:paraId="6A69E5DB" w14:textId="77777777" w:rsidTr="00F70508">
        <w:trPr>
          <w:trHeight w:val="420"/>
        </w:trPr>
        <w:tc>
          <w:tcPr>
            <w:tcW w:w="2880" w:type="dxa"/>
            <w:tcBorders>
              <w:left w:val="single" w:sz="6" w:space="0" w:color="000000"/>
              <w:bottom w:val="single" w:sz="6" w:space="0" w:color="000000"/>
              <w:right w:val="single" w:sz="6" w:space="0" w:color="000000"/>
            </w:tcBorders>
            <w:vAlign w:val="center"/>
          </w:tcPr>
          <w:p w14:paraId="744B46B9" w14:textId="77777777" w:rsidR="007D706A" w:rsidRDefault="007D706A" w:rsidP="00F70508">
            <w:pPr>
              <w:pStyle w:val="ParagraphStyle4"/>
              <w:rPr>
                <w:rStyle w:val="CharacterStyle4"/>
              </w:rPr>
            </w:pPr>
            <w:r>
              <w:rPr>
                <w:rStyle w:val="CharacterStyle4"/>
              </w:rPr>
              <w:t>Aktivnost A102308</w:t>
            </w:r>
          </w:p>
        </w:tc>
        <w:tc>
          <w:tcPr>
            <w:tcW w:w="4995" w:type="dxa"/>
            <w:tcBorders>
              <w:bottom w:val="single" w:sz="6" w:space="0" w:color="000000"/>
              <w:right w:val="single" w:sz="6" w:space="0" w:color="000000"/>
            </w:tcBorders>
            <w:vAlign w:val="center"/>
          </w:tcPr>
          <w:p w14:paraId="06E51EF2" w14:textId="77777777" w:rsidR="007D706A" w:rsidRDefault="007D706A" w:rsidP="00F70508">
            <w:pPr>
              <w:pStyle w:val="ParagraphStyle5"/>
              <w:rPr>
                <w:rStyle w:val="CharacterStyle5"/>
              </w:rPr>
            </w:pPr>
            <w:r>
              <w:rPr>
                <w:rStyle w:val="CharacterStyle5"/>
              </w:rPr>
              <w:t>MJERE ZAŠTITE STANOVNIŠTVA OD ZARAZNIH BOLESTI - PREVENTIVNE DEZINFEKCIJE, DEZINSEKCIJE I</w:t>
            </w:r>
          </w:p>
        </w:tc>
        <w:tc>
          <w:tcPr>
            <w:tcW w:w="1395" w:type="dxa"/>
            <w:tcBorders>
              <w:bottom w:val="single" w:sz="6" w:space="0" w:color="000000"/>
              <w:right w:val="single" w:sz="6" w:space="0" w:color="000000"/>
            </w:tcBorders>
            <w:vAlign w:val="center"/>
          </w:tcPr>
          <w:p w14:paraId="1EE0E795"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3521056A" w14:textId="77777777" w:rsidR="007D706A" w:rsidRDefault="007D706A" w:rsidP="00F70508">
            <w:pPr>
              <w:pStyle w:val="ParagraphStyle6"/>
              <w:rPr>
                <w:rStyle w:val="CharacterStyle6"/>
              </w:rPr>
            </w:pPr>
            <w:r>
              <w:rPr>
                <w:rStyle w:val="CharacterStyle6"/>
              </w:rPr>
              <w:t>15.250,00</w:t>
            </w:r>
          </w:p>
        </w:tc>
        <w:tc>
          <w:tcPr>
            <w:tcW w:w="1395" w:type="dxa"/>
            <w:tcBorders>
              <w:bottom w:val="single" w:sz="6" w:space="0" w:color="000000"/>
              <w:right w:val="single" w:sz="6" w:space="0" w:color="000000"/>
            </w:tcBorders>
            <w:vAlign w:val="center"/>
          </w:tcPr>
          <w:p w14:paraId="4ED97585" w14:textId="77777777" w:rsidR="007D706A" w:rsidRDefault="007D706A" w:rsidP="00F70508">
            <w:pPr>
              <w:pStyle w:val="ParagraphStyle6"/>
              <w:rPr>
                <w:rStyle w:val="CharacterStyle6"/>
              </w:rPr>
            </w:pPr>
            <w:r>
              <w:rPr>
                <w:rStyle w:val="CharacterStyle6"/>
              </w:rPr>
              <w:t>16.000,00</w:t>
            </w:r>
          </w:p>
        </w:tc>
        <w:tc>
          <w:tcPr>
            <w:tcW w:w="1395" w:type="dxa"/>
            <w:tcBorders>
              <w:bottom w:val="single" w:sz="6" w:space="0" w:color="000000"/>
              <w:right w:val="single" w:sz="6" w:space="0" w:color="000000"/>
            </w:tcBorders>
            <w:vAlign w:val="center"/>
          </w:tcPr>
          <w:p w14:paraId="077E4A22" w14:textId="77777777" w:rsidR="007D706A" w:rsidRDefault="007D706A" w:rsidP="00F70508">
            <w:pPr>
              <w:pStyle w:val="ParagraphStyle6"/>
              <w:rPr>
                <w:rStyle w:val="CharacterStyle6"/>
              </w:rPr>
            </w:pPr>
            <w:r>
              <w:rPr>
                <w:rStyle w:val="CharacterStyle6"/>
              </w:rPr>
              <w:t>16.000,00</w:t>
            </w:r>
          </w:p>
        </w:tc>
        <w:tc>
          <w:tcPr>
            <w:tcW w:w="1395" w:type="dxa"/>
            <w:tcBorders>
              <w:bottom w:val="single" w:sz="6" w:space="0" w:color="000000"/>
              <w:right w:val="single" w:sz="6" w:space="0" w:color="000000"/>
            </w:tcBorders>
            <w:vAlign w:val="center"/>
          </w:tcPr>
          <w:p w14:paraId="12EEB386" w14:textId="77777777" w:rsidR="007D706A" w:rsidRDefault="007D706A" w:rsidP="00F70508">
            <w:pPr>
              <w:pStyle w:val="ParagraphStyle6"/>
              <w:rPr>
                <w:rStyle w:val="CharacterStyle6"/>
              </w:rPr>
            </w:pPr>
            <w:r>
              <w:rPr>
                <w:rStyle w:val="CharacterStyle6"/>
              </w:rPr>
              <w:t>16.000,00</w:t>
            </w:r>
          </w:p>
        </w:tc>
      </w:tr>
      <w:tr w:rsidR="007D706A" w14:paraId="543BC95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BA3FC04" w14:textId="77777777" w:rsidR="007D706A" w:rsidRDefault="007D706A" w:rsidP="00F70508">
            <w:pPr>
              <w:pStyle w:val="ParagraphStyle7"/>
              <w:rPr>
                <w:rStyle w:val="CharacterStyle7"/>
              </w:rPr>
            </w:pPr>
            <w:r>
              <w:rPr>
                <w:rStyle w:val="CharacterStyle7"/>
              </w:rPr>
              <w:lastRenderedPageBreak/>
              <w:t>Izvor financiranja 40</w:t>
            </w:r>
          </w:p>
        </w:tc>
        <w:tc>
          <w:tcPr>
            <w:tcW w:w="4995" w:type="dxa"/>
            <w:tcBorders>
              <w:bottom w:val="single" w:sz="6" w:space="0" w:color="000000"/>
              <w:right w:val="single" w:sz="6" w:space="0" w:color="000000"/>
            </w:tcBorders>
            <w:vAlign w:val="center"/>
          </w:tcPr>
          <w:p w14:paraId="5D081026" w14:textId="77777777" w:rsidR="007D706A" w:rsidRDefault="007D706A" w:rsidP="00F70508">
            <w:pPr>
              <w:pStyle w:val="ParagraphStyle8"/>
              <w:rPr>
                <w:rStyle w:val="CharacterStyle8"/>
              </w:rPr>
            </w:pPr>
            <w:r>
              <w:rPr>
                <w:rStyle w:val="CharacterStyle8"/>
              </w:rPr>
              <w:t>Prihodi od komunalne naknade i komunalnog doprinosa</w:t>
            </w:r>
          </w:p>
        </w:tc>
        <w:tc>
          <w:tcPr>
            <w:tcW w:w="1395" w:type="dxa"/>
            <w:tcBorders>
              <w:bottom w:val="single" w:sz="6" w:space="0" w:color="000000"/>
              <w:right w:val="single" w:sz="6" w:space="0" w:color="000000"/>
            </w:tcBorders>
            <w:vAlign w:val="center"/>
          </w:tcPr>
          <w:p w14:paraId="196074D3"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46E6F29"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BAB4DB0" w14:textId="77777777" w:rsidR="007D706A" w:rsidRDefault="007D706A" w:rsidP="00F70508">
            <w:pPr>
              <w:pStyle w:val="ParagraphStyle9"/>
              <w:rPr>
                <w:rStyle w:val="CharacterStyle9"/>
              </w:rPr>
            </w:pPr>
            <w:r>
              <w:rPr>
                <w:rStyle w:val="CharacterStyle9"/>
              </w:rPr>
              <w:t>16.000,00</w:t>
            </w:r>
          </w:p>
        </w:tc>
        <w:tc>
          <w:tcPr>
            <w:tcW w:w="1395" w:type="dxa"/>
            <w:tcBorders>
              <w:bottom w:val="single" w:sz="6" w:space="0" w:color="000000"/>
              <w:right w:val="single" w:sz="6" w:space="0" w:color="000000"/>
            </w:tcBorders>
            <w:vAlign w:val="center"/>
          </w:tcPr>
          <w:p w14:paraId="35D031F4" w14:textId="77777777" w:rsidR="007D706A" w:rsidRDefault="007D706A" w:rsidP="00F70508">
            <w:pPr>
              <w:pStyle w:val="ParagraphStyle9"/>
              <w:rPr>
                <w:rStyle w:val="CharacterStyle9"/>
              </w:rPr>
            </w:pPr>
            <w:r>
              <w:rPr>
                <w:rStyle w:val="CharacterStyle9"/>
              </w:rPr>
              <w:t>16.000,00</w:t>
            </w:r>
          </w:p>
        </w:tc>
        <w:tc>
          <w:tcPr>
            <w:tcW w:w="1395" w:type="dxa"/>
            <w:tcBorders>
              <w:bottom w:val="single" w:sz="6" w:space="0" w:color="000000"/>
              <w:right w:val="single" w:sz="6" w:space="0" w:color="000000"/>
            </w:tcBorders>
            <w:vAlign w:val="center"/>
          </w:tcPr>
          <w:p w14:paraId="0F192F64" w14:textId="77777777" w:rsidR="007D706A" w:rsidRDefault="007D706A" w:rsidP="00F70508">
            <w:pPr>
              <w:pStyle w:val="ParagraphStyle9"/>
              <w:rPr>
                <w:rStyle w:val="CharacterStyle9"/>
              </w:rPr>
            </w:pPr>
            <w:r>
              <w:rPr>
                <w:rStyle w:val="CharacterStyle9"/>
              </w:rPr>
              <w:t>16.000,00</w:t>
            </w:r>
          </w:p>
        </w:tc>
      </w:tr>
      <w:tr w:rsidR="007D706A" w14:paraId="0C40043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4A73F42"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6F32931A"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02423B4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1E86C0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C863274" w14:textId="77777777" w:rsidR="007D706A" w:rsidRDefault="007D706A" w:rsidP="00F70508">
            <w:pPr>
              <w:pStyle w:val="ParagraphStyle12"/>
              <w:rPr>
                <w:rStyle w:val="CharacterStyle12"/>
              </w:rPr>
            </w:pPr>
            <w:r>
              <w:rPr>
                <w:rStyle w:val="CharacterStyle12"/>
              </w:rPr>
              <w:t>16.000,00</w:t>
            </w:r>
          </w:p>
        </w:tc>
        <w:tc>
          <w:tcPr>
            <w:tcW w:w="1395" w:type="dxa"/>
            <w:tcBorders>
              <w:bottom w:val="single" w:sz="6" w:space="0" w:color="000000"/>
              <w:right w:val="single" w:sz="6" w:space="0" w:color="000000"/>
            </w:tcBorders>
            <w:vAlign w:val="center"/>
          </w:tcPr>
          <w:p w14:paraId="134A3CB2" w14:textId="77777777" w:rsidR="007D706A" w:rsidRDefault="007D706A" w:rsidP="00F70508">
            <w:pPr>
              <w:pStyle w:val="ParagraphStyle12"/>
              <w:rPr>
                <w:rStyle w:val="CharacterStyle12"/>
              </w:rPr>
            </w:pPr>
            <w:r>
              <w:rPr>
                <w:rStyle w:val="CharacterStyle12"/>
              </w:rPr>
              <w:t>16.000,00</w:t>
            </w:r>
          </w:p>
        </w:tc>
        <w:tc>
          <w:tcPr>
            <w:tcW w:w="1395" w:type="dxa"/>
            <w:tcBorders>
              <w:bottom w:val="single" w:sz="6" w:space="0" w:color="000000"/>
              <w:right w:val="single" w:sz="6" w:space="0" w:color="000000"/>
            </w:tcBorders>
            <w:vAlign w:val="center"/>
          </w:tcPr>
          <w:p w14:paraId="2207471E" w14:textId="77777777" w:rsidR="007D706A" w:rsidRDefault="007D706A" w:rsidP="00F70508">
            <w:pPr>
              <w:pStyle w:val="ParagraphStyle12"/>
              <w:rPr>
                <w:rStyle w:val="CharacterStyle12"/>
              </w:rPr>
            </w:pPr>
            <w:r>
              <w:rPr>
                <w:rStyle w:val="CharacterStyle12"/>
              </w:rPr>
              <w:t>16.000,00</w:t>
            </w:r>
          </w:p>
        </w:tc>
      </w:tr>
      <w:tr w:rsidR="007D706A" w14:paraId="7F77CD66"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EEDB1C8"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4FCA014C"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13A0B0E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6B058A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645CF5F" w14:textId="77777777" w:rsidR="007D706A" w:rsidRDefault="007D706A" w:rsidP="00F70508">
            <w:pPr>
              <w:pStyle w:val="ParagraphStyle12"/>
              <w:rPr>
                <w:rStyle w:val="CharacterStyle12"/>
              </w:rPr>
            </w:pPr>
            <w:r>
              <w:rPr>
                <w:rStyle w:val="CharacterStyle12"/>
              </w:rPr>
              <w:t>16.000,00</w:t>
            </w:r>
          </w:p>
        </w:tc>
        <w:tc>
          <w:tcPr>
            <w:tcW w:w="1395" w:type="dxa"/>
            <w:tcBorders>
              <w:bottom w:val="single" w:sz="6" w:space="0" w:color="000000"/>
              <w:right w:val="single" w:sz="6" w:space="0" w:color="000000"/>
            </w:tcBorders>
            <w:vAlign w:val="center"/>
          </w:tcPr>
          <w:p w14:paraId="3F3114AD" w14:textId="77777777" w:rsidR="007D706A" w:rsidRDefault="007D706A" w:rsidP="00F70508">
            <w:pPr>
              <w:pStyle w:val="ParagraphStyle12"/>
              <w:rPr>
                <w:rStyle w:val="CharacterStyle12"/>
              </w:rPr>
            </w:pPr>
            <w:r>
              <w:rPr>
                <w:rStyle w:val="CharacterStyle12"/>
              </w:rPr>
              <w:t>16.000,00</w:t>
            </w:r>
          </w:p>
        </w:tc>
        <w:tc>
          <w:tcPr>
            <w:tcW w:w="1395" w:type="dxa"/>
            <w:tcBorders>
              <w:bottom w:val="single" w:sz="6" w:space="0" w:color="000000"/>
              <w:right w:val="single" w:sz="6" w:space="0" w:color="000000"/>
            </w:tcBorders>
            <w:vAlign w:val="center"/>
          </w:tcPr>
          <w:p w14:paraId="58F30E48" w14:textId="77777777" w:rsidR="007D706A" w:rsidRDefault="007D706A" w:rsidP="00F70508">
            <w:pPr>
              <w:pStyle w:val="ParagraphStyle12"/>
              <w:rPr>
                <w:rStyle w:val="CharacterStyle12"/>
              </w:rPr>
            </w:pPr>
            <w:r>
              <w:rPr>
                <w:rStyle w:val="CharacterStyle12"/>
              </w:rPr>
              <w:t>16.000,00</w:t>
            </w:r>
          </w:p>
        </w:tc>
      </w:tr>
      <w:tr w:rsidR="007D706A" w14:paraId="4C4A73C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20FBBD0" w14:textId="77777777" w:rsidR="007D706A" w:rsidRDefault="007D706A" w:rsidP="00F70508">
            <w:pPr>
              <w:pStyle w:val="ParagraphStyle7"/>
              <w:rPr>
                <w:rStyle w:val="CharacterStyle7"/>
              </w:rPr>
            </w:pPr>
            <w:r>
              <w:rPr>
                <w:rStyle w:val="CharacterStyle7"/>
              </w:rPr>
              <w:t>Izvor financiranja 41</w:t>
            </w:r>
          </w:p>
        </w:tc>
        <w:tc>
          <w:tcPr>
            <w:tcW w:w="4995" w:type="dxa"/>
            <w:tcBorders>
              <w:bottom w:val="single" w:sz="6" w:space="0" w:color="000000"/>
              <w:right w:val="single" w:sz="6" w:space="0" w:color="000000"/>
            </w:tcBorders>
            <w:vAlign w:val="center"/>
          </w:tcPr>
          <w:p w14:paraId="20A4FAD9" w14:textId="77777777" w:rsidR="007D706A" w:rsidRDefault="007D706A" w:rsidP="00F70508">
            <w:pPr>
              <w:pStyle w:val="ParagraphStyle8"/>
              <w:rPr>
                <w:rStyle w:val="CharacterStyle8"/>
              </w:rPr>
            </w:pPr>
            <w:r>
              <w:rPr>
                <w:rStyle w:val="CharacterStyle8"/>
              </w:rPr>
              <w:t>Prihodi za posebne namjene</w:t>
            </w:r>
          </w:p>
        </w:tc>
        <w:tc>
          <w:tcPr>
            <w:tcW w:w="1395" w:type="dxa"/>
            <w:tcBorders>
              <w:bottom w:val="single" w:sz="6" w:space="0" w:color="000000"/>
              <w:right w:val="single" w:sz="6" w:space="0" w:color="000000"/>
            </w:tcBorders>
            <w:vAlign w:val="center"/>
          </w:tcPr>
          <w:p w14:paraId="743819F7"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7490F58" w14:textId="77777777" w:rsidR="007D706A" w:rsidRDefault="007D706A" w:rsidP="00F70508">
            <w:pPr>
              <w:pStyle w:val="ParagraphStyle9"/>
              <w:rPr>
                <w:rStyle w:val="CharacterStyle9"/>
              </w:rPr>
            </w:pPr>
            <w:r>
              <w:rPr>
                <w:rStyle w:val="CharacterStyle9"/>
              </w:rPr>
              <w:t>15.250,00</w:t>
            </w:r>
          </w:p>
        </w:tc>
        <w:tc>
          <w:tcPr>
            <w:tcW w:w="1395" w:type="dxa"/>
            <w:tcBorders>
              <w:bottom w:val="single" w:sz="6" w:space="0" w:color="000000"/>
              <w:right w:val="single" w:sz="6" w:space="0" w:color="000000"/>
            </w:tcBorders>
            <w:vAlign w:val="center"/>
          </w:tcPr>
          <w:p w14:paraId="38DE6B20"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7C08164"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F30C034" w14:textId="77777777" w:rsidR="007D706A" w:rsidRDefault="007D706A" w:rsidP="00F70508">
            <w:pPr>
              <w:pStyle w:val="ParagraphStyle9"/>
              <w:rPr>
                <w:rStyle w:val="CharacterStyle9"/>
              </w:rPr>
            </w:pPr>
            <w:r>
              <w:rPr>
                <w:rStyle w:val="CharacterStyle9"/>
              </w:rPr>
              <w:t>0,00</w:t>
            </w:r>
          </w:p>
        </w:tc>
      </w:tr>
      <w:tr w:rsidR="007D706A" w14:paraId="78C5536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F48F19C"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0C69D6BA"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535F440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8C0E18A" w14:textId="77777777" w:rsidR="007D706A" w:rsidRDefault="007D706A" w:rsidP="00F70508">
            <w:pPr>
              <w:pStyle w:val="ParagraphStyle12"/>
              <w:rPr>
                <w:rStyle w:val="CharacterStyle12"/>
              </w:rPr>
            </w:pPr>
            <w:r>
              <w:rPr>
                <w:rStyle w:val="CharacterStyle12"/>
              </w:rPr>
              <w:t>15.250,00</w:t>
            </w:r>
          </w:p>
        </w:tc>
        <w:tc>
          <w:tcPr>
            <w:tcW w:w="1395" w:type="dxa"/>
            <w:tcBorders>
              <w:bottom w:val="single" w:sz="6" w:space="0" w:color="000000"/>
              <w:right w:val="single" w:sz="6" w:space="0" w:color="000000"/>
            </w:tcBorders>
            <w:vAlign w:val="center"/>
          </w:tcPr>
          <w:p w14:paraId="6A99125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D60AD8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0EEEB4A" w14:textId="77777777" w:rsidR="007D706A" w:rsidRDefault="007D706A" w:rsidP="00F70508">
            <w:pPr>
              <w:pStyle w:val="ParagraphStyle12"/>
              <w:rPr>
                <w:rStyle w:val="CharacterStyle12"/>
              </w:rPr>
            </w:pPr>
            <w:r>
              <w:rPr>
                <w:rStyle w:val="CharacterStyle12"/>
              </w:rPr>
              <w:t>0,00</w:t>
            </w:r>
          </w:p>
        </w:tc>
      </w:tr>
      <w:tr w:rsidR="007D706A" w14:paraId="2093BC06"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51D178B"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081CFED9"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5B698C0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B2D76B3" w14:textId="77777777" w:rsidR="007D706A" w:rsidRDefault="007D706A" w:rsidP="00F70508">
            <w:pPr>
              <w:pStyle w:val="ParagraphStyle12"/>
              <w:rPr>
                <w:rStyle w:val="CharacterStyle12"/>
              </w:rPr>
            </w:pPr>
            <w:r>
              <w:rPr>
                <w:rStyle w:val="CharacterStyle12"/>
              </w:rPr>
              <w:t>15.250,00</w:t>
            </w:r>
          </w:p>
        </w:tc>
        <w:tc>
          <w:tcPr>
            <w:tcW w:w="1395" w:type="dxa"/>
            <w:tcBorders>
              <w:bottom w:val="single" w:sz="6" w:space="0" w:color="000000"/>
              <w:right w:val="single" w:sz="6" w:space="0" w:color="000000"/>
            </w:tcBorders>
            <w:vAlign w:val="center"/>
          </w:tcPr>
          <w:p w14:paraId="1A2FBDE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494C04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9A02AB8" w14:textId="77777777" w:rsidR="007D706A" w:rsidRDefault="007D706A" w:rsidP="00F70508">
            <w:pPr>
              <w:pStyle w:val="ParagraphStyle12"/>
              <w:rPr>
                <w:rStyle w:val="CharacterStyle12"/>
              </w:rPr>
            </w:pPr>
            <w:r>
              <w:rPr>
                <w:rStyle w:val="CharacterStyle12"/>
              </w:rPr>
              <w:t>0,00</w:t>
            </w:r>
          </w:p>
        </w:tc>
      </w:tr>
      <w:tr w:rsidR="007D706A" w14:paraId="62C0F05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EA0EA39" w14:textId="77777777" w:rsidR="007D706A" w:rsidRDefault="007D706A" w:rsidP="00F70508">
            <w:pPr>
              <w:pStyle w:val="ParagraphStyle4"/>
              <w:rPr>
                <w:rStyle w:val="CharacterStyle4"/>
              </w:rPr>
            </w:pPr>
            <w:r>
              <w:rPr>
                <w:rStyle w:val="CharacterStyle4"/>
              </w:rPr>
              <w:t>Tekući projekt T102301</w:t>
            </w:r>
          </w:p>
        </w:tc>
        <w:tc>
          <w:tcPr>
            <w:tcW w:w="4995" w:type="dxa"/>
            <w:tcBorders>
              <w:bottom w:val="single" w:sz="6" w:space="0" w:color="000000"/>
              <w:right w:val="single" w:sz="6" w:space="0" w:color="000000"/>
            </w:tcBorders>
            <w:vAlign w:val="center"/>
          </w:tcPr>
          <w:p w14:paraId="5E4687D0" w14:textId="77777777" w:rsidR="007D706A" w:rsidRDefault="007D706A" w:rsidP="00F70508">
            <w:pPr>
              <w:pStyle w:val="ParagraphStyle5"/>
              <w:rPr>
                <w:rStyle w:val="CharacterStyle5"/>
              </w:rPr>
            </w:pPr>
            <w:r>
              <w:rPr>
                <w:rStyle w:val="CharacterStyle5"/>
              </w:rPr>
              <w:t>SUFINANCIRANJE JAVNOG PRIJEVOZA</w:t>
            </w:r>
          </w:p>
        </w:tc>
        <w:tc>
          <w:tcPr>
            <w:tcW w:w="1395" w:type="dxa"/>
            <w:tcBorders>
              <w:bottom w:val="single" w:sz="6" w:space="0" w:color="000000"/>
              <w:right w:val="single" w:sz="6" w:space="0" w:color="000000"/>
            </w:tcBorders>
            <w:vAlign w:val="center"/>
          </w:tcPr>
          <w:p w14:paraId="52D5211C"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55641440" w14:textId="77777777" w:rsidR="007D706A" w:rsidRDefault="007D706A" w:rsidP="00F70508">
            <w:pPr>
              <w:pStyle w:val="ParagraphStyle6"/>
              <w:rPr>
                <w:rStyle w:val="CharacterStyle6"/>
              </w:rPr>
            </w:pPr>
            <w:r>
              <w:rPr>
                <w:rStyle w:val="CharacterStyle6"/>
              </w:rPr>
              <w:t>12.500,00</w:t>
            </w:r>
          </w:p>
        </w:tc>
        <w:tc>
          <w:tcPr>
            <w:tcW w:w="1395" w:type="dxa"/>
            <w:tcBorders>
              <w:bottom w:val="single" w:sz="6" w:space="0" w:color="000000"/>
              <w:right w:val="single" w:sz="6" w:space="0" w:color="000000"/>
            </w:tcBorders>
            <w:vAlign w:val="center"/>
          </w:tcPr>
          <w:p w14:paraId="7B69B65C" w14:textId="77777777" w:rsidR="007D706A" w:rsidRDefault="007D706A" w:rsidP="00F70508">
            <w:pPr>
              <w:pStyle w:val="ParagraphStyle6"/>
              <w:rPr>
                <w:rStyle w:val="CharacterStyle6"/>
              </w:rPr>
            </w:pPr>
            <w:r>
              <w:rPr>
                <w:rStyle w:val="CharacterStyle6"/>
              </w:rPr>
              <w:t>12.500,00</w:t>
            </w:r>
          </w:p>
        </w:tc>
        <w:tc>
          <w:tcPr>
            <w:tcW w:w="1395" w:type="dxa"/>
            <w:tcBorders>
              <w:bottom w:val="single" w:sz="6" w:space="0" w:color="000000"/>
              <w:right w:val="single" w:sz="6" w:space="0" w:color="000000"/>
            </w:tcBorders>
            <w:vAlign w:val="center"/>
          </w:tcPr>
          <w:p w14:paraId="2185E2D5" w14:textId="77777777" w:rsidR="007D706A" w:rsidRDefault="007D706A" w:rsidP="00F70508">
            <w:pPr>
              <w:pStyle w:val="ParagraphStyle6"/>
              <w:rPr>
                <w:rStyle w:val="CharacterStyle6"/>
              </w:rPr>
            </w:pPr>
            <w:r>
              <w:rPr>
                <w:rStyle w:val="CharacterStyle6"/>
              </w:rPr>
              <w:t>12.500,00</w:t>
            </w:r>
          </w:p>
        </w:tc>
        <w:tc>
          <w:tcPr>
            <w:tcW w:w="1395" w:type="dxa"/>
            <w:tcBorders>
              <w:bottom w:val="single" w:sz="6" w:space="0" w:color="000000"/>
              <w:right w:val="single" w:sz="6" w:space="0" w:color="000000"/>
            </w:tcBorders>
            <w:vAlign w:val="center"/>
          </w:tcPr>
          <w:p w14:paraId="285BBF27" w14:textId="77777777" w:rsidR="007D706A" w:rsidRDefault="007D706A" w:rsidP="00F70508">
            <w:pPr>
              <w:pStyle w:val="ParagraphStyle6"/>
              <w:rPr>
                <w:rStyle w:val="CharacterStyle6"/>
              </w:rPr>
            </w:pPr>
            <w:r>
              <w:rPr>
                <w:rStyle w:val="CharacterStyle6"/>
              </w:rPr>
              <w:t>12.500,00</w:t>
            </w:r>
          </w:p>
        </w:tc>
      </w:tr>
      <w:tr w:rsidR="007D706A" w14:paraId="7C128EE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ED21EA4" w14:textId="77777777" w:rsidR="007D706A" w:rsidRDefault="007D706A" w:rsidP="00F70508">
            <w:pPr>
              <w:pStyle w:val="ParagraphStyle7"/>
              <w:rPr>
                <w:rStyle w:val="CharacterStyle7"/>
              </w:rPr>
            </w:pPr>
            <w:r>
              <w:rPr>
                <w:rStyle w:val="CharacterStyle7"/>
              </w:rPr>
              <w:t>Izvor financiranja 40</w:t>
            </w:r>
          </w:p>
        </w:tc>
        <w:tc>
          <w:tcPr>
            <w:tcW w:w="4995" w:type="dxa"/>
            <w:tcBorders>
              <w:bottom w:val="single" w:sz="6" w:space="0" w:color="000000"/>
              <w:right w:val="single" w:sz="6" w:space="0" w:color="000000"/>
            </w:tcBorders>
            <w:vAlign w:val="center"/>
          </w:tcPr>
          <w:p w14:paraId="7DEE40E8" w14:textId="77777777" w:rsidR="007D706A" w:rsidRDefault="007D706A" w:rsidP="00F70508">
            <w:pPr>
              <w:pStyle w:val="ParagraphStyle8"/>
              <w:rPr>
                <w:rStyle w:val="CharacterStyle8"/>
              </w:rPr>
            </w:pPr>
            <w:r>
              <w:rPr>
                <w:rStyle w:val="CharacterStyle8"/>
              </w:rPr>
              <w:t>Prihodi od komunalne naknade i komunalnog doprinosa</w:t>
            </w:r>
          </w:p>
        </w:tc>
        <w:tc>
          <w:tcPr>
            <w:tcW w:w="1395" w:type="dxa"/>
            <w:tcBorders>
              <w:bottom w:val="single" w:sz="6" w:space="0" w:color="000000"/>
              <w:right w:val="single" w:sz="6" w:space="0" w:color="000000"/>
            </w:tcBorders>
            <w:vAlign w:val="center"/>
          </w:tcPr>
          <w:p w14:paraId="383D017D"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76EDFF8"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392F27B" w14:textId="77777777" w:rsidR="007D706A" w:rsidRDefault="007D706A" w:rsidP="00F70508">
            <w:pPr>
              <w:pStyle w:val="ParagraphStyle9"/>
              <w:rPr>
                <w:rStyle w:val="CharacterStyle9"/>
              </w:rPr>
            </w:pPr>
            <w:r>
              <w:rPr>
                <w:rStyle w:val="CharacterStyle9"/>
              </w:rPr>
              <w:t>12.500,00</w:t>
            </w:r>
          </w:p>
        </w:tc>
        <w:tc>
          <w:tcPr>
            <w:tcW w:w="1395" w:type="dxa"/>
            <w:tcBorders>
              <w:bottom w:val="single" w:sz="6" w:space="0" w:color="000000"/>
              <w:right w:val="single" w:sz="6" w:space="0" w:color="000000"/>
            </w:tcBorders>
            <w:vAlign w:val="center"/>
          </w:tcPr>
          <w:p w14:paraId="076D13CE" w14:textId="77777777" w:rsidR="007D706A" w:rsidRDefault="007D706A" w:rsidP="00F70508">
            <w:pPr>
              <w:pStyle w:val="ParagraphStyle9"/>
              <w:rPr>
                <w:rStyle w:val="CharacterStyle9"/>
              </w:rPr>
            </w:pPr>
            <w:r>
              <w:rPr>
                <w:rStyle w:val="CharacterStyle9"/>
              </w:rPr>
              <w:t>12.500,00</w:t>
            </w:r>
          </w:p>
        </w:tc>
        <w:tc>
          <w:tcPr>
            <w:tcW w:w="1395" w:type="dxa"/>
            <w:tcBorders>
              <w:bottom w:val="single" w:sz="6" w:space="0" w:color="000000"/>
              <w:right w:val="single" w:sz="6" w:space="0" w:color="000000"/>
            </w:tcBorders>
            <w:vAlign w:val="center"/>
          </w:tcPr>
          <w:p w14:paraId="7E9D855F" w14:textId="77777777" w:rsidR="007D706A" w:rsidRDefault="007D706A" w:rsidP="00F70508">
            <w:pPr>
              <w:pStyle w:val="ParagraphStyle9"/>
              <w:rPr>
                <w:rStyle w:val="CharacterStyle9"/>
              </w:rPr>
            </w:pPr>
            <w:r>
              <w:rPr>
                <w:rStyle w:val="CharacterStyle9"/>
              </w:rPr>
              <w:t>12.500,00</w:t>
            </w:r>
          </w:p>
        </w:tc>
      </w:tr>
      <w:tr w:rsidR="007D706A" w14:paraId="0D86C32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F017528"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25F86AC1"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4624454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881B1F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2954B64" w14:textId="77777777" w:rsidR="007D706A" w:rsidRDefault="007D706A" w:rsidP="00F70508">
            <w:pPr>
              <w:pStyle w:val="ParagraphStyle12"/>
              <w:rPr>
                <w:rStyle w:val="CharacterStyle12"/>
              </w:rPr>
            </w:pPr>
            <w:r>
              <w:rPr>
                <w:rStyle w:val="CharacterStyle12"/>
              </w:rPr>
              <w:t>12.500,00</w:t>
            </w:r>
          </w:p>
        </w:tc>
        <w:tc>
          <w:tcPr>
            <w:tcW w:w="1395" w:type="dxa"/>
            <w:tcBorders>
              <w:bottom w:val="single" w:sz="6" w:space="0" w:color="000000"/>
              <w:right w:val="single" w:sz="6" w:space="0" w:color="000000"/>
            </w:tcBorders>
            <w:vAlign w:val="center"/>
          </w:tcPr>
          <w:p w14:paraId="5479FC24" w14:textId="77777777" w:rsidR="007D706A" w:rsidRDefault="007D706A" w:rsidP="00F70508">
            <w:pPr>
              <w:pStyle w:val="ParagraphStyle12"/>
              <w:rPr>
                <w:rStyle w:val="CharacterStyle12"/>
              </w:rPr>
            </w:pPr>
            <w:r>
              <w:rPr>
                <w:rStyle w:val="CharacterStyle12"/>
              </w:rPr>
              <w:t>12.500,00</w:t>
            </w:r>
          </w:p>
        </w:tc>
        <w:tc>
          <w:tcPr>
            <w:tcW w:w="1395" w:type="dxa"/>
            <w:tcBorders>
              <w:bottom w:val="single" w:sz="6" w:space="0" w:color="000000"/>
              <w:right w:val="single" w:sz="6" w:space="0" w:color="000000"/>
            </w:tcBorders>
            <w:vAlign w:val="center"/>
          </w:tcPr>
          <w:p w14:paraId="66CACF7C" w14:textId="77777777" w:rsidR="007D706A" w:rsidRDefault="007D706A" w:rsidP="00F70508">
            <w:pPr>
              <w:pStyle w:val="ParagraphStyle12"/>
              <w:rPr>
                <w:rStyle w:val="CharacterStyle12"/>
              </w:rPr>
            </w:pPr>
            <w:r>
              <w:rPr>
                <w:rStyle w:val="CharacterStyle12"/>
              </w:rPr>
              <w:t>12.500,00</w:t>
            </w:r>
          </w:p>
        </w:tc>
      </w:tr>
      <w:tr w:rsidR="007D706A" w14:paraId="0E5A8A4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5F999B8"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538AE68F"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12BBD71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B3655D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E88929D" w14:textId="77777777" w:rsidR="007D706A" w:rsidRDefault="007D706A" w:rsidP="00F70508">
            <w:pPr>
              <w:pStyle w:val="ParagraphStyle12"/>
              <w:rPr>
                <w:rStyle w:val="CharacterStyle12"/>
              </w:rPr>
            </w:pPr>
            <w:r>
              <w:rPr>
                <w:rStyle w:val="CharacterStyle12"/>
              </w:rPr>
              <w:t>12.500,00</w:t>
            </w:r>
          </w:p>
        </w:tc>
        <w:tc>
          <w:tcPr>
            <w:tcW w:w="1395" w:type="dxa"/>
            <w:tcBorders>
              <w:bottom w:val="single" w:sz="6" w:space="0" w:color="000000"/>
              <w:right w:val="single" w:sz="6" w:space="0" w:color="000000"/>
            </w:tcBorders>
            <w:vAlign w:val="center"/>
          </w:tcPr>
          <w:p w14:paraId="586D8BFE" w14:textId="77777777" w:rsidR="007D706A" w:rsidRDefault="007D706A" w:rsidP="00F70508">
            <w:pPr>
              <w:pStyle w:val="ParagraphStyle12"/>
              <w:rPr>
                <w:rStyle w:val="CharacterStyle12"/>
              </w:rPr>
            </w:pPr>
            <w:r>
              <w:rPr>
                <w:rStyle w:val="CharacterStyle12"/>
              </w:rPr>
              <w:t>12.500,00</w:t>
            </w:r>
          </w:p>
        </w:tc>
        <w:tc>
          <w:tcPr>
            <w:tcW w:w="1395" w:type="dxa"/>
            <w:tcBorders>
              <w:bottom w:val="single" w:sz="6" w:space="0" w:color="000000"/>
              <w:right w:val="single" w:sz="6" w:space="0" w:color="000000"/>
            </w:tcBorders>
            <w:vAlign w:val="center"/>
          </w:tcPr>
          <w:p w14:paraId="7DA06BF5" w14:textId="77777777" w:rsidR="007D706A" w:rsidRDefault="007D706A" w:rsidP="00F70508">
            <w:pPr>
              <w:pStyle w:val="ParagraphStyle12"/>
              <w:rPr>
                <w:rStyle w:val="CharacterStyle12"/>
              </w:rPr>
            </w:pPr>
            <w:r>
              <w:rPr>
                <w:rStyle w:val="CharacterStyle12"/>
              </w:rPr>
              <w:t>12.500,00</w:t>
            </w:r>
          </w:p>
        </w:tc>
      </w:tr>
      <w:tr w:rsidR="007D706A" w14:paraId="657A39E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278357D" w14:textId="77777777" w:rsidR="007D706A" w:rsidRDefault="007D706A" w:rsidP="00F70508">
            <w:pPr>
              <w:pStyle w:val="ParagraphStyle7"/>
              <w:rPr>
                <w:rStyle w:val="CharacterStyle7"/>
              </w:rPr>
            </w:pPr>
            <w:r>
              <w:rPr>
                <w:rStyle w:val="CharacterStyle7"/>
              </w:rPr>
              <w:t>Izvor financiranja 41</w:t>
            </w:r>
          </w:p>
        </w:tc>
        <w:tc>
          <w:tcPr>
            <w:tcW w:w="4995" w:type="dxa"/>
            <w:tcBorders>
              <w:bottom w:val="single" w:sz="6" w:space="0" w:color="000000"/>
              <w:right w:val="single" w:sz="6" w:space="0" w:color="000000"/>
            </w:tcBorders>
            <w:vAlign w:val="center"/>
          </w:tcPr>
          <w:p w14:paraId="18A8D8E0" w14:textId="77777777" w:rsidR="007D706A" w:rsidRDefault="007D706A" w:rsidP="00F70508">
            <w:pPr>
              <w:pStyle w:val="ParagraphStyle8"/>
              <w:rPr>
                <w:rStyle w:val="CharacterStyle8"/>
              </w:rPr>
            </w:pPr>
            <w:r>
              <w:rPr>
                <w:rStyle w:val="CharacterStyle8"/>
              </w:rPr>
              <w:t>Prihodi za posebne namjene</w:t>
            </w:r>
          </w:p>
        </w:tc>
        <w:tc>
          <w:tcPr>
            <w:tcW w:w="1395" w:type="dxa"/>
            <w:tcBorders>
              <w:bottom w:val="single" w:sz="6" w:space="0" w:color="000000"/>
              <w:right w:val="single" w:sz="6" w:space="0" w:color="000000"/>
            </w:tcBorders>
            <w:vAlign w:val="center"/>
          </w:tcPr>
          <w:p w14:paraId="2094C266"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5F27F4D" w14:textId="77777777" w:rsidR="007D706A" w:rsidRDefault="007D706A" w:rsidP="00F70508">
            <w:pPr>
              <w:pStyle w:val="ParagraphStyle9"/>
              <w:rPr>
                <w:rStyle w:val="CharacterStyle9"/>
              </w:rPr>
            </w:pPr>
            <w:r>
              <w:rPr>
                <w:rStyle w:val="CharacterStyle9"/>
              </w:rPr>
              <w:t>12.500,00</w:t>
            </w:r>
          </w:p>
        </w:tc>
        <w:tc>
          <w:tcPr>
            <w:tcW w:w="1395" w:type="dxa"/>
            <w:tcBorders>
              <w:bottom w:val="single" w:sz="6" w:space="0" w:color="000000"/>
              <w:right w:val="single" w:sz="6" w:space="0" w:color="000000"/>
            </w:tcBorders>
            <w:vAlign w:val="center"/>
          </w:tcPr>
          <w:p w14:paraId="430A61F2"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05C6ADE"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47C73FA" w14:textId="77777777" w:rsidR="007D706A" w:rsidRDefault="007D706A" w:rsidP="00F70508">
            <w:pPr>
              <w:pStyle w:val="ParagraphStyle9"/>
              <w:rPr>
                <w:rStyle w:val="CharacterStyle9"/>
              </w:rPr>
            </w:pPr>
            <w:r>
              <w:rPr>
                <w:rStyle w:val="CharacterStyle9"/>
              </w:rPr>
              <w:t>0,00</w:t>
            </w:r>
          </w:p>
        </w:tc>
      </w:tr>
      <w:tr w:rsidR="007D706A" w14:paraId="44C3FFE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D0C335A"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781AD4C4"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3861519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8833D50" w14:textId="77777777" w:rsidR="007D706A" w:rsidRDefault="007D706A" w:rsidP="00F70508">
            <w:pPr>
              <w:pStyle w:val="ParagraphStyle12"/>
              <w:rPr>
                <w:rStyle w:val="CharacterStyle12"/>
              </w:rPr>
            </w:pPr>
            <w:r>
              <w:rPr>
                <w:rStyle w:val="CharacterStyle12"/>
              </w:rPr>
              <w:t>12.500,00</w:t>
            </w:r>
          </w:p>
        </w:tc>
        <w:tc>
          <w:tcPr>
            <w:tcW w:w="1395" w:type="dxa"/>
            <w:tcBorders>
              <w:bottom w:val="single" w:sz="6" w:space="0" w:color="000000"/>
              <w:right w:val="single" w:sz="6" w:space="0" w:color="000000"/>
            </w:tcBorders>
            <w:vAlign w:val="center"/>
          </w:tcPr>
          <w:p w14:paraId="2DD3CF6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1C9464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19964FD" w14:textId="77777777" w:rsidR="007D706A" w:rsidRDefault="007D706A" w:rsidP="00F70508">
            <w:pPr>
              <w:pStyle w:val="ParagraphStyle12"/>
              <w:rPr>
                <w:rStyle w:val="CharacterStyle12"/>
              </w:rPr>
            </w:pPr>
            <w:r>
              <w:rPr>
                <w:rStyle w:val="CharacterStyle12"/>
              </w:rPr>
              <w:t>0,00</w:t>
            </w:r>
          </w:p>
        </w:tc>
      </w:tr>
      <w:tr w:rsidR="007D706A" w14:paraId="5FC5205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E3DDB8D"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161C6965"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5B0411D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62E6B1B" w14:textId="77777777" w:rsidR="007D706A" w:rsidRDefault="007D706A" w:rsidP="00F70508">
            <w:pPr>
              <w:pStyle w:val="ParagraphStyle12"/>
              <w:rPr>
                <w:rStyle w:val="CharacterStyle12"/>
              </w:rPr>
            </w:pPr>
            <w:r>
              <w:rPr>
                <w:rStyle w:val="CharacterStyle12"/>
              </w:rPr>
              <w:t>12.500,00</w:t>
            </w:r>
          </w:p>
        </w:tc>
        <w:tc>
          <w:tcPr>
            <w:tcW w:w="1395" w:type="dxa"/>
            <w:tcBorders>
              <w:bottom w:val="single" w:sz="6" w:space="0" w:color="000000"/>
              <w:right w:val="single" w:sz="6" w:space="0" w:color="000000"/>
            </w:tcBorders>
            <w:vAlign w:val="center"/>
          </w:tcPr>
          <w:p w14:paraId="7DCFD58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93EA8E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3E192AF" w14:textId="77777777" w:rsidR="007D706A" w:rsidRDefault="007D706A" w:rsidP="00F70508">
            <w:pPr>
              <w:pStyle w:val="ParagraphStyle12"/>
              <w:rPr>
                <w:rStyle w:val="CharacterStyle12"/>
              </w:rPr>
            </w:pPr>
            <w:r>
              <w:rPr>
                <w:rStyle w:val="CharacterStyle12"/>
              </w:rPr>
              <w:t>0,00</w:t>
            </w:r>
          </w:p>
        </w:tc>
      </w:tr>
      <w:tr w:rsidR="007D706A" w14:paraId="34B3C08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8765823" w14:textId="77777777" w:rsidR="007D706A" w:rsidRDefault="007D706A" w:rsidP="00F70508">
            <w:pPr>
              <w:pStyle w:val="ParagraphStyle4"/>
              <w:rPr>
                <w:rStyle w:val="CharacterStyle4"/>
              </w:rPr>
            </w:pPr>
            <w:r>
              <w:rPr>
                <w:rStyle w:val="CharacterStyle4"/>
              </w:rPr>
              <w:t>PROGRAM    1024</w:t>
            </w:r>
          </w:p>
        </w:tc>
        <w:tc>
          <w:tcPr>
            <w:tcW w:w="4995" w:type="dxa"/>
            <w:tcBorders>
              <w:bottom w:val="single" w:sz="6" w:space="0" w:color="000000"/>
              <w:right w:val="single" w:sz="6" w:space="0" w:color="000000"/>
            </w:tcBorders>
            <w:vAlign w:val="center"/>
          </w:tcPr>
          <w:p w14:paraId="5F2008D6" w14:textId="77777777" w:rsidR="007D706A" w:rsidRDefault="007D706A" w:rsidP="00F70508">
            <w:pPr>
              <w:pStyle w:val="ParagraphStyle5"/>
              <w:rPr>
                <w:rStyle w:val="CharacterStyle5"/>
              </w:rPr>
            </w:pPr>
            <w:r>
              <w:rPr>
                <w:rStyle w:val="CharacterStyle5"/>
              </w:rPr>
              <w:t>KOMUNALNA OPREMA</w:t>
            </w:r>
          </w:p>
        </w:tc>
        <w:tc>
          <w:tcPr>
            <w:tcW w:w="1395" w:type="dxa"/>
            <w:tcBorders>
              <w:bottom w:val="single" w:sz="6" w:space="0" w:color="000000"/>
              <w:right w:val="single" w:sz="6" w:space="0" w:color="000000"/>
            </w:tcBorders>
            <w:vAlign w:val="center"/>
          </w:tcPr>
          <w:p w14:paraId="6AFFD693"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73D7C7A0" w14:textId="77777777" w:rsidR="007D706A" w:rsidRDefault="007D706A" w:rsidP="00F70508">
            <w:pPr>
              <w:pStyle w:val="ParagraphStyle6"/>
              <w:rPr>
                <w:rStyle w:val="CharacterStyle6"/>
              </w:rPr>
            </w:pPr>
            <w:r>
              <w:rPr>
                <w:rStyle w:val="CharacterStyle6"/>
              </w:rPr>
              <w:t>203.960,00</w:t>
            </w:r>
          </w:p>
        </w:tc>
        <w:tc>
          <w:tcPr>
            <w:tcW w:w="1395" w:type="dxa"/>
            <w:tcBorders>
              <w:bottom w:val="single" w:sz="6" w:space="0" w:color="000000"/>
              <w:right w:val="single" w:sz="6" w:space="0" w:color="000000"/>
            </w:tcBorders>
            <w:vAlign w:val="center"/>
          </w:tcPr>
          <w:p w14:paraId="381239A4" w14:textId="77777777" w:rsidR="007D706A" w:rsidRDefault="007D706A" w:rsidP="00F70508">
            <w:pPr>
              <w:pStyle w:val="ParagraphStyle6"/>
              <w:rPr>
                <w:rStyle w:val="CharacterStyle6"/>
              </w:rPr>
            </w:pPr>
            <w:r>
              <w:rPr>
                <w:rStyle w:val="CharacterStyle6"/>
              </w:rPr>
              <w:t>208.750,00</w:t>
            </w:r>
          </w:p>
        </w:tc>
        <w:tc>
          <w:tcPr>
            <w:tcW w:w="1395" w:type="dxa"/>
            <w:tcBorders>
              <w:bottom w:val="single" w:sz="6" w:space="0" w:color="000000"/>
              <w:right w:val="single" w:sz="6" w:space="0" w:color="000000"/>
            </w:tcBorders>
            <w:vAlign w:val="center"/>
          </w:tcPr>
          <w:p w14:paraId="2E3A0D70" w14:textId="77777777" w:rsidR="007D706A" w:rsidRDefault="007D706A" w:rsidP="00F70508">
            <w:pPr>
              <w:pStyle w:val="ParagraphStyle6"/>
              <w:rPr>
                <w:rStyle w:val="CharacterStyle6"/>
              </w:rPr>
            </w:pPr>
            <w:r>
              <w:rPr>
                <w:rStyle w:val="CharacterStyle6"/>
              </w:rPr>
              <w:t>186.750,00</w:t>
            </w:r>
          </w:p>
        </w:tc>
        <w:tc>
          <w:tcPr>
            <w:tcW w:w="1395" w:type="dxa"/>
            <w:tcBorders>
              <w:bottom w:val="single" w:sz="6" w:space="0" w:color="000000"/>
              <w:right w:val="single" w:sz="6" w:space="0" w:color="000000"/>
            </w:tcBorders>
            <w:vAlign w:val="center"/>
          </w:tcPr>
          <w:p w14:paraId="042258C2" w14:textId="77777777" w:rsidR="007D706A" w:rsidRDefault="007D706A" w:rsidP="00F70508">
            <w:pPr>
              <w:pStyle w:val="ParagraphStyle6"/>
              <w:rPr>
                <w:rStyle w:val="CharacterStyle6"/>
              </w:rPr>
            </w:pPr>
            <w:r>
              <w:rPr>
                <w:rStyle w:val="CharacterStyle6"/>
              </w:rPr>
              <w:t>189.750,00</w:t>
            </w:r>
          </w:p>
        </w:tc>
      </w:tr>
      <w:tr w:rsidR="007D706A" w14:paraId="44324CC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EECC6EA" w14:textId="77777777" w:rsidR="007D706A" w:rsidRDefault="007D706A" w:rsidP="00F70508">
            <w:pPr>
              <w:pStyle w:val="ParagraphStyle4"/>
              <w:rPr>
                <w:rStyle w:val="CharacterStyle4"/>
              </w:rPr>
            </w:pPr>
            <w:r>
              <w:rPr>
                <w:rStyle w:val="CharacterStyle4"/>
              </w:rPr>
              <w:t>Aktivnost A102401</w:t>
            </w:r>
          </w:p>
        </w:tc>
        <w:tc>
          <w:tcPr>
            <w:tcW w:w="4995" w:type="dxa"/>
            <w:tcBorders>
              <w:bottom w:val="single" w:sz="6" w:space="0" w:color="000000"/>
              <w:right w:val="single" w:sz="6" w:space="0" w:color="000000"/>
            </w:tcBorders>
            <w:vAlign w:val="center"/>
          </w:tcPr>
          <w:p w14:paraId="0C97E5BD" w14:textId="77777777" w:rsidR="007D706A" w:rsidRDefault="007D706A" w:rsidP="00F70508">
            <w:pPr>
              <w:pStyle w:val="ParagraphStyle5"/>
              <w:rPr>
                <w:rStyle w:val="CharacterStyle5"/>
              </w:rPr>
            </w:pPr>
            <w:r>
              <w:rPr>
                <w:rStyle w:val="CharacterStyle5"/>
              </w:rPr>
              <w:t>NABAVA OPREME VIDEO-NADZORA ZA DJEČJA IGRALIŠTA</w:t>
            </w:r>
          </w:p>
        </w:tc>
        <w:tc>
          <w:tcPr>
            <w:tcW w:w="1395" w:type="dxa"/>
            <w:tcBorders>
              <w:bottom w:val="single" w:sz="6" w:space="0" w:color="000000"/>
              <w:right w:val="single" w:sz="6" w:space="0" w:color="000000"/>
            </w:tcBorders>
            <w:vAlign w:val="center"/>
          </w:tcPr>
          <w:p w14:paraId="3A553856"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725F0951" w14:textId="77777777" w:rsidR="007D706A" w:rsidRDefault="007D706A" w:rsidP="00F70508">
            <w:pPr>
              <w:pStyle w:val="ParagraphStyle6"/>
              <w:rPr>
                <w:rStyle w:val="CharacterStyle6"/>
              </w:rPr>
            </w:pPr>
            <w:r>
              <w:rPr>
                <w:rStyle w:val="CharacterStyle6"/>
              </w:rPr>
              <w:t>31.250,00</w:t>
            </w:r>
          </w:p>
        </w:tc>
        <w:tc>
          <w:tcPr>
            <w:tcW w:w="1395" w:type="dxa"/>
            <w:tcBorders>
              <w:bottom w:val="single" w:sz="6" w:space="0" w:color="000000"/>
              <w:right w:val="single" w:sz="6" w:space="0" w:color="000000"/>
            </w:tcBorders>
            <w:vAlign w:val="center"/>
          </w:tcPr>
          <w:p w14:paraId="42F54C9B" w14:textId="77777777" w:rsidR="007D706A" w:rsidRDefault="007D706A" w:rsidP="00F70508">
            <w:pPr>
              <w:pStyle w:val="ParagraphStyle6"/>
              <w:rPr>
                <w:rStyle w:val="CharacterStyle6"/>
              </w:rPr>
            </w:pPr>
            <w:r>
              <w:rPr>
                <w:rStyle w:val="CharacterStyle6"/>
              </w:rPr>
              <w:t>23.250,00</w:t>
            </w:r>
          </w:p>
        </w:tc>
        <w:tc>
          <w:tcPr>
            <w:tcW w:w="1395" w:type="dxa"/>
            <w:tcBorders>
              <w:bottom w:val="single" w:sz="6" w:space="0" w:color="000000"/>
              <w:right w:val="single" w:sz="6" w:space="0" w:color="000000"/>
            </w:tcBorders>
            <w:vAlign w:val="center"/>
          </w:tcPr>
          <w:p w14:paraId="5788AA9A" w14:textId="77777777" w:rsidR="007D706A" w:rsidRDefault="007D706A" w:rsidP="00F70508">
            <w:pPr>
              <w:pStyle w:val="ParagraphStyle6"/>
              <w:rPr>
                <w:rStyle w:val="CharacterStyle6"/>
              </w:rPr>
            </w:pPr>
            <w:r>
              <w:rPr>
                <w:rStyle w:val="CharacterStyle6"/>
              </w:rPr>
              <w:t>11.250,00</w:t>
            </w:r>
          </w:p>
        </w:tc>
        <w:tc>
          <w:tcPr>
            <w:tcW w:w="1395" w:type="dxa"/>
            <w:tcBorders>
              <w:bottom w:val="single" w:sz="6" w:space="0" w:color="000000"/>
              <w:right w:val="single" w:sz="6" w:space="0" w:color="000000"/>
            </w:tcBorders>
            <w:vAlign w:val="center"/>
          </w:tcPr>
          <w:p w14:paraId="3105BD0C" w14:textId="77777777" w:rsidR="007D706A" w:rsidRDefault="007D706A" w:rsidP="00F70508">
            <w:pPr>
              <w:pStyle w:val="ParagraphStyle6"/>
              <w:rPr>
                <w:rStyle w:val="CharacterStyle6"/>
              </w:rPr>
            </w:pPr>
            <w:r>
              <w:rPr>
                <w:rStyle w:val="CharacterStyle6"/>
              </w:rPr>
              <w:t>14.250,00</w:t>
            </w:r>
          </w:p>
        </w:tc>
      </w:tr>
      <w:tr w:rsidR="007D706A" w14:paraId="4B2CB5C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8B92D56" w14:textId="77777777" w:rsidR="007D706A" w:rsidRDefault="007D706A" w:rsidP="00F70508">
            <w:pPr>
              <w:pStyle w:val="ParagraphStyle7"/>
              <w:rPr>
                <w:rStyle w:val="CharacterStyle7"/>
              </w:rPr>
            </w:pPr>
            <w:r>
              <w:rPr>
                <w:rStyle w:val="CharacterStyle7"/>
              </w:rPr>
              <w:t>Izvor financiranja 40</w:t>
            </w:r>
          </w:p>
        </w:tc>
        <w:tc>
          <w:tcPr>
            <w:tcW w:w="4995" w:type="dxa"/>
            <w:tcBorders>
              <w:bottom w:val="single" w:sz="6" w:space="0" w:color="000000"/>
              <w:right w:val="single" w:sz="6" w:space="0" w:color="000000"/>
            </w:tcBorders>
            <w:vAlign w:val="center"/>
          </w:tcPr>
          <w:p w14:paraId="530D266A" w14:textId="77777777" w:rsidR="007D706A" w:rsidRDefault="007D706A" w:rsidP="00F70508">
            <w:pPr>
              <w:pStyle w:val="ParagraphStyle8"/>
              <w:rPr>
                <w:rStyle w:val="CharacterStyle8"/>
              </w:rPr>
            </w:pPr>
            <w:r>
              <w:rPr>
                <w:rStyle w:val="CharacterStyle8"/>
              </w:rPr>
              <w:t>Prihodi od komunalne naknade i komunalnog doprinosa</w:t>
            </w:r>
          </w:p>
        </w:tc>
        <w:tc>
          <w:tcPr>
            <w:tcW w:w="1395" w:type="dxa"/>
            <w:tcBorders>
              <w:bottom w:val="single" w:sz="6" w:space="0" w:color="000000"/>
              <w:right w:val="single" w:sz="6" w:space="0" w:color="000000"/>
            </w:tcBorders>
            <w:vAlign w:val="center"/>
          </w:tcPr>
          <w:p w14:paraId="3A87991C"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F099086"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CFA5E37" w14:textId="77777777" w:rsidR="007D706A" w:rsidRDefault="007D706A" w:rsidP="00F70508">
            <w:pPr>
              <w:pStyle w:val="ParagraphStyle9"/>
              <w:rPr>
                <w:rStyle w:val="CharacterStyle9"/>
              </w:rPr>
            </w:pPr>
            <w:r>
              <w:rPr>
                <w:rStyle w:val="CharacterStyle9"/>
              </w:rPr>
              <w:t>23.250,00</w:t>
            </w:r>
          </w:p>
        </w:tc>
        <w:tc>
          <w:tcPr>
            <w:tcW w:w="1395" w:type="dxa"/>
            <w:tcBorders>
              <w:bottom w:val="single" w:sz="6" w:space="0" w:color="000000"/>
              <w:right w:val="single" w:sz="6" w:space="0" w:color="000000"/>
            </w:tcBorders>
            <w:vAlign w:val="center"/>
          </w:tcPr>
          <w:p w14:paraId="1BFD2F70" w14:textId="77777777" w:rsidR="007D706A" w:rsidRDefault="007D706A" w:rsidP="00F70508">
            <w:pPr>
              <w:pStyle w:val="ParagraphStyle9"/>
              <w:rPr>
                <w:rStyle w:val="CharacterStyle9"/>
              </w:rPr>
            </w:pPr>
            <w:r>
              <w:rPr>
                <w:rStyle w:val="CharacterStyle9"/>
              </w:rPr>
              <w:t>11.250,00</w:t>
            </w:r>
          </w:p>
        </w:tc>
        <w:tc>
          <w:tcPr>
            <w:tcW w:w="1395" w:type="dxa"/>
            <w:tcBorders>
              <w:bottom w:val="single" w:sz="6" w:space="0" w:color="000000"/>
              <w:right w:val="single" w:sz="6" w:space="0" w:color="000000"/>
            </w:tcBorders>
            <w:vAlign w:val="center"/>
          </w:tcPr>
          <w:p w14:paraId="5B118BCA" w14:textId="77777777" w:rsidR="007D706A" w:rsidRDefault="007D706A" w:rsidP="00F70508">
            <w:pPr>
              <w:pStyle w:val="ParagraphStyle9"/>
              <w:rPr>
                <w:rStyle w:val="CharacterStyle9"/>
              </w:rPr>
            </w:pPr>
            <w:r>
              <w:rPr>
                <w:rStyle w:val="CharacterStyle9"/>
              </w:rPr>
              <w:t>14.250,00</w:t>
            </w:r>
          </w:p>
        </w:tc>
      </w:tr>
      <w:tr w:rsidR="007D706A" w14:paraId="255D3AC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D4559C6"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3891BE4C"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4A3E3A6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052941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B085C66" w14:textId="77777777" w:rsidR="007D706A" w:rsidRDefault="007D706A" w:rsidP="00F70508">
            <w:pPr>
              <w:pStyle w:val="ParagraphStyle12"/>
              <w:rPr>
                <w:rStyle w:val="CharacterStyle12"/>
              </w:rPr>
            </w:pPr>
            <w:r>
              <w:rPr>
                <w:rStyle w:val="CharacterStyle12"/>
              </w:rPr>
              <w:t>23.250,00</w:t>
            </w:r>
          </w:p>
        </w:tc>
        <w:tc>
          <w:tcPr>
            <w:tcW w:w="1395" w:type="dxa"/>
            <w:tcBorders>
              <w:bottom w:val="single" w:sz="6" w:space="0" w:color="000000"/>
              <w:right w:val="single" w:sz="6" w:space="0" w:color="000000"/>
            </w:tcBorders>
            <w:vAlign w:val="center"/>
          </w:tcPr>
          <w:p w14:paraId="5ACD7C4F" w14:textId="77777777" w:rsidR="007D706A" w:rsidRDefault="007D706A" w:rsidP="00F70508">
            <w:pPr>
              <w:pStyle w:val="ParagraphStyle12"/>
              <w:rPr>
                <w:rStyle w:val="CharacterStyle12"/>
              </w:rPr>
            </w:pPr>
            <w:r>
              <w:rPr>
                <w:rStyle w:val="CharacterStyle12"/>
              </w:rPr>
              <w:t>11.250,00</w:t>
            </w:r>
          </w:p>
        </w:tc>
        <w:tc>
          <w:tcPr>
            <w:tcW w:w="1395" w:type="dxa"/>
            <w:tcBorders>
              <w:bottom w:val="single" w:sz="6" w:space="0" w:color="000000"/>
              <w:right w:val="single" w:sz="6" w:space="0" w:color="000000"/>
            </w:tcBorders>
            <w:vAlign w:val="center"/>
          </w:tcPr>
          <w:p w14:paraId="1826D8F0" w14:textId="77777777" w:rsidR="007D706A" w:rsidRDefault="007D706A" w:rsidP="00F70508">
            <w:pPr>
              <w:pStyle w:val="ParagraphStyle12"/>
              <w:rPr>
                <w:rStyle w:val="CharacterStyle12"/>
              </w:rPr>
            </w:pPr>
            <w:r>
              <w:rPr>
                <w:rStyle w:val="CharacterStyle12"/>
              </w:rPr>
              <w:t>14.250,00</w:t>
            </w:r>
          </w:p>
        </w:tc>
      </w:tr>
      <w:tr w:rsidR="007D706A" w14:paraId="4AD00C3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4A53BCA" w14:textId="77777777" w:rsidR="007D706A" w:rsidRDefault="007D706A" w:rsidP="00F70508">
            <w:pPr>
              <w:pStyle w:val="ParagraphStyle10"/>
              <w:rPr>
                <w:rStyle w:val="CharacterStyle10"/>
              </w:rPr>
            </w:pPr>
            <w:r>
              <w:rPr>
                <w:rStyle w:val="CharacterStyle10"/>
              </w:rPr>
              <w:t>42</w:t>
            </w:r>
          </w:p>
        </w:tc>
        <w:tc>
          <w:tcPr>
            <w:tcW w:w="4995" w:type="dxa"/>
            <w:tcBorders>
              <w:bottom w:val="single" w:sz="6" w:space="0" w:color="000000"/>
              <w:right w:val="single" w:sz="6" w:space="0" w:color="000000"/>
            </w:tcBorders>
            <w:vAlign w:val="center"/>
          </w:tcPr>
          <w:p w14:paraId="51F37725"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042E9A3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ADEE64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4360C43" w14:textId="77777777" w:rsidR="007D706A" w:rsidRDefault="007D706A" w:rsidP="00F70508">
            <w:pPr>
              <w:pStyle w:val="ParagraphStyle12"/>
              <w:rPr>
                <w:rStyle w:val="CharacterStyle12"/>
              </w:rPr>
            </w:pPr>
            <w:r>
              <w:rPr>
                <w:rStyle w:val="CharacterStyle12"/>
              </w:rPr>
              <w:t>23.250,00</w:t>
            </w:r>
          </w:p>
        </w:tc>
        <w:tc>
          <w:tcPr>
            <w:tcW w:w="1395" w:type="dxa"/>
            <w:tcBorders>
              <w:bottom w:val="single" w:sz="6" w:space="0" w:color="000000"/>
              <w:right w:val="single" w:sz="6" w:space="0" w:color="000000"/>
            </w:tcBorders>
            <w:vAlign w:val="center"/>
          </w:tcPr>
          <w:p w14:paraId="48813C95" w14:textId="77777777" w:rsidR="007D706A" w:rsidRDefault="007D706A" w:rsidP="00F70508">
            <w:pPr>
              <w:pStyle w:val="ParagraphStyle12"/>
              <w:rPr>
                <w:rStyle w:val="CharacterStyle12"/>
              </w:rPr>
            </w:pPr>
            <w:r>
              <w:rPr>
                <w:rStyle w:val="CharacterStyle12"/>
              </w:rPr>
              <w:t>11.250,00</w:t>
            </w:r>
          </w:p>
        </w:tc>
        <w:tc>
          <w:tcPr>
            <w:tcW w:w="1395" w:type="dxa"/>
            <w:tcBorders>
              <w:bottom w:val="single" w:sz="6" w:space="0" w:color="000000"/>
              <w:right w:val="single" w:sz="6" w:space="0" w:color="000000"/>
            </w:tcBorders>
            <w:vAlign w:val="center"/>
          </w:tcPr>
          <w:p w14:paraId="20FDFC98" w14:textId="77777777" w:rsidR="007D706A" w:rsidRDefault="007D706A" w:rsidP="00F70508">
            <w:pPr>
              <w:pStyle w:val="ParagraphStyle12"/>
              <w:rPr>
                <w:rStyle w:val="CharacterStyle12"/>
              </w:rPr>
            </w:pPr>
            <w:r>
              <w:rPr>
                <w:rStyle w:val="CharacterStyle12"/>
              </w:rPr>
              <w:t>14.250,00</w:t>
            </w:r>
          </w:p>
        </w:tc>
      </w:tr>
      <w:tr w:rsidR="007D706A" w14:paraId="2783AE7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A7262C4" w14:textId="77777777" w:rsidR="007D706A" w:rsidRDefault="007D706A" w:rsidP="00F70508">
            <w:pPr>
              <w:pStyle w:val="ParagraphStyle7"/>
              <w:rPr>
                <w:rStyle w:val="CharacterStyle7"/>
              </w:rPr>
            </w:pPr>
            <w:r>
              <w:rPr>
                <w:rStyle w:val="CharacterStyle7"/>
              </w:rPr>
              <w:t>Izvor financiranja 41</w:t>
            </w:r>
          </w:p>
        </w:tc>
        <w:tc>
          <w:tcPr>
            <w:tcW w:w="4995" w:type="dxa"/>
            <w:tcBorders>
              <w:bottom w:val="single" w:sz="6" w:space="0" w:color="000000"/>
              <w:right w:val="single" w:sz="6" w:space="0" w:color="000000"/>
            </w:tcBorders>
            <w:vAlign w:val="center"/>
          </w:tcPr>
          <w:p w14:paraId="0143D48B" w14:textId="77777777" w:rsidR="007D706A" w:rsidRDefault="007D706A" w:rsidP="00F70508">
            <w:pPr>
              <w:pStyle w:val="ParagraphStyle8"/>
              <w:rPr>
                <w:rStyle w:val="CharacterStyle8"/>
              </w:rPr>
            </w:pPr>
            <w:r>
              <w:rPr>
                <w:rStyle w:val="CharacterStyle8"/>
              </w:rPr>
              <w:t>Prihodi za posebne namjene</w:t>
            </w:r>
          </w:p>
        </w:tc>
        <w:tc>
          <w:tcPr>
            <w:tcW w:w="1395" w:type="dxa"/>
            <w:tcBorders>
              <w:bottom w:val="single" w:sz="6" w:space="0" w:color="000000"/>
              <w:right w:val="single" w:sz="6" w:space="0" w:color="000000"/>
            </w:tcBorders>
            <w:vAlign w:val="center"/>
          </w:tcPr>
          <w:p w14:paraId="223D9C15"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099A554" w14:textId="77777777" w:rsidR="007D706A" w:rsidRDefault="007D706A" w:rsidP="00F70508">
            <w:pPr>
              <w:pStyle w:val="ParagraphStyle9"/>
              <w:rPr>
                <w:rStyle w:val="CharacterStyle9"/>
              </w:rPr>
            </w:pPr>
            <w:r>
              <w:rPr>
                <w:rStyle w:val="CharacterStyle9"/>
              </w:rPr>
              <w:t>31.250,00</w:t>
            </w:r>
          </w:p>
        </w:tc>
        <w:tc>
          <w:tcPr>
            <w:tcW w:w="1395" w:type="dxa"/>
            <w:tcBorders>
              <w:bottom w:val="single" w:sz="6" w:space="0" w:color="000000"/>
              <w:right w:val="single" w:sz="6" w:space="0" w:color="000000"/>
            </w:tcBorders>
            <w:vAlign w:val="center"/>
          </w:tcPr>
          <w:p w14:paraId="11684260"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7C71734"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BD22288" w14:textId="77777777" w:rsidR="007D706A" w:rsidRDefault="007D706A" w:rsidP="00F70508">
            <w:pPr>
              <w:pStyle w:val="ParagraphStyle9"/>
              <w:rPr>
                <w:rStyle w:val="CharacterStyle9"/>
              </w:rPr>
            </w:pPr>
            <w:r>
              <w:rPr>
                <w:rStyle w:val="CharacterStyle9"/>
              </w:rPr>
              <w:t>0,00</w:t>
            </w:r>
          </w:p>
        </w:tc>
      </w:tr>
      <w:tr w:rsidR="007D706A" w14:paraId="56CC913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1CA17FB"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4106A37E"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36BAF22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CE91A7D" w14:textId="77777777" w:rsidR="007D706A" w:rsidRDefault="007D706A" w:rsidP="00F70508">
            <w:pPr>
              <w:pStyle w:val="ParagraphStyle12"/>
              <w:rPr>
                <w:rStyle w:val="CharacterStyle12"/>
              </w:rPr>
            </w:pPr>
            <w:r>
              <w:rPr>
                <w:rStyle w:val="CharacterStyle12"/>
              </w:rPr>
              <w:t>31.250,00</w:t>
            </w:r>
          </w:p>
        </w:tc>
        <w:tc>
          <w:tcPr>
            <w:tcW w:w="1395" w:type="dxa"/>
            <w:tcBorders>
              <w:bottom w:val="single" w:sz="6" w:space="0" w:color="000000"/>
              <w:right w:val="single" w:sz="6" w:space="0" w:color="000000"/>
            </w:tcBorders>
            <w:vAlign w:val="center"/>
          </w:tcPr>
          <w:p w14:paraId="55A9F01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36CBBE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D70ADE9" w14:textId="77777777" w:rsidR="007D706A" w:rsidRDefault="007D706A" w:rsidP="00F70508">
            <w:pPr>
              <w:pStyle w:val="ParagraphStyle12"/>
              <w:rPr>
                <w:rStyle w:val="CharacterStyle12"/>
              </w:rPr>
            </w:pPr>
            <w:r>
              <w:rPr>
                <w:rStyle w:val="CharacterStyle12"/>
              </w:rPr>
              <w:t>0,00</w:t>
            </w:r>
          </w:p>
        </w:tc>
      </w:tr>
      <w:tr w:rsidR="007D706A" w14:paraId="4853F00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0EB04EF" w14:textId="77777777" w:rsidR="007D706A" w:rsidRDefault="007D706A" w:rsidP="00F70508">
            <w:pPr>
              <w:pStyle w:val="ParagraphStyle10"/>
              <w:rPr>
                <w:rStyle w:val="CharacterStyle10"/>
              </w:rPr>
            </w:pPr>
            <w:r>
              <w:rPr>
                <w:rStyle w:val="CharacterStyle10"/>
              </w:rPr>
              <w:t>42</w:t>
            </w:r>
          </w:p>
        </w:tc>
        <w:tc>
          <w:tcPr>
            <w:tcW w:w="4995" w:type="dxa"/>
            <w:tcBorders>
              <w:bottom w:val="single" w:sz="6" w:space="0" w:color="000000"/>
              <w:right w:val="single" w:sz="6" w:space="0" w:color="000000"/>
            </w:tcBorders>
            <w:vAlign w:val="center"/>
          </w:tcPr>
          <w:p w14:paraId="5328E92A"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6385CDC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F33D7E2" w14:textId="77777777" w:rsidR="007D706A" w:rsidRDefault="007D706A" w:rsidP="00F70508">
            <w:pPr>
              <w:pStyle w:val="ParagraphStyle12"/>
              <w:rPr>
                <w:rStyle w:val="CharacterStyle12"/>
              </w:rPr>
            </w:pPr>
            <w:r>
              <w:rPr>
                <w:rStyle w:val="CharacterStyle12"/>
              </w:rPr>
              <w:t>31.250,00</w:t>
            </w:r>
          </w:p>
        </w:tc>
        <w:tc>
          <w:tcPr>
            <w:tcW w:w="1395" w:type="dxa"/>
            <w:tcBorders>
              <w:bottom w:val="single" w:sz="6" w:space="0" w:color="000000"/>
              <w:right w:val="single" w:sz="6" w:space="0" w:color="000000"/>
            </w:tcBorders>
            <w:vAlign w:val="center"/>
          </w:tcPr>
          <w:p w14:paraId="22EDC05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5F9594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9E38437" w14:textId="77777777" w:rsidR="007D706A" w:rsidRDefault="007D706A" w:rsidP="00F70508">
            <w:pPr>
              <w:pStyle w:val="ParagraphStyle12"/>
              <w:rPr>
                <w:rStyle w:val="CharacterStyle12"/>
              </w:rPr>
            </w:pPr>
            <w:r>
              <w:rPr>
                <w:rStyle w:val="CharacterStyle12"/>
              </w:rPr>
              <w:t>0,00</w:t>
            </w:r>
          </w:p>
        </w:tc>
      </w:tr>
      <w:tr w:rsidR="007D706A" w14:paraId="7E89A64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72BD8F1" w14:textId="77777777" w:rsidR="007D706A" w:rsidRDefault="007D706A" w:rsidP="00F70508">
            <w:pPr>
              <w:pStyle w:val="ParagraphStyle4"/>
              <w:rPr>
                <w:rStyle w:val="CharacterStyle4"/>
              </w:rPr>
            </w:pPr>
            <w:r>
              <w:rPr>
                <w:rStyle w:val="CharacterStyle4"/>
              </w:rPr>
              <w:t>Aktivnost A102401</w:t>
            </w:r>
          </w:p>
        </w:tc>
        <w:tc>
          <w:tcPr>
            <w:tcW w:w="4995" w:type="dxa"/>
            <w:tcBorders>
              <w:bottom w:val="single" w:sz="6" w:space="0" w:color="000000"/>
              <w:right w:val="single" w:sz="6" w:space="0" w:color="000000"/>
            </w:tcBorders>
            <w:vAlign w:val="center"/>
          </w:tcPr>
          <w:p w14:paraId="482E6952" w14:textId="77777777" w:rsidR="007D706A" w:rsidRDefault="007D706A" w:rsidP="00F70508">
            <w:pPr>
              <w:pStyle w:val="ParagraphStyle5"/>
              <w:rPr>
                <w:rStyle w:val="CharacterStyle5"/>
              </w:rPr>
            </w:pPr>
            <w:r>
              <w:rPr>
                <w:rStyle w:val="CharacterStyle5"/>
              </w:rPr>
              <w:t>ODRŽAVANJE KOMUNALNE OPREME</w:t>
            </w:r>
          </w:p>
        </w:tc>
        <w:tc>
          <w:tcPr>
            <w:tcW w:w="1395" w:type="dxa"/>
            <w:tcBorders>
              <w:bottom w:val="single" w:sz="6" w:space="0" w:color="000000"/>
              <w:right w:val="single" w:sz="6" w:space="0" w:color="000000"/>
            </w:tcBorders>
            <w:vAlign w:val="center"/>
          </w:tcPr>
          <w:p w14:paraId="378B4B7A"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75DB553E" w14:textId="77777777" w:rsidR="007D706A" w:rsidRDefault="007D706A" w:rsidP="00F70508">
            <w:pPr>
              <w:pStyle w:val="ParagraphStyle6"/>
              <w:rPr>
                <w:rStyle w:val="CharacterStyle6"/>
              </w:rPr>
            </w:pPr>
            <w:r>
              <w:rPr>
                <w:rStyle w:val="CharacterStyle6"/>
              </w:rPr>
              <w:t>33.500,00</w:t>
            </w:r>
          </w:p>
        </w:tc>
        <w:tc>
          <w:tcPr>
            <w:tcW w:w="1395" w:type="dxa"/>
            <w:tcBorders>
              <w:bottom w:val="single" w:sz="6" w:space="0" w:color="000000"/>
              <w:right w:val="single" w:sz="6" w:space="0" w:color="000000"/>
            </w:tcBorders>
            <w:vAlign w:val="center"/>
          </w:tcPr>
          <w:p w14:paraId="7A622820" w14:textId="77777777" w:rsidR="007D706A" w:rsidRDefault="007D706A" w:rsidP="00F70508">
            <w:pPr>
              <w:pStyle w:val="ParagraphStyle6"/>
              <w:rPr>
                <w:rStyle w:val="CharacterStyle6"/>
              </w:rPr>
            </w:pPr>
            <w:r>
              <w:rPr>
                <w:rStyle w:val="CharacterStyle6"/>
              </w:rPr>
              <w:t>46.500,00</w:t>
            </w:r>
          </w:p>
        </w:tc>
        <w:tc>
          <w:tcPr>
            <w:tcW w:w="1395" w:type="dxa"/>
            <w:tcBorders>
              <w:bottom w:val="single" w:sz="6" w:space="0" w:color="000000"/>
              <w:right w:val="single" w:sz="6" w:space="0" w:color="000000"/>
            </w:tcBorders>
            <w:vAlign w:val="center"/>
          </w:tcPr>
          <w:p w14:paraId="22AA5687" w14:textId="77777777" w:rsidR="007D706A" w:rsidRDefault="007D706A" w:rsidP="00F70508">
            <w:pPr>
              <w:pStyle w:val="ParagraphStyle6"/>
              <w:rPr>
                <w:rStyle w:val="CharacterStyle6"/>
              </w:rPr>
            </w:pPr>
            <w:r>
              <w:rPr>
                <w:rStyle w:val="CharacterStyle6"/>
              </w:rPr>
              <w:t>36.500,00</w:t>
            </w:r>
          </w:p>
        </w:tc>
        <w:tc>
          <w:tcPr>
            <w:tcW w:w="1395" w:type="dxa"/>
            <w:tcBorders>
              <w:bottom w:val="single" w:sz="6" w:space="0" w:color="000000"/>
              <w:right w:val="single" w:sz="6" w:space="0" w:color="000000"/>
            </w:tcBorders>
            <w:vAlign w:val="center"/>
          </w:tcPr>
          <w:p w14:paraId="7BC6391A" w14:textId="77777777" w:rsidR="007D706A" w:rsidRDefault="007D706A" w:rsidP="00F70508">
            <w:pPr>
              <w:pStyle w:val="ParagraphStyle6"/>
              <w:rPr>
                <w:rStyle w:val="CharacterStyle6"/>
              </w:rPr>
            </w:pPr>
            <w:r>
              <w:rPr>
                <w:rStyle w:val="CharacterStyle6"/>
              </w:rPr>
              <w:t>36.500,00</w:t>
            </w:r>
          </w:p>
        </w:tc>
      </w:tr>
      <w:tr w:rsidR="007D706A" w14:paraId="2D6303A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1BC3016" w14:textId="77777777" w:rsidR="007D706A" w:rsidRDefault="007D706A" w:rsidP="00F70508">
            <w:pPr>
              <w:pStyle w:val="ParagraphStyle7"/>
              <w:rPr>
                <w:rStyle w:val="CharacterStyle7"/>
              </w:rPr>
            </w:pPr>
            <w:r>
              <w:rPr>
                <w:rStyle w:val="CharacterStyle7"/>
              </w:rPr>
              <w:t>Izvor financiranja 40</w:t>
            </w:r>
          </w:p>
        </w:tc>
        <w:tc>
          <w:tcPr>
            <w:tcW w:w="4995" w:type="dxa"/>
            <w:tcBorders>
              <w:bottom w:val="single" w:sz="6" w:space="0" w:color="000000"/>
              <w:right w:val="single" w:sz="6" w:space="0" w:color="000000"/>
            </w:tcBorders>
            <w:vAlign w:val="center"/>
          </w:tcPr>
          <w:p w14:paraId="2B8D6415" w14:textId="77777777" w:rsidR="007D706A" w:rsidRDefault="007D706A" w:rsidP="00F70508">
            <w:pPr>
              <w:pStyle w:val="ParagraphStyle8"/>
              <w:rPr>
                <w:rStyle w:val="CharacterStyle8"/>
              </w:rPr>
            </w:pPr>
            <w:r>
              <w:rPr>
                <w:rStyle w:val="CharacterStyle8"/>
              </w:rPr>
              <w:t>Prihodi od komunalne naknade i komunalnog doprinosa</w:t>
            </w:r>
          </w:p>
        </w:tc>
        <w:tc>
          <w:tcPr>
            <w:tcW w:w="1395" w:type="dxa"/>
            <w:tcBorders>
              <w:bottom w:val="single" w:sz="6" w:space="0" w:color="000000"/>
              <w:right w:val="single" w:sz="6" w:space="0" w:color="000000"/>
            </w:tcBorders>
            <w:vAlign w:val="center"/>
          </w:tcPr>
          <w:p w14:paraId="6A4533EC"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BE5E1B6"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D11026C" w14:textId="77777777" w:rsidR="007D706A" w:rsidRDefault="007D706A" w:rsidP="00F70508">
            <w:pPr>
              <w:pStyle w:val="ParagraphStyle9"/>
              <w:rPr>
                <w:rStyle w:val="CharacterStyle9"/>
              </w:rPr>
            </w:pPr>
            <w:r>
              <w:rPr>
                <w:rStyle w:val="CharacterStyle9"/>
              </w:rPr>
              <w:t>46.500,00</w:t>
            </w:r>
          </w:p>
        </w:tc>
        <w:tc>
          <w:tcPr>
            <w:tcW w:w="1395" w:type="dxa"/>
            <w:tcBorders>
              <w:bottom w:val="single" w:sz="6" w:space="0" w:color="000000"/>
              <w:right w:val="single" w:sz="6" w:space="0" w:color="000000"/>
            </w:tcBorders>
            <w:vAlign w:val="center"/>
          </w:tcPr>
          <w:p w14:paraId="5096B416" w14:textId="77777777" w:rsidR="007D706A" w:rsidRDefault="007D706A" w:rsidP="00F70508">
            <w:pPr>
              <w:pStyle w:val="ParagraphStyle9"/>
              <w:rPr>
                <w:rStyle w:val="CharacterStyle9"/>
              </w:rPr>
            </w:pPr>
            <w:r>
              <w:rPr>
                <w:rStyle w:val="CharacterStyle9"/>
              </w:rPr>
              <w:t>36.500,00</w:t>
            </w:r>
          </w:p>
        </w:tc>
        <w:tc>
          <w:tcPr>
            <w:tcW w:w="1395" w:type="dxa"/>
            <w:tcBorders>
              <w:bottom w:val="single" w:sz="6" w:space="0" w:color="000000"/>
              <w:right w:val="single" w:sz="6" w:space="0" w:color="000000"/>
            </w:tcBorders>
            <w:vAlign w:val="center"/>
          </w:tcPr>
          <w:p w14:paraId="40879B71" w14:textId="77777777" w:rsidR="007D706A" w:rsidRDefault="007D706A" w:rsidP="00F70508">
            <w:pPr>
              <w:pStyle w:val="ParagraphStyle9"/>
              <w:rPr>
                <w:rStyle w:val="CharacterStyle9"/>
              </w:rPr>
            </w:pPr>
            <w:r>
              <w:rPr>
                <w:rStyle w:val="CharacterStyle9"/>
              </w:rPr>
              <w:t>36.500,00</w:t>
            </w:r>
          </w:p>
        </w:tc>
      </w:tr>
      <w:tr w:rsidR="007D706A" w14:paraId="4DD1AD4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A903A6B"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1A1DF46A"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0A363C4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DB4663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CC1F257" w14:textId="77777777" w:rsidR="007D706A" w:rsidRDefault="007D706A" w:rsidP="00F70508">
            <w:pPr>
              <w:pStyle w:val="ParagraphStyle12"/>
              <w:rPr>
                <w:rStyle w:val="CharacterStyle12"/>
              </w:rPr>
            </w:pPr>
            <w:r>
              <w:rPr>
                <w:rStyle w:val="CharacterStyle12"/>
              </w:rPr>
              <w:t>46.500,00</w:t>
            </w:r>
          </w:p>
        </w:tc>
        <w:tc>
          <w:tcPr>
            <w:tcW w:w="1395" w:type="dxa"/>
            <w:tcBorders>
              <w:bottom w:val="single" w:sz="6" w:space="0" w:color="000000"/>
              <w:right w:val="single" w:sz="6" w:space="0" w:color="000000"/>
            </w:tcBorders>
            <w:vAlign w:val="center"/>
          </w:tcPr>
          <w:p w14:paraId="677AF3CE" w14:textId="77777777" w:rsidR="007D706A" w:rsidRDefault="007D706A" w:rsidP="00F70508">
            <w:pPr>
              <w:pStyle w:val="ParagraphStyle12"/>
              <w:rPr>
                <w:rStyle w:val="CharacterStyle12"/>
              </w:rPr>
            </w:pPr>
            <w:r>
              <w:rPr>
                <w:rStyle w:val="CharacterStyle12"/>
              </w:rPr>
              <w:t>36.500,00</w:t>
            </w:r>
          </w:p>
        </w:tc>
        <w:tc>
          <w:tcPr>
            <w:tcW w:w="1395" w:type="dxa"/>
            <w:tcBorders>
              <w:bottom w:val="single" w:sz="6" w:space="0" w:color="000000"/>
              <w:right w:val="single" w:sz="6" w:space="0" w:color="000000"/>
            </w:tcBorders>
            <w:vAlign w:val="center"/>
          </w:tcPr>
          <w:p w14:paraId="72E81DF1" w14:textId="77777777" w:rsidR="007D706A" w:rsidRDefault="007D706A" w:rsidP="00F70508">
            <w:pPr>
              <w:pStyle w:val="ParagraphStyle12"/>
              <w:rPr>
                <w:rStyle w:val="CharacterStyle12"/>
              </w:rPr>
            </w:pPr>
            <w:r>
              <w:rPr>
                <w:rStyle w:val="CharacterStyle12"/>
              </w:rPr>
              <w:t>36.500,00</w:t>
            </w:r>
          </w:p>
        </w:tc>
      </w:tr>
      <w:tr w:rsidR="007D706A" w14:paraId="0A2E73F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FF120AE"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607FB3A3"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1E1B5AF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A7CAA8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BA65110" w14:textId="77777777" w:rsidR="007D706A" w:rsidRDefault="007D706A" w:rsidP="00F70508">
            <w:pPr>
              <w:pStyle w:val="ParagraphStyle12"/>
              <w:rPr>
                <w:rStyle w:val="CharacterStyle12"/>
              </w:rPr>
            </w:pPr>
            <w:r>
              <w:rPr>
                <w:rStyle w:val="CharacterStyle12"/>
              </w:rPr>
              <w:t>46.500,00</w:t>
            </w:r>
          </w:p>
        </w:tc>
        <w:tc>
          <w:tcPr>
            <w:tcW w:w="1395" w:type="dxa"/>
            <w:tcBorders>
              <w:bottom w:val="single" w:sz="6" w:space="0" w:color="000000"/>
              <w:right w:val="single" w:sz="6" w:space="0" w:color="000000"/>
            </w:tcBorders>
            <w:vAlign w:val="center"/>
          </w:tcPr>
          <w:p w14:paraId="768094BF" w14:textId="77777777" w:rsidR="007D706A" w:rsidRDefault="007D706A" w:rsidP="00F70508">
            <w:pPr>
              <w:pStyle w:val="ParagraphStyle12"/>
              <w:rPr>
                <w:rStyle w:val="CharacterStyle12"/>
              </w:rPr>
            </w:pPr>
            <w:r>
              <w:rPr>
                <w:rStyle w:val="CharacterStyle12"/>
              </w:rPr>
              <w:t>36.500,00</w:t>
            </w:r>
          </w:p>
        </w:tc>
        <w:tc>
          <w:tcPr>
            <w:tcW w:w="1395" w:type="dxa"/>
            <w:tcBorders>
              <w:bottom w:val="single" w:sz="6" w:space="0" w:color="000000"/>
              <w:right w:val="single" w:sz="6" w:space="0" w:color="000000"/>
            </w:tcBorders>
            <w:vAlign w:val="center"/>
          </w:tcPr>
          <w:p w14:paraId="3DD75D98" w14:textId="77777777" w:rsidR="007D706A" w:rsidRDefault="007D706A" w:rsidP="00F70508">
            <w:pPr>
              <w:pStyle w:val="ParagraphStyle12"/>
              <w:rPr>
                <w:rStyle w:val="CharacterStyle12"/>
              </w:rPr>
            </w:pPr>
            <w:r>
              <w:rPr>
                <w:rStyle w:val="CharacterStyle12"/>
              </w:rPr>
              <w:t>36.500,00</w:t>
            </w:r>
          </w:p>
        </w:tc>
      </w:tr>
      <w:tr w:rsidR="007D706A" w14:paraId="3ED59D2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323020D" w14:textId="77777777" w:rsidR="007D706A" w:rsidRDefault="007D706A" w:rsidP="00F70508">
            <w:pPr>
              <w:pStyle w:val="ParagraphStyle7"/>
              <w:rPr>
                <w:rStyle w:val="CharacterStyle7"/>
              </w:rPr>
            </w:pPr>
            <w:r>
              <w:rPr>
                <w:rStyle w:val="CharacterStyle7"/>
              </w:rPr>
              <w:t>Izvor financiranja 41</w:t>
            </w:r>
          </w:p>
        </w:tc>
        <w:tc>
          <w:tcPr>
            <w:tcW w:w="4995" w:type="dxa"/>
            <w:tcBorders>
              <w:bottom w:val="single" w:sz="6" w:space="0" w:color="000000"/>
              <w:right w:val="single" w:sz="6" w:space="0" w:color="000000"/>
            </w:tcBorders>
            <w:vAlign w:val="center"/>
          </w:tcPr>
          <w:p w14:paraId="61127F38" w14:textId="77777777" w:rsidR="007D706A" w:rsidRDefault="007D706A" w:rsidP="00F70508">
            <w:pPr>
              <w:pStyle w:val="ParagraphStyle8"/>
              <w:rPr>
                <w:rStyle w:val="CharacterStyle8"/>
              </w:rPr>
            </w:pPr>
            <w:r>
              <w:rPr>
                <w:rStyle w:val="CharacterStyle8"/>
              </w:rPr>
              <w:t>Prihodi za posebne namjene</w:t>
            </w:r>
          </w:p>
        </w:tc>
        <w:tc>
          <w:tcPr>
            <w:tcW w:w="1395" w:type="dxa"/>
            <w:tcBorders>
              <w:bottom w:val="single" w:sz="6" w:space="0" w:color="000000"/>
              <w:right w:val="single" w:sz="6" w:space="0" w:color="000000"/>
            </w:tcBorders>
            <w:vAlign w:val="center"/>
          </w:tcPr>
          <w:p w14:paraId="1DA760A9"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933FAA7" w14:textId="77777777" w:rsidR="007D706A" w:rsidRDefault="007D706A" w:rsidP="00F70508">
            <w:pPr>
              <w:pStyle w:val="ParagraphStyle9"/>
              <w:rPr>
                <w:rStyle w:val="CharacterStyle9"/>
              </w:rPr>
            </w:pPr>
            <w:r>
              <w:rPr>
                <w:rStyle w:val="CharacterStyle9"/>
              </w:rPr>
              <w:t>33.500,00</w:t>
            </w:r>
          </w:p>
        </w:tc>
        <w:tc>
          <w:tcPr>
            <w:tcW w:w="1395" w:type="dxa"/>
            <w:tcBorders>
              <w:bottom w:val="single" w:sz="6" w:space="0" w:color="000000"/>
              <w:right w:val="single" w:sz="6" w:space="0" w:color="000000"/>
            </w:tcBorders>
            <w:vAlign w:val="center"/>
          </w:tcPr>
          <w:p w14:paraId="1A23A88B"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505A819"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50EAB7D" w14:textId="77777777" w:rsidR="007D706A" w:rsidRDefault="007D706A" w:rsidP="00F70508">
            <w:pPr>
              <w:pStyle w:val="ParagraphStyle9"/>
              <w:rPr>
                <w:rStyle w:val="CharacterStyle9"/>
              </w:rPr>
            </w:pPr>
            <w:r>
              <w:rPr>
                <w:rStyle w:val="CharacterStyle9"/>
              </w:rPr>
              <w:t>0,00</w:t>
            </w:r>
          </w:p>
        </w:tc>
      </w:tr>
      <w:tr w:rsidR="007D706A" w14:paraId="1744BE1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3FB74C2"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00BAECCE"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1E1B426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6CF194D" w14:textId="77777777" w:rsidR="007D706A" w:rsidRDefault="007D706A" w:rsidP="00F70508">
            <w:pPr>
              <w:pStyle w:val="ParagraphStyle12"/>
              <w:rPr>
                <w:rStyle w:val="CharacterStyle12"/>
              </w:rPr>
            </w:pPr>
            <w:r>
              <w:rPr>
                <w:rStyle w:val="CharacterStyle12"/>
              </w:rPr>
              <w:t>33.500,00</w:t>
            </w:r>
          </w:p>
        </w:tc>
        <w:tc>
          <w:tcPr>
            <w:tcW w:w="1395" w:type="dxa"/>
            <w:tcBorders>
              <w:bottom w:val="single" w:sz="6" w:space="0" w:color="000000"/>
              <w:right w:val="single" w:sz="6" w:space="0" w:color="000000"/>
            </w:tcBorders>
            <w:vAlign w:val="center"/>
          </w:tcPr>
          <w:p w14:paraId="220A609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327AF1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474288F" w14:textId="77777777" w:rsidR="007D706A" w:rsidRDefault="007D706A" w:rsidP="00F70508">
            <w:pPr>
              <w:pStyle w:val="ParagraphStyle12"/>
              <w:rPr>
                <w:rStyle w:val="CharacterStyle12"/>
              </w:rPr>
            </w:pPr>
            <w:r>
              <w:rPr>
                <w:rStyle w:val="CharacterStyle12"/>
              </w:rPr>
              <w:t>0,00</w:t>
            </w:r>
          </w:p>
        </w:tc>
      </w:tr>
      <w:tr w:rsidR="007D706A" w14:paraId="0D31A90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33C8FA5" w14:textId="77777777" w:rsidR="007D706A" w:rsidRDefault="007D706A" w:rsidP="00F70508">
            <w:pPr>
              <w:pStyle w:val="ParagraphStyle10"/>
              <w:rPr>
                <w:rStyle w:val="CharacterStyle10"/>
              </w:rPr>
            </w:pPr>
            <w:r>
              <w:rPr>
                <w:rStyle w:val="CharacterStyle10"/>
              </w:rPr>
              <w:lastRenderedPageBreak/>
              <w:t>32</w:t>
            </w:r>
          </w:p>
        </w:tc>
        <w:tc>
          <w:tcPr>
            <w:tcW w:w="4995" w:type="dxa"/>
            <w:tcBorders>
              <w:bottom w:val="single" w:sz="6" w:space="0" w:color="000000"/>
              <w:right w:val="single" w:sz="6" w:space="0" w:color="000000"/>
            </w:tcBorders>
            <w:vAlign w:val="center"/>
          </w:tcPr>
          <w:p w14:paraId="055F79A2"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3AC9FEF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2480028" w14:textId="77777777" w:rsidR="007D706A" w:rsidRDefault="007D706A" w:rsidP="00F70508">
            <w:pPr>
              <w:pStyle w:val="ParagraphStyle12"/>
              <w:rPr>
                <w:rStyle w:val="CharacterStyle12"/>
              </w:rPr>
            </w:pPr>
            <w:r>
              <w:rPr>
                <w:rStyle w:val="CharacterStyle12"/>
              </w:rPr>
              <w:t>33.500,00</w:t>
            </w:r>
          </w:p>
        </w:tc>
        <w:tc>
          <w:tcPr>
            <w:tcW w:w="1395" w:type="dxa"/>
            <w:tcBorders>
              <w:bottom w:val="single" w:sz="6" w:space="0" w:color="000000"/>
              <w:right w:val="single" w:sz="6" w:space="0" w:color="000000"/>
            </w:tcBorders>
            <w:vAlign w:val="center"/>
          </w:tcPr>
          <w:p w14:paraId="4F3AECF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2A202C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C511223" w14:textId="77777777" w:rsidR="007D706A" w:rsidRDefault="007D706A" w:rsidP="00F70508">
            <w:pPr>
              <w:pStyle w:val="ParagraphStyle12"/>
              <w:rPr>
                <w:rStyle w:val="CharacterStyle12"/>
              </w:rPr>
            </w:pPr>
            <w:r>
              <w:rPr>
                <w:rStyle w:val="CharacterStyle12"/>
              </w:rPr>
              <w:t>0,00</w:t>
            </w:r>
          </w:p>
        </w:tc>
      </w:tr>
      <w:tr w:rsidR="007D706A" w14:paraId="0EF67D4C" w14:textId="77777777" w:rsidTr="00F70508">
        <w:trPr>
          <w:trHeight w:val="405"/>
        </w:trPr>
        <w:tc>
          <w:tcPr>
            <w:tcW w:w="2880" w:type="dxa"/>
            <w:tcBorders>
              <w:left w:val="single" w:sz="6" w:space="0" w:color="000000"/>
              <w:bottom w:val="single" w:sz="6" w:space="0" w:color="000000"/>
              <w:right w:val="single" w:sz="6" w:space="0" w:color="000000"/>
            </w:tcBorders>
            <w:vAlign w:val="center"/>
          </w:tcPr>
          <w:p w14:paraId="452D2823" w14:textId="77777777" w:rsidR="007D706A" w:rsidRDefault="007D706A" w:rsidP="00F70508">
            <w:pPr>
              <w:pStyle w:val="ParagraphStyle4"/>
              <w:rPr>
                <w:rStyle w:val="CharacterStyle4"/>
              </w:rPr>
            </w:pPr>
            <w:r>
              <w:rPr>
                <w:rStyle w:val="CharacterStyle4"/>
              </w:rPr>
              <w:t>Aktivnost A102403</w:t>
            </w:r>
          </w:p>
        </w:tc>
        <w:tc>
          <w:tcPr>
            <w:tcW w:w="4995" w:type="dxa"/>
            <w:tcBorders>
              <w:bottom w:val="single" w:sz="6" w:space="0" w:color="000000"/>
              <w:right w:val="single" w:sz="6" w:space="0" w:color="000000"/>
            </w:tcBorders>
            <w:vAlign w:val="center"/>
          </w:tcPr>
          <w:p w14:paraId="706996F6" w14:textId="77777777" w:rsidR="007D706A" w:rsidRDefault="007D706A" w:rsidP="00F70508">
            <w:pPr>
              <w:pStyle w:val="ParagraphStyle5"/>
              <w:rPr>
                <w:rStyle w:val="CharacterStyle5"/>
              </w:rPr>
            </w:pPr>
            <w:r>
              <w:rPr>
                <w:rStyle w:val="CharacterStyle5"/>
              </w:rPr>
              <w:t>NABAVA OPREME VIDEO-NADZORA U SVEZI SIGURNOST ZAJEDNICE</w:t>
            </w:r>
          </w:p>
        </w:tc>
        <w:tc>
          <w:tcPr>
            <w:tcW w:w="1395" w:type="dxa"/>
            <w:tcBorders>
              <w:bottom w:val="single" w:sz="6" w:space="0" w:color="000000"/>
              <w:right w:val="single" w:sz="6" w:space="0" w:color="000000"/>
            </w:tcBorders>
            <w:vAlign w:val="center"/>
          </w:tcPr>
          <w:p w14:paraId="1DD149D0"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01098084" w14:textId="77777777" w:rsidR="007D706A" w:rsidRDefault="007D706A" w:rsidP="00F70508">
            <w:pPr>
              <w:pStyle w:val="ParagraphStyle6"/>
              <w:rPr>
                <w:rStyle w:val="CharacterStyle6"/>
              </w:rPr>
            </w:pPr>
            <w:r>
              <w:rPr>
                <w:rStyle w:val="CharacterStyle6"/>
              </w:rPr>
              <w:t>3.000,00</w:t>
            </w:r>
          </w:p>
        </w:tc>
        <w:tc>
          <w:tcPr>
            <w:tcW w:w="1395" w:type="dxa"/>
            <w:tcBorders>
              <w:bottom w:val="single" w:sz="6" w:space="0" w:color="000000"/>
              <w:right w:val="single" w:sz="6" w:space="0" w:color="000000"/>
            </w:tcBorders>
            <w:vAlign w:val="center"/>
          </w:tcPr>
          <w:p w14:paraId="6493F429" w14:textId="77777777" w:rsidR="007D706A" w:rsidRDefault="007D706A" w:rsidP="00F70508">
            <w:pPr>
              <w:pStyle w:val="ParagraphStyle6"/>
              <w:rPr>
                <w:rStyle w:val="CharacterStyle6"/>
              </w:rPr>
            </w:pPr>
            <w:r>
              <w:rPr>
                <w:rStyle w:val="CharacterStyle6"/>
              </w:rPr>
              <w:t>3.000,00</w:t>
            </w:r>
          </w:p>
        </w:tc>
        <w:tc>
          <w:tcPr>
            <w:tcW w:w="1395" w:type="dxa"/>
            <w:tcBorders>
              <w:bottom w:val="single" w:sz="6" w:space="0" w:color="000000"/>
              <w:right w:val="single" w:sz="6" w:space="0" w:color="000000"/>
            </w:tcBorders>
            <w:vAlign w:val="center"/>
          </w:tcPr>
          <w:p w14:paraId="1B0AA92E" w14:textId="77777777" w:rsidR="007D706A" w:rsidRDefault="007D706A" w:rsidP="00F70508">
            <w:pPr>
              <w:pStyle w:val="ParagraphStyle6"/>
              <w:rPr>
                <w:rStyle w:val="CharacterStyle6"/>
              </w:rPr>
            </w:pPr>
            <w:r>
              <w:rPr>
                <w:rStyle w:val="CharacterStyle6"/>
              </w:rPr>
              <w:t>3.000,00</w:t>
            </w:r>
          </w:p>
        </w:tc>
        <w:tc>
          <w:tcPr>
            <w:tcW w:w="1395" w:type="dxa"/>
            <w:tcBorders>
              <w:bottom w:val="single" w:sz="6" w:space="0" w:color="000000"/>
              <w:right w:val="single" w:sz="6" w:space="0" w:color="000000"/>
            </w:tcBorders>
            <w:vAlign w:val="center"/>
          </w:tcPr>
          <w:p w14:paraId="03091851" w14:textId="77777777" w:rsidR="007D706A" w:rsidRDefault="007D706A" w:rsidP="00F70508">
            <w:pPr>
              <w:pStyle w:val="ParagraphStyle6"/>
              <w:rPr>
                <w:rStyle w:val="CharacterStyle6"/>
              </w:rPr>
            </w:pPr>
            <w:r>
              <w:rPr>
                <w:rStyle w:val="CharacterStyle6"/>
              </w:rPr>
              <w:t>3.000,00</w:t>
            </w:r>
          </w:p>
        </w:tc>
      </w:tr>
      <w:tr w:rsidR="007D706A" w14:paraId="439808A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13183FC"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03A12DF2"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596C56C2"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C493302" w14:textId="77777777" w:rsidR="007D706A" w:rsidRDefault="007D706A" w:rsidP="00F70508">
            <w:pPr>
              <w:pStyle w:val="ParagraphStyle9"/>
              <w:rPr>
                <w:rStyle w:val="CharacterStyle9"/>
              </w:rPr>
            </w:pPr>
            <w:r>
              <w:rPr>
                <w:rStyle w:val="CharacterStyle9"/>
              </w:rPr>
              <w:t>3.000,00</w:t>
            </w:r>
          </w:p>
        </w:tc>
        <w:tc>
          <w:tcPr>
            <w:tcW w:w="1395" w:type="dxa"/>
            <w:tcBorders>
              <w:bottom w:val="single" w:sz="6" w:space="0" w:color="000000"/>
              <w:right w:val="single" w:sz="6" w:space="0" w:color="000000"/>
            </w:tcBorders>
            <w:vAlign w:val="center"/>
          </w:tcPr>
          <w:p w14:paraId="0F36A819" w14:textId="77777777" w:rsidR="007D706A" w:rsidRDefault="007D706A" w:rsidP="00F70508">
            <w:pPr>
              <w:pStyle w:val="ParagraphStyle9"/>
              <w:rPr>
                <w:rStyle w:val="CharacterStyle9"/>
              </w:rPr>
            </w:pPr>
            <w:r>
              <w:rPr>
                <w:rStyle w:val="CharacterStyle9"/>
              </w:rPr>
              <w:t>3.000,00</w:t>
            </w:r>
          </w:p>
        </w:tc>
        <w:tc>
          <w:tcPr>
            <w:tcW w:w="1395" w:type="dxa"/>
            <w:tcBorders>
              <w:bottom w:val="single" w:sz="6" w:space="0" w:color="000000"/>
              <w:right w:val="single" w:sz="6" w:space="0" w:color="000000"/>
            </w:tcBorders>
            <w:vAlign w:val="center"/>
          </w:tcPr>
          <w:p w14:paraId="3EDB8ECA" w14:textId="77777777" w:rsidR="007D706A" w:rsidRDefault="007D706A" w:rsidP="00F70508">
            <w:pPr>
              <w:pStyle w:val="ParagraphStyle9"/>
              <w:rPr>
                <w:rStyle w:val="CharacterStyle9"/>
              </w:rPr>
            </w:pPr>
            <w:r>
              <w:rPr>
                <w:rStyle w:val="CharacterStyle9"/>
              </w:rPr>
              <w:t>3.000,00</w:t>
            </w:r>
          </w:p>
        </w:tc>
        <w:tc>
          <w:tcPr>
            <w:tcW w:w="1395" w:type="dxa"/>
            <w:tcBorders>
              <w:bottom w:val="single" w:sz="6" w:space="0" w:color="000000"/>
              <w:right w:val="single" w:sz="6" w:space="0" w:color="000000"/>
            </w:tcBorders>
            <w:vAlign w:val="center"/>
          </w:tcPr>
          <w:p w14:paraId="0801AEB5" w14:textId="77777777" w:rsidR="007D706A" w:rsidRDefault="007D706A" w:rsidP="00F70508">
            <w:pPr>
              <w:pStyle w:val="ParagraphStyle9"/>
              <w:rPr>
                <w:rStyle w:val="CharacterStyle9"/>
              </w:rPr>
            </w:pPr>
            <w:r>
              <w:rPr>
                <w:rStyle w:val="CharacterStyle9"/>
              </w:rPr>
              <w:t>3.000,00</w:t>
            </w:r>
          </w:p>
        </w:tc>
      </w:tr>
      <w:tr w:rsidR="007D706A" w14:paraId="500E2C2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A8FEF24"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3ED60C13"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349A002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303D9EB" w14:textId="77777777" w:rsidR="007D706A" w:rsidRDefault="007D706A" w:rsidP="00F70508">
            <w:pPr>
              <w:pStyle w:val="ParagraphStyle12"/>
              <w:rPr>
                <w:rStyle w:val="CharacterStyle12"/>
              </w:rPr>
            </w:pPr>
            <w:r>
              <w:rPr>
                <w:rStyle w:val="CharacterStyle12"/>
              </w:rPr>
              <w:t>3.000,00</w:t>
            </w:r>
          </w:p>
        </w:tc>
        <w:tc>
          <w:tcPr>
            <w:tcW w:w="1395" w:type="dxa"/>
            <w:tcBorders>
              <w:bottom w:val="single" w:sz="6" w:space="0" w:color="000000"/>
              <w:right w:val="single" w:sz="6" w:space="0" w:color="000000"/>
            </w:tcBorders>
            <w:vAlign w:val="center"/>
          </w:tcPr>
          <w:p w14:paraId="15CBBD61" w14:textId="77777777" w:rsidR="007D706A" w:rsidRDefault="007D706A" w:rsidP="00F70508">
            <w:pPr>
              <w:pStyle w:val="ParagraphStyle12"/>
              <w:rPr>
                <w:rStyle w:val="CharacterStyle12"/>
              </w:rPr>
            </w:pPr>
            <w:r>
              <w:rPr>
                <w:rStyle w:val="CharacterStyle12"/>
              </w:rPr>
              <w:t>3.000,00</w:t>
            </w:r>
          </w:p>
        </w:tc>
        <w:tc>
          <w:tcPr>
            <w:tcW w:w="1395" w:type="dxa"/>
            <w:tcBorders>
              <w:bottom w:val="single" w:sz="6" w:space="0" w:color="000000"/>
              <w:right w:val="single" w:sz="6" w:space="0" w:color="000000"/>
            </w:tcBorders>
            <w:vAlign w:val="center"/>
          </w:tcPr>
          <w:p w14:paraId="442CDDC6" w14:textId="77777777" w:rsidR="007D706A" w:rsidRDefault="007D706A" w:rsidP="00F70508">
            <w:pPr>
              <w:pStyle w:val="ParagraphStyle12"/>
              <w:rPr>
                <w:rStyle w:val="CharacterStyle12"/>
              </w:rPr>
            </w:pPr>
            <w:r>
              <w:rPr>
                <w:rStyle w:val="CharacterStyle12"/>
              </w:rPr>
              <w:t>3.000,00</w:t>
            </w:r>
          </w:p>
        </w:tc>
        <w:tc>
          <w:tcPr>
            <w:tcW w:w="1395" w:type="dxa"/>
            <w:tcBorders>
              <w:bottom w:val="single" w:sz="6" w:space="0" w:color="000000"/>
              <w:right w:val="single" w:sz="6" w:space="0" w:color="000000"/>
            </w:tcBorders>
            <w:vAlign w:val="center"/>
          </w:tcPr>
          <w:p w14:paraId="0844BCDD" w14:textId="77777777" w:rsidR="007D706A" w:rsidRDefault="007D706A" w:rsidP="00F70508">
            <w:pPr>
              <w:pStyle w:val="ParagraphStyle12"/>
              <w:rPr>
                <w:rStyle w:val="CharacterStyle12"/>
              </w:rPr>
            </w:pPr>
            <w:r>
              <w:rPr>
                <w:rStyle w:val="CharacterStyle12"/>
              </w:rPr>
              <w:t>3.000,00</w:t>
            </w:r>
          </w:p>
        </w:tc>
      </w:tr>
      <w:tr w:rsidR="007D706A" w14:paraId="6B7F5D3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AC07AAE" w14:textId="77777777" w:rsidR="007D706A" w:rsidRDefault="007D706A" w:rsidP="00F70508">
            <w:pPr>
              <w:pStyle w:val="ParagraphStyle10"/>
              <w:rPr>
                <w:rStyle w:val="CharacterStyle10"/>
              </w:rPr>
            </w:pPr>
            <w:r>
              <w:rPr>
                <w:rStyle w:val="CharacterStyle10"/>
              </w:rPr>
              <w:t>38</w:t>
            </w:r>
          </w:p>
        </w:tc>
        <w:tc>
          <w:tcPr>
            <w:tcW w:w="4995" w:type="dxa"/>
            <w:tcBorders>
              <w:bottom w:val="single" w:sz="6" w:space="0" w:color="000000"/>
              <w:right w:val="single" w:sz="6" w:space="0" w:color="000000"/>
            </w:tcBorders>
            <w:vAlign w:val="center"/>
          </w:tcPr>
          <w:p w14:paraId="552F4CFC" w14:textId="77777777" w:rsidR="007D706A" w:rsidRDefault="007D706A" w:rsidP="00F70508">
            <w:pPr>
              <w:pStyle w:val="ParagraphStyle11"/>
              <w:rPr>
                <w:rStyle w:val="CharacterStyle11"/>
              </w:rPr>
            </w:pPr>
            <w:r>
              <w:rPr>
                <w:rStyle w:val="CharacterStyle11"/>
              </w:rPr>
              <w:t>Rashodi za donacije, kazne, naknade šteta i kapitalne pomoći</w:t>
            </w:r>
          </w:p>
        </w:tc>
        <w:tc>
          <w:tcPr>
            <w:tcW w:w="1395" w:type="dxa"/>
            <w:tcBorders>
              <w:bottom w:val="single" w:sz="6" w:space="0" w:color="000000"/>
              <w:right w:val="single" w:sz="6" w:space="0" w:color="000000"/>
            </w:tcBorders>
            <w:vAlign w:val="center"/>
          </w:tcPr>
          <w:p w14:paraId="12A94F5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45596C0" w14:textId="77777777" w:rsidR="007D706A" w:rsidRDefault="007D706A" w:rsidP="00F70508">
            <w:pPr>
              <w:pStyle w:val="ParagraphStyle12"/>
              <w:rPr>
                <w:rStyle w:val="CharacterStyle12"/>
              </w:rPr>
            </w:pPr>
            <w:r>
              <w:rPr>
                <w:rStyle w:val="CharacterStyle12"/>
              </w:rPr>
              <w:t>3.000,00</w:t>
            </w:r>
          </w:p>
        </w:tc>
        <w:tc>
          <w:tcPr>
            <w:tcW w:w="1395" w:type="dxa"/>
            <w:tcBorders>
              <w:bottom w:val="single" w:sz="6" w:space="0" w:color="000000"/>
              <w:right w:val="single" w:sz="6" w:space="0" w:color="000000"/>
            </w:tcBorders>
            <w:vAlign w:val="center"/>
          </w:tcPr>
          <w:p w14:paraId="6284E491" w14:textId="77777777" w:rsidR="007D706A" w:rsidRDefault="007D706A" w:rsidP="00F70508">
            <w:pPr>
              <w:pStyle w:val="ParagraphStyle12"/>
              <w:rPr>
                <w:rStyle w:val="CharacterStyle12"/>
              </w:rPr>
            </w:pPr>
            <w:r>
              <w:rPr>
                <w:rStyle w:val="CharacterStyle12"/>
              </w:rPr>
              <w:t>3.000,00</w:t>
            </w:r>
          </w:p>
        </w:tc>
        <w:tc>
          <w:tcPr>
            <w:tcW w:w="1395" w:type="dxa"/>
            <w:tcBorders>
              <w:bottom w:val="single" w:sz="6" w:space="0" w:color="000000"/>
              <w:right w:val="single" w:sz="6" w:space="0" w:color="000000"/>
            </w:tcBorders>
            <w:vAlign w:val="center"/>
          </w:tcPr>
          <w:p w14:paraId="1F417DF2" w14:textId="77777777" w:rsidR="007D706A" w:rsidRDefault="007D706A" w:rsidP="00F70508">
            <w:pPr>
              <w:pStyle w:val="ParagraphStyle12"/>
              <w:rPr>
                <w:rStyle w:val="CharacterStyle12"/>
              </w:rPr>
            </w:pPr>
            <w:r>
              <w:rPr>
                <w:rStyle w:val="CharacterStyle12"/>
              </w:rPr>
              <w:t>3.000,00</w:t>
            </w:r>
          </w:p>
        </w:tc>
        <w:tc>
          <w:tcPr>
            <w:tcW w:w="1395" w:type="dxa"/>
            <w:tcBorders>
              <w:bottom w:val="single" w:sz="6" w:space="0" w:color="000000"/>
              <w:right w:val="single" w:sz="6" w:space="0" w:color="000000"/>
            </w:tcBorders>
            <w:vAlign w:val="center"/>
          </w:tcPr>
          <w:p w14:paraId="2E897CA4" w14:textId="77777777" w:rsidR="007D706A" w:rsidRDefault="007D706A" w:rsidP="00F70508">
            <w:pPr>
              <w:pStyle w:val="ParagraphStyle12"/>
              <w:rPr>
                <w:rStyle w:val="CharacterStyle12"/>
              </w:rPr>
            </w:pPr>
            <w:r>
              <w:rPr>
                <w:rStyle w:val="CharacterStyle12"/>
              </w:rPr>
              <w:t>3.000,00</w:t>
            </w:r>
          </w:p>
        </w:tc>
      </w:tr>
      <w:tr w:rsidR="007D706A" w14:paraId="7093650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029002C" w14:textId="77777777" w:rsidR="007D706A" w:rsidRDefault="007D706A" w:rsidP="00F70508">
            <w:pPr>
              <w:pStyle w:val="ParagraphStyle4"/>
              <w:rPr>
                <w:rStyle w:val="CharacterStyle4"/>
              </w:rPr>
            </w:pPr>
            <w:r>
              <w:rPr>
                <w:rStyle w:val="CharacterStyle4"/>
              </w:rPr>
              <w:t>Aktivnost A102402</w:t>
            </w:r>
          </w:p>
        </w:tc>
        <w:tc>
          <w:tcPr>
            <w:tcW w:w="4995" w:type="dxa"/>
            <w:tcBorders>
              <w:bottom w:val="single" w:sz="6" w:space="0" w:color="000000"/>
              <w:right w:val="single" w:sz="6" w:space="0" w:color="000000"/>
            </w:tcBorders>
            <w:vAlign w:val="center"/>
          </w:tcPr>
          <w:p w14:paraId="0FF85A26" w14:textId="77777777" w:rsidR="007D706A" w:rsidRDefault="007D706A" w:rsidP="00F70508">
            <w:pPr>
              <w:pStyle w:val="ParagraphStyle5"/>
              <w:rPr>
                <w:rStyle w:val="CharacterStyle5"/>
              </w:rPr>
            </w:pPr>
            <w:r>
              <w:rPr>
                <w:rStyle w:val="CharacterStyle5"/>
              </w:rPr>
              <w:t>NABAVA OPREME ZA KOMUNALNE I SLIČNE NAMJENE</w:t>
            </w:r>
          </w:p>
        </w:tc>
        <w:tc>
          <w:tcPr>
            <w:tcW w:w="1395" w:type="dxa"/>
            <w:tcBorders>
              <w:bottom w:val="single" w:sz="6" w:space="0" w:color="000000"/>
              <w:right w:val="single" w:sz="6" w:space="0" w:color="000000"/>
            </w:tcBorders>
            <w:vAlign w:val="center"/>
          </w:tcPr>
          <w:p w14:paraId="45A72631"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3870FD18" w14:textId="77777777" w:rsidR="007D706A" w:rsidRDefault="007D706A" w:rsidP="00F70508">
            <w:pPr>
              <w:pStyle w:val="ParagraphStyle6"/>
              <w:rPr>
                <w:rStyle w:val="CharacterStyle6"/>
              </w:rPr>
            </w:pPr>
            <w:r>
              <w:rPr>
                <w:rStyle w:val="CharacterStyle6"/>
              </w:rPr>
              <w:t>136.210,00</w:t>
            </w:r>
          </w:p>
        </w:tc>
        <w:tc>
          <w:tcPr>
            <w:tcW w:w="1395" w:type="dxa"/>
            <w:tcBorders>
              <w:bottom w:val="single" w:sz="6" w:space="0" w:color="000000"/>
              <w:right w:val="single" w:sz="6" w:space="0" w:color="000000"/>
            </w:tcBorders>
            <w:vAlign w:val="center"/>
          </w:tcPr>
          <w:p w14:paraId="61AA4CA5" w14:textId="77777777" w:rsidR="007D706A" w:rsidRDefault="007D706A" w:rsidP="00F70508">
            <w:pPr>
              <w:pStyle w:val="ParagraphStyle6"/>
              <w:rPr>
                <w:rStyle w:val="CharacterStyle6"/>
              </w:rPr>
            </w:pPr>
            <w:r>
              <w:rPr>
                <w:rStyle w:val="CharacterStyle6"/>
              </w:rPr>
              <w:t>136.000,00</w:t>
            </w:r>
          </w:p>
        </w:tc>
        <w:tc>
          <w:tcPr>
            <w:tcW w:w="1395" w:type="dxa"/>
            <w:tcBorders>
              <w:bottom w:val="single" w:sz="6" w:space="0" w:color="000000"/>
              <w:right w:val="single" w:sz="6" w:space="0" w:color="000000"/>
            </w:tcBorders>
            <w:vAlign w:val="center"/>
          </w:tcPr>
          <w:p w14:paraId="5D4B485B" w14:textId="77777777" w:rsidR="007D706A" w:rsidRDefault="007D706A" w:rsidP="00F70508">
            <w:pPr>
              <w:pStyle w:val="ParagraphStyle6"/>
              <w:rPr>
                <w:rStyle w:val="CharacterStyle6"/>
              </w:rPr>
            </w:pPr>
            <w:r>
              <w:rPr>
                <w:rStyle w:val="CharacterStyle6"/>
              </w:rPr>
              <w:t>136.000,00</w:t>
            </w:r>
          </w:p>
        </w:tc>
        <w:tc>
          <w:tcPr>
            <w:tcW w:w="1395" w:type="dxa"/>
            <w:tcBorders>
              <w:bottom w:val="single" w:sz="6" w:space="0" w:color="000000"/>
              <w:right w:val="single" w:sz="6" w:space="0" w:color="000000"/>
            </w:tcBorders>
            <w:vAlign w:val="center"/>
          </w:tcPr>
          <w:p w14:paraId="2C23B2E9" w14:textId="77777777" w:rsidR="007D706A" w:rsidRDefault="007D706A" w:rsidP="00F70508">
            <w:pPr>
              <w:pStyle w:val="ParagraphStyle6"/>
              <w:rPr>
                <w:rStyle w:val="CharacterStyle6"/>
              </w:rPr>
            </w:pPr>
            <w:r>
              <w:rPr>
                <w:rStyle w:val="CharacterStyle6"/>
              </w:rPr>
              <w:t>136.000,00</w:t>
            </w:r>
          </w:p>
        </w:tc>
      </w:tr>
      <w:tr w:rsidR="007D706A" w14:paraId="12AB161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1982D03"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2603BA03"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7803CA78"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47B6570" w14:textId="77777777" w:rsidR="007D706A" w:rsidRDefault="007D706A" w:rsidP="00F70508">
            <w:pPr>
              <w:pStyle w:val="ParagraphStyle9"/>
              <w:rPr>
                <w:rStyle w:val="CharacterStyle9"/>
              </w:rPr>
            </w:pPr>
            <w:r>
              <w:rPr>
                <w:rStyle w:val="CharacterStyle9"/>
              </w:rPr>
              <w:t>1.000,00</w:t>
            </w:r>
          </w:p>
        </w:tc>
        <w:tc>
          <w:tcPr>
            <w:tcW w:w="1395" w:type="dxa"/>
            <w:tcBorders>
              <w:bottom w:val="single" w:sz="6" w:space="0" w:color="000000"/>
              <w:right w:val="single" w:sz="6" w:space="0" w:color="000000"/>
            </w:tcBorders>
            <w:vAlign w:val="center"/>
          </w:tcPr>
          <w:p w14:paraId="4CEF5FAA" w14:textId="77777777" w:rsidR="007D706A" w:rsidRDefault="007D706A" w:rsidP="00F70508">
            <w:pPr>
              <w:pStyle w:val="ParagraphStyle9"/>
              <w:rPr>
                <w:rStyle w:val="CharacterStyle9"/>
              </w:rPr>
            </w:pPr>
            <w:r>
              <w:rPr>
                <w:rStyle w:val="CharacterStyle9"/>
              </w:rPr>
              <w:t>3.000,00</w:t>
            </w:r>
          </w:p>
        </w:tc>
        <w:tc>
          <w:tcPr>
            <w:tcW w:w="1395" w:type="dxa"/>
            <w:tcBorders>
              <w:bottom w:val="single" w:sz="6" w:space="0" w:color="000000"/>
              <w:right w:val="single" w:sz="6" w:space="0" w:color="000000"/>
            </w:tcBorders>
            <w:vAlign w:val="center"/>
          </w:tcPr>
          <w:p w14:paraId="1635DEC4" w14:textId="77777777" w:rsidR="007D706A" w:rsidRDefault="007D706A" w:rsidP="00F70508">
            <w:pPr>
              <w:pStyle w:val="ParagraphStyle9"/>
              <w:rPr>
                <w:rStyle w:val="CharacterStyle9"/>
              </w:rPr>
            </w:pPr>
            <w:r>
              <w:rPr>
                <w:rStyle w:val="CharacterStyle9"/>
              </w:rPr>
              <w:t>2.000,00</w:t>
            </w:r>
          </w:p>
        </w:tc>
        <w:tc>
          <w:tcPr>
            <w:tcW w:w="1395" w:type="dxa"/>
            <w:tcBorders>
              <w:bottom w:val="single" w:sz="6" w:space="0" w:color="000000"/>
              <w:right w:val="single" w:sz="6" w:space="0" w:color="000000"/>
            </w:tcBorders>
            <w:vAlign w:val="center"/>
          </w:tcPr>
          <w:p w14:paraId="2BAFCF29" w14:textId="77777777" w:rsidR="007D706A" w:rsidRDefault="007D706A" w:rsidP="00F70508">
            <w:pPr>
              <w:pStyle w:val="ParagraphStyle9"/>
              <w:rPr>
                <w:rStyle w:val="CharacterStyle9"/>
              </w:rPr>
            </w:pPr>
            <w:r>
              <w:rPr>
                <w:rStyle w:val="CharacterStyle9"/>
              </w:rPr>
              <w:t>2.000,00</w:t>
            </w:r>
          </w:p>
        </w:tc>
      </w:tr>
      <w:tr w:rsidR="007D706A" w14:paraId="14B910A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87B1AB1"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35BBC3D4"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7F54797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6C41E05" w14:textId="77777777" w:rsidR="007D706A" w:rsidRDefault="007D706A" w:rsidP="00F70508">
            <w:pPr>
              <w:pStyle w:val="ParagraphStyle12"/>
              <w:rPr>
                <w:rStyle w:val="CharacterStyle12"/>
              </w:rPr>
            </w:pPr>
            <w:r>
              <w:rPr>
                <w:rStyle w:val="CharacterStyle12"/>
              </w:rPr>
              <w:t>1.000,00</w:t>
            </w:r>
          </w:p>
        </w:tc>
        <w:tc>
          <w:tcPr>
            <w:tcW w:w="1395" w:type="dxa"/>
            <w:tcBorders>
              <w:bottom w:val="single" w:sz="6" w:space="0" w:color="000000"/>
              <w:right w:val="single" w:sz="6" w:space="0" w:color="000000"/>
            </w:tcBorders>
            <w:vAlign w:val="center"/>
          </w:tcPr>
          <w:p w14:paraId="0CC09FBA" w14:textId="77777777" w:rsidR="007D706A" w:rsidRDefault="007D706A" w:rsidP="00F70508">
            <w:pPr>
              <w:pStyle w:val="ParagraphStyle12"/>
              <w:rPr>
                <w:rStyle w:val="CharacterStyle12"/>
              </w:rPr>
            </w:pPr>
            <w:r>
              <w:rPr>
                <w:rStyle w:val="CharacterStyle12"/>
              </w:rPr>
              <w:t>3.000,00</w:t>
            </w:r>
          </w:p>
        </w:tc>
        <w:tc>
          <w:tcPr>
            <w:tcW w:w="1395" w:type="dxa"/>
            <w:tcBorders>
              <w:bottom w:val="single" w:sz="6" w:space="0" w:color="000000"/>
              <w:right w:val="single" w:sz="6" w:space="0" w:color="000000"/>
            </w:tcBorders>
            <w:vAlign w:val="center"/>
          </w:tcPr>
          <w:p w14:paraId="54BC6A5A" w14:textId="77777777" w:rsidR="007D706A" w:rsidRDefault="007D706A" w:rsidP="00F70508">
            <w:pPr>
              <w:pStyle w:val="ParagraphStyle12"/>
              <w:rPr>
                <w:rStyle w:val="CharacterStyle12"/>
              </w:rPr>
            </w:pPr>
            <w:r>
              <w:rPr>
                <w:rStyle w:val="CharacterStyle12"/>
              </w:rPr>
              <w:t>2.000,00</w:t>
            </w:r>
          </w:p>
        </w:tc>
        <w:tc>
          <w:tcPr>
            <w:tcW w:w="1395" w:type="dxa"/>
            <w:tcBorders>
              <w:bottom w:val="single" w:sz="6" w:space="0" w:color="000000"/>
              <w:right w:val="single" w:sz="6" w:space="0" w:color="000000"/>
            </w:tcBorders>
            <w:vAlign w:val="center"/>
          </w:tcPr>
          <w:p w14:paraId="5B48D8FC" w14:textId="77777777" w:rsidR="007D706A" w:rsidRDefault="007D706A" w:rsidP="00F70508">
            <w:pPr>
              <w:pStyle w:val="ParagraphStyle12"/>
              <w:rPr>
                <w:rStyle w:val="CharacterStyle12"/>
              </w:rPr>
            </w:pPr>
            <w:r>
              <w:rPr>
                <w:rStyle w:val="CharacterStyle12"/>
              </w:rPr>
              <w:t>2.000,00</w:t>
            </w:r>
          </w:p>
        </w:tc>
      </w:tr>
      <w:tr w:rsidR="007D706A" w14:paraId="06A7217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AC130C9" w14:textId="77777777" w:rsidR="007D706A" w:rsidRDefault="007D706A" w:rsidP="00F70508">
            <w:pPr>
              <w:pStyle w:val="ParagraphStyle10"/>
              <w:rPr>
                <w:rStyle w:val="CharacterStyle10"/>
              </w:rPr>
            </w:pPr>
            <w:r>
              <w:rPr>
                <w:rStyle w:val="CharacterStyle10"/>
              </w:rPr>
              <w:t>42</w:t>
            </w:r>
          </w:p>
        </w:tc>
        <w:tc>
          <w:tcPr>
            <w:tcW w:w="4995" w:type="dxa"/>
            <w:tcBorders>
              <w:bottom w:val="single" w:sz="6" w:space="0" w:color="000000"/>
              <w:right w:val="single" w:sz="6" w:space="0" w:color="000000"/>
            </w:tcBorders>
            <w:vAlign w:val="center"/>
          </w:tcPr>
          <w:p w14:paraId="00795F7F"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4B5141C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7549948" w14:textId="77777777" w:rsidR="007D706A" w:rsidRDefault="007D706A" w:rsidP="00F70508">
            <w:pPr>
              <w:pStyle w:val="ParagraphStyle12"/>
              <w:rPr>
                <w:rStyle w:val="CharacterStyle12"/>
              </w:rPr>
            </w:pPr>
            <w:r>
              <w:rPr>
                <w:rStyle w:val="CharacterStyle12"/>
              </w:rPr>
              <w:t>1.000,00</w:t>
            </w:r>
          </w:p>
        </w:tc>
        <w:tc>
          <w:tcPr>
            <w:tcW w:w="1395" w:type="dxa"/>
            <w:tcBorders>
              <w:bottom w:val="single" w:sz="6" w:space="0" w:color="000000"/>
              <w:right w:val="single" w:sz="6" w:space="0" w:color="000000"/>
            </w:tcBorders>
            <w:vAlign w:val="center"/>
          </w:tcPr>
          <w:p w14:paraId="53890A04" w14:textId="77777777" w:rsidR="007D706A" w:rsidRDefault="007D706A" w:rsidP="00F70508">
            <w:pPr>
              <w:pStyle w:val="ParagraphStyle12"/>
              <w:rPr>
                <w:rStyle w:val="CharacterStyle12"/>
              </w:rPr>
            </w:pPr>
            <w:r>
              <w:rPr>
                <w:rStyle w:val="CharacterStyle12"/>
              </w:rPr>
              <w:t>3.000,00</w:t>
            </w:r>
          </w:p>
        </w:tc>
        <w:tc>
          <w:tcPr>
            <w:tcW w:w="1395" w:type="dxa"/>
            <w:tcBorders>
              <w:bottom w:val="single" w:sz="6" w:space="0" w:color="000000"/>
              <w:right w:val="single" w:sz="6" w:space="0" w:color="000000"/>
            </w:tcBorders>
            <w:vAlign w:val="center"/>
          </w:tcPr>
          <w:p w14:paraId="4B521165" w14:textId="77777777" w:rsidR="007D706A" w:rsidRDefault="007D706A" w:rsidP="00F70508">
            <w:pPr>
              <w:pStyle w:val="ParagraphStyle12"/>
              <w:rPr>
                <w:rStyle w:val="CharacterStyle12"/>
              </w:rPr>
            </w:pPr>
            <w:r>
              <w:rPr>
                <w:rStyle w:val="CharacterStyle12"/>
              </w:rPr>
              <w:t>2.000,00</w:t>
            </w:r>
          </w:p>
        </w:tc>
        <w:tc>
          <w:tcPr>
            <w:tcW w:w="1395" w:type="dxa"/>
            <w:tcBorders>
              <w:bottom w:val="single" w:sz="6" w:space="0" w:color="000000"/>
              <w:right w:val="single" w:sz="6" w:space="0" w:color="000000"/>
            </w:tcBorders>
            <w:vAlign w:val="center"/>
          </w:tcPr>
          <w:p w14:paraId="267236A5" w14:textId="77777777" w:rsidR="007D706A" w:rsidRDefault="007D706A" w:rsidP="00F70508">
            <w:pPr>
              <w:pStyle w:val="ParagraphStyle12"/>
              <w:rPr>
                <w:rStyle w:val="CharacterStyle12"/>
              </w:rPr>
            </w:pPr>
            <w:r>
              <w:rPr>
                <w:rStyle w:val="CharacterStyle12"/>
              </w:rPr>
              <w:t>2.000,00</w:t>
            </w:r>
          </w:p>
        </w:tc>
      </w:tr>
      <w:tr w:rsidR="007D706A" w14:paraId="769E234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4BAF385" w14:textId="77777777" w:rsidR="007D706A" w:rsidRDefault="007D706A" w:rsidP="00F70508">
            <w:pPr>
              <w:pStyle w:val="ParagraphStyle7"/>
              <w:rPr>
                <w:rStyle w:val="CharacterStyle7"/>
              </w:rPr>
            </w:pPr>
            <w:r>
              <w:rPr>
                <w:rStyle w:val="CharacterStyle7"/>
              </w:rPr>
              <w:t>Izvor financiranja 40</w:t>
            </w:r>
          </w:p>
        </w:tc>
        <w:tc>
          <w:tcPr>
            <w:tcW w:w="4995" w:type="dxa"/>
            <w:tcBorders>
              <w:bottom w:val="single" w:sz="6" w:space="0" w:color="000000"/>
              <w:right w:val="single" w:sz="6" w:space="0" w:color="000000"/>
            </w:tcBorders>
            <w:vAlign w:val="center"/>
          </w:tcPr>
          <w:p w14:paraId="231D1EBE" w14:textId="77777777" w:rsidR="007D706A" w:rsidRDefault="007D706A" w:rsidP="00F70508">
            <w:pPr>
              <w:pStyle w:val="ParagraphStyle8"/>
              <w:rPr>
                <w:rStyle w:val="CharacterStyle8"/>
              </w:rPr>
            </w:pPr>
            <w:r>
              <w:rPr>
                <w:rStyle w:val="CharacterStyle8"/>
              </w:rPr>
              <w:t>Prihodi od komunalne naknade i komunalnog doprinosa</w:t>
            </w:r>
          </w:p>
        </w:tc>
        <w:tc>
          <w:tcPr>
            <w:tcW w:w="1395" w:type="dxa"/>
            <w:tcBorders>
              <w:bottom w:val="single" w:sz="6" w:space="0" w:color="000000"/>
              <w:right w:val="single" w:sz="6" w:space="0" w:color="000000"/>
            </w:tcBorders>
            <w:vAlign w:val="center"/>
          </w:tcPr>
          <w:p w14:paraId="2F31284E"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BE4048B"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58EF18F" w14:textId="77777777" w:rsidR="007D706A" w:rsidRDefault="007D706A" w:rsidP="00F70508">
            <w:pPr>
              <w:pStyle w:val="ParagraphStyle9"/>
              <w:rPr>
                <w:rStyle w:val="CharacterStyle9"/>
              </w:rPr>
            </w:pPr>
            <w:r>
              <w:rPr>
                <w:rStyle w:val="CharacterStyle9"/>
              </w:rPr>
              <w:t>133.000,00</w:t>
            </w:r>
          </w:p>
        </w:tc>
        <w:tc>
          <w:tcPr>
            <w:tcW w:w="1395" w:type="dxa"/>
            <w:tcBorders>
              <w:bottom w:val="single" w:sz="6" w:space="0" w:color="000000"/>
              <w:right w:val="single" w:sz="6" w:space="0" w:color="000000"/>
            </w:tcBorders>
            <w:vAlign w:val="center"/>
          </w:tcPr>
          <w:p w14:paraId="17D5C31C" w14:textId="77777777" w:rsidR="007D706A" w:rsidRDefault="007D706A" w:rsidP="00F70508">
            <w:pPr>
              <w:pStyle w:val="ParagraphStyle9"/>
              <w:rPr>
                <w:rStyle w:val="CharacterStyle9"/>
              </w:rPr>
            </w:pPr>
            <w:r>
              <w:rPr>
                <w:rStyle w:val="CharacterStyle9"/>
              </w:rPr>
              <w:t>134.000,00</w:t>
            </w:r>
          </w:p>
        </w:tc>
        <w:tc>
          <w:tcPr>
            <w:tcW w:w="1395" w:type="dxa"/>
            <w:tcBorders>
              <w:bottom w:val="single" w:sz="6" w:space="0" w:color="000000"/>
              <w:right w:val="single" w:sz="6" w:space="0" w:color="000000"/>
            </w:tcBorders>
            <w:vAlign w:val="center"/>
          </w:tcPr>
          <w:p w14:paraId="7EAAB992" w14:textId="77777777" w:rsidR="007D706A" w:rsidRDefault="007D706A" w:rsidP="00F70508">
            <w:pPr>
              <w:pStyle w:val="ParagraphStyle9"/>
              <w:rPr>
                <w:rStyle w:val="CharacterStyle9"/>
              </w:rPr>
            </w:pPr>
            <w:r>
              <w:rPr>
                <w:rStyle w:val="CharacterStyle9"/>
              </w:rPr>
              <w:t>134.000,00</w:t>
            </w:r>
          </w:p>
        </w:tc>
      </w:tr>
      <w:tr w:rsidR="007D706A" w14:paraId="7D11AF5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BBC43C5"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7080A279"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11E5E7D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BFC859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19EB5B2" w14:textId="77777777" w:rsidR="007D706A" w:rsidRDefault="007D706A" w:rsidP="00F70508">
            <w:pPr>
              <w:pStyle w:val="ParagraphStyle12"/>
              <w:rPr>
                <w:rStyle w:val="CharacterStyle12"/>
              </w:rPr>
            </w:pPr>
            <w:r>
              <w:rPr>
                <w:rStyle w:val="CharacterStyle12"/>
              </w:rPr>
              <w:t>70.000,00</w:t>
            </w:r>
          </w:p>
        </w:tc>
        <w:tc>
          <w:tcPr>
            <w:tcW w:w="1395" w:type="dxa"/>
            <w:tcBorders>
              <w:bottom w:val="single" w:sz="6" w:space="0" w:color="000000"/>
              <w:right w:val="single" w:sz="6" w:space="0" w:color="000000"/>
            </w:tcBorders>
            <w:vAlign w:val="center"/>
          </w:tcPr>
          <w:p w14:paraId="20AD4974" w14:textId="77777777" w:rsidR="007D706A" w:rsidRDefault="007D706A" w:rsidP="00F70508">
            <w:pPr>
              <w:pStyle w:val="ParagraphStyle12"/>
              <w:rPr>
                <w:rStyle w:val="CharacterStyle12"/>
              </w:rPr>
            </w:pPr>
            <w:r>
              <w:rPr>
                <w:rStyle w:val="CharacterStyle12"/>
              </w:rPr>
              <w:t>76.350,00</w:t>
            </w:r>
          </w:p>
        </w:tc>
        <w:tc>
          <w:tcPr>
            <w:tcW w:w="1395" w:type="dxa"/>
            <w:tcBorders>
              <w:bottom w:val="single" w:sz="6" w:space="0" w:color="000000"/>
              <w:right w:val="single" w:sz="6" w:space="0" w:color="000000"/>
            </w:tcBorders>
            <w:vAlign w:val="center"/>
          </w:tcPr>
          <w:p w14:paraId="32E7AE2C" w14:textId="77777777" w:rsidR="007D706A" w:rsidRDefault="007D706A" w:rsidP="00F70508">
            <w:pPr>
              <w:pStyle w:val="ParagraphStyle12"/>
              <w:rPr>
                <w:rStyle w:val="CharacterStyle12"/>
              </w:rPr>
            </w:pPr>
            <w:r>
              <w:rPr>
                <w:rStyle w:val="CharacterStyle12"/>
              </w:rPr>
              <w:t>76.350,00</w:t>
            </w:r>
          </w:p>
        </w:tc>
      </w:tr>
      <w:tr w:rsidR="007D706A" w14:paraId="455C1EB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A7F8E65"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7A8675C1"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13606EB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5852BC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0EDCA23" w14:textId="77777777" w:rsidR="007D706A" w:rsidRDefault="007D706A" w:rsidP="00F70508">
            <w:pPr>
              <w:pStyle w:val="ParagraphStyle12"/>
              <w:rPr>
                <w:rStyle w:val="CharacterStyle12"/>
              </w:rPr>
            </w:pPr>
            <w:r>
              <w:rPr>
                <w:rStyle w:val="CharacterStyle12"/>
              </w:rPr>
              <w:t>70.000,00</w:t>
            </w:r>
          </w:p>
        </w:tc>
        <w:tc>
          <w:tcPr>
            <w:tcW w:w="1395" w:type="dxa"/>
            <w:tcBorders>
              <w:bottom w:val="single" w:sz="6" w:space="0" w:color="000000"/>
              <w:right w:val="single" w:sz="6" w:space="0" w:color="000000"/>
            </w:tcBorders>
            <w:vAlign w:val="center"/>
          </w:tcPr>
          <w:p w14:paraId="0D706DF8" w14:textId="77777777" w:rsidR="007D706A" w:rsidRDefault="007D706A" w:rsidP="00F70508">
            <w:pPr>
              <w:pStyle w:val="ParagraphStyle12"/>
              <w:rPr>
                <w:rStyle w:val="CharacterStyle12"/>
              </w:rPr>
            </w:pPr>
            <w:r>
              <w:rPr>
                <w:rStyle w:val="CharacterStyle12"/>
              </w:rPr>
              <w:t>76.350,00</w:t>
            </w:r>
          </w:p>
        </w:tc>
        <w:tc>
          <w:tcPr>
            <w:tcW w:w="1395" w:type="dxa"/>
            <w:tcBorders>
              <w:bottom w:val="single" w:sz="6" w:space="0" w:color="000000"/>
              <w:right w:val="single" w:sz="6" w:space="0" w:color="000000"/>
            </w:tcBorders>
            <w:vAlign w:val="center"/>
          </w:tcPr>
          <w:p w14:paraId="2D3780FC" w14:textId="77777777" w:rsidR="007D706A" w:rsidRDefault="007D706A" w:rsidP="00F70508">
            <w:pPr>
              <w:pStyle w:val="ParagraphStyle12"/>
              <w:rPr>
                <w:rStyle w:val="CharacterStyle12"/>
              </w:rPr>
            </w:pPr>
            <w:r>
              <w:rPr>
                <w:rStyle w:val="CharacterStyle12"/>
              </w:rPr>
              <w:t>76.350,00</w:t>
            </w:r>
          </w:p>
        </w:tc>
      </w:tr>
      <w:tr w:rsidR="007D706A" w14:paraId="67649CD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A13EE4E"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69AA28A2"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3FE5CA4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D8D260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AF8FBDD" w14:textId="77777777" w:rsidR="007D706A" w:rsidRDefault="007D706A" w:rsidP="00F70508">
            <w:pPr>
              <w:pStyle w:val="ParagraphStyle12"/>
              <w:rPr>
                <w:rStyle w:val="CharacterStyle12"/>
              </w:rPr>
            </w:pPr>
            <w:r>
              <w:rPr>
                <w:rStyle w:val="CharacterStyle12"/>
              </w:rPr>
              <w:t>63.000,00</w:t>
            </w:r>
          </w:p>
        </w:tc>
        <w:tc>
          <w:tcPr>
            <w:tcW w:w="1395" w:type="dxa"/>
            <w:tcBorders>
              <w:bottom w:val="single" w:sz="6" w:space="0" w:color="000000"/>
              <w:right w:val="single" w:sz="6" w:space="0" w:color="000000"/>
            </w:tcBorders>
            <w:vAlign w:val="center"/>
          </w:tcPr>
          <w:p w14:paraId="1CE329F9" w14:textId="77777777" w:rsidR="007D706A" w:rsidRDefault="007D706A" w:rsidP="00F70508">
            <w:pPr>
              <w:pStyle w:val="ParagraphStyle12"/>
              <w:rPr>
                <w:rStyle w:val="CharacterStyle12"/>
              </w:rPr>
            </w:pPr>
            <w:r>
              <w:rPr>
                <w:rStyle w:val="CharacterStyle12"/>
              </w:rPr>
              <w:t>57.650,00</w:t>
            </w:r>
          </w:p>
        </w:tc>
        <w:tc>
          <w:tcPr>
            <w:tcW w:w="1395" w:type="dxa"/>
            <w:tcBorders>
              <w:bottom w:val="single" w:sz="6" w:space="0" w:color="000000"/>
              <w:right w:val="single" w:sz="6" w:space="0" w:color="000000"/>
            </w:tcBorders>
            <w:vAlign w:val="center"/>
          </w:tcPr>
          <w:p w14:paraId="51CE0362" w14:textId="77777777" w:rsidR="007D706A" w:rsidRDefault="007D706A" w:rsidP="00F70508">
            <w:pPr>
              <w:pStyle w:val="ParagraphStyle12"/>
              <w:rPr>
                <w:rStyle w:val="CharacterStyle12"/>
              </w:rPr>
            </w:pPr>
            <w:r>
              <w:rPr>
                <w:rStyle w:val="CharacterStyle12"/>
              </w:rPr>
              <w:t>57.650,00</w:t>
            </w:r>
          </w:p>
        </w:tc>
      </w:tr>
      <w:tr w:rsidR="007D706A" w14:paraId="4090ED3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9E1E6EF" w14:textId="77777777" w:rsidR="007D706A" w:rsidRDefault="007D706A" w:rsidP="00F70508">
            <w:pPr>
              <w:pStyle w:val="ParagraphStyle10"/>
              <w:rPr>
                <w:rStyle w:val="CharacterStyle10"/>
              </w:rPr>
            </w:pPr>
            <w:r>
              <w:rPr>
                <w:rStyle w:val="CharacterStyle10"/>
              </w:rPr>
              <w:t>42</w:t>
            </w:r>
          </w:p>
        </w:tc>
        <w:tc>
          <w:tcPr>
            <w:tcW w:w="4995" w:type="dxa"/>
            <w:tcBorders>
              <w:bottom w:val="single" w:sz="6" w:space="0" w:color="000000"/>
              <w:right w:val="single" w:sz="6" w:space="0" w:color="000000"/>
            </w:tcBorders>
            <w:vAlign w:val="center"/>
          </w:tcPr>
          <w:p w14:paraId="0A6517D9"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63509C1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680603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5F8EE1C" w14:textId="77777777" w:rsidR="007D706A" w:rsidRDefault="007D706A" w:rsidP="00F70508">
            <w:pPr>
              <w:pStyle w:val="ParagraphStyle12"/>
              <w:rPr>
                <w:rStyle w:val="CharacterStyle12"/>
              </w:rPr>
            </w:pPr>
            <w:r>
              <w:rPr>
                <w:rStyle w:val="CharacterStyle12"/>
              </w:rPr>
              <w:t>63.000,00</w:t>
            </w:r>
          </w:p>
        </w:tc>
        <w:tc>
          <w:tcPr>
            <w:tcW w:w="1395" w:type="dxa"/>
            <w:tcBorders>
              <w:bottom w:val="single" w:sz="6" w:space="0" w:color="000000"/>
              <w:right w:val="single" w:sz="6" w:space="0" w:color="000000"/>
            </w:tcBorders>
            <w:vAlign w:val="center"/>
          </w:tcPr>
          <w:p w14:paraId="59D37BDE" w14:textId="77777777" w:rsidR="007D706A" w:rsidRDefault="007D706A" w:rsidP="00F70508">
            <w:pPr>
              <w:pStyle w:val="ParagraphStyle12"/>
              <w:rPr>
                <w:rStyle w:val="CharacterStyle12"/>
              </w:rPr>
            </w:pPr>
            <w:r>
              <w:rPr>
                <w:rStyle w:val="CharacterStyle12"/>
              </w:rPr>
              <w:t>57.650,00</w:t>
            </w:r>
          </w:p>
        </w:tc>
        <w:tc>
          <w:tcPr>
            <w:tcW w:w="1395" w:type="dxa"/>
            <w:tcBorders>
              <w:bottom w:val="single" w:sz="6" w:space="0" w:color="000000"/>
              <w:right w:val="single" w:sz="6" w:space="0" w:color="000000"/>
            </w:tcBorders>
            <w:vAlign w:val="center"/>
          </w:tcPr>
          <w:p w14:paraId="2143C95E" w14:textId="77777777" w:rsidR="007D706A" w:rsidRDefault="007D706A" w:rsidP="00F70508">
            <w:pPr>
              <w:pStyle w:val="ParagraphStyle12"/>
              <w:rPr>
                <w:rStyle w:val="CharacterStyle12"/>
              </w:rPr>
            </w:pPr>
            <w:r>
              <w:rPr>
                <w:rStyle w:val="CharacterStyle12"/>
              </w:rPr>
              <w:t>57.650,00</w:t>
            </w:r>
          </w:p>
        </w:tc>
      </w:tr>
      <w:tr w:rsidR="007D706A" w14:paraId="4124D46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2E86D09" w14:textId="77777777" w:rsidR="007D706A" w:rsidRDefault="007D706A" w:rsidP="00F70508">
            <w:pPr>
              <w:pStyle w:val="ParagraphStyle7"/>
              <w:rPr>
                <w:rStyle w:val="CharacterStyle7"/>
              </w:rPr>
            </w:pPr>
            <w:r>
              <w:rPr>
                <w:rStyle w:val="CharacterStyle7"/>
              </w:rPr>
              <w:t>Izvor financiranja 41</w:t>
            </w:r>
          </w:p>
        </w:tc>
        <w:tc>
          <w:tcPr>
            <w:tcW w:w="4995" w:type="dxa"/>
            <w:tcBorders>
              <w:bottom w:val="single" w:sz="6" w:space="0" w:color="000000"/>
              <w:right w:val="single" w:sz="6" w:space="0" w:color="000000"/>
            </w:tcBorders>
            <w:vAlign w:val="center"/>
          </w:tcPr>
          <w:p w14:paraId="79ABABE3" w14:textId="77777777" w:rsidR="007D706A" w:rsidRDefault="007D706A" w:rsidP="00F70508">
            <w:pPr>
              <w:pStyle w:val="ParagraphStyle8"/>
              <w:rPr>
                <w:rStyle w:val="CharacterStyle8"/>
              </w:rPr>
            </w:pPr>
            <w:r>
              <w:rPr>
                <w:rStyle w:val="CharacterStyle8"/>
              </w:rPr>
              <w:t>Prihodi za posebne namjene</w:t>
            </w:r>
          </w:p>
        </w:tc>
        <w:tc>
          <w:tcPr>
            <w:tcW w:w="1395" w:type="dxa"/>
            <w:tcBorders>
              <w:bottom w:val="single" w:sz="6" w:space="0" w:color="000000"/>
              <w:right w:val="single" w:sz="6" w:space="0" w:color="000000"/>
            </w:tcBorders>
            <w:vAlign w:val="center"/>
          </w:tcPr>
          <w:p w14:paraId="49EE1774"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E069DDF" w14:textId="77777777" w:rsidR="007D706A" w:rsidRDefault="007D706A" w:rsidP="00F70508">
            <w:pPr>
              <w:pStyle w:val="ParagraphStyle9"/>
              <w:rPr>
                <w:rStyle w:val="CharacterStyle9"/>
              </w:rPr>
            </w:pPr>
            <w:r>
              <w:rPr>
                <w:rStyle w:val="CharacterStyle9"/>
              </w:rPr>
              <w:t>135.210,00</w:t>
            </w:r>
          </w:p>
        </w:tc>
        <w:tc>
          <w:tcPr>
            <w:tcW w:w="1395" w:type="dxa"/>
            <w:tcBorders>
              <w:bottom w:val="single" w:sz="6" w:space="0" w:color="000000"/>
              <w:right w:val="single" w:sz="6" w:space="0" w:color="000000"/>
            </w:tcBorders>
            <w:vAlign w:val="center"/>
          </w:tcPr>
          <w:p w14:paraId="6EE360F4"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40B74E4"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690193B" w14:textId="77777777" w:rsidR="007D706A" w:rsidRDefault="007D706A" w:rsidP="00F70508">
            <w:pPr>
              <w:pStyle w:val="ParagraphStyle9"/>
              <w:rPr>
                <w:rStyle w:val="CharacterStyle9"/>
              </w:rPr>
            </w:pPr>
            <w:r>
              <w:rPr>
                <w:rStyle w:val="CharacterStyle9"/>
              </w:rPr>
              <w:t>0,00</w:t>
            </w:r>
          </w:p>
        </w:tc>
      </w:tr>
      <w:tr w:rsidR="007D706A" w14:paraId="40A8982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CF684A9"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584C152B"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79D5014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B9F5895" w14:textId="77777777" w:rsidR="007D706A" w:rsidRDefault="007D706A" w:rsidP="00F70508">
            <w:pPr>
              <w:pStyle w:val="ParagraphStyle12"/>
              <w:rPr>
                <w:rStyle w:val="CharacterStyle12"/>
              </w:rPr>
            </w:pPr>
            <w:r>
              <w:rPr>
                <w:rStyle w:val="CharacterStyle12"/>
              </w:rPr>
              <w:t>66.910,00</w:t>
            </w:r>
          </w:p>
        </w:tc>
        <w:tc>
          <w:tcPr>
            <w:tcW w:w="1395" w:type="dxa"/>
            <w:tcBorders>
              <w:bottom w:val="single" w:sz="6" w:space="0" w:color="000000"/>
              <w:right w:val="single" w:sz="6" w:space="0" w:color="000000"/>
            </w:tcBorders>
            <w:vAlign w:val="center"/>
          </w:tcPr>
          <w:p w14:paraId="2B16512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233225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EB9957C" w14:textId="77777777" w:rsidR="007D706A" w:rsidRDefault="007D706A" w:rsidP="00F70508">
            <w:pPr>
              <w:pStyle w:val="ParagraphStyle12"/>
              <w:rPr>
                <w:rStyle w:val="CharacterStyle12"/>
              </w:rPr>
            </w:pPr>
            <w:r>
              <w:rPr>
                <w:rStyle w:val="CharacterStyle12"/>
              </w:rPr>
              <w:t>0,00</w:t>
            </w:r>
          </w:p>
        </w:tc>
      </w:tr>
      <w:tr w:rsidR="007D706A" w14:paraId="4F96D83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EE0FAEA"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38069D14"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70C4D95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AD2A69C" w14:textId="77777777" w:rsidR="007D706A" w:rsidRDefault="007D706A" w:rsidP="00F70508">
            <w:pPr>
              <w:pStyle w:val="ParagraphStyle12"/>
              <w:rPr>
                <w:rStyle w:val="CharacterStyle12"/>
              </w:rPr>
            </w:pPr>
            <w:r>
              <w:rPr>
                <w:rStyle w:val="CharacterStyle12"/>
              </w:rPr>
              <w:t>66.910,00</w:t>
            </w:r>
          </w:p>
        </w:tc>
        <w:tc>
          <w:tcPr>
            <w:tcW w:w="1395" w:type="dxa"/>
            <w:tcBorders>
              <w:bottom w:val="single" w:sz="6" w:space="0" w:color="000000"/>
              <w:right w:val="single" w:sz="6" w:space="0" w:color="000000"/>
            </w:tcBorders>
            <w:vAlign w:val="center"/>
          </w:tcPr>
          <w:p w14:paraId="0E4E9DF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90DF64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7ADBF76" w14:textId="77777777" w:rsidR="007D706A" w:rsidRDefault="007D706A" w:rsidP="00F70508">
            <w:pPr>
              <w:pStyle w:val="ParagraphStyle12"/>
              <w:rPr>
                <w:rStyle w:val="CharacterStyle12"/>
              </w:rPr>
            </w:pPr>
            <w:r>
              <w:rPr>
                <w:rStyle w:val="CharacterStyle12"/>
              </w:rPr>
              <w:t>0,00</w:t>
            </w:r>
          </w:p>
        </w:tc>
      </w:tr>
      <w:tr w:rsidR="007D706A" w14:paraId="716955D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8F1F20C"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24DFB36B"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34F2C96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125D487" w14:textId="77777777" w:rsidR="007D706A" w:rsidRDefault="007D706A" w:rsidP="00F70508">
            <w:pPr>
              <w:pStyle w:val="ParagraphStyle12"/>
              <w:rPr>
                <w:rStyle w:val="CharacterStyle12"/>
              </w:rPr>
            </w:pPr>
            <w:r>
              <w:rPr>
                <w:rStyle w:val="CharacterStyle12"/>
              </w:rPr>
              <w:t>68.300,00</w:t>
            </w:r>
          </w:p>
        </w:tc>
        <w:tc>
          <w:tcPr>
            <w:tcW w:w="1395" w:type="dxa"/>
            <w:tcBorders>
              <w:bottom w:val="single" w:sz="6" w:space="0" w:color="000000"/>
              <w:right w:val="single" w:sz="6" w:space="0" w:color="000000"/>
            </w:tcBorders>
            <w:vAlign w:val="center"/>
          </w:tcPr>
          <w:p w14:paraId="035723E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108F4C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FA2BE40" w14:textId="77777777" w:rsidR="007D706A" w:rsidRDefault="007D706A" w:rsidP="00F70508">
            <w:pPr>
              <w:pStyle w:val="ParagraphStyle12"/>
              <w:rPr>
                <w:rStyle w:val="CharacterStyle12"/>
              </w:rPr>
            </w:pPr>
            <w:r>
              <w:rPr>
                <w:rStyle w:val="CharacterStyle12"/>
              </w:rPr>
              <w:t>0,00</w:t>
            </w:r>
          </w:p>
        </w:tc>
      </w:tr>
      <w:tr w:rsidR="007D706A" w14:paraId="71E8A70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10E3872" w14:textId="77777777" w:rsidR="007D706A" w:rsidRDefault="007D706A" w:rsidP="00F70508">
            <w:pPr>
              <w:pStyle w:val="ParagraphStyle10"/>
              <w:rPr>
                <w:rStyle w:val="CharacterStyle10"/>
              </w:rPr>
            </w:pPr>
            <w:r>
              <w:rPr>
                <w:rStyle w:val="CharacterStyle10"/>
              </w:rPr>
              <w:t>42</w:t>
            </w:r>
          </w:p>
        </w:tc>
        <w:tc>
          <w:tcPr>
            <w:tcW w:w="4995" w:type="dxa"/>
            <w:tcBorders>
              <w:bottom w:val="single" w:sz="6" w:space="0" w:color="000000"/>
              <w:right w:val="single" w:sz="6" w:space="0" w:color="000000"/>
            </w:tcBorders>
            <w:vAlign w:val="center"/>
          </w:tcPr>
          <w:p w14:paraId="499861A1"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75E62CD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A52F54C" w14:textId="77777777" w:rsidR="007D706A" w:rsidRDefault="007D706A" w:rsidP="00F70508">
            <w:pPr>
              <w:pStyle w:val="ParagraphStyle12"/>
              <w:rPr>
                <w:rStyle w:val="CharacterStyle12"/>
              </w:rPr>
            </w:pPr>
            <w:r>
              <w:rPr>
                <w:rStyle w:val="CharacterStyle12"/>
              </w:rPr>
              <w:t>68.300,00</w:t>
            </w:r>
          </w:p>
        </w:tc>
        <w:tc>
          <w:tcPr>
            <w:tcW w:w="1395" w:type="dxa"/>
            <w:tcBorders>
              <w:bottom w:val="single" w:sz="6" w:space="0" w:color="000000"/>
              <w:right w:val="single" w:sz="6" w:space="0" w:color="000000"/>
            </w:tcBorders>
            <w:vAlign w:val="center"/>
          </w:tcPr>
          <w:p w14:paraId="7B99194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B6BD39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2A1528D" w14:textId="77777777" w:rsidR="007D706A" w:rsidRDefault="007D706A" w:rsidP="00F70508">
            <w:pPr>
              <w:pStyle w:val="ParagraphStyle12"/>
              <w:rPr>
                <w:rStyle w:val="CharacterStyle12"/>
              </w:rPr>
            </w:pPr>
            <w:r>
              <w:rPr>
                <w:rStyle w:val="CharacterStyle12"/>
              </w:rPr>
              <w:t>0,00</w:t>
            </w:r>
          </w:p>
        </w:tc>
      </w:tr>
      <w:tr w:rsidR="007D706A" w14:paraId="2D67B8C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55C1C59" w14:textId="77777777" w:rsidR="007D706A" w:rsidRDefault="007D706A" w:rsidP="00F70508">
            <w:pPr>
              <w:pStyle w:val="ParagraphStyle4"/>
              <w:rPr>
                <w:rStyle w:val="CharacterStyle4"/>
              </w:rPr>
            </w:pPr>
            <w:r>
              <w:rPr>
                <w:rStyle w:val="CharacterStyle4"/>
              </w:rPr>
              <w:t>PROGRAM    1042</w:t>
            </w:r>
          </w:p>
        </w:tc>
        <w:tc>
          <w:tcPr>
            <w:tcW w:w="4995" w:type="dxa"/>
            <w:tcBorders>
              <w:bottom w:val="single" w:sz="6" w:space="0" w:color="000000"/>
              <w:right w:val="single" w:sz="6" w:space="0" w:color="000000"/>
            </w:tcBorders>
            <w:vAlign w:val="center"/>
          </w:tcPr>
          <w:p w14:paraId="39B8385B" w14:textId="77777777" w:rsidR="007D706A" w:rsidRDefault="007D706A" w:rsidP="00F70508">
            <w:pPr>
              <w:pStyle w:val="ParagraphStyle5"/>
              <w:rPr>
                <w:rStyle w:val="CharacterStyle5"/>
              </w:rPr>
            </w:pPr>
            <w:r>
              <w:rPr>
                <w:rStyle w:val="CharacterStyle5"/>
              </w:rPr>
              <w:t>JAVNE POTREBE U ZAŠTITI I OČUVANJU OKOLIŠA</w:t>
            </w:r>
          </w:p>
        </w:tc>
        <w:tc>
          <w:tcPr>
            <w:tcW w:w="1395" w:type="dxa"/>
            <w:tcBorders>
              <w:bottom w:val="single" w:sz="6" w:space="0" w:color="000000"/>
              <w:right w:val="single" w:sz="6" w:space="0" w:color="000000"/>
            </w:tcBorders>
            <w:vAlign w:val="center"/>
          </w:tcPr>
          <w:p w14:paraId="6B56D379"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7CFBAFAE" w14:textId="77777777" w:rsidR="007D706A" w:rsidRDefault="007D706A" w:rsidP="00F70508">
            <w:pPr>
              <w:pStyle w:val="ParagraphStyle6"/>
              <w:rPr>
                <w:rStyle w:val="CharacterStyle6"/>
              </w:rPr>
            </w:pPr>
            <w:r>
              <w:rPr>
                <w:rStyle w:val="CharacterStyle6"/>
              </w:rPr>
              <w:t>40.000,00</w:t>
            </w:r>
          </w:p>
        </w:tc>
        <w:tc>
          <w:tcPr>
            <w:tcW w:w="1395" w:type="dxa"/>
            <w:tcBorders>
              <w:bottom w:val="single" w:sz="6" w:space="0" w:color="000000"/>
              <w:right w:val="single" w:sz="6" w:space="0" w:color="000000"/>
            </w:tcBorders>
            <w:vAlign w:val="center"/>
          </w:tcPr>
          <w:p w14:paraId="5E8FA79C" w14:textId="77777777" w:rsidR="007D706A" w:rsidRDefault="007D706A" w:rsidP="00F70508">
            <w:pPr>
              <w:pStyle w:val="ParagraphStyle6"/>
              <w:rPr>
                <w:rStyle w:val="CharacterStyle6"/>
              </w:rPr>
            </w:pPr>
            <w:r>
              <w:rPr>
                <w:rStyle w:val="CharacterStyle6"/>
              </w:rPr>
              <w:t>40.000,00</w:t>
            </w:r>
          </w:p>
        </w:tc>
        <w:tc>
          <w:tcPr>
            <w:tcW w:w="1395" w:type="dxa"/>
            <w:tcBorders>
              <w:bottom w:val="single" w:sz="6" w:space="0" w:color="000000"/>
              <w:right w:val="single" w:sz="6" w:space="0" w:color="000000"/>
            </w:tcBorders>
            <w:vAlign w:val="center"/>
          </w:tcPr>
          <w:p w14:paraId="481E002F" w14:textId="77777777" w:rsidR="007D706A" w:rsidRDefault="007D706A" w:rsidP="00F70508">
            <w:pPr>
              <w:pStyle w:val="ParagraphStyle6"/>
              <w:rPr>
                <w:rStyle w:val="CharacterStyle6"/>
              </w:rPr>
            </w:pPr>
            <w:r>
              <w:rPr>
                <w:rStyle w:val="CharacterStyle6"/>
              </w:rPr>
              <w:t>40.000,00</w:t>
            </w:r>
          </w:p>
        </w:tc>
        <w:tc>
          <w:tcPr>
            <w:tcW w:w="1395" w:type="dxa"/>
            <w:tcBorders>
              <w:bottom w:val="single" w:sz="6" w:space="0" w:color="000000"/>
              <w:right w:val="single" w:sz="6" w:space="0" w:color="000000"/>
            </w:tcBorders>
            <w:vAlign w:val="center"/>
          </w:tcPr>
          <w:p w14:paraId="41F9F639" w14:textId="77777777" w:rsidR="007D706A" w:rsidRDefault="007D706A" w:rsidP="00F70508">
            <w:pPr>
              <w:pStyle w:val="ParagraphStyle6"/>
              <w:rPr>
                <w:rStyle w:val="CharacterStyle6"/>
              </w:rPr>
            </w:pPr>
            <w:r>
              <w:rPr>
                <w:rStyle w:val="CharacterStyle6"/>
              </w:rPr>
              <w:t>40.000,00</w:t>
            </w:r>
          </w:p>
        </w:tc>
      </w:tr>
      <w:tr w:rsidR="007D706A" w14:paraId="0EF8A70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F299757" w14:textId="77777777" w:rsidR="007D706A" w:rsidRDefault="007D706A" w:rsidP="00F70508">
            <w:pPr>
              <w:pStyle w:val="ParagraphStyle4"/>
              <w:rPr>
                <w:rStyle w:val="CharacterStyle4"/>
              </w:rPr>
            </w:pPr>
            <w:r>
              <w:rPr>
                <w:rStyle w:val="CharacterStyle4"/>
              </w:rPr>
              <w:t>Kapitalni projekt K104201</w:t>
            </w:r>
          </w:p>
        </w:tc>
        <w:tc>
          <w:tcPr>
            <w:tcW w:w="4995" w:type="dxa"/>
            <w:tcBorders>
              <w:bottom w:val="single" w:sz="6" w:space="0" w:color="000000"/>
              <w:right w:val="single" w:sz="6" w:space="0" w:color="000000"/>
            </w:tcBorders>
            <w:vAlign w:val="center"/>
          </w:tcPr>
          <w:p w14:paraId="799FE302" w14:textId="77777777" w:rsidR="007D706A" w:rsidRDefault="007D706A" w:rsidP="00F70508">
            <w:pPr>
              <w:pStyle w:val="ParagraphStyle5"/>
              <w:rPr>
                <w:rStyle w:val="CharacterStyle5"/>
              </w:rPr>
            </w:pPr>
            <w:r>
              <w:rPr>
                <w:rStyle w:val="CharacterStyle5"/>
              </w:rPr>
              <w:t>SUFINANCIRANJE IZGRADNJE ŽCGO KAŠTIJUN</w:t>
            </w:r>
          </w:p>
        </w:tc>
        <w:tc>
          <w:tcPr>
            <w:tcW w:w="1395" w:type="dxa"/>
            <w:tcBorders>
              <w:bottom w:val="single" w:sz="6" w:space="0" w:color="000000"/>
              <w:right w:val="single" w:sz="6" w:space="0" w:color="000000"/>
            </w:tcBorders>
            <w:vAlign w:val="center"/>
          </w:tcPr>
          <w:p w14:paraId="05D4AE0E"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4B25F8F8" w14:textId="77777777" w:rsidR="007D706A" w:rsidRDefault="007D706A" w:rsidP="00F70508">
            <w:pPr>
              <w:pStyle w:val="ParagraphStyle6"/>
              <w:rPr>
                <w:rStyle w:val="CharacterStyle6"/>
              </w:rPr>
            </w:pPr>
            <w:r>
              <w:rPr>
                <w:rStyle w:val="CharacterStyle6"/>
              </w:rPr>
              <w:t>40.000,00</w:t>
            </w:r>
          </w:p>
        </w:tc>
        <w:tc>
          <w:tcPr>
            <w:tcW w:w="1395" w:type="dxa"/>
            <w:tcBorders>
              <w:bottom w:val="single" w:sz="6" w:space="0" w:color="000000"/>
              <w:right w:val="single" w:sz="6" w:space="0" w:color="000000"/>
            </w:tcBorders>
            <w:vAlign w:val="center"/>
          </w:tcPr>
          <w:p w14:paraId="0ACD308B" w14:textId="77777777" w:rsidR="007D706A" w:rsidRDefault="007D706A" w:rsidP="00F70508">
            <w:pPr>
              <w:pStyle w:val="ParagraphStyle6"/>
              <w:rPr>
                <w:rStyle w:val="CharacterStyle6"/>
              </w:rPr>
            </w:pPr>
            <w:r>
              <w:rPr>
                <w:rStyle w:val="CharacterStyle6"/>
              </w:rPr>
              <w:t>40.000,00</w:t>
            </w:r>
          </w:p>
        </w:tc>
        <w:tc>
          <w:tcPr>
            <w:tcW w:w="1395" w:type="dxa"/>
            <w:tcBorders>
              <w:bottom w:val="single" w:sz="6" w:space="0" w:color="000000"/>
              <w:right w:val="single" w:sz="6" w:space="0" w:color="000000"/>
            </w:tcBorders>
            <w:vAlign w:val="center"/>
          </w:tcPr>
          <w:p w14:paraId="7CCBEDEE" w14:textId="77777777" w:rsidR="007D706A" w:rsidRDefault="007D706A" w:rsidP="00F70508">
            <w:pPr>
              <w:pStyle w:val="ParagraphStyle6"/>
              <w:rPr>
                <w:rStyle w:val="CharacterStyle6"/>
              </w:rPr>
            </w:pPr>
            <w:r>
              <w:rPr>
                <w:rStyle w:val="CharacterStyle6"/>
              </w:rPr>
              <w:t>40.000,00</w:t>
            </w:r>
          </w:p>
        </w:tc>
        <w:tc>
          <w:tcPr>
            <w:tcW w:w="1395" w:type="dxa"/>
            <w:tcBorders>
              <w:bottom w:val="single" w:sz="6" w:space="0" w:color="000000"/>
              <w:right w:val="single" w:sz="6" w:space="0" w:color="000000"/>
            </w:tcBorders>
            <w:vAlign w:val="center"/>
          </w:tcPr>
          <w:p w14:paraId="3673AE76" w14:textId="77777777" w:rsidR="007D706A" w:rsidRDefault="007D706A" w:rsidP="00F70508">
            <w:pPr>
              <w:pStyle w:val="ParagraphStyle6"/>
              <w:rPr>
                <w:rStyle w:val="CharacterStyle6"/>
              </w:rPr>
            </w:pPr>
            <w:r>
              <w:rPr>
                <w:rStyle w:val="CharacterStyle6"/>
              </w:rPr>
              <w:t>40.000,00</w:t>
            </w:r>
          </w:p>
        </w:tc>
      </w:tr>
      <w:tr w:rsidR="007D706A" w14:paraId="2DABDE6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42CA04A"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6F0E3489"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0F025D24"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8BBDACF" w14:textId="77777777" w:rsidR="007D706A" w:rsidRDefault="007D706A" w:rsidP="00F70508">
            <w:pPr>
              <w:pStyle w:val="ParagraphStyle9"/>
              <w:rPr>
                <w:rStyle w:val="CharacterStyle9"/>
              </w:rPr>
            </w:pPr>
            <w:r>
              <w:rPr>
                <w:rStyle w:val="CharacterStyle9"/>
              </w:rPr>
              <w:t>40.000,00</w:t>
            </w:r>
          </w:p>
        </w:tc>
        <w:tc>
          <w:tcPr>
            <w:tcW w:w="1395" w:type="dxa"/>
            <w:tcBorders>
              <w:bottom w:val="single" w:sz="6" w:space="0" w:color="000000"/>
              <w:right w:val="single" w:sz="6" w:space="0" w:color="000000"/>
            </w:tcBorders>
            <w:vAlign w:val="center"/>
          </w:tcPr>
          <w:p w14:paraId="09C621E7" w14:textId="77777777" w:rsidR="007D706A" w:rsidRDefault="007D706A" w:rsidP="00F70508">
            <w:pPr>
              <w:pStyle w:val="ParagraphStyle9"/>
              <w:rPr>
                <w:rStyle w:val="CharacterStyle9"/>
              </w:rPr>
            </w:pPr>
            <w:r>
              <w:rPr>
                <w:rStyle w:val="CharacterStyle9"/>
              </w:rPr>
              <w:t>40.000,00</w:t>
            </w:r>
          </w:p>
        </w:tc>
        <w:tc>
          <w:tcPr>
            <w:tcW w:w="1395" w:type="dxa"/>
            <w:tcBorders>
              <w:bottom w:val="single" w:sz="6" w:space="0" w:color="000000"/>
              <w:right w:val="single" w:sz="6" w:space="0" w:color="000000"/>
            </w:tcBorders>
            <w:vAlign w:val="center"/>
          </w:tcPr>
          <w:p w14:paraId="110F4136" w14:textId="77777777" w:rsidR="007D706A" w:rsidRDefault="007D706A" w:rsidP="00F70508">
            <w:pPr>
              <w:pStyle w:val="ParagraphStyle9"/>
              <w:rPr>
                <w:rStyle w:val="CharacterStyle9"/>
              </w:rPr>
            </w:pPr>
            <w:r>
              <w:rPr>
                <w:rStyle w:val="CharacterStyle9"/>
              </w:rPr>
              <w:t>40.000,00</w:t>
            </w:r>
          </w:p>
        </w:tc>
        <w:tc>
          <w:tcPr>
            <w:tcW w:w="1395" w:type="dxa"/>
            <w:tcBorders>
              <w:bottom w:val="single" w:sz="6" w:space="0" w:color="000000"/>
              <w:right w:val="single" w:sz="6" w:space="0" w:color="000000"/>
            </w:tcBorders>
            <w:vAlign w:val="center"/>
          </w:tcPr>
          <w:p w14:paraId="11456121" w14:textId="77777777" w:rsidR="007D706A" w:rsidRDefault="007D706A" w:rsidP="00F70508">
            <w:pPr>
              <w:pStyle w:val="ParagraphStyle9"/>
              <w:rPr>
                <w:rStyle w:val="CharacterStyle9"/>
              </w:rPr>
            </w:pPr>
            <w:r>
              <w:rPr>
                <w:rStyle w:val="CharacterStyle9"/>
              </w:rPr>
              <w:t>40.000,00</w:t>
            </w:r>
          </w:p>
        </w:tc>
      </w:tr>
      <w:tr w:rsidR="007D706A" w14:paraId="2EFF202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58087E3" w14:textId="77777777" w:rsidR="007D706A" w:rsidRDefault="007D706A" w:rsidP="00F70508">
            <w:pPr>
              <w:pStyle w:val="ParagraphStyle10"/>
              <w:rPr>
                <w:rStyle w:val="CharacterStyle10"/>
              </w:rPr>
            </w:pPr>
            <w:r>
              <w:rPr>
                <w:rStyle w:val="CharacterStyle10"/>
              </w:rPr>
              <w:t>5</w:t>
            </w:r>
          </w:p>
        </w:tc>
        <w:tc>
          <w:tcPr>
            <w:tcW w:w="4995" w:type="dxa"/>
            <w:tcBorders>
              <w:bottom w:val="single" w:sz="6" w:space="0" w:color="000000"/>
              <w:right w:val="single" w:sz="6" w:space="0" w:color="000000"/>
            </w:tcBorders>
            <w:vAlign w:val="center"/>
          </w:tcPr>
          <w:p w14:paraId="1EE9E137" w14:textId="77777777" w:rsidR="007D706A" w:rsidRDefault="007D706A" w:rsidP="00F70508">
            <w:pPr>
              <w:pStyle w:val="ParagraphStyle11"/>
              <w:rPr>
                <w:rStyle w:val="CharacterStyle11"/>
              </w:rPr>
            </w:pPr>
            <w:r>
              <w:rPr>
                <w:rStyle w:val="CharacterStyle11"/>
              </w:rPr>
              <w:t>Izdaci za financijsku imovinu i otplate zajmova</w:t>
            </w:r>
          </w:p>
        </w:tc>
        <w:tc>
          <w:tcPr>
            <w:tcW w:w="1395" w:type="dxa"/>
            <w:tcBorders>
              <w:bottom w:val="single" w:sz="6" w:space="0" w:color="000000"/>
              <w:right w:val="single" w:sz="6" w:space="0" w:color="000000"/>
            </w:tcBorders>
            <w:vAlign w:val="center"/>
          </w:tcPr>
          <w:p w14:paraId="0D71B4F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E38A4EC" w14:textId="77777777" w:rsidR="007D706A" w:rsidRDefault="007D706A" w:rsidP="00F70508">
            <w:pPr>
              <w:pStyle w:val="ParagraphStyle12"/>
              <w:rPr>
                <w:rStyle w:val="CharacterStyle12"/>
              </w:rPr>
            </w:pPr>
            <w:r>
              <w:rPr>
                <w:rStyle w:val="CharacterStyle12"/>
              </w:rPr>
              <w:t>40.000,00</w:t>
            </w:r>
          </w:p>
        </w:tc>
        <w:tc>
          <w:tcPr>
            <w:tcW w:w="1395" w:type="dxa"/>
            <w:tcBorders>
              <w:bottom w:val="single" w:sz="6" w:space="0" w:color="000000"/>
              <w:right w:val="single" w:sz="6" w:space="0" w:color="000000"/>
            </w:tcBorders>
            <w:vAlign w:val="center"/>
          </w:tcPr>
          <w:p w14:paraId="3E1BE43A" w14:textId="77777777" w:rsidR="007D706A" w:rsidRDefault="007D706A" w:rsidP="00F70508">
            <w:pPr>
              <w:pStyle w:val="ParagraphStyle12"/>
              <w:rPr>
                <w:rStyle w:val="CharacterStyle12"/>
              </w:rPr>
            </w:pPr>
            <w:r>
              <w:rPr>
                <w:rStyle w:val="CharacterStyle12"/>
              </w:rPr>
              <w:t>40.000,00</w:t>
            </w:r>
          </w:p>
        </w:tc>
        <w:tc>
          <w:tcPr>
            <w:tcW w:w="1395" w:type="dxa"/>
            <w:tcBorders>
              <w:bottom w:val="single" w:sz="6" w:space="0" w:color="000000"/>
              <w:right w:val="single" w:sz="6" w:space="0" w:color="000000"/>
            </w:tcBorders>
            <w:vAlign w:val="center"/>
          </w:tcPr>
          <w:p w14:paraId="4F0F4D86" w14:textId="77777777" w:rsidR="007D706A" w:rsidRDefault="007D706A" w:rsidP="00F70508">
            <w:pPr>
              <w:pStyle w:val="ParagraphStyle12"/>
              <w:rPr>
                <w:rStyle w:val="CharacterStyle12"/>
              </w:rPr>
            </w:pPr>
            <w:r>
              <w:rPr>
                <w:rStyle w:val="CharacterStyle12"/>
              </w:rPr>
              <w:t>40.000,00</w:t>
            </w:r>
          </w:p>
        </w:tc>
        <w:tc>
          <w:tcPr>
            <w:tcW w:w="1395" w:type="dxa"/>
            <w:tcBorders>
              <w:bottom w:val="single" w:sz="6" w:space="0" w:color="000000"/>
              <w:right w:val="single" w:sz="6" w:space="0" w:color="000000"/>
            </w:tcBorders>
            <w:vAlign w:val="center"/>
          </w:tcPr>
          <w:p w14:paraId="191E0053" w14:textId="77777777" w:rsidR="007D706A" w:rsidRDefault="007D706A" w:rsidP="00F70508">
            <w:pPr>
              <w:pStyle w:val="ParagraphStyle12"/>
              <w:rPr>
                <w:rStyle w:val="CharacterStyle12"/>
              </w:rPr>
            </w:pPr>
            <w:r>
              <w:rPr>
                <w:rStyle w:val="CharacterStyle12"/>
              </w:rPr>
              <w:t>40.000,00</w:t>
            </w:r>
          </w:p>
        </w:tc>
      </w:tr>
      <w:tr w:rsidR="007D706A" w14:paraId="385BE83A" w14:textId="77777777" w:rsidTr="00F70508">
        <w:trPr>
          <w:trHeight w:val="420"/>
        </w:trPr>
        <w:tc>
          <w:tcPr>
            <w:tcW w:w="2880" w:type="dxa"/>
            <w:tcBorders>
              <w:left w:val="single" w:sz="6" w:space="0" w:color="000000"/>
              <w:bottom w:val="single" w:sz="6" w:space="0" w:color="000000"/>
              <w:right w:val="single" w:sz="6" w:space="0" w:color="000000"/>
            </w:tcBorders>
            <w:vAlign w:val="center"/>
          </w:tcPr>
          <w:p w14:paraId="0C826F1D" w14:textId="77777777" w:rsidR="007D706A" w:rsidRDefault="007D706A" w:rsidP="00F70508">
            <w:pPr>
              <w:pStyle w:val="ParagraphStyle10"/>
              <w:rPr>
                <w:rStyle w:val="CharacterStyle10"/>
              </w:rPr>
            </w:pPr>
            <w:r>
              <w:rPr>
                <w:rStyle w:val="CharacterStyle10"/>
              </w:rPr>
              <w:t>53</w:t>
            </w:r>
          </w:p>
        </w:tc>
        <w:tc>
          <w:tcPr>
            <w:tcW w:w="4995" w:type="dxa"/>
            <w:tcBorders>
              <w:bottom w:val="single" w:sz="6" w:space="0" w:color="000000"/>
              <w:right w:val="single" w:sz="6" w:space="0" w:color="000000"/>
            </w:tcBorders>
            <w:vAlign w:val="center"/>
          </w:tcPr>
          <w:p w14:paraId="02ED5C51" w14:textId="77777777" w:rsidR="007D706A" w:rsidRDefault="007D706A" w:rsidP="00F70508">
            <w:pPr>
              <w:pStyle w:val="ParagraphStyle11"/>
              <w:rPr>
                <w:rStyle w:val="CharacterStyle11"/>
              </w:rPr>
            </w:pPr>
            <w:r>
              <w:rPr>
                <w:rStyle w:val="CharacterStyle11"/>
              </w:rPr>
              <w:t>Izdaci za ulaganja u financijske instrumente - dionice i udjele u glavnici</w:t>
            </w:r>
          </w:p>
        </w:tc>
        <w:tc>
          <w:tcPr>
            <w:tcW w:w="1395" w:type="dxa"/>
            <w:tcBorders>
              <w:bottom w:val="single" w:sz="6" w:space="0" w:color="000000"/>
              <w:right w:val="single" w:sz="6" w:space="0" w:color="000000"/>
            </w:tcBorders>
            <w:vAlign w:val="center"/>
          </w:tcPr>
          <w:p w14:paraId="66FB4C6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1AF792B" w14:textId="77777777" w:rsidR="007D706A" w:rsidRDefault="007D706A" w:rsidP="00F70508">
            <w:pPr>
              <w:pStyle w:val="ParagraphStyle12"/>
              <w:rPr>
                <w:rStyle w:val="CharacterStyle12"/>
              </w:rPr>
            </w:pPr>
            <w:r>
              <w:rPr>
                <w:rStyle w:val="CharacterStyle12"/>
              </w:rPr>
              <w:t>40.000,00</w:t>
            </w:r>
          </w:p>
        </w:tc>
        <w:tc>
          <w:tcPr>
            <w:tcW w:w="1395" w:type="dxa"/>
            <w:tcBorders>
              <w:bottom w:val="single" w:sz="6" w:space="0" w:color="000000"/>
              <w:right w:val="single" w:sz="6" w:space="0" w:color="000000"/>
            </w:tcBorders>
            <w:vAlign w:val="center"/>
          </w:tcPr>
          <w:p w14:paraId="53C83E5C" w14:textId="77777777" w:rsidR="007D706A" w:rsidRDefault="007D706A" w:rsidP="00F70508">
            <w:pPr>
              <w:pStyle w:val="ParagraphStyle12"/>
              <w:rPr>
                <w:rStyle w:val="CharacterStyle12"/>
              </w:rPr>
            </w:pPr>
            <w:r>
              <w:rPr>
                <w:rStyle w:val="CharacterStyle12"/>
              </w:rPr>
              <w:t>40.000,00</w:t>
            </w:r>
          </w:p>
        </w:tc>
        <w:tc>
          <w:tcPr>
            <w:tcW w:w="1395" w:type="dxa"/>
            <w:tcBorders>
              <w:bottom w:val="single" w:sz="6" w:space="0" w:color="000000"/>
              <w:right w:val="single" w:sz="6" w:space="0" w:color="000000"/>
            </w:tcBorders>
            <w:vAlign w:val="center"/>
          </w:tcPr>
          <w:p w14:paraId="440D4429" w14:textId="77777777" w:rsidR="007D706A" w:rsidRDefault="007D706A" w:rsidP="00F70508">
            <w:pPr>
              <w:pStyle w:val="ParagraphStyle12"/>
              <w:rPr>
                <w:rStyle w:val="CharacterStyle12"/>
              </w:rPr>
            </w:pPr>
            <w:r>
              <w:rPr>
                <w:rStyle w:val="CharacterStyle12"/>
              </w:rPr>
              <w:t>40.000,00</w:t>
            </w:r>
          </w:p>
        </w:tc>
        <w:tc>
          <w:tcPr>
            <w:tcW w:w="1395" w:type="dxa"/>
            <w:tcBorders>
              <w:bottom w:val="single" w:sz="6" w:space="0" w:color="000000"/>
              <w:right w:val="single" w:sz="6" w:space="0" w:color="000000"/>
            </w:tcBorders>
            <w:vAlign w:val="center"/>
          </w:tcPr>
          <w:p w14:paraId="4BFCB295" w14:textId="77777777" w:rsidR="007D706A" w:rsidRDefault="007D706A" w:rsidP="00F70508">
            <w:pPr>
              <w:pStyle w:val="ParagraphStyle12"/>
              <w:rPr>
                <w:rStyle w:val="CharacterStyle12"/>
              </w:rPr>
            </w:pPr>
            <w:r>
              <w:rPr>
                <w:rStyle w:val="CharacterStyle12"/>
              </w:rPr>
              <w:t>40.000,00</w:t>
            </w:r>
          </w:p>
        </w:tc>
      </w:tr>
      <w:tr w:rsidR="007D706A" w14:paraId="10440B9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8E8DAB4" w14:textId="77777777" w:rsidR="007D706A" w:rsidRDefault="007D706A" w:rsidP="00F70508">
            <w:pPr>
              <w:pStyle w:val="ParagraphStyle4"/>
              <w:rPr>
                <w:rStyle w:val="CharacterStyle4"/>
              </w:rPr>
            </w:pPr>
            <w:r>
              <w:rPr>
                <w:rStyle w:val="CharacterStyle4"/>
              </w:rPr>
              <w:t>PROGRAM    1012</w:t>
            </w:r>
          </w:p>
        </w:tc>
        <w:tc>
          <w:tcPr>
            <w:tcW w:w="4995" w:type="dxa"/>
            <w:tcBorders>
              <w:bottom w:val="single" w:sz="6" w:space="0" w:color="000000"/>
              <w:right w:val="single" w:sz="6" w:space="0" w:color="000000"/>
            </w:tcBorders>
            <w:vAlign w:val="center"/>
          </w:tcPr>
          <w:p w14:paraId="581AF8DE" w14:textId="77777777" w:rsidR="007D706A" w:rsidRDefault="007D706A" w:rsidP="00F70508">
            <w:pPr>
              <w:pStyle w:val="ParagraphStyle5"/>
              <w:rPr>
                <w:rStyle w:val="CharacterStyle5"/>
              </w:rPr>
            </w:pPr>
            <w:r>
              <w:rPr>
                <w:rStyle w:val="CharacterStyle5"/>
              </w:rPr>
              <w:t>PROJEKTI, STUDIJE I ELABORATI ZA GRAĐEVINSKE OBJEKTE</w:t>
            </w:r>
          </w:p>
        </w:tc>
        <w:tc>
          <w:tcPr>
            <w:tcW w:w="1395" w:type="dxa"/>
            <w:tcBorders>
              <w:bottom w:val="single" w:sz="6" w:space="0" w:color="000000"/>
              <w:right w:val="single" w:sz="6" w:space="0" w:color="000000"/>
            </w:tcBorders>
            <w:vAlign w:val="center"/>
          </w:tcPr>
          <w:p w14:paraId="1DCA2F72"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708AF73C" w14:textId="77777777" w:rsidR="007D706A" w:rsidRDefault="007D706A" w:rsidP="00F70508">
            <w:pPr>
              <w:pStyle w:val="ParagraphStyle6"/>
              <w:rPr>
                <w:rStyle w:val="CharacterStyle6"/>
              </w:rPr>
            </w:pPr>
            <w:r>
              <w:rPr>
                <w:rStyle w:val="CharacterStyle6"/>
              </w:rPr>
              <w:t>87.000,00</w:t>
            </w:r>
          </w:p>
        </w:tc>
        <w:tc>
          <w:tcPr>
            <w:tcW w:w="1395" w:type="dxa"/>
            <w:tcBorders>
              <w:bottom w:val="single" w:sz="6" w:space="0" w:color="000000"/>
              <w:right w:val="single" w:sz="6" w:space="0" w:color="000000"/>
            </w:tcBorders>
            <w:vAlign w:val="center"/>
          </w:tcPr>
          <w:p w14:paraId="1E3BBC4C" w14:textId="77777777" w:rsidR="007D706A" w:rsidRDefault="007D706A" w:rsidP="00F70508">
            <w:pPr>
              <w:pStyle w:val="ParagraphStyle6"/>
              <w:rPr>
                <w:rStyle w:val="CharacterStyle6"/>
              </w:rPr>
            </w:pPr>
            <w:r>
              <w:rPr>
                <w:rStyle w:val="CharacterStyle6"/>
              </w:rPr>
              <w:t>85.000,00</w:t>
            </w:r>
          </w:p>
        </w:tc>
        <w:tc>
          <w:tcPr>
            <w:tcW w:w="1395" w:type="dxa"/>
            <w:tcBorders>
              <w:bottom w:val="single" w:sz="6" w:space="0" w:color="000000"/>
              <w:right w:val="single" w:sz="6" w:space="0" w:color="000000"/>
            </w:tcBorders>
            <w:vAlign w:val="center"/>
          </w:tcPr>
          <w:p w14:paraId="74B3810E" w14:textId="77777777" w:rsidR="007D706A" w:rsidRDefault="007D706A" w:rsidP="00F70508">
            <w:pPr>
              <w:pStyle w:val="ParagraphStyle6"/>
              <w:rPr>
                <w:rStyle w:val="CharacterStyle6"/>
              </w:rPr>
            </w:pPr>
            <w:r>
              <w:rPr>
                <w:rStyle w:val="CharacterStyle6"/>
              </w:rPr>
              <w:t>107.000,00</w:t>
            </w:r>
          </w:p>
        </w:tc>
        <w:tc>
          <w:tcPr>
            <w:tcW w:w="1395" w:type="dxa"/>
            <w:tcBorders>
              <w:bottom w:val="single" w:sz="6" w:space="0" w:color="000000"/>
              <w:right w:val="single" w:sz="6" w:space="0" w:color="000000"/>
            </w:tcBorders>
            <w:vAlign w:val="center"/>
          </w:tcPr>
          <w:p w14:paraId="256AE0F0" w14:textId="77777777" w:rsidR="007D706A" w:rsidRDefault="007D706A" w:rsidP="00F70508">
            <w:pPr>
              <w:pStyle w:val="ParagraphStyle6"/>
              <w:rPr>
                <w:rStyle w:val="CharacterStyle6"/>
              </w:rPr>
            </w:pPr>
            <w:r>
              <w:rPr>
                <w:rStyle w:val="CharacterStyle6"/>
              </w:rPr>
              <w:t>123.000,00</w:t>
            </w:r>
          </w:p>
        </w:tc>
      </w:tr>
      <w:tr w:rsidR="007D706A" w14:paraId="0149AEE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D7C6BE1" w14:textId="77777777" w:rsidR="007D706A" w:rsidRDefault="007D706A" w:rsidP="00F70508">
            <w:pPr>
              <w:pStyle w:val="ParagraphStyle4"/>
              <w:rPr>
                <w:rStyle w:val="CharacterStyle4"/>
              </w:rPr>
            </w:pPr>
            <w:r>
              <w:rPr>
                <w:rStyle w:val="CharacterStyle4"/>
              </w:rPr>
              <w:t>Aktivnost A101201</w:t>
            </w:r>
          </w:p>
        </w:tc>
        <w:tc>
          <w:tcPr>
            <w:tcW w:w="4995" w:type="dxa"/>
            <w:tcBorders>
              <w:bottom w:val="single" w:sz="6" w:space="0" w:color="000000"/>
              <w:right w:val="single" w:sz="6" w:space="0" w:color="000000"/>
            </w:tcBorders>
            <w:vAlign w:val="center"/>
          </w:tcPr>
          <w:p w14:paraId="4943650A" w14:textId="77777777" w:rsidR="007D706A" w:rsidRDefault="007D706A" w:rsidP="00F70508">
            <w:pPr>
              <w:pStyle w:val="ParagraphStyle5"/>
              <w:rPr>
                <w:rStyle w:val="CharacterStyle5"/>
              </w:rPr>
            </w:pPr>
            <w:r>
              <w:rPr>
                <w:rStyle w:val="CharacterStyle5"/>
              </w:rPr>
              <w:t>PROJEKTI I STUDIJE ZA GRAĐEVINSKE OBJEKTE</w:t>
            </w:r>
          </w:p>
        </w:tc>
        <w:tc>
          <w:tcPr>
            <w:tcW w:w="1395" w:type="dxa"/>
            <w:tcBorders>
              <w:bottom w:val="single" w:sz="6" w:space="0" w:color="000000"/>
              <w:right w:val="single" w:sz="6" w:space="0" w:color="000000"/>
            </w:tcBorders>
            <w:vAlign w:val="center"/>
          </w:tcPr>
          <w:p w14:paraId="3988035B"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31F581EA" w14:textId="77777777" w:rsidR="007D706A" w:rsidRDefault="007D706A" w:rsidP="00F70508">
            <w:pPr>
              <w:pStyle w:val="ParagraphStyle6"/>
              <w:rPr>
                <w:rStyle w:val="CharacterStyle6"/>
              </w:rPr>
            </w:pPr>
            <w:r>
              <w:rPr>
                <w:rStyle w:val="CharacterStyle6"/>
              </w:rPr>
              <w:t>87.000,00</w:t>
            </w:r>
          </w:p>
        </w:tc>
        <w:tc>
          <w:tcPr>
            <w:tcW w:w="1395" w:type="dxa"/>
            <w:tcBorders>
              <w:bottom w:val="single" w:sz="6" w:space="0" w:color="000000"/>
              <w:right w:val="single" w:sz="6" w:space="0" w:color="000000"/>
            </w:tcBorders>
            <w:vAlign w:val="center"/>
          </w:tcPr>
          <w:p w14:paraId="3285CF44" w14:textId="77777777" w:rsidR="007D706A" w:rsidRDefault="007D706A" w:rsidP="00F70508">
            <w:pPr>
              <w:pStyle w:val="ParagraphStyle6"/>
              <w:rPr>
                <w:rStyle w:val="CharacterStyle6"/>
              </w:rPr>
            </w:pPr>
            <w:r>
              <w:rPr>
                <w:rStyle w:val="CharacterStyle6"/>
              </w:rPr>
              <w:t>85.000,00</w:t>
            </w:r>
          </w:p>
        </w:tc>
        <w:tc>
          <w:tcPr>
            <w:tcW w:w="1395" w:type="dxa"/>
            <w:tcBorders>
              <w:bottom w:val="single" w:sz="6" w:space="0" w:color="000000"/>
              <w:right w:val="single" w:sz="6" w:space="0" w:color="000000"/>
            </w:tcBorders>
            <w:vAlign w:val="center"/>
          </w:tcPr>
          <w:p w14:paraId="526D34B3" w14:textId="77777777" w:rsidR="007D706A" w:rsidRDefault="007D706A" w:rsidP="00F70508">
            <w:pPr>
              <w:pStyle w:val="ParagraphStyle6"/>
              <w:rPr>
                <w:rStyle w:val="CharacterStyle6"/>
              </w:rPr>
            </w:pPr>
            <w:r>
              <w:rPr>
                <w:rStyle w:val="CharacterStyle6"/>
              </w:rPr>
              <w:t>107.000,00</w:t>
            </w:r>
          </w:p>
        </w:tc>
        <w:tc>
          <w:tcPr>
            <w:tcW w:w="1395" w:type="dxa"/>
            <w:tcBorders>
              <w:bottom w:val="single" w:sz="6" w:space="0" w:color="000000"/>
              <w:right w:val="single" w:sz="6" w:space="0" w:color="000000"/>
            </w:tcBorders>
            <w:vAlign w:val="center"/>
          </w:tcPr>
          <w:p w14:paraId="428B9E6E" w14:textId="77777777" w:rsidR="007D706A" w:rsidRDefault="007D706A" w:rsidP="00F70508">
            <w:pPr>
              <w:pStyle w:val="ParagraphStyle6"/>
              <w:rPr>
                <w:rStyle w:val="CharacterStyle6"/>
              </w:rPr>
            </w:pPr>
            <w:r>
              <w:rPr>
                <w:rStyle w:val="CharacterStyle6"/>
              </w:rPr>
              <w:t>123.000,00</w:t>
            </w:r>
          </w:p>
        </w:tc>
      </w:tr>
      <w:tr w:rsidR="007D706A" w14:paraId="1ABF208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2C80F65" w14:textId="77777777" w:rsidR="007D706A" w:rsidRDefault="007D706A" w:rsidP="00F70508">
            <w:pPr>
              <w:pStyle w:val="ParagraphStyle7"/>
              <w:rPr>
                <w:rStyle w:val="CharacterStyle7"/>
              </w:rPr>
            </w:pPr>
            <w:r>
              <w:rPr>
                <w:rStyle w:val="CharacterStyle7"/>
              </w:rPr>
              <w:lastRenderedPageBreak/>
              <w:t>Izvor financiranja 41</w:t>
            </w:r>
          </w:p>
        </w:tc>
        <w:tc>
          <w:tcPr>
            <w:tcW w:w="4995" w:type="dxa"/>
            <w:tcBorders>
              <w:bottom w:val="single" w:sz="6" w:space="0" w:color="000000"/>
              <w:right w:val="single" w:sz="6" w:space="0" w:color="000000"/>
            </w:tcBorders>
            <w:vAlign w:val="center"/>
          </w:tcPr>
          <w:p w14:paraId="500334A3" w14:textId="77777777" w:rsidR="007D706A" w:rsidRDefault="007D706A" w:rsidP="00F70508">
            <w:pPr>
              <w:pStyle w:val="ParagraphStyle8"/>
              <w:rPr>
                <w:rStyle w:val="CharacterStyle8"/>
              </w:rPr>
            </w:pPr>
            <w:r>
              <w:rPr>
                <w:rStyle w:val="CharacterStyle8"/>
              </w:rPr>
              <w:t>Prihodi za posebne namjene</w:t>
            </w:r>
          </w:p>
        </w:tc>
        <w:tc>
          <w:tcPr>
            <w:tcW w:w="1395" w:type="dxa"/>
            <w:tcBorders>
              <w:bottom w:val="single" w:sz="6" w:space="0" w:color="000000"/>
              <w:right w:val="single" w:sz="6" w:space="0" w:color="000000"/>
            </w:tcBorders>
            <w:vAlign w:val="center"/>
          </w:tcPr>
          <w:p w14:paraId="2607373B"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DDE8DC6" w14:textId="77777777" w:rsidR="007D706A" w:rsidRDefault="007D706A" w:rsidP="00F70508">
            <w:pPr>
              <w:pStyle w:val="ParagraphStyle9"/>
              <w:rPr>
                <w:rStyle w:val="CharacterStyle9"/>
              </w:rPr>
            </w:pPr>
            <w:r>
              <w:rPr>
                <w:rStyle w:val="CharacterStyle9"/>
              </w:rPr>
              <w:t>37.500,00</w:t>
            </w:r>
          </w:p>
        </w:tc>
        <w:tc>
          <w:tcPr>
            <w:tcW w:w="1395" w:type="dxa"/>
            <w:tcBorders>
              <w:bottom w:val="single" w:sz="6" w:space="0" w:color="000000"/>
              <w:right w:val="single" w:sz="6" w:space="0" w:color="000000"/>
            </w:tcBorders>
            <w:vAlign w:val="center"/>
          </w:tcPr>
          <w:p w14:paraId="5DF1DFBC"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3212469"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97EA650" w14:textId="77777777" w:rsidR="007D706A" w:rsidRDefault="007D706A" w:rsidP="00F70508">
            <w:pPr>
              <w:pStyle w:val="ParagraphStyle9"/>
              <w:rPr>
                <w:rStyle w:val="CharacterStyle9"/>
              </w:rPr>
            </w:pPr>
            <w:r>
              <w:rPr>
                <w:rStyle w:val="CharacterStyle9"/>
              </w:rPr>
              <w:t>0,00</w:t>
            </w:r>
          </w:p>
        </w:tc>
      </w:tr>
      <w:tr w:rsidR="007D706A" w14:paraId="4FA6D19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150CB18"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038C1397"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2FD8405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62994E4" w14:textId="77777777" w:rsidR="007D706A" w:rsidRDefault="007D706A" w:rsidP="00F70508">
            <w:pPr>
              <w:pStyle w:val="ParagraphStyle12"/>
              <w:rPr>
                <w:rStyle w:val="CharacterStyle12"/>
              </w:rPr>
            </w:pPr>
            <w:r>
              <w:rPr>
                <w:rStyle w:val="CharacterStyle12"/>
              </w:rPr>
              <w:t>37.500,00</w:t>
            </w:r>
          </w:p>
        </w:tc>
        <w:tc>
          <w:tcPr>
            <w:tcW w:w="1395" w:type="dxa"/>
            <w:tcBorders>
              <w:bottom w:val="single" w:sz="6" w:space="0" w:color="000000"/>
              <w:right w:val="single" w:sz="6" w:space="0" w:color="000000"/>
            </w:tcBorders>
            <w:vAlign w:val="center"/>
          </w:tcPr>
          <w:p w14:paraId="54419A4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3C8C9D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8F44FD0" w14:textId="77777777" w:rsidR="007D706A" w:rsidRDefault="007D706A" w:rsidP="00F70508">
            <w:pPr>
              <w:pStyle w:val="ParagraphStyle12"/>
              <w:rPr>
                <w:rStyle w:val="CharacterStyle12"/>
              </w:rPr>
            </w:pPr>
            <w:r>
              <w:rPr>
                <w:rStyle w:val="CharacterStyle12"/>
              </w:rPr>
              <w:t>0,00</w:t>
            </w:r>
          </w:p>
        </w:tc>
      </w:tr>
      <w:tr w:rsidR="007D706A" w14:paraId="0B47EE3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DC2EDB6" w14:textId="77777777" w:rsidR="007D706A" w:rsidRDefault="007D706A" w:rsidP="00F70508">
            <w:pPr>
              <w:pStyle w:val="ParagraphStyle10"/>
              <w:rPr>
                <w:rStyle w:val="CharacterStyle10"/>
              </w:rPr>
            </w:pPr>
            <w:r>
              <w:rPr>
                <w:rStyle w:val="CharacterStyle10"/>
              </w:rPr>
              <w:t>42</w:t>
            </w:r>
          </w:p>
        </w:tc>
        <w:tc>
          <w:tcPr>
            <w:tcW w:w="4995" w:type="dxa"/>
            <w:tcBorders>
              <w:bottom w:val="single" w:sz="6" w:space="0" w:color="000000"/>
              <w:right w:val="single" w:sz="6" w:space="0" w:color="000000"/>
            </w:tcBorders>
            <w:vAlign w:val="center"/>
          </w:tcPr>
          <w:p w14:paraId="4A263BE1"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37D3FBA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A6947F9" w14:textId="77777777" w:rsidR="007D706A" w:rsidRDefault="007D706A" w:rsidP="00F70508">
            <w:pPr>
              <w:pStyle w:val="ParagraphStyle12"/>
              <w:rPr>
                <w:rStyle w:val="CharacterStyle12"/>
              </w:rPr>
            </w:pPr>
            <w:r>
              <w:rPr>
                <w:rStyle w:val="CharacterStyle12"/>
              </w:rPr>
              <w:t>37.500,00</w:t>
            </w:r>
          </w:p>
        </w:tc>
        <w:tc>
          <w:tcPr>
            <w:tcW w:w="1395" w:type="dxa"/>
            <w:tcBorders>
              <w:bottom w:val="single" w:sz="6" w:space="0" w:color="000000"/>
              <w:right w:val="single" w:sz="6" w:space="0" w:color="000000"/>
            </w:tcBorders>
            <w:vAlign w:val="center"/>
          </w:tcPr>
          <w:p w14:paraId="13FAF84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E14311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7ACCD2D" w14:textId="77777777" w:rsidR="007D706A" w:rsidRDefault="007D706A" w:rsidP="00F70508">
            <w:pPr>
              <w:pStyle w:val="ParagraphStyle12"/>
              <w:rPr>
                <w:rStyle w:val="CharacterStyle12"/>
              </w:rPr>
            </w:pPr>
            <w:r>
              <w:rPr>
                <w:rStyle w:val="CharacterStyle12"/>
              </w:rPr>
              <w:t>0,00</w:t>
            </w:r>
          </w:p>
        </w:tc>
      </w:tr>
      <w:tr w:rsidR="007D706A" w14:paraId="33B7B76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189CC81" w14:textId="77777777" w:rsidR="007D706A" w:rsidRDefault="007D706A" w:rsidP="00F70508">
            <w:pPr>
              <w:pStyle w:val="ParagraphStyle7"/>
              <w:rPr>
                <w:rStyle w:val="CharacterStyle7"/>
              </w:rPr>
            </w:pPr>
            <w:r>
              <w:rPr>
                <w:rStyle w:val="CharacterStyle7"/>
              </w:rPr>
              <w:t>Izvor financiranja 43</w:t>
            </w:r>
          </w:p>
        </w:tc>
        <w:tc>
          <w:tcPr>
            <w:tcW w:w="4995" w:type="dxa"/>
            <w:tcBorders>
              <w:bottom w:val="single" w:sz="6" w:space="0" w:color="000000"/>
              <w:right w:val="single" w:sz="6" w:space="0" w:color="000000"/>
            </w:tcBorders>
            <w:vAlign w:val="center"/>
          </w:tcPr>
          <w:p w14:paraId="7E77509E" w14:textId="77777777" w:rsidR="007D706A" w:rsidRDefault="007D706A" w:rsidP="00F70508">
            <w:pPr>
              <w:pStyle w:val="ParagraphStyle8"/>
              <w:rPr>
                <w:rStyle w:val="CharacterStyle8"/>
              </w:rPr>
            </w:pPr>
            <w:r>
              <w:rPr>
                <w:rStyle w:val="CharacterStyle8"/>
              </w:rPr>
              <w:t>Ostali prihodi za posebne namjene</w:t>
            </w:r>
          </w:p>
        </w:tc>
        <w:tc>
          <w:tcPr>
            <w:tcW w:w="1395" w:type="dxa"/>
            <w:tcBorders>
              <w:bottom w:val="single" w:sz="6" w:space="0" w:color="000000"/>
              <w:right w:val="single" w:sz="6" w:space="0" w:color="000000"/>
            </w:tcBorders>
            <w:vAlign w:val="center"/>
          </w:tcPr>
          <w:p w14:paraId="425CC2D9"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BABC5A3"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7C9F102" w14:textId="77777777" w:rsidR="007D706A" w:rsidRDefault="007D706A" w:rsidP="00F70508">
            <w:pPr>
              <w:pStyle w:val="ParagraphStyle9"/>
              <w:rPr>
                <w:rStyle w:val="CharacterStyle9"/>
              </w:rPr>
            </w:pPr>
            <w:r>
              <w:rPr>
                <w:rStyle w:val="CharacterStyle9"/>
              </w:rPr>
              <w:t>85.000,00</w:t>
            </w:r>
          </w:p>
        </w:tc>
        <w:tc>
          <w:tcPr>
            <w:tcW w:w="1395" w:type="dxa"/>
            <w:tcBorders>
              <w:bottom w:val="single" w:sz="6" w:space="0" w:color="000000"/>
              <w:right w:val="single" w:sz="6" w:space="0" w:color="000000"/>
            </w:tcBorders>
            <w:vAlign w:val="center"/>
          </w:tcPr>
          <w:p w14:paraId="692F97B1" w14:textId="77777777" w:rsidR="007D706A" w:rsidRDefault="007D706A" w:rsidP="00F70508">
            <w:pPr>
              <w:pStyle w:val="ParagraphStyle9"/>
              <w:rPr>
                <w:rStyle w:val="CharacterStyle9"/>
              </w:rPr>
            </w:pPr>
            <w:r>
              <w:rPr>
                <w:rStyle w:val="CharacterStyle9"/>
              </w:rPr>
              <w:t>107.000,00</w:t>
            </w:r>
          </w:p>
        </w:tc>
        <w:tc>
          <w:tcPr>
            <w:tcW w:w="1395" w:type="dxa"/>
            <w:tcBorders>
              <w:bottom w:val="single" w:sz="6" w:space="0" w:color="000000"/>
              <w:right w:val="single" w:sz="6" w:space="0" w:color="000000"/>
            </w:tcBorders>
            <w:vAlign w:val="center"/>
          </w:tcPr>
          <w:p w14:paraId="61DB4375" w14:textId="77777777" w:rsidR="007D706A" w:rsidRDefault="007D706A" w:rsidP="00F70508">
            <w:pPr>
              <w:pStyle w:val="ParagraphStyle9"/>
              <w:rPr>
                <w:rStyle w:val="CharacterStyle9"/>
              </w:rPr>
            </w:pPr>
            <w:r>
              <w:rPr>
                <w:rStyle w:val="CharacterStyle9"/>
              </w:rPr>
              <w:t>123.000,00</w:t>
            </w:r>
          </w:p>
        </w:tc>
      </w:tr>
      <w:tr w:rsidR="007D706A" w14:paraId="1A6D8E3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A037A01"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626C49CF"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6F58750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F8F27F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1FC5FFC" w14:textId="77777777" w:rsidR="007D706A" w:rsidRDefault="007D706A" w:rsidP="00F70508">
            <w:pPr>
              <w:pStyle w:val="ParagraphStyle12"/>
              <w:rPr>
                <w:rStyle w:val="CharacterStyle12"/>
              </w:rPr>
            </w:pPr>
            <w:r>
              <w:rPr>
                <w:rStyle w:val="CharacterStyle12"/>
              </w:rPr>
              <w:t>85.000,00</w:t>
            </w:r>
          </w:p>
        </w:tc>
        <w:tc>
          <w:tcPr>
            <w:tcW w:w="1395" w:type="dxa"/>
            <w:tcBorders>
              <w:bottom w:val="single" w:sz="6" w:space="0" w:color="000000"/>
              <w:right w:val="single" w:sz="6" w:space="0" w:color="000000"/>
            </w:tcBorders>
            <w:vAlign w:val="center"/>
          </w:tcPr>
          <w:p w14:paraId="69FAFDB1" w14:textId="77777777" w:rsidR="007D706A" w:rsidRDefault="007D706A" w:rsidP="00F70508">
            <w:pPr>
              <w:pStyle w:val="ParagraphStyle12"/>
              <w:rPr>
                <w:rStyle w:val="CharacterStyle12"/>
              </w:rPr>
            </w:pPr>
            <w:r>
              <w:rPr>
                <w:rStyle w:val="CharacterStyle12"/>
              </w:rPr>
              <w:t>107.000,00</w:t>
            </w:r>
          </w:p>
        </w:tc>
        <w:tc>
          <w:tcPr>
            <w:tcW w:w="1395" w:type="dxa"/>
            <w:tcBorders>
              <w:bottom w:val="single" w:sz="6" w:space="0" w:color="000000"/>
              <w:right w:val="single" w:sz="6" w:space="0" w:color="000000"/>
            </w:tcBorders>
            <w:vAlign w:val="center"/>
          </w:tcPr>
          <w:p w14:paraId="5CE36383" w14:textId="77777777" w:rsidR="007D706A" w:rsidRDefault="007D706A" w:rsidP="00F70508">
            <w:pPr>
              <w:pStyle w:val="ParagraphStyle12"/>
              <w:rPr>
                <w:rStyle w:val="CharacterStyle12"/>
              </w:rPr>
            </w:pPr>
            <w:r>
              <w:rPr>
                <w:rStyle w:val="CharacterStyle12"/>
              </w:rPr>
              <w:t>123.000,00</w:t>
            </w:r>
          </w:p>
        </w:tc>
      </w:tr>
      <w:tr w:rsidR="007D706A" w14:paraId="4E4B929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7F627A6" w14:textId="77777777" w:rsidR="007D706A" w:rsidRDefault="007D706A" w:rsidP="00F70508">
            <w:pPr>
              <w:pStyle w:val="ParagraphStyle10"/>
              <w:rPr>
                <w:rStyle w:val="CharacterStyle10"/>
              </w:rPr>
            </w:pPr>
            <w:r>
              <w:rPr>
                <w:rStyle w:val="CharacterStyle10"/>
              </w:rPr>
              <w:t>42</w:t>
            </w:r>
          </w:p>
        </w:tc>
        <w:tc>
          <w:tcPr>
            <w:tcW w:w="4995" w:type="dxa"/>
            <w:tcBorders>
              <w:bottom w:val="single" w:sz="6" w:space="0" w:color="000000"/>
              <w:right w:val="single" w:sz="6" w:space="0" w:color="000000"/>
            </w:tcBorders>
            <w:vAlign w:val="center"/>
          </w:tcPr>
          <w:p w14:paraId="395C10AE"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1BF8A2F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C911A6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5AEA321" w14:textId="77777777" w:rsidR="007D706A" w:rsidRDefault="007D706A" w:rsidP="00F70508">
            <w:pPr>
              <w:pStyle w:val="ParagraphStyle12"/>
              <w:rPr>
                <w:rStyle w:val="CharacterStyle12"/>
              </w:rPr>
            </w:pPr>
            <w:r>
              <w:rPr>
                <w:rStyle w:val="CharacterStyle12"/>
              </w:rPr>
              <w:t>85.000,00</w:t>
            </w:r>
          </w:p>
        </w:tc>
        <w:tc>
          <w:tcPr>
            <w:tcW w:w="1395" w:type="dxa"/>
            <w:tcBorders>
              <w:bottom w:val="single" w:sz="6" w:space="0" w:color="000000"/>
              <w:right w:val="single" w:sz="6" w:space="0" w:color="000000"/>
            </w:tcBorders>
            <w:vAlign w:val="center"/>
          </w:tcPr>
          <w:p w14:paraId="27B50E4B" w14:textId="77777777" w:rsidR="007D706A" w:rsidRDefault="007D706A" w:rsidP="00F70508">
            <w:pPr>
              <w:pStyle w:val="ParagraphStyle12"/>
              <w:rPr>
                <w:rStyle w:val="CharacterStyle12"/>
              </w:rPr>
            </w:pPr>
            <w:r>
              <w:rPr>
                <w:rStyle w:val="CharacterStyle12"/>
              </w:rPr>
              <w:t>107.000,00</w:t>
            </w:r>
          </w:p>
        </w:tc>
        <w:tc>
          <w:tcPr>
            <w:tcW w:w="1395" w:type="dxa"/>
            <w:tcBorders>
              <w:bottom w:val="single" w:sz="6" w:space="0" w:color="000000"/>
              <w:right w:val="single" w:sz="6" w:space="0" w:color="000000"/>
            </w:tcBorders>
            <w:vAlign w:val="center"/>
          </w:tcPr>
          <w:p w14:paraId="67F21CE6" w14:textId="77777777" w:rsidR="007D706A" w:rsidRDefault="007D706A" w:rsidP="00F70508">
            <w:pPr>
              <w:pStyle w:val="ParagraphStyle12"/>
              <w:rPr>
                <w:rStyle w:val="CharacterStyle12"/>
              </w:rPr>
            </w:pPr>
            <w:r>
              <w:rPr>
                <w:rStyle w:val="CharacterStyle12"/>
              </w:rPr>
              <w:t>123.000,00</w:t>
            </w:r>
          </w:p>
        </w:tc>
      </w:tr>
      <w:tr w:rsidR="007D706A" w14:paraId="25C1B91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443D8C4" w14:textId="77777777" w:rsidR="007D706A" w:rsidRDefault="007D706A" w:rsidP="00F70508">
            <w:pPr>
              <w:pStyle w:val="ParagraphStyle7"/>
              <w:rPr>
                <w:rStyle w:val="CharacterStyle7"/>
              </w:rPr>
            </w:pPr>
            <w:r>
              <w:rPr>
                <w:rStyle w:val="CharacterStyle7"/>
              </w:rPr>
              <w:t>Izvor financiranja 82</w:t>
            </w:r>
          </w:p>
        </w:tc>
        <w:tc>
          <w:tcPr>
            <w:tcW w:w="4995" w:type="dxa"/>
            <w:tcBorders>
              <w:bottom w:val="single" w:sz="6" w:space="0" w:color="000000"/>
              <w:right w:val="single" w:sz="6" w:space="0" w:color="000000"/>
            </w:tcBorders>
            <w:vAlign w:val="center"/>
          </w:tcPr>
          <w:p w14:paraId="79DFA13B" w14:textId="77777777" w:rsidR="007D706A" w:rsidRDefault="007D706A" w:rsidP="00F70508">
            <w:pPr>
              <w:pStyle w:val="ParagraphStyle8"/>
              <w:rPr>
                <w:rStyle w:val="CharacterStyle8"/>
              </w:rPr>
            </w:pPr>
            <w:r>
              <w:rPr>
                <w:rStyle w:val="CharacterStyle8"/>
              </w:rPr>
              <w:t>Preneseni viškovi iz ranijih godina</w:t>
            </w:r>
          </w:p>
        </w:tc>
        <w:tc>
          <w:tcPr>
            <w:tcW w:w="1395" w:type="dxa"/>
            <w:tcBorders>
              <w:bottom w:val="single" w:sz="6" w:space="0" w:color="000000"/>
              <w:right w:val="single" w:sz="6" w:space="0" w:color="000000"/>
            </w:tcBorders>
            <w:vAlign w:val="center"/>
          </w:tcPr>
          <w:p w14:paraId="13393FF5"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65766A9" w14:textId="77777777" w:rsidR="007D706A" w:rsidRDefault="007D706A" w:rsidP="00F70508">
            <w:pPr>
              <w:pStyle w:val="ParagraphStyle9"/>
              <w:rPr>
                <w:rStyle w:val="CharacterStyle9"/>
              </w:rPr>
            </w:pPr>
            <w:r>
              <w:rPr>
                <w:rStyle w:val="CharacterStyle9"/>
              </w:rPr>
              <w:t>49.500,00</w:t>
            </w:r>
          </w:p>
        </w:tc>
        <w:tc>
          <w:tcPr>
            <w:tcW w:w="1395" w:type="dxa"/>
            <w:tcBorders>
              <w:bottom w:val="single" w:sz="6" w:space="0" w:color="000000"/>
              <w:right w:val="single" w:sz="6" w:space="0" w:color="000000"/>
            </w:tcBorders>
            <w:vAlign w:val="center"/>
          </w:tcPr>
          <w:p w14:paraId="320A0DE7"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6C42CB6"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EF41B21" w14:textId="77777777" w:rsidR="007D706A" w:rsidRDefault="007D706A" w:rsidP="00F70508">
            <w:pPr>
              <w:pStyle w:val="ParagraphStyle9"/>
              <w:rPr>
                <w:rStyle w:val="CharacterStyle9"/>
              </w:rPr>
            </w:pPr>
            <w:r>
              <w:rPr>
                <w:rStyle w:val="CharacterStyle9"/>
              </w:rPr>
              <w:t>0,00</w:t>
            </w:r>
          </w:p>
        </w:tc>
      </w:tr>
      <w:tr w:rsidR="007D706A" w14:paraId="3314C0E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3E6D485"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19739D07"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035BDD8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64F330D" w14:textId="77777777" w:rsidR="007D706A" w:rsidRDefault="007D706A" w:rsidP="00F70508">
            <w:pPr>
              <w:pStyle w:val="ParagraphStyle12"/>
              <w:rPr>
                <w:rStyle w:val="CharacterStyle12"/>
              </w:rPr>
            </w:pPr>
            <w:r>
              <w:rPr>
                <w:rStyle w:val="CharacterStyle12"/>
              </w:rPr>
              <w:t>49.500,00</w:t>
            </w:r>
          </w:p>
        </w:tc>
        <w:tc>
          <w:tcPr>
            <w:tcW w:w="1395" w:type="dxa"/>
            <w:tcBorders>
              <w:bottom w:val="single" w:sz="6" w:space="0" w:color="000000"/>
              <w:right w:val="single" w:sz="6" w:space="0" w:color="000000"/>
            </w:tcBorders>
            <w:vAlign w:val="center"/>
          </w:tcPr>
          <w:p w14:paraId="576668D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ED0E85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F6DD1C0" w14:textId="77777777" w:rsidR="007D706A" w:rsidRDefault="007D706A" w:rsidP="00F70508">
            <w:pPr>
              <w:pStyle w:val="ParagraphStyle12"/>
              <w:rPr>
                <w:rStyle w:val="CharacterStyle12"/>
              </w:rPr>
            </w:pPr>
            <w:r>
              <w:rPr>
                <w:rStyle w:val="CharacterStyle12"/>
              </w:rPr>
              <w:t>0,00</w:t>
            </w:r>
          </w:p>
        </w:tc>
      </w:tr>
      <w:tr w:rsidR="007D706A" w14:paraId="466FD33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E38B455" w14:textId="77777777" w:rsidR="007D706A" w:rsidRDefault="007D706A" w:rsidP="00F70508">
            <w:pPr>
              <w:pStyle w:val="ParagraphStyle10"/>
              <w:rPr>
                <w:rStyle w:val="CharacterStyle10"/>
              </w:rPr>
            </w:pPr>
            <w:r>
              <w:rPr>
                <w:rStyle w:val="CharacterStyle10"/>
              </w:rPr>
              <w:t>42</w:t>
            </w:r>
          </w:p>
        </w:tc>
        <w:tc>
          <w:tcPr>
            <w:tcW w:w="4995" w:type="dxa"/>
            <w:tcBorders>
              <w:bottom w:val="single" w:sz="6" w:space="0" w:color="000000"/>
              <w:right w:val="single" w:sz="6" w:space="0" w:color="000000"/>
            </w:tcBorders>
            <w:vAlign w:val="center"/>
          </w:tcPr>
          <w:p w14:paraId="206B01FD"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443809F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4E35EBD" w14:textId="77777777" w:rsidR="007D706A" w:rsidRDefault="007D706A" w:rsidP="00F70508">
            <w:pPr>
              <w:pStyle w:val="ParagraphStyle12"/>
              <w:rPr>
                <w:rStyle w:val="CharacterStyle12"/>
              </w:rPr>
            </w:pPr>
            <w:r>
              <w:rPr>
                <w:rStyle w:val="CharacterStyle12"/>
              </w:rPr>
              <w:t>49.500,00</w:t>
            </w:r>
          </w:p>
        </w:tc>
        <w:tc>
          <w:tcPr>
            <w:tcW w:w="1395" w:type="dxa"/>
            <w:tcBorders>
              <w:bottom w:val="single" w:sz="6" w:space="0" w:color="000000"/>
              <w:right w:val="single" w:sz="6" w:space="0" w:color="000000"/>
            </w:tcBorders>
            <w:vAlign w:val="center"/>
          </w:tcPr>
          <w:p w14:paraId="11B644D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87CA1B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0548B47" w14:textId="77777777" w:rsidR="007D706A" w:rsidRDefault="007D706A" w:rsidP="00F70508">
            <w:pPr>
              <w:pStyle w:val="ParagraphStyle12"/>
              <w:rPr>
                <w:rStyle w:val="CharacterStyle12"/>
              </w:rPr>
            </w:pPr>
            <w:r>
              <w:rPr>
                <w:rStyle w:val="CharacterStyle12"/>
              </w:rPr>
              <w:t>0,00</w:t>
            </w:r>
          </w:p>
        </w:tc>
      </w:tr>
      <w:tr w:rsidR="007D706A" w14:paraId="58D70DD6"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B060C0B" w14:textId="77777777" w:rsidR="007D706A" w:rsidRDefault="007D706A" w:rsidP="00F70508">
            <w:pPr>
              <w:pStyle w:val="ParagraphStyle4"/>
              <w:rPr>
                <w:rStyle w:val="CharacterStyle4"/>
              </w:rPr>
            </w:pPr>
            <w:r>
              <w:rPr>
                <w:rStyle w:val="CharacterStyle4"/>
              </w:rPr>
              <w:t>PROGRAM    1013</w:t>
            </w:r>
          </w:p>
        </w:tc>
        <w:tc>
          <w:tcPr>
            <w:tcW w:w="4995" w:type="dxa"/>
            <w:tcBorders>
              <w:bottom w:val="single" w:sz="6" w:space="0" w:color="000000"/>
              <w:right w:val="single" w:sz="6" w:space="0" w:color="000000"/>
            </w:tcBorders>
            <w:vAlign w:val="center"/>
          </w:tcPr>
          <w:p w14:paraId="4208D2EB" w14:textId="77777777" w:rsidR="007D706A" w:rsidRDefault="007D706A" w:rsidP="00F70508">
            <w:pPr>
              <w:pStyle w:val="ParagraphStyle5"/>
              <w:rPr>
                <w:rStyle w:val="CharacterStyle5"/>
              </w:rPr>
            </w:pPr>
            <w:r>
              <w:rPr>
                <w:rStyle w:val="CharacterStyle5"/>
              </w:rPr>
              <w:t>INVESTICIJSKO ODRŽAVANJE OBJEKATA</w:t>
            </w:r>
          </w:p>
        </w:tc>
        <w:tc>
          <w:tcPr>
            <w:tcW w:w="1395" w:type="dxa"/>
            <w:tcBorders>
              <w:bottom w:val="single" w:sz="6" w:space="0" w:color="000000"/>
              <w:right w:val="single" w:sz="6" w:space="0" w:color="000000"/>
            </w:tcBorders>
            <w:vAlign w:val="center"/>
          </w:tcPr>
          <w:p w14:paraId="679061CD"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2904ECE9" w14:textId="77777777" w:rsidR="007D706A" w:rsidRDefault="007D706A" w:rsidP="00F70508">
            <w:pPr>
              <w:pStyle w:val="ParagraphStyle6"/>
              <w:rPr>
                <w:rStyle w:val="CharacterStyle6"/>
              </w:rPr>
            </w:pPr>
            <w:r>
              <w:rPr>
                <w:rStyle w:val="CharacterStyle6"/>
              </w:rPr>
              <w:t>1.377.681,50</w:t>
            </w:r>
          </w:p>
        </w:tc>
        <w:tc>
          <w:tcPr>
            <w:tcW w:w="1395" w:type="dxa"/>
            <w:tcBorders>
              <w:bottom w:val="single" w:sz="6" w:space="0" w:color="000000"/>
              <w:right w:val="single" w:sz="6" w:space="0" w:color="000000"/>
            </w:tcBorders>
            <w:vAlign w:val="center"/>
          </w:tcPr>
          <w:p w14:paraId="3D016EA7" w14:textId="77777777" w:rsidR="007D706A" w:rsidRDefault="007D706A" w:rsidP="00F70508">
            <w:pPr>
              <w:pStyle w:val="ParagraphStyle6"/>
              <w:rPr>
                <w:rStyle w:val="CharacterStyle6"/>
              </w:rPr>
            </w:pPr>
            <w:r>
              <w:rPr>
                <w:rStyle w:val="CharacterStyle6"/>
              </w:rPr>
              <w:t>1.229.625,00</w:t>
            </w:r>
          </w:p>
        </w:tc>
        <w:tc>
          <w:tcPr>
            <w:tcW w:w="1395" w:type="dxa"/>
            <w:tcBorders>
              <w:bottom w:val="single" w:sz="6" w:space="0" w:color="000000"/>
              <w:right w:val="single" w:sz="6" w:space="0" w:color="000000"/>
            </w:tcBorders>
            <w:vAlign w:val="center"/>
          </w:tcPr>
          <w:p w14:paraId="7AFEC57F" w14:textId="77777777" w:rsidR="007D706A" w:rsidRDefault="007D706A" w:rsidP="00F70508">
            <w:pPr>
              <w:pStyle w:val="ParagraphStyle6"/>
              <w:rPr>
                <w:rStyle w:val="CharacterStyle6"/>
              </w:rPr>
            </w:pPr>
            <w:r>
              <w:rPr>
                <w:rStyle w:val="CharacterStyle6"/>
              </w:rPr>
              <w:t>995.200,00</w:t>
            </w:r>
          </w:p>
        </w:tc>
        <w:tc>
          <w:tcPr>
            <w:tcW w:w="1395" w:type="dxa"/>
            <w:tcBorders>
              <w:bottom w:val="single" w:sz="6" w:space="0" w:color="000000"/>
              <w:right w:val="single" w:sz="6" w:space="0" w:color="000000"/>
            </w:tcBorders>
            <w:vAlign w:val="center"/>
          </w:tcPr>
          <w:p w14:paraId="1AEB8842" w14:textId="77777777" w:rsidR="007D706A" w:rsidRDefault="007D706A" w:rsidP="00F70508">
            <w:pPr>
              <w:pStyle w:val="ParagraphStyle6"/>
              <w:rPr>
                <w:rStyle w:val="CharacterStyle6"/>
              </w:rPr>
            </w:pPr>
            <w:r>
              <w:rPr>
                <w:rStyle w:val="CharacterStyle6"/>
              </w:rPr>
              <w:t>966.200,00</w:t>
            </w:r>
          </w:p>
        </w:tc>
      </w:tr>
      <w:tr w:rsidR="007D706A" w14:paraId="5917F5D6"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D3ABDFB" w14:textId="77777777" w:rsidR="007D706A" w:rsidRDefault="007D706A" w:rsidP="00F70508">
            <w:pPr>
              <w:pStyle w:val="ParagraphStyle4"/>
              <w:rPr>
                <w:rStyle w:val="CharacterStyle4"/>
              </w:rPr>
            </w:pPr>
            <w:r>
              <w:rPr>
                <w:rStyle w:val="CharacterStyle4"/>
              </w:rPr>
              <w:t>Aktivnost A101301</w:t>
            </w:r>
          </w:p>
        </w:tc>
        <w:tc>
          <w:tcPr>
            <w:tcW w:w="4995" w:type="dxa"/>
            <w:tcBorders>
              <w:bottom w:val="single" w:sz="6" w:space="0" w:color="000000"/>
              <w:right w:val="single" w:sz="6" w:space="0" w:color="000000"/>
            </w:tcBorders>
            <w:vAlign w:val="center"/>
          </w:tcPr>
          <w:p w14:paraId="61972DF5" w14:textId="77777777" w:rsidR="007D706A" w:rsidRDefault="007D706A" w:rsidP="00F70508">
            <w:pPr>
              <w:pStyle w:val="ParagraphStyle5"/>
              <w:rPr>
                <w:rStyle w:val="CharacterStyle5"/>
              </w:rPr>
            </w:pPr>
            <w:r>
              <w:rPr>
                <w:rStyle w:val="CharacterStyle5"/>
              </w:rPr>
              <w:t>INVESTICIJSKO ODRŽAVANJE PROMETNICA I ODVODNJE</w:t>
            </w:r>
          </w:p>
        </w:tc>
        <w:tc>
          <w:tcPr>
            <w:tcW w:w="1395" w:type="dxa"/>
            <w:tcBorders>
              <w:bottom w:val="single" w:sz="6" w:space="0" w:color="000000"/>
              <w:right w:val="single" w:sz="6" w:space="0" w:color="000000"/>
            </w:tcBorders>
            <w:vAlign w:val="center"/>
          </w:tcPr>
          <w:p w14:paraId="7FCAFFCB"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29C40F40" w14:textId="77777777" w:rsidR="007D706A" w:rsidRDefault="007D706A" w:rsidP="00F70508">
            <w:pPr>
              <w:pStyle w:val="ParagraphStyle6"/>
              <w:rPr>
                <w:rStyle w:val="CharacterStyle6"/>
              </w:rPr>
            </w:pPr>
            <w:r>
              <w:rPr>
                <w:rStyle w:val="CharacterStyle6"/>
              </w:rPr>
              <w:t>583.150,00</w:t>
            </w:r>
          </w:p>
        </w:tc>
        <w:tc>
          <w:tcPr>
            <w:tcW w:w="1395" w:type="dxa"/>
            <w:tcBorders>
              <w:bottom w:val="single" w:sz="6" w:space="0" w:color="000000"/>
              <w:right w:val="single" w:sz="6" w:space="0" w:color="000000"/>
            </w:tcBorders>
            <w:vAlign w:val="center"/>
          </w:tcPr>
          <w:p w14:paraId="6189D181" w14:textId="77777777" w:rsidR="007D706A" w:rsidRDefault="007D706A" w:rsidP="00F70508">
            <w:pPr>
              <w:pStyle w:val="ParagraphStyle6"/>
              <w:rPr>
                <w:rStyle w:val="CharacterStyle6"/>
              </w:rPr>
            </w:pPr>
            <w:r>
              <w:rPr>
                <w:rStyle w:val="CharacterStyle6"/>
              </w:rPr>
              <w:t>580.000,00</w:t>
            </w:r>
          </w:p>
        </w:tc>
        <w:tc>
          <w:tcPr>
            <w:tcW w:w="1395" w:type="dxa"/>
            <w:tcBorders>
              <w:bottom w:val="single" w:sz="6" w:space="0" w:color="000000"/>
              <w:right w:val="single" w:sz="6" w:space="0" w:color="000000"/>
            </w:tcBorders>
            <w:vAlign w:val="center"/>
          </w:tcPr>
          <w:p w14:paraId="7F373819" w14:textId="77777777" w:rsidR="007D706A" w:rsidRDefault="007D706A" w:rsidP="00F70508">
            <w:pPr>
              <w:pStyle w:val="ParagraphStyle6"/>
              <w:rPr>
                <w:rStyle w:val="CharacterStyle6"/>
              </w:rPr>
            </w:pPr>
            <w:r>
              <w:rPr>
                <w:rStyle w:val="CharacterStyle6"/>
              </w:rPr>
              <w:t>454.000,00</w:t>
            </w:r>
          </w:p>
        </w:tc>
        <w:tc>
          <w:tcPr>
            <w:tcW w:w="1395" w:type="dxa"/>
            <w:tcBorders>
              <w:bottom w:val="single" w:sz="6" w:space="0" w:color="000000"/>
              <w:right w:val="single" w:sz="6" w:space="0" w:color="000000"/>
            </w:tcBorders>
            <w:vAlign w:val="center"/>
          </w:tcPr>
          <w:p w14:paraId="0470090D" w14:textId="77777777" w:rsidR="007D706A" w:rsidRDefault="007D706A" w:rsidP="00F70508">
            <w:pPr>
              <w:pStyle w:val="ParagraphStyle6"/>
              <w:rPr>
                <w:rStyle w:val="CharacterStyle6"/>
              </w:rPr>
            </w:pPr>
            <w:r>
              <w:rPr>
                <w:rStyle w:val="CharacterStyle6"/>
              </w:rPr>
              <w:t>543.000,00</w:t>
            </w:r>
          </w:p>
        </w:tc>
      </w:tr>
      <w:tr w:rsidR="007D706A" w14:paraId="19CB2EC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73F02D7"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175C9B65"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56C22863"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1944EBB"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19D43EF" w14:textId="77777777" w:rsidR="007D706A" w:rsidRDefault="007D706A" w:rsidP="00F70508">
            <w:pPr>
              <w:pStyle w:val="ParagraphStyle9"/>
              <w:rPr>
                <w:rStyle w:val="CharacterStyle9"/>
              </w:rPr>
            </w:pPr>
            <w:r>
              <w:rPr>
                <w:rStyle w:val="CharacterStyle9"/>
              </w:rPr>
              <w:t>385.150,50</w:t>
            </w:r>
          </w:p>
        </w:tc>
        <w:tc>
          <w:tcPr>
            <w:tcW w:w="1395" w:type="dxa"/>
            <w:tcBorders>
              <w:bottom w:val="single" w:sz="6" w:space="0" w:color="000000"/>
              <w:right w:val="single" w:sz="6" w:space="0" w:color="000000"/>
            </w:tcBorders>
            <w:vAlign w:val="center"/>
          </w:tcPr>
          <w:p w14:paraId="69440628" w14:textId="77777777" w:rsidR="007D706A" w:rsidRDefault="007D706A" w:rsidP="00F70508">
            <w:pPr>
              <w:pStyle w:val="ParagraphStyle9"/>
              <w:rPr>
                <w:rStyle w:val="CharacterStyle9"/>
              </w:rPr>
            </w:pPr>
            <w:r>
              <w:rPr>
                <w:rStyle w:val="CharacterStyle9"/>
              </w:rPr>
              <w:t>250.000,00</w:t>
            </w:r>
          </w:p>
        </w:tc>
        <w:tc>
          <w:tcPr>
            <w:tcW w:w="1395" w:type="dxa"/>
            <w:tcBorders>
              <w:bottom w:val="single" w:sz="6" w:space="0" w:color="000000"/>
              <w:right w:val="single" w:sz="6" w:space="0" w:color="000000"/>
            </w:tcBorders>
            <w:vAlign w:val="center"/>
          </w:tcPr>
          <w:p w14:paraId="71AD20AB" w14:textId="77777777" w:rsidR="007D706A" w:rsidRDefault="007D706A" w:rsidP="00F70508">
            <w:pPr>
              <w:pStyle w:val="ParagraphStyle9"/>
              <w:rPr>
                <w:rStyle w:val="CharacterStyle9"/>
              </w:rPr>
            </w:pPr>
            <w:r>
              <w:rPr>
                <w:rStyle w:val="CharacterStyle9"/>
              </w:rPr>
              <w:t>302.000,00</w:t>
            </w:r>
          </w:p>
        </w:tc>
      </w:tr>
      <w:tr w:rsidR="007D706A" w14:paraId="1F12086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2CEE02A"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757A6A7F"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74546FA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64CAB6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658050E" w14:textId="77777777" w:rsidR="007D706A" w:rsidRDefault="007D706A" w:rsidP="00F70508">
            <w:pPr>
              <w:pStyle w:val="ParagraphStyle12"/>
              <w:rPr>
                <w:rStyle w:val="CharacterStyle12"/>
              </w:rPr>
            </w:pPr>
            <w:r>
              <w:rPr>
                <w:rStyle w:val="CharacterStyle12"/>
              </w:rPr>
              <w:t>385.150,50</w:t>
            </w:r>
          </w:p>
        </w:tc>
        <w:tc>
          <w:tcPr>
            <w:tcW w:w="1395" w:type="dxa"/>
            <w:tcBorders>
              <w:bottom w:val="single" w:sz="6" w:space="0" w:color="000000"/>
              <w:right w:val="single" w:sz="6" w:space="0" w:color="000000"/>
            </w:tcBorders>
            <w:vAlign w:val="center"/>
          </w:tcPr>
          <w:p w14:paraId="19C6A8E1" w14:textId="77777777" w:rsidR="007D706A" w:rsidRDefault="007D706A" w:rsidP="00F70508">
            <w:pPr>
              <w:pStyle w:val="ParagraphStyle12"/>
              <w:rPr>
                <w:rStyle w:val="CharacterStyle12"/>
              </w:rPr>
            </w:pPr>
            <w:r>
              <w:rPr>
                <w:rStyle w:val="CharacterStyle12"/>
              </w:rPr>
              <w:t>250.000,00</w:t>
            </w:r>
          </w:p>
        </w:tc>
        <w:tc>
          <w:tcPr>
            <w:tcW w:w="1395" w:type="dxa"/>
            <w:tcBorders>
              <w:bottom w:val="single" w:sz="6" w:space="0" w:color="000000"/>
              <w:right w:val="single" w:sz="6" w:space="0" w:color="000000"/>
            </w:tcBorders>
            <w:vAlign w:val="center"/>
          </w:tcPr>
          <w:p w14:paraId="75497B74" w14:textId="77777777" w:rsidR="007D706A" w:rsidRDefault="007D706A" w:rsidP="00F70508">
            <w:pPr>
              <w:pStyle w:val="ParagraphStyle12"/>
              <w:rPr>
                <w:rStyle w:val="CharacterStyle12"/>
              </w:rPr>
            </w:pPr>
            <w:r>
              <w:rPr>
                <w:rStyle w:val="CharacterStyle12"/>
              </w:rPr>
              <w:t>302.000,00</w:t>
            </w:r>
          </w:p>
        </w:tc>
      </w:tr>
      <w:tr w:rsidR="007D706A" w14:paraId="1D60426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1DA1E09"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77BEE9FA"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72230A3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54AC2B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01C698D" w14:textId="77777777" w:rsidR="007D706A" w:rsidRDefault="007D706A" w:rsidP="00F70508">
            <w:pPr>
              <w:pStyle w:val="ParagraphStyle12"/>
              <w:rPr>
                <w:rStyle w:val="CharacterStyle12"/>
              </w:rPr>
            </w:pPr>
            <w:r>
              <w:rPr>
                <w:rStyle w:val="CharacterStyle12"/>
              </w:rPr>
              <w:t>385.150,50</w:t>
            </w:r>
          </w:p>
        </w:tc>
        <w:tc>
          <w:tcPr>
            <w:tcW w:w="1395" w:type="dxa"/>
            <w:tcBorders>
              <w:bottom w:val="single" w:sz="6" w:space="0" w:color="000000"/>
              <w:right w:val="single" w:sz="6" w:space="0" w:color="000000"/>
            </w:tcBorders>
            <w:vAlign w:val="center"/>
          </w:tcPr>
          <w:p w14:paraId="3D0A3139" w14:textId="77777777" w:rsidR="007D706A" w:rsidRDefault="007D706A" w:rsidP="00F70508">
            <w:pPr>
              <w:pStyle w:val="ParagraphStyle12"/>
              <w:rPr>
                <w:rStyle w:val="CharacterStyle12"/>
              </w:rPr>
            </w:pPr>
            <w:r>
              <w:rPr>
                <w:rStyle w:val="CharacterStyle12"/>
              </w:rPr>
              <w:t>250.000,00</w:t>
            </w:r>
          </w:p>
        </w:tc>
        <w:tc>
          <w:tcPr>
            <w:tcW w:w="1395" w:type="dxa"/>
            <w:tcBorders>
              <w:bottom w:val="single" w:sz="6" w:space="0" w:color="000000"/>
              <w:right w:val="single" w:sz="6" w:space="0" w:color="000000"/>
            </w:tcBorders>
            <w:vAlign w:val="center"/>
          </w:tcPr>
          <w:p w14:paraId="4B0F19DE" w14:textId="77777777" w:rsidR="007D706A" w:rsidRDefault="007D706A" w:rsidP="00F70508">
            <w:pPr>
              <w:pStyle w:val="ParagraphStyle12"/>
              <w:rPr>
                <w:rStyle w:val="CharacterStyle12"/>
              </w:rPr>
            </w:pPr>
            <w:r>
              <w:rPr>
                <w:rStyle w:val="CharacterStyle12"/>
              </w:rPr>
              <w:t>302.000,00</w:t>
            </w:r>
          </w:p>
        </w:tc>
      </w:tr>
      <w:tr w:rsidR="007D706A" w14:paraId="05E466B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0E01A59" w14:textId="77777777" w:rsidR="007D706A" w:rsidRDefault="007D706A" w:rsidP="00F70508">
            <w:pPr>
              <w:pStyle w:val="ParagraphStyle7"/>
              <w:rPr>
                <w:rStyle w:val="CharacterStyle7"/>
              </w:rPr>
            </w:pPr>
            <w:r>
              <w:rPr>
                <w:rStyle w:val="CharacterStyle7"/>
              </w:rPr>
              <w:t>Izvor financiranja 40</w:t>
            </w:r>
          </w:p>
        </w:tc>
        <w:tc>
          <w:tcPr>
            <w:tcW w:w="4995" w:type="dxa"/>
            <w:tcBorders>
              <w:bottom w:val="single" w:sz="6" w:space="0" w:color="000000"/>
              <w:right w:val="single" w:sz="6" w:space="0" w:color="000000"/>
            </w:tcBorders>
            <w:vAlign w:val="center"/>
          </w:tcPr>
          <w:p w14:paraId="005F9344" w14:textId="77777777" w:rsidR="007D706A" w:rsidRDefault="007D706A" w:rsidP="00F70508">
            <w:pPr>
              <w:pStyle w:val="ParagraphStyle8"/>
              <w:rPr>
                <w:rStyle w:val="CharacterStyle8"/>
              </w:rPr>
            </w:pPr>
            <w:r>
              <w:rPr>
                <w:rStyle w:val="CharacterStyle8"/>
              </w:rPr>
              <w:t>Prihodi od komunalne naknade i komunalnog doprinosa</w:t>
            </w:r>
          </w:p>
        </w:tc>
        <w:tc>
          <w:tcPr>
            <w:tcW w:w="1395" w:type="dxa"/>
            <w:tcBorders>
              <w:bottom w:val="single" w:sz="6" w:space="0" w:color="000000"/>
              <w:right w:val="single" w:sz="6" w:space="0" w:color="000000"/>
            </w:tcBorders>
            <w:vAlign w:val="center"/>
          </w:tcPr>
          <w:p w14:paraId="6DA13D64"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DBD0D2E"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8AF7C7F" w14:textId="77777777" w:rsidR="007D706A" w:rsidRDefault="007D706A" w:rsidP="00F70508">
            <w:pPr>
              <w:pStyle w:val="ParagraphStyle9"/>
              <w:rPr>
                <w:rStyle w:val="CharacterStyle9"/>
              </w:rPr>
            </w:pPr>
            <w:r>
              <w:rPr>
                <w:rStyle w:val="CharacterStyle9"/>
              </w:rPr>
              <w:t>194.849,50</w:t>
            </w:r>
          </w:p>
        </w:tc>
        <w:tc>
          <w:tcPr>
            <w:tcW w:w="1395" w:type="dxa"/>
            <w:tcBorders>
              <w:bottom w:val="single" w:sz="6" w:space="0" w:color="000000"/>
              <w:right w:val="single" w:sz="6" w:space="0" w:color="000000"/>
            </w:tcBorders>
            <w:vAlign w:val="center"/>
          </w:tcPr>
          <w:p w14:paraId="3F47E55C" w14:textId="77777777" w:rsidR="007D706A" w:rsidRDefault="007D706A" w:rsidP="00F70508">
            <w:pPr>
              <w:pStyle w:val="ParagraphStyle9"/>
              <w:rPr>
                <w:rStyle w:val="CharacterStyle9"/>
              </w:rPr>
            </w:pPr>
            <w:r>
              <w:rPr>
                <w:rStyle w:val="CharacterStyle9"/>
              </w:rPr>
              <w:t>204.000,00</w:t>
            </w:r>
          </w:p>
        </w:tc>
        <w:tc>
          <w:tcPr>
            <w:tcW w:w="1395" w:type="dxa"/>
            <w:tcBorders>
              <w:bottom w:val="single" w:sz="6" w:space="0" w:color="000000"/>
              <w:right w:val="single" w:sz="6" w:space="0" w:color="000000"/>
            </w:tcBorders>
            <w:vAlign w:val="center"/>
          </w:tcPr>
          <w:p w14:paraId="4436D05D" w14:textId="77777777" w:rsidR="007D706A" w:rsidRDefault="007D706A" w:rsidP="00F70508">
            <w:pPr>
              <w:pStyle w:val="ParagraphStyle9"/>
              <w:rPr>
                <w:rStyle w:val="CharacterStyle9"/>
              </w:rPr>
            </w:pPr>
            <w:r>
              <w:rPr>
                <w:rStyle w:val="CharacterStyle9"/>
              </w:rPr>
              <w:t>241.000,00</w:t>
            </w:r>
          </w:p>
        </w:tc>
      </w:tr>
      <w:tr w:rsidR="007D706A" w14:paraId="0854603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6462A2B"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6CCC6E5D"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79B2CF3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BC413F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C3F0AB5" w14:textId="77777777" w:rsidR="007D706A" w:rsidRDefault="007D706A" w:rsidP="00F70508">
            <w:pPr>
              <w:pStyle w:val="ParagraphStyle12"/>
              <w:rPr>
                <w:rStyle w:val="CharacterStyle12"/>
              </w:rPr>
            </w:pPr>
            <w:r>
              <w:rPr>
                <w:rStyle w:val="CharacterStyle12"/>
              </w:rPr>
              <w:t>194.849,50</w:t>
            </w:r>
          </w:p>
        </w:tc>
        <w:tc>
          <w:tcPr>
            <w:tcW w:w="1395" w:type="dxa"/>
            <w:tcBorders>
              <w:bottom w:val="single" w:sz="6" w:space="0" w:color="000000"/>
              <w:right w:val="single" w:sz="6" w:space="0" w:color="000000"/>
            </w:tcBorders>
            <w:vAlign w:val="center"/>
          </w:tcPr>
          <w:p w14:paraId="698A6DA9" w14:textId="77777777" w:rsidR="007D706A" w:rsidRDefault="007D706A" w:rsidP="00F70508">
            <w:pPr>
              <w:pStyle w:val="ParagraphStyle12"/>
              <w:rPr>
                <w:rStyle w:val="CharacterStyle12"/>
              </w:rPr>
            </w:pPr>
            <w:r>
              <w:rPr>
                <w:rStyle w:val="CharacterStyle12"/>
              </w:rPr>
              <w:t>204.000,00</w:t>
            </w:r>
          </w:p>
        </w:tc>
        <w:tc>
          <w:tcPr>
            <w:tcW w:w="1395" w:type="dxa"/>
            <w:tcBorders>
              <w:bottom w:val="single" w:sz="6" w:space="0" w:color="000000"/>
              <w:right w:val="single" w:sz="6" w:space="0" w:color="000000"/>
            </w:tcBorders>
            <w:vAlign w:val="center"/>
          </w:tcPr>
          <w:p w14:paraId="7E9DD72A" w14:textId="77777777" w:rsidR="007D706A" w:rsidRDefault="007D706A" w:rsidP="00F70508">
            <w:pPr>
              <w:pStyle w:val="ParagraphStyle12"/>
              <w:rPr>
                <w:rStyle w:val="CharacterStyle12"/>
              </w:rPr>
            </w:pPr>
            <w:r>
              <w:rPr>
                <w:rStyle w:val="CharacterStyle12"/>
              </w:rPr>
              <w:t>241.000,00</w:t>
            </w:r>
          </w:p>
        </w:tc>
      </w:tr>
      <w:tr w:rsidR="007D706A" w14:paraId="647A437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7FCF946"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2EF3C899"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59636B1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60F9B6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FC9C703" w14:textId="77777777" w:rsidR="007D706A" w:rsidRDefault="007D706A" w:rsidP="00F70508">
            <w:pPr>
              <w:pStyle w:val="ParagraphStyle12"/>
              <w:rPr>
                <w:rStyle w:val="CharacterStyle12"/>
              </w:rPr>
            </w:pPr>
            <w:r>
              <w:rPr>
                <w:rStyle w:val="CharacterStyle12"/>
              </w:rPr>
              <w:t>194.849,50</w:t>
            </w:r>
          </w:p>
        </w:tc>
        <w:tc>
          <w:tcPr>
            <w:tcW w:w="1395" w:type="dxa"/>
            <w:tcBorders>
              <w:bottom w:val="single" w:sz="6" w:space="0" w:color="000000"/>
              <w:right w:val="single" w:sz="6" w:space="0" w:color="000000"/>
            </w:tcBorders>
            <w:vAlign w:val="center"/>
          </w:tcPr>
          <w:p w14:paraId="6AE49CF2" w14:textId="77777777" w:rsidR="007D706A" w:rsidRDefault="007D706A" w:rsidP="00F70508">
            <w:pPr>
              <w:pStyle w:val="ParagraphStyle12"/>
              <w:rPr>
                <w:rStyle w:val="CharacterStyle12"/>
              </w:rPr>
            </w:pPr>
            <w:r>
              <w:rPr>
                <w:rStyle w:val="CharacterStyle12"/>
              </w:rPr>
              <w:t>204.000,00</w:t>
            </w:r>
          </w:p>
        </w:tc>
        <w:tc>
          <w:tcPr>
            <w:tcW w:w="1395" w:type="dxa"/>
            <w:tcBorders>
              <w:bottom w:val="single" w:sz="6" w:space="0" w:color="000000"/>
              <w:right w:val="single" w:sz="6" w:space="0" w:color="000000"/>
            </w:tcBorders>
            <w:vAlign w:val="center"/>
          </w:tcPr>
          <w:p w14:paraId="5F65EE77" w14:textId="77777777" w:rsidR="007D706A" w:rsidRDefault="007D706A" w:rsidP="00F70508">
            <w:pPr>
              <w:pStyle w:val="ParagraphStyle12"/>
              <w:rPr>
                <w:rStyle w:val="CharacterStyle12"/>
              </w:rPr>
            </w:pPr>
            <w:r>
              <w:rPr>
                <w:rStyle w:val="CharacterStyle12"/>
              </w:rPr>
              <w:t>241.000,00</w:t>
            </w:r>
          </w:p>
        </w:tc>
      </w:tr>
      <w:tr w:rsidR="007D706A" w14:paraId="62B9B6A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17C00B4" w14:textId="77777777" w:rsidR="007D706A" w:rsidRDefault="007D706A" w:rsidP="00F70508">
            <w:pPr>
              <w:pStyle w:val="ParagraphStyle7"/>
              <w:rPr>
                <w:rStyle w:val="CharacterStyle7"/>
              </w:rPr>
            </w:pPr>
            <w:r>
              <w:rPr>
                <w:rStyle w:val="CharacterStyle7"/>
              </w:rPr>
              <w:t>Izvor financiranja 41</w:t>
            </w:r>
          </w:p>
        </w:tc>
        <w:tc>
          <w:tcPr>
            <w:tcW w:w="4995" w:type="dxa"/>
            <w:tcBorders>
              <w:bottom w:val="single" w:sz="6" w:space="0" w:color="000000"/>
              <w:right w:val="single" w:sz="6" w:space="0" w:color="000000"/>
            </w:tcBorders>
            <w:vAlign w:val="center"/>
          </w:tcPr>
          <w:p w14:paraId="4D33E19E" w14:textId="77777777" w:rsidR="007D706A" w:rsidRDefault="007D706A" w:rsidP="00F70508">
            <w:pPr>
              <w:pStyle w:val="ParagraphStyle8"/>
              <w:rPr>
                <w:rStyle w:val="CharacterStyle8"/>
              </w:rPr>
            </w:pPr>
            <w:r>
              <w:rPr>
                <w:rStyle w:val="CharacterStyle8"/>
              </w:rPr>
              <w:t>Prihodi za posebne namjene</w:t>
            </w:r>
          </w:p>
        </w:tc>
        <w:tc>
          <w:tcPr>
            <w:tcW w:w="1395" w:type="dxa"/>
            <w:tcBorders>
              <w:bottom w:val="single" w:sz="6" w:space="0" w:color="000000"/>
              <w:right w:val="single" w:sz="6" w:space="0" w:color="000000"/>
            </w:tcBorders>
            <w:vAlign w:val="center"/>
          </w:tcPr>
          <w:p w14:paraId="5A633746"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B4C6035" w14:textId="77777777" w:rsidR="007D706A" w:rsidRDefault="007D706A" w:rsidP="00F70508">
            <w:pPr>
              <w:pStyle w:val="ParagraphStyle9"/>
              <w:rPr>
                <w:rStyle w:val="CharacterStyle9"/>
              </w:rPr>
            </w:pPr>
            <w:r>
              <w:rPr>
                <w:rStyle w:val="CharacterStyle9"/>
              </w:rPr>
              <w:t>197.999,50</w:t>
            </w:r>
          </w:p>
        </w:tc>
        <w:tc>
          <w:tcPr>
            <w:tcW w:w="1395" w:type="dxa"/>
            <w:tcBorders>
              <w:bottom w:val="single" w:sz="6" w:space="0" w:color="000000"/>
              <w:right w:val="single" w:sz="6" w:space="0" w:color="000000"/>
            </w:tcBorders>
            <w:vAlign w:val="center"/>
          </w:tcPr>
          <w:p w14:paraId="2C139AAF"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72205B7"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F4204AA" w14:textId="77777777" w:rsidR="007D706A" w:rsidRDefault="007D706A" w:rsidP="00F70508">
            <w:pPr>
              <w:pStyle w:val="ParagraphStyle9"/>
              <w:rPr>
                <w:rStyle w:val="CharacterStyle9"/>
              </w:rPr>
            </w:pPr>
            <w:r>
              <w:rPr>
                <w:rStyle w:val="CharacterStyle9"/>
              </w:rPr>
              <w:t>0,00</w:t>
            </w:r>
          </w:p>
        </w:tc>
      </w:tr>
      <w:tr w:rsidR="007D706A" w14:paraId="2E78855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9A1677C"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100BBDB7"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2D79DBC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6F0B037" w14:textId="77777777" w:rsidR="007D706A" w:rsidRDefault="007D706A" w:rsidP="00F70508">
            <w:pPr>
              <w:pStyle w:val="ParagraphStyle12"/>
              <w:rPr>
                <w:rStyle w:val="CharacterStyle12"/>
              </w:rPr>
            </w:pPr>
            <w:r>
              <w:rPr>
                <w:rStyle w:val="CharacterStyle12"/>
              </w:rPr>
              <w:t>197.999,50</w:t>
            </w:r>
          </w:p>
        </w:tc>
        <w:tc>
          <w:tcPr>
            <w:tcW w:w="1395" w:type="dxa"/>
            <w:tcBorders>
              <w:bottom w:val="single" w:sz="6" w:space="0" w:color="000000"/>
              <w:right w:val="single" w:sz="6" w:space="0" w:color="000000"/>
            </w:tcBorders>
            <w:vAlign w:val="center"/>
          </w:tcPr>
          <w:p w14:paraId="4AA508C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84F334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16F1B56" w14:textId="77777777" w:rsidR="007D706A" w:rsidRDefault="007D706A" w:rsidP="00F70508">
            <w:pPr>
              <w:pStyle w:val="ParagraphStyle12"/>
              <w:rPr>
                <w:rStyle w:val="CharacterStyle12"/>
              </w:rPr>
            </w:pPr>
            <w:r>
              <w:rPr>
                <w:rStyle w:val="CharacterStyle12"/>
              </w:rPr>
              <w:t>0,00</w:t>
            </w:r>
          </w:p>
        </w:tc>
      </w:tr>
      <w:tr w:rsidR="007D706A" w14:paraId="18F2860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0A01EF0"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79CFD033"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34732DC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1AF67C8" w14:textId="77777777" w:rsidR="007D706A" w:rsidRDefault="007D706A" w:rsidP="00F70508">
            <w:pPr>
              <w:pStyle w:val="ParagraphStyle12"/>
              <w:rPr>
                <w:rStyle w:val="CharacterStyle12"/>
              </w:rPr>
            </w:pPr>
            <w:r>
              <w:rPr>
                <w:rStyle w:val="CharacterStyle12"/>
              </w:rPr>
              <w:t>197.999,50</w:t>
            </w:r>
          </w:p>
        </w:tc>
        <w:tc>
          <w:tcPr>
            <w:tcW w:w="1395" w:type="dxa"/>
            <w:tcBorders>
              <w:bottom w:val="single" w:sz="6" w:space="0" w:color="000000"/>
              <w:right w:val="single" w:sz="6" w:space="0" w:color="000000"/>
            </w:tcBorders>
            <w:vAlign w:val="center"/>
          </w:tcPr>
          <w:p w14:paraId="012D4A9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1940C2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7A3FB74" w14:textId="77777777" w:rsidR="007D706A" w:rsidRDefault="007D706A" w:rsidP="00F70508">
            <w:pPr>
              <w:pStyle w:val="ParagraphStyle12"/>
              <w:rPr>
                <w:rStyle w:val="CharacterStyle12"/>
              </w:rPr>
            </w:pPr>
            <w:r>
              <w:rPr>
                <w:rStyle w:val="CharacterStyle12"/>
              </w:rPr>
              <w:t>0,00</w:t>
            </w:r>
          </w:p>
        </w:tc>
      </w:tr>
      <w:tr w:rsidR="007D706A" w14:paraId="1A06E14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B0CA22C" w14:textId="77777777" w:rsidR="007D706A" w:rsidRDefault="007D706A" w:rsidP="00F70508">
            <w:pPr>
              <w:pStyle w:val="ParagraphStyle7"/>
              <w:rPr>
                <w:rStyle w:val="CharacterStyle7"/>
              </w:rPr>
            </w:pPr>
            <w:r>
              <w:rPr>
                <w:rStyle w:val="CharacterStyle7"/>
              </w:rPr>
              <w:t>Izvor financiranja 82</w:t>
            </w:r>
          </w:p>
        </w:tc>
        <w:tc>
          <w:tcPr>
            <w:tcW w:w="4995" w:type="dxa"/>
            <w:tcBorders>
              <w:bottom w:val="single" w:sz="6" w:space="0" w:color="000000"/>
              <w:right w:val="single" w:sz="6" w:space="0" w:color="000000"/>
            </w:tcBorders>
            <w:vAlign w:val="center"/>
          </w:tcPr>
          <w:p w14:paraId="1EB62D7B" w14:textId="77777777" w:rsidR="007D706A" w:rsidRDefault="007D706A" w:rsidP="00F70508">
            <w:pPr>
              <w:pStyle w:val="ParagraphStyle8"/>
              <w:rPr>
                <w:rStyle w:val="CharacterStyle8"/>
              </w:rPr>
            </w:pPr>
            <w:r>
              <w:rPr>
                <w:rStyle w:val="CharacterStyle8"/>
              </w:rPr>
              <w:t>Preneseni viškovi iz ranijih godina</w:t>
            </w:r>
          </w:p>
        </w:tc>
        <w:tc>
          <w:tcPr>
            <w:tcW w:w="1395" w:type="dxa"/>
            <w:tcBorders>
              <w:bottom w:val="single" w:sz="6" w:space="0" w:color="000000"/>
              <w:right w:val="single" w:sz="6" w:space="0" w:color="000000"/>
            </w:tcBorders>
            <w:vAlign w:val="center"/>
          </w:tcPr>
          <w:p w14:paraId="4DFB83B3"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4F856D3" w14:textId="77777777" w:rsidR="007D706A" w:rsidRDefault="007D706A" w:rsidP="00F70508">
            <w:pPr>
              <w:pStyle w:val="ParagraphStyle9"/>
              <w:rPr>
                <w:rStyle w:val="CharacterStyle9"/>
              </w:rPr>
            </w:pPr>
            <w:r>
              <w:rPr>
                <w:rStyle w:val="CharacterStyle9"/>
              </w:rPr>
              <w:t>385.150,50</w:t>
            </w:r>
          </w:p>
        </w:tc>
        <w:tc>
          <w:tcPr>
            <w:tcW w:w="1395" w:type="dxa"/>
            <w:tcBorders>
              <w:bottom w:val="single" w:sz="6" w:space="0" w:color="000000"/>
              <w:right w:val="single" w:sz="6" w:space="0" w:color="000000"/>
            </w:tcBorders>
            <w:vAlign w:val="center"/>
          </w:tcPr>
          <w:p w14:paraId="0627AC9B"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B156284"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E71423D" w14:textId="77777777" w:rsidR="007D706A" w:rsidRDefault="007D706A" w:rsidP="00F70508">
            <w:pPr>
              <w:pStyle w:val="ParagraphStyle9"/>
              <w:rPr>
                <w:rStyle w:val="CharacterStyle9"/>
              </w:rPr>
            </w:pPr>
            <w:r>
              <w:rPr>
                <w:rStyle w:val="CharacterStyle9"/>
              </w:rPr>
              <w:t>0,00</w:t>
            </w:r>
          </w:p>
        </w:tc>
      </w:tr>
      <w:tr w:rsidR="007D706A" w14:paraId="165C770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4FDF0DC"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6D0DF000"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4ABD262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56DDDF7" w14:textId="77777777" w:rsidR="007D706A" w:rsidRDefault="007D706A" w:rsidP="00F70508">
            <w:pPr>
              <w:pStyle w:val="ParagraphStyle12"/>
              <w:rPr>
                <w:rStyle w:val="CharacterStyle12"/>
              </w:rPr>
            </w:pPr>
            <w:r>
              <w:rPr>
                <w:rStyle w:val="CharacterStyle12"/>
              </w:rPr>
              <w:t>385.150,50</w:t>
            </w:r>
          </w:p>
        </w:tc>
        <w:tc>
          <w:tcPr>
            <w:tcW w:w="1395" w:type="dxa"/>
            <w:tcBorders>
              <w:bottom w:val="single" w:sz="6" w:space="0" w:color="000000"/>
              <w:right w:val="single" w:sz="6" w:space="0" w:color="000000"/>
            </w:tcBorders>
            <w:vAlign w:val="center"/>
          </w:tcPr>
          <w:p w14:paraId="72E93C3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8B83B5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EC929FC" w14:textId="77777777" w:rsidR="007D706A" w:rsidRDefault="007D706A" w:rsidP="00F70508">
            <w:pPr>
              <w:pStyle w:val="ParagraphStyle12"/>
              <w:rPr>
                <w:rStyle w:val="CharacterStyle12"/>
              </w:rPr>
            </w:pPr>
            <w:r>
              <w:rPr>
                <w:rStyle w:val="CharacterStyle12"/>
              </w:rPr>
              <w:t>0,00</w:t>
            </w:r>
          </w:p>
        </w:tc>
      </w:tr>
      <w:tr w:rsidR="007D706A" w14:paraId="3585F5B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44DF54B"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6DC82439"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322280C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0B39661" w14:textId="77777777" w:rsidR="007D706A" w:rsidRDefault="007D706A" w:rsidP="00F70508">
            <w:pPr>
              <w:pStyle w:val="ParagraphStyle12"/>
              <w:rPr>
                <w:rStyle w:val="CharacterStyle12"/>
              </w:rPr>
            </w:pPr>
            <w:r>
              <w:rPr>
                <w:rStyle w:val="CharacterStyle12"/>
              </w:rPr>
              <w:t>385.150,50</w:t>
            </w:r>
          </w:p>
        </w:tc>
        <w:tc>
          <w:tcPr>
            <w:tcW w:w="1395" w:type="dxa"/>
            <w:tcBorders>
              <w:bottom w:val="single" w:sz="6" w:space="0" w:color="000000"/>
              <w:right w:val="single" w:sz="6" w:space="0" w:color="000000"/>
            </w:tcBorders>
            <w:vAlign w:val="center"/>
          </w:tcPr>
          <w:p w14:paraId="349CEEA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37BD68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0E1E7CA" w14:textId="77777777" w:rsidR="007D706A" w:rsidRDefault="007D706A" w:rsidP="00F70508">
            <w:pPr>
              <w:pStyle w:val="ParagraphStyle12"/>
              <w:rPr>
                <w:rStyle w:val="CharacterStyle12"/>
              </w:rPr>
            </w:pPr>
            <w:r>
              <w:rPr>
                <w:rStyle w:val="CharacterStyle12"/>
              </w:rPr>
              <w:t>0,00</w:t>
            </w:r>
          </w:p>
        </w:tc>
      </w:tr>
      <w:tr w:rsidR="007D706A" w14:paraId="59C0989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F2F61D0" w14:textId="77777777" w:rsidR="007D706A" w:rsidRDefault="007D706A" w:rsidP="00F70508">
            <w:pPr>
              <w:pStyle w:val="ParagraphStyle4"/>
              <w:rPr>
                <w:rStyle w:val="CharacterStyle4"/>
              </w:rPr>
            </w:pPr>
            <w:r>
              <w:rPr>
                <w:rStyle w:val="CharacterStyle4"/>
              </w:rPr>
              <w:t>Aktivnost A101302</w:t>
            </w:r>
          </w:p>
        </w:tc>
        <w:tc>
          <w:tcPr>
            <w:tcW w:w="4995" w:type="dxa"/>
            <w:tcBorders>
              <w:bottom w:val="single" w:sz="6" w:space="0" w:color="000000"/>
              <w:right w:val="single" w:sz="6" w:space="0" w:color="000000"/>
            </w:tcBorders>
            <w:vAlign w:val="center"/>
          </w:tcPr>
          <w:p w14:paraId="07C85297" w14:textId="77777777" w:rsidR="007D706A" w:rsidRDefault="007D706A" w:rsidP="00F70508">
            <w:pPr>
              <w:pStyle w:val="ParagraphStyle5"/>
              <w:rPr>
                <w:rStyle w:val="CharacterStyle5"/>
              </w:rPr>
            </w:pPr>
            <w:r>
              <w:rPr>
                <w:rStyle w:val="CharacterStyle5"/>
              </w:rPr>
              <w:t>INVESTICIJSKO ODRŽAVANJE OBJEKATA JAVNE RASVJETE</w:t>
            </w:r>
          </w:p>
        </w:tc>
        <w:tc>
          <w:tcPr>
            <w:tcW w:w="1395" w:type="dxa"/>
            <w:tcBorders>
              <w:bottom w:val="single" w:sz="6" w:space="0" w:color="000000"/>
              <w:right w:val="single" w:sz="6" w:space="0" w:color="000000"/>
            </w:tcBorders>
            <w:vAlign w:val="center"/>
          </w:tcPr>
          <w:p w14:paraId="2B151F3B"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645BF2FF" w14:textId="77777777" w:rsidR="007D706A" w:rsidRDefault="007D706A" w:rsidP="00F70508">
            <w:pPr>
              <w:pStyle w:val="ParagraphStyle6"/>
              <w:rPr>
                <w:rStyle w:val="CharacterStyle6"/>
              </w:rPr>
            </w:pPr>
            <w:r>
              <w:rPr>
                <w:rStyle w:val="CharacterStyle6"/>
              </w:rPr>
              <w:t>77.750,00</w:t>
            </w:r>
          </w:p>
        </w:tc>
        <w:tc>
          <w:tcPr>
            <w:tcW w:w="1395" w:type="dxa"/>
            <w:tcBorders>
              <w:bottom w:val="single" w:sz="6" w:space="0" w:color="000000"/>
              <w:right w:val="single" w:sz="6" w:space="0" w:color="000000"/>
            </w:tcBorders>
            <w:vAlign w:val="center"/>
          </w:tcPr>
          <w:p w14:paraId="3686154D" w14:textId="77777777" w:rsidR="007D706A" w:rsidRDefault="007D706A" w:rsidP="00F70508">
            <w:pPr>
              <w:pStyle w:val="ParagraphStyle6"/>
              <w:rPr>
                <w:rStyle w:val="CharacterStyle6"/>
              </w:rPr>
            </w:pPr>
            <w:r>
              <w:rPr>
                <w:rStyle w:val="CharacterStyle6"/>
              </w:rPr>
              <w:t>78.000,00</w:t>
            </w:r>
          </w:p>
        </w:tc>
        <w:tc>
          <w:tcPr>
            <w:tcW w:w="1395" w:type="dxa"/>
            <w:tcBorders>
              <w:bottom w:val="single" w:sz="6" w:space="0" w:color="000000"/>
              <w:right w:val="single" w:sz="6" w:space="0" w:color="000000"/>
            </w:tcBorders>
            <w:vAlign w:val="center"/>
          </w:tcPr>
          <w:p w14:paraId="50EBFDB1" w14:textId="77777777" w:rsidR="007D706A" w:rsidRDefault="007D706A" w:rsidP="00F70508">
            <w:pPr>
              <w:pStyle w:val="ParagraphStyle6"/>
              <w:rPr>
                <w:rStyle w:val="CharacterStyle6"/>
              </w:rPr>
            </w:pPr>
            <w:r>
              <w:rPr>
                <w:rStyle w:val="CharacterStyle6"/>
              </w:rPr>
              <w:t>81.000,00</w:t>
            </w:r>
          </w:p>
        </w:tc>
        <w:tc>
          <w:tcPr>
            <w:tcW w:w="1395" w:type="dxa"/>
            <w:tcBorders>
              <w:bottom w:val="single" w:sz="6" w:space="0" w:color="000000"/>
              <w:right w:val="single" w:sz="6" w:space="0" w:color="000000"/>
            </w:tcBorders>
            <w:vAlign w:val="center"/>
          </w:tcPr>
          <w:p w14:paraId="08705D86" w14:textId="77777777" w:rsidR="007D706A" w:rsidRDefault="007D706A" w:rsidP="00F70508">
            <w:pPr>
              <w:pStyle w:val="ParagraphStyle6"/>
              <w:rPr>
                <w:rStyle w:val="CharacterStyle6"/>
              </w:rPr>
            </w:pPr>
            <w:r>
              <w:rPr>
                <w:rStyle w:val="CharacterStyle6"/>
              </w:rPr>
              <w:t>82.100,00</w:t>
            </w:r>
          </w:p>
        </w:tc>
      </w:tr>
      <w:tr w:rsidR="007D706A" w14:paraId="1574AC9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CAA1066" w14:textId="77777777" w:rsidR="007D706A" w:rsidRDefault="007D706A" w:rsidP="00F70508">
            <w:pPr>
              <w:pStyle w:val="ParagraphStyle7"/>
              <w:rPr>
                <w:rStyle w:val="CharacterStyle7"/>
              </w:rPr>
            </w:pPr>
            <w:r>
              <w:rPr>
                <w:rStyle w:val="CharacterStyle7"/>
              </w:rPr>
              <w:t>Izvor financiranja 40</w:t>
            </w:r>
          </w:p>
        </w:tc>
        <w:tc>
          <w:tcPr>
            <w:tcW w:w="4995" w:type="dxa"/>
            <w:tcBorders>
              <w:bottom w:val="single" w:sz="6" w:space="0" w:color="000000"/>
              <w:right w:val="single" w:sz="6" w:space="0" w:color="000000"/>
            </w:tcBorders>
            <w:vAlign w:val="center"/>
          </w:tcPr>
          <w:p w14:paraId="33440075" w14:textId="77777777" w:rsidR="007D706A" w:rsidRDefault="007D706A" w:rsidP="00F70508">
            <w:pPr>
              <w:pStyle w:val="ParagraphStyle8"/>
              <w:rPr>
                <w:rStyle w:val="CharacterStyle8"/>
              </w:rPr>
            </w:pPr>
            <w:r>
              <w:rPr>
                <w:rStyle w:val="CharacterStyle8"/>
              </w:rPr>
              <w:t>Prihodi od komunalne naknade i komunalnog doprinosa</w:t>
            </w:r>
          </w:p>
        </w:tc>
        <w:tc>
          <w:tcPr>
            <w:tcW w:w="1395" w:type="dxa"/>
            <w:tcBorders>
              <w:bottom w:val="single" w:sz="6" w:space="0" w:color="000000"/>
              <w:right w:val="single" w:sz="6" w:space="0" w:color="000000"/>
            </w:tcBorders>
            <w:vAlign w:val="center"/>
          </w:tcPr>
          <w:p w14:paraId="52D25574"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A2531E2"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FF796C6" w14:textId="77777777" w:rsidR="007D706A" w:rsidRDefault="007D706A" w:rsidP="00F70508">
            <w:pPr>
              <w:pStyle w:val="ParagraphStyle9"/>
              <w:rPr>
                <w:rStyle w:val="CharacterStyle9"/>
              </w:rPr>
            </w:pPr>
            <w:r>
              <w:rPr>
                <w:rStyle w:val="CharacterStyle9"/>
              </w:rPr>
              <w:t>78.000,00</w:t>
            </w:r>
          </w:p>
        </w:tc>
        <w:tc>
          <w:tcPr>
            <w:tcW w:w="1395" w:type="dxa"/>
            <w:tcBorders>
              <w:bottom w:val="single" w:sz="6" w:space="0" w:color="000000"/>
              <w:right w:val="single" w:sz="6" w:space="0" w:color="000000"/>
            </w:tcBorders>
            <w:vAlign w:val="center"/>
          </w:tcPr>
          <w:p w14:paraId="48600471" w14:textId="77777777" w:rsidR="007D706A" w:rsidRDefault="007D706A" w:rsidP="00F70508">
            <w:pPr>
              <w:pStyle w:val="ParagraphStyle9"/>
              <w:rPr>
                <w:rStyle w:val="CharacterStyle9"/>
              </w:rPr>
            </w:pPr>
            <w:r>
              <w:rPr>
                <w:rStyle w:val="CharacterStyle9"/>
              </w:rPr>
              <w:t>81.000,00</w:t>
            </w:r>
          </w:p>
        </w:tc>
        <w:tc>
          <w:tcPr>
            <w:tcW w:w="1395" w:type="dxa"/>
            <w:tcBorders>
              <w:bottom w:val="single" w:sz="6" w:space="0" w:color="000000"/>
              <w:right w:val="single" w:sz="6" w:space="0" w:color="000000"/>
            </w:tcBorders>
            <w:vAlign w:val="center"/>
          </w:tcPr>
          <w:p w14:paraId="26974D14" w14:textId="77777777" w:rsidR="007D706A" w:rsidRDefault="007D706A" w:rsidP="00F70508">
            <w:pPr>
              <w:pStyle w:val="ParagraphStyle9"/>
              <w:rPr>
                <w:rStyle w:val="CharacterStyle9"/>
              </w:rPr>
            </w:pPr>
            <w:r>
              <w:rPr>
                <w:rStyle w:val="CharacterStyle9"/>
              </w:rPr>
              <w:t>82.100,00</w:t>
            </w:r>
          </w:p>
        </w:tc>
      </w:tr>
      <w:tr w:rsidR="007D706A" w14:paraId="38B3F45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80D0846"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670337D9"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0182788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55737E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E075BDF" w14:textId="77777777" w:rsidR="007D706A" w:rsidRDefault="007D706A" w:rsidP="00F70508">
            <w:pPr>
              <w:pStyle w:val="ParagraphStyle12"/>
              <w:rPr>
                <w:rStyle w:val="CharacterStyle12"/>
              </w:rPr>
            </w:pPr>
            <w:r>
              <w:rPr>
                <w:rStyle w:val="CharacterStyle12"/>
              </w:rPr>
              <w:t>78.000,00</w:t>
            </w:r>
          </w:p>
        </w:tc>
        <w:tc>
          <w:tcPr>
            <w:tcW w:w="1395" w:type="dxa"/>
            <w:tcBorders>
              <w:bottom w:val="single" w:sz="6" w:space="0" w:color="000000"/>
              <w:right w:val="single" w:sz="6" w:space="0" w:color="000000"/>
            </w:tcBorders>
            <w:vAlign w:val="center"/>
          </w:tcPr>
          <w:p w14:paraId="7B5C7AFE" w14:textId="77777777" w:rsidR="007D706A" w:rsidRDefault="007D706A" w:rsidP="00F70508">
            <w:pPr>
              <w:pStyle w:val="ParagraphStyle12"/>
              <w:rPr>
                <w:rStyle w:val="CharacterStyle12"/>
              </w:rPr>
            </w:pPr>
            <w:r>
              <w:rPr>
                <w:rStyle w:val="CharacterStyle12"/>
              </w:rPr>
              <w:t>81.000,00</w:t>
            </w:r>
          </w:p>
        </w:tc>
        <w:tc>
          <w:tcPr>
            <w:tcW w:w="1395" w:type="dxa"/>
            <w:tcBorders>
              <w:bottom w:val="single" w:sz="6" w:space="0" w:color="000000"/>
              <w:right w:val="single" w:sz="6" w:space="0" w:color="000000"/>
            </w:tcBorders>
            <w:vAlign w:val="center"/>
          </w:tcPr>
          <w:p w14:paraId="25E76254" w14:textId="77777777" w:rsidR="007D706A" w:rsidRDefault="007D706A" w:rsidP="00F70508">
            <w:pPr>
              <w:pStyle w:val="ParagraphStyle12"/>
              <w:rPr>
                <w:rStyle w:val="CharacterStyle12"/>
              </w:rPr>
            </w:pPr>
            <w:r>
              <w:rPr>
                <w:rStyle w:val="CharacterStyle12"/>
              </w:rPr>
              <w:t>82.100,00</w:t>
            </w:r>
          </w:p>
        </w:tc>
      </w:tr>
      <w:tr w:rsidR="007D706A" w14:paraId="23F5271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AB0FCC0"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22DD4178"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1D256BC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FA4098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30D88C3" w14:textId="77777777" w:rsidR="007D706A" w:rsidRDefault="007D706A" w:rsidP="00F70508">
            <w:pPr>
              <w:pStyle w:val="ParagraphStyle12"/>
              <w:rPr>
                <w:rStyle w:val="CharacterStyle12"/>
              </w:rPr>
            </w:pPr>
            <w:r>
              <w:rPr>
                <w:rStyle w:val="CharacterStyle12"/>
              </w:rPr>
              <w:t>78.000,00</w:t>
            </w:r>
          </w:p>
        </w:tc>
        <w:tc>
          <w:tcPr>
            <w:tcW w:w="1395" w:type="dxa"/>
            <w:tcBorders>
              <w:bottom w:val="single" w:sz="6" w:space="0" w:color="000000"/>
              <w:right w:val="single" w:sz="6" w:space="0" w:color="000000"/>
            </w:tcBorders>
            <w:vAlign w:val="center"/>
          </w:tcPr>
          <w:p w14:paraId="09444DBA" w14:textId="77777777" w:rsidR="007D706A" w:rsidRDefault="007D706A" w:rsidP="00F70508">
            <w:pPr>
              <w:pStyle w:val="ParagraphStyle12"/>
              <w:rPr>
                <w:rStyle w:val="CharacterStyle12"/>
              </w:rPr>
            </w:pPr>
            <w:r>
              <w:rPr>
                <w:rStyle w:val="CharacterStyle12"/>
              </w:rPr>
              <w:t>81.000,00</w:t>
            </w:r>
          </w:p>
        </w:tc>
        <w:tc>
          <w:tcPr>
            <w:tcW w:w="1395" w:type="dxa"/>
            <w:tcBorders>
              <w:bottom w:val="single" w:sz="6" w:space="0" w:color="000000"/>
              <w:right w:val="single" w:sz="6" w:space="0" w:color="000000"/>
            </w:tcBorders>
            <w:vAlign w:val="center"/>
          </w:tcPr>
          <w:p w14:paraId="1C66847B" w14:textId="77777777" w:rsidR="007D706A" w:rsidRDefault="007D706A" w:rsidP="00F70508">
            <w:pPr>
              <w:pStyle w:val="ParagraphStyle12"/>
              <w:rPr>
                <w:rStyle w:val="CharacterStyle12"/>
              </w:rPr>
            </w:pPr>
            <w:r>
              <w:rPr>
                <w:rStyle w:val="CharacterStyle12"/>
              </w:rPr>
              <w:t>82.100,00</w:t>
            </w:r>
          </w:p>
        </w:tc>
      </w:tr>
      <w:tr w:rsidR="007D706A" w14:paraId="03242A86"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EE99758" w14:textId="77777777" w:rsidR="007D706A" w:rsidRDefault="007D706A" w:rsidP="00F70508">
            <w:pPr>
              <w:pStyle w:val="ParagraphStyle7"/>
              <w:rPr>
                <w:rStyle w:val="CharacterStyle7"/>
              </w:rPr>
            </w:pPr>
            <w:r>
              <w:rPr>
                <w:rStyle w:val="CharacterStyle7"/>
              </w:rPr>
              <w:lastRenderedPageBreak/>
              <w:t>Izvor financiranja 41</w:t>
            </w:r>
          </w:p>
        </w:tc>
        <w:tc>
          <w:tcPr>
            <w:tcW w:w="4995" w:type="dxa"/>
            <w:tcBorders>
              <w:bottom w:val="single" w:sz="6" w:space="0" w:color="000000"/>
              <w:right w:val="single" w:sz="6" w:space="0" w:color="000000"/>
            </w:tcBorders>
            <w:vAlign w:val="center"/>
          </w:tcPr>
          <w:p w14:paraId="325FB35B" w14:textId="77777777" w:rsidR="007D706A" w:rsidRDefault="007D706A" w:rsidP="00F70508">
            <w:pPr>
              <w:pStyle w:val="ParagraphStyle8"/>
              <w:rPr>
                <w:rStyle w:val="CharacterStyle8"/>
              </w:rPr>
            </w:pPr>
            <w:r>
              <w:rPr>
                <w:rStyle w:val="CharacterStyle8"/>
              </w:rPr>
              <w:t>Prihodi za posebne namjene</w:t>
            </w:r>
          </w:p>
        </w:tc>
        <w:tc>
          <w:tcPr>
            <w:tcW w:w="1395" w:type="dxa"/>
            <w:tcBorders>
              <w:bottom w:val="single" w:sz="6" w:space="0" w:color="000000"/>
              <w:right w:val="single" w:sz="6" w:space="0" w:color="000000"/>
            </w:tcBorders>
            <w:vAlign w:val="center"/>
          </w:tcPr>
          <w:p w14:paraId="1C70803B"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2F40691" w14:textId="77777777" w:rsidR="007D706A" w:rsidRDefault="007D706A" w:rsidP="00F70508">
            <w:pPr>
              <w:pStyle w:val="ParagraphStyle9"/>
              <w:rPr>
                <w:rStyle w:val="CharacterStyle9"/>
              </w:rPr>
            </w:pPr>
            <w:r>
              <w:rPr>
                <w:rStyle w:val="CharacterStyle9"/>
              </w:rPr>
              <w:t>77.750,00</w:t>
            </w:r>
          </w:p>
        </w:tc>
        <w:tc>
          <w:tcPr>
            <w:tcW w:w="1395" w:type="dxa"/>
            <w:tcBorders>
              <w:bottom w:val="single" w:sz="6" w:space="0" w:color="000000"/>
              <w:right w:val="single" w:sz="6" w:space="0" w:color="000000"/>
            </w:tcBorders>
            <w:vAlign w:val="center"/>
          </w:tcPr>
          <w:p w14:paraId="06ACA5D2"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8622529"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8384E64" w14:textId="77777777" w:rsidR="007D706A" w:rsidRDefault="007D706A" w:rsidP="00F70508">
            <w:pPr>
              <w:pStyle w:val="ParagraphStyle9"/>
              <w:rPr>
                <w:rStyle w:val="CharacterStyle9"/>
              </w:rPr>
            </w:pPr>
            <w:r>
              <w:rPr>
                <w:rStyle w:val="CharacterStyle9"/>
              </w:rPr>
              <w:t>0,00</w:t>
            </w:r>
          </w:p>
        </w:tc>
      </w:tr>
      <w:tr w:rsidR="007D706A" w14:paraId="37A8504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D800224"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52DEE00B"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4B45E2F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321A0FB" w14:textId="77777777" w:rsidR="007D706A" w:rsidRDefault="007D706A" w:rsidP="00F70508">
            <w:pPr>
              <w:pStyle w:val="ParagraphStyle12"/>
              <w:rPr>
                <w:rStyle w:val="CharacterStyle12"/>
              </w:rPr>
            </w:pPr>
            <w:r>
              <w:rPr>
                <w:rStyle w:val="CharacterStyle12"/>
              </w:rPr>
              <w:t>77.750,00</w:t>
            </w:r>
          </w:p>
        </w:tc>
        <w:tc>
          <w:tcPr>
            <w:tcW w:w="1395" w:type="dxa"/>
            <w:tcBorders>
              <w:bottom w:val="single" w:sz="6" w:space="0" w:color="000000"/>
              <w:right w:val="single" w:sz="6" w:space="0" w:color="000000"/>
            </w:tcBorders>
            <w:vAlign w:val="center"/>
          </w:tcPr>
          <w:p w14:paraId="4C29A94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550F34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D927BE8" w14:textId="77777777" w:rsidR="007D706A" w:rsidRDefault="007D706A" w:rsidP="00F70508">
            <w:pPr>
              <w:pStyle w:val="ParagraphStyle12"/>
              <w:rPr>
                <w:rStyle w:val="CharacterStyle12"/>
              </w:rPr>
            </w:pPr>
            <w:r>
              <w:rPr>
                <w:rStyle w:val="CharacterStyle12"/>
              </w:rPr>
              <w:t>0,00</w:t>
            </w:r>
          </w:p>
        </w:tc>
      </w:tr>
      <w:tr w:rsidR="007D706A" w14:paraId="718CDA8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F1C2A80"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06975CA0"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77C91DB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9861380" w14:textId="77777777" w:rsidR="007D706A" w:rsidRDefault="007D706A" w:rsidP="00F70508">
            <w:pPr>
              <w:pStyle w:val="ParagraphStyle12"/>
              <w:rPr>
                <w:rStyle w:val="CharacterStyle12"/>
              </w:rPr>
            </w:pPr>
            <w:r>
              <w:rPr>
                <w:rStyle w:val="CharacterStyle12"/>
              </w:rPr>
              <w:t>77.750,00</w:t>
            </w:r>
          </w:p>
        </w:tc>
        <w:tc>
          <w:tcPr>
            <w:tcW w:w="1395" w:type="dxa"/>
            <w:tcBorders>
              <w:bottom w:val="single" w:sz="6" w:space="0" w:color="000000"/>
              <w:right w:val="single" w:sz="6" w:space="0" w:color="000000"/>
            </w:tcBorders>
            <w:vAlign w:val="center"/>
          </w:tcPr>
          <w:p w14:paraId="27A718D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07126B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FE6BA7C" w14:textId="77777777" w:rsidR="007D706A" w:rsidRDefault="007D706A" w:rsidP="00F70508">
            <w:pPr>
              <w:pStyle w:val="ParagraphStyle12"/>
              <w:rPr>
                <w:rStyle w:val="CharacterStyle12"/>
              </w:rPr>
            </w:pPr>
            <w:r>
              <w:rPr>
                <w:rStyle w:val="CharacterStyle12"/>
              </w:rPr>
              <w:t>0,00</w:t>
            </w:r>
          </w:p>
        </w:tc>
      </w:tr>
      <w:tr w:rsidR="007D706A" w14:paraId="5DC6385A" w14:textId="77777777" w:rsidTr="00F70508">
        <w:trPr>
          <w:trHeight w:val="420"/>
        </w:trPr>
        <w:tc>
          <w:tcPr>
            <w:tcW w:w="2880" w:type="dxa"/>
            <w:tcBorders>
              <w:left w:val="single" w:sz="6" w:space="0" w:color="000000"/>
              <w:bottom w:val="single" w:sz="6" w:space="0" w:color="000000"/>
              <w:right w:val="single" w:sz="6" w:space="0" w:color="000000"/>
            </w:tcBorders>
            <w:vAlign w:val="center"/>
          </w:tcPr>
          <w:p w14:paraId="43A8185A" w14:textId="77777777" w:rsidR="007D706A" w:rsidRDefault="007D706A" w:rsidP="00F70508">
            <w:pPr>
              <w:pStyle w:val="ParagraphStyle4"/>
              <w:rPr>
                <w:rStyle w:val="CharacterStyle4"/>
              </w:rPr>
            </w:pPr>
            <w:r>
              <w:rPr>
                <w:rStyle w:val="CharacterStyle4"/>
              </w:rPr>
              <w:t>Aktivnost A101303</w:t>
            </w:r>
          </w:p>
        </w:tc>
        <w:tc>
          <w:tcPr>
            <w:tcW w:w="4995" w:type="dxa"/>
            <w:tcBorders>
              <w:bottom w:val="single" w:sz="6" w:space="0" w:color="000000"/>
              <w:right w:val="single" w:sz="6" w:space="0" w:color="000000"/>
            </w:tcBorders>
            <w:vAlign w:val="center"/>
          </w:tcPr>
          <w:p w14:paraId="22BB0E3D" w14:textId="77777777" w:rsidR="007D706A" w:rsidRDefault="007D706A" w:rsidP="00F70508">
            <w:pPr>
              <w:pStyle w:val="ParagraphStyle5"/>
              <w:rPr>
                <w:rStyle w:val="CharacterStyle5"/>
              </w:rPr>
            </w:pPr>
            <w:r>
              <w:rPr>
                <w:rStyle w:val="CharacterStyle5"/>
              </w:rPr>
              <w:t>INVESTICIJSKO ODRŽAVANJE OBJEKATA DRUŠTVENIH DJELATNOSTI</w:t>
            </w:r>
          </w:p>
        </w:tc>
        <w:tc>
          <w:tcPr>
            <w:tcW w:w="1395" w:type="dxa"/>
            <w:tcBorders>
              <w:bottom w:val="single" w:sz="6" w:space="0" w:color="000000"/>
              <w:right w:val="single" w:sz="6" w:space="0" w:color="000000"/>
            </w:tcBorders>
            <w:vAlign w:val="center"/>
          </w:tcPr>
          <w:p w14:paraId="7D1DEFF5"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008B73E2" w14:textId="77777777" w:rsidR="007D706A" w:rsidRDefault="007D706A" w:rsidP="00F70508">
            <w:pPr>
              <w:pStyle w:val="ParagraphStyle6"/>
              <w:rPr>
                <w:rStyle w:val="CharacterStyle6"/>
              </w:rPr>
            </w:pPr>
            <w:r>
              <w:rPr>
                <w:rStyle w:val="CharacterStyle6"/>
              </w:rPr>
              <w:t>186.500,00</w:t>
            </w:r>
          </w:p>
        </w:tc>
        <w:tc>
          <w:tcPr>
            <w:tcW w:w="1395" w:type="dxa"/>
            <w:tcBorders>
              <w:bottom w:val="single" w:sz="6" w:space="0" w:color="000000"/>
              <w:right w:val="single" w:sz="6" w:space="0" w:color="000000"/>
            </w:tcBorders>
            <w:vAlign w:val="center"/>
          </w:tcPr>
          <w:p w14:paraId="00E94B8B" w14:textId="77777777" w:rsidR="007D706A" w:rsidRDefault="007D706A" w:rsidP="00F70508">
            <w:pPr>
              <w:pStyle w:val="ParagraphStyle6"/>
              <w:rPr>
                <w:rStyle w:val="CharacterStyle6"/>
              </w:rPr>
            </w:pPr>
            <w:r>
              <w:rPr>
                <w:rStyle w:val="CharacterStyle6"/>
              </w:rPr>
              <w:t>233.500,00</w:t>
            </w:r>
          </w:p>
        </w:tc>
        <w:tc>
          <w:tcPr>
            <w:tcW w:w="1395" w:type="dxa"/>
            <w:tcBorders>
              <w:bottom w:val="single" w:sz="6" w:space="0" w:color="000000"/>
              <w:right w:val="single" w:sz="6" w:space="0" w:color="000000"/>
            </w:tcBorders>
            <w:vAlign w:val="center"/>
          </w:tcPr>
          <w:p w14:paraId="1103CDF2" w14:textId="77777777" w:rsidR="007D706A" w:rsidRDefault="007D706A" w:rsidP="00F70508">
            <w:pPr>
              <w:pStyle w:val="ParagraphStyle6"/>
              <w:rPr>
                <w:rStyle w:val="CharacterStyle6"/>
              </w:rPr>
            </w:pPr>
            <w:r>
              <w:rPr>
                <w:rStyle w:val="CharacterStyle6"/>
              </w:rPr>
              <w:t>126.000,00</w:t>
            </w:r>
          </w:p>
        </w:tc>
        <w:tc>
          <w:tcPr>
            <w:tcW w:w="1395" w:type="dxa"/>
            <w:tcBorders>
              <w:bottom w:val="single" w:sz="6" w:space="0" w:color="000000"/>
              <w:right w:val="single" w:sz="6" w:space="0" w:color="000000"/>
            </w:tcBorders>
            <w:vAlign w:val="center"/>
          </w:tcPr>
          <w:p w14:paraId="5A006F99" w14:textId="77777777" w:rsidR="007D706A" w:rsidRDefault="007D706A" w:rsidP="00F70508">
            <w:pPr>
              <w:pStyle w:val="ParagraphStyle6"/>
              <w:rPr>
                <w:rStyle w:val="CharacterStyle6"/>
              </w:rPr>
            </w:pPr>
            <w:r>
              <w:rPr>
                <w:rStyle w:val="CharacterStyle6"/>
              </w:rPr>
              <w:t>116.000,00</w:t>
            </w:r>
          </w:p>
        </w:tc>
      </w:tr>
      <w:tr w:rsidR="007D706A" w14:paraId="3BF8F50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86CCF48"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2158B6EE"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636E7DA8"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0D794E3"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9778FCD" w14:textId="77777777" w:rsidR="007D706A" w:rsidRDefault="007D706A" w:rsidP="00F70508">
            <w:pPr>
              <w:pStyle w:val="ParagraphStyle9"/>
              <w:rPr>
                <w:rStyle w:val="CharacterStyle9"/>
              </w:rPr>
            </w:pPr>
            <w:r>
              <w:rPr>
                <w:rStyle w:val="CharacterStyle9"/>
              </w:rPr>
              <w:t>75.000,00</w:t>
            </w:r>
          </w:p>
        </w:tc>
        <w:tc>
          <w:tcPr>
            <w:tcW w:w="1395" w:type="dxa"/>
            <w:tcBorders>
              <w:bottom w:val="single" w:sz="6" w:space="0" w:color="000000"/>
              <w:right w:val="single" w:sz="6" w:space="0" w:color="000000"/>
            </w:tcBorders>
            <w:vAlign w:val="center"/>
          </w:tcPr>
          <w:p w14:paraId="4AD45BF3" w14:textId="77777777" w:rsidR="007D706A" w:rsidRDefault="007D706A" w:rsidP="00F70508">
            <w:pPr>
              <w:pStyle w:val="ParagraphStyle9"/>
              <w:rPr>
                <w:rStyle w:val="CharacterStyle9"/>
              </w:rPr>
            </w:pPr>
            <w:r>
              <w:rPr>
                <w:rStyle w:val="CharacterStyle9"/>
              </w:rPr>
              <w:t>25.000,00</w:t>
            </w:r>
          </w:p>
        </w:tc>
        <w:tc>
          <w:tcPr>
            <w:tcW w:w="1395" w:type="dxa"/>
            <w:tcBorders>
              <w:bottom w:val="single" w:sz="6" w:space="0" w:color="000000"/>
              <w:right w:val="single" w:sz="6" w:space="0" w:color="000000"/>
            </w:tcBorders>
            <w:vAlign w:val="center"/>
          </w:tcPr>
          <w:p w14:paraId="4FD8671F" w14:textId="77777777" w:rsidR="007D706A" w:rsidRDefault="007D706A" w:rsidP="00F70508">
            <w:pPr>
              <w:pStyle w:val="ParagraphStyle9"/>
              <w:rPr>
                <w:rStyle w:val="CharacterStyle9"/>
              </w:rPr>
            </w:pPr>
            <w:r>
              <w:rPr>
                <w:rStyle w:val="CharacterStyle9"/>
              </w:rPr>
              <w:t>32.000,00</w:t>
            </w:r>
          </w:p>
        </w:tc>
      </w:tr>
      <w:tr w:rsidR="007D706A" w14:paraId="1920FD4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8DD663C"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40A7F153"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05E1DBB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4B6B7C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0B5EF6B" w14:textId="77777777" w:rsidR="007D706A" w:rsidRDefault="007D706A" w:rsidP="00F70508">
            <w:pPr>
              <w:pStyle w:val="ParagraphStyle12"/>
              <w:rPr>
                <w:rStyle w:val="CharacterStyle12"/>
              </w:rPr>
            </w:pPr>
            <w:r>
              <w:rPr>
                <w:rStyle w:val="CharacterStyle12"/>
              </w:rPr>
              <w:t>75.000,00</w:t>
            </w:r>
          </w:p>
        </w:tc>
        <w:tc>
          <w:tcPr>
            <w:tcW w:w="1395" w:type="dxa"/>
            <w:tcBorders>
              <w:bottom w:val="single" w:sz="6" w:space="0" w:color="000000"/>
              <w:right w:val="single" w:sz="6" w:space="0" w:color="000000"/>
            </w:tcBorders>
            <w:vAlign w:val="center"/>
          </w:tcPr>
          <w:p w14:paraId="4EAE9B56" w14:textId="77777777" w:rsidR="007D706A" w:rsidRDefault="007D706A" w:rsidP="00F70508">
            <w:pPr>
              <w:pStyle w:val="ParagraphStyle12"/>
              <w:rPr>
                <w:rStyle w:val="CharacterStyle12"/>
              </w:rPr>
            </w:pPr>
            <w:r>
              <w:rPr>
                <w:rStyle w:val="CharacterStyle12"/>
              </w:rPr>
              <w:t>25.000,00</w:t>
            </w:r>
          </w:p>
        </w:tc>
        <w:tc>
          <w:tcPr>
            <w:tcW w:w="1395" w:type="dxa"/>
            <w:tcBorders>
              <w:bottom w:val="single" w:sz="6" w:space="0" w:color="000000"/>
              <w:right w:val="single" w:sz="6" w:space="0" w:color="000000"/>
            </w:tcBorders>
            <w:vAlign w:val="center"/>
          </w:tcPr>
          <w:p w14:paraId="1B8A0650" w14:textId="77777777" w:rsidR="007D706A" w:rsidRDefault="007D706A" w:rsidP="00F70508">
            <w:pPr>
              <w:pStyle w:val="ParagraphStyle12"/>
              <w:rPr>
                <w:rStyle w:val="CharacterStyle12"/>
              </w:rPr>
            </w:pPr>
            <w:r>
              <w:rPr>
                <w:rStyle w:val="CharacterStyle12"/>
              </w:rPr>
              <w:t>32.000,00</w:t>
            </w:r>
          </w:p>
        </w:tc>
      </w:tr>
      <w:tr w:rsidR="007D706A" w14:paraId="11F6407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1A0B0C9"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2CAAC066"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2DA3D76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18C70A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3CA7A68" w14:textId="77777777" w:rsidR="007D706A" w:rsidRDefault="007D706A" w:rsidP="00F70508">
            <w:pPr>
              <w:pStyle w:val="ParagraphStyle12"/>
              <w:rPr>
                <w:rStyle w:val="CharacterStyle12"/>
              </w:rPr>
            </w:pPr>
            <w:r>
              <w:rPr>
                <w:rStyle w:val="CharacterStyle12"/>
              </w:rPr>
              <w:t>75.000,00</w:t>
            </w:r>
          </w:p>
        </w:tc>
        <w:tc>
          <w:tcPr>
            <w:tcW w:w="1395" w:type="dxa"/>
            <w:tcBorders>
              <w:bottom w:val="single" w:sz="6" w:space="0" w:color="000000"/>
              <w:right w:val="single" w:sz="6" w:space="0" w:color="000000"/>
            </w:tcBorders>
            <w:vAlign w:val="center"/>
          </w:tcPr>
          <w:p w14:paraId="09C6A30E" w14:textId="77777777" w:rsidR="007D706A" w:rsidRDefault="007D706A" w:rsidP="00F70508">
            <w:pPr>
              <w:pStyle w:val="ParagraphStyle12"/>
              <w:rPr>
                <w:rStyle w:val="CharacterStyle12"/>
              </w:rPr>
            </w:pPr>
            <w:r>
              <w:rPr>
                <w:rStyle w:val="CharacterStyle12"/>
              </w:rPr>
              <w:t>25.000,00</w:t>
            </w:r>
          </w:p>
        </w:tc>
        <w:tc>
          <w:tcPr>
            <w:tcW w:w="1395" w:type="dxa"/>
            <w:tcBorders>
              <w:bottom w:val="single" w:sz="6" w:space="0" w:color="000000"/>
              <w:right w:val="single" w:sz="6" w:space="0" w:color="000000"/>
            </w:tcBorders>
            <w:vAlign w:val="center"/>
          </w:tcPr>
          <w:p w14:paraId="246A02B3" w14:textId="77777777" w:rsidR="007D706A" w:rsidRDefault="007D706A" w:rsidP="00F70508">
            <w:pPr>
              <w:pStyle w:val="ParagraphStyle12"/>
              <w:rPr>
                <w:rStyle w:val="CharacterStyle12"/>
              </w:rPr>
            </w:pPr>
            <w:r>
              <w:rPr>
                <w:rStyle w:val="CharacterStyle12"/>
              </w:rPr>
              <w:t>32.000,00</w:t>
            </w:r>
          </w:p>
        </w:tc>
      </w:tr>
      <w:tr w:rsidR="007D706A" w14:paraId="38DBDF56"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F14AE96" w14:textId="77777777" w:rsidR="007D706A" w:rsidRDefault="007D706A" w:rsidP="00F70508">
            <w:pPr>
              <w:pStyle w:val="ParagraphStyle7"/>
              <w:rPr>
                <w:rStyle w:val="CharacterStyle7"/>
              </w:rPr>
            </w:pPr>
            <w:r>
              <w:rPr>
                <w:rStyle w:val="CharacterStyle7"/>
              </w:rPr>
              <w:t>Izvor financiranja 40</w:t>
            </w:r>
          </w:p>
        </w:tc>
        <w:tc>
          <w:tcPr>
            <w:tcW w:w="4995" w:type="dxa"/>
            <w:tcBorders>
              <w:bottom w:val="single" w:sz="6" w:space="0" w:color="000000"/>
              <w:right w:val="single" w:sz="6" w:space="0" w:color="000000"/>
            </w:tcBorders>
            <w:vAlign w:val="center"/>
          </w:tcPr>
          <w:p w14:paraId="477A8CA7" w14:textId="77777777" w:rsidR="007D706A" w:rsidRDefault="007D706A" w:rsidP="00F70508">
            <w:pPr>
              <w:pStyle w:val="ParagraphStyle8"/>
              <w:rPr>
                <w:rStyle w:val="CharacterStyle8"/>
              </w:rPr>
            </w:pPr>
            <w:r>
              <w:rPr>
                <w:rStyle w:val="CharacterStyle8"/>
              </w:rPr>
              <w:t>Prihodi od komunalne naknade i komunalnog doprinosa</w:t>
            </w:r>
          </w:p>
        </w:tc>
        <w:tc>
          <w:tcPr>
            <w:tcW w:w="1395" w:type="dxa"/>
            <w:tcBorders>
              <w:bottom w:val="single" w:sz="6" w:space="0" w:color="000000"/>
              <w:right w:val="single" w:sz="6" w:space="0" w:color="000000"/>
            </w:tcBorders>
            <w:vAlign w:val="center"/>
          </w:tcPr>
          <w:p w14:paraId="4372CC8B"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61DBD39"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DF10D8B" w14:textId="77777777" w:rsidR="007D706A" w:rsidRDefault="007D706A" w:rsidP="00F70508">
            <w:pPr>
              <w:pStyle w:val="ParagraphStyle9"/>
              <w:rPr>
                <w:rStyle w:val="CharacterStyle9"/>
              </w:rPr>
            </w:pPr>
            <w:r>
              <w:rPr>
                <w:rStyle w:val="CharacterStyle9"/>
              </w:rPr>
              <w:t>158.500,00</w:t>
            </w:r>
          </w:p>
        </w:tc>
        <w:tc>
          <w:tcPr>
            <w:tcW w:w="1395" w:type="dxa"/>
            <w:tcBorders>
              <w:bottom w:val="single" w:sz="6" w:space="0" w:color="000000"/>
              <w:right w:val="single" w:sz="6" w:space="0" w:color="000000"/>
            </w:tcBorders>
            <w:vAlign w:val="center"/>
          </w:tcPr>
          <w:p w14:paraId="03A18589" w14:textId="77777777" w:rsidR="007D706A" w:rsidRDefault="007D706A" w:rsidP="00F70508">
            <w:pPr>
              <w:pStyle w:val="ParagraphStyle9"/>
              <w:rPr>
                <w:rStyle w:val="CharacterStyle9"/>
              </w:rPr>
            </w:pPr>
            <w:r>
              <w:rPr>
                <w:rStyle w:val="CharacterStyle9"/>
              </w:rPr>
              <w:t>101.000,00</w:t>
            </w:r>
          </w:p>
        </w:tc>
        <w:tc>
          <w:tcPr>
            <w:tcW w:w="1395" w:type="dxa"/>
            <w:tcBorders>
              <w:bottom w:val="single" w:sz="6" w:space="0" w:color="000000"/>
              <w:right w:val="single" w:sz="6" w:space="0" w:color="000000"/>
            </w:tcBorders>
            <w:vAlign w:val="center"/>
          </w:tcPr>
          <w:p w14:paraId="668C8BCB" w14:textId="77777777" w:rsidR="007D706A" w:rsidRDefault="007D706A" w:rsidP="00F70508">
            <w:pPr>
              <w:pStyle w:val="ParagraphStyle9"/>
              <w:rPr>
                <w:rStyle w:val="CharacterStyle9"/>
              </w:rPr>
            </w:pPr>
            <w:r>
              <w:rPr>
                <w:rStyle w:val="CharacterStyle9"/>
              </w:rPr>
              <w:t>84.000,00</w:t>
            </w:r>
          </w:p>
        </w:tc>
      </w:tr>
      <w:tr w:rsidR="007D706A" w14:paraId="19D26C96"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613B1FE"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1CA04F9E"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4D1B1AE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3E47DE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FBE6979" w14:textId="77777777" w:rsidR="007D706A" w:rsidRDefault="007D706A" w:rsidP="00F70508">
            <w:pPr>
              <w:pStyle w:val="ParagraphStyle12"/>
              <w:rPr>
                <w:rStyle w:val="CharacterStyle12"/>
              </w:rPr>
            </w:pPr>
            <w:r>
              <w:rPr>
                <w:rStyle w:val="CharacterStyle12"/>
              </w:rPr>
              <w:t>158.500,00</w:t>
            </w:r>
          </w:p>
        </w:tc>
        <w:tc>
          <w:tcPr>
            <w:tcW w:w="1395" w:type="dxa"/>
            <w:tcBorders>
              <w:bottom w:val="single" w:sz="6" w:space="0" w:color="000000"/>
              <w:right w:val="single" w:sz="6" w:space="0" w:color="000000"/>
            </w:tcBorders>
            <w:vAlign w:val="center"/>
          </w:tcPr>
          <w:p w14:paraId="16E1120A" w14:textId="77777777" w:rsidR="007D706A" w:rsidRDefault="007D706A" w:rsidP="00F70508">
            <w:pPr>
              <w:pStyle w:val="ParagraphStyle12"/>
              <w:rPr>
                <w:rStyle w:val="CharacterStyle12"/>
              </w:rPr>
            </w:pPr>
            <w:r>
              <w:rPr>
                <w:rStyle w:val="CharacterStyle12"/>
              </w:rPr>
              <w:t>101.000,00</w:t>
            </w:r>
          </w:p>
        </w:tc>
        <w:tc>
          <w:tcPr>
            <w:tcW w:w="1395" w:type="dxa"/>
            <w:tcBorders>
              <w:bottom w:val="single" w:sz="6" w:space="0" w:color="000000"/>
              <w:right w:val="single" w:sz="6" w:space="0" w:color="000000"/>
            </w:tcBorders>
            <w:vAlign w:val="center"/>
          </w:tcPr>
          <w:p w14:paraId="537DBD42" w14:textId="77777777" w:rsidR="007D706A" w:rsidRDefault="007D706A" w:rsidP="00F70508">
            <w:pPr>
              <w:pStyle w:val="ParagraphStyle12"/>
              <w:rPr>
                <w:rStyle w:val="CharacterStyle12"/>
              </w:rPr>
            </w:pPr>
            <w:r>
              <w:rPr>
                <w:rStyle w:val="CharacterStyle12"/>
              </w:rPr>
              <w:t>84.000,00</w:t>
            </w:r>
          </w:p>
        </w:tc>
      </w:tr>
      <w:tr w:rsidR="007D706A" w14:paraId="13B7FB4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89C87A4"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680C6D8D"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3FD3A54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5791DB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276C04B" w14:textId="77777777" w:rsidR="007D706A" w:rsidRDefault="007D706A" w:rsidP="00F70508">
            <w:pPr>
              <w:pStyle w:val="ParagraphStyle12"/>
              <w:rPr>
                <w:rStyle w:val="CharacterStyle12"/>
              </w:rPr>
            </w:pPr>
            <w:r>
              <w:rPr>
                <w:rStyle w:val="CharacterStyle12"/>
              </w:rPr>
              <w:t>158.500,00</w:t>
            </w:r>
          </w:p>
        </w:tc>
        <w:tc>
          <w:tcPr>
            <w:tcW w:w="1395" w:type="dxa"/>
            <w:tcBorders>
              <w:bottom w:val="single" w:sz="6" w:space="0" w:color="000000"/>
              <w:right w:val="single" w:sz="6" w:space="0" w:color="000000"/>
            </w:tcBorders>
            <w:vAlign w:val="center"/>
          </w:tcPr>
          <w:p w14:paraId="20BBAE8D" w14:textId="77777777" w:rsidR="007D706A" w:rsidRDefault="007D706A" w:rsidP="00F70508">
            <w:pPr>
              <w:pStyle w:val="ParagraphStyle12"/>
              <w:rPr>
                <w:rStyle w:val="CharacterStyle12"/>
              </w:rPr>
            </w:pPr>
            <w:r>
              <w:rPr>
                <w:rStyle w:val="CharacterStyle12"/>
              </w:rPr>
              <w:t>101.000,00</w:t>
            </w:r>
          </w:p>
        </w:tc>
        <w:tc>
          <w:tcPr>
            <w:tcW w:w="1395" w:type="dxa"/>
            <w:tcBorders>
              <w:bottom w:val="single" w:sz="6" w:space="0" w:color="000000"/>
              <w:right w:val="single" w:sz="6" w:space="0" w:color="000000"/>
            </w:tcBorders>
            <w:vAlign w:val="center"/>
          </w:tcPr>
          <w:p w14:paraId="5B241EA1" w14:textId="77777777" w:rsidR="007D706A" w:rsidRDefault="007D706A" w:rsidP="00F70508">
            <w:pPr>
              <w:pStyle w:val="ParagraphStyle12"/>
              <w:rPr>
                <w:rStyle w:val="CharacterStyle12"/>
              </w:rPr>
            </w:pPr>
            <w:r>
              <w:rPr>
                <w:rStyle w:val="CharacterStyle12"/>
              </w:rPr>
              <w:t>84.000,00</w:t>
            </w:r>
          </w:p>
        </w:tc>
      </w:tr>
      <w:tr w:rsidR="007D706A" w14:paraId="65CCE07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43099A2" w14:textId="77777777" w:rsidR="007D706A" w:rsidRDefault="007D706A" w:rsidP="00F70508">
            <w:pPr>
              <w:pStyle w:val="ParagraphStyle7"/>
              <w:rPr>
                <w:rStyle w:val="CharacterStyle7"/>
              </w:rPr>
            </w:pPr>
            <w:r>
              <w:rPr>
                <w:rStyle w:val="CharacterStyle7"/>
              </w:rPr>
              <w:t>Izvor financiranja 41</w:t>
            </w:r>
          </w:p>
        </w:tc>
        <w:tc>
          <w:tcPr>
            <w:tcW w:w="4995" w:type="dxa"/>
            <w:tcBorders>
              <w:bottom w:val="single" w:sz="6" w:space="0" w:color="000000"/>
              <w:right w:val="single" w:sz="6" w:space="0" w:color="000000"/>
            </w:tcBorders>
            <w:vAlign w:val="center"/>
          </w:tcPr>
          <w:p w14:paraId="27829B78" w14:textId="77777777" w:rsidR="007D706A" w:rsidRDefault="007D706A" w:rsidP="00F70508">
            <w:pPr>
              <w:pStyle w:val="ParagraphStyle8"/>
              <w:rPr>
                <w:rStyle w:val="CharacterStyle8"/>
              </w:rPr>
            </w:pPr>
            <w:r>
              <w:rPr>
                <w:rStyle w:val="CharacterStyle8"/>
              </w:rPr>
              <w:t>Prihodi za posebne namjene</w:t>
            </w:r>
          </w:p>
        </w:tc>
        <w:tc>
          <w:tcPr>
            <w:tcW w:w="1395" w:type="dxa"/>
            <w:tcBorders>
              <w:bottom w:val="single" w:sz="6" w:space="0" w:color="000000"/>
              <w:right w:val="single" w:sz="6" w:space="0" w:color="000000"/>
            </w:tcBorders>
            <w:vAlign w:val="center"/>
          </w:tcPr>
          <w:p w14:paraId="5893063C"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B631C1E" w14:textId="77777777" w:rsidR="007D706A" w:rsidRDefault="007D706A" w:rsidP="00F70508">
            <w:pPr>
              <w:pStyle w:val="ParagraphStyle9"/>
              <w:rPr>
                <w:rStyle w:val="CharacterStyle9"/>
              </w:rPr>
            </w:pPr>
            <w:r>
              <w:rPr>
                <w:rStyle w:val="CharacterStyle9"/>
              </w:rPr>
              <w:t>126.500,00</w:t>
            </w:r>
          </w:p>
        </w:tc>
        <w:tc>
          <w:tcPr>
            <w:tcW w:w="1395" w:type="dxa"/>
            <w:tcBorders>
              <w:bottom w:val="single" w:sz="6" w:space="0" w:color="000000"/>
              <w:right w:val="single" w:sz="6" w:space="0" w:color="000000"/>
            </w:tcBorders>
            <w:vAlign w:val="center"/>
          </w:tcPr>
          <w:p w14:paraId="443A6917"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FDE680E"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24AAC9D" w14:textId="77777777" w:rsidR="007D706A" w:rsidRDefault="007D706A" w:rsidP="00F70508">
            <w:pPr>
              <w:pStyle w:val="ParagraphStyle9"/>
              <w:rPr>
                <w:rStyle w:val="CharacterStyle9"/>
              </w:rPr>
            </w:pPr>
            <w:r>
              <w:rPr>
                <w:rStyle w:val="CharacterStyle9"/>
              </w:rPr>
              <w:t>0,00</w:t>
            </w:r>
          </w:p>
        </w:tc>
      </w:tr>
      <w:tr w:rsidR="007D706A" w14:paraId="0036706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FCC48D6"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5B133380"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0AAB95C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39E0327" w14:textId="77777777" w:rsidR="007D706A" w:rsidRDefault="007D706A" w:rsidP="00F70508">
            <w:pPr>
              <w:pStyle w:val="ParagraphStyle12"/>
              <w:rPr>
                <w:rStyle w:val="CharacterStyle12"/>
              </w:rPr>
            </w:pPr>
            <w:r>
              <w:rPr>
                <w:rStyle w:val="CharacterStyle12"/>
              </w:rPr>
              <w:t>126.500,00</w:t>
            </w:r>
          </w:p>
        </w:tc>
        <w:tc>
          <w:tcPr>
            <w:tcW w:w="1395" w:type="dxa"/>
            <w:tcBorders>
              <w:bottom w:val="single" w:sz="6" w:space="0" w:color="000000"/>
              <w:right w:val="single" w:sz="6" w:space="0" w:color="000000"/>
            </w:tcBorders>
            <w:vAlign w:val="center"/>
          </w:tcPr>
          <w:p w14:paraId="0FEBE5C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7DAF1C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57B8F54" w14:textId="77777777" w:rsidR="007D706A" w:rsidRDefault="007D706A" w:rsidP="00F70508">
            <w:pPr>
              <w:pStyle w:val="ParagraphStyle12"/>
              <w:rPr>
                <w:rStyle w:val="CharacterStyle12"/>
              </w:rPr>
            </w:pPr>
            <w:r>
              <w:rPr>
                <w:rStyle w:val="CharacterStyle12"/>
              </w:rPr>
              <w:t>0,00</w:t>
            </w:r>
          </w:p>
        </w:tc>
      </w:tr>
      <w:tr w:rsidR="007D706A" w14:paraId="5F8D678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382953A"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03A3B74E"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3ABBD60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30F525D" w14:textId="77777777" w:rsidR="007D706A" w:rsidRDefault="007D706A" w:rsidP="00F70508">
            <w:pPr>
              <w:pStyle w:val="ParagraphStyle12"/>
              <w:rPr>
                <w:rStyle w:val="CharacterStyle12"/>
              </w:rPr>
            </w:pPr>
            <w:r>
              <w:rPr>
                <w:rStyle w:val="CharacterStyle12"/>
              </w:rPr>
              <w:t>126.500,00</w:t>
            </w:r>
          </w:p>
        </w:tc>
        <w:tc>
          <w:tcPr>
            <w:tcW w:w="1395" w:type="dxa"/>
            <w:tcBorders>
              <w:bottom w:val="single" w:sz="6" w:space="0" w:color="000000"/>
              <w:right w:val="single" w:sz="6" w:space="0" w:color="000000"/>
            </w:tcBorders>
            <w:vAlign w:val="center"/>
          </w:tcPr>
          <w:p w14:paraId="0DD7A8F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57A6DF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4D87856" w14:textId="77777777" w:rsidR="007D706A" w:rsidRDefault="007D706A" w:rsidP="00F70508">
            <w:pPr>
              <w:pStyle w:val="ParagraphStyle12"/>
              <w:rPr>
                <w:rStyle w:val="CharacterStyle12"/>
              </w:rPr>
            </w:pPr>
            <w:r>
              <w:rPr>
                <w:rStyle w:val="CharacterStyle12"/>
              </w:rPr>
              <w:t>0,00</w:t>
            </w:r>
          </w:p>
        </w:tc>
      </w:tr>
      <w:tr w:rsidR="007D706A" w14:paraId="4E48D0E6"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EC8F87C" w14:textId="77777777" w:rsidR="007D706A" w:rsidRDefault="007D706A" w:rsidP="00F70508">
            <w:pPr>
              <w:pStyle w:val="ParagraphStyle7"/>
              <w:rPr>
                <w:rStyle w:val="CharacterStyle7"/>
              </w:rPr>
            </w:pPr>
            <w:r>
              <w:rPr>
                <w:rStyle w:val="CharacterStyle7"/>
              </w:rPr>
              <w:t>Izvor financiranja 82</w:t>
            </w:r>
          </w:p>
        </w:tc>
        <w:tc>
          <w:tcPr>
            <w:tcW w:w="4995" w:type="dxa"/>
            <w:tcBorders>
              <w:bottom w:val="single" w:sz="6" w:space="0" w:color="000000"/>
              <w:right w:val="single" w:sz="6" w:space="0" w:color="000000"/>
            </w:tcBorders>
            <w:vAlign w:val="center"/>
          </w:tcPr>
          <w:p w14:paraId="0EF19C78" w14:textId="77777777" w:rsidR="007D706A" w:rsidRDefault="007D706A" w:rsidP="00F70508">
            <w:pPr>
              <w:pStyle w:val="ParagraphStyle8"/>
              <w:rPr>
                <w:rStyle w:val="CharacterStyle8"/>
              </w:rPr>
            </w:pPr>
            <w:r>
              <w:rPr>
                <w:rStyle w:val="CharacterStyle8"/>
              </w:rPr>
              <w:t>Preneseni viškovi iz ranijih godina</w:t>
            </w:r>
          </w:p>
        </w:tc>
        <w:tc>
          <w:tcPr>
            <w:tcW w:w="1395" w:type="dxa"/>
            <w:tcBorders>
              <w:bottom w:val="single" w:sz="6" w:space="0" w:color="000000"/>
              <w:right w:val="single" w:sz="6" w:space="0" w:color="000000"/>
            </w:tcBorders>
            <w:vAlign w:val="center"/>
          </w:tcPr>
          <w:p w14:paraId="660C5EE4"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3A12C9F" w14:textId="77777777" w:rsidR="007D706A" w:rsidRDefault="007D706A" w:rsidP="00F70508">
            <w:pPr>
              <w:pStyle w:val="ParagraphStyle9"/>
              <w:rPr>
                <w:rStyle w:val="CharacterStyle9"/>
              </w:rPr>
            </w:pPr>
            <w:r>
              <w:rPr>
                <w:rStyle w:val="CharacterStyle9"/>
              </w:rPr>
              <w:t>60.000,00</w:t>
            </w:r>
          </w:p>
        </w:tc>
        <w:tc>
          <w:tcPr>
            <w:tcW w:w="1395" w:type="dxa"/>
            <w:tcBorders>
              <w:bottom w:val="single" w:sz="6" w:space="0" w:color="000000"/>
              <w:right w:val="single" w:sz="6" w:space="0" w:color="000000"/>
            </w:tcBorders>
            <w:vAlign w:val="center"/>
          </w:tcPr>
          <w:p w14:paraId="5939706E"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B9B0D4C"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659CE36" w14:textId="77777777" w:rsidR="007D706A" w:rsidRDefault="007D706A" w:rsidP="00F70508">
            <w:pPr>
              <w:pStyle w:val="ParagraphStyle9"/>
              <w:rPr>
                <w:rStyle w:val="CharacterStyle9"/>
              </w:rPr>
            </w:pPr>
            <w:r>
              <w:rPr>
                <w:rStyle w:val="CharacterStyle9"/>
              </w:rPr>
              <w:t>0,00</w:t>
            </w:r>
          </w:p>
        </w:tc>
      </w:tr>
      <w:tr w:rsidR="007D706A" w14:paraId="1281078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A82D4E1"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682DA6F5"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3A6B026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64938B6" w14:textId="77777777" w:rsidR="007D706A" w:rsidRDefault="007D706A" w:rsidP="00F70508">
            <w:pPr>
              <w:pStyle w:val="ParagraphStyle12"/>
              <w:rPr>
                <w:rStyle w:val="CharacterStyle12"/>
              </w:rPr>
            </w:pPr>
            <w:r>
              <w:rPr>
                <w:rStyle w:val="CharacterStyle12"/>
              </w:rPr>
              <w:t>60.000,00</w:t>
            </w:r>
          </w:p>
        </w:tc>
        <w:tc>
          <w:tcPr>
            <w:tcW w:w="1395" w:type="dxa"/>
            <w:tcBorders>
              <w:bottom w:val="single" w:sz="6" w:space="0" w:color="000000"/>
              <w:right w:val="single" w:sz="6" w:space="0" w:color="000000"/>
            </w:tcBorders>
            <w:vAlign w:val="center"/>
          </w:tcPr>
          <w:p w14:paraId="3211768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2FD262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4ACC151" w14:textId="77777777" w:rsidR="007D706A" w:rsidRDefault="007D706A" w:rsidP="00F70508">
            <w:pPr>
              <w:pStyle w:val="ParagraphStyle12"/>
              <w:rPr>
                <w:rStyle w:val="CharacterStyle12"/>
              </w:rPr>
            </w:pPr>
            <w:r>
              <w:rPr>
                <w:rStyle w:val="CharacterStyle12"/>
              </w:rPr>
              <w:t>0,00</w:t>
            </w:r>
          </w:p>
        </w:tc>
      </w:tr>
      <w:tr w:rsidR="007D706A" w14:paraId="48FDEC8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B0AD4B4"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698EF799"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2CBD8C5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EBCA9D5" w14:textId="77777777" w:rsidR="007D706A" w:rsidRDefault="007D706A" w:rsidP="00F70508">
            <w:pPr>
              <w:pStyle w:val="ParagraphStyle12"/>
              <w:rPr>
                <w:rStyle w:val="CharacterStyle12"/>
              </w:rPr>
            </w:pPr>
            <w:r>
              <w:rPr>
                <w:rStyle w:val="CharacterStyle12"/>
              </w:rPr>
              <w:t>60.000,00</w:t>
            </w:r>
          </w:p>
        </w:tc>
        <w:tc>
          <w:tcPr>
            <w:tcW w:w="1395" w:type="dxa"/>
            <w:tcBorders>
              <w:bottom w:val="single" w:sz="6" w:space="0" w:color="000000"/>
              <w:right w:val="single" w:sz="6" w:space="0" w:color="000000"/>
            </w:tcBorders>
            <w:vAlign w:val="center"/>
          </w:tcPr>
          <w:p w14:paraId="26CC493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622828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4F72972" w14:textId="77777777" w:rsidR="007D706A" w:rsidRDefault="007D706A" w:rsidP="00F70508">
            <w:pPr>
              <w:pStyle w:val="ParagraphStyle12"/>
              <w:rPr>
                <w:rStyle w:val="CharacterStyle12"/>
              </w:rPr>
            </w:pPr>
            <w:r>
              <w:rPr>
                <w:rStyle w:val="CharacterStyle12"/>
              </w:rPr>
              <w:t>0,00</w:t>
            </w:r>
          </w:p>
        </w:tc>
      </w:tr>
      <w:tr w:rsidR="007D706A" w14:paraId="3946069D" w14:textId="77777777" w:rsidTr="00F70508">
        <w:trPr>
          <w:trHeight w:val="405"/>
        </w:trPr>
        <w:tc>
          <w:tcPr>
            <w:tcW w:w="2880" w:type="dxa"/>
            <w:tcBorders>
              <w:left w:val="single" w:sz="6" w:space="0" w:color="000000"/>
              <w:bottom w:val="single" w:sz="6" w:space="0" w:color="000000"/>
              <w:right w:val="single" w:sz="6" w:space="0" w:color="000000"/>
            </w:tcBorders>
            <w:vAlign w:val="center"/>
          </w:tcPr>
          <w:p w14:paraId="5067E975" w14:textId="77777777" w:rsidR="007D706A" w:rsidRDefault="007D706A" w:rsidP="00F70508">
            <w:pPr>
              <w:pStyle w:val="ParagraphStyle4"/>
              <w:rPr>
                <w:rStyle w:val="CharacterStyle4"/>
              </w:rPr>
            </w:pPr>
            <w:r>
              <w:rPr>
                <w:rStyle w:val="CharacterStyle4"/>
              </w:rPr>
              <w:t>Aktivnost A101304</w:t>
            </w:r>
          </w:p>
        </w:tc>
        <w:tc>
          <w:tcPr>
            <w:tcW w:w="4995" w:type="dxa"/>
            <w:tcBorders>
              <w:bottom w:val="single" w:sz="6" w:space="0" w:color="000000"/>
              <w:right w:val="single" w:sz="6" w:space="0" w:color="000000"/>
            </w:tcBorders>
            <w:vAlign w:val="center"/>
          </w:tcPr>
          <w:p w14:paraId="3D74155B" w14:textId="77777777" w:rsidR="007D706A" w:rsidRDefault="007D706A" w:rsidP="00F70508">
            <w:pPr>
              <w:pStyle w:val="ParagraphStyle5"/>
              <w:rPr>
                <w:rStyle w:val="CharacterStyle5"/>
              </w:rPr>
            </w:pPr>
            <w:r>
              <w:rPr>
                <w:rStyle w:val="CharacterStyle5"/>
              </w:rPr>
              <w:t>INVESTICIJSKO ODRŽAVANJE POSLOVNIH PROSTORA U VLASNIŠTVU GRADA</w:t>
            </w:r>
          </w:p>
        </w:tc>
        <w:tc>
          <w:tcPr>
            <w:tcW w:w="1395" w:type="dxa"/>
            <w:tcBorders>
              <w:bottom w:val="single" w:sz="6" w:space="0" w:color="000000"/>
              <w:right w:val="single" w:sz="6" w:space="0" w:color="000000"/>
            </w:tcBorders>
            <w:vAlign w:val="center"/>
          </w:tcPr>
          <w:p w14:paraId="29641475"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7F71A285" w14:textId="77777777" w:rsidR="007D706A" w:rsidRDefault="007D706A" w:rsidP="00F70508">
            <w:pPr>
              <w:pStyle w:val="ParagraphStyle6"/>
              <w:rPr>
                <w:rStyle w:val="CharacterStyle6"/>
              </w:rPr>
            </w:pPr>
            <w:r>
              <w:rPr>
                <w:rStyle w:val="CharacterStyle6"/>
              </w:rPr>
              <w:t>73.600,00</w:t>
            </w:r>
          </w:p>
        </w:tc>
        <w:tc>
          <w:tcPr>
            <w:tcW w:w="1395" w:type="dxa"/>
            <w:tcBorders>
              <w:bottom w:val="single" w:sz="6" w:space="0" w:color="000000"/>
              <w:right w:val="single" w:sz="6" w:space="0" w:color="000000"/>
            </w:tcBorders>
            <w:vAlign w:val="center"/>
          </w:tcPr>
          <w:p w14:paraId="4574B63C" w14:textId="77777777" w:rsidR="007D706A" w:rsidRDefault="007D706A" w:rsidP="00F70508">
            <w:pPr>
              <w:pStyle w:val="ParagraphStyle6"/>
              <w:rPr>
                <w:rStyle w:val="CharacterStyle6"/>
              </w:rPr>
            </w:pPr>
            <w:r>
              <w:rPr>
                <w:rStyle w:val="CharacterStyle6"/>
              </w:rPr>
              <w:t>62.500,00</w:t>
            </w:r>
          </w:p>
        </w:tc>
        <w:tc>
          <w:tcPr>
            <w:tcW w:w="1395" w:type="dxa"/>
            <w:tcBorders>
              <w:bottom w:val="single" w:sz="6" w:space="0" w:color="000000"/>
              <w:right w:val="single" w:sz="6" w:space="0" w:color="000000"/>
            </w:tcBorders>
            <w:vAlign w:val="center"/>
          </w:tcPr>
          <w:p w14:paraId="2980079F" w14:textId="77777777" w:rsidR="007D706A" w:rsidRDefault="007D706A" w:rsidP="00F70508">
            <w:pPr>
              <w:pStyle w:val="ParagraphStyle6"/>
              <w:rPr>
                <w:rStyle w:val="CharacterStyle6"/>
              </w:rPr>
            </w:pPr>
            <w:r>
              <w:rPr>
                <w:rStyle w:val="CharacterStyle6"/>
              </w:rPr>
              <w:t>41.000,00</w:t>
            </w:r>
          </w:p>
        </w:tc>
        <w:tc>
          <w:tcPr>
            <w:tcW w:w="1395" w:type="dxa"/>
            <w:tcBorders>
              <w:bottom w:val="single" w:sz="6" w:space="0" w:color="000000"/>
              <w:right w:val="single" w:sz="6" w:space="0" w:color="000000"/>
            </w:tcBorders>
            <w:vAlign w:val="center"/>
          </w:tcPr>
          <w:p w14:paraId="2FB120DA" w14:textId="77777777" w:rsidR="007D706A" w:rsidRDefault="007D706A" w:rsidP="00F70508">
            <w:pPr>
              <w:pStyle w:val="ParagraphStyle6"/>
              <w:rPr>
                <w:rStyle w:val="CharacterStyle6"/>
              </w:rPr>
            </w:pPr>
            <w:r>
              <w:rPr>
                <w:rStyle w:val="CharacterStyle6"/>
              </w:rPr>
              <w:t>35.600,00</w:t>
            </w:r>
          </w:p>
        </w:tc>
      </w:tr>
      <w:tr w:rsidR="007D706A" w14:paraId="6AB8637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E789072"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024A5656"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78DECA73"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6099A3D"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96ED554" w14:textId="77777777" w:rsidR="007D706A" w:rsidRDefault="007D706A" w:rsidP="00F70508">
            <w:pPr>
              <w:pStyle w:val="ParagraphStyle9"/>
              <w:rPr>
                <w:rStyle w:val="CharacterStyle9"/>
              </w:rPr>
            </w:pPr>
            <w:r>
              <w:rPr>
                <w:rStyle w:val="CharacterStyle9"/>
              </w:rPr>
              <w:t>62.500,00</w:t>
            </w:r>
          </w:p>
        </w:tc>
        <w:tc>
          <w:tcPr>
            <w:tcW w:w="1395" w:type="dxa"/>
            <w:tcBorders>
              <w:bottom w:val="single" w:sz="6" w:space="0" w:color="000000"/>
              <w:right w:val="single" w:sz="6" w:space="0" w:color="000000"/>
            </w:tcBorders>
            <w:vAlign w:val="center"/>
          </w:tcPr>
          <w:p w14:paraId="7BFAAFB5"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B33BBCC" w14:textId="77777777" w:rsidR="007D706A" w:rsidRDefault="007D706A" w:rsidP="00F70508">
            <w:pPr>
              <w:pStyle w:val="ParagraphStyle9"/>
              <w:rPr>
                <w:rStyle w:val="CharacterStyle9"/>
              </w:rPr>
            </w:pPr>
            <w:r>
              <w:rPr>
                <w:rStyle w:val="CharacterStyle9"/>
              </w:rPr>
              <w:t>0,00</w:t>
            </w:r>
          </w:p>
        </w:tc>
      </w:tr>
      <w:tr w:rsidR="007D706A" w14:paraId="0C8BCF3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ECD9F35"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71618433"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4519917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0EE3C4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E8C270B" w14:textId="77777777" w:rsidR="007D706A" w:rsidRDefault="007D706A" w:rsidP="00F70508">
            <w:pPr>
              <w:pStyle w:val="ParagraphStyle12"/>
              <w:rPr>
                <w:rStyle w:val="CharacterStyle12"/>
              </w:rPr>
            </w:pPr>
            <w:r>
              <w:rPr>
                <w:rStyle w:val="CharacterStyle12"/>
              </w:rPr>
              <w:t>62.500,00</w:t>
            </w:r>
          </w:p>
        </w:tc>
        <w:tc>
          <w:tcPr>
            <w:tcW w:w="1395" w:type="dxa"/>
            <w:tcBorders>
              <w:bottom w:val="single" w:sz="6" w:space="0" w:color="000000"/>
              <w:right w:val="single" w:sz="6" w:space="0" w:color="000000"/>
            </w:tcBorders>
            <w:vAlign w:val="center"/>
          </w:tcPr>
          <w:p w14:paraId="71C2BF5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7344D71" w14:textId="77777777" w:rsidR="007D706A" w:rsidRDefault="007D706A" w:rsidP="00F70508">
            <w:pPr>
              <w:pStyle w:val="ParagraphStyle12"/>
              <w:rPr>
                <w:rStyle w:val="CharacterStyle12"/>
              </w:rPr>
            </w:pPr>
            <w:r>
              <w:rPr>
                <w:rStyle w:val="CharacterStyle12"/>
              </w:rPr>
              <w:t>0,00</w:t>
            </w:r>
          </w:p>
        </w:tc>
      </w:tr>
      <w:tr w:rsidR="007D706A" w14:paraId="3263DCF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A99C27A"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27C6BD6E"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0E5DE92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3C6158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1346A6E" w14:textId="77777777" w:rsidR="007D706A" w:rsidRDefault="007D706A" w:rsidP="00F70508">
            <w:pPr>
              <w:pStyle w:val="ParagraphStyle12"/>
              <w:rPr>
                <w:rStyle w:val="CharacterStyle12"/>
              </w:rPr>
            </w:pPr>
            <w:r>
              <w:rPr>
                <w:rStyle w:val="CharacterStyle12"/>
              </w:rPr>
              <w:t>62.500,00</w:t>
            </w:r>
          </w:p>
        </w:tc>
        <w:tc>
          <w:tcPr>
            <w:tcW w:w="1395" w:type="dxa"/>
            <w:tcBorders>
              <w:bottom w:val="single" w:sz="6" w:space="0" w:color="000000"/>
              <w:right w:val="single" w:sz="6" w:space="0" w:color="000000"/>
            </w:tcBorders>
            <w:vAlign w:val="center"/>
          </w:tcPr>
          <w:p w14:paraId="72E3D30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922AD6C" w14:textId="77777777" w:rsidR="007D706A" w:rsidRDefault="007D706A" w:rsidP="00F70508">
            <w:pPr>
              <w:pStyle w:val="ParagraphStyle12"/>
              <w:rPr>
                <w:rStyle w:val="CharacterStyle12"/>
              </w:rPr>
            </w:pPr>
            <w:r>
              <w:rPr>
                <w:rStyle w:val="CharacterStyle12"/>
              </w:rPr>
              <w:t>0,00</w:t>
            </w:r>
          </w:p>
        </w:tc>
      </w:tr>
      <w:tr w:rsidR="007D706A" w14:paraId="5289F01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C214D5E" w14:textId="77777777" w:rsidR="007D706A" w:rsidRDefault="007D706A" w:rsidP="00F70508">
            <w:pPr>
              <w:pStyle w:val="ParagraphStyle7"/>
              <w:rPr>
                <w:rStyle w:val="CharacterStyle7"/>
              </w:rPr>
            </w:pPr>
            <w:r>
              <w:rPr>
                <w:rStyle w:val="CharacterStyle7"/>
              </w:rPr>
              <w:t>Izvor financiranja 40</w:t>
            </w:r>
          </w:p>
        </w:tc>
        <w:tc>
          <w:tcPr>
            <w:tcW w:w="4995" w:type="dxa"/>
            <w:tcBorders>
              <w:bottom w:val="single" w:sz="6" w:space="0" w:color="000000"/>
              <w:right w:val="single" w:sz="6" w:space="0" w:color="000000"/>
            </w:tcBorders>
            <w:vAlign w:val="center"/>
          </w:tcPr>
          <w:p w14:paraId="64A1F43A" w14:textId="77777777" w:rsidR="007D706A" w:rsidRDefault="007D706A" w:rsidP="00F70508">
            <w:pPr>
              <w:pStyle w:val="ParagraphStyle8"/>
              <w:rPr>
                <w:rStyle w:val="CharacterStyle8"/>
              </w:rPr>
            </w:pPr>
            <w:r>
              <w:rPr>
                <w:rStyle w:val="CharacterStyle8"/>
              </w:rPr>
              <w:t>Prihodi od komunalne naknade i komunalnog doprinosa</w:t>
            </w:r>
          </w:p>
        </w:tc>
        <w:tc>
          <w:tcPr>
            <w:tcW w:w="1395" w:type="dxa"/>
            <w:tcBorders>
              <w:bottom w:val="single" w:sz="6" w:space="0" w:color="000000"/>
              <w:right w:val="single" w:sz="6" w:space="0" w:color="000000"/>
            </w:tcBorders>
            <w:vAlign w:val="center"/>
          </w:tcPr>
          <w:p w14:paraId="3423302F"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4FC501E"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E9A6EF5"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59F819A" w14:textId="77777777" w:rsidR="007D706A" w:rsidRDefault="007D706A" w:rsidP="00F70508">
            <w:pPr>
              <w:pStyle w:val="ParagraphStyle9"/>
              <w:rPr>
                <w:rStyle w:val="CharacterStyle9"/>
              </w:rPr>
            </w:pPr>
            <w:r>
              <w:rPr>
                <w:rStyle w:val="CharacterStyle9"/>
              </w:rPr>
              <w:t>41.000,00</w:t>
            </w:r>
          </w:p>
        </w:tc>
        <w:tc>
          <w:tcPr>
            <w:tcW w:w="1395" w:type="dxa"/>
            <w:tcBorders>
              <w:bottom w:val="single" w:sz="6" w:space="0" w:color="000000"/>
              <w:right w:val="single" w:sz="6" w:space="0" w:color="000000"/>
            </w:tcBorders>
            <w:vAlign w:val="center"/>
          </w:tcPr>
          <w:p w14:paraId="733BA731" w14:textId="77777777" w:rsidR="007D706A" w:rsidRDefault="007D706A" w:rsidP="00F70508">
            <w:pPr>
              <w:pStyle w:val="ParagraphStyle9"/>
              <w:rPr>
                <w:rStyle w:val="CharacterStyle9"/>
              </w:rPr>
            </w:pPr>
            <w:r>
              <w:rPr>
                <w:rStyle w:val="CharacterStyle9"/>
              </w:rPr>
              <w:t>35.600,00</w:t>
            </w:r>
          </w:p>
        </w:tc>
      </w:tr>
      <w:tr w:rsidR="007D706A" w14:paraId="319C61D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0CDAFB4"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3DDA4915"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7A32896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FCE78B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EFA73E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93C3F66" w14:textId="77777777" w:rsidR="007D706A" w:rsidRDefault="007D706A" w:rsidP="00F70508">
            <w:pPr>
              <w:pStyle w:val="ParagraphStyle12"/>
              <w:rPr>
                <w:rStyle w:val="CharacterStyle12"/>
              </w:rPr>
            </w:pPr>
            <w:r>
              <w:rPr>
                <w:rStyle w:val="CharacterStyle12"/>
              </w:rPr>
              <w:t>41.000,00</w:t>
            </w:r>
          </w:p>
        </w:tc>
        <w:tc>
          <w:tcPr>
            <w:tcW w:w="1395" w:type="dxa"/>
            <w:tcBorders>
              <w:bottom w:val="single" w:sz="6" w:space="0" w:color="000000"/>
              <w:right w:val="single" w:sz="6" w:space="0" w:color="000000"/>
            </w:tcBorders>
            <w:vAlign w:val="center"/>
          </w:tcPr>
          <w:p w14:paraId="775922E3" w14:textId="77777777" w:rsidR="007D706A" w:rsidRDefault="007D706A" w:rsidP="00F70508">
            <w:pPr>
              <w:pStyle w:val="ParagraphStyle12"/>
              <w:rPr>
                <w:rStyle w:val="CharacterStyle12"/>
              </w:rPr>
            </w:pPr>
            <w:r>
              <w:rPr>
                <w:rStyle w:val="CharacterStyle12"/>
              </w:rPr>
              <w:t>35.600,00</w:t>
            </w:r>
          </w:p>
        </w:tc>
      </w:tr>
      <w:tr w:rsidR="007D706A" w14:paraId="009B96E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761526F"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4BA45F6A"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7BED3F5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7A40B0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B46FEE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DADC014" w14:textId="77777777" w:rsidR="007D706A" w:rsidRDefault="007D706A" w:rsidP="00F70508">
            <w:pPr>
              <w:pStyle w:val="ParagraphStyle12"/>
              <w:rPr>
                <w:rStyle w:val="CharacterStyle12"/>
              </w:rPr>
            </w:pPr>
            <w:r>
              <w:rPr>
                <w:rStyle w:val="CharacterStyle12"/>
              </w:rPr>
              <w:t>41.000,00</w:t>
            </w:r>
          </w:p>
        </w:tc>
        <w:tc>
          <w:tcPr>
            <w:tcW w:w="1395" w:type="dxa"/>
            <w:tcBorders>
              <w:bottom w:val="single" w:sz="6" w:space="0" w:color="000000"/>
              <w:right w:val="single" w:sz="6" w:space="0" w:color="000000"/>
            </w:tcBorders>
            <w:vAlign w:val="center"/>
          </w:tcPr>
          <w:p w14:paraId="0DAEA925" w14:textId="77777777" w:rsidR="007D706A" w:rsidRDefault="007D706A" w:rsidP="00F70508">
            <w:pPr>
              <w:pStyle w:val="ParagraphStyle12"/>
              <w:rPr>
                <w:rStyle w:val="CharacterStyle12"/>
              </w:rPr>
            </w:pPr>
            <w:r>
              <w:rPr>
                <w:rStyle w:val="CharacterStyle12"/>
              </w:rPr>
              <w:t>35.600,00</w:t>
            </w:r>
          </w:p>
        </w:tc>
      </w:tr>
      <w:tr w:rsidR="007D706A" w14:paraId="5AB474F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BF8168B" w14:textId="77777777" w:rsidR="007D706A" w:rsidRDefault="007D706A" w:rsidP="00F70508">
            <w:pPr>
              <w:pStyle w:val="ParagraphStyle7"/>
              <w:rPr>
                <w:rStyle w:val="CharacterStyle7"/>
              </w:rPr>
            </w:pPr>
            <w:r>
              <w:rPr>
                <w:rStyle w:val="CharacterStyle7"/>
              </w:rPr>
              <w:t>Izvor financiranja 41</w:t>
            </w:r>
          </w:p>
        </w:tc>
        <w:tc>
          <w:tcPr>
            <w:tcW w:w="4995" w:type="dxa"/>
            <w:tcBorders>
              <w:bottom w:val="single" w:sz="6" w:space="0" w:color="000000"/>
              <w:right w:val="single" w:sz="6" w:space="0" w:color="000000"/>
            </w:tcBorders>
            <w:vAlign w:val="center"/>
          </w:tcPr>
          <w:p w14:paraId="2785C66A" w14:textId="77777777" w:rsidR="007D706A" w:rsidRDefault="007D706A" w:rsidP="00F70508">
            <w:pPr>
              <w:pStyle w:val="ParagraphStyle8"/>
              <w:rPr>
                <w:rStyle w:val="CharacterStyle8"/>
              </w:rPr>
            </w:pPr>
            <w:r>
              <w:rPr>
                <w:rStyle w:val="CharacterStyle8"/>
              </w:rPr>
              <w:t>Prihodi za posebne namjene</w:t>
            </w:r>
          </w:p>
        </w:tc>
        <w:tc>
          <w:tcPr>
            <w:tcW w:w="1395" w:type="dxa"/>
            <w:tcBorders>
              <w:bottom w:val="single" w:sz="6" w:space="0" w:color="000000"/>
              <w:right w:val="single" w:sz="6" w:space="0" w:color="000000"/>
            </w:tcBorders>
            <w:vAlign w:val="center"/>
          </w:tcPr>
          <w:p w14:paraId="52198F86"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9A3D84E" w14:textId="77777777" w:rsidR="007D706A" w:rsidRDefault="007D706A" w:rsidP="00F70508">
            <w:pPr>
              <w:pStyle w:val="ParagraphStyle9"/>
              <w:rPr>
                <w:rStyle w:val="CharacterStyle9"/>
              </w:rPr>
            </w:pPr>
            <w:r>
              <w:rPr>
                <w:rStyle w:val="CharacterStyle9"/>
              </w:rPr>
              <w:t>73.600,00</w:t>
            </w:r>
          </w:p>
        </w:tc>
        <w:tc>
          <w:tcPr>
            <w:tcW w:w="1395" w:type="dxa"/>
            <w:tcBorders>
              <w:bottom w:val="single" w:sz="6" w:space="0" w:color="000000"/>
              <w:right w:val="single" w:sz="6" w:space="0" w:color="000000"/>
            </w:tcBorders>
            <w:vAlign w:val="center"/>
          </w:tcPr>
          <w:p w14:paraId="5DADECE5"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465EEBF"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5850243" w14:textId="77777777" w:rsidR="007D706A" w:rsidRDefault="007D706A" w:rsidP="00F70508">
            <w:pPr>
              <w:pStyle w:val="ParagraphStyle9"/>
              <w:rPr>
                <w:rStyle w:val="CharacterStyle9"/>
              </w:rPr>
            </w:pPr>
            <w:r>
              <w:rPr>
                <w:rStyle w:val="CharacterStyle9"/>
              </w:rPr>
              <w:t>0,00</w:t>
            </w:r>
          </w:p>
        </w:tc>
      </w:tr>
      <w:tr w:rsidR="007D706A" w14:paraId="17815A8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7F82383"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65773520"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293DF2F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89F3F4E" w14:textId="77777777" w:rsidR="007D706A" w:rsidRDefault="007D706A" w:rsidP="00F70508">
            <w:pPr>
              <w:pStyle w:val="ParagraphStyle12"/>
              <w:rPr>
                <w:rStyle w:val="CharacterStyle12"/>
              </w:rPr>
            </w:pPr>
            <w:r>
              <w:rPr>
                <w:rStyle w:val="CharacterStyle12"/>
              </w:rPr>
              <w:t>73.600,00</w:t>
            </w:r>
          </w:p>
        </w:tc>
        <w:tc>
          <w:tcPr>
            <w:tcW w:w="1395" w:type="dxa"/>
            <w:tcBorders>
              <w:bottom w:val="single" w:sz="6" w:space="0" w:color="000000"/>
              <w:right w:val="single" w:sz="6" w:space="0" w:color="000000"/>
            </w:tcBorders>
            <w:vAlign w:val="center"/>
          </w:tcPr>
          <w:p w14:paraId="204C6F0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F4D05C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8E3D579" w14:textId="77777777" w:rsidR="007D706A" w:rsidRDefault="007D706A" w:rsidP="00F70508">
            <w:pPr>
              <w:pStyle w:val="ParagraphStyle12"/>
              <w:rPr>
                <w:rStyle w:val="CharacterStyle12"/>
              </w:rPr>
            </w:pPr>
            <w:r>
              <w:rPr>
                <w:rStyle w:val="CharacterStyle12"/>
              </w:rPr>
              <w:t>0,00</w:t>
            </w:r>
          </w:p>
        </w:tc>
      </w:tr>
      <w:tr w:rsidR="007D706A" w14:paraId="78BB69D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87B93A9"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17DC9C54"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0566058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5EDE82D" w14:textId="77777777" w:rsidR="007D706A" w:rsidRDefault="007D706A" w:rsidP="00F70508">
            <w:pPr>
              <w:pStyle w:val="ParagraphStyle12"/>
              <w:rPr>
                <w:rStyle w:val="CharacterStyle12"/>
              </w:rPr>
            </w:pPr>
            <w:r>
              <w:rPr>
                <w:rStyle w:val="CharacterStyle12"/>
              </w:rPr>
              <w:t>73.600,00</w:t>
            </w:r>
          </w:p>
        </w:tc>
        <w:tc>
          <w:tcPr>
            <w:tcW w:w="1395" w:type="dxa"/>
            <w:tcBorders>
              <w:bottom w:val="single" w:sz="6" w:space="0" w:color="000000"/>
              <w:right w:val="single" w:sz="6" w:space="0" w:color="000000"/>
            </w:tcBorders>
            <w:vAlign w:val="center"/>
          </w:tcPr>
          <w:p w14:paraId="02F0D6A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C68538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9597A72" w14:textId="77777777" w:rsidR="007D706A" w:rsidRDefault="007D706A" w:rsidP="00F70508">
            <w:pPr>
              <w:pStyle w:val="ParagraphStyle12"/>
              <w:rPr>
                <w:rStyle w:val="CharacterStyle12"/>
              </w:rPr>
            </w:pPr>
            <w:r>
              <w:rPr>
                <w:rStyle w:val="CharacterStyle12"/>
              </w:rPr>
              <w:t>0,00</w:t>
            </w:r>
          </w:p>
        </w:tc>
      </w:tr>
      <w:tr w:rsidR="007D706A" w14:paraId="444999CE" w14:textId="77777777" w:rsidTr="00F70508">
        <w:trPr>
          <w:trHeight w:val="420"/>
        </w:trPr>
        <w:tc>
          <w:tcPr>
            <w:tcW w:w="2880" w:type="dxa"/>
            <w:tcBorders>
              <w:left w:val="single" w:sz="6" w:space="0" w:color="000000"/>
              <w:bottom w:val="single" w:sz="6" w:space="0" w:color="000000"/>
              <w:right w:val="single" w:sz="6" w:space="0" w:color="000000"/>
            </w:tcBorders>
            <w:vAlign w:val="center"/>
          </w:tcPr>
          <w:p w14:paraId="48D92644" w14:textId="77777777" w:rsidR="007D706A" w:rsidRDefault="007D706A" w:rsidP="00F70508">
            <w:pPr>
              <w:pStyle w:val="ParagraphStyle4"/>
              <w:rPr>
                <w:rStyle w:val="CharacterStyle4"/>
              </w:rPr>
            </w:pPr>
            <w:r>
              <w:rPr>
                <w:rStyle w:val="CharacterStyle4"/>
              </w:rPr>
              <w:lastRenderedPageBreak/>
              <w:t>Aktivnost A101305</w:t>
            </w:r>
          </w:p>
        </w:tc>
        <w:tc>
          <w:tcPr>
            <w:tcW w:w="4995" w:type="dxa"/>
            <w:tcBorders>
              <w:bottom w:val="single" w:sz="6" w:space="0" w:color="000000"/>
              <w:right w:val="single" w:sz="6" w:space="0" w:color="000000"/>
            </w:tcBorders>
            <w:vAlign w:val="center"/>
          </w:tcPr>
          <w:p w14:paraId="4D9DD698" w14:textId="77777777" w:rsidR="007D706A" w:rsidRDefault="007D706A" w:rsidP="00F70508">
            <w:pPr>
              <w:pStyle w:val="ParagraphStyle5"/>
              <w:rPr>
                <w:rStyle w:val="CharacterStyle5"/>
              </w:rPr>
            </w:pPr>
            <w:r>
              <w:rPr>
                <w:rStyle w:val="CharacterStyle5"/>
              </w:rPr>
              <w:t>INVESTICIJSKO ODRŽAVANJE STANOVA U VLASNIŠTVU GRADA</w:t>
            </w:r>
          </w:p>
        </w:tc>
        <w:tc>
          <w:tcPr>
            <w:tcW w:w="1395" w:type="dxa"/>
            <w:tcBorders>
              <w:bottom w:val="single" w:sz="6" w:space="0" w:color="000000"/>
              <w:right w:val="single" w:sz="6" w:space="0" w:color="000000"/>
            </w:tcBorders>
            <w:vAlign w:val="center"/>
          </w:tcPr>
          <w:p w14:paraId="3B3E6188"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63306FDA" w14:textId="77777777" w:rsidR="007D706A" w:rsidRDefault="007D706A" w:rsidP="00F70508">
            <w:pPr>
              <w:pStyle w:val="ParagraphStyle6"/>
              <w:rPr>
                <w:rStyle w:val="CharacterStyle6"/>
              </w:rPr>
            </w:pPr>
            <w:r>
              <w:rPr>
                <w:rStyle w:val="CharacterStyle6"/>
              </w:rPr>
              <w:t>17.756,50</w:t>
            </w:r>
          </w:p>
        </w:tc>
        <w:tc>
          <w:tcPr>
            <w:tcW w:w="1395" w:type="dxa"/>
            <w:tcBorders>
              <w:bottom w:val="single" w:sz="6" w:space="0" w:color="000000"/>
              <w:right w:val="single" w:sz="6" w:space="0" w:color="000000"/>
            </w:tcBorders>
            <w:vAlign w:val="center"/>
          </w:tcPr>
          <w:p w14:paraId="543FE90B" w14:textId="77777777" w:rsidR="007D706A" w:rsidRDefault="007D706A" w:rsidP="00F70508">
            <w:pPr>
              <w:pStyle w:val="ParagraphStyle6"/>
              <w:rPr>
                <w:rStyle w:val="CharacterStyle6"/>
              </w:rPr>
            </w:pPr>
            <w:r>
              <w:rPr>
                <w:rStyle w:val="CharacterStyle6"/>
              </w:rPr>
              <w:t>10.700,00</w:t>
            </w:r>
          </w:p>
        </w:tc>
        <w:tc>
          <w:tcPr>
            <w:tcW w:w="1395" w:type="dxa"/>
            <w:tcBorders>
              <w:bottom w:val="single" w:sz="6" w:space="0" w:color="000000"/>
              <w:right w:val="single" w:sz="6" w:space="0" w:color="000000"/>
            </w:tcBorders>
            <w:vAlign w:val="center"/>
          </w:tcPr>
          <w:p w14:paraId="32DC2596" w14:textId="77777777" w:rsidR="007D706A" w:rsidRDefault="007D706A" w:rsidP="00F70508">
            <w:pPr>
              <w:pStyle w:val="ParagraphStyle6"/>
              <w:rPr>
                <w:rStyle w:val="CharacterStyle6"/>
              </w:rPr>
            </w:pPr>
            <w:r>
              <w:rPr>
                <w:rStyle w:val="CharacterStyle6"/>
              </w:rPr>
              <w:t>14.700,00</w:t>
            </w:r>
          </w:p>
        </w:tc>
        <w:tc>
          <w:tcPr>
            <w:tcW w:w="1395" w:type="dxa"/>
            <w:tcBorders>
              <w:bottom w:val="single" w:sz="6" w:space="0" w:color="000000"/>
              <w:right w:val="single" w:sz="6" w:space="0" w:color="000000"/>
            </w:tcBorders>
            <w:vAlign w:val="center"/>
          </w:tcPr>
          <w:p w14:paraId="429AB61F" w14:textId="77777777" w:rsidR="007D706A" w:rsidRDefault="007D706A" w:rsidP="00F70508">
            <w:pPr>
              <w:pStyle w:val="ParagraphStyle6"/>
              <w:rPr>
                <w:rStyle w:val="CharacterStyle6"/>
              </w:rPr>
            </w:pPr>
            <w:r>
              <w:rPr>
                <w:rStyle w:val="CharacterStyle6"/>
              </w:rPr>
              <w:t>11.000,00</w:t>
            </w:r>
          </w:p>
        </w:tc>
      </w:tr>
      <w:tr w:rsidR="007D706A" w14:paraId="6D83D67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69E45CE" w14:textId="77777777" w:rsidR="007D706A" w:rsidRDefault="007D706A" w:rsidP="00F70508">
            <w:pPr>
              <w:pStyle w:val="ParagraphStyle7"/>
              <w:rPr>
                <w:rStyle w:val="CharacterStyle7"/>
              </w:rPr>
            </w:pPr>
            <w:r>
              <w:rPr>
                <w:rStyle w:val="CharacterStyle7"/>
              </w:rPr>
              <w:t>Izvor financiranja 41</w:t>
            </w:r>
          </w:p>
        </w:tc>
        <w:tc>
          <w:tcPr>
            <w:tcW w:w="4995" w:type="dxa"/>
            <w:tcBorders>
              <w:bottom w:val="single" w:sz="6" w:space="0" w:color="000000"/>
              <w:right w:val="single" w:sz="6" w:space="0" w:color="000000"/>
            </w:tcBorders>
            <w:vAlign w:val="center"/>
          </w:tcPr>
          <w:p w14:paraId="10E8E51A" w14:textId="77777777" w:rsidR="007D706A" w:rsidRDefault="007D706A" w:rsidP="00F70508">
            <w:pPr>
              <w:pStyle w:val="ParagraphStyle8"/>
              <w:rPr>
                <w:rStyle w:val="CharacterStyle8"/>
              </w:rPr>
            </w:pPr>
            <w:r>
              <w:rPr>
                <w:rStyle w:val="CharacterStyle8"/>
              </w:rPr>
              <w:t>Prihodi za posebne namjene</w:t>
            </w:r>
          </w:p>
        </w:tc>
        <w:tc>
          <w:tcPr>
            <w:tcW w:w="1395" w:type="dxa"/>
            <w:tcBorders>
              <w:bottom w:val="single" w:sz="6" w:space="0" w:color="000000"/>
              <w:right w:val="single" w:sz="6" w:space="0" w:color="000000"/>
            </w:tcBorders>
            <w:vAlign w:val="center"/>
          </w:tcPr>
          <w:p w14:paraId="51A9D42F"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B3E02AF" w14:textId="77777777" w:rsidR="007D706A" w:rsidRDefault="007D706A" w:rsidP="00F70508">
            <w:pPr>
              <w:pStyle w:val="ParagraphStyle9"/>
              <w:rPr>
                <w:rStyle w:val="CharacterStyle9"/>
              </w:rPr>
            </w:pPr>
            <w:r>
              <w:rPr>
                <w:rStyle w:val="CharacterStyle9"/>
              </w:rPr>
              <w:t>2.500,00</w:t>
            </w:r>
          </w:p>
        </w:tc>
        <w:tc>
          <w:tcPr>
            <w:tcW w:w="1395" w:type="dxa"/>
            <w:tcBorders>
              <w:bottom w:val="single" w:sz="6" w:space="0" w:color="000000"/>
              <w:right w:val="single" w:sz="6" w:space="0" w:color="000000"/>
            </w:tcBorders>
            <w:vAlign w:val="center"/>
          </w:tcPr>
          <w:p w14:paraId="14F9FE32"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5997923"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BC91DA9" w14:textId="77777777" w:rsidR="007D706A" w:rsidRDefault="007D706A" w:rsidP="00F70508">
            <w:pPr>
              <w:pStyle w:val="ParagraphStyle9"/>
              <w:rPr>
                <w:rStyle w:val="CharacterStyle9"/>
              </w:rPr>
            </w:pPr>
            <w:r>
              <w:rPr>
                <w:rStyle w:val="CharacterStyle9"/>
              </w:rPr>
              <w:t>0,00</w:t>
            </w:r>
          </w:p>
        </w:tc>
      </w:tr>
      <w:tr w:rsidR="007D706A" w14:paraId="0FB4849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5C6F5EE"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6CD5AAE9"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5C0AABC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06D9464" w14:textId="77777777" w:rsidR="007D706A" w:rsidRDefault="007D706A" w:rsidP="00F70508">
            <w:pPr>
              <w:pStyle w:val="ParagraphStyle12"/>
              <w:rPr>
                <w:rStyle w:val="CharacterStyle12"/>
              </w:rPr>
            </w:pPr>
            <w:r>
              <w:rPr>
                <w:rStyle w:val="CharacterStyle12"/>
              </w:rPr>
              <w:t>2.500,00</w:t>
            </w:r>
          </w:p>
        </w:tc>
        <w:tc>
          <w:tcPr>
            <w:tcW w:w="1395" w:type="dxa"/>
            <w:tcBorders>
              <w:bottom w:val="single" w:sz="6" w:space="0" w:color="000000"/>
              <w:right w:val="single" w:sz="6" w:space="0" w:color="000000"/>
            </w:tcBorders>
            <w:vAlign w:val="center"/>
          </w:tcPr>
          <w:p w14:paraId="26E28DA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C612AE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6B743E6" w14:textId="77777777" w:rsidR="007D706A" w:rsidRDefault="007D706A" w:rsidP="00F70508">
            <w:pPr>
              <w:pStyle w:val="ParagraphStyle12"/>
              <w:rPr>
                <w:rStyle w:val="CharacterStyle12"/>
              </w:rPr>
            </w:pPr>
            <w:r>
              <w:rPr>
                <w:rStyle w:val="CharacterStyle12"/>
              </w:rPr>
              <w:t>0,00</w:t>
            </w:r>
          </w:p>
        </w:tc>
      </w:tr>
      <w:tr w:rsidR="007D706A" w14:paraId="0568B07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B4EFA2F"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3FE09D70"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2704ACA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96049C6" w14:textId="77777777" w:rsidR="007D706A" w:rsidRDefault="007D706A" w:rsidP="00F70508">
            <w:pPr>
              <w:pStyle w:val="ParagraphStyle12"/>
              <w:rPr>
                <w:rStyle w:val="CharacterStyle12"/>
              </w:rPr>
            </w:pPr>
            <w:r>
              <w:rPr>
                <w:rStyle w:val="CharacterStyle12"/>
              </w:rPr>
              <w:t>2.500,00</w:t>
            </w:r>
          </w:p>
        </w:tc>
        <w:tc>
          <w:tcPr>
            <w:tcW w:w="1395" w:type="dxa"/>
            <w:tcBorders>
              <w:bottom w:val="single" w:sz="6" w:space="0" w:color="000000"/>
              <w:right w:val="single" w:sz="6" w:space="0" w:color="000000"/>
            </w:tcBorders>
            <w:vAlign w:val="center"/>
          </w:tcPr>
          <w:p w14:paraId="7DFB193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503C04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BF44786" w14:textId="77777777" w:rsidR="007D706A" w:rsidRDefault="007D706A" w:rsidP="00F70508">
            <w:pPr>
              <w:pStyle w:val="ParagraphStyle12"/>
              <w:rPr>
                <w:rStyle w:val="CharacterStyle12"/>
              </w:rPr>
            </w:pPr>
            <w:r>
              <w:rPr>
                <w:rStyle w:val="CharacterStyle12"/>
              </w:rPr>
              <w:t>0,00</w:t>
            </w:r>
          </w:p>
        </w:tc>
      </w:tr>
      <w:tr w:rsidR="007D706A" w14:paraId="360D555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C4624A4" w14:textId="77777777" w:rsidR="007D706A" w:rsidRDefault="007D706A" w:rsidP="00F70508">
            <w:pPr>
              <w:pStyle w:val="ParagraphStyle7"/>
              <w:rPr>
                <w:rStyle w:val="CharacterStyle7"/>
              </w:rPr>
            </w:pPr>
            <w:r>
              <w:rPr>
                <w:rStyle w:val="CharacterStyle7"/>
              </w:rPr>
              <w:t>Izvor financiranja 43</w:t>
            </w:r>
          </w:p>
        </w:tc>
        <w:tc>
          <w:tcPr>
            <w:tcW w:w="4995" w:type="dxa"/>
            <w:tcBorders>
              <w:bottom w:val="single" w:sz="6" w:space="0" w:color="000000"/>
              <w:right w:val="single" w:sz="6" w:space="0" w:color="000000"/>
            </w:tcBorders>
            <w:vAlign w:val="center"/>
          </w:tcPr>
          <w:p w14:paraId="49F85A87" w14:textId="77777777" w:rsidR="007D706A" w:rsidRDefault="007D706A" w:rsidP="00F70508">
            <w:pPr>
              <w:pStyle w:val="ParagraphStyle8"/>
              <w:rPr>
                <w:rStyle w:val="CharacterStyle8"/>
              </w:rPr>
            </w:pPr>
            <w:r>
              <w:rPr>
                <w:rStyle w:val="CharacterStyle8"/>
              </w:rPr>
              <w:t>Ostali prihodi za posebne namjene</w:t>
            </w:r>
          </w:p>
        </w:tc>
        <w:tc>
          <w:tcPr>
            <w:tcW w:w="1395" w:type="dxa"/>
            <w:tcBorders>
              <w:bottom w:val="single" w:sz="6" w:space="0" w:color="000000"/>
              <w:right w:val="single" w:sz="6" w:space="0" w:color="000000"/>
            </w:tcBorders>
            <w:vAlign w:val="center"/>
          </w:tcPr>
          <w:p w14:paraId="57B5DAA9"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6927BA1"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C9DC174" w14:textId="77777777" w:rsidR="007D706A" w:rsidRDefault="007D706A" w:rsidP="00F70508">
            <w:pPr>
              <w:pStyle w:val="ParagraphStyle9"/>
              <w:rPr>
                <w:rStyle w:val="CharacterStyle9"/>
              </w:rPr>
            </w:pPr>
            <w:r>
              <w:rPr>
                <w:rStyle w:val="CharacterStyle9"/>
              </w:rPr>
              <w:t>10.700,00</w:t>
            </w:r>
          </w:p>
        </w:tc>
        <w:tc>
          <w:tcPr>
            <w:tcW w:w="1395" w:type="dxa"/>
            <w:tcBorders>
              <w:bottom w:val="single" w:sz="6" w:space="0" w:color="000000"/>
              <w:right w:val="single" w:sz="6" w:space="0" w:color="000000"/>
            </w:tcBorders>
            <w:vAlign w:val="center"/>
          </w:tcPr>
          <w:p w14:paraId="7B13639E" w14:textId="77777777" w:rsidR="007D706A" w:rsidRDefault="007D706A" w:rsidP="00F70508">
            <w:pPr>
              <w:pStyle w:val="ParagraphStyle9"/>
              <w:rPr>
                <w:rStyle w:val="CharacterStyle9"/>
              </w:rPr>
            </w:pPr>
            <w:r>
              <w:rPr>
                <w:rStyle w:val="CharacterStyle9"/>
              </w:rPr>
              <w:t>14.700,00</w:t>
            </w:r>
          </w:p>
        </w:tc>
        <w:tc>
          <w:tcPr>
            <w:tcW w:w="1395" w:type="dxa"/>
            <w:tcBorders>
              <w:bottom w:val="single" w:sz="6" w:space="0" w:color="000000"/>
              <w:right w:val="single" w:sz="6" w:space="0" w:color="000000"/>
            </w:tcBorders>
            <w:vAlign w:val="center"/>
          </w:tcPr>
          <w:p w14:paraId="31E19491" w14:textId="77777777" w:rsidR="007D706A" w:rsidRDefault="007D706A" w:rsidP="00F70508">
            <w:pPr>
              <w:pStyle w:val="ParagraphStyle9"/>
              <w:rPr>
                <w:rStyle w:val="CharacterStyle9"/>
              </w:rPr>
            </w:pPr>
            <w:r>
              <w:rPr>
                <w:rStyle w:val="CharacterStyle9"/>
              </w:rPr>
              <w:t>11.000,00</w:t>
            </w:r>
          </w:p>
        </w:tc>
      </w:tr>
      <w:tr w:rsidR="007D706A" w14:paraId="7511779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890D70F"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2797211C"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6BDDEDA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BF358F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1A8DD37" w14:textId="77777777" w:rsidR="007D706A" w:rsidRDefault="007D706A" w:rsidP="00F70508">
            <w:pPr>
              <w:pStyle w:val="ParagraphStyle12"/>
              <w:rPr>
                <w:rStyle w:val="CharacterStyle12"/>
              </w:rPr>
            </w:pPr>
            <w:r>
              <w:rPr>
                <w:rStyle w:val="CharacterStyle12"/>
              </w:rPr>
              <w:t>10.700,00</w:t>
            </w:r>
          </w:p>
        </w:tc>
        <w:tc>
          <w:tcPr>
            <w:tcW w:w="1395" w:type="dxa"/>
            <w:tcBorders>
              <w:bottom w:val="single" w:sz="6" w:space="0" w:color="000000"/>
              <w:right w:val="single" w:sz="6" w:space="0" w:color="000000"/>
            </w:tcBorders>
            <w:vAlign w:val="center"/>
          </w:tcPr>
          <w:p w14:paraId="463B4685" w14:textId="77777777" w:rsidR="007D706A" w:rsidRDefault="007D706A" w:rsidP="00F70508">
            <w:pPr>
              <w:pStyle w:val="ParagraphStyle12"/>
              <w:rPr>
                <w:rStyle w:val="CharacterStyle12"/>
              </w:rPr>
            </w:pPr>
            <w:r>
              <w:rPr>
                <w:rStyle w:val="CharacterStyle12"/>
              </w:rPr>
              <w:t>14.700,00</w:t>
            </w:r>
          </w:p>
        </w:tc>
        <w:tc>
          <w:tcPr>
            <w:tcW w:w="1395" w:type="dxa"/>
            <w:tcBorders>
              <w:bottom w:val="single" w:sz="6" w:space="0" w:color="000000"/>
              <w:right w:val="single" w:sz="6" w:space="0" w:color="000000"/>
            </w:tcBorders>
            <w:vAlign w:val="center"/>
          </w:tcPr>
          <w:p w14:paraId="6B0D375A" w14:textId="77777777" w:rsidR="007D706A" w:rsidRDefault="007D706A" w:rsidP="00F70508">
            <w:pPr>
              <w:pStyle w:val="ParagraphStyle12"/>
              <w:rPr>
                <w:rStyle w:val="CharacterStyle12"/>
              </w:rPr>
            </w:pPr>
            <w:r>
              <w:rPr>
                <w:rStyle w:val="CharacterStyle12"/>
              </w:rPr>
              <w:t>11.000,00</w:t>
            </w:r>
          </w:p>
        </w:tc>
      </w:tr>
      <w:tr w:rsidR="007D706A" w14:paraId="38D811F6"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A2604D2"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5F93B6D7"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40DA4C0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1A4181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F3CF8E1" w14:textId="77777777" w:rsidR="007D706A" w:rsidRDefault="007D706A" w:rsidP="00F70508">
            <w:pPr>
              <w:pStyle w:val="ParagraphStyle12"/>
              <w:rPr>
                <w:rStyle w:val="CharacterStyle12"/>
              </w:rPr>
            </w:pPr>
            <w:r>
              <w:rPr>
                <w:rStyle w:val="CharacterStyle12"/>
              </w:rPr>
              <w:t>10.700,00</w:t>
            </w:r>
          </w:p>
        </w:tc>
        <w:tc>
          <w:tcPr>
            <w:tcW w:w="1395" w:type="dxa"/>
            <w:tcBorders>
              <w:bottom w:val="single" w:sz="6" w:space="0" w:color="000000"/>
              <w:right w:val="single" w:sz="6" w:space="0" w:color="000000"/>
            </w:tcBorders>
            <w:vAlign w:val="center"/>
          </w:tcPr>
          <w:p w14:paraId="4124B75D" w14:textId="77777777" w:rsidR="007D706A" w:rsidRDefault="007D706A" w:rsidP="00F70508">
            <w:pPr>
              <w:pStyle w:val="ParagraphStyle12"/>
              <w:rPr>
                <w:rStyle w:val="CharacterStyle12"/>
              </w:rPr>
            </w:pPr>
            <w:r>
              <w:rPr>
                <w:rStyle w:val="CharacterStyle12"/>
              </w:rPr>
              <w:t>14.700,00</w:t>
            </w:r>
          </w:p>
        </w:tc>
        <w:tc>
          <w:tcPr>
            <w:tcW w:w="1395" w:type="dxa"/>
            <w:tcBorders>
              <w:bottom w:val="single" w:sz="6" w:space="0" w:color="000000"/>
              <w:right w:val="single" w:sz="6" w:space="0" w:color="000000"/>
            </w:tcBorders>
            <w:vAlign w:val="center"/>
          </w:tcPr>
          <w:p w14:paraId="389B4CA4" w14:textId="77777777" w:rsidR="007D706A" w:rsidRDefault="007D706A" w:rsidP="00F70508">
            <w:pPr>
              <w:pStyle w:val="ParagraphStyle12"/>
              <w:rPr>
                <w:rStyle w:val="CharacterStyle12"/>
              </w:rPr>
            </w:pPr>
            <w:r>
              <w:rPr>
                <w:rStyle w:val="CharacterStyle12"/>
              </w:rPr>
              <w:t>11.000,00</w:t>
            </w:r>
          </w:p>
        </w:tc>
      </w:tr>
      <w:tr w:rsidR="007D706A" w14:paraId="0DB89DE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435D0CD" w14:textId="77777777" w:rsidR="007D706A" w:rsidRDefault="007D706A" w:rsidP="00F70508">
            <w:pPr>
              <w:pStyle w:val="ParagraphStyle7"/>
              <w:rPr>
                <w:rStyle w:val="CharacterStyle7"/>
              </w:rPr>
            </w:pPr>
            <w:r>
              <w:rPr>
                <w:rStyle w:val="CharacterStyle7"/>
              </w:rPr>
              <w:t>Izvor financiranja 82</w:t>
            </w:r>
          </w:p>
        </w:tc>
        <w:tc>
          <w:tcPr>
            <w:tcW w:w="4995" w:type="dxa"/>
            <w:tcBorders>
              <w:bottom w:val="single" w:sz="6" w:space="0" w:color="000000"/>
              <w:right w:val="single" w:sz="6" w:space="0" w:color="000000"/>
            </w:tcBorders>
            <w:vAlign w:val="center"/>
          </w:tcPr>
          <w:p w14:paraId="2F98186C" w14:textId="77777777" w:rsidR="007D706A" w:rsidRDefault="007D706A" w:rsidP="00F70508">
            <w:pPr>
              <w:pStyle w:val="ParagraphStyle8"/>
              <w:rPr>
                <w:rStyle w:val="CharacterStyle8"/>
              </w:rPr>
            </w:pPr>
            <w:r>
              <w:rPr>
                <w:rStyle w:val="CharacterStyle8"/>
              </w:rPr>
              <w:t>Preneseni viškovi iz ranijih godina</w:t>
            </w:r>
          </w:p>
        </w:tc>
        <w:tc>
          <w:tcPr>
            <w:tcW w:w="1395" w:type="dxa"/>
            <w:tcBorders>
              <w:bottom w:val="single" w:sz="6" w:space="0" w:color="000000"/>
              <w:right w:val="single" w:sz="6" w:space="0" w:color="000000"/>
            </w:tcBorders>
            <w:vAlign w:val="center"/>
          </w:tcPr>
          <w:p w14:paraId="78EDB9CD"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2FDF41E" w14:textId="77777777" w:rsidR="007D706A" w:rsidRDefault="007D706A" w:rsidP="00F70508">
            <w:pPr>
              <w:pStyle w:val="ParagraphStyle9"/>
              <w:rPr>
                <w:rStyle w:val="CharacterStyle9"/>
              </w:rPr>
            </w:pPr>
            <w:r>
              <w:rPr>
                <w:rStyle w:val="CharacterStyle9"/>
              </w:rPr>
              <w:t>15.256,50</w:t>
            </w:r>
          </w:p>
        </w:tc>
        <w:tc>
          <w:tcPr>
            <w:tcW w:w="1395" w:type="dxa"/>
            <w:tcBorders>
              <w:bottom w:val="single" w:sz="6" w:space="0" w:color="000000"/>
              <w:right w:val="single" w:sz="6" w:space="0" w:color="000000"/>
            </w:tcBorders>
            <w:vAlign w:val="center"/>
          </w:tcPr>
          <w:p w14:paraId="738B0C78"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86A552D"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252634E" w14:textId="77777777" w:rsidR="007D706A" w:rsidRDefault="007D706A" w:rsidP="00F70508">
            <w:pPr>
              <w:pStyle w:val="ParagraphStyle9"/>
              <w:rPr>
                <w:rStyle w:val="CharacterStyle9"/>
              </w:rPr>
            </w:pPr>
            <w:r>
              <w:rPr>
                <w:rStyle w:val="CharacterStyle9"/>
              </w:rPr>
              <w:t>0,00</w:t>
            </w:r>
          </w:p>
        </w:tc>
      </w:tr>
      <w:tr w:rsidR="007D706A" w14:paraId="78F9302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E8D5B7C"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0FFB9E55"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42F5E72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EB115C2" w14:textId="77777777" w:rsidR="007D706A" w:rsidRDefault="007D706A" w:rsidP="00F70508">
            <w:pPr>
              <w:pStyle w:val="ParagraphStyle12"/>
              <w:rPr>
                <w:rStyle w:val="CharacterStyle12"/>
              </w:rPr>
            </w:pPr>
            <w:r>
              <w:rPr>
                <w:rStyle w:val="CharacterStyle12"/>
              </w:rPr>
              <w:t>15.256,50</w:t>
            </w:r>
          </w:p>
        </w:tc>
        <w:tc>
          <w:tcPr>
            <w:tcW w:w="1395" w:type="dxa"/>
            <w:tcBorders>
              <w:bottom w:val="single" w:sz="6" w:space="0" w:color="000000"/>
              <w:right w:val="single" w:sz="6" w:space="0" w:color="000000"/>
            </w:tcBorders>
            <w:vAlign w:val="center"/>
          </w:tcPr>
          <w:p w14:paraId="1A9CB0D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838B0E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1E63E85" w14:textId="77777777" w:rsidR="007D706A" w:rsidRDefault="007D706A" w:rsidP="00F70508">
            <w:pPr>
              <w:pStyle w:val="ParagraphStyle12"/>
              <w:rPr>
                <w:rStyle w:val="CharacterStyle12"/>
              </w:rPr>
            </w:pPr>
            <w:r>
              <w:rPr>
                <w:rStyle w:val="CharacterStyle12"/>
              </w:rPr>
              <w:t>0,00</w:t>
            </w:r>
          </w:p>
        </w:tc>
      </w:tr>
      <w:tr w:rsidR="007D706A" w14:paraId="647ECC0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ABA59F0"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2A191518"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1F4B097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CB61815" w14:textId="77777777" w:rsidR="007D706A" w:rsidRDefault="007D706A" w:rsidP="00F70508">
            <w:pPr>
              <w:pStyle w:val="ParagraphStyle12"/>
              <w:rPr>
                <w:rStyle w:val="CharacterStyle12"/>
              </w:rPr>
            </w:pPr>
            <w:r>
              <w:rPr>
                <w:rStyle w:val="CharacterStyle12"/>
              </w:rPr>
              <w:t>15.256,50</w:t>
            </w:r>
          </w:p>
        </w:tc>
        <w:tc>
          <w:tcPr>
            <w:tcW w:w="1395" w:type="dxa"/>
            <w:tcBorders>
              <w:bottom w:val="single" w:sz="6" w:space="0" w:color="000000"/>
              <w:right w:val="single" w:sz="6" w:space="0" w:color="000000"/>
            </w:tcBorders>
            <w:vAlign w:val="center"/>
          </w:tcPr>
          <w:p w14:paraId="10C6A3E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F8B0A0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40C3CA2" w14:textId="77777777" w:rsidR="007D706A" w:rsidRDefault="007D706A" w:rsidP="00F70508">
            <w:pPr>
              <w:pStyle w:val="ParagraphStyle12"/>
              <w:rPr>
                <w:rStyle w:val="CharacterStyle12"/>
              </w:rPr>
            </w:pPr>
            <w:r>
              <w:rPr>
                <w:rStyle w:val="CharacterStyle12"/>
              </w:rPr>
              <w:t>0,00</w:t>
            </w:r>
          </w:p>
        </w:tc>
      </w:tr>
      <w:tr w:rsidR="007D706A" w14:paraId="2A9144B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F65CC5B" w14:textId="77777777" w:rsidR="007D706A" w:rsidRDefault="007D706A" w:rsidP="00F70508">
            <w:pPr>
              <w:pStyle w:val="ParagraphStyle4"/>
              <w:rPr>
                <w:rStyle w:val="CharacterStyle4"/>
              </w:rPr>
            </w:pPr>
            <w:r>
              <w:rPr>
                <w:rStyle w:val="CharacterStyle4"/>
              </w:rPr>
              <w:t>Aktivnost A101306</w:t>
            </w:r>
          </w:p>
        </w:tc>
        <w:tc>
          <w:tcPr>
            <w:tcW w:w="4995" w:type="dxa"/>
            <w:tcBorders>
              <w:bottom w:val="single" w:sz="6" w:space="0" w:color="000000"/>
              <w:right w:val="single" w:sz="6" w:space="0" w:color="000000"/>
            </w:tcBorders>
            <w:vAlign w:val="center"/>
          </w:tcPr>
          <w:p w14:paraId="2F5DB885" w14:textId="77777777" w:rsidR="007D706A" w:rsidRDefault="007D706A" w:rsidP="00F70508">
            <w:pPr>
              <w:pStyle w:val="ParagraphStyle5"/>
              <w:rPr>
                <w:rStyle w:val="CharacterStyle5"/>
              </w:rPr>
            </w:pPr>
            <w:r>
              <w:rPr>
                <w:rStyle w:val="CharacterStyle5"/>
              </w:rPr>
              <w:t>INVESTICIJSKO ODRŽAVANJE OBJEKATA KULTURNE BAŠTINE</w:t>
            </w:r>
          </w:p>
        </w:tc>
        <w:tc>
          <w:tcPr>
            <w:tcW w:w="1395" w:type="dxa"/>
            <w:tcBorders>
              <w:bottom w:val="single" w:sz="6" w:space="0" w:color="000000"/>
              <w:right w:val="single" w:sz="6" w:space="0" w:color="000000"/>
            </w:tcBorders>
            <w:vAlign w:val="center"/>
          </w:tcPr>
          <w:p w14:paraId="397C8ABA"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79E2D530" w14:textId="77777777" w:rsidR="007D706A" w:rsidRDefault="007D706A" w:rsidP="00F70508">
            <w:pPr>
              <w:pStyle w:val="ParagraphStyle6"/>
              <w:rPr>
                <w:rStyle w:val="CharacterStyle6"/>
              </w:rPr>
            </w:pPr>
            <w:r>
              <w:rPr>
                <w:rStyle w:val="CharacterStyle6"/>
              </w:rPr>
              <w:t>64.925,00</w:t>
            </w:r>
          </w:p>
        </w:tc>
        <w:tc>
          <w:tcPr>
            <w:tcW w:w="1395" w:type="dxa"/>
            <w:tcBorders>
              <w:bottom w:val="single" w:sz="6" w:space="0" w:color="000000"/>
              <w:right w:val="single" w:sz="6" w:space="0" w:color="000000"/>
            </w:tcBorders>
            <w:vAlign w:val="center"/>
          </w:tcPr>
          <w:p w14:paraId="0E19878E" w14:textId="77777777" w:rsidR="007D706A" w:rsidRDefault="007D706A" w:rsidP="00F70508">
            <w:pPr>
              <w:pStyle w:val="ParagraphStyle6"/>
              <w:rPr>
                <w:rStyle w:val="CharacterStyle6"/>
              </w:rPr>
            </w:pPr>
            <w:r>
              <w:rPr>
                <w:rStyle w:val="CharacterStyle6"/>
              </w:rPr>
              <w:t>73.425,00</w:t>
            </w:r>
          </w:p>
        </w:tc>
        <w:tc>
          <w:tcPr>
            <w:tcW w:w="1395" w:type="dxa"/>
            <w:tcBorders>
              <w:bottom w:val="single" w:sz="6" w:space="0" w:color="000000"/>
              <w:right w:val="single" w:sz="6" w:space="0" w:color="000000"/>
            </w:tcBorders>
            <w:vAlign w:val="center"/>
          </w:tcPr>
          <w:p w14:paraId="04720278" w14:textId="77777777" w:rsidR="007D706A" w:rsidRDefault="007D706A" w:rsidP="00F70508">
            <w:pPr>
              <w:pStyle w:val="ParagraphStyle6"/>
              <w:rPr>
                <w:rStyle w:val="CharacterStyle6"/>
              </w:rPr>
            </w:pPr>
            <w:r>
              <w:rPr>
                <w:rStyle w:val="CharacterStyle6"/>
              </w:rPr>
              <w:t>168.500,00</w:t>
            </w:r>
          </w:p>
        </w:tc>
        <w:tc>
          <w:tcPr>
            <w:tcW w:w="1395" w:type="dxa"/>
            <w:tcBorders>
              <w:bottom w:val="single" w:sz="6" w:space="0" w:color="000000"/>
              <w:right w:val="single" w:sz="6" w:space="0" w:color="000000"/>
            </w:tcBorders>
            <w:vAlign w:val="center"/>
          </w:tcPr>
          <w:p w14:paraId="24D56BB2" w14:textId="77777777" w:rsidR="007D706A" w:rsidRDefault="007D706A" w:rsidP="00F70508">
            <w:pPr>
              <w:pStyle w:val="ParagraphStyle6"/>
              <w:rPr>
                <w:rStyle w:val="CharacterStyle6"/>
              </w:rPr>
            </w:pPr>
            <w:r>
              <w:rPr>
                <w:rStyle w:val="CharacterStyle6"/>
              </w:rPr>
              <w:t>159.000,00</w:t>
            </w:r>
          </w:p>
        </w:tc>
      </w:tr>
      <w:tr w:rsidR="007D706A" w14:paraId="1B0B26F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204D02F" w14:textId="77777777" w:rsidR="007D706A" w:rsidRDefault="007D706A" w:rsidP="00F70508">
            <w:pPr>
              <w:pStyle w:val="ParagraphStyle7"/>
              <w:rPr>
                <w:rStyle w:val="CharacterStyle7"/>
              </w:rPr>
            </w:pPr>
            <w:r>
              <w:rPr>
                <w:rStyle w:val="CharacterStyle7"/>
              </w:rPr>
              <w:t>Izvor financiranja 41</w:t>
            </w:r>
          </w:p>
        </w:tc>
        <w:tc>
          <w:tcPr>
            <w:tcW w:w="4995" w:type="dxa"/>
            <w:tcBorders>
              <w:bottom w:val="single" w:sz="6" w:space="0" w:color="000000"/>
              <w:right w:val="single" w:sz="6" w:space="0" w:color="000000"/>
            </w:tcBorders>
            <w:vAlign w:val="center"/>
          </w:tcPr>
          <w:p w14:paraId="2DB3500D" w14:textId="77777777" w:rsidR="007D706A" w:rsidRDefault="007D706A" w:rsidP="00F70508">
            <w:pPr>
              <w:pStyle w:val="ParagraphStyle8"/>
              <w:rPr>
                <w:rStyle w:val="CharacterStyle8"/>
              </w:rPr>
            </w:pPr>
            <w:r>
              <w:rPr>
                <w:rStyle w:val="CharacterStyle8"/>
              </w:rPr>
              <w:t>Prihodi za posebne namjene</w:t>
            </w:r>
          </w:p>
        </w:tc>
        <w:tc>
          <w:tcPr>
            <w:tcW w:w="1395" w:type="dxa"/>
            <w:tcBorders>
              <w:bottom w:val="single" w:sz="6" w:space="0" w:color="000000"/>
              <w:right w:val="single" w:sz="6" w:space="0" w:color="000000"/>
            </w:tcBorders>
            <w:vAlign w:val="center"/>
          </w:tcPr>
          <w:p w14:paraId="5312C64F"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24E9866" w14:textId="77777777" w:rsidR="007D706A" w:rsidRDefault="007D706A" w:rsidP="00F70508">
            <w:pPr>
              <w:pStyle w:val="ParagraphStyle9"/>
              <w:rPr>
                <w:rStyle w:val="CharacterStyle9"/>
              </w:rPr>
            </w:pPr>
            <w:r>
              <w:rPr>
                <w:rStyle w:val="CharacterStyle9"/>
              </w:rPr>
              <w:t>16.425,00</w:t>
            </w:r>
          </w:p>
        </w:tc>
        <w:tc>
          <w:tcPr>
            <w:tcW w:w="1395" w:type="dxa"/>
            <w:tcBorders>
              <w:bottom w:val="single" w:sz="6" w:space="0" w:color="000000"/>
              <w:right w:val="single" w:sz="6" w:space="0" w:color="000000"/>
            </w:tcBorders>
            <w:vAlign w:val="center"/>
          </w:tcPr>
          <w:p w14:paraId="6C393068"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902FE30"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2DE73BF" w14:textId="77777777" w:rsidR="007D706A" w:rsidRDefault="007D706A" w:rsidP="00F70508">
            <w:pPr>
              <w:pStyle w:val="ParagraphStyle9"/>
              <w:rPr>
                <w:rStyle w:val="CharacterStyle9"/>
              </w:rPr>
            </w:pPr>
            <w:r>
              <w:rPr>
                <w:rStyle w:val="CharacterStyle9"/>
              </w:rPr>
              <w:t>0,00</w:t>
            </w:r>
          </w:p>
        </w:tc>
      </w:tr>
      <w:tr w:rsidR="007D706A" w14:paraId="3CC7377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5E30E54"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42A96742"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77EB386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5DF90B3" w14:textId="77777777" w:rsidR="007D706A" w:rsidRDefault="007D706A" w:rsidP="00F70508">
            <w:pPr>
              <w:pStyle w:val="ParagraphStyle12"/>
              <w:rPr>
                <w:rStyle w:val="CharacterStyle12"/>
              </w:rPr>
            </w:pPr>
            <w:r>
              <w:rPr>
                <w:rStyle w:val="CharacterStyle12"/>
              </w:rPr>
              <w:t>16.425,00</w:t>
            </w:r>
          </w:p>
        </w:tc>
        <w:tc>
          <w:tcPr>
            <w:tcW w:w="1395" w:type="dxa"/>
            <w:tcBorders>
              <w:bottom w:val="single" w:sz="6" w:space="0" w:color="000000"/>
              <w:right w:val="single" w:sz="6" w:space="0" w:color="000000"/>
            </w:tcBorders>
            <w:vAlign w:val="center"/>
          </w:tcPr>
          <w:p w14:paraId="3CBEEF6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3F2399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E9888DB" w14:textId="77777777" w:rsidR="007D706A" w:rsidRDefault="007D706A" w:rsidP="00F70508">
            <w:pPr>
              <w:pStyle w:val="ParagraphStyle12"/>
              <w:rPr>
                <w:rStyle w:val="CharacterStyle12"/>
              </w:rPr>
            </w:pPr>
            <w:r>
              <w:rPr>
                <w:rStyle w:val="CharacterStyle12"/>
              </w:rPr>
              <w:t>0,00</w:t>
            </w:r>
          </w:p>
        </w:tc>
      </w:tr>
      <w:tr w:rsidR="007D706A" w14:paraId="6CE7162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1A6A385"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30DC0B5F"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04ACFE2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B9DD774" w14:textId="77777777" w:rsidR="007D706A" w:rsidRDefault="007D706A" w:rsidP="00F70508">
            <w:pPr>
              <w:pStyle w:val="ParagraphStyle12"/>
              <w:rPr>
                <w:rStyle w:val="CharacterStyle12"/>
              </w:rPr>
            </w:pPr>
            <w:r>
              <w:rPr>
                <w:rStyle w:val="CharacterStyle12"/>
              </w:rPr>
              <w:t>16.425,00</w:t>
            </w:r>
          </w:p>
        </w:tc>
        <w:tc>
          <w:tcPr>
            <w:tcW w:w="1395" w:type="dxa"/>
            <w:tcBorders>
              <w:bottom w:val="single" w:sz="6" w:space="0" w:color="000000"/>
              <w:right w:val="single" w:sz="6" w:space="0" w:color="000000"/>
            </w:tcBorders>
            <w:vAlign w:val="center"/>
          </w:tcPr>
          <w:p w14:paraId="715F886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901D79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6B806BB" w14:textId="77777777" w:rsidR="007D706A" w:rsidRDefault="007D706A" w:rsidP="00F70508">
            <w:pPr>
              <w:pStyle w:val="ParagraphStyle12"/>
              <w:rPr>
                <w:rStyle w:val="CharacterStyle12"/>
              </w:rPr>
            </w:pPr>
            <w:r>
              <w:rPr>
                <w:rStyle w:val="CharacterStyle12"/>
              </w:rPr>
              <w:t>0,00</w:t>
            </w:r>
          </w:p>
        </w:tc>
      </w:tr>
      <w:tr w:rsidR="007D706A" w14:paraId="784A346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84A281D" w14:textId="77777777" w:rsidR="007D706A" w:rsidRDefault="007D706A" w:rsidP="00F70508">
            <w:pPr>
              <w:pStyle w:val="ParagraphStyle7"/>
              <w:rPr>
                <w:rStyle w:val="CharacterStyle7"/>
              </w:rPr>
            </w:pPr>
            <w:r>
              <w:rPr>
                <w:rStyle w:val="CharacterStyle7"/>
              </w:rPr>
              <w:t>Izvor financiranja 42</w:t>
            </w:r>
          </w:p>
        </w:tc>
        <w:tc>
          <w:tcPr>
            <w:tcW w:w="4995" w:type="dxa"/>
            <w:tcBorders>
              <w:bottom w:val="single" w:sz="6" w:space="0" w:color="000000"/>
              <w:right w:val="single" w:sz="6" w:space="0" w:color="000000"/>
            </w:tcBorders>
            <w:vAlign w:val="center"/>
          </w:tcPr>
          <w:p w14:paraId="4FF1DF3D" w14:textId="77777777" w:rsidR="007D706A" w:rsidRDefault="007D706A" w:rsidP="00F70508">
            <w:pPr>
              <w:pStyle w:val="ParagraphStyle8"/>
              <w:rPr>
                <w:rStyle w:val="CharacterStyle8"/>
              </w:rPr>
            </w:pPr>
            <w:r>
              <w:rPr>
                <w:rStyle w:val="CharacterStyle8"/>
              </w:rPr>
              <w:t>Prihodi od spomeničke rente</w:t>
            </w:r>
          </w:p>
        </w:tc>
        <w:tc>
          <w:tcPr>
            <w:tcW w:w="1395" w:type="dxa"/>
            <w:tcBorders>
              <w:bottom w:val="single" w:sz="6" w:space="0" w:color="000000"/>
              <w:right w:val="single" w:sz="6" w:space="0" w:color="000000"/>
            </w:tcBorders>
            <w:vAlign w:val="center"/>
          </w:tcPr>
          <w:p w14:paraId="0D0E06FF"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E2F2453"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1916D21" w14:textId="77777777" w:rsidR="007D706A" w:rsidRDefault="007D706A" w:rsidP="00F70508">
            <w:pPr>
              <w:pStyle w:val="ParagraphStyle9"/>
              <w:rPr>
                <w:rStyle w:val="CharacterStyle9"/>
              </w:rPr>
            </w:pPr>
            <w:r>
              <w:rPr>
                <w:rStyle w:val="CharacterStyle9"/>
              </w:rPr>
              <w:t>46.480,44</w:t>
            </w:r>
          </w:p>
        </w:tc>
        <w:tc>
          <w:tcPr>
            <w:tcW w:w="1395" w:type="dxa"/>
            <w:tcBorders>
              <w:bottom w:val="single" w:sz="6" w:space="0" w:color="000000"/>
              <w:right w:val="single" w:sz="6" w:space="0" w:color="000000"/>
            </w:tcBorders>
            <w:vAlign w:val="center"/>
          </w:tcPr>
          <w:p w14:paraId="631450E5" w14:textId="77777777" w:rsidR="007D706A" w:rsidRDefault="007D706A" w:rsidP="00F70508">
            <w:pPr>
              <w:pStyle w:val="ParagraphStyle9"/>
              <w:rPr>
                <w:rStyle w:val="CharacterStyle9"/>
              </w:rPr>
            </w:pPr>
            <w:r>
              <w:rPr>
                <w:rStyle w:val="CharacterStyle9"/>
              </w:rPr>
              <w:t>140.000,00</w:t>
            </w:r>
          </w:p>
        </w:tc>
        <w:tc>
          <w:tcPr>
            <w:tcW w:w="1395" w:type="dxa"/>
            <w:tcBorders>
              <w:bottom w:val="single" w:sz="6" w:space="0" w:color="000000"/>
              <w:right w:val="single" w:sz="6" w:space="0" w:color="000000"/>
            </w:tcBorders>
            <w:vAlign w:val="center"/>
          </w:tcPr>
          <w:p w14:paraId="1D704D17" w14:textId="77777777" w:rsidR="007D706A" w:rsidRDefault="007D706A" w:rsidP="00F70508">
            <w:pPr>
              <w:pStyle w:val="ParagraphStyle9"/>
              <w:rPr>
                <w:rStyle w:val="CharacterStyle9"/>
              </w:rPr>
            </w:pPr>
            <w:r>
              <w:rPr>
                <w:rStyle w:val="CharacterStyle9"/>
              </w:rPr>
              <w:t>125.000,00</w:t>
            </w:r>
          </w:p>
        </w:tc>
      </w:tr>
      <w:tr w:rsidR="007D706A" w14:paraId="0064E67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1C97DCE"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39EC23C6"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332537E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5DE4BA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C08D1A8" w14:textId="77777777" w:rsidR="007D706A" w:rsidRDefault="007D706A" w:rsidP="00F70508">
            <w:pPr>
              <w:pStyle w:val="ParagraphStyle12"/>
              <w:rPr>
                <w:rStyle w:val="CharacterStyle12"/>
              </w:rPr>
            </w:pPr>
            <w:r>
              <w:rPr>
                <w:rStyle w:val="CharacterStyle12"/>
              </w:rPr>
              <w:t>46.480,44</w:t>
            </w:r>
          </w:p>
        </w:tc>
        <w:tc>
          <w:tcPr>
            <w:tcW w:w="1395" w:type="dxa"/>
            <w:tcBorders>
              <w:bottom w:val="single" w:sz="6" w:space="0" w:color="000000"/>
              <w:right w:val="single" w:sz="6" w:space="0" w:color="000000"/>
            </w:tcBorders>
            <w:vAlign w:val="center"/>
          </w:tcPr>
          <w:p w14:paraId="695FF644" w14:textId="77777777" w:rsidR="007D706A" w:rsidRDefault="007D706A" w:rsidP="00F70508">
            <w:pPr>
              <w:pStyle w:val="ParagraphStyle12"/>
              <w:rPr>
                <w:rStyle w:val="CharacterStyle12"/>
              </w:rPr>
            </w:pPr>
            <w:r>
              <w:rPr>
                <w:rStyle w:val="CharacterStyle12"/>
              </w:rPr>
              <w:t>140.000,00</w:t>
            </w:r>
          </w:p>
        </w:tc>
        <w:tc>
          <w:tcPr>
            <w:tcW w:w="1395" w:type="dxa"/>
            <w:tcBorders>
              <w:bottom w:val="single" w:sz="6" w:space="0" w:color="000000"/>
              <w:right w:val="single" w:sz="6" w:space="0" w:color="000000"/>
            </w:tcBorders>
            <w:vAlign w:val="center"/>
          </w:tcPr>
          <w:p w14:paraId="21777F8C" w14:textId="77777777" w:rsidR="007D706A" w:rsidRDefault="007D706A" w:rsidP="00F70508">
            <w:pPr>
              <w:pStyle w:val="ParagraphStyle12"/>
              <w:rPr>
                <w:rStyle w:val="CharacterStyle12"/>
              </w:rPr>
            </w:pPr>
            <w:r>
              <w:rPr>
                <w:rStyle w:val="CharacterStyle12"/>
              </w:rPr>
              <w:t>125.000,00</w:t>
            </w:r>
          </w:p>
        </w:tc>
      </w:tr>
      <w:tr w:rsidR="007D706A" w14:paraId="12004CB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9EA3D72"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6A440C90"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4FA2E9D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7F1F52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856083F" w14:textId="77777777" w:rsidR="007D706A" w:rsidRDefault="007D706A" w:rsidP="00F70508">
            <w:pPr>
              <w:pStyle w:val="ParagraphStyle12"/>
              <w:rPr>
                <w:rStyle w:val="CharacterStyle12"/>
              </w:rPr>
            </w:pPr>
            <w:r>
              <w:rPr>
                <w:rStyle w:val="CharacterStyle12"/>
              </w:rPr>
              <w:t>46.480,44</w:t>
            </w:r>
          </w:p>
        </w:tc>
        <w:tc>
          <w:tcPr>
            <w:tcW w:w="1395" w:type="dxa"/>
            <w:tcBorders>
              <w:bottom w:val="single" w:sz="6" w:space="0" w:color="000000"/>
              <w:right w:val="single" w:sz="6" w:space="0" w:color="000000"/>
            </w:tcBorders>
            <w:vAlign w:val="center"/>
          </w:tcPr>
          <w:p w14:paraId="77872C21" w14:textId="77777777" w:rsidR="007D706A" w:rsidRDefault="007D706A" w:rsidP="00F70508">
            <w:pPr>
              <w:pStyle w:val="ParagraphStyle12"/>
              <w:rPr>
                <w:rStyle w:val="CharacterStyle12"/>
              </w:rPr>
            </w:pPr>
            <w:r>
              <w:rPr>
                <w:rStyle w:val="CharacterStyle12"/>
              </w:rPr>
              <w:t>140.000,00</w:t>
            </w:r>
          </w:p>
        </w:tc>
        <w:tc>
          <w:tcPr>
            <w:tcW w:w="1395" w:type="dxa"/>
            <w:tcBorders>
              <w:bottom w:val="single" w:sz="6" w:space="0" w:color="000000"/>
              <w:right w:val="single" w:sz="6" w:space="0" w:color="000000"/>
            </w:tcBorders>
            <w:vAlign w:val="center"/>
          </w:tcPr>
          <w:p w14:paraId="17B4E6A0" w14:textId="77777777" w:rsidR="007D706A" w:rsidRDefault="007D706A" w:rsidP="00F70508">
            <w:pPr>
              <w:pStyle w:val="ParagraphStyle12"/>
              <w:rPr>
                <w:rStyle w:val="CharacterStyle12"/>
              </w:rPr>
            </w:pPr>
            <w:r>
              <w:rPr>
                <w:rStyle w:val="CharacterStyle12"/>
              </w:rPr>
              <w:t>125.000,00</w:t>
            </w:r>
          </w:p>
        </w:tc>
      </w:tr>
      <w:tr w:rsidR="007D706A" w14:paraId="0733528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08AB722" w14:textId="77777777" w:rsidR="007D706A" w:rsidRDefault="007D706A" w:rsidP="00F70508">
            <w:pPr>
              <w:pStyle w:val="ParagraphStyle7"/>
              <w:rPr>
                <w:rStyle w:val="CharacterStyle7"/>
              </w:rPr>
            </w:pPr>
            <w:r>
              <w:rPr>
                <w:rStyle w:val="CharacterStyle7"/>
              </w:rPr>
              <w:t>Izvor financiranja 50</w:t>
            </w:r>
          </w:p>
        </w:tc>
        <w:tc>
          <w:tcPr>
            <w:tcW w:w="4995" w:type="dxa"/>
            <w:tcBorders>
              <w:bottom w:val="single" w:sz="6" w:space="0" w:color="000000"/>
              <w:right w:val="single" w:sz="6" w:space="0" w:color="000000"/>
            </w:tcBorders>
            <w:vAlign w:val="center"/>
          </w:tcPr>
          <w:p w14:paraId="54A059DC" w14:textId="77777777" w:rsidR="007D706A" w:rsidRDefault="007D706A" w:rsidP="00F70508">
            <w:pPr>
              <w:pStyle w:val="ParagraphStyle8"/>
              <w:rPr>
                <w:rStyle w:val="CharacterStyle8"/>
              </w:rPr>
            </w:pPr>
            <w:r>
              <w:rPr>
                <w:rStyle w:val="CharacterStyle8"/>
              </w:rPr>
              <w:t>Pomoći iz državnog proračuna</w:t>
            </w:r>
          </w:p>
        </w:tc>
        <w:tc>
          <w:tcPr>
            <w:tcW w:w="1395" w:type="dxa"/>
            <w:tcBorders>
              <w:bottom w:val="single" w:sz="6" w:space="0" w:color="000000"/>
              <w:right w:val="single" w:sz="6" w:space="0" w:color="000000"/>
            </w:tcBorders>
            <w:vAlign w:val="center"/>
          </w:tcPr>
          <w:p w14:paraId="26A423D7"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1FFBD8F"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B17D13E" w14:textId="77777777" w:rsidR="007D706A" w:rsidRDefault="007D706A" w:rsidP="00F70508">
            <w:pPr>
              <w:pStyle w:val="ParagraphStyle9"/>
              <w:rPr>
                <w:rStyle w:val="CharacterStyle9"/>
              </w:rPr>
            </w:pPr>
            <w:r>
              <w:rPr>
                <w:rStyle w:val="CharacterStyle9"/>
              </w:rPr>
              <w:t>26.944,56</w:t>
            </w:r>
          </w:p>
        </w:tc>
        <w:tc>
          <w:tcPr>
            <w:tcW w:w="1395" w:type="dxa"/>
            <w:tcBorders>
              <w:bottom w:val="single" w:sz="6" w:space="0" w:color="000000"/>
              <w:right w:val="single" w:sz="6" w:space="0" w:color="000000"/>
            </w:tcBorders>
            <w:vAlign w:val="center"/>
          </w:tcPr>
          <w:p w14:paraId="6BC31D80" w14:textId="77777777" w:rsidR="007D706A" w:rsidRDefault="007D706A" w:rsidP="00F70508">
            <w:pPr>
              <w:pStyle w:val="ParagraphStyle9"/>
              <w:rPr>
                <w:rStyle w:val="CharacterStyle9"/>
              </w:rPr>
            </w:pPr>
            <w:r>
              <w:rPr>
                <w:rStyle w:val="CharacterStyle9"/>
              </w:rPr>
              <w:t>28.500,00</w:t>
            </w:r>
          </w:p>
        </w:tc>
        <w:tc>
          <w:tcPr>
            <w:tcW w:w="1395" w:type="dxa"/>
            <w:tcBorders>
              <w:bottom w:val="single" w:sz="6" w:space="0" w:color="000000"/>
              <w:right w:val="single" w:sz="6" w:space="0" w:color="000000"/>
            </w:tcBorders>
            <w:vAlign w:val="center"/>
          </w:tcPr>
          <w:p w14:paraId="374FB083" w14:textId="77777777" w:rsidR="007D706A" w:rsidRDefault="007D706A" w:rsidP="00F70508">
            <w:pPr>
              <w:pStyle w:val="ParagraphStyle9"/>
              <w:rPr>
                <w:rStyle w:val="CharacterStyle9"/>
              </w:rPr>
            </w:pPr>
            <w:r>
              <w:rPr>
                <w:rStyle w:val="CharacterStyle9"/>
              </w:rPr>
              <w:t>34.000,00</w:t>
            </w:r>
          </w:p>
        </w:tc>
      </w:tr>
      <w:tr w:rsidR="007D706A" w14:paraId="6ACA1FB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6F2D791"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3D44C88B"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12CE416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DB0F70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9006CE7" w14:textId="77777777" w:rsidR="007D706A" w:rsidRDefault="007D706A" w:rsidP="00F70508">
            <w:pPr>
              <w:pStyle w:val="ParagraphStyle12"/>
              <w:rPr>
                <w:rStyle w:val="CharacterStyle12"/>
              </w:rPr>
            </w:pPr>
            <w:r>
              <w:rPr>
                <w:rStyle w:val="CharacterStyle12"/>
              </w:rPr>
              <w:t>26.944,56</w:t>
            </w:r>
          </w:p>
        </w:tc>
        <w:tc>
          <w:tcPr>
            <w:tcW w:w="1395" w:type="dxa"/>
            <w:tcBorders>
              <w:bottom w:val="single" w:sz="6" w:space="0" w:color="000000"/>
              <w:right w:val="single" w:sz="6" w:space="0" w:color="000000"/>
            </w:tcBorders>
            <w:vAlign w:val="center"/>
          </w:tcPr>
          <w:p w14:paraId="005EB2B6" w14:textId="77777777" w:rsidR="007D706A" w:rsidRDefault="007D706A" w:rsidP="00F70508">
            <w:pPr>
              <w:pStyle w:val="ParagraphStyle12"/>
              <w:rPr>
                <w:rStyle w:val="CharacterStyle12"/>
              </w:rPr>
            </w:pPr>
            <w:r>
              <w:rPr>
                <w:rStyle w:val="CharacterStyle12"/>
              </w:rPr>
              <w:t>28.500,00</w:t>
            </w:r>
          </w:p>
        </w:tc>
        <w:tc>
          <w:tcPr>
            <w:tcW w:w="1395" w:type="dxa"/>
            <w:tcBorders>
              <w:bottom w:val="single" w:sz="6" w:space="0" w:color="000000"/>
              <w:right w:val="single" w:sz="6" w:space="0" w:color="000000"/>
            </w:tcBorders>
            <w:vAlign w:val="center"/>
          </w:tcPr>
          <w:p w14:paraId="4BFAACF5" w14:textId="77777777" w:rsidR="007D706A" w:rsidRDefault="007D706A" w:rsidP="00F70508">
            <w:pPr>
              <w:pStyle w:val="ParagraphStyle12"/>
              <w:rPr>
                <w:rStyle w:val="CharacterStyle12"/>
              </w:rPr>
            </w:pPr>
            <w:r>
              <w:rPr>
                <w:rStyle w:val="CharacterStyle12"/>
              </w:rPr>
              <w:t>34.000,00</w:t>
            </w:r>
          </w:p>
        </w:tc>
      </w:tr>
      <w:tr w:rsidR="007D706A" w14:paraId="71B4CF1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72FF9EF"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36943E3C"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702459A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D90AEB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28C7CB9" w14:textId="77777777" w:rsidR="007D706A" w:rsidRDefault="007D706A" w:rsidP="00F70508">
            <w:pPr>
              <w:pStyle w:val="ParagraphStyle12"/>
              <w:rPr>
                <w:rStyle w:val="CharacterStyle12"/>
              </w:rPr>
            </w:pPr>
            <w:r>
              <w:rPr>
                <w:rStyle w:val="CharacterStyle12"/>
              </w:rPr>
              <w:t>26.944,56</w:t>
            </w:r>
          </w:p>
        </w:tc>
        <w:tc>
          <w:tcPr>
            <w:tcW w:w="1395" w:type="dxa"/>
            <w:tcBorders>
              <w:bottom w:val="single" w:sz="6" w:space="0" w:color="000000"/>
              <w:right w:val="single" w:sz="6" w:space="0" w:color="000000"/>
            </w:tcBorders>
            <w:vAlign w:val="center"/>
          </w:tcPr>
          <w:p w14:paraId="1299ACE9" w14:textId="77777777" w:rsidR="007D706A" w:rsidRDefault="007D706A" w:rsidP="00F70508">
            <w:pPr>
              <w:pStyle w:val="ParagraphStyle12"/>
              <w:rPr>
                <w:rStyle w:val="CharacterStyle12"/>
              </w:rPr>
            </w:pPr>
            <w:r>
              <w:rPr>
                <w:rStyle w:val="CharacterStyle12"/>
              </w:rPr>
              <w:t>28.500,00</w:t>
            </w:r>
          </w:p>
        </w:tc>
        <w:tc>
          <w:tcPr>
            <w:tcW w:w="1395" w:type="dxa"/>
            <w:tcBorders>
              <w:bottom w:val="single" w:sz="6" w:space="0" w:color="000000"/>
              <w:right w:val="single" w:sz="6" w:space="0" w:color="000000"/>
            </w:tcBorders>
            <w:vAlign w:val="center"/>
          </w:tcPr>
          <w:p w14:paraId="2C8B291C" w14:textId="77777777" w:rsidR="007D706A" w:rsidRDefault="007D706A" w:rsidP="00F70508">
            <w:pPr>
              <w:pStyle w:val="ParagraphStyle12"/>
              <w:rPr>
                <w:rStyle w:val="CharacterStyle12"/>
              </w:rPr>
            </w:pPr>
            <w:r>
              <w:rPr>
                <w:rStyle w:val="CharacterStyle12"/>
              </w:rPr>
              <w:t>34.000,00</w:t>
            </w:r>
          </w:p>
        </w:tc>
      </w:tr>
      <w:tr w:rsidR="007D706A" w14:paraId="21F0DCE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078AC59" w14:textId="77777777" w:rsidR="007D706A" w:rsidRDefault="007D706A" w:rsidP="00F70508">
            <w:pPr>
              <w:pStyle w:val="ParagraphStyle7"/>
              <w:rPr>
                <w:rStyle w:val="CharacterStyle7"/>
              </w:rPr>
            </w:pPr>
            <w:r>
              <w:rPr>
                <w:rStyle w:val="CharacterStyle7"/>
              </w:rPr>
              <w:t>Izvor financiranja 82</w:t>
            </w:r>
          </w:p>
        </w:tc>
        <w:tc>
          <w:tcPr>
            <w:tcW w:w="4995" w:type="dxa"/>
            <w:tcBorders>
              <w:bottom w:val="single" w:sz="6" w:space="0" w:color="000000"/>
              <w:right w:val="single" w:sz="6" w:space="0" w:color="000000"/>
            </w:tcBorders>
            <w:vAlign w:val="center"/>
          </w:tcPr>
          <w:p w14:paraId="70789ED5" w14:textId="77777777" w:rsidR="007D706A" w:rsidRDefault="007D706A" w:rsidP="00F70508">
            <w:pPr>
              <w:pStyle w:val="ParagraphStyle8"/>
              <w:rPr>
                <w:rStyle w:val="CharacterStyle8"/>
              </w:rPr>
            </w:pPr>
            <w:r>
              <w:rPr>
                <w:rStyle w:val="CharacterStyle8"/>
              </w:rPr>
              <w:t>Preneseni viškovi iz ranijih godina</w:t>
            </w:r>
          </w:p>
        </w:tc>
        <w:tc>
          <w:tcPr>
            <w:tcW w:w="1395" w:type="dxa"/>
            <w:tcBorders>
              <w:bottom w:val="single" w:sz="6" w:space="0" w:color="000000"/>
              <w:right w:val="single" w:sz="6" w:space="0" w:color="000000"/>
            </w:tcBorders>
            <w:vAlign w:val="center"/>
          </w:tcPr>
          <w:p w14:paraId="5E723CAD"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F8E96E2" w14:textId="77777777" w:rsidR="007D706A" w:rsidRDefault="007D706A" w:rsidP="00F70508">
            <w:pPr>
              <w:pStyle w:val="ParagraphStyle9"/>
              <w:rPr>
                <w:rStyle w:val="CharacterStyle9"/>
              </w:rPr>
            </w:pPr>
            <w:r>
              <w:rPr>
                <w:rStyle w:val="CharacterStyle9"/>
              </w:rPr>
              <w:t>48.500,00</w:t>
            </w:r>
          </w:p>
        </w:tc>
        <w:tc>
          <w:tcPr>
            <w:tcW w:w="1395" w:type="dxa"/>
            <w:tcBorders>
              <w:bottom w:val="single" w:sz="6" w:space="0" w:color="000000"/>
              <w:right w:val="single" w:sz="6" w:space="0" w:color="000000"/>
            </w:tcBorders>
            <w:vAlign w:val="center"/>
          </w:tcPr>
          <w:p w14:paraId="7C3F345D"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FC8D2F1"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6512477" w14:textId="77777777" w:rsidR="007D706A" w:rsidRDefault="007D706A" w:rsidP="00F70508">
            <w:pPr>
              <w:pStyle w:val="ParagraphStyle9"/>
              <w:rPr>
                <w:rStyle w:val="CharacterStyle9"/>
              </w:rPr>
            </w:pPr>
            <w:r>
              <w:rPr>
                <w:rStyle w:val="CharacterStyle9"/>
              </w:rPr>
              <w:t>0,00</w:t>
            </w:r>
          </w:p>
        </w:tc>
      </w:tr>
      <w:tr w:rsidR="007D706A" w14:paraId="3F8052F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0580E98"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3D34B449"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29F530E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E620CB2" w14:textId="77777777" w:rsidR="007D706A" w:rsidRDefault="007D706A" w:rsidP="00F70508">
            <w:pPr>
              <w:pStyle w:val="ParagraphStyle12"/>
              <w:rPr>
                <w:rStyle w:val="CharacterStyle12"/>
              </w:rPr>
            </w:pPr>
            <w:r>
              <w:rPr>
                <w:rStyle w:val="CharacterStyle12"/>
              </w:rPr>
              <w:t>48.500,00</w:t>
            </w:r>
          </w:p>
        </w:tc>
        <w:tc>
          <w:tcPr>
            <w:tcW w:w="1395" w:type="dxa"/>
            <w:tcBorders>
              <w:bottom w:val="single" w:sz="6" w:space="0" w:color="000000"/>
              <w:right w:val="single" w:sz="6" w:space="0" w:color="000000"/>
            </w:tcBorders>
            <w:vAlign w:val="center"/>
          </w:tcPr>
          <w:p w14:paraId="528DEF6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A25AA4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202C65B" w14:textId="77777777" w:rsidR="007D706A" w:rsidRDefault="007D706A" w:rsidP="00F70508">
            <w:pPr>
              <w:pStyle w:val="ParagraphStyle12"/>
              <w:rPr>
                <w:rStyle w:val="CharacterStyle12"/>
              </w:rPr>
            </w:pPr>
            <w:r>
              <w:rPr>
                <w:rStyle w:val="CharacterStyle12"/>
              </w:rPr>
              <w:t>0,00</w:t>
            </w:r>
          </w:p>
        </w:tc>
      </w:tr>
      <w:tr w:rsidR="007D706A" w14:paraId="56A2F8C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8FCD47C"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56706D57"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321F89B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EF2BC31" w14:textId="77777777" w:rsidR="007D706A" w:rsidRDefault="007D706A" w:rsidP="00F70508">
            <w:pPr>
              <w:pStyle w:val="ParagraphStyle12"/>
              <w:rPr>
                <w:rStyle w:val="CharacterStyle12"/>
              </w:rPr>
            </w:pPr>
            <w:r>
              <w:rPr>
                <w:rStyle w:val="CharacterStyle12"/>
              </w:rPr>
              <w:t>48.500,00</w:t>
            </w:r>
          </w:p>
        </w:tc>
        <w:tc>
          <w:tcPr>
            <w:tcW w:w="1395" w:type="dxa"/>
            <w:tcBorders>
              <w:bottom w:val="single" w:sz="6" w:space="0" w:color="000000"/>
              <w:right w:val="single" w:sz="6" w:space="0" w:color="000000"/>
            </w:tcBorders>
            <w:vAlign w:val="center"/>
          </w:tcPr>
          <w:p w14:paraId="412AA30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BBD2DD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3956DD2" w14:textId="77777777" w:rsidR="007D706A" w:rsidRDefault="007D706A" w:rsidP="00F70508">
            <w:pPr>
              <w:pStyle w:val="ParagraphStyle12"/>
              <w:rPr>
                <w:rStyle w:val="CharacterStyle12"/>
              </w:rPr>
            </w:pPr>
            <w:r>
              <w:rPr>
                <w:rStyle w:val="CharacterStyle12"/>
              </w:rPr>
              <w:t>0,00</w:t>
            </w:r>
          </w:p>
        </w:tc>
      </w:tr>
      <w:tr w:rsidR="007D706A" w14:paraId="73B52BA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52E4B1F" w14:textId="77777777" w:rsidR="007D706A" w:rsidRDefault="007D706A" w:rsidP="00F70508">
            <w:pPr>
              <w:pStyle w:val="ParagraphStyle4"/>
              <w:rPr>
                <w:rStyle w:val="CharacterStyle4"/>
              </w:rPr>
            </w:pPr>
            <w:r>
              <w:rPr>
                <w:rStyle w:val="CharacterStyle4"/>
              </w:rPr>
              <w:t>Aktivnost AA101307</w:t>
            </w:r>
          </w:p>
        </w:tc>
        <w:tc>
          <w:tcPr>
            <w:tcW w:w="4995" w:type="dxa"/>
            <w:tcBorders>
              <w:bottom w:val="single" w:sz="6" w:space="0" w:color="000000"/>
              <w:right w:val="single" w:sz="6" w:space="0" w:color="000000"/>
            </w:tcBorders>
            <w:vAlign w:val="center"/>
          </w:tcPr>
          <w:p w14:paraId="1C04CEE3" w14:textId="77777777" w:rsidR="007D706A" w:rsidRDefault="007D706A" w:rsidP="00F70508">
            <w:pPr>
              <w:pStyle w:val="ParagraphStyle5"/>
              <w:rPr>
                <w:rStyle w:val="CharacterStyle5"/>
              </w:rPr>
            </w:pPr>
            <w:r>
              <w:rPr>
                <w:rStyle w:val="CharacterStyle5"/>
              </w:rPr>
              <w:t>UREĐENJE GRADSKIH FASADA</w:t>
            </w:r>
          </w:p>
        </w:tc>
        <w:tc>
          <w:tcPr>
            <w:tcW w:w="1395" w:type="dxa"/>
            <w:tcBorders>
              <w:bottom w:val="single" w:sz="6" w:space="0" w:color="000000"/>
              <w:right w:val="single" w:sz="6" w:space="0" w:color="000000"/>
            </w:tcBorders>
            <w:vAlign w:val="center"/>
          </w:tcPr>
          <w:p w14:paraId="7F81A025"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2AE9A8CC" w14:textId="77777777" w:rsidR="007D706A" w:rsidRDefault="007D706A" w:rsidP="00F70508">
            <w:pPr>
              <w:pStyle w:val="ParagraphStyle6"/>
              <w:rPr>
                <w:rStyle w:val="CharacterStyle6"/>
              </w:rPr>
            </w:pPr>
            <w:r>
              <w:rPr>
                <w:rStyle w:val="CharacterStyle6"/>
              </w:rPr>
              <w:t>179.000,00</w:t>
            </w:r>
          </w:p>
        </w:tc>
        <w:tc>
          <w:tcPr>
            <w:tcW w:w="1395" w:type="dxa"/>
            <w:tcBorders>
              <w:bottom w:val="single" w:sz="6" w:space="0" w:color="000000"/>
              <w:right w:val="single" w:sz="6" w:space="0" w:color="000000"/>
            </w:tcBorders>
            <w:vAlign w:val="center"/>
          </w:tcPr>
          <w:p w14:paraId="60FD6F9A" w14:textId="77777777" w:rsidR="007D706A" w:rsidRDefault="007D706A" w:rsidP="00F70508">
            <w:pPr>
              <w:pStyle w:val="ParagraphStyle6"/>
              <w:rPr>
                <w:rStyle w:val="CharacterStyle6"/>
              </w:rPr>
            </w:pPr>
            <w:r>
              <w:rPr>
                <w:rStyle w:val="CharacterStyle6"/>
              </w:rPr>
              <w:t>22.500,00</w:t>
            </w:r>
          </w:p>
        </w:tc>
        <w:tc>
          <w:tcPr>
            <w:tcW w:w="1395" w:type="dxa"/>
            <w:tcBorders>
              <w:bottom w:val="single" w:sz="6" w:space="0" w:color="000000"/>
              <w:right w:val="single" w:sz="6" w:space="0" w:color="000000"/>
            </w:tcBorders>
            <w:vAlign w:val="center"/>
          </w:tcPr>
          <w:p w14:paraId="75AF4A72" w14:textId="77777777" w:rsidR="007D706A" w:rsidRDefault="007D706A" w:rsidP="00F70508">
            <w:pPr>
              <w:pStyle w:val="ParagraphStyle6"/>
              <w:rPr>
                <w:rStyle w:val="CharacterStyle6"/>
              </w:rPr>
            </w:pPr>
            <w:r>
              <w:rPr>
                <w:rStyle w:val="CharacterStyle6"/>
              </w:rPr>
              <w:t>21.000,00</w:t>
            </w:r>
          </w:p>
        </w:tc>
        <w:tc>
          <w:tcPr>
            <w:tcW w:w="1395" w:type="dxa"/>
            <w:tcBorders>
              <w:bottom w:val="single" w:sz="6" w:space="0" w:color="000000"/>
              <w:right w:val="single" w:sz="6" w:space="0" w:color="000000"/>
            </w:tcBorders>
            <w:vAlign w:val="center"/>
          </w:tcPr>
          <w:p w14:paraId="60C80002" w14:textId="77777777" w:rsidR="007D706A" w:rsidRDefault="007D706A" w:rsidP="00F70508">
            <w:pPr>
              <w:pStyle w:val="ParagraphStyle6"/>
              <w:rPr>
                <w:rStyle w:val="CharacterStyle6"/>
              </w:rPr>
            </w:pPr>
            <w:r>
              <w:rPr>
                <w:rStyle w:val="CharacterStyle6"/>
              </w:rPr>
              <w:t>19.500,00</w:t>
            </w:r>
          </w:p>
        </w:tc>
      </w:tr>
      <w:tr w:rsidR="007D706A" w14:paraId="71C1E85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858D18F"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526C0270"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14A651F7"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BA32AF3" w14:textId="77777777" w:rsidR="007D706A" w:rsidRDefault="007D706A" w:rsidP="00F70508">
            <w:pPr>
              <w:pStyle w:val="ParagraphStyle9"/>
              <w:rPr>
                <w:rStyle w:val="CharacterStyle9"/>
              </w:rPr>
            </w:pPr>
            <w:r>
              <w:rPr>
                <w:rStyle w:val="CharacterStyle9"/>
              </w:rPr>
              <w:t>12.500,00</w:t>
            </w:r>
          </w:p>
        </w:tc>
        <w:tc>
          <w:tcPr>
            <w:tcW w:w="1395" w:type="dxa"/>
            <w:tcBorders>
              <w:bottom w:val="single" w:sz="6" w:space="0" w:color="000000"/>
              <w:right w:val="single" w:sz="6" w:space="0" w:color="000000"/>
            </w:tcBorders>
            <w:vAlign w:val="center"/>
          </w:tcPr>
          <w:p w14:paraId="4DB38B49" w14:textId="77777777" w:rsidR="007D706A" w:rsidRDefault="007D706A" w:rsidP="00F70508">
            <w:pPr>
              <w:pStyle w:val="ParagraphStyle9"/>
              <w:rPr>
                <w:rStyle w:val="CharacterStyle9"/>
              </w:rPr>
            </w:pPr>
            <w:r>
              <w:rPr>
                <w:rStyle w:val="CharacterStyle9"/>
              </w:rPr>
              <w:t>22.500,00</w:t>
            </w:r>
          </w:p>
        </w:tc>
        <w:tc>
          <w:tcPr>
            <w:tcW w:w="1395" w:type="dxa"/>
            <w:tcBorders>
              <w:bottom w:val="single" w:sz="6" w:space="0" w:color="000000"/>
              <w:right w:val="single" w:sz="6" w:space="0" w:color="000000"/>
            </w:tcBorders>
            <w:vAlign w:val="center"/>
          </w:tcPr>
          <w:p w14:paraId="7BF355A5" w14:textId="77777777" w:rsidR="007D706A" w:rsidRDefault="007D706A" w:rsidP="00F70508">
            <w:pPr>
              <w:pStyle w:val="ParagraphStyle9"/>
              <w:rPr>
                <w:rStyle w:val="CharacterStyle9"/>
              </w:rPr>
            </w:pPr>
            <w:r>
              <w:rPr>
                <w:rStyle w:val="CharacterStyle9"/>
              </w:rPr>
              <w:t>21.000,00</w:t>
            </w:r>
          </w:p>
        </w:tc>
        <w:tc>
          <w:tcPr>
            <w:tcW w:w="1395" w:type="dxa"/>
            <w:tcBorders>
              <w:bottom w:val="single" w:sz="6" w:space="0" w:color="000000"/>
              <w:right w:val="single" w:sz="6" w:space="0" w:color="000000"/>
            </w:tcBorders>
            <w:vAlign w:val="center"/>
          </w:tcPr>
          <w:p w14:paraId="41298AE2" w14:textId="77777777" w:rsidR="007D706A" w:rsidRDefault="007D706A" w:rsidP="00F70508">
            <w:pPr>
              <w:pStyle w:val="ParagraphStyle9"/>
              <w:rPr>
                <w:rStyle w:val="CharacterStyle9"/>
              </w:rPr>
            </w:pPr>
            <w:r>
              <w:rPr>
                <w:rStyle w:val="CharacterStyle9"/>
              </w:rPr>
              <w:t>19.500,00</w:t>
            </w:r>
          </w:p>
        </w:tc>
      </w:tr>
      <w:tr w:rsidR="007D706A" w14:paraId="387706A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6FAAB65"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498E0341"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681FABF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2158E15" w14:textId="77777777" w:rsidR="007D706A" w:rsidRDefault="007D706A" w:rsidP="00F70508">
            <w:pPr>
              <w:pStyle w:val="ParagraphStyle12"/>
              <w:rPr>
                <w:rStyle w:val="CharacterStyle12"/>
              </w:rPr>
            </w:pPr>
            <w:r>
              <w:rPr>
                <w:rStyle w:val="CharacterStyle12"/>
              </w:rPr>
              <w:t>12.500,00</w:t>
            </w:r>
          </w:p>
        </w:tc>
        <w:tc>
          <w:tcPr>
            <w:tcW w:w="1395" w:type="dxa"/>
            <w:tcBorders>
              <w:bottom w:val="single" w:sz="6" w:space="0" w:color="000000"/>
              <w:right w:val="single" w:sz="6" w:space="0" w:color="000000"/>
            </w:tcBorders>
            <w:vAlign w:val="center"/>
          </w:tcPr>
          <w:p w14:paraId="2FF88390" w14:textId="77777777" w:rsidR="007D706A" w:rsidRDefault="007D706A" w:rsidP="00F70508">
            <w:pPr>
              <w:pStyle w:val="ParagraphStyle12"/>
              <w:rPr>
                <w:rStyle w:val="CharacterStyle12"/>
              </w:rPr>
            </w:pPr>
            <w:r>
              <w:rPr>
                <w:rStyle w:val="CharacterStyle12"/>
              </w:rPr>
              <w:t>22.500,00</w:t>
            </w:r>
          </w:p>
        </w:tc>
        <w:tc>
          <w:tcPr>
            <w:tcW w:w="1395" w:type="dxa"/>
            <w:tcBorders>
              <w:bottom w:val="single" w:sz="6" w:space="0" w:color="000000"/>
              <w:right w:val="single" w:sz="6" w:space="0" w:color="000000"/>
            </w:tcBorders>
            <w:vAlign w:val="center"/>
          </w:tcPr>
          <w:p w14:paraId="6BDBED2C" w14:textId="77777777" w:rsidR="007D706A" w:rsidRDefault="007D706A" w:rsidP="00F70508">
            <w:pPr>
              <w:pStyle w:val="ParagraphStyle12"/>
              <w:rPr>
                <w:rStyle w:val="CharacterStyle12"/>
              </w:rPr>
            </w:pPr>
            <w:r>
              <w:rPr>
                <w:rStyle w:val="CharacterStyle12"/>
              </w:rPr>
              <w:t>21.000,00</w:t>
            </w:r>
          </w:p>
        </w:tc>
        <w:tc>
          <w:tcPr>
            <w:tcW w:w="1395" w:type="dxa"/>
            <w:tcBorders>
              <w:bottom w:val="single" w:sz="6" w:space="0" w:color="000000"/>
              <w:right w:val="single" w:sz="6" w:space="0" w:color="000000"/>
            </w:tcBorders>
            <w:vAlign w:val="center"/>
          </w:tcPr>
          <w:p w14:paraId="6F26A439" w14:textId="77777777" w:rsidR="007D706A" w:rsidRDefault="007D706A" w:rsidP="00F70508">
            <w:pPr>
              <w:pStyle w:val="ParagraphStyle12"/>
              <w:rPr>
                <w:rStyle w:val="CharacterStyle12"/>
              </w:rPr>
            </w:pPr>
            <w:r>
              <w:rPr>
                <w:rStyle w:val="CharacterStyle12"/>
              </w:rPr>
              <w:t>19.500,00</w:t>
            </w:r>
          </w:p>
        </w:tc>
      </w:tr>
      <w:tr w:rsidR="007D706A" w14:paraId="4CCE0D47" w14:textId="77777777" w:rsidTr="00F70508">
        <w:trPr>
          <w:trHeight w:val="405"/>
        </w:trPr>
        <w:tc>
          <w:tcPr>
            <w:tcW w:w="2880" w:type="dxa"/>
            <w:tcBorders>
              <w:left w:val="single" w:sz="6" w:space="0" w:color="000000"/>
              <w:bottom w:val="single" w:sz="6" w:space="0" w:color="000000"/>
              <w:right w:val="single" w:sz="6" w:space="0" w:color="000000"/>
            </w:tcBorders>
            <w:vAlign w:val="center"/>
          </w:tcPr>
          <w:p w14:paraId="49464C4B" w14:textId="77777777" w:rsidR="007D706A" w:rsidRDefault="007D706A" w:rsidP="00F70508">
            <w:pPr>
              <w:pStyle w:val="ParagraphStyle10"/>
              <w:rPr>
                <w:rStyle w:val="CharacterStyle10"/>
              </w:rPr>
            </w:pPr>
            <w:r>
              <w:rPr>
                <w:rStyle w:val="CharacterStyle10"/>
              </w:rPr>
              <w:lastRenderedPageBreak/>
              <w:t>37</w:t>
            </w:r>
          </w:p>
        </w:tc>
        <w:tc>
          <w:tcPr>
            <w:tcW w:w="4995" w:type="dxa"/>
            <w:tcBorders>
              <w:bottom w:val="single" w:sz="6" w:space="0" w:color="000000"/>
              <w:right w:val="single" w:sz="6" w:space="0" w:color="000000"/>
            </w:tcBorders>
            <w:vAlign w:val="center"/>
          </w:tcPr>
          <w:p w14:paraId="28E9B21D" w14:textId="77777777" w:rsidR="007D706A" w:rsidRDefault="007D706A" w:rsidP="00F70508">
            <w:pPr>
              <w:pStyle w:val="ParagraphStyle11"/>
              <w:rPr>
                <w:rStyle w:val="CharacterStyle11"/>
              </w:rPr>
            </w:pPr>
            <w:r>
              <w:rPr>
                <w:rStyle w:val="CharacterStyle11"/>
              </w:rPr>
              <w:t>Naknade građanima i kućanstvima na temelju osiguranja i druge naknade</w:t>
            </w:r>
          </w:p>
        </w:tc>
        <w:tc>
          <w:tcPr>
            <w:tcW w:w="1395" w:type="dxa"/>
            <w:tcBorders>
              <w:bottom w:val="single" w:sz="6" w:space="0" w:color="000000"/>
              <w:right w:val="single" w:sz="6" w:space="0" w:color="000000"/>
            </w:tcBorders>
            <w:vAlign w:val="center"/>
          </w:tcPr>
          <w:p w14:paraId="2862C65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0600691" w14:textId="77777777" w:rsidR="007D706A" w:rsidRDefault="007D706A" w:rsidP="00F70508">
            <w:pPr>
              <w:pStyle w:val="ParagraphStyle12"/>
              <w:rPr>
                <w:rStyle w:val="CharacterStyle12"/>
              </w:rPr>
            </w:pPr>
            <w:r>
              <w:rPr>
                <w:rStyle w:val="CharacterStyle12"/>
              </w:rPr>
              <w:t>12.500,00</w:t>
            </w:r>
          </w:p>
        </w:tc>
        <w:tc>
          <w:tcPr>
            <w:tcW w:w="1395" w:type="dxa"/>
            <w:tcBorders>
              <w:bottom w:val="single" w:sz="6" w:space="0" w:color="000000"/>
              <w:right w:val="single" w:sz="6" w:space="0" w:color="000000"/>
            </w:tcBorders>
            <w:vAlign w:val="center"/>
          </w:tcPr>
          <w:p w14:paraId="2EE8D865" w14:textId="77777777" w:rsidR="007D706A" w:rsidRDefault="007D706A" w:rsidP="00F70508">
            <w:pPr>
              <w:pStyle w:val="ParagraphStyle12"/>
              <w:rPr>
                <w:rStyle w:val="CharacterStyle12"/>
              </w:rPr>
            </w:pPr>
            <w:r>
              <w:rPr>
                <w:rStyle w:val="CharacterStyle12"/>
              </w:rPr>
              <w:t>22.500,00</w:t>
            </w:r>
          </w:p>
        </w:tc>
        <w:tc>
          <w:tcPr>
            <w:tcW w:w="1395" w:type="dxa"/>
            <w:tcBorders>
              <w:bottom w:val="single" w:sz="6" w:space="0" w:color="000000"/>
              <w:right w:val="single" w:sz="6" w:space="0" w:color="000000"/>
            </w:tcBorders>
            <w:vAlign w:val="center"/>
          </w:tcPr>
          <w:p w14:paraId="35C26DF0" w14:textId="77777777" w:rsidR="007D706A" w:rsidRDefault="007D706A" w:rsidP="00F70508">
            <w:pPr>
              <w:pStyle w:val="ParagraphStyle12"/>
              <w:rPr>
                <w:rStyle w:val="CharacterStyle12"/>
              </w:rPr>
            </w:pPr>
            <w:r>
              <w:rPr>
                <w:rStyle w:val="CharacterStyle12"/>
              </w:rPr>
              <w:t>21.000,00</w:t>
            </w:r>
          </w:p>
        </w:tc>
        <w:tc>
          <w:tcPr>
            <w:tcW w:w="1395" w:type="dxa"/>
            <w:tcBorders>
              <w:bottom w:val="single" w:sz="6" w:space="0" w:color="000000"/>
              <w:right w:val="single" w:sz="6" w:space="0" w:color="000000"/>
            </w:tcBorders>
            <w:vAlign w:val="center"/>
          </w:tcPr>
          <w:p w14:paraId="7F006275" w14:textId="77777777" w:rsidR="007D706A" w:rsidRDefault="007D706A" w:rsidP="00F70508">
            <w:pPr>
              <w:pStyle w:val="ParagraphStyle12"/>
              <w:rPr>
                <w:rStyle w:val="CharacterStyle12"/>
              </w:rPr>
            </w:pPr>
            <w:r>
              <w:rPr>
                <w:rStyle w:val="CharacterStyle12"/>
              </w:rPr>
              <w:t>19.500,00</w:t>
            </w:r>
          </w:p>
        </w:tc>
      </w:tr>
      <w:tr w:rsidR="007D706A" w14:paraId="382B430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7E0307E" w14:textId="77777777" w:rsidR="007D706A" w:rsidRDefault="007D706A" w:rsidP="00F70508">
            <w:pPr>
              <w:pStyle w:val="ParagraphStyle7"/>
              <w:rPr>
                <w:rStyle w:val="CharacterStyle7"/>
              </w:rPr>
            </w:pPr>
            <w:r>
              <w:rPr>
                <w:rStyle w:val="CharacterStyle7"/>
              </w:rPr>
              <w:t>Izvor financiranja 82</w:t>
            </w:r>
          </w:p>
        </w:tc>
        <w:tc>
          <w:tcPr>
            <w:tcW w:w="4995" w:type="dxa"/>
            <w:tcBorders>
              <w:bottom w:val="single" w:sz="6" w:space="0" w:color="000000"/>
              <w:right w:val="single" w:sz="6" w:space="0" w:color="000000"/>
            </w:tcBorders>
            <w:vAlign w:val="center"/>
          </w:tcPr>
          <w:p w14:paraId="0EB10122" w14:textId="77777777" w:rsidR="007D706A" w:rsidRDefault="007D706A" w:rsidP="00F70508">
            <w:pPr>
              <w:pStyle w:val="ParagraphStyle8"/>
              <w:rPr>
                <w:rStyle w:val="CharacterStyle8"/>
              </w:rPr>
            </w:pPr>
            <w:r>
              <w:rPr>
                <w:rStyle w:val="CharacterStyle8"/>
              </w:rPr>
              <w:t>Preneseni viškovi iz ranijih godina</w:t>
            </w:r>
          </w:p>
        </w:tc>
        <w:tc>
          <w:tcPr>
            <w:tcW w:w="1395" w:type="dxa"/>
            <w:tcBorders>
              <w:bottom w:val="single" w:sz="6" w:space="0" w:color="000000"/>
              <w:right w:val="single" w:sz="6" w:space="0" w:color="000000"/>
            </w:tcBorders>
            <w:vAlign w:val="center"/>
          </w:tcPr>
          <w:p w14:paraId="37852109"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9512C24" w14:textId="77777777" w:rsidR="007D706A" w:rsidRDefault="007D706A" w:rsidP="00F70508">
            <w:pPr>
              <w:pStyle w:val="ParagraphStyle9"/>
              <w:rPr>
                <w:rStyle w:val="CharacterStyle9"/>
              </w:rPr>
            </w:pPr>
            <w:r>
              <w:rPr>
                <w:rStyle w:val="CharacterStyle9"/>
              </w:rPr>
              <w:t>166.500,00</w:t>
            </w:r>
          </w:p>
        </w:tc>
        <w:tc>
          <w:tcPr>
            <w:tcW w:w="1395" w:type="dxa"/>
            <w:tcBorders>
              <w:bottom w:val="single" w:sz="6" w:space="0" w:color="000000"/>
              <w:right w:val="single" w:sz="6" w:space="0" w:color="000000"/>
            </w:tcBorders>
            <w:vAlign w:val="center"/>
          </w:tcPr>
          <w:p w14:paraId="0A171AB4"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36812A7"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AA07167" w14:textId="77777777" w:rsidR="007D706A" w:rsidRDefault="007D706A" w:rsidP="00F70508">
            <w:pPr>
              <w:pStyle w:val="ParagraphStyle9"/>
              <w:rPr>
                <w:rStyle w:val="CharacterStyle9"/>
              </w:rPr>
            </w:pPr>
            <w:r>
              <w:rPr>
                <w:rStyle w:val="CharacterStyle9"/>
              </w:rPr>
              <w:t>0,00</w:t>
            </w:r>
          </w:p>
        </w:tc>
      </w:tr>
      <w:tr w:rsidR="007D706A" w14:paraId="57C301E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EB634E2"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5F17B2CB"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2B32F6C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D3212BF" w14:textId="77777777" w:rsidR="007D706A" w:rsidRDefault="007D706A" w:rsidP="00F70508">
            <w:pPr>
              <w:pStyle w:val="ParagraphStyle12"/>
              <w:rPr>
                <w:rStyle w:val="CharacterStyle12"/>
              </w:rPr>
            </w:pPr>
            <w:r>
              <w:rPr>
                <w:rStyle w:val="CharacterStyle12"/>
              </w:rPr>
              <w:t>166.500,00</w:t>
            </w:r>
          </w:p>
        </w:tc>
        <w:tc>
          <w:tcPr>
            <w:tcW w:w="1395" w:type="dxa"/>
            <w:tcBorders>
              <w:bottom w:val="single" w:sz="6" w:space="0" w:color="000000"/>
              <w:right w:val="single" w:sz="6" w:space="0" w:color="000000"/>
            </w:tcBorders>
            <w:vAlign w:val="center"/>
          </w:tcPr>
          <w:p w14:paraId="65061D2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6992CF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D600595" w14:textId="77777777" w:rsidR="007D706A" w:rsidRDefault="007D706A" w:rsidP="00F70508">
            <w:pPr>
              <w:pStyle w:val="ParagraphStyle12"/>
              <w:rPr>
                <w:rStyle w:val="CharacterStyle12"/>
              </w:rPr>
            </w:pPr>
            <w:r>
              <w:rPr>
                <w:rStyle w:val="CharacterStyle12"/>
              </w:rPr>
              <w:t>0,00</w:t>
            </w:r>
          </w:p>
        </w:tc>
      </w:tr>
      <w:tr w:rsidR="007D706A" w14:paraId="092D608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F2C5CB8"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13EDF755"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2B362E5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89D0E8E" w14:textId="77777777" w:rsidR="007D706A" w:rsidRDefault="007D706A" w:rsidP="00F70508">
            <w:pPr>
              <w:pStyle w:val="ParagraphStyle12"/>
              <w:rPr>
                <w:rStyle w:val="CharacterStyle12"/>
              </w:rPr>
            </w:pPr>
            <w:r>
              <w:rPr>
                <w:rStyle w:val="CharacterStyle12"/>
              </w:rPr>
              <w:t>166.500,00</w:t>
            </w:r>
          </w:p>
        </w:tc>
        <w:tc>
          <w:tcPr>
            <w:tcW w:w="1395" w:type="dxa"/>
            <w:tcBorders>
              <w:bottom w:val="single" w:sz="6" w:space="0" w:color="000000"/>
              <w:right w:val="single" w:sz="6" w:space="0" w:color="000000"/>
            </w:tcBorders>
            <w:vAlign w:val="center"/>
          </w:tcPr>
          <w:p w14:paraId="1C4451F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408B47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D00F7C0" w14:textId="77777777" w:rsidR="007D706A" w:rsidRDefault="007D706A" w:rsidP="00F70508">
            <w:pPr>
              <w:pStyle w:val="ParagraphStyle12"/>
              <w:rPr>
                <w:rStyle w:val="CharacterStyle12"/>
              </w:rPr>
            </w:pPr>
            <w:r>
              <w:rPr>
                <w:rStyle w:val="CharacterStyle12"/>
              </w:rPr>
              <w:t>0,00</w:t>
            </w:r>
          </w:p>
        </w:tc>
      </w:tr>
      <w:tr w:rsidR="007D706A" w14:paraId="442A0F6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CDC3A50" w14:textId="77777777" w:rsidR="007D706A" w:rsidRDefault="007D706A" w:rsidP="00F70508">
            <w:pPr>
              <w:pStyle w:val="ParagraphStyle4"/>
              <w:rPr>
                <w:rStyle w:val="CharacterStyle4"/>
              </w:rPr>
            </w:pPr>
            <w:r>
              <w:rPr>
                <w:rStyle w:val="CharacterStyle4"/>
              </w:rPr>
              <w:t>Tekući projekt T101306</w:t>
            </w:r>
          </w:p>
        </w:tc>
        <w:tc>
          <w:tcPr>
            <w:tcW w:w="4995" w:type="dxa"/>
            <w:tcBorders>
              <w:bottom w:val="single" w:sz="6" w:space="0" w:color="000000"/>
              <w:right w:val="single" w:sz="6" w:space="0" w:color="000000"/>
            </w:tcBorders>
            <w:vAlign w:val="center"/>
          </w:tcPr>
          <w:p w14:paraId="17B5D5CC" w14:textId="77777777" w:rsidR="007D706A" w:rsidRDefault="007D706A" w:rsidP="00F70508">
            <w:pPr>
              <w:pStyle w:val="ParagraphStyle5"/>
              <w:rPr>
                <w:rStyle w:val="CharacterStyle5"/>
              </w:rPr>
            </w:pPr>
            <w:r>
              <w:rPr>
                <w:rStyle w:val="CharacterStyle5"/>
              </w:rPr>
              <w:t>BICIKLISTIČKA TRAKA NASELJE MONFIORENZO-GRIPOLE</w:t>
            </w:r>
          </w:p>
        </w:tc>
        <w:tc>
          <w:tcPr>
            <w:tcW w:w="1395" w:type="dxa"/>
            <w:tcBorders>
              <w:bottom w:val="single" w:sz="6" w:space="0" w:color="000000"/>
              <w:right w:val="single" w:sz="6" w:space="0" w:color="000000"/>
            </w:tcBorders>
            <w:vAlign w:val="center"/>
          </w:tcPr>
          <w:p w14:paraId="35D7B892"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2FD07B21" w14:textId="77777777" w:rsidR="007D706A" w:rsidRDefault="007D706A" w:rsidP="00F70508">
            <w:pPr>
              <w:pStyle w:val="ParagraphStyle6"/>
              <w:rPr>
                <w:rStyle w:val="CharacterStyle6"/>
              </w:rPr>
            </w:pPr>
            <w:r>
              <w:rPr>
                <w:rStyle w:val="CharacterStyle6"/>
              </w:rPr>
              <w:t>195.000,00</w:t>
            </w:r>
          </w:p>
        </w:tc>
        <w:tc>
          <w:tcPr>
            <w:tcW w:w="1395" w:type="dxa"/>
            <w:tcBorders>
              <w:bottom w:val="single" w:sz="6" w:space="0" w:color="000000"/>
              <w:right w:val="single" w:sz="6" w:space="0" w:color="000000"/>
            </w:tcBorders>
            <w:vAlign w:val="center"/>
          </w:tcPr>
          <w:p w14:paraId="6C105C67" w14:textId="77777777" w:rsidR="007D706A" w:rsidRDefault="007D706A" w:rsidP="00F70508">
            <w:pPr>
              <w:pStyle w:val="ParagraphStyle6"/>
              <w:rPr>
                <w:rStyle w:val="CharacterStyle6"/>
              </w:rPr>
            </w:pPr>
            <w:r>
              <w:rPr>
                <w:rStyle w:val="CharacterStyle6"/>
              </w:rPr>
              <w:t>169.000,00</w:t>
            </w:r>
          </w:p>
        </w:tc>
        <w:tc>
          <w:tcPr>
            <w:tcW w:w="1395" w:type="dxa"/>
            <w:tcBorders>
              <w:bottom w:val="single" w:sz="6" w:space="0" w:color="000000"/>
              <w:right w:val="single" w:sz="6" w:space="0" w:color="000000"/>
            </w:tcBorders>
            <w:vAlign w:val="center"/>
          </w:tcPr>
          <w:p w14:paraId="4AB5DD32" w14:textId="77777777" w:rsidR="007D706A" w:rsidRDefault="007D706A" w:rsidP="00F70508">
            <w:pPr>
              <w:pStyle w:val="ParagraphStyle6"/>
              <w:rPr>
                <w:rStyle w:val="CharacterStyle6"/>
              </w:rPr>
            </w:pPr>
            <w:r>
              <w:rPr>
                <w:rStyle w:val="CharacterStyle6"/>
              </w:rPr>
              <w:t>89.000,00</w:t>
            </w:r>
          </w:p>
        </w:tc>
        <w:tc>
          <w:tcPr>
            <w:tcW w:w="1395" w:type="dxa"/>
            <w:tcBorders>
              <w:bottom w:val="single" w:sz="6" w:space="0" w:color="000000"/>
              <w:right w:val="single" w:sz="6" w:space="0" w:color="000000"/>
            </w:tcBorders>
            <w:vAlign w:val="center"/>
          </w:tcPr>
          <w:p w14:paraId="3DF391B8" w14:textId="77777777" w:rsidR="007D706A" w:rsidRDefault="007D706A" w:rsidP="00F70508">
            <w:pPr>
              <w:pStyle w:val="ParagraphStyle6"/>
              <w:rPr>
                <w:rStyle w:val="CharacterStyle6"/>
              </w:rPr>
            </w:pPr>
            <w:r>
              <w:rPr>
                <w:rStyle w:val="CharacterStyle6"/>
              </w:rPr>
              <w:t>0,00</w:t>
            </w:r>
          </w:p>
        </w:tc>
      </w:tr>
      <w:tr w:rsidR="007D706A" w14:paraId="2192B06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C9E51F7"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00BB3F42"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2A76883E"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0556E05" w14:textId="77777777" w:rsidR="007D706A" w:rsidRDefault="007D706A" w:rsidP="00F70508">
            <w:pPr>
              <w:pStyle w:val="ParagraphStyle9"/>
              <w:rPr>
                <w:rStyle w:val="CharacterStyle9"/>
              </w:rPr>
            </w:pPr>
            <w:r>
              <w:rPr>
                <w:rStyle w:val="CharacterStyle9"/>
              </w:rPr>
              <w:t>195.000,00</w:t>
            </w:r>
          </w:p>
        </w:tc>
        <w:tc>
          <w:tcPr>
            <w:tcW w:w="1395" w:type="dxa"/>
            <w:tcBorders>
              <w:bottom w:val="single" w:sz="6" w:space="0" w:color="000000"/>
              <w:right w:val="single" w:sz="6" w:space="0" w:color="000000"/>
            </w:tcBorders>
            <w:vAlign w:val="center"/>
          </w:tcPr>
          <w:p w14:paraId="086A7D57" w14:textId="77777777" w:rsidR="007D706A" w:rsidRDefault="007D706A" w:rsidP="00F70508">
            <w:pPr>
              <w:pStyle w:val="ParagraphStyle9"/>
              <w:rPr>
                <w:rStyle w:val="CharacterStyle9"/>
              </w:rPr>
            </w:pPr>
            <w:r>
              <w:rPr>
                <w:rStyle w:val="CharacterStyle9"/>
              </w:rPr>
              <w:t>169.000,00</w:t>
            </w:r>
          </w:p>
        </w:tc>
        <w:tc>
          <w:tcPr>
            <w:tcW w:w="1395" w:type="dxa"/>
            <w:tcBorders>
              <w:bottom w:val="single" w:sz="6" w:space="0" w:color="000000"/>
              <w:right w:val="single" w:sz="6" w:space="0" w:color="000000"/>
            </w:tcBorders>
            <w:vAlign w:val="center"/>
          </w:tcPr>
          <w:p w14:paraId="78572152" w14:textId="77777777" w:rsidR="007D706A" w:rsidRDefault="007D706A" w:rsidP="00F70508">
            <w:pPr>
              <w:pStyle w:val="ParagraphStyle9"/>
              <w:rPr>
                <w:rStyle w:val="CharacterStyle9"/>
              </w:rPr>
            </w:pPr>
            <w:r>
              <w:rPr>
                <w:rStyle w:val="CharacterStyle9"/>
              </w:rPr>
              <w:t>89.000,00</w:t>
            </w:r>
          </w:p>
        </w:tc>
        <w:tc>
          <w:tcPr>
            <w:tcW w:w="1395" w:type="dxa"/>
            <w:tcBorders>
              <w:bottom w:val="single" w:sz="6" w:space="0" w:color="000000"/>
              <w:right w:val="single" w:sz="6" w:space="0" w:color="000000"/>
            </w:tcBorders>
            <w:vAlign w:val="center"/>
          </w:tcPr>
          <w:p w14:paraId="41A63D83" w14:textId="77777777" w:rsidR="007D706A" w:rsidRDefault="007D706A" w:rsidP="00F70508">
            <w:pPr>
              <w:pStyle w:val="ParagraphStyle9"/>
              <w:rPr>
                <w:rStyle w:val="CharacterStyle9"/>
              </w:rPr>
            </w:pPr>
            <w:r>
              <w:rPr>
                <w:rStyle w:val="CharacterStyle9"/>
              </w:rPr>
              <w:t>0,00</w:t>
            </w:r>
          </w:p>
        </w:tc>
      </w:tr>
      <w:tr w:rsidR="007D706A" w14:paraId="7C4E9D4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386CCF2"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35710BC0"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4CDC823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27B698B" w14:textId="77777777" w:rsidR="007D706A" w:rsidRDefault="007D706A" w:rsidP="00F70508">
            <w:pPr>
              <w:pStyle w:val="ParagraphStyle12"/>
              <w:rPr>
                <w:rStyle w:val="CharacterStyle12"/>
              </w:rPr>
            </w:pPr>
            <w:r>
              <w:rPr>
                <w:rStyle w:val="CharacterStyle12"/>
              </w:rPr>
              <w:t>195.000,00</w:t>
            </w:r>
          </w:p>
        </w:tc>
        <w:tc>
          <w:tcPr>
            <w:tcW w:w="1395" w:type="dxa"/>
            <w:tcBorders>
              <w:bottom w:val="single" w:sz="6" w:space="0" w:color="000000"/>
              <w:right w:val="single" w:sz="6" w:space="0" w:color="000000"/>
            </w:tcBorders>
            <w:vAlign w:val="center"/>
          </w:tcPr>
          <w:p w14:paraId="138CC7E0" w14:textId="77777777" w:rsidR="007D706A" w:rsidRDefault="007D706A" w:rsidP="00F70508">
            <w:pPr>
              <w:pStyle w:val="ParagraphStyle12"/>
              <w:rPr>
                <w:rStyle w:val="CharacterStyle12"/>
              </w:rPr>
            </w:pPr>
            <w:r>
              <w:rPr>
                <w:rStyle w:val="CharacterStyle12"/>
              </w:rPr>
              <w:t>169.000,00</w:t>
            </w:r>
          </w:p>
        </w:tc>
        <w:tc>
          <w:tcPr>
            <w:tcW w:w="1395" w:type="dxa"/>
            <w:tcBorders>
              <w:bottom w:val="single" w:sz="6" w:space="0" w:color="000000"/>
              <w:right w:val="single" w:sz="6" w:space="0" w:color="000000"/>
            </w:tcBorders>
            <w:vAlign w:val="center"/>
          </w:tcPr>
          <w:p w14:paraId="1ADC8FB4" w14:textId="77777777" w:rsidR="007D706A" w:rsidRDefault="007D706A" w:rsidP="00F70508">
            <w:pPr>
              <w:pStyle w:val="ParagraphStyle12"/>
              <w:rPr>
                <w:rStyle w:val="CharacterStyle12"/>
              </w:rPr>
            </w:pPr>
            <w:r>
              <w:rPr>
                <w:rStyle w:val="CharacterStyle12"/>
              </w:rPr>
              <w:t>89.000,00</w:t>
            </w:r>
          </w:p>
        </w:tc>
        <w:tc>
          <w:tcPr>
            <w:tcW w:w="1395" w:type="dxa"/>
            <w:tcBorders>
              <w:bottom w:val="single" w:sz="6" w:space="0" w:color="000000"/>
              <w:right w:val="single" w:sz="6" w:space="0" w:color="000000"/>
            </w:tcBorders>
            <w:vAlign w:val="center"/>
          </w:tcPr>
          <w:p w14:paraId="1A81B021" w14:textId="77777777" w:rsidR="007D706A" w:rsidRDefault="007D706A" w:rsidP="00F70508">
            <w:pPr>
              <w:pStyle w:val="ParagraphStyle12"/>
              <w:rPr>
                <w:rStyle w:val="CharacterStyle12"/>
              </w:rPr>
            </w:pPr>
            <w:r>
              <w:rPr>
                <w:rStyle w:val="CharacterStyle12"/>
              </w:rPr>
              <w:t>0,00</w:t>
            </w:r>
          </w:p>
        </w:tc>
      </w:tr>
      <w:tr w:rsidR="007D706A" w14:paraId="6D3F4A7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EF3BA73" w14:textId="77777777" w:rsidR="007D706A" w:rsidRDefault="007D706A" w:rsidP="00F70508">
            <w:pPr>
              <w:pStyle w:val="ParagraphStyle10"/>
              <w:rPr>
                <w:rStyle w:val="CharacterStyle10"/>
              </w:rPr>
            </w:pPr>
            <w:r>
              <w:rPr>
                <w:rStyle w:val="CharacterStyle10"/>
              </w:rPr>
              <w:t>36</w:t>
            </w:r>
          </w:p>
        </w:tc>
        <w:tc>
          <w:tcPr>
            <w:tcW w:w="4995" w:type="dxa"/>
            <w:tcBorders>
              <w:bottom w:val="single" w:sz="6" w:space="0" w:color="000000"/>
              <w:right w:val="single" w:sz="6" w:space="0" w:color="000000"/>
            </w:tcBorders>
            <w:vAlign w:val="center"/>
          </w:tcPr>
          <w:p w14:paraId="1744C717" w14:textId="77777777" w:rsidR="007D706A" w:rsidRDefault="007D706A" w:rsidP="00F70508">
            <w:pPr>
              <w:pStyle w:val="ParagraphStyle11"/>
              <w:rPr>
                <w:rStyle w:val="CharacterStyle11"/>
              </w:rPr>
            </w:pPr>
            <w:r>
              <w:rPr>
                <w:rStyle w:val="CharacterStyle11"/>
              </w:rPr>
              <w:t>Pomoći dane u inozemstvo i unutar općeg proračuna</w:t>
            </w:r>
          </w:p>
        </w:tc>
        <w:tc>
          <w:tcPr>
            <w:tcW w:w="1395" w:type="dxa"/>
            <w:tcBorders>
              <w:bottom w:val="single" w:sz="6" w:space="0" w:color="000000"/>
              <w:right w:val="single" w:sz="6" w:space="0" w:color="000000"/>
            </w:tcBorders>
            <w:vAlign w:val="center"/>
          </w:tcPr>
          <w:p w14:paraId="449673D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AE667E0" w14:textId="77777777" w:rsidR="007D706A" w:rsidRDefault="007D706A" w:rsidP="00F70508">
            <w:pPr>
              <w:pStyle w:val="ParagraphStyle12"/>
              <w:rPr>
                <w:rStyle w:val="CharacterStyle12"/>
              </w:rPr>
            </w:pPr>
            <w:r>
              <w:rPr>
                <w:rStyle w:val="CharacterStyle12"/>
              </w:rPr>
              <w:t>195.000,00</w:t>
            </w:r>
          </w:p>
        </w:tc>
        <w:tc>
          <w:tcPr>
            <w:tcW w:w="1395" w:type="dxa"/>
            <w:tcBorders>
              <w:bottom w:val="single" w:sz="6" w:space="0" w:color="000000"/>
              <w:right w:val="single" w:sz="6" w:space="0" w:color="000000"/>
            </w:tcBorders>
            <w:vAlign w:val="center"/>
          </w:tcPr>
          <w:p w14:paraId="542BF0BD" w14:textId="77777777" w:rsidR="007D706A" w:rsidRDefault="007D706A" w:rsidP="00F70508">
            <w:pPr>
              <w:pStyle w:val="ParagraphStyle12"/>
              <w:rPr>
                <w:rStyle w:val="CharacterStyle12"/>
              </w:rPr>
            </w:pPr>
            <w:r>
              <w:rPr>
                <w:rStyle w:val="CharacterStyle12"/>
              </w:rPr>
              <w:t>169.000,00</w:t>
            </w:r>
          </w:p>
        </w:tc>
        <w:tc>
          <w:tcPr>
            <w:tcW w:w="1395" w:type="dxa"/>
            <w:tcBorders>
              <w:bottom w:val="single" w:sz="6" w:space="0" w:color="000000"/>
              <w:right w:val="single" w:sz="6" w:space="0" w:color="000000"/>
            </w:tcBorders>
            <w:vAlign w:val="center"/>
          </w:tcPr>
          <w:p w14:paraId="34BF5FDF" w14:textId="77777777" w:rsidR="007D706A" w:rsidRDefault="007D706A" w:rsidP="00F70508">
            <w:pPr>
              <w:pStyle w:val="ParagraphStyle12"/>
              <w:rPr>
                <w:rStyle w:val="CharacterStyle12"/>
              </w:rPr>
            </w:pPr>
            <w:r>
              <w:rPr>
                <w:rStyle w:val="CharacterStyle12"/>
              </w:rPr>
              <w:t>89.000,00</w:t>
            </w:r>
          </w:p>
        </w:tc>
        <w:tc>
          <w:tcPr>
            <w:tcW w:w="1395" w:type="dxa"/>
            <w:tcBorders>
              <w:bottom w:val="single" w:sz="6" w:space="0" w:color="000000"/>
              <w:right w:val="single" w:sz="6" w:space="0" w:color="000000"/>
            </w:tcBorders>
            <w:vAlign w:val="center"/>
          </w:tcPr>
          <w:p w14:paraId="2CCDC65B" w14:textId="77777777" w:rsidR="007D706A" w:rsidRDefault="007D706A" w:rsidP="00F70508">
            <w:pPr>
              <w:pStyle w:val="ParagraphStyle12"/>
              <w:rPr>
                <w:rStyle w:val="CharacterStyle12"/>
              </w:rPr>
            </w:pPr>
            <w:r>
              <w:rPr>
                <w:rStyle w:val="CharacterStyle12"/>
              </w:rPr>
              <w:t>0,00</w:t>
            </w:r>
          </w:p>
        </w:tc>
      </w:tr>
      <w:tr w:rsidR="007D706A" w14:paraId="4B95F48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018233A" w14:textId="77777777" w:rsidR="007D706A" w:rsidRDefault="007D706A" w:rsidP="00F70508">
            <w:pPr>
              <w:pStyle w:val="ParagraphStyle4"/>
              <w:rPr>
                <w:rStyle w:val="CharacterStyle4"/>
              </w:rPr>
            </w:pPr>
            <w:r>
              <w:rPr>
                <w:rStyle w:val="CharacterStyle4"/>
              </w:rPr>
              <w:t>PROGRAM    10003</w:t>
            </w:r>
          </w:p>
        </w:tc>
        <w:tc>
          <w:tcPr>
            <w:tcW w:w="4995" w:type="dxa"/>
            <w:tcBorders>
              <w:bottom w:val="single" w:sz="6" w:space="0" w:color="000000"/>
              <w:right w:val="single" w:sz="6" w:space="0" w:color="000000"/>
            </w:tcBorders>
            <w:vAlign w:val="center"/>
          </w:tcPr>
          <w:p w14:paraId="290C2EE1" w14:textId="77777777" w:rsidR="007D706A" w:rsidRDefault="007D706A" w:rsidP="00F70508">
            <w:pPr>
              <w:pStyle w:val="ParagraphStyle5"/>
              <w:rPr>
                <w:rStyle w:val="CharacterStyle5"/>
              </w:rPr>
            </w:pPr>
            <w:r>
              <w:rPr>
                <w:rStyle w:val="CharacterStyle5"/>
              </w:rPr>
              <w:t>MJERE I AKTIVNOSTI IZ DJELOKRUGA UPRAVNOG TIJELA-6</w:t>
            </w:r>
          </w:p>
        </w:tc>
        <w:tc>
          <w:tcPr>
            <w:tcW w:w="1395" w:type="dxa"/>
            <w:tcBorders>
              <w:bottom w:val="single" w:sz="6" w:space="0" w:color="000000"/>
              <w:right w:val="single" w:sz="6" w:space="0" w:color="000000"/>
            </w:tcBorders>
            <w:vAlign w:val="center"/>
          </w:tcPr>
          <w:p w14:paraId="536F3A2A"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6D174196" w14:textId="77777777" w:rsidR="007D706A" w:rsidRDefault="007D706A" w:rsidP="00F70508">
            <w:pPr>
              <w:pStyle w:val="ParagraphStyle6"/>
              <w:rPr>
                <w:rStyle w:val="CharacterStyle6"/>
              </w:rPr>
            </w:pPr>
            <w:r>
              <w:rPr>
                <w:rStyle w:val="CharacterStyle6"/>
              </w:rPr>
              <w:t>218.280,00</w:t>
            </w:r>
          </w:p>
        </w:tc>
        <w:tc>
          <w:tcPr>
            <w:tcW w:w="1395" w:type="dxa"/>
            <w:tcBorders>
              <w:bottom w:val="single" w:sz="6" w:space="0" w:color="000000"/>
              <w:right w:val="single" w:sz="6" w:space="0" w:color="000000"/>
            </w:tcBorders>
            <w:vAlign w:val="center"/>
          </w:tcPr>
          <w:p w14:paraId="303BF9A6" w14:textId="77777777" w:rsidR="007D706A" w:rsidRDefault="007D706A" w:rsidP="00F70508">
            <w:pPr>
              <w:pStyle w:val="ParagraphStyle6"/>
              <w:rPr>
                <w:rStyle w:val="CharacterStyle6"/>
              </w:rPr>
            </w:pPr>
            <w:r>
              <w:rPr>
                <w:rStyle w:val="CharacterStyle6"/>
              </w:rPr>
              <w:t>201.500,00</w:t>
            </w:r>
          </w:p>
        </w:tc>
        <w:tc>
          <w:tcPr>
            <w:tcW w:w="1395" w:type="dxa"/>
            <w:tcBorders>
              <w:bottom w:val="single" w:sz="6" w:space="0" w:color="000000"/>
              <w:right w:val="single" w:sz="6" w:space="0" w:color="000000"/>
            </w:tcBorders>
            <w:vAlign w:val="center"/>
          </w:tcPr>
          <w:p w14:paraId="07E52D59" w14:textId="77777777" w:rsidR="007D706A" w:rsidRDefault="007D706A" w:rsidP="00F70508">
            <w:pPr>
              <w:pStyle w:val="ParagraphStyle6"/>
              <w:rPr>
                <w:rStyle w:val="CharacterStyle6"/>
              </w:rPr>
            </w:pPr>
            <w:r>
              <w:rPr>
                <w:rStyle w:val="CharacterStyle6"/>
              </w:rPr>
              <w:t>163.200,00</w:t>
            </w:r>
          </w:p>
        </w:tc>
        <w:tc>
          <w:tcPr>
            <w:tcW w:w="1395" w:type="dxa"/>
            <w:tcBorders>
              <w:bottom w:val="single" w:sz="6" w:space="0" w:color="000000"/>
              <w:right w:val="single" w:sz="6" w:space="0" w:color="000000"/>
            </w:tcBorders>
            <w:vAlign w:val="center"/>
          </w:tcPr>
          <w:p w14:paraId="7E097337" w14:textId="77777777" w:rsidR="007D706A" w:rsidRDefault="007D706A" w:rsidP="00F70508">
            <w:pPr>
              <w:pStyle w:val="ParagraphStyle6"/>
              <w:rPr>
                <w:rStyle w:val="CharacterStyle6"/>
              </w:rPr>
            </w:pPr>
            <w:r>
              <w:rPr>
                <w:rStyle w:val="CharacterStyle6"/>
              </w:rPr>
              <w:t>130.000,00</w:t>
            </w:r>
          </w:p>
        </w:tc>
      </w:tr>
      <w:tr w:rsidR="007D706A" w14:paraId="349B14C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2D38A88" w14:textId="77777777" w:rsidR="007D706A" w:rsidRDefault="007D706A" w:rsidP="00F70508">
            <w:pPr>
              <w:pStyle w:val="ParagraphStyle4"/>
              <w:rPr>
                <w:rStyle w:val="CharacterStyle4"/>
              </w:rPr>
            </w:pPr>
            <w:r>
              <w:rPr>
                <w:rStyle w:val="CharacterStyle4"/>
              </w:rPr>
              <w:t>Tekući projekt T100302</w:t>
            </w:r>
          </w:p>
        </w:tc>
        <w:tc>
          <w:tcPr>
            <w:tcW w:w="4995" w:type="dxa"/>
            <w:tcBorders>
              <w:bottom w:val="single" w:sz="6" w:space="0" w:color="000000"/>
              <w:right w:val="single" w:sz="6" w:space="0" w:color="000000"/>
            </w:tcBorders>
            <w:vAlign w:val="center"/>
          </w:tcPr>
          <w:p w14:paraId="18765DEC" w14:textId="77777777" w:rsidR="007D706A" w:rsidRDefault="007D706A" w:rsidP="00F70508">
            <w:pPr>
              <w:pStyle w:val="ParagraphStyle5"/>
              <w:rPr>
                <w:rStyle w:val="CharacterStyle5"/>
              </w:rPr>
            </w:pPr>
            <w:r>
              <w:rPr>
                <w:rStyle w:val="CharacterStyle5"/>
              </w:rPr>
              <w:t>PRIPREMA RADOVA I IZVANREDNE POTREBE</w:t>
            </w:r>
          </w:p>
        </w:tc>
        <w:tc>
          <w:tcPr>
            <w:tcW w:w="1395" w:type="dxa"/>
            <w:tcBorders>
              <w:bottom w:val="single" w:sz="6" w:space="0" w:color="000000"/>
              <w:right w:val="single" w:sz="6" w:space="0" w:color="000000"/>
            </w:tcBorders>
            <w:vAlign w:val="center"/>
          </w:tcPr>
          <w:p w14:paraId="0FFDEA66"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1B15FF5B" w14:textId="77777777" w:rsidR="007D706A" w:rsidRDefault="007D706A" w:rsidP="00F70508">
            <w:pPr>
              <w:pStyle w:val="ParagraphStyle6"/>
              <w:rPr>
                <w:rStyle w:val="CharacterStyle6"/>
              </w:rPr>
            </w:pPr>
            <w:r>
              <w:rPr>
                <w:rStyle w:val="CharacterStyle6"/>
              </w:rPr>
              <w:t>74.660,00</w:t>
            </w:r>
          </w:p>
        </w:tc>
        <w:tc>
          <w:tcPr>
            <w:tcW w:w="1395" w:type="dxa"/>
            <w:tcBorders>
              <w:bottom w:val="single" w:sz="6" w:space="0" w:color="000000"/>
              <w:right w:val="single" w:sz="6" w:space="0" w:color="000000"/>
            </w:tcBorders>
            <w:vAlign w:val="center"/>
          </w:tcPr>
          <w:p w14:paraId="35F217A8" w14:textId="77777777" w:rsidR="007D706A" w:rsidRDefault="007D706A" w:rsidP="00F70508">
            <w:pPr>
              <w:pStyle w:val="ParagraphStyle6"/>
              <w:rPr>
                <w:rStyle w:val="CharacterStyle6"/>
              </w:rPr>
            </w:pPr>
            <w:r>
              <w:rPr>
                <w:rStyle w:val="CharacterStyle6"/>
              </w:rPr>
              <w:t>85.000,00</w:t>
            </w:r>
          </w:p>
        </w:tc>
        <w:tc>
          <w:tcPr>
            <w:tcW w:w="1395" w:type="dxa"/>
            <w:tcBorders>
              <w:bottom w:val="single" w:sz="6" w:space="0" w:color="000000"/>
              <w:right w:val="single" w:sz="6" w:space="0" w:color="000000"/>
            </w:tcBorders>
            <w:vAlign w:val="center"/>
          </w:tcPr>
          <w:p w14:paraId="23825A74" w14:textId="77777777" w:rsidR="007D706A" w:rsidRDefault="007D706A" w:rsidP="00F70508">
            <w:pPr>
              <w:pStyle w:val="ParagraphStyle6"/>
              <w:rPr>
                <w:rStyle w:val="CharacterStyle6"/>
              </w:rPr>
            </w:pPr>
            <w:r>
              <w:rPr>
                <w:rStyle w:val="CharacterStyle6"/>
              </w:rPr>
              <w:t>74.000,00</w:t>
            </w:r>
          </w:p>
        </w:tc>
        <w:tc>
          <w:tcPr>
            <w:tcW w:w="1395" w:type="dxa"/>
            <w:tcBorders>
              <w:bottom w:val="single" w:sz="6" w:space="0" w:color="000000"/>
              <w:right w:val="single" w:sz="6" w:space="0" w:color="000000"/>
            </w:tcBorders>
            <w:vAlign w:val="center"/>
          </w:tcPr>
          <w:p w14:paraId="5AD4E67C" w14:textId="77777777" w:rsidR="007D706A" w:rsidRDefault="007D706A" w:rsidP="00F70508">
            <w:pPr>
              <w:pStyle w:val="ParagraphStyle6"/>
              <w:rPr>
                <w:rStyle w:val="CharacterStyle6"/>
              </w:rPr>
            </w:pPr>
            <w:r>
              <w:rPr>
                <w:rStyle w:val="CharacterStyle6"/>
              </w:rPr>
              <w:t>54.000,00</w:t>
            </w:r>
          </w:p>
        </w:tc>
      </w:tr>
      <w:tr w:rsidR="007D706A" w14:paraId="0C90B0B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C7958E2" w14:textId="77777777" w:rsidR="007D706A" w:rsidRDefault="007D706A" w:rsidP="00F70508">
            <w:pPr>
              <w:pStyle w:val="ParagraphStyle7"/>
              <w:rPr>
                <w:rStyle w:val="CharacterStyle7"/>
              </w:rPr>
            </w:pPr>
            <w:r>
              <w:rPr>
                <w:rStyle w:val="CharacterStyle7"/>
              </w:rPr>
              <w:t>Izvor financiranja 41</w:t>
            </w:r>
          </w:p>
        </w:tc>
        <w:tc>
          <w:tcPr>
            <w:tcW w:w="4995" w:type="dxa"/>
            <w:tcBorders>
              <w:bottom w:val="single" w:sz="6" w:space="0" w:color="000000"/>
              <w:right w:val="single" w:sz="6" w:space="0" w:color="000000"/>
            </w:tcBorders>
            <w:vAlign w:val="center"/>
          </w:tcPr>
          <w:p w14:paraId="1653A53B" w14:textId="77777777" w:rsidR="007D706A" w:rsidRDefault="007D706A" w:rsidP="00F70508">
            <w:pPr>
              <w:pStyle w:val="ParagraphStyle8"/>
              <w:rPr>
                <w:rStyle w:val="CharacterStyle8"/>
              </w:rPr>
            </w:pPr>
            <w:r>
              <w:rPr>
                <w:rStyle w:val="CharacterStyle8"/>
              </w:rPr>
              <w:t>Prihodi za posebne namjene</w:t>
            </w:r>
          </w:p>
        </w:tc>
        <w:tc>
          <w:tcPr>
            <w:tcW w:w="1395" w:type="dxa"/>
            <w:tcBorders>
              <w:bottom w:val="single" w:sz="6" w:space="0" w:color="000000"/>
              <w:right w:val="single" w:sz="6" w:space="0" w:color="000000"/>
            </w:tcBorders>
            <w:vAlign w:val="center"/>
          </w:tcPr>
          <w:p w14:paraId="21F674B8"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6E877BC" w14:textId="77777777" w:rsidR="007D706A" w:rsidRDefault="007D706A" w:rsidP="00F70508">
            <w:pPr>
              <w:pStyle w:val="ParagraphStyle9"/>
              <w:rPr>
                <w:rStyle w:val="CharacterStyle9"/>
              </w:rPr>
            </w:pPr>
            <w:r>
              <w:rPr>
                <w:rStyle w:val="CharacterStyle9"/>
              </w:rPr>
              <w:t>74.660,00</w:t>
            </w:r>
          </w:p>
        </w:tc>
        <w:tc>
          <w:tcPr>
            <w:tcW w:w="1395" w:type="dxa"/>
            <w:tcBorders>
              <w:bottom w:val="single" w:sz="6" w:space="0" w:color="000000"/>
              <w:right w:val="single" w:sz="6" w:space="0" w:color="000000"/>
            </w:tcBorders>
            <w:vAlign w:val="center"/>
          </w:tcPr>
          <w:p w14:paraId="1F462650"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1389BAF"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3B9737F" w14:textId="77777777" w:rsidR="007D706A" w:rsidRDefault="007D706A" w:rsidP="00F70508">
            <w:pPr>
              <w:pStyle w:val="ParagraphStyle9"/>
              <w:rPr>
                <w:rStyle w:val="CharacterStyle9"/>
              </w:rPr>
            </w:pPr>
            <w:r>
              <w:rPr>
                <w:rStyle w:val="CharacterStyle9"/>
              </w:rPr>
              <w:t>0,00</w:t>
            </w:r>
          </w:p>
        </w:tc>
      </w:tr>
      <w:tr w:rsidR="007D706A" w14:paraId="3C7B0F4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5D7632C"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530465E6"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6AC61D5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D617FCE" w14:textId="77777777" w:rsidR="007D706A" w:rsidRDefault="007D706A" w:rsidP="00F70508">
            <w:pPr>
              <w:pStyle w:val="ParagraphStyle12"/>
              <w:rPr>
                <w:rStyle w:val="CharacterStyle12"/>
              </w:rPr>
            </w:pPr>
            <w:r>
              <w:rPr>
                <w:rStyle w:val="CharacterStyle12"/>
              </w:rPr>
              <w:t>74.660,00</w:t>
            </w:r>
          </w:p>
        </w:tc>
        <w:tc>
          <w:tcPr>
            <w:tcW w:w="1395" w:type="dxa"/>
            <w:tcBorders>
              <w:bottom w:val="single" w:sz="6" w:space="0" w:color="000000"/>
              <w:right w:val="single" w:sz="6" w:space="0" w:color="000000"/>
            </w:tcBorders>
            <w:vAlign w:val="center"/>
          </w:tcPr>
          <w:p w14:paraId="3070E7F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67FB84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CCE96C7" w14:textId="77777777" w:rsidR="007D706A" w:rsidRDefault="007D706A" w:rsidP="00F70508">
            <w:pPr>
              <w:pStyle w:val="ParagraphStyle12"/>
              <w:rPr>
                <w:rStyle w:val="CharacterStyle12"/>
              </w:rPr>
            </w:pPr>
            <w:r>
              <w:rPr>
                <w:rStyle w:val="CharacterStyle12"/>
              </w:rPr>
              <w:t>0,00</w:t>
            </w:r>
          </w:p>
        </w:tc>
      </w:tr>
      <w:tr w:rsidR="007D706A" w14:paraId="1841E86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8071A52"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2389A6B7"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72CD75A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F28345B" w14:textId="77777777" w:rsidR="007D706A" w:rsidRDefault="007D706A" w:rsidP="00F70508">
            <w:pPr>
              <w:pStyle w:val="ParagraphStyle12"/>
              <w:rPr>
                <w:rStyle w:val="CharacterStyle12"/>
              </w:rPr>
            </w:pPr>
            <w:r>
              <w:rPr>
                <w:rStyle w:val="CharacterStyle12"/>
              </w:rPr>
              <w:t>74.660,00</w:t>
            </w:r>
          </w:p>
        </w:tc>
        <w:tc>
          <w:tcPr>
            <w:tcW w:w="1395" w:type="dxa"/>
            <w:tcBorders>
              <w:bottom w:val="single" w:sz="6" w:space="0" w:color="000000"/>
              <w:right w:val="single" w:sz="6" w:space="0" w:color="000000"/>
            </w:tcBorders>
            <w:vAlign w:val="center"/>
          </w:tcPr>
          <w:p w14:paraId="546D5E0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2BDEE2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B65B79D" w14:textId="77777777" w:rsidR="007D706A" w:rsidRDefault="007D706A" w:rsidP="00F70508">
            <w:pPr>
              <w:pStyle w:val="ParagraphStyle12"/>
              <w:rPr>
                <w:rStyle w:val="CharacterStyle12"/>
              </w:rPr>
            </w:pPr>
            <w:r>
              <w:rPr>
                <w:rStyle w:val="CharacterStyle12"/>
              </w:rPr>
              <w:t>0,00</w:t>
            </w:r>
          </w:p>
        </w:tc>
      </w:tr>
      <w:tr w:rsidR="007D706A" w14:paraId="3A4153E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37D1374" w14:textId="77777777" w:rsidR="007D706A" w:rsidRDefault="007D706A" w:rsidP="00F70508">
            <w:pPr>
              <w:pStyle w:val="ParagraphStyle7"/>
              <w:rPr>
                <w:rStyle w:val="CharacterStyle7"/>
              </w:rPr>
            </w:pPr>
            <w:r>
              <w:rPr>
                <w:rStyle w:val="CharacterStyle7"/>
              </w:rPr>
              <w:t>Izvor financiranja 43</w:t>
            </w:r>
          </w:p>
        </w:tc>
        <w:tc>
          <w:tcPr>
            <w:tcW w:w="4995" w:type="dxa"/>
            <w:tcBorders>
              <w:bottom w:val="single" w:sz="6" w:space="0" w:color="000000"/>
              <w:right w:val="single" w:sz="6" w:space="0" w:color="000000"/>
            </w:tcBorders>
            <w:vAlign w:val="center"/>
          </w:tcPr>
          <w:p w14:paraId="60601BC9" w14:textId="77777777" w:rsidR="007D706A" w:rsidRDefault="007D706A" w:rsidP="00F70508">
            <w:pPr>
              <w:pStyle w:val="ParagraphStyle8"/>
              <w:rPr>
                <w:rStyle w:val="CharacterStyle8"/>
              </w:rPr>
            </w:pPr>
            <w:r>
              <w:rPr>
                <w:rStyle w:val="CharacterStyle8"/>
              </w:rPr>
              <w:t>Ostali prihodi za posebne namjene</w:t>
            </w:r>
          </w:p>
        </w:tc>
        <w:tc>
          <w:tcPr>
            <w:tcW w:w="1395" w:type="dxa"/>
            <w:tcBorders>
              <w:bottom w:val="single" w:sz="6" w:space="0" w:color="000000"/>
              <w:right w:val="single" w:sz="6" w:space="0" w:color="000000"/>
            </w:tcBorders>
            <w:vAlign w:val="center"/>
          </w:tcPr>
          <w:p w14:paraId="6216D545"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1009D72"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FA4EF0A" w14:textId="77777777" w:rsidR="007D706A" w:rsidRDefault="007D706A" w:rsidP="00F70508">
            <w:pPr>
              <w:pStyle w:val="ParagraphStyle9"/>
              <w:rPr>
                <w:rStyle w:val="CharacterStyle9"/>
              </w:rPr>
            </w:pPr>
            <w:r>
              <w:rPr>
                <w:rStyle w:val="CharacterStyle9"/>
              </w:rPr>
              <w:t>85.000,00</w:t>
            </w:r>
          </w:p>
        </w:tc>
        <w:tc>
          <w:tcPr>
            <w:tcW w:w="1395" w:type="dxa"/>
            <w:tcBorders>
              <w:bottom w:val="single" w:sz="6" w:space="0" w:color="000000"/>
              <w:right w:val="single" w:sz="6" w:space="0" w:color="000000"/>
            </w:tcBorders>
            <w:vAlign w:val="center"/>
          </w:tcPr>
          <w:p w14:paraId="65731731" w14:textId="77777777" w:rsidR="007D706A" w:rsidRDefault="007D706A" w:rsidP="00F70508">
            <w:pPr>
              <w:pStyle w:val="ParagraphStyle9"/>
              <w:rPr>
                <w:rStyle w:val="CharacterStyle9"/>
              </w:rPr>
            </w:pPr>
            <w:r>
              <w:rPr>
                <w:rStyle w:val="CharacterStyle9"/>
              </w:rPr>
              <w:t>74.000,00</w:t>
            </w:r>
          </w:p>
        </w:tc>
        <w:tc>
          <w:tcPr>
            <w:tcW w:w="1395" w:type="dxa"/>
            <w:tcBorders>
              <w:bottom w:val="single" w:sz="6" w:space="0" w:color="000000"/>
              <w:right w:val="single" w:sz="6" w:space="0" w:color="000000"/>
            </w:tcBorders>
            <w:vAlign w:val="center"/>
          </w:tcPr>
          <w:p w14:paraId="0B4D945C" w14:textId="77777777" w:rsidR="007D706A" w:rsidRDefault="007D706A" w:rsidP="00F70508">
            <w:pPr>
              <w:pStyle w:val="ParagraphStyle9"/>
              <w:rPr>
                <w:rStyle w:val="CharacterStyle9"/>
              </w:rPr>
            </w:pPr>
            <w:r>
              <w:rPr>
                <w:rStyle w:val="CharacterStyle9"/>
              </w:rPr>
              <w:t>54.000,00</w:t>
            </w:r>
          </w:p>
        </w:tc>
      </w:tr>
      <w:tr w:rsidR="007D706A" w14:paraId="04FD48C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73DA860"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13715FB1"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7F70C3A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40F641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D7EBE35" w14:textId="77777777" w:rsidR="007D706A" w:rsidRDefault="007D706A" w:rsidP="00F70508">
            <w:pPr>
              <w:pStyle w:val="ParagraphStyle12"/>
              <w:rPr>
                <w:rStyle w:val="CharacterStyle12"/>
              </w:rPr>
            </w:pPr>
            <w:r>
              <w:rPr>
                <w:rStyle w:val="CharacterStyle12"/>
              </w:rPr>
              <w:t>85.000,00</w:t>
            </w:r>
          </w:p>
        </w:tc>
        <w:tc>
          <w:tcPr>
            <w:tcW w:w="1395" w:type="dxa"/>
            <w:tcBorders>
              <w:bottom w:val="single" w:sz="6" w:space="0" w:color="000000"/>
              <w:right w:val="single" w:sz="6" w:space="0" w:color="000000"/>
            </w:tcBorders>
            <w:vAlign w:val="center"/>
          </w:tcPr>
          <w:p w14:paraId="0253F5E3" w14:textId="77777777" w:rsidR="007D706A" w:rsidRDefault="007D706A" w:rsidP="00F70508">
            <w:pPr>
              <w:pStyle w:val="ParagraphStyle12"/>
              <w:rPr>
                <w:rStyle w:val="CharacterStyle12"/>
              </w:rPr>
            </w:pPr>
            <w:r>
              <w:rPr>
                <w:rStyle w:val="CharacterStyle12"/>
              </w:rPr>
              <w:t>74.000,00</w:t>
            </w:r>
          </w:p>
        </w:tc>
        <w:tc>
          <w:tcPr>
            <w:tcW w:w="1395" w:type="dxa"/>
            <w:tcBorders>
              <w:bottom w:val="single" w:sz="6" w:space="0" w:color="000000"/>
              <w:right w:val="single" w:sz="6" w:space="0" w:color="000000"/>
            </w:tcBorders>
            <w:vAlign w:val="center"/>
          </w:tcPr>
          <w:p w14:paraId="6A0CB80A" w14:textId="77777777" w:rsidR="007D706A" w:rsidRDefault="007D706A" w:rsidP="00F70508">
            <w:pPr>
              <w:pStyle w:val="ParagraphStyle12"/>
              <w:rPr>
                <w:rStyle w:val="CharacterStyle12"/>
              </w:rPr>
            </w:pPr>
            <w:r>
              <w:rPr>
                <w:rStyle w:val="CharacterStyle12"/>
              </w:rPr>
              <w:t>54.000,00</w:t>
            </w:r>
          </w:p>
        </w:tc>
      </w:tr>
      <w:tr w:rsidR="007D706A" w14:paraId="3A4B82F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3DDCF6A"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6F6AD62B"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70A7267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77B33A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C78EC07" w14:textId="77777777" w:rsidR="007D706A" w:rsidRDefault="007D706A" w:rsidP="00F70508">
            <w:pPr>
              <w:pStyle w:val="ParagraphStyle12"/>
              <w:rPr>
                <w:rStyle w:val="CharacterStyle12"/>
              </w:rPr>
            </w:pPr>
            <w:r>
              <w:rPr>
                <w:rStyle w:val="CharacterStyle12"/>
              </w:rPr>
              <w:t>85.000,00</w:t>
            </w:r>
          </w:p>
        </w:tc>
        <w:tc>
          <w:tcPr>
            <w:tcW w:w="1395" w:type="dxa"/>
            <w:tcBorders>
              <w:bottom w:val="single" w:sz="6" w:space="0" w:color="000000"/>
              <w:right w:val="single" w:sz="6" w:space="0" w:color="000000"/>
            </w:tcBorders>
            <w:vAlign w:val="center"/>
          </w:tcPr>
          <w:p w14:paraId="36038D07" w14:textId="77777777" w:rsidR="007D706A" w:rsidRDefault="007D706A" w:rsidP="00F70508">
            <w:pPr>
              <w:pStyle w:val="ParagraphStyle12"/>
              <w:rPr>
                <w:rStyle w:val="CharacterStyle12"/>
              </w:rPr>
            </w:pPr>
            <w:r>
              <w:rPr>
                <w:rStyle w:val="CharacterStyle12"/>
              </w:rPr>
              <w:t>74.000,00</w:t>
            </w:r>
          </w:p>
        </w:tc>
        <w:tc>
          <w:tcPr>
            <w:tcW w:w="1395" w:type="dxa"/>
            <w:tcBorders>
              <w:bottom w:val="single" w:sz="6" w:space="0" w:color="000000"/>
              <w:right w:val="single" w:sz="6" w:space="0" w:color="000000"/>
            </w:tcBorders>
            <w:vAlign w:val="center"/>
          </w:tcPr>
          <w:p w14:paraId="41462022" w14:textId="77777777" w:rsidR="007D706A" w:rsidRDefault="007D706A" w:rsidP="00F70508">
            <w:pPr>
              <w:pStyle w:val="ParagraphStyle12"/>
              <w:rPr>
                <w:rStyle w:val="CharacterStyle12"/>
              </w:rPr>
            </w:pPr>
            <w:r>
              <w:rPr>
                <w:rStyle w:val="CharacterStyle12"/>
              </w:rPr>
              <w:t>54.000,00</w:t>
            </w:r>
          </w:p>
        </w:tc>
      </w:tr>
      <w:tr w:rsidR="007D706A" w14:paraId="62B73176"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DECADB9" w14:textId="77777777" w:rsidR="007D706A" w:rsidRDefault="007D706A" w:rsidP="00F70508">
            <w:pPr>
              <w:pStyle w:val="ParagraphStyle4"/>
              <w:rPr>
                <w:rStyle w:val="CharacterStyle4"/>
              </w:rPr>
            </w:pPr>
            <w:r>
              <w:rPr>
                <w:rStyle w:val="CharacterStyle4"/>
              </w:rPr>
              <w:t>Tekući projekt T100303</w:t>
            </w:r>
          </w:p>
        </w:tc>
        <w:tc>
          <w:tcPr>
            <w:tcW w:w="4995" w:type="dxa"/>
            <w:tcBorders>
              <w:bottom w:val="single" w:sz="6" w:space="0" w:color="000000"/>
              <w:right w:val="single" w:sz="6" w:space="0" w:color="000000"/>
            </w:tcBorders>
            <w:vAlign w:val="center"/>
          </w:tcPr>
          <w:p w14:paraId="7BD18A8A" w14:textId="77777777" w:rsidR="007D706A" w:rsidRDefault="007D706A" w:rsidP="00F70508">
            <w:pPr>
              <w:pStyle w:val="ParagraphStyle5"/>
              <w:rPr>
                <w:rStyle w:val="CharacterStyle5"/>
              </w:rPr>
            </w:pPr>
            <w:r>
              <w:rPr>
                <w:rStyle w:val="CharacterStyle5"/>
              </w:rPr>
              <w:t>KONZULTANTSKE USLUGE</w:t>
            </w:r>
          </w:p>
        </w:tc>
        <w:tc>
          <w:tcPr>
            <w:tcW w:w="1395" w:type="dxa"/>
            <w:tcBorders>
              <w:bottom w:val="single" w:sz="6" w:space="0" w:color="000000"/>
              <w:right w:val="single" w:sz="6" w:space="0" w:color="000000"/>
            </w:tcBorders>
            <w:vAlign w:val="center"/>
          </w:tcPr>
          <w:p w14:paraId="30BCC58C"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54F3579C" w14:textId="77777777" w:rsidR="007D706A" w:rsidRDefault="007D706A" w:rsidP="00F70508">
            <w:pPr>
              <w:pStyle w:val="ParagraphStyle6"/>
              <w:rPr>
                <w:rStyle w:val="CharacterStyle6"/>
              </w:rPr>
            </w:pPr>
            <w:r>
              <w:rPr>
                <w:rStyle w:val="CharacterStyle6"/>
              </w:rPr>
              <w:t>26.500,00</w:t>
            </w:r>
          </w:p>
        </w:tc>
        <w:tc>
          <w:tcPr>
            <w:tcW w:w="1395" w:type="dxa"/>
            <w:tcBorders>
              <w:bottom w:val="single" w:sz="6" w:space="0" w:color="000000"/>
              <w:right w:val="single" w:sz="6" w:space="0" w:color="000000"/>
            </w:tcBorders>
            <w:vAlign w:val="center"/>
          </w:tcPr>
          <w:p w14:paraId="1674EE04"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1EDBC9F9"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70E029F9" w14:textId="77777777" w:rsidR="007D706A" w:rsidRDefault="007D706A" w:rsidP="00F70508">
            <w:pPr>
              <w:pStyle w:val="ParagraphStyle6"/>
              <w:rPr>
                <w:rStyle w:val="CharacterStyle6"/>
              </w:rPr>
            </w:pPr>
            <w:r>
              <w:rPr>
                <w:rStyle w:val="CharacterStyle6"/>
              </w:rPr>
              <w:t>0,00</w:t>
            </w:r>
          </w:p>
        </w:tc>
      </w:tr>
      <w:tr w:rsidR="007D706A" w14:paraId="2E0883F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8F16D63" w14:textId="77777777" w:rsidR="007D706A" w:rsidRDefault="007D706A" w:rsidP="00F70508">
            <w:pPr>
              <w:pStyle w:val="ParagraphStyle7"/>
              <w:rPr>
                <w:rStyle w:val="CharacterStyle7"/>
              </w:rPr>
            </w:pPr>
            <w:r>
              <w:rPr>
                <w:rStyle w:val="CharacterStyle7"/>
              </w:rPr>
              <w:t>Izvor financiranja 41</w:t>
            </w:r>
          </w:p>
        </w:tc>
        <w:tc>
          <w:tcPr>
            <w:tcW w:w="4995" w:type="dxa"/>
            <w:tcBorders>
              <w:bottom w:val="single" w:sz="6" w:space="0" w:color="000000"/>
              <w:right w:val="single" w:sz="6" w:space="0" w:color="000000"/>
            </w:tcBorders>
            <w:vAlign w:val="center"/>
          </w:tcPr>
          <w:p w14:paraId="50FE298F" w14:textId="77777777" w:rsidR="007D706A" w:rsidRDefault="007D706A" w:rsidP="00F70508">
            <w:pPr>
              <w:pStyle w:val="ParagraphStyle8"/>
              <w:rPr>
                <w:rStyle w:val="CharacterStyle8"/>
              </w:rPr>
            </w:pPr>
            <w:r>
              <w:rPr>
                <w:rStyle w:val="CharacterStyle8"/>
              </w:rPr>
              <w:t>Prihodi za posebne namjene</w:t>
            </w:r>
          </w:p>
        </w:tc>
        <w:tc>
          <w:tcPr>
            <w:tcW w:w="1395" w:type="dxa"/>
            <w:tcBorders>
              <w:bottom w:val="single" w:sz="6" w:space="0" w:color="000000"/>
              <w:right w:val="single" w:sz="6" w:space="0" w:color="000000"/>
            </w:tcBorders>
            <w:vAlign w:val="center"/>
          </w:tcPr>
          <w:p w14:paraId="418D2E70"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03B5035" w14:textId="77777777" w:rsidR="007D706A" w:rsidRDefault="007D706A" w:rsidP="00F70508">
            <w:pPr>
              <w:pStyle w:val="ParagraphStyle9"/>
              <w:rPr>
                <w:rStyle w:val="CharacterStyle9"/>
              </w:rPr>
            </w:pPr>
            <w:r>
              <w:rPr>
                <w:rStyle w:val="CharacterStyle9"/>
              </w:rPr>
              <w:t>26.500,00</w:t>
            </w:r>
          </w:p>
        </w:tc>
        <w:tc>
          <w:tcPr>
            <w:tcW w:w="1395" w:type="dxa"/>
            <w:tcBorders>
              <w:bottom w:val="single" w:sz="6" w:space="0" w:color="000000"/>
              <w:right w:val="single" w:sz="6" w:space="0" w:color="000000"/>
            </w:tcBorders>
            <w:vAlign w:val="center"/>
          </w:tcPr>
          <w:p w14:paraId="5E80F312"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3F9D002"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1ADA7BA" w14:textId="77777777" w:rsidR="007D706A" w:rsidRDefault="007D706A" w:rsidP="00F70508">
            <w:pPr>
              <w:pStyle w:val="ParagraphStyle9"/>
              <w:rPr>
                <w:rStyle w:val="CharacterStyle9"/>
              </w:rPr>
            </w:pPr>
            <w:r>
              <w:rPr>
                <w:rStyle w:val="CharacterStyle9"/>
              </w:rPr>
              <w:t>0,00</w:t>
            </w:r>
          </w:p>
        </w:tc>
      </w:tr>
      <w:tr w:rsidR="007D706A" w14:paraId="2CF242B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7BB0B5F"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7DB00C48"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65D41F0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5B6B5D8" w14:textId="77777777" w:rsidR="007D706A" w:rsidRDefault="007D706A" w:rsidP="00F70508">
            <w:pPr>
              <w:pStyle w:val="ParagraphStyle12"/>
              <w:rPr>
                <w:rStyle w:val="CharacterStyle12"/>
              </w:rPr>
            </w:pPr>
            <w:r>
              <w:rPr>
                <w:rStyle w:val="CharacterStyle12"/>
              </w:rPr>
              <w:t>26.500,00</w:t>
            </w:r>
          </w:p>
        </w:tc>
        <w:tc>
          <w:tcPr>
            <w:tcW w:w="1395" w:type="dxa"/>
            <w:tcBorders>
              <w:bottom w:val="single" w:sz="6" w:space="0" w:color="000000"/>
              <w:right w:val="single" w:sz="6" w:space="0" w:color="000000"/>
            </w:tcBorders>
            <w:vAlign w:val="center"/>
          </w:tcPr>
          <w:p w14:paraId="1D6AEDB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A2D916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13081DA" w14:textId="77777777" w:rsidR="007D706A" w:rsidRDefault="007D706A" w:rsidP="00F70508">
            <w:pPr>
              <w:pStyle w:val="ParagraphStyle12"/>
              <w:rPr>
                <w:rStyle w:val="CharacterStyle12"/>
              </w:rPr>
            </w:pPr>
            <w:r>
              <w:rPr>
                <w:rStyle w:val="CharacterStyle12"/>
              </w:rPr>
              <w:t>0,00</w:t>
            </w:r>
          </w:p>
        </w:tc>
      </w:tr>
      <w:tr w:rsidR="007D706A" w14:paraId="19A3CC9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4F63AFF"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554244A4"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6A50390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2A84ECF" w14:textId="77777777" w:rsidR="007D706A" w:rsidRDefault="007D706A" w:rsidP="00F70508">
            <w:pPr>
              <w:pStyle w:val="ParagraphStyle12"/>
              <w:rPr>
                <w:rStyle w:val="CharacterStyle12"/>
              </w:rPr>
            </w:pPr>
            <w:r>
              <w:rPr>
                <w:rStyle w:val="CharacterStyle12"/>
              </w:rPr>
              <w:t>26.500,00</w:t>
            </w:r>
          </w:p>
        </w:tc>
        <w:tc>
          <w:tcPr>
            <w:tcW w:w="1395" w:type="dxa"/>
            <w:tcBorders>
              <w:bottom w:val="single" w:sz="6" w:space="0" w:color="000000"/>
              <w:right w:val="single" w:sz="6" w:space="0" w:color="000000"/>
            </w:tcBorders>
            <w:vAlign w:val="center"/>
          </w:tcPr>
          <w:p w14:paraId="2DE4147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1F12A9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BFAA54A" w14:textId="77777777" w:rsidR="007D706A" w:rsidRDefault="007D706A" w:rsidP="00F70508">
            <w:pPr>
              <w:pStyle w:val="ParagraphStyle12"/>
              <w:rPr>
                <w:rStyle w:val="CharacterStyle12"/>
              </w:rPr>
            </w:pPr>
            <w:r>
              <w:rPr>
                <w:rStyle w:val="CharacterStyle12"/>
              </w:rPr>
              <w:t>0,00</w:t>
            </w:r>
          </w:p>
        </w:tc>
      </w:tr>
      <w:tr w:rsidR="007D706A" w14:paraId="5DC03E4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BECAC59" w14:textId="77777777" w:rsidR="007D706A" w:rsidRDefault="007D706A" w:rsidP="00F70508">
            <w:pPr>
              <w:pStyle w:val="ParagraphStyle4"/>
              <w:rPr>
                <w:rStyle w:val="CharacterStyle4"/>
              </w:rPr>
            </w:pPr>
            <w:r>
              <w:rPr>
                <w:rStyle w:val="CharacterStyle4"/>
              </w:rPr>
              <w:t>Tekući projekt T100304</w:t>
            </w:r>
          </w:p>
        </w:tc>
        <w:tc>
          <w:tcPr>
            <w:tcW w:w="4995" w:type="dxa"/>
            <w:tcBorders>
              <w:bottom w:val="single" w:sz="6" w:space="0" w:color="000000"/>
              <w:right w:val="single" w:sz="6" w:space="0" w:color="000000"/>
            </w:tcBorders>
            <w:vAlign w:val="center"/>
          </w:tcPr>
          <w:p w14:paraId="019CB6F7" w14:textId="77777777" w:rsidR="007D706A" w:rsidRDefault="007D706A" w:rsidP="00F70508">
            <w:pPr>
              <w:pStyle w:val="ParagraphStyle5"/>
              <w:rPr>
                <w:rStyle w:val="CharacterStyle5"/>
              </w:rPr>
            </w:pPr>
            <w:r>
              <w:rPr>
                <w:rStyle w:val="CharacterStyle5"/>
              </w:rPr>
              <w:t>PRIKLJUČCI NA KOMUNALNU INFRASTRUKTURU</w:t>
            </w:r>
          </w:p>
        </w:tc>
        <w:tc>
          <w:tcPr>
            <w:tcW w:w="1395" w:type="dxa"/>
            <w:tcBorders>
              <w:bottom w:val="single" w:sz="6" w:space="0" w:color="000000"/>
              <w:right w:val="single" w:sz="6" w:space="0" w:color="000000"/>
            </w:tcBorders>
            <w:vAlign w:val="center"/>
          </w:tcPr>
          <w:p w14:paraId="7423D308"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1D63C7AE" w14:textId="77777777" w:rsidR="007D706A" w:rsidRDefault="007D706A" w:rsidP="00F70508">
            <w:pPr>
              <w:pStyle w:val="ParagraphStyle6"/>
              <w:rPr>
                <w:rStyle w:val="CharacterStyle6"/>
              </w:rPr>
            </w:pPr>
            <w:r>
              <w:rPr>
                <w:rStyle w:val="CharacterStyle6"/>
              </w:rPr>
              <w:t>85.620,00</w:t>
            </w:r>
          </w:p>
        </w:tc>
        <w:tc>
          <w:tcPr>
            <w:tcW w:w="1395" w:type="dxa"/>
            <w:tcBorders>
              <w:bottom w:val="single" w:sz="6" w:space="0" w:color="000000"/>
              <w:right w:val="single" w:sz="6" w:space="0" w:color="000000"/>
            </w:tcBorders>
            <w:vAlign w:val="center"/>
          </w:tcPr>
          <w:p w14:paraId="17F02146" w14:textId="77777777" w:rsidR="007D706A" w:rsidRDefault="007D706A" w:rsidP="00F70508">
            <w:pPr>
              <w:pStyle w:val="ParagraphStyle6"/>
              <w:rPr>
                <w:rStyle w:val="CharacterStyle6"/>
              </w:rPr>
            </w:pPr>
            <w:r>
              <w:rPr>
                <w:rStyle w:val="CharacterStyle6"/>
              </w:rPr>
              <w:t>85.000,00</w:t>
            </w:r>
          </w:p>
        </w:tc>
        <w:tc>
          <w:tcPr>
            <w:tcW w:w="1395" w:type="dxa"/>
            <w:tcBorders>
              <w:bottom w:val="single" w:sz="6" w:space="0" w:color="000000"/>
              <w:right w:val="single" w:sz="6" w:space="0" w:color="000000"/>
            </w:tcBorders>
            <w:vAlign w:val="center"/>
          </w:tcPr>
          <w:p w14:paraId="723943B5" w14:textId="77777777" w:rsidR="007D706A" w:rsidRDefault="007D706A" w:rsidP="00F70508">
            <w:pPr>
              <w:pStyle w:val="ParagraphStyle6"/>
              <w:rPr>
                <w:rStyle w:val="CharacterStyle6"/>
              </w:rPr>
            </w:pPr>
            <w:r>
              <w:rPr>
                <w:rStyle w:val="CharacterStyle6"/>
              </w:rPr>
              <w:t>54.000,00</w:t>
            </w:r>
          </w:p>
        </w:tc>
        <w:tc>
          <w:tcPr>
            <w:tcW w:w="1395" w:type="dxa"/>
            <w:tcBorders>
              <w:bottom w:val="single" w:sz="6" w:space="0" w:color="000000"/>
              <w:right w:val="single" w:sz="6" w:space="0" w:color="000000"/>
            </w:tcBorders>
            <w:vAlign w:val="center"/>
          </w:tcPr>
          <w:p w14:paraId="19E76952" w14:textId="77777777" w:rsidR="007D706A" w:rsidRDefault="007D706A" w:rsidP="00F70508">
            <w:pPr>
              <w:pStyle w:val="ParagraphStyle6"/>
              <w:rPr>
                <w:rStyle w:val="CharacterStyle6"/>
              </w:rPr>
            </w:pPr>
            <w:r>
              <w:rPr>
                <w:rStyle w:val="CharacterStyle6"/>
              </w:rPr>
              <w:t>51.000,00</w:t>
            </w:r>
          </w:p>
        </w:tc>
      </w:tr>
      <w:tr w:rsidR="007D706A" w14:paraId="3E25699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3226C02"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4A965B5F"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053C32C4"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1744837" w14:textId="77777777" w:rsidR="007D706A" w:rsidRDefault="007D706A" w:rsidP="00F70508">
            <w:pPr>
              <w:pStyle w:val="ParagraphStyle9"/>
              <w:rPr>
                <w:rStyle w:val="CharacterStyle9"/>
              </w:rPr>
            </w:pPr>
            <w:r>
              <w:rPr>
                <w:rStyle w:val="CharacterStyle9"/>
              </w:rPr>
              <w:t>0,46</w:t>
            </w:r>
          </w:p>
        </w:tc>
        <w:tc>
          <w:tcPr>
            <w:tcW w:w="1395" w:type="dxa"/>
            <w:tcBorders>
              <w:bottom w:val="single" w:sz="6" w:space="0" w:color="000000"/>
              <w:right w:val="single" w:sz="6" w:space="0" w:color="000000"/>
            </w:tcBorders>
            <w:vAlign w:val="center"/>
          </w:tcPr>
          <w:p w14:paraId="15035CF8"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D125AA7"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42C9A3B" w14:textId="77777777" w:rsidR="007D706A" w:rsidRDefault="007D706A" w:rsidP="00F70508">
            <w:pPr>
              <w:pStyle w:val="ParagraphStyle9"/>
              <w:rPr>
                <w:rStyle w:val="CharacterStyle9"/>
              </w:rPr>
            </w:pPr>
            <w:r>
              <w:rPr>
                <w:rStyle w:val="CharacterStyle9"/>
              </w:rPr>
              <w:t>0,00</w:t>
            </w:r>
          </w:p>
        </w:tc>
      </w:tr>
      <w:tr w:rsidR="007D706A" w14:paraId="3B64531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C5029AF"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6A5BED06"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63A0DFD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DB7FAB9" w14:textId="77777777" w:rsidR="007D706A" w:rsidRDefault="007D706A" w:rsidP="00F70508">
            <w:pPr>
              <w:pStyle w:val="ParagraphStyle12"/>
              <w:rPr>
                <w:rStyle w:val="CharacterStyle12"/>
              </w:rPr>
            </w:pPr>
            <w:r>
              <w:rPr>
                <w:rStyle w:val="CharacterStyle12"/>
              </w:rPr>
              <w:t>0,46</w:t>
            </w:r>
          </w:p>
        </w:tc>
        <w:tc>
          <w:tcPr>
            <w:tcW w:w="1395" w:type="dxa"/>
            <w:tcBorders>
              <w:bottom w:val="single" w:sz="6" w:space="0" w:color="000000"/>
              <w:right w:val="single" w:sz="6" w:space="0" w:color="000000"/>
            </w:tcBorders>
            <w:vAlign w:val="center"/>
          </w:tcPr>
          <w:p w14:paraId="061A46D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91CE32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4430D5C" w14:textId="77777777" w:rsidR="007D706A" w:rsidRDefault="007D706A" w:rsidP="00F70508">
            <w:pPr>
              <w:pStyle w:val="ParagraphStyle12"/>
              <w:rPr>
                <w:rStyle w:val="CharacterStyle12"/>
              </w:rPr>
            </w:pPr>
            <w:r>
              <w:rPr>
                <w:rStyle w:val="CharacterStyle12"/>
              </w:rPr>
              <w:t>0,00</w:t>
            </w:r>
          </w:p>
        </w:tc>
      </w:tr>
      <w:tr w:rsidR="007D706A" w14:paraId="0A06CF3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2D597CB"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272CFDD2"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0412282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79BF361" w14:textId="77777777" w:rsidR="007D706A" w:rsidRDefault="007D706A" w:rsidP="00F70508">
            <w:pPr>
              <w:pStyle w:val="ParagraphStyle12"/>
              <w:rPr>
                <w:rStyle w:val="CharacterStyle12"/>
              </w:rPr>
            </w:pPr>
            <w:r>
              <w:rPr>
                <w:rStyle w:val="CharacterStyle12"/>
              </w:rPr>
              <w:t>0,46</w:t>
            </w:r>
          </w:p>
        </w:tc>
        <w:tc>
          <w:tcPr>
            <w:tcW w:w="1395" w:type="dxa"/>
            <w:tcBorders>
              <w:bottom w:val="single" w:sz="6" w:space="0" w:color="000000"/>
              <w:right w:val="single" w:sz="6" w:space="0" w:color="000000"/>
            </w:tcBorders>
            <w:vAlign w:val="center"/>
          </w:tcPr>
          <w:p w14:paraId="44D4B07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E81E7F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8AC0348" w14:textId="77777777" w:rsidR="007D706A" w:rsidRDefault="007D706A" w:rsidP="00F70508">
            <w:pPr>
              <w:pStyle w:val="ParagraphStyle12"/>
              <w:rPr>
                <w:rStyle w:val="CharacterStyle12"/>
              </w:rPr>
            </w:pPr>
            <w:r>
              <w:rPr>
                <w:rStyle w:val="CharacterStyle12"/>
              </w:rPr>
              <w:t>0,00</w:t>
            </w:r>
          </w:p>
        </w:tc>
      </w:tr>
      <w:tr w:rsidR="007D706A" w14:paraId="0CF092F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248B764" w14:textId="77777777" w:rsidR="007D706A" w:rsidRDefault="007D706A" w:rsidP="00F70508">
            <w:pPr>
              <w:pStyle w:val="ParagraphStyle7"/>
              <w:rPr>
                <w:rStyle w:val="CharacterStyle7"/>
              </w:rPr>
            </w:pPr>
            <w:r>
              <w:rPr>
                <w:rStyle w:val="CharacterStyle7"/>
              </w:rPr>
              <w:t>Izvor financiranja 40</w:t>
            </w:r>
          </w:p>
        </w:tc>
        <w:tc>
          <w:tcPr>
            <w:tcW w:w="4995" w:type="dxa"/>
            <w:tcBorders>
              <w:bottom w:val="single" w:sz="6" w:space="0" w:color="000000"/>
              <w:right w:val="single" w:sz="6" w:space="0" w:color="000000"/>
            </w:tcBorders>
            <w:vAlign w:val="center"/>
          </w:tcPr>
          <w:p w14:paraId="7AB05091" w14:textId="77777777" w:rsidR="007D706A" w:rsidRDefault="007D706A" w:rsidP="00F70508">
            <w:pPr>
              <w:pStyle w:val="ParagraphStyle8"/>
              <w:rPr>
                <w:rStyle w:val="CharacterStyle8"/>
              </w:rPr>
            </w:pPr>
            <w:r>
              <w:rPr>
                <w:rStyle w:val="CharacterStyle8"/>
              </w:rPr>
              <w:t>Prihodi od komunalne naknade i komunalnog doprinosa</w:t>
            </w:r>
          </w:p>
        </w:tc>
        <w:tc>
          <w:tcPr>
            <w:tcW w:w="1395" w:type="dxa"/>
            <w:tcBorders>
              <w:bottom w:val="single" w:sz="6" w:space="0" w:color="000000"/>
              <w:right w:val="single" w:sz="6" w:space="0" w:color="000000"/>
            </w:tcBorders>
            <w:vAlign w:val="center"/>
          </w:tcPr>
          <w:p w14:paraId="590FB154"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A12B7A9"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B1CA78F" w14:textId="77777777" w:rsidR="007D706A" w:rsidRDefault="007D706A" w:rsidP="00F70508">
            <w:pPr>
              <w:pStyle w:val="ParagraphStyle9"/>
              <w:rPr>
                <w:rStyle w:val="CharacterStyle9"/>
              </w:rPr>
            </w:pPr>
            <w:r>
              <w:rPr>
                <w:rStyle w:val="CharacterStyle9"/>
              </w:rPr>
              <w:t>44.535,63</w:t>
            </w:r>
          </w:p>
        </w:tc>
        <w:tc>
          <w:tcPr>
            <w:tcW w:w="1395" w:type="dxa"/>
            <w:tcBorders>
              <w:bottom w:val="single" w:sz="6" w:space="0" w:color="000000"/>
              <w:right w:val="single" w:sz="6" w:space="0" w:color="000000"/>
            </w:tcBorders>
            <w:vAlign w:val="center"/>
          </w:tcPr>
          <w:p w14:paraId="2554F8A2" w14:textId="77777777" w:rsidR="007D706A" w:rsidRDefault="007D706A" w:rsidP="00F70508">
            <w:pPr>
              <w:pStyle w:val="ParagraphStyle9"/>
              <w:rPr>
                <w:rStyle w:val="CharacterStyle9"/>
              </w:rPr>
            </w:pPr>
            <w:r>
              <w:rPr>
                <w:rStyle w:val="CharacterStyle9"/>
              </w:rPr>
              <w:t>34.000,00</w:t>
            </w:r>
          </w:p>
        </w:tc>
        <w:tc>
          <w:tcPr>
            <w:tcW w:w="1395" w:type="dxa"/>
            <w:tcBorders>
              <w:bottom w:val="single" w:sz="6" w:space="0" w:color="000000"/>
              <w:right w:val="single" w:sz="6" w:space="0" w:color="000000"/>
            </w:tcBorders>
            <w:vAlign w:val="center"/>
          </w:tcPr>
          <w:p w14:paraId="47D336F8" w14:textId="77777777" w:rsidR="007D706A" w:rsidRDefault="007D706A" w:rsidP="00F70508">
            <w:pPr>
              <w:pStyle w:val="ParagraphStyle9"/>
              <w:rPr>
                <w:rStyle w:val="CharacterStyle9"/>
              </w:rPr>
            </w:pPr>
            <w:r>
              <w:rPr>
                <w:rStyle w:val="CharacterStyle9"/>
              </w:rPr>
              <w:t>36.000,00</w:t>
            </w:r>
          </w:p>
        </w:tc>
      </w:tr>
      <w:tr w:rsidR="007D706A" w14:paraId="2B128FF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442395D"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7B9F6A64"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2DC174B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1A76A0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E9B1DFB" w14:textId="77777777" w:rsidR="007D706A" w:rsidRDefault="007D706A" w:rsidP="00F70508">
            <w:pPr>
              <w:pStyle w:val="ParagraphStyle12"/>
              <w:rPr>
                <w:rStyle w:val="CharacterStyle12"/>
              </w:rPr>
            </w:pPr>
            <w:r>
              <w:rPr>
                <w:rStyle w:val="CharacterStyle12"/>
              </w:rPr>
              <w:t>44.535,63</w:t>
            </w:r>
          </w:p>
        </w:tc>
        <w:tc>
          <w:tcPr>
            <w:tcW w:w="1395" w:type="dxa"/>
            <w:tcBorders>
              <w:bottom w:val="single" w:sz="6" w:space="0" w:color="000000"/>
              <w:right w:val="single" w:sz="6" w:space="0" w:color="000000"/>
            </w:tcBorders>
            <w:vAlign w:val="center"/>
          </w:tcPr>
          <w:p w14:paraId="5FD9E9D8" w14:textId="77777777" w:rsidR="007D706A" w:rsidRDefault="007D706A" w:rsidP="00F70508">
            <w:pPr>
              <w:pStyle w:val="ParagraphStyle12"/>
              <w:rPr>
                <w:rStyle w:val="CharacterStyle12"/>
              </w:rPr>
            </w:pPr>
            <w:r>
              <w:rPr>
                <w:rStyle w:val="CharacterStyle12"/>
              </w:rPr>
              <w:t>34.000,00</w:t>
            </w:r>
          </w:p>
        </w:tc>
        <w:tc>
          <w:tcPr>
            <w:tcW w:w="1395" w:type="dxa"/>
            <w:tcBorders>
              <w:bottom w:val="single" w:sz="6" w:space="0" w:color="000000"/>
              <w:right w:val="single" w:sz="6" w:space="0" w:color="000000"/>
            </w:tcBorders>
            <w:vAlign w:val="center"/>
          </w:tcPr>
          <w:p w14:paraId="45ECDE22" w14:textId="77777777" w:rsidR="007D706A" w:rsidRDefault="007D706A" w:rsidP="00F70508">
            <w:pPr>
              <w:pStyle w:val="ParagraphStyle12"/>
              <w:rPr>
                <w:rStyle w:val="CharacterStyle12"/>
              </w:rPr>
            </w:pPr>
            <w:r>
              <w:rPr>
                <w:rStyle w:val="CharacterStyle12"/>
              </w:rPr>
              <w:t>36.000,00</w:t>
            </w:r>
          </w:p>
        </w:tc>
      </w:tr>
      <w:tr w:rsidR="007D706A" w14:paraId="214096B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2292FB4"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0117B861"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0609064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341D21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F265578" w14:textId="77777777" w:rsidR="007D706A" w:rsidRDefault="007D706A" w:rsidP="00F70508">
            <w:pPr>
              <w:pStyle w:val="ParagraphStyle12"/>
              <w:rPr>
                <w:rStyle w:val="CharacterStyle12"/>
              </w:rPr>
            </w:pPr>
            <w:r>
              <w:rPr>
                <w:rStyle w:val="CharacterStyle12"/>
              </w:rPr>
              <w:t>44.535,63</w:t>
            </w:r>
          </w:p>
        </w:tc>
        <w:tc>
          <w:tcPr>
            <w:tcW w:w="1395" w:type="dxa"/>
            <w:tcBorders>
              <w:bottom w:val="single" w:sz="6" w:space="0" w:color="000000"/>
              <w:right w:val="single" w:sz="6" w:space="0" w:color="000000"/>
            </w:tcBorders>
            <w:vAlign w:val="center"/>
          </w:tcPr>
          <w:p w14:paraId="6CA9ABB7" w14:textId="77777777" w:rsidR="007D706A" w:rsidRDefault="007D706A" w:rsidP="00F70508">
            <w:pPr>
              <w:pStyle w:val="ParagraphStyle12"/>
              <w:rPr>
                <w:rStyle w:val="CharacterStyle12"/>
              </w:rPr>
            </w:pPr>
            <w:r>
              <w:rPr>
                <w:rStyle w:val="CharacterStyle12"/>
              </w:rPr>
              <w:t>34.000,00</w:t>
            </w:r>
          </w:p>
        </w:tc>
        <w:tc>
          <w:tcPr>
            <w:tcW w:w="1395" w:type="dxa"/>
            <w:tcBorders>
              <w:bottom w:val="single" w:sz="6" w:space="0" w:color="000000"/>
              <w:right w:val="single" w:sz="6" w:space="0" w:color="000000"/>
            </w:tcBorders>
            <w:vAlign w:val="center"/>
          </w:tcPr>
          <w:p w14:paraId="442D847D" w14:textId="77777777" w:rsidR="007D706A" w:rsidRDefault="007D706A" w:rsidP="00F70508">
            <w:pPr>
              <w:pStyle w:val="ParagraphStyle12"/>
              <w:rPr>
                <w:rStyle w:val="CharacterStyle12"/>
              </w:rPr>
            </w:pPr>
            <w:r>
              <w:rPr>
                <w:rStyle w:val="CharacterStyle12"/>
              </w:rPr>
              <w:t>36.000,00</w:t>
            </w:r>
          </w:p>
        </w:tc>
      </w:tr>
      <w:tr w:rsidR="007D706A" w14:paraId="6403892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5E396A5" w14:textId="77777777" w:rsidR="007D706A" w:rsidRDefault="007D706A" w:rsidP="00F70508">
            <w:pPr>
              <w:pStyle w:val="ParagraphStyle7"/>
              <w:rPr>
                <w:rStyle w:val="CharacterStyle7"/>
              </w:rPr>
            </w:pPr>
            <w:r>
              <w:rPr>
                <w:rStyle w:val="CharacterStyle7"/>
              </w:rPr>
              <w:lastRenderedPageBreak/>
              <w:t>Izvor financiranja 41</w:t>
            </w:r>
          </w:p>
        </w:tc>
        <w:tc>
          <w:tcPr>
            <w:tcW w:w="4995" w:type="dxa"/>
            <w:tcBorders>
              <w:bottom w:val="single" w:sz="6" w:space="0" w:color="000000"/>
              <w:right w:val="single" w:sz="6" w:space="0" w:color="000000"/>
            </w:tcBorders>
            <w:vAlign w:val="center"/>
          </w:tcPr>
          <w:p w14:paraId="47170471" w14:textId="77777777" w:rsidR="007D706A" w:rsidRDefault="007D706A" w:rsidP="00F70508">
            <w:pPr>
              <w:pStyle w:val="ParagraphStyle8"/>
              <w:rPr>
                <w:rStyle w:val="CharacterStyle8"/>
              </w:rPr>
            </w:pPr>
            <w:r>
              <w:rPr>
                <w:rStyle w:val="CharacterStyle8"/>
              </w:rPr>
              <w:t>Prihodi za posebne namjene</w:t>
            </w:r>
          </w:p>
        </w:tc>
        <w:tc>
          <w:tcPr>
            <w:tcW w:w="1395" w:type="dxa"/>
            <w:tcBorders>
              <w:bottom w:val="single" w:sz="6" w:space="0" w:color="000000"/>
              <w:right w:val="single" w:sz="6" w:space="0" w:color="000000"/>
            </w:tcBorders>
            <w:vAlign w:val="center"/>
          </w:tcPr>
          <w:p w14:paraId="59124E59"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E548A5E" w14:textId="77777777" w:rsidR="007D706A" w:rsidRDefault="007D706A" w:rsidP="00F70508">
            <w:pPr>
              <w:pStyle w:val="ParagraphStyle9"/>
              <w:rPr>
                <w:rStyle w:val="CharacterStyle9"/>
              </w:rPr>
            </w:pPr>
            <w:r>
              <w:rPr>
                <w:rStyle w:val="CharacterStyle9"/>
              </w:rPr>
              <w:t>38.115,63</w:t>
            </w:r>
          </w:p>
        </w:tc>
        <w:tc>
          <w:tcPr>
            <w:tcW w:w="1395" w:type="dxa"/>
            <w:tcBorders>
              <w:bottom w:val="single" w:sz="6" w:space="0" w:color="000000"/>
              <w:right w:val="single" w:sz="6" w:space="0" w:color="000000"/>
            </w:tcBorders>
            <w:vAlign w:val="center"/>
          </w:tcPr>
          <w:p w14:paraId="7C4D1069"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37B8B4D"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59BC5E4" w14:textId="77777777" w:rsidR="007D706A" w:rsidRDefault="007D706A" w:rsidP="00F70508">
            <w:pPr>
              <w:pStyle w:val="ParagraphStyle9"/>
              <w:rPr>
                <w:rStyle w:val="CharacterStyle9"/>
              </w:rPr>
            </w:pPr>
            <w:r>
              <w:rPr>
                <w:rStyle w:val="CharacterStyle9"/>
              </w:rPr>
              <w:t>0,00</w:t>
            </w:r>
          </w:p>
        </w:tc>
      </w:tr>
      <w:tr w:rsidR="007D706A" w14:paraId="3280346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6B18863"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13CA3B66"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50556E3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8728D6B" w14:textId="77777777" w:rsidR="007D706A" w:rsidRDefault="007D706A" w:rsidP="00F70508">
            <w:pPr>
              <w:pStyle w:val="ParagraphStyle12"/>
              <w:rPr>
                <w:rStyle w:val="CharacterStyle12"/>
              </w:rPr>
            </w:pPr>
            <w:r>
              <w:rPr>
                <w:rStyle w:val="CharacterStyle12"/>
              </w:rPr>
              <w:t>38.115,63</w:t>
            </w:r>
          </w:p>
        </w:tc>
        <w:tc>
          <w:tcPr>
            <w:tcW w:w="1395" w:type="dxa"/>
            <w:tcBorders>
              <w:bottom w:val="single" w:sz="6" w:space="0" w:color="000000"/>
              <w:right w:val="single" w:sz="6" w:space="0" w:color="000000"/>
            </w:tcBorders>
            <w:vAlign w:val="center"/>
          </w:tcPr>
          <w:p w14:paraId="5DA846B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BADDCA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7F5F9E1" w14:textId="77777777" w:rsidR="007D706A" w:rsidRDefault="007D706A" w:rsidP="00F70508">
            <w:pPr>
              <w:pStyle w:val="ParagraphStyle12"/>
              <w:rPr>
                <w:rStyle w:val="CharacterStyle12"/>
              </w:rPr>
            </w:pPr>
            <w:r>
              <w:rPr>
                <w:rStyle w:val="CharacterStyle12"/>
              </w:rPr>
              <w:t>0,00</w:t>
            </w:r>
          </w:p>
        </w:tc>
      </w:tr>
      <w:tr w:rsidR="007D706A" w14:paraId="0C222DE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B685E5D"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6DF90008"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048322A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5D4275F" w14:textId="77777777" w:rsidR="007D706A" w:rsidRDefault="007D706A" w:rsidP="00F70508">
            <w:pPr>
              <w:pStyle w:val="ParagraphStyle12"/>
              <w:rPr>
                <w:rStyle w:val="CharacterStyle12"/>
              </w:rPr>
            </w:pPr>
            <w:r>
              <w:rPr>
                <w:rStyle w:val="CharacterStyle12"/>
              </w:rPr>
              <w:t>38.115,63</w:t>
            </w:r>
          </w:p>
        </w:tc>
        <w:tc>
          <w:tcPr>
            <w:tcW w:w="1395" w:type="dxa"/>
            <w:tcBorders>
              <w:bottom w:val="single" w:sz="6" w:space="0" w:color="000000"/>
              <w:right w:val="single" w:sz="6" w:space="0" w:color="000000"/>
            </w:tcBorders>
            <w:vAlign w:val="center"/>
          </w:tcPr>
          <w:p w14:paraId="26F739C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570986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B948794" w14:textId="77777777" w:rsidR="007D706A" w:rsidRDefault="007D706A" w:rsidP="00F70508">
            <w:pPr>
              <w:pStyle w:val="ParagraphStyle12"/>
              <w:rPr>
                <w:rStyle w:val="CharacterStyle12"/>
              </w:rPr>
            </w:pPr>
            <w:r>
              <w:rPr>
                <w:rStyle w:val="CharacterStyle12"/>
              </w:rPr>
              <w:t>0,00</w:t>
            </w:r>
          </w:p>
        </w:tc>
      </w:tr>
      <w:tr w:rsidR="007D706A" w14:paraId="7B34AB3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646E6FC" w14:textId="77777777" w:rsidR="007D706A" w:rsidRDefault="007D706A" w:rsidP="00F70508">
            <w:pPr>
              <w:pStyle w:val="ParagraphStyle7"/>
              <w:rPr>
                <w:rStyle w:val="CharacterStyle7"/>
              </w:rPr>
            </w:pPr>
            <w:r>
              <w:rPr>
                <w:rStyle w:val="CharacterStyle7"/>
              </w:rPr>
              <w:t>Izvor financiranja 61</w:t>
            </w:r>
          </w:p>
        </w:tc>
        <w:tc>
          <w:tcPr>
            <w:tcW w:w="4995" w:type="dxa"/>
            <w:tcBorders>
              <w:bottom w:val="single" w:sz="6" w:space="0" w:color="000000"/>
              <w:right w:val="single" w:sz="6" w:space="0" w:color="000000"/>
            </w:tcBorders>
            <w:vAlign w:val="center"/>
          </w:tcPr>
          <w:p w14:paraId="391807A5" w14:textId="77777777" w:rsidR="007D706A" w:rsidRDefault="007D706A" w:rsidP="00F70508">
            <w:pPr>
              <w:pStyle w:val="ParagraphStyle8"/>
              <w:rPr>
                <w:rStyle w:val="CharacterStyle8"/>
              </w:rPr>
            </w:pPr>
            <w:r>
              <w:rPr>
                <w:rStyle w:val="CharacterStyle8"/>
              </w:rPr>
              <w:t>Donacije</w:t>
            </w:r>
          </w:p>
        </w:tc>
        <w:tc>
          <w:tcPr>
            <w:tcW w:w="1395" w:type="dxa"/>
            <w:tcBorders>
              <w:bottom w:val="single" w:sz="6" w:space="0" w:color="000000"/>
              <w:right w:val="single" w:sz="6" w:space="0" w:color="000000"/>
            </w:tcBorders>
            <w:vAlign w:val="center"/>
          </w:tcPr>
          <w:p w14:paraId="69EA2453"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68066C2" w14:textId="77777777" w:rsidR="007D706A" w:rsidRDefault="007D706A" w:rsidP="00F70508">
            <w:pPr>
              <w:pStyle w:val="ParagraphStyle9"/>
              <w:rPr>
                <w:rStyle w:val="CharacterStyle9"/>
              </w:rPr>
            </w:pPr>
            <w:r>
              <w:rPr>
                <w:rStyle w:val="CharacterStyle9"/>
              </w:rPr>
              <w:t>7.039,54</w:t>
            </w:r>
          </w:p>
        </w:tc>
        <w:tc>
          <w:tcPr>
            <w:tcW w:w="1395" w:type="dxa"/>
            <w:tcBorders>
              <w:bottom w:val="single" w:sz="6" w:space="0" w:color="000000"/>
              <w:right w:val="single" w:sz="6" w:space="0" w:color="000000"/>
            </w:tcBorders>
            <w:vAlign w:val="center"/>
          </w:tcPr>
          <w:p w14:paraId="16F2FBD1" w14:textId="77777777" w:rsidR="007D706A" w:rsidRDefault="007D706A" w:rsidP="00F70508">
            <w:pPr>
              <w:pStyle w:val="ParagraphStyle9"/>
              <w:rPr>
                <w:rStyle w:val="CharacterStyle9"/>
              </w:rPr>
            </w:pPr>
            <w:r>
              <w:rPr>
                <w:rStyle w:val="CharacterStyle9"/>
              </w:rPr>
              <w:t>40.464,37</w:t>
            </w:r>
          </w:p>
        </w:tc>
        <w:tc>
          <w:tcPr>
            <w:tcW w:w="1395" w:type="dxa"/>
            <w:tcBorders>
              <w:bottom w:val="single" w:sz="6" w:space="0" w:color="000000"/>
              <w:right w:val="single" w:sz="6" w:space="0" w:color="000000"/>
            </w:tcBorders>
            <w:vAlign w:val="center"/>
          </w:tcPr>
          <w:p w14:paraId="02B34484" w14:textId="77777777" w:rsidR="007D706A" w:rsidRDefault="007D706A" w:rsidP="00F70508">
            <w:pPr>
              <w:pStyle w:val="ParagraphStyle9"/>
              <w:rPr>
                <w:rStyle w:val="CharacterStyle9"/>
              </w:rPr>
            </w:pPr>
            <w:r>
              <w:rPr>
                <w:rStyle w:val="CharacterStyle9"/>
              </w:rPr>
              <w:t>20.000,00</w:t>
            </w:r>
          </w:p>
        </w:tc>
        <w:tc>
          <w:tcPr>
            <w:tcW w:w="1395" w:type="dxa"/>
            <w:tcBorders>
              <w:bottom w:val="single" w:sz="6" w:space="0" w:color="000000"/>
              <w:right w:val="single" w:sz="6" w:space="0" w:color="000000"/>
            </w:tcBorders>
            <w:vAlign w:val="center"/>
          </w:tcPr>
          <w:p w14:paraId="32582949" w14:textId="77777777" w:rsidR="007D706A" w:rsidRDefault="007D706A" w:rsidP="00F70508">
            <w:pPr>
              <w:pStyle w:val="ParagraphStyle9"/>
              <w:rPr>
                <w:rStyle w:val="CharacterStyle9"/>
              </w:rPr>
            </w:pPr>
            <w:r>
              <w:rPr>
                <w:rStyle w:val="CharacterStyle9"/>
              </w:rPr>
              <w:t>15.000,00</w:t>
            </w:r>
          </w:p>
        </w:tc>
      </w:tr>
      <w:tr w:rsidR="007D706A" w14:paraId="4460DCD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E9A2C36"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6B9EE091"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491A096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6E839B2" w14:textId="77777777" w:rsidR="007D706A" w:rsidRDefault="007D706A" w:rsidP="00F70508">
            <w:pPr>
              <w:pStyle w:val="ParagraphStyle12"/>
              <w:rPr>
                <w:rStyle w:val="CharacterStyle12"/>
              </w:rPr>
            </w:pPr>
            <w:r>
              <w:rPr>
                <w:rStyle w:val="CharacterStyle12"/>
              </w:rPr>
              <w:t>7.039,54</w:t>
            </w:r>
          </w:p>
        </w:tc>
        <w:tc>
          <w:tcPr>
            <w:tcW w:w="1395" w:type="dxa"/>
            <w:tcBorders>
              <w:bottom w:val="single" w:sz="6" w:space="0" w:color="000000"/>
              <w:right w:val="single" w:sz="6" w:space="0" w:color="000000"/>
            </w:tcBorders>
            <w:vAlign w:val="center"/>
          </w:tcPr>
          <w:p w14:paraId="15FA23C1" w14:textId="77777777" w:rsidR="007D706A" w:rsidRDefault="007D706A" w:rsidP="00F70508">
            <w:pPr>
              <w:pStyle w:val="ParagraphStyle12"/>
              <w:rPr>
                <w:rStyle w:val="CharacterStyle12"/>
              </w:rPr>
            </w:pPr>
            <w:r>
              <w:rPr>
                <w:rStyle w:val="CharacterStyle12"/>
              </w:rPr>
              <w:t>40.464,37</w:t>
            </w:r>
          </w:p>
        </w:tc>
        <w:tc>
          <w:tcPr>
            <w:tcW w:w="1395" w:type="dxa"/>
            <w:tcBorders>
              <w:bottom w:val="single" w:sz="6" w:space="0" w:color="000000"/>
              <w:right w:val="single" w:sz="6" w:space="0" w:color="000000"/>
            </w:tcBorders>
            <w:vAlign w:val="center"/>
          </w:tcPr>
          <w:p w14:paraId="383A5E88" w14:textId="77777777" w:rsidR="007D706A" w:rsidRDefault="007D706A" w:rsidP="00F70508">
            <w:pPr>
              <w:pStyle w:val="ParagraphStyle12"/>
              <w:rPr>
                <w:rStyle w:val="CharacterStyle12"/>
              </w:rPr>
            </w:pPr>
            <w:r>
              <w:rPr>
                <w:rStyle w:val="CharacterStyle12"/>
              </w:rPr>
              <w:t>20.000,00</w:t>
            </w:r>
          </w:p>
        </w:tc>
        <w:tc>
          <w:tcPr>
            <w:tcW w:w="1395" w:type="dxa"/>
            <w:tcBorders>
              <w:bottom w:val="single" w:sz="6" w:space="0" w:color="000000"/>
              <w:right w:val="single" w:sz="6" w:space="0" w:color="000000"/>
            </w:tcBorders>
            <w:vAlign w:val="center"/>
          </w:tcPr>
          <w:p w14:paraId="324962D2" w14:textId="77777777" w:rsidR="007D706A" w:rsidRDefault="007D706A" w:rsidP="00F70508">
            <w:pPr>
              <w:pStyle w:val="ParagraphStyle12"/>
              <w:rPr>
                <w:rStyle w:val="CharacterStyle12"/>
              </w:rPr>
            </w:pPr>
            <w:r>
              <w:rPr>
                <w:rStyle w:val="CharacterStyle12"/>
              </w:rPr>
              <w:t>15.000,00</w:t>
            </w:r>
          </w:p>
        </w:tc>
      </w:tr>
      <w:tr w:rsidR="007D706A" w14:paraId="65F94EB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3051A0B"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05C4EE18"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6EEEB6E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6EABD5D" w14:textId="77777777" w:rsidR="007D706A" w:rsidRDefault="007D706A" w:rsidP="00F70508">
            <w:pPr>
              <w:pStyle w:val="ParagraphStyle12"/>
              <w:rPr>
                <w:rStyle w:val="CharacterStyle12"/>
              </w:rPr>
            </w:pPr>
            <w:r>
              <w:rPr>
                <w:rStyle w:val="CharacterStyle12"/>
              </w:rPr>
              <w:t>7.039,54</w:t>
            </w:r>
          </w:p>
        </w:tc>
        <w:tc>
          <w:tcPr>
            <w:tcW w:w="1395" w:type="dxa"/>
            <w:tcBorders>
              <w:bottom w:val="single" w:sz="6" w:space="0" w:color="000000"/>
              <w:right w:val="single" w:sz="6" w:space="0" w:color="000000"/>
            </w:tcBorders>
            <w:vAlign w:val="center"/>
          </w:tcPr>
          <w:p w14:paraId="066F7AB8" w14:textId="77777777" w:rsidR="007D706A" w:rsidRDefault="007D706A" w:rsidP="00F70508">
            <w:pPr>
              <w:pStyle w:val="ParagraphStyle12"/>
              <w:rPr>
                <w:rStyle w:val="CharacterStyle12"/>
              </w:rPr>
            </w:pPr>
            <w:r>
              <w:rPr>
                <w:rStyle w:val="CharacterStyle12"/>
              </w:rPr>
              <w:t>40.464,37</w:t>
            </w:r>
          </w:p>
        </w:tc>
        <w:tc>
          <w:tcPr>
            <w:tcW w:w="1395" w:type="dxa"/>
            <w:tcBorders>
              <w:bottom w:val="single" w:sz="6" w:space="0" w:color="000000"/>
              <w:right w:val="single" w:sz="6" w:space="0" w:color="000000"/>
            </w:tcBorders>
            <w:vAlign w:val="center"/>
          </w:tcPr>
          <w:p w14:paraId="7DC3A7D4" w14:textId="77777777" w:rsidR="007D706A" w:rsidRDefault="007D706A" w:rsidP="00F70508">
            <w:pPr>
              <w:pStyle w:val="ParagraphStyle12"/>
              <w:rPr>
                <w:rStyle w:val="CharacterStyle12"/>
              </w:rPr>
            </w:pPr>
            <w:r>
              <w:rPr>
                <w:rStyle w:val="CharacterStyle12"/>
              </w:rPr>
              <w:t>20.000,00</w:t>
            </w:r>
          </w:p>
        </w:tc>
        <w:tc>
          <w:tcPr>
            <w:tcW w:w="1395" w:type="dxa"/>
            <w:tcBorders>
              <w:bottom w:val="single" w:sz="6" w:space="0" w:color="000000"/>
              <w:right w:val="single" w:sz="6" w:space="0" w:color="000000"/>
            </w:tcBorders>
            <w:vAlign w:val="center"/>
          </w:tcPr>
          <w:p w14:paraId="560A58B0" w14:textId="77777777" w:rsidR="007D706A" w:rsidRDefault="007D706A" w:rsidP="00F70508">
            <w:pPr>
              <w:pStyle w:val="ParagraphStyle12"/>
              <w:rPr>
                <w:rStyle w:val="CharacterStyle12"/>
              </w:rPr>
            </w:pPr>
            <w:r>
              <w:rPr>
                <w:rStyle w:val="CharacterStyle12"/>
              </w:rPr>
              <w:t>15.000,00</w:t>
            </w:r>
          </w:p>
        </w:tc>
      </w:tr>
      <w:tr w:rsidR="007D706A" w14:paraId="7504788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84CFF0C" w14:textId="77777777" w:rsidR="007D706A" w:rsidRDefault="007D706A" w:rsidP="00F70508">
            <w:pPr>
              <w:pStyle w:val="ParagraphStyle7"/>
              <w:rPr>
                <w:rStyle w:val="CharacterStyle7"/>
              </w:rPr>
            </w:pPr>
            <w:r>
              <w:rPr>
                <w:rStyle w:val="CharacterStyle7"/>
              </w:rPr>
              <w:t>Izvor financiranja 82</w:t>
            </w:r>
          </w:p>
        </w:tc>
        <w:tc>
          <w:tcPr>
            <w:tcW w:w="4995" w:type="dxa"/>
            <w:tcBorders>
              <w:bottom w:val="single" w:sz="6" w:space="0" w:color="000000"/>
              <w:right w:val="single" w:sz="6" w:space="0" w:color="000000"/>
            </w:tcBorders>
            <w:vAlign w:val="center"/>
          </w:tcPr>
          <w:p w14:paraId="2CE136EB" w14:textId="77777777" w:rsidR="007D706A" w:rsidRDefault="007D706A" w:rsidP="00F70508">
            <w:pPr>
              <w:pStyle w:val="ParagraphStyle8"/>
              <w:rPr>
                <w:rStyle w:val="CharacterStyle8"/>
              </w:rPr>
            </w:pPr>
            <w:r>
              <w:rPr>
                <w:rStyle w:val="CharacterStyle8"/>
              </w:rPr>
              <w:t>Preneseni viškovi iz ranijih godina</w:t>
            </w:r>
          </w:p>
        </w:tc>
        <w:tc>
          <w:tcPr>
            <w:tcW w:w="1395" w:type="dxa"/>
            <w:tcBorders>
              <w:bottom w:val="single" w:sz="6" w:space="0" w:color="000000"/>
              <w:right w:val="single" w:sz="6" w:space="0" w:color="000000"/>
            </w:tcBorders>
            <w:vAlign w:val="center"/>
          </w:tcPr>
          <w:p w14:paraId="57049AC1"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6B1BF98" w14:textId="77777777" w:rsidR="007D706A" w:rsidRDefault="007D706A" w:rsidP="00F70508">
            <w:pPr>
              <w:pStyle w:val="ParagraphStyle9"/>
              <w:rPr>
                <w:rStyle w:val="CharacterStyle9"/>
              </w:rPr>
            </w:pPr>
            <w:r>
              <w:rPr>
                <w:rStyle w:val="CharacterStyle9"/>
              </w:rPr>
              <w:t>40.464,37</w:t>
            </w:r>
          </w:p>
        </w:tc>
        <w:tc>
          <w:tcPr>
            <w:tcW w:w="1395" w:type="dxa"/>
            <w:tcBorders>
              <w:bottom w:val="single" w:sz="6" w:space="0" w:color="000000"/>
              <w:right w:val="single" w:sz="6" w:space="0" w:color="000000"/>
            </w:tcBorders>
            <w:vAlign w:val="center"/>
          </w:tcPr>
          <w:p w14:paraId="4C10101F"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F47504D"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DE0680D" w14:textId="77777777" w:rsidR="007D706A" w:rsidRDefault="007D706A" w:rsidP="00F70508">
            <w:pPr>
              <w:pStyle w:val="ParagraphStyle9"/>
              <w:rPr>
                <w:rStyle w:val="CharacterStyle9"/>
              </w:rPr>
            </w:pPr>
            <w:r>
              <w:rPr>
                <w:rStyle w:val="CharacterStyle9"/>
              </w:rPr>
              <w:t>0,00</w:t>
            </w:r>
          </w:p>
        </w:tc>
      </w:tr>
      <w:tr w:rsidR="007D706A" w14:paraId="619DFAB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7911A5A"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24ACCED5"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1487769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BDCE442" w14:textId="77777777" w:rsidR="007D706A" w:rsidRDefault="007D706A" w:rsidP="00F70508">
            <w:pPr>
              <w:pStyle w:val="ParagraphStyle12"/>
              <w:rPr>
                <w:rStyle w:val="CharacterStyle12"/>
              </w:rPr>
            </w:pPr>
            <w:r>
              <w:rPr>
                <w:rStyle w:val="CharacterStyle12"/>
              </w:rPr>
              <w:t>40.464,37</w:t>
            </w:r>
          </w:p>
        </w:tc>
        <w:tc>
          <w:tcPr>
            <w:tcW w:w="1395" w:type="dxa"/>
            <w:tcBorders>
              <w:bottom w:val="single" w:sz="6" w:space="0" w:color="000000"/>
              <w:right w:val="single" w:sz="6" w:space="0" w:color="000000"/>
            </w:tcBorders>
            <w:vAlign w:val="center"/>
          </w:tcPr>
          <w:p w14:paraId="542D7F4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079D08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C422BFB" w14:textId="77777777" w:rsidR="007D706A" w:rsidRDefault="007D706A" w:rsidP="00F70508">
            <w:pPr>
              <w:pStyle w:val="ParagraphStyle12"/>
              <w:rPr>
                <w:rStyle w:val="CharacterStyle12"/>
              </w:rPr>
            </w:pPr>
            <w:r>
              <w:rPr>
                <w:rStyle w:val="CharacterStyle12"/>
              </w:rPr>
              <w:t>0,00</w:t>
            </w:r>
          </w:p>
        </w:tc>
      </w:tr>
      <w:tr w:rsidR="007D706A" w14:paraId="76573FF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4A964EE"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7191B561"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7DE84FE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44E7948" w14:textId="77777777" w:rsidR="007D706A" w:rsidRDefault="007D706A" w:rsidP="00F70508">
            <w:pPr>
              <w:pStyle w:val="ParagraphStyle12"/>
              <w:rPr>
                <w:rStyle w:val="CharacterStyle12"/>
              </w:rPr>
            </w:pPr>
            <w:r>
              <w:rPr>
                <w:rStyle w:val="CharacterStyle12"/>
              </w:rPr>
              <w:t>40.464,37</w:t>
            </w:r>
          </w:p>
        </w:tc>
        <w:tc>
          <w:tcPr>
            <w:tcW w:w="1395" w:type="dxa"/>
            <w:tcBorders>
              <w:bottom w:val="single" w:sz="6" w:space="0" w:color="000000"/>
              <w:right w:val="single" w:sz="6" w:space="0" w:color="000000"/>
            </w:tcBorders>
            <w:vAlign w:val="center"/>
          </w:tcPr>
          <w:p w14:paraId="618F9EB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DC7B67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1B05FC7" w14:textId="77777777" w:rsidR="007D706A" w:rsidRDefault="007D706A" w:rsidP="00F70508">
            <w:pPr>
              <w:pStyle w:val="ParagraphStyle12"/>
              <w:rPr>
                <w:rStyle w:val="CharacterStyle12"/>
              </w:rPr>
            </w:pPr>
            <w:r>
              <w:rPr>
                <w:rStyle w:val="CharacterStyle12"/>
              </w:rPr>
              <w:t>0,00</w:t>
            </w:r>
          </w:p>
        </w:tc>
      </w:tr>
      <w:tr w:rsidR="007D706A" w14:paraId="5030D17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C3EBFEE" w14:textId="77777777" w:rsidR="007D706A" w:rsidRDefault="007D706A" w:rsidP="00F70508">
            <w:pPr>
              <w:pStyle w:val="ParagraphStyle4"/>
              <w:rPr>
                <w:rStyle w:val="CharacterStyle4"/>
              </w:rPr>
            </w:pPr>
            <w:r>
              <w:rPr>
                <w:rStyle w:val="CharacterStyle4"/>
              </w:rPr>
              <w:t>Aktivnost A100306</w:t>
            </w:r>
          </w:p>
        </w:tc>
        <w:tc>
          <w:tcPr>
            <w:tcW w:w="4995" w:type="dxa"/>
            <w:tcBorders>
              <w:bottom w:val="single" w:sz="6" w:space="0" w:color="000000"/>
              <w:right w:val="single" w:sz="6" w:space="0" w:color="000000"/>
            </w:tcBorders>
            <w:vAlign w:val="center"/>
          </w:tcPr>
          <w:p w14:paraId="5E55BA0B" w14:textId="77777777" w:rsidR="007D706A" w:rsidRDefault="007D706A" w:rsidP="00F70508">
            <w:pPr>
              <w:pStyle w:val="ParagraphStyle5"/>
              <w:rPr>
                <w:rStyle w:val="CharacterStyle5"/>
              </w:rPr>
            </w:pPr>
            <w:r>
              <w:rPr>
                <w:rStyle w:val="CharacterStyle5"/>
              </w:rPr>
              <w:t>PROGRAMI ENERGETSKE UČINKOVITOSTI</w:t>
            </w:r>
          </w:p>
        </w:tc>
        <w:tc>
          <w:tcPr>
            <w:tcW w:w="1395" w:type="dxa"/>
            <w:tcBorders>
              <w:bottom w:val="single" w:sz="6" w:space="0" w:color="000000"/>
              <w:right w:val="single" w:sz="6" w:space="0" w:color="000000"/>
            </w:tcBorders>
            <w:vAlign w:val="center"/>
          </w:tcPr>
          <w:p w14:paraId="19CF14C3"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385C2B5F" w14:textId="77777777" w:rsidR="007D706A" w:rsidRDefault="007D706A" w:rsidP="00F70508">
            <w:pPr>
              <w:pStyle w:val="ParagraphStyle6"/>
              <w:rPr>
                <w:rStyle w:val="CharacterStyle6"/>
              </w:rPr>
            </w:pPr>
            <w:r>
              <w:rPr>
                <w:rStyle w:val="CharacterStyle6"/>
              </w:rPr>
              <w:t>31.500,00</w:t>
            </w:r>
          </w:p>
        </w:tc>
        <w:tc>
          <w:tcPr>
            <w:tcW w:w="1395" w:type="dxa"/>
            <w:tcBorders>
              <w:bottom w:val="single" w:sz="6" w:space="0" w:color="000000"/>
              <w:right w:val="single" w:sz="6" w:space="0" w:color="000000"/>
            </w:tcBorders>
            <w:vAlign w:val="center"/>
          </w:tcPr>
          <w:p w14:paraId="42F8ADA2" w14:textId="77777777" w:rsidR="007D706A" w:rsidRDefault="007D706A" w:rsidP="00F70508">
            <w:pPr>
              <w:pStyle w:val="ParagraphStyle6"/>
              <w:rPr>
                <w:rStyle w:val="CharacterStyle6"/>
              </w:rPr>
            </w:pPr>
            <w:r>
              <w:rPr>
                <w:rStyle w:val="CharacterStyle6"/>
              </w:rPr>
              <w:t>31.500,00</w:t>
            </w:r>
          </w:p>
        </w:tc>
        <w:tc>
          <w:tcPr>
            <w:tcW w:w="1395" w:type="dxa"/>
            <w:tcBorders>
              <w:bottom w:val="single" w:sz="6" w:space="0" w:color="000000"/>
              <w:right w:val="single" w:sz="6" w:space="0" w:color="000000"/>
            </w:tcBorders>
            <w:vAlign w:val="center"/>
          </w:tcPr>
          <w:p w14:paraId="5929FCB0" w14:textId="77777777" w:rsidR="007D706A" w:rsidRDefault="007D706A" w:rsidP="00F70508">
            <w:pPr>
              <w:pStyle w:val="ParagraphStyle6"/>
              <w:rPr>
                <w:rStyle w:val="CharacterStyle6"/>
              </w:rPr>
            </w:pPr>
            <w:r>
              <w:rPr>
                <w:rStyle w:val="CharacterStyle6"/>
              </w:rPr>
              <w:t>35.200,00</w:t>
            </w:r>
          </w:p>
        </w:tc>
        <w:tc>
          <w:tcPr>
            <w:tcW w:w="1395" w:type="dxa"/>
            <w:tcBorders>
              <w:bottom w:val="single" w:sz="6" w:space="0" w:color="000000"/>
              <w:right w:val="single" w:sz="6" w:space="0" w:color="000000"/>
            </w:tcBorders>
            <w:vAlign w:val="center"/>
          </w:tcPr>
          <w:p w14:paraId="3ACFC7CD" w14:textId="77777777" w:rsidR="007D706A" w:rsidRDefault="007D706A" w:rsidP="00F70508">
            <w:pPr>
              <w:pStyle w:val="ParagraphStyle6"/>
              <w:rPr>
                <w:rStyle w:val="CharacterStyle6"/>
              </w:rPr>
            </w:pPr>
            <w:r>
              <w:rPr>
                <w:rStyle w:val="CharacterStyle6"/>
              </w:rPr>
              <w:t>25.000,00</w:t>
            </w:r>
          </w:p>
        </w:tc>
      </w:tr>
      <w:tr w:rsidR="007D706A" w14:paraId="5A926D9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BE0EC2A" w14:textId="77777777" w:rsidR="007D706A" w:rsidRDefault="007D706A" w:rsidP="00F70508">
            <w:pPr>
              <w:pStyle w:val="ParagraphStyle7"/>
              <w:rPr>
                <w:rStyle w:val="CharacterStyle7"/>
              </w:rPr>
            </w:pPr>
            <w:r>
              <w:rPr>
                <w:rStyle w:val="CharacterStyle7"/>
              </w:rPr>
              <w:t>Izvor financiranja 40</w:t>
            </w:r>
          </w:p>
        </w:tc>
        <w:tc>
          <w:tcPr>
            <w:tcW w:w="4995" w:type="dxa"/>
            <w:tcBorders>
              <w:bottom w:val="single" w:sz="6" w:space="0" w:color="000000"/>
              <w:right w:val="single" w:sz="6" w:space="0" w:color="000000"/>
            </w:tcBorders>
            <w:vAlign w:val="center"/>
          </w:tcPr>
          <w:p w14:paraId="7ED105F5" w14:textId="77777777" w:rsidR="007D706A" w:rsidRDefault="007D706A" w:rsidP="00F70508">
            <w:pPr>
              <w:pStyle w:val="ParagraphStyle8"/>
              <w:rPr>
                <w:rStyle w:val="CharacterStyle8"/>
              </w:rPr>
            </w:pPr>
            <w:r>
              <w:rPr>
                <w:rStyle w:val="CharacterStyle8"/>
              </w:rPr>
              <w:t>Prihodi od komunalne naknade i komunalnog doprinosa</w:t>
            </w:r>
          </w:p>
        </w:tc>
        <w:tc>
          <w:tcPr>
            <w:tcW w:w="1395" w:type="dxa"/>
            <w:tcBorders>
              <w:bottom w:val="single" w:sz="6" w:space="0" w:color="000000"/>
              <w:right w:val="single" w:sz="6" w:space="0" w:color="000000"/>
            </w:tcBorders>
            <w:vAlign w:val="center"/>
          </w:tcPr>
          <w:p w14:paraId="33DE8E34"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C0220A7"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8AB969C" w14:textId="77777777" w:rsidR="007D706A" w:rsidRDefault="007D706A" w:rsidP="00F70508">
            <w:pPr>
              <w:pStyle w:val="ParagraphStyle9"/>
              <w:rPr>
                <w:rStyle w:val="CharacterStyle9"/>
              </w:rPr>
            </w:pPr>
            <w:r>
              <w:rPr>
                <w:rStyle w:val="CharacterStyle9"/>
              </w:rPr>
              <w:t>31.500,00</w:t>
            </w:r>
          </w:p>
        </w:tc>
        <w:tc>
          <w:tcPr>
            <w:tcW w:w="1395" w:type="dxa"/>
            <w:tcBorders>
              <w:bottom w:val="single" w:sz="6" w:space="0" w:color="000000"/>
              <w:right w:val="single" w:sz="6" w:space="0" w:color="000000"/>
            </w:tcBorders>
            <w:vAlign w:val="center"/>
          </w:tcPr>
          <w:p w14:paraId="69BDC6E5" w14:textId="77777777" w:rsidR="007D706A" w:rsidRDefault="007D706A" w:rsidP="00F70508">
            <w:pPr>
              <w:pStyle w:val="ParagraphStyle9"/>
              <w:rPr>
                <w:rStyle w:val="CharacterStyle9"/>
              </w:rPr>
            </w:pPr>
            <w:r>
              <w:rPr>
                <w:rStyle w:val="CharacterStyle9"/>
              </w:rPr>
              <w:t>35.200,00</w:t>
            </w:r>
          </w:p>
        </w:tc>
        <w:tc>
          <w:tcPr>
            <w:tcW w:w="1395" w:type="dxa"/>
            <w:tcBorders>
              <w:bottom w:val="single" w:sz="6" w:space="0" w:color="000000"/>
              <w:right w:val="single" w:sz="6" w:space="0" w:color="000000"/>
            </w:tcBorders>
            <w:vAlign w:val="center"/>
          </w:tcPr>
          <w:p w14:paraId="30843282" w14:textId="77777777" w:rsidR="007D706A" w:rsidRDefault="007D706A" w:rsidP="00F70508">
            <w:pPr>
              <w:pStyle w:val="ParagraphStyle9"/>
              <w:rPr>
                <w:rStyle w:val="CharacterStyle9"/>
              </w:rPr>
            </w:pPr>
            <w:r>
              <w:rPr>
                <w:rStyle w:val="CharacterStyle9"/>
              </w:rPr>
              <w:t>25.000,00</w:t>
            </w:r>
          </w:p>
        </w:tc>
      </w:tr>
      <w:tr w:rsidR="007D706A" w14:paraId="7D05491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E83BEFB"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5F427DB2"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14DCFFB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D49DD9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5C72E8C" w14:textId="77777777" w:rsidR="007D706A" w:rsidRDefault="007D706A" w:rsidP="00F70508">
            <w:pPr>
              <w:pStyle w:val="ParagraphStyle12"/>
              <w:rPr>
                <w:rStyle w:val="CharacterStyle12"/>
              </w:rPr>
            </w:pPr>
            <w:r>
              <w:rPr>
                <w:rStyle w:val="CharacterStyle12"/>
              </w:rPr>
              <w:t>31.500,00</w:t>
            </w:r>
          </w:p>
        </w:tc>
        <w:tc>
          <w:tcPr>
            <w:tcW w:w="1395" w:type="dxa"/>
            <w:tcBorders>
              <w:bottom w:val="single" w:sz="6" w:space="0" w:color="000000"/>
              <w:right w:val="single" w:sz="6" w:space="0" w:color="000000"/>
            </w:tcBorders>
            <w:vAlign w:val="center"/>
          </w:tcPr>
          <w:p w14:paraId="15515CFF" w14:textId="77777777" w:rsidR="007D706A" w:rsidRDefault="007D706A" w:rsidP="00F70508">
            <w:pPr>
              <w:pStyle w:val="ParagraphStyle12"/>
              <w:rPr>
                <w:rStyle w:val="CharacterStyle12"/>
              </w:rPr>
            </w:pPr>
            <w:r>
              <w:rPr>
                <w:rStyle w:val="CharacterStyle12"/>
              </w:rPr>
              <w:t>35.200,00</w:t>
            </w:r>
          </w:p>
        </w:tc>
        <w:tc>
          <w:tcPr>
            <w:tcW w:w="1395" w:type="dxa"/>
            <w:tcBorders>
              <w:bottom w:val="single" w:sz="6" w:space="0" w:color="000000"/>
              <w:right w:val="single" w:sz="6" w:space="0" w:color="000000"/>
            </w:tcBorders>
            <w:vAlign w:val="center"/>
          </w:tcPr>
          <w:p w14:paraId="6D695596" w14:textId="77777777" w:rsidR="007D706A" w:rsidRDefault="007D706A" w:rsidP="00F70508">
            <w:pPr>
              <w:pStyle w:val="ParagraphStyle12"/>
              <w:rPr>
                <w:rStyle w:val="CharacterStyle12"/>
              </w:rPr>
            </w:pPr>
            <w:r>
              <w:rPr>
                <w:rStyle w:val="CharacterStyle12"/>
              </w:rPr>
              <w:t>25.000,00</w:t>
            </w:r>
          </w:p>
        </w:tc>
      </w:tr>
      <w:tr w:rsidR="007D706A" w14:paraId="2ED24E7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ED2AD7C" w14:textId="77777777" w:rsidR="007D706A" w:rsidRDefault="007D706A" w:rsidP="00F70508">
            <w:pPr>
              <w:pStyle w:val="ParagraphStyle10"/>
              <w:rPr>
                <w:rStyle w:val="CharacterStyle10"/>
              </w:rPr>
            </w:pPr>
            <w:r>
              <w:rPr>
                <w:rStyle w:val="CharacterStyle10"/>
              </w:rPr>
              <w:t>42</w:t>
            </w:r>
          </w:p>
        </w:tc>
        <w:tc>
          <w:tcPr>
            <w:tcW w:w="4995" w:type="dxa"/>
            <w:tcBorders>
              <w:bottom w:val="single" w:sz="6" w:space="0" w:color="000000"/>
              <w:right w:val="single" w:sz="6" w:space="0" w:color="000000"/>
            </w:tcBorders>
            <w:vAlign w:val="center"/>
          </w:tcPr>
          <w:p w14:paraId="035640B2"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1EFCAD8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E9ADF9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680E791" w14:textId="77777777" w:rsidR="007D706A" w:rsidRDefault="007D706A" w:rsidP="00F70508">
            <w:pPr>
              <w:pStyle w:val="ParagraphStyle12"/>
              <w:rPr>
                <w:rStyle w:val="CharacterStyle12"/>
              </w:rPr>
            </w:pPr>
            <w:r>
              <w:rPr>
                <w:rStyle w:val="CharacterStyle12"/>
              </w:rPr>
              <w:t>31.500,00</w:t>
            </w:r>
          </w:p>
        </w:tc>
        <w:tc>
          <w:tcPr>
            <w:tcW w:w="1395" w:type="dxa"/>
            <w:tcBorders>
              <w:bottom w:val="single" w:sz="6" w:space="0" w:color="000000"/>
              <w:right w:val="single" w:sz="6" w:space="0" w:color="000000"/>
            </w:tcBorders>
            <w:vAlign w:val="center"/>
          </w:tcPr>
          <w:p w14:paraId="4A409099" w14:textId="77777777" w:rsidR="007D706A" w:rsidRDefault="007D706A" w:rsidP="00F70508">
            <w:pPr>
              <w:pStyle w:val="ParagraphStyle12"/>
              <w:rPr>
                <w:rStyle w:val="CharacterStyle12"/>
              </w:rPr>
            </w:pPr>
            <w:r>
              <w:rPr>
                <w:rStyle w:val="CharacterStyle12"/>
              </w:rPr>
              <w:t>35.200,00</w:t>
            </w:r>
          </w:p>
        </w:tc>
        <w:tc>
          <w:tcPr>
            <w:tcW w:w="1395" w:type="dxa"/>
            <w:tcBorders>
              <w:bottom w:val="single" w:sz="6" w:space="0" w:color="000000"/>
              <w:right w:val="single" w:sz="6" w:space="0" w:color="000000"/>
            </w:tcBorders>
            <w:vAlign w:val="center"/>
          </w:tcPr>
          <w:p w14:paraId="29F81F37" w14:textId="77777777" w:rsidR="007D706A" w:rsidRDefault="007D706A" w:rsidP="00F70508">
            <w:pPr>
              <w:pStyle w:val="ParagraphStyle12"/>
              <w:rPr>
                <w:rStyle w:val="CharacterStyle12"/>
              </w:rPr>
            </w:pPr>
            <w:r>
              <w:rPr>
                <w:rStyle w:val="CharacterStyle12"/>
              </w:rPr>
              <w:t>25.000,00</w:t>
            </w:r>
          </w:p>
        </w:tc>
      </w:tr>
      <w:tr w:rsidR="007D706A" w14:paraId="2A18F5D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518B14C" w14:textId="77777777" w:rsidR="007D706A" w:rsidRDefault="007D706A" w:rsidP="00F70508">
            <w:pPr>
              <w:pStyle w:val="ParagraphStyle7"/>
              <w:rPr>
                <w:rStyle w:val="CharacterStyle7"/>
              </w:rPr>
            </w:pPr>
            <w:r>
              <w:rPr>
                <w:rStyle w:val="CharacterStyle7"/>
              </w:rPr>
              <w:t>Izvor financiranja 41</w:t>
            </w:r>
          </w:p>
        </w:tc>
        <w:tc>
          <w:tcPr>
            <w:tcW w:w="4995" w:type="dxa"/>
            <w:tcBorders>
              <w:bottom w:val="single" w:sz="6" w:space="0" w:color="000000"/>
              <w:right w:val="single" w:sz="6" w:space="0" w:color="000000"/>
            </w:tcBorders>
            <w:vAlign w:val="center"/>
          </w:tcPr>
          <w:p w14:paraId="2F56A5CC" w14:textId="77777777" w:rsidR="007D706A" w:rsidRDefault="007D706A" w:rsidP="00F70508">
            <w:pPr>
              <w:pStyle w:val="ParagraphStyle8"/>
              <w:rPr>
                <w:rStyle w:val="CharacterStyle8"/>
              </w:rPr>
            </w:pPr>
            <w:r>
              <w:rPr>
                <w:rStyle w:val="CharacterStyle8"/>
              </w:rPr>
              <w:t>Prihodi za posebne namjene</w:t>
            </w:r>
          </w:p>
        </w:tc>
        <w:tc>
          <w:tcPr>
            <w:tcW w:w="1395" w:type="dxa"/>
            <w:tcBorders>
              <w:bottom w:val="single" w:sz="6" w:space="0" w:color="000000"/>
              <w:right w:val="single" w:sz="6" w:space="0" w:color="000000"/>
            </w:tcBorders>
            <w:vAlign w:val="center"/>
          </w:tcPr>
          <w:p w14:paraId="2A23603F"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A302243" w14:textId="77777777" w:rsidR="007D706A" w:rsidRDefault="007D706A" w:rsidP="00F70508">
            <w:pPr>
              <w:pStyle w:val="ParagraphStyle9"/>
              <w:rPr>
                <w:rStyle w:val="CharacterStyle9"/>
              </w:rPr>
            </w:pPr>
            <w:r>
              <w:rPr>
                <w:rStyle w:val="CharacterStyle9"/>
              </w:rPr>
              <w:t>31.500,00</w:t>
            </w:r>
          </w:p>
        </w:tc>
        <w:tc>
          <w:tcPr>
            <w:tcW w:w="1395" w:type="dxa"/>
            <w:tcBorders>
              <w:bottom w:val="single" w:sz="6" w:space="0" w:color="000000"/>
              <w:right w:val="single" w:sz="6" w:space="0" w:color="000000"/>
            </w:tcBorders>
            <w:vAlign w:val="center"/>
          </w:tcPr>
          <w:p w14:paraId="139F21DC"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AE2AD44"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51DFA52" w14:textId="77777777" w:rsidR="007D706A" w:rsidRDefault="007D706A" w:rsidP="00F70508">
            <w:pPr>
              <w:pStyle w:val="ParagraphStyle9"/>
              <w:rPr>
                <w:rStyle w:val="CharacterStyle9"/>
              </w:rPr>
            </w:pPr>
            <w:r>
              <w:rPr>
                <w:rStyle w:val="CharacterStyle9"/>
              </w:rPr>
              <w:t>0,00</w:t>
            </w:r>
          </w:p>
        </w:tc>
      </w:tr>
      <w:tr w:rsidR="007D706A" w14:paraId="240CC81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A9C92C6"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03B782F6"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3227C05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A0B243F" w14:textId="77777777" w:rsidR="007D706A" w:rsidRDefault="007D706A" w:rsidP="00F70508">
            <w:pPr>
              <w:pStyle w:val="ParagraphStyle12"/>
              <w:rPr>
                <w:rStyle w:val="CharacterStyle12"/>
              </w:rPr>
            </w:pPr>
            <w:r>
              <w:rPr>
                <w:rStyle w:val="CharacterStyle12"/>
              </w:rPr>
              <w:t>31.500,00</w:t>
            </w:r>
          </w:p>
        </w:tc>
        <w:tc>
          <w:tcPr>
            <w:tcW w:w="1395" w:type="dxa"/>
            <w:tcBorders>
              <w:bottom w:val="single" w:sz="6" w:space="0" w:color="000000"/>
              <w:right w:val="single" w:sz="6" w:space="0" w:color="000000"/>
            </w:tcBorders>
            <w:vAlign w:val="center"/>
          </w:tcPr>
          <w:p w14:paraId="587A5FC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9B9156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C780961" w14:textId="77777777" w:rsidR="007D706A" w:rsidRDefault="007D706A" w:rsidP="00F70508">
            <w:pPr>
              <w:pStyle w:val="ParagraphStyle12"/>
              <w:rPr>
                <w:rStyle w:val="CharacterStyle12"/>
              </w:rPr>
            </w:pPr>
            <w:r>
              <w:rPr>
                <w:rStyle w:val="CharacterStyle12"/>
              </w:rPr>
              <w:t>0,00</w:t>
            </w:r>
          </w:p>
        </w:tc>
      </w:tr>
      <w:tr w:rsidR="007D706A" w14:paraId="5BD7FE8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96441DE" w14:textId="77777777" w:rsidR="007D706A" w:rsidRDefault="007D706A" w:rsidP="00F70508">
            <w:pPr>
              <w:pStyle w:val="ParagraphStyle10"/>
              <w:rPr>
                <w:rStyle w:val="CharacterStyle10"/>
              </w:rPr>
            </w:pPr>
            <w:r>
              <w:rPr>
                <w:rStyle w:val="CharacterStyle10"/>
              </w:rPr>
              <w:t>42</w:t>
            </w:r>
          </w:p>
        </w:tc>
        <w:tc>
          <w:tcPr>
            <w:tcW w:w="4995" w:type="dxa"/>
            <w:tcBorders>
              <w:bottom w:val="single" w:sz="6" w:space="0" w:color="000000"/>
              <w:right w:val="single" w:sz="6" w:space="0" w:color="000000"/>
            </w:tcBorders>
            <w:vAlign w:val="center"/>
          </w:tcPr>
          <w:p w14:paraId="363FA7A2"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430EBE5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7A96DFF" w14:textId="77777777" w:rsidR="007D706A" w:rsidRDefault="007D706A" w:rsidP="00F70508">
            <w:pPr>
              <w:pStyle w:val="ParagraphStyle12"/>
              <w:rPr>
                <w:rStyle w:val="CharacterStyle12"/>
              </w:rPr>
            </w:pPr>
            <w:r>
              <w:rPr>
                <w:rStyle w:val="CharacterStyle12"/>
              </w:rPr>
              <w:t>31.500,00</w:t>
            </w:r>
          </w:p>
        </w:tc>
        <w:tc>
          <w:tcPr>
            <w:tcW w:w="1395" w:type="dxa"/>
            <w:tcBorders>
              <w:bottom w:val="single" w:sz="6" w:space="0" w:color="000000"/>
              <w:right w:val="single" w:sz="6" w:space="0" w:color="000000"/>
            </w:tcBorders>
            <w:vAlign w:val="center"/>
          </w:tcPr>
          <w:p w14:paraId="29ED874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86CB9F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E271186" w14:textId="77777777" w:rsidR="007D706A" w:rsidRDefault="007D706A" w:rsidP="00F70508">
            <w:pPr>
              <w:pStyle w:val="ParagraphStyle12"/>
              <w:rPr>
                <w:rStyle w:val="CharacterStyle12"/>
              </w:rPr>
            </w:pPr>
            <w:r>
              <w:rPr>
                <w:rStyle w:val="CharacterStyle12"/>
              </w:rPr>
              <w:t>0,00</w:t>
            </w:r>
          </w:p>
        </w:tc>
      </w:tr>
      <w:tr w:rsidR="007D706A" w14:paraId="669ABEA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84C210B" w14:textId="77777777" w:rsidR="007D706A" w:rsidRDefault="007D706A" w:rsidP="00F70508">
            <w:pPr>
              <w:pStyle w:val="ParagraphStyle4"/>
              <w:rPr>
                <w:rStyle w:val="CharacterStyle4"/>
              </w:rPr>
            </w:pPr>
            <w:r>
              <w:rPr>
                <w:rStyle w:val="CharacterStyle4"/>
              </w:rPr>
              <w:t>RAZDJEL    007</w:t>
            </w:r>
          </w:p>
        </w:tc>
        <w:tc>
          <w:tcPr>
            <w:tcW w:w="4995" w:type="dxa"/>
            <w:tcBorders>
              <w:bottom w:val="single" w:sz="6" w:space="0" w:color="000000"/>
              <w:right w:val="single" w:sz="6" w:space="0" w:color="000000"/>
            </w:tcBorders>
            <w:vAlign w:val="center"/>
          </w:tcPr>
          <w:p w14:paraId="6B9C459C" w14:textId="77777777" w:rsidR="007D706A" w:rsidRDefault="007D706A" w:rsidP="00F70508">
            <w:pPr>
              <w:pStyle w:val="ParagraphStyle5"/>
              <w:rPr>
                <w:rStyle w:val="CharacterStyle5"/>
              </w:rPr>
            </w:pPr>
            <w:r>
              <w:rPr>
                <w:rStyle w:val="CharacterStyle5"/>
              </w:rPr>
              <w:t>R - UPRAVNI ODJEL ZA DRUŠTVENE DJELATNOSTI</w:t>
            </w:r>
          </w:p>
        </w:tc>
        <w:tc>
          <w:tcPr>
            <w:tcW w:w="1395" w:type="dxa"/>
            <w:tcBorders>
              <w:bottom w:val="single" w:sz="6" w:space="0" w:color="000000"/>
              <w:right w:val="single" w:sz="6" w:space="0" w:color="000000"/>
            </w:tcBorders>
            <w:vAlign w:val="center"/>
          </w:tcPr>
          <w:p w14:paraId="65276EBA"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34CFB58E" w14:textId="77777777" w:rsidR="007D706A" w:rsidRDefault="007D706A" w:rsidP="00F70508">
            <w:pPr>
              <w:pStyle w:val="ParagraphStyle6"/>
              <w:rPr>
                <w:rStyle w:val="CharacterStyle6"/>
              </w:rPr>
            </w:pPr>
            <w:r>
              <w:rPr>
                <w:rStyle w:val="CharacterStyle6"/>
              </w:rPr>
              <w:t>24.619.395,00</w:t>
            </w:r>
          </w:p>
        </w:tc>
        <w:tc>
          <w:tcPr>
            <w:tcW w:w="1395" w:type="dxa"/>
            <w:tcBorders>
              <w:bottom w:val="single" w:sz="6" w:space="0" w:color="000000"/>
              <w:right w:val="single" w:sz="6" w:space="0" w:color="000000"/>
            </w:tcBorders>
            <w:vAlign w:val="center"/>
          </w:tcPr>
          <w:p w14:paraId="1F74D637" w14:textId="77777777" w:rsidR="007D706A" w:rsidRDefault="007D706A" w:rsidP="00F70508">
            <w:pPr>
              <w:pStyle w:val="ParagraphStyle6"/>
              <w:rPr>
                <w:rStyle w:val="CharacterStyle6"/>
              </w:rPr>
            </w:pPr>
            <w:r>
              <w:rPr>
                <w:rStyle w:val="CharacterStyle6"/>
              </w:rPr>
              <w:t>24.717.930,00</w:t>
            </w:r>
          </w:p>
        </w:tc>
        <w:tc>
          <w:tcPr>
            <w:tcW w:w="1395" w:type="dxa"/>
            <w:tcBorders>
              <w:bottom w:val="single" w:sz="6" w:space="0" w:color="000000"/>
              <w:right w:val="single" w:sz="6" w:space="0" w:color="000000"/>
            </w:tcBorders>
            <w:vAlign w:val="center"/>
          </w:tcPr>
          <w:p w14:paraId="604AB659" w14:textId="77777777" w:rsidR="007D706A" w:rsidRDefault="007D706A" w:rsidP="00F70508">
            <w:pPr>
              <w:pStyle w:val="ParagraphStyle6"/>
              <w:rPr>
                <w:rStyle w:val="CharacterStyle6"/>
              </w:rPr>
            </w:pPr>
            <w:r>
              <w:rPr>
                <w:rStyle w:val="CharacterStyle6"/>
              </w:rPr>
              <w:t>24.958.096,14</w:t>
            </w:r>
          </w:p>
        </w:tc>
        <w:tc>
          <w:tcPr>
            <w:tcW w:w="1395" w:type="dxa"/>
            <w:tcBorders>
              <w:bottom w:val="single" w:sz="6" w:space="0" w:color="000000"/>
              <w:right w:val="single" w:sz="6" w:space="0" w:color="000000"/>
            </w:tcBorders>
            <w:vAlign w:val="center"/>
          </w:tcPr>
          <w:p w14:paraId="2D426147" w14:textId="77777777" w:rsidR="007D706A" w:rsidRDefault="007D706A" w:rsidP="00F70508">
            <w:pPr>
              <w:pStyle w:val="ParagraphStyle6"/>
              <w:rPr>
                <w:rStyle w:val="CharacterStyle6"/>
              </w:rPr>
            </w:pPr>
            <w:r>
              <w:rPr>
                <w:rStyle w:val="CharacterStyle6"/>
              </w:rPr>
              <w:t>25.275.474,22</w:t>
            </w:r>
          </w:p>
        </w:tc>
      </w:tr>
      <w:tr w:rsidR="007D706A" w14:paraId="26BD4D8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991E38A" w14:textId="77777777" w:rsidR="007D706A" w:rsidRDefault="007D706A" w:rsidP="00F70508">
            <w:pPr>
              <w:pStyle w:val="ParagraphStyle4"/>
              <w:rPr>
                <w:rStyle w:val="CharacterStyle4"/>
              </w:rPr>
            </w:pPr>
            <w:r>
              <w:rPr>
                <w:rStyle w:val="CharacterStyle4"/>
              </w:rPr>
              <w:t>GLAVA    00701</w:t>
            </w:r>
          </w:p>
        </w:tc>
        <w:tc>
          <w:tcPr>
            <w:tcW w:w="4995" w:type="dxa"/>
            <w:tcBorders>
              <w:bottom w:val="single" w:sz="6" w:space="0" w:color="000000"/>
              <w:right w:val="single" w:sz="6" w:space="0" w:color="000000"/>
            </w:tcBorders>
            <w:vAlign w:val="center"/>
          </w:tcPr>
          <w:p w14:paraId="4CD3062A" w14:textId="77777777" w:rsidR="007D706A" w:rsidRDefault="007D706A" w:rsidP="00F70508">
            <w:pPr>
              <w:pStyle w:val="ParagraphStyle5"/>
              <w:rPr>
                <w:rStyle w:val="CharacterStyle5"/>
              </w:rPr>
            </w:pPr>
            <w:r>
              <w:rPr>
                <w:rStyle w:val="CharacterStyle5"/>
              </w:rPr>
              <w:t>UPRAVNI ODJEL ZA DRUŠTVENE DJELATNOSTI</w:t>
            </w:r>
          </w:p>
        </w:tc>
        <w:tc>
          <w:tcPr>
            <w:tcW w:w="1395" w:type="dxa"/>
            <w:tcBorders>
              <w:bottom w:val="single" w:sz="6" w:space="0" w:color="000000"/>
              <w:right w:val="single" w:sz="6" w:space="0" w:color="000000"/>
            </w:tcBorders>
            <w:vAlign w:val="center"/>
          </w:tcPr>
          <w:p w14:paraId="56A05BB6"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60EB48E1" w14:textId="77777777" w:rsidR="007D706A" w:rsidRDefault="007D706A" w:rsidP="00F70508">
            <w:pPr>
              <w:pStyle w:val="ParagraphStyle6"/>
              <w:rPr>
                <w:rStyle w:val="CharacterStyle6"/>
              </w:rPr>
            </w:pPr>
            <w:r>
              <w:rPr>
                <w:rStyle w:val="CharacterStyle6"/>
              </w:rPr>
              <w:t>5.371.154,50</w:t>
            </w:r>
          </w:p>
        </w:tc>
        <w:tc>
          <w:tcPr>
            <w:tcW w:w="1395" w:type="dxa"/>
            <w:tcBorders>
              <w:bottom w:val="single" w:sz="6" w:space="0" w:color="000000"/>
              <w:right w:val="single" w:sz="6" w:space="0" w:color="000000"/>
            </w:tcBorders>
            <w:vAlign w:val="center"/>
          </w:tcPr>
          <w:p w14:paraId="3D57D1EE" w14:textId="77777777" w:rsidR="007D706A" w:rsidRDefault="007D706A" w:rsidP="00F70508">
            <w:pPr>
              <w:pStyle w:val="ParagraphStyle6"/>
              <w:rPr>
                <w:rStyle w:val="CharacterStyle6"/>
              </w:rPr>
            </w:pPr>
            <w:r>
              <w:rPr>
                <w:rStyle w:val="CharacterStyle6"/>
              </w:rPr>
              <w:t>5.441.864,87</w:t>
            </w:r>
          </w:p>
        </w:tc>
        <w:tc>
          <w:tcPr>
            <w:tcW w:w="1395" w:type="dxa"/>
            <w:tcBorders>
              <w:bottom w:val="single" w:sz="6" w:space="0" w:color="000000"/>
              <w:right w:val="single" w:sz="6" w:space="0" w:color="000000"/>
            </w:tcBorders>
            <w:vAlign w:val="center"/>
          </w:tcPr>
          <w:p w14:paraId="6D1D6A67" w14:textId="77777777" w:rsidR="007D706A" w:rsidRDefault="007D706A" w:rsidP="00F70508">
            <w:pPr>
              <w:pStyle w:val="ParagraphStyle6"/>
              <w:rPr>
                <w:rStyle w:val="CharacterStyle6"/>
              </w:rPr>
            </w:pPr>
            <w:r>
              <w:rPr>
                <w:rStyle w:val="CharacterStyle6"/>
              </w:rPr>
              <w:t>5.245.795,00</w:t>
            </w:r>
          </w:p>
        </w:tc>
        <w:tc>
          <w:tcPr>
            <w:tcW w:w="1395" w:type="dxa"/>
            <w:tcBorders>
              <w:bottom w:val="single" w:sz="6" w:space="0" w:color="000000"/>
              <w:right w:val="single" w:sz="6" w:space="0" w:color="000000"/>
            </w:tcBorders>
            <w:vAlign w:val="center"/>
          </w:tcPr>
          <w:p w14:paraId="1C87F48C" w14:textId="77777777" w:rsidR="007D706A" w:rsidRDefault="007D706A" w:rsidP="00F70508">
            <w:pPr>
              <w:pStyle w:val="ParagraphStyle6"/>
              <w:rPr>
                <w:rStyle w:val="CharacterStyle6"/>
              </w:rPr>
            </w:pPr>
            <w:r>
              <w:rPr>
                <w:rStyle w:val="CharacterStyle6"/>
              </w:rPr>
              <w:t>5.349.079,00</w:t>
            </w:r>
          </w:p>
        </w:tc>
      </w:tr>
      <w:tr w:rsidR="007D706A" w14:paraId="7B43895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7548731" w14:textId="77777777" w:rsidR="007D706A" w:rsidRDefault="007D706A" w:rsidP="00F70508">
            <w:pPr>
              <w:pStyle w:val="ParagraphStyle4"/>
              <w:rPr>
                <w:rStyle w:val="CharacterStyle4"/>
              </w:rPr>
            </w:pPr>
            <w:r>
              <w:rPr>
                <w:rStyle w:val="CharacterStyle4"/>
              </w:rPr>
              <w:t>Izvor financiranja 11</w:t>
            </w:r>
          </w:p>
        </w:tc>
        <w:tc>
          <w:tcPr>
            <w:tcW w:w="4995" w:type="dxa"/>
            <w:tcBorders>
              <w:bottom w:val="single" w:sz="6" w:space="0" w:color="000000"/>
              <w:right w:val="single" w:sz="6" w:space="0" w:color="000000"/>
            </w:tcBorders>
            <w:vAlign w:val="center"/>
          </w:tcPr>
          <w:p w14:paraId="10D33766" w14:textId="77777777" w:rsidR="007D706A" w:rsidRDefault="007D706A" w:rsidP="00F70508">
            <w:pPr>
              <w:pStyle w:val="ParagraphStyle5"/>
              <w:rPr>
                <w:rStyle w:val="CharacterStyle5"/>
              </w:rPr>
            </w:pPr>
            <w:r>
              <w:rPr>
                <w:rStyle w:val="CharacterStyle5"/>
              </w:rPr>
              <w:t>Opći prihodi i primici</w:t>
            </w:r>
          </w:p>
        </w:tc>
        <w:tc>
          <w:tcPr>
            <w:tcW w:w="1395" w:type="dxa"/>
            <w:tcBorders>
              <w:bottom w:val="single" w:sz="6" w:space="0" w:color="000000"/>
              <w:right w:val="single" w:sz="6" w:space="0" w:color="000000"/>
            </w:tcBorders>
            <w:vAlign w:val="center"/>
          </w:tcPr>
          <w:p w14:paraId="1200FA4E"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4A8F494B" w14:textId="77777777" w:rsidR="007D706A" w:rsidRDefault="007D706A" w:rsidP="00F70508">
            <w:pPr>
              <w:pStyle w:val="ParagraphStyle6"/>
              <w:rPr>
                <w:rStyle w:val="CharacterStyle6"/>
              </w:rPr>
            </w:pPr>
            <w:r>
              <w:rPr>
                <w:rStyle w:val="CharacterStyle6"/>
              </w:rPr>
              <w:t>4.373.182,88</w:t>
            </w:r>
          </w:p>
        </w:tc>
        <w:tc>
          <w:tcPr>
            <w:tcW w:w="1395" w:type="dxa"/>
            <w:tcBorders>
              <w:bottom w:val="single" w:sz="6" w:space="0" w:color="000000"/>
              <w:right w:val="single" w:sz="6" w:space="0" w:color="000000"/>
            </w:tcBorders>
            <w:vAlign w:val="center"/>
          </w:tcPr>
          <w:p w14:paraId="75FB9C9B" w14:textId="77777777" w:rsidR="007D706A" w:rsidRDefault="007D706A" w:rsidP="00F70508">
            <w:pPr>
              <w:pStyle w:val="ParagraphStyle6"/>
              <w:rPr>
                <w:rStyle w:val="CharacterStyle6"/>
              </w:rPr>
            </w:pPr>
            <w:r>
              <w:rPr>
                <w:rStyle w:val="CharacterStyle6"/>
              </w:rPr>
              <w:t>4.836.787,00</w:t>
            </w:r>
          </w:p>
        </w:tc>
        <w:tc>
          <w:tcPr>
            <w:tcW w:w="1395" w:type="dxa"/>
            <w:tcBorders>
              <w:bottom w:val="single" w:sz="6" w:space="0" w:color="000000"/>
              <w:right w:val="single" w:sz="6" w:space="0" w:color="000000"/>
            </w:tcBorders>
            <w:vAlign w:val="center"/>
          </w:tcPr>
          <w:p w14:paraId="50B3E8C2" w14:textId="77777777" w:rsidR="007D706A" w:rsidRDefault="007D706A" w:rsidP="00F70508">
            <w:pPr>
              <w:pStyle w:val="ParagraphStyle6"/>
              <w:rPr>
                <w:rStyle w:val="CharacterStyle6"/>
              </w:rPr>
            </w:pPr>
            <w:r>
              <w:rPr>
                <w:rStyle w:val="CharacterStyle6"/>
              </w:rPr>
              <w:t>3.907.445,00</w:t>
            </w:r>
          </w:p>
        </w:tc>
        <w:tc>
          <w:tcPr>
            <w:tcW w:w="1395" w:type="dxa"/>
            <w:tcBorders>
              <w:bottom w:val="single" w:sz="6" w:space="0" w:color="000000"/>
              <w:right w:val="single" w:sz="6" w:space="0" w:color="000000"/>
            </w:tcBorders>
            <w:vAlign w:val="center"/>
          </w:tcPr>
          <w:p w14:paraId="20F53D76" w14:textId="77777777" w:rsidR="007D706A" w:rsidRDefault="007D706A" w:rsidP="00F70508">
            <w:pPr>
              <w:pStyle w:val="ParagraphStyle6"/>
              <w:rPr>
                <w:rStyle w:val="CharacterStyle6"/>
              </w:rPr>
            </w:pPr>
            <w:r>
              <w:rPr>
                <w:rStyle w:val="CharacterStyle6"/>
              </w:rPr>
              <w:t>3.993.869,00</w:t>
            </w:r>
          </w:p>
        </w:tc>
      </w:tr>
      <w:tr w:rsidR="007D706A" w14:paraId="776A46B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8F7E421" w14:textId="77777777" w:rsidR="007D706A" w:rsidRDefault="007D706A" w:rsidP="00F70508">
            <w:pPr>
              <w:pStyle w:val="ParagraphStyle4"/>
              <w:rPr>
                <w:rStyle w:val="CharacterStyle4"/>
              </w:rPr>
            </w:pPr>
            <w:r>
              <w:rPr>
                <w:rStyle w:val="CharacterStyle4"/>
              </w:rPr>
              <w:t>Izvor financiranja 40</w:t>
            </w:r>
          </w:p>
        </w:tc>
        <w:tc>
          <w:tcPr>
            <w:tcW w:w="4995" w:type="dxa"/>
            <w:tcBorders>
              <w:bottom w:val="single" w:sz="6" w:space="0" w:color="000000"/>
              <w:right w:val="single" w:sz="6" w:space="0" w:color="000000"/>
            </w:tcBorders>
            <w:vAlign w:val="center"/>
          </w:tcPr>
          <w:p w14:paraId="08F7C200" w14:textId="77777777" w:rsidR="007D706A" w:rsidRDefault="007D706A" w:rsidP="00F70508">
            <w:pPr>
              <w:pStyle w:val="ParagraphStyle5"/>
              <w:rPr>
                <w:rStyle w:val="CharacterStyle5"/>
              </w:rPr>
            </w:pPr>
            <w:r>
              <w:rPr>
                <w:rStyle w:val="CharacterStyle5"/>
              </w:rPr>
              <w:t>Prihodi od komunalne naknade i komunalnog doprinosa</w:t>
            </w:r>
          </w:p>
        </w:tc>
        <w:tc>
          <w:tcPr>
            <w:tcW w:w="1395" w:type="dxa"/>
            <w:tcBorders>
              <w:bottom w:val="single" w:sz="6" w:space="0" w:color="000000"/>
              <w:right w:val="single" w:sz="6" w:space="0" w:color="000000"/>
            </w:tcBorders>
            <w:vAlign w:val="center"/>
          </w:tcPr>
          <w:p w14:paraId="23DA1EB8"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01D92C79"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038BD735" w14:textId="77777777" w:rsidR="007D706A" w:rsidRDefault="007D706A" w:rsidP="00F70508">
            <w:pPr>
              <w:pStyle w:val="ParagraphStyle6"/>
              <w:rPr>
                <w:rStyle w:val="CharacterStyle6"/>
              </w:rPr>
            </w:pPr>
            <w:r>
              <w:rPr>
                <w:rStyle w:val="CharacterStyle6"/>
              </w:rPr>
              <w:t>26.500,00</w:t>
            </w:r>
          </w:p>
        </w:tc>
        <w:tc>
          <w:tcPr>
            <w:tcW w:w="1395" w:type="dxa"/>
            <w:tcBorders>
              <w:bottom w:val="single" w:sz="6" w:space="0" w:color="000000"/>
              <w:right w:val="single" w:sz="6" w:space="0" w:color="000000"/>
            </w:tcBorders>
            <w:vAlign w:val="center"/>
          </w:tcPr>
          <w:p w14:paraId="26CBB70B" w14:textId="77777777" w:rsidR="007D706A" w:rsidRDefault="007D706A" w:rsidP="00F70508">
            <w:pPr>
              <w:pStyle w:val="ParagraphStyle6"/>
              <w:rPr>
                <w:rStyle w:val="CharacterStyle6"/>
              </w:rPr>
            </w:pPr>
            <w:r>
              <w:rPr>
                <w:rStyle w:val="CharacterStyle6"/>
              </w:rPr>
              <w:t>594.830,00</w:t>
            </w:r>
          </w:p>
        </w:tc>
        <w:tc>
          <w:tcPr>
            <w:tcW w:w="1395" w:type="dxa"/>
            <w:tcBorders>
              <w:bottom w:val="single" w:sz="6" w:space="0" w:color="000000"/>
              <w:right w:val="single" w:sz="6" w:space="0" w:color="000000"/>
            </w:tcBorders>
            <w:vAlign w:val="center"/>
          </w:tcPr>
          <w:p w14:paraId="7039E099" w14:textId="77777777" w:rsidR="007D706A" w:rsidRDefault="007D706A" w:rsidP="00F70508">
            <w:pPr>
              <w:pStyle w:val="ParagraphStyle6"/>
              <w:rPr>
                <w:rStyle w:val="CharacterStyle6"/>
              </w:rPr>
            </w:pPr>
            <w:r>
              <w:rPr>
                <w:rStyle w:val="CharacterStyle6"/>
              </w:rPr>
              <w:t>611.690,00</w:t>
            </w:r>
          </w:p>
        </w:tc>
      </w:tr>
      <w:tr w:rsidR="007D706A" w14:paraId="4C1607A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3274606" w14:textId="77777777" w:rsidR="007D706A" w:rsidRDefault="007D706A" w:rsidP="00F70508">
            <w:pPr>
              <w:pStyle w:val="ParagraphStyle4"/>
              <w:rPr>
                <w:rStyle w:val="CharacterStyle4"/>
              </w:rPr>
            </w:pPr>
            <w:r>
              <w:rPr>
                <w:rStyle w:val="CharacterStyle4"/>
              </w:rPr>
              <w:t>Izvor financiranja 41</w:t>
            </w:r>
          </w:p>
        </w:tc>
        <w:tc>
          <w:tcPr>
            <w:tcW w:w="4995" w:type="dxa"/>
            <w:tcBorders>
              <w:bottom w:val="single" w:sz="6" w:space="0" w:color="000000"/>
              <w:right w:val="single" w:sz="6" w:space="0" w:color="000000"/>
            </w:tcBorders>
            <w:vAlign w:val="center"/>
          </w:tcPr>
          <w:p w14:paraId="54B63DE7" w14:textId="77777777" w:rsidR="007D706A" w:rsidRDefault="007D706A" w:rsidP="00F70508">
            <w:pPr>
              <w:pStyle w:val="ParagraphStyle5"/>
              <w:rPr>
                <w:rStyle w:val="CharacterStyle5"/>
              </w:rPr>
            </w:pPr>
            <w:r>
              <w:rPr>
                <w:rStyle w:val="CharacterStyle5"/>
              </w:rPr>
              <w:t>Prihodi za posebne namjene</w:t>
            </w:r>
          </w:p>
        </w:tc>
        <w:tc>
          <w:tcPr>
            <w:tcW w:w="1395" w:type="dxa"/>
            <w:tcBorders>
              <w:bottom w:val="single" w:sz="6" w:space="0" w:color="000000"/>
              <w:right w:val="single" w:sz="6" w:space="0" w:color="000000"/>
            </w:tcBorders>
            <w:vAlign w:val="center"/>
          </w:tcPr>
          <w:p w14:paraId="6E71AC12"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19E3109F" w14:textId="77777777" w:rsidR="007D706A" w:rsidRDefault="007D706A" w:rsidP="00F70508">
            <w:pPr>
              <w:pStyle w:val="ParagraphStyle6"/>
              <w:rPr>
                <w:rStyle w:val="CharacterStyle6"/>
              </w:rPr>
            </w:pPr>
            <w:r>
              <w:rPr>
                <w:rStyle w:val="CharacterStyle6"/>
              </w:rPr>
              <w:t>939.454,00</w:t>
            </w:r>
          </w:p>
        </w:tc>
        <w:tc>
          <w:tcPr>
            <w:tcW w:w="1395" w:type="dxa"/>
            <w:tcBorders>
              <w:bottom w:val="single" w:sz="6" w:space="0" w:color="000000"/>
              <w:right w:val="single" w:sz="6" w:space="0" w:color="000000"/>
            </w:tcBorders>
            <w:vAlign w:val="center"/>
          </w:tcPr>
          <w:p w14:paraId="370174C3"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4DE91DE1"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032C0DB2" w14:textId="77777777" w:rsidR="007D706A" w:rsidRDefault="007D706A" w:rsidP="00F70508">
            <w:pPr>
              <w:pStyle w:val="ParagraphStyle6"/>
              <w:rPr>
                <w:rStyle w:val="CharacterStyle6"/>
              </w:rPr>
            </w:pPr>
            <w:r>
              <w:rPr>
                <w:rStyle w:val="CharacterStyle6"/>
              </w:rPr>
              <w:t>0,00</w:t>
            </w:r>
          </w:p>
        </w:tc>
      </w:tr>
      <w:tr w:rsidR="007D706A" w14:paraId="2DF951A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43189E4" w14:textId="77777777" w:rsidR="007D706A" w:rsidRDefault="007D706A" w:rsidP="00F70508">
            <w:pPr>
              <w:pStyle w:val="ParagraphStyle4"/>
              <w:rPr>
                <w:rStyle w:val="CharacterStyle4"/>
              </w:rPr>
            </w:pPr>
            <w:r>
              <w:rPr>
                <w:rStyle w:val="CharacterStyle4"/>
              </w:rPr>
              <w:t>Izvor financiranja 43</w:t>
            </w:r>
          </w:p>
        </w:tc>
        <w:tc>
          <w:tcPr>
            <w:tcW w:w="4995" w:type="dxa"/>
            <w:tcBorders>
              <w:bottom w:val="single" w:sz="6" w:space="0" w:color="000000"/>
              <w:right w:val="single" w:sz="6" w:space="0" w:color="000000"/>
            </w:tcBorders>
            <w:vAlign w:val="center"/>
          </w:tcPr>
          <w:p w14:paraId="7B83949D" w14:textId="77777777" w:rsidR="007D706A" w:rsidRDefault="007D706A" w:rsidP="00F70508">
            <w:pPr>
              <w:pStyle w:val="ParagraphStyle5"/>
              <w:rPr>
                <w:rStyle w:val="CharacterStyle5"/>
              </w:rPr>
            </w:pPr>
            <w:r>
              <w:rPr>
                <w:rStyle w:val="CharacterStyle5"/>
              </w:rPr>
              <w:t>Ostali prihodi za posebne namjene</w:t>
            </w:r>
          </w:p>
        </w:tc>
        <w:tc>
          <w:tcPr>
            <w:tcW w:w="1395" w:type="dxa"/>
            <w:tcBorders>
              <w:bottom w:val="single" w:sz="6" w:space="0" w:color="000000"/>
              <w:right w:val="single" w:sz="6" w:space="0" w:color="000000"/>
            </w:tcBorders>
            <w:vAlign w:val="center"/>
          </w:tcPr>
          <w:p w14:paraId="01E9525C"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6F0948B1"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5236B420" w14:textId="77777777" w:rsidR="007D706A" w:rsidRDefault="007D706A" w:rsidP="00F70508">
            <w:pPr>
              <w:pStyle w:val="ParagraphStyle6"/>
              <w:rPr>
                <w:rStyle w:val="CharacterStyle6"/>
              </w:rPr>
            </w:pPr>
            <w:r>
              <w:rPr>
                <w:rStyle w:val="CharacterStyle6"/>
              </w:rPr>
              <w:t>574.057,87</w:t>
            </w:r>
          </w:p>
        </w:tc>
        <w:tc>
          <w:tcPr>
            <w:tcW w:w="1395" w:type="dxa"/>
            <w:tcBorders>
              <w:bottom w:val="single" w:sz="6" w:space="0" w:color="000000"/>
              <w:right w:val="single" w:sz="6" w:space="0" w:color="000000"/>
            </w:tcBorders>
            <w:vAlign w:val="center"/>
          </w:tcPr>
          <w:p w14:paraId="17A909EB" w14:textId="77777777" w:rsidR="007D706A" w:rsidRDefault="007D706A" w:rsidP="00F70508">
            <w:pPr>
              <w:pStyle w:val="ParagraphStyle6"/>
              <w:rPr>
                <w:rStyle w:val="CharacterStyle6"/>
              </w:rPr>
            </w:pPr>
            <w:r>
              <w:rPr>
                <w:rStyle w:val="CharacterStyle6"/>
              </w:rPr>
              <w:t>739.000,00</w:t>
            </w:r>
          </w:p>
        </w:tc>
        <w:tc>
          <w:tcPr>
            <w:tcW w:w="1395" w:type="dxa"/>
            <w:tcBorders>
              <w:bottom w:val="single" w:sz="6" w:space="0" w:color="000000"/>
              <w:right w:val="single" w:sz="6" w:space="0" w:color="000000"/>
            </w:tcBorders>
            <w:vAlign w:val="center"/>
          </w:tcPr>
          <w:p w14:paraId="4AEE2B20" w14:textId="77777777" w:rsidR="007D706A" w:rsidRDefault="007D706A" w:rsidP="00F70508">
            <w:pPr>
              <w:pStyle w:val="ParagraphStyle6"/>
              <w:rPr>
                <w:rStyle w:val="CharacterStyle6"/>
              </w:rPr>
            </w:pPr>
            <w:r>
              <w:rPr>
                <w:rStyle w:val="CharacterStyle6"/>
              </w:rPr>
              <w:t>739.000,00</w:t>
            </w:r>
          </w:p>
        </w:tc>
      </w:tr>
      <w:tr w:rsidR="007D706A" w14:paraId="7C5D16F6" w14:textId="77777777" w:rsidTr="00F70508">
        <w:trPr>
          <w:trHeight w:val="375"/>
        </w:trPr>
        <w:tc>
          <w:tcPr>
            <w:tcW w:w="2880" w:type="dxa"/>
            <w:tcBorders>
              <w:left w:val="single" w:sz="6" w:space="0" w:color="000000"/>
              <w:bottom w:val="single" w:sz="6" w:space="0" w:color="000000"/>
              <w:right w:val="single" w:sz="6" w:space="0" w:color="000000"/>
            </w:tcBorders>
            <w:vAlign w:val="center"/>
          </w:tcPr>
          <w:p w14:paraId="50BE4424" w14:textId="77777777" w:rsidR="007D706A" w:rsidRDefault="007D706A" w:rsidP="00F70508">
            <w:pPr>
              <w:pStyle w:val="ParagraphStyle4"/>
              <w:rPr>
                <w:rStyle w:val="CharacterStyle4"/>
              </w:rPr>
            </w:pPr>
            <w:r>
              <w:rPr>
                <w:rStyle w:val="CharacterStyle4"/>
              </w:rPr>
              <w:t>Izvor financiranja 50</w:t>
            </w:r>
          </w:p>
        </w:tc>
        <w:tc>
          <w:tcPr>
            <w:tcW w:w="4995" w:type="dxa"/>
            <w:tcBorders>
              <w:bottom w:val="single" w:sz="6" w:space="0" w:color="000000"/>
              <w:right w:val="single" w:sz="6" w:space="0" w:color="000000"/>
            </w:tcBorders>
            <w:vAlign w:val="center"/>
          </w:tcPr>
          <w:p w14:paraId="2E48F611" w14:textId="77777777" w:rsidR="007D706A" w:rsidRDefault="007D706A" w:rsidP="00F70508">
            <w:pPr>
              <w:pStyle w:val="ParagraphStyle5"/>
              <w:rPr>
                <w:rStyle w:val="CharacterStyle5"/>
              </w:rPr>
            </w:pPr>
            <w:r>
              <w:rPr>
                <w:rStyle w:val="CharacterStyle5"/>
              </w:rPr>
              <w:t>Pomoći iz državnog proračuna</w:t>
            </w:r>
          </w:p>
        </w:tc>
        <w:tc>
          <w:tcPr>
            <w:tcW w:w="1395" w:type="dxa"/>
            <w:tcBorders>
              <w:bottom w:val="single" w:sz="6" w:space="0" w:color="000000"/>
              <w:right w:val="single" w:sz="6" w:space="0" w:color="000000"/>
            </w:tcBorders>
            <w:vAlign w:val="center"/>
          </w:tcPr>
          <w:p w14:paraId="4014AD9D"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745525CA"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0197BAB6" w14:textId="77777777" w:rsidR="007D706A" w:rsidRDefault="007D706A" w:rsidP="00F70508">
            <w:pPr>
              <w:pStyle w:val="ParagraphStyle6"/>
              <w:rPr>
                <w:rStyle w:val="CharacterStyle6"/>
              </w:rPr>
            </w:pPr>
            <w:r>
              <w:rPr>
                <w:rStyle w:val="CharacterStyle6"/>
              </w:rPr>
              <w:t>520,00</w:t>
            </w:r>
          </w:p>
        </w:tc>
        <w:tc>
          <w:tcPr>
            <w:tcW w:w="1395" w:type="dxa"/>
            <w:tcBorders>
              <w:bottom w:val="single" w:sz="6" w:space="0" w:color="000000"/>
              <w:right w:val="single" w:sz="6" w:space="0" w:color="000000"/>
            </w:tcBorders>
            <w:vAlign w:val="center"/>
          </w:tcPr>
          <w:p w14:paraId="34E28334" w14:textId="77777777" w:rsidR="007D706A" w:rsidRDefault="007D706A" w:rsidP="00F70508">
            <w:pPr>
              <w:pStyle w:val="ParagraphStyle6"/>
              <w:rPr>
                <w:rStyle w:val="CharacterStyle6"/>
              </w:rPr>
            </w:pPr>
            <w:r>
              <w:rPr>
                <w:rStyle w:val="CharacterStyle6"/>
              </w:rPr>
              <w:t>520,00</w:t>
            </w:r>
          </w:p>
        </w:tc>
        <w:tc>
          <w:tcPr>
            <w:tcW w:w="1395" w:type="dxa"/>
            <w:tcBorders>
              <w:bottom w:val="single" w:sz="6" w:space="0" w:color="000000"/>
              <w:right w:val="single" w:sz="6" w:space="0" w:color="000000"/>
            </w:tcBorders>
            <w:vAlign w:val="center"/>
          </w:tcPr>
          <w:p w14:paraId="70D02660" w14:textId="77777777" w:rsidR="007D706A" w:rsidRDefault="007D706A" w:rsidP="00F70508">
            <w:pPr>
              <w:pStyle w:val="ParagraphStyle6"/>
              <w:rPr>
                <w:rStyle w:val="CharacterStyle6"/>
              </w:rPr>
            </w:pPr>
            <w:r>
              <w:rPr>
                <w:rStyle w:val="CharacterStyle6"/>
              </w:rPr>
              <w:t>520,00</w:t>
            </w:r>
          </w:p>
        </w:tc>
      </w:tr>
      <w:tr w:rsidR="007D706A" w14:paraId="4338F10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A46DB1F" w14:textId="77777777" w:rsidR="007D706A" w:rsidRDefault="007D706A" w:rsidP="00F70508">
            <w:pPr>
              <w:pStyle w:val="ParagraphStyle4"/>
              <w:rPr>
                <w:rStyle w:val="CharacterStyle4"/>
              </w:rPr>
            </w:pPr>
            <w:r>
              <w:rPr>
                <w:rStyle w:val="CharacterStyle4"/>
              </w:rPr>
              <w:t>Izvor financiranja 52</w:t>
            </w:r>
          </w:p>
        </w:tc>
        <w:tc>
          <w:tcPr>
            <w:tcW w:w="4995" w:type="dxa"/>
            <w:tcBorders>
              <w:bottom w:val="single" w:sz="6" w:space="0" w:color="000000"/>
              <w:right w:val="single" w:sz="6" w:space="0" w:color="000000"/>
            </w:tcBorders>
            <w:vAlign w:val="center"/>
          </w:tcPr>
          <w:p w14:paraId="2B510290" w14:textId="77777777" w:rsidR="007D706A" w:rsidRDefault="007D706A" w:rsidP="00F70508">
            <w:pPr>
              <w:pStyle w:val="ParagraphStyle5"/>
              <w:rPr>
                <w:rStyle w:val="CharacterStyle5"/>
              </w:rPr>
            </w:pPr>
            <w:r>
              <w:rPr>
                <w:rStyle w:val="CharacterStyle5"/>
              </w:rPr>
              <w:t>Ostale pomoći</w:t>
            </w:r>
          </w:p>
        </w:tc>
        <w:tc>
          <w:tcPr>
            <w:tcW w:w="1395" w:type="dxa"/>
            <w:tcBorders>
              <w:bottom w:val="single" w:sz="6" w:space="0" w:color="000000"/>
              <w:right w:val="single" w:sz="6" w:space="0" w:color="000000"/>
            </w:tcBorders>
            <w:vAlign w:val="center"/>
          </w:tcPr>
          <w:p w14:paraId="5DDC2108"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60EC1E20" w14:textId="77777777" w:rsidR="007D706A" w:rsidRDefault="007D706A" w:rsidP="00F70508">
            <w:pPr>
              <w:pStyle w:val="ParagraphStyle6"/>
              <w:rPr>
                <w:rStyle w:val="CharacterStyle6"/>
              </w:rPr>
            </w:pPr>
            <w:r>
              <w:rPr>
                <w:rStyle w:val="CharacterStyle6"/>
              </w:rPr>
              <w:t>8.000,00</w:t>
            </w:r>
          </w:p>
        </w:tc>
        <w:tc>
          <w:tcPr>
            <w:tcW w:w="1395" w:type="dxa"/>
            <w:tcBorders>
              <w:bottom w:val="single" w:sz="6" w:space="0" w:color="000000"/>
              <w:right w:val="single" w:sz="6" w:space="0" w:color="000000"/>
            </w:tcBorders>
            <w:vAlign w:val="center"/>
          </w:tcPr>
          <w:p w14:paraId="5D4C92E1" w14:textId="77777777" w:rsidR="007D706A" w:rsidRDefault="007D706A" w:rsidP="00F70508">
            <w:pPr>
              <w:pStyle w:val="ParagraphStyle6"/>
              <w:rPr>
                <w:rStyle w:val="CharacterStyle6"/>
              </w:rPr>
            </w:pPr>
            <w:r>
              <w:rPr>
                <w:rStyle w:val="CharacterStyle6"/>
              </w:rPr>
              <w:t>4.000,00</w:t>
            </w:r>
          </w:p>
        </w:tc>
        <w:tc>
          <w:tcPr>
            <w:tcW w:w="1395" w:type="dxa"/>
            <w:tcBorders>
              <w:bottom w:val="single" w:sz="6" w:space="0" w:color="000000"/>
              <w:right w:val="single" w:sz="6" w:space="0" w:color="000000"/>
            </w:tcBorders>
            <w:vAlign w:val="center"/>
          </w:tcPr>
          <w:p w14:paraId="5DABB919" w14:textId="77777777" w:rsidR="007D706A" w:rsidRDefault="007D706A" w:rsidP="00F70508">
            <w:pPr>
              <w:pStyle w:val="ParagraphStyle6"/>
              <w:rPr>
                <w:rStyle w:val="CharacterStyle6"/>
              </w:rPr>
            </w:pPr>
            <w:r>
              <w:rPr>
                <w:rStyle w:val="CharacterStyle6"/>
              </w:rPr>
              <w:t>4.000,00</w:t>
            </w:r>
          </w:p>
        </w:tc>
        <w:tc>
          <w:tcPr>
            <w:tcW w:w="1395" w:type="dxa"/>
            <w:tcBorders>
              <w:bottom w:val="single" w:sz="6" w:space="0" w:color="000000"/>
              <w:right w:val="single" w:sz="6" w:space="0" w:color="000000"/>
            </w:tcBorders>
            <w:vAlign w:val="center"/>
          </w:tcPr>
          <w:p w14:paraId="1FE8DB7C" w14:textId="77777777" w:rsidR="007D706A" w:rsidRDefault="007D706A" w:rsidP="00F70508">
            <w:pPr>
              <w:pStyle w:val="ParagraphStyle6"/>
              <w:rPr>
                <w:rStyle w:val="CharacterStyle6"/>
              </w:rPr>
            </w:pPr>
            <w:r>
              <w:rPr>
                <w:rStyle w:val="CharacterStyle6"/>
              </w:rPr>
              <w:t>4.000,00</w:t>
            </w:r>
          </w:p>
        </w:tc>
      </w:tr>
      <w:tr w:rsidR="007D706A" w14:paraId="7CA48D1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A825561" w14:textId="77777777" w:rsidR="007D706A" w:rsidRDefault="007D706A" w:rsidP="00F70508">
            <w:pPr>
              <w:pStyle w:val="ParagraphStyle4"/>
              <w:rPr>
                <w:rStyle w:val="CharacterStyle4"/>
              </w:rPr>
            </w:pPr>
            <w:r>
              <w:rPr>
                <w:rStyle w:val="CharacterStyle4"/>
              </w:rPr>
              <w:t>Izvor financiranja 53</w:t>
            </w:r>
          </w:p>
        </w:tc>
        <w:tc>
          <w:tcPr>
            <w:tcW w:w="4995" w:type="dxa"/>
            <w:tcBorders>
              <w:bottom w:val="single" w:sz="6" w:space="0" w:color="000000"/>
              <w:right w:val="single" w:sz="6" w:space="0" w:color="000000"/>
            </w:tcBorders>
            <w:vAlign w:val="center"/>
          </w:tcPr>
          <w:p w14:paraId="751255E8" w14:textId="77777777" w:rsidR="007D706A" w:rsidRDefault="007D706A" w:rsidP="00F70508">
            <w:pPr>
              <w:pStyle w:val="ParagraphStyle5"/>
              <w:rPr>
                <w:rStyle w:val="CharacterStyle5"/>
              </w:rPr>
            </w:pPr>
            <w:r>
              <w:rPr>
                <w:rStyle w:val="CharacterStyle5"/>
              </w:rPr>
              <w:t>Proračuni, drugi nivoi - za posebne i / ili ugovorene namjene</w:t>
            </w:r>
          </w:p>
        </w:tc>
        <w:tc>
          <w:tcPr>
            <w:tcW w:w="1395" w:type="dxa"/>
            <w:tcBorders>
              <w:bottom w:val="single" w:sz="6" w:space="0" w:color="000000"/>
              <w:right w:val="single" w:sz="6" w:space="0" w:color="000000"/>
            </w:tcBorders>
            <w:vAlign w:val="center"/>
          </w:tcPr>
          <w:p w14:paraId="5B76A63B"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71D4167F" w14:textId="77777777" w:rsidR="007D706A" w:rsidRDefault="007D706A" w:rsidP="00F70508">
            <w:pPr>
              <w:pStyle w:val="ParagraphStyle6"/>
              <w:rPr>
                <w:rStyle w:val="CharacterStyle6"/>
              </w:rPr>
            </w:pPr>
            <w:r>
              <w:rPr>
                <w:rStyle w:val="CharacterStyle6"/>
              </w:rPr>
              <w:t>517,62</w:t>
            </w:r>
          </w:p>
        </w:tc>
        <w:tc>
          <w:tcPr>
            <w:tcW w:w="1395" w:type="dxa"/>
            <w:tcBorders>
              <w:bottom w:val="single" w:sz="6" w:space="0" w:color="000000"/>
              <w:right w:val="single" w:sz="6" w:space="0" w:color="000000"/>
            </w:tcBorders>
            <w:vAlign w:val="center"/>
          </w:tcPr>
          <w:p w14:paraId="70700A02"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153CE2F1"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5BDB06E6" w14:textId="77777777" w:rsidR="007D706A" w:rsidRDefault="007D706A" w:rsidP="00F70508">
            <w:pPr>
              <w:pStyle w:val="ParagraphStyle6"/>
              <w:rPr>
                <w:rStyle w:val="CharacterStyle6"/>
              </w:rPr>
            </w:pPr>
            <w:r>
              <w:rPr>
                <w:rStyle w:val="CharacterStyle6"/>
              </w:rPr>
              <w:t>0,00</w:t>
            </w:r>
          </w:p>
        </w:tc>
      </w:tr>
      <w:tr w:rsidR="007D706A" w14:paraId="0796201B" w14:textId="77777777" w:rsidTr="00F70508">
        <w:trPr>
          <w:trHeight w:val="405"/>
        </w:trPr>
        <w:tc>
          <w:tcPr>
            <w:tcW w:w="2880" w:type="dxa"/>
            <w:tcBorders>
              <w:left w:val="single" w:sz="6" w:space="0" w:color="000000"/>
              <w:bottom w:val="single" w:sz="6" w:space="0" w:color="000000"/>
              <w:right w:val="single" w:sz="6" w:space="0" w:color="000000"/>
            </w:tcBorders>
            <w:vAlign w:val="center"/>
          </w:tcPr>
          <w:p w14:paraId="4FC61FB2" w14:textId="77777777" w:rsidR="007D706A" w:rsidRDefault="007D706A" w:rsidP="00F70508">
            <w:pPr>
              <w:pStyle w:val="ParagraphStyle4"/>
              <w:rPr>
                <w:rStyle w:val="CharacterStyle4"/>
              </w:rPr>
            </w:pPr>
            <w:r>
              <w:rPr>
                <w:rStyle w:val="CharacterStyle4"/>
              </w:rPr>
              <w:t>Izvor financiranja 71</w:t>
            </w:r>
          </w:p>
        </w:tc>
        <w:tc>
          <w:tcPr>
            <w:tcW w:w="4995" w:type="dxa"/>
            <w:tcBorders>
              <w:bottom w:val="single" w:sz="6" w:space="0" w:color="000000"/>
              <w:right w:val="single" w:sz="6" w:space="0" w:color="000000"/>
            </w:tcBorders>
            <w:vAlign w:val="center"/>
          </w:tcPr>
          <w:p w14:paraId="7EBAD63D" w14:textId="77777777" w:rsidR="007D706A" w:rsidRDefault="007D706A" w:rsidP="00F70508">
            <w:pPr>
              <w:pStyle w:val="ParagraphStyle5"/>
              <w:rPr>
                <w:rStyle w:val="CharacterStyle5"/>
              </w:rPr>
            </w:pPr>
            <w:r>
              <w:rPr>
                <w:rStyle w:val="CharacterStyle5"/>
              </w:rPr>
              <w:t>Prihodi od prodaje ili zamjene nefinancijske imovine i naknade s naslova osiguranja</w:t>
            </w:r>
          </w:p>
        </w:tc>
        <w:tc>
          <w:tcPr>
            <w:tcW w:w="1395" w:type="dxa"/>
            <w:tcBorders>
              <w:bottom w:val="single" w:sz="6" w:space="0" w:color="000000"/>
              <w:right w:val="single" w:sz="6" w:space="0" w:color="000000"/>
            </w:tcBorders>
            <w:vAlign w:val="center"/>
          </w:tcPr>
          <w:p w14:paraId="60B9D58C"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54425192" w14:textId="77777777" w:rsidR="007D706A" w:rsidRDefault="007D706A" w:rsidP="00F70508">
            <w:pPr>
              <w:pStyle w:val="ParagraphStyle6"/>
              <w:rPr>
                <w:rStyle w:val="CharacterStyle6"/>
              </w:rPr>
            </w:pPr>
            <w:r>
              <w:rPr>
                <w:rStyle w:val="CharacterStyle6"/>
              </w:rPr>
              <w:t>50.000,00</w:t>
            </w:r>
          </w:p>
        </w:tc>
        <w:tc>
          <w:tcPr>
            <w:tcW w:w="1395" w:type="dxa"/>
            <w:tcBorders>
              <w:bottom w:val="single" w:sz="6" w:space="0" w:color="000000"/>
              <w:right w:val="single" w:sz="6" w:space="0" w:color="000000"/>
            </w:tcBorders>
            <w:vAlign w:val="center"/>
          </w:tcPr>
          <w:p w14:paraId="0F403598"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2D54BCBF"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26D9AB87" w14:textId="77777777" w:rsidR="007D706A" w:rsidRDefault="007D706A" w:rsidP="00F70508">
            <w:pPr>
              <w:pStyle w:val="ParagraphStyle6"/>
              <w:rPr>
                <w:rStyle w:val="CharacterStyle6"/>
              </w:rPr>
            </w:pPr>
            <w:r>
              <w:rPr>
                <w:rStyle w:val="CharacterStyle6"/>
              </w:rPr>
              <w:t>0,00</w:t>
            </w:r>
          </w:p>
        </w:tc>
      </w:tr>
      <w:tr w:rsidR="007D706A" w14:paraId="370D1AE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55A58EB" w14:textId="77777777" w:rsidR="007D706A" w:rsidRDefault="007D706A" w:rsidP="00F70508">
            <w:pPr>
              <w:pStyle w:val="ParagraphStyle4"/>
              <w:rPr>
                <w:rStyle w:val="CharacterStyle4"/>
              </w:rPr>
            </w:pPr>
            <w:r>
              <w:rPr>
                <w:rStyle w:val="CharacterStyle4"/>
              </w:rPr>
              <w:t>PROGRAM    1033</w:t>
            </w:r>
          </w:p>
        </w:tc>
        <w:tc>
          <w:tcPr>
            <w:tcW w:w="4995" w:type="dxa"/>
            <w:tcBorders>
              <w:bottom w:val="single" w:sz="6" w:space="0" w:color="000000"/>
              <w:right w:val="single" w:sz="6" w:space="0" w:color="000000"/>
            </w:tcBorders>
            <w:vAlign w:val="center"/>
          </w:tcPr>
          <w:p w14:paraId="1611F030" w14:textId="77777777" w:rsidR="007D706A" w:rsidRDefault="007D706A" w:rsidP="00F70508">
            <w:pPr>
              <w:pStyle w:val="ParagraphStyle5"/>
              <w:rPr>
                <w:rStyle w:val="CharacterStyle5"/>
              </w:rPr>
            </w:pPr>
            <w:r>
              <w:rPr>
                <w:rStyle w:val="CharacterStyle5"/>
              </w:rPr>
              <w:t>JAVNE POTREBE U ZDRAVSTVU</w:t>
            </w:r>
          </w:p>
        </w:tc>
        <w:tc>
          <w:tcPr>
            <w:tcW w:w="1395" w:type="dxa"/>
            <w:tcBorders>
              <w:bottom w:val="single" w:sz="6" w:space="0" w:color="000000"/>
              <w:right w:val="single" w:sz="6" w:space="0" w:color="000000"/>
            </w:tcBorders>
            <w:vAlign w:val="center"/>
          </w:tcPr>
          <w:p w14:paraId="4938197C"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08367ECB" w14:textId="77777777" w:rsidR="007D706A" w:rsidRDefault="007D706A" w:rsidP="00F70508">
            <w:pPr>
              <w:pStyle w:val="ParagraphStyle6"/>
              <w:rPr>
                <w:rStyle w:val="CharacterStyle6"/>
              </w:rPr>
            </w:pPr>
            <w:r>
              <w:rPr>
                <w:rStyle w:val="CharacterStyle6"/>
              </w:rPr>
              <w:t>466.278,00</w:t>
            </w:r>
          </w:p>
        </w:tc>
        <w:tc>
          <w:tcPr>
            <w:tcW w:w="1395" w:type="dxa"/>
            <w:tcBorders>
              <w:bottom w:val="single" w:sz="6" w:space="0" w:color="000000"/>
              <w:right w:val="single" w:sz="6" w:space="0" w:color="000000"/>
            </w:tcBorders>
            <w:vAlign w:val="center"/>
          </w:tcPr>
          <w:p w14:paraId="2DAAF5EF" w14:textId="77777777" w:rsidR="007D706A" w:rsidRDefault="007D706A" w:rsidP="00F70508">
            <w:pPr>
              <w:pStyle w:val="ParagraphStyle6"/>
              <w:rPr>
                <w:rStyle w:val="CharacterStyle6"/>
              </w:rPr>
            </w:pPr>
            <w:r>
              <w:rPr>
                <w:rStyle w:val="CharacterStyle6"/>
              </w:rPr>
              <w:t>477.598,00</w:t>
            </w:r>
          </w:p>
        </w:tc>
        <w:tc>
          <w:tcPr>
            <w:tcW w:w="1395" w:type="dxa"/>
            <w:tcBorders>
              <w:bottom w:val="single" w:sz="6" w:space="0" w:color="000000"/>
              <w:right w:val="single" w:sz="6" w:space="0" w:color="000000"/>
            </w:tcBorders>
            <w:vAlign w:val="center"/>
          </w:tcPr>
          <w:p w14:paraId="12A9908B" w14:textId="77777777" w:rsidR="007D706A" w:rsidRDefault="007D706A" w:rsidP="00F70508">
            <w:pPr>
              <w:pStyle w:val="ParagraphStyle6"/>
              <w:rPr>
                <w:rStyle w:val="CharacterStyle6"/>
              </w:rPr>
            </w:pPr>
            <w:r>
              <w:rPr>
                <w:rStyle w:val="CharacterStyle6"/>
              </w:rPr>
              <w:t>459.238,00</w:t>
            </w:r>
          </w:p>
        </w:tc>
        <w:tc>
          <w:tcPr>
            <w:tcW w:w="1395" w:type="dxa"/>
            <w:tcBorders>
              <w:bottom w:val="single" w:sz="6" w:space="0" w:color="000000"/>
              <w:right w:val="single" w:sz="6" w:space="0" w:color="000000"/>
            </w:tcBorders>
            <w:vAlign w:val="center"/>
          </w:tcPr>
          <w:p w14:paraId="0E1AD940" w14:textId="77777777" w:rsidR="007D706A" w:rsidRDefault="007D706A" w:rsidP="00F70508">
            <w:pPr>
              <w:pStyle w:val="ParagraphStyle6"/>
              <w:rPr>
                <w:rStyle w:val="CharacterStyle6"/>
              </w:rPr>
            </w:pPr>
            <w:r>
              <w:rPr>
                <w:rStyle w:val="CharacterStyle6"/>
              </w:rPr>
              <w:t>459.462,00</w:t>
            </w:r>
          </w:p>
        </w:tc>
      </w:tr>
      <w:tr w:rsidR="007D706A" w14:paraId="730E091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CCEFC86" w14:textId="77777777" w:rsidR="007D706A" w:rsidRDefault="007D706A" w:rsidP="00F70508">
            <w:pPr>
              <w:pStyle w:val="ParagraphStyle4"/>
              <w:rPr>
                <w:rStyle w:val="CharacterStyle4"/>
              </w:rPr>
            </w:pPr>
            <w:r>
              <w:rPr>
                <w:rStyle w:val="CharacterStyle4"/>
              </w:rPr>
              <w:lastRenderedPageBreak/>
              <w:t>Aktivnost A103301</w:t>
            </w:r>
          </w:p>
        </w:tc>
        <w:tc>
          <w:tcPr>
            <w:tcW w:w="4995" w:type="dxa"/>
            <w:tcBorders>
              <w:bottom w:val="single" w:sz="6" w:space="0" w:color="000000"/>
              <w:right w:val="single" w:sz="6" w:space="0" w:color="000000"/>
            </w:tcBorders>
            <w:vAlign w:val="center"/>
          </w:tcPr>
          <w:p w14:paraId="7BBA4EE8" w14:textId="77777777" w:rsidR="007D706A" w:rsidRDefault="007D706A" w:rsidP="00F70508">
            <w:pPr>
              <w:pStyle w:val="ParagraphStyle5"/>
              <w:rPr>
                <w:rStyle w:val="CharacterStyle5"/>
              </w:rPr>
            </w:pPr>
            <w:r>
              <w:rPr>
                <w:rStyle w:val="CharacterStyle5"/>
              </w:rPr>
              <w:t>PREVENTIVNI PREGLEDI - MAMOGRAFIJA</w:t>
            </w:r>
          </w:p>
        </w:tc>
        <w:tc>
          <w:tcPr>
            <w:tcW w:w="1395" w:type="dxa"/>
            <w:tcBorders>
              <w:bottom w:val="single" w:sz="6" w:space="0" w:color="000000"/>
              <w:right w:val="single" w:sz="6" w:space="0" w:color="000000"/>
            </w:tcBorders>
            <w:vAlign w:val="center"/>
          </w:tcPr>
          <w:p w14:paraId="35721D42"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75D933EE" w14:textId="77777777" w:rsidR="007D706A" w:rsidRDefault="007D706A" w:rsidP="00F70508">
            <w:pPr>
              <w:pStyle w:val="ParagraphStyle6"/>
              <w:rPr>
                <w:rStyle w:val="CharacterStyle6"/>
              </w:rPr>
            </w:pPr>
            <w:r>
              <w:rPr>
                <w:rStyle w:val="CharacterStyle6"/>
              </w:rPr>
              <w:t>4.000,00</w:t>
            </w:r>
          </w:p>
        </w:tc>
        <w:tc>
          <w:tcPr>
            <w:tcW w:w="1395" w:type="dxa"/>
            <w:tcBorders>
              <w:bottom w:val="single" w:sz="6" w:space="0" w:color="000000"/>
              <w:right w:val="single" w:sz="6" w:space="0" w:color="000000"/>
            </w:tcBorders>
            <w:vAlign w:val="center"/>
          </w:tcPr>
          <w:p w14:paraId="28AA3231"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245437AD"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4DE8B253" w14:textId="77777777" w:rsidR="007D706A" w:rsidRDefault="007D706A" w:rsidP="00F70508">
            <w:pPr>
              <w:pStyle w:val="ParagraphStyle6"/>
              <w:rPr>
                <w:rStyle w:val="CharacterStyle6"/>
              </w:rPr>
            </w:pPr>
            <w:r>
              <w:rPr>
                <w:rStyle w:val="CharacterStyle6"/>
              </w:rPr>
              <w:t>0,00</w:t>
            </w:r>
          </w:p>
        </w:tc>
      </w:tr>
      <w:tr w:rsidR="007D706A" w14:paraId="4A59C46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C80C479"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72FE4A78"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207BC8D2"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7D3D111" w14:textId="77777777" w:rsidR="007D706A" w:rsidRDefault="007D706A" w:rsidP="00F70508">
            <w:pPr>
              <w:pStyle w:val="ParagraphStyle9"/>
              <w:rPr>
                <w:rStyle w:val="CharacterStyle9"/>
              </w:rPr>
            </w:pPr>
            <w:r>
              <w:rPr>
                <w:rStyle w:val="CharacterStyle9"/>
              </w:rPr>
              <w:t>4.000,00</w:t>
            </w:r>
          </w:p>
        </w:tc>
        <w:tc>
          <w:tcPr>
            <w:tcW w:w="1395" w:type="dxa"/>
            <w:tcBorders>
              <w:bottom w:val="single" w:sz="6" w:space="0" w:color="000000"/>
              <w:right w:val="single" w:sz="6" w:space="0" w:color="000000"/>
            </w:tcBorders>
            <w:vAlign w:val="center"/>
          </w:tcPr>
          <w:p w14:paraId="24085C88"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FD2A1B3"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E923720" w14:textId="77777777" w:rsidR="007D706A" w:rsidRDefault="007D706A" w:rsidP="00F70508">
            <w:pPr>
              <w:pStyle w:val="ParagraphStyle9"/>
              <w:rPr>
                <w:rStyle w:val="CharacterStyle9"/>
              </w:rPr>
            </w:pPr>
            <w:r>
              <w:rPr>
                <w:rStyle w:val="CharacterStyle9"/>
              </w:rPr>
              <w:t>0,00</w:t>
            </w:r>
          </w:p>
        </w:tc>
      </w:tr>
      <w:tr w:rsidR="007D706A" w14:paraId="0C3728F6"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0D188E6"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317DD0B3"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42BC214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65611EA" w14:textId="77777777" w:rsidR="007D706A" w:rsidRDefault="007D706A" w:rsidP="00F70508">
            <w:pPr>
              <w:pStyle w:val="ParagraphStyle12"/>
              <w:rPr>
                <w:rStyle w:val="CharacterStyle12"/>
              </w:rPr>
            </w:pPr>
            <w:r>
              <w:rPr>
                <w:rStyle w:val="CharacterStyle12"/>
              </w:rPr>
              <w:t>4.000,00</w:t>
            </w:r>
          </w:p>
        </w:tc>
        <w:tc>
          <w:tcPr>
            <w:tcW w:w="1395" w:type="dxa"/>
            <w:tcBorders>
              <w:bottom w:val="single" w:sz="6" w:space="0" w:color="000000"/>
              <w:right w:val="single" w:sz="6" w:space="0" w:color="000000"/>
            </w:tcBorders>
            <w:vAlign w:val="center"/>
          </w:tcPr>
          <w:p w14:paraId="6EFA056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8AE915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C09BA27" w14:textId="77777777" w:rsidR="007D706A" w:rsidRDefault="007D706A" w:rsidP="00F70508">
            <w:pPr>
              <w:pStyle w:val="ParagraphStyle12"/>
              <w:rPr>
                <w:rStyle w:val="CharacterStyle12"/>
              </w:rPr>
            </w:pPr>
            <w:r>
              <w:rPr>
                <w:rStyle w:val="CharacterStyle12"/>
              </w:rPr>
              <w:t>0,00</w:t>
            </w:r>
          </w:p>
        </w:tc>
      </w:tr>
      <w:tr w:rsidR="007D706A" w14:paraId="3E7C1BB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B2B2116"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00A119EB"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3F6C067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E3FEE20" w14:textId="77777777" w:rsidR="007D706A" w:rsidRDefault="007D706A" w:rsidP="00F70508">
            <w:pPr>
              <w:pStyle w:val="ParagraphStyle12"/>
              <w:rPr>
                <w:rStyle w:val="CharacterStyle12"/>
              </w:rPr>
            </w:pPr>
            <w:r>
              <w:rPr>
                <w:rStyle w:val="CharacterStyle12"/>
              </w:rPr>
              <w:t>4.000,00</w:t>
            </w:r>
          </w:p>
        </w:tc>
        <w:tc>
          <w:tcPr>
            <w:tcW w:w="1395" w:type="dxa"/>
            <w:tcBorders>
              <w:bottom w:val="single" w:sz="6" w:space="0" w:color="000000"/>
              <w:right w:val="single" w:sz="6" w:space="0" w:color="000000"/>
            </w:tcBorders>
            <w:vAlign w:val="center"/>
          </w:tcPr>
          <w:p w14:paraId="659F151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2F920E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A6FCF9A" w14:textId="77777777" w:rsidR="007D706A" w:rsidRDefault="007D706A" w:rsidP="00F70508">
            <w:pPr>
              <w:pStyle w:val="ParagraphStyle12"/>
              <w:rPr>
                <w:rStyle w:val="CharacterStyle12"/>
              </w:rPr>
            </w:pPr>
            <w:r>
              <w:rPr>
                <w:rStyle w:val="CharacterStyle12"/>
              </w:rPr>
              <w:t>0,00</w:t>
            </w:r>
          </w:p>
        </w:tc>
      </w:tr>
      <w:tr w:rsidR="007D706A" w14:paraId="39FBD07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A3F197C" w14:textId="77777777" w:rsidR="007D706A" w:rsidRDefault="007D706A" w:rsidP="00F70508">
            <w:pPr>
              <w:pStyle w:val="ParagraphStyle4"/>
              <w:rPr>
                <w:rStyle w:val="CharacterStyle4"/>
              </w:rPr>
            </w:pPr>
            <w:r>
              <w:rPr>
                <w:rStyle w:val="CharacterStyle4"/>
              </w:rPr>
              <w:t>Aktivnost A103302</w:t>
            </w:r>
          </w:p>
        </w:tc>
        <w:tc>
          <w:tcPr>
            <w:tcW w:w="4995" w:type="dxa"/>
            <w:tcBorders>
              <w:bottom w:val="single" w:sz="6" w:space="0" w:color="000000"/>
              <w:right w:val="single" w:sz="6" w:space="0" w:color="000000"/>
            </w:tcBorders>
            <w:vAlign w:val="center"/>
          </w:tcPr>
          <w:p w14:paraId="21C18F21" w14:textId="77777777" w:rsidR="007D706A" w:rsidRDefault="007D706A" w:rsidP="00F70508">
            <w:pPr>
              <w:pStyle w:val="ParagraphStyle5"/>
              <w:rPr>
                <w:rStyle w:val="CharacterStyle5"/>
              </w:rPr>
            </w:pPr>
            <w:r>
              <w:rPr>
                <w:rStyle w:val="CharacterStyle5"/>
              </w:rPr>
              <w:t>PLAN ZDRAVSTVENIH MJERA</w:t>
            </w:r>
          </w:p>
        </w:tc>
        <w:tc>
          <w:tcPr>
            <w:tcW w:w="1395" w:type="dxa"/>
            <w:tcBorders>
              <w:bottom w:val="single" w:sz="6" w:space="0" w:color="000000"/>
              <w:right w:val="single" w:sz="6" w:space="0" w:color="000000"/>
            </w:tcBorders>
            <w:vAlign w:val="center"/>
          </w:tcPr>
          <w:p w14:paraId="199C99BE"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27C2BCB5" w14:textId="77777777" w:rsidR="007D706A" w:rsidRDefault="007D706A" w:rsidP="00F70508">
            <w:pPr>
              <w:pStyle w:val="ParagraphStyle6"/>
              <w:rPr>
                <w:rStyle w:val="CharacterStyle6"/>
              </w:rPr>
            </w:pPr>
            <w:r>
              <w:rPr>
                <w:rStyle w:val="CharacterStyle6"/>
              </w:rPr>
              <w:t>11.500,00</w:t>
            </w:r>
          </w:p>
        </w:tc>
        <w:tc>
          <w:tcPr>
            <w:tcW w:w="1395" w:type="dxa"/>
            <w:tcBorders>
              <w:bottom w:val="single" w:sz="6" w:space="0" w:color="000000"/>
              <w:right w:val="single" w:sz="6" w:space="0" w:color="000000"/>
            </w:tcBorders>
            <w:vAlign w:val="center"/>
          </w:tcPr>
          <w:p w14:paraId="74CE2572" w14:textId="77777777" w:rsidR="007D706A" w:rsidRDefault="007D706A" w:rsidP="00F70508">
            <w:pPr>
              <w:pStyle w:val="ParagraphStyle6"/>
              <w:rPr>
                <w:rStyle w:val="CharacterStyle6"/>
              </w:rPr>
            </w:pPr>
            <w:r>
              <w:rPr>
                <w:rStyle w:val="CharacterStyle6"/>
              </w:rPr>
              <w:t>16.200,00</w:t>
            </w:r>
          </w:p>
        </w:tc>
        <w:tc>
          <w:tcPr>
            <w:tcW w:w="1395" w:type="dxa"/>
            <w:tcBorders>
              <w:bottom w:val="single" w:sz="6" w:space="0" w:color="000000"/>
              <w:right w:val="single" w:sz="6" w:space="0" w:color="000000"/>
            </w:tcBorders>
            <w:vAlign w:val="center"/>
          </w:tcPr>
          <w:p w14:paraId="237F8160" w14:textId="77777777" w:rsidR="007D706A" w:rsidRDefault="007D706A" w:rsidP="00F70508">
            <w:pPr>
              <w:pStyle w:val="ParagraphStyle6"/>
              <w:rPr>
                <w:rStyle w:val="CharacterStyle6"/>
              </w:rPr>
            </w:pPr>
            <w:r>
              <w:rPr>
                <w:rStyle w:val="CharacterStyle6"/>
              </w:rPr>
              <w:t>16.200,00</w:t>
            </w:r>
          </w:p>
        </w:tc>
        <w:tc>
          <w:tcPr>
            <w:tcW w:w="1395" w:type="dxa"/>
            <w:tcBorders>
              <w:bottom w:val="single" w:sz="6" w:space="0" w:color="000000"/>
              <w:right w:val="single" w:sz="6" w:space="0" w:color="000000"/>
            </w:tcBorders>
            <w:vAlign w:val="center"/>
          </w:tcPr>
          <w:p w14:paraId="6D92F632" w14:textId="77777777" w:rsidR="007D706A" w:rsidRDefault="007D706A" w:rsidP="00F70508">
            <w:pPr>
              <w:pStyle w:val="ParagraphStyle6"/>
              <w:rPr>
                <w:rStyle w:val="CharacterStyle6"/>
              </w:rPr>
            </w:pPr>
            <w:r>
              <w:rPr>
                <w:rStyle w:val="CharacterStyle6"/>
              </w:rPr>
              <w:t>16.500,00</w:t>
            </w:r>
          </w:p>
        </w:tc>
      </w:tr>
      <w:tr w:rsidR="007D706A" w14:paraId="445AF1C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C78C863"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10AC3411"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39562932"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97745C5" w14:textId="77777777" w:rsidR="007D706A" w:rsidRDefault="007D706A" w:rsidP="00F70508">
            <w:pPr>
              <w:pStyle w:val="ParagraphStyle9"/>
              <w:rPr>
                <w:rStyle w:val="CharacterStyle9"/>
              </w:rPr>
            </w:pPr>
            <w:r>
              <w:rPr>
                <w:rStyle w:val="CharacterStyle9"/>
              </w:rPr>
              <w:t>11.500,00</w:t>
            </w:r>
          </w:p>
        </w:tc>
        <w:tc>
          <w:tcPr>
            <w:tcW w:w="1395" w:type="dxa"/>
            <w:tcBorders>
              <w:bottom w:val="single" w:sz="6" w:space="0" w:color="000000"/>
              <w:right w:val="single" w:sz="6" w:space="0" w:color="000000"/>
            </w:tcBorders>
            <w:vAlign w:val="center"/>
          </w:tcPr>
          <w:p w14:paraId="2FBC71E8" w14:textId="77777777" w:rsidR="007D706A" w:rsidRDefault="007D706A" w:rsidP="00F70508">
            <w:pPr>
              <w:pStyle w:val="ParagraphStyle9"/>
              <w:rPr>
                <w:rStyle w:val="CharacterStyle9"/>
              </w:rPr>
            </w:pPr>
            <w:r>
              <w:rPr>
                <w:rStyle w:val="CharacterStyle9"/>
              </w:rPr>
              <w:t>16.200,00</w:t>
            </w:r>
          </w:p>
        </w:tc>
        <w:tc>
          <w:tcPr>
            <w:tcW w:w="1395" w:type="dxa"/>
            <w:tcBorders>
              <w:bottom w:val="single" w:sz="6" w:space="0" w:color="000000"/>
              <w:right w:val="single" w:sz="6" w:space="0" w:color="000000"/>
            </w:tcBorders>
            <w:vAlign w:val="center"/>
          </w:tcPr>
          <w:p w14:paraId="6B6A94DD" w14:textId="77777777" w:rsidR="007D706A" w:rsidRDefault="007D706A" w:rsidP="00F70508">
            <w:pPr>
              <w:pStyle w:val="ParagraphStyle9"/>
              <w:rPr>
                <w:rStyle w:val="CharacterStyle9"/>
              </w:rPr>
            </w:pPr>
            <w:r>
              <w:rPr>
                <w:rStyle w:val="CharacterStyle9"/>
              </w:rPr>
              <w:t>16.200,00</w:t>
            </w:r>
          </w:p>
        </w:tc>
        <w:tc>
          <w:tcPr>
            <w:tcW w:w="1395" w:type="dxa"/>
            <w:tcBorders>
              <w:bottom w:val="single" w:sz="6" w:space="0" w:color="000000"/>
              <w:right w:val="single" w:sz="6" w:space="0" w:color="000000"/>
            </w:tcBorders>
            <w:vAlign w:val="center"/>
          </w:tcPr>
          <w:p w14:paraId="72DDDC57" w14:textId="77777777" w:rsidR="007D706A" w:rsidRDefault="007D706A" w:rsidP="00F70508">
            <w:pPr>
              <w:pStyle w:val="ParagraphStyle9"/>
              <w:rPr>
                <w:rStyle w:val="CharacterStyle9"/>
              </w:rPr>
            </w:pPr>
            <w:r>
              <w:rPr>
                <w:rStyle w:val="CharacterStyle9"/>
              </w:rPr>
              <w:t>16.500,00</w:t>
            </w:r>
          </w:p>
        </w:tc>
      </w:tr>
      <w:tr w:rsidR="007D706A" w14:paraId="5814377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FF99EED"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5652E92D"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45C83F9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E3C27F9" w14:textId="77777777" w:rsidR="007D706A" w:rsidRDefault="007D706A" w:rsidP="00F70508">
            <w:pPr>
              <w:pStyle w:val="ParagraphStyle12"/>
              <w:rPr>
                <w:rStyle w:val="CharacterStyle12"/>
              </w:rPr>
            </w:pPr>
            <w:r>
              <w:rPr>
                <w:rStyle w:val="CharacterStyle12"/>
              </w:rPr>
              <w:t>11.500,00</w:t>
            </w:r>
          </w:p>
        </w:tc>
        <w:tc>
          <w:tcPr>
            <w:tcW w:w="1395" w:type="dxa"/>
            <w:tcBorders>
              <w:bottom w:val="single" w:sz="6" w:space="0" w:color="000000"/>
              <w:right w:val="single" w:sz="6" w:space="0" w:color="000000"/>
            </w:tcBorders>
            <w:vAlign w:val="center"/>
          </w:tcPr>
          <w:p w14:paraId="54D64410" w14:textId="77777777" w:rsidR="007D706A" w:rsidRDefault="007D706A" w:rsidP="00F70508">
            <w:pPr>
              <w:pStyle w:val="ParagraphStyle12"/>
              <w:rPr>
                <w:rStyle w:val="CharacterStyle12"/>
              </w:rPr>
            </w:pPr>
            <w:r>
              <w:rPr>
                <w:rStyle w:val="CharacterStyle12"/>
              </w:rPr>
              <w:t>16.200,00</w:t>
            </w:r>
          </w:p>
        </w:tc>
        <w:tc>
          <w:tcPr>
            <w:tcW w:w="1395" w:type="dxa"/>
            <w:tcBorders>
              <w:bottom w:val="single" w:sz="6" w:space="0" w:color="000000"/>
              <w:right w:val="single" w:sz="6" w:space="0" w:color="000000"/>
            </w:tcBorders>
            <w:vAlign w:val="center"/>
          </w:tcPr>
          <w:p w14:paraId="3AFDF407" w14:textId="77777777" w:rsidR="007D706A" w:rsidRDefault="007D706A" w:rsidP="00F70508">
            <w:pPr>
              <w:pStyle w:val="ParagraphStyle12"/>
              <w:rPr>
                <w:rStyle w:val="CharacterStyle12"/>
              </w:rPr>
            </w:pPr>
            <w:r>
              <w:rPr>
                <w:rStyle w:val="CharacterStyle12"/>
              </w:rPr>
              <w:t>16.200,00</w:t>
            </w:r>
          </w:p>
        </w:tc>
        <w:tc>
          <w:tcPr>
            <w:tcW w:w="1395" w:type="dxa"/>
            <w:tcBorders>
              <w:bottom w:val="single" w:sz="6" w:space="0" w:color="000000"/>
              <w:right w:val="single" w:sz="6" w:space="0" w:color="000000"/>
            </w:tcBorders>
            <w:vAlign w:val="center"/>
          </w:tcPr>
          <w:p w14:paraId="3B877EB2" w14:textId="77777777" w:rsidR="007D706A" w:rsidRDefault="007D706A" w:rsidP="00F70508">
            <w:pPr>
              <w:pStyle w:val="ParagraphStyle12"/>
              <w:rPr>
                <w:rStyle w:val="CharacterStyle12"/>
              </w:rPr>
            </w:pPr>
            <w:r>
              <w:rPr>
                <w:rStyle w:val="CharacterStyle12"/>
              </w:rPr>
              <w:t>16.500,00</w:t>
            </w:r>
          </w:p>
        </w:tc>
      </w:tr>
      <w:tr w:rsidR="007D706A" w14:paraId="6D3C7C5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AA006E1"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08349FE3"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65E6792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5C24453" w14:textId="77777777" w:rsidR="007D706A" w:rsidRDefault="007D706A" w:rsidP="00F70508">
            <w:pPr>
              <w:pStyle w:val="ParagraphStyle12"/>
              <w:rPr>
                <w:rStyle w:val="CharacterStyle12"/>
              </w:rPr>
            </w:pPr>
            <w:r>
              <w:rPr>
                <w:rStyle w:val="CharacterStyle12"/>
              </w:rPr>
              <w:t>11.500,00</w:t>
            </w:r>
          </w:p>
        </w:tc>
        <w:tc>
          <w:tcPr>
            <w:tcW w:w="1395" w:type="dxa"/>
            <w:tcBorders>
              <w:bottom w:val="single" w:sz="6" w:space="0" w:color="000000"/>
              <w:right w:val="single" w:sz="6" w:space="0" w:color="000000"/>
            </w:tcBorders>
            <w:vAlign w:val="center"/>
          </w:tcPr>
          <w:p w14:paraId="18C413B9" w14:textId="77777777" w:rsidR="007D706A" w:rsidRDefault="007D706A" w:rsidP="00F70508">
            <w:pPr>
              <w:pStyle w:val="ParagraphStyle12"/>
              <w:rPr>
                <w:rStyle w:val="CharacterStyle12"/>
              </w:rPr>
            </w:pPr>
            <w:r>
              <w:rPr>
                <w:rStyle w:val="CharacterStyle12"/>
              </w:rPr>
              <w:t>16.200,00</w:t>
            </w:r>
          </w:p>
        </w:tc>
        <w:tc>
          <w:tcPr>
            <w:tcW w:w="1395" w:type="dxa"/>
            <w:tcBorders>
              <w:bottom w:val="single" w:sz="6" w:space="0" w:color="000000"/>
              <w:right w:val="single" w:sz="6" w:space="0" w:color="000000"/>
            </w:tcBorders>
            <w:vAlign w:val="center"/>
          </w:tcPr>
          <w:p w14:paraId="35356571" w14:textId="77777777" w:rsidR="007D706A" w:rsidRDefault="007D706A" w:rsidP="00F70508">
            <w:pPr>
              <w:pStyle w:val="ParagraphStyle12"/>
              <w:rPr>
                <w:rStyle w:val="CharacterStyle12"/>
              </w:rPr>
            </w:pPr>
            <w:r>
              <w:rPr>
                <w:rStyle w:val="CharacterStyle12"/>
              </w:rPr>
              <w:t>16.200,00</w:t>
            </w:r>
          </w:p>
        </w:tc>
        <w:tc>
          <w:tcPr>
            <w:tcW w:w="1395" w:type="dxa"/>
            <w:tcBorders>
              <w:bottom w:val="single" w:sz="6" w:space="0" w:color="000000"/>
              <w:right w:val="single" w:sz="6" w:space="0" w:color="000000"/>
            </w:tcBorders>
            <w:vAlign w:val="center"/>
          </w:tcPr>
          <w:p w14:paraId="5C817398" w14:textId="77777777" w:rsidR="007D706A" w:rsidRDefault="007D706A" w:rsidP="00F70508">
            <w:pPr>
              <w:pStyle w:val="ParagraphStyle12"/>
              <w:rPr>
                <w:rStyle w:val="CharacterStyle12"/>
              </w:rPr>
            </w:pPr>
            <w:r>
              <w:rPr>
                <w:rStyle w:val="CharacterStyle12"/>
              </w:rPr>
              <w:t>16.500,00</w:t>
            </w:r>
          </w:p>
        </w:tc>
      </w:tr>
      <w:tr w:rsidR="007D706A" w14:paraId="5E311D5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47BD613" w14:textId="77777777" w:rsidR="007D706A" w:rsidRDefault="007D706A" w:rsidP="00F70508">
            <w:pPr>
              <w:pStyle w:val="ParagraphStyle4"/>
              <w:rPr>
                <w:rStyle w:val="CharacterStyle4"/>
              </w:rPr>
            </w:pPr>
            <w:r>
              <w:rPr>
                <w:rStyle w:val="CharacterStyle4"/>
              </w:rPr>
              <w:t>Aktivnost A103303</w:t>
            </w:r>
          </w:p>
        </w:tc>
        <w:tc>
          <w:tcPr>
            <w:tcW w:w="4995" w:type="dxa"/>
            <w:tcBorders>
              <w:bottom w:val="single" w:sz="6" w:space="0" w:color="000000"/>
              <w:right w:val="single" w:sz="6" w:space="0" w:color="000000"/>
            </w:tcBorders>
            <w:vAlign w:val="center"/>
          </w:tcPr>
          <w:p w14:paraId="5DD06C18" w14:textId="77777777" w:rsidR="007D706A" w:rsidRDefault="007D706A" w:rsidP="00F70508">
            <w:pPr>
              <w:pStyle w:val="ParagraphStyle5"/>
              <w:rPr>
                <w:rStyle w:val="CharacterStyle5"/>
              </w:rPr>
            </w:pPr>
            <w:r>
              <w:rPr>
                <w:rStyle w:val="CharacterStyle5"/>
              </w:rPr>
              <w:t>SUFINANCIRANJE TEAMA HITNE MEDICINSKE POMOĆI</w:t>
            </w:r>
          </w:p>
        </w:tc>
        <w:tc>
          <w:tcPr>
            <w:tcW w:w="1395" w:type="dxa"/>
            <w:tcBorders>
              <w:bottom w:val="single" w:sz="6" w:space="0" w:color="000000"/>
              <w:right w:val="single" w:sz="6" w:space="0" w:color="000000"/>
            </w:tcBorders>
            <w:vAlign w:val="center"/>
          </w:tcPr>
          <w:p w14:paraId="1FCFC2B7"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006DB2D6" w14:textId="77777777" w:rsidR="007D706A" w:rsidRDefault="007D706A" w:rsidP="00F70508">
            <w:pPr>
              <w:pStyle w:val="ParagraphStyle6"/>
              <w:rPr>
                <w:rStyle w:val="CharacterStyle6"/>
              </w:rPr>
            </w:pPr>
            <w:r>
              <w:rPr>
                <w:rStyle w:val="CharacterStyle6"/>
              </w:rPr>
              <w:t>288.628,00</w:t>
            </w:r>
          </w:p>
        </w:tc>
        <w:tc>
          <w:tcPr>
            <w:tcW w:w="1395" w:type="dxa"/>
            <w:tcBorders>
              <w:bottom w:val="single" w:sz="6" w:space="0" w:color="000000"/>
              <w:right w:val="single" w:sz="6" w:space="0" w:color="000000"/>
            </w:tcBorders>
            <w:vAlign w:val="center"/>
          </w:tcPr>
          <w:p w14:paraId="0B7272BE" w14:textId="77777777" w:rsidR="007D706A" w:rsidRDefault="007D706A" w:rsidP="00F70508">
            <w:pPr>
              <w:pStyle w:val="ParagraphStyle6"/>
              <w:rPr>
                <w:rStyle w:val="CharacterStyle6"/>
              </w:rPr>
            </w:pPr>
            <w:r>
              <w:rPr>
                <w:rStyle w:val="CharacterStyle6"/>
              </w:rPr>
              <w:t>288.628,00</w:t>
            </w:r>
          </w:p>
        </w:tc>
        <w:tc>
          <w:tcPr>
            <w:tcW w:w="1395" w:type="dxa"/>
            <w:tcBorders>
              <w:bottom w:val="single" w:sz="6" w:space="0" w:color="000000"/>
              <w:right w:val="single" w:sz="6" w:space="0" w:color="000000"/>
            </w:tcBorders>
            <w:vAlign w:val="center"/>
          </w:tcPr>
          <w:p w14:paraId="40A8A2F0" w14:textId="77777777" w:rsidR="007D706A" w:rsidRDefault="007D706A" w:rsidP="00F70508">
            <w:pPr>
              <w:pStyle w:val="ParagraphStyle6"/>
              <w:rPr>
                <w:rStyle w:val="CharacterStyle6"/>
              </w:rPr>
            </w:pPr>
            <w:r>
              <w:rPr>
                <w:rStyle w:val="CharacterStyle6"/>
              </w:rPr>
              <w:t>290.000,00</w:t>
            </w:r>
          </w:p>
        </w:tc>
        <w:tc>
          <w:tcPr>
            <w:tcW w:w="1395" w:type="dxa"/>
            <w:tcBorders>
              <w:bottom w:val="single" w:sz="6" w:space="0" w:color="000000"/>
              <w:right w:val="single" w:sz="6" w:space="0" w:color="000000"/>
            </w:tcBorders>
            <w:vAlign w:val="center"/>
          </w:tcPr>
          <w:p w14:paraId="207FB435" w14:textId="77777777" w:rsidR="007D706A" w:rsidRDefault="007D706A" w:rsidP="00F70508">
            <w:pPr>
              <w:pStyle w:val="ParagraphStyle6"/>
              <w:rPr>
                <w:rStyle w:val="CharacterStyle6"/>
              </w:rPr>
            </w:pPr>
            <w:r>
              <w:rPr>
                <w:rStyle w:val="CharacterStyle6"/>
              </w:rPr>
              <w:t>290.000,00</w:t>
            </w:r>
          </w:p>
        </w:tc>
      </w:tr>
      <w:tr w:rsidR="007D706A" w14:paraId="6AA584E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D3F3C0B" w14:textId="77777777" w:rsidR="007D706A" w:rsidRDefault="007D706A" w:rsidP="00F70508">
            <w:pPr>
              <w:pStyle w:val="ParagraphStyle7"/>
              <w:rPr>
                <w:rStyle w:val="CharacterStyle7"/>
              </w:rPr>
            </w:pPr>
            <w:r>
              <w:rPr>
                <w:rStyle w:val="CharacterStyle7"/>
              </w:rPr>
              <w:t>Izvor financiranja 41</w:t>
            </w:r>
          </w:p>
        </w:tc>
        <w:tc>
          <w:tcPr>
            <w:tcW w:w="4995" w:type="dxa"/>
            <w:tcBorders>
              <w:bottom w:val="single" w:sz="6" w:space="0" w:color="000000"/>
              <w:right w:val="single" w:sz="6" w:space="0" w:color="000000"/>
            </w:tcBorders>
            <w:vAlign w:val="center"/>
          </w:tcPr>
          <w:p w14:paraId="1DEF36A2" w14:textId="77777777" w:rsidR="007D706A" w:rsidRDefault="007D706A" w:rsidP="00F70508">
            <w:pPr>
              <w:pStyle w:val="ParagraphStyle8"/>
              <w:rPr>
                <w:rStyle w:val="CharacterStyle8"/>
              </w:rPr>
            </w:pPr>
            <w:r>
              <w:rPr>
                <w:rStyle w:val="CharacterStyle8"/>
              </w:rPr>
              <w:t>Prihodi za posebne namjene</w:t>
            </w:r>
          </w:p>
        </w:tc>
        <w:tc>
          <w:tcPr>
            <w:tcW w:w="1395" w:type="dxa"/>
            <w:tcBorders>
              <w:bottom w:val="single" w:sz="6" w:space="0" w:color="000000"/>
              <w:right w:val="single" w:sz="6" w:space="0" w:color="000000"/>
            </w:tcBorders>
            <w:vAlign w:val="center"/>
          </w:tcPr>
          <w:p w14:paraId="7D0FA703"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C8706D7" w14:textId="77777777" w:rsidR="007D706A" w:rsidRDefault="007D706A" w:rsidP="00F70508">
            <w:pPr>
              <w:pStyle w:val="ParagraphStyle9"/>
              <w:rPr>
                <w:rStyle w:val="CharacterStyle9"/>
              </w:rPr>
            </w:pPr>
            <w:r>
              <w:rPr>
                <w:rStyle w:val="CharacterStyle9"/>
              </w:rPr>
              <w:t>288.628,00</w:t>
            </w:r>
          </w:p>
        </w:tc>
        <w:tc>
          <w:tcPr>
            <w:tcW w:w="1395" w:type="dxa"/>
            <w:tcBorders>
              <w:bottom w:val="single" w:sz="6" w:space="0" w:color="000000"/>
              <w:right w:val="single" w:sz="6" w:space="0" w:color="000000"/>
            </w:tcBorders>
            <w:vAlign w:val="center"/>
          </w:tcPr>
          <w:p w14:paraId="431E3D8C"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A2BFCB9"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48B2F62" w14:textId="77777777" w:rsidR="007D706A" w:rsidRDefault="007D706A" w:rsidP="00F70508">
            <w:pPr>
              <w:pStyle w:val="ParagraphStyle9"/>
              <w:rPr>
                <w:rStyle w:val="CharacterStyle9"/>
              </w:rPr>
            </w:pPr>
            <w:r>
              <w:rPr>
                <w:rStyle w:val="CharacterStyle9"/>
              </w:rPr>
              <w:t>0,00</w:t>
            </w:r>
          </w:p>
        </w:tc>
      </w:tr>
      <w:tr w:rsidR="007D706A" w14:paraId="30D7251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AE8D554"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014CECEF"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7F2A323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0D533F6" w14:textId="77777777" w:rsidR="007D706A" w:rsidRDefault="007D706A" w:rsidP="00F70508">
            <w:pPr>
              <w:pStyle w:val="ParagraphStyle12"/>
              <w:rPr>
                <w:rStyle w:val="CharacterStyle12"/>
              </w:rPr>
            </w:pPr>
            <w:r>
              <w:rPr>
                <w:rStyle w:val="CharacterStyle12"/>
              </w:rPr>
              <w:t>288.628,00</w:t>
            </w:r>
          </w:p>
        </w:tc>
        <w:tc>
          <w:tcPr>
            <w:tcW w:w="1395" w:type="dxa"/>
            <w:tcBorders>
              <w:bottom w:val="single" w:sz="6" w:space="0" w:color="000000"/>
              <w:right w:val="single" w:sz="6" w:space="0" w:color="000000"/>
            </w:tcBorders>
            <w:vAlign w:val="center"/>
          </w:tcPr>
          <w:p w14:paraId="5E372A6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5636B1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20F525A" w14:textId="77777777" w:rsidR="007D706A" w:rsidRDefault="007D706A" w:rsidP="00F70508">
            <w:pPr>
              <w:pStyle w:val="ParagraphStyle12"/>
              <w:rPr>
                <w:rStyle w:val="CharacterStyle12"/>
              </w:rPr>
            </w:pPr>
            <w:r>
              <w:rPr>
                <w:rStyle w:val="CharacterStyle12"/>
              </w:rPr>
              <w:t>0,00</w:t>
            </w:r>
          </w:p>
        </w:tc>
      </w:tr>
      <w:tr w:rsidR="007D706A" w14:paraId="5D8D944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8B7518D" w14:textId="77777777" w:rsidR="007D706A" w:rsidRDefault="007D706A" w:rsidP="00F70508">
            <w:pPr>
              <w:pStyle w:val="ParagraphStyle10"/>
              <w:rPr>
                <w:rStyle w:val="CharacterStyle10"/>
              </w:rPr>
            </w:pPr>
            <w:r>
              <w:rPr>
                <w:rStyle w:val="CharacterStyle10"/>
              </w:rPr>
              <w:t>36</w:t>
            </w:r>
          </w:p>
        </w:tc>
        <w:tc>
          <w:tcPr>
            <w:tcW w:w="4995" w:type="dxa"/>
            <w:tcBorders>
              <w:bottom w:val="single" w:sz="6" w:space="0" w:color="000000"/>
              <w:right w:val="single" w:sz="6" w:space="0" w:color="000000"/>
            </w:tcBorders>
            <w:vAlign w:val="center"/>
          </w:tcPr>
          <w:p w14:paraId="3BC078C5" w14:textId="77777777" w:rsidR="007D706A" w:rsidRDefault="007D706A" w:rsidP="00F70508">
            <w:pPr>
              <w:pStyle w:val="ParagraphStyle11"/>
              <w:rPr>
                <w:rStyle w:val="CharacterStyle11"/>
              </w:rPr>
            </w:pPr>
            <w:r>
              <w:rPr>
                <w:rStyle w:val="CharacterStyle11"/>
              </w:rPr>
              <w:t>Pomoći dane u inozemstvo i unutar općeg proračuna</w:t>
            </w:r>
          </w:p>
        </w:tc>
        <w:tc>
          <w:tcPr>
            <w:tcW w:w="1395" w:type="dxa"/>
            <w:tcBorders>
              <w:bottom w:val="single" w:sz="6" w:space="0" w:color="000000"/>
              <w:right w:val="single" w:sz="6" w:space="0" w:color="000000"/>
            </w:tcBorders>
            <w:vAlign w:val="center"/>
          </w:tcPr>
          <w:p w14:paraId="61E602A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0004F0E" w14:textId="77777777" w:rsidR="007D706A" w:rsidRDefault="007D706A" w:rsidP="00F70508">
            <w:pPr>
              <w:pStyle w:val="ParagraphStyle12"/>
              <w:rPr>
                <w:rStyle w:val="CharacterStyle12"/>
              </w:rPr>
            </w:pPr>
            <w:r>
              <w:rPr>
                <w:rStyle w:val="CharacterStyle12"/>
              </w:rPr>
              <w:t>288.628,00</w:t>
            </w:r>
          </w:p>
        </w:tc>
        <w:tc>
          <w:tcPr>
            <w:tcW w:w="1395" w:type="dxa"/>
            <w:tcBorders>
              <w:bottom w:val="single" w:sz="6" w:space="0" w:color="000000"/>
              <w:right w:val="single" w:sz="6" w:space="0" w:color="000000"/>
            </w:tcBorders>
            <w:vAlign w:val="center"/>
          </w:tcPr>
          <w:p w14:paraId="36E5A12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2634F0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6DC53F4" w14:textId="77777777" w:rsidR="007D706A" w:rsidRDefault="007D706A" w:rsidP="00F70508">
            <w:pPr>
              <w:pStyle w:val="ParagraphStyle12"/>
              <w:rPr>
                <w:rStyle w:val="CharacterStyle12"/>
              </w:rPr>
            </w:pPr>
            <w:r>
              <w:rPr>
                <w:rStyle w:val="CharacterStyle12"/>
              </w:rPr>
              <w:t>0,00</w:t>
            </w:r>
          </w:p>
        </w:tc>
      </w:tr>
      <w:tr w:rsidR="007D706A" w14:paraId="3503414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B7D4893" w14:textId="77777777" w:rsidR="007D706A" w:rsidRDefault="007D706A" w:rsidP="00F70508">
            <w:pPr>
              <w:pStyle w:val="ParagraphStyle7"/>
              <w:rPr>
                <w:rStyle w:val="CharacterStyle7"/>
              </w:rPr>
            </w:pPr>
            <w:r>
              <w:rPr>
                <w:rStyle w:val="CharacterStyle7"/>
              </w:rPr>
              <w:t>Izvor financiranja 43</w:t>
            </w:r>
          </w:p>
        </w:tc>
        <w:tc>
          <w:tcPr>
            <w:tcW w:w="4995" w:type="dxa"/>
            <w:tcBorders>
              <w:bottom w:val="single" w:sz="6" w:space="0" w:color="000000"/>
              <w:right w:val="single" w:sz="6" w:space="0" w:color="000000"/>
            </w:tcBorders>
            <w:vAlign w:val="center"/>
          </w:tcPr>
          <w:p w14:paraId="3055E367" w14:textId="77777777" w:rsidR="007D706A" w:rsidRDefault="007D706A" w:rsidP="00F70508">
            <w:pPr>
              <w:pStyle w:val="ParagraphStyle8"/>
              <w:rPr>
                <w:rStyle w:val="CharacterStyle8"/>
              </w:rPr>
            </w:pPr>
            <w:r>
              <w:rPr>
                <w:rStyle w:val="CharacterStyle8"/>
              </w:rPr>
              <w:t>Ostali prihodi za posebne namjene</w:t>
            </w:r>
          </w:p>
        </w:tc>
        <w:tc>
          <w:tcPr>
            <w:tcW w:w="1395" w:type="dxa"/>
            <w:tcBorders>
              <w:bottom w:val="single" w:sz="6" w:space="0" w:color="000000"/>
              <w:right w:val="single" w:sz="6" w:space="0" w:color="000000"/>
            </w:tcBorders>
            <w:vAlign w:val="center"/>
          </w:tcPr>
          <w:p w14:paraId="6A01C281"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08FB1C4"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3A3A36B" w14:textId="77777777" w:rsidR="007D706A" w:rsidRDefault="007D706A" w:rsidP="00F70508">
            <w:pPr>
              <w:pStyle w:val="ParagraphStyle9"/>
              <w:rPr>
                <w:rStyle w:val="CharacterStyle9"/>
              </w:rPr>
            </w:pPr>
            <w:r>
              <w:rPr>
                <w:rStyle w:val="CharacterStyle9"/>
              </w:rPr>
              <w:t>288.628,00</w:t>
            </w:r>
          </w:p>
        </w:tc>
        <w:tc>
          <w:tcPr>
            <w:tcW w:w="1395" w:type="dxa"/>
            <w:tcBorders>
              <w:bottom w:val="single" w:sz="6" w:space="0" w:color="000000"/>
              <w:right w:val="single" w:sz="6" w:space="0" w:color="000000"/>
            </w:tcBorders>
            <w:vAlign w:val="center"/>
          </w:tcPr>
          <w:p w14:paraId="37C0F2F9" w14:textId="77777777" w:rsidR="007D706A" w:rsidRDefault="007D706A" w:rsidP="00F70508">
            <w:pPr>
              <w:pStyle w:val="ParagraphStyle9"/>
              <w:rPr>
                <w:rStyle w:val="CharacterStyle9"/>
              </w:rPr>
            </w:pPr>
            <w:r>
              <w:rPr>
                <w:rStyle w:val="CharacterStyle9"/>
              </w:rPr>
              <w:t>290.000,00</w:t>
            </w:r>
          </w:p>
        </w:tc>
        <w:tc>
          <w:tcPr>
            <w:tcW w:w="1395" w:type="dxa"/>
            <w:tcBorders>
              <w:bottom w:val="single" w:sz="6" w:space="0" w:color="000000"/>
              <w:right w:val="single" w:sz="6" w:space="0" w:color="000000"/>
            </w:tcBorders>
            <w:vAlign w:val="center"/>
          </w:tcPr>
          <w:p w14:paraId="00360FA8" w14:textId="77777777" w:rsidR="007D706A" w:rsidRDefault="007D706A" w:rsidP="00F70508">
            <w:pPr>
              <w:pStyle w:val="ParagraphStyle9"/>
              <w:rPr>
                <w:rStyle w:val="CharacterStyle9"/>
              </w:rPr>
            </w:pPr>
            <w:r>
              <w:rPr>
                <w:rStyle w:val="CharacterStyle9"/>
              </w:rPr>
              <w:t>290.000,00</w:t>
            </w:r>
          </w:p>
        </w:tc>
      </w:tr>
      <w:tr w:rsidR="007D706A" w14:paraId="092BF5F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8ECF353"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153FA2E7"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4559330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A07C62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74A6105" w14:textId="77777777" w:rsidR="007D706A" w:rsidRDefault="007D706A" w:rsidP="00F70508">
            <w:pPr>
              <w:pStyle w:val="ParagraphStyle12"/>
              <w:rPr>
                <w:rStyle w:val="CharacterStyle12"/>
              </w:rPr>
            </w:pPr>
            <w:r>
              <w:rPr>
                <w:rStyle w:val="CharacterStyle12"/>
              </w:rPr>
              <w:t>288.628,00</w:t>
            </w:r>
          </w:p>
        </w:tc>
        <w:tc>
          <w:tcPr>
            <w:tcW w:w="1395" w:type="dxa"/>
            <w:tcBorders>
              <w:bottom w:val="single" w:sz="6" w:space="0" w:color="000000"/>
              <w:right w:val="single" w:sz="6" w:space="0" w:color="000000"/>
            </w:tcBorders>
            <w:vAlign w:val="center"/>
          </w:tcPr>
          <w:p w14:paraId="2B78F142" w14:textId="77777777" w:rsidR="007D706A" w:rsidRDefault="007D706A" w:rsidP="00F70508">
            <w:pPr>
              <w:pStyle w:val="ParagraphStyle12"/>
              <w:rPr>
                <w:rStyle w:val="CharacterStyle12"/>
              </w:rPr>
            </w:pPr>
            <w:r>
              <w:rPr>
                <w:rStyle w:val="CharacterStyle12"/>
              </w:rPr>
              <w:t>290.000,00</w:t>
            </w:r>
          </w:p>
        </w:tc>
        <w:tc>
          <w:tcPr>
            <w:tcW w:w="1395" w:type="dxa"/>
            <w:tcBorders>
              <w:bottom w:val="single" w:sz="6" w:space="0" w:color="000000"/>
              <w:right w:val="single" w:sz="6" w:space="0" w:color="000000"/>
            </w:tcBorders>
            <w:vAlign w:val="center"/>
          </w:tcPr>
          <w:p w14:paraId="59CC2ECB" w14:textId="77777777" w:rsidR="007D706A" w:rsidRDefault="007D706A" w:rsidP="00F70508">
            <w:pPr>
              <w:pStyle w:val="ParagraphStyle12"/>
              <w:rPr>
                <w:rStyle w:val="CharacterStyle12"/>
              </w:rPr>
            </w:pPr>
            <w:r>
              <w:rPr>
                <w:rStyle w:val="CharacterStyle12"/>
              </w:rPr>
              <w:t>290.000,00</w:t>
            </w:r>
          </w:p>
        </w:tc>
      </w:tr>
      <w:tr w:rsidR="007D706A" w14:paraId="5DB5C0B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687E4DC" w14:textId="77777777" w:rsidR="007D706A" w:rsidRDefault="007D706A" w:rsidP="00F70508">
            <w:pPr>
              <w:pStyle w:val="ParagraphStyle10"/>
              <w:rPr>
                <w:rStyle w:val="CharacterStyle10"/>
              </w:rPr>
            </w:pPr>
            <w:r>
              <w:rPr>
                <w:rStyle w:val="CharacterStyle10"/>
              </w:rPr>
              <w:t>36</w:t>
            </w:r>
          </w:p>
        </w:tc>
        <w:tc>
          <w:tcPr>
            <w:tcW w:w="4995" w:type="dxa"/>
            <w:tcBorders>
              <w:bottom w:val="single" w:sz="6" w:space="0" w:color="000000"/>
              <w:right w:val="single" w:sz="6" w:space="0" w:color="000000"/>
            </w:tcBorders>
            <w:vAlign w:val="center"/>
          </w:tcPr>
          <w:p w14:paraId="5663CDD9" w14:textId="77777777" w:rsidR="007D706A" w:rsidRDefault="007D706A" w:rsidP="00F70508">
            <w:pPr>
              <w:pStyle w:val="ParagraphStyle11"/>
              <w:rPr>
                <w:rStyle w:val="CharacterStyle11"/>
              </w:rPr>
            </w:pPr>
            <w:r>
              <w:rPr>
                <w:rStyle w:val="CharacterStyle11"/>
              </w:rPr>
              <w:t>Pomoći dane u inozemstvo i unutar općeg proračuna</w:t>
            </w:r>
          </w:p>
        </w:tc>
        <w:tc>
          <w:tcPr>
            <w:tcW w:w="1395" w:type="dxa"/>
            <w:tcBorders>
              <w:bottom w:val="single" w:sz="6" w:space="0" w:color="000000"/>
              <w:right w:val="single" w:sz="6" w:space="0" w:color="000000"/>
            </w:tcBorders>
            <w:vAlign w:val="center"/>
          </w:tcPr>
          <w:p w14:paraId="4DDCD67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C1CB53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46140AB" w14:textId="77777777" w:rsidR="007D706A" w:rsidRDefault="007D706A" w:rsidP="00F70508">
            <w:pPr>
              <w:pStyle w:val="ParagraphStyle12"/>
              <w:rPr>
                <w:rStyle w:val="CharacterStyle12"/>
              </w:rPr>
            </w:pPr>
            <w:r>
              <w:rPr>
                <w:rStyle w:val="CharacterStyle12"/>
              </w:rPr>
              <w:t>288.628,00</w:t>
            </w:r>
          </w:p>
        </w:tc>
        <w:tc>
          <w:tcPr>
            <w:tcW w:w="1395" w:type="dxa"/>
            <w:tcBorders>
              <w:bottom w:val="single" w:sz="6" w:space="0" w:color="000000"/>
              <w:right w:val="single" w:sz="6" w:space="0" w:color="000000"/>
            </w:tcBorders>
            <w:vAlign w:val="center"/>
          </w:tcPr>
          <w:p w14:paraId="01FACEB8" w14:textId="77777777" w:rsidR="007D706A" w:rsidRDefault="007D706A" w:rsidP="00F70508">
            <w:pPr>
              <w:pStyle w:val="ParagraphStyle12"/>
              <w:rPr>
                <w:rStyle w:val="CharacterStyle12"/>
              </w:rPr>
            </w:pPr>
            <w:r>
              <w:rPr>
                <w:rStyle w:val="CharacterStyle12"/>
              </w:rPr>
              <w:t>290.000,00</w:t>
            </w:r>
          </w:p>
        </w:tc>
        <w:tc>
          <w:tcPr>
            <w:tcW w:w="1395" w:type="dxa"/>
            <w:tcBorders>
              <w:bottom w:val="single" w:sz="6" w:space="0" w:color="000000"/>
              <w:right w:val="single" w:sz="6" w:space="0" w:color="000000"/>
            </w:tcBorders>
            <w:vAlign w:val="center"/>
          </w:tcPr>
          <w:p w14:paraId="0DD92038" w14:textId="77777777" w:rsidR="007D706A" w:rsidRDefault="007D706A" w:rsidP="00F70508">
            <w:pPr>
              <w:pStyle w:val="ParagraphStyle12"/>
              <w:rPr>
                <w:rStyle w:val="CharacterStyle12"/>
              </w:rPr>
            </w:pPr>
            <w:r>
              <w:rPr>
                <w:rStyle w:val="CharacterStyle12"/>
              </w:rPr>
              <w:t>290.000,00</w:t>
            </w:r>
          </w:p>
        </w:tc>
      </w:tr>
      <w:tr w:rsidR="007D706A" w14:paraId="5D6CA0B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0AFEC94" w14:textId="77777777" w:rsidR="007D706A" w:rsidRDefault="007D706A" w:rsidP="00F70508">
            <w:pPr>
              <w:pStyle w:val="ParagraphStyle4"/>
              <w:rPr>
                <w:rStyle w:val="CharacterStyle4"/>
              </w:rPr>
            </w:pPr>
            <w:r>
              <w:rPr>
                <w:rStyle w:val="CharacterStyle4"/>
              </w:rPr>
              <w:t>Aktivnost A103304</w:t>
            </w:r>
          </w:p>
        </w:tc>
        <w:tc>
          <w:tcPr>
            <w:tcW w:w="4995" w:type="dxa"/>
            <w:tcBorders>
              <w:bottom w:val="single" w:sz="6" w:space="0" w:color="000000"/>
              <w:right w:val="single" w:sz="6" w:space="0" w:color="000000"/>
            </w:tcBorders>
            <w:vAlign w:val="center"/>
          </w:tcPr>
          <w:p w14:paraId="18139C0C" w14:textId="77777777" w:rsidR="007D706A" w:rsidRDefault="007D706A" w:rsidP="00F70508">
            <w:pPr>
              <w:pStyle w:val="ParagraphStyle5"/>
              <w:rPr>
                <w:rStyle w:val="CharacterStyle5"/>
              </w:rPr>
            </w:pPr>
            <w:r>
              <w:rPr>
                <w:rStyle w:val="CharacterStyle5"/>
              </w:rPr>
              <w:t>POMOĆI OSOBAMA S INVALIDITETOM</w:t>
            </w:r>
          </w:p>
        </w:tc>
        <w:tc>
          <w:tcPr>
            <w:tcW w:w="1395" w:type="dxa"/>
            <w:tcBorders>
              <w:bottom w:val="single" w:sz="6" w:space="0" w:color="000000"/>
              <w:right w:val="single" w:sz="6" w:space="0" w:color="000000"/>
            </w:tcBorders>
            <w:vAlign w:val="center"/>
          </w:tcPr>
          <w:p w14:paraId="43562744"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5B2D2A4D" w14:textId="77777777" w:rsidR="007D706A" w:rsidRDefault="007D706A" w:rsidP="00F70508">
            <w:pPr>
              <w:pStyle w:val="ParagraphStyle6"/>
              <w:rPr>
                <w:rStyle w:val="CharacterStyle6"/>
              </w:rPr>
            </w:pPr>
            <w:r>
              <w:rPr>
                <w:rStyle w:val="CharacterStyle6"/>
              </w:rPr>
              <w:t>700,00</w:t>
            </w:r>
          </w:p>
        </w:tc>
        <w:tc>
          <w:tcPr>
            <w:tcW w:w="1395" w:type="dxa"/>
            <w:tcBorders>
              <w:bottom w:val="single" w:sz="6" w:space="0" w:color="000000"/>
              <w:right w:val="single" w:sz="6" w:space="0" w:color="000000"/>
            </w:tcBorders>
            <w:vAlign w:val="center"/>
          </w:tcPr>
          <w:p w14:paraId="6EBCBA90" w14:textId="77777777" w:rsidR="007D706A" w:rsidRDefault="007D706A" w:rsidP="00F70508">
            <w:pPr>
              <w:pStyle w:val="ParagraphStyle6"/>
              <w:rPr>
                <w:rStyle w:val="CharacterStyle6"/>
              </w:rPr>
            </w:pPr>
            <w:r>
              <w:rPr>
                <w:rStyle w:val="CharacterStyle6"/>
              </w:rPr>
              <w:t>700,00</w:t>
            </w:r>
          </w:p>
        </w:tc>
        <w:tc>
          <w:tcPr>
            <w:tcW w:w="1395" w:type="dxa"/>
            <w:tcBorders>
              <w:bottom w:val="single" w:sz="6" w:space="0" w:color="000000"/>
              <w:right w:val="single" w:sz="6" w:space="0" w:color="000000"/>
            </w:tcBorders>
            <w:vAlign w:val="center"/>
          </w:tcPr>
          <w:p w14:paraId="594E2A69" w14:textId="77777777" w:rsidR="007D706A" w:rsidRDefault="007D706A" w:rsidP="00F70508">
            <w:pPr>
              <w:pStyle w:val="ParagraphStyle6"/>
              <w:rPr>
                <w:rStyle w:val="CharacterStyle6"/>
              </w:rPr>
            </w:pPr>
            <w:r>
              <w:rPr>
                <w:rStyle w:val="CharacterStyle6"/>
              </w:rPr>
              <w:t>1.000,00</w:t>
            </w:r>
          </w:p>
        </w:tc>
        <w:tc>
          <w:tcPr>
            <w:tcW w:w="1395" w:type="dxa"/>
            <w:tcBorders>
              <w:bottom w:val="single" w:sz="6" w:space="0" w:color="000000"/>
              <w:right w:val="single" w:sz="6" w:space="0" w:color="000000"/>
            </w:tcBorders>
            <w:vAlign w:val="center"/>
          </w:tcPr>
          <w:p w14:paraId="26BDE0FA" w14:textId="77777777" w:rsidR="007D706A" w:rsidRDefault="007D706A" w:rsidP="00F70508">
            <w:pPr>
              <w:pStyle w:val="ParagraphStyle6"/>
              <w:rPr>
                <w:rStyle w:val="CharacterStyle6"/>
              </w:rPr>
            </w:pPr>
            <w:r>
              <w:rPr>
                <w:rStyle w:val="CharacterStyle6"/>
              </w:rPr>
              <w:t>1.000,00</w:t>
            </w:r>
          </w:p>
        </w:tc>
      </w:tr>
      <w:tr w:rsidR="007D706A" w14:paraId="00EA43C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B5DD09D"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4918EBDB"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5C1CFBB6"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EF15613" w14:textId="77777777" w:rsidR="007D706A" w:rsidRDefault="007D706A" w:rsidP="00F70508">
            <w:pPr>
              <w:pStyle w:val="ParagraphStyle9"/>
              <w:rPr>
                <w:rStyle w:val="CharacterStyle9"/>
              </w:rPr>
            </w:pPr>
            <w:r>
              <w:rPr>
                <w:rStyle w:val="CharacterStyle9"/>
              </w:rPr>
              <w:t>700,00</w:t>
            </w:r>
          </w:p>
        </w:tc>
        <w:tc>
          <w:tcPr>
            <w:tcW w:w="1395" w:type="dxa"/>
            <w:tcBorders>
              <w:bottom w:val="single" w:sz="6" w:space="0" w:color="000000"/>
              <w:right w:val="single" w:sz="6" w:space="0" w:color="000000"/>
            </w:tcBorders>
            <w:vAlign w:val="center"/>
          </w:tcPr>
          <w:p w14:paraId="6B7FF263" w14:textId="77777777" w:rsidR="007D706A" w:rsidRDefault="007D706A" w:rsidP="00F70508">
            <w:pPr>
              <w:pStyle w:val="ParagraphStyle9"/>
              <w:rPr>
                <w:rStyle w:val="CharacterStyle9"/>
              </w:rPr>
            </w:pPr>
            <w:r>
              <w:rPr>
                <w:rStyle w:val="CharacterStyle9"/>
              </w:rPr>
              <w:t>700,00</w:t>
            </w:r>
          </w:p>
        </w:tc>
        <w:tc>
          <w:tcPr>
            <w:tcW w:w="1395" w:type="dxa"/>
            <w:tcBorders>
              <w:bottom w:val="single" w:sz="6" w:space="0" w:color="000000"/>
              <w:right w:val="single" w:sz="6" w:space="0" w:color="000000"/>
            </w:tcBorders>
            <w:vAlign w:val="center"/>
          </w:tcPr>
          <w:p w14:paraId="2682B7DA" w14:textId="77777777" w:rsidR="007D706A" w:rsidRDefault="007D706A" w:rsidP="00F70508">
            <w:pPr>
              <w:pStyle w:val="ParagraphStyle9"/>
              <w:rPr>
                <w:rStyle w:val="CharacterStyle9"/>
              </w:rPr>
            </w:pPr>
            <w:r>
              <w:rPr>
                <w:rStyle w:val="CharacterStyle9"/>
              </w:rPr>
              <w:t>1.000,00</w:t>
            </w:r>
          </w:p>
        </w:tc>
        <w:tc>
          <w:tcPr>
            <w:tcW w:w="1395" w:type="dxa"/>
            <w:tcBorders>
              <w:bottom w:val="single" w:sz="6" w:space="0" w:color="000000"/>
              <w:right w:val="single" w:sz="6" w:space="0" w:color="000000"/>
            </w:tcBorders>
            <w:vAlign w:val="center"/>
          </w:tcPr>
          <w:p w14:paraId="7FD3F1A5" w14:textId="77777777" w:rsidR="007D706A" w:rsidRDefault="007D706A" w:rsidP="00F70508">
            <w:pPr>
              <w:pStyle w:val="ParagraphStyle9"/>
              <w:rPr>
                <w:rStyle w:val="CharacterStyle9"/>
              </w:rPr>
            </w:pPr>
            <w:r>
              <w:rPr>
                <w:rStyle w:val="CharacterStyle9"/>
              </w:rPr>
              <w:t>1.000,00</w:t>
            </w:r>
          </w:p>
        </w:tc>
      </w:tr>
      <w:tr w:rsidR="007D706A" w14:paraId="60FD2ED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636CE15"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6F8CDC96"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09F74D7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F62D811" w14:textId="77777777" w:rsidR="007D706A" w:rsidRDefault="007D706A" w:rsidP="00F70508">
            <w:pPr>
              <w:pStyle w:val="ParagraphStyle12"/>
              <w:rPr>
                <w:rStyle w:val="CharacterStyle12"/>
              </w:rPr>
            </w:pPr>
            <w:r>
              <w:rPr>
                <w:rStyle w:val="CharacterStyle12"/>
              </w:rPr>
              <w:t>700,00</w:t>
            </w:r>
          </w:p>
        </w:tc>
        <w:tc>
          <w:tcPr>
            <w:tcW w:w="1395" w:type="dxa"/>
            <w:tcBorders>
              <w:bottom w:val="single" w:sz="6" w:space="0" w:color="000000"/>
              <w:right w:val="single" w:sz="6" w:space="0" w:color="000000"/>
            </w:tcBorders>
            <w:vAlign w:val="center"/>
          </w:tcPr>
          <w:p w14:paraId="3E07F338" w14:textId="77777777" w:rsidR="007D706A" w:rsidRDefault="007D706A" w:rsidP="00F70508">
            <w:pPr>
              <w:pStyle w:val="ParagraphStyle12"/>
              <w:rPr>
                <w:rStyle w:val="CharacterStyle12"/>
              </w:rPr>
            </w:pPr>
            <w:r>
              <w:rPr>
                <w:rStyle w:val="CharacterStyle12"/>
              </w:rPr>
              <w:t>700,00</w:t>
            </w:r>
          </w:p>
        </w:tc>
        <w:tc>
          <w:tcPr>
            <w:tcW w:w="1395" w:type="dxa"/>
            <w:tcBorders>
              <w:bottom w:val="single" w:sz="6" w:space="0" w:color="000000"/>
              <w:right w:val="single" w:sz="6" w:space="0" w:color="000000"/>
            </w:tcBorders>
            <w:vAlign w:val="center"/>
          </w:tcPr>
          <w:p w14:paraId="520A8CAD" w14:textId="77777777" w:rsidR="007D706A" w:rsidRDefault="007D706A" w:rsidP="00F70508">
            <w:pPr>
              <w:pStyle w:val="ParagraphStyle12"/>
              <w:rPr>
                <w:rStyle w:val="CharacterStyle12"/>
              </w:rPr>
            </w:pPr>
            <w:r>
              <w:rPr>
                <w:rStyle w:val="CharacterStyle12"/>
              </w:rPr>
              <w:t>1.000,00</w:t>
            </w:r>
          </w:p>
        </w:tc>
        <w:tc>
          <w:tcPr>
            <w:tcW w:w="1395" w:type="dxa"/>
            <w:tcBorders>
              <w:bottom w:val="single" w:sz="6" w:space="0" w:color="000000"/>
              <w:right w:val="single" w:sz="6" w:space="0" w:color="000000"/>
            </w:tcBorders>
            <w:vAlign w:val="center"/>
          </w:tcPr>
          <w:p w14:paraId="79C3A0CF" w14:textId="77777777" w:rsidR="007D706A" w:rsidRDefault="007D706A" w:rsidP="00F70508">
            <w:pPr>
              <w:pStyle w:val="ParagraphStyle12"/>
              <w:rPr>
                <w:rStyle w:val="CharacterStyle12"/>
              </w:rPr>
            </w:pPr>
            <w:r>
              <w:rPr>
                <w:rStyle w:val="CharacterStyle12"/>
              </w:rPr>
              <w:t>1.000,00</w:t>
            </w:r>
          </w:p>
        </w:tc>
      </w:tr>
      <w:tr w:rsidR="007D706A" w14:paraId="35AC638B" w14:textId="77777777" w:rsidTr="00F70508">
        <w:trPr>
          <w:trHeight w:val="420"/>
        </w:trPr>
        <w:tc>
          <w:tcPr>
            <w:tcW w:w="2880" w:type="dxa"/>
            <w:tcBorders>
              <w:left w:val="single" w:sz="6" w:space="0" w:color="000000"/>
              <w:bottom w:val="single" w:sz="6" w:space="0" w:color="000000"/>
              <w:right w:val="single" w:sz="6" w:space="0" w:color="000000"/>
            </w:tcBorders>
            <w:vAlign w:val="center"/>
          </w:tcPr>
          <w:p w14:paraId="6BFAE1DE" w14:textId="77777777" w:rsidR="007D706A" w:rsidRDefault="007D706A" w:rsidP="00F70508">
            <w:pPr>
              <w:pStyle w:val="ParagraphStyle10"/>
              <w:rPr>
                <w:rStyle w:val="CharacterStyle10"/>
              </w:rPr>
            </w:pPr>
            <w:r>
              <w:rPr>
                <w:rStyle w:val="CharacterStyle10"/>
              </w:rPr>
              <w:t>37</w:t>
            </w:r>
          </w:p>
        </w:tc>
        <w:tc>
          <w:tcPr>
            <w:tcW w:w="4995" w:type="dxa"/>
            <w:tcBorders>
              <w:bottom w:val="single" w:sz="6" w:space="0" w:color="000000"/>
              <w:right w:val="single" w:sz="6" w:space="0" w:color="000000"/>
            </w:tcBorders>
            <w:vAlign w:val="center"/>
          </w:tcPr>
          <w:p w14:paraId="12B7F3D8" w14:textId="77777777" w:rsidR="007D706A" w:rsidRDefault="007D706A" w:rsidP="00F70508">
            <w:pPr>
              <w:pStyle w:val="ParagraphStyle11"/>
              <w:rPr>
                <w:rStyle w:val="CharacterStyle11"/>
              </w:rPr>
            </w:pPr>
            <w:r>
              <w:rPr>
                <w:rStyle w:val="CharacterStyle11"/>
              </w:rPr>
              <w:t>Naknade građanima i kućanstvima na temelju osiguranja i druge naknade</w:t>
            </w:r>
          </w:p>
        </w:tc>
        <w:tc>
          <w:tcPr>
            <w:tcW w:w="1395" w:type="dxa"/>
            <w:tcBorders>
              <w:bottom w:val="single" w:sz="6" w:space="0" w:color="000000"/>
              <w:right w:val="single" w:sz="6" w:space="0" w:color="000000"/>
            </w:tcBorders>
            <w:vAlign w:val="center"/>
          </w:tcPr>
          <w:p w14:paraId="3612520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7E2997B" w14:textId="77777777" w:rsidR="007D706A" w:rsidRDefault="007D706A" w:rsidP="00F70508">
            <w:pPr>
              <w:pStyle w:val="ParagraphStyle12"/>
              <w:rPr>
                <w:rStyle w:val="CharacterStyle12"/>
              </w:rPr>
            </w:pPr>
            <w:r>
              <w:rPr>
                <w:rStyle w:val="CharacterStyle12"/>
              </w:rPr>
              <w:t>700,00</w:t>
            </w:r>
          </w:p>
        </w:tc>
        <w:tc>
          <w:tcPr>
            <w:tcW w:w="1395" w:type="dxa"/>
            <w:tcBorders>
              <w:bottom w:val="single" w:sz="6" w:space="0" w:color="000000"/>
              <w:right w:val="single" w:sz="6" w:space="0" w:color="000000"/>
            </w:tcBorders>
            <w:vAlign w:val="center"/>
          </w:tcPr>
          <w:p w14:paraId="4B26FEF1" w14:textId="77777777" w:rsidR="007D706A" w:rsidRDefault="007D706A" w:rsidP="00F70508">
            <w:pPr>
              <w:pStyle w:val="ParagraphStyle12"/>
              <w:rPr>
                <w:rStyle w:val="CharacterStyle12"/>
              </w:rPr>
            </w:pPr>
            <w:r>
              <w:rPr>
                <w:rStyle w:val="CharacterStyle12"/>
              </w:rPr>
              <w:t>700,00</w:t>
            </w:r>
          </w:p>
        </w:tc>
        <w:tc>
          <w:tcPr>
            <w:tcW w:w="1395" w:type="dxa"/>
            <w:tcBorders>
              <w:bottom w:val="single" w:sz="6" w:space="0" w:color="000000"/>
              <w:right w:val="single" w:sz="6" w:space="0" w:color="000000"/>
            </w:tcBorders>
            <w:vAlign w:val="center"/>
          </w:tcPr>
          <w:p w14:paraId="320F35C0" w14:textId="77777777" w:rsidR="007D706A" w:rsidRDefault="007D706A" w:rsidP="00F70508">
            <w:pPr>
              <w:pStyle w:val="ParagraphStyle12"/>
              <w:rPr>
                <w:rStyle w:val="CharacterStyle12"/>
              </w:rPr>
            </w:pPr>
            <w:r>
              <w:rPr>
                <w:rStyle w:val="CharacterStyle12"/>
              </w:rPr>
              <w:t>1.000,00</w:t>
            </w:r>
          </w:p>
        </w:tc>
        <w:tc>
          <w:tcPr>
            <w:tcW w:w="1395" w:type="dxa"/>
            <w:tcBorders>
              <w:bottom w:val="single" w:sz="6" w:space="0" w:color="000000"/>
              <w:right w:val="single" w:sz="6" w:space="0" w:color="000000"/>
            </w:tcBorders>
            <w:vAlign w:val="center"/>
          </w:tcPr>
          <w:p w14:paraId="0C8DC432" w14:textId="77777777" w:rsidR="007D706A" w:rsidRDefault="007D706A" w:rsidP="00F70508">
            <w:pPr>
              <w:pStyle w:val="ParagraphStyle12"/>
              <w:rPr>
                <w:rStyle w:val="CharacterStyle12"/>
              </w:rPr>
            </w:pPr>
            <w:r>
              <w:rPr>
                <w:rStyle w:val="CharacterStyle12"/>
              </w:rPr>
              <w:t>1.000,00</w:t>
            </w:r>
          </w:p>
        </w:tc>
      </w:tr>
      <w:tr w:rsidR="007D706A" w14:paraId="09A3A1E2" w14:textId="77777777" w:rsidTr="00F70508">
        <w:trPr>
          <w:trHeight w:val="420"/>
        </w:trPr>
        <w:tc>
          <w:tcPr>
            <w:tcW w:w="2880" w:type="dxa"/>
            <w:tcBorders>
              <w:left w:val="single" w:sz="6" w:space="0" w:color="000000"/>
              <w:bottom w:val="single" w:sz="6" w:space="0" w:color="000000"/>
              <w:right w:val="single" w:sz="6" w:space="0" w:color="000000"/>
            </w:tcBorders>
            <w:vAlign w:val="center"/>
          </w:tcPr>
          <w:p w14:paraId="317399DF" w14:textId="77777777" w:rsidR="007D706A" w:rsidRDefault="007D706A" w:rsidP="00F70508">
            <w:pPr>
              <w:pStyle w:val="ParagraphStyle4"/>
              <w:rPr>
                <w:rStyle w:val="CharacterStyle4"/>
              </w:rPr>
            </w:pPr>
            <w:r>
              <w:rPr>
                <w:rStyle w:val="CharacterStyle4"/>
              </w:rPr>
              <w:t>Aktivnost A103305</w:t>
            </w:r>
          </w:p>
        </w:tc>
        <w:tc>
          <w:tcPr>
            <w:tcW w:w="4995" w:type="dxa"/>
            <w:tcBorders>
              <w:bottom w:val="single" w:sz="6" w:space="0" w:color="000000"/>
              <w:right w:val="single" w:sz="6" w:space="0" w:color="000000"/>
            </w:tcBorders>
            <w:vAlign w:val="center"/>
          </w:tcPr>
          <w:p w14:paraId="3AE2D9B4" w14:textId="77777777" w:rsidR="007D706A" w:rsidRDefault="007D706A" w:rsidP="00F70508">
            <w:pPr>
              <w:pStyle w:val="ParagraphStyle5"/>
              <w:rPr>
                <w:rStyle w:val="CharacterStyle5"/>
              </w:rPr>
            </w:pPr>
            <w:r>
              <w:rPr>
                <w:rStyle w:val="CharacterStyle5"/>
              </w:rPr>
              <w:t>PROGRAMI UDRUGA U PREVENCIJI I UNAPREĐENJU ZAŠTITE ZDRAVLJA</w:t>
            </w:r>
          </w:p>
        </w:tc>
        <w:tc>
          <w:tcPr>
            <w:tcW w:w="1395" w:type="dxa"/>
            <w:tcBorders>
              <w:bottom w:val="single" w:sz="6" w:space="0" w:color="000000"/>
              <w:right w:val="single" w:sz="6" w:space="0" w:color="000000"/>
            </w:tcBorders>
            <w:vAlign w:val="center"/>
          </w:tcPr>
          <w:p w14:paraId="2BC69221"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7BE0B741" w14:textId="77777777" w:rsidR="007D706A" w:rsidRDefault="007D706A" w:rsidP="00F70508">
            <w:pPr>
              <w:pStyle w:val="ParagraphStyle6"/>
              <w:rPr>
                <w:rStyle w:val="CharacterStyle6"/>
              </w:rPr>
            </w:pPr>
            <w:r>
              <w:rPr>
                <w:rStyle w:val="CharacterStyle6"/>
              </w:rPr>
              <w:t>4.000,00</w:t>
            </w:r>
          </w:p>
        </w:tc>
        <w:tc>
          <w:tcPr>
            <w:tcW w:w="1395" w:type="dxa"/>
            <w:tcBorders>
              <w:bottom w:val="single" w:sz="6" w:space="0" w:color="000000"/>
              <w:right w:val="single" w:sz="6" w:space="0" w:color="000000"/>
            </w:tcBorders>
            <w:vAlign w:val="center"/>
          </w:tcPr>
          <w:p w14:paraId="76E32C73" w14:textId="77777777" w:rsidR="007D706A" w:rsidRDefault="007D706A" w:rsidP="00F70508">
            <w:pPr>
              <w:pStyle w:val="ParagraphStyle6"/>
              <w:rPr>
                <w:rStyle w:val="CharacterStyle6"/>
              </w:rPr>
            </w:pPr>
            <w:r>
              <w:rPr>
                <w:rStyle w:val="CharacterStyle6"/>
              </w:rPr>
              <w:t>4.000,00</w:t>
            </w:r>
          </w:p>
        </w:tc>
        <w:tc>
          <w:tcPr>
            <w:tcW w:w="1395" w:type="dxa"/>
            <w:tcBorders>
              <w:bottom w:val="single" w:sz="6" w:space="0" w:color="000000"/>
              <w:right w:val="single" w:sz="6" w:space="0" w:color="000000"/>
            </w:tcBorders>
            <w:vAlign w:val="center"/>
          </w:tcPr>
          <w:p w14:paraId="042D3117" w14:textId="77777777" w:rsidR="007D706A" w:rsidRDefault="007D706A" w:rsidP="00F70508">
            <w:pPr>
              <w:pStyle w:val="ParagraphStyle6"/>
              <w:rPr>
                <w:rStyle w:val="CharacterStyle6"/>
              </w:rPr>
            </w:pPr>
            <w:r>
              <w:rPr>
                <w:rStyle w:val="CharacterStyle6"/>
              </w:rPr>
              <w:t>5.000,00</w:t>
            </w:r>
          </w:p>
        </w:tc>
        <w:tc>
          <w:tcPr>
            <w:tcW w:w="1395" w:type="dxa"/>
            <w:tcBorders>
              <w:bottom w:val="single" w:sz="6" w:space="0" w:color="000000"/>
              <w:right w:val="single" w:sz="6" w:space="0" w:color="000000"/>
            </w:tcBorders>
            <w:vAlign w:val="center"/>
          </w:tcPr>
          <w:p w14:paraId="54C0F5D4" w14:textId="77777777" w:rsidR="007D706A" w:rsidRDefault="007D706A" w:rsidP="00F70508">
            <w:pPr>
              <w:pStyle w:val="ParagraphStyle6"/>
              <w:rPr>
                <w:rStyle w:val="CharacterStyle6"/>
              </w:rPr>
            </w:pPr>
            <w:r>
              <w:rPr>
                <w:rStyle w:val="CharacterStyle6"/>
              </w:rPr>
              <w:t>5.000,00</w:t>
            </w:r>
          </w:p>
        </w:tc>
      </w:tr>
      <w:tr w:rsidR="007D706A" w14:paraId="2508BB9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58602BD"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6123E9DF"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39CFE85A"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811A473" w14:textId="77777777" w:rsidR="007D706A" w:rsidRDefault="007D706A" w:rsidP="00F70508">
            <w:pPr>
              <w:pStyle w:val="ParagraphStyle9"/>
              <w:rPr>
                <w:rStyle w:val="CharacterStyle9"/>
              </w:rPr>
            </w:pPr>
            <w:r>
              <w:rPr>
                <w:rStyle w:val="CharacterStyle9"/>
              </w:rPr>
              <w:t>4.000,00</w:t>
            </w:r>
          </w:p>
        </w:tc>
        <w:tc>
          <w:tcPr>
            <w:tcW w:w="1395" w:type="dxa"/>
            <w:tcBorders>
              <w:bottom w:val="single" w:sz="6" w:space="0" w:color="000000"/>
              <w:right w:val="single" w:sz="6" w:space="0" w:color="000000"/>
            </w:tcBorders>
            <w:vAlign w:val="center"/>
          </w:tcPr>
          <w:p w14:paraId="57DED539" w14:textId="77777777" w:rsidR="007D706A" w:rsidRDefault="007D706A" w:rsidP="00F70508">
            <w:pPr>
              <w:pStyle w:val="ParagraphStyle9"/>
              <w:rPr>
                <w:rStyle w:val="CharacterStyle9"/>
              </w:rPr>
            </w:pPr>
            <w:r>
              <w:rPr>
                <w:rStyle w:val="CharacterStyle9"/>
              </w:rPr>
              <w:t>4.000,00</w:t>
            </w:r>
          </w:p>
        </w:tc>
        <w:tc>
          <w:tcPr>
            <w:tcW w:w="1395" w:type="dxa"/>
            <w:tcBorders>
              <w:bottom w:val="single" w:sz="6" w:space="0" w:color="000000"/>
              <w:right w:val="single" w:sz="6" w:space="0" w:color="000000"/>
            </w:tcBorders>
            <w:vAlign w:val="center"/>
          </w:tcPr>
          <w:p w14:paraId="1AA6D8E1" w14:textId="77777777" w:rsidR="007D706A" w:rsidRDefault="007D706A" w:rsidP="00F70508">
            <w:pPr>
              <w:pStyle w:val="ParagraphStyle9"/>
              <w:rPr>
                <w:rStyle w:val="CharacterStyle9"/>
              </w:rPr>
            </w:pPr>
            <w:r>
              <w:rPr>
                <w:rStyle w:val="CharacterStyle9"/>
              </w:rPr>
              <w:t>5.000,00</w:t>
            </w:r>
          </w:p>
        </w:tc>
        <w:tc>
          <w:tcPr>
            <w:tcW w:w="1395" w:type="dxa"/>
            <w:tcBorders>
              <w:bottom w:val="single" w:sz="6" w:space="0" w:color="000000"/>
              <w:right w:val="single" w:sz="6" w:space="0" w:color="000000"/>
            </w:tcBorders>
            <w:vAlign w:val="center"/>
          </w:tcPr>
          <w:p w14:paraId="0DDAFC2B" w14:textId="77777777" w:rsidR="007D706A" w:rsidRDefault="007D706A" w:rsidP="00F70508">
            <w:pPr>
              <w:pStyle w:val="ParagraphStyle9"/>
              <w:rPr>
                <w:rStyle w:val="CharacterStyle9"/>
              </w:rPr>
            </w:pPr>
            <w:r>
              <w:rPr>
                <w:rStyle w:val="CharacterStyle9"/>
              </w:rPr>
              <w:t>5.000,00</w:t>
            </w:r>
          </w:p>
        </w:tc>
      </w:tr>
      <w:tr w:rsidR="007D706A" w14:paraId="7CE0612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B114BA6"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418FF732"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4B0B157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343BAC5" w14:textId="77777777" w:rsidR="007D706A" w:rsidRDefault="007D706A" w:rsidP="00F70508">
            <w:pPr>
              <w:pStyle w:val="ParagraphStyle12"/>
              <w:rPr>
                <w:rStyle w:val="CharacterStyle12"/>
              </w:rPr>
            </w:pPr>
            <w:r>
              <w:rPr>
                <w:rStyle w:val="CharacterStyle12"/>
              </w:rPr>
              <w:t>4.000,00</w:t>
            </w:r>
          </w:p>
        </w:tc>
        <w:tc>
          <w:tcPr>
            <w:tcW w:w="1395" w:type="dxa"/>
            <w:tcBorders>
              <w:bottom w:val="single" w:sz="6" w:space="0" w:color="000000"/>
              <w:right w:val="single" w:sz="6" w:space="0" w:color="000000"/>
            </w:tcBorders>
            <w:vAlign w:val="center"/>
          </w:tcPr>
          <w:p w14:paraId="5860DC0D" w14:textId="77777777" w:rsidR="007D706A" w:rsidRDefault="007D706A" w:rsidP="00F70508">
            <w:pPr>
              <w:pStyle w:val="ParagraphStyle12"/>
              <w:rPr>
                <w:rStyle w:val="CharacterStyle12"/>
              </w:rPr>
            </w:pPr>
            <w:r>
              <w:rPr>
                <w:rStyle w:val="CharacterStyle12"/>
              </w:rPr>
              <w:t>4.000,00</w:t>
            </w:r>
          </w:p>
        </w:tc>
        <w:tc>
          <w:tcPr>
            <w:tcW w:w="1395" w:type="dxa"/>
            <w:tcBorders>
              <w:bottom w:val="single" w:sz="6" w:space="0" w:color="000000"/>
              <w:right w:val="single" w:sz="6" w:space="0" w:color="000000"/>
            </w:tcBorders>
            <w:vAlign w:val="center"/>
          </w:tcPr>
          <w:p w14:paraId="16E6B951" w14:textId="77777777" w:rsidR="007D706A" w:rsidRDefault="007D706A" w:rsidP="00F70508">
            <w:pPr>
              <w:pStyle w:val="ParagraphStyle12"/>
              <w:rPr>
                <w:rStyle w:val="CharacterStyle12"/>
              </w:rPr>
            </w:pPr>
            <w:r>
              <w:rPr>
                <w:rStyle w:val="CharacterStyle12"/>
              </w:rPr>
              <w:t>5.000,00</w:t>
            </w:r>
          </w:p>
        </w:tc>
        <w:tc>
          <w:tcPr>
            <w:tcW w:w="1395" w:type="dxa"/>
            <w:tcBorders>
              <w:bottom w:val="single" w:sz="6" w:space="0" w:color="000000"/>
              <w:right w:val="single" w:sz="6" w:space="0" w:color="000000"/>
            </w:tcBorders>
            <w:vAlign w:val="center"/>
          </w:tcPr>
          <w:p w14:paraId="2C6013B2" w14:textId="77777777" w:rsidR="007D706A" w:rsidRDefault="007D706A" w:rsidP="00F70508">
            <w:pPr>
              <w:pStyle w:val="ParagraphStyle12"/>
              <w:rPr>
                <w:rStyle w:val="CharacterStyle12"/>
              </w:rPr>
            </w:pPr>
            <w:r>
              <w:rPr>
                <w:rStyle w:val="CharacterStyle12"/>
              </w:rPr>
              <w:t>5.000,00</w:t>
            </w:r>
          </w:p>
        </w:tc>
      </w:tr>
      <w:tr w:rsidR="007D706A" w14:paraId="4BA21E1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6FB74E0" w14:textId="77777777" w:rsidR="007D706A" w:rsidRDefault="007D706A" w:rsidP="00F70508">
            <w:pPr>
              <w:pStyle w:val="ParagraphStyle10"/>
              <w:rPr>
                <w:rStyle w:val="CharacterStyle10"/>
              </w:rPr>
            </w:pPr>
            <w:r>
              <w:rPr>
                <w:rStyle w:val="CharacterStyle10"/>
              </w:rPr>
              <w:t>38</w:t>
            </w:r>
          </w:p>
        </w:tc>
        <w:tc>
          <w:tcPr>
            <w:tcW w:w="4995" w:type="dxa"/>
            <w:tcBorders>
              <w:bottom w:val="single" w:sz="6" w:space="0" w:color="000000"/>
              <w:right w:val="single" w:sz="6" w:space="0" w:color="000000"/>
            </w:tcBorders>
            <w:vAlign w:val="center"/>
          </w:tcPr>
          <w:p w14:paraId="37BF8446" w14:textId="77777777" w:rsidR="007D706A" w:rsidRDefault="007D706A" w:rsidP="00F70508">
            <w:pPr>
              <w:pStyle w:val="ParagraphStyle11"/>
              <w:rPr>
                <w:rStyle w:val="CharacterStyle11"/>
              </w:rPr>
            </w:pPr>
            <w:r>
              <w:rPr>
                <w:rStyle w:val="CharacterStyle11"/>
              </w:rPr>
              <w:t>Rashodi za donacije, kazne, naknade šteta i kapitalne pomoći</w:t>
            </w:r>
          </w:p>
        </w:tc>
        <w:tc>
          <w:tcPr>
            <w:tcW w:w="1395" w:type="dxa"/>
            <w:tcBorders>
              <w:bottom w:val="single" w:sz="6" w:space="0" w:color="000000"/>
              <w:right w:val="single" w:sz="6" w:space="0" w:color="000000"/>
            </w:tcBorders>
            <w:vAlign w:val="center"/>
          </w:tcPr>
          <w:p w14:paraId="4942558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0D83606" w14:textId="77777777" w:rsidR="007D706A" w:rsidRDefault="007D706A" w:rsidP="00F70508">
            <w:pPr>
              <w:pStyle w:val="ParagraphStyle12"/>
              <w:rPr>
                <w:rStyle w:val="CharacterStyle12"/>
              </w:rPr>
            </w:pPr>
            <w:r>
              <w:rPr>
                <w:rStyle w:val="CharacterStyle12"/>
              </w:rPr>
              <w:t>4.000,00</w:t>
            </w:r>
          </w:p>
        </w:tc>
        <w:tc>
          <w:tcPr>
            <w:tcW w:w="1395" w:type="dxa"/>
            <w:tcBorders>
              <w:bottom w:val="single" w:sz="6" w:space="0" w:color="000000"/>
              <w:right w:val="single" w:sz="6" w:space="0" w:color="000000"/>
            </w:tcBorders>
            <w:vAlign w:val="center"/>
          </w:tcPr>
          <w:p w14:paraId="519D4212" w14:textId="77777777" w:rsidR="007D706A" w:rsidRDefault="007D706A" w:rsidP="00F70508">
            <w:pPr>
              <w:pStyle w:val="ParagraphStyle12"/>
              <w:rPr>
                <w:rStyle w:val="CharacterStyle12"/>
              </w:rPr>
            </w:pPr>
            <w:r>
              <w:rPr>
                <w:rStyle w:val="CharacterStyle12"/>
              </w:rPr>
              <w:t>4.000,00</w:t>
            </w:r>
          </w:p>
        </w:tc>
        <w:tc>
          <w:tcPr>
            <w:tcW w:w="1395" w:type="dxa"/>
            <w:tcBorders>
              <w:bottom w:val="single" w:sz="6" w:space="0" w:color="000000"/>
              <w:right w:val="single" w:sz="6" w:space="0" w:color="000000"/>
            </w:tcBorders>
            <w:vAlign w:val="center"/>
          </w:tcPr>
          <w:p w14:paraId="18FC87BB" w14:textId="77777777" w:rsidR="007D706A" w:rsidRDefault="007D706A" w:rsidP="00F70508">
            <w:pPr>
              <w:pStyle w:val="ParagraphStyle12"/>
              <w:rPr>
                <w:rStyle w:val="CharacterStyle12"/>
              </w:rPr>
            </w:pPr>
            <w:r>
              <w:rPr>
                <w:rStyle w:val="CharacterStyle12"/>
              </w:rPr>
              <w:t>5.000,00</w:t>
            </w:r>
          </w:p>
        </w:tc>
        <w:tc>
          <w:tcPr>
            <w:tcW w:w="1395" w:type="dxa"/>
            <w:tcBorders>
              <w:bottom w:val="single" w:sz="6" w:space="0" w:color="000000"/>
              <w:right w:val="single" w:sz="6" w:space="0" w:color="000000"/>
            </w:tcBorders>
            <w:vAlign w:val="center"/>
          </w:tcPr>
          <w:p w14:paraId="2AEFC695" w14:textId="77777777" w:rsidR="007D706A" w:rsidRDefault="007D706A" w:rsidP="00F70508">
            <w:pPr>
              <w:pStyle w:val="ParagraphStyle12"/>
              <w:rPr>
                <w:rStyle w:val="CharacterStyle12"/>
              </w:rPr>
            </w:pPr>
            <w:r>
              <w:rPr>
                <w:rStyle w:val="CharacterStyle12"/>
              </w:rPr>
              <w:t>5.000,00</w:t>
            </w:r>
          </w:p>
        </w:tc>
      </w:tr>
      <w:tr w:rsidR="007D706A" w14:paraId="35450DF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5684725" w14:textId="77777777" w:rsidR="007D706A" w:rsidRDefault="007D706A" w:rsidP="00F70508">
            <w:pPr>
              <w:pStyle w:val="ParagraphStyle4"/>
              <w:rPr>
                <w:rStyle w:val="CharacterStyle4"/>
              </w:rPr>
            </w:pPr>
            <w:r>
              <w:rPr>
                <w:rStyle w:val="CharacterStyle4"/>
              </w:rPr>
              <w:t>Aktivnost A103306</w:t>
            </w:r>
          </w:p>
        </w:tc>
        <w:tc>
          <w:tcPr>
            <w:tcW w:w="4995" w:type="dxa"/>
            <w:tcBorders>
              <w:bottom w:val="single" w:sz="6" w:space="0" w:color="000000"/>
              <w:right w:val="single" w:sz="6" w:space="0" w:color="000000"/>
            </w:tcBorders>
            <w:vAlign w:val="center"/>
          </w:tcPr>
          <w:p w14:paraId="2C7E2F88" w14:textId="77777777" w:rsidR="007D706A" w:rsidRDefault="007D706A" w:rsidP="00F70508">
            <w:pPr>
              <w:pStyle w:val="ParagraphStyle5"/>
              <w:rPr>
                <w:rStyle w:val="CharacterStyle5"/>
              </w:rPr>
            </w:pPr>
            <w:r>
              <w:rPr>
                <w:rStyle w:val="CharacterStyle5"/>
              </w:rPr>
              <w:t>POVJERENSTVO ZA OCJENJIVANJE PRIJAVA</w:t>
            </w:r>
          </w:p>
        </w:tc>
        <w:tc>
          <w:tcPr>
            <w:tcW w:w="1395" w:type="dxa"/>
            <w:tcBorders>
              <w:bottom w:val="single" w:sz="6" w:space="0" w:color="000000"/>
              <w:right w:val="single" w:sz="6" w:space="0" w:color="000000"/>
            </w:tcBorders>
            <w:vAlign w:val="center"/>
          </w:tcPr>
          <w:p w14:paraId="7FF24D1E"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0D857A80" w14:textId="77777777" w:rsidR="007D706A" w:rsidRDefault="007D706A" w:rsidP="00F70508">
            <w:pPr>
              <w:pStyle w:val="ParagraphStyle6"/>
              <w:rPr>
                <w:rStyle w:val="CharacterStyle6"/>
              </w:rPr>
            </w:pPr>
            <w:r>
              <w:rPr>
                <w:rStyle w:val="CharacterStyle6"/>
              </w:rPr>
              <w:t>100,00</w:t>
            </w:r>
          </w:p>
        </w:tc>
        <w:tc>
          <w:tcPr>
            <w:tcW w:w="1395" w:type="dxa"/>
            <w:tcBorders>
              <w:bottom w:val="single" w:sz="6" w:space="0" w:color="000000"/>
              <w:right w:val="single" w:sz="6" w:space="0" w:color="000000"/>
            </w:tcBorders>
            <w:vAlign w:val="center"/>
          </w:tcPr>
          <w:p w14:paraId="54B94B0D" w14:textId="77777777" w:rsidR="007D706A" w:rsidRDefault="007D706A" w:rsidP="00F70508">
            <w:pPr>
              <w:pStyle w:val="ParagraphStyle6"/>
              <w:rPr>
                <w:rStyle w:val="CharacterStyle6"/>
              </w:rPr>
            </w:pPr>
            <w:r>
              <w:rPr>
                <w:rStyle w:val="CharacterStyle6"/>
              </w:rPr>
              <w:t>100,00</w:t>
            </w:r>
          </w:p>
        </w:tc>
        <w:tc>
          <w:tcPr>
            <w:tcW w:w="1395" w:type="dxa"/>
            <w:tcBorders>
              <w:bottom w:val="single" w:sz="6" w:space="0" w:color="000000"/>
              <w:right w:val="single" w:sz="6" w:space="0" w:color="000000"/>
            </w:tcBorders>
            <w:vAlign w:val="center"/>
          </w:tcPr>
          <w:p w14:paraId="638127A8" w14:textId="77777777" w:rsidR="007D706A" w:rsidRDefault="007D706A" w:rsidP="00F70508">
            <w:pPr>
              <w:pStyle w:val="ParagraphStyle6"/>
              <w:rPr>
                <w:rStyle w:val="CharacterStyle6"/>
              </w:rPr>
            </w:pPr>
            <w:r>
              <w:rPr>
                <w:rStyle w:val="CharacterStyle6"/>
              </w:rPr>
              <w:t>150,00</w:t>
            </w:r>
          </w:p>
        </w:tc>
        <w:tc>
          <w:tcPr>
            <w:tcW w:w="1395" w:type="dxa"/>
            <w:tcBorders>
              <w:bottom w:val="single" w:sz="6" w:space="0" w:color="000000"/>
              <w:right w:val="single" w:sz="6" w:space="0" w:color="000000"/>
            </w:tcBorders>
            <w:vAlign w:val="center"/>
          </w:tcPr>
          <w:p w14:paraId="6CDB547C" w14:textId="77777777" w:rsidR="007D706A" w:rsidRDefault="007D706A" w:rsidP="00F70508">
            <w:pPr>
              <w:pStyle w:val="ParagraphStyle6"/>
              <w:rPr>
                <w:rStyle w:val="CharacterStyle6"/>
              </w:rPr>
            </w:pPr>
            <w:r>
              <w:rPr>
                <w:rStyle w:val="CharacterStyle6"/>
              </w:rPr>
              <w:t>150,00</w:t>
            </w:r>
          </w:p>
        </w:tc>
      </w:tr>
      <w:tr w:rsidR="007D706A" w14:paraId="64421A3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5347173"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37F12AA2"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39FD6B3C"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A07A33B" w14:textId="77777777" w:rsidR="007D706A" w:rsidRDefault="007D706A" w:rsidP="00F70508">
            <w:pPr>
              <w:pStyle w:val="ParagraphStyle9"/>
              <w:rPr>
                <w:rStyle w:val="CharacterStyle9"/>
              </w:rPr>
            </w:pPr>
            <w:r>
              <w:rPr>
                <w:rStyle w:val="CharacterStyle9"/>
              </w:rPr>
              <w:t>100,00</w:t>
            </w:r>
          </w:p>
        </w:tc>
        <w:tc>
          <w:tcPr>
            <w:tcW w:w="1395" w:type="dxa"/>
            <w:tcBorders>
              <w:bottom w:val="single" w:sz="6" w:space="0" w:color="000000"/>
              <w:right w:val="single" w:sz="6" w:space="0" w:color="000000"/>
            </w:tcBorders>
            <w:vAlign w:val="center"/>
          </w:tcPr>
          <w:p w14:paraId="220DDE62" w14:textId="77777777" w:rsidR="007D706A" w:rsidRDefault="007D706A" w:rsidP="00F70508">
            <w:pPr>
              <w:pStyle w:val="ParagraphStyle9"/>
              <w:rPr>
                <w:rStyle w:val="CharacterStyle9"/>
              </w:rPr>
            </w:pPr>
            <w:r>
              <w:rPr>
                <w:rStyle w:val="CharacterStyle9"/>
              </w:rPr>
              <w:t>100,00</w:t>
            </w:r>
          </w:p>
        </w:tc>
        <w:tc>
          <w:tcPr>
            <w:tcW w:w="1395" w:type="dxa"/>
            <w:tcBorders>
              <w:bottom w:val="single" w:sz="6" w:space="0" w:color="000000"/>
              <w:right w:val="single" w:sz="6" w:space="0" w:color="000000"/>
            </w:tcBorders>
            <w:vAlign w:val="center"/>
          </w:tcPr>
          <w:p w14:paraId="0919282D" w14:textId="77777777" w:rsidR="007D706A" w:rsidRDefault="007D706A" w:rsidP="00F70508">
            <w:pPr>
              <w:pStyle w:val="ParagraphStyle9"/>
              <w:rPr>
                <w:rStyle w:val="CharacterStyle9"/>
              </w:rPr>
            </w:pPr>
            <w:r>
              <w:rPr>
                <w:rStyle w:val="CharacterStyle9"/>
              </w:rPr>
              <w:t>150,00</w:t>
            </w:r>
          </w:p>
        </w:tc>
        <w:tc>
          <w:tcPr>
            <w:tcW w:w="1395" w:type="dxa"/>
            <w:tcBorders>
              <w:bottom w:val="single" w:sz="6" w:space="0" w:color="000000"/>
              <w:right w:val="single" w:sz="6" w:space="0" w:color="000000"/>
            </w:tcBorders>
            <w:vAlign w:val="center"/>
          </w:tcPr>
          <w:p w14:paraId="25270045" w14:textId="77777777" w:rsidR="007D706A" w:rsidRDefault="007D706A" w:rsidP="00F70508">
            <w:pPr>
              <w:pStyle w:val="ParagraphStyle9"/>
              <w:rPr>
                <w:rStyle w:val="CharacterStyle9"/>
              </w:rPr>
            </w:pPr>
            <w:r>
              <w:rPr>
                <w:rStyle w:val="CharacterStyle9"/>
              </w:rPr>
              <w:t>150,00</w:t>
            </w:r>
          </w:p>
        </w:tc>
      </w:tr>
      <w:tr w:rsidR="007D706A" w14:paraId="1E4420F6"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6F40D23"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6BA8E628"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499282B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4ACAB60" w14:textId="77777777" w:rsidR="007D706A" w:rsidRDefault="007D706A" w:rsidP="00F70508">
            <w:pPr>
              <w:pStyle w:val="ParagraphStyle12"/>
              <w:rPr>
                <w:rStyle w:val="CharacterStyle12"/>
              </w:rPr>
            </w:pPr>
            <w:r>
              <w:rPr>
                <w:rStyle w:val="CharacterStyle12"/>
              </w:rPr>
              <w:t>100,00</w:t>
            </w:r>
          </w:p>
        </w:tc>
        <w:tc>
          <w:tcPr>
            <w:tcW w:w="1395" w:type="dxa"/>
            <w:tcBorders>
              <w:bottom w:val="single" w:sz="6" w:space="0" w:color="000000"/>
              <w:right w:val="single" w:sz="6" w:space="0" w:color="000000"/>
            </w:tcBorders>
            <w:vAlign w:val="center"/>
          </w:tcPr>
          <w:p w14:paraId="3F374B01" w14:textId="77777777" w:rsidR="007D706A" w:rsidRDefault="007D706A" w:rsidP="00F70508">
            <w:pPr>
              <w:pStyle w:val="ParagraphStyle12"/>
              <w:rPr>
                <w:rStyle w:val="CharacterStyle12"/>
              </w:rPr>
            </w:pPr>
            <w:r>
              <w:rPr>
                <w:rStyle w:val="CharacterStyle12"/>
              </w:rPr>
              <w:t>100,00</w:t>
            </w:r>
          </w:p>
        </w:tc>
        <w:tc>
          <w:tcPr>
            <w:tcW w:w="1395" w:type="dxa"/>
            <w:tcBorders>
              <w:bottom w:val="single" w:sz="6" w:space="0" w:color="000000"/>
              <w:right w:val="single" w:sz="6" w:space="0" w:color="000000"/>
            </w:tcBorders>
            <w:vAlign w:val="center"/>
          </w:tcPr>
          <w:p w14:paraId="474549FE" w14:textId="77777777" w:rsidR="007D706A" w:rsidRDefault="007D706A" w:rsidP="00F70508">
            <w:pPr>
              <w:pStyle w:val="ParagraphStyle12"/>
              <w:rPr>
                <w:rStyle w:val="CharacterStyle12"/>
              </w:rPr>
            </w:pPr>
            <w:r>
              <w:rPr>
                <w:rStyle w:val="CharacterStyle12"/>
              </w:rPr>
              <w:t>150,00</w:t>
            </w:r>
          </w:p>
        </w:tc>
        <w:tc>
          <w:tcPr>
            <w:tcW w:w="1395" w:type="dxa"/>
            <w:tcBorders>
              <w:bottom w:val="single" w:sz="6" w:space="0" w:color="000000"/>
              <w:right w:val="single" w:sz="6" w:space="0" w:color="000000"/>
            </w:tcBorders>
            <w:vAlign w:val="center"/>
          </w:tcPr>
          <w:p w14:paraId="48346CF0" w14:textId="77777777" w:rsidR="007D706A" w:rsidRDefault="007D706A" w:rsidP="00F70508">
            <w:pPr>
              <w:pStyle w:val="ParagraphStyle12"/>
              <w:rPr>
                <w:rStyle w:val="CharacterStyle12"/>
              </w:rPr>
            </w:pPr>
            <w:r>
              <w:rPr>
                <w:rStyle w:val="CharacterStyle12"/>
              </w:rPr>
              <w:t>150,00</w:t>
            </w:r>
          </w:p>
        </w:tc>
      </w:tr>
      <w:tr w:rsidR="007D706A" w14:paraId="12CAA40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6B134D1" w14:textId="77777777" w:rsidR="007D706A" w:rsidRDefault="007D706A" w:rsidP="00F70508">
            <w:pPr>
              <w:pStyle w:val="ParagraphStyle10"/>
              <w:rPr>
                <w:rStyle w:val="CharacterStyle10"/>
              </w:rPr>
            </w:pPr>
            <w:r>
              <w:rPr>
                <w:rStyle w:val="CharacterStyle10"/>
              </w:rPr>
              <w:lastRenderedPageBreak/>
              <w:t>32</w:t>
            </w:r>
          </w:p>
        </w:tc>
        <w:tc>
          <w:tcPr>
            <w:tcW w:w="4995" w:type="dxa"/>
            <w:tcBorders>
              <w:bottom w:val="single" w:sz="6" w:space="0" w:color="000000"/>
              <w:right w:val="single" w:sz="6" w:space="0" w:color="000000"/>
            </w:tcBorders>
            <w:vAlign w:val="center"/>
          </w:tcPr>
          <w:p w14:paraId="4743F949"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15BF4AA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6A08A90" w14:textId="77777777" w:rsidR="007D706A" w:rsidRDefault="007D706A" w:rsidP="00F70508">
            <w:pPr>
              <w:pStyle w:val="ParagraphStyle12"/>
              <w:rPr>
                <w:rStyle w:val="CharacterStyle12"/>
              </w:rPr>
            </w:pPr>
            <w:r>
              <w:rPr>
                <w:rStyle w:val="CharacterStyle12"/>
              </w:rPr>
              <w:t>100,00</w:t>
            </w:r>
          </w:p>
        </w:tc>
        <w:tc>
          <w:tcPr>
            <w:tcW w:w="1395" w:type="dxa"/>
            <w:tcBorders>
              <w:bottom w:val="single" w:sz="6" w:space="0" w:color="000000"/>
              <w:right w:val="single" w:sz="6" w:space="0" w:color="000000"/>
            </w:tcBorders>
            <w:vAlign w:val="center"/>
          </w:tcPr>
          <w:p w14:paraId="37F0AD99" w14:textId="77777777" w:rsidR="007D706A" w:rsidRDefault="007D706A" w:rsidP="00F70508">
            <w:pPr>
              <w:pStyle w:val="ParagraphStyle12"/>
              <w:rPr>
                <w:rStyle w:val="CharacterStyle12"/>
              </w:rPr>
            </w:pPr>
            <w:r>
              <w:rPr>
                <w:rStyle w:val="CharacterStyle12"/>
              </w:rPr>
              <w:t>100,00</w:t>
            </w:r>
          </w:p>
        </w:tc>
        <w:tc>
          <w:tcPr>
            <w:tcW w:w="1395" w:type="dxa"/>
            <w:tcBorders>
              <w:bottom w:val="single" w:sz="6" w:space="0" w:color="000000"/>
              <w:right w:val="single" w:sz="6" w:space="0" w:color="000000"/>
            </w:tcBorders>
            <w:vAlign w:val="center"/>
          </w:tcPr>
          <w:p w14:paraId="2740A704" w14:textId="77777777" w:rsidR="007D706A" w:rsidRDefault="007D706A" w:rsidP="00F70508">
            <w:pPr>
              <w:pStyle w:val="ParagraphStyle12"/>
              <w:rPr>
                <w:rStyle w:val="CharacterStyle12"/>
              </w:rPr>
            </w:pPr>
            <w:r>
              <w:rPr>
                <w:rStyle w:val="CharacterStyle12"/>
              </w:rPr>
              <w:t>150,00</w:t>
            </w:r>
          </w:p>
        </w:tc>
        <w:tc>
          <w:tcPr>
            <w:tcW w:w="1395" w:type="dxa"/>
            <w:tcBorders>
              <w:bottom w:val="single" w:sz="6" w:space="0" w:color="000000"/>
              <w:right w:val="single" w:sz="6" w:space="0" w:color="000000"/>
            </w:tcBorders>
            <w:vAlign w:val="center"/>
          </w:tcPr>
          <w:p w14:paraId="76541586" w14:textId="77777777" w:rsidR="007D706A" w:rsidRDefault="007D706A" w:rsidP="00F70508">
            <w:pPr>
              <w:pStyle w:val="ParagraphStyle12"/>
              <w:rPr>
                <w:rStyle w:val="CharacterStyle12"/>
              </w:rPr>
            </w:pPr>
            <w:r>
              <w:rPr>
                <w:rStyle w:val="CharacterStyle12"/>
              </w:rPr>
              <w:t>150,00</w:t>
            </w:r>
          </w:p>
        </w:tc>
      </w:tr>
      <w:tr w:rsidR="007D706A" w14:paraId="7D70771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3044FA2" w14:textId="77777777" w:rsidR="007D706A" w:rsidRDefault="007D706A" w:rsidP="00F70508">
            <w:pPr>
              <w:pStyle w:val="ParagraphStyle4"/>
              <w:rPr>
                <w:rStyle w:val="CharacterStyle4"/>
              </w:rPr>
            </w:pPr>
            <w:r>
              <w:rPr>
                <w:rStyle w:val="CharacterStyle4"/>
              </w:rPr>
              <w:t>Aktivnost A103307</w:t>
            </w:r>
          </w:p>
        </w:tc>
        <w:tc>
          <w:tcPr>
            <w:tcW w:w="4995" w:type="dxa"/>
            <w:tcBorders>
              <w:bottom w:val="single" w:sz="6" w:space="0" w:color="000000"/>
              <w:right w:val="single" w:sz="6" w:space="0" w:color="000000"/>
            </w:tcBorders>
            <w:vAlign w:val="center"/>
          </w:tcPr>
          <w:p w14:paraId="576FA336" w14:textId="77777777" w:rsidR="007D706A" w:rsidRDefault="007D706A" w:rsidP="00F70508">
            <w:pPr>
              <w:pStyle w:val="ParagraphStyle5"/>
              <w:rPr>
                <w:rStyle w:val="CharacterStyle5"/>
              </w:rPr>
            </w:pPr>
            <w:r>
              <w:rPr>
                <w:rStyle w:val="CharacterStyle5"/>
              </w:rPr>
              <w:t>PROGRAM RANOG OTKRIVANJA TUMORA PROSTATE</w:t>
            </w:r>
          </w:p>
        </w:tc>
        <w:tc>
          <w:tcPr>
            <w:tcW w:w="1395" w:type="dxa"/>
            <w:tcBorders>
              <w:bottom w:val="single" w:sz="6" w:space="0" w:color="000000"/>
              <w:right w:val="single" w:sz="6" w:space="0" w:color="000000"/>
            </w:tcBorders>
            <w:vAlign w:val="center"/>
          </w:tcPr>
          <w:p w14:paraId="70D532A5"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3E04E797" w14:textId="77777777" w:rsidR="007D706A" w:rsidRDefault="007D706A" w:rsidP="00F70508">
            <w:pPr>
              <w:pStyle w:val="ParagraphStyle6"/>
              <w:rPr>
                <w:rStyle w:val="CharacterStyle6"/>
              </w:rPr>
            </w:pPr>
            <w:r>
              <w:rPr>
                <w:rStyle w:val="CharacterStyle6"/>
              </w:rPr>
              <w:t>3.100,00</w:t>
            </w:r>
          </w:p>
        </w:tc>
        <w:tc>
          <w:tcPr>
            <w:tcW w:w="1395" w:type="dxa"/>
            <w:tcBorders>
              <w:bottom w:val="single" w:sz="6" w:space="0" w:color="000000"/>
              <w:right w:val="single" w:sz="6" w:space="0" w:color="000000"/>
            </w:tcBorders>
            <w:vAlign w:val="center"/>
          </w:tcPr>
          <w:p w14:paraId="5D356B3D" w14:textId="77777777" w:rsidR="007D706A" w:rsidRDefault="007D706A" w:rsidP="00F70508">
            <w:pPr>
              <w:pStyle w:val="ParagraphStyle6"/>
              <w:rPr>
                <w:rStyle w:val="CharacterStyle6"/>
              </w:rPr>
            </w:pPr>
            <w:r>
              <w:rPr>
                <w:rStyle w:val="CharacterStyle6"/>
              </w:rPr>
              <w:t>3.000,00</w:t>
            </w:r>
          </w:p>
        </w:tc>
        <w:tc>
          <w:tcPr>
            <w:tcW w:w="1395" w:type="dxa"/>
            <w:tcBorders>
              <w:bottom w:val="single" w:sz="6" w:space="0" w:color="000000"/>
              <w:right w:val="single" w:sz="6" w:space="0" w:color="000000"/>
            </w:tcBorders>
            <w:vAlign w:val="center"/>
          </w:tcPr>
          <w:p w14:paraId="655FE5C4" w14:textId="77777777" w:rsidR="007D706A" w:rsidRDefault="007D706A" w:rsidP="00F70508">
            <w:pPr>
              <w:pStyle w:val="ParagraphStyle6"/>
              <w:rPr>
                <w:rStyle w:val="CharacterStyle6"/>
              </w:rPr>
            </w:pPr>
            <w:r>
              <w:rPr>
                <w:rStyle w:val="CharacterStyle6"/>
              </w:rPr>
              <w:t>3.000,00</w:t>
            </w:r>
          </w:p>
        </w:tc>
        <w:tc>
          <w:tcPr>
            <w:tcW w:w="1395" w:type="dxa"/>
            <w:tcBorders>
              <w:bottom w:val="single" w:sz="6" w:space="0" w:color="000000"/>
              <w:right w:val="single" w:sz="6" w:space="0" w:color="000000"/>
            </w:tcBorders>
            <w:vAlign w:val="center"/>
          </w:tcPr>
          <w:p w14:paraId="2AFE6B8B" w14:textId="77777777" w:rsidR="007D706A" w:rsidRDefault="007D706A" w:rsidP="00F70508">
            <w:pPr>
              <w:pStyle w:val="ParagraphStyle6"/>
              <w:rPr>
                <w:rStyle w:val="CharacterStyle6"/>
              </w:rPr>
            </w:pPr>
            <w:r>
              <w:rPr>
                <w:rStyle w:val="CharacterStyle6"/>
              </w:rPr>
              <w:t>3.000,00</w:t>
            </w:r>
          </w:p>
        </w:tc>
      </w:tr>
      <w:tr w:rsidR="007D706A" w14:paraId="69D5317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E953453"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1D0529F3"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6A2701ED"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581D934" w14:textId="77777777" w:rsidR="007D706A" w:rsidRDefault="007D706A" w:rsidP="00F70508">
            <w:pPr>
              <w:pStyle w:val="ParagraphStyle9"/>
              <w:rPr>
                <w:rStyle w:val="CharacterStyle9"/>
              </w:rPr>
            </w:pPr>
            <w:r>
              <w:rPr>
                <w:rStyle w:val="CharacterStyle9"/>
              </w:rPr>
              <w:t>3.100,00</w:t>
            </w:r>
          </w:p>
        </w:tc>
        <w:tc>
          <w:tcPr>
            <w:tcW w:w="1395" w:type="dxa"/>
            <w:tcBorders>
              <w:bottom w:val="single" w:sz="6" w:space="0" w:color="000000"/>
              <w:right w:val="single" w:sz="6" w:space="0" w:color="000000"/>
            </w:tcBorders>
            <w:vAlign w:val="center"/>
          </w:tcPr>
          <w:p w14:paraId="1176A69D" w14:textId="77777777" w:rsidR="007D706A" w:rsidRDefault="007D706A" w:rsidP="00F70508">
            <w:pPr>
              <w:pStyle w:val="ParagraphStyle9"/>
              <w:rPr>
                <w:rStyle w:val="CharacterStyle9"/>
              </w:rPr>
            </w:pPr>
            <w:r>
              <w:rPr>
                <w:rStyle w:val="CharacterStyle9"/>
              </w:rPr>
              <w:t>3.000,00</w:t>
            </w:r>
          </w:p>
        </w:tc>
        <w:tc>
          <w:tcPr>
            <w:tcW w:w="1395" w:type="dxa"/>
            <w:tcBorders>
              <w:bottom w:val="single" w:sz="6" w:space="0" w:color="000000"/>
              <w:right w:val="single" w:sz="6" w:space="0" w:color="000000"/>
            </w:tcBorders>
            <w:vAlign w:val="center"/>
          </w:tcPr>
          <w:p w14:paraId="0FE29F4B" w14:textId="77777777" w:rsidR="007D706A" w:rsidRDefault="007D706A" w:rsidP="00F70508">
            <w:pPr>
              <w:pStyle w:val="ParagraphStyle9"/>
              <w:rPr>
                <w:rStyle w:val="CharacterStyle9"/>
              </w:rPr>
            </w:pPr>
            <w:r>
              <w:rPr>
                <w:rStyle w:val="CharacterStyle9"/>
              </w:rPr>
              <w:t>3.000,00</w:t>
            </w:r>
          </w:p>
        </w:tc>
        <w:tc>
          <w:tcPr>
            <w:tcW w:w="1395" w:type="dxa"/>
            <w:tcBorders>
              <w:bottom w:val="single" w:sz="6" w:space="0" w:color="000000"/>
              <w:right w:val="single" w:sz="6" w:space="0" w:color="000000"/>
            </w:tcBorders>
            <w:vAlign w:val="center"/>
          </w:tcPr>
          <w:p w14:paraId="0405B3F3" w14:textId="77777777" w:rsidR="007D706A" w:rsidRDefault="007D706A" w:rsidP="00F70508">
            <w:pPr>
              <w:pStyle w:val="ParagraphStyle9"/>
              <w:rPr>
                <w:rStyle w:val="CharacterStyle9"/>
              </w:rPr>
            </w:pPr>
            <w:r>
              <w:rPr>
                <w:rStyle w:val="CharacterStyle9"/>
              </w:rPr>
              <w:t>3.000,00</w:t>
            </w:r>
          </w:p>
        </w:tc>
      </w:tr>
      <w:tr w:rsidR="007D706A" w14:paraId="2B2FA3A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2D87BCD"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361236D3"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73CDFDD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08FFBFE" w14:textId="77777777" w:rsidR="007D706A" w:rsidRDefault="007D706A" w:rsidP="00F70508">
            <w:pPr>
              <w:pStyle w:val="ParagraphStyle12"/>
              <w:rPr>
                <w:rStyle w:val="CharacterStyle12"/>
              </w:rPr>
            </w:pPr>
            <w:r>
              <w:rPr>
                <w:rStyle w:val="CharacterStyle12"/>
              </w:rPr>
              <w:t>3.100,00</w:t>
            </w:r>
          </w:p>
        </w:tc>
        <w:tc>
          <w:tcPr>
            <w:tcW w:w="1395" w:type="dxa"/>
            <w:tcBorders>
              <w:bottom w:val="single" w:sz="6" w:space="0" w:color="000000"/>
              <w:right w:val="single" w:sz="6" w:space="0" w:color="000000"/>
            </w:tcBorders>
            <w:vAlign w:val="center"/>
          </w:tcPr>
          <w:p w14:paraId="6EC325D9" w14:textId="77777777" w:rsidR="007D706A" w:rsidRDefault="007D706A" w:rsidP="00F70508">
            <w:pPr>
              <w:pStyle w:val="ParagraphStyle12"/>
              <w:rPr>
                <w:rStyle w:val="CharacterStyle12"/>
              </w:rPr>
            </w:pPr>
            <w:r>
              <w:rPr>
                <w:rStyle w:val="CharacterStyle12"/>
              </w:rPr>
              <w:t>3.000,00</w:t>
            </w:r>
          </w:p>
        </w:tc>
        <w:tc>
          <w:tcPr>
            <w:tcW w:w="1395" w:type="dxa"/>
            <w:tcBorders>
              <w:bottom w:val="single" w:sz="6" w:space="0" w:color="000000"/>
              <w:right w:val="single" w:sz="6" w:space="0" w:color="000000"/>
            </w:tcBorders>
            <w:vAlign w:val="center"/>
          </w:tcPr>
          <w:p w14:paraId="4F8FE939" w14:textId="77777777" w:rsidR="007D706A" w:rsidRDefault="007D706A" w:rsidP="00F70508">
            <w:pPr>
              <w:pStyle w:val="ParagraphStyle12"/>
              <w:rPr>
                <w:rStyle w:val="CharacterStyle12"/>
              </w:rPr>
            </w:pPr>
            <w:r>
              <w:rPr>
                <w:rStyle w:val="CharacterStyle12"/>
              </w:rPr>
              <w:t>3.000,00</w:t>
            </w:r>
          </w:p>
        </w:tc>
        <w:tc>
          <w:tcPr>
            <w:tcW w:w="1395" w:type="dxa"/>
            <w:tcBorders>
              <w:bottom w:val="single" w:sz="6" w:space="0" w:color="000000"/>
              <w:right w:val="single" w:sz="6" w:space="0" w:color="000000"/>
            </w:tcBorders>
            <w:vAlign w:val="center"/>
          </w:tcPr>
          <w:p w14:paraId="5EF2FF0E" w14:textId="77777777" w:rsidR="007D706A" w:rsidRDefault="007D706A" w:rsidP="00F70508">
            <w:pPr>
              <w:pStyle w:val="ParagraphStyle12"/>
              <w:rPr>
                <w:rStyle w:val="CharacterStyle12"/>
              </w:rPr>
            </w:pPr>
            <w:r>
              <w:rPr>
                <w:rStyle w:val="CharacterStyle12"/>
              </w:rPr>
              <w:t>3.000,00</w:t>
            </w:r>
          </w:p>
        </w:tc>
      </w:tr>
      <w:tr w:rsidR="007D706A" w14:paraId="7A454B7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DA57F1A"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3109EEF3"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6520A65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09A04B7" w14:textId="77777777" w:rsidR="007D706A" w:rsidRDefault="007D706A" w:rsidP="00F70508">
            <w:pPr>
              <w:pStyle w:val="ParagraphStyle12"/>
              <w:rPr>
                <w:rStyle w:val="CharacterStyle12"/>
              </w:rPr>
            </w:pPr>
            <w:r>
              <w:rPr>
                <w:rStyle w:val="CharacterStyle12"/>
              </w:rPr>
              <w:t>3.100,00</w:t>
            </w:r>
          </w:p>
        </w:tc>
        <w:tc>
          <w:tcPr>
            <w:tcW w:w="1395" w:type="dxa"/>
            <w:tcBorders>
              <w:bottom w:val="single" w:sz="6" w:space="0" w:color="000000"/>
              <w:right w:val="single" w:sz="6" w:space="0" w:color="000000"/>
            </w:tcBorders>
            <w:vAlign w:val="center"/>
          </w:tcPr>
          <w:p w14:paraId="1FB3A14C" w14:textId="77777777" w:rsidR="007D706A" w:rsidRDefault="007D706A" w:rsidP="00F70508">
            <w:pPr>
              <w:pStyle w:val="ParagraphStyle12"/>
              <w:rPr>
                <w:rStyle w:val="CharacterStyle12"/>
              </w:rPr>
            </w:pPr>
            <w:r>
              <w:rPr>
                <w:rStyle w:val="CharacterStyle12"/>
              </w:rPr>
              <w:t>3.000,00</w:t>
            </w:r>
          </w:p>
        </w:tc>
        <w:tc>
          <w:tcPr>
            <w:tcW w:w="1395" w:type="dxa"/>
            <w:tcBorders>
              <w:bottom w:val="single" w:sz="6" w:space="0" w:color="000000"/>
              <w:right w:val="single" w:sz="6" w:space="0" w:color="000000"/>
            </w:tcBorders>
            <w:vAlign w:val="center"/>
          </w:tcPr>
          <w:p w14:paraId="493F98A8" w14:textId="77777777" w:rsidR="007D706A" w:rsidRDefault="007D706A" w:rsidP="00F70508">
            <w:pPr>
              <w:pStyle w:val="ParagraphStyle12"/>
              <w:rPr>
                <w:rStyle w:val="CharacterStyle12"/>
              </w:rPr>
            </w:pPr>
            <w:r>
              <w:rPr>
                <w:rStyle w:val="CharacterStyle12"/>
              </w:rPr>
              <w:t>3.000,00</w:t>
            </w:r>
          </w:p>
        </w:tc>
        <w:tc>
          <w:tcPr>
            <w:tcW w:w="1395" w:type="dxa"/>
            <w:tcBorders>
              <w:bottom w:val="single" w:sz="6" w:space="0" w:color="000000"/>
              <w:right w:val="single" w:sz="6" w:space="0" w:color="000000"/>
            </w:tcBorders>
            <w:vAlign w:val="center"/>
          </w:tcPr>
          <w:p w14:paraId="27D039C7" w14:textId="77777777" w:rsidR="007D706A" w:rsidRDefault="007D706A" w:rsidP="00F70508">
            <w:pPr>
              <w:pStyle w:val="ParagraphStyle12"/>
              <w:rPr>
                <w:rStyle w:val="CharacterStyle12"/>
              </w:rPr>
            </w:pPr>
            <w:r>
              <w:rPr>
                <w:rStyle w:val="CharacterStyle12"/>
              </w:rPr>
              <w:t>3.000,00</w:t>
            </w:r>
          </w:p>
        </w:tc>
      </w:tr>
      <w:tr w:rsidR="007D706A" w14:paraId="3AABBF43" w14:textId="77777777" w:rsidTr="00F70508">
        <w:trPr>
          <w:trHeight w:val="405"/>
        </w:trPr>
        <w:tc>
          <w:tcPr>
            <w:tcW w:w="2880" w:type="dxa"/>
            <w:tcBorders>
              <w:left w:val="single" w:sz="6" w:space="0" w:color="000000"/>
              <w:bottom w:val="single" w:sz="6" w:space="0" w:color="000000"/>
              <w:right w:val="single" w:sz="6" w:space="0" w:color="000000"/>
            </w:tcBorders>
            <w:vAlign w:val="center"/>
          </w:tcPr>
          <w:p w14:paraId="4F6D6C66" w14:textId="77777777" w:rsidR="007D706A" w:rsidRDefault="007D706A" w:rsidP="00F70508">
            <w:pPr>
              <w:pStyle w:val="ParagraphStyle4"/>
              <w:rPr>
                <w:rStyle w:val="CharacterStyle4"/>
              </w:rPr>
            </w:pPr>
            <w:r>
              <w:rPr>
                <w:rStyle w:val="CharacterStyle4"/>
              </w:rPr>
              <w:t>Aktivnost A103308</w:t>
            </w:r>
          </w:p>
        </w:tc>
        <w:tc>
          <w:tcPr>
            <w:tcW w:w="4995" w:type="dxa"/>
            <w:tcBorders>
              <w:bottom w:val="single" w:sz="6" w:space="0" w:color="000000"/>
              <w:right w:val="single" w:sz="6" w:space="0" w:color="000000"/>
            </w:tcBorders>
            <w:vAlign w:val="center"/>
          </w:tcPr>
          <w:p w14:paraId="33E4603E" w14:textId="77777777" w:rsidR="007D706A" w:rsidRDefault="007D706A" w:rsidP="00F70508">
            <w:pPr>
              <w:pStyle w:val="ParagraphStyle5"/>
              <w:rPr>
                <w:rStyle w:val="CharacterStyle5"/>
              </w:rPr>
            </w:pPr>
            <w:r>
              <w:rPr>
                <w:rStyle w:val="CharacterStyle5"/>
              </w:rPr>
              <w:t>SAVJETOVALIŠTE ZA SPOLNO I REPRODUKTIVNO ZDRAVLJE MLADIH</w:t>
            </w:r>
          </w:p>
        </w:tc>
        <w:tc>
          <w:tcPr>
            <w:tcW w:w="1395" w:type="dxa"/>
            <w:tcBorders>
              <w:bottom w:val="single" w:sz="6" w:space="0" w:color="000000"/>
              <w:right w:val="single" w:sz="6" w:space="0" w:color="000000"/>
            </w:tcBorders>
            <w:vAlign w:val="center"/>
          </w:tcPr>
          <w:p w14:paraId="5B4D0689"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350091B5" w14:textId="77777777" w:rsidR="007D706A" w:rsidRDefault="007D706A" w:rsidP="00F70508">
            <w:pPr>
              <w:pStyle w:val="ParagraphStyle6"/>
              <w:rPr>
                <w:rStyle w:val="CharacterStyle6"/>
              </w:rPr>
            </w:pPr>
            <w:r>
              <w:rPr>
                <w:rStyle w:val="CharacterStyle6"/>
              </w:rPr>
              <w:t>2.650,00</w:t>
            </w:r>
          </w:p>
        </w:tc>
        <w:tc>
          <w:tcPr>
            <w:tcW w:w="1395" w:type="dxa"/>
            <w:tcBorders>
              <w:bottom w:val="single" w:sz="6" w:space="0" w:color="000000"/>
              <w:right w:val="single" w:sz="6" w:space="0" w:color="000000"/>
            </w:tcBorders>
            <w:vAlign w:val="center"/>
          </w:tcPr>
          <w:p w14:paraId="71E2A1B8" w14:textId="77777777" w:rsidR="007D706A" w:rsidRDefault="007D706A" w:rsidP="00F70508">
            <w:pPr>
              <w:pStyle w:val="ParagraphStyle6"/>
              <w:rPr>
                <w:rStyle w:val="CharacterStyle6"/>
              </w:rPr>
            </w:pPr>
            <w:r>
              <w:rPr>
                <w:rStyle w:val="CharacterStyle6"/>
              </w:rPr>
              <w:t>2.970,00</w:t>
            </w:r>
          </w:p>
        </w:tc>
        <w:tc>
          <w:tcPr>
            <w:tcW w:w="1395" w:type="dxa"/>
            <w:tcBorders>
              <w:bottom w:val="single" w:sz="6" w:space="0" w:color="000000"/>
              <w:right w:val="single" w:sz="6" w:space="0" w:color="000000"/>
            </w:tcBorders>
            <w:vAlign w:val="center"/>
          </w:tcPr>
          <w:p w14:paraId="1E630F4D" w14:textId="77777777" w:rsidR="007D706A" w:rsidRDefault="007D706A" w:rsidP="00F70508">
            <w:pPr>
              <w:pStyle w:val="ParagraphStyle6"/>
              <w:rPr>
                <w:rStyle w:val="CharacterStyle6"/>
              </w:rPr>
            </w:pPr>
            <w:r>
              <w:rPr>
                <w:rStyle w:val="CharacterStyle6"/>
              </w:rPr>
              <w:t>2.970,00</w:t>
            </w:r>
          </w:p>
        </w:tc>
        <w:tc>
          <w:tcPr>
            <w:tcW w:w="1395" w:type="dxa"/>
            <w:tcBorders>
              <w:bottom w:val="single" w:sz="6" w:space="0" w:color="000000"/>
              <w:right w:val="single" w:sz="6" w:space="0" w:color="000000"/>
            </w:tcBorders>
            <w:vAlign w:val="center"/>
          </w:tcPr>
          <w:p w14:paraId="594EAF66" w14:textId="77777777" w:rsidR="007D706A" w:rsidRDefault="007D706A" w:rsidP="00F70508">
            <w:pPr>
              <w:pStyle w:val="ParagraphStyle6"/>
              <w:rPr>
                <w:rStyle w:val="CharacterStyle6"/>
              </w:rPr>
            </w:pPr>
            <w:r>
              <w:rPr>
                <w:rStyle w:val="CharacterStyle6"/>
              </w:rPr>
              <w:t>3.200,00</w:t>
            </w:r>
          </w:p>
        </w:tc>
      </w:tr>
      <w:tr w:rsidR="007D706A" w14:paraId="14A27D6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9D533B2"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332D2302"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65A4DA6B"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05C1AC9" w14:textId="77777777" w:rsidR="007D706A" w:rsidRDefault="007D706A" w:rsidP="00F70508">
            <w:pPr>
              <w:pStyle w:val="ParagraphStyle9"/>
              <w:rPr>
                <w:rStyle w:val="CharacterStyle9"/>
              </w:rPr>
            </w:pPr>
            <w:r>
              <w:rPr>
                <w:rStyle w:val="CharacterStyle9"/>
              </w:rPr>
              <w:t>2.650,00</w:t>
            </w:r>
          </w:p>
        </w:tc>
        <w:tc>
          <w:tcPr>
            <w:tcW w:w="1395" w:type="dxa"/>
            <w:tcBorders>
              <w:bottom w:val="single" w:sz="6" w:space="0" w:color="000000"/>
              <w:right w:val="single" w:sz="6" w:space="0" w:color="000000"/>
            </w:tcBorders>
            <w:vAlign w:val="center"/>
          </w:tcPr>
          <w:p w14:paraId="687C3150" w14:textId="77777777" w:rsidR="007D706A" w:rsidRDefault="007D706A" w:rsidP="00F70508">
            <w:pPr>
              <w:pStyle w:val="ParagraphStyle9"/>
              <w:rPr>
                <w:rStyle w:val="CharacterStyle9"/>
              </w:rPr>
            </w:pPr>
            <w:r>
              <w:rPr>
                <w:rStyle w:val="CharacterStyle9"/>
              </w:rPr>
              <w:t>2.970,00</w:t>
            </w:r>
          </w:p>
        </w:tc>
        <w:tc>
          <w:tcPr>
            <w:tcW w:w="1395" w:type="dxa"/>
            <w:tcBorders>
              <w:bottom w:val="single" w:sz="6" w:space="0" w:color="000000"/>
              <w:right w:val="single" w:sz="6" w:space="0" w:color="000000"/>
            </w:tcBorders>
            <w:vAlign w:val="center"/>
          </w:tcPr>
          <w:p w14:paraId="7F7CAEEA" w14:textId="77777777" w:rsidR="007D706A" w:rsidRDefault="007D706A" w:rsidP="00F70508">
            <w:pPr>
              <w:pStyle w:val="ParagraphStyle9"/>
              <w:rPr>
                <w:rStyle w:val="CharacterStyle9"/>
              </w:rPr>
            </w:pPr>
            <w:r>
              <w:rPr>
                <w:rStyle w:val="CharacterStyle9"/>
              </w:rPr>
              <w:t>2.970,00</w:t>
            </w:r>
          </w:p>
        </w:tc>
        <w:tc>
          <w:tcPr>
            <w:tcW w:w="1395" w:type="dxa"/>
            <w:tcBorders>
              <w:bottom w:val="single" w:sz="6" w:space="0" w:color="000000"/>
              <w:right w:val="single" w:sz="6" w:space="0" w:color="000000"/>
            </w:tcBorders>
            <w:vAlign w:val="center"/>
          </w:tcPr>
          <w:p w14:paraId="6D4F41F6" w14:textId="77777777" w:rsidR="007D706A" w:rsidRDefault="007D706A" w:rsidP="00F70508">
            <w:pPr>
              <w:pStyle w:val="ParagraphStyle9"/>
              <w:rPr>
                <w:rStyle w:val="CharacterStyle9"/>
              </w:rPr>
            </w:pPr>
            <w:r>
              <w:rPr>
                <w:rStyle w:val="CharacterStyle9"/>
              </w:rPr>
              <w:t>3.200,00</w:t>
            </w:r>
          </w:p>
        </w:tc>
      </w:tr>
      <w:tr w:rsidR="007D706A" w14:paraId="39DF33A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8B23FDF"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29492B39"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770C020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2B7661F" w14:textId="77777777" w:rsidR="007D706A" w:rsidRDefault="007D706A" w:rsidP="00F70508">
            <w:pPr>
              <w:pStyle w:val="ParagraphStyle12"/>
              <w:rPr>
                <w:rStyle w:val="CharacterStyle12"/>
              </w:rPr>
            </w:pPr>
            <w:r>
              <w:rPr>
                <w:rStyle w:val="CharacterStyle12"/>
              </w:rPr>
              <w:t>2.650,00</w:t>
            </w:r>
          </w:p>
        </w:tc>
        <w:tc>
          <w:tcPr>
            <w:tcW w:w="1395" w:type="dxa"/>
            <w:tcBorders>
              <w:bottom w:val="single" w:sz="6" w:space="0" w:color="000000"/>
              <w:right w:val="single" w:sz="6" w:space="0" w:color="000000"/>
            </w:tcBorders>
            <w:vAlign w:val="center"/>
          </w:tcPr>
          <w:p w14:paraId="70D56C21" w14:textId="77777777" w:rsidR="007D706A" w:rsidRDefault="007D706A" w:rsidP="00F70508">
            <w:pPr>
              <w:pStyle w:val="ParagraphStyle12"/>
              <w:rPr>
                <w:rStyle w:val="CharacterStyle12"/>
              </w:rPr>
            </w:pPr>
            <w:r>
              <w:rPr>
                <w:rStyle w:val="CharacterStyle12"/>
              </w:rPr>
              <w:t>2.970,00</w:t>
            </w:r>
          </w:p>
        </w:tc>
        <w:tc>
          <w:tcPr>
            <w:tcW w:w="1395" w:type="dxa"/>
            <w:tcBorders>
              <w:bottom w:val="single" w:sz="6" w:space="0" w:color="000000"/>
              <w:right w:val="single" w:sz="6" w:space="0" w:color="000000"/>
            </w:tcBorders>
            <w:vAlign w:val="center"/>
          </w:tcPr>
          <w:p w14:paraId="46A22905" w14:textId="77777777" w:rsidR="007D706A" w:rsidRDefault="007D706A" w:rsidP="00F70508">
            <w:pPr>
              <w:pStyle w:val="ParagraphStyle12"/>
              <w:rPr>
                <w:rStyle w:val="CharacterStyle12"/>
              </w:rPr>
            </w:pPr>
            <w:r>
              <w:rPr>
                <w:rStyle w:val="CharacterStyle12"/>
              </w:rPr>
              <w:t>2.970,00</w:t>
            </w:r>
          </w:p>
        </w:tc>
        <w:tc>
          <w:tcPr>
            <w:tcW w:w="1395" w:type="dxa"/>
            <w:tcBorders>
              <w:bottom w:val="single" w:sz="6" w:space="0" w:color="000000"/>
              <w:right w:val="single" w:sz="6" w:space="0" w:color="000000"/>
            </w:tcBorders>
            <w:vAlign w:val="center"/>
          </w:tcPr>
          <w:p w14:paraId="560C888C" w14:textId="77777777" w:rsidR="007D706A" w:rsidRDefault="007D706A" w:rsidP="00F70508">
            <w:pPr>
              <w:pStyle w:val="ParagraphStyle12"/>
              <w:rPr>
                <w:rStyle w:val="CharacterStyle12"/>
              </w:rPr>
            </w:pPr>
            <w:r>
              <w:rPr>
                <w:rStyle w:val="CharacterStyle12"/>
              </w:rPr>
              <w:t>3.200,00</w:t>
            </w:r>
          </w:p>
        </w:tc>
      </w:tr>
      <w:tr w:rsidR="007D706A" w14:paraId="71F95B7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2CCA059"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3F304FA6"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3B6C5A9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6DB1630" w14:textId="77777777" w:rsidR="007D706A" w:rsidRDefault="007D706A" w:rsidP="00F70508">
            <w:pPr>
              <w:pStyle w:val="ParagraphStyle12"/>
              <w:rPr>
                <w:rStyle w:val="CharacterStyle12"/>
              </w:rPr>
            </w:pPr>
            <w:r>
              <w:rPr>
                <w:rStyle w:val="CharacterStyle12"/>
              </w:rPr>
              <w:t>2.650,00</w:t>
            </w:r>
          </w:p>
        </w:tc>
        <w:tc>
          <w:tcPr>
            <w:tcW w:w="1395" w:type="dxa"/>
            <w:tcBorders>
              <w:bottom w:val="single" w:sz="6" w:space="0" w:color="000000"/>
              <w:right w:val="single" w:sz="6" w:space="0" w:color="000000"/>
            </w:tcBorders>
            <w:vAlign w:val="center"/>
          </w:tcPr>
          <w:p w14:paraId="5DEEFB0A" w14:textId="77777777" w:rsidR="007D706A" w:rsidRDefault="007D706A" w:rsidP="00F70508">
            <w:pPr>
              <w:pStyle w:val="ParagraphStyle12"/>
              <w:rPr>
                <w:rStyle w:val="CharacterStyle12"/>
              </w:rPr>
            </w:pPr>
            <w:r>
              <w:rPr>
                <w:rStyle w:val="CharacterStyle12"/>
              </w:rPr>
              <w:t>2.970,00</w:t>
            </w:r>
          </w:p>
        </w:tc>
        <w:tc>
          <w:tcPr>
            <w:tcW w:w="1395" w:type="dxa"/>
            <w:tcBorders>
              <w:bottom w:val="single" w:sz="6" w:space="0" w:color="000000"/>
              <w:right w:val="single" w:sz="6" w:space="0" w:color="000000"/>
            </w:tcBorders>
            <w:vAlign w:val="center"/>
          </w:tcPr>
          <w:p w14:paraId="3421930A" w14:textId="77777777" w:rsidR="007D706A" w:rsidRDefault="007D706A" w:rsidP="00F70508">
            <w:pPr>
              <w:pStyle w:val="ParagraphStyle12"/>
              <w:rPr>
                <w:rStyle w:val="CharacterStyle12"/>
              </w:rPr>
            </w:pPr>
            <w:r>
              <w:rPr>
                <w:rStyle w:val="CharacterStyle12"/>
              </w:rPr>
              <w:t>2.970,00</w:t>
            </w:r>
          </w:p>
        </w:tc>
        <w:tc>
          <w:tcPr>
            <w:tcW w:w="1395" w:type="dxa"/>
            <w:tcBorders>
              <w:bottom w:val="single" w:sz="6" w:space="0" w:color="000000"/>
              <w:right w:val="single" w:sz="6" w:space="0" w:color="000000"/>
            </w:tcBorders>
            <w:vAlign w:val="center"/>
          </w:tcPr>
          <w:p w14:paraId="0712A966" w14:textId="77777777" w:rsidR="007D706A" w:rsidRDefault="007D706A" w:rsidP="00F70508">
            <w:pPr>
              <w:pStyle w:val="ParagraphStyle12"/>
              <w:rPr>
                <w:rStyle w:val="CharacterStyle12"/>
              </w:rPr>
            </w:pPr>
            <w:r>
              <w:rPr>
                <w:rStyle w:val="CharacterStyle12"/>
              </w:rPr>
              <w:t>3.200,00</w:t>
            </w:r>
          </w:p>
        </w:tc>
      </w:tr>
      <w:tr w:rsidR="007D706A" w14:paraId="2C26C55C" w14:textId="77777777" w:rsidTr="00F70508">
        <w:trPr>
          <w:trHeight w:val="420"/>
        </w:trPr>
        <w:tc>
          <w:tcPr>
            <w:tcW w:w="2880" w:type="dxa"/>
            <w:tcBorders>
              <w:left w:val="single" w:sz="6" w:space="0" w:color="000000"/>
              <w:bottom w:val="single" w:sz="6" w:space="0" w:color="000000"/>
              <w:right w:val="single" w:sz="6" w:space="0" w:color="000000"/>
            </w:tcBorders>
            <w:vAlign w:val="center"/>
          </w:tcPr>
          <w:p w14:paraId="06369A8F" w14:textId="77777777" w:rsidR="007D706A" w:rsidRDefault="007D706A" w:rsidP="00F70508">
            <w:pPr>
              <w:pStyle w:val="ParagraphStyle4"/>
              <w:rPr>
                <w:rStyle w:val="CharacterStyle4"/>
              </w:rPr>
            </w:pPr>
            <w:r>
              <w:rPr>
                <w:rStyle w:val="CharacterStyle4"/>
              </w:rPr>
              <w:t>Kapitalni projekt K103303</w:t>
            </w:r>
          </w:p>
        </w:tc>
        <w:tc>
          <w:tcPr>
            <w:tcW w:w="4995" w:type="dxa"/>
            <w:tcBorders>
              <w:bottom w:val="single" w:sz="6" w:space="0" w:color="000000"/>
              <w:right w:val="single" w:sz="6" w:space="0" w:color="000000"/>
            </w:tcBorders>
            <w:vAlign w:val="center"/>
          </w:tcPr>
          <w:p w14:paraId="77D40795" w14:textId="77777777" w:rsidR="007D706A" w:rsidRDefault="007D706A" w:rsidP="00F70508">
            <w:pPr>
              <w:pStyle w:val="ParagraphStyle5"/>
              <w:rPr>
                <w:rStyle w:val="CharacterStyle5"/>
              </w:rPr>
            </w:pPr>
            <w:r>
              <w:rPr>
                <w:rStyle w:val="CharacterStyle5"/>
              </w:rPr>
              <w:t>SPECIJALNA BOLNICA ZA ORTOPEDIJU I REHABILITACIJU "MARTIN HORVAT" ROVINJ-ROVIGNO</w:t>
            </w:r>
          </w:p>
        </w:tc>
        <w:tc>
          <w:tcPr>
            <w:tcW w:w="1395" w:type="dxa"/>
            <w:tcBorders>
              <w:bottom w:val="single" w:sz="6" w:space="0" w:color="000000"/>
              <w:right w:val="single" w:sz="6" w:space="0" w:color="000000"/>
            </w:tcBorders>
            <w:vAlign w:val="center"/>
          </w:tcPr>
          <w:p w14:paraId="1C33E2B5"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0D8CEBBC" w14:textId="77777777" w:rsidR="007D706A" w:rsidRDefault="007D706A" w:rsidP="00F70508">
            <w:pPr>
              <w:pStyle w:val="ParagraphStyle6"/>
              <w:rPr>
                <w:rStyle w:val="CharacterStyle6"/>
              </w:rPr>
            </w:pPr>
            <w:r>
              <w:rPr>
                <w:rStyle w:val="CharacterStyle6"/>
              </w:rPr>
              <w:t>84.200,00</w:t>
            </w:r>
          </w:p>
        </w:tc>
        <w:tc>
          <w:tcPr>
            <w:tcW w:w="1395" w:type="dxa"/>
            <w:tcBorders>
              <w:bottom w:val="single" w:sz="6" w:space="0" w:color="000000"/>
              <w:right w:val="single" w:sz="6" w:space="0" w:color="000000"/>
            </w:tcBorders>
            <w:vAlign w:val="center"/>
          </w:tcPr>
          <w:p w14:paraId="723C44B0" w14:textId="77777777" w:rsidR="007D706A" w:rsidRDefault="007D706A" w:rsidP="00F70508">
            <w:pPr>
              <w:pStyle w:val="ParagraphStyle6"/>
              <w:rPr>
                <w:rStyle w:val="CharacterStyle6"/>
              </w:rPr>
            </w:pPr>
            <w:r>
              <w:rPr>
                <w:rStyle w:val="CharacterStyle6"/>
              </w:rPr>
              <w:t>81.800,00</w:t>
            </w:r>
          </w:p>
        </w:tc>
        <w:tc>
          <w:tcPr>
            <w:tcW w:w="1395" w:type="dxa"/>
            <w:tcBorders>
              <w:bottom w:val="single" w:sz="6" w:space="0" w:color="000000"/>
              <w:right w:val="single" w:sz="6" w:space="0" w:color="000000"/>
            </w:tcBorders>
            <w:vAlign w:val="center"/>
          </w:tcPr>
          <w:p w14:paraId="0D241963" w14:textId="77777777" w:rsidR="007D706A" w:rsidRDefault="007D706A" w:rsidP="00F70508">
            <w:pPr>
              <w:pStyle w:val="ParagraphStyle6"/>
              <w:rPr>
                <w:rStyle w:val="CharacterStyle6"/>
              </w:rPr>
            </w:pPr>
            <w:r>
              <w:rPr>
                <w:rStyle w:val="CharacterStyle6"/>
              </w:rPr>
              <w:t>82.288,00</w:t>
            </w:r>
          </w:p>
        </w:tc>
        <w:tc>
          <w:tcPr>
            <w:tcW w:w="1395" w:type="dxa"/>
            <w:tcBorders>
              <w:bottom w:val="single" w:sz="6" w:space="0" w:color="000000"/>
              <w:right w:val="single" w:sz="6" w:space="0" w:color="000000"/>
            </w:tcBorders>
            <w:vAlign w:val="center"/>
          </w:tcPr>
          <w:p w14:paraId="3CEEB1C6" w14:textId="77777777" w:rsidR="007D706A" w:rsidRDefault="007D706A" w:rsidP="00F70508">
            <w:pPr>
              <w:pStyle w:val="ParagraphStyle6"/>
              <w:rPr>
                <w:rStyle w:val="CharacterStyle6"/>
              </w:rPr>
            </w:pPr>
            <w:r>
              <w:rPr>
                <w:rStyle w:val="CharacterStyle6"/>
              </w:rPr>
              <w:t>82.112,00</w:t>
            </w:r>
          </w:p>
        </w:tc>
      </w:tr>
      <w:tr w:rsidR="007D706A" w14:paraId="0CD3DC96"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66E1863"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28AA701F"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2D9C2D27"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B7D0D7A" w14:textId="77777777" w:rsidR="007D706A" w:rsidRDefault="007D706A" w:rsidP="00F70508">
            <w:pPr>
              <w:pStyle w:val="ParagraphStyle9"/>
              <w:rPr>
                <w:rStyle w:val="CharacterStyle9"/>
              </w:rPr>
            </w:pPr>
            <w:r>
              <w:rPr>
                <w:rStyle w:val="CharacterStyle9"/>
              </w:rPr>
              <w:t>84.200,00</w:t>
            </w:r>
          </w:p>
        </w:tc>
        <w:tc>
          <w:tcPr>
            <w:tcW w:w="1395" w:type="dxa"/>
            <w:tcBorders>
              <w:bottom w:val="single" w:sz="6" w:space="0" w:color="000000"/>
              <w:right w:val="single" w:sz="6" w:space="0" w:color="000000"/>
            </w:tcBorders>
            <w:vAlign w:val="center"/>
          </w:tcPr>
          <w:p w14:paraId="677AF921" w14:textId="77777777" w:rsidR="007D706A" w:rsidRDefault="007D706A" w:rsidP="00F70508">
            <w:pPr>
              <w:pStyle w:val="ParagraphStyle9"/>
              <w:rPr>
                <w:rStyle w:val="CharacterStyle9"/>
              </w:rPr>
            </w:pPr>
            <w:r>
              <w:rPr>
                <w:rStyle w:val="CharacterStyle9"/>
              </w:rPr>
              <w:t>81.800,00</w:t>
            </w:r>
          </w:p>
        </w:tc>
        <w:tc>
          <w:tcPr>
            <w:tcW w:w="1395" w:type="dxa"/>
            <w:tcBorders>
              <w:bottom w:val="single" w:sz="6" w:space="0" w:color="000000"/>
              <w:right w:val="single" w:sz="6" w:space="0" w:color="000000"/>
            </w:tcBorders>
            <w:vAlign w:val="center"/>
          </w:tcPr>
          <w:p w14:paraId="73B451D5" w14:textId="77777777" w:rsidR="007D706A" w:rsidRDefault="007D706A" w:rsidP="00F70508">
            <w:pPr>
              <w:pStyle w:val="ParagraphStyle9"/>
              <w:rPr>
                <w:rStyle w:val="CharacterStyle9"/>
              </w:rPr>
            </w:pPr>
            <w:r>
              <w:rPr>
                <w:rStyle w:val="CharacterStyle9"/>
              </w:rPr>
              <w:t>82.288,00</w:t>
            </w:r>
          </w:p>
        </w:tc>
        <w:tc>
          <w:tcPr>
            <w:tcW w:w="1395" w:type="dxa"/>
            <w:tcBorders>
              <w:bottom w:val="single" w:sz="6" w:space="0" w:color="000000"/>
              <w:right w:val="single" w:sz="6" w:space="0" w:color="000000"/>
            </w:tcBorders>
            <w:vAlign w:val="center"/>
          </w:tcPr>
          <w:p w14:paraId="67B45954" w14:textId="77777777" w:rsidR="007D706A" w:rsidRDefault="007D706A" w:rsidP="00F70508">
            <w:pPr>
              <w:pStyle w:val="ParagraphStyle9"/>
              <w:rPr>
                <w:rStyle w:val="CharacterStyle9"/>
              </w:rPr>
            </w:pPr>
            <w:r>
              <w:rPr>
                <w:rStyle w:val="CharacterStyle9"/>
              </w:rPr>
              <w:t>82.112,00</w:t>
            </w:r>
          </w:p>
        </w:tc>
      </w:tr>
      <w:tr w:rsidR="007D706A" w14:paraId="532C402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6C21DA4"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4FF7EA6E"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74E94D3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544D761" w14:textId="77777777" w:rsidR="007D706A" w:rsidRDefault="007D706A" w:rsidP="00F70508">
            <w:pPr>
              <w:pStyle w:val="ParagraphStyle12"/>
              <w:rPr>
                <w:rStyle w:val="CharacterStyle12"/>
              </w:rPr>
            </w:pPr>
            <w:r>
              <w:rPr>
                <w:rStyle w:val="CharacterStyle12"/>
              </w:rPr>
              <w:t>84.200,00</w:t>
            </w:r>
          </w:p>
        </w:tc>
        <w:tc>
          <w:tcPr>
            <w:tcW w:w="1395" w:type="dxa"/>
            <w:tcBorders>
              <w:bottom w:val="single" w:sz="6" w:space="0" w:color="000000"/>
              <w:right w:val="single" w:sz="6" w:space="0" w:color="000000"/>
            </w:tcBorders>
            <w:vAlign w:val="center"/>
          </w:tcPr>
          <w:p w14:paraId="2D078353" w14:textId="77777777" w:rsidR="007D706A" w:rsidRDefault="007D706A" w:rsidP="00F70508">
            <w:pPr>
              <w:pStyle w:val="ParagraphStyle12"/>
              <w:rPr>
                <w:rStyle w:val="CharacterStyle12"/>
              </w:rPr>
            </w:pPr>
            <w:r>
              <w:rPr>
                <w:rStyle w:val="CharacterStyle12"/>
              </w:rPr>
              <w:t>81.800,00</w:t>
            </w:r>
          </w:p>
        </w:tc>
        <w:tc>
          <w:tcPr>
            <w:tcW w:w="1395" w:type="dxa"/>
            <w:tcBorders>
              <w:bottom w:val="single" w:sz="6" w:space="0" w:color="000000"/>
              <w:right w:val="single" w:sz="6" w:space="0" w:color="000000"/>
            </w:tcBorders>
            <w:vAlign w:val="center"/>
          </w:tcPr>
          <w:p w14:paraId="1445CDE3" w14:textId="77777777" w:rsidR="007D706A" w:rsidRDefault="007D706A" w:rsidP="00F70508">
            <w:pPr>
              <w:pStyle w:val="ParagraphStyle12"/>
              <w:rPr>
                <w:rStyle w:val="CharacterStyle12"/>
              </w:rPr>
            </w:pPr>
            <w:r>
              <w:rPr>
                <w:rStyle w:val="CharacterStyle12"/>
              </w:rPr>
              <w:t>82.288,00</w:t>
            </w:r>
          </w:p>
        </w:tc>
        <w:tc>
          <w:tcPr>
            <w:tcW w:w="1395" w:type="dxa"/>
            <w:tcBorders>
              <w:bottom w:val="single" w:sz="6" w:space="0" w:color="000000"/>
              <w:right w:val="single" w:sz="6" w:space="0" w:color="000000"/>
            </w:tcBorders>
            <w:vAlign w:val="center"/>
          </w:tcPr>
          <w:p w14:paraId="54F842EC" w14:textId="77777777" w:rsidR="007D706A" w:rsidRDefault="007D706A" w:rsidP="00F70508">
            <w:pPr>
              <w:pStyle w:val="ParagraphStyle12"/>
              <w:rPr>
                <w:rStyle w:val="CharacterStyle12"/>
              </w:rPr>
            </w:pPr>
            <w:r>
              <w:rPr>
                <w:rStyle w:val="CharacterStyle12"/>
              </w:rPr>
              <w:t>82.112,00</w:t>
            </w:r>
          </w:p>
        </w:tc>
      </w:tr>
      <w:tr w:rsidR="007D706A" w14:paraId="1E88047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3A72CDB" w14:textId="77777777" w:rsidR="007D706A" w:rsidRDefault="007D706A" w:rsidP="00F70508">
            <w:pPr>
              <w:pStyle w:val="ParagraphStyle10"/>
              <w:rPr>
                <w:rStyle w:val="CharacterStyle10"/>
              </w:rPr>
            </w:pPr>
            <w:r>
              <w:rPr>
                <w:rStyle w:val="CharacterStyle10"/>
              </w:rPr>
              <w:t>36</w:t>
            </w:r>
          </w:p>
        </w:tc>
        <w:tc>
          <w:tcPr>
            <w:tcW w:w="4995" w:type="dxa"/>
            <w:tcBorders>
              <w:bottom w:val="single" w:sz="6" w:space="0" w:color="000000"/>
              <w:right w:val="single" w:sz="6" w:space="0" w:color="000000"/>
            </w:tcBorders>
            <w:vAlign w:val="center"/>
          </w:tcPr>
          <w:p w14:paraId="1F70A8F9" w14:textId="77777777" w:rsidR="007D706A" w:rsidRDefault="007D706A" w:rsidP="00F70508">
            <w:pPr>
              <w:pStyle w:val="ParagraphStyle11"/>
              <w:rPr>
                <w:rStyle w:val="CharacterStyle11"/>
              </w:rPr>
            </w:pPr>
            <w:r>
              <w:rPr>
                <w:rStyle w:val="CharacterStyle11"/>
              </w:rPr>
              <w:t>Pomoći dane u inozemstvo i unutar općeg proračuna</w:t>
            </w:r>
          </w:p>
        </w:tc>
        <w:tc>
          <w:tcPr>
            <w:tcW w:w="1395" w:type="dxa"/>
            <w:tcBorders>
              <w:bottom w:val="single" w:sz="6" w:space="0" w:color="000000"/>
              <w:right w:val="single" w:sz="6" w:space="0" w:color="000000"/>
            </w:tcBorders>
            <w:vAlign w:val="center"/>
          </w:tcPr>
          <w:p w14:paraId="400F230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FBEF9AA" w14:textId="77777777" w:rsidR="007D706A" w:rsidRDefault="007D706A" w:rsidP="00F70508">
            <w:pPr>
              <w:pStyle w:val="ParagraphStyle12"/>
              <w:rPr>
                <w:rStyle w:val="CharacterStyle12"/>
              </w:rPr>
            </w:pPr>
            <w:r>
              <w:rPr>
                <w:rStyle w:val="CharacterStyle12"/>
              </w:rPr>
              <w:t>84.200,00</w:t>
            </w:r>
          </w:p>
        </w:tc>
        <w:tc>
          <w:tcPr>
            <w:tcW w:w="1395" w:type="dxa"/>
            <w:tcBorders>
              <w:bottom w:val="single" w:sz="6" w:space="0" w:color="000000"/>
              <w:right w:val="single" w:sz="6" w:space="0" w:color="000000"/>
            </w:tcBorders>
            <w:vAlign w:val="center"/>
          </w:tcPr>
          <w:p w14:paraId="7C7CC4D9" w14:textId="77777777" w:rsidR="007D706A" w:rsidRDefault="007D706A" w:rsidP="00F70508">
            <w:pPr>
              <w:pStyle w:val="ParagraphStyle12"/>
              <w:rPr>
                <w:rStyle w:val="CharacterStyle12"/>
              </w:rPr>
            </w:pPr>
            <w:r>
              <w:rPr>
                <w:rStyle w:val="CharacterStyle12"/>
              </w:rPr>
              <w:t>81.800,00</w:t>
            </w:r>
          </w:p>
        </w:tc>
        <w:tc>
          <w:tcPr>
            <w:tcW w:w="1395" w:type="dxa"/>
            <w:tcBorders>
              <w:bottom w:val="single" w:sz="6" w:space="0" w:color="000000"/>
              <w:right w:val="single" w:sz="6" w:space="0" w:color="000000"/>
            </w:tcBorders>
            <w:vAlign w:val="center"/>
          </w:tcPr>
          <w:p w14:paraId="5998ADB8" w14:textId="77777777" w:rsidR="007D706A" w:rsidRDefault="007D706A" w:rsidP="00F70508">
            <w:pPr>
              <w:pStyle w:val="ParagraphStyle12"/>
              <w:rPr>
                <w:rStyle w:val="CharacterStyle12"/>
              </w:rPr>
            </w:pPr>
            <w:r>
              <w:rPr>
                <w:rStyle w:val="CharacterStyle12"/>
              </w:rPr>
              <w:t>82.288,00</w:t>
            </w:r>
          </w:p>
        </w:tc>
        <w:tc>
          <w:tcPr>
            <w:tcW w:w="1395" w:type="dxa"/>
            <w:tcBorders>
              <w:bottom w:val="single" w:sz="6" w:space="0" w:color="000000"/>
              <w:right w:val="single" w:sz="6" w:space="0" w:color="000000"/>
            </w:tcBorders>
            <w:vAlign w:val="center"/>
          </w:tcPr>
          <w:p w14:paraId="514D5378" w14:textId="77777777" w:rsidR="007D706A" w:rsidRDefault="007D706A" w:rsidP="00F70508">
            <w:pPr>
              <w:pStyle w:val="ParagraphStyle12"/>
              <w:rPr>
                <w:rStyle w:val="CharacterStyle12"/>
              </w:rPr>
            </w:pPr>
            <w:r>
              <w:rPr>
                <w:rStyle w:val="CharacterStyle12"/>
              </w:rPr>
              <w:t>82.112,00</w:t>
            </w:r>
          </w:p>
        </w:tc>
      </w:tr>
      <w:tr w:rsidR="007D706A" w14:paraId="40F93A9A" w14:textId="77777777" w:rsidTr="00F70508">
        <w:trPr>
          <w:trHeight w:val="405"/>
        </w:trPr>
        <w:tc>
          <w:tcPr>
            <w:tcW w:w="2880" w:type="dxa"/>
            <w:tcBorders>
              <w:left w:val="single" w:sz="6" w:space="0" w:color="000000"/>
              <w:bottom w:val="single" w:sz="6" w:space="0" w:color="000000"/>
              <w:right w:val="single" w:sz="6" w:space="0" w:color="000000"/>
            </w:tcBorders>
            <w:vAlign w:val="center"/>
          </w:tcPr>
          <w:p w14:paraId="631F9228" w14:textId="77777777" w:rsidR="007D706A" w:rsidRDefault="007D706A" w:rsidP="00F70508">
            <w:pPr>
              <w:pStyle w:val="ParagraphStyle4"/>
              <w:rPr>
                <w:rStyle w:val="CharacterStyle4"/>
              </w:rPr>
            </w:pPr>
            <w:r>
              <w:rPr>
                <w:rStyle w:val="CharacterStyle4"/>
              </w:rPr>
              <w:t>Kapitalni projekt K103305</w:t>
            </w:r>
          </w:p>
        </w:tc>
        <w:tc>
          <w:tcPr>
            <w:tcW w:w="4995" w:type="dxa"/>
            <w:tcBorders>
              <w:bottom w:val="single" w:sz="6" w:space="0" w:color="000000"/>
              <w:right w:val="single" w:sz="6" w:space="0" w:color="000000"/>
            </w:tcBorders>
            <w:vAlign w:val="center"/>
          </w:tcPr>
          <w:p w14:paraId="4D36F554" w14:textId="77777777" w:rsidR="007D706A" w:rsidRDefault="007D706A" w:rsidP="00F70508">
            <w:pPr>
              <w:pStyle w:val="ParagraphStyle5"/>
              <w:rPr>
                <w:rStyle w:val="CharacterStyle5"/>
              </w:rPr>
            </w:pPr>
            <w:r>
              <w:rPr>
                <w:rStyle w:val="CharacterStyle5"/>
              </w:rPr>
              <w:t>SPECIJALNA BOLNICA ZA ORTOPEDIJU I REHABILITACIJU "MARTIN HORVAT" ROVINJ-ROVIGNO_DJEČJI ODJEL</w:t>
            </w:r>
          </w:p>
        </w:tc>
        <w:tc>
          <w:tcPr>
            <w:tcW w:w="1395" w:type="dxa"/>
            <w:tcBorders>
              <w:bottom w:val="single" w:sz="6" w:space="0" w:color="000000"/>
              <w:right w:val="single" w:sz="6" w:space="0" w:color="000000"/>
            </w:tcBorders>
            <w:vAlign w:val="center"/>
          </w:tcPr>
          <w:p w14:paraId="506E6777"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368412CD" w14:textId="77777777" w:rsidR="007D706A" w:rsidRDefault="007D706A" w:rsidP="00F70508">
            <w:pPr>
              <w:pStyle w:val="ParagraphStyle6"/>
              <w:rPr>
                <w:rStyle w:val="CharacterStyle6"/>
              </w:rPr>
            </w:pPr>
            <w:r>
              <w:rPr>
                <w:rStyle w:val="CharacterStyle6"/>
              </w:rPr>
              <w:t>19.200,00</w:t>
            </w:r>
          </w:p>
        </w:tc>
        <w:tc>
          <w:tcPr>
            <w:tcW w:w="1395" w:type="dxa"/>
            <w:tcBorders>
              <w:bottom w:val="single" w:sz="6" w:space="0" w:color="000000"/>
              <w:right w:val="single" w:sz="6" w:space="0" w:color="000000"/>
            </w:tcBorders>
            <w:vAlign w:val="center"/>
          </w:tcPr>
          <w:p w14:paraId="03D222C2" w14:textId="77777777" w:rsidR="007D706A" w:rsidRDefault="007D706A" w:rsidP="00F70508">
            <w:pPr>
              <w:pStyle w:val="ParagraphStyle6"/>
              <w:rPr>
                <w:rStyle w:val="CharacterStyle6"/>
              </w:rPr>
            </w:pPr>
            <w:r>
              <w:rPr>
                <w:rStyle w:val="CharacterStyle6"/>
              </w:rPr>
              <w:t>18.000,00</w:t>
            </w:r>
          </w:p>
        </w:tc>
        <w:tc>
          <w:tcPr>
            <w:tcW w:w="1395" w:type="dxa"/>
            <w:tcBorders>
              <w:bottom w:val="single" w:sz="6" w:space="0" w:color="000000"/>
              <w:right w:val="single" w:sz="6" w:space="0" w:color="000000"/>
            </w:tcBorders>
            <w:vAlign w:val="center"/>
          </w:tcPr>
          <w:p w14:paraId="2F8C2F9D" w14:textId="77777777" w:rsidR="007D706A" w:rsidRDefault="007D706A" w:rsidP="00F70508">
            <w:pPr>
              <w:pStyle w:val="ParagraphStyle6"/>
              <w:rPr>
                <w:rStyle w:val="CharacterStyle6"/>
              </w:rPr>
            </w:pPr>
            <w:r>
              <w:rPr>
                <w:rStyle w:val="CharacterStyle6"/>
              </w:rPr>
              <w:t>17.830,00</w:t>
            </w:r>
          </w:p>
        </w:tc>
        <w:tc>
          <w:tcPr>
            <w:tcW w:w="1395" w:type="dxa"/>
            <w:tcBorders>
              <w:bottom w:val="single" w:sz="6" w:space="0" w:color="000000"/>
              <w:right w:val="single" w:sz="6" w:space="0" w:color="000000"/>
            </w:tcBorders>
            <w:vAlign w:val="center"/>
          </w:tcPr>
          <w:p w14:paraId="300B6A49" w14:textId="77777777" w:rsidR="007D706A" w:rsidRDefault="007D706A" w:rsidP="00F70508">
            <w:pPr>
              <w:pStyle w:val="ParagraphStyle6"/>
              <w:rPr>
                <w:rStyle w:val="CharacterStyle6"/>
              </w:rPr>
            </w:pPr>
            <w:r>
              <w:rPr>
                <w:rStyle w:val="CharacterStyle6"/>
              </w:rPr>
              <w:t>17.700,00</w:t>
            </w:r>
          </w:p>
        </w:tc>
      </w:tr>
      <w:tr w:rsidR="007D706A" w14:paraId="453CAC3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449F5BF"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14656506"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10E15958"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02D475B" w14:textId="77777777" w:rsidR="007D706A" w:rsidRDefault="007D706A" w:rsidP="00F70508">
            <w:pPr>
              <w:pStyle w:val="ParagraphStyle9"/>
              <w:rPr>
                <w:rStyle w:val="CharacterStyle9"/>
              </w:rPr>
            </w:pPr>
            <w:r>
              <w:rPr>
                <w:rStyle w:val="CharacterStyle9"/>
              </w:rPr>
              <w:t>19.200,00</w:t>
            </w:r>
          </w:p>
        </w:tc>
        <w:tc>
          <w:tcPr>
            <w:tcW w:w="1395" w:type="dxa"/>
            <w:tcBorders>
              <w:bottom w:val="single" w:sz="6" w:space="0" w:color="000000"/>
              <w:right w:val="single" w:sz="6" w:space="0" w:color="000000"/>
            </w:tcBorders>
            <w:vAlign w:val="center"/>
          </w:tcPr>
          <w:p w14:paraId="54174559" w14:textId="77777777" w:rsidR="007D706A" w:rsidRDefault="007D706A" w:rsidP="00F70508">
            <w:pPr>
              <w:pStyle w:val="ParagraphStyle9"/>
              <w:rPr>
                <w:rStyle w:val="CharacterStyle9"/>
              </w:rPr>
            </w:pPr>
            <w:r>
              <w:rPr>
                <w:rStyle w:val="CharacterStyle9"/>
              </w:rPr>
              <w:t>18.000,00</w:t>
            </w:r>
          </w:p>
        </w:tc>
        <w:tc>
          <w:tcPr>
            <w:tcW w:w="1395" w:type="dxa"/>
            <w:tcBorders>
              <w:bottom w:val="single" w:sz="6" w:space="0" w:color="000000"/>
              <w:right w:val="single" w:sz="6" w:space="0" w:color="000000"/>
            </w:tcBorders>
            <w:vAlign w:val="center"/>
          </w:tcPr>
          <w:p w14:paraId="1BCC58A0" w14:textId="77777777" w:rsidR="007D706A" w:rsidRDefault="007D706A" w:rsidP="00F70508">
            <w:pPr>
              <w:pStyle w:val="ParagraphStyle9"/>
              <w:rPr>
                <w:rStyle w:val="CharacterStyle9"/>
              </w:rPr>
            </w:pPr>
            <w:r>
              <w:rPr>
                <w:rStyle w:val="CharacterStyle9"/>
              </w:rPr>
              <w:t>17.830,00</w:t>
            </w:r>
          </w:p>
        </w:tc>
        <w:tc>
          <w:tcPr>
            <w:tcW w:w="1395" w:type="dxa"/>
            <w:tcBorders>
              <w:bottom w:val="single" w:sz="6" w:space="0" w:color="000000"/>
              <w:right w:val="single" w:sz="6" w:space="0" w:color="000000"/>
            </w:tcBorders>
            <w:vAlign w:val="center"/>
          </w:tcPr>
          <w:p w14:paraId="0970BE2E" w14:textId="77777777" w:rsidR="007D706A" w:rsidRDefault="007D706A" w:rsidP="00F70508">
            <w:pPr>
              <w:pStyle w:val="ParagraphStyle9"/>
              <w:rPr>
                <w:rStyle w:val="CharacterStyle9"/>
              </w:rPr>
            </w:pPr>
            <w:r>
              <w:rPr>
                <w:rStyle w:val="CharacterStyle9"/>
              </w:rPr>
              <w:t>17.700,00</w:t>
            </w:r>
          </w:p>
        </w:tc>
      </w:tr>
      <w:tr w:rsidR="007D706A" w14:paraId="3FCF742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3A6F0ED"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76758A1D"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1640687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FF415F6" w14:textId="77777777" w:rsidR="007D706A" w:rsidRDefault="007D706A" w:rsidP="00F70508">
            <w:pPr>
              <w:pStyle w:val="ParagraphStyle12"/>
              <w:rPr>
                <w:rStyle w:val="CharacterStyle12"/>
              </w:rPr>
            </w:pPr>
            <w:r>
              <w:rPr>
                <w:rStyle w:val="CharacterStyle12"/>
              </w:rPr>
              <w:t>19.200,00</w:t>
            </w:r>
          </w:p>
        </w:tc>
        <w:tc>
          <w:tcPr>
            <w:tcW w:w="1395" w:type="dxa"/>
            <w:tcBorders>
              <w:bottom w:val="single" w:sz="6" w:space="0" w:color="000000"/>
              <w:right w:val="single" w:sz="6" w:space="0" w:color="000000"/>
            </w:tcBorders>
            <w:vAlign w:val="center"/>
          </w:tcPr>
          <w:p w14:paraId="11FB66D2" w14:textId="77777777" w:rsidR="007D706A" w:rsidRDefault="007D706A" w:rsidP="00F70508">
            <w:pPr>
              <w:pStyle w:val="ParagraphStyle12"/>
              <w:rPr>
                <w:rStyle w:val="CharacterStyle12"/>
              </w:rPr>
            </w:pPr>
            <w:r>
              <w:rPr>
                <w:rStyle w:val="CharacterStyle12"/>
              </w:rPr>
              <w:t>18.000,00</w:t>
            </w:r>
          </w:p>
        </w:tc>
        <w:tc>
          <w:tcPr>
            <w:tcW w:w="1395" w:type="dxa"/>
            <w:tcBorders>
              <w:bottom w:val="single" w:sz="6" w:space="0" w:color="000000"/>
              <w:right w:val="single" w:sz="6" w:space="0" w:color="000000"/>
            </w:tcBorders>
            <w:vAlign w:val="center"/>
          </w:tcPr>
          <w:p w14:paraId="74A441B4" w14:textId="77777777" w:rsidR="007D706A" w:rsidRDefault="007D706A" w:rsidP="00F70508">
            <w:pPr>
              <w:pStyle w:val="ParagraphStyle12"/>
              <w:rPr>
                <w:rStyle w:val="CharacterStyle12"/>
              </w:rPr>
            </w:pPr>
            <w:r>
              <w:rPr>
                <w:rStyle w:val="CharacterStyle12"/>
              </w:rPr>
              <w:t>17.830,00</w:t>
            </w:r>
          </w:p>
        </w:tc>
        <w:tc>
          <w:tcPr>
            <w:tcW w:w="1395" w:type="dxa"/>
            <w:tcBorders>
              <w:bottom w:val="single" w:sz="6" w:space="0" w:color="000000"/>
              <w:right w:val="single" w:sz="6" w:space="0" w:color="000000"/>
            </w:tcBorders>
            <w:vAlign w:val="center"/>
          </w:tcPr>
          <w:p w14:paraId="5C79982A" w14:textId="77777777" w:rsidR="007D706A" w:rsidRDefault="007D706A" w:rsidP="00F70508">
            <w:pPr>
              <w:pStyle w:val="ParagraphStyle12"/>
              <w:rPr>
                <w:rStyle w:val="CharacterStyle12"/>
              </w:rPr>
            </w:pPr>
            <w:r>
              <w:rPr>
                <w:rStyle w:val="CharacterStyle12"/>
              </w:rPr>
              <w:t>17.700,00</w:t>
            </w:r>
          </w:p>
        </w:tc>
      </w:tr>
      <w:tr w:rsidR="007D706A" w14:paraId="3DC8F2D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4A8B1ED" w14:textId="77777777" w:rsidR="007D706A" w:rsidRDefault="007D706A" w:rsidP="00F70508">
            <w:pPr>
              <w:pStyle w:val="ParagraphStyle10"/>
              <w:rPr>
                <w:rStyle w:val="CharacterStyle10"/>
              </w:rPr>
            </w:pPr>
            <w:r>
              <w:rPr>
                <w:rStyle w:val="CharacterStyle10"/>
              </w:rPr>
              <w:t>36</w:t>
            </w:r>
          </w:p>
        </w:tc>
        <w:tc>
          <w:tcPr>
            <w:tcW w:w="4995" w:type="dxa"/>
            <w:tcBorders>
              <w:bottom w:val="single" w:sz="6" w:space="0" w:color="000000"/>
              <w:right w:val="single" w:sz="6" w:space="0" w:color="000000"/>
            </w:tcBorders>
            <w:vAlign w:val="center"/>
          </w:tcPr>
          <w:p w14:paraId="26BE80D4" w14:textId="77777777" w:rsidR="007D706A" w:rsidRDefault="007D706A" w:rsidP="00F70508">
            <w:pPr>
              <w:pStyle w:val="ParagraphStyle11"/>
              <w:rPr>
                <w:rStyle w:val="CharacterStyle11"/>
              </w:rPr>
            </w:pPr>
            <w:r>
              <w:rPr>
                <w:rStyle w:val="CharacterStyle11"/>
              </w:rPr>
              <w:t>Pomoći dane u inozemstvo i unutar općeg proračuna</w:t>
            </w:r>
          </w:p>
        </w:tc>
        <w:tc>
          <w:tcPr>
            <w:tcW w:w="1395" w:type="dxa"/>
            <w:tcBorders>
              <w:bottom w:val="single" w:sz="6" w:space="0" w:color="000000"/>
              <w:right w:val="single" w:sz="6" w:space="0" w:color="000000"/>
            </w:tcBorders>
            <w:vAlign w:val="center"/>
          </w:tcPr>
          <w:p w14:paraId="7561138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8377CC3" w14:textId="77777777" w:rsidR="007D706A" w:rsidRDefault="007D706A" w:rsidP="00F70508">
            <w:pPr>
              <w:pStyle w:val="ParagraphStyle12"/>
              <w:rPr>
                <w:rStyle w:val="CharacterStyle12"/>
              </w:rPr>
            </w:pPr>
            <w:r>
              <w:rPr>
                <w:rStyle w:val="CharacterStyle12"/>
              </w:rPr>
              <w:t>19.200,00</w:t>
            </w:r>
          </w:p>
        </w:tc>
        <w:tc>
          <w:tcPr>
            <w:tcW w:w="1395" w:type="dxa"/>
            <w:tcBorders>
              <w:bottom w:val="single" w:sz="6" w:space="0" w:color="000000"/>
              <w:right w:val="single" w:sz="6" w:space="0" w:color="000000"/>
            </w:tcBorders>
            <w:vAlign w:val="center"/>
          </w:tcPr>
          <w:p w14:paraId="73BA0068" w14:textId="77777777" w:rsidR="007D706A" w:rsidRDefault="007D706A" w:rsidP="00F70508">
            <w:pPr>
              <w:pStyle w:val="ParagraphStyle12"/>
              <w:rPr>
                <w:rStyle w:val="CharacterStyle12"/>
              </w:rPr>
            </w:pPr>
            <w:r>
              <w:rPr>
                <w:rStyle w:val="CharacterStyle12"/>
              </w:rPr>
              <w:t>18.000,00</w:t>
            </w:r>
          </w:p>
        </w:tc>
        <w:tc>
          <w:tcPr>
            <w:tcW w:w="1395" w:type="dxa"/>
            <w:tcBorders>
              <w:bottom w:val="single" w:sz="6" w:space="0" w:color="000000"/>
              <w:right w:val="single" w:sz="6" w:space="0" w:color="000000"/>
            </w:tcBorders>
            <w:vAlign w:val="center"/>
          </w:tcPr>
          <w:p w14:paraId="41AE7F21" w14:textId="77777777" w:rsidR="007D706A" w:rsidRDefault="007D706A" w:rsidP="00F70508">
            <w:pPr>
              <w:pStyle w:val="ParagraphStyle12"/>
              <w:rPr>
                <w:rStyle w:val="CharacterStyle12"/>
              </w:rPr>
            </w:pPr>
            <w:r>
              <w:rPr>
                <w:rStyle w:val="CharacterStyle12"/>
              </w:rPr>
              <w:t>17.830,00</w:t>
            </w:r>
          </w:p>
        </w:tc>
        <w:tc>
          <w:tcPr>
            <w:tcW w:w="1395" w:type="dxa"/>
            <w:tcBorders>
              <w:bottom w:val="single" w:sz="6" w:space="0" w:color="000000"/>
              <w:right w:val="single" w:sz="6" w:space="0" w:color="000000"/>
            </w:tcBorders>
            <w:vAlign w:val="center"/>
          </w:tcPr>
          <w:p w14:paraId="5E4FFDD0" w14:textId="77777777" w:rsidR="007D706A" w:rsidRDefault="007D706A" w:rsidP="00F70508">
            <w:pPr>
              <w:pStyle w:val="ParagraphStyle12"/>
              <w:rPr>
                <w:rStyle w:val="CharacterStyle12"/>
              </w:rPr>
            </w:pPr>
            <w:r>
              <w:rPr>
                <w:rStyle w:val="CharacterStyle12"/>
              </w:rPr>
              <w:t>17.700,00</w:t>
            </w:r>
          </w:p>
        </w:tc>
      </w:tr>
      <w:tr w:rsidR="007D706A" w14:paraId="51687647" w14:textId="77777777" w:rsidTr="00F70508">
        <w:trPr>
          <w:trHeight w:val="420"/>
        </w:trPr>
        <w:tc>
          <w:tcPr>
            <w:tcW w:w="2880" w:type="dxa"/>
            <w:tcBorders>
              <w:left w:val="single" w:sz="6" w:space="0" w:color="000000"/>
              <w:bottom w:val="single" w:sz="6" w:space="0" w:color="000000"/>
              <w:right w:val="single" w:sz="6" w:space="0" w:color="000000"/>
            </w:tcBorders>
            <w:vAlign w:val="center"/>
          </w:tcPr>
          <w:p w14:paraId="61184F75" w14:textId="77777777" w:rsidR="007D706A" w:rsidRDefault="007D706A" w:rsidP="00F70508">
            <w:pPr>
              <w:pStyle w:val="ParagraphStyle4"/>
              <w:rPr>
                <w:rStyle w:val="CharacterStyle4"/>
              </w:rPr>
            </w:pPr>
            <w:r>
              <w:rPr>
                <w:rStyle w:val="CharacterStyle4"/>
              </w:rPr>
              <w:t>Aktivnost A103309</w:t>
            </w:r>
          </w:p>
        </w:tc>
        <w:tc>
          <w:tcPr>
            <w:tcW w:w="4995" w:type="dxa"/>
            <w:tcBorders>
              <w:bottom w:val="single" w:sz="6" w:space="0" w:color="000000"/>
              <w:right w:val="single" w:sz="6" w:space="0" w:color="000000"/>
            </w:tcBorders>
            <w:vAlign w:val="center"/>
          </w:tcPr>
          <w:p w14:paraId="7CAD2E4A" w14:textId="77777777" w:rsidR="007D706A" w:rsidRDefault="007D706A" w:rsidP="00F70508">
            <w:pPr>
              <w:pStyle w:val="ParagraphStyle5"/>
              <w:rPr>
                <w:rStyle w:val="CharacterStyle5"/>
              </w:rPr>
            </w:pPr>
            <w:r>
              <w:rPr>
                <w:rStyle w:val="CharacterStyle5"/>
              </w:rPr>
              <w:t>TIM ZA RANU INTERVENCIJU ZA DJECU SA NEURORIZIČNIM TEŠKOĆAMA U RAZVOJU</w:t>
            </w:r>
          </w:p>
        </w:tc>
        <w:tc>
          <w:tcPr>
            <w:tcW w:w="1395" w:type="dxa"/>
            <w:tcBorders>
              <w:bottom w:val="single" w:sz="6" w:space="0" w:color="000000"/>
              <w:right w:val="single" w:sz="6" w:space="0" w:color="000000"/>
            </w:tcBorders>
            <w:vAlign w:val="center"/>
          </w:tcPr>
          <w:p w14:paraId="1AD5D794"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18BC04A3" w14:textId="77777777" w:rsidR="007D706A" w:rsidRDefault="007D706A" w:rsidP="00F70508">
            <w:pPr>
              <w:pStyle w:val="ParagraphStyle6"/>
              <w:rPr>
                <w:rStyle w:val="CharacterStyle6"/>
              </w:rPr>
            </w:pPr>
            <w:r>
              <w:rPr>
                <w:rStyle w:val="CharacterStyle6"/>
              </w:rPr>
              <w:t>6.650,00</w:t>
            </w:r>
          </w:p>
        </w:tc>
        <w:tc>
          <w:tcPr>
            <w:tcW w:w="1395" w:type="dxa"/>
            <w:tcBorders>
              <w:bottom w:val="single" w:sz="6" w:space="0" w:color="000000"/>
              <w:right w:val="single" w:sz="6" w:space="0" w:color="000000"/>
            </w:tcBorders>
            <w:vAlign w:val="center"/>
          </w:tcPr>
          <w:p w14:paraId="000A99B7" w14:textId="77777777" w:rsidR="007D706A" w:rsidRDefault="007D706A" w:rsidP="00F70508">
            <w:pPr>
              <w:pStyle w:val="ParagraphStyle6"/>
              <w:rPr>
                <w:rStyle w:val="CharacterStyle6"/>
              </w:rPr>
            </w:pPr>
            <w:r>
              <w:rPr>
                <w:rStyle w:val="CharacterStyle6"/>
              </w:rPr>
              <w:t>6.650,00</w:t>
            </w:r>
          </w:p>
        </w:tc>
        <w:tc>
          <w:tcPr>
            <w:tcW w:w="1395" w:type="dxa"/>
            <w:tcBorders>
              <w:bottom w:val="single" w:sz="6" w:space="0" w:color="000000"/>
              <w:right w:val="single" w:sz="6" w:space="0" w:color="000000"/>
            </w:tcBorders>
            <w:vAlign w:val="center"/>
          </w:tcPr>
          <w:p w14:paraId="31B7B34F" w14:textId="77777777" w:rsidR="007D706A" w:rsidRDefault="007D706A" w:rsidP="00F70508">
            <w:pPr>
              <w:pStyle w:val="ParagraphStyle6"/>
              <w:rPr>
                <w:rStyle w:val="CharacterStyle6"/>
              </w:rPr>
            </w:pPr>
            <w:r>
              <w:rPr>
                <w:rStyle w:val="CharacterStyle6"/>
              </w:rPr>
              <w:t>7.000,00</w:t>
            </w:r>
          </w:p>
        </w:tc>
        <w:tc>
          <w:tcPr>
            <w:tcW w:w="1395" w:type="dxa"/>
            <w:tcBorders>
              <w:bottom w:val="single" w:sz="6" w:space="0" w:color="000000"/>
              <w:right w:val="single" w:sz="6" w:space="0" w:color="000000"/>
            </w:tcBorders>
            <w:vAlign w:val="center"/>
          </w:tcPr>
          <w:p w14:paraId="6F66AF85" w14:textId="77777777" w:rsidR="007D706A" w:rsidRDefault="007D706A" w:rsidP="00F70508">
            <w:pPr>
              <w:pStyle w:val="ParagraphStyle6"/>
              <w:rPr>
                <w:rStyle w:val="CharacterStyle6"/>
              </w:rPr>
            </w:pPr>
            <w:r>
              <w:rPr>
                <w:rStyle w:val="CharacterStyle6"/>
              </w:rPr>
              <w:t>7.000,00</w:t>
            </w:r>
          </w:p>
        </w:tc>
      </w:tr>
      <w:tr w:rsidR="007D706A" w14:paraId="74EA786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F8E7077"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067D4393"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0E9616AD"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EF0AE22" w14:textId="77777777" w:rsidR="007D706A" w:rsidRDefault="007D706A" w:rsidP="00F70508">
            <w:pPr>
              <w:pStyle w:val="ParagraphStyle9"/>
              <w:rPr>
                <w:rStyle w:val="CharacterStyle9"/>
              </w:rPr>
            </w:pPr>
            <w:r>
              <w:rPr>
                <w:rStyle w:val="CharacterStyle9"/>
              </w:rPr>
              <w:t>6.650,00</w:t>
            </w:r>
          </w:p>
        </w:tc>
        <w:tc>
          <w:tcPr>
            <w:tcW w:w="1395" w:type="dxa"/>
            <w:tcBorders>
              <w:bottom w:val="single" w:sz="6" w:space="0" w:color="000000"/>
              <w:right w:val="single" w:sz="6" w:space="0" w:color="000000"/>
            </w:tcBorders>
            <w:vAlign w:val="center"/>
          </w:tcPr>
          <w:p w14:paraId="62552C89" w14:textId="77777777" w:rsidR="007D706A" w:rsidRDefault="007D706A" w:rsidP="00F70508">
            <w:pPr>
              <w:pStyle w:val="ParagraphStyle9"/>
              <w:rPr>
                <w:rStyle w:val="CharacterStyle9"/>
              </w:rPr>
            </w:pPr>
            <w:r>
              <w:rPr>
                <w:rStyle w:val="CharacterStyle9"/>
              </w:rPr>
              <w:t>6.650,00</w:t>
            </w:r>
          </w:p>
        </w:tc>
        <w:tc>
          <w:tcPr>
            <w:tcW w:w="1395" w:type="dxa"/>
            <w:tcBorders>
              <w:bottom w:val="single" w:sz="6" w:space="0" w:color="000000"/>
              <w:right w:val="single" w:sz="6" w:space="0" w:color="000000"/>
            </w:tcBorders>
            <w:vAlign w:val="center"/>
          </w:tcPr>
          <w:p w14:paraId="789A69F8" w14:textId="77777777" w:rsidR="007D706A" w:rsidRDefault="007D706A" w:rsidP="00F70508">
            <w:pPr>
              <w:pStyle w:val="ParagraphStyle9"/>
              <w:rPr>
                <w:rStyle w:val="CharacterStyle9"/>
              </w:rPr>
            </w:pPr>
            <w:r>
              <w:rPr>
                <w:rStyle w:val="CharacterStyle9"/>
              </w:rPr>
              <w:t>7.000,00</w:t>
            </w:r>
          </w:p>
        </w:tc>
        <w:tc>
          <w:tcPr>
            <w:tcW w:w="1395" w:type="dxa"/>
            <w:tcBorders>
              <w:bottom w:val="single" w:sz="6" w:space="0" w:color="000000"/>
              <w:right w:val="single" w:sz="6" w:space="0" w:color="000000"/>
            </w:tcBorders>
            <w:vAlign w:val="center"/>
          </w:tcPr>
          <w:p w14:paraId="56E04601" w14:textId="77777777" w:rsidR="007D706A" w:rsidRDefault="007D706A" w:rsidP="00F70508">
            <w:pPr>
              <w:pStyle w:val="ParagraphStyle9"/>
              <w:rPr>
                <w:rStyle w:val="CharacterStyle9"/>
              </w:rPr>
            </w:pPr>
            <w:r>
              <w:rPr>
                <w:rStyle w:val="CharacterStyle9"/>
              </w:rPr>
              <w:t>7.000,00</w:t>
            </w:r>
          </w:p>
        </w:tc>
      </w:tr>
      <w:tr w:rsidR="007D706A" w14:paraId="460D87F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21980F9"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0775B8FC"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4A465DE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88E711F" w14:textId="77777777" w:rsidR="007D706A" w:rsidRDefault="007D706A" w:rsidP="00F70508">
            <w:pPr>
              <w:pStyle w:val="ParagraphStyle12"/>
              <w:rPr>
                <w:rStyle w:val="CharacterStyle12"/>
              </w:rPr>
            </w:pPr>
            <w:r>
              <w:rPr>
                <w:rStyle w:val="CharacterStyle12"/>
              </w:rPr>
              <w:t>6.650,00</w:t>
            </w:r>
          </w:p>
        </w:tc>
        <w:tc>
          <w:tcPr>
            <w:tcW w:w="1395" w:type="dxa"/>
            <w:tcBorders>
              <w:bottom w:val="single" w:sz="6" w:space="0" w:color="000000"/>
              <w:right w:val="single" w:sz="6" w:space="0" w:color="000000"/>
            </w:tcBorders>
            <w:vAlign w:val="center"/>
          </w:tcPr>
          <w:p w14:paraId="5B9656D3" w14:textId="77777777" w:rsidR="007D706A" w:rsidRDefault="007D706A" w:rsidP="00F70508">
            <w:pPr>
              <w:pStyle w:val="ParagraphStyle12"/>
              <w:rPr>
                <w:rStyle w:val="CharacterStyle12"/>
              </w:rPr>
            </w:pPr>
            <w:r>
              <w:rPr>
                <w:rStyle w:val="CharacterStyle12"/>
              </w:rPr>
              <w:t>6.650,00</w:t>
            </w:r>
          </w:p>
        </w:tc>
        <w:tc>
          <w:tcPr>
            <w:tcW w:w="1395" w:type="dxa"/>
            <w:tcBorders>
              <w:bottom w:val="single" w:sz="6" w:space="0" w:color="000000"/>
              <w:right w:val="single" w:sz="6" w:space="0" w:color="000000"/>
            </w:tcBorders>
            <w:vAlign w:val="center"/>
          </w:tcPr>
          <w:p w14:paraId="318DCF12" w14:textId="77777777" w:rsidR="007D706A" w:rsidRDefault="007D706A" w:rsidP="00F70508">
            <w:pPr>
              <w:pStyle w:val="ParagraphStyle12"/>
              <w:rPr>
                <w:rStyle w:val="CharacterStyle12"/>
              </w:rPr>
            </w:pPr>
            <w:r>
              <w:rPr>
                <w:rStyle w:val="CharacterStyle12"/>
              </w:rPr>
              <w:t>7.000,00</w:t>
            </w:r>
          </w:p>
        </w:tc>
        <w:tc>
          <w:tcPr>
            <w:tcW w:w="1395" w:type="dxa"/>
            <w:tcBorders>
              <w:bottom w:val="single" w:sz="6" w:space="0" w:color="000000"/>
              <w:right w:val="single" w:sz="6" w:space="0" w:color="000000"/>
            </w:tcBorders>
            <w:vAlign w:val="center"/>
          </w:tcPr>
          <w:p w14:paraId="284DA707" w14:textId="77777777" w:rsidR="007D706A" w:rsidRDefault="007D706A" w:rsidP="00F70508">
            <w:pPr>
              <w:pStyle w:val="ParagraphStyle12"/>
              <w:rPr>
                <w:rStyle w:val="CharacterStyle12"/>
              </w:rPr>
            </w:pPr>
            <w:r>
              <w:rPr>
                <w:rStyle w:val="CharacterStyle12"/>
              </w:rPr>
              <w:t>7.000,00</w:t>
            </w:r>
          </w:p>
        </w:tc>
      </w:tr>
      <w:tr w:rsidR="007D706A" w14:paraId="67D8774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024FE92" w14:textId="77777777" w:rsidR="007D706A" w:rsidRDefault="007D706A" w:rsidP="00F70508">
            <w:pPr>
              <w:pStyle w:val="ParagraphStyle10"/>
              <w:rPr>
                <w:rStyle w:val="CharacterStyle10"/>
              </w:rPr>
            </w:pPr>
            <w:r>
              <w:rPr>
                <w:rStyle w:val="CharacterStyle10"/>
              </w:rPr>
              <w:t>36</w:t>
            </w:r>
          </w:p>
        </w:tc>
        <w:tc>
          <w:tcPr>
            <w:tcW w:w="4995" w:type="dxa"/>
            <w:tcBorders>
              <w:bottom w:val="single" w:sz="6" w:space="0" w:color="000000"/>
              <w:right w:val="single" w:sz="6" w:space="0" w:color="000000"/>
            </w:tcBorders>
            <w:vAlign w:val="center"/>
          </w:tcPr>
          <w:p w14:paraId="7646EE98" w14:textId="77777777" w:rsidR="007D706A" w:rsidRDefault="007D706A" w:rsidP="00F70508">
            <w:pPr>
              <w:pStyle w:val="ParagraphStyle11"/>
              <w:rPr>
                <w:rStyle w:val="CharacterStyle11"/>
              </w:rPr>
            </w:pPr>
            <w:r>
              <w:rPr>
                <w:rStyle w:val="CharacterStyle11"/>
              </w:rPr>
              <w:t>Pomoći dane u inozemstvo i unutar općeg proračuna</w:t>
            </w:r>
          </w:p>
        </w:tc>
        <w:tc>
          <w:tcPr>
            <w:tcW w:w="1395" w:type="dxa"/>
            <w:tcBorders>
              <w:bottom w:val="single" w:sz="6" w:space="0" w:color="000000"/>
              <w:right w:val="single" w:sz="6" w:space="0" w:color="000000"/>
            </w:tcBorders>
            <w:vAlign w:val="center"/>
          </w:tcPr>
          <w:p w14:paraId="1A3C28F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0FC6D5D" w14:textId="77777777" w:rsidR="007D706A" w:rsidRDefault="007D706A" w:rsidP="00F70508">
            <w:pPr>
              <w:pStyle w:val="ParagraphStyle12"/>
              <w:rPr>
                <w:rStyle w:val="CharacterStyle12"/>
              </w:rPr>
            </w:pPr>
            <w:r>
              <w:rPr>
                <w:rStyle w:val="CharacterStyle12"/>
              </w:rPr>
              <w:t>6.650,00</w:t>
            </w:r>
          </w:p>
        </w:tc>
        <w:tc>
          <w:tcPr>
            <w:tcW w:w="1395" w:type="dxa"/>
            <w:tcBorders>
              <w:bottom w:val="single" w:sz="6" w:space="0" w:color="000000"/>
              <w:right w:val="single" w:sz="6" w:space="0" w:color="000000"/>
            </w:tcBorders>
            <w:vAlign w:val="center"/>
          </w:tcPr>
          <w:p w14:paraId="3EFC5643" w14:textId="77777777" w:rsidR="007D706A" w:rsidRDefault="007D706A" w:rsidP="00F70508">
            <w:pPr>
              <w:pStyle w:val="ParagraphStyle12"/>
              <w:rPr>
                <w:rStyle w:val="CharacterStyle12"/>
              </w:rPr>
            </w:pPr>
            <w:r>
              <w:rPr>
                <w:rStyle w:val="CharacterStyle12"/>
              </w:rPr>
              <w:t>6.650,00</w:t>
            </w:r>
          </w:p>
        </w:tc>
        <w:tc>
          <w:tcPr>
            <w:tcW w:w="1395" w:type="dxa"/>
            <w:tcBorders>
              <w:bottom w:val="single" w:sz="6" w:space="0" w:color="000000"/>
              <w:right w:val="single" w:sz="6" w:space="0" w:color="000000"/>
            </w:tcBorders>
            <w:vAlign w:val="center"/>
          </w:tcPr>
          <w:p w14:paraId="71861B22" w14:textId="77777777" w:rsidR="007D706A" w:rsidRDefault="007D706A" w:rsidP="00F70508">
            <w:pPr>
              <w:pStyle w:val="ParagraphStyle12"/>
              <w:rPr>
                <w:rStyle w:val="CharacterStyle12"/>
              </w:rPr>
            </w:pPr>
            <w:r>
              <w:rPr>
                <w:rStyle w:val="CharacterStyle12"/>
              </w:rPr>
              <w:t>7.000,00</w:t>
            </w:r>
          </w:p>
        </w:tc>
        <w:tc>
          <w:tcPr>
            <w:tcW w:w="1395" w:type="dxa"/>
            <w:tcBorders>
              <w:bottom w:val="single" w:sz="6" w:space="0" w:color="000000"/>
              <w:right w:val="single" w:sz="6" w:space="0" w:color="000000"/>
            </w:tcBorders>
            <w:vAlign w:val="center"/>
          </w:tcPr>
          <w:p w14:paraId="40CBDC8A" w14:textId="77777777" w:rsidR="007D706A" w:rsidRDefault="007D706A" w:rsidP="00F70508">
            <w:pPr>
              <w:pStyle w:val="ParagraphStyle12"/>
              <w:rPr>
                <w:rStyle w:val="CharacterStyle12"/>
              </w:rPr>
            </w:pPr>
            <w:r>
              <w:rPr>
                <w:rStyle w:val="CharacterStyle12"/>
              </w:rPr>
              <w:t>7.000,00</w:t>
            </w:r>
          </w:p>
        </w:tc>
      </w:tr>
      <w:tr w:rsidR="007D706A" w14:paraId="3E3AF7E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664636F" w14:textId="77777777" w:rsidR="007D706A" w:rsidRDefault="007D706A" w:rsidP="00F70508">
            <w:pPr>
              <w:pStyle w:val="ParagraphStyle4"/>
              <w:rPr>
                <w:rStyle w:val="CharacterStyle4"/>
              </w:rPr>
            </w:pPr>
            <w:r>
              <w:rPr>
                <w:rStyle w:val="CharacterStyle4"/>
              </w:rPr>
              <w:t>Aktivnost A103310</w:t>
            </w:r>
          </w:p>
        </w:tc>
        <w:tc>
          <w:tcPr>
            <w:tcW w:w="4995" w:type="dxa"/>
            <w:tcBorders>
              <w:bottom w:val="single" w:sz="6" w:space="0" w:color="000000"/>
              <w:right w:val="single" w:sz="6" w:space="0" w:color="000000"/>
            </w:tcBorders>
            <w:vAlign w:val="center"/>
          </w:tcPr>
          <w:p w14:paraId="0447A392" w14:textId="77777777" w:rsidR="007D706A" w:rsidRDefault="007D706A" w:rsidP="00F70508">
            <w:pPr>
              <w:pStyle w:val="ParagraphStyle5"/>
              <w:rPr>
                <w:rStyle w:val="CharacterStyle5"/>
              </w:rPr>
            </w:pPr>
            <w:r>
              <w:rPr>
                <w:rStyle w:val="CharacterStyle5"/>
              </w:rPr>
              <w:t>JAVNOZDRAVSTVENA MANIFESTACIJA "HODITI I ZDRAVI BITI"</w:t>
            </w:r>
          </w:p>
        </w:tc>
        <w:tc>
          <w:tcPr>
            <w:tcW w:w="1395" w:type="dxa"/>
            <w:tcBorders>
              <w:bottom w:val="single" w:sz="6" w:space="0" w:color="000000"/>
              <w:right w:val="single" w:sz="6" w:space="0" w:color="000000"/>
            </w:tcBorders>
            <w:vAlign w:val="center"/>
          </w:tcPr>
          <w:p w14:paraId="4B5AD076"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75FC1016" w14:textId="77777777" w:rsidR="007D706A" w:rsidRDefault="007D706A" w:rsidP="00F70508">
            <w:pPr>
              <w:pStyle w:val="ParagraphStyle6"/>
              <w:rPr>
                <w:rStyle w:val="CharacterStyle6"/>
              </w:rPr>
            </w:pPr>
            <w:r>
              <w:rPr>
                <w:rStyle w:val="CharacterStyle6"/>
              </w:rPr>
              <w:t>4.800,00</w:t>
            </w:r>
          </w:p>
        </w:tc>
        <w:tc>
          <w:tcPr>
            <w:tcW w:w="1395" w:type="dxa"/>
            <w:tcBorders>
              <w:bottom w:val="single" w:sz="6" w:space="0" w:color="000000"/>
              <w:right w:val="single" w:sz="6" w:space="0" w:color="000000"/>
            </w:tcBorders>
            <w:vAlign w:val="center"/>
          </w:tcPr>
          <w:p w14:paraId="6202184C" w14:textId="77777777" w:rsidR="007D706A" w:rsidRDefault="007D706A" w:rsidP="00F70508">
            <w:pPr>
              <w:pStyle w:val="ParagraphStyle6"/>
              <w:rPr>
                <w:rStyle w:val="CharacterStyle6"/>
              </w:rPr>
            </w:pPr>
            <w:r>
              <w:rPr>
                <w:rStyle w:val="CharacterStyle6"/>
              </w:rPr>
              <w:t>4.800,00</w:t>
            </w:r>
          </w:p>
        </w:tc>
        <w:tc>
          <w:tcPr>
            <w:tcW w:w="1395" w:type="dxa"/>
            <w:tcBorders>
              <w:bottom w:val="single" w:sz="6" w:space="0" w:color="000000"/>
              <w:right w:val="single" w:sz="6" w:space="0" w:color="000000"/>
            </w:tcBorders>
            <w:vAlign w:val="center"/>
          </w:tcPr>
          <w:p w14:paraId="056B02A4" w14:textId="77777777" w:rsidR="007D706A" w:rsidRDefault="007D706A" w:rsidP="00F70508">
            <w:pPr>
              <w:pStyle w:val="ParagraphStyle6"/>
              <w:rPr>
                <w:rStyle w:val="CharacterStyle6"/>
              </w:rPr>
            </w:pPr>
            <w:r>
              <w:rPr>
                <w:rStyle w:val="CharacterStyle6"/>
              </w:rPr>
              <w:t>5.000,00</w:t>
            </w:r>
          </w:p>
        </w:tc>
        <w:tc>
          <w:tcPr>
            <w:tcW w:w="1395" w:type="dxa"/>
            <w:tcBorders>
              <w:bottom w:val="single" w:sz="6" w:space="0" w:color="000000"/>
              <w:right w:val="single" w:sz="6" w:space="0" w:color="000000"/>
            </w:tcBorders>
            <w:vAlign w:val="center"/>
          </w:tcPr>
          <w:p w14:paraId="7550F7AF" w14:textId="77777777" w:rsidR="007D706A" w:rsidRDefault="007D706A" w:rsidP="00F70508">
            <w:pPr>
              <w:pStyle w:val="ParagraphStyle6"/>
              <w:rPr>
                <w:rStyle w:val="CharacterStyle6"/>
              </w:rPr>
            </w:pPr>
            <w:r>
              <w:rPr>
                <w:rStyle w:val="CharacterStyle6"/>
              </w:rPr>
              <w:t>5.000,00</w:t>
            </w:r>
          </w:p>
        </w:tc>
      </w:tr>
      <w:tr w:rsidR="007D706A" w14:paraId="4C22FE0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746029B"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53DEE766"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29600DE5"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501DBDC" w14:textId="77777777" w:rsidR="007D706A" w:rsidRDefault="007D706A" w:rsidP="00F70508">
            <w:pPr>
              <w:pStyle w:val="ParagraphStyle9"/>
              <w:rPr>
                <w:rStyle w:val="CharacterStyle9"/>
              </w:rPr>
            </w:pPr>
            <w:r>
              <w:rPr>
                <w:rStyle w:val="CharacterStyle9"/>
              </w:rPr>
              <w:t>4.800,00</w:t>
            </w:r>
          </w:p>
        </w:tc>
        <w:tc>
          <w:tcPr>
            <w:tcW w:w="1395" w:type="dxa"/>
            <w:tcBorders>
              <w:bottom w:val="single" w:sz="6" w:space="0" w:color="000000"/>
              <w:right w:val="single" w:sz="6" w:space="0" w:color="000000"/>
            </w:tcBorders>
            <w:vAlign w:val="center"/>
          </w:tcPr>
          <w:p w14:paraId="135C86AD"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FA76912"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476C9A8" w14:textId="77777777" w:rsidR="007D706A" w:rsidRDefault="007D706A" w:rsidP="00F70508">
            <w:pPr>
              <w:pStyle w:val="ParagraphStyle9"/>
              <w:rPr>
                <w:rStyle w:val="CharacterStyle9"/>
              </w:rPr>
            </w:pPr>
            <w:r>
              <w:rPr>
                <w:rStyle w:val="CharacterStyle9"/>
              </w:rPr>
              <w:t>0,00</w:t>
            </w:r>
          </w:p>
        </w:tc>
      </w:tr>
      <w:tr w:rsidR="007D706A" w14:paraId="5D05613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577739B"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029AFC32"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0EC9B97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BDC157E" w14:textId="77777777" w:rsidR="007D706A" w:rsidRDefault="007D706A" w:rsidP="00F70508">
            <w:pPr>
              <w:pStyle w:val="ParagraphStyle12"/>
              <w:rPr>
                <w:rStyle w:val="CharacterStyle12"/>
              </w:rPr>
            </w:pPr>
            <w:r>
              <w:rPr>
                <w:rStyle w:val="CharacterStyle12"/>
              </w:rPr>
              <w:t>4.800,00</w:t>
            </w:r>
          </w:p>
        </w:tc>
        <w:tc>
          <w:tcPr>
            <w:tcW w:w="1395" w:type="dxa"/>
            <w:tcBorders>
              <w:bottom w:val="single" w:sz="6" w:space="0" w:color="000000"/>
              <w:right w:val="single" w:sz="6" w:space="0" w:color="000000"/>
            </w:tcBorders>
            <w:vAlign w:val="center"/>
          </w:tcPr>
          <w:p w14:paraId="753173C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532FCC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016FD70" w14:textId="77777777" w:rsidR="007D706A" w:rsidRDefault="007D706A" w:rsidP="00F70508">
            <w:pPr>
              <w:pStyle w:val="ParagraphStyle12"/>
              <w:rPr>
                <w:rStyle w:val="CharacterStyle12"/>
              </w:rPr>
            </w:pPr>
            <w:r>
              <w:rPr>
                <w:rStyle w:val="CharacterStyle12"/>
              </w:rPr>
              <w:t>0,00</w:t>
            </w:r>
          </w:p>
        </w:tc>
      </w:tr>
      <w:tr w:rsidR="007D706A" w14:paraId="3229408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26E74C9"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528310A5"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09226AA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863356F" w14:textId="77777777" w:rsidR="007D706A" w:rsidRDefault="007D706A" w:rsidP="00F70508">
            <w:pPr>
              <w:pStyle w:val="ParagraphStyle12"/>
              <w:rPr>
                <w:rStyle w:val="CharacterStyle12"/>
              </w:rPr>
            </w:pPr>
            <w:r>
              <w:rPr>
                <w:rStyle w:val="CharacterStyle12"/>
              </w:rPr>
              <w:t>4.800,00</w:t>
            </w:r>
          </w:p>
        </w:tc>
        <w:tc>
          <w:tcPr>
            <w:tcW w:w="1395" w:type="dxa"/>
            <w:tcBorders>
              <w:bottom w:val="single" w:sz="6" w:space="0" w:color="000000"/>
              <w:right w:val="single" w:sz="6" w:space="0" w:color="000000"/>
            </w:tcBorders>
            <w:vAlign w:val="center"/>
          </w:tcPr>
          <w:p w14:paraId="61059AD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F12412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A5AA2ED" w14:textId="77777777" w:rsidR="007D706A" w:rsidRDefault="007D706A" w:rsidP="00F70508">
            <w:pPr>
              <w:pStyle w:val="ParagraphStyle12"/>
              <w:rPr>
                <w:rStyle w:val="CharacterStyle12"/>
              </w:rPr>
            </w:pPr>
            <w:r>
              <w:rPr>
                <w:rStyle w:val="CharacterStyle12"/>
              </w:rPr>
              <w:t>0,00</w:t>
            </w:r>
          </w:p>
        </w:tc>
      </w:tr>
      <w:tr w:rsidR="007D706A" w14:paraId="3554AD1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39E54FC" w14:textId="77777777" w:rsidR="007D706A" w:rsidRDefault="007D706A" w:rsidP="00F70508">
            <w:pPr>
              <w:pStyle w:val="ParagraphStyle7"/>
              <w:rPr>
                <w:rStyle w:val="CharacterStyle7"/>
              </w:rPr>
            </w:pPr>
            <w:r>
              <w:rPr>
                <w:rStyle w:val="CharacterStyle7"/>
              </w:rPr>
              <w:t>Izvor financiranja 43</w:t>
            </w:r>
          </w:p>
        </w:tc>
        <w:tc>
          <w:tcPr>
            <w:tcW w:w="4995" w:type="dxa"/>
            <w:tcBorders>
              <w:bottom w:val="single" w:sz="6" w:space="0" w:color="000000"/>
              <w:right w:val="single" w:sz="6" w:space="0" w:color="000000"/>
            </w:tcBorders>
            <w:vAlign w:val="center"/>
          </w:tcPr>
          <w:p w14:paraId="1C2F39BD" w14:textId="77777777" w:rsidR="007D706A" w:rsidRDefault="007D706A" w:rsidP="00F70508">
            <w:pPr>
              <w:pStyle w:val="ParagraphStyle8"/>
              <w:rPr>
                <w:rStyle w:val="CharacterStyle8"/>
              </w:rPr>
            </w:pPr>
            <w:r>
              <w:rPr>
                <w:rStyle w:val="CharacterStyle8"/>
              </w:rPr>
              <w:t>Ostali prihodi za posebne namjene</w:t>
            </w:r>
          </w:p>
        </w:tc>
        <w:tc>
          <w:tcPr>
            <w:tcW w:w="1395" w:type="dxa"/>
            <w:tcBorders>
              <w:bottom w:val="single" w:sz="6" w:space="0" w:color="000000"/>
              <w:right w:val="single" w:sz="6" w:space="0" w:color="000000"/>
            </w:tcBorders>
            <w:vAlign w:val="center"/>
          </w:tcPr>
          <w:p w14:paraId="5AC6DA9B"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9BD4913"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DA90C70" w14:textId="77777777" w:rsidR="007D706A" w:rsidRDefault="007D706A" w:rsidP="00F70508">
            <w:pPr>
              <w:pStyle w:val="ParagraphStyle9"/>
              <w:rPr>
                <w:rStyle w:val="CharacterStyle9"/>
              </w:rPr>
            </w:pPr>
            <w:r>
              <w:rPr>
                <w:rStyle w:val="CharacterStyle9"/>
              </w:rPr>
              <w:t>4.800,00</w:t>
            </w:r>
          </w:p>
        </w:tc>
        <w:tc>
          <w:tcPr>
            <w:tcW w:w="1395" w:type="dxa"/>
            <w:tcBorders>
              <w:bottom w:val="single" w:sz="6" w:space="0" w:color="000000"/>
              <w:right w:val="single" w:sz="6" w:space="0" w:color="000000"/>
            </w:tcBorders>
            <w:vAlign w:val="center"/>
          </w:tcPr>
          <w:p w14:paraId="294ED073" w14:textId="77777777" w:rsidR="007D706A" w:rsidRDefault="007D706A" w:rsidP="00F70508">
            <w:pPr>
              <w:pStyle w:val="ParagraphStyle9"/>
              <w:rPr>
                <w:rStyle w:val="CharacterStyle9"/>
              </w:rPr>
            </w:pPr>
            <w:r>
              <w:rPr>
                <w:rStyle w:val="CharacterStyle9"/>
              </w:rPr>
              <w:t>5.000,00</w:t>
            </w:r>
          </w:p>
        </w:tc>
        <w:tc>
          <w:tcPr>
            <w:tcW w:w="1395" w:type="dxa"/>
            <w:tcBorders>
              <w:bottom w:val="single" w:sz="6" w:space="0" w:color="000000"/>
              <w:right w:val="single" w:sz="6" w:space="0" w:color="000000"/>
            </w:tcBorders>
            <w:vAlign w:val="center"/>
          </w:tcPr>
          <w:p w14:paraId="4F9F8240" w14:textId="77777777" w:rsidR="007D706A" w:rsidRDefault="007D706A" w:rsidP="00F70508">
            <w:pPr>
              <w:pStyle w:val="ParagraphStyle9"/>
              <w:rPr>
                <w:rStyle w:val="CharacterStyle9"/>
              </w:rPr>
            </w:pPr>
            <w:r>
              <w:rPr>
                <w:rStyle w:val="CharacterStyle9"/>
              </w:rPr>
              <w:t>5.000,00</w:t>
            </w:r>
          </w:p>
        </w:tc>
      </w:tr>
      <w:tr w:rsidR="007D706A" w14:paraId="485E2A0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C81FF8A" w14:textId="77777777" w:rsidR="007D706A" w:rsidRDefault="007D706A" w:rsidP="00F70508">
            <w:pPr>
              <w:pStyle w:val="ParagraphStyle10"/>
              <w:rPr>
                <w:rStyle w:val="CharacterStyle10"/>
              </w:rPr>
            </w:pPr>
            <w:r>
              <w:rPr>
                <w:rStyle w:val="CharacterStyle10"/>
              </w:rPr>
              <w:lastRenderedPageBreak/>
              <w:t>3</w:t>
            </w:r>
          </w:p>
        </w:tc>
        <w:tc>
          <w:tcPr>
            <w:tcW w:w="4995" w:type="dxa"/>
            <w:tcBorders>
              <w:bottom w:val="single" w:sz="6" w:space="0" w:color="000000"/>
              <w:right w:val="single" w:sz="6" w:space="0" w:color="000000"/>
            </w:tcBorders>
            <w:vAlign w:val="center"/>
          </w:tcPr>
          <w:p w14:paraId="723507FA"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7780008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4A0F48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DD12BB8" w14:textId="77777777" w:rsidR="007D706A" w:rsidRDefault="007D706A" w:rsidP="00F70508">
            <w:pPr>
              <w:pStyle w:val="ParagraphStyle12"/>
              <w:rPr>
                <w:rStyle w:val="CharacterStyle12"/>
              </w:rPr>
            </w:pPr>
            <w:r>
              <w:rPr>
                <w:rStyle w:val="CharacterStyle12"/>
              </w:rPr>
              <w:t>4.800,00</w:t>
            </w:r>
          </w:p>
        </w:tc>
        <w:tc>
          <w:tcPr>
            <w:tcW w:w="1395" w:type="dxa"/>
            <w:tcBorders>
              <w:bottom w:val="single" w:sz="6" w:space="0" w:color="000000"/>
              <w:right w:val="single" w:sz="6" w:space="0" w:color="000000"/>
            </w:tcBorders>
            <w:vAlign w:val="center"/>
          </w:tcPr>
          <w:p w14:paraId="4C86FB6C" w14:textId="77777777" w:rsidR="007D706A" w:rsidRDefault="007D706A" w:rsidP="00F70508">
            <w:pPr>
              <w:pStyle w:val="ParagraphStyle12"/>
              <w:rPr>
                <w:rStyle w:val="CharacterStyle12"/>
              </w:rPr>
            </w:pPr>
            <w:r>
              <w:rPr>
                <w:rStyle w:val="CharacterStyle12"/>
              </w:rPr>
              <w:t>5.000,00</w:t>
            </w:r>
          </w:p>
        </w:tc>
        <w:tc>
          <w:tcPr>
            <w:tcW w:w="1395" w:type="dxa"/>
            <w:tcBorders>
              <w:bottom w:val="single" w:sz="6" w:space="0" w:color="000000"/>
              <w:right w:val="single" w:sz="6" w:space="0" w:color="000000"/>
            </w:tcBorders>
            <w:vAlign w:val="center"/>
          </w:tcPr>
          <w:p w14:paraId="7168464F" w14:textId="77777777" w:rsidR="007D706A" w:rsidRDefault="007D706A" w:rsidP="00F70508">
            <w:pPr>
              <w:pStyle w:val="ParagraphStyle12"/>
              <w:rPr>
                <w:rStyle w:val="CharacterStyle12"/>
              </w:rPr>
            </w:pPr>
            <w:r>
              <w:rPr>
                <w:rStyle w:val="CharacterStyle12"/>
              </w:rPr>
              <w:t>5.000,00</w:t>
            </w:r>
          </w:p>
        </w:tc>
      </w:tr>
      <w:tr w:rsidR="007D706A" w14:paraId="3E7FC04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F7E3204"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0751B280"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6439935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FD57AD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BD58F74" w14:textId="77777777" w:rsidR="007D706A" w:rsidRDefault="007D706A" w:rsidP="00F70508">
            <w:pPr>
              <w:pStyle w:val="ParagraphStyle12"/>
              <w:rPr>
                <w:rStyle w:val="CharacterStyle12"/>
              </w:rPr>
            </w:pPr>
            <w:r>
              <w:rPr>
                <w:rStyle w:val="CharacterStyle12"/>
              </w:rPr>
              <w:t>4.800,00</w:t>
            </w:r>
          </w:p>
        </w:tc>
        <w:tc>
          <w:tcPr>
            <w:tcW w:w="1395" w:type="dxa"/>
            <w:tcBorders>
              <w:bottom w:val="single" w:sz="6" w:space="0" w:color="000000"/>
              <w:right w:val="single" w:sz="6" w:space="0" w:color="000000"/>
            </w:tcBorders>
            <w:vAlign w:val="center"/>
          </w:tcPr>
          <w:p w14:paraId="1AECFB5B" w14:textId="77777777" w:rsidR="007D706A" w:rsidRDefault="007D706A" w:rsidP="00F70508">
            <w:pPr>
              <w:pStyle w:val="ParagraphStyle12"/>
              <w:rPr>
                <w:rStyle w:val="CharacterStyle12"/>
              </w:rPr>
            </w:pPr>
            <w:r>
              <w:rPr>
                <w:rStyle w:val="CharacterStyle12"/>
              </w:rPr>
              <w:t>5.000,00</w:t>
            </w:r>
          </w:p>
        </w:tc>
        <w:tc>
          <w:tcPr>
            <w:tcW w:w="1395" w:type="dxa"/>
            <w:tcBorders>
              <w:bottom w:val="single" w:sz="6" w:space="0" w:color="000000"/>
              <w:right w:val="single" w:sz="6" w:space="0" w:color="000000"/>
            </w:tcBorders>
            <w:vAlign w:val="center"/>
          </w:tcPr>
          <w:p w14:paraId="10739DF7" w14:textId="77777777" w:rsidR="007D706A" w:rsidRDefault="007D706A" w:rsidP="00F70508">
            <w:pPr>
              <w:pStyle w:val="ParagraphStyle12"/>
              <w:rPr>
                <w:rStyle w:val="CharacterStyle12"/>
              </w:rPr>
            </w:pPr>
            <w:r>
              <w:rPr>
                <w:rStyle w:val="CharacterStyle12"/>
              </w:rPr>
              <w:t>5.000,00</w:t>
            </w:r>
          </w:p>
        </w:tc>
      </w:tr>
      <w:tr w:rsidR="007D706A" w14:paraId="5C5F034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60062CC" w14:textId="77777777" w:rsidR="007D706A" w:rsidRDefault="007D706A" w:rsidP="00F70508">
            <w:pPr>
              <w:pStyle w:val="ParagraphStyle4"/>
              <w:rPr>
                <w:rStyle w:val="CharacterStyle4"/>
              </w:rPr>
            </w:pPr>
            <w:r>
              <w:rPr>
                <w:rStyle w:val="CharacterStyle4"/>
              </w:rPr>
              <w:t>Aktivnost A103311</w:t>
            </w:r>
          </w:p>
        </w:tc>
        <w:tc>
          <w:tcPr>
            <w:tcW w:w="4995" w:type="dxa"/>
            <w:tcBorders>
              <w:bottom w:val="single" w:sz="6" w:space="0" w:color="000000"/>
              <w:right w:val="single" w:sz="6" w:space="0" w:color="000000"/>
            </w:tcBorders>
            <w:vAlign w:val="center"/>
          </w:tcPr>
          <w:p w14:paraId="17DB0161" w14:textId="77777777" w:rsidR="007D706A" w:rsidRDefault="007D706A" w:rsidP="00F70508">
            <w:pPr>
              <w:pStyle w:val="ParagraphStyle5"/>
              <w:rPr>
                <w:rStyle w:val="CharacterStyle5"/>
              </w:rPr>
            </w:pPr>
            <w:r>
              <w:rPr>
                <w:rStyle w:val="CharacterStyle5"/>
              </w:rPr>
              <w:t>PROCJENA RIZIKA KUĆNE VODOOPSKRBNE MREŽE</w:t>
            </w:r>
          </w:p>
        </w:tc>
        <w:tc>
          <w:tcPr>
            <w:tcW w:w="1395" w:type="dxa"/>
            <w:tcBorders>
              <w:bottom w:val="single" w:sz="6" w:space="0" w:color="000000"/>
              <w:right w:val="single" w:sz="6" w:space="0" w:color="000000"/>
            </w:tcBorders>
            <w:vAlign w:val="center"/>
          </w:tcPr>
          <w:p w14:paraId="47D0B4D7"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2CB66456" w14:textId="77777777" w:rsidR="007D706A" w:rsidRDefault="007D706A" w:rsidP="00F70508">
            <w:pPr>
              <w:pStyle w:val="ParagraphStyle6"/>
              <w:rPr>
                <w:rStyle w:val="CharacterStyle6"/>
              </w:rPr>
            </w:pPr>
            <w:r>
              <w:rPr>
                <w:rStyle w:val="CharacterStyle6"/>
              </w:rPr>
              <w:t>7.950,00</w:t>
            </w:r>
          </w:p>
        </w:tc>
        <w:tc>
          <w:tcPr>
            <w:tcW w:w="1395" w:type="dxa"/>
            <w:tcBorders>
              <w:bottom w:val="single" w:sz="6" w:space="0" w:color="000000"/>
              <w:right w:val="single" w:sz="6" w:space="0" w:color="000000"/>
            </w:tcBorders>
            <w:vAlign w:val="center"/>
          </w:tcPr>
          <w:p w14:paraId="6C3414FA"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25159D94"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494AF9D4" w14:textId="77777777" w:rsidR="007D706A" w:rsidRDefault="007D706A" w:rsidP="00F70508">
            <w:pPr>
              <w:pStyle w:val="ParagraphStyle6"/>
              <w:rPr>
                <w:rStyle w:val="CharacterStyle6"/>
              </w:rPr>
            </w:pPr>
            <w:r>
              <w:rPr>
                <w:rStyle w:val="CharacterStyle6"/>
              </w:rPr>
              <w:t>0,00</w:t>
            </w:r>
          </w:p>
        </w:tc>
      </w:tr>
      <w:tr w:rsidR="007D706A" w14:paraId="2C9AF79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40E46D0"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72BF68FC"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342B7A11"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2F6B506" w14:textId="77777777" w:rsidR="007D706A" w:rsidRDefault="007D706A" w:rsidP="00F70508">
            <w:pPr>
              <w:pStyle w:val="ParagraphStyle9"/>
              <w:rPr>
                <w:rStyle w:val="CharacterStyle9"/>
              </w:rPr>
            </w:pPr>
            <w:r>
              <w:rPr>
                <w:rStyle w:val="CharacterStyle9"/>
              </w:rPr>
              <w:t>7.950,00</w:t>
            </w:r>
          </w:p>
        </w:tc>
        <w:tc>
          <w:tcPr>
            <w:tcW w:w="1395" w:type="dxa"/>
            <w:tcBorders>
              <w:bottom w:val="single" w:sz="6" w:space="0" w:color="000000"/>
              <w:right w:val="single" w:sz="6" w:space="0" w:color="000000"/>
            </w:tcBorders>
            <w:vAlign w:val="center"/>
          </w:tcPr>
          <w:p w14:paraId="4D8B484C"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3617063"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C218291" w14:textId="77777777" w:rsidR="007D706A" w:rsidRDefault="007D706A" w:rsidP="00F70508">
            <w:pPr>
              <w:pStyle w:val="ParagraphStyle9"/>
              <w:rPr>
                <w:rStyle w:val="CharacterStyle9"/>
              </w:rPr>
            </w:pPr>
            <w:r>
              <w:rPr>
                <w:rStyle w:val="CharacterStyle9"/>
              </w:rPr>
              <w:t>0,00</w:t>
            </w:r>
          </w:p>
        </w:tc>
      </w:tr>
      <w:tr w:rsidR="007D706A" w14:paraId="41BC057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018A8D4"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5D11B278"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0AF87D3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9E75ADF" w14:textId="77777777" w:rsidR="007D706A" w:rsidRDefault="007D706A" w:rsidP="00F70508">
            <w:pPr>
              <w:pStyle w:val="ParagraphStyle12"/>
              <w:rPr>
                <w:rStyle w:val="CharacterStyle12"/>
              </w:rPr>
            </w:pPr>
            <w:r>
              <w:rPr>
                <w:rStyle w:val="CharacterStyle12"/>
              </w:rPr>
              <w:t>7.950,00</w:t>
            </w:r>
          </w:p>
        </w:tc>
        <w:tc>
          <w:tcPr>
            <w:tcW w:w="1395" w:type="dxa"/>
            <w:tcBorders>
              <w:bottom w:val="single" w:sz="6" w:space="0" w:color="000000"/>
              <w:right w:val="single" w:sz="6" w:space="0" w:color="000000"/>
            </w:tcBorders>
            <w:vAlign w:val="center"/>
          </w:tcPr>
          <w:p w14:paraId="3B96254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A220AC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703A41E" w14:textId="77777777" w:rsidR="007D706A" w:rsidRDefault="007D706A" w:rsidP="00F70508">
            <w:pPr>
              <w:pStyle w:val="ParagraphStyle12"/>
              <w:rPr>
                <w:rStyle w:val="CharacterStyle12"/>
              </w:rPr>
            </w:pPr>
            <w:r>
              <w:rPr>
                <w:rStyle w:val="CharacterStyle12"/>
              </w:rPr>
              <w:t>0,00</w:t>
            </w:r>
          </w:p>
        </w:tc>
      </w:tr>
      <w:tr w:rsidR="007D706A" w14:paraId="6D72387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52A75A7"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28F07630"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2BF2E63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0763FC5" w14:textId="77777777" w:rsidR="007D706A" w:rsidRDefault="007D706A" w:rsidP="00F70508">
            <w:pPr>
              <w:pStyle w:val="ParagraphStyle12"/>
              <w:rPr>
                <w:rStyle w:val="CharacterStyle12"/>
              </w:rPr>
            </w:pPr>
            <w:r>
              <w:rPr>
                <w:rStyle w:val="CharacterStyle12"/>
              </w:rPr>
              <w:t>7.950,00</w:t>
            </w:r>
          </w:p>
        </w:tc>
        <w:tc>
          <w:tcPr>
            <w:tcW w:w="1395" w:type="dxa"/>
            <w:tcBorders>
              <w:bottom w:val="single" w:sz="6" w:space="0" w:color="000000"/>
              <w:right w:val="single" w:sz="6" w:space="0" w:color="000000"/>
            </w:tcBorders>
            <w:vAlign w:val="center"/>
          </w:tcPr>
          <w:p w14:paraId="73792B1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A7769A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21DD49C" w14:textId="77777777" w:rsidR="007D706A" w:rsidRDefault="007D706A" w:rsidP="00F70508">
            <w:pPr>
              <w:pStyle w:val="ParagraphStyle12"/>
              <w:rPr>
                <w:rStyle w:val="CharacterStyle12"/>
              </w:rPr>
            </w:pPr>
            <w:r>
              <w:rPr>
                <w:rStyle w:val="CharacterStyle12"/>
              </w:rPr>
              <w:t>0,00</w:t>
            </w:r>
          </w:p>
        </w:tc>
      </w:tr>
      <w:tr w:rsidR="007D706A" w14:paraId="05E08737" w14:textId="77777777" w:rsidTr="00F70508">
        <w:trPr>
          <w:trHeight w:val="405"/>
        </w:trPr>
        <w:tc>
          <w:tcPr>
            <w:tcW w:w="2880" w:type="dxa"/>
            <w:tcBorders>
              <w:left w:val="single" w:sz="6" w:space="0" w:color="000000"/>
              <w:bottom w:val="single" w:sz="6" w:space="0" w:color="000000"/>
              <w:right w:val="single" w:sz="6" w:space="0" w:color="000000"/>
            </w:tcBorders>
            <w:vAlign w:val="center"/>
          </w:tcPr>
          <w:p w14:paraId="51EC23BC" w14:textId="77777777" w:rsidR="007D706A" w:rsidRDefault="007D706A" w:rsidP="00F70508">
            <w:pPr>
              <w:pStyle w:val="ParagraphStyle4"/>
              <w:rPr>
                <w:rStyle w:val="CharacterStyle4"/>
              </w:rPr>
            </w:pPr>
            <w:r>
              <w:rPr>
                <w:rStyle w:val="CharacterStyle4"/>
              </w:rPr>
              <w:t>Aktivnost A103312</w:t>
            </w:r>
          </w:p>
        </w:tc>
        <w:tc>
          <w:tcPr>
            <w:tcW w:w="4995" w:type="dxa"/>
            <w:tcBorders>
              <w:bottom w:val="single" w:sz="6" w:space="0" w:color="000000"/>
              <w:right w:val="single" w:sz="6" w:space="0" w:color="000000"/>
            </w:tcBorders>
            <w:vAlign w:val="center"/>
          </w:tcPr>
          <w:p w14:paraId="6B23D7A8" w14:textId="77777777" w:rsidR="007D706A" w:rsidRDefault="007D706A" w:rsidP="00F70508">
            <w:pPr>
              <w:pStyle w:val="ParagraphStyle5"/>
              <w:rPr>
                <w:rStyle w:val="CharacterStyle5"/>
              </w:rPr>
            </w:pPr>
            <w:r>
              <w:rPr>
                <w:rStyle w:val="CharacterStyle5"/>
              </w:rPr>
              <w:t>SUFINANCIRANJE SMJEŠTAJA DEFICITARNOG KADRA U ZDRAVSTVU</w:t>
            </w:r>
          </w:p>
        </w:tc>
        <w:tc>
          <w:tcPr>
            <w:tcW w:w="1395" w:type="dxa"/>
            <w:tcBorders>
              <w:bottom w:val="single" w:sz="6" w:space="0" w:color="000000"/>
              <w:right w:val="single" w:sz="6" w:space="0" w:color="000000"/>
            </w:tcBorders>
            <w:vAlign w:val="center"/>
          </w:tcPr>
          <w:p w14:paraId="59154B9B"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210251A7" w14:textId="77777777" w:rsidR="007D706A" w:rsidRDefault="007D706A" w:rsidP="00F70508">
            <w:pPr>
              <w:pStyle w:val="ParagraphStyle6"/>
              <w:rPr>
                <w:rStyle w:val="CharacterStyle6"/>
              </w:rPr>
            </w:pPr>
            <w:r>
              <w:rPr>
                <w:rStyle w:val="CharacterStyle6"/>
              </w:rPr>
              <w:t>28.800,00</w:t>
            </w:r>
          </w:p>
        </w:tc>
        <w:tc>
          <w:tcPr>
            <w:tcW w:w="1395" w:type="dxa"/>
            <w:tcBorders>
              <w:bottom w:val="single" w:sz="6" w:space="0" w:color="000000"/>
              <w:right w:val="single" w:sz="6" w:space="0" w:color="000000"/>
            </w:tcBorders>
            <w:vAlign w:val="center"/>
          </w:tcPr>
          <w:p w14:paraId="71032D0F" w14:textId="77777777" w:rsidR="007D706A" w:rsidRDefault="007D706A" w:rsidP="00F70508">
            <w:pPr>
              <w:pStyle w:val="ParagraphStyle6"/>
              <w:rPr>
                <w:rStyle w:val="CharacterStyle6"/>
              </w:rPr>
            </w:pPr>
            <w:r>
              <w:rPr>
                <w:rStyle w:val="CharacterStyle6"/>
              </w:rPr>
              <w:t>28.800,00</w:t>
            </w:r>
          </w:p>
        </w:tc>
        <w:tc>
          <w:tcPr>
            <w:tcW w:w="1395" w:type="dxa"/>
            <w:tcBorders>
              <w:bottom w:val="single" w:sz="6" w:space="0" w:color="000000"/>
              <w:right w:val="single" w:sz="6" w:space="0" w:color="000000"/>
            </w:tcBorders>
            <w:vAlign w:val="center"/>
          </w:tcPr>
          <w:p w14:paraId="21E49DE6" w14:textId="77777777" w:rsidR="007D706A" w:rsidRDefault="007D706A" w:rsidP="00F70508">
            <w:pPr>
              <w:pStyle w:val="ParagraphStyle6"/>
              <w:rPr>
                <w:rStyle w:val="CharacterStyle6"/>
              </w:rPr>
            </w:pPr>
            <w:r>
              <w:rPr>
                <w:rStyle w:val="CharacterStyle6"/>
              </w:rPr>
              <w:t>28.800,00</w:t>
            </w:r>
          </w:p>
        </w:tc>
        <w:tc>
          <w:tcPr>
            <w:tcW w:w="1395" w:type="dxa"/>
            <w:tcBorders>
              <w:bottom w:val="single" w:sz="6" w:space="0" w:color="000000"/>
              <w:right w:val="single" w:sz="6" w:space="0" w:color="000000"/>
            </w:tcBorders>
            <w:vAlign w:val="center"/>
          </w:tcPr>
          <w:p w14:paraId="5A8A475C" w14:textId="77777777" w:rsidR="007D706A" w:rsidRDefault="007D706A" w:rsidP="00F70508">
            <w:pPr>
              <w:pStyle w:val="ParagraphStyle6"/>
              <w:rPr>
                <w:rStyle w:val="CharacterStyle6"/>
              </w:rPr>
            </w:pPr>
            <w:r>
              <w:rPr>
                <w:rStyle w:val="CharacterStyle6"/>
              </w:rPr>
              <w:t>28.800,00</w:t>
            </w:r>
          </w:p>
        </w:tc>
      </w:tr>
      <w:tr w:rsidR="007D706A" w14:paraId="205A8F3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1B006F3"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29075412"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19310E6F"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A036E47" w14:textId="77777777" w:rsidR="007D706A" w:rsidRDefault="007D706A" w:rsidP="00F70508">
            <w:pPr>
              <w:pStyle w:val="ParagraphStyle9"/>
              <w:rPr>
                <w:rStyle w:val="CharacterStyle9"/>
              </w:rPr>
            </w:pPr>
            <w:r>
              <w:rPr>
                <w:rStyle w:val="CharacterStyle9"/>
              </w:rPr>
              <w:t>28.800,00</w:t>
            </w:r>
          </w:p>
        </w:tc>
        <w:tc>
          <w:tcPr>
            <w:tcW w:w="1395" w:type="dxa"/>
            <w:tcBorders>
              <w:bottom w:val="single" w:sz="6" w:space="0" w:color="000000"/>
              <w:right w:val="single" w:sz="6" w:space="0" w:color="000000"/>
            </w:tcBorders>
            <w:vAlign w:val="center"/>
          </w:tcPr>
          <w:p w14:paraId="40AA44E1" w14:textId="77777777" w:rsidR="007D706A" w:rsidRDefault="007D706A" w:rsidP="00F70508">
            <w:pPr>
              <w:pStyle w:val="ParagraphStyle9"/>
              <w:rPr>
                <w:rStyle w:val="CharacterStyle9"/>
              </w:rPr>
            </w:pPr>
            <w:r>
              <w:rPr>
                <w:rStyle w:val="CharacterStyle9"/>
              </w:rPr>
              <w:t>28.800,00</w:t>
            </w:r>
          </w:p>
        </w:tc>
        <w:tc>
          <w:tcPr>
            <w:tcW w:w="1395" w:type="dxa"/>
            <w:tcBorders>
              <w:bottom w:val="single" w:sz="6" w:space="0" w:color="000000"/>
              <w:right w:val="single" w:sz="6" w:space="0" w:color="000000"/>
            </w:tcBorders>
            <w:vAlign w:val="center"/>
          </w:tcPr>
          <w:p w14:paraId="5F213039" w14:textId="77777777" w:rsidR="007D706A" w:rsidRDefault="007D706A" w:rsidP="00F70508">
            <w:pPr>
              <w:pStyle w:val="ParagraphStyle9"/>
              <w:rPr>
                <w:rStyle w:val="CharacterStyle9"/>
              </w:rPr>
            </w:pPr>
            <w:r>
              <w:rPr>
                <w:rStyle w:val="CharacterStyle9"/>
              </w:rPr>
              <w:t>28.800,00</w:t>
            </w:r>
          </w:p>
        </w:tc>
        <w:tc>
          <w:tcPr>
            <w:tcW w:w="1395" w:type="dxa"/>
            <w:tcBorders>
              <w:bottom w:val="single" w:sz="6" w:space="0" w:color="000000"/>
              <w:right w:val="single" w:sz="6" w:space="0" w:color="000000"/>
            </w:tcBorders>
            <w:vAlign w:val="center"/>
          </w:tcPr>
          <w:p w14:paraId="1743D54C" w14:textId="77777777" w:rsidR="007D706A" w:rsidRDefault="007D706A" w:rsidP="00F70508">
            <w:pPr>
              <w:pStyle w:val="ParagraphStyle9"/>
              <w:rPr>
                <w:rStyle w:val="CharacterStyle9"/>
              </w:rPr>
            </w:pPr>
            <w:r>
              <w:rPr>
                <w:rStyle w:val="CharacterStyle9"/>
              </w:rPr>
              <w:t>28.800,00</w:t>
            </w:r>
          </w:p>
        </w:tc>
      </w:tr>
      <w:tr w:rsidR="007D706A" w14:paraId="6E0A39C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D35EDB4"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28ECE45D"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230192B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E6527AF" w14:textId="77777777" w:rsidR="007D706A" w:rsidRDefault="007D706A" w:rsidP="00F70508">
            <w:pPr>
              <w:pStyle w:val="ParagraphStyle12"/>
              <w:rPr>
                <w:rStyle w:val="CharacterStyle12"/>
              </w:rPr>
            </w:pPr>
            <w:r>
              <w:rPr>
                <w:rStyle w:val="CharacterStyle12"/>
              </w:rPr>
              <w:t>28.800,00</w:t>
            </w:r>
          </w:p>
        </w:tc>
        <w:tc>
          <w:tcPr>
            <w:tcW w:w="1395" w:type="dxa"/>
            <w:tcBorders>
              <w:bottom w:val="single" w:sz="6" w:space="0" w:color="000000"/>
              <w:right w:val="single" w:sz="6" w:space="0" w:color="000000"/>
            </w:tcBorders>
            <w:vAlign w:val="center"/>
          </w:tcPr>
          <w:p w14:paraId="59B00B76" w14:textId="77777777" w:rsidR="007D706A" w:rsidRDefault="007D706A" w:rsidP="00F70508">
            <w:pPr>
              <w:pStyle w:val="ParagraphStyle12"/>
              <w:rPr>
                <w:rStyle w:val="CharacterStyle12"/>
              </w:rPr>
            </w:pPr>
            <w:r>
              <w:rPr>
                <w:rStyle w:val="CharacterStyle12"/>
              </w:rPr>
              <w:t>28.800,00</w:t>
            </w:r>
          </w:p>
        </w:tc>
        <w:tc>
          <w:tcPr>
            <w:tcW w:w="1395" w:type="dxa"/>
            <w:tcBorders>
              <w:bottom w:val="single" w:sz="6" w:space="0" w:color="000000"/>
              <w:right w:val="single" w:sz="6" w:space="0" w:color="000000"/>
            </w:tcBorders>
            <w:vAlign w:val="center"/>
          </w:tcPr>
          <w:p w14:paraId="51B4921F" w14:textId="77777777" w:rsidR="007D706A" w:rsidRDefault="007D706A" w:rsidP="00F70508">
            <w:pPr>
              <w:pStyle w:val="ParagraphStyle12"/>
              <w:rPr>
                <w:rStyle w:val="CharacterStyle12"/>
              </w:rPr>
            </w:pPr>
            <w:r>
              <w:rPr>
                <w:rStyle w:val="CharacterStyle12"/>
              </w:rPr>
              <w:t>28.800,00</w:t>
            </w:r>
          </w:p>
        </w:tc>
        <w:tc>
          <w:tcPr>
            <w:tcW w:w="1395" w:type="dxa"/>
            <w:tcBorders>
              <w:bottom w:val="single" w:sz="6" w:space="0" w:color="000000"/>
              <w:right w:val="single" w:sz="6" w:space="0" w:color="000000"/>
            </w:tcBorders>
            <w:vAlign w:val="center"/>
          </w:tcPr>
          <w:p w14:paraId="17568A74" w14:textId="77777777" w:rsidR="007D706A" w:rsidRDefault="007D706A" w:rsidP="00F70508">
            <w:pPr>
              <w:pStyle w:val="ParagraphStyle12"/>
              <w:rPr>
                <w:rStyle w:val="CharacterStyle12"/>
              </w:rPr>
            </w:pPr>
            <w:r>
              <w:rPr>
                <w:rStyle w:val="CharacterStyle12"/>
              </w:rPr>
              <w:t>28.800,00</w:t>
            </w:r>
          </w:p>
        </w:tc>
      </w:tr>
      <w:tr w:rsidR="007D706A" w14:paraId="76EDD73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957D653" w14:textId="77777777" w:rsidR="007D706A" w:rsidRDefault="007D706A" w:rsidP="00F70508">
            <w:pPr>
              <w:pStyle w:val="ParagraphStyle10"/>
              <w:rPr>
                <w:rStyle w:val="CharacterStyle10"/>
              </w:rPr>
            </w:pPr>
            <w:r>
              <w:rPr>
                <w:rStyle w:val="CharacterStyle10"/>
              </w:rPr>
              <w:t>36</w:t>
            </w:r>
          </w:p>
        </w:tc>
        <w:tc>
          <w:tcPr>
            <w:tcW w:w="4995" w:type="dxa"/>
            <w:tcBorders>
              <w:bottom w:val="single" w:sz="6" w:space="0" w:color="000000"/>
              <w:right w:val="single" w:sz="6" w:space="0" w:color="000000"/>
            </w:tcBorders>
            <w:vAlign w:val="center"/>
          </w:tcPr>
          <w:p w14:paraId="59C5DCD5" w14:textId="77777777" w:rsidR="007D706A" w:rsidRDefault="007D706A" w:rsidP="00F70508">
            <w:pPr>
              <w:pStyle w:val="ParagraphStyle11"/>
              <w:rPr>
                <w:rStyle w:val="CharacterStyle11"/>
              </w:rPr>
            </w:pPr>
            <w:r>
              <w:rPr>
                <w:rStyle w:val="CharacterStyle11"/>
              </w:rPr>
              <w:t>Pomoći dane u inozemstvo i unutar općeg proračuna</w:t>
            </w:r>
          </w:p>
        </w:tc>
        <w:tc>
          <w:tcPr>
            <w:tcW w:w="1395" w:type="dxa"/>
            <w:tcBorders>
              <w:bottom w:val="single" w:sz="6" w:space="0" w:color="000000"/>
              <w:right w:val="single" w:sz="6" w:space="0" w:color="000000"/>
            </w:tcBorders>
            <w:vAlign w:val="center"/>
          </w:tcPr>
          <w:p w14:paraId="16B5B77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44B1848" w14:textId="77777777" w:rsidR="007D706A" w:rsidRDefault="007D706A" w:rsidP="00F70508">
            <w:pPr>
              <w:pStyle w:val="ParagraphStyle12"/>
              <w:rPr>
                <w:rStyle w:val="CharacterStyle12"/>
              </w:rPr>
            </w:pPr>
            <w:r>
              <w:rPr>
                <w:rStyle w:val="CharacterStyle12"/>
              </w:rPr>
              <w:t>28.800,00</w:t>
            </w:r>
          </w:p>
        </w:tc>
        <w:tc>
          <w:tcPr>
            <w:tcW w:w="1395" w:type="dxa"/>
            <w:tcBorders>
              <w:bottom w:val="single" w:sz="6" w:space="0" w:color="000000"/>
              <w:right w:val="single" w:sz="6" w:space="0" w:color="000000"/>
            </w:tcBorders>
            <w:vAlign w:val="center"/>
          </w:tcPr>
          <w:p w14:paraId="5FEF5EC4" w14:textId="77777777" w:rsidR="007D706A" w:rsidRDefault="007D706A" w:rsidP="00F70508">
            <w:pPr>
              <w:pStyle w:val="ParagraphStyle12"/>
              <w:rPr>
                <w:rStyle w:val="CharacterStyle12"/>
              </w:rPr>
            </w:pPr>
            <w:r>
              <w:rPr>
                <w:rStyle w:val="CharacterStyle12"/>
              </w:rPr>
              <w:t>28.800,00</w:t>
            </w:r>
          </w:p>
        </w:tc>
        <w:tc>
          <w:tcPr>
            <w:tcW w:w="1395" w:type="dxa"/>
            <w:tcBorders>
              <w:bottom w:val="single" w:sz="6" w:space="0" w:color="000000"/>
              <w:right w:val="single" w:sz="6" w:space="0" w:color="000000"/>
            </w:tcBorders>
            <w:vAlign w:val="center"/>
          </w:tcPr>
          <w:p w14:paraId="7D137285" w14:textId="77777777" w:rsidR="007D706A" w:rsidRDefault="007D706A" w:rsidP="00F70508">
            <w:pPr>
              <w:pStyle w:val="ParagraphStyle12"/>
              <w:rPr>
                <w:rStyle w:val="CharacterStyle12"/>
              </w:rPr>
            </w:pPr>
            <w:r>
              <w:rPr>
                <w:rStyle w:val="CharacterStyle12"/>
              </w:rPr>
              <w:t>28.800,00</w:t>
            </w:r>
          </w:p>
        </w:tc>
        <w:tc>
          <w:tcPr>
            <w:tcW w:w="1395" w:type="dxa"/>
            <w:tcBorders>
              <w:bottom w:val="single" w:sz="6" w:space="0" w:color="000000"/>
              <w:right w:val="single" w:sz="6" w:space="0" w:color="000000"/>
            </w:tcBorders>
            <w:vAlign w:val="center"/>
          </w:tcPr>
          <w:p w14:paraId="6E1D590A" w14:textId="77777777" w:rsidR="007D706A" w:rsidRDefault="007D706A" w:rsidP="00F70508">
            <w:pPr>
              <w:pStyle w:val="ParagraphStyle12"/>
              <w:rPr>
                <w:rStyle w:val="CharacterStyle12"/>
              </w:rPr>
            </w:pPr>
            <w:r>
              <w:rPr>
                <w:rStyle w:val="CharacterStyle12"/>
              </w:rPr>
              <w:t>28.800,00</w:t>
            </w:r>
          </w:p>
        </w:tc>
      </w:tr>
      <w:tr w:rsidR="007D706A" w14:paraId="1F59559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D66E35A" w14:textId="77777777" w:rsidR="007D706A" w:rsidRDefault="007D706A" w:rsidP="00F70508">
            <w:pPr>
              <w:pStyle w:val="ParagraphStyle4"/>
              <w:rPr>
                <w:rStyle w:val="CharacterStyle4"/>
              </w:rPr>
            </w:pPr>
            <w:r>
              <w:rPr>
                <w:rStyle w:val="CharacterStyle4"/>
              </w:rPr>
              <w:t>Aktivnost A103313</w:t>
            </w:r>
          </w:p>
        </w:tc>
        <w:tc>
          <w:tcPr>
            <w:tcW w:w="4995" w:type="dxa"/>
            <w:tcBorders>
              <w:bottom w:val="single" w:sz="6" w:space="0" w:color="000000"/>
              <w:right w:val="single" w:sz="6" w:space="0" w:color="000000"/>
            </w:tcBorders>
            <w:vAlign w:val="center"/>
          </w:tcPr>
          <w:p w14:paraId="0F2CC359" w14:textId="77777777" w:rsidR="007D706A" w:rsidRDefault="007D706A" w:rsidP="00F70508">
            <w:pPr>
              <w:pStyle w:val="ParagraphStyle5"/>
              <w:rPr>
                <w:rStyle w:val="CharacterStyle5"/>
              </w:rPr>
            </w:pPr>
            <w:r>
              <w:rPr>
                <w:rStyle w:val="CharacterStyle5"/>
              </w:rPr>
              <w:t>ZLATNE GODINE</w:t>
            </w:r>
          </w:p>
        </w:tc>
        <w:tc>
          <w:tcPr>
            <w:tcW w:w="1395" w:type="dxa"/>
            <w:tcBorders>
              <w:bottom w:val="single" w:sz="6" w:space="0" w:color="000000"/>
              <w:right w:val="single" w:sz="6" w:space="0" w:color="000000"/>
            </w:tcBorders>
            <w:vAlign w:val="center"/>
          </w:tcPr>
          <w:p w14:paraId="434EE408"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448ED14F"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3600ABB3" w14:textId="77777777" w:rsidR="007D706A" w:rsidRDefault="007D706A" w:rsidP="00F70508">
            <w:pPr>
              <w:pStyle w:val="ParagraphStyle6"/>
              <w:rPr>
                <w:rStyle w:val="CharacterStyle6"/>
              </w:rPr>
            </w:pPr>
            <w:r>
              <w:rPr>
                <w:rStyle w:val="CharacterStyle6"/>
              </w:rPr>
              <w:t>1.950,00</w:t>
            </w:r>
          </w:p>
        </w:tc>
        <w:tc>
          <w:tcPr>
            <w:tcW w:w="1395" w:type="dxa"/>
            <w:tcBorders>
              <w:bottom w:val="single" w:sz="6" w:space="0" w:color="000000"/>
              <w:right w:val="single" w:sz="6" w:space="0" w:color="000000"/>
            </w:tcBorders>
            <w:vAlign w:val="center"/>
          </w:tcPr>
          <w:p w14:paraId="52C7D05C"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56914D8F" w14:textId="77777777" w:rsidR="007D706A" w:rsidRDefault="007D706A" w:rsidP="00F70508">
            <w:pPr>
              <w:pStyle w:val="ParagraphStyle6"/>
              <w:rPr>
                <w:rStyle w:val="CharacterStyle6"/>
              </w:rPr>
            </w:pPr>
            <w:r>
              <w:rPr>
                <w:rStyle w:val="CharacterStyle6"/>
              </w:rPr>
              <w:t>0,00</w:t>
            </w:r>
          </w:p>
        </w:tc>
      </w:tr>
      <w:tr w:rsidR="007D706A" w14:paraId="64F27F4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136731A"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60EA8B14"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20E667EB"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22D5A31"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0E9F000" w14:textId="77777777" w:rsidR="007D706A" w:rsidRDefault="007D706A" w:rsidP="00F70508">
            <w:pPr>
              <w:pStyle w:val="ParagraphStyle9"/>
              <w:rPr>
                <w:rStyle w:val="CharacterStyle9"/>
              </w:rPr>
            </w:pPr>
            <w:r>
              <w:rPr>
                <w:rStyle w:val="CharacterStyle9"/>
              </w:rPr>
              <w:t>1.950,00</w:t>
            </w:r>
          </w:p>
        </w:tc>
        <w:tc>
          <w:tcPr>
            <w:tcW w:w="1395" w:type="dxa"/>
            <w:tcBorders>
              <w:bottom w:val="single" w:sz="6" w:space="0" w:color="000000"/>
              <w:right w:val="single" w:sz="6" w:space="0" w:color="000000"/>
            </w:tcBorders>
            <w:vAlign w:val="center"/>
          </w:tcPr>
          <w:p w14:paraId="09A926EA"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9469C99" w14:textId="77777777" w:rsidR="007D706A" w:rsidRDefault="007D706A" w:rsidP="00F70508">
            <w:pPr>
              <w:pStyle w:val="ParagraphStyle9"/>
              <w:rPr>
                <w:rStyle w:val="CharacterStyle9"/>
              </w:rPr>
            </w:pPr>
            <w:r>
              <w:rPr>
                <w:rStyle w:val="CharacterStyle9"/>
              </w:rPr>
              <w:t>0,00</w:t>
            </w:r>
          </w:p>
        </w:tc>
      </w:tr>
      <w:tr w:rsidR="007D706A" w14:paraId="2B5FE95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608F379"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60714365"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74335CB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179EA2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D196B47" w14:textId="77777777" w:rsidR="007D706A" w:rsidRDefault="007D706A" w:rsidP="00F70508">
            <w:pPr>
              <w:pStyle w:val="ParagraphStyle12"/>
              <w:rPr>
                <w:rStyle w:val="CharacterStyle12"/>
              </w:rPr>
            </w:pPr>
            <w:r>
              <w:rPr>
                <w:rStyle w:val="CharacterStyle12"/>
              </w:rPr>
              <w:t>1.950,00</w:t>
            </w:r>
          </w:p>
        </w:tc>
        <w:tc>
          <w:tcPr>
            <w:tcW w:w="1395" w:type="dxa"/>
            <w:tcBorders>
              <w:bottom w:val="single" w:sz="6" w:space="0" w:color="000000"/>
              <w:right w:val="single" w:sz="6" w:space="0" w:color="000000"/>
            </w:tcBorders>
            <w:vAlign w:val="center"/>
          </w:tcPr>
          <w:p w14:paraId="0335862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767FCF4" w14:textId="77777777" w:rsidR="007D706A" w:rsidRDefault="007D706A" w:rsidP="00F70508">
            <w:pPr>
              <w:pStyle w:val="ParagraphStyle12"/>
              <w:rPr>
                <w:rStyle w:val="CharacterStyle12"/>
              </w:rPr>
            </w:pPr>
            <w:r>
              <w:rPr>
                <w:rStyle w:val="CharacterStyle12"/>
              </w:rPr>
              <w:t>0,00</w:t>
            </w:r>
          </w:p>
        </w:tc>
      </w:tr>
      <w:tr w:rsidR="007D706A" w14:paraId="1F6AD88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988ABFE"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2B3AF7E1"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10444CF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748FAC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5CA0288" w14:textId="77777777" w:rsidR="007D706A" w:rsidRDefault="007D706A" w:rsidP="00F70508">
            <w:pPr>
              <w:pStyle w:val="ParagraphStyle12"/>
              <w:rPr>
                <w:rStyle w:val="CharacterStyle12"/>
              </w:rPr>
            </w:pPr>
            <w:r>
              <w:rPr>
                <w:rStyle w:val="CharacterStyle12"/>
              </w:rPr>
              <w:t>1.950,00</w:t>
            </w:r>
          </w:p>
        </w:tc>
        <w:tc>
          <w:tcPr>
            <w:tcW w:w="1395" w:type="dxa"/>
            <w:tcBorders>
              <w:bottom w:val="single" w:sz="6" w:space="0" w:color="000000"/>
              <w:right w:val="single" w:sz="6" w:space="0" w:color="000000"/>
            </w:tcBorders>
            <w:vAlign w:val="center"/>
          </w:tcPr>
          <w:p w14:paraId="21CFEB8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08A945F" w14:textId="77777777" w:rsidR="007D706A" w:rsidRDefault="007D706A" w:rsidP="00F70508">
            <w:pPr>
              <w:pStyle w:val="ParagraphStyle12"/>
              <w:rPr>
                <w:rStyle w:val="CharacterStyle12"/>
              </w:rPr>
            </w:pPr>
            <w:r>
              <w:rPr>
                <w:rStyle w:val="CharacterStyle12"/>
              </w:rPr>
              <w:t>0,00</w:t>
            </w:r>
          </w:p>
        </w:tc>
      </w:tr>
      <w:tr w:rsidR="007D706A" w14:paraId="5F0E7BE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1028378" w14:textId="77777777" w:rsidR="007D706A" w:rsidRDefault="007D706A" w:rsidP="00F70508">
            <w:pPr>
              <w:pStyle w:val="ParagraphStyle4"/>
              <w:rPr>
                <w:rStyle w:val="CharacterStyle4"/>
              </w:rPr>
            </w:pPr>
            <w:r>
              <w:rPr>
                <w:rStyle w:val="CharacterStyle4"/>
              </w:rPr>
              <w:t>Aktivnost A103314</w:t>
            </w:r>
          </w:p>
        </w:tc>
        <w:tc>
          <w:tcPr>
            <w:tcW w:w="4995" w:type="dxa"/>
            <w:tcBorders>
              <w:bottom w:val="single" w:sz="6" w:space="0" w:color="000000"/>
              <w:right w:val="single" w:sz="6" w:space="0" w:color="000000"/>
            </w:tcBorders>
            <w:vAlign w:val="center"/>
          </w:tcPr>
          <w:p w14:paraId="387A822A" w14:textId="77777777" w:rsidR="007D706A" w:rsidRDefault="007D706A" w:rsidP="00F70508">
            <w:pPr>
              <w:pStyle w:val="ParagraphStyle5"/>
              <w:rPr>
                <w:rStyle w:val="CharacterStyle5"/>
              </w:rPr>
            </w:pPr>
            <w:r>
              <w:rPr>
                <w:rStyle w:val="CharacterStyle5"/>
              </w:rPr>
              <w:t>PROGRAM PREVENCIJE KARDIOVASKULARNIH BOLESTI</w:t>
            </w:r>
          </w:p>
        </w:tc>
        <w:tc>
          <w:tcPr>
            <w:tcW w:w="1395" w:type="dxa"/>
            <w:tcBorders>
              <w:bottom w:val="single" w:sz="6" w:space="0" w:color="000000"/>
              <w:right w:val="single" w:sz="6" w:space="0" w:color="000000"/>
            </w:tcBorders>
            <w:vAlign w:val="center"/>
          </w:tcPr>
          <w:p w14:paraId="4EE04A7E"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0D969752"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6537EC92" w14:textId="77777777" w:rsidR="007D706A" w:rsidRDefault="007D706A" w:rsidP="00F70508">
            <w:pPr>
              <w:pStyle w:val="ParagraphStyle6"/>
              <w:rPr>
                <w:rStyle w:val="CharacterStyle6"/>
              </w:rPr>
            </w:pPr>
            <w:r>
              <w:rPr>
                <w:rStyle w:val="CharacterStyle6"/>
              </w:rPr>
              <w:t>20.000,00</w:t>
            </w:r>
          </w:p>
        </w:tc>
        <w:tc>
          <w:tcPr>
            <w:tcW w:w="1395" w:type="dxa"/>
            <w:tcBorders>
              <w:bottom w:val="single" w:sz="6" w:space="0" w:color="000000"/>
              <w:right w:val="single" w:sz="6" w:space="0" w:color="000000"/>
            </w:tcBorders>
            <w:vAlign w:val="center"/>
          </w:tcPr>
          <w:p w14:paraId="2D7B7754"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749DA6A2" w14:textId="77777777" w:rsidR="007D706A" w:rsidRDefault="007D706A" w:rsidP="00F70508">
            <w:pPr>
              <w:pStyle w:val="ParagraphStyle6"/>
              <w:rPr>
                <w:rStyle w:val="CharacterStyle6"/>
              </w:rPr>
            </w:pPr>
            <w:r>
              <w:rPr>
                <w:rStyle w:val="CharacterStyle6"/>
              </w:rPr>
              <w:t>0,00</w:t>
            </w:r>
          </w:p>
        </w:tc>
      </w:tr>
      <w:tr w:rsidR="007D706A" w14:paraId="5F9E1A5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9B33749"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7B5CCF78"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32903AA3"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226456C"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14221A3" w14:textId="77777777" w:rsidR="007D706A" w:rsidRDefault="007D706A" w:rsidP="00F70508">
            <w:pPr>
              <w:pStyle w:val="ParagraphStyle9"/>
              <w:rPr>
                <w:rStyle w:val="CharacterStyle9"/>
              </w:rPr>
            </w:pPr>
            <w:r>
              <w:rPr>
                <w:rStyle w:val="CharacterStyle9"/>
              </w:rPr>
              <w:t>20.000,00</w:t>
            </w:r>
          </w:p>
        </w:tc>
        <w:tc>
          <w:tcPr>
            <w:tcW w:w="1395" w:type="dxa"/>
            <w:tcBorders>
              <w:bottom w:val="single" w:sz="6" w:space="0" w:color="000000"/>
              <w:right w:val="single" w:sz="6" w:space="0" w:color="000000"/>
            </w:tcBorders>
            <w:vAlign w:val="center"/>
          </w:tcPr>
          <w:p w14:paraId="11116F84"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4EFD3D2" w14:textId="77777777" w:rsidR="007D706A" w:rsidRDefault="007D706A" w:rsidP="00F70508">
            <w:pPr>
              <w:pStyle w:val="ParagraphStyle9"/>
              <w:rPr>
                <w:rStyle w:val="CharacterStyle9"/>
              </w:rPr>
            </w:pPr>
            <w:r>
              <w:rPr>
                <w:rStyle w:val="CharacterStyle9"/>
              </w:rPr>
              <w:t>0,00</w:t>
            </w:r>
          </w:p>
        </w:tc>
      </w:tr>
      <w:tr w:rsidR="007D706A" w14:paraId="1ED2F29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F649F5E"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6242C259"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3626AB1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47DAA1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3F39C1B" w14:textId="77777777" w:rsidR="007D706A" w:rsidRDefault="007D706A" w:rsidP="00F70508">
            <w:pPr>
              <w:pStyle w:val="ParagraphStyle12"/>
              <w:rPr>
                <w:rStyle w:val="CharacterStyle12"/>
              </w:rPr>
            </w:pPr>
            <w:r>
              <w:rPr>
                <w:rStyle w:val="CharacterStyle12"/>
              </w:rPr>
              <w:t>20.000,00</w:t>
            </w:r>
          </w:p>
        </w:tc>
        <w:tc>
          <w:tcPr>
            <w:tcW w:w="1395" w:type="dxa"/>
            <w:tcBorders>
              <w:bottom w:val="single" w:sz="6" w:space="0" w:color="000000"/>
              <w:right w:val="single" w:sz="6" w:space="0" w:color="000000"/>
            </w:tcBorders>
            <w:vAlign w:val="center"/>
          </w:tcPr>
          <w:p w14:paraId="13B8B0E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F67090D" w14:textId="77777777" w:rsidR="007D706A" w:rsidRDefault="007D706A" w:rsidP="00F70508">
            <w:pPr>
              <w:pStyle w:val="ParagraphStyle12"/>
              <w:rPr>
                <w:rStyle w:val="CharacterStyle12"/>
              </w:rPr>
            </w:pPr>
            <w:r>
              <w:rPr>
                <w:rStyle w:val="CharacterStyle12"/>
              </w:rPr>
              <w:t>0,00</w:t>
            </w:r>
          </w:p>
        </w:tc>
      </w:tr>
      <w:tr w:rsidR="007D706A" w14:paraId="1311FF6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DB26866"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605BD217"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3D97AFA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F3B21D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A8F06F6" w14:textId="77777777" w:rsidR="007D706A" w:rsidRDefault="007D706A" w:rsidP="00F70508">
            <w:pPr>
              <w:pStyle w:val="ParagraphStyle12"/>
              <w:rPr>
                <w:rStyle w:val="CharacterStyle12"/>
              </w:rPr>
            </w:pPr>
            <w:r>
              <w:rPr>
                <w:rStyle w:val="CharacterStyle12"/>
              </w:rPr>
              <w:t>20.000,00</w:t>
            </w:r>
          </w:p>
        </w:tc>
        <w:tc>
          <w:tcPr>
            <w:tcW w:w="1395" w:type="dxa"/>
            <w:tcBorders>
              <w:bottom w:val="single" w:sz="6" w:space="0" w:color="000000"/>
              <w:right w:val="single" w:sz="6" w:space="0" w:color="000000"/>
            </w:tcBorders>
            <w:vAlign w:val="center"/>
          </w:tcPr>
          <w:p w14:paraId="7C0ABF9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364F4D9" w14:textId="77777777" w:rsidR="007D706A" w:rsidRDefault="007D706A" w:rsidP="00F70508">
            <w:pPr>
              <w:pStyle w:val="ParagraphStyle12"/>
              <w:rPr>
                <w:rStyle w:val="CharacterStyle12"/>
              </w:rPr>
            </w:pPr>
            <w:r>
              <w:rPr>
                <w:rStyle w:val="CharacterStyle12"/>
              </w:rPr>
              <w:t>0,00</w:t>
            </w:r>
          </w:p>
        </w:tc>
      </w:tr>
      <w:tr w:rsidR="007D706A" w14:paraId="2FA8A2F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47ED7D9" w14:textId="77777777" w:rsidR="007D706A" w:rsidRDefault="007D706A" w:rsidP="00F70508">
            <w:pPr>
              <w:pStyle w:val="ParagraphStyle4"/>
              <w:rPr>
                <w:rStyle w:val="CharacterStyle4"/>
              </w:rPr>
            </w:pPr>
            <w:r>
              <w:rPr>
                <w:rStyle w:val="CharacterStyle4"/>
              </w:rPr>
              <w:t>PROGRAM    1034</w:t>
            </w:r>
          </w:p>
        </w:tc>
        <w:tc>
          <w:tcPr>
            <w:tcW w:w="4995" w:type="dxa"/>
            <w:tcBorders>
              <w:bottom w:val="single" w:sz="6" w:space="0" w:color="000000"/>
              <w:right w:val="single" w:sz="6" w:space="0" w:color="000000"/>
            </w:tcBorders>
            <w:vAlign w:val="center"/>
          </w:tcPr>
          <w:p w14:paraId="012B6EBC" w14:textId="77777777" w:rsidR="007D706A" w:rsidRDefault="007D706A" w:rsidP="00F70508">
            <w:pPr>
              <w:pStyle w:val="ParagraphStyle5"/>
              <w:rPr>
                <w:rStyle w:val="CharacterStyle5"/>
              </w:rPr>
            </w:pPr>
            <w:r>
              <w:rPr>
                <w:rStyle w:val="CharacterStyle5"/>
              </w:rPr>
              <w:t>RAZVOJ CIVILNOG DRUŠTVA</w:t>
            </w:r>
          </w:p>
        </w:tc>
        <w:tc>
          <w:tcPr>
            <w:tcW w:w="1395" w:type="dxa"/>
            <w:tcBorders>
              <w:bottom w:val="single" w:sz="6" w:space="0" w:color="000000"/>
              <w:right w:val="single" w:sz="6" w:space="0" w:color="000000"/>
            </w:tcBorders>
            <w:vAlign w:val="center"/>
          </w:tcPr>
          <w:p w14:paraId="7A43E009"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18F6ACE3" w14:textId="77777777" w:rsidR="007D706A" w:rsidRDefault="007D706A" w:rsidP="00F70508">
            <w:pPr>
              <w:pStyle w:val="ParagraphStyle6"/>
              <w:rPr>
                <w:rStyle w:val="CharacterStyle6"/>
              </w:rPr>
            </w:pPr>
            <w:r>
              <w:rPr>
                <w:rStyle w:val="CharacterStyle6"/>
              </w:rPr>
              <w:t>135.250,00</w:t>
            </w:r>
          </w:p>
        </w:tc>
        <w:tc>
          <w:tcPr>
            <w:tcW w:w="1395" w:type="dxa"/>
            <w:tcBorders>
              <w:bottom w:val="single" w:sz="6" w:space="0" w:color="000000"/>
              <w:right w:val="single" w:sz="6" w:space="0" w:color="000000"/>
            </w:tcBorders>
            <w:vAlign w:val="center"/>
          </w:tcPr>
          <w:p w14:paraId="4A5349F8" w14:textId="77777777" w:rsidR="007D706A" w:rsidRDefault="007D706A" w:rsidP="00F70508">
            <w:pPr>
              <w:pStyle w:val="ParagraphStyle6"/>
              <w:rPr>
                <w:rStyle w:val="CharacterStyle6"/>
              </w:rPr>
            </w:pPr>
            <w:r>
              <w:rPr>
                <w:rStyle w:val="CharacterStyle6"/>
              </w:rPr>
              <w:t>170.250,00</w:t>
            </w:r>
          </w:p>
        </w:tc>
        <w:tc>
          <w:tcPr>
            <w:tcW w:w="1395" w:type="dxa"/>
            <w:tcBorders>
              <w:bottom w:val="single" w:sz="6" w:space="0" w:color="000000"/>
              <w:right w:val="single" w:sz="6" w:space="0" w:color="000000"/>
            </w:tcBorders>
            <w:vAlign w:val="center"/>
          </w:tcPr>
          <w:p w14:paraId="78499033" w14:textId="77777777" w:rsidR="007D706A" w:rsidRDefault="007D706A" w:rsidP="00F70508">
            <w:pPr>
              <w:pStyle w:val="ParagraphStyle6"/>
              <w:rPr>
                <w:rStyle w:val="CharacterStyle6"/>
              </w:rPr>
            </w:pPr>
            <w:r>
              <w:rPr>
                <w:rStyle w:val="CharacterStyle6"/>
              </w:rPr>
              <w:t>182.800,00</w:t>
            </w:r>
          </w:p>
        </w:tc>
        <w:tc>
          <w:tcPr>
            <w:tcW w:w="1395" w:type="dxa"/>
            <w:tcBorders>
              <w:bottom w:val="single" w:sz="6" w:space="0" w:color="000000"/>
              <w:right w:val="single" w:sz="6" w:space="0" w:color="000000"/>
            </w:tcBorders>
            <w:vAlign w:val="center"/>
          </w:tcPr>
          <w:p w14:paraId="392DDDF4" w14:textId="77777777" w:rsidR="007D706A" w:rsidRDefault="007D706A" w:rsidP="00F70508">
            <w:pPr>
              <w:pStyle w:val="ParagraphStyle6"/>
              <w:rPr>
                <w:rStyle w:val="CharacterStyle6"/>
              </w:rPr>
            </w:pPr>
            <w:r>
              <w:rPr>
                <w:rStyle w:val="CharacterStyle6"/>
              </w:rPr>
              <w:t>193.300,00</w:t>
            </w:r>
          </w:p>
        </w:tc>
      </w:tr>
      <w:tr w:rsidR="007D706A" w14:paraId="502D9E0E" w14:textId="77777777" w:rsidTr="00F70508">
        <w:trPr>
          <w:trHeight w:val="420"/>
        </w:trPr>
        <w:tc>
          <w:tcPr>
            <w:tcW w:w="2880" w:type="dxa"/>
            <w:tcBorders>
              <w:left w:val="single" w:sz="6" w:space="0" w:color="000000"/>
              <w:bottom w:val="single" w:sz="6" w:space="0" w:color="000000"/>
              <w:right w:val="single" w:sz="6" w:space="0" w:color="000000"/>
            </w:tcBorders>
            <w:vAlign w:val="center"/>
          </w:tcPr>
          <w:p w14:paraId="7381E3CE" w14:textId="77777777" w:rsidR="007D706A" w:rsidRDefault="007D706A" w:rsidP="00F70508">
            <w:pPr>
              <w:pStyle w:val="ParagraphStyle4"/>
              <w:rPr>
                <w:rStyle w:val="CharacterStyle4"/>
              </w:rPr>
            </w:pPr>
            <w:r>
              <w:rPr>
                <w:rStyle w:val="CharacterStyle4"/>
              </w:rPr>
              <w:t>Aktivnost A103404</w:t>
            </w:r>
          </w:p>
        </w:tc>
        <w:tc>
          <w:tcPr>
            <w:tcW w:w="4995" w:type="dxa"/>
            <w:tcBorders>
              <w:bottom w:val="single" w:sz="6" w:space="0" w:color="000000"/>
              <w:right w:val="single" w:sz="6" w:space="0" w:color="000000"/>
            </w:tcBorders>
            <w:vAlign w:val="center"/>
          </w:tcPr>
          <w:p w14:paraId="590D4780" w14:textId="77777777" w:rsidR="007D706A" w:rsidRDefault="007D706A" w:rsidP="00F70508">
            <w:pPr>
              <w:pStyle w:val="ParagraphStyle5"/>
              <w:rPr>
                <w:rStyle w:val="CharacterStyle5"/>
              </w:rPr>
            </w:pPr>
            <w:r>
              <w:rPr>
                <w:rStyle w:val="CharacterStyle5"/>
              </w:rPr>
              <w:t>AKTIVNOSTI UDRUGA PROIZAŠLIH IZ DOMOVINSKOG RATA I NOBA</w:t>
            </w:r>
          </w:p>
        </w:tc>
        <w:tc>
          <w:tcPr>
            <w:tcW w:w="1395" w:type="dxa"/>
            <w:tcBorders>
              <w:bottom w:val="single" w:sz="6" w:space="0" w:color="000000"/>
              <w:right w:val="single" w:sz="6" w:space="0" w:color="000000"/>
            </w:tcBorders>
            <w:vAlign w:val="center"/>
          </w:tcPr>
          <w:p w14:paraId="6D7CE877"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6BEF1DCE" w14:textId="77777777" w:rsidR="007D706A" w:rsidRDefault="007D706A" w:rsidP="00F70508">
            <w:pPr>
              <w:pStyle w:val="ParagraphStyle6"/>
              <w:rPr>
                <w:rStyle w:val="CharacterStyle6"/>
              </w:rPr>
            </w:pPr>
            <w:r>
              <w:rPr>
                <w:rStyle w:val="CharacterStyle6"/>
              </w:rPr>
              <w:t>4.500,00</w:t>
            </w:r>
          </w:p>
        </w:tc>
        <w:tc>
          <w:tcPr>
            <w:tcW w:w="1395" w:type="dxa"/>
            <w:tcBorders>
              <w:bottom w:val="single" w:sz="6" w:space="0" w:color="000000"/>
              <w:right w:val="single" w:sz="6" w:space="0" w:color="000000"/>
            </w:tcBorders>
            <w:vAlign w:val="center"/>
          </w:tcPr>
          <w:p w14:paraId="4F575C59" w14:textId="77777777" w:rsidR="007D706A" w:rsidRDefault="007D706A" w:rsidP="00F70508">
            <w:pPr>
              <w:pStyle w:val="ParagraphStyle6"/>
              <w:rPr>
                <w:rStyle w:val="CharacterStyle6"/>
              </w:rPr>
            </w:pPr>
            <w:r>
              <w:rPr>
                <w:rStyle w:val="CharacterStyle6"/>
              </w:rPr>
              <w:t>5.500,00</w:t>
            </w:r>
          </w:p>
        </w:tc>
        <w:tc>
          <w:tcPr>
            <w:tcW w:w="1395" w:type="dxa"/>
            <w:tcBorders>
              <w:bottom w:val="single" w:sz="6" w:space="0" w:color="000000"/>
              <w:right w:val="single" w:sz="6" w:space="0" w:color="000000"/>
            </w:tcBorders>
            <w:vAlign w:val="center"/>
          </w:tcPr>
          <w:p w14:paraId="657EAD8D" w14:textId="77777777" w:rsidR="007D706A" w:rsidRDefault="007D706A" w:rsidP="00F70508">
            <w:pPr>
              <w:pStyle w:val="ParagraphStyle6"/>
              <w:rPr>
                <w:rStyle w:val="CharacterStyle6"/>
              </w:rPr>
            </w:pPr>
            <w:r>
              <w:rPr>
                <w:rStyle w:val="CharacterStyle6"/>
              </w:rPr>
              <w:t>5.500,00</w:t>
            </w:r>
          </w:p>
        </w:tc>
        <w:tc>
          <w:tcPr>
            <w:tcW w:w="1395" w:type="dxa"/>
            <w:tcBorders>
              <w:bottom w:val="single" w:sz="6" w:space="0" w:color="000000"/>
              <w:right w:val="single" w:sz="6" w:space="0" w:color="000000"/>
            </w:tcBorders>
            <w:vAlign w:val="center"/>
          </w:tcPr>
          <w:p w14:paraId="47D4F7A7" w14:textId="77777777" w:rsidR="007D706A" w:rsidRDefault="007D706A" w:rsidP="00F70508">
            <w:pPr>
              <w:pStyle w:val="ParagraphStyle6"/>
              <w:rPr>
                <w:rStyle w:val="CharacterStyle6"/>
              </w:rPr>
            </w:pPr>
            <w:r>
              <w:rPr>
                <w:rStyle w:val="CharacterStyle6"/>
              </w:rPr>
              <w:t>6.000,00</w:t>
            </w:r>
          </w:p>
        </w:tc>
      </w:tr>
      <w:tr w:rsidR="007D706A" w14:paraId="1B8F118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1155781"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2ACAB03A"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3CD77C09"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1BE37E1" w14:textId="77777777" w:rsidR="007D706A" w:rsidRDefault="007D706A" w:rsidP="00F70508">
            <w:pPr>
              <w:pStyle w:val="ParagraphStyle9"/>
              <w:rPr>
                <w:rStyle w:val="CharacterStyle9"/>
              </w:rPr>
            </w:pPr>
            <w:r>
              <w:rPr>
                <w:rStyle w:val="CharacterStyle9"/>
              </w:rPr>
              <w:t>4.500,00</w:t>
            </w:r>
          </w:p>
        </w:tc>
        <w:tc>
          <w:tcPr>
            <w:tcW w:w="1395" w:type="dxa"/>
            <w:tcBorders>
              <w:bottom w:val="single" w:sz="6" w:space="0" w:color="000000"/>
              <w:right w:val="single" w:sz="6" w:space="0" w:color="000000"/>
            </w:tcBorders>
            <w:vAlign w:val="center"/>
          </w:tcPr>
          <w:p w14:paraId="6972835C" w14:textId="77777777" w:rsidR="007D706A" w:rsidRDefault="007D706A" w:rsidP="00F70508">
            <w:pPr>
              <w:pStyle w:val="ParagraphStyle9"/>
              <w:rPr>
                <w:rStyle w:val="CharacterStyle9"/>
              </w:rPr>
            </w:pPr>
            <w:r>
              <w:rPr>
                <w:rStyle w:val="CharacterStyle9"/>
              </w:rPr>
              <w:t>5.500,00</w:t>
            </w:r>
          </w:p>
        </w:tc>
        <w:tc>
          <w:tcPr>
            <w:tcW w:w="1395" w:type="dxa"/>
            <w:tcBorders>
              <w:bottom w:val="single" w:sz="6" w:space="0" w:color="000000"/>
              <w:right w:val="single" w:sz="6" w:space="0" w:color="000000"/>
            </w:tcBorders>
            <w:vAlign w:val="center"/>
          </w:tcPr>
          <w:p w14:paraId="69264B58" w14:textId="77777777" w:rsidR="007D706A" w:rsidRDefault="007D706A" w:rsidP="00F70508">
            <w:pPr>
              <w:pStyle w:val="ParagraphStyle9"/>
              <w:rPr>
                <w:rStyle w:val="CharacterStyle9"/>
              </w:rPr>
            </w:pPr>
            <w:r>
              <w:rPr>
                <w:rStyle w:val="CharacterStyle9"/>
              </w:rPr>
              <w:t>5.500,00</w:t>
            </w:r>
          </w:p>
        </w:tc>
        <w:tc>
          <w:tcPr>
            <w:tcW w:w="1395" w:type="dxa"/>
            <w:tcBorders>
              <w:bottom w:val="single" w:sz="6" w:space="0" w:color="000000"/>
              <w:right w:val="single" w:sz="6" w:space="0" w:color="000000"/>
            </w:tcBorders>
            <w:vAlign w:val="center"/>
          </w:tcPr>
          <w:p w14:paraId="7D255086" w14:textId="77777777" w:rsidR="007D706A" w:rsidRDefault="007D706A" w:rsidP="00F70508">
            <w:pPr>
              <w:pStyle w:val="ParagraphStyle9"/>
              <w:rPr>
                <w:rStyle w:val="CharacterStyle9"/>
              </w:rPr>
            </w:pPr>
            <w:r>
              <w:rPr>
                <w:rStyle w:val="CharacterStyle9"/>
              </w:rPr>
              <w:t>6.000,00</w:t>
            </w:r>
          </w:p>
        </w:tc>
      </w:tr>
      <w:tr w:rsidR="007D706A" w14:paraId="7ED2AA0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AA12537"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731D8465"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4E6D199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A7B9C48" w14:textId="77777777" w:rsidR="007D706A" w:rsidRDefault="007D706A" w:rsidP="00F70508">
            <w:pPr>
              <w:pStyle w:val="ParagraphStyle12"/>
              <w:rPr>
                <w:rStyle w:val="CharacterStyle12"/>
              </w:rPr>
            </w:pPr>
            <w:r>
              <w:rPr>
                <w:rStyle w:val="CharacterStyle12"/>
              </w:rPr>
              <w:t>4.500,00</w:t>
            </w:r>
          </w:p>
        </w:tc>
        <w:tc>
          <w:tcPr>
            <w:tcW w:w="1395" w:type="dxa"/>
            <w:tcBorders>
              <w:bottom w:val="single" w:sz="6" w:space="0" w:color="000000"/>
              <w:right w:val="single" w:sz="6" w:space="0" w:color="000000"/>
            </w:tcBorders>
            <w:vAlign w:val="center"/>
          </w:tcPr>
          <w:p w14:paraId="03275B9D" w14:textId="77777777" w:rsidR="007D706A" w:rsidRDefault="007D706A" w:rsidP="00F70508">
            <w:pPr>
              <w:pStyle w:val="ParagraphStyle12"/>
              <w:rPr>
                <w:rStyle w:val="CharacterStyle12"/>
              </w:rPr>
            </w:pPr>
            <w:r>
              <w:rPr>
                <w:rStyle w:val="CharacterStyle12"/>
              </w:rPr>
              <w:t>5.500,00</w:t>
            </w:r>
          </w:p>
        </w:tc>
        <w:tc>
          <w:tcPr>
            <w:tcW w:w="1395" w:type="dxa"/>
            <w:tcBorders>
              <w:bottom w:val="single" w:sz="6" w:space="0" w:color="000000"/>
              <w:right w:val="single" w:sz="6" w:space="0" w:color="000000"/>
            </w:tcBorders>
            <w:vAlign w:val="center"/>
          </w:tcPr>
          <w:p w14:paraId="17F24744" w14:textId="77777777" w:rsidR="007D706A" w:rsidRDefault="007D706A" w:rsidP="00F70508">
            <w:pPr>
              <w:pStyle w:val="ParagraphStyle12"/>
              <w:rPr>
                <w:rStyle w:val="CharacterStyle12"/>
              </w:rPr>
            </w:pPr>
            <w:r>
              <w:rPr>
                <w:rStyle w:val="CharacterStyle12"/>
              </w:rPr>
              <w:t>5.500,00</w:t>
            </w:r>
          </w:p>
        </w:tc>
        <w:tc>
          <w:tcPr>
            <w:tcW w:w="1395" w:type="dxa"/>
            <w:tcBorders>
              <w:bottom w:val="single" w:sz="6" w:space="0" w:color="000000"/>
              <w:right w:val="single" w:sz="6" w:space="0" w:color="000000"/>
            </w:tcBorders>
            <w:vAlign w:val="center"/>
          </w:tcPr>
          <w:p w14:paraId="44A4BC25" w14:textId="77777777" w:rsidR="007D706A" w:rsidRDefault="007D706A" w:rsidP="00F70508">
            <w:pPr>
              <w:pStyle w:val="ParagraphStyle12"/>
              <w:rPr>
                <w:rStyle w:val="CharacterStyle12"/>
              </w:rPr>
            </w:pPr>
            <w:r>
              <w:rPr>
                <w:rStyle w:val="CharacterStyle12"/>
              </w:rPr>
              <w:t>6.000,00</w:t>
            </w:r>
          </w:p>
        </w:tc>
      </w:tr>
      <w:tr w:rsidR="007D706A" w14:paraId="5870F36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2D1155F" w14:textId="77777777" w:rsidR="007D706A" w:rsidRDefault="007D706A" w:rsidP="00F70508">
            <w:pPr>
              <w:pStyle w:val="ParagraphStyle10"/>
              <w:rPr>
                <w:rStyle w:val="CharacterStyle10"/>
              </w:rPr>
            </w:pPr>
            <w:r>
              <w:rPr>
                <w:rStyle w:val="CharacterStyle10"/>
              </w:rPr>
              <w:t>38</w:t>
            </w:r>
          </w:p>
        </w:tc>
        <w:tc>
          <w:tcPr>
            <w:tcW w:w="4995" w:type="dxa"/>
            <w:tcBorders>
              <w:bottom w:val="single" w:sz="6" w:space="0" w:color="000000"/>
              <w:right w:val="single" w:sz="6" w:space="0" w:color="000000"/>
            </w:tcBorders>
            <w:vAlign w:val="center"/>
          </w:tcPr>
          <w:p w14:paraId="5A2DC716" w14:textId="77777777" w:rsidR="007D706A" w:rsidRDefault="007D706A" w:rsidP="00F70508">
            <w:pPr>
              <w:pStyle w:val="ParagraphStyle11"/>
              <w:rPr>
                <w:rStyle w:val="CharacterStyle11"/>
              </w:rPr>
            </w:pPr>
            <w:r>
              <w:rPr>
                <w:rStyle w:val="CharacterStyle11"/>
              </w:rPr>
              <w:t>Rashodi za donacije, kazne, naknade šteta i kapitalne pomoći</w:t>
            </w:r>
          </w:p>
        </w:tc>
        <w:tc>
          <w:tcPr>
            <w:tcW w:w="1395" w:type="dxa"/>
            <w:tcBorders>
              <w:bottom w:val="single" w:sz="6" w:space="0" w:color="000000"/>
              <w:right w:val="single" w:sz="6" w:space="0" w:color="000000"/>
            </w:tcBorders>
            <w:vAlign w:val="center"/>
          </w:tcPr>
          <w:p w14:paraId="293B6E4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802B172" w14:textId="77777777" w:rsidR="007D706A" w:rsidRDefault="007D706A" w:rsidP="00F70508">
            <w:pPr>
              <w:pStyle w:val="ParagraphStyle12"/>
              <w:rPr>
                <w:rStyle w:val="CharacterStyle12"/>
              </w:rPr>
            </w:pPr>
            <w:r>
              <w:rPr>
                <w:rStyle w:val="CharacterStyle12"/>
              </w:rPr>
              <w:t>4.500,00</w:t>
            </w:r>
          </w:p>
        </w:tc>
        <w:tc>
          <w:tcPr>
            <w:tcW w:w="1395" w:type="dxa"/>
            <w:tcBorders>
              <w:bottom w:val="single" w:sz="6" w:space="0" w:color="000000"/>
              <w:right w:val="single" w:sz="6" w:space="0" w:color="000000"/>
            </w:tcBorders>
            <w:vAlign w:val="center"/>
          </w:tcPr>
          <w:p w14:paraId="4A5E54D4" w14:textId="77777777" w:rsidR="007D706A" w:rsidRDefault="007D706A" w:rsidP="00F70508">
            <w:pPr>
              <w:pStyle w:val="ParagraphStyle12"/>
              <w:rPr>
                <w:rStyle w:val="CharacterStyle12"/>
              </w:rPr>
            </w:pPr>
            <w:r>
              <w:rPr>
                <w:rStyle w:val="CharacterStyle12"/>
              </w:rPr>
              <w:t>5.500,00</w:t>
            </w:r>
          </w:p>
        </w:tc>
        <w:tc>
          <w:tcPr>
            <w:tcW w:w="1395" w:type="dxa"/>
            <w:tcBorders>
              <w:bottom w:val="single" w:sz="6" w:space="0" w:color="000000"/>
              <w:right w:val="single" w:sz="6" w:space="0" w:color="000000"/>
            </w:tcBorders>
            <w:vAlign w:val="center"/>
          </w:tcPr>
          <w:p w14:paraId="1FE930DE" w14:textId="77777777" w:rsidR="007D706A" w:rsidRDefault="007D706A" w:rsidP="00F70508">
            <w:pPr>
              <w:pStyle w:val="ParagraphStyle12"/>
              <w:rPr>
                <w:rStyle w:val="CharacterStyle12"/>
              </w:rPr>
            </w:pPr>
            <w:r>
              <w:rPr>
                <w:rStyle w:val="CharacterStyle12"/>
              </w:rPr>
              <w:t>5.500,00</w:t>
            </w:r>
          </w:p>
        </w:tc>
        <w:tc>
          <w:tcPr>
            <w:tcW w:w="1395" w:type="dxa"/>
            <w:tcBorders>
              <w:bottom w:val="single" w:sz="6" w:space="0" w:color="000000"/>
              <w:right w:val="single" w:sz="6" w:space="0" w:color="000000"/>
            </w:tcBorders>
            <w:vAlign w:val="center"/>
          </w:tcPr>
          <w:p w14:paraId="5004850C" w14:textId="77777777" w:rsidR="007D706A" w:rsidRDefault="007D706A" w:rsidP="00F70508">
            <w:pPr>
              <w:pStyle w:val="ParagraphStyle12"/>
              <w:rPr>
                <w:rStyle w:val="CharacterStyle12"/>
              </w:rPr>
            </w:pPr>
            <w:r>
              <w:rPr>
                <w:rStyle w:val="CharacterStyle12"/>
              </w:rPr>
              <w:t>6.000,00</w:t>
            </w:r>
          </w:p>
        </w:tc>
      </w:tr>
      <w:tr w:rsidR="007D706A" w14:paraId="198402A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03597CD" w14:textId="77777777" w:rsidR="007D706A" w:rsidRDefault="007D706A" w:rsidP="00F70508">
            <w:pPr>
              <w:pStyle w:val="ParagraphStyle4"/>
              <w:rPr>
                <w:rStyle w:val="CharacterStyle4"/>
              </w:rPr>
            </w:pPr>
            <w:r>
              <w:rPr>
                <w:rStyle w:val="CharacterStyle4"/>
              </w:rPr>
              <w:t>Aktivnost A103406</w:t>
            </w:r>
          </w:p>
        </w:tc>
        <w:tc>
          <w:tcPr>
            <w:tcW w:w="4995" w:type="dxa"/>
            <w:tcBorders>
              <w:bottom w:val="single" w:sz="6" w:space="0" w:color="000000"/>
              <w:right w:val="single" w:sz="6" w:space="0" w:color="000000"/>
            </w:tcBorders>
            <w:vAlign w:val="center"/>
          </w:tcPr>
          <w:p w14:paraId="230D327F" w14:textId="77777777" w:rsidR="007D706A" w:rsidRDefault="007D706A" w:rsidP="00F70508">
            <w:pPr>
              <w:pStyle w:val="ParagraphStyle5"/>
              <w:rPr>
                <w:rStyle w:val="CharacterStyle5"/>
              </w:rPr>
            </w:pPr>
            <w:r>
              <w:rPr>
                <w:rStyle w:val="CharacterStyle5"/>
              </w:rPr>
              <w:t>IZRAVNA DODJELA SREDSTAVA UDRUGAMA</w:t>
            </w:r>
          </w:p>
        </w:tc>
        <w:tc>
          <w:tcPr>
            <w:tcW w:w="1395" w:type="dxa"/>
            <w:tcBorders>
              <w:bottom w:val="single" w:sz="6" w:space="0" w:color="000000"/>
              <w:right w:val="single" w:sz="6" w:space="0" w:color="000000"/>
            </w:tcBorders>
            <w:vAlign w:val="center"/>
          </w:tcPr>
          <w:p w14:paraId="4C56ED42"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3DD8CAE7" w14:textId="77777777" w:rsidR="007D706A" w:rsidRDefault="007D706A" w:rsidP="00F70508">
            <w:pPr>
              <w:pStyle w:val="ParagraphStyle6"/>
              <w:rPr>
                <w:rStyle w:val="CharacterStyle6"/>
              </w:rPr>
            </w:pPr>
            <w:r>
              <w:rPr>
                <w:rStyle w:val="CharacterStyle6"/>
              </w:rPr>
              <w:t>10.000,00</w:t>
            </w:r>
          </w:p>
        </w:tc>
        <w:tc>
          <w:tcPr>
            <w:tcW w:w="1395" w:type="dxa"/>
            <w:tcBorders>
              <w:bottom w:val="single" w:sz="6" w:space="0" w:color="000000"/>
              <w:right w:val="single" w:sz="6" w:space="0" w:color="000000"/>
            </w:tcBorders>
            <w:vAlign w:val="center"/>
          </w:tcPr>
          <w:p w14:paraId="40ECD629" w14:textId="77777777" w:rsidR="007D706A" w:rsidRDefault="007D706A" w:rsidP="00F70508">
            <w:pPr>
              <w:pStyle w:val="ParagraphStyle6"/>
              <w:rPr>
                <w:rStyle w:val="CharacterStyle6"/>
              </w:rPr>
            </w:pPr>
            <w:r>
              <w:rPr>
                <w:rStyle w:val="CharacterStyle6"/>
              </w:rPr>
              <w:t>10.000,00</w:t>
            </w:r>
          </w:p>
        </w:tc>
        <w:tc>
          <w:tcPr>
            <w:tcW w:w="1395" w:type="dxa"/>
            <w:tcBorders>
              <w:bottom w:val="single" w:sz="6" w:space="0" w:color="000000"/>
              <w:right w:val="single" w:sz="6" w:space="0" w:color="000000"/>
            </w:tcBorders>
            <w:vAlign w:val="center"/>
          </w:tcPr>
          <w:p w14:paraId="58E0BF5B" w14:textId="77777777" w:rsidR="007D706A" w:rsidRDefault="007D706A" w:rsidP="00F70508">
            <w:pPr>
              <w:pStyle w:val="ParagraphStyle6"/>
              <w:rPr>
                <w:rStyle w:val="CharacterStyle6"/>
              </w:rPr>
            </w:pPr>
            <w:r>
              <w:rPr>
                <w:rStyle w:val="CharacterStyle6"/>
              </w:rPr>
              <w:t>10.000,00</w:t>
            </w:r>
          </w:p>
        </w:tc>
        <w:tc>
          <w:tcPr>
            <w:tcW w:w="1395" w:type="dxa"/>
            <w:tcBorders>
              <w:bottom w:val="single" w:sz="6" w:space="0" w:color="000000"/>
              <w:right w:val="single" w:sz="6" w:space="0" w:color="000000"/>
            </w:tcBorders>
            <w:vAlign w:val="center"/>
          </w:tcPr>
          <w:p w14:paraId="4119E571" w14:textId="77777777" w:rsidR="007D706A" w:rsidRDefault="007D706A" w:rsidP="00F70508">
            <w:pPr>
              <w:pStyle w:val="ParagraphStyle6"/>
              <w:rPr>
                <w:rStyle w:val="CharacterStyle6"/>
              </w:rPr>
            </w:pPr>
            <w:r>
              <w:rPr>
                <w:rStyle w:val="CharacterStyle6"/>
              </w:rPr>
              <w:t>10.000,00</w:t>
            </w:r>
          </w:p>
        </w:tc>
      </w:tr>
      <w:tr w:rsidR="007D706A" w14:paraId="0468D8F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866C25E"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193B7A1A"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19C7E4EE"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4A63BC1" w14:textId="77777777" w:rsidR="007D706A" w:rsidRDefault="007D706A" w:rsidP="00F70508">
            <w:pPr>
              <w:pStyle w:val="ParagraphStyle9"/>
              <w:rPr>
                <w:rStyle w:val="CharacterStyle9"/>
              </w:rPr>
            </w:pPr>
            <w:r>
              <w:rPr>
                <w:rStyle w:val="CharacterStyle9"/>
              </w:rPr>
              <w:t>10.000,00</w:t>
            </w:r>
          </w:p>
        </w:tc>
        <w:tc>
          <w:tcPr>
            <w:tcW w:w="1395" w:type="dxa"/>
            <w:tcBorders>
              <w:bottom w:val="single" w:sz="6" w:space="0" w:color="000000"/>
              <w:right w:val="single" w:sz="6" w:space="0" w:color="000000"/>
            </w:tcBorders>
            <w:vAlign w:val="center"/>
          </w:tcPr>
          <w:p w14:paraId="184F24EC" w14:textId="77777777" w:rsidR="007D706A" w:rsidRDefault="007D706A" w:rsidP="00F70508">
            <w:pPr>
              <w:pStyle w:val="ParagraphStyle9"/>
              <w:rPr>
                <w:rStyle w:val="CharacterStyle9"/>
              </w:rPr>
            </w:pPr>
            <w:r>
              <w:rPr>
                <w:rStyle w:val="CharacterStyle9"/>
              </w:rPr>
              <w:t>10.000,00</w:t>
            </w:r>
          </w:p>
        </w:tc>
        <w:tc>
          <w:tcPr>
            <w:tcW w:w="1395" w:type="dxa"/>
            <w:tcBorders>
              <w:bottom w:val="single" w:sz="6" w:space="0" w:color="000000"/>
              <w:right w:val="single" w:sz="6" w:space="0" w:color="000000"/>
            </w:tcBorders>
            <w:vAlign w:val="center"/>
          </w:tcPr>
          <w:p w14:paraId="2F4821FD" w14:textId="77777777" w:rsidR="007D706A" w:rsidRDefault="007D706A" w:rsidP="00F70508">
            <w:pPr>
              <w:pStyle w:val="ParagraphStyle9"/>
              <w:rPr>
                <w:rStyle w:val="CharacterStyle9"/>
              </w:rPr>
            </w:pPr>
            <w:r>
              <w:rPr>
                <w:rStyle w:val="CharacterStyle9"/>
              </w:rPr>
              <w:t>10.000,00</w:t>
            </w:r>
          </w:p>
        </w:tc>
        <w:tc>
          <w:tcPr>
            <w:tcW w:w="1395" w:type="dxa"/>
            <w:tcBorders>
              <w:bottom w:val="single" w:sz="6" w:space="0" w:color="000000"/>
              <w:right w:val="single" w:sz="6" w:space="0" w:color="000000"/>
            </w:tcBorders>
            <w:vAlign w:val="center"/>
          </w:tcPr>
          <w:p w14:paraId="7D4CBFD9" w14:textId="77777777" w:rsidR="007D706A" w:rsidRDefault="007D706A" w:rsidP="00F70508">
            <w:pPr>
              <w:pStyle w:val="ParagraphStyle9"/>
              <w:rPr>
                <w:rStyle w:val="CharacterStyle9"/>
              </w:rPr>
            </w:pPr>
            <w:r>
              <w:rPr>
                <w:rStyle w:val="CharacterStyle9"/>
              </w:rPr>
              <w:t>10.000,00</w:t>
            </w:r>
          </w:p>
        </w:tc>
      </w:tr>
      <w:tr w:rsidR="007D706A" w14:paraId="75BD0E1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558AD16"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75F4FCA8"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528DA6C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F44E45C" w14:textId="77777777" w:rsidR="007D706A" w:rsidRDefault="007D706A" w:rsidP="00F70508">
            <w:pPr>
              <w:pStyle w:val="ParagraphStyle12"/>
              <w:rPr>
                <w:rStyle w:val="CharacterStyle12"/>
              </w:rPr>
            </w:pPr>
            <w:r>
              <w:rPr>
                <w:rStyle w:val="CharacterStyle12"/>
              </w:rPr>
              <w:t>10.000,00</w:t>
            </w:r>
          </w:p>
        </w:tc>
        <w:tc>
          <w:tcPr>
            <w:tcW w:w="1395" w:type="dxa"/>
            <w:tcBorders>
              <w:bottom w:val="single" w:sz="6" w:space="0" w:color="000000"/>
              <w:right w:val="single" w:sz="6" w:space="0" w:color="000000"/>
            </w:tcBorders>
            <w:vAlign w:val="center"/>
          </w:tcPr>
          <w:p w14:paraId="30F967C1" w14:textId="77777777" w:rsidR="007D706A" w:rsidRDefault="007D706A" w:rsidP="00F70508">
            <w:pPr>
              <w:pStyle w:val="ParagraphStyle12"/>
              <w:rPr>
                <w:rStyle w:val="CharacterStyle12"/>
              </w:rPr>
            </w:pPr>
            <w:r>
              <w:rPr>
                <w:rStyle w:val="CharacterStyle12"/>
              </w:rPr>
              <w:t>10.000,00</w:t>
            </w:r>
          </w:p>
        </w:tc>
        <w:tc>
          <w:tcPr>
            <w:tcW w:w="1395" w:type="dxa"/>
            <w:tcBorders>
              <w:bottom w:val="single" w:sz="6" w:space="0" w:color="000000"/>
              <w:right w:val="single" w:sz="6" w:space="0" w:color="000000"/>
            </w:tcBorders>
            <w:vAlign w:val="center"/>
          </w:tcPr>
          <w:p w14:paraId="6B0E11C8" w14:textId="77777777" w:rsidR="007D706A" w:rsidRDefault="007D706A" w:rsidP="00F70508">
            <w:pPr>
              <w:pStyle w:val="ParagraphStyle12"/>
              <w:rPr>
                <w:rStyle w:val="CharacterStyle12"/>
              </w:rPr>
            </w:pPr>
            <w:r>
              <w:rPr>
                <w:rStyle w:val="CharacterStyle12"/>
              </w:rPr>
              <w:t>10.000,00</w:t>
            </w:r>
          </w:p>
        </w:tc>
        <w:tc>
          <w:tcPr>
            <w:tcW w:w="1395" w:type="dxa"/>
            <w:tcBorders>
              <w:bottom w:val="single" w:sz="6" w:space="0" w:color="000000"/>
              <w:right w:val="single" w:sz="6" w:space="0" w:color="000000"/>
            </w:tcBorders>
            <w:vAlign w:val="center"/>
          </w:tcPr>
          <w:p w14:paraId="15CD081D" w14:textId="77777777" w:rsidR="007D706A" w:rsidRDefault="007D706A" w:rsidP="00F70508">
            <w:pPr>
              <w:pStyle w:val="ParagraphStyle12"/>
              <w:rPr>
                <w:rStyle w:val="CharacterStyle12"/>
              </w:rPr>
            </w:pPr>
            <w:r>
              <w:rPr>
                <w:rStyle w:val="CharacterStyle12"/>
              </w:rPr>
              <w:t>10.000,00</w:t>
            </w:r>
          </w:p>
        </w:tc>
      </w:tr>
      <w:tr w:rsidR="007D706A" w14:paraId="6B84F17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0D23BC1" w14:textId="77777777" w:rsidR="007D706A" w:rsidRDefault="007D706A" w:rsidP="00F70508">
            <w:pPr>
              <w:pStyle w:val="ParagraphStyle10"/>
              <w:rPr>
                <w:rStyle w:val="CharacterStyle10"/>
              </w:rPr>
            </w:pPr>
            <w:r>
              <w:rPr>
                <w:rStyle w:val="CharacterStyle10"/>
              </w:rPr>
              <w:lastRenderedPageBreak/>
              <w:t>38</w:t>
            </w:r>
          </w:p>
        </w:tc>
        <w:tc>
          <w:tcPr>
            <w:tcW w:w="4995" w:type="dxa"/>
            <w:tcBorders>
              <w:bottom w:val="single" w:sz="6" w:space="0" w:color="000000"/>
              <w:right w:val="single" w:sz="6" w:space="0" w:color="000000"/>
            </w:tcBorders>
            <w:vAlign w:val="center"/>
          </w:tcPr>
          <w:p w14:paraId="4C4B4C54" w14:textId="77777777" w:rsidR="007D706A" w:rsidRDefault="007D706A" w:rsidP="00F70508">
            <w:pPr>
              <w:pStyle w:val="ParagraphStyle11"/>
              <w:rPr>
                <w:rStyle w:val="CharacterStyle11"/>
              </w:rPr>
            </w:pPr>
            <w:r>
              <w:rPr>
                <w:rStyle w:val="CharacterStyle11"/>
              </w:rPr>
              <w:t>Rashodi za donacije, kazne, naknade šteta i kapitalne pomoći</w:t>
            </w:r>
          </w:p>
        </w:tc>
        <w:tc>
          <w:tcPr>
            <w:tcW w:w="1395" w:type="dxa"/>
            <w:tcBorders>
              <w:bottom w:val="single" w:sz="6" w:space="0" w:color="000000"/>
              <w:right w:val="single" w:sz="6" w:space="0" w:color="000000"/>
            </w:tcBorders>
            <w:vAlign w:val="center"/>
          </w:tcPr>
          <w:p w14:paraId="7FBC1E0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ED93235" w14:textId="77777777" w:rsidR="007D706A" w:rsidRDefault="007D706A" w:rsidP="00F70508">
            <w:pPr>
              <w:pStyle w:val="ParagraphStyle12"/>
              <w:rPr>
                <w:rStyle w:val="CharacterStyle12"/>
              </w:rPr>
            </w:pPr>
            <w:r>
              <w:rPr>
                <w:rStyle w:val="CharacterStyle12"/>
              </w:rPr>
              <w:t>10.000,00</w:t>
            </w:r>
          </w:p>
        </w:tc>
        <w:tc>
          <w:tcPr>
            <w:tcW w:w="1395" w:type="dxa"/>
            <w:tcBorders>
              <w:bottom w:val="single" w:sz="6" w:space="0" w:color="000000"/>
              <w:right w:val="single" w:sz="6" w:space="0" w:color="000000"/>
            </w:tcBorders>
            <w:vAlign w:val="center"/>
          </w:tcPr>
          <w:p w14:paraId="1D680DAC" w14:textId="77777777" w:rsidR="007D706A" w:rsidRDefault="007D706A" w:rsidP="00F70508">
            <w:pPr>
              <w:pStyle w:val="ParagraphStyle12"/>
              <w:rPr>
                <w:rStyle w:val="CharacterStyle12"/>
              </w:rPr>
            </w:pPr>
            <w:r>
              <w:rPr>
                <w:rStyle w:val="CharacterStyle12"/>
              </w:rPr>
              <w:t>10.000,00</w:t>
            </w:r>
          </w:p>
        </w:tc>
        <w:tc>
          <w:tcPr>
            <w:tcW w:w="1395" w:type="dxa"/>
            <w:tcBorders>
              <w:bottom w:val="single" w:sz="6" w:space="0" w:color="000000"/>
              <w:right w:val="single" w:sz="6" w:space="0" w:color="000000"/>
            </w:tcBorders>
            <w:vAlign w:val="center"/>
          </w:tcPr>
          <w:p w14:paraId="3BE1410C" w14:textId="77777777" w:rsidR="007D706A" w:rsidRDefault="007D706A" w:rsidP="00F70508">
            <w:pPr>
              <w:pStyle w:val="ParagraphStyle12"/>
              <w:rPr>
                <w:rStyle w:val="CharacterStyle12"/>
              </w:rPr>
            </w:pPr>
            <w:r>
              <w:rPr>
                <w:rStyle w:val="CharacterStyle12"/>
              </w:rPr>
              <w:t>10.000,00</w:t>
            </w:r>
          </w:p>
        </w:tc>
        <w:tc>
          <w:tcPr>
            <w:tcW w:w="1395" w:type="dxa"/>
            <w:tcBorders>
              <w:bottom w:val="single" w:sz="6" w:space="0" w:color="000000"/>
              <w:right w:val="single" w:sz="6" w:space="0" w:color="000000"/>
            </w:tcBorders>
            <w:vAlign w:val="center"/>
          </w:tcPr>
          <w:p w14:paraId="4B8940BA" w14:textId="77777777" w:rsidR="007D706A" w:rsidRDefault="007D706A" w:rsidP="00F70508">
            <w:pPr>
              <w:pStyle w:val="ParagraphStyle12"/>
              <w:rPr>
                <w:rStyle w:val="CharacterStyle12"/>
              </w:rPr>
            </w:pPr>
            <w:r>
              <w:rPr>
                <w:rStyle w:val="CharacterStyle12"/>
              </w:rPr>
              <w:t>10.000,00</w:t>
            </w:r>
          </w:p>
        </w:tc>
      </w:tr>
      <w:tr w:rsidR="007D706A" w14:paraId="1872612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6305086" w14:textId="77777777" w:rsidR="007D706A" w:rsidRDefault="007D706A" w:rsidP="00F70508">
            <w:pPr>
              <w:pStyle w:val="ParagraphStyle4"/>
              <w:rPr>
                <w:rStyle w:val="CharacterStyle4"/>
              </w:rPr>
            </w:pPr>
            <w:r>
              <w:rPr>
                <w:rStyle w:val="CharacterStyle4"/>
              </w:rPr>
              <w:t>Aktivnost A103402</w:t>
            </w:r>
          </w:p>
        </w:tc>
        <w:tc>
          <w:tcPr>
            <w:tcW w:w="4995" w:type="dxa"/>
            <w:tcBorders>
              <w:bottom w:val="single" w:sz="6" w:space="0" w:color="000000"/>
              <w:right w:val="single" w:sz="6" w:space="0" w:color="000000"/>
            </w:tcBorders>
            <w:vAlign w:val="center"/>
          </w:tcPr>
          <w:p w14:paraId="668E0CE7" w14:textId="77777777" w:rsidR="007D706A" w:rsidRDefault="007D706A" w:rsidP="00F70508">
            <w:pPr>
              <w:pStyle w:val="ParagraphStyle5"/>
              <w:rPr>
                <w:rStyle w:val="CharacterStyle5"/>
              </w:rPr>
            </w:pPr>
            <w:r>
              <w:rPr>
                <w:rStyle w:val="CharacterStyle5"/>
              </w:rPr>
              <w:t>ZAJEDNICA TALIJANA "P.BUDICIN"</w:t>
            </w:r>
          </w:p>
        </w:tc>
        <w:tc>
          <w:tcPr>
            <w:tcW w:w="1395" w:type="dxa"/>
            <w:tcBorders>
              <w:bottom w:val="single" w:sz="6" w:space="0" w:color="000000"/>
              <w:right w:val="single" w:sz="6" w:space="0" w:color="000000"/>
            </w:tcBorders>
            <w:vAlign w:val="center"/>
          </w:tcPr>
          <w:p w14:paraId="7291ED28"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6343FF4E" w14:textId="77777777" w:rsidR="007D706A" w:rsidRDefault="007D706A" w:rsidP="00F70508">
            <w:pPr>
              <w:pStyle w:val="ParagraphStyle6"/>
              <w:rPr>
                <w:rStyle w:val="CharacterStyle6"/>
              </w:rPr>
            </w:pPr>
            <w:r>
              <w:rPr>
                <w:rStyle w:val="CharacterStyle6"/>
              </w:rPr>
              <w:t>80.000,00</w:t>
            </w:r>
          </w:p>
        </w:tc>
        <w:tc>
          <w:tcPr>
            <w:tcW w:w="1395" w:type="dxa"/>
            <w:tcBorders>
              <w:bottom w:val="single" w:sz="6" w:space="0" w:color="000000"/>
              <w:right w:val="single" w:sz="6" w:space="0" w:color="000000"/>
            </w:tcBorders>
            <w:vAlign w:val="center"/>
          </w:tcPr>
          <w:p w14:paraId="42A64334" w14:textId="77777777" w:rsidR="007D706A" w:rsidRDefault="007D706A" w:rsidP="00F70508">
            <w:pPr>
              <w:pStyle w:val="ParagraphStyle6"/>
              <w:rPr>
                <w:rStyle w:val="CharacterStyle6"/>
              </w:rPr>
            </w:pPr>
            <w:r>
              <w:rPr>
                <w:rStyle w:val="CharacterStyle6"/>
              </w:rPr>
              <w:t>110.000,00</w:t>
            </w:r>
          </w:p>
        </w:tc>
        <w:tc>
          <w:tcPr>
            <w:tcW w:w="1395" w:type="dxa"/>
            <w:tcBorders>
              <w:bottom w:val="single" w:sz="6" w:space="0" w:color="000000"/>
              <w:right w:val="single" w:sz="6" w:space="0" w:color="000000"/>
            </w:tcBorders>
            <w:vAlign w:val="center"/>
          </w:tcPr>
          <w:p w14:paraId="7F6D02FF" w14:textId="77777777" w:rsidR="007D706A" w:rsidRDefault="007D706A" w:rsidP="00F70508">
            <w:pPr>
              <w:pStyle w:val="ParagraphStyle6"/>
              <w:rPr>
                <w:rStyle w:val="CharacterStyle6"/>
              </w:rPr>
            </w:pPr>
            <w:r>
              <w:rPr>
                <w:rStyle w:val="CharacterStyle6"/>
              </w:rPr>
              <w:t>120.000,00</w:t>
            </w:r>
          </w:p>
        </w:tc>
        <w:tc>
          <w:tcPr>
            <w:tcW w:w="1395" w:type="dxa"/>
            <w:tcBorders>
              <w:bottom w:val="single" w:sz="6" w:space="0" w:color="000000"/>
              <w:right w:val="single" w:sz="6" w:space="0" w:color="000000"/>
            </w:tcBorders>
            <w:vAlign w:val="center"/>
          </w:tcPr>
          <w:p w14:paraId="1418DA10" w14:textId="77777777" w:rsidR="007D706A" w:rsidRDefault="007D706A" w:rsidP="00F70508">
            <w:pPr>
              <w:pStyle w:val="ParagraphStyle6"/>
              <w:rPr>
                <w:rStyle w:val="CharacterStyle6"/>
              </w:rPr>
            </w:pPr>
            <w:r>
              <w:rPr>
                <w:rStyle w:val="CharacterStyle6"/>
              </w:rPr>
              <w:t>130.000,00</w:t>
            </w:r>
          </w:p>
        </w:tc>
      </w:tr>
      <w:tr w:rsidR="007D706A" w14:paraId="7288EDD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70681CA"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4FAE140C"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6443FF54"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FA713BB" w14:textId="77777777" w:rsidR="007D706A" w:rsidRDefault="007D706A" w:rsidP="00F70508">
            <w:pPr>
              <w:pStyle w:val="ParagraphStyle9"/>
              <w:rPr>
                <w:rStyle w:val="CharacterStyle9"/>
              </w:rPr>
            </w:pPr>
            <w:r>
              <w:rPr>
                <w:rStyle w:val="CharacterStyle9"/>
              </w:rPr>
              <w:t>80.000,00</w:t>
            </w:r>
          </w:p>
        </w:tc>
        <w:tc>
          <w:tcPr>
            <w:tcW w:w="1395" w:type="dxa"/>
            <w:tcBorders>
              <w:bottom w:val="single" w:sz="6" w:space="0" w:color="000000"/>
              <w:right w:val="single" w:sz="6" w:space="0" w:color="000000"/>
            </w:tcBorders>
            <w:vAlign w:val="center"/>
          </w:tcPr>
          <w:p w14:paraId="67ACBB15" w14:textId="77777777" w:rsidR="007D706A" w:rsidRDefault="007D706A" w:rsidP="00F70508">
            <w:pPr>
              <w:pStyle w:val="ParagraphStyle9"/>
              <w:rPr>
                <w:rStyle w:val="CharacterStyle9"/>
              </w:rPr>
            </w:pPr>
            <w:r>
              <w:rPr>
                <w:rStyle w:val="CharacterStyle9"/>
              </w:rPr>
              <w:t>110.000,00</w:t>
            </w:r>
          </w:p>
        </w:tc>
        <w:tc>
          <w:tcPr>
            <w:tcW w:w="1395" w:type="dxa"/>
            <w:tcBorders>
              <w:bottom w:val="single" w:sz="6" w:space="0" w:color="000000"/>
              <w:right w:val="single" w:sz="6" w:space="0" w:color="000000"/>
            </w:tcBorders>
            <w:vAlign w:val="center"/>
          </w:tcPr>
          <w:p w14:paraId="6891FFC6" w14:textId="77777777" w:rsidR="007D706A" w:rsidRDefault="007D706A" w:rsidP="00F70508">
            <w:pPr>
              <w:pStyle w:val="ParagraphStyle9"/>
              <w:rPr>
                <w:rStyle w:val="CharacterStyle9"/>
              </w:rPr>
            </w:pPr>
            <w:r>
              <w:rPr>
                <w:rStyle w:val="CharacterStyle9"/>
              </w:rPr>
              <w:t>120.000,00</w:t>
            </w:r>
          </w:p>
        </w:tc>
        <w:tc>
          <w:tcPr>
            <w:tcW w:w="1395" w:type="dxa"/>
            <w:tcBorders>
              <w:bottom w:val="single" w:sz="6" w:space="0" w:color="000000"/>
              <w:right w:val="single" w:sz="6" w:space="0" w:color="000000"/>
            </w:tcBorders>
            <w:vAlign w:val="center"/>
          </w:tcPr>
          <w:p w14:paraId="440E4564" w14:textId="77777777" w:rsidR="007D706A" w:rsidRDefault="007D706A" w:rsidP="00F70508">
            <w:pPr>
              <w:pStyle w:val="ParagraphStyle9"/>
              <w:rPr>
                <w:rStyle w:val="CharacterStyle9"/>
              </w:rPr>
            </w:pPr>
            <w:r>
              <w:rPr>
                <w:rStyle w:val="CharacterStyle9"/>
              </w:rPr>
              <w:t>130.000,00</w:t>
            </w:r>
          </w:p>
        </w:tc>
      </w:tr>
      <w:tr w:rsidR="007D706A" w14:paraId="6952952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A1902C9"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7C8C9CFA"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396F195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62C9FAE" w14:textId="77777777" w:rsidR="007D706A" w:rsidRDefault="007D706A" w:rsidP="00F70508">
            <w:pPr>
              <w:pStyle w:val="ParagraphStyle12"/>
              <w:rPr>
                <w:rStyle w:val="CharacterStyle12"/>
              </w:rPr>
            </w:pPr>
            <w:r>
              <w:rPr>
                <w:rStyle w:val="CharacterStyle12"/>
              </w:rPr>
              <w:t>80.000,00</w:t>
            </w:r>
          </w:p>
        </w:tc>
        <w:tc>
          <w:tcPr>
            <w:tcW w:w="1395" w:type="dxa"/>
            <w:tcBorders>
              <w:bottom w:val="single" w:sz="6" w:space="0" w:color="000000"/>
              <w:right w:val="single" w:sz="6" w:space="0" w:color="000000"/>
            </w:tcBorders>
            <w:vAlign w:val="center"/>
          </w:tcPr>
          <w:p w14:paraId="28F6DE6F" w14:textId="77777777" w:rsidR="007D706A" w:rsidRDefault="007D706A" w:rsidP="00F70508">
            <w:pPr>
              <w:pStyle w:val="ParagraphStyle12"/>
              <w:rPr>
                <w:rStyle w:val="CharacterStyle12"/>
              </w:rPr>
            </w:pPr>
            <w:r>
              <w:rPr>
                <w:rStyle w:val="CharacterStyle12"/>
              </w:rPr>
              <w:t>110.000,00</w:t>
            </w:r>
          </w:p>
        </w:tc>
        <w:tc>
          <w:tcPr>
            <w:tcW w:w="1395" w:type="dxa"/>
            <w:tcBorders>
              <w:bottom w:val="single" w:sz="6" w:space="0" w:color="000000"/>
              <w:right w:val="single" w:sz="6" w:space="0" w:color="000000"/>
            </w:tcBorders>
            <w:vAlign w:val="center"/>
          </w:tcPr>
          <w:p w14:paraId="21C0047E" w14:textId="77777777" w:rsidR="007D706A" w:rsidRDefault="007D706A" w:rsidP="00F70508">
            <w:pPr>
              <w:pStyle w:val="ParagraphStyle12"/>
              <w:rPr>
                <w:rStyle w:val="CharacterStyle12"/>
              </w:rPr>
            </w:pPr>
            <w:r>
              <w:rPr>
                <w:rStyle w:val="CharacterStyle12"/>
              </w:rPr>
              <w:t>120.000,00</w:t>
            </w:r>
          </w:p>
        </w:tc>
        <w:tc>
          <w:tcPr>
            <w:tcW w:w="1395" w:type="dxa"/>
            <w:tcBorders>
              <w:bottom w:val="single" w:sz="6" w:space="0" w:color="000000"/>
              <w:right w:val="single" w:sz="6" w:space="0" w:color="000000"/>
            </w:tcBorders>
            <w:vAlign w:val="center"/>
          </w:tcPr>
          <w:p w14:paraId="5E792A24" w14:textId="77777777" w:rsidR="007D706A" w:rsidRDefault="007D706A" w:rsidP="00F70508">
            <w:pPr>
              <w:pStyle w:val="ParagraphStyle12"/>
              <w:rPr>
                <w:rStyle w:val="CharacterStyle12"/>
              </w:rPr>
            </w:pPr>
            <w:r>
              <w:rPr>
                <w:rStyle w:val="CharacterStyle12"/>
              </w:rPr>
              <w:t>130.000,00</w:t>
            </w:r>
          </w:p>
        </w:tc>
      </w:tr>
      <w:tr w:rsidR="007D706A" w14:paraId="40617DA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030A621" w14:textId="77777777" w:rsidR="007D706A" w:rsidRDefault="007D706A" w:rsidP="00F70508">
            <w:pPr>
              <w:pStyle w:val="ParagraphStyle10"/>
              <w:rPr>
                <w:rStyle w:val="CharacterStyle10"/>
              </w:rPr>
            </w:pPr>
            <w:r>
              <w:rPr>
                <w:rStyle w:val="CharacterStyle10"/>
              </w:rPr>
              <w:t>38</w:t>
            </w:r>
          </w:p>
        </w:tc>
        <w:tc>
          <w:tcPr>
            <w:tcW w:w="4995" w:type="dxa"/>
            <w:tcBorders>
              <w:bottom w:val="single" w:sz="6" w:space="0" w:color="000000"/>
              <w:right w:val="single" w:sz="6" w:space="0" w:color="000000"/>
            </w:tcBorders>
            <w:vAlign w:val="center"/>
          </w:tcPr>
          <w:p w14:paraId="0561F2DE" w14:textId="77777777" w:rsidR="007D706A" w:rsidRDefault="007D706A" w:rsidP="00F70508">
            <w:pPr>
              <w:pStyle w:val="ParagraphStyle11"/>
              <w:rPr>
                <w:rStyle w:val="CharacterStyle11"/>
              </w:rPr>
            </w:pPr>
            <w:r>
              <w:rPr>
                <w:rStyle w:val="CharacterStyle11"/>
              </w:rPr>
              <w:t>Rashodi za donacije, kazne, naknade šteta i kapitalne pomoći</w:t>
            </w:r>
          </w:p>
        </w:tc>
        <w:tc>
          <w:tcPr>
            <w:tcW w:w="1395" w:type="dxa"/>
            <w:tcBorders>
              <w:bottom w:val="single" w:sz="6" w:space="0" w:color="000000"/>
              <w:right w:val="single" w:sz="6" w:space="0" w:color="000000"/>
            </w:tcBorders>
            <w:vAlign w:val="center"/>
          </w:tcPr>
          <w:p w14:paraId="19AEEEF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711412E" w14:textId="77777777" w:rsidR="007D706A" w:rsidRDefault="007D706A" w:rsidP="00F70508">
            <w:pPr>
              <w:pStyle w:val="ParagraphStyle12"/>
              <w:rPr>
                <w:rStyle w:val="CharacterStyle12"/>
              </w:rPr>
            </w:pPr>
            <w:r>
              <w:rPr>
                <w:rStyle w:val="CharacterStyle12"/>
              </w:rPr>
              <w:t>80.000,00</w:t>
            </w:r>
          </w:p>
        </w:tc>
        <w:tc>
          <w:tcPr>
            <w:tcW w:w="1395" w:type="dxa"/>
            <w:tcBorders>
              <w:bottom w:val="single" w:sz="6" w:space="0" w:color="000000"/>
              <w:right w:val="single" w:sz="6" w:space="0" w:color="000000"/>
            </w:tcBorders>
            <w:vAlign w:val="center"/>
          </w:tcPr>
          <w:p w14:paraId="1BFE734E" w14:textId="77777777" w:rsidR="007D706A" w:rsidRDefault="007D706A" w:rsidP="00F70508">
            <w:pPr>
              <w:pStyle w:val="ParagraphStyle12"/>
              <w:rPr>
                <w:rStyle w:val="CharacterStyle12"/>
              </w:rPr>
            </w:pPr>
            <w:r>
              <w:rPr>
                <w:rStyle w:val="CharacterStyle12"/>
              </w:rPr>
              <w:t>110.000,00</w:t>
            </w:r>
          </w:p>
        </w:tc>
        <w:tc>
          <w:tcPr>
            <w:tcW w:w="1395" w:type="dxa"/>
            <w:tcBorders>
              <w:bottom w:val="single" w:sz="6" w:space="0" w:color="000000"/>
              <w:right w:val="single" w:sz="6" w:space="0" w:color="000000"/>
            </w:tcBorders>
            <w:vAlign w:val="center"/>
          </w:tcPr>
          <w:p w14:paraId="0B9A38E7" w14:textId="77777777" w:rsidR="007D706A" w:rsidRDefault="007D706A" w:rsidP="00F70508">
            <w:pPr>
              <w:pStyle w:val="ParagraphStyle12"/>
              <w:rPr>
                <w:rStyle w:val="CharacterStyle12"/>
              </w:rPr>
            </w:pPr>
            <w:r>
              <w:rPr>
                <w:rStyle w:val="CharacterStyle12"/>
              </w:rPr>
              <w:t>120.000,00</w:t>
            </w:r>
          </w:p>
        </w:tc>
        <w:tc>
          <w:tcPr>
            <w:tcW w:w="1395" w:type="dxa"/>
            <w:tcBorders>
              <w:bottom w:val="single" w:sz="6" w:space="0" w:color="000000"/>
              <w:right w:val="single" w:sz="6" w:space="0" w:color="000000"/>
            </w:tcBorders>
            <w:vAlign w:val="center"/>
          </w:tcPr>
          <w:p w14:paraId="3685A6EC" w14:textId="77777777" w:rsidR="007D706A" w:rsidRDefault="007D706A" w:rsidP="00F70508">
            <w:pPr>
              <w:pStyle w:val="ParagraphStyle12"/>
              <w:rPr>
                <w:rStyle w:val="CharacterStyle12"/>
              </w:rPr>
            </w:pPr>
            <w:r>
              <w:rPr>
                <w:rStyle w:val="CharacterStyle12"/>
              </w:rPr>
              <w:t>130.000,00</w:t>
            </w:r>
          </w:p>
        </w:tc>
      </w:tr>
      <w:tr w:rsidR="007D706A" w14:paraId="1164541B" w14:textId="77777777" w:rsidTr="00F70508">
        <w:trPr>
          <w:trHeight w:val="405"/>
        </w:trPr>
        <w:tc>
          <w:tcPr>
            <w:tcW w:w="2880" w:type="dxa"/>
            <w:tcBorders>
              <w:left w:val="single" w:sz="6" w:space="0" w:color="000000"/>
              <w:bottom w:val="single" w:sz="6" w:space="0" w:color="000000"/>
              <w:right w:val="single" w:sz="6" w:space="0" w:color="000000"/>
            </w:tcBorders>
            <w:vAlign w:val="center"/>
          </w:tcPr>
          <w:p w14:paraId="771D77C8" w14:textId="77777777" w:rsidR="007D706A" w:rsidRDefault="007D706A" w:rsidP="00F70508">
            <w:pPr>
              <w:pStyle w:val="ParagraphStyle4"/>
              <w:rPr>
                <w:rStyle w:val="CharacterStyle4"/>
              </w:rPr>
            </w:pPr>
            <w:r>
              <w:rPr>
                <w:rStyle w:val="CharacterStyle4"/>
              </w:rPr>
              <w:t>Aktivnost A103401</w:t>
            </w:r>
          </w:p>
        </w:tc>
        <w:tc>
          <w:tcPr>
            <w:tcW w:w="4995" w:type="dxa"/>
            <w:tcBorders>
              <w:bottom w:val="single" w:sz="6" w:space="0" w:color="000000"/>
              <w:right w:val="single" w:sz="6" w:space="0" w:color="000000"/>
            </w:tcBorders>
            <w:vAlign w:val="center"/>
          </w:tcPr>
          <w:p w14:paraId="40891BE2" w14:textId="77777777" w:rsidR="007D706A" w:rsidRDefault="007D706A" w:rsidP="00F70508">
            <w:pPr>
              <w:pStyle w:val="ParagraphStyle5"/>
              <w:rPr>
                <w:rStyle w:val="CharacterStyle5"/>
              </w:rPr>
            </w:pPr>
            <w:r>
              <w:rPr>
                <w:rStyle w:val="CharacterStyle5"/>
              </w:rPr>
              <w:t>FOND GRADOVA I OPĆINA ZAKLADE ZA RAZVOJ CIVILNOG DRUŠTVA</w:t>
            </w:r>
          </w:p>
        </w:tc>
        <w:tc>
          <w:tcPr>
            <w:tcW w:w="1395" w:type="dxa"/>
            <w:tcBorders>
              <w:bottom w:val="single" w:sz="6" w:space="0" w:color="000000"/>
              <w:right w:val="single" w:sz="6" w:space="0" w:color="000000"/>
            </w:tcBorders>
            <w:vAlign w:val="center"/>
          </w:tcPr>
          <w:p w14:paraId="66FF7A0D"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71FA3377" w14:textId="77777777" w:rsidR="007D706A" w:rsidRDefault="007D706A" w:rsidP="00F70508">
            <w:pPr>
              <w:pStyle w:val="ParagraphStyle6"/>
              <w:rPr>
                <w:rStyle w:val="CharacterStyle6"/>
              </w:rPr>
            </w:pPr>
            <w:r>
              <w:rPr>
                <w:rStyle w:val="CharacterStyle6"/>
              </w:rPr>
              <w:t>4.000,00</w:t>
            </w:r>
          </w:p>
        </w:tc>
        <w:tc>
          <w:tcPr>
            <w:tcW w:w="1395" w:type="dxa"/>
            <w:tcBorders>
              <w:bottom w:val="single" w:sz="6" w:space="0" w:color="000000"/>
              <w:right w:val="single" w:sz="6" w:space="0" w:color="000000"/>
            </w:tcBorders>
            <w:vAlign w:val="center"/>
          </w:tcPr>
          <w:p w14:paraId="269547E8" w14:textId="77777777" w:rsidR="007D706A" w:rsidRDefault="007D706A" w:rsidP="00F70508">
            <w:pPr>
              <w:pStyle w:val="ParagraphStyle6"/>
              <w:rPr>
                <w:rStyle w:val="CharacterStyle6"/>
              </w:rPr>
            </w:pPr>
            <w:r>
              <w:rPr>
                <w:rStyle w:val="CharacterStyle6"/>
              </w:rPr>
              <w:t>4.000,00</w:t>
            </w:r>
          </w:p>
        </w:tc>
        <w:tc>
          <w:tcPr>
            <w:tcW w:w="1395" w:type="dxa"/>
            <w:tcBorders>
              <w:bottom w:val="single" w:sz="6" w:space="0" w:color="000000"/>
              <w:right w:val="single" w:sz="6" w:space="0" w:color="000000"/>
            </w:tcBorders>
            <w:vAlign w:val="center"/>
          </w:tcPr>
          <w:p w14:paraId="47F44382" w14:textId="77777777" w:rsidR="007D706A" w:rsidRDefault="007D706A" w:rsidP="00F70508">
            <w:pPr>
              <w:pStyle w:val="ParagraphStyle6"/>
              <w:rPr>
                <w:rStyle w:val="CharacterStyle6"/>
              </w:rPr>
            </w:pPr>
            <w:r>
              <w:rPr>
                <w:rStyle w:val="CharacterStyle6"/>
              </w:rPr>
              <w:t>4.000,00</w:t>
            </w:r>
          </w:p>
        </w:tc>
        <w:tc>
          <w:tcPr>
            <w:tcW w:w="1395" w:type="dxa"/>
            <w:tcBorders>
              <w:bottom w:val="single" w:sz="6" w:space="0" w:color="000000"/>
              <w:right w:val="single" w:sz="6" w:space="0" w:color="000000"/>
            </w:tcBorders>
            <w:vAlign w:val="center"/>
          </w:tcPr>
          <w:p w14:paraId="00CE9CDC" w14:textId="77777777" w:rsidR="007D706A" w:rsidRDefault="007D706A" w:rsidP="00F70508">
            <w:pPr>
              <w:pStyle w:val="ParagraphStyle6"/>
              <w:rPr>
                <w:rStyle w:val="CharacterStyle6"/>
              </w:rPr>
            </w:pPr>
            <w:r>
              <w:rPr>
                <w:rStyle w:val="CharacterStyle6"/>
              </w:rPr>
              <w:t>4.000,00</w:t>
            </w:r>
          </w:p>
        </w:tc>
      </w:tr>
      <w:tr w:rsidR="007D706A" w14:paraId="0589858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0FB3B6B"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51235245"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531813DB"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DBE9CE3" w14:textId="77777777" w:rsidR="007D706A" w:rsidRDefault="007D706A" w:rsidP="00F70508">
            <w:pPr>
              <w:pStyle w:val="ParagraphStyle9"/>
              <w:rPr>
                <w:rStyle w:val="CharacterStyle9"/>
              </w:rPr>
            </w:pPr>
            <w:r>
              <w:rPr>
                <w:rStyle w:val="CharacterStyle9"/>
              </w:rPr>
              <w:t>4.000,00</w:t>
            </w:r>
          </w:p>
        </w:tc>
        <w:tc>
          <w:tcPr>
            <w:tcW w:w="1395" w:type="dxa"/>
            <w:tcBorders>
              <w:bottom w:val="single" w:sz="6" w:space="0" w:color="000000"/>
              <w:right w:val="single" w:sz="6" w:space="0" w:color="000000"/>
            </w:tcBorders>
            <w:vAlign w:val="center"/>
          </w:tcPr>
          <w:p w14:paraId="7495929E" w14:textId="77777777" w:rsidR="007D706A" w:rsidRDefault="007D706A" w:rsidP="00F70508">
            <w:pPr>
              <w:pStyle w:val="ParagraphStyle9"/>
              <w:rPr>
                <w:rStyle w:val="CharacterStyle9"/>
              </w:rPr>
            </w:pPr>
            <w:r>
              <w:rPr>
                <w:rStyle w:val="CharacterStyle9"/>
              </w:rPr>
              <w:t>4.000,00</w:t>
            </w:r>
          </w:p>
        </w:tc>
        <w:tc>
          <w:tcPr>
            <w:tcW w:w="1395" w:type="dxa"/>
            <w:tcBorders>
              <w:bottom w:val="single" w:sz="6" w:space="0" w:color="000000"/>
              <w:right w:val="single" w:sz="6" w:space="0" w:color="000000"/>
            </w:tcBorders>
            <w:vAlign w:val="center"/>
          </w:tcPr>
          <w:p w14:paraId="2926B5A8" w14:textId="77777777" w:rsidR="007D706A" w:rsidRDefault="007D706A" w:rsidP="00F70508">
            <w:pPr>
              <w:pStyle w:val="ParagraphStyle9"/>
              <w:rPr>
                <w:rStyle w:val="CharacterStyle9"/>
              </w:rPr>
            </w:pPr>
            <w:r>
              <w:rPr>
                <w:rStyle w:val="CharacterStyle9"/>
              </w:rPr>
              <w:t>4.000,00</w:t>
            </w:r>
          </w:p>
        </w:tc>
        <w:tc>
          <w:tcPr>
            <w:tcW w:w="1395" w:type="dxa"/>
            <w:tcBorders>
              <w:bottom w:val="single" w:sz="6" w:space="0" w:color="000000"/>
              <w:right w:val="single" w:sz="6" w:space="0" w:color="000000"/>
            </w:tcBorders>
            <w:vAlign w:val="center"/>
          </w:tcPr>
          <w:p w14:paraId="4D13A40E" w14:textId="77777777" w:rsidR="007D706A" w:rsidRDefault="007D706A" w:rsidP="00F70508">
            <w:pPr>
              <w:pStyle w:val="ParagraphStyle9"/>
              <w:rPr>
                <w:rStyle w:val="CharacterStyle9"/>
              </w:rPr>
            </w:pPr>
            <w:r>
              <w:rPr>
                <w:rStyle w:val="CharacterStyle9"/>
              </w:rPr>
              <w:t>4.000,00</w:t>
            </w:r>
          </w:p>
        </w:tc>
      </w:tr>
      <w:tr w:rsidR="007D706A" w14:paraId="3FE6490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7D3663B"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54059A08"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75F3126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914D52E" w14:textId="77777777" w:rsidR="007D706A" w:rsidRDefault="007D706A" w:rsidP="00F70508">
            <w:pPr>
              <w:pStyle w:val="ParagraphStyle12"/>
              <w:rPr>
                <w:rStyle w:val="CharacterStyle12"/>
              </w:rPr>
            </w:pPr>
            <w:r>
              <w:rPr>
                <w:rStyle w:val="CharacterStyle12"/>
              </w:rPr>
              <w:t>4.000,00</w:t>
            </w:r>
          </w:p>
        </w:tc>
        <w:tc>
          <w:tcPr>
            <w:tcW w:w="1395" w:type="dxa"/>
            <w:tcBorders>
              <w:bottom w:val="single" w:sz="6" w:space="0" w:color="000000"/>
              <w:right w:val="single" w:sz="6" w:space="0" w:color="000000"/>
            </w:tcBorders>
            <w:vAlign w:val="center"/>
          </w:tcPr>
          <w:p w14:paraId="7F42F330" w14:textId="77777777" w:rsidR="007D706A" w:rsidRDefault="007D706A" w:rsidP="00F70508">
            <w:pPr>
              <w:pStyle w:val="ParagraphStyle12"/>
              <w:rPr>
                <w:rStyle w:val="CharacterStyle12"/>
              </w:rPr>
            </w:pPr>
            <w:r>
              <w:rPr>
                <w:rStyle w:val="CharacterStyle12"/>
              </w:rPr>
              <w:t>4.000,00</w:t>
            </w:r>
          </w:p>
        </w:tc>
        <w:tc>
          <w:tcPr>
            <w:tcW w:w="1395" w:type="dxa"/>
            <w:tcBorders>
              <w:bottom w:val="single" w:sz="6" w:space="0" w:color="000000"/>
              <w:right w:val="single" w:sz="6" w:space="0" w:color="000000"/>
            </w:tcBorders>
            <w:vAlign w:val="center"/>
          </w:tcPr>
          <w:p w14:paraId="46788275" w14:textId="77777777" w:rsidR="007D706A" w:rsidRDefault="007D706A" w:rsidP="00F70508">
            <w:pPr>
              <w:pStyle w:val="ParagraphStyle12"/>
              <w:rPr>
                <w:rStyle w:val="CharacterStyle12"/>
              </w:rPr>
            </w:pPr>
            <w:r>
              <w:rPr>
                <w:rStyle w:val="CharacterStyle12"/>
              </w:rPr>
              <w:t>4.000,00</w:t>
            </w:r>
          </w:p>
        </w:tc>
        <w:tc>
          <w:tcPr>
            <w:tcW w:w="1395" w:type="dxa"/>
            <w:tcBorders>
              <w:bottom w:val="single" w:sz="6" w:space="0" w:color="000000"/>
              <w:right w:val="single" w:sz="6" w:space="0" w:color="000000"/>
            </w:tcBorders>
            <w:vAlign w:val="center"/>
          </w:tcPr>
          <w:p w14:paraId="18318C76" w14:textId="77777777" w:rsidR="007D706A" w:rsidRDefault="007D706A" w:rsidP="00F70508">
            <w:pPr>
              <w:pStyle w:val="ParagraphStyle12"/>
              <w:rPr>
                <w:rStyle w:val="CharacterStyle12"/>
              </w:rPr>
            </w:pPr>
            <w:r>
              <w:rPr>
                <w:rStyle w:val="CharacterStyle12"/>
              </w:rPr>
              <w:t>4.000,00</w:t>
            </w:r>
          </w:p>
        </w:tc>
      </w:tr>
      <w:tr w:rsidR="007D706A" w14:paraId="490F4E5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08D9527" w14:textId="77777777" w:rsidR="007D706A" w:rsidRDefault="007D706A" w:rsidP="00F70508">
            <w:pPr>
              <w:pStyle w:val="ParagraphStyle10"/>
              <w:rPr>
                <w:rStyle w:val="CharacterStyle10"/>
              </w:rPr>
            </w:pPr>
            <w:r>
              <w:rPr>
                <w:rStyle w:val="CharacterStyle10"/>
              </w:rPr>
              <w:t>38</w:t>
            </w:r>
          </w:p>
        </w:tc>
        <w:tc>
          <w:tcPr>
            <w:tcW w:w="4995" w:type="dxa"/>
            <w:tcBorders>
              <w:bottom w:val="single" w:sz="6" w:space="0" w:color="000000"/>
              <w:right w:val="single" w:sz="6" w:space="0" w:color="000000"/>
            </w:tcBorders>
            <w:vAlign w:val="center"/>
          </w:tcPr>
          <w:p w14:paraId="529F9E55" w14:textId="77777777" w:rsidR="007D706A" w:rsidRDefault="007D706A" w:rsidP="00F70508">
            <w:pPr>
              <w:pStyle w:val="ParagraphStyle11"/>
              <w:rPr>
                <w:rStyle w:val="CharacterStyle11"/>
              </w:rPr>
            </w:pPr>
            <w:r>
              <w:rPr>
                <w:rStyle w:val="CharacterStyle11"/>
              </w:rPr>
              <w:t>Rashodi za donacije, kazne, naknade šteta i kapitalne pomoći</w:t>
            </w:r>
          </w:p>
        </w:tc>
        <w:tc>
          <w:tcPr>
            <w:tcW w:w="1395" w:type="dxa"/>
            <w:tcBorders>
              <w:bottom w:val="single" w:sz="6" w:space="0" w:color="000000"/>
              <w:right w:val="single" w:sz="6" w:space="0" w:color="000000"/>
            </w:tcBorders>
            <w:vAlign w:val="center"/>
          </w:tcPr>
          <w:p w14:paraId="508A005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93AF5C5" w14:textId="77777777" w:rsidR="007D706A" w:rsidRDefault="007D706A" w:rsidP="00F70508">
            <w:pPr>
              <w:pStyle w:val="ParagraphStyle12"/>
              <w:rPr>
                <w:rStyle w:val="CharacterStyle12"/>
              </w:rPr>
            </w:pPr>
            <w:r>
              <w:rPr>
                <w:rStyle w:val="CharacterStyle12"/>
              </w:rPr>
              <w:t>4.000,00</w:t>
            </w:r>
          </w:p>
        </w:tc>
        <w:tc>
          <w:tcPr>
            <w:tcW w:w="1395" w:type="dxa"/>
            <w:tcBorders>
              <w:bottom w:val="single" w:sz="6" w:space="0" w:color="000000"/>
              <w:right w:val="single" w:sz="6" w:space="0" w:color="000000"/>
            </w:tcBorders>
            <w:vAlign w:val="center"/>
          </w:tcPr>
          <w:p w14:paraId="45F3784F" w14:textId="77777777" w:rsidR="007D706A" w:rsidRDefault="007D706A" w:rsidP="00F70508">
            <w:pPr>
              <w:pStyle w:val="ParagraphStyle12"/>
              <w:rPr>
                <w:rStyle w:val="CharacterStyle12"/>
              </w:rPr>
            </w:pPr>
            <w:r>
              <w:rPr>
                <w:rStyle w:val="CharacterStyle12"/>
              </w:rPr>
              <w:t>4.000,00</w:t>
            </w:r>
          </w:p>
        </w:tc>
        <w:tc>
          <w:tcPr>
            <w:tcW w:w="1395" w:type="dxa"/>
            <w:tcBorders>
              <w:bottom w:val="single" w:sz="6" w:space="0" w:color="000000"/>
              <w:right w:val="single" w:sz="6" w:space="0" w:color="000000"/>
            </w:tcBorders>
            <w:vAlign w:val="center"/>
          </w:tcPr>
          <w:p w14:paraId="285B3E33" w14:textId="77777777" w:rsidR="007D706A" w:rsidRDefault="007D706A" w:rsidP="00F70508">
            <w:pPr>
              <w:pStyle w:val="ParagraphStyle12"/>
              <w:rPr>
                <w:rStyle w:val="CharacterStyle12"/>
              </w:rPr>
            </w:pPr>
            <w:r>
              <w:rPr>
                <w:rStyle w:val="CharacterStyle12"/>
              </w:rPr>
              <w:t>4.000,00</w:t>
            </w:r>
          </w:p>
        </w:tc>
        <w:tc>
          <w:tcPr>
            <w:tcW w:w="1395" w:type="dxa"/>
            <w:tcBorders>
              <w:bottom w:val="single" w:sz="6" w:space="0" w:color="000000"/>
              <w:right w:val="single" w:sz="6" w:space="0" w:color="000000"/>
            </w:tcBorders>
            <w:vAlign w:val="center"/>
          </w:tcPr>
          <w:p w14:paraId="4F6DF9A7" w14:textId="77777777" w:rsidR="007D706A" w:rsidRDefault="007D706A" w:rsidP="00F70508">
            <w:pPr>
              <w:pStyle w:val="ParagraphStyle12"/>
              <w:rPr>
                <w:rStyle w:val="CharacterStyle12"/>
              </w:rPr>
            </w:pPr>
            <w:r>
              <w:rPr>
                <w:rStyle w:val="CharacterStyle12"/>
              </w:rPr>
              <w:t>4.000,00</w:t>
            </w:r>
          </w:p>
        </w:tc>
      </w:tr>
      <w:tr w:rsidR="007D706A" w14:paraId="28D968A0" w14:textId="77777777" w:rsidTr="00F70508">
        <w:trPr>
          <w:trHeight w:val="420"/>
        </w:trPr>
        <w:tc>
          <w:tcPr>
            <w:tcW w:w="2880" w:type="dxa"/>
            <w:tcBorders>
              <w:left w:val="single" w:sz="6" w:space="0" w:color="000000"/>
              <w:bottom w:val="single" w:sz="6" w:space="0" w:color="000000"/>
              <w:right w:val="single" w:sz="6" w:space="0" w:color="000000"/>
            </w:tcBorders>
            <w:vAlign w:val="center"/>
          </w:tcPr>
          <w:p w14:paraId="6B3C3A50" w14:textId="77777777" w:rsidR="007D706A" w:rsidRDefault="007D706A" w:rsidP="00F70508">
            <w:pPr>
              <w:pStyle w:val="ParagraphStyle4"/>
              <w:rPr>
                <w:rStyle w:val="CharacterStyle4"/>
              </w:rPr>
            </w:pPr>
            <w:r>
              <w:rPr>
                <w:rStyle w:val="CharacterStyle4"/>
              </w:rPr>
              <w:t>Aktivnost A103403</w:t>
            </w:r>
          </w:p>
        </w:tc>
        <w:tc>
          <w:tcPr>
            <w:tcW w:w="4995" w:type="dxa"/>
            <w:tcBorders>
              <w:bottom w:val="single" w:sz="6" w:space="0" w:color="000000"/>
              <w:right w:val="single" w:sz="6" w:space="0" w:color="000000"/>
            </w:tcBorders>
            <w:vAlign w:val="center"/>
          </w:tcPr>
          <w:p w14:paraId="0095F472" w14:textId="77777777" w:rsidR="007D706A" w:rsidRDefault="007D706A" w:rsidP="00F70508">
            <w:pPr>
              <w:pStyle w:val="ParagraphStyle5"/>
              <w:rPr>
                <w:rStyle w:val="CharacterStyle5"/>
              </w:rPr>
            </w:pPr>
            <w:r>
              <w:rPr>
                <w:rStyle w:val="CharacterStyle5"/>
              </w:rPr>
              <w:t>PROGRAMI UNAPREĐENJA KVALITETE ŽIVOTA OSOBA STARIJE ŽIVOTNE DOBI</w:t>
            </w:r>
          </w:p>
        </w:tc>
        <w:tc>
          <w:tcPr>
            <w:tcW w:w="1395" w:type="dxa"/>
            <w:tcBorders>
              <w:bottom w:val="single" w:sz="6" w:space="0" w:color="000000"/>
              <w:right w:val="single" w:sz="6" w:space="0" w:color="000000"/>
            </w:tcBorders>
            <w:vAlign w:val="center"/>
          </w:tcPr>
          <w:p w14:paraId="13CF63C0"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16328848" w14:textId="77777777" w:rsidR="007D706A" w:rsidRDefault="007D706A" w:rsidP="00F70508">
            <w:pPr>
              <w:pStyle w:val="ParagraphStyle6"/>
              <w:rPr>
                <w:rStyle w:val="CharacterStyle6"/>
              </w:rPr>
            </w:pPr>
            <w:r>
              <w:rPr>
                <w:rStyle w:val="CharacterStyle6"/>
              </w:rPr>
              <w:t>33.000,00</w:t>
            </w:r>
          </w:p>
        </w:tc>
        <w:tc>
          <w:tcPr>
            <w:tcW w:w="1395" w:type="dxa"/>
            <w:tcBorders>
              <w:bottom w:val="single" w:sz="6" w:space="0" w:color="000000"/>
              <w:right w:val="single" w:sz="6" w:space="0" w:color="000000"/>
            </w:tcBorders>
            <w:vAlign w:val="center"/>
          </w:tcPr>
          <w:p w14:paraId="2BA2F4BB" w14:textId="77777777" w:rsidR="007D706A" w:rsidRDefault="007D706A" w:rsidP="00F70508">
            <w:pPr>
              <w:pStyle w:val="ParagraphStyle6"/>
              <w:rPr>
                <w:rStyle w:val="CharacterStyle6"/>
              </w:rPr>
            </w:pPr>
            <w:r>
              <w:rPr>
                <w:rStyle w:val="CharacterStyle6"/>
              </w:rPr>
              <w:t>36.000,00</w:t>
            </w:r>
          </w:p>
        </w:tc>
        <w:tc>
          <w:tcPr>
            <w:tcW w:w="1395" w:type="dxa"/>
            <w:tcBorders>
              <w:bottom w:val="single" w:sz="6" w:space="0" w:color="000000"/>
              <w:right w:val="single" w:sz="6" w:space="0" w:color="000000"/>
            </w:tcBorders>
            <w:vAlign w:val="center"/>
          </w:tcPr>
          <w:p w14:paraId="25937F77" w14:textId="77777777" w:rsidR="007D706A" w:rsidRDefault="007D706A" w:rsidP="00F70508">
            <w:pPr>
              <w:pStyle w:val="ParagraphStyle6"/>
              <w:rPr>
                <w:rStyle w:val="CharacterStyle6"/>
              </w:rPr>
            </w:pPr>
            <w:r>
              <w:rPr>
                <w:rStyle w:val="CharacterStyle6"/>
              </w:rPr>
              <w:t>38.000,00</w:t>
            </w:r>
          </w:p>
        </w:tc>
        <w:tc>
          <w:tcPr>
            <w:tcW w:w="1395" w:type="dxa"/>
            <w:tcBorders>
              <w:bottom w:val="single" w:sz="6" w:space="0" w:color="000000"/>
              <w:right w:val="single" w:sz="6" w:space="0" w:color="000000"/>
            </w:tcBorders>
            <w:vAlign w:val="center"/>
          </w:tcPr>
          <w:p w14:paraId="268DCC0A" w14:textId="77777777" w:rsidR="007D706A" w:rsidRDefault="007D706A" w:rsidP="00F70508">
            <w:pPr>
              <w:pStyle w:val="ParagraphStyle6"/>
              <w:rPr>
                <w:rStyle w:val="CharacterStyle6"/>
              </w:rPr>
            </w:pPr>
            <w:r>
              <w:rPr>
                <w:rStyle w:val="CharacterStyle6"/>
              </w:rPr>
              <w:t>38.000,00</w:t>
            </w:r>
          </w:p>
        </w:tc>
      </w:tr>
      <w:tr w:rsidR="007D706A" w14:paraId="218DA9B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78F7ACF"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16672DA2"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0F4E5428"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AFF2DC4" w14:textId="77777777" w:rsidR="007D706A" w:rsidRDefault="007D706A" w:rsidP="00F70508">
            <w:pPr>
              <w:pStyle w:val="ParagraphStyle9"/>
              <w:rPr>
                <w:rStyle w:val="CharacterStyle9"/>
              </w:rPr>
            </w:pPr>
            <w:r>
              <w:rPr>
                <w:rStyle w:val="CharacterStyle9"/>
              </w:rPr>
              <w:t>33.000,00</w:t>
            </w:r>
          </w:p>
        </w:tc>
        <w:tc>
          <w:tcPr>
            <w:tcW w:w="1395" w:type="dxa"/>
            <w:tcBorders>
              <w:bottom w:val="single" w:sz="6" w:space="0" w:color="000000"/>
              <w:right w:val="single" w:sz="6" w:space="0" w:color="000000"/>
            </w:tcBorders>
            <w:vAlign w:val="center"/>
          </w:tcPr>
          <w:p w14:paraId="3A8B8AA0" w14:textId="77777777" w:rsidR="007D706A" w:rsidRDefault="007D706A" w:rsidP="00F70508">
            <w:pPr>
              <w:pStyle w:val="ParagraphStyle9"/>
              <w:rPr>
                <w:rStyle w:val="CharacterStyle9"/>
              </w:rPr>
            </w:pPr>
            <w:r>
              <w:rPr>
                <w:rStyle w:val="CharacterStyle9"/>
              </w:rPr>
              <w:t>36.000,00</w:t>
            </w:r>
          </w:p>
        </w:tc>
        <w:tc>
          <w:tcPr>
            <w:tcW w:w="1395" w:type="dxa"/>
            <w:tcBorders>
              <w:bottom w:val="single" w:sz="6" w:space="0" w:color="000000"/>
              <w:right w:val="single" w:sz="6" w:space="0" w:color="000000"/>
            </w:tcBorders>
            <w:vAlign w:val="center"/>
          </w:tcPr>
          <w:p w14:paraId="1651EE79" w14:textId="77777777" w:rsidR="007D706A" w:rsidRDefault="007D706A" w:rsidP="00F70508">
            <w:pPr>
              <w:pStyle w:val="ParagraphStyle9"/>
              <w:rPr>
                <w:rStyle w:val="CharacterStyle9"/>
              </w:rPr>
            </w:pPr>
            <w:r>
              <w:rPr>
                <w:rStyle w:val="CharacterStyle9"/>
              </w:rPr>
              <w:t>38.000,00</w:t>
            </w:r>
          </w:p>
        </w:tc>
        <w:tc>
          <w:tcPr>
            <w:tcW w:w="1395" w:type="dxa"/>
            <w:tcBorders>
              <w:bottom w:val="single" w:sz="6" w:space="0" w:color="000000"/>
              <w:right w:val="single" w:sz="6" w:space="0" w:color="000000"/>
            </w:tcBorders>
            <w:vAlign w:val="center"/>
          </w:tcPr>
          <w:p w14:paraId="60366355" w14:textId="77777777" w:rsidR="007D706A" w:rsidRDefault="007D706A" w:rsidP="00F70508">
            <w:pPr>
              <w:pStyle w:val="ParagraphStyle9"/>
              <w:rPr>
                <w:rStyle w:val="CharacterStyle9"/>
              </w:rPr>
            </w:pPr>
            <w:r>
              <w:rPr>
                <w:rStyle w:val="CharacterStyle9"/>
              </w:rPr>
              <w:t>38.000,00</w:t>
            </w:r>
          </w:p>
        </w:tc>
      </w:tr>
      <w:tr w:rsidR="007D706A" w14:paraId="1C53DD8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2B5AD26"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1EC05D74"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54CDEC0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AE4ADEB" w14:textId="77777777" w:rsidR="007D706A" w:rsidRDefault="007D706A" w:rsidP="00F70508">
            <w:pPr>
              <w:pStyle w:val="ParagraphStyle12"/>
              <w:rPr>
                <w:rStyle w:val="CharacterStyle12"/>
              </w:rPr>
            </w:pPr>
            <w:r>
              <w:rPr>
                <w:rStyle w:val="CharacterStyle12"/>
              </w:rPr>
              <w:t>33.000,00</w:t>
            </w:r>
          </w:p>
        </w:tc>
        <w:tc>
          <w:tcPr>
            <w:tcW w:w="1395" w:type="dxa"/>
            <w:tcBorders>
              <w:bottom w:val="single" w:sz="6" w:space="0" w:color="000000"/>
              <w:right w:val="single" w:sz="6" w:space="0" w:color="000000"/>
            </w:tcBorders>
            <w:vAlign w:val="center"/>
          </w:tcPr>
          <w:p w14:paraId="31F1075C" w14:textId="77777777" w:rsidR="007D706A" w:rsidRDefault="007D706A" w:rsidP="00F70508">
            <w:pPr>
              <w:pStyle w:val="ParagraphStyle12"/>
              <w:rPr>
                <w:rStyle w:val="CharacterStyle12"/>
              </w:rPr>
            </w:pPr>
            <w:r>
              <w:rPr>
                <w:rStyle w:val="CharacterStyle12"/>
              </w:rPr>
              <w:t>36.000,00</w:t>
            </w:r>
          </w:p>
        </w:tc>
        <w:tc>
          <w:tcPr>
            <w:tcW w:w="1395" w:type="dxa"/>
            <w:tcBorders>
              <w:bottom w:val="single" w:sz="6" w:space="0" w:color="000000"/>
              <w:right w:val="single" w:sz="6" w:space="0" w:color="000000"/>
            </w:tcBorders>
            <w:vAlign w:val="center"/>
          </w:tcPr>
          <w:p w14:paraId="06B418FC" w14:textId="77777777" w:rsidR="007D706A" w:rsidRDefault="007D706A" w:rsidP="00F70508">
            <w:pPr>
              <w:pStyle w:val="ParagraphStyle12"/>
              <w:rPr>
                <w:rStyle w:val="CharacterStyle12"/>
              </w:rPr>
            </w:pPr>
            <w:r>
              <w:rPr>
                <w:rStyle w:val="CharacterStyle12"/>
              </w:rPr>
              <w:t>38.000,00</w:t>
            </w:r>
          </w:p>
        </w:tc>
        <w:tc>
          <w:tcPr>
            <w:tcW w:w="1395" w:type="dxa"/>
            <w:tcBorders>
              <w:bottom w:val="single" w:sz="6" w:space="0" w:color="000000"/>
              <w:right w:val="single" w:sz="6" w:space="0" w:color="000000"/>
            </w:tcBorders>
            <w:vAlign w:val="center"/>
          </w:tcPr>
          <w:p w14:paraId="462F36BD" w14:textId="77777777" w:rsidR="007D706A" w:rsidRDefault="007D706A" w:rsidP="00F70508">
            <w:pPr>
              <w:pStyle w:val="ParagraphStyle12"/>
              <w:rPr>
                <w:rStyle w:val="CharacterStyle12"/>
              </w:rPr>
            </w:pPr>
            <w:r>
              <w:rPr>
                <w:rStyle w:val="CharacterStyle12"/>
              </w:rPr>
              <w:t>38.000,00</w:t>
            </w:r>
          </w:p>
        </w:tc>
      </w:tr>
      <w:tr w:rsidR="007D706A" w14:paraId="1186CE5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8668152" w14:textId="77777777" w:rsidR="007D706A" w:rsidRDefault="007D706A" w:rsidP="00F70508">
            <w:pPr>
              <w:pStyle w:val="ParagraphStyle10"/>
              <w:rPr>
                <w:rStyle w:val="CharacterStyle10"/>
              </w:rPr>
            </w:pPr>
            <w:r>
              <w:rPr>
                <w:rStyle w:val="CharacterStyle10"/>
              </w:rPr>
              <w:t>38</w:t>
            </w:r>
          </w:p>
        </w:tc>
        <w:tc>
          <w:tcPr>
            <w:tcW w:w="4995" w:type="dxa"/>
            <w:tcBorders>
              <w:bottom w:val="single" w:sz="6" w:space="0" w:color="000000"/>
              <w:right w:val="single" w:sz="6" w:space="0" w:color="000000"/>
            </w:tcBorders>
            <w:vAlign w:val="center"/>
          </w:tcPr>
          <w:p w14:paraId="6F7C1B9A" w14:textId="77777777" w:rsidR="007D706A" w:rsidRDefault="007D706A" w:rsidP="00F70508">
            <w:pPr>
              <w:pStyle w:val="ParagraphStyle11"/>
              <w:rPr>
                <w:rStyle w:val="CharacterStyle11"/>
              </w:rPr>
            </w:pPr>
            <w:r>
              <w:rPr>
                <w:rStyle w:val="CharacterStyle11"/>
              </w:rPr>
              <w:t>Rashodi za donacije, kazne, naknade šteta i kapitalne pomoći</w:t>
            </w:r>
          </w:p>
        </w:tc>
        <w:tc>
          <w:tcPr>
            <w:tcW w:w="1395" w:type="dxa"/>
            <w:tcBorders>
              <w:bottom w:val="single" w:sz="6" w:space="0" w:color="000000"/>
              <w:right w:val="single" w:sz="6" w:space="0" w:color="000000"/>
            </w:tcBorders>
            <w:vAlign w:val="center"/>
          </w:tcPr>
          <w:p w14:paraId="073BC39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ACBD113" w14:textId="77777777" w:rsidR="007D706A" w:rsidRDefault="007D706A" w:rsidP="00F70508">
            <w:pPr>
              <w:pStyle w:val="ParagraphStyle12"/>
              <w:rPr>
                <w:rStyle w:val="CharacterStyle12"/>
              </w:rPr>
            </w:pPr>
            <w:r>
              <w:rPr>
                <w:rStyle w:val="CharacterStyle12"/>
              </w:rPr>
              <w:t>33.000,00</w:t>
            </w:r>
          </w:p>
        </w:tc>
        <w:tc>
          <w:tcPr>
            <w:tcW w:w="1395" w:type="dxa"/>
            <w:tcBorders>
              <w:bottom w:val="single" w:sz="6" w:space="0" w:color="000000"/>
              <w:right w:val="single" w:sz="6" w:space="0" w:color="000000"/>
            </w:tcBorders>
            <w:vAlign w:val="center"/>
          </w:tcPr>
          <w:p w14:paraId="18208F7C" w14:textId="77777777" w:rsidR="007D706A" w:rsidRDefault="007D706A" w:rsidP="00F70508">
            <w:pPr>
              <w:pStyle w:val="ParagraphStyle12"/>
              <w:rPr>
                <w:rStyle w:val="CharacterStyle12"/>
              </w:rPr>
            </w:pPr>
            <w:r>
              <w:rPr>
                <w:rStyle w:val="CharacterStyle12"/>
              </w:rPr>
              <w:t>36.000,00</w:t>
            </w:r>
          </w:p>
        </w:tc>
        <w:tc>
          <w:tcPr>
            <w:tcW w:w="1395" w:type="dxa"/>
            <w:tcBorders>
              <w:bottom w:val="single" w:sz="6" w:space="0" w:color="000000"/>
              <w:right w:val="single" w:sz="6" w:space="0" w:color="000000"/>
            </w:tcBorders>
            <w:vAlign w:val="center"/>
          </w:tcPr>
          <w:p w14:paraId="342D49C3" w14:textId="77777777" w:rsidR="007D706A" w:rsidRDefault="007D706A" w:rsidP="00F70508">
            <w:pPr>
              <w:pStyle w:val="ParagraphStyle12"/>
              <w:rPr>
                <w:rStyle w:val="CharacterStyle12"/>
              </w:rPr>
            </w:pPr>
            <w:r>
              <w:rPr>
                <w:rStyle w:val="CharacterStyle12"/>
              </w:rPr>
              <w:t>38.000,00</w:t>
            </w:r>
          </w:p>
        </w:tc>
        <w:tc>
          <w:tcPr>
            <w:tcW w:w="1395" w:type="dxa"/>
            <w:tcBorders>
              <w:bottom w:val="single" w:sz="6" w:space="0" w:color="000000"/>
              <w:right w:val="single" w:sz="6" w:space="0" w:color="000000"/>
            </w:tcBorders>
            <w:vAlign w:val="center"/>
          </w:tcPr>
          <w:p w14:paraId="48737CC8" w14:textId="77777777" w:rsidR="007D706A" w:rsidRDefault="007D706A" w:rsidP="00F70508">
            <w:pPr>
              <w:pStyle w:val="ParagraphStyle12"/>
              <w:rPr>
                <w:rStyle w:val="CharacterStyle12"/>
              </w:rPr>
            </w:pPr>
            <w:r>
              <w:rPr>
                <w:rStyle w:val="CharacterStyle12"/>
              </w:rPr>
              <w:t>38.000,00</w:t>
            </w:r>
          </w:p>
        </w:tc>
      </w:tr>
      <w:tr w:rsidR="007D706A" w14:paraId="34C8F8B0" w14:textId="77777777" w:rsidTr="00F70508">
        <w:trPr>
          <w:trHeight w:val="405"/>
        </w:trPr>
        <w:tc>
          <w:tcPr>
            <w:tcW w:w="2880" w:type="dxa"/>
            <w:tcBorders>
              <w:left w:val="single" w:sz="6" w:space="0" w:color="000000"/>
              <w:bottom w:val="single" w:sz="6" w:space="0" w:color="000000"/>
              <w:right w:val="single" w:sz="6" w:space="0" w:color="000000"/>
            </w:tcBorders>
            <w:vAlign w:val="center"/>
          </w:tcPr>
          <w:p w14:paraId="7BA59BBD" w14:textId="77777777" w:rsidR="007D706A" w:rsidRDefault="007D706A" w:rsidP="00F70508">
            <w:pPr>
              <w:pStyle w:val="ParagraphStyle4"/>
              <w:rPr>
                <w:rStyle w:val="CharacterStyle4"/>
              </w:rPr>
            </w:pPr>
            <w:r>
              <w:rPr>
                <w:rStyle w:val="CharacterStyle4"/>
              </w:rPr>
              <w:t>Aktivnost A103405</w:t>
            </w:r>
          </w:p>
        </w:tc>
        <w:tc>
          <w:tcPr>
            <w:tcW w:w="4995" w:type="dxa"/>
            <w:tcBorders>
              <w:bottom w:val="single" w:sz="6" w:space="0" w:color="000000"/>
              <w:right w:val="single" w:sz="6" w:space="0" w:color="000000"/>
            </w:tcBorders>
            <w:vAlign w:val="center"/>
          </w:tcPr>
          <w:p w14:paraId="1B54A935" w14:textId="77777777" w:rsidR="007D706A" w:rsidRDefault="007D706A" w:rsidP="00F70508">
            <w:pPr>
              <w:pStyle w:val="ParagraphStyle5"/>
              <w:rPr>
                <w:rStyle w:val="CharacterStyle5"/>
              </w:rPr>
            </w:pPr>
            <w:r>
              <w:rPr>
                <w:rStyle w:val="CharacterStyle5"/>
              </w:rPr>
              <w:t>POTICANJE MLADIH NA ODRŽIVI RAZVOJ, ZDRAV NAČIN ŽIVOTA I OČUVANJE PRIRODE</w:t>
            </w:r>
          </w:p>
        </w:tc>
        <w:tc>
          <w:tcPr>
            <w:tcW w:w="1395" w:type="dxa"/>
            <w:tcBorders>
              <w:bottom w:val="single" w:sz="6" w:space="0" w:color="000000"/>
              <w:right w:val="single" w:sz="6" w:space="0" w:color="000000"/>
            </w:tcBorders>
            <w:vAlign w:val="center"/>
          </w:tcPr>
          <w:p w14:paraId="19EC205C"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12A2358D" w14:textId="77777777" w:rsidR="007D706A" w:rsidRDefault="007D706A" w:rsidP="00F70508">
            <w:pPr>
              <w:pStyle w:val="ParagraphStyle6"/>
              <w:rPr>
                <w:rStyle w:val="CharacterStyle6"/>
              </w:rPr>
            </w:pPr>
            <w:r>
              <w:rPr>
                <w:rStyle w:val="CharacterStyle6"/>
              </w:rPr>
              <w:t>3.500,00</w:t>
            </w:r>
          </w:p>
        </w:tc>
        <w:tc>
          <w:tcPr>
            <w:tcW w:w="1395" w:type="dxa"/>
            <w:tcBorders>
              <w:bottom w:val="single" w:sz="6" w:space="0" w:color="000000"/>
              <w:right w:val="single" w:sz="6" w:space="0" w:color="000000"/>
            </w:tcBorders>
            <w:vAlign w:val="center"/>
          </w:tcPr>
          <w:p w14:paraId="73ED2AAD" w14:textId="77777777" w:rsidR="007D706A" w:rsidRDefault="007D706A" w:rsidP="00F70508">
            <w:pPr>
              <w:pStyle w:val="ParagraphStyle6"/>
              <w:rPr>
                <w:rStyle w:val="CharacterStyle6"/>
              </w:rPr>
            </w:pPr>
            <w:r>
              <w:rPr>
                <w:rStyle w:val="CharacterStyle6"/>
              </w:rPr>
              <w:t>4.500,00</w:t>
            </w:r>
          </w:p>
        </w:tc>
        <w:tc>
          <w:tcPr>
            <w:tcW w:w="1395" w:type="dxa"/>
            <w:tcBorders>
              <w:bottom w:val="single" w:sz="6" w:space="0" w:color="000000"/>
              <w:right w:val="single" w:sz="6" w:space="0" w:color="000000"/>
            </w:tcBorders>
            <w:vAlign w:val="center"/>
          </w:tcPr>
          <w:p w14:paraId="6C8B217C" w14:textId="77777777" w:rsidR="007D706A" w:rsidRDefault="007D706A" w:rsidP="00F70508">
            <w:pPr>
              <w:pStyle w:val="ParagraphStyle6"/>
              <w:rPr>
                <w:rStyle w:val="CharacterStyle6"/>
              </w:rPr>
            </w:pPr>
            <w:r>
              <w:rPr>
                <w:rStyle w:val="CharacterStyle6"/>
              </w:rPr>
              <w:t>5.000,00</w:t>
            </w:r>
          </w:p>
        </w:tc>
        <w:tc>
          <w:tcPr>
            <w:tcW w:w="1395" w:type="dxa"/>
            <w:tcBorders>
              <w:bottom w:val="single" w:sz="6" w:space="0" w:color="000000"/>
              <w:right w:val="single" w:sz="6" w:space="0" w:color="000000"/>
            </w:tcBorders>
            <w:vAlign w:val="center"/>
          </w:tcPr>
          <w:p w14:paraId="30908EF4" w14:textId="77777777" w:rsidR="007D706A" w:rsidRDefault="007D706A" w:rsidP="00F70508">
            <w:pPr>
              <w:pStyle w:val="ParagraphStyle6"/>
              <w:rPr>
                <w:rStyle w:val="CharacterStyle6"/>
              </w:rPr>
            </w:pPr>
            <w:r>
              <w:rPr>
                <w:rStyle w:val="CharacterStyle6"/>
              </w:rPr>
              <w:t>5.000,00</w:t>
            </w:r>
          </w:p>
        </w:tc>
      </w:tr>
      <w:tr w:rsidR="007D706A" w14:paraId="62E45EA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CF94DCF"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232AB7D2"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38DAC0EA"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B27B1BE" w14:textId="77777777" w:rsidR="007D706A" w:rsidRDefault="007D706A" w:rsidP="00F70508">
            <w:pPr>
              <w:pStyle w:val="ParagraphStyle9"/>
              <w:rPr>
                <w:rStyle w:val="CharacterStyle9"/>
              </w:rPr>
            </w:pPr>
            <w:r>
              <w:rPr>
                <w:rStyle w:val="CharacterStyle9"/>
              </w:rPr>
              <w:t>3.500,00</w:t>
            </w:r>
          </w:p>
        </w:tc>
        <w:tc>
          <w:tcPr>
            <w:tcW w:w="1395" w:type="dxa"/>
            <w:tcBorders>
              <w:bottom w:val="single" w:sz="6" w:space="0" w:color="000000"/>
              <w:right w:val="single" w:sz="6" w:space="0" w:color="000000"/>
            </w:tcBorders>
            <w:vAlign w:val="center"/>
          </w:tcPr>
          <w:p w14:paraId="7CDA8C9A" w14:textId="77777777" w:rsidR="007D706A" w:rsidRDefault="007D706A" w:rsidP="00F70508">
            <w:pPr>
              <w:pStyle w:val="ParagraphStyle9"/>
              <w:rPr>
                <w:rStyle w:val="CharacterStyle9"/>
              </w:rPr>
            </w:pPr>
            <w:r>
              <w:rPr>
                <w:rStyle w:val="CharacterStyle9"/>
              </w:rPr>
              <w:t>4.500,00</w:t>
            </w:r>
          </w:p>
        </w:tc>
        <w:tc>
          <w:tcPr>
            <w:tcW w:w="1395" w:type="dxa"/>
            <w:tcBorders>
              <w:bottom w:val="single" w:sz="6" w:space="0" w:color="000000"/>
              <w:right w:val="single" w:sz="6" w:space="0" w:color="000000"/>
            </w:tcBorders>
            <w:vAlign w:val="center"/>
          </w:tcPr>
          <w:p w14:paraId="6750F431" w14:textId="77777777" w:rsidR="007D706A" w:rsidRDefault="007D706A" w:rsidP="00F70508">
            <w:pPr>
              <w:pStyle w:val="ParagraphStyle9"/>
              <w:rPr>
                <w:rStyle w:val="CharacterStyle9"/>
              </w:rPr>
            </w:pPr>
            <w:r>
              <w:rPr>
                <w:rStyle w:val="CharacterStyle9"/>
              </w:rPr>
              <w:t>5.000,00</w:t>
            </w:r>
          </w:p>
        </w:tc>
        <w:tc>
          <w:tcPr>
            <w:tcW w:w="1395" w:type="dxa"/>
            <w:tcBorders>
              <w:bottom w:val="single" w:sz="6" w:space="0" w:color="000000"/>
              <w:right w:val="single" w:sz="6" w:space="0" w:color="000000"/>
            </w:tcBorders>
            <w:vAlign w:val="center"/>
          </w:tcPr>
          <w:p w14:paraId="27B4EC92" w14:textId="77777777" w:rsidR="007D706A" w:rsidRDefault="007D706A" w:rsidP="00F70508">
            <w:pPr>
              <w:pStyle w:val="ParagraphStyle9"/>
              <w:rPr>
                <w:rStyle w:val="CharacterStyle9"/>
              </w:rPr>
            </w:pPr>
            <w:r>
              <w:rPr>
                <w:rStyle w:val="CharacterStyle9"/>
              </w:rPr>
              <w:t>5.000,00</w:t>
            </w:r>
          </w:p>
        </w:tc>
      </w:tr>
      <w:tr w:rsidR="007D706A" w14:paraId="4AD6F50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E10F12E"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1B0165DA"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1FAD24A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063E6F2" w14:textId="77777777" w:rsidR="007D706A" w:rsidRDefault="007D706A" w:rsidP="00F70508">
            <w:pPr>
              <w:pStyle w:val="ParagraphStyle12"/>
              <w:rPr>
                <w:rStyle w:val="CharacterStyle12"/>
              </w:rPr>
            </w:pPr>
            <w:r>
              <w:rPr>
                <w:rStyle w:val="CharacterStyle12"/>
              </w:rPr>
              <w:t>3.500,00</w:t>
            </w:r>
          </w:p>
        </w:tc>
        <w:tc>
          <w:tcPr>
            <w:tcW w:w="1395" w:type="dxa"/>
            <w:tcBorders>
              <w:bottom w:val="single" w:sz="6" w:space="0" w:color="000000"/>
              <w:right w:val="single" w:sz="6" w:space="0" w:color="000000"/>
            </w:tcBorders>
            <w:vAlign w:val="center"/>
          </w:tcPr>
          <w:p w14:paraId="239FA84F" w14:textId="77777777" w:rsidR="007D706A" w:rsidRDefault="007D706A" w:rsidP="00F70508">
            <w:pPr>
              <w:pStyle w:val="ParagraphStyle12"/>
              <w:rPr>
                <w:rStyle w:val="CharacterStyle12"/>
              </w:rPr>
            </w:pPr>
            <w:r>
              <w:rPr>
                <w:rStyle w:val="CharacterStyle12"/>
              </w:rPr>
              <w:t>4.500,00</w:t>
            </w:r>
          </w:p>
        </w:tc>
        <w:tc>
          <w:tcPr>
            <w:tcW w:w="1395" w:type="dxa"/>
            <w:tcBorders>
              <w:bottom w:val="single" w:sz="6" w:space="0" w:color="000000"/>
              <w:right w:val="single" w:sz="6" w:space="0" w:color="000000"/>
            </w:tcBorders>
            <w:vAlign w:val="center"/>
          </w:tcPr>
          <w:p w14:paraId="3F08A2BC" w14:textId="77777777" w:rsidR="007D706A" w:rsidRDefault="007D706A" w:rsidP="00F70508">
            <w:pPr>
              <w:pStyle w:val="ParagraphStyle12"/>
              <w:rPr>
                <w:rStyle w:val="CharacterStyle12"/>
              </w:rPr>
            </w:pPr>
            <w:r>
              <w:rPr>
                <w:rStyle w:val="CharacterStyle12"/>
              </w:rPr>
              <w:t>5.000,00</w:t>
            </w:r>
          </w:p>
        </w:tc>
        <w:tc>
          <w:tcPr>
            <w:tcW w:w="1395" w:type="dxa"/>
            <w:tcBorders>
              <w:bottom w:val="single" w:sz="6" w:space="0" w:color="000000"/>
              <w:right w:val="single" w:sz="6" w:space="0" w:color="000000"/>
            </w:tcBorders>
            <w:vAlign w:val="center"/>
          </w:tcPr>
          <w:p w14:paraId="4957DD70" w14:textId="77777777" w:rsidR="007D706A" w:rsidRDefault="007D706A" w:rsidP="00F70508">
            <w:pPr>
              <w:pStyle w:val="ParagraphStyle12"/>
              <w:rPr>
                <w:rStyle w:val="CharacterStyle12"/>
              </w:rPr>
            </w:pPr>
            <w:r>
              <w:rPr>
                <w:rStyle w:val="CharacterStyle12"/>
              </w:rPr>
              <w:t>5.000,00</w:t>
            </w:r>
          </w:p>
        </w:tc>
      </w:tr>
      <w:tr w:rsidR="007D706A" w14:paraId="26F3CCA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3837B4B" w14:textId="77777777" w:rsidR="007D706A" w:rsidRDefault="007D706A" w:rsidP="00F70508">
            <w:pPr>
              <w:pStyle w:val="ParagraphStyle10"/>
              <w:rPr>
                <w:rStyle w:val="CharacterStyle10"/>
              </w:rPr>
            </w:pPr>
            <w:r>
              <w:rPr>
                <w:rStyle w:val="CharacterStyle10"/>
              </w:rPr>
              <w:t>38</w:t>
            </w:r>
          </w:p>
        </w:tc>
        <w:tc>
          <w:tcPr>
            <w:tcW w:w="4995" w:type="dxa"/>
            <w:tcBorders>
              <w:bottom w:val="single" w:sz="6" w:space="0" w:color="000000"/>
              <w:right w:val="single" w:sz="6" w:space="0" w:color="000000"/>
            </w:tcBorders>
            <w:vAlign w:val="center"/>
          </w:tcPr>
          <w:p w14:paraId="561DACFC" w14:textId="77777777" w:rsidR="007D706A" w:rsidRDefault="007D706A" w:rsidP="00F70508">
            <w:pPr>
              <w:pStyle w:val="ParagraphStyle11"/>
              <w:rPr>
                <w:rStyle w:val="CharacterStyle11"/>
              </w:rPr>
            </w:pPr>
            <w:r>
              <w:rPr>
                <w:rStyle w:val="CharacterStyle11"/>
              </w:rPr>
              <w:t>Rashodi za donacije, kazne, naknade šteta i kapitalne pomoći</w:t>
            </w:r>
          </w:p>
        </w:tc>
        <w:tc>
          <w:tcPr>
            <w:tcW w:w="1395" w:type="dxa"/>
            <w:tcBorders>
              <w:bottom w:val="single" w:sz="6" w:space="0" w:color="000000"/>
              <w:right w:val="single" w:sz="6" w:space="0" w:color="000000"/>
            </w:tcBorders>
            <w:vAlign w:val="center"/>
          </w:tcPr>
          <w:p w14:paraId="4B8216F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8B8C0C6" w14:textId="77777777" w:rsidR="007D706A" w:rsidRDefault="007D706A" w:rsidP="00F70508">
            <w:pPr>
              <w:pStyle w:val="ParagraphStyle12"/>
              <w:rPr>
                <w:rStyle w:val="CharacterStyle12"/>
              </w:rPr>
            </w:pPr>
            <w:r>
              <w:rPr>
                <w:rStyle w:val="CharacterStyle12"/>
              </w:rPr>
              <w:t>3.500,00</w:t>
            </w:r>
          </w:p>
        </w:tc>
        <w:tc>
          <w:tcPr>
            <w:tcW w:w="1395" w:type="dxa"/>
            <w:tcBorders>
              <w:bottom w:val="single" w:sz="6" w:space="0" w:color="000000"/>
              <w:right w:val="single" w:sz="6" w:space="0" w:color="000000"/>
            </w:tcBorders>
            <w:vAlign w:val="center"/>
          </w:tcPr>
          <w:p w14:paraId="42C8561A" w14:textId="77777777" w:rsidR="007D706A" w:rsidRDefault="007D706A" w:rsidP="00F70508">
            <w:pPr>
              <w:pStyle w:val="ParagraphStyle12"/>
              <w:rPr>
                <w:rStyle w:val="CharacterStyle12"/>
              </w:rPr>
            </w:pPr>
            <w:r>
              <w:rPr>
                <w:rStyle w:val="CharacterStyle12"/>
              </w:rPr>
              <w:t>4.500,00</w:t>
            </w:r>
          </w:p>
        </w:tc>
        <w:tc>
          <w:tcPr>
            <w:tcW w:w="1395" w:type="dxa"/>
            <w:tcBorders>
              <w:bottom w:val="single" w:sz="6" w:space="0" w:color="000000"/>
              <w:right w:val="single" w:sz="6" w:space="0" w:color="000000"/>
            </w:tcBorders>
            <w:vAlign w:val="center"/>
          </w:tcPr>
          <w:p w14:paraId="1A9C0C0C" w14:textId="77777777" w:rsidR="007D706A" w:rsidRDefault="007D706A" w:rsidP="00F70508">
            <w:pPr>
              <w:pStyle w:val="ParagraphStyle12"/>
              <w:rPr>
                <w:rStyle w:val="CharacterStyle12"/>
              </w:rPr>
            </w:pPr>
            <w:r>
              <w:rPr>
                <w:rStyle w:val="CharacterStyle12"/>
              </w:rPr>
              <w:t>5.000,00</w:t>
            </w:r>
          </w:p>
        </w:tc>
        <w:tc>
          <w:tcPr>
            <w:tcW w:w="1395" w:type="dxa"/>
            <w:tcBorders>
              <w:bottom w:val="single" w:sz="6" w:space="0" w:color="000000"/>
              <w:right w:val="single" w:sz="6" w:space="0" w:color="000000"/>
            </w:tcBorders>
            <w:vAlign w:val="center"/>
          </w:tcPr>
          <w:p w14:paraId="6F86F1B6" w14:textId="77777777" w:rsidR="007D706A" w:rsidRDefault="007D706A" w:rsidP="00F70508">
            <w:pPr>
              <w:pStyle w:val="ParagraphStyle12"/>
              <w:rPr>
                <w:rStyle w:val="CharacterStyle12"/>
              </w:rPr>
            </w:pPr>
            <w:r>
              <w:rPr>
                <w:rStyle w:val="CharacterStyle12"/>
              </w:rPr>
              <w:t>5.000,00</w:t>
            </w:r>
          </w:p>
        </w:tc>
      </w:tr>
      <w:tr w:rsidR="007D706A" w14:paraId="3BD1D6A6"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1FEEE1E" w14:textId="77777777" w:rsidR="007D706A" w:rsidRDefault="007D706A" w:rsidP="00F70508">
            <w:pPr>
              <w:pStyle w:val="ParagraphStyle4"/>
              <w:rPr>
                <w:rStyle w:val="CharacterStyle4"/>
              </w:rPr>
            </w:pPr>
            <w:r>
              <w:rPr>
                <w:rStyle w:val="CharacterStyle4"/>
              </w:rPr>
              <w:t>Aktivnost AA103407</w:t>
            </w:r>
          </w:p>
        </w:tc>
        <w:tc>
          <w:tcPr>
            <w:tcW w:w="4995" w:type="dxa"/>
            <w:tcBorders>
              <w:bottom w:val="single" w:sz="6" w:space="0" w:color="000000"/>
              <w:right w:val="single" w:sz="6" w:space="0" w:color="000000"/>
            </w:tcBorders>
            <w:vAlign w:val="center"/>
          </w:tcPr>
          <w:p w14:paraId="5C01F1BA" w14:textId="77777777" w:rsidR="007D706A" w:rsidRDefault="007D706A" w:rsidP="00F70508">
            <w:pPr>
              <w:pStyle w:val="ParagraphStyle5"/>
              <w:rPr>
                <w:rStyle w:val="CharacterStyle5"/>
              </w:rPr>
            </w:pPr>
            <w:r>
              <w:rPr>
                <w:rStyle w:val="CharacterStyle5"/>
              </w:rPr>
              <w:t>POVJERENSTVO ZA OCJENJIVANJE PRIJAVA</w:t>
            </w:r>
          </w:p>
        </w:tc>
        <w:tc>
          <w:tcPr>
            <w:tcW w:w="1395" w:type="dxa"/>
            <w:tcBorders>
              <w:bottom w:val="single" w:sz="6" w:space="0" w:color="000000"/>
              <w:right w:val="single" w:sz="6" w:space="0" w:color="000000"/>
            </w:tcBorders>
            <w:vAlign w:val="center"/>
          </w:tcPr>
          <w:p w14:paraId="51A35E16"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035D52F4" w14:textId="77777777" w:rsidR="007D706A" w:rsidRDefault="007D706A" w:rsidP="00F70508">
            <w:pPr>
              <w:pStyle w:val="ParagraphStyle6"/>
              <w:rPr>
                <w:rStyle w:val="CharacterStyle6"/>
              </w:rPr>
            </w:pPr>
            <w:r>
              <w:rPr>
                <w:rStyle w:val="CharacterStyle6"/>
              </w:rPr>
              <w:t>250,00</w:t>
            </w:r>
          </w:p>
        </w:tc>
        <w:tc>
          <w:tcPr>
            <w:tcW w:w="1395" w:type="dxa"/>
            <w:tcBorders>
              <w:bottom w:val="single" w:sz="6" w:space="0" w:color="000000"/>
              <w:right w:val="single" w:sz="6" w:space="0" w:color="000000"/>
            </w:tcBorders>
            <w:vAlign w:val="center"/>
          </w:tcPr>
          <w:p w14:paraId="2E440FC4" w14:textId="77777777" w:rsidR="007D706A" w:rsidRDefault="007D706A" w:rsidP="00F70508">
            <w:pPr>
              <w:pStyle w:val="ParagraphStyle6"/>
              <w:rPr>
                <w:rStyle w:val="CharacterStyle6"/>
              </w:rPr>
            </w:pPr>
            <w:r>
              <w:rPr>
                <w:rStyle w:val="CharacterStyle6"/>
              </w:rPr>
              <w:t>250,00</w:t>
            </w:r>
          </w:p>
        </w:tc>
        <w:tc>
          <w:tcPr>
            <w:tcW w:w="1395" w:type="dxa"/>
            <w:tcBorders>
              <w:bottom w:val="single" w:sz="6" w:space="0" w:color="000000"/>
              <w:right w:val="single" w:sz="6" w:space="0" w:color="000000"/>
            </w:tcBorders>
            <w:vAlign w:val="center"/>
          </w:tcPr>
          <w:p w14:paraId="041DA3BB" w14:textId="77777777" w:rsidR="007D706A" w:rsidRDefault="007D706A" w:rsidP="00F70508">
            <w:pPr>
              <w:pStyle w:val="ParagraphStyle6"/>
              <w:rPr>
                <w:rStyle w:val="CharacterStyle6"/>
              </w:rPr>
            </w:pPr>
            <w:r>
              <w:rPr>
                <w:rStyle w:val="CharacterStyle6"/>
              </w:rPr>
              <w:t>300,00</w:t>
            </w:r>
          </w:p>
        </w:tc>
        <w:tc>
          <w:tcPr>
            <w:tcW w:w="1395" w:type="dxa"/>
            <w:tcBorders>
              <w:bottom w:val="single" w:sz="6" w:space="0" w:color="000000"/>
              <w:right w:val="single" w:sz="6" w:space="0" w:color="000000"/>
            </w:tcBorders>
            <w:vAlign w:val="center"/>
          </w:tcPr>
          <w:p w14:paraId="001EE207" w14:textId="77777777" w:rsidR="007D706A" w:rsidRDefault="007D706A" w:rsidP="00F70508">
            <w:pPr>
              <w:pStyle w:val="ParagraphStyle6"/>
              <w:rPr>
                <w:rStyle w:val="CharacterStyle6"/>
              </w:rPr>
            </w:pPr>
            <w:r>
              <w:rPr>
                <w:rStyle w:val="CharacterStyle6"/>
              </w:rPr>
              <w:t>300,00</w:t>
            </w:r>
          </w:p>
        </w:tc>
      </w:tr>
      <w:tr w:rsidR="007D706A" w14:paraId="0AF1D25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C24694E"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1BE8DD1C"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4F7733BE"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B08DF2F" w14:textId="77777777" w:rsidR="007D706A" w:rsidRDefault="007D706A" w:rsidP="00F70508">
            <w:pPr>
              <w:pStyle w:val="ParagraphStyle9"/>
              <w:rPr>
                <w:rStyle w:val="CharacterStyle9"/>
              </w:rPr>
            </w:pPr>
            <w:r>
              <w:rPr>
                <w:rStyle w:val="CharacterStyle9"/>
              </w:rPr>
              <w:t>250,00</w:t>
            </w:r>
          </w:p>
        </w:tc>
        <w:tc>
          <w:tcPr>
            <w:tcW w:w="1395" w:type="dxa"/>
            <w:tcBorders>
              <w:bottom w:val="single" w:sz="6" w:space="0" w:color="000000"/>
              <w:right w:val="single" w:sz="6" w:space="0" w:color="000000"/>
            </w:tcBorders>
            <w:vAlign w:val="center"/>
          </w:tcPr>
          <w:p w14:paraId="0E66DBC7" w14:textId="77777777" w:rsidR="007D706A" w:rsidRDefault="007D706A" w:rsidP="00F70508">
            <w:pPr>
              <w:pStyle w:val="ParagraphStyle9"/>
              <w:rPr>
                <w:rStyle w:val="CharacterStyle9"/>
              </w:rPr>
            </w:pPr>
            <w:r>
              <w:rPr>
                <w:rStyle w:val="CharacterStyle9"/>
              </w:rPr>
              <w:t>250,00</w:t>
            </w:r>
          </w:p>
        </w:tc>
        <w:tc>
          <w:tcPr>
            <w:tcW w:w="1395" w:type="dxa"/>
            <w:tcBorders>
              <w:bottom w:val="single" w:sz="6" w:space="0" w:color="000000"/>
              <w:right w:val="single" w:sz="6" w:space="0" w:color="000000"/>
            </w:tcBorders>
            <w:vAlign w:val="center"/>
          </w:tcPr>
          <w:p w14:paraId="1B0A22A2" w14:textId="77777777" w:rsidR="007D706A" w:rsidRDefault="007D706A" w:rsidP="00F70508">
            <w:pPr>
              <w:pStyle w:val="ParagraphStyle9"/>
              <w:rPr>
                <w:rStyle w:val="CharacterStyle9"/>
              </w:rPr>
            </w:pPr>
            <w:r>
              <w:rPr>
                <w:rStyle w:val="CharacterStyle9"/>
              </w:rPr>
              <w:t>300,00</w:t>
            </w:r>
          </w:p>
        </w:tc>
        <w:tc>
          <w:tcPr>
            <w:tcW w:w="1395" w:type="dxa"/>
            <w:tcBorders>
              <w:bottom w:val="single" w:sz="6" w:space="0" w:color="000000"/>
              <w:right w:val="single" w:sz="6" w:space="0" w:color="000000"/>
            </w:tcBorders>
            <w:vAlign w:val="center"/>
          </w:tcPr>
          <w:p w14:paraId="6EDF634F" w14:textId="77777777" w:rsidR="007D706A" w:rsidRDefault="007D706A" w:rsidP="00F70508">
            <w:pPr>
              <w:pStyle w:val="ParagraphStyle9"/>
              <w:rPr>
                <w:rStyle w:val="CharacterStyle9"/>
              </w:rPr>
            </w:pPr>
            <w:r>
              <w:rPr>
                <w:rStyle w:val="CharacterStyle9"/>
              </w:rPr>
              <w:t>300,00</w:t>
            </w:r>
          </w:p>
        </w:tc>
      </w:tr>
      <w:tr w:rsidR="007D706A" w14:paraId="2F1CD7C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A1E811B"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7F4BE988"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1E4B090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FA55C48" w14:textId="77777777" w:rsidR="007D706A" w:rsidRDefault="007D706A" w:rsidP="00F70508">
            <w:pPr>
              <w:pStyle w:val="ParagraphStyle12"/>
              <w:rPr>
                <w:rStyle w:val="CharacterStyle12"/>
              </w:rPr>
            </w:pPr>
            <w:r>
              <w:rPr>
                <w:rStyle w:val="CharacterStyle12"/>
              </w:rPr>
              <w:t>250,00</w:t>
            </w:r>
          </w:p>
        </w:tc>
        <w:tc>
          <w:tcPr>
            <w:tcW w:w="1395" w:type="dxa"/>
            <w:tcBorders>
              <w:bottom w:val="single" w:sz="6" w:space="0" w:color="000000"/>
              <w:right w:val="single" w:sz="6" w:space="0" w:color="000000"/>
            </w:tcBorders>
            <w:vAlign w:val="center"/>
          </w:tcPr>
          <w:p w14:paraId="45D205BB" w14:textId="77777777" w:rsidR="007D706A" w:rsidRDefault="007D706A" w:rsidP="00F70508">
            <w:pPr>
              <w:pStyle w:val="ParagraphStyle12"/>
              <w:rPr>
                <w:rStyle w:val="CharacterStyle12"/>
              </w:rPr>
            </w:pPr>
            <w:r>
              <w:rPr>
                <w:rStyle w:val="CharacterStyle12"/>
              </w:rPr>
              <w:t>250,00</w:t>
            </w:r>
          </w:p>
        </w:tc>
        <w:tc>
          <w:tcPr>
            <w:tcW w:w="1395" w:type="dxa"/>
            <w:tcBorders>
              <w:bottom w:val="single" w:sz="6" w:space="0" w:color="000000"/>
              <w:right w:val="single" w:sz="6" w:space="0" w:color="000000"/>
            </w:tcBorders>
            <w:vAlign w:val="center"/>
          </w:tcPr>
          <w:p w14:paraId="2532AD07" w14:textId="77777777" w:rsidR="007D706A" w:rsidRDefault="007D706A" w:rsidP="00F70508">
            <w:pPr>
              <w:pStyle w:val="ParagraphStyle12"/>
              <w:rPr>
                <w:rStyle w:val="CharacterStyle12"/>
              </w:rPr>
            </w:pPr>
            <w:r>
              <w:rPr>
                <w:rStyle w:val="CharacterStyle12"/>
              </w:rPr>
              <w:t>300,00</w:t>
            </w:r>
          </w:p>
        </w:tc>
        <w:tc>
          <w:tcPr>
            <w:tcW w:w="1395" w:type="dxa"/>
            <w:tcBorders>
              <w:bottom w:val="single" w:sz="6" w:space="0" w:color="000000"/>
              <w:right w:val="single" w:sz="6" w:space="0" w:color="000000"/>
            </w:tcBorders>
            <w:vAlign w:val="center"/>
          </w:tcPr>
          <w:p w14:paraId="2424B412" w14:textId="77777777" w:rsidR="007D706A" w:rsidRDefault="007D706A" w:rsidP="00F70508">
            <w:pPr>
              <w:pStyle w:val="ParagraphStyle12"/>
              <w:rPr>
                <w:rStyle w:val="CharacterStyle12"/>
              </w:rPr>
            </w:pPr>
            <w:r>
              <w:rPr>
                <w:rStyle w:val="CharacterStyle12"/>
              </w:rPr>
              <w:t>300,00</w:t>
            </w:r>
          </w:p>
        </w:tc>
      </w:tr>
      <w:tr w:rsidR="007D706A" w14:paraId="4EDC86D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08FB555"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242C39E6"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4FB5F2F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237AF5D" w14:textId="77777777" w:rsidR="007D706A" w:rsidRDefault="007D706A" w:rsidP="00F70508">
            <w:pPr>
              <w:pStyle w:val="ParagraphStyle12"/>
              <w:rPr>
                <w:rStyle w:val="CharacterStyle12"/>
              </w:rPr>
            </w:pPr>
            <w:r>
              <w:rPr>
                <w:rStyle w:val="CharacterStyle12"/>
              </w:rPr>
              <w:t>250,00</w:t>
            </w:r>
          </w:p>
        </w:tc>
        <w:tc>
          <w:tcPr>
            <w:tcW w:w="1395" w:type="dxa"/>
            <w:tcBorders>
              <w:bottom w:val="single" w:sz="6" w:space="0" w:color="000000"/>
              <w:right w:val="single" w:sz="6" w:space="0" w:color="000000"/>
            </w:tcBorders>
            <w:vAlign w:val="center"/>
          </w:tcPr>
          <w:p w14:paraId="7D4F3DAD" w14:textId="77777777" w:rsidR="007D706A" w:rsidRDefault="007D706A" w:rsidP="00F70508">
            <w:pPr>
              <w:pStyle w:val="ParagraphStyle12"/>
              <w:rPr>
                <w:rStyle w:val="CharacterStyle12"/>
              </w:rPr>
            </w:pPr>
            <w:r>
              <w:rPr>
                <w:rStyle w:val="CharacterStyle12"/>
              </w:rPr>
              <w:t>250,00</w:t>
            </w:r>
          </w:p>
        </w:tc>
        <w:tc>
          <w:tcPr>
            <w:tcW w:w="1395" w:type="dxa"/>
            <w:tcBorders>
              <w:bottom w:val="single" w:sz="6" w:space="0" w:color="000000"/>
              <w:right w:val="single" w:sz="6" w:space="0" w:color="000000"/>
            </w:tcBorders>
            <w:vAlign w:val="center"/>
          </w:tcPr>
          <w:p w14:paraId="63FE0D35" w14:textId="77777777" w:rsidR="007D706A" w:rsidRDefault="007D706A" w:rsidP="00F70508">
            <w:pPr>
              <w:pStyle w:val="ParagraphStyle12"/>
              <w:rPr>
                <w:rStyle w:val="CharacterStyle12"/>
              </w:rPr>
            </w:pPr>
            <w:r>
              <w:rPr>
                <w:rStyle w:val="CharacterStyle12"/>
              </w:rPr>
              <w:t>300,00</w:t>
            </w:r>
          </w:p>
        </w:tc>
        <w:tc>
          <w:tcPr>
            <w:tcW w:w="1395" w:type="dxa"/>
            <w:tcBorders>
              <w:bottom w:val="single" w:sz="6" w:space="0" w:color="000000"/>
              <w:right w:val="single" w:sz="6" w:space="0" w:color="000000"/>
            </w:tcBorders>
            <w:vAlign w:val="center"/>
          </w:tcPr>
          <w:p w14:paraId="244D91BB" w14:textId="77777777" w:rsidR="007D706A" w:rsidRDefault="007D706A" w:rsidP="00F70508">
            <w:pPr>
              <w:pStyle w:val="ParagraphStyle12"/>
              <w:rPr>
                <w:rStyle w:val="CharacterStyle12"/>
              </w:rPr>
            </w:pPr>
            <w:r>
              <w:rPr>
                <w:rStyle w:val="CharacterStyle12"/>
              </w:rPr>
              <w:t>300,00</w:t>
            </w:r>
          </w:p>
        </w:tc>
      </w:tr>
      <w:tr w:rsidR="007D706A" w14:paraId="1E6B206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D2E43D1" w14:textId="77777777" w:rsidR="007D706A" w:rsidRDefault="007D706A" w:rsidP="00F70508">
            <w:pPr>
              <w:pStyle w:val="ParagraphStyle4"/>
              <w:rPr>
                <w:rStyle w:val="CharacterStyle4"/>
              </w:rPr>
            </w:pPr>
            <w:r>
              <w:rPr>
                <w:rStyle w:val="CharacterStyle4"/>
              </w:rPr>
              <w:t>PROGRAM    1025</w:t>
            </w:r>
          </w:p>
        </w:tc>
        <w:tc>
          <w:tcPr>
            <w:tcW w:w="4995" w:type="dxa"/>
            <w:tcBorders>
              <w:bottom w:val="single" w:sz="6" w:space="0" w:color="000000"/>
              <w:right w:val="single" w:sz="6" w:space="0" w:color="000000"/>
            </w:tcBorders>
            <w:vAlign w:val="center"/>
          </w:tcPr>
          <w:p w14:paraId="72EC94F8" w14:textId="77777777" w:rsidR="007D706A" w:rsidRDefault="007D706A" w:rsidP="00F70508">
            <w:pPr>
              <w:pStyle w:val="ParagraphStyle5"/>
              <w:rPr>
                <w:rStyle w:val="CharacterStyle5"/>
              </w:rPr>
            </w:pPr>
            <w:r>
              <w:rPr>
                <w:rStyle w:val="CharacterStyle5"/>
              </w:rPr>
              <w:t>OPĆE JAVNE POTREBE U PREDŠKOLSTVU</w:t>
            </w:r>
          </w:p>
        </w:tc>
        <w:tc>
          <w:tcPr>
            <w:tcW w:w="1395" w:type="dxa"/>
            <w:tcBorders>
              <w:bottom w:val="single" w:sz="6" w:space="0" w:color="000000"/>
              <w:right w:val="single" w:sz="6" w:space="0" w:color="000000"/>
            </w:tcBorders>
            <w:vAlign w:val="center"/>
          </w:tcPr>
          <w:p w14:paraId="791BEB98"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3F2A3003" w14:textId="77777777" w:rsidR="007D706A" w:rsidRDefault="007D706A" w:rsidP="00F70508">
            <w:pPr>
              <w:pStyle w:val="ParagraphStyle6"/>
              <w:rPr>
                <w:rStyle w:val="CharacterStyle6"/>
              </w:rPr>
            </w:pPr>
            <w:r>
              <w:rPr>
                <w:rStyle w:val="CharacterStyle6"/>
              </w:rPr>
              <w:t>56.800,00</w:t>
            </w:r>
          </w:p>
        </w:tc>
        <w:tc>
          <w:tcPr>
            <w:tcW w:w="1395" w:type="dxa"/>
            <w:tcBorders>
              <w:bottom w:val="single" w:sz="6" w:space="0" w:color="000000"/>
              <w:right w:val="single" w:sz="6" w:space="0" w:color="000000"/>
            </w:tcBorders>
            <w:vAlign w:val="center"/>
          </w:tcPr>
          <w:p w14:paraId="5080BE6D" w14:textId="77777777" w:rsidR="007D706A" w:rsidRDefault="007D706A" w:rsidP="00F70508">
            <w:pPr>
              <w:pStyle w:val="ParagraphStyle6"/>
              <w:rPr>
                <w:rStyle w:val="CharacterStyle6"/>
              </w:rPr>
            </w:pPr>
            <w:r>
              <w:rPr>
                <w:rStyle w:val="CharacterStyle6"/>
              </w:rPr>
              <w:t>57.000,00</w:t>
            </w:r>
          </w:p>
        </w:tc>
        <w:tc>
          <w:tcPr>
            <w:tcW w:w="1395" w:type="dxa"/>
            <w:tcBorders>
              <w:bottom w:val="single" w:sz="6" w:space="0" w:color="000000"/>
              <w:right w:val="single" w:sz="6" w:space="0" w:color="000000"/>
            </w:tcBorders>
            <w:vAlign w:val="center"/>
          </w:tcPr>
          <w:p w14:paraId="7616458B" w14:textId="77777777" w:rsidR="007D706A" w:rsidRDefault="007D706A" w:rsidP="00F70508">
            <w:pPr>
              <w:pStyle w:val="ParagraphStyle6"/>
              <w:rPr>
                <w:rStyle w:val="CharacterStyle6"/>
              </w:rPr>
            </w:pPr>
            <w:r>
              <w:rPr>
                <w:rStyle w:val="CharacterStyle6"/>
              </w:rPr>
              <w:t>62.000,00</w:t>
            </w:r>
          </w:p>
        </w:tc>
        <w:tc>
          <w:tcPr>
            <w:tcW w:w="1395" w:type="dxa"/>
            <w:tcBorders>
              <w:bottom w:val="single" w:sz="6" w:space="0" w:color="000000"/>
              <w:right w:val="single" w:sz="6" w:space="0" w:color="000000"/>
            </w:tcBorders>
            <w:vAlign w:val="center"/>
          </w:tcPr>
          <w:p w14:paraId="4F76DF8E" w14:textId="77777777" w:rsidR="007D706A" w:rsidRDefault="007D706A" w:rsidP="00F70508">
            <w:pPr>
              <w:pStyle w:val="ParagraphStyle6"/>
              <w:rPr>
                <w:rStyle w:val="CharacterStyle6"/>
              </w:rPr>
            </w:pPr>
            <w:r>
              <w:rPr>
                <w:rStyle w:val="CharacterStyle6"/>
              </w:rPr>
              <w:t>66.000,00</w:t>
            </w:r>
          </w:p>
        </w:tc>
      </w:tr>
      <w:tr w:rsidR="007D706A" w14:paraId="2F752BE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EC60242" w14:textId="77777777" w:rsidR="007D706A" w:rsidRDefault="007D706A" w:rsidP="00F70508">
            <w:pPr>
              <w:pStyle w:val="ParagraphStyle4"/>
              <w:rPr>
                <w:rStyle w:val="CharacterStyle4"/>
              </w:rPr>
            </w:pPr>
            <w:r>
              <w:rPr>
                <w:rStyle w:val="CharacterStyle4"/>
              </w:rPr>
              <w:t>Aktivnost A102501</w:t>
            </w:r>
          </w:p>
        </w:tc>
        <w:tc>
          <w:tcPr>
            <w:tcW w:w="4995" w:type="dxa"/>
            <w:tcBorders>
              <w:bottom w:val="single" w:sz="6" w:space="0" w:color="000000"/>
              <w:right w:val="single" w:sz="6" w:space="0" w:color="000000"/>
            </w:tcBorders>
            <w:vAlign w:val="center"/>
          </w:tcPr>
          <w:p w14:paraId="5D51495C" w14:textId="77777777" w:rsidR="007D706A" w:rsidRDefault="007D706A" w:rsidP="00F70508">
            <w:pPr>
              <w:pStyle w:val="ParagraphStyle5"/>
              <w:rPr>
                <w:rStyle w:val="CharacterStyle5"/>
              </w:rPr>
            </w:pPr>
            <w:r>
              <w:rPr>
                <w:rStyle w:val="CharacterStyle5"/>
              </w:rPr>
              <w:t>ODGOJNO-OBRAZOVNE AKTIVNOSTI</w:t>
            </w:r>
          </w:p>
        </w:tc>
        <w:tc>
          <w:tcPr>
            <w:tcW w:w="1395" w:type="dxa"/>
            <w:tcBorders>
              <w:bottom w:val="single" w:sz="6" w:space="0" w:color="000000"/>
              <w:right w:val="single" w:sz="6" w:space="0" w:color="000000"/>
            </w:tcBorders>
            <w:vAlign w:val="center"/>
          </w:tcPr>
          <w:p w14:paraId="12782EC8"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27A778C3" w14:textId="77777777" w:rsidR="007D706A" w:rsidRDefault="007D706A" w:rsidP="00F70508">
            <w:pPr>
              <w:pStyle w:val="ParagraphStyle6"/>
              <w:rPr>
                <w:rStyle w:val="CharacterStyle6"/>
              </w:rPr>
            </w:pPr>
            <w:r>
              <w:rPr>
                <w:rStyle w:val="CharacterStyle6"/>
              </w:rPr>
              <w:t>5.000,00</w:t>
            </w:r>
          </w:p>
        </w:tc>
        <w:tc>
          <w:tcPr>
            <w:tcW w:w="1395" w:type="dxa"/>
            <w:tcBorders>
              <w:bottom w:val="single" w:sz="6" w:space="0" w:color="000000"/>
              <w:right w:val="single" w:sz="6" w:space="0" w:color="000000"/>
            </w:tcBorders>
            <w:vAlign w:val="center"/>
          </w:tcPr>
          <w:p w14:paraId="5ED09CF7" w14:textId="77777777" w:rsidR="007D706A" w:rsidRDefault="007D706A" w:rsidP="00F70508">
            <w:pPr>
              <w:pStyle w:val="ParagraphStyle6"/>
              <w:rPr>
                <w:rStyle w:val="CharacterStyle6"/>
              </w:rPr>
            </w:pPr>
            <w:r>
              <w:rPr>
                <w:rStyle w:val="CharacterStyle6"/>
              </w:rPr>
              <w:t>5.000,00</w:t>
            </w:r>
          </w:p>
        </w:tc>
        <w:tc>
          <w:tcPr>
            <w:tcW w:w="1395" w:type="dxa"/>
            <w:tcBorders>
              <w:bottom w:val="single" w:sz="6" w:space="0" w:color="000000"/>
              <w:right w:val="single" w:sz="6" w:space="0" w:color="000000"/>
            </w:tcBorders>
            <w:vAlign w:val="center"/>
          </w:tcPr>
          <w:p w14:paraId="04229E8E" w14:textId="77777777" w:rsidR="007D706A" w:rsidRDefault="007D706A" w:rsidP="00F70508">
            <w:pPr>
              <w:pStyle w:val="ParagraphStyle6"/>
              <w:rPr>
                <w:rStyle w:val="CharacterStyle6"/>
              </w:rPr>
            </w:pPr>
            <w:r>
              <w:rPr>
                <w:rStyle w:val="CharacterStyle6"/>
              </w:rPr>
              <w:t>6.000,00</w:t>
            </w:r>
          </w:p>
        </w:tc>
        <w:tc>
          <w:tcPr>
            <w:tcW w:w="1395" w:type="dxa"/>
            <w:tcBorders>
              <w:bottom w:val="single" w:sz="6" w:space="0" w:color="000000"/>
              <w:right w:val="single" w:sz="6" w:space="0" w:color="000000"/>
            </w:tcBorders>
            <w:vAlign w:val="center"/>
          </w:tcPr>
          <w:p w14:paraId="3F295380" w14:textId="77777777" w:rsidR="007D706A" w:rsidRDefault="007D706A" w:rsidP="00F70508">
            <w:pPr>
              <w:pStyle w:val="ParagraphStyle6"/>
              <w:rPr>
                <w:rStyle w:val="CharacterStyle6"/>
              </w:rPr>
            </w:pPr>
            <w:r>
              <w:rPr>
                <w:rStyle w:val="CharacterStyle6"/>
              </w:rPr>
              <w:t>7.000,00</w:t>
            </w:r>
          </w:p>
        </w:tc>
      </w:tr>
      <w:tr w:rsidR="007D706A" w14:paraId="443CA77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D21B43A"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510BEC36"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5171B6F9"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28542C1" w14:textId="77777777" w:rsidR="007D706A" w:rsidRDefault="007D706A" w:rsidP="00F70508">
            <w:pPr>
              <w:pStyle w:val="ParagraphStyle9"/>
              <w:rPr>
                <w:rStyle w:val="CharacterStyle9"/>
              </w:rPr>
            </w:pPr>
            <w:r>
              <w:rPr>
                <w:rStyle w:val="CharacterStyle9"/>
              </w:rPr>
              <w:t>5.000,00</w:t>
            </w:r>
          </w:p>
        </w:tc>
        <w:tc>
          <w:tcPr>
            <w:tcW w:w="1395" w:type="dxa"/>
            <w:tcBorders>
              <w:bottom w:val="single" w:sz="6" w:space="0" w:color="000000"/>
              <w:right w:val="single" w:sz="6" w:space="0" w:color="000000"/>
            </w:tcBorders>
            <w:vAlign w:val="center"/>
          </w:tcPr>
          <w:p w14:paraId="1D5EA6DB" w14:textId="77777777" w:rsidR="007D706A" w:rsidRDefault="007D706A" w:rsidP="00F70508">
            <w:pPr>
              <w:pStyle w:val="ParagraphStyle9"/>
              <w:rPr>
                <w:rStyle w:val="CharacterStyle9"/>
              </w:rPr>
            </w:pPr>
            <w:r>
              <w:rPr>
                <w:rStyle w:val="CharacterStyle9"/>
              </w:rPr>
              <w:t>5.000,00</w:t>
            </w:r>
          </w:p>
        </w:tc>
        <w:tc>
          <w:tcPr>
            <w:tcW w:w="1395" w:type="dxa"/>
            <w:tcBorders>
              <w:bottom w:val="single" w:sz="6" w:space="0" w:color="000000"/>
              <w:right w:val="single" w:sz="6" w:space="0" w:color="000000"/>
            </w:tcBorders>
            <w:vAlign w:val="center"/>
          </w:tcPr>
          <w:p w14:paraId="5333D0A3" w14:textId="77777777" w:rsidR="007D706A" w:rsidRDefault="007D706A" w:rsidP="00F70508">
            <w:pPr>
              <w:pStyle w:val="ParagraphStyle9"/>
              <w:rPr>
                <w:rStyle w:val="CharacterStyle9"/>
              </w:rPr>
            </w:pPr>
            <w:r>
              <w:rPr>
                <w:rStyle w:val="CharacterStyle9"/>
              </w:rPr>
              <w:t>6.000,00</w:t>
            </w:r>
          </w:p>
        </w:tc>
        <w:tc>
          <w:tcPr>
            <w:tcW w:w="1395" w:type="dxa"/>
            <w:tcBorders>
              <w:bottom w:val="single" w:sz="6" w:space="0" w:color="000000"/>
              <w:right w:val="single" w:sz="6" w:space="0" w:color="000000"/>
            </w:tcBorders>
            <w:vAlign w:val="center"/>
          </w:tcPr>
          <w:p w14:paraId="05D7D615" w14:textId="77777777" w:rsidR="007D706A" w:rsidRDefault="007D706A" w:rsidP="00F70508">
            <w:pPr>
              <w:pStyle w:val="ParagraphStyle9"/>
              <w:rPr>
                <w:rStyle w:val="CharacterStyle9"/>
              </w:rPr>
            </w:pPr>
            <w:r>
              <w:rPr>
                <w:rStyle w:val="CharacterStyle9"/>
              </w:rPr>
              <w:t>7.000,00</w:t>
            </w:r>
          </w:p>
        </w:tc>
      </w:tr>
      <w:tr w:rsidR="007D706A" w14:paraId="04234456"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5F05C49"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51114C3D"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1FA6935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46EEF2E" w14:textId="77777777" w:rsidR="007D706A" w:rsidRDefault="007D706A" w:rsidP="00F70508">
            <w:pPr>
              <w:pStyle w:val="ParagraphStyle12"/>
              <w:rPr>
                <w:rStyle w:val="CharacterStyle12"/>
              </w:rPr>
            </w:pPr>
            <w:r>
              <w:rPr>
                <w:rStyle w:val="CharacterStyle12"/>
              </w:rPr>
              <w:t>5.000,00</w:t>
            </w:r>
          </w:p>
        </w:tc>
        <w:tc>
          <w:tcPr>
            <w:tcW w:w="1395" w:type="dxa"/>
            <w:tcBorders>
              <w:bottom w:val="single" w:sz="6" w:space="0" w:color="000000"/>
              <w:right w:val="single" w:sz="6" w:space="0" w:color="000000"/>
            </w:tcBorders>
            <w:vAlign w:val="center"/>
          </w:tcPr>
          <w:p w14:paraId="3EDAA69B" w14:textId="77777777" w:rsidR="007D706A" w:rsidRDefault="007D706A" w:rsidP="00F70508">
            <w:pPr>
              <w:pStyle w:val="ParagraphStyle12"/>
              <w:rPr>
                <w:rStyle w:val="CharacterStyle12"/>
              </w:rPr>
            </w:pPr>
            <w:r>
              <w:rPr>
                <w:rStyle w:val="CharacterStyle12"/>
              </w:rPr>
              <w:t>5.000,00</w:t>
            </w:r>
          </w:p>
        </w:tc>
        <w:tc>
          <w:tcPr>
            <w:tcW w:w="1395" w:type="dxa"/>
            <w:tcBorders>
              <w:bottom w:val="single" w:sz="6" w:space="0" w:color="000000"/>
              <w:right w:val="single" w:sz="6" w:space="0" w:color="000000"/>
            </w:tcBorders>
            <w:vAlign w:val="center"/>
          </w:tcPr>
          <w:p w14:paraId="65365B8D" w14:textId="77777777" w:rsidR="007D706A" w:rsidRDefault="007D706A" w:rsidP="00F70508">
            <w:pPr>
              <w:pStyle w:val="ParagraphStyle12"/>
              <w:rPr>
                <w:rStyle w:val="CharacterStyle12"/>
              </w:rPr>
            </w:pPr>
            <w:r>
              <w:rPr>
                <w:rStyle w:val="CharacterStyle12"/>
              </w:rPr>
              <w:t>6.000,00</w:t>
            </w:r>
          </w:p>
        </w:tc>
        <w:tc>
          <w:tcPr>
            <w:tcW w:w="1395" w:type="dxa"/>
            <w:tcBorders>
              <w:bottom w:val="single" w:sz="6" w:space="0" w:color="000000"/>
              <w:right w:val="single" w:sz="6" w:space="0" w:color="000000"/>
            </w:tcBorders>
            <w:vAlign w:val="center"/>
          </w:tcPr>
          <w:p w14:paraId="716328DB" w14:textId="77777777" w:rsidR="007D706A" w:rsidRDefault="007D706A" w:rsidP="00F70508">
            <w:pPr>
              <w:pStyle w:val="ParagraphStyle12"/>
              <w:rPr>
                <w:rStyle w:val="CharacterStyle12"/>
              </w:rPr>
            </w:pPr>
            <w:r>
              <w:rPr>
                <w:rStyle w:val="CharacterStyle12"/>
              </w:rPr>
              <w:t>7.000,00</w:t>
            </w:r>
          </w:p>
        </w:tc>
      </w:tr>
      <w:tr w:rsidR="007D706A" w14:paraId="4114B2C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8014493"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43B0911F"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67BC244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7C9C091" w14:textId="77777777" w:rsidR="007D706A" w:rsidRDefault="007D706A" w:rsidP="00F70508">
            <w:pPr>
              <w:pStyle w:val="ParagraphStyle12"/>
              <w:rPr>
                <w:rStyle w:val="CharacterStyle12"/>
              </w:rPr>
            </w:pPr>
            <w:r>
              <w:rPr>
                <w:rStyle w:val="CharacterStyle12"/>
              </w:rPr>
              <w:t>5.000,00</w:t>
            </w:r>
          </w:p>
        </w:tc>
        <w:tc>
          <w:tcPr>
            <w:tcW w:w="1395" w:type="dxa"/>
            <w:tcBorders>
              <w:bottom w:val="single" w:sz="6" w:space="0" w:color="000000"/>
              <w:right w:val="single" w:sz="6" w:space="0" w:color="000000"/>
            </w:tcBorders>
            <w:vAlign w:val="center"/>
          </w:tcPr>
          <w:p w14:paraId="51ED5AA8" w14:textId="77777777" w:rsidR="007D706A" w:rsidRDefault="007D706A" w:rsidP="00F70508">
            <w:pPr>
              <w:pStyle w:val="ParagraphStyle12"/>
              <w:rPr>
                <w:rStyle w:val="CharacterStyle12"/>
              </w:rPr>
            </w:pPr>
            <w:r>
              <w:rPr>
                <w:rStyle w:val="CharacterStyle12"/>
              </w:rPr>
              <w:t>5.000,00</w:t>
            </w:r>
          </w:p>
        </w:tc>
        <w:tc>
          <w:tcPr>
            <w:tcW w:w="1395" w:type="dxa"/>
            <w:tcBorders>
              <w:bottom w:val="single" w:sz="6" w:space="0" w:color="000000"/>
              <w:right w:val="single" w:sz="6" w:space="0" w:color="000000"/>
            </w:tcBorders>
            <w:vAlign w:val="center"/>
          </w:tcPr>
          <w:p w14:paraId="19BBD306" w14:textId="77777777" w:rsidR="007D706A" w:rsidRDefault="007D706A" w:rsidP="00F70508">
            <w:pPr>
              <w:pStyle w:val="ParagraphStyle12"/>
              <w:rPr>
                <w:rStyle w:val="CharacterStyle12"/>
              </w:rPr>
            </w:pPr>
            <w:r>
              <w:rPr>
                <w:rStyle w:val="CharacterStyle12"/>
              </w:rPr>
              <w:t>6.000,00</w:t>
            </w:r>
          </w:p>
        </w:tc>
        <w:tc>
          <w:tcPr>
            <w:tcW w:w="1395" w:type="dxa"/>
            <w:tcBorders>
              <w:bottom w:val="single" w:sz="6" w:space="0" w:color="000000"/>
              <w:right w:val="single" w:sz="6" w:space="0" w:color="000000"/>
            </w:tcBorders>
            <w:vAlign w:val="center"/>
          </w:tcPr>
          <w:p w14:paraId="559B478C" w14:textId="77777777" w:rsidR="007D706A" w:rsidRDefault="007D706A" w:rsidP="00F70508">
            <w:pPr>
              <w:pStyle w:val="ParagraphStyle12"/>
              <w:rPr>
                <w:rStyle w:val="CharacterStyle12"/>
              </w:rPr>
            </w:pPr>
            <w:r>
              <w:rPr>
                <w:rStyle w:val="CharacterStyle12"/>
              </w:rPr>
              <w:t>7.000,00</w:t>
            </w:r>
          </w:p>
        </w:tc>
      </w:tr>
      <w:tr w:rsidR="007D706A" w14:paraId="39862285" w14:textId="77777777" w:rsidTr="00F70508">
        <w:trPr>
          <w:trHeight w:val="420"/>
        </w:trPr>
        <w:tc>
          <w:tcPr>
            <w:tcW w:w="2880" w:type="dxa"/>
            <w:tcBorders>
              <w:left w:val="single" w:sz="6" w:space="0" w:color="000000"/>
              <w:bottom w:val="single" w:sz="6" w:space="0" w:color="000000"/>
              <w:right w:val="single" w:sz="6" w:space="0" w:color="000000"/>
            </w:tcBorders>
            <w:vAlign w:val="center"/>
          </w:tcPr>
          <w:p w14:paraId="521C66B8" w14:textId="77777777" w:rsidR="007D706A" w:rsidRDefault="007D706A" w:rsidP="00F70508">
            <w:pPr>
              <w:pStyle w:val="ParagraphStyle4"/>
              <w:rPr>
                <w:rStyle w:val="CharacterStyle4"/>
              </w:rPr>
            </w:pPr>
            <w:r>
              <w:rPr>
                <w:rStyle w:val="CharacterStyle4"/>
              </w:rPr>
              <w:lastRenderedPageBreak/>
              <w:t>Aktivnost A102502</w:t>
            </w:r>
          </w:p>
        </w:tc>
        <w:tc>
          <w:tcPr>
            <w:tcW w:w="4995" w:type="dxa"/>
            <w:tcBorders>
              <w:bottom w:val="single" w:sz="6" w:space="0" w:color="000000"/>
              <w:right w:val="single" w:sz="6" w:space="0" w:color="000000"/>
            </w:tcBorders>
            <w:vAlign w:val="center"/>
          </w:tcPr>
          <w:p w14:paraId="269D918A" w14:textId="77777777" w:rsidR="007D706A" w:rsidRDefault="007D706A" w:rsidP="00F70508">
            <w:pPr>
              <w:pStyle w:val="ParagraphStyle5"/>
              <w:rPr>
                <w:rStyle w:val="CharacterStyle5"/>
              </w:rPr>
            </w:pPr>
            <w:r>
              <w:rPr>
                <w:rStyle w:val="CharacterStyle5"/>
              </w:rPr>
              <w:t>OBILJEŽAVANJE DJEČJEG TJEDNA I BOŽIĆNO-NOVOGODIŠNJIH BLAGDANA</w:t>
            </w:r>
          </w:p>
        </w:tc>
        <w:tc>
          <w:tcPr>
            <w:tcW w:w="1395" w:type="dxa"/>
            <w:tcBorders>
              <w:bottom w:val="single" w:sz="6" w:space="0" w:color="000000"/>
              <w:right w:val="single" w:sz="6" w:space="0" w:color="000000"/>
            </w:tcBorders>
            <w:vAlign w:val="center"/>
          </w:tcPr>
          <w:p w14:paraId="05E515CE"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40823BEE" w14:textId="77777777" w:rsidR="007D706A" w:rsidRDefault="007D706A" w:rsidP="00F70508">
            <w:pPr>
              <w:pStyle w:val="ParagraphStyle6"/>
              <w:rPr>
                <w:rStyle w:val="CharacterStyle6"/>
              </w:rPr>
            </w:pPr>
            <w:r>
              <w:rPr>
                <w:rStyle w:val="CharacterStyle6"/>
              </w:rPr>
              <w:t>45.000,00</w:t>
            </w:r>
          </w:p>
        </w:tc>
        <w:tc>
          <w:tcPr>
            <w:tcW w:w="1395" w:type="dxa"/>
            <w:tcBorders>
              <w:bottom w:val="single" w:sz="6" w:space="0" w:color="000000"/>
              <w:right w:val="single" w:sz="6" w:space="0" w:color="000000"/>
            </w:tcBorders>
            <w:vAlign w:val="center"/>
          </w:tcPr>
          <w:p w14:paraId="5F41E6DC" w14:textId="77777777" w:rsidR="007D706A" w:rsidRDefault="007D706A" w:rsidP="00F70508">
            <w:pPr>
              <w:pStyle w:val="ParagraphStyle6"/>
              <w:rPr>
                <w:rStyle w:val="CharacterStyle6"/>
              </w:rPr>
            </w:pPr>
            <w:r>
              <w:rPr>
                <w:rStyle w:val="CharacterStyle6"/>
              </w:rPr>
              <w:t>45.000,00</w:t>
            </w:r>
          </w:p>
        </w:tc>
        <w:tc>
          <w:tcPr>
            <w:tcW w:w="1395" w:type="dxa"/>
            <w:tcBorders>
              <w:bottom w:val="single" w:sz="6" w:space="0" w:color="000000"/>
              <w:right w:val="single" w:sz="6" w:space="0" w:color="000000"/>
            </w:tcBorders>
            <w:vAlign w:val="center"/>
          </w:tcPr>
          <w:p w14:paraId="7E42781C" w14:textId="77777777" w:rsidR="007D706A" w:rsidRDefault="007D706A" w:rsidP="00F70508">
            <w:pPr>
              <w:pStyle w:val="ParagraphStyle6"/>
              <w:rPr>
                <w:rStyle w:val="CharacterStyle6"/>
              </w:rPr>
            </w:pPr>
            <w:r>
              <w:rPr>
                <w:rStyle w:val="CharacterStyle6"/>
              </w:rPr>
              <w:t>47.000,00</w:t>
            </w:r>
          </w:p>
        </w:tc>
        <w:tc>
          <w:tcPr>
            <w:tcW w:w="1395" w:type="dxa"/>
            <w:tcBorders>
              <w:bottom w:val="single" w:sz="6" w:space="0" w:color="000000"/>
              <w:right w:val="single" w:sz="6" w:space="0" w:color="000000"/>
            </w:tcBorders>
            <w:vAlign w:val="center"/>
          </w:tcPr>
          <w:p w14:paraId="5706C37B" w14:textId="77777777" w:rsidR="007D706A" w:rsidRDefault="007D706A" w:rsidP="00F70508">
            <w:pPr>
              <w:pStyle w:val="ParagraphStyle6"/>
              <w:rPr>
                <w:rStyle w:val="CharacterStyle6"/>
              </w:rPr>
            </w:pPr>
            <w:r>
              <w:rPr>
                <w:rStyle w:val="CharacterStyle6"/>
              </w:rPr>
              <w:t>49.000,00</w:t>
            </w:r>
          </w:p>
        </w:tc>
      </w:tr>
      <w:tr w:rsidR="007D706A" w14:paraId="44178F9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9E7242D"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6363C6B6"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05CB1155"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A649BDB" w14:textId="77777777" w:rsidR="007D706A" w:rsidRDefault="007D706A" w:rsidP="00F70508">
            <w:pPr>
              <w:pStyle w:val="ParagraphStyle9"/>
              <w:rPr>
                <w:rStyle w:val="CharacterStyle9"/>
              </w:rPr>
            </w:pPr>
            <w:r>
              <w:rPr>
                <w:rStyle w:val="CharacterStyle9"/>
              </w:rPr>
              <w:t>45.000,00</w:t>
            </w:r>
          </w:p>
        </w:tc>
        <w:tc>
          <w:tcPr>
            <w:tcW w:w="1395" w:type="dxa"/>
            <w:tcBorders>
              <w:bottom w:val="single" w:sz="6" w:space="0" w:color="000000"/>
              <w:right w:val="single" w:sz="6" w:space="0" w:color="000000"/>
            </w:tcBorders>
            <w:vAlign w:val="center"/>
          </w:tcPr>
          <w:p w14:paraId="60BC0051" w14:textId="77777777" w:rsidR="007D706A" w:rsidRDefault="007D706A" w:rsidP="00F70508">
            <w:pPr>
              <w:pStyle w:val="ParagraphStyle9"/>
              <w:rPr>
                <w:rStyle w:val="CharacterStyle9"/>
              </w:rPr>
            </w:pPr>
            <w:r>
              <w:rPr>
                <w:rStyle w:val="CharacterStyle9"/>
              </w:rPr>
              <w:t>45.000,00</w:t>
            </w:r>
          </w:p>
        </w:tc>
        <w:tc>
          <w:tcPr>
            <w:tcW w:w="1395" w:type="dxa"/>
            <w:tcBorders>
              <w:bottom w:val="single" w:sz="6" w:space="0" w:color="000000"/>
              <w:right w:val="single" w:sz="6" w:space="0" w:color="000000"/>
            </w:tcBorders>
            <w:vAlign w:val="center"/>
          </w:tcPr>
          <w:p w14:paraId="27650283" w14:textId="77777777" w:rsidR="007D706A" w:rsidRDefault="007D706A" w:rsidP="00F70508">
            <w:pPr>
              <w:pStyle w:val="ParagraphStyle9"/>
              <w:rPr>
                <w:rStyle w:val="CharacterStyle9"/>
              </w:rPr>
            </w:pPr>
            <w:r>
              <w:rPr>
                <w:rStyle w:val="CharacterStyle9"/>
              </w:rPr>
              <w:t>47.000,00</w:t>
            </w:r>
          </w:p>
        </w:tc>
        <w:tc>
          <w:tcPr>
            <w:tcW w:w="1395" w:type="dxa"/>
            <w:tcBorders>
              <w:bottom w:val="single" w:sz="6" w:space="0" w:color="000000"/>
              <w:right w:val="single" w:sz="6" w:space="0" w:color="000000"/>
            </w:tcBorders>
            <w:vAlign w:val="center"/>
          </w:tcPr>
          <w:p w14:paraId="691E2252" w14:textId="77777777" w:rsidR="007D706A" w:rsidRDefault="007D706A" w:rsidP="00F70508">
            <w:pPr>
              <w:pStyle w:val="ParagraphStyle9"/>
              <w:rPr>
                <w:rStyle w:val="CharacterStyle9"/>
              </w:rPr>
            </w:pPr>
            <w:r>
              <w:rPr>
                <w:rStyle w:val="CharacterStyle9"/>
              </w:rPr>
              <w:t>49.000,00</w:t>
            </w:r>
          </w:p>
        </w:tc>
      </w:tr>
      <w:tr w:rsidR="007D706A" w14:paraId="726DE1F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6ED3C1F"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6628530B"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3406A86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E778EB2" w14:textId="77777777" w:rsidR="007D706A" w:rsidRDefault="007D706A" w:rsidP="00F70508">
            <w:pPr>
              <w:pStyle w:val="ParagraphStyle12"/>
              <w:rPr>
                <w:rStyle w:val="CharacterStyle12"/>
              </w:rPr>
            </w:pPr>
            <w:r>
              <w:rPr>
                <w:rStyle w:val="CharacterStyle12"/>
              </w:rPr>
              <w:t>45.000,00</w:t>
            </w:r>
          </w:p>
        </w:tc>
        <w:tc>
          <w:tcPr>
            <w:tcW w:w="1395" w:type="dxa"/>
            <w:tcBorders>
              <w:bottom w:val="single" w:sz="6" w:space="0" w:color="000000"/>
              <w:right w:val="single" w:sz="6" w:space="0" w:color="000000"/>
            </w:tcBorders>
            <w:vAlign w:val="center"/>
          </w:tcPr>
          <w:p w14:paraId="4BAA389A" w14:textId="77777777" w:rsidR="007D706A" w:rsidRDefault="007D706A" w:rsidP="00F70508">
            <w:pPr>
              <w:pStyle w:val="ParagraphStyle12"/>
              <w:rPr>
                <w:rStyle w:val="CharacterStyle12"/>
              </w:rPr>
            </w:pPr>
            <w:r>
              <w:rPr>
                <w:rStyle w:val="CharacterStyle12"/>
              </w:rPr>
              <w:t>45.000,00</w:t>
            </w:r>
          </w:p>
        </w:tc>
        <w:tc>
          <w:tcPr>
            <w:tcW w:w="1395" w:type="dxa"/>
            <w:tcBorders>
              <w:bottom w:val="single" w:sz="6" w:space="0" w:color="000000"/>
              <w:right w:val="single" w:sz="6" w:space="0" w:color="000000"/>
            </w:tcBorders>
            <w:vAlign w:val="center"/>
          </w:tcPr>
          <w:p w14:paraId="5C4A4230" w14:textId="77777777" w:rsidR="007D706A" w:rsidRDefault="007D706A" w:rsidP="00F70508">
            <w:pPr>
              <w:pStyle w:val="ParagraphStyle12"/>
              <w:rPr>
                <w:rStyle w:val="CharacterStyle12"/>
              </w:rPr>
            </w:pPr>
            <w:r>
              <w:rPr>
                <w:rStyle w:val="CharacterStyle12"/>
              </w:rPr>
              <w:t>47.000,00</w:t>
            </w:r>
          </w:p>
        </w:tc>
        <w:tc>
          <w:tcPr>
            <w:tcW w:w="1395" w:type="dxa"/>
            <w:tcBorders>
              <w:bottom w:val="single" w:sz="6" w:space="0" w:color="000000"/>
              <w:right w:val="single" w:sz="6" w:space="0" w:color="000000"/>
            </w:tcBorders>
            <w:vAlign w:val="center"/>
          </w:tcPr>
          <w:p w14:paraId="27DA07E7" w14:textId="77777777" w:rsidR="007D706A" w:rsidRDefault="007D706A" w:rsidP="00F70508">
            <w:pPr>
              <w:pStyle w:val="ParagraphStyle12"/>
              <w:rPr>
                <w:rStyle w:val="CharacterStyle12"/>
              </w:rPr>
            </w:pPr>
            <w:r>
              <w:rPr>
                <w:rStyle w:val="CharacterStyle12"/>
              </w:rPr>
              <w:t>49.000,00</w:t>
            </w:r>
          </w:p>
        </w:tc>
      </w:tr>
      <w:tr w:rsidR="007D706A" w14:paraId="447547E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C8196CA"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1282C516"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3DCFA0A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1530154" w14:textId="77777777" w:rsidR="007D706A" w:rsidRDefault="007D706A" w:rsidP="00F70508">
            <w:pPr>
              <w:pStyle w:val="ParagraphStyle12"/>
              <w:rPr>
                <w:rStyle w:val="CharacterStyle12"/>
              </w:rPr>
            </w:pPr>
            <w:r>
              <w:rPr>
                <w:rStyle w:val="CharacterStyle12"/>
              </w:rPr>
              <w:t>45.000,00</w:t>
            </w:r>
          </w:p>
        </w:tc>
        <w:tc>
          <w:tcPr>
            <w:tcW w:w="1395" w:type="dxa"/>
            <w:tcBorders>
              <w:bottom w:val="single" w:sz="6" w:space="0" w:color="000000"/>
              <w:right w:val="single" w:sz="6" w:space="0" w:color="000000"/>
            </w:tcBorders>
            <w:vAlign w:val="center"/>
          </w:tcPr>
          <w:p w14:paraId="4866EB7A" w14:textId="77777777" w:rsidR="007D706A" w:rsidRDefault="007D706A" w:rsidP="00F70508">
            <w:pPr>
              <w:pStyle w:val="ParagraphStyle12"/>
              <w:rPr>
                <w:rStyle w:val="CharacterStyle12"/>
              </w:rPr>
            </w:pPr>
            <w:r>
              <w:rPr>
                <w:rStyle w:val="CharacterStyle12"/>
              </w:rPr>
              <w:t>45.000,00</w:t>
            </w:r>
          </w:p>
        </w:tc>
        <w:tc>
          <w:tcPr>
            <w:tcW w:w="1395" w:type="dxa"/>
            <w:tcBorders>
              <w:bottom w:val="single" w:sz="6" w:space="0" w:color="000000"/>
              <w:right w:val="single" w:sz="6" w:space="0" w:color="000000"/>
            </w:tcBorders>
            <w:vAlign w:val="center"/>
          </w:tcPr>
          <w:p w14:paraId="2F6479BE" w14:textId="77777777" w:rsidR="007D706A" w:rsidRDefault="007D706A" w:rsidP="00F70508">
            <w:pPr>
              <w:pStyle w:val="ParagraphStyle12"/>
              <w:rPr>
                <w:rStyle w:val="CharacterStyle12"/>
              </w:rPr>
            </w:pPr>
            <w:r>
              <w:rPr>
                <w:rStyle w:val="CharacterStyle12"/>
              </w:rPr>
              <w:t>47.000,00</w:t>
            </w:r>
          </w:p>
        </w:tc>
        <w:tc>
          <w:tcPr>
            <w:tcW w:w="1395" w:type="dxa"/>
            <w:tcBorders>
              <w:bottom w:val="single" w:sz="6" w:space="0" w:color="000000"/>
              <w:right w:val="single" w:sz="6" w:space="0" w:color="000000"/>
            </w:tcBorders>
            <w:vAlign w:val="center"/>
          </w:tcPr>
          <w:p w14:paraId="3C9F405F" w14:textId="77777777" w:rsidR="007D706A" w:rsidRDefault="007D706A" w:rsidP="00F70508">
            <w:pPr>
              <w:pStyle w:val="ParagraphStyle12"/>
              <w:rPr>
                <w:rStyle w:val="CharacterStyle12"/>
              </w:rPr>
            </w:pPr>
            <w:r>
              <w:rPr>
                <w:rStyle w:val="CharacterStyle12"/>
              </w:rPr>
              <w:t>49.000,00</w:t>
            </w:r>
          </w:p>
        </w:tc>
      </w:tr>
      <w:tr w:rsidR="007D706A" w14:paraId="09F2C42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253C553" w14:textId="77777777" w:rsidR="007D706A" w:rsidRDefault="007D706A" w:rsidP="00F70508">
            <w:pPr>
              <w:pStyle w:val="ParagraphStyle4"/>
              <w:rPr>
                <w:rStyle w:val="CharacterStyle4"/>
              </w:rPr>
            </w:pPr>
            <w:r>
              <w:rPr>
                <w:rStyle w:val="CharacterStyle4"/>
              </w:rPr>
              <w:t>Aktivnost A102503</w:t>
            </w:r>
          </w:p>
        </w:tc>
        <w:tc>
          <w:tcPr>
            <w:tcW w:w="4995" w:type="dxa"/>
            <w:tcBorders>
              <w:bottom w:val="single" w:sz="6" w:space="0" w:color="000000"/>
              <w:right w:val="single" w:sz="6" w:space="0" w:color="000000"/>
            </w:tcBorders>
            <w:vAlign w:val="center"/>
          </w:tcPr>
          <w:p w14:paraId="42C5F6A4" w14:textId="77777777" w:rsidR="007D706A" w:rsidRDefault="007D706A" w:rsidP="00F70508">
            <w:pPr>
              <w:pStyle w:val="ParagraphStyle5"/>
              <w:rPr>
                <w:rStyle w:val="CharacterStyle5"/>
              </w:rPr>
            </w:pPr>
            <w:r>
              <w:rPr>
                <w:rStyle w:val="CharacterStyle5"/>
              </w:rPr>
              <w:t>PROVEDBA DVOJEZIČNOSTI U PREDŠKOLŠKOM ODGOJU</w:t>
            </w:r>
          </w:p>
        </w:tc>
        <w:tc>
          <w:tcPr>
            <w:tcW w:w="1395" w:type="dxa"/>
            <w:tcBorders>
              <w:bottom w:val="single" w:sz="6" w:space="0" w:color="000000"/>
              <w:right w:val="single" w:sz="6" w:space="0" w:color="000000"/>
            </w:tcBorders>
            <w:vAlign w:val="center"/>
          </w:tcPr>
          <w:p w14:paraId="3F93C439"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22DBA5F6" w14:textId="77777777" w:rsidR="007D706A" w:rsidRDefault="007D706A" w:rsidP="00F70508">
            <w:pPr>
              <w:pStyle w:val="ParagraphStyle6"/>
              <w:rPr>
                <w:rStyle w:val="CharacterStyle6"/>
              </w:rPr>
            </w:pPr>
            <w:r>
              <w:rPr>
                <w:rStyle w:val="CharacterStyle6"/>
              </w:rPr>
              <w:t>6.800,00</w:t>
            </w:r>
          </w:p>
        </w:tc>
        <w:tc>
          <w:tcPr>
            <w:tcW w:w="1395" w:type="dxa"/>
            <w:tcBorders>
              <w:bottom w:val="single" w:sz="6" w:space="0" w:color="000000"/>
              <w:right w:val="single" w:sz="6" w:space="0" w:color="000000"/>
            </w:tcBorders>
            <w:vAlign w:val="center"/>
          </w:tcPr>
          <w:p w14:paraId="5F7A8D61" w14:textId="77777777" w:rsidR="007D706A" w:rsidRDefault="007D706A" w:rsidP="00F70508">
            <w:pPr>
              <w:pStyle w:val="ParagraphStyle6"/>
              <w:rPr>
                <w:rStyle w:val="CharacterStyle6"/>
              </w:rPr>
            </w:pPr>
            <w:r>
              <w:rPr>
                <w:rStyle w:val="CharacterStyle6"/>
              </w:rPr>
              <w:t>7.000,00</w:t>
            </w:r>
          </w:p>
        </w:tc>
        <w:tc>
          <w:tcPr>
            <w:tcW w:w="1395" w:type="dxa"/>
            <w:tcBorders>
              <w:bottom w:val="single" w:sz="6" w:space="0" w:color="000000"/>
              <w:right w:val="single" w:sz="6" w:space="0" w:color="000000"/>
            </w:tcBorders>
            <w:vAlign w:val="center"/>
          </w:tcPr>
          <w:p w14:paraId="7B8EB939" w14:textId="77777777" w:rsidR="007D706A" w:rsidRDefault="007D706A" w:rsidP="00F70508">
            <w:pPr>
              <w:pStyle w:val="ParagraphStyle6"/>
              <w:rPr>
                <w:rStyle w:val="CharacterStyle6"/>
              </w:rPr>
            </w:pPr>
            <w:r>
              <w:rPr>
                <w:rStyle w:val="CharacterStyle6"/>
              </w:rPr>
              <w:t>9.000,00</w:t>
            </w:r>
          </w:p>
        </w:tc>
        <w:tc>
          <w:tcPr>
            <w:tcW w:w="1395" w:type="dxa"/>
            <w:tcBorders>
              <w:bottom w:val="single" w:sz="6" w:space="0" w:color="000000"/>
              <w:right w:val="single" w:sz="6" w:space="0" w:color="000000"/>
            </w:tcBorders>
            <w:vAlign w:val="center"/>
          </w:tcPr>
          <w:p w14:paraId="2D64AAA2" w14:textId="77777777" w:rsidR="007D706A" w:rsidRDefault="007D706A" w:rsidP="00F70508">
            <w:pPr>
              <w:pStyle w:val="ParagraphStyle6"/>
              <w:rPr>
                <w:rStyle w:val="CharacterStyle6"/>
              </w:rPr>
            </w:pPr>
            <w:r>
              <w:rPr>
                <w:rStyle w:val="CharacterStyle6"/>
              </w:rPr>
              <w:t>10.000,00</w:t>
            </w:r>
          </w:p>
        </w:tc>
      </w:tr>
      <w:tr w:rsidR="007D706A" w14:paraId="098B703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15AA6BD"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4DBB7375"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2B491E54"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F1D59A7" w14:textId="77777777" w:rsidR="007D706A" w:rsidRDefault="007D706A" w:rsidP="00F70508">
            <w:pPr>
              <w:pStyle w:val="ParagraphStyle9"/>
              <w:rPr>
                <w:rStyle w:val="CharacterStyle9"/>
              </w:rPr>
            </w:pPr>
            <w:r>
              <w:rPr>
                <w:rStyle w:val="CharacterStyle9"/>
              </w:rPr>
              <w:t>6.800,00</w:t>
            </w:r>
          </w:p>
        </w:tc>
        <w:tc>
          <w:tcPr>
            <w:tcW w:w="1395" w:type="dxa"/>
            <w:tcBorders>
              <w:bottom w:val="single" w:sz="6" w:space="0" w:color="000000"/>
              <w:right w:val="single" w:sz="6" w:space="0" w:color="000000"/>
            </w:tcBorders>
            <w:vAlign w:val="center"/>
          </w:tcPr>
          <w:p w14:paraId="14052D0B" w14:textId="77777777" w:rsidR="007D706A" w:rsidRDefault="007D706A" w:rsidP="00F70508">
            <w:pPr>
              <w:pStyle w:val="ParagraphStyle9"/>
              <w:rPr>
                <w:rStyle w:val="CharacterStyle9"/>
              </w:rPr>
            </w:pPr>
            <w:r>
              <w:rPr>
                <w:rStyle w:val="CharacterStyle9"/>
              </w:rPr>
              <w:t>7.000,00</w:t>
            </w:r>
          </w:p>
        </w:tc>
        <w:tc>
          <w:tcPr>
            <w:tcW w:w="1395" w:type="dxa"/>
            <w:tcBorders>
              <w:bottom w:val="single" w:sz="6" w:space="0" w:color="000000"/>
              <w:right w:val="single" w:sz="6" w:space="0" w:color="000000"/>
            </w:tcBorders>
            <w:vAlign w:val="center"/>
          </w:tcPr>
          <w:p w14:paraId="259DBC84" w14:textId="77777777" w:rsidR="007D706A" w:rsidRDefault="007D706A" w:rsidP="00F70508">
            <w:pPr>
              <w:pStyle w:val="ParagraphStyle9"/>
              <w:rPr>
                <w:rStyle w:val="CharacterStyle9"/>
              </w:rPr>
            </w:pPr>
            <w:r>
              <w:rPr>
                <w:rStyle w:val="CharacterStyle9"/>
              </w:rPr>
              <w:t>9.000,00</w:t>
            </w:r>
          </w:p>
        </w:tc>
        <w:tc>
          <w:tcPr>
            <w:tcW w:w="1395" w:type="dxa"/>
            <w:tcBorders>
              <w:bottom w:val="single" w:sz="6" w:space="0" w:color="000000"/>
              <w:right w:val="single" w:sz="6" w:space="0" w:color="000000"/>
            </w:tcBorders>
            <w:vAlign w:val="center"/>
          </w:tcPr>
          <w:p w14:paraId="2F55CC4D" w14:textId="77777777" w:rsidR="007D706A" w:rsidRDefault="007D706A" w:rsidP="00F70508">
            <w:pPr>
              <w:pStyle w:val="ParagraphStyle9"/>
              <w:rPr>
                <w:rStyle w:val="CharacterStyle9"/>
              </w:rPr>
            </w:pPr>
            <w:r>
              <w:rPr>
                <w:rStyle w:val="CharacterStyle9"/>
              </w:rPr>
              <w:t>10.000,00</w:t>
            </w:r>
          </w:p>
        </w:tc>
      </w:tr>
      <w:tr w:rsidR="007D706A" w14:paraId="79BF4BF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55D3B22"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24B26DEE"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6C30107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AF55AC3" w14:textId="77777777" w:rsidR="007D706A" w:rsidRDefault="007D706A" w:rsidP="00F70508">
            <w:pPr>
              <w:pStyle w:val="ParagraphStyle12"/>
              <w:rPr>
                <w:rStyle w:val="CharacterStyle12"/>
              </w:rPr>
            </w:pPr>
            <w:r>
              <w:rPr>
                <w:rStyle w:val="CharacterStyle12"/>
              </w:rPr>
              <w:t>6.800,00</w:t>
            </w:r>
          </w:p>
        </w:tc>
        <w:tc>
          <w:tcPr>
            <w:tcW w:w="1395" w:type="dxa"/>
            <w:tcBorders>
              <w:bottom w:val="single" w:sz="6" w:space="0" w:color="000000"/>
              <w:right w:val="single" w:sz="6" w:space="0" w:color="000000"/>
            </w:tcBorders>
            <w:vAlign w:val="center"/>
          </w:tcPr>
          <w:p w14:paraId="01A7AC1B" w14:textId="77777777" w:rsidR="007D706A" w:rsidRDefault="007D706A" w:rsidP="00F70508">
            <w:pPr>
              <w:pStyle w:val="ParagraphStyle12"/>
              <w:rPr>
                <w:rStyle w:val="CharacterStyle12"/>
              </w:rPr>
            </w:pPr>
            <w:r>
              <w:rPr>
                <w:rStyle w:val="CharacterStyle12"/>
              </w:rPr>
              <w:t>7.000,00</w:t>
            </w:r>
          </w:p>
        </w:tc>
        <w:tc>
          <w:tcPr>
            <w:tcW w:w="1395" w:type="dxa"/>
            <w:tcBorders>
              <w:bottom w:val="single" w:sz="6" w:space="0" w:color="000000"/>
              <w:right w:val="single" w:sz="6" w:space="0" w:color="000000"/>
            </w:tcBorders>
            <w:vAlign w:val="center"/>
          </w:tcPr>
          <w:p w14:paraId="1882434E" w14:textId="77777777" w:rsidR="007D706A" w:rsidRDefault="007D706A" w:rsidP="00F70508">
            <w:pPr>
              <w:pStyle w:val="ParagraphStyle12"/>
              <w:rPr>
                <w:rStyle w:val="CharacterStyle12"/>
              </w:rPr>
            </w:pPr>
            <w:r>
              <w:rPr>
                <w:rStyle w:val="CharacterStyle12"/>
              </w:rPr>
              <w:t>9.000,00</w:t>
            </w:r>
          </w:p>
        </w:tc>
        <w:tc>
          <w:tcPr>
            <w:tcW w:w="1395" w:type="dxa"/>
            <w:tcBorders>
              <w:bottom w:val="single" w:sz="6" w:space="0" w:color="000000"/>
              <w:right w:val="single" w:sz="6" w:space="0" w:color="000000"/>
            </w:tcBorders>
            <w:vAlign w:val="center"/>
          </w:tcPr>
          <w:p w14:paraId="585CC35A" w14:textId="77777777" w:rsidR="007D706A" w:rsidRDefault="007D706A" w:rsidP="00F70508">
            <w:pPr>
              <w:pStyle w:val="ParagraphStyle12"/>
              <w:rPr>
                <w:rStyle w:val="CharacterStyle12"/>
              </w:rPr>
            </w:pPr>
            <w:r>
              <w:rPr>
                <w:rStyle w:val="CharacterStyle12"/>
              </w:rPr>
              <w:t>10.000,00</w:t>
            </w:r>
          </w:p>
        </w:tc>
      </w:tr>
      <w:tr w:rsidR="007D706A" w14:paraId="79778E3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AD32DD5"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52922735"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4BF70C7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FA741B8" w14:textId="77777777" w:rsidR="007D706A" w:rsidRDefault="007D706A" w:rsidP="00F70508">
            <w:pPr>
              <w:pStyle w:val="ParagraphStyle12"/>
              <w:rPr>
                <w:rStyle w:val="CharacterStyle12"/>
              </w:rPr>
            </w:pPr>
            <w:r>
              <w:rPr>
                <w:rStyle w:val="CharacterStyle12"/>
              </w:rPr>
              <w:t>6.800,00</w:t>
            </w:r>
          </w:p>
        </w:tc>
        <w:tc>
          <w:tcPr>
            <w:tcW w:w="1395" w:type="dxa"/>
            <w:tcBorders>
              <w:bottom w:val="single" w:sz="6" w:space="0" w:color="000000"/>
              <w:right w:val="single" w:sz="6" w:space="0" w:color="000000"/>
            </w:tcBorders>
            <w:vAlign w:val="center"/>
          </w:tcPr>
          <w:p w14:paraId="2E912B07" w14:textId="77777777" w:rsidR="007D706A" w:rsidRDefault="007D706A" w:rsidP="00F70508">
            <w:pPr>
              <w:pStyle w:val="ParagraphStyle12"/>
              <w:rPr>
                <w:rStyle w:val="CharacterStyle12"/>
              </w:rPr>
            </w:pPr>
            <w:r>
              <w:rPr>
                <w:rStyle w:val="CharacterStyle12"/>
              </w:rPr>
              <w:t>7.000,00</w:t>
            </w:r>
          </w:p>
        </w:tc>
        <w:tc>
          <w:tcPr>
            <w:tcW w:w="1395" w:type="dxa"/>
            <w:tcBorders>
              <w:bottom w:val="single" w:sz="6" w:space="0" w:color="000000"/>
              <w:right w:val="single" w:sz="6" w:space="0" w:color="000000"/>
            </w:tcBorders>
            <w:vAlign w:val="center"/>
          </w:tcPr>
          <w:p w14:paraId="122C76B3" w14:textId="77777777" w:rsidR="007D706A" w:rsidRDefault="007D706A" w:rsidP="00F70508">
            <w:pPr>
              <w:pStyle w:val="ParagraphStyle12"/>
              <w:rPr>
                <w:rStyle w:val="CharacterStyle12"/>
              </w:rPr>
            </w:pPr>
            <w:r>
              <w:rPr>
                <w:rStyle w:val="CharacterStyle12"/>
              </w:rPr>
              <w:t>9.000,00</w:t>
            </w:r>
          </w:p>
        </w:tc>
        <w:tc>
          <w:tcPr>
            <w:tcW w:w="1395" w:type="dxa"/>
            <w:tcBorders>
              <w:bottom w:val="single" w:sz="6" w:space="0" w:color="000000"/>
              <w:right w:val="single" w:sz="6" w:space="0" w:color="000000"/>
            </w:tcBorders>
            <w:vAlign w:val="center"/>
          </w:tcPr>
          <w:p w14:paraId="4ED26B9F" w14:textId="77777777" w:rsidR="007D706A" w:rsidRDefault="007D706A" w:rsidP="00F70508">
            <w:pPr>
              <w:pStyle w:val="ParagraphStyle12"/>
              <w:rPr>
                <w:rStyle w:val="CharacterStyle12"/>
              </w:rPr>
            </w:pPr>
            <w:r>
              <w:rPr>
                <w:rStyle w:val="CharacterStyle12"/>
              </w:rPr>
              <w:t>10.000,00</w:t>
            </w:r>
          </w:p>
        </w:tc>
      </w:tr>
      <w:tr w:rsidR="007D706A" w14:paraId="1F6683E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A98FEC5" w14:textId="77777777" w:rsidR="007D706A" w:rsidRDefault="007D706A" w:rsidP="00F70508">
            <w:pPr>
              <w:pStyle w:val="ParagraphStyle4"/>
              <w:rPr>
                <w:rStyle w:val="CharacterStyle4"/>
              </w:rPr>
            </w:pPr>
            <w:r>
              <w:rPr>
                <w:rStyle w:val="CharacterStyle4"/>
              </w:rPr>
              <w:t>PROGRAM    1026</w:t>
            </w:r>
          </w:p>
        </w:tc>
        <w:tc>
          <w:tcPr>
            <w:tcW w:w="4995" w:type="dxa"/>
            <w:tcBorders>
              <w:bottom w:val="single" w:sz="6" w:space="0" w:color="000000"/>
              <w:right w:val="single" w:sz="6" w:space="0" w:color="000000"/>
            </w:tcBorders>
            <w:vAlign w:val="center"/>
          </w:tcPr>
          <w:p w14:paraId="5A72BD62" w14:textId="77777777" w:rsidR="007D706A" w:rsidRDefault="007D706A" w:rsidP="00F70508">
            <w:pPr>
              <w:pStyle w:val="ParagraphStyle5"/>
              <w:rPr>
                <w:rStyle w:val="CharacterStyle5"/>
              </w:rPr>
            </w:pPr>
            <w:r>
              <w:rPr>
                <w:rStyle w:val="CharacterStyle5"/>
              </w:rPr>
              <w:t>OPĆE JAVNE POTREBE U ŠKOLSTVU</w:t>
            </w:r>
          </w:p>
        </w:tc>
        <w:tc>
          <w:tcPr>
            <w:tcW w:w="1395" w:type="dxa"/>
            <w:tcBorders>
              <w:bottom w:val="single" w:sz="6" w:space="0" w:color="000000"/>
              <w:right w:val="single" w:sz="6" w:space="0" w:color="000000"/>
            </w:tcBorders>
            <w:vAlign w:val="center"/>
          </w:tcPr>
          <w:p w14:paraId="7ED82F24"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4695706A" w14:textId="77777777" w:rsidR="007D706A" w:rsidRDefault="007D706A" w:rsidP="00F70508">
            <w:pPr>
              <w:pStyle w:val="ParagraphStyle6"/>
              <w:rPr>
                <w:rStyle w:val="CharacterStyle6"/>
              </w:rPr>
            </w:pPr>
            <w:r>
              <w:rPr>
                <w:rStyle w:val="CharacterStyle6"/>
              </w:rPr>
              <w:t>662.390,00</w:t>
            </w:r>
          </w:p>
        </w:tc>
        <w:tc>
          <w:tcPr>
            <w:tcW w:w="1395" w:type="dxa"/>
            <w:tcBorders>
              <w:bottom w:val="single" w:sz="6" w:space="0" w:color="000000"/>
              <w:right w:val="single" w:sz="6" w:space="0" w:color="000000"/>
            </w:tcBorders>
            <w:vAlign w:val="center"/>
          </w:tcPr>
          <w:p w14:paraId="6E06618E" w14:textId="77777777" w:rsidR="007D706A" w:rsidRDefault="007D706A" w:rsidP="00F70508">
            <w:pPr>
              <w:pStyle w:val="ParagraphStyle6"/>
              <w:rPr>
                <w:rStyle w:val="CharacterStyle6"/>
              </w:rPr>
            </w:pPr>
            <w:r>
              <w:rPr>
                <w:rStyle w:val="CharacterStyle6"/>
              </w:rPr>
              <w:t>716.820,00</w:t>
            </w:r>
          </w:p>
        </w:tc>
        <w:tc>
          <w:tcPr>
            <w:tcW w:w="1395" w:type="dxa"/>
            <w:tcBorders>
              <w:bottom w:val="single" w:sz="6" w:space="0" w:color="000000"/>
              <w:right w:val="single" w:sz="6" w:space="0" w:color="000000"/>
            </w:tcBorders>
            <w:vAlign w:val="center"/>
          </w:tcPr>
          <w:p w14:paraId="05D976A1" w14:textId="77777777" w:rsidR="007D706A" w:rsidRDefault="007D706A" w:rsidP="00F70508">
            <w:pPr>
              <w:pStyle w:val="ParagraphStyle6"/>
              <w:rPr>
                <w:rStyle w:val="CharacterStyle6"/>
              </w:rPr>
            </w:pPr>
            <w:r>
              <w:rPr>
                <w:rStyle w:val="CharacterStyle6"/>
              </w:rPr>
              <w:t>719.840,00</w:t>
            </w:r>
          </w:p>
        </w:tc>
        <w:tc>
          <w:tcPr>
            <w:tcW w:w="1395" w:type="dxa"/>
            <w:tcBorders>
              <w:bottom w:val="single" w:sz="6" w:space="0" w:color="000000"/>
              <w:right w:val="single" w:sz="6" w:space="0" w:color="000000"/>
            </w:tcBorders>
            <w:vAlign w:val="center"/>
          </w:tcPr>
          <w:p w14:paraId="02A8C3A7" w14:textId="77777777" w:rsidR="007D706A" w:rsidRDefault="007D706A" w:rsidP="00F70508">
            <w:pPr>
              <w:pStyle w:val="ParagraphStyle6"/>
              <w:rPr>
                <w:rStyle w:val="CharacterStyle6"/>
              </w:rPr>
            </w:pPr>
            <w:r>
              <w:rPr>
                <w:rStyle w:val="CharacterStyle6"/>
              </w:rPr>
              <w:t>735.020,00</w:t>
            </w:r>
          </w:p>
        </w:tc>
      </w:tr>
      <w:tr w:rsidR="007D706A" w14:paraId="77C980A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ADE4102" w14:textId="77777777" w:rsidR="007D706A" w:rsidRDefault="007D706A" w:rsidP="00F70508">
            <w:pPr>
              <w:pStyle w:val="ParagraphStyle4"/>
              <w:rPr>
                <w:rStyle w:val="CharacterStyle4"/>
              </w:rPr>
            </w:pPr>
            <w:r>
              <w:rPr>
                <w:rStyle w:val="CharacterStyle4"/>
              </w:rPr>
              <w:t>Aktivnost A102601</w:t>
            </w:r>
          </w:p>
        </w:tc>
        <w:tc>
          <w:tcPr>
            <w:tcW w:w="4995" w:type="dxa"/>
            <w:tcBorders>
              <w:bottom w:val="single" w:sz="6" w:space="0" w:color="000000"/>
              <w:right w:val="single" w:sz="6" w:space="0" w:color="000000"/>
            </w:tcBorders>
            <w:vAlign w:val="center"/>
          </w:tcPr>
          <w:p w14:paraId="7B70B447" w14:textId="77777777" w:rsidR="007D706A" w:rsidRDefault="007D706A" w:rsidP="00F70508">
            <w:pPr>
              <w:pStyle w:val="ParagraphStyle5"/>
              <w:rPr>
                <w:rStyle w:val="CharacterStyle5"/>
              </w:rPr>
            </w:pPr>
            <w:r>
              <w:rPr>
                <w:rStyle w:val="CharacterStyle5"/>
              </w:rPr>
              <w:t>PRIJEVOZ UČENIKA OSNOVNIH ŠKOLA</w:t>
            </w:r>
          </w:p>
        </w:tc>
        <w:tc>
          <w:tcPr>
            <w:tcW w:w="1395" w:type="dxa"/>
            <w:tcBorders>
              <w:bottom w:val="single" w:sz="6" w:space="0" w:color="000000"/>
              <w:right w:val="single" w:sz="6" w:space="0" w:color="000000"/>
            </w:tcBorders>
            <w:vAlign w:val="center"/>
          </w:tcPr>
          <w:p w14:paraId="2DC0FDBB"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5FD2C52D" w14:textId="77777777" w:rsidR="007D706A" w:rsidRDefault="007D706A" w:rsidP="00F70508">
            <w:pPr>
              <w:pStyle w:val="ParagraphStyle6"/>
              <w:rPr>
                <w:rStyle w:val="CharacterStyle6"/>
              </w:rPr>
            </w:pPr>
            <w:r>
              <w:rPr>
                <w:rStyle w:val="CharacterStyle6"/>
              </w:rPr>
              <w:t>137.000,00</w:t>
            </w:r>
          </w:p>
        </w:tc>
        <w:tc>
          <w:tcPr>
            <w:tcW w:w="1395" w:type="dxa"/>
            <w:tcBorders>
              <w:bottom w:val="single" w:sz="6" w:space="0" w:color="000000"/>
              <w:right w:val="single" w:sz="6" w:space="0" w:color="000000"/>
            </w:tcBorders>
            <w:vAlign w:val="center"/>
          </w:tcPr>
          <w:p w14:paraId="33E32BCF" w14:textId="77777777" w:rsidR="007D706A" w:rsidRDefault="007D706A" w:rsidP="00F70508">
            <w:pPr>
              <w:pStyle w:val="ParagraphStyle6"/>
              <w:rPr>
                <w:rStyle w:val="CharacterStyle6"/>
              </w:rPr>
            </w:pPr>
            <w:r>
              <w:rPr>
                <w:rStyle w:val="CharacterStyle6"/>
              </w:rPr>
              <w:t>137.000,00</w:t>
            </w:r>
          </w:p>
        </w:tc>
        <w:tc>
          <w:tcPr>
            <w:tcW w:w="1395" w:type="dxa"/>
            <w:tcBorders>
              <w:bottom w:val="single" w:sz="6" w:space="0" w:color="000000"/>
              <w:right w:val="single" w:sz="6" w:space="0" w:color="000000"/>
            </w:tcBorders>
            <w:vAlign w:val="center"/>
          </w:tcPr>
          <w:p w14:paraId="2D148396" w14:textId="77777777" w:rsidR="007D706A" w:rsidRDefault="007D706A" w:rsidP="00F70508">
            <w:pPr>
              <w:pStyle w:val="ParagraphStyle6"/>
              <w:rPr>
                <w:rStyle w:val="CharacterStyle6"/>
              </w:rPr>
            </w:pPr>
            <w:r>
              <w:rPr>
                <w:rStyle w:val="CharacterStyle6"/>
              </w:rPr>
              <w:t>125.000,00</w:t>
            </w:r>
          </w:p>
        </w:tc>
        <w:tc>
          <w:tcPr>
            <w:tcW w:w="1395" w:type="dxa"/>
            <w:tcBorders>
              <w:bottom w:val="single" w:sz="6" w:space="0" w:color="000000"/>
              <w:right w:val="single" w:sz="6" w:space="0" w:color="000000"/>
            </w:tcBorders>
            <w:vAlign w:val="center"/>
          </w:tcPr>
          <w:p w14:paraId="0708CDBD" w14:textId="77777777" w:rsidR="007D706A" w:rsidRDefault="007D706A" w:rsidP="00F70508">
            <w:pPr>
              <w:pStyle w:val="ParagraphStyle6"/>
              <w:rPr>
                <w:rStyle w:val="CharacterStyle6"/>
              </w:rPr>
            </w:pPr>
            <w:r>
              <w:rPr>
                <w:rStyle w:val="CharacterStyle6"/>
              </w:rPr>
              <w:t>125.000,00</w:t>
            </w:r>
          </w:p>
        </w:tc>
      </w:tr>
      <w:tr w:rsidR="007D706A" w14:paraId="149FB5B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858B0CE"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4D837C51"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48451315"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CF9D670" w14:textId="77777777" w:rsidR="007D706A" w:rsidRDefault="007D706A" w:rsidP="00F70508">
            <w:pPr>
              <w:pStyle w:val="ParagraphStyle9"/>
              <w:rPr>
                <w:rStyle w:val="CharacterStyle9"/>
              </w:rPr>
            </w:pPr>
            <w:r>
              <w:rPr>
                <w:rStyle w:val="CharacterStyle9"/>
              </w:rPr>
              <w:t>137.000,00</w:t>
            </w:r>
          </w:p>
        </w:tc>
        <w:tc>
          <w:tcPr>
            <w:tcW w:w="1395" w:type="dxa"/>
            <w:tcBorders>
              <w:bottom w:val="single" w:sz="6" w:space="0" w:color="000000"/>
              <w:right w:val="single" w:sz="6" w:space="0" w:color="000000"/>
            </w:tcBorders>
            <w:vAlign w:val="center"/>
          </w:tcPr>
          <w:p w14:paraId="37A436F1" w14:textId="77777777" w:rsidR="007D706A" w:rsidRDefault="007D706A" w:rsidP="00F70508">
            <w:pPr>
              <w:pStyle w:val="ParagraphStyle9"/>
              <w:rPr>
                <w:rStyle w:val="CharacterStyle9"/>
              </w:rPr>
            </w:pPr>
            <w:r>
              <w:rPr>
                <w:rStyle w:val="CharacterStyle9"/>
              </w:rPr>
              <w:t>137.000,00</w:t>
            </w:r>
          </w:p>
        </w:tc>
        <w:tc>
          <w:tcPr>
            <w:tcW w:w="1395" w:type="dxa"/>
            <w:tcBorders>
              <w:bottom w:val="single" w:sz="6" w:space="0" w:color="000000"/>
              <w:right w:val="single" w:sz="6" w:space="0" w:color="000000"/>
            </w:tcBorders>
            <w:vAlign w:val="center"/>
          </w:tcPr>
          <w:p w14:paraId="31DC947E" w14:textId="77777777" w:rsidR="007D706A" w:rsidRDefault="007D706A" w:rsidP="00F70508">
            <w:pPr>
              <w:pStyle w:val="ParagraphStyle9"/>
              <w:rPr>
                <w:rStyle w:val="CharacterStyle9"/>
              </w:rPr>
            </w:pPr>
            <w:r>
              <w:rPr>
                <w:rStyle w:val="CharacterStyle9"/>
              </w:rPr>
              <w:t>125.000,00</w:t>
            </w:r>
          </w:p>
        </w:tc>
        <w:tc>
          <w:tcPr>
            <w:tcW w:w="1395" w:type="dxa"/>
            <w:tcBorders>
              <w:bottom w:val="single" w:sz="6" w:space="0" w:color="000000"/>
              <w:right w:val="single" w:sz="6" w:space="0" w:color="000000"/>
            </w:tcBorders>
            <w:vAlign w:val="center"/>
          </w:tcPr>
          <w:p w14:paraId="7639708D" w14:textId="77777777" w:rsidR="007D706A" w:rsidRDefault="007D706A" w:rsidP="00F70508">
            <w:pPr>
              <w:pStyle w:val="ParagraphStyle9"/>
              <w:rPr>
                <w:rStyle w:val="CharacterStyle9"/>
              </w:rPr>
            </w:pPr>
            <w:r>
              <w:rPr>
                <w:rStyle w:val="CharacterStyle9"/>
              </w:rPr>
              <w:t>125.000,00</w:t>
            </w:r>
          </w:p>
        </w:tc>
      </w:tr>
      <w:tr w:rsidR="007D706A" w14:paraId="5C8A9E1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E0A8432"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047E48C9"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7BBAF99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F062D5C" w14:textId="77777777" w:rsidR="007D706A" w:rsidRDefault="007D706A" w:rsidP="00F70508">
            <w:pPr>
              <w:pStyle w:val="ParagraphStyle12"/>
              <w:rPr>
                <w:rStyle w:val="CharacterStyle12"/>
              </w:rPr>
            </w:pPr>
            <w:r>
              <w:rPr>
                <w:rStyle w:val="CharacterStyle12"/>
              </w:rPr>
              <w:t>137.000,00</w:t>
            </w:r>
          </w:p>
        </w:tc>
        <w:tc>
          <w:tcPr>
            <w:tcW w:w="1395" w:type="dxa"/>
            <w:tcBorders>
              <w:bottom w:val="single" w:sz="6" w:space="0" w:color="000000"/>
              <w:right w:val="single" w:sz="6" w:space="0" w:color="000000"/>
            </w:tcBorders>
            <w:vAlign w:val="center"/>
          </w:tcPr>
          <w:p w14:paraId="3B07070D" w14:textId="77777777" w:rsidR="007D706A" w:rsidRDefault="007D706A" w:rsidP="00F70508">
            <w:pPr>
              <w:pStyle w:val="ParagraphStyle12"/>
              <w:rPr>
                <w:rStyle w:val="CharacterStyle12"/>
              </w:rPr>
            </w:pPr>
            <w:r>
              <w:rPr>
                <w:rStyle w:val="CharacterStyle12"/>
              </w:rPr>
              <w:t>137.000,00</w:t>
            </w:r>
          </w:p>
        </w:tc>
        <w:tc>
          <w:tcPr>
            <w:tcW w:w="1395" w:type="dxa"/>
            <w:tcBorders>
              <w:bottom w:val="single" w:sz="6" w:space="0" w:color="000000"/>
              <w:right w:val="single" w:sz="6" w:space="0" w:color="000000"/>
            </w:tcBorders>
            <w:vAlign w:val="center"/>
          </w:tcPr>
          <w:p w14:paraId="17A65564" w14:textId="77777777" w:rsidR="007D706A" w:rsidRDefault="007D706A" w:rsidP="00F70508">
            <w:pPr>
              <w:pStyle w:val="ParagraphStyle12"/>
              <w:rPr>
                <w:rStyle w:val="CharacterStyle12"/>
              </w:rPr>
            </w:pPr>
            <w:r>
              <w:rPr>
                <w:rStyle w:val="CharacterStyle12"/>
              </w:rPr>
              <w:t>125.000,00</w:t>
            </w:r>
          </w:p>
        </w:tc>
        <w:tc>
          <w:tcPr>
            <w:tcW w:w="1395" w:type="dxa"/>
            <w:tcBorders>
              <w:bottom w:val="single" w:sz="6" w:space="0" w:color="000000"/>
              <w:right w:val="single" w:sz="6" w:space="0" w:color="000000"/>
            </w:tcBorders>
            <w:vAlign w:val="center"/>
          </w:tcPr>
          <w:p w14:paraId="6326A4BC" w14:textId="77777777" w:rsidR="007D706A" w:rsidRDefault="007D706A" w:rsidP="00F70508">
            <w:pPr>
              <w:pStyle w:val="ParagraphStyle12"/>
              <w:rPr>
                <w:rStyle w:val="CharacterStyle12"/>
              </w:rPr>
            </w:pPr>
            <w:r>
              <w:rPr>
                <w:rStyle w:val="CharacterStyle12"/>
              </w:rPr>
              <w:t>125.000,00</w:t>
            </w:r>
          </w:p>
        </w:tc>
      </w:tr>
      <w:tr w:rsidR="007D706A" w14:paraId="5FF3197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CE05B88"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5624558F"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4AF3310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EACD0D4" w14:textId="77777777" w:rsidR="007D706A" w:rsidRDefault="007D706A" w:rsidP="00F70508">
            <w:pPr>
              <w:pStyle w:val="ParagraphStyle12"/>
              <w:rPr>
                <w:rStyle w:val="CharacterStyle12"/>
              </w:rPr>
            </w:pPr>
            <w:r>
              <w:rPr>
                <w:rStyle w:val="CharacterStyle12"/>
              </w:rPr>
              <w:t>137.000,00</w:t>
            </w:r>
          </w:p>
        </w:tc>
        <w:tc>
          <w:tcPr>
            <w:tcW w:w="1395" w:type="dxa"/>
            <w:tcBorders>
              <w:bottom w:val="single" w:sz="6" w:space="0" w:color="000000"/>
              <w:right w:val="single" w:sz="6" w:space="0" w:color="000000"/>
            </w:tcBorders>
            <w:vAlign w:val="center"/>
          </w:tcPr>
          <w:p w14:paraId="76D43572" w14:textId="77777777" w:rsidR="007D706A" w:rsidRDefault="007D706A" w:rsidP="00F70508">
            <w:pPr>
              <w:pStyle w:val="ParagraphStyle12"/>
              <w:rPr>
                <w:rStyle w:val="CharacterStyle12"/>
              </w:rPr>
            </w:pPr>
            <w:r>
              <w:rPr>
                <w:rStyle w:val="CharacterStyle12"/>
              </w:rPr>
              <w:t>137.000,00</w:t>
            </w:r>
          </w:p>
        </w:tc>
        <w:tc>
          <w:tcPr>
            <w:tcW w:w="1395" w:type="dxa"/>
            <w:tcBorders>
              <w:bottom w:val="single" w:sz="6" w:space="0" w:color="000000"/>
              <w:right w:val="single" w:sz="6" w:space="0" w:color="000000"/>
            </w:tcBorders>
            <w:vAlign w:val="center"/>
          </w:tcPr>
          <w:p w14:paraId="46134DED" w14:textId="77777777" w:rsidR="007D706A" w:rsidRDefault="007D706A" w:rsidP="00F70508">
            <w:pPr>
              <w:pStyle w:val="ParagraphStyle12"/>
              <w:rPr>
                <w:rStyle w:val="CharacterStyle12"/>
              </w:rPr>
            </w:pPr>
            <w:r>
              <w:rPr>
                <w:rStyle w:val="CharacterStyle12"/>
              </w:rPr>
              <w:t>125.000,00</w:t>
            </w:r>
          </w:p>
        </w:tc>
        <w:tc>
          <w:tcPr>
            <w:tcW w:w="1395" w:type="dxa"/>
            <w:tcBorders>
              <w:bottom w:val="single" w:sz="6" w:space="0" w:color="000000"/>
              <w:right w:val="single" w:sz="6" w:space="0" w:color="000000"/>
            </w:tcBorders>
            <w:vAlign w:val="center"/>
          </w:tcPr>
          <w:p w14:paraId="6DA14C25" w14:textId="77777777" w:rsidR="007D706A" w:rsidRDefault="007D706A" w:rsidP="00F70508">
            <w:pPr>
              <w:pStyle w:val="ParagraphStyle12"/>
              <w:rPr>
                <w:rStyle w:val="CharacterStyle12"/>
              </w:rPr>
            </w:pPr>
            <w:r>
              <w:rPr>
                <w:rStyle w:val="CharacterStyle12"/>
              </w:rPr>
              <w:t>125.000,00</w:t>
            </w:r>
          </w:p>
        </w:tc>
      </w:tr>
      <w:tr w:rsidR="007D706A" w14:paraId="0AC199B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C256F36" w14:textId="77777777" w:rsidR="007D706A" w:rsidRDefault="007D706A" w:rsidP="00F70508">
            <w:pPr>
              <w:pStyle w:val="ParagraphStyle4"/>
              <w:rPr>
                <w:rStyle w:val="CharacterStyle4"/>
              </w:rPr>
            </w:pPr>
            <w:r>
              <w:rPr>
                <w:rStyle w:val="CharacterStyle4"/>
              </w:rPr>
              <w:t>Aktivnost A102618</w:t>
            </w:r>
          </w:p>
        </w:tc>
        <w:tc>
          <w:tcPr>
            <w:tcW w:w="4995" w:type="dxa"/>
            <w:tcBorders>
              <w:bottom w:val="single" w:sz="6" w:space="0" w:color="000000"/>
              <w:right w:val="single" w:sz="6" w:space="0" w:color="000000"/>
            </w:tcBorders>
            <w:vAlign w:val="center"/>
          </w:tcPr>
          <w:p w14:paraId="132810D5" w14:textId="77777777" w:rsidR="007D706A" w:rsidRDefault="007D706A" w:rsidP="00F70508">
            <w:pPr>
              <w:pStyle w:val="ParagraphStyle5"/>
              <w:rPr>
                <w:rStyle w:val="CharacterStyle5"/>
              </w:rPr>
            </w:pPr>
            <w:r>
              <w:rPr>
                <w:rStyle w:val="CharacterStyle5"/>
              </w:rPr>
              <w:t>DODATNO USAVRŠAVANJE MLADIH</w:t>
            </w:r>
          </w:p>
        </w:tc>
        <w:tc>
          <w:tcPr>
            <w:tcW w:w="1395" w:type="dxa"/>
            <w:tcBorders>
              <w:bottom w:val="single" w:sz="6" w:space="0" w:color="000000"/>
              <w:right w:val="single" w:sz="6" w:space="0" w:color="000000"/>
            </w:tcBorders>
            <w:vAlign w:val="center"/>
          </w:tcPr>
          <w:p w14:paraId="031A8749"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2BC4AF12" w14:textId="77777777" w:rsidR="007D706A" w:rsidRDefault="007D706A" w:rsidP="00F70508">
            <w:pPr>
              <w:pStyle w:val="ParagraphStyle6"/>
              <w:rPr>
                <w:rStyle w:val="CharacterStyle6"/>
              </w:rPr>
            </w:pPr>
            <w:r>
              <w:rPr>
                <w:rStyle w:val="CharacterStyle6"/>
              </w:rPr>
              <w:t>3.000,00</w:t>
            </w:r>
          </w:p>
        </w:tc>
        <w:tc>
          <w:tcPr>
            <w:tcW w:w="1395" w:type="dxa"/>
            <w:tcBorders>
              <w:bottom w:val="single" w:sz="6" w:space="0" w:color="000000"/>
              <w:right w:val="single" w:sz="6" w:space="0" w:color="000000"/>
            </w:tcBorders>
            <w:vAlign w:val="center"/>
          </w:tcPr>
          <w:p w14:paraId="337D1E2F"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61FBB6FB"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10A7A715" w14:textId="77777777" w:rsidR="007D706A" w:rsidRDefault="007D706A" w:rsidP="00F70508">
            <w:pPr>
              <w:pStyle w:val="ParagraphStyle6"/>
              <w:rPr>
                <w:rStyle w:val="CharacterStyle6"/>
              </w:rPr>
            </w:pPr>
            <w:r>
              <w:rPr>
                <w:rStyle w:val="CharacterStyle6"/>
              </w:rPr>
              <w:t>0,00</w:t>
            </w:r>
          </w:p>
        </w:tc>
      </w:tr>
      <w:tr w:rsidR="007D706A" w14:paraId="141B272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031AC3C"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4CA95595"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17452287"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24A5003" w14:textId="77777777" w:rsidR="007D706A" w:rsidRDefault="007D706A" w:rsidP="00F70508">
            <w:pPr>
              <w:pStyle w:val="ParagraphStyle9"/>
              <w:rPr>
                <w:rStyle w:val="CharacterStyle9"/>
              </w:rPr>
            </w:pPr>
            <w:r>
              <w:rPr>
                <w:rStyle w:val="CharacterStyle9"/>
              </w:rPr>
              <w:t>3.000,00</w:t>
            </w:r>
          </w:p>
        </w:tc>
        <w:tc>
          <w:tcPr>
            <w:tcW w:w="1395" w:type="dxa"/>
            <w:tcBorders>
              <w:bottom w:val="single" w:sz="6" w:space="0" w:color="000000"/>
              <w:right w:val="single" w:sz="6" w:space="0" w:color="000000"/>
            </w:tcBorders>
            <w:vAlign w:val="center"/>
          </w:tcPr>
          <w:p w14:paraId="07EC5B0F"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16E0B5E"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5B6E279" w14:textId="77777777" w:rsidR="007D706A" w:rsidRDefault="007D706A" w:rsidP="00F70508">
            <w:pPr>
              <w:pStyle w:val="ParagraphStyle9"/>
              <w:rPr>
                <w:rStyle w:val="CharacterStyle9"/>
              </w:rPr>
            </w:pPr>
            <w:r>
              <w:rPr>
                <w:rStyle w:val="CharacterStyle9"/>
              </w:rPr>
              <w:t>0,00</w:t>
            </w:r>
          </w:p>
        </w:tc>
      </w:tr>
      <w:tr w:rsidR="007D706A" w14:paraId="11FA1DB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0BAE6C6"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4D343CAE"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6808B7B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17C3BB9" w14:textId="77777777" w:rsidR="007D706A" w:rsidRDefault="007D706A" w:rsidP="00F70508">
            <w:pPr>
              <w:pStyle w:val="ParagraphStyle12"/>
              <w:rPr>
                <w:rStyle w:val="CharacterStyle12"/>
              </w:rPr>
            </w:pPr>
            <w:r>
              <w:rPr>
                <w:rStyle w:val="CharacterStyle12"/>
              </w:rPr>
              <w:t>3.000,00</w:t>
            </w:r>
          </w:p>
        </w:tc>
        <w:tc>
          <w:tcPr>
            <w:tcW w:w="1395" w:type="dxa"/>
            <w:tcBorders>
              <w:bottom w:val="single" w:sz="6" w:space="0" w:color="000000"/>
              <w:right w:val="single" w:sz="6" w:space="0" w:color="000000"/>
            </w:tcBorders>
            <w:vAlign w:val="center"/>
          </w:tcPr>
          <w:p w14:paraId="060BFF0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5445D3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AB878AA" w14:textId="77777777" w:rsidR="007D706A" w:rsidRDefault="007D706A" w:rsidP="00F70508">
            <w:pPr>
              <w:pStyle w:val="ParagraphStyle12"/>
              <w:rPr>
                <w:rStyle w:val="CharacterStyle12"/>
              </w:rPr>
            </w:pPr>
            <w:r>
              <w:rPr>
                <w:rStyle w:val="CharacterStyle12"/>
              </w:rPr>
              <w:t>0,00</w:t>
            </w:r>
          </w:p>
        </w:tc>
      </w:tr>
      <w:tr w:rsidR="007D706A" w14:paraId="34F68E78" w14:textId="77777777" w:rsidTr="00F70508">
        <w:trPr>
          <w:trHeight w:val="405"/>
        </w:trPr>
        <w:tc>
          <w:tcPr>
            <w:tcW w:w="2880" w:type="dxa"/>
            <w:tcBorders>
              <w:left w:val="single" w:sz="6" w:space="0" w:color="000000"/>
              <w:bottom w:val="single" w:sz="6" w:space="0" w:color="000000"/>
              <w:right w:val="single" w:sz="6" w:space="0" w:color="000000"/>
            </w:tcBorders>
            <w:vAlign w:val="center"/>
          </w:tcPr>
          <w:p w14:paraId="435327BC" w14:textId="77777777" w:rsidR="007D706A" w:rsidRDefault="007D706A" w:rsidP="00F70508">
            <w:pPr>
              <w:pStyle w:val="ParagraphStyle10"/>
              <w:rPr>
                <w:rStyle w:val="CharacterStyle10"/>
              </w:rPr>
            </w:pPr>
            <w:r>
              <w:rPr>
                <w:rStyle w:val="CharacterStyle10"/>
              </w:rPr>
              <w:t>37</w:t>
            </w:r>
          </w:p>
        </w:tc>
        <w:tc>
          <w:tcPr>
            <w:tcW w:w="4995" w:type="dxa"/>
            <w:tcBorders>
              <w:bottom w:val="single" w:sz="6" w:space="0" w:color="000000"/>
              <w:right w:val="single" w:sz="6" w:space="0" w:color="000000"/>
            </w:tcBorders>
            <w:vAlign w:val="center"/>
          </w:tcPr>
          <w:p w14:paraId="682835DB" w14:textId="77777777" w:rsidR="007D706A" w:rsidRDefault="007D706A" w:rsidP="00F70508">
            <w:pPr>
              <w:pStyle w:val="ParagraphStyle11"/>
              <w:rPr>
                <w:rStyle w:val="CharacterStyle11"/>
              </w:rPr>
            </w:pPr>
            <w:r>
              <w:rPr>
                <w:rStyle w:val="CharacterStyle11"/>
              </w:rPr>
              <w:t>Naknade građanima i kućanstvima na temelju osiguranja i druge naknade</w:t>
            </w:r>
          </w:p>
        </w:tc>
        <w:tc>
          <w:tcPr>
            <w:tcW w:w="1395" w:type="dxa"/>
            <w:tcBorders>
              <w:bottom w:val="single" w:sz="6" w:space="0" w:color="000000"/>
              <w:right w:val="single" w:sz="6" w:space="0" w:color="000000"/>
            </w:tcBorders>
            <w:vAlign w:val="center"/>
          </w:tcPr>
          <w:p w14:paraId="69A6F53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51B0777" w14:textId="77777777" w:rsidR="007D706A" w:rsidRDefault="007D706A" w:rsidP="00F70508">
            <w:pPr>
              <w:pStyle w:val="ParagraphStyle12"/>
              <w:rPr>
                <w:rStyle w:val="CharacterStyle12"/>
              </w:rPr>
            </w:pPr>
            <w:r>
              <w:rPr>
                <w:rStyle w:val="CharacterStyle12"/>
              </w:rPr>
              <w:t>3.000,00</w:t>
            </w:r>
          </w:p>
        </w:tc>
        <w:tc>
          <w:tcPr>
            <w:tcW w:w="1395" w:type="dxa"/>
            <w:tcBorders>
              <w:bottom w:val="single" w:sz="6" w:space="0" w:color="000000"/>
              <w:right w:val="single" w:sz="6" w:space="0" w:color="000000"/>
            </w:tcBorders>
            <w:vAlign w:val="center"/>
          </w:tcPr>
          <w:p w14:paraId="38FA460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45E818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89B9D83" w14:textId="77777777" w:rsidR="007D706A" w:rsidRDefault="007D706A" w:rsidP="00F70508">
            <w:pPr>
              <w:pStyle w:val="ParagraphStyle12"/>
              <w:rPr>
                <w:rStyle w:val="CharacterStyle12"/>
              </w:rPr>
            </w:pPr>
            <w:r>
              <w:rPr>
                <w:rStyle w:val="CharacterStyle12"/>
              </w:rPr>
              <w:t>0,00</w:t>
            </w:r>
          </w:p>
        </w:tc>
      </w:tr>
      <w:tr w:rsidR="007D706A" w14:paraId="28AE09D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1C4704D" w14:textId="77777777" w:rsidR="007D706A" w:rsidRDefault="007D706A" w:rsidP="00F70508">
            <w:pPr>
              <w:pStyle w:val="ParagraphStyle4"/>
              <w:rPr>
                <w:rStyle w:val="CharacterStyle4"/>
              </w:rPr>
            </w:pPr>
            <w:r>
              <w:rPr>
                <w:rStyle w:val="CharacterStyle4"/>
              </w:rPr>
              <w:t>Aktivnost A102602</w:t>
            </w:r>
          </w:p>
        </w:tc>
        <w:tc>
          <w:tcPr>
            <w:tcW w:w="4995" w:type="dxa"/>
            <w:tcBorders>
              <w:bottom w:val="single" w:sz="6" w:space="0" w:color="000000"/>
              <w:right w:val="single" w:sz="6" w:space="0" w:color="000000"/>
            </w:tcBorders>
            <w:vAlign w:val="center"/>
          </w:tcPr>
          <w:p w14:paraId="18152A98" w14:textId="77777777" w:rsidR="007D706A" w:rsidRDefault="007D706A" w:rsidP="00F70508">
            <w:pPr>
              <w:pStyle w:val="ParagraphStyle5"/>
              <w:rPr>
                <w:rStyle w:val="CharacterStyle5"/>
              </w:rPr>
            </w:pPr>
            <w:r>
              <w:rPr>
                <w:rStyle w:val="CharacterStyle5"/>
              </w:rPr>
              <w:t>GRAD PRIJATELJ DJECE</w:t>
            </w:r>
          </w:p>
        </w:tc>
        <w:tc>
          <w:tcPr>
            <w:tcW w:w="1395" w:type="dxa"/>
            <w:tcBorders>
              <w:bottom w:val="single" w:sz="6" w:space="0" w:color="000000"/>
              <w:right w:val="single" w:sz="6" w:space="0" w:color="000000"/>
            </w:tcBorders>
            <w:vAlign w:val="center"/>
          </w:tcPr>
          <w:p w14:paraId="7F0FBCFE"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19D249D2" w14:textId="77777777" w:rsidR="007D706A" w:rsidRDefault="007D706A" w:rsidP="00F70508">
            <w:pPr>
              <w:pStyle w:val="ParagraphStyle6"/>
              <w:rPr>
                <w:rStyle w:val="CharacterStyle6"/>
              </w:rPr>
            </w:pPr>
            <w:r>
              <w:rPr>
                <w:rStyle w:val="CharacterStyle6"/>
              </w:rPr>
              <w:t>6.000,00</w:t>
            </w:r>
          </w:p>
        </w:tc>
        <w:tc>
          <w:tcPr>
            <w:tcW w:w="1395" w:type="dxa"/>
            <w:tcBorders>
              <w:bottom w:val="single" w:sz="6" w:space="0" w:color="000000"/>
              <w:right w:val="single" w:sz="6" w:space="0" w:color="000000"/>
            </w:tcBorders>
            <w:vAlign w:val="center"/>
          </w:tcPr>
          <w:p w14:paraId="3366C658" w14:textId="77777777" w:rsidR="007D706A" w:rsidRDefault="007D706A" w:rsidP="00F70508">
            <w:pPr>
              <w:pStyle w:val="ParagraphStyle6"/>
              <w:rPr>
                <w:rStyle w:val="CharacterStyle6"/>
              </w:rPr>
            </w:pPr>
            <w:r>
              <w:rPr>
                <w:rStyle w:val="CharacterStyle6"/>
              </w:rPr>
              <w:t>6.000,00</w:t>
            </w:r>
          </w:p>
        </w:tc>
        <w:tc>
          <w:tcPr>
            <w:tcW w:w="1395" w:type="dxa"/>
            <w:tcBorders>
              <w:bottom w:val="single" w:sz="6" w:space="0" w:color="000000"/>
              <w:right w:val="single" w:sz="6" w:space="0" w:color="000000"/>
            </w:tcBorders>
            <w:vAlign w:val="center"/>
          </w:tcPr>
          <w:p w14:paraId="08D3FBA2" w14:textId="77777777" w:rsidR="007D706A" w:rsidRDefault="007D706A" w:rsidP="00F70508">
            <w:pPr>
              <w:pStyle w:val="ParagraphStyle6"/>
              <w:rPr>
                <w:rStyle w:val="CharacterStyle6"/>
              </w:rPr>
            </w:pPr>
            <w:r>
              <w:rPr>
                <w:rStyle w:val="CharacterStyle6"/>
              </w:rPr>
              <w:t>6.520,00</w:t>
            </w:r>
          </w:p>
        </w:tc>
        <w:tc>
          <w:tcPr>
            <w:tcW w:w="1395" w:type="dxa"/>
            <w:tcBorders>
              <w:bottom w:val="single" w:sz="6" w:space="0" w:color="000000"/>
              <w:right w:val="single" w:sz="6" w:space="0" w:color="000000"/>
            </w:tcBorders>
            <w:vAlign w:val="center"/>
          </w:tcPr>
          <w:p w14:paraId="47692B46" w14:textId="77777777" w:rsidR="007D706A" w:rsidRDefault="007D706A" w:rsidP="00F70508">
            <w:pPr>
              <w:pStyle w:val="ParagraphStyle6"/>
              <w:rPr>
                <w:rStyle w:val="CharacterStyle6"/>
              </w:rPr>
            </w:pPr>
            <w:r>
              <w:rPr>
                <w:rStyle w:val="CharacterStyle6"/>
              </w:rPr>
              <w:t>6.520,00</w:t>
            </w:r>
          </w:p>
        </w:tc>
      </w:tr>
      <w:tr w:rsidR="007D706A" w14:paraId="093970D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7BBC4FC"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3980CF83"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1DA5B7DF"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98BB356" w14:textId="77777777" w:rsidR="007D706A" w:rsidRDefault="007D706A" w:rsidP="00F70508">
            <w:pPr>
              <w:pStyle w:val="ParagraphStyle9"/>
              <w:rPr>
                <w:rStyle w:val="CharacterStyle9"/>
              </w:rPr>
            </w:pPr>
            <w:r>
              <w:rPr>
                <w:rStyle w:val="CharacterStyle9"/>
              </w:rPr>
              <w:t>5.482,38</w:t>
            </w:r>
          </w:p>
        </w:tc>
        <w:tc>
          <w:tcPr>
            <w:tcW w:w="1395" w:type="dxa"/>
            <w:tcBorders>
              <w:bottom w:val="single" w:sz="6" w:space="0" w:color="000000"/>
              <w:right w:val="single" w:sz="6" w:space="0" w:color="000000"/>
            </w:tcBorders>
            <w:vAlign w:val="center"/>
          </w:tcPr>
          <w:p w14:paraId="7F6BD576" w14:textId="77777777" w:rsidR="007D706A" w:rsidRDefault="007D706A" w:rsidP="00F70508">
            <w:pPr>
              <w:pStyle w:val="ParagraphStyle9"/>
              <w:rPr>
                <w:rStyle w:val="CharacterStyle9"/>
              </w:rPr>
            </w:pPr>
            <w:r>
              <w:rPr>
                <w:rStyle w:val="CharacterStyle9"/>
              </w:rPr>
              <w:t>5.480,00</w:t>
            </w:r>
          </w:p>
        </w:tc>
        <w:tc>
          <w:tcPr>
            <w:tcW w:w="1395" w:type="dxa"/>
            <w:tcBorders>
              <w:bottom w:val="single" w:sz="6" w:space="0" w:color="000000"/>
              <w:right w:val="single" w:sz="6" w:space="0" w:color="000000"/>
            </w:tcBorders>
            <w:vAlign w:val="center"/>
          </w:tcPr>
          <w:p w14:paraId="66E90D5F" w14:textId="77777777" w:rsidR="007D706A" w:rsidRDefault="007D706A" w:rsidP="00F70508">
            <w:pPr>
              <w:pStyle w:val="ParagraphStyle9"/>
              <w:rPr>
                <w:rStyle w:val="CharacterStyle9"/>
              </w:rPr>
            </w:pPr>
            <w:r>
              <w:rPr>
                <w:rStyle w:val="CharacterStyle9"/>
              </w:rPr>
              <w:t>6.000,00</w:t>
            </w:r>
          </w:p>
        </w:tc>
        <w:tc>
          <w:tcPr>
            <w:tcW w:w="1395" w:type="dxa"/>
            <w:tcBorders>
              <w:bottom w:val="single" w:sz="6" w:space="0" w:color="000000"/>
              <w:right w:val="single" w:sz="6" w:space="0" w:color="000000"/>
            </w:tcBorders>
            <w:vAlign w:val="center"/>
          </w:tcPr>
          <w:p w14:paraId="15B2D8F2" w14:textId="77777777" w:rsidR="007D706A" w:rsidRDefault="007D706A" w:rsidP="00F70508">
            <w:pPr>
              <w:pStyle w:val="ParagraphStyle9"/>
              <w:rPr>
                <w:rStyle w:val="CharacterStyle9"/>
              </w:rPr>
            </w:pPr>
            <w:r>
              <w:rPr>
                <w:rStyle w:val="CharacterStyle9"/>
              </w:rPr>
              <w:t>6.000,00</w:t>
            </w:r>
          </w:p>
        </w:tc>
      </w:tr>
      <w:tr w:rsidR="007D706A" w14:paraId="55CF408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BA9BE8A"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39FFB250"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21687C6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079775A" w14:textId="77777777" w:rsidR="007D706A" w:rsidRDefault="007D706A" w:rsidP="00F70508">
            <w:pPr>
              <w:pStyle w:val="ParagraphStyle12"/>
              <w:rPr>
                <w:rStyle w:val="CharacterStyle12"/>
              </w:rPr>
            </w:pPr>
            <w:r>
              <w:rPr>
                <w:rStyle w:val="CharacterStyle12"/>
              </w:rPr>
              <w:t>5.482,38</w:t>
            </w:r>
          </w:p>
        </w:tc>
        <w:tc>
          <w:tcPr>
            <w:tcW w:w="1395" w:type="dxa"/>
            <w:tcBorders>
              <w:bottom w:val="single" w:sz="6" w:space="0" w:color="000000"/>
              <w:right w:val="single" w:sz="6" w:space="0" w:color="000000"/>
            </w:tcBorders>
            <w:vAlign w:val="center"/>
          </w:tcPr>
          <w:p w14:paraId="0EE47BCF" w14:textId="77777777" w:rsidR="007D706A" w:rsidRDefault="007D706A" w:rsidP="00F70508">
            <w:pPr>
              <w:pStyle w:val="ParagraphStyle12"/>
              <w:rPr>
                <w:rStyle w:val="CharacterStyle12"/>
              </w:rPr>
            </w:pPr>
            <w:r>
              <w:rPr>
                <w:rStyle w:val="CharacterStyle12"/>
              </w:rPr>
              <w:t>5.480,00</w:t>
            </w:r>
          </w:p>
        </w:tc>
        <w:tc>
          <w:tcPr>
            <w:tcW w:w="1395" w:type="dxa"/>
            <w:tcBorders>
              <w:bottom w:val="single" w:sz="6" w:space="0" w:color="000000"/>
              <w:right w:val="single" w:sz="6" w:space="0" w:color="000000"/>
            </w:tcBorders>
            <w:vAlign w:val="center"/>
          </w:tcPr>
          <w:p w14:paraId="6E6E6BF2" w14:textId="77777777" w:rsidR="007D706A" w:rsidRDefault="007D706A" w:rsidP="00F70508">
            <w:pPr>
              <w:pStyle w:val="ParagraphStyle12"/>
              <w:rPr>
                <w:rStyle w:val="CharacterStyle12"/>
              </w:rPr>
            </w:pPr>
            <w:r>
              <w:rPr>
                <w:rStyle w:val="CharacterStyle12"/>
              </w:rPr>
              <w:t>6.000,00</w:t>
            </w:r>
          </w:p>
        </w:tc>
        <w:tc>
          <w:tcPr>
            <w:tcW w:w="1395" w:type="dxa"/>
            <w:tcBorders>
              <w:bottom w:val="single" w:sz="6" w:space="0" w:color="000000"/>
              <w:right w:val="single" w:sz="6" w:space="0" w:color="000000"/>
            </w:tcBorders>
            <w:vAlign w:val="center"/>
          </w:tcPr>
          <w:p w14:paraId="1D300226" w14:textId="77777777" w:rsidR="007D706A" w:rsidRDefault="007D706A" w:rsidP="00F70508">
            <w:pPr>
              <w:pStyle w:val="ParagraphStyle12"/>
              <w:rPr>
                <w:rStyle w:val="CharacterStyle12"/>
              </w:rPr>
            </w:pPr>
            <w:r>
              <w:rPr>
                <w:rStyle w:val="CharacterStyle12"/>
              </w:rPr>
              <w:t>6.000,00</w:t>
            </w:r>
          </w:p>
        </w:tc>
      </w:tr>
      <w:tr w:rsidR="007D706A" w14:paraId="00D8BEF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AEC2569"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2063EBDD"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345C320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FF85850" w14:textId="77777777" w:rsidR="007D706A" w:rsidRDefault="007D706A" w:rsidP="00F70508">
            <w:pPr>
              <w:pStyle w:val="ParagraphStyle12"/>
              <w:rPr>
                <w:rStyle w:val="CharacterStyle12"/>
              </w:rPr>
            </w:pPr>
            <w:r>
              <w:rPr>
                <w:rStyle w:val="CharacterStyle12"/>
              </w:rPr>
              <w:t>5.482,38</w:t>
            </w:r>
          </w:p>
        </w:tc>
        <w:tc>
          <w:tcPr>
            <w:tcW w:w="1395" w:type="dxa"/>
            <w:tcBorders>
              <w:bottom w:val="single" w:sz="6" w:space="0" w:color="000000"/>
              <w:right w:val="single" w:sz="6" w:space="0" w:color="000000"/>
            </w:tcBorders>
            <w:vAlign w:val="center"/>
          </w:tcPr>
          <w:p w14:paraId="0560D520" w14:textId="77777777" w:rsidR="007D706A" w:rsidRDefault="007D706A" w:rsidP="00F70508">
            <w:pPr>
              <w:pStyle w:val="ParagraphStyle12"/>
              <w:rPr>
                <w:rStyle w:val="CharacterStyle12"/>
              </w:rPr>
            </w:pPr>
            <w:r>
              <w:rPr>
                <w:rStyle w:val="CharacterStyle12"/>
              </w:rPr>
              <w:t>5.480,00</w:t>
            </w:r>
          </w:p>
        </w:tc>
        <w:tc>
          <w:tcPr>
            <w:tcW w:w="1395" w:type="dxa"/>
            <w:tcBorders>
              <w:bottom w:val="single" w:sz="6" w:space="0" w:color="000000"/>
              <w:right w:val="single" w:sz="6" w:space="0" w:color="000000"/>
            </w:tcBorders>
            <w:vAlign w:val="center"/>
          </w:tcPr>
          <w:p w14:paraId="6EDCDADA" w14:textId="77777777" w:rsidR="007D706A" w:rsidRDefault="007D706A" w:rsidP="00F70508">
            <w:pPr>
              <w:pStyle w:val="ParagraphStyle12"/>
              <w:rPr>
                <w:rStyle w:val="CharacterStyle12"/>
              </w:rPr>
            </w:pPr>
            <w:r>
              <w:rPr>
                <w:rStyle w:val="CharacterStyle12"/>
              </w:rPr>
              <w:t>6.000,00</w:t>
            </w:r>
          </w:p>
        </w:tc>
        <w:tc>
          <w:tcPr>
            <w:tcW w:w="1395" w:type="dxa"/>
            <w:tcBorders>
              <w:bottom w:val="single" w:sz="6" w:space="0" w:color="000000"/>
              <w:right w:val="single" w:sz="6" w:space="0" w:color="000000"/>
            </w:tcBorders>
            <w:vAlign w:val="center"/>
          </w:tcPr>
          <w:p w14:paraId="29C4E02C" w14:textId="77777777" w:rsidR="007D706A" w:rsidRDefault="007D706A" w:rsidP="00F70508">
            <w:pPr>
              <w:pStyle w:val="ParagraphStyle12"/>
              <w:rPr>
                <w:rStyle w:val="CharacterStyle12"/>
              </w:rPr>
            </w:pPr>
            <w:r>
              <w:rPr>
                <w:rStyle w:val="CharacterStyle12"/>
              </w:rPr>
              <w:t>6.000,00</w:t>
            </w:r>
          </w:p>
        </w:tc>
      </w:tr>
      <w:tr w:rsidR="007D706A" w14:paraId="1653B32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621FDEB" w14:textId="77777777" w:rsidR="007D706A" w:rsidRDefault="007D706A" w:rsidP="00F70508">
            <w:pPr>
              <w:pStyle w:val="ParagraphStyle7"/>
              <w:rPr>
                <w:rStyle w:val="CharacterStyle7"/>
              </w:rPr>
            </w:pPr>
            <w:r>
              <w:rPr>
                <w:rStyle w:val="CharacterStyle7"/>
              </w:rPr>
              <w:t>Izvor financiranja 50</w:t>
            </w:r>
          </w:p>
        </w:tc>
        <w:tc>
          <w:tcPr>
            <w:tcW w:w="4995" w:type="dxa"/>
            <w:tcBorders>
              <w:bottom w:val="single" w:sz="6" w:space="0" w:color="000000"/>
              <w:right w:val="single" w:sz="6" w:space="0" w:color="000000"/>
            </w:tcBorders>
            <w:vAlign w:val="center"/>
          </w:tcPr>
          <w:p w14:paraId="3116D619" w14:textId="77777777" w:rsidR="007D706A" w:rsidRDefault="007D706A" w:rsidP="00F70508">
            <w:pPr>
              <w:pStyle w:val="ParagraphStyle8"/>
              <w:rPr>
                <w:rStyle w:val="CharacterStyle8"/>
              </w:rPr>
            </w:pPr>
            <w:r>
              <w:rPr>
                <w:rStyle w:val="CharacterStyle8"/>
              </w:rPr>
              <w:t>Pomoći iz državnog proračuna</w:t>
            </w:r>
          </w:p>
        </w:tc>
        <w:tc>
          <w:tcPr>
            <w:tcW w:w="1395" w:type="dxa"/>
            <w:tcBorders>
              <w:bottom w:val="single" w:sz="6" w:space="0" w:color="000000"/>
              <w:right w:val="single" w:sz="6" w:space="0" w:color="000000"/>
            </w:tcBorders>
            <w:vAlign w:val="center"/>
          </w:tcPr>
          <w:p w14:paraId="54204520"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508BC1E"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B25CB2C" w14:textId="77777777" w:rsidR="007D706A" w:rsidRDefault="007D706A" w:rsidP="00F70508">
            <w:pPr>
              <w:pStyle w:val="ParagraphStyle9"/>
              <w:rPr>
                <w:rStyle w:val="CharacterStyle9"/>
              </w:rPr>
            </w:pPr>
            <w:r>
              <w:rPr>
                <w:rStyle w:val="CharacterStyle9"/>
              </w:rPr>
              <w:t>520,00</w:t>
            </w:r>
          </w:p>
        </w:tc>
        <w:tc>
          <w:tcPr>
            <w:tcW w:w="1395" w:type="dxa"/>
            <w:tcBorders>
              <w:bottom w:val="single" w:sz="6" w:space="0" w:color="000000"/>
              <w:right w:val="single" w:sz="6" w:space="0" w:color="000000"/>
            </w:tcBorders>
            <w:vAlign w:val="center"/>
          </w:tcPr>
          <w:p w14:paraId="23F055FD" w14:textId="77777777" w:rsidR="007D706A" w:rsidRDefault="007D706A" w:rsidP="00F70508">
            <w:pPr>
              <w:pStyle w:val="ParagraphStyle9"/>
              <w:rPr>
                <w:rStyle w:val="CharacterStyle9"/>
              </w:rPr>
            </w:pPr>
            <w:r>
              <w:rPr>
                <w:rStyle w:val="CharacterStyle9"/>
              </w:rPr>
              <w:t>520,00</w:t>
            </w:r>
          </w:p>
        </w:tc>
        <w:tc>
          <w:tcPr>
            <w:tcW w:w="1395" w:type="dxa"/>
            <w:tcBorders>
              <w:bottom w:val="single" w:sz="6" w:space="0" w:color="000000"/>
              <w:right w:val="single" w:sz="6" w:space="0" w:color="000000"/>
            </w:tcBorders>
            <w:vAlign w:val="center"/>
          </w:tcPr>
          <w:p w14:paraId="561FA041" w14:textId="77777777" w:rsidR="007D706A" w:rsidRDefault="007D706A" w:rsidP="00F70508">
            <w:pPr>
              <w:pStyle w:val="ParagraphStyle9"/>
              <w:rPr>
                <w:rStyle w:val="CharacterStyle9"/>
              </w:rPr>
            </w:pPr>
            <w:r>
              <w:rPr>
                <w:rStyle w:val="CharacterStyle9"/>
              </w:rPr>
              <w:t>520,00</w:t>
            </w:r>
          </w:p>
        </w:tc>
      </w:tr>
      <w:tr w:rsidR="007D706A" w14:paraId="021FD9E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40DD630"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41DEA72F"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15C0955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82CCC5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9A915BB" w14:textId="77777777" w:rsidR="007D706A" w:rsidRDefault="007D706A" w:rsidP="00F70508">
            <w:pPr>
              <w:pStyle w:val="ParagraphStyle12"/>
              <w:rPr>
                <w:rStyle w:val="CharacterStyle12"/>
              </w:rPr>
            </w:pPr>
            <w:r>
              <w:rPr>
                <w:rStyle w:val="CharacterStyle12"/>
              </w:rPr>
              <w:t>520,00</w:t>
            </w:r>
          </w:p>
        </w:tc>
        <w:tc>
          <w:tcPr>
            <w:tcW w:w="1395" w:type="dxa"/>
            <w:tcBorders>
              <w:bottom w:val="single" w:sz="6" w:space="0" w:color="000000"/>
              <w:right w:val="single" w:sz="6" w:space="0" w:color="000000"/>
            </w:tcBorders>
            <w:vAlign w:val="center"/>
          </w:tcPr>
          <w:p w14:paraId="36B369C5" w14:textId="77777777" w:rsidR="007D706A" w:rsidRDefault="007D706A" w:rsidP="00F70508">
            <w:pPr>
              <w:pStyle w:val="ParagraphStyle12"/>
              <w:rPr>
                <w:rStyle w:val="CharacterStyle12"/>
              </w:rPr>
            </w:pPr>
            <w:r>
              <w:rPr>
                <w:rStyle w:val="CharacterStyle12"/>
              </w:rPr>
              <w:t>520,00</w:t>
            </w:r>
          </w:p>
        </w:tc>
        <w:tc>
          <w:tcPr>
            <w:tcW w:w="1395" w:type="dxa"/>
            <w:tcBorders>
              <w:bottom w:val="single" w:sz="6" w:space="0" w:color="000000"/>
              <w:right w:val="single" w:sz="6" w:space="0" w:color="000000"/>
            </w:tcBorders>
            <w:vAlign w:val="center"/>
          </w:tcPr>
          <w:p w14:paraId="1BED854F" w14:textId="77777777" w:rsidR="007D706A" w:rsidRDefault="007D706A" w:rsidP="00F70508">
            <w:pPr>
              <w:pStyle w:val="ParagraphStyle12"/>
              <w:rPr>
                <w:rStyle w:val="CharacterStyle12"/>
              </w:rPr>
            </w:pPr>
            <w:r>
              <w:rPr>
                <w:rStyle w:val="CharacterStyle12"/>
              </w:rPr>
              <w:t>520,00</w:t>
            </w:r>
          </w:p>
        </w:tc>
      </w:tr>
      <w:tr w:rsidR="007D706A" w14:paraId="7F1D8D7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AF74138"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1A8DD412"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4E0D6F0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469847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F0B74B1" w14:textId="77777777" w:rsidR="007D706A" w:rsidRDefault="007D706A" w:rsidP="00F70508">
            <w:pPr>
              <w:pStyle w:val="ParagraphStyle12"/>
              <w:rPr>
                <w:rStyle w:val="CharacterStyle12"/>
              </w:rPr>
            </w:pPr>
            <w:r>
              <w:rPr>
                <w:rStyle w:val="CharacterStyle12"/>
              </w:rPr>
              <w:t>520,00</w:t>
            </w:r>
          </w:p>
        </w:tc>
        <w:tc>
          <w:tcPr>
            <w:tcW w:w="1395" w:type="dxa"/>
            <w:tcBorders>
              <w:bottom w:val="single" w:sz="6" w:space="0" w:color="000000"/>
              <w:right w:val="single" w:sz="6" w:space="0" w:color="000000"/>
            </w:tcBorders>
            <w:vAlign w:val="center"/>
          </w:tcPr>
          <w:p w14:paraId="45886B43" w14:textId="77777777" w:rsidR="007D706A" w:rsidRDefault="007D706A" w:rsidP="00F70508">
            <w:pPr>
              <w:pStyle w:val="ParagraphStyle12"/>
              <w:rPr>
                <w:rStyle w:val="CharacterStyle12"/>
              </w:rPr>
            </w:pPr>
            <w:r>
              <w:rPr>
                <w:rStyle w:val="CharacterStyle12"/>
              </w:rPr>
              <w:t>520,00</w:t>
            </w:r>
          </w:p>
        </w:tc>
        <w:tc>
          <w:tcPr>
            <w:tcW w:w="1395" w:type="dxa"/>
            <w:tcBorders>
              <w:bottom w:val="single" w:sz="6" w:space="0" w:color="000000"/>
              <w:right w:val="single" w:sz="6" w:space="0" w:color="000000"/>
            </w:tcBorders>
            <w:vAlign w:val="center"/>
          </w:tcPr>
          <w:p w14:paraId="1D87D5B0" w14:textId="77777777" w:rsidR="007D706A" w:rsidRDefault="007D706A" w:rsidP="00F70508">
            <w:pPr>
              <w:pStyle w:val="ParagraphStyle12"/>
              <w:rPr>
                <w:rStyle w:val="CharacterStyle12"/>
              </w:rPr>
            </w:pPr>
            <w:r>
              <w:rPr>
                <w:rStyle w:val="CharacterStyle12"/>
              </w:rPr>
              <w:t>520,00</w:t>
            </w:r>
          </w:p>
        </w:tc>
      </w:tr>
      <w:tr w:rsidR="007D706A" w14:paraId="51D83B9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BC7ECFD" w14:textId="77777777" w:rsidR="007D706A" w:rsidRDefault="007D706A" w:rsidP="00F70508">
            <w:pPr>
              <w:pStyle w:val="ParagraphStyle7"/>
              <w:rPr>
                <w:rStyle w:val="CharacterStyle7"/>
              </w:rPr>
            </w:pPr>
            <w:r>
              <w:rPr>
                <w:rStyle w:val="CharacterStyle7"/>
              </w:rPr>
              <w:t>Izvor financiranja 53</w:t>
            </w:r>
          </w:p>
        </w:tc>
        <w:tc>
          <w:tcPr>
            <w:tcW w:w="4995" w:type="dxa"/>
            <w:tcBorders>
              <w:bottom w:val="single" w:sz="6" w:space="0" w:color="000000"/>
              <w:right w:val="single" w:sz="6" w:space="0" w:color="000000"/>
            </w:tcBorders>
            <w:vAlign w:val="center"/>
          </w:tcPr>
          <w:p w14:paraId="2FDB5D95" w14:textId="77777777" w:rsidR="007D706A" w:rsidRDefault="007D706A" w:rsidP="00F70508">
            <w:pPr>
              <w:pStyle w:val="ParagraphStyle8"/>
              <w:rPr>
                <w:rStyle w:val="CharacterStyle8"/>
              </w:rPr>
            </w:pPr>
            <w:r>
              <w:rPr>
                <w:rStyle w:val="CharacterStyle8"/>
              </w:rPr>
              <w:t>Proračuni, drugi nivoi - za posebne i / ili ugovorene namjene</w:t>
            </w:r>
          </w:p>
        </w:tc>
        <w:tc>
          <w:tcPr>
            <w:tcW w:w="1395" w:type="dxa"/>
            <w:tcBorders>
              <w:bottom w:val="single" w:sz="6" w:space="0" w:color="000000"/>
              <w:right w:val="single" w:sz="6" w:space="0" w:color="000000"/>
            </w:tcBorders>
            <w:vAlign w:val="center"/>
          </w:tcPr>
          <w:p w14:paraId="0DA1F566"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94FFC7C" w14:textId="77777777" w:rsidR="007D706A" w:rsidRDefault="007D706A" w:rsidP="00F70508">
            <w:pPr>
              <w:pStyle w:val="ParagraphStyle9"/>
              <w:rPr>
                <w:rStyle w:val="CharacterStyle9"/>
              </w:rPr>
            </w:pPr>
            <w:r>
              <w:rPr>
                <w:rStyle w:val="CharacterStyle9"/>
              </w:rPr>
              <w:t>517,62</w:t>
            </w:r>
          </w:p>
        </w:tc>
        <w:tc>
          <w:tcPr>
            <w:tcW w:w="1395" w:type="dxa"/>
            <w:tcBorders>
              <w:bottom w:val="single" w:sz="6" w:space="0" w:color="000000"/>
              <w:right w:val="single" w:sz="6" w:space="0" w:color="000000"/>
            </w:tcBorders>
            <w:vAlign w:val="center"/>
          </w:tcPr>
          <w:p w14:paraId="2C95DDE4"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C6E3A30"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BBB0C6A" w14:textId="77777777" w:rsidR="007D706A" w:rsidRDefault="007D706A" w:rsidP="00F70508">
            <w:pPr>
              <w:pStyle w:val="ParagraphStyle9"/>
              <w:rPr>
                <w:rStyle w:val="CharacterStyle9"/>
              </w:rPr>
            </w:pPr>
            <w:r>
              <w:rPr>
                <w:rStyle w:val="CharacterStyle9"/>
              </w:rPr>
              <w:t>0,00</w:t>
            </w:r>
          </w:p>
        </w:tc>
      </w:tr>
      <w:tr w:rsidR="007D706A" w14:paraId="08FEA5B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F71E34B"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7F29A83B"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7C27E68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1C3B611" w14:textId="77777777" w:rsidR="007D706A" w:rsidRDefault="007D706A" w:rsidP="00F70508">
            <w:pPr>
              <w:pStyle w:val="ParagraphStyle12"/>
              <w:rPr>
                <w:rStyle w:val="CharacterStyle12"/>
              </w:rPr>
            </w:pPr>
            <w:r>
              <w:rPr>
                <w:rStyle w:val="CharacterStyle12"/>
              </w:rPr>
              <w:t>517,62</w:t>
            </w:r>
          </w:p>
        </w:tc>
        <w:tc>
          <w:tcPr>
            <w:tcW w:w="1395" w:type="dxa"/>
            <w:tcBorders>
              <w:bottom w:val="single" w:sz="6" w:space="0" w:color="000000"/>
              <w:right w:val="single" w:sz="6" w:space="0" w:color="000000"/>
            </w:tcBorders>
            <w:vAlign w:val="center"/>
          </w:tcPr>
          <w:p w14:paraId="6C2C68B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EBB0E3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91C97F6" w14:textId="77777777" w:rsidR="007D706A" w:rsidRDefault="007D706A" w:rsidP="00F70508">
            <w:pPr>
              <w:pStyle w:val="ParagraphStyle12"/>
              <w:rPr>
                <w:rStyle w:val="CharacterStyle12"/>
              </w:rPr>
            </w:pPr>
            <w:r>
              <w:rPr>
                <w:rStyle w:val="CharacterStyle12"/>
              </w:rPr>
              <w:t>0,00</w:t>
            </w:r>
          </w:p>
        </w:tc>
      </w:tr>
      <w:tr w:rsidR="007D706A" w14:paraId="3BD4B27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C272B4D" w14:textId="77777777" w:rsidR="007D706A" w:rsidRDefault="007D706A" w:rsidP="00F70508">
            <w:pPr>
              <w:pStyle w:val="ParagraphStyle10"/>
              <w:rPr>
                <w:rStyle w:val="CharacterStyle10"/>
              </w:rPr>
            </w:pPr>
            <w:r>
              <w:rPr>
                <w:rStyle w:val="CharacterStyle10"/>
              </w:rPr>
              <w:lastRenderedPageBreak/>
              <w:t>32</w:t>
            </w:r>
          </w:p>
        </w:tc>
        <w:tc>
          <w:tcPr>
            <w:tcW w:w="4995" w:type="dxa"/>
            <w:tcBorders>
              <w:bottom w:val="single" w:sz="6" w:space="0" w:color="000000"/>
              <w:right w:val="single" w:sz="6" w:space="0" w:color="000000"/>
            </w:tcBorders>
            <w:vAlign w:val="center"/>
          </w:tcPr>
          <w:p w14:paraId="75B5050E"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3C8FF35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977BAE7" w14:textId="77777777" w:rsidR="007D706A" w:rsidRDefault="007D706A" w:rsidP="00F70508">
            <w:pPr>
              <w:pStyle w:val="ParagraphStyle12"/>
              <w:rPr>
                <w:rStyle w:val="CharacterStyle12"/>
              </w:rPr>
            </w:pPr>
            <w:r>
              <w:rPr>
                <w:rStyle w:val="CharacterStyle12"/>
              </w:rPr>
              <w:t>517,62</w:t>
            </w:r>
          </w:p>
        </w:tc>
        <w:tc>
          <w:tcPr>
            <w:tcW w:w="1395" w:type="dxa"/>
            <w:tcBorders>
              <w:bottom w:val="single" w:sz="6" w:space="0" w:color="000000"/>
              <w:right w:val="single" w:sz="6" w:space="0" w:color="000000"/>
            </w:tcBorders>
            <w:vAlign w:val="center"/>
          </w:tcPr>
          <w:p w14:paraId="014A2FC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61687B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961E680" w14:textId="77777777" w:rsidR="007D706A" w:rsidRDefault="007D706A" w:rsidP="00F70508">
            <w:pPr>
              <w:pStyle w:val="ParagraphStyle12"/>
              <w:rPr>
                <w:rStyle w:val="CharacterStyle12"/>
              </w:rPr>
            </w:pPr>
            <w:r>
              <w:rPr>
                <w:rStyle w:val="CharacterStyle12"/>
              </w:rPr>
              <w:t>0,00</w:t>
            </w:r>
          </w:p>
        </w:tc>
      </w:tr>
      <w:tr w:rsidR="007D706A" w14:paraId="27B04D9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9CFB8D3" w14:textId="77777777" w:rsidR="007D706A" w:rsidRDefault="007D706A" w:rsidP="00F70508">
            <w:pPr>
              <w:pStyle w:val="ParagraphStyle4"/>
              <w:rPr>
                <w:rStyle w:val="CharacterStyle4"/>
              </w:rPr>
            </w:pPr>
            <w:r>
              <w:rPr>
                <w:rStyle w:val="CharacterStyle4"/>
              </w:rPr>
              <w:t>Aktivnost A102605</w:t>
            </w:r>
          </w:p>
        </w:tc>
        <w:tc>
          <w:tcPr>
            <w:tcW w:w="4995" w:type="dxa"/>
            <w:tcBorders>
              <w:bottom w:val="single" w:sz="6" w:space="0" w:color="000000"/>
              <w:right w:val="single" w:sz="6" w:space="0" w:color="000000"/>
            </w:tcBorders>
            <w:vAlign w:val="center"/>
          </w:tcPr>
          <w:p w14:paraId="60F273EE" w14:textId="77777777" w:rsidR="007D706A" w:rsidRDefault="007D706A" w:rsidP="00F70508">
            <w:pPr>
              <w:pStyle w:val="ParagraphStyle5"/>
              <w:rPr>
                <w:rStyle w:val="CharacterStyle5"/>
              </w:rPr>
            </w:pPr>
            <w:r>
              <w:rPr>
                <w:rStyle w:val="CharacterStyle5"/>
              </w:rPr>
              <w:t>SAVJETOVALIŠTE ZA PREHRANU</w:t>
            </w:r>
          </w:p>
        </w:tc>
        <w:tc>
          <w:tcPr>
            <w:tcW w:w="1395" w:type="dxa"/>
            <w:tcBorders>
              <w:bottom w:val="single" w:sz="6" w:space="0" w:color="000000"/>
              <w:right w:val="single" w:sz="6" w:space="0" w:color="000000"/>
            </w:tcBorders>
            <w:vAlign w:val="center"/>
          </w:tcPr>
          <w:p w14:paraId="50566646"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1D9E6C17" w14:textId="77777777" w:rsidR="007D706A" w:rsidRDefault="007D706A" w:rsidP="00F70508">
            <w:pPr>
              <w:pStyle w:val="ParagraphStyle6"/>
              <w:rPr>
                <w:rStyle w:val="CharacterStyle6"/>
              </w:rPr>
            </w:pPr>
            <w:r>
              <w:rPr>
                <w:rStyle w:val="CharacterStyle6"/>
              </w:rPr>
              <w:t>3.500,00</w:t>
            </w:r>
          </w:p>
        </w:tc>
        <w:tc>
          <w:tcPr>
            <w:tcW w:w="1395" w:type="dxa"/>
            <w:tcBorders>
              <w:bottom w:val="single" w:sz="6" w:space="0" w:color="000000"/>
              <w:right w:val="single" w:sz="6" w:space="0" w:color="000000"/>
            </w:tcBorders>
            <w:vAlign w:val="center"/>
          </w:tcPr>
          <w:p w14:paraId="61A56DF8" w14:textId="77777777" w:rsidR="007D706A" w:rsidRDefault="007D706A" w:rsidP="00F70508">
            <w:pPr>
              <w:pStyle w:val="ParagraphStyle6"/>
              <w:rPr>
                <w:rStyle w:val="CharacterStyle6"/>
              </w:rPr>
            </w:pPr>
            <w:r>
              <w:rPr>
                <w:rStyle w:val="CharacterStyle6"/>
              </w:rPr>
              <w:t>3.920,00</w:t>
            </w:r>
          </w:p>
        </w:tc>
        <w:tc>
          <w:tcPr>
            <w:tcW w:w="1395" w:type="dxa"/>
            <w:tcBorders>
              <w:bottom w:val="single" w:sz="6" w:space="0" w:color="000000"/>
              <w:right w:val="single" w:sz="6" w:space="0" w:color="000000"/>
            </w:tcBorders>
            <w:vAlign w:val="center"/>
          </w:tcPr>
          <w:p w14:paraId="2278A51A" w14:textId="77777777" w:rsidR="007D706A" w:rsidRDefault="007D706A" w:rsidP="00F70508">
            <w:pPr>
              <w:pStyle w:val="ParagraphStyle6"/>
              <w:rPr>
                <w:rStyle w:val="CharacterStyle6"/>
              </w:rPr>
            </w:pPr>
            <w:r>
              <w:rPr>
                <w:rStyle w:val="CharacterStyle6"/>
              </w:rPr>
              <w:t>3.920,00</w:t>
            </w:r>
          </w:p>
        </w:tc>
        <w:tc>
          <w:tcPr>
            <w:tcW w:w="1395" w:type="dxa"/>
            <w:tcBorders>
              <w:bottom w:val="single" w:sz="6" w:space="0" w:color="000000"/>
              <w:right w:val="single" w:sz="6" w:space="0" w:color="000000"/>
            </w:tcBorders>
            <w:vAlign w:val="center"/>
          </w:tcPr>
          <w:p w14:paraId="0962A067" w14:textId="77777777" w:rsidR="007D706A" w:rsidRDefault="007D706A" w:rsidP="00F70508">
            <w:pPr>
              <w:pStyle w:val="ParagraphStyle6"/>
              <w:rPr>
                <w:rStyle w:val="CharacterStyle6"/>
              </w:rPr>
            </w:pPr>
            <w:r>
              <w:rPr>
                <w:rStyle w:val="CharacterStyle6"/>
              </w:rPr>
              <w:t>4.100,00</w:t>
            </w:r>
          </w:p>
        </w:tc>
      </w:tr>
      <w:tr w:rsidR="007D706A" w14:paraId="231DD56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19E2A5F"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1BCC4A0B"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07413F12"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D1D5C6B" w14:textId="77777777" w:rsidR="007D706A" w:rsidRDefault="007D706A" w:rsidP="00F70508">
            <w:pPr>
              <w:pStyle w:val="ParagraphStyle9"/>
              <w:rPr>
                <w:rStyle w:val="CharacterStyle9"/>
              </w:rPr>
            </w:pPr>
            <w:r>
              <w:rPr>
                <w:rStyle w:val="CharacterStyle9"/>
              </w:rPr>
              <w:t>3.500,00</w:t>
            </w:r>
          </w:p>
        </w:tc>
        <w:tc>
          <w:tcPr>
            <w:tcW w:w="1395" w:type="dxa"/>
            <w:tcBorders>
              <w:bottom w:val="single" w:sz="6" w:space="0" w:color="000000"/>
              <w:right w:val="single" w:sz="6" w:space="0" w:color="000000"/>
            </w:tcBorders>
            <w:vAlign w:val="center"/>
          </w:tcPr>
          <w:p w14:paraId="1A6F6EA2" w14:textId="77777777" w:rsidR="007D706A" w:rsidRDefault="007D706A" w:rsidP="00F70508">
            <w:pPr>
              <w:pStyle w:val="ParagraphStyle9"/>
              <w:rPr>
                <w:rStyle w:val="CharacterStyle9"/>
              </w:rPr>
            </w:pPr>
            <w:r>
              <w:rPr>
                <w:rStyle w:val="CharacterStyle9"/>
              </w:rPr>
              <w:t>3.920,00</w:t>
            </w:r>
          </w:p>
        </w:tc>
        <w:tc>
          <w:tcPr>
            <w:tcW w:w="1395" w:type="dxa"/>
            <w:tcBorders>
              <w:bottom w:val="single" w:sz="6" w:space="0" w:color="000000"/>
              <w:right w:val="single" w:sz="6" w:space="0" w:color="000000"/>
            </w:tcBorders>
            <w:vAlign w:val="center"/>
          </w:tcPr>
          <w:p w14:paraId="3FF3F6C5" w14:textId="77777777" w:rsidR="007D706A" w:rsidRDefault="007D706A" w:rsidP="00F70508">
            <w:pPr>
              <w:pStyle w:val="ParagraphStyle9"/>
              <w:rPr>
                <w:rStyle w:val="CharacterStyle9"/>
              </w:rPr>
            </w:pPr>
            <w:r>
              <w:rPr>
                <w:rStyle w:val="CharacterStyle9"/>
              </w:rPr>
              <w:t>3.920,00</w:t>
            </w:r>
          </w:p>
        </w:tc>
        <w:tc>
          <w:tcPr>
            <w:tcW w:w="1395" w:type="dxa"/>
            <w:tcBorders>
              <w:bottom w:val="single" w:sz="6" w:space="0" w:color="000000"/>
              <w:right w:val="single" w:sz="6" w:space="0" w:color="000000"/>
            </w:tcBorders>
            <w:vAlign w:val="center"/>
          </w:tcPr>
          <w:p w14:paraId="0D4ECD12" w14:textId="77777777" w:rsidR="007D706A" w:rsidRDefault="007D706A" w:rsidP="00F70508">
            <w:pPr>
              <w:pStyle w:val="ParagraphStyle9"/>
              <w:rPr>
                <w:rStyle w:val="CharacterStyle9"/>
              </w:rPr>
            </w:pPr>
            <w:r>
              <w:rPr>
                <w:rStyle w:val="CharacterStyle9"/>
              </w:rPr>
              <w:t>4.100,00</w:t>
            </w:r>
          </w:p>
        </w:tc>
      </w:tr>
      <w:tr w:rsidR="007D706A" w14:paraId="0DF07FD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A917EAE"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4AB5A902"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36219CB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2864DBB" w14:textId="77777777" w:rsidR="007D706A" w:rsidRDefault="007D706A" w:rsidP="00F70508">
            <w:pPr>
              <w:pStyle w:val="ParagraphStyle12"/>
              <w:rPr>
                <w:rStyle w:val="CharacterStyle12"/>
              </w:rPr>
            </w:pPr>
            <w:r>
              <w:rPr>
                <w:rStyle w:val="CharacterStyle12"/>
              </w:rPr>
              <w:t>3.500,00</w:t>
            </w:r>
          </w:p>
        </w:tc>
        <w:tc>
          <w:tcPr>
            <w:tcW w:w="1395" w:type="dxa"/>
            <w:tcBorders>
              <w:bottom w:val="single" w:sz="6" w:space="0" w:color="000000"/>
              <w:right w:val="single" w:sz="6" w:space="0" w:color="000000"/>
            </w:tcBorders>
            <w:vAlign w:val="center"/>
          </w:tcPr>
          <w:p w14:paraId="3560E7AF" w14:textId="77777777" w:rsidR="007D706A" w:rsidRDefault="007D706A" w:rsidP="00F70508">
            <w:pPr>
              <w:pStyle w:val="ParagraphStyle12"/>
              <w:rPr>
                <w:rStyle w:val="CharacterStyle12"/>
              </w:rPr>
            </w:pPr>
            <w:r>
              <w:rPr>
                <w:rStyle w:val="CharacterStyle12"/>
              </w:rPr>
              <w:t>3.920,00</w:t>
            </w:r>
          </w:p>
        </w:tc>
        <w:tc>
          <w:tcPr>
            <w:tcW w:w="1395" w:type="dxa"/>
            <w:tcBorders>
              <w:bottom w:val="single" w:sz="6" w:space="0" w:color="000000"/>
              <w:right w:val="single" w:sz="6" w:space="0" w:color="000000"/>
            </w:tcBorders>
            <w:vAlign w:val="center"/>
          </w:tcPr>
          <w:p w14:paraId="61A4FBDD" w14:textId="77777777" w:rsidR="007D706A" w:rsidRDefault="007D706A" w:rsidP="00F70508">
            <w:pPr>
              <w:pStyle w:val="ParagraphStyle12"/>
              <w:rPr>
                <w:rStyle w:val="CharacterStyle12"/>
              </w:rPr>
            </w:pPr>
            <w:r>
              <w:rPr>
                <w:rStyle w:val="CharacterStyle12"/>
              </w:rPr>
              <w:t>3.920,00</w:t>
            </w:r>
          </w:p>
        </w:tc>
        <w:tc>
          <w:tcPr>
            <w:tcW w:w="1395" w:type="dxa"/>
            <w:tcBorders>
              <w:bottom w:val="single" w:sz="6" w:space="0" w:color="000000"/>
              <w:right w:val="single" w:sz="6" w:space="0" w:color="000000"/>
            </w:tcBorders>
            <w:vAlign w:val="center"/>
          </w:tcPr>
          <w:p w14:paraId="115F3E94" w14:textId="77777777" w:rsidR="007D706A" w:rsidRDefault="007D706A" w:rsidP="00F70508">
            <w:pPr>
              <w:pStyle w:val="ParagraphStyle12"/>
              <w:rPr>
                <w:rStyle w:val="CharacterStyle12"/>
              </w:rPr>
            </w:pPr>
            <w:r>
              <w:rPr>
                <w:rStyle w:val="CharacterStyle12"/>
              </w:rPr>
              <w:t>4.100,00</w:t>
            </w:r>
          </w:p>
        </w:tc>
      </w:tr>
      <w:tr w:rsidR="007D706A" w14:paraId="26EF4FF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E645CC6"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4B480EB1"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2668725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FF67B59" w14:textId="77777777" w:rsidR="007D706A" w:rsidRDefault="007D706A" w:rsidP="00F70508">
            <w:pPr>
              <w:pStyle w:val="ParagraphStyle12"/>
              <w:rPr>
                <w:rStyle w:val="CharacterStyle12"/>
              </w:rPr>
            </w:pPr>
            <w:r>
              <w:rPr>
                <w:rStyle w:val="CharacterStyle12"/>
              </w:rPr>
              <w:t>3.500,00</w:t>
            </w:r>
          </w:p>
        </w:tc>
        <w:tc>
          <w:tcPr>
            <w:tcW w:w="1395" w:type="dxa"/>
            <w:tcBorders>
              <w:bottom w:val="single" w:sz="6" w:space="0" w:color="000000"/>
              <w:right w:val="single" w:sz="6" w:space="0" w:color="000000"/>
            </w:tcBorders>
            <w:vAlign w:val="center"/>
          </w:tcPr>
          <w:p w14:paraId="7DE6CAB6" w14:textId="77777777" w:rsidR="007D706A" w:rsidRDefault="007D706A" w:rsidP="00F70508">
            <w:pPr>
              <w:pStyle w:val="ParagraphStyle12"/>
              <w:rPr>
                <w:rStyle w:val="CharacterStyle12"/>
              </w:rPr>
            </w:pPr>
            <w:r>
              <w:rPr>
                <w:rStyle w:val="CharacterStyle12"/>
              </w:rPr>
              <w:t>3.920,00</w:t>
            </w:r>
          </w:p>
        </w:tc>
        <w:tc>
          <w:tcPr>
            <w:tcW w:w="1395" w:type="dxa"/>
            <w:tcBorders>
              <w:bottom w:val="single" w:sz="6" w:space="0" w:color="000000"/>
              <w:right w:val="single" w:sz="6" w:space="0" w:color="000000"/>
            </w:tcBorders>
            <w:vAlign w:val="center"/>
          </w:tcPr>
          <w:p w14:paraId="19FBAFF7" w14:textId="77777777" w:rsidR="007D706A" w:rsidRDefault="007D706A" w:rsidP="00F70508">
            <w:pPr>
              <w:pStyle w:val="ParagraphStyle12"/>
              <w:rPr>
                <w:rStyle w:val="CharacterStyle12"/>
              </w:rPr>
            </w:pPr>
            <w:r>
              <w:rPr>
                <w:rStyle w:val="CharacterStyle12"/>
              </w:rPr>
              <w:t>3.920,00</w:t>
            </w:r>
          </w:p>
        </w:tc>
        <w:tc>
          <w:tcPr>
            <w:tcW w:w="1395" w:type="dxa"/>
            <w:tcBorders>
              <w:bottom w:val="single" w:sz="6" w:space="0" w:color="000000"/>
              <w:right w:val="single" w:sz="6" w:space="0" w:color="000000"/>
            </w:tcBorders>
            <w:vAlign w:val="center"/>
          </w:tcPr>
          <w:p w14:paraId="679A5658" w14:textId="77777777" w:rsidR="007D706A" w:rsidRDefault="007D706A" w:rsidP="00F70508">
            <w:pPr>
              <w:pStyle w:val="ParagraphStyle12"/>
              <w:rPr>
                <w:rStyle w:val="CharacterStyle12"/>
              </w:rPr>
            </w:pPr>
            <w:r>
              <w:rPr>
                <w:rStyle w:val="CharacterStyle12"/>
              </w:rPr>
              <w:t>4.100,00</w:t>
            </w:r>
          </w:p>
        </w:tc>
      </w:tr>
      <w:tr w:rsidR="007D706A" w14:paraId="36A26D9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5DBF3C6" w14:textId="77777777" w:rsidR="007D706A" w:rsidRDefault="007D706A" w:rsidP="00F70508">
            <w:pPr>
              <w:pStyle w:val="ParagraphStyle4"/>
              <w:rPr>
                <w:rStyle w:val="CharacterStyle4"/>
              </w:rPr>
            </w:pPr>
            <w:r>
              <w:rPr>
                <w:rStyle w:val="CharacterStyle4"/>
              </w:rPr>
              <w:t>Aktivnost A102607</w:t>
            </w:r>
          </w:p>
        </w:tc>
        <w:tc>
          <w:tcPr>
            <w:tcW w:w="4995" w:type="dxa"/>
            <w:tcBorders>
              <w:bottom w:val="single" w:sz="6" w:space="0" w:color="000000"/>
              <w:right w:val="single" w:sz="6" w:space="0" w:color="000000"/>
            </w:tcBorders>
            <w:vAlign w:val="center"/>
          </w:tcPr>
          <w:p w14:paraId="2223D77C" w14:textId="77777777" w:rsidR="007D706A" w:rsidRDefault="007D706A" w:rsidP="00F70508">
            <w:pPr>
              <w:pStyle w:val="ParagraphStyle5"/>
              <w:rPr>
                <w:rStyle w:val="CharacterStyle5"/>
              </w:rPr>
            </w:pPr>
            <w:r>
              <w:rPr>
                <w:rStyle w:val="CharacterStyle5"/>
              </w:rPr>
              <w:t>NATJECANJA UČENIKA</w:t>
            </w:r>
          </w:p>
        </w:tc>
        <w:tc>
          <w:tcPr>
            <w:tcW w:w="1395" w:type="dxa"/>
            <w:tcBorders>
              <w:bottom w:val="single" w:sz="6" w:space="0" w:color="000000"/>
              <w:right w:val="single" w:sz="6" w:space="0" w:color="000000"/>
            </w:tcBorders>
            <w:vAlign w:val="center"/>
          </w:tcPr>
          <w:p w14:paraId="540E80BE"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4B6DEAEA" w14:textId="77777777" w:rsidR="007D706A" w:rsidRDefault="007D706A" w:rsidP="00F70508">
            <w:pPr>
              <w:pStyle w:val="ParagraphStyle6"/>
              <w:rPr>
                <w:rStyle w:val="CharacterStyle6"/>
              </w:rPr>
            </w:pPr>
            <w:r>
              <w:rPr>
                <w:rStyle w:val="CharacterStyle6"/>
              </w:rPr>
              <w:t>3.500,00</w:t>
            </w:r>
          </w:p>
        </w:tc>
        <w:tc>
          <w:tcPr>
            <w:tcW w:w="1395" w:type="dxa"/>
            <w:tcBorders>
              <w:bottom w:val="single" w:sz="6" w:space="0" w:color="000000"/>
              <w:right w:val="single" w:sz="6" w:space="0" w:color="000000"/>
            </w:tcBorders>
            <w:vAlign w:val="center"/>
          </w:tcPr>
          <w:p w14:paraId="52D9F071" w14:textId="77777777" w:rsidR="007D706A" w:rsidRDefault="007D706A" w:rsidP="00F70508">
            <w:pPr>
              <w:pStyle w:val="ParagraphStyle6"/>
              <w:rPr>
                <w:rStyle w:val="CharacterStyle6"/>
              </w:rPr>
            </w:pPr>
            <w:r>
              <w:rPr>
                <w:rStyle w:val="CharacterStyle6"/>
              </w:rPr>
              <w:t>900,00</w:t>
            </w:r>
          </w:p>
        </w:tc>
        <w:tc>
          <w:tcPr>
            <w:tcW w:w="1395" w:type="dxa"/>
            <w:tcBorders>
              <w:bottom w:val="single" w:sz="6" w:space="0" w:color="000000"/>
              <w:right w:val="single" w:sz="6" w:space="0" w:color="000000"/>
            </w:tcBorders>
            <w:vAlign w:val="center"/>
          </w:tcPr>
          <w:p w14:paraId="0DEA0C4D" w14:textId="77777777" w:rsidR="007D706A" w:rsidRDefault="007D706A" w:rsidP="00F70508">
            <w:pPr>
              <w:pStyle w:val="ParagraphStyle6"/>
              <w:rPr>
                <w:rStyle w:val="CharacterStyle6"/>
              </w:rPr>
            </w:pPr>
            <w:r>
              <w:rPr>
                <w:rStyle w:val="CharacterStyle6"/>
              </w:rPr>
              <w:t>900,00</w:t>
            </w:r>
          </w:p>
        </w:tc>
        <w:tc>
          <w:tcPr>
            <w:tcW w:w="1395" w:type="dxa"/>
            <w:tcBorders>
              <w:bottom w:val="single" w:sz="6" w:space="0" w:color="000000"/>
              <w:right w:val="single" w:sz="6" w:space="0" w:color="000000"/>
            </w:tcBorders>
            <w:vAlign w:val="center"/>
          </w:tcPr>
          <w:p w14:paraId="66E69301" w14:textId="77777777" w:rsidR="007D706A" w:rsidRDefault="007D706A" w:rsidP="00F70508">
            <w:pPr>
              <w:pStyle w:val="ParagraphStyle6"/>
              <w:rPr>
                <w:rStyle w:val="CharacterStyle6"/>
              </w:rPr>
            </w:pPr>
            <w:r>
              <w:rPr>
                <w:rStyle w:val="CharacterStyle6"/>
              </w:rPr>
              <w:t>900,00</w:t>
            </w:r>
          </w:p>
        </w:tc>
      </w:tr>
      <w:tr w:rsidR="007D706A" w14:paraId="152DD8F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0525C93"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42B62169"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602C80D9"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657FE84" w14:textId="77777777" w:rsidR="007D706A" w:rsidRDefault="007D706A" w:rsidP="00F70508">
            <w:pPr>
              <w:pStyle w:val="ParagraphStyle9"/>
              <w:rPr>
                <w:rStyle w:val="CharacterStyle9"/>
              </w:rPr>
            </w:pPr>
            <w:r>
              <w:rPr>
                <w:rStyle w:val="CharacterStyle9"/>
              </w:rPr>
              <w:t>3.500,00</w:t>
            </w:r>
          </w:p>
        </w:tc>
        <w:tc>
          <w:tcPr>
            <w:tcW w:w="1395" w:type="dxa"/>
            <w:tcBorders>
              <w:bottom w:val="single" w:sz="6" w:space="0" w:color="000000"/>
              <w:right w:val="single" w:sz="6" w:space="0" w:color="000000"/>
            </w:tcBorders>
            <w:vAlign w:val="center"/>
          </w:tcPr>
          <w:p w14:paraId="18CBE732" w14:textId="77777777" w:rsidR="007D706A" w:rsidRDefault="007D706A" w:rsidP="00F70508">
            <w:pPr>
              <w:pStyle w:val="ParagraphStyle9"/>
              <w:rPr>
                <w:rStyle w:val="CharacterStyle9"/>
              </w:rPr>
            </w:pPr>
            <w:r>
              <w:rPr>
                <w:rStyle w:val="CharacterStyle9"/>
              </w:rPr>
              <w:t>900,00</w:t>
            </w:r>
          </w:p>
        </w:tc>
        <w:tc>
          <w:tcPr>
            <w:tcW w:w="1395" w:type="dxa"/>
            <w:tcBorders>
              <w:bottom w:val="single" w:sz="6" w:space="0" w:color="000000"/>
              <w:right w:val="single" w:sz="6" w:space="0" w:color="000000"/>
            </w:tcBorders>
            <w:vAlign w:val="center"/>
          </w:tcPr>
          <w:p w14:paraId="61712973" w14:textId="77777777" w:rsidR="007D706A" w:rsidRDefault="007D706A" w:rsidP="00F70508">
            <w:pPr>
              <w:pStyle w:val="ParagraphStyle9"/>
              <w:rPr>
                <w:rStyle w:val="CharacterStyle9"/>
              </w:rPr>
            </w:pPr>
            <w:r>
              <w:rPr>
                <w:rStyle w:val="CharacterStyle9"/>
              </w:rPr>
              <w:t>900,00</w:t>
            </w:r>
          </w:p>
        </w:tc>
        <w:tc>
          <w:tcPr>
            <w:tcW w:w="1395" w:type="dxa"/>
            <w:tcBorders>
              <w:bottom w:val="single" w:sz="6" w:space="0" w:color="000000"/>
              <w:right w:val="single" w:sz="6" w:space="0" w:color="000000"/>
            </w:tcBorders>
            <w:vAlign w:val="center"/>
          </w:tcPr>
          <w:p w14:paraId="4D501B22" w14:textId="77777777" w:rsidR="007D706A" w:rsidRDefault="007D706A" w:rsidP="00F70508">
            <w:pPr>
              <w:pStyle w:val="ParagraphStyle9"/>
              <w:rPr>
                <w:rStyle w:val="CharacterStyle9"/>
              </w:rPr>
            </w:pPr>
            <w:r>
              <w:rPr>
                <w:rStyle w:val="CharacterStyle9"/>
              </w:rPr>
              <w:t>900,00</w:t>
            </w:r>
          </w:p>
        </w:tc>
      </w:tr>
      <w:tr w:rsidR="007D706A" w14:paraId="1EE9E9E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AE87D7B"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642288AF"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1BE299D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F346EAC" w14:textId="77777777" w:rsidR="007D706A" w:rsidRDefault="007D706A" w:rsidP="00F70508">
            <w:pPr>
              <w:pStyle w:val="ParagraphStyle12"/>
              <w:rPr>
                <w:rStyle w:val="CharacterStyle12"/>
              </w:rPr>
            </w:pPr>
            <w:r>
              <w:rPr>
                <w:rStyle w:val="CharacterStyle12"/>
              </w:rPr>
              <w:t>3.500,00</w:t>
            </w:r>
          </w:p>
        </w:tc>
        <w:tc>
          <w:tcPr>
            <w:tcW w:w="1395" w:type="dxa"/>
            <w:tcBorders>
              <w:bottom w:val="single" w:sz="6" w:space="0" w:color="000000"/>
              <w:right w:val="single" w:sz="6" w:space="0" w:color="000000"/>
            </w:tcBorders>
            <w:vAlign w:val="center"/>
          </w:tcPr>
          <w:p w14:paraId="7986A4B5" w14:textId="77777777" w:rsidR="007D706A" w:rsidRDefault="007D706A" w:rsidP="00F70508">
            <w:pPr>
              <w:pStyle w:val="ParagraphStyle12"/>
              <w:rPr>
                <w:rStyle w:val="CharacterStyle12"/>
              </w:rPr>
            </w:pPr>
            <w:r>
              <w:rPr>
                <w:rStyle w:val="CharacterStyle12"/>
              </w:rPr>
              <w:t>900,00</w:t>
            </w:r>
          </w:p>
        </w:tc>
        <w:tc>
          <w:tcPr>
            <w:tcW w:w="1395" w:type="dxa"/>
            <w:tcBorders>
              <w:bottom w:val="single" w:sz="6" w:space="0" w:color="000000"/>
              <w:right w:val="single" w:sz="6" w:space="0" w:color="000000"/>
            </w:tcBorders>
            <w:vAlign w:val="center"/>
          </w:tcPr>
          <w:p w14:paraId="3D69A6FE" w14:textId="77777777" w:rsidR="007D706A" w:rsidRDefault="007D706A" w:rsidP="00F70508">
            <w:pPr>
              <w:pStyle w:val="ParagraphStyle12"/>
              <w:rPr>
                <w:rStyle w:val="CharacterStyle12"/>
              </w:rPr>
            </w:pPr>
            <w:r>
              <w:rPr>
                <w:rStyle w:val="CharacterStyle12"/>
              </w:rPr>
              <w:t>900,00</w:t>
            </w:r>
          </w:p>
        </w:tc>
        <w:tc>
          <w:tcPr>
            <w:tcW w:w="1395" w:type="dxa"/>
            <w:tcBorders>
              <w:bottom w:val="single" w:sz="6" w:space="0" w:color="000000"/>
              <w:right w:val="single" w:sz="6" w:space="0" w:color="000000"/>
            </w:tcBorders>
            <w:vAlign w:val="center"/>
          </w:tcPr>
          <w:p w14:paraId="19384634" w14:textId="77777777" w:rsidR="007D706A" w:rsidRDefault="007D706A" w:rsidP="00F70508">
            <w:pPr>
              <w:pStyle w:val="ParagraphStyle12"/>
              <w:rPr>
                <w:rStyle w:val="CharacterStyle12"/>
              </w:rPr>
            </w:pPr>
            <w:r>
              <w:rPr>
                <w:rStyle w:val="CharacterStyle12"/>
              </w:rPr>
              <w:t>900,00</w:t>
            </w:r>
          </w:p>
        </w:tc>
      </w:tr>
      <w:tr w:rsidR="007D706A" w14:paraId="2FEA7C5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EBEC817"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480EE249"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7E0BF2B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B6C5644" w14:textId="77777777" w:rsidR="007D706A" w:rsidRDefault="007D706A" w:rsidP="00F70508">
            <w:pPr>
              <w:pStyle w:val="ParagraphStyle12"/>
              <w:rPr>
                <w:rStyle w:val="CharacterStyle12"/>
              </w:rPr>
            </w:pPr>
            <w:r>
              <w:rPr>
                <w:rStyle w:val="CharacterStyle12"/>
              </w:rPr>
              <w:t>2.620,00</w:t>
            </w:r>
          </w:p>
        </w:tc>
        <w:tc>
          <w:tcPr>
            <w:tcW w:w="1395" w:type="dxa"/>
            <w:tcBorders>
              <w:bottom w:val="single" w:sz="6" w:space="0" w:color="000000"/>
              <w:right w:val="single" w:sz="6" w:space="0" w:color="000000"/>
            </w:tcBorders>
            <w:vAlign w:val="center"/>
          </w:tcPr>
          <w:p w14:paraId="7636304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7E6781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F991C95" w14:textId="77777777" w:rsidR="007D706A" w:rsidRDefault="007D706A" w:rsidP="00F70508">
            <w:pPr>
              <w:pStyle w:val="ParagraphStyle12"/>
              <w:rPr>
                <w:rStyle w:val="CharacterStyle12"/>
              </w:rPr>
            </w:pPr>
            <w:r>
              <w:rPr>
                <w:rStyle w:val="CharacterStyle12"/>
              </w:rPr>
              <w:t>0,00</w:t>
            </w:r>
          </w:p>
        </w:tc>
      </w:tr>
      <w:tr w:rsidR="007D706A" w14:paraId="4E84625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1B1B58E" w14:textId="77777777" w:rsidR="007D706A" w:rsidRDefault="007D706A" w:rsidP="00F70508">
            <w:pPr>
              <w:pStyle w:val="ParagraphStyle10"/>
              <w:rPr>
                <w:rStyle w:val="CharacterStyle10"/>
              </w:rPr>
            </w:pPr>
            <w:r>
              <w:rPr>
                <w:rStyle w:val="CharacterStyle10"/>
              </w:rPr>
              <w:t>36</w:t>
            </w:r>
          </w:p>
        </w:tc>
        <w:tc>
          <w:tcPr>
            <w:tcW w:w="4995" w:type="dxa"/>
            <w:tcBorders>
              <w:bottom w:val="single" w:sz="6" w:space="0" w:color="000000"/>
              <w:right w:val="single" w:sz="6" w:space="0" w:color="000000"/>
            </w:tcBorders>
            <w:vAlign w:val="center"/>
          </w:tcPr>
          <w:p w14:paraId="298EE426" w14:textId="77777777" w:rsidR="007D706A" w:rsidRDefault="007D706A" w:rsidP="00F70508">
            <w:pPr>
              <w:pStyle w:val="ParagraphStyle11"/>
              <w:rPr>
                <w:rStyle w:val="CharacterStyle11"/>
              </w:rPr>
            </w:pPr>
            <w:r>
              <w:rPr>
                <w:rStyle w:val="CharacterStyle11"/>
              </w:rPr>
              <w:t>Pomoći dane u inozemstvo i unutar općeg proračuna</w:t>
            </w:r>
          </w:p>
        </w:tc>
        <w:tc>
          <w:tcPr>
            <w:tcW w:w="1395" w:type="dxa"/>
            <w:tcBorders>
              <w:bottom w:val="single" w:sz="6" w:space="0" w:color="000000"/>
              <w:right w:val="single" w:sz="6" w:space="0" w:color="000000"/>
            </w:tcBorders>
            <w:vAlign w:val="center"/>
          </w:tcPr>
          <w:p w14:paraId="69D35E4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CD550F0" w14:textId="77777777" w:rsidR="007D706A" w:rsidRDefault="007D706A" w:rsidP="00F70508">
            <w:pPr>
              <w:pStyle w:val="ParagraphStyle12"/>
              <w:rPr>
                <w:rStyle w:val="CharacterStyle12"/>
              </w:rPr>
            </w:pPr>
            <w:r>
              <w:rPr>
                <w:rStyle w:val="CharacterStyle12"/>
              </w:rPr>
              <w:t>880,00</w:t>
            </w:r>
          </w:p>
        </w:tc>
        <w:tc>
          <w:tcPr>
            <w:tcW w:w="1395" w:type="dxa"/>
            <w:tcBorders>
              <w:bottom w:val="single" w:sz="6" w:space="0" w:color="000000"/>
              <w:right w:val="single" w:sz="6" w:space="0" w:color="000000"/>
            </w:tcBorders>
            <w:vAlign w:val="center"/>
          </w:tcPr>
          <w:p w14:paraId="4E8F0464" w14:textId="77777777" w:rsidR="007D706A" w:rsidRDefault="007D706A" w:rsidP="00F70508">
            <w:pPr>
              <w:pStyle w:val="ParagraphStyle12"/>
              <w:rPr>
                <w:rStyle w:val="CharacterStyle12"/>
              </w:rPr>
            </w:pPr>
            <w:r>
              <w:rPr>
                <w:rStyle w:val="CharacterStyle12"/>
              </w:rPr>
              <w:t>900,00</w:t>
            </w:r>
          </w:p>
        </w:tc>
        <w:tc>
          <w:tcPr>
            <w:tcW w:w="1395" w:type="dxa"/>
            <w:tcBorders>
              <w:bottom w:val="single" w:sz="6" w:space="0" w:color="000000"/>
              <w:right w:val="single" w:sz="6" w:space="0" w:color="000000"/>
            </w:tcBorders>
            <w:vAlign w:val="center"/>
          </w:tcPr>
          <w:p w14:paraId="5FA85E3F" w14:textId="77777777" w:rsidR="007D706A" w:rsidRDefault="007D706A" w:rsidP="00F70508">
            <w:pPr>
              <w:pStyle w:val="ParagraphStyle12"/>
              <w:rPr>
                <w:rStyle w:val="CharacterStyle12"/>
              </w:rPr>
            </w:pPr>
            <w:r>
              <w:rPr>
                <w:rStyle w:val="CharacterStyle12"/>
              </w:rPr>
              <w:t>900,00</w:t>
            </w:r>
          </w:p>
        </w:tc>
        <w:tc>
          <w:tcPr>
            <w:tcW w:w="1395" w:type="dxa"/>
            <w:tcBorders>
              <w:bottom w:val="single" w:sz="6" w:space="0" w:color="000000"/>
              <w:right w:val="single" w:sz="6" w:space="0" w:color="000000"/>
            </w:tcBorders>
            <w:vAlign w:val="center"/>
          </w:tcPr>
          <w:p w14:paraId="593482A2" w14:textId="77777777" w:rsidR="007D706A" w:rsidRDefault="007D706A" w:rsidP="00F70508">
            <w:pPr>
              <w:pStyle w:val="ParagraphStyle12"/>
              <w:rPr>
                <w:rStyle w:val="CharacterStyle12"/>
              </w:rPr>
            </w:pPr>
            <w:r>
              <w:rPr>
                <w:rStyle w:val="CharacterStyle12"/>
              </w:rPr>
              <w:t>900,00</w:t>
            </w:r>
          </w:p>
        </w:tc>
      </w:tr>
      <w:tr w:rsidR="007D706A" w14:paraId="2759B51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7BD3CC8" w14:textId="77777777" w:rsidR="007D706A" w:rsidRDefault="007D706A" w:rsidP="00F70508">
            <w:pPr>
              <w:pStyle w:val="ParagraphStyle4"/>
              <w:rPr>
                <w:rStyle w:val="CharacterStyle4"/>
              </w:rPr>
            </w:pPr>
            <w:r>
              <w:rPr>
                <w:rStyle w:val="CharacterStyle4"/>
              </w:rPr>
              <w:t>Aktivnost A102608</w:t>
            </w:r>
          </w:p>
        </w:tc>
        <w:tc>
          <w:tcPr>
            <w:tcW w:w="4995" w:type="dxa"/>
            <w:tcBorders>
              <w:bottom w:val="single" w:sz="6" w:space="0" w:color="000000"/>
              <w:right w:val="single" w:sz="6" w:space="0" w:color="000000"/>
            </w:tcBorders>
            <w:vAlign w:val="center"/>
          </w:tcPr>
          <w:p w14:paraId="41D19FB2" w14:textId="77777777" w:rsidR="007D706A" w:rsidRDefault="007D706A" w:rsidP="00F70508">
            <w:pPr>
              <w:pStyle w:val="ParagraphStyle5"/>
              <w:rPr>
                <w:rStyle w:val="CharacterStyle5"/>
              </w:rPr>
            </w:pPr>
            <w:r>
              <w:rPr>
                <w:rStyle w:val="CharacterStyle5"/>
              </w:rPr>
              <w:t>DJEČJA LJETNA KOLONIJA</w:t>
            </w:r>
          </w:p>
        </w:tc>
        <w:tc>
          <w:tcPr>
            <w:tcW w:w="1395" w:type="dxa"/>
            <w:tcBorders>
              <w:bottom w:val="single" w:sz="6" w:space="0" w:color="000000"/>
              <w:right w:val="single" w:sz="6" w:space="0" w:color="000000"/>
            </w:tcBorders>
            <w:vAlign w:val="center"/>
          </w:tcPr>
          <w:p w14:paraId="21E83DBE"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65955FD6" w14:textId="77777777" w:rsidR="007D706A" w:rsidRDefault="007D706A" w:rsidP="00F70508">
            <w:pPr>
              <w:pStyle w:val="ParagraphStyle6"/>
              <w:rPr>
                <w:rStyle w:val="CharacterStyle6"/>
              </w:rPr>
            </w:pPr>
            <w:r>
              <w:rPr>
                <w:rStyle w:val="CharacterStyle6"/>
              </w:rPr>
              <w:t>17.000,00</w:t>
            </w:r>
          </w:p>
        </w:tc>
        <w:tc>
          <w:tcPr>
            <w:tcW w:w="1395" w:type="dxa"/>
            <w:tcBorders>
              <w:bottom w:val="single" w:sz="6" w:space="0" w:color="000000"/>
              <w:right w:val="single" w:sz="6" w:space="0" w:color="000000"/>
            </w:tcBorders>
            <w:vAlign w:val="center"/>
          </w:tcPr>
          <w:p w14:paraId="2E8A8F54" w14:textId="77777777" w:rsidR="007D706A" w:rsidRDefault="007D706A" w:rsidP="00F70508">
            <w:pPr>
              <w:pStyle w:val="ParagraphStyle6"/>
              <w:rPr>
                <w:rStyle w:val="CharacterStyle6"/>
              </w:rPr>
            </w:pPr>
            <w:r>
              <w:rPr>
                <w:rStyle w:val="CharacterStyle6"/>
              </w:rPr>
              <w:t>17.000,00</w:t>
            </w:r>
          </w:p>
        </w:tc>
        <w:tc>
          <w:tcPr>
            <w:tcW w:w="1395" w:type="dxa"/>
            <w:tcBorders>
              <w:bottom w:val="single" w:sz="6" w:space="0" w:color="000000"/>
              <w:right w:val="single" w:sz="6" w:space="0" w:color="000000"/>
            </w:tcBorders>
            <w:vAlign w:val="center"/>
          </w:tcPr>
          <w:p w14:paraId="14A9434A" w14:textId="77777777" w:rsidR="007D706A" w:rsidRDefault="007D706A" w:rsidP="00F70508">
            <w:pPr>
              <w:pStyle w:val="ParagraphStyle6"/>
              <w:rPr>
                <w:rStyle w:val="CharacterStyle6"/>
              </w:rPr>
            </w:pPr>
            <w:r>
              <w:rPr>
                <w:rStyle w:val="CharacterStyle6"/>
              </w:rPr>
              <w:t>20.000,00</w:t>
            </w:r>
          </w:p>
        </w:tc>
        <w:tc>
          <w:tcPr>
            <w:tcW w:w="1395" w:type="dxa"/>
            <w:tcBorders>
              <w:bottom w:val="single" w:sz="6" w:space="0" w:color="000000"/>
              <w:right w:val="single" w:sz="6" w:space="0" w:color="000000"/>
            </w:tcBorders>
            <w:vAlign w:val="center"/>
          </w:tcPr>
          <w:p w14:paraId="3C872315" w14:textId="77777777" w:rsidR="007D706A" w:rsidRDefault="007D706A" w:rsidP="00F70508">
            <w:pPr>
              <w:pStyle w:val="ParagraphStyle6"/>
              <w:rPr>
                <w:rStyle w:val="CharacterStyle6"/>
              </w:rPr>
            </w:pPr>
            <w:r>
              <w:rPr>
                <w:rStyle w:val="CharacterStyle6"/>
              </w:rPr>
              <w:t>20.000,00</w:t>
            </w:r>
          </w:p>
        </w:tc>
      </w:tr>
      <w:tr w:rsidR="007D706A" w14:paraId="23E7EDB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7862D98"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318FF710"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7B05E84A"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CAD6A07" w14:textId="77777777" w:rsidR="007D706A" w:rsidRDefault="007D706A" w:rsidP="00F70508">
            <w:pPr>
              <w:pStyle w:val="ParagraphStyle9"/>
              <w:rPr>
                <w:rStyle w:val="CharacterStyle9"/>
              </w:rPr>
            </w:pPr>
            <w:r>
              <w:rPr>
                <w:rStyle w:val="CharacterStyle9"/>
              </w:rPr>
              <w:t>17.000,00</w:t>
            </w:r>
          </w:p>
        </w:tc>
        <w:tc>
          <w:tcPr>
            <w:tcW w:w="1395" w:type="dxa"/>
            <w:tcBorders>
              <w:bottom w:val="single" w:sz="6" w:space="0" w:color="000000"/>
              <w:right w:val="single" w:sz="6" w:space="0" w:color="000000"/>
            </w:tcBorders>
            <w:vAlign w:val="center"/>
          </w:tcPr>
          <w:p w14:paraId="13C94DDC" w14:textId="77777777" w:rsidR="007D706A" w:rsidRDefault="007D706A" w:rsidP="00F70508">
            <w:pPr>
              <w:pStyle w:val="ParagraphStyle9"/>
              <w:rPr>
                <w:rStyle w:val="CharacterStyle9"/>
              </w:rPr>
            </w:pPr>
            <w:r>
              <w:rPr>
                <w:rStyle w:val="CharacterStyle9"/>
              </w:rPr>
              <w:t>17.000,00</w:t>
            </w:r>
          </w:p>
        </w:tc>
        <w:tc>
          <w:tcPr>
            <w:tcW w:w="1395" w:type="dxa"/>
            <w:tcBorders>
              <w:bottom w:val="single" w:sz="6" w:space="0" w:color="000000"/>
              <w:right w:val="single" w:sz="6" w:space="0" w:color="000000"/>
            </w:tcBorders>
            <w:vAlign w:val="center"/>
          </w:tcPr>
          <w:p w14:paraId="2CBCB70E" w14:textId="77777777" w:rsidR="007D706A" w:rsidRDefault="007D706A" w:rsidP="00F70508">
            <w:pPr>
              <w:pStyle w:val="ParagraphStyle9"/>
              <w:rPr>
                <w:rStyle w:val="CharacterStyle9"/>
              </w:rPr>
            </w:pPr>
            <w:r>
              <w:rPr>
                <w:rStyle w:val="CharacterStyle9"/>
              </w:rPr>
              <w:t>20.000,00</w:t>
            </w:r>
          </w:p>
        </w:tc>
        <w:tc>
          <w:tcPr>
            <w:tcW w:w="1395" w:type="dxa"/>
            <w:tcBorders>
              <w:bottom w:val="single" w:sz="6" w:space="0" w:color="000000"/>
              <w:right w:val="single" w:sz="6" w:space="0" w:color="000000"/>
            </w:tcBorders>
            <w:vAlign w:val="center"/>
          </w:tcPr>
          <w:p w14:paraId="5EC76E86" w14:textId="77777777" w:rsidR="007D706A" w:rsidRDefault="007D706A" w:rsidP="00F70508">
            <w:pPr>
              <w:pStyle w:val="ParagraphStyle9"/>
              <w:rPr>
                <w:rStyle w:val="CharacterStyle9"/>
              </w:rPr>
            </w:pPr>
            <w:r>
              <w:rPr>
                <w:rStyle w:val="CharacterStyle9"/>
              </w:rPr>
              <w:t>20.000,00</w:t>
            </w:r>
          </w:p>
        </w:tc>
      </w:tr>
      <w:tr w:rsidR="007D706A" w14:paraId="6D911D46"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3982416"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4EAD0ADA"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5F86232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7FEDCAB" w14:textId="77777777" w:rsidR="007D706A" w:rsidRDefault="007D706A" w:rsidP="00F70508">
            <w:pPr>
              <w:pStyle w:val="ParagraphStyle12"/>
              <w:rPr>
                <w:rStyle w:val="CharacterStyle12"/>
              </w:rPr>
            </w:pPr>
            <w:r>
              <w:rPr>
                <w:rStyle w:val="CharacterStyle12"/>
              </w:rPr>
              <w:t>17.000,00</w:t>
            </w:r>
          </w:p>
        </w:tc>
        <w:tc>
          <w:tcPr>
            <w:tcW w:w="1395" w:type="dxa"/>
            <w:tcBorders>
              <w:bottom w:val="single" w:sz="6" w:space="0" w:color="000000"/>
              <w:right w:val="single" w:sz="6" w:space="0" w:color="000000"/>
            </w:tcBorders>
            <w:vAlign w:val="center"/>
          </w:tcPr>
          <w:p w14:paraId="476455A0" w14:textId="77777777" w:rsidR="007D706A" w:rsidRDefault="007D706A" w:rsidP="00F70508">
            <w:pPr>
              <w:pStyle w:val="ParagraphStyle12"/>
              <w:rPr>
                <w:rStyle w:val="CharacterStyle12"/>
              </w:rPr>
            </w:pPr>
            <w:r>
              <w:rPr>
                <w:rStyle w:val="CharacterStyle12"/>
              </w:rPr>
              <w:t>17.000,00</w:t>
            </w:r>
          </w:p>
        </w:tc>
        <w:tc>
          <w:tcPr>
            <w:tcW w:w="1395" w:type="dxa"/>
            <w:tcBorders>
              <w:bottom w:val="single" w:sz="6" w:space="0" w:color="000000"/>
              <w:right w:val="single" w:sz="6" w:space="0" w:color="000000"/>
            </w:tcBorders>
            <w:vAlign w:val="center"/>
          </w:tcPr>
          <w:p w14:paraId="6F35BC3B" w14:textId="77777777" w:rsidR="007D706A" w:rsidRDefault="007D706A" w:rsidP="00F70508">
            <w:pPr>
              <w:pStyle w:val="ParagraphStyle12"/>
              <w:rPr>
                <w:rStyle w:val="CharacterStyle12"/>
              </w:rPr>
            </w:pPr>
            <w:r>
              <w:rPr>
                <w:rStyle w:val="CharacterStyle12"/>
              </w:rPr>
              <w:t>20.000,00</w:t>
            </w:r>
          </w:p>
        </w:tc>
        <w:tc>
          <w:tcPr>
            <w:tcW w:w="1395" w:type="dxa"/>
            <w:tcBorders>
              <w:bottom w:val="single" w:sz="6" w:space="0" w:color="000000"/>
              <w:right w:val="single" w:sz="6" w:space="0" w:color="000000"/>
            </w:tcBorders>
            <w:vAlign w:val="center"/>
          </w:tcPr>
          <w:p w14:paraId="7B830CDB" w14:textId="77777777" w:rsidR="007D706A" w:rsidRDefault="007D706A" w:rsidP="00F70508">
            <w:pPr>
              <w:pStyle w:val="ParagraphStyle12"/>
              <w:rPr>
                <w:rStyle w:val="CharacterStyle12"/>
              </w:rPr>
            </w:pPr>
            <w:r>
              <w:rPr>
                <w:rStyle w:val="CharacterStyle12"/>
              </w:rPr>
              <w:t>20.000,00</w:t>
            </w:r>
          </w:p>
        </w:tc>
      </w:tr>
      <w:tr w:rsidR="007D706A" w14:paraId="7975488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31D0009" w14:textId="77777777" w:rsidR="007D706A" w:rsidRDefault="007D706A" w:rsidP="00F70508">
            <w:pPr>
              <w:pStyle w:val="ParagraphStyle10"/>
              <w:rPr>
                <w:rStyle w:val="CharacterStyle10"/>
              </w:rPr>
            </w:pPr>
            <w:r>
              <w:rPr>
                <w:rStyle w:val="CharacterStyle10"/>
              </w:rPr>
              <w:t>38</w:t>
            </w:r>
          </w:p>
        </w:tc>
        <w:tc>
          <w:tcPr>
            <w:tcW w:w="4995" w:type="dxa"/>
            <w:tcBorders>
              <w:bottom w:val="single" w:sz="6" w:space="0" w:color="000000"/>
              <w:right w:val="single" w:sz="6" w:space="0" w:color="000000"/>
            </w:tcBorders>
            <w:vAlign w:val="center"/>
          </w:tcPr>
          <w:p w14:paraId="3A9751FB" w14:textId="77777777" w:rsidR="007D706A" w:rsidRDefault="007D706A" w:rsidP="00F70508">
            <w:pPr>
              <w:pStyle w:val="ParagraphStyle11"/>
              <w:rPr>
                <w:rStyle w:val="CharacterStyle11"/>
              </w:rPr>
            </w:pPr>
            <w:r>
              <w:rPr>
                <w:rStyle w:val="CharacterStyle11"/>
              </w:rPr>
              <w:t>Rashodi za donacije, kazne, naknade šteta i kapitalne pomoći</w:t>
            </w:r>
          </w:p>
        </w:tc>
        <w:tc>
          <w:tcPr>
            <w:tcW w:w="1395" w:type="dxa"/>
            <w:tcBorders>
              <w:bottom w:val="single" w:sz="6" w:space="0" w:color="000000"/>
              <w:right w:val="single" w:sz="6" w:space="0" w:color="000000"/>
            </w:tcBorders>
            <w:vAlign w:val="center"/>
          </w:tcPr>
          <w:p w14:paraId="5A30D5A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E80A4AF" w14:textId="77777777" w:rsidR="007D706A" w:rsidRDefault="007D706A" w:rsidP="00F70508">
            <w:pPr>
              <w:pStyle w:val="ParagraphStyle12"/>
              <w:rPr>
                <w:rStyle w:val="CharacterStyle12"/>
              </w:rPr>
            </w:pPr>
            <w:r>
              <w:rPr>
                <w:rStyle w:val="CharacterStyle12"/>
              </w:rPr>
              <w:t>17.000,00</w:t>
            </w:r>
          </w:p>
        </w:tc>
        <w:tc>
          <w:tcPr>
            <w:tcW w:w="1395" w:type="dxa"/>
            <w:tcBorders>
              <w:bottom w:val="single" w:sz="6" w:space="0" w:color="000000"/>
              <w:right w:val="single" w:sz="6" w:space="0" w:color="000000"/>
            </w:tcBorders>
            <w:vAlign w:val="center"/>
          </w:tcPr>
          <w:p w14:paraId="483A9894" w14:textId="77777777" w:rsidR="007D706A" w:rsidRDefault="007D706A" w:rsidP="00F70508">
            <w:pPr>
              <w:pStyle w:val="ParagraphStyle12"/>
              <w:rPr>
                <w:rStyle w:val="CharacterStyle12"/>
              </w:rPr>
            </w:pPr>
            <w:r>
              <w:rPr>
                <w:rStyle w:val="CharacterStyle12"/>
              </w:rPr>
              <w:t>17.000,00</w:t>
            </w:r>
          </w:p>
        </w:tc>
        <w:tc>
          <w:tcPr>
            <w:tcW w:w="1395" w:type="dxa"/>
            <w:tcBorders>
              <w:bottom w:val="single" w:sz="6" w:space="0" w:color="000000"/>
              <w:right w:val="single" w:sz="6" w:space="0" w:color="000000"/>
            </w:tcBorders>
            <w:vAlign w:val="center"/>
          </w:tcPr>
          <w:p w14:paraId="0AFC38CA" w14:textId="77777777" w:rsidR="007D706A" w:rsidRDefault="007D706A" w:rsidP="00F70508">
            <w:pPr>
              <w:pStyle w:val="ParagraphStyle12"/>
              <w:rPr>
                <w:rStyle w:val="CharacterStyle12"/>
              </w:rPr>
            </w:pPr>
            <w:r>
              <w:rPr>
                <w:rStyle w:val="CharacterStyle12"/>
              </w:rPr>
              <w:t>20.000,00</w:t>
            </w:r>
          </w:p>
        </w:tc>
        <w:tc>
          <w:tcPr>
            <w:tcW w:w="1395" w:type="dxa"/>
            <w:tcBorders>
              <w:bottom w:val="single" w:sz="6" w:space="0" w:color="000000"/>
              <w:right w:val="single" w:sz="6" w:space="0" w:color="000000"/>
            </w:tcBorders>
            <w:vAlign w:val="center"/>
          </w:tcPr>
          <w:p w14:paraId="091B5AC1" w14:textId="77777777" w:rsidR="007D706A" w:rsidRDefault="007D706A" w:rsidP="00F70508">
            <w:pPr>
              <w:pStyle w:val="ParagraphStyle12"/>
              <w:rPr>
                <w:rStyle w:val="CharacterStyle12"/>
              </w:rPr>
            </w:pPr>
            <w:r>
              <w:rPr>
                <w:rStyle w:val="CharacterStyle12"/>
              </w:rPr>
              <w:t>20.000,00</w:t>
            </w:r>
          </w:p>
        </w:tc>
      </w:tr>
      <w:tr w:rsidR="007D706A" w14:paraId="47E272F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36C0F2E" w14:textId="77777777" w:rsidR="007D706A" w:rsidRDefault="007D706A" w:rsidP="00F70508">
            <w:pPr>
              <w:pStyle w:val="ParagraphStyle4"/>
              <w:rPr>
                <w:rStyle w:val="CharacterStyle4"/>
              </w:rPr>
            </w:pPr>
            <w:r>
              <w:rPr>
                <w:rStyle w:val="CharacterStyle4"/>
              </w:rPr>
              <w:t>Aktivnost A102609</w:t>
            </w:r>
          </w:p>
        </w:tc>
        <w:tc>
          <w:tcPr>
            <w:tcW w:w="4995" w:type="dxa"/>
            <w:tcBorders>
              <w:bottom w:val="single" w:sz="6" w:space="0" w:color="000000"/>
              <w:right w:val="single" w:sz="6" w:space="0" w:color="000000"/>
            </w:tcBorders>
            <w:vAlign w:val="center"/>
          </w:tcPr>
          <w:p w14:paraId="038F0ABE" w14:textId="77777777" w:rsidR="007D706A" w:rsidRDefault="007D706A" w:rsidP="00F70508">
            <w:pPr>
              <w:pStyle w:val="ParagraphStyle5"/>
              <w:rPr>
                <w:rStyle w:val="CharacterStyle5"/>
              </w:rPr>
            </w:pPr>
            <w:r>
              <w:rPr>
                <w:rStyle w:val="CharacterStyle5"/>
              </w:rPr>
              <w:t>POMOĆNICI UČENICIMA S TEŠKOĆAMA U RAZVOJU</w:t>
            </w:r>
          </w:p>
        </w:tc>
        <w:tc>
          <w:tcPr>
            <w:tcW w:w="1395" w:type="dxa"/>
            <w:tcBorders>
              <w:bottom w:val="single" w:sz="6" w:space="0" w:color="000000"/>
              <w:right w:val="single" w:sz="6" w:space="0" w:color="000000"/>
            </w:tcBorders>
            <w:vAlign w:val="center"/>
          </w:tcPr>
          <w:p w14:paraId="219BC2E3"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6F904A37" w14:textId="77777777" w:rsidR="007D706A" w:rsidRDefault="007D706A" w:rsidP="00F70508">
            <w:pPr>
              <w:pStyle w:val="ParagraphStyle6"/>
              <w:rPr>
                <w:rStyle w:val="CharacterStyle6"/>
              </w:rPr>
            </w:pPr>
            <w:r>
              <w:rPr>
                <w:rStyle w:val="CharacterStyle6"/>
              </w:rPr>
              <w:t>169.000,00</w:t>
            </w:r>
          </w:p>
        </w:tc>
        <w:tc>
          <w:tcPr>
            <w:tcW w:w="1395" w:type="dxa"/>
            <w:tcBorders>
              <w:bottom w:val="single" w:sz="6" w:space="0" w:color="000000"/>
              <w:right w:val="single" w:sz="6" w:space="0" w:color="000000"/>
            </w:tcBorders>
            <w:vAlign w:val="center"/>
          </w:tcPr>
          <w:p w14:paraId="0D7C1253" w14:textId="77777777" w:rsidR="007D706A" w:rsidRDefault="007D706A" w:rsidP="00F70508">
            <w:pPr>
              <w:pStyle w:val="ParagraphStyle6"/>
              <w:rPr>
                <w:rStyle w:val="CharacterStyle6"/>
              </w:rPr>
            </w:pPr>
            <w:r>
              <w:rPr>
                <w:rStyle w:val="CharacterStyle6"/>
              </w:rPr>
              <w:t>182.000,00</w:t>
            </w:r>
          </w:p>
        </w:tc>
        <w:tc>
          <w:tcPr>
            <w:tcW w:w="1395" w:type="dxa"/>
            <w:tcBorders>
              <w:bottom w:val="single" w:sz="6" w:space="0" w:color="000000"/>
              <w:right w:val="single" w:sz="6" w:space="0" w:color="000000"/>
            </w:tcBorders>
            <w:vAlign w:val="center"/>
          </w:tcPr>
          <w:p w14:paraId="6BD7B4D2" w14:textId="77777777" w:rsidR="007D706A" w:rsidRDefault="007D706A" w:rsidP="00F70508">
            <w:pPr>
              <w:pStyle w:val="ParagraphStyle6"/>
              <w:rPr>
                <w:rStyle w:val="CharacterStyle6"/>
              </w:rPr>
            </w:pPr>
            <w:r>
              <w:rPr>
                <w:rStyle w:val="CharacterStyle6"/>
              </w:rPr>
              <w:t>190.000,00</w:t>
            </w:r>
          </w:p>
        </w:tc>
        <w:tc>
          <w:tcPr>
            <w:tcW w:w="1395" w:type="dxa"/>
            <w:tcBorders>
              <w:bottom w:val="single" w:sz="6" w:space="0" w:color="000000"/>
              <w:right w:val="single" w:sz="6" w:space="0" w:color="000000"/>
            </w:tcBorders>
            <w:vAlign w:val="center"/>
          </w:tcPr>
          <w:p w14:paraId="4D40BEBF" w14:textId="77777777" w:rsidR="007D706A" w:rsidRDefault="007D706A" w:rsidP="00F70508">
            <w:pPr>
              <w:pStyle w:val="ParagraphStyle6"/>
              <w:rPr>
                <w:rStyle w:val="CharacterStyle6"/>
              </w:rPr>
            </w:pPr>
            <w:r>
              <w:rPr>
                <w:rStyle w:val="CharacterStyle6"/>
              </w:rPr>
              <w:t>190.000,00</w:t>
            </w:r>
          </w:p>
        </w:tc>
      </w:tr>
      <w:tr w:rsidR="007D706A" w14:paraId="647C810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5603AF3"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67C26D58"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28E9A67B"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6A48A89" w14:textId="77777777" w:rsidR="007D706A" w:rsidRDefault="007D706A" w:rsidP="00F70508">
            <w:pPr>
              <w:pStyle w:val="ParagraphStyle9"/>
              <w:rPr>
                <w:rStyle w:val="CharacterStyle9"/>
              </w:rPr>
            </w:pPr>
            <w:r>
              <w:rPr>
                <w:rStyle w:val="CharacterStyle9"/>
              </w:rPr>
              <w:t>169.000,00</w:t>
            </w:r>
          </w:p>
        </w:tc>
        <w:tc>
          <w:tcPr>
            <w:tcW w:w="1395" w:type="dxa"/>
            <w:tcBorders>
              <w:bottom w:val="single" w:sz="6" w:space="0" w:color="000000"/>
              <w:right w:val="single" w:sz="6" w:space="0" w:color="000000"/>
            </w:tcBorders>
            <w:vAlign w:val="center"/>
          </w:tcPr>
          <w:p w14:paraId="1163790C" w14:textId="77777777" w:rsidR="007D706A" w:rsidRDefault="007D706A" w:rsidP="00F70508">
            <w:pPr>
              <w:pStyle w:val="ParagraphStyle9"/>
              <w:rPr>
                <w:rStyle w:val="CharacterStyle9"/>
              </w:rPr>
            </w:pPr>
            <w:r>
              <w:rPr>
                <w:rStyle w:val="CharacterStyle9"/>
              </w:rPr>
              <w:t>182.000,00</w:t>
            </w:r>
          </w:p>
        </w:tc>
        <w:tc>
          <w:tcPr>
            <w:tcW w:w="1395" w:type="dxa"/>
            <w:tcBorders>
              <w:bottom w:val="single" w:sz="6" w:space="0" w:color="000000"/>
              <w:right w:val="single" w:sz="6" w:space="0" w:color="000000"/>
            </w:tcBorders>
            <w:vAlign w:val="center"/>
          </w:tcPr>
          <w:p w14:paraId="30277B94" w14:textId="77777777" w:rsidR="007D706A" w:rsidRDefault="007D706A" w:rsidP="00F70508">
            <w:pPr>
              <w:pStyle w:val="ParagraphStyle9"/>
              <w:rPr>
                <w:rStyle w:val="CharacterStyle9"/>
              </w:rPr>
            </w:pPr>
            <w:r>
              <w:rPr>
                <w:rStyle w:val="CharacterStyle9"/>
              </w:rPr>
              <w:t>190.000,00</w:t>
            </w:r>
          </w:p>
        </w:tc>
        <w:tc>
          <w:tcPr>
            <w:tcW w:w="1395" w:type="dxa"/>
            <w:tcBorders>
              <w:bottom w:val="single" w:sz="6" w:space="0" w:color="000000"/>
              <w:right w:val="single" w:sz="6" w:space="0" w:color="000000"/>
            </w:tcBorders>
            <w:vAlign w:val="center"/>
          </w:tcPr>
          <w:p w14:paraId="75BCBBC6" w14:textId="77777777" w:rsidR="007D706A" w:rsidRDefault="007D706A" w:rsidP="00F70508">
            <w:pPr>
              <w:pStyle w:val="ParagraphStyle9"/>
              <w:rPr>
                <w:rStyle w:val="CharacterStyle9"/>
              </w:rPr>
            </w:pPr>
            <w:r>
              <w:rPr>
                <w:rStyle w:val="CharacterStyle9"/>
              </w:rPr>
              <w:t>190.000,00</w:t>
            </w:r>
          </w:p>
        </w:tc>
      </w:tr>
      <w:tr w:rsidR="007D706A" w14:paraId="6B2CB9F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76FE61B"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3ADB627D"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0D5E369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2612F3F" w14:textId="77777777" w:rsidR="007D706A" w:rsidRDefault="007D706A" w:rsidP="00F70508">
            <w:pPr>
              <w:pStyle w:val="ParagraphStyle12"/>
              <w:rPr>
                <w:rStyle w:val="CharacterStyle12"/>
              </w:rPr>
            </w:pPr>
            <w:r>
              <w:rPr>
                <w:rStyle w:val="CharacterStyle12"/>
              </w:rPr>
              <w:t>169.000,00</w:t>
            </w:r>
          </w:p>
        </w:tc>
        <w:tc>
          <w:tcPr>
            <w:tcW w:w="1395" w:type="dxa"/>
            <w:tcBorders>
              <w:bottom w:val="single" w:sz="6" w:space="0" w:color="000000"/>
              <w:right w:val="single" w:sz="6" w:space="0" w:color="000000"/>
            </w:tcBorders>
            <w:vAlign w:val="center"/>
          </w:tcPr>
          <w:p w14:paraId="155E6F69" w14:textId="77777777" w:rsidR="007D706A" w:rsidRDefault="007D706A" w:rsidP="00F70508">
            <w:pPr>
              <w:pStyle w:val="ParagraphStyle12"/>
              <w:rPr>
                <w:rStyle w:val="CharacterStyle12"/>
              </w:rPr>
            </w:pPr>
            <w:r>
              <w:rPr>
                <w:rStyle w:val="CharacterStyle12"/>
              </w:rPr>
              <w:t>182.000,00</w:t>
            </w:r>
          </w:p>
        </w:tc>
        <w:tc>
          <w:tcPr>
            <w:tcW w:w="1395" w:type="dxa"/>
            <w:tcBorders>
              <w:bottom w:val="single" w:sz="6" w:space="0" w:color="000000"/>
              <w:right w:val="single" w:sz="6" w:space="0" w:color="000000"/>
            </w:tcBorders>
            <w:vAlign w:val="center"/>
          </w:tcPr>
          <w:p w14:paraId="62E4DBCB" w14:textId="77777777" w:rsidR="007D706A" w:rsidRDefault="007D706A" w:rsidP="00F70508">
            <w:pPr>
              <w:pStyle w:val="ParagraphStyle12"/>
              <w:rPr>
                <w:rStyle w:val="CharacterStyle12"/>
              </w:rPr>
            </w:pPr>
            <w:r>
              <w:rPr>
                <w:rStyle w:val="CharacterStyle12"/>
              </w:rPr>
              <w:t>190.000,00</w:t>
            </w:r>
          </w:p>
        </w:tc>
        <w:tc>
          <w:tcPr>
            <w:tcW w:w="1395" w:type="dxa"/>
            <w:tcBorders>
              <w:bottom w:val="single" w:sz="6" w:space="0" w:color="000000"/>
              <w:right w:val="single" w:sz="6" w:space="0" w:color="000000"/>
            </w:tcBorders>
            <w:vAlign w:val="center"/>
          </w:tcPr>
          <w:p w14:paraId="00D0F3FC" w14:textId="77777777" w:rsidR="007D706A" w:rsidRDefault="007D706A" w:rsidP="00F70508">
            <w:pPr>
              <w:pStyle w:val="ParagraphStyle12"/>
              <w:rPr>
                <w:rStyle w:val="CharacterStyle12"/>
              </w:rPr>
            </w:pPr>
            <w:r>
              <w:rPr>
                <w:rStyle w:val="CharacterStyle12"/>
              </w:rPr>
              <w:t>190.000,00</w:t>
            </w:r>
          </w:p>
        </w:tc>
      </w:tr>
      <w:tr w:rsidR="007D706A" w14:paraId="467C74E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DE784D6"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25DFE308"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191562D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47E20D5" w14:textId="77777777" w:rsidR="007D706A" w:rsidRDefault="007D706A" w:rsidP="00F70508">
            <w:pPr>
              <w:pStyle w:val="ParagraphStyle12"/>
              <w:rPr>
                <w:rStyle w:val="CharacterStyle12"/>
              </w:rPr>
            </w:pPr>
            <w:r>
              <w:rPr>
                <w:rStyle w:val="CharacterStyle12"/>
              </w:rPr>
              <w:t>5.000,00</w:t>
            </w:r>
          </w:p>
        </w:tc>
        <w:tc>
          <w:tcPr>
            <w:tcW w:w="1395" w:type="dxa"/>
            <w:tcBorders>
              <w:bottom w:val="single" w:sz="6" w:space="0" w:color="000000"/>
              <w:right w:val="single" w:sz="6" w:space="0" w:color="000000"/>
            </w:tcBorders>
            <w:vAlign w:val="center"/>
          </w:tcPr>
          <w:p w14:paraId="55BE6AD6" w14:textId="77777777" w:rsidR="007D706A" w:rsidRDefault="007D706A" w:rsidP="00F70508">
            <w:pPr>
              <w:pStyle w:val="ParagraphStyle12"/>
              <w:rPr>
                <w:rStyle w:val="CharacterStyle12"/>
              </w:rPr>
            </w:pPr>
            <w:r>
              <w:rPr>
                <w:rStyle w:val="CharacterStyle12"/>
              </w:rPr>
              <w:t>5.000,00</w:t>
            </w:r>
          </w:p>
        </w:tc>
        <w:tc>
          <w:tcPr>
            <w:tcW w:w="1395" w:type="dxa"/>
            <w:tcBorders>
              <w:bottom w:val="single" w:sz="6" w:space="0" w:color="000000"/>
              <w:right w:val="single" w:sz="6" w:space="0" w:color="000000"/>
            </w:tcBorders>
            <w:vAlign w:val="center"/>
          </w:tcPr>
          <w:p w14:paraId="05157D5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47563A5" w14:textId="77777777" w:rsidR="007D706A" w:rsidRDefault="007D706A" w:rsidP="00F70508">
            <w:pPr>
              <w:pStyle w:val="ParagraphStyle12"/>
              <w:rPr>
                <w:rStyle w:val="CharacterStyle12"/>
              </w:rPr>
            </w:pPr>
            <w:r>
              <w:rPr>
                <w:rStyle w:val="CharacterStyle12"/>
              </w:rPr>
              <w:t>0,00</w:t>
            </w:r>
          </w:p>
        </w:tc>
      </w:tr>
      <w:tr w:rsidR="007D706A" w14:paraId="4379ABA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F9D9218" w14:textId="77777777" w:rsidR="007D706A" w:rsidRDefault="007D706A" w:rsidP="00F70508">
            <w:pPr>
              <w:pStyle w:val="ParagraphStyle10"/>
              <w:rPr>
                <w:rStyle w:val="CharacterStyle10"/>
              </w:rPr>
            </w:pPr>
            <w:r>
              <w:rPr>
                <w:rStyle w:val="CharacterStyle10"/>
              </w:rPr>
              <w:t>36</w:t>
            </w:r>
          </w:p>
        </w:tc>
        <w:tc>
          <w:tcPr>
            <w:tcW w:w="4995" w:type="dxa"/>
            <w:tcBorders>
              <w:bottom w:val="single" w:sz="6" w:space="0" w:color="000000"/>
              <w:right w:val="single" w:sz="6" w:space="0" w:color="000000"/>
            </w:tcBorders>
            <w:vAlign w:val="center"/>
          </w:tcPr>
          <w:p w14:paraId="4AFA63D5" w14:textId="77777777" w:rsidR="007D706A" w:rsidRDefault="007D706A" w:rsidP="00F70508">
            <w:pPr>
              <w:pStyle w:val="ParagraphStyle11"/>
              <w:rPr>
                <w:rStyle w:val="CharacterStyle11"/>
              </w:rPr>
            </w:pPr>
            <w:r>
              <w:rPr>
                <w:rStyle w:val="CharacterStyle11"/>
              </w:rPr>
              <w:t>Pomoći dane u inozemstvo i unutar općeg proračuna</w:t>
            </w:r>
          </w:p>
        </w:tc>
        <w:tc>
          <w:tcPr>
            <w:tcW w:w="1395" w:type="dxa"/>
            <w:tcBorders>
              <w:bottom w:val="single" w:sz="6" w:space="0" w:color="000000"/>
              <w:right w:val="single" w:sz="6" w:space="0" w:color="000000"/>
            </w:tcBorders>
            <w:vAlign w:val="center"/>
          </w:tcPr>
          <w:p w14:paraId="02D4B64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5626C3C" w14:textId="77777777" w:rsidR="007D706A" w:rsidRDefault="007D706A" w:rsidP="00F70508">
            <w:pPr>
              <w:pStyle w:val="ParagraphStyle12"/>
              <w:rPr>
                <w:rStyle w:val="CharacterStyle12"/>
              </w:rPr>
            </w:pPr>
            <w:r>
              <w:rPr>
                <w:rStyle w:val="CharacterStyle12"/>
              </w:rPr>
              <w:t>164.000,00</w:t>
            </w:r>
          </w:p>
        </w:tc>
        <w:tc>
          <w:tcPr>
            <w:tcW w:w="1395" w:type="dxa"/>
            <w:tcBorders>
              <w:bottom w:val="single" w:sz="6" w:space="0" w:color="000000"/>
              <w:right w:val="single" w:sz="6" w:space="0" w:color="000000"/>
            </w:tcBorders>
            <w:vAlign w:val="center"/>
          </w:tcPr>
          <w:p w14:paraId="1BDEFF7C" w14:textId="77777777" w:rsidR="007D706A" w:rsidRDefault="007D706A" w:rsidP="00F70508">
            <w:pPr>
              <w:pStyle w:val="ParagraphStyle12"/>
              <w:rPr>
                <w:rStyle w:val="CharacterStyle12"/>
              </w:rPr>
            </w:pPr>
            <w:r>
              <w:rPr>
                <w:rStyle w:val="CharacterStyle12"/>
              </w:rPr>
              <w:t>177.000,00</w:t>
            </w:r>
          </w:p>
        </w:tc>
        <w:tc>
          <w:tcPr>
            <w:tcW w:w="1395" w:type="dxa"/>
            <w:tcBorders>
              <w:bottom w:val="single" w:sz="6" w:space="0" w:color="000000"/>
              <w:right w:val="single" w:sz="6" w:space="0" w:color="000000"/>
            </w:tcBorders>
            <w:vAlign w:val="center"/>
          </w:tcPr>
          <w:p w14:paraId="54FBFFAD" w14:textId="77777777" w:rsidR="007D706A" w:rsidRDefault="007D706A" w:rsidP="00F70508">
            <w:pPr>
              <w:pStyle w:val="ParagraphStyle12"/>
              <w:rPr>
                <w:rStyle w:val="CharacterStyle12"/>
              </w:rPr>
            </w:pPr>
            <w:r>
              <w:rPr>
                <w:rStyle w:val="CharacterStyle12"/>
              </w:rPr>
              <w:t>190.000,00</w:t>
            </w:r>
          </w:p>
        </w:tc>
        <w:tc>
          <w:tcPr>
            <w:tcW w:w="1395" w:type="dxa"/>
            <w:tcBorders>
              <w:bottom w:val="single" w:sz="6" w:space="0" w:color="000000"/>
              <w:right w:val="single" w:sz="6" w:space="0" w:color="000000"/>
            </w:tcBorders>
            <w:vAlign w:val="center"/>
          </w:tcPr>
          <w:p w14:paraId="628C8290" w14:textId="77777777" w:rsidR="007D706A" w:rsidRDefault="007D706A" w:rsidP="00F70508">
            <w:pPr>
              <w:pStyle w:val="ParagraphStyle12"/>
              <w:rPr>
                <w:rStyle w:val="CharacterStyle12"/>
              </w:rPr>
            </w:pPr>
            <w:r>
              <w:rPr>
                <w:rStyle w:val="CharacterStyle12"/>
              </w:rPr>
              <w:t>190.000,00</w:t>
            </w:r>
          </w:p>
        </w:tc>
      </w:tr>
      <w:tr w:rsidR="007D706A" w14:paraId="2B0B9D7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DBBCBC3" w14:textId="77777777" w:rsidR="007D706A" w:rsidRDefault="007D706A" w:rsidP="00F70508">
            <w:pPr>
              <w:pStyle w:val="ParagraphStyle4"/>
              <w:rPr>
                <w:rStyle w:val="CharacterStyle4"/>
              </w:rPr>
            </w:pPr>
            <w:r>
              <w:rPr>
                <w:rStyle w:val="CharacterStyle4"/>
              </w:rPr>
              <w:t>Aktivnost A102610</w:t>
            </w:r>
          </w:p>
        </w:tc>
        <w:tc>
          <w:tcPr>
            <w:tcW w:w="4995" w:type="dxa"/>
            <w:tcBorders>
              <w:bottom w:val="single" w:sz="6" w:space="0" w:color="000000"/>
              <w:right w:val="single" w:sz="6" w:space="0" w:color="000000"/>
            </w:tcBorders>
            <w:vAlign w:val="center"/>
          </w:tcPr>
          <w:p w14:paraId="1884CF5C" w14:textId="77777777" w:rsidR="007D706A" w:rsidRDefault="007D706A" w:rsidP="00F70508">
            <w:pPr>
              <w:pStyle w:val="ParagraphStyle5"/>
              <w:rPr>
                <w:rStyle w:val="CharacterStyle5"/>
              </w:rPr>
            </w:pPr>
            <w:r>
              <w:rPr>
                <w:rStyle w:val="CharacterStyle5"/>
              </w:rPr>
              <w:t>POTPORE UČENICIMA I STUDENTIMA</w:t>
            </w:r>
          </w:p>
        </w:tc>
        <w:tc>
          <w:tcPr>
            <w:tcW w:w="1395" w:type="dxa"/>
            <w:tcBorders>
              <w:bottom w:val="single" w:sz="6" w:space="0" w:color="000000"/>
              <w:right w:val="single" w:sz="6" w:space="0" w:color="000000"/>
            </w:tcBorders>
            <w:vAlign w:val="center"/>
          </w:tcPr>
          <w:p w14:paraId="3A13B5E4"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2135D1E2" w14:textId="77777777" w:rsidR="007D706A" w:rsidRDefault="007D706A" w:rsidP="00F70508">
            <w:pPr>
              <w:pStyle w:val="ParagraphStyle6"/>
              <w:rPr>
                <w:rStyle w:val="CharacterStyle6"/>
              </w:rPr>
            </w:pPr>
            <w:r>
              <w:rPr>
                <w:rStyle w:val="CharacterStyle6"/>
              </w:rPr>
              <w:t>267.500,00</w:t>
            </w:r>
          </w:p>
        </w:tc>
        <w:tc>
          <w:tcPr>
            <w:tcW w:w="1395" w:type="dxa"/>
            <w:tcBorders>
              <w:bottom w:val="single" w:sz="6" w:space="0" w:color="000000"/>
              <w:right w:val="single" w:sz="6" w:space="0" w:color="000000"/>
            </w:tcBorders>
            <w:vAlign w:val="center"/>
          </w:tcPr>
          <w:p w14:paraId="28C18DB7" w14:textId="77777777" w:rsidR="007D706A" w:rsidRDefault="007D706A" w:rsidP="00F70508">
            <w:pPr>
              <w:pStyle w:val="ParagraphStyle6"/>
              <w:rPr>
                <w:rStyle w:val="CharacterStyle6"/>
              </w:rPr>
            </w:pPr>
            <w:r>
              <w:rPr>
                <w:rStyle w:val="CharacterStyle6"/>
              </w:rPr>
              <w:t>295.000,00</w:t>
            </w:r>
          </w:p>
        </w:tc>
        <w:tc>
          <w:tcPr>
            <w:tcW w:w="1395" w:type="dxa"/>
            <w:tcBorders>
              <w:bottom w:val="single" w:sz="6" w:space="0" w:color="000000"/>
              <w:right w:val="single" w:sz="6" w:space="0" w:color="000000"/>
            </w:tcBorders>
            <w:vAlign w:val="center"/>
          </w:tcPr>
          <w:p w14:paraId="24666B51" w14:textId="77777777" w:rsidR="007D706A" w:rsidRDefault="007D706A" w:rsidP="00F70508">
            <w:pPr>
              <w:pStyle w:val="ParagraphStyle6"/>
              <w:rPr>
                <w:rStyle w:val="CharacterStyle6"/>
              </w:rPr>
            </w:pPr>
            <w:r>
              <w:rPr>
                <w:rStyle w:val="CharacterStyle6"/>
              </w:rPr>
              <w:t>300.000,00</w:t>
            </w:r>
          </w:p>
        </w:tc>
        <w:tc>
          <w:tcPr>
            <w:tcW w:w="1395" w:type="dxa"/>
            <w:tcBorders>
              <w:bottom w:val="single" w:sz="6" w:space="0" w:color="000000"/>
              <w:right w:val="single" w:sz="6" w:space="0" w:color="000000"/>
            </w:tcBorders>
            <w:vAlign w:val="center"/>
          </w:tcPr>
          <w:p w14:paraId="082FC0FF" w14:textId="77777777" w:rsidR="007D706A" w:rsidRDefault="007D706A" w:rsidP="00F70508">
            <w:pPr>
              <w:pStyle w:val="ParagraphStyle6"/>
              <w:rPr>
                <w:rStyle w:val="CharacterStyle6"/>
              </w:rPr>
            </w:pPr>
            <w:r>
              <w:rPr>
                <w:rStyle w:val="CharacterStyle6"/>
              </w:rPr>
              <w:t>310.000,00</w:t>
            </w:r>
          </w:p>
        </w:tc>
      </w:tr>
      <w:tr w:rsidR="007D706A" w14:paraId="704E3C1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7A4220F"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6EBB9F1E"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2ED443E7"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03DAE17" w14:textId="77777777" w:rsidR="007D706A" w:rsidRDefault="007D706A" w:rsidP="00F70508">
            <w:pPr>
              <w:pStyle w:val="ParagraphStyle9"/>
              <w:rPr>
                <w:rStyle w:val="CharacterStyle9"/>
              </w:rPr>
            </w:pPr>
            <w:r>
              <w:rPr>
                <w:rStyle w:val="CharacterStyle9"/>
              </w:rPr>
              <w:t>267.500,00</w:t>
            </w:r>
          </w:p>
        </w:tc>
        <w:tc>
          <w:tcPr>
            <w:tcW w:w="1395" w:type="dxa"/>
            <w:tcBorders>
              <w:bottom w:val="single" w:sz="6" w:space="0" w:color="000000"/>
              <w:right w:val="single" w:sz="6" w:space="0" w:color="000000"/>
            </w:tcBorders>
            <w:vAlign w:val="center"/>
          </w:tcPr>
          <w:p w14:paraId="794C7288" w14:textId="77777777" w:rsidR="007D706A" w:rsidRDefault="007D706A" w:rsidP="00F70508">
            <w:pPr>
              <w:pStyle w:val="ParagraphStyle9"/>
              <w:rPr>
                <w:rStyle w:val="CharacterStyle9"/>
              </w:rPr>
            </w:pPr>
            <w:r>
              <w:rPr>
                <w:rStyle w:val="CharacterStyle9"/>
              </w:rPr>
              <w:t>295.000,00</w:t>
            </w:r>
          </w:p>
        </w:tc>
        <w:tc>
          <w:tcPr>
            <w:tcW w:w="1395" w:type="dxa"/>
            <w:tcBorders>
              <w:bottom w:val="single" w:sz="6" w:space="0" w:color="000000"/>
              <w:right w:val="single" w:sz="6" w:space="0" w:color="000000"/>
            </w:tcBorders>
            <w:vAlign w:val="center"/>
          </w:tcPr>
          <w:p w14:paraId="04D2C4DE" w14:textId="77777777" w:rsidR="007D706A" w:rsidRDefault="007D706A" w:rsidP="00F70508">
            <w:pPr>
              <w:pStyle w:val="ParagraphStyle9"/>
              <w:rPr>
                <w:rStyle w:val="CharacterStyle9"/>
              </w:rPr>
            </w:pPr>
            <w:r>
              <w:rPr>
                <w:rStyle w:val="CharacterStyle9"/>
              </w:rPr>
              <w:t>300.000,00</w:t>
            </w:r>
          </w:p>
        </w:tc>
        <w:tc>
          <w:tcPr>
            <w:tcW w:w="1395" w:type="dxa"/>
            <w:tcBorders>
              <w:bottom w:val="single" w:sz="6" w:space="0" w:color="000000"/>
              <w:right w:val="single" w:sz="6" w:space="0" w:color="000000"/>
            </w:tcBorders>
            <w:vAlign w:val="center"/>
          </w:tcPr>
          <w:p w14:paraId="24D73D0F" w14:textId="77777777" w:rsidR="007D706A" w:rsidRDefault="007D706A" w:rsidP="00F70508">
            <w:pPr>
              <w:pStyle w:val="ParagraphStyle9"/>
              <w:rPr>
                <w:rStyle w:val="CharacterStyle9"/>
              </w:rPr>
            </w:pPr>
            <w:r>
              <w:rPr>
                <w:rStyle w:val="CharacterStyle9"/>
              </w:rPr>
              <w:t>310.000,00</w:t>
            </w:r>
          </w:p>
        </w:tc>
      </w:tr>
      <w:tr w:rsidR="007D706A" w14:paraId="17AFA66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4634D4B"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7098E61F"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34C1361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344C986" w14:textId="77777777" w:rsidR="007D706A" w:rsidRDefault="007D706A" w:rsidP="00F70508">
            <w:pPr>
              <w:pStyle w:val="ParagraphStyle12"/>
              <w:rPr>
                <w:rStyle w:val="CharacterStyle12"/>
              </w:rPr>
            </w:pPr>
            <w:r>
              <w:rPr>
                <w:rStyle w:val="CharacterStyle12"/>
              </w:rPr>
              <w:t>267.500,00</w:t>
            </w:r>
          </w:p>
        </w:tc>
        <w:tc>
          <w:tcPr>
            <w:tcW w:w="1395" w:type="dxa"/>
            <w:tcBorders>
              <w:bottom w:val="single" w:sz="6" w:space="0" w:color="000000"/>
              <w:right w:val="single" w:sz="6" w:space="0" w:color="000000"/>
            </w:tcBorders>
            <w:vAlign w:val="center"/>
          </w:tcPr>
          <w:p w14:paraId="30F40A39" w14:textId="77777777" w:rsidR="007D706A" w:rsidRDefault="007D706A" w:rsidP="00F70508">
            <w:pPr>
              <w:pStyle w:val="ParagraphStyle12"/>
              <w:rPr>
                <w:rStyle w:val="CharacterStyle12"/>
              </w:rPr>
            </w:pPr>
            <w:r>
              <w:rPr>
                <w:rStyle w:val="CharacterStyle12"/>
              </w:rPr>
              <w:t>295.000,00</w:t>
            </w:r>
          </w:p>
        </w:tc>
        <w:tc>
          <w:tcPr>
            <w:tcW w:w="1395" w:type="dxa"/>
            <w:tcBorders>
              <w:bottom w:val="single" w:sz="6" w:space="0" w:color="000000"/>
              <w:right w:val="single" w:sz="6" w:space="0" w:color="000000"/>
            </w:tcBorders>
            <w:vAlign w:val="center"/>
          </w:tcPr>
          <w:p w14:paraId="1D38FFF4" w14:textId="77777777" w:rsidR="007D706A" w:rsidRDefault="007D706A" w:rsidP="00F70508">
            <w:pPr>
              <w:pStyle w:val="ParagraphStyle12"/>
              <w:rPr>
                <w:rStyle w:val="CharacterStyle12"/>
              </w:rPr>
            </w:pPr>
            <w:r>
              <w:rPr>
                <w:rStyle w:val="CharacterStyle12"/>
              </w:rPr>
              <w:t>300.000,00</w:t>
            </w:r>
          </w:p>
        </w:tc>
        <w:tc>
          <w:tcPr>
            <w:tcW w:w="1395" w:type="dxa"/>
            <w:tcBorders>
              <w:bottom w:val="single" w:sz="6" w:space="0" w:color="000000"/>
              <w:right w:val="single" w:sz="6" w:space="0" w:color="000000"/>
            </w:tcBorders>
            <w:vAlign w:val="center"/>
          </w:tcPr>
          <w:p w14:paraId="2EC005EA" w14:textId="77777777" w:rsidR="007D706A" w:rsidRDefault="007D706A" w:rsidP="00F70508">
            <w:pPr>
              <w:pStyle w:val="ParagraphStyle12"/>
              <w:rPr>
                <w:rStyle w:val="CharacterStyle12"/>
              </w:rPr>
            </w:pPr>
            <w:r>
              <w:rPr>
                <w:rStyle w:val="CharacterStyle12"/>
              </w:rPr>
              <w:t>310.000,00</w:t>
            </w:r>
          </w:p>
        </w:tc>
      </w:tr>
      <w:tr w:rsidR="007D706A" w14:paraId="7B29BE03" w14:textId="77777777" w:rsidTr="00F70508">
        <w:trPr>
          <w:trHeight w:val="420"/>
        </w:trPr>
        <w:tc>
          <w:tcPr>
            <w:tcW w:w="2880" w:type="dxa"/>
            <w:tcBorders>
              <w:left w:val="single" w:sz="6" w:space="0" w:color="000000"/>
              <w:bottom w:val="single" w:sz="6" w:space="0" w:color="000000"/>
              <w:right w:val="single" w:sz="6" w:space="0" w:color="000000"/>
            </w:tcBorders>
            <w:vAlign w:val="center"/>
          </w:tcPr>
          <w:p w14:paraId="48902A7E" w14:textId="77777777" w:rsidR="007D706A" w:rsidRDefault="007D706A" w:rsidP="00F70508">
            <w:pPr>
              <w:pStyle w:val="ParagraphStyle10"/>
              <w:rPr>
                <w:rStyle w:val="CharacterStyle10"/>
              </w:rPr>
            </w:pPr>
            <w:r>
              <w:rPr>
                <w:rStyle w:val="CharacterStyle10"/>
              </w:rPr>
              <w:t>37</w:t>
            </w:r>
          </w:p>
        </w:tc>
        <w:tc>
          <w:tcPr>
            <w:tcW w:w="4995" w:type="dxa"/>
            <w:tcBorders>
              <w:bottom w:val="single" w:sz="6" w:space="0" w:color="000000"/>
              <w:right w:val="single" w:sz="6" w:space="0" w:color="000000"/>
            </w:tcBorders>
            <w:vAlign w:val="center"/>
          </w:tcPr>
          <w:p w14:paraId="5DBAF286" w14:textId="77777777" w:rsidR="007D706A" w:rsidRDefault="007D706A" w:rsidP="00F70508">
            <w:pPr>
              <w:pStyle w:val="ParagraphStyle11"/>
              <w:rPr>
                <w:rStyle w:val="CharacterStyle11"/>
              </w:rPr>
            </w:pPr>
            <w:r>
              <w:rPr>
                <w:rStyle w:val="CharacterStyle11"/>
              </w:rPr>
              <w:t>Naknade građanima i kućanstvima na temelju osiguranja i druge naknade</w:t>
            </w:r>
          </w:p>
        </w:tc>
        <w:tc>
          <w:tcPr>
            <w:tcW w:w="1395" w:type="dxa"/>
            <w:tcBorders>
              <w:bottom w:val="single" w:sz="6" w:space="0" w:color="000000"/>
              <w:right w:val="single" w:sz="6" w:space="0" w:color="000000"/>
            </w:tcBorders>
            <w:vAlign w:val="center"/>
          </w:tcPr>
          <w:p w14:paraId="67F6D4D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3505E54" w14:textId="77777777" w:rsidR="007D706A" w:rsidRDefault="007D706A" w:rsidP="00F70508">
            <w:pPr>
              <w:pStyle w:val="ParagraphStyle12"/>
              <w:rPr>
                <w:rStyle w:val="CharacterStyle12"/>
              </w:rPr>
            </w:pPr>
            <w:r>
              <w:rPr>
                <w:rStyle w:val="CharacterStyle12"/>
              </w:rPr>
              <w:t>267.500,00</w:t>
            </w:r>
          </w:p>
        </w:tc>
        <w:tc>
          <w:tcPr>
            <w:tcW w:w="1395" w:type="dxa"/>
            <w:tcBorders>
              <w:bottom w:val="single" w:sz="6" w:space="0" w:color="000000"/>
              <w:right w:val="single" w:sz="6" w:space="0" w:color="000000"/>
            </w:tcBorders>
            <w:vAlign w:val="center"/>
          </w:tcPr>
          <w:p w14:paraId="3D3F79A8" w14:textId="77777777" w:rsidR="007D706A" w:rsidRDefault="007D706A" w:rsidP="00F70508">
            <w:pPr>
              <w:pStyle w:val="ParagraphStyle12"/>
              <w:rPr>
                <w:rStyle w:val="CharacterStyle12"/>
              </w:rPr>
            </w:pPr>
            <w:r>
              <w:rPr>
                <w:rStyle w:val="CharacterStyle12"/>
              </w:rPr>
              <w:t>295.000,00</w:t>
            </w:r>
          </w:p>
        </w:tc>
        <w:tc>
          <w:tcPr>
            <w:tcW w:w="1395" w:type="dxa"/>
            <w:tcBorders>
              <w:bottom w:val="single" w:sz="6" w:space="0" w:color="000000"/>
              <w:right w:val="single" w:sz="6" w:space="0" w:color="000000"/>
            </w:tcBorders>
            <w:vAlign w:val="center"/>
          </w:tcPr>
          <w:p w14:paraId="472B0444" w14:textId="77777777" w:rsidR="007D706A" w:rsidRDefault="007D706A" w:rsidP="00F70508">
            <w:pPr>
              <w:pStyle w:val="ParagraphStyle12"/>
              <w:rPr>
                <w:rStyle w:val="CharacterStyle12"/>
              </w:rPr>
            </w:pPr>
            <w:r>
              <w:rPr>
                <w:rStyle w:val="CharacterStyle12"/>
              </w:rPr>
              <w:t>300.000,00</w:t>
            </w:r>
          </w:p>
        </w:tc>
        <w:tc>
          <w:tcPr>
            <w:tcW w:w="1395" w:type="dxa"/>
            <w:tcBorders>
              <w:bottom w:val="single" w:sz="6" w:space="0" w:color="000000"/>
              <w:right w:val="single" w:sz="6" w:space="0" w:color="000000"/>
            </w:tcBorders>
            <w:vAlign w:val="center"/>
          </w:tcPr>
          <w:p w14:paraId="584F7433" w14:textId="77777777" w:rsidR="007D706A" w:rsidRDefault="007D706A" w:rsidP="00F70508">
            <w:pPr>
              <w:pStyle w:val="ParagraphStyle12"/>
              <w:rPr>
                <w:rStyle w:val="CharacterStyle12"/>
              </w:rPr>
            </w:pPr>
            <w:r>
              <w:rPr>
                <w:rStyle w:val="CharacterStyle12"/>
              </w:rPr>
              <w:t>310.000,00</w:t>
            </w:r>
          </w:p>
        </w:tc>
      </w:tr>
      <w:tr w:rsidR="007D706A" w14:paraId="71E32D1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B6B721A" w14:textId="77777777" w:rsidR="007D706A" w:rsidRDefault="007D706A" w:rsidP="00F70508">
            <w:pPr>
              <w:pStyle w:val="ParagraphStyle4"/>
              <w:rPr>
                <w:rStyle w:val="CharacterStyle4"/>
              </w:rPr>
            </w:pPr>
            <w:r>
              <w:rPr>
                <w:rStyle w:val="CharacterStyle4"/>
              </w:rPr>
              <w:t>Aktivnost A102611</w:t>
            </w:r>
          </w:p>
        </w:tc>
        <w:tc>
          <w:tcPr>
            <w:tcW w:w="4995" w:type="dxa"/>
            <w:tcBorders>
              <w:bottom w:val="single" w:sz="6" w:space="0" w:color="000000"/>
              <w:right w:val="single" w:sz="6" w:space="0" w:color="000000"/>
            </w:tcBorders>
            <w:vAlign w:val="center"/>
          </w:tcPr>
          <w:p w14:paraId="34051069" w14:textId="77777777" w:rsidR="007D706A" w:rsidRDefault="007D706A" w:rsidP="00F70508">
            <w:pPr>
              <w:pStyle w:val="ParagraphStyle5"/>
              <w:rPr>
                <w:rStyle w:val="CharacterStyle5"/>
              </w:rPr>
            </w:pPr>
            <w:r>
              <w:rPr>
                <w:rStyle w:val="CharacterStyle5"/>
              </w:rPr>
              <w:t>POTPORE DRUGIM OBRAZOVNIM USTANOVAMA</w:t>
            </w:r>
          </w:p>
        </w:tc>
        <w:tc>
          <w:tcPr>
            <w:tcW w:w="1395" w:type="dxa"/>
            <w:tcBorders>
              <w:bottom w:val="single" w:sz="6" w:space="0" w:color="000000"/>
              <w:right w:val="single" w:sz="6" w:space="0" w:color="000000"/>
            </w:tcBorders>
            <w:vAlign w:val="center"/>
          </w:tcPr>
          <w:p w14:paraId="41535221"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3482887E" w14:textId="77777777" w:rsidR="007D706A" w:rsidRDefault="007D706A" w:rsidP="00F70508">
            <w:pPr>
              <w:pStyle w:val="ParagraphStyle6"/>
              <w:rPr>
                <w:rStyle w:val="CharacterStyle6"/>
              </w:rPr>
            </w:pPr>
            <w:r>
              <w:rPr>
                <w:rStyle w:val="CharacterStyle6"/>
              </w:rPr>
              <w:t>7.550,00</w:t>
            </w:r>
          </w:p>
        </w:tc>
        <w:tc>
          <w:tcPr>
            <w:tcW w:w="1395" w:type="dxa"/>
            <w:tcBorders>
              <w:bottom w:val="single" w:sz="6" w:space="0" w:color="000000"/>
              <w:right w:val="single" w:sz="6" w:space="0" w:color="000000"/>
            </w:tcBorders>
            <w:vAlign w:val="center"/>
          </w:tcPr>
          <w:p w14:paraId="0EBB0EB6" w14:textId="77777777" w:rsidR="007D706A" w:rsidRDefault="007D706A" w:rsidP="00F70508">
            <w:pPr>
              <w:pStyle w:val="ParagraphStyle6"/>
              <w:rPr>
                <w:rStyle w:val="CharacterStyle6"/>
              </w:rPr>
            </w:pPr>
            <w:r>
              <w:rPr>
                <w:rStyle w:val="CharacterStyle6"/>
              </w:rPr>
              <w:t>7.500,00</w:t>
            </w:r>
          </w:p>
        </w:tc>
        <w:tc>
          <w:tcPr>
            <w:tcW w:w="1395" w:type="dxa"/>
            <w:tcBorders>
              <w:bottom w:val="single" w:sz="6" w:space="0" w:color="000000"/>
              <w:right w:val="single" w:sz="6" w:space="0" w:color="000000"/>
            </w:tcBorders>
            <w:vAlign w:val="center"/>
          </w:tcPr>
          <w:p w14:paraId="393013CA" w14:textId="77777777" w:rsidR="007D706A" w:rsidRDefault="007D706A" w:rsidP="00F70508">
            <w:pPr>
              <w:pStyle w:val="ParagraphStyle6"/>
              <w:rPr>
                <w:rStyle w:val="CharacterStyle6"/>
              </w:rPr>
            </w:pPr>
            <w:r>
              <w:rPr>
                <w:rStyle w:val="CharacterStyle6"/>
              </w:rPr>
              <w:t>8.500,00</w:t>
            </w:r>
          </w:p>
        </w:tc>
        <w:tc>
          <w:tcPr>
            <w:tcW w:w="1395" w:type="dxa"/>
            <w:tcBorders>
              <w:bottom w:val="single" w:sz="6" w:space="0" w:color="000000"/>
              <w:right w:val="single" w:sz="6" w:space="0" w:color="000000"/>
            </w:tcBorders>
            <w:vAlign w:val="center"/>
          </w:tcPr>
          <w:p w14:paraId="047404A7" w14:textId="77777777" w:rsidR="007D706A" w:rsidRDefault="007D706A" w:rsidP="00F70508">
            <w:pPr>
              <w:pStyle w:val="ParagraphStyle6"/>
              <w:rPr>
                <w:rStyle w:val="CharacterStyle6"/>
              </w:rPr>
            </w:pPr>
            <w:r>
              <w:rPr>
                <w:rStyle w:val="CharacterStyle6"/>
              </w:rPr>
              <w:t>8.500,00</w:t>
            </w:r>
          </w:p>
        </w:tc>
      </w:tr>
      <w:tr w:rsidR="007D706A" w14:paraId="6DA5506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345D4ED"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19064E75"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21FCA77C"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4B216BC" w14:textId="77777777" w:rsidR="007D706A" w:rsidRDefault="007D706A" w:rsidP="00F70508">
            <w:pPr>
              <w:pStyle w:val="ParagraphStyle9"/>
              <w:rPr>
                <w:rStyle w:val="CharacterStyle9"/>
              </w:rPr>
            </w:pPr>
            <w:r>
              <w:rPr>
                <w:rStyle w:val="CharacterStyle9"/>
              </w:rPr>
              <w:t>7.550,00</w:t>
            </w:r>
          </w:p>
        </w:tc>
        <w:tc>
          <w:tcPr>
            <w:tcW w:w="1395" w:type="dxa"/>
            <w:tcBorders>
              <w:bottom w:val="single" w:sz="6" w:space="0" w:color="000000"/>
              <w:right w:val="single" w:sz="6" w:space="0" w:color="000000"/>
            </w:tcBorders>
            <w:vAlign w:val="center"/>
          </w:tcPr>
          <w:p w14:paraId="6F1F3091" w14:textId="77777777" w:rsidR="007D706A" w:rsidRDefault="007D706A" w:rsidP="00F70508">
            <w:pPr>
              <w:pStyle w:val="ParagraphStyle9"/>
              <w:rPr>
                <w:rStyle w:val="CharacterStyle9"/>
              </w:rPr>
            </w:pPr>
            <w:r>
              <w:rPr>
                <w:rStyle w:val="CharacterStyle9"/>
              </w:rPr>
              <w:t>7.500,00</w:t>
            </w:r>
          </w:p>
        </w:tc>
        <w:tc>
          <w:tcPr>
            <w:tcW w:w="1395" w:type="dxa"/>
            <w:tcBorders>
              <w:bottom w:val="single" w:sz="6" w:space="0" w:color="000000"/>
              <w:right w:val="single" w:sz="6" w:space="0" w:color="000000"/>
            </w:tcBorders>
            <w:vAlign w:val="center"/>
          </w:tcPr>
          <w:p w14:paraId="1A9717B3" w14:textId="77777777" w:rsidR="007D706A" w:rsidRDefault="007D706A" w:rsidP="00F70508">
            <w:pPr>
              <w:pStyle w:val="ParagraphStyle9"/>
              <w:rPr>
                <w:rStyle w:val="CharacterStyle9"/>
              </w:rPr>
            </w:pPr>
            <w:r>
              <w:rPr>
                <w:rStyle w:val="CharacterStyle9"/>
              </w:rPr>
              <w:t>8.500,00</w:t>
            </w:r>
          </w:p>
        </w:tc>
        <w:tc>
          <w:tcPr>
            <w:tcW w:w="1395" w:type="dxa"/>
            <w:tcBorders>
              <w:bottom w:val="single" w:sz="6" w:space="0" w:color="000000"/>
              <w:right w:val="single" w:sz="6" w:space="0" w:color="000000"/>
            </w:tcBorders>
            <w:vAlign w:val="center"/>
          </w:tcPr>
          <w:p w14:paraId="3174EC98" w14:textId="77777777" w:rsidR="007D706A" w:rsidRDefault="007D706A" w:rsidP="00F70508">
            <w:pPr>
              <w:pStyle w:val="ParagraphStyle9"/>
              <w:rPr>
                <w:rStyle w:val="CharacterStyle9"/>
              </w:rPr>
            </w:pPr>
            <w:r>
              <w:rPr>
                <w:rStyle w:val="CharacterStyle9"/>
              </w:rPr>
              <w:t>8.500,00</w:t>
            </w:r>
          </w:p>
        </w:tc>
      </w:tr>
      <w:tr w:rsidR="007D706A" w14:paraId="498E197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A0A0FF9"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6F13C934"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651AB29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C416D6B" w14:textId="77777777" w:rsidR="007D706A" w:rsidRDefault="007D706A" w:rsidP="00F70508">
            <w:pPr>
              <w:pStyle w:val="ParagraphStyle12"/>
              <w:rPr>
                <w:rStyle w:val="CharacterStyle12"/>
              </w:rPr>
            </w:pPr>
            <w:r>
              <w:rPr>
                <w:rStyle w:val="CharacterStyle12"/>
              </w:rPr>
              <w:t>7.550,00</w:t>
            </w:r>
          </w:p>
        </w:tc>
        <w:tc>
          <w:tcPr>
            <w:tcW w:w="1395" w:type="dxa"/>
            <w:tcBorders>
              <w:bottom w:val="single" w:sz="6" w:space="0" w:color="000000"/>
              <w:right w:val="single" w:sz="6" w:space="0" w:color="000000"/>
            </w:tcBorders>
            <w:vAlign w:val="center"/>
          </w:tcPr>
          <w:p w14:paraId="050F8EAC" w14:textId="77777777" w:rsidR="007D706A" w:rsidRDefault="007D706A" w:rsidP="00F70508">
            <w:pPr>
              <w:pStyle w:val="ParagraphStyle12"/>
              <w:rPr>
                <w:rStyle w:val="CharacterStyle12"/>
              </w:rPr>
            </w:pPr>
            <w:r>
              <w:rPr>
                <w:rStyle w:val="CharacterStyle12"/>
              </w:rPr>
              <w:t>7.500,00</w:t>
            </w:r>
          </w:p>
        </w:tc>
        <w:tc>
          <w:tcPr>
            <w:tcW w:w="1395" w:type="dxa"/>
            <w:tcBorders>
              <w:bottom w:val="single" w:sz="6" w:space="0" w:color="000000"/>
              <w:right w:val="single" w:sz="6" w:space="0" w:color="000000"/>
            </w:tcBorders>
            <w:vAlign w:val="center"/>
          </w:tcPr>
          <w:p w14:paraId="40E10612" w14:textId="77777777" w:rsidR="007D706A" w:rsidRDefault="007D706A" w:rsidP="00F70508">
            <w:pPr>
              <w:pStyle w:val="ParagraphStyle12"/>
              <w:rPr>
                <w:rStyle w:val="CharacterStyle12"/>
              </w:rPr>
            </w:pPr>
            <w:r>
              <w:rPr>
                <w:rStyle w:val="CharacterStyle12"/>
              </w:rPr>
              <w:t>8.500,00</w:t>
            </w:r>
          </w:p>
        </w:tc>
        <w:tc>
          <w:tcPr>
            <w:tcW w:w="1395" w:type="dxa"/>
            <w:tcBorders>
              <w:bottom w:val="single" w:sz="6" w:space="0" w:color="000000"/>
              <w:right w:val="single" w:sz="6" w:space="0" w:color="000000"/>
            </w:tcBorders>
            <w:vAlign w:val="center"/>
          </w:tcPr>
          <w:p w14:paraId="13B2B31D" w14:textId="77777777" w:rsidR="007D706A" w:rsidRDefault="007D706A" w:rsidP="00F70508">
            <w:pPr>
              <w:pStyle w:val="ParagraphStyle12"/>
              <w:rPr>
                <w:rStyle w:val="CharacterStyle12"/>
              </w:rPr>
            </w:pPr>
            <w:r>
              <w:rPr>
                <w:rStyle w:val="CharacterStyle12"/>
              </w:rPr>
              <w:t>8.500,00</w:t>
            </w:r>
          </w:p>
        </w:tc>
      </w:tr>
      <w:tr w:rsidR="007D706A" w14:paraId="0115B6E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B7360A3" w14:textId="77777777" w:rsidR="007D706A" w:rsidRDefault="007D706A" w:rsidP="00F70508">
            <w:pPr>
              <w:pStyle w:val="ParagraphStyle10"/>
              <w:rPr>
                <w:rStyle w:val="CharacterStyle10"/>
              </w:rPr>
            </w:pPr>
            <w:r>
              <w:rPr>
                <w:rStyle w:val="CharacterStyle10"/>
              </w:rPr>
              <w:t>36</w:t>
            </w:r>
          </w:p>
        </w:tc>
        <w:tc>
          <w:tcPr>
            <w:tcW w:w="4995" w:type="dxa"/>
            <w:tcBorders>
              <w:bottom w:val="single" w:sz="6" w:space="0" w:color="000000"/>
              <w:right w:val="single" w:sz="6" w:space="0" w:color="000000"/>
            </w:tcBorders>
            <w:vAlign w:val="center"/>
          </w:tcPr>
          <w:p w14:paraId="444F43D4" w14:textId="77777777" w:rsidR="007D706A" w:rsidRDefault="007D706A" w:rsidP="00F70508">
            <w:pPr>
              <w:pStyle w:val="ParagraphStyle11"/>
              <w:rPr>
                <w:rStyle w:val="CharacterStyle11"/>
              </w:rPr>
            </w:pPr>
            <w:r>
              <w:rPr>
                <w:rStyle w:val="CharacterStyle11"/>
              </w:rPr>
              <w:t>Pomoći dane u inozemstvo i unutar općeg proračuna</w:t>
            </w:r>
          </w:p>
        </w:tc>
        <w:tc>
          <w:tcPr>
            <w:tcW w:w="1395" w:type="dxa"/>
            <w:tcBorders>
              <w:bottom w:val="single" w:sz="6" w:space="0" w:color="000000"/>
              <w:right w:val="single" w:sz="6" w:space="0" w:color="000000"/>
            </w:tcBorders>
            <w:vAlign w:val="center"/>
          </w:tcPr>
          <w:p w14:paraId="2FE9E42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AE342C1" w14:textId="77777777" w:rsidR="007D706A" w:rsidRDefault="007D706A" w:rsidP="00F70508">
            <w:pPr>
              <w:pStyle w:val="ParagraphStyle12"/>
              <w:rPr>
                <w:rStyle w:val="CharacterStyle12"/>
              </w:rPr>
            </w:pPr>
            <w:r>
              <w:rPr>
                <w:rStyle w:val="CharacterStyle12"/>
              </w:rPr>
              <w:t>7.550,00</w:t>
            </w:r>
          </w:p>
        </w:tc>
        <w:tc>
          <w:tcPr>
            <w:tcW w:w="1395" w:type="dxa"/>
            <w:tcBorders>
              <w:bottom w:val="single" w:sz="6" w:space="0" w:color="000000"/>
              <w:right w:val="single" w:sz="6" w:space="0" w:color="000000"/>
            </w:tcBorders>
            <w:vAlign w:val="center"/>
          </w:tcPr>
          <w:p w14:paraId="3B84A6A1" w14:textId="77777777" w:rsidR="007D706A" w:rsidRDefault="007D706A" w:rsidP="00F70508">
            <w:pPr>
              <w:pStyle w:val="ParagraphStyle12"/>
              <w:rPr>
                <w:rStyle w:val="CharacterStyle12"/>
              </w:rPr>
            </w:pPr>
            <w:r>
              <w:rPr>
                <w:rStyle w:val="CharacterStyle12"/>
              </w:rPr>
              <w:t>7.500,00</w:t>
            </w:r>
          </w:p>
        </w:tc>
        <w:tc>
          <w:tcPr>
            <w:tcW w:w="1395" w:type="dxa"/>
            <w:tcBorders>
              <w:bottom w:val="single" w:sz="6" w:space="0" w:color="000000"/>
              <w:right w:val="single" w:sz="6" w:space="0" w:color="000000"/>
            </w:tcBorders>
            <w:vAlign w:val="center"/>
          </w:tcPr>
          <w:p w14:paraId="6AF93106" w14:textId="77777777" w:rsidR="007D706A" w:rsidRDefault="007D706A" w:rsidP="00F70508">
            <w:pPr>
              <w:pStyle w:val="ParagraphStyle12"/>
              <w:rPr>
                <w:rStyle w:val="CharacterStyle12"/>
              </w:rPr>
            </w:pPr>
            <w:r>
              <w:rPr>
                <w:rStyle w:val="CharacterStyle12"/>
              </w:rPr>
              <w:t>8.500,00</w:t>
            </w:r>
          </w:p>
        </w:tc>
        <w:tc>
          <w:tcPr>
            <w:tcW w:w="1395" w:type="dxa"/>
            <w:tcBorders>
              <w:bottom w:val="single" w:sz="6" w:space="0" w:color="000000"/>
              <w:right w:val="single" w:sz="6" w:space="0" w:color="000000"/>
            </w:tcBorders>
            <w:vAlign w:val="center"/>
          </w:tcPr>
          <w:p w14:paraId="74DA9868" w14:textId="77777777" w:rsidR="007D706A" w:rsidRDefault="007D706A" w:rsidP="00F70508">
            <w:pPr>
              <w:pStyle w:val="ParagraphStyle12"/>
              <w:rPr>
                <w:rStyle w:val="CharacterStyle12"/>
              </w:rPr>
            </w:pPr>
            <w:r>
              <w:rPr>
                <w:rStyle w:val="CharacterStyle12"/>
              </w:rPr>
              <w:t>8.500,00</w:t>
            </w:r>
          </w:p>
        </w:tc>
      </w:tr>
      <w:tr w:rsidR="007D706A" w14:paraId="66DF701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916B620" w14:textId="77777777" w:rsidR="007D706A" w:rsidRDefault="007D706A" w:rsidP="00F70508">
            <w:pPr>
              <w:pStyle w:val="ParagraphStyle4"/>
              <w:rPr>
                <w:rStyle w:val="CharacterStyle4"/>
              </w:rPr>
            </w:pPr>
            <w:r>
              <w:rPr>
                <w:rStyle w:val="CharacterStyle4"/>
              </w:rPr>
              <w:lastRenderedPageBreak/>
              <w:t>Kapitalni projekt K102602</w:t>
            </w:r>
          </w:p>
        </w:tc>
        <w:tc>
          <w:tcPr>
            <w:tcW w:w="4995" w:type="dxa"/>
            <w:tcBorders>
              <w:bottom w:val="single" w:sz="6" w:space="0" w:color="000000"/>
              <w:right w:val="single" w:sz="6" w:space="0" w:color="000000"/>
            </w:tcBorders>
            <w:vAlign w:val="center"/>
          </w:tcPr>
          <w:p w14:paraId="3755CD48" w14:textId="77777777" w:rsidR="007D706A" w:rsidRDefault="007D706A" w:rsidP="00F70508">
            <w:pPr>
              <w:pStyle w:val="ParagraphStyle5"/>
              <w:rPr>
                <w:rStyle w:val="CharacterStyle5"/>
              </w:rPr>
            </w:pPr>
            <w:r>
              <w:rPr>
                <w:rStyle w:val="CharacterStyle5"/>
              </w:rPr>
              <w:t>OPREMA ZA SREDNJE ŠKOLE</w:t>
            </w:r>
          </w:p>
        </w:tc>
        <w:tc>
          <w:tcPr>
            <w:tcW w:w="1395" w:type="dxa"/>
            <w:tcBorders>
              <w:bottom w:val="single" w:sz="6" w:space="0" w:color="000000"/>
              <w:right w:val="single" w:sz="6" w:space="0" w:color="000000"/>
            </w:tcBorders>
            <w:vAlign w:val="center"/>
          </w:tcPr>
          <w:p w14:paraId="71B1186C"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3202DC33" w14:textId="77777777" w:rsidR="007D706A" w:rsidRDefault="007D706A" w:rsidP="00F70508">
            <w:pPr>
              <w:pStyle w:val="ParagraphStyle6"/>
              <w:rPr>
                <w:rStyle w:val="CharacterStyle6"/>
              </w:rPr>
            </w:pPr>
            <w:r>
              <w:rPr>
                <w:rStyle w:val="CharacterStyle6"/>
              </w:rPr>
              <w:t>6.000,00</w:t>
            </w:r>
          </w:p>
        </w:tc>
        <w:tc>
          <w:tcPr>
            <w:tcW w:w="1395" w:type="dxa"/>
            <w:tcBorders>
              <w:bottom w:val="single" w:sz="6" w:space="0" w:color="000000"/>
              <w:right w:val="single" w:sz="6" w:space="0" w:color="000000"/>
            </w:tcBorders>
            <w:vAlign w:val="center"/>
          </w:tcPr>
          <w:p w14:paraId="32C658D6" w14:textId="77777777" w:rsidR="007D706A" w:rsidRDefault="007D706A" w:rsidP="00F70508">
            <w:pPr>
              <w:pStyle w:val="ParagraphStyle6"/>
              <w:rPr>
                <w:rStyle w:val="CharacterStyle6"/>
              </w:rPr>
            </w:pPr>
            <w:r>
              <w:rPr>
                <w:rStyle w:val="CharacterStyle6"/>
              </w:rPr>
              <w:t>14.000,00</w:t>
            </w:r>
          </w:p>
        </w:tc>
        <w:tc>
          <w:tcPr>
            <w:tcW w:w="1395" w:type="dxa"/>
            <w:tcBorders>
              <w:bottom w:val="single" w:sz="6" w:space="0" w:color="000000"/>
              <w:right w:val="single" w:sz="6" w:space="0" w:color="000000"/>
            </w:tcBorders>
            <w:vAlign w:val="center"/>
          </w:tcPr>
          <w:p w14:paraId="7E4AC814" w14:textId="77777777" w:rsidR="007D706A" w:rsidRDefault="007D706A" w:rsidP="00F70508">
            <w:pPr>
              <w:pStyle w:val="ParagraphStyle6"/>
              <w:rPr>
                <w:rStyle w:val="CharacterStyle6"/>
              </w:rPr>
            </w:pPr>
            <w:r>
              <w:rPr>
                <w:rStyle w:val="CharacterStyle6"/>
              </w:rPr>
              <w:t>14.000,00</w:t>
            </w:r>
          </w:p>
        </w:tc>
        <w:tc>
          <w:tcPr>
            <w:tcW w:w="1395" w:type="dxa"/>
            <w:tcBorders>
              <w:bottom w:val="single" w:sz="6" w:space="0" w:color="000000"/>
              <w:right w:val="single" w:sz="6" w:space="0" w:color="000000"/>
            </w:tcBorders>
            <w:vAlign w:val="center"/>
          </w:tcPr>
          <w:p w14:paraId="15EAAC44" w14:textId="77777777" w:rsidR="007D706A" w:rsidRDefault="007D706A" w:rsidP="00F70508">
            <w:pPr>
              <w:pStyle w:val="ParagraphStyle6"/>
              <w:rPr>
                <w:rStyle w:val="CharacterStyle6"/>
              </w:rPr>
            </w:pPr>
            <w:r>
              <w:rPr>
                <w:rStyle w:val="CharacterStyle6"/>
              </w:rPr>
              <w:t>14.000,00</w:t>
            </w:r>
          </w:p>
        </w:tc>
      </w:tr>
      <w:tr w:rsidR="007D706A" w14:paraId="48995E7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4DAFAF8"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7FDAB7CF"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04CA777D"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656B07A" w14:textId="77777777" w:rsidR="007D706A" w:rsidRDefault="007D706A" w:rsidP="00F70508">
            <w:pPr>
              <w:pStyle w:val="ParagraphStyle9"/>
              <w:rPr>
                <w:rStyle w:val="CharacterStyle9"/>
              </w:rPr>
            </w:pPr>
            <w:r>
              <w:rPr>
                <w:rStyle w:val="CharacterStyle9"/>
              </w:rPr>
              <w:t>6.000,00</w:t>
            </w:r>
          </w:p>
        </w:tc>
        <w:tc>
          <w:tcPr>
            <w:tcW w:w="1395" w:type="dxa"/>
            <w:tcBorders>
              <w:bottom w:val="single" w:sz="6" w:space="0" w:color="000000"/>
              <w:right w:val="single" w:sz="6" w:space="0" w:color="000000"/>
            </w:tcBorders>
            <w:vAlign w:val="center"/>
          </w:tcPr>
          <w:p w14:paraId="26BD2FC2" w14:textId="77777777" w:rsidR="007D706A" w:rsidRDefault="007D706A" w:rsidP="00F70508">
            <w:pPr>
              <w:pStyle w:val="ParagraphStyle9"/>
              <w:rPr>
                <w:rStyle w:val="CharacterStyle9"/>
              </w:rPr>
            </w:pPr>
            <w:r>
              <w:rPr>
                <w:rStyle w:val="CharacterStyle9"/>
              </w:rPr>
              <w:t>14.000,00</w:t>
            </w:r>
          </w:p>
        </w:tc>
        <w:tc>
          <w:tcPr>
            <w:tcW w:w="1395" w:type="dxa"/>
            <w:tcBorders>
              <w:bottom w:val="single" w:sz="6" w:space="0" w:color="000000"/>
              <w:right w:val="single" w:sz="6" w:space="0" w:color="000000"/>
            </w:tcBorders>
            <w:vAlign w:val="center"/>
          </w:tcPr>
          <w:p w14:paraId="42DDED7C" w14:textId="77777777" w:rsidR="007D706A" w:rsidRDefault="007D706A" w:rsidP="00F70508">
            <w:pPr>
              <w:pStyle w:val="ParagraphStyle9"/>
              <w:rPr>
                <w:rStyle w:val="CharacterStyle9"/>
              </w:rPr>
            </w:pPr>
            <w:r>
              <w:rPr>
                <w:rStyle w:val="CharacterStyle9"/>
              </w:rPr>
              <w:t>14.000,00</w:t>
            </w:r>
          </w:p>
        </w:tc>
        <w:tc>
          <w:tcPr>
            <w:tcW w:w="1395" w:type="dxa"/>
            <w:tcBorders>
              <w:bottom w:val="single" w:sz="6" w:space="0" w:color="000000"/>
              <w:right w:val="single" w:sz="6" w:space="0" w:color="000000"/>
            </w:tcBorders>
            <w:vAlign w:val="center"/>
          </w:tcPr>
          <w:p w14:paraId="56EC76E0" w14:textId="77777777" w:rsidR="007D706A" w:rsidRDefault="007D706A" w:rsidP="00F70508">
            <w:pPr>
              <w:pStyle w:val="ParagraphStyle9"/>
              <w:rPr>
                <w:rStyle w:val="CharacterStyle9"/>
              </w:rPr>
            </w:pPr>
            <w:r>
              <w:rPr>
                <w:rStyle w:val="CharacterStyle9"/>
              </w:rPr>
              <w:t>14.000,00</w:t>
            </w:r>
          </w:p>
        </w:tc>
      </w:tr>
      <w:tr w:rsidR="007D706A" w14:paraId="1066269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ECAEFED"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0A631D02"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175C9B4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6BD2265" w14:textId="77777777" w:rsidR="007D706A" w:rsidRDefault="007D706A" w:rsidP="00F70508">
            <w:pPr>
              <w:pStyle w:val="ParagraphStyle12"/>
              <w:rPr>
                <w:rStyle w:val="CharacterStyle12"/>
              </w:rPr>
            </w:pPr>
            <w:r>
              <w:rPr>
                <w:rStyle w:val="CharacterStyle12"/>
              </w:rPr>
              <w:t>6.000,00</w:t>
            </w:r>
          </w:p>
        </w:tc>
        <w:tc>
          <w:tcPr>
            <w:tcW w:w="1395" w:type="dxa"/>
            <w:tcBorders>
              <w:bottom w:val="single" w:sz="6" w:space="0" w:color="000000"/>
              <w:right w:val="single" w:sz="6" w:space="0" w:color="000000"/>
            </w:tcBorders>
            <w:vAlign w:val="center"/>
          </w:tcPr>
          <w:p w14:paraId="30DD5A5A" w14:textId="77777777" w:rsidR="007D706A" w:rsidRDefault="007D706A" w:rsidP="00F70508">
            <w:pPr>
              <w:pStyle w:val="ParagraphStyle12"/>
              <w:rPr>
                <w:rStyle w:val="CharacterStyle12"/>
              </w:rPr>
            </w:pPr>
            <w:r>
              <w:rPr>
                <w:rStyle w:val="CharacterStyle12"/>
              </w:rPr>
              <w:t>14.000,00</w:t>
            </w:r>
          </w:p>
        </w:tc>
        <w:tc>
          <w:tcPr>
            <w:tcW w:w="1395" w:type="dxa"/>
            <w:tcBorders>
              <w:bottom w:val="single" w:sz="6" w:space="0" w:color="000000"/>
              <w:right w:val="single" w:sz="6" w:space="0" w:color="000000"/>
            </w:tcBorders>
            <w:vAlign w:val="center"/>
          </w:tcPr>
          <w:p w14:paraId="36E00A7C" w14:textId="77777777" w:rsidR="007D706A" w:rsidRDefault="007D706A" w:rsidP="00F70508">
            <w:pPr>
              <w:pStyle w:val="ParagraphStyle12"/>
              <w:rPr>
                <w:rStyle w:val="CharacterStyle12"/>
              </w:rPr>
            </w:pPr>
            <w:r>
              <w:rPr>
                <w:rStyle w:val="CharacterStyle12"/>
              </w:rPr>
              <w:t>14.000,00</w:t>
            </w:r>
          </w:p>
        </w:tc>
        <w:tc>
          <w:tcPr>
            <w:tcW w:w="1395" w:type="dxa"/>
            <w:tcBorders>
              <w:bottom w:val="single" w:sz="6" w:space="0" w:color="000000"/>
              <w:right w:val="single" w:sz="6" w:space="0" w:color="000000"/>
            </w:tcBorders>
            <w:vAlign w:val="center"/>
          </w:tcPr>
          <w:p w14:paraId="4BFEFE14" w14:textId="77777777" w:rsidR="007D706A" w:rsidRDefault="007D706A" w:rsidP="00F70508">
            <w:pPr>
              <w:pStyle w:val="ParagraphStyle12"/>
              <w:rPr>
                <w:rStyle w:val="CharacterStyle12"/>
              </w:rPr>
            </w:pPr>
            <w:r>
              <w:rPr>
                <w:rStyle w:val="CharacterStyle12"/>
              </w:rPr>
              <w:t>14.000,00</w:t>
            </w:r>
          </w:p>
        </w:tc>
      </w:tr>
      <w:tr w:rsidR="007D706A" w14:paraId="022FE03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9E3938C" w14:textId="77777777" w:rsidR="007D706A" w:rsidRDefault="007D706A" w:rsidP="00F70508">
            <w:pPr>
              <w:pStyle w:val="ParagraphStyle10"/>
              <w:rPr>
                <w:rStyle w:val="CharacterStyle10"/>
              </w:rPr>
            </w:pPr>
            <w:r>
              <w:rPr>
                <w:rStyle w:val="CharacterStyle10"/>
              </w:rPr>
              <w:t>36</w:t>
            </w:r>
          </w:p>
        </w:tc>
        <w:tc>
          <w:tcPr>
            <w:tcW w:w="4995" w:type="dxa"/>
            <w:tcBorders>
              <w:bottom w:val="single" w:sz="6" w:space="0" w:color="000000"/>
              <w:right w:val="single" w:sz="6" w:space="0" w:color="000000"/>
            </w:tcBorders>
            <w:vAlign w:val="center"/>
          </w:tcPr>
          <w:p w14:paraId="6AA04523" w14:textId="77777777" w:rsidR="007D706A" w:rsidRDefault="007D706A" w:rsidP="00F70508">
            <w:pPr>
              <w:pStyle w:val="ParagraphStyle11"/>
              <w:rPr>
                <w:rStyle w:val="CharacterStyle11"/>
              </w:rPr>
            </w:pPr>
            <w:r>
              <w:rPr>
                <w:rStyle w:val="CharacterStyle11"/>
              </w:rPr>
              <w:t>Pomoći dane u inozemstvo i unutar općeg proračuna</w:t>
            </w:r>
          </w:p>
        </w:tc>
        <w:tc>
          <w:tcPr>
            <w:tcW w:w="1395" w:type="dxa"/>
            <w:tcBorders>
              <w:bottom w:val="single" w:sz="6" w:space="0" w:color="000000"/>
              <w:right w:val="single" w:sz="6" w:space="0" w:color="000000"/>
            </w:tcBorders>
            <w:vAlign w:val="center"/>
          </w:tcPr>
          <w:p w14:paraId="2189436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9EBB1A4" w14:textId="77777777" w:rsidR="007D706A" w:rsidRDefault="007D706A" w:rsidP="00F70508">
            <w:pPr>
              <w:pStyle w:val="ParagraphStyle12"/>
              <w:rPr>
                <w:rStyle w:val="CharacterStyle12"/>
              </w:rPr>
            </w:pPr>
            <w:r>
              <w:rPr>
                <w:rStyle w:val="CharacterStyle12"/>
              </w:rPr>
              <w:t>6.000,00</w:t>
            </w:r>
          </w:p>
        </w:tc>
        <w:tc>
          <w:tcPr>
            <w:tcW w:w="1395" w:type="dxa"/>
            <w:tcBorders>
              <w:bottom w:val="single" w:sz="6" w:space="0" w:color="000000"/>
              <w:right w:val="single" w:sz="6" w:space="0" w:color="000000"/>
            </w:tcBorders>
            <w:vAlign w:val="center"/>
          </w:tcPr>
          <w:p w14:paraId="520AB7A5" w14:textId="77777777" w:rsidR="007D706A" w:rsidRDefault="007D706A" w:rsidP="00F70508">
            <w:pPr>
              <w:pStyle w:val="ParagraphStyle12"/>
              <w:rPr>
                <w:rStyle w:val="CharacterStyle12"/>
              </w:rPr>
            </w:pPr>
            <w:r>
              <w:rPr>
                <w:rStyle w:val="CharacterStyle12"/>
              </w:rPr>
              <w:t>14.000,00</w:t>
            </w:r>
          </w:p>
        </w:tc>
        <w:tc>
          <w:tcPr>
            <w:tcW w:w="1395" w:type="dxa"/>
            <w:tcBorders>
              <w:bottom w:val="single" w:sz="6" w:space="0" w:color="000000"/>
              <w:right w:val="single" w:sz="6" w:space="0" w:color="000000"/>
            </w:tcBorders>
            <w:vAlign w:val="center"/>
          </w:tcPr>
          <w:p w14:paraId="00341155" w14:textId="77777777" w:rsidR="007D706A" w:rsidRDefault="007D706A" w:rsidP="00F70508">
            <w:pPr>
              <w:pStyle w:val="ParagraphStyle12"/>
              <w:rPr>
                <w:rStyle w:val="CharacterStyle12"/>
              </w:rPr>
            </w:pPr>
            <w:r>
              <w:rPr>
                <w:rStyle w:val="CharacterStyle12"/>
              </w:rPr>
              <w:t>14.000,00</w:t>
            </w:r>
          </w:p>
        </w:tc>
        <w:tc>
          <w:tcPr>
            <w:tcW w:w="1395" w:type="dxa"/>
            <w:tcBorders>
              <w:bottom w:val="single" w:sz="6" w:space="0" w:color="000000"/>
              <w:right w:val="single" w:sz="6" w:space="0" w:color="000000"/>
            </w:tcBorders>
            <w:vAlign w:val="center"/>
          </w:tcPr>
          <w:p w14:paraId="68899BEE" w14:textId="77777777" w:rsidR="007D706A" w:rsidRDefault="007D706A" w:rsidP="00F70508">
            <w:pPr>
              <w:pStyle w:val="ParagraphStyle12"/>
              <w:rPr>
                <w:rStyle w:val="CharacterStyle12"/>
              </w:rPr>
            </w:pPr>
            <w:r>
              <w:rPr>
                <w:rStyle w:val="CharacterStyle12"/>
              </w:rPr>
              <w:t>14.000,00</w:t>
            </w:r>
          </w:p>
        </w:tc>
      </w:tr>
      <w:tr w:rsidR="007D706A" w14:paraId="08367D0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1B87ACA" w14:textId="77777777" w:rsidR="007D706A" w:rsidRDefault="007D706A" w:rsidP="00F70508">
            <w:pPr>
              <w:pStyle w:val="ParagraphStyle4"/>
              <w:rPr>
                <w:rStyle w:val="CharacterStyle4"/>
              </w:rPr>
            </w:pPr>
            <w:r>
              <w:rPr>
                <w:rStyle w:val="CharacterStyle4"/>
              </w:rPr>
              <w:t>Aktivnost A102613</w:t>
            </w:r>
          </w:p>
        </w:tc>
        <w:tc>
          <w:tcPr>
            <w:tcW w:w="4995" w:type="dxa"/>
            <w:tcBorders>
              <w:bottom w:val="single" w:sz="6" w:space="0" w:color="000000"/>
              <w:right w:val="single" w:sz="6" w:space="0" w:color="000000"/>
            </w:tcBorders>
            <w:vAlign w:val="center"/>
          </w:tcPr>
          <w:p w14:paraId="1D4B59B3" w14:textId="77777777" w:rsidR="007D706A" w:rsidRDefault="007D706A" w:rsidP="00F70508">
            <w:pPr>
              <w:pStyle w:val="ParagraphStyle5"/>
              <w:rPr>
                <w:rStyle w:val="CharacterStyle5"/>
              </w:rPr>
            </w:pPr>
            <w:r>
              <w:rPr>
                <w:rStyle w:val="CharacterStyle5"/>
              </w:rPr>
              <w:t>POTPORE STUDENTIMA _DEFICITARNA ZANIMANJA</w:t>
            </w:r>
          </w:p>
        </w:tc>
        <w:tc>
          <w:tcPr>
            <w:tcW w:w="1395" w:type="dxa"/>
            <w:tcBorders>
              <w:bottom w:val="single" w:sz="6" w:space="0" w:color="000000"/>
              <w:right w:val="single" w:sz="6" w:space="0" w:color="000000"/>
            </w:tcBorders>
            <w:vAlign w:val="center"/>
          </w:tcPr>
          <w:p w14:paraId="6EBCE8FC"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6042F040" w14:textId="77777777" w:rsidR="007D706A" w:rsidRDefault="007D706A" w:rsidP="00F70508">
            <w:pPr>
              <w:pStyle w:val="ParagraphStyle6"/>
              <w:rPr>
                <w:rStyle w:val="CharacterStyle6"/>
              </w:rPr>
            </w:pPr>
            <w:r>
              <w:rPr>
                <w:rStyle w:val="CharacterStyle6"/>
              </w:rPr>
              <w:t>22.800,00</w:t>
            </w:r>
          </w:p>
        </w:tc>
        <w:tc>
          <w:tcPr>
            <w:tcW w:w="1395" w:type="dxa"/>
            <w:tcBorders>
              <w:bottom w:val="single" w:sz="6" w:space="0" w:color="000000"/>
              <w:right w:val="single" w:sz="6" w:space="0" w:color="000000"/>
            </w:tcBorders>
            <w:vAlign w:val="center"/>
          </w:tcPr>
          <w:p w14:paraId="0307A5E3" w14:textId="77777777" w:rsidR="007D706A" w:rsidRDefault="007D706A" w:rsidP="00F70508">
            <w:pPr>
              <w:pStyle w:val="ParagraphStyle6"/>
              <w:rPr>
                <w:rStyle w:val="CharacterStyle6"/>
              </w:rPr>
            </w:pPr>
            <w:r>
              <w:rPr>
                <w:rStyle w:val="CharacterStyle6"/>
              </w:rPr>
              <w:t>28.000,00</w:t>
            </w:r>
          </w:p>
        </w:tc>
        <w:tc>
          <w:tcPr>
            <w:tcW w:w="1395" w:type="dxa"/>
            <w:tcBorders>
              <w:bottom w:val="single" w:sz="6" w:space="0" w:color="000000"/>
              <w:right w:val="single" w:sz="6" w:space="0" w:color="000000"/>
            </w:tcBorders>
            <w:vAlign w:val="center"/>
          </w:tcPr>
          <w:p w14:paraId="5773B8C0" w14:textId="77777777" w:rsidR="007D706A" w:rsidRDefault="007D706A" w:rsidP="00F70508">
            <w:pPr>
              <w:pStyle w:val="ParagraphStyle6"/>
              <w:rPr>
                <w:rStyle w:val="CharacterStyle6"/>
              </w:rPr>
            </w:pPr>
            <w:r>
              <w:rPr>
                <w:rStyle w:val="CharacterStyle6"/>
              </w:rPr>
              <w:t>31.000,00</w:t>
            </w:r>
          </w:p>
        </w:tc>
        <w:tc>
          <w:tcPr>
            <w:tcW w:w="1395" w:type="dxa"/>
            <w:tcBorders>
              <w:bottom w:val="single" w:sz="6" w:space="0" w:color="000000"/>
              <w:right w:val="single" w:sz="6" w:space="0" w:color="000000"/>
            </w:tcBorders>
            <w:vAlign w:val="center"/>
          </w:tcPr>
          <w:p w14:paraId="0D837BF1" w14:textId="77777777" w:rsidR="007D706A" w:rsidRDefault="007D706A" w:rsidP="00F70508">
            <w:pPr>
              <w:pStyle w:val="ParagraphStyle6"/>
              <w:rPr>
                <w:rStyle w:val="CharacterStyle6"/>
              </w:rPr>
            </w:pPr>
            <w:r>
              <w:rPr>
                <w:rStyle w:val="CharacterStyle6"/>
              </w:rPr>
              <w:t>34.000,00</w:t>
            </w:r>
          </w:p>
        </w:tc>
      </w:tr>
      <w:tr w:rsidR="007D706A" w14:paraId="214528C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D676364"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725CB1BE"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691BABA0"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593FEA7" w14:textId="77777777" w:rsidR="007D706A" w:rsidRDefault="007D706A" w:rsidP="00F70508">
            <w:pPr>
              <w:pStyle w:val="ParagraphStyle9"/>
              <w:rPr>
                <w:rStyle w:val="CharacterStyle9"/>
              </w:rPr>
            </w:pPr>
            <w:r>
              <w:rPr>
                <w:rStyle w:val="CharacterStyle9"/>
              </w:rPr>
              <w:t>22.800,00</w:t>
            </w:r>
          </w:p>
        </w:tc>
        <w:tc>
          <w:tcPr>
            <w:tcW w:w="1395" w:type="dxa"/>
            <w:tcBorders>
              <w:bottom w:val="single" w:sz="6" w:space="0" w:color="000000"/>
              <w:right w:val="single" w:sz="6" w:space="0" w:color="000000"/>
            </w:tcBorders>
            <w:vAlign w:val="center"/>
          </w:tcPr>
          <w:p w14:paraId="799D2B39" w14:textId="77777777" w:rsidR="007D706A" w:rsidRDefault="007D706A" w:rsidP="00F70508">
            <w:pPr>
              <w:pStyle w:val="ParagraphStyle9"/>
              <w:rPr>
                <w:rStyle w:val="CharacterStyle9"/>
              </w:rPr>
            </w:pPr>
            <w:r>
              <w:rPr>
                <w:rStyle w:val="CharacterStyle9"/>
              </w:rPr>
              <w:t>28.000,00</w:t>
            </w:r>
          </w:p>
        </w:tc>
        <w:tc>
          <w:tcPr>
            <w:tcW w:w="1395" w:type="dxa"/>
            <w:tcBorders>
              <w:bottom w:val="single" w:sz="6" w:space="0" w:color="000000"/>
              <w:right w:val="single" w:sz="6" w:space="0" w:color="000000"/>
            </w:tcBorders>
            <w:vAlign w:val="center"/>
          </w:tcPr>
          <w:p w14:paraId="1D9032C1" w14:textId="77777777" w:rsidR="007D706A" w:rsidRDefault="007D706A" w:rsidP="00F70508">
            <w:pPr>
              <w:pStyle w:val="ParagraphStyle9"/>
              <w:rPr>
                <w:rStyle w:val="CharacterStyle9"/>
              </w:rPr>
            </w:pPr>
            <w:r>
              <w:rPr>
                <w:rStyle w:val="CharacterStyle9"/>
              </w:rPr>
              <w:t>31.000,00</w:t>
            </w:r>
          </w:p>
        </w:tc>
        <w:tc>
          <w:tcPr>
            <w:tcW w:w="1395" w:type="dxa"/>
            <w:tcBorders>
              <w:bottom w:val="single" w:sz="6" w:space="0" w:color="000000"/>
              <w:right w:val="single" w:sz="6" w:space="0" w:color="000000"/>
            </w:tcBorders>
            <w:vAlign w:val="center"/>
          </w:tcPr>
          <w:p w14:paraId="3FF7D222" w14:textId="77777777" w:rsidR="007D706A" w:rsidRDefault="007D706A" w:rsidP="00F70508">
            <w:pPr>
              <w:pStyle w:val="ParagraphStyle9"/>
              <w:rPr>
                <w:rStyle w:val="CharacterStyle9"/>
              </w:rPr>
            </w:pPr>
            <w:r>
              <w:rPr>
                <w:rStyle w:val="CharacterStyle9"/>
              </w:rPr>
              <w:t>34.000,00</w:t>
            </w:r>
          </w:p>
        </w:tc>
      </w:tr>
      <w:tr w:rsidR="007D706A" w14:paraId="0C37FF7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53A76F7"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5EF2DAAA"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25BB8C3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6FE04E0" w14:textId="77777777" w:rsidR="007D706A" w:rsidRDefault="007D706A" w:rsidP="00F70508">
            <w:pPr>
              <w:pStyle w:val="ParagraphStyle12"/>
              <w:rPr>
                <w:rStyle w:val="CharacterStyle12"/>
              </w:rPr>
            </w:pPr>
            <w:r>
              <w:rPr>
                <w:rStyle w:val="CharacterStyle12"/>
              </w:rPr>
              <w:t>22.800,00</w:t>
            </w:r>
          </w:p>
        </w:tc>
        <w:tc>
          <w:tcPr>
            <w:tcW w:w="1395" w:type="dxa"/>
            <w:tcBorders>
              <w:bottom w:val="single" w:sz="6" w:space="0" w:color="000000"/>
              <w:right w:val="single" w:sz="6" w:space="0" w:color="000000"/>
            </w:tcBorders>
            <w:vAlign w:val="center"/>
          </w:tcPr>
          <w:p w14:paraId="7A0DCD61" w14:textId="77777777" w:rsidR="007D706A" w:rsidRDefault="007D706A" w:rsidP="00F70508">
            <w:pPr>
              <w:pStyle w:val="ParagraphStyle12"/>
              <w:rPr>
                <w:rStyle w:val="CharacterStyle12"/>
              </w:rPr>
            </w:pPr>
            <w:r>
              <w:rPr>
                <w:rStyle w:val="CharacterStyle12"/>
              </w:rPr>
              <w:t>28.000,00</w:t>
            </w:r>
          </w:p>
        </w:tc>
        <w:tc>
          <w:tcPr>
            <w:tcW w:w="1395" w:type="dxa"/>
            <w:tcBorders>
              <w:bottom w:val="single" w:sz="6" w:space="0" w:color="000000"/>
              <w:right w:val="single" w:sz="6" w:space="0" w:color="000000"/>
            </w:tcBorders>
            <w:vAlign w:val="center"/>
          </w:tcPr>
          <w:p w14:paraId="7E8CF16E" w14:textId="77777777" w:rsidR="007D706A" w:rsidRDefault="007D706A" w:rsidP="00F70508">
            <w:pPr>
              <w:pStyle w:val="ParagraphStyle12"/>
              <w:rPr>
                <w:rStyle w:val="CharacterStyle12"/>
              </w:rPr>
            </w:pPr>
            <w:r>
              <w:rPr>
                <w:rStyle w:val="CharacterStyle12"/>
              </w:rPr>
              <w:t>31.000,00</w:t>
            </w:r>
          </w:p>
        </w:tc>
        <w:tc>
          <w:tcPr>
            <w:tcW w:w="1395" w:type="dxa"/>
            <w:tcBorders>
              <w:bottom w:val="single" w:sz="6" w:space="0" w:color="000000"/>
              <w:right w:val="single" w:sz="6" w:space="0" w:color="000000"/>
            </w:tcBorders>
            <w:vAlign w:val="center"/>
          </w:tcPr>
          <w:p w14:paraId="0016F815" w14:textId="77777777" w:rsidR="007D706A" w:rsidRDefault="007D706A" w:rsidP="00F70508">
            <w:pPr>
              <w:pStyle w:val="ParagraphStyle12"/>
              <w:rPr>
                <w:rStyle w:val="CharacterStyle12"/>
              </w:rPr>
            </w:pPr>
            <w:r>
              <w:rPr>
                <w:rStyle w:val="CharacterStyle12"/>
              </w:rPr>
              <w:t>34.000,00</w:t>
            </w:r>
          </w:p>
        </w:tc>
      </w:tr>
      <w:tr w:rsidR="007D706A" w14:paraId="7B23C302" w14:textId="77777777" w:rsidTr="00F70508">
        <w:trPr>
          <w:trHeight w:val="405"/>
        </w:trPr>
        <w:tc>
          <w:tcPr>
            <w:tcW w:w="2880" w:type="dxa"/>
            <w:tcBorders>
              <w:left w:val="single" w:sz="6" w:space="0" w:color="000000"/>
              <w:bottom w:val="single" w:sz="6" w:space="0" w:color="000000"/>
              <w:right w:val="single" w:sz="6" w:space="0" w:color="000000"/>
            </w:tcBorders>
            <w:vAlign w:val="center"/>
          </w:tcPr>
          <w:p w14:paraId="5B5151A6" w14:textId="77777777" w:rsidR="007D706A" w:rsidRDefault="007D706A" w:rsidP="00F70508">
            <w:pPr>
              <w:pStyle w:val="ParagraphStyle10"/>
              <w:rPr>
                <w:rStyle w:val="CharacterStyle10"/>
              </w:rPr>
            </w:pPr>
            <w:r>
              <w:rPr>
                <w:rStyle w:val="CharacterStyle10"/>
              </w:rPr>
              <w:t>37</w:t>
            </w:r>
          </w:p>
        </w:tc>
        <w:tc>
          <w:tcPr>
            <w:tcW w:w="4995" w:type="dxa"/>
            <w:tcBorders>
              <w:bottom w:val="single" w:sz="6" w:space="0" w:color="000000"/>
              <w:right w:val="single" w:sz="6" w:space="0" w:color="000000"/>
            </w:tcBorders>
            <w:vAlign w:val="center"/>
          </w:tcPr>
          <w:p w14:paraId="59B642BC" w14:textId="77777777" w:rsidR="007D706A" w:rsidRDefault="007D706A" w:rsidP="00F70508">
            <w:pPr>
              <w:pStyle w:val="ParagraphStyle11"/>
              <w:rPr>
                <w:rStyle w:val="CharacterStyle11"/>
              </w:rPr>
            </w:pPr>
            <w:r>
              <w:rPr>
                <w:rStyle w:val="CharacterStyle11"/>
              </w:rPr>
              <w:t>Naknade građanima i kućanstvima na temelju osiguranja i druge naknade</w:t>
            </w:r>
          </w:p>
        </w:tc>
        <w:tc>
          <w:tcPr>
            <w:tcW w:w="1395" w:type="dxa"/>
            <w:tcBorders>
              <w:bottom w:val="single" w:sz="6" w:space="0" w:color="000000"/>
              <w:right w:val="single" w:sz="6" w:space="0" w:color="000000"/>
            </w:tcBorders>
            <w:vAlign w:val="center"/>
          </w:tcPr>
          <w:p w14:paraId="402B107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F23B431" w14:textId="77777777" w:rsidR="007D706A" w:rsidRDefault="007D706A" w:rsidP="00F70508">
            <w:pPr>
              <w:pStyle w:val="ParagraphStyle12"/>
              <w:rPr>
                <w:rStyle w:val="CharacterStyle12"/>
              </w:rPr>
            </w:pPr>
            <w:r>
              <w:rPr>
                <w:rStyle w:val="CharacterStyle12"/>
              </w:rPr>
              <w:t>22.800,00</w:t>
            </w:r>
          </w:p>
        </w:tc>
        <w:tc>
          <w:tcPr>
            <w:tcW w:w="1395" w:type="dxa"/>
            <w:tcBorders>
              <w:bottom w:val="single" w:sz="6" w:space="0" w:color="000000"/>
              <w:right w:val="single" w:sz="6" w:space="0" w:color="000000"/>
            </w:tcBorders>
            <w:vAlign w:val="center"/>
          </w:tcPr>
          <w:p w14:paraId="27C4AB85" w14:textId="77777777" w:rsidR="007D706A" w:rsidRDefault="007D706A" w:rsidP="00F70508">
            <w:pPr>
              <w:pStyle w:val="ParagraphStyle12"/>
              <w:rPr>
                <w:rStyle w:val="CharacterStyle12"/>
              </w:rPr>
            </w:pPr>
            <w:r>
              <w:rPr>
                <w:rStyle w:val="CharacterStyle12"/>
              </w:rPr>
              <w:t>28.000,00</w:t>
            </w:r>
          </w:p>
        </w:tc>
        <w:tc>
          <w:tcPr>
            <w:tcW w:w="1395" w:type="dxa"/>
            <w:tcBorders>
              <w:bottom w:val="single" w:sz="6" w:space="0" w:color="000000"/>
              <w:right w:val="single" w:sz="6" w:space="0" w:color="000000"/>
            </w:tcBorders>
            <w:vAlign w:val="center"/>
          </w:tcPr>
          <w:p w14:paraId="3EF4E07D" w14:textId="77777777" w:rsidR="007D706A" w:rsidRDefault="007D706A" w:rsidP="00F70508">
            <w:pPr>
              <w:pStyle w:val="ParagraphStyle12"/>
              <w:rPr>
                <w:rStyle w:val="CharacterStyle12"/>
              </w:rPr>
            </w:pPr>
            <w:r>
              <w:rPr>
                <w:rStyle w:val="CharacterStyle12"/>
              </w:rPr>
              <w:t>31.000,00</w:t>
            </w:r>
          </w:p>
        </w:tc>
        <w:tc>
          <w:tcPr>
            <w:tcW w:w="1395" w:type="dxa"/>
            <w:tcBorders>
              <w:bottom w:val="single" w:sz="6" w:space="0" w:color="000000"/>
              <w:right w:val="single" w:sz="6" w:space="0" w:color="000000"/>
            </w:tcBorders>
            <w:vAlign w:val="center"/>
          </w:tcPr>
          <w:p w14:paraId="5354E6B6" w14:textId="77777777" w:rsidR="007D706A" w:rsidRDefault="007D706A" w:rsidP="00F70508">
            <w:pPr>
              <w:pStyle w:val="ParagraphStyle12"/>
              <w:rPr>
                <w:rStyle w:val="CharacterStyle12"/>
              </w:rPr>
            </w:pPr>
            <w:r>
              <w:rPr>
                <w:rStyle w:val="CharacterStyle12"/>
              </w:rPr>
              <w:t>34.000,00</w:t>
            </w:r>
          </w:p>
        </w:tc>
      </w:tr>
      <w:tr w:rsidR="007D706A" w14:paraId="65C06F7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5FD1D56" w14:textId="77777777" w:rsidR="007D706A" w:rsidRDefault="007D706A" w:rsidP="00F70508">
            <w:pPr>
              <w:pStyle w:val="ParagraphStyle4"/>
              <w:rPr>
                <w:rStyle w:val="CharacterStyle4"/>
              </w:rPr>
            </w:pPr>
            <w:r>
              <w:rPr>
                <w:rStyle w:val="CharacterStyle4"/>
              </w:rPr>
              <w:t>Aktivnost A102614</w:t>
            </w:r>
          </w:p>
        </w:tc>
        <w:tc>
          <w:tcPr>
            <w:tcW w:w="4995" w:type="dxa"/>
            <w:tcBorders>
              <w:bottom w:val="single" w:sz="6" w:space="0" w:color="000000"/>
              <w:right w:val="single" w:sz="6" w:space="0" w:color="000000"/>
            </w:tcBorders>
            <w:vAlign w:val="center"/>
          </w:tcPr>
          <w:p w14:paraId="7A5B3E96" w14:textId="77777777" w:rsidR="007D706A" w:rsidRDefault="007D706A" w:rsidP="00F70508">
            <w:pPr>
              <w:pStyle w:val="ParagraphStyle5"/>
              <w:rPr>
                <w:rStyle w:val="CharacterStyle5"/>
              </w:rPr>
            </w:pPr>
            <w:r>
              <w:rPr>
                <w:rStyle w:val="CharacterStyle5"/>
              </w:rPr>
              <w:t>UNAPREĐENJE UVJETA RADA STRUKOVNE ŠKOLE E. KUMČIĆ</w:t>
            </w:r>
          </w:p>
        </w:tc>
        <w:tc>
          <w:tcPr>
            <w:tcW w:w="1395" w:type="dxa"/>
            <w:tcBorders>
              <w:bottom w:val="single" w:sz="6" w:space="0" w:color="000000"/>
              <w:right w:val="single" w:sz="6" w:space="0" w:color="000000"/>
            </w:tcBorders>
            <w:vAlign w:val="center"/>
          </w:tcPr>
          <w:p w14:paraId="197CF23C"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6965B772" w14:textId="77777777" w:rsidR="007D706A" w:rsidRDefault="007D706A" w:rsidP="00F70508">
            <w:pPr>
              <w:pStyle w:val="ParagraphStyle6"/>
              <w:rPr>
                <w:rStyle w:val="CharacterStyle6"/>
              </w:rPr>
            </w:pPr>
            <w:r>
              <w:rPr>
                <w:rStyle w:val="CharacterStyle6"/>
              </w:rPr>
              <w:t>6.640,00</w:t>
            </w:r>
          </w:p>
        </w:tc>
        <w:tc>
          <w:tcPr>
            <w:tcW w:w="1395" w:type="dxa"/>
            <w:tcBorders>
              <w:bottom w:val="single" w:sz="6" w:space="0" w:color="000000"/>
              <w:right w:val="single" w:sz="6" w:space="0" w:color="000000"/>
            </w:tcBorders>
            <w:vAlign w:val="center"/>
          </w:tcPr>
          <w:p w14:paraId="7E3B6D79"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48E3ABB9"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613FC048" w14:textId="77777777" w:rsidR="007D706A" w:rsidRDefault="007D706A" w:rsidP="00F70508">
            <w:pPr>
              <w:pStyle w:val="ParagraphStyle6"/>
              <w:rPr>
                <w:rStyle w:val="CharacterStyle6"/>
              </w:rPr>
            </w:pPr>
            <w:r>
              <w:rPr>
                <w:rStyle w:val="CharacterStyle6"/>
              </w:rPr>
              <w:t>0,00</w:t>
            </w:r>
          </w:p>
        </w:tc>
      </w:tr>
      <w:tr w:rsidR="007D706A" w14:paraId="62DB90C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280CB86"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420C9C5C"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78D7569A"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8224256" w14:textId="77777777" w:rsidR="007D706A" w:rsidRDefault="007D706A" w:rsidP="00F70508">
            <w:pPr>
              <w:pStyle w:val="ParagraphStyle9"/>
              <w:rPr>
                <w:rStyle w:val="CharacterStyle9"/>
              </w:rPr>
            </w:pPr>
            <w:r>
              <w:rPr>
                <w:rStyle w:val="CharacterStyle9"/>
              </w:rPr>
              <w:t>6.640,00</w:t>
            </w:r>
          </w:p>
        </w:tc>
        <w:tc>
          <w:tcPr>
            <w:tcW w:w="1395" w:type="dxa"/>
            <w:tcBorders>
              <w:bottom w:val="single" w:sz="6" w:space="0" w:color="000000"/>
              <w:right w:val="single" w:sz="6" w:space="0" w:color="000000"/>
            </w:tcBorders>
            <w:vAlign w:val="center"/>
          </w:tcPr>
          <w:p w14:paraId="5557C8C3"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3BDD3DB"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4754B6E" w14:textId="77777777" w:rsidR="007D706A" w:rsidRDefault="007D706A" w:rsidP="00F70508">
            <w:pPr>
              <w:pStyle w:val="ParagraphStyle9"/>
              <w:rPr>
                <w:rStyle w:val="CharacterStyle9"/>
              </w:rPr>
            </w:pPr>
            <w:r>
              <w:rPr>
                <w:rStyle w:val="CharacterStyle9"/>
              </w:rPr>
              <w:t>0,00</w:t>
            </w:r>
          </w:p>
        </w:tc>
      </w:tr>
      <w:tr w:rsidR="007D706A" w14:paraId="4C16147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C4D1521"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543064BC"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5F9560A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0A9D724" w14:textId="77777777" w:rsidR="007D706A" w:rsidRDefault="007D706A" w:rsidP="00F70508">
            <w:pPr>
              <w:pStyle w:val="ParagraphStyle12"/>
              <w:rPr>
                <w:rStyle w:val="CharacterStyle12"/>
              </w:rPr>
            </w:pPr>
            <w:r>
              <w:rPr>
                <w:rStyle w:val="CharacterStyle12"/>
              </w:rPr>
              <w:t>6.640,00</w:t>
            </w:r>
          </w:p>
        </w:tc>
        <w:tc>
          <w:tcPr>
            <w:tcW w:w="1395" w:type="dxa"/>
            <w:tcBorders>
              <w:bottom w:val="single" w:sz="6" w:space="0" w:color="000000"/>
              <w:right w:val="single" w:sz="6" w:space="0" w:color="000000"/>
            </w:tcBorders>
            <w:vAlign w:val="center"/>
          </w:tcPr>
          <w:p w14:paraId="0EAF25D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04B97E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F1036E1" w14:textId="77777777" w:rsidR="007D706A" w:rsidRDefault="007D706A" w:rsidP="00F70508">
            <w:pPr>
              <w:pStyle w:val="ParagraphStyle12"/>
              <w:rPr>
                <w:rStyle w:val="CharacterStyle12"/>
              </w:rPr>
            </w:pPr>
            <w:r>
              <w:rPr>
                <w:rStyle w:val="CharacterStyle12"/>
              </w:rPr>
              <w:t>0,00</w:t>
            </w:r>
          </w:p>
        </w:tc>
      </w:tr>
      <w:tr w:rsidR="007D706A" w14:paraId="033A9DB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61B8142" w14:textId="77777777" w:rsidR="007D706A" w:rsidRDefault="007D706A" w:rsidP="00F70508">
            <w:pPr>
              <w:pStyle w:val="ParagraphStyle10"/>
              <w:rPr>
                <w:rStyle w:val="CharacterStyle10"/>
              </w:rPr>
            </w:pPr>
            <w:r>
              <w:rPr>
                <w:rStyle w:val="CharacterStyle10"/>
              </w:rPr>
              <w:t>36</w:t>
            </w:r>
          </w:p>
        </w:tc>
        <w:tc>
          <w:tcPr>
            <w:tcW w:w="4995" w:type="dxa"/>
            <w:tcBorders>
              <w:bottom w:val="single" w:sz="6" w:space="0" w:color="000000"/>
              <w:right w:val="single" w:sz="6" w:space="0" w:color="000000"/>
            </w:tcBorders>
            <w:vAlign w:val="center"/>
          </w:tcPr>
          <w:p w14:paraId="683A6FA8" w14:textId="77777777" w:rsidR="007D706A" w:rsidRDefault="007D706A" w:rsidP="00F70508">
            <w:pPr>
              <w:pStyle w:val="ParagraphStyle11"/>
              <w:rPr>
                <w:rStyle w:val="CharacterStyle11"/>
              </w:rPr>
            </w:pPr>
            <w:r>
              <w:rPr>
                <w:rStyle w:val="CharacterStyle11"/>
              </w:rPr>
              <w:t>Pomoći dane u inozemstvo i unutar općeg proračuna</w:t>
            </w:r>
          </w:p>
        </w:tc>
        <w:tc>
          <w:tcPr>
            <w:tcW w:w="1395" w:type="dxa"/>
            <w:tcBorders>
              <w:bottom w:val="single" w:sz="6" w:space="0" w:color="000000"/>
              <w:right w:val="single" w:sz="6" w:space="0" w:color="000000"/>
            </w:tcBorders>
            <w:vAlign w:val="center"/>
          </w:tcPr>
          <w:p w14:paraId="24DA601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8A526F3" w14:textId="77777777" w:rsidR="007D706A" w:rsidRDefault="007D706A" w:rsidP="00F70508">
            <w:pPr>
              <w:pStyle w:val="ParagraphStyle12"/>
              <w:rPr>
                <w:rStyle w:val="CharacterStyle12"/>
              </w:rPr>
            </w:pPr>
            <w:r>
              <w:rPr>
                <w:rStyle w:val="CharacterStyle12"/>
              </w:rPr>
              <w:t>6.640,00</w:t>
            </w:r>
          </w:p>
        </w:tc>
        <w:tc>
          <w:tcPr>
            <w:tcW w:w="1395" w:type="dxa"/>
            <w:tcBorders>
              <w:bottom w:val="single" w:sz="6" w:space="0" w:color="000000"/>
              <w:right w:val="single" w:sz="6" w:space="0" w:color="000000"/>
            </w:tcBorders>
            <w:vAlign w:val="center"/>
          </w:tcPr>
          <w:p w14:paraId="22D414E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D3235C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A463A62" w14:textId="77777777" w:rsidR="007D706A" w:rsidRDefault="007D706A" w:rsidP="00F70508">
            <w:pPr>
              <w:pStyle w:val="ParagraphStyle12"/>
              <w:rPr>
                <w:rStyle w:val="CharacterStyle12"/>
              </w:rPr>
            </w:pPr>
            <w:r>
              <w:rPr>
                <w:rStyle w:val="CharacterStyle12"/>
              </w:rPr>
              <w:t>0,00</w:t>
            </w:r>
          </w:p>
        </w:tc>
      </w:tr>
      <w:tr w:rsidR="007D706A" w14:paraId="4FE1C87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AC04BD7" w14:textId="77777777" w:rsidR="007D706A" w:rsidRDefault="007D706A" w:rsidP="00F70508">
            <w:pPr>
              <w:pStyle w:val="ParagraphStyle4"/>
              <w:rPr>
                <w:rStyle w:val="CharacterStyle4"/>
              </w:rPr>
            </w:pPr>
            <w:r>
              <w:rPr>
                <w:rStyle w:val="CharacterStyle4"/>
              </w:rPr>
              <w:t>Aktivnost A102615</w:t>
            </w:r>
          </w:p>
        </w:tc>
        <w:tc>
          <w:tcPr>
            <w:tcW w:w="4995" w:type="dxa"/>
            <w:tcBorders>
              <w:bottom w:val="single" w:sz="6" w:space="0" w:color="000000"/>
              <w:right w:val="single" w:sz="6" w:space="0" w:color="000000"/>
            </w:tcBorders>
            <w:vAlign w:val="center"/>
          </w:tcPr>
          <w:p w14:paraId="3E2A6E52" w14:textId="77777777" w:rsidR="007D706A" w:rsidRDefault="007D706A" w:rsidP="00F70508">
            <w:pPr>
              <w:pStyle w:val="ParagraphStyle5"/>
              <w:rPr>
                <w:rStyle w:val="CharacterStyle5"/>
              </w:rPr>
            </w:pPr>
            <w:r>
              <w:rPr>
                <w:rStyle w:val="CharacterStyle5"/>
              </w:rPr>
              <w:t>PRIJEVOZ UČENIKA U ŠKOLU ZA ODGOJ I OBRAZOVANJE</w:t>
            </w:r>
          </w:p>
        </w:tc>
        <w:tc>
          <w:tcPr>
            <w:tcW w:w="1395" w:type="dxa"/>
            <w:tcBorders>
              <w:bottom w:val="single" w:sz="6" w:space="0" w:color="000000"/>
              <w:right w:val="single" w:sz="6" w:space="0" w:color="000000"/>
            </w:tcBorders>
            <w:vAlign w:val="center"/>
          </w:tcPr>
          <w:p w14:paraId="7CD709E4"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60A36251" w14:textId="77777777" w:rsidR="007D706A" w:rsidRDefault="007D706A" w:rsidP="00F70508">
            <w:pPr>
              <w:pStyle w:val="ParagraphStyle6"/>
              <w:rPr>
                <w:rStyle w:val="CharacterStyle6"/>
              </w:rPr>
            </w:pPr>
            <w:r>
              <w:rPr>
                <w:rStyle w:val="CharacterStyle6"/>
              </w:rPr>
              <w:t>7.950,00</w:t>
            </w:r>
          </w:p>
        </w:tc>
        <w:tc>
          <w:tcPr>
            <w:tcW w:w="1395" w:type="dxa"/>
            <w:tcBorders>
              <w:bottom w:val="single" w:sz="6" w:space="0" w:color="000000"/>
              <w:right w:val="single" w:sz="6" w:space="0" w:color="000000"/>
            </w:tcBorders>
            <w:vAlign w:val="center"/>
          </w:tcPr>
          <w:p w14:paraId="76FFAC3E" w14:textId="77777777" w:rsidR="007D706A" w:rsidRDefault="007D706A" w:rsidP="00F70508">
            <w:pPr>
              <w:pStyle w:val="ParagraphStyle6"/>
              <w:rPr>
                <w:rStyle w:val="CharacterStyle6"/>
              </w:rPr>
            </w:pPr>
            <w:r>
              <w:rPr>
                <w:rStyle w:val="CharacterStyle6"/>
              </w:rPr>
              <w:t>8.000,00</w:t>
            </w:r>
          </w:p>
        </w:tc>
        <w:tc>
          <w:tcPr>
            <w:tcW w:w="1395" w:type="dxa"/>
            <w:tcBorders>
              <w:bottom w:val="single" w:sz="6" w:space="0" w:color="000000"/>
              <w:right w:val="single" w:sz="6" w:space="0" w:color="000000"/>
            </w:tcBorders>
            <w:vAlign w:val="center"/>
          </w:tcPr>
          <w:p w14:paraId="497FB92A" w14:textId="77777777" w:rsidR="007D706A" w:rsidRDefault="007D706A" w:rsidP="00F70508">
            <w:pPr>
              <w:pStyle w:val="ParagraphStyle6"/>
              <w:rPr>
                <w:rStyle w:val="CharacterStyle6"/>
              </w:rPr>
            </w:pPr>
            <w:r>
              <w:rPr>
                <w:rStyle w:val="CharacterStyle6"/>
              </w:rPr>
              <w:t>8.000,00</w:t>
            </w:r>
          </w:p>
        </w:tc>
        <w:tc>
          <w:tcPr>
            <w:tcW w:w="1395" w:type="dxa"/>
            <w:tcBorders>
              <w:bottom w:val="single" w:sz="6" w:space="0" w:color="000000"/>
              <w:right w:val="single" w:sz="6" w:space="0" w:color="000000"/>
            </w:tcBorders>
            <w:vAlign w:val="center"/>
          </w:tcPr>
          <w:p w14:paraId="43EF56CD" w14:textId="77777777" w:rsidR="007D706A" w:rsidRDefault="007D706A" w:rsidP="00F70508">
            <w:pPr>
              <w:pStyle w:val="ParagraphStyle6"/>
              <w:rPr>
                <w:rStyle w:val="CharacterStyle6"/>
              </w:rPr>
            </w:pPr>
            <w:r>
              <w:rPr>
                <w:rStyle w:val="CharacterStyle6"/>
              </w:rPr>
              <w:t>8.000,00</w:t>
            </w:r>
          </w:p>
        </w:tc>
      </w:tr>
      <w:tr w:rsidR="007D706A" w14:paraId="5088060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3D38C51"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05BABD2C"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67F7E7DF"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C873A44" w14:textId="77777777" w:rsidR="007D706A" w:rsidRDefault="007D706A" w:rsidP="00F70508">
            <w:pPr>
              <w:pStyle w:val="ParagraphStyle9"/>
              <w:rPr>
                <w:rStyle w:val="CharacterStyle9"/>
              </w:rPr>
            </w:pPr>
            <w:r>
              <w:rPr>
                <w:rStyle w:val="CharacterStyle9"/>
              </w:rPr>
              <w:t>7.950,00</w:t>
            </w:r>
          </w:p>
        </w:tc>
        <w:tc>
          <w:tcPr>
            <w:tcW w:w="1395" w:type="dxa"/>
            <w:tcBorders>
              <w:bottom w:val="single" w:sz="6" w:space="0" w:color="000000"/>
              <w:right w:val="single" w:sz="6" w:space="0" w:color="000000"/>
            </w:tcBorders>
            <w:vAlign w:val="center"/>
          </w:tcPr>
          <w:p w14:paraId="5AD31DE4" w14:textId="77777777" w:rsidR="007D706A" w:rsidRDefault="007D706A" w:rsidP="00F70508">
            <w:pPr>
              <w:pStyle w:val="ParagraphStyle9"/>
              <w:rPr>
                <w:rStyle w:val="CharacterStyle9"/>
              </w:rPr>
            </w:pPr>
            <w:r>
              <w:rPr>
                <w:rStyle w:val="CharacterStyle9"/>
              </w:rPr>
              <w:t>8.000,00</w:t>
            </w:r>
          </w:p>
        </w:tc>
        <w:tc>
          <w:tcPr>
            <w:tcW w:w="1395" w:type="dxa"/>
            <w:tcBorders>
              <w:bottom w:val="single" w:sz="6" w:space="0" w:color="000000"/>
              <w:right w:val="single" w:sz="6" w:space="0" w:color="000000"/>
            </w:tcBorders>
            <w:vAlign w:val="center"/>
          </w:tcPr>
          <w:p w14:paraId="702E8FD6" w14:textId="77777777" w:rsidR="007D706A" w:rsidRDefault="007D706A" w:rsidP="00F70508">
            <w:pPr>
              <w:pStyle w:val="ParagraphStyle9"/>
              <w:rPr>
                <w:rStyle w:val="CharacterStyle9"/>
              </w:rPr>
            </w:pPr>
            <w:r>
              <w:rPr>
                <w:rStyle w:val="CharacterStyle9"/>
              </w:rPr>
              <w:t>8.000,00</w:t>
            </w:r>
          </w:p>
        </w:tc>
        <w:tc>
          <w:tcPr>
            <w:tcW w:w="1395" w:type="dxa"/>
            <w:tcBorders>
              <w:bottom w:val="single" w:sz="6" w:space="0" w:color="000000"/>
              <w:right w:val="single" w:sz="6" w:space="0" w:color="000000"/>
            </w:tcBorders>
            <w:vAlign w:val="center"/>
          </w:tcPr>
          <w:p w14:paraId="4551070B" w14:textId="77777777" w:rsidR="007D706A" w:rsidRDefault="007D706A" w:rsidP="00F70508">
            <w:pPr>
              <w:pStyle w:val="ParagraphStyle9"/>
              <w:rPr>
                <w:rStyle w:val="CharacterStyle9"/>
              </w:rPr>
            </w:pPr>
            <w:r>
              <w:rPr>
                <w:rStyle w:val="CharacterStyle9"/>
              </w:rPr>
              <w:t>8.000,00</w:t>
            </w:r>
          </w:p>
        </w:tc>
      </w:tr>
      <w:tr w:rsidR="007D706A" w14:paraId="73ED91E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D5C8DB2"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32B493E5"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549A94C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94B69CB" w14:textId="77777777" w:rsidR="007D706A" w:rsidRDefault="007D706A" w:rsidP="00F70508">
            <w:pPr>
              <w:pStyle w:val="ParagraphStyle12"/>
              <w:rPr>
                <w:rStyle w:val="CharacterStyle12"/>
              </w:rPr>
            </w:pPr>
            <w:r>
              <w:rPr>
                <w:rStyle w:val="CharacterStyle12"/>
              </w:rPr>
              <w:t>7.950,00</w:t>
            </w:r>
          </w:p>
        </w:tc>
        <w:tc>
          <w:tcPr>
            <w:tcW w:w="1395" w:type="dxa"/>
            <w:tcBorders>
              <w:bottom w:val="single" w:sz="6" w:space="0" w:color="000000"/>
              <w:right w:val="single" w:sz="6" w:space="0" w:color="000000"/>
            </w:tcBorders>
            <w:vAlign w:val="center"/>
          </w:tcPr>
          <w:p w14:paraId="6D266B1B" w14:textId="77777777" w:rsidR="007D706A" w:rsidRDefault="007D706A" w:rsidP="00F70508">
            <w:pPr>
              <w:pStyle w:val="ParagraphStyle12"/>
              <w:rPr>
                <w:rStyle w:val="CharacterStyle12"/>
              </w:rPr>
            </w:pPr>
            <w:r>
              <w:rPr>
                <w:rStyle w:val="CharacterStyle12"/>
              </w:rPr>
              <w:t>8.000,00</w:t>
            </w:r>
          </w:p>
        </w:tc>
        <w:tc>
          <w:tcPr>
            <w:tcW w:w="1395" w:type="dxa"/>
            <w:tcBorders>
              <w:bottom w:val="single" w:sz="6" w:space="0" w:color="000000"/>
              <w:right w:val="single" w:sz="6" w:space="0" w:color="000000"/>
            </w:tcBorders>
            <w:vAlign w:val="center"/>
          </w:tcPr>
          <w:p w14:paraId="75E7ED41" w14:textId="77777777" w:rsidR="007D706A" w:rsidRDefault="007D706A" w:rsidP="00F70508">
            <w:pPr>
              <w:pStyle w:val="ParagraphStyle12"/>
              <w:rPr>
                <w:rStyle w:val="CharacterStyle12"/>
              </w:rPr>
            </w:pPr>
            <w:r>
              <w:rPr>
                <w:rStyle w:val="CharacterStyle12"/>
              </w:rPr>
              <w:t>8.000,00</w:t>
            </w:r>
          </w:p>
        </w:tc>
        <w:tc>
          <w:tcPr>
            <w:tcW w:w="1395" w:type="dxa"/>
            <w:tcBorders>
              <w:bottom w:val="single" w:sz="6" w:space="0" w:color="000000"/>
              <w:right w:val="single" w:sz="6" w:space="0" w:color="000000"/>
            </w:tcBorders>
            <w:vAlign w:val="center"/>
          </w:tcPr>
          <w:p w14:paraId="5D85DFF5" w14:textId="77777777" w:rsidR="007D706A" w:rsidRDefault="007D706A" w:rsidP="00F70508">
            <w:pPr>
              <w:pStyle w:val="ParagraphStyle12"/>
              <w:rPr>
                <w:rStyle w:val="CharacterStyle12"/>
              </w:rPr>
            </w:pPr>
            <w:r>
              <w:rPr>
                <w:rStyle w:val="CharacterStyle12"/>
              </w:rPr>
              <w:t>8.000,00</w:t>
            </w:r>
          </w:p>
        </w:tc>
      </w:tr>
      <w:tr w:rsidR="007D706A" w14:paraId="2841EB8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C02DA80" w14:textId="77777777" w:rsidR="007D706A" w:rsidRDefault="007D706A" w:rsidP="00F70508">
            <w:pPr>
              <w:pStyle w:val="ParagraphStyle10"/>
              <w:rPr>
                <w:rStyle w:val="CharacterStyle10"/>
              </w:rPr>
            </w:pPr>
            <w:r>
              <w:rPr>
                <w:rStyle w:val="CharacterStyle10"/>
              </w:rPr>
              <w:t>36</w:t>
            </w:r>
          </w:p>
        </w:tc>
        <w:tc>
          <w:tcPr>
            <w:tcW w:w="4995" w:type="dxa"/>
            <w:tcBorders>
              <w:bottom w:val="single" w:sz="6" w:space="0" w:color="000000"/>
              <w:right w:val="single" w:sz="6" w:space="0" w:color="000000"/>
            </w:tcBorders>
            <w:vAlign w:val="center"/>
          </w:tcPr>
          <w:p w14:paraId="14855850" w14:textId="77777777" w:rsidR="007D706A" w:rsidRDefault="007D706A" w:rsidP="00F70508">
            <w:pPr>
              <w:pStyle w:val="ParagraphStyle11"/>
              <w:rPr>
                <w:rStyle w:val="CharacterStyle11"/>
              </w:rPr>
            </w:pPr>
            <w:r>
              <w:rPr>
                <w:rStyle w:val="CharacterStyle11"/>
              </w:rPr>
              <w:t>Pomoći dane u inozemstvo i unutar općeg proračuna</w:t>
            </w:r>
          </w:p>
        </w:tc>
        <w:tc>
          <w:tcPr>
            <w:tcW w:w="1395" w:type="dxa"/>
            <w:tcBorders>
              <w:bottom w:val="single" w:sz="6" w:space="0" w:color="000000"/>
              <w:right w:val="single" w:sz="6" w:space="0" w:color="000000"/>
            </w:tcBorders>
            <w:vAlign w:val="center"/>
          </w:tcPr>
          <w:p w14:paraId="5A99B99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672EA51" w14:textId="77777777" w:rsidR="007D706A" w:rsidRDefault="007D706A" w:rsidP="00F70508">
            <w:pPr>
              <w:pStyle w:val="ParagraphStyle12"/>
              <w:rPr>
                <w:rStyle w:val="CharacterStyle12"/>
              </w:rPr>
            </w:pPr>
            <w:r>
              <w:rPr>
                <w:rStyle w:val="CharacterStyle12"/>
              </w:rPr>
              <w:t>7.950,00</w:t>
            </w:r>
          </w:p>
        </w:tc>
        <w:tc>
          <w:tcPr>
            <w:tcW w:w="1395" w:type="dxa"/>
            <w:tcBorders>
              <w:bottom w:val="single" w:sz="6" w:space="0" w:color="000000"/>
              <w:right w:val="single" w:sz="6" w:space="0" w:color="000000"/>
            </w:tcBorders>
            <w:vAlign w:val="center"/>
          </w:tcPr>
          <w:p w14:paraId="1194124D" w14:textId="77777777" w:rsidR="007D706A" w:rsidRDefault="007D706A" w:rsidP="00F70508">
            <w:pPr>
              <w:pStyle w:val="ParagraphStyle12"/>
              <w:rPr>
                <w:rStyle w:val="CharacterStyle12"/>
              </w:rPr>
            </w:pPr>
            <w:r>
              <w:rPr>
                <w:rStyle w:val="CharacterStyle12"/>
              </w:rPr>
              <w:t>8.000,00</w:t>
            </w:r>
          </w:p>
        </w:tc>
        <w:tc>
          <w:tcPr>
            <w:tcW w:w="1395" w:type="dxa"/>
            <w:tcBorders>
              <w:bottom w:val="single" w:sz="6" w:space="0" w:color="000000"/>
              <w:right w:val="single" w:sz="6" w:space="0" w:color="000000"/>
            </w:tcBorders>
            <w:vAlign w:val="center"/>
          </w:tcPr>
          <w:p w14:paraId="788EC486" w14:textId="77777777" w:rsidR="007D706A" w:rsidRDefault="007D706A" w:rsidP="00F70508">
            <w:pPr>
              <w:pStyle w:val="ParagraphStyle12"/>
              <w:rPr>
                <w:rStyle w:val="CharacterStyle12"/>
              </w:rPr>
            </w:pPr>
            <w:r>
              <w:rPr>
                <w:rStyle w:val="CharacterStyle12"/>
              </w:rPr>
              <w:t>8.000,00</w:t>
            </w:r>
          </w:p>
        </w:tc>
        <w:tc>
          <w:tcPr>
            <w:tcW w:w="1395" w:type="dxa"/>
            <w:tcBorders>
              <w:bottom w:val="single" w:sz="6" w:space="0" w:color="000000"/>
              <w:right w:val="single" w:sz="6" w:space="0" w:color="000000"/>
            </w:tcBorders>
            <w:vAlign w:val="center"/>
          </w:tcPr>
          <w:p w14:paraId="18163D7F" w14:textId="77777777" w:rsidR="007D706A" w:rsidRDefault="007D706A" w:rsidP="00F70508">
            <w:pPr>
              <w:pStyle w:val="ParagraphStyle12"/>
              <w:rPr>
                <w:rStyle w:val="CharacterStyle12"/>
              </w:rPr>
            </w:pPr>
            <w:r>
              <w:rPr>
                <w:rStyle w:val="CharacterStyle12"/>
              </w:rPr>
              <w:t>8.000,00</w:t>
            </w:r>
          </w:p>
        </w:tc>
      </w:tr>
      <w:tr w:rsidR="007D706A" w14:paraId="73E46C5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3F4A0D0" w14:textId="77777777" w:rsidR="007D706A" w:rsidRDefault="007D706A" w:rsidP="00F70508">
            <w:pPr>
              <w:pStyle w:val="ParagraphStyle4"/>
              <w:rPr>
                <w:rStyle w:val="CharacterStyle4"/>
              </w:rPr>
            </w:pPr>
            <w:r>
              <w:rPr>
                <w:rStyle w:val="CharacterStyle4"/>
              </w:rPr>
              <w:t>Aktivnost A102616</w:t>
            </w:r>
          </w:p>
        </w:tc>
        <w:tc>
          <w:tcPr>
            <w:tcW w:w="4995" w:type="dxa"/>
            <w:tcBorders>
              <w:bottom w:val="single" w:sz="6" w:space="0" w:color="000000"/>
              <w:right w:val="single" w:sz="6" w:space="0" w:color="000000"/>
            </w:tcBorders>
            <w:vAlign w:val="center"/>
          </w:tcPr>
          <w:p w14:paraId="5ACA0315" w14:textId="77777777" w:rsidR="007D706A" w:rsidRDefault="007D706A" w:rsidP="00F70508">
            <w:pPr>
              <w:pStyle w:val="ParagraphStyle5"/>
              <w:rPr>
                <w:rStyle w:val="CharacterStyle5"/>
              </w:rPr>
            </w:pPr>
            <w:r>
              <w:rPr>
                <w:rStyle w:val="CharacterStyle5"/>
              </w:rPr>
              <w:t>PROJEKTI U ŠKOLAMA</w:t>
            </w:r>
          </w:p>
        </w:tc>
        <w:tc>
          <w:tcPr>
            <w:tcW w:w="1395" w:type="dxa"/>
            <w:tcBorders>
              <w:bottom w:val="single" w:sz="6" w:space="0" w:color="000000"/>
              <w:right w:val="single" w:sz="6" w:space="0" w:color="000000"/>
            </w:tcBorders>
            <w:vAlign w:val="center"/>
          </w:tcPr>
          <w:p w14:paraId="12E52D53"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7D0883D1" w14:textId="77777777" w:rsidR="007D706A" w:rsidRDefault="007D706A" w:rsidP="00F70508">
            <w:pPr>
              <w:pStyle w:val="ParagraphStyle6"/>
              <w:rPr>
                <w:rStyle w:val="CharacterStyle6"/>
              </w:rPr>
            </w:pPr>
            <w:r>
              <w:rPr>
                <w:rStyle w:val="CharacterStyle6"/>
              </w:rPr>
              <w:t>1.950,00</w:t>
            </w:r>
          </w:p>
        </w:tc>
        <w:tc>
          <w:tcPr>
            <w:tcW w:w="1395" w:type="dxa"/>
            <w:tcBorders>
              <w:bottom w:val="single" w:sz="6" w:space="0" w:color="000000"/>
              <w:right w:val="single" w:sz="6" w:space="0" w:color="000000"/>
            </w:tcBorders>
            <w:vAlign w:val="center"/>
          </w:tcPr>
          <w:p w14:paraId="4AB5F1BF" w14:textId="77777777" w:rsidR="007D706A" w:rsidRDefault="007D706A" w:rsidP="00F70508">
            <w:pPr>
              <w:pStyle w:val="ParagraphStyle6"/>
              <w:rPr>
                <w:rStyle w:val="CharacterStyle6"/>
              </w:rPr>
            </w:pPr>
            <w:r>
              <w:rPr>
                <w:rStyle w:val="CharacterStyle6"/>
              </w:rPr>
              <w:t>2.000,00</w:t>
            </w:r>
          </w:p>
        </w:tc>
        <w:tc>
          <w:tcPr>
            <w:tcW w:w="1395" w:type="dxa"/>
            <w:tcBorders>
              <w:bottom w:val="single" w:sz="6" w:space="0" w:color="000000"/>
              <w:right w:val="single" w:sz="6" w:space="0" w:color="000000"/>
            </w:tcBorders>
            <w:vAlign w:val="center"/>
          </w:tcPr>
          <w:p w14:paraId="4107F9F0" w14:textId="77777777" w:rsidR="007D706A" w:rsidRDefault="007D706A" w:rsidP="00F70508">
            <w:pPr>
              <w:pStyle w:val="ParagraphStyle6"/>
              <w:rPr>
                <w:rStyle w:val="CharacterStyle6"/>
              </w:rPr>
            </w:pPr>
            <w:r>
              <w:rPr>
                <w:rStyle w:val="CharacterStyle6"/>
              </w:rPr>
              <w:t>3.000,00</w:t>
            </w:r>
          </w:p>
        </w:tc>
        <w:tc>
          <w:tcPr>
            <w:tcW w:w="1395" w:type="dxa"/>
            <w:tcBorders>
              <w:bottom w:val="single" w:sz="6" w:space="0" w:color="000000"/>
              <w:right w:val="single" w:sz="6" w:space="0" w:color="000000"/>
            </w:tcBorders>
            <w:vAlign w:val="center"/>
          </w:tcPr>
          <w:p w14:paraId="6A0C45F3" w14:textId="77777777" w:rsidR="007D706A" w:rsidRDefault="007D706A" w:rsidP="00F70508">
            <w:pPr>
              <w:pStyle w:val="ParagraphStyle6"/>
              <w:rPr>
                <w:rStyle w:val="CharacterStyle6"/>
              </w:rPr>
            </w:pPr>
            <w:r>
              <w:rPr>
                <w:rStyle w:val="CharacterStyle6"/>
              </w:rPr>
              <w:t>4.000,00</w:t>
            </w:r>
          </w:p>
        </w:tc>
      </w:tr>
      <w:tr w:rsidR="007D706A" w14:paraId="3264C17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D1D497B"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0798C18A"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0A45740C"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581AA95" w14:textId="77777777" w:rsidR="007D706A" w:rsidRDefault="007D706A" w:rsidP="00F70508">
            <w:pPr>
              <w:pStyle w:val="ParagraphStyle9"/>
              <w:rPr>
                <w:rStyle w:val="CharacterStyle9"/>
              </w:rPr>
            </w:pPr>
            <w:r>
              <w:rPr>
                <w:rStyle w:val="CharacterStyle9"/>
              </w:rPr>
              <w:t>1.950,00</w:t>
            </w:r>
          </w:p>
        </w:tc>
        <w:tc>
          <w:tcPr>
            <w:tcW w:w="1395" w:type="dxa"/>
            <w:tcBorders>
              <w:bottom w:val="single" w:sz="6" w:space="0" w:color="000000"/>
              <w:right w:val="single" w:sz="6" w:space="0" w:color="000000"/>
            </w:tcBorders>
            <w:vAlign w:val="center"/>
          </w:tcPr>
          <w:p w14:paraId="7A79CEC5" w14:textId="77777777" w:rsidR="007D706A" w:rsidRDefault="007D706A" w:rsidP="00F70508">
            <w:pPr>
              <w:pStyle w:val="ParagraphStyle9"/>
              <w:rPr>
                <w:rStyle w:val="CharacterStyle9"/>
              </w:rPr>
            </w:pPr>
            <w:r>
              <w:rPr>
                <w:rStyle w:val="CharacterStyle9"/>
              </w:rPr>
              <w:t>2.000,00</w:t>
            </w:r>
          </w:p>
        </w:tc>
        <w:tc>
          <w:tcPr>
            <w:tcW w:w="1395" w:type="dxa"/>
            <w:tcBorders>
              <w:bottom w:val="single" w:sz="6" w:space="0" w:color="000000"/>
              <w:right w:val="single" w:sz="6" w:space="0" w:color="000000"/>
            </w:tcBorders>
            <w:vAlign w:val="center"/>
          </w:tcPr>
          <w:p w14:paraId="2DFE680F" w14:textId="77777777" w:rsidR="007D706A" w:rsidRDefault="007D706A" w:rsidP="00F70508">
            <w:pPr>
              <w:pStyle w:val="ParagraphStyle9"/>
              <w:rPr>
                <w:rStyle w:val="CharacterStyle9"/>
              </w:rPr>
            </w:pPr>
            <w:r>
              <w:rPr>
                <w:rStyle w:val="CharacterStyle9"/>
              </w:rPr>
              <w:t>3.000,00</w:t>
            </w:r>
          </w:p>
        </w:tc>
        <w:tc>
          <w:tcPr>
            <w:tcW w:w="1395" w:type="dxa"/>
            <w:tcBorders>
              <w:bottom w:val="single" w:sz="6" w:space="0" w:color="000000"/>
              <w:right w:val="single" w:sz="6" w:space="0" w:color="000000"/>
            </w:tcBorders>
            <w:vAlign w:val="center"/>
          </w:tcPr>
          <w:p w14:paraId="13EAD11B" w14:textId="77777777" w:rsidR="007D706A" w:rsidRDefault="007D706A" w:rsidP="00F70508">
            <w:pPr>
              <w:pStyle w:val="ParagraphStyle9"/>
              <w:rPr>
                <w:rStyle w:val="CharacterStyle9"/>
              </w:rPr>
            </w:pPr>
            <w:r>
              <w:rPr>
                <w:rStyle w:val="CharacterStyle9"/>
              </w:rPr>
              <w:t>4.000,00</w:t>
            </w:r>
          </w:p>
        </w:tc>
      </w:tr>
      <w:tr w:rsidR="007D706A" w14:paraId="3BCBBF1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E5FB997"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195FC640"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0A454A6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F446AB9" w14:textId="77777777" w:rsidR="007D706A" w:rsidRDefault="007D706A" w:rsidP="00F70508">
            <w:pPr>
              <w:pStyle w:val="ParagraphStyle12"/>
              <w:rPr>
                <w:rStyle w:val="CharacterStyle12"/>
              </w:rPr>
            </w:pPr>
            <w:r>
              <w:rPr>
                <w:rStyle w:val="CharacterStyle12"/>
              </w:rPr>
              <w:t>1.950,00</w:t>
            </w:r>
          </w:p>
        </w:tc>
        <w:tc>
          <w:tcPr>
            <w:tcW w:w="1395" w:type="dxa"/>
            <w:tcBorders>
              <w:bottom w:val="single" w:sz="6" w:space="0" w:color="000000"/>
              <w:right w:val="single" w:sz="6" w:space="0" w:color="000000"/>
            </w:tcBorders>
            <w:vAlign w:val="center"/>
          </w:tcPr>
          <w:p w14:paraId="1EBF071D" w14:textId="77777777" w:rsidR="007D706A" w:rsidRDefault="007D706A" w:rsidP="00F70508">
            <w:pPr>
              <w:pStyle w:val="ParagraphStyle12"/>
              <w:rPr>
                <w:rStyle w:val="CharacterStyle12"/>
              </w:rPr>
            </w:pPr>
            <w:r>
              <w:rPr>
                <w:rStyle w:val="CharacterStyle12"/>
              </w:rPr>
              <w:t>2.000,00</w:t>
            </w:r>
          </w:p>
        </w:tc>
        <w:tc>
          <w:tcPr>
            <w:tcW w:w="1395" w:type="dxa"/>
            <w:tcBorders>
              <w:bottom w:val="single" w:sz="6" w:space="0" w:color="000000"/>
              <w:right w:val="single" w:sz="6" w:space="0" w:color="000000"/>
            </w:tcBorders>
            <w:vAlign w:val="center"/>
          </w:tcPr>
          <w:p w14:paraId="21809717" w14:textId="77777777" w:rsidR="007D706A" w:rsidRDefault="007D706A" w:rsidP="00F70508">
            <w:pPr>
              <w:pStyle w:val="ParagraphStyle12"/>
              <w:rPr>
                <w:rStyle w:val="CharacterStyle12"/>
              </w:rPr>
            </w:pPr>
            <w:r>
              <w:rPr>
                <w:rStyle w:val="CharacterStyle12"/>
              </w:rPr>
              <w:t>3.000,00</w:t>
            </w:r>
          </w:p>
        </w:tc>
        <w:tc>
          <w:tcPr>
            <w:tcW w:w="1395" w:type="dxa"/>
            <w:tcBorders>
              <w:bottom w:val="single" w:sz="6" w:space="0" w:color="000000"/>
              <w:right w:val="single" w:sz="6" w:space="0" w:color="000000"/>
            </w:tcBorders>
            <w:vAlign w:val="center"/>
          </w:tcPr>
          <w:p w14:paraId="5D30FFA2" w14:textId="77777777" w:rsidR="007D706A" w:rsidRDefault="007D706A" w:rsidP="00F70508">
            <w:pPr>
              <w:pStyle w:val="ParagraphStyle12"/>
              <w:rPr>
                <w:rStyle w:val="CharacterStyle12"/>
              </w:rPr>
            </w:pPr>
            <w:r>
              <w:rPr>
                <w:rStyle w:val="CharacterStyle12"/>
              </w:rPr>
              <w:t>4.000,00</w:t>
            </w:r>
          </w:p>
        </w:tc>
      </w:tr>
      <w:tr w:rsidR="007D706A" w14:paraId="264D0D8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26FD6DD"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6792A484"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7FBE39A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FB7F7B1" w14:textId="77777777" w:rsidR="007D706A" w:rsidRDefault="007D706A" w:rsidP="00F70508">
            <w:pPr>
              <w:pStyle w:val="ParagraphStyle12"/>
              <w:rPr>
                <w:rStyle w:val="CharacterStyle12"/>
              </w:rPr>
            </w:pPr>
            <w:r>
              <w:rPr>
                <w:rStyle w:val="CharacterStyle12"/>
              </w:rPr>
              <w:t>1.950,00</w:t>
            </w:r>
          </w:p>
        </w:tc>
        <w:tc>
          <w:tcPr>
            <w:tcW w:w="1395" w:type="dxa"/>
            <w:tcBorders>
              <w:bottom w:val="single" w:sz="6" w:space="0" w:color="000000"/>
              <w:right w:val="single" w:sz="6" w:space="0" w:color="000000"/>
            </w:tcBorders>
            <w:vAlign w:val="center"/>
          </w:tcPr>
          <w:p w14:paraId="0FA62ABA" w14:textId="77777777" w:rsidR="007D706A" w:rsidRDefault="007D706A" w:rsidP="00F70508">
            <w:pPr>
              <w:pStyle w:val="ParagraphStyle12"/>
              <w:rPr>
                <w:rStyle w:val="CharacterStyle12"/>
              </w:rPr>
            </w:pPr>
            <w:r>
              <w:rPr>
                <w:rStyle w:val="CharacterStyle12"/>
              </w:rPr>
              <w:t>2.000,00</w:t>
            </w:r>
          </w:p>
        </w:tc>
        <w:tc>
          <w:tcPr>
            <w:tcW w:w="1395" w:type="dxa"/>
            <w:tcBorders>
              <w:bottom w:val="single" w:sz="6" w:space="0" w:color="000000"/>
              <w:right w:val="single" w:sz="6" w:space="0" w:color="000000"/>
            </w:tcBorders>
            <w:vAlign w:val="center"/>
          </w:tcPr>
          <w:p w14:paraId="74C1EAD9" w14:textId="77777777" w:rsidR="007D706A" w:rsidRDefault="007D706A" w:rsidP="00F70508">
            <w:pPr>
              <w:pStyle w:val="ParagraphStyle12"/>
              <w:rPr>
                <w:rStyle w:val="CharacterStyle12"/>
              </w:rPr>
            </w:pPr>
            <w:r>
              <w:rPr>
                <w:rStyle w:val="CharacterStyle12"/>
              </w:rPr>
              <w:t>3.000,00</w:t>
            </w:r>
          </w:p>
        </w:tc>
        <w:tc>
          <w:tcPr>
            <w:tcW w:w="1395" w:type="dxa"/>
            <w:tcBorders>
              <w:bottom w:val="single" w:sz="6" w:space="0" w:color="000000"/>
              <w:right w:val="single" w:sz="6" w:space="0" w:color="000000"/>
            </w:tcBorders>
            <w:vAlign w:val="center"/>
          </w:tcPr>
          <w:p w14:paraId="4E5B7966" w14:textId="77777777" w:rsidR="007D706A" w:rsidRDefault="007D706A" w:rsidP="00F70508">
            <w:pPr>
              <w:pStyle w:val="ParagraphStyle12"/>
              <w:rPr>
                <w:rStyle w:val="CharacterStyle12"/>
              </w:rPr>
            </w:pPr>
            <w:r>
              <w:rPr>
                <w:rStyle w:val="CharacterStyle12"/>
              </w:rPr>
              <w:t>4.000,00</w:t>
            </w:r>
          </w:p>
        </w:tc>
      </w:tr>
      <w:tr w:rsidR="007D706A" w14:paraId="473806A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50DCFB5" w14:textId="77777777" w:rsidR="007D706A" w:rsidRDefault="007D706A" w:rsidP="00F70508">
            <w:pPr>
              <w:pStyle w:val="ParagraphStyle4"/>
              <w:rPr>
                <w:rStyle w:val="CharacterStyle4"/>
              </w:rPr>
            </w:pPr>
            <w:r>
              <w:rPr>
                <w:rStyle w:val="CharacterStyle4"/>
              </w:rPr>
              <w:t>Aktivnost A102617</w:t>
            </w:r>
          </w:p>
        </w:tc>
        <w:tc>
          <w:tcPr>
            <w:tcW w:w="4995" w:type="dxa"/>
            <w:tcBorders>
              <w:bottom w:val="single" w:sz="6" w:space="0" w:color="000000"/>
              <w:right w:val="single" w:sz="6" w:space="0" w:color="000000"/>
            </w:tcBorders>
            <w:vAlign w:val="center"/>
          </w:tcPr>
          <w:p w14:paraId="2DE64BC4" w14:textId="77777777" w:rsidR="007D706A" w:rsidRDefault="007D706A" w:rsidP="00F70508">
            <w:pPr>
              <w:pStyle w:val="ParagraphStyle5"/>
              <w:rPr>
                <w:rStyle w:val="CharacterStyle5"/>
              </w:rPr>
            </w:pPr>
            <w:r>
              <w:rPr>
                <w:rStyle w:val="CharacterStyle5"/>
              </w:rPr>
              <w:t>SUFINANCIRANJE SMJEŠTAJA NASTAVNIKA SREDNJIH ŠKOLA</w:t>
            </w:r>
          </w:p>
        </w:tc>
        <w:tc>
          <w:tcPr>
            <w:tcW w:w="1395" w:type="dxa"/>
            <w:tcBorders>
              <w:bottom w:val="single" w:sz="6" w:space="0" w:color="000000"/>
              <w:right w:val="single" w:sz="6" w:space="0" w:color="000000"/>
            </w:tcBorders>
            <w:vAlign w:val="center"/>
          </w:tcPr>
          <w:p w14:paraId="76F55F2A"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3E50BA9B" w14:textId="77777777" w:rsidR="007D706A" w:rsidRDefault="007D706A" w:rsidP="00F70508">
            <w:pPr>
              <w:pStyle w:val="ParagraphStyle6"/>
              <w:rPr>
                <w:rStyle w:val="CharacterStyle6"/>
              </w:rPr>
            </w:pPr>
            <w:r>
              <w:rPr>
                <w:rStyle w:val="CharacterStyle6"/>
              </w:rPr>
              <w:t>3.000,00</w:t>
            </w:r>
          </w:p>
        </w:tc>
        <w:tc>
          <w:tcPr>
            <w:tcW w:w="1395" w:type="dxa"/>
            <w:tcBorders>
              <w:bottom w:val="single" w:sz="6" w:space="0" w:color="000000"/>
              <w:right w:val="single" w:sz="6" w:space="0" w:color="000000"/>
            </w:tcBorders>
            <w:vAlign w:val="center"/>
          </w:tcPr>
          <w:p w14:paraId="3A1398F6" w14:textId="77777777" w:rsidR="007D706A" w:rsidRDefault="007D706A" w:rsidP="00F70508">
            <w:pPr>
              <w:pStyle w:val="ParagraphStyle6"/>
              <w:rPr>
                <w:rStyle w:val="CharacterStyle6"/>
              </w:rPr>
            </w:pPr>
            <w:r>
              <w:rPr>
                <w:rStyle w:val="CharacterStyle6"/>
              </w:rPr>
              <w:t>3.000,00</w:t>
            </w:r>
          </w:p>
        </w:tc>
        <w:tc>
          <w:tcPr>
            <w:tcW w:w="1395" w:type="dxa"/>
            <w:tcBorders>
              <w:bottom w:val="single" w:sz="6" w:space="0" w:color="000000"/>
              <w:right w:val="single" w:sz="6" w:space="0" w:color="000000"/>
            </w:tcBorders>
            <w:vAlign w:val="center"/>
          </w:tcPr>
          <w:p w14:paraId="1CDFE83E" w14:textId="77777777" w:rsidR="007D706A" w:rsidRDefault="007D706A" w:rsidP="00F70508">
            <w:pPr>
              <w:pStyle w:val="ParagraphStyle6"/>
              <w:rPr>
                <w:rStyle w:val="CharacterStyle6"/>
              </w:rPr>
            </w:pPr>
            <w:r>
              <w:rPr>
                <w:rStyle w:val="CharacterStyle6"/>
              </w:rPr>
              <w:t>3.000,00</w:t>
            </w:r>
          </w:p>
        </w:tc>
        <w:tc>
          <w:tcPr>
            <w:tcW w:w="1395" w:type="dxa"/>
            <w:tcBorders>
              <w:bottom w:val="single" w:sz="6" w:space="0" w:color="000000"/>
              <w:right w:val="single" w:sz="6" w:space="0" w:color="000000"/>
            </w:tcBorders>
            <w:vAlign w:val="center"/>
          </w:tcPr>
          <w:p w14:paraId="54DD41F4" w14:textId="77777777" w:rsidR="007D706A" w:rsidRDefault="007D706A" w:rsidP="00F70508">
            <w:pPr>
              <w:pStyle w:val="ParagraphStyle6"/>
              <w:rPr>
                <w:rStyle w:val="CharacterStyle6"/>
              </w:rPr>
            </w:pPr>
            <w:r>
              <w:rPr>
                <w:rStyle w:val="CharacterStyle6"/>
              </w:rPr>
              <w:t>3.000,00</w:t>
            </w:r>
          </w:p>
        </w:tc>
      </w:tr>
      <w:tr w:rsidR="007D706A" w14:paraId="715C610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B642CC7"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5D16AEA6"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4A3706C6"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C0BA60F" w14:textId="77777777" w:rsidR="007D706A" w:rsidRDefault="007D706A" w:rsidP="00F70508">
            <w:pPr>
              <w:pStyle w:val="ParagraphStyle9"/>
              <w:rPr>
                <w:rStyle w:val="CharacterStyle9"/>
              </w:rPr>
            </w:pPr>
            <w:r>
              <w:rPr>
                <w:rStyle w:val="CharacterStyle9"/>
              </w:rPr>
              <w:t>3.000,00</w:t>
            </w:r>
          </w:p>
        </w:tc>
        <w:tc>
          <w:tcPr>
            <w:tcW w:w="1395" w:type="dxa"/>
            <w:tcBorders>
              <w:bottom w:val="single" w:sz="6" w:space="0" w:color="000000"/>
              <w:right w:val="single" w:sz="6" w:space="0" w:color="000000"/>
            </w:tcBorders>
            <w:vAlign w:val="center"/>
          </w:tcPr>
          <w:p w14:paraId="25EE55E8" w14:textId="77777777" w:rsidR="007D706A" w:rsidRDefault="007D706A" w:rsidP="00F70508">
            <w:pPr>
              <w:pStyle w:val="ParagraphStyle9"/>
              <w:rPr>
                <w:rStyle w:val="CharacterStyle9"/>
              </w:rPr>
            </w:pPr>
            <w:r>
              <w:rPr>
                <w:rStyle w:val="CharacterStyle9"/>
              </w:rPr>
              <w:t>3.000,00</w:t>
            </w:r>
          </w:p>
        </w:tc>
        <w:tc>
          <w:tcPr>
            <w:tcW w:w="1395" w:type="dxa"/>
            <w:tcBorders>
              <w:bottom w:val="single" w:sz="6" w:space="0" w:color="000000"/>
              <w:right w:val="single" w:sz="6" w:space="0" w:color="000000"/>
            </w:tcBorders>
            <w:vAlign w:val="center"/>
          </w:tcPr>
          <w:p w14:paraId="4362718F" w14:textId="77777777" w:rsidR="007D706A" w:rsidRDefault="007D706A" w:rsidP="00F70508">
            <w:pPr>
              <w:pStyle w:val="ParagraphStyle9"/>
              <w:rPr>
                <w:rStyle w:val="CharacterStyle9"/>
              </w:rPr>
            </w:pPr>
            <w:r>
              <w:rPr>
                <w:rStyle w:val="CharacterStyle9"/>
              </w:rPr>
              <w:t>3.000,00</w:t>
            </w:r>
          </w:p>
        </w:tc>
        <w:tc>
          <w:tcPr>
            <w:tcW w:w="1395" w:type="dxa"/>
            <w:tcBorders>
              <w:bottom w:val="single" w:sz="6" w:space="0" w:color="000000"/>
              <w:right w:val="single" w:sz="6" w:space="0" w:color="000000"/>
            </w:tcBorders>
            <w:vAlign w:val="center"/>
          </w:tcPr>
          <w:p w14:paraId="32AB5158" w14:textId="77777777" w:rsidR="007D706A" w:rsidRDefault="007D706A" w:rsidP="00F70508">
            <w:pPr>
              <w:pStyle w:val="ParagraphStyle9"/>
              <w:rPr>
                <w:rStyle w:val="CharacterStyle9"/>
              </w:rPr>
            </w:pPr>
            <w:r>
              <w:rPr>
                <w:rStyle w:val="CharacterStyle9"/>
              </w:rPr>
              <w:t>3.000,00</w:t>
            </w:r>
          </w:p>
        </w:tc>
      </w:tr>
      <w:tr w:rsidR="007D706A" w14:paraId="134BFC0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0023A82"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708B4A4A"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2AADFA8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F703E24" w14:textId="77777777" w:rsidR="007D706A" w:rsidRDefault="007D706A" w:rsidP="00F70508">
            <w:pPr>
              <w:pStyle w:val="ParagraphStyle12"/>
              <w:rPr>
                <w:rStyle w:val="CharacterStyle12"/>
              </w:rPr>
            </w:pPr>
            <w:r>
              <w:rPr>
                <w:rStyle w:val="CharacterStyle12"/>
              </w:rPr>
              <w:t>3.000,00</w:t>
            </w:r>
          </w:p>
        </w:tc>
        <w:tc>
          <w:tcPr>
            <w:tcW w:w="1395" w:type="dxa"/>
            <w:tcBorders>
              <w:bottom w:val="single" w:sz="6" w:space="0" w:color="000000"/>
              <w:right w:val="single" w:sz="6" w:space="0" w:color="000000"/>
            </w:tcBorders>
            <w:vAlign w:val="center"/>
          </w:tcPr>
          <w:p w14:paraId="400CE104" w14:textId="77777777" w:rsidR="007D706A" w:rsidRDefault="007D706A" w:rsidP="00F70508">
            <w:pPr>
              <w:pStyle w:val="ParagraphStyle12"/>
              <w:rPr>
                <w:rStyle w:val="CharacterStyle12"/>
              </w:rPr>
            </w:pPr>
            <w:r>
              <w:rPr>
                <w:rStyle w:val="CharacterStyle12"/>
              </w:rPr>
              <w:t>3.000,00</w:t>
            </w:r>
          </w:p>
        </w:tc>
        <w:tc>
          <w:tcPr>
            <w:tcW w:w="1395" w:type="dxa"/>
            <w:tcBorders>
              <w:bottom w:val="single" w:sz="6" w:space="0" w:color="000000"/>
              <w:right w:val="single" w:sz="6" w:space="0" w:color="000000"/>
            </w:tcBorders>
            <w:vAlign w:val="center"/>
          </w:tcPr>
          <w:p w14:paraId="49212CB2" w14:textId="77777777" w:rsidR="007D706A" w:rsidRDefault="007D706A" w:rsidP="00F70508">
            <w:pPr>
              <w:pStyle w:val="ParagraphStyle12"/>
              <w:rPr>
                <w:rStyle w:val="CharacterStyle12"/>
              </w:rPr>
            </w:pPr>
            <w:r>
              <w:rPr>
                <w:rStyle w:val="CharacterStyle12"/>
              </w:rPr>
              <w:t>3.000,00</w:t>
            </w:r>
          </w:p>
        </w:tc>
        <w:tc>
          <w:tcPr>
            <w:tcW w:w="1395" w:type="dxa"/>
            <w:tcBorders>
              <w:bottom w:val="single" w:sz="6" w:space="0" w:color="000000"/>
              <w:right w:val="single" w:sz="6" w:space="0" w:color="000000"/>
            </w:tcBorders>
            <w:vAlign w:val="center"/>
          </w:tcPr>
          <w:p w14:paraId="18BC8521" w14:textId="77777777" w:rsidR="007D706A" w:rsidRDefault="007D706A" w:rsidP="00F70508">
            <w:pPr>
              <w:pStyle w:val="ParagraphStyle12"/>
              <w:rPr>
                <w:rStyle w:val="CharacterStyle12"/>
              </w:rPr>
            </w:pPr>
            <w:r>
              <w:rPr>
                <w:rStyle w:val="CharacterStyle12"/>
              </w:rPr>
              <w:t>3.000,00</w:t>
            </w:r>
          </w:p>
        </w:tc>
      </w:tr>
      <w:tr w:rsidR="007D706A" w14:paraId="4BFE9A4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50FBB55" w14:textId="77777777" w:rsidR="007D706A" w:rsidRDefault="007D706A" w:rsidP="00F70508">
            <w:pPr>
              <w:pStyle w:val="ParagraphStyle10"/>
              <w:rPr>
                <w:rStyle w:val="CharacterStyle10"/>
              </w:rPr>
            </w:pPr>
            <w:r>
              <w:rPr>
                <w:rStyle w:val="CharacterStyle10"/>
              </w:rPr>
              <w:t>36</w:t>
            </w:r>
          </w:p>
        </w:tc>
        <w:tc>
          <w:tcPr>
            <w:tcW w:w="4995" w:type="dxa"/>
            <w:tcBorders>
              <w:bottom w:val="single" w:sz="6" w:space="0" w:color="000000"/>
              <w:right w:val="single" w:sz="6" w:space="0" w:color="000000"/>
            </w:tcBorders>
            <w:vAlign w:val="center"/>
          </w:tcPr>
          <w:p w14:paraId="27928738" w14:textId="77777777" w:rsidR="007D706A" w:rsidRDefault="007D706A" w:rsidP="00F70508">
            <w:pPr>
              <w:pStyle w:val="ParagraphStyle11"/>
              <w:rPr>
                <w:rStyle w:val="CharacterStyle11"/>
              </w:rPr>
            </w:pPr>
            <w:r>
              <w:rPr>
                <w:rStyle w:val="CharacterStyle11"/>
              </w:rPr>
              <w:t>Pomoći dane u inozemstvo i unutar općeg proračuna</w:t>
            </w:r>
          </w:p>
        </w:tc>
        <w:tc>
          <w:tcPr>
            <w:tcW w:w="1395" w:type="dxa"/>
            <w:tcBorders>
              <w:bottom w:val="single" w:sz="6" w:space="0" w:color="000000"/>
              <w:right w:val="single" w:sz="6" w:space="0" w:color="000000"/>
            </w:tcBorders>
            <w:vAlign w:val="center"/>
          </w:tcPr>
          <w:p w14:paraId="3B5A32E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E60A829" w14:textId="77777777" w:rsidR="007D706A" w:rsidRDefault="007D706A" w:rsidP="00F70508">
            <w:pPr>
              <w:pStyle w:val="ParagraphStyle12"/>
              <w:rPr>
                <w:rStyle w:val="CharacterStyle12"/>
              </w:rPr>
            </w:pPr>
            <w:r>
              <w:rPr>
                <w:rStyle w:val="CharacterStyle12"/>
              </w:rPr>
              <w:t>3.000,00</w:t>
            </w:r>
          </w:p>
        </w:tc>
        <w:tc>
          <w:tcPr>
            <w:tcW w:w="1395" w:type="dxa"/>
            <w:tcBorders>
              <w:bottom w:val="single" w:sz="6" w:space="0" w:color="000000"/>
              <w:right w:val="single" w:sz="6" w:space="0" w:color="000000"/>
            </w:tcBorders>
            <w:vAlign w:val="center"/>
          </w:tcPr>
          <w:p w14:paraId="2D1FDC40" w14:textId="77777777" w:rsidR="007D706A" w:rsidRDefault="007D706A" w:rsidP="00F70508">
            <w:pPr>
              <w:pStyle w:val="ParagraphStyle12"/>
              <w:rPr>
                <w:rStyle w:val="CharacterStyle12"/>
              </w:rPr>
            </w:pPr>
            <w:r>
              <w:rPr>
                <w:rStyle w:val="CharacterStyle12"/>
              </w:rPr>
              <w:t>3.000,00</w:t>
            </w:r>
          </w:p>
        </w:tc>
        <w:tc>
          <w:tcPr>
            <w:tcW w:w="1395" w:type="dxa"/>
            <w:tcBorders>
              <w:bottom w:val="single" w:sz="6" w:space="0" w:color="000000"/>
              <w:right w:val="single" w:sz="6" w:space="0" w:color="000000"/>
            </w:tcBorders>
            <w:vAlign w:val="center"/>
          </w:tcPr>
          <w:p w14:paraId="3A51554C" w14:textId="77777777" w:rsidR="007D706A" w:rsidRDefault="007D706A" w:rsidP="00F70508">
            <w:pPr>
              <w:pStyle w:val="ParagraphStyle12"/>
              <w:rPr>
                <w:rStyle w:val="CharacterStyle12"/>
              </w:rPr>
            </w:pPr>
            <w:r>
              <w:rPr>
                <w:rStyle w:val="CharacterStyle12"/>
              </w:rPr>
              <w:t>3.000,00</w:t>
            </w:r>
          </w:p>
        </w:tc>
        <w:tc>
          <w:tcPr>
            <w:tcW w:w="1395" w:type="dxa"/>
            <w:tcBorders>
              <w:bottom w:val="single" w:sz="6" w:space="0" w:color="000000"/>
              <w:right w:val="single" w:sz="6" w:space="0" w:color="000000"/>
            </w:tcBorders>
            <w:vAlign w:val="center"/>
          </w:tcPr>
          <w:p w14:paraId="5D421A7A" w14:textId="77777777" w:rsidR="007D706A" w:rsidRDefault="007D706A" w:rsidP="00F70508">
            <w:pPr>
              <w:pStyle w:val="ParagraphStyle12"/>
              <w:rPr>
                <w:rStyle w:val="CharacterStyle12"/>
              </w:rPr>
            </w:pPr>
            <w:r>
              <w:rPr>
                <w:rStyle w:val="CharacterStyle12"/>
              </w:rPr>
              <w:t>3.000,00</w:t>
            </w:r>
          </w:p>
        </w:tc>
      </w:tr>
      <w:tr w:rsidR="007D706A" w14:paraId="084550B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1726FF7" w14:textId="77777777" w:rsidR="007D706A" w:rsidRDefault="007D706A" w:rsidP="00F70508">
            <w:pPr>
              <w:pStyle w:val="ParagraphStyle4"/>
              <w:rPr>
                <w:rStyle w:val="CharacterStyle4"/>
              </w:rPr>
            </w:pPr>
            <w:r>
              <w:rPr>
                <w:rStyle w:val="CharacterStyle4"/>
              </w:rPr>
              <w:t>Aktivnost A102618</w:t>
            </w:r>
          </w:p>
        </w:tc>
        <w:tc>
          <w:tcPr>
            <w:tcW w:w="4995" w:type="dxa"/>
            <w:tcBorders>
              <w:bottom w:val="single" w:sz="6" w:space="0" w:color="000000"/>
              <w:right w:val="single" w:sz="6" w:space="0" w:color="000000"/>
            </w:tcBorders>
            <w:vAlign w:val="center"/>
          </w:tcPr>
          <w:p w14:paraId="1E3E111A" w14:textId="77777777" w:rsidR="007D706A" w:rsidRDefault="007D706A" w:rsidP="00F70508">
            <w:pPr>
              <w:pStyle w:val="ParagraphStyle5"/>
              <w:rPr>
                <w:rStyle w:val="CharacterStyle5"/>
              </w:rPr>
            </w:pPr>
            <w:r>
              <w:rPr>
                <w:rStyle w:val="CharacterStyle5"/>
              </w:rPr>
              <w:t>STRUČNO USAVRŠAVANJE MLADIH</w:t>
            </w:r>
          </w:p>
        </w:tc>
        <w:tc>
          <w:tcPr>
            <w:tcW w:w="1395" w:type="dxa"/>
            <w:tcBorders>
              <w:bottom w:val="single" w:sz="6" w:space="0" w:color="000000"/>
              <w:right w:val="single" w:sz="6" w:space="0" w:color="000000"/>
            </w:tcBorders>
            <w:vAlign w:val="center"/>
          </w:tcPr>
          <w:p w14:paraId="4E22D907"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29ECCAEE"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7C31E579" w14:textId="77777777" w:rsidR="007D706A" w:rsidRDefault="007D706A" w:rsidP="00F70508">
            <w:pPr>
              <w:pStyle w:val="ParagraphStyle6"/>
              <w:rPr>
                <w:rStyle w:val="CharacterStyle6"/>
              </w:rPr>
            </w:pPr>
            <w:r>
              <w:rPr>
                <w:rStyle w:val="CharacterStyle6"/>
              </w:rPr>
              <w:t>3.000,00</w:t>
            </w:r>
          </w:p>
        </w:tc>
        <w:tc>
          <w:tcPr>
            <w:tcW w:w="1395" w:type="dxa"/>
            <w:tcBorders>
              <w:bottom w:val="single" w:sz="6" w:space="0" w:color="000000"/>
              <w:right w:val="single" w:sz="6" w:space="0" w:color="000000"/>
            </w:tcBorders>
            <w:vAlign w:val="center"/>
          </w:tcPr>
          <w:p w14:paraId="213D4B12" w14:textId="77777777" w:rsidR="007D706A" w:rsidRDefault="007D706A" w:rsidP="00F70508">
            <w:pPr>
              <w:pStyle w:val="ParagraphStyle6"/>
              <w:rPr>
                <w:rStyle w:val="CharacterStyle6"/>
              </w:rPr>
            </w:pPr>
            <w:r>
              <w:rPr>
                <w:rStyle w:val="CharacterStyle6"/>
              </w:rPr>
              <w:t>3.000,00</w:t>
            </w:r>
          </w:p>
        </w:tc>
        <w:tc>
          <w:tcPr>
            <w:tcW w:w="1395" w:type="dxa"/>
            <w:tcBorders>
              <w:bottom w:val="single" w:sz="6" w:space="0" w:color="000000"/>
              <w:right w:val="single" w:sz="6" w:space="0" w:color="000000"/>
            </w:tcBorders>
            <w:vAlign w:val="center"/>
          </w:tcPr>
          <w:p w14:paraId="4775AB9C" w14:textId="77777777" w:rsidR="007D706A" w:rsidRDefault="007D706A" w:rsidP="00F70508">
            <w:pPr>
              <w:pStyle w:val="ParagraphStyle6"/>
              <w:rPr>
                <w:rStyle w:val="CharacterStyle6"/>
              </w:rPr>
            </w:pPr>
            <w:r>
              <w:rPr>
                <w:rStyle w:val="CharacterStyle6"/>
              </w:rPr>
              <w:t>4.000,00</w:t>
            </w:r>
          </w:p>
        </w:tc>
      </w:tr>
      <w:tr w:rsidR="007D706A" w14:paraId="61751C7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6377764"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78EC2685"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168EAB70"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A53A98C"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69C5319" w14:textId="77777777" w:rsidR="007D706A" w:rsidRDefault="007D706A" w:rsidP="00F70508">
            <w:pPr>
              <w:pStyle w:val="ParagraphStyle9"/>
              <w:rPr>
                <w:rStyle w:val="CharacterStyle9"/>
              </w:rPr>
            </w:pPr>
            <w:r>
              <w:rPr>
                <w:rStyle w:val="CharacterStyle9"/>
              </w:rPr>
              <w:t>3.000,00</w:t>
            </w:r>
          </w:p>
        </w:tc>
        <w:tc>
          <w:tcPr>
            <w:tcW w:w="1395" w:type="dxa"/>
            <w:tcBorders>
              <w:bottom w:val="single" w:sz="6" w:space="0" w:color="000000"/>
              <w:right w:val="single" w:sz="6" w:space="0" w:color="000000"/>
            </w:tcBorders>
            <w:vAlign w:val="center"/>
          </w:tcPr>
          <w:p w14:paraId="662CCE01" w14:textId="77777777" w:rsidR="007D706A" w:rsidRDefault="007D706A" w:rsidP="00F70508">
            <w:pPr>
              <w:pStyle w:val="ParagraphStyle9"/>
              <w:rPr>
                <w:rStyle w:val="CharacterStyle9"/>
              </w:rPr>
            </w:pPr>
            <w:r>
              <w:rPr>
                <w:rStyle w:val="CharacterStyle9"/>
              </w:rPr>
              <w:t>3.000,00</w:t>
            </w:r>
          </w:p>
        </w:tc>
        <w:tc>
          <w:tcPr>
            <w:tcW w:w="1395" w:type="dxa"/>
            <w:tcBorders>
              <w:bottom w:val="single" w:sz="6" w:space="0" w:color="000000"/>
              <w:right w:val="single" w:sz="6" w:space="0" w:color="000000"/>
            </w:tcBorders>
            <w:vAlign w:val="center"/>
          </w:tcPr>
          <w:p w14:paraId="5FE7FA2B" w14:textId="77777777" w:rsidR="007D706A" w:rsidRDefault="007D706A" w:rsidP="00F70508">
            <w:pPr>
              <w:pStyle w:val="ParagraphStyle9"/>
              <w:rPr>
                <w:rStyle w:val="CharacterStyle9"/>
              </w:rPr>
            </w:pPr>
            <w:r>
              <w:rPr>
                <w:rStyle w:val="CharacterStyle9"/>
              </w:rPr>
              <w:t>4.000,00</w:t>
            </w:r>
          </w:p>
        </w:tc>
      </w:tr>
      <w:tr w:rsidR="007D706A" w14:paraId="2A04F33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4D2AB38"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00FF6BF3"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61DCEC4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360E63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76D88ED" w14:textId="77777777" w:rsidR="007D706A" w:rsidRDefault="007D706A" w:rsidP="00F70508">
            <w:pPr>
              <w:pStyle w:val="ParagraphStyle12"/>
              <w:rPr>
                <w:rStyle w:val="CharacterStyle12"/>
              </w:rPr>
            </w:pPr>
            <w:r>
              <w:rPr>
                <w:rStyle w:val="CharacterStyle12"/>
              </w:rPr>
              <w:t>3.000,00</w:t>
            </w:r>
          </w:p>
        </w:tc>
        <w:tc>
          <w:tcPr>
            <w:tcW w:w="1395" w:type="dxa"/>
            <w:tcBorders>
              <w:bottom w:val="single" w:sz="6" w:space="0" w:color="000000"/>
              <w:right w:val="single" w:sz="6" w:space="0" w:color="000000"/>
            </w:tcBorders>
            <w:vAlign w:val="center"/>
          </w:tcPr>
          <w:p w14:paraId="702AD31F" w14:textId="77777777" w:rsidR="007D706A" w:rsidRDefault="007D706A" w:rsidP="00F70508">
            <w:pPr>
              <w:pStyle w:val="ParagraphStyle12"/>
              <w:rPr>
                <w:rStyle w:val="CharacterStyle12"/>
              </w:rPr>
            </w:pPr>
            <w:r>
              <w:rPr>
                <w:rStyle w:val="CharacterStyle12"/>
              </w:rPr>
              <w:t>3.000,00</w:t>
            </w:r>
          </w:p>
        </w:tc>
        <w:tc>
          <w:tcPr>
            <w:tcW w:w="1395" w:type="dxa"/>
            <w:tcBorders>
              <w:bottom w:val="single" w:sz="6" w:space="0" w:color="000000"/>
              <w:right w:val="single" w:sz="6" w:space="0" w:color="000000"/>
            </w:tcBorders>
            <w:vAlign w:val="center"/>
          </w:tcPr>
          <w:p w14:paraId="35F24319" w14:textId="77777777" w:rsidR="007D706A" w:rsidRDefault="007D706A" w:rsidP="00F70508">
            <w:pPr>
              <w:pStyle w:val="ParagraphStyle12"/>
              <w:rPr>
                <w:rStyle w:val="CharacterStyle12"/>
              </w:rPr>
            </w:pPr>
            <w:r>
              <w:rPr>
                <w:rStyle w:val="CharacterStyle12"/>
              </w:rPr>
              <w:t>4.000,00</w:t>
            </w:r>
          </w:p>
        </w:tc>
      </w:tr>
      <w:tr w:rsidR="007D706A" w14:paraId="329846F4" w14:textId="77777777" w:rsidTr="00F70508">
        <w:trPr>
          <w:trHeight w:val="420"/>
        </w:trPr>
        <w:tc>
          <w:tcPr>
            <w:tcW w:w="2880" w:type="dxa"/>
            <w:tcBorders>
              <w:left w:val="single" w:sz="6" w:space="0" w:color="000000"/>
              <w:bottom w:val="single" w:sz="6" w:space="0" w:color="000000"/>
              <w:right w:val="single" w:sz="6" w:space="0" w:color="000000"/>
            </w:tcBorders>
            <w:vAlign w:val="center"/>
          </w:tcPr>
          <w:p w14:paraId="1AF37CB8" w14:textId="77777777" w:rsidR="007D706A" w:rsidRDefault="007D706A" w:rsidP="00F70508">
            <w:pPr>
              <w:pStyle w:val="ParagraphStyle10"/>
              <w:rPr>
                <w:rStyle w:val="CharacterStyle10"/>
              </w:rPr>
            </w:pPr>
            <w:r>
              <w:rPr>
                <w:rStyle w:val="CharacterStyle10"/>
              </w:rPr>
              <w:lastRenderedPageBreak/>
              <w:t>37</w:t>
            </w:r>
          </w:p>
        </w:tc>
        <w:tc>
          <w:tcPr>
            <w:tcW w:w="4995" w:type="dxa"/>
            <w:tcBorders>
              <w:bottom w:val="single" w:sz="6" w:space="0" w:color="000000"/>
              <w:right w:val="single" w:sz="6" w:space="0" w:color="000000"/>
            </w:tcBorders>
            <w:vAlign w:val="center"/>
          </w:tcPr>
          <w:p w14:paraId="0A045C5D" w14:textId="77777777" w:rsidR="007D706A" w:rsidRDefault="007D706A" w:rsidP="00F70508">
            <w:pPr>
              <w:pStyle w:val="ParagraphStyle11"/>
              <w:rPr>
                <w:rStyle w:val="CharacterStyle11"/>
              </w:rPr>
            </w:pPr>
            <w:r>
              <w:rPr>
                <w:rStyle w:val="CharacterStyle11"/>
              </w:rPr>
              <w:t>Naknade građanima i kućanstvima na temelju osiguranja i druge naknade</w:t>
            </w:r>
          </w:p>
        </w:tc>
        <w:tc>
          <w:tcPr>
            <w:tcW w:w="1395" w:type="dxa"/>
            <w:tcBorders>
              <w:bottom w:val="single" w:sz="6" w:space="0" w:color="000000"/>
              <w:right w:val="single" w:sz="6" w:space="0" w:color="000000"/>
            </w:tcBorders>
            <w:vAlign w:val="center"/>
          </w:tcPr>
          <w:p w14:paraId="6458142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209269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41AE25F" w14:textId="77777777" w:rsidR="007D706A" w:rsidRDefault="007D706A" w:rsidP="00F70508">
            <w:pPr>
              <w:pStyle w:val="ParagraphStyle12"/>
              <w:rPr>
                <w:rStyle w:val="CharacterStyle12"/>
              </w:rPr>
            </w:pPr>
            <w:r>
              <w:rPr>
                <w:rStyle w:val="CharacterStyle12"/>
              </w:rPr>
              <w:t>3.000,00</w:t>
            </w:r>
          </w:p>
        </w:tc>
        <w:tc>
          <w:tcPr>
            <w:tcW w:w="1395" w:type="dxa"/>
            <w:tcBorders>
              <w:bottom w:val="single" w:sz="6" w:space="0" w:color="000000"/>
              <w:right w:val="single" w:sz="6" w:space="0" w:color="000000"/>
            </w:tcBorders>
            <w:vAlign w:val="center"/>
          </w:tcPr>
          <w:p w14:paraId="266B3D17" w14:textId="77777777" w:rsidR="007D706A" w:rsidRDefault="007D706A" w:rsidP="00F70508">
            <w:pPr>
              <w:pStyle w:val="ParagraphStyle12"/>
              <w:rPr>
                <w:rStyle w:val="CharacterStyle12"/>
              </w:rPr>
            </w:pPr>
            <w:r>
              <w:rPr>
                <w:rStyle w:val="CharacterStyle12"/>
              </w:rPr>
              <w:t>3.000,00</w:t>
            </w:r>
          </w:p>
        </w:tc>
        <w:tc>
          <w:tcPr>
            <w:tcW w:w="1395" w:type="dxa"/>
            <w:tcBorders>
              <w:bottom w:val="single" w:sz="6" w:space="0" w:color="000000"/>
              <w:right w:val="single" w:sz="6" w:space="0" w:color="000000"/>
            </w:tcBorders>
            <w:vAlign w:val="center"/>
          </w:tcPr>
          <w:p w14:paraId="7B136861" w14:textId="77777777" w:rsidR="007D706A" w:rsidRDefault="007D706A" w:rsidP="00F70508">
            <w:pPr>
              <w:pStyle w:val="ParagraphStyle12"/>
              <w:rPr>
                <w:rStyle w:val="CharacterStyle12"/>
              </w:rPr>
            </w:pPr>
            <w:r>
              <w:rPr>
                <w:rStyle w:val="CharacterStyle12"/>
              </w:rPr>
              <w:t>4.000,00</w:t>
            </w:r>
          </w:p>
        </w:tc>
      </w:tr>
      <w:tr w:rsidR="007D706A" w14:paraId="3C1855B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6E6BFE8" w14:textId="77777777" w:rsidR="007D706A" w:rsidRDefault="007D706A" w:rsidP="00F70508">
            <w:pPr>
              <w:pStyle w:val="ParagraphStyle4"/>
              <w:rPr>
                <w:rStyle w:val="CharacterStyle4"/>
              </w:rPr>
            </w:pPr>
            <w:r>
              <w:rPr>
                <w:rStyle w:val="CharacterStyle4"/>
              </w:rPr>
              <w:t>Aktivnost A102619</w:t>
            </w:r>
          </w:p>
        </w:tc>
        <w:tc>
          <w:tcPr>
            <w:tcW w:w="4995" w:type="dxa"/>
            <w:tcBorders>
              <w:bottom w:val="single" w:sz="6" w:space="0" w:color="000000"/>
              <w:right w:val="single" w:sz="6" w:space="0" w:color="000000"/>
            </w:tcBorders>
            <w:vAlign w:val="center"/>
          </w:tcPr>
          <w:p w14:paraId="2D5CE2C7" w14:textId="77777777" w:rsidR="007D706A" w:rsidRDefault="007D706A" w:rsidP="00F70508">
            <w:pPr>
              <w:pStyle w:val="ParagraphStyle5"/>
              <w:rPr>
                <w:rStyle w:val="CharacterStyle5"/>
              </w:rPr>
            </w:pPr>
            <w:r>
              <w:rPr>
                <w:rStyle w:val="CharacterStyle5"/>
              </w:rPr>
              <w:t>REGIONALNA MREŽA PODRŠKE STRANIM RADNICIMA</w:t>
            </w:r>
          </w:p>
        </w:tc>
        <w:tc>
          <w:tcPr>
            <w:tcW w:w="1395" w:type="dxa"/>
            <w:tcBorders>
              <w:bottom w:val="single" w:sz="6" w:space="0" w:color="000000"/>
              <w:right w:val="single" w:sz="6" w:space="0" w:color="000000"/>
            </w:tcBorders>
            <w:vAlign w:val="center"/>
          </w:tcPr>
          <w:p w14:paraId="5F74A84F"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1969CB7F"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0AB09717" w14:textId="77777777" w:rsidR="007D706A" w:rsidRDefault="007D706A" w:rsidP="00F70508">
            <w:pPr>
              <w:pStyle w:val="ParagraphStyle6"/>
              <w:rPr>
                <w:rStyle w:val="CharacterStyle6"/>
              </w:rPr>
            </w:pPr>
            <w:r>
              <w:rPr>
                <w:rStyle w:val="CharacterStyle6"/>
              </w:rPr>
              <w:t>2.500,00</w:t>
            </w:r>
          </w:p>
        </w:tc>
        <w:tc>
          <w:tcPr>
            <w:tcW w:w="1395" w:type="dxa"/>
            <w:tcBorders>
              <w:bottom w:val="single" w:sz="6" w:space="0" w:color="000000"/>
              <w:right w:val="single" w:sz="6" w:space="0" w:color="000000"/>
            </w:tcBorders>
            <w:vAlign w:val="center"/>
          </w:tcPr>
          <w:p w14:paraId="33A0F990"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4192E998" w14:textId="77777777" w:rsidR="007D706A" w:rsidRDefault="007D706A" w:rsidP="00F70508">
            <w:pPr>
              <w:pStyle w:val="ParagraphStyle6"/>
              <w:rPr>
                <w:rStyle w:val="CharacterStyle6"/>
              </w:rPr>
            </w:pPr>
            <w:r>
              <w:rPr>
                <w:rStyle w:val="CharacterStyle6"/>
              </w:rPr>
              <w:t>0,00</w:t>
            </w:r>
          </w:p>
        </w:tc>
      </w:tr>
      <w:tr w:rsidR="007D706A" w14:paraId="447A179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C9D4418"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084A14CE"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1D0CCC46"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F055E11"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BF67456" w14:textId="77777777" w:rsidR="007D706A" w:rsidRDefault="007D706A" w:rsidP="00F70508">
            <w:pPr>
              <w:pStyle w:val="ParagraphStyle9"/>
              <w:rPr>
                <w:rStyle w:val="CharacterStyle9"/>
              </w:rPr>
            </w:pPr>
            <w:r>
              <w:rPr>
                <w:rStyle w:val="CharacterStyle9"/>
              </w:rPr>
              <w:t>2.500,00</w:t>
            </w:r>
          </w:p>
        </w:tc>
        <w:tc>
          <w:tcPr>
            <w:tcW w:w="1395" w:type="dxa"/>
            <w:tcBorders>
              <w:bottom w:val="single" w:sz="6" w:space="0" w:color="000000"/>
              <w:right w:val="single" w:sz="6" w:space="0" w:color="000000"/>
            </w:tcBorders>
            <w:vAlign w:val="center"/>
          </w:tcPr>
          <w:p w14:paraId="18D9EFFF"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BD8BA90" w14:textId="77777777" w:rsidR="007D706A" w:rsidRDefault="007D706A" w:rsidP="00F70508">
            <w:pPr>
              <w:pStyle w:val="ParagraphStyle9"/>
              <w:rPr>
                <w:rStyle w:val="CharacterStyle9"/>
              </w:rPr>
            </w:pPr>
            <w:r>
              <w:rPr>
                <w:rStyle w:val="CharacterStyle9"/>
              </w:rPr>
              <w:t>0,00</w:t>
            </w:r>
          </w:p>
        </w:tc>
      </w:tr>
      <w:tr w:rsidR="007D706A" w14:paraId="6D50258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AE8615D"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5FEBEE45"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7920C3D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905720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0F48AD3" w14:textId="77777777" w:rsidR="007D706A" w:rsidRDefault="007D706A" w:rsidP="00F70508">
            <w:pPr>
              <w:pStyle w:val="ParagraphStyle12"/>
              <w:rPr>
                <w:rStyle w:val="CharacterStyle12"/>
              </w:rPr>
            </w:pPr>
            <w:r>
              <w:rPr>
                <w:rStyle w:val="CharacterStyle12"/>
              </w:rPr>
              <w:t>2.500,00</w:t>
            </w:r>
          </w:p>
        </w:tc>
        <w:tc>
          <w:tcPr>
            <w:tcW w:w="1395" w:type="dxa"/>
            <w:tcBorders>
              <w:bottom w:val="single" w:sz="6" w:space="0" w:color="000000"/>
              <w:right w:val="single" w:sz="6" w:space="0" w:color="000000"/>
            </w:tcBorders>
            <w:vAlign w:val="center"/>
          </w:tcPr>
          <w:p w14:paraId="207EAC7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6AB8668" w14:textId="77777777" w:rsidR="007D706A" w:rsidRDefault="007D706A" w:rsidP="00F70508">
            <w:pPr>
              <w:pStyle w:val="ParagraphStyle12"/>
              <w:rPr>
                <w:rStyle w:val="CharacterStyle12"/>
              </w:rPr>
            </w:pPr>
            <w:r>
              <w:rPr>
                <w:rStyle w:val="CharacterStyle12"/>
              </w:rPr>
              <w:t>0,00</w:t>
            </w:r>
          </w:p>
        </w:tc>
      </w:tr>
      <w:tr w:rsidR="007D706A" w14:paraId="6A29B42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6BDE0BA" w14:textId="77777777" w:rsidR="007D706A" w:rsidRDefault="007D706A" w:rsidP="00F70508">
            <w:pPr>
              <w:pStyle w:val="ParagraphStyle10"/>
              <w:rPr>
                <w:rStyle w:val="CharacterStyle10"/>
              </w:rPr>
            </w:pPr>
            <w:r>
              <w:rPr>
                <w:rStyle w:val="CharacterStyle10"/>
              </w:rPr>
              <w:t>36</w:t>
            </w:r>
          </w:p>
        </w:tc>
        <w:tc>
          <w:tcPr>
            <w:tcW w:w="4995" w:type="dxa"/>
            <w:tcBorders>
              <w:bottom w:val="single" w:sz="6" w:space="0" w:color="000000"/>
              <w:right w:val="single" w:sz="6" w:space="0" w:color="000000"/>
            </w:tcBorders>
            <w:vAlign w:val="center"/>
          </w:tcPr>
          <w:p w14:paraId="2D630A20" w14:textId="77777777" w:rsidR="007D706A" w:rsidRDefault="007D706A" w:rsidP="00F70508">
            <w:pPr>
              <w:pStyle w:val="ParagraphStyle11"/>
              <w:rPr>
                <w:rStyle w:val="CharacterStyle11"/>
              </w:rPr>
            </w:pPr>
            <w:r>
              <w:rPr>
                <w:rStyle w:val="CharacterStyle11"/>
              </w:rPr>
              <w:t>Pomoći dane u inozemstvo i unutar općeg proračuna</w:t>
            </w:r>
          </w:p>
        </w:tc>
        <w:tc>
          <w:tcPr>
            <w:tcW w:w="1395" w:type="dxa"/>
            <w:tcBorders>
              <w:bottom w:val="single" w:sz="6" w:space="0" w:color="000000"/>
              <w:right w:val="single" w:sz="6" w:space="0" w:color="000000"/>
            </w:tcBorders>
            <w:vAlign w:val="center"/>
          </w:tcPr>
          <w:p w14:paraId="4B883D3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4A0A39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1B1D949" w14:textId="77777777" w:rsidR="007D706A" w:rsidRDefault="007D706A" w:rsidP="00F70508">
            <w:pPr>
              <w:pStyle w:val="ParagraphStyle12"/>
              <w:rPr>
                <w:rStyle w:val="CharacterStyle12"/>
              </w:rPr>
            </w:pPr>
            <w:r>
              <w:rPr>
                <w:rStyle w:val="CharacterStyle12"/>
              </w:rPr>
              <w:t>2.500,00</w:t>
            </w:r>
          </w:p>
        </w:tc>
        <w:tc>
          <w:tcPr>
            <w:tcW w:w="1395" w:type="dxa"/>
            <w:tcBorders>
              <w:bottom w:val="single" w:sz="6" w:space="0" w:color="000000"/>
              <w:right w:val="single" w:sz="6" w:space="0" w:color="000000"/>
            </w:tcBorders>
            <w:vAlign w:val="center"/>
          </w:tcPr>
          <w:p w14:paraId="7EE9AD2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5A4464C" w14:textId="77777777" w:rsidR="007D706A" w:rsidRDefault="007D706A" w:rsidP="00F70508">
            <w:pPr>
              <w:pStyle w:val="ParagraphStyle12"/>
              <w:rPr>
                <w:rStyle w:val="CharacterStyle12"/>
              </w:rPr>
            </w:pPr>
            <w:r>
              <w:rPr>
                <w:rStyle w:val="CharacterStyle12"/>
              </w:rPr>
              <w:t>0,00</w:t>
            </w:r>
          </w:p>
        </w:tc>
      </w:tr>
      <w:tr w:rsidR="007D706A" w14:paraId="6EB38C8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CF09D72" w14:textId="77777777" w:rsidR="007D706A" w:rsidRDefault="007D706A" w:rsidP="00F70508">
            <w:pPr>
              <w:pStyle w:val="ParagraphStyle4"/>
              <w:rPr>
                <w:rStyle w:val="CharacterStyle4"/>
              </w:rPr>
            </w:pPr>
            <w:r>
              <w:rPr>
                <w:rStyle w:val="CharacterStyle4"/>
              </w:rPr>
              <w:t>Aktivnost A102620</w:t>
            </w:r>
          </w:p>
        </w:tc>
        <w:tc>
          <w:tcPr>
            <w:tcW w:w="4995" w:type="dxa"/>
            <w:tcBorders>
              <w:bottom w:val="single" w:sz="6" w:space="0" w:color="000000"/>
              <w:right w:val="single" w:sz="6" w:space="0" w:color="000000"/>
            </w:tcBorders>
            <w:vAlign w:val="center"/>
          </w:tcPr>
          <w:p w14:paraId="15D50C7D" w14:textId="77777777" w:rsidR="007D706A" w:rsidRDefault="007D706A" w:rsidP="00F70508">
            <w:pPr>
              <w:pStyle w:val="ParagraphStyle5"/>
              <w:rPr>
                <w:rStyle w:val="CharacterStyle5"/>
              </w:rPr>
            </w:pPr>
            <w:r>
              <w:rPr>
                <w:rStyle w:val="CharacterStyle5"/>
              </w:rPr>
              <w:t>DANI MEDIJSKE PISMENOSTI</w:t>
            </w:r>
          </w:p>
        </w:tc>
        <w:tc>
          <w:tcPr>
            <w:tcW w:w="1395" w:type="dxa"/>
            <w:tcBorders>
              <w:bottom w:val="single" w:sz="6" w:space="0" w:color="000000"/>
              <w:right w:val="single" w:sz="6" w:space="0" w:color="000000"/>
            </w:tcBorders>
            <w:vAlign w:val="center"/>
          </w:tcPr>
          <w:p w14:paraId="294CC45E"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01162364"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4958739E" w14:textId="77777777" w:rsidR="007D706A" w:rsidRDefault="007D706A" w:rsidP="00F70508">
            <w:pPr>
              <w:pStyle w:val="ParagraphStyle6"/>
              <w:rPr>
                <w:rStyle w:val="CharacterStyle6"/>
              </w:rPr>
            </w:pPr>
            <w:r>
              <w:rPr>
                <w:rStyle w:val="CharacterStyle6"/>
              </w:rPr>
              <w:t>4.000,00</w:t>
            </w:r>
          </w:p>
        </w:tc>
        <w:tc>
          <w:tcPr>
            <w:tcW w:w="1395" w:type="dxa"/>
            <w:tcBorders>
              <w:bottom w:val="single" w:sz="6" w:space="0" w:color="000000"/>
              <w:right w:val="single" w:sz="6" w:space="0" w:color="000000"/>
            </w:tcBorders>
            <w:vAlign w:val="center"/>
          </w:tcPr>
          <w:p w14:paraId="61584864"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12DE2163" w14:textId="77777777" w:rsidR="007D706A" w:rsidRDefault="007D706A" w:rsidP="00F70508">
            <w:pPr>
              <w:pStyle w:val="ParagraphStyle6"/>
              <w:rPr>
                <w:rStyle w:val="CharacterStyle6"/>
              </w:rPr>
            </w:pPr>
            <w:r>
              <w:rPr>
                <w:rStyle w:val="CharacterStyle6"/>
              </w:rPr>
              <w:t>0,00</w:t>
            </w:r>
          </w:p>
        </w:tc>
      </w:tr>
      <w:tr w:rsidR="007D706A" w14:paraId="6B8A622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922443E"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32A109D1"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6702642D"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1C9F69A"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C064D23" w14:textId="77777777" w:rsidR="007D706A" w:rsidRDefault="007D706A" w:rsidP="00F70508">
            <w:pPr>
              <w:pStyle w:val="ParagraphStyle9"/>
              <w:rPr>
                <w:rStyle w:val="CharacterStyle9"/>
              </w:rPr>
            </w:pPr>
            <w:r>
              <w:rPr>
                <w:rStyle w:val="CharacterStyle9"/>
              </w:rPr>
              <w:t>4.000,00</w:t>
            </w:r>
          </w:p>
        </w:tc>
        <w:tc>
          <w:tcPr>
            <w:tcW w:w="1395" w:type="dxa"/>
            <w:tcBorders>
              <w:bottom w:val="single" w:sz="6" w:space="0" w:color="000000"/>
              <w:right w:val="single" w:sz="6" w:space="0" w:color="000000"/>
            </w:tcBorders>
            <w:vAlign w:val="center"/>
          </w:tcPr>
          <w:p w14:paraId="38C9ED5D"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5A3E4B9" w14:textId="77777777" w:rsidR="007D706A" w:rsidRDefault="007D706A" w:rsidP="00F70508">
            <w:pPr>
              <w:pStyle w:val="ParagraphStyle9"/>
              <w:rPr>
                <w:rStyle w:val="CharacterStyle9"/>
              </w:rPr>
            </w:pPr>
            <w:r>
              <w:rPr>
                <w:rStyle w:val="CharacterStyle9"/>
              </w:rPr>
              <w:t>0,00</w:t>
            </w:r>
          </w:p>
        </w:tc>
      </w:tr>
      <w:tr w:rsidR="007D706A" w14:paraId="69B21A4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6E53170"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11A66E7B"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38E9218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2B7FE6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7A77E66" w14:textId="77777777" w:rsidR="007D706A" w:rsidRDefault="007D706A" w:rsidP="00F70508">
            <w:pPr>
              <w:pStyle w:val="ParagraphStyle12"/>
              <w:rPr>
                <w:rStyle w:val="CharacterStyle12"/>
              </w:rPr>
            </w:pPr>
            <w:r>
              <w:rPr>
                <w:rStyle w:val="CharacterStyle12"/>
              </w:rPr>
              <w:t>4.000,00</w:t>
            </w:r>
          </w:p>
        </w:tc>
        <w:tc>
          <w:tcPr>
            <w:tcW w:w="1395" w:type="dxa"/>
            <w:tcBorders>
              <w:bottom w:val="single" w:sz="6" w:space="0" w:color="000000"/>
              <w:right w:val="single" w:sz="6" w:space="0" w:color="000000"/>
            </w:tcBorders>
            <w:vAlign w:val="center"/>
          </w:tcPr>
          <w:p w14:paraId="7FA8E5B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D82B04C" w14:textId="77777777" w:rsidR="007D706A" w:rsidRDefault="007D706A" w:rsidP="00F70508">
            <w:pPr>
              <w:pStyle w:val="ParagraphStyle12"/>
              <w:rPr>
                <w:rStyle w:val="CharacterStyle12"/>
              </w:rPr>
            </w:pPr>
            <w:r>
              <w:rPr>
                <w:rStyle w:val="CharacterStyle12"/>
              </w:rPr>
              <w:t>0,00</w:t>
            </w:r>
          </w:p>
        </w:tc>
      </w:tr>
      <w:tr w:rsidR="007D706A" w14:paraId="62EDD87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0A6878E"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3FAB3F28"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27A2C30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A202FF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FDDFE50" w14:textId="77777777" w:rsidR="007D706A" w:rsidRDefault="007D706A" w:rsidP="00F70508">
            <w:pPr>
              <w:pStyle w:val="ParagraphStyle12"/>
              <w:rPr>
                <w:rStyle w:val="CharacterStyle12"/>
              </w:rPr>
            </w:pPr>
            <w:r>
              <w:rPr>
                <w:rStyle w:val="CharacterStyle12"/>
              </w:rPr>
              <w:t>4.000,00</w:t>
            </w:r>
          </w:p>
        </w:tc>
        <w:tc>
          <w:tcPr>
            <w:tcW w:w="1395" w:type="dxa"/>
            <w:tcBorders>
              <w:bottom w:val="single" w:sz="6" w:space="0" w:color="000000"/>
              <w:right w:val="single" w:sz="6" w:space="0" w:color="000000"/>
            </w:tcBorders>
            <w:vAlign w:val="center"/>
          </w:tcPr>
          <w:p w14:paraId="7272112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D084FE5" w14:textId="77777777" w:rsidR="007D706A" w:rsidRDefault="007D706A" w:rsidP="00F70508">
            <w:pPr>
              <w:pStyle w:val="ParagraphStyle12"/>
              <w:rPr>
                <w:rStyle w:val="CharacterStyle12"/>
              </w:rPr>
            </w:pPr>
            <w:r>
              <w:rPr>
                <w:rStyle w:val="CharacterStyle12"/>
              </w:rPr>
              <w:t>0,00</w:t>
            </w:r>
          </w:p>
        </w:tc>
      </w:tr>
      <w:tr w:rsidR="007D706A" w14:paraId="76E7BA6A" w14:textId="77777777" w:rsidTr="00F70508">
        <w:trPr>
          <w:trHeight w:val="420"/>
        </w:trPr>
        <w:tc>
          <w:tcPr>
            <w:tcW w:w="2880" w:type="dxa"/>
            <w:tcBorders>
              <w:left w:val="single" w:sz="6" w:space="0" w:color="000000"/>
              <w:bottom w:val="single" w:sz="6" w:space="0" w:color="000000"/>
              <w:right w:val="single" w:sz="6" w:space="0" w:color="000000"/>
            </w:tcBorders>
            <w:vAlign w:val="center"/>
          </w:tcPr>
          <w:p w14:paraId="5996F426" w14:textId="77777777" w:rsidR="007D706A" w:rsidRDefault="007D706A" w:rsidP="00F70508">
            <w:pPr>
              <w:pStyle w:val="ParagraphStyle4"/>
              <w:rPr>
                <w:rStyle w:val="CharacterStyle4"/>
              </w:rPr>
            </w:pPr>
            <w:r>
              <w:rPr>
                <w:rStyle w:val="CharacterStyle4"/>
              </w:rPr>
              <w:t>Aktivnost A102621</w:t>
            </w:r>
          </w:p>
        </w:tc>
        <w:tc>
          <w:tcPr>
            <w:tcW w:w="4995" w:type="dxa"/>
            <w:tcBorders>
              <w:bottom w:val="single" w:sz="6" w:space="0" w:color="000000"/>
              <w:right w:val="single" w:sz="6" w:space="0" w:color="000000"/>
            </w:tcBorders>
            <w:vAlign w:val="center"/>
          </w:tcPr>
          <w:p w14:paraId="0F212D40" w14:textId="77777777" w:rsidR="007D706A" w:rsidRDefault="007D706A" w:rsidP="00F70508">
            <w:pPr>
              <w:pStyle w:val="ParagraphStyle5"/>
              <w:rPr>
                <w:rStyle w:val="CharacterStyle5"/>
              </w:rPr>
            </w:pPr>
            <w:r>
              <w:rPr>
                <w:rStyle w:val="CharacterStyle5"/>
              </w:rPr>
              <w:t>DODATNO UČENJE TALIJANSKOG JEZIKA_JEZIKA DRUŠTVENE SREDINE</w:t>
            </w:r>
          </w:p>
        </w:tc>
        <w:tc>
          <w:tcPr>
            <w:tcW w:w="1395" w:type="dxa"/>
            <w:tcBorders>
              <w:bottom w:val="single" w:sz="6" w:space="0" w:color="000000"/>
              <w:right w:val="single" w:sz="6" w:space="0" w:color="000000"/>
            </w:tcBorders>
            <w:vAlign w:val="center"/>
          </w:tcPr>
          <w:p w14:paraId="06D1A2C1"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335D89ED"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26810B56" w14:textId="77777777" w:rsidR="007D706A" w:rsidRDefault="007D706A" w:rsidP="00F70508">
            <w:pPr>
              <w:pStyle w:val="ParagraphStyle6"/>
              <w:rPr>
                <w:rStyle w:val="CharacterStyle6"/>
              </w:rPr>
            </w:pPr>
            <w:r>
              <w:rPr>
                <w:rStyle w:val="CharacterStyle6"/>
              </w:rPr>
              <w:t>3.000,00</w:t>
            </w:r>
          </w:p>
        </w:tc>
        <w:tc>
          <w:tcPr>
            <w:tcW w:w="1395" w:type="dxa"/>
            <w:tcBorders>
              <w:bottom w:val="single" w:sz="6" w:space="0" w:color="000000"/>
              <w:right w:val="single" w:sz="6" w:space="0" w:color="000000"/>
            </w:tcBorders>
            <w:vAlign w:val="center"/>
          </w:tcPr>
          <w:p w14:paraId="3F9CAB99" w14:textId="77777777" w:rsidR="007D706A" w:rsidRDefault="007D706A" w:rsidP="00F70508">
            <w:pPr>
              <w:pStyle w:val="ParagraphStyle6"/>
              <w:rPr>
                <w:rStyle w:val="CharacterStyle6"/>
              </w:rPr>
            </w:pPr>
            <w:r>
              <w:rPr>
                <w:rStyle w:val="CharacterStyle6"/>
              </w:rPr>
              <w:t>3.000,00</w:t>
            </w:r>
          </w:p>
        </w:tc>
        <w:tc>
          <w:tcPr>
            <w:tcW w:w="1395" w:type="dxa"/>
            <w:tcBorders>
              <w:bottom w:val="single" w:sz="6" w:space="0" w:color="000000"/>
              <w:right w:val="single" w:sz="6" w:space="0" w:color="000000"/>
            </w:tcBorders>
            <w:vAlign w:val="center"/>
          </w:tcPr>
          <w:p w14:paraId="786FDFC0" w14:textId="77777777" w:rsidR="007D706A" w:rsidRDefault="007D706A" w:rsidP="00F70508">
            <w:pPr>
              <w:pStyle w:val="ParagraphStyle6"/>
              <w:rPr>
                <w:rStyle w:val="CharacterStyle6"/>
              </w:rPr>
            </w:pPr>
            <w:r>
              <w:rPr>
                <w:rStyle w:val="CharacterStyle6"/>
              </w:rPr>
              <w:t>3.000,00</w:t>
            </w:r>
          </w:p>
        </w:tc>
      </w:tr>
      <w:tr w:rsidR="007D706A" w14:paraId="7FF04E2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2E7637A"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71E0199B"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3D434ACA"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9990E68"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FCAA29E" w14:textId="77777777" w:rsidR="007D706A" w:rsidRDefault="007D706A" w:rsidP="00F70508">
            <w:pPr>
              <w:pStyle w:val="ParagraphStyle9"/>
              <w:rPr>
                <w:rStyle w:val="CharacterStyle9"/>
              </w:rPr>
            </w:pPr>
            <w:r>
              <w:rPr>
                <w:rStyle w:val="CharacterStyle9"/>
              </w:rPr>
              <w:t>3.000,00</w:t>
            </w:r>
          </w:p>
        </w:tc>
        <w:tc>
          <w:tcPr>
            <w:tcW w:w="1395" w:type="dxa"/>
            <w:tcBorders>
              <w:bottom w:val="single" w:sz="6" w:space="0" w:color="000000"/>
              <w:right w:val="single" w:sz="6" w:space="0" w:color="000000"/>
            </w:tcBorders>
            <w:vAlign w:val="center"/>
          </w:tcPr>
          <w:p w14:paraId="7BCD6462" w14:textId="77777777" w:rsidR="007D706A" w:rsidRDefault="007D706A" w:rsidP="00F70508">
            <w:pPr>
              <w:pStyle w:val="ParagraphStyle9"/>
              <w:rPr>
                <w:rStyle w:val="CharacterStyle9"/>
              </w:rPr>
            </w:pPr>
            <w:r>
              <w:rPr>
                <w:rStyle w:val="CharacterStyle9"/>
              </w:rPr>
              <w:t>3.000,00</w:t>
            </w:r>
          </w:p>
        </w:tc>
        <w:tc>
          <w:tcPr>
            <w:tcW w:w="1395" w:type="dxa"/>
            <w:tcBorders>
              <w:bottom w:val="single" w:sz="6" w:space="0" w:color="000000"/>
              <w:right w:val="single" w:sz="6" w:space="0" w:color="000000"/>
            </w:tcBorders>
            <w:vAlign w:val="center"/>
          </w:tcPr>
          <w:p w14:paraId="1190ED67" w14:textId="77777777" w:rsidR="007D706A" w:rsidRDefault="007D706A" w:rsidP="00F70508">
            <w:pPr>
              <w:pStyle w:val="ParagraphStyle9"/>
              <w:rPr>
                <w:rStyle w:val="CharacterStyle9"/>
              </w:rPr>
            </w:pPr>
            <w:r>
              <w:rPr>
                <w:rStyle w:val="CharacterStyle9"/>
              </w:rPr>
              <w:t>3.000,00</w:t>
            </w:r>
          </w:p>
        </w:tc>
      </w:tr>
      <w:tr w:rsidR="007D706A" w14:paraId="52FB2E6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0F3F24F"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69A39225"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432A804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088717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D75F997" w14:textId="77777777" w:rsidR="007D706A" w:rsidRDefault="007D706A" w:rsidP="00F70508">
            <w:pPr>
              <w:pStyle w:val="ParagraphStyle12"/>
              <w:rPr>
                <w:rStyle w:val="CharacterStyle12"/>
              </w:rPr>
            </w:pPr>
            <w:r>
              <w:rPr>
                <w:rStyle w:val="CharacterStyle12"/>
              </w:rPr>
              <w:t>3.000,00</w:t>
            </w:r>
          </w:p>
        </w:tc>
        <w:tc>
          <w:tcPr>
            <w:tcW w:w="1395" w:type="dxa"/>
            <w:tcBorders>
              <w:bottom w:val="single" w:sz="6" w:space="0" w:color="000000"/>
              <w:right w:val="single" w:sz="6" w:space="0" w:color="000000"/>
            </w:tcBorders>
            <w:vAlign w:val="center"/>
          </w:tcPr>
          <w:p w14:paraId="51F4C609" w14:textId="77777777" w:rsidR="007D706A" w:rsidRDefault="007D706A" w:rsidP="00F70508">
            <w:pPr>
              <w:pStyle w:val="ParagraphStyle12"/>
              <w:rPr>
                <w:rStyle w:val="CharacterStyle12"/>
              </w:rPr>
            </w:pPr>
            <w:r>
              <w:rPr>
                <w:rStyle w:val="CharacterStyle12"/>
              </w:rPr>
              <w:t>3.000,00</w:t>
            </w:r>
          </w:p>
        </w:tc>
        <w:tc>
          <w:tcPr>
            <w:tcW w:w="1395" w:type="dxa"/>
            <w:tcBorders>
              <w:bottom w:val="single" w:sz="6" w:space="0" w:color="000000"/>
              <w:right w:val="single" w:sz="6" w:space="0" w:color="000000"/>
            </w:tcBorders>
            <w:vAlign w:val="center"/>
          </w:tcPr>
          <w:p w14:paraId="365E193E" w14:textId="77777777" w:rsidR="007D706A" w:rsidRDefault="007D706A" w:rsidP="00F70508">
            <w:pPr>
              <w:pStyle w:val="ParagraphStyle12"/>
              <w:rPr>
                <w:rStyle w:val="CharacterStyle12"/>
              </w:rPr>
            </w:pPr>
            <w:r>
              <w:rPr>
                <w:rStyle w:val="CharacterStyle12"/>
              </w:rPr>
              <w:t>3.000,00</w:t>
            </w:r>
          </w:p>
        </w:tc>
      </w:tr>
      <w:tr w:rsidR="007D706A" w14:paraId="691691A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930C958" w14:textId="77777777" w:rsidR="007D706A" w:rsidRDefault="007D706A" w:rsidP="00F70508">
            <w:pPr>
              <w:pStyle w:val="ParagraphStyle10"/>
              <w:rPr>
                <w:rStyle w:val="CharacterStyle10"/>
              </w:rPr>
            </w:pPr>
            <w:r>
              <w:rPr>
                <w:rStyle w:val="CharacterStyle10"/>
              </w:rPr>
              <w:t>36</w:t>
            </w:r>
          </w:p>
        </w:tc>
        <w:tc>
          <w:tcPr>
            <w:tcW w:w="4995" w:type="dxa"/>
            <w:tcBorders>
              <w:bottom w:val="single" w:sz="6" w:space="0" w:color="000000"/>
              <w:right w:val="single" w:sz="6" w:space="0" w:color="000000"/>
            </w:tcBorders>
            <w:vAlign w:val="center"/>
          </w:tcPr>
          <w:p w14:paraId="2FA8DBDC" w14:textId="77777777" w:rsidR="007D706A" w:rsidRDefault="007D706A" w:rsidP="00F70508">
            <w:pPr>
              <w:pStyle w:val="ParagraphStyle11"/>
              <w:rPr>
                <w:rStyle w:val="CharacterStyle11"/>
              </w:rPr>
            </w:pPr>
            <w:r>
              <w:rPr>
                <w:rStyle w:val="CharacterStyle11"/>
              </w:rPr>
              <w:t>Pomoći dane u inozemstvo i unutar općeg proračuna</w:t>
            </w:r>
          </w:p>
        </w:tc>
        <w:tc>
          <w:tcPr>
            <w:tcW w:w="1395" w:type="dxa"/>
            <w:tcBorders>
              <w:bottom w:val="single" w:sz="6" w:space="0" w:color="000000"/>
              <w:right w:val="single" w:sz="6" w:space="0" w:color="000000"/>
            </w:tcBorders>
            <w:vAlign w:val="center"/>
          </w:tcPr>
          <w:p w14:paraId="7C0744C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DE7BAC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DF433D5" w14:textId="77777777" w:rsidR="007D706A" w:rsidRDefault="007D706A" w:rsidP="00F70508">
            <w:pPr>
              <w:pStyle w:val="ParagraphStyle12"/>
              <w:rPr>
                <w:rStyle w:val="CharacterStyle12"/>
              </w:rPr>
            </w:pPr>
            <w:r>
              <w:rPr>
                <w:rStyle w:val="CharacterStyle12"/>
              </w:rPr>
              <w:t>3.000,00</w:t>
            </w:r>
          </w:p>
        </w:tc>
        <w:tc>
          <w:tcPr>
            <w:tcW w:w="1395" w:type="dxa"/>
            <w:tcBorders>
              <w:bottom w:val="single" w:sz="6" w:space="0" w:color="000000"/>
              <w:right w:val="single" w:sz="6" w:space="0" w:color="000000"/>
            </w:tcBorders>
            <w:vAlign w:val="center"/>
          </w:tcPr>
          <w:p w14:paraId="1C757BA6" w14:textId="77777777" w:rsidR="007D706A" w:rsidRDefault="007D706A" w:rsidP="00F70508">
            <w:pPr>
              <w:pStyle w:val="ParagraphStyle12"/>
              <w:rPr>
                <w:rStyle w:val="CharacterStyle12"/>
              </w:rPr>
            </w:pPr>
            <w:r>
              <w:rPr>
                <w:rStyle w:val="CharacterStyle12"/>
              </w:rPr>
              <w:t>3.000,00</w:t>
            </w:r>
          </w:p>
        </w:tc>
        <w:tc>
          <w:tcPr>
            <w:tcW w:w="1395" w:type="dxa"/>
            <w:tcBorders>
              <w:bottom w:val="single" w:sz="6" w:space="0" w:color="000000"/>
              <w:right w:val="single" w:sz="6" w:space="0" w:color="000000"/>
            </w:tcBorders>
            <w:vAlign w:val="center"/>
          </w:tcPr>
          <w:p w14:paraId="62156027" w14:textId="77777777" w:rsidR="007D706A" w:rsidRDefault="007D706A" w:rsidP="00F70508">
            <w:pPr>
              <w:pStyle w:val="ParagraphStyle12"/>
              <w:rPr>
                <w:rStyle w:val="CharacterStyle12"/>
              </w:rPr>
            </w:pPr>
            <w:r>
              <w:rPr>
                <w:rStyle w:val="CharacterStyle12"/>
              </w:rPr>
              <w:t>3.000,00</w:t>
            </w:r>
          </w:p>
        </w:tc>
      </w:tr>
      <w:tr w:rsidR="007D706A" w14:paraId="174FCAB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1DDC90C" w14:textId="77777777" w:rsidR="007D706A" w:rsidRDefault="007D706A" w:rsidP="00F70508">
            <w:pPr>
              <w:pStyle w:val="ParagraphStyle4"/>
              <w:rPr>
                <w:rStyle w:val="CharacterStyle4"/>
              </w:rPr>
            </w:pPr>
            <w:r>
              <w:rPr>
                <w:rStyle w:val="CharacterStyle4"/>
              </w:rPr>
              <w:t>PROGRAM    1027</w:t>
            </w:r>
          </w:p>
        </w:tc>
        <w:tc>
          <w:tcPr>
            <w:tcW w:w="4995" w:type="dxa"/>
            <w:tcBorders>
              <w:bottom w:val="single" w:sz="6" w:space="0" w:color="000000"/>
              <w:right w:val="single" w:sz="6" w:space="0" w:color="000000"/>
            </w:tcBorders>
            <w:vAlign w:val="center"/>
          </w:tcPr>
          <w:p w14:paraId="547698FD" w14:textId="77777777" w:rsidR="007D706A" w:rsidRDefault="007D706A" w:rsidP="00F70508">
            <w:pPr>
              <w:pStyle w:val="ParagraphStyle5"/>
              <w:rPr>
                <w:rStyle w:val="CharacterStyle5"/>
              </w:rPr>
            </w:pPr>
            <w:r>
              <w:rPr>
                <w:rStyle w:val="CharacterStyle5"/>
              </w:rPr>
              <w:t>OPĆE JAVNE POTREBE U KULTURI</w:t>
            </w:r>
          </w:p>
        </w:tc>
        <w:tc>
          <w:tcPr>
            <w:tcW w:w="1395" w:type="dxa"/>
            <w:tcBorders>
              <w:bottom w:val="single" w:sz="6" w:space="0" w:color="000000"/>
              <w:right w:val="single" w:sz="6" w:space="0" w:color="000000"/>
            </w:tcBorders>
            <w:vAlign w:val="center"/>
          </w:tcPr>
          <w:p w14:paraId="64D814A0"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509C1B7C" w14:textId="77777777" w:rsidR="007D706A" w:rsidRDefault="007D706A" w:rsidP="00F70508">
            <w:pPr>
              <w:pStyle w:val="ParagraphStyle6"/>
              <w:rPr>
                <w:rStyle w:val="CharacterStyle6"/>
              </w:rPr>
            </w:pPr>
            <w:r>
              <w:rPr>
                <w:rStyle w:val="CharacterStyle6"/>
              </w:rPr>
              <w:t>589.201,00</w:t>
            </w:r>
          </w:p>
        </w:tc>
        <w:tc>
          <w:tcPr>
            <w:tcW w:w="1395" w:type="dxa"/>
            <w:tcBorders>
              <w:bottom w:val="single" w:sz="6" w:space="0" w:color="000000"/>
              <w:right w:val="single" w:sz="6" w:space="0" w:color="000000"/>
            </w:tcBorders>
            <w:vAlign w:val="center"/>
          </w:tcPr>
          <w:p w14:paraId="0FD74A54" w14:textId="77777777" w:rsidR="007D706A" w:rsidRDefault="007D706A" w:rsidP="00F70508">
            <w:pPr>
              <w:pStyle w:val="ParagraphStyle6"/>
              <w:rPr>
                <w:rStyle w:val="CharacterStyle6"/>
              </w:rPr>
            </w:pPr>
            <w:r>
              <w:rPr>
                <w:rStyle w:val="CharacterStyle6"/>
              </w:rPr>
              <w:t>716.129,87</w:t>
            </w:r>
          </w:p>
        </w:tc>
        <w:tc>
          <w:tcPr>
            <w:tcW w:w="1395" w:type="dxa"/>
            <w:tcBorders>
              <w:bottom w:val="single" w:sz="6" w:space="0" w:color="000000"/>
              <w:right w:val="single" w:sz="6" w:space="0" w:color="000000"/>
            </w:tcBorders>
            <w:vAlign w:val="center"/>
          </w:tcPr>
          <w:p w14:paraId="514B29AB" w14:textId="77777777" w:rsidR="007D706A" w:rsidRDefault="007D706A" w:rsidP="00F70508">
            <w:pPr>
              <w:pStyle w:val="ParagraphStyle6"/>
              <w:rPr>
                <w:rStyle w:val="CharacterStyle6"/>
              </w:rPr>
            </w:pPr>
            <w:r>
              <w:rPr>
                <w:rStyle w:val="CharacterStyle6"/>
              </w:rPr>
              <w:t>616.500,00</w:t>
            </w:r>
          </w:p>
        </w:tc>
        <w:tc>
          <w:tcPr>
            <w:tcW w:w="1395" w:type="dxa"/>
            <w:tcBorders>
              <w:bottom w:val="single" w:sz="6" w:space="0" w:color="000000"/>
              <w:right w:val="single" w:sz="6" w:space="0" w:color="000000"/>
            </w:tcBorders>
            <w:vAlign w:val="center"/>
          </w:tcPr>
          <w:p w14:paraId="4B8A64F4" w14:textId="77777777" w:rsidR="007D706A" w:rsidRDefault="007D706A" w:rsidP="00F70508">
            <w:pPr>
              <w:pStyle w:val="ParagraphStyle6"/>
              <w:rPr>
                <w:rStyle w:val="CharacterStyle6"/>
              </w:rPr>
            </w:pPr>
            <w:r>
              <w:rPr>
                <w:rStyle w:val="CharacterStyle6"/>
              </w:rPr>
              <w:t>621.500,00</w:t>
            </w:r>
          </w:p>
        </w:tc>
      </w:tr>
      <w:tr w:rsidR="007D706A" w14:paraId="076B493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B1FD146" w14:textId="77777777" w:rsidR="007D706A" w:rsidRDefault="007D706A" w:rsidP="00F70508">
            <w:pPr>
              <w:pStyle w:val="ParagraphStyle4"/>
              <w:rPr>
                <w:rStyle w:val="CharacterStyle4"/>
              </w:rPr>
            </w:pPr>
            <w:r>
              <w:rPr>
                <w:rStyle w:val="CharacterStyle4"/>
              </w:rPr>
              <w:t>Aktivnost A102707</w:t>
            </w:r>
          </w:p>
        </w:tc>
        <w:tc>
          <w:tcPr>
            <w:tcW w:w="4995" w:type="dxa"/>
            <w:tcBorders>
              <w:bottom w:val="single" w:sz="6" w:space="0" w:color="000000"/>
              <w:right w:val="single" w:sz="6" w:space="0" w:color="000000"/>
            </w:tcBorders>
            <w:vAlign w:val="center"/>
          </w:tcPr>
          <w:p w14:paraId="3EAC56A0" w14:textId="77777777" w:rsidR="007D706A" w:rsidRDefault="007D706A" w:rsidP="00F70508">
            <w:pPr>
              <w:pStyle w:val="ParagraphStyle5"/>
              <w:rPr>
                <w:rStyle w:val="CharacterStyle5"/>
              </w:rPr>
            </w:pPr>
            <w:r>
              <w:rPr>
                <w:rStyle w:val="CharacterStyle5"/>
              </w:rPr>
              <w:t>CENTAR ZA POVIJESNA ISTRAŽIVANJA ROVINJ-ROVIGNO</w:t>
            </w:r>
          </w:p>
        </w:tc>
        <w:tc>
          <w:tcPr>
            <w:tcW w:w="1395" w:type="dxa"/>
            <w:tcBorders>
              <w:bottom w:val="single" w:sz="6" w:space="0" w:color="000000"/>
              <w:right w:val="single" w:sz="6" w:space="0" w:color="000000"/>
            </w:tcBorders>
            <w:vAlign w:val="center"/>
          </w:tcPr>
          <w:p w14:paraId="74841D0D"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0B5B6F44" w14:textId="77777777" w:rsidR="007D706A" w:rsidRDefault="007D706A" w:rsidP="00F70508">
            <w:pPr>
              <w:pStyle w:val="ParagraphStyle6"/>
              <w:rPr>
                <w:rStyle w:val="CharacterStyle6"/>
              </w:rPr>
            </w:pPr>
            <w:r>
              <w:rPr>
                <w:rStyle w:val="CharacterStyle6"/>
              </w:rPr>
              <w:t>6.000,00</w:t>
            </w:r>
          </w:p>
        </w:tc>
        <w:tc>
          <w:tcPr>
            <w:tcW w:w="1395" w:type="dxa"/>
            <w:tcBorders>
              <w:bottom w:val="single" w:sz="6" w:space="0" w:color="000000"/>
              <w:right w:val="single" w:sz="6" w:space="0" w:color="000000"/>
            </w:tcBorders>
            <w:vAlign w:val="center"/>
          </w:tcPr>
          <w:p w14:paraId="4DC83AC6" w14:textId="77777777" w:rsidR="007D706A" w:rsidRDefault="007D706A" w:rsidP="00F70508">
            <w:pPr>
              <w:pStyle w:val="ParagraphStyle6"/>
              <w:rPr>
                <w:rStyle w:val="CharacterStyle6"/>
              </w:rPr>
            </w:pPr>
            <w:r>
              <w:rPr>
                <w:rStyle w:val="CharacterStyle6"/>
              </w:rPr>
              <w:t>14.000,00</w:t>
            </w:r>
          </w:p>
        </w:tc>
        <w:tc>
          <w:tcPr>
            <w:tcW w:w="1395" w:type="dxa"/>
            <w:tcBorders>
              <w:bottom w:val="single" w:sz="6" w:space="0" w:color="000000"/>
              <w:right w:val="single" w:sz="6" w:space="0" w:color="000000"/>
            </w:tcBorders>
            <w:vAlign w:val="center"/>
          </w:tcPr>
          <w:p w14:paraId="1583AB2E" w14:textId="77777777" w:rsidR="007D706A" w:rsidRDefault="007D706A" w:rsidP="00F70508">
            <w:pPr>
              <w:pStyle w:val="ParagraphStyle6"/>
              <w:rPr>
                <w:rStyle w:val="CharacterStyle6"/>
              </w:rPr>
            </w:pPr>
            <w:r>
              <w:rPr>
                <w:rStyle w:val="CharacterStyle6"/>
              </w:rPr>
              <w:t>14.000,00</w:t>
            </w:r>
          </w:p>
        </w:tc>
        <w:tc>
          <w:tcPr>
            <w:tcW w:w="1395" w:type="dxa"/>
            <w:tcBorders>
              <w:bottom w:val="single" w:sz="6" w:space="0" w:color="000000"/>
              <w:right w:val="single" w:sz="6" w:space="0" w:color="000000"/>
            </w:tcBorders>
            <w:vAlign w:val="center"/>
          </w:tcPr>
          <w:p w14:paraId="774AB0BD" w14:textId="77777777" w:rsidR="007D706A" w:rsidRDefault="007D706A" w:rsidP="00F70508">
            <w:pPr>
              <w:pStyle w:val="ParagraphStyle6"/>
              <w:rPr>
                <w:rStyle w:val="CharacterStyle6"/>
              </w:rPr>
            </w:pPr>
            <w:r>
              <w:rPr>
                <w:rStyle w:val="CharacterStyle6"/>
              </w:rPr>
              <w:t>14.000,00</w:t>
            </w:r>
          </w:p>
        </w:tc>
      </w:tr>
      <w:tr w:rsidR="007D706A" w14:paraId="3197963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9E53EF7"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2AAD5E1A"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57FFD327"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C54527E" w14:textId="77777777" w:rsidR="007D706A" w:rsidRDefault="007D706A" w:rsidP="00F70508">
            <w:pPr>
              <w:pStyle w:val="ParagraphStyle9"/>
              <w:rPr>
                <w:rStyle w:val="CharacterStyle9"/>
              </w:rPr>
            </w:pPr>
            <w:r>
              <w:rPr>
                <w:rStyle w:val="CharacterStyle9"/>
              </w:rPr>
              <w:t>6.000,00</w:t>
            </w:r>
          </w:p>
        </w:tc>
        <w:tc>
          <w:tcPr>
            <w:tcW w:w="1395" w:type="dxa"/>
            <w:tcBorders>
              <w:bottom w:val="single" w:sz="6" w:space="0" w:color="000000"/>
              <w:right w:val="single" w:sz="6" w:space="0" w:color="000000"/>
            </w:tcBorders>
            <w:vAlign w:val="center"/>
          </w:tcPr>
          <w:p w14:paraId="19ED5EA7" w14:textId="77777777" w:rsidR="007D706A" w:rsidRDefault="007D706A" w:rsidP="00F70508">
            <w:pPr>
              <w:pStyle w:val="ParagraphStyle9"/>
              <w:rPr>
                <w:rStyle w:val="CharacterStyle9"/>
              </w:rPr>
            </w:pPr>
            <w:r>
              <w:rPr>
                <w:rStyle w:val="CharacterStyle9"/>
              </w:rPr>
              <w:t>14.000,00</w:t>
            </w:r>
          </w:p>
        </w:tc>
        <w:tc>
          <w:tcPr>
            <w:tcW w:w="1395" w:type="dxa"/>
            <w:tcBorders>
              <w:bottom w:val="single" w:sz="6" w:space="0" w:color="000000"/>
              <w:right w:val="single" w:sz="6" w:space="0" w:color="000000"/>
            </w:tcBorders>
            <w:vAlign w:val="center"/>
          </w:tcPr>
          <w:p w14:paraId="4254ECF5" w14:textId="77777777" w:rsidR="007D706A" w:rsidRDefault="007D706A" w:rsidP="00F70508">
            <w:pPr>
              <w:pStyle w:val="ParagraphStyle9"/>
              <w:rPr>
                <w:rStyle w:val="CharacterStyle9"/>
              </w:rPr>
            </w:pPr>
            <w:r>
              <w:rPr>
                <w:rStyle w:val="CharacterStyle9"/>
              </w:rPr>
              <w:t>14.000,00</w:t>
            </w:r>
          </w:p>
        </w:tc>
        <w:tc>
          <w:tcPr>
            <w:tcW w:w="1395" w:type="dxa"/>
            <w:tcBorders>
              <w:bottom w:val="single" w:sz="6" w:space="0" w:color="000000"/>
              <w:right w:val="single" w:sz="6" w:space="0" w:color="000000"/>
            </w:tcBorders>
            <w:vAlign w:val="center"/>
          </w:tcPr>
          <w:p w14:paraId="4F1346FF" w14:textId="77777777" w:rsidR="007D706A" w:rsidRDefault="007D706A" w:rsidP="00F70508">
            <w:pPr>
              <w:pStyle w:val="ParagraphStyle9"/>
              <w:rPr>
                <w:rStyle w:val="CharacterStyle9"/>
              </w:rPr>
            </w:pPr>
            <w:r>
              <w:rPr>
                <w:rStyle w:val="CharacterStyle9"/>
              </w:rPr>
              <w:t>14.000,00</w:t>
            </w:r>
          </w:p>
        </w:tc>
      </w:tr>
      <w:tr w:rsidR="007D706A" w14:paraId="5A7ACD2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F6B1700"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6A5E0C00"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34FF544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2505645" w14:textId="77777777" w:rsidR="007D706A" w:rsidRDefault="007D706A" w:rsidP="00F70508">
            <w:pPr>
              <w:pStyle w:val="ParagraphStyle12"/>
              <w:rPr>
                <w:rStyle w:val="CharacterStyle12"/>
              </w:rPr>
            </w:pPr>
            <w:r>
              <w:rPr>
                <w:rStyle w:val="CharacterStyle12"/>
              </w:rPr>
              <w:t>6.000,00</w:t>
            </w:r>
          </w:p>
        </w:tc>
        <w:tc>
          <w:tcPr>
            <w:tcW w:w="1395" w:type="dxa"/>
            <w:tcBorders>
              <w:bottom w:val="single" w:sz="6" w:space="0" w:color="000000"/>
              <w:right w:val="single" w:sz="6" w:space="0" w:color="000000"/>
            </w:tcBorders>
            <w:vAlign w:val="center"/>
          </w:tcPr>
          <w:p w14:paraId="1F0A7D4B" w14:textId="77777777" w:rsidR="007D706A" w:rsidRDefault="007D706A" w:rsidP="00F70508">
            <w:pPr>
              <w:pStyle w:val="ParagraphStyle12"/>
              <w:rPr>
                <w:rStyle w:val="CharacterStyle12"/>
              </w:rPr>
            </w:pPr>
            <w:r>
              <w:rPr>
                <w:rStyle w:val="CharacterStyle12"/>
              </w:rPr>
              <w:t>14.000,00</w:t>
            </w:r>
          </w:p>
        </w:tc>
        <w:tc>
          <w:tcPr>
            <w:tcW w:w="1395" w:type="dxa"/>
            <w:tcBorders>
              <w:bottom w:val="single" w:sz="6" w:space="0" w:color="000000"/>
              <w:right w:val="single" w:sz="6" w:space="0" w:color="000000"/>
            </w:tcBorders>
            <w:vAlign w:val="center"/>
          </w:tcPr>
          <w:p w14:paraId="7075731F" w14:textId="77777777" w:rsidR="007D706A" w:rsidRDefault="007D706A" w:rsidP="00F70508">
            <w:pPr>
              <w:pStyle w:val="ParagraphStyle12"/>
              <w:rPr>
                <w:rStyle w:val="CharacterStyle12"/>
              </w:rPr>
            </w:pPr>
            <w:r>
              <w:rPr>
                <w:rStyle w:val="CharacterStyle12"/>
              </w:rPr>
              <w:t>14.000,00</w:t>
            </w:r>
          </w:p>
        </w:tc>
        <w:tc>
          <w:tcPr>
            <w:tcW w:w="1395" w:type="dxa"/>
            <w:tcBorders>
              <w:bottom w:val="single" w:sz="6" w:space="0" w:color="000000"/>
              <w:right w:val="single" w:sz="6" w:space="0" w:color="000000"/>
            </w:tcBorders>
            <w:vAlign w:val="center"/>
          </w:tcPr>
          <w:p w14:paraId="64CE5409" w14:textId="77777777" w:rsidR="007D706A" w:rsidRDefault="007D706A" w:rsidP="00F70508">
            <w:pPr>
              <w:pStyle w:val="ParagraphStyle12"/>
              <w:rPr>
                <w:rStyle w:val="CharacterStyle12"/>
              </w:rPr>
            </w:pPr>
            <w:r>
              <w:rPr>
                <w:rStyle w:val="CharacterStyle12"/>
              </w:rPr>
              <w:t>14.000,00</w:t>
            </w:r>
          </w:p>
        </w:tc>
      </w:tr>
      <w:tr w:rsidR="007D706A" w14:paraId="6A6FC5C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41C98D3" w14:textId="77777777" w:rsidR="007D706A" w:rsidRDefault="007D706A" w:rsidP="00F70508">
            <w:pPr>
              <w:pStyle w:val="ParagraphStyle10"/>
              <w:rPr>
                <w:rStyle w:val="CharacterStyle10"/>
              </w:rPr>
            </w:pPr>
            <w:r>
              <w:rPr>
                <w:rStyle w:val="CharacterStyle10"/>
              </w:rPr>
              <w:t>38</w:t>
            </w:r>
          </w:p>
        </w:tc>
        <w:tc>
          <w:tcPr>
            <w:tcW w:w="4995" w:type="dxa"/>
            <w:tcBorders>
              <w:bottom w:val="single" w:sz="6" w:space="0" w:color="000000"/>
              <w:right w:val="single" w:sz="6" w:space="0" w:color="000000"/>
            </w:tcBorders>
            <w:vAlign w:val="center"/>
          </w:tcPr>
          <w:p w14:paraId="481F99B7" w14:textId="77777777" w:rsidR="007D706A" w:rsidRDefault="007D706A" w:rsidP="00F70508">
            <w:pPr>
              <w:pStyle w:val="ParagraphStyle11"/>
              <w:rPr>
                <w:rStyle w:val="CharacterStyle11"/>
              </w:rPr>
            </w:pPr>
            <w:r>
              <w:rPr>
                <w:rStyle w:val="CharacterStyle11"/>
              </w:rPr>
              <w:t>Rashodi za donacije, kazne, naknade šteta i kapitalne pomoći</w:t>
            </w:r>
          </w:p>
        </w:tc>
        <w:tc>
          <w:tcPr>
            <w:tcW w:w="1395" w:type="dxa"/>
            <w:tcBorders>
              <w:bottom w:val="single" w:sz="6" w:space="0" w:color="000000"/>
              <w:right w:val="single" w:sz="6" w:space="0" w:color="000000"/>
            </w:tcBorders>
            <w:vAlign w:val="center"/>
          </w:tcPr>
          <w:p w14:paraId="7F58CAC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C67670C" w14:textId="77777777" w:rsidR="007D706A" w:rsidRDefault="007D706A" w:rsidP="00F70508">
            <w:pPr>
              <w:pStyle w:val="ParagraphStyle12"/>
              <w:rPr>
                <w:rStyle w:val="CharacterStyle12"/>
              </w:rPr>
            </w:pPr>
            <w:r>
              <w:rPr>
                <w:rStyle w:val="CharacterStyle12"/>
              </w:rPr>
              <w:t>6.000,00</w:t>
            </w:r>
          </w:p>
        </w:tc>
        <w:tc>
          <w:tcPr>
            <w:tcW w:w="1395" w:type="dxa"/>
            <w:tcBorders>
              <w:bottom w:val="single" w:sz="6" w:space="0" w:color="000000"/>
              <w:right w:val="single" w:sz="6" w:space="0" w:color="000000"/>
            </w:tcBorders>
            <w:vAlign w:val="center"/>
          </w:tcPr>
          <w:p w14:paraId="75E8E07E" w14:textId="77777777" w:rsidR="007D706A" w:rsidRDefault="007D706A" w:rsidP="00F70508">
            <w:pPr>
              <w:pStyle w:val="ParagraphStyle12"/>
              <w:rPr>
                <w:rStyle w:val="CharacterStyle12"/>
              </w:rPr>
            </w:pPr>
            <w:r>
              <w:rPr>
                <w:rStyle w:val="CharacterStyle12"/>
              </w:rPr>
              <w:t>14.000,00</w:t>
            </w:r>
          </w:p>
        </w:tc>
        <w:tc>
          <w:tcPr>
            <w:tcW w:w="1395" w:type="dxa"/>
            <w:tcBorders>
              <w:bottom w:val="single" w:sz="6" w:space="0" w:color="000000"/>
              <w:right w:val="single" w:sz="6" w:space="0" w:color="000000"/>
            </w:tcBorders>
            <w:vAlign w:val="center"/>
          </w:tcPr>
          <w:p w14:paraId="01F93744" w14:textId="77777777" w:rsidR="007D706A" w:rsidRDefault="007D706A" w:rsidP="00F70508">
            <w:pPr>
              <w:pStyle w:val="ParagraphStyle12"/>
              <w:rPr>
                <w:rStyle w:val="CharacterStyle12"/>
              </w:rPr>
            </w:pPr>
            <w:r>
              <w:rPr>
                <w:rStyle w:val="CharacterStyle12"/>
              </w:rPr>
              <w:t>14.000,00</w:t>
            </w:r>
          </w:p>
        </w:tc>
        <w:tc>
          <w:tcPr>
            <w:tcW w:w="1395" w:type="dxa"/>
            <w:tcBorders>
              <w:bottom w:val="single" w:sz="6" w:space="0" w:color="000000"/>
              <w:right w:val="single" w:sz="6" w:space="0" w:color="000000"/>
            </w:tcBorders>
            <w:vAlign w:val="center"/>
          </w:tcPr>
          <w:p w14:paraId="50C9D7FC" w14:textId="77777777" w:rsidR="007D706A" w:rsidRDefault="007D706A" w:rsidP="00F70508">
            <w:pPr>
              <w:pStyle w:val="ParagraphStyle12"/>
              <w:rPr>
                <w:rStyle w:val="CharacterStyle12"/>
              </w:rPr>
            </w:pPr>
            <w:r>
              <w:rPr>
                <w:rStyle w:val="CharacterStyle12"/>
              </w:rPr>
              <w:t>14.000,00</w:t>
            </w:r>
          </w:p>
        </w:tc>
      </w:tr>
      <w:tr w:rsidR="007D706A" w14:paraId="3A973DF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D041F7D" w14:textId="77777777" w:rsidR="007D706A" w:rsidRDefault="007D706A" w:rsidP="00F70508">
            <w:pPr>
              <w:pStyle w:val="ParagraphStyle4"/>
              <w:rPr>
                <w:rStyle w:val="CharacterStyle4"/>
              </w:rPr>
            </w:pPr>
            <w:r>
              <w:rPr>
                <w:rStyle w:val="CharacterStyle4"/>
              </w:rPr>
              <w:t>Tekući projekt T102701</w:t>
            </w:r>
          </w:p>
        </w:tc>
        <w:tc>
          <w:tcPr>
            <w:tcW w:w="4995" w:type="dxa"/>
            <w:tcBorders>
              <w:bottom w:val="single" w:sz="6" w:space="0" w:color="000000"/>
              <w:right w:val="single" w:sz="6" w:space="0" w:color="000000"/>
            </w:tcBorders>
            <w:vAlign w:val="center"/>
          </w:tcPr>
          <w:p w14:paraId="0238EC56" w14:textId="77777777" w:rsidR="007D706A" w:rsidRDefault="007D706A" w:rsidP="00F70508">
            <w:pPr>
              <w:pStyle w:val="ParagraphStyle5"/>
              <w:rPr>
                <w:rStyle w:val="CharacterStyle5"/>
              </w:rPr>
            </w:pPr>
            <w:r>
              <w:rPr>
                <w:rStyle w:val="CharacterStyle5"/>
              </w:rPr>
              <w:t>POVIJESNA TOPONOMASTICA ROVINJ-ROVIGNO</w:t>
            </w:r>
          </w:p>
        </w:tc>
        <w:tc>
          <w:tcPr>
            <w:tcW w:w="1395" w:type="dxa"/>
            <w:tcBorders>
              <w:bottom w:val="single" w:sz="6" w:space="0" w:color="000000"/>
              <w:right w:val="single" w:sz="6" w:space="0" w:color="000000"/>
            </w:tcBorders>
            <w:vAlign w:val="center"/>
          </w:tcPr>
          <w:p w14:paraId="5CCF3E43"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159471D4"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7ADF8231" w14:textId="77777777" w:rsidR="007D706A" w:rsidRDefault="007D706A" w:rsidP="00F70508">
            <w:pPr>
              <w:pStyle w:val="ParagraphStyle6"/>
              <w:rPr>
                <w:rStyle w:val="CharacterStyle6"/>
              </w:rPr>
            </w:pPr>
            <w:r>
              <w:rPr>
                <w:rStyle w:val="CharacterStyle6"/>
              </w:rPr>
              <w:t>48.000,00</w:t>
            </w:r>
          </w:p>
        </w:tc>
        <w:tc>
          <w:tcPr>
            <w:tcW w:w="1395" w:type="dxa"/>
            <w:tcBorders>
              <w:bottom w:val="single" w:sz="6" w:space="0" w:color="000000"/>
              <w:right w:val="single" w:sz="6" w:space="0" w:color="000000"/>
            </w:tcBorders>
            <w:vAlign w:val="center"/>
          </w:tcPr>
          <w:p w14:paraId="6B928A22"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6FCA2FC3" w14:textId="77777777" w:rsidR="007D706A" w:rsidRDefault="007D706A" w:rsidP="00F70508">
            <w:pPr>
              <w:pStyle w:val="ParagraphStyle6"/>
              <w:rPr>
                <w:rStyle w:val="CharacterStyle6"/>
              </w:rPr>
            </w:pPr>
            <w:r>
              <w:rPr>
                <w:rStyle w:val="CharacterStyle6"/>
              </w:rPr>
              <w:t>0,00</w:t>
            </w:r>
          </w:p>
        </w:tc>
      </w:tr>
      <w:tr w:rsidR="007D706A" w14:paraId="13A0B97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730AC0E"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01457CF1"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61D6D395"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97FF784"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D472F9D" w14:textId="77777777" w:rsidR="007D706A" w:rsidRDefault="007D706A" w:rsidP="00F70508">
            <w:pPr>
              <w:pStyle w:val="ParagraphStyle9"/>
              <w:rPr>
                <w:rStyle w:val="CharacterStyle9"/>
              </w:rPr>
            </w:pPr>
            <w:r>
              <w:rPr>
                <w:rStyle w:val="CharacterStyle9"/>
              </w:rPr>
              <w:t>48.000,00</w:t>
            </w:r>
          </w:p>
        </w:tc>
        <w:tc>
          <w:tcPr>
            <w:tcW w:w="1395" w:type="dxa"/>
            <w:tcBorders>
              <w:bottom w:val="single" w:sz="6" w:space="0" w:color="000000"/>
              <w:right w:val="single" w:sz="6" w:space="0" w:color="000000"/>
            </w:tcBorders>
            <w:vAlign w:val="center"/>
          </w:tcPr>
          <w:p w14:paraId="7EFA5766"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4F7DB30" w14:textId="77777777" w:rsidR="007D706A" w:rsidRDefault="007D706A" w:rsidP="00F70508">
            <w:pPr>
              <w:pStyle w:val="ParagraphStyle9"/>
              <w:rPr>
                <w:rStyle w:val="CharacterStyle9"/>
              </w:rPr>
            </w:pPr>
            <w:r>
              <w:rPr>
                <w:rStyle w:val="CharacterStyle9"/>
              </w:rPr>
              <w:t>0,00</w:t>
            </w:r>
          </w:p>
        </w:tc>
      </w:tr>
      <w:tr w:rsidR="007D706A" w14:paraId="551E360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7F731AB"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01392C24"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095F0B5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E42CD2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3C5B152" w14:textId="77777777" w:rsidR="007D706A" w:rsidRDefault="007D706A" w:rsidP="00F70508">
            <w:pPr>
              <w:pStyle w:val="ParagraphStyle12"/>
              <w:rPr>
                <w:rStyle w:val="CharacterStyle12"/>
              </w:rPr>
            </w:pPr>
            <w:r>
              <w:rPr>
                <w:rStyle w:val="CharacterStyle12"/>
              </w:rPr>
              <w:t>7.900,00</w:t>
            </w:r>
          </w:p>
        </w:tc>
        <w:tc>
          <w:tcPr>
            <w:tcW w:w="1395" w:type="dxa"/>
            <w:tcBorders>
              <w:bottom w:val="single" w:sz="6" w:space="0" w:color="000000"/>
              <w:right w:val="single" w:sz="6" w:space="0" w:color="000000"/>
            </w:tcBorders>
            <w:vAlign w:val="center"/>
          </w:tcPr>
          <w:p w14:paraId="5230459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0EA3C76" w14:textId="77777777" w:rsidR="007D706A" w:rsidRDefault="007D706A" w:rsidP="00F70508">
            <w:pPr>
              <w:pStyle w:val="ParagraphStyle12"/>
              <w:rPr>
                <w:rStyle w:val="CharacterStyle12"/>
              </w:rPr>
            </w:pPr>
            <w:r>
              <w:rPr>
                <w:rStyle w:val="CharacterStyle12"/>
              </w:rPr>
              <w:t>0,00</w:t>
            </w:r>
          </w:p>
        </w:tc>
      </w:tr>
      <w:tr w:rsidR="007D706A" w14:paraId="71FAE56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30CCA53"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1CBA82B5"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3A35283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4544A8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0BCE022" w14:textId="77777777" w:rsidR="007D706A" w:rsidRDefault="007D706A" w:rsidP="00F70508">
            <w:pPr>
              <w:pStyle w:val="ParagraphStyle12"/>
              <w:rPr>
                <w:rStyle w:val="CharacterStyle12"/>
              </w:rPr>
            </w:pPr>
            <w:r>
              <w:rPr>
                <w:rStyle w:val="CharacterStyle12"/>
              </w:rPr>
              <w:t>7.900,00</w:t>
            </w:r>
          </w:p>
        </w:tc>
        <w:tc>
          <w:tcPr>
            <w:tcW w:w="1395" w:type="dxa"/>
            <w:tcBorders>
              <w:bottom w:val="single" w:sz="6" w:space="0" w:color="000000"/>
              <w:right w:val="single" w:sz="6" w:space="0" w:color="000000"/>
            </w:tcBorders>
            <w:vAlign w:val="center"/>
          </w:tcPr>
          <w:p w14:paraId="78EF5B2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189E3F5" w14:textId="77777777" w:rsidR="007D706A" w:rsidRDefault="007D706A" w:rsidP="00F70508">
            <w:pPr>
              <w:pStyle w:val="ParagraphStyle12"/>
              <w:rPr>
                <w:rStyle w:val="CharacterStyle12"/>
              </w:rPr>
            </w:pPr>
            <w:r>
              <w:rPr>
                <w:rStyle w:val="CharacterStyle12"/>
              </w:rPr>
              <w:t>0,00</w:t>
            </w:r>
          </w:p>
        </w:tc>
      </w:tr>
      <w:tr w:rsidR="007D706A" w14:paraId="7CDD889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13E76A1"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1459E7EA"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5822C54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8F7741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82D3F6A" w14:textId="77777777" w:rsidR="007D706A" w:rsidRDefault="007D706A" w:rsidP="00F70508">
            <w:pPr>
              <w:pStyle w:val="ParagraphStyle12"/>
              <w:rPr>
                <w:rStyle w:val="CharacterStyle12"/>
              </w:rPr>
            </w:pPr>
            <w:r>
              <w:rPr>
                <w:rStyle w:val="CharacterStyle12"/>
              </w:rPr>
              <w:t>40.100,00</w:t>
            </w:r>
          </w:p>
        </w:tc>
        <w:tc>
          <w:tcPr>
            <w:tcW w:w="1395" w:type="dxa"/>
            <w:tcBorders>
              <w:bottom w:val="single" w:sz="6" w:space="0" w:color="000000"/>
              <w:right w:val="single" w:sz="6" w:space="0" w:color="000000"/>
            </w:tcBorders>
            <w:vAlign w:val="center"/>
          </w:tcPr>
          <w:p w14:paraId="5AE6B40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F95474F" w14:textId="77777777" w:rsidR="007D706A" w:rsidRDefault="007D706A" w:rsidP="00F70508">
            <w:pPr>
              <w:pStyle w:val="ParagraphStyle12"/>
              <w:rPr>
                <w:rStyle w:val="CharacterStyle12"/>
              </w:rPr>
            </w:pPr>
            <w:r>
              <w:rPr>
                <w:rStyle w:val="CharacterStyle12"/>
              </w:rPr>
              <w:t>0,00</w:t>
            </w:r>
          </w:p>
        </w:tc>
      </w:tr>
      <w:tr w:rsidR="007D706A" w14:paraId="0DB0170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9CD584D" w14:textId="77777777" w:rsidR="007D706A" w:rsidRDefault="007D706A" w:rsidP="00F70508">
            <w:pPr>
              <w:pStyle w:val="ParagraphStyle10"/>
              <w:rPr>
                <w:rStyle w:val="CharacterStyle10"/>
              </w:rPr>
            </w:pPr>
            <w:r>
              <w:rPr>
                <w:rStyle w:val="CharacterStyle10"/>
              </w:rPr>
              <w:t>42</w:t>
            </w:r>
          </w:p>
        </w:tc>
        <w:tc>
          <w:tcPr>
            <w:tcW w:w="4995" w:type="dxa"/>
            <w:tcBorders>
              <w:bottom w:val="single" w:sz="6" w:space="0" w:color="000000"/>
              <w:right w:val="single" w:sz="6" w:space="0" w:color="000000"/>
            </w:tcBorders>
            <w:vAlign w:val="center"/>
          </w:tcPr>
          <w:p w14:paraId="35C16734"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57A0F89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56D129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46E257B" w14:textId="77777777" w:rsidR="007D706A" w:rsidRDefault="007D706A" w:rsidP="00F70508">
            <w:pPr>
              <w:pStyle w:val="ParagraphStyle12"/>
              <w:rPr>
                <w:rStyle w:val="CharacterStyle12"/>
              </w:rPr>
            </w:pPr>
            <w:r>
              <w:rPr>
                <w:rStyle w:val="CharacterStyle12"/>
              </w:rPr>
              <w:t>40.100,00</w:t>
            </w:r>
          </w:p>
        </w:tc>
        <w:tc>
          <w:tcPr>
            <w:tcW w:w="1395" w:type="dxa"/>
            <w:tcBorders>
              <w:bottom w:val="single" w:sz="6" w:space="0" w:color="000000"/>
              <w:right w:val="single" w:sz="6" w:space="0" w:color="000000"/>
            </w:tcBorders>
            <w:vAlign w:val="center"/>
          </w:tcPr>
          <w:p w14:paraId="20A0D39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4E26E58" w14:textId="77777777" w:rsidR="007D706A" w:rsidRDefault="007D706A" w:rsidP="00F70508">
            <w:pPr>
              <w:pStyle w:val="ParagraphStyle12"/>
              <w:rPr>
                <w:rStyle w:val="CharacterStyle12"/>
              </w:rPr>
            </w:pPr>
            <w:r>
              <w:rPr>
                <w:rStyle w:val="CharacterStyle12"/>
              </w:rPr>
              <w:t>0,00</w:t>
            </w:r>
          </w:p>
        </w:tc>
      </w:tr>
      <w:tr w:rsidR="007D706A" w14:paraId="73D5157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77091C8" w14:textId="77777777" w:rsidR="007D706A" w:rsidRDefault="007D706A" w:rsidP="00F70508">
            <w:pPr>
              <w:pStyle w:val="ParagraphStyle4"/>
              <w:rPr>
                <w:rStyle w:val="CharacterStyle4"/>
              </w:rPr>
            </w:pPr>
            <w:r>
              <w:rPr>
                <w:rStyle w:val="CharacterStyle4"/>
              </w:rPr>
              <w:t>Aktivnost A102704</w:t>
            </w:r>
          </w:p>
        </w:tc>
        <w:tc>
          <w:tcPr>
            <w:tcW w:w="4995" w:type="dxa"/>
            <w:tcBorders>
              <w:bottom w:val="single" w:sz="6" w:space="0" w:color="000000"/>
              <w:right w:val="single" w:sz="6" w:space="0" w:color="000000"/>
            </w:tcBorders>
            <w:vAlign w:val="center"/>
          </w:tcPr>
          <w:p w14:paraId="74957381" w14:textId="77777777" w:rsidR="007D706A" w:rsidRDefault="007D706A" w:rsidP="00F70508">
            <w:pPr>
              <w:pStyle w:val="ParagraphStyle5"/>
              <w:rPr>
                <w:rStyle w:val="CharacterStyle5"/>
              </w:rPr>
            </w:pPr>
            <w:r>
              <w:rPr>
                <w:rStyle w:val="CharacterStyle5"/>
              </w:rPr>
              <w:t>IZDAVAŠTVO</w:t>
            </w:r>
          </w:p>
        </w:tc>
        <w:tc>
          <w:tcPr>
            <w:tcW w:w="1395" w:type="dxa"/>
            <w:tcBorders>
              <w:bottom w:val="single" w:sz="6" w:space="0" w:color="000000"/>
              <w:right w:val="single" w:sz="6" w:space="0" w:color="000000"/>
            </w:tcBorders>
            <w:vAlign w:val="center"/>
          </w:tcPr>
          <w:p w14:paraId="247D1181"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6D153C3B" w14:textId="77777777" w:rsidR="007D706A" w:rsidRDefault="007D706A" w:rsidP="00F70508">
            <w:pPr>
              <w:pStyle w:val="ParagraphStyle6"/>
              <w:rPr>
                <w:rStyle w:val="CharacterStyle6"/>
              </w:rPr>
            </w:pPr>
            <w:r>
              <w:rPr>
                <w:rStyle w:val="CharacterStyle6"/>
              </w:rPr>
              <w:t>16.000,00</w:t>
            </w:r>
          </w:p>
        </w:tc>
        <w:tc>
          <w:tcPr>
            <w:tcW w:w="1395" w:type="dxa"/>
            <w:tcBorders>
              <w:bottom w:val="single" w:sz="6" w:space="0" w:color="000000"/>
              <w:right w:val="single" w:sz="6" w:space="0" w:color="000000"/>
            </w:tcBorders>
            <w:vAlign w:val="center"/>
          </w:tcPr>
          <w:p w14:paraId="62B49061" w14:textId="77777777" w:rsidR="007D706A" w:rsidRDefault="007D706A" w:rsidP="00F70508">
            <w:pPr>
              <w:pStyle w:val="ParagraphStyle6"/>
              <w:rPr>
                <w:rStyle w:val="CharacterStyle6"/>
              </w:rPr>
            </w:pPr>
            <w:r>
              <w:rPr>
                <w:rStyle w:val="CharacterStyle6"/>
              </w:rPr>
              <w:t>11.500,00</w:t>
            </w:r>
          </w:p>
        </w:tc>
        <w:tc>
          <w:tcPr>
            <w:tcW w:w="1395" w:type="dxa"/>
            <w:tcBorders>
              <w:bottom w:val="single" w:sz="6" w:space="0" w:color="000000"/>
              <w:right w:val="single" w:sz="6" w:space="0" w:color="000000"/>
            </w:tcBorders>
            <w:vAlign w:val="center"/>
          </w:tcPr>
          <w:p w14:paraId="4413B746" w14:textId="77777777" w:rsidR="007D706A" w:rsidRDefault="007D706A" w:rsidP="00F70508">
            <w:pPr>
              <w:pStyle w:val="ParagraphStyle6"/>
              <w:rPr>
                <w:rStyle w:val="CharacterStyle6"/>
              </w:rPr>
            </w:pPr>
            <w:r>
              <w:rPr>
                <w:rStyle w:val="CharacterStyle6"/>
              </w:rPr>
              <w:t>11.500,00</w:t>
            </w:r>
          </w:p>
        </w:tc>
        <w:tc>
          <w:tcPr>
            <w:tcW w:w="1395" w:type="dxa"/>
            <w:tcBorders>
              <w:bottom w:val="single" w:sz="6" w:space="0" w:color="000000"/>
              <w:right w:val="single" w:sz="6" w:space="0" w:color="000000"/>
            </w:tcBorders>
            <w:vAlign w:val="center"/>
          </w:tcPr>
          <w:p w14:paraId="436AD0B2" w14:textId="77777777" w:rsidR="007D706A" w:rsidRDefault="007D706A" w:rsidP="00F70508">
            <w:pPr>
              <w:pStyle w:val="ParagraphStyle6"/>
              <w:rPr>
                <w:rStyle w:val="CharacterStyle6"/>
              </w:rPr>
            </w:pPr>
            <w:r>
              <w:rPr>
                <w:rStyle w:val="CharacterStyle6"/>
              </w:rPr>
              <w:t>11.500,00</w:t>
            </w:r>
          </w:p>
        </w:tc>
      </w:tr>
      <w:tr w:rsidR="007D706A" w14:paraId="321B8296"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0A4E658"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6125AAB0"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7D121147"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92DCDD9" w14:textId="77777777" w:rsidR="007D706A" w:rsidRDefault="007D706A" w:rsidP="00F70508">
            <w:pPr>
              <w:pStyle w:val="ParagraphStyle9"/>
              <w:rPr>
                <w:rStyle w:val="CharacterStyle9"/>
              </w:rPr>
            </w:pPr>
            <w:r>
              <w:rPr>
                <w:rStyle w:val="CharacterStyle9"/>
              </w:rPr>
              <w:t>16.000,00</w:t>
            </w:r>
          </w:p>
        </w:tc>
        <w:tc>
          <w:tcPr>
            <w:tcW w:w="1395" w:type="dxa"/>
            <w:tcBorders>
              <w:bottom w:val="single" w:sz="6" w:space="0" w:color="000000"/>
              <w:right w:val="single" w:sz="6" w:space="0" w:color="000000"/>
            </w:tcBorders>
            <w:vAlign w:val="center"/>
          </w:tcPr>
          <w:p w14:paraId="2D3EDDD1" w14:textId="77777777" w:rsidR="007D706A" w:rsidRDefault="007D706A" w:rsidP="00F70508">
            <w:pPr>
              <w:pStyle w:val="ParagraphStyle9"/>
              <w:rPr>
                <w:rStyle w:val="CharacterStyle9"/>
              </w:rPr>
            </w:pPr>
            <w:r>
              <w:rPr>
                <w:rStyle w:val="CharacterStyle9"/>
              </w:rPr>
              <w:t>11.500,00</w:t>
            </w:r>
          </w:p>
        </w:tc>
        <w:tc>
          <w:tcPr>
            <w:tcW w:w="1395" w:type="dxa"/>
            <w:tcBorders>
              <w:bottom w:val="single" w:sz="6" w:space="0" w:color="000000"/>
              <w:right w:val="single" w:sz="6" w:space="0" w:color="000000"/>
            </w:tcBorders>
            <w:vAlign w:val="center"/>
          </w:tcPr>
          <w:p w14:paraId="5FD0688D" w14:textId="77777777" w:rsidR="007D706A" w:rsidRDefault="007D706A" w:rsidP="00F70508">
            <w:pPr>
              <w:pStyle w:val="ParagraphStyle9"/>
              <w:rPr>
                <w:rStyle w:val="CharacterStyle9"/>
              </w:rPr>
            </w:pPr>
            <w:r>
              <w:rPr>
                <w:rStyle w:val="CharacterStyle9"/>
              </w:rPr>
              <w:t>11.500,00</w:t>
            </w:r>
          </w:p>
        </w:tc>
        <w:tc>
          <w:tcPr>
            <w:tcW w:w="1395" w:type="dxa"/>
            <w:tcBorders>
              <w:bottom w:val="single" w:sz="6" w:space="0" w:color="000000"/>
              <w:right w:val="single" w:sz="6" w:space="0" w:color="000000"/>
            </w:tcBorders>
            <w:vAlign w:val="center"/>
          </w:tcPr>
          <w:p w14:paraId="5947C9F4" w14:textId="77777777" w:rsidR="007D706A" w:rsidRDefault="007D706A" w:rsidP="00F70508">
            <w:pPr>
              <w:pStyle w:val="ParagraphStyle9"/>
              <w:rPr>
                <w:rStyle w:val="CharacterStyle9"/>
              </w:rPr>
            </w:pPr>
            <w:r>
              <w:rPr>
                <w:rStyle w:val="CharacterStyle9"/>
              </w:rPr>
              <w:t>11.500,00</w:t>
            </w:r>
          </w:p>
        </w:tc>
      </w:tr>
      <w:tr w:rsidR="007D706A" w14:paraId="02A78F3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46D9260"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5A955D91"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2F3364B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1AB5635" w14:textId="77777777" w:rsidR="007D706A" w:rsidRDefault="007D706A" w:rsidP="00F70508">
            <w:pPr>
              <w:pStyle w:val="ParagraphStyle12"/>
              <w:rPr>
                <w:rStyle w:val="CharacterStyle12"/>
              </w:rPr>
            </w:pPr>
            <w:r>
              <w:rPr>
                <w:rStyle w:val="CharacterStyle12"/>
              </w:rPr>
              <w:t>16.000,00</w:t>
            </w:r>
          </w:p>
        </w:tc>
        <w:tc>
          <w:tcPr>
            <w:tcW w:w="1395" w:type="dxa"/>
            <w:tcBorders>
              <w:bottom w:val="single" w:sz="6" w:space="0" w:color="000000"/>
              <w:right w:val="single" w:sz="6" w:space="0" w:color="000000"/>
            </w:tcBorders>
            <w:vAlign w:val="center"/>
          </w:tcPr>
          <w:p w14:paraId="05172306" w14:textId="77777777" w:rsidR="007D706A" w:rsidRDefault="007D706A" w:rsidP="00F70508">
            <w:pPr>
              <w:pStyle w:val="ParagraphStyle12"/>
              <w:rPr>
                <w:rStyle w:val="CharacterStyle12"/>
              </w:rPr>
            </w:pPr>
            <w:r>
              <w:rPr>
                <w:rStyle w:val="CharacterStyle12"/>
              </w:rPr>
              <w:t>11.500,00</w:t>
            </w:r>
          </w:p>
        </w:tc>
        <w:tc>
          <w:tcPr>
            <w:tcW w:w="1395" w:type="dxa"/>
            <w:tcBorders>
              <w:bottom w:val="single" w:sz="6" w:space="0" w:color="000000"/>
              <w:right w:val="single" w:sz="6" w:space="0" w:color="000000"/>
            </w:tcBorders>
            <w:vAlign w:val="center"/>
          </w:tcPr>
          <w:p w14:paraId="63A742A4" w14:textId="77777777" w:rsidR="007D706A" w:rsidRDefault="007D706A" w:rsidP="00F70508">
            <w:pPr>
              <w:pStyle w:val="ParagraphStyle12"/>
              <w:rPr>
                <w:rStyle w:val="CharacterStyle12"/>
              </w:rPr>
            </w:pPr>
            <w:r>
              <w:rPr>
                <w:rStyle w:val="CharacterStyle12"/>
              </w:rPr>
              <w:t>11.500,00</w:t>
            </w:r>
          </w:p>
        </w:tc>
        <w:tc>
          <w:tcPr>
            <w:tcW w:w="1395" w:type="dxa"/>
            <w:tcBorders>
              <w:bottom w:val="single" w:sz="6" w:space="0" w:color="000000"/>
              <w:right w:val="single" w:sz="6" w:space="0" w:color="000000"/>
            </w:tcBorders>
            <w:vAlign w:val="center"/>
          </w:tcPr>
          <w:p w14:paraId="22B486E4" w14:textId="77777777" w:rsidR="007D706A" w:rsidRDefault="007D706A" w:rsidP="00F70508">
            <w:pPr>
              <w:pStyle w:val="ParagraphStyle12"/>
              <w:rPr>
                <w:rStyle w:val="CharacterStyle12"/>
              </w:rPr>
            </w:pPr>
            <w:r>
              <w:rPr>
                <w:rStyle w:val="CharacterStyle12"/>
              </w:rPr>
              <w:t>11.500,00</w:t>
            </w:r>
          </w:p>
        </w:tc>
      </w:tr>
      <w:tr w:rsidR="007D706A" w14:paraId="021952C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12E78F6"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1EE36DDB"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15FA381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B4763F0" w14:textId="77777777" w:rsidR="007D706A" w:rsidRDefault="007D706A" w:rsidP="00F70508">
            <w:pPr>
              <w:pStyle w:val="ParagraphStyle12"/>
              <w:rPr>
                <w:rStyle w:val="CharacterStyle12"/>
              </w:rPr>
            </w:pPr>
            <w:r>
              <w:rPr>
                <w:rStyle w:val="CharacterStyle12"/>
              </w:rPr>
              <w:t>6.000,00</w:t>
            </w:r>
          </w:p>
        </w:tc>
        <w:tc>
          <w:tcPr>
            <w:tcW w:w="1395" w:type="dxa"/>
            <w:tcBorders>
              <w:bottom w:val="single" w:sz="6" w:space="0" w:color="000000"/>
              <w:right w:val="single" w:sz="6" w:space="0" w:color="000000"/>
            </w:tcBorders>
            <w:vAlign w:val="center"/>
          </w:tcPr>
          <w:p w14:paraId="3CD1B8E4" w14:textId="77777777" w:rsidR="007D706A" w:rsidRDefault="007D706A" w:rsidP="00F70508">
            <w:pPr>
              <w:pStyle w:val="ParagraphStyle12"/>
              <w:rPr>
                <w:rStyle w:val="CharacterStyle12"/>
              </w:rPr>
            </w:pPr>
            <w:r>
              <w:rPr>
                <w:rStyle w:val="CharacterStyle12"/>
              </w:rPr>
              <w:t>4.500,00</w:t>
            </w:r>
          </w:p>
        </w:tc>
        <w:tc>
          <w:tcPr>
            <w:tcW w:w="1395" w:type="dxa"/>
            <w:tcBorders>
              <w:bottom w:val="single" w:sz="6" w:space="0" w:color="000000"/>
              <w:right w:val="single" w:sz="6" w:space="0" w:color="000000"/>
            </w:tcBorders>
            <w:vAlign w:val="center"/>
          </w:tcPr>
          <w:p w14:paraId="54AEE056" w14:textId="77777777" w:rsidR="007D706A" w:rsidRDefault="007D706A" w:rsidP="00F70508">
            <w:pPr>
              <w:pStyle w:val="ParagraphStyle12"/>
              <w:rPr>
                <w:rStyle w:val="CharacterStyle12"/>
              </w:rPr>
            </w:pPr>
            <w:r>
              <w:rPr>
                <w:rStyle w:val="CharacterStyle12"/>
              </w:rPr>
              <w:t>4.500,00</w:t>
            </w:r>
          </w:p>
        </w:tc>
        <w:tc>
          <w:tcPr>
            <w:tcW w:w="1395" w:type="dxa"/>
            <w:tcBorders>
              <w:bottom w:val="single" w:sz="6" w:space="0" w:color="000000"/>
              <w:right w:val="single" w:sz="6" w:space="0" w:color="000000"/>
            </w:tcBorders>
            <w:vAlign w:val="center"/>
          </w:tcPr>
          <w:p w14:paraId="53E13774" w14:textId="77777777" w:rsidR="007D706A" w:rsidRDefault="007D706A" w:rsidP="00F70508">
            <w:pPr>
              <w:pStyle w:val="ParagraphStyle12"/>
              <w:rPr>
                <w:rStyle w:val="CharacterStyle12"/>
              </w:rPr>
            </w:pPr>
            <w:r>
              <w:rPr>
                <w:rStyle w:val="CharacterStyle12"/>
              </w:rPr>
              <w:t>4.500,00</w:t>
            </w:r>
          </w:p>
        </w:tc>
      </w:tr>
      <w:tr w:rsidR="007D706A" w14:paraId="1B631DA6"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0897CE1" w14:textId="77777777" w:rsidR="007D706A" w:rsidRDefault="007D706A" w:rsidP="00F70508">
            <w:pPr>
              <w:pStyle w:val="ParagraphStyle10"/>
              <w:rPr>
                <w:rStyle w:val="CharacterStyle10"/>
              </w:rPr>
            </w:pPr>
            <w:r>
              <w:rPr>
                <w:rStyle w:val="CharacterStyle10"/>
              </w:rPr>
              <w:t>38</w:t>
            </w:r>
          </w:p>
        </w:tc>
        <w:tc>
          <w:tcPr>
            <w:tcW w:w="4995" w:type="dxa"/>
            <w:tcBorders>
              <w:bottom w:val="single" w:sz="6" w:space="0" w:color="000000"/>
              <w:right w:val="single" w:sz="6" w:space="0" w:color="000000"/>
            </w:tcBorders>
            <w:vAlign w:val="center"/>
          </w:tcPr>
          <w:p w14:paraId="55887C63" w14:textId="77777777" w:rsidR="007D706A" w:rsidRDefault="007D706A" w:rsidP="00F70508">
            <w:pPr>
              <w:pStyle w:val="ParagraphStyle11"/>
              <w:rPr>
                <w:rStyle w:val="CharacterStyle11"/>
              </w:rPr>
            </w:pPr>
            <w:r>
              <w:rPr>
                <w:rStyle w:val="CharacterStyle11"/>
              </w:rPr>
              <w:t>Rashodi za donacije, kazne, naknade šteta i kapitalne pomoći</w:t>
            </w:r>
          </w:p>
        </w:tc>
        <w:tc>
          <w:tcPr>
            <w:tcW w:w="1395" w:type="dxa"/>
            <w:tcBorders>
              <w:bottom w:val="single" w:sz="6" w:space="0" w:color="000000"/>
              <w:right w:val="single" w:sz="6" w:space="0" w:color="000000"/>
            </w:tcBorders>
            <w:vAlign w:val="center"/>
          </w:tcPr>
          <w:p w14:paraId="7018B8B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F73C4CE" w14:textId="77777777" w:rsidR="007D706A" w:rsidRDefault="007D706A" w:rsidP="00F70508">
            <w:pPr>
              <w:pStyle w:val="ParagraphStyle12"/>
              <w:rPr>
                <w:rStyle w:val="CharacterStyle12"/>
              </w:rPr>
            </w:pPr>
            <w:r>
              <w:rPr>
                <w:rStyle w:val="CharacterStyle12"/>
              </w:rPr>
              <w:t>10.000,00</w:t>
            </w:r>
          </w:p>
        </w:tc>
        <w:tc>
          <w:tcPr>
            <w:tcW w:w="1395" w:type="dxa"/>
            <w:tcBorders>
              <w:bottom w:val="single" w:sz="6" w:space="0" w:color="000000"/>
              <w:right w:val="single" w:sz="6" w:space="0" w:color="000000"/>
            </w:tcBorders>
            <w:vAlign w:val="center"/>
          </w:tcPr>
          <w:p w14:paraId="1752222D" w14:textId="77777777" w:rsidR="007D706A" w:rsidRDefault="007D706A" w:rsidP="00F70508">
            <w:pPr>
              <w:pStyle w:val="ParagraphStyle12"/>
              <w:rPr>
                <w:rStyle w:val="CharacterStyle12"/>
              </w:rPr>
            </w:pPr>
            <w:r>
              <w:rPr>
                <w:rStyle w:val="CharacterStyle12"/>
              </w:rPr>
              <w:t>7.000,00</w:t>
            </w:r>
          </w:p>
        </w:tc>
        <w:tc>
          <w:tcPr>
            <w:tcW w:w="1395" w:type="dxa"/>
            <w:tcBorders>
              <w:bottom w:val="single" w:sz="6" w:space="0" w:color="000000"/>
              <w:right w:val="single" w:sz="6" w:space="0" w:color="000000"/>
            </w:tcBorders>
            <w:vAlign w:val="center"/>
          </w:tcPr>
          <w:p w14:paraId="44F5DE41" w14:textId="77777777" w:rsidR="007D706A" w:rsidRDefault="007D706A" w:rsidP="00F70508">
            <w:pPr>
              <w:pStyle w:val="ParagraphStyle12"/>
              <w:rPr>
                <w:rStyle w:val="CharacterStyle12"/>
              </w:rPr>
            </w:pPr>
            <w:r>
              <w:rPr>
                <w:rStyle w:val="CharacterStyle12"/>
              </w:rPr>
              <w:t>7.000,00</w:t>
            </w:r>
          </w:p>
        </w:tc>
        <w:tc>
          <w:tcPr>
            <w:tcW w:w="1395" w:type="dxa"/>
            <w:tcBorders>
              <w:bottom w:val="single" w:sz="6" w:space="0" w:color="000000"/>
              <w:right w:val="single" w:sz="6" w:space="0" w:color="000000"/>
            </w:tcBorders>
            <w:vAlign w:val="center"/>
          </w:tcPr>
          <w:p w14:paraId="275C4F83" w14:textId="77777777" w:rsidR="007D706A" w:rsidRDefault="007D706A" w:rsidP="00F70508">
            <w:pPr>
              <w:pStyle w:val="ParagraphStyle12"/>
              <w:rPr>
                <w:rStyle w:val="CharacterStyle12"/>
              </w:rPr>
            </w:pPr>
            <w:r>
              <w:rPr>
                <w:rStyle w:val="CharacterStyle12"/>
              </w:rPr>
              <w:t>7.000,00</w:t>
            </w:r>
          </w:p>
        </w:tc>
      </w:tr>
      <w:tr w:rsidR="007D706A" w14:paraId="581988A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475209A" w14:textId="77777777" w:rsidR="007D706A" w:rsidRDefault="007D706A" w:rsidP="00F70508">
            <w:pPr>
              <w:pStyle w:val="ParagraphStyle4"/>
              <w:rPr>
                <w:rStyle w:val="CharacterStyle4"/>
              </w:rPr>
            </w:pPr>
            <w:r>
              <w:rPr>
                <w:rStyle w:val="CharacterStyle4"/>
              </w:rPr>
              <w:t>Aktivnost A102712</w:t>
            </w:r>
          </w:p>
        </w:tc>
        <w:tc>
          <w:tcPr>
            <w:tcW w:w="4995" w:type="dxa"/>
            <w:tcBorders>
              <w:bottom w:val="single" w:sz="6" w:space="0" w:color="000000"/>
              <w:right w:val="single" w:sz="6" w:space="0" w:color="000000"/>
            </w:tcBorders>
            <w:vAlign w:val="center"/>
          </w:tcPr>
          <w:p w14:paraId="5C708FBB" w14:textId="77777777" w:rsidR="007D706A" w:rsidRDefault="007D706A" w:rsidP="00F70508">
            <w:pPr>
              <w:pStyle w:val="ParagraphStyle5"/>
              <w:rPr>
                <w:rStyle w:val="CharacterStyle5"/>
              </w:rPr>
            </w:pPr>
            <w:r>
              <w:rPr>
                <w:rStyle w:val="CharacterStyle5"/>
              </w:rPr>
              <w:t>KULTURNO VIJEĆE</w:t>
            </w:r>
          </w:p>
        </w:tc>
        <w:tc>
          <w:tcPr>
            <w:tcW w:w="1395" w:type="dxa"/>
            <w:tcBorders>
              <w:bottom w:val="single" w:sz="6" w:space="0" w:color="000000"/>
              <w:right w:val="single" w:sz="6" w:space="0" w:color="000000"/>
            </w:tcBorders>
            <w:vAlign w:val="center"/>
          </w:tcPr>
          <w:p w14:paraId="6546E654"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6BFF05D8" w14:textId="77777777" w:rsidR="007D706A" w:rsidRDefault="007D706A" w:rsidP="00F70508">
            <w:pPr>
              <w:pStyle w:val="ParagraphStyle6"/>
              <w:rPr>
                <w:rStyle w:val="CharacterStyle6"/>
              </w:rPr>
            </w:pPr>
            <w:r>
              <w:rPr>
                <w:rStyle w:val="CharacterStyle6"/>
              </w:rPr>
              <w:t>3.000,00</w:t>
            </w:r>
          </w:p>
        </w:tc>
        <w:tc>
          <w:tcPr>
            <w:tcW w:w="1395" w:type="dxa"/>
            <w:tcBorders>
              <w:bottom w:val="single" w:sz="6" w:space="0" w:color="000000"/>
              <w:right w:val="single" w:sz="6" w:space="0" w:color="000000"/>
            </w:tcBorders>
            <w:vAlign w:val="center"/>
          </w:tcPr>
          <w:p w14:paraId="31902DCD" w14:textId="77777777" w:rsidR="007D706A" w:rsidRDefault="007D706A" w:rsidP="00F70508">
            <w:pPr>
              <w:pStyle w:val="ParagraphStyle6"/>
              <w:rPr>
                <w:rStyle w:val="CharacterStyle6"/>
              </w:rPr>
            </w:pPr>
            <w:r>
              <w:rPr>
                <w:rStyle w:val="CharacterStyle6"/>
              </w:rPr>
              <w:t>3.000,00</w:t>
            </w:r>
          </w:p>
        </w:tc>
        <w:tc>
          <w:tcPr>
            <w:tcW w:w="1395" w:type="dxa"/>
            <w:tcBorders>
              <w:bottom w:val="single" w:sz="6" w:space="0" w:color="000000"/>
              <w:right w:val="single" w:sz="6" w:space="0" w:color="000000"/>
            </w:tcBorders>
            <w:vAlign w:val="center"/>
          </w:tcPr>
          <w:p w14:paraId="0339CE8B" w14:textId="77777777" w:rsidR="007D706A" w:rsidRDefault="007D706A" w:rsidP="00F70508">
            <w:pPr>
              <w:pStyle w:val="ParagraphStyle6"/>
              <w:rPr>
                <w:rStyle w:val="CharacterStyle6"/>
              </w:rPr>
            </w:pPr>
            <w:r>
              <w:rPr>
                <w:rStyle w:val="CharacterStyle6"/>
              </w:rPr>
              <w:t>3.000,00</w:t>
            </w:r>
          </w:p>
        </w:tc>
        <w:tc>
          <w:tcPr>
            <w:tcW w:w="1395" w:type="dxa"/>
            <w:tcBorders>
              <w:bottom w:val="single" w:sz="6" w:space="0" w:color="000000"/>
              <w:right w:val="single" w:sz="6" w:space="0" w:color="000000"/>
            </w:tcBorders>
            <w:vAlign w:val="center"/>
          </w:tcPr>
          <w:p w14:paraId="5BB55F65" w14:textId="77777777" w:rsidR="007D706A" w:rsidRDefault="007D706A" w:rsidP="00F70508">
            <w:pPr>
              <w:pStyle w:val="ParagraphStyle6"/>
              <w:rPr>
                <w:rStyle w:val="CharacterStyle6"/>
              </w:rPr>
            </w:pPr>
            <w:r>
              <w:rPr>
                <w:rStyle w:val="CharacterStyle6"/>
              </w:rPr>
              <w:t>3.000,00</w:t>
            </w:r>
          </w:p>
        </w:tc>
      </w:tr>
      <w:tr w:rsidR="007D706A" w14:paraId="48089BA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69D1D4D"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347A059D"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48362E6D"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19FF5FE" w14:textId="77777777" w:rsidR="007D706A" w:rsidRDefault="007D706A" w:rsidP="00F70508">
            <w:pPr>
              <w:pStyle w:val="ParagraphStyle9"/>
              <w:rPr>
                <w:rStyle w:val="CharacterStyle9"/>
              </w:rPr>
            </w:pPr>
            <w:r>
              <w:rPr>
                <w:rStyle w:val="CharacterStyle9"/>
              </w:rPr>
              <w:t>3.000,00</w:t>
            </w:r>
          </w:p>
        </w:tc>
        <w:tc>
          <w:tcPr>
            <w:tcW w:w="1395" w:type="dxa"/>
            <w:tcBorders>
              <w:bottom w:val="single" w:sz="6" w:space="0" w:color="000000"/>
              <w:right w:val="single" w:sz="6" w:space="0" w:color="000000"/>
            </w:tcBorders>
            <w:vAlign w:val="center"/>
          </w:tcPr>
          <w:p w14:paraId="50AD0EC7" w14:textId="77777777" w:rsidR="007D706A" w:rsidRDefault="007D706A" w:rsidP="00F70508">
            <w:pPr>
              <w:pStyle w:val="ParagraphStyle9"/>
              <w:rPr>
                <w:rStyle w:val="CharacterStyle9"/>
              </w:rPr>
            </w:pPr>
            <w:r>
              <w:rPr>
                <w:rStyle w:val="CharacterStyle9"/>
              </w:rPr>
              <w:t>3.000,00</w:t>
            </w:r>
          </w:p>
        </w:tc>
        <w:tc>
          <w:tcPr>
            <w:tcW w:w="1395" w:type="dxa"/>
            <w:tcBorders>
              <w:bottom w:val="single" w:sz="6" w:space="0" w:color="000000"/>
              <w:right w:val="single" w:sz="6" w:space="0" w:color="000000"/>
            </w:tcBorders>
            <w:vAlign w:val="center"/>
          </w:tcPr>
          <w:p w14:paraId="1A1CCBA7" w14:textId="77777777" w:rsidR="007D706A" w:rsidRDefault="007D706A" w:rsidP="00F70508">
            <w:pPr>
              <w:pStyle w:val="ParagraphStyle9"/>
              <w:rPr>
                <w:rStyle w:val="CharacterStyle9"/>
              </w:rPr>
            </w:pPr>
            <w:r>
              <w:rPr>
                <w:rStyle w:val="CharacterStyle9"/>
              </w:rPr>
              <w:t>3.000,00</w:t>
            </w:r>
          </w:p>
        </w:tc>
        <w:tc>
          <w:tcPr>
            <w:tcW w:w="1395" w:type="dxa"/>
            <w:tcBorders>
              <w:bottom w:val="single" w:sz="6" w:space="0" w:color="000000"/>
              <w:right w:val="single" w:sz="6" w:space="0" w:color="000000"/>
            </w:tcBorders>
            <w:vAlign w:val="center"/>
          </w:tcPr>
          <w:p w14:paraId="5DBD7399" w14:textId="77777777" w:rsidR="007D706A" w:rsidRDefault="007D706A" w:rsidP="00F70508">
            <w:pPr>
              <w:pStyle w:val="ParagraphStyle9"/>
              <w:rPr>
                <w:rStyle w:val="CharacterStyle9"/>
              </w:rPr>
            </w:pPr>
            <w:r>
              <w:rPr>
                <w:rStyle w:val="CharacterStyle9"/>
              </w:rPr>
              <w:t>3.000,00</w:t>
            </w:r>
          </w:p>
        </w:tc>
      </w:tr>
      <w:tr w:rsidR="007D706A" w14:paraId="635E588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D496005"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52F55251"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2863D79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952F12F" w14:textId="77777777" w:rsidR="007D706A" w:rsidRDefault="007D706A" w:rsidP="00F70508">
            <w:pPr>
              <w:pStyle w:val="ParagraphStyle12"/>
              <w:rPr>
                <w:rStyle w:val="CharacterStyle12"/>
              </w:rPr>
            </w:pPr>
            <w:r>
              <w:rPr>
                <w:rStyle w:val="CharacterStyle12"/>
              </w:rPr>
              <w:t>3.000,00</w:t>
            </w:r>
          </w:p>
        </w:tc>
        <w:tc>
          <w:tcPr>
            <w:tcW w:w="1395" w:type="dxa"/>
            <w:tcBorders>
              <w:bottom w:val="single" w:sz="6" w:space="0" w:color="000000"/>
              <w:right w:val="single" w:sz="6" w:space="0" w:color="000000"/>
            </w:tcBorders>
            <w:vAlign w:val="center"/>
          </w:tcPr>
          <w:p w14:paraId="1DFB616E" w14:textId="77777777" w:rsidR="007D706A" w:rsidRDefault="007D706A" w:rsidP="00F70508">
            <w:pPr>
              <w:pStyle w:val="ParagraphStyle12"/>
              <w:rPr>
                <w:rStyle w:val="CharacterStyle12"/>
              </w:rPr>
            </w:pPr>
            <w:r>
              <w:rPr>
                <w:rStyle w:val="CharacterStyle12"/>
              </w:rPr>
              <w:t>3.000,00</w:t>
            </w:r>
          </w:p>
        </w:tc>
        <w:tc>
          <w:tcPr>
            <w:tcW w:w="1395" w:type="dxa"/>
            <w:tcBorders>
              <w:bottom w:val="single" w:sz="6" w:space="0" w:color="000000"/>
              <w:right w:val="single" w:sz="6" w:space="0" w:color="000000"/>
            </w:tcBorders>
            <w:vAlign w:val="center"/>
          </w:tcPr>
          <w:p w14:paraId="4FD58C21" w14:textId="77777777" w:rsidR="007D706A" w:rsidRDefault="007D706A" w:rsidP="00F70508">
            <w:pPr>
              <w:pStyle w:val="ParagraphStyle12"/>
              <w:rPr>
                <w:rStyle w:val="CharacterStyle12"/>
              </w:rPr>
            </w:pPr>
            <w:r>
              <w:rPr>
                <w:rStyle w:val="CharacterStyle12"/>
              </w:rPr>
              <w:t>3.000,00</w:t>
            </w:r>
          </w:p>
        </w:tc>
        <w:tc>
          <w:tcPr>
            <w:tcW w:w="1395" w:type="dxa"/>
            <w:tcBorders>
              <w:bottom w:val="single" w:sz="6" w:space="0" w:color="000000"/>
              <w:right w:val="single" w:sz="6" w:space="0" w:color="000000"/>
            </w:tcBorders>
            <w:vAlign w:val="center"/>
          </w:tcPr>
          <w:p w14:paraId="4E6DBFA7" w14:textId="77777777" w:rsidR="007D706A" w:rsidRDefault="007D706A" w:rsidP="00F70508">
            <w:pPr>
              <w:pStyle w:val="ParagraphStyle12"/>
              <w:rPr>
                <w:rStyle w:val="CharacterStyle12"/>
              </w:rPr>
            </w:pPr>
            <w:r>
              <w:rPr>
                <w:rStyle w:val="CharacterStyle12"/>
              </w:rPr>
              <w:t>3.000,00</w:t>
            </w:r>
          </w:p>
        </w:tc>
      </w:tr>
      <w:tr w:rsidR="007D706A" w14:paraId="6978E61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5785F8F"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65F6C338"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46AC261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53F2084" w14:textId="77777777" w:rsidR="007D706A" w:rsidRDefault="007D706A" w:rsidP="00F70508">
            <w:pPr>
              <w:pStyle w:val="ParagraphStyle12"/>
              <w:rPr>
                <w:rStyle w:val="CharacterStyle12"/>
              </w:rPr>
            </w:pPr>
            <w:r>
              <w:rPr>
                <w:rStyle w:val="CharacterStyle12"/>
              </w:rPr>
              <w:t>3.000,00</w:t>
            </w:r>
          </w:p>
        </w:tc>
        <w:tc>
          <w:tcPr>
            <w:tcW w:w="1395" w:type="dxa"/>
            <w:tcBorders>
              <w:bottom w:val="single" w:sz="6" w:space="0" w:color="000000"/>
              <w:right w:val="single" w:sz="6" w:space="0" w:color="000000"/>
            </w:tcBorders>
            <w:vAlign w:val="center"/>
          </w:tcPr>
          <w:p w14:paraId="71CF5D10" w14:textId="77777777" w:rsidR="007D706A" w:rsidRDefault="007D706A" w:rsidP="00F70508">
            <w:pPr>
              <w:pStyle w:val="ParagraphStyle12"/>
              <w:rPr>
                <w:rStyle w:val="CharacterStyle12"/>
              </w:rPr>
            </w:pPr>
            <w:r>
              <w:rPr>
                <w:rStyle w:val="CharacterStyle12"/>
              </w:rPr>
              <w:t>3.000,00</w:t>
            </w:r>
          </w:p>
        </w:tc>
        <w:tc>
          <w:tcPr>
            <w:tcW w:w="1395" w:type="dxa"/>
            <w:tcBorders>
              <w:bottom w:val="single" w:sz="6" w:space="0" w:color="000000"/>
              <w:right w:val="single" w:sz="6" w:space="0" w:color="000000"/>
            </w:tcBorders>
            <w:vAlign w:val="center"/>
          </w:tcPr>
          <w:p w14:paraId="3B322B58" w14:textId="77777777" w:rsidR="007D706A" w:rsidRDefault="007D706A" w:rsidP="00F70508">
            <w:pPr>
              <w:pStyle w:val="ParagraphStyle12"/>
              <w:rPr>
                <w:rStyle w:val="CharacterStyle12"/>
              </w:rPr>
            </w:pPr>
            <w:r>
              <w:rPr>
                <w:rStyle w:val="CharacterStyle12"/>
              </w:rPr>
              <w:t>3.000,00</w:t>
            </w:r>
          </w:p>
        </w:tc>
        <w:tc>
          <w:tcPr>
            <w:tcW w:w="1395" w:type="dxa"/>
            <w:tcBorders>
              <w:bottom w:val="single" w:sz="6" w:space="0" w:color="000000"/>
              <w:right w:val="single" w:sz="6" w:space="0" w:color="000000"/>
            </w:tcBorders>
            <w:vAlign w:val="center"/>
          </w:tcPr>
          <w:p w14:paraId="0EB5A49D" w14:textId="77777777" w:rsidR="007D706A" w:rsidRDefault="007D706A" w:rsidP="00F70508">
            <w:pPr>
              <w:pStyle w:val="ParagraphStyle12"/>
              <w:rPr>
                <w:rStyle w:val="CharacterStyle12"/>
              </w:rPr>
            </w:pPr>
            <w:r>
              <w:rPr>
                <w:rStyle w:val="CharacterStyle12"/>
              </w:rPr>
              <w:t>3.000,00</w:t>
            </w:r>
          </w:p>
        </w:tc>
      </w:tr>
      <w:tr w:rsidR="007D706A" w14:paraId="541CEF2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E20C086" w14:textId="77777777" w:rsidR="007D706A" w:rsidRDefault="007D706A" w:rsidP="00F70508">
            <w:pPr>
              <w:pStyle w:val="ParagraphStyle4"/>
              <w:rPr>
                <w:rStyle w:val="CharacterStyle4"/>
              </w:rPr>
            </w:pPr>
            <w:r>
              <w:rPr>
                <w:rStyle w:val="CharacterStyle4"/>
              </w:rPr>
              <w:t>Aktivnost A102702</w:t>
            </w:r>
          </w:p>
        </w:tc>
        <w:tc>
          <w:tcPr>
            <w:tcW w:w="4995" w:type="dxa"/>
            <w:tcBorders>
              <w:bottom w:val="single" w:sz="6" w:space="0" w:color="000000"/>
              <w:right w:val="single" w:sz="6" w:space="0" w:color="000000"/>
            </w:tcBorders>
            <w:vAlign w:val="center"/>
          </w:tcPr>
          <w:p w14:paraId="2986B44A" w14:textId="77777777" w:rsidR="007D706A" w:rsidRDefault="007D706A" w:rsidP="00F70508">
            <w:pPr>
              <w:pStyle w:val="ParagraphStyle5"/>
              <w:rPr>
                <w:rStyle w:val="CharacterStyle5"/>
              </w:rPr>
            </w:pPr>
            <w:r>
              <w:rPr>
                <w:rStyle w:val="CharacterStyle5"/>
              </w:rPr>
              <w:t>POSEBNE GRADSKE AKTIVNOSTI</w:t>
            </w:r>
          </w:p>
        </w:tc>
        <w:tc>
          <w:tcPr>
            <w:tcW w:w="1395" w:type="dxa"/>
            <w:tcBorders>
              <w:bottom w:val="single" w:sz="6" w:space="0" w:color="000000"/>
              <w:right w:val="single" w:sz="6" w:space="0" w:color="000000"/>
            </w:tcBorders>
            <w:vAlign w:val="center"/>
          </w:tcPr>
          <w:p w14:paraId="2FBF4C08"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58D49DE1" w14:textId="77777777" w:rsidR="007D706A" w:rsidRDefault="007D706A" w:rsidP="00F70508">
            <w:pPr>
              <w:pStyle w:val="ParagraphStyle6"/>
              <w:rPr>
                <w:rStyle w:val="CharacterStyle6"/>
              </w:rPr>
            </w:pPr>
            <w:r>
              <w:rPr>
                <w:rStyle w:val="CharacterStyle6"/>
              </w:rPr>
              <w:t>179.435,00</w:t>
            </w:r>
          </w:p>
        </w:tc>
        <w:tc>
          <w:tcPr>
            <w:tcW w:w="1395" w:type="dxa"/>
            <w:tcBorders>
              <w:bottom w:val="single" w:sz="6" w:space="0" w:color="000000"/>
              <w:right w:val="single" w:sz="6" w:space="0" w:color="000000"/>
            </w:tcBorders>
            <w:vAlign w:val="center"/>
          </w:tcPr>
          <w:p w14:paraId="6FB9ABCF" w14:textId="77777777" w:rsidR="007D706A" w:rsidRDefault="007D706A" w:rsidP="00F70508">
            <w:pPr>
              <w:pStyle w:val="ParagraphStyle6"/>
              <w:rPr>
                <w:rStyle w:val="CharacterStyle6"/>
              </w:rPr>
            </w:pPr>
            <w:r>
              <w:rPr>
                <w:rStyle w:val="CharacterStyle6"/>
              </w:rPr>
              <w:t>40.000,00</w:t>
            </w:r>
          </w:p>
        </w:tc>
        <w:tc>
          <w:tcPr>
            <w:tcW w:w="1395" w:type="dxa"/>
            <w:tcBorders>
              <w:bottom w:val="single" w:sz="6" w:space="0" w:color="000000"/>
              <w:right w:val="single" w:sz="6" w:space="0" w:color="000000"/>
            </w:tcBorders>
            <w:vAlign w:val="center"/>
          </w:tcPr>
          <w:p w14:paraId="410113B1" w14:textId="77777777" w:rsidR="007D706A" w:rsidRDefault="007D706A" w:rsidP="00F70508">
            <w:pPr>
              <w:pStyle w:val="ParagraphStyle6"/>
              <w:rPr>
                <w:rStyle w:val="CharacterStyle6"/>
              </w:rPr>
            </w:pPr>
            <w:r>
              <w:rPr>
                <w:rStyle w:val="CharacterStyle6"/>
              </w:rPr>
              <w:t>40.000,00</w:t>
            </w:r>
          </w:p>
        </w:tc>
        <w:tc>
          <w:tcPr>
            <w:tcW w:w="1395" w:type="dxa"/>
            <w:tcBorders>
              <w:bottom w:val="single" w:sz="6" w:space="0" w:color="000000"/>
              <w:right w:val="single" w:sz="6" w:space="0" w:color="000000"/>
            </w:tcBorders>
            <w:vAlign w:val="center"/>
          </w:tcPr>
          <w:p w14:paraId="615D51EE" w14:textId="77777777" w:rsidR="007D706A" w:rsidRDefault="007D706A" w:rsidP="00F70508">
            <w:pPr>
              <w:pStyle w:val="ParagraphStyle6"/>
              <w:rPr>
                <w:rStyle w:val="CharacterStyle6"/>
              </w:rPr>
            </w:pPr>
            <w:r>
              <w:rPr>
                <w:rStyle w:val="CharacterStyle6"/>
              </w:rPr>
              <w:t>40.000,00</w:t>
            </w:r>
          </w:p>
        </w:tc>
      </w:tr>
      <w:tr w:rsidR="007D706A" w14:paraId="341675B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50E8C64"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4A2CDC80"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3614043A"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8F2E3DC" w14:textId="77777777" w:rsidR="007D706A" w:rsidRDefault="007D706A" w:rsidP="00F70508">
            <w:pPr>
              <w:pStyle w:val="ParagraphStyle9"/>
              <w:rPr>
                <w:rStyle w:val="CharacterStyle9"/>
              </w:rPr>
            </w:pPr>
            <w:r>
              <w:rPr>
                <w:rStyle w:val="CharacterStyle9"/>
              </w:rPr>
              <w:t>145.000,00</w:t>
            </w:r>
          </w:p>
        </w:tc>
        <w:tc>
          <w:tcPr>
            <w:tcW w:w="1395" w:type="dxa"/>
            <w:tcBorders>
              <w:bottom w:val="single" w:sz="6" w:space="0" w:color="000000"/>
              <w:right w:val="single" w:sz="6" w:space="0" w:color="000000"/>
            </w:tcBorders>
            <w:vAlign w:val="center"/>
          </w:tcPr>
          <w:p w14:paraId="591C5100"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E5C644A"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98024F4" w14:textId="77777777" w:rsidR="007D706A" w:rsidRDefault="007D706A" w:rsidP="00F70508">
            <w:pPr>
              <w:pStyle w:val="ParagraphStyle9"/>
              <w:rPr>
                <w:rStyle w:val="CharacterStyle9"/>
              </w:rPr>
            </w:pPr>
            <w:r>
              <w:rPr>
                <w:rStyle w:val="CharacterStyle9"/>
              </w:rPr>
              <w:t>0,00</w:t>
            </w:r>
          </w:p>
        </w:tc>
      </w:tr>
      <w:tr w:rsidR="007D706A" w14:paraId="6CCEB1D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CAEB57C"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3575453E"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6EEE244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0F29FF2" w14:textId="77777777" w:rsidR="007D706A" w:rsidRDefault="007D706A" w:rsidP="00F70508">
            <w:pPr>
              <w:pStyle w:val="ParagraphStyle12"/>
              <w:rPr>
                <w:rStyle w:val="CharacterStyle12"/>
              </w:rPr>
            </w:pPr>
            <w:r>
              <w:rPr>
                <w:rStyle w:val="CharacterStyle12"/>
              </w:rPr>
              <w:t>145.000,00</w:t>
            </w:r>
          </w:p>
        </w:tc>
        <w:tc>
          <w:tcPr>
            <w:tcW w:w="1395" w:type="dxa"/>
            <w:tcBorders>
              <w:bottom w:val="single" w:sz="6" w:space="0" w:color="000000"/>
              <w:right w:val="single" w:sz="6" w:space="0" w:color="000000"/>
            </w:tcBorders>
            <w:vAlign w:val="center"/>
          </w:tcPr>
          <w:p w14:paraId="36EECCF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23A3FE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FB34E47" w14:textId="77777777" w:rsidR="007D706A" w:rsidRDefault="007D706A" w:rsidP="00F70508">
            <w:pPr>
              <w:pStyle w:val="ParagraphStyle12"/>
              <w:rPr>
                <w:rStyle w:val="CharacterStyle12"/>
              </w:rPr>
            </w:pPr>
            <w:r>
              <w:rPr>
                <w:rStyle w:val="CharacterStyle12"/>
              </w:rPr>
              <w:t>0,00</w:t>
            </w:r>
          </w:p>
        </w:tc>
      </w:tr>
      <w:tr w:rsidR="007D706A" w14:paraId="0662DF8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08970DA"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43BB3CD4"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01195E7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54ADA92" w14:textId="77777777" w:rsidR="007D706A" w:rsidRDefault="007D706A" w:rsidP="00F70508">
            <w:pPr>
              <w:pStyle w:val="ParagraphStyle12"/>
              <w:rPr>
                <w:rStyle w:val="CharacterStyle12"/>
              </w:rPr>
            </w:pPr>
            <w:r>
              <w:rPr>
                <w:rStyle w:val="CharacterStyle12"/>
              </w:rPr>
              <w:t>145.000,00</w:t>
            </w:r>
          </w:p>
        </w:tc>
        <w:tc>
          <w:tcPr>
            <w:tcW w:w="1395" w:type="dxa"/>
            <w:tcBorders>
              <w:bottom w:val="single" w:sz="6" w:space="0" w:color="000000"/>
              <w:right w:val="single" w:sz="6" w:space="0" w:color="000000"/>
            </w:tcBorders>
            <w:vAlign w:val="center"/>
          </w:tcPr>
          <w:p w14:paraId="63AFE1D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D78C3E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CFFA4D2" w14:textId="77777777" w:rsidR="007D706A" w:rsidRDefault="007D706A" w:rsidP="00F70508">
            <w:pPr>
              <w:pStyle w:val="ParagraphStyle12"/>
              <w:rPr>
                <w:rStyle w:val="CharacterStyle12"/>
              </w:rPr>
            </w:pPr>
            <w:r>
              <w:rPr>
                <w:rStyle w:val="CharacterStyle12"/>
              </w:rPr>
              <w:t>0,00</w:t>
            </w:r>
          </w:p>
        </w:tc>
      </w:tr>
      <w:tr w:rsidR="007D706A" w14:paraId="04F358F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A265D0B" w14:textId="77777777" w:rsidR="007D706A" w:rsidRDefault="007D706A" w:rsidP="00F70508">
            <w:pPr>
              <w:pStyle w:val="ParagraphStyle7"/>
              <w:rPr>
                <w:rStyle w:val="CharacterStyle7"/>
              </w:rPr>
            </w:pPr>
            <w:r>
              <w:rPr>
                <w:rStyle w:val="CharacterStyle7"/>
              </w:rPr>
              <w:t>Izvor financiranja 41</w:t>
            </w:r>
          </w:p>
        </w:tc>
        <w:tc>
          <w:tcPr>
            <w:tcW w:w="4995" w:type="dxa"/>
            <w:tcBorders>
              <w:bottom w:val="single" w:sz="6" w:space="0" w:color="000000"/>
              <w:right w:val="single" w:sz="6" w:space="0" w:color="000000"/>
            </w:tcBorders>
            <w:vAlign w:val="center"/>
          </w:tcPr>
          <w:p w14:paraId="4CCC3368" w14:textId="77777777" w:rsidR="007D706A" w:rsidRDefault="007D706A" w:rsidP="00F70508">
            <w:pPr>
              <w:pStyle w:val="ParagraphStyle8"/>
              <w:rPr>
                <w:rStyle w:val="CharacterStyle8"/>
              </w:rPr>
            </w:pPr>
            <w:r>
              <w:rPr>
                <w:rStyle w:val="CharacterStyle8"/>
              </w:rPr>
              <w:t>Prihodi za posebne namjene</w:t>
            </w:r>
          </w:p>
        </w:tc>
        <w:tc>
          <w:tcPr>
            <w:tcW w:w="1395" w:type="dxa"/>
            <w:tcBorders>
              <w:bottom w:val="single" w:sz="6" w:space="0" w:color="000000"/>
              <w:right w:val="single" w:sz="6" w:space="0" w:color="000000"/>
            </w:tcBorders>
            <w:vAlign w:val="center"/>
          </w:tcPr>
          <w:p w14:paraId="50DCF067"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6FF6E2B" w14:textId="77777777" w:rsidR="007D706A" w:rsidRDefault="007D706A" w:rsidP="00F70508">
            <w:pPr>
              <w:pStyle w:val="ParagraphStyle9"/>
              <w:rPr>
                <w:rStyle w:val="CharacterStyle9"/>
              </w:rPr>
            </w:pPr>
            <w:r>
              <w:rPr>
                <w:rStyle w:val="CharacterStyle9"/>
              </w:rPr>
              <w:t>34.435,00</w:t>
            </w:r>
          </w:p>
        </w:tc>
        <w:tc>
          <w:tcPr>
            <w:tcW w:w="1395" w:type="dxa"/>
            <w:tcBorders>
              <w:bottom w:val="single" w:sz="6" w:space="0" w:color="000000"/>
              <w:right w:val="single" w:sz="6" w:space="0" w:color="000000"/>
            </w:tcBorders>
            <w:vAlign w:val="center"/>
          </w:tcPr>
          <w:p w14:paraId="50323DCA"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27943E1"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12DCBE1" w14:textId="77777777" w:rsidR="007D706A" w:rsidRDefault="007D706A" w:rsidP="00F70508">
            <w:pPr>
              <w:pStyle w:val="ParagraphStyle9"/>
              <w:rPr>
                <w:rStyle w:val="CharacterStyle9"/>
              </w:rPr>
            </w:pPr>
            <w:r>
              <w:rPr>
                <w:rStyle w:val="CharacterStyle9"/>
              </w:rPr>
              <w:t>0,00</w:t>
            </w:r>
          </w:p>
        </w:tc>
      </w:tr>
      <w:tr w:rsidR="007D706A" w14:paraId="3A3587C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6A90108"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1C9948B4"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3F86EF1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68F2D0F" w14:textId="77777777" w:rsidR="007D706A" w:rsidRDefault="007D706A" w:rsidP="00F70508">
            <w:pPr>
              <w:pStyle w:val="ParagraphStyle12"/>
              <w:rPr>
                <w:rStyle w:val="CharacterStyle12"/>
              </w:rPr>
            </w:pPr>
            <w:r>
              <w:rPr>
                <w:rStyle w:val="CharacterStyle12"/>
              </w:rPr>
              <w:t>34.435,00</w:t>
            </w:r>
          </w:p>
        </w:tc>
        <w:tc>
          <w:tcPr>
            <w:tcW w:w="1395" w:type="dxa"/>
            <w:tcBorders>
              <w:bottom w:val="single" w:sz="6" w:space="0" w:color="000000"/>
              <w:right w:val="single" w:sz="6" w:space="0" w:color="000000"/>
            </w:tcBorders>
            <w:vAlign w:val="center"/>
          </w:tcPr>
          <w:p w14:paraId="2DC05AE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76C7AE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7B3DD17" w14:textId="77777777" w:rsidR="007D706A" w:rsidRDefault="007D706A" w:rsidP="00F70508">
            <w:pPr>
              <w:pStyle w:val="ParagraphStyle12"/>
              <w:rPr>
                <w:rStyle w:val="CharacterStyle12"/>
              </w:rPr>
            </w:pPr>
            <w:r>
              <w:rPr>
                <w:rStyle w:val="CharacterStyle12"/>
              </w:rPr>
              <w:t>0,00</w:t>
            </w:r>
          </w:p>
        </w:tc>
      </w:tr>
      <w:tr w:rsidR="007D706A" w14:paraId="267F935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2A6E7FD"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481E90B4"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57A2214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1E3A379" w14:textId="77777777" w:rsidR="007D706A" w:rsidRDefault="007D706A" w:rsidP="00F70508">
            <w:pPr>
              <w:pStyle w:val="ParagraphStyle12"/>
              <w:rPr>
                <w:rStyle w:val="CharacterStyle12"/>
              </w:rPr>
            </w:pPr>
            <w:r>
              <w:rPr>
                <w:rStyle w:val="CharacterStyle12"/>
              </w:rPr>
              <w:t>1.835,00</w:t>
            </w:r>
          </w:p>
        </w:tc>
        <w:tc>
          <w:tcPr>
            <w:tcW w:w="1395" w:type="dxa"/>
            <w:tcBorders>
              <w:bottom w:val="single" w:sz="6" w:space="0" w:color="000000"/>
              <w:right w:val="single" w:sz="6" w:space="0" w:color="000000"/>
            </w:tcBorders>
            <w:vAlign w:val="center"/>
          </w:tcPr>
          <w:p w14:paraId="1503040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FBEDE7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86A0646" w14:textId="77777777" w:rsidR="007D706A" w:rsidRDefault="007D706A" w:rsidP="00F70508">
            <w:pPr>
              <w:pStyle w:val="ParagraphStyle12"/>
              <w:rPr>
                <w:rStyle w:val="CharacterStyle12"/>
              </w:rPr>
            </w:pPr>
            <w:r>
              <w:rPr>
                <w:rStyle w:val="CharacterStyle12"/>
              </w:rPr>
              <w:t>0,00</w:t>
            </w:r>
          </w:p>
        </w:tc>
      </w:tr>
      <w:tr w:rsidR="007D706A" w14:paraId="2D75427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744E16E" w14:textId="77777777" w:rsidR="007D706A" w:rsidRDefault="007D706A" w:rsidP="00F70508">
            <w:pPr>
              <w:pStyle w:val="ParagraphStyle10"/>
              <w:rPr>
                <w:rStyle w:val="CharacterStyle10"/>
              </w:rPr>
            </w:pPr>
            <w:r>
              <w:rPr>
                <w:rStyle w:val="CharacterStyle10"/>
              </w:rPr>
              <w:t>38</w:t>
            </w:r>
          </w:p>
        </w:tc>
        <w:tc>
          <w:tcPr>
            <w:tcW w:w="4995" w:type="dxa"/>
            <w:tcBorders>
              <w:bottom w:val="single" w:sz="6" w:space="0" w:color="000000"/>
              <w:right w:val="single" w:sz="6" w:space="0" w:color="000000"/>
            </w:tcBorders>
            <w:vAlign w:val="center"/>
          </w:tcPr>
          <w:p w14:paraId="7888E47E" w14:textId="77777777" w:rsidR="007D706A" w:rsidRDefault="007D706A" w:rsidP="00F70508">
            <w:pPr>
              <w:pStyle w:val="ParagraphStyle11"/>
              <w:rPr>
                <w:rStyle w:val="CharacterStyle11"/>
              </w:rPr>
            </w:pPr>
            <w:r>
              <w:rPr>
                <w:rStyle w:val="CharacterStyle11"/>
              </w:rPr>
              <w:t>Rashodi za donacije, kazne, naknade šteta i kapitalne pomoći</w:t>
            </w:r>
          </w:p>
        </w:tc>
        <w:tc>
          <w:tcPr>
            <w:tcW w:w="1395" w:type="dxa"/>
            <w:tcBorders>
              <w:bottom w:val="single" w:sz="6" w:space="0" w:color="000000"/>
              <w:right w:val="single" w:sz="6" w:space="0" w:color="000000"/>
            </w:tcBorders>
            <w:vAlign w:val="center"/>
          </w:tcPr>
          <w:p w14:paraId="36B2A41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E4D0866" w14:textId="77777777" w:rsidR="007D706A" w:rsidRDefault="007D706A" w:rsidP="00F70508">
            <w:pPr>
              <w:pStyle w:val="ParagraphStyle12"/>
              <w:rPr>
                <w:rStyle w:val="CharacterStyle12"/>
              </w:rPr>
            </w:pPr>
            <w:r>
              <w:rPr>
                <w:rStyle w:val="CharacterStyle12"/>
              </w:rPr>
              <w:t>32.600,00</w:t>
            </w:r>
          </w:p>
        </w:tc>
        <w:tc>
          <w:tcPr>
            <w:tcW w:w="1395" w:type="dxa"/>
            <w:tcBorders>
              <w:bottom w:val="single" w:sz="6" w:space="0" w:color="000000"/>
              <w:right w:val="single" w:sz="6" w:space="0" w:color="000000"/>
            </w:tcBorders>
            <w:vAlign w:val="center"/>
          </w:tcPr>
          <w:p w14:paraId="6C48244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6A5392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B8F246D" w14:textId="77777777" w:rsidR="007D706A" w:rsidRDefault="007D706A" w:rsidP="00F70508">
            <w:pPr>
              <w:pStyle w:val="ParagraphStyle12"/>
              <w:rPr>
                <w:rStyle w:val="CharacterStyle12"/>
              </w:rPr>
            </w:pPr>
            <w:r>
              <w:rPr>
                <w:rStyle w:val="CharacterStyle12"/>
              </w:rPr>
              <w:t>0,00</w:t>
            </w:r>
          </w:p>
        </w:tc>
      </w:tr>
      <w:tr w:rsidR="007D706A" w14:paraId="6DDD522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683930B" w14:textId="77777777" w:rsidR="007D706A" w:rsidRDefault="007D706A" w:rsidP="00F70508">
            <w:pPr>
              <w:pStyle w:val="ParagraphStyle7"/>
              <w:rPr>
                <w:rStyle w:val="CharacterStyle7"/>
              </w:rPr>
            </w:pPr>
            <w:r>
              <w:rPr>
                <w:rStyle w:val="CharacterStyle7"/>
              </w:rPr>
              <w:t>Izvor financiranja 43</w:t>
            </w:r>
          </w:p>
        </w:tc>
        <w:tc>
          <w:tcPr>
            <w:tcW w:w="4995" w:type="dxa"/>
            <w:tcBorders>
              <w:bottom w:val="single" w:sz="6" w:space="0" w:color="000000"/>
              <w:right w:val="single" w:sz="6" w:space="0" w:color="000000"/>
            </w:tcBorders>
            <w:vAlign w:val="center"/>
          </w:tcPr>
          <w:p w14:paraId="00ACCF3D" w14:textId="77777777" w:rsidR="007D706A" w:rsidRDefault="007D706A" w:rsidP="00F70508">
            <w:pPr>
              <w:pStyle w:val="ParagraphStyle8"/>
              <w:rPr>
                <w:rStyle w:val="CharacterStyle8"/>
              </w:rPr>
            </w:pPr>
            <w:r>
              <w:rPr>
                <w:rStyle w:val="CharacterStyle8"/>
              </w:rPr>
              <w:t>Ostali prihodi za posebne namjene</w:t>
            </w:r>
          </w:p>
        </w:tc>
        <w:tc>
          <w:tcPr>
            <w:tcW w:w="1395" w:type="dxa"/>
            <w:tcBorders>
              <w:bottom w:val="single" w:sz="6" w:space="0" w:color="000000"/>
              <w:right w:val="single" w:sz="6" w:space="0" w:color="000000"/>
            </w:tcBorders>
            <w:vAlign w:val="center"/>
          </w:tcPr>
          <w:p w14:paraId="0096FA28"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B077D57"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9604969" w14:textId="77777777" w:rsidR="007D706A" w:rsidRDefault="007D706A" w:rsidP="00F70508">
            <w:pPr>
              <w:pStyle w:val="ParagraphStyle9"/>
              <w:rPr>
                <w:rStyle w:val="CharacterStyle9"/>
              </w:rPr>
            </w:pPr>
            <w:r>
              <w:rPr>
                <w:rStyle w:val="CharacterStyle9"/>
              </w:rPr>
              <w:t>40.000,00</w:t>
            </w:r>
          </w:p>
        </w:tc>
        <w:tc>
          <w:tcPr>
            <w:tcW w:w="1395" w:type="dxa"/>
            <w:tcBorders>
              <w:bottom w:val="single" w:sz="6" w:space="0" w:color="000000"/>
              <w:right w:val="single" w:sz="6" w:space="0" w:color="000000"/>
            </w:tcBorders>
            <w:vAlign w:val="center"/>
          </w:tcPr>
          <w:p w14:paraId="6DED015B" w14:textId="77777777" w:rsidR="007D706A" w:rsidRDefault="007D706A" w:rsidP="00F70508">
            <w:pPr>
              <w:pStyle w:val="ParagraphStyle9"/>
              <w:rPr>
                <w:rStyle w:val="CharacterStyle9"/>
              </w:rPr>
            </w:pPr>
            <w:r>
              <w:rPr>
                <w:rStyle w:val="CharacterStyle9"/>
              </w:rPr>
              <w:t>40.000,00</w:t>
            </w:r>
          </w:p>
        </w:tc>
        <w:tc>
          <w:tcPr>
            <w:tcW w:w="1395" w:type="dxa"/>
            <w:tcBorders>
              <w:bottom w:val="single" w:sz="6" w:space="0" w:color="000000"/>
              <w:right w:val="single" w:sz="6" w:space="0" w:color="000000"/>
            </w:tcBorders>
            <w:vAlign w:val="center"/>
          </w:tcPr>
          <w:p w14:paraId="3859F373" w14:textId="77777777" w:rsidR="007D706A" w:rsidRDefault="007D706A" w:rsidP="00F70508">
            <w:pPr>
              <w:pStyle w:val="ParagraphStyle9"/>
              <w:rPr>
                <w:rStyle w:val="CharacterStyle9"/>
              </w:rPr>
            </w:pPr>
            <w:r>
              <w:rPr>
                <w:rStyle w:val="CharacterStyle9"/>
              </w:rPr>
              <w:t>40.000,00</w:t>
            </w:r>
          </w:p>
        </w:tc>
      </w:tr>
      <w:tr w:rsidR="007D706A" w14:paraId="44B1286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EA47D2D"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67630262"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5C5F5E0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1A789D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35EC4C9" w14:textId="77777777" w:rsidR="007D706A" w:rsidRDefault="007D706A" w:rsidP="00F70508">
            <w:pPr>
              <w:pStyle w:val="ParagraphStyle12"/>
              <w:rPr>
                <w:rStyle w:val="CharacterStyle12"/>
              </w:rPr>
            </w:pPr>
            <w:r>
              <w:rPr>
                <w:rStyle w:val="CharacterStyle12"/>
              </w:rPr>
              <w:t>40.000,00</w:t>
            </w:r>
          </w:p>
        </w:tc>
        <w:tc>
          <w:tcPr>
            <w:tcW w:w="1395" w:type="dxa"/>
            <w:tcBorders>
              <w:bottom w:val="single" w:sz="6" w:space="0" w:color="000000"/>
              <w:right w:val="single" w:sz="6" w:space="0" w:color="000000"/>
            </w:tcBorders>
            <w:vAlign w:val="center"/>
          </w:tcPr>
          <w:p w14:paraId="05B00CCB" w14:textId="77777777" w:rsidR="007D706A" w:rsidRDefault="007D706A" w:rsidP="00F70508">
            <w:pPr>
              <w:pStyle w:val="ParagraphStyle12"/>
              <w:rPr>
                <w:rStyle w:val="CharacterStyle12"/>
              </w:rPr>
            </w:pPr>
            <w:r>
              <w:rPr>
                <w:rStyle w:val="CharacterStyle12"/>
              </w:rPr>
              <w:t>40.000,00</w:t>
            </w:r>
          </w:p>
        </w:tc>
        <w:tc>
          <w:tcPr>
            <w:tcW w:w="1395" w:type="dxa"/>
            <w:tcBorders>
              <w:bottom w:val="single" w:sz="6" w:space="0" w:color="000000"/>
              <w:right w:val="single" w:sz="6" w:space="0" w:color="000000"/>
            </w:tcBorders>
            <w:vAlign w:val="center"/>
          </w:tcPr>
          <w:p w14:paraId="4DE77CF2" w14:textId="77777777" w:rsidR="007D706A" w:rsidRDefault="007D706A" w:rsidP="00F70508">
            <w:pPr>
              <w:pStyle w:val="ParagraphStyle12"/>
              <w:rPr>
                <w:rStyle w:val="CharacterStyle12"/>
              </w:rPr>
            </w:pPr>
            <w:r>
              <w:rPr>
                <w:rStyle w:val="CharacterStyle12"/>
              </w:rPr>
              <w:t>40.000,00</w:t>
            </w:r>
          </w:p>
        </w:tc>
      </w:tr>
      <w:tr w:rsidR="007D706A" w14:paraId="4941B67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B67E51D"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3BCD6061"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50F730B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614E7A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B06A45D" w14:textId="77777777" w:rsidR="007D706A" w:rsidRDefault="007D706A" w:rsidP="00F70508">
            <w:pPr>
              <w:pStyle w:val="ParagraphStyle12"/>
              <w:rPr>
                <w:rStyle w:val="CharacterStyle12"/>
              </w:rPr>
            </w:pPr>
            <w:r>
              <w:rPr>
                <w:rStyle w:val="CharacterStyle12"/>
              </w:rPr>
              <w:t>5.400,00</w:t>
            </w:r>
          </w:p>
        </w:tc>
        <w:tc>
          <w:tcPr>
            <w:tcW w:w="1395" w:type="dxa"/>
            <w:tcBorders>
              <w:bottom w:val="single" w:sz="6" w:space="0" w:color="000000"/>
              <w:right w:val="single" w:sz="6" w:space="0" w:color="000000"/>
            </w:tcBorders>
            <w:vAlign w:val="center"/>
          </w:tcPr>
          <w:p w14:paraId="28DC6951" w14:textId="77777777" w:rsidR="007D706A" w:rsidRDefault="007D706A" w:rsidP="00F70508">
            <w:pPr>
              <w:pStyle w:val="ParagraphStyle12"/>
              <w:rPr>
                <w:rStyle w:val="CharacterStyle12"/>
              </w:rPr>
            </w:pPr>
            <w:r>
              <w:rPr>
                <w:rStyle w:val="CharacterStyle12"/>
              </w:rPr>
              <w:t>5.000,00</w:t>
            </w:r>
          </w:p>
        </w:tc>
        <w:tc>
          <w:tcPr>
            <w:tcW w:w="1395" w:type="dxa"/>
            <w:tcBorders>
              <w:bottom w:val="single" w:sz="6" w:space="0" w:color="000000"/>
              <w:right w:val="single" w:sz="6" w:space="0" w:color="000000"/>
            </w:tcBorders>
            <w:vAlign w:val="center"/>
          </w:tcPr>
          <w:p w14:paraId="2AC100A0" w14:textId="77777777" w:rsidR="007D706A" w:rsidRDefault="007D706A" w:rsidP="00F70508">
            <w:pPr>
              <w:pStyle w:val="ParagraphStyle12"/>
              <w:rPr>
                <w:rStyle w:val="CharacterStyle12"/>
              </w:rPr>
            </w:pPr>
            <w:r>
              <w:rPr>
                <w:rStyle w:val="CharacterStyle12"/>
              </w:rPr>
              <w:t>5.000,00</w:t>
            </w:r>
          </w:p>
        </w:tc>
      </w:tr>
      <w:tr w:rsidR="007D706A" w14:paraId="6E95115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900EF5B" w14:textId="77777777" w:rsidR="007D706A" w:rsidRDefault="007D706A" w:rsidP="00F70508">
            <w:pPr>
              <w:pStyle w:val="ParagraphStyle10"/>
              <w:rPr>
                <w:rStyle w:val="CharacterStyle10"/>
              </w:rPr>
            </w:pPr>
            <w:r>
              <w:rPr>
                <w:rStyle w:val="CharacterStyle10"/>
              </w:rPr>
              <w:t>38</w:t>
            </w:r>
          </w:p>
        </w:tc>
        <w:tc>
          <w:tcPr>
            <w:tcW w:w="4995" w:type="dxa"/>
            <w:tcBorders>
              <w:bottom w:val="single" w:sz="6" w:space="0" w:color="000000"/>
              <w:right w:val="single" w:sz="6" w:space="0" w:color="000000"/>
            </w:tcBorders>
            <w:vAlign w:val="center"/>
          </w:tcPr>
          <w:p w14:paraId="33EB5BE3" w14:textId="77777777" w:rsidR="007D706A" w:rsidRDefault="007D706A" w:rsidP="00F70508">
            <w:pPr>
              <w:pStyle w:val="ParagraphStyle11"/>
              <w:rPr>
                <w:rStyle w:val="CharacterStyle11"/>
              </w:rPr>
            </w:pPr>
            <w:r>
              <w:rPr>
                <w:rStyle w:val="CharacterStyle11"/>
              </w:rPr>
              <w:t>Rashodi za donacije, kazne, naknade šteta i kapitalne pomoći</w:t>
            </w:r>
          </w:p>
        </w:tc>
        <w:tc>
          <w:tcPr>
            <w:tcW w:w="1395" w:type="dxa"/>
            <w:tcBorders>
              <w:bottom w:val="single" w:sz="6" w:space="0" w:color="000000"/>
              <w:right w:val="single" w:sz="6" w:space="0" w:color="000000"/>
            </w:tcBorders>
            <w:vAlign w:val="center"/>
          </w:tcPr>
          <w:p w14:paraId="6730E79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A3224D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0BC056D" w14:textId="77777777" w:rsidR="007D706A" w:rsidRDefault="007D706A" w:rsidP="00F70508">
            <w:pPr>
              <w:pStyle w:val="ParagraphStyle12"/>
              <w:rPr>
                <w:rStyle w:val="CharacterStyle12"/>
              </w:rPr>
            </w:pPr>
            <w:r>
              <w:rPr>
                <w:rStyle w:val="CharacterStyle12"/>
              </w:rPr>
              <w:t>34.600,00</w:t>
            </w:r>
          </w:p>
        </w:tc>
        <w:tc>
          <w:tcPr>
            <w:tcW w:w="1395" w:type="dxa"/>
            <w:tcBorders>
              <w:bottom w:val="single" w:sz="6" w:space="0" w:color="000000"/>
              <w:right w:val="single" w:sz="6" w:space="0" w:color="000000"/>
            </w:tcBorders>
            <w:vAlign w:val="center"/>
          </w:tcPr>
          <w:p w14:paraId="5828FEB6" w14:textId="77777777" w:rsidR="007D706A" w:rsidRDefault="007D706A" w:rsidP="00F70508">
            <w:pPr>
              <w:pStyle w:val="ParagraphStyle12"/>
              <w:rPr>
                <w:rStyle w:val="CharacterStyle12"/>
              </w:rPr>
            </w:pPr>
            <w:r>
              <w:rPr>
                <w:rStyle w:val="CharacterStyle12"/>
              </w:rPr>
              <w:t>35.000,00</w:t>
            </w:r>
          </w:p>
        </w:tc>
        <w:tc>
          <w:tcPr>
            <w:tcW w:w="1395" w:type="dxa"/>
            <w:tcBorders>
              <w:bottom w:val="single" w:sz="6" w:space="0" w:color="000000"/>
              <w:right w:val="single" w:sz="6" w:space="0" w:color="000000"/>
            </w:tcBorders>
            <w:vAlign w:val="center"/>
          </w:tcPr>
          <w:p w14:paraId="37C07D56" w14:textId="77777777" w:rsidR="007D706A" w:rsidRDefault="007D706A" w:rsidP="00F70508">
            <w:pPr>
              <w:pStyle w:val="ParagraphStyle12"/>
              <w:rPr>
                <w:rStyle w:val="CharacterStyle12"/>
              </w:rPr>
            </w:pPr>
            <w:r>
              <w:rPr>
                <w:rStyle w:val="CharacterStyle12"/>
              </w:rPr>
              <w:t>35.000,00</w:t>
            </w:r>
          </w:p>
        </w:tc>
      </w:tr>
      <w:tr w:rsidR="007D706A" w14:paraId="15635D9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7C6891F" w14:textId="77777777" w:rsidR="007D706A" w:rsidRDefault="007D706A" w:rsidP="00F70508">
            <w:pPr>
              <w:pStyle w:val="ParagraphStyle4"/>
              <w:rPr>
                <w:rStyle w:val="CharacterStyle4"/>
              </w:rPr>
            </w:pPr>
            <w:r>
              <w:rPr>
                <w:rStyle w:val="CharacterStyle4"/>
              </w:rPr>
              <w:t>Aktivnost A102705</w:t>
            </w:r>
          </w:p>
        </w:tc>
        <w:tc>
          <w:tcPr>
            <w:tcW w:w="4995" w:type="dxa"/>
            <w:tcBorders>
              <w:bottom w:val="single" w:sz="6" w:space="0" w:color="000000"/>
              <w:right w:val="single" w:sz="6" w:space="0" w:color="000000"/>
            </w:tcBorders>
            <w:vAlign w:val="center"/>
          </w:tcPr>
          <w:p w14:paraId="468760B9" w14:textId="77777777" w:rsidR="007D706A" w:rsidRDefault="007D706A" w:rsidP="00F70508">
            <w:pPr>
              <w:pStyle w:val="ParagraphStyle5"/>
              <w:rPr>
                <w:rStyle w:val="CharacterStyle5"/>
              </w:rPr>
            </w:pPr>
            <w:r>
              <w:rPr>
                <w:rStyle w:val="CharacterStyle5"/>
              </w:rPr>
              <w:t>PROGRAMI UDRUGA IZ PODRUČJA KULTURE I UMJETNOSTI</w:t>
            </w:r>
          </w:p>
        </w:tc>
        <w:tc>
          <w:tcPr>
            <w:tcW w:w="1395" w:type="dxa"/>
            <w:tcBorders>
              <w:bottom w:val="single" w:sz="6" w:space="0" w:color="000000"/>
              <w:right w:val="single" w:sz="6" w:space="0" w:color="000000"/>
            </w:tcBorders>
            <w:vAlign w:val="center"/>
          </w:tcPr>
          <w:p w14:paraId="529679B7"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71C83985" w14:textId="77777777" w:rsidR="007D706A" w:rsidRDefault="007D706A" w:rsidP="00F70508">
            <w:pPr>
              <w:pStyle w:val="ParagraphStyle6"/>
              <w:rPr>
                <w:rStyle w:val="CharacterStyle6"/>
              </w:rPr>
            </w:pPr>
            <w:r>
              <w:rPr>
                <w:rStyle w:val="CharacterStyle6"/>
              </w:rPr>
              <w:t>115.000,00</w:t>
            </w:r>
          </w:p>
        </w:tc>
        <w:tc>
          <w:tcPr>
            <w:tcW w:w="1395" w:type="dxa"/>
            <w:tcBorders>
              <w:bottom w:val="single" w:sz="6" w:space="0" w:color="000000"/>
              <w:right w:val="single" w:sz="6" w:space="0" w:color="000000"/>
            </w:tcBorders>
            <w:vAlign w:val="center"/>
          </w:tcPr>
          <w:p w14:paraId="29538D91" w14:textId="77777777" w:rsidR="007D706A" w:rsidRDefault="007D706A" w:rsidP="00F70508">
            <w:pPr>
              <w:pStyle w:val="ParagraphStyle6"/>
              <w:rPr>
                <w:rStyle w:val="CharacterStyle6"/>
              </w:rPr>
            </w:pPr>
            <w:r>
              <w:rPr>
                <w:rStyle w:val="CharacterStyle6"/>
              </w:rPr>
              <w:t>135.000,00</w:t>
            </w:r>
          </w:p>
        </w:tc>
        <w:tc>
          <w:tcPr>
            <w:tcW w:w="1395" w:type="dxa"/>
            <w:tcBorders>
              <w:bottom w:val="single" w:sz="6" w:space="0" w:color="000000"/>
              <w:right w:val="single" w:sz="6" w:space="0" w:color="000000"/>
            </w:tcBorders>
            <w:vAlign w:val="center"/>
          </w:tcPr>
          <w:p w14:paraId="056ABD09" w14:textId="77777777" w:rsidR="007D706A" w:rsidRDefault="007D706A" w:rsidP="00F70508">
            <w:pPr>
              <w:pStyle w:val="ParagraphStyle6"/>
              <w:rPr>
                <w:rStyle w:val="CharacterStyle6"/>
              </w:rPr>
            </w:pPr>
            <w:r>
              <w:rPr>
                <w:rStyle w:val="CharacterStyle6"/>
              </w:rPr>
              <w:t>140.000,00</w:t>
            </w:r>
          </w:p>
        </w:tc>
        <w:tc>
          <w:tcPr>
            <w:tcW w:w="1395" w:type="dxa"/>
            <w:tcBorders>
              <w:bottom w:val="single" w:sz="6" w:space="0" w:color="000000"/>
              <w:right w:val="single" w:sz="6" w:space="0" w:color="000000"/>
            </w:tcBorders>
            <w:vAlign w:val="center"/>
          </w:tcPr>
          <w:p w14:paraId="6AE2AF13" w14:textId="77777777" w:rsidR="007D706A" w:rsidRDefault="007D706A" w:rsidP="00F70508">
            <w:pPr>
              <w:pStyle w:val="ParagraphStyle6"/>
              <w:rPr>
                <w:rStyle w:val="CharacterStyle6"/>
              </w:rPr>
            </w:pPr>
            <w:r>
              <w:rPr>
                <w:rStyle w:val="CharacterStyle6"/>
              </w:rPr>
              <w:t>145.000,00</w:t>
            </w:r>
          </w:p>
        </w:tc>
      </w:tr>
      <w:tr w:rsidR="007D706A" w14:paraId="73D5118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00972A6"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257FFE28"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3A4612AF"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D47885C" w14:textId="77777777" w:rsidR="007D706A" w:rsidRDefault="007D706A" w:rsidP="00F70508">
            <w:pPr>
              <w:pStyle w:val="ParagraphStyle9"/>
              <w:rPr>
                <w:rStyle w:val="CharacterStyle9"/>
              </w:rPr>
            </w:pPr>
            <w:r>
              <w:rPr>
                <w:rStyle w:val="CharacterStyle9"/>
              </w:rPr>
              <w:t>115.000,00</w:t>
            </w:r>
          </w:p>
        </w:tc>
        <w:tc>
          <w:tcPr>
            <w:tcW w:w="1395" w:type="dxa"/>
            <w:tcBorders>
              <w:bottom w:val="single" w:sz="6" w:space="0" w:color="000000"/>
              <w:right w:val="single" w:sz="6" w:space="0" w:color="000000"/>
            </w:tcBorders>
            <w:vAlign w:val="center"/>
          </w:tcPr>
          <w:p w14:paraId="2C470186" w14:textId="77777777" w:rsidR="007D706A" w:rsidRDefault="007D706A" w:rsidP="00F70508">
            <w:pPr>
              <w:pStyle w:val="ParagraphStyle9"/>
              <w:rPr>
                <w:rStyle w:val="CharacterStyle9"/>
              </w:rPr>
            </w:pPr>
            <w:r>
              <w:rPr>
                <w:rStyle w:val="CharacterStyle9"/>
              </w:rPr>
              <w:t>135.000,00</w:t>
            </w:r>
          </w:p>
        </w:tc>
        <w:tc>
          <w:tcPr>
            <w:tcW w:w="1395" w:type="dxa"/>
            <w:tcBorders>
              <w:bottom w:val="single" w:sz="6" w:space="0" w:color="000000"/>
              <w:right w:val="single" w:sz="6" w:space="0" w:color="000000"/>
            </w:tcBorders>
            <w:vAlign w:val="center"/>
          </w:tcPr>
          <w:p w14:paraId="3B122BD3" w14:textId="77777777" w:rsidR="007D706A" w:rsidRDefault="007D706A" w:rsidP="00F70508">
            <w:pPr>
              <w:pStyle w:val="ParagraphStyle9"/>
              <w:rPr>
                <w:rStyle w:val="CharacterStyle9"/>
              </w:rPr>
            </w:pPr>
            <w:r>
              <w:rPr>
                <w:rStyle w:val="CharacterStyle9"/>
              </w:rPr>
              <w:t>140.000,00</w:t>
            </w:r>
          </w:p>
        </w:tc>
        <w:tc>
          <w:tcPr>
            <w:tcW w:w="1395" w:type="dxa"/>
            <w:tcBorders>
              <w:bottom w:val="single" w:sz="6" w:space="0" w:color="000000"/>
              <w:right w:val="single" w:sz="6" w:space="0" w:color="000000"/>
            </w:tcBorders>
            <w:vAlign w:val="center"/>
          </w:tcPr>
          <w:p w14:paraId="432815B1" w14:textId="77777777" w:rsidR="007D706A" w:rsidRDefault="007D706A" w:rsidP="00F70508">
            <w:pPr>
              <w:pStyle w:val="ParagraphStyle9"/>
              <w:rPr>
                <w:rStyle w:val="CharacterStyle9"/>
              </w:rPr>
            </w:pPr>
            <w:r>
              <w:rPr>
                <w:rStyle w:val="CharacterStyle9"/>
              </w:rPr>
              <w:t>145.000,00</w:t>
            </w:r>
          </w:p>
        </w:tc>
      </w:tr>
      <w:tr w:rsidR="007D706A" w14:paraId="17548226"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00F176D"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6E029C44"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7531DD9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50E60CB" w14:textId="77777777" w:rsidR="007D706A" w:rsidRDefault="007D706A" w:rsidP="00F70508">
            <w:pPr>
              <w:pStyle w:val="ParagraphStyle12"/>
              <w:rPr>
                <w:rStyle w:val="CharacterStyle12"/>
              </w:rPr>
            </w:pPr>
            <w:r>
              <w:rPr>
                <w:rStyle w:val="CharacterStyle12"/>
              </w:rPr>
              <w:t>115.000,00</w:t>
            </w:r>
          </w:p>
        </w:tc>
        <w:tc>
          <w:tcPr>
            <w:tcW w:w="1395" w:type="dxa"/>
            <w:tcBorders>
              <w:bottom w:val="single" w:sz="6" w:space="0" w:color="000000"/>
              <w:right w:val="single" w:sz="6" w:space="0" w:color="000000"/>
            </w:tcBorders>
            <w:vAlign w:val="center"/>
          </w:tcPr>
          <w:p w14:paraId="63A4001E" w14:textId="77777777" w:rsidR="007D706A" w:rsidRDefault="007D706A" w:rsidP="00F70508">
            <w:pPr>
              <w:pStyle w:val="ParagraphStyle12"/>
              <w:rPr>
                <w:rStyle w:val="CharacterStyle12"/>
              </w:rPr>
            </w:pPr>
            <w:r>
              <w:rPr>
                <w:rStyle w:val="CharacterStyle12"/>
              </w:rPr>
              <w:t>135.000,00</w:t>
            </w:r>
          </w:p>
        </w:tc>
        <w:tc>
          <w:tcPr>
            <w:tcW w:w="1395" w:type="dxa"/>
            <w:tcBorders>
              <w:bottom w:val="single" w:sz="6" w:space="0" w:color="000000"/>
              <w:right w:val="single" w:sz="6" w:space="0" w:color="000000"/>
            </w:tcBorders>
            <w:vAlign w:val="center"/>
          </w:tcPr>
          <w:p w14:paraId="25A57DD4" w14:textId="77777777" w:rsidR="007D706A" w:rsidRDefault="007D706A" w:rsidP="00F70508">
            <w:pPr>
              <w:pStyle w:val="ParagraphStyle12"/>
              <w:rPr>
                <w:rStyle w:val="CharacterStyle12"/>
              </w:rPr>
            </w:pPr>
            <w:r>
              <w:rPr>
                <w:rStyle w:val="CharacterStyle12"/>
              </w:rPr>
              <w:t>140.000,00</w:t>
            </w:r>
          </w:p>
        </w:tc>
        <w:tc>
          <w:tcPr>
            <w:tcW w:w="1395" w:type="dxa"/>
            <w:tcBorders>
              <w:bottom w:val="single" w:sz="6" w:space="0" w:color="000000"/>
              <w:right w:val="single" w:sz="6" w:space="0" w:color="000000"/>
            </w:tcBorders>
            <w:vAlign w:val="center"/>
          </w:tcPr>
          <w:p w14:paraId="58D8FC51" w14:textId="77777777" w:rsidR="007D706A" w:rsidRDefault="007D706A" w:rsidP="00F70508">
            <w:pPr>
              <w:pStyle w:val="ParagraphStyle12"/>
              <w:rPr>
                <w:rStyle w:val="CharacterStyle12"/>
              </w:rPr>
            </w:pPr>
            <w:r>
              <w:rPr>
                <w:rStyle w:val="CharacterStyle12"/>
              </w:rPr>
              <w:t>145.000,00</w:t>
            </w:r>
          </w:p>
        </w:tc>
      </w:tr>
      <w:tr w:rsidR="007D706A" w14:paraId="5831317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011B3AA" w14:textId="77777777" w:rsidR="007D706A" w:rsidRDefault="007D706A" w:rsidP="00F70508">
            <w:pPr>
              <w:pStyle w:val="ParagraphStyle10"/>
              <w:rPr>
                <w:rStyle w:val="CharacterStyle10"/>
              </w:rPr>
            </w:pPr>
            <w:r>
              <w:rPr>
                <w:rStyle w:val="CharacterStyle10"/>
              </w:rPr>
              <w:t>38</w:t>
            </w:r>
          </w:p>
        </w:tc>
        <w:tc>
          <w:tcPr>
            <w:tcW w:w="4995" w:type="dxa"/>
            <w:tcBorders>
              <w:bottom w:val="single" w:sz="6" w:space="0" w:color="000000"/>
              <w:right w:val="single" w:sz="6" w:space="0" w:color="000000"/>
            </w:tcBorders>
            <w:vAlign w:val="center"/>
          </w:tcPr>
          <w:p w14:paraId="62263BA6" w14:textId="77777777" w:rsidR="007D706A" w:rsidRDefault="007D706A" w:rsidP="00F70508">
            <w:pPr>
              <w:pStyle w:val="ParagraphStyle11"/>
              <w:rPr>
                <w:rStyle w:val="CharacterStyle11"/>
              </w:rPr>
            </w:pPr>
            <w:r>
              <w:rPr>
                <w:rStyle w:val="CharacterStyle11"/>
              </w:rPr>
              <w:t>Rashodi za donacije, kazne, naknade šteta i kapitalne pomoći</w:t>
            </w:r>
          </w:p>
        </w:tc>
        <w:tc>
          <w:tcPr>
            <w:tcW w:w="1395" w:type="dxa"/>
            <w:tcBorders>
              <w:bottom w:val="single" w:sz="6" w:space="0" w:color="000000"/>
              <w:right w:val="single" w:sz="6" w:space="0" w:color="000000"/>
            </w:tcBorders>
            <w:vAlign w:val="center"/>
          </w:tcPr>
          <w:p w14:paraId="6FCB46A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462CF28" w14:textId="77777777" w:rsidR="007D706A" w:rsidRDefault="007D706A" w:rsidP="00F70508">
            <w:pPr>
              <w:pStyle w:val="ParagraphStyle12"/>
              <w:rPr>
                <w:rStyle w:val="CharacterStyle12"/>
              </w:rPr>
            </w:pPr>
            <w:r>
              <w:rPr>
                <w:rStyle w:val="CharacterStyle12"/>
              </w:rPr>
              <w:t>115.000,00</w:t>
            </w:r>
          </w:p>
        </w:tc>
        <w:tc>
          <w:tcPr>
            <w:tcW w:w="1395" w:type="dxa"/>
            <w:tcBorders>
              <w:bottom w:val="single" w:sz="6" w:space="0" w:color="000000"/>
              <w:right w:val="single" w:sz="6" w:space="0" w:color="000000"/>
            </w:tcBorders>
            <w:vAlign w:val="center"/>
          </w:tcPr>
          <w:p w14:paraId="3DB224D9" w14:textId="77777777" w:rsidR="007D706A" w:rsidRDefault="007D706A" w:rsidP="00F70508">
            <w:pPr>
              <w:pStyle w:val="ParagraphStyle12"/>
              <w:rPr>
                <w:rStyle w:val="CharacterStyle12"/>
              </w:rPr>
            </w:pPr>
            <w:r>
              <w:rPr>
                <w:rStyle w:val="CharacterStyle12"/>
              </w:rPr>
              <w:t>135.000,00</w:t>
            </w:r>
          </w:p>
        </w:tc>
        <w:tc>
          <w:tcPr>
            <w:tcW w:w="1395" w:type="dxa"/>
            <w:tcBorders>
              <w:bottom w:val="single" w:sz="6" w:space="0" w:color="000000"/>
              <w:right w:val="single" w:sz="6" w:space="0" w:color="000000"/>
            </w:tcBorders>
            <w:vAlign w:val="center"/>
          </w:tcPr>
          <w:p w14:paraId="763C6136" w14:textId="77777777" w:rsidR="007D706A" w:rsidRDefault="007D706A" w:rsidP="00F70508">
            <w:pPr>
              <w:pStyle w:val="ParagraphStyle12"/>
              <w:rPr>
                <w:rStyle w:val="CharacterStyle12"/>
              </w:rPr>
            </w:pPr>
            <w:r>
              <w:rPr>
                <w:rStyle w:val="CharacterStyle12"/>
              </w:rPr>
              <w:t>140.000,00</w:t>
            </w:r>
          </w:p>
        </w:tc>
        <w:tc>
          <w:tcPr>
            <w:tcW w:w="1395" w:type="dxa"/>
            <w:tcBorders>
              <w:bottom w:val="single" w:sz="6" w:space="0" w:color="000000"/>
              <w:right w:val="single" w:sz="6" w:space="0" w:color="000000"/>
            </w:tcBorders>
            <w:vAlign w:val="center"/>
          </w:tcPr>
          <w:p w14:paraId="056A404B" w14:textId="77777777" w:rsidR="007D706A" w:rsidRDefault="007D706A" w:rsidP="00F70508">
            <w:pPr>
              <w:pStyle w:val="ParagraphStyle12"/>
              <w:rPr>
                <w:rStyle w:val="CharacterStyle12"/>
              </w:rPr>
            </w:pPr>
            <w:r>
              <w:rPr>
                <w:rStyle w:val="CharacterStyle12"/>
              </w:rPr>
              <w:t>145.000,00</w:t>
            </w:r>
          </w:p>
        </w:tc>
      </w:tr>
      <w:tr w:rsidR="007D706A" w14:paraId="6E50A7D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243B995" w14:textId="77777777" w:rsidR="007D706A" w:rsidRDefault="007D706A" w:rsidP="00F70508">
            <w:pPr>
              <w:pStyle w:val="ParagraphStyle4"/>
              <w:rPr>
                <w:rStyle w:val="CharacterStyle4"/>
              </w:rPr>
            </w:pPr>
            <w:r>
              <w:rPr>
                <w:rStyle w:val="CharacterStyle4"/>
              </w:rPr>
              <w:t>Aktivnost A102711</w:t>
            </w:r>
          </w:p>
        </w:tc>
        <w:tc>
          <w:tcPr>
            <w:tcW w:w="4995" w:type="dxa"/>
            <w:tcBorders>
              <w:bottom w:val="single" w:sz="6" w:space="0" w:color="000000"/>
              <w:right w:val="single" w:sz="6" w:space="0" w:color="000000"/>
            </w:tcBorders>
            <w:vAlign w:val="center"/>
          </w:tcPr>
          <w:p w14:paraId="2B338609" w14:textId="77777777" w:rsidR="007D706A" w:rsidRDefault="007D706A" w:rsidP="00F70508">
            <w:pPr>
              <w:pStyle w:val="ParagraphStyle5"/>
              <w:rPr>
                <w:rStyle w:val="CharacterStyle5"/>
              </w:rPr>
            </w:pPr>
            <w:r>
              <w:rPr>
                <w:rStyle w:val="CharacterStyle5"/>
              </w:rPr>
              <w:t>ADVENTSKA PRIČA</w:t>
            </w:r>
          </w:p>
        </w:tc>
        <w:tc>
          <w:tcPr>
            <w:tcW w:w="1395" w:type="dxa"/>
            <w:tcBorders>
              <w:bottom w:val="single" w:sz="6" w:space="0" w:color="000000"/>
              <w:right w:val="single" w:sz="6" w:space="0" w:color="000000"/>
            </w:tcBorders>
            <w:vAlign w:val="center"/>
          </w:tcPr>
          <w:p w14:paraId="72A9D950"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7902CE4A" w14:textId="77777777" w:rsidR="007D706A" w:rsidRDefault="007D706A" w:rsidP="00F70508">
            <w:pPr>
              <w:pStyle w:val="ParagraphStyle6"/>
              <w:rPr>
                <w:rStyle w:val="CharacterStyle6"/>
              </w:rPr>
            </w:pPr>
            <w:r>
              <w:rPr>
                <w:rStyle w:val="CharacterStyle6"/>
              </w:rPr>
              <w:t>96.000,00</w:t>
            </w:r>
          </w:p>
        </w:tc>
        <w:tc>
          <w:tcPr>
            <w:tcW w:w="1395" w:type="dxa"/>
            <w:tcBorders>
              <w:bottom w:val="single" w:sz="6" w:space="0" w:color="000000"/>
              <w:right w:val="single" w:sz="6" w:space="0" w:color="000000"/>
            </w:tcBorders>
            <w:vAlign w:val="center"/>
          </w:tcPr>
          <w:p w14:paraId="7BB0F360" w14:textId="77777777" w:rsidR="007D706A" w:rsidRDefault="007D706A" w:rsidP="00F70508">
            <w:pPr>
              <w:pStyle w:val="ParagraphStyle6"/>
              <w:rPr>
                <w:rStyle w:val="CharacterStyle6"/>
              </w:rPr>
            </w:pPr>
            <w:r>
              <w:rPr>
                <w:rStyle w:val="CharacterStyle6"/>
              </w:rPr>
              <w:t>223.500,00</w:t>
            </w:r>
          </w:p>
        </w:tc>
        <w:tc>
          <w:tcPr>
            <w:tcW w:w="1395" w:type="dxa"/>
            <w:tcBorders>
              <w:bottom w:val="single" w:sz="6" w:space="0" w:color="000000"/>
              <w:right w:val="single" w:sz="6" w:space="0" w:color="000000"/>
            </w:tcBorders>
            <w:vAlign w:val="center"/>
          </w:tcPr>
          <w:p w14:paraId="4E75ABE0" w14:textId="77777777" w:rsidR="007D706A" w:rsidRDefault="007D706A" w:rsidP="00F70508">
            <w:pPr>
              <w:pStyle w:val="ParagraphStyle6"/>
              <w:rPr>
                <w:rStyle w:val="CharacterStyle6"/>
              </w:rPr>
            </w:pPr>
            <w:r>
              <w:rPr>
                <w:rStyle w:val="CharacterStyle6"/>
              </w:rPr>
              <w:t>224.000,00</w:t>
            </w:r>
          </w:p>
        </w:tc>
        <w:tc>
          <w:tcPr>
            <w:tcW w:w="1395" w:type="dxa"/>
            <w:tcBorders>
              <w:bottom w:val="single" w:sz="6" w:space="0" w:color="000000"/>
              <w:right w:val="single" w:sz="6" w:space="0" w:color="000000"/>
            </w:tcBorders>
            <w:vAlign w:val="center"/>
          </w:tcPr>
          <w:p w14:paraId="134F8FE9" w14:textId="77777777" w:rsidR="007D706A" w:rsidRDefault="007D706A" w:rsidP="00F70508">
            <w:pPr>
              <w:pStyle w:val="ParagraphStyle6"/>
              <w:rPr>
                <w:rStyle w:val="CharacterStyle6"/>
              </w:rPr>
            </w:pPr>
            <w:r>
              <w:rPr>
                <w:rStyle w:val="CharacterStyle6"/>
              </w:rPr>
              <w:t>224.000,00</w:t>
            </w:r>
          </w:p>
        </w:tc>
      </w:tr>
      <w:tr w:rsidR="007D706A" w14:paraId="2B84C19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7431CC0"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54B2B629"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67031683"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C8394B3"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EEC938E" w14:textId="77777777" w:rsidR="007D706A" w:rsidRDefault="007D706A" w:rsidP="00F70508">
            <w:pPr>
              <w:pStyle w:val="ParagraphStyle9"/>
              <w:rPr>
                <w:rStyle w:val="CharacterStyle9"/>
              </w:rPr>
            </w:pPr>
            <w:r>
              <w:rPr>
                <w:rStyle w:val="CharacterStyle9"/>
              </w:rPr>
              <w:t>150.000,00</w:t>
            </w:r>
          </w:p>
        </w:tc>
        <w:tc>
          <w:tcPr>
            <w:tcW w:w="1395" w:type="dxa"/>
            <w:tcBorders>
              <w:bottom w:val="single" w:sz="6" w:space="0" w:color="000000"/>
              <w:right w:val="single" w:sz="6" w:space="0" w:color="000000"/>
            </w:tcBorders>
            <w:vAlign w:val="center"/>
          </w:tcPr>
          <w:p w14:paraId="34E5AA98"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9CE544B" w14:textId="77777777" w:rsidR="007D706A" w:rsidRDefault="007D706A" w:rsidP="00F70508">
            <w:pPr>
              <w:pStyle w:val="ParagraphStyle9"/>
              <w:rPr>
                <w:rStyle w:val="CharacterStyle9"/>
              </w:rPr>
            </w:pPr>
            <w:r>
              <w:rPr>
                <w:rStyle w:val="CharacterStyle9"/>
              </w:rPr>
              <w:t>0,00</w:t>
            </w:r>
          </w:p>
        </w:tc>
      </w:tr>
      <w:tr w:rsidR="007D706A" w14:paraId="3BB7F01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F03EA31"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743C2AF2"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43487B4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EAD317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54FC606" w14:textId="77777777" w:rsidR="007D706A" w:rsidRDefault="007D706A" w:rsidP="00F70508">
            <w:pPr>
              <w:pStyle w:val="ParagraphStyle12"/>
              <w:rPr>
                <w:rStyle w:val="CharacterStyle12"/>
              </w:rPr>
            </w:pPr>
            <w:r>
              <w:rPr>
                <w:rStyle w:val="CharacterStyle12"/>
              </w:rPr>
              <w:t>150.000,00</w:t>
            </w:r>
          </w:p>
        </w:tc>
        <w:tc>
          <w:tcPr>
            <w:tcW w:w="1395" w:type="dxa"/>
            <w:tcBorders>
              <w:bottom w:val="single" w:sz="6" w:space="0" w:color="000000"/>
              <w:right w:val="single" w:sz="6" w:space="0" w:color="000000"/>
            </w:tcBorders>
            <w:vAlign w:val="center"/>
          </w:tcPr>
          <w:p w14:paraId="406CB09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4BE8318" w14:textId="77777777" w:rsidR="007D706A" w:rsidRDefault="007D706A" w:rsidP="00F70508">
            <w:pPr>
              <w:pStyle w:val="ParagraphStyle12"/>
              <w:rPr>
                <w:rStyle w:val="CharacterStyle12"/>
              </w:rPr>
            </w:pPr>
            <w:r>
              <w:rPr>
                <w:rStyle w:val="CharacterStyle12"/>
              </w:rPr>
              <w:t>0,00</w:t>
            </w:r>
          </w:p>
        </w:tc>
      </w:tr>
      <w:tr w:rsidR="007D706A" w14:paraId="12363876"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A823098"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0F8EFE54"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7BBF9E7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12E9BF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422F646" w14:textId="77777777" w:rsidR="007D706A" w:rsidRDefault="007D706A" w:rsidP="00F70508">
            <w:pPr>
              <w:pStyle w:val="ParagraphStyle12"/>
              <w:rPr>
                <w:rStyle w:val="CharacterStyle12"/>
              </w:rPr>
            </w:pPr>
            <w:r>
              <w:rPr>
                <w:rStyle w:val="CharacterStyle12"/>
              </w:rPr>
              <w:t>150.000,00</w:t>
            </w:r>
          </w:p>
        </w:tc>
        <w:tc>
          <w:tcPr>
            <w:tcW w:w="1395" w:type="dxa"/>
            <w:tcBorders>
              <w:bottom w:val="single" w:sz="6" w:space="0" w:color="000000"/>
              <w:right w:val="single" w:sz="6" w:space="0" w:color="000000"/>
            </w:tcBorders>
            <w:vAlign w:val="center"/>
          </w:tcPr>
          <w:p w14:paraId="7C4ED29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6F0E2B5" w14:textId="77777777" w:rsidR="007D706A" w:rsidRDefault="007D706A" w:rsidP="00F70508">
            <w:pPr>
              <w:pStyle w:val="ParagraphStyle12"/>
              <w:rPr>
                <w:rStyle w:val="CharacterStyle12"/>
              </w:rPr>
            </w:pPr>
            <w:r>
              <w:rPr>
                <w:rStyle w:val="CharacterStyle12"/>
              </w:rPr>
              <w:t>0,00</w:t>
            </w:r>
          </w:p>
        </w:tc>
      </w:tr>
      <w:tr w:rsidR="007D706A" w14:paraId="464D125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520C056" w14:textId="77777777" w:rsidR="007D706A" w:rsidRDefault="007D706A" w:rsidP="00F70508">
            <w:pPr>
              <w:pStyle w:val="ParagraphStyle7"/>
              <w:rPr>
                <w:rStyle w:val="CharacterStyle7"/>
              </w:rPr>
            </w:pPr>
            <w:r>
              <w:rPr>
                <w:rStyle w:val="CharacterStyle7"/>
              </w:rPr>
              <w:t>Izvor financiranja 41</w:t>
            </w:r>
          </w:p>
        </w:tc>
        <w:tc>
          <w:tcPr>
            <w:tcW w:w="4995" w:type="dxa"/>
            <w:tcBorders>
              <w:bottom w:val="single" w:sz="6" w:space="0" w:color="000000"/>
              <w:right w:val="single" w:sz="6" w:space="0" w:color="000000"/>
            </w:tcBorders>
            <w:vAlign w:val="center"/>
          </w:tcPr>
          <w:p w14:paraId="147F894C" w14:textId="77777777" w:rsidR="007D706A" w:rsidRDefault="007D706A" w:rsidP="00F70508">
            <w:pPr>
              <w:pStyle w:val="ParagraphStyle8"/>
              <w:rPr>
                <w:rStyle w:val="CharacterStyle8"/>
              </w:rPr>
            </w:pPr>
            <w:r>
              <w:rPr>
                <w:rStyle w:val="CharacterStyle8"/>
              </w:rPr>
              <w:t>Prihodi za posebne namjene</w:t>
            </w:r>
          </w:p>
        </w:tc>
        <w:tc>
          <w:tcPr>
            <w:tcW w:w="1395" w:type="dxa"/>
            <w:tcBorders>
              <w:bottom w:val="single" w:sz="6" w:space="0" w:color="000000"/>
              <w:right w:val="single" w:sz="6" w:space="0" w:color="000000"/>
            </w:tcBorders>
            <w:vAlign w:val="center"/>
          </w:tcPr>
          <w:p w14:paraId="7BC2EB38"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FC6AF89" w14:textId="77777777" w:rsidR="007D706A" w:rsidRDefault="007D706A" w:rsidP="00F70508">
            <w:pPr>
              <w:pStyle w:val="ParagraphStyle9"/>
              <w:rPr>
                <w:rStyle w:val="CharacterStyle9"/>
              </w:rPr>
            </w:pPr>
            <w:r>
              <w:rPr>
                <w:rStyle w:val="CharacterStyle9"/>
              </w:rPr>
              <w:t>96.000,00</w:t>
            </w:r>
          </w:p>
        </w:tc>
        <w:tc>
          <w:tcPr>
            <w:tcW w:w="1395" w:type="dxa"/>
            <w:tcBorders>
              <w:bottom w:val="single" w:sz="6" w:space="0" w:color="000000"/>
              <w:right w:val="single" w:sz="6" w:space="0" w:color="000000"/>
            </w:tcBorders>
            <w:vAlign w:val="center"/>
          </w:tcPr>
          <w:p w14:paraId="04492611"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5460111"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9A3A710" w14:textId="77777777" w:rsidR="007D706A" w:rsidRDefault="007D706A" w:rsidP="00F70508">
            <w:pPr>
              <w:pStyle w:val="ParagraphStyle9"/>
              <w:rPr>
                <w:rStyle w:val="CharacterStyle9"/>
              </w:rPr>
            </w:pPr>
            <w:r>
              <w:rPr>
                <w:rStyle w:val="CharacterStyle9"/>
              </w:rPr>
              <w:t>0,00</w:t>
            </w:r>
          </w:p>
        </w:tc>
      </w:tr>
      <w:tr w:rsidR="007D706A" w14:paraId="56C37B4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5C655CD"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74D64F0B"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5CA3545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0E6F3C2" w14:textId="77777777" w:rsidR="007D706A" w:rsidRDefault="007D706A" w:rsidP="00F70508">
            <w:pPr>
              <w:pStyle w:val="ParagraphStyle12"/>
              <w:rPr>
                <w:rStyle w:val="CharacterStyle12"/>
              </w:rPr>
            </w:pPr>
            <w:r>
              <w:rPr>
                <w:rStyle w:val="CharacterStyle12"/>
              </w:rPr>
              <w:t>96.000,00</w:t>
            </w:r>
          </w:p>
        </w:tc>
        <w:tc>
          <w:tcPr>
            <w:tcW w:w="1395" w:type="dxa"/>
            <w:tcBorders>
              <w:bottom w:val="single" w:sz="6" w:space="0" w:color="000000"/>
              <w:right w:val="single" w:sz="6" w:space="0" w:color="000000"/>
            </w:tcBorders>
            <w:vAlign w:val="center"/>
          </w:tcPr>
          <w:p w14:paraId="372219C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243483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A35A338" w14:textId="77777777" w:rsidR="007D706A" w:rsidRDefault="007D706A" w:rsidP="00F70508">
            <w:pPr>
              <w:pStyle w:val="ParagraphStyle12"/>
              <w:rPr>
                <w:rStyle w:val="CharacterStyle12"/>
              </w:rPr>
            </w:pPr>
            <w:r>
              <w:rPr>
                <w:rStyle w:val="CharacterStyle12"/>
              </w:rPr>
              <w:t>0,00</w:t>
            </w:r>
          </w:p>
        </w:tc>
      </w:tr>
      <w:tr w:rsidR="007D706A" w14:paraId="018D81F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45C3346"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0027C2ED"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106D9DF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85107F5" w14:textId="77777777" w:rsidR="007D706A" w:rsidRDefault="007D706A" w:rsidP="00F70508">
            <w:pPr>
              <w:pStyle w:val="ParagraphStyle12"/>
              <w:rPr>
                <w:rStyle w:val="CharacterStyle12"/>
              </w:rPr>
            </w:pPr>
            <w:r>
              <w:rPr>
                <w:rStyle w:val="CharacterStyle12"/>
              </w:rPr>
              <w:t>96.000,00</w:t>
            </w:r>
          </w:p>
        </w:tc>
        <w:tc>
          <w:tcPr>
            <w:tcW w:w="1395" w:type="dxa"/>
            <w:tcBorders>
              <w:bottom w:val="single" w:sz="6" w:space="0" w:color="000000"/>
              <w:right w:val="single" w:sz="6" w:space="0" w:color="000000"/>
            </w:tcBorders>
            <w:vAlign w:val="center"/>
          </w:tcPr>
          <w:p w14:paraId="37AB2F4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D42A59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0D68A89" w14:textId="77777777" w:rsidR="007D706A" w:rsidRDefault="007D706A" w:rsidP="00F70508">
            <w:pPr>
              <w:pStyle w:val="ParagraphStyle12"/>
              <w:rPr>
                <w:rStyle w:val="CharacterStyle12"/>
              </w:rPr>
            </w:pPr>
            <w:r>
              <w:rPr>
                <w:rStyle w:val="CharacterStyle12"/>
              </w:rPr>
              <w:t>0,00</w:t>
            </w:r>
          </w:p>
        </w:tc>
      </w:tr>
      <w:tr w:rsidR="007D706A" w14:paraId="42571C8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CBF8C31" w14:textId="77777777" w:rsidR="007D706A" w:rsidRDefault="007D706A" w:rsidP="00F70508">
            <w:pPr>
              <w:pStyle w:val="ParagraphStyle7"/>
              <w:rPr>
                <w:rStyle w:val="CharacterStyle7"/>
              </w:rPr>
            </w:pPr>
            <w:r>
              <w:rPr>
                <w:rStyle w:val="CharacterStyle7"/>
              </w:rPr>
              <w:t>Izvor financiranja 43</w:t>
            </w:r>
          </w:p>
        </w:tc>
        <w:tc>
          <w:tcPr>
            <w:tcW w:w="4995" w:type="dxa"/>
            <w:tcBorders>
              <w:bottom w:val="single" w:sz="6" w:space="0" w:color="000000"/>
              <w:right w:val="single" w:sz="6" w:space="0" w:color="000000"/>
            </w:tcBorders>
            <w:vAlign w:val="center"/>
          </w:tcPr>
          <w:p w14:paraId="4B71F4C4" w14:textId="77777777" w:rsidR="007D706A" w:rsidRDefault="007D706A" w:rsidP="00F70508">
            <w:pPr>
              <w:pStyle w:val="ParagraphStyle8"/>
              <w:rPr>
                <w:rStyle w:val="CharacterStyle8"/>
              </w:rPr>
            </w:pPr>
            <w:r>
              <w:rPr>
                <w:rStyle w:val="CharacterStyle8"/>
              </w:rPr>
              <w:t>Ostali prihodi za posebne namjene</w:t>
            </w:r>
          </w:p>
        </w:tc>
        <w:tc>
          <w:tcPr>
            <w:tcW w:w="1395" w:type="dxa"/>
            <w:tcBorders>
              <w:bottom w:val="single" w:sz="6" w:space="0" w:color="000000"/>
              <w:right w:val="single" w:sz="6" w:space="0" w:color="000000"/>
            </w:tcBorders>
            <w:vAlign w:val="center"/>
          </w:tcPr>
          <w:p w14:paraId="6DC7D4AF"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6373F0D"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07AAAC4" w14:textId="77777777" w:rsidR="007D706A" w:rsidRDefault="007D706A" w:rsidP="00F70508">
            <w:pPr>
              <w:pStyle w:val="ParagraphStyle9"/>
              <w:rPr>
                <w:rStyle w:val="CharacterStyle9"/>
              </w:rPr>
            </w:pPr>
            <w:r>
              <w:rPr>
                <w:rStyle w:val="CharacterStyle9"/>
              </w:rPr>
              <w:t>73.500,00</w:t>
            </w:r>
          </w:p>
        </w:tc>
        <w:tc>
          <w:tcPr>
            <w:tcW w:w="1395" w:type="dxa"/>
            <w:tcBorders>
              <w:bottom w:val="single" w:sz="6" w:space="0" w:color="000000"/>
              <w:right w:val="single" w:sz="6" w:space="0" w:color="000000"/>
            </w:tcBorders>
            <w:vAlign w:val="center"/>
          </w:tcPr>
          <w:p w14:paraId="6CF60142" w14:textId="77777777" w:rsidR="007D706A" w:rsidRDefault="007D706A" w:rsidP="00F70508">
            <w:pPr>
              <w:pStyle w:val="ParagraphStyle9"/>
              <w:rPr>
                <w:rStyle w:val="CharacterStyle9"/>
              </w:rPr>
            </w:pPr>
            <w:r>
              <w:rPr>
                <w:rStyle w:val="CharacterStyle9"/>
              </w:rPr>
              <w:t>224.000,00</w:t>
            </w:r>
          </w:p>
        </w:tc>
        <w:tc>
          <w:tcPr>
            <w:tcW w:w="1395" w:type="dxa"/>
            <w:tcBorders>
              <w:bottom w:val="single" w:sz="6" w:space="0" w:color="000000"/>
              <w:right w:val="single" w:sz="6" w:space="0" w:color="000000"/>
            </w:tcBorders>
            <w:vAlign w:val="center"/>
          </w:tcPr>
          <w:p w14:paraId="349B3BEF" w14:textId="77777777" w:rsidR="007D706A" w:rsidRDefault="007D706A" w:rsidP="00F70508">
            <w:pPr>
              <w:pStyle w:val="ParagraphStyle9"/>
              <w:rPr>
                <w:rStyle w:val="CharacterStyle9"/>
              </w:rPr>
            </w:pPr>
            <w:r>
              <w:rPr>
                <w:rStyle w:val="CharacterStyle9"/>
              </w:rPr>
              <w:t>224.000,00</w:t>
            </w:r>
          </w:p>
        </w:tc>
      </w:tr>
      <w:tr w:rsidR="007D706A" w14:paraId="445D74C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2ED9B84"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1073ED33"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4A5F73A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AE3A08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9917DD6" w14:textId="77777777" w:rsidR="007D706A" w:rsidRDefault="007D706A" w:rsidP="00F70508">
            <w:pPr>
              <w:pStyle w:val="ParagraphStyle12"/>
              <w:rPr>
                <w:rStyle w:val="CharacterStyle12"/>
              </w:rPr>
            </w:pPr>
            <w:r>
              <w:rPr>
                <w:rStyle w:val="CharacterStyle12"/>
              </w:rPr>
              <w:t>73.500,00</w:t>
            </w:r>
          </w:p>
        </w:tc>
        <w:tc>
          <w:tcPr>
            <w:tcW w:w="1395" w:type="dxa"/>
            <w:tcBorders>
              <w:bottom w:val="single" w:sz="6" w:space="0" w:color="000000"/>
              <w:right w:val="single" w:sz="6" w:space="0" w:color="000000"/>
            </w:tcBorders>
            <w:vAlign w:val="center"/>
          </w:tcPr>
          <w:p w14:paraId="7D952FB7" w14:textId="77777777" w:rsidR="007D706A" w:rsidRDefault="007D706A" w:rsidP="00F70508">
            <w:pPr>
              <w:pStyle w:val="ParagraphStyle12"/>
              <w:rPr>
                <w:rStyle w:val="CharacterStyle12"/>
              </w:rPr>
            </w:pPr>
            <w:r>
              <w:rPr>
                <w:rStyle w:val="CharacterStyle12"/>
              </w:rPr>
              <w:t>224.000,00</w:t>
            </w:r>
          </w:p>
        </w:tc>
        <w:tc>
          <w:tcPr>
            <w:tcW w:w="1395" w:type="dxa"/>
            <w:tcBorders>
              <w:bottom w:val="single" w:sz="6" w:space="0" w:color="000000"/>
              <w:right w:val="single" w:sz="6" w:space="0" w:color="000000"/>
            </w:tcBorders>
            <w:vAlign w:val="center"/>
          </w:tcPr>
          <w:p w14:paraId="5F54696D" w14:textId="77777777" w:rsidR="007D706A" w:rsidRDefault="007D706A" w:rsidP="00F70508">
            <w:pPr>
              <w:pStyle w:val="ParagraphStyle12"/>
              <w:rPr>
                <w:rStyle w:val="CharacterStyle12"/>
              </w:rPr>
            </w:pPr>
            <w:r>
              <w:rPr>
                <w:rStyle w:val="CharacterStyle12"/>
              </w:rPr>
              <w:t>224.000,00</w:t>
            </w:r>
          </w:p>
        </w:tc>
      </w:tr>
      <w:tr w:rsidR="007D706A" w14:paraId="2541E1C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056E67D"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30D53994"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7F0EB96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2EABD8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276485A" w14:textId="77777777" w:rsidR="007D706A" w:rsidRDefault="007D706A" w:rsidP="00F70508">
            <w:pPr>
              <w:pStyle w:val="ParagraphStyle12"/>
              <w:rPr>
                <w:rStyle w:val="CharacterStyle12"/>
              </w:rPr>
            </w:pPr>
            <w:r>
              <w:rPr>
                <w:rStyle w:val="CharacterStyle12"/>
              </w:rPr>
              <w:t>73.500,00</w:t>
            </w:r>
          </w:p>
        </w:tc>
        <w:tc>
          <w:tcPr>
            <w:tcW w:w="1395" w:type="dxa"/>
            <w:tcBorders>
              <w:bottom w:val="single" w:sz="6" w:space="0" w:color="000000"/>
              <w:right w:val="single" w:sz="6" w:space="0" w:color="000000"/>
            </w:tcBorders>
            <w:vAlign w:val="center"/>
          </w:tcPr>
          <w:p w14:paraId="7EC269DA" w14:textId="77777777" w:rsidR="007D706A" w:rsidRDefault="007D706A" w:rsidP="00F70508">
            <w:pPr>
              <w:pStyle w:val="ParagraphStyle12"/>
              <w:rPr>
                <w:rStyle w:val="CharacterStyle12"/>
              </w:rPr>
            </w:pPr>
            <w:r>
              <w:rPr>
                <w:rStyle w:val="CharacterStyle12"/>
              </w:rPr>
              <w:t>224.000,00</w:t>
            </w:r>
          </w:p>
        </w:tc>
        <w:tc>
          <w:tcPr>
            <w:tcW w:w="1395" w:type="dxa"/>
            <w:tcBorders>
              <w:bottom w:val="single" w:sz="6" w:space="0" w:color="000000"/>
              <w:right w:val="single" w:sz="6" w:space="0" w:color="000000"/>
            </w:tcBorders>
            <w:vAlign w:val="center"/>
          </w:tcPr>
          <w:p w14:paraId="0363C324" w14:textId="77777777" w:rsidR="007D706A" w:rsidRDefault="007D706A" w:rsidP="00F70508">
            <w:pPr>
              <w:pStyle w:val="ParagraphStyle12"/>
              <w:rPr>
                <w:rStyle w:val="CharacterStyle12"/>
              </w:rPr>
            </w:pPr>
            <w:r>
              <w:rPr>
                <w:rStyle w:val="CharacterStyle12"/>
              </w:rPr>
              <w:t>224.000,00</w:t>
            </w:r>
          </w:p>
        </w:tc>
      </w:tr>
      <w:tr w:rsidR="007D706A" w14:paraId="33258316"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B7F040D" w14:textId="77777777" w:rsidR="007D706A" w:rsidRDefault="007D706A" w:rsidP="00F70508">
            <w:pPr>
              <w:pStyle w:val="ParagraphStyle4"/>
              <w:rPr>
                <w:rStyle w:val="CharacterStyle4"/>
              </w:rPr>
            </w:pPr>
            <w:r>
              <w:rPr>
                <w:rStyle w:val="CharacterStyle4"/>
              </w:rPr>
              <w:t>Aktivnost A102703</w:t>
            </w:r>
          </w:p>
        </w:tc>
        <w:tc>
          <w:tcPr>
            <w:tcW w:w="4995" w:type="dxa"/>
            <w:tcBorders>
              <w:bottom w:val="single" w:sz="6" w:space="0" w:color="000000"/>
              <w:right w:val="single" w:sz="6" w:space="0" w:color="000000"/>
            </w:tcBorders>
            <w:vAlign w:val="center"/>
          </w:tcPr>
          <w:p w14:paraId="02CB5D7D" w14:textId="77777777" w:rsidR="007D706A" w:rsidRDefault="007D706A" w:rsidP="00F70508">
            <w:pPr>
              <w:pStyle w:val="ParagraphStyle5"/>
              <w:rPr>
                <w:rStyle w:val="CharacterStyle5"/>
              </w:rPr>
            </w:pPr>
            <w:r>
              <w:rPr>
                <w:rStyle w:val="CharacterStyle5"/>
              </w:rPr>
              <w:t>PROGRAM OBILJEŽAVANJA DANA GRADA</w:t>
            </w:r>
          </w:p>
        </w:tc>
        <w:tc>
          <w:tcPr>
            <w:tcW w:w="1395" w:type="dxa"/>
            <w:tcBorders>
              <w:bottom w:val="single" w:sz="6" w:space="0" w:color="000000"/>
              <w:right w:val="single" w:sz="6" w:space="0" w:color="000000"/>
            </w:tcBorders>
            <w:vAlign w:val="center"/>
          </w:tcPr>
          <w:p w14:paraId="4ECE3424"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57B3179B" w14:textId="77777777" w:rsidR="007D706A" w:rsidRDefault="007D706A" w:rsidP="00F70508">
            <w:pPr>
              <w:pStyle w:val="ParagraphStyle6"/>
              <w:rPr>
                <w:rStyle w:val="CharacterStyle6"/>
              </w:rPr>
            </w:pPr>
            <w:r>
              <w:rPr>
                <w:rStyle w:val="CharacterStyle6"/>
              </w:rPr>
              <w:t>60.000,00</w:t>
            </w:r>
          </w:p>
        </w:tc>
        <w:tc>
          <w:tcPr>
            <w:tcW w:w="1395" w:type="dxa"/>
            <w:tcBorders>
              <w:bottom w:val="single" w:sz="6" w:space="0" w:color="000000"/>
              <w:right w:val="single" w:sz="6" w:space="0" w:color="000000"/>
            </w:tcBorders>
            <w:vAlign w:val="center"/>
          </w:tcPr>
          <w:p w14:paraId="0C9D6D94" w14:textId="77777777" w:rsidR="007D706A" w:rsidRDefault="007D706A" w:rsidP="00F70508">
            <w:pPr>
              <w:pStyle w:val="ParagraphStyle6"/>
              <w:rPr>
                <w:rStyle w:val="CharacterStyle6"/>
              </w:rPr>
            </w:pPr>
            <w:r>
              <w:rPr>
                <w:rStyle w:val="CharacterStyle6"/>
              </w:rPr>
              <w:t>210.000,00</w:t>
            </w:r>
          </w:p>
        </w:tc>
        <w:tc>
          <w:tcPr>
            <w:tcW w:w="1395" w:type="dxa"/>
            <w:tcBorders>
              <w:bottom w:val="single" w:sz="6" w:space="0" w:color="000000"/>
              <w:right w:val="single" w:sz="6" w:space="0" w:color="000000"/>
            </w:tcBorders>
            <w:vAlign w:val="center"/>
          </w:tcPr>
          <w:p w14:paraId="0E817932" w14:textId="77777777" w:rsidR="007D706A" w:rsidRDefault="007D706A" w:rsidP="00F70508">
            <w:pPr>
              <w:pStyle w:val="ParagraphStyle6"/>
              <w:rPr>
                <w:rStyle w:val="CharacterStyle6"/>
              </w:rPr>
            </w:pPr>
            <w:r>
              <w:rPr>
                <w:rStyle w:val="CharacterStyle6"/>
              </w:rPr>
              <w:t>149.000,00</w:t>
            </w:r>
          </w:p>
        </w:tc>
        <w:tc>
          <w:tcPr>
            <w:tcW w:w="1395" w:type="dxa"/>
            <w:tcBorders>
              <w:bottom w:val="single" w:sz="6" w:space="0" w:color="000000"/>
              <w:right w:val="single" w:sz="6" w:space="0" w:color="000000"/>
            </w:tcBorders>
            <w:vAlign w:val="center"/>
          </w:tcPr>
          <w:p w14:paraId="18133002" w14:textId="77777777" w:rsidR="007D706A" w:rsidRDefault="007D706A" w:rsidP="00F70508">
            <w:pPr>
              <w:pStyle w:val="ParagraphStyle6"/>
              <w:rPr>
                <w:rStyle w:val="CharacterStyle6"/>
              </w:rPr>
            </w:pPr>
            <w:r>
              <w:rPr>
                <w:rStyle w:val="CharacterStyle6"/>
              </w:rPr>
              <w:t>149.000,00</w:t>
            </w:r>
          </w:p>
        </w:tc>
      </w:tr>
      <w:tr w:rsidR="007D706A" w14:paraId="55581DE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122ABF9"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6A2C4626"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3F8BFFB7"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8DDD622"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16CE191" w14:textId="77777777" w:rsidR="007D706A" w:rsidRDefault="007D706A" w:rsidP="00F70508">
            <w:pPr>
              <w:pStyle w:val="ParagraphStyle9"/>
              <w:rPr>
                <w:rStyle w:val="CharacterStyle9"/>
              </w:rPr>
            </w:pPr>
            <w:r>
              <w:rPr>
                <w:rStyle w:val="CharacterStyle9"/>
              </w:rPr>
              <w:t>70.000,00</w:t>
            </w:r>
          </w:p>
        </w:tc>
        <w:tc>
          <w:tcPr>
            <w:tcW w:w="1395" w:type="dxa"/>
            <w:tcBorders>
              <w:bottom w:val="single" w:sz="6" w:space="0" w:color="000000"/>
              <w:right w:val="single" w:sz="6" w:space="0" w:color="000000"/>
            </w:tcBorders>
            <w:vAlign w:val="center"/>
          </w:tcPr>
          <w:p w14:paraId="79166465"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B16661C" w14:textId="77777777" w:rsidR="007D706A" w:rsidRDefault="007D706A" w:rsidP="00F70508">
            <w:pPr>
              <w:pStyle w:val="ParagraphStyle9"/>
              <w:rPr>
                <w:rStyle w:val="CharacterStyle9"/>
              </w:rPr>
            </w:pPr>
            <w:r>
              <w:rPr>
                <w:rStyle w:val="CharacterStyle9"/>
              </w:rPr>
              <w:t>0,00</w:t>
            </w:r>
          </w:p>
        </w:tc>
      </w:tr>
      <w:tr w:rsidR="007D706A" w14:paraId="165F02B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080301D"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40C2926A"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0377CA1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590CF8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F76AC49" w14:textId="77777777" w:rsidR="007D706A" w:rsidRDefault="007D706A" w:rsidP="00F70508">
            <w:pPr>
              <w:pStyle w:val="ParagraphStyle12"/>
              <w:rPr>
                <w:rStyle w:val="CharacterStyle12"/>
              </w:rPr>
            </w:pPr>
            <w:r>
              <w:rPr>
                <w:rStyle w:val="CharacterStyle12"/>
              </w:rPr>
              <w:t>70.000,00</w:t>
            </w:r>
          </w:p>
        </w:tc>
        <w:tc>
          <w:tcPr>
            <w:tcW w:w="1395" w:type="dxa"/>
            <w:tcBorders>
              <w:bottom w:val="single" w:sz="6" w:space="0" w:color="000000"/>
              <w:right w:val="single" w:sz="6" w:space="0" w:color="000000"/>
            </w:tcBorders>
            <w:vAlign w:val="center"/>
          </w:tcPr>
          <w:p w14:paraId="46BC4D7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0F51CCF" w14:textId="77777777" w:rsidR="007D706A" w:rsidRDefault="007D706A" w:rsidP="00F70508">
            <w:pPr>
              <w:pStyle w:val="ParagraphStyle12"/>
              <w:rPr>
                <w:rStyle w:val="CharacterStyle12"/>
              </w:rPr>
            </w:pPr>
            <w:r>
              <w:rPr>
                <w:rStyle w:val="CharacterStyle12"/>
              </w:rPr>
              <w:t>0,00</w:t>
            </w:r>
          </w:p>
        </w:tc>
      </w:tr>
      <w:tr w:rsidR="007D706A" w14:paraId="2D53822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5F83EA9"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2F88AFDD"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29CF7C4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7DFF5E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5E982A7" w14:textId="77777777" w:rsidR="007D706A" w:rsidRDefault="007D706A" w:rsidP="00F70508">
            <w:pPr>
              <w:pStyle w:val="ParagraphStyle12"/>
              <w:rPr>
                <w:rStyle w:val="CharacterStyle12"/>
              </w:rPr>
            </w:pPr>
            <w:r>
              <w:rPr>
                <w:rStyle w:val="CharacterStyle12"/>
              </w:rPr>
              <w:t>70.000,00</w:t>
            </w:r>
          </w:p>
        </w:tc>
        <w:tc>
          <w:tcPr>
            <w:tcW w:w="1395" w:type="dxa"/>
            <w:tcBorders>
              <w:bottom w:val="single" w:sz="6" w:space="0" w:color="000000"/>
              <w:right w:val="single" w:sz="6" w:space="0" w:color="000000"/>
            </w:tcBorders>
            <w:vAlign w:val="center"/>
          </w:tcPr>
          <w:p w14:paraId="6A45EB1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75830C4" w14:textId="77777777" w:rsidR="007D706A" w:rsidRDefault="007D706A" w:rsidP="00F70508">
            <w:pPr>
              <w:pStyle w:val="ParagraphStyle12"/>
              <w:rPr>
                <w:rStyle w:val="CharacterStyle12"/>
              </w:rPr>
            </w:pPr>
            <w:r>
              <w:rPr>
                <w:rStyle w:val="CharacterStyle12"/>
              </w:rPr>
              <w:t>0,00</w:t>
            </w:r>
          </w:p>
        </w:tc>
      </w:tr>
      <w:tr w:rsidR="007D706A" w14:paraId="5333D87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7B4FFC9" w14:textId="77777777" w:rsidR="007D706A" w:rsidRDefault="007D706A" w:rsidP="00F70508">
            <w:pPr>
              <w:pStyle w:val="ParagraphStyle7"/>
              <w:rPr>
                <w:rStyle w:val="CharacterStyle7"/>
              </w:rPr>
            </w:pPr>
            <w:r>
              <w:rPr>
                <w:rStyle w:val="CharacterStyle7"/>
              </w:rPr>
              <w:t>Izvor financiranja 41</w:t>
            </w:r>
          </w:p>
        </w:tc>
        <w:tc>
          <w:tcPr>
            <w:tcW w:w="4995" w:type="dxa"/>
            <w:tcBorders>
              <w:bottom w:val="single" w:sz="6" w:space="0" w:color="000000"/>
              <w:right w:val="single" w:sz="6" w:space="0" w:color="000000"/>
            </w:tcBorders>
            <w:vAlign w:val="center"/>
          </w:tcPr>
          <w:p w14:paraId="75C5B841" w14:textId="77777777" w:rsidR="007D706A" w:rsidRDefault="007D706A" w:rsidP="00F70508">
            <w:pPr>
              <w:pStyle w:val="ParagraphStyle8"/>
              <w:rPr>
                <w:rStyle w:val="CharacterStyle8"/>
              </w:rPr>
            </w:pPr>
            <w:r>
              <w:rPr>
                <w:rStyle w:val="CharacterStyle8"/>
              </w:rPr>
              <w:t>Prihodi za posebne namjene</w:t>
            </w:r>
          </w:p>
        </w:tc>
        <w:tc>
          <w:tcPr>
            <w:tcW w:w="1395" w:type="dxa"/>
            <w:tcBorders>
              <w:bottom w:val="single" w:sz="6" w:space="0" w:color="000000"/>
              <w:right w:val="single" w:sz="6" w:space="0" w:color="000000"/>
            </w:tcBorders>
            <w:vAlign w:val="center"/>
          </w:tcPr>
          <w:p w14:paraId="3D3A87BB"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975DCFD" w14:textId="77777777" w:rsidR="007D706A" w:rsidRDefault="007D706A" w:rsidP="00F70508">
            <w:pPr>
              <w:pStyle w:val="ParagraphStyle9"/>
              <w:rPr>
                <w:rStyle w:val="CharacterStyle9"/>
              </w:rPr>
            </w:pPr>
            <w:r>
              <w:rPr>
                <w:rStyle w:val="CharacterStyle9"/>
              </w:rPr>
              <w:t>52.000,00</w:t>
            </w:r>
          </w:p>
        </w:tc>
        <w:tc>
          <w:tcPr>
            <w:tcW w:w="1395" w:type="dxa"/>
            <w:tcBorders>
              <w:bottom w:val="single" w:sz="6" w:space="0" w:color="000000"/>
              <w:right w:val="single" w:sz="6" w:space="0" w:color="000000"/>
            </w:tcBorders>
            <w:vAlign w:val="center"/>
          </w:tcPr>
          <w:p w14:paraId="09AB9767"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6DBF475"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F3DDC29" w14:textId="77777777" w:rsidR="007D706A" w:rsidRDefault="007D706A" w:rsidP="00F70508">
            <w:pPr>
              <w:pStyle w:val="ParagraphStyle9"/>
              <w:rPr>
                <w:rStyle w:val="CharacterStyle9"/>
              </w:rPr>
            </w:pPr>
            <w:r>
              <w:rPr>
                <w:rStyle w:val="CharacterStyle9"/>
              </w:rPr>
              <w:t>0,00</w:t>
            </w:r>
          </w:p>
        </w:tc>
      </w:tr>
      <w:tr w:rsidR="007D706A" w14:paraId="131DD1E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7039F87"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310BB92A"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29CB3FC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55B5025" w14:textId="77777777" w:rsidR="007D706A" w:rsidRDefault="007D706A" w:rsidP="00F70508">
            <w:pPr>
              <w:pStyle w:val="ParagraphStyle12"/>
              <w:rPr>
                <w:rStyle w:val="CharacterStyle12"/>
              </w:rPr>
            </w:pPr>
            <w:r>
              <w:rPr>
                <w:rStyle w:val="CharacterStyle12"/>
              </w:rPr>
              <w:t>52.000,00</w:t>
            </w:r>
          </w:p>
        </w:tc>
        <w:tc>
          <w:tcPr>
            <w:tcW w:w="1395" w:type="dxa"/>
            <w:tcBorders>
              <w:bottom w:val="single" w:sz="6" w:space="0" w:color="000000"/>
              <w:right w:val="single" w:sz="6" w:space="0" w:color="000000"/>
            </w:tcBorders>
            <w:vAlign w:val="center"/>
          </w:tcPr>
          <w:p w14:paraId="4B1E8FE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E828F1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1B76156" w14:textId="77777777" w:rsidR="007D706A" w:rsidRDefault="007D706A" w:rsidP="00F70508">
            <w:pPr>
              <w:pStyle w:val="ParagraphStyle12"/>
              <w:rPr>
                <w:rStyle w:val="CharacterStyle12"/>
              </w:rPr>
            </w:pPr>
            <w:r>
              <w:rPr>
                <w:rStyle w:val="CharacterStyle12"/>
              </w:rPr>
              <w:t>0,00</w:t>
            </w:r>
          </w:p>
        </w:tc>
      </w:tr>
      <w:tr w:rsidR="007D706A" w14:paraId="0118E2E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A0B0E9E"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153CB2F8"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54AA996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FCBDEEF" w14:textId="77777777" w:rsidR="007D706A" w:rsidRDefault="007D706A" w:rsidP="00F70508">
            <w:pPr>
              <w:pStyle w:val="ParagraphStyle12"/>
              <w:rPr>
                <w:rStyle w:val="CharacterStyle12"/>
              </w:rPr>
            </w:pPr>
            <w:r>
              <w:rPr>
                <w:rStyle w:val="CharacterStyle12"/>
              </w:rPr>
              <w:t>52.000,00</w:t>
            </w:r>
          </w:p>
        </w:tc>
        <w:tc>
          <w:tcPr>
            <w:tcW w:w="1395" w:type="dxa"/>
            <w:tcBorders>
              <w:bottom w:val="single" w:sz="6" w:space="0" w:color="000000"/>
              <w:right w:val="single" w:sz="6" w:space="0" w:color="000000"/>
            </w:tcBorders>
            <w:vAlign w:val="center"/>
          </w:tcPr>
          <w:p w14:paraId="3B343A7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DB481B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0E0F4B6" w14:textId="77777777" w:rsidR="007D706A" w:rsidRDefault="007D706A" w:rsidP="00F70508">
            <w:pPr>
              <w:pStyle w:val="ParagraphStyle12"/>
              <w:rPr>
                <w:rStyle w:val="CharacterStyle12"/>
              </w:rPr>
            </w:pPr>
            <w:r>
              <w:rPr>
                <w:rStyle w:val="CharacterStyle12"/>
              </w:rPr>
              <w:t>0,00</w:t>
            </w:r>
          </w:p>
        </w:tc>
      </w:tr>
      <w:tr w:rsidR="007D706A" w14:paraId="09A1FDE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2C58A44" w14:textId="77777777" w:rsidR="007D706A" w:rsidRDefault="007D706A" w:rsidP="00F70508">
            <w:pPr>
              <w:pStyle w:val="ParagraphStyle7"/>
              <w:rPr>
                <w:rStyle w:val="CharacterStyle7"/>
              </w:rPr>
            </w:pPr>
            <w:r>
              <w:rPr>
                <w:rStyle w:val="CharacterStyle7"/>
              </w:rPr>
              <w:t>Izvor financiranja 43</w:t>
            </w:r>
          </w:p>
        </w:tc>
        <w:tc>
          <w:tcPr>
            <w:tcW w:w="4995" w:type="dxa"/>
            <w:tcBorders>
              <w:bottom w:val="single" w:sz="6" w:space="0" w:color="000000"/>
              <w:right w:val="single" w:sz="6" w:space="0" w:color="000000"/>
            </w:tcBorders>
            <w:vAlign w:val="center"/>
          </w:tcPr>
          <w:p w14:paraId="5F561E15" w14:textId="77777777" w:rsidR="007D706A" w:rsidRDefault="007D706A" w:rsidP="00F70508">
            <w:pPr>
              <w:pStyle w:val="ParagraphStyle8"/>
              <w:rPr>
                <w:rStyle w:val="CharacterStyle8"/>
              </w:rPr>
            </w:pPr>
            <w:r>
              <w:rPr>
                <w:rStyle w:val="CharacterStyle8"/>
              </w:rPr>
              <w:t>Ostali prihodi za posebne namjene</w:t>
            </w:r>
          </w:p>
        </w:tc>
        <w:tc>
          <w:tcPr>
            <w:tcW w:w="1395" w:type="dxa"/>
            <w:tcBorders>
              <w:bottom w:val="single" w:sz="6" w:space="0" w:color="000000"/>
              <w:right w:val="single" w:sz="6" w:space="0" w:color="000000"/>
            </w:tcBorders>
            <w:vAlign w:val="center"/>
          </w:tcPr>
          <w:p w14:paraId="05CCE6A2"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0B88C4D"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2EB2955" w14:textId="77777777" w:rsidR="007D706A" w:rsidRDefault="007D706A" w:rsidP="00F70508">
            <w:pPr>
              <w:pStyle w:val="ParagraphStyle9"/>
              <w:rPr>
                <w:rStyle w:val="CharacterStyle9"/>
              </w:rPr>
            </w:pPr>
            <w:r>
              <w:rPr>
                <w:rStyle w:val="CharacterStyle9"/>
              </w:rPr>
              <w:t>136.000,00</w:t>
            </w:r>
          </w:p>
        </w:tc>
        <w:tc>
          <w:tcPr>
            <w:tcW w:w="1395" w:type="dxa"/>
            <w:tcBorders>
              <w:bottom w:val="single" w:sz="6" w:space="0" w:color="000000"/>
              <w:right w:val="single" w:sz="6" w:space="0" w:color="000000"/>
            </w:tcBorders>
            <w:vAlign w:val="center"/>
          </w:tcPr>
          <w:p w14:paraId="729D8708" w14:textId="77777777" w:rsidR="007D706A" w:rsidRDefault="007D706A" w:rsidP="00F70508">
            <w:pPr>
              <w:pStyle w:val="ParagraphStyle9"/>
              <w:rPr>
                <w:rStyle w:val="CharacterStyle9"/>
              </w:rPr>
            </w:pPr>
            <w:r>
              <w:rPr>
                <w:rStyle w:val="CharacterStyle9"/>
              </w:rPr>
              <w:t>145.000,00</w:t>
            </w:r>
          </w:p>
        </w:tc>
        <w:tc>
          <w:tcPr>
            <w:tcW w:w="1395" w:type="dxa"/>
            <w:tcBorders>
              <w:bottom w:val="single" w:sz="6" w:space="0" w:color="000000"/>
              <w:right w:val="single" w:sz="6" w:space="0" w:color="000000"/>
            </w:tcBorders>
            <w:vAlign w:val="center"/>
          </w:tcPr>
          <w:p w14:paraId="20521FFD" w14:textId="77777777" w:rsidR="007D706A" w:rsidRDefault="007D706A" w:rsidP="00F70508">
            <w:pPr>
              <w:pStyle w:val="ParagraphStyle9"/>
              <w:rPr>
                <w:rStyle w:val="CharacterStyle9"/>
              </w:rPr>
            </w:pPr>
            <w:r>
              <w:rPr>
                <w:rStyle w:val="CharacterStyle9"/>
              </w:rPr>
              <w:t>145.000,00</w:t>
            </w:r>
          </w:p>
        </w:tc>
      </w:tr>
      <w:tr w:rsidR="007D706A" w14:paraId="1DD2C5C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69694AF"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79D2CA86"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26B0656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82FCC0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CB41D89" w14:textId="77777777" w:rsidR="007D706A" w:rsidRDefault="007D706A" w:rsidP="00F70508">
            <w:pPr>
              <w:pStyle w:val="ParagraphStyle12"/>
              <w:rPr>
                <w:rStyle w:val="CharacterStyle12"/>
              </w:rPr>
            </w:pPr>
            <w:r>
              <w:rPr>
                <w:rStyle w:val="CharacterStyle12"/>
              </w:rPr>
              <w:t>136.000,00</w:t>
            </w:r>
          </w:p>
        </w:tc>
        <w:tc>
          <w:tcPr>
            <w:tcW w:w="1395" w:type="dxa"/>
            <w:tcBorders>
              <w:bottom w:val="single" w:sz="6" w:space="0" w:color="000000"/>
              <w:right w:val="single" w:sz="6" w:space="0" w:color="000000"/>
            </w:tcBorders>
            <w:vAlign w:val="center"/>
          </w:tcPr>
          <w:p w14:paraId="64DDF28D" w14:textId="77777777" w:rsidR="007D706A" w:rsidRDefault="007D706A" w:rsidP="00F70508">
            <w:pPr>
              <w:pStyle w:val="ParagraphStyle12"/>
              <w:rPr>
                <w:rStyle w:val="CharacterStyle12"/>
              </w:rPr>
            </w:pPr>
            <w:r>
              <w:rPr>
                <w:rStyle w:val="CharacterStyle12"/>
              </w:rPr>
              <w:t>145.000,00</w:t>
            </w:r>
          </w:p>
        </w:tc>
        <w:tc>
          <w:tcPr>
            <w:tcW w:w="1395" w:type="dxa"/>
            <w:tcBorders>
              <w:bottom w:val="single" w:sz="6" w:space="0" w:color="000000"/>
              <w:right w:val="single" w:sz="6" w:space="0" w:color="000000"/>
            </w:tcBorders>
            <w:vAlign w:val="center"/>
          </w:tcPr>
          <w:p w14:paraId="31AEE6A3" w14:textId="77777777" w:rsidR="007D706A" w:rsidRDefault="007D706A" w:rsidP="00F70508">
            <w:pPr>
              <w:pStyle w:val="ParagraphStyle12"/>
              <w:rPr>
                <w:rStyle w:val="CharacterStyle12"/>
              </w:rPr>
            </w:pPr>
            <w:r>
              <w:rPr>
                <w:rStyle w:val="CharacterStyle12"/>
              </w:rPr>
              <w:t>145.000,00</w:t>
            </w:r>
          </w:p>
        </w:tc>
      </w:tr>
      <w:tr w:rsidR="007D706A" w14:paraId="49CD272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9F9E624"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42FEC92C"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43786B8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DC141D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A082A0C" w14:textId="77777777" w:rsidR="007D706A" w:rsidRDefault="007D706A" w:rsidP="00F70508">
            <w:pPr>
              <w:pStyle w:val="ParagraphStyle12"/>
              <w:rPr>
                <w:rStyle w:val="CharacterStyle12"/>
              </w:rPr>
            </w:pPr>
            <w:r>
              <w:rPr>
                <w:rStyle w:val="CharacterStyle12"/>
              </w:rPr>
              <w:t>136.000,00</w:t>
            </w:r>
          </w:p>
        </w:tc>
        <w:tc>
          <w:tcPr>
            <w:tcW w:w="1395" w:type="dxa"/>
            <w:tcBorders>
              <w:bottom w:val="single" w:sz="6" w:space="0" w:color="000000"/>
              <w:right w:val="single" w:sz="6" w:space="0" w:color="000000"/>
            </w:tcBorders>
            <w:vAlign w:val="center"/>
          </w:tcPr>
          <w:p w14:paraId="26421741" w14:textId="77777777" w:rsidR="007D706A" w:rsidRDefault="007D706A" w:rsidP="00F70508">
            <w:pPr>
              <w:pStyle w:val="ParagraphStyle12"/>
              <w:rPr>
                <w:rStyle w:val="CharacterStyle12"/>
              </w:rPr>
            </w:pPr>
            <w:r>
              <w:rPr>
                <w:rStyle w:val="CharacterStyle12"/>
              </w:rPr>
              <w:t>145.000,00</w:t>
            </w:r>
          </w:p>
        </w:tc>
        <w:tc>
          <w:tcPr>
            <w:tcW w:w="1395" w:type="dxa"/>
            <w:tcBorders>
              <w:bottom w:val="single" w:sz="6" w:space="0" w:color="000000"/>
              <w:right w:val="single" w:sz="6" w:space="0" w:color="000000"/>
            </w:tcBorders>
            <w:vAlign w:val="center"/>
          </w:tcPr>
          <w:p w14:paraId="5082ED0F" w14:textId="77777777" w:rsidR="007D706A" w:rsidRDefault="007D706A" w:rsidP="00F70508">
            <w:pPr>
              <w:pStyle w:val="ParagraphStyle12"/>
              <w:rPr>
                <w:rStyle w:val="CharacterStyle12"/>
              </w:rPr>
            </w:pPr>
            <w:r>
              <w:rPr>
                <w:rStyle w:val="CharacterStyle12"/>
              </w:rPr>
              <w:t>145.000,00</w:t>
            </w:r>
          </w:p>
        </w:tc>
      </w:tr>
      <w:tr w:rsidR="007D706A" w14:paraId="2C747EF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E62C5D3" w14:textId="77777777" w:rsidR="007D706A" w:rsidRDefault="007D706A" w:rsidP="00F70508">
            <w:pPr>
              <w:pStyle w:val="ParagraphStyle7"/>
              <w:rPr>
                <w:rStyle w:val="CharacterStyle7"/>
              </w:rPr>
            </w:pPr>
            <w:r>
              <w:rPr>
                <w:rStyle w:val="CharacterStyle7"/>
              </w:rPr>
              <w:t>Izvor financiranja 52</w:t>
            </w:r>
          </w:p>
        </w:tc>
        <w:tc>
          <w:tcPr>
            <w:tcW w:w="4995" w:type="dxa"/>
            <w:tcBorders>
              <w:bottom w:val="single" w:sz="6" w:space="0" w:color="000000"/>
              <w:right w:val="single" w:sz="6" w:space="0" w:color="000000"/>
            </w:tcBorders>
            <w:vAlign w:val="center"/>
          </w:tcPr>
          <w:p w14:paraId="0E4C0945" w14:textId="77777777" w:rsidR="007D706A" w:rsidRDefault="007D706A" w:rsidP="00F70508">
            <w:pPr>
              <w:pStyle w:val="ParagraphStyle8"/>
              <w:rPr>
                <w:rStyle w:val="CharacterStyle8"/>
              </w:rPr>
            </w:pPr>
            <w:r>
              <w:rPr>
                <w:rStyle w:val="CharacterStyle8"/>
              </w:rPr>
              <w:t>Ostale pomoći</w:t>
            </w:r>
          </w:p>
        </w:tc>
        <w:tc>
          <w:tcPr>
            <w:tcW w:w="1395" w:type="dxa"/>
            <w:tcBorders>
              <w:bottom w:val="single" w:sz="6" w:space="0" w:color="000000"/>
              <w:right w:val="single" w:sz="6" w:space="0" w:color="000000"/>
            </w:tcBorders>
            <w:vAlign w:val="center"/>
          </w:tcPr>
          <w:p w14:paraId="160C58D6"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2B8C921" w14:textId="77777777" w:rsidR="007D706A" w:rsidRDefault="007D706A" w:rsidP="00F70508">
            <w:pPr>
              <w:pStyle w:val="ParagraphStyle9"/>
              <w:rPr>
                <w:rStyle w:val="CharacterStyle9"/>
              </w:rPr>
            </w:pPr>
            <w:r>
              <w:rPr>
                <w:rStyle w:val="CharacterStyle9"/>
              </w:rPr>
              <w:t>8.000,00</w:t>
            </w:r>
          </w:p>
        </w:tc>
        <w:tc>
          <w:tcPr>
            <w:tcW w:w="1395" w:type="dxa"/>
            <w:tcBorders>
              <w:bottom w:val="single" w:sz="6" w:space="0" w:color="000000"/>
              <w:right w:val="single" w:sz="6" w:space="0" w:color="000000"/>
            </w:tcBorders>
            <w:vAlign w:val="center"/>
          </w:tcPr>
          <w:p w14:paraId="3608EA74" w14:textId="77777777" w:rsidR="007D706A" w:rsidRDefault="007D706A" w:rsidP="00F70508">
            <w:pPr>
              <w:pStyle w:val="ParagraphStyle9"/>
              <w:rPr>
                <w:rStyle w:val="CharacterStyle9"/>
              </w:rPr>
            </w:pPr>
            <w:r>
              <w:rPr>
                <w:rStyle w:val="CharacterStyle9"/>
              </w:rPr>
              <w:t>4.000,00</w:t>
            </w:r>
          </w:p>
        </w:tc>
        <w:tc>
          <w:tcPr>
            <w:tcW w:w="1395" w:type="dxa"/>
            <w:tcBorders>
              <w:bottom w:val="single" w:sz="6" w:space="0" w:color="000000"/>
              <w:right w:val="single" w:sz="6" w:space="0" w:color="000000"/>
            </w:tcBorders>
            <w:vAlign w:val="center"/>
          </w:tcPr>
          <w:p w14:paraId="0F173A89" w14:textId="77777777" w:rsidR="007D706A" w:rsidRDefault="007D706A" w:rsidP="00F70508">
            <w:pPr>
              <w:pStyle w:val="ParagraphStyle9"/>
              <w:rPr>
                <w:rStyle w:val="CharacterStyle9"/>
              </w:rPr>
            </w:pPr>
            <w:r>
              <w:rPr>
                <w:rStyle w:val="CharacterStyle9"/>
              </w:rPr>
              <w:t>4.000,00</w:t>
            </w:r>
          </w:p>
        </w:tc>
        <w:tc>
          <w:tcPr>
            <w:tcW w:w="1395" w:type="dxa"/>
            <w:tcBorders>
              <w:bottom w:val="single" w:sz="6" w:space="0" w:color="000000"/>
              <w:right w:val="single" w:sz="6" w:space="0" w:color="000000"/>
            </w:tcBorders>
            <w:vAlign w:val="center"/>
          </w:tcPr>
          <w:p w14:paraId="092D5DCF" w14:textId="77777777" w:rsidR="007D706A" w:rsidRDefault="007D706A" w:rsidP="00F70508">
            <w:pPr>
              <w:pStyle w:val="ParagraphStyle9"/>
              <w:rPr>
                <w:rStyle w:val="CharacterStyle9"/>
              </w:rPr>
            </w:pPr>
            <w:r>
              <w:rPr>
                <w:rStyle w:val="CharacterStyle9"/>
              </w:rPr>
              <w:t>4.000,00</w:t>
            </w:r>
          </w:p>
        </w:tc>
      </w:tr>
      <w:tr w:rsidR="007D706A" w14:paraId="4BD1D96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C38202E"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603732A4"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409EA4A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1207EA8" w14:textId="77777777" w:rsidR="007D706A" w:rsidRDefault="007D706A" w:rsidP="00F70508">
            <w:pPr>
              <w:pStyle w:val="ParagraphStyle12"/>
              <w:rPr>
                <w:rStyle w:val="CharacterStyle12"/>
              </w:rPr>
            </w:pPr>
            <w:r>
              <w:rPr>
                <w:rStyle w:val="CharacterStyle12"/>
              </w:rPr>
              <w:t>8.000,00</w:t>
            </w:r>
          </w:p>
        </w:tc>
        <w:tc>
          <w:tcPr>
            <w:tcW w:w="1395" w:type="dxa"/>
            <w:tcBorders>
              <w:bottom w:val="single" w:sz="6" w:space="0" w:color="000000"/>
              <w:right w:val="single" w:sz="6" w:space="0" w:color="000000"/>
            </w:tcBorders>
            <w:vAlign w:val="center"/>
          </w:tcPr>
          <w:p w14:paraId="76A7A588" w14:textId="77777777" w:rsidR="007D706A" w:rsidRDefault="007D706A" w:rsidP="00F70508">
            <w:pPr>
              <w:pStyle w:val="ParagraphStyle12"/>
              <w:rPr>
                <w:rStyle w:val="CharacterStyle12"/>
              </w:rPr>
            </w:pPr>
            <w:r>
              <w:rPr>
                <w:rStyle w:val="CharacterStyle12"/>
              </w:rPr>
              <w:t>4.000,00</w:t>
            </w:r>
          </w:p>
        </w:tc>
        <w:tc>
          <w:tcPr>
            <w:tcW w:w="1395" w:type="dxa"/>
            <w:tcBorders>
              <w:bottom w:val="single" w:sz="6" w:space="0" w:color="000000"/>
              <w:right w:val="single" w:sz="6" w:space="0" w:color="000000"/>
            </w:tcBorders>
            <w:vAlign w:val="center"/>
          </w:tcPr>
          <w:p w14:paraId="18863C95" w14:textId="77777777" w:rsidR="007D706A" w:rsidRDefault="007D706A" w:rsidP="00F70508">
            <w:pPr>
              <w:pStyle w:val="ParagraphStyle12"/>
              <w:rPr>
                <w:rStyle w:val="CharacterStyle12"/>
              </w:rPr>
            </w:pPr>
            <w:r>
              <w:rPr>
                <w:rStyle w:val="CharacterStyle12"/>
              </w:rPr>
              <w:t>4.000,00</w:t>
            </w:r>
          </w:p>
        </w:tc>
        <w:tc>
          <w:tcPr>
            <w:tcW w:w="1395" w:type="dxa"/>
            <w:tcBorders>
              <w:bottom w:val="single" w:sz="6" w:space="0" w:color="000000"/>
              <w:right w:val="single" w:sz="6" w:space="0" w:color="000000"/>
            </w:tcBorders>
            <w:vAlign w:val="center"/>
          </w:tcPr>
          <w:p w14:paraId="70CEE270" w14:textId="77777777" w:rsidR="007D706A" w:rsidRDefault="007D706A" w:rsidP="00F70508">
            <w:pPr>
              <w:pStyle w:val="ParagraphStyle12"/>
              <w:rPr>
                <w:rStyle w:val="CharacterStyle12"/>
              </w:rPr>
            </w:pPr>
            <w:r>
              <w:rPr>
                <w:rStyle w:val="CharacterStyle12"/>
              </w:rPr>
              <w:t>4.000,00</w:t>
            </w:r>
          </w:p>
        </w:tc>
      </w:tr>
      <w:tr w:rsidR="007D706A" w14:paraId="1BA8D57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C8D06ED"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594F7DC6"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5999004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DAD6EF9" w14:textId="77777777" w:rsidR="007D706A" w:rsidRDefault="007D706A" w:rsidP="00F70508">
            <w:pPr>
              <w:pStyle w:val="ParagraphStyle12"/>
              <w:rPr>
                <w:rStyle w:val="CharacterStyle12"/>
              </w:rPr>
            </w:pPr>
            <w:r>
              <w:rPr>
                <w:rStyle w:val="CharacterStyle12"/>
              </w:rPr>
              <w:t>8.000,00</w:t>
            </w:r>
          </w:p>
        </w:tc>
        <w:tc>
          <w:tcPr>
            <w:tcW w:w="1395" w:type="dxa"/>
            <w:tcBorders>
              <w:bottom w:val="single" w:sz="6" w:space="0" w:color="000000"/>
              <w:right w:val="single" w:sz="6" w:space="0" w:color="000000"/>
            </w:tcBorders>
            <w:vAlign w:val="center"/>
          </w:tcPr>
          <w:p w14:paraId="618740F7" w14:textId="77777777" w:rsidR="007D706A" w:rsidRDefault="007D706A" w:rsidP="00F70508">
            <w:pPr>
              <w:pStyle w:val="ParagraphStyle12"/>
              <w:rPr>
                <w:rStyle w:val="CharacterStyle12"/>
              </w:rPr>
            </w:pPr>
            <w:r>
              <w:rPr>
                <w:rStyle w:val="CharacterStyle12"/>
              </w:rPr>
              <w:t>4.000,00</w:t>
            </w:r>
          </w:p>
        </w:tc>
        <w:tc>
          <w:tcPr>
            <w:tcW w:w="1395" w:type="dxa"/>
            <w:tcBorders>
              <w:bottom w:val="single" w:sz="6" w:space="0" w:color="000000"/>
              <w:right w:val="single" w:sz="6" w:space="0" w:color="000000"/>
            </w:tcBorders>
            <w:vAlign w:val="center"/>
          </w:tcPr>
          <w:p w14:paraId="1CD41CE6" w14:textId="77777777" w:rsidR="007D706A" w:rsidRDefault="007D706A" w:rsidP="00F70508">
            <w:pPr>
              <w:pStyle w:val="ParagraphStyle12"/>
              <w:rPr>
                <w:rStyle w:val="CharacterStyle12"/>
              </w:rPr>
            </w:pPr>
            <w:r>
              <w:rPr>
                <w:rStyle w:val="CharacterStyle12"/>
              </w:rPr>
              <w:t>4.000,00</w:t>
            </w:r>
          </w:p>
        </w:tc>
        <w:tc>
          <w:tcPr>
            <w:tcW w:w="1395" w:type="dxa"/>
            <w:tcBorders>
              <w:bottom w:val="single" w:sz="6" w:space="0" w:color="000000"/>
              <w:right w:val="single" w:sz="6" w:space="0" w:color="000000"/>
            </w:tcBorders>
            <w:vAlign w:val="center"/>
          </w:tcPr>
          <w:p w14:paraId="10655CE1" w14:textId="77777777" w:rsidR="007D706A" w:rsidRDefault="007D706A" w:rsidP="00F70508">
            <w:pPr>
              <w:pStyle w:val="ParagraphStyle12"/>
              <w:rPr>
                <w:rStyle w:val="CharacterStyle12"/>
              </w:rPr>
            </w:pPr>
            <w:r>
              <w:rPr>
                <w:rStyle w:val="CharacterStyle12"/>
              </w:rPr>
              <w:t>4.000,00</w:t>
            </w:r>
          </w:p>
        </w:tc>
      </w:tr>
      <w:tr w:rsidR="007D706A" w14:paraId="1D84083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7130DA1" w14:textId="77777777" w:rsidR="007D706A" w:rsidRDefault="007D706A" w:rsidP="00F70508">
            <w:pPr>
              <w:pStyle w:val="ParagraphStyle4"/>
              <w:rPr>
                <w:rStyle w:val="CharacterStyle4"/>
              </w:rPr>
            </w:pPr>
            <w:r>
              <w:rPr>
                <w:rStyle w:val="CharacterStyle4"/>
              </w:rPr>
              <w:t>Aktivnost A102706</w:t>
            </w:r>
          </w:p>
        </w:tc>
        <w:tc>
          <w:tcPr>
            <w:tcW w:w="4995" w:type="dxa"/>
            <w:tcBorders>
              <w:bottom w:val="single" w:sz="6" w:space="0" w:color="000000"/>
              <w:right w:val="single" w:sz="6" w:space="0" w:color="000000"/>
            </w:tcBorders>
            <w:vAlign w:val="center"/>
          </w:tcPr>
          <w:p w14:paraId="70FE9E92" w14:textId="77777777" w:rsidR="007D706A" w:rsidRDefault="007D706A" w:rsidP="00F70508">
            <w:pPr>
              <w:pStyle w:val="ParagraphStyle5"/>
              <w:rPr>
                <w:rStyle w:val="CharacterStyle5"/>
              </w:rPr>
            </w:pPr>
            <w:r>
              <w:rPr>
                <w:rStyle w:val="CharacterStyle5"/>
              </w:rPr>
              <w:t>POVJERENSTVO ZA OCJENJIVANJE PRIJAVA</w:t>
            </w:r>
          </w:p>
        </w:tc>
        <w:tc>
          <w:tcPr>
            <w:tcW w:w="1395" w:type="dxa"/>
            <w:tcBorders>
              <w:bottom w:val="single" w:sz="6" w:space="0" w:color="000000"/>
              <w:right w:val="single" w:sz="6" w:space="0" w:color="000000"/>
            </w:tcBorders>
            <w:vAlign w:val="center"/>
          </w:tcPr>
          <w:p w14:paraId="73163302"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35AFCA30" w14:textId="77777777" w:rsidR="007D706A" w:rsidRDefault="007D706A" w:rsidP="00F70508">
            <w:pPr>
              <w:pStyle w:val="ParagraphStyle6"/>
              <w:rPr>
                <w:rStyle w:val="CharacterStyle6"/>
              </w:rPr>
            </w:pPr>
            <w:r>
              <w:rPr>
                <w:rStyle w:val="CharacterStyle6"/>
              </w:rPr>
              <w:t>265,00</w:t>
            </w:r>
          </w:p>
        </w:tc>
        <w:tc>
          <w:tcPr>
            <w:tcW w:w="1395" w:type="dxa"/>
            <w:tcBorders>
              <w:bottom w:val="single" w:sz="6" w:space="0" w:color="000000"/>
              <w:right w:val="single" w:sz="6" w:space="0" w:color="000000"/>
            </w:tcBorders>
            <w:vAlign w:val="center"/>
          </w:tcPr>
          <w:p w14:paraId="33EC7405"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112BC2D4"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56DDFEC7" w14:textId="77777777" w:rsidR="007D706A" w:rsidRDefault="007D706A" w:rsidP="00F70508">
            <w:pPr>
              <w:pStyle w:val="ParagraphStyle6"/>
              <w:rPr>
                <w:rStyle w:val="CharacterStyle6"/>
              </w:rPr>
            </w:pPr>
            <w:r>
              <w:rPr>
                <w:rStyle w:val="CharacterStyle6"/>
              </w:rPr>
              <w:t>0,00</w:t>
            </w:r>
          </w:p>
        </w:tc>
      </w:tr>
      <w:tr w:rsidR="007D706A" w14:paraId="2610949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D3CCDDF"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50B2C950"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75E1F214"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810D84E" w14:textId="77777777" w:rsidR="007D706A" w:rsidRDefault="007D706A" w:rsidP="00F70508">
            <w:pPr>
              <w:pStyle w:val="ParagraphStyle9"/>
              <w:rPr>
                <w:rStyle w:val="CharacterStyle9"/>
              </w:rPr>
            </w:pPr>
            <w:r>
              <w:rPr>
                <w:rStyle w:val="CharacterStyle9"/>
              </w:rPr>
              <w:t>265,00</w:t>
            </w:r>
          </w:p>
        </w:tc>
        <w:tc>
          <w:tcPr>
            <w:tcW w:w="1395" w:type="dxa"/>
            <w:tcBorders>
              <w:bottom w:val="single" w:sz="6" w:space="0" w:color="000000"/>
              <w:right w:val="single" w:sz="6" w:space="0" w:color="000000"/>
            </w:tcBorders>
            <w:vAlign w:val="center"/>
          </w:tcPr>
          <w:p w14:paraId="39473008"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B0A7AF2"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C1B8029" w14:textId="77777777" w:rsidR="007D706A" w:rsidRDefault="007D706A" w:rsidP="00F70508">
            <w:pPr>
              <w:pStyle w:val="ParagraphStyle9"/>
              <w:rPr>
                <w:rStyle w:val="CharacterStyle9"/>
              </w:rPr>
            </w:pPr>
            <w:r>
              <w:rPr>
                <w:rStyle w:val="CharacterStyle9"/>
              </w:rPr>
              <w:t>0,00</w:t>
            </w:r>
          </w:p>
        </w:tc>
      </w:tr>
      <w:tr w:rsidR="007D706A" w14:paraId="69F785D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5221E34"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68EDA28E"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7F82107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BBF11EE" w14:textId="77777777" w:rsidR="007D706A" w:rsidRDefault="007D706A" w:rsidP="00F70508">
            <w:pPr>
              <w:pStyle w:val="ParagraphStyle12"/>
              <w:rPr>
                <w:rStyle w:val="CharacterStyle12"/>
              </w:rPr>
            </w:pPr>
            <w:r>
              <w:rPr>
                <w:rStyle w:val="CharacterStyle12"/>
              </w:rPr>
              <w:t>265,00</w:t>
            </w:r>
          </w:p>
        </w:tc>
        <w:tc>
          <w:tcPr>
            <w:tcW w:w="1395" w:type="dxa"/>
            <w:tcBorders>
              <w:bottom w:val="single" w:sz="6" w:space="0" w:color="000000"/>
              <w:right w:val="single" w:sz="6" w:space="0" w:color="000000"/>
            </w:tcBorders>
            <w:vAlign w:val="center"/>
          </w:tcPr>
          <w:p w14:paraId="2C1FA9C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5C2359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68E3E44" w14:textId="77777777" w:rsidR="007D706A" w:rsidRDefault="007D706A" w:rsidP="00F70508">
            <w:pPr>
              <w:pStyle w:val="ParagraphStyle12"/>
              <w:rPr>
                <w:rStyle w:val="CharacterStyle12"/>
              </w:rPr>
            </w:pPr>
            <w:r>
              <w:rPr>
                <w:rStyle w:val="CharacterStyle12"/>
              </w:rPr>
              <w:t>0,00</w:t>
            </w:r>
          </w:p>
        </w:tc>
      </w:tr>
      <w:tr w:rsidR="007D706A" w14:paraId="6E2096C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7D5E8A9"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444B82A5"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1FDFD95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9A0EF69" w14:textId="77777777" w:rsidR="007D706A" w:rsidRDefault="007D706A" w:rsidP="00F70508">
            <w:pPr>
              <w:pStyle w:val="ParagraphStyle12"/>
              <w:rPr>
                <w:rStyle w:val="CharacterStyle12"/>
              </w:rPr>
            </w:pPr>
            <w:r>
              <w:rPr>
                <w:rStyle w:val="CharacterStyle12"/>
              </w:rPr>
              <w:t>265,00</w:t>
            </w:r>
          </w:p>
        </w:tc>
        <w:tc>
          <w:tcPr>
            <w:tcW w:w="1395" w:type="dxa"/>
            <w:tcBorders>
              <w:bottom w:val="single" w:sz="6" w:space="0" w:color="000000"/>
              <w:right w:val="single" w:sz="6" w:space="0" w:color="000000"/>
            </w:tcBorders>
            <w:vAlign w:val="center"/>
          </w:tcPr>
          <w:p w14:paraId="5E0D7A1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610BFB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B9855CF" w14:textId="77777777" w:rsidR="007D706A" w:rsidRDefault="007D706A" w:rsidP="00F70508">
            <w:pPr>
              <w:pStyle w:val="ParagraphStyle12"/>
              <w:rPr>
                <w:rStyle w:val="CharacterStyle12"/>
              </w:rPr>
            </w:pPr>
            <w:r>
              <w:rPr>
                <w:rStyle w:val="CharacterStyle12"/>
              </w:rPr>
              <w:t>0,00</w:t>
            </w:r>
          </w:p>
        </w:tc>
      </w:tr>
      <w:tr w:rsidR="007D706A" w14:paraId="1FAE632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344388F" w14:textId="77777777" w:rsidR="007D706A" w:rsidRDefault="007D706A" w:rsidP="00F70508">
            <w:pPr>
              <w:pStyle w:val="ParagraphStyle4"/>
              <w:rPr>
                <w:rStyle w:val="CharacterStyle4"/>
              </w:rPr>
            </w:pPr>
            <w:r>
              <w:rPr>
                <w:rStyle w:val="CharacterStyle4"/>
              </w:rPr>
              <w:t>Aktivnost A102701</w:t>
            </w:r>
          </w:p>
        </w:tc>
        <w:tc>
          <w:tcPr>
            <w:tcW w:w="4995" w:type="dxa"/>
            <w:tcBorders>
              <w:bottom w:val="single" w:sz="6" w:space="0" w:color="000000"/>
              <w:right w:val="single" w:sz="6" w:space="0" w:color="000000"/>
            </w:tcBorders>
            <w:vAlign w:val="center"/>
          </w:tcPr>
          <w:p w14:paraId="1B3ACD0C" w14:textId="77777777" w:rsidR="007D706A" w:rsidRDefault="007D706A" w:rsidP="00F70508">
            <w:pPr>
              <w:pStyle w:val="ParagraphStyle5"/>
              <w:rPr>
                <w:rStyle w:val="CharacterStyle5"/>
              </w:rPr>
            </w:pPr>
            <w:r>
              <w:rPr>
                <w:rStyle w:val="CharacterStyle5"/>
              </w:rPr>
              <w:t>GRADSKE KULTURNO-ZABAVNE MANIFESTACIJE</w:t>
            </w:r>
          </w:p>
        </w:tc>
        <w:tc>
          <w:tcPr>
            <w:tcW w:w="1395" w:type="dxa"/>
            <w:tcBorders>
              <w:bottom w:val="single" w:sz="6" w:space="0" w:color="000000"/>
              <w:right w:val="single" w:sz="6" w:space="0" w:color="000000"/>
            </w:tcBorders>
            <w:vAlign w:val="center"/>
          </w:tcPr>
          <w:p w14:paraId="39D90C04"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56AEDA4E" w14:textId="77777777" w:rsidR="007D706A" w:rsidRDefault="007D706A" w:rsidP="00F70508">
            <w:pPr>
              <w:pStyle w:val="ParagraphStyle6"/>
              <w:rPr>
                <w:rStyle w:val="CharacterStyle6"/>
              </w:rPr>
            </w:pPr>
            <w:r>
              <w:rPr>
                <w:rStyle w:val="CharacterStyle6"/>
              </w:rPr>
              <w:t>113.501,00</w:t>
            </w:r>
          </w:p>
        </w:tc>
        <w:tc>
          <w:tcPr>
            <w:tcW w:w="1395" w:type="dxa"/>
            <w:tcBorders>
              <w:bottom w:val="single" w:sz="6" w:space="0" w:color="000000"/>
              <w:right w:val="single" w:sz="6" w:space="0" w:color="000000"/>
            </w:tcBorders>
            <w:vAlign w:val="center"/>
          </w:tcPr>
          <w:p w14:paraId="0CF9CEE9" w14:textId="77777777" w:rsidR="007D706A" w:rsidRDefault="007D706A" w:rsidP="00F70508">
            <w:pPr>
              <w:pStyle w:val="ParagraphStyle6"/>
              <w:rPr>
                <w:rStyle w:val="CharacterStyle6"/>
              </w:rPr>
            </w:pPr>
            <w:r>
              <w:rPr>
                <w:rStyle w:val="CharacterStyle6"/>
              </w:rPr>
              <w:t>31.129,87</w:t>
            </w:r>
          </w:p>
        </w:tc>
        <w:tc>
          <w:tcPr>
            <w:tcW w:w="1395" w:type="dxa"/>
            <w:tcBorders>
              <w:bottom w:val="single" w:sz="6" w:space="0" w:color="000000"/>
              <w:right w:val="single" w:sz="6" w:space="0" w:color="000000"/>
            </w:tcBorders>
            <w:vAlign w:val="center"/>
          </w:tcPr>
          <w:p w14:paraId="66837BB0" w14:textId="77777777" w:rsidR="007D706A" w:rsidRDefault="007D706A" w:rsidP="00F70508">
            <w:pPr>
              <w:pStyle w:val="ParagraphStyle6"/>
              <w:rPr>
                <w:rStyle w:val="CharacterStyle6"/>
              </w:rPr>
            </w:pPr>
            <w:r>
              <w:rPr>
                <w:rStyle w:val="CharacterStyle6"/>
              </w:rPr>
              <w:t>35.000,00</w:t>
            </w:r>
          </w:p>
        </w:tc>
        <w:tc>
          <w:tcPr>
            <w:tcW w:w="1395" w:type="dxa"/>
            <w:tcBorders>
              <w:bottom w:val="single" w:sz="6" w:space="0" w:color="000000"/>
              <w:right w:val="single" w:sz="6" w:space="0" w:color="000000"/>
            </w:tcBorders>
            <w:vAlign w:val="center"/>
          </w:tcPr>
          <w:p w14:paraId="5D2CEDDF" w14:textId="77777777" w:rsidR="007D706A" w:rsidRDefault="007D706A" w:rsidP="00F70508">
            <w:pPr>
              <w:pStyle w:val="ParagraphStyle6"/>
              <w:rPr>
                <w:rStyle w:val="CharacterStyle6"/>
              </w:rPr>
            </w:pPr>
            <w:r>
              <w:rPr>
                <w:rStyle w:val="CharacterStyle6"/>
              </w:rPr>
              <w:t>35.000,00</w:t>
            </w:r>
          </w:p>
        </w:tc>
      </w:tr>
      <w:tr w:rsidR="007D706A" w14:paraId="3B12FD0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01F5CB0"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4E338D46"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2ABF9F42"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44D6D43" w14:textId="77777777" w:rsidR="007D706A" w:rsidRDefault="007D706A" w:rsidP="00F70508">
            <w:pPr>
              <w:pStyle w:val="ParagraphStyle9"/>
              <w:rPr>
                <w:rStyle w:val="CharacterStyle9"/>
              </w:rPr>
            </w:pPr>
            <w:r>
              <w:rPr>
                <w:rStyle w:val="CharacterStyle9"/>
              </w:rPr>
              <w:t>81.775,00</w:t>
            </w:r>
          </w:p>
        </w:tc>
        <w:tc>
          <w:tcPr>
            <w:tcW w:w="1395" w:type="dxa"/>
            <w:tcBorders>
              <w:bottom w:val="single" w:sz="6" w:space="0" w:color="000000"/>
              <w:right w:val="single" w:sz="6" w:space="0" w:color="000000"/>
            </w:tcBorders>
            <w:vAlign w:val="center"/>
          </w:tcPr>
          <w:p w14:paraId="79656559"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1EE0882"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3C942C2" w14:textId="77777777" w:rsidR="007D706A" w:rsidRDefault="007D706A" w:rsidP="00F70508">
            <w:pPr>
              <w:pStyle w:val="ParagraphStyle9"/>
              <w:rPr>
                <w:rStyle w:val="CharacterStyle9"/>
              </w:rPr>
            </w:pPr>
            <w:r>
              <w:rPr>
                <w:rStyle w:val="CharacterStyle9"/>
              </w:rPr>
              <w:t>0,00</w:t>
            </w:r>
          </w:p>
        </w:tc>
      </w:tr>
      <w:tr w:rsidR="007D706A" w14:paraId="3E5EF21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2817BE9"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1C7B8458"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4990F09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86BD6A2" w14:textId="77777777" w:rsidR="007D706A" w:rsidRDefault="007D706A" w:rsidP="00F70508">
            <w:pPr>
              <w:pStyle w:val="ParagraphStyle12"/>
              <w:rPr>
                <w:rStyle w:val="CharacterStyle12"/>
              </w:rPr>
            </w:pPr>
            <w:r>
              <w:rPr>
                <w:rStyle w:val="CharacterStyle12"/>
              </w:rPr>
              <w:t>81.775,00</w:t>
            </w:r>
          </w:p>
        </w:tc>
        <w:tc>
          <w:tcPr>
            <w:tcW w:w="1395" w:type="dxa"/>
            <w:tcBorders>
              <w:bottom w:val="single" w:sz="6" w:space="0" w:color="000000"/>
              <w:right w:val="single" w:sz="6" w:space="0" w:color="000000"/>
            </w:tcBorders>
            <w:vAlign w:val="center"/>
          </w:tcPr>
          <w:p w14:paraId="3C15DAA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D71C4F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09DBCC1" w14:textId="77777777" w:rsidR="007D706A" w:rsidRDefault="007D706A" w:rsidP="00F70508">
            <w:pPr>
              <w:pStyle w:val="ParagraphStyle12"/>
              <w:rPr>
                <w:rStyle w:val="CharacterStyle12"/>
              </w:rPr>
            </w:pPr>
            <w:r>
              <w:rPr>
                <w:rStyle w:val="CharacterStyle12"/>
              </w:rPr>
              <w:t>0,00</w:t>
            </w:r>
          </w:p>
        </w:tc>
      </w:tr>
      <w:tr w:rsidR="007D706A" w14:paraId="45FC466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B7AE647"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14E10963"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1831DB6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BBAE059" w14:textId="77777777" w:rsidR="007D706A" w:rsidRDefault="007D706A" w:rsidP="00F70508">
            <w:pPr>
              <w:pStyle w:val="ParagraphStyle12"/>
              <w:rPr>
                <w:rStyle w:val="CharacterStyle12"/>
              </w:rPr>
            </w:pPr>
            <w:r>
              <w:rPr>
                <w:rStyle w:val="CharacterStyle12"/>
              </w:rPr>
              <w:t>81.775,00</w:t>
            </w:r>
          </w:p>
        </w:tc>
        <w:tc>
          <w:tcPr>
            <w:tcW w:w="1395" w:type="dxa"/>
            <w:tcBorders>
              <w:bottom w:val="single" w:sz="6" w:space="0" w:color="000000"/>
              <w:right w:val="single" w:sz="6" w:space="0" w:color="000000"/>
            </w:tcBorders>
            <w:vAlign w:val="center"/>
          </w:tcPr>
          <w:p w14:paraId="5B3D9FA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623BEE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45EDACB" w14:textId="77777777" w:rsidR="007D706A" w:rsidRDefault="007D706A" w:rsidP="00F70508">
            <w:pPr>
              <w:pStyle w:val="ParagraphStyle12"/>
              <w:rPr>
                <w:rStyle w:val="CharacterStyle12"/>
              </w:rPr>
            </w:pPr>
            <w:r>
              <w:rPr>
                <w:rStyle w:val="CharacterStyle12"/>
              </w:rPr>
              <w:t>0,00</w:t>
            </w:r>
          </w:p>
        </w:tc>
      </w:tr>
      <w:tr w:rsidR="007D706A" w14:paraId="0E37F14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A26DC00" w14:textId="77777777" w:rsidR="007D706A" w:rsidRDefault="007D706A" w:rsidP="00F70508">
            <w:pPr>
              <w:pStyle w:val="ParagraphStyle7"/>
              <w:rPr>
                <w:rStyle w:val="CharacterStyle7"/>
              </w:rPr>
            </w:pPr>
            <w:r>
              <w:rPr>
                <w:rStyle w:val="CharacterStyle7"/>
              </w:rPr>
              <w:t>Izvor financiranja 41</w:t>
            </w:r>
          </w:p>
        </w:tc>
        <w:tc>
          <w:tcPr>
            <w:tcW w:w="4995" w:type="dxa"/>
            <w:tcBorders>
              <w:bottom w:val="single" w:sz="6" w:space="0" w:color="000000"/>
              <w:right w:val="single" w:sz="6" w:space="0" w:color="000000"/>
            </w:tcBorders>
            <w:vAlign w:val="center"/>
          </w:tcPr>
          <w:p w14:paraId="3FD2D75F" w14:textId="77777777" w:rsidR="007D706A" w:rsidRDefault="007D706A" w:rsidP="00F70508">
            <w:pPr>
              <w:pStyle w:val="ParagraphStyle8"/>
              <w:rPr>
                <w:rStyle w:val="CharacterStyle8"/>
              </w:rPr>
            </w:pPr>
            <w:r>
              <w:rPr>
                <w:rStyle w:val="CharacterStyle8"/>
              </w:rPr>
              <w:t>Prihodi za posebne namjene</w:t>
            </w:r>
          </w:p>
        </w:tc>
        <w:tc>
          <w:tcPr>
            <w:tcW w:w="1395" w:type="dxa"/>
            <w:tcBorders>
              <w:bottom w:val="single" w:sz="6" w:space="0" w:color="000000"/>
              <w:right w:val="single" w:sz="6" w:space="0" w:color="000000"/>
            </w:tcBorders>
            <w:vAlign w:val="center"/>
          </w:tcPr>
          <w:p w14:paraId="169D3C98"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92A47F8" w14:textId="77777777" w:rsidR="007D706A" w:rsidRDefault="007D706A" w:rsidP="00F70508">
            <w:pPr>
              <w:pStyle w:val="ParagraphStyle9"/>
              <w:rPr>
                <w:rStyle w:val="CharacterStyle9"/>
              </w:rPr>
            </w:pPr>
            <w:r>
              <w:rPr>
                <w:rStyle w:val="CharacterStyle9"/>
              </w:rPr>
              <w:t>31.726,00</w:t>
            </w:r>
          </w:p>
        </w:tc>
        <w:tc>
          <w:tcPr>
            <w:tcW w:w="1395" w:type="dxa"/>
            <w:tcBorders>
              <w:bottom w:val="single" w:sz="6" w:space="0" w:color="000000"/>
              <w:right w:val="single" w:sz="6" w:space="0" w:color="000000"/>
            </w:tcBorders>
            <w:vAlign w:val="center"/>
          </w:tcPr>
          <w:p w14:paraId="5617CA23"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9B280C5"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0030087" w14:textId="77777777" w:rsidR="007D706A" w:rsidRDefault="007D706A" w:rsidP="00F70508">
            <w:pPr>
              <w:pStyle w:val="ParagraphStyle9"/>
              <w:rPr>
                <w:rStyle w:val="CharacterStyle9"/>
              </w:rPr>
            </w:pPr>
            <w:r>
              <w:rPr>
                <w:rStyle w:val="CharacterStyle9"/>
              </w:rPr>
              <w:t>0,00</w:t>
            </w:r>
          </w:p>
        </w:tc>
      </w:tr>
      <w:tr w:rsidR="007D706A" w14:paraId="4E46456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3309135"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493F6014"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1F55BBD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713FDB9" w14:textId="77777777" w:rsidR="007D706A" w:rsidRDefault="007D706A" w:rsidP="00F70508">
            <w:pPr>
              <w:pStyle w:val="ParagraphStyle12"/>
              <w:rPr>
                <w:rStyle w:val="CharacterStyle12"/>
              </w:rPr>
            </w:pPr>
            <w:r>
              <w:rPr>
                <w:rStyle w:val="CharacterStyle12"/>
              </w:rPr>
              <w:t>31.726,00</w:t>
            </w:r>
          </w:p>
        </w:tc>
        <w:tc>
          <w:tcPr>
            <w:tcW w:w="1395" w:type="dxa"/>
            <w:tcBorders>
              <w:bottom w:val="single" w:sz="6" w:space="0" w:color="000000"/>
              <w:right w:val="single" w:sz="6" w:space="0" w:color="000000"/>
            </w:tcBorders>
            <w:vAlign w:val="center"/>
          </w:tcPr>
          <w:p w14:paraId="14F97B2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1F62B9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BF2D79C" w14:textId="77777777" w:rsidR="007D706A" w:rsidRDefault="007D706A" w:rsidP="00F70508">
            <w:pPr>
              <w:pStyle w:val="ParagraphStyle12"/>
              <w:rPr>
                <w:rStyle w:val="CharacterStyle12"/>
              </w:rPr>
            </w:pPr>
            <w:r>
              <w:rPr>
                <w:rStyle w:val="CharacterStyle12"/>
              </w:rPr>
              <w:t>0,00</w:t>
            </w:r>
          </w:p>
        </w:tc>
      </w:tr>
      <w:tr w:rsidR="007D706A" w14:paraId="15F0261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8E15010"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76C9793C"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2A3CE3B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CF8B320" w14:textId="77777777" w:rsidR="007D706A" w:rsidRDefault="007D706A" w:rsidP="00F70508">
            <w:pPr>
              <w:pStyle w:val="ParagraphStyle12"/>
              <w:rPr>
                <w:rStyle w:val="CharacterStyle12"/>
              </w:rPr>
            </w:pPr>
            <w:r>
              <w:rPr>
                <w:rStyle w:val="CharacterStyle12"/>
              </w:rPr>
              <w:t>31.726,00</w:t>
            </w:r>
          </w:p>
        </w:tc>
        <w:tc>
          <w:tcPr>
            <w:tcW w:w="1395" w:type="dxa"/>
            <w:tcBorders>
              <w:bottom w:val="single" w:sz="6" w:space="0" w:color="000000"/>
              <w:right w:val="single" w:sz="6" w:space="0" w:color="000000"/>
            </w:tcBorders>
            <w:vAlign w:val="center"/>
          </w:tcPr>
          <w:p w14:paraId="6BFCD60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DAC7B4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D022271" w14:textId="77777777" w:rsidR="007D706A" w:rsidRDefault="007D706A" w:rsidP="00F70508">
            <w:pPr>
              <w:pStyle w:val="ParagraphStyle12"/>
              <w:rPr>
                <w:rStyle w:val="CharacterStyle12"/>
              </w:rPr>
            </w:pPr>
            <w:r>
              <w:rPr>
                <w:rStyle w:val="CharacterStyle12"/>
              </w:rPr>
              <w:t>0,00</w:t>
            </w:r>
          </w:p>
        </w:tc>
      </w:tr>
      <w:tr w:rsidR="007D706A" w14:paraId="1AA6190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8F2F0F1" w14:textId="77777777" w:rsidR="007D706A" w:rsidRDefault="007D706A" w:rsidP="00F70508">
            <w:pPr>
              <w:pStyle w:val="ParagraphStyle7"/>
              <w:rPr>
                <w:rStyle w:val="CharacterStyle7"/>
              </w:rPr>
            </w:pPr>
            <w:r>
              <w:rPr>
                <w:rStyle w:val="CharacterStyle7"/>
              </w:rPr>
              <w:t>Izvor financiranja 43</w:t>
            </w:r>
          </w:p>
        </w:tc>
        <w:tc>
          <w:tcPr>
            <w:tcW w:w="4995" w:type="dxa"/>
            <w:tcBorders>
              <w:bottom w:val="single" w:sz="6" w:space="0" w:color="000000"/>
              <w:right w:val="single" w:sz="6" w:space="0" w:color="000000"/>
            </w:tcBorders>
            <w:vAlign w:val="center"/>
          </w:tcPr>
          <w:p w14:paraId="5B120F30" w14:textId="77777777" w:rsidR="007D706A" w:rsidRDefault="007D706A" w:rsidP="00F70508">
            <w:pPr>
              <w:pStyle w:val="ParagraphStyle8"/>
              <w:rPr>
                <w:rStyle w:val="CharacterStyle8"/>
              </w:rPr>
            </w:pPr>
            <w:r>
              <w:rPr>
                <w:rStyle w:val="CharacterStyle8"/>
              </w:rPr>
              <w:t>Ostali prihodi za posebne namjene</w:t>
            </w:r>
          </w:p>
        </w:tc>
        <w:tc>
          <w:tcPr>
            <w:tcW w:w="1395" w:type="dxa"/>
            <w:tcBorders>
              <w:bottom w:val="single" w:sz="6" w:space="0" w:color="000000"/>
              <w:right w:val="single" w:sz="6" w:space="0" w:color="000000"/>
            </w:tcBorders>
            <w:vAlign w:val="center"/>
          </w:tcPr>
          <w:p w14:paraId="5EDD82C5"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2EEB3B4"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A70EF0F" w14:textId="77777777" w:rsidR="007D706A" w:rsidRDefault="007D706A" w:rsidP="00F70508">
            <w:pPr>
              <w:pStyle w:val="ParagraphStyle9"/>
              <w:rPr>
                <w:rStyle w:val="CharacterStyle9"/>
              </w:rPr>
            </w:pPr>
            <w:r>
              <w:rPr>
                <w:rStyle w:val="CharacterStyle9"/>
              </w:rPr>
              <w:t>31.129,87</w:t>
            </w:r>
          </w:p>
        </w:tc>
        <w:tc>
          <w:tcPr>
            <w:tcW w:w="1395" w:type="dxa"/>
            <w:tcBorders>
              <w:bottom w:val="single" w:sz="6" w:space="0" w:color="000000"/>
              <w:right w:val="single" w:sz="6" w:space="0" w:color="000000"/>
            </w:tcBorders>
            <w:vAlign w:val="center"/>
          </w:tcPr>
          <w:p w14:paraId="698FF73A" w14:textId="77777777" w:rsidR="007D706A" w:rsidRDefault="007D706A" w:rsidP="00F70508">
            <w:pPr>
              <w:pStyle w:val="ParagraphStyle9"/>
              <w:rPr>
                <w:rStyle w:val="CharacterStyle9"/>
              </w:rPr>
            </w:pPr>
            <w:r>
              <w:rPr>
                <w:rStyle w:val="CharacterStyle9"/>
              </w:rPr>
              <w:t>35.000,00</w:t>
            </w:r>
          </w:p>
        </w:tc>
        <w:tc>
          <w:tcPr>
            <w:tcW w:w="1395" w:type="dxa"/>
            <w:tcBorders>
              <w:bottom w:val="single" w:sz="6" w:space="0" w:color="000000"/>
              <w:right w:val="single" w:sz="6" w:space="0" w:color="000000"/>
            </w:tcBorders>
            <w:vAlign w:val="center"/>
          </w:tcPr>
          <w:p w14:paraId="530C51AC" w14:textId="77777777" w:rsidR="007D706A" w:rsidRDefault="007D706A" w:rsidP="00F70508">
            <w:pPr>
              <w:pStyle w:val="ParagraphStyle9"/>
              <w:rPr>
                <w:rStyle w:val="CharacterStyle9"/>
              </w:rPr>
            </w:pPr>
            <w:r>
              <w:rPr>
                <w:rStyle w:val="CharacterStyle9"/>
              </w:rPr>
              <w:t>35.000,00</w:t>
            </w:r>
          </w:p>
        </w:tc>
      </w:tr>
      <w:tr w:rsidR="007D706A" w14:paraId="1B9478F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11A66A6"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1CE0D0FD"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77BE35E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727B1E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8E06E24" w14:textId="77777777" w:rsidR="007D706A" w:rsidRDefault="007D706A" w:rsidP="00F70508">
            <w:pPr>
              <w:pStyle w:val="ParagraphStyle12"/>
              <w:rPr>
                <w:rStyle w:val="CharacterStyle12"/>
              </w:rPr>
            </w:pPr>
            <w:r>
              <w:rPr>
                <w:rStyle w:val="CharacterStyle12"/>
              </w:rPr>
              <w:t>31.129,87</w:t>
            </w:r>
          </w:p>
        </w:tc>
        <w:tc>
          <w:tcPr>
            <w:tcW w:w="1395" w:type="dxa"/>
            <w:tcBorders>
              <w:bottom w:val="single" w:sz="6" w:space="0" w:color="000000"/>
              <w:right w:val="single" w:sz="6" w:space="0" w:color="000000"/>
            </w:tcBorders>
            <w:vAlign w:val="center"/>
          </w:tcPr>
          <w:p w14:paraId="44EE2DA6" w14:textId="77777777" w:rsidR="007D706A" w:rsidRDefault="007D706A" w:rsidP="00F70508">
            <w:pPr>
              <w:pStyle w:val="ParagraphStyle12"/>
              <w:rPr>
                <w:rStyle w:val="CharacterStyle12"/>
              </w:rPr>
            </w:pPr>
            <w:r>
              <w:rPr>
                <w:rStyle w:val="CharacterStyle12"/>
              </w:rPr>
              <w:t>35.000,00</w:t>
            </w:r>
          </w:p>
        </w:tc>
        <w:tc>
          <w:tcPr>
            <w:tcW w:w="1395" w:type="dxa"/>
            <w:tcBorders>
              <w:bottom w:val="single" w:sz="6" w:space="0" w:color="000000"/>
              <w:right w:val="single" w:sz="6" w:space="0" w:color="000000"/>
            </w:tcBorders>
            <w:vAlign w:val="center"/>
          </w:tcPr>
          <w:p w14:paraId="005A1997" w14:textId="77777777" w:rsidR="007D706A" w:rsidRDefault="007D706A" w:rsidP="00F70508">
            <w:pPr>
              <w:pStyle w:val="ParagraphStyle12"/>
              <w:rPr>
                <w:rStyle w:val="CharacterStyle12"/>
              </w:rPr>
            </w:pPr>
            <w:r>
              <w:rPr>
                <w:rStyle w:val="CharacterStyle12"/>
              </w:rPr>
              <w:t>35.000,00</w:t>
            </w:r>
          </w:p>
        </w:tc>
      </w:tr>
      <w:tr w:rsidR="007D706A" w14:paraId="1C35744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9F27886"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56068325"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52E213C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61EBF3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49AAB13" w14:textId="77777777" w:rsidR="007D706A" w:rsidRDefault="007D706A" w:rsidP="00F70508">
            <w:pPr>
              <w:pStyle w:val="ParagraphStyle12"/>
              <w:rPr>
                <w:rStyle w:val="CharacterStyle12"/>
              </w:rPr>
            </w:pPr>
            <w:r>
              <w:rPr>
                <w:rStyle w:val="CharacterStyle12"/>
              </w:rPr>
              <w:t>31.129,87</w:t>
            </w:r>
          </w:p>
        </w:tc>
        <w:tc>
          <w:tcPr>
            <w:tcW w:w="1395" w:type="dxa"/>
            <w:tcBorders>
              <w:bottom w:val="single" w:sz="6" w:space="0" w:color="000000"/>
              <w:right w:val="single" w:sz="6" w:space="0" w:color="000000"/>
            </w:tcBorders>
            <w:vAlign w:val="center"/>
          </w:tcPr>
          <w:p w14:paraId="5CA1C8AC" w14:textId="77777777" w:rsidR="007D706A" w:rsidRDefault="007D706A" w:rsidP="00F70508">
            <w:pPr>
              <w:pStyle w:val="ParagraphStyle12"/>
              <w:rPr>
                <w:rStyle w:val="CharacterStyle12"/>
              </w:rPr>
            </w:pPr>
            <w:r>
              <w:rPr>
                <w:rStyle w:val="CharacterStyle12"/>
              </w:rPr>
              <w:t>35.000,00</w:t>
            </w:r>
          </w:p>
        </w:tc>
        <w:tc>
          <w:tcPr>
            <w:tcW w:w="1395" w:type="dxa"/>
            <w:tcBorders>
              <w:bottom w:val="single" w:sz="6" w:space="0" w:color="000000"/>
              <w:right w:val="single" w:sz="6" w:space="0" w:color="000000"/>
            </w:tcBorders>
            <w:vAlign w:val="center"/>
          </w:tcPr>
          <w:p w14:paraId="459C6758" w14:textId="77777777" w:rsidR="007D706A" w:rsidRDefault="007D706A" w:rsidP="00F70508">
            <w:pPr>
              <w:pStyle w:val="ParagraphStyle12"/>
              <w:rPr>
                <w:rStyle w:val="CharacterStyle12"/>
              </w:rPr>
            </w:pPr>
            <w:r>
              <w:rPr>
                <w:rStyle w:val="CharacterStyle12"/>
              </w:rPr>
              <w:t>35.000,00</w:t>
            </w:r>
          </w:p>
        </w:tc>
      </w:tr>
      <w:tr w:rsidR="007D706A" w14:paraId="48A49A06"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9BADBC7" w14:textId="77777777" w:rsidR="007D706A" w:rsidRDefault="007D706A" w:rsidP="00F70508">
            <w:pPr>
              <w:pStyle w:val="ParagraphStyle4"/>
              <w:rPr>
                <w:rStyle w:val="CharacterStyle4"/>
              </w:rPr>
            </w:pPr>
            <w:r>
              <w:rPr>
                <w:rStyle w:val="CharacterStyle4"/>
              </w:rPr>
              <w:t>PROGRAM    1028</w:t>
            </w:r>
          </w:p>
        </w:tc>
        <w:tc>
          <w:tcPr>
            <w:tcW w:w="4995" w:type="dxa"/>
            <w:tcBorders>
              <w:bottom w:val="single" w:sz="6" w:space="0" w:color="000000"/>
              <w:right w:val="single" w:sz="6" w:space="0" w:color="000000"/>
            </w:tcBorders>
            <w:vAlign w:val="center"/>
          </w:tcPr>
          <w:p w14:paraId="208E312B" w14:textId="77777777" w:rsidR="007D706A" w:rsidRDefault="007D706A" w:rsidP="00F70508">
            <w:pPr>
              <w:pStyle w:val="ParagraphStyle5"/>
              <w:rPr>
                <w:rStyle w:val="CharacterStyle5"/>
              </w:rPr>
            </w:pPr>
            <w:r>
              <w:rPr>
                <w:rStyle w:val="CharacterStyle5"/>
              </w:rPr>
              <w:t>JAVNE POTREBE U TEHNIČKOJ KULTURI</w:t>
            </w:r>
          </w:p>
        </w:tc>
        <w:tc>
          <w:tcPr>
            <w:tcW w:w="1395" w:type="dxa"/>
            <w:tcBorders>
              <w:bottom w:val="single" w:sz="6" w:space="0" w:color="000000"/>
              <w:right w:val="single" w:sz="6" w:space="0" w:color="000000"/>
            </w:tcBorders>
            <w:vAlign w:val="center"/>
          </w:tcPr>
          <w:p w14:paraId="0A010A3A"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64F2111C" w14:textId="77777777" w:rsidR="007D706A" w:rsidRDefault="007D706A" w:rsidP="00F70508">
            <w:pPr>
              <w:pStyle w:val="ParagraphStyle6"/>
              <w:rPr>
                <w:rStyle w:val="CharacterStyle6"/>
              </w:rPr>
            </w:pPr>
            <w:r>
              <w:rPr>
                <w:rStyle w:val="CharacterStyle6"/>
              </w:rPr>
              <w:t>5.750,00</w:t>
            </w:r>
          </w:p>
        </w:tc>
        <w:tc>
          <w:tcPr>
            <w:tcW w:w="1395" w:type="dxa"/>
            <w:tcBorders>
              <w:bottom w:val="single" w:sz="6" w:space="0" w:color="000000"/>
              <w:right w:val="single" w:sz="6" w:space="0" w:color="000000"/>
            </w:tcBorders>
            <w:vAlign w:val="center"/>
          </w:tcPr>
          <w:p w14:paraId="3587484C" w14:textId="77777777" w:rsidR="007D706A" w:rsidRDefault="007D706A" w:rsidP="00F70508">
            <w:pPr>
              <w:pStyle w:val="ParagraphStyle6"/>
              <w:rPr>
                <w:rStyle w:val="CharacterStyle6"/>
              </w:rPr>
            </w:pPr>
            <w:r>
              <w:rPr>
                <w:rStyle w:val="CharacterStyle6"/>
              </w:rPr>
              <w:t>8.000,00</w:t>
            </w:r>
          </w:p>
        </w:tc>
        <w:tc>
          <w:tcPr>
            <w:tcW w:w="1395" w:type="dxa"/>
            <w:tcBorders>
              <w:bottom w:val="single" w:sz="6" w:space="0" w:color="000000"/>
              <w:right w:val="single" w:sz="6" w:space="0" w:color="000000"/>
            </w:tcBorders>
            <w:vAlign w:val="center"/>
          </w:tcPr>
          <w:p w14:paraId="21ED5F62" w14:textId="77777777" w:rsidR="007D706A" w:rsidRDefault="007D706A" w:rsidP="00F70508">
            <w:pPr>
              <w:pStyle w:val="ParagraphStyle6"/>
              <w:rPr>
                <w:rStyle w:val="CharacterStyle6"/>
              </w:rPr>
            </w:pPr>
            <w:r>
              <w:rPr>
                <w:rStyle w:val="CharacterStyle6"/>
              </w:rPr>
              <w:t>8.000,00</w:t>
            </w:r>
          </w:p>
        </w:tc>
        <w:tc>
          <w:tcPr>
            <w:tcW w:w="1395" w:type="dxa"/>
            <w:tcBorders>
              <w:bottom w:val="single" w:sz="6" w:space="0" w:color="000000"/>
              <w:right w:val="single" w:sz="6" w:space="0" w:color="000000"/>
            </w:tcBorders>
            <w:vAlign w:val="center"/>
          </w:tcPr>
          <w:p w14:paraId="2A70E8ED" w14:textId="77777777" w:rsidR="007D706A" w:rsidRDefault="007D706A" w:rsidP="00F70508">
            <w:pPr>
              <w:pStyle w:val="ParagraphStyle6"/>
              <w:rPr>
                <w:rStyle w:val="CharacterStyle6"/>
              </w:rPr>
            </w:pPr>
            <w:r>
              <w:rPr>
                <w:rStyle w:val="CharacterStyle6"/>
              </w:rPr>
              <w:t>9.000,00</w:t>
            </w:r>
          </w:p>
        </w:tc>
      </w:tr>
      <w:tr w:rsidR="007D706A" w14:paraId="3FC443B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DB5AE6B" w14:textId="77777777" w:rsidR="007D706A" w:rsidRDefault="007D706A" w:rsidP="00F70508">
            <w:pPr>
              <w:pStyle w:val="ParagraphStyle4"/>
              <w:rPr>
                <w:rStyle w:val="CharacterStyle4"/>
              </w:rPr>
            </w:pPr>
            <w:r>
              <w:rPr>
                <w:rStyle w:val="CharacterStyle4"/>
              </w:rPr>
              <w:t>Aktivnost A102801</w:t>
            </w:r>
          </w:p>
        </w:tc>
        <w:tc>
          <w:tcPr>
            <w:tcW w:w="4995" w:type="dxa"/>
            <w:tcBorders>
              <w:bottom w:val="single" w:sz="6" w:space="0" w:color="000000"/>
              <w:right w:val="single" w:sz="6" w:space="0" w:color="000000"/>
            </w:tcBorders>
            <w:vAlign w:val="center"/>
          </w:tcPr>
          <w:p w14:paraId="6DF141B2" w14:textId="77777777" w:rsidR="007D706A" w:rsidRDefault="007D706A" w:rsidP="00F70508">
            <w:pPr>
              <w:pStyle w:val="ParagraphStyle5"/>
              <w:rPr>
                <w:rStyle w:val="CharacterStyle5"/>
              </w:rPr>
            </w:pPr>
            <w:r>
              <w:rPr>
                <w:rStyle w:val="CharacterStyle5"/>
              </w:rPr>
              <w:t>PROGRAMI UDRUGA TEHNIČKE KULTURE</w:t>
            </w:r>
          </w:p>
        </w:tc>
        <w:tc>
          <w:tcPr>
            <w:tcW w:w="1395" w:type="dxa"/>
            <w:tcBorders>
              <w:bottom w:val="single" w:sz="6" w:space="0" w:color="000000"/>
              <w:right w:val="single" w:sz="6" w:space="0" w:color="000000"/>
            </w:tcBorders>
            <w:vAlign w:val="center"/>
          </w:tcPr>
          <w:p w14:paraId="5B722932"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45A353C8" w14:textId="77777777" w:rsidR="007D706A" w:rsidRDefault="007D706A" w:rsidP="00F70508">
            <w:pPr>
              <w:pStyle w:val="ParagraphStyle6"/>
              <w:rPr>
                <w:rStyle w:val="CharacterStyle6"/>
              </w:rPr>
            </w:pPr>
            <w:r>
              <w:rPr>
                <w:rStyle w:val="CharacterStyle6"/>
              </w:rPr>
              <w:t>4.250,00</w:t>
            </w:r>
          </w:p>
        </w:tc>
        <w:tc>
          <w:tcPr>
            <w:tcW w:w="1395" w:type="dxa"/>
            <w:tcBorders>
              <w:bottom w:val="single" w:sz="6" w:space="0" w:color="000000"/>
              <w:right w:val="single" w:sz="6" w:space="0" w:color="000000"/>
            </w:tcBorders>
            <w:vAlign w:val="center"/>
          </w:tcPr>
          <w:p w14:paraId="25D1F9B9" w14:textId="77777777" w:rsidR="007D706A" w:rsidRDefault="007D706A" w:rsidP="00F70508">
            <w:pPr>
              <w:pStyle w:val="ParagraphStyle6"/>
              <w:rPr>
                <w:rStyle w:val="CharacterStyle6"/>
              </w:rPr>
            </w:pPr>
            <w:r>
              <w:rPr>
                <w:rStyle w:val="CharacterStyle6"/>
              </w:rPr>
              <w:t>8.000,00</w:t>
            </w:r>
          </w:p>
        </w:tc>
        <w:tc>
          <w:tcPr>
            <w:tcW w:w="1395" w:type="dxa"/>
            <w:tcBorders>
              <w:bottom w:val="single" w:sz="6" w:space="0" w:color="000000"/>
              <w:right w:val="single" w:sz="6" w:space="0" w:color="000000"/>
            </w:tcBorders>
            <w:vAlign w:val="center"/>
          </w:tcPr>
          <w:p w14:paraId="0365EE6D" w14:textId="77777777" w:rsidR="007D706A" w:rsidRDefault="007D706A" w:rsidP="00F70508">
            <w:pPr>
              <w:pStyle w:val="ParagraphStyle6"/>
              <w:rPr>
                <w:rStyle w:val="CharacterStyle6"/>
              </w:rPr>
            </w:pPr>
            <w:r>
              <w:rPr>
                <w:rStyle w:val="CharacterStyle6"/>
              </w:rPr>
              <w:t>8.000,00</w:t>
            </w:r>
          </w:p>
        </w:tc>
        <w:tc>
          <w:tcPr>
            <w:tcW w:w="1395" w:type="dxa"/>
            <w:tcBorders>
              <w:bottom w:val="single" w:sz="6" w:space="0" w:color="000000"/>
              <w:right w:val="single" w:sz="6" w:space="0" w:color="000000"/>
            </w:tcBorders>
            <w:vAlign w:val="center"/>
          </w:tcPr>
          <w:p w14:paraId="78787242" w14:textId="77777777" w:rsidR="007D706A" w:rsidRDefault="007D706A" w:rsidP="00F70508">
            <w:pPr>
              <w:pStyle w:val="ParagraphStyle6"/>
              <w:rPr>
                <w:rStyle w:val="CharacterStyle6"/>
              </w:rPr>
            </w:pPr>
            <w:r>
              <w:rPr>
                <w:rStyle w:val="CharacterStyle6"/>
              </w:rPr>
              <w:t>9.000,00</w:t>
            </w:r>
          </w:p>
        </w:tc>
      </w:tr>
      <w:tr w:rsidR="007D706A" w14:paraId="62B6C09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7659E90"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4080DC2B"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2A8B4001"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B232CCC" w14:textId="77777777" w:rsidR="007D706A" w:rsidRDefault="007D706A" w:rsidP="00F70508">
            <w:pPr>
              <w:pStyle w:val="ParagraphStyle9"/>
              <w:rPr>
                <w:rStyle w:val="CharacterStyle9"/>
              </w:rPr>
            </w:pPr>
            <w:r>
              <w:rPr>
                <w:rStyle w:val="CharacterStyle9"/>
              </w:rPr>
              <w:t>4.250,00</w:t>
            </w:r>
          </w:p>
        </w:tc>
        <w:tc>
          <w:tcPr>
            <w:tcW w:w="1395" w:type="dxa"/>
            <w:tcBorders>
              <w:bottom w:val="single" w:sz="6" w:space="0" w:color="000000"/>
              <w:right w:val="single" w:sz="6" w:space="0" w:color="000000"/>
            </w:tcBorders>
            <w:vAlign w:val="center"/>
          </w:tcPr>
          <w:p w14:paraId="4F7A5E0F" w14:textId="77777777" w:rsidR="007D706A" w:rsidRDefault="007D706A" w:rsidP="00F70508">
            <w:pPr>
              <w:pStyle w:val="ParagraphStyle9"/>
              <w:rPr>
                <w:rStyle w:val="CharacterStyle9"/>
              </w:rPr>
            </w:pPr>
            <w:r>
              <w:rPr>
                <w:rStyle w:val="CharacterStyle9"/>
              </w:rPr>
              <w:t>8.000,00</w:t>
            </w:r>
          </w:p>
        </w:tc>
        <w:tc>
          <w:tcPr>
            <w:tcW w:w="1395" w:type="dxa"/>
            <w:tcBorders>
              <w:bottom w:val="single" w:sz="6" w:space="0" w:color="000000"/>
              <w:right w:val="single" w:sz="6" w:space="0" w:color="000000"/>
            </w:tcBorders>
            <w:vAlign w:val="center"/>
          </w:tcPr>
          <w:p w14:paraId="24773806" w14:textId="77777777" w:rsidR="007D706A" w:rsidRDefault="007D706A" w:rsidP="00F70508">
            <w:pPr>
              <w:pStyle w:val="ParagraphStyle9"/>
              <w:rPr>
                <w:rStyle w:val="CharacterStyle9"/>
              </w:rPr>
            </w:pPr>
            <w:r>
              <w:rPr>
                <w:rStyle w:val="CharacterStyle9"/>
              </w:rPr>
              <w:t>8.000,00</w:t>
            </w:r>
          </w:p>
        </w:tc>
        <w:tc>
          <w:tcPr>
            <w:tcW w:w="1395" w:type="dxa"/>
            <w:tcBorders>
              <w:bottom w:val="single" w:sz="6" w:space="0" w:color="000000"/>
              <w:right w:val="single" w:sz="6" w:space="0" w:color="000000"/>
            </w:tcBorders>
            <w:vAlign w:val="center"/>
          </w:tcPr>
          <w:p w14:paraId="0CACF81A" w14:textId="77777777" w:rsidR="007D706A" w:rsidRDefault="007D706A" w:rsidP="00F70508">
            <w:pPr>
              <w:pStyle w:val="ParagraphStyle9"/>
              <w:rPr>
                <w:rStyle w:val="CharacterStyle9"/>
              </w:rPr>
            </w:pPr>
            <w:r>
              <w:rPr>
                <w:rStyle w:val="CharacterStyle9"/>
              </w:rPr>
              <w:t>9.000,00</w:t>
            </w:r>
          </w:p>
        </w:tc>
      </w:tr>
      <w:tr w:rsidR="007D706A" w14:paraId="221AC49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806E461"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5B742551"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11C88A9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579877D" w14:textId="77777777" w:rsidR="007D706A" w:rsidRDefault="007D706A" w:rsidP="00F70508">
            <w:pPr>
              <w:pStyle w:val="ParagraphStyle12"/>
              <w:rPr>
                <w:rStyle w:val="CharacterStyle12"/>
              </w:rPr>
            </w:pPr>
            <w:r>
              <w:rPr>
                <w:rStyle w:val="CharacterStyle12"/>
              </w:rPr>
              <w:t>4.250,00</w:t>
            </w:r>
          </w:p>
        </w:tc>
        <w:tc>
          <w:tcPr>
            <w:tcW w:w="1395" w:type="dxa"/>
            <w:tcBorders>
              <w:bottom w:val="single" w:sz="6" w:space="0" w:color="000000"/>
              <w:right w:val="single" w:sz="6" w:space="0" w:color="000000"/>
            </w:tcBorders>
            <w:vAlign w:val="center"/>
          </w:tcPr>
          <w:p w14:paraId="324FAEF0" w14:textId="77777777" w:rsidR="007D706A" w:rsidRDefault="007D706A" w:rsidP="00F70508">
            <w:pPr>
              <w:pStyle w:val="ParagraphStyle12"/>
              <w:rPr>
                <w:rStyle w:val="CharacterStyle12"/>
              </w:rPr>
            </w:pPr>
            <w:r>
              <w:rPr>
                <w:rStyle w:val="CharacterStyle12"/>
              </w:rPr>
              <w:t>8.000,00</w:t>
            </w:r>
          </w:p>
        </w:tc>
        <w:tc>
          <w:tcPr>
            <w:tcW w:w="1395" w:type="dxa"/>
            <w:tcBorders>
              <w:bottom w:val="single" w:sz="6" w:space="0" w:color="000000"/>
              <w:right w:val="single" w:sz="6" w:space="0" w:color="000000"/>
            </w:tcBorders>
            <w:vAlign w:val="center"/>
          </w:tcPr>
          <w:p w14:paraId="35F6EF93" w14:textId="77777777" w:rsidR="007D706A" w:rsidRDefault="007D706A" w:rsidP="00F70508">
            <w:pPr>
              <w:pStyle w:val="ParagraphStyle12"/>
              <w:rPr>
                <w:rStyle w:val="CharacterStyle12"/>
              </w:rPr>
            </w:pPr>
            <w:r>
              <w:rPr>
                <w:rStyle w:val="CharacterStyle12"/>
              </w:rPr>
              <w:t>8.000,00</w:t>
            </w:r>
          </w:p>
        </w:tc>
        <w:tc>
          <w:tcPr>
            <w:tcW w:w="1395" w:type="dxa"/>
            <w:tcBorders>
              <w:bottom w:val="single" w:sz="6" w:space="0" w:color="000000"/>
              <w:right w:val="single" w:sz="6" w:space="0" w:color="000000"/>
            </w:tcBorders>
            <w:vAlign w:val="center"/>
          </w:tcPr>
          <w:p w14:paraId="5D51B1B1" w14:textId="77777777" w:rsidR="007D706A" w:rsidRDefault="007D706A" w:rsidP="00F70508">
            <w:pPr>
              <w:pStyle w:val="ParagraphStyle12"/>
              <w:rPr>
                <w:rStyle w:val="CharacterStyle12"/>
              </w:rPr>
            </w:pPr>
            <w:r>
              <w:rPr>
                <w:rStyle w:val="CharacterStyle12"/>
              </w:rPr>
              <w:t>9.000,00</w:t>
            </w:r>
          </w:p>
        </w:tc>
      </w:tr>
      <w:tr w:rsidR="007D706A" w14:paraId="4ACD849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7F4C745" w14:textId="77777777" w:rsidR="007D706A" w:rsidRDefault="007D706A" w:rsidP="00F70508">
            <w:pPr>
              <w:pStyle w:val="ParagraphStyle10"/>
              <w:rPr>
                <w:rStyle w:val="CharacterStyle10"/>
              </w:rPr>
            </w:pPr>
            <w:r>
              <w:rPr>
                <w:rStyle w:val="CharacterStyle10"/>
              </w:rPr>
              <w:t>38</w:t>
            </w:r>
          </w:p>
        </w:tc>
        <w:tc>
          <w:tcPr>
            <w:tcW w:w="4995" w:type="dxa"/>
            <w:tcBorders>
              <w:bottom w:val="single" w:sz="6" w:space="0" w:color="000000"/>
              <w:right w:val="single" w:sz="6" w:space="0" w:color="000000"/>
            </w:tcBorders>
            <w:vAlign w:val="center"/>
          </w:tcPr>
          <w:p w14:paraId="048D89EC" w14:textId="77777777" w:rsidR="007D706A" w:rsidRDefault="007D706A" w:rsidP="00F70508">
            <w:pPr>
              <w:pStyle w:val="ParagraphStyle11"/>
              <w:rPr>
                <w:rStyle w:val="CharacterStyle11"/>
              </w:rPr>
            </w:pPr>
            <w:r>
              <w:rPr>
                <w:rStyle w:val="CharacterStyle11"/>
              </w:rPr>
              <w:t>Rashodi za donacije, kazne, naknade šteta i kapitalne pomoći</w:t>
            </w:r>
          </w:p>
        </w:tc>
        <w:tc>
          <w:tcPr>
            <w:tcW w:w="1395" w:type="dxa"/>
            <w:tcBorders>
              <w:bottom w:val="single" w:sz="6" w:space="0" w:color="000000"/>
              <w:right w:val="single" w:sz="6" w:space="0" w:color="000000"/>
            </w:tcBorders>
            <w:vAlign w:val="center"/>
          </w:tcPr>
          <w:p w14:paraId="44F0CCE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4F23753" w14:textId="77777777" w:rsidR="007D706A" w:rsidRDefault="007D706A" w:rsidP="00F70508">
            <w:pPr>
              <w:pStyle w:val="ParagraphStyle12"/>
              <w:rPr>
                <w:rStyle w:val="CharacterStyle12"/>
              </w:rPr>
            </w:pPr>
            <w:r>
              <w:rPr>
                <w:rStyle w:val="CharacterStyle12"/>
              </w:rPr>
              <w:t>4.250,00</w:t>
            </w:r>
          </w:p>
        </w:tc>
        <w:tc>
          <w:tcPr>
            <w:tcW w:w="1395" w:type="dxa"/>
            <w:tcBorders>
              <w:bottom w:val="single" w:sz="6" w:space="0" w:color="000000"/>
              <w:right w:val="single" w:sz="6" w:space="0" w:color="000000"/>
            </w:tcBorders>
            <w:vAlign w:val="center"/>
          </w:tcPr>
          <w:p w14:paraId="3B4150D5" w14:textId="77777777" w:rsidR="007D706A" w:rsidRDefault="007D706A" w:rsidP="00F70508">
            <w:pPr>
              <w:pStyle w:val="ParagraphStyle12"/>
              <w:rPr>
                <w:rStyle w:val="CharacterStyle12"/>
              </w:rPr>
            </w:pPr>
            <w:r>
              <w:rPr>
                <w:rStyle w:val="CharacterStyle12"/>
              </w:rPr>
              <w:t>8.000,00</w:t>
            </w:r>
          </w:p>
        </w:tc>
        <w:tc>
          <w:tcPr>
            <w:tcW w:w="1395" w:type="dxa"/>
            <w:tcBorders>
              <w:bottom w:val="single" w:sz="6" w:space="0" w:color="000000"/>
              <w:right w:val="single" w:sz="6" w:space="0" w:color="000000"/>
            </w:tcBorders>
            <w:vAlign w:val="center"/>
          </w:tcPr>
          <w:p w14:paraId="53C6C183" w14:textId="77777777" w:rsidR="007D706A" w:rsidRDefault="007D706A" w:rsidP="00F70508">
            <w:pPr>
              <w:pStyle w:val="ParagraphStyle12"/>
              <w:rPr>
                <w:rStyle w:val="CharacterStyle12"/>
              </w:rPr>
            </w:pPr>
            <w:r>
              <w:rPr>
                <w:rStyle w:val="CharacterStyle12"/>
              </w:rPr>
              <w:t>8.000,00</w:t>
            </w:r>
          </w:p>
        </w:tc>
        <w:tc>
          <w:tcPr>
            <w:tcW w:w="1395" w:type="dxa"/>
            <w:tcBorders>
              <w:bottom w:val="single" w:sz="6" w:space="0" w:color="000000"/>
              <w:right w:val="single" w:sz="6" w:space="0" w:color="000000"/>
            </w:tcBorders>
            <w:vAlign w:val="center"/>
          </w:tcPr>
          <w:p w14:paraId="0AFA9908" w14:textId="77777777" w:rsidR="007D706A" w:rsidRDefault="007D706A" w:rsidP="00F70508">
            <w:pPr>
              <w:pStyle w:val="ParagraphStyle12"/>
              <w:rPr>
                <w:rStyle w:val="CharacterStyle12"/>
              </w:rPr>
            </w:pPr>
            <w:r>
              <w:rPr>
                <w:rStyle w:val="CharacterStyle12"/>
              </w:rPr>
              <w:t>9.000,00</w:t>
            </w:r>
          </w:p>
        </w:tc>
      </w:tr>
      <w:tr w:rsidR="007D706A" w14:paraId="5114763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964C05E" w14:textId="77777777" w:rsidR="007D706A" w:rsidRDefault="007D706A" w:rsidP="00F70508">
            <w:pPr>
              <w:pStyle w:val="ParagraphStyle4"/>
              <w:rPr>
                <w:rStyle w:val="CharacterStyle4"/>
              </w:rPr>
            </w:pPr>
            <w:r>
              <w:rPr>
                <w:rStyle w:val="CharacterStyle4"/>
              </w:rPr>
              <w:t>Kapitalni projekt K102801</w:t>
            </w:r>
          </w:p>
        </w:tc>
        <w:tc>
          <w:tcPr>
            <w:tcW w:w="4995" w:type="dxa"/>
            <w:tcBorders>
              <w:bottom w:val="single" w:sz="6" w:space="0" w:color="000000"/>
              <w:right w:val="single" w:sz="6" w:space="0" w:color="000000"/>
            </w:tcBorders>
            <w:vAlign w:val="center"/>
          </w:tcPr>
          <w:p w14:paraId="3934A75F" w14:textId="77777777" w:rsidR="007D706A" w:rsidRDefault="007D706A" w:rsidP="00F70508">
            <w:pPr>
              <w:pStyle w:val="ParagraphStyle5"/>
              <w:rPr>
                <w:rStyle w:val="CharacterStyle5"/>
              </w:rPr>
            </w:pPr>
            <w:r>
              <w:rPr>
                <w:rStyle w:val="CharacterStyle5"/>
              </w:rPr>
              <w:t>NABAVA OPREME U TEHNIČKOJ KULTURI</w:t>
            </w:r>
          </w:p>
        </w:tc>
        <w:tc>
          <w:tcPr>
            <w:tcW w:w="1395" w:type="dxa"/>
            <w:tcBorders>
              <w:bottom w:val="single" w:sz="6" w:space="0" w:color="000000"/>
              <w:right w:val="single" w:sz="6" w:space="0" w:color="000000"/>
            </w:tcBorders>
            <w:vAlign w:val="center"/>
          </w:tcPr>
          <w:p w14:paraId="3405BD75"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5B41F217" w14:textId="77777777" w:rsidR="007D706A" w:rsidRDefault="007D706A" w:rsidP="00F70508">
            <w:pPr>
              <w:pStyle w:val="ParagraphStyle6"/>
              <w:rPr>
                <w:rStyle w:val="CharacterStyle6"/>
              </w:rPr>
            </w:pPr>
            <w:r>
              <w:rPr>
                <w:rStyle w:val="CharacterStyle6"/>
              </w:rPr>
              <w:t>1.500,00</w:t>
            </w:r>
          </w:p>
        </w:tc>
        <w:tc>
          <w:tcPr>
            <w:tcW w:w="1395" w:type="dxa"/>
            <w:tcBorders>
              <w:bottom w:val="single" w:sz="6" w:space="0" w:color="000000"/>
              <w:right w:val="single" w:sz="6" w:space="0" w:color="000000"/>
            </w:tcBorders>
            <w:vAlign w:val="center"/>
          </w:tcPr>
          <w:p w14:paraId="0BF14C3A"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430607D0"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59669FFC" w14:textId="77777777" w:rsidR="007D706A" w:rsidRDefault="007D706A" w:rsidP="00F70508">
            <w:pPr>
              <w:pStyle w:val="ParagraphStyle6"/>
              <w:rPr>
                <w:rStyle w:val="CharacterStyle6"/>
              </w:rPr>
            </w:pPr>
            <w:r>
              <w:rPr>
                <w:rStyle w:val="CharacterStyle6"/>
              </w:rPr>
              <w:t>0,00</w:t>
            </w:r>
          </w:p>
        </w:tc>
      </w:tr>
      <w:tr w:rsidR="007D706A" w14:paraId="4E3321D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9070201"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3CE4AFCA"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2C38A08A"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373A4E7" w14:textId="77777777" w:rsidR="007D706A" w:rsidRDefault="007D706A" w:rsidP="00F70508">
            <w:pPr>
              <w:pStyle w:val="ParagraphStyle9"/>
              <w:rPr>
                <w:rStyle w:val="CharacterStyle9"/>
              </w:rPr>
            </w:pPr>
            <w:r>
              <w:rPr>
                <w:rStyle w:val="CharacterStyle9"/>
              </w:rPr>
              <w:t>1.500,00</w:t>
            </w:r>
          </w:p>
        </w:tc>
        <w:tc>
          <w:tcPr>
            <w:tcW w:w="1395" w:type="dxa"/>
            <w:tcBorders>
              <w:bottom w:val="single" w:sz="6" w:space="0" w:color="000000"/>
              <w:right w:val="single" w:sz="6" w:space="0" w:color="000000"/>
            </w:tcBorders>
            <w:vAlign w:val="center"/>
          </w:tcPr>
          <w:p w14:paraId="5689F26E"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5264EDD"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9AC3327" w14:textId="77777777" w:rsidR="007D706A" w:rsidRDefault="007D706A" w:rsidP="00F70508">
            <w:pPr>
              <w:pStyle w:val="ParagraphStyle9"/>
              <w:rPr>
                <w:rStyle w:val="CharacterStyle9"/>
              </w:rPr>
            </w:pPr>
            <w:r>
              <w:rPr>
                <w:rStyle w:val="CharacterStyle9"/>
              </w:rPr>
              <w:t>0,00</w:t>
            </w:r>
          </w:p>
        </w:tc>
      </w:tr>
      <w:tr w:rsidR="007D706A" w14:paraId="02848F9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AA69B5D"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04A2F93C"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7B4019F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531B24F" w14:textId="77777777" w:rsidR="007D706A" w:rsidRDefault="007D706A" w:rsidP="00F70508">
            <w:pPr>
              <w:pStyle w:val="ParagraphStyle12"/>
              <w:rPr>
                <w:rStyle w:val="CharacterStyle12"/>
              </w:rPr>
            </w:pPr>
            <w:r>
              <w:rPr>
                <w:rStyle w:val="CharacterStyle12"/>
              </w:rPr>
              <w:t>1.500,00</w:t>
            </w:r>
          </w:p>
        </w:tc>
        <w:tc>
          <w:tcPr>
            <w:tcW w:w="1395" w:type="dxa"/>
            <w:tcBorders>
              <w:bottom w:val="single" w:sz="6" w:space="0" w:color="000000"/>
              <w:right w:val="single" w:sz="6" w:space="0" w:color="000000"/>
            </w:tcBorders>
            <w:vAlign w:val="center"/>
          </w:tcPr>
          <w:p w14:paraId="3E9271E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329097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85C931D" w14:textId="77777777" w:rsidR="007D706A" w:rsidRDefault="007D706A" w:rsidP="00F70508">
            <w:pPr>
              <w:pStyle w:val="ParagraphStyle12"/>
              <w:rPr>
                <w:rStyle w:val="CharacterStyle12"/>
              </w:rPr>
            </w:pPr>
            <w:r>
              <w:rPr>
                <w:rStyle w:val="CharacterStyle12"/>
              </w:rPr>
              <w:t>0,00</w:t>
            </w:r>
          </w:p>
        </w:tc>
      </w:tr>
      <w:tr w:rsidR="007D706A" w14:paraId="3250DE9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2843A7D" w14:textId="77777777" w:rsidR="007D706A" w:rsidRDefault="007D706A" w:rsidP="00F70508">
            <w:pPr>
              <w:pStyle w:val="ParagraphStyle10"/>
              <w:rPr>
                <w:rStyle w:val="CharacterStyle10"/>
              </w:rPr>
            </w:pPr>
            <w:r>
              <w:rPr>
                <w:rStyle w:val="CharacterStyle10"/>
              </w:rPr>
              <w:t>38</w:t>
            </w:r>
          </w:p>
        </w:tc>
        <w:tc>
          <w:tcPr>
            <w:tcW w:w="4995" w:type="dxa"/>
            <w:tcBorders>
              <w:bottom w:val="single" w:sz="6" w:space="0" w:color="000000"/>
              <w:right w:val="single" w:sz="6" w:space="0" w:color="000000"/>
            </w:tcBorders>
            <w:vAlign w:val="center"/>
          </w:tcPr>
          <w:p w14:paraId="15C4A994" w14:textId="77777777" w:rsidR="007D706A" w:rsidRDefault="007D706A" w:rsidP="00F70508">
            <w:pPr>
              <w:pStyle w:val="ParagraphStyle11"/>
              <w:rPr>
                <w:rStyle w:val="CharacterStyle11"/>
              </w:rPr>
            </w:pPr>
            <w:r>
              <w:rPr>
                <w:rStyle w:val="CharacterStyle11"/>
              </w:rPr>
              <w:t>Rashodi za donacije, kazne, naknade šteta i kapitalne pomoći</w:t>
            </w:r>
          </w:p>
        </w:tc>
        <w:tc>
          <w:tcPr>
            <w:tcW w:w="1395" w:type="dxa"/>
            <w:tcBorders>
              <w:bottom w:val="single" w:sz="6" w:space="0" w:color="000000"/>
              <w:right w:val="single" w:sz="6" w:space="0" w:color="000000"/>
            </w:tcBorders>
            <w:vAlign w:val="center"/>
          </w:tcPr>
          <w:p w14:paraId="34AA46E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36F6909" w14:textId="77777777" w:rsidR="007D706A" w:rsidRDefault="007D706A" w:rsidP="00F70508">
            <w:pPr>
              <w:pStyle w:val="ParagraphStyle12"/>
              <w:rPr>
                <w:rStyle w:val="CharacterStyle12"/>
              </w:rPr>
            </w:pPr>
            <w:r>
              <w:rPr>
                <w:rStyle w:val="CharacterStyle12"/>
              </w:rPr>
              <w:t>1.500,00</w:t>
            </w:r>
          </w:p>
        </w:tc>
        <w:tc>
          <w:tcPr>
            <w:tcW w:w="1395" w:type="dxa"/>
            <w:tcBorders>
              <w:bottom w:val="single" w:sz="6" w:space="0" w:color="000000"/>
              <w:right w:val="single" w:sz="6" w:space="0" w:color="000000"/>
            </w:tcBorders>
            <w:vAlign w:val="center"/>
          </w:tcPr>
          <w:p w14:paraId="641D329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F29DCA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4022BA4" w14:textId="77777777" w:rsidR="007D706A" w:rsidRDefault="007D706A" w:rsidP="00F70508">
            <w:pPr>
              <w:pStyle w:val="ParagraphStyle12"/>
              <w:rPr>
                <w:rStyle w:val="CharacterStyle12"/>
              </w:rPr>
            </w:pPr>
            <w:r>
              <w:rPr>
                <w:rStyle w:val="CharacterStyle12"/>
              </w:rPr>
              <w:t>0,00</w:t>
            </w:r>
          </w:p>
        </w:tc>
      </w:tr>
      <w:tr w:rsidR="007D706A" w14:paraId="65B6887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37705B0" w14:textId="77777777" w:rsidR="007D706A" w:rsidRDefault="007D706A" w:rsidP="00F70508">
            <w:pPr>
              <w:pStyle w:val="ParagraphStyle4"/>
              <w:rPr>
                <w:rStyle w:val="CharacterStyle4"/>
              </w:rPr>
            </w:pPr>
            <w:r>
              <w:rPr>
                <w:rStyle w:val="CharacterStyle4"/>
              </w:rPr>
              <w:t>PROGRAM    1029</w:t>
            </w:r>
          </w:p>
        </w:tc>
        <w:tc>
          <w:tcPr>
            <w:tcW w:w="4995" w:type="dxa"/>
            <w:tcBorders>
              <w:bottom w:val="single" w:sz="6" w:space="0" w:color="000000"/>
              <w:right w:val="single" w:sz="6" w:space="0" w:color="000000"/>
            </w:tcBorders>
            <w:vAlign w:val="center"/>
          </w:tcPr>
          <w:p w14:paraId="682226CC" w14:textId="77777777" w:rsidR="007D706A" w:rsidRDefault="007D706A" w:rsidP="00F70508">
            <w:pPr>
              <w:pStyle w:val="ParagraphStyle5"/>
              <w:rPr>
                <w:rStyle w:val="CharacterStyle5"/>
              </w:rPr>
            </w:pPr>
            <w:r>
              <w:rPr>
                <w:rStyle w:val="CharacterStyle5"/>
              </w:rPr>
              <w:t>JAVNE POTREBE U SPORTU</w:t>
            </w:r>
          </w:p>
        </w:tc>
        <w:tc>
          <w:tcPr>
            <w:tcW w:w="1395" w:type="dxa"/>
            <w:tcBorders>
              <w:bottom w:val="single" w:sz="6" w:space="0" w:color="000000"/>
              <w:right w:val="single" w:sz="6" w:space="0" w:color="000000"/>
            </w:tcBorders>
            <w:vAlign w:val="center"/>
          </w:tcPr>
          <w:p w14:paraId="0137559A"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42DBA13A" w14:textId="77777777" w:rsidR="007D706A" w:rsidRDefault="007D706A" w:rsidP="00F70508">
            <w:pPr>
              <w:pStyle w:val="ParagraphStyle6"/>
              <w:rPr>
                <w:rStyle w:val="CharacterStyle6"/>
              </w:rPr>
            </w:pPr>
            <w:r>
              <w:rPr>
                <w:rStyle w:val="CharacterStyle6"/>
              </w:rPr>
              <w:t>4.600,00</w:t>
            </w:r>
          </w:p>
        </w:tc>
        <w:tc>
          <w:tcPr>
            <w:tcW w:w="1395" w:type="dxa"/>
            <w:tcBorders>
              <w:bottom w:val="single" w:sz="6" w:space="0" w:color="000000"/>
              <w:right w:val="single" w:sz="6" w:space="0" w:color="000000"/>
            </w:tcBorders>
            <w:vAlign w:val="center"/>
          </w:tcPr>
          <w:p w14:paraId="7EC51552" w14:textId="77777777" w:rsidR="007D706A" w:rsidRDefault="007D706A" w:rsidP="00F70508">
            <w:pPr>
              <w:pStyle w:val="ParagraphStyle6"/>
              <w:rPr>
                <w:rStyle w:val="CharacterStyle6"/>
              </w:rPr>
            </w:pPr>
            <w:r>
              <w:rPr>
                <w:rStyle w:val="CharacterStyle6"/>
              </w:rPr>
              <w:t>4.600,00</w:t>
            </w:r>
          </w:p>
        </w:tc>
        <w:tc>
          <w:tcPr>
            <w:tcW w:w="1395" w:type="dxa"/>
            <w:tcBorders>
              <w:bottom w:val="single" w:sz="6" w:space="0" w:color="000000"/>
              <w:right w:val="single" w:sz="6" w:space="0" w:color="000000"/>
            </w:tcBorders>
            <w:vAlign w:val="center"/>
          </w:tcPr>
          <w:p w14:paraId="69CFDBA1" w14:textId="77777777" w:rsidR="007D706A" w:rsidRDefault="007D706A" w:rsidP="00F70508">
            <w:pPr>
              <w:pStyle w:val="ParagraphStyle6"/>
              <w:rPr>
                <w:rStyle w:val="CharacterStyle6"/>
              </w:rPr>
            </w:pPr>
            <w:r>
              <w:rPr>
                <w:rStyle w:val="CharacterStyle6"/>
              </w:rPr>
              <w:t>5.000,00</w:t>
            </w:r>
          </w:p>
        </w:tc>
        <w:tc>
          <w:tcPr>
            <w:tcW w:w="1395" w:type="dxa"/>
            <w:tcBorders>
              <w:bottom w:val="single" w:sz="6" w:space="0" w:color="000000"/>
              <w:right w:val="single" w:sz="6" w:space="0" w:color="000000"/>
            </w:tcBorders>
            <w:vAlign w:val="center"/>
          </w:tcPr>
          <w:p w14:paraId="66299E9B" w14:textId="77777777" w:rsidR="007D706A" w:rsidRDefault="007D706A" w:rsidP="00F70508">
            <w:pPr>
              <w:pStyle w:val="ParagraphStyle6"/>
              <w:rPr>
                <w:rStyle w:val="CharacterStyle6"/>
              </w:rPr>
            </w:pPr>
            <w:r>
              <w:rPr>
                <w:rStyle w:val="CharacterStyle6"/>
              </w:rPr>
              <w:t>5.000,00</w:t>
            </w:r>
          </w:p>
        </w:tc>
      </w:tr>
      <w:tr w:rsidR="007D706A" w14:paraId="09A9839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69DDCC7" w14:textId="77777777" w:rsidR="007D706A" w:rsidRDefault="007D706A" w:rsidP="00F70508">
            <w:pPr>
              <w:pStyle w:val="ParagraphStyle4"/>
              <w:rPr>
                <w:rStyle w:val="CharacterStyle4"/>
              </w:rPr>
            </w:pPr>
            <w:r>
              <w:rPr>
                <w:rStyle w:val="CharacterStyle4"/>
              </w:rPr>
              <w:t>Aktivnost A102901</w:t>
            </w:r>
          </w:p>
        </w:tc>
        <w:tc>
          <w:tcPr>
            <w:tcW w:w="4995" w:type="dxa"/>
            <w:tcBorders>
              <w:bottom w:val="single" w:sz="6" w:space="0" w:color="000000"/>
              <w:right w:val="single" w:sz="6" w:space="0" w:color="000000"/>
            </w:tcBorders>
            <w:vAlign w:val="center"/>
          </w:tcPr>
          <w:p w14:paraId="112B83D4" w14:textId="77777777" w:rsidR="007D706A" w:rsidRDefault="007D706A" w:rsidP="00F70508">
            <w:pPr>
              <w:pStyle w:val="ParagraphStyle5"/>
              <w:rPr>
                <w:rStyle w:val="CharacterStyle5"/>
              </w:rPr>
            </w:pPr>
            <w:r>
              <w:rPr>
                <w:rStyle w:val="CharacterStyle5"/>
              </w:rPr>
              <w:t>SPORTSKE MANIFESTACIJE</w:t>
            </w:r>
          </w:p>
        </w:tc>
        <w:tc>
          <w:tcPr>
            <w:tcW w:w="1395" w:type="dxa"/>
            <w:tcBorders>
              <w:bottom w:val="single" w:sz="6" w:space="0" w:color="000000"/>
              <w:right w:val="single" w:sz="6" w:space="0" w:color="000000"/>
            </w:tcBorders>
            <w:vAlign w:val="center"/>
          </w:tcPr>
          <w:p w14:paraId="4D6D2512"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6F340132" w14:textId="77777777" w:rsidR="007D706A" w:rsidRDefault="007D706A" w:rsidP="00F70508">
            <w:pPr>
              <w:pStyle w:val="ParagraphStyle6"/>
              <w:rPr>
                <w:rStyle w:val="CharacterStyle6"/>
              </w:rPr>
            </w:pPr>
            <w:r>
              <w:rPr>
                <w:rStyle w:val="CharacterStyle6"/>
              </w:rPr>
              <w:t>4.600,00</w:t>
            </w:r>
          </w:p>
        </w:tc>
        <w:tc>
          <w:tcPr>
            <w:tcW w:w="1395" w:type="dxa"/>
            <w:tcBorders>
              <w:bottom w:val="single" w:sz="6" w:space="0" w:color="000000"/>
              <w:right w:val="single" w:sz="6" w:space="0" w:color="000000"/>
            </w:tcBorders>
            <w:vAlign w:val="center"/>
          </w:tcPr>
          <w:p w14:paraId="391EDD51" w14:textId="77777777" w:rsidR="007D706A" w:rsidRDefault="007D706A" w:rsidP="00F70508">
            <w:pPr>
              <w:pStyle w:val="ParagraphStyle6"/>
              <w:rPr>
                <w:rStyle w:val="CharacterStyle6"/>
              </w:rPr>
            </w:pPr>
            <w:r>
              <w:rPr>
                <w:rStyle w:val="CharacterStyle6"/>
              </w:rPr>
              <w:t>4.600,00</w:t>
            </w:r>
          </w:p>
        </w:tc>
        <w:tc>
          <w:tcPr>
            <w:tcW w:w="1395" w:type="dxa"/>
            <w:tcBorders>
              <w:bottom w:val="single" w:sz="6" w:space="0" w:color="000000"/>
              <w:right w:val="single" w:sz="6" w:space="0" w:color="000000"/>
            </w:tcBorders>
            <w:vAlign w:val="center"/>
          </w:tcPr>
          <w:p w14:paraId="701D3388" w14:textId="77777777" w:rsidR="007D706A" w:rsidRDefault="007D706A" w:rsidP="00F70508">
            <w:pPr>
              <w:pStyle w:val="ParagraphStyle6"/>
              <w:rPr>
                <w:rStyle w:val="CharacterStyle6"/>
              </w:rPr>
            </w:pPr>
            <w:r>
              <w:rPr>
                <w:rStyle w:val="CharacterStyle6"/>
              </w:rPr>
              <w:t>5.000,00</w:t>
            </w:r>
          </w:p>
        </w:tc>
        <w:tc>
          <w:tcPr>
            <w:tcW w:w="1395" w:type="dxa"/>
            <w:tcBorders>
              <w:bottom w:val="single" w:sz="6" w:space="0" w:color="000000"/>
              <w:right w:val="single" w:sz="6" w:space="0" w:color="000000"/>
            </w:tcBorders>
            <w:vAlign w:val="center"/>
          </w:tcPr>
          <w:p w14:paraId="2B4ED0B5" w14:textId="77777777" w:rsidR="007D706A" w:rsidRDefault="007D706A" w:rsidP="00F70508">
            <w:pPr>
              <w:pStyle w:val="ParagraphStyle6"/>
              <w:rPr>
                <w:rStyle w:val="CharacterStyle6"/>
              </w:rPr>
            </w:pPr>
            <w:r>
              <w:rPr>
                <w:rStyle w:val="CharacterStyle6"/>
              </w:rPr>
              <w:t>5.000,00</w:t>
            </w:r>
          </w:p>
        </w:tc>
      </w:tr>
      <w:tr w:rsidR="007D706A" w14:paraId="31DF0D66"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72A683D"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40EDB5F7"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7A6A9B58"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6D67E45" w14:textId="77777777" w:rsidR="007D706A" w:rsidRDefault="007D706A" w:rsidP="00F70508">
            <w:pPr>
              <w:pStyle w:val="ParagraphStyle9"/>
              <w:rPr>
                <w:rStyle w:val="CharacterStyle9"/>
              </w:rPr>
            </w:pPr>
            <w:r>
              <w:rPr>
                <w:rStyle w:val="CharacterStyle9"/>
              </w:rPr>
              <w:t>4.600,00</w:t>
            </w:r>
          </w:p>
        </w:tc>
        <w:tc>
          <w:tcPr>
            <w:tcW w:w="1395" w:type="dxa"/>
            <w:tcBorders>
              <w:bottom w:val="single" w:sz="6" w:space="0" w:color="000000"/>
              <w:right w:val="single" w:sz="6" w:space="0" w:color="000000"/>
            </w:tcBorders>
            <w:vAlign w:val="center"/>
          </w:tcPr>
          <w:p w14:paraId="4DB70E48" w14:textId="77777777" w:rsidR="007D706A" w:rsidRDefault="007D706A" w:rsidP="00F70508">
            <w:pPr>
              <w:pStyle w:val="ParagraphStyle9"/>
              <w:rPr>
                <w:rStyle w:val="CharacterStyle9"/>
              </w:rPr>
            </w:pPr>
            <w:r>
              <w:rPr>
                <w:rStyle w:val="CharacterStyle9"/>
              </w:rPr>
              <w:t>4.600,00</w:t>
            </w:r>
          </w:p>
        </w:tc>
        <w:tc>
          <w:tcPr>
            <w:tcW w:w="1395" w:type="dxa"/>
            <w:tcBorders>
              <w:bottom w:val="single" w:sz="6" w:space="0" w:color="000000"/>
              <w:right w:val="single" w:sz="6" w:space="0" w:color="000000"/>
            </w:tcBorders>
            <w:vAlign w:val="center"/>
          </w:tcPr>
          <w:p w14:paraId="02ABCB9C" w14:textId="77777777" w:rsidR="007D706A" w:rsidRDefault="007D706A" w:rsidP="00F70508">
            <w:pPr>
              <w:pStyle w:val="ParagraphStyle9"/>
              <w:rPr>
                <w:rStyle w:val="CharacterStyle9"/>
              </w:rPr>
            </w:pPr>
            <w:r>
              <w:rPr>
                <w:rStyle w:val="CharacterStyle9"/>
              </w:rPr>
              <w:t>5.000,00</w:t>
            </w:r>
          </w:p>
        </w:tc>
        <w:tc>
          <w:tcPr>
            <w:tcW w:w="1395" w:type="dxa"/>
            <w:tcBorders>
              <w:bottom w:val="single" w:sz="6" w:space="0" w:color="000000"/>
              <w:right w:val="single" w:sz="6" w:space="0" w:color="000000"/>
            </w:tcBorders>
            <w:vAlign w:val="center"/>
          </w:tcPr>
          <w:p w14:paraId="13AEBEEC" w14:textId="77777777" w:rsidR="007D706A" w:rsidRDefault="007D706A" w:rsidP="00F70508">
            <w:pPr>
              <w:pStyle w:val="ParagraphStyle9"/>
              <w:rPr>
                <w:rStyle w:val="CharacterStyle9"/>
              </w:rPr>
            </w:pPr>
            <w:r>
              <w:rPr>
                <w:rStyle w:val="CharacterStyle9"/>
              </w:rPr>
              <w:t>5.000,00</w:t>
            </w:r>
          </w:p>
        </w:tc>
      </w:tr>
      <w:tr w:rsidR="007D706A" w14:paraId="2EF6B54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511CC3C"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26D4ECE5"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5190D18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BC2F4B2" w14:textId="77777777" w:rsidR="007D706A" w:rsidRDefault="007D706A" w:rsidP="00F70508">
            <w:pPr>
              <w:pStyle w:val="ParagraphStyle12"/>
              <w:rPr>
                <w:rStyle w:val="CharacterStyle12"/>
              </w:rPr>
            </w:pPr>
            <w:r>
              <w:rPr>
                <w:rStyle w:val="CharacterStyle12"/>
              </w:rPr>
              <w:t>4.600,00</w:t>
            </w:r>
          </w:p>
        </w:tc>
        <w:tc>
          <w:tcPr>
            <w:tcW w:w="1395" w:type="dxa"/>
            <w:tcBorders>
              <w:bottom w:val="single" w:sz="6" w:space="0" w:color="000000"/>
              <w:right w:val="single" w:sz="6" w:space="0" w:color="000000"/>
            </w:tcBorders>
            <w:vAlign w:val="center"/>
          </w:tcPr>
          <w:p w14:paraId="41322389" w14:textId="77777777" w:rsidR="007D706A" w:rsidRDefault="007D706A" w:rsidP="00F70508">
            <w:pPr>
              <w:pStyle w:val="ParagraphStyle12"/>
              <w:rPr>
                <w:rStyle w:val="CharacterStyle12"/>
              </w:rPr>
            </w:pPr>
            <w:r>
              <w:rPr>
                <w:rStyle w:val="CharacterStyle12"/>
              </w:rPr>
              <w:t>4.600,00</w:t>
            </w:r>
          </w:p>
        </w:tc>
        <w:tc>
          <w:tcPr>
            <w:tcW w:w="1395" w:type="dxa"/>
            <w:tcBorders>
              <w:bottom w:val="single" w:sz="6" w:space="0" w:color="000000"/>
              <w:right w:val="single" w:sz="6" w:space="0" w:color="000000"/>
            </w:tcBorders>
            <w:vAlign w:val="center"/>
          </w:tcPr>
          <w:p w14:paraId="3B8A1490" w14:textId="77777777" w:rsidR="007D706A" w:rsidRDefault="007D706A" w:rsidP="00F70508">
            <w:pPr>
              <w:pStyle w:val="ParagraphStyle12"/>
              <w:rPr>
                <w:rStyle w:val="CharacterStyle12"/>
              </w:rPr>
            </w:pPr>
            <w:r>
              <w:rPr>
                <w:rStyle w:val="CharacterStyle12"/>
              </w:rPr>
              <w:t>5.000,00</w:t>
            </w:r>
          </w:p>
        </w:tc>
        <w:tc>
          <w:tcPr>
            <w:tcW w:w="1395" w:type="dxa"/>
            <w:tcBorders>
              <w:bottom w:val="single" w:sz="6" w:space="0" w:color="000000"/>
              <w:right w:val="single" w:sz="6" w:space="0" w:color="000000"/>
            </w:tcBorders>
            <w:vAlign w:val="center"/>
          </w:tcPr>
          <w:p w14:paraId="3B43B154" w14:textId="77777777" w:rsidR="007D706A" w:rsidRDefault="007D706A" w:rsidP="00F70508">
            <w:pPr>
              <w:pStyle w:val="ParagraphStyle12"/>
              <w:rPr>
                <w:rStyle w:val="CharacterStyle12"/>
              </w:rPr>
            </w:pPr>
            <w:r>
              <w:rPr>
                <w:rStyle w:val="CharacterStyle12"/>
              </w:rPr>
              <w:t>5.000,00</w:t>
            </w:r>
          </w:p>
        </w:tc>
      </w:tr>
      <w:tr w:rsidR="007D706A" w14:paraId="3CBB00B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994ABB3"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678BBC21"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76BD307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2F9A723" w14:textId="77777777" w:rsidR="007D706A" w:rsidRDefault="007D706A" w:rsidP="00F70508">
            <w:pPr>
              <w:pStyle w:val="ParagraphStyle12"/>
              <w:rPr>
                <w:rStyle w:val="CharacterStyle12"/>
              </w:rPr>
            </w:pPr>
            <w:r>
              <w:rPr>
                <w:rStyle w:val="CharacterStyle12"/>
              </w:rPr>
              <w:t>4.600,00</w:t>
            </w:r>
          </w:p>
        </w:tc>
        <w:tc>
          <w:tcPr>
            <w:tcW w:w="1395" w:type="dxa"/>
            <w:tcBorders>
              <w:bottom w:val="single" w:sz="6" w:space="0" w:color="000000"/>
              <w:right w:val="single" w:sz="6" w:space="0" w:color="000000"/>
            </w:tcBorders>
            <w:vAlign w:val="center"/>
          </w:tcPr>
          <w:p w14:paraId="4E8DDC6E" w14:textId="77777777" w:rsidR="007D706A" w:rsidRDefault="007D706A" w:rsidP="00F70508">
            <w:pPr>
              <w:pStyle w:val="ParagraphStyle12"/>
              <w:rPr>
                <w:rStyle w:val="CharacterStyle12"/>
              </w:rPr>
            </w:pPr>
            <w:r>
              <w:rPr>
                <w:rStyle w:val="CharacterStyle12"/>
              </w:rPr>
              <w:t>4.600,00</w:t>
            </w:r>
          </w:p>
        </w:tc>
        <w:tc>
          <w:tcPr>
            <w:tcW w:w="1395" w:type="dxa"/>
            <w:tcBorders>
              <w:bottom w:val="single" w:sz="6" w:space="0" w:color="000000"/>
              <w:right w:val="single" w:sz="6" w:space="0" w:color="000000"/>
            </w:tcBorders>
            <w:vAlign w:val="center"/>
          </w:tcPr>
          <w:p w14:paraId="334E4553" w14:textId="77777777" w:rsidR="007D706A" w:rsidRDefault="007D706A" w:rsidP="00F70508">
            <w:pPr>
              <w:pStyle w:val="ParagraphStyle12"/>
              <w:rPr>
                <w:rStyle w:val="CharacterStyle12"/>
              </w:rPr>
            </w:pPr>
            <w:r>
              <w:rPr>
                <w:rStyle w:val="CharacterStyle12"/>
              </w:rPr>
              <w:t>5.000,00</w:t>
            </w:r>
          </w:p>
        </w:tc>
        <w:tc>
          <w:tcPr>
            <w:tcW w:w="1395" w:type="dxa"/>
            <w:tcBorders>
              <w:bottom w:val="single" w:sz="6" w:space="0" w:color="000000"/>
              <w:right w:val="single" w:sz="6" w:space="0" w:color="000000"/>
            </w:tcBorders>
            <w:vAlign w:val="center"/>
          </w:tcPr>
          <w:p w14:paraId="5CC64111" w14:textId="77777777" w:rsidR="007D706A" w:rsidRDefault="007D706A" w:rsidP="00F70508">
            <w:pPr>
              <w:pStyle w:val="ParagraphStyle12"/>
              <w:rPr>
                <w:rStyle w:val="CharacterStyle12"/>
              </w:rPr>
            </w:pPr>
            <w:r>
              <w:rPr>
                <w:rStyle w:val="CharacterStyle12"/>
              </w:rPr>
              <w:t>5.000,00</w:t>
            </w:r>
          </w:p>
        </w:tc>
      </w:tr>
      <w:tr w:rsidR="007D706A" w14:paraId="1023BC1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D166622" w14:textId="77777777" w:rsidR="007D706A" w:rsidRDefault="007D706A" w:rsidP="00F70508">
            <w:pPr>
              <w:pStyle w:val="ParagraphStyle4"/>
              <w:rPr>
                <w:rStyle w:val="CharacterStyle4"/>
              </w:rPr>
            </w:pPr>
            <w:r>
              <w:rPr>
                <w:rStyle w:val="CharacterStyle4"/>
              </w:rPr>
              <w:t>PROGRAM    1030</w:t>
            </w:r>
          </w:p>
        </w:tc>
        <w:tc>
          <w:tcPr>
            <w:tcW w:w="4995" w:type="dxa"/>
            <w:tcBorders>
              <w:bottom w:val="single" w:sz="6" w:space="0" w:color="000000"/>
              <w:right w:val="single" w:sz="6" w:space="0" w:color="000000"/>
            </w:tcBorders>
            <w:vAlign w:val="center"/>
          </w:tcPr>
          <w:p w14:paraId="0F590C68" w14:textId="77777777" w:rsidR="007D706A" w:rsidRDefault="007D706A" w:rsidP="00F70508">
            <w:pPr>
              <w:pStyle w:val="ParagraphStyle5"/>
              <w:rPr>
                <w:rStyle w:val="CharacterStyle5"/>
              </w:rPr>
            </w:pPr>
            <w:r>
              <w:rPr>
                <w:rStyle w:val="CharacterStyle5"/>
              </w:rPr>
              <w:t>DJELOVANJE SPORTSKE ZAJEDNICE</w:t>
            </w:r>
          </w:p>
        </w:tc>
        <w:tc>
          <w:tcPr>
            <w:tcW w:w="1395" w:type="dxa"/>
            <w:tcBorders>
              <w:bottom w:val="single" w:sz="6" w:space="0" w:color="000000"/>
              <w:right w:val="single" w:sz="6" w:space="0" w:color="000000"/>
            </w:tcBorders>
            <w:vAlign w:val="center"/>
          </w:tcPr>
          <w:p w14:paraId="663DB48A"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68440C44" w14:textId="77777777" w:rsidR="007D706A" w:rsidRDefault="007D706A" w:rsidP="00F70508">
            <w:pPr>
              <w:pStyle w:val="ParagraphStyle6"/>
              <w:rPr>
                <w:rStyle w:val="CharacterStyle6"/>
              </w:rPr>
            </w:pPr>
            <w:r>
              <w:rPr>
                <w:rStyle w:val="CharacterStyle6"/>
              </w:rPr>
              <w:t>1.175.335,00</w:t>
            </w:r>
          </w:p>
        </w:tc>
        <w:tc>
          <w:tcPr>
            <w:tcW w:w="1395" w:type="dxa"/>
            <w:tcBorders>
              <w:bottom w:val="single" w:sz="6" w:space="0" w:color="000000"/>
              <w:right w:val="single" w:sz="6" w:space="0" w:color="000000"/>
            </w:tcBorders>
            <w:vAlign w:val="center"/>
          </w:tcPr>
          <w:p w14:paraId="15976964" w14:textId="77777777" w:rsidR="007D706A" w:rsidRDefault="007D706A" w:rsidP="00F70508">
            <w:pPr>
              <w:pStyle w:val="ParagraphStyle6"/>
              <w:rPr>
                <w:rStyle w:val="CharacterStyle6"/>
              </w:rPr>
            </w:pPr>
            <w:r>
              <w:rPr>
                <w:rStyle w:val="CharacterStyle6"/>
              </w:rPr>
              <w:t>1.249.870,00</w:t>
            </w:r>
          </w:p>
        </w:tc>
        <w:tc>
          <w:tcPr>
            <w:tcW w:w="1395" w:type="dxa"/>
            <w:tcBorders>
              <w:bottom w:val="single" w:sz="6" w:space="0" w:color="000000"/>
              <w:right w:val="single" w:sz="6" w:space="0" w:color="000000"/>
            </w:tcBorders>
            <w:vAlign w:val="center"/>
          </w:tcPr>
          <w:p w14:paraId="6CB2EF40" w14:textId="77777777" w:rsidR="007D706A" w:rsidRDefault="007D706A" w:rsidP="00F70508">
            <w:pPr>
              <w:pStyle w:val="ParagraphStyle6"/>
              <w:rPr>
                <w:rStyle w:val="CharacterStyle6"/>
              </w:rPr>
            </w:pPr>
            <w:r>
              <w:rPr>
                <w:rStyle w:val="CharacterStyle6"/>
              </w:rPr>
              <w:t>1.249.670,00</w:t>
            </w:r>
          </w:p>
        </w:tc>
        <w:tc>
          <w:tcPr>
            <w:tcW w:w="1395" w:type="dxa"/>
            <w:tcBorders>
              <w:bottom w:val="single" w:sz="6" w:space="0" w:color="000000"/>
              <w:right w:val="single" w:sz="6" w:space="0" w:color="000000"/>
            </w:tcBorders>
            <w:vAlign w:val="center"/>
          </w:tcPr>
          <w:p w14:paraId="279166DC" w14:textId="77777777" w:rsidR="007D706A" w:rsidRDefault="007D706A" w:rsidP="00F70508">
            <w:pPr>
              <w:pStyle w:val="ParagraphStyle6"/>
              <w:rPr>
                <w:rStyle w:val="CharacterStyle6"/>
              </w:rPr>
            </w:pPr>
            <w:r>
              <w:rPr>
                <w:rStyle w:val="CharacterStyle6"/>
              </w:rPr>
              <w:t>1.249.670,00</w:t>
            </w:r>
          </w:p>
        </w:tc>
      </w:tr>
      <w:tr w:rsidR="007D706A" w14:paraId="7476BE4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5F3CB12" w14:textId="77777777" w:rsidR="007D706A" w:rsidRDefault="007D706A" w:rsidP="00F70508">
            <w:pPr>
              <w:pStyle w:val="ParagraphStyle4"/>
              <w:rPr>
                <w:rStyle w:val="CharacterStyle4"/>
              </w:rPr>
            </w:pPr>
            <w:r>
              <w:rPr>
                <w:rStyle w:val="CharacterStyle4"/>
              </w:rPr>
              <w:t>Aktivnost A103001</w:t>
            </w:r>
          </w:p>
        </w:tc>
        <w:tc>
          <w:tcPr>
            <w:tcW w:w="4995" w:type="dxa"/>
            <w:tcBorders>
              <w:bottom w:val="single" w:sz="6" w:space="0" w:color="000000"/>
              <w:right w:val="single" w:sz="6" w:space="0" w:color="000000"/>
            </w:tcBorders>
            <w:vAlign w:val="center"/>
          </w:tcPr>
          <w:p w14:paraId="34C25006" w14:textId="77777777" w:rsidR="007D706A" w:rsidRDefault="007D706A" w:rsidP="00F70508">
            <w:pPr>
              <w:pStyle w:val="ParagraphStyle5"/>
              <w:rPr>
                <w:rStyle w:val="CharacterStyle5"/>
              </w:rPr>
            </w:pPr>
            <w:r>
              <w:rPr>
                <w:rStyle w:val="CharacterStyle5"/>
              </w:rPr>
              <w:t>STRUČNA SLUŽBA I IZVRŠNI ODBOR SPORTSKE ZAJEDNICE</w:t>
            </w:r>
          </w:p>
        </w:tc>
        <w:tc>
          <w:tcPr>
            <w:tcW w:w="1395" w:type="dxa"/>
            <w:tcBorders>
              <w:bottom w:val="single" w:sz="6" w:space="0" w:color="000000"/>
              <w:right w:val="single" w:sz="6" w:space="0" w:color="000000"/>
            </w:tcBorders>
            <w:vAlign w:val="center"/>
          </w:tcPr>
          <w:p w14:paraId="1D84D1E5"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0B74FE42" w14:textId="77777777" w:rsidR="007D706A" w:rsidRDefault="007D706A" w:rsidP="00F70508">
            <w:pPr>
              <w:pStyle w:val="ParagraphStyle6"/>
              <w:rPr>
                <w:rStyle w:val="CharacterStyle6"/>
              </w:rPr>
            </w:pPr>
            <w:r>
              <w:rPr>
                <w:rStyle w:val="CharacterStyle6"/>
              </w:rPr>
              <w:t>50.000,00</w:t>
            </w:r>
          </w:p>
        </w:tc>
        <w:tc>
          <w:tcPr>
            <w:tcW w:w="1395" w:type="dxa"/>
            <w:tcBorders>
              <w:bottom w:val="single" w:sz="6" w:space="0" w:color="000000"/>
              <w:right w:val="single" w:sz="6" w:space="0" w:color="000000"/>
            </w:tcBorders>
            <w:vAlign w:val="center"/>
          </w:tcPr>
          <w:p w14:paraId="224AE911" w14:textId="77777777" w:rsidR="007D706A" w:rsidRDefault="007D706A" w:rsidP="00F70508">
            <w:pPr>
              <w:pStyle w:val="ParagraphStyle6"/>
              <w:rPr>
                <w:rStyle w:val="CharacterStyle6"/>
              </w:rPr>
            </w:pPr>
            <w:r>
              <w:rPr>
                <w:rStyle w:val="CharacterStyle6"/>
              </w:rPr>
              <w:t>55.000,00</w:t>
            </w:r>
          </w:p>
        </w:tc>
        <w:tc>
          <w:tcPr>
            <w:tcW w:w="1395" w:type="dxa"/>
            <w:tcBorders>
              <w:bottom w:val="single" w:sz="6" w:space="0" w:color="000000"/>
              <w:right w:val="single" w:sz="6" w:space="0" w:color="000000"/>
            </w:tcBorders>
            <w:vAlign w:val="center"/>
          </w:tcPr>
          <w:p w14:paraId="2EDC08C5" w14:textId="77777777" w:rsidR="007D706A" w:rsidRDefault="007D706A" w:rsidP="00F70508">
            <w:pPr>
              <w:pStyle w:val="ParagraphStyle6"/>
              <w:rPr>
                <w:rStyle w:val="CharacterStyle6"/>
              </w:rPr>
            </w:pPr>
            <w:r>
              <w:rPr>
                <w:rStyle w:val="CharacterStyle6"/>
              </w:rPr>
              <w:t>55.000,00</w:t>
            </w:r>
          </w:p>
        </w:tc>
        <w:tc>
          <w:tcPr>
            <w:tcW w:w="1395" w:type="dxa"/>
            <w:tcBorders>
              <w:bottom w:val="single" w:sz="6" w:space="0" w:color="000000"/>
              <w:right w:val="single" w:sz="6" w:space="0" w:color="000000"/>
            </w:tcBorders>
            <w:vAlign w:val="center"/>
          </w:tcPr>
          <w:p w14:paraId="4A492E01" w14:textId="77777777" w:rsidR="007D706A" w:rsidRDefault="007D706A" w:rsidP="00F70508">
            <w:pPr>
              <w:pStyle w:val="ParagraphStyle6"/>
              <w:rPr>
                <w:rStyle w:val="CharacterStyle6"/>
              </w:rPr>
            </w:pPr>
            <w:r>
              <w:rPr>
                <w:rStyle w:val="CharacterStyle6"/>
              </w:rPr>
              <w:t>55.000,00</w:t>
            </w:r>
          </w:p>
        </w:tc>
      </w:tr>
      <w:tr w:rsidR="007D706A" w14:paraId="37E08D7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A6F2C99"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660EAC0B"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5BEB0041"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175AAC8" w14:textId="77777777" w:rsidR="007D706A" w:rsidRDefault="007D706A" w:rsidP="00F70508">
            <w:pPr>
              <w:pStyle w:val="ParagraphStyle9"/>
              <w:rPr>
                <w:rStyle w:val="CharacterStyle9"/>
              </w:rPr>
            </w:pPr>
            <w:r>
              <w:rPr>
                <w:rStyle w:val="CharacterStyle9"/>
              </w:rPr>
              <w:t>50.000,00</w:t>
            </w:r>
          </w:p>
        </w:tc>
        <w:tc>
          <w:tcPr>
            <w:tcW w:w="1395" w:type="dxa"/>
            <w:tcBorders>
              <w:bottom w:val="single" w:sz="6" w:space="0" w:color="000000"/>
              <w:right w:val="single" w:sz="6" w:space="0" w:color="000000"/>
            </w:tcBorders>
            <w:vAlign w:val="center"/>
          </w:tcPr>
          <w:p w14:paraId="7A25AD71" w14:textId="77777777" w:rsidR="007D706A" w:rsidRDefault="007D706A" w:rsidP="00F70508">
            <w:pPr>
              <w:pStyle w:val="ParagraphStyle9"/>
              <w:rPr>
                <w:rStyle w:val="CharacterStyle9"/>
              </w:rPr>
            </w:pPr>
            <w:r>
              <w:rPr>
                <w:rStyle w:val="CharacterStyle9"/>
              </w:rPr>
              <w:t>55.000,00</w:t>
            </w:r>
          </w:p>
        </w:tc>
        <w:tc>
          <w:tcPr>
            <w:tcW w:w="1395" w:type="dxa"/>
            <w:tcBorders>
              <w:bottom w:val="single" w:sz="6" w:space="0" w:color="000000"/>
              <w:right w:val="single" w:sz="6" w:space="0" w:color="000000"/>
            </w:tcBorders>
            <w:vAlign w:val="center"/>
          </w:tcPr>
          <w:p w14:paraId="127BD2BF" w14:textId="77777777" w:rsidR="007D706A" w:rsidRDefault="007D706A" w:rsidP="00F70508">
            <w:pPr>
              <w:pStyle w:val="ParagraphStyle9"/>
              <w:rPr>
                <w:rStyle w:val="CharacterStyle9"/>
              </w:rPr>
            </w:pPr>
            <w:r>
              <w:rPr>
                <w:rStyle w:val="CharacterStyle9"/>
              </w:rPr>
              <w:t>55.000,00</w:t>
            </w:r>
          </w:p>
        </w:tc>
        <w:tc>
          <w:tcPr>
            <w:tcW w:w="1395" w:type="dxa"/>
            <w:tcBorders>
              <w:bottom w:val="single" w:sz="6" w:space="0" w:color="000000"/>
              <w:right w:val="single" w:sz="6" w:space="0" w:color="000000"/>
            </w:tcBorders>
            <w:vAlign w:val="center"/>
          </w:tcPr>
          <w:p w14:paraId="3350A541" w14:textId="77777777" w:rsidR="007D706A" w:rsidRDefault="007D706A" w:rsidP="00F70508">
            <w:pPr>
              <w:pStyle w:val="ParagraphStyle9"/>
              <w:rPr>
                <w:rStyle w:val="CharacterStyle9"/>
              </w:rPr>
            </w:pPr>
            <w:r>
              <w:rPr>
                <w:rStyle w:val="CharacterStyle9"/>
              </w:rPr>
              <w:t>55.000,00</w:t>
            </w:r>
          </w:p>
        </w:tc>
      </w:tr>
      <w:tr w:rsidR="007D706A" w14:paraId="504D03B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CA03326"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68D70AA0"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1CBF837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A22BF1F" w14:textId="77777777" w:rsidR="007D706A" w:rsidRDefault="007D706A" w:rsidP="00F70508">
            <w:pPr>
              <w:pStyle w:val="ParagraphStyle12"/>
              <w:rPr>
                <w:rStyle w:val="CharacterStyle12"/>
              </w:rPr>
            </w:pPr>
            <w:r>
              <w:rPr>
                <w:rStyle w:val="CharacterStyle12"/>
              </w:rPr>
              <w:t>50.000,00</w:t>
            </w:r>
          </w:p>
        </w:tc>
        <w:tc>
          <w:tcPr>
            <w:tcW w:w="1395" w:type="dxa"/>
            <w:tcBorders>
              <w:bottom w:val="single" w:sz="6" w:space="0" w:color="000000"/>
              <w:right w:val="single" w:sz="6" w:space="0" w:color="000000"/>
            </w:tcBorders>
            <w:vAlign w:val="center"/>
          </w:tcPr>
          <w:p w14:paraId="220AFB21" w14:textId="77777777" w:rsidR="007D706A" w:rsidRDefault="007D706A" w:rsidP="00F70508">
            <w:pPr>
              <w:pStyle w:val="ParagraphStyle12"/>
              <w:rPr>
                <w:rStyle w:val="CharacterStyle12"/>
              </w:rPr>
            </w:pPr>
            <w:r>
              <w:rPr>
                <w:rStyle w:val="CharacterStyle12"/>
              </w:rPr>
              <w:t>55.000,00</w:t>
            </w:r>
          </w:p>
        </w:tc>
        <w:tc>
          <w:tcPr>
            <w:tcW w:w="1395" w:type="dxa"/>
            <w:tcBorders>
              <w:bottom w:val="single" w:sz="6" w:space="0" w:color="000000"/>
              <w:right w:val="single" w:sz="6" w:space="0" w:color="000000"/>
            </w:tcBorders>
            <w:vAlign w:val="center"/>
          </w:tcPr>
          <w:p w14:paraId="1A50E600" w14:textId="77777777" w:rsidR="007D706A" w:rsidRDefault="007D706A" w:rsidP="00F70508">
            <w:pPr>
              <w:pStyle w:val="ParagraphStyle12"/>
              <w:rPr>
                <w:rStyle w:val="CharacterStyle12"/>
              </w:rPr>
            </w:pPr>
            <w:r>
              <w:rPr>
                <w:rStyle w:val="CharacterStyle12"/>
              </w:rPr>
              <w:t>55.000,00</w:t>
            </w:r>
          </w:p>
        </w:tc>
        <w:tc>
          <w:tcPr>
            <w:tcW w:w="1395" w:type="dxa"/>
            <w:tcBorders>
              <w:bottom w:val="single" w:sz="6" w:space="0" w:color="000000"/>
              <w:right w:val="single" w:sz="6" w:space="0" w:color="000000"/>
            </w:tcBorders>
            <w:vAlign w:val="center"/>
          </w:tcPr>
          <w:p w14:paraId="2C944CA4" w14:textId="77777777" w:rsidR="007D706A" w:rsidRDefault="007D706A" w:rsidP="00F70508">
            <w:pPr>
              <w:pStyle w:val="ParagraphStyle12"/>
              <w:rPr>
                <w:rStyle w:val="CharacterStyle12"/>
              </w:rPr>
            </w:pPr>
            <w:r>
              <w:rPr>
                <w:rStyle w:val="CharacterStyle12"/>
              </w:rPr>
              <w:t>55.000,00</w:t>
            </w:r>
          </w:p>
        </w:tc>
      </w:tr>
      <w:tr w:rsidR="007D706A" w14:paraId="6E0EC01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594A95F" w14:textId="77777777" w:rsidR="007D706A" w:rsidRDefault="007D706A" w:rsidP="00F70508">
            <w:pPr>
              <w:pStyle w:val="ParagraphStyle10"/>
              <w:rPr>
                <w:rStyle w:val="CharacterStyle10"/>
              </w:rPr>
            </w:pPr>
            <w:r>
              <w:rPr>
                <w:rStyle w:val="CharacterStyle10"/>
              </w:rPr>
              <w:t>38</w:t>
            </w:r>
          </w:p>
        </w:tc>
        <w:tc>
          <w:tcPr>
            <w:tcW w:w="4995" w:type="dxa"/>
            <w:tcBorders>
              <w:bottom w:val="single" w:sz="6" w:space="0" w:color="000000"/>
              <w:right w:val="single" w:sz="6" w:space="0" w:color="000000"/>
            </w:tcBorders>
            <w:vAlign w:val="center"/>
          </w:tcPr>
          <w:p w14:paraId="23328132" w14:textId="77777777" w:rsidR="007D706A" w:rsidRDefault="007D706A" w:rsidP="00F70508">
            <w:pPr>
              <w:pStyle w:val="ParagraphStyle11"/>
              <w:rPr>
                <w:rStyle w:val="CharacterStyle11"/>
              </w:rPr>
            </w:pPr>
            <w:r>
              <w:rPr>
                <w:rStyle w:val="CharacterStyle11"/>
              </w:rPr>
              <w:t>Rashodi za donacije, kazne, naknade šteta i kapitalne pomoći</w:t>
            </w:r>
          </w:p>
        </w:tc>
        <w:tc>
          <w:tcPr>
            <w:tcW w:w="1395" w:type="dxa"/>
            <w:tcBorders>
              <w:bottom w:val="single" w:sz="6" w:space="0" w:color="000000"/>
              <w:right w:val="single" w:sz="6" w:space="0" w:color="000000"/>
            </w:tcBorders>
            <w:vAlign w:val="center"/>
          </w:tcPr>
          <w:p w14:paraId="6393334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1231C03" w14:textId="77777777" w:rsidR="007D706A" w:rsidRDefault="007D706A" w:rsidP="00F70508">
            <w:pPr>
              <w:pStyle w:val="ParagraphStyle12"/>
              <w:rPr>
                <w:rStyle w:val="CharacterStyle12"/>
              </w:rPr>
            </w:pPr>
            <w:r>
              <w:rPr>
                <w:rStyle w:val="CharacterStyle12"/>
              </w:rPr>
              <w:t>50.000,00</w:t>
            </w:r>
          </w:p>
        </w:tc>
        <w:tc>
          <w:tcPr>
            <w:tcW w:w="1395" w:type="dxa"/>
            <w:tcBorders>
              <w:bottom w:val="single" w:sz="6" w:space="0" w:color="000000"/>
              <w:right w:val="single" w:sz="6" w:space="0" w:color="000000"/>
            </w:tcBorders>
            <w:vAlign w:val="center"/>
          </w:tcPr>
          <w:p w14:paraId="5AF6642C" w14:textId="77777777" w:rsidR="007D706A" w:rsidRDefault="007D706A" w:rsidP="00F70508">
            <w:pPr>
              <w:pStyle w:val="ParagraphStyle12"/>
              <w:rPr>
                <w:rStyle w:val="CharacterStyle12"/>
              </w:rPr>
            </w:pPr>
            <w:r>
              <w:rPr>
                <w:rStyle w:val="CharacterStyle12"/>
              </w:rPr>
              <w:t>55.000,00</w:t>
            </w:r>
          </w:p>
        </w:tc>
        <w:tc>
          <w:tcPr>
            <w:tcW w:w="1395" w:type="dxa"/>
            <w:tcBorders>
              <w:bottom w:val="single" w:sz="6" w:space="0" w:color="000000"/>
              <w:right w:val="single" w:sz="6" w:space="0" w:color="000000"/>
            </w:tcBorders>
            <w:vAlign w:val="center"/>
          </w:tcPr>
          <w:p w14:paraId="396DD7F5" w14:textId="77777777" w:rsidR="007D706A" w:rsidRDefault="007D706A" w:rsidP="00F70508">
            <w:pPr>
              <w:pStyle w:val="ParagraphStyle12"/>
              <w:rPr>
                <w:rStyle w:val="CharacterStyle12"/>
              </w:rPr>
            </w:pPr>
            <w:r>
              <w:rPr>
                <w:rStyle w:val="CharacterStyle12"/>
              </w:rPr>
              <w:t>55.000,00</w:t>
            </w:r>
          </w:p>
        </w:tc>
        <w:tc>
          <w:tcPr>
            <w:tcW w:w="1395" w:type="dxa"/>
            <w:tcBorders>
              <w:bottom w:val="single" w:sz="6" w:space="0" w:color="000000"/>
              <w:right w:val="single" w:sz="6" w:space="0" w:color="000000"/>
            </w:tcBorders>
            <w:vAlign w:val="center"/>
          </w:tcPr>
          <w:p w14:paraId="4602A207" w14:textId="77777777" w:rsidR="007D706A" w:rsidRDefault="007D706A" w:rsidP="00F70508">
            <w:pPr>
              <w:pStyle w:val="ParagraphStyle12"/>
              <w:rPr>
                <w:rStyle w:val="CharacterStyle12"/>
              </w:rPr>
            </w:pPr>
            <w:r>
              <w:rPr>
                <w:rStyle w:val="CharacterStyle12"/>
              </w:rPr>
              <w:t>55.000,00</w:t>
            </w:r>
          </w:p>
        </w:tc>
      </w:tr>
      <w:tr w:rsidR="007D706A" w14:paraId="6C6C5B2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6EBC1CA" w14:textId="77777777" w:rsidR="007D706A" w:rsidRDefault="007D706A" w:rsidP="00F70508">
            <w:pPr>
              <w:pStyle w:val="ParagraphStyle4"/>
              <w:rPr>
                <w:rStyle w:val="CharacterStyle4"/>
              </w:rPr>
            </w:pPr>
            <w:r>
              <w:rPr>
                <w:rStyle w:val="CharacterStyle4"/>
              </w:rPr>
              <w:t>Aktivnost A103002</w:t>
            </w:r>
          </w:p>
        </w:tc>
        <w:tc>
          <w:tcPr>
            <w:tcW w:w="4995" w:type="dxa"/>
            <w:tcBorders>
              <w:bottom w:val="single" w:sz="6" w:space="0" w:color="000000"/>
              <w:right w:val="single" w:sz="6" w:space="0" w:color="000000"/>
            </w:tcBorders>
            <w:vAlign w:val="center"/>
          </w:tcPr>
          <w:p w14:paraId="5D764C68" w14:textId="77777777" w:rsidR="007D706A" w:rsidRDefault="007D706A" w:rsidP="00F70508">
            <w:pPr>
              <w:pStyle w:val="ParagraphStyle5"/>
              <w:rPr>
                <w:rStyle w:val="CharacterStyle5"/>
              </w:rPr>
            </w:pPr>
            <w:r>
              <w:rPr>
                <w:rStyle w:val="CharacterStyle5"/>
              </w:rPr>
              <w:t>SPORTSKE UDRUGE</w:t>
            </w:r>
          </w:p>
        </w:tc>
        <w:tc>
          <w:tcPr>
            <w:tcW w:w="1395" w:type="dxa"/>
            <w:tcBorders>
              <w:bottom w:val="single" w:sz="6" w:space="0" w:color="000000"/>
              <w:right w:val="single" w:sz="6" w:space="0" w:color="000000"/>
            </w:tcBorders>
            <w:vAlign w:val="center"/>
          </w:tcPr>
          <w:p w14:paraId="1E5E0C72"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19104304" w14:textId="77777777" w:rsidR="007D706A" w:rsidRDefault="007D706A" w:rsidP="00F70508">
            <w:pPr>
              <w:pStyle w:val="ParagraphStyle6"/>
              <w:rPr>
                <w:rStyle w:val="CharacterStyle6"/>
              </w:rPr>
            </w:pPr>
            <w:r>
              <w:rPr>
                <w:rStyle w:val="CharacterStyle6"/>
              </w:rPr>
              <w:t>582.000,00</w:t>
            </w:r>
          </w:p>
        </w:tc>
        <w:tc>
          <w:tcPr>
            <w:tcW w:w="1395" w:type="dxa"/>
            <w:tcBorders>
              <w:bottom w:val="single" w:sz="6" w:space="0" w:color="000000"/>
              <w:right w:val="single" w:sz="6" w:space="0" w:color="000000"/>
            </w:tcBorders>
            <w:vAlign w:val="center"/>
          </w:tcPr>
          <w:p w14:paraId="1FE79C83" w14:textId="77777777" w:rsidR="007D706A" w:rsidRDefault="007D706A" w:rsidP="00F70508">
            <w:pPr>
              <w:pStyle w:val="ParagraphStyle6"/>
              <w:rPr>
                <w:rStyle w:val="CharacterStyle6"/>
              </w:rPr>
            </w:pPr>
            <w:r>
              <w:rPr>
                <w:rStyle w:val="CharacterStyle6"/>
              </w:rPr>
              <w:t>640.200,00</w:t>
            </w:r>
          </w:p>
        </w:tc>
        <w:tc>
          <w:tcPr>
            <w:tcW w:w="1395" w:type="dxa"/>
            <w:tcBorders>
              <w:bottom w:val="single" w:sz="6" w:space="0" w:color="000000"/>
              <w:right w:val="single" w:sz="6" w:space="0" w:color="000000"/>
            </w:tcBorders>
            <w:vAlign w:val="center"/>
          </w:tcPr>
          <w:p w14:paraId="136C1FF0" w14:textId="77777777" w:rsidR="007D706A" w:rsidRDefault="007D706A" w:rsidP="00F70508">
            <w:pPr>
              <w:pStyle w:val="ParagraphStyle6"/>
              <w:rPr>
                <w:rStyle w:val="CharacterStyle6"/>
              </w:rPr>
            </w:pPr>
            <w:r>
              <w:rPr>
                <w:rStyle w:val="CharacterStyle6"/>
              </w:rPr>
              <w:t>640.000,00</w:t>
            </w:r>
          </w:p>
        </w:tc>
        <w:tc>
          <w:tcPr>
            <w:tcW w:w="1395" w:type="dxa"/>
            <w:tcBorders>
              <w:bottom w:val="single" w:sz="6" w:space="0" w:color="000000"/>
              <w:right w:val="single" w:sz="6" w:space="0" w:color="000000"/>
            </w:tcBorders>
            <w:vAlign w:val="center"/>
          </w:tcPr>
          <w:p w14:paraId="36120591" w14:textId="77777777" w:rsidR="007D706A" w:rsidRDefault="007D706A" w:rsidP="00F70508">
            <w:pPr>
              <w:pStyle w:val="ParagraphStyle6"/>
              <w:rPr>
                <w:rStyle w:val="CharacterStyle6"/>
              </w:rPr>
            </w:pPr>
            <w:r>
              <w:rPr>
                <w:rStyle w:val="CharacterStyle6"/>
              </w:rPr>
              <w:t>640.000,00</w:t>
            </w:r>
          </w:p>
        </w:tc>
      </w:tr>
      <w:tr w:rsidR="007D706A" w14:paraId="3A65E88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3F29C7A"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5D69A09A"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38431B33"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177328C" w14:textId="77777777" w:rsidR="007D706A" w:rsidRDefault="007D706A" w:rsidP="00F70508">
            <w:pPr>
              <w:pStyle w:val="ParagraphStyle9"/>
              <w:rPr>
                <w:rStyle w:val="CharacterStyle9"/>
              </w:rPr>
            </w:pPr>
            <w:r>
              <w:rPr>
                <w:rStyle w:val="CharacterStyle9"/>
              </w:rPr>
              <w:t>582.000,00</w:t>
            </w:r>
          </w:p>
        </w:tc>
        <w:tc>
          <w:tcPr>
            <w:tcW w:w="1395" w:type="dxa"/>
            <w:tcBorders>
              <w:bottom w:val="single" w:sz="6" w:space="0" w:color="000000"/>
              <w:right w:val="single" w:sz="6" w:space="0" w:color="000000"/>
            </w:tcBorders>
            <w:vAlign w:val="center"/>
          </w:tcPr>
          <w:p w14:paraId="54DACF1E" w14:textId="77777777" w:rsidR="007D706A" w:rsidRDefault="007D706A" w:rsidP="00F70508">
            <w:pPr>
              <w:pStyle w:val="ParagraphStyle9"/>
              <w:rPr>
                <w:rStyle w:val="CharacterStyle9"/>
              </w:rPr>
            </w:pPr>
            <w:r>
              <w:rPr>
                <w:rStyle w:val="CharacterStyle9"/>
              </w:rPr>
              <w:t>640.200,00</w:t>
            </w:r>
          </w:p>
        </w:tc>
        <w:tc>
          <w:tcPr>
            <w:tcW w:w="1395" w:type="dxa"/>
            <w:tcBorders>
              <w:bottom w:val="single" w:sz="6" w:space="0" w:color="000000"/>
              <w:right w:val="single" w:sz="6" w:space="0" w:color="000000"/>
            </w:tcBorders>
            <w:vAlign w:val="center"/>
          </w:tcPr>
          <w:p w14:paraId="69489CD2" w14:textId="77777777" w:rsidR="007D706A" w:rsidRDefault="007D706A" w:rsidP="00F70508">
            <w:pPr>
              <w:pStyle w:val="ParagraphStyle9"/>
              <w:rPr>
                <w:rStyle w:val="CharacterStyle9"/>
              </w:rPr>
            </w:pPr>
            <w:r>
              <w:rPr>
                <w:rStyle w:val="CharacterStyle9"/>
              </w:rPr>
              <w:t>640.000,00</w:t>
            </w:r>
          </w:p>
        </w:tc>
        <w:tc>
          <w:tcPr>
            <w:tcW w:w="1395" w:type="dxa"/>
            <w:tcBorders>
              <w:bottom w:val="single" w:sz="6" w:space="0" w:color="000000"/>
              <w:right w:val="single" w:sz="6" w:space="0" w:color="000000"/>
            </w:tcBorders>
            <w:vAlign w:val="center"/>
          </w:tcPr>
          <w:p w14:paraId="21B51150" w14:textId="77777777" w:rsidR="007D706A" w:rsidRDefault="007D706A" w:rsidP="00F70508">
            <w:pPr>
              <w:pStyle w:val="ParagraphStyle9"/>
              <w:rPr>
                <w:rStyle w:val="CharacterStyle9"/>
              </w:rPr>
            </w:pPr>
            <w:r>
              <w:rPr>
                <w:rStyle w:val="CharacterStyle9"/>
              </w:rPr>
              <w:t>640.000,00</w:t>
            </w:r>
          </w:p>
        </w:tc>
      </w:tr>
      <w:tr w:rsidR="007D706A" w14:paraId="41A2C64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29755CA"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32C32E27"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04CE6D1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E3C5D9A" w14:textId="77777777" w:rsidR="007D706A" w:rsidRDefault="007D706A" w:rsidP="00F70508">
            <w:pPr>
              <w:pStyle w:val="ParagraphStyle12"/>
              <w:rPr>
                <w:rStyle w:val="CharacterStyle12"/>
              </w:rPr>
            </w:pPr>
            <w:r>
              <w:rPr>
                <w:rStyle w:val="CharacterStyle12"/>
              </w:rPr>
              <w:t>582.000,00</w:t>
            </w:r>
          </w:p>
        </w:tc>
        <w:tc>
          <w:tcPr>
            <w:tcW w:w="1395" w:type="dxa"/>
            <w:tcBorders>
              <w:bottom w:val="single" w:sz="6" w:space="0" w:color="000000"/>
              <w:right w:val="single" w:sz="6" w:space="0" w:color="000000"/>
            </w:tcBorders>
            <w:vAlign w:val="center"/>
          </w:tcPr>
          <w:p w14:paraId="6CDFD102" w14:textId="77777777" w:rsidR="007D706A" w:rsidRDefault="007D706A" w:rsidP="00F70508">
            <w:pPr>
              <w:pStyle w:val="ParagraphStyle12"/>
              <w:rPr>
                <w:rStyle w:val="CharacterStyle12"/>
              </w:rPr>
            </w:pPr>
            <w:r>
              <w:rPr>
                <w:rStyle w:val="CharacterStyle12"/>
              </w:rPr>
              <w:t>640.200,00</w:t>
            </w:r>
          </w:p>
        </w:tc>
        <w:tc>
          <w:tcPr>
            <w:tcW w:w="1395" w:type="dxa"/>
            <w:tcBorders>
              <w:bottom w:val="single" w:sz="6" w:space="0" w:color="000000"/>
              <w:right w:val="single" w:sz="6" w:space="0" w:color="000000"/>
            </w:tcBorders>
            <w:vAlign w:val="center"/>
          </w:tcPr>
          <w:p w14:paraId="61622180" w14:textId="77777777" w:rsidR="007D706A" w:rsidRDefault="007D706A" w:rsidP="00F70508">
            <w:pPr>
              <w:pStyle w:val="ParagraphStyle12"/>
              <w:rPr>
                <w:rStyle w:val="CharacterStyle12"/>
              </w:rPr>
            </w:pPr>
            <w:r>
              <w:rPr>
                <w:rStyle w:val="CharacterStyle12"/>
              </w:rPr>
              <w:t>640.000,00</w:t>
            </w:r>
          </w:p>
        </w:tc>
        <w:tc>
          <w:tcPr>
            <w:tcW w:w="1395" w:type="dxa"/>
            <w:tcBorders>
              <w:bottom w:val="single" w:sz="6" w:space="0" w:color="000000"/>
              <w:right w:val="single" w:sz="6" w:space="0" w:color="000000"/>
            </w:tcBorders>
            <w:vAlign w:val="center"/>
          </w:tcPr>
          <w:p w14:paraId="0CAC1B5F" w14:textId="77777777" w:rsidR="007D706A" w:rsidRDefault="007D706A" w:rsidP="00F70508">
            <w:pPr>
              <w:pStyle w:val="ParagraphStyle12"/>
              <w:rPr>
                <w:rStyle w:val="CharacterStyle12"/>
              </w:rPr>
            </w:pPr>
            <w:r>
              <w:rPr>
                <w:rStyle w:val="CharacterStyle12"/>
              </w:rPr>
              <w:t>640.000,00</w:t>
            </w:r>
          </w:p>
        </w:tc>
      </w:tr>
      <w:tr w:rsidR="007D706A" w14:paraId="4AB26BE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C9C950A" w14:textId="77777777" w:rsidR="007D706A" w:rsidRDefault="007D706A" w:rsidP="00F70508">
            <w:pPr>
              <w:pStyle w:val="ParagraphStyle10"/>
              <w:rPr>
                <w:rStyle w:val="CharacterStyle10"/>
              </w:rPr>
            </w:pPr>
            <w:r>
              <w:rPr>
                <w:rStyle w:val="CharacterStyle10"/>
              </w:rPr>
              <w:t>38</w:t>
            </w:r>
          </w:p>
        </w:tc>
        <w:tc>
          <w:tcPr>
            <w:tcW w:w="4995" w:type="dxa"/>
            <w:tcBorders>
              <w:bottom w:val="single" w:sz="6" w:space="0" w:color="000000"/>
              <w:right w:val="single" w:sz="6" w:space="0" w:color="000000"/>
            </w:tcBorders>
            <w:vAlign w:val="center"/>
          </w:tcPr>
          <w:p w14:paraId="3E0E69EA" w14:textId="77777777" w:rsidR="007D706A" w:rsidRDefault="007D706A" w:rsidP="00F70508">
            <w:pPr>
              <w:pStyle w:val="ParagraphStyle11"/>
              <w:rPr>
                <w:rStyle w:val="CharacterStyle11"/>
              </w:rPr>
            </w:pPr>
            <w:r>
              <w:rPr>
                <w:rStyle w:val="CharacterStyle11"/>
              </w:rPr>
              <w:t>Rashodi za donacije, kazne, naknade šteta i kapitalne pomoći</w:t>
            </w:r>
          </w:p>
        </w:tc>
        <w:tc>
          <w:tcPr>
            <w:tcW w:w="1395" w:type="dxa"/>
            <w:tcBorders>
              <w:bottom w:val="single" w:sz="6" w:space="0" w:color="000000"/>
              <w:right w:val="single" w:sz="6" w:space="0" w:color="000000"/>
            </w:tcBorders>
            <w:vAlign w:val="center"/>
          </w:tcPr>
          <w:p w14:paraId="4A02023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A1BA10A" w14:textId="77777777" w:rsidR="007D706A" w:rsidRDefault="007D706A" w:rsidP="00F70508">
            <w:pPr>
              <w:pStyle w:val="ParagraphStyle12"/>
              <w:rPr>
                <w:rStyle w:val="CharacterStyle12"/>
              </w:rPr>
            </w:pPr>
            <w:r>
              <w:rPr>
                <w:rStyle w:val="CharacterStyle12"/>
              </w:rPr>
              <w:t>582.000,00</w:t>
            </w:r>
          </w:p>
        </w:tc>
        <w:tc>
          <w:tcPr>
            <w:tcW w:w="1395" w:type="dxa"/>
            <w:tcBorders>
              <w:bottom w:val="single" w:sz="6" w:space="0" w:color="000000"/>
              <w:right w:val="single" w:sz="6" w:space="0" w:color="000000"/>
            </w:tcBorders>
            <w:vAlign w:val="center"/>
          </w:tcPr>
          <w:p w14:paraId="20FDEB27" w14:textId="77777777" w:rsidR="007D706A" w:rsidRDefault="007D706A" w:rsidP="00F70508">
            <w:pPr>
              <w:pStyle w:val="ParagraphStyle12"/>
              <w:rPr>
                <w:rStyle w:val="CharacterStyle12"/>
              </w:rPr>
            </w:pPr>
            <w:r>
              <w:rPr>
                <w:rStyle w:val="CharacterStyle12"/>
              </w:rPr>
              <w:t>640.200,00</w:t>
            </w:r>
          </w:p>
        </w:tc>
        <w:tc>
          <w:tcPr>
            <w:tcW w:w="1395" w:type="dxa"/>
            <w:tcBorders>
              <w:bottom w:val="single" w:sz="6" w:space="0" w:color="000000"/>
              <w:right w:val="single" w:sz="6" w:space="0" w:color="000000"/>
            </w:tcBorders>
            <w:vAlign w:val="center"/>
          </w:tcPr>
          <w:p w14:paraId="48330DEF" w14:textId="77777777" w:rsidR="007D706A" w:rsidRDefault="007D706A" w:rsidP="00F70508">
            <w:pPr>
              <w:pStyle w:val="ParagraphStyle12"/>
              <w:rPr>
                <w:rStyle w:val="CharacterStyle12"/>
              </w:rPr>
            </w:pPr>
            <w:r>
              <w:rPr>
                <w:rStyle w:val="CharacterStyle12"/>
              </w:rPr>
              <w:t>640.000,00</w:t>
            </w:r>
          </w:p>
        </w:tc>
        <w:tc>
          <w:tcPr>
            <w:tcW w:w="1395" w:type="dxa"/>
            <w:tcBorders>
              <w:bottom w:val="single" w:sz="6" w:space="0" w:color="000000"/>
              <w:right w:val="single" w:sz="6" w:space="0" w:color="000000"/>
            </w:tcBorders>
            <w:vAlign w:val="center"/>
          </w:tcPr>
          <w:p w14:paraId="69AA70B3" w14:textId="77777777" w:rsidR="007D706A" w:rsidRDefault="007D706A" w:rsidP="00F70508">
            <w:pPr>
              <w:pStyle w:val="ParagraphStyle12"/>
              <w:rPr>
                <w:rStyle w:val="CharacterStyle12"/>
              </w:rPr>
            </w:pPr>
            <w:r>
              <w:rPr>
                <w:rStyle w:val="CharacterStyle12"/>
              </w:rPr>
              <w:t>640.000,00</w:t>
            </w:r>
          </w:p>
        </w:tc>
      </w:tr>
      <w:tr w:rsidR="007D706A" w14:paraId="20F7534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9E34854" w14:textId="77777777" w:rsidR="007D706A" w:rsidRDefault="007D706A" w:rsidP="00F70508">
            <w:pPr>
              <w:pStyle w:val="ParagraphStyle4"/>
              <w:rPr>
                <w:rStyle w:val="CharacterStyle4"/>
              </w:rPr>
            </w:pPr>
            <w:r>
              <w:rPr>
                <w:rStyle w:val="CharacterStyle4"/>
              </w:rPr>
              <w:t>Aktivnost A103003</w:t>
            </w:r>
          </w:p>
        </w:tc>
        <w:tc>
          <w:tcPr>
            <w:tcW w:w="4995" w:type="dxa"/>
            <w:tcBorders>
              <w:bottom w:val="single" w:sz="6" w:space="0" w:color="000000"/>
              <w:right w:val="single" w:sz="6" w:space="0" w:color="000000"/>
            </w:tcBorders>
            <w:vAlign w:val="center"/>
          </w:tcPr>
          <w:p w14:paraId="5F5A8133" w14:textId="77777777" w:rsidR="007D706A" w:rsidRDefault="007D706A" w:rsidP="00F70508">
            <w:pPr>
              <w:pStyle w:val="ParagraphStyle5"/>
              <w:rPr>
                <w:rStyle w:val="CharacterStyle5"/>
              </w:rPr>
            </w:pPr>
            <w:r>
              <w:rPr>
                <w:rStyle w:val="CharacterStyle5"/>
              </w:rPr>
              <w:t>SPORTSKO-REKREACIJSKI PROJEKTI</w:t>
            </w:r>
          </w:p>
        </w:tc>
        <w:tc>
          <w:tcPr>
            <w:tcW w:w="1395" w:type="dxa"/>
            <w:tcBorders>
              <w:bottom w:val="single" w:sz="6" w:space="0" w:color="000000"/>
              <w:right w:val="single" w:sz="6" w:space="0" w:color="000000"/>
            </w:tcBorders>
            <w:vAlign w:val="center"/>
          </w:tcPr>
          <w:p w14:paraId="2E1B74B2"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6E588B1B" w14:textId="77777777" w:rsidR="007D706A" w:rsidRDefault="007D706A" w:rsidP="00F70508">
            <w:pPr>
              <w:pStyle w:val="ParagraphStyle6"/>
              <w:rPr>
                <w:rStyle w:val="CharacterStyle6"/>
              </w:rPr>
            </w:pPr>
            <w:r>
              <w:rPr>
                <w:rStyle w:val="CharacterStyle6"/>
              </w:rPr>
              <w:t>670,00</w:t>
            </w:r>
          </w:p>
        </w:tc>
        <w:tc>
          <w:tcPr>
            <w:tcW w:w="1395" w:type="dxa"/>
            <w:tcBorders>
              <w:bottom w:val="single" w:sz="6" w:space="0" w:color="000000"/>
              <w:right w:val="single" w:sz="6" w:space="0" w:color="000000"/>
            </w:tcBorders>
            <w:vAlign w:val="center"/>
          </w:tcPr>
          <w:p w14:paraId="55DD7EB9" w14:textId="77777777" w:rsidR="007D706A" w:rsidRDefault="007D706A" w:rsidP="00F70508">
            <w:pPr>
              <w:pStyle w:val="ParagraphStyle6"/>
              <w:rPr>
                <w:rStyle w:val="CharacterStyle6"/>
              </w:rPr>
            </w:pPr>
            <w:r>
              <w:rPr>
                <w:rStyle w:val="CharacterStyle6"/>
              </w:rPr>
              <w:t>670,00</w:t>
            </w:r>
          </w:p>
        </w:tc>
        <w:tc>
          <w:tcPr>
            <w:tcW w:w="1395" w:type="dxa"/>
            <w:tcBorders>
              <w:bottom w:val="single" w:sz="6" w:space="0" w:color="000000"/>
              <w:right w:val="single" w:sz="6" w:space="0" w:color="000000"/>
            </w:tcBorders>
            <w:vAlign w:val="center"/>
          </w:tcPr>
          <w:p w14:paraId="2D53590C" w14:textId="77777777" w:rsidR="007D706A" w:rsidRDefault="007D706A" w:rsidP="00F70508">
            <w:pPr>
              <w:pStyle w:val="ParagraphStyle6"/>
              <w:rPr>
                <w:rStyle w:val="CharacterStyle6"/>
              </w:rPr>
            </w:pPr>
            <w:r>
              <w:rPr>
                <w:rStyle w:val="CharacterStyle6"/>
              </w:rPr>
              <w:t>670,00</w:t>
            </w:r>
          </w:p>
        </w:tc>
        <w:tc>
          <w:tcPr>
            <w:tcW w:w="1395" w:type="dxa"/>
            <w:tcBorders>
              <w:bottom w:val="single" w:sz="6" w:space="0" w:color="000000"/>
              <w:right w:val="single" w:sz="6" w:space="0" w:color="000000"/>
            </w:tcBorders>
            <w:vAlign w:val="center"/>
          </w:tcPr>
          <w:p w14:paraId="718BF307" w14:textId="77777777" w:rsidR="007D706A" w:rsidRDefault="007D706A" w:rsidP="00F70508">
            <w:pPr>
              <w:pStyle w:val="ParagraphStyle6"/>
              <w:rPr>
                <w:rStyle w:val="CharacterStyle6"/>
              </w:rPr>
            </w:pPr>
            <w:r>
              <w:rPr>
                <w:rStyle w:val="CharacterStyle6"/>
              </w:rPr>
              <w:t>670,00</w:t>
            </w:r>
          </w:p>
        </w:tc>
      </w:tr>
      <w:tr w:rsidR="007D706A" w14:paraId="5629B90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B4358E9"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71B6B55D"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09589F02"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7D8CAB2" w14:textId="77777777" w:rsidR="007D706A" w:rsidRDefault="007D706A" w:rsidP="00F70508">
            <w:pPr>
              <w:pStyle w:val="ParagraphStyle9"/>
              <w:rPr>
                <w:rStyle w:val="CharacterStyle9"/>
              </w:rPr>
            </w:pPr>
            <w:r>
              <w:rPr>
                <w:rStyle w:val="CharacterStyle9"/>
              </w:rPr>
              <w:t>670,00</w:t>
            </w:r>
          </w:p>
        </w:tc>
        <w:tc>
          <w:tcPr>
            <w:tcW w:w="1395" w:type="dxa"/>
            <w:tcBorders>
              <w:bottom w:val="single" w:sz="6" w:space="0" w:color="000000"/>
              <w:right w:val="single" w:sz="6" w:space="0" w:color="000000"/>
            </w:tcBorders>
            <w:vAlign w:val="center"/>
          </w:tcPr>
          <w:p w14:paraId="42E4E6A1" w14:textId="77777777" w:rsidR="007D706A" w:rsidRDefault="007D706A" w:rsidP="00F70508">
            <w:pPr>
              <w:pStyle w:val="ParagraphStyle9"/>
              <w:rPr>
                <w:rStyle w:val="CharacterStyle9"/>
              </w:rPr>
            </w:pPr>
            <w:r>
              <w:rPr>
                <w:rStyle w:val="CharacterStyle9"/>
              </w:rPr>
              <w:t>670,00</w:t>
            </w:r>
          </w:p>
        </w:tc>
        <w:tc>
          <w:tcPr>
            <w:tcW w:w="1395" w:type="dxa"/>
            <w:tcBorders>
              <w:bottom w:val="single" w:sz="6" w:space="0" w:color="000000"/>
              <w:right w:val="single" w:sz="6" w:space="0" w:color="000000"/>
            </w:tcBorders>
            <w:vAlign w:val="center"/>
          </w:tcPr>
          <w:p w14:paraId="627091C4" w14:textId="77777777" w:rsidR="007D706A" w:rsidRDefault="007D706A" w:rsidP="00F70508">
            <w:pPr>
              <w:pStyle w:val="ParagraphStyle9"/>
              <w:rPr>
                <w:rStyle w:val="CharacterStyle9"/>
              </w:rPr>
            </w:pPr>
            <w:r>
              <w:rPr>
                <w:rStyle w:val="CharacterStyle9"/>
              </w:rPr>
              <w:t>670,00</w:t>
            </w:r>
          </w:p>
        </w:tc>
        <w:tc>
          <w:tcPr>
            <w:tcW w:w="1395" w:type="dxa"/>
            <w:tcBorders>
              <w:bottom w:val="single" w:sz="6" w:space="0" w:color="000000"/>
              <w:right w:val="single" w:sz="6" w:space="0" w:color="000000"/>
            </w:tcBorders>
            <w:vAlign w:val="center"/>
          </w:tcPr>
          <w:p w14:paraId="1394FFE5" w14:textId="77777777" w:rsidR="007D706A" w:rsidRDefault="007D706A" w:rsidP="00F70508">
            <w:pPr>
              <w:pStyle w:val="ParagraphStyle9"/>
              <w:rPr>
                <w:rStyle w:val="CharacterStyle9"/>
              </w:rPr>
            </w:pPr>
            <w:r>
              <w:rPr>
                <w:rStyle w:val="CharacterStyle9"/>
              </w:rPr>
              <w:t>670,00</w:t>
            </w:r>
          </w:p>
        </w:tc>
      </w:tr>
      <w:tr w:rsidR="007D706A" w14:paraId="5758C01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9ACFECB"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1CB767C6"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4314C8F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F6F2BEA" w14:textId="77777777" w:rsidR="007D706A" w:rsidRDefault="007D706A" w:rsidP="00F70508">
            <w:pPr>
              <w:pStyle w:val="ParagraphStyle12"/>
              <w:rPr>
                <w:rStyle w:val="CharacterStyle12"/>
              </w:rPr>
            </w:pPr>
            <w:r>
              <w:rPr>
                <w:rStyle w:val="CharacterStyle12"/>
              </w:rPr>
              <w:t>670,00</w:t>
            </w:r>
          </w:p>
        </w:tc>
        <w:tc>
          <w:tcPr>
            <w:tcW w:w="1395" w:type="dxa"/>
            <w:tcBorders>
              <w:bottom w:val="single" w:sz="6" w:space="0" w:color="000000"/>
              <w:right w:val="single" w:sz="6" w:space="0" w:color="000000"/>
            </w:tcBorders>
            <w:vAlign w:val="center"/>
          </w:tcPr>
          <w:p w14:paraId="36F4649C" w14:textId="77777777" w:rsidR="007D706A" w:rsidRDefault="007D706A" w:rsidP="00F70508">
            <w:pPr>
              <w:pStyle w:val="ParagraphStyle12"/>
              <w:rPr>
                <w:rStyle w:val="CharacterStyle12"/>
              </w:rPr>
            </w:pPr>
            <w:r>
              <w:rPr>
                <w:rStyle w:val="CharacterStyle12"/>
              </w:rPr>
              <w:t>670,00</w:t>
            </w:r>
          </w:p>
        </w:tc>
        <w:tc>
          <w:tcPr>
            <w:tcW w:w="1395" w:type="dxa"/>
            <w:tcBorders>
              <w:bottom w:val="single" w:sz="6" w:space="0" w:color="000000"/>
              <w:right w:val="single" w:sz="6" w:space="0" w:color="000000"/>
            </w:tcBorders>
            <w:vAlign w:val="center"/>
          </w:tcPr>
          <w:p w14:paraId="58C47BC7" w14:textId="77777777" w:rsidR="007D706A" w:rsidRDefault="007D706A" w:rsidP="00F70508">
            <w:pPr>
              <w:pStyle w:val="ParagraphStyle12"/>
              <w:rPr>
                <w:rStyle w:val="CharacterStyle12"/>
              </w:rPr>
            </w:pPr>
            <w:r>
              <w:rPr>
                <w:rStyle w:val="CharacterStyle12"/>
              </w:rPr>
              <w:t>670,00</w:t>
            </w:r>
          </w:p>
        </w:tc>
        <w:tc>
          <w:tcPr>
            <w:tcW w:w="1395" w:type="dxa"/>
            <w:tcBorders>
              <w:bottom w:val="single" w:sz="6" w:space="0" w:color="000000"/>
              <w:right w:val="single" w:sz="6" w:space="0" w:color="000000"/>
            </w:tcBorders>
            <w:vAlign w:val="center"/>
          </w:tcPr>
          <w:p w14:paraId="04CD6999" w14:textId="77777777" w:rsidR="007D706A" w:rsidRDefault="007D706A" w:rsidP="00F70508">
            <w:pPr>
              <w:pStyle w:val="ParagraphStyle12"/>
              <w:rPr>
                <w:rStyle w:val="CharacterStyle12"/>
              </w:rPr>
            </w:pPr>
            <w:r>
              <w:rPr>
                <w:rStyle w:val="CharacterStyle12"/>
              </w:rPr>
              <w:t>670,00</w:t>
            </w:r>
          </w:p>
        </w:tc>
      </w:tr>
      <w:tr w:rsidR="007D706A" w14:paraId="460D726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2CD0979" w14:textId="77777777" w:rsidR="007D706A" w:rsidRDefault="007D706A" w:rsidP="00F70508">
            <w:pPr>
              <w:pStyle w:val="ParagraphStyle10"/>
              <w:rPr>
                <w:rStyle w:val="CharacterStyle10"/>
              </w:rPr>
            </w:pPr>
            <w:r>
              <w:rPr>
                <w:rStyle w:val="CharacterStyle10"/>
              </w:rPr>
              <w:t>38</w:t>
            </w:r>
          </w:p>
        </w:tc>
        <w:tc>
          <w:tcPr>
            <w:tcW w:w="4995" w:type="dxa"/>
            <w:tcBorders>
              <w:bottom w:val="single" w:sz="6" w:space="0" w:color="000000"/>
              <w:right w:val="single" w:sz="6" w:space="0" w:color="000000"/>
            </w:tcBorders>
            <w:vAlign w:val="center"/>
          </w:tcPr>
          <w:p w14:paraId="0EF10A67" w14:textId="77777777" w:rsidR="007D706A" w:rsidRDefault="007D706A" w:rsidP="00F70508">
            <w:pPr>
              <w:pStyle w:val="ParagraphStyle11"/>
              <w:rPr>
                <w:rStyle w:val="CharacterStyle11"/>
              </w:rPr>
            </w:pPr>
            <w:r>
              <w:rPr>
                <w:rStyle w:val="CharacterStyle11"/>
              </w:rPr>
              <w:t>Rashodi za donacije, kazne, naknade šteta i kapitalne pomoći</w:t>
            </w:r>
          </w:p>
        </w:tc>
        <w:tc>
          <w:tcPr>
            <w:tcW w:w="1395" w:type="dxa"/>
            <w:tcBorders>
              <w:bottom w:val="single" w:sz="6" w:space="0" w:color="000000"/>
              <w:right w:val="single" w:sz="6" w:space="0" w:color="000000"/>
            </w:tcBorders>
            <w:vAlign w:val="center"/>
          </w:tcPr>
          <w:p w14:paraId="5028C1A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69AD36D" w14:textId="77777777" w:rsidR="007D706A" w:rsidRDefault="007D706A" w:rsidP="00F70508">
            <w:pPr>
              <w:pStyle w:val="ParagraphStyle12"/>
              <w:rPr>
                <w:rStyle w:val="CharacterStyle12"/>
              </w:rPr>
            </w:pPr>
            <w:r>
              <w:rPr>
                <w:rStyle w:val="CharacterStyle12"/>
              </w:rPr>
              <w:t>670,00</w:t>
            </w:r>
          </w:p>
        </w:tc>
        <w:tc>
          <w:tcPr>
            <w:tcW w:w="1395" w:type="dxa"/>
            <w:tcBorders>
              <w:bottom w:val="single" w:sz="6" w:space="0" w:color="000000"/>
              <w:right w:val="single" w:sz="6" w:space="0" w:color="000000"/>
            </w:tcBorders>
            <w:vAlign w:val="center"/>
          </w:tcPr>
          <w:p w14:paraId="3CADE4AC" w14:textId="77777777" w:rsidR="007D706A" w:rsidRDefault="007D706A" w:rsidP="00F70508">
            <w:pPr>
              <w:pStyle w:val="ParagraphStyle12"/>
              <w:rPr>
                <w:rStyle w:val="CharacterStyle12"/>
              </w:rPr>
            </w:pPr>
            <w:r>
              <w:rPr>
                <w:rStyle w:val="CharacterStyle12"/>
              </w:rPr>
              <w:t>670,00</w:t>
            </w:r>
          </w:p>
        </w:tc>
        <w:tc>
          <w:tcPr>
            <w:tcW w:w="1395" w:type="dxa"/>
            <w:tcBorders>
              <w:bottom w:val="single" w:sz="6" w:space="0" w:color="000000"/>
              <w:right w:val="single" w:sz="6" w:space="0" w:color="000000"/>
            </w:tcBorders>
            <w:vAlign w:val="center"/>
          </w:tcPr>
          <w:p w14:paraId="762A7FC9" w14:textId="77777777" w:rsidR="007D706A" w:rsidRDefault="007D706A" w:rsidP="00F70508">
            <w:pPr>
              <w:pStyle w:val="ParagraphStyle12"/>
              <w:rPr>
                <w:rStyle w:val="CharacterStyle12"/>
              </w:rPr>
            </w:pPr>
            <w:r>
              <w:rPr>
                <w:rStyle w:val="CharacterStyle12"/>
              </w:rPr>
              <w:t>670,00</w:t>
            </w:r>
          </w:p>
        </w:tc>
        <w:tc>
          <w:tcPr>
            <w:tcW w:w="1395" w:type="dxa"/>
            <w:tcBorders>
              <w:bottom w:val="single" w:sz="6" w:space="0" w:color="000000"/>
              <w:right w:val="single" w:sz="6" w:space="0" w:color="000000"/>
            </w:tcBorders>
            <w:vAlign w:val="center"/>
          </w:tcPr>
          <w:p w14:paraId="57753209" w14:textId="77777777" w:rsidR="007D706A" w:rsidRDefault="007D706A" w:rsidP="00F70508">
            <w:pPr>
              <w:pStyle w:val="ParagraphStyle12"/>
              <w:rPr>
                <w:rStyle w:val="CharacterStyle12"/>
              </w:rPr>
            </w:pPr>
            <w:r>
              <w:rPr>
                <w:rStyle w:val="CharacterStyle12"/>
              </w:rPr>
              <w:t>670,00</w:t>
            </w:r>
          </w:p>
        </w:tc>
      </w:tr>
      <w:tr w:rsidR="007D706A" w14:paraId="0CCCE19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CEA281E" w14:textId="77777777" w:rsidR="007D706A" w:rsidRDefault="007D706A" w:rsidP="00F70508">
            <w:pPr>
              <w:pStyle w:val="ParagraphStyle4"/>
              <w:rPr>
                <w:rStyle w:val="CharacterStyle4"/>
              </w:rPr>
            </w:pPr>
            <w:r>
              <w:rPr>
                <w:rStyle w:val="CharacterStyle4"/>
              </w:rPr>
              <w:t>Aktivnost A103005</w:t>
            </w:r>
          </w:p>
        </w:tc>
        <w:tc>
          <w:tcPr>
            <w:tcW w:w="4995" w:type="dxa"/>
            <w:tcBorders>
              <w:bottom w:val="single" w:sz="6" w:space="0" w:color="000000"/>
              <w:right w:val="single" w:sz="6" w:space="0" w:color="000000"/>
            </w:tcBorders>
            <w:vAlign w:val="center"/>
          </w:tcPr>
          <w:p w14:paraId="0E11CCCF" w14:textId="77777777" w:rsidR="007D706A" w:rsidRDefault="007D706A" w:rsidP="00F70508">
            <w:pPr>
              <w:pStyle w:val="ParagraphStyle5"/>
              <w:rPr>
                <w:rStyle w:val="CharacterStyle5"/>
              </w:rPr>
            </w:pPr>
            <w:r>
              <w:rPr>
                <w:rStyle w:val="CharacterStyle5"/>
              </w:rPr>
              <w:t>POPOLANA</w:t>
            </w:r>
          </w:p>
        </w:tc>
        <w:tc>
          <w:tcPr>
            <w:tcW w:w="1395" w:type="dxa"/>
            <w:tcBorders>
              <w:bottom w:val="single" w:sz="6" w:space="0" w:color="000000"/>
              <w:right w:val="single" w:sz="6" w:space="0" w:color="000000"/>
            </w:tcBorders>
            <w:vAlign w:val="center"/>
          </w:tcPr>
          <w:p w14:paraId="5BEAE6BB"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5DA2835A" w14:textId="77777777" w:rsidR="007D706A" w:rsidRDefault="007D706A" w:rsidP="00F70508">
            <w:pPr>
              <w:pStyle w:val="ParagraphStyle6"/>
              <w:rPr>
                <w:rStyle w:val="CharacterStyle6"/>
              </w:rPr>
            </w:pPr>
            <w:r>
              <w:rPr>
                <w:rStyle w:val="CharacterStyle6"/>
              </w:rPr>
              <w:t>665,00</w:t>
            </w:r>
          </w:p>
        </w:tc>
        <w:tc>
          <w:tcPr>
            <w:tcW w:w="1395" w:type="dxa"/>
            <w:tcBorders>
              <w:bottom w:val="single" w:sz="6" w:space="0" w:color="000000"/>
              <w:right w:val="single" w:sz="6" w:space="0" w:color="000000"/>
            </w:tcBorders>
            <w:vAlign w:val="center"/>
          </w:tcPr>
          <w:p w14:paraId="3E95F15B" w14:textId="77777777" w:rsidR="007D706A" w:rsidRDefault="007D706A" w:rsidP="00F70508">
            <w:pPr>
              <w:pStyle w:val="ParagraphStyle6"/>
              <w:rPr>
                <w:rStyle w:val="CharacterStyle6"/>
              </w:rPr>
            </w:pPr>
            <w:r>
              <w:rPr>
                <w:rStyle w:val="CharacterStyle6"/>
              </w:rPr>
              <w:t>3.000,00</w:t>
            </w:r>
          </w:p>
        </w:tc>
        <w:tc>
          <w:tcPr>
            <w:tcW w:w="1395" w:type="dxa"/>
            <w:tcBorders>
              <w:bottom w:val="single" w:sz="6" w:space="0" w:color="000000"/>
              <w:right w:val="single" w:sz="6" w:space="0" w:color="000000"/>
            </w:tcBorders>
            <w:vAlign w:val="center"/>
          </w:tcPr>
          <w:p w14:paraId="19590BD9" w14:textId="77777777" w:rsidR="007D706A" w:rsidRDefault="007D706A" w:rsidP="00F70508">
            <w:pPr>
              <w:pStyle w:val="ParagraphStyle6"/>
              <w:rPr>
                <w:rStyle w:val="CharacterStyle6"/>
              </w:rPr>
            </w:pPr>
            <w:r>
              <w:rPr>
                <w:rStyle w:val="CharacterStyle6"/>
              </w:rPr>
              <w:t>3.000,00</w:t>
            </w:r>
          </w:p>
        </w:tc>
        <w:tc>
          <w:tcPr>
            <w:tcW w:w="1395" w:type="dxa"/>
            <w:tcBorders>
              <w:bottom w:val="single" w:sz="6" w:space="0" w:color="000000"/>
              <w:right w:val="single" w:sz="6" w:space="0" w:color="000000"/>
            </w:tcBorders>
            <w:vAlign w:val="center"/>
          </w:tcPr>
          <w:p w14:paraId="08284ADE" w14:textId="77777777" w:rsidR="007D706A" w:rsidRDefault="007D706A" w:rsidP="00F70508">
            <w:pPr>
              <w:pStyle w:val="ParagraphStyle6"/>
              <w:rPr>
                <w:rStyle w:val="CharacterStyle6"/>
              </w:rPr>
            </w:pPr>
            <w:r>
              <w:rPr>
                <w:rStyle w:val="CharacterStyle6"/>
              </w:rPr>
              <w:t>3.000,00</w:t>
            </w:r>
          </w:p>
        </w:tc>
      </w:tr>
      <w:tr w:rsidR="007D706A" w14:paraId="0C54B656"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AF8425E"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1116CD11"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32C5D281"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A2963B8"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0E38746" w14:textId="77777777" w:rsidR="007D706A" w:rsidRDefault="007D706A" w:rsidP="00F70508">
            <w:pPr>
              <w:pStyle w:val="ParagraphStyle9"/>
              <w:rPr>
                <w:rStyle w:val="CharacterStyle9"/>
              </w:rPr>
            </w:pPr>
            <w:r>
              <w:rPr>
                <w:rStyle w:val="CharacterStyle9"/>
              </w:rPr>
              <w:t>3.000,00</w:t>
            </w:r>
          </w:p>
        </w:tc>
        <w:tc>
          <w:tcPr>
            <w:tcW w:w="1395" w:type="dxa"/>
            <w:tcBorders>
              <w:bottom w:val="single" w:sz="6" w:space="0" w:color="000000"/>
              <w:right w:val="single" w:sz="6" w:space="0" w:color="000000"/>
            </w:tcBorders>
            <w:vAlign w:val="center"/>
          </w:tcPr>
          <w:p w14:paraId="43C964D1" w14:textId="77777777" w:rsidR="007D706A" w:rsidRDefault="007D706A" w:rsidP="00F70508">
            <w:pPr>
              <w:pStyle w:val="ParagraphStyle9"/>
              <w:rPr>
                <w:rStyle w:val="CharacterStyle9"/>
              </w:rPr>
            </w:pPr>
            <w:r>
              <w:rPr>
                <w:rStyle w:val="CharacterStyle9"/>
              </w:rPr>
              <w:t>3.000,00</w:t>
            </w:r>
          </w:p>
        </w:tc>
        <w:tc>
          <w:tcPr>
            <w:tcW w:w="1395" w:type="dxa"/>
            <w:tcBorders>
              <w:bottom w:val="single" w:sz="6" w:space="0" w:color="000000"/>
              <w:right w:val="single" w:sz="6" w:space="0" w:color="000000"/>
            </w:tcBorders>
            <w:vAlign w:val="center"/>
          </w:tcPr>
          <w:p w14:paraId="202D7E58" w14:textId="77777777" w:rsidR="007D706A" w:rsidRDefault="007D706A" w:rsidP="00F70508">
            <w:pPr>
              <w:pStyle w:val="ParagraphStyle9"/>
              <w:rPr>
                <w:rStyle w:val="CharacterStyle9"/>
              </w:rPr>
            </w:pPr>
            <w:r>
              <w:rPr>
                <w:rStyle w:val="CharacterStyle9"/>
              </w:rPr>
              <w:t>3.000,00</w:t>
            </w:r>
          </w:p>
        </w:tc>
      </w:tr>
      <w:tr w:rsidR="007D706A" w14:paraId="369A3A8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8E3B5D8"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42C3E693"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70717DB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CF0363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65D7F87" w14:textId="77777777" w:rsidR="007D706A" w:rsidRDefault="007D706A" w:rsidP="00F70508">
            <w:pPr>
              <w:pStyle w:val="ParagraphStyle12"/>
              <w:rPr>
                <w:rStyle w:val="CharacterStyle12"/>
              </w:rPr>
            </w:pPr>
            <w:r>
              <w:rPr>
                <w:rStyle w:val="CharacterStyle12"/>
              </w:rPr>
              <w:t>3.000,00</w:t>
            </w:r>
          </w:p>
        </w:tc>
        <w:tc>
          <w:tcPr>
            <w:tcW w:w="1395" w:type="dxa"/>
            <w:tcBorders>
              <w:bottom w:val="single" w:sz="6" w:space="0" w:color="000000"/>
              <w:right w:val="single" w:sz="6" w:space="0" w:color="000000"/>
            </w:tcBorders>
            <w:vAlign w:val="center"/>
          </w:tcPr>
          <w:p w14:paraId="3BF22ED1" w14:textId="77777777" w:rsidR="007D706A" w:rsidRDefault="007D706A" w:rsidP="00F70508">
            <w:pPr>
              <w:pStyle w:val="ParagraphStyle12"/>
              <w:rPr>
                <w:rStyle w:val="CharacterStyle12"/>
              </w:rPr>
            </w:pPr>
            <w:r>
              <w:rPr>
                <w:rStyle w:val="CharacterStyle12"/>
              </w:rPr>
              <w:t>3.000,00</w:t>
            </w:r>
          </w:p>
        </w:tc>
        <w:tc>
          <w:tcPr>
            <w:tcW w:w="1395" w:type="dxa"/>
            <w:tcBorders>
              <w:bottom w:val="single" w:sz="6" w:space="0" w:color="000000"/>
              <w:right w:val="single" w:sz="6" w:space="0" w:color="000000"/>
            </w:tcBorders>
            <w:vAlign w:val="center"/>
          </w:tcPr>
          <w:p w14:paraId="54FADA6C" w14:textId="77777777" w:rsidR="007D706A" w:rsidRDefault="007D706A" w:rsidP="00F70508">
            <w:pPr>
              <w:pStyle w:val="ParagraphStyle12"/>
              <w:rPr>
                <w:rStyle w:val="CharacterStyle12"/>
              </w:rPr>
            </w:pPr>
            <w:r>
              <w:rPr>
                <w:rStyle w:val="CharacterStyle12"/>
              </w:rPr>
              <w:t>3.000,00</w:t>
            </w:r>
          </w:p>
        </w:tc>
      </w:tr>
      <w:tr w:rsidR="007D706A" w14:paraId="0B8E99D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5C4FA7A" w14:textId="77777777" w:rsidR="007D706A" w:rsidRDefault="007D706A" w:rsidP="00F70508">
            <w:pPr>
              <w:pStyle w:val="ParagraphStyle10"/>
              <w:rPr>
                <w:rStyle w:val="CharacterStyle10"/>
              </w:rPr>
            </w:pPr>
            <w:r>
              <w:rPr>
                <w:rStyle w:val="CharacterStyle10"/>
              </w:rPr>
              <w:t>38</w:t>
            </w:r>
          </w:p>
        </w:tc>
        <w:tc>
          <w:tcPr>
            <w:tcW w:w="4995" w:type="dxa"/>
            <w:tcBorders>
              <w:bottom w:val="single" w:sz="6" w:space="0" w:color="000000"/>
              <w:right w:val="single" w:sz="6" w:space="0" w:color="000000"/>
            </w:tcBorders>
            <w:vAlign w:val="center"/>
          </w:tcPr>
          <w:p w14:paraId="00CA1090" w14:textId="77777777" w:rsidR="007D706A" w:rsidRDefault="007D706A" w:rsidP="00F70508">
            <w:pPr>
              <w:pStyle w:val="ParagraphStyle11"/>
              <w:rPr>
                <w:rStyle w:val="CharacterStyle11"/>
              </w:rPr>
            </w:pPr>
            <w:r>
              <w:rPr>
                <w:rStyle w:val="CharacterStyle11"/>
              </w:rPr>
              <w:t>Rashodi za donacije, kazne, naknade šteta i kapitalne pomoći</w:t>
            </w:r>
          </w:p>
        </w:tc>
        <w:tc>
          <w:tcPr>
            <w:tcW w:w="1395" w:type="dxa"/>
            <w:tcBorders>
              <w:bottom w:val="single" w:sz="6" w:space="0" w:color="000000"/>
              <w:right w:val="single" w:sz="6" w:space="0" w:color="000000"/>
            </w:tcBorders>
            <w:vAlign w:val="center"/>
          </w:tcPr>
          <w:p w14:paraId="62EA098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77D4AA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CA4D0B7" w14:textId="77777777" w:rsidR="007D706A" w:rsidRDefault="007D706A" w:rsidP="00F70508">
            <w:pPr>
              <w:pStyle w:val="ParagraphStyle12"/>
              <w:rPr>
                <w:rStyle w:val="CharacterStyle12"/>
              </w:rPr>
            </w:pPr>
            <w:r>
              <w:rPr>
                <w:rStyle w:val="CharacterStyle12"/>
              </w:rPr>
              <w:t>3.000,00</w:t>
            </w:r>
          </w:p>
        </w:tc>
        <w:tc>
          <w:tcPr>
            <w:tcW w:w="1395" w:type="dxa"/>
            <w:tcBorders>
              <w:bottom w:val="single" w:sz="6" w:space="0" w:color="000000"/>
              <w:right w:val="single" w:sz="6" w:space="0" w:color="000000"/>
            </w:tcBorders>
            <w:vAlign w:val="center"/>
          </w:tcPr>
          <w:p w14:paraId="49E7C83C" w14:textId="77777777" w:rsidR="007D706A" w:rsidRDefault="007D706A" w:rsidP="00F70508">
            <w:pPr>
              <w:pStyle w:val="ParagraphStyle12"/>
              <w:rPr>
                <w:rStyle w:val="CharacterStyle12"/>
              </w:rPr>
            </w:pPr>
            <w:r>
              <w:rPr>
                <w:rStyle w:val="CharacterStyle12"/>
              </w:rPr>
              <w:t>3.000,00</w:t>
            </w:r>
          </w:p>
        </w:tc>
        <w:tc>
          <w:tcPr>
            <w:tcW w:w="1395" w:type="dxa"/>
            <w:tcBorders>
              <w:bottom w:val="single" w:sz="6" w:space="0" w:color="000000"/>
              <w:right w:val="single" w:sz="6" w:space="0" w:color="000000"/>
            </w:tcBorders>
            <w:vAlign w:val="center"/>
          </w:tcPr>
          <w:p w14:paraId="5BF971C6" w14:textId="77777777" w:rsidR="007D706A" w:rsidRDefault="007D706A" w:rsidP="00F70508">
            <w:pPr>
              <w:pStyle w:val="ParagraphStyle12"/>
              <w:rPr>
                <w:rStyle w:val="CharacterStyle12"/>
              </w:rPr>
            </w:pPr>
            <w:r>
              <w:rPr>
                <w:rStyle w:val="CharacterStyle12"/>
              </w:rPr>
              <w:t>3.000,00</w:t>
            </w:r>
          </w:p>
        </w:tc>
      </w:tr>
      <w:tr w:rsidR="007D706A" w14:paraId="0F0F1C7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8AF9514" w14:textId="77777777" w:rsidR="007D706A" w:rsidRDefault="007D706A" w:rsidP="00F70508">
            <w:pPr>
              <w:pStyle w:val="ParagraphStyle7"/>
              <w:rPr>
                <w:rStyle w:val="CharacterStyle7"/>
              </w:rPr>
            </w:pPr>
            <w:r>
              <w:rPr>
                <w:rStyle w:val="CharacterStyle7"/>
              </w:rPr>
              <w:t>Izvor financiranja 41</w:t>
            </w:r>
          </w:p>
        </w:tc>
        <w:tc>
          <w:tcPr>
            <w:tcW w:w="4995" w:type="dxa"/>
            <w:tcBorders>
              <w:bottom w:val="single" w:sz="6" w:space="0" w:color="000000"/>
              <w:right w:val="single" w:sz="6" w:space="0" w:color="000000"/>
            </w:tcBorders>
            <w:vAlign w:val="center"/>
          </w:tcPr>
          <w:p w14:paraId="02F71C47" w14:textId="77777777" w:rsidR="007D706A" w:rsidRDefault="007D706A" w:rsidP="00F70508">
            <w:pPr>
              <w:pStyle w:val="ParagraphStyle8"/>
              <w:rPr>
                <w:rStyle w:val="CharacterStyle8"/>
              </w:rPr>
            </w:pPr>
            <w:r>
              <w:rPr>
                <w:rStyle w:val="CharacterStyle8"/>
              </w:rPr>
              <w:t>Prihodi za posebne namjene</w:t>
            </w:r>
          </w:p>
        </w:tc>
        <w:tc>
          <w:tcPr>
            <w:tcW w:w="1395" w:type="dxa"/>
            <w:tcBorders>
              <w:bottom w:val="single" w:sz="6" w:space="0" w:color="000000"/>
              <w:right w:val="single" w:sz="6" w:space="0" w:color="000000"/>
            </w:tcBorders>
            <w:vAlign w:val="center"/>
          </w:tcPr>
          <w:p w14:paraId="5D047495"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EF95917" w14:textId="77777777" w:rsidR="007D706A" w:rsidRDefault="007D706A" w:rsidP="00F70508">
            <w:pPr>
              <w:pStyle w:val="ParagraphStyle9"/>
              <w:rPr>
                <w:rStyle w:val="CharacterStyle9"/>
              </w:rPr>
            </w:pPr>
            <w:r>
              <w:rPr>
                <w:rStyle w:val="CharacterStyle9"/>
              </w:rPr>
              <w:t>665,00</w:t>
            </w:r>
          </w:p>
        </w:tc>
        <w:tc>
          <w:tcPr>
            <w:tcW w:w="1395" w:type="dxa"/>
            <w:tcBorders>
              <w:bottom w:val="single" w:sz="6" w:space="0" w:color="000000"/>
              <w:right w:val="single" w:sz="6" w:space="0" w:color="000000"/>
            </w:tcBorders>
            <w:vAlign w:val="center"/>
          </w:tcPr>
          <w:p w14:paraId="0EDB937C"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8B5C481"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0405525" w14:textId="77777777" w:rsidR="007D706A" w:rsidRDefault="007D706A" w:rsidP="00F70508">
            <w:pPr>
              <w:pStyle w:val="ParagraphStyle9"/>
              <w:rPr>
                <w:rStyle w:val="CharacterStyle9"/>
              </w:rPr>
            </w:pPr>
            <w:r>
              <w:rPr>
                <w:rStyle w:val="CharacterStyle9"/>
              </w:rPr>
              <w:t>0,00</w:t>
            </w:r>
          </w:p>
        </w:tc>
      </w:tr>
      <w:tr w:rsidR="007D706A" w14:paraId="567DD48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1C411FE"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69F3146A"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2D6309D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B7E3794" w14:textId="77777777" w:rsidR="007D706A" w:rsidRDefault="007D706A" w:rsidP="00F70508">
            <w:pPr>
              <w:pStyle w:val="ParagraphStyle12"/>
              <w:rPr>
                <w:rStyle w:val="CharacterStyle12"/>
              </w:rPr>
            </w:pPr>
            <w:r>
              <w:rPr>
                <w:rStyle w:val="CharacterStyle12"/>
              </w:rPr>
              <w:t>665,00</w:t>
            </w:r>
          </w:p>
        </w:tc>
        <w:tc>
          <w:tcPr>
            <w:tcW w:w="1395" w:type="dxa"/>
            <w:tcBorders>
              <w:bottom w:val="single" w:sz="6" w:space="0" w:color="000000"/>
              <w:right w:val="single" w:sz="6" w:space="0" w:color="000000"/>
            </w:tcBorders>
            <w:vAlign w:val="center"/>
          </w:tcPr>
          <w:p w14:paraId="44270FD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9988F1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CB63E38" w14:textId="77777777" w:rsidR="007D706A" w:rsidRDefault="007D706A" w:rsidP="00F70508">
            <w:pPr>
              <w:pStyle w:val="ParagraphStyle12"/>
              <w:rPr>
                <w:rStyle w:val="CharacterStyle12"/>
              </w:rPr>
            </w:pPr>
            <w:r>
              <w:rPr>
                <w:rStyle w:val="CharacterStyle12"/>
              </w:rPr>
              <w:t>0,00</w:t>
            </w:r>
          </w:p>
        </w:tc>
      </w:tr>
      <w:tr w:rsidR="007D706A" w14:paraId="1A219A5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44EB48E" w14:textId="77777777" w:rsidR="007D706A" w:rsidRDefault="007D706A" w:rsidP="00F70508">
            <w:pPr>
              <w:pStyle w:val="ParagraphStyle10"/>
              <w:rPr>
                <w:rStyle w:val="CharacterStyle10"/>
              </w:rPr>
            </w:pPr>
            <w:r>
              <w:rPr>
                <w:rStyle w:val="CharacterStyle10"/>
              </w:rPr>
              <w:t>38</w:t>
            </w:r>
          </w:p>
        </w:tc>
        <w:tc>
          <w:tcPr>
            <w:tcW w:w="4995" w:type="dxa"/>
            <w:tcBorders>
              <w:bottom w:val="single" w:sz="6" w:space="0" w:color="000000"/>
              <w:right w:val="single" w:sz="6" w:space="0" w:color="000000"/>
            </w:tcBorders>
            <w:vAlign w:val="center"/>
          </w:tcPr>
          <w:p w14:paraId="4A7174F1" w14:textId="77777777" w:rsidR="007D706A" w:rsidRDefault="007D706A" w:rsidP="00F70508">
            <w:pPr>
              <w:pStyle w:val="ParagraphStyle11"/>
              <w:rPr>
                <w:rStyle w:val="CharacterStyle11"/>
              </w:rPr>
            </w:pPr>
            <w:r>
              <w:rPr>
                <w:rStyle w:val="CharacterStyle11"/>
              </w:rPr>
              <w:t>Rashodi za donacije, kazne, naknade šteta i kapitalne pomoći</w:t>
            </w:r>
          </w:p>
        </w:tc>
        <w:tc>
          <w:tcPr>
            <w:tcW w:w="1395" w:type="dxa"/>
            <w:tcBorders>
              <w:bottom w:val="single" w:sz="6" w:space="0" w:color="000000"/>
              <w:right w:val="single" w:sz="6" w:space="0" w:color="000000"/>
            </w:tcBorders>
            <w:vAlign w:val="center"/>
          </w:tcPr>
          <w:p w14:paraId="7DA014B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147C884" w14:textId="77777777" w:rsidR="007D706A" w:rsidRDefault="007D706A" w:rsidP="00F70508">
            <w:pPr>
              <w:pStyle w:val="ParagraphStyle12"/>
              <w:rPr>
                <w:rStyle w:val="CharacterStyle12"/>
              </w:rPr>
            </w:pPr>
            <w:r>
              <w:rPr>
                <w:rStyle w:val="CharacterStyle12"/>
              </w:rPr>
              <w:t>665,00</w:t>
            </w:r>
          </w:p>
        </w:tc>
        <w:tc>
          <w:tcPr>
            <w:tcW w:w="1395" w:type="dxa"/>
            <w:tcBorders>
              <w:bottom w:val="single" w:sz="6" w:space="0" w:color="000000"/>
              <w:right w:val="single" w:sz="6" w:space="0" w:color="000000"/>
            </w:tcBorders>
            <w:vAlign w:val="center"/>
          </w:tcPr>
          <w:p w14:paraId="39E4123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D9AE26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9EB7CDA" w14:textId="77777777" w:rsidR="007D706A" w:rsidRDefault="007D706A" w:rsidP="00F70508">
            <w:pPr>
              <w:pStyle w:val="ParagraphStyle12"/>
              <w:rPr>
                <w:rStyle w:val="CharacterStyle12"/>
              </w:rPr>
            </w:pPr>
            <w:r>
              <w:rPr>
                <w:rStyle w:val="CharacterStyle12"/>
              </w:rPr>
              <w:t>0,00</w:t>
            </w:r>
          </w:p>
        </w:tc>
      </w:tr>
      <w:tr w:rsidR="007D706A" w14:paraId="7FA6E20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62A47E8" w14:textId="77777777" w:rsidR="007D706A" w:rsidRDefault="007D706A" w:rsidP="00F70508">
            <w:pPr>
              <w:pStyle w:val="ParagraphStyle4"/>
              <w:rPr>
                <w:rStyle w:val="CharacterStyle4"/>
              </w:rPr>
            </w:pPr>
            <w:r>
              <w:rPr>
                <w:rStyle w:val="CharacterStyle4"/>
              </w:rPr>
              <w:t>Aktivnost A103006</w:t>
            </w:r>
          </w:p>
        </w:tc>
        <w:tc>
          <w:tcPr>
            <w:tcW w:w="4995" w:type="dxa"/>
            <w:tcBorders>
              <w:bottom w:val="single" w:sz="6" w:space="0" w:color="000000"/>
              <w:right w:val="single" w:sz="6" w:space="0" w:color="000000"/>
            </w:tcBorders>
            <w:vAlign w:val="center"/>
          </w:tcPr>
          <w:p w14:paraId="6F155C61" w14:textId="77777777" w:rsidR="007D706A" w:rsidRDefault="007D706A" w:rsidP="00F70508">
            <w:pPr>
              <w:pStyle w:val="ParagraphStyle5"/>
              <w:rPr>
                <w:rStyle w:val="CharacterStyle5"/>
              </w:rPr>
            </w:pPr>
            <w:r>
              <w:rPr>
                <w:rStyle w:val="CharacterStyle5"/>
              </w:rPr>
              <w:t>ZAJEDNIČKI PROJEKTI</w:t>
            </w:r>
          </w:p>
        </w:tc>
        <w:tc>
          <w:tcPr>
            <w:tcW w:w="1395" w:type="dxa"/>
            <w:tcBorders>
              <w:bottom w:val="single" w:sz="6" w:space="0" w:color="000000"/>
              <w:right w:val="single" w:sz="6" w:space="0" w:color="000000"/>
            </w:tcBorders>
            <w:vAlign w:val="center"/>
          </w:tcPr>
          <w:p w14:paraId="2185F1EC"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2A9EA7CD" w14:textId="77777777" w:rsidR="007D706A" w:rsidRDefault="007D706A" w:rsidP="00F70508">
            <w:pPr>
              <w:pStyle w:val="ParagraphStyle6"/>
              <w:rPr>
                <w:rStyle w:val="CharacterStyle6"/>
              </w:rPr>
            </w:pPr>
            <w:r>
              <w:rPr>
                <w:rStyle w:val="CharacterStyle6"/>
              </w:rPr>
              <w:t>484.000,00</w:t>
            </w:r>
          </w:p>
        </w:tc>
        <w:tc>
          <w:tcPr>
            <w:tcW w:w="1395" w:type="dxa"/>
            <w:tcBorders>
              <w:bottom w:val="single" w:sz="6" w:space="0" w:color="000000"/>
              <w:right w:val="single" w:sz="6" w:space="0" w:color="000000"/>
            </w:tcBorders>
            <w:vAlign w:val="center"/>
          </w:tcPr>
          <w:p w14:paraId="23983EBD" w14:textId="77777777" w:rsidR="007D706A" w:rsidRDefault="007D706A" w:rsidP="00F70508">
            <w:pPr>
              <w:pStyle w:val="ParagraphStyle6"/>
              <w:rPr>
                <w:rStyle w:val="CharacterStyle6"/>
              </w:rPr>
            </w:pPr>
            <w:r>
              <w:rPr>
                <w:rStyle w:val="CharacterStyle6"/>
              </w:rPr>
              <w:t>493.000,00</w:t>
            </w:r>
          </w:p>
        </w:tc>
        <w:tc>
          <w:tcPr>
            <w:tcW w:w="1395" w:type="dxa"/>
            <w:tcBorders>
              <w:bottom w:val="single" w:sz="6" w:space="0" w:color="000000"/>
              <w:right w:val="single" w:sz="6" w:space="0" w:color="000000"/>
            </w:tcBorders>
            <w:vAlign w:val="center"/>
          </w:tcPr>
          <w:p w14:paraId="22AB9547" w14:textId="77777777" w:rsidR="007D706A" w:rsidRDefault="007D706A" w:rsidP="00F70508">
            <w:pPr>
              <w:pStyle w:val="ParagraphStyle6"/>
              <w:rPr>
                <w:rStyle w:val="CharacterStyle6"/>
              </w:rPr>
            </w:pPr>
            <w:r>
              <w:rPr>
                <w:rStyle w:val="CharacterStyle6"/>
              </w:rPr>
              <w:t>493.000,00</w:t>
            </w:r>
          </w:p>
        </w:tc>
        <w:tc>
          <w:tcPr>
            <w:tcW w:w="1395" w:type="dxa"/>
            <w:tcBorders>
              <w:bottom w:val="single" w:sz="6" w:space="0" w:color="000000"/>
              <w:right w:val="single" w:sz="6" w:space="0" w:color="000000"/>
            </w:tcBorders>
            <w:vAlign w:val="center"/>
          </w:tcPr>
          <w:p w14:paraId="2B8A9C9C" w14:textId="77777777" w:rsidR="007D706A" w:rsidRDefault="007D706A" w:rsidP="00F70508">
            <w:pPr>
              <w:pStyle w:val="ParagraphStyle6"/>
              <w:rPr>
                <w:rStyle w:val="CharacterStyle6"/>
              </w:rPr>
            </w:pPr>
            <w:r>
              <w:rPr>
                <w:rStyle w:val="CharacterStyle6"/>
              </w:rPr>
              <w:t>493.000,00</w:t>
            </w:r>
          </w:p>
        </w:tc>
      </w:tr>
      <w:tr w:rsidR="007D706A" w14:paraId="56B097F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0398906"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7A4A6F70"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14A207BD"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70F8E71" w14:textId="77777777" w:rsidR="007D706A" w:rsidRDefault="007D706A" w:rsidP="00F70508">
            <w:pPr>
              <w:pStyle w:val="ParagraphStyle9"/>
              <w:rPr>
                <w:rStyle w:val="CharacterStyle9"/>
              </w:rPr>
            </w:pPr>
            <w:r>
              <w:rPr>
                <w:rStyle w:val="CharacterStyle9"/>
              </w:rPr>
              <w:t>484.000,00</w:t>
            </w:r>
          </w:p>
        </w:tc>
        <w:tc>
          <w:tcPr>
            <w:tcW w:w="1395" w:type="dxa"/>
            <w:tcBorders>
              <w:bottom w:val="single" w:sz="6" w:space="0" w:color="000000"/>
              <w:right w:val="single" w:sz="6" w:space="0" w:color="000000"/>
            </w:tcBorders>
            <w:vAlign w:val="center"/>
          </w:tcPr>
          <w:p w14:paraId="1AD8420C" w14:textId="77777777" w:rsidR="007D706A" w:rsidRDefault="007D706A" w:rsidP="00F70508">
            <w:pPr>
              <w:pStyle w:val="ParagraphStyle9"/>
              <w:rPr>
                <w:rStyle w:val="CharacterStyle9"/>
              </w:rPr>
            </w:pPr>
            <w:r>
              <w:rPr>
                <w:rStyle w:val="CharacterStyle9"/>
              </w:rPr>
              <w:t>493.000,00</w:t>
            </w:r>
          </w:p>
        </w:tc>
        <w:tc>
          <w:tcPr>
            <w:tcW w:w="1395" w:type="dxa"/>
            <w:tcBorders>
              <w:bottom w:val="single" w:sz="6" w:space="0" w:color="000000"/>
              <w:right w:val="single" w:sz="6" w:space="0" w:color="000000"/>
            </w:tcBorders>
            <w:vAlign w:val="center"/>
          </w:tcPr>
          <w:p w14:paraId="756A744A" w14:textId="77777777" w:rsidR="007D706A" w:rsidRDefault="007D706A" w:rsidP="00F70508">
            <w:pPr>
              <w:pStyle w:val="ParagraphStyle9"/>
              <w:rPr>
                <w:rStyle w:val="CharacterStyle9"/>
              </w:rPr>
            </w:pPr>
            <w:r>
              <w:rPr>
                <w:rStyle w:val="CharacterStyle9"/>
              </w:rPr>
              <w:t>493.000,00</w:t>
            </w:r>
          </w:p>
        </w:tc>
        <w:tc>
          <w:tcPr>
            <w:tcW w:w="1395" w:type="dxa"/>
            <w:tcBorders>
              <w:bottom w:val="single" w:sz="6" w:space="0" w:color="000000"/>
              <w:right w:val="single" w:sz="6" w:space="0" w:color="000000"/>
            </w:tcBorders>
            <w:vAlign w:val="center"/>
          </w:tcPr>
          <w:p w14:paraId="0FFC21FD" w14:textId="77777777" w:rsidR="007D706A" w:rsidRDefault="007D706A" w:rsidP="00F70508">
            <w:pPr>
              <w:pStyle w:val="ParagraphStyle9"/>
              <w:rPr>
                <w:rStyle w:val="CharacterStyle9"/>
              </w:rPr>
            </w:pPr>
            <w:r>
              <w:rPr>
                <w:rStyle w:val="CharacterStyle9"/>
              </w:rPr>
              <w:t>493.000,00</w:t>
            </w:r>
          </w:p>
        </w:tc>
      </w:tr>
      <w:tr w:rsidR="007D706A" w14:paraId="1679FB5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FC39DC6"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1E889F1B"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7A4C910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66542B6" w14:textId="77777777" w:rsidR="007D706A" w:rsidRDefault="007D706A" w:rsidP="00F70508">
            <w:pPr>
              <w:pStyle w:val="ParagraphStyle12"/>
              <w:rPr>
                <w:rStyle w:val="CharacterStyle12"/>
              </w:rPr>
            </w:pPr>
            <w:r>
              <w:rPr>
                <w:rStyle w:val="CharacterStyle12"/>
              </w:rPr>
              <w:t>484.000,00</w:t>
            </w:r>
          </w:p>
        </w:tc>
        <w:tc>
          <w:tcPr>
            <w:tcW w:w="1395" w:type="dxa"/>
            <w:tcBorders>
              <w:bottom w:val="single" w:sz="6" w:space="0" w:color="000000"/>
              <w:right w:val="single" w:sz="6" w:space="0" w:color="000000"/>
            </w:tcBorders>
            <w:vAlign w:val="center"/>
          </w:tcPr>
          <w:p w14:paraId="55BD39BA" w14:textId="77777777" w:rsidR="007D706A" w:rsidRDefault="007D706A" w:rsidP="00F70508">
            <w:pPr>
              <w:pStyle w:val="ParagraphStyle12"/>
              <w:rPr>
                <w:rStyle w:val="CharacterStyle12"/>
              </w:rPr>
            </w:pPr>
            <w:r>
              <w:rPr>
                <w:rStyle w:val="CharacterStyle12"/>
              </w:rPr>
              <w:t>493.000,00</w:t>
            </w:r>
          </w:p>
        </w:tc>
        <w:tc>
          <w:tcPr>
            <w:tcW w:w="1395" w:type="dxa"/>
            <w:tcBorders>
              <w:bottom w:val="single" w:sz="6" w:space="0" w:color="000000"/>
              <w:right w:val="single" w:sz="6" w:space="0" w:color="000000"/>
            </w:tcBorders>
            <w:vAlign w:val="center"/>
          </w:tcPr>
          <w:p w14:paraId="575C66D7" w14:textId="77777777" w:rsidR="007D706A" w:rsidRDefault="007D706A" w:rsidP="00F70508">
            <w:pPr>
              <w:pStyle w:val="ParagraphStyle12"/>
              <w:rPr>
                <w:rStyle w:val="CharacterStyle12"/>
              </w:rPr>
            </w:pPr>
            <w:r>
              <w:rPr>
                <w:rStyle w:val="CharacterStyle12"/>
              </w:rPr>
              <w:t>493.000,00</w:t>
            </w:r>
          </w:p>
        </w:tc>
        <w:tc>
          <w:tcPr>
            <w:tcW w:w="1395" w:type="dxa"/>
            <w:tcBorders>
              <w:bottom w:val="single" w:sz="6" w:space="0" w:color="000000"/>
              <w:right w:val="single" w:sz="6" w:space="0" w:color="000000"/>
            </w:tcBorders>
            <w:vAlign w:val="center"/>
          </w:tcPr>
          <w:p w14:paraId="0EE230E2" w14:textId="77777777" w:rsidR="007D706A" w:rsidRDefault="007D706A" w:rsidP="00F70508">
            <w:pPr>
              <w:pStyle w:val="ParagraphStyle12"/>
              <w:rPr>
                <w:rStyle w:val="CharacterStyle12"/>
              </w:rPr>
            </w:pPr>
            <w:r>
              <w:rPr>
                <w:rStyle w:val="CharacterStyle12"/>
              </w:rPr>
              <w:t>493.000,00</w:t>
            </w:r>
          </w:p>
        </w:tc>
      </w:tr>
      <w:tr w:rsidR="007D706A" w14:paraId="1475E10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0ACC72B" w14:textId="77777777" w:rsidR="007D706A" w:rsidRDefault="007D706A" w:rsidP="00F70508">
            <w:pPr>
              <w:pStyle w:val="ParagraphStyle10"/>
              <w:rPr>
                <w:rStyle w:val="CharacterStyle10"/>
              </w:rPr>
            </w:pPr>
            <w:r>
              <w:rPr>
                <w:rStyle w:val="CharacterStyle10"/>
              </w:rPr>
              <w:t>38</w:t>
            </w:r>
          </w:p>
        </w:tc>
        <w:tc>
          <w:tcPr>
            <w:tcW w:w="4995" w:type="dxa"/>
            <w:tcBorders>
              <w:bottom w:val="single" w:sz="6" w:space="0" w:color="000000"/>
              <w:right w:val="single" w:sz="6" w:space="0" w:color="000000"/>
            </w:tcBorders>
            <w:vAlign w:val="center"/>
          </w:tcPr>
          <w:p w14:paraId="5F61B926" w14:textId="77777777" w:rsidR="007D706A" w:rsidRDefault="007D706A" w:rsidP="00F70508">
            <w:pPr>
              <w:pStyle w:val="ParagraphStyle11"/>
              <w:rPr>
                <w:rStyle w:val="CharacterStyle11"/>
              </w:rPr>
            </w:pPr>
            <w:r>
              <w:rPr>
                <w:rStyle w:val="CharacterStyle11"/>
              </w:rPr>
              <w:t>Rashodi za donacije, kazne, naknade šteta i kapitalne pomoći</w:t>
            </w:r>
          </w:p>
        </w:tc>
        <w:tc>
          <w:tcPr>
            <w:tcW w:w="1395" w:type="dxa"/>
            <w:tcBorders>
              <w:bottom w:val="single" w:sz="6" w:space="0" w:color="000000"/>
              <w:right w:val="single" w:sz="6" w:space="0" w:color="000000"/>
            </w:tcBorders>
            <w:vAlign w:val="center"/>
          </w:tcPr>
          <w:p w14:paraId="4308E2A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6EC50E6" w14:textId="77777777" w:rsidR="007D706A" w:rsidRDefault="007D706A" w:rsidP="00F70508">
            <w:pPr>
              <w:pStyle w:val="ParagraphStyle12"/>
              <w:rPr>
                <w:rStyle w:val="CharacterStyle12"/>
              </w:rPr>
            </w:pPr>
            <w:r>
              <w:rPr>
                <w:rStyle w:val="CharacterStyle12"/>
              </w:rPr>
              <w:t>484.000,00</w:t>
            </w:r>
          </w:p>
        </w:tc>
        <w:tc>
          <w:tcPr>
            <w:tcW w:w="1395" w:type="dxa"/>
            <w:tcBorders>
              <w:bottom w:val="single" w:sz="6" w:space="0" w:color="000000"/>
              <w:right w:val="single" w:sz="6" w:space="0" w:color="000000"/>
            </w:tcBorders>
            <w:vAlign w:val="center"/>
          </w:tcPr>
          <w:p w14:paraId="72E869C8" w14:textId="77777777" w:rsidR="007D706A" w:rsidRDefault="007D706A" w:rsidP="00F70508">
            <w:pPr>
              <w:pStyle w:val="ParagraphStyle12"/>
              <w:rPr>
                <w:rStyle w:val="CharacterStyle12"/>
              </w:rPr>
            </w:pPr>
            <w:r>
              <w:rPr>
                <w:rStyle w:val="CharacterStyle12"/>
              </w:rPr>
              <w:t>493.000,00</w:t>
            </w:r>
          </w:p>
        </w:tc>
        <w:tc>
          <w:tcPr>
            <w:tcW w:w="1395" w:type="dxa"/>
            <w:tcBorders>
              <w:bottom w:val="single" w:sz="6" w:space="0" w:color="000000"/>
              <w:right w:val="single" w:sz="6" w:space="0" w:color="000000"/>
            </w:tcBorders>
            <w:vAlign w:val="center"/>
          </w:tcPr>
          <w:p w14:paraId="592F22E1" w14:textId="77777777" w:rsidR="007D706A" w:rsidRDefault="007D706A" w:rsidP="00F70508">
            <w:pPr>
              <w:pStyle w:val="ParagraphStyle12"/>
              <w:rPr>
                <w:rStyle w:val="CharacterStyle12"/>
              </w:rPr>
            </w:pPr>
            <w:r>
              <w:rPr>
                <w:rStyle w:val="CharacterStyle12"/>
              </w:rPr>
              <w:t>493.000,00</w:t>
            </w:r>
          </w:p>
        </w:tc>
        <w:tc>
          <w:tcPr>
            <w:tcW w:w="1395" w:type="dxa"/>
            <w:tcBorders>
              <w:bottom w:val="single" w:sz="6" w:space="0" w:color="000000"/>
              <w:right w:val="single" w:sz="6" w:space="0" w:color="000000"/>
            </w:tcBorders>
            <w:vAlign w:val="center"/>
          </w:tcPr>
          <w:p w14:paraId="0059EA15" w14:textId="77777777" w:rsidR="007D706A" w:rsidRDefault="007D706A" w:rsidP="00F70508">
            <w:pPr>
              <w:pStyle w:val="ParagraphStyle12"/>
              <w:rPr>
                <w:rStyle w:val="CharacterStyle12"/>
              </w:rPr>
            </w:pPr>
            <w:r>
              <w:rPr>
                <w:rStyle w:val="CharacterStyle12"/>
              </w:rPr>
              <w:t>493.000,00</w:t>
            </w:r>
          </w:p>
        </w:tc>
      </w:tr>
      <w:tr w:rsidR="007D706A" w14:paraId="2C2A3D4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9468245" w14:textId="77777777" w:rsidR="007D706A" w:rsidRDefault="007D706A" w:rsidP="00F70508">
            <w:pPr>
              <w:pStyle w:val="ParagraphStyle4"/>
              <w:rPr>
                <w:rStyle w:val="CharacterStyle4"/>
              </w:rPr>
            </w:pPr>
            <w:r>
              <w:rPr>
                <w:rStyle w:val="CharacterStyle4"/>
              </w:rPr>
              <w:t>Aktivnost A103007</w:t>
            </w:r>
          </w:p>
        </w:tc>
        <w:tc>
          <w:tcPr>
            <w:tcW w:w="4995" w:type="dxa"/>
            <w:tcBorders>
              <w:bottom w:val="single" w:sz="6" w:space="0" w:color="000000"/>
              <w:right w:val="single" w:sz="6" w:space="0" w:color="000000"/>
            </w:tcBorders>
            <w:vAlign w:val="center"/>
          </w:tcPr>
          <w:p w14:paraId="71003FCD" w14:textId="77777777" w:rsidR="007D706A" w:rsidRDefault="007D706A" w:rsidP="00F70508">
            <w:pPr>
              <w:pStyle w:val="ParagraphStyle5"/>
              <w:rPr>
                <w:rStyle w:val="CharacterStyle5"/>
              </w:rPr>
            </w:pPr>
            <w:r>
              <w:rPr>
                <w:rStyle w:val="CharacterStyle5"/>
              </w:rPr>
              <w:t>OSTALI PROJEKTI</w:t>
            </w:r>
          </w:p>
        </w:tc>
        <w:tc>
          <w:tcPr>
            <w:tcW w:w="1395" w:type="dxa"/>
            <w:tcBorders>
              <w:bottom w:val="single" w:sz="6" w:space="0" w:color="000000"/>
              <w:right w:val="single" w:sz="6" w:space="0" w:color="000000"/>
            </w:tcBorders>
            <w:vAlign w:val="center"/>
          </w:tcPr>
          <w:p w14:paraId="319C8A59"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5D745385" w14:textId="77777777" w:rsidR="007D706A" w:rsidRDefault="007D706A" w:rsidP="00F70508">
            <w:pPr>
              <w:pStyle w:val="ParagraphStyle6"/>
              <w:rPr>
                <w:rStyle w:val="CharacterStyle6"/>
              </w:rPr>
            </w:pPr>
            <w:r>
              <w:rPr>
                <w:rStyle w:val="CharacterStyle6"/>
              </w:rPr>
              <w:t>14.000,00</w:t>
            </w:r>
          </w:p>
        </w:tc>
        <w:tc>
          <w:tcPr>
            <w:tcW w:w="1395" w:type="dxa"/>
            <w:tcBorders>
              <w:bottom w:val="single" w:sz="6" w:space="0" w:color="000000"/>
              <w:right w:val="single" w:sz="6" w:space="0" w:color="000000"/>
            </w:tcBorders>
            <w:vAlign w:val="center"/>
          </w:tcPr>
          <w:p w14:paraId="52B4F154" w14:textId="77777777" w:rsidR="007D706A" w:rsidRDefault="007D706A" w:rsidP="00F70508">
            <w:pPr>
              <w:pStyle w:val="ParagraphStyle6"/>
              <w:rPr>
                <w:rStyle w:val="CharacterStyle6"/>
              </w:rPr>
            </w:pPr>
            <w:r>
              <w:rPr>
                <w:rStyle w:val="CharacterStyle6"/>
              </w:rPr>
              <w:t>14.000,00</w:t>
            </w:r>
          </w:p>
        </w:tc>
        <w:tc>
          <w:tcPr>
            <w:tcW w:w="1395" w:type="dxa"/>
            <w:tcBorders>
              <w:bottom w:val="single" w:sz="6" w:space="0" w:color="000000"/>
              <w:right w:val="single" w:sz="6" w:space="0" w:color="000000"/>
            </w:tcBorders>
            <w:vAlign w:val="center"/>
          </w:tcPr>
          <w:p w14:paraId="029AFF75" w14:textId="77777777" w:rsidR="007D706A" w:rsidRDefault="007D706A" w:rsidP="00F70508">
            <w:pPr>
              <w:pStyle w:val="ParagraphStyle6"/>
              <w:rPr>
                <w:rStyle w:val="CharacterStyle6"/>
              </w:rPr>
            </w:pPr>
            <w:r>
              <w:rPr>
                <w:rStyle w:val="CharacterStyle6"/>
              </w:rPr>
              <w:t>14.000,00</w:t>
            </w:r>
          </w:p>
        </w:tc>
        <w:tc>
          <w:tcPr>
            <w:tcW w:w="1395" w:type="dxa"/>
            <w:tcBorders>
              <w:bottom w:val="single" w:sz="6" w:space="0" w:color="000000"/>
              <w:right w:val="single" w:sz="6" w:space="0" w:color="000000"/>
            </w:tcBorders>
            <w:vAlign w:val="center"/>
          </w:tcPr>
          <w:p w14:paraId="0F46DA1D" w14:textId="77777777" w:rsidR="007D706A" w:rsidRDefault="007D706A" w:rsidP="00F70508">
            <w:pPr>
              <w:pStyle w:val="ParagraphStyle6"/>
              <w:rPr>
                <w:rStyle w:val="CharacterStyle6"/>
              </w:rPr>
            </w:pPr>
            <w:r>
              <w:rPr>
                <w:rStyle w:val="CharacterStyle6"/>
              </w:rPr>
              <w:t>14.000,00</w:t>
            </w:r>
          </w:p>
        </w:tc>
      </w:tr>
      <w:tr w:rsidR="007D706A" w14:paraId="65F1379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B7D230E"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3AB6C99F"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1161A438"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9E5A872" w14:textId="77777777" w:rsidR="007D706A" w:rsidRDefault="007D706A" w:rsidP="00F70508">
            <w:pPr>
              <w:pStyle w:val="ParagraphStyle9"/>
              <w:rPr>
                <w:rStyle w:val="CharacterStyle9"/>
              </w:rPr>
            </w:pPr>
            <w:r>
              <w:rPr>
                <w:rStyle w:val="CharacterStyle9"/>
              </w:rPr>
              <w:t>14.000,00</w:t>
            </w:r>
          </w:p>
        </w:tc>
        <w:tc>
          <w:tcPr>
            <w:tcW w:w="1395" w:type="dxa"/>
            <w:tcBorders>
              <w:bottom w:val="single" w:sz="6" w:space="0" w:color="000000"/>
              <w:right w:val="single" w:sz="6" w:space="0" w:color="000000"/>
            </w:tcBorders>
            <w:vAlign w:val="center"/>
          </w:tcPr>
          <w:p w14:paraId="2A7C0EC8" w14:textId="77777777" w:rsidR="007D706A" w:rsidRDefault="007D706A" w:rsidP="00F70508">
            <w:pPr>
              <w:pStyle w:val="ParagraphStyle9"/>
              <w:rPr>
                <w:rStyle w:val="CharacterStyle9"/>
              </w:rPr>
            </w:pPr>
            <w:r>
              <w:rPr>
                <w:rStyle w:val="CharacterStyle9"/>
              </w:rPr>
              <w:t>14.000,00</w:t>
            </w:r>
          </w:p>
        </w:tc>
        <w:tc>
          <w:tcPr>
            <w:tcW w:w="1395" w:type="dxa"/>
            <w:tcBorders>
              <w:bottom w:val="single" w:sz="6" w:space="0" w:color="000000"/>
              <w:right w:val="single" w:sz="6" w:space="0" w:color="000000"/>
            </w:tcBorders>
            <w:vAlign w:val="center"/>
          </w:tcPr>
          <w:p w14:paraId="744FE1AD" w14:textId="77777777" w:rsidR="007D706A" w:rsidRDefault="007D706A" w:rsidP="00F70508">
            <w:pPr>
              <w:pStyle w:val="ParagraphStyle9"/>
              <w:rPr>
                <w:rStyle w:val="CharacterStyle9"/>
              </w:rPr>
            </w:pPr>
            <w:r>
              <w:rPr>
                <w:rStyle w:val="CharacterStyle9"/>
              </w:rPr>
              <w:t>14.000,00</w:t>
            </w:r>
          </w:p>
        </w:tc>
        <w:tc>
          <w:tcPr>
            <w:tcW w:w="1395" w:type="dxa"/>
            <w:tcBorders>
              <w:bottom w:val="single" w:sz="6" w:space="0" w:color="000000"/>
              <w:right w:val="single" w:sz="6" w:space="0" w:color="000000"/>
            </w:tcBorders>
            <w:vAlign w:val="center"/>
          </w:tcPr>
          <w:p w14:paraId="37918D94" w14:textId="77777777" w:rsidR="007D706A" w:rsidRDefault="007D706A" w:rsidP="00F70508">
            <w:pPr>
              <w:pStyle w:val="ParagraphStyle9"/>
              <w:rPr>
                <w:rStyle w:val="CharacterStyle9"/>
              </w:rPr>
            </w:pPr>
            <w:r>
              <w:rPr>
                <w:rStyle w:val="CharacterStyle9"/>
              </w:rPr>
              <w:t>14.000,00</w:t>
            </w:r>
          </w:p>
        </w:tc>
      </w:tr>
      <w:tr w:rsidR="007D706A" w14:paraId="3104B91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1EF5B7F"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069612B3"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4657FE5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8C655D5" w14:textId="77777777" w:rsidR="007D706A" w:rsidRDefault="007D706A" w:rsidP="00F70508">
            <w:pPr>
              <w:pStyle w:val="ParagraphStyle12"/>
              <w:rPr>
                <w:rStyle w:val="CharacterStyle12"/>
              </w:rPr>
            </w:pPr>
            <w:r>
              <w:rPr>
                <w:rStyle w:val="CharacterStyle12"/>
              </w:rPr>
              <w:t>14.000,00</w:t>
            </w:r>
          </w:p>
        </w:tc>
        <w:tc>
          <w:tcPr>
            <w:tcW w:w="1395" w:type="dxa"/>
            <w:tcBorders>
              <w:bottom w:val="single" w:sz="6" w:space="0" w:color="000000"/>
              <w:right w:val="single" w:sz="6" w:space="0" w:color="000000"/>
            </w:tcBorders>
            <w:vAlign w:val="center"/>
          </w:tcPr>
          <w:p w14:paraId="2BD7A59F" w14:textId="77777777" w:rsidR="007D706A" w:rsidRDefault="007D706A" w:rsidP="00F70508">
            <w:pPr>
              <w:pStyle w:val="ParagraphStyle12"/>
              <w:rPr>
                <w:rStyle w:val="CharacterStyle12"/>
              </w:rPr>
            </w:pPr>
            <w:r>
              <w:rPr>
                <w:rStyle w:val="CharacterStyle12"/>
              </w:rPr>
              <w:t>14.000,00</w:t>
            </w:r>
          </w:p>
        </w:tc>
        <w:tc>
          <w:tcPr>
            <w:tcW w:w="1395" w:type="dxa"/>
            <w:tcBorders>
              <w:bottom w:val="single" w:sz="6" w:space="0" w:color="000000"/>
              <w:right w:val="single" w:sz="6" w:space="0" w:color="000000"/>
            </w:tcBorders>
            <w:vAlign w:val="center"/>
          </w:tcPr>
          <w:p w14:paraId="0AF9850E" w14:textId="77777777" w:rsidR="007D706A" w:rsidRDefault="007D706A" w:rsidP="00F70508">
            <w:pPr>
              <w:pStyle w:val="ParagraphStyle12"/>
              <w:rPr>
                <w:rStyle w:val="CharacterStyle12"/>
              </w:rPr>
            </w:pPr>
            <w:r>
              <w:rPr>
                <w:rStyle w:val="CharacterStyle12"/>
              </w:rPr>
              <w:t>14.000,00</w:t>
            </w:r>
          </w:p>
        </w:tc>
        <w:tc>
          <w:tcPr>
            <w:tcW w:w="1395" w:type="dxa"/>
            <w:tcBorders>
              <w:bottom w:val="single" w:sz="6" w:space="0" w:color="000000"/>
              <w:right w:val="single" w:sz="6" w:space="0" w:color="000000"/>
            </w:tcBorders>
            <w:vAlign w:val="center"/>
          </w:tcPr>
          <w:p w14:paraId="217217B8" w14:textId="77777777" w:rsidR="007D706A" w:rsidRDefault="007D706A" w:rsidP="00F70508">
            <w:pPr>
              <w:pStyle w:val="ParagraphStyle12"/>
              <w:rPr>
                <w:rStyle w:val="CharacterStyle12"/>
              </w:rPr>
            </w:pPr>
            <w:r>
              <w:rPr>
                <w:rStyle w:val="CharacterStyle12"/>
              </w:rPr>
              <w:t>14.000,00</w:t>
            </w:r>
          </w:p>
        </w:tc>
      </w:tr>
      <w:tr w:rsidR="007D706A" w14:paraId="589BF6E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D3CCF78" w14:textId="77777777" w:rsidR="007D706A" w:rsidRDefault="007D706A" w:rsidP="00F70508">
            <w:pPr>
              <w:pStyle w:val="ParagraphStyle10"/>
              <w:rPr>
                <w:rStyle w:val="CharacterStyle10"/>
              </w:rPr>
            </w:pPr>
            <w:r>
              <w:rPr>
                <w:rStyle w:val="CharacterStyle10"/>
              </w:rPr>
              <w:t>38</w:t>
            </w:r>
          </w:p>
        </w:tc>
        <w:tc>
          <w:tcPr>
            <w:tcW w:w="4995" w:type="dxa"/>
            <w:tcBorders>
              <w:bottom w:val="single" w:sz="6" w:space="0" w:color="000000"/>
              <w:right w:val="single" w:sz="6" w:space="0" w:color="000000"/>
            </w:tcBorders>
            <w:vAlign w:val="center"/>
          </w:tcPr>
          <w:p w14:paraId="40EFDF99" w14:textId="77777777" w:rsidR="007D706A" w:rsidRDefault="007D706A" w:rsidP="00F70508">
            <w:pPr>
              <w:pStyle w:val="ParagraphStyle11"/>
              <w:rPr>
                <w:rStyle w:val="CharacterStyle11"/>
              </w:rPr>
            </w:pPr>
            <w:r>
              <w:rPr>
                <w:rStyle w:val="CharacterStyle11"/>
              </w:rPr>
              <w:t>Rashodi za donacije, kazne, naknade šteta i kapitalne pomoći</w:t>
            </w:r>
          </w:p>
        </w:tc>
        <w:tc>
          <w:tcPr>
            <w:tcW w:w="1395" w:type="dxa"/>
            <w:tcBorders>
              <w:bottom w:val="single" w:sz="6" w:space="0" w:color="000000"/>
              <w:right w:val="single" w:sz="6" w:space="0" w:color="000000"/>
            </w:tcBorders>
            <w:vAlign w:val="center"/>
          </w:tcPr>
          <w:p w14:paraId="4D61C27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A6EB09E" w14:textId="77777777" w:rsidR="007D706A" w:rsidRDefault="007D706A" w:rsidP="00F70508">
            <w:pPr>
              <w:pStyle w:val="ParagraphStyle12"/>
              <w:rPr>
                <w:rStyle w:val="CharacterStyle12"/>
              </w:rPr>
            </w:pPr>
            <w:r>
              <w:rPr>
                <w:rStyle w:val="CharacterStyle12"/>
              </w:rPr>
              <w:t>14.000,00</w:t>
            </w:r>
          </w:p>
        </w:tc>
        <w:tc>
          <w:tcPr>
            <w:tcW w:w="1395" w:type="dxa"/>
            <w:tcBorders>
              <w:bottom w:val="single" w:sz="6" w:space="0" w:color="000000"/>
              <w:right w:val="single" w:sz="6" w:space="0" w:color="000000"/>
            </w:tcBorders>
            <w:vAlign w:val="center"/>
          </w:tcPr>
          <w:p w14:paraId="437A5F43" w14:textId="77777777" w:rsidR="007D706A" w:rsidRDefault="007D706A" w:rsidP="00F70508">
            <w:pPr>
              <w:pStyle w:val="ParagraphStyle12"/>
              <w:rPr>
                <w:rStyle w:val="CharacterStyle12"/>
              </w:rPr>
            </w:pPr>
            <w:r>
              <w:rPr>
                <w:rStyle w:val="CharacterStyle12"/>
              </w:rPr>
              <w:t>14.000,00</w:t>
            </w:r>
          </w:p>
        </w:tc>
        <w:tc>
          <w:tcPr>
            <w:tcW w:w="1395" w:type="dxa"/>
            <w:tcBorders>
              <w:bottom w:val="single" w:sz="6" w:space="0" w:color="000000"/>
              <w:right w:val="single" w:sz="6" w:space="0" w:color="000000"/>
            </w:tcBorders>
            <w:vAlign w:val="center"/>
          </w:tcPr>
          <w:p w14:paraId="48A55A37" w14:textId="77777777" w:rsidR="007D706A" w:rsidRDefault="007D706A" w:rsidP="00F70508">
            <w:pPr>
              <w:pStyle w:val="ParagraphStyle12"/>
              <w:rPr>
                <w:rStyle w:val="CharacterStyle12"/>
              </w:rPr>
            </w:pPr>
            <w:r>
              <w:rPr>
                <w:rStyle w:val="CharacterStyle12"/>
              </w:rPr>
              <w:t>14.000,00</w:t>
            </w:r>
          </w:p>
        </w:tc>
        <w:tc>
          <w:tcPr>
            <w:tcW w:w="1395" w:type="dxa"/>
            <w:tcBorders>
              <w:bottom w:val="single" w:sz="6" w:space="0" w:color="000000"/>
              <w:right w:val="single" w:sz="6" w:space="0" w:color="000000"/>
            </w:tcBorders>
            <w:vAlign w:val="center"/>
          </w:tcPr>
          <w:p w14:paraId="0A82D7C2" w14:textId="77777777" w:rsidR="007D706A" w:rsidRDefault="007D706A" w:rsidP="00F70508">
            <w:pPr>
              <w:pStyle w:val="ParagraphStyle12"/>
              <w:rPr>
                <w:rStyle w:val="CharacterStyle12"/>
              </w:rPr>
            </w:pPr>
            <w:r>
              <w:rPr>
                <w:rStyle w:val="CharacterStyle12"/>
              </w:rPr>
              <w:t>14.000,00</w:t>
            </w:r>
          </w:p>
        </w:tc>
      </w:tr>
      <w:tr w:rsidR="007D706A" w14:paraId="68730699" w14:textId="77777777" w:rsidTr="00F70508">
        <w:trPr>
          <w:trHeight w:val="405"/>
        </w:trPr>
        <w:tc>
          <w:tcPr>
            <w:tcW w:w="2880" w:type="dxa"/>
            <w:tcBorders>
              <w:left w:val="single" w:sz="6" w:space="0" w:color="000000"/>
              <w:bottom w:val="single" w:sz="6" w:space="0" w:color="000000"/>
              <w:right w:val="single" w:sz="6" w:space="0" w:color="000000"/>
            </w:tcBorders>
            <w:vAlign w:val="center"/>
          </w:tcPr>
          <w:p w14:paraId="725BFC6B" w14:textId="77777777" w:rsidR="007D706A" w:rsidRDefault="007D706A" w:rsidP="00F70508">
            <w:pPr>
              <w:pStyle w:val="ParagraphStyle4"/>
              <w:rPr>
                <w:rStyle w:val="CharacterStyle4"/>
              </w:rPr>
            </w:pPr>
            <w:r>
              <w:rPr>
                <w:rStyle w:val="CharacterStyle4"/>
              </w:rPr>
              <w:t>Aktivnost A103008</w:t>
            </w:r>
          </w:p>
        </w:tc>
        <w:tc>
          <w:tcPr>
            <w:tcW w:w="4995" w:type="dxa"/>
            <w:tcBorders>
              <w:bottom w:val="single" w:sz="6" w:space="0" w:color="000000"/>
              <w:right w:val="single" w:sz="6" w:space="0" w:color="000000"/>
            </w:tcBorders>
            <w:vAlign w:val="center"/>
          </w:tcPr>
          <w:p w14:paraId="4DEF826A" w14:textId="77777777" w:rsidR="007D706A" w:rsidRDefault="007D706A" w:rsidP="00F70508">
            <w:pPr>
              <w:pStyle w:val="ParagraphStyle5"/>
              <w:rPr>
                <w:rStyle w:val="CharacterStyle5"/>
              </w:rPr>
            </w:pPr>
            <w:r>
              <w:rPr>
                <w:rStyle w:val="CharacterStyle5"/>
              </w:rPr>
              <w:t>DODATNO POTICANJE SPORTSKIH DJELAT. NOSITELJA KVALITETA</w:t>
            </w:r>
          </w:p>
        </w:tc>
        <w:tc>
          <w:tcPr>
            <w:tcW w:w="1395" w:type="dxa"/>
            <w:tcBorders>
              <w:bottom w:val="single" w:sz="6" w:space="0" w:color="000000"/>
              <w:right w:val="single" w:sz="6" w:space="0" w:color="000000"/>
            </w:tcBorders>
            <w:vAlign w:val="center"/>
          </w:tcPr>
          <w:p w14:paraId="786B0BEC"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3DB560C2" w14:textId="77777777" w:rsidR="007D706A" w:rsidRDefault="007D706A" w:rsidP="00F70508">
            <w:pPr>
              <w:pStyle w:val="ParagraphStyle6"/>
              <w:rPr>
                <w:rStyle w:val="CharacterStyle6"/>
              </w:rPr>
            </w:pPr>
            <w:r>
              <w:rPr>
                <w:rStyle w:val="CharacterStyle6"/>
              </w:rPr>
              <w:t>44.000,00</w:t>
            </w:r>
          </w:p>
        </w:tc>
        <w:tc>
          <w:tcPr>
            <w:tcW w:w="1395" w:type="dxa"/>
            <w:tcBorders>
              <w:bottom w:val="single" w:sz="6" w:space="0" w:color="000000"/>
              <w:right w:val="single" w:sz="6" w:space="0" w:color="000000"/>
            </w:tcBorders>
            <w:vAlign w:val="center"/>
          </w:tcPr>
          <w:p w14:paraId="724DCE69" w14:textId="77777777" w:rsidR="007D706A" w:rsidRDefault="007D706A" w:rsidP="00F70508">
            <w:pPr>
              <w:pStyle w:val="ParagraphStyle6"/>
              <w:rPr>
                <w:rStyle w:val="CharacterStyle6"/>
              </w:rPr>
            </w:pPr>
            <w:r>
              <w:rPr>
                <w:rStyle w:val="CharacterStyle6"/>
              </w:rPr>
              <w:t>44.000,00</w:t>
            </w:r>
          </w:p>
        </w:tc>
        <w:tc>
          <w:tcPr>
            <w:tcW w:w="1395" w:type="dxa"/>
            <w:tcBorders>
              <w:bottom w:val="single" w:sz="6" w:space="0" w:color="000000"/>
              <w:right w:val="single" w:sz="6" w:space="0" w:color="000000"/>
            </w:tcBorders>
            <w:vAlign w:val="center"/>
          </w:tcPr>
          <w:p w14:paraId="2DF48D7A" w14:textId="77777777" w:rsidR="007D706A" w:rsidRDefault="007D706A" w:rsidP="00F70508">
            <w:pPr>
              <w:pStyle w:val="ParagraphStyle6"/>
              <w:rPr>
                <w:rStyle w:val="CharacterStyle6"/>
              </w:rPr>
            </w:pPr>
            <w:r>
              <w:rPr>
                <w:rStyle w:val="CharacterStyle6"/>
              </w:rPr>
              <w:t>44.000,00</w:t>
            </w:r>
          </w:p>
        </w:tc>
        <w:tc>
          <w:tcPr>
            <w:tcW w:w="1395" w:type="dxa"/>
            <w:tcBorders>
              <w:bottom w:val="single" w:sz="6" w:space="0" w:color="000000"/>
              <w:right w:val="single" w:sz="6" w:space="0" w:color="000000"/>
            </w:tcBorders>
            <w:vAlign w:val="center"/>
          </w:tcPr>
          <w:p w14:paraId="19E45A90" w14:textId="77777777" w:rsidR="007D706A" w:rsidRDefault="007D706A" w:rsidP="00F70508">
            <w:pPr>
              <w:pStyle w:val="ParagraphStyle6"/>
              <w:rPr>
                <w:rStyle w:val="CharacterStyle6"/>
              </w:rPr>
            </w:pPr>
            <w:r>
              <w:rPr>
                <w:rStyle w:val="CharacterStyle6"/>
              </w:rPr>
              <w:t>44.000,00</w:t>
            </w:r>
          </w:p>
        </w:tc>
      </w:tr>
      <w:tr w:rsidR="007D706A" w14:paraId="3463CBE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FD115F1"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334389C8"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41097F38"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4625EB6" w14:textId="77777777" w:rsidR="007D706A" w:rsidRDefault="007D706A" w:rsidP="00F70508">
            <w:pPr>
              <w:pStyle w:val="ParagraphStyle9"/>
              <w:rPr>
                <w:rStyle w:val="CharacterStyle9"/>
              </w:rPr>
            </w:pPr>
            <w:r>
              <w:rPr>
                <w:rStyle w:val="CharacterStyle9"/>
              </w:rPr>
              <w:t>44.000,00</w:t>
            </w:r>
          </w:p>
        </w:tc>
        <w:tc>
          <w:tcPr>
            <w:tcW w:w="1395" w:type="dxa"/>
            <w:tcBorders>
              <w:bottom w:val="single" w:sz="6" w:space="0" w:color="000000"/>
              <w:right w:val="single" w:sz="6" w:space="0" w:color="000000"/>
            </w:tcBorders>
            <w:vAlign w:val="center"/>
          </w:tcPr>
          <w:p w14:paraId="6CD83E03" w14:textId="77777777" w:rsidR="007D706A" w:rsidRDefault="007D706A" w:rsidP="00F70508">
            <w:pPr>
              <w:pStyle w:val="ParagraphStyle9"/>
              <w:rPr>
                <w:rStyle w:val="CharacterStyle9"/>
              </w:rPr>
            </w:pPr>
            <w:r>
              <w:rPr>
                <w:rStyle w:val="CharacterStyle9"/>
              </w:rPr>
              <w:t>44.000,00</w:t>
            </w:r>
          </w:p>
        </w:tc>
        <w:tc>
          <w:tcPr>
            <w:tcW w:w="1395" w:type="dxa"/>
            <w:tcBorders>
              <w:bottom w:val="single" w:sz="6" w:space="0" w:color="000000"/>
              <w:right w:val="single" w:sz="6" w:space="0" w:color="000000"/>
            </w:tcBorders>
            <w:vAlign w:val="center"/>
          </w:tcPr>
          <w:p w14:paraId="3ECFE762" w14:textId="77777777" w:rsidR="007D706A" w:rsidRDefault="007D706A" w:rsidP="00F70508">
            <w:pPr>
              <w:pStyle w:val="ParagraphStyle9"/>
              <w:rPr>
                <w:rStyle w:val="CharacterStyle9"/>
              </w:rPr>
            </w:pPr>
            <w:r>
              <w:rPr>
                <w:rStyle w:val="CharacterStyle9"/>
              </w:rPr>
              <w:t>44.000,00</w:t>
            </w:r>
          </w:p>
        </w:tc>
        <w:tc>
          <w:tcPr>
            <w:tcW w:w="1395" w:type="dxa"/>
            <w:tcBorders>
              <w:bottom w:val="single" w:sz="6" w:space="0" w:color="000000"/>
              <w:right w:val="single" w:sz="6" w:space="0" w:color="000000"/>
            </w:tcBorders>
            <w:vAlign w:val="center"/>
          </w:tcPr>
          <w:p w14:paraId="48EC82D4" w14:textId="77777777" w:rsidR="007D706A" w:rsidRDefault="007D706A" w:rsidP="00F70508">
            <w:pPr>
              <w:pStyle w:val="ParagraphStyle9"/>
              <w:rPr>
                <w:rStyle w:val="CharacterStyle9"/>
              </w:rPr>
            </w:pPr>
            <w:r>
              <w:rPr>
                <w:rStyle w:val="CharacterStyle9"/>
              </w:rPr>
              <w:t>44.000,00</w:t>
            </w:r>
          </w:p>
        </w:tc>
      </w:tr>
      <w:tr w:rsidR="007D706A" w14:paraId="122AA32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391D19A"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3C22F0BD"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237A5CC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846EBA8" w14:textId="77777777" w:rsidR="007D706A" w:rsidRDefault="007D706A" w:rsidP="00F70508">
            <w:pPr>
              <w:pStyle w:val="ParagraphStyle12"/>
              <w:rPr>
                <w:rStyle w:val="CharacterStyle12"/>
              </w:rPr>
            </w:pPr>
            <w:r>
              <w:rPr>
                <w:rStyle w:val="CharacterStyle12"/>
              </w:rPr>
              <w:t>44.000,00</w:t>
            </w:r>
          </w:p>
        </w:tc>
        <w:tc>
          <w:tcPr>
            <w:tcW w:w="1395" w:type="dxa"/>
            <w:tcBorders>
              <w:bottom w:val="single" w:sz="6" w:space="0" w:color="000000"/>
              <w:right w:val="single" w:sz="6" w:space="0" w:color="000000"/>
            </w:tcBorders>
            <w:vAlign w:val="center"/>
          </w:tcPr>
          <w:p w14:paraId="43CB54F0" w14:textId="77777777" w:rsidR="007D706A" w:rsidRDefault="007D706A" w:rsidP="00F70508">
            <w:pPr>
              <w:pStyle w:val="ParagraphStyle12"/>
              <w:rPr>
                <w:rStyle w:val="CharacterStyle12"/>
              </w:rPr>
            </w:pPr>
            <w:r>
              <w:rPr>
                <w:rStyle w:val="CharacterStyle12"/>
              </w:rPr>
              <w:t>44.000,00</w:t>
            </w:r>
          </w:p>
        </w:tc>
        <w:tc>
          <w:tcPr>
            <w:tcW w:w="1395" w:type="dxa"/>
            <w:tcBorders>
              <w:bottom w:val="single" w:sz="6" w:space="0" w:color="000000"/>
              <w:right w:val="single" w:sz="6" w:space="0" w:color="000000"/>
            </w:tcBorders>
            <w:vAlign w:val="center"/>
          </w:tcPr>
          <w:p w14:paraId="6A864AE9" w14:textId="77777777" w:rsidR="007D706A" w:rsidRDefault="007D706A" w:rsidP="00F70508">
            <w:pPr>
              <w:pStyle w:val="ParagraphStyle12"/>
              <w:rPr>
                <w:rStyle w:val="CharacterStyle12"/>
              </w:rPr>
            </w:pPr>
            <w:r>
              <w:rPr>
                <w:rStyle w:val="CharacterStyle12"/>
              </w:rPr>
              <w:t>44.000,00</w:t>
            </w:r>
          </w:p>
        </w:tc>
        <w:tc>
          <w:tcPr>
            <w:tcW w:w="1395" w:type="dxa"/>
            <w:tcBorders>
              <w:bottom w:val="single" w:sz="6" w:space="0" w:color="000000"/>
              <w:right w:val="single" w:sz="6" w:space="0" w:color="000000"/>
            </w:tcBorders>
            <w:vAlign w:val="center"/>
          </w:tcPr>
          <w:p w14:paraId="3CF4B0AD" w14:textId="77777777" w:rsidR="007D706A" w:rsidRDefault="007D706A" w:rsidP="00F70508">
            <w:pPr>
              <w:pStyle w:val="ParagraphStyle12"/>
              <w:rPr>
                <w:rStyle w:val="CharacterStyle12"/>
              </w:rPr>
            </w:pPr>
            <w:r>
              <w:rPr>
                <w:rStyle w:val="CharacterStyle12"/>
              </w:rPr>
              <w:t>44.000,00</w:t>
            </w:r>
          </w:p>
        </w:tc>
      </w:tr>
      <w:tr w:rsidR="007D706A" w14:paraId="6826B73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8C1115E" w14:textId="77777777" w:rsidR="007D706A" w:rsidRDefault="007D706A" w:rsidP="00F70508">
            <w:pPr>
              <w:pStyle w:val="ParagraphStyle10"/>
              <w:rPr>
                <w:rStyle w:val="CharacterStyle10"/>
              </w:rPr>
            </w:pPr>
            <w:r>
              <w:rPr>
                <w:rStyle w:val="CharacterStyle10"/>
              </w:rPr>
              <w:t>38</w:t>
            </w:r>
          </w:p>
        </w:tc>
        <w:tc>
          <w:tcPr>
            <w:tcW w:w="4995" w:type="dxa"/>
            <w:tcBorders>
              <w:bottom w:val="single" w:sz="6" w:space="0" w:color="000000"/>
              <w:right w:val="single" w:sz="6" w:space="0" w:color="000000"/>
            </w:tcBorders>
            <w:vAlign w:val="center"/>
          </w:tcPr>
          <w:p w14:paraId="71C3F798" w14:textId="77777777" w:rsidR="007D706A" w:rsidRDefault="007D706A" w:rsidP="00F70508">
            <w:pPr>
              <w:pStyle w:val="ParagraphStyle11"/>
              <w:rPr>
                <w:rStyle w:val="CharacterStyle11"/>
              </w:rPr>
            </w:pPr>
            <w:r>
              <w:rPr>
                <w:rStyle w:val="CharacterStyle11"/>
              </w:rPr>
              <w:t>Rashodi za donacije, kazne, naknade šteta i kapitalne pomoći</w:t>
            </w:r>
          </w:p>
        </w:tc>
        <w:tc>
          <w:tcPr>
            <w:tcW w:w="1395" w:type="dxa"/>
            <w:tcBorders>
              <w:bottom w:val="single" w:sz="6" w:space="0" w:color="000000"/>
              <w:right w:val="single" w:sz="6" w:space="0" w:color="000000"/>
            </w:tcBorders>
            <w:vAlign w:val="center"/>
          </w:tcPr>
          <w:p w14:paraId="05FE881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0B8B128" w14:textId="77777777" w:rsidR="007D706A" w:rsidRDefault="007D706A" w:rsidP="00F70508">
            <w:pPr>
              <w:pStyle w:val="ParagraphStyle12"/>
              <w:rPr>
                <w:rStyle w:val="CharacterStyle12"/>
              </w:rPr>
            </w:pPr>
            <w:r>
              <w:rPr>
                <w:rStyle w:val="CharacterStyle12"/>
              </w:rPr>
              <w:t>44.000,00</w:t>
            </w:r>
          </w:p>
        </w:tc>
        <w:tc>
          <w:tcPr>
            <w:tcW w:w="1395" w:type="dxa"/>
            <w:tcBorders>
              <w:bottom w:val="single" w:sz="6" w:space="0" w:color="000000"/>
              <w:right w:val="single" w:sz="6" w:space="0" w:color="000000"/>
            </w:tcBorders>
            <w:vAlign w:val="center"/>
          </w:tcPr>
          <w:p w14:paraId="1870FF3C" w14:textId="77777777" w:rsidR="007D706A" w:rsidRDefault="007D706A" w:rsidP="00F70508">
            <w:pPr>
              <w:pStyle w:val="ParagraphStyle12"/>
              <w:rPr>
                <w:rStyle w:val="CharacterStyle12"/>
              </w:rPr>
            </w:pPr>
            <w:r>
              <w:rPr>
                <w:rStyle w:val="CharacterStyle12"/>
              </w:rPr>
              <w:t>44.000,00</w:t>
            </w:r>
          </w:p>
        </w:tc>
        <w:tc>
          <w:tcPr>
            <w:tcW w:w="1395" w:type="dxa"/>
            <w:tcBorders>
              <w:bottom w:val="single" w:sz="6" w:space="0" w:color="000000"/>
              <w:right w:val="single" w:sz="6" w:space="0" w:color="000000"/>
            </w:tcBorders>
            <w:vAlign w:val="center"/>
          </w:tcPr>
          <w:p w14:paraId="41FC6103" w14:textId="77777777" w:rsidR="007D706A" w:rsidRDefault="007D706A" w:rsidP="00F70508">
            <w:pPr>
              <w:pStyle w:val="ParagraphStyle12"/>
              <w:rPr>
                <w:rStyle w:val="CharacterStyle12"/>
              </w:rPr>
            </w:pPr>
            <w:r>
              <w:rPr>
                <w:rStyle w:val="CharacterStyle12"/>
              </w:rPr>
              <w:t>44.000,00</w:t>
            </w:r>
          </w:p>
        </w:tc>
        <w:tc>
          <w:tcPr>
            <w:tcW w:w="1395" w:type="dxa"/>
            <w:tcBorders>
              <w:bottom w:val="single" w:sz="6" w:space="0" w:color="000000"/>
              <w:right w:val="single" w:sz="6" w:space="0" w:color="000000"/>
            </w:tcBorders>
            <w:vAlign w:val="center"/>
          </w:tcPr>
          <w:p w14:paraId="0A227D1F" w14:textId="77777777" w:rsidR="007D706A" w:rsidRDefault="007D706A" w:rsidP="00F70508">
            <w:pPr>
              <w:pStyle w:val="ParagraphStyle12"/>
              <w:rPr>
                <w:rStyle w:val="CharacterStyle12"/>
              </w:rPr>
            </w:pPr>
            <w:r>
              <w:rPr>
                <w:rStyle w:val="CharacterStyle12"/>
              </w:rPr>
              <w:t>44.000,00</w:t>
            </w:r>
          </w:p>
        </w:tc>
      </w:tr>
      <w:tr w:rsidR="007D706A" w14:paraId="69563C5F" w14:textId="77777777" w:rsidTr="00F70508">
        <w:trPr>
          <w:trHeight w:val="420"/>
        </w:trPr>
        <w:tc>
          <w:tcPr>
            <w:tcW w:w="2880" w:type="dxa"/>
            <w:tcBorders>
              <w:left w:val="single" w:sz="6" w:space="0" w:color="000000"/>
              <w:bottom w:val="single" w:sz="6" w:space="0" w:color="000000"/>
              <w:right w:val="single" w:sz="6" w:space="0" w:color="000000"/>
            </w:tcBorders>
            <w:vAlign w:val="center"/>
          </w:tcPr>
          <w:p w14:paraId="3050D370" w14:textId="77777777" w:rsidR="007D706A" w:rsidRDefault="007D706A" w:rsidP="00F70508">
            <w:pPr>
              <w:pStyle w:val="ParagraphStyle4"/>
              <w:rPr>
                <w:rStyle w:val="CharacterStyle4"/>
              </w:rPr>
            </w:pPr>
            <w:r>
              <w:rPr>
                <w:rStyle w:val="CharacterStyle4"/>
              </w:rPr>
              <w:t>PROGRAM    1031</w:t>
            </w:r>
          </w:p>
        </w:tc>
        <w:tc>
          <w:tcPr>
            <w:tcW w:w="4995" w:type="dxa"/>
            <w:tcBorders>
              <w:bottom w:val="single" w:sz="6" w:space="0" w:color="000000"/>
              <w:right w:val="single" w:sz="6" w:space="0" w:color="000000"/>
            </w:tcBorders>
            <w:vAlign w:val="center"/>
          </w:tcPr>
          <w:p w14:paraId="27CC4A94" w14:textId="77777777" w:rsidR="007D706A" w:rsidRDefault="007D706A" w:rsidP="00F70508">
            <w:pPr>
              <w:pStyle w:val="ParagraphStyle5"/>
              <w:rPr>
                <w:rStyle w:val="CharacterStyle5"/>
              </w:rPr>
            </w:pPr>
            <w:r>
              <w:rPr>
                <w:rStyle w:val="CharacterStyle5"/>
              </w:rPr>
              <w:t>SUFINANCIRANJE TD VALBRUNA SPORT D.O.O. ROVINJ-ROVIGNO</w:t>
            </w:r>
          </w:p>
        </w:tc>
        <w:tc>
          <w:tcPr>
            <w:tcW w:w="1395" w:type="dxa"/>
            <w:tcBorders>
              <w:bottom w:val="single" w:sz="6" w:space="0" w:color="000000"/>
              <w:right w:val="single" w:sz="6" w:space="0" w:color="000000"/>
            </w:tcBorders>
            <w:vAlign w:val="center"/>
          </w:tcPr>
          <w:p w14:paraId="6355CFE7"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6E15BD56" w14:textId="77777777" w:rsidR="007D706A" w:rsidRDefault="007D706A" w:rsidP="00F70508">
            <w:pPr>
              <w:pStyle w:val="ParagraphStyle6"/>
              <w:rPr>
                <w:rStyle w:val="CharacterStyle6"/>
              </w:rPr>
            </w:pPr>
            <w:r>
              <w:rPr>
                <w:rStyle w:val="CharacterStyle6"/>
              </w:rPr>
              <w:t>934.000,00</w:t>
            </w:r>
          </w:p>
        </w:tc>
        <w:tc>
          <w:tcPr>
            <w:tcW w:w="1395" w:type="dxa"/>
            <w:tcBorders>
              <w:bottom w:val="single" w:sz="6" w:space="0" w:color="000000"/>
              <w:right w:val="single" w:sz="6" w:space="0" w:color="000000"/>
            </w:tcBorders>
            <w:vAlign w:val="center"/>
          </w:tcPr>
          <w:p w14:paraId="530D8613" w14:textId="77777777" w:rsidR="007D706A" w:rsidRDefault="007D706A" w:rsidP="00F70508">
            <w:pPr>
              <w:pStyle w:val="ParagraphStyle6"/>
              <w:rPr>
                <w:rStyle w:val="CharacterStyle6"/>
              </w:rPr>
            </w:pPr>
            <w:r>
              <w:rPr>
                <w:rStyle w:val="CharacterStyle6"/>
              </w:rPr>
              <w:t>941.750,00</w:t>
            </w:r>
          </w:p>
        </w:tc>
        <w:tc>
          <w:tcPr>
            <w:tcW w:w="1395" w:type="dxa"/>
            <w:tcBorders>
              <w:bottom w:val="single" w:sz="6" w:space="0" w:color="000000"/>
              <w:right w:val="single" w:sz="6" w:space="0" w:color="000000"/>
            </w:tcBorders>
            <w:vAlign w:val="center"/>
          </w:tcPr>
          <w:p w14:paraId="48DD6E3A" w14:textId="77777777" w:rsidR="007D706A" w:rsidRDefault="007D706A" w:rsidP="00F70508">
            <w:pPr>
              <w:pStyle w:val="ParagraphStyle6"/>
              <w:rPr>
                <w:rStyle w:val="CharacterStyle6"/>
              </w:rPr>
            </w:pPr>
            <w:r>
              <w:rPr>
                <w:rStyle w:val="CharacterStyle6"/>
              </w:rPr>
              <w:t>899.330,00</w:t>
            </w:r>
          </w:p>
        </w:tc>
        <w:tc>
          <w:tcPr>
            <w:tcW w:w="1395" w:type="dxa"/>
            <w:tcBorders>
              <w:bottom w:val="single" w:sz="6" w:space="0" w:color="000000"/>
              <w:right w:val="single" w:sz="6" w:space="0" w:color="000000"/>
            </w:tcBorders>
            <w:vAlign w:val="center"/>
          </w:tcPr>
          <w:p w14:paraId="71DA936A" w14:textId="77777777" w:rsidR="007D706A" w:rsidRDefault="007D706A" w:rsidP="00F70508">
            <w:pPr>
              <w:pStyle w:val="ParagraphStyle6"/>
              <w:rPr>
                <w:rStyle w:val="CharacterStyle6"/>
              </w:rPr>
            </w:pPr>
            <w:r>
              <w:rPr>
                <w:rStyle w:val="CharacterStyle6"/>
              </w:rPr>
              <w:t>924.090,00</w:t>
            </w:r>
          </w:p>
        </w:tc>
      </w:tr>
      <w:tr w:rsidR="007D706A" w14:paraId="003E94CD" w14:textId="77777777" w:rsidTr="00F70508">
        <w:trPr>
          <w:trHeight w:val="405"/>
        </w:trPr>
        <w:tc>
          <w:tcPr>
            <w:tcW w:w="2880" w:type="dxa"/>
            <w:tcBorders>
              <w:left w:val="single" w:sz="6" w:space="0" w:color="000000"/>
              <w:bottom w:val="single" w:sz="6" w:space="0" w:color="000000"/>
              <w:right w:val="single" w:sz="6" w:space="0" w:color="000000"/>
            </w:tcBorders>
            <w:vAlign w:val="center"/>
          </w:tcPr>
          <w:p w14:paraId="2C56F3E3" w14:textId="77777777" w:rsidR="007D706A" w:rsidRDefault="007D706A" w:rsidP="00F70508">
            <w:pPr>
              <w:pStyle w:val="ParagraphStyle4"/>
              <w:rPr>
                <w:rStyle w:val="CharacterStyle4"/>
              </w:rPr>
            </w:pPr>
            <w:r>
              <w:rPr>
                <w:rStyle w:val="CharacterStyle4"/>
              </w:rPr>
              <w:t>Aktivnost A103101</w:t>
            </w:r>
          </w:p>
        </w:tc>
        <w:tc>
          <w:tcPr>
            <w:tcW w:w="4995" w:type="dxa"/>
            <w:tcBorders>
              <w:bottom w:val="single" w:sz="6" w:space="0" w:color="000000"/>
              <w:right w:val="single" w:sz="6" w:space="0" w:color="000000"/>
            </w:tcBorders>
            <w:vAlign w:val="center"/>
          </w:tcPr>
          <w:p w14:paraId="1ED70A1B" w14:textId="77777777" w:rsidR="007D706A" w:rsidRDefault="007D706A" w:rsidP="00F70508">
            <w:pPr>
              <w:pStyle w:val="ParagraphStyle5"/>
              <w:rPr>
                <w:rStyle w:val="CharacterStyle5"/>
              </w:rPr>
            </w:pPr>
            <w:r>
              <w:rPr>
                <w:rStyle w:val="CharacterStyle5"/>
              </w:rPr>
              <w:t>REDOVNO POSLOVANJE TD VALBRUNA  SPORT D.O.O. ROVINJ-ROVIGNO</w:t>
            </w:r>
          </w:p>
        </w:tc>
        <w:tc>
          <w:tcPr>
            <w:tcW w:w="1395" w:type="dxa"/>
            <w:tcBorders>
              <w:bottom w:val="single" w:sz="6" w:space="0" w:color="000000"/>
              <w:right w:val="single" w:sz="6" w:space="0" w:color="000000"/>
            </w:tcBorders>
            <w:vAlign w:val="center"/>
          </w:tcPr>
          <w:p w14:paraId="3AAB81F4"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60A546CE" w14:textId="77777777" w:rsidR="007D706A" w:rsidRDefault="007D706A" w:rsidP="00F70508">
            <w:pPr>
              <w:pStyle w:val="ParagraphStyle6"/>
              <w:rPr>
                <w:rStyle w:val="CharacterStyle6"/>
              </w:rPr>
            </w:pPr>
            <w:r>
              <w:rPr>
                <w:rStyle w:val="CharacterStyle6"/>
              </w:rPr>
              <w:t>237.000,00</w:t>
            </w:r>
          </w:p>
        </w:tc>
        <w:tc>
          <w:tcPr>
            <w:tcW w:w="1395" w:type="dxa"/>
            <w:tcBorders>
              <w:bottom w:val="single" w:sz="6" w:space="0" w:color="000000"/>
              <w:right w:val="single" w:sz="6" w:space="0" w:color="000000"/>
            </w:tcBorders>
            <w:vAlign w:val="center"/>
          </w:tcPr>
          <w:p w14:paraId="3F9A2C85" w14:textId="77777777" w:rsidR="007D706A" w:rsidRDefault="007D706A" w:rsidP="00F70508">
            <w:pPr>
              <w:pStyle w:val="ParagraphStyle6"/>
              <w:rPr>
                <w:rStyle w:val="CharacterStyle6"/>
              </w:rPr>
            </w:pPr>
            <w:r>
              <w:rPr>
                <w:rStyle w:val="CharacterStyle6"/>
              </w:rPr>
              <w:t>245.000,00</w:t>
            </w:r>
          </w:p>
        </w:tc>
        <w:tc>
          <w:tcPr>
            <w:tcW w:w="1395" w:type="dxa"/>
            <w:tcBorders>
              <w:bottom w:val="single" w:sz="6" w:space="0" w:color="000000"/>
              <w:right w:val="single" w:sz="6" w:space="0" w:color="000000"/>
            </w:tcBorders>
            <w:vAlign w:val="center"/>
          </w:tcPr>
          <w:p w14:paraId="18AAC26F" w14:textId="77777777" w:rsidR="007D706A" w:rsidRDefault="007D706A" w:rsidP="00F70508">
            <w:pPr>
              <w:pStyle w:val="ParagraphStyle6"/>
              <w:rPr>
                <w:rStyle w:val="CharacterStyle6"/>
              </w:rPr>
            </w:pPr>
            <w:r>
              <w:rPr>
                <w:rStyle w:val="CharacterStyle6"/>
              </w:rPr>
              <w:t>273.000,00</w:t>
            </w:r>
          </w:p>
        </w:tc>
        <w:tc>
          <w:tcPr>
            <w:tcW w:w="1395" w:type="dxa"/>
            <w:tcBorders>
              <w:bottom w:val="single" w:sz="6" w:space="0" w:color="000000"/>
              <w:right w:val="single" w:sz="6" w:space="0" w:color="000000"/>
            </w:tcBorders>
            <w:vAlign w:val="center"/>
          </w:tcPr>
          <w:p w14:paraId="69F1E72D" w14:textId="77777777" w:rsidR="007D706A" w:rsidRDefault="007D706A" w:rsidP="00F70508">
            <w:pPr>
              <w:pStyle w:val="ParagraphStyle6"/>
              <w:rPr>
                <w:rStyle w:val="CharacterStyle6"/>
              </w:rPr>
            </w:pPr>
            <w:r>
              <w:rPr>
                <w:rStyle w:val="CharacterStyle6"/>
              </w:rPr>
              <w:t>280.000,00</w:t>
            </w:r>
          </w:p>
        </w:tc>
      </w:tr>
      <w:tr w:rsidR="007D706A" w14:paraId="69B4E62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BDF1BB7"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393731DF"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1580F994"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FF353C6" w14:textId="77777777" w:rsidR="007D706A" w:rsidRDefault="007D706A" w:rsidP="00F70508">
            <w:pPr>
              <w:pStyle w:val="ParagraphStyle9"/>
              <w:rPr>
                <w:rStyle w:val="CharacterStyle9"/>
              </w:rPr>
            </w:pPr>
            <w:r>
              <w:rPr>
                <w:rStyle w:val="CharacterStyle9"/>
              </w:rPr>
              <w:t>237.000,00</w:t>
            </w:r>
          </w:p>
        </w:tc>
        <w:tc>
          <w:tcPr>
            <w:tcW w:w="1395" w:type="dxa"/>
            <w:tcBorders>
              <w:bottom w:val="single" w:sz="6" w:space="0" w:color="000000"/>
              <w:right w:val="single" w:sz="6" w:space="0" w:color="000000"/>
            </w:tcBorders>
            <w:vAlign w:val="center"/>
          </w:tcPr>
          <w:p w14:paraId="04E17E78" w14:textId="77777777" w:rsidR="007D706A" w:rsidRDefault="007D706A" w:rsidP="00F70508">
            <w:pPr>
              <w:pStyle w:val="ParagraphStyle9"/>
              <w:rPr>
                <w:rStyle w:val="CharacterStyle9"/>
              </w:rPr>
            </w:pPr>
            <w:r>
              <w:rPr>
                <w:rStyle w:val="CharacterStyle9"/>
              </w:rPr>
              <w:t>245.000,00</w:t>
            </w:r>
          </w:p>
        </w:tc>
        <w:tc>
          <w:tcPr>
            <w:tcW w:w="1395" w:type="dxa"/>
            <w:tcBorders>
              <w:bottom w:val="single" w:sz="6" w:space="0" w:color="000000"/>
              <w:right w:val="single" w:sz="6" w:space="0" w:color="000000"/>
            </w:tcBorders>
            <w:vAlign w:val="center"/>
          </w:tcPr>
          <w:p w14:paraId="59BD6329" w14:textId="77777777" w:rsidR="007D706A" w:rsidRDefault="007D706A" w:rsidP="00F70508">
            <w:pPr>
              <w:pStyle w:val="ParagraphStyle9"/>
              <w:rPr>
                <w:rStyle w:val="CharacterStyle9"/>
              </w:rPr>
            </w:pPr>
            <w:r>
              <w:rPr>
                <w:rStyle w:val="CharacterStyle9"/>
              </w:rPr>
              <w:t>273.000,00</w:t>
            </w:r>
          </w:p>
        </w:tc>
        <w:tc>
          <w:tcPr>
            <w:tcW w:w="1395" w:type="dxa"/>
            <w:tcBorders>
              <w:bottom w:val="single" w:sz="6" w:space="0" w:color="000000"/>
              <w:right w:val="single" w:sz="6" w:space="0" w:color="000000"/>
            </w:tcBorders>
            <w:vAlign w:val="center"/>
          </w:tcPr>
          <w:p w14:paraId="5192041E" w14:textId="77777777" w:rsidR="007D706A" w:rsidRDefault="007D706A" w:rsidP="00F70508">
            <w:pPr>
              <w:pStyle w:val="ParagraphStyle9"/>
              <w:rPr>
                <w:rStyle w:val="CharacterStyle9"/>
              </w:rPr>
            </w:pPr>
            <w:r>
              <w:rPr>
                <w:rStyle w:val="CharacterStyle9"/>
              </w:rPr>
              <w:t>280.000,00</w:t>
            </w:r>
          </w:p>
        </w:tc>
      </w:tr>
      <w:tr w:rsidR="007D706A" w14:paraId="49384CC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BEDB47D"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49320F34"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207E180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06CB217" w14:textId="77777777" w:rsidR="007D706A" w:rsidRDefault="007D706A" w:rsidP="00F70508">
            <w:pPr>
              <w:pStyle w:val="ParagraphStyle12"/>
              <w:rPr>
                <w:rStyle w:val="CharacterStyle12"/>
              </w:rPr>
            </w:pPr>
            <w:r>
              <w:rPr>
                <w:rStyle w:val="CharacterStyle12"/>
              </w:rPr>
              <w:t>237.000,00</w:t>
            </w:r>
          </w:p>
        </w:tc>
        <w:tc>
          <w:tcPr>
            <w:tcW w:w="1395" w:type="dxa"/>
            <w:tcBorders>
              <w:bottom w:val="single" w:sz="6" w:space="0" w:color="000000"/>
              <w:right w:val="single" w:sz="6" w:space="0" w:color="000000"/>
            </w:tcBorders>
            <w:vAlign w:val="center"/>
          </w:tcPr>
          <w:p w14:paraId="04F8E544" w14:textId="77777777" w:rsidR="007D706A" w:rsidRDefault="007D706A" w:rsidP="00F70508">
            <w:pPr>
              <w:pStyle w:val="ParagraphStyle12"/>
              <w:rPr>
                <w:rStyle w:val="CharacterStyle12"/>
              </w:rPr>
            </w:pPr>
            <w:r>
              <w:rPr>
                <w:rStyle w:val="CharacterStyle12"/>
              </w:rPr>
              <w:t>245.000,00</w:t>
            </w:r>
          </w:p>
        </w:tc>
        <w:tc>
          <w:tcPr>
            <w:tcW w:w="1395" w:type="dxa"/>
            <w:tcBorders>
              <w:bottom w:val="single" w:sz="6" w:space="0" w:color="000000"/>
              <w:right w:val="single" w:sz="6" w:space="0" w:color="000000"/>
            </w:tcBorders>
            <w:vAlign w:val="center"/>
          </w:tcPr>
          <w:p w14:paraId="5B800B10" w14:textId="77777777" w:rsidR="007D706A" w:rsidRDefault="007D706A" w:rsidP="00F70508">
            <w:pPr>
              <w:pStyle w:val="ParagraphStyle12"/>
              <w:rPr>
                <w:rStyle w:val="CharacterStyle12"/>
              </w:rPr>
            </w:pPr>
            <w:r>
              <w:rPr>
                <w:rStyle w:val="CharacterStyle12"/>
              </w:rPr>
              <w:t>273.000,00</w:t>
            </w:r>
          </w:p>
        </w:tc>
        <w:tc>
          <w:tcPr>
            <w:tcW w:w="1395" w:type="dxa"/>
            <w:tcBorders>
              <w:bottom w:val="single" w:sz="6" w:space="0" w:color="000000"/>
              <w:right w:val="single" w:sz="6" w:space="0" w:color="000000"/>
            </w:tcBorders>
            <w:vAlign w:val="center"/>
          </w:tcPr>
          <w:p w14:paraId="5A3548D7" w14:textId="77777777" w:rsidR="007D706A" w:rsidRDefault="007D706A" w:rsidP="00F70508">
            <w:pPr>
              <w:pStyle w:val="ParagraphStyle12"/>
              <w:rPr>
                <w:rStyle w:val="CharacterStyle12"/>
              </w:rPr>
            </w:pPr>
            <w:r>
              <w:rPr>
                <w:rStyle w:val="CharacterStyle12"/>
              </w:rPr>
              <w:t>280.000,00</w:t>
            </w:r>
          </w:p>
        </w:tc>
      </w:tr>
      <w:tr w:rsidR="007D706A" w14:paraId="2FC91EC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FE54A21" w14:textId="77777777" w:rsidR="007D706A" w:rsidRDefault="007D706A" w:rsidP="00F70508">
            <w:pPr>
              <w:pStyle w:val="ParagraphStyle10"/>
              <w:rPr>
                <w:rStyle w:val="CharacterStyle10"/>
              </w:rPr>
            </w:pPr>
            <w:r>
              <w:rPr>
                <w:rStyle w:val="CharacterStyle10"/>
              </w:rPr>
              <w:t>35</w:t>
            </w:r>
          </w:p>
        </w:tc>
        <w:tc>
          <w:tcPr>
            <w:tcW w:w="4995" w:type="dxa"/>
            <w:tcBorders>
              <w:bottom w:val="single" w:sz="6" w:space="0" w:color="000000"/>
              <w:right w:val="single" w:sz="6" w:space="0" w:color="000000"/>
            </w:tcBorders>
            <w:vAlign w:val="center"/>
          </w:tcPr>
          <w:p w14:paraId="6A598870" w14:textId="77777777" w:rsidR="007D706A" w:rsidRDefault="007D706A" w:rsidP="00F70508">
            <w:pPr>
              <w:pStyle w:val="ParagraphStyle11"/>
              <w:rPr>
                <w:rStyle w:val="CharacterStyle11"/>
              </w:rPr>
            </w:pPr>
            <w:r>
              <w:rPr>
                <w:rStyle w:val="CharacterStyle11"/>
              </w:rPr>
              <w:t>Subvencije</w:t>
            </w:r>
          </w:p>
        </w:tc>
        <w:tc>
          <w:tcPr>
            <w:tcW w:w="1395" w:type="dxa"/>
            <w:tcBorders>
              <w:bottom w:val="single" w:sz="6" w:space="0" w:color="000000"/>
              <w:right w:val="single" w:sz="6" w:space="0" w:color="000000"/>
            </w:tcBorders>
            <w:vAlign w:val="center"/>
          </w:tcPr>
          <w:p w14:paraId="07D4103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D7F24E2" w14:textId="77777777" w:rsidR="007D706A" w:rsidRDefault="007D706A" w:rsidP="00F70508">
            <w:pPr>
              <w:pStyle w:val="ParagraphStyle12"/>
              <w:rPr>
                <w:rStyle w:val="CharacterStyle12"/>
              </w:rPr>
            </w:pPr>
            <w:r>
              <w:rPr>
                <w:rStyle w:val="CharacterStyle12"/>
              </w:rPr>
              <w:t>237.000,00</w:t>
            </w:r>
          </w:p>
        </w:tc>
        <w:tc>
          <w:tcPr>
            <w:tcW w:w="1395" w:type="dxa"/>
            <w:tcBorders>
              <w:bottom w:val="single" w:sz="6" w:space="0" w:color="000000"/>
              <w:right w:val="single" w:sz="6" w:space="0" w:color="000000"/>
            </w:tcBorders>
            <w:vAlign w:val="center"/>
          </w:tcPr>
          <w:p w14:paraId="41B6EB90" w14:textId="77777777" w:rsidR="007D706A" w:rsidRDefault="007D706A" w:rsidP="00F70508">
            <w:pPr>
              <w:pStyle w:val="ParagraphStyle12"/>
              <w:rPr>
                <w:rStyle w:val="CharacterStyle12"/>
              </w:rPr>
            </w:pPr>
            <w:r>
              <w:rPr>
                <w:rStyle w:val="CharacterStyle12"/>
              </w:rPr>
              <w:t>245.000,00</w:t>
            </w:r>
          </w:p>
        </w:tc>
        <w:tc>
          <w:tcPr>
            <w:tcW w:w="1395" w:type="dxa"/>
            <w:tcBorders>
              <w:bottom w:val="single" w:sz="6" w:space="0" w:color="000000"/>
              <w:right w:val="single" w:sz="6" w:space="0" w:color="000000"/>
            </w:tcBorders>
            <w:vAlign w:val="center"/>
          </w:tcPr>
          <w:p w14:paraId="2177B7B9" w14:textId="77777777" w:rsidR="007D706A" w:rsidRDefault="007D706A" w:rsidP="00F70508">
            <w:pPr>
              <w:pStyle w:val="ParagraphStyle12"/>
              <w:rPr>
                <w:rStyle w:val="CharacterStyle12"/>
              </w:rPr>
            </w:pPr>
            <w:r>
              <w:rPr>
                <w:rStyle w:val="CharacterStyle12"/>
              </w:rPr>
              <w:t>273.000,00</w:t>
            </w:r>
          </w:p>
        </w:tc>
        <w:tc>
          <w:tcPr>
            <w:tcW w:w="1395" w:type="dxa"/>
            <w:tcBorders>
              <w:bottom w:val="single" w:sz="6" w:space="0" w:color="000000"/>
              <w:right w:val="single" w:sz="6" w:space="0" w:color="000000"/>
            </w:tcBorders>
            <w:vAlign w:val="center"/>
          </w:tcPr>
          <w:p w14:paraId="08D007D5" w14:textId="77777777" w:rsidR="007D706A" w:rsidRDefault="007D706A" w:rsidP="00F70508">
            <w:pPr>
              <w:pStyle w:val="ParagraphStyle12"/>
              <w:rPr>
                <w:rStyle w:val="CharacterStyle12"/>
              </w:rPr>
            </w:pPr>
            <w:r>
              <w:rPr>
                <w:rStyle w:val="CharacterStyle12"/>
              </w:rPr>
              <w:t>280.000,00</w:t>
            </w:r>
          </w:p>
        </w:tc>
      </w:tr>
      <w:tr w:rsidR="007D706A" w14:paraId="0FD9D8D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1AE1B5F" w14:textId="77777777" w:rsidR="007D706A" w:rsidRDefault="007D706A" w:rsidP="00F70508">
            <w:pPr>
              <w:pStyle w:val="ParagraphStyle4"/>
              <w:rPr>
                <w:rStyle w:val="CharacterStyle4"/>
              </w:rPr>
            </w:pPr>
            <w:r>
              <w:rPr>
                <w:rStyle w:val="CharacterStyle4"/>
              </w:rPr>
              <w:t>Kapitalni projekt K103112</w:t>
            </w:r>
          </w:p>
        </w:tc>
        <w:tc>
          <w:tcPr>
            <w:tcW w:w="4995" w:type="dxa"/>
            <w:tcBorders>
              <w:bottom w:val="single" w:sz="6" w:space="0" w:color="000000"/>
              <w:right w:val="single" w:sz="6" w:space="0" w:color="000000"/>
            </w:tcBorders>
            <w:vAlign w:val="center"/>
          </w:tcPr>
          <w:p w14:paraId="1F5CE102" w14:textId="77777777" w:rsidR="007D706A" w:rsidRDefault="007D706A" w:rsidP="00F70508">
            <w:pPr>
              <w:pStyle w:val="ParagraphStyle5"/>
              <w:rPr>
                <w:rStyle w:val="CharacterStyle5"/>
              </w:rPr>
            </w:pPr>
            <w:r>
              <w:rPr>
                <w:rStyle w:val="CharacterStyle5"/>
              </w:rPr>
              <w:t>NABAVA SPORTSKOG MOBILNOG KLIZALIŠTA</w:t>
            </w:r>
          </w:p>
        </w:tc>
        <w:tc>
          <w:tcPr>
            <w:tcW w:w="1395" w:type="dxa"/>
            <w:tcBorders>
              <w:bottom w:val="single" w:sz="6" w:space="0" w:color="000000"/>
              <w:right w:val="single" w:sz="6" w:space="0" w:color="000000"/>
            </w:tcBorders>
            <w:vAlign w:val="center"/>
          </w:tcPr>
          <w:p w14:paraId="4930C6DE"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6F4A14E0" w14:textId="77777777" w:rsidR="007D706A" w:rsidRDefault="007D706A" w:rsidP="00F70508">
            <w:pPr>
              <w:pStyle w:val="ParagraphStyle6"/>
              <w:rPr>
                <w:rStyle w:val="CharacterStyle6"/>
              </w:rPr>
            </w:pPr>
            <w:r>
              <w:rPr>
                <w:rStyle w:val="CharacterStyle6"/>
              </w:rPr>
              <w:t>27.000,00</w:t>
            </w:r>
          </w:p>
        </w:tc>
        <w:tc>
          <w:tcPr>
            <w:tcW w:w="1395" w:type="dxa"/>
            <w:tcBorders>
              <w:bottom w:val="single" w:sz="6" w:space="0" w:color="000000"/>
              <w:right w:val="single" w:sz="6" w:space="0" w:color="000000"/>
            </w:tcBorders>
            <w:vAlign w:val="center"/>
          </w:tcPr>
          <w:p w14:paraId="080FDA9A"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6341F7EC"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74D0F87D" w14:textId="77777777" w:rsidR="007D706A" w:rsidRDefault="007D706A" w:rsidP="00F70508">
            <w:pPr>
              <w:pStyle w:val="ParagraphStyle6"/>
              <w:rPr>
                <w:rStyle w:val="CharacterStyle6"/>
              </w:rPr>
            </w:pPr>
            <w:r>
              <w:rPr>
                <w:rStyle w:val="CharacterStyle6"/>
              </w:rPr>
              <w:t>0,00</w:t>
            </w:r>
          </w:p>
        </w:tc>
      </w:tr>
      <w:tr w:rsidR="007D706A" w14:paraId="43AB91A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36136BB"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337D705D"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6E4C5DC0"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2B570E9" w14:textId="77777777" w:rsidR="007D706A" w:rsidRDefault="007D706A" w:rsidP="00F70508">
            <w:pPr>
              <w:pStyle w:val="ParagraphStyle9"/>
              <w:rPr>
                <w:rStyle w:val="CharacterStyle9"/>
              </w:rPr>
            </w:pPr>
            <w:r>
              <w:rPr>
                <w:rStyle w:val="CharacterStyle9"/>
              </w:rPr>
              <w:t>27.000,00</w:t>
            </w:r>
          </w:p>
        </w:tc>
        <w:tc>
          <w:tcPr>
            <w:tcW w:w="1395" w:type="dxa"/>
            <w:tcBorders>
              <w:bottom w:val="single" w:sz="6" w:space="0" w:color="000000"/>
              <w:right w:val="single" w:sz="6" w:space="0" w:color="000000"/>
            </w:tcBorders>
            <w:vAlign w:val="center"/>
          </w:tcPr>
          <w:p w14:paraId="05B94C53"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0B1D00A"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086EFD5" w14:textId="77777777" w:rsidR="007D706A" w:rsidRDefault="007D706A" w:rsidP="00F70508">
            <w:pPr>
              <w:pStyle w:val="ParagraphStyle9"/>
              <w:rPr>
                <w:rStyle w:val="CharacterStyle9"/>
              </w:rPr>
            </w:pPr>
            <w:r>
              <w:rPr>
                <w:rStyle w:val="CharacterStyle9"/>
              </w:rPr>
              <w:t>0,00</w:t>
            </w:r>
          </w:p>
        </w:tc>
      </w:tr>
      <w:tr w:rsidR="007D706A" w14:paraId="62A6946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7FFE955"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1FA73773"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6D06FAE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FD3B493" w14:textId="77777777" w:rsidR="007D706A" w:rsidRDefault="007D706A" w:rsidP="00F70508">
            <w:pPr>
              <w:pStyle w:val="ParagraphStyle12"/>
              <w:rPr>
                <w:rStyle w:val="CharacterStyle12"/>
              </w:rPr>
            </w:pPr>
            <w:r>
              <w:rPr>
                <w:rStyle w:val="CharacterStyle12"/>
              </w:rPr>
              <w:t>27.000,00</w:t>
            </w:r>
          </w:p>
        </w:tc>
        <w:tc>
          <w:tcPr>
            <w:tcW w:w="1395" w:type="dxa"/>
            <w:tcBorders>
              <w:bottom w:val="single" w:sz="6" w:space="0" w:color="000000"/>
              <w:right w:val="single" w:sz="6" w:space="0" w:color="000000"/>
            </w:tcBorders>
            <w:vAlign w:val="center"/>
          </w:tcPr>
          <w:p w14:paraId="37C34AA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A1323E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B5478AF" w14:textId="77777777" w:rsidR="007D706A" w:rsidRDefault="007D706A" w:rsidP="00F70508">
            <w:pPr>
              <w:pStyle w:val="ParagraphStyle12"/>
              <w:rPr>
                <w:rStyle w:val="CharacterStyle12"/>
              </w:rPr>
            </w:pPr>
            <w:r>
              <w:rPr>
                <w:rStyle w:val="CharacterStyle12"/>
              </w:rPr>
              <w:t>0,00</w:t>
            </w:r>
          </w:p>
        </w:tc>
      </w:tr>
      <w:tr w:rsidR="007D706A" w14:paraId="4FF06E2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B985AE2" w14:textId="77777777" w:rsidR="007D706A" w:rsidRDefault="007D706A" w:rsidP="00F70508">
            <w:pPr>
              <w:pStyle w:val="ParagraphStyle10"/>
              <w:rPr>
                <w:rStyle w:val="CharacterStyle10"/>
              </w:rPr>
            </w:pPr>
            <w:r>
              <w:rPr>
                <w:rStyle w:val="CharacterStyle10"/>
              </w:rPr>
              <w:t>38</w:t>
            </w:r>
          </w:p>
        </w:tc>
        <w:tc>
          <w:tcPr>
            <w:tcW w:w="4995" w:type="dxa"/>
            <w:tcBorders>
              <w:bottom w:val="single" w:sz="6" w:space="0" w:color="000000"/>
              <w:right w:val="single" w:sz="6" w:space="0" w:color="000000"/>
            </w:tcBorders>
            <w:vAlign w:val="center"/>
          </w:tcPr>
          <w:p w14:paraId="0EE368AC" w14:textId="77777777" w:rsidR="007D706A" w:rsidRDefault="007D706A" w:rsidP="00F70508">
            <w:pPr>
              <w:pStyle w:val="ParagraphStyle11"/>
              <w:rPr>
                <w:rStyle w:val="CharacterStyle11"/>
              </w:rPr>
            </w:pPr>
            <w:r>
              <w:rPr>
                <w:rStyle w:val="CharacterStyle11"/>
              </w:rPr>
              <w:t>Rashodi za donacije, kazne, naknade šteta i kapitalne pomoći</w:t>
            </w:r>
          </w:p>
        </w:tc>
        <w:tc>
          <w:tcPr>
            <w:tcW w:w="1395" w:type="dxa"/>
            <w:tcBorders>
              <w:bottom w:val="single" w:sz="6" w:space="0" w:color="000000"/>
              <w:right w:val="single" w:sz="6" w:space="0" w:color="000000"/>
            </w:tcBorders>
            <w:vAlign w:val="center"/>
          </w:tcPr>
          <w:p w14:paraId="4533366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8BB9FF4" w14:textId="77777777" w:rsidR="007D706A" w:rsidRDefault="007D706A" w:rsidP="00F70508">
            <w:pPr>
              <w:pStyle w:val="ParagraphStyle12"/>
              <w:rPr>
                <w:rStyle w:val="CharacterStyle12"/>
              </w:rPr>
            </w:pPr>
            <w:r>
              <w:rPr>
                <w:rStyle w:val="CharacterStyle12"/>
              </w:rPr>
              <w:t>27.000,00</w:t>
            </w:r>
          </w:p>
        </w:tc>
        <w:tc>
          <w:tcPr>
            <w:tcW w:w="1395" w:type="dxa"/>
            <w:tcBorders>
              <w:bottom w:val="single" w:sz="6" w:space="0" w:color="000000"/>
              <w:right w:val="single" w:sz="6" w:space="0" w:color="000000"/>
            </w:tcBorders>
            <w:vAlign w:val="center"/>
          </w:tcPr>
          <w:p w14:paraId="30F441D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58F762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BB593B6" w14:textId="77777777" w:rsidR="007D706A" w:rsidRDefault="007D706A" w:rsidP="00F70508">
            <w:pPr>
              <w:pStyle w:val="ParagraphStyle12"/>
              <w:rPr>
                <w:rStyle w:val="CharacterStyle12"/>
              </w:rPr>
            </w:pPr>
            <w:r>
              <w:rPr>
                <w:rStyle w:val="CharacterStyle12"/>
              </w:rPr>
              <w:t>0,00</w:t>
            </w:r>
          </w:p>
        </w:tc>
      </w:tr>
      <w:tr w:rsidR="007D706A" w14:paraId="3C3E3D6D" w14:textId="77777777" w:rsidTr="00F70508">
        <w:trPr>
          <w:trHeight w:val="420"/>
        </w:trPr>
        <w:tc>
          <w:tcPr>
            <w:tcW w:w="2880" w:type="dxa"/>
            <w:tcBorders>
              <w:left w:val="single" w:sz="6" w:space="0" w:color="000000"/>
              <w:bottom w:val="single" w:sz="6" w:space="0" w:color="000000"/>
              <w:right w:val="single" w:sz="6" w:space="0" w:color="000000"/>
            </w:tcBorders>
            <w:vAlign w:val="center"/>
          </w:tcPr>
          <w:p w14:paraId="55BEC17B" w14:textId="77777777" w:rsidR="007D706A" w:rsidRDefault="007D706A" w:rsidP="00F70508">
            <w:pPr>
              <w:pStyle w:val="ParagraphStyle4"/>
              <w:rPr>
                <w:rStyle w:val="CharacterStyle4"/>
              </w:rPr>
            </w:pPr>
            <w:r>
              <w:rPr>
                <w:rStyle w:val="CharacterStyle4"/>
              </w:rPr>
              <w:t>Aktivnost A103102</w:t>
            </w:r>
          </w:p>
        </w:tc>
        <w:tc>
          <w:tcPr>
            <w:tcW w:w="4995" w:type="dxa"/>
            <w:tcBorders>
              <w:bottom w:val="single" w:sz="6" w:space="0" w:color="000000"/>
              <w:right w:val="single" w:sz="6" w:space="0" w:color="000000"/>
            </w:tcBorders>
            <w:vAlign w:val="center"/>
          </w:tcPr>
          <w:p w14:paraId="12117A6E" w14:textId="77777777" w:rsidR="007D706A" w:rsidRDefault="007D706A" w:rsidP="00F70508">
            <w:pPr>
              <w:pStyle w:val="ParagraphStyle5"/>
              <w:rPr>
                <w:rStyle w:val="CharacterStyle5"/>
              </w:rPr>
            </w:pPr>
            <w:r>
              <w:rPr>
                <w:rStyle w:val="CharacterStyle5"/>
              </w:rPr>
              <w:t>TEKUĆE ODRŽAVANJE ŠKOLSKE SPORTSKE DVORANE "GIMNAZIJA"</w:t>
            </w:r>
          </w:p>
        </w:tc>
        <w:tc>
          <w:tcPr>
            <w:tcW w:w="1395" w:type="dxa"/>
            <w:tcBorders>
              <w:bottom w:val="single" w:sz="6" w:space="0" w:color="000000"/>
              <w:right w:val="single" w:sz="6" w:space="0" w:color="000000"/>
            </w:tcBorders>
            <w:vAlign w:val="center"/>
          </w:tcPr>
          <w:p w14:paraId="43929345"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69289894" w14:textId="77777777" w:rsidR="007D706A" w:rsidRDefault="007D706A" w:rsidP="00F70508">
            <w:pPr>
              <w:pStyle w:val="ParagraphStyle6"/>
              <w:rPr>
                <w:rStyle w:val="CharacterStyle6"/>
              </w:rPr>
            </w:pPr>
            <w:r>
              <w:rPr>
                <w:rStyle w:val="CharacterStyle6"/>
              </w:rPr>
              <w:t>64.500,00</w:t>
            </w:r>
          </w:p>
        </w:tc>
        <w:tc>
          <w:tcPr>
            <w:tcW w:w="1395" w:type="dxa"/>
            <w:tcBorders>
              <w:bottom w:val="single" w:sz="6" w:space="0" w:color="000000"/>
              <w:right w:val="single" w:sz="6" w:space="0" w:color="000000"/>
            </w:tcBorders>
            <w:vAlign w:val="center"/>
          </w:tcPr>
          <w:p w14:paraId="55724FCA" w14:textId="77777777" w:rsidR="007D706A" w:rsidRDefault="007D706A" w:rsidP="00F70508">
            <w:pPr>
              <w:pStyle w:val="ParagraphStyle6"/>
              <w:rPr>
                <w:rStyle w:val="CharacterStyle6"/>
              </w:rPr>
            </w:pPr>
            <w:r>
              <w:rPr>
                <w:rStyle w:val="CharacterStyle6"/>
              </w:rPr>
              <w:t>69.500,00</w:t>
            </w:r>
          </w:p>
        </w:tc>
        <w:tc>
          <w:tcPr>
            <w:tcW w:w="1395" w:type="dxa"/>
            <w:tcBorders>
              <w:bottom w:val="single" w:sz="6" w:space="0" w:color="000000"/>
              <w:right w:val="single" w:sz="6" w:space="0" w:color="000000"/>
            </w:tcBorders>
            <w:vAlign w:val="center"/>
          </w:tcPr>
          <w:p w14:paraId="1D6BD30C" w14:textId="77777777" w:rsidR="007D706A" w:rsidRDefault="007D706A" w:rsidP="00F70508">
            <w:pPr>
              <w:pStyle w:val="ParagraphStyle6"/>
              <w:rPr>
                <w:rStyle w:val="CharacterStyle6"/>
              </w:rPr>
            </w:pPr>
            <w:r>
              <w:rPr>
                <w:rStyle w:val="CharacterStyle6"/>
              </w:rPr>
              <w:t>78.750,00</w:t>
            </w:r>
          </w:p>
        </w:tc>
        <w:tc>
          <w:tcPr>
            <w:tcW w:w="1395" w:type="dxa"/>
            <w:tcBorders>
              <w:bottom w:val="single" w:sz="6" w:space="0" w:color="000000"/>
              <w:right w:val="single" w:sz="6" w:space="0" w:color="000000"/>
            </w:tcBorders>
            <w:vAlign w:val="center"/>
          </w:tcPr>
          <w:p w14:paraId="4C8C44F5" w14:textId="77777777" w:rsidR="007D706A" w:rsidRDefault="007D706A" w:rsidP="00F70508">
            <w:pPr>
              <w:pStyle w:val="ParagraphStyle6"/>
              <w:rPr>
                <w:rStyle w:val="CharacterStyle6"/>
              </w:rPr>
            </w:pPr>
            <w:r>
              <w:rPr>
                <w:rStyle w:val="CharacterStyle6"/>
              </w:rPr>
              <w:t>81.120,00</w:t>
            </w:r>
          </w:p>
        </w:tc>
      </w:tr>
      <w:tr w:rsidR="007D706A" w14:paraId="06757DE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AC750F2"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0B791F4C"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40B24FBF"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3AA2184"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0D4713D" w14:textId="77777777" w:rsidR="007D706A" w:rsidRDefault="007D706A" w:rsidP="00F70508">
            <w:pPr>
              <w:pStyle w:val="ParagraphStyle9"/>
              <w:rPr>
                <w:rStyle w:val="CharacterStyle9"/>
              </w:rPr>
            </w:pPr>
            <w:r>
              <w:rPr>
                <w:rStyle w:val="CharacterStyle9"/>
              </w:rPr>
              <w:t>69.500,00</w:t>
            </w:r>
          </w:p>
        </w:tc>
        <w:tc>
          <w:tcPr>
            <w:tcW w:w="1395" w:type="dxa"/>
            <w:tcBorders>
              <w:bottom w:val="single" w:sz="6" w:space="0" w:color="000000"/>
              <w:right w:val="single" w:sz="6" w:space="0" w:color="000000"/>
            </w:tcBorders>
            <w:vAlign w:val="center"/>
          </w:tcPr>
          <w:p w14:paraId="7108F20C"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F3A9BBC" w14:textId="77777777" w:rsidR="007D706A" w:rsidRDefault="007D706A" w:rsidP="00F70508">
            <w:pPr>
              <w:pStyle w:val="ParagraphStyle9"/>
              <w:rPr>
                <w:rStyle w:val="CharacterStyle9"/>
              </w:rPr>
            </w:pPr>
            <w:r>
              <w:rPr>
                <w:rStyle w:val="CharacterStyle9"/>
              </w:rPr>
              <w:t>0,00</w:t>
            </w:r>
          </w:p>
        </w:tc>
      </w:tr>
      <w:tr w:rsidR="007D706A" w14:paraId="644DD66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46BAB1B"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119020C0"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6145157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255DE3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33A7EE2" w14:textId="77777777" w:rsidR="007D706A" w:rsidRDefault="007D706A" w:rsidP="00F70508">
            <w:pPr>
              <w:pStyle w:val="ParagraphStyle12"/>
              <w:rPr>
                <w:rStyle w:val="CharacterStyle12"/>
              </w:rPr>
            </w:pPr>
            <w:r>
              <w:rPr>
                <w:rStyle w:val="CharacterStyle12"/>
              </w:rPr>
              <w:t>69.500,00</w:t>
            </w:r>
          </w:p>
        </w:tc>
        <w:tc>
          <w:tcPr>
            <w:tcW w:w="1395" w:type="dxa"/>
            <w:tcBorders>
              <w:bottom w:val="single" w:sz="6" w:space="0" w:color="000000"/>
              <w:right w:val="single" w:sz="6" w:space="0" w:color="000000"/>
            </w:tcBorders>
            <w:vAlign w:val="center"/>
          </w:tcPr>
          <w:p w14:paraId="16225F9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FBA2C9A" w14:textId="77777777" w:rsidR="007D706A" w:rsidRDefault="007D706A" w:rsidP="00F70508">
            <w:pPr>
              <w:pStyle w:val="ParagraphStyle12"/>
              <w:rPr>
                <w:rStyle w:val="CharacterStyle12"/>
              </w:rPr>
            </w:pPr>
            <w:r>
              <w:rPr>
                <w:rStyle w:val="CharacterStyle12"/>
              </w:rPr>
              <w:t>0,00</w:t>
            </w:r>
          </w:p>
        </w:tc>
      </w:tr>
      <w:tr w:rsidR="007D706A" w14:paraId="3830E63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9261731" w14:textId="77777777" w:rsidR="007D706A" w:rsidRDefault="007D706A" w:rsidP="00F70508">
            <w:pPr>
              <w:pStyle w:val="ParagraphStyle10"/>
              <w:rPr>
                <w:rStyle w:val="CharacterStyle10"/>
              </w:rPr>
            </w:pPr>
            <w:r>
              <w:rPr>
                <w:rStyle w:val="CharacterStyle10"/>
              </w:rPr>
              <w:t>35</w:t>
            </w:r>
          </w:p>
        </w:tc>
        <w:tc>
          <w:tcPr>
            <w:tcW w:w="4995" w:type="dxa"/>
            <w:tcBorders>
              <w:bottom w:val="single" w:sz="6" w:space="0" w:color="000000"/>
              <w:right w:val="single" w:sz="6" w:space="0" w:color="000000"/>
            </w:tcBorders>
            <w:vAlign w:val="center"/>
          </w:tcPr>
          <w:p w14:paraId="65545F02" w14:textId="77777777" w:rsidR="007D706A" w:rsidRDefault="007D706A" w:rsidP="00F70508">
            <w:pPr>
              <w:pStyle w:val="ParagraphStyle11"/>
              <w:rPr>
                <w:rStyle w:val="CharacterStyle11"/>
              </w:rPr>
            </w:pPr>
            <w:r>
              <w:rPr>
                <w:rStyle w:val="CharacterStyle11"/>
              </w:rPr>
              <w:t>Subvencije</w:t>
            </w:r>
          </w:p>
        </w:tc>
        <w:tc>
          <w:tcPr>
            <w:tcW w:w="1395" w:type="dxa"/>
            <w:tcBorders>
              <w:bottom w:val="single" w:sz="6" w:space="0" w:color="000000"/>
              <w:right w:val="single" w:sz="6" w:space="0" w:color="000000"/>
            </w:tcBorders>
            <w:vAlign w:val="center"/>
          </w:tcPr>
          <w:p w14:paraId="70CDB00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DE6263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1554F52" w14:textId="77777777" w:rsidR="007D706A" w:rsidRDefault="007D706A" w:rsidP="00F70508">
            <w:pPr>
              <w:pStyle w:val="ParagraphStyle12"/>
              <w:rPr>
                <w:rStyle w:val="CharacterStyle12"/>
              </w:rPr>
            </w:pPr>
            <w:r>
              <w:rPr>
                <w:rStyle w:val="CharacterStyle12"/>
              </w:rPr>
              <w:t>69.500,00</w:t>
            </w:r>
          </w:p>
        </w:tc>
        <w:tc>
          <w:tcPr>
            <w:tcW w:w="1395" w:type="dxa"/>
            <w:tcBorders>
              <w:bottom w:val="single" w:sz="6" w:space="0" w:color="000000"/>
              <w:right w:val="single" w:sz="6" w:space="0" w:color="000000"/>
            </w:tcBorders>
            <w:vAlign w:val="center"/>
          </w:tcPr>
          <w:p w14:paraId="60D0C4D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41D6ECF" w14:textId="77777777" w:rsidR="007D706A" w:rsidRDefault="007D706A" w:rsidP="00F70508">
            <w:pPr>
              <w:pStyle w:val="ParagraphStyle12"/>
              <w:rPr>
                <w:rStyle w:val="CharacterStyle12"/>
              </w:rPr>
            </w:pPr>
            <w:r>
              <w:rPr>
                <w:rStyle w:val="CharacterStyle12"/>
              </w:rPr>
              <w:t>0,00</w:t>
            </w:r>
          </w:p>
        </w:tc>
      </w:tr>
      <w:tr w:rsidR="007D706A" w14:paraId="0A14BF6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6FBF4B0" w14:textId="77777777" w:rsidR="007D706A" w:rsidRDefault="007D706A" w:rsidP="00F70508">
            <w:pPr>
              <w:pStyle w:val="ParagraphStyle7"/>
              <w:rPr>
                <w:rStyle w:val="CharacterStyle7"/>
              </w:rPr>
            </w:pPr>
            <w:r>
              <w:rPr>
                <w:rStyle w:val="CharacterStyle7"/>
              </w:rPr>
              <w:t>Izvor financiranja 40</w:t>
            </w:r>
          </w:p>
        </w:tc>
        <w:tc>
          <w:tcPr>
            <w:tcW w:w="4995" w:type="dxa"/>
            <w:tcBorders>
              <w:bottom w:val="single" w:sz="6" w:space="0" w:color="000000"/>
              <w:right w:val="single" w:sz="6" w:space="0" w:color="000000"/>
            </w:tcBorders>
            <w:vAlign w:val="center"/>
          </w:tcPr>
          <w:p w14:paraId="4AE6ECB0" w14:textId="77777777" w:rsidR="007D706A" w:rsidRDefault="007D706A" w:rsidP="00F70508">
            <w:pPr>
              <w:pStyle w:val="ParagraphStyle8"/>
              <w:rPr>
                <w:rStyle w:val="CharacterStyle8"/>
              </w:rPr>
            </w:pPr>
            <w:r>
              <w:rPr>
                <w:rStyle w:val="CharacterStyle8"/>
              </w:rPr>
              <w:t>Prihodi od komunalne naknade i komunalnog doprinosa</w:t>
            </w:r>
          </w:p>
        </w:tc>
        <w:tc>
          <w:tcPr>
            <w:tcW w:w="1395" w:type="dxa"/>
            <w:tcBorders>
              <w:bottom w:val="single" w:sz="6" w:space="0" w:color="000000"/>
              <w:right w:val="single" w:sz="6" w:space="0" w:color="000000"/>
            </w:tcBorders>
            <w:vAlign w:val="center"/>
          </w:tcPr>
          <w:p w14:paraId="1812F33B"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A09E95D"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94A60D6"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571D999" w14:textId="77777777" w:rsidR="007D706A" w:rsidRDefault="007D706A" w:rsidP="00F70508">
            <w:pPr>
              <w:pStyle w:val="ParagraphStyle9"/>
              <w:rPr>
                <w:rStyle w:val="CharacterStyle9"/>
              </w:rPr>
            </w:pPr>
            <w:r>
              <w:rPr>
                <w:rStyle w:val="CharacterStyle9"/>
              </w:rPr>
              <w:t>78.750,00</w:t>
            </w:r>
          </w:p>
        </w:tc>
        <w:tc>
          <w:tcPr>
            <w:tcW w:w="1395" w:type="dxa"/>
            <w:tcBorders>
              <w:bottom w:val="single" w:sz="6" w:space="0" w:color="000000"/>
              <w:right w:val="single" w:sz="6" w:space="0" w:color="000000"/>
            </w:tcBorders>
            <w:vAlign w:val="center"/>
          </w:tcPr>
          <w:p w14:paraId="4BB56C9E" w14:textId="77777777" w:rsidR="007D706A" w:rsidRDefault="007D706A" w:rsidP="00F70508">
            <w:pPr>
              <w:pStyle w:val="ParagraphStyle9"/>
              <w:rPr>
                <w:rStyle w:val="CharacterStyle9"/>
              </w:rPr>
            </w:pPr>
            <w:r>
              <w:rPr>
                <w:rStyle w:val="CharacterStyle9"/>
              </w:rPr>
              <w:t>81.120,00</w:t>
            </w:r>
          </w:p>
        </w:tc>
      </w:tr>
      <w:tr w:rsidR="007D706A" w14:paraId="3929159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900336D"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77C1C857"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602FB97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1EA56C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60F0C1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A50CB36" w14:textId="77777777" w:rsidR="007D706A" w:rsidRDefault="007D706A" w:rsidP="00F70508">
            <w:pPr>
              <w:pStyle w:val="ParagraphStyle12"/>
              <w:rPr>
                <w:rStyle w:val="CharacterStyle12"/>
              </w:rPr>
            </w:pPr>
            <w:r>
              <w:rPr>
                <w:rStyle w:val="CharacterStyle12"/>
              </w:rPr>
              <w:t>78.750,00</w:t>
            </w:r>
          </w:p>
        </w:tc>
        <w:tc>
          <w:tcPr>
            <w:tcW w:w="1395" w:type="dxa"/>
            <w:tcBorders>
              <w:bottom w:val="single" w:sz="6" w:space="0" w:color="000000"/>
              <w:right w:val="single" w:sz="6" w:space="0" w:color="000000"/>
            </w:tcBorders>
            <w:vAlign w:val="center"/>
          </w:tcPr>
          <w:p w14:paraId="0890E18A" w14:textId="77777777" w:rsidR="007D706A" w:rsidRDefault="007D706A" w:rsidP="00F70508">
            <w:pPr>
              <w:pStyle w:val="ParagraphStyle12"/>
              <w:rPr>
                <w:rStyle w:val="CharacterStyle12"/>
              </w:rPr>
            </w:pPr>
            <w:r>
              <w:rPr>
                <w:rStyle w:val="CharacterStyle12"/>
              </w:rPr>
              <w:t>81.120,00</w:t>
            </w:r>
          </w:p>
        </w:tc>
      </w:tr>
      <w:tr w:rsidR="007D706A" w14:paraId="6617999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82F27DC" w14:textId="77777777" w:rsidR="007D706A" w:rsidRDefault="007D706A" w:rsidP="00F70508">
            <w:pPr>
              <w:pStyle w:val="ParagraphStyle10"/>
              <w:rPr>
                <w:rStyle w:val="CharacterStyle10"/>
              </w:rPr>
            </w:pPr>
            <w:r>
              <w:rPr>
                <w:rStyle w:val="CharacterStyle10"/>
              </w:rPr>
              <w:t>35</w:t>
            </w:r>
          </w:p>
        </w:tc>
        <w:tc>
          <w:tcPr>
            <w:tcW w:w="4995" w:type="dxa"/>
            <w:tcBorders>
              <w:bottom w:val="single" w:sz="6" w:space="0" w:color="000000"/>
              <w:right w:val="single" w:sz="6" w:space="0" w:color="000000"/>
            </w:tcBorders>
            <w:vAlign w:val="center"/>
          </w:tcPr>
          <w:p w14:paraId="44191E7B" w14:textId="77777777" w:rsidR="007D706A" w:rsidRDefault="007D706A" w:rsidP="00F70508">
            <w:pPr>
              <w:pStyle w:val="ParagraphStyle11"/>
              <w:rPr>
                <w:rStyle w:val="CharacterStyle11"/>
              </w:rPr>
            </w:pPr>
            <w:r>
              <w:rPr>
                <w:rStyle w:val="CharacterStyle11"/>
              </w:rPr>
              <w:t>Subvencije</w:t>
            </w:r>
          </w:p>
        </w:tc>
        <w:tc>
          <w:tcPr>
            <w:tcW w:w="1395" w:type="dxa"/>
            <w:tcBorders>
              <w:bottom w:val="single" w:sz="6" w:space="0" w:color="000000"/>
              <w:right w:val="single" w:sz="6" w:space="0" w:color="000000"/>
            </w:tcBorders>
            <w:vAlign w:val="center"/>
          </w:tcPr>
          <w:p w14:paraId="12B31C6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C54FBA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346E88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2540339" w14:textId="77777777" w:rsidR="007D706A" w:rsidRDefault="007D706A" w:rsidP="00F70508">
            <w:pPr>
              <w:pStyle w:val="ParagraphStyle12"/>
              <w:rPr>
                <w:rStyle w:val="CharacterStyle12"/>
              </w:rPr>
            </w:pPr>
            <w:r>
              <w:rPr>
                <w:rStyle w:val="CharacterStyle12"/>
              </w:rPr>
              <w:t>78.750,00</w:t>
            </w:r>
          </w:p>
        </w:tc>
        <w:tc>
          <w:tcPr>
            <w:tcW w:w="1395" w:type="dxa"/>
            <w:tcBorders>
              <w:bottom w:val="single" w:sz="6" w:space="0" w:color="000000"/>
              <w:right w:val="single" w:sz="6" w:space="0" w:color="000000"/>
            </w:tcBorders>
            <w:vAlign w:val="center"/>
          </w:tcPr>
          <w:p w14:paraId="5C0C7CAB" w14:textId="77777777" w:rsidR="007D706A" w:rsidRDefault="007D706A" w:rsidP="00F70508">
            <w:pPr>
              <w:pStyle w:val="ParagraphStyle12"/>
              <w:rPr>
                <w:rStyle w:val="CharacterStyle12"/>
              </w:rPr>
            </w:pPr>
            <w:r>
              <w:rPr>
                <w:rStyle w:val="CharacterStyle12"/>
              </w:rPr>
              <w:t>81.120,00</w:t>
            </w:r>
          </w:p>
        </w:tc>
      </w:tr>
      <w:tr w:rsidR="007D706A" w14:paraId="582AEA3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26C1E28" w14:textId="77777777" w:rsidR="007D706A" w:rsidRDefault="007D706A" w:rsidP="00F70508">
            <w:pPr>
              <w:pStyle w:val="ParagraphStyle7"/>
              <w:rPr>
                <w:rStyle w:val="CharacterStyle7"/>
              </w:rPr>
            </w:pPr>
            <w:r>
              <w:rPr>
                <w:rStyle w:val="CharacterStyle7"/>
              </w:rPr>
              <w:t>Izvor financiranja 41</w:t>
            </w:r>
          </w:p>
        </w:tc>
        <w:tc>
          <w:tcPr>
            <w:tcW w:w="4995" w:type="dxa"/>
            <w:tcBorders>
              <w:bottom w:val="single" w:sz="6" w:space="0" w:color="000000"/>
              <w:right w:val="single" w:sz="6" w:space="0" w:color="000000"/>
            </w:tcBorders>
            <w:vAlign w:val="center"/>
          </w:tcPr>
          <w:p w14:paraId="78CDB85F" w14:textId="77777777" w:rsidR="007D706A" w:rsidRDefault="007D706A" w:rsidP="00F70508">
            <w:pPr>
              <w:pStyle w:val="ParagraphStyle8"/>
              <w:rPr>
                <w:rStyle w:val="CharacterStyle8"/>
              </w:rPr>
            </w:pPr>
            <w:r>
              <w:rPr>
                <w:rStyle w:val="CharacterStyle8"/>
              </w:rPr>
              <w:t>Prihodi za posebne namjene</w:t>
            </w:r>
          </w:p>
        </w:tc>
        <w:tc>
          <w:tcPr>
            <w:tcW w:w="1395" w:type="dxa"/>
            <w:tcBorders>
              <w:bottom w:val="single" w:sz="6" w:space="0" w:color="000000"/>
              <w:right w:val="single" w:sz="6" w:space="0" w:color="000000"/>
            </w:tcBorders>
            <w:vAlign w:val="center"/>
          </w:tcPr>
          <w:p w14:paraId="07271E89"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2CB115D" w14:textId="77777777" w:rsidR="007D706A" w:rsidRDefault="007D706A" w:rsidP="00F70508">
            <w:pPr>
              <w:pStyle w:val="ParagraphStyle9"/>
              <w:rPr>
                <w:rStyle w:val="CharacterStyle9"/>
              </w:rPr>
            </w:pPr>
            <w:r>
              <w:rPr>
                <w:rStyle w:val="CharacterStyle9"/>
              </w:rPr>
              <w:t>64.500,00</w:t>
            </w:r>
          </w:p>
        </w:tc>
        <w:tc>
          <w:tcPr>
            <w:tcW w:w="1395" w:type="dxa"/>
            <w:tcBorders>
              <w:bottom w:val="single" w:sz="6" w:space="0" w:color="000000"/>
              <w:right w:val="single" w:sz="6" w:space="0" w:color="000000"/>
            </w:tcBorders>
            <w:vAlign w:val="center"/>
          </w:tcPr>
          <w:p w14:paraId="4365DAFA"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58E7985"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5D8C5D9" w14:textId="77777777" w:rsidR="007D706A" w:rsidRDefault="007D706A" w:rsidP="00F70508">
            <w:pPr>
              <w:pStyle w:val="ParagraphStyle9"/>
              <w:rPr>
                <w:rStyle w:val="CharacterStyle9"/>
              </w:rPr>
            </w:pPr>
            <w:r>
              <w:rPr>
                <w:rStyle w:val="CharacterStyle9"/>
              </w:rPr>
              <w:t>0,00</w:t>
            </w:r>
          </w:p>
        </w:tc>
      </w:tr>
      <w:tr w:rsidR="007D706A" w14:paraId="52F85E7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167949A"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7DBC84E6"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44436B2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972CFCB" w14:textId="77777777" w:rsidR="007D706A" w:rsidRDefault="007D706A" w:rsidP="00F70508">
            <w:pPr>
              <w:pStyle w:val="ParagraphStyle12"/>
              <w:rPr>
                <w:rStyle w:val="CharacterStyle12"/>
              </w:rPr>
            </w:pPr>
            <w:r>
              <w:rPr>
                <w:rStyle w:val="CharacterStyle12"/>
              </w:rPr>
              <w:t>64.500,00</w:t>
            </w:r>
          </w:p>
        </w:tc>
        <w:tc>
          <w:tcPr>
            <w:tcW w:w="1395" w:type="dxa"/>
            <w:tcBorders>
              <w:bottom w:val="single" w:sz="6" w:space="0" w:color="000000"/>
              <w:right w:val="single" w:sz="6" w:space="0" w:color="000000"/>
            </w:tcBorders>
            <w:vAlign w:val="center"/>
          </w:tcPr>
          <w:p w14:paraId="749A9F0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AD381D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F282AA2" w14:textId="77777777" w:rsidR="007D706A" w:rsidRDefault="007D706A" w:rsidP="00F70508">
            <w:pPr>
              <w:pStyle w:val="ParagraphStyle12"/>
              <w:rPr>
                <w:rStyle w:val="CharacterStyle12"/>
              </w:rPr>
            </w:pPr>
            <w:r>
              <w:rPr>
                <w:rStyle w:val="CharacterStyle12"/>
              </w:rPr>
              <w:t>0,00</w:t>
            </w:r>
          </w:p>
        </w:tc>
      </w:tr>
      <w:tr w:rsidR="007D706A" w14:paraId="1D09395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D4DF938" w14:textId="77777777" w:rsidR="007D706A" w:rsidRDefault="007D706A" w:rsidP="00F70508">
            <w:pPr>
              <w:pStyle w:val="ParagraphStyle10"/>
              <w:rPr>
                <w:rStyle w:val="CharacterStyle10"/>
              </w:rPr>
            </w:pPr>
            <w:r>
              <w:rPr>
                <w:rStyle w:val="CharacterStyle10"/>
              </w:rPr>
              <w:t>35</w:t>
            </w:r>
          </w:p>
        </w:tc>
        <w:tc>
          <w:tcPr>
            <w:tcW w:w="4995" w:type="dxa"/>
            <w:tcBorders>
              <w:bottom w:val="single" w:sz="6" w:space="0" w:color="000000"/>
              <w:right w:val="single" w:sz="6" w:space="0" w:color="000000"/>
            </w:tcBorders>
            <w:vAlign w:val="center"/>
          </w:tcPr>
          <w:p w14:paraId="535E8CF8" w14:textId="77777777" w:rsidR="007D706A" w:rsidRDefault="007D706A" w:rsidP="00F70508">
            <w:pPr>
              <w:pStyle w:val="ParagraphStyle11"/>
              <w:rPr>
                <w:rStyle w:val="CharacterStyle11"/>
              </w:rPr>
            </w:pPr>
            <w:r>
              <w:rPr>
                <w:rStyle w:val="CharacterStyle11"/>
              </w:rPr>
              <w:t>Subvencije</w:t>
            </w:r>
          </w:p>
        </w:tc>
        <w:tc>
          <w:tcPr>
            <w:tcW w:w="1395" w:type="dxa"/>
            <w:tcBorders>
              <w:bottom w:val="single" w:sz="6" w:space="0" w:color="000000"/>
              <w:right w:val="single" w:sz="6" w:space="0" w:color="000000"/>
            </w:tcBorders>
            <w:vAlign w:val="center"/>
          </w:tcPr>
          <w:p w14:paraId="6D52E5B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042FB8A" w14:textId="77777777" w:rsidR="007D706A" w:rsidRDefault="007D706A" w:rsidP="00F70508">
            <w:pPr>
              <w:pStyle w:val="ParagraphStyle12"/>
              <w:rPr>
                <w:rStyle w:val="CharacterStyle12"/>
              </w:rPr>
            </w:pPr>
            <w:r>
              <w:rPr>
                <w:rStyle w:val="CharacterStyle12"/>
              </w:rPr>
              <w:t>64.500,00</w:t>
            </w:r>
          </w:p>
        </w:tc>
        <w:tc>
          <w:tcPr>
            <w:tcW w:w="1395" w:type="dxa"/>
            <w:tcBorders>
              <w:bottom w:val="single" w:sz="6" w:space="0" w:color="000000"/>
              <w:right w:val="single" w:sz="6" w:space="0" w:color="000000"/>
            </w:tcBorders>
            <w:vAlign w:val="center"/>
          </w:tcPr>
          <w:p w14:paraId="44B8AC2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BB252C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31D7B20" w14:textId="77777777" w:rsidR="007D706A" w:rsidRDefault="007D706A" w:rsidP="00F70508">
            <w:pPr>
              <w:pStyle w:val="ParagraphStyle12"/>
              <w:rPr>
                <w:rStyle w:val="CharacterStyle12"/>
              </w:rPr>
            </w:pPr>
            <w:r>
              <w:rPr>
                <w:rStyle w:val="CharacterStyle12"/>
              </w:rPr>
              <w:t>0,00</w:t>
            </w:r>
          </w:p>
        </w:tc>
      </w:tr>
      <w:tr w:rsidR="007D706A" w14:paraId="03B29F3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5E999B9" w14:textId="77777777" w:rsidR="007D706A" w:rsidRDefault="007D706A" w:rsidP="00F70508">
            <w:pPr>
              <w:pStyle w:val="ParagraphStyle4"/>
              <w:rPr>
                <w:rStyle w:val="CharacterStyle4"/>
              </w:rPr>
            </w:pPr>
            <w:r>
              <w:rPr>
                <w:rStyle w:val="CharacterStyle4"/>
              </w:rPr>
              <w:t>Aktivnost A103103</w:t>
            </w:r>
          </w:p>
        </w:tc>
        <w:tc>
          <w:tcPr>
            <w:tcW w:w="4995" w:type="dxa"/>
            <w:tcBorders>
              <w:bottom w:val="single" w:sz="6" w:space="0" w:color="000000"/>
              <w:right w:val="single" w:sz="6" w:space="0" w:color="000000"/>
            </w:tcBorders>
            <w:vAlign w:val="center"/>
          </w:tcPr>
          <w:p w14:paraId="6DBB13E3" w14:textId="77777777" w:rsidR="007D706A" w:rsidRDefault="007D706A" w:rsidP="00F70508">
            <w:pPr>
              <w:pStyle w:val="ParagraphStyle5"/>
              <w:rPr>
                <w:rStyle w:val="CharacterStyle5"/>
              </w:rPr>
            </w:pPr>
            <w:r>
              <w:rPr>
                <w:rStyle w:val="CharacterStyle5"/>
              </w:rPr>
              <w:t>TEKUĆE ODRŽAVANJE PLIVAČKOG BAZENA "DELFIN"</w:t>
            </w:r>
          </w:p>
        </w:tc>
        <w:tc>
          <w:tcPr>
            <w:tcW w:w="1395" w:type="dxa"/>
            <w:tcBorders>
              <w:bottom w:val="single" w:sz="6" w:space="0" w:color="000000"/>
              <w:right w:val="single" w:sz="6" w:space="0" w:color="000000"/>
            </w:tcBorders>
            <w:vAlign w:val="center"/>
          </w:tcPr>
          <w:p w14:paraId="3CF6E8D2"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674E95C8" w14:textId="77777777" w:rsidR="007D706A" w:rsidRDefault="007D706A" w:rsidP="00F70508">
            <w:pPr>
              <w:pStyle w:val="ParagraphStyle6"/>
              <w:rPr>
                <w:rStyle w:val="CharacterStyle6"/>
              </w:rPr>
            </w:pPr>
            <w:r>
              <w:rPr>
                <w:rStyle w:val="CharacterStyle6"/>
              </w:rPr>
              <w:t>79.500,00</w:t>
            </w:r>
          </w:p>
        </w:tc>
        <w:tc>
          <w:tcPr>
            <w:tcW w:w="1395" w:type="dxa"/>
            <w:tcBorders>
              <w:bottom w:val="single" w:sz="6" w:space="0" w:color="000000"/>
              <w:right w:val="single" w:sz="6" w:space="0" w:color="000000"/>
            </w:tcBorders>
            <w:vAlign w:val="center"/>
          </w:tcPr>
          <w:p w14:paraId="4CD4FD29" w14:textId="77777777" w:rsidR="007D706A" w:rsidRDefault="007D706A" w:rsidP="00F70508">
            <w:pPr>
              <w:pStyle w:val="ParagraphStyle6"/>
              <w:rPr>
                <w:rStyle w:val="CharacterStyle6"/>
              </w:rPr>
            </w:pPr>
            <w:r>
              <w:rPr>
                <w:rStyle w:val="CharacterStyle6"/>
              </w:rPr>
              <w:t>79.500,00</w:t>
            </w:r>
          </w:p>
        </w:tc>
        <w:tc>
          <w:tcPr>
            <w:tcW w:w="1395" w:type="dxa"/>
            <w:tcBorders>
              <w:bottom w:val="single" w:sz="6" w:space="0" w:color="000000"/>
              <w:right w:val="single" w:sz="6" w:space="0" w:color="000000"/>
            </w:tcBorders>
            <w:vAlign w:val="center"/>
          </w:tcPr>
          <w:p w14:paraId="2200F021" w14:textId="77777777" w:rsidR="007D706A" w:rsidRDefault="007D706A" w:rsidP="00F70508">
            <w:pPr>
              <w:pStyle w:val="ParagraphStyle6"/>
              <w:rPr>
                <w:rStyle w:val="CharacterStyle6"/>
              </w:rPr>
            </w:pPr>
            <w:r>
              <w:rPr>
                <w:rStyle w:val="CharacterStyle6"/>
              </w:rPr>
              <w:t>89.250,00</w:t>
            </w:r>
          </w:p>
        </w:tc>
        <w:tc>
          <w:tcPr>
            <w:tcW w:w="1395" w:type="dxa"/>
            <w:tcBorders>
              <w:bottom w:val="single" w:sz="6" w:space="0" w:color="000000"/>
              <w:right w:val="single" w:sz="6" w:space="0" w:color="000000"/>
            </w:tcBorders>
            <w:vAlign w:val="center"/>
          </w:tcPr>
          <w:p w14:paraId="1908DA7D" w14:textId="77777777" w:rsidR="007D706A" w:rsidRDefault="007D706A" w:rsidP="00F70508">
            <w:pPr>
              <w:pStyle w:val="ParagraphStyle6"/>
              <w:rPr>
                <w:rStyle w:val="CharacterStyle6"/>
              </w:rPr>
            </w:pPr>
            <w:r>
              <w:rPr>
                <w:rStyle w:val="CharacterStyle6"/>
              </w:rPr>
              <w:t>91.950,00</w:t>
            </w:r>
          </w:p>
        </w:tc>
      </w:tr>
      <w:tr w:rsidR="007D706A" w14:paraId="1C0F9EF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693B8FB"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1C2C5C83"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6CE5D3A5"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7F55AC6"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AA84542" w14:textId="77777777" w:rsidR="007D706A" w:rsidRDefault="007D706A" w:rsidP="00F70508">
            <w:pPr>
              <w:pStyle w:val="ParagraphStyle9"/>
              <w:rPr>
                <w:rStyle w:val="CharacterStyle9"/>
              </w:rPr>
            </w:pPr>
            <w:r>
              <w:rPr>
                <w:rStyle w:val="CharacterStyle9"/>
              </w:rPr>
              <w:t>79.500,00</w:t>
            </w:r>
          </w:p>
        </w:tc>
        <w:tc>
          <w:tcPr>
            <w:tcW w:w="1395" w:type="dxa"/>
            <w:tcBorders>
              <w:bottom w:val="single" w:sz="6" w:space="0" w:color="000000"/>
              <w:right w:val="single" w:sz="6" w:space="0" w:color="000000"/>
            </w:tcBorders>
            <w:vAlign w:val="center"/>
          </w:tcPr>
          <w:p w14:paraId="1475BAF6"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3923BDF" w14:textId="77777777" w:rsidR="007D706A" w:rsidRDefault="007D706A" w:rsidP="00F70508">
            <w:pPr>
              <w:pStyle w:val="ParagraphStyle9"/>
              <w:rPr>
                <w:rStyle w:val="CharacterStyle9"/>
              </w:rPr>
            </w:pPr>
            <w:r>
              <w:rPr>
                <w:rStyle w:val="CharacterStyle9"/>
              </w:rPr>
              <w:t>0,00</w:t>
            </w:r>
          </w:p>
        </w:tc>
      </w:tr>
      <w:tr w:rsidR="007D706A" w14:paraId="217CC8D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E5187F4"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38D94D8B"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0380A64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97821B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0B2A2EE" w14:textId="77777777" w:rsidR="007D706A" w:rsidRDefault="007D706A" w:rsidP="00F70508">
            <w:pPr>
              <w:pStyle w:val="ParagraphStyle12"/>
              <w:rPr>
                <w:rStyle w:val="CharacterStyle12"/>
              </w:rPr>
            </w:pPr>
            <w:r>
              <w:rPr>
                <w:rStyle w:val="CharacterStyle12"/>
              </w:rPr>
              <w:t>79.500,00</w:t>
            </w:r>
          </w:p>
        </w:tc>
        <w:tc>
          <w:tcPr>
            <w:tcW w:w="1395" w:type="dxa"/>
            <w:tcBorders>
              <w:bottom w:val="single" w:sz="6" w:space="0" w:color="000000"/>
              <w:right w:val="single" w:sz="6" w:space="0" w:color="000000"/>
            </w:tcBorders>
            <w:vAlign w:val="center"/>
          </w:tcPr>
          <w:p w14:paraId="30214D8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8A79E9E" w14:textId="77777777" w:rsidR="007D706A" w:rsidRDefault="007D706A" w:rsidP="00F70508">
            <w:pPr>
              <w:pStyle w:val="ParagraphStyle12"/>
              <w:rPr>
                <w:rStyle w:val="CharacterStyle12"/>
              </w:rPr>
            </w:pPr>
            <w:r>
              <w:rPr>
                <w:rStyle w:val="CharacterStyle12"/>
              </w:rPr>
              <w:t>0,00</w:t>
            </w:r>
          </w:p>
        </w:tc>
      </w:tr>
      <w:tr w:rsidR="007D706A" w14:paraId="02A02E0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B310DAF" w14:textId="77777777" w:rsidR="007D706A" w:rsidRDefault="007D706A" w:rsidP="00F70508">
            <w:pPr>
              <w:pStyle w:val="ParagraphStyle10"/>
              <w:rPr>
                <w:rStyle w:val="CharacterStyle10"/>
              </w:rPr>
            </w:pPr>
            <w:r>
              <w:rPr>
                <w:rStyle w:val="CharacterStyle10"/>
              </w:rPr>
              <w:t>35</w:t>
            </w:r>
          </w:p>
        </w:tc>
        <w:tc>
          <w:tcPr>
            <w:tcW w:w="4995" w:type="dxa"/>
            <w:tcBorders>
              <w:bottom w:val="single" w:sz="6" w:space="0" w:color="000000"/>
              <w:right w:val="single" w:sz="6" w:space="0" w:color="000000"/>
            </w:tcBorders>
            <w:vAlign w:val="center"/>
          </w:tcPr>
          <w:p w14:paraId="33E6D3E8" w14:textId="77777777" w:rsidR="007D706A" w:rsidRDefault="007D706A" w:rsidP="00F70508">
            <w:pPr>
              <w:pStyle w:val="ParagraphStyle11"/>
              <w:rPr>
                <w:rStyle w:val="CharacterStyle11"/>
              </w:rPr>
            </w:pPr>
            <w:r>
              <w:rPr>
                <w:rStyle w:val="CharacterStyle11"/>
              </w:rPr>
              <w:t>Subvencije</w:t>
            </w:r>
          </w:p>
        </w:tc>
        <w:tc>
          <w:tcPr>
            <w:tcW w:w="1395" w:type="dxa"/>
            <w:tcBorders>
              <w:bottom w:val="single" w:sz="6" w:space="0" w:color="000000"/>
              <w:right w:val="single" w:sz="6" w:space="0" w:color="000000"/>
            </w:tcBorders>
            <w:vAlign w:val="center"/>
          </w:tcPr>
          <w:p w14:paraId="395C433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38CAB2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68F5DF2" w14:textId="77777777" w:rsidR="007D706A" w:rsidRDefault="007D706A" w:rsidP="00F70508">
            <w:pPr>
              <w:pStyle w:val="ParagraphStyle12"/>
              <w:rPr>
                <w:rStyle w:val="CharacterStyle12"/>
              </w:rPr>
            </w:pPr>
            <w:r>
              <w:rPr>
                <w:rStyle w:val="CharacterStyle12"/>
              </w:rPr>
              <w:t>79.500,00</w:t>
            </w:r>
          </w:p>
        </w:tc>
        <w:tc>
          <w:tcPr>
            <w:tcW w:w="1395" w:type="dxa"/>
            <w:tcBorders>
              <w:bottom w:val="single" w:sz="6" w:space="0" w:color="000000"/>
              <w:right w:val="single" w:sz="6" w:space="0" w:color="000000"/>
            </w:tcBorders>
            <w:vAlign w:val="center"/>
          </w:tcPr>
          <w:p w14:paraId="2513F82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A232DC9" w14:textId="77777777" w:rsidR="007D706A" w:rsidRDefault="007D706A" w:rsidP="00F70508">
            <w:pPr>
              <w:pStyle w:val="ParagraphStyle12"/>
              <w:rPr>
                <w:rStyle w:val="CharacterStyle12"/>
              </w:rPr>
            </w:pPr>
            <w:r>
              <w:rPr>
                <w:rStyle w:val="CharacterStyle12"/>
              </w:rPr>
              <w:t>0,00</w:t>
            </w:r>
          </w:p>
        </w:tc>
      </w:tr>
      <w:tr w:rsidR="007D706A" w14:paraId="489908B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6133469" w14:textId="77777777" w:rsidR="007D706A" w:rsidRDefault="007D706A" w:rsidP="00F70508">
            <w:pPr>
              <w:pStyle w:val="ParagraphStyle7"/>
              <w:rPr>
                <w:rStyle w:val="CharacterStyle7"/>
              </w:rPr>
            </w:pPr>
            <w:r>
              <w:rPr>
                <w:rStyle w:val="CharacterStyle7"/>
              </w:rPr>
              <w:t>Izvor financiranja 40</w:t>
            </w:r>
          </w:p>
        </w:tc>
        <w:tc>
          <w:tcPr>
            <w:tcW w:w="4995" w:type="dxa"/>
            <w:tcBorders>
              <w:bottom w:val="single" w:sz="6" w:space="0" w:color="000000"/>
              <w:right w:val="single" w:sz="6" w:space="0" w:color="000000"/>
            </w:tcBorders>
            <w:vAlign w:val="center"/>
          </w:tcPr>
          <w:p w14:paraId="39CE86E0" w14:textId="77777777" w:rsidR="007D706A" w:rsidRDefault="007D706A" w:rsidP="00F70508">
            <w:pPr>
              <w:pStyle w:val="ParagraphStyle8"/>
              <w:rPr>
                <w:rStyle w:val="CharacterStyle8"/>
              </w:rPr>
            </w:pPr>
            <w:r>
              <w:rPr>
                <w:rStyle w:val="CharacterStyle8"/>
              </w:rPr>
              <w:t>Prihodi od komunalne naknade i komunalnog doprinosa</w:t>
            </w:r>
          </w:p>
        </w:tc>
        <w:tc>
          <w:tcPr>
            <w:tcW w:w="1395" w:type="dxa"/>
            <w:tcBorders>
              <w:bottom w:val="single" w:sz="6" w:space="0" w:color="000000"/>
              <w:right w:val="single" w:sz="6" w:space="0" w:color="000000"/>
            </w:tcBorders>
            <w:vAlign w:val="center"/>
          </w:tcPr>
          <w:p w14:paraId="43190AFA"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2C6FD3A"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6ED5CD6"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B0F2B26" w14:textId="77777777" w:rsidR="007D706A" w:rsidRDefault="007D706A" w:rsidP="00F70508">
            <w:pPr>
              <w:pStyle w:val="ParagraphStyle9"/>
              <w:rPr>
                <w:rStyle w:val="CharacterStyle9"/>
              </w:rPr>
            </w:pPr>
            <w:r>
              <w:rPr>
                <w:rStyle w:val="CharacterStyle9"/>
              </w:rPr>
              <w:t>89.250,00</w:t>
            </w:r>
          </w:p>
        </w:tc>
        <w:tc>
          <w:tcPr>
            <w:tcW w:w="1395" w:type="dxa"/>
            <w:tcBorders>
              <w:bottom w:val="single" w:sz="6" w:space="0" w:color="000000"/>
              <w:right w:val="single" w:sz="6" w:space="0" w:color="000000"/>
            </w:tcBorders>
            <w:vAlign w:val="center"/>
          </w:tcPr>
          <w:p w14:paraId="7FF72D7D" w14:textId="77777777" w:rsidR="007D706A" w:rsidRDefault="007D706A" w:rsidP="00F70508">
            <w:pPr>
              <w:pStyle w:val="ParagraphStyle9"/>
              <w:rPr>
                <w:rStyle w:val="CharacterStyle9"/>
              </w:rPr>
            </w:pPr>
            <w:r>
              <w:rPr>
                <w:rStyle w:val="CharacterStyle9"/>
              </w:rPr>
              <w:t>91.950,00</w:t>
            </w:r>
          </w:p>
        </w:tc>
      </w:tr>
      <w:tr w:rsidR="007D706A" w14:paraId="39DDE33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1EF9145"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4EA4E087"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26467A6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8D38A3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669C83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3334319" w14:textId="77777777" w:rsidR="007D706A" w:rsidRDefault="007D706A" w:rsidP="00F70508">
            <w:pPr>
              <w:pStyle w:val="ParagraphStyle12"/>
              <w:rPr>
                <w:rStyle w:val="CharacterStyle12"/>
              </w:rPr>
            </w:pPr>
            <w:r>
              <w:rPr>
                <w:rStyle w:val="CharacterStyle12"/>
              </w:rPr>
              <w:t>89.250,00</w:t>
            </w:r>
          </w:p>
        </w:tc>
        <w:tc>
          <w:tcPr>
            <w:tcW w:w="1395" w:type="dxa"/>
            <w:tcBorders>
              <w:bottom w:val="single" w:sz="6" w:space="0" w:color="000000"/>
              <w:right w:val="single" w:sz="6" w:space="0" w:color="000000"/>
            </w:tcBorders>
            <w:vAlign w:val="center"/>
          </w:tcPr>
          <w:p w14:paraId="60A1CA61" w14:textId="77777777" w:rsidR="007D706A" w:rsidRDefault="007D706A" w:rsidP="00F70508">
            <w:pPr>
              <w:pStyle w:val="ParagraphStyle12"/>
              <w:rPr>
                <w:rStyle w:val="CharacterStyle12"/>
              </w:rPr>
            </w:pPr>
            <w:r>
              <w:rPr>
                <w:rStyle w:val="CharacterStyle12"/>
              </w:rPr>
              <w:t>91.950,00</w:t>
            </w:r>
          </w:p>
        </w:tc>
      </w:tr>
      <w:tr w:rsidR="007D706A" w14:paraId="29E3285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06204F4" w14:textId="77777777" w:rsidR="007D706A" w:rsidRDefault="007D706A" w:rsidP="00F70508">
            <w:pPr>
              <w:pStyle w:val="ParagraphStyle10"/>
              <w:rPr>
                <w:rStyle w:val="CharacterStyle10"/>
              </w:rPr>
            </w:pPr>
            <w:r>
              <w:rPr>
                <w:rStyle w:val="CharacterStyle10"/>
              </w:rPr>
              <w:t>35</w:t>
            </w:r>
          </w:p>
        </w:tc>
        <w:tc>
          <w:tcPr>
            <w:tcW w:w="4995" w:type="dxa"/>
            <w:tcBorders>
              <w:bottom w:val="single" w:sz="6" w:space="0" w:color="000000"/>
              <w:right w:val="single" w:sz="6" w:space="0" w:color="000000"/>
            </w:tcBorders>
            <w:vAlign w:val="center"/>
          </w:tcPr>
          <w:p w14:paraId="1B64CDEC" w14:textId="77777777" w:rsidR="007D706A" w:rsidRDefault="007D706A" w:rsidP="00F70508">
            <w:pPr>
              <w:pStyle w:val="ParagraphStyle11"/>
              <w:rPr>
                <w:rStyle w:val="CharacterStyle11"/>
              </w:rPr>
            </w:pPr>
            <w:r>
              <w:rPr>
                <w:rStyle w:val="CharacterStyle11"/>
              </w:rPr>
              <w:t>Subvencije</w:t>
            </w:r>
          </w:p>
        </w:tc>
        <w:tc>
          <w:tcPr>
            <w:tcW w:w="1395" w:type="dxa"/>
            <w:tcBorders>
              <w:bottom w:val="single" w:sz="6" w:space="0" w:color="000000"/>
              <w:right w:val="single" w:sz="6" w:space="0" w:color="000000"/>
            </w:tcBorders>
            <w:vAlign w:val="center"/>
          </w:tcPr>
          <w:p w14:paraId="053CA2F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243A09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7756F3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F378191" w14:textId="77777777" w:rsidR="007D706A" w:rsidRDefault="007D706A" w:rsidP="00F70508">
            <w:pPr>
              <w:pStyle w:val="ParagraphStyle12"/>
              <w:rPr>
                <w:rStyle w:val="CharacterStyle12"/>
              </w:rPr>
            </w:pPr>
            <w:r>
              <w:rPr>
                <w:rStyle w:val="CharacterStyle12"/>
              </w:rPr>
              <w:t>89.250,00</w:t>
            </w:r>
          </w:p>
        </w:tc>
        <w:tc>
          <w:tcPr>
            <w:tcW w:w="1395" w:type="dxa"/>
            <w:tcBorders>
              <w:bottom w:val="single" w:sz="6" w:space="0" w:color="000000"/>
              <w:right w:val="single" w:sz="6" w:space="0" w:color="000000"/>
            </w:tcBorders>
            <w:vAlign w:val="center"/>
          </w:tcPr>
          <w:p w14:paraId="3F7295A1" w14:textId="77777777" w:rsidR="007D706A" w:rsidRDefault="007D706A" w:rsidP="00F70508">
            <w:pPr>
              <w:pStyle w:val="ParagraphStyle12"/>
              <w:rPr>
                <w:rStyle w:val="CharacterStyle12"/>
              </w:rPr>
            </w:pPr>
            <w:r>
              <w:rPr>
                <w:rStyle w:val="CharacterStyle12"/>
              </w:rPr>
              <w:t>91.950,00</w:t>
            </w:r>
          </w:p>
        </w:tc>
      </w:tr>
      <w:tr w:rsidR="007D706A" w14:paraId="2046051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A9060B0" w14:textId="77777777" w:rsidR="007D706A" w:rsidRDefault="007D706A" w:rsidP="00F70508">
            <w:pPr>
              <w:pStyle w:val="ParagraphStyle7"/>
              <w:rPr>
                <w:rStyle w:val="CharacterStyle7"/>
              </w:rPr>
            </w:pPr>
            <w:r>
              <w:rPr>
                <w:rStyle w:val="CharacterStyle7"/>
              </w:rPr>
              <w:t>Izvor financiranja 41</w:t>
            </w:r>
          </w:p>
        </w:tc>
        <w:tc>
          <w:tcPr>
            <w:tcW w:w="4995" w:type="dxa"/>
            <w:tcBorders>
              <w:bottom w:val="single" w:sz="6" w:space="0" w:color="000000"/>
              <w:right w:val="single" w:sz="6" w:space="0" w:color="000000"/>
            </w:tcBorders>
            <w:vAlign w:val="center"/>
          </w:tcPr>
          <w:p w14:paraId="5FD9FECD" w14:textId="77777777" w:rsidR="007D706A" w:rsidRDefault="007D706A" w:rsidP="00F70508">
            <w:pPr>
              <w:pStyle w:val="ParagraphStyle8"/>
              <w:rPr>
                <w:rStyle w:val="CharacterStyle8"/>
              </w:rPr>
            </w:pPr>
            <w:r>
              <w:rPr>
                <w:rStyle w:val="CharacterStyle8"/>
              </w:rPr>
              <w:t>Prihodi za posebne namjene</w:t>
            </w:r>
          </w:p>
        </w:tc>
        <w:tc>
          <w:tcPr>
            <w:tcW w:w="1395" w:type="dxa"/>
            <w:tcBorders>
              <w:bottom w:val="single" w:sz="6" w:space="0" w:color="000000"/>
              <w:right w:val="single" w:sz="6" w:space="0" w:color="000000"/>
            </w:tcBorders>
            <w:vAlign w:val="center"/>
          </w:tcPr>
          <w:p w14:paraId="4910E786"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88ECC7C" w14:textId="77777777" w:rsidR="007D706A" w:rsidRDefault="007D706A" w:rsidP="00F70508">
            <w:pPr>
              <w:pStyle w:val="ParagraphStyle9"/>
              <w:rPr>
                <w:rStyle w:val="CharacterStyle9"/>
              </w:rPr>
            </w:pPr>
            <w:r>
              <w:rPr>
                <w:rStyle w:val="CharacterStyle9"/>
              </w:rPr>
              <w:t>79.500,00</w:t>
            </w:r>
          </w:p>
        </w:tc>
        <w:tc>
          <w:tcPr>
            <w:tcW w:w="1395" w:type="dxa"/>
            <w:tcBorders>
              <w:bottom w:val="single" w:sz="6" w:space="0" w:color="000000"/>
              <w:right w:val="single" w:sz="6" w:space="0" w:color="000000"/>
            </w:tcBorders>
            <w:vAlign w:val="center"/>
          </w:tcPr>
          <w:p w14:paraId="09476B7F"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3F38E54"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1A7DFEC" w14:textId="77777777" w:rsidR="007D706A" w:rsidRDefault="007D706A" w:rsidP="00F70508">
            <w:pPr>
              <w:pStyle w:val="ParagraphStyle9"/>
              <w:rPr>
                <w:rStyle w:val="CharacterStyle9"/>
              </w:rPr>
            </w:pPr>
            <w:r>
              <w:rPr>
                <w:rStyle w:val="CharacterStyle9"/>
              </w:rPr>
              <w:t>0,00</w:t>
            </w:r>
          </w:p>
        </w:tc>
      </w:tr>
      <w:tr w:rsidR="007D706A" w14:paraId="23CAF04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93D876A"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0880C6DD"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4F59C3E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1BC8666" w14:textId="77777777" w:rsidR="007D706A" w:rsidRDefault="007D706A" w:rsidP="00F70508">
            <w:pPr>
              <w:pStyle w:val="ParagraphStyle12"/>
              <w:rPr>
                <w:rStyle w:val="CharacterStyle12"/>
              </w:rPr>
            </w:pPr>
            <w:r>
              <w:rPr>
                <w:rStyle w:val="CharacterStyle12"/>
              </w:rPr>
              <w:t>79.500,00</w:t>
            </w:r>
          </w:p>
        </w:tc>
        <w:tc>
          <w:tcPr>
            <w:tcW w:w="1395" w:type="dxa"/>
            <w:tcBorders>
              <w:bottom w:val="single" w:sz="6" w:space="0" w:color="000000"/>
              <w:right w:val="single" w:sz="6" w:space="0" w:color="000000"/>
            </w:tcBorders>
            <w:vAlign w:val="center"/>
          </w:tcPr>
          <w:p w14:paraId="787CD3F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7DC8D8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32F9745" w14:textId="77777777" w:rsidR="007D706A" w:rsidRDefault="007D706A" w:rsidP="00F70508">
            <w:pPr>
              <w:pStyle w:val="ParagraphStyle12"/>
              <w:rPr>
                <w:rStyle w:val="CharacterStyle12"/>
              </w:rPr>
            </w:pPr>
            <w:r>
              <w:rPr>
                <w:rStyle w:val="CharacterStyle12"/>
              </w:rPr>
              <w:t>0,00</w:t>
            </w:r>
          </w:p>
        </w:tc>
      </w:tr>
      <w:tr w:rsidR="007D706A" w14:paraId="6089C5E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B6FE4AD" w14:textId="77777777" w:rsidR="007D706A" w:rsidRDefault="007D706A" w:rsidP="00F70508">
            <w:pPr>
              <w:pStyle w:val="ParagraphStyle10"/>
              <w:rPr>
                <w:rStyle w:val="CharacterStyle10"/>
              </w:rPr>
            </w:pPr>
            <w:r>
              <w:rPr>
                <w:rStyle w:val="CharacterStyle10"/>
              </w:rPr>
              <w:t>35</w:t>
            </w:r>
          </w:p>
        </w:tc>
        <w:tc>
          <w:tcPr>
            <w:tcW w:w="4995" w:type="dxa"/>
            <w:tcBorders>
              <w:bottom w:val="single" w:sz="6" w:space="0" w:color="000000"/>
              <w:right w:val="single" w:sz="6" w:space="0" w:color="000000"/>
            </w:tcBorders>
            <w:vAlign w:val="center"/>
          </w:tcPr>
          <w:p w14:paraId="4EA48C60" w14:textId="77777777" w:rsidR="007D706A" w:rsidRDefault="007D706A" w:rsidP="00F70508">
            <w:pPr>
              <w:pStyle w:val="ParagraphStyle11"/>
              <w:rPr>
                <w:rStyle w:val="CharacterStyle11"/>
              </w:rPr>
            </w:pPr>
            <w:r>
              <w:rPr>
                <w:rStyle w:val="CharacterStyle11"/>
              </w:rPr>
              <w:t>Subvencije</w:t>
            </w:r>
          </w:p>
        </w:tc>
        <w:tc>
          <w:tcPr>
            <w:tcW w:w="1395" w:type="dxa"/>
            <w:tcBorders>
              <w:bottom w:val="single" w:sz="6" w:space="0" w:color="000000"/>
              <w:right w:val="single" w:sz="6" w:space="0" w:color="000000"/>
            </w:tcBorders>
            <w:vAlign w:val="center"/>
          </w:tcPr>
          <w:p w14:paraId="19AA1C5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E0CEFF2" w14:textId="77777777" w:rsidR="007D706A" w:rsidRDefault="007D706A" w:rsidP="00F70508">
            <w:pPr>
              <w:pStyle w:val="ParagraphStyle12"/>
              <w:rPr>
                <w:rStyle w:val="CharacterStyle12"/>
              </w:rPr>
            </w:pPr>
            <w:r>
              <w:rPr>
                <w:rStyle w:val="CharacterStyle12"/>
              </w:rPr>
              <w:t>79.500,00</w:t>
            </w:r>
          </w:p>
        </w:tc>
        <w:tc>
          <w:tcPr>
            <w:tcW w:w="1395" w:type="dxa"/>
            <w:tcBorders>
              <w:bottom w:val="single" w:sz="6" w:space="0" w:color="000000"/>
              <w:right w:val="single" w:sz="6" w:space="0" w:color="000000"/>
            </w:tcBorders>
            <w:vAlign w:val="center"/>
          </w:tcPr>
          <w:p w14:paraId="415DEA4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AF2B8E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CAC7ECF" w14:textId="77777777" w:rsidR="007D706A" w:rsidRDefault="007D706A" w:rsidP="00F70508">
            <w:pPr>
              <w:pStyle w:val="ParagraphStyle12"/>
              <w:rPr>
                <w:rStyle w:val="CharacterStyle12"/>
              </w:rPr>
            </w:pPr>
            <w:r>
              <w:rPr>
                <w:rStyle w:val="CharacterStyle12"/>
              </w:rPr>
              <w:t>0,00</w:t>
            </w:r>
          </w:p>
        </w:tc>
      </w:tr>
      <w:tr w:rsidR="007D706A" w14:paraId="25A410F6" w14:textId="77777777" w:rsidTr="00F70508">
        <w:trPr>
          <w:trHeight w:val="405"/>
        </w:trPr>
        <w:tc>
          <w:tcPr>
            <w:tcW w:w="2880" w:type="dxa"/>
            <w:tcBorders>
              <w:left w:val="single" w:sz="6" w:space="0" w:color="000000"/>
              <w:bottom w:val="single" w:sz="6" w:space="0" w:color="000000"/>
              <w:right w:val="single" w:sz="6" w:space="0" w:color="000000"/>
            </w:tcBorders>
            <w:vAlign w:val="center"/>
          </w:tcPr>
          <w:p w14:paraId="207B2988" w14:textId="77777777" w:rsidR="007D706A" w:rsidRDefault="007D706A" w:rsidP="00F70508">
            <w:pPr>
              <w:pStyle w:val="ParagraphStyle4"/>
              <w:rPr>
                <w:rStyle w:val="CharacterStyle4"/>
              </w:rPr>
            </w:pPr>
            <w:r>
              <w:rPr>
                <w:rStyle w:val="CharacterStyle4"/>
              </w:rPr>
              <w:t>Aktivnost A103106</w:t>
            </w:r>
          </w:p>
        </w:tc>
        <w:tc>
          <w:tcPr>
            <w:tcW w:w="4995" w:type="dxa"/>
            <w:tcBorders>
              <w:bottom w:val="single" w:sz="6" w:space="0" w:color="000000"/>
              <w:right w:val="single" w:sz="6" w:space="0" w:color="000000"/>
            </w:tcBorders>
            <w:vAlign w:val="center"/>
          </w:tcPr>
          <w:p w14:paraId="2FF519BA" w14:textId="77777777" w:rsidR="007D706A" w:rsidRDefault="007D706A" w:rsidP="00F70508">
            <w:pPr>
              <w:pStyle w:val="ParagraphStyle5"/>
              <w:rPr>
                <w:rStyle w:val="CharacterStyle5"/>
              </w:rPr>
            </w:pPr>
            <w:r>
              <w:rPr>
                <w:rStyle w:val="CharacterStyle5"/>
              </w:rPr>
              <w:t>TEKUĆE ODRŽAVANJE SPORTSKO LJEČILIŠNOG BAZENSKOG KOMPLEKSA</w:t>
            </w:r>
          </w:p>
        </w:tc>
        <w:tc>
          <w:tcPr>
            <w:tcW w:w="1395" w:type="dxa"/>
            <w:tcBorders>
              <w:bottom w:val="single" w:sz="6" w:space="0" w:color="000000"/>
              <w:right w:val="single" w:sz="6" w:space="0" w:color="000000"/>
            </w:tcBorders>
            <w:vAlign w:val="center"/>
          </w:tcPr>
          <w:p w14:paraId="68E8CDCF"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462C64DA" w14:textId="77777777" w:rsidR="007D706A" w:rsidRDefault="007D706A" w:rsidP="00F70508">
            <w:pPr>
              <w:pStyle w:val="ParagraphStyle6"/>
              <w:rPr>
                <w:rStyle w:val="CharacterStyle6"/>
              </w:rPr>
            </w:pPr>
            <w:r>
              <w:rPr>
                <w:rStyle w:val="CharacterStyle6"/>
              </w:rPr>
              <w:t>55.000,00</w:t>
            </w:r>
          </w:p>
        </w:tc>
        <w:tc>
          <w:tcPr>
            <w:tcW w:w="1395" w:type="dxa"/>
            <w:tcBorders>
              <w:bottom w:val="single" w:sz="6" w:space="0" w:color="000000"/>
              <w:right w:val="single" w:sz="6" w:space="0" w:color="000000"/>
            </w:tcBorders>
            <w:vAlign w:val="center"/>
          </w:tcPr>
          <w:p w14:paraId="3025D331" w14:textId="77777777" w:rsidR="007D706A" w:rsidRDefault="007D706A" w:rsidP="00F70508">
            <w:pPr>
              <w:pStyle w:val="ParagraphStyle6"/>
              <w:rPr>
                <w:rStyle w:val="CharacterStyle6"/>
              </w:rPr>
            </w:pPr>
            <w:r>
              <w:rPr>
                <w:rStyle w:val="CharacterStyle6"/>
              </w:rPr>
              <w:t>115.000,00</w:t>
            </w:r>
          </w:p>
        </w:tc>
        <w:tc>
          <w:tcPr>
            <w:tcW w:w="1395" w:type="dxa"/>
            <w:tcBorders>
              <w:bottom w:val="single" w:sz="6" w:space="0" w:color="000000"/>
              <w:right w:val="single" w:sz="6" w:space="0" w:color="000000"/>
            </w:tcBorders>
            <w:vAlign w:val="center"/>
          </w:tcPr>
          <w:p w14:paraId="3623CA08" w14:textId="77777777" w:rsidR="007D706A" w:rsidRDefault="007D706A" w:rsidP="00F70508">
            <w:pPr>
              <w:pStyle w:val="ParagraphStyle6"/>
              <w:rPr>
                <w:rStyle w:val="CharacterStyle6"/>
              </w:rPr>
            </w:pPr>
            <w:r>
              <w:rPr>
                <w:rStyle w:val="CharacterStyle6"/>
              </w:rPr>
              <w:t>126.000,00</w:t>
            </w:r>
          </w:p>
        </w:tc>
        <w:tc>
          <w:tcPr>
            <w:tcW w:w="1395" w:type="dxa"/>
            <w:tcBorders>
              <w:bottom w:val="single" w:sz="6" w:space="0" w:color="000000"/>
              <w:right w:val="single" w:sz="6" w:space="0" w:color="000000"/>
            </w:tcBorders>
            <w:vAlign w:val="center"/>
          </w:tcPr>
          <w:p w14:paraId="160A5679" w14:textId="77777777" w:rsidR="007D706A" w:rsidRDefault="007D706A" w:rsidP="00F70508">
            <w:pPr>
              <w:pStyle w:val="ParagraphStyle6"/>
              <w:rPr>
                <w:rStyle w:val="CharacterStyle6"/>
              </w:rPr>
            </w:pPr>
            <w:r>
              <w:rPr>
                <w:rStyle w:val="CharacterStyle6"/>
              </w:rPr>
              <w:t>130.000,00</w:t>
            </w:r>
          </w:p>
        </w:tc>
      </w:tr>
      <w:tr w:rsidR="007D706A" w14:paraId="1FDEDD4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22B7F44"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79BE1BA2"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0D36FE15"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1BE1238"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3CDB6B9" w14:textId="77777777" w:rsidR="007D706A" w:rsidRDefault="007D706A" w:rsidP="00F70508">
            <w:pPr>
              <w:pStyle w:val="ParagraphStyle9"/>
              <w:rPr>
                <w:rStyle w:val="CharacterStyle9"/>
              </w:rPr>
            </w:pPr>
            <w:r>
              <w:rPr>
                <w:rStyle w:val="CharacterStyle9"/>
              </w:rPr>
              <w:t>115.000,00</w:t>
            </w:r>
          </w:p>
        </w:tc>
        <w:tc>
          <w:tcPr>
            <w:tcW w:w="1395" w:type="dxa"/>
            <w:tcBorders>
              <w:bottom w:val="single" w:sz="6" w:space="0" w:color="000000"/>
              <w:right w:val="single" w:sz="6" w:space="0" w:color="000000"/>
            </w:tcBorders>
            <w:vAlign w:val="center"/>
          </w:tcPr>
          <w:p w14:paraId="45E7C2E1"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72C0C40" w14:textId="77777777" w:rsidR="007D706A" w:rsidRDefault="007D706A" w:rsidP="00F70508">
            <w:pPr>
              <w:pStyle w:val="ParagraphStyle9"/>
              <w:rPr>
                <w:rStyle w:val="CharacterStyle9"/>
              </w:rPr>
            </w:pPr>
            <w:r>
              <w:rPr>
                <w:rStyle w:val="CharacterStyle9"/>
              </w:rPr>
              <w:t>0,00</w:t>
            </w:r>
          </w:p>
        </w:tc>
      </w:tr>
      <w:tr w:rsidR="007D706A" w14:paraId="1DE25C6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3DBA118"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5BBFE750"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6C19E0D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7D3B72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0272B2A" w14:textId="77777777" w:rsidR="007D706A" w:rsidRDefault="007D706A" w:rsidP="00F70508">
            <w:pPr>
              <w:pStyle w:val="ParagraphStyle12"/>
              <w:rPr>
                <w:rStyle w:val="CharacterStyle12"/>
              </w:rPr>
            </w:pPr>
            <w:r>
              <w:rPr>
                <w:rStyle w:val="CharacterStyle12"/>
              </w:rPr>
              <w:t>115.000,00</w:t>
            </w:r>
          </w:p>
        </w:tc>
        <w:tc>
          <w:tcPr>
            <w:tcW w:w="1395" w:type="dxa"/>
            <w:tcBorders>
              <w:bottom w:val="single" w:sz="6" w:space="0" w:color="000000"/>
              <w:right w:val="single" w:sz="6" w:space="0" w:color="000000"/>
            </w:tcBorders>
            <w:vAlign w:val="center"/>
          </w:tcPr>
          <w:p w14:paraId="09AFC0B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6816A93" w14:textId="77777777" w:rsidR="007D706A" w:rsidRDefault="007D706A" w:rsidP="00F70508">
            <w:pPr>
              <w:pStyle w:val="ParagraphStyle12"/>
              <w:rPr>
                <w:rStyle w:val="CharacterStyle12"/>
              </w:rPr>
            </w:pPr>
            <w:r>
              <w:rPr>
                <w:rStyle w:val="CharacterStyle12"/>
              </w:rPr>
              <w:t>0,00</w:t>
            </w:r>
          </w:p>
        </w:tc>
      </w:tr>
      <w:tr w:rsidR="007D706A" w14:paraId="1D50A62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0007EF8" w14:textId="77777777" w:rsidR="007D706A" w:rsidRDefault="007D706A" w:rsidP="00F70508">
            <w:pPr>
              <w:pStyle w:val="ParagraphStyle10"/>
              <w:rPr>
                <w:rStyle w:val="CharacterStyle10"/>
              </w:rPr>
            </w:pPr>
            <w:r>
              <w:rPr>
                <w:rStyle w:val="CharacterStyle10"/>
              </w:rPr>
              <w:t>35</w:t>
            </w:r>
          </w:p>
        </w:tc>
        <w:tc>
          <w:tcPr>
            <w:tcW w:w="4995" w:type="dxa"/>
            <w:tcBorders>
              <w:bottom w:val="single" w:sz="6" w:space="0" w:color="000000"/>
              <w:right w:val="single" w:sz="6" w:space="0" w:color="000000"/>
            </w:tcBorders>
            <w:vAlign w:val="center"/>
          </w:tcPr>
          <w:p w14:paraId="7E139A80" w14:textId="77777777" w:rsidR="007D706A" w:rsidRDefault="007D706A" w:rsidP="00F70508">
            <w:pPr>
              <w:pStyle w:val="ParagraphStyle11"/>
              <w:rPr>
                <w:rStyle w:val="CharacterStyle11"/>
              </w:rPr>
            </w:pPr>
            <w:r>
              <w:rPr>
                <w:rStyle w:val="CharacterStyle11"/>
              </w:rPr>
              <w:t>Subvencije</w:t>
            </w:r>
          </w:p>
        </w:tc>
        <w:tc>
          <w:tcPr>
            <w:tcW w:w="1395" w:type="dxa"/>
            <w:tcBorders>
              <w:bottom w:val="single" w:sz="6" w:space="0" w:color="000000"/>
              <w:right w:val="single" w:sz="6" w:space="0" w:color="000000"/>
            </w:tcBorders>
            <w:vAlign w:val="center"/>
          </w:tcPr>
          <w:p w14:paraId="511B195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7A8B7D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EA074CA" w14:textId="77777777" w:rsidR="007D706A" w:rsidRDefault="007D706A" w:rsidP="00F70508">
            <w:pPr>
              <w:pStyle w:val="ParagraphStyle12"/>
              <w:rPr>
                <w:rStyle w:val="CharacterStyle12"/>
              </w:rPr>
            </w:pPr>
            <w:r>
              <w:rPr>
                <w:rStyle w:val="CharacterStyle12"/>
              </w:rPr>
              <w:t>115.000,00</w:t>
            </w:r>
          </w:p>
        </w:tc>
        <w:tc>
          <w:tcPr>
            <w:tcW w:w="1395" w:type="dxa"/>
            <w:tcBorders>
              <w:bottom w:val="single" w:sz="6" w:space="0" w:color="000000"/>
              <w:right w:val="single" w:sz="6" w:space="0" w:color="000000"/>
            </w:tcBorders>
            <w:vAlign w:val="center"/>
          </w:tcPr>
          <w:p w14:paraId="2CAD352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BDC4BB2" w14:textId="77777777" w:rsidR="007D706A" w:rsidRDefault="007D706A" w:rsidP="00F70508">
            <w:pPr>
              <w:pStyle w:val="ParagraphStyle12"/>
              <w:rPr>
                <w:rStyle w:val="CharacterStyle12"/>
              </w:rPr>
            </w:pPr>
            <w:r>
              <w:rPr>
                <w:rStyle w:val="CharacterStyle12"/>
              </w:rPr>
              <w:t>0,00</w:t>
            </w:r>
          </w:p>
        </w:tc>
      </w:tr>
      <w:tr w:rsidR="007D706A" w14:paraId="08F1EB4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A042D98" w14:textId="77777777" w:rsidR="007D706A" w:rsidRDefault="007D706A" w:rsidP="00F70508">
            <w:pPr>
              <w:pStyle w:val="ParagraphStyle7"/>
              <w:rPr>
                <w:rStyle w:val="CharacterStyle7"/>
              </w:rPr>
            </w:pPr>
            <w:r>
              <w:rPr>
                <w:rStyle w:val="CharacterStyle7"/>
              </w:rPr>
              <w:t>Izvor financiranja 40</w:t>
            </w:r>
          </w:p>
        </w:tc>
        <w:tc>
          <w:tcPr>
            <w:tcW w:w="4995" w:type="dxa"/>
            <w:tcBorders>
              <w:bottom w:val="single" w:sz="6" w:space="0" w:color="000000"/>
              <w:right w:val="single" w:sz="6" w:space="0" w:color="000000"/>
            </w:tcBorders>
            <w:vAlign w:val="center"/>
          </w:tcPr>
          <w:p w14:paraId="4D55F5DC" w14:textId="77777777" w:rsidR="007D706A" w:rsidRDefault="007D706A" w:rsidP="00F70508">
            <w:pPr>
              <w:pStyle w:val="ParagraphStyle8"/>
              <w:rPr>
                <w:rStyle w:val="CharacterStyle8"/>
              </w:rPr>
            </w:pPr>
            <w:r>
              <w:rPr>
                <w:rStyle w:val="CharacterStyle8"/>
              </w:rPr>
              <w:t>Prihodi od komunalne naknade i komunalnog doprinosa</w:t>
            </w:r>
          </w:p>
        </w:tc>
        <w:tc>
          <w:tcPr>
            <w:tcW w:w="1395" w:type="dxa"/>
            <w:tcBorders>
              <w:bottom w:val="single" w:sz="6" w:space="0" w:color="000000"/>
              <w:right w:val="single" w:sz="6" w:space="0" w:color="000000"/>
            </w:tcBorders>
            <w:vAlign w:val="center"/>
          </w:tcPr>
          <w:p w14:paraId="75C5EA5C"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4BCCBC6"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9E24A9E"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9554127" w14:textId="77777777" w:rsidR="007D706A" w:rsidRDefault="007D706A" w:rsidP="00F70508">
            <w:pPr>
              <w:pStyle w:val="ParagraphStyle9"/>
              <w:rPr>
                <w:rStyle w:val="CharacterStyle9"/>
              </w:rPr>
            </w:pPr>
            <w:r>
              <w:rPr>
                <w:rStyle w:val="CharacterStyle9"/>
              </w:rPr>
              <w:t>126.000,00</w:t>
            </w:r>
          </w:p>
        </w:tc>
        <w:tc>
          <w:tcPr>
            <w:tcW w:w="1395" w:type="dxa"/>
            <w:tcBorders>
              <w:bottom w:val="single" w:sz="6" w:space="0" w:color="000000"/>
              <w:right w:val="single" w:sz="6" w:space="0" w:color="000000"/>
            </w:tcBorders>
            <w:vAlign w:val="center"/>
          </w:tcPr>
          <w:p w14:paraId="76B14005" w14:textId="77777777" w:rsidR="007D706A" w:rsidRDefault="007D706A" w:rsidP="00F70508">
            <w:pPr>
              <w:pStyle w:val="ParagraphStyle9"/>
              <w:rPr>
                <w:rStyle w:val="CharacterStyle9"/>
              </w:rPr>
            </w:pPr>
            <w:r>
              <w:rPr>
                <w:rStyle w:val="CharacterStyle9"/>
              </w:rPr>
              <w:t>130.000,00</w:t>
            </w:r>
          </w:p>
        </w:tc>
      </w:tr>
      <w:tr w:rsidR="007D706A" w14:paraId="1498B36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3DB5576"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506A6DD4"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1E042F5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197ECF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C6AEF4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D6AB3C4" w14:textId="77777777" w:rsidR="007D706A" w:rsidRDefault="007D706A" w:rsidP="00F70508">
            <w:pPr>
              <w:pStyle w:val="ParagraphStyle12"/>
              <w:rPr>
                <w:rStyle w:val="CharacterStyle12"/>
              </w:rPr>
            </w:pPr>
            <w:r>
              <w:rPr>
                <w:rStyle w:val="CharacterStyle12"/>
              </w:rPr>
              <w:t>126.000,00</w:t>
            </w:r>
          </w:p>
        </w:tc>
        <w:tc>
          <w:tcPr>
            <w:tcW w:w="1395" w:type="dxa"/>
            <w:tcBorders>
              <w:bottom w:val="single" w:sz="6" w:space="0" w:color="000000"/>
              <w:right w:val="single" w:sz="6" w:space="0" w:color="000000"/>
            </w:tcBorders>
            <w:vAlign w:val="center"/>
          </w:tcPr>
          <w:p w14:paraId="517F1D6D" w14:textId="77777777" w:rsidR="007D706A" w:rsidRDefault="007D706A" w:rsidP="00F70508">
            <w:pPr>
              <w:pStyle w:val="ParagraphStyle12"/>
              <w:rPr>
                <w:rStyle w:val="CharacterStyle12"/>
              </w:rPr>
            </w:pPr>
            <w:r>
              <w:rPr>
                <w:rStyle w:val="CharacterStyle12"/>
              </w:rPr>
              <w:t>130.000,00</w:t>
            </w:r>
          </w:p>
        </w:tc>
      </w:tr>
      <w:tr w:rsidR="007D706A" w14:paraId="7A9E682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127DB06" w14:textId="77777777" w:rsidR="007D706A" w:rsidRDefault="007D706A" w:rsidP="00F70508">
            <w:pPr>
              <w:pStyle w:val="ParagraphStyle10"/>
              <w:rPr>
                <w:rStyle w:val="CharacterStyle10"/>
              </w:rPr>
            </w:pPr>
            <w:r>
              <w:rPr>
                <w:rStyle w:val="CharacterStyle10"/>
              </w:rPr>
              <w:t>35</w:t>
            </w:r>
          </w:p>
        </w:tc>
        <w:tc>
          <w:tcPr>
            <w:tcW w:w="4995" w:type="dxa"/>
            <w:tcBorders>
              <w:bottom w:val="single" w:sz="6" w:space="0" w:color="000000"/>
              <w:right w:val="single" w:sz="6" w:space="0" w:color="000000"/>
            </w:tcBorders>
            <w:vAlign w:val="center"/>
          </w:tcPr>
          <w:p w14:paraId="310A5623" w14:textId="77777777" w:rsidR="007D706A" w:rsidRDefault="007D706A" w:rsidP="00F70508">
            <w:pPr>
              <w:pStyle w:val="ParagraphStyle11"/>
              <w:rPr>
                <w:rStyle w:val="CharacterStyle11"/>
              </w:rPr>
            </w:pPr>
            <w:r>
              <w:rPr>
                <w:rStyle w:val="CharacterStyle11"/>
              </w:rPr>
              <w:t>Subvencije</w:t>
            </w:r>
          </w:p>
        </w:tc>
        <w:tc>
          <w:tcPr>
            <w:tcW w:w="1395" w:type="dxa"/>
            <w:tcBorders>
              <w:bottom w:val="single" w:sz="6" w:space="0" w:color="000000"/>
              <w:right w:val="single" w:sz="6" w:space="0" w:color="000000"/>
            </w:tcBorders>
            <w:vAlign w:val="center"/>
          </w:tcPr>
          <w:p w14:paraId="7497583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D1F946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F8D71F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059C0E9" w14:textId="77777777" w:rsidR="007D706A" w:rsidRDefault="007D706A" w:rsidP="00F70508">
            <w:pPr>
              <w:pStyle w:val="ParagraphStyle12"/>
              <w:rPr>
                <w:rStyle w:val="CharacterStyle12"/>
              </w:rPr>
            </w:pPr>
            <w:r>
              <w:rPr>
                <w:rStyle w:val="CharacterStyle12"/>
              </w:rPr>
              <w:t>126.000,00</w:t>
            </w:r>
          </w:p>
        </w:tc>
        <w:tc>
          <w:tcPr>
            <w:tcW w:w="1395" w:type="dxa"/>
            <w:tcBorders>
              <w:bottom w:val="single" w:sz="6" w:space="0" w:color="000000"/>
              <w:right w:val="single" w:sz="6" w:space="0" w:color="000000"/>
            </w:tcBorders>
            <w:vAlign w:val="center"/>
          </w:tcPr>
          <w:p w14:paraId="2E4A7CB1" w14:textId="77777777" w:rsidR="007D706A" w:rsidRDefault="007D706A" w:rsidP="00F70508">
            <w:pPr>
              <w:pStyle w:val="ParagraphStyle12"/>
              <w:rPr>
                <w:rStyle w:val="CharacterStyle12"/>
              </w:rPr>
            </w:pPr>
            <w:r>
              <w:rPr>
                <w:rStyle w:val="CharacterStyle12"/>
              </w:rPr>
              <w:t>130.000,00</w:t>
            </w:r>
          </w:p>
        </w:tc>
      </w:tr>
      <w:tr w:rsidR="007D706A" w14:paraId="77D527B6"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A0F199B" w14:textId="77777777" w:rsidR="007D706A" w:rsidRDefault="007D706A" w:rsidP="00F70508">
            <w:pPr>
              <w:pStyle w:val="ParagraphStyle7"/>
              <w:rPr>
                <w:rStyle w:val="CharacterStyle7"/>
              </w:rPr>
            </w:pPr>
            <w:r>
              <w:rPr>
                <w:rStyle w:val="CharacterStyle7"/>
              </w:rPr>
              <w:t>Izvor financiranja 41</w:t>
            </w:r>
          </w:p>
        </w:tc>
        <w:tc>
          <w:tcPr>
            <w:tcW w:w="4995" w:type="dxa"/>
            <w:tcBorders>
              <w:bottom w:val="single" w:sz="6" w:space="0" w:color="000000"/>
              <w:right w:val="single" w:sz="6" w:space="0" w:color="000000"/>
            </w:tcBorders>
            <w:vAlign w:val="center"/>
          </w:tcPr>
          <w:p w14:paraId="20561D03" w14:textId="77777777" w:rsidR="007D706A" w:rsidRDefault="007D706A" w:rsidP="00F70508">
            <w:pPr>
              <w:pStyle w:val="ParagraphStyle8"/>
              <w:rPr>
                <w:rStyle w:val="CharacterStyle8"/>
              </w:rPr>
            </w:pPr>
            <w:r>
              <w:rPr>
                <w:rStyle w:val="CharacterStyle8"/>
              </w:rPr>
              <w:t>Prihodi za posebne namjene</w:t>
            </w:r>
          </w:p>
        </w:tc>
        <w:tc>
          <w:tcPr>
            <w:tcW w:w="1395" w:type="dxa"/>
            <w:tcBorders>
              <w:bottom w:val="single" w:sz="6" w:space="0" w:color="000000"/>
              <w:right w:val="single" w:sz="6" w:space="0" w:color="000000"/>
            </w:tcBorders>
            <w:vAlign w:val="center"/>
          </w:tcPr>
          <w:p w14:paraId="22A3BD6E"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EA6E76B" w14:textId="77777777" w:rsidR="007D706A" w:rsidRDefault="007D706A" w:rsidP="00F70508">
            <w:pPr>
              <w:pStyle w:val="ParagraphStyle9"/>
              <w:rPr>
                <w:rStyle w:val="CharacterStyle9"/>
              </w:rPr>
            </w:pPr>
            <w:r>
              <w:rPr>
                <w:rStyle w:val="CharacterStyle9"/>
              </w:rPr>
              <w:t>55.000,00</w:t>
            </w:r>
          </w:p>
        </w:tc>
        <w:tc>
          <w:tcPr>
            <w:tcW w:w="1395" w:type="dxa"/>
            <w:tcBorders>
              <w:bottom w:val="single" w:sz="6" w:space="0" w:color="000000"/>
              <w:right w:val="single" w:sz="6" w:space="0" w:color="000000"/>
            </w:tcBorders>
            <w:vAlign w:val="center"/>
          </w:tcPr>
          <w:p w14:paraId="6408F87E"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731E718"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07B5E15" w14:textId="77777777" w:rsidR="007D706A" w:rsidRDefault="007D706A" w:rsidP="00F70508">
            <w:pPr>
              <w:pStyle w:val="ParagraphStyle9"/>
              <w:rPr>
                <w:rStyle w:val="CharacterStyle9"/>
              </w:rPr>
            </w:pPr>
            <w:r>
              <w:rPr>
                <w:rStyle w:val="CharacterStyle9"/>
              </w:rPr>
              <w:t>0,00</w:t>
            </w:r>
          </w:p>
        </w:tc>
      </w:tr>
      <w:tr w:rsidR="007D706A" w14:paraId="469309E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7617A63"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01A0F8D1"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17761D0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9446ABD" w14:textId="77777777" w:rsidR="007D706A" w:rsidRDefault="007D706A" w:rsidP="00F70508">
            <w:pPr>
              <w:pStyle w:val="ParagraphStyle12"/>
              <w:rPr>
                <w:rStyle w:val="CharacterStyle12"/>
              </w:rPr>
            </w:pPr>
            <w:r>
              <w:rPr>
                <w:rStyle w:val="CharacterStyle12"/>
              </w:rPr>
              <w:t>55.000,00</w:t>
            </w:r>
          </w:p>
        </w:tc>
        <w:tc>
          <w:tcPr>
            <w:tcW w:w="1395" w:type="dxa"/>
            <w:tcBorders>
              <w:bottom w:val="single" w:sz="6" w:space="0" w:color="000000"/>
              <w:right w:val="single" w:sz="6" w:space="0" w:color="000000"/>
            </w:tcBorders>
            <w:vAlign w:val="center"/>
          </w:tcPr>
          <w:p w14:paraId="40BFA7C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394F1C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40B0A32" w14:textId="77777777" w:rsidR="007D706A" w:rsidRDefault="007D706A" w:rsidP="00F70508">
            <w:pPr>
              <w:pStyle w:val="ParagraphStyle12"/>
              <w:rPr>
                <w:rStyle w:val="CharacterStyle12"/>
              </w:rPr>
            </w:pPr>
            <w:r>
              <w:rPr>
                <w:rStyle w:val="CharacterStyle12"/>
              </w:rPr>
              <w:t>0,00</w:t>
            </w:r>
          </w:p>
        </w:tc>
      </w:tr>
      <w:tr w:rsidR="007D706A" w14:paraId="09B2243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1EF2E9F" w14:textId="77777777" w:rsidR="007D706A" w:rsidRDefault="007D706A" w:rsidP="00F70508">
            <w:pPr>
              <w:pStyle w:val="ParagraphStyle10"/>
              <w:rPr>
                <w:rStyle w:val="CharacterStyle10"/>
              </w:rPr>
            </w:pPr>
            <w:r>
              <w:rPr>
                <w:rStyle w:val="CharacterStyle10"/>
              </w:rPr>
              <w:t>35</w:t>
            </w:r>
          </w:p>
        </w:tc>
        <w:tc>
          <w:tcPr>
            <w:tcW w:w="4995" w:type="dxa"/>
            <w:tcBorders>
              <w:bottom w:val="single" w:sz="6" w:space="0" w:color="000000"/>
              <w:right w:val="single" w:sz="6" w:space="0" w:color="000000"/>
            </w:tcBorders>
            <w:vAlign w:val="center"/>
          </w:tcPr>
          <w:p w14:paraId="1FDC457B" w14:textId="77777777" w:rsidR="007D706A" w:rsidRDefault="007D706A" w:rsidP="00F70508">
            <w:pPr>
              <w:pStyle w:val="ParagraphStyle11"/>
              <w:rPr>
                <w:rStyle w:val="CharacterStyle11"/>
              </w:rPr>
            </w:pPr>
            <w:r>
              <w:rPr>
                <w:rStyle w:val="CharacterStyle11"/>
              </w:rPr>
              <w:t>Subvencije</w:t>
            </w:r>
          </w:p>
        </w:tc>
        <w:tc>
          <w:tcPr>
            <w:tcW w:w="1395" w:type="dxa"/>
            <w:tcBorders>
              <w:bottom w:val="single" w:sz="6" w:space="0" w:color="000000"/>
              <w:right w:val="single" w:sz="6" w:space="0" w:color="000000"/>
            </w:tcBorders>
            <w:vAlign w:val="center"/>
          </w:tcPr>
          <w:p w14:paraId="6062509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6BB2ABE" w14:textId="77777777" w:rsidR="007D706A" w:rsidRDefault="007D706A" w:rsidP="00F70508">
            <w:pPr>
              <w:pStyle w:val="ParagraphStyle12"/>
              <w:rPr>
                <w:rStyle w:val="CharacterStyle12"/>
              </w:rPr>
            </w:pPr>
            <w:r>
              <w:rPr>
                <w:rStyle w:val="CharacterStyle12"/>
              </w:rPr>
              <w:t>55.000,00</w:t>
            </w:r>
          </w:p>
        </w:tc>
        <w:tc>
          <w:tcPr>
            <w:tcW w:w="1395" w:type="dxa"/>
            <w:tcBorders>
              <w:bottom w:val="single" w:sz="6" w:space="0" w:color="000000"/>
              <w:right w:val="single" w:sz="6" w:space="0" w:color="000000"/>
            </w:tcBorders>
            <w:vAlign w:val="center"/>
          </w:tcPr>
          <w:p w14:paraId="45638C1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702631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1A0322F" w14:textId="77777777" w:rsidR="007D706A" w:rsidRDefault="007D706A" w:rsidP="00F70508">
            <w:pPr>
              <w:pStyle w:val="ParagraphStyle12"/>
              <w:rPr>
                <w:rStyle w:val="CharacterStyle12"/>
              </w:rPr>
            </w:pPr>
            <w:r>
              <w:rPr>
                <w:rStyle w:val="CharacterStyle12"/>
              </w:rPr>
              <w:t>0,00</w:t>
            </w:r>
          </w:p>
        </w:tc>
      </w:tr>
      <w:tr w:rsidR="007D706A" w14:paraId="5007640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22353F4" w14:textId="77777777" w:rsidR="007D706A" w:rsidRDefault="007D706A" w:rsidP="00F70508">
            <w:pPr>
              <w:pStyle w:val="ParagraphStyle4"/>
              <w:rPr>
                <w:rStyle w:val="CharacterStyle4"/>
              </w:rPr>
            </w:pPr>
            <w:r>
              <w:rPr>
                <w:rStyle w:val="CharacterStyle4"/>
              </w:rPr>
              <w:t>Aktivnost A103107</w:t>
            </w:r>
          </w:p>
        </w:tc>
        <w:tc>
          <w:tcPr>
            <w:tcW w:w="4995" w:type="dxa"/>
            <w:tcBorders>
              <w:bottom w:val="single" w:sz="6" w:space="0" w:color="000000"/>
              <w:right w:val="single" w:sz="6" w:space="0" w:color="000000"/>
            </w:tcBorders>
            <w:vAlign w:val="center"/>
          </w:tcPr>
          <w:p w14:paraId="70587D8C" w14:textId="77777777" w:rsidR="007D706A" w:rsidRDefault="007D706A" w:rsidP="00F70508">
            <w:pPr>
              <w:pStyle w:val="ParagraphStyle5"/>
              <w:rPr>
                <w:rStyle w:val="CharacterStyle5"/>
              </w:rPr>
            </w:pPr>
            <w:r>
              <w:rPr>
                <w:rStyle w:val="CharacterStyle5"/>
              </w:rPr>
              <w:t>TEKUĆE ODRŽAVANJE STRELJANE TURNINA</w:t>
            </w:r>
          </w:p>
        </w:tc>
        <w:tc>
          <w:tcPr>
            <w:tcW w:w="1395" w:type="dxa"/>
            <w:tcBorders>
              <w:bottom w:val="single" w:sz="6" w:space="0" w:color="000000"/>
              <w:right w:val="single" w:sz="6" w:space="0" w:color="000000"/>
            </w:tcBorders>
            <w:vAlign w:val="center"/>
          </w:tcPr>
          <w:p w14:paraId="0DD54FC2"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4B618E88" w14:textId="77777777" w:rsidR="007D706A" w:rsidRDefault="007D706A" w:rsidP="00F70508">
            <w:pPr>
              <w:pStyle w:val="ParagraphStyle6"/>
              <w:rPr>
                <w:rStyle w:val="CharacterStyle6"/>
              </w:rPr>
            </w:pPr>
            <w:r>
              <w:rPr>
                <w:rStyle w:val="CharacterStyle6"/>
              </w:rPr>
              <w:t>26.500,00</w:t>
            </w:r>
          </w:p>
        </w:tc>
        <w:tc>
          <w:tcPr>
            <w:tcW w:w="1395" w:type="dxa"/>
            <w:tcBorders>
              <w:bottom w:val="single" w:sz="6" w:space="0" w:color="000000"/>
              <w:right w:val="single" w:sz="6" w:space="0" w:color="000000"/>
            </w:tcBorders>
            <w:vAlign w:val="center"/>
          </w:tcPr>
          <w:p w14:paraId="78A5D510" w14:textId="77777777" w:rsidR="007D706A" w:rsidRDefault="007D706A" w:rsidP="00F70508">
            <w:pPr>
              <w:pStyle w:val="ParagraphStyle6"/>
              <w:rPr>
                <w:rStyle w:val="CharacterStyle6"/>
              </w:rPr>
            </w:pPr>
            <w:r>
              <w:rPr>
                <w:rStyle w:val="CharacterStyle6"/>
              </w:rPr>
              <w:t>26.500,00</w:t>
            </w:r>
          </w:p>
        </w:tc>
        <w:tc>
          <w:tcPr>
            <w:tcW w:w="1395" w:type="dxa"/>
            <w:tcBorders>
              <w:bottom w:val="single" w:sz="6" w:space="0" w:color="000000"/>
              <w:right w:val="single" w:sz="6" w:space="0" w:color="000000"/>
            </w:tcBorders>
            <w:vAlign w:val="center"/>
          </w:tcPr>
          <w:p w14:paraId="0CEBC8F7" w14:textId="77777777" w:rsidR="007D706A" w:rsidRDefault="007D706A" w:rsidP="00F70508">
            <w:pPr>
              <w:pStyle w:val="ParagraphStyle6"/>
              <w:rPr>
                <w:rStyle w:val="CharacterStyle6"/>
              </w:rPr>
            </w:pPr>
            <w:r>
              <w:rPr>
                <w:rStyle w:val="CharacterStyle6"/>
              </w:rPr>
              <w:t>27.830,00</w:t>
            </w:r>
          </w:p>
        </w:tc>
        <w:tc>
          <w:tcPr>
            <w:tcW w:w="1395" w:type="dxa"/>
            <w:tcBorders>
              <w:bottom w:val="single" w:sz="6" w:space="0" w:color="000000"/>
              <w:right w:val="single" w:sz="6" w:space="0" w:color="000000"/>
            </w:tcBorders>
            <w:vAlign w:val="center"/>
          </w:tcPr>
          <w:p w14:paraId="4C8972D6" w14:textId="77777777" w:rsidR="007D706A" w:rsidRDefault="007D706A" w:rsidP="00F70508">
            <w:pPr>
              <w:pStyle w:val="ParagraphStyle6"/>
              <w:rPr>
                <w:rStyle w:val="CharacterStyle6"/>
              </w:rPr>
            </w:pPr>
            <w:r>
              <w:rPr>
                <w:rStyle w:val="CharacterStyle6"/>
              </w:rPr>
              <w:t>28.620,00</w:t>
            </w:r>
          </w:p>
        </w:tc>
      </w:tr>
      <w:tr w:rsidR="007D706A" w14:paraId="2357455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695CDD7" w14:textId="77777777" w:rsidR="007D706A" w:rsidRDefault="007D706A" w:rsidP="00F70508">
            <w:pPr>
              <w:pStyle w:val="ParagraphStyle7"/>
              <w:rPr>
                <w:rStyle w:val="CharacterStyle7"/>
              </w:rPr>
            </w:pPr>
            <w:r>
              <w:rPr>
                <w:rStyle w:val="CharacterStyle7"/>
              </w:rPr>
              <w:t>Izvor financiranja 40</w:t>
            </w:r>
          </w:p>
        </w:tc>
        <w:tc>
          <w:tcPr>
            <w:tcW w:w="4995" w:type="dxa"/>
            <w:tcBorders>
              <w:bottom w:val="single" w:sz="6" w:space="0" w:color="000000"/>
              <w:right w:val="single" w:sz="6" w:space="0" w:color="000000"/>
            </w:tcBorders>
            <w:vAlign w:val="center"/>
          </w:tcPr>
          <w:p w14:paraId="7C0694C2" w14:textId="77777777" w:rsidR="007D706A" w:rsidRDefault="007D706A" w:rsidP="00F70508">
            <w:pPr>
              <w:pStyle w:val="ParagraphStyle8"/>
              <w:rPr>
                <w:rStyle w:val="CharacterStyle8"/>
              </w:rPr>
            </w:pPr>
            <w:r>
              <w:rPr>
                <w:rStyle w:val="CharacterStyle8"/>
              </w:rPr>
              <w:t>Prihodi od komunalne naknade i komunalnog doprinosa</w:t>
            </w:r>
          </w:p>
        </w:tc>
        <w:tc>
          <w:tcPr>
            <w:tcW w:w="1395" w:type="dxa"/>
            <w:tcBorders>
              <w:bottom w:val="single" w:sz="6" w:space="0" w:color="000000"/>
              <w:right w:val="single" w:sz="6" w:space="0" w:color="000000"/>
            </w:tcBorders>
            <w:vAlign w:val="center"/>
          </w:tcPr>
          <w:p w14:paraId="2385C6A5"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E227EA2"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C60ECC2" w14:textId="77777777" w:rsidR="007D706A" w:rsidRDefault="007D706A" w:rsidP="00F70508">
            <w:pPr>
              <w:pStyle w:val="ParagraphStyle9"/>
              <w:rPr>
                <w:rStyle w:val="CharacterStyle9"/>
              </w:rPr>
            </w:pPr>
            <w:r>
              <w:rPr>
                <w:rStyle w:val="CharacterStyle9"/>
              </w:rPr>
              <w:t>26.500,00</w:t>
            </w:r>
          </w:p>
        </w:tc>
        <w:tc>
          <w:tcPr>
            <w:tcW w:w="1395" w:type="dxa"/>
            <w:tcBorders>
              <w:bottom w:val="single" w:sz="6" w:space="0" w:color="000000"/>
              <w:right w:val="single" w:sz="6" w:space="0" w:color="000000"/>
            </w:tcBorders>
            <w:vAlign w:val="center"/>
          </w:tcPr>
          <w:p w14:paraId="5D67BB7F" w14:textId="77777777" w:rsidR="007D706A" w:rsidRDefault="007D706A" w:rsidP="00F70508">
            <w:pPr>
              <w:pStyle w:val="ParagraphStyle9"/>
              <w:rPr>
                <w:rStyle w:val="CharacterStyle9"/>
              </w:rPr>
            </w:pPr>
            <w:r>
              <w:rPr>
                <w:rStyle w:val="CharacterStyle9"/>
              </w:rPr>
              <w:t>27.830,00</w:t>
            </w:r>
          </w:p>
        </w:tc>
        <w:tc>
          <w:tcPr>
            <w:tcW w:w="1395" w:type="dxa"/>
            <w:tcBorders>
              <w:bottom w:val="single" w:sz="6" w:space="0" w:color="000000"/>
              <w:right w:val="single" w:sz="6" w:space="0" w:color="000000"/>
            </w:tcBorders>
            <w:vAlign w:val="center"/>
          </w:tcPr>
          <w:p w14:paraId="6F90DC10" w14:textId="77777777" w:rsidR="007D706A" w:rsidRDefault="007D706A" w:rsidP="00F70508">
            <w:pPr>
              <w:pStyle w:val="ParagraphStyle9"/>
              <w:rPr>
                <w:rStyle w:val="CharacterStyle9"/>
              </w:rPr>
            </w:pPr>
            <w:r>
              <w:rPr>
                <w:rStyle w:val="CharacterStyle9"/>
              </w:rPr>
              <w:t>28.620,00</w:t>
            </w:r>
          </w:p>
        </w:tc>
      </w:tr>
      <w:tr w:rsidR="007D706A" w14:paraId="55585EF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60C6B21"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0576BE3D"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376CD73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588530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9E55642" w14:textId="77777777" w:rsidR="007D706A" w:rsidRDefault="007D706A" w:rsidP="00F70508">
            <w:pPr>
              <w:pStyle w:val="ParagraphStyle12"/>
              <w:rPr>
                <w:rStyle w:val="CharacterStyle12"/>
              </w:rPr>
            </w:pPr>
            <w:r>
              <w:rPr>
                <w:rStyle w:val="CharacterStyle12"/>
              </w:rPr>
              <w:t>26.500,00</w:t>
            </w:r>
          </w:p>
        </w:tc>
        <w:tc>
          <w:tcPr>
            <w:tcW w:w="1395" w:type="dxa"/>
            <w:tcBorders>
              <w:bottom w:val="single" w:sz="6" w:space="0" w:color="000000"/>
              <w:right w:val="single" w:sz="6" w:space="0" w:color="000000"/>
            </w:tcBorders>
            <w:vAlign w:val="center"/>
          </w:tcPr>
          <w:p w14:paraId="2E2AF659" w14:textId="77777777" w:rsidR="007D706A" w:rsidRDefault="007D706A" w:rsidP="00F70508">
            <w:pPr>
              <w:pStyle w:val="ParagraphStyle12"/>
              <w:rPr>
                <w:rStyle w:val="CharacterStyle12"/>
              </w:rPr>
            </w:pPr>
            <w:r>
              <w:rPr>
                <w:rStyle w:val="CharacterStyle12"/>
              </w:rPr>
              <w:t>27.830,00</w:t>
            </w:r>
          </w:p>
        </w:tc>
        <w:tc>
          <w:tcPr>
            <w:tcW w:w="1395" w:type="dxa"/>
            <w:tcBorders>
              <w:bottom w:val="single" w:sz="6" w:space="0" w:color="000000"/>
              <w:right w:val="single" w:sz="6" w:space="0" w:color="000000"/>
            </w:tcBorders>
            <w:vAlign w:val="center"/>
          </w:tcPr>
          <w:p w14:paraId="41397C0A" w14:textId="77777777" w:rsidR="007D706A" w:rsidRDefault="007D706A" w:rsidP="00F70508">
            <w:pPr>
              <w:pStyle w:val="ParagraphStyle12"/>
              <w:rPr>
                <w:rStyle w:val="CharacterStyle12"/>
              </w:rPr>
            </w:pPr>
            <w:r>
              <w:rPr>
                <w:rStyle w:val="CharacterStyle12"/>
              </w:rPr>
              <w:t>28.620,00</w:t>
            </w:r>
          </w:p>
        </w:tc>
      </w:tr>
      <w:tr w:rsidR="007D706A" w14:paraId="56BF951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A3F8FE2" w14:textId="77777777" w:rsidR="007D706A" w:rsidRDefault="007D706A" w:rsidP="00F70508">
            <w:pPr>
              <w:pStyle w:val="ParagraphStyle10"/>
              <w:rPr>
                <w:rStyle w:val="CharacterStyle10"/>
              </w:rPr>
            </w:pPr>
            <w:r>
              <w:rPr>
                <w:rStyle w:val="CharacterStyle10"/>
              </w:rPr>
              <w:t>35</w:t>
            </w:r>
          </w:p>
        </w:tc>
        <w:tc>
          <w:tcPr>
            <w:tcW w:w="4995" w:type="dxa"/>
            <w:tcBorders>
              <w:bottom w:val="single" w:sz="6" w:space="0" w:color="000000"/>
              <w:right w:val="single" w:sz="6" w:space="0" w:color="000000"/>
            </w:tcBorders>
            <w:vAlign w:val="center"/>
          </w:tcPr>
          <w:p w14:paraId="337F9164" w14:textId="77777777" w:rsidR="007D706A" w:rsidRDefault="007D706A" w:rsidP="00F70508">
            <w:pPr>
              <w:pStyle w:val="ParagraphStyle11"/>
              <w:rPr>
                <w:rStyle w:val="CharacterStyle11"/>
              </w:rPr>
            </w:pPr>
            <w:r>
              <w:rPr>
                <w:rStyle w:val="CharacterStyle11"/>
              </w:rPr>
              <w:t>Subvencije</w:t>
            </w:r>
          </w:p>
        </w:tc>
        <w:tc>
          <w:tcPr>
            <w:tcW w:w="1395" w:type="dxa"/>
            <w:tcBorders>
              <w:bottom w:val="single" w:sz="6" w:space="0" w:color="000000"/>
              <w:right w:val="single" w:sz="6" w:space="0" w:color="000000"/>
            </w:tcBorders>
            <w:vAlign w:val="center"/>
          </w:tcPr>
          <w:p w14:paraId="3FF97D5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149A46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134052A" w14:textId="77777777" w:rsidR="007D706A" w:rsidRDefault="007D706A" w:rsidP="00F70508">
            <w:pPr>
              <w:pStyle w:val="ParagraphStyle12"/>
              <w:rPr>
                <w:rStyle w:val="CharacterStyle12"/>
              </w:rPr>
            </w:pPr>
            <w:r>
              <w:rPr>
                <w:rStyle w:val="CharacterStyle12"/>
              </w:rPr>
              <w:t>26.500,00</w:t>
            </w:r>
          </w:p>
        </w:tc>
        <w:tc>
          <w:tcPr>
            <w:tcW w:w="1395" w:type="dxa"/>
            <w:tcBorders>
              <w:bottom w:val="single" w:sz="6" w:space="0" w:color="000000"/>
              <w:right w:val="single" w:sz="6" w:space="0" w:color="000000"/>
            </w:tcBorders>
            <w:vAlign w:val="center"/>
          </w:tcPr>
          <w:p w14:paraId="23B6F3A0" w14:textId="77777777" w:rsidR="007D706A" w:rsidRDefault="007D706A" w:rsidP="00F70508">
            <w:pPr>
              <w:pStyle w:val="ParagraphStyle12"/>
              <w:rPr>
                <w:rStyle w:val="CharacterStyle12"/>
              </w:rPr>
            </w:pPr>
            <w:r>
              <w:rPr>
                <w:rStyle w:val="CharacterStyle12"/>
              </w:rPr>
              <w:t>27.830,00</w:t>
            </w:r>
          </w:p>
        </w:tc>
        <w:tc>
          <w:tcPr>
            <w:tcW w:w="1395" w:type="dxa"/>
            <w:tcBorders>
              <w:bottom w:val="single" w:sz="6" w:space="0" w:color="000000"/>
              <w:right w:val="single" w:sz="6" w:space="0" w:color="000000"/>
            </w:tcBorders>
            <w:vAlign w:val="center"/>
          </w:tcPr>
          <w:p w14:paraId="3CAD1306" w14:textId="77777777" w:rsidR="007D706A" w:rsidRDefault="007D706A" w:rsidP="00F70508">
            <w:pPr>
              <w:pStyle w:val="ParagraphStyle12"/>
              <w:rPr>
                <w:rStyle w:val="CharacterStyle12"/>
              </w:rPr>
            </w:pPr>
            <w:r>
              <w:rPr>
                <w:rStyle w:val="CharacterStyle12"/>
              </w:rPr>
              <w:t>28.620,00</w:t>
            </w:r>
          </w:p>
        </w:tc>
      </w:tr>
      <w:tr w:rsidR="007D706A" w14:paraId="1E817CE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EC83B67" w14:textId="77777777" w:rsidR="007D706A" w:rsidRDefault="007D706A" w:rsidP="00F70508">
            <w:pPr>
              <w:pStyle w:val="ParagraphStyle7"/>
              <w:rPr>
                <w:rStyle w:val="CharacterStyle7"/>
              </w:rPr>
            </w:pPr>
            <w:r>
              <w:rPr>
                <w:rStyle w:val="CharacterStyle7"/>
              </w:rPr>
              <w:t>Izvor financiranja 41</w:t>
            </w:r>
          </w:p>
        </w:tc>
        <w:tc>
          <w:tcPr>
            <w:tcW w:w="4995" w:type="dxa"/>
            <w:tcBorders>
              <w:bottom w:val="single" w:sz="6" w:space="0" w:color="000000"/>
              <w:right w:val="single" w:sz="6" w:space="0" w:color="000000"/>
            </w:tcBorders>
            <w:vAlign w:val="center"/>
          </w:tcPr>
          <w:p w14:paraId="329B84EF" w14:textId="77777777" w:rsidR="007D706A" w:rsidRDefault="007D706A" w:rsidP="00F70508">
            <w:pPr>
              <w:pStyle w:val="ParagraphStyle8"/>
              <w:rPr>
                <w:rStyle w:val="CharacterStyle8"/>
              </w:rPr>
            </w:pPr>
            <w:r>
              <w:rPr>
                <w:rStyle w:val="CharacterStyle8"/>
              </w:rPr>
              <w:t>Prihodi za posebne namjene</w:t>
            </w:r>
          </w:p>
        </w:tc>
        <w:tc>
          <w:tcPr>
            <w:tcW w:w="1395" w:type="dxa"/>
            <w:tcBorders>
              <w:bottom w:val="single" w:sz="6" w:space="0" w:color="000000"/>
              <w:right w:val="single" w:sz="6" w:space="0" w:color="000000"/>
            </w:tcBorders>
            <w:vAlign w:val="center"/>
          </w:tcPr>
          <w:p w14:paraId="1347863D"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9F59B97" w14:textId="77777777" w:rsidR="007D706A" w:rsidRDefault="007D706A" w:rsidP="00F70508">
            <w:pPr>
              <w:pStyle w:val="ParagraphStyle9"/>
              <w:rPr>
                <w:rStyle w:val="CharacterStyle9"/>
              </w:rPr>
            </w:pPr>
            <w:r>
              <w:rPr>
                <w:rStyle w:val="CharacterStyle9"/>
              </w:rPr>
              <w:t>26.500,00</w:t>
            </w:r>
          </w:p>
        </w:tc>
        <w:tc>
          <w:tcPr>
            <w:tcW w:w="1395" w:type="dxa"/>
            <w:tcBorders>
              <w:bottom w:val="single" w:sz="6" w:space="0" w:color="000000"/>
              <w:right w:val="single" w:sz="6" w:space="0" w:color="000000"/>
            </w:tcBorders>
            <w:vAlign w:val="center"/>
          </w:tcPr>
          <w:p w14:paraId="1E5EC9FF"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57802D2"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810FB31" w14:textId="77777777" w:rsidR="007D706A" w:rsidRDefault="007D706A" w:rsidP="00F70508">
            <w:pPr>
              <w:pStyle w:val="ParagraphStyle9"/>
              <w:rPr>
                <w:rStyle w:val="CharacterStyle9"/>
              </w:rPr>
            </w:pPr>
            <w:r>
              <w:rPr>
                <w:rStyle w:val="CharacterStyle9"/>
              </w:rPr>
              <w:t>0,00</w:t>
            </w:r>
          </w:p>
        </w:tc>
      </w:tr>
      <w:tr w:rsidR="007D706A" w14:paraId="1149839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8A0F47E"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01D0726C"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34C25B3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F335AB4" w14:textId="77777777" w:rsidR="007D706A" w:rsidRDefault="007D706A" w:rsidP="00F70508">
            <w:pPr>
              <w:pStyle w:val="ParagraphStyle12"/>
              <w:rPr>
                <w:rStyle w:val="CharacterStyle12"/>
              </w:rPr>
            </w:pPr>
            <w:r>
              <w:rPr>
                <w:rStyle w:val="CharacterStyle12"/>
              </w:rPr>
              <w:t>26.500,00</w:t>
            </w:r>
          </w:p>
        </w:tc>
        <w:tc>
          <w:tcPr>
            <w:tcW w:w="1395" w:type="dxa"/>
            <w:tcBorders>
              <w:bottom w:val="single" w:sz="6" w:space="0" w:color="000000"/>
              <w:right w:val="single" w:sz="6" w:space="0" w:color="000000"/>
            </w:tcBorders>
            <w:vAlign w:val="center"/>
          </w:tcPr>
          <w:p w14:paraId="102B7B9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F302AC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5E65B4E" w14:textId="77777777" w:rsidR="007D706A" w:rsidRDefault="007D706A" w:rsidP="00F70508">
            <w:pPr>
              <w:pStyle w:val="ParagraphStyle12"/>
              <w:rPr>
                <w:rStyle w:val="CharacterStyle12"/>
              </w:rPr>
            </w:pPr>
            <w:r>
              <w:rPr>
                <w:rStyle w:val="CharacterStyle12"/>
              </w:rPr>
              <w:t>0,00</w:t>
            </w:r>
          </w:p>
        </w:tc>
      </w:tr>
      <w:tr w:rsidR="007D706A" w14:paraId="31B4977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C4A4A44" w14:textId="77777777" w:rsidR="007D706A" w:rsidRDefault="007D706A" w:rsidP="00F70508">
            <w:pPr>
              <w:pStyle w:val="ParagraphStyle10"/>
              <w:rPr>
                <w:rStyle w:val="CharacterStyle10"/>
              </w:rPr>
            </w:pPr>
            <w:r>
              <w:rPr>
                <w:rStyle w:val="CharacterStyle10"/>
              </w:rPr>
              <w:t>35</w:t>
            </w:r>
          </w:p>
        </w:tc>
        <w:tc>
          <w:tcPr>
            <w:tcW w:w="4995" w:type="dxa"/>
            <w:tcBorders>
              <w:bottom w:val="single" w:sz="6" w:space="0" w:color="000000"/>
              <w:right w:val="single" w:sz="6" w:space="0" w:color="000000"/>
            </w:tcBorders>
            <w:vAlign w:val="center"/>
          </w:tcPr>
          <w:p w14:paraId="590FE9B2" w14:textId="77777777" w:rsidR="007D706A" w:rsidRDefault="007D706A" w:rsidP="00F70508">
            <w:pPr>
              <w:pStyle w:val="ParagraphStyle11"/>
              <w:rPr>
                <w:rStyle w:val="CharacterStyle11"/>
              </w:rPr>
            </w:pPr>
            <w:r>
              <w:rPr>
                <w:rStyle w:val="CharacterStyle11"/>
              </w:rPr>
              <w:t>Subvencije</w:t>
            </w:r>
          </w:p>
        </w:tc>
        <w:tc>
          <w:tcPr>
            <w:tcW w:w="1395" w:type="dxa"/>
            <w:tcBorders>
              <w:bottom w:val="single" w:sz="6" w:space="0" w:color="000000"/>
              <w:right w:val="single" w:sz="6" w:space="0" w:color="000000"/>
            </w:tcBorders>
            <w:vAlign w:val="center"/>
          </w:tcPr>
          <w:p w14:paraId="5285271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9392D2A" w14:textId="77777777" w:rsidR="007D706A" w:rsidRDefault="007D706A" w:rsidP="00F70508">
            <w:pPr>
              <w:pStyle w:val="ParagraphStyle12"/>
              <w:rPr>
                <w:rStyle w:val="CharacterStyle12"/>
              </w:rPr>
            </w:pPr>
            <w:r>
              <w:rPr>
                <w:rStyle w:val="CharacterStyle12"/>
              </w:rPr>
              <w:t>26.500,00</w:t>
            </w:r>
          </w:p>
        </w:tc>
        <w:tc>
          <w:tcPr>
            <w:tcW w:w="1395" w:type="dxa"/>
            <w:tcBorders>
              <w:bottom w:val="single" w:sz="6" w:space="0" w:color="000000"/>
              <w:right w:val="single" w:sz="6" w:space="0" w:color="000000"/>
            </w:tcBorders>
            <w:vAlign w:val="center"/>
          </w:tcPr>
          <w:p w14:paraId="01868A9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180612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51C173E" w14:textId="77777777" w:rsidR="007D706A" w:rsidRDefault="007D706A" w:rsidP="00F70508">
            <w:pPr>
              <w:pStyle w:val="ParagraphStyle12"/>
              <w:rPr>
                <w:rStyle w:val="CharacterStyle12"/>
              </w:rPr>
            </w:pPr>
            <w:r>
              <w:rPr>
                <w:rStyle w:val="CharacterStyle12"/>
              </w:rPr>
              <w:t>0,00</w:t>
            </w:r>
          </w:p>
        </w:tc>
      </w:tr>
      <w:tr w:rsidR="007D706A" w14:paraId="5396BE8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8230AEA" w14:textId="77777777" w:rsidR="007D706A" w:rsidRDefault="007D706A" w:rsidP="00F70508">
            <w:pPr>
              <w:pStyle w:val="ParagraphStyle4"/>
              <w:rPr>
                <w:rStyle w:val="CharacterStyle4"/>
              </w:rPr>
            </w:pPr>
            <w:r>
              <w:rPr>
                <w:rStyle w:val="CharacterStyle4"/>
              </w:rPr>
              <w:t>Aktivnost A103105</w:t>
            </w:r>
          </w:p>
        </w:tc>
        <w:tc>
          <w:tcPr>
            <w:tcW w:w="4995" w:type="dxa"/>
            <w:tcBorders>
              <w:bottom w:val="single" w:sz="6" w:space="0" w:color="000000"/>
              <w:right w:val="single" w:sz="6" w:space="0" w:color="000000"/>
            </w:tcBorders>
            <w:vAlign w:val="center"/>
          </w:tcPr>
          <w:p w14:paraId="7366A1AD" w14:textId="77777777" w:rsidR="007D706A" w:rsidRDefault="007D706A" w:rsidP="00F70508">
            <w:pPr>
              <w:pStyle w:val="ParagraphStyle5"/>
              <w:rPr>
                <w:rStyle w:val="CharacterStyle5"/>
              </w:rPr>
            </w:pPr>
            <w:r>
              <w:rPr>
                <w:rStyle w:val="CharacterStyle5"/>
              </w:rPr>
              <w:t>NAJAM SPORTSKOG MOBILNOG KLIZALIŠTA</w:t>
            </w:r>
          </w:p>
        </w:tc>
        <w:tc>
          <w:tcPr>
            <w:tcW w:w="1395" w:type="dxa"/>
            <w:tcBorders>
              <w:bottom w:val="single" w:sz="6" w:space="0" w:color="000000"/>
              <w:right w:val="single" w:sz="6" w:space="0" w:color="000000"/>
            </w:tcBorders>
            <w:vAlign w:val="center"/>
          </w:tcPr>
          <w:p w14:paraId="43554EA0"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3AB635CE"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7B3AE5F7" w14:textId="77777777" w:rsidR="007D706A" w:rsidRDefault="007D706A" w:rsidP="00F70508">
            <w:pPr>
              <w:pStyle w:val="ParagraphStyle6"/>
              <w:rPr>
                <w:rStyle w:val="CharacterStyle6"/>
              </w:rPr>
            </w:pPr>
            <w:r>
              <w:rPr>
                <w:rStyle w:val="CharacterStyle6"/>
              </w:rPr>
              <w:t>36.250,00</w:t>
            </w:r>
          </w:p>
        </w:tc>
        <w:tc>
          <w:tcPr>
            <w:tcW w:w="1395" w:type="dxa"/>
            <w:tcBorders>
              <w:bottom w:val="single" w:sz="6" w:space="0" w:color="000000"/>
              <w:right w:val="single" w:sz="6" w:space="0" w:color="000000"/>
            </w:tcBorders>
            <w:vAlign w:val="center"/>
          </w:tcPr>
          <w:p w14:paraId="1D953589" w14:textId="77777777" w:rsidR="007D706A" w:rsidRDefault="007D706A" w:rsidP="00F70508">
            <w:pPr>
              <w:pStyle w:val="ParagraphStyle6"/>
              <w:rPr>
                <w:rStyle w:val="CharacterStyle6"/>
              </w:rPr>
            </w:pPr>
            <w:r>
              <w:rPr>
                <w:rStyle w:val="CharacterStyle6"/>
              </w:rPr>
              <w:t>31.500,00</w:t>
            </w:r>
          </w:p>
        </w:tc>
        <w:tc>
          <w:tcPr>
            <w:tcW w:w="1395" w:type="dxa"/>
            <w:tcBorders>
              <w:bottom w:val="single" w:sz="6" w:space="0" w:color="000000"/>
              <w:right w:val="single" w:sz="6" w:space="0" w:color="000000"/>
            </w:tcBorders>
            <w:vAlign w:val="center"/>
          </w:tcPr>
          <w:p w14:paraId="0033858A" w14:textId="77777777" w:rsidR="007D706A" w:rsidRDefault="007D706A" w:rsidP="00F70508">
            <w:pPr>
              <w:pStyle w:val="ParagraphStyle6"/>
              <w:rPr>
                <w:rStyle w:val="CharacterStyle6"/>
              </w:rPr>
            </w:pPr>
            <w:r>
              <w:rPr>
                <w:rStyle w:val="CharacterStyle6"/>
              </w:rPr>
              <w:t>32.400,00</w:t>
            </w:r>
          </w:p>
        </w:tc>
      </w:tr>
      <w:tr w:rsidR="007D706A" w14:paraId="1403900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917E7C8"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0523C85D"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48CA500E"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46E12BD"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DD1947B" w14:textId="77777777" w:rsidR="007D706A" w:rsidRDefault="007D706A" w:rsidP="00F70508">
            <w:pPr>
              <w:pStyle w:val="ParagraphStyle9"/>
              <w:rPr>
                <w:rStyle w:val="CharacterStyle9"/>
              </w:rPr>
            </w:pPr>
            <w:r>
              <w:rPr>
                <w:rStyle w:val="CharacterStyle9"/>
              </w:rPr>
              <w:t>36.250,00</w:t>
            </w:r>
          </w:p>
        </w:tc>
        <w:tc>
          <w:tcPr>
            <w:tcW w:w="1395" w:type="dxa"/>
            <w:tcBorders>
              <w:bottom w:val="single" w:sz="6" w:space="0" w:color="000000"/>
              <w:right w:val="single" w:sz="6" w:space="0" w:color="000000"/>
            </w:tcBorders>
            <w:vAlign w:val="center"/>
          </w:tcPr>
          <w:p w14:paraId="4C3A18E3" w14:textId="77777777" w:rsidR="007D706A" w:rsidRDefault="007D706A" w:rsidP="00F70508">
            <w:pPr>
              <w:pStyle w:val="ParagraphStyle9"/>
              <w:rPr>
                <w:rStyle w:val="CharacterStyle9"/>
              </w:rPr>
            </w:pPr>
            <w:r>
              <w:rPr>
                <w:rStyle w:val="CharacterStyle9"/>
              </w:rPr>
              <w:t>31.500,00</w:t>
            </w:r>
          </w:p>
        </w:tc>
        <w:tc>
          <w:tcPr>
            <w:tcW w:w="1395" w:type="dxa"/>
            <w:tcBorders>
              <w:bottom w:val="single" w:sz="6" w:space="0" w:color="000000"/>
              <w:right w:val="single" w:sz="6" w:space="0" w:color="000000"/>
            </w:tcBorders>
            <w:vAlign w:val="center"/>
          </w:tcPr>
          <w:p w14:paraId="6BD98D03" w14:textId="77777777" w:rsidR="007D706A" w:rsidRDefault="007D706A" w:rsidP="00F70508">
            <w:pPr>
              <w:pStyle w:val="ParagraphStyle9"/>
              <w:rPr>
                <w:rStyle w:val="CharacterStyle9"/>
              </w:rPr>
            </w:pPr>
            <w:r>
              <w:rPr>
                <w:rStyle w:val="CharacterStyle9"/>
              </w:rPr>
              <w:t>32.400,00</w:t>
            </w:r>
          </w:p>
        </w:tc>
      </w:tr>
      <w:tr w:rsidR="007D706A" w14:paraId="3C63C18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7B9DBD2"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603301B8"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1FD5E86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C419B3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BECB173" w14:textId="77777777" w:rsidR="007D706A" w:rsidRDefault="007D706A" w:rsidP="00F70508">
            <w:pPr>
              <w:pStyle w:val="ParagraphStyle12"/>
              <w:rPr>
                <w:rStyle w:val="CharacterStyle12"/>
              </w:rPr>
            </w:pPr>
            <w:r>
              <w:rPr>
                <w:rStyle w:val="CharacterStyle12"/>
              </w:rPr>
              <w:t>36.250,00</w:t>
            </w:r>
          </w:p>
        </w:tc>
        <w:tc>
          <w:tcPr>
            <w:tcW w:w="1395" w:type="dxa"/>
            <w:tcBorders>
              <w:bottom w:val="single" w:sz="6" w:space="0" w:color="000000"/>
              <w:right w:val="single" w:sz="6" w:space="0" w:color="000000"/>
            </w:tcBorders>
            <w:vAlign w:val="center"/>
          </w:tcPr>
          <w:p w14:paraId="3260573A" w14:textId="77777777" w:rsidR="007D706A" w:rsidRDefault="007D706A" w:rsidP="00F70508">
            <w:pPr>
              <w:pStyle w:val="ParagraphStyle12"/>
              <w:rPr>
                <w:rStyle w:val="CharacterStyle12"/>
              </w:rPr>
            </w:pPr>
            <w:r>
              <w:rPr>
                <w:rStyle w:val="CharacterStyle12"/>
              </w:rPr>
              <w:t>31.500,00</w:t>
            </w:r>
          </w:p>
        </w:tc>
        <w:tc>
          <w:tcPr>
            <w:tcW w:w="1395" w:type="dxa"/>
            <w:tcBorders>
              <w:bottom w:val="single" w:sz="6" w:space="0" w:color="000000"/>
              <w:right w:val="single" w:sz="6" w:space="0" w:color="000000"/>
            </w:tcBorders>
            <w:vAlign w:val="center"/>
          </w:tcPr>
          <w:p w14:paraId="34FF2CBB" w14:textId="77777777" w:rsidR="007D706A" w:rsidRDefault="007D706A" w:rsidP="00F70508">
            <w:pPr>
              <w:pStyle w:val="ParagraphStyle12"/>
              <w:rPr>
                <w:rStyle w:val="CharacterStyle12"/>
              </w:rPr>
            </w:pPr>
            <w:r>
              <w:rPr>
                <w:rStyle w:val="CharacterStyle12"/>
              </w:rPr>
              <w:t>32.400,00</w:t>
            </w:r>
          </w:p>
        </w:tc>
      </w:tr>
      <w:tr w:rsidR="007D706A" w14:paraId="2EAD98C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A04F9DD" w14:textId="77777777" w:rsidR="007D706A" w:rsidRDefault="007D706A" w:rsidP="00F70508">
            <w:pPr>
              <w:pStyle w:val="ParagraphStyle10"/>
              <w:rPr>
                <w:rStyle w:val="CharacterStyle10"/>
              </w:rPr>
            </w:pPr>
            <w:r>
              <w:rPr>
                <w:rStyle w:val="CharacterStyle10"/>
              </w:rPr>
              <w:t>35</w:t>
            </w:r>
          </w:p>
        </w:tc>
        <w:tc>
          <w:tcPr>
            <w:tcW w:w="4995" w:type="dxa"/>
            <w:tcBorders>
              <w:bottom w:val="single" w:sz="6" w:space="0" w:color="000000"/>
              <w:right w:val="single" w:sz="6" w:space="0" w:color="000000"/>
            </w:tcBorders>
            <w:vAlign w:val="center"/>
          </w:tcPr>
          <w:p w14:paraId="0BF2839B" w14:textId="77777777" w:rsidR="007D706A" w:rsidRDefault="007D706A" w:rsidP="00F70508">
            <w:pPr>
              <w:pStyle w:val="ParagraphStyle11"/>
              <w:rPr>
                <w:rStyle w:val="CharacterStyle11"/>
              </w:rPr>
            </w:pPr>
            <w:r>
              <w:rPr>
                <w:rStyle w:val="CharacterStyle11"/>
              </w:rPr>
              <w:t>Subvencije</w:t>
            </w:r>
          </w:p>
        </w:tc>
        <w:tc>
          <w:tcPr>
            <w:tcW w:w="1395" w:type="dxa"/>
            <w:tcBorders>
              <w:bottom w:val="single" w:sz="6" w:space="0" w:color="000000"/>
              <w:right w:val="single" w:sz="6" w:space="0" w:color="000000"/>
            </w:tcBorders>
            <w:vAlign w:val="center"/>
          </w:tcPr>
          <w:p w14:paraId="71AF8F7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720F23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5F85A21" w14:textId="77777777" w:rsidR="007D706A" w:rsidRDefault="007D706A" w:rsidP="00F70508">
            <w:pPr>
              <w:pStyle w:val="ParagraphStyle12"/>
              <w:rPr>
                <w:rStyle w:val="CharacterStyle12"/>
              </w:rPr>
            </w:pPr>
            <w:r>
              <w:rPr>
                <w:rStyle w:val="CharacterStyle12"/>
              </w:rPr>
              <w:t>36.250,00</w:t>
            </w:r>
          </w:p>
        </w:tc>
        <w:tc>
          <w:tcPr>
            <w:tcW w:w="1395" w:type="dxa"/>
            <w:tcBorders>
              <w:bottom w:val="single" w:sz="6" w:space="0" w:color="000000"/>
              <w:right w:val="single" w:sz="6" w:space="0" w:color="000000"/>
            </w:tcBorders>
            <w:vAlign w:val="center"/>
          </w:tcPr>
          <w:p w14:paraId="63A68877" w14:textId="77777777" w:rsidR="007D706A" w:rsidRDefault="007D706A" w:rsidP="00F70508">
            <w:pPr>
              <w:pStyle w:val="ParagraphStyle12"/>
              <w:rPr>
                <w:rStyle w:val="CharacterStyle12"/>
              </w:rPr>
            </w:pPr>
            <w:r>
              <w:rPr>
                <w:rStyle w:val="CharacterStyle12"/>
              </w:rPr>
              <w:t>31.500,00</w:t>
            </w:r>
          </w:p>
        </w:tc>
        <w:tc>
          <w:tcPr>
            <w:tcW w:w="1395" w:type="dxa"/>
            <w:tcBorders>
              <w:bottom w:val="single" w:sz="6" w:space="0" w:color="000000"/>
              <w:right w:val="single" w:sz="6" w:space="0" w:color="000000"/>
            </w:tcBorders>
            <w:vAlign w:val="center"/>
          </w:tcPr>
          <w:p w14:paraId="06CE2D54" w14:textId="77777777" w:rsidR="007D706A" w:rsidRDefault="007D706A" w:rsidP="00F70508">
            <w:pPr>
              <w:pStyle w:val="ParagraphStyle12"/>
              <w:rPr>
                <w:rStyle w:val="CharacterStyle12"/>
              </w:rPr>
            </w:pPr>
            <w:r>
              <w:rPr>
                <w:rStyle w:val="CharacterStyle12"/>
              </w:rPr>
              <w:t>32.400,00</w:t>
            </w:r>
          </w:p>
        </w:tc>
      </w:tr>
      <w:tr w:rsidR="007D706A" w14:paraId="45B881AA" w14:textId="77777777" w:rsidTr="00F70508">
        <w:trPr>
          <w:trHeight w:val="420"/>
        </w:trPr>
        <w:tc>
          <w:tcPr>
            <w:tcW w:w="2880" w:type="dxa"/>
            <w:tcBorders>
              <w:left w:val="single" w:sz="6" w:space="0" w:color="000000"/>
              <w:bottom w:val="single" w:sz="6" w:space="0" w:color="000000"/>
              <w:right w:val="single" w:sz="6" w:space="0" w:color="000000"/>
            </w:tcBorders>
            <w:vAlign w:val="center"/>
          </w:tcPr>
          <w:p w14:paraId="54CBCD88" w14:textId="77777777" w:rsidR="007D706A" w:rsidRDefault="007D706A" w:rsidP="00F70508">
            <w:pPr>
              <w:pStyle w:val="ParagraphStyle4"/>
              <w:rPr>
                <w:rStyle w:val="CharacterStyle4"/>
              </w:rPr>
            </w:pPr>
            <w:r>
              <w:rPr>
                <w:rStyle w:val="CharacterStyle4"/>
              </w:rPr>
              <w:t>Tekući projekt T103101</w:t>
            </w:r>
          </w:p>
        </w:tc>
        <w:tc>
          <w:tcPr>
            <w:tcW w:w="4995" w:type="dxa"/>
            <w:tcBorders>
              <w:bottom w:val="single" w:sz="6" w:space="0" w:color="000000"/>
              <w:right w:val="single" w:sz="6" w:space="0" w:color="000000"/>
            </w:tcBorders>
            <w:vAlign w:val="center"/>
          </w:tcPr>
          <w:p w14:paraId="2998CB2D" w14:textId="77777777" w:rsidR="007D706A" w:rsidRDefault="007D706A" w:rsidP="00F70508">
            <w:pPr>
              <w:pStyle w:val="ParagraphStyle5"/>
              <w:rPr>
                <w:rStyle w:val="CharacterStyle5"/>
              </w:rPr>
            </w:pPr>
            <w:r>
              <w:rPr>
                <w:rStyle w:val="CharacterStyle5"/>
              </w:rPr>
              <w:t>INVESTICIJSKO ODRŽAVANJE SPORTSKIH OBJEKATA I OPREME</w:t>
            </w:r>
          </w:p>
        </w:tc>
        <w:tc>
          <w:tcPr>
            <w:tcW w:w="1395" w:type="dxa"/>
            <w:tcBorders>
              <w:bottom w:val="single" w:sz="6" w:space="0" w:color="000000"/>
              <w:right w:val="single" w:sz="6" w:space="0" w:color="000000"/>
            </w:tcBorders>
            <w:vAlign w:val="center"/>
          </w:tcPr>
          <w:p w14:paraId="65B73EFC"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41F827E2" w14:textId="77777777" w:rsidR="007D706A" w:rsidRDefault="007D706A" w:rsidP="00F70508">
            <w:pPr>
              <w:pStyle w:val="ParagraphStyle6"/>
              <w:rPr>
                <w:rStyle w:val="CharacterStyle6"/>
              </w:rPr>
            </w:pPr>
            <w:r>
              <w:rPr>
                <w:rStyle w:val="CharacterStyle6"/>
              </w:rPr>
              <w:t>254.500,00</w:t>
            </w:r>
          </w:p>
        </w:tc>
        <w:tc>
          <w:tcPr>
            <w:tcW w:w="1395" w:type="dxa"/>
            <w:tcBorders>
              <w:bottom w:val="single" w:sz="6" w:space="0" w:color="000000"/>
              <w:right w:val="single" w:sz="6" w:space="0" w:color="000000"/>
            </w:tcBorders>
            <w:vAlign w:val="center"/>
          </w:tcPr>
          <w:p w14:paraId="681ED6E0" w14:textId="77777777" w:rsidR="007D706A" w:rsidRDefault="007D706A" w:rsidP="00F70508">
            <w:pPr>
              <w:pStyle w:val="ParagraphStyle6"/>
              <w:rPr>
                <w:rStyle w:val="CharacterStyle6"/>
              </w:rPr>
            </w:pPr>
            <w:r>
              <w:rPr>
                <w:rStyle w:val="CharacterStyle6"/>
              </w:rPr>
              <w:t>235.500,00</w:t>
            </w:r>
          </w:p>
        </w:tc>
        <w:tc>
          <w:tcPr>
            <w:tcW w:w="1395" w:type="dxa"/>
            <w:tcBorders>
              <w:bottom w:val="single" w:sz="6" w:space="0" w:color="000000"/>
              <w:right w:val="single" w:sz="6" w:space="0" w:color="000000"/>
            </w:tcBorders>
            <w:vAlign w:val="center"/>
          </w:tcPr>
          <w:p w14:paraId="02263E0C" w14:textId="77777777" w:rsidR="007D706A" w:rsidRDefault="007D706A" w:rsidP="00F70508">
            <w:pPr>
              <w:pStyle w:val="ParagraphStyle6"/>
              <w:rPr>
                <w:rStyle w:val="CharacterStyle6"/>
              </w:rPr>
            </w:pPr>
            <w:r>
              <w:rPr>
                <w:rStyle w:val="CharacterStyle6"/>
              </w:rPr>
              <w:t>273.000,00</w:t>
            </w:r>
          </w:p>
        </w:tc>
        <w:tc>
          <w:tcPr>
            <w:tcW w:w="1395" w:type="dxa"/>
            <w:tcBorders>
              <w:bottom w:val="single" w:sz="6" w:space="0" w:color="000000"/>
              <w:right w:val="single" w:sz="6" w:space="0" w:color="000000"/>
            </w:tcBorders>
            <w:vAlign w:val="center"/>
          </w:tcPr>
          <w:p w14:paraId="102710B4" w14:textId="77777777" w:rsidR="007D706A" w:rsidRDefault="007D706A" w:rsidP="00F70508">
            <w:pPr>
              <w:pStyle w:val="ParagraphStyle6"/>
              <w:rPr>
                <w:rStyle w:val="CharacterStyle6"/>
              </w:rPr>
            </w:pPr>
            <w:r>
              <w:rPr>
                <w:rStyle w:val="CharacterStyle6"/>
              </w:rPr>
              <w:t>280.000,00</w:t>
            </w:r>
          </w:p>
        </w:tc>
      </w:tr>
      <w:tr w:rsidR="007D706A" w14:paraId="56A06E7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253310C"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5C8D6E7A"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38D42559"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DA997CE" w14:textId="77777777" w:rsidR="007D706A" w:rsidRDefault="007D706A" w:rsidP="00F70508">
            <w:pPr>
              <w:pStyle w:val="ParagraphStyle9"/>
              <w:rPr>
                <w:rStyle w:val="CharacterStyle9"/>
              </w:rPr>
            </w:pPr>
            <w:r>
              <w:rPr>
                <w:rStyle w:val="CharacterStyle9"/>
              </w:rPr>
              <w:t>44.000,00</w:t>
            </w:r>
          </w:p>
        </w:tc>
        <w:tc>
          <w:tcPr>
            <w:tcW w:w="1395" w:type="dxa"/>
            <w:tcBorders>
              <w:bottom w:val="single" w:sz="6" w:space="0" w:color="000000"/>
              <w:right w:val="single" w:sz="6" w:space="0" w:color="000000"/>
            </w:tcBorders>
            <w:vAlign w:val="center"/>
          </w:tcPr>
          <w:p w14:paraId="2E3196D3" w14:textId="77777777" w:rsidR="007D706A" w:rsidRDefault="007D706A" w:rsidP="00F70508">
            <w:pPr>
              <w:pStyle w:val="ParagraphStyle9"/>
              <w:rPr>
                <w:rStyle w:val="CharacterStyle9"/>
              </w:rPr>
            </w:pPr>
            <w:r>
              <w:rPr>
                <w:rStyle w:val="CharacterStyle9"/>
              </w:rPr>
              <w:t>235.500,00</w:t>
            </w:r>
          </w:p>
        </w:tc>
        <w:tc>
          <w:tcPr>
            <w:tcW w:w="1395" w:type="dxa"/>
            <w:tcBorders>
              <w:bottom w:val="single" w:sz="6" w:space="0" w:color="000000"/>
              <w:right w:val="single" w:sz="6" w:space="0" w:color="000000"/>
            </w:tcBorders>
            <w:vAlign w:val="center"/>
          </w:tcPr>
          <w:p w14:paraId="3F73E017"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B68981D" w14:textId="77777777" w:rsidR="007D706A" w:rsidRDefault="007D706A" w:rsidP="00F70508">
            <w:pPr>
              <w:pStyle w:val="ParagraphStyle9"/>
              <w:rPr>
                <w:rStyle w:val="CharacterStyle9"/>
              </w:rPr>
            </w:pPr>
            <w:r>
              <w:rPr>
                <w:rStyle w:val="CharacterStyle9"/>
              </w:rPr>
              <w:t>0,00</w:t>
            </w:r>
          </w:p>
        </w:tc>
      </w:tr>
      <w:tr w:rsidR="007D706A" w14:paraId="1A0409A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3BBCF6F"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3711B23C"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3CEF8AA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CA60C5E" w14:textId="77777777" w:rsidR="007D706A" w:rsidRDefault="007D706A" w:rsidP="00F70508">
            <w:pPr>
              <w:pStyle w:val="ParagraphStyle12"/>
              <w:rPr>
                <w:rStyle w:val="CharacterStyle12"/>
              </w:rPr>
            </w:pPr>
            <w:r>
              <w:rPr>
                <w:rStyle w:val="CharacterStyle12"/>
              </w:rPr>
              <w:t>44.000,00</w:t>
            </w:r>
          </w:p>
        </w:tc>
        <w:tc>
          <w:tcPr>
            <w:tcW w:w="1395" w:type="dxa"/>
            <w:tcBorders>
              <w:bottom w:val="single" w:sz="6" w:space="0" w:color="000000"/>
              <w:right w:val="single" w:sz="6" w:space="0" w:color="000000"/>
            </w:tcBorders>
            <w:vAlign w:val="center"/>
          </w:tcPr>
          <w:p w14:paraId="19354FBD" w14:textId="77777777" w:rsidR="007D706A" w:rsidRDefault="007D706A" w:rsidP="00F70508">
            <w:pPr>
              <w:pStyle w:val="ParagraphStyle12"/>
              <w:rPr>
                <w:rStyle w:val="CharacterStyle12"/>
              </w:rPr>
            </w:pPr>
            <w:r>
              <w:rPr>
                <w:rStyle w:val="CharacterStyle12"/>
              </w:rPr>
              <w:t>235.500,00</w:t>
            </w:r>
          </w:p>
        </w:tc>
        <w:tc>
          <w:tcPr>
            <w:tcW w:w="1395" w:type="dxa"/>
            <w:tcBorders>
              <w:bottom w:val="single" w:sz="6" w:space="0" w:color="000000"/>
              <w:right w:val="single" w:sz="6" w:space="0" w:color="000000"/>
            </w:tcBorders>
            <w:vAlign w:val="center"/>
          </w:tcPr>
          <w:p w14:paraId="2D40B41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64AAE0E" w14:textId="77777777" w:rsidR="007D706A" w:rsidRDefault="007D706A" w:rsidP="00F70508">
            <w:pPr>
              <w:pStyle w:val="ParagraphStyle12"/>
              <w:rPr>
                <w:rStyle w:val="CharacterStyle12"/>
              </w:rPr>
            </w:pPr>
            <w:r>
              <w:rPr>
                <w:rStyle w:val="CharacterStyle12"/>
              </w:rPr>
              <w:t>0,00</w:t>
            </w:r>
          </w:p>
        </w:tc>
      </w:tr>
      <w:tr w:rsidR="007D706A" w14:paraId="0B4327C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7F433B3" w14:textId="77777777" w:rsidR="007D706A" w:rsidRDefault="007D706A" w:rsidP="00F70508">
            <w:pPr>
              <w:pStyle w:val="ParagraphStyle10"/>
              <w:rPr>
                <w:rStyle w:val="CharacterStyle10"/>
              </w:rPr>
            </w:pPr>
            <w:r>
              <w:rPr>
                <w:rStyle w:val="CharacterStyle10"/>
              </w:rPr>
              <w:t>35</w:t>
            </w:r>
          </w:p>
        </w:tc>
        <w:tc>
          <w:tcPr>
            <w:tcW w:w="4995" w:type="dxa"/>
            <w:tcBorders>
              <w:bottom w:val="single" w:sz="6" w:space="0" w:color="000000"/>
              <w:right w:val="single" w:sz="6" w:space="0" w:color="000000"/>
            </w:tcBorders>
            <w:vAlign w:val="center"/>
          </w:tcPr>
          <w:p w14:paraId="5E702B8C" w14:textId="77777777" w:rsidR="007D706A" w:rsidRDefault="007D706A" w:rsidP="00F70508">
            <w:pPr>
              <w:pStyle w:val="ParagraphStyle11"/>
              <w:rPr>
                <w:rStyle w:val="CharacterStyle11"/>
              </w:rPr>
            </w:pPr>
            <w:r>
              <w:rPr>
                <w:rStyle w:val="CharacterStyle11"/>
              </w:rPr>
              <w:t>Subvencije</w:t>
            </w:r>
          </w:p>
        </w:tc>
        <w:tc>
          <w:tcPr>
            <w:tcW w:w="1395" w:type="dxa"/>
            <w:tcBorders>
              <w:bottom w:val="single" w:sz="6" w:space="0" w:color="000000"/>
              <w:right w:val="single" w:sz="6" w:space="0" w:color="000000"/>
            </w:tcBorders>
            <w:vAlign w:val="center"/>
          </w:tcPr>
          <w:p w14:paraId="10438BA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A524252" w14:textId="77777777" w:rsidR="007D706A" w:rsidRDefault="007D706A" w:rsidP="00F70508">
            <w:pPr>
              <w:pStyle w:val="ParagraphStyle12"/>
              <w:rPr>
                <w:rStyle w:val="CharacterStyle12"/>
              </w:rPr>
            </w:pPr>
            <w:r>
              <w:rPr>
                <w:rStyle w:val="CharacterStyle12"/>
              </w:rPr>
              <w:t>44.000,00</w:t>
            </w:r>
          </w:p>
        </w:tc>
        <w:tc>
          <w:tcPr>
            <w:tcW w:w="1395" w:type="dxa"/>
            <w:tcBorders>
              <w:bottom w:val="single" w:sz="6" w:space="0" w:color="000000"/>
              <w:right w:val="single" w:sz="6" w:space="0" w:color="000000"/>
            </w:tcBorders>
            <w:vAlign w:val="center"/>
          </w:tcPr>
          <w:p w14:paraId="10C6E86F" w14:textId="77777777" w:rsidR="007D706A" w:rsidRDefault="007D706A" w:rsidP="00F70508">
            <w:pPr>
              <w:pStyle w:val="ParagraphStyle12"/>
              <w:rPr>
                <w:rStyle w:val="CharacterStyle12"/>
              </w:rPr>
            </w:pPr>
            <w:r>
              <w:rPr>
                <w:rStyle w:val="CharacterStyle12"/>
              </w:rPr>
              <w:t>235.500,00</w:t>
            </w:r>
          </w:p>
        </w:tc>
        <w:tc>
          <w:tcPr>
            <w:tcW w:w="1395" w:type="dxa"/>
            <w:tcBorders>
              <w:bottom w:val="single" w:sz="6" w:space="0" w:color="000000"/>
              <w:right w:val="single" w:sz="6" w:space="0" w:color="000000"/>
            </w:tcBorders>
            <w:vAlign w:val="center"/>
          </w:tcPr>
          <w:p w14:paraId="39CF96F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BDFFEE9" w14:textId="77777777" w:rsidR="007D706A" w:rsidRDefault="007D706A" w:rsidP="00F70508">
            <w:pPr>
              <w:pStyle w:val="ParagraphStyle12"/>
              <w:rPr>
                <w:rStyle w:val="CharacterStyle12"/>
              </w:rPr>
            </w:pPr>
            <w:r>
              <w:rPr>
                <w:rStyle w:val="CharacterStyle12"/>
              </w:rPr>
              <w:t>0,00</w:t>
            </w:r>
          </w:p>
        </w:tc>
      </w:tr>
      <w:tr w:rsidR="007D706A" w14:paraId="092B5136"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A59F64E" w14:textId="77777777" w:rsidR="007D706A" w:rsidRDefault="007D706A" w:rsidP="00F70508">
            <w:pPr>
              <w:pStyle w:val="ParagraphStyle7"/>
              <w:rPr>
                <w:rStyle w:val="CharacterStyle7"/>
              </w:rPr>
            </w:pPr>
            <w:r>
              <w:rPr>
                <w:rStyle w:val="CharacterStyle7"/>
              </w:rPr>
              <w:t>Izvor financiranja 40</w:t>
            </w:r>
          </w:p>
        </w:tc>
        <w:tc>
          <w:tcPr>
            <w:tcW w:w="4995" w:type="dxa"/>
            <w:tcBorders>
              <w:bottom w:val="single" w:sz="6" w:space="0" w:color="000000"/>
              <w:right w:val="single" w:sz="6" w:space="0" w:color="000000"/>
            </w:tcBorders>
            <w:vAlign w:val="center"/>
          </w:tcPr>
          <w:p w14:paraId="584ACF39" w14:textId="77777777" w:rsidR="007D706A" w:rsidRDefault="007D706A" w:rsidP="00F70508">
            <w:pPr>
              <w:pStyle w:val="ParagraphStyle8"/>
              <w:rPr>
                <w:rStyle w:val="CharacterStyle8"/>
              </w:rPr>
            </w:pPr>
            <w:r>
              <w:rPr>
                <w:rStyle w:val="CharacterStyle8"/>
              </w:rPr>
              <w:t>Prihodi od komunalne naknade i komunalnog doprinosa</w:t>
            </w:r>
          </w:p>
        </w:tc>
        <w:tc>
          <w:tcPr>
            <w:tcW w:w="1395" w:type="dxa"/>
            <w:tcBorders>
              <w:bottom w:val="single" w:sz="6" w:space="0" w:color="000000"/>
              <w:right w:val="single" w:sz="6" w:space="0" w:color="000000"/>
            </w:tcBorders>
            <w:vAlign w:val="center"/>
          </w:tcPr>
          <w:p w14:paraId="48FCA316"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F09539E"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3D998F5"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DCDD090" w14:textId="77777777" w:rsidR="007D706A" w:rsidRDefault="007D706A" w:rsidP="00F70508">
            <w:pPr>
              <w:pStyle w:val="ParagraphStyle9"/>
              <w:rPr>
                <w:rStyle w:val="CharacterStyle9"/>
              </w:rPr>
            </w:pPr>
            <w:r>
              <w:rPr>
                <w:rStyle w:val="CharacterStyle9"/>
              </w:rPr>
              <w:t>273.000,00</w:t>
            </w:r>
          </w:p>
        </w:tc>
        <w:tc>
          <w:tcPr>
            <w:tcW w:w="1395" w:type="dxa"/>
            <w:tcBorders>
              <w:bottom w:val="single" w:sz="6" w:space="0" w:color="000000"/>
              <w:right w:val="single" w:sz="6" w:space="0" w:color="000000"/>
            </w:tcBorders>
            <w:vAlign w:val="center"/>
          </w:tcPr>
          <w:p w14:paraId="2BC6EAD2" w14:textId="77777777" w:rsidR="007D706A" w:rsidRDefault="007D706A" w:rsidP="00F70508">
            <w:pPr>
              <w:pStyle w:val="ParagraphStyle9"/>
              <w:rPr>
                <w:rStyle w:val="CharacterStyle9"/>
              </w:rPr>
            </w:pPr>
            <w:r>
              <w:rPr>
                <w:rStyle w:val="CharacterStyle9"/>
              </w:rPr>
              <w:t>280.000,00</w:t>
            </w:r>
          </w:p>
        </w:tc>
      </w:tr>
      <w:tr w:rsidR="007D706A" w14:paraId="4998831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DD72CB4"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22DAD60D"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4052705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5AC754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41AE23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664C973" w14:textId="77777777" w:rsidR="007D706A" w:rsidRDefault="007D706A" w:rsidP="00F70508">
            <w:pPr>
              <w:pStyle w:val="ParagraphStyle12"/>
              <w:rPr>
                <w:rStyle w:val="CharacterStyle12"/>
              </w:rPr>
            </w:pPr>
            <w:r>
              <w:rPr>
                <w:rStyle w:val="CharacterStyle12"/>
              </w:rPr>
              <w:t>273.000,00</w:t>
            </w:r>
          </w:p>
        </w:tc>
        <w:tc>
          <w:tcPr>
            <w:tcW w:w="1395" w:type="dxa"/>
            <w:tcBorders>
              <w:bottom w:val="single" w:sz="6" w:space="0" w:color="000000"/>
              <w:right w:val="single" w:sz="6" w:space="0" w:color="000000"/>
            </w:tcBorders>
            <w:vAlign w:val="center"/>
          </w:tcPr>
          <w:p w14:paraId="6390EB1C" w14:textId="77777777" w:rsidR="007D706A" w:rsidRDefault="007D706A" w:rsidP="00F70508">
            <w:pPr>
              <w:pStyle w:val="ParagraphStyle12"/>
              <w:rPr>
                <w:rStyle w:val="CharacterStyle12"/>
              </w:rPr>
            </w:pPr>
            <w:r>
              <w:rPr>
                <w:rStyle w:val="CharacterStyle12"/>
              </w:rPr>
              <w:t>280.000,00</w:t>
            </w:r>
          </w:p>
        </w:tc>
      </w:tr>
      <w:tr w:rsidR="007D706A" w14:paraId="02F6BC8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AE8DA3F" w14:textId="77777777" w:rsidR="007D706A" w:rsidRDefault="007D706A" w:rsidP="00F70508">
            <w:pPr>
              <w:pStyle w:val="ParagraphStyle10"/>
              <w:rPr>
                <w:rStyle w:val="CharacterStyle10"/>
              </w:rPr>
            </w:pPr>
            <w:r>
              <w:rPr>
                <w:rStyle w:val="CharacterStyle10"/>
              </w:rPr>
              <w:t>35</w:t>
            </w:r>
          </w:p>
        </w:tc>
        <w:tc>
          <w:tcPr>
            <w:tcW w:w="4995" w:type="dxa"/>
            <w:tcBorders>
              <w:bottom w:val="single" w:sz="6" w:space="0" w:color="000000"/>
              <w:right w:val="single" w:sz="6" w:space="0" w:color="000000"/>
            </w:tcBorders>
            <w:vAlign w:val="center"/>
          </w:tcPr>
          <w:p w14:paraId="52099022" w14:textId="77777777" w:rsidR="007D706A" w:rsidRDefault="007D706A" w:rsidP="00F70508">
            <w:pPr>
              <w:pStyle w:val="ParagraphStyle11"/>
              <w:rPr>
                <w:rStyle w:val="CharacterStyle11"/>
              </w:rPr>
            </w:pPr>
            <w:r>
              <w:rPr>
                <w:rStyle w:val="CharacterStyle11"/>
              </w:rPr>
              <w:t>Subvencije</w:t>
            </w:r>
          </w:p>
        </w:tc>
        <w:tc>
          <w:tcPr>
            <w:tcW w:w="1395" w:type="dxa"/>
            <w:tcBorders>
              <w:bottom w:val="single" w:sz="6" w:space="0" w:color="000000"/>
              <w:right w:val="single" w:sz="6" w:space="0" w:color="000000"/>
            </w:tcBorders>
            <w:vAlign w:val="center"/>
          </w:tcPr>
          <w:p w14:paraId="53EB3BE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265AE5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1DDF38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AD47D88" w14:textId="77777777" w:rsidR="007D706A" w:rsidRDefault="007D706A" w:rsidP="00F70508">
            <w:pPr>
              <w:pStyle w:val="ParagraphStyle12"/>
              <w:rPr>
                <w:rStyle w:val="CharacterStyle12"/>
              </w:rPr>
            </w:pPr>
            <w:r>
              <w:rPr>
                <w:rStyle w:val="CharacterStyle12"/>
              </w:rPr>
              <w:t>273.000,00</w:t>
            </w:r>
          </w:p>
        </w:tc>
        <w:tc>
          <w:tcPr>
            <w:tcW w:w="1395" w:type="dxa"/>
            <w:tcBorders>
              <w:bottom w:val="single" w:sz="6" w:space="0" w:color="000000"/>
              <w:right w:val="single" w:sz="6" w:space="0" w:color="000000"/>
            </w:tcBorders>
            <w:vAlign w:val="center"/>
          </w:tcPr>
          <w:p w14:paraId="14E07BB6" w14:textId="77777777" w:rsidR="007D706A" w:rsidRDefault="007D706A" w:rsidP="00F70508">
            <w:pPr>
              <w:pStyle w:val="ParagraphStyle12"/>
              <w:rPr>
                <w:rStyle w:val="CharacterStyle12"/>
              </w:rPr>
            </w:pPr>
            <w:r>
              <w:rPr>
                <w:rStyle w:val="CharacterStyle12"/>
              </w:rPr>
              <w:t>280.000,00</w:t>
            </w:r>
          </w:p>
        </w:tc>
      </w:tr>
      <w:tr w:rsidR="007D706A" w14:paraId="116C0E9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EAB3E7D" w14:textId="77777777" w:rsidR="007D706A" w:rsidRDefault="007D706A" w:rsidP="00F70508">
            <w:pPr>
              <w:pStyle w:val="ParagraphStyle7"/>
              <w:rPr>
                <w:rStyle w:val="CharacterStyle7"/>
              </w:rPr>
            </w:pPr>
            <w:r>
              <w:rPr>
                <w:rStyle w:val="CharacterStyle7"/>
              </w:rPr>
              <w:t>Izvor financiranja 41</w:t>
            </w:r>
          </w:p>
        </w:tc>
        <w:tc>
          <w:tcPr>
            <w:tcW w:w="4995" w:type="dxa"/>
            <w:tcBorders>
              <w:bottom w:val="single" w:sz="6" w:space="0" w:color="000000"/>
              <w:right w:val="single" w:sz="6" w:space="0" w:color="000000"/>
            </w:tcBorders>
            <w:vAlign w:val="center"/>
          </w:tcPr>
          <w:p w14:paraId="1A892B24" w14:textId="77777777" w:rsidR="007D706A" w:rsidRDefault="007D706A" w:rsidP="00F70508">
            <w:pPr>
              <w:pStyle w:val="ParagraphStyle8"/>
              <w:rPr>
                <w:rStyle w:val="CharacterStyle8"/>
              </w:rPr>
            </w:pPr>
            <w:r>
              <w:rPr>
                <w:rStyle w:val="CharacterStyle8"/>
              </w:rPr>
              <w:t>Prihodi za posebne namjene</w:t>
            </w:r>
          </w:p>
        </w:tc>
        <w:tc>
          <w:tcPr>
            <w:tcW w:w="1395" w:type="dxa"/>
            <w:tcBorders>
              <w:bottom w:val="single" w:sz="6" w:space="0" w:color="000000"/>
              <w:right w:val="single" w:sz="6" w:space="0" w:color="000000"/>
            </w:tcBorders>
            <w:vAlign w:val="center"/>
          </w:tcPr>
          <w:p w14:paraId="1B48B383"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F1B5B3E" w14:textId="77777777" w:rsidR="007D706A" w:rsidRDefault="007D706A" w:rsidP="00F70508">
            <w:pPr>
              <w:pStyle w:val="ParagraphStyle9"/>
              <w:rPr>
                <w:rStyle w:val="CharacterStyle9"/>
              </w:rPr>
            </w:pPr>
            <w:r>
              <w:rPr>
                <w:rStyle w:val="CharacterStyle9"/>
              </w:rPr>
              <w:t>210.500,00</w:t>
            </w:r>
          </w:p>
        </w:tc>
        <w:tc>
          <w:tcPr>
            <w:tcW w:w="1395" w:type="dxa"/>
            <w:tcBorders>
              <w:bottom w:val="single" w:sz="6" w:space="0" w:color="000000"/>
              <w:right w:val="single" w:sz="6" w:space="0" w:color="000000"/>
            </w:tcBorders>
            <w:vAlign w:val="center"/>
          </w:tcPr>
          <w:p w14:paraId="67882B45"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DF0D66C"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B5EDDB4" w14:textId="77777777" w:rsidR="007D706A" w:rsidRDefault="007D706A" w:rsidP="00F70508">
            <w:pPr>
              <w:pStyle w:val="ParagraphStyle9"/>
              <w:rPr>
                <w:rStyle w:val="CharacterStyle9"/>
              </w:rPr>
            </w:pPr>
            <w:r>
              <w:rPr>
                <w:rStyle w:val="CharacterStyle9"/>
              </w:rPr>
              <w:t>0,00</w:t>
            </w:r>
          </w:p>
        </w:tc>
      </w:tr>
      <w:tr w:rsidR="007D706A" w14:paraId="06B8313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978ACA4"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2583FE19"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53B7DBE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F7CDA94" w14:textId="77777777" w:rsidR="007D706A" w:rsidRDefault="007D706A" w:rsidP="00F70508">
            <w:pPr>
              <w:pStyle w:val="ParagraphStyle12"/>
              <w:rPr>
                <w:rStyle w:val="CharacterStyle12"/>
              </w:rPr>
            </w:pPr>
            <w:r>
              <w:rPr>
                <w:rStyle w:val="CharacterStyle12"/>
              </w:rPr>
              <w:t>210.500,00</w:t>
            </w:r>
          </w:p>
        </w:tc>
        <w:tc>
          <w:tcPr>
            <w:tcW w:w="1395" w:type="dxa"/>
            <w:tcBorders>
              <w:bottom w:val="single" w:sz="6" w:space="0" w:color="000000"/>
              <w:right w:val="single" w:sz="6" w:space="0" w:color="000000"/>
            </w:tcBorders>
            <w:vAlign w:val="center"/>
          </w:tcPr>
          <w:p w14:paraId="03DA448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7846E1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E809A9C" w14:textId="77777777" w:rsidR="007D706A" w:rsidRDefault="007D706A" w:rsidP="00F70508">
            <w:pPr>
              <w:pStyle w:val="ParagraphStyle12"/>
              <w:rPr>
                <w:rStyle w:val="CharacterStyle12"/>
              </w:rPr>
            </w:pPr>
            <w:r>
              <w:rPr>
                <w:rStyle w:val="CharacterStyle12"/>
              </w:rPr>
              <w:t>0,00</w:t>
            </w:r>
          </w:p>
        </w:tc>
      </w:tr>
      <w:tr w:rsidR="007D706A" w14:paraId="5B08698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345871D" w14:textId="77777777" w:rsidR="007D706A" w:rsidRDefault="007D706A" w:rsidP="00F70508">
            <w:pPr>
              <w:pStyle w:val="ParagraphStyle10"/>
              <w:rPr>
                <w:rStyle w:val="CharacterStyle10"/>
              </w:rPr>
            </w:pPr>
            <w:r>
              <w:rPr>
                <w:rStyle w:val="CharacterStyle10"/>
              </w:rPr>
              <w:t>35</w:t>
            </w:r>
          </w:p>
        </w:tc>
        <w:tc>
          <w:tcPr>
            <w:tcW w:w="4995" w:type="dxa"/>
            <w:tcBorders>
              <w:bottom w:val="single" w:sz="6" w:space="0" w:color="000000"/>
              <w:right w:val="single" w:sz="6" w:space="0" w:color="000000"/>
            </w:tcBorders>
            <w:vAlign w:val="center"/>
          </w:tcPr>
          <w:p w14:paraId="7D5D45D6" w14:textId="77777777" w:rsidR="007D706A" w:rsidRDefault="007D706A" w:rsidP="00F70508">
            <w:pPr>
              <w:pStyle w:val="ParagraphStyle11"/>
              <w:rPr>
                <w:rStyle w:val="CharacterStyle11"/>
              </w:rPr>
            </w:pPr>
            <w:r>
              <w:rPr>
                <w:rStyle w:val="CharacterStyle11"/>
              </w:rPr>
              <w:t>Subvencije</w:t>
            </w:r>
          </w:p>
        </w:tc>
        <w:tc>
          <w:tcPr>
            <w:tcW w:w="1395" w:type="dxa"/>
            <w:tcBorders>
              <w:bottom w:val="single" w:sz="6" w:space="0" w:color="000000"/>
              <w:right w:val="single" w:sz="6" w:space="0" w:color="000000"/>
            </w:tcBorders>
            <w:vAlign w:val="center"/>
          </w:tcPr>
          <w:p w14:paraId="7E4D2EE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20E5AF7" w14:textId="77777777" w:rsidR="007D706A" w:rsidRDefault="007D706A" w:rsidP="00F70508">
            <w:pPr>
              <w:pStyle w:val="ParagraphStyle12"/>
              <w:rPr>
                <w:rStyle w:val="CharacterStyle12"/>
              </w:rPr>
            </w:pPr>
            <w:r>
              <w:rPr>
                <w:rStyle w:val="CharacterStyle12"/>
              </w:rPr>
              <w:t>210.500,00</w:t>
            </w:r>
          </w:p>
        </w:tc>
        <w:tc>
          <w:tcPr>
            <w:tcW w:w="1395" w:type="dxa"/>
            <w:tcBorders>
              <w:bottom w:val="single" w:sz="6" w:space="0" w:color="000000"/>
              <w:right w:val="single" w:sz="6" w:space="0" w:color="000000"/>
            </w:tcBorders>
            <w:vAlign w:val="center"/>
          </w:tcPr>
          <w:p w14:paraId="2BC4B55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46D649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3B96945" w14:textId="77777777" w:rsidR="007D706A" w:rsidRDefault="007D706A" w:rsidP="00F70508">
            <w:pPr>
              <w:pStyle w:val="ParagraphStyle12"/>
              <w:rPr>
                <w:rStyle w:val="CharacterStyle12"/>
              </w:rPr>
            </w:pPr>
            <w:r>
              <w:rPr>
                <w:rStyle w:val="CharacterStyle12"/>
              </w:rPr>
              <w:t>0,00</w:t>
            </w:r>
          </w:p>
        </w:tc>
      </w:tr>
      <w:tr w:rsidR="007D706A" w14:paraId="6A86D4A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CC59511" w14:textId="77777777" w:rsidR="007D706A" w:rsidRDefault="007D706A" w:rsidP="00F70508">
            <w:pPr>
              <w:pStyle w:val="ParagraphStyle4"/>
              <w:rPr>
                <w:rStyle w:val="CharacterStyle4"/>
              </w:rPr>
            </w:pPr>
            <w:r>
              <w:rPr>
                <w:rStyle w:val="CharacterStyle4"/>
              </w:rPr>
              <w:t>Kapitalni projekt K103114</w:t>
            </w:r>
          </w:p>
        </w:tc>
        <w:tc>
          <w:tcPr>
            <w:tcW w:w="4995" w:type="dxa"/>
            <w:tcBorders>
              <w:bottom w:val="single" w:sz="6" w:space="0" w:color="000000"/>
              <w:right w:val="single" w:sz="6" w:space="0" w:color="000000"/>
            </w:tcBorders>
            <w:vAlign w:val="center"/>
          </w:tcPr>
          <w:p w14:paraId="72F4A762" w14:textId="77777777" w:rsidR="007D706A" w:rsidRDefault="007D706A" w:rsidP="00F70508">
            <w:pPr>
              <w:pStyle w:val="ParagraphStyle5"/>
              <w:rPr>
                <w:rStyle w:val="CharacterStyle5"/>
              </w:rPr>
            </w:pPr>
            <w:r>
              <w:rPr>
                <w:rStyle w:val="CharacterStyle5"/>
              </w:rPr>
              <w:t>BOĆALIŠTE ROVINJSKO SELO</w:t>
            </w:r>
          </w:p>
        </w:tc>
        <w:tc>
          <w:tcPr>
            <w:tcW w:w="1395" w:type="dxa"/>
            <w:tcBorders>
              <w:bottom w:val="single" w:sz="6" w:space="0" w:color="000000"/>
              <w:right w:val="single" w:sz="6" w:space="0" w:color="000000"/>
            </w:tcBorders>
            <w:vAlign w:val="center"/>
          </w:tcPr>
          <w:p w14:paraId="2EC63E55"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065213BB" w14:textId="77777777" w:rsidR="007D706A" w:rsidRDefault="007D706A" w:rsidP="00F70508">
            <w:pPr>
              <w:pStyle w:val="ParagraphStyle6"/>
              <w:rPr>
                <w:rStyle w:val="CharacterStyle6"/>
              </w:rPr>
            </w:pPr>
            <w:r>
              <w:rPr>
                <w:rStyle w:val="CharacterStyle6"/>
              </w:rPr>
              <w:t>140.000,00</w:t>
            </w:r>
          </w:p>
        </w:tc>
        <w:tc>
          <w:tcPr>
            <w:tcW w:w="1395" w:type="dxa"/>
            <w:tcBorders>
              <w:bottom w:val="single" w:sz="6" w:space="0" w:color="000000"/>
              <w:right w:val="single" w:sz="6" w:space="0" w:color="000000"/>
            </w:tcBorders>
            <w:vAlign w:val="center"/>
          </w:tcPr>
          <w:p w14:paraId="15CBA00A"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3FC74E77"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5C19F2DC" w14:textId="77777777" w:rsidR="007D706A" w:rsidRDefault="007D706A" w:rsidP="00F70508">
            <w:pPr>
              <w:pStyle w:val="ParagraphStyle6"/>
              <w:rPr>
                <w:rStyle w:val="CharacterStyle6"/>
              </w:rPr>
            </w:pPr>
            <w:r>
              <w:rPr>
                <w:rStyle w:val="CharacterStyle6"/>
              </w:rPr>
              <w:t>0,00</w:t>
            </w:r>
          </w:p>
        </w:tc>
      </w:tr>
      <w:tr w:rsidR="007D706A" w14:paraId="177B46D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1984E93"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5B0B43AE"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5A3041BA"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8565C68" w14:textId="77777777" w:rsidR="007D706A" w:rsidRDefault="007D706A" w:rsidP="00F70508">
            <w:pPr>
              <w:pStyle w:val="ParagraphStyle9"/>
              <w:rPr>
                <w:rStyle w:val="CharacterStyle9"/>
              </w:rPr>
            </w:pPr>
            <w:r>
              <w:rPr>
                <w:rStyle w:val="CharacterStyle9"/>
              </w:rPr>
              <w:t>140.000,00</w:t>
            </w:r>
          </w:p>
        </w:tc>
        <w:tc>
          <w:tcPr>
            <w:tcW w:w="1395" w:type="dxa"/>
            <w:tcBorders>
              <w:bottom w:val="single" w:sz="6" w:space="0" w:color="000000"/>
              <w:right w:val="single" w:sz="6" w:space="0" w:color="000000"/>
            </w:tcBorders>
            <w:vAlign w:val="center"/>
          </w:tcPr>
          <w:p w14:paraId="7423C178"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AC20192"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FC303F3" w14:textId="77777777" w:rsidR="007D706A" w:rsidRDefault="007D706A" w:rsidP="00F70508">
            <w:pPr>
              <w:pStyle w:val="ParagraphStyle9"/>
              <w:rPr>
                <w:rStyle w:val="CharacterStyle9"/>
              </w:rPr>
            </w:pPr>
            <w:r>
              <w:rPr>
                <w:rStyle w:val="CharacterStyle9"/>
              </w:rPr>
              <w:t>0,00</w:t>
            </w:r>
          </w:p>
        </w:tc>
      </w:tr>
      <w:tr w:rsidR="007D706A" w14:paraId="5D63A4E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F58629D"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2CCC250F"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2EB68C6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C3486EF" w14:textId="77777777" w:rsidR="007D706A" w:rsidRDefault="007D706A" w:rsidP="00F70508">
            <w:pPr>
              <w:pStyle w:val="ParagraphStyle12"/>
              <w:rPr>
                <w:rStyle w:val="CharacterStyle12"/>
              </w:rPr>
            </w:pPr>
            <w:r>
              <w:rPr>
                <w:rStyle w:val="CharacterStyle12"/>
              </w:rPr>
              <w:t>140.000,00</w:t>
            </w:r>
          </w:p>
        </w:tc>
        <w:tc>
          <w:tcPr>
            <w:tcW w:w="1395" w:type="dxa"/>
            <w:tcBorders>
              <w:bottom w:val="single" w:sz="6" w:space="0" w:color="000000"/>
              <w:right w:val="single" w:sz="6" w:space="0" w:color="000000"/>
            </w:tcBorders>
            <w:vAlign w:val="center"/>
          </w:tcPr>
          <w:p w14:paraId="762957E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B1E84B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CD68971" w14:textId="77777777" w:rsidR="007D706A" w:rsidRDefault="007D706A" w:rsidP="00F70508">
            <w:pPr>
              <w:pStyle w:val="ParagraphStyle12"/>
              <w:rPr>
                <w:rStyle w:val="CharacterStyle12"/>
              </w:rPr>
            </w:pPr>
            <w:r>
              <w:rPr>
                <w:rStyle w:val="CharacterStyle12"/>
              </w:rPr>
              <w:t>0,00</w:t>
            </w:r>
          </w:p>
        </w:tc>
      </w:tr>
      <w:tr w:rsidR="007D706A" w14:paraId="3F515EA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2B9ADCC" w14:textId="77777777" w:rsidR="007D706A" w:rsidRDefault="007D706A" w:rsidP="00F70508">
            <w:pPr>
              <w:pStyle w:val="ParagraphStyle10"/>
              <w:rPr>
                <w:rStyle w:val="CharacterStyle10"/>
              </w:rPr>
            </w:pPr>
            <w:r>
              <w:rPr>
                <w:rStyle w:val="CharacterStyle10"/>
              </w:rPr>
              <w:t>38</w:t>
            </w:r>
          </w:p>
        </w:tc>
        <w:tc>
          <w:tcPr>
            <w:tcW w:w="4995" w:type="dxa"/>
            <w:tcBorders>
              <w:bottom w:val="single" w:sz="6" w:space="0" w:color="000000"/>
              <w:right w:val="single" w:sz="6" w:space="0" w:color="000000"/>
            </w:tcBorders>
            <w:vAlign w:val="center"/>
          </w:tcPr>
          <w:p w14:paraId="384D4553" w14:textId="77777777" w:rsidR="007D706A" w:rsidRDefault="007D706A" w:rsidP="00F70508">
            <w:pPr>
              <w:pStyle w:val="ParagraphStyle11"/>
              <w:rPr>
                <w:rStyle w:val="CharacterStyle11"/>
              </w:rPr>
            </w:pPr>
            <w:r>
              <w:rPr>
                <w:rStyle w:val="CharacterStyle11"/>
              </w:rPr>
              <w:t>Rashodi za donacije, kazne, naknade šteta i kapitalne pomoći</w:t>
            </w:r>
          </w:p>
        </w:tc>
        <w:tc>
          <w:tcPr>
            <w:tcW w:w="1395" w:type="dxa"/>
            <w:tcBorders>
              <w:bottom w:val="single" w:sz="6" w:space="0" w:color="000000"/>
              <w:right w:val="single" w:sz="6" w:space="0" w:color="000000"/>
            </w:tcBorders>
            <w:vAlign w:val="center"/>
          </w:tcPr>
          <w:p w14:paraId="07694F4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E14281E" w14:textId="77777777" w:rsidR="007D706A" w:rsidRDefault="007D706A" w:rsidP="00F70508">
            <w:pPr>
              <w:pStyle w:val="ParagraphStyle12"/>
              <w:rPr>
                <w:rStyle w:val="CharacterStyle12"/>
              </w:rPr>
            </w:pPr>
            <w:r>
              <w:rPr>
                <w:rStyle w:val="CharacterStyle12"/>
              </w:rPr>
              <w:t>140.000,00</w:t>
            </w:r>
          </w:p>
        </w:tc>
        <w:tc>
          <w:tcPr>
            <w:tcW w:w="1395" w:type="dxa"/>
            <w:tcBorders>
              <w:bottom w:val="single" w:sz="6" w:space="0" w:color="000000"/>
              <w:right w:val="single" w:sz="6" w:space="0" w:color="000000"/>
            </w:tcBorders>
            <w:vAlign w:val="center"/>
          </w:tcPr>
          <w:p w14:paraId="1653FD5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F2B930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5B36C60" w14:textId="77777777" w:rsidR="007D706A" w:rsidRDefault="007D706A" w:rsidP="00F70508">
            <w:pPr>
              <w:pStyle w:val="ParagraphStyle12"/>
              <w:rPr>
                <w:rStyle w:val="CharacterStyle12"/>
              </w:rPr>
            </w:pPr>
            <w:r>
              <w:rPr>
                <w:rStyle w:val="CharacterStyle12"/>
              </w:rPr>
              <w:t>0,00</w:t>
            </w:r>
          </w:p>
        </w:tc>
      </w:tr>
      <w:tr w:rsidR="007D706A" w14:paraId="0078B5E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FA88329" w14:textId="77777777" w:rsidR="007D706A" w:rsidRDefault="007D706A" w:rsidP="00F70508">
            <w:pPr>
              <w:pStyle w:val="ParagraphStyle4"/>
              <w:rPr>
                <w:rStyle w:val="CharacterStyle4"/>
              </w:rPr>
            </w:pPr>
            <w:r>
              <w:rPr>
                <w:rStyle w:val="CharacterStyle4"/>
              </w:rPr>
              <w:t>Kapitalni projekt K103106</w:t>
            </w:r>
          </w:p>
        </w:tc>
        <w:tc>
          <w:tcPr>
            <w:tcW w:w="4995" w:type="dxa"/>
            <w:tcBorders>
              <w:bottom w:val="single" w:sz="6" w:space="0" w:color="000000"/>
              <w:right w:val="single" w:sz="6" w:space="0" w:color="000000"/>
            </w:tcBorders>
            <w:vAlign w:val="center"/>
          </w:tcPr>
          <w:p w14:paraId="6EBC7D9B" w14:textId="77777777" w:rsidR="007D706A" w:rsidRDefault="007D706A" w:rsidP="00F70508">
            <w:pPr>
              <w:pStyle w:val="ParagraphStyle5"/>
              <w:rPr>
                <w:rStyle w:val="CharacterStyle5"/>
              </w:rPr>
            </w:pPr>
            <w:r>
              <w:rPr>
                <w:rStyle w:val="CharacterStyle5"/>
              </w:rPr>
              <w:t>STRELJANA TURNINA</w:t>
            </w:r>
          </w:p>
        </w:tc>
        <w:tc>
          <w:tcPr>
            <w:tcW w:w="1395" w:type="dxa"/>
            <w:tcBorders>
              <w:bottom w:val="single" w:sz="6" w:space="0" w:color="000000"/>
              <w:right w:val="single" w:sz="6" w:space="0" w:color="000000"/>
            </w:tcBorders>
            <w:vAlign w:val="center"/>
          </w:tcPr>
          <w:p w14:paraId="502B889C"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3124B8B1" w14:textId="77777777" w:rsidR="007D706A" w:rsidRDefault="007D706A" w:rsidP="00F70508">
            <w:pPr>
              <w:pStyle w:val="ParagraphStyle6"/>
              <w:rPr>
                <w:rStyle w:val="CharacterStyle6"/>
              </w:rPr>
            </w:pPr>
            <w:r>
              <w:rPr>
                <w:rStyle w:val="CharacterStyle6"/>
              </w:rPr>
              <w:t>50.000,00</w:t>
            </w:r>
          </w:p>
        </w:tc>
        <w:tc>
          <w:tcPr>
            <w:tcW w:w="1395" w:type="dxa"/>
            <w:tcBorders>
              <w:bottom w:val="single" w:sz="6" w:space="0" w:color="000000"/>
              <w:right w:val="single" w:sz="6" w:space="0" w:color="000000"/>
            </w:tcBorders>
            <w:vAlign w:val="center"/>
          </w:tcPr>
          <w:p w14:paraId="68CE26FB"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47BA4C5E"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51107C2D" w14:textId="77777777" w:rsidR="007D706A" w:rsidRDefault="007D706A" w:rsidP="00F70508">
            <w:pPr>
              <w:pStyle w:val="ParagraphStyle6"/>
              <w:rPr>
                <w:rStyle w:val="CharacterStyle6"/>
              </w:rPr>
            </w:pPr>
            <w:r>
              <w:rPr>
                <w:rStyle w:val="CharacterStyle6"/>
              </w:rPr>
              <w:t>0,00</w:t>
            </w:r>
          </w:p>
        </w:tc>
      </w:tr>
      <w:tr w:rsidR="007D706A" w14:paraId="44C7115B" w14:textId="77777777" w:rsidTr="00F70508">
        <w:trPr>
          <w:trHeight w:val="405"/>
        </w:trPr>
        <w:tc>
          <w:tcPr>
            <w:tcW w:w="2880" w:type="dxa"/>
            <w:tcBorders>
              <w:left w:val="single" w:sz="6" w:space="0" w:color="000000"/>
              <w:bottom w:val="single" w:sz="6" w:space="0" w:color="000000"/>
              <w:right w:val="single" w:sz="6" w:space="0" w:color="000000"/>
            </w:tcBorders>
            <w:vAlign w:val="center"/>
          </w:tcPr>
          <w:p w14:paraId="31E5F897" w14:textId="77777777" w:rsidR="007D706A" w:rsidRDefault="007D706A" w:rsidP="00F70508">
            <w:pPr>
              <w:pStyle w:val="ParagraphStyle7"/>
              <w:rPr>
                <w:rStyle w:val="CharacterStyle7"/>
              </w:rPr>
            </w:pPr>
            <w:r>
              <w:rPr>
                <w:rStyle w:val="CharacterStyle7"/>
              </w:rPr>
              <w:t>Izvor financiranja 71</w:t>
            </w:r>
          </w:p>
        </w:tc>
        <w:tc>
          <w:tcPr>
            <w:tcW w:w="4995" w:type="dxa"/>
            <w:tcBorders>
              <w:bottom w:val="single" w:sz="6" w:space="0" w:color="000000"/>
              <w:right w:val="single" w:sz="6" w:space="0" w:color="000000"/>
            </w:tcBorders>
            <w:vAlign w:val="center"/>
          </w:tcPr>
          <w:p w14:paraId="5E7E84C2" w14:textId="77777777" w:rsidR="007D706A" w:rsidRDefault="007D706A" w:rsidP="00F70508">
            <w:pPr>
              <w:pStyle w:val="ParagraphStyle8"/>
              <w:rPr>
                <w:rStyle w:val="CharacterStyle8"/>
              </w:rPr>
            </w:pPr>
            <w:r>
              <w:rPr>
                <w:rStyle w:val="CharacterStyle8"/>
              </w:rPr>
              <w:t>Prihodi od prodaje ili zamjene nefinancijske imovine i naknade s naslova osiguranja</w:t>
            </w:r>
          </w:p>
        </w:tc>
        <w:tc>
          <w:tcPr>
            <w:tcW w:w="1395" w:type="dxa"/>
            <w:tcBorders>
              <w:bottom w:val="single" w:sz="6" w:space="0" w:color="000000"/>
              <w:right w:val="single" w:sz="6" w:space="0" w:color="000000"/>
            </w:tcBorders>
            <w:vAlign w:val="center"/>
          </w:tcPr>
          <w:p w14:paraId="36B7EBE5"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8E17114" w14:textId="77777777" w:rsidR="007D706A" w:rsidRDefault="007D706A" w:rsidP="00F70508">
            <w:pPr>
              <w:pStyle w:val="ParagraphStyle9"/>
              <w:rPr>
                <w:rStyle w:val="CharacterStyle9"/>
              </w:rPr>
            </w:pPr>
            <w:r>
              <w:rPr>
                <w:rStyle w:val="CharacterStyle9"/>
              </w:rPr>
              <w:t>50.000,00</w:t>
            </w:r>
          </w:p>
        </w:tc>
        <w:tc>
          <w:tcPr>
            <w:tcW w:w="1395" w:type="dxa"/>
            <w:tcBorders>
              <w:bottom w:val="single" w:sz="6" w:space="0" w:color="000000"/>
              <w:right w:val="single" w:sz="6" w:space="0" w:color="000000"/>
            </w:tcBorders>
            <w:vAlign w:val="center"/>
          </w:tcPr>
          <w:p w14:paraId="0BBBF1A6"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4321790"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0BEDA3C" w14:textId="77777777" w:rsidR="007D706A" w:rsidRDefault="007D706A" w:rsidP="00F70508">
            <w:pPr>
              <w:pStyle w:val="ParagraphStyle9"/>
              <w:rPr>
                <w:rStyle w:val="CharacterStyle9"/>
              </w:rPr>
            </w:pPr>
            <w:r>
              <w:rPr>
                <w:rStyle w:val="CharacterStyle9"/>
              </w:rPr>
              <w:t>0,00</w:t>
            </w:r>
          </w:p>
        </w:tc>
      </w:tr>
      <w:tr w:rsidR="007D706A" w14:paraId="0364D11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3F19691"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062A0F99"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16A508A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44A68C7" w14:textId="77777777" w:rsidR="007D706A" w:rsidRDefault="007D706A" w:rsidP="00F70508">
            <w:pPr>
              <w:pStyle w:val="ParagraphStyle12"/>
              <w:rPr>
                <w:rStyle w:val="CharacterStyle12"/>
              </w:rPr>
            </w:pPr>
            <w:r>
              <w:rPr>
                <w:rStyle w:val="CharacterStyle12"/>
              </w:rPr>
              <w:t>50.000,00</w:t>
            </w:r>
          </w:p>
        </w:tc>
        <w:tc>
          <w:tcPr>
            <w:tcW w:w="1395" w:type="dxa"/>
            <w:tcBorders>
              <w:bottom w:val="single" w:sz="6" w:space="0" w:color="000000"/>
              <w:right w:val="single" w:sz="6" w:space="0" w:color="000000"/>
            </w:tcBorders>
            <w:vAlign w:val="center"/>
          </w:tcPr>
          <w:p w14:paraId="45A2804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61FB91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A0BD7DC" w14:textId="77777777" w:rsidR="007D706A" w:rsidRDefault="007D706A" w:rsidP="00F70508">
            <w:pPr>
              <w:pStyle w:val="ParagraphStyle12"/>
              <w:rPr>
                <w:rStyle w:val="CharacterStyle12"/>
              </w:rPr>
            </w:pPr>
            <w:r>
              <w:rPr>
                <w:rStyle w:val="CharacterStyle12"/>
              </w:rPr>
              <w:t>0,00</w:t>
            </w:r>
          </w:p>
        </w:tc>
      </w:tr>
      <w:tr w:rsidR="007D706A" w14:paraId="072BF7B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DB7163B" w14:textId="77777777" w:rsidR="007D706A" w:rsidRDefault="007D706A" w:rsidP="00F70508">
            <w:pPr>
              <w:pStyle w:val="ParagraphStyle10"/>
              <w:rPr>
                <w:rStyle w:val="CharacterStyle10"/>
              </w:rPr>
            </w:pPr>
            <w:r>
              <w:rPr>
                <w:rStyle w:val="CharacterStyle10"/>
              </w:rPr>
              <w:t>38</w:t>
            </w:r>
          </w:p>
        </w:tc>
        <w:tc>
          <w:tcPr>
            <w:tcW w:w="4995" w:type="dxa"/>
            <w:tcBorders>
              <w:bottom w:val="single" w:sz="6" w:space="0" w:color="000000"/>
              <w:right w:val="single" w:sz="6" w:space="0" w:color="000000"/>
            </w:tcBorders>
            <w:vAlign w:val="center"/>
          </w:tcPr>
          <w:p w14:paraId="03DCC754" w14:textId="77777777" w:rsidR="007D706A" w:rsidRDefault="007D706A" w:rsidP="00F70508">
            <w:pPr>
              <w:pStyle w:val="ParagraphStyle11"/>
              <w:rPr>
                <w:rStyle w:val="CharacterStyle11"/>
              </w:rPr>
            </w:pPr>
            <w:r>
              <w:rPr>
                <w:rStyle w:val="CharacterStyle11"/>
              </w:rPr>
              <w:t>Rashodi za donacije, kazne, naknade šteta i kapitalne pomoći</w:t>
            </w:r>
          </w:p>
        </w:tc>
        <w:tc>
          <w:tcPr>
            <w:tcW w:w="1395" w:type="dxa"/>
            <w:tcBorders>
              <w:bottom w:val="single" w:sz="6" w:space="0" w:color="000000"/>
              <w:right w:val="single" w:sz="6" w:space="0" w:color="000000"/>
            </w:tcBorders>
            <w:vAlign w:val="center"/>
          </w:tcPr>
          <w:p w14:paraId="47D7989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5059FBD" w14:textId="77777777" w:rsidR="007D706A" w:rsidRDefault="007D706A" w:rsidP="00F70508">
            <w:pPr>
              <w:pStyle w:val="ParagraphStyle12"/>
              <w:rPr>
                <w:rStyle w:val="CharacterStyle12"/>
              </w:rPr>
            </w:pPr>
            <w:r>
              <w:rPr>
                <w:rStyle w:val="CharacterStyle12"/>
              </w:rPr>
              <w:t>50.000,00</w:t>
            </w:r>
          </w:p>
        </w:tc>
        <w:tc>
          <w:tcPr>
            <w:tcW w:w="1395" w:type="dxa"/>
            <w:tcBorders>
              <w:bottom w:val="single" w:sz="6" w:space="0" w:color="000000"/>
              <w:right w:val="single" w:sz="6" w:space="0" w:color="000000"/>
            </w:tcBorders>
            <w:vAlign w:val="center"/>
          </w:tcPr>
          <w:p w14:paraId="33CDE90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D729E4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12F85C7" w14:textId="77777777" w:rsidR="007D706A" w:rsidRDefault="007D706A" w:rsidP="00F70508">
            <w:pPr>
              <w:pStyle w:val="ParagraphStyle12"/>
              <w:rPr>
                <w:rStyle w:val="CharacterStyle12"/>
              </w:rPr>
            </w:pPr>
            <w:r>
              <w:rPr>
                <w:rStyle w:val="CharacterStyle12"/>
              </w:rPr>
              <w:t>0,00</w:t>
            </w:r>
          </w:p>
        </w:tc>
      </w:tr>
      <w:tr w:rsidR="007D706A" w14:paraId="52FB055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CCBDC56" w14:textId="77777777" w:rsidR="007D706A" w:rsidRDefault="007D706A" w:rsidP="00F70508">
            <w:pPr>
              <w:pStyle w:val="ParagraphStyle4"/>
              <w:rPr>
                <w:rStyle w:val="CharacterStyle4"/>
              </w:rPr>
            </w:pPr>
            <w:r>
              <w:rPr>
                <w:rStyle w:val="CharacterStyle4"/>
              </w:rPr>
              <w:t>Kapitalni projekt K103118</w:t>
            </w:r>
          </w:p>
        </w:tc>
        <w:tc>
          <w:tcPr>
            <w:tcW w:w="4995" w:type="dxa"/>
            <w:tcBorders>
              <w:bottom w:val="single" w:sz="6" w:space="0" w:color="000000"/>
              <w:right w:val="single" w:sz="6" w:space="0" w:color="000000"/>
            </w:tcBorders>
            <w:vAlign w:val="center"/>
          </w:tcPr>
          <w:p w14:paraId="73D09E70" w14:textId="77777777" w:rsidR="007D706A" w:rsidRDefault="007D706A" w:rsidP="00F70508">
            <w:pPr>
              <w:pStyle w:val="ParagraphStyle5"/>
              <w:rPr>
                <w:rStyle w:val="CharacterStyle5"/>
              </w:rPr>
            </w:pPr>
            <w:r>
              <w:rPr>
                <w:rStyle w:val="CharacterStyle5"/>
              </w:rPr>
              <w:t>RUKOMETNO IGRALIŠTE - PROJEKTIRANJE NOVE DVORANE</w:t>
            </w:r>
          </w:p>
        </w:tc>
        <w:tc>
          <w:tcPr>
            <w:tcW w:w="1395" w:type="dxa"/>
            <w:tcBorders>
              <w:bottom w:val="single" w:sz="6" w:space="0" w:color="000000"/>
              <w:right w:val="single" w:sz="6" w:space="0" w:color="000000"/>
            </w:tcBorders>
            <w:vAlign w:val="center"/>
          </w:tcPr>
          <w:p w14:paraId="255B2EAB"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361A12E4"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21537438" w14:textId="77777777" w:rsidR="007D706A" w:rsidRDefault="007D706A" w:rsidP="00F70508">
            <w:pPr>
              <w:pStyle w:val="ParagraphStyle6"/>
              <w:rPr>
                <w:rStyle w:val="CharacterStyle6"/>
              </w:rPr>
            </w:pPr>
            <w:r>
              <w:rPr>
                <w:rStyle w:val="CharacterStyle6"/>
              </w:rPr>
              <w:t>19.500,00</w:t>
            </w:r>
          </w:p>
        </w:tc>
        <w:tc>
          <w:tcPr>
            <w:tcW w:w="1395" w:type="dxa"/>
            <w:tcBorders>
              <w:bottom w:val="single" w:sz="6" w:space="0" w:color="000000"/>
              <w:right w:val="single" w:sz="6" w:space="0" w:color="000000"/>
            </w:tcBorders>
            <w:vAlign w:val="center"/>
          </w:tcPr>
          <w:p w14:paraId="199E5573"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6A40CCBB" w14:textId="77777777" w:rsidR="007D706A" w:rsidRDefault="007D706A" w:rsidP="00F70508">
            <w:pPr>
              <w:pStyle w:val="ParagraphStyle6"/>
              <w:rPr>
                <w:rStyle w:val="CharacterStyle6"/>
              </w:rPr>
            </w:pPr>
            <w:r>
              <w:rPr>
                <w:rStyle w:val="CharacterStyle6"/>
              </w:rPr>
              <w:t>0,00</w:t>
            </w:r>
          </w:p>
        </w:tc>
      </w:tr>
      <w:tr w:rsidR="007D706A" w14:paraId="0C15F8C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3099C0D"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22B45B57"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7C20F06C"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6B44B95"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DC45FC8" w14:textId="77777777" w:rsidR="007D706A" w:rsidRDefault="007D706A" w:rsidP="00F70508">
            <w:pPr>
              <w:pStyle w:val="ParagraphStyle9"/>
              <w:rPr>
                <w:rStyle w:val="CharacterStyle9"/>
              </w:rPr>
            </w:pPr>
            <w:r>
              <w:rPr>
                <w:rStyle w:val="CharacterStyle9"/>
              </w:rPr>
              <w:t>19.500,00</w:t>
            </w:r>
          </w:p>
        </w:tc>
        <w:tc>
          <w:tcPr>
            <w:tcW w:w="1395" w:type="dxa"/>
            <w:tcBorders>
              <w:bottom w:val="single" w:sz="6" w:space="0" w:color="000000"/>
              <w:right w:val="single" w:sz="6" w:space="0" w:color="000000"/>
            </w:tcBorders>
            <w:vAlign w:val="center"/>
          </w:tcPr>
          <w:p w14:paraId="119B4E88"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E2066D7" w14:textId="77777777" w:rsidR="007D706A" w:rsidRDefault="007D706A" w:rsidP="00F70508">
            <w:pPr>
              <w:pStyle w:val="ParagraphStyle9"/>
              <w:rPr>
                <w:rStyle w:val="CharacterStyle9"/>
              </w:rPr>
            </w:pPr>
            <w:r>
              <w:rPr>
                <w:rStyle w:val="CharacterStyle9"/>
              </w:rPr>
              <w:t>0,00</w:t>
            </w:r>
          </w:p>
        </w:tc>
      </w:tr>
      <w:tr w:rsidR="007D706A" w14:paraId="6054870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1F4FC39"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6E7CF710"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4B1F114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1E6C35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CE16FD9" w14:textId="77777777" w:rsidR="007D706A" w:rsidRDefault="007D706A" w:rsidP="00F70508">
            <w:pPr>
              <w:pStyle w:val="ParagraphStyle12"/>
              <w:rPr>
                <w:rStyle w:val="CharacterStyle12"/>
              </w:rPr>
            </w:pPr>
            <w:r>
              <w:rPr>
                <w:rStyle w:val="CharacterStyle12"/>
              </w:rPr>
              <w:t>19.500,00</w:t>
            </w:r>
          </w:p>
        </w:tc>
        <w:tc>
          <w:tcPr>
            <w:tcW w:w="1395" w:type="dxa"/>
            <w:tcBorders>
              <w:bottom w:val="single" w:sz="6" w:space="0" w:color="000000"/>
              <w:right w:val="single" w:sz="6" w:space="0" w:color="000000"/>
            </w:tcBorders>
            <w:vAlign w:val="center"/>
          </w:tcPr>
          <w:p w14:paraId="3F8C9FF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0E29AAD" w14:textId="77777777" w:rsidR="007D706A" w:rsidRDefault="007D706A" w:rsidP="00F70508">
            <w:pPr>
              <w:pStyle w:val="ParagraphStyle12"/>
              <w:rPr>
                <w:rStyle w:val="CharacterStyle12"/>
              </w:rPr>
            </w:pPr>
            <w:r>
              <w:rPr>
                <w:rStyle w:val="CharacterStyle12"/>
              </w:rPr>
              <w:t>0,00</w:t>
            </w:r>
          </w:p>
        </w:tc>
      </w:tr>
      <w:tr w:rsidR="007D706A" w14:paraId="6BC606E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5CC3F5B" w14:textId="77777777" w:rsidR="007D706A" w:rsidRDefault="007D706A" w:rsidP="00F70508">
            <w:pPr>
              <w:pStyle w:val="ParagraphStyle10"/>
              <w:rPr>
                <w:rStyle w:val="CharacterStyle10"/>
              </w:rPr>
            </w:pPr>
            <w:r>
              <w:rPr>
                <w:rStyle w:val="CharacterStyle10"/>
              </w:rPr>
              <w:t>38</w:t>
            </w:r>
          </w:p>
        </w:tc>
        <w:tc>
          <w:tcPr>
            <w:tcW w:w="4995" w:type="dxa"/>
            <w:tcBorders>
              <w:bottom w:val="single" w:sz="6" w:space="0" w:color="000000"/>
              <w:right w:val="single" w:sz="6" w:space="0" w:color="000000"/>
            </w:tcBorders>
            <w:vAlign w:val="center"/>
          </w:tcPr>
          <w:p w14:paraId="27A7418E" w14:textId="77777777" w:rsidR="007D706A" w:rsidRDefault="007D706A" w:rsidP="00F70508">
            <w:pPr>
              <w:pStyle w:val="ParagraphStyle11"/>
              <w:rPr>
                <w:rStyle w:val="CharacterStyle11"/>
              </w:rPr>
            </w:pPr>
            <w:r>
              <w:rPr>
                <w:rStyle w:val="CharacterStyle11"/>
              </w:rPr>
              <w:t>Rashodi za donacije, kazne, naknade šteta i kapitalne pomoći</w:t>
            </w:r>
          </w:p>
        </w:tc>
        <w:tc>
          <w:tcPr>
            <w:tcW w:w="1395" w:type="dxa"/>
            <w:tcBorders>
              <w:bottom w:val="single" w:sz="6" w:space="0" w:color="000000"/>
              <w:right w:val="single" w:sz="6" w:space="0" w:color="000000"/>
            </w:tcBorders>
            <w:vAlign w:val="center"/>
          </w:tcPr>
          <w:p w14:paraId="568AA09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F4020B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A34E8F8" w14:textId="77777777" w:rsidR="007D706A" w:rsidRDefault="007D706A" w:rsidP="00F70508">
            <w:pPr>
              <w:pStyle w:val="ParagraphStyle12"/>
              <w:rPr>
                <w:rStyle w:val="CharacterStyle12"/>
              </w:rPr>
            </w:pPr>
            <w:r>
              <w:rPr>
                <w:rStyle w:val="CharacterStyle12"/>
              </w:rPr>
              <w:t>19.500,00</w:t>
            </w:r>
          </w:p>
        </w:tc>
        <w:tc>
          <w:tcPr>
            <w:tcW w:w="1395" w:type="dxa"/>
            <w:tcBorders>
              <w:bottom w:val="single" w:sz="6" w:space="0" w:color="000000"/>
              <w:right w:val="single" w:sz="6" w:space="0" w:color="000000"/>
            </w:tcBorders>
            <w:vAlign w:val="center"/>
          </w:tcPr>
          <w:p w14:paraId="5ADA6B0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848CBFB" w14:textId="77777777" w:rsidR="007D706A" w:rsidRDefault="007D706A" w:rsidP="00F70508">
            <w:pPr>
              <w:pStyle w:val="ParagraphStyle12"/>
              <w:rPr>
                <w:rStyle w:val="CharacterStyle12"/>
              </w:rPr>
            </w:pPr>
            <w:r>
              <w:rPr>
                <w:rStyle w:val="CharacterStyle12"/>
              </w:rPr>
              <w:t>0,00</w:t>
            </w:r>
          </w:p>
        </w:tc>
      </w:tr>
      <w:tr w:rsidR="007D706A" w14:paraId="177E3FB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7034733" w14:textId="77777777" w:rsidR="007D706A" w:rsidRDefault="007D706A" w:rsidP="00F70508">
            <w:pPr>
              <w:pStyle w:val="ParagraphStyle4"/>
              <w:rPr>
                <w:rStyle w:val="CharacterStyle4"/>
              </w:rPr>
            </w:pPr>
            <w:r>
              <w:rPr>
                <w:rStyle w:val="CharacterStyle4"/>
              </w:rPr>
              <w:t>Kapitalni projekt K103115</w:t>
            </w:r>
          </w:p>
        </w:tc>
        <w:tc>
          <w:tcPr>
            <w:tcW w:w="4995" w:type="dxa"/>
            <w:tcBorders>
              <w:bottom w:val="single" w:sz="6" w:space="0" w:color="000000"/>
              <w:right w:val="single" w:sz="6" w:space="0" w:color="000000"/>
            </w:tcBorders>
            <w:vAlign w:val="center"/>
          </w:tcPr>
          <w:p w14:paraId="43CF386F" w14:textId="77777777" w:rsidR="007D706A" w:rsidRDefault="007D706A" w:rsidP="00F70508">
            <w:pPr>
              <w:pStyle w:val="ParagraphStyle5"/>
              <w:rPr>
                <w:rStyle w:val="CharacterStyle5"/>
              </w:rPr>
            </w:pPr>
            <w:r>
              <w:rPr>
                <w:rStyle w:val="CharacterStyle5"/>
              </w:rPr>
              <w:t>KOŠARKAŠKO IGRALIŠTE - PARTER</w:t>
            </w:r>
          </w:p>
        </w:tc>
        <w:tc>
          <w:tcPr>
            <w:tcW w:w="1395" w:type="dxa"/>
            <w:tcBorders>
              <w:bottom w:val="single" w:sz="6" w:space="0" w:color="000000"/>
              <w:right w:val="single" w:sz="6" w:space="0" w:color="000000"/>
            </w:tcBorders>
            <w:vAlign w:val="center"/>
          </w:tcPr>
          <w:p w14:paraId="7FB4CA0B"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55B81263"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11A64CB0" w14:textId="77777777" w:rsidR="007D706A" w:rsidRDefault="007D706A" w:rsidP="00F70508">
            <w:pPr>
              <w:pStyle w:val="ParagraphStyle6"/>
              <w:rPr>
                <w:rStyle w:val="CharacterStyle6"/>
              </w:rPr>
            </w:pPr>
            <w:r>
              <w:rPr>
                <w:rStyle w:val="CharacterStyle6"/>
              </w:rPr>
              <w:t>110.000,00</w:t>
            </w:r>
          </w:p>
        </w:tc>
        <w:tc>
          <w:tcPr>
            <w:tcW w:w="1395" w:type="dxa"/>
            <w:tcBorders>
              <w:bottom w:val="single" w:sz="6" w:space="0" w:color="000000"/>
              <w:right w:val="single" w:sz="6" w:space="0" w:color="000000"/>
            </w:tcBorders>
            <w:vAlign w:val="center"/>
          </w:tcPr>
          <w:p w14:paraId="33D8C4EB"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1E074211" w14:textId="77777777" w:rsidR="007D706A" w:rsidRDefault="007D706A" w:rsidP="00F70508">
            <w:pPr>
              <w:pStyle w:val="ParagraphStyle6"/>
              <w:rPr>
                <w:rStyle w:val="CharacterStyle6"/>
              </w:rPr>
            </w:pPr>
            <w:r>
              <w:rPr>
                <w:rStyle w:val="CharacterStyle6"/>
              </w:rPr>
              <w:t>0,00</w:t>
            </w:r>
          </w:p>
        </w:tc>
      </w:tr>
      <w:tr w:rsidR="007D706A" w14:paraId="2E85A42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15F62DD"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23609D24"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4C793449"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0D7B5ED"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E6B2408" w14:textId="77777777" w:rsidR="007D706A" w:rsidRDefault="007D706A" w:rsidP="00F70508">
            <w:pPr>
              <w:pStyle w:val="ParagraphStyle9"/>
              <w:rPr>
                <w:rStyle w:val="CharacterStyle9"/>
              </w:rPr>
            </w:pPr>
            <w:r>
              <w:rPr>
                <w:rStyle w:val="CharacterStyle9"/>
              </w:rPr>
              <w:t>110.000,00</w:t>
            </w:r>
          </w:p>
        </w:tc>
        <w:tc>
          <w:tcPr>
            <w:tcW w:w="1395" w:type="dxa"/>
            <w:tcBorders>
              <w:bottom w:val="single" w:sz="6" w:space="0" w:color="000000"/>
              <w:right w:val="single" w:sz="6" w:space="0" w:color="000000"/>
            </w:tcBorders>
            <w:vAlign w:val="center"/>
          </w:tcPr>
          <w:p w14:paraId="7F522610"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D8B27E1" w14:textId="77777777" w:rsidR="007D706A" w:rsidRDefault="007D706A" w:rsidP="00F70508">
            <w:pPr>
              <w:pStyle w:val="ParagraphStyle9"/>
              <w:rPr>
                <w:rStyle w:val="CharacterStyle9"/>
              </w:rPr>
            </w:pPr>
            <w:r>
              <w:rPr>
                <w:rStyle w:val="CharacterStyle9"/>
              </w:rPr>
              <w:t>0,00</w:t>
            </w:r>
          </w:p>
        </w:tc>
      </w:tr>
      <w:tr w:rsidR="007D706A" w14:paraId="7C6A9B6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7F73599"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41D008B9"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64EB686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6108D3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4070686" w14:textId="77777777" w:rsidR="007D706A" w:rsidRDefault="007D706A" w:rsidP="00F70508">
            <w:pPr>
              <w:pStyle w:val="ParagraphStyle12"/>
              <w:rPr>
                <w:rStyle w:val="CharacterStyle12"/>
              </w:rPr>
            </w:pPr>
            <w:r>
              <w:rPr>
                <w:rStyle w:val="CharacterStyle12"/>
              </w:rPr>
              <w:t>110.000,00</w:t>
            </w:r>
          </w:p>
        </w:tc>
        <w:tc>
          <w:tcPr>
            <w:tcW w:w="1395" w:type="dxa"/>
            <w:tcBorders>
              <w:bottom w:val="single" w:sz="6" w:space="0" w:color="000000"/>
              <w:right w:val="single" w:sz="6" w:space="0" w:color="000000"/>
            </w:tcBorders>
            <w:vAlign w:val="center"/>
          </w:tcPr>
          <w:p w14:paraId="0C92005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8241C9D" w14:textId="77777777" w:rsidR="007D706A" w:rsidRDefault="007D706A" w:rsidP="00F70508">
            <w:pPr>
              <w:pStyle w:val="ParagraphStyle12"/>
              <w:rPr>
                <w:rStyle w:val="CharacterStyle12"/>
              </w:rPr>
            </w:pPr>
            <w:r>
              <w:rPr>
                <w:rStyle w:val="CharacterStyle12"/>
              </w:rPr>
              <w:t>0,00</w:t>
            </w:r>
          </w:p>
        </w:tc>
      </w:tr>
      <w:tr w:rsidR="007D706A" w14:paraId="2430821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0D8E5F6" w14:textId="77777777" w:rsidR="007D706A" w:rsidRDefault="007D706A" w:rsidP="00F70508">
            <w:pPr>
              <w:pStyle w:val="ParagraphStyle10"/>
              <w:rPr>
                <w:rStyle w:val="CharacterStyle10"/>
              </w:rPr>
            </w:pPr>
            <w:r>
              <w:rPr>
                <w:rStyle w:val="CharacterStyle10"/>
              </w:rPr>
              <w:t>38</w:t>
            </w:r>
          </w:p>
        </w:tc>
        <w:tc>
          <w:tcPr>
            <w:tcW w:w="4995" w:type="dxa"/>
            <w:tcBorders>
              <w:bottom w:val="single" w:sz="6" w:space="0" w:color="000000"/>
              <w:right w:val="single" w:sz="6" w:space="0" w:color="000000"/>
            </w:tcBorders>
            <w:vAlign w:val="center"/>
          </w:tcPr>
          <w:p w14:paraId="3BFAC78A" w14:textId="77777777" w:rsidR="007D706A" w:rsidRDefault="007D706A" w:rsidP="00F70508">
            <w:pPr>
              <w:pStyle w:val="ParagraphStyle11"/>
              <w:rPr>
                <w:rStyle w:val="CharacterStyle11"/>
              </w:rPr>
            </w:pPr>
            <w:r>
              <w:rPr>
                <w:rStyle w:val="CharacterStyle11"/>
              </w:rPr>
              <w:t>Rashodi za donacije, kazne, naknade šteta i kapitalne pomoći</w:t>
            </w:r>
          </w:p>
        </w:tc>
        <w:tc>
          <w:tcPr>
            <w:tcW w:w="1395" w:type="dxa"/>
            <w:tcBorders>
              <w:bottom w:val="single" w:sz="6" w:space="0" w:color="000000"/>
              <w:right w:val="single" w:sz="6" w:space="0" w:color="000000"/>
            </w:tcBorders>
            <w:vAlign w:val="center"/>
          </w:tcPr>
          <w:p w14:paraId="1EC5C35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3E2A72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933943B" w14:textId="77777777" w:rsidR="007D706A" w:rsidRDefault="007D706A" w:rsidP="00F70508">
            <w:pPr>
              <w:pStyle w:val="ParagraphStyle12"/>
              <w:rPr>
                <w:rStyle w:val="CharacterStyle12"/>
              </w:rPr>
            </w:pPr>
            <w:r>
              <w:rPr>
                <w:rStyle w:val="CharacterStyle12"/>
              </w:rPr>
              <w:t>110.000,00</w:t>
            </w:r>
          </w:p>
        </w:tc>
        <w:tc>
          <w:tcPr>
            <w:tcW w:w="1395" w:type="dxa"/>
            <w:tcBorders>
              <w:bottom w:val="single" w:sz="6" w:space="0" w:color="000000"/>
              <w:right w:val="single" w:sz="6" w:space="0" w:color="000000"/>
            </w:tcBorders>
            <w:vAlign w:val="center"/>
          </w:tcPr>
          <w:p w14:paraId="5ACA681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207E6DD" w14:textId="77777777" w:rsidR="007D706A" w:rsidRDefault="007D706A" w:rsidP="00F70508">
            <w:pPr>
              <w:pStyle w:val="ParagraphStyle12"/>
              <w:rPr>
                <w:rStyle w:val="CharacterStyle12"/>
              </w:rPr>
            </w:pPr>
            <w:r>
              <w:rPr>
                <w:rStyle w:val="CharacterStyle12"/>
              </w:rPr>
              <w:t>0,00</w:t>
            </w:r>
          </w:p>
        </w:tc>
      </w:tr>
      <w:tr w:rsidR="007D706A" w14:paraId="3C2EF67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3FB1247" w14:textId="77777777" w:rsidR="007D706A" w:rsidRDefault="007D706A" w:rsidP="00F70508">
            <w:pPr>
              <w:pStyle w:val="ParagraphStyle4"/>
              <w:rPr>
                <w:rStyle w:val="CharacterStyle4"/>
              </w:rPr>
            </w:pPr>
            <w:r>
              <w:rPr>
                <w:rStyle w:val="CharacterStyle4"/>
              </w:rPr>
              <w:t>Kapitalni projekt K103117</w:t>
            </w:r>
          </w:p>
        </w:tc>
        <w:tc>
          <w:tcPr>
            <w:tcW w:w="4995" w:type="dxa"/>
            <w:tcBorders>
              <w:bottom w:val="single" w:sz="6" w:space="0" w:color="000000"/>
              <w:right w:val="single" w:sz="6" w:space="0" w:color="000000"/>
            </w:tcBorders>
            <w:vAlign w:val="center"/>
          </w:tcPr>
          <w:p w14:paraId="01F925E8" w14:textId="77777777" w:rsidR="007D706A" w:rsidRDefault="007D706A" w:rsidP="00F70508">
            <w:pPr>
              <w:pStyle w:val="ParagraphStyle5"/>
              <w:rPr>
                <w:rStyle w:val="CharacterStyle5"/>
              </w:rPr>
            </w:pPr>
            <w:r>
              <w:rPr>
                <w:rStyle w:val="CharacterStyle5"/>
              </w:rPr>
              <w:t>TENIS_PADEL - PROJEKTIRANJE</w:t>
            </w:r>
          </w:p>
        </w:tc>
        <w:tc>
          <w:tcPr>
            <w:tcW w:w="1395" w:type="dxa"/>
            <w:tcBorders>
              <w:bottom w:val="single" w:sz="6" w:space="0" w:color="000000"/>
              <w:right w:val="single" w:sz="6" w:space="0" w:color="000000"/>
            </w:tcBorders>
            <w:vAlign w:val="center"/>
          </w:tcPr>
          <w:p w14:paraId="4E2FEF5A"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1FFE20C6"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733C0493" w14:textId="77777777" w:rsidR="007D706A" w:rsidRDefault="007D706A" w:rsidP="00F70508">
            <w:pPr>
              <w:pStyle w:val="ParagraphStyle6"/>
              <w:rPr>
                <w:rStyle w:val="CharacterStyle6"/>
              </w:rPr>
            </w:pPr>
            <w:r>
              <w:rPr>
                <w:rStyle w:val="CharacterStyle6"/>
              </w:rPr>
              <w:t>5.000,00</w:t>
            </w:r>
          </w:p>
        </w:tc>
        <w:tc>
          <w:tcPr>
            <w:tcW w:w="1395" w:type="dxa"/>
            <w:tcBorders>
              <w:bottom w:val="single" w:sz="6" w:space="0" w:color="000000"/>
              <w:right w:val="single" w:sz="6" w:space="0" w:color="000000"/>
            </w:tcBorders>
            <w:vAlign w:val="center"/>
          </w:tcPr>
          <w:p w14:paraId="60886187"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6B12680F" w14:textId="77777777" w:rsidR="007D706A" w:rsidRDefault="007D706A" w:rsidP="00F70508">
            <w:pPr>
              <w:pStyle w:val="ParagraphStyle6"/>
              <w:rPr>
                <w:rStyle w:val="CharacterStyle6"/>
              </w:rPr>
            </w:pPr>
            <w:r>
              <w:rPr>
                <w:rStyle w:val="CharacterStyle6"/>
              </w:rPr>
              <w:t>0,00</w:t>
            </w:r>
          </w:p>
        </w:tc>
      </w:tr>
      <w:tr w:rsidR="007D706A" w14:paraId="33F4CC6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0B3211A"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2309E0C7"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4D00EF5C"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7EB77AF"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F5B578E" w14:textId="77777777" w:rsidR="007D706A" w:rsidRDefault="007D706A" w:rsidP="00F70508">
            <w:pPr>
              <w:pStyle w:val="ParagraphStyle9"/>
              <w:rPr>
                <w:rStyle w:val="CharacterStyle9"/>
              </w:rPr>
            </w:pPr>
            <w:r>
              <w:rPr>
                <w:rStyle w:val="CharacterStyle9"/>
              </w:rPr>
              <w:t>5.000,00</w:t>
            </w:r>
          </w:p>
        </w:tc>
        <w:tc>
          <w:tcPr>
            <w:tcW w:w="1395" w:type="dxa"/>
            <w:tcBorders>
              <w:bottom w:val="single" w:sz="6" w:space="0" w:color="000000"/>
              <w:right w:val="single" w:sz="6" w:space="0" w:color="000000"/>
            </w:tcBorders>
            <w:vAlign w:val="center"/>
          </w:tcPr>
          <w:p w14:paraId="4E3ABA67"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E0DD6C3" w14:textId="77777777" w:rsidR="007D706A" w:rsidRDefault="007D706A" w:rsidP="00F70508">
            <w:pPr>
              <w:pStyle w:val="ParagraphStyle9"/>
              <w:rPr>
                <w:rStyle w:val="CharacterStyle9"/>
              </w:rPr>
            </w:pPr>
            <w:r>
              <w:rPr>
                <w:rStyle w:val="CharacterStyle9"/>
              </w:rPr>
              <w:t>0,00</w:t>
            </w:r>
          </w:p>
        </w:tc>
      </w:tr>
      <w:tr w:rsidR="007D706A" w14:paraId="5CE3A76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1529C41"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694147B9"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0869637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E18BAB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5C0086D" w14:textId="77777777" w:rsidR="007D706A" w:rsidRDefault="007D706A" w:rsidP="00F70508">
            <w:pPr>
              <w:pStyle w:val="ParagraphStyle12"/>
              <w:rPr>
                <w:rStyle w:val="CharacterStyle12"/>
              </w:rPr>
            </w:pPr>
            <w:r>
              <w:rPr>
                <w:rStyle w:val="CharacterStyle12"/>
              </w:rPr>
              <w:t>5.000,00</w:t>
            </w:r>
          </w:p>
        </w:tc>
        <w:tc>
          <w:tcPr>
            <w:tcW w:w="1395" w:type="dxa"/>
            <w:tcBorders>
              <w:bottom w:val="single" w:sz="6" w:space="0" w:color="000000"/>
              <w:right w:val="single" w:sz="6" w:space="0" w:color="000000"/>
            </w:tcBorders>
            <w:vAlign w:val="center"/>
          </w:tcPr>
          <w:p w14:paraId="5310006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7ED7D10" w14:textId="77777777" w:rsidR="007D706A" w:rsidRDefault="007D706A" w:rsidP="00F70508">
            <w:pPr>
              <w:pStyle w:val="ParagraphStyle12"/>
              <w:rPr>
                <w:rStyle w:val="CharacterStyle12"/>
              </w:rPr>
            </w:pPr>
            <w:r>
              <w:rPr>
                <w:rStyle w:val="CharacterStyle12"/>
              </w:rPr>
              <w:t>0,00</w:t>
            </w:r>
          </w:p>
        </w:tc>
      </w:tr>
      <w:tr w:rsidR="007D706A" w14:paraId="2C687AE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499028A" w14:textId="77777777" w:rsidR="007D706A" w:rsidRDefault="007D706A" w:rsidP="00F70508">
            <w:pPr>
              <w:pStyle w:val="ParagraphStyle10"/>
              <w:rPr>
                <w:rStyle w:val="CharacterStyle10"/>
              </w:rPr>
            </w:pPr>
            <w:r>
              <w:rPr>
                <w:rStyle w:val="CharacterStyle10"/>
              </w:rPr>
              <w:t>38</w:t>
            </w:r>
          </w:p>
        </w:tc>
        <w:tc>
          <w:tcPr>
            <w:tcW w:w="4995" w:type="dxa"/>
            <w:tcBorders>
              <w:bottom w:val="single" w:sz="6" w:space="0" w:color="000000"/>
              <w:right w:val="single" w:sz="6" w:space="0" w:color="000000"/>
            </w:tcBorders>
            <w:vAlign w:val="center"/>
          </w:tcPr>
          <w:p w14:paraId="1D033ADB" w14:textId="77777777" w:rsidR="007D706A" w:rsidRDefault="007D706A" w:rsidP="00F70508">
            <w:pPr>
              <w:pStyle w:val="ParagraphStyle11"/>
              <w:rPr>
                <w:rStyle w:val="CharacterStyle11"/>
              </w:rPr>
            </w:pPr>
            <w:r>
              <w:rPr>
                <w:rStyle w:val="CharacterStyle11"/>
              </w:rPr>
              <w:t>Rashodi za donacije, kazne, naknade šteta i kapitalne pomoći</w:t>
            </w:r>
          </w:p>
        </w:tc>
        <w:tc>
          <w:tcPr>
            <w:tcW w:w="1395" w:type="dxa"/>
            <w:tcBorders>
              <w:bottom w:val="single" w:sz="6" w:space="0" w:color="000000"/>
              <w:right w:val="single" w:sz="6" w:space="0" w:color="000000"/>
            </w:tcBorders>
            <w:vAlign w:val="center"/>
          </w:tcPr>
          <w:p w14:paraId="1FF5AB6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EBDE2C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5B14A33" w14:textId="77777777" w:rsidR="007D706A" w:rsidRDefault="007D706A" w:rsidP="00F70508">
            <w:pPr>
              <w:pStyle w:val="ParagraphStyle12"/>
              <w:rPr>
                <w:rStyle w:val="CharacterStyle12"/>
              </w:rPr>
            </w:pPr>
            <w:r>
              <w:rPr>
                <w:rStyle w:val="CharacterStyle12"/>
              </w:rPr>
              <w:t>5.000,00</w:t>
            </w:r>
          </w:p>
        </w:tc>
        <w:tc>
          <w:tcPr>
            <w:tcW w:w="1395" w:type="dxa"/>
            <w:tcBorders>
              <w:bottom w:val="single" w:sz="6" w:space="0" w:color="000000"/>
              <w:right w:val="single" w:sz="6" w:space="0" w:color="000000"/>
            </w:tcBorders>
            <w:vAlign w:val="center"/>
          </w:tcPr>
          <w:p w14:paraId="3D786DE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01E1069" w14:textId="77777777" w:rsidR="007D706A" w:rsidRDefault="007D706A" w:rsidP="00F70508">
            <w:pPr>
              <w:pStyle w:val="ParagraphStyle12"/>
              <w:rPr>
                <w:rStyle w:val="CharacterStyle12"/>
              </w:rPr>
            </w:pPr>
            <w:r>
              <w:rPr>
                <w:rStyle w:val="CharacterStyle12"/>
              </w:rPr>
              <w:t>0,00</w:t>
            </w:r>
          </w:p>
        </w:tc>
      </w:tr>
      <w:tr w:rsidR="007D706A" w14:paraId="5AC7A4A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F3F4223" w14:textId="77777777" w:rsidR="007D706A" w:rsidRDefault="007D706A" w:rsidP="00F70508">
            <w:pPr>
              <w:pStyle w:val="ParagraphStyle4"/>
              <w:rPr>
                <w:rStyle w:val="CharacterStyle4"/>
              </w:rPr>
            </w:pPr>
            <w:r>
              <w:rPr>
                <w:rStyle w:val="CharacterStyle4"/>
              </w:rPr>
              <w:t>PROGRAM    1032</w:t>
            </w:r>
          </w:p>
        </w:tc>
        <w:tc>
          <w:tcPr>
            <w:tcW w:w="4995" w:type="dxa"/>
            <w:tcBorders>
              <w:bottom w:val="single" w:sz="6" w:space="0" w:color="000000"/>
              <w:right w:val="single" w:sz="6" w:space="0" w:color="000000"/>
            </w:tcBorders>
            <w:vAlign w:val="center"/>
          </w:tcPr>
          <w:p w14:paraId="78D9133A" w14:textId="77777777" w:rsidR="007D706A" w:rsidRDefault="007D706A" w:rsidP="00F70508">
            <w:pPr>
              <w:pStyle w:val="ParagraphStyle5"/>
              <w:rPr>
                <w:rStyle w:val="CharacterStyle5"/>
              </w:rPr>
            </w:pPr>
            <w:r>
              <w:rPr>
                <w:rStyle w:val="CharacterStyle5"/>
              </w:rPr>
              <w:t>SOCIJALNA SKRB</w:t>
            </w:r>
          </w:p>
        </w:tc>
        <w:tc>
          <w:tcPr>
            <w:tcW w:w="1395" w:type="dxa"/>
            <w:tcBorders>
              <w:bottom w:val="single" w:sz="6" w:space="0" w:color="000000"/>
              <w:right w:val="single" w:sz="6" w:space="0" w:color="000000"/>
            </w:tcBorders>
            <w:vAlign w:val="center"/>
          </w:tcPr>
          <w:p w14:paraId="3AC38218"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7962AD74" w14:textId="77777777" w:rsidR="007D706A" w:rsidRDefault="007D706A" w:rsidP="00F70508">
            <w:pPr>
              <w:pStyle w:val="ParagraphStyle6"/>
              <w:rPr>
                <w:rStyle w:val="CharacterStyle6"/>
              </w:rPr>
            </w:pPr>
            <w:r>
              <w:rPr>
                <w:rStyle w:val="CharacterStyle6"/>
              </w:rPr>
              <w:t>1.341.550,50</w:t>
            </w:r>
          </w:p>
        </w:tc>
        <w:tc>
          <w:tcPr>
            <w:tcW w:w="1395" w:type="dxa"/>
            <w:tcBorders>
              <w:bottom w:val="single" w:sz="6" w:space="0" w:color="000000"/>
              <w:right w:val="single" w:sz="6" w:space="0" w:color="000000"/>
            </w:tcBorders>
            <w:vAlign w:val="center"/>
          </w:tcPr>
          <w:p w14:paraId="59A53A11" w14:textId="77777777" w:rsidR="007D706A" w:rsidRDefault="007D706A" w:rsidP="00F70508">
            <w:pPr>
              <w:pStyle w:val="ParagraphStyle6"/>
              <w:rPr>
                <w:rStyle w:val="CharacterStyle6"/>
              </w:rPr>
            </w:pPr>
            <w:r>
              <w:rPr>
                <w:rStyle w:val="CharacterStyle6"/>
              </w:rPr>
              <w:t>1.099.847,00</w:t>
            </w:r>
          </w:p>
        </w:tc>
        <w:tc>
          <w:tcPr>
            <w:tcW w:w="1395" w:type="dxa"/>
            <w:tcBorders>
              <w:bottom w:val="single" w:sz="6" w:space="0" w:color="000000"/>
              <w:right w:val="single" w:sz="6" w:space="0" w:color="000000"/>
            </w:tcBorders>
            <w:vAlign w:val="center"/>
          </w:tcPr>
          <w:p w14:paraId="32B192FD" w14:textId="77777777" w:rsidR="007D706A" w:rsidRDefault="007D706A" w:rsidP="00F70508">
            <w:pPr>
              <w:pStyle w:val="ParagraphStyle6"/>
              <w:rPr>
                <w:rStyle w:val="CharacterStyle6"/>
              </w:rPr>
            </w:pPr>
            <w:r>
              <w:rPr>
                <w:rStyle w:val="CharacterStyle6"/>
              </w:rPr>
              <w:t>1.043.417,00</w:t>
            </w:r>
          </w:p>
        </w:tc>
        <w:tc>
          <w:tcPr>
            <w:tcW w:w="1395" w:type="dxa"/>
            <w:tcBorders>
              <w:bottom w:val="single" w:sz="6" w:space="0" w:color="000000"/>
              <w:right w:val="single" w:sz="6" w:space="0" w:color="000000"/>
            </w:tcBorders>
            <w:vAlign w:val="center"/>
          </w:tcPr>
          <w:p w14:paraId="6160D491" w14:textId="77777777" w:rsidR="007D706A" w:rsidRDefault="007D706A" w:rsidP="00F70508">
            <w:pPr>
              <w:pStyle w:val="ParagraphStyle6"/>
              <w:rPr>
                <w:rStyle w:val="CharacterStyle6"/>
              </w:rPr>
            </w:pPr>
            <w:r>
              <w:rPr>
                <w:rStyle w:val="CharacterStyle6"/>
              </w:rPr>
              <w:t>1.086.037,00</w:t>
            </w:r>
          </w:p>
        </w:tc>
      </w:tr>
      <w:tr w:rsidR="007D706A" w14:paraId="5AF15A8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8047CAD" w14:textId="77777777" w:rsidR="007D706A" w:rsidRDefault="007D706A" w:rsidP="00F70508">
            <w:pPr>
              <w:pStyle w:val="ParagraphStyle4"/>
              <w:rPr>
                <w:rStyle w:val="CharacterStyle4"/>
              </w:rPr>
            </w:pPr>
            <w:r>
              <w:rPr>
                <w:rStyle w:val="CharacterStyle4"/>
              </w:rPr>
              <w:t>Aktivnost A103213</w:t>
            </w:r>
          </w:p>
        </w:tc>
        <w:tc>
          <w:tcPr>
            <w:tcW w:w="4995" w:type="dxa"/>
            <w:tcBorders>
              <w:bottom w:val="single" w:sz="6" w:space="0" w:color="000000"/>
              <w:right w:val="single" w:sz="6" w:space="0" w:color="000000"/>
            </w:tcBorders>
            <w:vAlign w:val="center"/>
          </w:tcPr>
          <w:p w14:paraId="1F2FC2CE" w14:textId="77777777" w:rsidR="007D706A" w:rsidRDefault="007D706A" w:rsidP="00F70508">
            <w:pPr>
              <w:pStyle w:val="ParagraphStyle5"/>
              <w:rPr>
                <w:rStyle w:val="CharacterStyle5"/>
              </w:rPr>
            </w:pPr>
            <w:r>
              <w:rPr>
                <w:rStyle w:val="CharacterStyle5"/>
              </w:rPr>
              <w:t>PREVENCIJA OVISNOSTI I DEVIJANTNOG PONAŠANJA</w:t>
            </w:r>
          </w:p>
        </w:tc>
        <w:tc>
          <w:tcPr>
            <w:tcW w:w="1395" w:type="dxa"/>
            <w:tcBorders>
              <w:bottom w:val="single" w:sz="6" w:space="0" w:color="000000"/>
              <w:right w:val="single" w:sz="6" w:space="0" w:color="000000"/>
            </w:tcBorders>
            <w:vAlign w:val="center"/>
          </w:tcPr>
          <w:p w14:paraId="06511708"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6FED383D" w14:textId="77777777" w:rsidR="007D706A" w:rsidRDefault="007D706A" w:rsidP="00F70508">
            <w:pPr>
              <w:pStyle w:val="ParagraphStyle6"/>
              <w:rPr>
                <w:rStyle w:val="CharacterStyle6"/>
              </w:rPr>
            </w:pPr>
            <w:r>
              <w:rPr>
                <w:rStyle w:val="CharacterStyle6"/>
              </w:rPr>
              <w:t>7.950,00</w:t>
            </w:r>
          </w:p>
        </w:tc>
        <w:tc>
          <w:tcPr>
            <w:tcW w:w="1395" w:type="dxa"/>
            <w:tcBorders>
              <w:bottom w:val="single" w:sz="6" w:space="0" w:color="000000"/>
              <w:right w:val="single" w:sz="6" w:space="0" w:color="000000"/>
            </w:tcBorders>
            <w:vAlign w:val="center"/>
          </w:tcPr>
          <w:p w14:paraId="7A936E0C" w14:textId="77777777" w:rsidR="007D706A" w:rsidRDefault="007D706A" w:rsidP="00F70508">
            <w:pPr>
              <w:pStyle w:val="ParagraphStyle6"/>
              <w:rPr>
                <w:rStyle w:val="CharacterStyle6"/>
              </w:rPr>
            </w:pPr>
            <w:r>
              <w:rPr>
                <w:rStyle w:val="CharacterStyle6"/>
              </w:rPr>
              <w:t>7.950,00</w:t>
            </w:r>
          </w:p>
        </w:tc>
        <w:tc>
          <w:tcPr>
            <w:tcW w:w="1395" w:type="dxa"/>
            <w:tcBorders>
              <w:bottom w:val="single" w:sz="6" w:space="0" w:color="000000"/>
              <w:right w:val="single" w:sz="6" w:space="0" w:color="000000"/>
            </w:tcBorders>
            <w:vAlign w:val="center"/>
          </w:tcPr>
          <w:p w14:paraId="04F1C62A" w14:textId="77777777" w:rsidR="007D706A" w:rsidRDefault="007D706A" w:rsidP="00F70508">
            <w:pPr>
              <w:pStyle w:val="ParagraphStyle6"/>
              <w:rPr>
                <w:rStyle w:val="CharacterStyle6"/>
              </w:rPr>
            </w:pPr>
            <w:r>
              <w:rPr>
                <w:rStyle w:val="CharacterStyle6"/>
              </w:rPr>
              <w:t>9.000,00</w:t>
            </w:r>
          </w:p>
        </w:tc>
        <w:tc>
          <w:tcPr>
            <w:tcW w:w="1395" w:type="dxa"/>
            <w:tcBorders>
              <w:bottom w:val="single" w:sz="6" w:space="0" w:color="000000"/>
              <w:right w:val="single" w:sz="6" w:space="0" w:color="000000"/>
            </w:tcBorders>
            <w:vAlign w:val="center"/>
          </w:tcPr>
          <w:p w14:paraId="4A4BD9DA" w14:textId="77777777" w:rsidR="007D706A" w:rsidRDefault="007D706A" w:rsidP="00F70508">
            <w:pPr>
              <w:pStyle w:val="ParagraphStyle6"/>
              <w:rPr>
                <w:rStyle w:val="CharacterStyle6"/>
              </w:rPr>
            </w:pPr>
            <w:r>
              <w:rPr>
                <w:rStyle w:val="CharacterStyle6"/>
              </w:rPr>
              <w:t>9.800,00</w:t>
            </w:r>
          </w:p>
        </w:tc>
      </w:tr>
      <w:tr w:rsidR="007D706A" w14:paraId="527744B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82BFC08"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4A70C82D"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63BC3732"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69E52A1" w14:textId="77777777" w:rsidR="007D706A" w:rsidRDefault="007D706A" w:rsidP="00F70508">
            <w:pPr>
              <w:pStyle w:val="ParagraphStyle9"/>
              <w:rPr>
                <w:rStyle w:val="CharacterStyle9"/>
              </w:rPr>
            </w:pPr>
            <w:r>
              <w:rPr>
                <w:rStyle w:val="CharacterStyle9"/>
              </w:rPr>
              <w:t>7.950,00</w:t>
            </w:r>
          </w:p>
        </w:tc>
        <w:tc>
          <w:tcPr>
            <w:tcW w:w="1395" w:type="dxa"/>
            <w:tcBorders>
              <w:bottom w:val="single" w:sz="6" w:space="0" w:color="000000"/>
              <w:right w:val="single" w:sz="6" w:space="0" w:color="000000"/>
            </w:tcBorders>
            <w:vAlign w:val="center"/>
          </w:tcPr>
          <w:p w14:paraId="42D4BFAF" w14:textId="77777777" w:rsidR="007D706A" w:rsidRDefault="007D706A" w:rsidP="00F70508">
            <w:pPr>
              <w:pStyle w:val="ParagraphStyle9"/>
              <w:rPr>
                <w:rStyle w:val="CharacterStyle9"/>
              </w:rPr>
            </w:pPr>
            <w:r>
              <w:rPr>
                <w:rStyle w:val="CharacterStyle9"/>
              </w:rPr>
              <w:t>7.950,00</w:t>
            </w:r>
          </w:p>
        </w:tc>
        <w:tc>
          <w:tcPr>
            <w:tcW w:w="1395" w:type="dxa"/>
            <w:tcBorders>
              <w:bottom w:val="single" w:sz="6" w:space="0" w:color="000000"/>
              <w:right w:val="single" w:sz="6" w:space="0" w:color="000000"/>
            </w:tcBorders>
            <w:vAlign w:val="center"/>
          </w:tcPr>
          <w:p w14:paraId="76CA6434" w14:textId="77777777" w:rsidR="007D706A" w:rsidRDefault="007D706A" w:rsidP="00F70508">
            <w:pPr>
              <w:pStyle w:val="ParagraphStyle9"/>
              <w:rPr>
                <w:rStyle w:val="CharacterStyle9"/>
              </w:rPr>
            </w:pPr>
            <w:r>
              <w:rPr>
                <w:rStyle w:val="CharacterStyle9"/>
              </w:rPr>
              <w:t>9.000,00</w:t>
            </w:r>
          </w:p>
        </w:tc>
        <w:tc>
          <w:tcPr>
            <w:tcW w:w="1395" w:type="dxa"/>
            <w:tcBorders>
              <w:bottom w:val="single" w:sz="6" w:space="0" w:color="000000"/>
              <w:right w:val="single" w:sz="6" w:space="0" w:color="000000"/>
            </w:tcBorders>
            <w:vAlign w:val="center"/>
          </w:tcPr>
          <w:p w14:paraId="4D73119B" w14:textId="77777777" w:rsidR="007D706A" w:rsidRDefault="007D706A" w:rsidP="00F70508">
            <w:pPr>
              <w:pStyle w:val="ParagraphStyle9"/>
              <w:rPr>
                <w:rStyle w:val="CharacterStyle9"/>
              </w:rPr>
            </w:pPr>
            <w:r>
              <w:rPr>
                <w:rStyle w:val="CharacterStyle9"/>
              </w:rPr>
              <w:t>9.800,00</w:t>
            </w:r>
          </w:p>
        </w:tc>
      </w:tr>
      <w:tr w:rsidR="007D706A" w14:paraId="1830B76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4951A45"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271D9C77"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36083B1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4CF2A6E" w14:textId="77777777" w:rsidR="007D706A" w:rsidRDefault="007D706A" w:rsidP="00F70508">
            <w:pPr>
              <w:pStyle w:val="ParagraphStyle12"/>
              <w:rPr>
                <w:rStyle w:val="CharacterStyle12"/>
              </w:rPr>
            </w:pPr>
            <w:r>
              <w:rPr>
                <w:rStyle w:val="CharacterStyle12"/>
              </w:rPr>
              <w:t>7.950,00</w:t>
            </w:r>
          </w:p>
        </w:tc>
        <w:tc>
          <w:tcPr>
            <w:tcW w:w="1395" w:type="dxa"/>
            <w:tcBorders>
              <w:bottom w:val="single" w:sz="6" w:space="0" w:color="000000"/>
              <w:right w:val="single" w:sz="6" w:space="0" w:color="000000"/>
            </w:tcBorders>
            <w:vAlign w:val="center"/>
          </w:tcPr>
          <w:p w14:paraId="4A9BB8B1" w14:textId="77777777" w:rsidR="007D706A" w:rsidRDefault="007D706A" w:rsidP="00F70508">
            <w:pPr>
              <w:pStyle w:val="ParagraphStyle12"/>
              <w:rPr>
                <w:rStyle w:val="CharacterStyle12"/>
              </w:rPr>
            </w:pPr>
            <w:r>
              <w:rPr>
                <w:rStyle w:val="CharacterStyle12"/>
              </w:rPr>
              <w:t>7.950,00</w:t>
            </w:r>
          </w:p>
        </w:tc>
        <w:tc>
          <w:tcPr>
            <w:tcW w:w="1395" w:type="dxa"/>
            <w:tcBorders>
              <w:bottom w:val="single" w:sz="6" w:space="0" w:color="000000"/>
              <w:right w:val="single" w:sz="6" w:space="0" w:color="000000"/>
            </w:tcBorders>
            <w:vAlign w:val="center"/>
          </w:tcPr>
          <w:p w14:paraId="53094C85" w14:textId="77777777" w:rsidR="007D706A" w:rsidRDefault="007D706A" w:rsidP="00F70508">
            <w:pPr>
              <w:pStyle w:val="ParagraphStyle12"/>
              <w:rPr>
                <w:rStyle w:val="CharacterStyle12"/>
              </w:rPr>
            </w:pPr>
            <w:r>
              <w:rPr>
                <w:rStyle w:val="CharacterStyle12"/>
              </w:rPr>
              <w:t>9.000,00</w:t>
            </w:r>
          </w:p>
        </w:tc>
        <w:tc>
          <w:tcPr>
            <w:tcW w:w="1395" w:type="dxa"/>
            <w:tcBorders>
              <w:bottom w:val="single" w:sz="6" w:space="0" w:color="000000"/>
              <w:right w:val="single" w:sz="6" w:space="0" w:color="000000"/>
            </w:tcBorders>
            <w:vAlign w:val="center"/>
          </w:tcPr>
          <w:p w14:paraId="26C96B93" w14:textId="77777777" w:rsidR="007D706A" w:rsidRDefault="007D706A" w:rsidP="00F70508">
            <w:pPr>
              <w:pStyle w:val="ParagraphStyle12"/>
              <w:rPr>
                <w:rStyle w:val="CharacterStyle12"/>
              </w:rPr>
            </w:pPr>
            <w:r>
              <w:rPr>
                <w:rStyle w:val="CharacterStyle12"/>
              </w:rPr>
              <w:t>9.800,00</w:t>
            </w:r>
          </w:p>
        </w:tc>
      </w:tr>
      <w:tr w:rsidR="007D706A" w14:paraId="63A40F4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FF8AB75"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21D67475"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3B3E74E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616EDC6" w14:textId="77777777" w:rsidR="007D706A" w:rsidRDefault="007D706A" w:rsidP="00F70508">
            <w:pPr>
              <w:pStyle w:val="ParagraphStyle12"/>
              <w:rPr>
                <w:rStyle w:val="CharacterStyle12"/>
              </w:rPr>
            </w:pPr>
            <w:r>
              <w:rPr>
                <w:rStyle w:val="CharacterStyle12"/>
              </w:rPr>
              <w:t>7.950,00</w:t>
            </w:r>
          </w:p>
        </w:tc>
        <w:tc>
          <w:tcPr>
            <w:tcW w:w="1395" w:type="dxa"/>
            <w:tcBorders>
              <w:bottom w:val="single" w:sz="6" w:space="0" w:color="000000"/>
              <w:right w:val="single" w:sz="6" w:space="0" w:color="000000"/>
            </w:tcBorders>
            <w:vAlign w:val="center"/>
          </w:tcPr>
          <w:p w14:paraId="18AC9F72" w14:textId="77777777" w:rsidR="007D706A" w:rsidRDefault="007D706A" w:rsidP="00F70508">
            <w:pPr>
              <w:pStyle w:val="ParagraphStyle12"/>
              <w:rPr>
                <w:rStyle w:val="CharacterStyle12"/>
              </w:rPr>
            </w:pPr>
            <w:r>
              <w:rPr>
                <w:rStyle w:val="CharacterStyle12"/>
              </w:rPr>
              <w:t>7.950,00</w:t>
            </w:r>
          </w:p>
        </w:tc>
        <w:tc>
          <w:tcPr>
            <w:tcW w:w="1395" w:type="dxa"/>
            <w:tcBorders>
              <w:bottom w:val="single" w:sz="6" w:space="0" w:color="000000"/>
              <w:right w:val="single" w:sz="6" w:space="0" w:color="000000"/>
            </w:tcBorders>
            <w:vAlign w:val="center"/>
          </w:tcPr>
          <w:p w14:paraId="316D9C13" w14:textId="77777777" w:rsidR="007D706A" w:rsidRDefault="007D706A" w:rsidP="00F70508">
            <w:pPr>
              <w:pStyle w:val="ParagraphStyle12"/>
              <w:rPr>
                <w:rStyle w:val="CharacterStyle12"/>
              </w:rPr>
            </w:pPr>
            <w:r>
              <w:rPr>
                <w:rStyle w:val="CharacterStyle12"/>
              </w:rPr>
              <w:t>9.000,00</w:t>
            </w:r>
          </w:p>
        </w:tc>
        <w:tc>
          <w:tcPr>
            <w:tcW w:w="1395" w:type="dxa"/>
            <w:tcBorders>
              <w:bottom w:val="single" w:sz="6" w:space="0" w:color="000000"/>
              <w:right w:val="single" w:sz="6" w:space="0" w:color="000000"/>
            </w:tcBorders>
            <w:vAlign w:val="center"/>
          </w:tcPr>
          <w:p w14:paraId="55095F91" w14:textId="77777777" w:rsidR="007D706A" w:rsidRDefault="007D706A" w:rsidP="00F70508">
            <w:pPr>
              <w:pStyle w:val="ParagraphStyle12"/>
              <w:rPr>
                <w:rStyle w:val="CharacterStyle12"/>
              </w:rPr>
            </w:pPr>
            <w:r>
              <w:rPr>
                <w:rStyle w:val="CharacterStyle12"/>
              </w:rPr>
              <w:t>9.800,00</w:t>
            </w:r>
          </w:p>
        </w:tc>
      </w:tr>
      <w:tr w:rsidR="007D706A" w14:paraId="4A4FEAE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7EAC2DA" w14:textId="77777777" w:rsidR="007D706A" w:rsidRDefault="007D706A" w:rsidP="00F70508">
            <w:pPr>
              <w:pStyle w:val="ParagraphStyle4"/>
              <w:rPr>
                <w:rStyle w:val="CharacterStyle4"/>
              </w:rPr>
            </w:pPr>
            <w:r>
              <w:rPr>
                <w:rStyle w:val="CharacterStyle4"/>
              </w:rPr>
              <w:t>Aktivnost A103225</w:t>
            </w:r>
          </w:p>
        </w:tc>
        <w:tc>
          <w:tcPr>
            <w:tcW w:w="4995" w:type="dxa"/>
            <w:tcBorders>
              <w:bottom w:val="single" w:sz="6" w:space="0" w:color="000000"/>
              <w:right w:val="single" w:sz="6" w:space="0" w:color="000000"/>
            </w:tcBorders>
            <w:vAlign w:val="center"/>
          </w:tcPr>
          <w:p w14:paraId="7441F78A" w14:textId="77777777" w:rsidR="007D706A" w:rsidRDefault="007D706A" w:rsidP="00F70508">
            <w:pPr>
              <w:pStyle w:val="ParagraphStyle5"/>
              <w:rPr>
                <w:rStyle w:val="CharacterStyle5"/>
              </w:rPr>
            </w:pPr>
            <w:r>
              <w:rPr>
                <w:rStyle w:val="CharacterStyle5"/>
              </w:rPr>
              <w:t>ZBRINJAVANJE OSOBA U BESKUĆNIŠTVU</w:t>
            </w:r>
          </w:p>
        </w:tc>
        <w:tc>
          <w:tcPr>
            <w:tcW w:w="1395" w:type="dxa"/>
            <w:tcBorders>
              <w:bottom w:val="single" w:sz="6" w:space="0" w:color="000000"/>
              <w:right w:val="single" w:sz="6" w:space="0" w:color="000000"/>
            </w:tcBorders>
            <w:vAlign w:val="center"/>
          </w:tcPr>
          <w:p w14:paraId="21C25AE0"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38251306" w14:textId="77777777" w:rsidR="007D706A" w:rsidRDefault="007D706A" w:rsidP="00F70508">
            <w:pPr>
              <w:pStyle w:val="ParagraphStyle6"/>
              <w:rPr>
                <w:rStyle w:val="CharacterStyle6"/>
              </w:rPr>
            </w:pPr>
            <w:r>
              <w:rPr>
                <w:rStyle w:val="CharacterStyle6"/>
              </w:rPr>
              <w:t>3.000,00</w:t>
            </w:r>
          </w:p>
        </w:tc>
        <w:tc>
          <w:tcPr>
            <w:tcW w:w="1395" w:type="dxa"/>
            <w:tcBorders>
              <w:bottom w:val="single" w:sz="6" w:space="0" w:color="000000"/>
              <w:right w:val="single" w:sz="6" w:space="0" w:color="000000"/>
            </w:tcBorders>
            <w:vAlign w:val="center"/>
          </w:tcPr>
          <w:p w14:paraId="0157AA3F"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1B2AD6EE"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55842A19" w14:textId="77777777" w:rsidR="007D706A" w:rsidRDefault="007D706A" w:rsidP="00F70508">
            <w:pPr>
              <w:pStyle w:val="ParagraphStyle6"/>
              <w:rPr>
                <w:rStyle w:val="CharacterStyle6"/>
              </w:rPr>
            </w:pPr>
            <w:r>
              <w:rPr>
                <w:rStyle w:val="CharacterStyle6"/>
              </w:rPr>
              <w:t>0,00</w:t>
            </w:r>
          </w:p>
        </w:tc>
      </w:tr>
      <w:tr w:rsidR="007D706A" w14:paraId="3A6E520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6F415D4"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0CF66BC4"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6490FA85"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8E7A2A0" w14:textId="77777777" w:rsidR="007D706A" w:rsidRDefault="007D706A" w:rsidP="00F70508">
            <w:pPr>
              <w:pStyle w:val="ParagraphStyle9"/>
              <w:rPr>
                <w:rStyle w:val="CharacterStyle9"/>
              </w:rPr>
            </w:pPr>
            <w:r>
              <w:rPr>
                <w:rStyle w:val="CharacterStyle9"/>
              </w:rPr>
              <w:t>3.000,00</w:t>
            </w:r>
          </w:p>
        </w:tc>
        <w:tc>
          <w:tcPr>
            <w:tcW w:w="1395" w:type="dxa"/>
            <w:tcBorders>
              <w:bottom w:val="single" w:sz="6" w:space="0" w:color="000000"/>
              <w:right w:val="single" w:sz="6" w:space="0" w:color="000000"/>
            </w:tcBorders>
            <w:vAlign w:val="center"/>
          </w:tcPr>
          <w:p w14:paraId="59569397"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968DBEC"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6C9E54A" w14:textId="77777777" w:rsidR="007D706A" w:rsidRDefault="007D706A" w:rsidP="00F70508">
            <w:pPr>
              <w:pStyle w:val="ParagraphStyle9"/>
              <w:rPr>
                <w:rStyle w:val="CharacterStyle9"/>
              </w:rPr>
            </w:pPr>
            <w:r>
              <w:rPr>
                <w:rStyle w:val="CharacterStyle9"/>
              </w:rPr>
              <w:t>0,00</w:t>
            </w:r>
          </w:p>
        </w:tc>
      </w:tr>
      <w:tr w:rsidR="007D706A" w14:paraId="1C220D6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54E9477"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22A2679C"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4B6D7EF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2ADE6BC" w14:textId="77777777" w:rsidR="007D706A" w:rsidRDefault="007D706A" w:rsidP="00F70508">
            <w:pPr>
              <w:pStyle w:val="ParagraphStyle12"/>
              <w:rPr>
                <w:rStyle w:val="CharacterStyle12"/>
              </w:rPr>
            </w:pPr>
            <w:r>
              <w:rPr>
                <w:rStyle w:val="CharacterStyle12"/>
              </w:rPr>
              <w:t>3.000,00</w:t>
            </w:r>
          </w:p>
        </w:tc>
        <w:tc>
          <w:tcPr>
            <w:tcW w:w="1395" w:type="dxa"/>
            <w:tcBorders>
              <w:bottom w:val="single" w:sz="6" w:space="0" w:color="000000"/>
              <w:right w:val="single" w:sz="6" w:space="0" w:color="000000"/>
            </w:tcBorders>
            <w:vAlign w:val="center"/>
          </w:tcPr>
          <w:p w14:paraId="24799BE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85FC6E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D5FB7FC" w14:textId="77777777" w:rsidR="007D706A" w:rsidRDefault="007D706A" w:rsidP="00F70508">
            <w:pPr>
              <w:pStyle w:val="ParagraphStyle12"/>
              <w:rPr>
                <w:rStyle w:val="CharacterStyle12"/>
              </w:rPr>
            </w:pPr>
            <w:r>
              <w:rPr>
                <w:rStyle w:val="CharacterStyle12"/>
              </w:rPr>
              <w:t>0,00</w:t>
            </w:r>
          </w:p>
        </w:tc>
      </w:tr>
      <w:tr w:rsidR="007D706A" w14:paraId="5E22AE6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167D2A5" w14:textId="77777777" w:rsidR="007D706A" w:rsidRDefault="007D706A" w:rsidP="00F70508">
            <w:pPr>
              <w:pStyle w:val="ParagraphStyle10"/>
              <w:rPr>
                <w:rStyle w:val="CharacterStyle10"/>
              </w:rPr>
            </w:pPr>
            <w:r>
              <w:rPr>
                <w:rStyle w:val="CharacterStyle10"/>
              </w:rPr>
              <w:t>38</w:t>
            </w:r>
          </w:p>
        </w:tc>
        <w:tc>
          <w:tcPr>
            <w:tcW w:w="4995" w:type="dxa"/>
            <w:tcBorders>
              <w:bottom w:val="single" w:sz="6" w:space="0" w:color="000000"/>
              <w:right w:val="single" w:sz="6" w:space="0" w:color="000000"/>
            </w:tcBorders>
            <w:vAlign w:val="center"/>
          </w:tcPr>
          <w:p w14:paraId="6708FBAD" w14:textId="77777777" w:rsidR="007D706A" w:rsidRDefault="007D706A" w:rsidP="00F70508">
            <w:pPr>
              <w:pStyle w:val="ParagraphStyle11"/>
              <w:rPr>
                <w:rStyle w:val="CharacterStyle11"/>
              </w:rPr>
            </w:pPr>
            <w:r>
              <w:rPr>
                <w:rStyle w:val="CharacterStyle11"/>
              </w:rPr>
              <w:t>Rashodi za donacije, kazne, naknade šteta i kapitalne pomoći</w:t>
            </w:r>
          </w:p>
        </w:tc>
        <w:tc>
          <w:tcPr>
            <w:tcW w:w="1395" w:type="dxa"/>
            <w:tcBorders>
              <w:bottom w:val="single" w:sz="6" w:space="0" w:color="000000"/>
              <w:right w:val="single" w:sz="6" w:space="0" w:color="000000"/>
            </w:tcBorders>
            <w:vAlign w:val="center"/>
          </w:tcPr>
          <w:p w14:paraId="5EABFFB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77E6149" w14:textId="77777777" w:rsidR="007D706A" w:rsidRDefault="007D706A" w:rsidP="00F70508">
            <w:pPr>
              <w:pStyle w:val="ParagraphStyle12"/>
              <w:rPr>
                <w:rStyle w:val="CharacterStyle12"/>
              </w:rPr>
            </w:pPr>
            <w:r>
              <w:rPr>
                <w:rStyle w:val="CharacterStyle12"/>
              </w:rPr>
              <w:t>3.000,00</w:t>
            </w:r>
          </w:p>
        </w:tc>
        <w:tc>
          <w:tcPr>
            <w:tcW w:w="1395" w:type="dxa"/>
            <w:tcBorders>
              <w:bottom w:val="single" w:sz="6" w:space="0" w:color="000000"/>
              <w:right w:val="single" w:sz="6" w:space="0" w:color="000000"/>
            </w:tcBorders>
            <w:vAlign w:val="center"/>
          </w:tcPr>
          <w:p w14:paraId="1666D16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17C833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0C26ED5" w14:textId="77777777" w:rsidR="007D706A" w:rsidRDefault="007D706A" w:rsidP="00F70508">
            <w:pPr>
              <w:pStyle w:val="ParagraphStyle12"/>
              <w:rPr>
                <w:rStyle w:val="CharacterStyle12"/>
              </w:rPr>
            </w:pPr>
            <w:r>
              <w:rPr>
                <w:rStyle w:val="CharacterStyle12"/>
              </w:rPr>
              <w:t>0,00</w:t>
            </w:r>
          </w:p>
        </w:tc>
      </w:tr>
      <w:tr w:rsidR="007D706A" w14:paraId="0D05870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389A6A1" w14:textId="77777777" w:rsidR="007D706A" w:rsidRDefault="007D706A" w:rsidP="00F70508">
            <w:pPr>
              <w:pStyle w:val="ParagraphStyle4"/>
              <w:rPr>
                <w:rStyle w:val="CharacterStyle4"/>
              </w:rPr>
            </w:pPr>
            <w:r>
              <w:rPr>
                <w:rStyle w:val="CharacterStyle4"/>
              </w:rPr>
              <w:t>Aktivnost A103225</w:t>
            </w:r>
          </w:p>
        </w:tc>
        <w:tc>
          <w:tcPr>
            <w:tcW w:w="4995" w:type="dxa"/>
            <w:tcBorders>
              <w:bottom w:val="single" w:sz="6" w:space="0" w:color="000000"/>
              <w:right w:val="single" w:sz="6" w:space="0" w:color="000000"/>
            </w:tcBorders>
            <w:vAlign w:val="center"/>
          </w:tcPr>
          <w:p w14:paraId="02CA64BB" w14:textId="77777777" w:rsidR="007D706A" w:rsidRDefault="007D706A" w:rsidP="00F70508">
            <w:pPr>
              <w:pStyle w:val="ParagraphStyle5"/>
              <w:rPr>
                <w:rStyle w:val="CharacterStyle5"/>
              </w:rPr>
            </w:pPr>
            <w:r>
              <w:rPr>
                <w:rStyle w:val="CharacterStyle5"/>
              </w:rPr>
              <w:t>ZBRINJAVANJE OSOBA U BESKUĆNIŠTVU</w:t>
            </w:r>
          </w:p>
        </w:tc>
        <w:tc>
          <w:tcPr>
            <w:tcW w:w="1395" w:type="dxa"/>
            <w:tcBorders>
              <w:bottom w:val="single" w:sz="6" w:space="0" w:color="000000"/>
              <w:right w:val="single" w:sz="6" w:space="0" w:color="000000"/>
            </w:tcBorders>
            <w:vAlign w:val="center"/>
          </w:tcPr>
          <w:p w14:paraId="2986FF53"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3AFDDF22"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3865ECE0" w14:textId="77777777" w:rsidR="007D706A" w:rsidRDefault="007D706A" w:rsidP="00F70508">
            <w:pPr>
              <w:pStyle w:val="ParagraphStyle6"/>
              <w:rPr>
                <w:rStyle w:val="CharacterStyle6"/>
              </w:rPr>
            </w:pPr>
            <w:r>
              <w:rPr>
                <w:rStyle w:val="CharacterStyle6"/>
              </w:rPr>
              <w:t>5.800,00</w:t>
            </w:r>
          </w:p>
        </w:tc>
        <w:tc>
          <w:tcPr>
            <w:tcW w:w="1395" w:type="dxa"/>
            <w:tcBorders>
              <w:bottom w:val="single" w:sz="6" w:space="0" w:color="000000"/>
              <w:right w:val="single" w:sz="6" w:space="0" w:color="000000"/>
            </w:tcBorders>
            <w:vAlign w:val="center"/>
          </w:tcPr>
          <w:p w14:paraId="393D18D4"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77EE537B" w14:textId="77777777" w:rsidR="007D706A" w:rsidRDefault="007D706A" w:rsidP="00F70508">
            <w:pPr>
              <w:pStyle w:val="ParagraphStyle6"/>
              <w:rPr>
                <w:rStyle w:val="CharacterStyle6"/>
              </w:rPr>
            </w:pPr>
            <w:r>
              <w:rPr>
                <w:rStyle w:val="CharacterStyle6"/>
              </w:rPr>
              <w:t>0,00</w:t>
            </w:r>
          </w:p>
        </w:tc>
      </w:tr>
      <w:tr w:rsidR="007D706A" w14:paraId="6126812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81AD0D2"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27C9CCA0"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03BBE2C8"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9F7BF2A"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06D840E" w14:textId="77777777" w:rsidR="007D706A" w:rsidRDefault="007D706A" w:rsidP="00F70508">
            <w:pPr>
              <w:pStyle w:val="ParagraphStyle9"/>
              <w:rPr>
                <w:rStyle w:val="CharacterStyle9"/>
              </w:rPr>
            </w:pPr>
            <w:r>
              <w:rPr>
                <w:rStyle w:val="CharacterStyle9"/>
              </w:rPr>
              <w:t>5.800,00</w:t>
            </w:r>
          </w:p>
        </w:tc>
        <w:tc>
          <w:tcPr>
            <w:tcW w:w="1395" w:type="dxa"/>
            <w:tcBorders>
              <w:bottom w:val="single" w:sz="6" w:space="0" w:color="000000"/>
              <w:right w:val="single" w:sz="6" w:space="0" w:color="000000"/>
            </w:tcBorders>
            <w:vAlign w:val="center"/>
          </w:tcPr>
          <w:p w14:paraId="546FBFBD"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E1B8768" w14:textId="77777777" w:rsidR="007D706A" w:rsidRDefault="007D706A" w:rsidP="00F70508">
            <w:pPr>
              <w:pStyle w:val="ParagraphStyle9"/>
              <w:rPr>
                <w:rStyle w:val="CharacterStyle9"/>
              </w:rPr>
            </w:pPr>
            <w:r>
              <w:rPr>
                <w:rStyle w:val="CharacterStyle9"/>
              </w:rPr>
              <w:t>0,00</w:t>
            </w:r>
          </w:p>
        </w:tc>
      </w:tr>
      <w:tr w:rsidR="007D706A" w14:paraId="2F25C33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D350C2F"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17213334"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6FB61A5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81D949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1DAFB36" w14:textId="77777777" w:rsidR="007D706A" w:rsidRDefault="007D706A" w:rsidP="00F70508">
            <w:pPr>
              <w:pStyle w:val="ParagraphStyle12"/>
              <w:rPr>
                <w:rStyle w:val="CharacterStyle12"/>
              </w:rPr>
            </w:pPr>
            <w:r>
              <w:rPr>
                <w:rStyle w:val="CharacterStyle12"/>
              </w:rPr>
              <w:t>5.800,00</w:t>
            </w:r>
          </w:p>
        </w:tc>
        <w:tc>
          <w:tcPr>
            <w:tcW w:w="1395" w:type="dxa"/>
            <w:tcBorders>
              <w:bottom w:val="single" w:sz="6" w:space="0" w:color="000000"/>
              <w:right w:val="single" w:sz="6" w:space="0" w:color="000000"/>
            </w:tcBorders>
            <w:vAlign w:val="center"/>
          </w:tcPr>
          <w:p w14:paraId="28E43EF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74FE58A" w14:textId="77777777" w:rsidR="007D706A" w:rsidRDefault="007D706A" w:rsidP="00F70508">
            <w:pPr>
              <w:pStyle w:val="ParagraphStyle12"/>
              <w:rPr>
                <w:rStyle w:val="CharacterStyle12"/>
              </w:rPr>
            </w:pPr>
            <w:r>
              <w:rPr>
                <w:rStyle w:val="CharacterStyle12"/>
              </w:rPr>
              <w:t>0,00</w:t>
            </w:r>
          </w:p>
        </w:tc>
      </w:tr>
      <w:tr w:rsidR="007D706A" w14:paraId="681E2B5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6BFC869" w14:textId="77777777" w:rsidR="007D706A" w:rsidRDefault="007D706A" w:rsidP="00F70508">
            <w:pPr>
              <w:pStyle w:val="ParagraphStyle10"/>
              <w:rPr>
                <w:rStyle w:val="CharacterStyle10"/>
              </w:rPr>
            </w:pPr>
            <w:r>
              <w:rPr>
                <w:rStyle w:val="CharacterStyle10"/>
              </w:rPr>
              <w:t>38</w:t>
            </w:r>
          </w:p>
        </w:tc>
        <w:tc>
          <w:tcPr>
            <w:tcW w:w="4995" w:type="dxa"/>
            <w:tcBorders>
              <w:bottom w:val="single" w:sz="6" w:space="0" w:color="000000"/>
              <w:right w:val="single" w:sz="6" w:space="0" w:color="000000"/>
            </w:tcBorders>
            <w:vAlign w:val="center"/>
          </w:tcPr>
          <w:p w14:paraId="16784867" w14:textId="77777777" w:rsidR="007D706A" w:rsidRDefault="007D706A" w:rsidP="00F70508">
            <w:pPr>
              <w:pStyle w:val="ParagraphStyle11"/>
              <w:rPr>
                <w:rStyle w:val="CharacterStyle11"/>
              </w:rPr>
            </w:pPr>
            <w:r>
              <w:rPr>
                <w:rStyle w:val="CharacterStyle11"/>
              </w:rPr>
              <w:t>Rashodi za donacije, kazne, naknade šteta i kapitalne pomoći</w:t>
            </w:r>
          </w:p>
        </w:tc>
        <w:tc>
          <w:tcPr>
            <w:tcW w:w="1395" w:type="dxa"/>
            <w:tcBorders>
              <w:bottom w:val="single" w:sz="6" w:space="0" w:color="000000"/>
              <w:right w:val="single" w:sz="6" w:space="0" w:color="000000"/>
            </w:tcBorders>
            <w:vAlign w:val="center"/>
          </w:tcPr>
          <w:p w14:paraId="1F7E4C3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B3FC28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816DDB4" w14:textId="77777777" w:rsidR="007D706A" w:rsidRDefault="007D706A" w:rsidP="00F70508">
            <w:pPr>
              <w:pStyle w:val="ParagraphStyle12"/>
              <w:rPr>
                <w:rStyle w:val="CharacterStyle12"/>
              </w:rPr>
            </w:pPr>
            <w:r>
              <w:rPr>
                <w:rStyle w:val="CharacterStyle12"/>
              </w:rPr>
              <w:t>5.800,00</w:t>
            </w:r>
          </w:p>
        </w:tc>
        <w:tc>
          <w:tcPr>
            <w:tcW w:w="1395" w:type="dxa"/>
            <w:tcBorders>
              <w:bottom w:val="single" w:sz="6" w:space="0" w:color="000000"/>
              <w:right w:val="single" w:sz="6" w:space="0" w:color="000000"/>
            </w:tcBorders>
            <w:vAlign w:val="center"/>
          </w:tcPr>
          <w:p w14:paraId="50443DB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500BB4B" w14:textId="77777777" w:rsidR="007D706A" w:rsidRDefault="007D706A" w:rsidP="00F70508">
            <w:pPr>
              <w:pStyle w:val="ParagraphStyle12"/>
              <w:rPr>
                <w:rStyle w:val="CharacterStyle12"/>
              </w:rPr>
            </w:pPr>
            <w:r>
              <w:rPr>
                <w:rStyle w:val="CharacterStyle12"/>
              </w:rPr>
              <w:t>0,00</w:t>
            </w:r>
          </w:p>
        </w:tc>
      </w:tr>
      <w:tr w:rsidR="007D706A" w14:paraId="4055B3A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870EB63" w14:textId="77777777" w:rsidR="007D706A" w:rsidRDefault="007D706A" w:rsidP="00F70508">
            <w:pPr>
              <w:pStyle w:val="ParagraphStyle4"/>
              <w:rPr>
                <w:rStyle w:val="CharacterStyle4"/>
              </w:rPr>
            </w:pPr>
            <w:r>
              <w:rPr>
                <w:rStyle w:val="CharacterStyle4"/>
              </w:rPr>
              <w:t>Aktivnost A103215</w:t>
            </w:r>
          </w:p>
        </w:tc>
        <w:tc>
          <w:tcPr>
            <w:tcW w:w="4995" w:type="dxa"/>
            <w:tcBorders>
              <w:bottom w:val="single" w:sz="6" w:space="0" w:color="000000"/>
              <w:right w:val="single" w:sz="6" w:space="0" w:color="000000"/>
            </w:tcBorders>
            <w:vAlign w:val="center"/>
          </w:tcPr>
          <w:p w14:paraId="4F0325CE" w14:textId="77777777" w:rsidR="007D706A" w:rsidRDefault="007D706A" w:rsidP="00F70508">
            <w:pPr>
              <w:pStyle w:val="ParagraphStyle5"/>
              <w:rPr>
                <w:rStyle w:val="CharacterStyle5"/>
              </w:rPr>
            </w:pPr>
            <w:r>
              <w:rPr>
                <w:rStyle w:val="CharacterStyle5"/>
              </w:rPr>
              <w:t>DNEVNI CENTAR ZA REHABILITACIJU VERUDA-PULA</w:t>
            </w:r>
          </w:p>
        </w:tc>
        <w:tc>
          <w:tcPr>
            <w:tcW w:w="1395" w:type="dxa"/>
            <w:tcBorders>
              <w:bottom w:val="single" w:sz="6" w:space="0" w:color="000000"/>
              <w:right w:val="single" w:sz="6" w:space="0" w:color="000000"/>
            </w:tcBorders>
            <w:vAlign w:val="center"/>
          </w:tcPr>
          <w:p w14:paraId="46CE3ECE"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714C3F0C" w14:textId="77777777" w:rsidR="007D706A" w:rsidRDefault="007D706A" w:rsidP="00F70508">
            <w:pPr>
              <w:pStyle w:val="ParagraphStyle6"/>
              <w:rPr>
                <w:rStyle w:val="CharacterStyle6"/>
              </w:rPr>
            </w:pPr>
            <w:r>
              <w:rPr>
                <w:rStyle w:val="CharacterStyle6"/>
              </w:rPr>
              <w:t>447.323,00</w:t>
            </w:r>
          </w:p>
        </w:tc>
        <w:tc>
          <w:tcPr>
            <w:tcW w:w="1395" w:type="dxa"/>
            <w:tcBorders>
              <w:bottom w:val="single" w:sz="6" w:space="0" w:color="000000"/>
              <w:right w:val="single" w:sz="6" w:space="0" w:color="000000"/>
            </w:tcBorders>
            <w:vAlign w:val="center"/>
          </w:tcPr>
          <w:p w14:paraId="151BA3E0" w14:textId="77777777" w:rsidR="007D706A" w:rsidRDefault="007D706A" w:rsidP="00F70508">
            <w:pPr>
              <w:pStyle w:val="ParagraphStyle6"/>
              <w:rPr>
                <w:rStyle w:val="CharacterStyle6"/>
              </w:rPr>
            </w:pPr>
            <w:r>
              <w:rPr>
                <w:rStyle w:val="CharacterStyle6"/>
              </w:rPr>
              <w:t>72.000,00</w:t>
            </w:r>
          </w:p>
        </w:tc>
        <w:tc>
          <w:tcPr>
            <w:tcW w:w="1395" w:type="dxa"/>
            <w:tcBorders>
              <w:bottom w:val="single" w:sz="6" w:space="0" w:color="000000"/>
              <w:right w:val="single" w:sz="6" w:space="0" w:color="000000"/>
            </w:tcBorders>
            <w:vAlign w:val="center"/>
          </w:tcPr>
          <w:p w14:paraId="606A8D3C" w14:textId="77777777" w:rsidR="007D706A" w:rsidRDefault="007D706A" w:rsidP="00F70508">
            <w:pPr>
              <w:pStyle w:val="ParagraphStyle6"/>
              <w:rPr>
                <w:rStyle w:val="CharacterStyle6"/>
              </w:rPr>
            </w:pPr>
            <w:r>
              <w:rPr>
                <w:rStyle w:val="CharacterStyle6"/>
              </w:rPr>
              <w:t>75.000,00</w:t>
            </w:r>
          </w:p>
        </w:tc>
        <w:tc>
          <w:tcPr>
            <w:tcW w:w="1395" w:type="dxa"/>
            <w:tcBorders>
              <w:bottom w:val="single" w:sz="6" w:space="0" w:color="000000"/>
              <w:right w:val="single" w:sz="6" w:space="0" w:color="000000"/>
            </w:tcBorders>
            <w:vAlign w:val="center"/>
          </w:tcPr>
          <w:p w14:paraId="72B90DDC" w14:textId="77777777" w:rsidR="007D706A" w:rsidRDefault="007D706A" w:rsidP="00F70508">
            <w:pPr>
              <w:pStyle w:val="ParagraphStyle6"/>
              <w:rPr>
                <w:rStyle w:val="CharacterStyle6"/>
              </w:rPr>
            </w:pPr>
            <w:r>
              <w:rPr>
                <w:rStyle w:val="CharacterStyle6"/>
              </w:rPr>
              <w:t>80.000,00</w:t>
            </w:r>
          </w:p>
        </w:tc>
      </w:tr>
      <w:tr w:rsidR="007D706A" w14:paraId="2CE8729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2DAA5FA"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091E2F28"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6603C202"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936B492" w14:textId="77777777" w:rsidR="007D706A" w:rsidRDefault="007D706A" w:rsidP="00F70508">
            <w:pPr>
              <w:pStyle w:val="ParagraphStyle9"/>
              <w:rPr>
                <w:rStyle w:val="CharacterStyle9"/>
              </w:rPr>
            </w:pPr>
            <w:r>
              <w:rPr>
                <w:rStyle w:val="CharacterStyle9"/>
              </w:rPr>
              <w:t>447.323,00</w:t>
            </w:r>
          </w:p>
        </w:tc>
        <w:tc>
          <w:tcPr>
            <w:tcW w:w="1395" w:type="dxa"/>
            <w:tcBorders>
              <w:bottom w:val="single" w:sz="6" w:space="0" w:color="000000"/>
              <w:right w:val="single" w:sz="6" w:space="0" w:color="000000"/>
            </w:tcBorders>
            <w:vAlign w:val="center"/>
          </w:tcPr>
          <w:p w14:paraId="02BA29D2" w14:textId="77777777" w:rsidR="007D706A" w:rsidRDefault="007D706A" w:rsidP="00F70508">
            <w:pPr>
              <w:pStyle w:val="ParagraphStyle9"/>
              <w:rPr>
                <w:rStyle w:val="CharacterStyle9"/>
              </w:rPr>
            </w:pPr>
            <w:r>
              <w:rPr>
                <w:rStyle w:val="CharacterStyle9"/>
              </w:rPr>
              <w:t>72.000,00</w:t>
            </w:r>
          </w:p>
        </w:tc>
        <w:tc>
          <w:tcPr>
            <w:tcW w:w="1395" w:type="dxa"/>
            <w:tcBorders>
              <w:bottom w:val="single" w:sz="6" w:space="0" w:color="000000"/>
              <w:right w:val="single" w:sz="6" w:space="0" w:color="000000"/>
            </w:tcBorders>
            <w:vAlign w:val="center"/>
          </w:tcPr>
          <w:p w14:paraId="3AE31C87" w14:textId="77777777" w:rsidR="007D706A" w:rsidRDefault="007D706A" w:rsidP="00F70508">
            <w:pPr>
              <w:pStyle w:val="ParagraphStyle9"/>
              <w:rPr>
                <w:rStyle w:val="CharacterStyle9"/>
              </w:rPr>
            </w:pPr>
            <w:r>
              <w:rPr>
                <w:rStyle w:val="CharacterStyle9"/>
              </w:rPr>
              <w:t>75.000,00</w:t>
            </w:r>
          </w:p>
        </w:tc>
        <w:tc>
          <w:tcPr>
            <w:tcW w:w="1395" w:type="dxa"/>
            <w:tcBorders>
              <w:bottom w:val="single" w:sz="6" w:space="0" w:color="000000"/>
              <w:right w:val="single" w:sz="6" w:space="0" w:color="000000"/>
            </w:tcBorders>
            <w:vAlign w:val="center"/>
          </w:tcPr>
          <w:p w14:paraId="35CA4C93" w14:textId="77777777" w:rsidR="007D706A" w:rsidRDefault="007D706A" w:rsidP="00F70508">
            <w:pPr>
              <w:pStyle w:val="ParagraphStyle9"/>
              <w:rPr>
                <w:rStyle w:val="CharacterStyle9"/>
              </w:rPr>
            </w:pPr>
            <w:r>
              <w:rPr>
                <w:rStyle w:val="CharacterStyle9"/>
              </w:rPr>
              <w:t>80.000,00</w:t>
            </w:r>
          </w:p>
        </w:tc>
      </w:tr>
      <w:tr w:rsidR="007D706A" w14:paraId="275AA40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C81578F"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3908EC15"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2655A11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E11E9CA" w14:textId="77777777" w:rsidR="007D706A" w:rsidRDefault="007D706A" w:rsidP="00F70508">
            <w:pPr>
              <w:pStyle w:val="ParagraphStyle12"/>
              <w:rPr>
                <w:rStyle w:val="CharacterStyle12"/>
              </w:rPr>
            </w:pPr>
            <w:r>
              <w:rPr>
                <w:rStyle w:val="CharacterStyle12"/>
              </w:rPr>
              <w:t>447.323,00</w:t>
            </w:r>
          </w:p>
        </w:tc>
        <w:tc>
          <w:tcPr>
            <w:tcW w:w="1395" w:type="dxa"/>
            <w:tcBorders>
              <w:bottom w:val="single" w:sz="6" w:space="0" w:color="000000"/>
              <w:right w:val="single" w:sz="6" w:space="0" w:color="000000"/>
            </w:tcBorders>
            <w:vAlign w:val="center"/>
          </w:tcPr>
          <w:p w14:paraId="5042BC94" w14:textId="77777777" w:rsidR="007D706A" w:rsidRDefault="007D706A" w:rsidP="00F70508">
            <w:pPr>
              <w:pStyle w:val="ParagraphStyle12"/>
              <w:rPr>
                <w:rStyle w:val="CharacterStyle12"/>
              </w:rPr>
            </w:pPr>
            <w:r>
              <w:rPr>
                <w:rStyle w:val="CharacterStyle12"/>
              </w:rPr>
              <w:t>72.000,00</w:t>
            </w:r>
          </w:p>
        </w:tc>
        <w:tc>
          <w:tcPr>
            <w:tcW w:w="1395" w:type="dxa"/>
            <w:tcBorders>
              <w:bottom w:val="single" w:sz="6" w:space="0" w:color="000000"/>
              <w:right w:val="single" w:sz="6" w:space="0" w:color="000000"/>
            </w:tcBorders>
            <w:vAlign w:val="center"/>
          </w:tcPr>
          <w:p w14:paraId="2B495D92" w14:textId="77777777" w:rsidR="007D706A" w:rsidRDefault="007D706A" w:rsidP="00F70508">
            <w:pPr>
              <w:pStyle w:val="ParagraphStyle12"/>
              <w:rPr>
                <w:rStyle w:val="CharacterStyle12"/>
              </w:rPr>
            </w:pPr>
            <w:r>
              <w:rPr>
                <w:rStyle w:val="CharacterStyle12"/>
              </w:rPr>
              <w:t>75.000,00</w:t>
            </w:r>
          </w:p>
        </w:tc>
        <w:tc>
          <w:tcPr>
            <w:tcW w:w="1395" w:type="dxa"/>
            <w:tcBorders>
              <w:bottom w:val="single" w:sz="6" w:space="0" w:color="000000"/>
              <w:right w:val="single" w:sz="6" w:space="0" w:color="000000"/>
            </w:tcBorders>
            <w:vAlign w:val="center"/>
          </w:tcPr>
          <w:p w14:paraId="389781C8" w14:textId="77777777" w:rsidR="007D706A" w:rsidRDefault="007D706A" w:rsidP="00F70508">
            <w:pPr>
              <w:pStyle w:val="ParagraphStyle12"/>
              <w:rPr>
                <w:rStyle w:val="CharacterStyle12"/>
              </w:rPr>
            </w:pPr>
            <w:r>
              <w:rPr>
                <w:rStyle w:val="CharacterStyle12"/>
              </w:rPr>
              <w:t>80.000,00</w:t>
            </w:r>
          </w:p>
        </w:tc>
      </w:tr>
      <w:tr w:rsidR="007D706A" w14:paraId="06C7F43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B53A098" w14:textId="77777777" w:rsidR="007D706A" w:rsidRDefault="007D706A" w:rsidP="00F70508">
            <w:pPr>
              <w:pStyle w:val="ParagraphStyle10"/>
              <w:rPr>
                <w:rStyle w:val="CharacterStyle10"/>
              </w:rPr>
            </w:pPr>
            <w:r>
              <w:rPr>
                <w:rStyle w:val="CharacterStyle10"/>
              </w:rPr>
              <w:t>36</w:t>
            </w:r>
          </w:p>
        </w:tc>
        <w:tc>
          <w:tcPr>
            <w:tcW w:w="4995" w:type="dxa"/>
            <w:tcBorders>
              <w:bottom w:val="single" w:sz="6" w:space="0" w:color="000000"/>
              <w:right w:val="single" w:sz="6" w:space="0" w:color="000000"/>
            </w:tcBorders>
            <w:vAlign w:val="center"/>
          </w:tcPr>
          <w:p w14:paraId="3244D152" w14:textId="77777777" w:rsidR="007D706A" w:rsidRDefault="007D706A" w:rsidP="00F70508">
            <w:pPr>
              <w:pStyle w:val="ParagraphStyle11"/>
              <w:rPr>
                <w:rStyle w:val="CharacterStyle11"/>
              </w:rPr>
            </w:pPr>
            <w:r>
              <w:rPr>
                <w:rStyle w:val="CharacterStyle11"/>
              </w:rPr>
              <w:t>Pomoći dane u inozemstvo i unutar općeg proračuna</w:t>
            </w:r>
          </w:p>
        </w:tc>
        <w:tc>
          <w:tcPr>
            <w:tcW w:w="1395" w:type="dxa"/>
            <w:tcBorders>
              <w:bottom w:val="single" w:sz="6" w:space="0" w:color="000000"/>
              <w:right w:val="single" w:sz="6" w:space="0" w:color="000000"/>
            </w:tcBorders>
            <w:vAlign w:val="center"/>
          </w:tcPr>
          <w:p w14:paraId="151EF20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F38F6EC" w14:textId="77777777" w:rsidR="007D706A" w:rsidRDefault="007D706A" w:rsidP="00F70508">
            <w:pPr>
              <w:pStyle w:val="ParagraphStyle12"/>
              <w:rPr>
                <w:rStyle w:val="CharacterStyle12"/>
              </w:rPr>
            </w:pPr>
            <w:r>
              <w:rPr>
                <w:rStyle w:val="CharacterStyle12"/>
              </w:rPr>
              <w:t>447.323,00</w:t>
            </w:r>
          </w:p>
        </w:tc>
        <w:tc>
          <w:tcPr>
            <w:tcW w:w="1395" w:type="dxa"/>
            <w:tcBorders>
              <w:bottom w:val="single" w:sz="6" w:space="0" w:color="000000"/>
              <w:right w:val="single" w:sz="6" w:space="0" w:color="000000"/>
            </w:tcBorders>
            <w:vAlign w:val="center"/>
          </w:tcPr>
          <w:p w14:paraId="2765B4E5" w14:textId="77777777" w:rsidR="007D706A" w:rsidRDefault="007D706A" w:rsidP="00F70508">
            <w:pPr>
              <w:pStyle w:val="ParagraphStyle12"/>
              <w:rPr>
                <w:rStyle w:val="CharacterStyle12"/>
              </w:rPr>
            </w:pPr>
            <w:r>
              <w:rPr>
                <w:rStyle w:val="CharacterStyle12"/>
              </w:rPr>
              <w:t>72.000,00</w:t>
            </w:r>
          </w:p>
        </w:tc>
        <w:tc>
          <w:tcPr>
            <w:tcW w:w="1395" w:type="dxa"/>
            <w:tcBorders>
              <w:bottom w:val="single" w:sz="6" w:space="0" w:color="000000"/>
              <w:right w:val="single" w:sz="6" w:space="0" w:color="000000"/>
            </w:tcBorders>
            <w:vAlign w:val="center"/>
          </w:tcPr>
          <w:p w14:paraId="03D98405" w14:textId="77777777" w:rsidR="007D706A" w:rsidRDefault="007D706A" w:rsidP="00F70508">
            <w:pPr>
              <w:pStyle w:val="ParagraphStyle12"/>
              <w:rPr>
                <w:rStyle w:val="CharacterStyle12"/>
              </w:rPr>
            </w:pPr>
            <w:r>
              <w:rPr>
                <w:rStyle w:val="CharacterStyle12"/>
              </w:rPr>
              <w:t>75.000,00</w:t>
            </w:r>
          </w:p>
        </w:tc>
        <w:tc>
          <w:tcPr>
            <w:tcW w:w="1395" w:type="dxa"/>
            <w:tcBorders>
              <w:bottom w:val="single" w:sz="6" w:space="0" w:color="000000"/>
              <w:right w:val="single" w:sz="6" w:space="0" w:color="000000"/>
            </w:tcBorders>
            <w:vAlign w:val="center"/>
          </w:tcPr>
          <w:p w14:paraId="4AAA6A97" w14:textId="77777777" w:rsidR="007D706A" w:rsidRDefault="007D706A" w:rsidP="00F70508">
            <w:pPr>
              <w:pStyle w:val="ParagraphStyle12"/>
              <w:rPr>
                <w:rStyle w:val="CharacterStyle12"/>
              </w:rPr>
            </w:pPr>
            <w:r>
              <w:rPr>
                <w:rStyle w:val="CharacterStyle12"/>
              </w:rPr>
              <w:t>80.000,00</w:t>
            </w:r>
          </w:p>
        </w:tc>
      </w:tr>
      <w:tr w:rsidR="007D706A" w14:paraId="15E7713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FF138F3" w14:textId="77777777" w:rsidR="007D706A" w:rsidRDefault="007D706A" w:rsidP="00F70508">
            <w:pPr>
              <w:pStyle w:val="ParagraphStyle4"/>
              <w:rPr>
                <w:rStyle w:val="CharacterStyle4"/>
              </w:rPr>
            </w:pPr>
            <w:r>
              <w:rPr>
                <w:rStyle w:val="CharacterStyle4"/>
              </w:rPr>
              <w:t>Aktivnost A103204</w:t>
            </w:r>
          </w:p>
        </w:tc>
        <w:tc>
          <w:tcPr>
            <w:tcW w:w="4995" w:type="dxa"/>
            <w:tcBorders>
              <w:bottom w:val="single" w:sz="6" w:space="0" w:color="000000"/>
              <w:right w:val="single" w:sz="6" w:space="0" w:color="000000"/>
            </w:tcBorders>
            <w:vAlign w:val="center"/>
          </w:tcPr>
          <w:p w14:paraId="2422A0FD" w14:textId="77777777" w:rsidR="007D706A" w:rsidRDefault="007D706A" w:rsidP="00F70508">
            <w:pPr>
              <w:pStyle w:val="ParagraphStyle5"/>
              <w:rPr>
                <w:rStyle w:val="CharacterStyle5"/>
              </w:rPr>
            </w:pPr>
            <w:r>
              <w:rPr>
                <w:rStyle w:val="CharacterStyle5"/>
              </w:rPr>
              <w:t>JEDNOKRATNE POMOĆI ZA NOVOROĐENČAD</w:t>
            </w:r>
          </w:p>
        </w:tc>
        <w:tc>
          <w:tcPr>
            <w:tcW w:w="1395" w:type="dxa"/>
            <w:tcBorders>
              <w:bottom w:val="single" w:sz="6" w:space="0" w:color="000000"/>
              <w:right w:val="single" w:sz="6" w:space="0" w:color="000000"/>
            </w:tcBorders>
            <w:vAlign w:val="center"/>
          </w:tcPr>
          <w:p w14:paraId="5F86D42A"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52862952" w14:textId="77777777" w:rsidR="007D706A" w:rsidRDefault="007D706A" w:rsidP="00F70508">
            <w:pPr>
              <w:pStyle w:val="ParagraphStyle6"/>
              <w:rPr>
                <w:rStyle w:val="CharacterStyle6"/>
              </w:rPr>
            </w:pPr>
            <w:r>
              <w:rPr>
                <w:rStyle w:val="CharacterStyle6"/>
              </w:rPr>
              <w:t>50.000,00</w:t>
            </w:r>
          </w:p>
        </w:tc>
        <w:tc>
          <w:tcPr>
            <w:tcW w:w="1395" w:type="dxa"/>
            <w:tcBorders>
              <w:bottom w:val="single" w:sz="6" w:space="0" w:color="000000"/>
              <w:right w:val="single" w:sz="6" w:space="0" w:color="000000"/>
            </w:tcBorders>
            <w:vAlign w:val="center"/>
          </w:tcPr>
          <w:p w14:paraId="7FEC155D" w14:textId="77777777" w:rsidR="007D706A" w:rsidRDefault="007D706A" w:rsidP="00F70508">
            <w:pPr>
              <w:pStyle w:val="ParagraphStyle6"/>
              <w:rPr>
                <w:rStyle w:val="CharacterStyle6"/>
              </w:rPr>
            </w:pPr>
            <w:r>
              <w:rPr>
                <w:rStyle w:val="CharacterStyle6"/>
              </w:rPr>
              <w:t>55.000,00</w:t>
            </w:r>
          </w:p>
        </w:tc>
        <w:tc>
          <w:tcPr>
            <w:tcW w:w="1395" w:type="dxa"/>
            <w:tcBorders>
              <w:bottom w:val="single" w:sz="6" w:space="0" w:color="000000"/>
              <w:right w:val="single" w:sz="6" w:space="0" w:color="000000"/>
            </w:tcBorders>
            <w:vAlign w:val="center"/>
          </w:tcPr>
          <w:p w14:paraId="1EFC842D" w14:textId="77777777" w:rsidR="007D706A" w:rsidRDefault="007D706A" w:rsidP="00F70508">
            <w:pPr>
              <w:pStyle w:val="ParagraphStyle6"/>
              <w:rPr>
                <w:rStyle w:val="CharacterStyle6"/>
              </w:rPr>
            </w:pPr>
            <w:r>
              <w:rPr>
                <w:rStyle w:val="CharacterStyle6"/>
              </w:rPr>
              <w:t>60.000,00</w:t>
            </w:r>
          </w:p>
        </w:tc>
        <w:tc>
          <w:tcPr>
            <w:tcW w:w="1395" w:type="dxa"/>
            <w:tcBorders>
              <w:bottom w:val="single" w:sz="6" w:space="0" w:color="000000"/>
              <w:right w:val="single" w:sz="6" w:space="0" w:color="000000"/>
            </w:tcBorders>
            <w:vAlign w:val="center"/>
          </w:tcPr>
          <w:p w14:paraId="586781B2" w14:textId="77777777" w:rsidR="007D706A" w:rsidRDefault="007D706A" w:rsidP="00F70508">
            <w:pPr>
              <w:pStyle w:val="ParagraphStyle6"/>
              <w:rPr>
                <w:rStyle w:val="CharacterStyle6"/>
              </w:rPr>
            </w:pPr>
            <w:r>
              <w:rPr>
                <w:rStyle w:val="CharacterStyle6"/>
              </w:rPr>
              <w:t>65.000,00</w:t>
            </w:r>
          </w:p>
        </w:tc>
      </w:tr>
      <w:tr w:rsidR="007D706A" w14:paraId="1BB39D2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AEF25DE"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738C9C26"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744F4A39"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0DF669E" w14:textId="77777777" w:rsidR="007D706A" w:rsidRDefault="007D706A" w:rsidP="00F70508">
            <w:pPr>
              <w:pStyle w:val="ParagraphStyle9"/>
              <w:rPr>
                <w:rStyle w:val="CharacterStyle9"/>
              </w:rPr>
            </w:pPr>
            <w:r>
              <w:rPr>
                <w:rStyle w:val="CharacterStyle9"/>
              </w:rPr>
              <w:t>50.000,00</w:t>
            </w:r>
          </w:p>
        </w:tc>
        <w:tc>
          <w:tcPr>
            <w:tcW w:w="1395" w:type="dxa"/>
            <w:tcBorders>
              <w:bottom w:val="single" w:sz="6" w:space="0" w:color="000000"/>
              <w:right w:val="single" w:sz="6" w:space="0" w:color="000000"/>
            </w:tcBorders>
            <w:vAlign w:val="center"/>
          </w:tcPr>
          <w:p w14:paraId="35708341" w14:textId="77777777" w:rsidR="007D706A" w:rsidRDefault="007D706A" w:rsidP="00F70508">
            <w:pPr>
              <w:pStyle w:val="ParagraphStyle9"/>
              <w:rPr>
                <w:rStyle w:val="CharacterStyle9"/>
              </w:rPr>
            </w:pPr>
            <w:r>
              <w:rPr>
                <w:rStyle w:val="CharacterStyle9"/>
              </w:rPr>
              <w:t>55.000,00</w:t>
            </w:r>
          </w:p>
        </w:tc>
        <w:tc>
          <w:tcPr>
            <w:tcW w:w="1395" w:type="dxa"/>
            <w:tcBorders>
              <w:bottom w:val="single" w:sz="6" w:space="0" w:color="000000"/>
              <w:right w:val="single" w:sz="6" w:space="0" w:color="000000"/>
            </w:tcBorders>
            <w:vAlign w:val="center"/>
          </w:tcPr>
          <w:p w14:paraId="386835DF" w14:textId="77777777" w:rsidR="007D706A" w:rsidRDefault="007D706A" w:rsidP="00F70508">
            <w:pPr>
              <w:pStyle w:val="ParagraphStyle9"/>
              <w:rPr>
                <w:rStyle w:val="CharacterStyle9"/>
              </w:rPr>
            </w:pPr>
            <w:r>
              <w:rPr>
                <w:rStyle w:val="CharacterStyle9"/>
              </w:rPr>
              <w:t>60.000,00</w:t>
            </w:r>
          </w:p>
        </w:tc>
        <w:tc>
          <w:tcPr>
            <w:tcW w:w="1395" w:type="dxa"/>
            <w:tcBorders>
              <w:bottom w:val="single" w:sz="6" w:space="0" w:color="000000"/>
              <w:right w:val="single" w:sz="6" w:space="0" w:color="000000"/>
            </w:tcBorders>
            <w:vAlign w:val="center"/>
          </w:tcPr>
          <w:p w14:paraId="10E77D03" w14:textId="77777777" w:rsidR="007D706A" w:rsidRDefault="007D706A" w:rsidP="00F70508">
            <w:pPr>
              <w:pStyle w:val="ParagraphStyle9"/>
              <w:rPr>
                <w:rStyle w:val="CharacterStyle9"/>
              </w:rPr>
            </w:pPr>
            <w:r>
              <w:rPr>
                <w:rStyle w:val="CharacterStyle9"/>
              </w:rPr>
              <w:t>65.000,00</w:t>
            </w:r>
          </w:p>
        </w:tc>
      </w:tr>
      <w:tr w:rsidR="007D706A" w14:paraId="7B7B29D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49FC7F0"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10C630EF"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1E50062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F0820DD" w14:textId="77777777" w:rsidR="007D706A" w:rsidRDefault="007D706A" w:rsidP="00F70508">
            <w:pPr>
              <w:pStyle w:val="ParagraphStyle12"/>
              <w:rPr>
                <w:rStyle w:val="CharacterStyle12"/>
              </w:rPr>
            </w:pPr>
            <w:r>
              <w:rPr>
                <w:rStyle w:val="CharacterStyle12"/>
              </w:rPr>
              <w:t>50.000,00</w:t>
            </w:r>
          </w:p>
        </w:tc>
        <w:tc>
          <w:tcPr>
            <w:tcW w:w="1395" w:type="dxa"/>
            <w:tcBorders>
              <w:bottom w:val="single" w:sz="6" w:space="0" w:color="000000"/>
              <w:right w:val="single" w:sz="6" w:space="0" w:color="000000"/>
            </w:tcBorders>
            <w:vAlign w:val="center"/>
          </w:tcPr>
          <w:p w14:paraId="75E1A84E" w14:textId="77777777" w:rsidR="007D706A" w:rsidRDefault="007D706A" w:rsidP="00F70508">
            <w:pPr>
              <w:pStyle w:val="ParagraphStyle12"/>
              <w:rPr>
                <w:rStyle w:val="CharacterStyle12"/>
              </w:rPr>
            </w:pPr>
            <w:r>
              <w:rPr>
                <w:rStyle w:val="CharacterStyle12"/>
              </w:rPr>
              <w:t>55.000,00</w:t>
            </w:r>
          </w:p>
        </w:tc>
        <w:tc>
          <w:tcPr>
            <w:tcW w:w="1395" w:type="dxa"/>
            <w:tcBorders>
              <w:bottom w:val="single" w:sz="6" w:space="0" w:color="000000"/>
              <w:right w:val="single" w:sz="6" w:space="0" w:color="000000"/>
            </w:tcBorders>
            <w:vAlign w:val="center"/>
          </w:tcPr>
          <w:p w14:paraId="6D02B96F" w14:textId="77777777" w:rsidR="007D706A" w:rsidRDefault="007D706A" w:rsidP="00F70508">
            <w:pPr>
              <w:pStyle w:val="ParagraphStyle12"/>
              <w:rPr>
                <w:rStyle w:val="CharacterStyle12"/>
              </w:rPr>
            </w:pPr>
            <w:r>
              <w:rPr>
                <w:rStyle w:val="CharacterStyle12"/>
              </w:rPr>
              <w:t>60.000,00</w:t>
            </w:r>
          </w:p>
        </w:tc>
        <w:tc>
          <w:tcPr>
            <w:tcW w:w="1395" w:type="dxa"/>
            <w:tcBorders>
              <w:bottom w:val="single" w:sz="6" w:space="0" w:color="000000"/>
              <w:right w:val="single" w:sz="6" w:space="0" w:color="000000"/>
            </w:tcBorders>
            <w:vAlign w:val="center"/>
          </w:tcPr>
          <w:p w14:paraId="1C90D655" w14:textId="77777777" w:rsidR="007D706A" w:rsidRDefault="007D706A" w:rsidP="00F70508">
            <w:pPr>
              <w:pStyle w:val="ParagraphStyle12"/>
              <w:rPr>
                <w:rStyle w:val="CharacterStyle12"/>
              </w:rPr>
            </w:pPr>
            <w:r>
              <w:rPr>
                <w:rStyle w:val="CharacterStyle12"/>
              </w:rPr>
              <w:t>65.000,00</w:t>
            </w:r>
          </w:p>
        </w:tc>
      </w:tr>
      <w:tr w:rsidR="007D706A" w14:paraId="68A65817" w14:textId="77777777" w:rsidTr="00F70508">
        <w:trPr>
          <w:trHeight w:val="420"/>
        </w:trPr>
        <w:tc>
          <w:tcPr>
            <w:tcW w:w="2880" w:type="dxa"/>
            <w:tcBorders>
              <w:left w:val="single" w:sz="6" w:space="0" w:color="000000"/>
              <w:bottom w:val="single" w:sz="6" w:space="0" w:color="000000"/>
              <w:right w:val="single" w:sz="6" w:space="0" w:color="000000"/>
            </w:tcBorders>
            <w:vAlign w:val="center"/>
          </w:tcPr>
          <w:p w14:paraId="3F01B27E" w14:textId="77777777" w:rsidR="007D706A" w:rsidRDefault="007D706A" w:rsidP="00F70508">
            <w:pPr>
              <w:pStyle w:val="ParagraphStyle10"/>
              <w:rPr>
                <w:rStyle w:val="CharacterStyle10"/>
              </w:rPr>
            </w:pPr>
            <w:r>
              <w:rPr>
                <w:rStyle w:val="CharacterStyle10"/>
              </w:rPr>
              <w:t>37</w:t>
            </w:r>
          </w:p>
        </w:tc>
        <w:tc>
          <w:tcPr>
            <w:tcW w:w="4995" w:type="dxa"/>
            <w:tcBorders>
              <w:bottom w:val="single" w:sz="6" w:space="0" w:color="000000"/>
              <w:right w:val="single" w:sz="6" w:space="0" w:color="000000"/>
            </w:tcBorders>
            <w:vAlign w:val="center"/>
          </w:tcPr>
          <w:p w14:paraId="3F295009" w14:textId="77777777" w:rsidR="007D706A" w:rsidRDefault="007D706A" w:rsidP="00F70508">
            <w:pPr>
              <w:pStyle w:val="ParagraphStyle11"/>
              <w:rPr>
                <w:rStyle w:val="CharacterStyle11"/>
              </w:rPr>
            </w:pPr>
            <w:r>
              <w:rPr>
                <w:rStyle w:val="CharacterStyle11"/>
              </w:rPr>
              <w:t>Naknade građanima i kućanstvima na temelju osiguranja i druge naknade</w:t>
            </w:r>
          </w:p>
        </w:tc>
        <w:tc>
          <w:tcPr>
            <w:tcW w:w="1395" w:type="dxa"/>
            <w:tcBorders>
              <w:bottom w:val="single" w:sz="6" w:space="0" w:color="000000"/>
              <w:right w:val="single" w:sz="6" w:space="0" w:color="000000"/>
            </w:tcBorders>
            <w:vAlign w:val="center"/>
          </w:tcPr>
          <w:p w14:paraId="2EF02EF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F461DA2" w14:textId="77777777" w:rsidR="007D706A" w:rsidRDefault="007D706A" w:rsidP="00F70508">
            <w:pPr>
              <w:pStyle w:val="ParagraphStyle12"/>
              <w:rPr>
                <w:rStyle w:val="CharacterStyle12"/>
              </w:rPr>
            </w:pPr>
            <w:r>
              <w:rPr>
                <w:rStyle w:val="CharacterStyle12"/>
              </w:rPr>
              <w:t>50.000,00</w:t>
            </w:r>
          </w:p>
        </w:tc>
        <w:tc>
          <w:tcPr>
            <w:tcW w:w="1395" w:type="dxa"/>
            <w:tcBorders>
              <w:bottom w:val="single" w:sz="6" w:space="0" w:color="000000"/>
              <w:right w:val="single" w:sz="6" w:space="0" w:color="000000"/>
            </w:tcBorders>
            <w:vAlign w:val="center"/>
          </w:tcPr>
          <w:p w14:paraId="4FEBA545" w14:textId="77777777" w:rsidR="007D706A" w:rsidRDefault="007D706A" w:rsidP="00F70508">
            <w:pPr>
              <w:pStyle w:val="ParagraphStyle12"/>
              <w:rPr>
                <w:rStyle w:val="CharacterStyle12"/>
              </w:rPr>
            </w:pPr>
            <w:r>
              <w:rPr>
                <w:rStyle w:val="CharacterStyle12"/>
              </w:rPr>
              <w:t>55.000,00</w:t>
            </w:r>
          </w:p>
        </w:tc>
        <w:tc>
          <w:tcPr>
            <w:tcW w:w="1395" w:type="dxa"/>
            <w:tcBorders>
              <w:bottom w:val="single" w:sz="6" w:space="0" w:color="000000"/>
              <w:right w:val="single" w:sz="6" w:space="0" w:color="000000"/>
            </w:tcBorders>
            <w:vAlign w:val="center"/>
          </w:tcPr>
          <w:p w14:paraId="1E30249B" w14:textId="77777777" w:rsidR="007D706A" w:rsidRDefault="007D706A" w:rsidP="00F70508">
            <w:pPr>
              <w:pStyle w:val="ParagraphStyle12"/>
              <w:rPr>
                <w:rStyle w:val="CharacterStyle12"/>
              </w:rPr>
            </w:pPr>
            <w:r>
              <w:rPr>
                <w:rStyle w:val="CharacterStyle12"/>
              </w:rPr>
              <w:t>60.000,00</w:t>
            </w:r>
          </w:p>
        </w:tc>
        <w:tc>
          <w:tcPr>
            <w:tcW w:w="1395" w:type="dxa"/>
            <w:tcBorders>
              <w:bottom w:val="single" w:sz="6" w:space="0" w:color="000000"/>
              <w:right w:val="single" w:sz="6" w:space="0" w:color="000000"/>
            </w:tcBorders>
            <w:vAlign w:val="center"/>
          </w:tcPr>
          <w:p w14:paraId="37F90E4C" w14:textId="77777777" w:rsidR="007D706A" w:rsidRDefault="007D706A" w:rsidP="00F70508">
            <w:pPr>
              <w:pStyle w:val="ParagraphStyle12"/>
              <w:rPr>
                <w:rStyle w:val="CharacterStyle12"/>
              </w:rPr>
            </w:pPr>
            <w:r>
              <w:rPr>
                <w:rStyle w:val="CharacterStyle12"/>
              </w:rPr>
              <w:t>65.000,00</w:t>
            </w:r>
          </w:p>
        </w:tc>
      </w:tr>
      <w:tr w:rsidR="007D706A" w14:paraId="600D1D76"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08E6C6E" w14:textId="77777777" w:rsidR="007D706A" w:rsidRDefault="007D706A" w:rsidP="00F70508">
            <w:pPr>
              <w:pStyle w:val="ParagraphStyle4"/>
              <w:rPr>
                <w:rStyle w:val="CharacterStyle4"/>
              </w:rPr>
            </w:pPr>
            <w:r>
              <w:rPr>
                <w:rStyle w:val="CharacterStyle4"/>
              </w:rPr>
              <w:t>Aktivnost A103217</w:t>
            </w:r>
          </w:p>
        </w:tc>
        <w:tc>
          <w:tcPr>
            <w:tcW w:w="4995" w:type="dxa"/>
            <w:tcBorders>
              <w:bottom w:val="single" w:sz="6" w:space="0" w:color="000000"/>
              <w:right w:val="single" w:sz="6" w:space="0" w:color="000000"/>
            </w:tcBorders>
            <w:vAlign w:val="center"/>
          </w:tcPr>
          <w:p w14:paraId="02E29E64" w14:textId="77777777" w:rsidR="007D706A" w:rsidRDefault="007D706A" w:rsidP="00F70508">
            <w:pPr>
              <w:pStyle w:val="ParagraphStyle5"/>
              <w:rPr>
                <w:rStyle w:val="CharacterStyle5"/>
              </w:rPr>
            </w:pPr>
            <w:r>
              <w:rPr>
                <w:rStyle w:val="CharacterStyle5"/>
              </w:rPr>
              <w:t>AKTIVNOSTI UDRUGA OSOBA S INVALIDITETOM</w:t>
            </w:r>
          </w:p>
        </w:tc>
        <w:tc>
          <w:tcPr>
            <w:tcW w:w="1395" w:type="dxa"/>
            <w:tcBorders>
              <w:bottom w:val="single" w:sz="6" w:space="0" w:color="000000"/>
              <w:right w:val="single" w:sz="6" w:space="0" w:color="000000"/>
            </w:tcBorders>
            <w:vAlign w:val="center"/>
          </w:tcPr>
          <w:p w14:paraId="4AE3216B"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0685DD78" w14:textId="77777777" w:rsidR="007D706A" w:rsidRDefault="007D706A" w:rsidP="00F70508">
            <w:pPr>
              <w:pStyle w:val="ParagraphStyle6"/>
              <w:rPr>
                <w:rStyle w:val="CharacterStyle6"/>
              </w:rPr>
            </w:pPr>
            <w:r>
              <w:rPr>
                <w:rStyle w:val="CharacterStyle6"/>
              </w:rPr>
              <w:t>65.000,00</w:t>
            </w:r>
          </w:p>
        </w:tc>
        <w:tc>
          <w:tcPr>
            <w:tcW w:w="1395" w:type="dxa"/>
            <w:tcBorders>
              <w:bottom w:val="single" w:sz="6" w:space="0" w:color="000000"/>
              <w:right w:val="single" w:sz="6" w:space="0" w:color="000000"/>
            </w:tcBorders>
            <w:vAlign w:val="center"/>
          </w:tcPr>
          <w:p w14:paraId="588DF5AC" w14:textId="77777777" w:rsidR="007D706A" w:rsidRDefault="007D706A" w:rsidP="00F70508">
            <w:pPr>
              <w:pStyle w:val="ParagraphStyle6"/>
              <w:rPr>
                <w:rStyle w:val="CharacterStyle6"/>
              </w:rPr>
            </w:pPr>
            <w:r>
              <w:rPr>
                <w:rStyle w:val="CharacterStyle6"/>
              </w:rPr>
              <w:t>73.000,00</w:t>
            </w:r>
          </w:p>
        </w:tc>
        <w:tc>
          <w:tcPr>
            <w:tcW w:w="1395" w:type="dxa"/>
            <w:tcBorders>
              <w:bottom w:val="single" w:sz="6" w:space="0" w:color="000000"/>
              <w:right w:val="single" w:sz="6" w:space="0" w:color="000000"/>
            </w:tcBorders>
            <w:vAlign w:val="center"/>
          </w:tcPr>
          <w:p w14:paraId="5916A059" w14:textId="77777777" w:rsidR="007D706A" w:rsidRDefault="007D706A" w:rsidP="00F70508">
            <w:pPr>
              <w:pStyle w:val="ParagraphStyle6"/>
              <w:rPr>
                <w:rStyle w:val="CharacterStyle6"/>
              </w:rPr>
            </w:pPr>
            <w:r>
              <w:rPr>
                <w:rStyle w:val="CharacterStyle6"/>
              </w:rPr>
              <w:t>75.000,00</w:t>
            </w:r>
          </w:p>
        </w:tc>
        <w:tc>
          <w:tcPr>
            <w:tcW w:w="1395" w:type="dxa"/>
            <w:tcBorders>
              <w:bottom w:val="single" w:sz="6" w:space="0" w:color="000000"/>
              <w:right w:val="single" w:sz="6" w:space="0" w:color="000000"/>
            </w:tcBorders>
            <w:vAlign w:val="center"/>
          </w:tcPr>
          <w:p w14:paraId="54126081" w14:textId="77777777" w:rsidR="007D706A" w:rsidRDefault="007D706A" w:rsidP="00F70508">
            <w:pPr>
              <w:pStyle w:val="ParagraphStyle6"/>
              <w:rPr>
                <w:rStyle w:val="CharacterStyle6"/>
              </w:rPr>
            </w:pPr>
            <w:r>
              <w:rPr>
                <w:rStyle w:val="CharacterStyle6"/>
              </w:rPr>
              <w:t>78.000,00</w:t>
            </w:r>
          </w:p>
        </w:tc>
      </w:tr>
      <w:tr w:rsidR="007D706A" w14:paraId="51F73C3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2302795"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3C6B78AA"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0200DD37"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6333715" w14:textId="77777777" w:rsidR="007D706A" w:rsidRDefault="007D706A" w:rsidP="00F70508">
            <w:pPr>
              <w:pStyle w:val="ParagraphStyle9"/>
              <w:rPr>
                <w:rStyle w:val="CharacterStyle9"/>
              </w:rPr>
            </w:pPr>
            <w:r>
              <w:rPr>
                <w:rStyle w:val="CharacterStyle9"/>
              </w:rPr>
              <w:t>65.000,00</w:t>
            </w:r>
          </w:p>
        </w:tc>
        <w:tc>
          <w:tcPr>
            <w:tcW w:w="1395" w:type="dxa"/>
            <w:tcBorders>
              <w:bottom w:val="single" w:sz="6" w:space="0" w:color="000000"/>
              <w:right w:val="single" w:sz="6" w:space="0" w:color="000000"/>
            </w:tcBorders>
            <w:vAlign w:val="center"/>
          </w:tcPr>
          <w:p w14:paraId="25D51200" w14:textId="77777777" w:rsidR="007D706A" w:rsidRDefault="007D706A" w:rsidP="00F70508">
            <w:pPr>
              <w:pStyle w:val="ParagraphStyle9"/>
              <w:rPr>
                <w:rStyle w:val="CharacterStyle9"/>
              </w:rPr>
            </w:pPr>
            <w:r>
              <w:rPr>
                <w:rStyle w:val="CharacterStyle9"/>
              </w:rPr>
              <w:t>73.000,00</w:t>
            </w:r>
          </w:p>
        </w:tc>
        <w:tc>
          <w:tcPr>
            <w:tcW w:w="1395" w:type="dxa"/>
            <w:tcBorders>
              <w:bottom w:val="single" w:sz="6" w:space="0" w:color="000000"/>
              <w:right w:val="single" w:sz="6" w:space="0" w:color="000000"/>
            </w:tcBorders>
            <w:vAlign w:val="center"/>
          </w:tcPr>
          <w:p w14:paraId="7A204DA8" w14:textId="77777777" w:rsidR="007D706A" w:rsidRDefault="007D706A" w:rsidP="00F70508">
            <w:pPr>
              <w:pStyle w:val="ParagraphStyle9"/>
              <w:rPr>
                <w:rStyle w:val="CharacterStyle9"/>
              </w:rPr>
            </w:pPr>
            <w:r>
              <w:rPr>
                <w:rStyle w:val="CharacterStyle9"/>
              </w:rPr>
              <w:t>75.000,00</w:t>
            </w:r>
          </w:p>
        </w:tc>
        <w:tc>
          <w:tcPr>
            <w:tcW w:w="1395" w:type="dxa"/>
            <w:tcBorders>
              <w:bottom w:val="single" w:sz="6" w:space="0" w:color="000000"/>
              <w:right w:val="single" w:sz="6" w:space="0" w:color="000000"/>
            </w:tcBorders>
            <w:vAlign w:val="center"/>
          </w:tcPr>
          <w:p w14:paraId="4450270F" w14:textId="77777777" w:rsidR="007D706A" w:rsidRDefault="007D706A" w:rsidP="00F70508">
            <w:pPr>
              <w:pStyle w:val="ParagraphStyle9"/>
              <w:rPr>
                <w:rStyle w:val="CharacterStyle9"/>
              </w:rPr>
            </w:pPr>
            <w:r>
              <w:rPr>
                <w:rStyle w:val="CharacterStyle9"/>
              </w:rPr>
              <w:t>78.000,00</w:t>
            </w:r>
          </w:p>
        </w:tc>
      </w:tr>
      <w:tr w:rsidR="007D706A" w14:paraId="0C0644B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4CD2A86"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1DE520C9"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7A278B2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A11F942" w14:textId="77777777" w:rsidR="007D706A" w:rsidRDefault="007D706A" w:rsidP="00F70508">
            <w:pPr>
              <w:pStyle w:val="ParagraphStyle12"/>
              <w:rPr>
                <w:rStyle w:val="CharacterStyle12"/>
              </w:rPr>
            </w:pPr>
            <w:r>
              <w:rPr>
                <w:rStyle w:val="CharacterStyle12"/>
              </w:rPr>
              <w:t>65.000,00</w:t>
            </w:r>
          </w:p>
        </w:tc>
        <w:tc>
          <w:tcPr>
            <w:tcW w:w="1395" w:type="dxa"/>
            <w:tcBorders>
              <w:bottom w:val="single" w:sz="6" w:space="0" w:color="000000"/>
              <w:right w:val="single" w:sz="6" w:space="0" w:color="000000"/>
            </w:tcBorders>
            <w:vAlign w:val="center"/>
          </w:tcPr>
          <w:p w14:paraId="7E944BB0" w14:textId="77777777" w:rsidR="007D706A" w:rsidRDefault="007D706A" w:rsidP="00F70508">
            <w:pPr>
              <w:pStyle w:val="ParagraphStyle12"/>
              <w:rPr>
                <w:rStyle w:val="CharacterStyle12"/>
              </w:rPr>
            </w:pPr>
            <w:r>
              <w:rPr>
                <w:rStyle w:val="CharacterStyle12"/>
              </w:rPr>
              <w:t>73.000,00</w:t>
            </w:r>
          </w:p>
        </w:tc>
        <w:tc>
          <w:tcPr>
            <w:tcW w:w="1395" w:type="dxa"/>
            <w:tcBorders>
              <w:bottom w:val="single" w:sz="6" w:space="0" w:color="000000"/>
              <w:right w:val="single" w:sz="6" w:space="0" w:color="000000"/>
            </w:tcBorders>
            <w:vAlign w:val="center"/>
          </w:tcPr>
          <w:p w14:paraId="1A28A2AA" w14:textId="77777777" w:rsidR="007D706A" w:rsidRDefault="007D706A" w:rsidP="00F70508">
            <w:pPr>
              <w:pStyle w:val="ParagraphStyle12"/>
              <w:rPr>
                <w:rStyle w:val="CharacterStyle12"/>
              </w:rPr>
            </w:pPr>
            <w:r>
              <w:rPr>
                <w:rStyle w:val="CharacterStyle12"/>
              </w:rPr>
              <w:t>75.000,00</w:t>
            </w:r>
          </w:p>
        </w:tc>
        <w:tc>
          <w:tcPr>
            <w:tcW w:w="1395" w:type="dxa"/>
            <w:tcBorders>
              <w:bottom w:val="single" w:sz="6" w:space="0" w:color="000000"/>
              <w:right w:val="single" w:sz="6" w:space="0" w:color="000000"/>
            </w:tcBorders>
            <w:vAlign w:val="center"/>
          </w:tcPr>
          <w:p w14:paraId="23F513D3" w14:textId="77777777" w:rsidR="007D706A" w:rsidRDefault="007D706A" w:rsidP="00F70508">
            <w:pPr>
              <w:pStyle w:val="ParagraphStyle12"/>
              <w:rPr>
                <w:rStyle w:val="CharacterStyle12"/>
              </w:rPr>
            </w:pPr>
            <w:r>
              <w:rPr>
                <w:rStyle w:val="CharacterStyle12"/>
              </w:rPr>
              <w:t>78.000,00</w:t>
            </w:r>
          </w:p>
        </w:tc>
      </w:tr>
      <w:tr w:rsidR="007D706A" w14:paraId="59E0ACD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788049D" w14:textId="77777777" w:rsidR="007D706A" w:rsidRDefault="007D706A" w:rsidP="00F70508">
            <w:pPr>
              <w:pStyle w:val="ParagraphStyle10"/>
              <w:rPr>
                <w:rStyle w:val="CharacterStyle10"/>
              </w:rPr>
            </w:pPr>
            <w:r>
              <w:rPr>
                <w:rStyle w:val="CharacterStyle10"/>
              </w:rPr>
              <w:t>38</w:t>
            </w:r>
          </w:p>
        </w:tc>
        <w:tc>
          <w:tcPr>
            <w:tcW w:w="4995" w:type="dxa"/>
            <w:tcBorders>
              <w:bottom w:val="single" w:sz="6" w:space="0" w:color="000000"/>
              <w:right w:val="single" w:sz="6" w:space="0" w:color="000000"/>
            </w:tcBorders>
            <w:vAlign w:val="center"/>
          </w:tcPr>
          <w:p w14:paraId="6825E1D6" w14:textId="77777777" w:rsidR="007D706A" w:rsidRDefault="007D706A" w:rsidP="00F70508">
            <w:pPr>
              <w:pStyle w:val="ParagraphStyle11"/>
              <w:rPr>
                <w:rStyle w:val="CharacterStyle11"/>
              </w:rPr>
            </w:pPr>
            <w:r>
              <w:rPr>
                <w:rStyle w:val="CharacterStyle11"/>
              </w:rPr>
              <w:t>Rashodi za donacije, kazne, naknade šteta i kapitalne pomoći</w:t>
            </w:r>
          </w:p>
        </w:tc>
        <w:tc>
          <w:tcPr>
            <w:tcW w:w="1395" w:type="dxa"/>
            <w:tcBorders>
              <w:bottom w:val="single" w:sz="6" w:space="0" w:color="000000"/>
              <w:right w:val="single" w:sz="6" w:space="0" w:color="000000"/>
            </w:tcBorders>
            <w:vAlign w:val="center"/>
          </w:tcPr>
          <w:p w14:paraId="1055B0A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2679FD5" w14:textId="77777777" w:rsidR="007D706A" w:rsidRDefault="007D706A" w:rsidP="00F70508">
            <w:pPr>
              <w:pStyle w:val="ParagraphStyle12"/>
              <w:rPr>
                <w:rStyle w:val="CharacterStyle12"/>
              </w:rPr>
            </w:pPr>
            <w:r>
              <w:rPr>
                <w:rStyle w:val="CharacterStyle12"/>
              </w:rPr>
              <w:t>65.000,00</w:t>
            </w:r>
          </w:p>
        </w:tc>
        <w:tc>
          <w:tcPr>
            <w:tcW w:w="1395" w:type="dxa"/>
            <w:tcBorders>
              <w:bottom w:val="single" w:sz="6" w:space="0" w:color="000000"/>
              <w:right w:val="single" w:sz="6" w:space="0" w:color="000000"/>
            </w:tcBorders>
            <w:vAlign w:val="center"/>
          </w:tcPr>
          <w:p w14:paraId="1C6B970E" w14:textId="77777777" w:rsidR="007D706A" w:rsidRDefault="007D706A" w:rsidP="00F70508">
            <w:pPr>
              <w:pStyle w:val="ParagraphStyle12"/>
              <w:rPr>
                <w:rStyle w:val="CharacterStyle12"/>
              </w:rPr>
            </w:pPr>
            <w:r>
              <w:rPr>
                <w:rStyle w:val="CharacterStyle12"/>
              </w:rPr>
              <w:t>73.000,00</w:t>
            </w:r>
          </w:p>
        </w:tc>
        <w:tc>
          <w:tcPr>
            <w:tcW w:w="1395" w:type="dxa"/>
            <w:tcBorders>
              <w:bottom w:val="single" w:sz="6" w:space="0" w:color="000000"/>
              <w:right w:val="single" w:sz="6" w:space="0" w:color="000000"/>
            </w:tcBorders>
            <w:vAlign w:val="center"/>
          </w:tcPr>
          <w:p w14:paraId="668EC468" w14:textId="77777777" w:rsidR="007D706A" w:rsidRDefault="007D706A" w:rsidP="00F70508">
            <w:pPr>
              <w:pStyle w:val="ParagraphStyle12"/>
              <w:rPr>
                <w:rStyle w:val="CharacterStyle12"/>
              </w:rPr>
            </w:pPr>
            <w:r>
              <w:rPr>
                <w:rStyle w:val="CharacterStyle12"/>
              </w:rPr>
              <w:t>75.000,00</w:t>
            </w:r>
          </w:p>
        </w:tc>
        <w:tc>
          <w:tcPr>
            <w:tcW w:w="1395" w:type="dxa"/>
            <w:tcBorders>
              <w:bottom w:val="single" w:sz="6" w:space="0" w:color="000000"/>
              <w:right w:val="single" w:sz="6" w:space="0" w:color="000000"/>
            </w:tcBorders>
            <w:vAlign w:val="center"/>
          </w:tcPr>
          <w:p w14:paraId="0E11BF32" w14:textId="77777777" w:rsidR="007D706A" w:rsidRDefault="007D706A" w:rsidP="00F70508">
            <w:pPr>
              <w:pStyle w:val="ParagraphStyle12"/>
              <w:rPr>
                <w:rStyle w:val="CharacterStyle12"/>
              </w:rPr>
            </w:pPr>
            <w:r>
              <w:rPr>
                <w:rStyle w:val="CharacterStyle12"/>
              </w:rPr>
              <w:t>78.000,00</w:t>
            </w:r>
          </w:p>
        </w:tc>
      </w:tr>
      <w:tr w:rsidR="007D706A" w14:paraId="1B1A3B6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B539F7B" w14:textId="77777777" w:rsidR="007D706A" w:rsidRDefault="007D706A" w:rsidP="00F70508">
            <w:pPr>
              <w:pStyle w:val="ParagraphStyle4"/>
              <w:rPr>
                <w:rStyle w:val="CharacterStyle4"/>
              </w:rPr>
            </w:pPr>
            <w:r>
              <w:rPr>
                <w:rStyle w:val="CharacterStyle4"/>
              </w:rPr>
              <w:t>Aktivnost A103216</w:t>
            </w:r>
          </w:p>
        </w:tc>
        <w:tc>
          <w:tcPr>
            <w:tcW w:w="4995" w:type="dxa"/>
            <w:tcBorders>
              <w:bottom w:val="single" w:sz="6" w:space="0" w:color="000000"/>
              <w:right w:val="single" w:sz="6" w:space="0" w:color="000000"/>
            </w:tcBorders>
            <w:vAlign w:val="center"/>
          </w:tcPr>
          <w:p w14:paraId="7219F052" w14:textId="77777777" w:rsidR="007D706A" w:rsidRDefault="007D706A" w:rsidP="00F70508">
            <w:pPr>
              <w:pStyle w:val="ParagraphStyle5"/>
              <w:rPr>
                <w:rStyle w:val="CharacterStyle5"/>
              </w:rPr>
            </w:pPr>
            <w:r>
              <w:rPr>
                <w:rStyle w:val="CharacterStyle5"/>
              </w:rPr>
              <w:t>SIGURNA KUĆA ISTRA</w:t>
            </w:r>
          </w:p>
        </w:tc>
        <w:tc>
          <w:tcPr>
            <w:tcW w:w="1395" w:type="dxa"/>
            <w:tcBorders>
              <w:bottom w:val="single" w:sz="6" w:space="0" w:color="000000"/>
              <w:right w:val="single" w:sz="6" w:space="0" w:color="000000"/>
            </w:tcBorders>
            <w:vAlign w:val="center"/>
          </w:tcPr>
          <w:p w14:paraId="6825744B"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7FEB60D8" w14:textId="77777777" w:rsidR="007D706A" w:rsidRDefault="007D706A" w:rsidP="00F70508">
            <w:pPr>
              <w:pStyle w:val="ParagraphStyle6"/>
              <w:rPr>
                <w:rStyle w:val="CharacterStyle6"/>
              </w:rPr>
            </w:pPr>
            <w:r>
              <w:rPr>
                <w:rStyle w:val="CharacterStyle6"/>
              </w:rPr>
              <w:t>4.000,00</w:t>
            </w:r>
          </w:p>
        </w:tc>
        <w:tc>
          <w:tcPr>
            <w:tcW w:w="1395" w:type="dxa"/>
            <w:tcBorders>
              <w:bottom w:val="single" w:sz="6" w:space="0" w:color="000000"/>
              <w:right w:val="single" w:sz="6" w:space="0" w:color="000000"/>
            </w:tcBorders>
            <w:vAlign w:val="center"/>
          </w:tcPr>
          <w:p w14:paraId="03EF4B7D" w14:textId="77777777" w:rsidR="007D706A" w:rsidRDefault="007D706A" w:rsidP="00F70508">
            <w:pPr>
              <w:pStyle w:val="ParagraphStyle6"/>
              <w:rPr>
                <w:rStyle w:val="CharacterStyle6"/>
              </w:rPr>
            </w:pPr>
            <w:r>
              <w:rPr>
                <w:rStyle w:val="CharacterStyle6"/>
              </w:rPr>
              <w:t>5.000,00</w:t>
            </w:r>
          </w:p>
        </w:tc>
        <w:tc>
          <w:tcPr>
            <w:tcW w:w="1395" w:type="dxa"/>
            <w:tcBorders>
              <w:bottom w:val="single" w:sz="6" w:space="0" w:color="000000"/>
              <w:right w:val="single" w:sz="6" w:space="0" w:color="000000"/>
            </w:tcBorders>
            <w:vAlign w:val="center"/>
          </w:tcPr>
          <w:p w14:paraId="0E2FA832" w14:textId="77777777" w:rsidR="007D706A" w:rsidRDefault="007D706A" w:rsidP="00F70508">
            <w:pPr>
              <w:pStyle w:val="ParagraphStyle6"/>
              <w:rPr>
                <w:rStyle w:val="CharacterStyle6"/>
              </w:rPr>
            </w:pPr>
            <w:r>
              <w:rPr>
                <w:rStyle w:val="CharacterStyle6"/>
              </w:rPr>
              <w:t>6.000,00</w:t>
            </w:r>
          </w:p>
        </w:tc>
        <w:tc>
          <w:tcPr>
            <w:tcW w:w="1395" w:type="dxa"/>
            <w:tcBorders>
              <w:bottom w:val="single" w:sz="6" w:space="0" w:color="000000"/>
              <w:right w:val="single" w:sz="6" w:space="0" w:color="000000"/>
            </w:tcBorders>
            <w:vAlign w:val="center"/>
          </w:tcPr>
          <w:p w14:paraId="555438F7" w14:textId="77777777" w:rsidR="007D706A" w:rsidRDefault="007D706A" w:rsidP="00F70508">
            <w:pPr>
              <w:pStyle w:val="ParagraphStyle6"/>
              <w:rPr>
                <w:rStyle w:val="CharacterStyle6"/>
              </w:rPr>
            </w:pPr>
            <w:r>
              <w:rPr>
                <w:rStyle w:val="CharacterStyle6"/>
              </w:rPr>
              <w:t>6.000,00</w:t>
            </w:r>
          </w:p>
        </w:tc>
      </w:tr>
      <w:tr w:rsidR="007D706A" w14:paraId="50C9A97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866299F"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6257A9FA"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5820C744"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C8967AC" w14:textId="77777777" w:rsidR="007D706A" w:rsidRDefault="007D706A" w:rsidP="00F70508">
            <w:pPr>
              <w:pStyle w:val="ParagraphStyle9"/>
              <w:rPr>
                <w:rStyle w:val="CharacterStyle9"/>
              </w:rPr>
            </w:pPr>
            <w:r>
              <w:rPr>
                <w:rStyle w:val="CharacterStyle9"/>
              </w:rPr>
              <w:t>4.000,00</w:t>
            </w:r>
          </w:p>
        </w:tc>
        <w:tc>
          <w:tcPr>
            <w:tcW w:w="1395" w:type="dxa"/>
            <w:tcBorders>
              <w:bottom w:val="single" w:sz="6" w:space="0" w:color="000000"/>
              <w:right w:val="single" w:sz="6" w:space="0" w:color="000000"/>
            </w:tcBorders>
            <w:vAlign w:val="center"/>
          </w:tcPr>
          <w:p w14:paraId="3E5B27DF" w14:textId="77777777" w:rsidR="007D706A" w:rsidRDefault="007D706A" w:rsidP="00F70508">
            <w:pPr>
              <w:pStyle w:val="ParagraphStyle9"/>
              <w:rPr>
                <w:rStyle w:val="CharacterStyle9"/>
              </w:rPr>
            </w:pPr>
            <w:r>
              <w:rPr>
                <w:rStyle w:val="CharacterStyle9"/>
              </w:rPr>
              <w:t>5.000,00</w:t>
            </w:r>
          </w:p>
        </w:tc>
        <w:tc>
          <w:tcPr>
            <w:tcW w:w="1395" w:type="dxa"/>
            <w:tcBorders>
              <w:bottom w:val="single" w:sz="6" w:space="0" w:color="000000"/>
              <w:right w:val="single" w:sz="6" w:space="0" w:color="000000"/>
            </w:tcBorders>
            <w:vAlign w:val="center"/>
          </w:tcPr>
          <w:p w14:paraId="4A156F8D" w14:textId="77777777" w:rsidR="007D706A" w:rsidRDefault="007D706A" w:rsidP="00F70508">
            <w:pPr>
              <w:pStyle w:val="ParagraphStyle9"/>
              <w:rPr>
                <w:rStyle w:val="CharacterStyle9"/>
              </w:rPr>
            </w:pPr>
            <w:r>
              <w:rPr>
                <w:rStyle w:val="CharacterStyle9"/>
              </w:rPr>
              <w:t>6.000,00</w:t>
            </w:r>
          </w:p>
        </w:tc>
        <w:tc>
          <w:tcPr>
            <w:tcW w:w="1395" w:type="dxa"/>
            <w:tcBorders>
              <w:bottom w:val="single" w:sz="6" w:space="0" w:color="000000"/>
              <w:right w:val="single" w:sz="6" w:space="0" w:color="000000"/>
            </w:tcBorders>
            <w:vAlign w:val="center"/>
          </w:tcPr>
          <w:p w14:paraId="33655063" w14:textId="77777777" w:rsidR="007D706A" w:rsidRDefault="007D706A" w:rsidP="00F70508">
            <w:pPr>
              <w:pStyle w:val="ParagraphStyle9"/>
              <w:rPr>
                <w:rStyle w:val="CharacterStyle9"/>
              </w:rPr>
            </w:pPr>
            <w:r>
              <w:rPr>
                <w:rStyle w:val="CharacterStyle9"/>
              </w:rPr>
              <w:t>6.000,00</w:t>
            </w:r>
          </w:p>
        </w:tc>
      </w:tr>
      <w:tr w:rsidR="007D706A" w14:paraId="4BCAB42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3777A0C"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7991F832"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6FEB8E3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ABB1411" w14:textId="77777777" w:rsidR="007D706A" w:rsidRDefault="007D706A" w:rsidP="00F70508">
            <w:pPr>
              <w:pStyle w:val="ParagraphStyle12"/>
              <w:rPr>
                <w:rStyle w:val="CharacterStyle12"/>
              </w:rPr>
            </w:pPr>
            <w:r>
              <w:rPr>
                <w:rStyle w:val="CharacterStyle12"/>
              </w:rPr>
              <w:t>4.000,00</w:t>
            </w:r>
          </w:p>
        </w:tc>
        <w:tc>
          <w:tcPr>
            <w:tcW w:w="1395" w:type="dxa"/>
            <w:tcBorders>
              <w:bottom w:val="single" w:sz="6" w:space="0" w:color="000000"/>
              <w:right w:val="single" w:sz="6" w:space="0" w:color="000000"/>
            </w:tcBorders>
            <w:vAlign w:val="center"/>
          </w:tcPr>
          <w:p w14:paraId="35FDAC6A" w14:textId="77777777" w:rsidR="007D706A" w:rsidRDefault="007D706A" w:rsidP="00F70508">
            <w:pPr>
              <w:pStyle w:val="ParagraphStyle12"/>
              <w:rPr>
                <w:rStyle w:val="CharacterStyle12"/>
              </w:rPr>
            </w:pPr>
            <w:r>
              <w:rPr>
                <w:rStyle w:val="CharacterStyle12"/>
              </w:rPr>
              <w:t>5.000,00</w:t>
            </w:r>
          </w:p>
        </w:tc>
        <w:tc>
          <w:tcPr>
            <w:tcW w:w="1395" w:type="dxa"/>
            <w:tcBorders>
              <w:bottom w:val="single" w:sz="6" w:space="0" w:color="000000"/>
              <w:right w:val="single" w:sz="6" w:space="0" w:color="000000"/>
            </w:tcBorders>
            <w:vAlign w:val="center"/>
          </w:tcPr>
          <w:p w14:paraId="5FCC28FC" w14:textId="77777777" w:rsidR="007D706A" w:rsidRDefault="007D706A" w:rsidP="00F70508">
            <w:pPr>
              <w:pStyle w:val="ParagraphStyle12"/>
              <w:rPr>
                <w:rStyle w:val="CharacterStyle12"/>
              </w:rPr>
            </w:pPr>
            <w:r>
              <w:rPr>
                <w:rStyle w:val="CharacterStyle12"/>
              </w:rPr>
              <w:t>6.000,00</w:t>
            </w:r>
          </w:p>
        </w:tc>
        <w:tc>
          <w:tcPr>
            <w:tcW w:w="1395" w:type="dxa"/>
            <w:tcBorders>
              <w:bottom w:val="single" w:sz="6" w:space="0" w:color="000000"/>
              <w:right w:val="single" w:sz="6" w:space="0" w:color="000000"/>
            </w:tcBorders>
            <w:vAlign w:val="center"/>
          </w:tcPr>
          <w:p w14:paraId="364D3A84" w14:textId="77777777" w:rsidR="007D706A" w:rsidRDefault="007D706A" w:rsidP="00F70508">
            <w:pPr>
              <w:pStyle w:val="ParagraphStyle12"/>
              <w:rPr>
                <w:rStyle w:val="CharacterStyle12"/>
              </w:rPr>
            </w:pPr>
            <w:r>
              <w:rPr>
                <w:rStyle w:val="CharacterStyle12"/>
              </w:rPr>
              <w:t>6.000,00</w:t>
            </w:r>
          </w:p>
        </w:tc>
      </w:tr>
      <w:tr w:rsidR="007D706A" w14:paraId="309C9C1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A6EA3C6" w14:textId="77777777" w:rsidR="007D706A" w:rsidRDefault="007D706A" w:rsidP="00F70508">
            <w:pPr>
              <w:pStyle w:val="ParagraphStyle10"/>
              <w:rPr>
                <w:rStyle w:val="CharacterStyle10"/>
              </w:rPr>
            </w:pPr>
            <w:r>
              <w:rPr>
                <w:rStyle w:val="CharacterStyle10"/>
              </w:rPr>
              <w:t>38</w:t>
            </w:r>
          </w:p>
        </w:tc>
        <w:tc>
          <w:tcPr>
            <w:tcW w:w="4995" w:type="dxa"/>
            <w:tcBorders>
              <w:bottom w:val="single" w:sz="6" w:space="0" w:color="000000"/>
              <w:right w:val="single" w:sz="6" w:space="0" w:color="000000"/>
            </w:tcBorders>
            <w:vAlign w:val="center"/>
          </w:tcPr>
          <w:p w14:paraId="418DA7B7" w14:textId="77777777" w:rsidR="007D706A" w:rsidRDefault="007D706A" w:rsidP="00F70508">
            <w:pPr>
              <w:pStyle w:val="ParagraphStyle11"/>
              <w:rPr>
                <w:rStyle w:val="CharacterStyle11"/>
              </w:rPr>
            </w:pPr>
            <w:r>
              <w:rPr>
                <w:rStyle w:val="CharacterStyle11"/>
              </w:rPr>
              <w:t>Rashodi za donacije, kazne, naknade šteta i kapitalne pomoći</w:t>
            </w:r>
          </w:p>
        </w:tc>
        <w:tc>
          <w:tcPr>
            <w:tcW w:w="1395" w:type="dxa"/>
            <w:tcBorders>
              <w:bottom w:val="single" w:sz="6" w:space="0" w:color="000000"/>
              <w:right w:val="single" w:sz="6" w:space="0" w:color="000000"/>
            </w:tcBorders>
            <w:vAlign w:val="center"/>
          </w:tcPr>
          <w:p w14:paraId="7267E79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72BF947" w14:textId="77777777" w:rsidR="007D706A" w:rsidRDefault="007D706A" w:rsidP="00F70508">
            <w:pPr>
              <w:pStyle w:val="ParagraphStyle12"/>
              <w:rPr>
                <w:rStyle w:val="CharacterStyle12"/>
              </w:rPr>
            </w:pPr>
            <w:r>
              <w:rPr>
                <w:rStyle w:val="CharacterStyle12"/>
              </w:rPr>
              <w:t>4.000,00</w:t>
            </w:r>
          </w:p>
        </w:tc>
        <w:tc>
          <w:tcPr>
            <w:tcW w:w="1395" w:type="dxa"/>
            <w:tcBorders>
              <w:bottom w:val="single" w:sz="6" w:space="0" w:color="000000"/>
              <w:right w:val="single" w:sz="6" w:space="0" w:color="000000"/>
            </w:tcBorders>
            <w:vAlign w:val="center"/>
          </w:tcPr>
          <w:p w14:paraId="0D06CA79" w14:textId="77777777" w:rsidR="007D706A" w:rsidRDefault="007D706A" w:rsidP="00F70508">
            <w:pPr>
              <w:pStyle w:val="ParagraphStyle12"/>
              <w:rPr>
                <w:rStyle w:val="CharacterStyle12"/>
              </w:rPr>
            </w:pPr>
            <w:r>
              <w:rPr>
                <w:rStyle w:val="CharacterStyle12"/>
              </w:rPr>
              <w:t>5.000,00</w:t>
            </w:r>
          </w:p>
        </w:tc>
        <w:tc>
          <w:tcPr>
            <w:tcW w:w="1395" w:type="dxa"/>
            <w:tcBorders>
              <w:bottom w:val="single" w:sz="6" w:space="0" w:color="000000"/>
              <w:right w:val="single" w:sz="6" w:space="0" w:color="000000"/>
            </w:tcBorders>
            <w:vAlign w:val="center"/>
          </w:tcPr>
          <w:p w14:paraId="589247D7" w14:textId="77777777" w:rsidR="007D706A" w:rsidRDefault="007D706A" w:rsidP="00F70508">
            <w:pPr>
              <w:pStyle w:val="ParagraphStyle12"/>
              <w:rPr>
                <w:rStyle w:val="CharacterStyle12"/>
              </w:rPr>
            </w:pPr>
            <w:r>
              <w:rPr>
                <w:rStyle w:val="CharacterStyle12"/>
              </w:rPr>
              <w:t>6.000,00</w:t>
            </w:r>
          </w:p>
        </w:tc>
        <w:tc>
          <w:tcPr>
            <w:tcW w:w="1395" w:type="dxa"/>
            <w:tcBorders>
              <w:bottom w:val="single" w:sz="6" w:space="0" w:color="000000"/>
              <w:right w:val="single" w:sz="6" w:space="0" w:color="000000"/>
            </w:tcBorders>
            <w:vAlign w:val="center"/>
          </w:tcPr>
          <w:p w14:paraId="7EDAF2AC" w14:textId="77777777" w:rsidR="007D706A" w:rsidRDefault="007D706A" w:rsidP="00F70508">
            <w:pPr>
              <w:pStyle w:val="ParagraphStyle12"/>
              <w:rPr>
                <w:rStyle w:val="CharacterStyle12"/>
              </w:rPr>
            </w:pPr>
            <w:r>
              <w:rPr>
                <w:rStyle w:val="CharacterStyle12"/>
              </w:rPr>
              <w:t>6.000,00</w:t>
            </w:r>
          </w:p>
        </w:tc>
      </w:tr>
      <w:tr w:rsidR="007D706A" w14:paraId="39F4AEDD" w14:textId="77777777" w:rsidTr="00F70508">
        <w:trPr>
          <w:trHeight w:val="405"/>
        </w:trPr>
        <w:tc>
          <w:tcPr>
            <w:tcW w:w="2880" w:type="dxa"/>
            <w:tcBorders>
              <w:left w:val="single" w:sz="6" w:space="0" w:color="000000"/>
              <w:bottom w:val="single" w:sz="6" w:space="0" w:color="000000"/>
              <w:right w:val="single" w:sz="6" w:space="0" w:color="000000"/>
            </w:tcBorders>
            <w:vAlign w:val="center"/>
          </w:tcPr>
          <w:p w14:paraId="031CA52E" w14:textId="77777777" w:rsidR="007D706A" w:rsidRDefault="007D706A" w:rsidP="00F70508">
            <w:pPr>
              <w:pStyle w:val="ParagraphStyle4"/>
              <w:rPr>
                <w:rStyle w:val="CharacterStyle4"/>
              </w:rPr>
            </w:pPr>
            <w:r>
              <w:rPr>
                <w:rStyle w:val="CharacterStyle4"/>
              </w:rPr>
              <w:t>Aktivnost A103222</w:t>
            </w:r>
          </w:p>
        </w:tc>
        <w:tc>
          <w:tcPr>
            <w:tcW w:w="4995" w:type="dxa"/>
            <w:tcBorders>
              <w:bottom w:val="single" w:sz="6" w:space="0" w:color="000000"/>
              <w:right w:val="single" w:sz="6" w:space="0" w:color="000000"/>
            </w:tcBorders>
            <w:vAlign w:val="center"/>
          </w:tcPr>
          <w:p w14:paraId="7CF97720" w14:textId="77777777" w:rsidR="007D706A" w:rsidRDefault="007D706A" w:rsidP="00F70508">
            <w:pPr>
              <w:pStyle w:val="ParagraphStyle5"/>
              <w:rPr>
                <w:rStyle w:val="CharacterStyle5"/>
              </w:rPr>
            </w:pPr>
            <w:r>
              <w:rPr>
                <w:rStyle w:val="CharacterStyle5"/>
              </w:rPr>
              <w:t>NAKNADE RAZLIKE U CIJENI PRIJEVOZA DJECE U DNEVNI CENTAR</w:t>
            </w:r>
          </w:p>
        </w:tc>
        <w:tc>
          <w:tcPr>
            <w:tcW w:w="1395" w:type="dxa"/>
            <w:tcBorders>
              <w:bottom w:val="single" w:sz="6" w:space="0" w:color="000000"/>
              <w:right w:val="single" w:sz="6" w:space="0" w:color="000000"/>
            </w:tcBorders>
            <w:vAlign w:val="center"/>
          </w:tcPr>
          <w:p w14:paraId="095C0748"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2A901AEB" w14:textId="77777777" w:rsidR="007D706A" w:rsidRDefault="007D706A" w:rsidP="00F70508">
            <w:pPr>
              <w:pStyle w:val="ParagraphStyle6"/>
              <w:rPr>
                <w:rStyle w:val="CharacterStyle6"/>
              </w:rPr>
            </w:pPr>
            <w:r>
              <w:rPr>
                <w:rStyle w:val="CharacterStyle6"/>
              </w:rPr>
              <w:t>4.000,00</w:t>
            </w:r>
          </w:p>
        </w:tc>
        <w:tc>
          <w:tcPr>
            <w:tcW w:w="1395" w:type="dxa"/>
            <w:tcBorders>
              <w:bottom w:val="single" w:sz="6" w:space="0" w:color="000000"/>
              <w:right w:val="single" w:sz="6" w:space="0" w:color="000000"/>
            </w:tcBorders>
            <w:vAlign w:val="center"/>
          </w:tcPr>
          <w:p w14:paraId="756560F7" w14:textId="77777777" w:rsidR="007D706A" w:rsidRDefault="007D706A" w:rsidP="00F70508">
            <w:pPr>
              <w:pStyle w:val="ParagraphStyle6"/>
              <w:rPr>
                <w:rStyle w:val="CharacterStyle6"/>
              </w:rPr>
            </w:pPr>
            <w:r>
              <w:rPr>
                <w:rStyle w:val="CharacterStyle6"/>
              </w:rPr>
              <w:t>4.000,00</w:t>
            </w:r>
          </w:p>
        </w:tc>
        <w:tc>
          <w:tcPr>
            <w:tcW w:w="1395" w:type="dxa"/>
            <w:tcBorders>
              <w:bottom w:val="single" w:sz="6" w:space="0" w:color="000000"/>
              <w:right w:val="single" w:sz="6" w:space="0" w:color="000000"/>
            </w:tcBorders>
            <w:vAlign w:val="center"/>
          </w:tcPr>
          <w:p w14:paraId="4D45DB64" w14:textId="77777777" w:rsidR="007D706A" w:rsidRDefault="007D706A" w:rsidP="00F70508">
            <w:pPr>
              <w:pStyle w:val="ParagraphStyle6"/>
              <w:rPr>
                <w:rStyle w:val="CharacterStyle6"/>
              </w:rPr>
            </w:pPr>
            <w:r>
              <w:rPr>
                <w:rStyle w:val="CharacterStyle6"/>
              </w:rPr>
              <w:t>4.000,00</w:t>
            </w:r>
          </w:p>
        </w:tc>
        <w:tc>
          <w:tcPr>
            <w:tcW w:w="1395" w:type="dxa"/>
            <w:tcBorders>
              <w:bottom w:val="single" w:sz="6" w:space="0" w:color="000000"/>
              <w:right w:val="single" w:sz="6" w:space="0" w:color="000000"/>
            </w:tcBorders>
            <w:vAlign w:val="center"/>
          </w:tcPr>
          <w:p w14:paraId="0BFE6851" w14:textId="77777777" w:rsidR="007D706A" w:rsidRDefault="007D706A" w:rsidP="00F70508">
            <w:pPr>
              <w:pStyle w:val="ParagraphStyle6"/>
              <w:rPr>
                <w:rStyle w:val="CharacterStyle6"/>
              </w:rPr>
            </w:pPr>
            <w:r>
              <w:rPr>
                <w:rStyle w:val="CharacterStyle6"/>
              </w:rPr>
              <w:t>4.000,00</w:t>
            </w:r>
          </w:p>
        </w:tc>
      </w:tr>
      <w:tr w:rsidR="007D706A" w14:paraId="545C547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AE51A0A"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4224F5F5"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1EFC8974"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931EBA0" w14:textId="77777777" w:rsidR="007D706A" w:rsidRDefault="007D706A" w:rsidP="00F70508">
            <w:pPr>
              <w:pStyle w:val="ParagraphStyle9"/>
              <w:rPr>
                <w:rStyle w:val="CharacterStyle9"/>
              </w:rPr>
            </w:pPr>
            <w:r>
              <w:rPr>
                <w:rStyle w:val="CharacterStyle9"/>
              </w:rPr>
              <w:t>4.000,00</w:t>
            </w:r>
          </w:p>
        </w:tc>
        <w:tc>
          <w:tcPr>
            <w:tcW w:w="1395" w:type="dxa"/>
            <w:tcBorders>
              <w:bottom w:val="single" w:sz="6" w:space="0" w:color="000000"/>
              <w:right w:val="single" w:sz="6" w:space="0" w:color="000000"/>
            </w:tcBorders>
            <w:vAlign w:val="center"/>
          </w:tcPr>
          <w:p w14:paraId="6B2933B6" w14:textId="77777777" w:rsidR="007D706A" w:rsidRDefault="007D706A" w:rsidP="00F70508">
            <w:pPr>
              <w:pStyle w:val="ParagraphStyle9"/>
              <w:rPr>
                <w:rStyle w:val="CharacterStyle9"/>
              </w:rPr>
            </w:pPr>
            <w:r>
              <w:rPr>
                <w:rStyle w:val="CharacterStyle9"/>
              </w:rPr>
              <w:t>4.000,00</w:t>
            </w:r>
          </w:p>
        </w:tc>
        <w:tc>
          <w:tcPr>
            <w:tcW w:w="1395" w:type="dxa"/>
            <w:tcBorders>
              <w:bottom w:val="single" w:sz="6" w:space="0" w:color="000000"/>
              <w:right w:val="single" w:sz="6" w:space="0" w:color="000000"/>
            </w:tcBorders>
            <w:vAlign w:val="center"/>
          </w:tcPr>
          <w:p w14:paraId="26B1BE1C" w14:textId="77777777" w:rsidR="007D706A" w:rsidRDefault="007D706A" w:rsidP="00F70508">
            <w:pPr>
              <w:pStyle w:val="ParagraphStyle9"/>
              <w:rPr>
                <w:rStyle w:val="CharacterStyle9"/>
              </w:rPr>
            </w:pPr>
            <w:r>
              <w:rPr>
                <w:rStyle w:val="CharacterStyle9"/>
              </w:rPr>
              <w:t>4.000,00</w:t>
            </w:r>
          </w:p>
        </w:tc>
        <w:tc>
          <w:tcPr>
            <w:tcW w:w="1395" w:type="dxa"/>
            <w:tcBorders>
              <w:bottom w:val="single" w:sz="6" w:space="0" w:color="000000"/>
              <w:right w:val="single" w:sz="6" w:space="0" w:color="000000"/>
            </w:tcBorders>
            <w:vAlign w:val="center"/>
          </w:tcPr>
          <w:p w14:paraId="0BD70EB8" w14:textId="77777777" w:rsidR="007D706A" w:rsidRDefault="007D706A" w:rsidP="00F70508">
            <w:pPr>
              <w:pStyle w:val="ParagraphStyle9"/>
              <w:rPr>
                <w:rStyle w:val="CharacterStyle9"/>
              </w:rPr>
            </w:pPr>
            <w:r>
              <w:rPr>
                <w:rStyle w:val="CharacterStyle9"/>
              </w:rPr>
              <w:t>4.000,00</w:t>
            </w:r>
          </w:p>
        </w:tc>
      </w:tr>
      <w:tr w:rsidR="007D706A" w14:paraId="66F1F17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520B50A"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02CE24BE"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396433E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42855E6" w14:textId="77777777" w:rsidR="007D706A" w:rsidRDefault="007D706A" w:rsidP="00F70508">
            <w:pPr>
              <w:pStyle w:val="ParagraphStyle12"/>
              <w:rPr>
                <w:rStyle w:val="CharacterStyle12"/>
              </w:rPr>
            </w:pPr>
            <w:r>
              <w:rPr>
                <w:rStyle w:val="CharacterStyle12"/>
              </w:rPr>
              <w:t>4.000,00</w:t>
            </w:r>
          </w:p>
        </w:tc>
        <w:tc>
          <w:tcPr>
            <w:tcW w:w="1395" w:type="dxa"/>
            <w:tcBorders>
              <w:bottom w:val="single" w:sz="6" w:space="0" w:color="000000"/>
              <w:right w:val="single" w:sz="6" w:space="0" w:color="000000"/>
            </w:tcBorders>
            <w:vAlign w:val="center"/>
          </w:tcPr>
          <w:p w14:paraId="2A744ABF" w14:textId="77777777" w:rsidR="007D706A" w:rsidRDefault="007D706A" w:rsidP="00F70508">
            <w:pPr>
              <w:pStyle w:val="ParagraphStyle12"/>
              <w:rPr>
                <w:rStyle w:val="CharacterStyle12"/>
              </w:rPr>
            </w:pPr>
            <w:r>
              <w:rPr>
                <w:rStyle w:val="CharacterStyle12"/>
              </w:rPr>
              <w:t>4.000,00</w:t>
            </w:r>
          </w:p>
        </w:tc>
        <w:tc>
          <w:tcPr>
            <w:tcW w:w="1395" w:type="dxa"/>
            <w:tcBorders>
              <w:bottom w:val="single" w:sz="6" w:space="0" w:color="000000"/>
              <w:right w:val="single" w:sz="6" w:space="0" w:color="000000"/>
            </w:tcBorders>
            <w:vAlign w:val="center"/>
          </w:tcPr>
          <w:p w14:paraId="4A645455" w14:textId="77777777" w:rsidR="007D706A" w:rsidRDefault="007D706A" w:rsidP="00F70508">
            <w:pPr>
              <w:pStyle w:val="ParagraphStyle12"/>
              <w:rPr>
                <w:rStyle w:val="CharacterStyle12"/>
              </w:rPr>
            </w:pPr>
            <w:r>
              <w:rPr>
                <w:rStyle w:val="CharacterStyle12"/>
              </w:rPr>
              <w:t>4.000,00</w:t>
            </w:r>
          </w:p>
        </w:tc>
        <w:tc>
          <w:tcPr>
            <w:tcW w:w="1395" w:type="dxa"/>
            <w:tcBorders>
              <w:bottom w:val="single" w:sz="6" w:space="0" w:color="000000"/>
              <w:right w:val="single" w:sz="6" w:space="0" w:color="000000"/>
            </w:tcBorders>
            <w:vAlign w:val="center"/>
          </w:tcPr>
          <w:p w14:paraId="06041DA5" w14:textId="77777777" w:rsidR="007D706A" w:rsidRDefault="007D706A" w:rsidP="00F70508">
            <w:pPr>
              <w:pStyle w:val="ParagraphStyle12"/>
              <w:rPr>
                <w:rStyle w:val="CharacterStyle12"/>
              </w:rPr>
            </w:pPr>
            <w:r>
              <w:rPr>
                <w:rStyle w:val="CharacterStyle12"/>
              </w:rPr>
              <w:t>4.000,00</w:t>
            </w:r>
          </w:p>
        </w:tc>
      </w:tr>
      <w:tr w:rsidR="007D706A" w14:paraId="74C709F7" w14:textId="77777777" w:rsidTr="00F70508">
        <w:trPr>
          <w:trHeight w:val="420"/>
        </w:trPr>
        <w:tc>
          <w:tcPr>
            <w:tcW w:w="2880" w:type="dxa"/>
            <w:tcBorders>
              <w:left w:val="single" w:sz="6" w:space="0" w:color="000000"/>
              <w:bottom w:val="single" w:sz="6" w:space="0" w:color="000000"/>
              <w:right w:val="single" w:sz="6" w:space="0" w:color="000000"/>
            </w:tcBorders>
            <w:vAlign w:val="center"/>
          </w:tcPr>
          <w:p w14:paraId="6AC98113" w14:textId="77777777" w:rsidR="007D706A" w:rsidRDefault="007D706A" w:rsidP="00F70508">
            <w:pPr>
              <w:pStyle w:val="ParagraphStyle10"/>
              <w:rPr>
                <w:rStyle w:val="CharacterStyle10"/>
              </w:rPr>
            </w:pPr>
            <w:r>
              <w:rPr>
                <w:rStyle w:val="CharacterStyle10"/>
              </w:rPr>
              <w:t>37</w:t>
            </w:r>
          </w:p>
        </w:tc>
        <w:tc>
          <w:tcPr>
            <w:tcW w:w="4995" w:type="dxa"/>
            <w:tcBorders>
              <w:bottom w:val="single" w:sz="6" w:space="0" w:color="000000"/>
              <w:right w:val="single" w:sz="6" w:space="0" w:color="000000"/>
            </w:tcBorders>
            <w:vAlign w:val="center"/>
          </w:tcPr>
          <w:p w14:paraId="4F69B91A" w14:textId="77777777" w:rsidR="007D706A" w:rsidRDefault="007D706A" w:rsidP="00F70508">
            <w:pPr>
              <w:pStyle w:val="ParagraphStyle11"/>
              <w:rPr>
                <w:rStyle w:val="CharacterStyle11"/>
              </w:rPr>
            </w:pPr>
            <w:r>
              <w:rPr>
                <w:rStyle w:val="CharacterStyle11"/>
              </w:rPr>
              <w:t>Naknade građanima i kućanstvima na temelju osiguranja i druge naknade</w:t>
            </w:r>
          </w:p>
        </w:tc>
        <w:tc>
          <w:tcPr>
            <w:tcW w:w="1395" w:type="dxa"/>
            <w:tcBorders>
              <w:bottom w:val="single" w:sz="6" w:space="0" w:color="000000"/>
              <w:right w:val="single" w:sz="6" w:space="0" w:color="000000"/>
            </w:tcBorders>
            <w:vAlign w:val="center"/>
          </w:tcPr>
          <w:p w14:paraId="25EEF66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B6EE292" w14:textId="77777777" w:rsidR="007D706A" w:rsidRDefault="007D706A" w:rsidP="00F70508">
            <w:pPr>
              <w:pStyle w:val="ParagraphStyle12"/>
              <w:rPr>
                <w:rStyle w:val="CharacterStyle12"/>
              </w:rPr>
            </w:pPr>
            <w:r>
              <w:rPr>
                <w:rStyle w:val="CharacterStyle12"/>
              </w:rPr>
              <w:t>4.000,00</w:t>
            </w:r>
          </w:p>
        </w:tc>
        <w:tc>
          <w:tcPr>
            <w:tcW w:w="1395" w:type="dxa"/>
            <w:tcBorders>
              <w:bottom w:val="single" w:sz="6" w:space="0" w:color="000000"/>
              <w:right w:val="single" w:sz="6" w:space="0" w:color="000000"/>
            </w:tcBorders>
            <w:vAlign w:val="center"/>
          </w:tcPr>
          <w:p w14:paraId="47F6D421" w14:textId="77777777" w:rsidR="007D706A" w:rsidRDefault="007D706A" w:rsidP="00F70508">
            <w:pPr>
              <w:pStyle w:val="ParagraphStyle12"/>
              <w:rPr>
                <w:rStyle w:val="CharacterStyle12"/>
              </w:rPr>
            </w:pPr>
            <w:r>
              <w:rPr>
                <w:rStyle w:val="CharacterStyle12"/>
              </w:rPr>
              <w:t>4.000,00</w:t>
            </w:r>
          </w:p>
        </w:tc>
        <w:tc>
          <w:tcPr>
            <w:tcW w:w="1395" w:type="dxa"/>
            <w:tcBorders>
              <w:bottom w:val="single" w:sz="6" w:space="0" w:color="000000"/>
              <w:right w:val="single" w:sz="6" w:space="0" w:color="000000"/>
            </w:tcBorders>
            <w:vAlign w:val="center"/>
          </w:tcPr>
          <w:p w14:paraId="6334CEB4" w14:textId="77777777" w:rsidR="007D706A" w:rsidRDefault="007D706A" w:rsidP="00F70508">
            <w:pPr>
              <w:pStyle w:val="ParagraphStyle12"/>
              <w:rPr>
                <w:rStyle w:val="CharacterStyle12"/>
              </w:rPr>
            </w:pPr>
            <w:r>
              <w:rPr>
                <w:rStyle w:val="CharacterStyle12"/>
              </w:rPr>
              <w:t>4.000,00</w:t>
            </w:r>
          </w:p>
        </w:tc>
        <w:tc>
          <w:tcPr>
            <w:tcW w:w="1395" w:type="dxa"/>
            <w:tcBorders>
              <w:bottom w:val="single" w:sz="6" w:space="0" w:color="000000"/>
              <w:right w:val="single" w:sz="6" w:space="0" w:color="000000"/>
            </w:tcBorders>
            <w:vAlign w:val="center"/>
          </w:tcPr>
          <w:p w14:paraId="7BEAABA0" w14:textId="77777777" w:rsidR="007D706A" w:rsidRDefault="007D706A" w:rsidP="00F70508">
            <w:pPr>
              <w:pStyle w:val="ParagraphStyle12"/>
              <w:rPr>
                <w:rStyle w:val="CharacterStyle12"/>
              </w:rPr>
            </w:pPr>
            <w:r>
              <w:rPr>
                <w:rStyle w:val="CharacterStyle12"/>
              </w:rPr>
              <w:t>4.000,00</w:t>
            </w:r>
          </w:p>
        </w:tc>
      </w:tr>
      <w:tr w:rsidR="007D706A" w14:paraId="65A4A7D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2D637DA" w14:textId="77777777" w:rsidR="007D706A" w:rsidRDefault="007D706A" w:rsidP="00F70508">
            <w:pPr>
              <w:pStyle w:val="ParagraphStyle4"/>
              <w:rPr>
                <w:rStyle w:val="CharacterStyle4"/>
              </w:rPr>
            </w:pPr>
            <w:r>
              <w:rPr>
                <w:rStyle w:val="CharacterStyle4"/>
              </w:rPr>
              <w:t>Aktivnost A103207</w:t>
            </w:r>
          </w:p>
        </w:tc>
        <w:tc>
          <w:tcPr>
            <w:tcW w:w="4995" w:type="dxa"/>
            <w:tcBorders>
              <w:bottom w:val="single" w:sz="6" w:space="0" w:color="000000"/>
              <w:right w:val="single" w:sz="6" w:space="0" w:color="000000"/>
            </w:tcBorders>
            <w:vAlign w:val="center"/>
          </w:tcPr>
          <w:p w14:paraId="3F29680F" w14:textId="77777777" w:rsidR="007D706A" w:rsidRDefault="007D706A" w:rsidP="00F70508">
            <w:pPr>
              <w:pStyle w:val="ParagraphStyle5"/>
              <w:rPr>
                <w:rStyle w:val="CharacterStyle5"/>
              </w:rPr>
            </w:pPr>
            <w:r>
              <w:rPr>
                <w:rStyle w:val="CharacterStyle5"/>
              </w:rPr>
              <w:t>OSTALE POMOĆI PREMA ODLUCI O SOCIJALNOJ SKRBI</w:t>
            </w:r>
          </w:p>
        </w:tc>
        <w:tc>
          <w:tcPr>
            <w:tcW w:w="1395" w:type="dxa"/>
            <w:tcBorders>
              <w:bottom w:val="single" w:sz="6" w:space="0" w:color="000000"/>
              <w:right w:val="single" w:sz="6" w:space="0" w:color="000000"/>
            </w:tcBorders>
            <w:vAlign w:val="center"/>
          </w:tcPr>
          <w:p w14:paraId="3289D454"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6CA35BED" w14:textId="77777777" w:rsidR="007D706A" w:rsidRDefault="007D706A" w:rsidP="00F70508">
            <w:pPr>
              <w:pStyle w:val="ParagraphStyle6"/>
              <w:rPr>
                <w:rStyle w:val="CharacterStyle6"/>
              </w:rPr>
            </w:pPr>
            <w:r>
              <w:rPr>
                <w:rStyle w:val="CharacterStyle6"/>
              </w:rPr>
              <w:t>4.000,00</w:t>
            </w:r>
          </w:p>
        </w:tc>
        <w:tc>
          <w:tcPr>
            <w:tcW w:w="1395" w:type="dxa"/>
            <w:tcBorders>
              <w:bottom w:val="single" w:sz="6" w:space="0" w:color="000000"/>
              <w:right w:val="single" w:sz="6" w:space="0" w:color="000000"/>
            </w:tcBorders>
            <w:vAlign w:val="center"/>
          </w:tcPr>
          <w:p w14:paraId="520A82E4" w14:textId="77777777" w:rsidR="007D706A" w:rsidRDefault="007D706A" w:rsidP="00F70508">
            <w:pPr>
              <w:pStyle w:val="ParagraphStyle6"/>
              <w:rPr>
                <w:rStyle w:val="CharacterStyle6"/>
              </w:rPr>
            </w:pPr>
            <w:r>
              <w:rPr>
                <w:rStyle w:val="CharacterStyle6"/>
              </w:rPr>
              <w:t>4.000,00</w:t>
            </w:r>
          </w:p>
        </w:tc>
        <w:tc>
          <w:tcPr>
            <w:tcW w:w="1395" w:type="dxa"/>
            <w:tcBorders>
              <w:bottom w:val="single" w:sz="6" w:space="0" w:color="000000"/>
              <w:right w:val="single" w:sz="6" w:space="0" w:color="000000"/>
            </w:tcBorders>
            <w:vAlign w:val="center"/>
          </w:tcPr>
          <w:p w14:paraId="784C3EF7" w14:textId="77777777" w:rsidR="007D706A" w:rsidRDefault="007D706A" w:rsidP="00F70508">
            <w:pPr>
              <w:pStyle w:val="ParagraphStyle6"/>
              <w:rPr>
                <w:rStyle w:val="CharacterStyle6"/>
              </w:rPr>
            </w:pPr>
            <w:r>
              <w:rPr>
                <w:rStyle w:val="CharacterStyle6"/>
              </w:rPr>
              <w:t>4.000,00</w:t>
            </w:r>
          </w:p>
        </w:tc>
        <w:tc>
          <w:tcPr>
            <w:tcW w:w="1395" w:type="dxa"/>
            <w:tcBorders>
              <w:bottom w:val="single" w:sz="6" w:space="0" w:color="000000"/>
              <w:right w:val="single" w:sz="6" w:space="0" w:color="000000"/>
            </w:tcBorders>
            <w:vAlign w:val="center"/>
          </w:tcPr>
          <w:p w14:paraId="20187747" w14:textId="77777777" w:rsidR="007D706A" w:rsidRDefault="007D706A" w:rsidP="00F70508">
            <w:pPr>
              <w:pStyle w:val="ParagraphStyle6"/>
              <w:rPr>
                <w:rStyle w:val="CharacterStyle6"/>
              </w:rPr>
            </w:pPr>
            <w:r>
              <w:rPr>
                <w:rStyle w:val="CharacterStyle6"/>
              </w:rPr>
              <w:t>4.000,00</w:t>
            </w:r>
          </w:p>
        </w:tc>
      </w:tr>
      <w:tr w:rsidR="007D706A" w14:paraId="1BDAC28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8C80D7D"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2DBA7690"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6563396B"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A9EA62C" w14:textId="77777777" w:rsidR="007D706A" w:rsidRDefault="007D706A" w:rsidP="00F70508">
            <w:pPr>
              <w:pStyle w:val="ParagraphStyle9"/>
              <w:rPr>
                <w:rStyle w:val="CharacterStyle9"/>
              </w:rPr>
            </w:pPr>
            <w:r>
              <w:rPr>
                <w:rStyle w:val="CharacterStyle9"/>
              </w:rPr>
              <w:t>4.000,00</w:t>
            </w:r>
          </w:p>
        </w:tc>
        <w:tc>
          <w:tcPr>
            <w:tcW w:w="1395" w:type="dxa"/>
            <w:tcBorders>
              <w:bottom w:val="single" w:sz="6" w:space="0" w:color="000000"/>
              <w:right w:val="single" w:sz="6" w:space="0" w:color="000000"/>
            </w:tcBorders>
            <w:vAlign w:val="center"/>
          </w:tcPr>
          <w:p w14:paraId="2359B9D5" w14:textId="77777777" w:rsidR="007D706A" w:rsidRDefault="007D706A" w:rsidP="00F70508">
            <w:pPr>
              <w:pStyle w:val="ParagraphStyle9"/>
              <w:rPr>
                <w:rStyle w:val="CharacterStyle9"/>
              </w:rPr>
            </w:pPr>
            <w:r>
              <w:rPr>
                <w:rStyle w:val="CharacterStyle9"/>
              </w:rPr>
              <w:t>4.000,00</w:t>
            </w:r>
          </w:p>
        </w:tc>
        <w:tc>
          <w:tcPr>
            <w:tcW w:w="1395" w:type="dxa"/>
            <w:tcBorders>
              <w:bottom w:val="single" w:sz="6" w:space="0" w:color="000000"/>
              <w:right w:val="single" w:sz="6" w:space="0" w:color="000000"/>
            </w:tcBorders>
            <w:vAlign w:val="center"/>
          </w:tcPr>
          <w:p w14:paraId="443ADDAC" w14:textId="77777777" w:rsidR="007D706A" w:rsidRDefault="007D706A" w:rsidP="00F70508">
            <w:pPr>
              <w:pStyle w:val="ParagraphStyle9"/>
              <w:rPr>
                <w:rStyle w:val="CharacterStyle9"/>
              </w:rPr>
            </w:pPr>
            <w:r>
              <w:rPr>
                <w:rStyle w:val="CharacterStyle9"/>
              </w:rPr>
              <w:t>4.000,00</w:t>
            </w:r>
          </w:p>
        </w:tc>
        <w:tc>
          <w:tcPr>
            <w:tcW w:w="1395" w:type="dxa"/>
            <w:tcBorders>
              <w:bottom w:val="single" w:sz="6" w:space="0" w:color="000000"/>
              <w:right w:val="single" w:sz="6" w:space="0" w:color="000000"/>
            </w:tcBorders>
            <w:vAlign w:val="center"/>
          </w:tcPr>
          <w:p w14:paraId="2156D94A" w14:textId="77777777" w:rsidR="007D706A" w:rsidRDefault="007D706A" w:rsidP="00F70508">
            <w:pPr>
              <w:pStyle w:val="ParagraphStyle9"/>
              <w:rPr>
                <w:rStyle w:val="CharacterStyle9"/>
              </w:rPr>
            </w:pPr>
            <w:r>
              <w:rPr>
                <w:rStyle w:val="CharacterStyle9"/>
              </w:rPr>
              <w:t>4.000,00</w:t>
            </w:r>
          </w:p>
        </w:tc>
      </w:tr>
      <w:tr w:rsidR="007D706A" w14:paraId="162B9C7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2648171"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54C696D4"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6195277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218FCDE" w14:textId="77777777" w:rsidR="007D706A" w:rsidRDefault="007D706A" w:rsidP="00F70508">
            <w:pPr>
              <w:pStyle w:val="ParagraphStyle12"/>
              <w:rPr>
                <w:rStyle w:val="CharacterStyle12"/>
              </w:rPr>
            </w:pPr>
            <w:r>
              <w:rPr>
                <w:rStyle w:val="CharacterStyle12"/>
              </w:rPr>
              <w:t>1.600,00</w:t>
            </w:r>
          </w:p>
        </w:tc>
        <w:tc>
          <w:tcPr>
            <w:tcW w:w="1395" w:type="dxa"/>
            <w:tcBorders>
              <w:bottom w:val="single" w:sz="6" w:space="0" w:color="000000"/>
              <w:right w:val="single" w:sz="6" w:space="0" w:color="000000"/>
            </w:tcBorders>
            <w:vAlign w:val="center"/>
          </w:tcPr>
          <w:p w14:paraId="03A9A04D" w14:textId="77777777" w:rsidR="007D706A" w:rsidRDefault="007D706A" w:rsidP="00F70508">
            <w:pPr>
              <w:pStyle w:val="ParagraphStyle12"/>
              <w:rPr>
                <w:rStyle w:val="CharacterStyle12"/>
              </w:rPr>
            </w:pPr>
            <w:r>
              <w:rPr>
                <w:rStyle w:val="CharacterStyle12"/>
              </w:rPr>
              <w:t>1.600,00</w:t>
            </w:r>
          </w:p>
        </w:tc>
        <w:tc>
          <w:tcPr>
            <w:tcW w:w="1395" w:type="dxa"/>
            <w:tcBorders>
              <w:bottom w:val="single" w:sz="6" w:space="0" w:color="000000"/>
              <w:right w:val="single" w:sz="6" w:space="0" w:color="000000"/>
            </w:tcBorders>
            <w:vAlign w:val="center"/>
          </w:tcPr>
          <w:p w14:paraId="1D7760AC" w14:textId="77777777" w:rsidR="007D706A" w:rsidRDefault="007D706A" w:rsidP="00F70508">
            <w:pPr>
              <w:pStyle w:val="ParagraphStyle12"/>
              <w:rPr>
                <w:rStyle w:val="CharacterStyle12"/>
              </w:rPr>
            </w:pPr>
            <w:r>
              <w:rPr>
                <w:rStyle w:val="CharacterStyle12"/>
              </w:rPr>
              <w:t>1.600,00</w:t>
            </w:r>
          </w:p>
        </w:tc>
        <w:tc>
          <w:tcPr>
            <w:tcW w:w="1395" w:type="dxa"/>
            <w:tcBorders>
              <w:bottom w:val="single" w:sz="6" w:space="0" w:color="000000"/>
              <w:right w:val="single" w:sz="6" w:space="0" w:color="000000"/>
            </w:tcBorders>
            <w:vAlign w:val="center"/>
          </w:tcPr>
          <w:p w14:paraId="07C470E4" w14:textId="77777777" w:rsidR="007D706A" w:rsidRDefault="007D706A" w:rsidP="00F70508">
            <w:pPr>
              <w:pStyle w:val="ParagraphStyle12"/>
              <w:rPr>
                <w:rStyle w:val="CharacterStyle12"/>
              </w:rPr>
            </w:pPr>
            <w:r>
              <w:rPr>
                <w:rStyle w:val="CharacterStyle12"/>
              </w:rPr>
              <w:t>1.600,00</w:t>
            </w:r>
          </w:p>
        </w:tc>
      </w:tr>
      <w:tr w:rsidR="007D706A" w14:paraId="7BB8E984" w14:textId="77777777" w:rsidTr="00F70508">
        <w:trPr>
          <w:trHeight w:val="405"/>
        </w:trPr>
        <w:tc>
          <w:tcPr>
            <w:tcW w:w="2880" w:type="dxa"/>
            <w:tcBorders>
              <w:left w:val="single" w:sz="6" w:space="0" w:color="000000"/>
              <w:bottom w:val="single" w:sz="6" w:space="0" w:color="000000"/>
              <w:right w:val="single" w:sz="6" w:space="0" w:color="000000"/>
            </w:tcBorders>
            <w:vAlign w:val="center"/>
          </w:tcPr>
          <w:p w14:paraId="221E5F91" w14:textId="77777777" w:rsidR="007D706A" w:rsidRDefault="007D706A" w:rsidP="00F70508">
            <w:pPr>
              <w:pStyle w:val="ParagraphStyle10"/>
              <w:rPr>
                <w:rStyle w:val="CharacterStyle10"/>
              </w:rPr>
            </w:pPr>
            <w:r>
              <w:rPr>
                <w:rStyle w:val="CharacterStyle10"/>
              </w:rPr>
              <w:t>37</w:t>
            </w:r>
          </w:p>
        </w:tc>
        <w:tc>
          <w:tcPr>
            <w:tcW w:w="4995" w:type="dxa"/>
            <w:tcBorders>
              <w:bottom w:val="single" w:sz="6" w:space="0" w:color="000000"/>
              <w:right w:val="single" w:sz="6" w:space="0" w:color="000000"/>
            </w:tcBorders>
            <w:vAlign w:val="center"/>
          </w:tcPr>
          <w:p w14:paraId="02450B75" w14:textId="77777777" w:rsidR="007D706A" w:rsidRDefault="007D706A" w:rsidP="00F70508">
            <w:pPr>
              <w:pStyle w:val="ParagraphStyle11"/>
              <w:rPr>
                <w:rStyle w:val="CharacterStyle11"/>
              </w:rPr>
            </w:pPr>
            <w:r>
              <w:rPr>
                <w:rStyle w:val="CharacterStyle11"/>
              </w:rPr>
              <w:t>Naknade građanima i kućanstvima na temelju osiguranja i druge naknade</w:t>
            </w:r>
          </w:p>
        </w:tc>
        <w:tc>
          <w:tcPr>
            <w:tcW w:w="1395" w:type="dxa"/>
            <w:tcBorders>
              <w:bottom w:val="single" w:sz="6" w:space="0" w:color="000000"/>
              <w:right w:val="single" w:sz="6" w:space="0" w:color="000000"/>
            </w:tcBorders>
            <w:vAlign w:val="center"/>
          </w:tcPr>
          <w:p w14:paraId="2DD5297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5A3DF1E" w14:textId="77777777" w:rsidR="007D706A" w:rsidRDefault="007D706A" w:rsidP="00F70508">
            <w:pPr>
              <w:pStyle w:val="ParagraphStyle12"/>
              <w:rPr>
                <w:rStyle w:val="CharacterStyle12"/>
              </w:rPr>
            </w:pPr>
            <w:r>
              <w:rPr>
                <w:rStyle w:val="CharacterStyle12"/>
              </w:rPr>
              <w:t>1.600,00</w:t>
            </w:r>
          </w:p>
        </w:tc>
        <w:tc>
          <w:tcPr>
            <w:tcW w:w="1395" w:type="dxa"/>
            <w:tcBorders>
              <w:bottom w:val="single" w:sz="6" w:space="0" w:color="000000"/>
              <w:right w:val="single" w:sz="6" w:space="0" w:color="000000"/>
            </w:tcBorders>
            <w:vAlign w:val="center"/>
          </w:tcPr>
          <w:p w14:paraId="5AB37789" w14:textId="77777777" w:rsidR="007D706A" w:rsidRDefault="007D706A" w:rsidP="00F70508">
            <w:pPr>
              <w:pStyle w:val="ParagraphStyle12"/>
              <w:rPr>
                <w:rStyle w:val="CharacterStyle12"/>
              </w:rPr>
            </w:pPr>
            <w:r>
              <w:rPr>
                <w:rStyle w:val="CharacterStyle12"/>
              </w:rPr>
              <w:t>1.600,00</w:t>
            </w:r>
          </w:p>
        </w:tc>
        <w:tc>
          <w:tcPr>
            <w:tcW w:w="1395" w:type="dxa"/>
            <w:tcBorders>
              <w:bottom w:val="single" w:sz="6" w:space="0" w:color="000000"/>
              <w:right w:val="single" w:sz="6" w:space="0" w:color="000000"/>
            </w:tcBorders>
            <w:vAlign w:val="center"/>
          </w:tcPr>
          <w:p w14:paraId="31FDA35A" w14:textId="77777777" w:rsidR="007D706A" w:rsidRDefault="007D706A" w:rsidP="00F70508">
            <w:pPr>
              <w:pStyle w:val="ParagraphStyle12"/>
              <w:rPr>
                <w:rStyle w:val="CharacterStyle12"/>
              </w:rPr>
            </w:pPr>
            <w:r>
              <w:rPr>
                <w:rStyle w:val="CharacterStyle12"/>
              </w:rPr>
              <w:t>1.600,00</w:t>
            </w:r>
          </w:p>
        </w:tc>
        <w:tc>
          <w:tcPr>
            <w:tcW w:w="1395" w:type="dxa"/>
            <w:tcBorders>
              <w:bottom w:val="single" w:sz="6" w:space="0" w:color="000000"/>
              <w:right w:val="single" w:sz="6" w:space="0" w:color="000000"/>
            </w:tcBorders>
            <w:vAlign w:val="center"/>
          </w:tcPr>
          <w:p w14:paraId="6A7092B4" w14:textId="77777777" w:rsidR="007D706A" w:rsidRDefault="007D706A" w:rsidP="00F70508">
            <w:pPr>
              <w:pStyle w:val="ParagraphStyle12"/>
              <w:rPr>
                <w:rStyle w:val="CharacterStyle12"/>
              </w:rPr>
            </w:pPr>
            <w:r>
              <w:rPr>
                <w:rStyle w:val="CharacterStyle12"/>
              </w:rPr>
              <w:t>1.600,00</w:t>
            </w:r>
          </w:p>
        </w:tc>
      </w:tr>
      <w:tr w:rsidR="007D706A" w14:paraId="0ED4127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FE35CE4"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506FA56A"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6629C6D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BBD5508" w14:textId="77777777" w:rsidR="007D706A" w:rsidRDefault="007D706A" w:rsidP="00F70508">
            <w:pPr>
              <w:pStyle w:val="ParagraphStyle12"/>
              <w:rPr>
                <w:rStyle w:val="CharacterStyle12"/>
              </w:rPr>
            </w:pPr>
            <w:r>
              <w:rPr>
                <w:rStyle w:val="CharacterStyle12"/>
              </w:rPr>
              <w:t>2.400,00</w:t>
            </w:r>
          </w:p>
        </w:tc>
        <w:tc>
          <w:tcPr>
            <w:tcW w:w="1395" w:type="dxa"/>
            <w:tcBorders>
              <w:bottom w:val="single" w:sz="6" w:space="0" w:color="000000"/>
              <w:right w:val="single" w:sz="6" w:space="0" w:color="000000"/>
            </w:tcBorders>
            <w:vAlign w:val="center"/>
          </w:tcPr>
          <w:p w14:paraId="5973FF94" w14:textId="77777777" w:rsidR="007D706A" w:rsidRDefault="007D706A" w:rsidP="00F70508">
            <w:pPr>
              <w:pStyle w:val="ParagraphStyle12"/>
              <w:rPr>
                <w:rStyle w:val="CharacterStyle12"/>
              </w:rPr>
            </w:pPr>
            <w:r>
              <w:rPr>
                <w:rStyle w:val="CharacterStyle12"/>
              </w:rPr>
              <w:t>2.400,00</w:t>
            </w:r>
          </w:p>
        </w:tc>
        <w:tc>
          <w:tcPr>
            <w:tcW w:w="1395" w:type="dxa"/>
            <w:tcBorders>
              <w:bottom w:val="single" w:sz="6" w:space="0" w:color="000000"/>
              <w:right w:val="single" w:sz="6" w:space="0" w:color="000000"/>
            </w:tcBorders>
            <w:vAlign w:val="center"/>
          </w:tcPr>
          <w:p w14:paraId="5220AB5A" w14:textId="77777777" w:rsidR="007D706A" w:rsidRDefault="007D706A" w:rsidP="00F70508">
            <w:pPr>
              <w:pStyle w:val="ParagraphStyle12"/>
              <w:rPr>
                <w:rStyle w:val="CharacterStyle12"/>
              </w:rPr>
            </w:pPr>
            <w:r>
              <w:rPr>
                <w:rStyle w:val="CharacterStyle12"/>
              </w:rPr>
              <w:t>2.400,00</w:t>
            </w:r>
          </w:p>
        </w:tc>
        <w:tc>
          <w:tcPr>
            <w:tcW w:w="1395" w:type="dxa"/>
            <w:tcBorders>
              <w:bottom w:val="single" w:sz="6" w:space="0" w:color="000000"/>
              <w:right w:val="single" w:sz="6" w:space="0" w:color="000000"/>
            </w:tcBorders>
            <w:vAlign w:val="center"/>
          </w:tcPr>
          <w:p w14:paraId="4A5A8CB0" w14:textId="77777777" w:rsidR="007D706A" w:rsidRDefault="007D706A" w:rsidP="00F70508">
            <w:pPr>
              <w:pStyle w:val="ParagraphStyle12"/>
              <w:rPr>
                <w:rStyle w:val="CharacterStyle12"/>
              </w:rPr>
            </w:pPr>
            <w:r>
              <w:rPr>
                <w:rStyle w:val="CharacterStyle12"/>
              </w:rPr>
              <w:t>2.400,00</w:t>
            </w:r>
          </w:p>
        </w:tc>
      </w:tr>
      <w:tr w:rsidR="007D706A" w14:paraId="776A226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8D5CAA7" w14:textId="77777777" w:rsidR="007D706A" w:rsidRDefault="007D706A" w:rsidP="00F70508">
            <w:pPr>
              <w:pStyle w:val="ParagraphStyle10"/>
              <w:rPr>
                <w:rStyle w:val="CharacterStyle10"/>
              </w:rPr>
            </w:pPr>
            <w:r>
              <w:rPr>
                <w:rStyle w:val="CharacterStyle10"/>
              </w:rPr>
              <w:t>42</w:t>
            </w:r>
          </w:p>
        </w:tc>
        <w:tc>
          <w:tcPr>
            <w:tcW w:w="4995" w:type="dxa"/>
            <w:tcBorders>
              <w:bottom w:val="single" w:sz="6" w:space="0" w:color="000000"/>
              <w:right w:val="single" w:sz="6" w:space="0" w:color="000000"/>
            </w:tcBorders>
            <w:vAlign w:val="center"/>
          </w:tcPr>
          <w:p w14:paraId="3CCC5DEE"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073C57A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0FB02CC" w14:textId="77777777" w:rsidR="007D706A" w:rsidRDefault="007D706A" w:rsidP="00F70508">
            <w:pPr>
              <w:pStyle w:val="ParagraphStyle12"/>
              <w:rPr>
                <w:rStyle w:val="CharacterStyle12"/>
              </w:rPr>
            </w:pPr>
            <w:r>
              <w:rPr>
                <w:rStyle w:val="CharacterStyle12"/>
              </w:rPr>
              <w:t>2.400,00</w:t>
            </w:r>
          </w:p>
        </w:tc>
        <w:tc>
          <w:tcPr>
            <w:tcW w:w="1395" w:type="dxa"/>
            <w:tcBorders>
              <w:bottom w:val="single" w:sz="6" w:space="0" w:color="000000"/>
              <w:right w:val="single" w:sz="6" w:space="0" w:color="000000"/>
            </w:tcBorders>
            <w:vAlign w:val="center"/>
          </w:tcPr>
          <w:p w14:paraId="28A72C3E" w14:textId="77777777" w:rsidR="007D706A" w:rsidRDefault="007D706A" w:rsidP="00F70508">
            <w:pPr>
              <w:pStyle w:val="ParagraphStyle12"/>
              <w:rPr>
                <w:rStyle w:val="CharacterStyle12"/>
              </w:rPr>
            </w:pPr>
            <w:r>
              <w:rPr>
                <w:rStyle w:val="CharacterStyle12"/>
              </w:rPr>
              <w:t>2.400,00</w:t>
            </w:r>
          </w:p>
        </w:tc>
        <w:tc>
          <w:tcPr>
            <w:tcW w:w="1395" w:type="dxa"/>
            <w:tcBorders>
              <w:bottom w:val="single" w:sz="6" w:space="0" w:color="000000"/>
              <w:right w:val="single" w:sz="6" w:space="0" w:color="000000"/>
            </w:tcBorders>
            <w:vAlign w:val="center"/>
          </w:tcPr>
          <w:p w14:paraId="30592216" w14:textId="77777777" w:rsidR="007D706A" w:rsidRDefault="007D706A" w:rsidP="00F70508">
            <w:pPr>
              <w:pStyle w:val="ParagraphStyle12"/>
              <w:rPr>
                <w:rStyle w:val="CharacterStyle12"/>
              </w:rPr>
            </w:pPr>
            <w:r>
              <w:rPr>
                <w:rStyle w:val="CharacterStyle12"/>
              </w:rPr>
              <w:t>2.400,00</w:t>
            </w:r>
          </w:p>
        </w:tc>
        <w:tc>
          <w:tcPr>
            <w:tcW w:w="1395" w:type="dxa"/>
            <w:tcBorders>
              <w:bottom w:val="single" w:sz="6" w:space="0" w:color="000000"/>
              <w:right w:val="single" w:sz="6" w:space="0" w:color="000000"/>
            </w:tcBorders>
            <w:vAlign w:val="center"/>
          </w:tcPr>
          <w:p w14:paraId="667D7E7B" w14:textId="77777777" w:rsidR="007D706A" w:rsidRDefault="007D706A" w:rsidP="00F70508">
            <w:pPr>
              <w:pStyle w:val="ParagraphStyle12"/>
              <w:rPr>
                <w:rStyle w:val="CharacterStyle12"/>
              </w:rPr>
            </w:pPr>
            <w:r>
              <w:rPr>
                <w:rStyle w:val="CharacterStyle12"/>
              </w:rPr>
              <w:t>2.400,00</w:t>
            </w:r>
          </w:p>
        </w:tc>
      </w:tr>
      <w:tr w:rsidR="007D706A" w14:paraId="0B15460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DB5BA15" w14:textId="77777777" w:rsidR="007D706A" w:rsidRDefault="007D706A" w:rsidP="00F70508">
            <w:pPr>
              <w:pStyle w:val="ParagraphStyle4"/>
              <w:rPr>
                <w:rStyle w:val="CharacterStyle4"/>
              </w:rPr>
            </w:pPr>
            <w:r>
              <w:rPr>
                <w:rStyle w:val="CharacterStyle4"/>
              </w:rPr>
              <w:t>Tekući projekt T103201</w:t>
            </w:r>
          </w:p>
        </w:tc>
        <w:tc>
          <w:tcPr>
            <w:tcW w:w="4995" w:type="dxa"/>
            <w:tcBorders>
              <w:bottom w:val="single" w:sz="6" w:space="0" w:color="000000"/>
              <w:right w:val="single" w:sz="6" w:space="0" w:color="000000"/>
            </w:tcBorders>
            <w:vAlign w:val="center"/>
          </w:tcPr>
          <w:p w14:paraId="7FB07F2F" w14:textId="77777777" w:rsidR="007D706A" w:rsidRDefault="007D706A" w:rsidP="00F70508">
            <w:pPr>
              <w:pStyle w:val="ParagraphStyle5"/>
              <w:rPr>
                <w:rStyle w:val="CharacterStyle5"/>
              </w:rPr>
            </w:pPr>
            <w:r>
              <w:rPr>
                <w:rStyle w:val="CharacterStyle5"/>
              </w:rPr>
              <w:t>NABAVA VOZILA ZA PRIJEVOZ OSOBE S INVALIDITETOM</w:t>
            </w:r>
          </w:p>
        </w:tc>
        <w:tc>
          <w:tcPr>
            <w:tcW w:w="1395" w:type="dxa"/>
            <w:tcBorders>
              <w:bottom w:val="single" w:sz="6" w:space="0" w:color="000000"/>
              <w:right w:val="single" w:sz="6" w:space="0" w:color="000000"/>
            </w:tcBorders>
            <w:vAlign w:val="center"/>
          </w:tcPr>
          <w:p w14:paraId="310C19D3"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38476EEC" w14:textId="77777777" w:rsidR="007D706A" w:rsidRDefault="007D706A" w:rsidP="00F70508">
            <w:pPr>
              <w:pStyle w:val="ParagraphStyle6"/>
              <w:rPr>
                <w:rStyle w:val="CharacterStyle6"/>
              </w:rPr>
            </w:pPr>
            <w:r>
              <w:rPr>
                <w:rStyle w:val="CharacterStyle6"/>
              </w:rPr>
              <w:t>8.000,00</w:t>
            </w:r>
          </w:p>
        </w:tc>
        <w:tc>
          <w:tcPr>
            <w:tcW w:w="1395" w:type="dxa"/>
            <w:tcBorders>
              <w:bottom w:val="single" w:sz="6" w:space="0" w:color="000000"/>
              <w:right w:val="single" w:sz="6" w:space="0" w:color="000000"/>
            </w:tcBorders>
            <w:vAlign w:val="center"/>
          </w:tcPr>
          <w:p w14:paraId="27772136" w14:textId="77777777" w:rsidR="007D706A" w:rsidRDefault="007D706A" w:rsidP="00F70508">
            <w:pPr>
              <w:pStyle w:val="ParagraphStyle6"/>
              <w:rPr>
                <w:rStyle w:val="CharacterStyle6"/>
              </w:rPr>
            </w:pPr>
            <w:r>
              <w:rPr>
                <w:rStyle w:val="CharacterStyle6"/>
              </w:rPr>
              <w:t>30.000,00</w:t>
            </w:r>
          </w:p>
        </w:tc>
        <w:tc>
          <w:tcPr>
            <w:tcW w:w="1395" w:type="dxa"/>
            <w:tcBorders>
              <w:bottom w:val="single" w:sz="6" w:space="0" w:color="000000"/>
              <w:right w:val="single" w:sz="6" w:space="0" w:color="000000"/>
            </w:tcBorders>
            <w:vAlign w:val="center"/>
          </w:tcPr>
          <w:p w14:paraId="2041E76A" w14:textId="77777777" w:rsidR="007D706A" w:rsidRDefault="007D706A" w:rsidP="00F70508">
            <w:pPr>
              <w:pStyle w:val="ParagraphStyle6"/>
              <w:rPr>
                <w:rStyle w:val="CharacterStyle6"/>
              </w:rPr>
            </w:pPr>
            <w:r>
              <w:rPr>
                <w:rStyle w:val="CharacterStyle6"/>
              </w:rPr>
              <w:t>9.000,00</w:t>
            </w:r>
          </w:p>
        </w:tc>
        <w:tc>
          <w:tcPr>
            <w:tcW w:w="1395" w:type="dxa"/>
            <w:tcBorders>
              <w:bottom w:val="single" w:sz="6" w:space="0" w:color="000000"/>
              <w:right w:val="single" w:sz="6" w:space="0" w:color="000000"/>
            </w:tcBorders>
            <w:vAlign w:val="center"/>
          </w:tcPr>
          <w:p w14:paraId="1B579C56" w14:textId="77777777" w:rsidR="007D706A" w:rsidRDefault="007D706A" w:rsidP="00F70508">
            <w:pPr>
              <w:pStyle w:val="ParagraphStyle6"/>
              <w:rPr>
                <w:rStyle w:val="CharacterStyle6"/>
              </w:rPr>
            </w:pPr>
            <w:r>
              <w:rPr>
                <w:rStyle w:val="CharacterStyle6"/>
              </w:rPr>
              <w:t>9.000,00</w:t>
            </w:r>
          </w:p>
        </w:tc>
      </w:tr>
      <w:tr w:rsidR="007D706A" w14:paraId="00A4794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A2BD8D3"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0F29FA89"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587D121D"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12CD327" w14:textId="77777777" w:rsidR="007D706A" w:rsidRDefault="007D706A" w:rsidP="00F70508">
            <w:pPr>
              <w:pStyle w:val="ParagraphStyle9"/>
              <w:rPr>
                <w:rStyle w:val="CharacterStyle9"/>
              </w:rPr>
            </w:pPr>
            <w:r>
              <w:rPr>
                <w:rStyle w:val="CharacterStyle9"/>
              </w:rPr>
              <w:t>8.000,00</w:t>
            </w:r>
          </w:p>
        </w:tc>
        <w:tc>
          <w:tcPr>
            <w:tcW w:w="1395" w:type="dxa"/>
            <w:tcBorders>
              <w:bottom w:val="single" w:sz="6" w:space="0" w:color="000000"/>
              <w:right w:val="single" w:sz="6" w:space="0" w:color="000000"/>
            </w:tcBorders>
            <w:vAlign w:val="center"/>
          </w:tcPr>
          <w:p w14:paraId="3FAD593B" w14:textId="77777777" w:rsidR="007D706A" w:rsidRDefault="007D706A" w:rsidP="00F70508">
            <w:pPr>
              <w:pStyle w:val="ParagraphStyle9"/>
              <w:rPr>
                <w:rStyle w:val="CharacterStyle9"/>
              </w:rPr>
            </w:pPr>
            <w:r>
              <w:rPr>
                <w:rStyle w:val="CharacterStyle9"/>
              </w:rPr>
              <w:t>30.000,00</w:t>
            </w:r>
          </w:p>
        </w:tc>
        <w:tc>
          <w:tcPr>
            <w:tcW w:w="1395" w:type="dxa"/>
            <w:tcBorders>
              <w:bottom w:val="single" w:sz="6" w:space="0" w:color="000000"/>
              <w:right w:val="single" w:sz="6" w:space="0" w:color="000000"/>
            </w:tcBorders>
            <w:vAlign w:val="center"/>
          </w:tcPr>
          <w:p w14:paraId="78451302" w14:textId="77777777" w:rsidR="007D706A" w:rsidRDefault="007D706A" w:rsidP="00F70508">
            <w:pPr>
              <w:pStyle w:val="ParagraphStyle9"/>
              <w:rPr>
                <w:rStyle w:val="CharacterStyle9"/>
              </w:rPr>
            </w:pPr>
            <w:r>
              <w:rPr>
                <w:rStyle w:val="CharacterStyle9"/>
              </w:rPr>
              <w:t>9.000,00</w:t>
            </w:r>
          </w:p>
        </w:tc>
        <w:tc>
          <w:tcPr>
            <w:tcW w:w="1395" w:type="dxa"/>
            <w:tcBorders>
              <w:bottom w:val="single" w:sz="6" w:space="0" w:color="000000"/>
              <w:right w:val="single" w:sz="6" w:space="0" w:color="000000"/>
            </w:tcBorders>
            <w:vAlign w:val="center"/>
          </w:tcPr>
          <w:p w14:paraId="0CF7271F" w14:textId="77777777" w:rsidR="007D706A" w:rsidRDefault="007D706A" w:rsidP="00F70508">
            <w:pPr>
              <w:pStyle w:val="ParagraphStyle9"/>
              <w:rPr>
                <w:rStyle w:val="CharacterStyle9"/>
              </w:rPr>
            </w:pPr>
            <w:r>
              <w:rPr>
                <w:rStyle w:val="CharacterStyle9"/>
              </w:rPr>
              <w:t>9.000,00</w:t>
            </w:r>
          </w:p>
        </w:tc>
      </w:tr>
      <w:tr w:rsidR="007D706A" w14:paraId="4D4F3EA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0CC4D70"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78C39C93"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035AA55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786EBA1" w14:textId="77777777" w:rsidR="007D706A" w:rsidRDefault="007D706A" w:rsidP="00F70508">
            <w:pPr>
              <w:pStyle w:val="ParagraphStyle12"/>
              <w:rPr>
                <w:rStyle w:val="CharacterStyle12"/>
              </w:rPr>
            </w:pPr>
            <w:r>
              <w:rPr>
                <w:rStyle w:val="CharacterStyle12"/>
              </w:rPr>
              <w:t>8.000,00</w:t>
            </w:r>
          </w:p>
        </w:tc>
        <w:tc>
          <w:tcPr>
            <w:tcW w:w="1395" w:type="dxa"/>
            <w:tcBorders>
              <w:bottom w:val="single" w:sz="6" w:space="0" w:color="000000"/>
              <w:right w:val="single" w:sz="6" w:space="0" w:color="000000"/>
            </w:tcBorders>
            <w:vAlign w:val="center"/>
          </w:tcPr>
          <w:p w14:paraId="1E0A4938" w14:textId="77777777" w:rsidR="007D706A" w:rsidRDefault="007D706A" w:rsidP="00F70508">
            <w:pPr>
              <w:pStyle w:val="ParagraphStyle12"/>
              <w:rPr>
                <w:rStyle w:val="CharacterStyle12"/>
              </w:rPr>
            </w:pPr>
            <w:r>
              <w:rPr>
                <w:rStyle w:val="CharacterStyle12"/>
              </w:rPr>
              <w:t>30.000,00</w:t>
            </w:r>
          </w:p>
        </w:tc>
        <w:tc>
          <w:tcPr>
            <w:tcW w:w="1395" w:type="dxa"/>
            <w:tcBorders>
              <w:bottom w:val="single" w:sz="6" w:space="0" w:color="000000"/>
              <w:right w:val="single" w:sz="6" w:space="0" w:color="000000"/>
            </w:tcBorders>
            <w:vAlign w:val="center"/>
          </w:tcPr>
          <w:p w14:paraId="0BA7B8FF" w14:textId="77777777" w:rsidR="007D706A" w:rsidRDefault="007D706A" w:rsidP="00F70508">
            <w:pPr>
              <w:pStyle w:val="ParagraphStyle12"/>
              <w:rPr>
                <w:rStyle w:val="CharacterStyle12"/>
              </w:rPr>
            </w:pPr>
            <w:r>
              <w:rPr>
                <w:rStyle w:val="CharacterStyle12"/>
              </w:rPr>
              <w:t>9.000,00</w:t>
            </w:r>
          </w:p>
        </w:tc>
        <w:tc>
          <w:tcPr>
            <w:tcW w:w="1395" w:type="dxa"/>
            <w:tcBorders>
              <w:bottom w:val="single" w:sz="6" w:space="0" w:color="000000"/>
              <w:right w:val="single" w:sz="6" w:space="0" w:color="000000"/>
            </w:tcBorders>
            <w:vAlign w:val="center"/>
          </w:tcPr>
          <w:p w14:paraId="3C70C556" w14:textId="77777777" w:rsidR="007D706A" w:rsidRDefault="007D706A" w:rsidP="00F70508">
            <w:pPr>
              <w:pStyle w:val="ParagraphStyle12"/>
              <w:rPr>
                <w:rStyle w:val="CharacterStyle12"/>
              </w:rPr>
            </w:pPr>
            <w:r>
              <w:rPr>
                <w:rStyle w:val="CharacterStyle12"/>
              </w:rPr>
              <w:t>9.000,00</w:t>
            </w:r>
          </w:p>
        </w:tc>
      </w:tr>
      <w:tr w:rsidR="007D706A" w14:paraId="5B5790A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42327F0" w14:textId="77777777" w:rsidR="007D706A" w:rsidRDefault="007D706A" w:rsidP="00F70508">
            <w:pPr>
              <w:pStyle w:val="ParagraphStyle10"/>
              <w:rPr>
                <w:rStyle w:val="CharacterStyle10"/>
              </w:rPr>
            </w:pPr>
            <w:r>
              <w:rPr>
                <w:rStyle w:val="CharacterStyle10"/>
              </w:rPr>
              <w:t>38</w:t>
            </w:r>
          </w:p>
        </w:tc>
        <w:tc>
          <w:tcPr>
            <w:tcW w:w="4995" w:type="dxa"/>
            <w:tcBorders>
              <w:bottom w:val="single" w:sz="6" w:space="0" w:color="000000"/>
              <w:right w:val="single" w:sz="6" w:space="0" w:color="000000"/>
            </w:tcBorders>
            <w:vAlign w:val="center"/>
          </w:tcPr>
          <w:p w14:paraId="03C026E4" w14:textId="77777777" w:rsidR="007D706A" w:rsidRDefault="007D706A" w:rsidP="00F70508">
            <w:pPr>
              <w:pStyle w:val="ParagraphStyle11"/>
              <w:rPr>
                <w:rStyle w:val="CharacterStyle11"/>
              </w:rPr>
            </w:pPr>
            <w:r>
              <w:rPr>
                <w:rStyle w:val="CharacterStyle11"/>
              </w:rPr>
              <w:t>Rashodi za donacije, kazne, naknade šteta i kapitalne pomoći</w:t>
            </w:r>
          </w:p>
        </w:tc>
        <w:tc>
          <w:tcPr>
            <w:tcW w:w="1395" w:type="dxa"/>
            <w:tcBorders>
              <w:bottom w:val="single" w:sz="6" w:space="0" w:color="000000"/>
              <w:right w:val="single" w:sz="6" w:space="0" w:color="000000"/>
            </w:tcBorders>
            <w:vAlign w:val="center"/>
          </w:tcPr>
          <w:p w14:paraId="7DA0A05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63312B4" w14:textId="77777777" w:rsidR="007D706A" w:rsidRDefault="007D706A" w:rsidP="00F70508">
            <w:pPr>
              <w:pStyle w:val="ParagraphStyle12"/>
              <w:rPr>
                <w:rStyle w:val="CharacterStyle12"/>
              </w:rPr>
            </w:pPr>
            <w:r>
              <w:rPr>
                <w:rStyle w:val="CharacterStyle12"/>
              </w:rPr>
              <w:t>8.000,00</w:t>
            </w:r>
          </w:p>
        </w:tc>
        <w:tc>
          <w:tcPr>
            <w:tcW w:w="1395" w:type="dxa"/>
            <w:tcBorders>
              <w:bottom w:val="single" w:sz="6" w:space="0" w:color="000000"/>
              <w:right w:val="single" w:sz="6" w:space="0" w:color="000000"/>
            </w:tcBorders>
            <w:vAlign w:val="center"/>
          </w:tcPr>
          <w:p w14:paraId="40613DC3" w14:textId="77777777" w:rsidR="007D706A" w:rsidRDefault="007D706A" w:rsidP="00F70508">
            <w:pPr>
              <w:pStyle w:val="ParagraphStyle12"/>
              <w:rPr>
                <w:rStyle w:val="CharacterStyle12"/>
              </w:rPr>
            </w:pPr>
            <w:r>
              <w:rPr>
                <w:rStyle w:val="CharacterStyle12"/>
              </w:rPr>
              <w:t>30.000,00</w:t>
            </w:r>
          </w:p>
        </w:tc>
        <w:tc>
          <w:tcPr>
            <w:tcW w:w="1395" w:type="dxa"/>
            <w:tcBorders>
              <w:bottom w:val="single" w:sz="6" w:space="0" w:color="000000"/>
              <w:right w:val="single" w:sz="6" w:space="0" w:color="000000"/>
            </w:tcBorders>
            <w:vAlign w:val="center"/>
          </w:tcPr>
          <w:p w14:paraId="6D8B286B" w14:textId="77777777" w:rsidR="007D706A" w:rsidRDefault="007D706A" w:rsidP="00F70508">
            <w:pPr>
              <w:pStyle w:val="ParagraphStyle12"/>
              <w:rPr>
                <w:rStyle w:val="CharacterStyle12"/>
              </w:rPr>
            </w:pPr>
            <w:r>
              <w:rPr>
                <w:rStyle w:val="CharacterStyle12"/>
              </w:rPr>
              <w:t>9.000,00</w:t>
            </w:r>
          </w:p>
        </w:tc>
        <w:tc>
          <w:tcPr>
            <w:tcW w:w="1395" w:type="dxa"/>
            <w:tcBorders>
              <w:bottom w:val="single" w:sz="6" w:space="0" w:color="000000"/>
              <w:right w:val="single" w:sz="6" w:space="0" w:color="000000"/>
            </w:tcBorders>
            <w:vAlign w:val="center"/>
          </w:tcPr>
          <w:p w14:paraId="0E9A951F" w14:textId="77777777" w:rsidR="007D706A" w:rsidRDefault="007D706A" w:rsidP="00F70508">
            <w:pPr>
              <w:pStyle w:val="ParagraphStyle12"/>
              <w:rPr>
                <w:rStyle w:val="CharacterStyle12"/>
              </w:rPr>
            </w:pPr>
            <w:r>
              <w:rPr>
                <w:rStyle w:val="CharacterStyle12"/>
              </w:rPr>
              <w:t>9.000,00</w:t>
            </w:r>
          </w:p>
        </w:tc>
      </w:tr>
      <w:tr w:rsidR="007D706A" w14:paraId="10CA090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955B1C2" w14:textId="77777777" w:rsidR="007D706A" w:rsidRDefault="007D706A" w:rsidP="00F70508">
            <w:pPr>
              <w:pStyle w:val="ParagraphStyle4"/>
              <w:rPr>
                <w:rStyle w:val="CharacterStyle4"/>
              </w:rPr>
            </w:pPr>
            <w:r>
              <w:rPr>
                <w:rStyle w:val="CharacterStyle4"/>
              </w:rPr>
              <w:t>Aktivnost A103212</w:t>
            </w:r>
          </w:p>
        </w:tc>
        <w:tc>
          <w:tcPr>
            <w:tcW w:w="4995" w:type="dxa"/>
            <w:tcBorders>
              <w:bottom w:val="single" w:sz="6" w:space="0" w:color="000000"/>
              <w:right w:val="single" w:sz="6" w:space="0" w:color="000000"/>
            </w:tcBorders>
            <w:vAlign w:val="center"/>
          </w:tcPr>
          <w:p w14:paraId="77913DCF" w14:textId="77777777" w:rsidR="007D706A" w:rsidRDefault="007D706A" w:rsidP="00F70508">
            <w:pPr>
              <w:pStyle w:val="ParagraphStyle5"/>
              <w:rPr>
                <w:rStyle w:val="CharacterStyle5"/>
              </w:rPr>
            </w:pPr>
            <w:r>
              <w:rPr>
                <w:rStyle w:val="CharacterStyle5"/>
              </w:rPr>
              <w:t>NAKNADA RAZLIKE U CIJENI TOPLOG OBROKA</w:t>
            </w:r>
          </w:p>
        </w:tc>
        <w:tc>
          <w:tcPr>
            <w:tcW w:w="1395" w:type="dxa"/>
            <w:tcBorders>
              <w:bottom w:val="single" w:sz="6" w:space="0" w:color="000000"/>
              <w:right w:val="single" w:sz="6" w:space="0" w:color="000000"/>
            </w:tcBorders>
            <w:vAlign w:val="center"/>
          </w:tcPr>
          <w:p w14:paraId="19FD2257"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1F1B2C10" w14:textId="77777777" w:rsidR="007D706A" w:rsidRDefault="007D706A" w:rsidP="00F70508">
            <w:pPr>
              <w:pStyle w:val="ParagraphStyle6"/>
              <w:rPr>
                <w:rStyle w:val="CharacterStyle6"/>
              </w:rPr>
            </w:pPr>
            <w:r>
              <w:rPr>
                <w:rStyle w:val="CharacterStyle6"/>
              </w:rPr>
              <w:t>8.700,00</w:t>
            </w:r>
          </w:p>
        </w:tc>
        <w:tc>
          <w:tcPr>
            <w:tcW w:w="1395" w:type="dxa"/>
            <w:tcBorders>
              <w:bottom w:val="single" w:sz="6" w:space="0" w:color="000000"/>
              <w:right w:val="single" w:sz="6" w:space="0" w:color="000000"/>
            </w:tcBorders>
            <w:vAlign w:val="center"/>
          </w:tcPr>
          <w:p w14:paraId="70762E16" w14:textId="77777777" w:rsidR="007D706A" w:rsidRDefault="007D706A" w:rsidP="00F70508">
            <w:pPr>
              <w:pStyle w:val="ParagraphStyle6"/>
              <w:rPr>
                <w:rStyle w:val="CharacterStyle6"/>
              </w:rPr>
            </w:pPr>
            <w:r>
              <w:rPr>
                <w:rStyle w:val="CharacterStyle6"/>
              </w:rPr>
              <w:t>8.700,00</w:t>
            </w:r>
          </w:p>
        </w:tc>
        <w:tc>
          <w:tcPr>
            <w:tcW w:w="1395" w:type="dxa"/>
            <w:tcBorders>
              <w:bottom w:val="single" w:sz="6" w:space="0" w:color="000000"/>
              <w:right w:val="single" w:sz="6" w:space="0" w:color="000000"/>
            </w:tcBorders>
            <w:vAlign w:val="center"/>
          </w:tcPr>
          <w:p w14:paraId="00D2FEC1" w14:textId="77777777" w:rsidR="007D706A" w:rsidRDefault="007D706A" w:rsidP="00F70508">
            <w:pPr>
              <w:pStyle w:val="ParagraphStyle6"/>
              <w:rPr>
                <w:rStyle w:val="CharacterStyle6"/>
              </w:rPr>
            </w:pPr>
            <w:r>
              <w:rPr>
                <w:rStyle w:val="CharacterStyle6"/>
              </w:rPr>
              <w:t>9.500,00</w:t>
            </w:r>
          </w:p>
        </w:tc>
        <w:tc>
          <w:tcPr>
            <w:tcW w:w="1395" w:type="dxa"/>
            <w:tcBorders>
              <w:bottom w:val="single" w:sz="6" w:space="0" w:color="000000"/>
              <w:right w:val="single" w:sz="6" w:space="0" w:color="000000"/>
            </w:tcBorders>
            <w:vAlign w:val="center"/>
          </w:tcPr>
          <w:p w14:paraId="3983CFDC" w14:textId="77777777" w:rsidR="007D706A" w:rsidRDefault="007D706A" w:rsidP="00F70508">
            <w:pPr>
              <w:pStyle w:val="ParagraphStyle6"/>
              <w:rPr>
                <w:rStyle w:val="CharacterStyle6"/>
              </w:rPr>
            </w:pPr>
            <w:r>
              <w:rPr>
                <w:rStyle w:val="CharacterStyle6"/>
              </w:rPr>
              <w:t>10.500,00</w:t>
            </w:r>
          </w:p>
        </w:tc>
      </w:tr>
      <w:tr w:rsidR="007D706A" w14:paraId="7EF4CEE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1C9629B"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15D8A0F7"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32A3D03D"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17889F4" w14:textId="77777777" w:rsidR="007D706A" w:rsidRDefault="007D706A" w:rsidP="00F70508">
            <w:pPr>
              <w:pStyle w:val="ParagraphStyle9"/>
              <w:rPr>
                <w:rStyle w:val="CharacterStyle9"/>
              </w:rPr>
            </w:pPr>
            <w:r>
              <w:rPr>
                <w:rStyle w:val="CharacterStyle9"/>
              </w:rPr>
              <w:t>8.700,00</w:t>
            </w:r>
          </w:p>
        </w:tc>
        <w:tc>
          <w:tcPr>
            <w:tcW w:w="1395" w:type="dxa"/>
            <w:tcBorders>
              <w:bottom w:val="single" w:sz="6" w:space="0" w:color="000000"/>
              <w:right w:val="single" w:sz="6" w:space="0" w:color="000000"/>
            </w:tcBorders>
            <w:vAlign w:val="center"/>
          </w:tcPr>
          <w:p w14:paraId="18512EA8" w14:textId="77777777" w:rsidR="007D706A" w:rsidRDefault="007D706A" w:rsidP="00F70508">
            <w:pPr>
              <w:pStyle w:val="ParagraphStyle9"/>
              <w:rPr>
                <w:rStyle w:val="CharacterStyle9"/>
              </w:rPr>
            </w:pPr>
            <w:r>
              <w:rPr>
                <w:rStyle w:val="CharacterStyle9"/>
              </w:rPr>
              <w:t>8.700,00</w:t>
            </w:r>
          </w:p>
        </w:tc>
        <w:tc>
          <w:tcPr>
            <w:tcW w:w="1395" w:type="dxa"/>
            <w:tcBorders>
              <w:bottom w:val="single" w:sz="6" w:space="0" w:color="000000"/>
              <w:right w:val="single" w:sz="6" w:space="0" w:color="000000"/>
            </w:tcBorders>
            <w:vAlign w:val="center"/>
          </w:tcPr>
          <w:p w14:paraId="7D77B4C6" w14:textId="77777777" w:rsidR="007D706A" w:rsidRDefault="007D706A" w:rsidP="00F70508">
            <w:pPr>
              <w:pStyle w:val="ParagraphStyle9"/>
              <w:rPr>
                <w:rStyle w:val="CharacterStyle9"/>
              </w:rPr>
            </w:pPr>
            <w:r>
              <w:rPr>
                <w:rStyle w:val="CharacterStyle9"/>
              </w:rPr>
              <w:t>9.500,00</w:t>
            </w:r>
          </w:p>
        </w:tc>
        <w:tc>
          <w:tcPr>
            <w:tcW w:w="1395" w:type="dxa"/>
            <w:tcBorders>
              <w:bottom w:val="single" w:sz="6" w:space="0" w:color="000000"/>
              <w:right w:val="single" w:sz="6" w:space="0" w:color="000000"/>
            </w:tcBorders>
            <w:vAlign w:val="center"/>
          </w:tcPr>
          <w:p w14:paraId="745F16A6" w14:textId="77777777" w:rsidR="007D706A" w:rsidRDefault="007D706A" w:rsidP="00F70508">
            <w:pPr>
              <w:pStyle w:val="ParagraphStyle9"/>
              <w:rPr>
                <w:rStyle w:val="CharacterStyle9"/>
              </w:rPr>
            </w:pPr>
            <w:r>
              <w:rPr>
                <w:rStyle w:val="CharacterStyle9"/>
              </w:rPr>
              <w:t>10.500,00</w:t>
            </w:r>
          </w:p>
        </w:tc>
      </w:tr>
      <w:tr w:rsidR="007D706A" w14:paraId="75A41B4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0B30DE0"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402811A2"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5C3943B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BE8022D" w14:textId="77777777" w:rsidR="007D706A" w:rsidRDefault="007D706A" w:rsidP="00F70508">
            <w:pPr>
              <w:pStyle w:val="ParagraphStyle12"/>
              <w:rPr>
                <w:rStyle w:val="CharacterStyle12"/>
              </w:rPr>
            </w:pPr>
            <w:r>
              <w:rPr>
                <w:rStyle w:val="CharacterStyle12"/>
              </w:rPr>
              <w:t>8.700,00</w:t>
            </w:r>
          </w:p>
        </w:tc>
        <w:tc>
          <w:tcPr>
            <w:tcW w:w="1395" w:type="dxa"/>
            <w:tcBorders>
              <w:bottom w:val="single" w:sz="6" w:space="0" w:color="000000"/>
              <w:right w:val="single" w:sz="6" w:space="0" w:color="000000"/>
            </w:tcBorders>
            <w:vAlign w:val="center"/>
          </w:tcPr>
          <w:p w14:paraId="2EA83664" w14:textId="77777777" w:rsidR="007D706A" w:rsidRDefault="007D706A" w:rsidP="00F70508">
            <w:pPr>
              <w:pStyle w:val="ParagraphStyle12"/>
              <w:rPr>
                <w:rStyle w:val="CharacterStyle12"/>
              </w:rPr>
            </w:pPr>
            <w:r>
              <w:rPr>
                <w:rStyle w:val="CharacterStyle12"/>
              </w:rPr>
              <w:t>8.700,00</w:t>
            </w:r>
          </w:p>
        </w:tc>
        <w:tc>
          <w:tcPr>
            <w:tcW w:w="1395" w:type="dxa"/>
            <w:tcBorders>
              <w:bottom w:val="single" w:sz="6" w:space="0" w:color="000000"/>
              <w:right w:val="single" w:sz="6" w:space="0" w:color="000000"/>
            </w:tcBorders>
            <w:vAlign w:val="center"/>
          </w:tcPr>
          <w:p w14:paraId="063B5D18" w14:textId="77777777" w:rsidR="007D706A" w:rsidRDefault="007D706A" w:rsidP="00F70508">
            <w:pPr>
              <w:pStyle w:val="ParagraphStyle12"/>
              <w:rPr>
                <w:rStyle w:val="CharacterStyle12"/>
              </w:rPr>
            </w:pPr>
            <w:r>
              <w:rPr>
                <w:rStyle w:val="CharacterStyle12"/>
              </w:rPr>
              <w:t>9.500,00</w:t>
            </w:r>
          </w:p>
        </w:tc>
        <w:tc>
          <w:tcPr>
            <w:tcW w:w="1395" w:type="dxa"/>
            <w:tcBorders>
              <w:bottom w:val="single" w:sz="6" w:space="0" w:color="000000"/>
              <w:right w:val="single" w:sz="6" w:space="0" w:color="000000"/>
            </w:tcBorders>
            <w:vAlign w:val="center"/>
          </w:tcPr>
          <w:p w14:paraId="2E6F0F20" w14:textId="77777777" w:rsidR="007D706A" w:rsidRDefault="007D706A" w:rsidP="00F70508">
            <w:pPr>
              <w:pStyle w:val="ParagraphStyle12"/>
              <w:rPr>
                <w:rStyle w:val="CharacterStyle12"/>
              </w:rPr>
            </w:pPr>
            <w:r>
              <w:rPr>
                <w:rStyle w:val="CharacterStyle12"/>
              </w:rPr>
              <w:t>10.500,00</w:t>
            </w:r>
          </w:p>
        </w:tc>
      </w:tr>
      <w:tr w:rsidR="007D706A" w14:paraId="670BAB94" w14:textId="77777777" w:rsidTr="00F70508">
        <w:trPr>
          <w:trHeight w:val="420"/>
        </w:trPr>
        <w:tc>
          <w:tcPr>
            <w:tcW w:w="2880" w:type="dxa"/>
            <w:tcBorders>
              <w:left w:val="single" w:sz="6" w:space="0" w:color="000000"/>
              <w:bottom w:val="single" w:sz="6" w:space="0" w:color="000000"/>
              <w:right w:val="single" w:sz="6" w:space="0" w:color="000000"/>
            </w:tcBorders>
            <w:vAlign w:val="center"/>
          </w:tcPr>
          <w:p w14:paraId="33B899FD" w14:textId="77777777" w:rsidR="007D706A" w:rsidRDefault="007D706A" w:rsidP="00F70508">
            <w:pPr>
              <w:pStyle w:val="ParagraphStyle10"/>
              <w:rPr>
                <w:rStyle w:val="CharacterStyle10"/>
              </w:rPr>
            </w:pPr>
            <w:r>
              <w:rPr>
                <w:rStyle w:val="CharacterStyle10"/>
              </w:rPr>
              <w:t>37</w:t>
            </w:r>
          </w:p>
        </w:tc>
        <w:tc>
          <w:tcPr>
            <w:tcW w:w="4995" w:type="dxa"/>
            <w:tcBorders>
              <w:bottom w:val="single" w:sz="6" w:space="0" w:color="000000"/>
              <w:right w:val="single" w:sz="6" w:space="0" w:color="000000"/>
            </w:tcBorders>
            <w:vAlign w:val="center"/>
          </w:tcPr>
          <w:p w14:paraId="4BF85527" w14:textId="77777777" w:rsidR="007D706A" w:rsidRDefault="007D706A" w:rsidP="00F70508">
            <w:pPr>
              <w:pStyle w:val="ParagraphStyle11"/>
              <w:rPr>
                <w:rStyle w:val="CharacterStyle11"/>
              </w:rPr>
            </w:pPr>
            <w:r>
              <w:rPr>
                <w:rStyle w:val="CharacterStyle11"/>
              </w:rPr>
              <w:t>Naknade građanima i kućanstvima na temelju osiguranja i druge naknade</w:t>
            </w:r>
          </w:p>
        </w:tc>
        <w:tc>
          <w:tcPr>
            <w:tcW w:w="1395" w:type="dxa"/>
            <w:tcBorders>
              <w:bottom w:val="single" w:sz="6" w:space="0" w:color="000000"/>
              <w:right w:val="single" w:sz="6" w:space="0" w:color="000000"/>
            </w:tcBorders>
            <w:vAlign w:val="center"/>
          </w:tcPr>
          <w:p w14:paraId="10E795A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F6420E0" w14:textId="77777777" w:rsidR="007D706A" w:rsidRDefault="007D706A" w:rsidP="00F70508">
            <w:pPr>
              <w:pStyle w:val="ParagraphStyle12"/>
              <w:rPr>
                <w:rStyle w:val="CharacterStyle12"/>
              </w:rPr>
            </w:pPr>
            <w:r>
              <w:rPr>
                <w:rStyle w:val="CharacterStyle12"/>
              </w:rPr>
              <w:t>8.700,00</w:t>
            </w:r>
          </w:p>
        </w:tc>
        <w:tc>
          <w:tcPr>
            <w:tcW w:w="1395" w:type="dxa"/>
            <w:tcBorders>
              <w:bottom w:val="single" w:sz="6" w:space="0" w:color="000000"/>
              <w:right w:val="single" w:sz="6" w:space="0" w:color="000000"/>
            </w:tcBorders>
            <w:vAlign w:val="center"/>
          </w:tcPr>
          <w:p w14:paraId="5F4DED9E" w14:textId="77777777" w:rsidR="007D706A" w:rsidRDefault="007D706A" w:rsidP="00F70508">
            <w:pPr>
              <w:pStyle w:val="ParagraphStyle12"/>
              <w:rPr>
                <w:rStyle w:val="CharacterStyle12"/>
              </w:rPr>
            </w:pPr>
            <w:r>
              <w:rPr>
                <w:rStyle w:val="CharacterStyle12"/>
              </w:rPr>
              <w:t>8.700,00</w:t>
            </w:r>
          </w:p>
        </w:tc>
        <w:tc>
          <w:tcPr>
            <w:tcW w:w="1395" w:type="dxa"/>
            <w:tcBorders>
              <w:bottom w:val="single" w:sz="6" w:space="0" w:color="000000"/>
              <w:right w:val="single" w:sz="6" w:space="0" w:color="000000"/>
            </w:tcBorders>
            <w:vAlign w:val="center"/>
          </w:tcPr>
          <w:p w14:paraId="4BA1A1BC" w14:textId="77777777" w:rsidR="007D706A" w:rsidRDefault="007D706A" w:rsidP="00F70508">
            <w:pPr>
              <w:pStyle w:val="ParagraphStyle12"/>
              <w:rPr>
                <w:rStyle w:val="CharacterStyle12"/>
              </w:rPr>
            </w:pPr>
            <w:r>
              <w:rPr>
                <w:rStyle w:val="CharacterStyle12"/>
              </w:rPr>
              <w:t>9.500,00</w:t>
            </w:r>
          </w:p>
        </w:tc>
        <w:tc>
          <w:tcPr>
            <w:tcW w:w="1395" w:type="dxa"/>
            <w:tcBorders>
              <w:bottom w:val="single" w:sz="6" w:space="0" w:color="000000"/>
              <w:right w:val="single" w:sz="6" w:space="0" w:color="000000"/>
            </w:tcBorders>
            <w:vAlign w:val="center"/>
          </w:tcPr>
          <w:p w14:paraId="12C69340" w14:textId="77777777" w:rsidR="007D706A" w:rsidRDefault="007D706A" w:rsidP="00F70508">
            <w:pPr>
              <w:pStyle w:val="ParagraphStyle12"/>
              <w:rPr>
                <w:rStyle w:val="CharacterStyle12"/>
              </w:rPr>
            </w:pPr>
            <w:r>
              <w:rPr>
                <w:rStyle w:val="CharacterStyle12"/>
              </w:rPr>
              <w:t>10.500,00</w:t>
            </w:r>
          </w:p>
        </w:tc>
      </w:tr>
      <w:tr w:rsidR="007D706A" w14:paraId="1C42DEFB" w14:textId="77777777" w:rsidTr="00F70508">
        <w:trPr>
          <w:trHeight w:val="405"/>
        </w:trPr>
        <w:tc>
          <w:tcPr>
            <w:tcW w:w="2880" w:type="dxa"/>
            <w:tcBorders>
              <w:left w:val="single" w:sz="6" w:space="0" w:color="000000"/>
              <w:bottom w:val="single" w:sz="6" w:space="0" w:color="000000"/>
              <w:right w:val="single" w:sz="6" w:space="0" w:color="000000"/>
            </w:tcBorders>
            <w:vAlign w:val="center"/>
          </w:tcPr>
          <w:p w14:paraId="45C248D9" w14:textId="77777777" w:rsidR="007D706A" w:rsidRDefault="007D706A" w:rsidP="00F70508">
            <w:pPr>
              <w:pStyle w:val="ParagraphStyle4"/>
              <w:rPr>
                <w:rStyle w:val="CharacterStyle4"/>
              </w:rPr>
            </w:pPr>
            <w:r>
              <w:rPr>
                <w:rStyle w:val="CharacterStyle4"/>
              </w:rPr>
              <w:t>Aktivnost A103221</w:t>
            </w:r>
          </w:p>
        </w:tc>
        <w:tc>
          <w:tcPr>
            <w:tcW w:w="4995" w:type="dxa"/>
            <w:tcBorders>
              <w:bottom w:val="single" w:sz="6" w:space="0" w:color="000000"/>
              <w:right w:val="single" w:sz="6" w:space="0" w:color="000000"/>
            </w:tcBorders>
            <w:vAlign w:val="center"/>
          </w:tcPr>
          <w:p w14:paraId="49717EE1" w14:textId="77777777" w:rsidR="007D706A" w:rsidRDefault="007D706A" w:rsidP="00F70508">
            <w:pPr>
              <w:pStyle w:val="ParagraphStyle5"/>
              <w:rPr>
                <w:rStyle w:val="CharacterStyle5"/>
              </w:rPr>
            </w:pPr>
            <w:r>
              <w:rPr>
                <w:rStyle w:val="CharacterStyle5"/>
              </w:rPr>
              <w:t>SUFINANCIRANJE DNEVNOG BORAVKA U DOMU ZA STARIJE OSOBE "D. PERGOLIS"</w:t>
            </w:r>
          </w:p>
        </w:tc>
        <w:tc>
          <w:tcPr>
            <w:tcW w:w="1395" w:type="dxa"/>
            <w:tcBorders>
              <w:bottom w:val="single" w:sz="6" w:space="0" w:color="000000"/>
              <w:right w:val="single" w:sz="6" w:space="0" w:color="000000"/>
            </w:tcBorders>
            <w:vAlign w:val="center"/>
          </w:tcPr>
          <w:p w14:paraId="221D539C"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5A1D414A" w14:textId="77777777" w:rsidR="007D706A" w:rsidRDefault="007D706A" w:rsidP="00F70508">
            <w:pPr>
              <w:pStyle w:val="ParagraphStyle6"/>
              <w:rPr>
                <w:rStyle w:val="CharacterStyle6"/>
              </w:rPr>
            </w:pPr>
            <w:r>
              <w:rPr>
                <w:rStyle w:val="CharacterStyle6"/>
              </w:rPr>
              <w:t>9.300,00</w:t>
            </w:r>
          </w:p>
        </w:tc>
        <w:tc>
          <w:tcPr>
            <w:tcW w:w="1395" w:type="dxa"/>
            <w:tcBorders>
              <w:bottom w:val="single" w:sz="6" w:space="0" w:color="000000"/>
              <w:right w:val="single" w:sz="6" w:space="0" w:color="000000"/>
            </w:tcBorders>
            <w:vAlign w:val="center"/>
          </w:tcPr>
          <w:p w14:paraId="2F5EA7E0" w14:textId="77777777" w:rsidR="007D706A" w:rsidRDefault="007D706A" w:rsidP="00F70508">
            <w:pPr>
              <w:pStyle w:val="ParagraphStyle6"/>
              <w:rPr>
                <w:rStyle w:val="CharacterStyle6"/>
              </w:rPr>
            </w:pPr>
            <w:r>
              <w:rPr>
                <w:rStyle w:val="CharacterStyle6"/>
              </w:rPr>
              <w:t>9.300,00</w:t>
            </w:r>
          </w:p>
        </w:tc>
        <w:tc>
          <w:tcPr>
            <w:tcW w:w="1395" w:type="dxa"/>
            <w:tcBorders>
              <w:bottom w:val="single" w:sz="6" w:space="0" w:color="000000"/>
              <w:right w:val="single" w:sz="6" w:space="0" w:color="000000"/>
            </w:tcBorders>
            <w:vAlign w:val="center"/>
          </w:tcPr>
          <w:p w14:paraId="5D5AF6BE" w14:textId="77777777" w:rsidR="007D706A" w:rsidRDefault="007D706A" w:rsidP="00F70508">
            <w:pPr>
              <w:pStyle w:val="ParagraphStyle6"/>
              <w:rPr>
                <w:rStyle w:val="CharacterStyle6"/>
              </w:rPr>
            </w:pPr>
            <w:r>
              <w:rPr>
                <w:rStyle w:val="CharacterStyle6"/>
              </w:rPr>
              <w:t>10.000,00</w:t>
            </w:r>
          </w:p>
        </w:tc>
        <w:tc>
          <w:tcPr>
            <w:tcW w:w="1395" w:type="dxa"/>
            <w:tcBorders>
              <w:bottom w:val="single" w:sz="6" w:space="0" w:color="000000"/>
              <w:right w:val="single" w:sz="6" w:space="0" w:color="000000"/>
            </w:tcBorders>
            <w:vAlign w:val="center"/>
          </w:tcPr>
          <w:p w14:paraId="05B8C3F9" w14:textId="77777777" w:rsidR="007D706A" w:rsidRDefault="007D706A" w:rsidP="00F70508">
            <w:pPr>
              <w:pStyle w:val="ParagraphStyle6"/>
              <w:rPr>
                <w:rStyle w:val="CharacterStyle6"/>
              </w:rPr>
            </w:pPr>
            <w:r>
              <w:rPr>
                <w:rStyle w:val="CharacterStyle6"/>
              </w:rPr>
              <w:t>10.000,00</w:t>
            </w:r>
          </w:p>
        </w:tc>
      </w:tr>
      <w:tr w:rsidR="007D706A" w14:paraId="51CBE60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C710D83"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28203BA0"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779C2537"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C4CA2BF" w14:textId="77777777" w:rsidR="007D706A" w:rsidRDefault="007D706A" w:rsidP="00F70508">
            <w:pPr>
              <w:pStyle w:val="ParagraphStyle9"/>
              <w:rPr>
                <w:rStyle w:val="CharacterStyle9"/>
              </w:rPr>
            </w:pPr>
            <w:r>
              <w:rPr>
                <w:rStyle w:val="CharacterStyle9"/>
              </w:rPr>
              <w:t>9.300,00</w:t>
            </w:r>
          </w:p>
        </w:tc>
        <w:tc>
          <w:tcPr>
            <w:tcW w:w="1395" w:type="dxa"/>
            <w:tcBorders>
              <w:bottom w:val="single" w:sz="6" w:space="0" w:color="000000"/>
              <w:right w:val="single" w:sz="6" w:space="0" w:color="000000"/>
            </w:tcBorders>
            <w:vAlign w:val="center"/>
          </w:tcPr>
          <w:p w14:paraId="630C454A" w14:textId="77777777" w:rsidR="007D706A" w:rsidRDefault="007D706A" w:rsidP="00F70508">
            <w:pPr>
              <w:pStyle w:val="ParagraphStyle9"/>
              <w:rPr>
                <w:rStyle w:val="CharacterStyle9"/>
              </w:rPr>
            </w:pPr>
            <w:r>
              <w:rPr>
                <w:rStyle w:val="CharacterStyle9"/>
              </w:rPr>
              <w:t>9.300,00</w:t>
            </w:r>
          </w:p>
        </w:tc>
        <w:tc>
          <w:tcPr>
            <w:tcW w:w="1395" w:type="dxa"/>
            <w:tcBorders>
              <w:bottom w:val="single" w:sz="6" w:space="0" w:color="000000"/>
              <w:right w:val="single" w:sz="6" w:space="0" w:color="000000"/>
            </w:tcBorders>
            <w:vAlign w:val="center"/>
          </w:tcPr>
          <w:p w14:paraId="68CB01CB" w14:textId="77777777" w:rsidR="007D706A" w:rsidRDefault="007D706A" w:rsidP="00F70508">
            <w:pPr>
              <w:pStyle w:val="ParagraphStyle9"/>
              <w:rPr>
                <w:rStyle w:val="CharacterStyle9"/>
              </w:rPr>
            </w:pPr>
            <w:r>
              <w:rPr>
                <w:rStyle w:val="CharacterStyle9"/>
              </w:rPr>
              <w:t>10.000,00</w:t>
            </w:r>
          </w:p>
        </w:tc>
        <w:tc>
          <w:tcPr>
            <w:tcW w:w="1395" w:type="dxa"/>
            <w:tcBorders>
              <w:bottom w:val="single" w:sz="6" w:space="0" w:color="000000"/>
              <w:right w:val="single" w:sz="6" w:space="0" w:color="000000"/>
            </w:tcBorders>
            <w:vAlign w:val="center"/>
          </w:tcPr>
          <w:p w14:paraId="4F10C7C0" w14:textId="77777777" w:rsidR="007D706A" w:rsidRDefault="007D706A" w:rsidP="00F70508">
            <w:pPr>
              <w:pStyle w:val="ParagraphStyle9"/>
              <w:rPr>
                <w:rStyle w:val="CharacterStyle9"/>
              </w:rPr>
            </w:pPr>
            <w:r>
              <w:rPr>
                <w:rStyle w:val="CharacterStyle9"/>
              </w:rPr>
              <w:t>10.000,00</w:t>
            </w:r>
          </w:p>
        </w:tc>
      </w:tr>
      <w:tr w:rsidR="007D706A" w14:paraId="7694F3B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6441C6B"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4E02FD1A"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63B4AC2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53E4378" w14:textId="77777777" w:rsidR="007D706A" w:rsidRDefault="007D706A" w:rsidP="00F70508">
            <w:pPr>
              <w:pStyle w:val="ParagraphStyle12"/>
              <w:rPr>
                <w:rStyle w:val="CharacterStyle12"/>
              </w:rPr>
            </w:pPr>
            <w:r>
              <w:rPr>
                <w:rStyle w:val="CharacterStyle12"/>
              </w:rPr>
              <w:t>9.300,00</w:t>
            </w:r>
          </w:p>
        </w:tc>
        <w:tc>
          <w:tcPr>
            <w:tcW w:w="1395" w:type="dxa"/>
            <w:tcBorders>
              <w:bottom w:val="single" w:sz="6" w:space="0" w:color="000000"/>
              <w:right w:val="single" w:sz="6" w:space="0" w:color="000000"/>
            </w:tcBorders>
            <w:vAlign w:val="center"/>
          </w:tcPr>
          <w:p w14:paraId="60AF1581" w14:textId="77777777" w:rsidR="007D706A" w:rsidRDefault="007D706A" w:rsidP="00F70508">
            <w:pPr>
              <w:pStyle w:val="ParagraphStyle12"/>
              <w:rPr>
                <w:rStyle w:val="CharacterStyle12"/>
              </w:rPr>
            </w:pPr>
            <w:r>
              <w:rPr>
                <w:rStyle w:val="CharacterStyle12"/>
              </w:rPr>
              <w:t>9.300,00</w:t>
            </w:r>
          </w:p>
        </w:tc>
        <w:tc>
          <w:tcPr>
            <w:tcW w:w="1395" w:type="dxa"/>
            <w:tcBorders>
              <w:bottom w:val="single" w:sz="6" w:space="0" w:color="000000"/>
              <w:right w:val="single" w:sz="6" w:space="0" w:color="000000"/>
            </w:tcBorders>
            <w:vAlign w:val="center"/>
          </w:tcPr>
          <w:p w14:paraId="37D8D792" w14:textId="77777777" w:rsidR="007D706A" w:rsidRDefault="007D706A" w:rsidP="00F70508">
            <w:pPr>
              <w:pStyle w:val="ParagraphStyle12"/>
              <w:rPr>
                <w:rStyle w:val="CharacterStyle12"/>
              </w:rPr>
            </w:pPr>
            <w:r>
              <w:rPr>
                <w:rStyle w:val="CharacterStyle12"/>
              </w:rPr>
              <w:t>10.000,00</w:t>
            </w:r>
          </w:p>
        </w:tc>
        <w:tc>
          <w:tcPr>
            <w:tcW w:w="1395" w:type="dxa"/>
            <w:tcBorders>
              <w:bottom w:val="single" w:sz="6" w:space="0" w:color="000000"/>
              <w:right w:val="single" w:sz="6" w:space="0" w:color="000000"/>
            </w:tcBorders>
            <w:vAlign w:val="center"/>
          </w:tcPr>
          <w:p w14:paraId="14D2D07C" w14:textId="77777777" w:rsidR="007D706A" w:rsidRDefault="007D706A" w:rsidP="00F70508">
            <w:pPr>
              <w:pStyle w:val="ParagraphStyle12"/>
              <w:rPr>
                <w:rStyle w:val="CharacterStyle12"/>
              </w:rPr>
            </w:pPr>
            <w:r>
              <w:rPr>
                <w:rStyle w:val="CharacterStyle12"/>
              </w:rPr>
              <w:t>10.000,00</w:t>
            </w:r>
          </w:p>
        </w:tc>
      </w:tr>
      <w:tr w:rsidR="007D706A" w14:paraId="1FBC997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B56CF68" w14:textId="77777777" w:rsidR="007D706A" w:rsidRDefault="007D706A" w:rsidP="00F70508">
            <w:pPr>
              <w:pStyle w:val="ParagraphStyle10"/>
              <w:rPr>
                <w:rStyle w:val="CharacterStyle10"/>
              </w:rPr>
            </w:pPr>
            <w:r>
              <w:rPr>
                <w:rStyle w:val="CharacterStyle10"/>
              </w:rPr>
              <w:t>36</w:t>
            </w:r>
          </w:p>
        </w:tc>
        <w:tc>
          <w:tcPr>
            <w:tcW w:w="4995" w:type="dxa"/>
            <w:tcBorders>
              <w:bottom w:val="single" w:sz="6" w:space="0" w:color="000000"/>
              <w:right w:val="single" w:sz="6" w:space="0" w:color="000000"/>
            </w:tcBorders>
            <w:vAlign w:val="center"/>
          </w:tcPr>
          <w:p w14:paraId="5C5FA278" w14:textId="77777777" w:rsidR="007D706A" w:rsidRDefault="007D706A" w:rsidP="00F70508">
            <w:pPr>
              <w:pStyle w:val="ParagraphStyle11"/>
              <w:rPr>
                <w:rStyle w:val="CharacterStyle11"/>
              </w:rPr>
            </w:pPr>
            <w:r>
              <w:rPr>
                <w:rStyle w:val="CharacterStyle11"/>
              </w:rPr>
              <w:t>Pomoći dane u inozemstvo i unutar općeg proračuna</w:t>
            </w:r>
          </w:p>
        </w:tc>
        <w:tc>
          <w:tcPr>
            <w:tcW w:w="1395" w:type="dxa"/>
            <w:tcBorders>
              <w:bottom w:val="single" w:sz="6" w:space="0" w:color="000000"/>
              <w:right w:val="single" w:sz="6" w:space="0" w:color="000000"/>
            </w:tcBorders>
            <w:vAlign w:val="center"/>
          </w:tcPr>
          <w:p w14:paraId="5BE8BFB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B0ECAF0" w14:textId="77777777" w:rsidR="007D706A" w:rsidRDefault="007D706A" w:rsidP="00F70508">
            <w:pPr>
              <w:pStyle w:val="ParagraphStyle12"/>
              <w:rPr>
                <w:rStyle w:val="CharacterStyle12"/>
              </w:rPr>
            </w:pPr>
            <w:r>
              <w:rPr>
                <w:rStyle w:val="CharacterStyle12"/>
              </w:rPr>
              <w:t>9.300,00</w:t>
            </w:r>
          </w:p>
        </w:tc>
        <w:tc>
          <w:tcPr>
            <w:tcW w:w="1395" w:type="dxa"/>
            <w:tcBorders>
              <w:bottom w:val="single" w:sz="6" w:space="0" w:color="000000"/>
              <w:right w:val="single" w:sz="6" w:space="0" w:color="000000"/>
            </w:tcBorders>
            <w:vAlign w:val="center"/>
          </w:tcPr>
          <w:p w14:paraId="518C004D" w14:textId="77777777" w:rsidR="007D706A" w:rsidRDefault="007D706A" w:rsidP="00F70508">
            <w:pPr>
              <w:pStyle w:val="ParagraphStyle12"/>
              <w:rPr>
                <w:rStyle w:val="CharacterStyle12"/>
              </w:rPr>
            </w:pPr>
            <w:r>
              <w:rPr>
                <w:rStyle w:val="CharacterStyle12"/>
              </w:rPr>
              <w:t>9.300,00</w:t>
            </w:r>
          </w:p>
        </w:tc>
        <w:tc>
          <w:tcPr>
            <w:tcW w:w="1395" w:type="dxa"/>
            <w:tcBorders>
              <w:bottom w:val="single" w:sz="6" w:space="0" w:color="000000"/>
              <w:right w:val="single" w:sz="6" w:space="0" w:color="000000"/>
            </w:tcBorders>
            <w:vAlign w:val="center"/>
          </w:tcPr>
          <w:p w14:paraId="02F45CC6" w14:textId="77777777" w:rsidR="007D706A" w:rsidRDefault="007D706A" w:rsidP="00F70508">
            <w:pPr>
              <w:pStyle w:val="ParagraphStyle12"/>
              <w:rPr>
                <w:rStyle w:val="CharacterStyle12"/>
              </w:rPr>
            </w:pPr>
            <w:r>
              <w:rPr>
                <w:rStyle w:val="CharacterStyle12"/>
              </w:rPr>
              <w:t>10.000,00</w:t>
            </w:r>
          </w:p>
        </w:tc>
        <w:tc>
          <w:tcPr>
            <w:tcW w:w="1395" w:type="dxa"/>
            <w:tcBorders>
              <w:bottom w:val="single" w:sz="6" w:space="0" w:color="000000"/>
              <w:right w:val="single" w:sz="6" w:space="0" w:color="000000"/>
            </w:tcBorders>
            <w:vAlign w:val="center"/>
          </w:tcPr>
          <w:p w14:paraId="7397C063" w14:textId="77777777" w:rsidR="007D706A" w:rsidRDefault="007D706A" w:rsidP="00F70508">
            <w:pPr>
              <w:pStyle w:val="ParagraphStyle12"/>
              <w:rPr>
                <w:rStyle w:val="CharacterStyle12"/>
              </w:rPr>
            </w:pPr>
            <w:r>
              <w:rPr>
                <w:rStyle w:val="CharacterStyle12"/>
              </w:rPr>
              <w:t>10.000,00</w:t>
            </w:r>
          </w:p>
        </w:tc>
      </w:tr>
      <w:tr w:rsidR="007D706A" w14:paraId="20105BF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158529C" w14:textId="77777777" w:rsidR="007D706A" w:rsidRDefault="007D706A" w:rsidP="00F70508">
            <w:pPr>
              <w:pStyle w:val="ParagraphStyle4"/>
              <w:rPr>
                <w:rStyle w:val="CharacterStyle4"/>
              </w:rPr>
            </w:pPr>
            <w:r>
              <w:rPr>
                <w:rStyle w:val="CharacterStyle4"/>
              </w:rPr>
              <w:t>Aktivnost A103211</w:t>
            </w:r>
          </w:p>
        </w:tc>
        <w:tc>
          <w:tcPr>
            <w:tcW w:w="4995" w:type="dxa"/>
            <w:tcBorders>
              <w:bottom w:val="single" w:sz="6" w:space="0" w:color="000000"/>
              <w:right w:val="single" w:sz="6" w:space="0" w:color="000000"/>
            </w:tcBorders>
            <w:vAlign w:val="center"/>
          </w:tcPr>
          <w:p w14:paraId="5465DF1F" w14:textId="77777777" w:rsidR="007D706A" w:rsidRDefault="007D706A" w:rsidP="00F70508">
            <w:pPr>
              <w:pStyle w:val="ParagraphStyle5"/>
              <w:rPr>
                <w:rStyle w:val="CharacterStyle5"/>
              </w:rPr>
            </w:pPr>
            <w:r>
              <w:rPr>
                <w:rStyle w:val="CharacterStyle5"/>
              </w:rPr>
              <w:t>NAKNADA RAZLIKE U CIJENI STANOVANJA</w:t>
            </w:r>
          </w:p>
        </w:tc>
        <w:tc>
          <w:tcPr>
            <w:tcW w:w="1395" w:type="dxa"/>
            <w:tcBorders>
              <w:bottom w:val="single" w:sz="6" w:space="0" w:color="000000"/>
              <w:right w:val="single" w:sz="6" w:space="0" w:color="000000"/>
            </w:tcBorders>
            <w:vAlign w:val="center"/>
          </w:tcPr>
          <w:p w14:paraId="632D87CB"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64BF6749" w14:textId="77777777" w:rsidR="007D706A" w:rsidRDefault="007D706A" w:rsidP="00F70508">
            <w:pPr>
              <w:pStyle w:val="ParagraphStyle6"/>
              <w:rPr>
                <w:rStyle w:val="CharacterStyle6"/>
              </w:rPr>
            </w:pPr>
            <w:r>
              <w:rPr>
                <w:rStyle w:val="CharacterStyle6"/>
              </w:rPr>
              <w:t>26.480,00</w:t>
            </w:r>
          </w:p>
        </w:tc>
        <w:tc>
          <w:tcPr>
            <w:tcW w:w="1395" w:type="dxa"/>
            <w:tcBorders>
              <w:bottom w:val="single" w:sz="6" w:space="0" w:color="000000"/>
              <w:right w:val="single" w:sz="6" w:space="0" w:color="000000"/>
            </w:tcBorders>
            <w:vAlign w:val="center"/>
          </w:tcPr>
          <w:p w14:paraId="1DEA54FB" w14:textId="77777777" w:rsidR="007D706A" w:rsidRDefault="007D706A" w:rsidP="00F70508">
            <w:pPr>
              <w:pStyle w:val="ParagraphStyle6"/>
              <w:rPr>
                <w:rStyle w:val="CharacterStyle6"/>
              </w:rPr>
            </w:pPr>
            <w:r>
              <w:rPr>
                <w:rStyle w:val="CharacterStyle6"/>
              </w:rPr>
              <w:t>26.480,00</w:t>
            </w:r>
          </w:p>
        </w:tc>
        <w:tc>
          <w:tcPr>
            <w:tcW w:w="1395" w:type="dxa"/>
            <w:tcBorders>
              <w:bottom w:val="single" w:sz="6" w:space="0" w:color="000000"/>
              <w:right w:val="single" w:sz="6" w:space="0" w:color="000000"/>
            </w:tcBorders>
            <w:vAlign w:val="center"/>
          </w:tcPr>
          <w:p w14:paraId="41CAE585" w14:textId="77777777" w:rsidR="007D706A" w:rsidRDefault="007D706A" w:rsidP="00F70508">
            <w:pPr>
              <w:pStyle w:val="ParagraphStyle6"/>
              <w:rPr>
                <w:rStyle w:val="CharacterStyle6"/>
              </w:rPr>
            </w:pPr>
            <w:r>
              <w:rPr>
                <w:rStyle w:val="CharacterStyle6"/>
              </w:rPr>
              <w:t>27.500,00</w:t>
            </w:r>
          </w:p>
        </w:tc>
        <w:tc>
          <w:tcPr>
            <w:tcW w:w="1395" w:type="dxa"/>
            <w:tcBorders>
              <w:bottom w:val="single" w:sz="6" w:space="0" w:color="000000"/>
              <w:right w:val="single" w:sz="6" w:space="0" w:color="000000"/>
            </w:tcBorders>
            <w:vAlign w:val="center"/>
          </w:tcPr>
          <w:p w14:paraId="1FD3EBF8" w14:textId="77777777" w:rsidR="007D706A" w:rsidRDefault="007D706A" w:rsidP="00F70508">
            <w:pPr>
              <w:pStyle w:val="ParagraphStyle6"/>
              <w:rPr>
                <w:rStyle w:val="CharacterStyle6"/>
              </w:rPr>
            </w:pPr>
            <w:r>
              <w:rPr>
                <w:rStyle w:val="CharacterStyle6"/>
              </w:rPr>
              <w:t>28.500,00</w:t>
            </w:r>
          </w:p>
        </w:tc>
      </w:tr>
      <w:tr w:rsidR="007D706A" w14:paraId="682A298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EA4E886"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077935B3"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500DBF69"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A74FF81" w14:textId="77777777" w:rsidR="007D706A" w:rsidRDefault="007D706A" w:rsidP="00F70508">
            <w:pPr>
              <w:pStyle w:val="ParagraphStyle9"/>
              <w:rPr>
                <w:rStyle w:val="CharacterStyle9"/>
              </w:rPr>
            </w:pPr>
            <w:r>
              <w:rPr>
                <w:rStyle w:val="CharacterStyle9"/>
              </w:rPr>
              <w:t>26.480,00</w:t>
            </w:r>
          </w:p>
        </w:tc>
        <w:tc>
          <w:tcPr>
            <w:tcW w:w="1395" w:type="dxa"/>
            <w:tcBorders>
              <w:bottom w:val="single" w:sz="6" w:space="0" w:color="000000"/>
              <w:right w:val="single" w:sz="6" w:space="0" w:color="000000"/>
            </w:tcBorders>
            <w:vAlign w:val="center"/>
          </w:tcPr>
          <w:p w14:paraId="357AC1F8" w14:textId="77777777" w:rsidR="007D706A" w:rsidRDefault="007D706A" w:rsidP="00F70508">
            <w:pPr>
              <w:pStyle w:val="ParagraphStyle9"/>
              <w:rPr>
                <w:rStyle w:val="CharacterStyle9"/>
              </w:rPr>
            </w:pPr>
            <w:r>
              <w:rPr>
                <w:rStyle w:val="CharacterStyle9"/>
              </w:rPr>
              <w:t>26.480,00</w:t>
            </w:r>
          </w:p>
        </w:tc>
        <w:tc>
          <w:tcPr>
            <w:tcW w:w="1395" w:type="dxa"/>
            <w:tcBorders>
              <w:bottom w:val="single" w:sz="6" w:space="0" w:color="000000"/>
              <w:right w:val="single" w:sz="6" w:space="0" w:color="000000"/>
            </w:tcBorders>
            <w:vAlign w:val="center"/>
          </w:tcPr>
          <w:p w14:paraId="41701339" w14:textId="77777777" w:rsidR="007D706A" w:rsidRDefault="007D706A" w:rsidP="00F70508">
            <w:pPr>
              <w:pStyle w:val="ParagraphStyle9"/>
              <w:rPr>
                <w:rStyle w:val="CharacterStyle9"/>
              </w:rPr>
            </w:pPr>
            <w:r>
              <w:rPr>
                <w:rStyle w:val="CharacterStyle9"/>
              </w:rPr>
              <w:t>27.500,00</w:t>
            </w:r>
          </w:p>
        </w:tc>
        <w:tc>
          <w:tcPr>
            <w:tcW w:w="1395" w:type="dxa"/>
            <w:tcBorders>
              <w:bottom w:val="single" w:sz="6" w:space="0" w:color="000000"/>
              <w:right w:val="single" w:sz="6" w:space="0" w:color="000000"/>
            </w:tcBorders>
            <w:vAlign w:val="center"/>
          </w:tcPr>
          <w:p w14:paraId="039E3A2B" w14:textId="77777777" w:rsidR="007D706A" w:rsidRDefault="007D706A" w:rsidP="00F70508">
            <w:pPr>
              <w:pStyle w:val="ParagraphStyle9"/>
              <w:rPr>
                <w:rStyle w:val="CharacterStyle9"/>
              </w:rPr>
            </w:pPr>
            <w:r>
              <w:rPr>
                <w:rStyle w:val="CharacterStyle9"/>
              </w:rPr>
              <w:t>28.500,00</w:t>
            </w:r>
          </w:p>
        </w:tc>
      </w:tr>
      <w:tr w:rsidR="007D706A" w14:paraId="041709B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488432A"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6A85664A"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1AB2226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EDE1352" w14:textId="77777777" w:rsidR="007D706A" w:rsidRDefault="007D706A" w:rsidP="00F70508">
            <w:pPr>
              <w:pStyle w:val="ParagraphStyle12"/>
              <w:rPr>
                <w:rStyle w:val="CharacterStyle12"/>
              </w:rPr>
            </w:pPr>
            <w:r>
              <w:rPr>
                <w:rStyle w:val="CharacterStyle12"/>
              </w:rPr>
              <w:t>26.480,00</w:t>
            </w:r>
          </w:p>
        </w:tc>
        <w:tc>
          <w:tcPr>
            <w:tcW w:w="1395" w:type="dxa"/>
            <w:tcBorders>
              <w:bottom w:val="single" w:sz="6" w:space="0" w:color="000000"/>
              <w:right w:val="single" w:sz="6" w:space="0" w:color="000000"/>
            </w:tcBorders>
            <w:vAlign w:val="center"/>
          </w:tcPr>
          <w:p w14:paraId="68980515" w14:textId="77777777" w:rsidR="007D706A" w:rsidRDefault="007D706A" w:rsidP="00F70508">
            <w:pPr>
              <w:pStyle w:val="ParagraphStyle12"/>
              <w:rPr>
                <w:rStyle w:val="CharacterStyle12"/>
              </w:rPr>
            </w:pPr>
            <w:r>
              <w:rPr>
                <w:rStyle w:val="CharacterStyle12"/>
              </w:rPr>
              <w:t>26.480,00</w:t>
            </w:r>
          </w:p>
        </w:tc>
        <w:tc>
          <w:tcPr>
            <w:tcW w:w="1395" w:type="dxa"/>
            <w:tcBorders>
              <w:bottom w:val="single" w:sz="6" w:space="0" w:color="000000"/>
              <w:right w:val="single" w:sz="6" w:space="0" w:color="000000"/>
            </w:tcBorders>
            <w:vAlign w:val="center"/>
          </w:tcPr>
          <w:p w14:paraId="2B07DDBB" w14:textId="77777777" w:rsidR="007D706A" w:rsidRDefault="007D706A" w:rsidP="00F70508">
            <w:pPr>
              <w:pStyle w:val="ParagraphStyle12"/>
              <w:rPr>
                <w:rStyle w:val="CharacterStyle12"/>
              </w:rPr>
            </w:pPr>
            <w:r>
              <w:rPr>
                <w:rStyle w:val="CharacterStyle12"/>
              </w:rPr>
              <w:t>27.500,00</w:t>
            </w:r>
          </w:p>
        </w:tc>
        <w:tc>
          <w:tcPr>
            <w:tcW w:w="1395" w:type="dxa"/>
            <w:tcBorders>
              <w:bottom w:val="single" w:sz="6" w:space="0" w:color="000000"/>
              <w:right w:val="single" w:sz="6" w:space="0" w:color="000000"/>
            </w:tcBorders>
            <w:vAlign w:val="center"/>
          </w:tcPr>
          <w:p w14:paraId="67D2265F" w14:textId="77777777" w:rsidR="007D706A" w:rsidRDefault="007D706A" w:rsidP="00F70508">
            <w:pPr>
              <w:pStyle w:val="ParagraphStyle12"/>
              <w:rPr>
                <w:rStyle w:val="CharacterStyle12"/>
              </w:rPr>
            </w:pPr>
            <w:r>
              <w:rPr>
                <w:rStyle w:val="CharacterStyle12"/>
              </w:rPr>
              <w:t>28.500,00</w:t>
            </w:r>
          </w:p>
        </w:tc>
      </w:tr>
      <w:tr w:rsidR="007D706A" w14:paraId="3115287A" w14:textId="77777777" w:rsidTr="00F70508">
        <w:trPr>
          <w:trHeight w:val="420"/>
        </w:trPr>
        <w:tc>
          <w:tcPr>
            <w:tcW w:w="2880" w:type="dxa"/>
            <w:tcBorders>
              <w:left w:val="single" w:sz="6" w:space="0" w:color="000000"/>
              <w:bottom w:val="single" w:sz="6" w:space="0" w:color="000000"/>
              <w:right w:val="single" w:sz="6" w:space="0" w:color="000000"/>
            </w:tcBorders>
            <w:vAlign w:val="center"/>
          </w:tcPr>
          <w:p w14:paraId="02DD81D6" w14:textId="77777777" w:rsidR="007D706A" w:rsidRDefault="007D706A" w:rsidP="00F70508">
            <w:pPr>
              <w:pStyle w:val="ParagraphStyle10"/>
              <w:rPr>
                <w:rStyle w:val="CharacterStyle10"/>
              </w:rPr>
            </w:pPr>
            <w:r>
              <w:rPr>
                <w:rStyle w:val="CharacterStyle10"/>
              </w:rPr>
              <w:t>37</w:t>
            </w:r>
          </w:p>
        </w:tc>
        <w:tc>
          <w:tcPr>
            <w:tcW w:w="4995" w:type="dxa"/>
            <w:tcBorders>
              <w:bottom w:val="single" w:sz="6" w:space="0" w:color="000000"/>
              <w:right w:val="single" w:sz="6" w:space="0" w:color="000000"/>
            </w:tcBorders>
            <w:vAlign w:val="center"/>
          </w:tcPr>
          <w:p w14:paraId="06CAB0FC" w14:textId="77777777" w:rsidR="007D706A" w:rsidRDefault="007D706A" w:rsidP="00F70508">
            <w:pPr>
              <w:pStyle w:val="ParagraphStyle11"/>
              <w:rPr>
                <w:rStyle w:val="CharacterStyle11"/>
              </w:rPr>
            </w:pPr>
            <w:r>
              <w:rPr>
                <w:rStyle w:val="CharacterStyle11"/>
              </w:rPr>
              <w:t>Naknade građanima i kućanstvima na temelju osiguranja i druge naknade</w:t>
            </w:r>
          </w:p>
        </w:tc>
        <w:tc>
          <w:tcPr>
            <w:tcW w:w="1395" w:type="dxa"/>
            <w:tcBorders>
              <w:bottom w:val="single" w:sz="6" w:space="0" w:color="000000"/>
              <w:right w:val="single" w:sz="6" w:space="0" w:color="000000"/>
            </w:tcBorders>
            <w:vAlign w:val="center"/>
          </w:tcPr>
          <w:p w14:paraId="28F4568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0A8D64C" w14:textId="77777777" w:rsidR="007D706A" w:rsidRDefault="007D706A" w:rsidP="00F70508">
            <w:pPr>
              <w:pStyle w:val="ParagraphStyle12"/>
              <w:rPr>
                <w:rStyle w:val="CharacterStyle12"/>
              </w:rPr>
            </w:pPr>
            <w:r>
              <w:rPr>
                <w:rStyle w:val="CharacterStyle12"/>
              </w:rPr>
              <w:t>26.480,00</w:t>
            </w:r>
          </w:p>
        </w:tc>
        <w:tc>
          <w:tcPr>
            <w:tcW w:w="1395" w:type="dxa"/>
            <w:tcBorders>
              <w:bottom w:val="single" w:sz="6" w:space="0" w:color="000000"/>
              <w:right w:val="single" w:sz="6" w:space="0" w:color="000000"/>
            </w:tcBorders>
            <w:vAlign w:val="center"/>
          </w:tcPr>
          <w:p w14:paraId="2831FAF7" w14:textId="77777777" w:rsidR="007D706A" w:rsidRDefault="007D706A" w:rsidP="00F70508">
            <w:pPr>
              <w:pStyle w:val="ParagraphStyle12"/>
              <w:rPr>
                <w:rStyle w:val="CharacterStyle12"/>
              </w:rPr>
            </w:pPr>
            <w:r>
              <w:rPr>
                <w:rStyle w:val="CharacterStyle12"/>
              </w:rPr>
              <w:t>26.480,00</w:t>
            </w:r>
          </w:p>
        </w:tc>
        <w:tc>
          <w:tcPr>
            <w:tcW w:w="1395" w:type="dxa"/>
            <w:tcBorders>
              <w:bottom w:val="single" w:sz="6" w:space="0" w:color="000000"/>
              <w:right w:val="single" w:sz="6" w:space="0" w:color="000000"/>
            </w:tcBorders>
            <w:vAlign w:val="center"/>
          </w:tcPr>
          <w:p w14:paraId="20758D54" w14:textId="77777777" w:rsidR="007D706A" w:rsidRDefault="007D706A" w:rsidP="00F70508">
            <w:pPr>
              <w:pStyle w:val="ParagraphStyle12"/>
              <w:rPr>
                <w:rStyle w:val="CharacterStyle12"/>
              </w:rPr>
            </w:pPr>
            <w:r>
              <w:rPr>
                <w:rStyle w:val="CharacterStyle12"/>
              </w:rPr>
              <w:t>27.500,00</w:t>
            </w:r>
          </w:p>
        </w:tc>
        <w:tc>
          <w:tcPr>
            <w:tcW w:w="1395" w:type="dxa"/>
            <w:tcBorders>
              <w:bottom w:val="single" w:sz="6" w:space="0" w:color="000000"/>
              <w:right w:val="single" w:sz="6" w:space="0" w:color="000000"/>
            </w:tcBorders>
            <w:vAlign w:val="center"/>
          </w:tcPr>
          <w:p w14:paraId="58BBA0D0" w14:textId="77777777" w:rsidR="007D706A" w:rsidRDefault="007D706A" w:rsidP="00F70508">
            <w:pPr>
              <w:pStyle w:val="ParagraphStyle12"/>
              <w:rPr>
                <w:rStyle w:val="CharacterStyle12"/>
              </w:rPr>
            </w:pPr>
            <w:r>
              <w:rPr>
                <w:rStyle w:val="CharacterStyle12"/>
              </w:rPr>
              <w:t>28.500,00</w:t>
            </w:r>
          </w:p>
        </w:tc>
      </w:tr>
      <w:tr w:rsidR="007D706A" w14:paraId="04960B6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3BE8CCA" w14:textId="77777777" w:rsidR="007D706A" w:rsidRDefault="007D706A" w:rsidP="00F70508">
            <w:pPr>
              <w:pStyle w:val="ParagraphStyle4"/>
              <w:rPr>
                <w:rStyle w:val="CharacterStyle4"/>
              </w:rPr>
            </w:pPr>
            <w:r>
              <w:rPr>
                <w:rStyle w:val="CharacterStyle4"/>
              </w:rPr>
              <w:t>Aktivnost A103224</w:t>
            </w:r>
          </w:p>
        </w:tc>
        <w:tc>
          <w:tcPr>
            <w:tcW w:w="4995" w:type="dxa"/>
            <w:tcBorders>
              <w:bottom w:val="single" w:sz="6" w:space="0" w:color="000000"/>
              <w:right w:val="single" w:sz="6" w:space="0" w:color="000000"/>
            </w:tcBorders>
            <w:vAlign w:val="center"/>
          </w:tcPr>
          <w:p w14:paraId="102BEB44" w14:textId="77777777" w:rsidR="007D706A" w:rsidRDefault="007D706A" w:rsidP="00F70508">
            <w:pPr>
              <w:pStyle w:val="ParagraphStyle5"/>
              <w:rPr>
                <w:rStyle w:val="CharacterStyle5"/>
              </w:rPr>
            </w:pPr>
            <w:r>
              <w:rPr>
                <w:rStyle w:val="CharacterStyle5"/>
              </w:rPr>
              <w:t>GRADSKO PSIHOLOŠKO SAVJETOVALIŠTE</w:t>
            </w:r>
          </w:p>
        </w:tc>
        <w:tc>
          <w:tcPr>
            <w:tcW w:w="1395" w:type="dxa"/>
            <w:tcBorders>
              <w:bottom w:val="single" w:sz="6" w:space="0" w:color="000000"/>
              <w:right w:val="single" w:sz="6" w:space="0" w:color="000000"/>
            </w:tcBorders>
            <w:vAlign w:val="center"/>
          </w:tcPr>
          <w:p w14:paraId="7FED46EC"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4CC6C6EB" w14:textId="77777777" w:rsidR="007D706A" w:rsidRDefault="007D706A" w:rsidP="00F70508">
            <w:pPr>
              <w:pStyle w:val="ParagraphStyle6"/>
              <w:rPr>
                <w:rStyle w:val="CharacterStyle6"/>
              </w:rPr>
            </w:pPr>
            <w:r>
              <w:rPr>
                <w:rStyle w:val="CharacterStyle6"/>
              </w:rPr>
              <w:t>19.700,00</w:t>
            </w:r>
          </w:p>
        </w:tc>
        <w:tc>
          <w:tcPr>
            <w:tcW w:w="1395" w:type="dxa"/>
            <w:tcBorders>
              <w:bottom w:val="single" w:sz="6" w:space="0" w:color="000000"/>
              <w:right w:val="single" w:sz="6" w:space="0" w:color="000000"/>
            </w:tcBorders>
            <w:vAlign w:val="center"/>
          </w:tcPr>
          <w:p w14:paraId="00C9F087" w14:textId="77777777" w:rsidR="007D706A" w:rsidRDefault="007D706A" w:rsidP="00F70508">
            <w:pPr>
              <w:pStyle w:val="ParagraphStyle6"/>
              <w:rPr>
                <w:rStyle w:val="CharacterStyle6"/>
              </w:rPr>
            </w:pPr>
            <w:r>
              <w:rPr>
                <w:rStyle w:val="CharacterStyle6"/>
              </w:rPr>
              <w:t>19.700,00</w:t>
            </w:r>
          </w:p>
        </w:tc>
        <w:tc>
          <w:tcPr>
            <w:tcW w:w="1395" w:type="dxa"/>
            <w:tcBorders>
              <w:bottom w:val="single" w:sz="6" w:space="0" w:color="000000"/>
              <w:right w:val="single" w:sz="6" w:space="0" w:color="000000"/>
            </w:tcBorders>
            <w:vAlign w:val="center"/>
          </w:tcPr>
          <w:p w14:paraId="5E1D25A3" w14:textId="77777777" w:rsidR="007D706A" w:rsidRDefault="007D706A" w:rsidP="00F70508">
            <w:pPr>
              <w:pStyle w:val="ParagraphStyle6"/>
              <w:rPr>
                <w:rStyle w:val="CharacterStyle6"/>
              </w:rPr>
            </w:pPr>
            <w:r>
              <w:rPr>
                <w:rStyle w:val="CharacterStyle6"/>
              </w:rPr>
              <w:t>21.000,00</w:t>
            </w:r>
          </w:p>
        </w:tc>
        <w:tc>
          <w:tcPr>
            <w:tcW w:w="1395" w:type="dxa"/>
            <w:tcBorders>
              <w:bottom w:val="single" w:sz="6" w:space="0" w:color="000000"/>
              <w:right w:val="single" w:sz="6" w:space="0" w:color="000000"/>
            </w:tcBorders>
            <w:vAlign w:val="center"/>
          </w:tcPr>
          <w:p w14:paraId="1F39B9B5" w14:textId="77777777" w:rsidR="007D706A" w:rsidRDefault="007D706A" w:rsidP="00F70508">
            <w:pPr>
              <w:pStyle w:val="ParagraphStyle6"/>
              <w:rPr>
                <w:rStyle w:val="CharacterStyle6"/>
              </w:rPr>
            </w:pPr>
            <w:r>
              <w:rPr>
                <w:rStyle w:val="CharacterStyle6"/>
              </w:rPr>
              <w:t>23.000,00</w:t>
            </w:r>
          </w:p>
        </w:tc>
      </w:tr>
      <w:tr w:rsidR="007D706A" w14:paraId="68186D0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B3F4BAD"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1646F19C"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3AAFA545"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F64195C" w14:textId="77777777" w:rsidR="007D706A" w:rsidRDefault="007D706A" w:rsidP="00F70508">
            <w:pPr>
              <w:pStyle w:val="ParagraphStyle9"/>
              <w:rPr>
                <w:rStyle w:val="CharacterStyle9"/>
              </w:rPr>
            </w:pPr>
            <w:r>
              <w:rPr>
                <w:rStyle w:val="CharacterStyle9"/>
              </w:rPr>
              <w:t>19.700,00</w:t>
            </w:r>
          </w:p>
        </w:tc>
        <w:tc>
          <w:tcPr>
            <w:tcW w:w="1395" w:type="dxa"/>
            <w:tcBorders>
              <w:bottom w:val="single" w:sz="6" w:space="0" w:color="000000"/>
              <w:right w:val="single" w:sz="6" w:space="0" w:color="000000"/>
            </w:tcBorders>
            <w:vAlign w:val="center"/>
          </w:tcPr>
          <w:p w14:paraId="3E2DE1B2" w14:textId="77777777" w:rsidR="007D706A" w:rsidRDefault="007D706A" w:rsidP="00F70508">
            <w:pPr>
              <w:pStyle w:val="ParagraphStyle9"/>
              <w:rPr>
                <w:rStyle w:val="CharacterStyle9"/>
              </w:rPr>
            </w:pPr>
            <w:r>
              <w:rPr>
                <w:rStyle w:val="CharacterStyle9"/>
              </w:rPr>
              <w:t>19.700,00</w:t>
            </w:r>
          </w:p>
        </w:tc>
        <w:tc>
          <w:tcPr>
            <w:tcW w:w="1395" w:type="dxa"/>
            <w:tcBorders>
              <w:bottom w:val="single" w:sz="6" w:space="0" w:color="000000"/>
              <w:right w:val="single" w:sz="6" w:space="0" w:color="000000"/>
            </w:tcBorders>
            <w:vAlign w:val="center"/>
          </w:tcPr>
          <w:p w14:paraId="01384C80" w14:textId="77777777" w:rsidR="007D706A" w:rsidRDefault="007D706A" w:rsidP="00F70508">
            <w:pPr>
              <w:pStyle w:val="ParagraphStyle9"/>
              <w:rPr>
                <w:rStyle w:val="CharacterStyle9"/>
              </w:rPr>
            </w:pPr>
            <w:r>
              <w:rPr>
                <w:rStyle w:val="CharacterStyle9"/>
              </w:rPr>
              <w:t>21.000,00</w:t>
            </w:r>
          </w:p>
        </w:tc>
        <w:tc>
          <w:tcPr>
            <w:tcW w:w="1395" w:type="dxa"/>
            <w:tcBorders>
              <w:bottom w:val="single" w:sz="6" w:space="0" w:color="000000"/>
              <w:right w:val="single" w:sz="6" w:space="0" w:color="000000"/>
            </w:tcBorders>
            <w:vAlign w:val="center"/>
          </w:tcPr>
          <w:p w14:paraId="67DB6E04" w14:textId="77777777" w:rsidR="007D706A" w:rsidRDefault="007D706A" w:rsidP="00F70508">
            <w:pPr>
              <w:pStyle w:val="ParagraphStyle9"/>
              <w:rPr>
                <w:rStyle w:val="CharacterStyle9"/>
              </w:rPr>
            </w:pPr>
            <w:r>
              <w:rPr>
                <w:rStyle w:val="CharacterStyle9"/>
              </w:rPr>
              <w:t>23.000,00</w:t>
            </w:r>
          </w:p>
        </w:tc>
      </w:tr>
      <w:tr w:rsidR="007D706A" w14:paraId="4CD27FC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C1BF8EB"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28291282"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4AB7D57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9857168" w14:textId="77777777" w:rsidR="007D706A" w:rsidRDefault="007D706A" w:rsidP="00F70508">
            <w:pPr>
              <w:pStyle w:val="ParagraphStyle12"/>
              <w:rPr>
                <w:rStyle w:val="CharacterStyle12"/>
              </w:rPr>
            </w:pPr>
            <w:r>
              <w:rPr>
                <w:rStyle w:val="CharacterStyle12"/>
              </w:rPr>
              <w:t>19.700,00</w:t>
            </w:r>
          </w:p>
        </w:tc>
        <w:tc>
          <w:tcPr>
            <w:tcW w:w="1395" w:type="dxa"/>
            <w:tcBorders>
              <w:bottom w:val="single" w:sz="6" w:space="0" w:color="000000"/>
              <w:right w:val="single" w:sz="6" w:space="0" w:color="000000"/>
            </w:tcBorders>
            <w:vAlign w:val="center"/>
          </w:tcPr>
          <w:p w14:paraId="5F5C4C37" w14:textId="77777777" w:rsidR="007D706A" w:rsidRDefault="007D706A" w:rsidP="00F70508">
            <w:pPr>
              <w:pStyle w:val="ParagraphStyle12"/>
              <w:rPr>
                <w:rStyle w:val="CharacterStyle12"/>
              </w:rPr>
            </w:pPr>
            <w:r>
              <w:rPr>
                <w:rStyle w:val="CharacterStyle12"/>
              </w:rPr>
              <w:t>19.700,00</w:t>
            </w:r>
          </w:p>
        </w:tc>
        <w:tc>
          <w:tcPr>
            <w:tcW w:w="1395" w:type="dxa"/>
            <w:tcBorders>
              <w:bottom w:val="single" w:sz="6" w:space="0" w:color="000000"/>
              <w:right w:val="single" w:sz="6" w:space="0" w:color="000000"/>
            </w:tcBorders>
            <w:vAlign w:val="center"/>
          </w:tcPr>
          <w:p w14:paraId="72E4C4FA" w14:textId="77777777" w:rsidR="007D706A" w:rsidRDefault="007D706A" w:rsidP="00F70508">
            <w:pPr>
              <w:pStyle w:val="ParagraphStyle12"/>
              <w:rPr>
                <w:rStyle w:val="CharacterStyle12"/>
              </w:rPr>
            </w:pPr>
            <w:r>
              <w:rPr>
                <w:rStyle w:val="CharacterStyle12"/>
              </w:rPr>
              <w:t>21.000,00</w:t>
            </w:r>
          </w:p>
        </w:tc>
        <w:tc>
          <w:tcPr>
            <w:tcW w:w="1395" w:type="dxa"/>
            <w:tcBorders>
              <w:bottom w:val="single" w:sz="6" w:space="0" w:color="000000"/>
              <w:right w:val="single" w:sz="6" w:space="0" w:color="000000"/>
            </w:tcBorders>
            <w:vAlign w:val="center"/>
          </w:tcPr>
          <w:p w14:paraId="4D659358" w14:textId="77777777" w:rsidR="007D706A" w:rsidRDefault="007D706A" w:rsidP="00F70508">
            <w:pPr>
              <w:pStyle w:val="ParagraphStyle12"/>
              <w:rPr>
                <w:rStyle w:val="CharacterStyle12"/>
              </w:rPr>
            </w:pPr>
            <w:r>
              <w:rPr>
                <w:rStyle w:val="CharacterStyle12"/>
              </w:rPr>
              <w:t>23.000,00</w:t>
            </w:r>
          </w:p>
        </w:tc>
      </w:tr>
      <w:tr w:rsidR="007D706A" w14:paraId="3E56D45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27D6D02" w14:textId="77777777" w:rsidR="007D706A" w:rsidRDefault="007D706A" w:rsidP="00F70508">
            <w:pPr>
              <w:pStyle w:val="ParagraphStyle10"/>
              <w:rPr>
                <w:rStyle w:val="CharacterStyle10"/>
              </w:rPr>
            </w:pPr>
            <w:r>
              <w:rPr>
                <w:rStyle w:val="CharacterStyle10"/>
              </w:rPr>
              <w:t>38</w:t>
            </w:r>
          </w:p>
        </w:tc>
        <w:tc>
          <w:tcPr>
            <w:tcW w:w="4995" w:type="dxa"/>
            <w:tcBorders>
              <w:bottom w:val="single" w:sz="6" w:space="0" w:color="000000"/>
              <w:right w:val="single" w:sz="6" w:space="0" w:color="000000"/>
            </w:tcBorders>
            <w:vAlign w:val="center"/>
          </w:tcPr>
          <w:p w14:paraId="60CBAC88" w14:textId="77777777" w:rsidR="007D706A" w:rsidRDefault="007D706A" w:rsidP="00F70508">
            <w:pPr>
              <w:pStyle w:val="ParagraphStyle11"/>
              <w:rPr>
                <w:rStyle w:val="CharacterStyle11"/>
              </w:rPr>
            </w:pPr>
            <w:r>
              <w:rPr>
                <w:rStyle w:val="CharacterStyle11"/>
              </w:rPr>
              <w:t>Rashodi za donacije, kazne, naknade šteta i kapitalne pomoći</w:t>
            </w:r>
          </w:p>
        </w:tc>
        <w:tc>
          <w:tcPr>
            <w:tcW w:w="1395" w:type="dxa"/>
            <w:tcBorders>
              <w:bottom w:val="single" w:sz="6" w:space="0" w:color="000000"/>
              <w:right w:val="single" w:sz="6" w:space="0" w:color="000000"/>
            </w:tcBorders>
            <w:vAlign w:val="center"/>
          </w:tcPr>
          <w:p w14:paraId="00A6D03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A8DF27F" w14:textId="77777777" w:rsidR="007D706A" w:rsidRDefault="007D706A" w:rsidP="00F70508">
            <w:pPr>
              <w:pStyle w:val="ParagraphStyle12"/>
              <w:rPr>
                <w:rStyle w:val="CharacterStyle12"/>
              </w:rPr>
            </w:pPr>
            <w:r>
              <w:rPr>
                <w:rStyle w:val="CharacterStyle12"/>
              </w:rPr>
              <w:t>19.700,00</w:t>
            </w:r>
          </w:p>
        </w:tc>
        <w:tc>
          <w:tcPr>
            <w:tcW w:w="1395" w:type="dxa"/>
            <w:tcBorders>
              <w:bottom w:val="single" w:sz="6" w:space="0" w:color="000000"/>
              <w:right w:val="single" w:sz="6" w:space="0" w:color="000000"/>
            </w:tcBorders>
            <w:vAlign w:val="center"/>
          </w:tcPr>
          <w:p w14:paraId="529CADEE" w14:textId="77777777" w:rsidR="007D706A" w:rsidRDefault="007D706A" w:rsidP="00F70508">
            <w:pPr>
              <w:pStyle w:val="ParagraphStyle12"/>
              <w:rPr>
                <w:rStyle w:val="CharacterStyle12"/>
              </w:rPr>
            </w:pPr>
            <w:r>
              <w:rPr>
                <w:rStyle w:val="CharacterStyle12"/>
              </w:rPr>
              <w:t>19.700,00</w:t>
            </w:r>
          </w:p>
        </w:tc>
        <w:tc>
          <w:tcPr>
            <w:tcW w:w="1395" w:type="dxa"/>
            <w:tcBorders>
              <w:bottom w:val="single" w:sz="6" w:space="0" w:color="000000"/>
              <w:right w:val="single" w:sz="6" w:space="0" w:color="000000"/>
            </w:tcBorders>
            <w:vAlign w:val="center"/>
          </w:tcPr>
          <w:p w14:paraId="5FC966DA" w14:textId="77777777" w:rsidR="007D706A" w:rsidRDefault="007D706A" w:rsidP="00F70508">
            <w:pPr>
              <w:pStyle w:val="ParagraphStyle12"/>
              <w:rPr>
                <w:rStyle w:val="CharacterStyle12"/>
              </w:rPr>
            </w:pPr>
            <w:r>
              <w:rPr>
                <w:rStyle w:val="CharacterStyle12"/>
              </w:rPr>
              <w:t>21.000,00</w:t>
            </w:r>
          </w:p>
        </w:tc>
        <w:tc>
          <w:tcPr>
            <w:tcW w:w="1395" w:type="dxa"/>
            <w:tcBorders>
              <w:bottom w:val="single" w:sz="6" w:space="0" w:color="000000"/>
              <w:right w:val="single" w:sz="6" w:space="0" w:color="000000"/>
            </w:tcBorders>
            <w:vAlign w:val="center"/>
          </w:tcPr>
          <w:p w14:paraId="4C7BA431" w14:textId="77777777" w:rsidR="007D706A" w:rsidRDefault="007D706A" w:rsidP="00F70508">
            <w:pPr>
              <w:pStyle w:val="ParagraphStyle12"/>
              <w:rPr>
                <w:rStyle w:val="CharacterStyle12"/>
              </w:rPr>
            </w:pPr>
            <w:r>
              <w:rPr>
                <w:rStyle w:val="CharacterStyle12"/>
              </w:rPr>
              <w:t>23.000,00</w:t>
            </w:r>
          </w:p>
        </w:tc>
      </w:tr>
      <w:tr w:rsidR="007D706A" w14:paraId="15CFB12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41C5CE7" w14:textId="77777777" w:rsidR="007D706A" w:rsidRDefault="007D706A" w:rsidP="00F70508">
            <w:pPr>
              <w:pStyle w:val="ParagraphStyle4"/>
              <w:rPr>
                <w:rStyle w:val="CharacterStyle4"/>
              </w:rPr>
            </w:pPr>
            <w:r>
              <w:rPr>
                <w:rStyle w:val="CharacterStyle4"/>
              </w:rPr>
              <w:t>Aktivnost A103210</w:t>
            </w:r>
          </w:p>
        </w:tc>
        <w:tc>
          <w:tcPr>
            <w:tcW w:w="4995" w:type="dxa"/>
            <w:tcBorders>
              <w:bottom w:val="single" w:sz="6" w:space="0" w:color="000000"/>
              <w:right w:val="single" w:sz="6" w:space="0" w:color="000000"/>
            </w:tcBorders>
            <w:vAlign w:val="center"/>
          </w:tcPr>
          <w:p w14:paraId="6F24E135" w14:textId="77777777" w:rsidR="007D706A" w:rsidRDefault="007D706A" w:rsidP="00F70508">
            <w:pPr>
              <w:pStyle w:val="ParagraphStyle5"/>
              <w:rPr>
                <w:rStyle w:val="CharacterStyle5"/>
              </w:rPr>
            </w:pPr>
            <w:r>
              <w:rPr>
                <w:rStyle w:val="CharacterStyle5"/>
              </w:rPr>
              <w:t>NAKNADA RAZLIKE U CIJENI SMJEŠTAJA DJECE U VRTIĆE</w:t>
            </w:r>
          </w:p>
        </w:tc>
        <w:tc>
          <w:tcPr>
            <w:tcW w:w="1395" w:type="dxa"/>
            <w:tcBorders>
              <w:bottom w:val="single" w:sz="6" w:space="0" w:color="000000"/>
              <w:right w:val="single" w:sz="6" w:space="0" w:color="000000"/>
            </w:tcBorders>
            <w:vAlign w:val="center"/>
          </w:tcPr>
          <w:p w14:paraId="74E09F8B"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685589E9" w14:textId="77777777" w:rsidR="007D706A" w:rsidRDefault="007D706A" w:rsidP="00F70508">
            <w:pPr>
              <w:pStyle w:val="ParagraphStyle6"/>
              <w:rPr>
                <w:rStyle w:val="CharacterStyle6"/>
              </w:rPr>
            </w:pPr>
            <w:r>
              <w:rPr>
                <w:rStyle w:val="CharacterStyle6"/>
              </w:rPr>
              <w:t>49.900,00</w:t>
            </w:r>
          </w:p>
        </w:tc>
        <w:tc>
          <w:tcPr>
            <w:tcW w:w="1395" w:type="dxa"/>
            <w:tcBorders>
              <w:bottom w:val="single" w:sz="6" w:space="0" w:color="000000"/>
              <w:right w:val="single" w:sz="6" w:space="0" w:color="000000"/>
            </w:tcBorders>
            <w:vAlign w:val="center"/>
          </w:tcPr>
          <w:p w14:paraId="34989792" w14:textId="77777777" w:rsidR="007D706A" w:rsidRDefault="007D706A" w:rsidP="00F70508">
            <w:pPr>
              <w:pStyle w:val="ParagraphStyle6"/>
              <w:rPr>
                <w:rStyle w:val="CharacterStyle6"/>
              </w:rPr>
            </w:pPr>
            <w:r>
              <w:rPr>
                <w:rStyle w:val="CharacterStyle6"/>
              </w:rPr>
              <w:t>49.900,00</w:t>
            </w:r>
          </w:p>
        </w:tc>
        <w:tc>
          <w:tcPr>
            <w:tcW w:w="1395" w:type="dxa"/>
            <w:tcBorders>
              <w:bottom w:val="single" w:sz="6" w:space="0" w:color="000000"/>
              <w:right w:val="single" w:sz="6" w:space="0" w:color="000000"/>
            </w:tcBorders>
            <w:vAlign w:val="center"/>
          </w:tcPr>
          <w:p w14:paraId="5CFB9367" w14:textId="77777777" w:rsidR="007D706A" w:rsidRDefault="007D706A" w:rsidP="00F70508">
            <w:pPr>
              <w:pStyle w:val="ParagraphStyle6"/>
              <w:rPr>
                <w:rStyle w:val="CharacterStyle6"/>
              </w:rPr>
            </w:pPr>
            <w:r>
              <w:rPr>
                <w:rStyle w:val="CharacterStyle6"/>
              </w:rPr>
              <w:t>52.000,00</w:t>
            </w:r>
          </w:p>
        </w:tc>
        <w:tc>
          <w:tcPr>
            <w:tcW w:w="1395" w:type="dxa"/>
            <w:tcBorders>
              <w:bottom w:val="single" w:sz="6" w:space="0" w:color="000000"/>
              <w:right w:val="single" w:sz="6" w:space="0" w:color="000000"/>
            </w:tcBorders>
            <w:vAlign w:val="center"/>
          </w:tcPr>
          <w:p w14:paraId="3A52CEAE" w14:textId="77777777" w:rsidR="007D706A" w:rsidRDefault="007D706A" w:rsidP="00F70508">
            <w:pPr>
              <w:pStyle w:val="ParagraphStyle6"/>
              <w:rPr>
                <w:rStyle w:val="CharacterStyle6"/>
              </w:rPr>
            </w:pPr>
            <w:r>
              <w:rPr>
                <w:rStyle w:val="CharacterStyle6"/>
              </w:rPr>
              <w:t>54.000,00</w:t>
            </w:r>
          </w:p>
        </w:tc>
      </w:tr>
      <w:tr w:rsidR="007D706A" w14:paraId="045847D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BCB9A4D"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2CEB6F37"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5F165264"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663B61E" w14:textId="77777777" w:rsidR="007D706A" w:rsidRDefault="007D706A" w:rsidP="00F70508">
            <w:pPr>
              <w:pStyle w:val="ParagraphStyle9"/>
              <w:rPr>
                <w:rStyle w:val="CharacterStyle9"/>
              </w:rPr>
            </w:pPr>
            <w:r>
              <w:rPr>
                <w:rStyle w:val="CharacterStyle9"/>
              </w:rPr>
              <w:t>49.900,00</w:t>
            </w:r>
          </w:p>
        </w:tc>
        <w:tc>
          <w:tcPr>
            <w:tcW w:w="1395" w:type="dxa"/>
            <w:tcBorders>
              <w:bottom w:val="single" w:sz="6" w:space="0" w:color="000000"/>
              <w:right w:val="single" w:sz="6" w:space="0" w:color="000000"/>
            </w:tcBorders>
            <w:vAlign w:val="center"/>
          </w:tcPr>
          <w:p w14:paraId="6A4E9D66" w14:textId="77777777" w:rsidR="007D706A" w:rsidRDefault="007D706A" w:rsidP="00F70508">
            <w:pPr>
              <w:pStyle w:val="ParagraphStyle9"/>
              <w:rPr>
                <w:rStyle w:val="CharacterStyle9"/>
              </w:rPr>
            </w:pPr>
            <w:r>
              <w:rPr>
                <w:rStyle w:val="CharacterStyle9"/>
              </w:rPr>
              <w:t>49.900,00</w:t>
            </w:r>
          </w:p>
        </w:tc>
        <w:tc>
          <w:tcPr>
            <w:tcW w:w="1395" w:type="dxa"/>
            <w:tcBorders>
              <w:bottom w:val="single" w:sz="6" w:space="0" w:color="000000"/>
              <w:right w:val="single" w:sz="6" w:space="0" w:color="000000"/>
            </w:tcBorders>
            <w:vAlign w:val="center"/>
          </w:tcPr>
          <w:p w14:paraId="64F93FAC" w14:textId="77777777" w:rsidR="007D706A" w:rsidRDefault="007D706A" w:rsidP="00F70508">
            <w:pPr>
              <w:pStyle w:val="ParagraphStyle9"/>
              <w:rPr>
                <w:rStyle w:val="CharacterStyle9"/>
              </w:rPr>
            </w:pPr>
            <w:r>
              <w:rPr>
                <w:rStyle w:val="CharacterStyle9"/>
              </w:rPr>
              <w:t>52.000,00</w:t>
            </w:r>
          </w:p>
        </w:tc>
        <w:tc>
          <w:tcPr>
            <w:tcW w:w="1395" w:type="dxa"/>
            <w:tcBorders>
              <w:bottom w:val="single" w:sz="6" w:space="0" w:color="000000"/>
              <w:right w:val="single" w:sz="6" w:space="0" w:color="000000"/>
            </w:tcBorders>
            <w:vAlign w:val="center"/>
          </w:tcPr>
          <w:p w14:paraId="490C9FB9" w14:textId="77777777" w:rsidR="007D706A" w:rsidRDefault="007D706A" w:rsidP="00F70508">
            <w:pPr>
              <w:pStyle w:val="ParagraphStyle9"/>
              <w:rPr>
                <w:rStyle w:val="CharacterStyle9"/>
              </w:rPr>
            </w:pPr>
            <w:r>
              <w:rPr>
                <w:rStyle w:val="CharacterStyle9"/>
              </w:rPr>
              <w:t>54.000,00</w:t>
            </w:r>
          </w:p>
        </w:tc>
      </w:tr>
      <w:tr w:rsidR="007D706A" w14:paraId="7EB8C49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9C7B49A"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0D686113"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7860C34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3318A63" w14:textId="77777777" w:rsidR="007D706A" w:rsidRDefault="007D706A" w:rsidP="00F70508">
            <w:pPr>
              <w:pStyle w:val="ParagraphStyle12"/>
              <w:rPr>
                <w:rStyle w:val="CharacterStyle12"/>
              </w:rPr>
            </w:pPr>
            <w:r>
              <w:rPr>
                <w:rStyle w:val="CharacterStyle12"/>
              </w:rPr>
              <w:t>49.900,00</w:t>
            </w:r>
          </w:p>
        </w:tc>
        <w:tc>
          <w:tcPr>
            <w:tcW w:w="1395" w:type="dxa"/>
            <w:tcBorders>
              <w:bottom w:val="single" w:sz="6" w:space="0" w:color="000000"/>
              <w:right w:val="single" w:sz="6" w:space="0" w:color="000000"/>
            </w:tcBorders>
            <w:vAlign w:val="center"/>
          </w:tcPr>
          <w:p w14:paraId="0E96C5F8" w14:textId="77777777" w:rsidR="007D706A" w:rsidRDefault="007D706A" w:rsidP="00F70508">
            <w:pPr>
              <w:pStyle w:val="ParagraphStyle12"/>
              <w:rPr>
                <w:rStyle w:val="CharacterStyle12"/>
              </w:rPr>
            </w:pPr>
            <w:r>
              <w:rPr>
                <w:rStyle w:val="CharacterStyle12"/>
              </w:rPr>
              <w:t>49.900,00</w:t>
            </w:r>
          </w:p>
        </w:tc>
        <w:tc>
          <w:tcPr>
            <w:tcW w:w="1395" w:type="dxa"/>
            <w:tcBorders>
              <w:bottom w:val="single" w:sz="6" w:space="0" w:color="000000"/>
              <w:right w:val="single" w:sz="6" w:space="0" w:color="000000"/>
            </w:tcBorders>
            <w:vAlign w:val="center"/>
          </w:tcPr>
          <w:p w14:paraId="493571F1" w14:textId="77777777" w:rsidR="007D706A" w:rsidRDefault="007D706A" w:rsidP="00F70508">
            <w:pPr>
              <w:pStyle w:val="ParagraphStyle12"/>
              <w:rPr>
                <w:rStyle w:val="CharacterStyle12"/>
              </w:rPr>
            </w:pPr>
            <w:r>
              <w:rPr>
                <w:rStyle w:val="CharacterStyle12"/>
              </w:rPr>
              <w:t>52.000,00</w:t>
            </w:r>
          </w:p>
        </w:tc>
        <w:tc>
          <w:tcPr>
            <w:tcW w:w="1395" w:type="dxa"/>
            <w:tcBorders>
              <w:bottom w:val="single" w:sz="6" w:space="0" w:color="000000"/>
              <w:right w:val="single" w:sz="6" w:space="0" w:color="000000"/>
            </w:tcBorders>
            <w:vAlign w:val="center"/>
          </w:tcPr>
          <w:p w14:paraId="226102E5" w14:textId="77777777" w:rsidR="007D706A" w:rsidRDefault="007D706A" w:rsidP="00F70508">
            <w:pPr>
              <w:pStyle w:val="ParagraphStyle12"/>
              <w:rPr>
                <w:rStyle w:val="CharacterStyle12"/>
              </w:rPr>
            </w:pPr>
            <w:r>
              <w:rPr>
                <w:rStyle w:val="CharacterStyle12"/>
              </w:rPr>
              <w:t>54.000,00</w:t>
            </w:r>
          </w:p>
        </w:tc>
      </w:tr>
      <w:tr w:rsidR="007D706A" w14:paraId="7F4DA026" w14:textId="77777777" w:rsidTr="00F70508">
        <w:trPr>
          <w:trHeight w:val="405"/>
        </w:trPr>
        <w:tc>
          <w:tcPr>
            <w:tcW w:w="2880" w:type="dxa"/>
            <w:tcBorders>
              <w:left w:val="single" w:sz="6" w:space="0" w:color="000000"/>
              <w:bottom w:val="single" w:sz="6" w:space="0" w:color="000000"/>
              <w:right w:val="single" w:sz="6" w:space="0" w:color="000000"/>
            </w:tcBorders>
            <w:vAlign w:val="center"/>
          </w:tcPr>
          <w:p w14:paraId="115A8D94" w14:textId="77777777" w:rsidR="007D706A" w:rsidRDefault="007D706A" w:rsidP="00F70508">
            <w:pPr>
              <w:pStyle w:val="ParagraphStyle10"/>
              <w:rPr>
                <w:rStyle w:val="CharacterStyle10"/>
              </w:rPr>
            </w:pPr>
            <w:r>
              <w:rPr>
                <w:rStyle w:val="CharacterStyle10"/>
              </w:rPr>
              <w:t>37</w:t>
            </w:r>
          </w:p>
        </w:tc>
        <w:tc>
          <w:tcPr>
            <w:tcW w:w="4995" w:type="dxa"/>
            <w:tcBorders>
              <w:bottom w:val="single" w:sz="6" w:space="0" w:color="000000"/>
              <w:right w:val="single" w:sz="6" w:space="0" w:color="000000"/>
            </w:tcBorders>
            <w:vAlign w:val="center"/>
          </w:tcPr>
          <w:p w14:paraId="59F62D92" w14:textId="77777777" w:rsidR="007D706A" w:rsidRDefault="007D706A" w:rsidP="00F70508">
            <w:pPr>
              <w:pStyle w:val="ParagraphStyle11"/>
              <w:rPr>
                <w:rStyle w:val="CharacterStyle11"/>
              </w:rPr>
            </w:pPr>
            <w:r>
              <w:rPr>
                <w:rStyle w:val="CharacterStyle11"/>
              </w:rPr>
              <w:t>Naknade građanima i kućanstvima na temelju osiguranja i druge naknade</w:t>
            </w:r>
          </w:p>
        </w:tc>
        <w:tc>
          <w:tcPr>
            <w:tcW w:w="1395" w:type="dxa"/>
            <w:tcBorders>
              <w:bottom w:val="single" w:sz="6" w:space="0" w:color="000000"/>
              <w:right w:val="single" w:sz="6" w:space="0" w:color="000000"/>
            </w:tcBorders>
            <w:vAlign w:val="center"/>
          </w:tcPr>
          <w:p w14:paraId="543F2CD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6A7A559" w14:textId="77777777" w:rsidR="007D706A" w:rsidRDefault="007D706A" w:rsidP="00F70508">
            <w:pPr>
              <w:pStyle w:val="ParagraphStyle12"/>
              <w:rPr>
                <w:rStyle w:val="CharacterStyle12"/>
              </w:rPr>
            </w:pPr>
            <w:r>
              <w:rPr>
                <w:rStyle w:val="CharacterStyle12"/>
              </w:rPr>
              <w:t>49.900,00</w:t>
            </w:r>
          </w:p>
        </w:tc>
        <w:tc>
          <w:tcPr>
            <w:tcW w:w="1395" w:type="dxa"/>
            <w:tcBorders>
              <w:bottom w:val="single" w:sz="6" w:space="0" w:color="000000"/>
              <w:right w:val="single" w:sz="6" w:space="0" w:color="000000"/>
            </w:tcBorders>
            <w:vAlign w:val="center"/>
          </w:tcPr>
          <w:p w14:paraId="387F0320" w14:textId="77777777" w:rsidR="007D706A" w:rsidRDefault="007D706A" w:rsidP="00F70508">
            <w:pPr>
              <w:pStyle w:val="ParagraphStyle12"/>
              <w:rPr>
                <w:rStyle w:val="CharacterStyle12"/>
              </w:rPr>
            </w:pPr>
            <w:r>
              <w:rPr>
                <w:rStyle w:val="CharacterStyle12"/>
              </w:rPr>
              <w:t>49.900,00</w:t>
            </w:r>
          </w:p>
        </w:tc>
        <w:tc>
          <w:tcPr>
            <w:tcW w:w="1395" w:type="dxa"/>
            <w:tcBorders>
              <w:bottom w:val="single" w:sz="6" w:space="0" w:color="000000"/>
              <w:right w:val="single" w:sz="6" w:space="0" w:color="000000"/>
            </w:tcBorders>
            <w:vAlign w:val="center"/>
          </w:tcPr>
          <w:p w14:paraId="7BA7BA83" w14:textId="77777777" w:rsidR="007D706A" w:rsidRDefault="007D706A" w:rsidP="00F70508">
            <w:pPr>
              <w:pStyle w:val="ParagraphStyle12"/>
              <w:rPr>
                <w:rStyle w:val="CharacterStyle12"/>
              </w:rPr>
            </w:pPr>
            <w:r>
              <w:rPr>
                <w:rStyle w:val="CharacterStyle12"/>
              </w:rPr>
              <w:t>52.000,00</w:t>
            </w:r>
          </w:p>
        </w:tc>
        <w:tc>
          <w:tcPr>
            <w:tcW w:w="1395" w:type="dxa"/>
            <w:tcBorders>
              <w:bottom w:val="single" w:sz="6" w:space="0" w:color="000000"/>
              <w:right w:val="single" w:sz="6" w:space="0" w:color="000000"/>
            </w:tcBorders>
            <w:vAlign w:val="center"/>
          </w:tcPr>
          <w:p w14:paraId="6CAB3643" w14:textId="77777777" w:rsidR="007D706A" w:rsidRDefault="007D706A" w:rsidP="00F70508">
            <w:pPr>
              <w:pStyle w:val="ParagraphStyle12"/>
              <w:rPr>
                <w:rStyle w:val="CharacterStyle12"/>
              </w:rPr>
            </w:pPr>
            <w:r>
              <w:rPr>
                <w:rStyle w:val="CharacterStyle12"/>
              </w:rPr>
              <w:t>54.000,00</w:t>
            </w:r>
          </w:p>
        </w:tc>
      </w:tr>
      <w:tr w:rsidR="007D706A" w14:paraId="0EECCF8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005BCBA" w14:textId="77777777" w:rsidR="007D706A" w:rsidRDefault="007D706A" w:rsidP="00F70508">
            <w:pPr>
              <w:pStyle w:val="ParagraphStyle4"/>
              <w:rPr>
                <w:rStyle w:val="CharacterStyle4"/>
              </w:rPr>
            </w:pPr>
            <w:r>
              <w:rPr>
                <w:rStyle w:val="CharacterStyle4"/>
              </w:rPr>
              <w:t>Aktivnost A103218</w:t>
            </w:r>
          </w:p>
        </w:tc>
        <w:tc>
          <w:tcPr>
            <w:tcW w:w="4995" w:type="dxa"/>
            <w:tcBorders>
              <w:bottom w:val="single" w:sz="6" w:space="0" w:color="000000"/>
              <w:right w:val="single" w:sz="6" w:space="0" w:color="000000"/>
            </w:tcBorders>
            <w:vAlign w:val="center"/>
          </w:tcPr>
          <w:p w14:paraId="57260D33" w14:textId="77777777" w:rsidR="007D706A" w:rsidRDefault="007D706A" w:rsidP="00F70508">
            <w:pPr>
              <w:pStyle w:val="ParagraphStyle5"/>
              <w:rPr>
                <w:rStyle w:val="CharacterStyle5"/>
              </w:rPr>
            </w:pPr>
            <w:r>
              <w:rPr>
                <w:rStyle w:val="CharacterStyle5"/>
              </w:rPr>
              <w:t>POVJERENSTVO ZA OCJENJIVANJE PRIJAVA</w:t>
            </w:r>
          </w:p>
        </w:tc>
        <w:tc>
          <w:tcPr>
            <w:tcW w:w="1395" w:type="dxa"/>
            <w:tcBorders>
              <w:bottom w:val="single" w:sz="6" w:space="0" w:color="000000"/>
              <w:right w:val="single" w:sz="6" w:space="0" w:color="000000"/>
            </w:tcBorders>
            <w:vAlign w:val="center"/>
          </w:tcPr>
          <w:p w14:paraId="69D5515D"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379F55F2" w14:textId="77777777" w:rsidR="007D706A" w:rsidRDefault="007D706A" w:rsidP="00F70508">
            <w:pPr>
              <w:pStyle w:val="ParagraphStyle6"/>
              <w:rPr>
                <w:rStyle w:val="CharacterStyle6"/>
              </w:rPr>
            </w:pPr>
            <w:r>
              <w:rPr>
                <w:rStyle w:val="CharacterStyle6"/>
              </w:rPr>
              <w:t>150,00</w:t>
            </w:r>
          </w:p>
        </w:tc>
        <w:tc>
          <w:tcPr>
            <w:tcW w:w="1395" w:type="dxa"/>
            <w:tcBorders>
              <w:bottom w:val="single" w:sz="6" w:space="0" w:color="000000"/>
              <w:right w:val="single" w:sz="6" w:space="0" w:color="000000"/>
            </w:tcBorders>
            <w:vAlign w:val="center"/>
          </w:tcPr>
          <w:p w14:paraId="76B0F3BC" w14:textId="77777777" w:rsidR="007D706A" w:rsidRDefault="007D706A" w:rsidP="00F70508">
            <w:pPr>
              <w:pStyle w:val="ParagraphStyle6"/>
              <w:rPr>
                <w:rStyle w:val="CharacterStyle6"/>
              </w:rPr>
            </w:pPr>
            <w:r>
              <w:rPr>
                <w:rStyle w:val="CharacterStyle6"/>
              </w:rPr>
              <w:t>150,00</w:t>
            </w:r>
          </w:p>
        </w:tc>
        <w:tc>
          <w:tcPr>
            <w:tcW w:w="1395" w:type="dxa"/>
            <w:tcBorders>
              <w:bottom w:val="single" w:sz="6" w:space="0" w:color="000000"/>
              <w:right w:val="single" w:sz="6" w:space="0" w:color="000000"/>
            </w:tcBorders>
            <w:vAlign w:val="center"/>
          </w:tcPr>
          <w:p w14:paraId="7D8376CB" w14:textId="77777777" w:rsidR="007D706A" w:rsidRDefault="007D706A" w:rsidP="00F70508">
            <w:pPr>
              <w:pStyle w:val="ParagraphStyle6"/>
              <w:rPr>
                <w:rStyle w:val="CharacterStyle6"/>
              </w:rPr>
            </w:pPr>
            <w:r>
              <w:rPr>
                <w:rStyle w:val="CharacterStyle6"/>
              </w:rPr>
              <w:t>180,00</w:t>
            </w:r>
          </w:p>
        </w:tc>
        <w:tc>
          <w:tcPr>
            <w:tcW w:w="1395" w:type="dxa"/>
            <w:tcBorders>
              <w:bottom w:val="single" w:sz="6" w:space="0" w:color="000000"/>
              <w:right w:val="single" w:sz="6" w:space="0" w:color="000000"/>
            </w:tcBorders>
            <w:vAlign w:val="center"/>
          </w:tcPr>
          <w:p w14:paraId="3771418F" w14:textId="77777777" w:rsidR="007D706A" w:rsidRDefault="007D706A" w:rsidP="00F70508">
            <w:pPr>
              <w:pStyle w:val="ParagraphStyle6"/>
              <w:rPr>
                <w:rStyle w:val="CharacterStyle6"/>
              </w:rPr>
            </w:pPr>
            <w:r>
              <w:rPr>
                <w:rStyle w:val="CharacterStyle6"/>
              </w:rPr>
              <w:t>200,00</w:t>
            </w:r>
          </w:p>
        </w:tc>
      </w:tr>
      <w:tr w:rsidR="007D706A" w14:paraId="2B3C28E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DE18FC9"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4155D887"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156089F6"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39970D1" w14:textId="77777777" w:rsidR="007D706A" w:rsidRDefault="007D706A" w:rsidP="00F70508">
            <w:pPr>
              <w:pStyle w:val="ParagraphStyle9"/>
              <w:rPr>
                <w:rStyle w:val="CharacterStyle9"/>
              </w:rPr>
            </w:pPr>
            <w:r>
              <w:rPr>
                <w:rStyle w:val="CharacterStyle9"/>
              </w:rPr>
              <w:t>150,00</w:t>
            </w:r>
          </w:p>
        </w:tc>
        <w:tc>
          <w:tcPr>
            <w:tcW w:w="1395" w:type="dxa"/>
            <w:tcBorders>
              <w:bottom w:val="single" w:sz="6" w:space="0" w:color="000000"/>
              <w:right w:val="single" w:sz="6" w:space="0" w:color="000000"/>
            </w:tcBorders>
            <w:vAlign w:val="center"/>
          </w:tcPr>
          <w:p w14:paraId="2089E296" w14:textId="77777777" w:rsidR="007D706A" w:rsidRDefault="007D706A" w:rsidP="00F70508">
            <w:pPr>
              <w:pStyle w:val="ParagraphStyle9"/>
              <w:rPr>
                <w:rStyle w:val="CharacterStyle9"/>
              </w:rPr>
            </w:pPr>
            <w:r>
              <w:rPr>
                <w:rStyle w:val="CharacterStyle9"/>
              </w:rPr>
              <w:t>150,00</w:t>
            </w:r>
          </w:p>
        </w:tc>
        <w:tc>
          <w:tcPr>
            <w:tcW w:w="1395" w:type="dxa"/>
            <w:tcBorders>
              <w:bottom w:val="single" w:sz="6" w:space="0" w:color="000000"/>
              <w:right w:val="single" w:sz="6" w:space="0" w:color="000000"/>
            </w:tcBorders>
            <w:vAlign w:val="center"/>
          </w:tcPr>
          <w:p w14:paraId="64C6541B" w14:textId="77777777" w:rsidR="007D706A" w:rsidRDefault="007D706A" w:rsidP="00F70508">
            <w:pPr>
              <w:pStyle w:val="ParagraphStyle9"/>
              <w:rPr>
                <w:rStyle w:val="CharacterStyle9"/>
              </w:rPr>
            </w:pPr>
            <w:r>
              <w:rPr>
                <w:rStyle w:val="CharacterStyle9"/>
              </w:rPr>
              <w:t>180,00</w:t>
            </w:r>
          </w:p>
        </w:tc>
        <w:tc>
          <w:tcPr>
            <w:tcW w:w="1395" w:type="dxa"/>
            <w:tcBorders>
              <w:bottom w:val="single" w:sz="6" w:space="0" w:color="000000"/>
              <w:right w:val="single" w:sz="6" w:space="0" w:color="000000"/>
            </w:tcBorders>
            <w:vAlign w:val="center"/>
          </w:tcPr>
          <w:p w14:paraId="279571D1" w14:textId="77777777" w:rsidR="007D706A" w:rsidRDefault="007D706A" w:rsidP="00F70508">
            <w:pPr>
              <w:pStyle w:val="ParagraphStyle9"/>
              <w:rPr>
                <w:rStyle w:val="CharacterStyle9"/>
              </w:rPr>
            </w:pPr>
            <w:r>
              <w:rPr>
                <w:rStyle w:val="CharacterStyle9"/>
              </w:rPr>
              <w:t>200,00</w:t>
            </w:r>
          </w:p>
        </w:tc>
      </w:tr>
      <w:tr w:rsidR="007D706A" w14:paraId="3D51F1C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DF9244B"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19F221F2"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790D0C7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4A3287E" w14:textId="77777777" w:rsidR="007D706A" w:rsidRDefault="007D706A" w:rsidP="00F70508">
            <w:pPr>
              <w:pStyle w:val="ParagraphStyle12"/>
              <w:rPr>
                <w:rStyle w:val="CharacterStyle12"/>
              </w:rPr>
            </w:pPr>
            <w:r>
              <w:rPr>
                <w:rStyle w:val="CharacterStyle12"/>
              </w:rPr>
              <w:t>150,00</w:t>
            </w:r>
          </w:p>
        </w:tc>
        <w:tc>
          <w:tcPr>
            <w:tcW w:w="1395" w:type="dxa"/>
            <w:tcBorders>
              <w:bottom w:val="single" w:sz="6" w:space="0" w:color="000000"/>
              <w:right w:val="single" w:sz="6" w:space="0" w:color="000000"/>
            </w:tcBorders>
            <w:vAlign w:val="center"/>
          </w:tcPr>
          <w:p w14:paraId="02550A5F" w14:textId="77777777" w:rsidR="007D706A" w:rsidRDefault="007D706A" w:rsidP="00F70508">
            <w:pPr>
              <w:pStyle w:val="ParagraphStyle12"/>
              <w:rPr>
                <w:rStyle w:val="CharacterStyle12"/>
              </w:rPr>
            </w:pPr>
            <w:r>
              <w:rPr>
                <w:rStyle w:val="CharacterStyle12"/>
              </w:rPr>
              <w:t>150,00</w:t>
            </w:r>
          </w:p>
        </w:tc>
        <w:tc>
          <w:tcPr>
            <w:tcW w:w="1395" w:type="dxa"/>
            <w:tcBorders>
              <w:bottom w:val="single" w:sz="6" w:space="0" w:color="000000"/>
              <w:right w:val="single" w:sz="6" w:space="0" w:color="000000"/>
            </w:tcBorders>
            <w:vAlign w:val="center"/>
          </w:tcPr>
          <w:p w14:paraId="137B9284" w14:textId="77777777" w:rsidR="007D706A" w:rsidRDefault="007D706A" w:rsidP="00F70508">
            <w:pPr>
              <w:pStyle w:val="ParagraphStyle12"/>
              <w:rPr>
                <w:rStyle w:val="CharacterStyle12"/>
              </w:rPr>
            </w:pPr>
            <w:r>
              <w:rPr>
                <w:rStyle w:val="CharacterStyle12"/>
              </w:rPr>
              <w:t>180,00</w:t>
            </w:r>
          </w:p>
        </w:tc>
        <w:tc>
          <w:tcPr>
            <w:tcW w:w="1395" w:type="dxa"/>
            <w:tcBorders>
              <w:bottom w:val="single" w:sz="6" w:space="0" w:color="000000"/>
              <w:right w:val="single" w:sz="6" w:space="0" w:color="000000"/>
            </w:tcBorders>
            <w:vAlign w:val="center"/>
          </w:tcPr>
          <w:p w14:paraId="06B087AF" w14:textId="77777777" w:rsidR="007D706A" w:rsidRDefault="007D706A" w:rsidP="00F70508">
            <w:pPr>
              <w:pStyle w:val="ParagraphStyle12"/>
              <w:rPr>
                <w:rStyle w:val="CharacterStyle12"/>
              </w:rPr>
            </w:pPr>
            <w:r>
              <w:rPr>
                <w:rStyle w:val="CharacterStyle12"/>
              </w:rPr>
              <w:t>200,00</w:t>
            </w:r>
          </w:p>
        </w:tc>
      </w:tr>
      <w:tr w:rsidR="007D706A" w14:paraId="78EF357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BB46743"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22EA2944"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0C3DEAD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E666151" w14:textId="77777777" w:rsidR="007D706A" w:rsidRDefault="007D706A" w:rsidP="00F70508">
            <w:pPr>
              <w:pStyle w:val="ParagraphStyle12"/>
              <w:rPr>
                <w:rStyle w:val="CharacterStyle12"/>
              </w:rPr>
            </w:pPr>
            <w:r>
              <w:rPr>
                <w:rStyle w:val="CharacterStyle12"/>
              </w:rPr>
              <w:t>150,00</w:t>
            </w:r>
          </w:p>
        </w:tc>
        <w:tc>
          <w:tcPr>
            <w:tcW w:w="1395" w:type="dxa"/>
            <w:tcBorders>
              <w:bottom w:val="single" w:sz="6" w:space="0" w:color="000000"/>
              <w:right w:val="single" w:sz="6" w:space="0" w:color="000000"/>
            </w:tcBorders>
            <w:vAlign w:val="center"/>
          </w:tcPr>
          <w:p w14:paraId="78B030E5" w14:textId="77777777" w:rsidR="007D706A" w:rsidRDefault="007D706A" w:rsidP="00F70508">
            <w:pPr>
              <w:pStyle w:val="ParagraphStyle12"/>
              <w:rPr>
                <w:rStyle w:val="CharacterStyle12"/>
              </w:rPr>
            </w:pPr>
            <w:r>
              <w:rPr>
                <w:rStyle w:val="CharacterStyle12"/>
              </w:rPr>
              <w:t>150,00</w:t>
            </w:r>
          </w:p>
        </w:tc>
        <w:tc>
          <w:tcPr>
            <w:tcW w:w="1395" w:type="dxa"/>
            <w:tcBorders>
              <w:bottom w:val="single" w:sz="6" w:space="0" w:color="000000"/>
              <w:right w:val="single" w:sz="6" w:space="0" w:color="000000"/>
            </w:tcBorders>
            <w:vAlign w:val="center"/>
          </w:tcPr>
          <w:p w14:paraId="1A50C48B" w14:textId="77777777" w:rsidR="007D706A" w:rsidRDefault="007D706A" w:rsidP="00F70508">
            <w:pPr>
              <w:pStyle w:val="ParagraphStyle12"/>
              <w:rPr>
                <w:rStyle w:val="CharacterStyle12"/>
              </w:rPr>
            </w:pPr>
            <w:r>
              <w:rPr>
                <w:rStyle w:val="CharacterStyle12"/>
              </w:rPr>
              <w:t>180,00</w:t>
            </w:r>
          </w:p>
        </w:tc>
        <w:tc>
          <w:tcPr>
            <w:tcW w:w="1395" w:type="dxa"/>
            <w:tcBorders>
              <w:bottom w:val="single" w:sz="6" w:space="0" w:color="000000"/>
              <w:right w:val="single" w:sz="6" w:space="0" w:color="000000"/>
            </w:tcBorders>
            <w:vAlign w:val="center"/>
          </w:tcPr>
          <w:p w14:paraId="2790CC02" w14:textId="77777777" w:rsidR="007D706A" w:rsidRDefault="007D706A" w:rsidP="00F70508">
            <w:pPr>
              <w:pStyle w:val="ParagraphStyle12"/>
              <w:rPr>
                <w:rStyle w:val="CharacterStyle12"/>
              </w:rPr>
            </w:pPr>
            <w:r>
              <w:rPr>
                <w:rStyle w:val="CharacterStyle12"/>
              </w:rPr>
              <w:t>200,00</w:t>
            </w:r>
          </w:p>
        </w:tc>
      </w:tr>
      <w:tr w:rsidR="007D706A" w14:paraId="63AAA326"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BE27CFC" w14:textId="77777777" w:rsidR="007D706A" w:rsidRDefault="007D706A" w:rsidP="00F70508">
            <w:pPr>
              <w:pStyle w:val="ParagraphStyle4"/>
              <w:rPr>
                <w:rStyle w:val="CharacterStyle4"/>
              </w:rPr>
            </w:pPr>
            <w:r>
              <w:rPr>
                <w:rStyle w:val="CharacterStyle4"/>
              </w:rPr>
              <w:t>Aktivnost A103205</w:t>
            </w:r>
          </w:p>
        </w:tc>
        <w:tc>
          <w:tcPr>
            <w:tcW w:w="4995" w:type="dxa"/>
            <w:tcBorders>
              <w:bottom w:val="single" w:sz="6" w:space="0" w:color="000000"/>
              <w:right w:val="single" w:sz="6" w:space="0" w:color="000000"/>
            </w:tcBorders>
            <w:vAlign w:val="center"/>
          </w:tcPr>
          <w:p w14:paraId="0AE17AEF" w14:textId="77777777" w:rsidR="007D706A" w:rsidRDefault="007D706A" w:rsidP="00F70508">
            <w:pPr>
              <w:pStyle w:val="ParagraphStyle5"/>
              <w:rPr>
                <w:rStyle w:val="CharacterStyle5"/>
              </w:rPr>
            </w:pPr>
            <w:r>
              <w:rPr>
                <w:rStyle w:val="CharacterStyle5"/>
              </w:rPr>
              <w:t>POMOĆI ZA HRANU ZA DOJENČAD</w:t>
            </w:r>
          </w:p>
        </w:tc>
        <w:tc>
          <w:tcPr>
            <w:tcW w:w="1395" w:type="dxa"/>
            <w:tcBorders>
              <w:bottom w:val="single" w:sz="6" w:space="0" w:color="000000"/>
              <w:right w:val="single" w:sz="6" w:space="0" w:color="000000"/>
            </w:tcBorders>
            <w:vAlign w:val="center"/>
          </w:tcPr>
          <w:p w14:paraId="0735DCD3"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38652E65" w14:textId="77777777" w:rsidR="007D706A" w:rsidRDefault="007D706A" w:rsidP="00F70508">
            <w:pPr>
              <w:pStyle w:val="ParagraphStyle6"/>
              <w:rPr>
                <w:rStyle w:val="CharacterStyle6"/>
              </w:rPr>
            </w:pPr>
            <w:r>
              <w:rPr>
                <w:rStyle w:val="CharacterStyle6"/>
              </w:rPr>
              <w:t>2.000,00</w:t>
            </w:r>
          </w:p>
        </w:tc>
        <w:tc>
          <w:tcPr>
            <w:tcW w:w="1395" w:type="dxa"/>
            <w:tcBorders>
              <w:bottom w:val="single" w:sz="6" w:space="0" w:color="000000"/>
              <w:right w:val="single" w:sz="6" w:space="0" w:color="000000"/>
            </w:tcBorders>
            <w:vAlign w:val="center"/>
          </w:tcPr>
          <w:p w14:paraId="1CB1A4D2" w14:textId="77777777" w:rsidR="007D706A" w:rsidRDefault="007D706A" w:rsidP="00F70508">
            <w:pPr>
              <w:pStyle w:val="ParagraphStyle6"/>
              <w:rPr>
                <w:rStyle w:val="CharacterStyle6"/>
              </w:rPr>
            </w:pPr>
            <w:r>
              <w:rPr>
                <w:rStyle w:val="CharacterStyle6"/>
              </w:rPr>
              <w:t>2.000,00</w:t>
            </w:r>
          </w:p>
        </w:tc>
        <w:tc>
          <w:tcPr>
            <w:tcW w:w="1395" w:type="dxa"/>
            <w:tcBorders>
              <w:bottom w:val="single" w:sz="6" w:space="0" w:color="000000"/>
              <w:right w:val="single" w:sz="6" w:space="0" w:color="000000"/>
            </w:tcBorders>
            <w:vAlign w:val="center"/>
          </w:tcPr>
          <w:p w14:paraId="660CD4BE" w14:textId="77777777" w:rsidR="007D706A" w:rsidRDefault="007D706A" w:rsidP="00F70508">
            <w:pPr>
              <w:pStyle w:val="ParagraphStyle6"/>
              <w:rPr>
                <w:rStyle w:val="CharacterStyle6"/>
              </w:rPr>
            </w:pPr>
            <w:r>
              <w:rPr>
                <w:rStyle w:val="CharacterStyle6"/>
              </w:rPr>
              <w:t>2.000,00</w:t>
            </w:r>
          </w:p>
        </w:tc>
        <w:tc>
          <w:tcPr>
            <w:tcW w:w="1395" w:type="dxa"/>
            <w:tcBorders>
              <w:bottom w:val="single" w:sz="6" w:space="0" w:color="000000"/>
              <w:right w:val="single" w:sz="6" w:space="0" w:color="000000"/>
            </w:tcBorders>
            <w:vAlign w:val="center"/>
          </w:tcPr>
          <w:p w14:paraId="154A6FAB" w14:textId="77777777" w:rsidR="007D706A" w:rsidRDefault="007D706A" w:rsidP="00F70508">
            <w:pPr>
              <w:pStyle w:val="ParagraphStyle6"/>
              <w:rPr>
                <w:rStyle w:val="CharacterStyle6"/>
              </w:rPr>
            </w:pPr>
            <w:r>
              <w:rPr>
                <w:rStyle w:val="CharacterStyle6"/>
              </w:rPr>
              <w:t>2.000,00</w:t>
            </w:r>
          </w:p>
        </w:tc>
      </w:tr>
      <w:tr w:rsidR="007D706A" w14:paraId="1C01120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441D334"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0C504909"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7F0E9B42"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E672DA2" w14:textId="77777777" w:rsidR="007D706A" w:rsidRDefault="007D706A" w:rsidP="00F70508">
            <w:pPr>
              <w:pStyle w:val="ParagraphStyle9"/>
              <w:rPr>
                <w:rStyle w:val="CharacterStyle9"/>
              </w:rPr>
            </w:pPr>
            <w:r>
              <w:rPr>
                <w:rStyle w:val="CharacterStyle9"/>
              </w:rPr>
              <w:t>2.000,00</w:t>
            </w:r>
          </w:p>
        </w:tc>
        <w:tc>
          <w:tcPr>
            <w:tcW w:w="1395" w:type="dxa"/>
            <w:tcBorders>
              <w:bottom w:val="single" w:sz="6" w:space="0" w:color="000000"/>
              <w:right w:val="single" w:sz="6" w:space="0" w:color="000000"/>
            </w:tcBorders>
            <w:vAlign w:val="center"/>
          </w:tcPr>
          <w:p w14:paraId="074E8708" w14:textId="77777777" w:rsidR="007D706A" w:rsidRDefault="007D706A" w:rsidP="00F70508">
            <w:pPr>
              <w:pStyle w:val="ParagraphStyle9"/>
              <w:rPr>
                <w:rStyle w:val="CharacterStyle9"/>
              </w:rPr>
            </w:pPr>
            <w:r>
              <w:rPr>
                <w:rStyle w:val="CharacterStyle9"/>
              </w:rPr>
              <w:t>2.000,00</w:t>
            </w:r>
          </w:p>
        </w:tc>
        <w:tc>
          <w:tcPr>
            <w:tcW w:w="1395" w:type="dxa"/>
            <w:tcBorders>
              <w:bottom w:val="single" w:sz="6" w:space="0" w:color="000000"/>
              <w:right w:val="single" w:sz="6" w:space="0" w:color="000000"/>
            </w:tcBorders>
            <w:vAlign w:val="center"/>
          </w:tcPr>
          <w:p w14:paraId="6A9EF606" w14:textId="77777777" w:rsidR="007D706A" w:rsidRDefault="007D706A" w:rsidP="00F70508">
            <w:pPr>
              <w:pStyle w:val="ParagraphStyle9"/>
              <w:rPr>
                <w:rStyle w:val="CharacterStyle9"/>
              </w:rPr>
            </w:pPr>
            <w:r>
              <w:rPr>
                <w:rStyle w:val="CharacterStyle9"/>
              </w:rPr>
              <w:t>2.000,00</w:t>
            </w:r>
          </w:p>
        </w:tc>
        <w:tc>
          <w:tcPr>
            <w:tcW w:w="1395" w:type="dxa"/>
            <w:tcBorders>
              <w:bottom w:val="single" w:sz="6" w:space="0" w:color="000000"/>
              <w:right w:val="single" w:sz="6" w:space="0" w:color="000000"/>
            </w:tcBorders>
            <w:vAlign w:val="center"/>
          </w:tcPr>
          <w:p w14:paraId="6F514641" w14:textId="77777777" w:rsidR="007D706A" w:rsidRDefault="007D706A" w:rsidP="00F70508">
            <w:pPr>
              <w:pStyle w:val="ParagraphStyle9"/>
              <w:rPr>
                <w:rStyle w:val="CharacterStyle9"/>
              </w:rPr>
            </w:pPr>
            <w:r>
              <w:rPr>
                <w:rStyle w:val="CharacterStyle9"/>
              </w:rPr>
              <w:t>2.000,00</w:t>
            </w:r>
          </w:p>
        </w:tc>
      </w:tr>
      <w:tr w:rsidR="007D706A" w14:paraId="31701326"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01DEF28"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476CD674"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356C02F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BBAD457" w14:textId="77777777" w:rsidR="007D706A" w:rsidRDefault="007D706A" w:rsidP="00F70508">
            <w:pPr>
              <w:pStyle w:val="ParagraphStyle12"/>
              <w:rPr>
                <w:rStyle w:val="CharacterStyle12"/>
              </w:rPr>
            </w:pPr>
            <w:r>
              <w:rPr>
                <w:rStyle w:val="CharacterStyle12"/>
              </w:rPr>
              <w:t>2.000,00</w:t>
            </w:r>
          </w:p>
        </w:tc>
        <w:tc>
          <w:tcPr>
            <w:tcW w:w="1395" w:type="dxa"/>
            <w:tcBorders>
              <w:bottom w:val="single" w:sz="6" w:space="0" w:color="000000"/>
              <w:right w:val="single" w:sz="6" w:space="0" w:color="000000"/>
            </w:tcBorders>
            <w:vAlign w:val="center"/>
          </w:tcPr>
          <w:p w14:paraId="1970C4D5" w14:textId="77777777" w:rsidR="007D706A" w:rsidRDefault="007D706A" w:rsidP="00F70508">
            <w:pPr>
              <w:pStyle w:val="ParagraphStyle12"/>
              <w:rPr>
                <w:rStyle w:val="CharacterStyle12"/>
              </w:rPr>
            </w:pPr>
            <w:r>
              <w:rPr>
                <w:rStyle w:val="CharacterStyle12"/>
              </w:rPr>
              <w:t>2.000,00</w:t>
            </w:r>
          </w:p>
        </w:tc>
        <w:tc>
          <w:tcPr>
            <w:tcW w:w="1395" w:type="dxa"/>
            <w:tcBorders>
              <w:bottom w:val="single" w:sz="6" w:space="0" w:color="000000"/>
              <w:right w:val="single" w:sz="6" w:space="0" w:color="000000"/>
            </w:tcBorders>
            <w:vAlign w:val="center"/>
          </w:tcPr>
          <w:p w14:paraId="163BCDD6" w14:textId="77777777" w:rsidR="007D706A" w:rsidRDefault="007D706A" w:rsidP="00F70508">
            <w:pPr>
              <w:pStyle w:val="ParagraphStyle12"/>
              <w:rPr>
                <w:rStyle w:val="CharacterStyle12"/>
              </w:rPr>
            </w:pPr>
            <w:r>
              <w:rPr>
                <w:rStyle w:val="CharacterStyle12"/>
              </w:rPr>
              <w:t>2.000,00</w:t>
            </w:r>
          </w:p>
        </w:tc>
        <w:tc>
          <w:tcPr>
            <w:tcW w:w="1395" w:type="dxa"/>
            <w:tcBorders>
              <w:bottom w:val="single" w:sz="6" w:space="0" w:color="000000"/>
              <w:right w:val="single" w:sz="6" w:space="0" w:color="000000"/>
            </w:tcBorders>
            <w:vAlign w:val="center"/>
          </w:tcPr>
          <w:p w14:paraId="0F5455E6" w14:textId="77777777" w:rsidR="007D706A" w:rsidRDefault="007D706A" w:rsidP="00F70508">
            <w:pPr>
              <w:pStyle w:val="ParagraphStyle12"/>
              <w:rPr>
                <w:rStyle w:val="CharacterStyle12"/>
              </w:rPr>
            </w:pPr>
            <w:r>
              <w:rPr>
                <w:rStyle w:val="CharacterStyle12"/>
              </w:rPr>
              <w:t>2.000,00</w:t>
            </w:r>
          </w:p>
        </w:tc>
      </w:tr>
      <w:tr w:rsidR="007D706A" w14:paraId="478E137D" w14:textId="77777777" w:rsidTr="00F70508">
        <w:trPr>
          <w:trHeight w:val="420"/>
        </w:trPr>
        <w:tc>
          <w:tcPr>
            <w:tcW w:w="2880" w:type="dxa"/>
            <w:tcBorders>
              <w:left w:val="single" w:sz="6" w:space="0" w:color="000000"/>
              <w:bottom w:val="single" w:sz="6" w:space="0" w:color="000000"/>
              <w:right w:val="single" w:sz="6" w:space="0" w:color="000000"/>
            </w:tcBorders>
            <w:vAlign w:val="center"/>
          </w:tcPr>
          <w:p w14:paraId="339B744B" w14:textId="77777777" w:rsidR="007D706A" w:rsidRDefault="007D706A" w:rsidP="00F70508">
            <w:pPr>
              <w:pStyle w:val="ParagraphStyle10"/>
              <w:rPr>
                <w:rStyle w:val="CharacterStyle10"/>
              </w:rPr>
            </w:pPr>
            <w:r>
              <w:rPr>
                <w:rStyle w:val="CharacterStyle10"/>
              </w:rPr>
              <w:t>37</w:t>
            </w:r>
          </w:p>
        </w:tc>
        <w:tc>
          <w:tcPr>
            <w:tcW w:w="4995" w:type="dxa"/>
            <w:tcBorders>
              <w:bottom w:val="single" w:sz="6" w:space="0" w:color="000000"/>
              <w:right w:val="single" w:sz="6" w:space="0" w:color="000000"/>
            </w:tcBorders>
            <w:vAlign w:val="center"/>
          </w:tcPr>
          <w:p w14:paraId="6DC932C4" w14:textId="77777777" w:rsidR="007D706A" w:rsidRDefault="007D706A" w:rsidP="00F70508">
            <w:pPr>
              <w:pStyle w:val="ParagraphStyle11"/>
              <w:rPr>
                <w:rStyle w:val="CharacterStyle11"/>
              </w:rPr>
            </w:pPr>
            <w:r>
              <w:rPr>
                <w:rStyle w:val="CharacterStyle11"/>
              </w:rPr>
              <w:t>Naknade građanima i kućanstvima na temelju osiguranja i druge naknade</w:t>
            </w:r>
          </w:p>
        </w:tc>
        <w:tc>
          <w:tcPr>
            <w:tcW w:w="1395" w:type="dxa"/>
            <w:tcBorders>
              <w:bottom w:val="single" w:sz="6" w:space="0" w:color="000000"/>
              <w:right w:val="single" w:sz="6" w:space="0" w:color="000000"/>
            </w:tcBorders>
            <w:vAlign w:val="center"/>
          </w:tcPr>
          <w:p w14:paraId="5AAD7B0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C55455C" w14:textId="77777777" w:rsidR="007D706A" w:rsidRDefault="007D706A" w:rsidP="00F70508">
            <w:pPr>
              <w:pStyle w:val="ParagraphStyle12"/>
              <w:rPr>
                <w:rStyle w:val="CharacterStyle12"/>
              </w:rPr>
            </w:pPr>
            <w:r>
              <w:rPr>
                <w:rStyle w:val="CharacterStyle12"/>
              </w:rPr>
              <w:t>2.000,00</w:t>
            </w:r>
          </w:p>
        </w:tc>
        <w:tc>
          <w:tcPr>
            <w:tcW w:w="1395" w:type="dxa"/>
            <w:tcBorders>
              <w:bottom w:val="single" w:sz="6" w:space="0" w:color="000000"/>
              <w:right w:val="single" w:sz="6" w:space="0" w:color="000000"/>
            </w:tcBorders>
            <w:vAlign w:val="center"/>
          </w:tcPr>
          <w:p w14:paraId="7E52AC64" w14:textId="77777777" w:rsidR="007D706A" w:rsidRDefault="007D706A" w:rsidP="00F70508">
            <w:pPr>
              <w:pStyle w:val="ParagraphStyle12"/>
              <w:rPr>
                <w:rStyle w:val="CharacterStyle12"/>
              </w:rPr>
            </w:pPr>
            <w:r>
              <w:rPr>
                <w:rStyle w:val="CharacterStyle12"/>
              </w:rPr>
              <w:t>2.000,00</w:t>
            </w:r>
          </w:p>
        </w:tc>
        <w:tc>
          <w:tcPr>
            <w:tcW w:w="1395" w:type="dxa"/>
            <w:tcBorders>
              <w:bottom w:val="single" w:sz="6" w:space="0" w:color="000000"/>
              <w:right w:val="single" w:sz="6" w:space="0" w:color="000000"/>
            </w:tcBorders>
            <w:vAlign w:val="center"/>
          </w:tcPr>
          <w:p w14:paraId="44AC6D97" w14:textId="77777777" w:rsidR="007D706A" w:rsidRDefault="007D706A" w:rsidP="00F70508">
            <w:pPr>
              <w:pStyle w:val="ParagraphStyle12"/>
              <w:rPr>
                <w:rStyle w:val="CharacterStyle12"/>
              </w:rPr>
            </w:pPr>
            <w:r>
              <w:rPr>
                <w:rStyle w:val="CharacterStyle12"/>
              </w:rPr>
              <w:t>2.000,00</w:t>
            </w:r>
          </w:p>
        </w:tc>
        <w:tc>
          <w:tcPr>
            <w:tcW w:w="1395" w:type="dxa"/>
            <w:tcBorders>
              <w:bottom w:val="single" w:sz="6" w:space="0" w:color="000000"/>
              <w:right w:val="single" w:sz="6" w:space="0" w:color="000000"/>
            </w:tcBorders>
            <w:vAlign w:val="center"/>
          </w:tcPr>
          <w:p w14:paraId="25F51E09" w14:textId="77777777" w:rsidR="007D706A" w:rsidRDefault="007D706A" w:rsidP="00F70508">
            <w:pPr>
              <w:pStyle w:val="ParagraphStyle12"/>
              <w:rPr>
                <w:rStyle w:val="CharacterStyle12"/>
              </w:rPr>
            </w:pPr>
            <w:r>
              <w:rPr>
                <w:rStyle w:val="CharacterStyle12"/>
              </w:rPr>
              <w:t>2.000,00</w:t>
            </w:r>
          </w:p>
        </w:tc>
      </w:tr>
      <w:tr w:rsidR="007D706A" w14:paraId="4F229BF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08E828B" w14:textId="77777777" w:rsidR="007D706A" w:rsidRDefault="007D706A" w:rsidP="00F70508">
            <w:pPr>
              <w:pStyle w:val="ParagraphStyle4"/>
              <w:rPr>
                <w:rStyle w:val="CharacterStyle4"/>
              </w:rPr>
            </w:pPr>
            <w:r>
              <w:rPr>
                <w:rStyle w:val="CharacterStyle4"/>
              </w:rPr>
              <w:t>Aktivnost A103202</w:t>
            </w:r>
          </w:p>
        </w:tc>
        <w:tc>
          <w:tcPr>
            <w:tcW w:w="4995" w:type="dxa"/>
            <w:tcBorders>
              <w:bottom w:val="single" w:sz="6" w:space="0" w:color="000000"/>
              <w:right w:val="single" w:sz="6" w:space="0" w:color="000000"/>
            </w:tcBorders>
            <w:vAlign w:val="center"/>
          </w:tcPr>
          <w:p w14:paraId="6632EA0E" w14:textId="77777777" w:rsidR="007D706A" w:rsidRDefault="007D706A" w:rsidP="00F70508">
            <w:pPr>
              <w:pStyle w:val="ParagraphStyle5"/>
              <w:rPr>
                <w:rStyle w:val="CharacterStyle5"/>
              </w:rPr>
            </w:pPr>
            <w:r>
              <w:rPr>
                <w:rStyle w:val="CharacterStyle5"/>
              </w:rPr>
              <w:t>POMOĆI UMIROVLJENICIMA</w:t>
            </w:r>
          </w:p>
        </w:tc>
        <w:tc>
          <w:tcPr>
            <w:tcW w:w="1395" w:type="dxa"/>
            <w:tcBorders>
              <w:bottom w:val="single" w:sz="6" w:space="0" w:color="000000"/>
              <w:right w:val="single" w:sz="6" w:space="0" w:color="000000"/>
            </w:tcBorders>
            <w:vAlign w:val="center"/>
          </w:tcPr>
          <w:p w14:paraId="4A4A19F0"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17D1F9E3" w14:textId="77777777" w:rsidR="007D706A" w:rsidRDefault="007D706A" w:rsidP="00F70508">
            <w:pPr>
              <w:pStyle w:val="ParagraphStyle6"/>
              <w:rPr>
                <w:rStyle w:val="CharacterStyle6"/>
              </w:rPr>
            </w:pPr>
            <w:r>
              <w:rPr>
                <w:rStyle w:val="CharacterStyle6"/>
              </w:rPr>
              <w:t>122.630,00</w:t>
            </w:r>
          </w:p>
        </w:tc>
        <w:tc>
          <w:tcPr>
            <w:tcW w:w="1395" w:type="dxa"/>
            <w:tcBorders>
              <w:bottom w:val="single" w:sz="6" w:space="0" w:color="000000"/>
              <w:right w:val="single" w:sz="6" w:space="0" w:color="000000"/>
            </w:tcBorders>
            <w:vAlign w:val="center"/>
          </w:tcPr>
          <w:p w14:paraId="6D6C29F1" w14:textId="77777777" w:rsidR="007D706A" w:rsidRDefault="007D706A" w:rsidP="00F70508">
            <w:pPr>
              <w:pStyle w:val="ParagraphStyle6"/>
              <w:rPr>
                <w:rStyle w:val="CharacterStyle6"/>
              </w:rPr>
            </w:pPr>
            <w:r>
              <w:rPr>
                <w:rStyle w:val="CharacterStyle6"/>
              </w:rPr>
              <w:t>190.000,00</w:t>
            </w:r>
          </w:p>
        </w:tc>
        <w:tc>
          <w:tcPr>
            <w:tcW w:w="1395" w:type="dxa"/>
            <w:tcBorders>
              <w:bottom w:val="single" w:sz="6" w:space="0" w:color="000000"/>
              <w:right w:val="single" w:sz="6" w:space="0" w:color="000000"/>
            </w:tcBorders>
            <w:vAlign w:val="center"/>
          </w:tcPr>
          <w:p w14:paraId="6991F065" w14:textId="77777777" w:rsidR="007D706A" w:rsidRDefault="007D706A" w:rsidP="00F70508">
            <w:pPr>
              <w:pStyle w:val="ParagraphStyle6"/>
              <w:rPr>
                <w:rStyle w:val="CharacterStyle6"/>
              </w:rPr>
            </w:pPr>
            <w:r>
              <w:rPr>
                <w:rStyle w:val="CharacterStyle6"/>
              </w:rPr>
              <w:t>153.000,00</w:t>
            </w:r>
          </w:p>
        </w:tc>
        <w:tc>
          <w:tcPr>
            <w:tcW w:w="1395" w:type="dxa"/>
            <w:tcBorders>
              <w:bottom w:val="single" w:sz="6" w:space="0" w:color="000000"/>
              <w:right w:val="single" w:sz="6" w:space="0" w:color="000000"/>
            </w:tcBorders>
            <w:vAlign w:val="center"/>
          </w:tcPr>
          <w:p w14:paraId="1EC0379F" w14:textId="77777777" w:rsidR="007D706A" w:rsidRDefault="007D706A" w:rsidP="00F70508">
            <w:pPr>
              <w:pStyle w:val="ParagraphStyle6"/>
              <w:rPr>
                <w:rStyle w:val="CharacterStyle6"/>
              </w:rPr>
            </w:pPr>
            <w:r>
              <w:rPr>
                <w:rStyle w:val="CharacterStyle6"/>
              </w:rPr>
              <w:t>163.800,00</w:t>
            </w:r>
          </w:p>
        </w:tc>
      </w:tr>
      <w:tr w:rsidR="007D706A" w14:paraId="25ED699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DC52378"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0EEEB845"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771FE456"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D87BD11" w14:textId="77777777" w:rsidR="007D706A" w:rsidRDefault="007D706A" w:rsidP="00F70508">
            <w:pPr>
              <w:pStyle w:val="ParagraphStyle9"/>
              <w:rPr>
                <w:rStyle w:val="CharacterStyle9"/>
              </w:rPr>
            </w:pPr>
            <w:r>
              <w:rPr>
                <w:rStyle w:val="CharacterStyle9"/>
              </w:rPr>
              <w:t>122.630,00</w:t>
            </w:r>
          </w:p>
        </w:tc>
        <w:tc>
          <w:tcPr>
            <w:tcW w:w="1395" w:type="dxa"/>
            <w:tcBorders>
              <w:bottom w:val="single" w:sz="6" w:space="0" w:color="000000"/>
              <w:right w:val="single" w:sz="6" w:space="0" w:color="000000"/>
            </w:tcBorders>
            <w:vAlign w:val="center"/>
          </w:tcPr>
          <w:p w14:paraId="7B6CF888" w14:textId="77777777" w:rsidR="007D706A" w:rsidRDefault="007D706A" w:rsidP="00F70508">
            <w:pPr>
              <w:pStyle w:val="ParagraphStyle9"/>
              <w:rPr>
                <w:rStyle w:val="CharacterStyle9"/>
              </w:rPr>
            </w:pPr>
            <w:r>
              <w:rPr>
                <w:rStyle w:val="CharacterStyle9"/>
              </w:rPr>
              <w:t>190.000,00</w:t>
            </w:r>
          </w:p>
        </w:tc>
        <w:tc>
          <w:tcPr>
            <w:tcW w:w="1395" w:type="dxa"/>
            <w:tcBorders>
              <w:bottom w:val="single" w:sz="6" w:space="0" w:color="000000"/>
              <w:right w:val="single" w:sz="6" w:space="0" w:color="000000"/>
            </w:tcBorders>
            <w:vAlign w:val="center"/>
          </w:tcPr>
          <w:p w14:paraId="1E8784ED" w14:textId="77777777" w:rsidR="007D706A" w:rsidRDefault="007D706A" w:rsidP="00F70508">
            <w:pPr>
              <w:pStyle w:val="ParagraphStyle9"/>
              <w:rPr>
                <w:rStyle w:val="CharacterStyle9"/>
              </w:rPr>
            </w:pPr>
            <w:r>
              <w:rPr>
                <w:rStyle w:val="CharacterStyle9"/>
              </w:rPr>
              <w:t>153.000,00</w:t>
            </w:r>
          </w:p>
        </w:tc>
        <w:tc>
          <w:tcPr>
            <w:tcW w:w="1395" w:type="dxa"/>
            <w:tcBorders>
              <w:bottom w:val="single" w:sz="6" w:space="0" w:color="000000"/>
              <w:right w:val="single" w:sz="6" w:space="0" w:color="000000"/>
            </w:tcBorders>
            <w:vAlign w:val="center"/>
          </w:tcPr>
          <w:p w14:paraId="500333F7" w14:textId="77777777" w:rsidR="007D706A" w:rsidRDefault="007D706A" w:rsidP="00F70508">
            <w:pPr>
              <w:pStyle w:val="ParagraphStyle9"/>
              <w:rPr>
                <w:rStyle w:val="CharacterStyle9"/>
              </w:rPr>
            </w:pPr>
            <w:r>
              <w:rPr>
                <w:rStyle w:val="CharacterStyle9"/>
              </w:rPr>
              <w:t>163.800,00</w:t>
            </w:r>
          </w:p>
        </w:tc>
      </w:tr>
      <w:tr w:rsidR="007D706A" w14:paraId="1A4458B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FF89E0C"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1FD4042F"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23B1400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1F2859D" w14:textId="77777777" w:rsidR="007D706A" w:rsidRDefault="007D706A" w:rsidP="00F70508">
            <w:pPr>
              <w:pStyle w:val="ParagraphStyle12"/>
              <w:rPr>
                <w:rStyle w:val="CharacterStyle12"/>
              </w:rPr>
            </w:pPr>
            <w:r>
              <w:rPr>
                <w:rStyle w:val="CharacterStyle12"/>
              </w:rPr>
              <w:t>122.630,00</w:t>
            </w:r>
          </w:p>
        </w:tc>
        <w:tc>
          <w:tcPr>
            <w:tcW w:w="1395" w:type="dxa"/>
            <w:tcBorders>
              <w:bottom w:val="single" w:sz="6" w:space="0" w:color="000000"/>
              <w:right w:val="single" w:sz="6" w:space="0" w:color="000000"/>
            </w:tcBorders>
            <w:vAlign w:val="center"/>
          </w:tcPr>
          <w:p w14:paraId="2FFCCAE7" w14:textId="77777777" w:rsidR="007D706A" w:rsidRDefault="007D706A" w:rsidP="00F70508">
            <w:pPr>
              <w:pStyle w:val="ParagraphStyle12"/>
              <w:rPr>
                <w:rStyle w:val="CharacterStyle12"/>
              </w:rPr>
            </w:pPr>
            <w:r>
              <w:rPr>
                <w:rStyle w:val="CharacterStyle12"/>
              </w:rPr>
              <w:t>190.000,00</w:t>
            </w:r>
          </w:p>
        </w:tc>
        <w:tc>
          <w:tcPr>
            <w:tcW w:w="1395" w:type="dxa"/>
            <w:tcBorders>
              <w:bottom w:val="single" w:sz="6" w:space="0" w:color="000000"/>
              <w:right w:val="single" w:sz="6" w:space="0" w:color="000000"/>
            </w:tcBorders>
            <w:vAlign w:val="center"/>
          </w:tcPr>
          <w:p w14:paraId="1000C4DB" w14:textId="77777777" w:rsidR="007D706A" w:rsidRDefault="007D706A" w:rsidP="00F70508">
            <w:pPr>
              <w:pStyle w:val="ParagraphStyle12"/>
              <w:rPr>
                <w:rStyle w:val="CharacterStyle12"/>
              </w:rPr>
            </w:pPr>
            <w:r>
              <w:rPr>
                <w:rStyle w:val="CharacterStyle12"/>
              </w:rPr>
              <w:t>153.000,00</w:t>
            </w:r>
          </w:p>
        </w:tc>
        <w:tc>
          <w:tcPr>
            <w:tcW w:w="1395" w:type="dxa"/>
            <w:tcBorders>
              <w:bottom w:val="single" w:sz="6" w:space="0" w:color="000000"/>
              <w:right w:val="single" w:sz="6" w:space="0" w:color="000000"/>
            </w:tcBorders>
            <w:vAlign w:val="center"/>
          </w:tcPr>
          <w:p w14:paraId="088CBD3C" w14:textId="77777777" w:rsidR="007D706A" w:rsidRDefault="007D706A" w:rsidP="00F70508">
            <w:pPr>
              <w:pStyle w:val="ParagraphStyle12"/>
              <w:rPr>
                <w:rStyle w:val="CharacterStyle12"/>
              </w:rPr>
            </w:pPr>
            <w:r>
              <w:rPr>
                <w:rStyle w:val="CharacterStyle12"/>
              </w:rPr>
              <w:t>163.800,00</w:t>
            </w:r>
          </w:p>
        </w:tc>
      </w:tr>
      <w:tr w:rsidR="007D706A" w14:paraId="7F5C38F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B0BA3D1"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18986C22"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2A791AB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302811A" w14:textId="77777777" w:rsidR="007D706A" w:rsidRDefault="007D706A" w:rsidP="00F70508">
            <w:pPr>
              <w:pStyle w:val="ParagraphStyle12"/>
              <w:rPr>
                <w:rStyle w:val="CharacterStyle12"/>
              </w:rPr>
            </w:pPr>
            <w:r>
              <w:rPr>
                <w:rStyle w:val="CharacterStyle12"/>
              </w:rPr>
              <w:t>3.000,00</w:t>
            </w:r>
          </w:p>
        </w:tc>
        <w:tc>
          <w:tcPr>
            <w:tcW w:w="1395" w:type="dxa"/>
            <w:tcBorders>
              <w:bottom w:val="single" w:sz="6" w:space="0" w:color="000000"/>
              <w:right w:val="single" w:sz="6" w:space="0" w:color="000000"/>
            </w:tcBorders>
            <w:vAlign w:val="center"/>
          </w:tcPr>
          <w:p w14:paraId="121F72C7" w14:textId="77777777" w:rsidR="007D706A" w:rsidRDefault="007D706A" w:rsidP="00F70508">
            <w:pPr>
              <w:pStyle w:val="ParagraphStyle12"/>
              <w:rPr>
                <w:rStyle w:val="CharacterStyle12"/>
              </w:rPr>
            </w:pPr>
            <w:r>
              <w:rPr>
                <w:rStyle w:val="CharacterStyle12"/>
              </w:rPr>
              <w:t>3.000,00</w:t>
            </w:r>
          </w:p>
        </w:tc>
        <w:tc>
          <w:tcPr>
            <w:tcW w:w="1395" w:type="dxa"/>
            <w:tcBorders>
              <w:bottom w:val="single" w:sz="6" w:space="0" w:color="000000"/>
              <w:right w:val="single" w:sz="6" w:space="0" w:color="000000"/>
            </w:tcBorders>
            <w:vAlign w:val="center"/>
          </w:tcPr>
          <w:p w14:paraId="5B82F5D7" w14:textId="77777777" w:rsidR="007D706A" w:rsidRDefault="007D706A" w:rsidP="00F70508">
            <w:pPr>
              <w:pStyle w:val="ParagraphStyle12"/>
              <w:rPr>
                <w:rStyle w:val="CharacterStyle12"/>
              </w:rPr>
            </w:pPr>
            <w:r>
              <w:rPr>
                <w:rStyle w:val="CharacterStyle12"/>
              </w:rPr>
              <w:t>3.000,00</w:t>
            </w:r>
          </w:p>
        </w:tc>
        <w:tc>
          <w:tcPr>
            <w:tcW w:w="1395" w:type="dxa"/>
            <w:tcBorders>
              <w:bottom w:val="single" w:sz="6" w:space="0" w:color="000000"/>
              <w:right w:val="single" w:sz="6" w:space="0" w:color="000000"/>
            </w:tcBorders>
            <w:vAlign w:val="center"/>
          </w:tcPr>
          <w:p w14:paraId="4A1E16C4" w14:textId="77777777" w:rsidR="007D706A" w:rsidRDefault="007D706A" w:rsidP="00F70508">
            <w:pPr>
              <w:pStyle w:val="ParagraphStyle12"/>
              <w:rPr>
                <w:rStyle w:val="CharacterStyle12"/>
              </w:rPr>
            </w:pPr>
            <w:r>
              <w:rPr>
                <w:rStyle w:val="CharacterStyle12"/>
              </w:rPr>
              <w:t>3.800,00</w:t>
            </w:r>
          </w:p>
        </w:tc>
      </w:tr>
      <w:tr w:rsidR="007D706A" w14:paraId="46BD0116" w14:textId="77777777" w:rsidTr="00F70508">
        <w:trPr>
          <w:trHeight w:val="420"/>
        </w:trPr>
        <w:tc>
          <w:tcPr>
            <w:tcW w:w="2880" w:type="dxa"/>
            <w:tcBorders>
              <w:left w:val="single" w:sz="6" w:space="0" w:color="000000"/>
              <w:bottom w:val="single" w:sz="6" w:space="0" w:color="000000"/>
              <w:right w:val="single" w:sz="6" w:space="0" w:color="000000"/>
            </w:tcBorders>
            <w:vAlign w:val="center"/>
          </w:tcPr>
          <w:p w14:paraId="10032F4F" w14:textId="77777777" w:rsidR="007D706A" w:rsidRDefault="007D706A" w:rsidP="00F70508">
            <w:pPr>
              <w:pStyle w:val="ParagraphStyle10"/>
              <w:rPr>
                <w:rStyle w:val="CharacterStyle10"/>
              </w:rPr>
            </w:pPr>
            <w:r>
              <w:rPr>
                <w:rStyle w:val="CharacterStyle10"/>
              </w:rPr>
              <w:t>37</w:t>
            </w:r>
          </w:p>
        </w:tc>
        <w:tc>
          <w:tcPr>
            <w:tcW w:w="4995" w:type="dxa"/>
            <w:tcBorders>
              <w:bottom w:val="single" w:sz="6" w:space="0" w:color="000000"/>
              <w:right w:val="single" w:sz="6" w:space="0" w:color="000000"/>
            </w:tcBorders>
            <w:vAlign w:val="center"/>
          </w:tcPr>
          <w:p w14:paraId="653AA4AA" w14:textId="77777777" w:rsidR="007D706A" w:rsidRDefault="007D706A" w:rsidP="00F70508">
            <w:pPr>
              <w:pStyle w:val="ParagraphStyle11"/>
              <w:rPr>
                <w:rStyle w:val="CharacterStyle11"/>
              </w:rPr>
            </w:pPr>
            <w:r>
              <w:rPr>
                <w:rStyle w:val="CharacterStyle11"/>
              </w:rPr>
              <w:t>Naknade građanima i kućanstvima na temelju osiguranja i druge naknade</w:t>
            </w:r>
          </w:p>
        </w:tc>
        <w:tc>
          <w:tcPr>
            <w:tcW w:w="1395" w:type="dxa"/>
            <w:tcBorders>
              <w:bottom w:val="single" w:sz="6" w:space="0" w:color="000000"/>
              <w:right w:val="single" w:sz="6" w:space="0" w:color="000000"/>
            </w:tcBorders>
            <w:vAlign w:val="center"/>
          </w:tcPr>
          <w:p w14:paraId="15CC0C1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FF88B46" w14:textId="77777777" w:rsidR="007D706A" w:rsidRDefault="007D706A" w:rsidP="00F70508">
            <w:pPr>
              <w:pStyle w:val="ParagraphStyle12"/>
              <w:rPr>
                <w:rStyle w:val="CharacterStyle12"/>
              </w:rPr>
            </w:pPr>
            <w:r>
              <w:rPr>
                <w:rStyle w:val="CharacterStyle12"/>
              </w:rPr>
              <w:t>119.630,00</w:t>
            </w:r>
          </w:p>
        </w:tc>
        <w:tc>
          <w:tcPr>
            <w:tcW w:w="1395" w:type="dxa"/>
            <w:tcBorders>
              <w:bottom w:val="single" w:sz="6" w:space="0" w:color="000000"/>
              <w:right w:val="single" w:sz="6" w:space="0" w:color="000000"/>
            </w:tcBorders>
            <w:vAlign w:val="center"/>
          </w:tcPr>
          <w:p w14:paraId="0D03C9C2" w14:textId="77777777" w:rsidR="007D706A" w:rsidRDefault="007D706A" w:rsidP="00F70508">
            <w:pPr>
              <w:pStyle w:val="ParagraphStyle12"/>
              <w:rPr>
                <w:rStyle w:val="CharacterStyle12"/>
              </w:rPr>
            </w:pPr>
            <w:r>
              <w:rPr>
                <w:rStyle w:val="CharacterStyle12"/>
              </w:rPr>
              <w:t>187.000,00</w:t>
            </w:r>
          </w:p>
        </w:tc>
        <w:tc>
          <w:tcPr>
            <w:tcW w:w="1395" w:type="dxa"/>
            <w:tcBorders>
              <w:bottom w:val="single" w:sz="6" w:space="0" w:color="000000"/>
              <w:right w:val="single" w:sz="6" w:space="0" w:color="000000"/>
            </w:tcBorders>
            <w:vAlign w:val="center"/>
          </w:tcPr>
          <w:p w14:paraId="655FDC55" w14:textId="77777777" w:rsidR="007D706A" w:rsidRDefault="007D706A" w:rsidP="00F70508">
            <w:pPr>
              <w:pStyle w:val="ParagraphStyle12"/>
              <w:rPr>
                <w:rStyle w:val="CharacterStyle12"/>
              </w:rPr>
            </w:pPr>
            <w:r>
              <w:rPr>
                <w:rStyle w:val="CharacterStyle12"/>
              </w:rPr>
              <w:t>150.000,00</w:t>
            </w:r>
          </w:p>
        </w:tc>
        <w:tc>
          <w:tcPr>
            <w:tcW w:w="1395" w:type="dxa"/>
            <w:tcBorders>
              <w:bottom w:val="single" w:sz="6" w:space="0" w:color="000000"/>
              <w:right w:val="single" w:sz="6" w:space="0" w:color="000000"/>
            </w:tcBorders>
            <w:vAlign w:val="center"/>
          </w:tcPr>
          <w:p w14:paraId="2994A650" w14:textId="77777777" w:rsidR="007D706A" w:rsidRDefault="007D706A" w:rsidP="00F70508">
            <w:pPr>
              <w:pStyle w:val="ParagraphStyle12"/>
              <w:rPr>
                <w:rStyle w:val="CharacterStyle12"/>
              </w:rPr>
            </w:pPr>
            <w:r>
              <w:rPr>
                <w:rStyle w:val="CharacterStyle12"/>
              </w:rPr>
              <w:t>160.000,00</w:t>
            </w:r>
          </w:p>
        </w:tc>
      </w:tr>
      <w:tr w:rsidR="007D706A" w14:paraId="51FBCE5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BDF8168" w14:textId="77777777" w:rsidR="007D706A" w:rsidRDefault="007D706A" w:rsidP="00F70508">
            <w:pPr>
              <w:pStyle w:val="ParagraphStyle4"/>
              <w:rPr>
                <w:rStyle w:val="CharacterStyle4"/>
              </w:rPr>
            </w:pPr>
            <w:r>
              <w:rPr>
                <w:rStyle w:val="CharacterStyle4"/>
              </w:rPr>
              <w:t>Aktivnost A103214</w:t>
            </w:r>
          </w:p>
        </w:tc>
        <w:tc>
          <w:tcPr>
            <w:tcW w:w="4995" w:type="dxa"/>
            <w:tcBorders>
              <w:bottom w:val="single" w:sz="6" w:space="0" w:color="000000"/>
              <w:right w:val="single" w:sz="6" w:space="0" w:color="000000"/>
            </w:tcBorders>
            <w:vAlign w:val="center"/>
          </w:tcPr>
          <w:p w14:paraId="28745982" w14:textId="77777777" w:rsidR="007D706A" w:rsidRDefault="007D706A" w:rsidP="00F70508">
            <w:pPr>
              <w:pStyle w:val="ParagraphStyle5"/>
              <w:rPr>
                <w:rStyle w:val="CharacterStyle5"/>
              </w:rPr>
            </w:pPr>
            <w:r>
              <w:rPr>
                <w:rStyle w:val="CharacterStyle5"/>
              </w:rPr>
              <w:t>GRADSKO DRUŠTVO CRVENOG KRIŽA</w:t>
            </w:r>
          </w:p>
        </w:tc>
        <w:tc>
          <w:tcPr>
            <w:tcW w:w="1395" w:type="dxa"/>
            <w:tcBorders>
              <w:bottom w:val="single" w:sz="6" w:space="0" w:color="000000"/>
              <w:right w:val="single" w:sz="6" w:space="0" w:color="000000"/>
            </w:tcBorders>
            <w:vAlign w:val="center"/>
          </w:tcPr>
          <w:p w14:paraId="129AAB31"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52A63DE8" w14:textId="77777777" w:rsidR="007D706A" w:rsidRDefault="007D706A" w:rsidP="00F70508">
            <w:pPr>
              <w:pStyle w:val="ParagraphStyle6"/>
              <w:rPr>
                <w:rStyle w:val="CharacterStyle6"/>
              </w:rPr>
            </w:pPr>
            <w:r>
              <w:rPr>
                <w:rStyle w:val="CharacterStyle6"/>
              </w:rPr>
              <w:t>109.377,50</w:t>
            </w:r>
          </w:p>
        </w:tc>
        <w:tc>
          <w:tcPr>
            <w:tcW w:w="1395" w:type="dxa"/>
            <w:tcBorders>
              <w:bottom w:val="single" w:sz="6" w:space="0" w:color="000000"/>
              <w:right w:val="single" w:sz="6" w:space="0" w:color="000000"/>
            </w:tcBorders>
            <w:vAlign w:val="center"/>
          </w:tcPr>
          <w:p w14:paraId="4EA1D595" w14:textId="77777777" w:rsidR="007D706A" w:rsidRDefault="007D706A" w:rsidP="00F70508">
            <w:pPr>
              <w:pStyle w:val="ParagraphStyle6"/>
              <w:rPr>
                <w:rStyle w:val="CharacterStyle6"/>
              </w:rPr>
            </w:pPr>
            <w:r>
              <w:rPr>
                <w:rStyle w:val="CharacterStyle6"/>
              </w:rPr>
              <w:t>109.377,00</w:t>
            </w:r>
          </w:p>
        </w:tc>
        <w:tc>
          <w:tcPr>
            <w:tcW w:w="1395" w:type="dxa"/>
            <w:tcBorders>
              <w:bottom w:val="single" w:sz="6" w:space="0" w:color="000000"/>
              <w:right w:val="single" w:sz="6" w:space="0" w:color="000000"/>
            </w:tcBorders>
            <w:vAlign w:val="center"/>
          </w:tcPr>
          <w:p w14:paraId="318B88FA" w14:textId="77777777" w:rsidR="007D706A" w:rsidRDefault="007D706A" w:rsidP="00F70508">
            <w:pPr>
              <w:pStyle w:val="ParagraphStyle6"/>
              <w:rPr>
                <w:rStyle w:val="CharacterStyle6"/>
              </w:rPr>
            </w:pPr>
            <w:r>
              <w:rPr>
                <w:rStyle w:val="CharacterStyle6"/>
              </w:rPr>
              <w:t>109.337,00</w:t>
            </w:r>
          </w:p>
        </w:tc>
        <w:tc>
          <w:tcPr>
            <w:tcW w:w="1395" w:type="dxa"/>
            <w:tcBorders>
              <w:bottom w:val="single" w:sz="6" w:space="0" w:color="000000"/>
              <w:right w:val="single" w:sz="6" w:space="0" w:color="000000"/>
            </w:tcBorders>
            <w:vAlign w:val="center"/>
          </w:tcPr>
          <w:p w14:paraId="51129C1C" w14:textId="77777777" w:rsidR="007D706A" w:rsidRDefault="007D706A" w:rsidP="00F70508">
            <w:pPr>
              <w:pStyle w:val="ParagraphStyle6"/>
              <w:rPr>
                <w:rStyle w:val="CharacterStyle6"/>
              </w:rPr>
            </w:pPr>
            <w:r>
              <w:rPr>
                <w:rStyle w:val="CharacterStyle6"/>
              </w:rPr>
              <w:t>109.337,00</w:t>
            </w:r>
          </w:p>
        </w:tc>
      </w:tr>
      <w:tr w:rsidR="007D706A" w14:paraId="12CA863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427B639"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428681A6"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3D288815"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6F9721B" w14:textId="77777777" w:rsidR="007D706A" w:rsidRDefault="007D706A" w:rsidP="00F70508">
            <w:pPr>
              <w:pStyle w:val="ParagraphStyle9"/>
              <w:rPr>
                <w:rStyle w:val="CharacterStyle9"/>
              </w:rPr>
            </w:pPr>
            <w:r>
              <w:rPr>
                <w:rStyle w:val="CharacterStyle9"/>
              </w:rPr>
              <w:t>109.377,50</w:t>
            </w:r>
          </w:p>
        </w:tc>
        <w:tc>
          <w:tcPr>
            <w:tcW w:w="1395" w:type="dxa"/>
            <w:tcBorders>
              <w:bottom w:val="single" w:sz="6" w:space="0" w:color="000000"/>
              <w:right w:val="single" w:sz="6" w:space="0" w:color="000000"/>
            </w:tcBorders>
            <w:vAlign w:val="center"/>
          </w:tcPr>
          <w:p w14:paraId="3A9B65E7" w14:textId="77777777" w:rsidR="007D706A" w:rsidRDefault="007D706A" w:rsidP="00F70508">
            <w:pPr>
              <w:pStyle w:val="ParagraphStyle9"/>
              <w:rPr>
                <w:rStyle w:val="CharacterStyle9"/>
              </w:rPr>
            </w:pPr>
            <w:r>
              <w:rPr>
                <w:rStyle w:val="CharacterStyle9"/>
              </w:rPr>
              <w:t>109.377,00</w:t>
            </w:r>
          </w:p>
        </w:tc>
        <w:tc>
          <w:tcPr>
            <w:tcW w:w="1395" w:type="dxa"/>
            <w:tcBorders>
              <w:bottom w:val="single" w:sz="6" w:space="0" w:color="000000"/>
              <w:right w:val="single" w:sz="6" w:space="0" w:color="000000"/>
            </w:tcBorders>
            <w:vAlign w:val="center"/>
          </w:tcPr>
          <w:p w14:paraId="76A11E90" w14:textId="77777777" w:rsidR="007D706A" w:rsidRDefault="007D706A" w:rsidP="00F70508">
            <w:pPr>
              <w:pStyle w:val="ParagraphStyle9"/>
              <w:rPr>
                <w:rStyle w:val="CharacterStyle9"/>
              </w:rPr>
            </w:pPr>
            <w:r>
              <w:rPr>
                <w:rStyle w:val="CharacterStyle9"/>
              </w:rPr>
              <w:t>109.337,00</w:t>
            </w:r>
          </w:p>
        </w:tc>
        <w:tc>
          <w:tcPr>
            <w:tcW w:w="1395" w:type="dxa"/>
            <w:tcBorders>
              <w:bottom w:val="single" w:sz="6" w:space="0" w:color="000000"/>
              <w:right w:val="single" w:sz="6" w:space="0" w:color="000000"/>
            </w:tcBorders>
            <w:vAlign w:val="center"/>
          </w:tcPr>
          <w:p w14:paraId="1E1E7DBD" w14:textId="77777777" w:rsidR="007D706A" w:rsidRDefault="007D706A" w:rsidP="00F70508">
            <w:pPr>
              <w:pStyle w:val="ParagraphStyle9"/>
              <w:rPr>
                <w:rStyle w:val="CharacterStyle9"/>
              </w:rPr>
            </w:pPr>
            <w:r>
              <w:rPr>
                <w:rStyle w:val="CharacterStyle9"/>
              </w:rPr>
              <w:t>109.337,00</w:t>
            </w:r>
          </w:p>
        </w:tc>
      </w:tr>
      <w:tr w:rsidR="007D706A" w14:paraId="0575EE1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E8BBB8D"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51A70CAE"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109E3DD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1B61CCC" w14:textId="77777777" w:rsidR="007D706A" w:rsidRDefault="007D706A" w:rsidP="00F70508">
            <w:pPr>
              <w:pStyle w:val="ParagraphStyle12"/>
              <w:rPr>
                <w:rStyle w:val="CharacterStyle12"/>
              </w:rPr>
            </w:pPr>
            <w:r>
              <w:rPr>
                <w:rStyle w:val="CharacterStyle12"/>
              </w:rPr>
              <w:t>109.377,50</w:t>
            </w:r>
          </w:p>
        </w:tc>
        <w:tc>
          <w:tcPr>
            <w:tcW w:w="1395" w:type="dxa"/>
            <w:tcBorders>
              <w:bottom w:val="single" w:sz="6" w:space="0" w:color="000000"/>
              <w:right w:val="single" w:sz="6" w:space="0" w:color="000000"/>
            </w:tcBorders>
            <w:vAlign w:val="center"/>
          </w:tcPr>
          <w:p w14:paraId="627B757B" w14:textId="77777777" w:rsidR="007D706A" w:rsidRDefault="007D706A" w:rsidP="00F70508">
            <w:pPr>
              <w:pStyle w:val="ParagraphStyle12"/>
              <w:rPr>
                <w:rStyle w:val="CharacterStyle12"/>
              </w:rPr>
            </w:pPr>
            <w:r>
              <w:rPr>
                <w:rStyle w:val="CharacterStyle12"/>
              </w:rPr>
              <w:t>109.377,00</w:t>
            </w:r>
          </w:p>
        </w:tc>
        <w:tc>
          <w:tcPr>
            <w:tcW w:w="1395" w:type="dxa"/>
            <w:tcBorders>
              <w:bottom w:val="single" w:sz="6" w:space="0" w:color="000000"/>
              <w:right w:val="single" w:sz="6" w:space="0" w:color="000000"/>
            </w:tcBorders>
            <w:vAlign w:val="center"/>
          </w:tcPr>
          <w:p w14:paraId="3556D271" w14:textId="77777777" w:rsidR="007D706A" w:rsidRDefault="007D706A" w:rsidP="00F70508">
            <w:pPr>
              <w:pStyle w:val="ParagraphStyle12"/>
              <w:rPr>
                <w:rStyle w:val="CharacterStyle12"/>
              </w:rPr>
            </w:pPr>
            <w:r>
              <w:rPr>
                <w:rStyle w:val="CharacterStyle12"/>
              </w:rPr>
              <w:t>109.337,00</w:t>
            </w:r>
          </w:p>
        </w:tc>
        <w:tc>
          <w:tcPr>
            <w:tcW w:w="1395" w:type="dxa"/>
            <w:tcBorders>
              <w:bottom w:val="single" w:sz="6" w:space="0" w:color="000000"/>
              <w:right w:val="single" w:sz="6" w:space="0" w:color="000000"/>
            </w:tcBorders>
            <w:vAlign w:val="center"/>
          </w:tcPr>
          <w:p w14:paraId="5ED3FBF6" w14:textId="77777777" w:rsidR="007D706A" w:rsidRDefault="007D706A" w:rsidP="00F70508">
            <w:pPr>
              <w:pStyle w:val="ParagraphStyle12"/>
              <w:rPr>
                <w:rStyle w:val="CharacterStyle12"/>
              </w:rPr>
            </w:pPr>
            <w:r>
              <w:rPr>
                <w:rStyle w:val="CharacterStyle12"/>
              </w:rPr>
              <w:t>109.337,00</w:t>
            </w:r>
          </w:p>
        </w:tc>
      </w:tr>
      <w:tr w:rsidR="007D706A" w14:paraId="48F4848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83B2359" w14:textId="77777777" w:rsidR="007D706A" w:rsidRDefault="007D706A" w:rsidP="00F70508">
            <w:pPr>
              <w:pStyle w:val="ParagraphStyle10"/>
              <w:rPr>
                <w:rStyle w:val="CharacterStyle10"/>
              </w:rPr>
            </w:pPr>
            <w:r>
              <w:rPr>
                <w:rStyle w:val="CharacterStyle10"/>
              </w:rPr>
              <w:t>38</w:t>
            </w:r>
          </w:p>
        </w:tc>
        <w:tc>
          <w:tcPr>
            <w:tcW w:w="4995" w:type="dxa"/>
            <w:tcBorders>
              <w:bottom w:val="single" w:sz="6" w:space="0" w:color="000000"/>
              <w:right w:val="single" w:sz="6" w:space="0" w:color="000000"/>
            </w:tcBorders>
            <w:vAlign w:val="center"/>
          </w:tcPr>
          <w:p w14:paraId="2FC7DC02" w14:textId="77777777" w:rsidR="007D706A" w:rsidRDefault="007D706A" w:rsidP="00F70508">
            <w:pPr>
              <w:pStyle w:val="ParagraphStyle11"/>
              <w:rPr>
                <w:rStyle w:val="CharacterStyle11"/>
              </w:rPr>
            </w:pPr>
            <w:r>
              <w:rPr>
                <w:rStyle w:val="CharacterStyle11"/>
              </w:rPr>
              <w:t>Rashodi za donacije, kazne, naknade šteta i kapitalne pomoći</w:t>
            </w:r>
          </w:p>
        </w:tc>
        <w:tc>
          <w:tcPr>
            <w:tcW w:w="1395" w:type="dxa"/>
            <w:tcBorders>
              <w:bottom w:val="single" w:sz="6" w:space="0" w:color="000000"/>
              <w:right w:val="single" w:sz="6" w:space="0" w:color="000000"/>
            </w:tcBorders>
            <w:vAlign w:val="center"/>
          </w:tcPr>
          <w:p w14:paraId="215007E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64CE8B7" w14:textId="77777777" w:rsidR="007D706A" w:rsidRDefault="007D706A" w:rsidP="00F70508">
            <w:pPr>
              <w:pStyle w:val="ParagraphStyle12"/>
              <w:rPr>
                <w:rStyle w:val="CharacterStyle12"/>
              </w:rPr>
            </w:pPr>
            <w:r>
              <w:rPr>
                <w:rStyle w:val="CharacterStyle12"/>
              </w:rPr>
              <w:t>109.377,50</w:t>
            </w:r>
          </w:p>
        </w:tc>
        <w:tc>
          <w:tcPr>
            <w:tcW w:w="1395" w:type="dxa"/>
            <w:tcBorders>
              <w:bottom w:val="single" w:sz="6" w:space="0" w:color="000000"/>
              <w:right w:val="single" w:sz="6" w:space="0" w:color="000000"/>
            </w:tcBorders>
            <w:vAlign w:val="center"/>
          </w:tcPr>
          <w:p w14:paraId="1F887140" w14:textId="77777777" w:rsidR="007D706A" w:rsidRDefault="007D706A" w:rsidP="00F70508">
            <w:pPr>
              <w:pStyle w:val="ParagraphStyle12"/>
              <w:rPr>
                <w:rStyle w:val="CharacterStyle12"/>
              </w:rPr>
            </w:pPr>
            <w:r>
              <w:rPr>
                <w:rStyle w:val="CharacterStyle12"/>
              </w:rPr>
              <w:t>109.377,00</w:t>
            </w:r>
          </w:p>
        </w:tc>
        <w:tc>
          <w:tcPr>
            <w:tcW w:w="1395" w:type="dxa"/>
            <w:tcBorders>
              <w:bottom w:val="single" w:sz="6" w:space="0" w:color="000000"/>
              <w:right w:val="single" w:sz="6" w:space="0" w:color="000000"/>
            </w:tcBorders>
            <w:vAlign w:val="center"/>
          </w:tcPr>
          <w:p w14:paraId="506D63A3" w14:textId="77777777" w:rsidR="007D706A" w:rsidRDefault="007D706A" w:rsidP="00F70508">
            <w:pPr>
              <w:pStyle w:val="ParagraphStyle12"/>
              <w:rPr>
                <w:rStyle w:val="CharacterStyle12"/>
              </w:rPr>
            </w:pPr>
            <w:r>
              <w:rPr>
                <w:rStyle w:val="CharacterStyle12"/>
              </w:rPr>
              <w:t>109.337,00</w:t>
            </w:r>
          </w:p>
        </w:tc>
        <w:tc>
          <w:tcPr>
            <w:tcW w:w="1395" w:type="dxa"/>
            <w:tcBorders>
              <w:bottom w:val="single" w:sz="6" w:space="0" w:color="000000"/>
              <w:right w:val="single" w:sz="6" w:space="0" w:color="000000"/>
            </w:tcBorders>
            <w:vAlign w:val="center"/>
          </w:tcPr>
          <w:p w14:paraId="0F9457AF" w14:textId="77777777" w:rsidR="007D706A" w:rsidRDefault="007D706A" w:rsidP="00F70508">
            <w:pPr>
              <w:pStyle w:val="ParagraphStyle12"/>
              <w:rPr>
                <w:rStyle w:val="CharacterStyle12"/>
              </w:rPr>
            </w:pPr>
            <w:r>
              <w:rPr>
                <w:rStyle w:val="CharacterStyle12"/>
              </w:rPr>
              <w:t>109.337,00</w:t>
            </w:r>
          </w:p>
        </w:tc>
      </w:tr>
      <w:tr w:rsidR="007D706A" w14:paraId="091BDBEC" w14:textId="77777777" w:rsidTr="00F70508">
        <w:trPr>
          <w:trHeight w:val="405"/>
        </w:trPr>
        <w:tc>
          <w:tcPr>
            <w:tcW w:w="2880" w:type="dxa"/>
            <w:tcBorders>
              <w:left w:val="single" w:sz="6" w:space="0" w:color="000000"/>
              <w:bottom w:val="single" w:sz="6" w:space="0" w:color="000000"/>
              <w:right w:val="single" w:sz="6" w:space="0" w:color="000000"/>
            </w:tcBorders>
            <w:vAlign w:val="center"/>
          </w:tcPr>
          <w:p w14:paraId="678D1279" w14:textId="77777777" w:rsidR="007D706A" w:rsidRDefault="007D706A" w:rsidP="00F70508">
            <w:pPr>
              <w:pStyle w:val="ParagraphStyle4"/>
              <w:rPr>
                <w:rStyle w:val="CharacterStyle4"/>
              </w:rPr>
            </w:pPr>
            <w:r>
              <w:rPr>
                <w:rStyle w:val="CharacterStyle4"/>
              </w:rPr>
              <w:t>Aktivnost A103203</w:t>
            </w:r>
          </w:p>
        </w:tc>
        <w:tc>
          <w:tcPr>
            <w:tcW w:w="4995" w:type="dxa"/>
            <w:tcBorders>
              <w:bottom w:val="single" w:sz="6" w:space="0" w:color="000000"/>
              <w:right w:val="single" w:sz="6" w:space="0" w:color="000000"/>
            </w:tcBorders>
            <w:vAlign w:val="center"/>
          </w:tcPr>
          <w:p w14:paraId="2A0A8739" w14:textId="77777777" w:rsidR="007D706A" w:rsidRDefault="007D706A" w:rsidP="00F70508">
            <w:pPr>
              <w:pStyle w:val="ParagraphStyle5"/>
              <w:rPr>
                <w:rStyle w:val="CharacterStyle5"/>
              </w:rPr>
            </w:pPr>
            <w:r>
              <w:rPr>
                <w:rStyle w:val="CharacterStyle5"/>
              </w:rPr>
              <w:t>JEDNOKRATNE POMOĆI POJEDINCIMA, OBITELJIMA I KUĆANSTVIMA</w:t>
            </w:r>
          </w:p>
        </w:tc>
        <w:tc>
          <w:tcPr>
            <w:tcW w:w="1395" w:type="dxa"/>
            <w:tcBorders>
              <w:bottom w:val="single" w:sz="6" w:space="0" w:color="000000"/>
              <w:right w:val="single" w:sz="6" w:space="0" w:color="000000"/>
            </w:tcBorders>
            <w:vAlign w:val="center"/>
          </w:tcPr>
          <w:p w14:paraId="70F25252"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1B4D11F9" w14:textId="77777777" w:rsidR="007D706A" w:rsidRDefault="007D706A" w:rsidP="00F70508">
            <w:pPr>
              <w:pStyle w:val="ParagraphStyle6"/>
              <w:rPr>
                <w:rStyle w:val="CharacterStyle6"/>
              </w:rPr>
            </w:pPr>
            <w:r>
              <w:rPr>
                <w:rStyle w:val="CharacterStyle6"/>
              </w:rPr>
              <w:t>43.500,00</w:t>
            </w:r>
          </w:p>
        </w:tc>
        <w:tc>
          <w:tcPr>
            <w:tcW w:w="1395" w:type="dxa"/>
            <w:tcBorders>
              <w:bottom w:val="single" w:sz="6" w:space="0" w:color="000000"/>
              <w:right w:val="single" w:sz="6" w:space="0" w:color="000000"/>
            </w:tcBorders>
            <w:vAlign w:val="center"/>
          </w:tcPr>
          <w:p w14:paraId="76B72C6F" w14:textId="77777777" w:rsidR="007D706A" w:rsidRDefault="007D706A" w:rsidP="00F70508">
            <w:pPr>
              <w:pStyle w:val="ParagraphStyle6"/>
              <w:rPr>
                <w:rStyle w:val="CharacterStyle6"/>
              </w:rPr>
            </w:pPr>
            <w:r>
              <w:rPr>
                <w:rStyle w:val="CharacterStyle6"/>
              </w:rPr>
              <w:t>45.000,00</w:t>
            </w:r>
          </w:p>
        </w:tc>
        <w:tc>
          <w:tcPr>
            <w:tcW w:w="1395" w:type="dxa"/>
            <w:tcBorders>
              <w:bottom w:val="single" w:sz="6" w:space="0" w:color="000000"/>
              <w:right w:val="single" w:sz="6" w:space="0" w:color="000000"/>
            </w:tcBorders>
            <w:vAlign w:val="center"/>
          </w:tcPr>
          <w:p w14:paraId="6C309A41" w14:textId="77777777" w:rsidR="007D706A" w:rsidRDefault="007D706A" w:rsidP="00F70508">
            <w:pPr>
              <w:pStyle w:val="ParagraphStyle6"/>
              <w:rPr>
                <w:rStyle w:val="CharacterStyle6"/>
              </w:rPr>
            </w:pPr>
            <w:r>
              <w:rPr>
                <w:rStyle w:val="CharacterStyle6"/>
              </w:rPr>
              <w:t>48.000,00</w:t>
            </w:r>
          </w:p>
        </w:tc>
        <w:tc>
          <w:tcPr>
            <w:tcW w:w="1395" w:type="dxa"/>
            <w:tcBorders>
              <w:bottom w:val="single" w:sz="6" w:space="0" w:color="000000"/>
              <w:right w:val="single" w:sz="6" w:space="0" w:color="000000"/>
            </w:tcBorders>
            <w:vAlign w:val="center"/>
          </w:tcPr>
          <w:p w14:paraId="1F9A9A3D" w14:textId="77777777" w:rsidR="007D706A" w:rsidRDefault="007D706A" w:rsidP="00F70508">
            <w:pPr>
              <w:pStyle w:val="ParagraphStyle6"/>
              <w:rPr>
                <w:rStyle w:val="CharacterStyle6"/>
              </w:rPr>
            </w:pPr>
            <w:r>
              <w:rPr>
                <w:rStyle w:val="CharacterStyle6"/>
              </w:rPr>
              <w:t>50.000,00</w:t>
            </w:r>
          </w:p>
        </w:tc>
      </w:tr>
      <w:tr w:rsidR="007D706A" w14:paraId="29DC229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CD0A456"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3B3D222D"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3354F543"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D51C7CE" w14:textId="77777777" w:rsidR="007D706A" w:rsidRDefault="007D706A" w:rsidP="00F70508">
            <w:pPr>
              <w:pStyle w:val="ParagraphStyle9"/>
              <w:rPr>
                <w:rStyle w:val="CharacterStyle9"/>
              </w:rPr>
            </w:pPr>
            <w:r>
              <w:rPr>
                <w:rStyle w:val="CharacterStyle9"/>
              </w:rPr>
              <w:t>43.500,00</w:t>
            </w:r>
          </w:p>
        </w:tc>
        <w:tc>
          <w:tcPr>
            <w:tcW w:w="1395" w:type="dxa"/>
            <w:tcBorders>
              <w:bottom w:val="single" w:sz="6" w:space="0" w:color="000000"/>
              <w:right w:val="single" w:sz="6" w:space="0" w:color="000000"/>
            </w:tcBorders>
            <w:vAlign w:val="center"/>
          </w:tcPr>
          <w:p w14:paraId="256B1A15" w14:textId="77777777" w:rsidR="007D706A" w:rsidRDefault="007D706A" w:rsidP="00F70508">
            <w:pPr>
              <w:pStyle w:val="ParagraphStyle9"/>
              <w:rPr>
                <w:rStyle w:val="CharacterStyle9"/>
              </w:rPr>
            </w:pPr>
            <w:r>
              <w:rPr>
                <w:rStyle w:val="CharacterStyle9"/>
              </w:rPr>
              <w:t>45.000,00</w:t>
            </w:r>
          </w:p>
        </w:tc>
        <w:tc>
          <w:tcPr>
            <w:tcW w:w="1395" w:type="dxa"/>
            <w:tcBorders>
              <w:bottom w:val="single" w:sz="6" w:space="0" w:color="000000"/>
              <w:right w:val="single" w:sz="6" w:space="0" w:color="000000"/>
            </w:tcBorders>
            <w:vAlign w:val="center"/>
          </w:tcPr>
          <w:p w14:paraId="18D44EDB" w14:textId="77777777" w:rsidR="007D706A" w:rsidRDefault="007D706A" w:rsidP="00F70508">
            <w:pPr>
              <w:pStyle w:val="ParagraphStyle9"/>
              <w:rPr>
                <w:rStyle w:val="CharacterStyle9"/>
              </w:rPr>
            </w:pPr>
            <w:r>
              <w:rPr>
                <w:rStyle w:val="CharacterStyle9"/>
              </w:rPr>
              <w:t>48.000,00</w:t>
            </w:r>
          </w:p>
        </w:tc>
        <w:tc>
          <w:tcPr>
            <w:tcW w:w="1395" w:type="dxa"/>
            <w:tcBorders>
              <w:bottom w:val="single" w:sz="6" w:space="0" w:color="000000"/>
              <w:right w:val="single" w:sz="6" w:space="0" w:color="000000"/>
            </w:tcBorders>
            <w:vAlign w:val="center"/>
          </w:tcPr>
          <w:p w14:paraId="23E1D604" w14:textId="77777777" w:rsidR="007D706A" w:rsidRDefault="007D706A" w:rsidP="00F70508">
            <w:pPr>
              <w:pStyle w:val="ParagraphStyle9"/>
              <w:rPr>
                <w:rStyle w:val="CharacterStyle9"/>
              </w:rPr>
            </w:pPr>
            <w:r>
              <w:rPr>
                <w:rStyle w:val="CharacterStyle9"/>
              </w:rPr>
              <w:t>50.000,00</w:t>
            </w:r>
          </w:p>
        </w:tc>
      </w:tr>
      <w:tr w:rsidR="007D706A" w14:paraId="64765F1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D287543"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14278D32"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4C60626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8ABB57A" w14:textId="77777777" w:rsidR="007D706A" w:rsidRDefault="007D706A" w:rsidP="00F70508">
            <w:pPr>
              <w:pStyle w:val="ParagraphStyle12"/>
              <w:rPr>
                <w:rStyle w:val="CharacterStyle12"/>
              </w:rPr>
            </w:pPr>
            <w:r>
              <w:rPr>
                <w:rStyle w:val="CharacterStyle12"/>
              </w:rPr>
              <w:t>43.500,00</w:t>
            </w:r>
          </w:p>
        </w:tc>
        <w:tc>
          <w:tcPr>
            <w:tcW w:w="1395" w:type="dxa"/>
            <w:tcBorders>
              <w:bottom w:val="single" w:sz="6" w:space="0" w:color="000000"/>
              <w:right w:val="single" w:sz="6" w:space="0" w:color="000000"/>
            </w:tcBorders>
            <w:vAlign w:val="center"/>
          </w:tcPr>
          <w:p w14:paraId="5E5DDBAA" w14:textId="77777777" w:rsidR="007D706A" w:rsidRDefault="007D706A" w:rsidP="00F70508">
            <w:pPr>
              <w:pStyle w:val="ParagraphStyle12"/>
              <w:rPr>
                <w:rStyle w:val="CharacterStyle12"/>
              </w:rPr>
            </w:pPr>
            <w:r>
              <w:rPr>
                <w:rStyle w:val="CharacterStyle12"/>
              </w:rPr>
              <w:t>45.000,00</w:t>
            </w:r>
          </w:p>
        </w:tc>
        <w:tc>
          <w:tcPr>
            <w:tcW w:w="1395" w:type="dxa"/>
            <w:tcBorders>
              <w:bottom w:val="single" w:sz="6" w:space="0" w:color="000000"/>
              <w:right w:val="single" w:sz="6" w:space="0" w:color="000000"/>
            </w:tcBorders>
            <w:vAlign w:val="center"/>
          </w:tcPr>
          <w:p w14:paraId="51C0FA80" w14:textId="77777777" w:rsidR="007D706A" w:rsidRDefault="007D706A" w:rsidP="00F70508">
            <w:pPr>
              <w:pStyle w:val="ParagraphStyle12"/>
              <w:rPr>
                <w:rStyle w:val="CharacterStyle12"/>
              </w:rPr>
            </w:pPr>
            <w:r>
              <w:rPr>
                <w:rStyle w:val="CharacterStyle12"/>
              </w:rPr>
              <w:t>48.000,00</w:t>
            </w:r>
          </w:p>
        </w:tc>
        <w:tc>
          <w:tcPr>
            <w:tcW w:w="1395" w:type="dxa"/>
            <w:tcBorders>
              <w:bottom w:val="single" w:sz="6" w:space="0" w:color="000000"/>
              <w:right w:val="single" w:sz="6" w:space="0" w:color="000000"/>
            </w:tcBorders>
            <w:vAlign w:val="center"/>
          </w:tcPr>
          <w:p w14:paraId="7356CFFF" w14:textId="77777777" w:rsidR="007D706A" w:rsidRDefault="007D706A" w:rsidP="00F70508">
            <w:pPr>
              <w:pStyle w:val="ParagraphStyle12"/>
              <w:rPr>
                <w:rStyle w:val="CharacterStyle12"/>
              </w:rPr>
            </w:pPr>
            <w:r>
              <w:rPr>
                <w:rStyle w:val="CharacterStyle12"/>
              </w:rPr>
              <w:t>50.000,00</w:t>
            </w:r>
          </w:p>
        </w:tc>
      </w:tr>
      <w:tr w:rsidR="007D706A" w14:paraId="3EAB5F8D" w14:textId="77777777" w:rsidTr="00F70508">
        <w:trPr>
          <w:trHeight w:val="420"/>
        </w:trPr>
        <w:tc>
          <w:tcPr>
            <w:tcW w:w="2880" w:type="dxa"/>
            <w:tcBorders>
              <w:left w:val="single" w:sz="6" w:space="0" w:color="000000"/>
              <w:bottom w:val="single" w:sz="6" w:space="0" w:color="000000"/>
              <w:right w:val="single" w:sz="6" w:space="0" w:color="000000"/>
            </w:tcBorders>
            <w:vAlign w:val="center"/>
          </w:tcPr>
          <w:p w14:paraId="2C2C2146" w14:textId="77777777" w:rsidR="007D706A" w:rsidRDefault="007D706A" w:rsidP="00F70508">
            <w:pPr>
              <w:pStyle w:val="ParagraphStyle10"/>
              <w:rPr>
                <w:rStyle w:val="CharacterStyle10"/>
              </w:rPr>
            </w:pPr>
            <w:r>
              <w:rPr>
                <w:rStyle w:val="CharacterStyle10"/>
              </w:rPr>
              <w:t>37</w:t>
            </w:r>
          </w:p>
        </w:tc>
        <w:tc>
          <w:tcPr>
            <w:tcW w:w="4995" w:type="dxa"/>
            <w:tcBorders>
              <w:bottom w:val="single" w:sz="6" w:space="0" w:color="000000"/>
              <w:right w:val="single" w:sz="6" w:space="0" w:color="000000"/>
            </w:tcBorders>
            <w:vAlign w:val="center"/>
          </w:tcPr>
          <w:p w14:paraId="34053B52" w14:textId="77777777" w:rsidR="007D706A" w:rsidRDefault="007D706A" w:rsidP="00F70508">
            <w:pPr>
              <w:pStyle w:val="ParagraphStyle11"/>
              <w:rPr>
                <w:rStyle w:val="CharacterStyle11"/>
              </w:rPr>
            </w:pPr>
            <w:r>
              <w:rPr>
                <w:rStyle w:val="CharacterStyle11"/>
              </w:rPr>
              <w:t>Naknade građanima i kućanstvima na temelju osiguranja i druge naknade</w:t>
            </w:r>
          </w:p>
        </w:tc>
        <w:tc>
          <w:tcPr>
            <w:tcW w:w="1395" w:type="dxa"/>
            <w:tcBorders>
              <w:bottom w:val="single" w:sz="6" w:space="0" w:color="000000"/>
              <w:right w:val="single" w:sz="6" w:space="0" w:color="000000"/>
            </w:tcBorders>
            <w:vAlign w:val="center"/>
          </w:tcPr>
          <w:p w14:paraId="47C177C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41DEA75" w14:textId="77777777" w:rsidR="007D706A" w:rsidRDefault="007D706A" w:rsidP="00F70508">
            <w:pPr>
              <w:pStyle w:val="ParagraphStyle12"/>
              <w:rPr>
                <w:rStyle w:val="CharacterStyle12"/>
              </w:rPr>
            </w:pPr>
            <w:r>
              <w:rPr>
                <w:rStyle w:val="CharacterStyle12"/>
              </w:rPr>
              <w:t>43.500,00</w:t>
            </w:r>
          </w:p>
        </w:tc>
        <w:tc>
          <w:tcPr>
            <w:tcW w:w="1395" w:type="dxa"/>
            <w:tcBorders>
              <w:bottom w:val="single" w:sz="6" w:space="0" w:color="000000"/>
              <w:right w:val="single" w:sz="6" w:space="0" w:color="000000"/>
            </w:tcBorders>
            <w:vAlign w:val="center"/>
          </w:tcPr>
          <w:p w14:paraId="6AB8756D" w14:textId="77777777" w:rsidR="007D706A" w:rsidRDefault="007D706A" w:rsidP="00F70508">
            <w:pPr>
              <w:pStyle w:val="ParagraphStyle12"/>
              <w:rPr>
                <w:rStyle w:val="CharacterStyle12"/>
              </w:rPr>
            </w:pPr>
            <w:r>
              <w:rPr>
                <w:rStyle w:val="CharacterStyle12"/>
              </w:rPr>
              <w:t>45.000,00</w:t>
            </w:r>
          </w:p>
        </w:tc>
        <w:tc>
          <w:tcPr>
            <w:tcW w:w="1395" w:type="dxa"/>
            <w:tcBorders>
              <w:bottom w:val="single" w:sz="6" w:space="0" w:color="000000"/>
              <w:right w:val="single" w:sz="6" w:space="0" w:color="000000"/>
            </w:tcBorders>
            <w:vAlign w:val="center"/>
          </w:tcPr>
          <w:p w14:paraId="417DB828" w14:textId="77777777" w:rsidR="007D706A" w:rsidRDefault="007D706A" w:rsidP="00F70508">
            <w:pPr>
              <w:pStyle w:val="ParagraphStyle12"/>
              <w:rPr>
                <w:rStyle w:val="CharacterStyle12"/>
              </w:rPr>
            </w:pPr>
            <w:r>
              <w:rPr>
                <w:rStyle w:val="CharacterStyle12"/>
              </w:rPr>
              <w:t>48.000,00</w:t>
            </w:r>
          </w:p>
        </w:tc>
        <w:tc>
          <w:tcPr>
            <w:tcW w:w="1395" w:type="dxa"/>
            <w:tcBorders>
              <w:bottom w:val="single" w:sz="6" w:space="0" w:color="000000"/>
              <w:right w:val="single" w:sz="6" w:space="0" w:color="000000"/>
            </w:tcBorders>
            <w:vAlign w:val="center"/>
          </w:tcPr>
          <w:p w14:paraId="0F0E9D0B" w14:textId="77777777" w:rsidR="007D706A" w:rsidRDefault="007D706A" w:rsidP="00F70508">
            <w:pPr>
              <w:pStyle w:val="ParagraphStyle12"/>
              <w:rPr>
                <w:rStyle w:val="CharacterStyle12"/>
              </w:rPr>
            </w:pPr>
            <w:r>
              <w:rPr>
                <w:rStyle w:val="CharacterStyle12"/>
              </w:rPr>
              <w:t>50.000,00</w:t>
            </w:r>
          </w:p>
        </w:tc>
      </w:tr>
      <w:tr w:rsidR="007D706A" w14:paraId="1FD3C86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F7D72AC" w14:textId="77777777" w:rsidR="007D706A" w:rsidRDefault="007D706A" w:rsidP="00F70508">
            <w:pPr>
              <w:pStyle w:val="ParagraphStyle4"/>
              <w:rPr>
                <w:rStyle w:val="CharacterStyle4"/>
              </w:rPr>
            </w:pPr>
            <w:r>
              <w:rPr>
                <w:rStyle w:val="CharacterStyle4"/>
              </w:rPr>
              <w:t>Aktivnost A103201</w:t>
            </w:r>
          </w:p>
        </w:tc>
        <w:tc>
          <w:tcPr>
            <w:tcW w:w="4995" w:type="dxa"/>
            <w:tcBorders>
              <w:bottom w:val="single" w:sz="6" w:space="0" w:color="000000"/>
              <w:right w:val="single" w:sz="6" w:space="0" w:color="000000"/>
            </w:tcBorders>
            <w:vAlign w:val="center"/>
          </w:tcPr>
          <w:p w14:paraId="1AA51125" w14:textId="77777777" w:rsidR="007D706A" w:rsidRDefault="007D706A" w:rsidP="00F70508">
            <w:pPr>
              <w:pStyle w:val="ParagraphStyle5"/>
              <w:rPr>
                <w:rStyle w:val="CharacterStyle5"/>
              </w:rPr>
            </w:pPr>
            <w:r>
              <w:rPr>
                <w:rStyle w:val="CharacterStyle5"/>
              </w:rPr>
              <w:t>POTPORE KORISNICIMA 1. I 2. KATEGORIJE</w:t>
            </w:r>
          </w:p>
        </w:tc>
        <w:tc>
          <w:tcPr>
            <w:tcW w:w="1395" w:type="dxa"/>
            <w:tcBorders>
              <w:bottom w:val="single" w:sz="6" w:space="0" w:color="000000"/>
              <w:right w:val="single" w:sz="6" w:space="0" w:color="000000"/>
            </w:tcBorders>
            <w:vAlign w:val="center"/>
          </w:tcPr>
          <w:p w14:paraId="498F780E"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1FFD9318" w14:textId="77777777" w:rsidR="007D706A" w:rsidRDefault="007D706A" w:rsidP="00F70508">
            <w:pPr>
              <w:pStyle w:val="ParagraphStyle6"/>
              <w:rPr>
                <w:rStyle w:val="CharacterStyle6"/>
              </w:rPr>
            </w:pPr>
            <w:r>
              <w:rPr>
                <w:rStyle w:val="CharacterStyle6"/>
              </w:rPr>
              <w:t>291.500,00</w:t>
            </w:r>
          </w:p>
        </w:tc>
        <w:tc>
          <w:tcPr>
            <w:tcW w:w="1395" w:type="dxa"/>
            <w:tcBorders>
              <w:bottom w:val="single" w:sz="6" w:space="0" w:color="000000"/>
              <w:right w:val="single" w:sz="6" w:space="0" w:color="000000"/>
            </w:tcBorders>
            <w:vAlign w:val="center"/>
          </w:tcPr>
          <w:p w14:paraId="5E00C9AC" w14:textId="77777777" w:rsidR="007D706A" w:rsidRDefault="007D706A" w:rsidP="00F70508">
            <w:pPr>
              <w:pStyle w:val="ParagraphStyle6"/>
              <w:rPr>
                <w:rStyle w:val="CharacterStyle6"/>
              </w:rPr>
            </w:pPr>
            <w:r>
              <w:rPr>
                <w:rStyle w:val="CharacterStyle6"/>
              </w:rPr>
              <w:t>330.000,00</w:t>
            </w:r>
          </w:p>
        </w:tc>
        <w:tc>
          <w:tcPr>
            <w:tcW w:w="1395" w:type="dxa"/>
            <w:tcBorders>
              <w:bottom w:val="single" w:sz="6" w:space="0" w:color="000000"/>
              <w:right w:val="single" w:sz="6" w:space="0" w:color="000000"/>
            </w:tcBorders>
            <w:vAlign w:val="center"/>
          </w:tcPr>
          <w:p w14:paraId="5F45B009" w14:textId="77777777" w:rsidR="007D706A" w:rsidRDefault="007D706A" w:rsidP="00F70508">
            <w:pPr>
              <w:pStyle w:val="ParagraphStyle6"/>
              <w:rPr>
                <w:rStyle w:val="CharacterStyle6"/>
              </w:rPr>
            </w:pPr>
            <w:r>
              <w:rPr>
                <w:rStyle w:val="CharacterStyle6"/>
              </w:rPr>
              <w:t>350.000,00</w:t>
            </w:r>
          </w:p>
        </w:tc>
        <w:tc>
          <w:tcPr>
            <w:tcW w:w="1395" w:type="dxa"/>
            <w:tcBorders>
              <w:bottom w:val="single" w:sz="6" w:space="0" w:color="000000"/>
              <w:right w:val="single" w:sz="6" w:space="0" w:color="000000"/>
            </w:tcBorders>
            <w:vAlign w:val="center"/>
          </w:tcPr>
          <w:p w14:paraId="0F7F4055" w14:textId="77777777" w:rsidR="007D706A" w:rsidRDefault="007D706A" w:rsidP="00F70508">
            <w:pPr>
              <w:pStyle w:val="ParagraphStyle6"/>
              <w:rPr>
                <w:rStyle w:val="CharacterStyle6"/>
              </w:rPr>
            </w:pPr>
            <w:r>
              <w:rPr>
                <w:rStyle w:val="CharacterStyle6"/>
              </w:rPr>
              <w:t>360.000,00</w:t>
            </w:r>
          </w:p>
        </w:tc>
      </w:tr>
      <w:tr w:rsidR="007D706A" w14:paraId="70189AC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ABC1B38"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3D6CFA3A"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18C85678"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8A9F370" w14:textId="77777777" w:rsidR="007D706A" w:rsidRDefault="007D706A" w:rsidP="00F70508">
            <w:pPr>
              <w:pStyle w:val="ParagraphStyle9"/>
              <w:rPr>
                <w:rStyle w:val="CharacterStyle9"/>
              </w:rPr>
            </w:pPr>
            <w:r>
              <w:rPr>
                <w:rStyle w:val="CharacterStyle9"/>
              </w:rPr>
              <w:t>291.500,00</w:t>
            </w:r>
          </w:p>
        </w:tc>
        <w:tc>
          <w:tcPr>
            <w:tcW w:w="1395" w:type="dxa"/>
            <w:tcBorders>
              <w:bottom w:val="single" w:sz="6" w:space="0" w:color="000000"/>
              <w:right w:val="single" w:sz="6" w:space="0" w:color="000000"/>
            </w:tcBorders>
            <w:vAlign w:val="center"/>
          </w:tcPr>
          <w:p w14:paraId="0AECF239" w14:textId="77777777" w:rsidR="007D706A" w:rsidRDefault="007D706A" w:rsidP="00F70508">
            <w:pPr>
              <w:pStyle w:val="ParagraphStyle9"/>
              <w:rPr>
                <w:rStyle w:val="CharacterStyle9"/>
              </w:rPr>
            </w:pPr>
            <w:r>
              <w:rPr>
                <w:rStyle w:val="CharacterStyle9"/>
              </w:rPr>
              <w:t>330.000,00</w:t>
            </w:r>
          </w:p>
        </w:tc>
        <w:tc>
          <w:tcPr>
            <w:tcW w:w="1395" w:type="dxa"/>
            <w:tcBorders>
              <w:bottom w:val="single" w:sz="6" w:space="0" w:color="000000"/>
              <w:right w:val="single" w:sz="6" w:space="0" w:color="000000"/>
            </w:tcBorders>
            <w:vAlign w:val="center"/>
          </w:tcPr>
          <w:p w14:paraId="3F1522B7" w14:textId="77777777" w:rsidR="007D706A" w:rsidRDefault="007D706A" w:rsidP="00F70508">
            <w:pPr>
              <w:pStyle w:val="ParagraphStyle9"/>
              <w:rPr>
                <w:rStyle w:val="CharacterStyle9"/>
              </w:rPr>
            </w:pPr>
            <w:r>
              <w:rPr>
                <w:rStyle w:val="CharacterStyle9"/>
              </w:rPr>
              <w:t>350.000,00</w:t>
            </w:r>
          </w:p>
        </w:tc>
        <w:tc>
          <w:tcPr>
            <w:tcW w:w="1395" w:type="dxa"/>
            <w:tcBorders>
              <w:bottom w:val="single" w:sz="6" w:space="0" w:color="000000"/>
              <w:right w:val="single" w:sz="6" w:space="0" w:color="000000"/>
            </w:tcBorders>
            <w:vAlign w:val="center"/>
          </w:tcPr>
          <w:p w14:paraId="28E18E30" w14:textId="77777777" w:rsidR="007D706A" w:rsidRDefault="007D706A" w:rsidP="00F70508">
            <w:pPr>
              <w:pStyle w:val="ParagraphStyle9"/>
              <w:rPr>
                <w:rStyle w:val="CharacterStyle9"/>
              </w:rPr>
            </w:pPr>
            <w:r>
              <w:rPr>
                <w:rStyle w:val="CharacterStyle9"/>
              </w:rPr>
              <w:t>360.000,00</w:t>
            </w:r>
          </w:p>
        </w:tc>
      </w:tr>
      <w:tr w:rsidR="007D706A" w14:paraId="5C3404B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AF5DDB7"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45479C35"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6740784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F53A353" w14:textId="77777777" w:rsidR="007D706A" w:rsidRDefault="007D706A" w:rsidP="00F70508">
            <w:pPr>
              <w:pStyle w:val="ParagraphStyle12"/>
              <w:rPr>
                <w:rStyle w:val="CharacterStyle12"/>
              </w:rPr>
            </w:pPr>
            <w:r>
              <w:rPr>
                <w:rStyle w:val="CharacterStyle12"/>
              </w:rPr>
              <w:t>291.500,00</w:t>
            </w:r>
          </w:p>
        </w:tc>
        <w:tc>
          <w:tcPr>
            <w:tcW w:w="1395" w:type="dxa"/>
            <w:tcBorders>
              <w:bottom w:val="single" w:sz="6" w:space="0" w:color="000000"/>
              <w:right w:val="single" w:sz="6" w:space="0" w:color="000000"/>
            </w:tcBorders>
            <w:vAlign w:val="center"/>
          </w:tcPr>
          <w:p w14:paraId="36AD64F8" w14:textId="77777777" w:rsidR="007D706A" w:rsidRDefault="007D706A" w:rsidP="00F70508">
            <w:pPr>
              <w:pStyle w:val="ParagraphStyle12"/>
              <w:rPr>
                <w:rStyle w:val="CharacterStyle12"/>
              </w:rPr>
            </w:pPr>
            <w:r>
              <w:rPr>
                <w:rStyle w:val="CharacterStyle12"/>
              </w:rPr>
              <w:t>330.000,00</w:t>
            </w:r>
          </w:p>
        </w:tc>
        <w:tc>
          <w:tcPr>
            <w:tcW w:w="1395" w:type="dxa"/>
            <w:tcBorders>
              <w:bottom w:val="single" w:sz="6" w:space="0" w:color="000000"/>
              <w:right w:val="single" w:sz="6" w:space="0" w:color="000000"/>
            </w:tcBorders>
            <w:vAlign w:val="center"/>
          </w:tcPr>
          <w:p w14:paraId="35075250" w14:textId="77777777" w:rsidR="007D706A" w:rsidRDefault="007D706A" w:rsidP="00F70508">
            <w:pPr>
              <w:pStyle w:val="ParagraphStyle12"/>
              <w:rPr>
                <w:rStyle w:val="CharacterStyle12"/>
              </w:rPr>
            </w:pPr>
            <w:r>
              <w:rPr>
                <w:rStyle w:val="CharacterStyle12"/>
              </w:rPr>
              <w:t>350.000,00</w:t>
            </w:r>
          </w:p>
        </w:tc>
        <w:tc>
          <w:tcPr>
            <w:tcW w:w="1395" w:type="dxa"/>
            <w:tcBorders>
              <w:bottom w:val="single" w:sz="6" w:space="0" w:color="000000"/>
              <w:right w:val="single" w:sz="6" w:space="0" w:color="000000"/>
            </w:tcBorders>
            <w:vAlign w:val="center"/>
          </w:tcPr>
          <w:p w14:paraId="74EDA731" w14:textId="77777777" w:rsidR="007D706A" w:rsidRDefault="007D706A" w:rsidP="00F70508">
            <w:pPr>
              <w:pStyle w:val="ParagraphStyle12"/>
              <w:rPr>
                <w:rStyle w:val="CharacterStyle12"/>
              </w:rPr>
            </w:pPr>
            <w:r>
              <w:rPr>
                <w:rStyle w:val="CharacterStyle12"/>
              </w:rPr>
              <w:t>360.000,00</w:t>
            </w:r>
          </w:p>
        </w:tc>
      </w:tr>
      <w:tr w:rsidR="007D706A" w14:paraId="2C60E924" w14:textId="77777777" w:rsidTr="00F70508">
        <w:trPr>
          <w:trHeight w:val="405"/>
        </w:trPr>
        <w:tc>
          <w:tcPr>
            <w:tcW w:w="2880" w:type="dxa"/>
            <w:tcBorders>
              <w:left w:val="single" w:sz="6" w:space="0" w:color="000000"/>
              <w:bottom w:val="single" w:sz="6" w:space="0" w:color="000000"/>
              <w:right w:val="single" w:sz="6" w:space="0" w:color="000000"/>
            </w:tcBorders>
            <w:vAlign w:val="center"/>
          </w:tcPr>
          <w:p w14:paraId="52A62C36" w14:textId="77777777" w:rsidR="007D706A" w:rsidRDefault="007D706A" w:rsidP="00F70508">
            <w:pPr>
              <w:pStyle w:val="ParagraphStyle10"/>
              <w:rPr>
                <w:rStyle w:val="CharacterStyle10"/>
              </w:rPr>
            </w:pPr>
            <w:r>
              <w:rPr>
                <w:rStyle w:val="CharacterStyle10"/>
              </w:rPr>
              <w:t>37</w:t>
            </w:r>
          </w:p>
        </w:tc>
        <w:tc>
          <w:tcPr>
            <w:tcW w:w="4995" w:type="dxa"/>
            <w:tcBorders>
              <w:bottom w:val="single" w:sz="6" w:space="0" w:color="000000"/>
              <w:right w:val="single" w:sz="6" w:space="0" w:color="000000"/>
            </w:tcBorders>
            <w:vAlign w:val="center"/>
          </w:tcPr>
          <w:p w14:paraId="4BFAE8E3" w14:textId="77777777" w:rsidR="007D706A" w:rsidRDefault="007D706A" w:rsidP="00F70508">
            <w:pPr>
              <w:pStyle w:val="ParagraphStyle11"/>
              <w:rPr>
                <w:rStyle w:val="CharacterStyle11"/>
              </w:rPr>
            </w:pPr>
            <w:r>
              <w:rPr>
                <w:rStyle w:val="CharacterStyle11"/>
              </w:rPr>
              <w:t>Naknade građanima i kućanstvima na temelju osiguranja i druge naknade</w:t>
            </w:r>
          </w:p>
        </w:tc>
        <w:tc>
          <w:tcPr>
            <w:tcW w:w="1395" w:type="dxa"/>
            <w:tcBorders>
              <w:bottom w:val="single" w:sz="6" w:space="0" w:color="000000"/>
              <w:right w:val="single" w:sz="6" w:space="0" w:color="000000"/>
            </w:tcBorders>
            <w:vAlign w:val="center"/>
          </w:tcPr>
          <w:p w14:paraId="73C51B1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BAC2368" w14:textId="77777777" w:rsidR="007D706A" w:rsidRDefault="007D706A" w:rsidP="00F70508">
            <w:pPr>
              <w:pStyle w:val="ParagraphStyle12"/>
              <w:rPr>
                <w:rStyle w:val="CharacterStyle12"/>
              </w:rPr>
            </w:pPr>
            <w:r>
              <w:rPr>
                <w:rStyle w:val="CharacterStyle12"/>
              </w:rPr>
              <w:t>291.500,00</w:t>
            </w:r>
          </w:p>
        </w:tc>
        <w:tc>
          <w:tcPr>
            <w:tcW w:w="1395" w:type="dxa"/>
            <w:tcBorders>
              <w:bottom w:val="single" w:sz="6" w:space="0" w:color="000000"/>
              <w:right w:val="single" w:sz="6" w:space="0" w:color="000000"/>
            </w:tcBorders>
            <w:vAlign w:val="center"/>
          </w:tcPr>
          <w:p w14:paraId="45D72A84" w14:textId="77777777" w:rsidR="007D706A" w:rsidRDefault="007D706A" w:rsidP="00F70508">
            <w:pPr>
              <w:pStyle w:val="ParagraphStyle12"/>
              <w:rPr>
                <w:rStyle w:val="CharacterStyle12"/>
              </w:rPr>
            </w:pPr>
            <w:r>
              <w:rPr>
                <w:rStyle w:val="CharacterStyle12"/>
              </w:rPr>
              <w:t>330.000,00</w:t>
            </w:r>
          </w:p>
        </w:tc>
        <w:tc>
          <w:tcPr>
            <w:tcW w:w="1395" w:type="dxa"/>
            <w:tcBorders>
              <w:bottom w:val="single" w:sz="6" w:space="0" w:color="000000"/>
              <w:right w:val="single" w:sz="6" w:space="0" w:color="000000"/>
            </w:tcBorders>
            <w:vAlign w:val="center"/>
          </w:tcPr>
          <w:p w14:paraId="6A86ECC8" w14:textId="77777777" w:rsidR="007D706A" w:rsidRDefault="007D706A" w:rsidP="00F70508">
            <w:pPr>
              <w:pStyle w:val="ParagraphStyle12"/>
              <w:rPr>
                <w:rStyle w:val="CharacterStyle12"/>
              </w:rPr>
            </w:pPr>
            <w:r>
              <w:rPr>
                <w:rStyle w:val="CharacterStyle12"/>
              </w:rPr>
              <w:t>350.000,00</w:t>
            </w:r>
          </w:p>
        </w:tc>
        <w:tc>
          <w:tcPr>
            <w:tcW w:w="1395" w:type="dxa"/>
            <w:tcBorders>
              <w:bottom w:val="single" w:sz="6" w:space="0" w:color="000000"/>
              <w:right w:val="single" w:sz="6" w:space="0" w:color="000000"/>
            </w:tcBorders>
            <w:vAlign w:val="center"/>
          </w:tcPr>
          <w:p w14:paraId="5536A4E6" w14:textId="77777777" w:rsidR="007D706A" w:rsidRDefault="007D706A" w:rsidP="00F70508">
            <w:pPr>
              <w:pStyle w:val="ParagraphStyle12"/>
              <w:rPr>
                <w:rStyle w:val="CharacterStyle12"/>
              </w:rPr>
            </w:pPr>
            <w:r>
              <w:rPr>
                <w:rStyle w:val="CharacterStyle12"/>
              </w:rPr>
              <w:t>360.000,00</w:t>
            </w:r>
          </w:p>
        </w:tc>
      </w:tr>
      <w:tr w:rsidR="007D706A" w14:paraId="55CA22F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CDCDEE6" w14:textId="77777777" w:rsidR="007D706A" w:rsidRDefault="007D706A" w:rsidP="00F70508">
            <w:pPr>
              <w:pStyle w:val="ParagraphStyle4"/>
              <w:rPr>
                <w:rStyle w:val="CharacterStyle4"/>
              </w:rPr>
            </w:pPr>
            <w:r>
              <w:rPr>
                <w:rStyle w:val="CharacterStyle4"/>
              </w:rPr>
              <w:t>Aktivnost A103223</w:t>
            </w:r>
          </w:p>
        </w:tc>
        <w:tc>
          <w:tcPr>
            <w:tcW w:w="4995" w:type="dxa"/>
            <w:tcBorders>
              <w:bottom w:val="single" w:sz="6" w:space="0" w:color="000000"/>
              <w:right w:val="single" w:sz="6" w:space="0" w:color="000000"/>
            </w:tcBorders>
            <w:vAlign w:val="center"/>
          </w:tcPr>
          <w:p w14:paraId="605FE8B5" w14:textId="77777777" w:rsidR="007D706A" w:rsidRDefault="007D706A" w:rsidP="00F70508">
            <w:pPr>
              <w:pStyle w:val="ParagraphStyle5"/>
              <w:rPr>
                <w:rStyle w:val="CharacterStyle5"/>
              </w:rPr>
            </w:pPr>
            <w:r>
              <w:rPr>
                <w:rStyle w:val="CharacterStyle5"/>
              </w:rPr>
              <w:t>NAKNADA TROŠKOVA PROCJENE DJETETA U DC VERUDA</w:t>
            </w:r>
          </w:p>
        </w:tc>
        <w:tc>
          <w:tcPr>
            <w:tcW w:w="1395" w:type="dxa"/>
            <w:tcBorders>
              <w:bottom w:val="single" w:sz="6" w:space="0" w:color="000000"/>
              <w:right w:val="single" w:sz="6" w:space="0" w:color="000000"/>
            </w:tcBorders>
            <w:vAlign w:val="center"/>
          </w:tcPr>
          <w:p w14:paraId="5A6F48B6"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7A45499A" w14:textId="77777777" w:rsidR="007D706A" w:rsidRDefault="007D706A" w:rsidP="00F70508">
            <w:pPr>
              <w:pStyle w:val="ParagraphStyle6"/>
              <w:rPr>
                <w:rStyle w:val="CharacterStyle6"/>
              </w:rPr>
            </w:pPr>
            <w:r>
              <w:rPr>
                <w:rStyle w:val="CharacterStyle6"/>
              </w:rPr>
              <w:t>1.330,00</w:t>
            </w:r>
          </w:p>
        </w:tc>
        <w:tc>
          <w:tcPr>
            <w:tcW w:w="1395" w:type="dxa"/>
            <w:tcBorders>
              <w:bottom w:val="single" w:sz="6" w:space="0" w:color="000000"/>
              <w:right w:val="single" w:sz="6" w:space="0" w:color="000000"/>
            </w:tcBorders>
            <w:vAlign w:val="center"/>
          </w:tcPr>
          <w:p w14:paraId="4F2590D4" w14:textId="77777777" w:rsidR="007D706A" w:rsidRDefault="007D706A" w:rsidP="00F70508">
            <w:pPr>
              <w:pStyle w:val="ParagraphStyle6"/>
              <w:rPr>
                <w:rStyle w:val="CharacterStyle6"/>
              </w:rPr>
            </w:pPr>
            <w:r>
              <w:rPr>
                <w:rStyle w:val="CharacterStyle6"/>
              </w:rPr>
              <w:t>1.330,00</w:t>
            </w:r>
          </w:p>
        </w:tc>
        <w:tc>
          <w:tcPr>
            <w:tcW w:w="1395" w:type="dxa"/>
            <w:tcBorders>
              <w:bottom w:val="single" w:sz="6" w:space="0" w:color="000000"/>
              <w:right w:val="single" w:sz="6" w:space="0" w:color="000000"/>
            </w:tcBorders>
            <w:vAlign w:val="center"/>
          </w:tcPr>
          <w:p w14:paraId="6F3206D4" w14:textId="77777777" w:rsidR="007D706A" w:rsidRDefault="007D706A" w:rsidP="00F70508">
            <w:pPr>
              <w:pStyle w:val="ParagraphStyle6"/>
              <w:rPr>
                <w:rStyle w:val="CharacterStyle6"/>
              </w:rPr>
            </w:pPr>
            <w:r>
              <w:rPr>
                <w:rStyle w:val="CharacterStyle6"/>
              </w:rPr>
              <w:t>1.400,00</w:t>
            </w:r>
          </w:p>
        </w:tc>
        <w:tc>
          <w:tcPr>
            <w:tcW w:w="1395" w:type="dxa"/>
            <w:tcBorders>
              <w:bottom w:val="single" w:sz="6" w:space="0" w:color="000000"/>
              <w:right w:val="single" w:sz="6" w:space="0" w:color="000000"/>
            </w:tcBorders>
            <w:vAlign w:val="center"/>
          </w:tcPr>
          <w:p w14:paraId="6D3CEFD8" w14:textId="77777777" w:rsidR="007D706A" w:rsidRDefault="007D706A" w:rsidP="00F70508">
            <w:pPr>
              <w:pStyle w:val="ParagraphStyle6"/>
              <w:rPr>
                <w:rStyle w:val="CharacterStyle6"/>
              </w:rPr>
            </w:pPr>
            <w:r>
              <w:rPr>
                <w:rStyle w:val="CharacterStyle6"/>
              </w:rPr>
              <w:t>1.400,00</w:t>
            </w:r>
          </w:p>
        </w:tc>
      </w:tr>
      <w:tr w:rsidR="007D706A" w14:paraId="3F79B58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6ACFE94"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75AF5638"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628B961B"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00A7C14" w14:textId="77777777" w:rsidR="007D706A" w:rsidRDefault="007D706A" w:rsidP="00F70508">
            <w:pPr>
              <w:pStyle w:val="ParagraphStyle9"/>
              <w:rPr>
                <w:rStyle w:val="CharacterStyle9"/>
              </w:rPr>
            </w:pPr>
            <w:r>
              <w:rPr>
                <w:rStyle w:val="CharacterStyle9"/>
              </w:rPr>
              <w:t>1.330,00</w:t>
            </w:r>
          </w:p>
        </w:tc>
        <w:tc>
          <w:tcPr>
            <w:tcW w:w="1395" w:type="dxa"/>
            <w:tcBorders>
              <w:bottom w:val="single" w:sz="6" w:space="0" w:color="000000"/>
              <w:right w:val="single" w:sz="6" w:space="0" w:color="000000"/>
            </w:tcBorders>
            <w:vAlign w:val="center"/>
          </w:tcPr>
          <w:p w14:paraId="4D46BED1" w14:textId="77777777" w:rsidR="007D706A" w:rsidRDefault="007D706A" w:rsidP="00F70508">
            <w:pPr>
              <w:pStyle w:val="ParagraphStyle9"/>
              <w:rPr>
                <w:rStyle w:val="CharacterStyle9"/>
              </w:rPr>
            </w:pPr>
            <w:r>
              <w:rPr>
                <w:rStyle w:val="CharacterStyle9"/>
              </w:rPr>
              <w:t>1.330,00</w:t>
            </w:r>
          </w:p>
        </w:tc>
        <w:tc>
          <w:tcPr>
            <w:tcW w:w="1395" w:type="dxa"/>
            <w:tcBorders>
              <w:bottom w:val="single" w:sz="6" w:space="0" w:color="000000"/>
              <w:right w:val="single" w:sz="6" w:space="0" w:color="000000"/>
            </w:tcBorders>
            <w:vAlign w:val="center"/>
          </w:tcPr>
          <w:p w14:paraId="2E133091" w14:textId="77777777" w:rsidR="007D706A" w:rsidRDefault="007D706A" w:rsidP="00F70508">
            <w:pPr>
              <w:pStyle w:val="ParagraphStyle9"/>
              <w:rPr>
                <w:rStyle w:val="CharacterStyle9"/>
              </w:rPr>
            </w:pPr>
            <w:r>
              <w:rPr>
                <w:rStyle w:val="CharacterStyle9"/>
              </w:rPr>
              <w:t>1.400,00</w:t>
            </w:r>
          </w:p>
        </w:tc>
        <w:tc>
          <w:tcPr>
            <w:tcW w:w="1395" w:type="dxa"/>
            <w:tcBorders>
              <w:bottom w:val="single" w:sz="6" w:space="0" w:color="000000"/>
              <w:right w:val="single" w:sz="6" w:space="0" w:color="000000"/>
            </w:tcBorders>
            <w:vAlign w:val="center"/>
          </w:tcPr>
          <w:p w14:paraId="313AFFF2" w14:textId="77777777" w:rsidR="007D706A" w:rsidRDefault="007D706A" w:rsidP="00F70508">
            <w:pPr>
              <w:pStyle w:val="ParagraphStyle9"/>
              <w:rPr>
                <w:rStyle w:val="CharacterStyle9"/>
              </w:rPr>
            </w:pPr>
            <w:r>
              <w:rPr>
                <w:rStyle w:val="CharacterStyle9"/>
              </w:rPr>
              <w:t>1.400,00</w:t>
            </w:r>
          </w:p>
        </w:tc>
      </w:tr>
      <w:tr w:rsidR="007D706A" w14:paraId="2FEA302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B35512F"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077855D0"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2E80C8F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DAA21EB" w14:textId="77777777" w:rsidR="007D706A" w:rsidRDefault="007D706A" w:rsidP="00F70508">
            <w:pPr>
              <w:pStyle w:val="ParagraphStyle12"/>
              <w:rPr>
                <w:rStyle w:val="CharacterStyle12"/>
              </w:rPr>
            </w:pPr>
            <w:r>
              <w:rPr>
                <w:rStyle w:val="CharacterStyle12"/>
              </w:rPr>
              <w:t>1.330,00</w:t>
            </w:r>
          </w:p>
        </w:tc>
        <w:tc>
          <w:tcPr>
            <w:tcW w:w="1395" w:type="dxa"/>
            <w:tcBorders>
              <w:bottom w:val="single" w:sz="6" w:space="0" w:color="000000"/>
              <w:right w:val="single" w:sz="6" w:space="0" w:color="000000"/>
            </w:tcBorders>
            <w:vAlign w:val="center"/>
          </w:tcPr>
          <w:p w14:paraId="22E3EFB7" w14:textId="77777777" w:rsidR="007D706A" w:rsidRDefault="007D706A" w:rsidP="00F70508">
            <w:pPr>
              <w:pStyle w:val="ParagraphStyle12"/>
              <w:rPr>
                <w:rStyle w:val="CharacterStyle12"/>
              </w:rPr>
            </w:pPr>
            <w:r>
              <w:rPr>
                <w:rStyle w:val="CharacterStyle12"/>
              </w:rPr>
              <w:t>1.330,00</w:t>
            </w:r>
          </w:p>
        </w:tc>
        <w:tc>
          <w:tcPr>
            <w:tcW w:w="1395" w:type="dxa"/>
            <w:tcBorders>
              <w:bottom w:val="single" w:sz="6" w:space="0" w:color="000000"/>
              <w:right w:val="single" w:sz="6" w:space="0" w:color="000000"/>
            </w:tcBorders>
            <w:vAlign w:val="center"/>
          </w:tcPr>
          <w:p w14:paraId="1D7013ED" w14:textId="77777777" w:rsidR="007D706A" w:rsidRDefault="007D706A" w:rsidP="00F70508">
            <w:pPr>
              <w:pStyle w:val="ParagraphStyle12"/>
              <w:rPr>
                <w:rStyle w:val="CharacterStyle12"/>
              </w:rPr>
            </w:pPr>
            <w:r>
              <w:rPr>
                <w:rStyle w:val="CharacterStyle12"/>
              </w:rPr>
              <w:t>1.400,00</w:t>
            </w:r>
          </w:p>
        </w:tc>
        <w:tc>
          <w:tcPr>
            <w:tcW w:w="1395" w:type="dxa"/>
            <w:tcBorders>
              <w:bottom w:val="single" w:sz="6" w:space="0" w:color="000000"/>
              <w:right w:val="single" w:sz="6" w:space="0" w:color="000000"/>
            </w:tcBorders>
            <w:vAlign w:val="center"/>
          </w:tcPr>
          <w:p w14:paraId="6FB939C5" w14:textId="77777777" w:rsidR="007D706A" w:rsidRDefault="007D706A" w:rsidP="00F70508">
            <w:pPr>
              <w:pStyle w:val="ParagraphStyle12"/>
              <w:rPr>
                <w:rStyle w:val="CharacterStyle12"/>
              </w:rPr>
            </w:pPr>
            <w:r>
              <w:rPr>
                <w:rStyle w:val="CharacterStyle12"/>
              </w:rPr>
              <w:t>1.400,00</w:t>
            </w:r>
          </w:p>
        </w:tc>
      </w:tr>
      <w:tr w:rsidR="007D706A" w14:paraId="42F527F3" w14:textId="77777777" w:rsidTr="00F70508">
        <w:trPr>
          <w:trHeight w:val="420"/>
        </w:trPr>
        <w:tc>
          <w:tcPr>
            <w:tcW w:w="2880" w:type="dxa"/>
            <w:tcBorders>
              <w:left w:val="single" w:sz="6" w:space="0" w:color="000000"/>
              <w:bottom w:val="single" w:sz="6" w:space="0" w:color="000000"/>
              <w:right w:val="single" w:sz="6" w:space="0" w:color="000000"/>
            </w:tcBorders>
            <w:vAlign w:val="center"/>
          </w:tcPr>
          <w:p w14:paraId="46453BAD" w14:textId="77777777" w:rsidR="007D706A" w:rsidRDefault="007D706A" w:rsidP="00F70508">
            <w:pPr>
              <w:pStyle w:val="ParagraphStyle10"/>
              <w:rPr>
                <w:rStyle w:val="CharacterStyle10"/>
              </w:rPr>
            </w:pPr>
            <w:r>
              <w:rPr>
                <w:rStyle w:val="CharacterStyle10"/>
              </w:rPr>
              <w:t>37</w:t>
            </w:r>
          </w:p>
        </w:tc>
        <w:tc>
          <w:tcPr>
            <w:tcW w:w="4995" w:type="dxa"/>
            <w:tcBorders>
              <w:bottom w:val="single" w:sz="6" w:space="0" w:color="000000"/>
              <w:right w:val="single" w:sz="6" w:space="0" w:color="000000"/>
            </w:tcBorders>
            <w:vAlign w:val="center"/>
          </w:tcPr>
          <w:p w14:paraId="690F45F2" w14:textId="77777777" w:rsidR="007D706A" w:rsidRDefault="007D706A" w:rsidP="00F70508">
            <w:pPr>
              <w:pStyle w:val="ParagraphStyle11"/>
              <w:rPr>
                <w:rStyle w:val="CharacterStyle11"/>
              </w:rPr>
            </w:pPr>
            <w:r>
              <w:rPr>
                <w:rStyle w:val="CharacterStyle11"/>
              </w:rPr>
              <w:t>Naknade građanima i kućanstvima na temelju osiguranja i druge naknade</w:t>
            </w:r>
          </w:p>
        </w:tc>
        <w:tc>
          <w:tcPr>
            <w:tcW w:w="1395" w:type="dxa"/>
            <w:tcBorders>
              <w:bottom w:val="single" w:sz="6" w:space="0" w:color="000000"/>
              <w:right w:val="single" w:sz="6" w:space="0" w:color="000000"/>
            </w:tcBorders>
            <w:vAlign w:val="center"/>
          </w:tcPr>
          <w:p w14:paraId="09FB368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5686657" w14:textId="77777777" w:rsidR="007D706A" w:rsidRDefault="007D706A" w:rsidP="00F70508">
            <w:pPr>
              <w:pStyle w:val="ParagraphStyle12"/>
              <w:rPr>
                <w:rStyle w:val="CharacterStyle12"/>
              </w:rPr>
            </w:pPr>
            <w:r>
              <w:rPr>
                <w:rStyle w:val="CharacterStyle12"/>
              </w:rPr>
              <w:t>1.330,00</w:t>
            </w:r>
          </w:p>
        </w:tc>
        <w:tc>
          <w:tcPr>
            <w:tcW w:w="1395" w:type="dxa"/>
            <w:tcBorders>
              <w:bottom w:val="single" w:sz="6" w:space="0" w:color="000000"/>
              <w:right w:val="single" w:sz="6" w:space="0" w:color="000000"/>
            </w:tcBorders>
            <w:vAlign w:val="center"/>
          </w:tcPr>
          <w:p w14:paraId="112AC40B" w14:textId="77777777" w:rsidR="007D706A" w:rsidRDefault="007D706A" w:rsidP="00F70508">
            <w:pPr>
              <w:pStyle w:val="ParagraphStyle12"/>
              <w:rPr>
                <w:rStyle w:val="CharacterStyle12"/>
              </w:rPr>
            </w:pPr>
            <w:r>
              <w:rPr>
                <w:rStyle w:val="CharacterStyle12"/>
              </w:rPr>
              <w:t>1.330,00</w:t>
            </w:r>
          </w:p>
        </w:tc>
        <w:tc>
          <w:tcPr>
            <w:tcW w:w="1395" w:type="dxa"/>
            <w:tcBorders>
              <w:bottom w:val="single" w:sz="6" w:space="0" w:color="000000"/>
              <w:right w:val="single" w:sz="6" w:space="0" w:color="000000"/>
            </w:tcBorders>
            <w:vAlign w:val="center"/>
          </w:tcPr>
          <w:p w14:paraId="30AF8275" w14:textId="77777777" w:rsidR="007D706A" w:rsidRDefault="007D706A" w:rsidP="00F70508">
            <w:pPr>
              <w:pStyle w:val="ParagraphStyle12"/>
              <w:rPr>
                <w:rStyle w:val="CharacterStyle12"/>
              </w:rPr>
            </w:pPr>
            <w:r>
              <w:rPr>
                <w:rStyle w:val="CharacterStyle12"/>
              </w:rPr>
              <w:t>1.400,00</w:t>
            </w:r>
          </w:p>
        </w:tc>
        <w:tc>
          <w:tcPr>
            <w:tcW w:w="1395" w:type="dxa"/>
            <w:tcBorders>
              <w:bottom w:val="single" w:sz="6" w:space="0" w:color="000000"/>
              <w:right w:val="single" w:sz="6" w:space="0" w:color="000000"/>
            </w:tcBorders>
            <w:vAlign w:val="center"/>
          </w:tcPr>
          <w:p w14:paraId="582C9FA3" w14:textId="77777777" w:rsidR="007D706A" w:rsidRDefault="007D706A" w:rsidP="00F70508">
            <w:pPr>
              <w:pStyle w:val="ParagraphStyle12"/>
              <w:rPr>
                <w:rStyle w:val="CharacterStyle12"/>
              </w:rPr>
            </w:pPr>
            <w:r>
              <w:rPr>
                <w:rStyle w:val="CharacterStyle12"/>
              </w:rPr>
              <w:t>1.400,00</w:t>
            </w:r>
          </w:p>
        </w:tc>
      </w:tr>
      <w:tr w:rsidR="007D706A" w14:paraId="7AEAE7E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20A7928" w14:textId="77777777" w:rsidR="007D706A" w:rsidRDefault="007D706A" w:rsidP="00F70508">
            <w:pPr>
              <w:pStyle w:val="ParagraphStyle4"/>
              <w:rPr>
                <w:rStyle w:val="CharacterStyle4"/>
              </w:rPr>
            </w:pPr>
            <w:r>
              <w:rPr>
                <w:rStyle w:val="CharacterStyle4"/>
              </w:rPr>
              <w:t>Aktivnost A103220</w:t>
            </w:r>
          </w:p>
        </w:tc>
        <w:tc>
          <w:tcPr>
            <w:tcW w:w="4995" w:type="dxa"/>
            <w:tcBorders>
              <w:bottom w:val="single" w:sz="6" w:space="0" w:color="000000"/>
              <w:right w:val="single" w:sz="6" w:space="0" w:color="000000"/>
            </w:tcBorders>
            <w:vAlign w:val="center"/>
          </w:tcPr>
          <w:p w14:paraId="76D6D23D" w14:textId="77777777" w:rsidR="007D706A" w:rsidRDefault="007D706A" w:rsidP="00F70508">
            <w:pPr>
              <w:pStyle w:val="ParagraphStyle5"/>
              <w:rPr>
                <w:rStyle w:val="CharacterStyle5"/>
              </w:rPr>
            </w:pPr>
            <w:r>
              <w:rPr>
                <w:rStyle w:val="CharacterStyle5"/>
              </w:rPr>
              <w:t>OSTALE AKTIVNOSTI SOCIJALNE SKRBI</w:t>
            </w:r>
          </w:p>
        </w:tc>
        <w:tc>
          <w:tcPr>
            <w:tcW w:w="1395" w:type="dxa"/>
            <w:tcBorders>
              <w:bottom w:val="single" w:sz="6" w:space="0" w:color="000000"/>
              <w:right w:val="single" w:sz="6" w:space="0" w:color="000000"/>
            </w:tcBorders>
            <w:vAlign w:val="center"/>
          </w:tcPr>
          <w:p w14:paraId="2A4C5EC7"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4EDCD26E" w14:textId="77777777" w:rsidR="007D706A" w:rsidRDefault="007D706A" w:rsidP="00F70508">
            <w:pPr>
              <w:pStyle w:val="ParagraphStyle6"/>
              <w:rPr>
                <w:rStyle w:val="CharacterStyle6"/>
              </w:rPr>
            </w:pPr>
            <w:r>
              <w:rPr>
                <w:rStyle w:val="CharacterStyle6"/>
              </w:rPr>
              <w:t>16.160,00</w:t>
            </w:r>
          </w:p>
        </w:tc>
        <w:tc>
          <w:tcPr>
            <w:tcW w:w="1395" w:type="dxa"/>
            <w:tcBorders>
              <w:bottom w:val="single" w:sz="6" w:space="0" w:color="000000"/>
              <w:right w:val="single" w:sz="6" w:space="0" w:color="000000"/>
            </w:tcBorders>
            <w:vAlign w:val="center"/>
          </w:tcPr>
          <w:p w14:paraId="0881B383" w14:textId="77777777" w:rsidR="007D706A" w:rsidRDefault="007D706A" w:rsidP="00F70508">
            <w:pPr>
              <w:pStyle w:val="ParagraphStyle6"/>
              <w:rPr>
                <w:rStyle w:val="CharacterStyle6"/>
              </w:rPr>
            </w:pPr>
            <w:r>
              <w:rPr>
                <w:rStyle w:val="CharacterStyle6"/>
              </w:rPr>
              <w:t>16.160,00</w:t>
            </w:r>
          </w:p>
        </w:tc>
        <w:tc>
          <w:tcPr>
            <w:tcW w:w="1395" w:type="dxa"/>
            <w:tcBorders>
              <w:bottom w:val="single" w:sz="6" w:space="0" w:color="000000"/>
              <w:right w:val="single" w:sz="6" w:space="0" w:color="000000"/>
            </w:tcBorders>
            <w:vAlign w:val="center"/>
          </w:tcPr>
          <w:p w14:paraId="72D04B21" w14:textId="77777777" w:rsidR="007D706A" w:rsidRDefault="007D706A" w:rsidP="00F70508">
            <w:pPr>
              <w:pStyle w:val="ParagraphStyle6"/>
              <w:rPr>
                <w:rStyle w:val="CharacterStyle6"/>
              </w:rPr>
            </w:pPr>
            <w:r>
              <w:rPr>
                <w:rStyle w:val="CharacterStyle6"/>
              </w:rPr>
              <w:t>17.500,00</w:t>
            </w:r>
          </w:p>
        </w:tc>
        <w:tc>
          <w:tcPr>
            <w:tcW w:w="1395" w:type="dxa"/>
            <w:tcBorders>
              <w:bottom w:val="single" w:sz="6" w:space="0" w:color="000000"/>
              <w:right w:val="single" w:sz="6" w:space="0" w:color="000000"/>
            </w:tcBorders>
            <w:vAlign w:val="center"/>
          </w:tcPr>
          <w:p w14:paraId="3BDF2713" w14:textId="77777777" w:rsidR="007D706A" w:rsidRDefault="007D706A" w:rsidP="00F70508">
            <w:pPr>
              <w:pStyle w:val="ParagraphStyle6"/>
              <w:rPr>
                <w:rStyle w:val="CharacterStyle6"/>
              </w:rPr>
            </w:pPr>
            <w:r>
              <w:rPr>
                <w:rStyle w:val="CharacterStyle6"/>
              </w:rPr>
              <w:t>17.500,00</w:t>
            </w:r>
          </w:p>
        </w:tc>
      </w:tr>
      <w:tr w:rsidR="007D706A" w14:paraId="74ABCC7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0D0821C"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7A1C2E55"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262A5BA1"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20A06EE" w14:textId="77777777" w:rsidR="007D706A" w:rsidRDefault="007D706A" w:rsidP="00F70508">
            <w:pPr>
              <w:pStyle w:val="ParagraphStyle9"/>
              <w:rPr>
                <w:rStyle w:val="CharacterStyle9"/>
              </w:rPr>
            </w:pPr>
            <w:r>
              <w:rPr>
                <w:rStyle w:val="CharacterStyle9"/>
              </w:rPr>
              <w:t>16.160,00</w:t>
            </w:r>
          </w:p>
        </w:tc>
        <w:tc>
          <w:tcPr>
            <w:tcW w:w="1395" w:type="dxa"/>
            <w:tcBorders>
              <w:bottom w:val="single" w:sz="6" w:space="0" w:color="000000"/>
              <w:right w:val="single" w:sz="6" w:space="0" w:color="000000"/>
            </w:tcBorders>
            <w:vAlign w:val="center"/>
          </w:tcPr>
          <w:p w14:paraId="15B8B154" w14:textId="77777777" w:rsidR="007D706A" w:rsidRDefault="007D706A" w:rsidP="00F70508">
            <w:pPr>
              <w:pStyle w:val="ParagraphStyle9"/>
              <w:rPr>
                <w:rStyle w:val="CharacterStyle9"/>
              </w:rPr>
            </w:pPr>
            <w:r>
              <w:rPr>
                <w:rStyle w:val="CharacterStyle9"/>
              </w:rPr>
              <w:t>16.160,00</w:t>
            </w:r>
          </w:p>
        </w:tc>
        <w:tc>
          <w:tcPr>
            <w:tcW w:w="1395" w:type="dxa"/>
            <w:tcBorders>
              <w:bottom w:val="single" w:sz="6" w:space="0" w:color="000000"/>
              <w:right w:val="single" w:sz="6" w:space="0" w:color="000000"/>
            </w:tcBorders>
            <w:vAlign w:val="center"/>
          </w:tcPr>
          <w:p w14:paraId="6977A753" w14:textId="77777777" w:rsidR="007D706A" w:rsidRDefault="007D706A" w:rsidP="00F70508">
            <w:pPr>
              <w:pStyle w:val="ParagraphStyle9"/>
              <w:rPr>
                <w:rStyle w:val="CharacterStyle9"/>
              </w:rPr>
            </w:pPr>
            <w:r>
              <w:rPr>
                <w:rStyle w:val="CharacterStyle9"/>
              </w:rPr>
              <w:t>17.500,00</w:t>
            </w:r>
          </w:p>
        </w:tc>
        <w:tc>
          <w:tcPr>
            <w:tcW w:w="1395" w:type="dxa"/>
            <w:tcBorders>
              <w:bottom w:val="single" w:sz="6" w:space="0" w:color="000000"/>
              <w:right w:val="single" w:sz="6" w:space="0" w:color="000000"/>
            </w:tcBorders>
            <w:vAlign w:val="center"/>
          </w:tcPr>
          <w:p w14:paraId="2E5B03C1" w14:textId="77777777" w:rsidR="007D706A" w:rsidRDefault="007D706A" w:rsidP="00F70508">
            <w:pPr>
              <w:pStyle w:val="ParagraphStyle9"/>
              <w:rPr>
                <w:rStyle w:val="CharacterStyle9"/>
              </w:rPr>
            </w:pPr>
            <w:r>
              <w:rPr>
                <w:rStyle w:val="CharacterStyle9"/>
              </w:rPr>
              <w:t>17.500,00</w:t>
            </w:r>
          </w:p>
        </w:tc>
      </w:tr>
      <w:tr w:rsidR="007D706A" w14:paraId="7C1CE19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DCFEAC3"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2C6E2CA8"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19B3FF9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9607C60" w14:textId="77777777" w:rsidR="007D706A" w:rsidRDefault="007D706A" w:rsidP="00F70508">
            <w:pPr>
              <w:pStyle w:val="ParagraphStyle12"/>
              <w:rPr>
                <w:rStyle w:val="CharacterStyle12"/>
              </w:rPr>
            </w:pPr>
            <w:r>
              <w:rPr>
                <w:rStyle w:val="CharacterStyle12"/>
              </w:rPr>
              <w:t>16.160,00</w:t>
            </w:r>
          </w:p>
        </w:tc>
        <w:tc>
          <w:tcPr>
            <w:tcW w:w="1395" w:type="dxa"/>
            <w:tcBorders>
              <w:bottom w:val="single" w:sz="6" w:space="0" w:color="000000"/>
              <w:right w:val="single" w:sz="6" w:space="0" w:color="000000"/>
            </w:tcBorders>
            <w:vAlign w:val="center"/>
          </w:tcPr>
          <w:p w14:paraId="75903DC6" w14:textId="77777777" w:rsidR="007D706A" w:rsidRDefault="007D706A" w:rsidP="00F70508">
            <w:pPr>
              <w:pStyle w:val="ParagraphStyle12"/>
              <w:rPr>
                <w:rStyle w:val="CharacterStyle12"/>
              </w:rPr>
            </w:pPr>
            <w:r>
              <w:rPr>
                <w:rStyle w:val="CharacterStyle12"/>
              </w:rPr>
              <w:t>16.160,00</w:t>
            </w:r>
          </w:p>
        </w:tc>
        <w:tc>
          <w:tcPr>
            <w:tcW w:w="1395" w:type="dxa"/>
            <w:tcBorders>
              <w:bottom w:val="single" w:sz="6" w:space="0" w:color="000000"/>
              <w:right w:val="single" w:sz="6" w:space="0" w:color="000000"/>
            </w:tcBorders>
            <w:vAlign w:val="center"/>
          </w:tcPr>
          <w:p w14:paraId="399EB909" w14:textId="77777777" w:rsidR="007D706A" w:rsidRDefault="007D706A" w:rsidP="00F70508">
            <w:pPr>
              <w:pStyle w:val="ParagraphStyle12"/>
              <w:rPr>
                <w:rStyle w:val="CharacterStyle12"/>
              </w:rPr>
            </w:pPr>
            <w:r>
              <w:rPr>
                <w:rStyle w:val="CharacterStyle12"/>
              </w:rPr>
              <w:t>17.500,00</w:t>
            </w:r>
          </w:p>
        </w:tc>
        <w:tc>
          <w:tcPr>
            <w:tcW w:w="1395" w:type="dxa"/>
            <w:tcBorders>
              <w:bottom w:val="single" w:sz="6" w:space="0" w:color="000000"/>
              <w:right w:val="single" w:sz="6" w:space="0" w:color="000000"/>
            </w:tcBorders>
            <w:vAlign w:val="center"/>
          </w:tcPr>
          <w:p w14:paraId="192D5B86" w14:textId="77777777" w:rsidR="007D706A" w:rsidRDefault="007D706A" w:rsidP="00F70508">
            <w:pPr>
              <w:pStyle w:val="ParagraphStyle12"/>
              <w:rPr>
                <w:rStyle w:val="CharacterStyle12"/>
              </w:rPr>
            </w:pPr>
            <w:r>
              <w:rPr>
                <w:rStyle w:val="CharacterStyle12"/>
              </w:rPr>
              <w:t>17.500,00</w:t>
            </w:r>
          </w:p>
        </w:tc>
      </w:tr>
      <w:tr w:rsidR="007D706A" w14:paraId="748B9D8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B067939"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42658228"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4B3F1B8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F0F4868" w14:textId="77777777" w:rsidR="007D706A" w:rsidRDefault="007D706A" w:rsidP="00F70508">
            <w:pPr>
              <w:pStyle w:val="ParagraphStyle12"/>
              <w:rPr>
                <w:rStyle w:val="CharacterStyle12"/>
              </w:rPr>
            </w:pPr>
            <w:r>
              <w:rPr>
                <w:rStyle w:val="CharacterStyle12"/>
              </w:rPr>
              <w:t>2.000,00</w:t>
            </w:r>
          </w:p>
        </w:tc>
        <w:tc>
          <w:tcPr>
            <w:tcW w:w="1395" w:type="dxa"/>
            <w:tcBorders>
              <w:bottom w:val="single" w:sz="6" w:space="0" w:color="000000"/>
              <w:right w:val="single" w:sz="6" w:space="0" w:color="000000"/>
            </w:tcBorders>
            <w:vAlign w:val="center"/>
          </w:tcPr>
          <w:p w14:paraId="18599321" w14:textId="77777777" w:rsidR="007D706A" w:rsidRDefault="007D706A" w:rsidP="00F70508">
            <w:pPr>
              <w:pStyle w:val="ParagraphStyle12"/>
              <w:rPr>
                <w:rStyle w:val="CharacterStyle12"/>
              </w:rPr>
            </w:pPr>
            <w:r>
              <w:rPr>
                <w:rStyle w:val="CharacterStyle12"/>
              </w:rPr>
              <w:t>2.000,00</w:t>
            </w:r>
          </w:p>
        </w:tc>
        <w:tc>
          <w:tcPr>
            <w:tcW w:w="1395" w:type="dxa"/>
            <w:tcBorders>
              <w:bottom w:val="single" w:sz="6" w:space="0" w:color="000000"/>
              <w:right w:val="single" w:sz="6" w:space="0" w:color="000000"/>
            </w:tcBorders>
            <w:vAlign w:val="center"/>
          </w:tcPr>
          <w:p w14:paraId="3F6E0832" w14:textId="77777777" w:rsidR="007D706A" w:rsidRDefault="007D706A" w:rsidP="00F70508">
            <w:pPr>
              <w:pStyle w:val="ParagraphStyle12"/>
              <w:rPr>
                <w:rStyle w:val="CharacterStyle12"/>
              </w:rPr>
            </w:pPr>
            <w:r>
              <w:rPr>
                <w:rStyle w:val="CharacterStyle12"/>
              </w:rPr>
              <w:t>2.500,00</w:t>
            </w:r>
          </w:p>
        </w:tc>
        <w:tc>
          <w:tcPr>
            <w:tcW w:w="1395" w:type="dxa"/>
            <w:tcBorders>
              <w:bottom w:val="single" w:sz="6" w:space="0" w:color="000000"/>
              <w:right w:val="single" w:sz="6" w:space="0" w:color="000000"/>
            </w:tcBorders>
            <w:vAlign w:val="center"/>
          </w:tcPr>
          <w:p w14:paraId="7B3D2A45" w14:textId="77777777" w:rsidR="007D706A" w:rsidRDefault="007D706A" w:rsidP="00F70508">
            <w:pPr>
              <w:pStyle w:val="ParagraphStyle12"/>
              <w:rPr>
                <w:rStyle w:val="CharacterStyle12"/>
              </w:rPr>
            </w:pPr>
            <w:r>
              <w:rPr>
                <w:rStyle w:val="CharacterStyle12"/>
              </w:rPr>
              <w:t>2.500,00</w:t>
            </w:r>
          </w:p>
        </w:tc>
      </w:tr>
      <w:tr w:rsidR="007D706A" w14:paraId="12359BA8" w14:textId="77777777" w:rsidTr="00F70508">
        <w:trPr>
          <w:trHeight w:val="405"/>
        </w:trPr>
        <w:tc>
          <w:tcPr>
            <w:tcW w:w="2880" w:type="dxa"/>
            <w:tcBorders>
              <w:left w:val="single" w:sz="6" w:space="0" w:color="000000"/>
              <w:bottom w:val="single" w:sz="6" w:space="0" w:color="000000"/>
              <w:right w:val="single" w:sz="6" w:space="0" w:color="000000"/>
            </w:tcBorders>
            <w:vAlign w:val="center"/>
          </w:tcPr>
          <w:p w14:paraId="2B27965E" w14:textId="77777777" w:rsidR="007D706A" w:rsidRDefault="007D706A" w:rsidP="00F70508">
            <w:pPr>
              <w:pStyle w:val="ParagraphStyle10"/>
              <w:rPr>
                <w:rStyle w:val="CharacterStyle10"/>
              </w:rPr>
            </w:pPr>
            <w:r>
              <w:rPr>
                <w:rStyle w:val="CharacterStyle10"/>
              </w:rPr>
              <w:t>37</w:t>
            </w:r>
          </w:p>
        </w:tc>
        <w:tc>
          <w:tcPr>
            <w:tcW w:w="4995" w:type="dxa"/>
            <w:tcBorders>
              <w:bottom w:val="single" w:sz="6" w:space="0" w:color="000000"/>
              <w:right w:val="single" w:sz="6" w:space="0" w:color="000000"/>
            </w:tcBorders>
            <w:vAlign w:val="center"/>
          </w:tcPr>
          <w:p w14:paraId="28C068E5" w14:textId="77777777" w:rsidR="007D706A" w:rsidRDefault="007D706A" w:rsidP="00F70508">
            <w:pPr>
              <w:pStyle w:val="ParagraphStyle11"/>
              <w:rPr>
                <w:rStyle w:val="CharacterStyle11"/>
              </w:rPr>
            </w:pPr>
            <w:r>
              <w:rPr>
                <w:rStyle w:val="CharacterStyle11"/>
              </w:rPr>
              <w:t>Naknade građanima i kućanstvima na temelju osiguranja i druge naknade</w:t>
            </w:r>
          </w:p>
        </w:tc>
        <w:tc>
          <w:tcPr>
            <w:tcW w:w="1395" w:type="dxa"/>
            <w:tcBorders>
              <w:bottom w:val="single" w:sz="6" w:space="0" w:color="000000"/>
              <w:right w:val="single" w:sz="6" w:space="0" w:color="000000"/>
            </w:tcBorders>
            <w:vAlign w:val="center"/>
          </w:tcPr>
          <w:p w14:paraId="7884DD5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C2D90F5" w14:textId="77777777" w:rsidR="007D706A" w:rsidRDefault="007D706A" w:rsidP="00F70508">
            <w:pPr>
              <w:pStyle w:val="ParagraphStyle12"/>
              <w:rPr>
                <w:rStyle w:val="CharacterStyle12"/>
              </w:rPr>
            </w:pPr>
            <w:r>
              <w:rPr>
                <w:rStyle w:val="CharacterStyle12"/>
              </w:rPr>
              <w:t>14.160,00</w:t>
            </w:r>
          </w:p>
        </w:tc>
        <w:tc>
          <w:tcPr>
            <w:tcW w:w="1395" w:type="dxa"/>
            <w:tcBorders>
              <w:bottom w:val="single" w:sz="6" w:space="0" w:color="000000"/>
              <w:right w:val="single" w:sz="6" w:space="0" w:color="000000"/>
            </w:tcBorders>
            <w:vAlign w:val="center"/>
          </w:tcPr>
          <w:p w14:paraId="1B1EBBD5" w14:textId="77777777" w:rsidR="007D706A" w:rsidRDefault="007D706A" w:rsidP="00F70508">
            <w:pPr>
              <w:pStyle w:val="ParagraphStyle12"/>
              <w:rPr>
                <w:rStyle w:val="CharacterStyle12"/>
              </w:rPr>
            </w:pPr>
            <w:r>
              <w:rPr>
                <w:rStyle w:val="CharacterStyle12"/>
              </w:rPr>
              <w:t>14.160,00</w:t>
            </w:r>
          </w:p>
        </w:tc>
        <w:tc>
          <w:tcPr>
            <w:tcW w:w="1395" w:type="dxa"/>
            <w:tcBorders>
              <w:bottom w:val="single" w:sz="6" w:space="0" w:color="000000"/>
              <w:right w:val="single" w:sz="6" w:space="0" w:color="000000"/>
            </w:tcBorders>
            <w:vAlign w:val="center"/>
          </w:tcPr>
          <w:p w14:paraId="05189008" w14:textId="77777777" w:rsidR="007D706A" w:rsidRDefault="007D706A" w:rsidP="00F70508">
            <w:pPr>
              <w:pStyle w:val="ParagraphStyle12"/>
              <w:rPr>
                <w:rStyle w:val="CharacterStyle12"/>
              </w:rPr>
            </w:pPr>
            <w:r>
              <w:rPr>
                <w:rStyle w:val="CharacterStyle12"/>
              </w:rPr>
              <w:t>15.000,00</w:t>
            </w:r>
          </w:p>
        </w:tc>
        <w:tc>
          <w:tcPr>
            <w:tcW w:w="1395" w:type="dxa"/>
            <w:tcBorders>
              <w:bottom w:val="single" w:sz="6" w:space="0" w:color="000000"/>
              <w:right w:val="single" w:sz="6" w:space="0" w:color="000000"/>
            </w:tcBorders>
            <w:vAlign w:val="center"/>
          </w:tcPr>
          <w:p w14:paraId="1A5A387C" w14:textId="77777777" w:rsidR="007D706A" w:rsidRDefault="007D706A" w:rsidP="00F70508">
            <w:pPr>
              <w:pStyle w:val="ParagraphStyle12"/>
              <w:rPr>
                <w:rStyle w:val="CharacterStyle12"/>
              </w:rPr>
            </w:pPr>
            <w:r>
              <w:rPr>
                <w:rStyle w:val="CharacterStyle12"/>
              </w:rPr>
              <w:t>15.000,00</w:t>
            </w:r>
          </w:p>
        </w:tc>
      </w:tr>
      <w:tr w:rsidR="007D706A" w14:paraId="7A356FE9" w14:textId="77777777" w:rsidTr="00F70508">
        <w:trPr>
          <w:trHeight w:val="420"/>
        </w:trPr>
        <w:tc>
          <w:tcPr>
            <w:tcW w:w="2880" w:type="dxa"/>
            <w:tcBorders>
              <w:left w:val="single" w:sz="6" w:space="0" w:color="000000"/>
              <w:bottom w:val="single" w:sz="6" w:space="0" w:color="000000"/>
              <w:right w:val="single" w:sz="6" w:space="0" w:color="000000"/>
            </w:tcBorders>
            <w:vAlign w:val="center"/>
          </w:tcPr>
          <w:p w14:paraId="2DA12EC2" w14:textId="77777777" w:rsidR="007D706A" w:rsidRDefault="007D706A" w:rsidP="00F70508">
            <w:pPr>
              <w:pStyle w:val="ParagraphStyle4"/>
              <w:rPr>
                <w:rStyle w:val="CharacterStyle4"/>
              </w:rPr>
            </w:pPr>
            <w:r>
              <w:rPr>
                <w:rStyle w:val="CharacterStyle4"/>
              </w:rPr>
              <w:t>Aktivnost A103226</w:t>
            </w:r>
          </w:p>
        </w:tc>
        <w:tc>
          <w:tcPr>
            <w:tcW w:w="4995" w:type="dxa"/>
            <w:tcBorders>
              <w:bottom w:val="single" w:sz="6" w:space="0" w:color="000000"/>
              <w:right w:val="single" w:sz="6" w:space="0" w:color="000000"/>
            </w:tcBorders>
            <w:vAlign w:val="center"/>
          </w:tcPr>
          <w:p w14:paraId="1B8BA132" w14:textId="77777777" w:rsidR="007D706A" w:rsidRDefault="007D706A" w:rsidP="00F70508">
            <w:pPr>
              <w:pStyle w:val="ParagraphStyle5"/>
              <w:rPr>
                <w:rStyle w:val="CharacterStyle5"/>
              </w:rPr>
            </w:pPr>
            <w:r>
              <w:rPr>
                <w:rStyle w:val="CharacterStyle5"/>
              </w:rPr>
              <w:t>SUFINANCIRANJE ZAŠTITARSKE SLUŽBE U DOMU ZA STARIJE OSOBE "D. PERGOLIS"</w:t>
            </w:r>
          </w:p>
        </w:tc>
        <w:tc>
          <w:tcPr>
            <w:tcW w:w="1395" w:type="dxa"/>
            <w:tcBorders>
              <w:bottom w:val="single" w:sz="6" w:space="0" w:color="000000"/>
              <w:right w:val="single" w:sz="6" w:space="0" w:color="000000"/>
            </w:tcBorders>
            <w:vAlign w:val="center"/>
          </w:tcPr>
          <w:p w14:paraId="56B3B109"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469B971D"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5A00FC24" w14:textId="77777777" w:rsidR="007D706A" w:rsidRDefault="007D706A" w:rsidP="00F70508">
            <w:pPr>
              <w:pStyle w:val="ParagraphStyle6"/>
              <w:rPr>
                <w:rStyle w:val="CharacterStyle6"/>
              </w:rPr>
            </w:pPr>
            <w:r>
              <w:rPr>
                <w:rStyle w:val="CharacterStyle6"/>
              </w:rPr>
              <w:t>10.000,00</w:t>
            </w:r>
          </w:p>
        </w:tc>
        <w:tc>
          <w:tcPr>
            <w:tcW w:w="1395" w:type="dxa"/>
            <w:tcBorders>
              <w:bottom w:val="single" w:sz="6" w:space="0" w:color="000000"/>
              <w:right w:val="single" w:sz="6" w:space="0" w:color="000000"/>
            </w:tcBorders>
            <w:vAlign w:val="center"/>
          </w:tcPr>
          <w:p w14:paraId="72D5CB4A"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0EE4CA66" w14:textId="77777777" w:rsidR="007D706A" w:rsidRDefault="007D706A" w:rsidP="00F70508">
            <w:pPr>
              <w:pStyle w:val="ParagraphStyle6"/>
              <w:rPr>
                <w:rStyle w:val="CharacterStyle6"/>
              </w:rPr>
            </w:pPr>
            <w:r>
              <w:rPr>
                <w:rStyle w:val="CharacterStyle6"/>
              </w:rPr>
              <w:t>0,00</w:t>
            </w:r>
          </w:p>
        </w:tc>
      </w:tr>
      <w:tr w:rsidR="007D706A" w14:paraId="7965FC4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F133B12"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4FCE2470"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3258C31E"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24214FE"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C2C0581" w14:textId="77777777" w:rsidR="007D706A" w:rsidRDefault="007D706A" w:rsidP="00F70508">
            <w:pPr>
              <w:pStyle w:val="ParagraphStyle9"/>
              <w:rPr>
                <w:rStyle w:val="CharacterStyle9"/>
              </w:rPr>
            </w:pPr>
            <w:r>
              <w:rPr>
                <w:rStyle w:val="CharacterStyle9"/>
              </w:rPr>
              <w:t>10.000,00</w:t>
            </w:r>
          </w:p>
        </w:tc>
        <w:tc>
          <w:tcPr>
            <w:tcW w:w="1395" w:type="dxa"/>
            <w:tcBorders>
              <w:bottom w:val="single" w:sz="6" w:space="0" w:color="000000"/>
              <w:right w:val="single" w:sz="6" w:space="0" w:color="000000"/>
            </w:tcBorders>
            <w:vAlign w:val="center"/>
          </w:tcPr>
          <w:p w14:paraId="0FDBE64E"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21EF9E8" w14:textId="77777777" w:rsidR="007D706A" w:rsidRDefault="007D706A" w:rsidP="00F70508">
            <w:pPr>
              <w:pStyle w:val="ParagraphStyle9"/>
              <w:rPr>
                <w:rStyle w:val="CharacterStyle9"/>
              </w:rPr>
            </w:pPr>
            <w:r>
              <w:rPr>
                <w:rStyle w:val="CharacterStyle9"/>
              </w:rPr>
              <w:t>0,00</w:t>
            </w:r>
          </w:p>
        </w:tc>
      </w:tr>
      <w:tr w:rsidR="007D706A" w14:paraId="5E09393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88BA561"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00546192"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402FBDA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28BC8E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7A6F2E0" w14:textId="77777777" w:rsidR="007D706A" w:rsidRDefault="007D706A" w:rsidP="00F70508">
            <w:pPr>
              <w:pStyle w:val="ParagraphStyle12"/>
              <w:rPr>
                <w:rStyle w:val="CharacterStyle12"/>
              </w:rPr>
            </w:pPr>
            <w:r>
              <w:rPr>
                <w:rStyle w:val="CharacterStyle12"/>
              </w:rPr>
              <w:t>10.000,00</w:t>
            </w:r>
          </w:p>
        </w:tc>
        <w:tc>
          <w:tcPr>
            <w:tcW w:w="1395" w:type="dxa"/>
            <w:tcBorders>
              <w:bottom w:val="single" w:sz="6" w:space="0" w:color="000000"/>
              <w:right w:val="single" w:sz="6" w:space="0" w:color="000000"/>
            </w:tcBorders>
            <w:vAlign w:val="center"/>
          </w:tcPr>
          <w:p w14:paraId="6AC0549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F7B08B0" w14:textId="77777777" w:rsidR="007D706A" w:rsidRDefault="007D706A" w:rsidP="00F70508">
            <w:pPr>
              <w:pStyle w:val="ParagraphStyle12"/>
              <w:rPr>
                <w:rStyle w:val="CharacterStyle12"/>
              </w:rPr>
            </w:pPr>
            <w:r>
              <w:rPr>
                <w:rStyle w:val="CharacterStyle12"/>
              </w:rPr>
              <w:t>0,00</w:t>
            </w:r>
          </w:p>
        </w:tc>
      </w:tr>
      <w:tr w:rsidR="007D706A" w14:paraId="257DDDB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2E5587D" w14:textId="77777777" w:rsidR="007D706A" w:rsidRDefault="007D706A" w:rsidP="00F70508">
            <w:pPr>
              <w:pStyle w:val="ParagraphStyle10"/>
              <w:rPr>
                <w:rStyle w:val="CharacterStyle10"/>
              </w:rPr>
            </w:pPr>
            <w:r>
              <w:rPr>
                <w:rStyle w:val="CharacterStyle10"/>
              </w:rPr>
              <w:t>36</w:t>
            </w:r>
          </w:p>
        </w:tc>
        <w:tc>
          <w:tcPr>
            <w:tcW w:w="4995" w:type="dxa"/>
            <w:tcBorders>
              <w:bottom w:val="single" w:sz="6" w:space="0" w:color="000000"/>
              <w:right w:val="single" w:sz="6" w:space="0" w:color="000000"/>
            </w:tcBorders>
            <w:vAlign w:val="center"/>
          </w:tcPr>
          <w:p w14:paraId="538074E6" w14:textId="77777777" w:rsidR="007D706A" w:rsidRDefault="007D706A" w:rsidP="00F70508">
            <w:pPr>
              <w:pStyle w:val="ParagraphStyle11"/>
              <w:rPr>
                <w:rStyle w:val="CharacterStyle11"/>
              </w:rPr>
            </w:pPr>
            <w:r>
              <w:rPr>
                <w:rStyle w:val="CharacterStyle11"/>
              </w:rPr>
              <w:t>Pomoći dane u inozemstvo i unutar općeg proračuna</w:t>
            </w:r>
          </w:p>
        </w:tc>
        <w:tc>
          <w:tcPr>
            <w:tcW w:w="1395" w:type="dxa"/>
            <w:tcBorders>
              <w:bottom w:val="single" w:sz="6" w:space="0" w:color="000000"/>
              <w:right w:val="single" w:sz="6" w:space="0" w:color="000000"/>
            </w:tcBorders>
            <w:vAlign w:val="center"/>
          </w:tcPr>
          <w:p w14:paraId="02116BF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16745A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1E82BF5" w14:textId="77777777" w:rsidR="007D706A" w:rsidRDefault="007D706A" w:rsidP="00F70508">
            <w:pPr>
              <w:pStyle w:val="ParagraphStyle12"/>
              <w:rPr>
                <w:rStyle w:val="CharacterStyle12"/>
              </w:rPr>
            </w:pPr>
            <w:r>
              <w:rPr>
                <w:rStyle w:val="CharacterStyle12"/>
              </w:rPr>
              <w:t>10.000,00</w:t>
            </w:r>
          </w:p>
        </w:tc>
        <w:tc>
          <w:tcPr>
            <w:tcW w:w="1395" w:type="dxa"/>
            <w:tcBorders>
              <w:bottom w:val="single" w:sz="6" w:space="0" w:color="000000"/>
              <w:right w:val="single" w:sz="6" w:space="0" w:color="000000"/>
            </w:tcBorders>
            <w:vAlign w:val="center"/>
          </w:tcPr>
          <w:p w14:paraId="62EB0C0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E3940F5" w14:textId="77777777" w:rsidR="007D706A" w:rsidRDefault="007D706A" w:rsidP="00F70508">
            <w:pPr>
              <w:pStyle w:val="ParagraphStyle12"/>
              <w:rPr>
                <w:rStyle w:val="CharacterStyle12"/>
              </w:rPr>
            </w:pPr>
            <w:r>
              <w:rPr>
                <w:rStyle w:val="CharacterStyle12"/>
              </w:rPr>
              <w:t>0,00</w:t>
            </w:r>
          </w:p>
        </w:tc>
      </w:tr>
      <w:tr w:rsidR="007D706A" w14:paraId="16F92E29" w14:textId="77777777" w:rsidTr="00F70508">
        <w:trPr>
          <w:trHeight w:val="405"/>
        </w:trPr>
        <w:tc>
          <w:tcPr>
            <w:tcW w:w="2880" w:type="dxa"/>
            <w:tcBorders>
              <w:left w:val="single" w:sz="6" w:space="0" w:color="000000"/>
              <w:bottom w:val="single" w:sz="6" w:space="0" w:color="000000"/>
              <w:right w:val="single" w:sz="6" w:space="0" w:color="000000"/>
            </w:tcBorders>
            <w:vAlign w:val="center"/>
          </w:tcPr>
          <w:p w14:paraId="68B029F8" w14:textId="77777777" w:rsidR="007D706A" w:rsidRDefault="007D706A" w:rsidP="00F70508">
            <w:pPr>
              <w:pStyle w:val="ParagraphStyle4"/>
              <w:rPr>
                <w:rStyle w:val="CharacterStyle4"/>
              </w:rPr>
            </w:pPr>
            <w:r>
              <w:rPr>
                <w:rStyle w:val="CharacterStyle4"/>
              </w:rPr>
              <w:t>Aktivnost A103209</w:t>
            </w:r>
          </w:p>
        </w:tc>
        <w:tc>
          <w:tcPr>
            <w:tcW w:w="4995" w:type="dxa"/>
            <w:tcBorders>
              <w:bottom w:val="single" w:sz="6" w:space="0" w:color="000000"/>
              <w:right w:val="single" w:sz="6" w:space="0" w:color="000000"/>
            </w:tcBorders>
            <w:vAlign w:val="center"/>
          </w:tcPr>
          <w:p w14:paraId="49470388" w14:textId="77777777" w:rsidR="007D706A" w:rsidRDefault="007D706A" w:rsidP="00F70508">
            <w:pPr>
              <w:pStyle w:val="ParagraphStyle5"/>
              <w:rPr>
                <w:rStyle w:val="CharacterStyle5"/>
              </w:rPr>
            </w:pPr>
            <w:r>
              <w:rPr>
                <w:rStyle w:val="CharacterStyle5"/>
              </w:rPr>
              <w:t>NAKNADA RAZLIKE U CIJENI PRIJEVOZA UČENIKA SREDNJIH ŠKOLA</w:t>
            </w:r>
          </w:p>
        </w:tc>
        <w:tc>
          <w:tcPr>
            <w:tcW w:w="1395" w:type="dxa"/>
            <w:tcBorders>
              <w:bottom w:val="single" w:sz="6" w:space="0" w:color="000000"/>
              <w:right w:val="single" w:sz="6" w:space="0" w:color="000000"/>
            </w:tcBorders>
            <w:vAlign w:val="center"/>
          </w:tcPr>
          <w:p w14:paraId="445F5C96"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196FBAB7" w14:textId="77777777" w:rsidR="007D706A" w:rsidRDefault="007D706A" w:rsidP="00F70508">
            <w:pPr>
              <w:pStyle w:val="ParagraphStyle6"/>
              <w:rPr>
                <w:rStyle w:val="CharacterStyle6"/>
              </w:rPr>
            </w:pPr>
            <w:r>
              <w:rPr>
                <w:rStyle w:val="CharacterStyle6"/>
              </w:rPr>
              <w:t>47.550,00</w:t>
            </w:r>
          </w:p>
        </w:tc>
        <w:tc>
          <w:tcPr>
            <w:tcW w:w="1395" w:type="dxa"/>
            <w:tcBorders>
              <w:bottom w:val="single" w:sz="6" w:space="0" w:color="000000"/>
              <w:right w:val="single" w:sz="6" w:space="0" w:color="000000"/>
            </w:tcBorders>
            <w:vAlign w:val="center"/>
          </w:tcPr>
          <w:p w14:paraId="6E5AB83F" w14:textId="77777777" w:rsidR="007D706A" w:rsidRDefault="007D706A" w:rsidP="00F70508">
            <w:pPr>
              <w:pStyle w:val="ParagraphStyle6"/>
              <w:rPr>
                <w:rStyle w:val="CharacterStyle6"/>
              </w:rPr>
            </w:pPr>
            <w:r>
              <w:rPr>
                <w:rStyle w:val="CharacterStyle6"/>
              </w:rPr>
              <w:t>25.000,00</w:t>
            </w:r>
          </w:p>
        </w:tc>
        <w:tc>
          <w:tcPr>
            <w:tcW w:w="1395" w:type="dxa"/>
            <w:tcBorders>
              <w:bottom w:val="single" w:sz="6" w:space="0" w:color="000000"/>
              <w:right w:val="single" w:sz="6" w:space="0" w:color="000000"/>
            </w:tcBorders>
            <w:vAlign w:val="center"/>
          </w:tcPr>
          <w:p w14:paraId="295B4AD0"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2E51E634" w14:textId="77777777" w:rsidR="007D706A" w:rsidRDefault="007D706A" w:rsidP="00F70508">
            <w:pPr>
              <w:pStyle w:val="ParagraphStyle6"/>
              <w:rPr>
                <w:rStyle w:val="CharacterStyle6"/>
              </w:rPr>
            </w:pPr>
            <w:r>
              <w:rPr>
                <w:rStyle w:val="CharacterStyle6"/>
              </w:rPr>
              <w:t>0,00</w:t>
            </w:r>
          </w:p>
        </w:tc>
      </w:tr>
      <w:tr w:rsidR="007D706A" w14:paraId="1D71B27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06CA97E"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13AF355F"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439F34E2"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DBCA4DB" w14:textId="77777777" w:rsidR="007D706A" w:rsidRDefault="007D706A" w:rsidP="00F70508">
            <w:pPr>
              <w:pStyle w:val="ParagraphStyle9"/>
              <w:rPr>
                <w:rStyle w:val="CharacterStyle9"/>
              </w:rPr>
            </w:pPr>
            <w:r>
              <w:rPr>
                <w:rStyle w:val="CharacterStyle9"/>
              </w:rPr>
              <w:t>47.550,00</w:t>
            </w:r>
          </w:p>
        </w:tc>
        <w:tc>
          <w:tcPr>
            <w:tcW w:w="1395" w:type="dxa"/>
            <w:tcBorders>
              <w:bottom w:val="single" w:sz="6" w:space="0" w:color="000000"/>
              <w:right w:val="single" w:sz="6" w:space="0" w:color="000000"/>
            </w:tcBorders>
            <w:vAlign w:val="center"/>
          </w:tcPr>
          <w:p w14:paraId="590D4ED5" w14:textId="77777777" w:rsidR="007D706A" w:rsidRDefault="007D706A" w:rsidP="00F70508">
            <w:pPr>
              <w:pStyle w:val="ParagraphStyle9"/>
              <w:rPr>
                <w:rStyle w:val="CharacterStyle9"/>
              </w:rPr>
            </w:pPr>
            <w:r>
              <w:rPr>
                <w:rStyle w:val="CharacterStyle9"/>
              </w:rPr>
              <w:t>25.000,00</w:t>
            </w:r>
          </w:p>
        </w:tc>
        <w:tc>
          <w:tcPr>
            <w:tcW w:w="1395" w:type="dxa"/>
            <w:tcBorders>
              <w:bottom w:val="single" w:sz="6" w:space="0" w:color="000000"/>
              <w:right w:val="single" w:sz="6" w:space="0" w:color="000000"/>
            </w:tcBorders>
            <w:vAlign w:val="center"/>
          </w:tcPr>
          <w:p w14:paraId="6E962315"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0CCD771" w14:textId="77777777" w:rsidR="007D706A" w:rsidRDefault="007D706A" w:rsidP="00F70508">
            <w:pPr>
              <w:pStyle w:val="ParagraphStyle9"/>
              <w:rPr>
                <w:rStyle w:val="CharacterStyle9"/>
              </w:rPr>
            </w:pPr>
            <w:r>
              <w:rPr>
                <w:rStyle w:val="CharacterStyle9"/>
              </w:rPr>
              <w:t>0,00</w:t>
            </w:r>
          </w:p>
        </w:tc>
      </w:tr>
      <w:tr w:rsidR="007D706A" w14:paraId="11B7044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DD748DB"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3712CF0D"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679E093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4D4D84D" w14:textId="77777777" w:rsidR="007D706A" w:rsidRDefault="007D706A" w:rsidP="00F70508">
            <w:pPr>
              <w:pStyle w:val="ParagraphStyle12"/>
              <w:rPr>
                <w:rStyle w:val="CharacterStyle12"/>
              </w:rPr>
            </w:pPr>
            <w:r>
              <w:rPr>
                <w:rStyle w:val="CharacterStyle12"/>
              </w:rPr>
              <w:t>47.550,00</w:t>
            </w:r>
          </w:p>
        </w:tc>
        <w:tc>
          <w:tcPr>
            <w:tcW w:w="1395" w:type="dxa"/>
            <w:tcBorders>
              <w:bottom w:val="single" w:sz="6" w:space="0" w:color="000000"/>
              <w:right w:val="single" w:sz="6" w:space="0" w:color="000000"/>
            </w:tcBorders>
            <w:vAlign w:val="center"/>
          </w:tcPr>
          <w:p w14:paraId="647AE0D4" w14:textId="77777777" w:rsidR="007D706A" w:rsidRDefault="007D706A" w:rsidP="00F70508">
            <w:pPr>
              <w:pStyle w:val="ParagraphStyle12"/>
              <w:rPr>
                <w:rStyle w:val="CharacterStyle12"/>
              </w:rPr>
            </w:pPr>
            <w:r>
              <w:rPr>
                <w:rStyle w:val="CharacterStyle12"/>
              </w:rPr>
              <w:t>25.000,00</w:t>
            </w:r>
          </w:p>
        </w:tc>
        <w:tc>
          <w:tcPr>
            <w:tcW w:w="1395" w:type="dxa"/>
            <w:tcBorders>
              <w:bottom w:val="single" w:sz="6" w:space="0" w:color="000000"/>
              <w:right w:val="single" w:sz="6" w:space="0" w:color="000000"/>
            </w:tcBorders>
            <w:vAlign w:val="center"/>
          </w:tcPr>
          <w:p w14:paraId="5910239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B3169DC" w14:textId="77777777" w:rsidR="007D706A" w:rsidRDefault="007D706A" w:rsidP="00F70508">
            <w:pPr>
              <w:pStyle w:val="ParagraphStyle12"/>
              <w:rPr>
                <w:rStyle w:val="CharacterStyle12"/>
              </w:rPr>
            </w:pPr>
            <w:r>
              <w:rPr>
                <w:rStyle w:val="CharacterStyle12"/>
              </w:rPr>
              <w:t>0,00</w:t>
            </w:r>
          </w:p>
        </w:tc>
      </w:tr>
      <w:tr w:rsidR="007D706A" w14:paraId="7DB960DF" w14:textId="77777777" w:rsidTr="00F70508">
        <w:trPr>
          <w:trHeight w:val="420"/>
        </w:trPr>
        <w:tc>
          <w:tcPr>
            <w:tcW w:w="2880" w:type="dxa"/>
            <w:tcBorders>
              <w:left w:val="single" w:sz="6" w:space="0" w:color="000000"/>
              <w:bottom w:val="single" w:sz="6" w:space="0" w:color="000000"/>
              <w:right w:val="single" w:sz="6" w:space="0" w:color="000000"/>
            </w:tcBorders>
            <w:vAlign w:val="center"/>
          </w:tcPr>
          <w:p w14:paraId="352AD13C" w14:textId="77777777" w:rsidR="007D706A" w:rsidRDefault="007D706A" w:rsidP="00F70508">
            <w:pPr>
              <w:pStyle w:val="ParagraphStyle10"/>
              <w:rPr>
                <w:rStyle w:val="CharacterStyle10"/>
              </w:rPr>
            </w:pPr>
            <w:r>
              <w:rPr>
                <w:rStyle w:val="CharacterStyle10"/>
              </w:rPr>
              <w:t>37</w:t>
            </w:r>
          </w:p>
        </w:tc>
        <w:tc>
          <w:tcPr>
            <w:tcW w:w="4995" w:type="dxa"/>
            <w:tcBorders>
              <w:bottom w:val="single" w:sz="6" w:space="0" w:color="000000"/>
              <w:right w:val="single" w:sz="6" w:space="0" w:color="000000"/>
            </w:tcBorders>
            <w:vAlign w:val="center"/>
          </w:tcPr>
          <w:p w14:paraId="46A9B74C" w14:textId="77777777" w:rsidR="007D706A" w:rsidRDefault="007D706A" w:rsidP="00F70508">
            <w:pPr>
              <w:pStyle w:val="ParagraphStyle11"/>
              <w:rPr>
                <w:rStyle w:val="CharacterStyle11"/>
              </w:rPr>
            </w:pPr>
            <w:r>
              <w:rPr>
                <w:rStyle w:val="CharacterStyle11"/>
              </w:rPr>
              <w:t>Naknade građanima i kućanstvima na temelju osiguranja i druge naknade</w:t>
            </w:r>
          </w:p>
        </w:tc>
        <w:tc>
          <w:tcPr>
            <w:tcW w:w="1395" w:type="dxa"/>
            <w:tcBorders>
              <w:bottom w:val="single" w:sz="6" w:space="0" w:color="000000"/>
              <w:right w:val="single" w:sz="6" w:space="0" w:color="000000"/>
            </w:tcBorders>
            <w:vAlign w:val="center"/>
          </w:tcPr>
          <w:p w14:paraId="77E9C9E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EF3A751" w14:textId="77777777" w:rsidR="007D706A" w:rsidRDefault="007D706A" w:rsidP="00F70508">
            <w:pPr>
              <w:pStyle w:val="ParagraphStyle12"/>
              <w:rPr>
                <w:rStyle w:val="CharacterStyle12"/>
              </w:rPr>
            </w:pPr>
            <w:r>
              <w:rPr>
                <w:rStyle w:val="CharacterStyle12"/>
              </w:rPr>
              <w:t>47.550,00</w:t>
            </w:r>
          </w:p>
        </w:tc>
        <w:tc>
          <w:tcPr>
            <w:tcW w:w="1395" w:type="dxa"/>
            <w:tcBorders>
              <w:bottom w:val="single" w:sz="6" w:space="0" w:color="000000"/>
              <w:right w:val="single" w:sz="6" w:space="0" w:color="000000"/>
            </w:tcBorders>
            <w:vAlign w:val="center"/>
          </w:tcPr>
          <w:p w14:paraId="4466A6C4" w14:textId="77777777" w:rsidR="007D706A" w:rsidRDefault="007D706A" w:rsidP="00F70508">
            <w:pPr>
              <w:pStyle w:val="ParagraphStyle12"/>
              <w:rPr>
                <w:rStyle w:val="CharacterStyle12"/>
              </w:rPr>
            </w:pPr>
            <w:r>
              <w:rPr>
                <w:rStyle w:val="CharacterStyle12"/>
              </w:rPr>
              <w:t>25.000,00</w:t>
            </w:r>
          </w:p>
        </w:tc>
        <w:tc>
          <w:tcPr>
            <w:tcW w:w="1395" w:type="dxa"/>
            <w:tcBorders>
              <w:bottom w:val="single" w:sz="6" w:space="0" w:color="000000"/>
              <w:right w:val="single" w:sz="6" w:space="0" w:color="000000"/>
            </w:tcBorders>
            <w:vAlign w:val="center"/>
          </w:tcPr>
          <w:p w14:paraId="31188CF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5E49874" w14:textId="77777777" w:rsidR="007D706A" w:rsidRDefault="007D706A" w:rsidP="00F70508">
            <w:pPr>
              <w:pStyle w:val="ParagraphStyle12"/>
              <w:rPr>
                <w:rStyle w:val="CharacterStyle12"/>
              </w:rPr>
            </w:pPr>
            <w:r>
              <w:rPr>
                <w:rStyle w:val="CharacterStyle12"/>
              </w:rPr>
              <w:t>0,00</w:t>
            </w:r>
          </w:p>
        </w:tc>
      </w:tr>
      <w:tr w:rsidR="007D706A" w14:paraId="675756F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BC636D5" w14:textId="77777777" w:rsidR="007D706A" w:rsidRDefault="007D706A" w:rsidP="00F70508">
            <w:pPr>
              <w:pStyle w:val="ParagraphStyle4"/>
              <w:rPr>
                <w:rStyle w:val="CharacterStyle4"/>
              </w:rPr>
            </w:pPr>
            <w:r>
              <w:rPr>
                <w:rStyle w:val="CharacterStyle4"/>
              </w:rPr>
              <w:t>GLAVA    00702</w:t>
            </w:r>
          </w:p>
        </w:tc>
        <w:tc>
          <w:tcPr>
            <w:tcW w:w="4995" w:type="dxa"/>
            <w:tcBorders>
              <w:bottom w:val="single" w:sz="6" w:space="0" w:color="000000"/>
              <w:right w:val="single" w:sz="6" w:space="0" w:color="000000"/>
            </w:tcBorders>
            <w:vAlign w:val="center"/>
          </w:tcPr>
          <w:p w14:paraId="0E3271E8" w14:textId="77777777" w:rsidR="007D706A" w:rsidRDefault="007D706A" w:rsidP="00F70508">
            <w:pPr>
              <w:pStyle w:val="ParagraphStyle5"/>
              <w:rPr>
                <w:rStyle w:val="CharacterStyle5"/>
              </w:rPr>
            </w:pPr>
            <w:r>
              <w:rPr>
                <w:rStyle w:val="CharacterStyle5"/>
              </w:rPr>
              <w:t>DJEČJI VRTIĆI</w:t>
            </w:r>
          </w:p>
        </w:tc>
        <w:tc>
          <w:tcPr>
            <w:tcW w:w="1395" w:type="dxa"/>
            <w:tcBorders>
              <w:bottom w:val="single" w:sz="6" w:space="0" w:color="000000"/>
              <w:right w:val="single" w:sz="6" w:space="0" w:color="000000"/>
            </w:tcBorders>
            <w:vAlign w:val="center"/>
          </w:tcPr>
          <w:p w14:paraId="404893AB"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3B55DE6A" w14:textId="77777777" w:rsidR="007D706A" w:rsidRDefault="007D706A" w:rsidP="00F70508">
            <w:pPr>
              <w:pStyle w:val="ParagraphStyle6"/>
              <w:rPr>
                <w:rStyle w:val="CharacterStyle6"/>
              </w:rPr>
            </w:pPr>
            <w:r>
              <w:rPr>
                <w:rStyle w:val="CharacterStyle6"/>
              </w:rPr>
              <w:t>6.403.786,00</w:t>
            </w:r>
          </w:p>
        </w:tc>
        <w:tc>
          <w:tcPr>
            <w:tcW w:w="1395" w:type="dxa"/>
            <w:tcBorders>
              <w:bottom w:val="single" w:sz="6" w:space="0" w:color="000000"/>
              <w:right w:val="single" w:sz="6" w:space="0" w:color="000000"/>
            </w:tcBorders>
            <w:vAlign w:val="center"/>
          </w:tcPr>
          <w:p w14:paraId="6842536F" w14:textId="77777777" w:rsidR="007D706A" w:rsidRDefault="007D706A" w:rsidP="00F70508">
            <w:pPr>
              <w:pStyle w:val="ParagraphStyle6"/>
              <w:rPr>
                <w:rStyle w:val="CharacterStyle6"/>
              </w:rPr>
            </w:pPr>
            <w:r>
              <w:rPr>
                <w:rStyle w:val="CharacterStyle6"/>
              </w:rPr>
              <w:t>6.563.005,00</w:t>
            </w:r>
          </w:p>
        </w:tc>
        <w:tc>
          <w:tcPr>
            <w:tcW w:w="1395" w:type="dxa"/>
            <w:tcBorders>
              <w:bottom w:val="single" w:sz="6" w:space="0" w:color="000000"/>
              <w:right w:val="single" w:sz="6" w:space="0" w:color="000000"/>
            </w:tcBorders>
            <w:vAlign w:val="center"/>
          </w:tcPr>
          <w:p w14:paraId="5387BBBD" w14:textId="77777777" w:rsidR="007D706A" w:rsidRDefault="007D706A" w:rsidP="00F70508">
            <w:pPr>
              <w:pStyle w:val="ParagraphStyle6"/>
              <w:rPr>
                <w:rStyle w:val="CharacterStyle6"/>
              </w:rPr>
            </w:pPr>
            <w:r>
              <w:rPr>
                <w:rStyle w:val="CharacterStyle6"/>
              </w:rPr>
              <w:t>6.772.910,00</w:t>
            </w:r>
          </w:p>
        </w:tc>
        <w:tc>
          <w:tcPr>
            <w:tcW w:w="1395" w:type="dxa"/>
            <w:tcBorders>
              <w:bottom w:val="single" w:sz="6" w:space="0" w:color="000000"/>
              <w:right w:val="single" w:sz="6" w:space="0" w:color="000000"/>
            </w:tcBorders>
            <w:vAlign w:val="center"/>
          </w:tcPr>
          <w:p w14:paraId="193A2983" w14:textId="77777777" w:rsidR="007D706A" w:rsidRDefault="007D706A" w:rsidP="00F70508">
            <w:pPr>
              <w:pStyle w:val="ParagraphStyle6"/>
              <w:rPr>
                <w:rStyle w:val="CharacterStyle6"/>
              </w:rPr>
            </w:pPr>
            <w:r>
              <w:rPr>
                <w:rStyle w:val="CharacterStyle6"/>
              </w:rPr>
              <w:t>6.841.266,00</w:t>
            </w:r>
          </w:p>
        </w:tc>
      </w:tr>
      <w:tr w:rsidR="007D706A" w14:paraId="7FE01F3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CB0FDEE" w14:textId="77777777" w:rsidR="007D706A" w:rsidRDefault="007D706A" w:rsidP="00F70508">
            <w:pPr>
              <w:pStyle w:val="ParagraphStyle4"/>
              <w:rPr>
                <w:rStyle w:val="CharacterStyle4"/>
              </w:rPr>
            </w:pPr>
            <w:r>
              <w:rPr>
                <w:rStyle w:val="CharacterStyle4"/>
              </w:rPr>
              <w:t>Izvor financiranja 11</w:t>
            </w:r>
          </w:p>
        </w:tc>
        <w:tc>
          <w:tcPr>
            <w:tcW w:w="4995" w:type="dxa"/>
            <w:tcBorders>
              <w:bottom w:val="single" w:sz="6" w:space="0" w:color="000000"/>
              <w:right w:val="single" w:sz="6" w:space="0" w:color="000000"/>
            </w:tcBorders>
            <w:vAlign w:val="center"/>
          </w:tcPr>
          <w:p w14:paraId="4D0A5B04" w14:textId="77777777" w:rsidR="007D706A" w:rsidRDefault="007D706A" w:rsidP="00F70508">
            <w:pPr>
              <w:pStyle w:val="ParagraphStyle5"/>
              <w:rPr>
                <w:rStyle w:val="CharacterStyle5"/>
              </w:rPr>
            </w:pPr>
            <w:r>
              <w:rPr>
                <w:rStyle w:val="CharacterStyle5"/>
              </w:rPr>
              <w:t>Opći prihodi i primici</w:t>
            </w:r>
          </w:p>
        </w:tc>
        <w:tc>
          <w:tcPr>
            <w:tcW w:w="1395" w:type="dxa"/>
            <w:tcBorders>
              <w:bottom w:val="single" w:sz="6" w:space="0" w:color="000000"/>
              <w:right w:val="single" w:sz="6" w:space="0" w:color="000000"/>
            </w:tcBorders>
            <w:vAlign w:val="center"/>
          </w:tcPr>
          <w:p w14:paraId="21529434"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780C4A02" w14:textId="77777777" w:rsidR="007D706A" w:rsidRDefault="007D706A" w:rsidP="00F70508">
            <w:pPr>
              <w:pStyle w:val="ParagraphStyle6"/>
              <w:rPr>
                <w:rStyle w:val="CharacterStyle6"/>
              </w:rPr>
            </w:pPr>
            <w:r>
              <w:rPr>
                <w:rStyle w:val="CharacterStyle6"/>
              </w:rPr>
              <w:t>4.437.240,10</w:t>
            </w:r>
          </w:p>
        </w:tc>
        <w:tc>
          <w:tcPr>
            <w:tcW w:w="1395" w:type="dxa"/>
            <w:tcBorders>
              <w:bottom w:val="single" w:sz="6" w:space="0" w:color="000000"/>
              <w:right w:val="single" w:sz="6" w:space="0" w:color="000000"/>
            </w:tcBorders>
            <w:vAlign w:val="center"/>
          </w:tcPr>
          <w:p w14:paraId="0A8014A2" w14:textId="77777777" w:rsidR="007D706A" w:rsidRDefault="007D706A" w:rsidP="00F70508">
            <w:pPr>
              <w:pStyle w:val="ParagraphStyle6"/>
              <w:rPr>
                <w:rStyle w:val="CharacterStyle6"/>
              </w:rPr>
            </w:pPr>
            <w:r>
              <w:rPr>
                <w:rStyle w:val="CharacterStyle6"/>
              </w:rPr>
              <w:t>4.642.264,00</w:t>
            </w:r>
          </w:p>
        </w:tc>
        <w:tc>
          <w:tcPr>
            <w:tcW w:w="1395" w:type="dxa"/>
            <w:tcBorders>
              <w:bottom w:val="single" w:sz="6" w:space="0" w:color="000000"/>
              <w:right w:val="single" w:sz="6" w:space="0" w:color="000000"/>
            </w:tcBorders>
            <w:vAlign w:val="center"/>
          </w:tcPr>
          <w:p w14:paraId="6EA43F86" w14:textId="77777777" w:rsidR="007D706A" w:rsidRDefault="007D706A" w:rsidP="00F70508">
            <w:pPr>
              <w:pStyle w:val="ParagraphStyle6"/>
              <w:rPr>
                <w:rStyle w:val="CharacterStyle6"/>
              </w:rPr>
            </w:pPr>
            <w:r>
              <w:rPr>
                <w:rStyle w:val="CharacterStyle6"/>
              </w:rPr>
              <w:t>4.993.390,00</w:t>
            </w:r>
          </w:p>
        </w:tc>
        <w:tc>
          <w:tcPr>
            <w:tcW w:w="1395" w:type="dxa"/>
            <w:tcBorders>
              <w:bottom w:val="single" w:sz="6" w:space="0" w:color="000000"/>
              <w:right w:val="single" w:sz="6" w:space="0" w:color="000000"/>
            </w:tcBorders>
            <w:vAlign w:val="center"/>
          </w:tcPr>
          <w:p w14:paraId="2E25EC1F" w14:textId="77777777" w:rsidR="007D706A" w:rsidRDefault="007D706A" w:rsidP="00F70508">
            <w:pPr>
              <w:pStyle w:val="ParagraphStyle6"/>
              <w:rPr>
                <w:rStyle w:val="CharacterStyle6"/>
              </w:rPr>
            </w:pPr>
            <w:r>
              <w:rPr>
                <w:rStyle w:val="CharacterStyle6"/>
              </w:rPr>
              <w:t>5.043.070,00</w:t>
            </w:r>
          </w:p>
        </w:tc>
      </w:tr>
      <w:tr w:rsidR="007D706A" w14:paraId="4D238A5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41AD63A" w14:textId="77777777" w:rsidR="007D706A" w:rsidRDefault="007D706A" w:rsidP="00F70508">
            <w:pPr>
              <w:pStyle w:val="ParagraphStyle4"/>
              <w:rPr>
                <w:rStyle w:val="CharacterStyle4"/>
              </w:rPr>
            </w:pPr>
            <w:r>
              <w:rPr>
                <w:rStyle w:val="CharacterStyle4"/>
              </w:rPr>
              <w:t>Izvor financiranja 31</w:t>
            </w:r>
          </w:p>
        </w:tc>
        <w:tc>
          <w:tcPr>
            <w:tcW w:w="4995" w:type="dxa"/>
            <w:tcBorders>
              <w:bottom w:val="single" w:sz="6" w:space="0" w:color="000000"/>
              <w:right w:val="single" w:sz="6" w:space="0" w:color="000000"/>
            </w:tcBorders>
            <w:vAlign w:val="center"/>
          </w:tcPr>
          <w:p w14:paraId="2499471D" w14:textId="77777777" w:rsidR="007D706A" w:rsidRDefault="007D706A" w:rsidP="00F70508">
            <w:pPr>
              <w:pStyle w:val="ParagraphStyle5"/>
              <w:rPr>
                <w:rStyle w:val="CharacterStyle5"/>
              </w:rPr>
            </w:pPr>
            <w:r>
              <w:rPr>
                <w:rStyle w:val="CharacterStyle5"/>
              </w:rPr>
              <w:t>Vlastiti prihodi</w:t>
            </w:r>
          </w:p>
        </w:tc>
        <w:tc>
          <w:tcPr>
            <w:tcW w:w="1395" w:type="dxa"/>
            <w:tcBorders>
              <w:bottom w:val="single" w:sz="6" w:space="0" w:color="000000"/>
              <w:right w:val="single" w:sz="6" w:space="0" w:color="000000"/>
            </w:tcBorders>
            <w:vAlign w:val="center"/>
          </w:tcPr>
          <w:p w14:paraId="2749E76C"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593FE370" w14:textId="77777777" w:rsidR="007D706A" w:rsidRDefault="007D706A" w:rsidP="00F70508">
            <w:pPr>
              <w:pStyle w:val="ParagraphStyle6"/>
              <w:rPr>
                <w:rStyle w:val="CharacterStyle6"/>
              </w:rPr>
            </w:pPr>
            <w:r>
              <w:rPr>
                <w:rStyle w:val="CharacterStyle6"/>
              </w:rPr>
              <w:t>21.380,00</w:t>
            </w:r>
          </w:p>
        </w:tc>
        <w:tc>
          <w:tcPr>
            <w:tcW w:w="1395" w:type="dxa"/>
            <w:tcBorders>
              <w:bottom w:val="single" w:sz="6" w:space="0" w:color="000000"/>
              <w:right w:val="single" w:sz="6" w:space="0" w:color="000000"/>
            </w:tcBorders>
            <w:vAlign w:val="center"/>
          </w:tcPr>
          <w:p w14:paraId="03052B4A" w14:textId="77777777" w:rsidR="007D706A" w:rsidRDefault="007D706A" w:rsidP="00F70508">
            <w:pPr>
              <w:pStyle w:val="ParagraphStyle6"/>
              <w:rPr>
                <w:rStyle w:val="CharacterStyle6"/>
              </w:rPr>
            </w:pPr>
            <w:r>
              <w:rPr>
                <w:rStyle w:val="CharacterStyle6"/>
              </w:rPr>
              <w:t>26.680,00</w:t>
            </w:r>
          </w:p>
        </w:tc>
        <w:tc>
          <w:tcPr>
            <w:tcW w:w="1395" w:type="dxa"/>
            <w:tcBorders>
              <w:bottom w:val="single" w:sz="6" w:space="0" w:color="000000"/>
              <w:right w:val="single" w:sz="6" w:space="0" w:color="000000"/>
            </w:tcBorders>
            <w:vAlign w:val="center"/>
          </w:tcPr>
          <w:p w14:paraId="785A6310" w14:textId="77777777" w:rsidR="007D706A" w:rsidRDefault="007D706A" w:rsidP="00F70508">
            <w:pPr>
              <w:pStyle w:val="ParagraphStyle6"/>
              <w:rPr>
                <w:rStyle w:val="CharacterStyle6"/>
              </w:rPr>
            </w:pPr>
            <w:r>
              <w:rPr>
                <w:rStyle w:val="CharacterStyle6"/>
              </w:rPr>
              <w:t>27.712,00</w:t>
            </w:r>
          </w:p>
        </w:tc>
        <w:tc>
          <w:tcPr>
            <w:tcW w:w="1395" w:type="dxa"/>
            <w:tcBorders>
              <w:bottom w:val="single" w:sz="6" w:space="0" w:color="000000"/>
              <w:right w:val="single" w:sz="6" w:space="0" w:color="000000"/>
            </w:tcBorders>
            <w:vAlign w:val="center"/>
          </w:tcPr>
          <w:p w14:paraId="3E974AF6" w14:textId="77777777" w:rsidR="007D706A" w:rsidRDefault="007D706A" w:rsidP="00F70508">
            <w:pPr>
              <w:pStyle w:val="ParagraphStyle6"/>
              <w:rPr>
                <w:rStyle w:val="CharacterStyle6"/>
              </w:rPr>
            </w:pPr>
            <w:r>
              <w:rPr>
                <w:rStyle w:val="CharacterStyle6"/>
              </w:rPr>
              <w:t>28.020,00</w:t>
            </w:r>
          </w:p>
        </w:tc>
      </w:tr>
      <w:tr w:rsidR="007D706A" w14:paraId="51461AC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7803188" w14:textId="77777777" w:rsidR="007D706A" w:rsidRDefault="007D706A" w:rsidP="00F70508">
            <w:pPr>
              <w:pStyle w:val="ParagraphStyle4"/>
              <w:rPr>
                <w:rStyle w:val="CharacterStyle4"/>
              </w:rPr>
            </w:pPr>
            <w:r>
              <w:rPr>
                <w:rStyle w:val="CharacterStyle4"/>
              </w:rPr>
              <w:t>Izvor financiranja 41</w:t>
            </w:r>
          </w:p>
        </w:tc>
        <w:tc>
          <w:tcPr>
            <w:tcW w:w="4995" w:type="dxa"/>
            <w:tcBorders>
              <w:bottom w:val="single" w:sz="6" w:space="0" w:color="000000"/>
              <w:right w:val="single" w:sz="6" w:space="0" w:color="000000"/>
            </w:tcBorders>
            <w:vAlign w:val="center"/>
          </w:tcPr>
          <w:p w14:paraId="3BF91223" w14:textId="77777777" w:rsidR="007D706A" w:rsidRDefault="007D706A" w:rsidP="00F70508">
            <w:pPr>
              <w:pStyle w:val="ParagraphStyle5"/>
              <w:rPr>
                <w:rStyle w:val="CharacterStyle5"/>
              </w:rPr>
            </w:pPr>
            <w:r>
              <w:rPr>
                <w:rStyle w:val="CharacterStyle5"/>
              </w:rPr>
              <w:t>Prihodi za posebne namjene</w:t>
            </w:r>
          </w:p>
        </w:tc>
        <w:tc>
          <w:tcPr>
            <w:tcW w:w="1395" w:type="dxa"/>
            <w:tcBorders>
              <w:bottom w:val="single" w:sz="6" w:space="0" w:color="000000"/>
              <w:right w:val="single" w:sz="6" w:space="0" w:color="000000"/>
            </w:tcBorders>
            <w:vAlign w:val="center"/>
          </w:tcPr>
          <w:p w14:paraId="5D39997C"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05C222E9" w14:textId="77777777" w:rsidR="007D706A" w:rsidRDefault="007D706A" w:rsidP="00F70508">
            <w:pPr>
              <w:pStyle w:val="ParagraphStyle6"/>
              <w:rPr>
                <w:rStyle w:val="CharacterStyle6"/>
              </w:rPr>
            </w:pPr>
            <w:r>
              <w:rPr>
                <w:rStyle w:val="CharacterStyle6"/>
              </w:rPr>
              <w:t>782.814,00</w:t>
            </w:r>
          </w:p>
        </w:tc>
        <w:tc>
          <w:tcPr>
            <w:tcW w:w="1395" w:type="dxa"/>
            <w:tcBorders>
              <w:bottom w:val="single" w:sz="6" w:space="0" w:color="000000"/>
              <w:right w:val="single" w:sz="6" w:space="0" w:color="000000"/>
            </w:tcBorders>
            <w:vAlign w:val="center"/>
          </w:tcPr>
          <w:p w14:paraId="03C1F79A"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43446FD7"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33835AFB" w14:textId="77777777" w:rsidR="007D706A" w:rsidRDefault="007D706A" w:rsidP="00F70508">
            <w:pPr>
              <w:pStyle w:val="ParagraphStyle6"/>
              <w:rPr>
                <w:rStyle w:val="CharacterStyle6"/>
              </w:rPr>
            </w:pPr>
            <w:r>
              <w:rPr>
                <w:rStyle w:val="CharacterStyle6"/>
              </w:rPr>
              <w:t>0,00</w:t>
            </w:r>
          </w:p>
        </w:tc>
      </w:tr>
      <w:tr w:rsidR="007D706A" w14:paraId="25EB139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97E756D" w14:textId="77777777" w:rsidR="007D706A" w:rsidRDefault="007D706A" w:rsidP="00F70508">
            <w:pPr>
              <w:pStyle w:val="ParagraphStyle4"/>
              <w:rPr>
                <w:rStyle w:val="CharacterStyle4"/>
              </w:rPr>
            </w:pPr>
            <w:r>
              <w:rPr>
                <w:rStyle w:val="CharacterStyle4"/>
              </w:rPr>
              <w:t>Izvor financiranja 43</w:t>
            </w:r>
          </w:p>
        </w:tc>
        <w:tc>
          <w:tcPr>
            <w:tcW w:w="4995" w:type="dxa"/>
            <w:tcBorders>
              <w:bottom w:val="single" w:sz="6" w:space="0" w:color="000000"/>
              <w:right w:val="single" w:sz="6" w:space="0" w:color="000000"/>
            </w:tcBorders>
            <w:vAlign w:val="center"/>
          </w:tcPr>
          <w:p w14:paraId="536B995C" w14:textId="77777777" w:rsidR="007D706A" w:rsidRDefault="007D706A" w:rsidP="00F70508">
            <w:pPr>
              <w:pStyle w:val="ParagraphStyle5"/>
              <w:rPr>
                <w:rStyle w:val="CharacterStyle5"/>
              </w:rPr>
            </w:pPr>
            <w:r>
              <w:rPr>
                <w:rStyle w:val="CharacterStyle5"/>
              </w:rPr>
              <w:t>Ostali prihodi za posebne namjene</w:t>
            </w:r>
          </w:p>
        </w:tc>
        <w:tc>
          <w:tcPr>
            <w:tcW w:w="1395" w:type="dxa"/>
            <w:tcBorders>
              <w:bottom w:val="single" w:sz="6" w:space="0" w:color="000000"/>
              <w:right w:val="single" w:sz="6" w:space="0" w:color="000000"/>
            </w:tcBorders>
            <w:vAlign w:val="center"/>
          </w:tcPr>
          <w:p w14:paraId="61E73231"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7D7D5E7C"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4D9EAF56" w14:textId="77777777" w:rsidR="007D706A" w:rsidRDefault="007D706A" w:rsidP="00F70508">
            <w:pPr>
              <w:pStyle w:val="ParagraphStyle6"/>
              <w:rPr>
                <w:rStyle w:val="CharacterStyle6"/>
              </w:rPr>
            </w:pPr>
            <w:r>
              <w:rPr>
                <w:rStyle w:val="CharacterStyle6"/>
              </w:rPr>
              <w:t>735.514,00</w:t>
            </w:r>
          </w:p>
        </w:tc>
        <w:tc>
          <w:tcPr>
            <w:tcW w:w="1395" w:type="dxa"/>
            <w:tcBorders>
              <w:bottom w:val="single" w:sz="6" w:space="0" w:color="000000"/>
              <w:right w:val="single" w:sz="6" w:space="0" w:color="000000"/>
            </w:tcBorders>
            <w:vAlign w:val="center"/>
          </w:tcPr>
          <w:p w14:paraId="5BB94C7C" w14:textId="77777777" w:rsidR="007D706A" w:rsidRDefault="007D706A" w:rsidP="00F70508">
            <w:pPr>
              <w:pStyle w:val="ParagraphStyle6"/>
              <w:rPr>
                <w:rStyle w:val="CharacterStyle6"/>
              </w:rPr>
            </w:pPr>
            <w:r>
              <w:rPr>
                <w:rStyle w:val="CharacterStyle6"/>
              </w:rPr>
              <w:t>747.094,00</w:t>
            </w:r>
          </w:p>
        </w:tc>
        <w:tc>
          <w:tcPr>
            <w:tcW w:w="1395" w:type="dxa"/>
            <w:tcBorders>
              <w:bottom w:val="single" w:sz="6" w:space="0" w:color="000000"/>
              <w:right w:val="single" w:sz="6" w:space="0" w:color="000000"/>
            </w:tcBorders>
            <w:vAlign w:val="center"/>
          </w:tcPr>
          <w:p w14:paraId="6EB80D82" w14:textId="77777777" w:rsidR="007D706A" w:rsidRDefault="007D706A" w:rsidP="00F70508">
            <w:pPr>
              <w:pStyle w:val="ParagraphStyle6"/>
              <w:rPr>
                <w:rStyle w:val="CharacterStyle6"/>
              </w:rPr>
            </w:pPr>
            <w:r>
              <w:rPr>
                <w:rStyle w:val="CharacterStyle6"/>
              </w:rPr>
              <w:t>755.055,00</w:t>
            </w:r>
          </w:p>
        </w:tc>
      </w:tr>
      <w:tr w:rsidR="007D706A" w14:paraId="5871F93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65C2A5A" w14:textId="77777777" w:rsidR="007D706A" w:rsidRDefault="007D706A" w:rsidP="00F70508">
            <w:pPr>
              <w:pStyle w:val="ParagraphStyle4"/>
              <w:rPr>
                <w:rStyle w:val="CharacterStyle4"/>
              </w:rPr>
            </w:pPr>
            <w:r>
              <w:rPr>
                <w:rStyle w:val="CharacterStyle4"/>
              </w:rPr>
              <w:t>Izvor financiranja 5</w:t>
            </w:r>
          </w:p>
        </w:tc>
        <w:tc>
          <w:tcPr>
            <w:tcW w:w="4995" w:type="dxa"/>
            <w:tcBorders>
              <w:bottom w:val="single" w:sz="6" w:space="0" w:color="000000"/>
              <w:right w:val="single" w:sz="6" w:space="0" w:color="000000"/>
            </w:tcBorders>
            <w:vAlign w:val="center"/>
          </w:tcPr>
          <w:p w14:paraId="58D1A100" w14:textId="77777777" w:rsidR="007D706A" w:rsidRDefault="007D706A" w:rsidP="00F70508">
            <w:pPr>
              <w:pStyle w:val="ParagraphStyle5"/>
              <w:rPr>
                <w:rStyle w:val="CharacterStyle5"/>
              </w:rPr>
            </w:pPr>
            <w:r>
              <w:rPr>
                <w:rStyle w:val="CharacterStyle5"/>
              </w:rPr>
              <w:t>POMOĆI</w:t>
            </w:r>
          </w:p>
        </w:tc>
        <w:tc>
          <w:tcPr>
            <w:tcW w:w="1395" w:type="dxa"/>
            <w:tcBorders>
              <w:bottom w:val="single" w:sz="6" w:space="0" w:color="000000"/>
              <w:right w:val="single" w:sz="6" w:space="0" w:color="000000"/>
            </w:tcBorders>
            <w:vAlign w:val="center"/>
          </w:tcPr>
          <w:p w14:paraId="7D1A62D3"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784E3315"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6B0AA556" w14:textId="77777777" w:rsidR="007D706A" w:rsidRDefault="007D706A" w:rsidP="00F70508">
            <w:pPr>
              <w:pStyle w:val="ParagraphStyle6"/>
              <w:rPr>
                <w:rStyle w:val="CharacterStyle6"/>
              </w:rPr>
            </w:pPr>
            <w:r>
              <w:rPr>
                <w:rStyle w:val="CharacterStyle6"/>
              </w:rPr>
              <w:t>948.937,00</w:t>
            </w:r>
          </w:p>
        </w:tc>
        <w:tc>
          <w:tcPr>
            <w:tcW w:w="1395" w:type="dxa"/>
            <w:tcBorders>
              <w:bottom w:val="single" w:sz="6" w:space="0" w:color="000000"/>
              <w:right w:val="single" w:sz="6" w:space="0" w:color="000000"/>
            </w:tcBorders>
            <w:vAlign w:val="center"/>
          </w:tcPr>
          <w:p w14:paraId="1275C610" w14:textId="77777777" w:rsidR="007D706A" w:rsidRDefault="007D706A" w:rsidP="00F70508">
            <w:pPr>
              <w:pStyle w:val="ParagraphStyle6"/>
              <w:rPr>
                <w:rStyle w:val="CharacterStyle6"/>
              </w:rPr>
            </w:pPr>
            <w:r>
              <w:rPr>
                <w:rStyle w:val="CharacterStyle6"/>
              </w:rPr>
              <w:t>954.108,00</w:t>
            </w:r>
          </w:p>
        </w:tc>
        <w:tc>
          <w:tcPr>
            <w:tcW w:w="1395" w:type="dxa"/>
            <w:tcBorders>
              <w:bottom w:val="single" w:sz="6" w:space="0" w:color="000000"/>
              <w:right w:val="single" w:sz="6" w:space="0" w:color="000000"/>
            </w:tcBorders>
            <w:vAlign w:val="center"/>
          </w:tcPr>
          <w:p w14:paraId="4B3C03FE" w14:textId="77777777" w:rsidR="007D706A" w:rsidRDefault="007D706A" w:rsidP="00F70508">
            <w:pPr>
              <w:pStyle w:val="ParagraphStyle6"/>
              <w:rPr>
                <w:rStyle w:val="CharacterStyle6"/>
              </w:rPr>
            </w:pPr>
            <w:r>
              <w:rPr>
                <w:rStyle w:val="CharacterStyle6"/>
              </w:rPr>
              <w:t>964.500,00</w:t>
            </w:r>
          </w:p>
        </w:tc>
      </w:tr>
      <w:tr w:rsidR="007D706A" w14:paraId="26A8AEE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773B4CA" w14:textId="77777777" w:rsidR="007D706A" w:rsidRDefault="007D706A" w:rsidP="00F70508">
            <w:pPr>
              <w:pStyle w:val="ParagraphStyle4"/>
              <w:rPr>
                <w:rStyle w:val="CharacterStyle4"/>
              </w:rPr>
            </w:pPr>
            <w:r>
              <w:rPr>
                <w:rStyle w:val="CharacterStyle4"/>
              </w:rPr>
              <w:t>Izvor financiranja 50</w:t>
            </w:r>
          </w:p>
        </w:tc>
        <w:tc>
          <w:tcPr>
            <w:tcW w:w="4995" w:type="dxa"/>
            <w:tcBorders>
              <w:bottom w:val="single" w:sz="6" w:space="0" w:color="000000"/>
              <w:right w:val="single" w:sz="6" w:space="0" w:color="000000"/>
            </w:tcBorders>
            <w:vAlign w:val="center"/>
          </w:tcPr>
          <w:p w14:paraId="1CEB6720" w14:textId="77777777" w:rsidR="007D706A" w:rsidRDefault="007D706A" w:rsidP="00F70508">
            <w:pPr>
              <w:pStyle w:val="ParagraphStyle5"/>
              <w:rPr>
                <w:rStyle w:val="CharacterStyle5"/>
              </w:rPr>
            </w:pPr>
            <w:r>
              <w:rPr>
                <w:rStyle w:val="CharacterStyle5"/>
              </w:rPr>
              <w:t>Pomoći iz državnog proračuna</w:t>
            </w:r>
          </w:p>
        </w:tc>
        <w:tc>
          <w:tcPr>
            <w:tcW w:w="1395" w:type="dxa"/>
            <w:tcBorders>
              <w:bottom w:val="single" w:sz="6" w:space="0" w:color="000000"/>
              <w:right w:val="single" w:sz="6" w:space="0" w:color="000000"/>
            </w:tcBorders>
            <w:vAlign w:val="center"/>
          </w:tcPr>
          <w:p w14:paraId="0DE003E1"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66018CA1"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647CD7AD" w14:textId="77777777" w:rsidR="007D706A" w:rsidRDefault="007D706A" w:rsidP="00F70508">
            <w:pPr>
              <w:pStyle w:val="ParagraphStyle6"/>
              <w:rPr>
                <w:rStyle w:val="CharacterStyle6"/>
              </w:rPr>
            </w:pPr>
            <w:r>
              <w:rPr>
                <w:rStyle w:val="CharacterStyle6"/>
              </w:rPr>
              <w:t>197.614,00</w:t>
            </w:r>
          </w:p>
        </w:tc>
        <w:tc>
          <w:tcPr>
            <w:tcW w:w="1395" w:type="dxa"/>
            <w:tcBorders>
              <w:bottom w:val="single" w:sz="6" w:space="0" w:color="000000"/>
              <w:right w:val="single" w:sz="6" w:space="0" w:color="000000"/>
            </w:tcBorders>
            <w:vAlign w:val="center"/>
          </w:tcPr>
          <w:p w14:paraId="246AE3DD" w14:textId="77777777" w:rsidR="007D706A" w:rsidRDefault="007D706A" w:rsidP="00F70508">
            <w:pPr>
              <w:pStyle w:val="ParagraphStyle6"/>
              <w:rPr>
                <w:rStyle w:val="CharacterStyle6"/>
              </w:rPr>
            </w:pPr>
            <w:r>
              <w:rPr>
                <w:rStyle w:val="CharacterStyle6"/>
              </w:rPr>
              <w:t>38.610,00</w:t>
            </w:r>
          </w:p>
        </w:tc>
        <w:tc>
          <w:tcPr>
            <w:tcW w:w="1395" w:type="dxa"/>
            <w:tcBorders>
              <w:bottom w:val="single" w:sz="6" w:space="0" w:color="000000"/>
              <w:right w:val="single" w:sz="6" w:space="0" w:color="000000"/>
            </w:tcBorders>
            <w:vAlign w:val="center"/>
          </w:tcPr>
          <w:p w14:paraId="33B44ADC" w14:textId="77777777" w:rsidR="007D706A" w:rsidRDefault="007D706A" w:rsidP="00F70508">
            <w:pPr>
              <w:pStyle w:val="ParagraphStyle6"/>
              <w:rPr>
                <w:rStyle w:val="CharacterStyle6"/>
              </w:rPr>
            </w:pPr>
            <w:r>
              <w:rPr>
                <w:rStyle w:val="CharacterStyle6"/>
              </w:rPr>
              <w:t>38.610,00</w:t>
            </w:r>
          </w:p>
        </w:tc>
      </w:tr>
      <w:tr w:rsidR="007D706A" w14:paraId="0205013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04A39EB" w14:textId="77777777" w:rsidR="007D706A" w:rsidRDefault="007D706A" w:rsidP="00F70508">
            <w:pPr>
              <w:pStyle w:val="ParagraphStyle4"/>
              <w:rPr>
                <w:rStyle w:val="CharacterStyle4"/>
              </w:rPr>
            </w:pPr>
            <w:r>
              <w:rPr>
                <w:rStyle w:val="CharacterStyle4"/>
              </w:rPr>
              <w:t>Izvor financiranja 52</w:t>
            </w:r>
          </w:p>
        </w:tc>
        <w:tc>
          <w:tcPr>
            <w:tcW w:w="4995" w:type="dxa"/>
            <w:tcBorders>
              <w:bottom w:val="single" w:sz="6" w:space="0" w:color="000000"/>
              <w:right w:val="single" w:sz="6" w:space="0" w:color="000000"/>
            </w:tcBorders>
            <w:vAlign w:val="center"/>
          </w:tcPr>
          <w:p w14:paraId="2A9CC516" w14:textId="77777777" w:rsidR="007D706A" w:rsidRDefault="007D706A" w:rsidP="00F70508">
            <w:pPr>
              <w:pStyle w:val="ParagraphStyle5"/>
              <w:rPr>
                <w:rStyle w:val="CharacterStyle5"/>
              </w:rPr>
            </w:pPr>
            <w:r>
              <w:rPr>
                <w:rStyle w:val="CharacterStyle5"/>
              </w:rPr>
              <w:t>Ostale pomoći</w:t>
            </w:r>
          </w:p>
        </w:tc>
        <w:tc>
          <w:tcPr>
            <w:tcW w:w="1395" w:type="dxa"/>
            <w:tcBorders>
              <w:bottom w:val="single" w:sz="6" w:space="0" w:color="000000"/>
              <w:right w:val="single" w:sz="6" w:space="0" w:color="000000"/>
            </w:tcBorders>
            <w:vAlign w:val="center"/>
          </w:tcPr>
          <w:p w14:paraId="5B41B93A"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036BD6EB" w14:textId="77777777" w:rsidR="007D706A" w:rsidRDefault="007D706A" w:rsidP="00F70508">
            <w:pPr>
              <w:pStyle w:val="ParagraphStyle6"/>
              <w:rPr>
                <w:rStyle w:val="CharacterStyle6"/>
              </w:rPr>
            </w:pPr>
            <w:r>
              <w:rPr>
                <w:rStyle w:val="CharacterStyle6"/>
              </w:rPr>
              <w:t>1.000,00</w:t>
            </w:r>
          </w:p>
        </w:tc>
        <w:tc>
          <w:tcPr>
            <w:tcW w:w="1395" w:type="dxa"/>
            <w:tcBorders>
              <w:bottom w:val="single" w:sz="6" w:space="0" w:color="000000"/>
              <w:right w:val="single" w:sz="6" w:space="0" w:color="000000"/>
            </w:tcBorders>
            <w:vAlign w:val="center"/>
          </w:tcPr>
          <w:p w14:paraId="5B20979D" w14:textId="77777777" w:rsidR="007D706A" w:rsidRDefault="007D706A" w:rsidP="00F70508">
            <w:pPr>
              <w:pStyle w:val="ParagraphStyle6"/>
              <w:rPr>
                <w:rStyle w:val="CharacterStyle6"/>
              </w:rPr>
            </w:pPr>
            <w:r>
              <w:rPr>
                <w:rStyle w:val="CharacterStyle6"/>
              </w:rPr>
              <w:t>4.911,00</w:t>
            </w:r>
          </w:p>
        </w:tc>
        <w:tc>
          <w:tcPr>
            <w:tcW w:w="1395" w:type="dxa"/>
            <w:tcBorders>
              <w:bottom w:val="single" w:sz="6" w:space="0" w:color="000000"/>
              <w:right w:val="single" w:sz="6" w:space="0" w:color="000000"/>
            </w:tcBorders>
            <w:vAlign w:val="center"/>
          </w:tcPr>
          <w:p w14:paraId="0C653C41" w14:textId="77777777" w:rsidR="007D706A" w:rsidRDefault="007D706A" w:rsidP="00F70508">
            <w:pPr>
              <w:pStyle w:val="ParagraphStyle6"/>
              <w:rPr>
                <w:rStyle w:val="CharacterStyle6"/>
              </w:rPr>
            </w:pPr>
            <w:r>
              <w:rPr>
                <w:rStyle w:val="CharacterStyle6"/>
              </w:rPr>
              <w:t>4.911,00</w:t>
            </w:r>
          </w:p>
        </w:tc>
        <w:tc>
          <w:tcPr>
            <w:tcW w:w="1395" w:type="dxa"/>
            <w:tcBorders>
              <w:bottom w:val="single" w:sz="6" w:space="0" w:color="000000"/>
              <w:right w:val="single" w:sz="6" w:space="0" w:color="000000"/>
            </w:tcBorders>
            <w:vAlign w:val="center"/>
          </w:tcPr>
          <w:p w14:paraId="22C53167" w14:textId="77777777" w:rsidR="007D706A" w:rsidRDefault="007D706A" w:rsidP="00F70508">
            <w:pPr>
              <w:pStyle w:val="ParagraphStyle6"/>
              <w:rPr>
                <w:rStyle w:val="CharacterStyle6"/>
              </w:rPr>
            </w:pPr>
            <w:r>
              <w:rPr>
                <w:rStyle w:val="CharacterStyle6"/>
              </w:rPr>
              <w:t>4.911,00</w:t>
            </w:r>
          </w:p>
        </w:tc>
      </w:tr>
      <w:tr w:rsidR="007D706A" w14:paraId="4DA17305" w14:textId="77777777" w:rsidTr="00F70508">
        <w:trPr>
          <w:trHeight w:val="375"/>
        </w:trPr>
        <w:tc>
          <w:tcPr>
            <w:tcW w:w="2880" w:type="dxa"/>
            <w:tcBorders>
              <w:left w:val="single" w:sz="6" w:space="0" w:color="000000"/>
              <w:bottom w:val="single" w:sz="6" w:space="0" w:color="000000"/>
              <w:right w:val="single" w:sz="6" w:space="0" w:color="000000"/>
            </w:tcBorders>
            <w:vAlign w:val="center"/>
          </w:tcPr>
          <w:p w14:paraId="150BF7FE" w14:textId="77777777" w:rsidR="007D706A" w:rsidRDefault="007D706A" w:rsidP="00F70508">
            <w:pPr>
              <w:pStyle w:val="ParagraphStyle4"/>
              <w:rPr>
                <w:rStyle w:val="CharacterStyle4"/>
              </w:rPr>
            </w:pPr>
            <w:r>
              <w:rPr>
                <w:rStyle w:val="CharacterStyle4"/>
              </w:rPr>
              <w:t>Izvor financiranja 53</w:t>
            </w:r>
          </w:p>
        </w:tc>
        <w:tc>
          <w:tcPr>
            <w:tcW w:w="4995" w:type="dxa"/>
            <w:tcBorders>
              <w:bottom w:val="single" w:sz="6" w:space="0" w:color="000000"/>
              <w:right w:val="single" w:sz="6" w:space="0" w:color="000000"/>
            </w:tcBorders>
            <w:vAlign w:val="center"/>
          </w:tcPr>
          <w:p w14:paraId="0735856D" w14:textId="77777777" w:rsidR="007D706A" w:rsidRDefault="007D706A" w:rsidP="00F70508">
            <w:pPr>
              <w:pStyle w:val="ParagraphStyle5"/>
              <w:rPr>
                <w:rStyle w:val="CharacterStyle5"/>
              </w:rPr>
            </w:pPr>
            <w:r>
              <w:rPr>
                <w:rStyle w:val="CharacterStyle5"/>
              </w:rPr>
              <w:t>Proračuni, drugi nivoi - za posebne i / ili ugovorene namjene</w:t>
            </w:r>
          </w:p>
        </w:tc>
        <w:tc>
          <w:tcPr>
            <w:tcW w:w="1395" w:type="dxa"/>
            <w:tcBorders>
              <w:bottom w:val="single" w:sz="6" w:space="0" w:color="000000"/>
              <w:right w:val="single" w:sz="6" w:space="0" w:color="000000"/>
            </w:tcBorders>
            <w:vAlign w:val="center"/>
          </w:tcPr>
          <w:p w14:paraId="2B4C48EB"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28961A31" w14:textId="77777777" w:rsidR="007D706A" w:rsidRDefault="007D706A" w:rsidP="00F70508">
            <w:pPr>
              <w:pStyle w:val="ParagraphStyle6"/>
              <w:rPr>
                <w:rStyle w:val="CharacterStyle6"/>
              </w:rPr>
            </w:pPr>
            <w:r>
              <w:rPr>
                <w:rStyle w:val="CharacterStyle6"/>
              </w:rPr>
              <w:t>1.141.261,00</w:t>
            </w:r>
          </w:p>
        </w:tc>
        <w:tc>
          <w:tcPr>
            <w:tcW w:w="1395" w:type="dxa"/>
            <w:tcBorders>
              <w:bottom w:val="single" w:sz="6" w:space="0" w:color="000000"/>
              <w:right w:val="single" w:sz="6" w:space="0" w:color="000000"/>
            </w:tcBorders>
            <w:vAlign w:val="center"/>
          </w:tcPr>
          <w:p w14:paraId="217793D5"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036F178B"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57E6D5B5" w14:textId="77777777" w:rsidR="007D706A" w:rsidRDefault="007D706A" w:rsidP="00F70508">
            <w:pPr>
              <w:pStyle w:val="ParagraphStyle6"/>
              <w:rPr>
                <w:rStyle w:val="CharacterStyle6"/>
              </w:rPr>
            </w:pPr>
            <w:r>
              <w:rPr>
                <w:rStyle w:val="CharacterStyle6"/>
              </w:rPr>
              <w:t>0,00</w:t>
            </w:r>
          </w:p>
        </w:tc>
      </w:tr>
      <w:tr w:rsidR="007D706A" w14:paraId="5219A01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5C660BB" w14:textId="77777777" w:rsidR="007D706A" w:rsidRDefault="007D706A" w:rsidP="00F70508">
            <w:pPr>
              <w:pStyle w:val="ParagraphStyle4"/>
              <w:rPr>
                <w:rStyle w:val="CharacterStyle4"/>
              </w:rPr>
            </w:pPr>
            <w:r>
              <w:rPr>
                <w:rStyle w:val="CharacterStyle4"/>
              </w:rPr>
              <w:t>Izvor financiranja 55</w:t>
            </w:r>
          </w:p>
        </w:tc>
        <w:tc>
          <w:tcPr>
            <w:tcW w:w="4995" w:type="dxa"/>
            <w:tcBorders>
              <w:bottom w:val="single" w:sz="6" w:space="0" w:color="000000"/>
              <w:right w:val="single" w:sz="6" w:space="0" w:color="000000"/>
            </w:tcBorders>
            <w:vAlign w:val="center"/>
          </w:tcPr>
          <w:p w14:paraId="6679BE92" w14:textId="77777777" w:rsidR="007D706A" w:rsidRDefault="007D706A" w:rsidP="00F70508">
            <w:pPr>
              <w:pStyle w:val="ParagraphStyle5"/>
              <w:rPr>
                <w:rStyle w:val="CharacterStyle5"/>
              </w:rPr>
            </w:pPr>
            <w:r>
              <w:rPr>
                <w:rStyle w:val="CharacterStyle5"/>
              </w:rPr>
              <w:t>Pomoći iz inozemstva</w:t>
            </w:r>
          </w:p>
        </w:tc>
        <w:tc>
          <w:tcPr>
            <w:tcW w:w="1395" w:type="dxa"/>
            <w:tcBorders>
              <w:bottom w:val="single" w:sz="6" w:space="0" w:color="000000"/>
              <w:right w:val="single" w:sz="6" w:space="0" w:color="000000"/>
            </w:tcBorders>
            <w:vAlign w:val="center"/>
          </w:tcPr>
          <w:p w14:paraId="6790E2AB"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3C54AF16" w14:textId="77777777" w:rsidR="007D706A" w:rsidRDefault="007D706A" w:rsidP="00F70508">
            <w:pPr>
              <w:pStyle w:val="ParagraphStyle6"/>
              <w:rPr>
                <w:rStyle w:val="CharacterStyle6"/>
              </w:rPr>
            </w:pPr>
            <w:r>
              <w:rPr>
                <w:rStyle w:val="CharacterStyle6"/>
              </w:rPr>
              <w:t>4.911,00</w:t>
            </w:r>
          </w:p>
        </w:tc>
        <w:tc>
          <w:tcPr>
            <w:tcW w:w="1395" w:type="dxa"/>
            <w:tcBorders>
              <w:bottom w:val="single" w:sz="6" w:space="0" w:color="000000"/>
              <w:right w:val="single" w:sz="6" w:space="0" w:color="000000"/>
            </w:tcBorders>
            <w:vAlign w:val="center"/>
          </w:tcPr>
          <w:p w14:paraId="17CDA73A"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47951371"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3D17B8CF" w14:textId="77777777" w:rsidR="007D706A" w:rsidRDefault="007D706A" w:rsidP="00F70508">
            <w:pPr>
              <w:pStyle w:val="ParagraphStyle6"/>
              <w:rPr>
                <w:rStyle w:val="CharacterStyle6"/>
              </w:rPr>
            </w:pPr>
            <w:r>
              <w:rPr>
                <w:rStyle w:val="CharacterStyle6"/>
              </w:rPr>
              <w:t>0,00</w:t>
            </w:r>
          </w:p>
        </w:tc>
      </w:tr>
      <w:tr w:rsidR="007D706A" w14:paraId="7F62F3C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C2033E1" w14:textId="77777777" w:rsidR="007D706A" w:rsidRDefault="007D706A" w:rsidP="00F70508">
            <w:pPr>
              <w:pStyle w:val="ParagraphStyle4"/>
              <w:rPr>
                <w:rStyle w:val="CharacterStyle4"/>
              </w:rPr>
            </w:pPr>
            <w:r>
              <w:rPr>
                <w:rStyle w:val="CharacterStyle4"/>
              </w:rPr>
              <w:t>Izvor financiranja 61</w:t>
            </w:r>
          </w:p>
        </w:tc>
        <w:tc>
          <w:tcPr>
            <w:tcW w:w="4995" w:type="dxa"/>
            <w:tcBorders>
              <w:bottom w:val="single" w:sz="6" w:space="0" w:color="000000"/>
              <w:right w:val="single" w:sz="6" w:space="0" w:color="000000"/>
            </w:tcBorders>
            <w:vAlign w:val="center"/>
          </w:tcPr>
          <w:p w14:paraId="3A73132F" w14:textId="77777777" w:rsidR="007D706A" w:rsidRDefault="007D706A" w:rsidP="00F70508">
            <w:pPr>
              <w:pStyle w:val="ParagraphStyle5"/>
              <w:rPr>
                <w:rStyle w:val="CharacterStyle5"/>
              </w:rPr>
            </w:pPr>
            <w:r>
              <w:rPr>
                <w:rStyle w:val="CharacterStyle5"/>
              </w:rPr>
              <w:t>Donacije</w:t>
            </w:r>
          </w:p>
        </w:tc>
        <w:tc>
          <w:tcPr>
            <w:tcW w:w="1395" w:type="dxa"/>
            <w:tcBorders>
              <w:bottom w:val="single" w:sz="6" w:space="0" w:color="000000"/>
              <w:right w:val="single" w:sz="6" w:space="0" w:color="000000"/>
            </w:tcBorders>
            <w:vAlign w:val="center"/>
          </w:tcPr>
          <w:p w14:paraId="6BB3C0BF"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69F654F2" w14:textId="77777777" w:rsidR="007D706A" w:rsidRDefault="007D706A" w:rsidP="00F70508">
            <w:pPr>
              <w:pStyle w:val="ParagraphStyle6"/>
              <w:rPr>
                <w:rStyle w:val="CharacterStyle6"/>
              </w:rPr>
            </w:pPr>
            <w:r>
              <w:rPr>
                <w:rStyle w:val="CharacterStyle6"/>
              </w:rPr>
              <w:t>7.085,00</w:t>
            </w:r>
          </w:p>
        </w:tc>
        <w:tc>
          <w:tcPr>
            <w:tcW w:w="1395" w:type="dxa"/>
            <w:tcBorders>
              <w:bottom w:val="single" w:sz="6" w:space="0" w:color="000000"/>
              <w:right w:val="single" w:sz="6" w:space="0" w:color="000000"/>
            </w:tcBorders>
            <w:vAlign w:val="center"/>
          </w:tcPr>
          <w:p w14:paraId="2A25C7F8" w14:textId="77777777" w:rsidR="007D706A" w:rsidRDefault="007D706A" w:rsidP="00F70508">
            <w:pPr>
              <w:pStyle w:val="ParagraphStyle6"/>
              <w:rPr>
                <w:rStyle w:val="CharacterStyle6"/>
              </w:rPr>
            </w:pPr>
            <w:r>
              <w:rPr>
                <w:rStyle w:val="CharacterStyle6"/>
              </w:rPr>
              <w:t>7.085,00</w:t>
            </w:r>
          </w:p>
        </w:tc>
        <w:tc>
          <w:tcPr>
            <w:tcW w:w="1395" w:type="dxa"/>
            <w:tcBorders>
              <w:bottom w:val="single" w:sz="6" w:space="0" w:color="000000"/>
              <w:right w:val="single" w:sz="6" w:space="0" w:color="000000"/>
            </w:tcBorders>
            <w:vAlign w:val="center"/>
          </w:tcPr>
          <w:p w14:paraId="067538D5" w14:textId="77777777" w:rsidR="007D706A" w:rsidRDefault="007D706A" w:rsidP="00F70508">
            <w:pPr>
              <w:pStyle w:val="ParagraphStyle6"/>
              <w:rPr>
                <w:rStyle w:val="CharacterStyle6"/>
              </w:rPr>
            </w:pPr>
            <w:r>
              <w:rPr>
                <w:rStyle w:val="CharacterStyle6"/>
              </w:rPr>
              <w:t>7.085,00</w:t>
            </w:r>
          </w:p>
        </w:tc>
        <w:tc>
          <w:tcPr>
            <w:tcW w:w="1395" w:type="dxa"/>
            <w:tcBorders>
              <w:bottom w:val="single" w:sz="6" w:space="0" w:color="000000"/>
              <w:right w:val="single" w:sz="6" w:space="0" w:color="000000"/>
            </w:tcBorders>
            <w:vAlign w:val="center"/>
          </w:tcPr>
          <w:p w14:paraId="5A11FEA5" w14:textId="77777777" w:rsidR="007D706A" w:rsidRDefault="007D706A" w:rsidP="00F70508">
            <w:pPr>
              <w:pStyle w:val="ParagraphStyle6"/>
              <w:rPr>
                <w:rStyle w:val="CharacterStyle6"/>
              </w:rPr>
            </w:pPr>
            <w:r>
              <w:rPr>
                <w:rStyle w:val="CharacterStyle6"/>
              </w:rPr>
              <w:t>7.100,00</w:t>
            </w:r>
          </w:p>
        </w:tc>
      </w:tr>
      <w:tr w:rsidR="007D706A" w14:paraId="627EB73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22F1275" w14:textId="77777777" w:rsidR="007D706A" w:rsidRDefault="007D706A" w:rsidP="00F70508">
            <w:pPr>
              <w:pStyle w:val="ParagraphStyle4"/>
              <w:rPr>
                <w:rStyle w:val="CharacterStyle4"/>
              </w:rPr>
            </w:pPr>
            <w:r>
              <w:rPr>
                <w:rStyle w:val="CharacterStyle4"/>
              </w:rPr>
              <w:t>Izvor financiranja 82</w:t>
            </w:r>
          </w:p>
        </w:tc>
        <w:tc>
          <w:tcPr>
            <w:tcW w:w="4995" w:type="dxa"/>
            <w:tcBorders>
              <w:bottom w:val="single" w:sz="6" w:space="0" w:color="000000"/>
              <w:right w:val="single" w:sz="6" w:space="0" w:color="000000"/>
            </w:tcBorders>
            <w:vAlign w:val="center"/>
          </w:tcPr>
          <w:p w14:paraId="32E3BB0B" w14:textId="77777777" w:rsidR="007D706A" w:rsidRDefault="007D706A" w:rsidP="00F70508">
            <w:pPr>
              <w:pStyle w:val="ParagraphStyle5"/>
              <w:rPr>
                <w:rStyle w:val="CharacterStyle5"/>
              </w:rPr>
            </w:pPr>
            <w:r>
              <w:rPr>
                <w:rStyle w:val="CharacterStyle5"/>
              </w:rPr>
              <w:t>Preneseni viškovi iz ranijih godina</w:t>
            </w:r>
          </w:p>
        </w:tc>
        <w:tc>
          <w:tcPr>
            <w:tcW w:w="1395" w:type="dxa"/>
            <w:tcBorders>
              <w:bottom w:val="single" w:sz="6" w:space="0" w:color="000000"/>
              <w:right w:val="single" w:sz="6" w:space="0" w:color="000000"/>
            </w:tcBorders>
            <w:vAlign w:val="center"/>
          </w:tcPr>
          <w:p w14:paraId="658B52BC"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2CF1E9EA" w14:textId="77777777" w:rsidR="007D706A" w:rsidRDefault="007D706A" w:rsidP="00F70508">
            <w:pPr>
              <w:pStyle w:val="ParagraphStyle6"/>
              <w:rPr>
                <w:rStyle w:val="CharacterStyle6"/>
              </w:rPr>
            </w:pPr>
            <w:r>
              <w:rPr>
                <w:rStyle w:val="CharacterStyle6"/>
              </w:rPr>
              <w:t>8.094,90</w:t>
            </w:r>
          </w:p>
        </w:tc>
        <w:tc>
          <w:tcPr>
            <w:tcW w:w="1395" w:type="dxa"/>
            <w:tcBorders>
              <w:bottom w:val="single" w:sz="6" w:space="0" w:color="000000"/>
              <w:right w:val="single" w:sz="6" w:space="0" w:color="000000"/>
            </w:tcBorders>
            <w:vAlign w:val="center"/>
          </w:tcPr>
          <w:p w14:paraId="57A773E6"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4E1619BE"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40E66A09" w14:textId="77777777" w:rsidR="007D706A" w:rsidRDefault="007D706A" w:rsidP="00F70508">
            <w:pPr>
              <w:pStyle w:val="ParagraphStyle6"/>
              <w:rPr>
                <w:rStyle w:val="CharacterStyle6"/>
              </w:rPr>
            </w:pPr>
            <w:r>
              <w:rPr>
                <w:rStyle w:val="CharacterStyle6"/>
              </w:rPr>
              <w:t>0,00</w:t>
            </w:r>
          </w:p>
        </w:tc>
      </w:tr>
      <w:tr w:rsidR="007D706A" w14:paraId="4D6F6D5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2474139" w14:textId="77777777" w:rsidR="007D706A" w:rsidRDefault="007D706A" w:rsidP="00F70508">
            <w:pPr>
              <w:pStyle w:val="ParagraphStyle4"/>
              <w:rPr>
                <w:rStyle w:val="CharacterStyle4"/>
              </w:rPr>
            </w:pPr>
            <w:r>
              <w:rPr>
                <w:rStyle w:val="CharacterStyle4"/>
              </w:rPr>
              <w:t>PROGRAM    1035</w:t>
            </w:r>
          </w:p>
        </w:tc>
        <w:tc>
          <w:tcPr>
            <w:tcW w:w="4995" w:type="dxa"/>
            <w:tcBorders>
              <w:bottom w:val="single" w:sz="6" w:space="0" w:color="000000"/>
              <w:right w:val="single" w:sz="6" w:space="0" w:color="000000"/>
            </w:tcBorders>
            <w:vAlign w:val="center"/>
          </w:tcPr>
          <w:p w14:paraId="729E00CB" w14:textId="77777777" w:rsidR="007D706A" w:rsidRDefault="007D706A" w:rsidP="00F70508">
            <w:pPr>
              <w:pStyle w:val="ParagraphStyle5"/>
              <w:rPr>
                <w:rStyle w:val="CharacterStyle5"/>
              </w:rPr>
            </w:pPr>
            <w:r>
              <w:rPr>
                <w:rStyle w:val="CharacterStyle5"/>
              </w:rPr>
              <w:t>DJELATNOST USTANOVA U PREDŠKOLSTVU</w:t>
            </w:r>
          </w:p>
        </w:tc>
        <w:tc>
          <w:tcPr>
            <w:tcW w:w="1395" w:type="dxa"/>
            <w:tcBorders>
              <w:bottom w:val="single" w:sz="6" w:space="0" w:color="000000"/>
              <w:right w:val="single" w:sz="6" w:space="0" w:color="000000"/>
            </w:tcBorders>
            <w:vAlign w:val="center"/>
          </w:tcPr>
          <w:p w14:paraId="32916AD3"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0FBBFCE4" w14:textId="77777777" w:rsidR="007D706A" w:rsidRDefault="007D706A" w:rsidP="00F70508">
            <w:pPr>
              <w:pStyle w:val="ParagraphStyle6"/>
              <w:rPr>
                <w:rStyle w:val="CharacterStyle6"/>
              </w:rPr>
            </w:pPr>
            <w:r>
              <w:rPr>
                <w:rStyle w:val="CharacterStyle6"/>
              </w:rPr>
              <w:t>6.403.786,00</w:t>
            </w:r>
          </w:p>
        </w:tc>
        <w:tc>
          <w:tcPr>
            <w:tcW w:w="1395" w:type="dxa"/>
            <w:tcBorders>
              <w:bottom w:val="single" w:sz="6" w:space="0" w:color="000000"/>
              <w:right w:val="single" w:sz="6" w:space="0" w:color="000000"/>
            </w:tcBorders>
            <w:vAlign w:val="center"/>
          </w:tcPr>
          <w:p w14:paraId="39E1814F" w14:textId="77777777" w:rsidR="007D706A" w:rsidRDefault="007D706A" w:rsidP="00F70508">
            <w:pPr>
              <w:pStyle w:val="ParagraphStyle6"/>
              <w:rPr>
                <w:rStyle w:val="CharacterStyle6"/>
              </w:rPr>
            </w:pPr>
            <w:r>
              <w:rPr>
                <w:rStyle w:val="CharacterStyle6"/>
              </w:rPr>
              <w:t>6.563.005,00</w:t>
            </w:r>
          </w:p>
        </w:tc>
        <w:tc>
          <w:tcPr>
            <w:tcW w:w="1395" w:type="dxa"/>
            <w:tcBorders>
              <w:bottom w:val="single" w:sz="6" w:space="0" w:color="000000"/>
              <w:right w:val="single" w:sz="6" w:space="0" w:color="000000"/>
            </w:tcBorders>
            <w:vAlign w:val="center"/>
          </w:tcPr>
          <w:p w14:paraId="1B2A7C4F" w14:textId="77777777" w:rsidR="007D706A" w:rsidRDefault="007D706A" w:rsidP="00F70508">
            <w:pPr>
              <w:pStyle w:val="ParagraphStyle6"/>
              <w:rPr>
                <w:rStyle w:val="CharacterStyle6"/>
              </w:rPr>
            </w:pPr>
            <w:r>
              <w:rPr>
                <w:rStyle w:val="CharacterStyle6"/>
              </w:rPr>
              <w:t>6.772.910,00</w:t>
            </w:r>
          </w:p>
        </w:tc>
        <w:tc>
          <w:tcPr>
            <w:tcW w:w="1395" w:type="dxa"/>
            <w:tcBorders>
              <w:bottom w:val="single" w:sz="6" w:space="0" w:color="000000"/>
              <w:right w:val="single" w:sz="6" w:space="0" w:color="000000"/>
            </w:tcBorders>
            <w:vAlign w:val="center"/>
          </w:tcPr>
          <w:p w14:paraId="47EF968D" w14:textId="77777777" w:rsidR="007D706A" w:rsidRDefault="007D706A" w:rsidP="00F70508">
            <w:pPr>
              <w:pStyle w:val="ParagraphStyle6"/>
              <w:rPr>
                <w:rStyle w:val="CharacterStyle6"/>
              </w:rPr>
            </w:pPr>
            <w:r>
              <w:rPr>
                <w:rStyle w:val="CharacterStyle6"/>
              </w:rPr>
              <w:t>6.841.266,00</w:t>
            </w:r>
          </w:p>
        </w:tc>
      </w:tr>
      <w:tr w:rsidR="007D706A" w14:paraId="608BAF4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6C3C0A9" w14:textId="77777777" w:rsidR="007D706A" w:rsidRDefault="007D706A" w:rsidP="00F70508">
            <w:pPr>
              <w:pStyle w:val="ParagraphStyle4"/>
              <w:rPr>
                <w:rStyle w:val="CharacterStyle4"/>
              </w:rPr>
            </w:pPr>
            <w:r>
              <w:rPr>
                <w:rStyle w:val="CharacterStyle4"/>
              </w:rPr>
              <w:t>Aktivnost A103501</w:t>
            </w:r>
          </w:p>
        </w:tc>
        <w:tc>
          <w:tcPr>
            <w:tcW w:w="4995" w:type="dxa"/>
            <w:tcBorders>
              <w:bottom w:val="single" w:sz="6" w:space="0" w:color="000000"/>
              <w:right w:val="single" w:sz="6" w:space="0" w:color="000000"/>
            </w:tcBorders>
            <w:vAlign w:val="center"/>
          </w:tcPr>
          <w:p w14:paraId="5EC2E37E" w14:textId="77777777" w:rsidR="007D706A" w:rsidRDefault="007D706A" w:rsidP="00F70508">
            <w:pPr>
              <w:pStyle w:val="ParagraphStyle5"/>
              <w:rPr>
                <w:rStyle w:val="CharacterStyle5"/>
              </w:rPr>
            </w:pPr>
            <w:r>
              <w:rPr>
                <w:rStyle w:val="CharacterStyle5"/>
              </w:rPr>
              <w:t>REDOVAN RAD PREDŠKOLSKE USTANOVE</w:t>
            </w:r>
          </w:p>
        </w:tc>
        <w:tc>
          <w:tcPr>
            <w:tcW w:w="1395" w:type="dxa"/>
            <w:tcBorders>
              <w:bottom w:val="single" w:sz="6" w:space="0" w:color="000000"/>
              <w:right w:val="single" w:sz="6" w:space="0" w:color="000000"/>
            </w:tcBorders>
            <w:vAlign w:val="center"/>
          </w:tcPr>
          <w:p w14:paraId="759E3947"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52085732" w14:textId="77777777" w:rsidR="007D706A" w:rsidRDefault="007D706A" w:rsidP="00F70508">
            <w:pPr>
              <w:pStyle w:val="ParagraphStyle6"/>
              <w:rPr>
                <w:rStyle w:val="CharacterStyle6"/>
              </w:rPr>
            </w:pPr>
            <w:r>
              <w:rPr>
                <w:rStyle w:val="CharacterStyle6"/>
              </w:rPr>
              <w:t>1.033.584,00</w:t>
            </w:r>
          </w:p>
        </w:tc>
        <w:tc>
          <w:tcPr>
            <w:tcW w:w="1395" w:type="dxa"/>
            <w:tcBorders>
              <w:bottom w:val="single" w:sz="6" w:space="0" w:color="000000"/>
              <w:right w:val="single" w:sz="6" w:space="0" w:color="000000"/>
            </w:tcBorders>
            <w:vAlign w:val="center"/>
          </w:tcPr>
          <w:p w14:paraId="2506037D" w14:textId="77777777" w:rsidR="007D706A" w:rsidRDefault="007D706A" w:rsidP="00F70508">
            <w:pPr>
              <w:pStyle w:val="ParagraphStyle6"/>
              <w:rPr>
                <w:rStyle w:val="CharacterStyle6"/>
              </w:rPr>
            </w:pPr>
            <w:r>
              <w:rPr>
                <w:rStyle w:val="CharacterStyle6"/>
              </w:rPr>
              <w:t>1.015.125,00</w:t>
            </w:r>
          </w:p>
        </w:tc>
        <w:tc>
          <w:tcPr>
            <w:tcW w:w="1395" w:type="dxa"/>
            <w:tcBorders>
              <w:bottom w:val="single" w:sz="6" w:space="0" w:color="000000"/>
              <w:right w:val="single" w:sz="6" w:space="0" w:color="000000"/>
            </w:tcBorders>
            <w:vAlign w:val="center"/>
          </w:tcPr>
          <w:p w14:paraId="72C0A295" w14:textId="77777777" w:rsidR="007D706A" w:rsidRDefault="007D706A" w:rsidP="00F70508">
            <w:pPr>
              <w:pStyle w:val="ParagraphStyle6"/>
              <w:rPr>
                <w:rStyle w:val="CharacterStyle6"/>
              </w:rPr>
            </w:pPr>
            <w:r>
              <w:rPr>
                <w:rStyle w:val="CharacterStyle6"/>
              </w:rPr>
              <w:t>1.047.302,00</w:t>
            </w:r>
          </w:p>
        </w:tc>
        <w:tc>
          <w:tcPr>
            <w:tcW w:w="1395" w:type="dxa"/>
            <w:tcBorders>
              <w:bottom w:val="single" w:sz="6" w:space="0" w:color="000000"/>
              <w:right w:val="single" w:sz="6" w:space="0" w:color="000000"/>
            </w:tcBorders>
            <w:vAlign w:val="center"/>
          </w:tcPr>
          <w:p w14:paraId="632A159A" w14:textId="77777777" w:rsidR="007D706A" w:rsidRDefault="007D706A" w:rsidP="00F70508">
            <w:pPr>
              <w:pStyle w:val="ParagraphStyle6"/>
              <w:rPr>
                <w:rStyle w:val="CharacterStyle6"/>
              </w:rPr>
            </w:pPr>
            <w:r>
              <w:rPr>
                <w:rStyle w:val="CharacterStyle6"/>
              </w:rPr>
              <w:t>1.059.256,00</w:t>
            </w:r>
          </w:p>
        </w:tc>
      </w:tr>
      <w:tr w:rsidR="007D706A" w14:paraId="203A773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9D10E90"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1428923E"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737F0586"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B03DDF0" w14:textId="77777777" w:rsidR="007D706A" w:rsidRDefault="007D706A" w:rsidP="00F70508">
            <w:pPr>
              <w:pStyle w:val="ParagraphStyle9"/>
              <w:rPr>
                <w:rStyle w:val="CharacterStyle9"/>
              </w:rPr>
            </w:pPr>
            <w:r>
              <w:rPr>
                <w:rStyle w:val="CharacterStyle9"/>
              </w:rPr>
              <w:t>746.342,10</w:t>
            </w:r>
          </w:p>
        </w:tc>
        <w:tc>
          <w:tcPr>
            <w:tcW w:w="1395" w:type="dxa"/>
            <w:tcBorders>
              <w:bottom w:val="single" w:sz="6" w:space="0" w:color="000000"/>
              <w:right w:val="single" w:sz="6" w:space="0" w:color="000000"/>
            </w:tcBorders>
            <w:vAlign w:val="center"/>
          </w:tcPr>
          <w:p w14:paraId="0E662E8F" w14:textId="77777777" w:rsidR="007D706A" w:rsidRDefault="007D706A" w:rsidP="00F70508">
            <w:pPr>
              <w:pStyle w:val="ParagraphStyle9"/>
              <w:rPr>
                <w:rStyle w:val="CharacterStyle9"/>
              </w:rPr>
            </w:pPr>
            <w:r>
              <w:rPr>
                <w:rStyle w:val="CharacterStyle9"/>
              </w:rPr>
              <w:t>742.190,00</w:t>
            </w:r>
          </w:p>
        </w:tc>
        <w:tc>
          <w:tcPr>
            <w:tcW w:w="1395" w:type="dxa"/>
            <w:tcBorders>
              <w:bottom w:val="single" w:sz="6" w:space="0" w:color="000000"/>
              <w:right w:val="single" w:sz="6" w:space="0" w:color="000000"/>
            </w:tcBorders>
            <w:vAlign w:val="center"/>
          </w:tcPr>
          <w:p w14:paraId="0114ECDC" w14:textId="77777777" w:rsidR="007D706A" w:rsidRDefault="007D706A" w:rsidP="00F70508">
            <w:pPr>
              <w:pStyle w:val="ParagraphStyle9"/>
              <w:rPr>
                <w:rStyle w:val="CharacterStyle9"/>
              </w:rPr>
            </w:pPr>
            <w:r>
              <w:rPr>
                <w:rStyle w:val="CharacterStyle9"/>
              </w:rPr>
              <w:t>794.800,00</w:t>
            </w:r>
          </w:p>
        </w:tc>
        <w:tc>
          <w:tcPr>
            <w:tcW w:w="1395" w:type="dxa"/>
            <w:tcBorders>
              <w:bottom w:val="single" w:sz="6" w:space="0" w:color="000000"/>
              <w:right w:val="single" w:sz="6" w:space="0" w:color="000000"/>
            </w:tcBorders>
            <w:vAlign w:val="center"/>
          </w:tcPr>
          <w:p w14:paraId="1ACF5D49" w14:textId="77777777" w:rsidR="007D706A" w:rsidRDefault="007D706A" w:rsidP="00F70508">
            <w:pPr>
              <w:pStyle w:val="ParagraphStyle9"/>
              <w:rPr>
                <w:rStyle w:val="CharacterStyle9"/>
              </w:rPr>
            </w:pPr>
            <w:r>
              <w:rPr>
                <w:rStyle w:val="CharacterStyle9"/>
              </w:rPr>
              <w:t>803.070,00</w:t>
            </w:r>
          </w:p>
        </w:tc>
      </w:tr>
      <w:tr w:rsidR="007D706A" w14:paraId="6441215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DFB3E38"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2A8EE15E"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4668AE7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8FAB4FF" w14:textId="77777777" w:rsidR="007D706A" w:rsidRDefault="007D706A" w:rsidP="00F70508">
            <w:pPr>
              <w:pStyle w:val="ParagraphStyle12"/>
              <w:rPr>
                <w:rStyle w:val="CharacterStyle12"/>
              </w:rPr>
            </w:pPr>
            <w:r>
              <w:rPr>
                <w:rStyle w:val="CharacterStyle12"/>
              </w:rPr>
              <w:t>746.342,10</w:t>
            </w:r>
          </w:p>
        </w:tc>
        <w:tc>
          <w:tcPr>
            <w:tcW w:w="1395" w:type="dxa"/>
            <w:tcBorders>
              <w:bottom w:val="single" w:sz="6" w:space="0" w:color="000000"/>
              <w:right w:val="single" w:sz="6" w:space="0" w:color="000000"/>
            </w:tcBorders>
            <w:vAlign w:val="center"/>
          </w:tcPr>
          <w:p w14:paraId="04FE6E56" w14:textId="77777777" w:rsidR="007D706A" w:rsidRDefault="007D706A" w:rsidP="00F70508">
            <w:pPr>
              <w:pStyle w:val="ParagraphStyle12"/>
              <w:rPr>
                <w:rStyle w:val="CharacterStyle12"/>
              </w:rPr>
            </w:pPr>
            <w:r>
              <w:rPr>
                <w:rStyle w:val="CharacterStyle12"/>
              </w:rPr>
              <w:t>742.190,00</w:t>
            </w:r>
          </w:p>
        </w:tc>
        <w:tc>
          <w:tcPr>
            <w:tcW w:w="1395" w:type="dxa"/>
            <w:tcBorders>
              <w:bottom w:val="single" w:sz="6" w:space="0" w:color="000000"/>
              <w:right w:val="single" w:sz="6" w:space="0" w:color="000000"/>
            </w:tcBorders>
            <w:vAlign w:val="center"/>
          </w:tcPr>
          <w:p w14:paraId="2FDB8899" w14:textId="77777777" w:rsidR="007D706A" w:rsidRDefault="007D706A" w:rsidP="00F70508">
            <w:pPr>
              <w:pStyle w:val="ParagraphStyle12"/>
              <w:rPr>
                <w:rStyle w:val="CharacterStyle12"/>
              </w:rPr>
            </w:pPr>
            <w:r>
              <w:rPr>
                <w:rStyle w:val="CharacterStyle12"/>
              </w:rPr>
              <w:t>794.800,00</w:t>
            </w:r>
          </w:p>
        </w:tc>
        <w:tc>
          <w:tcPr>
            <w:tcW w:w="1395" w:type="dxa"/>
            <w:tcBorders>
              <w:bottom w:val="single" w:sz="6" w:space="0" w:color="000000"/>
              <w:right w:val="single" w:sz="6" w:space="0" w:color="000000"/>
            </w:tcBorders>
            <w:vAlign w:val="center"/>
          </w:tcPr>
          <w:p w14:paraId="141427A2" w14:textId="77777777" w:rsidR="007D706A" w:rsidRDefault="007D706A" w:rsidP="00F70508">
            <w:pPr>
              <w:pStyle w:val="ParagraphStyle12"/>
              <w:rPr>
                <w:rStyle w:val="CharacterStyle12"/>
              </w:rPr>
            </w:pPr>
            <w:r>
              <w:rPr>
                <w:rStyle w:val="CharacterStyle12"/>
              </w:rPr>
              <w:t>803.070,00</w:t>
            </w:r>
          </w:p>
        </w:tc>
      </w:tr>
      <w:tr w:rsidR="007D706A" w14:paraId="0D7A8AF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1A9800B" w14:textId="77777777" w:rsidR="007D706A" w:rsidRDefault="007D706A" w:rsidP="00F70508">
            <w:pPr>
              <w:pStyle w:val="ParagraphStyle10"/>
              <w:rPr>
                <w:rStyle w:val="CharacterStyle10"/>
              </w:rPr>
            </w:pPr>
            <w:r>
              <w:rPr>
                <w:rStyle w:val="CharacterStyle10"/>
              </w:rPr>
              <w:t>31</w:t>
            </w:r>
          </w:p>
        </w:tc>
        <w:tc>
          <w:tcPr>
            <w:tcW w:w="4995" w:type="dxa"/>
            <w:tcBorders>
              <w:bottom w:val="single" w:sz="6" w:space="0" w:color="000000"/>
              <w:right w:val="single" w:sz="6" w:space="0" w:color="000000"/>
            </w:tcBorders>
            <w:vAlign w:val="center"/>
          </w:tcPr>
          <w:p w14:paraId="4EA1F39F" w14:textId="77777777" w:rsidR="007D706A" w:rsidRDefault="007D706A" w:rsidP="00F70508">
            <w:pPr>
              <w:pStyle w:val="ParagraphStyle11"/>
              <w:rPr>
                <w:rStyle w:val="CharacterStyle11"/>
              </w:rPr>
            </w:pPr>
            <w:r>
              <w:rPr>
                <w:rStyle w:val="CharacterStyle11"/>
              </w:rPr>
              <w:t>Rashodi za zaposlene</w:t>
            </w:r>
          </w:p>
        </w:tc>
        <w:tc>
          <w:tcPr>
            <w:tcW w:w="1395" w:type="dxa"/>
            <w:tcBorders>
              <w:bottom w:val="single" w:sz="6" w:space="0" w:color="000000"/>
              <w:right w:val="single" w:sz="6" w:space="0" w:color="000000"/>
            </w:tcBorders>
            <w:vAlign w:val="center"/>
          </w:tcPr>
          <w:p w14:paraId="360BFB7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4BBFDB9" w14:textId="77777777" w:rsidR="007D706A" w:rsidRDefault="007D706A" w:rsidP="00F70508">
            <w:pPr>
              <w:pStyle w:val="ParagraphStyle12"/>
              <w:rPr>
                <w:rStyle w:val="CharacterStyle12"/>
              </w:rPr>
            </w:pPr>
            <w:r>
              <w:rPr>
                <w:rStyle w:val="CharacterStyle12"/>
              </w:rPr>
              <w:t>701.811,00</w:t>
            </w:r>
          </w:p>
        </w:tc>
        <w:tc>
          <w:tcPr>
            <w:tcW w:w="1395" w:type="dxa"/>
            <w:tcBorders>
              <w:bottom w:val="single" w:sz="6" w:space="0" w:color="000000"/>
              <w:right w:val="single" w:sz="6" w:space="0" w:color="000000"/>
            </w:tcBorders>
            <w:vAlign w:val="center"/>
          </w:tcPr>
          <w:p w14:paraId="3B0159BB" w14:textId="77777777" w:rsidR="007D706A" w:rsidRDefault="007D706A" w:rsidP="00F70508">
            <w:pPr>
              <w:pStyle w:val="ParagraphStyle12"/>
              <w:rPr>
                <w:rStyle w:val="CharacterStyle12"/>
              </w:rPr>
            </w:pPr>
            <w:r>
              <w:rPr>
                <w:rStyle w:val="CharacterStyle12"/>
              </w:rPr>
              <w:t>679.780,00</w:t>
            </w:r>
          </w:p>
        </w:tc>
        <w:tc>
          <w:tcPr>
            <w:tcW w:w="1395" w:type="dxa"/>
            <w:tcBorders>
              <w:bottom w:val="single" w:sz="6" w:space="0" w:color="000000"/>
              <w:right w:val="single" w:sz="6" w:space="0" w:color="000000"/>
            </w:tcBorders>
            <w:vAlign w:val="center"/>
          </w:tcPr>
          <w:p w14:paraId="3DDC2543" w14:textId="77777777" w:rsidR="007D706A" w:rsidRDefault="007D706A" w:rsidP="00F70508">
            <w:pPr>
              <w:pStyle w:val="ParagraphStyle12"/>
              <w:rPr>
                <w:rStyle w:val="CharacterStyle12"/>
              </w:rPr>
            </w:pPr>
            <w:r>
              <w:rPr>
                <w:rStyle w:val="CharacterStyle12"/>
              </w:rPr>
              <w:t>723.159,00</w:t>
            </w:r>
          </w:p>
        </w:tc>
        <w:tc>
          <w:tcPr>
            <w:tcW w:w="1395" w:type="dxa"/>
            <w:tcBorders>
              <w:bottom w:val="single" w:sz="6" w:space="0" w:color="000000"/>
              <w:right w:val="single" w:sz="6" w:space="0" w:color="000000"/>
            </w:tcBorders>
            <w:vAlign w:val="center"/>
          </w:tcPr>
          <w:p w14:paraId="418E5C5F" w14:textId="77777777" w:rsidR="007D706A" w:rsidRDefault="007D706A" w:rsidP="00F70508">
            <w:pPr>
              <w:pStyle w:val="ParagraphStyle12"/>
              <w:rPr>
                <w:rStyle w:val="CharacterStyle12"/>
              </w:rPr>
            </w:pPr>
            <w:r>
              <w:rPr>
                <w:rStyle w:val="CharacterStyle12"/>
              </w:rPr>
              <w:t>730.485,00</w:t>
            </w:r>
          </w:p>
        </w:tc>
      </w:tr>
      <w:tr w:rsidR="007D706A" w14:paraId="75B08A2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132197F"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6A08E8F6"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72DE1EA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E4BAF9C" w14:textId="77777777" w:rsidR="007D706A" w:rsidRDefault="007D706A" w:rsidP="00F70508">
            <w:pPr>
              <w:pStyle w:val="ParagraphStyle12"/>
              <w:rPr>
                <w:rStyle w:val="CharacterStyle12"/>
              </w:rPr>
            </w:pPr>
            <w:r>
              <w:rPr>
                <w:rStyle w:val="CharacterStyle12"/>
              </w:rPr>
              <w:t>44.531,10</w:t>
            </w:r>
          </w:p>
        </w:tc>
        <w:tc>
          <w:tcPr>
            <w:tcW w:w="1395" w:type="dxa"/>
            <w:tcBorders>
              <w:bottom w:val="single" w:sz="6" w:space="0" w:color="000000"/>
              <w:right w:val="single" w:sz="6" w:space="0" w:color="000000"/>
            </w:tcBorders>
            <w:vAlign w:val="center"/>
          </w:tcPr>
          <w:p w14:paraId="489CC8B7" w14:textId="77777777" w:rsidR="007D706A" w:rsidRDefault="007D706A" w:rsidP="00F70508">
            <w:pPr>
              <w:pStyle w:val="ParagraphStyle12"/>
              <w:rPr>
                <w:rStyle w:val="CharacterStyle12"/>
              </w:rPr>
            </w:pPr>
            <w:r>
              <w:rPr>
                <w:rStyle w:val="CharacterStyle12"/>
              </w:rPr>
              <w:t>62.410,00</w:t>
            </w:r>
          </w:p>
        </w:tc>
        <w:tc>
          <w:tcPr>
            <w:tcW w:w="1395" w:type="dxa"/>
            <w:tcBorders>
              <w:bottom w:val="single" w:sz="6" w:space="0" w:color="000000"/>
              <w:right w:val="single" w:sz="6" w:space="0" w:color="000000"/>
            </w:tcBorders>
            <w:vAlign w:val="center"/>
          </w:tcPr>
          <w:p w14:paraId="41CCF48A" w14:textId="77777777" w:rsidR="007D706A" w:rsidRDefault="007D706A" w:rsidP="00F70508">
            <w:pPr>
              <w:pStyle w:val="ParagraphStyle12"/>
              <w:rPr>
                <w:rStyle w:val="CharacterStyle12"/>
              </w:rPr>
            </w:pPr>
            <w:r>
              <w:rPr>
                <w:rStyle w:val="CharacterStyle12"/>
              </w:rPr>
              <w:t>71.641,00</w:t>
            </w:r>
          </w:p>
        </w:tc>
        <w:tc>
          <w:tcPr>
            <w:tcW w:w="1395" w:type="dxa"/>
            <w:tcBorders>
              <w:bottom w:val="single" w:sz="6" w:space="0" w:color="000000"/>
              <w:right w:val="single" w:sz="6" w:space="0" w:color="000000"/>
            </w:tcBorders>
            <w:vAlign w:val="center"/>
          </w:tcPr>
          <w:p w14:paraId="6ECE26B9" w14:textId="77777777" w:rsidR="007D706A" w:rsidRDefault="007D706A" w:rsidP="00F70508">
            <w:pPr>
              <w:pStyle w:val="ParagraphStyle12"/>
              <w:rPr>
                <w:rStyle w:val="CharacterStyle12"/>
              </w:rPr>
            </w:pPr>
            <w:r>
              <w:rPr>
                <w:rStyle w:val="CharacterStyle12"/>
              </w:rPr>
              <w:t>72.585,00</w:t>
            </w:r>
          </w:p>
        </w:tc>
      </w:tr>
      <w:tr w:rsidR="007D706A" w14:paraId="2F537C4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0B1F409" w14:textId="77777777" w:rsidR="007D706A" w:rsidRDefault="007D706A" w:rsidP="00F70508">
            <w:pPr>
              <w:pStyle w:val="ParagraphStyle7"/>
              <w:rPr>
                <w:rStyle w:val="CharacterStyle7"/>
              </w:rPr>
            </w:pPr>
            <w:r>
              <w:rPr>
                <w:rStyle w:val="CharacterStyle7"/>
              </w:rPr>
              <w:t>Izvor financiranja 31</w:t>
            </w:r>
          </w:p>
        </w:tc>
        <w:tc>
          <w:tcPr>
            <w:tcW w:w="4995" w:type="dxa"/>
            <w:tcBorders>
              <w:bottom w:val="single" w:sz="6" w:space="0" w:color="000000"/>
              <w:right w:val="single" w:sz="6" w:space="0" w:color="000000"/>
            </w:tcBorders>
            <w:vAlign w:val="center"/>
          </w:tcPr>
          <w:p w14:paraId="15EBB159" w14:textId="77777777" w:rsidR="007D706A" w:rsidRDefault="007D706A" w:rsidP="00F70508">
            <w:pPr>
              <w:pStyle w:val="ParagraphStyle8"/>
              <w:rPr>
                <w:rStyle w:val="CharacterStyle8"/>
              </w:rPr>
            </w:pPr>
            <w:r>
              <w:rPr>
                <w:rStyle w:val="CharacterStyle8"/>
              </w:rPr>
              <w:t>Vlastiti prihodi</w:t>
            </w:r>
          </w:p>
        </w:tc>
        <w:tc>
          <w:tcPr>
            <w:tcW w:w="1395" w:type="dxa"/>
            <w:tcBorders>
              <w:bottom w:val="single" w:sz="6" w:space="0" w:color="000000"/>
              <w:right w:val="single" w:sz="6" w:space="0" w:color="000000"/>
            </w:tcBorders>
            <w:vAlign w:val="center"/>
          </w:tcPr>
          <w:p w14:paraId="0DFF6007"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913A4F7" w14:textId="77777777" w:rsidR="007D706A" w:rsidRDefault="007D706A" w:rsidP="00F70508">
            <w:pPr>
              <w:pStyle w:val="ParagraphStyle9"/>
              <w:rPr>
                <w:rStyle w:val="CharacterStyle9"/>
              </w:rPr>
            </w:pPr>
            <w:r>
              <w:rPr>
                <w:rStyle w:val="CharacterStyle9"/>
              </w:rPr>
              <w:t>1.380,00</w:t>
            </w:r>
          </w:p>
        </w:tc>
        <w:tc>
          <w:tcPr>
            <w:tcW w:w="1395" w:type="dxa"/>
            <w:tcBorders>
              <w:bottom w:val="single" w:sz="6" w:space="0" w:color="000000"/>
              <w:right w:val="single" w:sz="6" w:space="0" w:color="000000"/>
            </w:tcBorders>
            <w:vAlign w:val="center"/>
          </w:tcPr>
          <w:p w14:paraId="21AC68F4" w14:textId="77777777" w:rsidR="007D706A" w:rsidRDefault="007D706A" w:rsidP="00F70508">
            <w:pPr>
              <w:pStyle w:val="ParagraphStyle9"/>
              <w:rPr>
                <w:rStyle w:val="CharacterStyle9"/>
              </w:rPr>
            </w:pPr>
            <w:r>
              <w:rPr>
                <w:rStyle w:val="CharacterStyle9"/>
              </w:rPr>
              <w:t>1.380,00</w:t>
            </w:r>
          </w:p>
        </w:tc>
        <w:tc>
          <w:tcPr>
            <w:tcW w:w="1395" w:type="dxa"/>
            <w:tcBorders>
              <w:bottom w:val="single" w:sz="6" w:space="0" w:color="000000"/>
              <w:right w:val="single" w:sz="6" w:space="0" w:color="000000"/>
            </w:tcBorders>
            <w:vAlign w:val="center"/>
          </w:tcPr>
          <w:p w14:paraId="6E432E95" w14:textId="77777777" w:rsidR="007D706A" w:rsidRDefault="007D706A" w:rsidP="00F70508">
            <w:pPr>
              <w:pStyle w:val="ParagraphStyle9"/>
              <w:rPr>
                <w:rStyle w:val="CharacterStyle9"/>
              </w:rPr>
            </w:pPr>
            <w:r>
              <w:rPr>
                <w:rStyle w:val="CharacterStyle9"/>
              </w:rPr>
              <w:t>1.400,00</w:t>
            </w:r>
          </w:p>
        </w:tc>
        <w:tc>
          <w:tcPr>
            <w:tcW w:w="1395" w:type="dxa"/>
            <w:tcBorders>
              <w:bottom w:val="single" w:sz="6" w:space="0" w:color="000000"/>
              <w:right w:val="single" w:sz="6" w:space="0" w:color="000000"/>
            </w:tcBorders>
            <w:vAlign w:val="center"/>
          </w:tcPr>
          <w:p w14:paraId="225EF115" w14:textId="77777777" w:rsidR="007D706A" w:rsidRDefault="007D706A" w:rsidP="00F70508">
            <w:pPr>
              <w:pStyle w:val="ParagraphStyle9"/>
              <w:rPr>
                <w:rStyle w:val="CharacterStyle9"/>
              </w:rPr>
            </w:pPr>
            <w:r>
              <w:rPr>
                <w:rStyle w:val="CharacterStyle9"/>
              </w:rPr>
              <w:t>1.450,00</w:t>
            </w:r>
          </w:p>
        </w:tc>
      </w:tr>
      <w:tr w:rsidR="007D706A" w14:paraId="7F71778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0D3C534"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474116B6"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27110E2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4588CF6" w14:textId="77777777" w:rsidR="007D706A" w:rsidRDefault="007D706A" w:rsidP="00F70508">
            <w:pPr>
              <w:pStyle w:val="ParagraphStyle12"/>
              <w:rPr>
                <w:rStyle w:val="CharacterStyle12"/>
              </w:rPr>
            </w:pPr>
            <w:r>
              <w:rPr>
                <w:rStyle w:val="CharacterStyle12"/>
              </w:rPr>
              <w:t>1.380,00</w:t>
            </w:r>
          </w:p>
        </w:tc>
        <w:tc>
          <w:tcPr>
            <w:tcW w:w="1395" w:type="dxa"/>
            <w:tcBorders>
              <w:bottom w:val="single" w:sz="6" w:space="0" w:color="000000"/>
              <w:right w:val="single" w:sz="6" w:space="0" w:color="000000"/>
            </w:tcBorders>
            <w:vAlign w:val="center"/>
          </w:tcPr>
          <w:p w14:paraId="6424AC4E" w14:textId="77777777" w:rsidR="007D706A" w:rsidRDefault="007D706A" w:rsidP="00F70508">
            <w:pPr>
              <w:pStyle w:val="ParagraphStyle12"/>
              <w:rPr>
                <w:rStyle w:val="CharacterStyle12"/>
              </w:rPr>
            </w:pPr>
            <w:r>
              <w:rPr>
                <w:rStyle w:val="CharacterStyle12"/>
              </w:rPr>
              <w:t>1.380,00</w:t>
            </w:r>
          </w:p>
        </w:tc>
        <w:tc>
          <w:tcPr>
            <w:tcW w:w="1395" w:type="dxa"/>
            <w:tcBorders>
              <w:bottom w:val="single" w:sz="6" w:space="0" w:color="000000"/>
              <w:right w:val="single" w:sz="6" w:space="0" w:color="000000"/>
            </w:tcBorders>
            <w:vAlign w:val="center"/>
          </w:tcPr>
          <w:p w14:paraId="6DF31E99" w14:textId="77777777" w:rsidR="007D706A" w:rsidRDefault="007D706A" w:rsidP="00F70508">
            <w:pPr>
              <w:pStyle w:val="ParagraphStyle12"/>
              <w:rPr>
                <w:rStyle w:val="CharacterStyle12"/>
              </w:rPr>
            </w:pPr>
            <w:r>
              <w:rPr>
                <w:rStyle w:val="CharacterStyle12"/>
              </w:rPr>
              <w:t>1.400,00</w:t>
            </w:r>
          </w:p>
        </w:tc>
        <w:tc>
          <w:tcPr>
            <w:tcW w:w="1395" w:type="dxa"/>
            <w:tcBorders>
              <w:bottom w:val="single" w:sz="6" w:space="0" w:color="000000"/>
              <w:right w:val="single" w:sz="6" w:space="0" w:color="000000"/>
            </w:tcBorders>
            <w:vAlign w:val="center"/>
          </w:tcPr>
          <w:p w14:paraId="22E9D3DD" w14:textId="77777777" w:rsidR="007D706A" w:rsidRDefault="007D706A" w:rsidP="00F70508">
            <w:pPr>
              <w:pStyle w:val="ParagraphStyle12"/>
              <w:rPr>
                <w:rStyle w:val="CharacterStyle12"/>
              </w:rPr>
            </w:pPr>
            <w:r>
              <w:rPr>
                <w:rStyle w:val="CharacterStyle12"/>
              </w:rPr>
              <w:t>1.450,00</w:t>
            </w:r>
          </w:p>
        </w:tc>
      </w:tr>
      <w:tr w:rsidR="007D706A" w14:paraId="5EBEB2C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F04A495"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302AB6E1"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71B6ABE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7EDB8C7" w14:textId="77777777" w:rsidR="007D706A" w:rsidRDefault="007D706A" w:rsidP="00F70508">
            <w:pPr>
              <w:pStyle w:val="ParagraphStyle12"/>
              <w:rPr>
                <w:rStyle w:val="CharacterStyle12"/>
              </w:rPr>
            </w:pPr>
            <w:r>
              <w:rPr>
                <w:rStyle w:val="CharacterStyle12"/>
              </w:rPr>
              <w:t>1.380,00</w:t>
            </w:r>
          </w:p>
        </w:tc>
        <w:tc>
          <w:tcPr>
            <w:tcW w:w="1395" w:type="dxa"/>
            <w:tcBorders>
              <w:bottom w:val="single" w:sz="6" w:space="0" w:color="000000"/>
              <w:right w:val="single" w:sz="6" w:space="0" w:color="000000"/>
            </w:tcBorders>
            <w:vAlign w:val="center"/>
          </w:tcPr>
          <w:p w14:paraId="45D66782" w14:textId="77777777" w:rsidR="007D706A" w:rsidRDefault="007D706A" w:rsidP="00F70508">
            <w:pPr>
              <w:pStyle w:val="ParagraphStyle12"/>
              <w:rPr>
                <w:rStyle w:val="CharacterStyle12"/>
              </w:rPr>
            </w:pPr>
            <w:r>
              <w:rPr>
                <w:rStyle w:val="CharacterStyle12"/>
              </w:rPr>
              <w:t>1.380,00</w:t>
            </w:r>
          </w:p>
        </w:tc>
        <w:tc>
          <w:tcPr>
            <w:tcW w:w="1395" w:type="dxa"/>
            <w:tcBorders>
              <w:bottom w:val="single" w:sz="6" w:space="0" w:color="000000"/>
              <w:right w:val="single" w:sz="6" w:space="0" w:color="000000"/>
            </w:tcBorders>
            <w:vAlign w:val="center"/>
          </w:tcPr>
          <w:p w14:paraId="4D4DCF6D" w14:textId="77777777" w:rsidR="007D706A" w:rsidRDefault="007D706A" w:rsidP="00F70508">
            <w:pPr>
              <w:pStyle w:val="ParagraphStyle12"/>
              <w:rPr>
                <w:rStyle w:val="CharacterStyle12"/>
              </w:rPr>
            </w:pPr>
            <w:r>
              <w:rPr>
                <w:rStyle w:val="CharacterStyle12"/>
              </w:rPr>
              <w:t>1.400,00</w:t>
            </w:r>
          </w:p>
        </w:tc>
        <w:tc>
          <w:tcPr>
            <w:tcW w:w="1395" w:type="dxa"/>
            <w:tcBorders>
              <w:bottom w:val="single" w:sz="6" w:space="0" w:color="000000"/>
              <w:right w:val="single" w:sz="6" w:space="0" w:color="000000"/>
            </w:tcBorders>
            <w:vAlign w:val="center"/>
          </w:tcPr>
          <w:p w14:paraId="3D1B6356" w14:textId="77777777" w:rsidR="007D706A" w:rsidRDefault="007D706A" w:rsidP="00F70508">
            <w:pPr>
              <w:pStyle w:val="ParagraphStyle12"/>
              <w:rPr>
                <w:rStyle w:val="CharacterStyle12"/>
              </w:rPr>
            </w:pPr>
            <w:r>
              <w:rPr>
                <w:rStyle w:val="CharacterStyle12"/>
              </w:rPr>
              <w:t>1.450,00</w:t>
            </w:r>
          </w:p>
        </w:tc>
      </w:tr>
      <w:tr w:rsidR="007D706A" w14:paraId="7AAE526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4DE7D80" w14:textId="77777777" w:rsidR="007D706A" w:rsidRDefault="007D706A" w:rsidP="00F70508">
            <w:pPr>
              <w:pStyle w:val="ParagraphStyle7"/>
              <w:rPr>
                <w:rStyle w:val="CharacterStyle7"/>
              </w:rPr>
            </w:pPr>
            <w:r>
              <w:rPr>
                <w:rStyle w:val="CharacterStyle7"/>
              </w:rPr>
              <w:t>Izvor financiranja 41</w:t>
            </w:r>
          </w:p>
        </w:tc>
        <w:tc>
          <w:tcPr>
            <w:tcW w:w="4995" w:type="dxa"/>
            <w:tcBorders>
              <w:bottom w:val="single" w:sz="6" w:space="0" w:color="000000"/>
              <w:right w:val="single" w:sz="6" w:space="0" w:color="000000"/>
            </w:tcBorders>
            <w:vAlign w:val="center"/>
          </w:tcPr>
          <w:p w14:paraId="76816A38" w14:textId="77777777" w:rsidR="007D706A" w:rsidRDefault="007D706A" w:rsidP="00F70508">
            <w:pPr>
              <w:pStyle w:val="ParagraphStyle8"/>
              <w:rPr>
                <w:rStyle w:val="CharacterStyle8"/>
              </w:rPr>
            </w:pPr>
            <w:r>
              <w:rPr>
                <w:rStyle w:val="CharacterStyle8"/>
              </w:rPr>
              <w:t>Prihodi za posebne namjene</w:t>
            </w:r>
          </w:p>
        </w:tc>
        <w:tc>
          <w:tcPr>
            <w:tcW w:w="1395" w:type="dxa"/>
            <w:tcBorders>
              <w:bottom w:val="single" w:sz="6" w:space="0" w:color="000000"/>
              <w:right w:val="single" w:sz="6" w:space="0" w:color="000000"/>
            </w:tcBorders>
            <w:vAlign w:val="center"/>
          </w:tcPr>
          <w:p w14:paraId="5DD4D490"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8EB79A5" w14:textId="77777777" w:rsidR="007D706A" w:rsidRDefault="007D706A" w:rsidP="00F70508">
            <w:pPr>
              <w:pStyle w:val="ParagraphStyle9"/>
              <w:rPr>
                <w:rStyle w:val="CharacterStyle9"/>
              </w:rPr>
            </w:pPr>
            <w:r>
              <w:rPr>
                <w:rStyle w:val="CharacterStyle9"/>
              </w:rPr>
              <w:t>112.814,00</w:t>
            </w:r>
          </w:p>
        </w:tc>
        <w:tc>
          <w:tcPr>
            <w:tcW w:w="1395" w:type="dxa"/>
            <w:tcBorders>
              <w:bottom w:val="single" w:sz="6" w:space="0" w:color="000000"/>
              <w:right w:val="single" w:sz="6" w:space="0" w:color="000000"/>
            </w:tcBorders>
            <w:vAlign w:val="center"/>
          </w:tcPr>
          <w:p w14:paraId="0CA686E9"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B92558F"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7E942A3" w14:textId="77777777" w:rsidR="007D706A" w:rsidRDefault="007D706A" w:rsidP="00F70508">
            <w:pPr>
              <w:pStyle w:val="ParagraphStyle9"/>
              <w:rPr>
                <w:rStyle w:val="CharacterStyle9"/>
              </w:rPr>
            </w:pPr>
            <w:r>
              <w:rPr>
                <w:rStyle w:val="CharacterStyle9"/>
              </w:rPr>
              <w:t>0,00</w:t>
            </w:r>
          </w:p>
        </w:tc>
      </w:tr>
      <w:tr w:rsidR="007D706A" w14:paraId="76BD3FA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C9D69C2"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0DEEEDA7"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221FDFA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BD40E84" w14:textId="77777777" w:rsidR="007D706A" w:rsidRDefault="007D706A" w:rsidP="00F70508">
            <w:pPr>
              <w:pStyle w:val="ParagraphStyle12"/>
              <w:rPr>
                <w:rStyle w:val="CharacterStyle12"/>
              </w:rPr>
            </w:pPr>
            <w:r>
              <w:rPr>
                <w:rStyle w:val="CharacterStyle12"/>
              </w:rPr>
              <w:t>107.558,00</w:t>
            </w:r>
          </w:p>
        </w:tc>
        <w:tc>
          <w:tcPr>
            <w:tcW w:w="1395" w:type="dxa"/>
            <w:tcBorders>
              <w:bottom w:val="single" w:sz="6" w:space="0" w:color="000000"/>
              <w:right w:val="single" w:sz="6" w:space="0" w:color="000000"/>
            </w:tcBorders>
            <w:vAlign w:val="center"/>
          </w:tcPr>
          <w:p w14:paraId="513DB9A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808952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C501188" w14:textId="77777777" w:rsidR="007D706A" w:rsidRDefault="007D706A" w:rsidP="00F70508">
            <w:pPr>
              <w:pStyle w:val="ParagraphStyle12"/>
              <w:rPr>
                <w:rStyle w:val="CharacterStyle12"/>
              </w:rPr>
            </w:pPr>
            <w:r>
              <w:rPr>
                <w:rStyle w:val="CharacterStyle12"/>
              </w:rPr>
              <w:t>0,00</w:t>
            </w:r>
          </w:p>
        </w:tc>
      </w:tr>
      <w:tr w:rsidR="007D706A" w14:paraId="429B843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53F10A7"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6F6EB899"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05ACAEE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CBFC949" w14:textId="77777777" w:rsidR="007D706A" w:rsidRDefault="007D706A" w:rsidP="00F70508">
            <w:pPr>
              <w:pStyle w:val="ParagraphStyle12"/>
              <w:rPr>
                <w:rStyle w:val="CharacterStyle12"/>
              </w:rPr>
            </w:pPr>
            <w:r>
              <w:rPr>
                <w:rStyle w:val="CharacterStyle12"/>
              </w:rPr>
              <w:t>106.894,00</w:t>
            </w:r>
          </w:p>
        </w:tc>
        <w:tc>
          <w:tcPr>
            <w:tcW w:w="1395" w:type="dxa"/>
            <w:tcBorders>
              <w:bottom w:val="single" w:sz="6" w:space="0" w:color="000000"/>
              <w:right w:val="single" w:sz="6" w:space="0" w:color="000000"/>
            </w:tcBorders>
            <w:vAlign w:val="center"/>
          </w:tcPr>
          <w:p w14:paraId="7499D3C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C5E667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C8DAFBB" w14:textId="77777777" w:rsidR="007D706A" w:rsidRDefault="007D706A" w:rsidP="00F70508">
            <w:pPr>
              <w:pStyle w:val="ParagraphStyle12"/>
              <w:rPr>
                <w:rStyle w:val="CharacterStyle12"/>
              </w:rPr>
            </w:pPr>
            <w:r>
              <w:rPr>
                <w:rStyle w:val="CharacterStyle12"/>
              </w:rPr>
              <w:t>0,00</w:t>
            </w:r>
          </w:p>
        </w:tc>
      </w:tr>
      <w:tr w:rsidR="007D706A" w14:paraId="080829D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32CA977" w14:textId="77777777" w:rsidR="007D706A" w:rsidRDefault="007D706A" w:rsidP="00F70508">
            <w:pPr>
              <w:pStyle w:val="ParagraphStyle10"/>
              <w:rPr>
                <w:rStyle w:val="CharacterStyle10"/>
              </w:rPr>
            </w:pPr>
            <w:r>
              <w:rPr>
                <w:rStyle w:val="CharacterStyle10"/>
              </w:rPr>
              <w:t>34</w:t>
            </w:r>
          </w:p>
        </w:tc>
        <w:tc>
          <w:tcPr>
            <w:tcW w:w="4995" w:type="dxa"/>
            <w:tcBorders>
              <w:bottom w:val="single" w:sz="6" w:space="0" w:color="000000"/>
              <w:right w:val="single" w:sz="6" w:space="0" w:color="000000"/>
            </w:tcBorders>
            <w:vAlign w:val="center"/>
          </w:tcPr>
          <w:p w14:paraId="436E38DC" w14:textId="77777777" w:rsidR="007D706A" w:rsidRDefault="007D706A" w:rsidP="00F70508">
            <w:pPr>
              <w:pStyle w:val="ParagraphStyle11"/>
              <w:rPr>
                <w:rStyle w:val="CharacterStyle11"/>
              </w:rPr>
            </w:pPr>
            <w:r>
              <w:rPr>
                <w:rStyle w:val="CharacterStyle11"/>
              </w:rPr>
              <w:t>Financijski rashodi</w:t>
            </w:r>
          </w:p>
        </w:tc>
        <w:tc>
          <w:tcPr>
            <w:tcW w:w="1395" w:type="dxa"/>
            <w:tcBorders>
              <w:bottom w:val="single" w:sz="6" w:space="0" w:color="000000"/>
              <w:right w:val="single" w:sz="6" w:space="0" w:color="000000"/>
            </w:tcBorders>
            <w:vAlign w:val="center"/>
          </w:tcPr>
          <w:p w14:paraId="768828B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08EB152" w14:textId="77777777" w:rsidR="007D706A" w:rsidRDefault="007D706A" w:rsidP="00F70508">
            <w:pPr>
              <w:pStyle w:val="ParagraphStyle12"/>
              <w:rPr>
                <w:rStyle w:val="CharacterStyle12"/>
              </w:rPr>
            </w:pPr>
            <w:r>
              <w:rPr>
                <w:rStyle w:val="CharacterStyle12"/>
              </w:rPr>
              <w:t>664,00</w:t>
            </w:r>
          </w:p>
        </w:tc>
        <w:tc>
          <w:tcPr>
            <w:tcW w:w="1395" w:type="dxa"/>
            <w:tcBorders>
              <w:bottom w:val="single" w:sz="6" w:space="0" w:color="000000"/>
              <w:right w:val="single" w:sz="6" w:space="0" w:color="000000"/>
            </w:tcBorders>
            <w:vAlign w:val="center"/>
          </w:tcPr>
          <w:p w14:paraId="5D35838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903019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36014BB" w14:textId="77777777" w:rsidR="007D706A" w:rsidRDefault="007D706A" w:rsidP="00F70508">
            <w:pPr>
              <w:pStyle w:val="ParagraphStyle12"/>
              <w:rPr>
                <w:rStyle w:val="CharacterStyle12"/>
              </w:rPr>
            </w:pPr>
            <w:r>
              <w:rPr>
                <w:rStyle w:val="CharacterStyle12"/>
              </w:rPr>
              <w:t>0,00</w:t>
            </w:r>
          </w:p>
        </w:tc>
      </w:tr>
      <w:tr w:rsidR="007D706A" w14:paraId="66D97376"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C3A0A20"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19A3527B"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299FFEE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A02523B" w14:textId="77777777" w:rsidR="007D706A" w:rsidRDefault="007D706A" w:rsidP="00F70508">
            <w:pPr>
              <w:pStyle w:val="ParagraphStyle12"/>
              <w:rPr>
                <w:rStyle w:val="CharacterStyle12"/>
              </w:rPr>
            </w:pPr>
            <w:r>
              <w:rPr>
                <w:rStyle w:val="CharacterStyle12"/>
              </w:rPr>
              <w:t>5.256,00</w:t>
            </w:r>
          </w:p>
        </w:tc>
        <w:tc>
          <w:tcPr>
            <w:tcW w:w="1395" w:type="dxa"/>
            <w:tcBorders>
              <w:bottom w:val="single" w:sz="6" w:space="0" w:color="000000"/>
              <w:right w:val="single" w:sz="6" w:space="0" w:color="000000"/>
            </w:tcBorders>
            <w:vAlign w:val="center"/>
          </w:tcPr>
          <w:p w14:paraId="4619A6B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11E332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E9DCD4A" w14:textId="77777777" w:rsidR="007D706A" w:rsidRDefault="007D706A" w:rsidP="00F70508">
            <w:pPr>
              <w:pStyle w:val="ParagraphStyle12"/>
              <w:rPr>
                <w:rStyle w:val="CharacterStyle12"/>
              </w:rPr>
            </w:pPr>
            <w:r>
              <w:rPr>
                <w:rStyle w:val="CharacterStyle12"/>
              </w:rPr>
              <w:t>0,00</w:t>
            </w:r>
          </w:p>
        </w:tc>
      </w:tr>
      <w:tr w:rsidR="007D706A" w14:paraId="15780B7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F2F5F11" w14:textId="77777777" w:rsidR="007D706A" w:rsidRDefault="007D706A" w:rsidP="00F70508">
            <w:pPr>
              <w:pStyle w:val="ParagraphStyle10"/>
              <w:rPr>
                <w:rStyle w:val="CharacterStyle10"/>
              </w:rPr>
            </w:pPr>
            <w:r>
              <w:rPr>
                <w:rStyle w:val="CharacterStyle10"/>
              </w:rPr>
              <w:t>42</w:t>
            </w:r>
          </w:p>
        </w:tc>
        <w:tc>
          <w:tcPr>
            <w:tcW w:w="4995" w:type="dxa"/>
            <w:tcBorders>
              <w:bottom w:val="single" w:sz="6" w:space="0" w:color="000000"/>
              <w:right w:val="single" w:sz="6" w:space="0" w:color="000000"/>
            </w:tcBorders>
            <w:vAlign w:val="center"/>
          </w:tcPr>
          <w:p w14:paraId="175EE9EB"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2F408E9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AAA6BB3" w14:textId="77777777" w:rsidR="007D706A" w:rsidRDefault="007D706A" w:rsidP="00F70508">
            <w:pPr>
              <w:pStyle w:val="ParagraphStyle12"/>
              <w:rPr>
                <w:rStyle w:val="CharacterStyle12"/>
              </w:rPr>
            </w:pPr>
            <w:r>
              <w:rPr>
                <w:rStyle w:val="CharacterStyle12"/>
              </w:rPr>
              <w:t>5.256,00</w:t>
            </w:r>
          </w:p>
        </w:tc>
        <w:tc>
          <w:tcPr>
            <w:tcW w:w="1395" w:type="dxa"/>
            <w:tcBorders>
              <w:bottom w:val="single" w:sz="6" w:space="0" w:color="000000"/>
              <w:right w:val="single" w:sz="6" w:space="0" w:color="000000"/>
            </w:tcBorders>
            <w:vAlign w:val="center"/>
          </w:tcPr>
          <w:p w14:paraId="56F2AB1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69B3F6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CDBC095" w14:textId="77777777" w:rsidR="007D706A" w:rsidRDefault="007D706A" w:rsidP="00F70508">
            <w:pPr>
              <w:pStyle w:val="ParagraphStyle12"/>
              <w:rPr>
                <w:rStyle w:val="CharacterStyle12"/>
              </w:rPr>
            </w:pPr>
            <w:r>
              <w:rPr>
                <w:rStyle w:val="CharacterStyle12"/>
              </w:rPr>
              <w:t>0,00</w:t>
            </w:r>
          </w:p>
        </w:tc>
      </w:tr>
      <w:tr w:rsidR="007D706A" w14:paraId="2C8206A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95DA1E3" w14:textId="77777777" w:rsidR="007D706A" w:rsidRDefault="007D706A" w:rsidP="00F70508">
            <w:pPr>
              <w:pStyle w:val="ParagraphStyle7"/>
              <w:rPr>
                <w:rStyle w:val="CharacterStyle7"/>
              </w:rPr>
            </w:pPr>
            <w:r>
              <w:rPr>
                <w:rStyle w:val="CharacterStyle7"/>
              </w:rPr>
              <w:t>Izvor financiranja 43</w:t>
            </w:r>
          </w:p>
        </w:tc>
        <w:tc>
          <w:tcPr>
            <w:tcW w:w="4995" w:type="dxa"/>
            <w:tcBorders>
              <w:bottom w:val="single" w:sz="6" w:space="0" w:color="000000"/>
              <w:right w:val="single" w:sz="6" w:space="0" w:color="000000"/>
            </w:tcBorders>
            <w:vAlign w:val="center"/>
          </w:tcPr>
          <w:p w14:paraId="58185562" w14:textId="77777777" w:rsidR="007D706A" w:rsidRDefault="007D706A" w:rsidP="00F70508">
            <w:pPr>
              <w:pStyle w:val="ParagraphStyle8"/>
              <w:rPr>
                <w:rStyle w:val="CharacterStyle8"/>
              </w:rPr>
            </w:pPr>
            <w:r>
              <w:rPr>
                <w:rStyle w:val="CharacterStyle8"/>
              </w:rPr>
              <w:t>Ostali prihodi za posebne namjene</w:t>
            </w:r>
          </w:p>
        </w:tc>
        <w:tc>
          <w:tcPr>
            <w:tcW w:w="1395" w:type="dxa"/>
            <w:tcBorders>
              <w:bottom w:val="single" w:sz="6" w:space="0" w:color="000000"/>
              <w:right w:val="single" w:sz="6" w:space="0" w:color="000000"/>
            </w:tcBorders>
            <w:vAlign w:val="center"/>
          </w:tcPr>
          <w:p w14:paraId="38907B3A"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9D425C2"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AB9341A" w14:textId="77777777" w:rsidR="007D706A" w:rsidRDefault="007D706A" w:rsidP="00F70508">
            <w:pPr>
              <w:pStyle w:val="ParagraphStyle9"/>
              <w:rPr>
                <w:rStyle w:val="CharacterStyle9"/>
              </w:rPr>
            </w:pPr>
            <w:r>
              <w:rPr>
                <w:rStyle w:val="CharacterStyle9"/>
              </w:rPr>
              <w:t>112.814,00</w:t>
            </w:r>
          </w:p>
        </w:tc>
        <w:tc>
          <w:tcPr>
            <w:tcW w:w="1395" w:type="dxa"/>
            <w:tcBorders>
              <w:bottom w:val="single" w:sz="6" w:space="0" w:color="000000"/>
              <w:right w:val="single" w:sz="6" w:space="0" w:color="000000"/>
            </w:tcBorders>
            <w:vAlign w:val="center"/>
          </w:tcPr>
          <w:p w14:paraId="2E10C53A" w14:textId="77777777" w:rsidR="007D706A" w:rsidRDefault="007D706A" w:rsidP="00F70508">
            <w:pPr>
              <w:pStyle w:val="ParagraphStyle9"/>
              <w:rPr>
                <w:rStyle w:val="CharacterStyle9"/>
              </w:rPr>
            </w:pPr>
            <w:r>
              <w:rPr>
                <w:rStyle w:val="CharacterStyle9"/>
              </w:rPr>
              <w:t>114.506,00</w:t>
            </w:r>
          </w:p>
        </w:tc>
        <w:tc>
          <w:tcPr>
            <w:tcW w:w="1395" w:type="dxa"/>
            <w:tcBorders>
              <w:bottom w:val="single" w:sz="6" w:space="0" w:color="000000"/>
              <w:right w:val="single" w:sz="6" w:space="0" w:color="000000"/>
            </w:tcBorders>
            <w:vAlign w:val="center"/>
          </w:tcPr>
          <w:p w14:paraId="546B1E9B" w14:textId="77777777" w:rsidR="007D706A" w:rsidRDefault="007D706A" w:rsidP="00F70508">
            <w:pPr>
              <w:pStyle w:val="ParagraphStyle9"/>
              <w:rPr>
                <w:rStyle w:val="CharacterStyle9"/>
              </w:rPr>
            </w:pPr>
            <w:r>
              <w:rPr>
                <w:rStyle w:val="CharacterStyle9"/>
              </w:rPr>
              <w:t>116.225,00</w:t>
            </w:r>
          </w:p>
        </w:tc>
      </w:tr>
      <w:tr w:rsidR="007D706A" w14:paraId="7AF2585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3465FE2"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0DD91674"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5C3F203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CC3505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BEE178F" w14:textId="77777777" w:rsidR="007D706A" w:rsidRDefault="007D706A" w:rsidP="00F70508">
            <w:pPr>
              <w:pStyle w:val="ParagraphStyle12"/>
              <w:rPr>
                <w:rStyle w:val="CharacterStyle12"/>
              </w:rPr>
            </w:pPr>
            <w:r>
              <w:rPr>
                <w:rStyle w:val="CharacterStyle12"/>
              </w:rPr>
              <w:t>107.558,00</w:t>
            </w:r>
          </w:p>
        </w:tc>
        <w:tc>
          <w:tcPr>
            <w:tcW w:w="1395" w:type="dxa"/>
            <w:tcBorders>
              <w:bottom w:val="single" w:sz="6" w:space="0" w:color="000000"/>
              <w:right w:val="single" w:sz="6" w:space="0" w:color="000000"/>
            </w:tcBorders>
            <w:vAlign w:val="center"/>
          </w:tcPr>
          <w:p w14:paraId="280AAFD4" w14:textId="77777777" w:rsidR="007D706A" w:rsidRDefault="007D706A" w:rsidP="00F70508">
            <w:pPr>
              <w:pStyle w:val="ParagraphStyle12"/>
              <w:rPr>
                <w:rStyle w:val="CharacterStyle12"/>
              </w:rPr>
            </w:pPr>
            <w:r>
              <w:rPr>
                <w:rStyle w:val="CharacterStyle12"/>
              </w:rPr>
              <w:t>109.171,00</w:t>
            </w:r>
          </w:p>
        </w:tc>
        <w:tc>
          <w:tcPr>
            <w:tcW w:w="1395" w:type="dxa"/>
            <w:tcBorders>
              <w:bottom w:val="single" w:sz="6" w:space="0" w:color="000000"/>
              <w:right w:val="single" w:sz="6" w:space="0" w:color="000000"/>
            </w:tcBorders>
            <w:vAlign w:val="center"/>
          </w:tcPr>
          <w:p w14:paraId="3D081AA1" w14:textId="77777777" w:rsidR="007D706A" w:rsidRDefault="007D706A" w:rsidP="00F70508">
            <w:pPr>
              <w:pStyle w:val="ParagraphStyle12"/>
              <w:rPr>
                <w:rStyle w:val="CharacterStyle12"/>
              </w:rPr>
            </w:pPr>
            <w:r>
              <w:rPr>
                <w:rStyle w:val="CharacterStyle12"/>
              </w:rPr>
              <w:t>110.805,00</w:t>
            </w:r>
          </w:p>
        </w:tc>
      </w:tr>
      <w:tr w:rsidR="007D706A" w14:paraId="334CD96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E3326B8"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4B612E18"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6A3232F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2DA55A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D1476F4" w14:textId="77777777" w:rsidR="007D706A" w:rsidRDefault="007D706A" w:rsidP="00F70508">
            <w:pPr>
              <w:pStyle w:val="ParagraphStyle12"/>
              <w:rPr>
                <w:rStyle w:val="CharacterStyle12"/>
              </w:rPr>
            </w:pPr>
            <w:r>
              <w:rPr>
                <w:rStyle w:val="CharacterStyle12"/>
              </w:rPr>
              <w:t>106.894,00</w:t>
            </w:r>
          </w:p>
        </w:tc>
        <w:tc>
          <w:tcPr>
            <w:tcW w:w="1395" w:type="dxa"/>
            <w:tcBorders>
              <w:bottom w:val="single" w:sz="6" w:space="0" w:color="000000"/>
              <w:right w:val="single" w:sz="6" w:space="0" w:color="000000"/>
            </w:tcBorders>
            <w:vAlign w:val="center"/>
          </w:tcPr>
          <w:p w14:paraId="05244A95" w14:textId="77777777" w:rsidR="007D706A" w:rsidRDefault="007D706A" w:rsidP="00F70508">
            <w:pPr>
              <w:pStyle w:val="ParagraphStyle12"/>
              <w:rPr>
                <w:rStyle w:val="CharacterStyle12"/>
              </w:rPr>
            </w:pPr>
            <w:r>
              <w:rPr>
                <w:rStyle w:val="CharacterStyle12"/>
              </w:rPr>
              <w:t>108.497,00</w:t>
            </w:r>
          </w:p>
        </w:tc>
        <w:tc>
          <w:tcPr>
            <w:tcW w:w="1395" w:type="dxa"/>
            <w:tcBorders>
              <w:bottom w:val="single" w:sz="6" w:space="0" w:color="000000"/>
              <w:right w:val="single" w:sz="6" w:space="0" w:color="000000"/>
            </w:tcBorders>
            <w:vAlign w:val="center"/>
          </w:tcPr>
          <w:p w14:paraId="5C4DE4BC" w14:textId="77777777" w:rsidR="007D706A" w:rsidRDefault="007D706A" w:rsidP="00F70508">
            <w:pPr>
              <w:pStyle w:val="ParagraphStyle12"/>
              <w:rPr>
                <w:rStyle w:val="CharacterStyle12"/>
              </w:rPr>
            </w:pPr>
            <w:r>
              <w:rPr>
                <w:rStyle w:val="CharacterStyle12"/>
              </w:rPr>
              <w:t>110.125,00</w:t>
            </w:r>
          </w:p>
        </w:tc>
      </w:tr>
      <w:tr w:rsidR="007D706A" w14:paraId="3639313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63C83AF" w14:textId="77777777" w:rsidR="007D706A" w:rsidRDefault="007D706A" w:rsidP="00F70508">
            <w:pPr>
              <w:pStyle w:val="ParagraphStyle10"/>
              <w:rPr>
                <w:rStyle w:val="CharacterStyle10"/>
              </w:rPr>
            </w:pPr>
            <w:r>
              <w:rPr>
                <w:rStyle w:val="CharacterStyle10"/>
              </w:rPr>
              <w:t>34</w:t>
            </w:r>
          </w:p>
        </w:tc>
        <w:tc>
          <w:tcPr>
            <w:tcW w:w="4995" w:type="dxa"/>
            <w:tcBorders>
              <w:bottom w:val="single" w:sz="6" w:space="0" w:color="000000"/>
              <w:right w:val="single" w:sz="6" w:space="0" w:color="000000"/>
            </w:tcBorders>
            <w:vAlign w:val="center"/>
          </w:tcPr>
          <w:p w14:paraId="7A948672" w14:textId="77777777" w:rsidR="007D706A" w:rsidRDefault="007D706A" w:rsidP="00F70508">
            <w:pPr>
              <w:pStyle w:val="ParagraphStyle11"/>
              <w:rPr>
                <w:rStyle w:val="CharacterStyle11"/>
              </w:rPr>
            </w:pPr>
            <w:r>
              <w:rPr>
                <w:rStyle w:val="CharacterStyle11"/>
              </w:rPr>
              <w:t>Financijski rashodi</w:t>
            </w:r>
          </w:p>
        </w:tc>
        <w:tc>
          <w:tcPr>
            <w:tcW w:w="1395" w:type="dxa"/>
            <w:tcBorders>
              <w:bottom w:val="single" w:sz="6" w:space="0" w:color="000000"/>
              <w:right w:val="single" w:sz="6" w:space="0" w:color="000000"/>
            </w:tcBorders>
            <w:vAlign w:val="center"/>
          </w:tcPr>
          <w:p w14:paraId="2EF6B44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96E10B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E84BE16" w14:textId="77777777" w:rsidR="007D706A" w:rsidRDefault="007D706A" w:rsidP="00F70508">
            <w:pPr>
              <w:pStyle w:val="ParagraphStyle12"/>
              <w:rPr>
                <w:rStyle w:val="CharacterStyle12"/>
              </w:rPr>
            </w:pPr>
            <w:r>
              <w:rPr>
                <w:rStyle w:val="CharacterStyle12"/>
              </w:rPr>
              <w:t>664,00</w:t>
            </w:r>
          </w:p>
        </w:tc>
        <w:tc>
          <w:tcPr>
            <w:tcW w:w="1395" w:type="dxa"/>
            <w:tcBorders>
              <w:bottom w:val="single" w:sz="6" w:space="0" w:color="000000"/>
              <w:right w:val="single" w:sz="6" w:space="0" w:color="000000"/>
            </w:tcBorders>
            <w:vAlign w:val="center"/>
          </w:tcPr>
          <w:p w14:paraId="657D17E6" w14:textId="77777777" w:rsidR="007D706A" w:rsidRDefault="007D706A" w:rsidP="00F70508">
            <w:pPr>
              <w:pStyle w:val="ParagraphStyle12"/>
              <w:rPr>
                <w:rStyle w:val="CharacterStyle12"/>
              </w:rPr>
            </w:pPr>
            <w:r>
              <w:rPr>
                <w:rStyle w:val="CharacterStyle12"/>
              </w:rPr>
              <w:t>674,00</w:t>
            </w:r>
          </w:p>
        </w:tc>
        <w:tc>
          <w:tcPr>
            <w:tcW w:w="1395" w:type="dxa"/>
            <w:tcBorders>
              <w:bottom w:val="single" w:sz="6" w:space="0" w:color="000000"/>
              <w:right w:val="single" w:sz="6" w:space="0" w:color="000000"/>
            </w:tcBorders>
            <w:vAlign w:val="center"/>
          </w:tcPr>
          <w:p w14:paraId="0B0ABE74" w14:textId="77777777" w:rsidR="007D706A" w:rsidRDefault="007D706A" w:rsidP="00F70508">
            <w:pPr>
              <w:pStyle w:val="ParagraphStyle12"/>
              <w:rPr>
                <w:rStyle w:val="CharacterStyle12"/>
              </w:rPr>
            </w:pPr>
            <w:r>
              <w:rPr>
                <w:rStyle w:val="CharacterStyle12"/>
              </w:rPr>
              <w:t>680,00</w:t>
            </w:r>
          </w:p>
        </w:tc>
      </w:tr>
      <w:tr w:rsidR="007D706A" w14:paraId="5BB2F89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B2128D3"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52280270"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63F2701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6C2B6F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6F1D355" w14:textId="77777777" w:rsidR="007D706A" w:rsidRDefault="007D706A" w:rsidP="00F70508">
            <w:pPr>
              <w:pStyle w:val="ParagraphStyle12"/>
              <w:rPr>
                <w:rStyle w:val="CharacterStyle12"/>
              </w:rPr>
            </w:pPr>
            <w:r>
              <w:rPr>
                <w:rStyle w:val="CharacterStyle12"/>
              </w:rPr>
              <w:t>5.256,00</w:t>
            </w:r>
          </w:p>
        </w:tc>
        <w:tc>
          <w:tcPr>
            <w:tcW w:w="1395" w:type="dxa"/>
            <w:tcBorders>
              <w:bottom w:val="single" w:sz="6" w:space="0" w:color="000000"/>
              <w:right w:val="single" w:sz="6" w:space="0" w:color="000000"/>
            </w:tcBorders>
            <w:vAlign w:val="center"/>
          </w:tcPr>
          <w:p w14:paraId="16454729" w14:textId="77777777" w:rsidR="007D706A" w:rsidRDefault="007D706A" w:rsidP="00F70508">
            <w:pPr>
              <w:pStyle w:val="ParagraphStyle12"/>
              <w:rPr>
                <w:rStyle w:val="CharacterStyle12"/>
              </w:rPr>
            </w:pPr>
            <w:r>
              <w:rPr>
                <w:rStyle w:val="CharacterStyle12"/>
              </w:rPr>
              <w:t>5.335,00</w:t>
            </w:r>
          </w:p>
        </w:tc>
        <w:tc>
          <w:tcPr>
            <w:tcW w:w="1395" w:type="dxa"/>
            <w:tcBorders>
              <w:bottom w:val="single" w:sz="6" w:space="0" w:color="000000"/>
              <w:right w:val="single" w:sz="6" w:space="0" w:color="000000"/>
            </w:tcBorders>
            <w:vAlign w:val="center"/>
          </w:tcPr>
          <w:p w14:paraId="7AC7BD38" w14:textId="77777777" w:rsidR="007D706A" w:rsidRDefault="007D706A" w:rsidP="00F70508">
            <w:pPr>
              <w:pStyle w:val="ParagraphStyle12"/>
              <w:rPr>
                <w:rStyle w:val="CharacterStyle12"/>
              </w:rPr>
            </w:pPr>
            <w:r>
              <w:rPr>
                <w:rStyle w:val="CharacterStyle12"/>
              </w:rPr>
              <w:t>5.420,00</w:t>
            </w:r>
          </w:p>
        </w:tc>
      </w:tr>
      <w:tr w:rsidR="007D706A" w14:paraId="0D0144D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BF6A9D0" w14:textId="77777777" w:rsidR="007D706A" w:rsidRDefault="007D706A" w:rsidP="00F70508">
            <w:pPr>
              <w:pStyle w:val="ParagraphStyle10"/>
              <w:rPr>
                <w:rStyle w:val="CharacterStyle10"/>
              </w:rPr>
            </w:pPr>
            <w:r>
              <w:rPr>
                <w:rStyle w:val="CharacterStyle10"/>
              </w:rPr>
              <w:t>42</w:t>
            </w:r>
          </w:p>
        </w:tc>
        <w:tc>
          <w:tcPr>
            <w:tcW w:w="4995" w:type="dxa"/>
            <w:tcBorders>
              <w:bottom w:val="single" w:sz="6" w:space="0" w:color="000000"/>
              <w:right w:val="single" w:sz="6" w:space="0" w:color="000000"/>
            </w:tcBorders>
            <w:vAlign w:val="center"/>
          </w:tcPr>
          <w:p w14:paraId="40DD9A48"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1074909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2DC329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48ECCF6" w14:textId="77777777" w:rsidR="007D706A" w:rsidRDefault="007D706A" w:rsidP="00F70508">
            <w:pPr>
              <w:pStyle w:val="ParagraphStyle12"/>
              <w:rPr>
                <w:rStyle w:val="CharacterStyle12"/>
              </w:rPr>
            </w:pPr>
            <w:r>
              <w:rPr>
                <w:rStyle w:val="CharacterStyle12"/>
              </w:rPr>
              <w:t>5.256,00</w:t>
            </w:r>
          </w:p>
        </w:tc>
        <w:tc>
          <w:tcPr>
            <w:tcW w:w="1395" w:type="dxa"/>
            <w:tcBorders>
              <w:bottom w:val="single" w:sz="6" w:space="0" w:color="000000"/>
              <w:right w:val="single" w:sz="6" w:space="0" w:color="000000"/>
            </w:tcBorders>
            <w:vAlign w:val="center"/>
          </w:tcPr>
          <w:p w14:paraId="6559D2FB" w14:textId="77777777" w:rsidR="007D706A" w:rsidRDefault="007D706A" w:rsidP="00F70508">
            <w:pPr>
              <w:pStyle w:val="ParagraphStyle12"/>
              <w:rPr>
                <w:rStyle w:val="CharacterStyle12"/>
              </w:rPr>
            </w:pPr>
            <w:r>
              <w:rPr>
                <w:rStyle w:val="CharacterStyle12"/>
              </w:rPr>
              <w:t>5.335,00</w:t>
            </w:r>
          </w:p>
        </w:tc>
        <w:tc>
          <w:tcPr>
            <w:tcW w:w="1395" w:type="dxa"/>
            <w:tcBorders>
              <w:bottom w:val="single" w:sz="6" w:space="0" w:color="000000"/>
              <w:right w:val="single" w:sz="6" w:space="0" w:color="000000"/>
            </w:tcBorders>
            <w:vAlign w:val="center"/>
          </w:tcPr>
          <w:p w14:paraId="41FFCA50" w14:textId="77777777" w:rsidR="007D706A" w:rsidRDefault="007D706A" w:rsidP="00F70508">
            <w:pPr>
              <w:pStyle w:val="ParagraphStyle12"/>
              <w:rPr>
                <w:rStyle w:val="CharacterStyle12"/>
              </w:rPr>
            </w:pPr>
            <w:r>
              <w:rPr>
                <w:rStyle w:val="CharacterStyle12"/>
              </w:rPr>
              <w:t>5.420,00</w:t>
            </w:r>
          </w:p>
        </w:tc>
      </w:tr>
      <w:tr w:rsidR="007D706A" w14:paraId="06D42F8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4B9D308" w14:textId="77777777" w:rsidR="007D706A" w:rsidRDefault="007D706A" w:rsidP="00F70508">
            <w:pPr>
              <w:pStyle w:val="ParagraphStyle7"/>
              <w:rPr>
                <w:rStyle w:val="CharacterStyle7"/>
              </w:rPr>
            </w:pPr>
            <w:r>
              <w:rPr>
                <w:rStyle w:val="CharacterStyle7"/>
              </w:rPr>
              <w:t>Izvor financiranja 5</w:t>
            </w:r>
          </w:p>
        </w:tc>
        <w:tc>
          <w:tcPr>
            <w:tcW w:w="4995" w:type="dxa"/>
            <w:tcBorders>
              <w:bottom w:val="single" w:sz="6" w:space="0" w:color="000000"/>
              <w:right w:val="single" w:sz="6" w:space="0" w:color="000000"/>
            </w:tcBorders>
            <w:vAlign w:val="center"/>
          </w:tcPr>
          <w:p w14:paraId="67E189DC" w14:textId="77777777" w:rsidR="007D706A" w:rsidRDefault="007D706A" w:rsidP="00F70508">
            <w:pPr>
              <w:pStyle w:val="ParagraphStyle8"/>
              <w:rPr>
                <w:rStyle w:val="CharacterStyle8"/>
              </w:rPr>
            </w:pPr>
            <w:r>
              <w:rPr>
                <w:rStyle w:val="CharacterStyle8"/>
              </w:rPr>
              <w:t>POMOĆI</w:t>
            </w:r>
          </w:p>
        </w:tc>
        <w:tc>
          <w:tcPr>
            <w:tcW w:w="1395" w:type="dxa"/>
            <w:tcBorders>
              <w:bottom w:val="single" w:sz="6" w:space="0" w:color="000000"/>
              <w:right w:val="single" w:sz="6" w:space="0" w:color="000000"/>
            </w:tcBorders>
            <w:vAlign w:val="center"/>
          </w:tcPr>
          <w:p w14:paraId="5272A05A"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27E77F6"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8CCD4FD" w14:textId="77777777" w:rsidR="007D706A" w:rsidRDefault="007D706A" w:rsidP="00F70508">
            <w:pPr>
              <w:pStyle w:val="ParagraphStyle9"/>
              <w:rPr>
                <w:rStyle w:val="CharacterStyle9"/>
              </w:rPr>
            </w:pPr>
            <w:r>
              <w:rPr>
                <w:rStyle w:val="CharacterStyle9"/>
              </w:rPr>
              <w:t>125.535,00</w:t>
            </w:r>
          </w:p>
        </w:tc>
        <w:tc>
          <w:tcPr>
            <w:tcW w:w="1395" w:type="dxa"/>
            <w:tcBorders>
              <w:bottom w:val="single" w:sz="6" w:space="0" w:color="000000"/>
              <w:right w:val="single" w:sz="6" w:space="0" w:color="000000"/>
            </w:tcBorders>
            <w:vAlign w:val="center"/>
          </w:tcPr>
          <w:p w14:paraId="05139F5E" w14:textId="77777777" w:rsidR="007D706A" w:rsidRDefault="007D706A" w:rsidP="00F70508">
            <w:pPr>
              <w:pStyle w:val="ParagraphStyle9"/>
              <w:rPr>
                <w:rStyle w:val="CharacterStyle9"/>
              </w:rPr>
            </w:pPr>
            <w:r>
              <w:rPr>
                <w:rStyle w:val="CharacterStyle9"/>
              </w:rPr>
              <w:t>124.600,00</w:t>
            </w:r>
          </w:p>
        </w:tc>
        <w:tc>
          <w:tcPr>
            <w:tcW w:w="1395" w:type="dxa"/>
            <w:tcBorders>
              <w:bottom w:val="single" w:sz="6" w:space="0" w:color="000000"/>
              <w:right w:val="single" w:sz="6" w:space="0" w:color="000000"/>
            </w:tcBorders>
            <w:vAlign w:val="center"/>
          </w:tcPr>
          <w:p w14:paraId="5CD58821" w14:textId="77777777" w:rsidR="007D706A" w:rsidRDefault="007D706A" w:rsidP="00F70508">
            <w:pPr>
              <w:pStyle w:val="ParagraphStyle9"/>
              <w:rPr>
                <w:rStyle w:val="CharacterStyle9"/>
              </w:rPr>
            </w:pPr>
            <w:r>
              <w:rPr>
                <w:rStyle w:val="CharacterStyle9"/>
              </w:rPr>
              <w:t>126.500,00</w:t>
            </w:r>
          </w:p>
        </w:tc>
      </w:tr>
      <w:tr w:rsidR="007D706A" w14:paraId="093F124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5314510"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1E332E90"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2C8E032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F1CF6B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532BA9A" w14:textId="77777777" w:rsidR="007D706A" w:rsidRDefault="007D706A" w:rsidP="00F70508">
            <w:pPr>
              <w:pStyle w:val="ParagraphStyle12"/>
              <w:rPr>
                <w:rStyle w:val="CharacterStyle12"/>
              </w:rPr>
            </w:pPr>
            <w:r>
              <w:rPr>
                <w:rStyle w:val="CharacterStyle12"/>
              </w:rPr>
              <w:t>125.535,00</w:t>
            </w:r>
          </w:p>
        </w:tc>
        <w:tc>
          <w:tcPr>
            <w:tcW w:w="1395" w:type="dxa"/>
            <w:tcBorders>
              <w:bottom w:val="single" w:sz="6" w:space="0" w:color="000000"/>
              <w:right w:val="single" w:sz="6" w:space="0" w:color="000000"/>
            </w:tcBorders>
            <w:vAlign w:val="center"/>
          </w:tcPr>
          <w:p w14:paraId="362D8F25" w14:textId="77777777" w:rsidR="007D706A" w:rsidRDefault="007D706A" w:rsidP="00F70508">
            <w:pPr>
              <w:pStyle w:val="ParagraphStyle12"/>
              <w:rPr>
                <w:rStyle w:val="CharacterStyle12"/>
              </w:rPr>
            </w:pPr>
            <w:r>
              <w:rPr>
                <w:rStyle w:val="CharacterStyle12"/>
              </w:rPr>
              <w:t>124.600,00</w:t>
            </w:r>
          </w:p>
        </w:tc>
        <w:tc>
          <w:tcPr>
            <w:tcW w:w="1395" w:type="dxa"/>
            <w:tcBorders>
              <w:bottom w:val="single" w:sz="6" w:space="0" w:color="000000"/>
              <w:right w:val="single" w:sz="6" w:space="0" w:color="000000"/>
            </w:tcBorders>
            <w:vAlign w:val="center"/>
          </w:tcPr>
          <w:p w14:paraId="0CD9592F" w14:textId="77777777" w:rsidR="007D706A" w:rsidRDefault="007D706A" w:rsidP="00F70508">
            <w:pPr>
              <w:pStyle w:val="ParagraphStyle12"/>
              <w:rPr>
                <w:rStyle w:val="CharacterStyle12"/>
              </w:rPr>
            </w:pPr>
            <w:r>
              <w:rPr>
                <w:rStyle w:val="CharacterStyle12"/>
              </w:rPr>
              <w:t>126.500,00</w:t>
            </w:r>
          </w:p>
        </w:tc>
      </w:tr>
      <w:tr w:rsidR="007D706A" w14:paraId="380EC58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3ACFC18" w14:textId="77777777" w:rsidR="007D706A" w:rsidRDefault="007D706A" w:rsidP="00F70508">
            <w:pPr>
              <w:pStyle w:val="ParagraphStyle10"/>
              <w:rPr>
                <w:rStyle w:val="CharacterStyle10"/>
              </w:rPr>
            </w:pPr>
            <w:r>
              <w:rPr>
                <w:rStyle w:val="CharacterStyle10"/>
              </w:rPr>
              <w:t>31</w:t>
            </w:r>
          </w:p>
        </w:tc>
        <w:tc>
          <w:tcPr>
            <w:tcW w:w="4995" w:type="dxa"/>
            <w:tcBorders>
              <w:bottom w:val="single" w:sz="6" w:space="0" w:color="000000"/>
              <w:right w:val="single" w:sz="6" w:space="0" w:color="000000"/>
            </w:tcBorders>
            <w:vAlign w:val="center"/>
          </w:tcPr>
          <w:p w14:paraId="2E4FF771" w14:textId="77777777" w:rsidR="007D706A" w:rsidRDefault="007D706A" w:rsidP="00F70508">
            <w:pPr>
              <w:pStyle w:val="ParagraphStyle11"/>
              <w:rPr>
                <w:rStyle w:val="CharacterStyle11"/>
              </w:rPr>
            </w:pPr>
            <w:r>
              <w:rPr>
                <w:rStyle w:val="CharacterStyle11"/>
              </w:rPr>
              <w:t>Rashodi za zaposlene</w:t>
            </w:r>
          </w:p>
        </w:tc>
        <w:tc>
          <w:tcPr>
            <w:tcW w:w="1395" w:type="dxa"/>
            <w:tcBorders>
              <w:bottom w:val="single" w:sz="6" w:space="0" w:color="000000"/>
              <w:right w:val="single" w:sz="6" w:space="0" w:color="000000"/>
            </w:tcBorders>
            <w:vAlign w:val="center"/>
          </w:tcPr>
          <w:p w14:paraId="4CD471E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D22B28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7282922" w14:textId="77777777" w:rsidR="007D706A" w:rsidRDefault="007D706A" w:rsidP="00F70508">
            <w:pPr>
              <w:pStyle w:val="ParagraphStyle12"/>
              <w:rPr>
                <w:rStyle w:val="CharacterStyle12"/>
              </w:rPr>
            </w:pPr>
            <w:r>
              <w:rPr>
                <w:rStyle w:val="CharacterStyle12"/>
              </w:rPr>
              <w:t>122.755,00</w:t>
            </w:r>
          </w:p>
        </w:tc>
        <w:tc>
          <w:tcPr>
            <w:tcW w:w="1395" w:type="dxa"/>
            <w:tcBorders>
              <w:bottom w:val="single" w:sz="6" w:space="0" w:color="000000"/>
              <w:right w:val="single" w:sz="6" w:space="0" w:color="000000"/>
            </w:tcBorders>
            <w:vAlign w:val="center"/>
          </w:tcPr>
          <w:p w14:paraId="2ABEBE64" w14:textId="77777777" w:rsidR="007D706A" w:rsidRDefault="007D706A" w:rsidP="00F70508">
            <w:pPr>
              <w:pStyle w:val="ParagraphStyle12"/>
              <w:rPr>
                <w:rStyle w:val="CharacterStyle12"/>
              </w:rPr>
            </w:pPr>
            <w:r>
              <w:rPr>
                <w:rStyle w:val="CharacterStyle12"/>
              </w:rPr>
              <w:t>124.600,00</w:t>
            </w:r>
          </w:p>
        </w:tc>
        <w:tc>
          <w:tcPr>
            <w:tcW w:w="1395" w:type="dxa"/>
            <w:tcBorders>
              <w:bottom w:val="single" w:sz="6" w:space="0" w:color="000000"/>
              <w:right w:val="single" w:sz="6" w:space="0" w:color="000000"/>
            </w:tcBorders>
            <w:vAlign w:val="center"/>
          </w:tcPr>
          <w:p w14:paraId="729ACF47" w14:textId="77777777" w:rsidR="007D706A" w:rsidRDefault="007D706A" w:rsidP="00F70508">
            <w:pPr>
              <w:pStyle w:val="ParagraphStyle12"/>
              <w:rPr>
                <w:rStyle w:val="CharacterStyle12"/>
              </w:rPr>
            </w:pPr>
            <w:r>
              <w:rPr>
                <w:rStyle w:val="CharacterStyle12"/>
              </w:rPr>
              <w:t>126.500,00</w:t>
            </w:r>
          </w:p>
        </w:tc>
      </w:tr>
      <w:tr w:rsidR="007D706A" w14:paraId="3E0055B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9BD0498"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5365FD4E"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0AB37B1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287095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17D0C9E" w14:textId="77777777" w:rsidR="007D706A" w:rsidRDefault="007D706A" w:rsidP="00F70508">
            <w:pPr>
              <w:pStyle w:val="ParagraphStyle12"/>
              <w:rPr>
                <w:rStyle w:val="CharacterStyle12"/>
              </w:rPr>
            </w:pPr>
            <w:r>
              <w:rPr>
                <w:rStyle w:val="CharacterStyle12"/>
              </w:rPr>
              <w:t>2.780,00</w:t>
            </w:r>
          </w:p>
        </w:tc>
        <w:tc>
          <w:tcPr>
            <w:tcW w:w="1395" w:type="dxa"/>
            <w:tcBorders>
              <w:bottom w:val="single" w:sz="6" w:space="0" w:color="000000"/>
              <w:right w:val="single" w:sz="6" w:space="0" w:color="000000"/>
            </w:tcBorders>
            <w:vAlign w:val="center"/>
          </w:tcPr>
          <w:p w14:paraId="2559D8F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2E59E8E" w14:textId="77777777" w:rsidR="007D706A" w:rsidRDefault="007D706A" w:rsidP="00F70508">
            <w:pPr>
              <w:pStyle w:val="ParagraphStyle12"/>
              <w:rPr>
                <w:rStyle w:val="CharacterStyle12"/>
              </w:rPr>
            </w:pPr>
            <w:r>
              <w:rPr>
                <w:rStyle w:val="CharacterStyle12"/>
              </w:rPr>
              <w:t>0,00</w:t>
            </w:r>
          </w:p>
        </w:tc>
      </w:tr>
      <w:tr w:rsidR="007D706A" w14:paraId="27D4336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DE66804" w14:textId="77777777" w:rsidR="007D706A" w:rsidRDefault="007D706A" w:rsidP="00F70508">
            <w:pPr>
              <w:pStyle w:val="ParagraphStyle7"/>
              <w:rPr>
                <w:rStyle w:val="CharacterStyle7"/>
              </w:rPr>
            </w:pPr>
            <w:r>
              <w:rPr>
                <w:rStyle w:val="CharacterStyle7"/>
              </w:rPr>
              <w:t>Izvor financiranja 50</w:t>
            </w:r>
          </w:p>
        </w:tc>
        <w:tc>
          <w:tcPr>
            <w:tcW w:w="4995" w:type="dxa"/>
            <w:tcBorders>
              <w:bottom w:val="single" w:sz="6" w:space="0" w:color="000000"/>
              <w:right w:val="single" w:sz="6" w:space="0" w:color="000000"/>
            </w:tcBorders>
            <w:vAlign w:val="center"/>
          </w:tcPr>
          <w:p w14:paraId="7B3133F2" w14:textId="77777777" w:rsidR="007D706A" w:rsidRDefault="007D706A" w:rsidP="00F70508">
            <w:pPr>
              <w:pStyle w:val="ParagraphStyle8"/>
              <w:rPr>
                <w:rStyle w:val="CharacterStyle8"/>
              </w:rPr>
            </w:pPr>
            <w:r>
              <w:rPr>
                <w:rStyle w:val="CharacterStyle8"/>
              </w:rPr>
              <w:t>Pomoći iz državnog proračuna</w:t>
            </w:r>
          </w:p>
        </w:tc>
        <w:tc>
          <w:tcPr>
            <w:tcW w:w="1395" w:type="dxa"/>
            <w:tcBorders>
              <w:bottom w:val="single" w:sz="6" w:space="0" w:color="000000"/>
              <w:right w:val="single" w:sz="6" w:space="0" w:color="000000"/>
            </w:tcBorders>
            <w:vAlign w:val="center"/>
          </w:tcPr>
          <w:p w14:paraId="29A2CA98"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542F079"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4104831" w14:textId="77777777" w:rsidR="007D706A" w:rsidRDefault="007D706A" w:rsidP="00F70508">
            <w:pPr>
              <w:pStyle w:val="ParagraphStyle9"/>
              <w:rPr>
                <w:rStyle w:val="CharacterStyle9"/>
              </w:rPr>
            </w:pPr>
            <w:r>
              <w:rPr>
                <w:rStyle w:val="CharacterStyle9"/>
              </w:rPr>
              <w:t>21.210,00</w:t>
            </w:r>
          </w:p>
        </w:tc>
        <w:tc>
          <w:tcPr>
            <w:tcW w:w="1395" w:type="dxa"/>
            <w:tcBorders>
              <w:bottom w:val="single" w:sz="6" w:space="0" w:color="000000"/>
              <w:right w:val="single" w:sz="6" w:space="0" w:color="000000"/>
            </w:tcBorders>
            <w:vAlign w:val="center"/>
          </w:tcPr>
          <w:p w14:paraId="0FAE71C5"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24F509C" w14:textId="77777777" w:rsidR="007D706A" w:rsidRDefault="007D706A" w:rsidP="00F70508">
            <w:pPr>
              <w:pStyle w:val="ParagraphStyle9"/>
              <w:rPr>
                <w:rStyle w:val="CharacterStyle9"/>
              </w:rPr>
            </w:pPr>
            <w:r>
              <w:rPr>
                <w:rStyle w:val="CharacterStyle9"/>
              </w:rPr>
              <w:t>0,00</w:t>
            </w:r>
          </w:p>
        </w:tc>
      </w:tr>
      <w:tr w:rsidR="007D706A" w14:paraId="6AC262B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2C5FD19"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508B5E68"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0DB189B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EFCBAF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09EA518" w14:textId="77777777" w:rsidR="007D706A" w:rsidRDefault="007D706A" w:rsidP="00F70508">
            <w:pPr>
              <w:pStyle w:val="ParagraphStyle12"/>
              <w:rPr>
                <w:rStyle w:val="CharacterStyle12"/>
              </w:rPr>
            </w:pPr>
            <w:r>
              <w:rPr>
                <w:rStyle w:val="CharacterStyle12"/>
              </w:rPr>
              <w:t>21.210,00</w:t>
            </w:r>
          </w:p>
        </w:tc>
        <w:tc>
          <w:tcPr>
            <w:tcW w:w="1395" w:type="dxa"/>
            <w:tcBorders>
              <w:bottom w:val="single" w:sz="6" w:space="0" w:color="000000"/>
              <w:right w:val="single" w:sz="6" w:space="0" w:color="000000"/>
            </w:tcBorders>
            <w:vAlign w:val="center"/>
          </w:tcPr>
          <w:p w14:paraId="11308F9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F026AA8" w14:textId="77777777" w:rsidR="007D706A" w:rsidRDefault="007D706A" w:rsidP="00F70508">
            <w:pPr>
              <w:pStyle w:val="ParagraphStyle12"/>
              <w:rPr>
                <w:rStyle w:val="CharacterStyle12"/>
              </w:rPr>
            </w:pPr>
            <w:r>
              <w:rPr>
                <w:rStyle w:val="CharacterStyle12"/>
              </w:rPr>
              <w:t>0,00</w:t>
            </w:r>
          </w:p>
        </w:tc>
      </w:tr>
      <w:tr w:rsidR="007D706A" w14:paraId="6251F0F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E528683" w14:textId="77777777" w:rsidR="007D706A" w:rsidRDefault="007D706A" w:rsidP="00F70508">
            <w:pPr>
              <w:pStyle w:val="ParagraphStyle10"/>
              <w:rPr>
                <w:rStyle w:val="CharacterStyle10"/>
              </w:rPr>
            </w:pPr>
            <w:r>
              <w:rPr>
                <w:rStyle w:val="CharacterStyle10"/>
              </w:rPr>
              <w:t>31</w:t>
            </w:r>
          </w:p>
        </w:tc>
        <w:tc>
          <w:tcPr>
            <w:tcW w:w="4995" w:type="dxa"/>
            <w:tcBorders>
              <w:bottom w:val="single" w:sz="6" w:space="0" w:color="000000"/>
              <w:right w:val="single" w:sz="6" w:space="0" w:color="000000"/>
            </w:tcBorders>
            <w:vAlign w:val="center"/>
          </w:tcPr>
          <w:p w14:paraId="7EFF1C9D" w14:textId="77777777" w:rsidR="007D706A" w:rsidRDefault="007D706A" w:rsidP="00F70508">
            <w:pPr>
              <w:pStyle w:val="ParagraphStyle11"/>
              <w:rPr>
                <w:rStyle w:val="CharacterStyle11"/>
              </w:rPr>
            </w:pPr>
            <w:r>
              <w:rPr>
                <w:rStyle w:val="CharacterStyle11"/>
              </w:rPr>
              <w:t>Rashodi za zaposlene</w:t>
            </w:r>
          </w:p>
        </w:tc>
        <w:tc>
          <w:tcPr>
            <w:tcW w:w="1395" w:type="dxa"/>
            <w:tcBorders>
              <w:bottom w:val="single" w:sz="6" w:space="0" w:color="000000"/>
              <w:right w:val="single" w:sz="6" w:space="0" w:color="000000"/>
            </w:tcBorders>
            <w:vAlign w:val="center"/>
          </w:tcPr>
          <w:p w14:paraId="1BF9A8C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3CB8F0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33A47F2" w14:textId="77777777" w:rsidR="007D706A" w:rsidRDefault="007D706A" w:rsidP="00F70508">
            <w:pPr>
              <w:pStyle w:val="ParagraphStyle12"/>
              <w:rPr>
                <w:rStyle w:val="CharacterStyle12"/>
              </w:rPr>
            </w:pPr>
            <w:r>
              <w:rPr>
                <w:rStyle w:val="CharacterStyle12"/>
              </w:rPr>
              <w:t>21.210,00</w:t>
            </w:r>
          </w:p>
        </w:tc>
        <w:tc>
          <w:tcPr>
            <w:tcW w:w="1395" w:type="dxa"/>
            <w:tcBorders>
              <w:bottom w:val="single" w:sz="6" w:space="0" w:color="000000"/>
              <w:right w:val="single" w:sz="6" w:space="0" w:color="000000"/>
            </w:tcBorders>
            <w:vAlign w:val="center"/>
          </w:tcPr>
          <w:p w14:paraId="2DE6F14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FC3B70C" w14:textId="77777777" w:rsidR="007D706A" w:rsidRDefault="007D706A" w:rsidP="00F70508">
            <w:pPr>
              <w:pStyle w:val="ParagraphStyle12"/>
              <w:rPr>
                <w:rStyle w:val="CharacterStyle12"/>
              </w:rPr>
            </w:pPr>
            <w:r>
              <w:rPr>
                <w:rStyle w:val="CharacterStyle12"/>
              </w:rPr>
              <w:t>0,00</w:t>
            </w:r>
          </w:p>
        </w:tc>
      </w:tr>
      <w:tr w:rsidR="007D706A" w14:paraId="4623DA9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C95467B" w14:textId="77777777" w:rsidR="007D706A" w:rsidRDefault="007D706A" w:rsidP="00F70508">
            <w:pPr>
              <w:pStyle w:val="ParagraphStyle7"/>
              <w:rPr>
                <w:rStyle w:val="CharacterStyle7"/>
              </w:rPr>
            </w:pPr>
            <w:r>
              <w:rPr>
                <w:rStyle w:val="CharacterStyle7"/>
              </w:rPr>
              <w:t>Izvor financiranja 52</w:t>
            </w:r>
          </w:p>
        </w:tc>
        <w:tc>
          <w:tcPr>
            <w:tcW w:w="4995" w:type="dxa"/>
            <w:tcBorders>
              <w:bottom w:val="single" w:sz="6" w:space="0" w:color="000000"/>
              <w:right w:val="single" w:sz="6" w:space="0" w:color="000000"/>
            </w:tcBorders>
            <w:vAlign w:val="center"/>
          </w:tcPr>
          <w:p w14:paraId="05BDE355" w14:textId="77777777" w:rsidR="007D706A" w:rsidRDefault="007D706A" w:rsidP="00F70508">
            <w:pPr>
              <w:pStyle w:val="ParagraphStyle8"/>
              <w:rPr>
                <w:rStyle w:val="CharacterStyle8"/>
              </w:rPr>
            </w:pPr>
            <w:r>
              <w:rPr>
                <w:rStyle w:val="CharacterStyle8"/>
              </w:rPr>
              <w:t>Ostale pomoći</w:t>
            </w:r>
          </w:p>
        </w:tc>
        <w:tc>
          <w:tcPr>
            <w:tcW w:w="1395" w:type="dxa"/>
            <w:tcBorders>
              <w:bottom w:val="single" w:sz="6" w:space="0" w:color="000000"/>
              <w:right w:val="single" w:sz="6" w:space="0" w:color="000000"/>
            </w:tcBorders>
            <w:vAlign w:val="center"/>
          </w:tcPr>
          <w:p w14:paraId="60C6F717"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C020492" w14:textId="77777777" w:rsidR="007D706A" w:rsidRDefault="007D706A" w:rsidP="00F70508">
            <w:pPr>
              <w:pStyle w:val="ParagraphStyle9"/>
              <w:rPr>
                <w:rStyle w:val="CharacterStyle9"/>
              </w:rPr>
            </w:pPr>
            <w:r>
              <w:rPr>
                <w:rStyle w:val="CharacterStyle9"/>
              </w:rPr>
              <w:t>1.000,00</w:t>
            </w:r>
          </w:p>
        </w:tc>
        <w:tc>
          <w:tcPr>
            <w:tcW w:w="1395" w:type="dxa"/>
            <w:tcBorders>
              <w:bottom w:val="single" w:sz="6" w:space="0" w:color="000000"/>
              <w:right w:val="single" w:sz="6" w:space="0" w:color="000000"/>
            </w:tcBorders>
            <w:vAlign w:val="center"/>
          </w:tcPr>
          <w:p w14:paraId="04763F5E" w14:textId="77777777" w:rsidR="007D706A" w:rsidRDefault="007D706A" w:rsidP="00F70508">
            <w:pPr>
              <w:pStyle w:val="ParagraphStyle9"/>
              <w:rPr>
                <w:rStyle w:val="CharacterStyle9"/>
              </w:rPr>
            </w:pPr>
            <w:r>
              <w:rPr>
                <w:rStyle w:val="CharacterStyle9"/>
              </w:rPr>
              <w:t>4.911,00</w:t>
            </w:r>
          </w:p>
        </w:tc>
        <w:tc>
          <w:tcPr>
            <w:tcW w:w="1395" w:type="dxa"/>
            <w:tcBorders>
              <w:bottom w:val="single" w:sz="6" w:space="0" w:color="000000"/>
              <w:right w:val="single" w:sz="6" w:space="0" w:color="000000"/>
            </w:tcBorders>
            <w:vAlign w:val="center"/>
          </w:tcPr>
          <w:p w14:paraId="4769A2F5" w14:textId="77777777" w:rsidR="007D706A" w:rsidRDefault="007D706A" w:rsidP="00F70508">
            <w:pPr>
              <w:pStyle w:val="ParagraphStyle9"/>
              <w:rPr>
                <w:rStyle w:val="CharacterStyle9"/>
              </w:rPr>
            </w:pPr>
            <w:r>
              <w:rPr>
                <w:rStyle w:val="CharacterStyle9"/>
              </w:rPr>
              <w:t>4.911,00</w:t>
            </w:r>
          </w:p>
        </w:tc>
        <w:tc>
          <w:tcPr>
            <w:tcW w:w="1395" w:type="dxa"/>
            <w:tcBorders>
              <w:bottom w:val="single" w:sz="6" w:space="0" w:color="000000"/>
              <w:right w:val="single" w:sz="6" w:space="0" w:color="000000"/>
            </w:tcBorders>
            <w:vAlign w:val="center"/>
          </w:tcPr>
          <w:p w14:paraId="3A9D787B" w14:textId="77777777" w:rsidR="007D706A" w:rsidRDefault="007D706A" w:rsidP="00F70508">
            <w:pPr>
              <w:pStyle w:val="ParagraphStyle9"/>
              <w:rPr>
                <w:rStyle w:val="CharacterStyle9"/>
              </w:rPr>
            </w:pPr>
            <w:r>
              <w:rPr>
                <w:rStyle w:val="CharacterStyle9"/>
              </w:rPr>
              <w:t>4.911,00</w:t>
            </w:r>
          </w:p>
        </w:tc>
      </w:tr>
      <w:tr w:rsidR="007D706A" w14:paraId="1A9AD5E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8863091"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7F0216B8"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0E2E8E3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B121006" w14:textId="77777777" w:rsidR="007D706A" w:rsidRDefault="007D706A" w:rsidP="00F70508">
            <w:pPr>
              <w:pStyle w:val="ParagraphStyle12"/>
              <w:rPr>
                <w:rStyle w:val="CharacterStyle12"/>
              </w:rPr>
            </w:pPr>
            <w:r>
              <w:rPr>
                <w:rStyle w:val="CharacterStyle12"/>
              </w:rPr>
              <w:t>1.000,00</w:t>
            </w:r>
          </w:p>
        </w:tc>
        <w:tc>
          <w:tcPr>
            <w:tcW w:w="1395" w:type="dxa"/>
            <w:tcBorders>
              <w:bottom w:val="single" w:sz="6" w:space="0" w:color="000000"/>
              <w:right w:val="single" w:sz="6" w:space="0" w:color="000000"/>
            </w:tcBorders>
            <w:vAlign w:val="center"/>
          </w:tcPr>
          <w:p w14:paraId="6EFD7352" w14:textId="77777777" w:rsidR="007D706A" w:rsidRDefault="007D706A" w:rsidP="00F70508">
            <w:pPr>
              <w:pStyle w:val="ParagraphStyle12"/>
              <w:rPr>
                <w:rStyle w:val="CharacterStyle12"/>
              </w:rPr>
            </w:pPr>
            <w:r>
              <w:rPr>
                <w:rStyle w:val="CharacterStyle12"/>
              </w:rPr>
              <w:t>3.318,00</w:t>
            </w:r>
          </w:p>
        </w:tc>
        <w:tc>
          <w:tcPr>
            <w:tcW w:w="1395" w:type="dxa"/>
            <w:tcBorders>
              <w:bottom w:val="single" w:sz="6" w:space="0" w:color="000000"/>
              <w:right w:val="single" w:sz="6" w:space="0" w:color="000000"/>
            </w:tcBorders>
            <w:vAlign w:val="center"/>
          </w:tcPr>
          <w:p w14:paraId="0C3DF306" w14:textId="77777777" w:rsidR="007D706A" w:rsidRDefault="007D706A" w:rsidP="00F70508">
            <w:pPr>
              <w:pStyle w:val="ParagraphStyle12"/>
              <w:rPr>
                <w:rStyle w:val="CharacterStyle12"/>
              </w:rPr>
            </w:pPr>
            <w:r>
              <w:rPr>
                <w:rStyle w:val="CharacterStyle12"/>
              </w:rPr>
              <w:t>3.318,00</w:t>
            </w:r>
          </w:p>
        </w:tc>
        <w:tc>
          <w:tcPr>
            <w:tcW w:w="1395" w:type="dxa"/>
            <w:tcBorders>
              <w:bottom w:val="single" w:sz="6" w:space="0" w:color="000000"/>
              <w:right w:val="single" w:sz="6" w:space="0" w:color="000000"/>
            </w:tcBorders>
            <w:vAlign w:val="center"/>
          </w:tcPr>
          <w:p w14:paraId="3FA0E5C0" w14:textId="77777777" w:rsidR="007D706A" w:rsidRDefault="007D706A" w:rsidP="00F70508">
            <w:pPr>
              <w:pStyle w:val="ParagraphStyle12"/>
              <w:rPr>
                <w:rStyle w:val="CharacterStyle12"/>
              </w:rPr>
            </w:pPr>
            <w:r>
              <w:rPr>
                <w:rStyle w:val="CharacterStyle12"/>
              </w:rPr>
              <w:t>3.318,00</w:t>
            </w:r>
          </w:p>
        </w:tc>
      </w:tr>
      <w:tr w:rsidR="007D706A" w14:paraId="46F080E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10D1958"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2E922CAC"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38C884F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FA1162C" w14:textId="77777777" w:rsidR="007D706A" w:rsidRDefault="007D706A" w:rsidP="00F70508">
            <w:pPr>
              <w:pStyle w:val="ParagraphStyle12"/>
              <w:rPr>
                <w:rStyle w:val="CharacterStyle12"/>
              </w:rPr>
            </w:pPr>
            <w:r>
              <w:rPr>
                <w:rStyle w:val="CharacterStyle12"/>
              </w:rPr>
              <w:t>1.000,00</w:t>
            </w:r>
          </w:p>
        </w:tc>
        <w:tc>
          <w:tcPr>
            <w:tcW w:w="1395" w:type="dxa"/>
            <w:tcBorders>
              <w:bottom w:val="single" w:sz="6" w:space="0" w:color="000000"/>
              <w:right w:val="single" w:sz="6" w:space="0" w:color="000000"/>
            </w:tcBorders>
            <w:vAlign w:val="center"/>
          </w:tcPr>
          <w:p w14:paraId="61DC8327" w14:textId="77777777" w:rsidR="007D706A" w:rsidRDefault="007D706A" w:rsidP="00F70508">
            <w:pPr>
              <w:pStyle w:val="ParagraphStyle12"/>
              <w:rPr>
                <w:rStyle w:val="CharacterStyle12"/>
              </w:rPr>
            </w:pPr>
            <w:r>
              <w:rPr>
                <w:rStyle w:val="CharacterStyle12"/>
              </w:rPr>
              <w:t>3.318,00</w:t>
            </w:r>
          </w:p>
        </w:tc>
        <w:tc>
          <w:tcPr>
            <w:tcW w:w="1395" w:type="dxa"/>
            <w:tcBorders>
              <w:bottom w:val="single" w:sz="6" w:space="0" w:color="000000"/>
              <w:right w:val="single" w:sz="6" w:space="0" w:color="000000"/>
            </w:tcBorders>
            <w:vAlign w:val="center"/>
          </w:tcPr>
          <w:p w14:paraId="63A06208" w14:textId="77777777" w:rsidR="007D706A" w:rsidRDefault="007D706A" w:rsidP="00F70508">
            <w:pPr>
              <w:pStyle w:val="ParagraphStyle12"/>
              <w:rPr>
                <w:rStyle w:val="CharacterStyle12"/>
              </w:rPr>
            </w:pPr>
            <w:r>
              <w:rPr>
                <w:rStyle w:val="CharacterStyle12"/>
              </w:rPr>
              <w:t>3.318,00</w:t>
            </w:r>
          </w:p>
        </w:tc>
        <w:tc>
          <w:tcPr>
            <w:tcW w:w="1395" w:type="dxa"/>
            <w:tcBorders>
              <w:bottom w:val="single" w:sz="6" w:space="0" w:color="000000"/>
              <w:right w:val="single" w:sz="6" w:space="0" w:color="000000"/>
            </w:tcBorders>
            <w:vAlign w:val="center"/>
          </w:tcPr>
          <w:p w14:paraId="1ADDB835" w14:textId="77777777" w:rsidR="007D706A" w:rsidRDefault="007D706A" w:rsidP="00F70508">
            <w:pPr>
              <w:pStyle w:val="ParagraphStyle12"/>
              <w:rPr>
                <w:rStyle w:val="CharacterStyle12"/>
              </w:rPr>
            </w:pPr>
            <w:r>
              <w:rPr>
                <w:rStyle w:val="CharacterStyle12"/>
              </w:rPr>
              <w:t>3.318,00</w:t>
            </w:r>
          </w:p>
        </w:tc>
      </w:tr>
      <w:tr w:rsidR="007D706A" w14:paraId="4ADC42B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38EDC5E"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6AA8B493"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65244E9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CE87D0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E1164E3" w14:textId="77777777" w:rsidR="007D706A" w:rsidRDefault="007D706A" w:rsidP="00F70508">
            <w:pPr>
              <w:pStyle w:val="ParagraphStyle12"/>
              <w:rPr>
                <w:rStyle w:val="CharacterStyle12"/>
              </w:rPr>
            </w:pPr>
            <w:r>
              <w:rPr>
                <w:rStyle w:val="CharacterStyle12"/>
              </w:rPr>
              <w:t>1.593,00</w:t>
            </w:r>
          </w:p>
        </w:tc>
        <w:tc>
          <w:tcPr>
            <w:tcW w:w="1395" w:type="dxa"/>
            <w:tcBorders>
              <w:bottom w:val="single" w:sz="6" w:space="0" w:color="000000"/>
              <w:right w:val="single" w:sz="6" w:space="0" w:color="000000"/>
            </w:tcBorders>
            <w:vAlign w:val="center"/>
          </w:tcPr>
          <w:p w14:paraId="3C582F28" w14:textId="77777777" w:rsidR="007D706A" w:rsidRDefault="007D706A" w:rsidP="00F70508">
            <w:pPr>
              <w:pStyle w:val="ParagraphStyle12"/>
              <w:rPr>
                <w:rStyle w:val="CharacterStyle12"/>
              </w:rPr>
            </w:pPr>
            <w:r>
              <w:rPr>
                <w:rStyle w:val="CharacterStyle12"/>
              </w:rPr>
              <w:t>1.593,00</w:t>
            </w:r>
          </w:p>
        </w:tc>
        <w:tc>
          <w:tcPr>
            <w:tcW w:w="1395" w:type="dxa"/>
            <w:tcBorders>
              <w:bottom w:val="single" w:sz="6" w:space="0" w:color="000000"/>
              <w:right w:val="single" w:sz="6" w:space="0" w:color="000000"/>
            </w:tcBorders>
            <w:vAlign w:val="center"/>
          </w:tcPr>
          <w:p w14:paraId="1E15F171" w14:textId="77777777" w:rsidR="007D706A" w:rsidRDefault="007D706A" w:rsidP="00F70508">
            <w:pPr>
              <w:pStyle w:val="ParagraphStyle12"/>
              <w:rPr>
                <w:rStyle w:val="CharacterStyle12"/>
              </w:rPr>
            </w:pPr>
            <w:r>
              <w:rPr>
                <w:rStyle w:val="CharacterStyle12"/>
              </w:rPr>
              <w:t>1.593,00</w:t>
            </w:r>
          </w:p>
        </w:tc>
      </w:tr>
      <w:tr w:rsidR="007D706A" w14:paraId="4ED99F7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EF7FE9B" w14:textId="77777777" w:rsidR="007D706A" w:rsidRDefault="007D706A" w:rsidP="00F70508">
            <w:pPr>
              <w:pStyle w:val="ParagraphStyle10"/>
              <w:rPr>
                <w:rStyle w:val="CharacterStyle10"/>
              </w:rPr>
            </w:pPr>
            <w:r>
              <w:rPr>
                <w:rStyle w:val="CharacterStyle10"/>
              </w:rPr>
              <w:t>42</w:t>
            </w:r>
          </w:p>
        </w:tc>
        <w:tc>
          <w:tcPr>
            <w:tcW w:w="4995" w:type="dxa"/>
            <w:tcBorders>
              <w:bottom w:val="single" w:sz="6" w:space="0" w:color="000000"/>
              <w:right w:val="single" w:sz="6" w:space="0" w:color="000000"/>
            </w:tcBorders>
            <w:vAlign w:val="center"/>
          </w:tcPr>
          <w:p w14:paraId="0AEF6CE2"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1E30D53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270AB3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7666AED" w14:textId="77777777" w:rsidR="007D706A" w:rsidRDefault="007D706A" w:rsidP="00F70508">
            <w:pPr>
              <w:pStyle w:val="ParagraphStyle12"/>
              <w:rPr>
                <w:rStyle w:val="CharacterStyle12"/>
              </w:rPr>
            </w:pPr>
            <w:r>
              <w:rPr>
                <w:rStyle w:val="CharacterStyle12"/>
              </w:rPr>
              <w:t>1.593,00</w:t>
            </w:r>
          </w:p>
        </w:tc>
        <w:tc>
          <w:tcPr>
            <w:tcW w:w="1395" w:type="dxa"/>
            <w:tcBorders>
              <w:bottom w:val="single" w:sz="6" w:space="0" w:color="000000"/>
              <w:right w:val="single" w:sz="6" w:space="0" w:color="000000"/>
            </w:tcBorders>
            <w:vAlign w:val="center"/>
          </w:tcPr>
          <w:p w14:paraId="3F20D42C" w14:textId="77777777" w:rsidR="007D706A" w:rsidRDefault="007D706A" w:rsidP="00F70508">
            <w:pPr>
              <w:pStyle w:val="ParagraphStyle12"/>
              <w:rPr>
                <w:rStyle w:val="CharacterStyle12"/>
              </w:rPr>
            </w:pPr>
            <w:r>
              <w:rPr>
                <w:rStyle w:val="CharacterStyle12"/>
              </w:rPr>
              <w:t>1.593,00</w:t>
            </w:r>
          </w:p>
        </w:tc>
        <w:tc>
          <w:tcPr>
            <w:tcW w:w="1395" w:type="dxa"/>
            <w:tcBorders>
              <w:bottom w:val="single" w:sz="6" w:space="0" w:color="000000"/>
              <w:right w:val="single" w:sz="6" w:space="0" w:color="000000"/>
            </w:tcBorders>
            <w:vAlign w:val="center"/>
          </w:tcPr>
          <w:p w14:paraId="69788029" w14:textId="77777777" w:rsidR="007D706A" w:rsidRDefault="007D706A" w:rsidP="00F70508">
            <w:pPr>
              <w:pStyle w:val="ParagraphStyle12"/>
              <w:rPr>
                <w:rStyle w:val="CharacterStyle12"/>
              </w:rPr>
            </w:pPr>
            <w:r>
              <w:rPr>
                <w:rStyle w:val="CharacterStyle12"/>
              </w:rPr>
              <w:t>1.593,00</w:t>
            </w:r>
          </w:p>
        </w:tc>
      </w:tr>
      <w:tr w:rsidR="007D706A" w14:paraId="71B25E4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DC7EB75" w14:textId="77777777" w:rsidR="007D706A" w:rsidRDefault="007D706A" w:rsidP="00F70508">
            <w:pPr>
              <w:pStyle w:val="ParagraphStyle7"/>
              <w:rPr>
                <w:rStyle w:val="CharacterStyle7"/>
              </w:rPr>
            </w:pPr>
            <w:r>
              <w:rPr>
                <w:rStyle w:val="CharacterStyle7"/>
              </w:rPr>
              <w:t>Izvor financiranja 53</w:t>
            </w:r>
          </w:p>
        </w:tc>
        <w:tc>
          <w:tcPr>
            <w:tcW w:w="4995" w:type="dxa"/>
            <w:tcBorders>
              <w:bottom w:val="single" w:sz="6" w:space="0" w:color="000000"/>
              <w:right w:val="single" w:sz="6" w:space="0" w:color="000000"/>
            </w:tcBorders>
            <w:vAlign w:val="center"/>
          </w:tcPr>
          <w:p w14:paraId="49A09CB4" w14:textId="77777777" w:rsidR="007D706A" w:rsidRDefault="007D706A" w:rsidP="00F70508">
            <w:pPr>
              <w:pStyle w:val="ParagraphStyle8"/>
              <w:rPr>
                <w:rStyle w:val="CharacterStyle8"/>
              </w:rPr>
            </w:pPr>
            <w:r>
              <w:rPr>
                <w:rStyle w:val="CharacterStyle8"/>
              </w:rPr>
              <w:t>Proračuni, drugi nivoi - za posebne i / ili ugovorene namjene</w:t>
            </w:r>
          </w:p>
        </w:tc>
        <w:tc>
          <w:tcPr>
            <w:tcW w:w="1395" w:type="dxa"/>
            <w:tcBorders>
              <w:bottom w:val="single" w:sz="6" w:space="0" w:color="000000"/>
              <w:right w:val="single" w:sz="6" w:space="0" w:color="000000"/>
            </w:tcBorders>
            <w:vAlign w:val="center"/>
          </w:tcPr>
          <w:p w14:paraId="31A87DE2"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7F20E6F" w14:textId="77777777" w:rsidR="007D706A" w:rsidRDefault="007D706A" w:rsidP="00F70508">
            <w:pPr>
              <w:pStyle w:val="ParagraphStyle9"/>
              <w:rPr>
                <w:rStyle w:val="CharacterStyle9"/>
              </w:rPr>
            </w:pPr>
            <w:r>
              <w:rPr>
                <w:rStyle w:val="CharacterStyle9"/>
              </w:rPr>
              <w:t>151.957,00</w:t>
            </w:r>
          </w:p>
        </w:tc>
        <w:tc>
          <w:tcPr>
            <w:tcW w:w="1395" w:type="dxa"/>
            <w:tcBorders>
              <w:bottom w:val="single" w:sz="6" w:space="0" w:color="000000"/>
              <w:right w:val="single" w:sz="6" w:space="0" w:color="000000"/>
            </w:tcBorders>
            <w:vAlign w:val="center"/>
          </w:tcPr>
          <w:p w14:paraId="0C208F2B"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8212C1A"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BA5C63A" w14:textId="77777777" w:rsidR="007D706A" w:rsidRDefault="007D706A" w:rsidP="00F70508">
            <w:pPr>
              <w:pStyle w:val="ParagraphStyle9"/>
              <w:rPr>
                <w:rStyle w:val="CharacterStyle9"/>
              </w:rPr>
            </w:pPr>
            <w:r>
              <w:rPr>
                <w:rStyle w:val="CharacterStyle9"/>
              </w:rPr>
              <w:t>0,00</w:t>
            </w:r>
          </w:p>
        </w:tc>
      </w:tr>
      <w:tr w:rsidR="007D706A" w14:paraId="7ADCCD16"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2D8E23A"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356BA9B5"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7E5A480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88A85D1" w14:textId="77777777" w:rsidR="007D706A" w:rsidRDefault="007D706A" w:rsidP="00F70508">
            <w:pPr>
              <w:pStyle w:val="ParagraphStyle12"/>
              <w:rPr>
                <w:rStyle w:val="CharacterStyle12"/>
              </w:rPr>
            </w:pPr>
            <w:r>
              <w:rPr>
                <w:rStyle w:val="CharacterStyle12"/>
              </w:rPr>
              <w:t>151.957,00</w:t>
            </w:r>
          </w:p>
        </w:tc>
        <w:tc>
          <w:tcPr>
            <w:tcW w:w="1395" w:type="dxa"/>
            <w:tcBorders>
              <w:bottom w:val="single" w:sz="6" w:space="0" w:color="000000"/>
              <w:right w:val="single" w:sz="6" w:space="0" w:color="000000"/>
            </w:tcBorders>
            <w:vAlign w:val="center"/>
          </w:tcPr>
          <w:p w14:paraId="253C893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E68676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653E09E" w14:textId="77777777" w:rsidR="007D706A" w:rsidRDefault="007D706A" w:rsidP="00F70508">
            <w:pPr>
              <w:pStyle w:val="ParagraphStyle12"/>
              <w:rPr>
                <w:rStyle w:val="CharacterStyle12"/>
              </w:rPr>
            </w:pPr>
            <w:r>
              <w:rPr>
                <w:rStyle w:val="CharacterStyle12"/>
              </w:rPr>
              <w:t>0,00</w:t>
            </w:r>
          </w:p>
        </w:tc>
      </w:tr>
      <w:tr w:rsidR="007D706A" w14:paraId="7E44F64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3B4ADF9" w14:textId="77777777" w:rsidR="007D706A" w:rsidRDefault="007D706A" w:rsidP="00F70508">
            <w:pPr>
              <w:pStyle w:val="ParagraphStyle10"/>
              <w:rPr>
                <w:rStyle w:val="CharacterStyle10"/>
              </w:rPr>
            </w:pPr>
            <w:r>
              <w:rPr>
                <w:rStyle w:val="CharacterStyle10"/>
              </w:rPr>
              <w:t>31</w:t>
            </w:r>
          </w:p>
        </w:tc>
        <w:tc>
          <w:tcPr>
            <w:tcW w:w="4995" w:type="dxa"/>
            <w:tcBorders>
              <w:bottom w:val="single" w:sz="6" w:space="0" w:color="000000"/>
              <w:right w:val="single" w:sz="6" w:space="0" w:color="000000"/>
            </w:tcBorders>
            <w:vAlign w:val="center"/>
          </w:tcPr>
          <w:p w14:paraId="4582C900" w14:textId="77777777" w:rsidR="007D706A" w:rsidRDefault="007D706A" w:rsidP="00F70508">
            <w:pPr>
              <w:pStyle w:val="ParagraphStyle11"/>
              <w:rPr>
                <w:rStyle w:val="CharacterStyle11"/>
              </w:rPr>
            </w:pPr>
            <w:r>
              <w:rPr>
                <w:rStyle w:val="CharacterStyle11"/>
              </w:rPr>
              <w:t>Rashodi za zaposlene</w:t>
            </w:r>
          </w:p>
        </w:tc>
        <w:tc>
          <w:tcPr>
            <w:tcW w:w="1395" w:type="dxa"/>
            <w:tcBorders>
              <w:bottom w:val="single" w:sz="6" w:space="0" w:color="000000"/>
              <w:right w:val="single" w:sz="6" w:space="0" w:color="000000"/>
            </w:tcBorders>
            <w:vAlign w:val="center"/>
          </w:tcPr>
          <w:p w14:paraId="4565F0E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2D7709B" w14:textId="77777777" w:rsidR="007D706A" w:rsidRDefault="007D706A" w:rsidP="00F70508">
            <w:pPr>
              <w:pStyle w:val="ParagraphStyle12"/>
              <w:rPr>
                <w:rStyle w:val="CharacterStyle12"/>
              </w:rPr>
            </w:pPr>
            <w:r>
              <w:rPr>
                <w:rStyle w:val="CharacterStyle12"/>
              </w:rPr>
              <w:t>149.516,00</w:t>
            </w:r>
          </w:p>
        </w:tc>
        <w:tc>
          <w:tcPr>
            <w:tcW w:w="1395" w:type="dxa"/>
            <w:tcBorders>
              <w:bottom w:val="single" w:sz="6" w:space="0" w:color="000000"/>
              <w:right w:val="single" w:sz="6" w:space="0" w:color="000000"/>
            </w:tcBorders>
            <w:vAlign w:val="center"/>
          </w:tcPr>
          <w:p w14:paraId="4E07EE5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14F0ED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0F83CE4" w14:textId="77777777" w:rsidR="007D706A" w:rsidRDefault="007D706A" w:rsidP="00F70508">
            <w:pPr>
              <w:pStyle w:val="ParagraphStyle12"/>
              <w:rPr>
                <w:rStyle w:val="CharacterStyle12"/>
              </w:rPr>
            </w:pPr>
            <w:r>
              <w:rPr>
                <w:rStyle w:val="CharacterStyle12"/>
              </w:rPr>
              <w:t>0,00</w:t>
            </w:r>
          </w:p>
        </w:tc>
      </w:tr>
      <w:tr w:rsidR="007D706A" w14:paraId="3770A3C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6A900F2"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0C962733"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776A767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A5084A2" w14:textId="77777777" w:rsidR="007D706A" w:rsidRDefault="007D706A" w:rsidP="00F70508">
            <w:pPr>
              <w:pStyle w:val="ParagraphStyle12"/>
              <w:rPr>
                <w:rStyle w:val="CharacterStyle12"/>
              </w:rPr>
            </w:pPr>
            <w:r>
              <w:rPr>
                <w:rStyle w:val="CharacterStyle12"/>
              </w:rPr>
              <w:t>2.441,00</w:t>
            </w:r>
          </w:p>
        </w:tc>
        <w:tc>
          <w:tcPr>
            <w:tcW w:w="1395" w:type="dxa"/>
            <w:tcBorders>
              <w:bottom w:val="single" w:sz="6" w:space="0" w:color="000000"/>
              <w:right w:val="single" w:sz="6" w:space="0" w:color="000000"/>
            </w:tcBorders>
            <w:vAlign w:val="center"/>
          </w:tcPr>
          <w:p w14:paraId="0DFD11F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0A820A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CF894C9" w14:textId="77777777" w:rsidR="007D706A" w:rsidRDefault="007D706A" w:rsidP="00F70508">
            <w:pPr>
              <w:pStyle w:val="ParagraphStyle12"/>
              <w:rPr>
                <w:rStyle w:val="CharacterStyle12"/>
              </w:rPr>
            </w:pPr>
            <w:r>
              <w:rPr>
                <w:rStyle w:val="CharacterStyle12"/>
              </w:rPr>
              <w:t>0,00</w:t>
            </w:r>
          </w:p>
        </w:tc>
      </w:tr>
      <w:tr w:rsidR="007D706A" w14:paraId="6DA3D1B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74720EA" w14:textId="77777777" w:rsidR="007D706A" w:rsidRDefault="007D706A" w:rsidP="00F70508">
            <w:pPr>
              <w:pStyle w:val="ParagraphStyle7"/>
              <w:rPr>
                <w:rStyle w:val="CharacterStyle7"/>
              </w:rPr>
            </w:pPr>
            <w:r>
              <w:rPr>
                <w:rStyle w:val="CharacterStyle7"/>
              </w:rPr>
              <w:t>Izvor financiranja 55</w:t>
            </w:r>
          </w:p>
        </w:tc>
        <w:tc>
          <w:tcPr>
            <w:tcW w:w="4995" w:type="dxa"/>
            <w:tcBorders>
              <w:bottom w:val="single" w:sz="6" w:space="0" w:color="000000"/>
              <w:right w:val="single" w:sz="6" w:space="0" w:color="000000"/>
            </w:tcBorders>
            <w:vAlign w:val="center"/>
          </w:tcPr>
          <w:p w14:paraId="7EC6B03C" w14:textId="77777777" w:rsidR="007D706A" w:rsidRDefault="007D706A" w:rsidP="00F70508">
            <w:pPr>
              <w:pStyle w:val="ParagraphStyle8"/>
              <w:rPr>
                <w:rStyle w:val="CharacterStyle8"/>
              </w:rPr>
            </w:pPr>
            <w:r>
              <w:rPr>
                <w:rStyle w:val="CharacterStyle8"/>
              </w:rPr>
              <w:t>Pomoći iz inozemstva</w:t>
            </w:r>
          </w:p>
        </w:tc>
        <w:tc>
          <w:tcPr>
            <w:tcW w:w="1395" w:type="dxa"/>
            <w:tcBorders>
              <w:bottom w:val="single" w:sz="6" w:space="0" w:color="000000"/>
              <w:right w:val="single" w:sz="6" w:space="0" w:color="000000"/>
            </w:tcBorders>
            <w:vAlign w:val="center"/>
          </w:tcPr>
          <w:p w14:paraId="2763D81F"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C66ED83" w14:textId="77777777" w:rsidR="007D706A" w:rsidRDefault="007D706A" w:rsidP="00F70508">
            <w:pPr>
              <w:pStyle w:val="ParagraphStyle9"/>
              <w:rPr>
                <w:rStyle w:val="CharacterStyle9"/>
              </w:rPr>
            </w:pPr>
            <w:r>
              <w:rPr>
                <w:rStyle w:val="CharacterStyle9"/>
              </w:rPr>
              <w:t>4.911,00</w:t>
            </w:r>
          </w:p>
        </w:tc>
        <w:tc>
          <w:tcPr>
            <w:tcW w:w="1395" w:type="dxa"/>
            <w:tcBorders>
              <w:bottom w:val="single" w:sz="6" w:space="0" w:color="000000"/>
              <w:right w:val="single" w:sz="6" w:space="0" w:color="000000"/>
            </w:tcBorders>
            <w:vAlign w:val="center"/>
          </w:tcPr>
          <w:p w14:paraId="53B282AC"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24BD049"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1824528" w14:textId="77777777" w:rsidR="007D706A" w:rsidRDefault="007D706A" w:rsidP="00F70508">
            <w:pPr>
              <w:pStyle w:val="ParagraphStyle9"/>
              <w:rPr>
                <w:rStyle w:val="CharacterStyle9"/>
              </w:rPr>
            </w:pPr>
            <w:r>
              <w:rPr>
                <w:rStyle w:val="CharacterStyle9"/>
              </w:rPr>
              <w:t>0,00</w:t>
            </w:r>
          </w:p>
        </w:tc>
      </w:tr>
      <w:tr w:rsidR="007D706A" w14:paraId="7CB6251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0B0730E"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4C3AAE63"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0240DEB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DABCDCC" w14:textId="77777777" w:rsidR="007D706A" w:rsidRDefault="007D706A" w:rsidP="00F70508">
            <w:pPr>
              <w:pStyle w:val="ParagraphStyle12"/>
              <w:rPr>
                <w:rStyle w:val="CharacterStyle12"/>
              </w:rPr>
            </w:pPr>
            <w:r>
              <w:rPr>
                <w:rStyle w:val="CharacterStyle12"/>
              </w:rPr>
              <w:t>3.318,00</w:t>
            </w:r>
          </w:p>
        </w:tc>
        <w:tc>
          <w:tcPr>
            <w:tcW w:w="1395" w:type="dxa"/>
            <w:tcBorders>
              <w:bottom w:val="single" w:sz="6" w:space="0" w:color="000000"/>
              <w:right w:val="single" w:sz="6" w:space="0" w:color="000000"/>
            </w:tcBorders>
            <w:vAlign w:val="center"/>
          </w:tcPr>
          <w:p w14:paraId="1302C60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C72FC5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2485A1F" w14:textId="77777777" w:rsidR="007D706A" w:rsidRDefault="007D706A" w:rsidP="00F70508">
            <w:pPr>
              <w:pStyle w:val="ParagraphStyle12"/>
              <w:rPr>
                <w:rStyle w:val="CharacterStyle12"/>
              </w:rPr>
            </w:pPr>
            <w:r>
              <w:rPr>
                <w:rStyle w:val="CharacterStyle12"/>
              </w:rPr>
              <w:t>0,00</w:t>
            </w:r>
          </w:p>
        </w:tc>
      </w:tr>
      <w:tr w:rsidR="007D706A" w14:paraId="593890B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2BA98CE"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7B851DEE"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3CDA207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71CF39D" w14:textId="77777777" w:rsidR="007D706A" w:rsidRDefault="007D706A" w:rsidP="00F70508">
            <w:pPr>
              <w:pStyle w:val="ParagraphStyle12"/>
              <w:rPr>
                <w:rStyle w:val="CharacterStyle12"/>
              </w:rPr>
            </w:pPr>
            <w:r>
              <w:rPr>
                <w:rStyle w:val="CharacterStyle12"/>
              </w:rPr>
              <w:t>3.318,00</w:t>
            </w:r>
          </w:p>
        </w:tc>
        <w:tc>
          <w:tcPr>
            <w:tcW w:w="1395" w:type="dxa"/>
            <w:tcBorders>
              <w:bottom w:val="single" w:sz="6" w:space="0" w:color="000000"/>
              <w:right w:val="single" w:sz="6" w:space="0" w:color="000000"/>
            </w:tcBorders>
            <w:vAlign w:val="center"/>
          </w:tcPr>
          <w:p w14:paraId="4CBA9B3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DE143E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5F6D43A" w14:textId="77777777" w:rsidR="007D706A" w:rsidRDefault="007D706A" w:rsidP="00F70508">
            <w:pPr>
              <w:pStyle w:val="ParagraphStyle12"/>
              <w:rPr>
                <w:rStyle w:val="CharacterStyle12"/>
              </w:rPr>
            </w:pPr>
            <w:r>
              <w:rPr>
                <w:rStyle w:val="CharacterStyle12"/>
              </w:rPr>
              <w:t>0,00</w:t>
            </w:r>
          </w:p>
        </w:tc>
      </w:tr>
      <w:tr w:rsidR="007D706A" w14:paraId="755A406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A144F36"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282FB431"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4920930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1B4EAC8" w14:textId="77777777" w:rsidR="007D706A" w:rsidRDefault="007D706A" w:rsidP="00F70508">
            <w:pPr>
              <w:pStyle w:val="ParagraphStyle12"/>
              <w:rPr>
                <w:rStyle w:val="CharacterStyle12"/>
              </w:rPr>
            </w:pPr>
            <w:r>
              <w:rPr>
                <w:rStyle w:val="CharacterStyle12"/>
              </w:rPr>
              <w:t>1.593,00</w:t>
            </w:r>
          </w:p>
        </w:tc>
        <w:tc>
          <w:tcPr>
            <w:tcW w:w="1395" w:type="dxa"/>
            <w:tcBorders>
              <w:bottom w:val="single" w:sz="6" w:space="0" w:color="000000"/>
              <w:right w:val="single" w:sz="6" w:space="0" w:color="000000"/>
            </w:tcBorders>
            <w:vAlign w:val="center"/>
          </w:tcPr>
          <w:p w14:paraId="149FA47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B7550B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EA61AAD" w14:textId="77777777" w:rsidR="007D706A" w:rsidRDefault="007D706A" w:rsidP="00F70508">
            <w:pPr>
              <w:pStyle w:val="ParagraphStyle12"/>
              <w:rPr>
                <w:rStyle w:val="CharacterStyle12"/>
              </w:rPr>
            </w:pPr>
            <w:r>
              <w:rPr>
                <w:rStyle w:val="CharacterStyle12"/>
              </w:rPr>
              <w:t>0,00</w:t>
            </w:r>
          </w:p>
        </w:tc>
      </w:tr>
      <w:tr w:rsidR="007D706A" w14:paraId="3F617A4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2659C71" w14:textId="77777777" w:rsidR="007D706A" w:rsidRDefault="007D706A" w:rsidP="00F70508">
            <w:pPr>
              <w:pStyle w:val="ParagraphStyle10"/>
              <w:rPr>
                <w:rStyle w:val="CharacterStyle10"/>
              </w:rPr>
            </w:pPr>
            <w:r>
              <w:rPr>
                <w:rStyle w:val="CharacterStyle10"/>
              </w:rPr>
              <w:t>42</w:t>
            </w:r>
          </w:p>
        </w:tc>
        <w:tc>
          <w:tcPr>
            <w:tcW w:w="4995" w:type="dxa"/>
            <w:tcBorders>
              <w:bottom w:val="single" w:sz="6" w:space="0" w:color="000000"/>
              <w:right w:val="single" w:sz="6" w:space="0" w:color="000000"/>
            </w:tcBorders>
            <w:vAlign w:val="center"/>
          </w:tcPr>
          <w:p w14:paraId="2F2F599E"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468DCF9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96117B0" w14:textId="77777777" w:rsidR="007D706A" w:rsidRDefault="007D706A" w:rsidP="00F70508">
            <w:pPr>
              <w:pStyle w:val="ParagraphStyle12"/>
              <w:rPr>
                <w:rStyle w:val="CharacterStyle12"/>
              </w:rPr>
            </w:pPr>
            <w:r>
              <w:rPr>
                <w:rStyle w:val="CharacterStyle12"/>
              </w:rPr>
              <w:t>1.593,00</w:t>
            </w:r>
          </w:p>
        </w:tc>
        <w:tc>
          <w:tcPr>
            <w:tcW w:w="1395" w:type="dxa"/>
            <w:tcBorders>
              <w:bottom w:val="single" w:sz="6" w:space="0" w:color="000000"/>
              <w:right w:val="single" w:sz="6" w:space="0" w:color="000000"/>
            </w:tcBorders>
            <w:vAlign w:val="center"/>
          </w:tcPr>
          <w:p w14:paraId="2CD69A3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FE83E8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BB37A23" w14:textId="77777777" w:rsidR="007D706A" w:rsidRDefault="007D706A" w:rsidP="00F70508">
            <w:pPr>
              <w:pStyle w:val="ParagraphStyle12"/>
              <w:rPr>
                <w:rStyle w:val="CharacterStyle12"/>
              </w:rPr>
            </w:pPr>
            <w:r>
              <w:rPr>
                <w:rStyle w:val="CharacterStyle12"/>
              </w:rPr>
              <w:t>0,00</w:t>
            </w:r>
          </w:p>
        </w:tc>
      </w:tr>
      <w:tr w:rsidR="007D706A" w14:paraId="35CBF93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99D401A" w14:textId="77777777" w:rsidR="007D706A" w:rsidRDefault="007D706A" w:rsidP="00F70508">
            <w:pPr>
              <w:pStyle w:val="ParagraphStyle7"/>
              <w:rPr>
                <w:rStyle w:val="CharacterStyle7"/>
              </w:rPr>
            </w:pPr>
            <w:r>
              <w:rPr>
                <w:rStyle w:val="CharacterStyle7"/>
              </w:rPr>
              <w:t>Izvor financiranja 61</w:t>
            </w:r>
          </w:p>
        </w:tc>
        <w:tc>
          <w:tcPr>
            <w:tcW w:w="4995" w:type="dxa"/>
            <w:tcBorders>
              <w:bottom w:val="single" w:sz="6" w:space="0" w:color="000000"/>
              <w:right w:val="single" w:sz="6" w:space="0" w:color="000000"/>
            </w:tcBorders>
            <w:vAlign w:val="center"/>
          </w:tcPr>
          <w:p w14:paraId="40B0E968" w14:textId="77777777" w:rsidR="007D706A" w:rsidRDefault="007D706A" w:rsidP="00F70508">
            <w:pPr>
              <w:pStyle w:val="ParagraphStyle8"/>
              <w:rPr>
                <w:rStyle w:val="CharacterStyle8"/>
              </w:rPr>
            </w:pPr>
            <w:r>
              <w:rPr>
                <w:rStyle w:val="CharacterStyle8"/>
              </w:rPr>
              <w:t>Donacije</w:t>
            </w:r>
          </w:p>
        </w:tc>
        <w:tc>
          <w:tcPr>
            <w:tcW w:w="1395" w:type="dxa"/>
            <w:tcBorders>
              <w:bottom w:val="single" w:sz="6" w:space="0" w:color="000000"/>
              <w:right w:val="single" w:sz="6" w:space="0" w:color="000000"/>
            </w:tcBorders>
            <w:vAlign w:val="center"/>
          </w:tcPr>
          <w:p w14:paraId="5DF70AF4"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96C1A1D" w14:textId="77777777" w:rsidR="007D706A" w:rsidRDefault="007D706A" w:rsidP="00F70508">
            <w:pPr>
              <w:pStyle w:val="ParagraphStyle9"/>
              <w:rPr>
                <w:rStyle w:val="CharacterStyle9"/>
              </w:rPr>
            </w:pPr>
            <w:r>
              <w:rPr>
                <w:rStyle w:val="CharacterStyle9"/>
              </w:rPr>
              <w:t>7.085,00</w:t>
            </w:r>
          </w:p>
        </w:tc>
        <w:tc>
          <w:tcPr>
            <w:tcW w:w="1395" w:type="dxa"/>
            <w:tcBorders>
              <w:bottom w:val="single" w:sz="6" w:space="0" w:color="000000"/>
              <w:right w:val="single" w:sz="6" w:space="0" w:color="000000"/>
            </w:tcBorders>
            <w:vAlign w:val="center"/>
          </w:tcPr>
          <w:p w14:paraId="7332C4D1" w14:textId="77777777" w:rsidR="007D706A" w:rsidRDefault="007D706A" w:rsidP="00F70508">
            <w:pPr>
              <w:pStyle w:val="ParagraphStyle9"/>
              <w:rPr>
                <w:rStyle w:val="CharacterStyle9"/>
              </w:rPr>
            </w:pPr>
            <w:r>
              <w:rPr>
                <w:rStyle w:val="CharacterStyle9"/>
              </w:rPr>
              <w:t>7.085,00</w:t>
            </w:r>
          </w:p>
        </w:tc>
        <w:tc>
          <w:tcPr>
            <w:tcW w:w="1395" w:type="dxa"/>
            <w:tcBorders>
              <w:bottom w:val="single" w:sz="6" w:space="0" w:color="000000"/>
              <w:right w:val="single" w:sz="6" w:space="0" w:color="000000"/>
            </w:tcBorders>
            <w:vAlign w:val="center"/>
          </w:tcPr>
          <w:p w14:paraId="7DB5708C" w14:textId="77777777" w:rsidR="007D706A" w:rsidRDefault="007D706A" w:rsidP="00F70508">
            <w:pPr>
              <w:pStyle w:val="ParagraphStyle9"/>
              <w:rPr>
                <w:rStyle w:val="CharacterStyle9"/>
              </w:rPr>
            </w:pPr>
            <w:r>
              <w:rPr>
                <w:rStyle w:val="CharacterStyle9"/>
              </w:rPr>
              <w:t>7.085,00</w:t>
            </w:r>
          </w:p>
        </w:tc>
        <w:tc>
          <w:tcPr>
            <w:tcW w:w="1395" w:type="dxa"/>
            <w:tcBorders>
              <w:bottom w:val="single" w:sz="6" w:space="0" w:color="000000"/>
              <w:right w:val="single" w:sz="6" w:space="0" w:color="000000"/>
            </w:tcBorders>
            <w:vAlign w:val="center"/>
          </w:tcPr>
          <w:p w14:paraId="34AB96FB" w14:textId="77777777" w:rsidR="007D706A" w:rsidRDefault="007D706A" w:rsidP="00F70508">
            <w:pPr>
              <w:pStyle w:val="ParagraphStyle9"/>
              <w:rPr>
                <w:rStyle w:val="CharacterStyle9"/>
              </w:rPr>
            </w:pPr>
            <w:r>
              <w:rPr>
                <w:rStyle w:val="CharacterStyle9"/>
              </w:rPr>
              <w:t>7.100,00</w:t>
            </w:r>
          </w:p>
        </w:tc>
      </w:tr>
      <w:tr w:rsidR="007D706A" w14:paraId="5FDB74C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D24B19B"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33BE8677"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2F39402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25EBF22" w14:textId="77777777" w:rsidR="007D706A" w:rsidRDefault="007D706A" w:rsidP="00F70508">
            <w:pPr>
              <w:pStyle w:val="ParagraphStyle12"/>
              <w:rPr>
                <w:rStyle w:val="CharacterStyle12"/>
              </w:rPr>
            </w:pPr>
            <w:r>
              <w:rPr>
                <w:rStyle w:val="CharacterStyle12"/>
              </w:rPr>
              <w:t>5.985,00</w:t>
            </w:r>
          </w:p>
        </w:tc>
        <w:tc>
          <w:tcPr>
            <w:tcW w:w="1395" w:type="dxa"/>
            <w:tcBorders>
              <w:bottom w:val="single" w:sz="6" w:space="0" w:color="000000"/>
              <w:right w:val="single" w:sz="6" w:space="0" w:color="000000"/>
            </w:tcBorders>
            <w:vAlign w:val="center"/>
          </w:tcPr>
          <w:p w14:paraId="47D74036" w14:textId="77777777" w:rsidR="007D706A" w:rsidRDefault="007D706A" w:rsidP="00F70508">
            <w:pPr>
              <w:pStyle w:val="ParagraphStyle12"/>
              <w:rPr>
                <w:rStyle w:val="CharacterStyle12"/>
              </w:rPr>
            </w:pPr>
            <w:r>
              <w:rPr>
                <w:rStyle w:val="CharacterStyle12"/>
              </w:rPr>
              <w:t>7.085,00</w:t>
            </w:r>
          </w:p>
        </w:tc>
        <w:tc>
          <w:tcPr>
            <w:tcW w:w="1395" w:type="dxa"/>
            <w:tcBorders>
              <w:bottom w:val="single" w:sz="6" w:space="0" w:color="000000"/>
              <w:right w:val="single" w:sz="6" w:space="0" w:color="000000"/>
            </w:tcBorders>
            <w:vAlign w:val="center"/>
          </w:tcPr>
          <w:p w14:paraId="27C72EB0" w14:textId="77777777" w:rsidR="007D706A" w:rsidRDefault="007D706A" w:rsidP="00F70508">
            <w:pPr>
              <w:pStyle w:val="ParagraphStyle12"/>
              <w:rPr>
                <w:rStyle w:val="CharacterStyle12"/>
              </w:rPr>
            </w:pPr>
            <w:r>
              <w:rPr>
                <w:rStyle w:val="CharacterStyle12"/>
              </w:rPr>
              <w:t>7.085,00</w:t>
            </w:r>
          </w:p>
        </w:tc>
        <w:tc>
          <w:tcPr>
            <w:tcW w:w="1395" w:type="dxa"/>
            <w:tcBorders>
              <w:bottom w:val="single" w:sz="6" w:space="0" w:color="000000"/>
              <w:right w:val="single" w:sz="6" w:space="0" w:color="000000"/>
            </w:tcBorders>
            <w:vAlign w:val="center"/>
          </w:tcPr>
          <w:p w14:paraId="1F56CBF7" w14:textId="77777777" w:rsidR="007D706A" w:rsidRDefault="007D706A" w:rsidP="00F70508">
            <w:pPr>
              <w:pStyle w:val="ParagraphStyle12"/>
              <w:rPr>
                <w:rStyle w:val="CharacterStyle12"/>
              </w:rPr>
            </w:pPr>
            <w:r>
              <w:rPr>
                <w:rStyle w:val="CharacterStyle12"/>
              </w:rPr>
              <w:t>7.100,00</w:t>
            </w:r>
          </w:p>
        </w:tc>
      </w:tr>
      <w:tr w:rsidR="007D706A" w14:paraId="4F1FC0A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11C0363"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2ABAA191"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54D4FEC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A3F3276" w14:textId="77777777" w:rsidR="007D706A" w:rsidRDefault="007D706A" w:rsidP="00F70508">
            <w:pPr>
              <w:pStyle w:val="ParagraphStyle12"/>
              <w:rPr>
                <w:rStyle w:val="CharacterStyle12"/>
              </w:rPr>
            </w:pPr>
            <w:r>
              <w:rPr>
                <w:rStyle w:val="CharacterStyle12"/>
              </w:rPr>
              <w:t>5.985,00</w:t>
            </w:r>
          </w:p>
        </w:tc>
        <w:tc>
          <w:tcPr>
            <w:tcW w:w="1395" w:type="dxa"/>
            <w:tcBorders>
              <w:bottom w:val="single" w:sz="6" w:space="0" w:color="000000"/>
              <w:right w:val="single" w:sz="6" w:space="0" w:color="000000"/>
            </w:tcBorders>
            <w:vAlign w:val="center"/>
          </w:tcPr>
          <w:p w14:paraId="357F94F6" w14:textId="77777777" w:rsidR="007D706A" w:rsidRDefault="007D706A" w:rsidP="00F70508">
            <w:pPr>
              <w:pStyle w:val="ParagraphStyle12"/>
              <w:rPr>
                <w:rStyle w:val="CharacterStyle12"/>
              </w:rPr>
            </w:pPr>
            <w:r>
              <w:rPr>
                <w:rStyle w:val="CharacterStyle12"/>
              </w:rPr>
              <w:t>7.085,00</w:t>
            </w:r>
          </w:p>
        </w:tc>
        <w:tc>
          <w:tcPr>
            <w:tcW w:w="1395" w:type="dxa"/>
            <w:tcBorders>
              <w:bottom w:val="single" w:sz="6" w:space="0" w:color="000000"/>
              <w:right w:val="single" w:sz="6" w:space="0" w:color="000000"/>
            </w:tcBorders>
            <w:vAlign w:val="center"/>
          </w:tcPr>
          <w:p w14:paraId="7A826EC4" w14:textId="77777777" w:rsidR="007D706A" w:rsidRDefault="007D706A" w:rsidP="00F70508">
            <w:pPr>
              <w:pStyle w:val="ParagraphStyle12"/>
              <w:rPr>
                <w:rStyle w:val="CharacterStyle12"/>
              </w:rPr>
            </w:pPr>
            <w:r>
              <w:rPr>
                <w:rStyle w:val="CharacterStyle12"/>
              </w:rPr>
              <w:t>7.085,00</w:t>
            </w:r>
          </w:p>
        </w:tc>
        <w:tc>
          <w:tcPr>
            <w:tcW w:w="1395" w:type="dxa"/>
            <w:tcBorders>
              <w:bottom w:val="single" w:sz="6" w:space="0" w:color="000000"/>
              <w:right w:val="single" w:sz="6" w:space="0" w:color="000000"/>
            </w:tcBorders>
            <w:vAlign w:val="center"/>
          </w:tcPr>
          <w:p w14:paraId="78E04764" w14:textId="77777777" w:rsidR="007D706A" w:rsidRDefault="007D706A" w:rsidP="00F70508">
            <w:pPr>
              <w:pStyle w:val="ParagraphStyle12"/>
              <w:rPr>
                <w:rStyle w:val="CharacterStyle12"/>
              </w:rPr>
            </w:pPr>
            <w:r>
              <w:rPr>
                <w:rStyle w:val="CharacterStyle12"/>
              </w:rPr>
              <w:t>7.100,00</w:t>
            </w:r>
          </w:p>
        </w:tc>
      </w:tr>
      <w:tr w:rsidR="007D706A" w14:paraId="6157187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02E0A0E"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51447096"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499FF87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90CD6FD" w14:textId="77777777" w:rsidR="007D706A" w:rsidRDefault="007D706A" w:rsidP="00F70508">
            <w:pPr>
              <w:pStyle w:val="ParagraphStyle12"/>
              <w:rPr>
                <w:rStyle w:val="CharacterStyle12"/>
              </w:rPr>
            </w:pPr>
            <w:r>
              <w:rPr>
                <w:rStyle w:val="CharacterStyle12"/>
              </w:rPr>
              <w:t>1.100,00</w:t>
            </w:r>
          </w:p>
        </w:tc>
        <w:tc>
          <w:tcPr>
            <w:tcW w:w="1395" w:type="dxa"/>
            <w:tcBorders>
              <w:bottom w:val="single" w:sz="6" w:space="0" w:color="000000"/>
              <w:right w:val="single" w:sz="6" w:space="0" w:color="000000"/>
            </w:tcBorders>
            <w:vAlign w:val="center"/>
          </w:tcPr>
          <w:p w14:paraId="1CA059E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EA5393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3911ECB" w14:textId="77777777" w:rsidR="007D706A" w:rsidRDefault="007D706A" w:rsidP="00F70508">
            <w:pPr>
              <w:pStyle w:val="ParagraphStyle12"/>
              <w:rPr>
                <w:rStyle w:val="CharacterStyle12"/>
              </w:rPr>
            </w:pPr>
            <w:r>
              <w:rPr>
                <w:rStyle w:val="CharacterStyle12"/>
              </w:rPr>
              <w:t>0,00</w:t>
            </w:r>
          </w:p>
        </w:tc>
      </w:tr>
      <w:tr w:rsidR="007D706A" w14:paraId="7DB1D3B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552EC24" w14:textId="77777777" w:rsidR="007D706A" w:rsidRDefault="007D706A" w:rsidP="00F70508">
            <w:pPr>
              <w:pStyle w:val="ParagraphStyle10"/>
              <w:rPr>
                <w:rStyle w:val="CharacterStyle10"/>
              </w:rPr>
            </w:pPr>
            <w:r>
              <w:rPr>
                <w:rStyle w:val="CharacterStyle10"/>
              </w:rPr>
              <w:t>42</w:t>
            </w:r>
          </w:p>
        </w:tc>
        <w:tc>
          <w:tcPr>
            <w:tcW w:w="4995" w:type="dxa"/>
            <w:tcBorders>
              <w:bottom w:val="single" w:sz="6" w:space="0" w:color="000000"/>
              <w:right w:val="single" w:sz="6" w:space="0" w:color="000000"/>
            </w:tcBorders>
            <w:vAlign w:val="center"/>
          </w:tcPr>
          <w:p w14:paraId="393A0987"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028C61D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E91B710" w14:textId="77777777" w:rsidR="007D706A" w:rsidRDefault="007D706A" w:rsidP="00F70508">
            <w:pPr>
              <w:pStyle w:val="ParagraphStyle12"/>
              <w:rPr>
                <w:rStyle w:val="CharacterStyle12"/>
              </w:rPr>
            </w:pPr>
            <w:r>
              <w:rPr>
                <w:rStyle w:val="CharacterStyle12"/>
              </w:rPr>
              <w:t>1.100,00</w:t>
            </w:r>
          </w:p>
        </w:tc>
        <w:tc>
          <w:tcPr>
            <w:tcW w:w="1395" w:type="dxa"/>
            <w:tcBorders>
              <w:bottom w:val="single" w:sz="6" w:space="0" w:color="000000"/>
              <w:right w:val="single" w:sz="6" w:space="0" w:color="000000"/>
            </w:tcBorders>
            <w:vAlign w:val="center"/>
          </w:tcPr>
          <w:p w14:paraId="1728D1B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402D98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C5F439E" w14:textId="77777777" w:rsidR="007D706A" w:rsidRDefault="007D706A" w:rsidP="00F70508">
            <w:pPr>
              <w:pStyle w:val="ParagraphStyle12"/>
              <w:rPr>
                <w:rStyle w:val="CharacterStyle12"/>
              </w:rPr>
            </w:pPr>
            <w:r>
              <w:rPr>
                <w:rStyle w:val="CharacterStyle12"/>
              </w:rPr>
              <w:t>0,00</w:t>
            </w:r>
          </w:p>
        </w:tc>
      </w:tr>
      <w:tr w:rsidR="007D706A" w14:paraId="5B48259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A152DF0" w14:textId="77777777" w:rsidR="007D706A" w:rsidRDefault="007D706A" w:rsidP="00F70508">
            <w:pPr>
              <w:pStyle w:val="ParagraphStyle7"/>
              <w:rPr>
                <w:rStyle w:val="CharacterStyle7"/>
              </w:rPr>
            </w:pPr>
            <w:r>
              <w:rPr>
                <w:rStyle w:val="CharacterStyle7"/>
              </w:rPr>
              <w:t>Izvor financiranja 82</w:t>
            </w:r>
          </w:p>
        </w:tc>
        <w:tc>
          <w:tcPr>
            <w:tcW w:w="4995" w:type="dxa"/>
            <w:tcBorders>
              <w:bottom w:val="single" w:sz="6" w:space="0" w:color="000000"/>
              <w:right w:val="single" w:sz="6" w:space="0" w:color="000000"/>
            </w:tcBorders>
            <w:vAlign w:val="center"/>
          </w:tcPr>
          <w:p w14:paraId="09902B3B" w14:textId="77777777" w:rsidR="007D706A" w:rsidRDefault="007D706A" w:rsidP="00F70508">
            <w:pPr>
              <w:pStyle w:val="ParagraphStyle8"/>
              <w:rPr>
                <w:rStyle w:val="CharacterStyle8"/>
              </w:rPr>
            </w:pPr>
            <w:r>
              <w:rPr>
                <w:rStyle w:val="CharacterStyle8"/>
              </w:rPr>
              <w:t>Preneseni viškovi iz ranijih godina</w:t>
            </w:r>
          </w:p>
        </w:tc>
        <w:tc>
          <w:tcPr>
            <w:tcW w:w="1395" w:type="dxa"/>
            <w:tcBorders>
              <w:bottom w:val="single" w:sz="6" w:space="0" w:color="000000"/>
              <w:right w:val="single" w:sz="6" w:space="0" w:color="000000"/>
            </w:tcBorders>
            <w:vAlign w:val="center"/>
          </w:tcPr>
          <w:p w14:paraId="7AD71E24"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9AC559F" w14:textId="77777777" w:rsidR="007D706A" w:rsidRDefault="007D706A" w:rsidP="00F70508">
            <w:pPr>
              <w:pStyle w:val="ParagraphStyle9"/>
              <w:rPr>
                <w:rStyle w:val="CharacterStyle9"/>
              </w:rPr>
            </w:pPr>
            <w:r>
              <w:rPr>
                <w:rStyle w:val="CharacterStyle9"/>
              </w:rPr>
              <w:t>8.094,90</w:t>
            </w:r>
          </w:p>
        </w:tc>
        <w:tc>
          <w:tcPr>
            <w:tcW w:w="1395" w:type="dxa"/>
            <w:tcBorders>
              <w:bottom w:val="single" w:sz="6" w:space="0" w:color="000000"/>
              <w:right w:val="single" w:sz="6" w:space="0" w:color="000000"/>
            </w:tcBorders>
            <w:vAlign w:val="center"/>
          </w:tcPr>
          <w:p w14:paraId="535D890E"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65FC530"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31C99E1" w14:textId="77777777" w:rsidR="007D706A" w:rsidRDefault="007D706A" w:rsidP="00F70508">
            <w:pPr>
              <w:pStyle w:val="ParagraphStyle9"/>
              <w:rPr>
                <w:rStyle w:val="CharacterStyle9"/>
              </w:rPr>
            </w:pPr>
            <w:r>
              <w:rPr>
                <w:rStyle w:val="CharacterStyle9"/>
              </w:rPr>
              <w:t>0,00</w:t>
            </w:r>
          </w:p>
        </w:tc>
      </w:tr>
      <w:tr w:rsidR="007D706A" w14:paraId="4FB43C3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9D76F1E"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58CEBA7F"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0DD589D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41669BA" w14:textId="77777777" w:rsidR="007D706A" w:rsidRDefault="007D706A" w:rsidP="00F70508">
            <w:pPr>
              <w:pStyle w:val="ParagraphStyle12"/>
              <w:rPr>
                <w:rStyle w:val="CharacterStyle12"/>
              </w:rPr>
            </w:pPr>
            <w:r>
              <w:rPr>
                <w:rStyle w:val="CharacterStyle12"/>
              </w:rPr>
              <w:t>8.094,90</w:t>
            </w:r>
          </w:p>
        </w:tc>
        <w:tc>
          <w:tcPr>
            <w:tcW w:w="1395" w:type="dxa"/>
            <w:tcBorders>
              <w:bottom w:val="single" w:sz="6" w:space="0" w:color="000000"/>
              <w:right w:val="single" w:sz="6" w:space="0" w:color="000000"/>
            </w:tcBorders>
            <w:vAlign w:val="center"/>
          </w:tcPr>
          <w:p w14:paraId="7AE2F63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00D4AB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8F73B8C" w14:textId="77777777" w:rsidR="007D706A" w:rsidRDefault="007D706A" w:rsidP="00F70508">
            <w:pPr>
              <w:pStyle w:val="ParagraphStyle12"/>
              <w:rPr>
                <w:rStyle w:val="CharacterStyle12"/>
              </w:rPr>
            </w:pPr>
            <w:r>
              <w:rPr>
                <w:rStyle w:val="CharacterStyle12"/>
              </w:rPr>
              <w:t>0,00</w:t>
            </w:r>
          </w:p>
        </w:tc>
      </w:tr>
      <w:tr w:rsidR="007D706A" w14:paraId="59799C3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07688A2"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6E647E59"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205011D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AC877F0" w14:textId="77777777" w:rsidR="007D706A" w:rsidRDefault="007D706A" w:rsidP="00F70508">
            <w:pPr>
              <w:pStyle w:val="ParagraphStyle12"/>
              <w:rPr>
                <w:rStyle w:val="CharacterStyle12"/>
              </w:rPr>
            </w:pPr>
            <w:r>
              <w:rPr>
                <w:rStyle w:val="CharacterStyle12"/>
              </w:rPr>
              <w:t>7.994,90</w:t>
            </w:r>
          </w:p>
        </w:tc>
        <w:tc>
          <w:tcPr>
            <w:tcW w:w="1395" w:type="dxa"/>
            <w:tcBorders>
              <w:bottom w:val="single" w:sz="6" w:space="0" w:color="000000"/>
              <w:right w:val="single" w:sz="6" w:space="0" w:color="000000"/>
            </w:tcBorders>
            <w:vAlign w:val="center"/>
          </w:tcPr>
          <w:p w14:paraId="37ADF31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753054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6FE6BC8" w14:textId="77777777" w:rsidR="007D706A" w:rsidRDefault="007D706A" w:rsidP="00F70508">
            <w:pPr>
              <w:pStyle w:val="ParagraphStyle12"/>
              <w:rPr>
                <w:rStyle w:val="CharacterStyle12"/>
              </w:rPr>
            </w:pPr>
            <w:r>
              <w:rPr>
                <w:rStyle w:val="CharacterStyle12"/>
              </w:rPr>
              <w:t>0,00</w:t>
            </w:r>
          </w:p>
        </w:tc>
      </w:tr>
      <w:tr w:rsidR="007D706A" w14:paraId="690A8DB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96ACB8A" w14:textId="77777777" w:rsidR="007D706A" w:rsidRDefault="007D706A" w:rsidP="00F70508">
            <w:pPr>
              <w:pStyle w:val="ParagraphStyle10"/>
              <w:rPr>
                <w:rStyle w:val="CharacterStyle10"/>
              </w:rPr>
            </w:pPr>
            <w:r>
              <w:rPr>
                <w:rStyle w:val="CharacterStyle10"/>
              </w:rPr>
              <w:t>34</w:t>
            </w:r>
          </w:p>
        </w:tc>
        <w:tc>
          <w:tcPr>
            <w:tcW w:w="4995" w:type="dxa"/>
            <w:tcBorders>
              <w:bottom w:val="single" w:sz="6" w:space="0" w:color="000000"/>
              <w:right w:val="single" w:sz="6" w:space="0" w:color="000000"/>
            </w:tcBorders>
            <w:vAlign w:val="center"/>
          </w:tcPr>
          <w:p w14:paraId="010F33A5" w14:textId="77777777" w:rsidR="007D706A" w:rsidRDefault="007D706A" w:rsidP="00F70508">
            <w:pPr>
              <w:pStyle w:val="ParagraphStyle11"/>
              <w:rPr>
                <w:rStyle w:val="CharacterStyle11"/>
              </w:rPr>
            </w:pPr>
            <w:r>
              <w:rPr>
                <w:rStyle w:val="CharacterStyle11"/>
              </w:rPr>
              <w:t>Financijski rashodi</w:t>
            </w:r>
          </w:p>
        </w:tc>
        <w:tc>
          <w:tcPr>
            <w:tcW w:w="1395" w:type="dxa"/>
            <w:tcBorders>
              <w:bottom w:val="single" w:sz="6" w:space="0" w:color="000000"/>
              <w:right w:val="single" w:sz="6" w:space="0" w:color="000000"/>
            </w:tcBorders>
            <w:vAlign w:val="center"/>
          </w:tcPr>
          <w:p w14:paraId="3F3CF17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0096397" w14:textId="77777777" w:rsidR="007D706A" w:rsidRDefault="007D706A" w:rsidP="00F70508">
            <w:pPr>
              <w:pStyle w:val="ParagraphStyle12"/>
              <w:rPr>
                <w:rStyle w:val="CharacterStyle12"/>
              </w:rPr>
            </w:pPr>
            <w:r>
              <w:rPr>
                <w:rStyle w:val="CharacterStyle12"/>
              </w:rPr>
              <w:t>100,00</w:t>
            </w:r>
          </w:p>
        </w:tc>
        <w:tc>
          <w:tcPr>
            <w:tcW w:w="1395" w:type="dxa"/>
            <w:tcBorders>
              <w:bottom w:val="single" w:sz="6" w:space="0" w:color="000000"/>
              <w:right w:val="single" w:sz="6" w:space="0" w:color="000000"/>
            </w:tcBorders>
            <w:vAlign w:val="center"/>
          </w:tcPr>
          <w:p w14:paraId="233E5D9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A9A2DF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7E360EE" w14:textId="77777777" w:rsidR="007D706A" w:rsidRDefault="007D706A" w:rsidP="00F70508">
            <w:pPr>
              <w:pStyle w:val="ParagraphStyle12"/>
              <w:rPr>
                <w:rStyle w:val="CharacterStyle12"/>
              </w:rPr>
            </w:pPr>
            <w:r>
              <w:rPr>
                <w:rStyle w:val="CharacterStyle12"/>
              </w:rPr>
              <w:t>0,00</w:t>
            </w:r>
          </w:p>
        </w:tc>
      </w:tr>
      <w:tr w:rsidR="007D706A" w14:paraId="14A6370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4EC4820" w14:textId="77777777" w:rsidR="007D706A" w:rsidRDefault="007D706A" w:rsidP="00F70508">
            <w:pPr>
              <w:pStyle w:val="ParagraphStyle4"/>
              <w:rPr>
                <w:rStyle w:val="CharacterStyle4"/>
              </w:rPr>
            </w:pPr>
            <w:r>
              <w:rPr>
                <w:rStyle w:val="CharacterStyle4"/>
              </w:rPr>
              <w:t>Aktivnost A103502</w:t>
            </w:r>
          </w:p>
        </w:tc>
        <w:tc>
          <w:tcPr>
            <w:tcW w:w="4995" w:type="dxa"/>
            <w:tcBorders>
              <w:bottom w:val="single" w:sz="6" w:space="0" w:color="000000"/>
              <w:right w:val="single" w:sz="6" w:space="0" w:color="000000"/>
            </w:tcBorders>
            <w:vAlign w:val="center"/>
          </w:tcPr>
          <w:p w14:paraId="0797E3DF" w14:textId="77777777" w:rsidR="007D706A" w:rsidRDefault="007D706A" w:rsidP="00F70508">
            <w:pPr>
              <w:pStyle w:val="ParagraphStyle5"/>
              <w:rPr>
                <w:rStyle w:val="CharacterStyle5"/>
              </w:rPr>
            </w:pPr>
            <w:r>
              <w:rPr>
                <w:rStyle w:val="CharacterStyle5"/>
              </w:rPr>
              <w:t>UPRAVNO VIJEĆE</w:t>
            </w:r>
          </w:p>
        </w:tc>
        <w:tc>
          <w:tcPr>
            <w:tcW w:w="1395" w:type="dxa"/>
            <w:tcBorders>
              <w:bottom w:val="single" w:sz="6" w:space="0" w:color="000000"/>
              <w:right w:val="single" w:sz="6" w:space="0" w:color="000000"/>
            </w:tcBorders>
            <w:vAlign w:val="center"/>
          </w:tcPr>
          <w:p w14:paraId="690D993B"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49BC679E" w14:textId="77777777" w:rsidR="007D706A" w:rsidRDefault="007D706A" w:rsidP="00F70508">
            <w:pPr>
              <w:pStyle w:val="ParagraphStyle6"/>
              <w:rPr>
                <w:rStyle w:val="CharacterStyle6"/>
              </w:rPr>
            </w:pPr>
            <w:r>
              <w:rPr>
                <w:rStyle w:val="CharacterStyle6"/>
              </w:rPr>
              <w:t>9.215,00</w:t>
            </w:r>
          </w:p>
        </w:tc>
        <w:tc>
          <w:tcPr>
            <w:tcW w:w="1395" w:type="dxa"/>
            <w:tcBorders>
              <w:bottom w:val="single" w:sz="6" w:space="0" w:color="000000"/>
              <w:right w:val="single" w:sz="6" w:space="0" w:color="000000"/>
            </w:tcBorders>
            <w:vAlign w:val="center"/>
          </w:tcPr>
          <w:p w14:paraId="5BDFE38D" w14:textId="77777777" w:rsidR="007D706A" w:rsidRDefault="007D706A" w:rsidP="00F70508">
            <w:pPr>
              <w:pStyle w:val="ParagraphStyle6"/>
              <w:rPr>
                <w:rStyle w:val="CharacterStyle6"/>
              </w:rPr>
            </w:pPr>
            <w:r>
              <w:rPr>
                <w:rStyle w:val="CharacterStyle6"/>
              </w:rPr>
              <w:t>11.000,00</w:t>
            </w:r>
          </w:p>
        </w:tc>
        <w:tc>
          <w:tcPr>
            <w:tcW w:w="1395" w:type="dxa"/>
            <w:tcBorders>
              <w:bottom w:val="single" w:sz="6" w:space="0" w:color="000000"/>
              <w:right w:val="single" w:sz="6" w:space="0" w:color="000000"/>
            </w:tcBorders>
            <w:vAlign w:val="center"/>
          </w:tcPr>
          <w:p w14:paraId="3729792E" w14:textId="77777777" w:rsidR="007D706A" w:rsidRDefault="007D706A" w:rsidP="00F70508">
            <w:pPr>
              <w:pStyle w:val="ParagraphStyle6"/>
              <w:rPr>
                <w:rStyle w:val="CharacterStyle6"/>
              </w:rPr>
            </w:pPr>
            <w:r>
              <w:rPr>
                <w:rStyle w:val="CharacterStyle6"/>
              </w:rPr>
              <w:t>11.000,00</w:t>
            </w:r>
          </w:p>
        </w:tc>
        <w:tc>
          <w:tcPr>
            <w:tcW w:w="1395" w:type="dxa"/>
            <w:tcBorders>
              <w:bottom w:val="single" w:sz="6" w:space="0" w:color="000000"/>
              <w:right w:val="single" w:sz="6" w:space="0" w:color="000000"/>
            </w:tcBorders>
            <w:vAlign w:val="center"/>
          </w:tcPr>
          <w:p w14:paraId="4D1AB533" w14:textId="77777777" w:rsidR="007D706A" w:rsidRDefault="007D706A" w:rsidP="00F70508">
            <w:pPr>
              <w:pStyle w:val="ParagraphStyle6"/>
              <w:rPr>
                <w:rStyle w:val="CharacterStyle6"/>
              </w:rPr>
            </w:pPr>
            <w:r>
              <w:rPr>
                <w:rStyle w:val="CharacterStyle6"/>
              </w:rPr>
              <w:t>11.000,00</w:t>
            </w:r>
          </w:p>
        </w:tc>
      </w:tr>
      <w:tr w:rsidR="007D706A" w14:paraId="09764AF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79AB92D"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15BEC9D1"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535121EE"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A8F7A7B" w14:textId="77777777" w:rsidR="007D706A" w:rsidRDefault="007D706A" w:rsidP="00F70508">
            <w:pPr>
              <w:pStyle w:val="ParagraphStyle9"/>
              <w:rPr>
                <w:rStyle w:val="CharacterStyle9"/>
              </w:rPr>
            </w:pPr>
            <w:r>
              <w:rPr>
                <w:rStyle w:val="CharacterStyle9"/>
              </w:rPr>
              <w:t>9.215,00</w:t>
            </w:r>
          </w:p>
        </w:tc>
        <w:tc>
          <w:tcPr>
            <w:tcW w:w="1395" w:type="dxa"/>
            <w:tcBorders>
              <w:bottom w:val="single" w:sz="6" w:space="0" w:color="000000"/>
              <w:right w:val="single" w:sz="6" w:space="0" w:color="000000"/>
            </w:tcBorders>
            <w:vAlign w:val="center"/>
          </w:tcPr>
          <w:p w14:paraId="1D5AA46A" w14:textId="77777777" w:rsidR="007D706A" w:rsidRDefault="007D706A" w:rsidP="00F70508">
            <w:pPr>
              <w:pStyle w:val="ParagraphStyle9"/>
              <w:rPr>
                <w:rStyle w:val="CharacterStyle9"/>
              </w:rPr>
            </w:pPr>
            <w:r>
              <w:rPr>
                <w:rStyle w:val="CharacterStyle9"/>
              </w:rPr>
              <w:t>11.000,00</w:t>
            </w:r>
          </w:p>
        </w:tc>
        <w:tc>
          <w:tcPr>
            <w:tcW w:w="1395" w:type="dxa"/>
            <w:tcBorders>
              <w:bottom w:val="single" w:sz="6" w:space="0" w:color="000000"/>
              <w:right w:val="single" w:sz="6" w:space="0" w:color="000000"/>
            </w:tcBorders>
            <w:vAlign w:val="center"/>
          </w:tcPr>
          <w:p w14:paraId="39624748" w14:textId="77777777" w:rsidR="007D706A" w:rsidRDefault="007D706A" w:rsidP="00F70508">
            <w:pPr>
              <w:pStyle w:val="ParagraphStyle9"/>
              <w:rPr>
                <w:rStyle w:val="CharacterStyle9"/>
              </w:rPr>
            </w:pPr>
            <w:r>
              <w:rPr>
                <w:rStyle w:val="CharacterStyle9"/>
              </w:rPr>
              <w:t>11.000,00</w:t>
            </w:r>
          </w:p>
        </w:tc>
        <w:tc>
          <w:tcPr>
            <w:tcW w:w="1395" w:type="dxa"/>
            <w:tcBorders>
              <w:bottom w:val="single" w:sz="6" w:space="0" w:color="000000"/>
              <w:right w:val="single" w:sz="6" w:space="0" w:color="000000"/>
            </w:tcBorders>
            <w:vAlign w:val="center"/>
          </w:tcPr>
          <w:p w14:paraId="0A5567A8" w14:textId="77777777" w:rsidR="007D706A" w:rsidRDefault="007D706A" w:rsidP="00F70508">
            <w:pPr>
              <w:pStyle w:val="ParagraphStyle9"/>
              <w:rPr>
                <w:rStyle w:val="CharacterStyle9"/>
              </w:rPr>
            </w:pPr>
            <w:r>
              <w:rPr>
                <w:rStyle w:val="CharacterStyle9"/>
              </w:rPr>
              <w:t>11.000,00</w:t>
            </w:r>
          </w:p>
        </w:tc>
      </w:tr>
      <w:tr w:rsidR="007D706A" w14:paraId="0B6E7FF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A276CCE"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7585EAB5"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2D8A13B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5235E53" w14:textId="77777777" w:rsidR="007D706A" w:rsidRDefault="007D706A" w:rsidP="00F70508">
            <w:pPr>
              <w:pStyle w:val="ParagraphStyle12"/>
              <w:rPr>
                <w:rStyle w:val="CharacterStyle12"/>
              </w:rPr>
            </w:pPr>
            <w:r>
              <w:rPr>
                <w:rStyle w:val="CharacterStyle12"/>
              </w:rPr>
              <w:t>9.215,00</w:t>
            </w:r>
          </w:p>
        </w:tc>
        <w:tc>
          <w:tcPr>
            <w:tcW w:w="1395" w:type="dxa"/>
            <w:tcBorders>
              <w:bottom w:val="single" w:sz="6" w:space="0" w:color="000000"/>
              <w:right w:val="single" w:sz="6" w:space="0" w:color="000000"/>
            </w:tcBorders>
            <w:vAlign w:val="center"/>
          </w:tcPr>
          <w:p w14:paraId="58E65FE1" w14:textId="77777777" w:rsidR="007D706A" w:rsidRDefault="007D706A" w:rsidP="00F70508">
            <w:pPr>
              <w:pStyle w:val="ParagraphStyle12"/>
              <w:rPr>
                <w:rStyle w:val="CharacterStyle12"/>
              </w:rPr>
            </w:pPr>
            <w:r>
              <w:rPr>
                <w:rStyle w:val="CharacterStyle12"/>
              </w:rPr>
              <w:t>11.000,00</w:t>
            </w:r>
          </w:p>
        </w:tc>
        <w:tc>
          <w:tcPr>
            <w:tcW w:w="1395" w:type="dxa"/>
            <w:tcBorders>
              <w:bottom w:val="single" w:sz="6" w:space="0" w:color="000000"/>
              <w:right w:val="single" w:sz="6" w:space="0" w:color="000000"/>
            </w:tcBorders>
            <w:vAlign w:val="center"/>
          </w:tcPr>
          <w:p w14:paraId="18F930C1" w14:textId="77777777" w:rsidR="007D706A" w:rsidRDefault="007D706A" w:rsidP="00F70508">
            <w:pPr>
              <w:pStyle w:val="ParagraphStyle12"/>
              <w:rPr>
                <w:rStyle w:val="CharacterStyle12"/>
              </w:rPr>
            </w:pPr>
            <w:r>
              <w:rPr>
                <w:rStyle w:val="CharacterStyle12"/>
              </w:rPr>
              <w:t>11.000,00</w:t>
            </w:r>
          </w:p>
        </w:tc>
        <w:tc>
          <w:tcPr>
            <w:tcW w:w="1395" w:type="dxa"/>
            <w:tcBorders>
              <w:bottom w:val="single" w:sz="6" w:space="0" w:color="000000"/>
              <w:right w:val="single" w:sz="6" w:space="0" w:color="000000"/>
            </w:tcBorders>
            <w:vAlign w:val="center"/>
          </w:tcPr>
          <w:p w14:paraId="2AD012D0" w14:textId="77777777" w:rsidR="007D706A" w:rsidRDefault="007D706A" w:rsidP="00F70508">
            <w:pPr>
              <w:pStyle w:val="ParagraphStyle12"/>
              <w:rPr>
                <w:rStyle w:val="CharacterStyle12"/>
              </w:rPr>
            </w:pPr>
            <w:r>
              <w:rPr>
                <w:rStyle w:val="CharacterStyle12"/>
              </w:rPr>
              <w:t>11.000,00</w:t>
            </w:r>
          </w:p>
        </w:tc>
      </w:tr>
      <w:tr w:rsidR="007D706A" w14:paraId="209FFD5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9300EBC"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33B1FA45"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4DDAF6D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43C84C6" w14:textId="77777777" w:rsidR="007D706A" w:rsidRDefault="007D706A" w:rsidP="00F70508">
            <w:pPr>
              <w:pStyle w:val="ParagraphStyle12"/>
              <w:rPr>
                <w:rStyle w:val="CharacterStyle12"/>
              </w:rPr>
            </w:pPr>
            <w:r>
              <w:rPr>
                <w:rStyle w:val="CharacterStyle12"/>
              </w:rPr>
              <w:t>9.215,00</w:t>
            </w:r>
          </w:p>
        </w:tc>
        <w:tc>
          <w:tcPr>
            <w:tcW w:w="1395" w:type="dxa"/>
            <w:tcBorders>
              <w:bottom w:val="single" w:sz="6" w:space="0" w:color="000000"/>
              <w:right w:val="single" w:sz="6" w:space="0" w:color="000000"/>
            </w:tcBorders>
            <w:vAlign w:val="center"/>
          </w:tcPr>
          <w:p w14:paraId="00BE84A3" w14:textId="77777777" w:rsidR="007D706A" w:rsidRDefault="007D706A" w:rsidP="00F70508">
            <w:pPr>
              <w:pStyle w:val="ParagraphStyle12"/>
              <w:rPr>
                <w:rStyle w:val="CharacterStyle12"/>
              </w:rPr>
            </w:pPr>
            <w:r>
              <w:rPr>
                <w:rStyle w:val="CharacterStyle12"/>
              </w:rPr>
              <w:t>11.000,00</w:t>
            </w:r>
          </w:p>
        </w:tc>
        <w:tc>
          <w:tcPr>
            <w:tcW w:w="1395" w:type="dxa"/>
            <w:tcBorders>
              <w:bottom w:val="single" w:sz="6" w:space="0" w:color="000000"/>
              <w:right w:val="single" w:sz="6" w:space="0" w:color="000000"/>
            </w:tcBorders>
            <w:vAlign w:val="center"/>
          </w:tcPr>
          <w:p w14:paraId="27F3197D" w14:textId="77777777" w:rsidR="007D706A" w:rsidRDefault="007D706A" w:rsidP="00F70508">
            <w:pPr>
              <w:pStyle w:val="ParagraphStyle12"/>
              <w:rPr>
                <w:rStyle w:val="CharacterStyle12"/>
              </w:rPr>
            </w:pPr>
            <w:r>
              <w:rPr>
                <w:rStyle w:val="CharacterStyle12"/>
              </w:rPr>
              <w:t>11.000,00</w:t>
            </w:r>
          </w:p>
        </w:tc>
        <w:tc>
          <w:tcPr>
            <w:tcW w:w="1395" w:type="dxa"/>
            <w:tcBorders>
              <w:bottom w:val="single" w:sz="6" w:space="0" w:color="000000"/>
              <w:right w:val="single" w:sz="6" w:space="0" w:color="000000"/>
            </w:tcBorders>
            <w:vAlign w:val="center"/>
          </w:tcPr>
          <w:p w14:paraId="342593B3" w14:textId="77777777" w:rsidR="007D706A" w:rsidRDefault="007D706A" w:rsidP="00F70508">
            <w:pPr>
              <w:pStyle w:val="ParagraphStyle12"/>
              <w:rPr>
                <w:rStyle w:val="CharacterStyle12"/>
              </w:rPr>
            </w:pPr>
            <w:r>
              <w:rPr>
                <w:rStyle w:val="CharacterStyle12"/>
              </w:rPr>
              <w:t>11.000,00</w:t>
            </w:r>
          </w:p>
        </w:tc>
      </w:tr>
      <w:tr w:rsidR="007D706A" w14:paraId="314C801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4C7342F" w14:textId="77777777" w:rsidR="007D706A" w:rsidRDefault="007D706A" w:rsidP="00F70508">
            <w:pPr>
              <w:pStyle w:val="ParagraphStyle4"/>
              <w:rPr>
                <w:rStyle w:val="CharacterStyle4"/>
              </w:rPr>
            </w:pPr>
            <w:r>
              <w:rPr>
                <w:rStyle w:val="CharacterStyle4"/>
              </w:rPr>
              <w:t>Aktivnost A103503</w:t>
            </w:r>
          </w:p>
        </w:tc>
        <w:tc>
          <w:tcPr>
            <w:tcW w:w="4995" w:type="dxa"/>
            <w:tcBorders>
              <w:bottom w:val="single" w:sz="6" w:space="0" w:color="000000"/>
              <w:right w:val="single" w:sz="6" w:space="0" w:color="000000"/>
            </w:tcBorders>
            <w:vAlign w:val="center"/>
          </w:tcPr>
          <w:p w14:paraId="5929C008" w14:textId="77777777" w:rsidR="007D706A" w:rsidRDefault="007D706A" w:rsidP="00F70508">
            <w:pPr>
              <w:pStyle w:val="ParagraphStyle5"/>
              <w:rPr>
                <w:rStyle w:val="CharacterStyle5"/>
              </w:rPr>
            </w:pPr>
            <w:r>
              <w:rPr>
                <w:rStyle w:val="CharacterStyle5"/>
              </w:rPr>
              <w:t>PROGRAM ZA DJECU NACIONALNIH MANJINA</w:t>
            </w:r>
          </w:p>
        </w:tc>
        <w:tc>
          <w:tcPr>
            <w:tcW w:w="1395" w:type="dxa"/>
            <w:tcBorders>
              <w:bottom w:val="single" w:sz="6" w:space="0" w:color="000000"/>
              <w:right w:val="single" w:sz="6" w:space="0" w:color="000000"/>
            </w:tcBorders>
            <w:vAlign w:val="center"/>
          </w:tcPr>
          <w:p w14:paraId="31B8EA02"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1DF60A86" w14:textId="77777777" w:rsidR="007D706A" w:rsidRDefault="007D706A" w:rsidP="00F70508">
            <w:pPr>
              <w:pStyle w:val="ParagraphStyle6"/>
              <w:rPr>
                <w:rStyle w:val="CharacterStyle6"/>
              </w:rPr>
            </w:pPr>
            <w:r>
              <w:rPr>
                <w:rStyle w:val="CharacterStyle6"/>
              </w:rPr>
              <w:t>9.999,00</w:t>
            </w:r>
          </w:p>
        </w:tc>
        <w:tc>
          <w:tcPr>
            <w:tcW w:w="1395" w:type="dxa"/>
            <w:tcBorders>
              <w:bottom w:val="single" w:sz="6" w:space="0" w:color="000000"/>
              <w:right w:val="single" w:sz="6" w:space="0" w:color="000000"/>
            </w:tcBorders>
            <w:vAlign w:val="center"/>
          </w:tcPr>
          <w:p w14:paraId="02FE6836" w14:textId="77777777" w:rsidR="007D706A" w:rsidRDefault="007D706A" w:rsidP="00F70508">
            <w:pPr>
              <w:pStyle w:val="ParagraphStyle6"/>
              <w:rPr>
                <w:rStyle w:val="CharacterStyle6"/>
              </w:rPr>
            </w:pPr>
            <w:r>
              <w:rPr>
                <w:rStyle w:val="CharacterStyle6"/>
              </w:rPr>
              <w:t>9.999,00</w:t>
            </w:r>
          </w:p>
        </w:tc>
        <w:tc>
          <w:tcPr>
            <w:tcW w:w="1395" w:type="dxa"/>
            <w:tcBorders>
              <w:bottom w:val="single" w:sz="6" w:space="0" w:color="000000"/>
              <w:right w:val="single" w:sz="6" w:space="0" w:color="000000"/>
            </w:tcBorders>
            <w:vAlign w:val="center"/>
          </w:tcPr>
          <w:p w14:paraId="74F09590" w14:textId="77777777" w:rsidR="007D706A" w:rsidRDefault="007D706A" w:rsidP="00F70508">
            <w:pPr>
              <w:pStyle w:val="ParagraphStyle6"/>
              <w:rPr>
                <w:rStyle w:val="CharacterStyle6"/>
              </w:rPr>
            </w:pPr>
            <w:r>
              <w:rPr>
                <w:rStyle w:val="CharacterStyle6"/>
              </w:rPr>
              <w:t>10.000,00</w:t>
            </w:r>
          </w:p>
        </w:tc>
        <w:tc>
          <w:tcPr>
            <w:tcW w:w="1395" w:type="dxa"/>
            <w:tcBorders>
              <w:bottom w:val="single" w:sz="6" w:space="0" w:color="000000"/>
              <w:right w:val="single" w:sz="6" w:space="0" w:color="000000"/>
            </w:tcBorders>
            <w:vAlign w:val="center"/>
          </w:tcPr>
          <w:p w14:paraId="4CA6AD20" w14:textId="77777777" w:rsidR="007D706A" w:rsidRDefault="007D706A" w:rsidP="00F70508">
            <w:pPr>
              <w:pStyle w:val="ParagraphStyle6"/>
              <w:rPr>
                <w:rStyle w:val="CharacterStyle6"/>
              </w:rPr>
            </w:pPr>
            <w:r>
              <w:rPr>
                <w:rStyle w:val="CharacterStyle6"/>
              </w:rPr>
              <w:t>10.000,00</w:t>
            </w:r>
          </w:p>
        </w:tc>
      </w:tr>
      <w:tr w:rsidR="007D706A" w14:paraId="723574D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EDBAA0E" w14:textId="77777777" w:rsidR="007D706A" w:rsidRDefault="007D706A" w:rsidP="00F70508">
            <w:pPr>
              <w:pStyle w:val="ParagraphStyle7"/>
              <w:rPr>
                <w:rStyle w:val="CharacterStyle7"/>
              </w:rPr>
            </w:pPr>
            <w:r>
              <w:rPr>
                <w:rStyle w:val="CharacterStyle7"/>
              </w:rPr>
              <w:t>Izvor financiranja 50</w:t>
            </w:r>
          </w:p>
        </w:tc>
        <w:tc>
          <w:tcPr>
            <w:tcW w:w="4995" w:type="dxa"/>
            <w:tcBorders>
              <w:bottom w:val="single" w:sz="6" w:space="0" w:color="000000"/>
              <w:right w:val="single" w:sz="6" w:space="0" w:color="000000"/>
            </w:tcBorders>
            <w:vAlign w:val="center"/>
          </w:tcPr>
          <w:p w14:paraId="2C17CCE7" w14:textId="77777777" w:rsidR="007D706A" w:rsidRDefault="007D706A" w:rsidP="00F70508">
            <w:pPr>
              <w:pStyle w:val="ParagraphStyle8"/>
              <w:rPr>
                <w:rStyle w:val="CharacterStyle8"/>
              </w:rPr>
            </w:pPr>
            <w:r>
              <w:rPr>
                <w:rStyle w:val="CharacterStyle8"/>
              </w:rPr>
              <w:t>Pomoći iz državnog proračuna</w:t>
            </w:r>
          </w:p>
        </w:tc>
        <w:tc>
          <w:tcPr>
            <w:tcW w:w="1395" w:type="dxa"/>
            <w:tcBorders>
              <w:bottom w:val="single" w:sz="6" w:space="0" w:color="000000"/>
              <w:right w:val="single" w:sz="6" w:space="0" w:color="000000"/>
            </w:tcBorders>
            <w:vAlign w:val="center"/>
          </w:tcPr>
          <w:p w14:paraId="281C9063"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ADBF0F7"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2B82D1E" w14:textId="77777777" w:rsidR="007D706A" w:rsidRDefault="007D706A" w:rsidP="00F70508">
            <w:pPr>
              <w:pStyle w:val="ParagraphStyle9"/>
              <w:rPr>
                <w:rStyle w:val="CharacterStyle9"/>
              </w:rPr>
            </w:pPr>
            <w:r>
              <w:rPr>
                <w:rStyle w:val="CharacterStyle9"/>
              </w:rPr>
              <w:t>9.999,00</w:t>
            </w:r>
          </w:p>
        </w:tc>
        <w:tc>
          <w:tcPr>
            <w:tcW w:w="1395" w:type="dxa"/>
            <w:tcBorders>
              <w:bottom w:val="single" w:sz="6" w:space="0" w:color="000000"/>
              <w:right w:val="single" w:sz="6" w:space="0" w:color="000000"/>
            </w:tcBorders>
            <w:vAlign w:val="center"/>
          </w:tcPr>
          <w:p w14:paraId="3EA79544" w14:textId="77777777" w:rsidR="007D706A" w:rsidRDefault="007D706A" w:rsidP="00F70508">
            <w:pPr>
              <w:pStyle w:val="ParagraphStyle9"/>
              <w:rPr>
                <w:rStyle w:val="CharacterStyle9"/>
              </w:rPr>
            </w:pPr>
            <w:r>
              <w:rPr>
                <w:rStyle w:val="CharacterStyle9"/>
              </w:rPr>
              <w:t>10.000,00</w:t>
            </w:r>
          </w:p>
        </w:tc>
        <w:tc>
          <w:tcPr>
            <w:tcW w:w="1395" w:type="dxa"/>
            <w:tcBorders>
              <w:bottom w:val="single" w:sz="6" w:space="0" w:color="000000"/>
              <w:right w:val="single" w:sz="6" w:space="0" w:color="000000"/>
            </w:tcBorders>
            <w:vAlign w:val="center"/>
          </w:tcPr>
          <w:p w14:paraId="3E16227A" w14:textId="77777777" w:rsidR="007D706A" w:rsidRDefault="007D706A" w:rsidP="00F70508">
            <w:pPr>
              <w:pStyle w:val="ParagraphStyle9"/>
              <w:rPr>
                <w:rStyle w:val="CharacterStyle9"/>
              </w:rPr>
            </w:pPr>
            <w:r>
              <w:rPr>
                <w:rStyle w:val="CharacterStyle9"/>
              </w:rPr>
              <w:t>10.000,00</w:t>
            </w:r>
          </w:p>
        </w:tc>
      </w:tr>
      <w:tr w:rsidR="007D706A" w14:paraId="302459E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7CF4F3E"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371FC4C8"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58CCFC8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B00B90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5C66621" w14:textId="77777777" w:rsidR="007D706A" w:rsidRDefault="007D706A" w:rsidP="00F70508">
            <w:pPr>
              <w:pStyle w:val="ParagraphStyle12"/>
              <w:rPr>
                <w:rStyle w:val="CharacterStyle12"/>
              </w:rPr>
            </w:pPr>
            <w:r>
              <w:rPr>
                <w:rStyle w:val="CharacterStyle12"/>
              </w:rPr>
              <w:t>9.999,00</w:t>
            </w:r>
          </w:p>
        </w:tc>
        <w:tc>
          <w:tcPr>
            <w:tcW w:w="1395" w:type="dxa"/>
            <w:tcBorders>
              <w:bottom w:val="single" w:sz="6" w:space="0" w:color="000000"/>
              <w:right w:val="single" w:sz="6" w:space="0" w:color="000000"/>
            </w:tcBorders>
            <w:vAlign w:val="center"/>
          </w:tcPr>
          <w:p w14:paraId="5748E91D" w14:textId="77777777" w:rsidR="007D706A" w:rsidRDefault="007D706A" w:rsidP="00F70508">
            <w:pPr>
              <w:pStyle w:val="ParagraphStyle12"/>
              <w:rPr>
                <w:rStyle w:val="CharacterStyle12"/>
              </w:rPr>
            </w:pPr>
            <w:r>
              <w:rPr>
                <w:rStyle w:val="CharacterStyle12"/>
              </w:rPr>
              <w:t>10.000,00</w:t>
            </w:r>
          </w:p>
        </w:tc>
        <w:tc>
          <w:tcPr>
            <w:tcW w:w="1395" w:type="dxa"/>
            <w:tcBorders>
              <w:bottom w:val="single" w:sz="6" w:space="0" w:color="000000"/>
              <w:right w:val="single" w:sz="6" w:space="0" w:color="000000"/>
            </w:tcBorders>
            <w:vAlign w:val="center"/>
          </w:tcPr>
          <w:p w14:paraId="2323D162" w14:textId="77777777" w:rsidR="007D706A" w:rsidRDefault="007D706A" w:rsidP="00F70508">
            <w:pPr>
              <w:pStyle w:val="ParagraphStyle12"/>
              <w:rPr>
                <w:rStyle w:val="CharacterStyle12"/>
              </w:rPr>
            </w:pPr>
            <w:r>
              <w:rPr>
                <w:rStyle w:val="CharacterStyle12"/>
              </w:rPr>
              <w:t>10.000,00</w:t>
            </w:r>
          </w:p>
        </w:tc>
      </w:tr>
      <w:tr w:rsidR="007D706A" w14:paraId="0773C6C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D996FFE"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026A6042"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45FB768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AFFF05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7B51B45" w14:textId="77777777" w:rsidR="007D706A" w:rsidRDefault="007D706A" w:rsidP="00F70508">
            <w:pPr>
              <w:pStyle w:val="ParagraphStyle12"/>
              <w:rPr>
                <w:rStyle w:val="CharacterStyle12"/>
              </w:rPr>
            </w:pPr>
            <w:r>
              <w:rPr>
                <w:rStyle w:val="CharacterStyle12"/>
              </w:rPr>
              <w:t>9.999,00</w:t>
            </w:r>
          </w:p>
        </w:tc>
        <w:tc>
          <w:tcPr>
            <w:tcW w:w="1395" w:type="dxa"/>
            <w:tcBorders>
              <w:bottom w:val="single" w:sz="6" w:space="0" w:color="000000"/>
              <w:right w:val="single" w:sz="6" w:space="0" w:color="000000"/>
            </w:tcBorders>
            <w:vAlign w:val="center"/>
          </w:tcPr>
          <w:p w14:paraId="69E3E6BA" w14:textId="77777777" w:rsidR="007D706A" w:rsidRDefault="007D706A" w:rsidP="00F70508">
            <w:pPr>
              <w:pStyle w:val="ParagraphStyle12"/>
              <w:rPr>
                <w:rStyle w:val="CharacterStyle12"/>
              </w:rPr>
            </w:pPr>
            <w:r>
              <w:rPr>
                <w:rStyle w:val="CharacterStyle12"/>
              </w:rPr>
              <w:t>10.000,00</w:t>
            </w:r>
          </w:p>
        </w:tc>
        <w:tc>
          <w:tcPr>
            <w:tcW w:w="1395" w:type="dxa"/>
            <w:tcBorders>
              <w:bottom w:val="single" w:sz="6" w:space="0" w:color="000000"/>
              <w:right w:val="single" w:sz="6" w:space="0" w:color="000000"/>
            </w:tcBorders>
            <w:vAlign w:val="center"/>
          </w:tcPr>
          <w:p w14:paraId="67176468" w14:textId="77777777" w:rsidR="007D706A" w:rsidRDefault="007D706A" w:rsidP="00F70508">
            <w:pPr>
              <w:pStyle w:val="ParagraphStyle12"/>
              <w:rPr>
                <w:rStyle w:val="CharacterStyle12"/>
              </w:rPr>
            </w:pPr>
            <w:r>
              <w:rPr>
                <w:rStyle w:val="CharacterStyle12"/>
              </w:rPr>
              <w:t>10.000,00</w:t>
            </w:r>
          </w:p>
        </w:tc>
      </w:tr>
      <w:tr w:rsidR="007D706A" w14:paraId="55D1E9E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F9D3700" w14:textId="77777777" w:rsidR="007D706A" w:rsidRDefault="007D706A" w:rsidP="00F70508">
            <w:pPr>
              <w:pStyle w:val="ParagraphStyle7"/>
              <w:rPr>
                <w:rStyle w:val="CharacterStyle7"/>
              </w:rPr>
            </w:pPr>
            <w:r>
              <w:rPr>
                <w:rStyle w:val="CharacterStyle7"/>
              </w:rPr>
              <w:t>Izvor financiranja 53</w:t>
            </w:r>
          </w:p>
        </w:tc>
        <w:tc>
          <w:tcPr>
            <w:tcW w:w="4995" w:type="dxa"/>
            <w:tcBorders>
              <w:bottom w:val="single" w:sz="6" w:space="0" w:color="000000"/>
              <w:right w:val="single" w:sz="6" w:space="0" w:color="000000"/>
            </w:tcBorders>
            <w:vAlign w:val="center"/>
          </w:tcPr>
          <w:p w14:paraId="4D53E71F" w14:textId="77777777" w:rsidR="007D706A" w:rsidRDefault="007D706A" w:rsidP="00F70508">
            <w:pPr>
              <w:pStyle w:val="ParagraphStyle8"/>
              <w:rPr>
                <w:rStyle w:val="CharacterStyle8"/>
              </w:rPr>
            </w:pPr>
            <w:r>
              <w:rPr>
                <w:rStyle w:val="CharacterStyle8"/>
              </w:rPr>
              <w:t>Proračuni, drugi nivoi - za posebne i / ili ugovorene namjene</w:t>
            </w:r>
          </w:p>
        </w:tc>
        <w:tc>
          <w:tcPr>
            <w:tcW w:w="1395" w:type="dxa"/>
            <w:tcBorders>
              <w:bottom w:val="single" w:sz="6" w:space="0" w:color="000000"/>
              <w:right w:val="single" w:sz="6" w:space="0" w:color="000000"/>
            </w:tcBorders>
            <w:vAlign w:val="center"/>
          </w:tcPr>
          <w:p w14:paraId="26D66E4C"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B5231E1" w14:textId="77777777" w:rsidR="007D706A" w:rsidRDefault="007D706A" w:rsidP="00F70508">
            <w:pPr>
              <w:pStyle w:val="ParagraphStyle9"/>
              <w:rPr>
                <w:rStyle w:val="CharacterStyle9"/>
              </w:rPr>
            </w:pPr>
            <w:r>
              <w:rPr>
                <w:rStyle w:val="CharacterStyle9"/>
              </w:rPr>
              <w:t>9.999,00</w:t>
            </w:r>
          </w:p>
        </w:tc>
        <w:tc>
          <w:tcPr>
            <w:tcW w:w="1395" w:type="dxa"/>
            <w:tcBorders>
              <w:bottom w:val="single" w:sz="6" w:space="0" w:color="000000"/>
              <w:right w:val="single" w:sz="6" w:space="0" w:color="000000"/>
            </w:tcBorders>
            <w:vAlign w:val="center"/>
          </w:tcPr>
          <w:p w14:paraId="6B50372A"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F612976"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D808096" w14:textId="77777777" w:rsidR="007D706A" w:rsidRDefault="007D706A" w:rsidP="00F70508">
            <w:pPr>
              <w:pStyle w:val="ParagraphStyle9"/>
              <w:rPr>
                <w:rStyle w:val="CharacterStyle9"/>
              </w:rPr>
            </w:pPr>
            <w:r>
              <w:rPr>
                <w:rStyle w:val="CharacterStyle9"/>
              </w:rPr>
              <w:t>0,00</w:t>
            </w:r>
          </w:p>
        </w:tc>
      </w:tr>
      <w:tr w:rsidR="007D706A" w14:paraId="3F9ECE9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1076D4D"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44F92520"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251203B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F26053C" w14:textId="77777777" w:rsidR="007D706A" w:rsidRDefault="007D706A" w:rsidP="00F70508">
            <w:pPr>
              <w:pStyle w:val="ParagraphStyle12"/>
              <w:rPr>
                <w:rStyle w:val="CharacterStyle12"/>
              </w:rPr>
            </w:pPr>
            <w:r>
              <w:rPr>
                <w:rStyle w:val="CharacterStyle12"/>
              </w:rPr>
              <w:t>9.999,00</w:t>
            </w:r>
          </w:p>
        </w:tc>
        <w:tc>
          <w:tcPr>
            <w:tcW w:w="1395" w:type="dxa"/>
            <w:tcBorders>
              <w:bottom w:val="single" w:sz="6" w:space="0" w:color="000000"/>
              <w:right w:val="single" w:sz="6" w:space="0" w:color="000000"/>
            </w:tcBorders>
            <w:vAlign w:val="center"/>
          </w:tcPr>
          <w:p w14:paraId="30A3A2A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0A3513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4703499" w14:textId="77777777" w:rsidR="007D706A" w:rsidRDefault="007D706A" w:rsidP="00F70508">
            <w:pPr>
              <w:pStyle w:val="ParagraphStyle12"/>
              <w:rPr>
                <w:rStyle w:val="CharacterStyle12"/>
              </w:rPr>
            </w:pPr>
            <w:r>
              <w:rPr>
                <w:rStyle w:val="CharacterStyle12"/>
              </w:rPr>
              <w:t>0,00</w:t>
            </w:r>
          </w:p>
        </w:tc>
      </w:tr>
      <w:tr w:rsidR="007D706A" w14:paraId="2A21DA1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A674341"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768BDF64"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6F05E3C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0014601" w14:textId="77777777" w:rsidR="007D706A" w:rsidRDefault="007D706A" w:rsidP="00F70508">
            <w:pPr>
              <w:pStyle w:val="ParagraphStyle12"/>
              <w:rPr>
                <w:rStyle w:val="CharacterStyle12"/>
              </w:rPr>
            </w:pPr>
            <w:r>
              <w:rPr>
                <w:rStyle w:val="CharacterStyle12"/>
              </w:rPr>
              <w:t>9.999,00</w:t>
            </w:r>
          </w:p>
        </w:tc>
        <w:tc>
          <w:tcPr>
            <w:tcW w:w="1395" w:type="dxa"/>
            <w:tcBorders>
              <w:bottom w:val="single" w:sz="6" w:space="0" w:color="000000"/>
              <w:right w:val="single" w:sz="6" w:space="0" w:color="000000"/>
            </w:tcBorders>
            <w:vAlign w:val="center"/>
          </w:tcPr>
          <w:p w14:paraId="5BE76B0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802D7F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025184C" w14:textId="77777777" w:rsidR="007D706A" w:rsidRDefault="007D706A" w:rsidP="00F70508">
            <w:pPr>
              <w:pStyle w:val="ParagraphStyle12"/>
              <w:rPr>
                <w:rStyle w:val="CharacterStyle12"/>
              </w:rPr>
            </w:pPr>
            <w:r>
              <w:rPr>
                <w:rStyle w:val="CharacterStyle12"/>
              </w:rPr>
              <w:t>0,00</w:t>
            </w:r>
          </w:p>
        </w:tc>
      </w:tr>
      <w:tr w:rsidR="007D706A" w14:paraId="6996A33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FB8DDA7" w14:textId="77777777" w:rsidR="007D706A" w:rsidRDefault="007D706A" w:rsidP="00F70508">
            <w:pPr>
              <w:pStyle w:val="ParagraphStyle4"/>
              <w:rPr>
                <w:rStyle w:val="CharacterStyle4"/>
              </w:rPr>
            </w:pPr>
            <w:r>
              <w:rPr>
                <w:rStyle w:val="CharacterStyle4"/>
              </w:rPr>
              <w:t>Aktivnost A103504</w:t>
            </w:r>
          </w:p>
        </w:tc>
        <w:tc>
          <w:tcPr>
            <w:tcW w:w="4995" w:type="dxa"/>
            <w:tcBorders>
              <w:bottom w:val="single" w:sz="6" w:space="0" w:color="000000"/>
              <w:right w:val="single" w:sz="6" w:space="0" w:color="000000"/>
            </w:tcBorders>
            <w:vAlign w:val="center"/>
          </w:tcPr>
          <w:p w14:paraId="221C3F77" w14:textId="77777777" w:rsidR="007D706A" w:rsidRDefault="007D706A" w:rsidP="00F70508">
            <w:pPr>
              <w:pStyle w:val="ParagraphStyle5"/>
              <w:rPr>
                <w:rStyle w:val="CharacterStyle5"/>
              </w:rPr>
            </w:pPr>
            <w:r>
              <w:rPr>
                <w:rStyle w:val="CharacterStyle5"/>
              </w:rPr>
              <w:t>PROGRAM PREDŠKOLE</w:t>
            </w:r>
          </w:p>
        </w:tc>
        <w:tc>
          <w:tcPr>
            <w:tcW w:w="1395" w:type="dxa"/>
            <w:tcBorders>
              <w:bottom w:val="single" w:sz="6" w:space="0" w:color="000000"/>
              <w:right w:val="single" w:sz="6" w:space="0" w:color="000000"/>
            </w:tcBorders>
            <w:vAlign w:val="center"/>
          </w:tcPr>
          <w:p w14:paraId="30BB6C02"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212B4FE9" w14:textId="77777777" w:rsidR="007D706A" w:rsidRDefault="007D706A" w:rsidP="00F70508">
            <w:pPr>
              <w:pStyle w:val="ParagraphStyle6"/>
              <w:rPr>
                <w:rStyle w:val="CharacterStyle6"/>
              </w:rPr>
            </w:pPr>
            <w:r>
              <w:rPr>
                <w:rStyle w:val="CharacterStyle6"/>
              </w:rPr>
              <w:t>908,00</w:t>
            </w:r>
          </w:p>
        </w:tc>
        <w:tc>
          <w:tcPr>
            <w:tcW w:w="1395" w:type="dxa"/>
            <w:tcBorders>
              <w:bottom w:val="single" w:sz="6" w:space="0" w:color="000000"/>
              <w:right w:val="single" w:sz="6" w:space="0" w:color="000000"/>
            </w:tcBorders>
            <w:vAlign w:val="center"/>
          </w:tcPr>
          <w:p w14:paraId="15A5668D" w14:textId="77777777" w:rsidR="007D706A" w:rsidRDefault="007D706A" w:rsidP="00F70508">
            <w:pPr>
              <w:pStyle w:val="ParagraphStyle6"/>
              <w:rPr>
                <w:rStyle w:val="CharacterStyle6"/>
              </w:rPr>
            </w:pPr>
            <w:r>
              <w:rPr>
                <w:rStyle w:val="CharacterStyle6"/>
              </w:rPr>
              <w:t>908,00</w:t>
            </w:r>
          </w:p>
        </w:tc>
        <w:tc>
          <w:tcPr>
            <w:tcW w:w="1395" w:type="dxa"/>
            <w:tcBorders>
              <w:bottom w:val="single" w:sz="6" w:space="0" w:color="000000"/>
              <w:right w:val="single" w:sz="6" w:space="0" w:color="000000"/>
            </w:tcBorders>
            <w:vAlign w:val="center"/>
          </w:tcPr>
          <w:p w14:paraId="055BFEF3" w14:textId="77777777" w:rsidR="007D706A" w:rsidRDefault="007D706A" w:rsidP="00F70508">
            <w:pPr>
              <w:pStyle w:val="ParagraphStyle6"/>
              <w:rPr>
                <w:rStyle w:val="CharacterStyle6"/>
              </w:rPr>
            </w:pPr>
            <w:r>
              <w:rPr>
                <w:rStyle w:val="CharacterStyle6"/>
              </w:rPr>
              <w:t>910,00</w:t>
            </w:r>
          </w:p>
        </w:tc>
        <w:tc>
          <w:tcPr>
            <w:tcW w:w="1395" w:type="dxa"/>
            <w:tcBorders>
              <w:bottom w:val="single" w:sz="6" w:space="0" w:color="000000"/>
              <w:right w:val="single" w:sz="6" w:space="0" w:color="000000"/>
            </w:tcBorders>
            <w:vAlign w:val="center"/>
          </w:tcPr>
          <w:p w14:paraId="35506DF2" w14:textId="77777777" w:rsidR="007D706A" w:rsidRDefault="007D706A" w:rsidP="00F70508">
            <w:pPr>
              <w:pStyle w:val="ParagraphStyle6"/>
              <w:rPr>
                <w:rStyle w:val="CharacterStyle6"/>
              </w:rPr>
            </w:pPr>
            <w:r>
              <w:rPr>
                <w:rStyle w:val="CharacterStyle6"/>
              </w:rPr>
              <w:t>910,00</w:t>
            </w:r>
          </w:p>
        </w:tc>
      </w:tr>
      <w:tr w:rsidR="007D706A" w14:paraId="1801E2F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2FF9D8A" w14:textId="77777777" w:rsidR="007D706A" w:rsidRDefault="007D706A" w:rsidP="00F70508">
            <w:pPr>
              <w:pStyle w:val="ParagraphStyle7"/>
              <w:rPr>
                <w:rStyle w:val="CharacterStyle7"/>
              </w:rPr>
            </w:pPr>
            <w:r>
              <w:rPr>
                <w:rStyle w:val="CharacterStyle7"/>
              </w:rPr>
              <w:t>Izvor financiranja 50</w:t>
            </w:r>
          </w:p>
        </w:tc>
        <w:tc>
          <w:tcPr>
            <w:tcW w:w="4995" w:type="dxa"/>
            <w:tcBorders>
              <w:bottom w:val="single" w:sz="6" w:space="0" w:color="000000"/>
              <w:right w:val="single" w:sz="6" w:space="0" w:color="000000"/>
            </w:tcBorders>
            <w:vAlign w:val="center"/>
          </w:tcPr>
          <w:p w14:paraId="334B91F2" w14:textId="77777777" w:rsidR="007D706A" w:rsidRDefault="007D706A" w:rsidP="00F70508">
            <w:pPr>
              <w:pStyle w:val="ParagraphStyle8"/>
              <w:rPr>
                <w:rStyle w:val="CharacterStyle8"/>
              </w:rPr>
            </w:pPr>
            <w:r>
              <w:rPr>
                <w:rStyle w:val="CharacterStyle8"/>
              </w:rPr>
              <w:t>Pomoći iz državnog proračuna</w:t>
            </w:r>
          </w:p>
        </w:tc>
        <w:tc>
          <w:tcPr>
            <w:tcW w:w="1395" w:type="dxa"/>
            <w:tcBorders>
              <w:bottom w:val="single" w:sz="6" w:space="0" w:color="000000"/>
              <w:right w:val="single" w:sz="6" w:space="0" w:color="000000"/>
            </w:tcBorders>
            <w:vAlign w:val="center"/>
          </w:tcPr>
          <w:p w14:paraId="752AD072"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68B95F6"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404AB40" w14:textId="77777777" w:rsidR="007D706A" w:rsidRDefault="007D706A" w:rsidP="00F70508">
            <w:pPr>
              <w:pStyle w:val="ParagraphStyle9"/>
              <w:rPr>
                <w:rStyle w:val="CharacterStyle9"/>
              </w:rPr>
            </w:pPr>
            <w:r>
              <w:rPr>
                <w:rStyle w:val="CharacterStyle9"/>
              </w:rPr>
              <w:t>908,00</w:t>
            </w:r>
          </w:p>
        </w:tc>
        <w:tc>
          <w:tcPr>
            <w:tcW w:w="1395" w:type="dxa"/>
            <w:tcBorders>
              <w:bottom w:val="single" w:sz="6" w:space="0" w:color="000000"/>
              <w:right w:val="single" w:sz="6" w:space="0" w:color="000000"/>
            </w:tcBorders>
            <w:vAlign w:val="center"/>
          </w:tcPr>
          <w:p w14:paraId="322A8886" w14:textId="77777777" w:rsidR="007D706A" w:rsidRDefault="007D706A" w:rsidP="00F70508">
            <w:pPr>
              <w:pStyle w:val="ParagraphStyle9"/>
              <w:rPr>
                <w:rStyle w:val="CharacterStyle9"/>
              </w:rPr>
            </w:pPr>
            <w:r>
              <w:rPr>
                <w:rStyle w:val="CharacterStyle9"/>
              </w:rPr>
              <w:t>910,00</w:t>
            </w:r>
          </w:p>
        </w:tc>
        <w:tc>
          <w:tcPr>
            <w:tcW w:w="1395" w:type="dxa"/>
            <w:tcBorders>
              <w:bottom w:val="single" w:sz="6" w:space="0" w:color="000000"/>
              <w:right w:val="single" w:sz="6" w:space="0" w:color="000000"/>
            </w:tcBorders>
            <w:vAlign w:val="center"/>
          </w:tcPr>
          <w:p w14:paraId="24C44117" w14:textId="77777777" w:rsidR="007D706A" w:rsidRDefault="007D706A" w:rsidP="00F70508">
            <w:pPr>
              <w:pStyle w:val="ParagraphStyle9"/>
              <w:rPr>
                <w:rStyle w:val="CharacterStyle9"/>
              </w:rPr>
            </w:pPr>
            <w:r>
              <w:rPr>
                <w:rStyle w:val="CharacterStyle9"/>
              </w:rPr>
              <w:t>910,00</w:t>
            </w:r>
          </w:p>
        </w:tc>
      </w:tr>
      <w:tr w:rsidR="007D706A" w14:paraId="5E441BA6"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B6D5F93"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4DF83A35"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46DDD8B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7D0FAE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735DF0F" w14:textId="77777777" w:rsidR="007D706A" w:rsidRDefault="007D706A" w:rsidP="00F70508">
            <w:pPr>
              <w:pStyle w:val="ParagraphStyle12"/>
              <w:rPr>
                <w:rStyle w:val="CharacterStyle12"/>
              </w:rPr>
            </w:pPr>
            <w:r>
              <w:rPr>
                <w:rStyle w:val="CharacterStyle12"/>
              </w:rPr>
              <w:t>908,00</w:t>
            </w:r>
          </w:p>
        </w:tc>
        <w:tc>
          <w:tcPr>
            <w:tcW w:w="1395" w:type="dxa"/>
            <w:tcBorders>
              <w:bottom w:val="single" w:sz="6" w:space="0" w:color="000000"/>
              <w:right w:val="single" w:sz="6" w:space="0" w:color="000000"/>
            </w:tcBorders>
            <w:vAlign w:val="center"/>
          </w:tcPr>
          <w:p w14:paraId="28BB214F" w14:textId="77777777" w:rsidR="007D706A" w:rsidRDefault="007D706A" w:rsidP="00F70508">
            <w:pPr>
              <w:pStyle w:val="ParagraphStyle12"/>
              <w:rPr>
                <w:rStyle w:val="CharacterStyle12"/>
              </w:rPr>
            </w:pPr>
            <w:r>
              <w:rPr>
                <w:rStyle w:val="CharacterStyle12"/>
              </w:rPr>
              <w:t>910,00</w:t>
            </w:r>
          </w:p>
        </w:tc>
        <w:tc>
          <w:tcPr>
            <w:tcW w:w="1395" w:type="dxa"/>
            <w:tcBorders>
              <w:bottom w:val="single" w:sz="6" w:space="0" w:color="000000"/>
              <w:right w:val="single" w:sz="6" w:space="0" w:color="000000"/>
            </w:tcBorders>
            <w:vAlign w:val="center"/>
          </w:tcPr>
          <w:p w14:paraId="2DF9ABE4" w14:textId="77777777" w:rsidR="007D706A" w:rsidRDefault="007D706A" w:rsidP="00F70508">
            <w:pPr>
              <w:pStyle w:val="ParagraphStyle12"/>
              <w:rPr>
                <w:rStyle w:val="CharacterStyle12"/>
              </w:rPr>
            </w:pPr>
            <w:r>
              <w:rPr>
                <w:rStyle w:val="CharacterStyle12"/>
              </w:rPr>
              <w:t>910,00</w:t>
            </w:r>
          </w:p>
        </w:tc>
      </w:tr>
      <w:tr w:rsidR="007D706A" w14:paraId="3907548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5E596A1"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03D08AD7"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726B006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DFAF59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FAB6B41" w14:textId="77777777" w:rsidR="007D706A" w:rsidRDefault="007D706A" w:rsidP="00F70508">
            <w:pPr>
              <w:pStyle w:val="ParagraphStyle12"/>
              <w:rPr>
                <w:rStyle w:val="CharacterStyle12"/>
              </w:rPr>
            </w:pPr>
            <w:r>
              <w:rPr>
                <w:rStyle w:val="CharacterStyle12"/>
              </w:rPr>
              <w:t>908,00</w:t>
            </w:r>
          </w:p>
        </w:tc>
        <w:tc>
          <w:tcPr>
            <w:tcW w:w="1395" w:type="dxa"/>
            <w:tcBorders>
              <w:bottom w:val="single" w:sz="6" w:space="0" w:color="000000"/>
              <w:right w:val="single" w:sz="6" w:space="0" w:color="000000"/>
            </w:tcBorders>
            <w:vAlign w:val="center"/>
          </w:tcPr>
          <w:p w14:paraId="1E3E8391" w14:textId="77777777" w:rsidR="007D706A" w:rsidRDefault="007D706A" w:rsidP="00F70508">
            <w:pPr>
              <w:pStyle w:val="ParagraphStyle12"/>
              <w:rPr>
                <w:rStyle w:val="CharacterStyle12"/>
              </w:rPr>
            </w:pPr>
            <w:r>
              <w:rPr>
                <w:rStyle w:val="CharacterStyle12"/>
              </w:rPr>
              <w:t>910,00</w:t>
            </w:r>
          </w:p>
        </w:tc>
        <w:tc>
          <w:tcPr>
            <w:tcW w:w="1395" w:type="dxa"/>
            <w:tcBorders>
              <w:bottom w:val="single" w:sz="6" w:space="0" w:color="000000"/>
              <w:right w:val="single" w:sz="6" w:space="0" w:color="000000"/>
            </w:tcBorders>
            <w:vAlign w:val="center"/>
          </w:tcPr>
          <w:p w14:paraId="5F4A1B54" w14:textId="77777777" w:rsidR="007D706A" w:rsidRDefault="007D706A" w:rsidP="00F70508">
            <w:pPr>
              <w:pStyle w:val="ParagraphStyle12"/>
              <w:rPr>
                <w:rStyle w:val="CharacterStyle12"/>
              </w:rPr>
            </w:pPr>
            <w:r>
              <w:rPr>
                <w:rStyle w:val="CharacterStyle12"/>
              </w:rPr>
              <w:t>910,00</w:t>
            </w:r>
          </w:p>
        </w:tc>
      </w:tr>
      <w:tr w:rsidR="007D706A" w14:paraId="63636D7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943D321" w14:textId="77777777" w:rsidR="007D706A" w:rsidRDefault="007D706A" w:rsidP="00F70508">
            <w:pPr>
              <w:pStyle w:val="ParagraphStyle7"/>
              <w:rPr>
                <w:rStyle w:val="CharacterStyle7"/>
              </w:rPr>
            </w:pPr>
            <w:r>
              <w:rPr>
                <w:rStyle w:val="CharacterStyle7"/>
              </w:rPr>
              <w:t>Izvor financiranja 53</w:t>
            </w:r>
          </w:p>
        </w:tc>
        <w:tc>
          <w:tcPr>
            <w:tcW w:w="4995" w:type="dxa"/>
            <w:tcBorders>
              <w:bottom w:val="single" w:sz="6" w:space="0" w:color="000000"/>
              <w:right w:val="single" w:sz="6" w:space="0" w:color="000000"/>
            </w:tcBorders>
            <w:vAlign w:val="center"/>
          </w:tcPr>
          <w:p w14:paraId="6A078961" w14:textId="77777777" w:rsidR="007D706A" w:rsidRDefault="007D706A" w:rsidP="00F70508">
            <w:pPr>
              <w:pStyle w:val="ParagraphStyle8"/>
              <w:rPr>
                <w:rStyle w:val="CharacterStyle8"/>
              </w:rPr>
            </w:pPr>
            <w:r>
              <w:rPr>
                <w:rStyle w:val="CharacterStyle8"/>
              </w:rPr>
              <w:t>Proračuni, drugi nivoi - za posebne i / ili ugovorene namjene</w:t>
            </w:r>
          </w:p>
        </w:tc>
        <w:tc>
          <w:tcPr>
            <w:tcW w:w="1395" w:type="dxa"/>
            <w:tcBorders>
              <w:bottom w:val="single" w:sz="6" w:space="0" w:color="000000"/>
              <w:right w:val="single" w:sz="6" w:space="0" w:color="000000"/>
            </w:tcBorders>
            <w:vAlign w:val="center"/>
          </w:tcPr>
          <w:p w14:paraId="3E2E39C3"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E6ABA6B" w14:textId="77777777" w:rsidR="007D706A" w:rsidRDefault="007D706A" w:rsidP="00F70508">
            <w:pPr>
              <w:pStyle w:val="ParagraphStyle9"/>
              <w:rPr>
                <w:rStyle w:val="CharacterStyle9"/>
              </w:rPr>
            </w:pPr>
            <w:r>
              <w:rPr>
                <w:rStyle w:val="CharacterStyle9"/>
              </w:rPr>
              <w:t>908,00</w:t>
            </w:r>
          </w:p>
        </w:tc>
        <w:tc>
          <w:tcPr>
            <w:tcW w:w="1395" w:type="dxa"/>
            <w:tcBorders>
              <w:bottom w:val="single" w:sz="6" w:space="0" w:color="000000"/>
              <w:right w:val="single" w:sz="6" w:space="0" w:color="000000"/>
            </w:tcBorders>
            <w:vAlign w:val="center"/>
          </w:tcPr>
          <w:p w14:paraId="2F7E66C6"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F3993D9"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EE99E1B" w14:textId="77777777" w:rsidR="007D706A" w:rsidRDefault="007D706A" w:rsidP="00F70508">
            <w:pPr>
              <w:pStyle w:val="ParagraphStyle9"/>
              <w:rPr>
                <w:rStyle w:val="CharacterStyle9"/>
              </w:rPr>
            </w:pPr>
            <w:r>
              <w:rPr>
                <w:rStyle w:val="CharacterStyle9"/>
              </w:rPr>
              <w:t>0,00</w:t>
            </w:r>
          </w:p>
        </w:tc>
      </w:tr>
      <w:tr w:rsidR="007D706A" w14:paraId="309C1E4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86A56CC"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2290CCA4"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2807853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38EA6C9" w14:textId="77777777" w:rsidR="007D706A" w:rsidRDefault="007D706A" w:rsidP="00F70508">
            <w:pPr>
              <w:pStyle w:val="ParagraphStyle12"/>
              <w:rPr>
                <w:rStyle w:val="CharacterStyle12"/>
              </w:rPr>
            </w:pPr>
            <w:r>
              <w:rPr>
                <w:rStyle w:val="CharacterStyle12"/>
              </w:rPr>
              <w:t>908,00</w:t>
            </w:r>
          </w:p>
        </w:tc>
        <w:tc>
          <w:tcPr>
            <w:tcW w:w="1395" w:type="dxa"/>
            <w:tcBorders>
              <w:bottom w:val="single" w:sz="6" w:space="0" w:color="000000"/>
              <w:right w:val="single" w:sz="6" w:space="0" w:color="000000"/>
            </w:tcBorders>
            <w:vAlign w:val="center"/>
          </w:tcPr>
          <w:p w14:paraId="52A1470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02DF75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E766F64" w14:textId="77777777" w:rsidR="007D706A" w:rsidRDefault="007D706A" w:rsidP="00F70508">
            <w:pPr>
              <w:pStyle w:val="ParagraphStyle12"/>
              <w:rPr>
                <w:rStyle w:val="CharacterStyle12"/>
              </w:rPr>
            </w:pPr>
            <w:r>
              <w:rPr>
                <w:rStyle w:val="CharacterStyle12"/>
              </w:rPr>
              <w:t>0,00</w:t>
            </w:r>
          </w:p>
        </w:tc>
      </w:tr>
      <w:tr w:rsidR="007D706A" w14:paraId="7B51C7C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0435B0B"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6308A47D"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5D9B340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6283B4D" w14:textId="77777777" w:rsidR="007D706A" w:rsidRDefault="007D706A" w:rsidP="00F70508">
            <w:pPr>
              <w:pStyle w:val="ParagraphStyle12"/>
              <w:rPr>
                <w:rStyle w:val="CharacterStyle12"/>
              </w:rPr>
            </w:pPr>
            <w:r>
              <w:rPr>
                <w:rStyle w:val="CharacterStyle12"/>
              </w:rPr>
              <w:t>908,00</w:t>
            </w:r>
          </w:p>
        </w:tc>
        <w:tc>
          <w:tcPr>
            <w:tcW w:w="1395" w:type="dxa"/>
            <w:tcBorders>
              <w:bottom w:val="single" w:sz="6" w:space="0" w:color="000000"/>
              <w:right w:val="single" w:sz="6" w:space="0" w:color="000000"/>
            </w:tcBorders>
            <w:vAlign w:val="center"/>
          </w:tcPr>
          <w:p w14:paraId="7077C06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D1C270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C12E114" w14:textId="77777777" w:rsidR="007D706A" w:rsidRDefault="007D706A" w:rsidP="00F70508">
            <w:pPr>
              <w:pStyle w:val="ParagraphStyle12"/>
              <w:rPr>
                <w:rStyle w:val="CharacterStyle12"/>
              </w:rPr>
            </w:pPr>
            <w:r>
              <w:rPr>
                <w:rStyle w:val="CharacterStyle12"/>
              </w:rPr>
              <w:t>0,00</w:t>
            </w:r>
          </w:p>
        </w:tc>
      </w:tr>
      <w:tr w:rsidR="007D706A" w14:paraId="65B35F9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B6A25E4" w14:textId="77777777" w:rsidR="007D706A" w:rsidRDefault="007D706A" w:rsidP="00F70508">
            <w:pPr>
              <w:pStyle w:val="ParagraphStyle4"/>
              <w:rPr>
                <w:rStyle w:val="CharacterStyle4"/>
              </w:rPr>
            </w:pPr>
            <w:r>
              <w:rPr>
                <w:rStyle w:val="CharacterStyle4"/>
              </w:rPr>
              <w:t>Aktivnost A103513</w:t>
            </w:r>
          </w:p>
        </w:tc>
        <w:tc>
          <w:tcPr>
            <w:tcW w:w="4995" w:type="dxa"/>
            <w:tcBorders>
              <w:bottom w:val="single" w:sz="6" w:space="0" w:color="000000"/>
              <w:right w:val="single" w:sz="6" w:space="0" w:color="000000"/>
            </w:tcBorders>
            <w:vAlign w:val="center"/>
          </w:tcPr>
          <w:p w14:paraId="023C5467" w14:textId="77777777" w:rsidR="007D706A" w:rsidRDefault="007D706A" w:rsidP="00F70508">
            <w:pPr>
              <w:pStyle w:val="ParagraphStyle5"/>
              <w:rPr>
                <w:rStyle w:val="CharacterStyle5"/>
              </w:rPr>
            </w:pPr>
            <w:r>
              <w:rPr>
                <w:rStyle w:val="CharacterStyle5"/>
              </w:rPr>
              <w:t>POMOĆNICI ZA DJECU S TEŠKOĆAMA U RAZVOJU</w:t>
            </w:r>
          </w:p>
        </w:tc>
        <w:tc>
          <w:tcPr>
            <w:tcW w:w="1395" w:type="dxa"/>
            <w:tcBorders>
              <w:bottom w:val="single" w:sz="6" w:space="0" w:color="000000"/>
              <w:right w:val="single" w:sz="6" w:space="0" w:color="000000"/>
            </w:tcBorders>
            <w:vAlign w:val="center"/>
          </w:tcPr>
          <w:p w14:paraId="5F7EAC36"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19A187B0" w14:textId="77777777" w:rsidR="007D706A" w:rsidRDefault="007D706A" w:rsidP="00F70508">
            <w:pPr>
              <w:pStyle w:val="ParagraphStyle6"/>
              <w:rPr>
                <w:rStyle w:val="CharacterStyle6"/>
              </w:rPr>
            </w:pPr>
            <w:r>
              <w:rPr>
                <w:rStyle w:val="CharacterStyle6"/>
              </w:rPr>
              <w:t>16.632,00</w:t>
            </w:r>
          </w:p>
        </w:tc>
        <w:tc>
          <w:tcPr>
            <w:tcW w:w="1395" w:type="dxa"/>
            <w:tcBorders>
              <w:bottom w:val="single" w:sz="6" w:space="0" w:color="000000"/>
              <w:right w:val="single" w:sz="6" w:space="0" w:color="000000"/>
            </w:tcBorders>
            <w:vAlign w:val="center"/>
          </w:tcPr>
          <w:p w14:paraId="64DF1CEA" w14:textId="77777777" w:rsidR="007D706A" w:rsidRDefault="007D706A" w:rsidP="00F70508">
            <w:pPr>
              <w:pStyle w:val="ParagraphStyle6"/>
              <w:rPr>
                <w:rStyle w:val="CharacterStyle6"/>
              </w:rPr>
            </w:pPr>
            <w:r>
              <w:rPr>
                <w:rStyle w:val="CharacterStyle6"/>
              </w:rPr>
              <w:t>21.232,00</w:t>
            </w:r>
          </w:p>
        </w:tc>
        <w:tc>
          <w:tcPr>
            <w:tcW w:w="1395" w:type="dxa"/>
            <w:tcBorders>
              <w:bottom w:val="single" w:sz="6" w:space="0" w:color="000000"/>
              <w:right w:val="single" w:sz="6" w:space="0" w:color="000000"/>
            </w:tcBorders>
            <w:vAlign w:val="center"/>
          </w:tcPr>
          <w:p w14:paraId="5E651CC4" w14:textId="77777777" w:rsidR="007D706A" w:rsidRDefault="007D706A" w:rsidP="00F70508">
            <w:pPr>
              <w:pStyle w:val="ParagraphStyle6"/>
              <w:rPr>
                <w:rStyle w:val="CharacterStyle6"/>
              </w:rPr>
            </w:pPr>
            <w:r>
              <w:rPr>
                <w:rStyle w:val="CharacterStyle6"/>
              </w:rPr>
              <w:t>21.700,00</w:t>
            </w:r>
          </w:p>
        </w:tc>
        <w:tc>
          <w:tcPr>
            <w:tcW w:w="1395" w:type="dxa"/>
            <w:tcBorders>
              <w:bottom w:val="single" w:sz="6" w:space="0" w:color="000000"/>
              <w:right w:val="single" w:sz="6" w:space="0" w:color="000000"/>
            </w:tcBorders>
            <w:vAlign w:val="center"/>
          </w:tcPr>
          <w:p w14:paraId="680D6A49" w14:textId="77777777" w:rsidR="007D706A" w:rsidRDefault="007D706A" w:rsidP="00F70508">
            <w:pPr>
              <w:pStyle w:val="ParagraphStyle6"/>
              <w:rPr>
                <w:rStyle w:val="CharacterStyle6"/>
              </w:rPr>
            </w:pPr>
            <w:r>
              <w:rPr>
                <w:rStyle w:val="CharacterStyle6"/>
              </w:rPr>
              <w:t>21.700,00</w:t>
            </w:r>
          </w:p>
        </w:tc>
      </w:tr>
      <w:tr w:rsidR="007D706A" w14:paraId="517A1C5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D67F5DC"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084FBB03"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75C61D81"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C66DFA3" w14:textId="77777777" w:rsidR="007D706A" w:rsidRDefault="007D706A" w:rsidP="00F70508">
            <w:pPr>
              <w:pStyle w:val="ParagraphStyle9"/>
              <w:rPr>
                <w:rStyle w:val="CharacterStyle9"/>
              </w:rPr>
            </w:pPr>
            <w:r>
              <w:rPr>
                <w:rStyle w:val="CharacterStyle9"/>
              </w:rPr>
              <w:t>9.000,00</w:t>
            </w:r>
          </w:p>
        </w:tc>
        <w:tc>
          <w:tcPr>
            <w:tcW w:w="1395" w:type="dxa"/>
            <w:tcBorders>
              <w:bottom w:val="single" w:sz="6" w:space="0" w:color="000000"/>
              <w:right w:val="single" w:sz="6" w:space="0" w:color="000000"/>
            </w:tcBorders>
            <w:vAlign w:val="center"/>
          </w:tcPr>
          <w:p w14:paraId="219E6122" w14:textId="77777777" w:rsidR="007D706A" w:rsidRDefault="007D706A" w:rsidP="00F70508">
            <w:pPr>
              <w:pStyle w:val="ParagraphStyle9"/>
              <w:rPr>
                <w:rStyle w:val="CharacterStyle9"/>
              </w:rPr>
            </w:pPr>
            <w:r>
              <w:rPr>
                <w:rStyle w:val="CharacterStyle9"/>
              </w:rPr>
              <w:t>13.600,00</w:t>
            </w:r>
          </w:p>
        </w:tc>
        <w:tc>
          <w:tcPr>
            <w:tcW w:w="1395" w:type="dxa"/>
            <w:tcBorders>
              <w:bottom w:val="single" w:sz="6" w:space="0" w:color="000000"/>
              <w:right w:val="single" w:sz="6" w:space="0" w:color="000000"/>
            </w:tcBorders>
            <w:vAlign w:val="center"/>
          </w:tcPr>
          <w:p w14:paraId="540124ED" w14:textId="77777777" w:rsidR="007D706A" w:rsidRDefault="007D706A" w:rsidP="00F70508">
            <w:pPr>
              <w:pStyle w:val="ParagraphStyle9"/>
              <w:rPr>
                <w:rStyle w:val="CharacterStyle9"/>
              </w:rPr>
            </w:pPr>
            <w:r>
              <w:rPr>
                <w:rStyle w:val="CharacterStyle9"/>
              </w:rPr>
              <w:t>14.000,00</w:t>
            </w:r>
          </w:p>
        </w:tc>
        <w:tc>
          <w:tcPr>
            <w:tcW w:w="1395" w:type="dxa"/>
            <w:tcBorders>
              <w:bottom w:val="single" w:sz="6" w:space="0" w:color="000000"/>
              <w:right w:val="single" w:sz="6" w:space="0" w:color="000000"/>
            </w:tcBorders>
            <w:vAlign w:val="center"/>
          </w:tcPr>
          <w:p w14:paraId="4AF26E31" w14:textId="77777777" w:rsidR="007D706A" w:rsidRDefault="007D706A" w:rsidP="00F70508">
            <w:pPr>
              <w:pStyle w:val="ParagraphStyle9"/>
              <w:rPr>
                <w:rStyle w:val="CharacterStyle9"/>
              </w:rPr>
            </w:pPr>
            <w:r>
              <w:rPr>
                <w:rStyle w:val="CharacterStyle9"/>
              </w:rPr>
              <w:t>14.000,00</w:t>
            </w:r>
          </w:p>
        </w:tc>
      </w:tr>
      <w:tr w:rsidR="007D706A" w14:paraId="0288871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49D83C7"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39D54B26"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46B0D32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8A29EE0" w14:textId="77777777" w:rsidR="007D706A" w:rsidRDefault="007D706A" w:rsidP="00F70508">
            <w:pPr>
              <w:pStyle w:val="ParagraphStyle12"/>
              <w:rPr>
                <w:rStyle w:val="CharacterStyle12"/>
              </w:rPr>
            </w:pPr>
            <w:r>
              <w:rPr>
                <w:rStyle w:val="CharacterStyle12"/>
              </w:rPr>
              <w:t>9.000,00</w:t>
            </w:r>
          </w:p>
        </w:tc>
        <w:tc>
          <w:tcPr>
            <w:tcW w:w="1395" w:type="dxa"/>
            <w:tcBorders>
              <w:bottom w:val="single" w:sz="6" w:space="0" w:color="000000"/>
              <w:right w:val="single" w:sz="6" w:space="0" w:color="000000"/>
            </w:tcBorders>
            <w:vAlign w:val="center"/>
          </w:tcPr>
          <w:p w14:paraId="61B5A0F5" w14:textId="77777777" w:rsidR="007D706A" w:rsidRDefault="007D706A" w:rsidP="00F70508">
            <w:pPr>
              <w:pStyle w:val="ParagraphStyle12"/>
              <w:rPr>
                <w:rStyle w:val="CharacterStyle12"/>
              </w:rPr>
            </w:pPr>
            <w:r>
              <w:rPr>
                <w:rStyle w:val="CharacterStyle12"/>
              </w:rPr>
              <w:t>13.600,00</w:t>
            </w:r>
          </w:p>
        </w:tc>
        <w:tc>
          <w:tcPr>
            <w:tcW w:w="1395" w:type="dxa"/>
            <w:tcBorders>
              <w:bottom w:val="single" w:sz="6" w:space="0" w:color="000000"/>
              <w:right w:val="single" w:sz="6" w:space="0" w:color="000000"/>
            </w:tcBorders>
            <w:vAlign w:val="center"/>
          </w:tcPr>
          <w:p w14:paraId="0FECCFF1" w14:textId="77777777" w:rsidR="007D706A" w:rsidRDefault="007D706A" w:rsidP="00F70508">
            <w:pPr>
              <w:pStyle w:val="ParagraphStyle12"/>
              <w:rPr>
                <w:rStyle w:val="CharacterStyle12"/>
              </w:rPr>
            </w:pPr>
            <w:r>
              <w:rPr>
                <w:rStyle w:val="CharacterStyle12"/>
              </w:rPr>
              <w:t>14.000,00</w:t>
            </w:r>
          </w:p>
        </w:tc>
        <w:tc>
          <w:tcPr>
            <w:tcW w:w="1395" w:type="dxa"/>
            <w:tcBorders>
              <w:bottom w:val="single" w:sz="6" w:space="0" w:color="000000"/>
              <w:right w:val="single" w:sz="6" w:space="0" w:color="000000"/>
            </w:tcBorders>
            <w:vAlign w:val="center"/>
          </w:tcPr>
          <w:p w14:paraId="0AF20A79" w14:textId="77777777" w:rsidR="007D706A" w:rsidRDefault="007D706A" w:rsidP="00F70508">
            <w:pPr>
              <w:pStyle w:val="ParagraphStyle12"/>
              <w:rPr>
                <w:rStyle w:val="CharacterStyle12"/>
              </w:rPr>
            </w:pPr>
            <w:r>
              <w:rPr>
                <w:rStyle w:val="CharacterStyle12"/>
              </w:rPr>
              <w:t>14.000,00</w:t>
            </w:r>
          </w:p>
        </w:tc>
      </w:tr>
      <w:tr w:rsidR="007D706A" w14:paraId="57B4614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AB373F7"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6174B92D"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55F0DA2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3EDC5BD" w14:textId="77777777" w:rsidR="007D706A" w:rsidRDefault="007D706A" w:rsidP="00F70508">
            <w:pPr>
              <w:pStyle w:val="ParagraphStyle12"/>
              <w:rPr>
                <w:rStyle w:val="CharacterStyle12"/>
              </w:rPr>
            </w:pPr>
            <w:r>
              <w:rPr>
                <w:rStyle w:val="CharacterStyle12"/>
              </w:rPr>
              <w:t>9.000,00</w:t>
            </w:r>
          </w:p>
        </w:tc>
        <w:tc>
          <w:tcPr>
            <w:tcW w:w="1395" w:type="dxa"/>
            <w:tcBorders>
              <w:bottom w:val="single" w:sz="6" w:space="0" w:color="000000"/>
              <w:right w:val="single" w:sz="6" w:space="0" w:color="000000"/>
            </w:tcBorders>
            <w:vAlign w:val="center"/>
          </w:tcPr>
          <w:p w14:paraId="23C7A6A6" w14:textId="77777777" w:rsidR="007D706A" w:rsidRDefault="007D706A" w:rsidP="00F70508">
            <w:pPr>
              <w:pStyle w:val="ParagraphStyle12"/>
              <w:rPr>
                <w:rStyle w:val="CharacterStyle12"/>
              </w:rPr>
            </w:pPr>
            <w:r>
              <w:rPr>
                <w:rStyle w:val="CharacterStyle12"/>
              </w:rPr>
              <w:t>13.600,00</w:t>
            </w:r>
          </w:p>
        </w:tc>
        <w:tc>
          <w:tcPr>
            <w:tcW w:w="1395" w:type="dxa"/>
            <w:tcBorders>
              <w:bottom w:val="single" w:sz="6" w:space="0" w:color="000000"/>
              <w:right w:val="single" w:sz="6" w:space="0" w:color="000000"/>
            </w:tcBorders>
            <w:vAlign w:val="center"/>
          </w:tcPr>
          <w:p w14:paraId="3D50F09E" w14:textId="77777777" w:rsidR="007D706A" w:rsidRDefault="007D706A" w:rsidP="00F70508">
            <w:pPr>
              <w:pStyle w:val="ParagraphStyle12"/>
              <w:rPr>
                <w:rStyle w:val="CharacterStyle12"/>
              </w:rPr>
            </w:pPr>
            <w:r>
              <w:rPr>
                <w:rStyle w:val="CharacterStyle12"/>
              </w:rPr>
              <w:t>14.000,00</w:t>
            </w:r>
          </w:p>
        </w:tc>
        <w:tc>
          <w:tcPr>
            <w:tcW w:w="1395" w:type="dxa"/>
            <w:tcBorders>
              <w:bottom w:val="single" w:sz="6" w:space="0" w:color="000000"/>
              <w:right w:val="single" w:sz="6" w:space="0" w:color="000000"/>
            </w:tcBorders>
            <w:vAlign w:val="center"/>
          </w:tcPr>
          <w:p w14:paraId="652BADB8" w14:textId="77777777" w:rsidR="007D706A" w:rsidRDefault="007D706A" w:rsidP="00F70508">
            <w:pPr>
              <w:pStyle w:val="ParagraphStyle12"/>
              <w:rPr>
                <w:rStyle w:val="CharacterStyle12"/>
              </w:rPr>
            </w:pPr>
            <w:r>
              <w:rPr>
                <w:rStyle w:val="CharacterStyle12"/>
              </w:rPr>
              <w:t>14.000,00</w:t>
            </w:r>
          </w:p>
        </w:tc>
      </w:tr>
      <w:tr w:rsidR="007D706A" w14:paraId="21979516"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E03ECA8" w14:textId="77777777" w:rsidR="007D706A" w:rsidRDefault="007D706A" w:rsidP="00F70508">
            <w:pPr>
              <w:pStyle w:val="ParagraphStyle7"/>
              <w:rPr>
                <w:rStyle w:val="CharacterStyle7"/>
              </w:rPr>
            </w:pPr>
            <w:r>
              <w:rPr>
                <w:rStyle w:val="CharacterStyle7"/>
              </w:rPr>
              <w:t>Izvor financiranja 50</w:t>
            </w:r>
          </w:p>
        </w:tc>
        <w:tc>
          <w:tcPr>
            <w:tcW w:w="4995" w:type="dxa"/>
            <w:tcBorders>
              <w:bottom w:val="single" w:sz="6" w:space="0" w:color="000000"/>
              <w:right w:val="single" w:sz="6" w:space="0" w:color="000000"/>
            </w:tcBorders>
            <w:vAlign w:val="center"/>
          </w:tcPr>
          <w:p w14:paraId="379AAE0B" w14:textId="77777777" w:rsidR="007D706A" w:rsidRDefault="007D706A" w:rsidP="00F70508">
            <w:pPr>
              <w:pStyle w:val="ParagraphStyle8"/>
              <w:rPr>
                <w:rStyle w:val="CharacterStyle8"/>
              </w:rPr>
            </w:pPr>
            <w:r>
              <w:rPr>
                <w:rStyle w:val="CharacterStyle8"/>
              </w:rPr>
              <w:t>Pomoći iz državnog proračuna</w:t>
            </w:r>
          </w:p>
        </w:tc>
        <w:tc>
          <w:tcPr>
            <w:tcW w:w="1395" w:type="dxa"/>
            <w:tcBorders>
              <w:bottom w:val="single" w:sz="6" w:space="0" w:color="000000"/>
              <w:right w:val="single" w:sz="6" w:space="0" w:color="000000"/>
            </w:tcBorders>
            <w:vAlign w:val="center"/>
          </w:tcPr>
          <w:p w14:paraId="44139AA3"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F20335C"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15F2996" w14:textId="77777777" w:rsidR="007D706A" w:rsidRDefault="007D706A" w:rsidP="00F70508">
            <w:pPr>
              <w:pStyle w:val="ParagraphStyle9"/>
              <w:rPr>
                <w:rStyle w:val="CharacterStyle9"/>
              </w:rPr>
            </w:pPr>
            <w:r>
              <w:rPr>
                <w:rStyle w:val="CharacterStyle9"/>
              </w:rPr>
              <w:t>7.632,00</w:t>
            </w:r>
          </w:p>
        </w:tc>
        <w:tc>
          <w:tcPr>
            <w:tcW w:w="1395" w:type="dxa"/>
            <w:tcBorders>
              <w:bottom w:val="single" w:sz="6" w:space="0" w:color="000000"/>
              <w:right w:val="single" w:sz="6" w:space="0" w:color="000000"/>
            </w:tcBorders>
            <w:vAlign w:val="center"/>
          </w:tcPr>
          <w:p w14:paraId="4ACB3F2D" w14:textId="77777777" w:rsidR="007D706A" w:rsidRDefault="007D706A" w:rsidP="00F70508">
            <w:pPr>
              <w:pStyle w:val="ParagraphStyle9"/>
              <w:rPr>
                <w:rStyle w:val="CharacterStyle9"/>
              </w:rPr>
            </w:pPr>
            <w:r>
              <w:rPr>
                <w:rStyle w:val="CharacterStyle9"/>
              </w:rPr>
              <w:t>7.700,00</w:t>
            </w:r>
          </w:p>
        </w:tc>
        <w:tc>
          <w:tcPr>
            <w:tcW w:w="1395" w:type="dxa"/>
            <w:tcBorders>
              <w:bottom w:val="single" w:sz="6" w:space="0" w:color="000000"/>
              <w:right w:val="single" w:sz="6" w:space="0" w:color="000000"/>
            </w:tcBorders>
            <w:vAlign w:val="center"/>
          </w:tcPr>
          <w:p w14:paraId="72437976" w14:textId="77777777" w:rsidR="007D706A" w:rsidRDefault="007D706A" w:rsidP="00F70508">
            <w:pPr>
              <w:pStyle w:val="ParagraphStyle9"/>
              <w:rPr>
                <w:rStyle w:val="CharacterStyle9"/>
              </w:rPr>
            </w:pPr>
            <w:r>
              <w:rPr>
                <w:rStyle w:val="CharacterStyle9"/>
              </w:rPr>
              <w:t>7.700,00</w:t>
            </w:r>
          </w:p>
        </w:tc>
      </w:tr>
      <w:tr w:rsidR="007D706A" w14:paraId="7B96491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F3F3227"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4673CEBF"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63CF414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1088DC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034A3BF" w14:textId="77777777" w:rsidR="007D706A" w:rsidRDefault="007D706A" w:rsidP="00F70508">
            <w:pPr>
              <w:pStyle w:val="ParagraphStyle12"/>
              <w:rPr>
                <w:rStyle w:val="CharacterStyle12"/>
              </w:rPr>
            </w:pPr>
            <w:r>
              <w:rPr>
                <w:rStyle w:val="CharacterStyle12"/>
              </w:rPr>
              <w:t>7.632,00</w:t>
            </w:r>
          </w:p>
        </w:tc>
        <w:tc>
          <w:tcPr>
            <w:tcW w:w="1395" w:type="dxa"/>
            <w:tcBorders>
              <w:bottom w:val="single" w:sz="6" w:space="0" w:color="000000"/>
              <w:right w:val="single" w:sz="6" w:space="0" w:color="000000"/>
            </w:tcBorders>
            <w:vAlign w:val="center"/>
          </w:tcPr>
          <w:p w14:paraId="5E7AD204" w14:textId="77777777" w:rsidR="007D706A" w:rsidRDefault="007D706A" w:rsidP="00F70508">
            <w:pPr>
              <w:pStyle w:val="ParagraphStyle12"/>
              <w:rPr>
                <w:rStyle w:val="CharacterStyle12"/>
              </w:rPr>
            </w:pPr>
            <w:r>
              <w:rPr>
                <w:rStyle w:val="CharacterStyle12"/>
              </w:rPr>
              <w:t>7.700,00</w:t>
            </w:r>
          </w:p>
        </w:tc>
        <w:tc>
          <w:tcPr>
            <w:tcW w:w="1395" w:type="dxa"/>
            <w:tcBorders>
              <w:bottom w:val="single" w:sz="6" w:space="0" w:color="000000"/>
              <w:right w:val="single" w:sz="6" w:space="0" w:color="000000"/>
            </w:tcBorders>
            <w:vAlign w:val="center"/>
          </w:tcPr>
          <w:p w14:paraId="28D7D86B" w14:textId="77777777" w:rsidR="007D706A" w:rsidRDefault="007D706A" w:rsidP="00F70508">
            <w:pPr>
              <w:pStyle w:val="ParagraphStyle12"/>
              <w:rPr>
                <w:rStyle w:val="CharacterStyle12"/>
              </w:rPr>
            </w:pPr>
            <w:r>
              <w:rPr>
                <w:rStyle w:val="CharacterStyle12"/>
              </w:rPr>
              <w:t>7.700,00</w:t>
            </w:r>
          </w:p>
        </w:tc>
      </w:tr>
      <w:tr w:rsidR="007D706A" w14:paraId="38837EC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F7F482E"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6100EF8A"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7BF2715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EF44D7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D4C7CC3" w14:textId="77777777" w:rsidR="007D706A" w:rsidRDefault="007D706A" w:rsidP="00F70508">
            <w:pPr>
              <w:pStyle w:val="ParagraphStyle12"/>
              <w:rPr>
                <w:rStyle w:val="CharacterStyle12"/>
              </w:rPr>
            </w:pPr>
            <w:r>
              <w:rPr>
                <w:rStyle w:val="CharacterStyle12"/>
              </w:rPr>
              <w:t>7.632,00</w:t>
            </w:r>
          </w:p>
        </w:tc>
        <w:tc>
          <w:tcPr>
            <w:tcW w:w="1395" w:type="dxa"/>
            <w:tcBorders>
              <w:bottom w:val="single" w:sz="6" w:space="0" w:color="000000"/>
              <w:right w:val="single" w:sz="6" w:space="0" w:color="000000"/>
            </w:tcBorders>
            <w:vAlign w:val="center"/>
          </w:tcPr>
          <w:p w14:paraId="1A5B16F7" w14:textId="77777777" w:rsidR="007D706A" w:rsidRDefault="007D706A" w:rsidP="00F70508">
            <w:pPr>
              <w:pStyle w:val="ParagraphStyle12"/>
              <w:rPr>
                <w:rStyle w:val="CharacterStyle12"/>
              </w:rPr>
            </w:pPr>
            <w:r>
              <w:rPr>
                <w:rStyle w:val="CharacterStyle12"/>
              </w:rPr>
              <w:t>7.700,00</w:t>
            </w:r>
          </w:p>
        </w:tc>
        <w:tc>
          <w:tcPr>
            <w:tcW w:w="1395" w:type="dxa"/>
            <w:tcBorders>
              <w:bottom w:val="single" w:sz="6" w:space="0" w:color="000000"/>
              <w:right w:val="single" w:sz="6" w:space="0" w:color="000000"/>
            </w:tcBorders>
            <w:vAlign w:val="center"/>
          </w:tcPr>
          <w:p w14:paraId="338CB834" w14:textId="77777777" w:rsidR="007D706A" w:rsidRDefault="007D706A" w:rsidP="00F70508">
            <w:pPr>
              <w:pStyle w:val="ParagraphStyle12"/>
              <w:rPr>
                <w:rStyle w:val="CharacterStyle12"/>
              </w:rPr>
            </w:pPr>
            <w:r>
              <w:rPr>
                <w:rStyle w:val="CharacterStyle12"/>
              </w:rPr>
              <w:t>7.700,00</w:t>
            </w:r>
          </w:p>
        </w:tc>
      </w:tr>
      <w:tr w:rsidR="007D706A" w14:paraId="7DC93A9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7A2801E" w14:textId="77777777" w:rsidR="007D706A" w:rsidRDefault="007D706A" w:rsidP="00F70508">
            <w:pPr>
              <w:pStyle w:val="ParagraphStyle7"/>
              <w:rPr>
                <w:rStyle w:val="CharacterStyle7"/>
              </w:rPr>
            </w:pPr>
            <w:r>
              <w:rPr>
                <w:rStyle w:val="CharacterStyle7"/>
              </w:rPr>
              <w:t>Izvor financiranja 53</w:t>
            </w:r>
          </w:p>
        </w:tc>
        <w:tc>
          <w:tcPr>
            <w:tcW w:w="4995" w:type="dxa"/>
            <w:tcBorders>
              <w:bottom w:val="single" w:sz="6" w:space="0" w:color="000000"/>
              <w:right w:val="single" w:sz="6" w:space="0" w:color="000000"/>
            </w:tcBorders>
            <w:vAlign w:val="center"/>
          </w:tcPr>
          <w:p w14:paraId="2019B5C0" w14:textId="77777777" w:rsidR="007D706A" w:rsidRDefault="007D706A" w:rsidP="00F70508">
            <w:pPr>
              <w:pStyle w:val="ParagraphStyle8"/>
              <w:rPr>
                <w:rStyle w:val="CharacterStyle8"/>
              </w:rPr>
            </w:pPr>
            <w:r>
              <w:rPr>
                <w:rStyle w:val="CharacterStyle8"/>
              </w:rPr>
              <w:t>Proračuni, drugi nivoi - za posebne i / ili ugovorene namjene</w:t>
            </w:r>
          </w:p>
        </w:tc>
        <w:tc>
          <w:tcPr>
            <w:tcW w:w="1395" w:type="dxa"/>
            <w:tcBorders>
              <w:bottom w:val="single" w:sz="6" w:space="0" w:color="000000"/>
              <w:right w:val="single" w:sz="6" w:space="0" w:color="000000"/>
            </w:tcBorders>
            <w:vAlign w:val="center"/>
          </w:tcPr>
          <w:p w14:paraId="155E38BB"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AB31754" w14:textId="77777777" w:rsidR="007D706A" w:rsidRDefault="007D706A" w:rsidP="00F70508">
            <w:pPr>
              <w:pStyle w:val="ParagraphStyle9"/>
              <w:rPr>
                <w:rStyle w:val="CharacterStyle9"/>
              </w:rPr>
            </w:pPr>
            <w:r>
              <w:rPr>
                <w:rStyle w:val="CharacterStyle9"/>
              </w:rPr>
              <w:t>7.632,00</w:t>
            </w:r>
          </w:p>
        </w:tc>
        <w:tc>
          <w:tcPr>
            <w:tcW w:w="1395" w:type="dxa"/>
            <w:tcBorders>
              <w:bottom w:val="single" w:sz="6" w:space="0" w:color="000000"/>
              <w:right w:val="single" w:sz="6" w:space="0" w:color="000000"/>
            </w:tcBorders>
            <w:vAlign w:val="center"/>
          </w:tcPr>
          <w:p w14:paraId="2392D09A"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2596AAD"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B5E5AAB" w14:textId="77777777" w:rsidR="007D706A" w:rsidRDefault="007D706A" w:rsidP="00F70508">
            <w:pPr>
              <w:pStyle w:val="ParagraphStyle9"/>
              <w:rPr>
                <w:rStyle w:val="CharacterStyle9"/>
              </w:rPr>
            </w:pPr>
            <w:r>
              <w:rPr>
                <w:rStyle w:val="CharacterStyle9"/>
              </w:rPr>
              <w:t>0,00</w:t>
            </w:r>
          </w:p>
        </w:tc>
      </w:tr>
      <w:tr w:rsidR="007D706A" w14:paraId="6304C4D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BD8D4D2"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386957C7"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3C593ED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6CBA361" w14:textId="77777777" w:rsidR="007D706A" w:rsidRDefault="007D706A" w:rsidP="00F70508">
            <w:pPr>
              <w:pStyle w:val="ParagraphStyle12"/>
              <w:rPr>
                <w:rStyle w:val="CharacterStyle12"/>
              </w:rPr>
            </w:pPr>
            <w:r>
              <w:rPr>
                <w:rStyle w:val="CharacterStyle12"/>
              </w:rPr>
              <w:t>7.632,00</w:t>
            </w:r>
          </w:p>
        </w:tc>
        <w:tc>
          <w:tcPr>
            <w:tcW w:w="1395" w:type="dxa"/>
            <w:tcBorders>
              <w:bottom w:val="single" w:sz="6" w:space="0" w:color="000000"/>
              <w:right w:val="single" w:sz="6" w:space="0" w:color="000000"/>
            </w:tcBorders>
            <w:vAlign w:val="center"/>
          </w:tcPr>
          <w:p w14:paraId="0D4796B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E6D68C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658AD80" w14:textId="77777777" w:rsidR="007D706A" w:rsidRDefault="007D706A" w:rsidP="00F70508">
            <w:pPr>
              <w:pStyle w:val="ParagraphStyle12"/>
              <w:rPr>
                <w:rStyle w:val="CharacterStyle12"/>
              </w:rPr>
            </w:pPr>
            <w:r>
              <w:rPr>
                <w:rStyle w:val="CharacterStyle12"/>
              </w:rPr>
              <w:t>0,00</w:t>
            </w:r>
          </w:p>
        </w:tc>
      </w:tr>
      <w:tr w:rsidR="007D706A" w14:paraId="0BE4192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901496C"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516A86BB"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7EBF8D3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59A9782" w14:textId="77777777" w:rsidR="007D706A" w:rsidRDefault="007D706A" w:rsidP="00F70508">
            <w:pPr>
              <w:pStyle w:val="ParagraphStyle12"/>
              <w:rPr>
                <w:rStyle w:val="CharacterStyle12"/>
              </w:rPr>
            </w:pPr>
            <w:r>
              <w:rPr>
                <w:rStyle w:val="CharacterStyle12"/>
              </w:rPr>
              <w:t>7.632,00</w:t>
            </w:r>
          </w:p>
        </w:tc>
        <w:tc>
          <w:tcPr>
            <w:tcW w:w="1395" w:type="dxa"/>
            <w:tcBorders>
              <w:bottom w:val="single" w:sz="6" w:space="0" w:color="000000"/>
              <w:right w:val="single" w:sz="6" w:space="0" w:color="000000"/>
            </w:tcBorders>
            <w:vAlign w:val="center"/>
          </w:tcPr>
          <w:p w14:paraId="66B3262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1CC5EE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8623DA8" w14:textId="77777777" w:rsidR="007D706A" w:rsidRDefault="007D706A" w:rsidP="00F70508">
            <w:pPr>
              <w:pStyle w:val="ParagraphStyle12"/>
              <w:rPr>
                <w:rStyle w:val="CharacterStyle12"/>
              </w:rPr>
            </w:pPr>
            <w:r>
              <w:rPr>
                <w:rStyle w:val="CharacterStyle12"/>
              </w:rPr>
              <w:t>0,00</w:t>
            </w:r>
          </w:p>
        </w:tc>
      </w:tr>
      <w:tr w:rsidR="007D706A" w14:paraId="44506A5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8A66DDF" w14:textId="77777777" w:rsidR="007D706A" w:rsidRDefault="007D706A" w:rsidP="00F70508">
            <w:pPr>
              <w:pStyle w:val="ParagraphStyle4"/>
              <w:rPr>
                <w:rStyle w:val="CharacterStyle4"/>
              </w:rPr>
            </w:pPr>
            <w:r>
              <w:rPr>
                <w:rStyle w:val="CharacterStyle4"/>
              </w:rPr>
              <w:t>Kapitalni projekt K103503</w:t>
            </w:r>
          </w:p>
        </w:tc>
        <w:tc>
          <w:tcPr>
            <w:tcW w:w="4995" w:type="dxa"/>
            <w:tcBorders>
              <w:bottom w:val="single" w:sz="6" w:space="0" w:color="000000"/>
              <w:right w:val="single" w:sz="6" w:space="0" w:color="000000"/>
            </w:tcBorders>
            <w:vAlign w:val="center"/>
          </w:tcPr>
          <w:p w14:paraId="33D1E964" w14:textId="77777777" w:rsidR="007D706A" w:rsidRDefault="007D706A" w:rsidP="00F70508">
            <w:pPr>
              <w:pStyle w:val="ParagraphStyle5"/>
              <w:rPr>
                <w:rStyle w:val="CharacterStyle5"/>
              </w:rPr>
            </w:pPr>
            <w:r>
              <w:rPr>
                <w:rStyle w:val="CharacterStyle5"/>
              </w:rPr>
              <w:t>OPREMANJE</w:t>
            </w:r>
          </w:p>
        </w:tc>
        <w:tc>
          <w:tcPr>
            <w:tcW w:w="1395" w:type="dxa"/>
            <w:tcBorders>
              <w:bottom w:val="single" w:sz="6" w:space="0" w:color="000000"/>
              <w:right w:val="single" w:sz="6" w:space="0" w:color="000000"/>
            </w:tcBorders>
            <w:vAlign w:val="center"/>
          </w:tcPr>
          <w:p w14:paraId="16F371F4"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14676234" w14:textId="77777777" w:rsidR="007D706A" w:rsidRDefault="007D706A" w:rsidP="00F70508">
            <w:pPr>
              <w:pStyle w:val="ParagraphStyle6"/>
              <w:rPr>
                <w:rStyle w:val="CharacterStyle6"/>
              </w:rPr>
            </w:pPr>
            <w:r>
              <w:rPr>
                <w:rStyle w:val="CharacterStyle6"/>
              </w:rPr>
              <w:t>4.500,00</w:t>
            </w:r>
          </w:p>
        </w:tc>
        <w:tc>
          <w:tcPr>
            <w:tcW w:w="1395" w:type="dxa"/>
            <w:tcBorders>
              <w:bottom w:val="single" w:sz="6" w:space="0" w:color="000000"/>
              <w:right w:val="single" w:sz="6" w:space="0" w:color="000000"/>
            </w:tcBorders>
            <w:vAlign w:val="center"/>
          </w:tcPr>
          <w:p w14:paraId="5D2F2015" w14:textId="77777777" w:rsidR="007D706A" w:rsidRDefault="007D706A" w:rsidP="00F70508">
            <w:pPr>
              <w:pStyle w:val="ParagraphStyle6"/>
              <w:rPr>
                <w:rStyle w:val="CharacterStyle6"/>
              </w:rPr>
            </w:pPr>
            <w:r>
              <w:rPr>
                <w:rStyle w:val="CharacterStyle6"/>
              </w:rPr>
              <w:t>7.000,00</w:t>
            </w:r>
          </w:p>
        </w:tc>
        <w:tc>
          <w:tcPr>
            <w:tcW w:w="1395" w:type="dxa"/>
            <w:tcBorders>
              <w:bottom w:val="single" w:sz="6" w:space="0" w:color="000000"/>
              <w:right w:val="single" w:sz="6" w:space="0" w:color="000000"/>
            </w:tcBorders>
            <w:vAlign w:val="center"/>
          </w:tcPr>
          <w:p w14:paraId="73EEB27F" w14:textId="77777777" w:rsidR="007D706A" w:rsidRDefault="007D706A" w:rsidP="00F70508">
            <w:pPr>
              <w:pStyle w:val="ParagraphStyle6"/>
              <w:rPr>
                <w:rStyle w:val="CharacterStyle6"/>
              </w:rPr>
            </w:pPr>
            <w:r>
              <w:rPr>
                <w:rStyle w:val="CharacterStyle6"/>
              </w:rPr>
              <w:t>7.000,00</w:t>
            </w:r>
          </w:p>
        </w:tc>
        <w:tc>
          <w:tcPr>
            <w:tcW w:w="1395" w:type="dxa"/>
            <w:tcBorders>
              <w:bottom w:val="single" w:sz="6" w:space="0" w:color="000000"/>
              <w:right w:val="single" w:sz="6" w:space="0" w:color="000000"/>
            </w:tcBorders>
            <w:vAlign w:val="center"/>
          </w:tcPr>
          <w:p w14:paraId="2742AF6B" w14:textId="77777777" w:rsidR="007D706A" w:rsidRDefault="007D706A" w:rsidP="00F70508">
            <w:pPr>
              <w:pStyle w:val="ParagraphStyle6"/>
              <w:rPr>
                <w:rStyle w:val="CharacterStyle6"/>
              </w:rPr>
            </w:pPr>
            <w:r>
              <w:rPr>
                <w:rStyle w:val="CharacterStyle6"/>
              </w:rPr>
              <w:t>7.000,00</w:t>
            </w:r>
          </w:p>
        </w:tc>
      </w:tr>
      <w:tr w:rsidR="007D706A" w14:paraId="23A39E4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C0BAC72"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46E37764"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1F681956"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7A0C231" w14:textId="77777777" w:rsidR="007D706A" w:rsidRDefault="007D706A" w:rsidP="00F70508">
            <w:pPr>
              <w:pStyle w:val="ParagraphStyle9"/>
              <w:rPr>
                <w:rStyle w:val="CharacterStyle9"/>
              </w:rPr>
            </w:pPr>
            <w:r>
              <w:rPr>
                <w:rStyle w:val="CharacterStyle9"/>
              </w:rPr>
              <w:t>4.500,00</w:t>
            </w:r>
          </w:p>
        </w:tc>
        <w:tc>
          <w:tcPr>
            <w:tcW w:w="1395" w:type="dxa"/>
            <w:tcBorders>
              <w:bottom w:val="single" w:sz="6" w:space="0" w:color="000000"/>
              <w:right w:val="single" w:sz="6" w:space="0" w:color="000000"/>
            </w:tcBorders>
            <w:vAlign w:val="center"/>
          </w:tcPr>
          <w:p w14:paraId="6D46DCB7" w14:textId="77777777" w:rsidR="007D706A" w:rsidRDefault="007D706A" w:rsidP="00F70508">
            <w:pPr>
              <w:pStyle w:val="ParagraphStyle9"/>
              <w:rPr>
                <w:rStyle w:val="CharacterStyle9"/>
              </w:rPr>
            </w:pPr>
            <w:r>
              <w:rPr>
                <w:rStyle w:val="CharacterStyle9"/>
              </w:rPr>
              <w:t>7.000,00</w:t>
            </w:r>
          </w:p>
        </w:tc>
        <w:tc>
          <w:tcPr>
            <w:tcW w:w="1395" w:type="dxa"/>
            <w:tcBorders>
              <w:bottom w:val="single" w:sz="6" w:space="0" w:color="000000"/>
              <w:right w:val="single" w:sz="6" w:space="0" w:color="000000"/>
            </w:tcBorders>
            <w:vAlign w:val="center"/>
          </w:tcPr>
          <w:p w14:paraId="528E4FB1" w14:textId="77777777" w:rsidR="007D706A" w:rsidRDefault="007D706A" w:rsidP="00F70508">
            <w:pPr>
              <w:pStyle w:val="ParagraphStyle9"/>
              <w:rPr>
                <w:rStyle w:val="CharacterStyle9"/>
              </w:rPr>
            </w:pPr>
            <w:r>
              <w:rPr>
                <w:rStyle w:val="CharacterStyle9"/>
              </w:rPr>
              <w:t>7.000,00</w:t>
            </w:r>
          </w:p>
        </w:tc>
        <w:tc>
          <w:tcPr>
            <w:tcW w:w="1395" w:type="dxa"/>
            <w:tcBorders>
              <w:bottom w:val="single" w:sz="6" w:space="0" w:color="000000"/>
              <w:right w:val="single" w:sz="6" w:space="0" w:color="000000"/>
            </w:tcBorders>
            <w:vAlign w:val="center"/>
          </w:tcPr>
          <w:p w14:paraId="389412D7" w14:textId="77777777" w:rsidR="007D706A" w:rsidRDefault="007D706A" w:rsidP="00F70508">
            <w:pPr>
              <w:pStyle w:val="ParagraphStyle9"/>
              <w:rPr>
                <w:rStyle w:val="CharacterStyle9"/>
              </w:rPr>
            </w:pPr>
            <w:r>
              <w:rPr>
                <w:rStyle w:val="CharacterStyle9"/>
              </w:rPr>
              <w:t>7.000,00</w:t>
            </w:r>
          </w:p>
        </w:tc>
      </w:tr>
      <w:tr w:rsidR="007D706A" w14:paraId="5D9DA79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6FB8093"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09807A7F"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20E80D9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15F11B6" w14:textId="77777777" w:rsidR="007D706A" w:rsidRDefault="007D706A" w:rsidP="00F70508">
            <w:pPr>
              <w:pStyle w:val="ParagraphStyle12"/>
              <w:rPr>
                <w:rStyle w:val="CharacterStyle12"/>
              </w:rPr>
            </w:pPr>
            <w:r>
              <w:rPr>
                <w:rStyle w:val="CharacterStyle12"/>
              </w:rPr>
              <w:t>4.500,00</w:t>
            </w:r>
          </w:p>
        </w:tc>
        <w:tc>
          <w:tcPr>
            <w:tcW w:w="1395" w:type="dxa"/>
            <w:tcBorders>
              <w:bottom w:val="single" w:sz="6" w:space="0" w:color="000000"/>
              <w:right w:val="single" w:sz="6" w:space="0" w:color="000000"/>
            </w:tcBorders>
            <w:vAlign w:val="center"/>
          </w:tcPr>
          <w:p w14:paraId="37372625" w14:textId="77777777" w:rsidR="007D706A" w:rsidRDefault="007D706A" w:rsidP="00F70508">
            <w:pPr>
              <w:pStyle w:val="ParagraphStyle12"/>
              <w:rPr>
                <w:rStyle w:val="CharacterStyle12"/>
              </w:rPr>
            </w:pPr>
            <w:r>
              <w:rPr>
                <w:rStyle w:val="CharacterStyle12"/>
              </w:rPr>
              <w:t>7.000,00</w:t>
            </w:r>
          </w:p>
        </w:tc>
        <w:tc>
          <w:tcPr>
            <w:tcW w:w="1395" w:type="dxa"/>
            <w:tcBorders>
              <w:bottom w:val="single" w:sz="6" w:space="0" w:color="000000"/>
              <w:right w:val="single" w:sz="6" w:space="0" w:color="000000"/>
            </w:tcBorders>
            <w:vAlign w:val="center"/>
          </w:tcPr>
          <w:p w14:paraId="59BF27AB" w14:textId="77777777" w:rsidR="007D706A" w:rsidRDefault="007D706A" w:rsidP="00F70508">
            <w:pPr>
              <w:pStyle w:val="ParagraphStyle12"/>
              <w:rPr>
                <w:rStyle w:val="CharacterStyle12"/>
              </w:rPr>
            </w:pPr>
            <w:r>
              <w:rPr>
                <w:rStyle w:val="CharacterStyle12"/>
              </w:rPr>
              <w:t>7.000,00</w:t>
            </w:r>
          </w:p>
        </w:tc>
        <w:tc>
          <w:tcPr>
            <w:tcW w:w="1395" w:type="dxa"/>
            <w:tcBorders>
              <w:bottom w:val="single" w:sz="6" w:space="0" w:color="000000"/>
              <w:right w:val="single" w:sz="6" w:space="0" w:color="000000"/>
            </w:tcBorders>
            <w:vAlign w:val="center"/>
          </w:tcPr>
          <w:p w14:paraId="1561A257" w14:textId="77777777" w:rsidR="007D706A" w:rsidRDefault="007D706A" w:rsidP="00F70508">
            <w:pPr>
              <w:pStyle w:val="ParagraphStyle12"/>
              <w:rPr>
                <w:rStyle w:val="CharacterStyle12"/>
              </w:rPr>
            </w:pPr>
            <w:r>
              <w:rPr>
                <w:rStyle w:val="CharacterStyle12"/>
              </w:rPr>
              <w:t>7.000,00</w:t>
            </w:r>
          </w:p>
        </w:tc>
      </w:tr>
      <w:tr w:rsidR="007D706A" w14:paraId="46C30A8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43235DA" w14:textId="77777777" w:rsidR="007D706A" w:rsidRDefault="007D706A" w:rsidP="00F70508">
            <w:pPr>
              <w:pStyle w:val="ParagraphStyle10"/>
              <w:rPr>
                <w:rStyle w:val="CharacterStyle10"/>
              </w:rPr>
            </w:pPr>
            <w:r>
              <w:rPr>
                <w:rStyle w:val="CharacterStyle10"/>
              </w:rPr>
              <w:t>42</w:t>
            </w:r>
          </w:p>
        </w:tc>
        <w:tc>
          <w:tcPr>
            <w:tcW w:w="4995" w:type="dxa"/>
            <w:tcBorders>
              <w:bottom w:val="single" w:sz="6" w:space="0" w:color="000000"/>
              <w:right w:val="single" w:sz="6" w:space="0" w:color="000000"/>
            </w:tcBorders>
            <w:vAlign w:val="center"/>
          </w:tcPr>
          <w:p w14:paraId="1548AD50"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202D839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D1F2F06" w14:textId="77777777" w:rsidR="007D706A" w:rsidRDefault="007D706A" w:rsidP="00F70508">
            <w:pPr>
              <w:pStyle w:val="ParagraphStyle12"/>
              <w:rPr>
                <w:rStyle w:val="CharacterStyle12"/>
              </w:rPr>
            </w:pPr>
            <w:r>
              <w:rPr>
                <w:rStyle w:val="CharacterStyle12"/>
              </w:rPr>
              <w:t>4.500,00</w:t>
            </w:r>
          </w:p>
        </w:tc>
        <w:tc>
          <w:tcPr>
            <w:tcW w:w="1395" w:type="dxa"/>
            <w:tcBorders>
              <w:bottom w:val="single" w:sz="6" w:space="0" w:color="000000"/>
              <w:right w:val="single" w:sz="6" w:space="0" w:color="000000"/>
            </w:tcBorders>
            <w:vAlign w:val="center"/>
          </w:tcPr>
          <w:p w14:paraId="005BBEDE" w14:textId="77777777" w:rsidR="007D706A" w:rsidRDefault="007D706A" w:rsidP="00F70508">
            <w:pPr>
              <w:pStyle w:val="ParagraphStyle12"/>
              <w:rPr>
                <w:rStyle w:val="CharacterStyle12"/>
              </w:rPr>
            </w:pPr>
            <w:r>
              <w:rPr>
                <w:rStyle w:val="CharacterStyle12"/>
              </w:rPr>
              <w:t>7.000,00</w:t>
            </w:r>
          </w:p>
        </w:tc>
        <w:tc>
          <w:tcPr>
            <w:tcW w:w="1395" w:type="dxa"/>
            <w:tcBorders>
              <w:bottom w:val="single" w:sz="6" w:space="0" w:color="000000"/>
              <w:right w:val="single" w:sz="6" w:space="0" w:color="000000"/>
            </w:tcBorders>
            <w:vAlign w:val="center"/>
          </w:tcPr>
          <w:p w14:paraId="5AB5FB47" w14:textId="77777777" w:rsidR="007D706A" w:rsidRDefault="007D706A" w:rsidP="00F70508">
            <w:pPr>
              <w:pStyle w:val="ParagraphStyle12"/>
              <w:rPr>
                <w:rStyle w:val="CharacterStyle12"/>
              </w:rPr>
            </w:pPr>
            <w:r>
              <w:rPr>
                <w:rStyle w:val="CharacterStyle12"/>
              </w:rPr>
              <w:t>7.000,00</w:t>
            </w:r>
          </w:p>
        </w:tc>
        <w:tc>
          <w:tcPr>
            <w:tcW w:w="1395" w:type="dxa"/>
            <w:tcBorders>
              <w:bottom w:val="single" w:sz="6" w:space="0" w:color="000000"/>
              <w:right w:val="single" w:sz="6" w:space="0" w:color="000000"/>
            </w:tcBorders>
            <w:vAlign w:val="center"/>
          </w:tcPr>
          <w:p w14:paraId="1275A837" w14:textId="77777777" w:rsidR="007D706A" w:rsidRDefault="007D706A" w:rsidP="00F70508">
            <w:pPr>
              <w:pStyle w:val="ParagraphStyle12"/>
              <w:rPr>
                <w:rStyle w:val="CharacterStyle12"/>
              </w:rPr>
            </w:pPr>
            <w:r>
              <w:rPr>
                <w:rStyle w:val="CharacterStyle12"/>
              </w:rPr>
              <w:t>7.000,00</w:t>
            </w:r>
          </w:p>
        </w:tc>
      </w:tr>
      <w:tr w:rsidR="007D706A" w14:paraId="088E08E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37831B1" w14:textId="77777777" w:rsidR="007D706A" w:rsidRDefault="007D706A" w:rsidP="00F70508">
            <w:pPr>
              <w:pStyle w:val="ParagraphStyle4"/>
              <w:rPr>
                <w:rStyle w:val="CharacterStyle4"/>
              </w:rPr>
            </w:pPr>
            <w:r>
              <w:rPr>
                <w:rStyle w:val="CharacterStyle4"/>
              </w:rPr>
              <w:t>Aktivnost A103506</w:t>
            </w:r>
          </w:p>
        </w:tc>
        <w:tc>
          <w:tcPr>
            <w:tcW w:w="4995" w:type="dxa"/>
            <w:tcBorders>
              <w:bottom w:val="single" w:sz="6" w:space="0" w:color="000000"/>
              <w:right w:val="single" w:sz="6" w:space="0" w:color="000000"/>
            </w:tcBorders>
            <w:vAlign w:val="center"/>
          </w:tcPr>
          <w:p w14:paraId="751719CE" w14:textId="77777777" w:rsidR="007D706A" w:rsidRDefault="007D706A" w:rsidP="00F70508">
            <w:pPr>
              <w:pStyle w:val="ParagraphStyle5"/>
              <w:rPr>
                <w:rStyle w:val="CharacterStyle5"/>
              </w:rPr>
            </w:pPr>
            <w:r>
              <w:rPr>
                <w:rStyle w:val="CharacterStyle5"/>
              </w:rPr>
              <w:t>REDOVAN RAD PREDŠKOLSKE USTANOVE</w:t>
            </w:r>
          </w:p>
        </w:tc>
        <w:tc>
          <w:tcPr>
            <w:tcW w:w="1395" w:type="dxa"/>
            <w:tcBorders>
              <w:bottom w:val="single" w:sz="6" w:space="0" w:color="000000"/>
              <w:right w:val="single" w:sz="6" w:space="0" w:color="000000"/>
            </w:tcBorders>
            <w:vAlign w:val="center"/>
          </w:tcPr>
          <w:p w14:paraId="1245F11F"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203FDA5A" w14:textId="77777777" w:rsidR="007D706A" w:rsidRDefault="007D706A" w:rsidP="00F70508">
            <w:pPr>
              <w:pStyle w:val="ParagraphStyle6"/>
              <w:rPr>
                <w:rStyle w:val="CharacterStyle6"/>
              </w:rPr>
            </w:pPr>
            <w:r>
              <w:rPr>
                <w:rStyle w:val="CharacterStyle6"/>
              </w:rPr>
              <w:t>5.244.181,00</w:t>
            </w:r>
          </w:p>
        </w:tc>
        <w:tc>
          <w:tcPr>
            <w:tcW w:w="1395" w:type="dxa"/>
            <w:tcBorders>
              <w:bottom w:val="single" w:sz="6" w:space="0" w:color="000000"/>
              <w:right w:val="single" w:sz="6" w:space="0" w:color="000000"/>
            </w:tcBorders>
            <w:vAlign w:val="center"/>
          </w:tcPr>
          <w:p w14:paraId="4CA868FD" w14:textId="77777777" w:rsidR="007D706A" w:rsidRDefault="007D706A" w:rsidP="00F70508">
            <w:pPr>
              <w:pStyle w:val="ParagraphStyle6"/>
              <w:rPr>
                <w:rStyle w:val="CharacterStyle6"/>
              </w:rPr>
            </w:pPr>
            <w:r>
              <w:rPr>
                <w:rStyle w:val="CharacterStyle6"/>
              </w:rPr>
              <w:t>5.415.114,00</w:t>
            </w:r>
          </w:p>
        </w:tc>
        <w:tc>
          <w:tcPr>
            <w:tcW w:w="1395" w:type="dxa"/>
            <w:tcBorders>
              <w:bottom w:val="single" w:sz="6" w:space="0" w:color="000000"/>
              <w:right w:val="single" w:sz="6" w:space="0" w:color="000000"/>
            </w:tcBorders>
            <w:vAlign w:val="center"/>
          </w:tcPr>
          <w:p w14:paraId="73D097E2" w14:textId="77777777" w:rsidR="007D706A" w:rsidRDefault="007D706A" w:rsidP="00F70508">
            <w:pPr>
              <w:pStyle w:val="ParagraphStyle6"/>
              <w:rPr>
                <w:rStyle w:val="CharacterStyle6"/>
              </w:rPr>
            </w:pPr>
            <w:r>
              <w:rPr>
                <w:rStyle w:val="CharacterStyle6"/>
              </w:rPr>
              <w:t>5.590.371,00</w:t>
            </w:r>
          </w:p>
        </w:tc>
        <w:tc>
          <w:tcPr>
            <w:tcW w:w="1395" w:type="dxa"/>
            <w:tcBorders>
              <w:bottom w:val="single" w:sz="6" w:space="0" w:color="000000"/>
              <w:right w:val="single" w:sz="6" w:space="0" w:color="000000"/>
            </w:tcBorders>
            <w:vAlign w:val="center"/>
          </w:tcPr>
          <w:p w14:paraId="245FC179" w14:textId="77777777" w:rsidR="007D706A" w:rsidRDefault="007D706A" w:rsidP="00F70508">
            <w:pPr>
              <w:pStyle w:val="ParagraphStyle6"/>
              <w:rPr>
                <w:rStyle w:val="CharacterStyle6"/>
              </w:rPr>
            </w:pPr>
            <w:r>
              <w:rPr>
                <w:rStyle w:val="CharacterStyle6"/>
              </w:rPr>
              <w:t>5.646.773,00</w:t>
            </w:r>
          </w:p>
        </w:tc>
      </w:tr>
      <w:tr w:rsidR="007D706A" w14:paraId="5A522F9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BF8B733"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1F98F03A"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4944AC99"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A9E4704" w14:textId="77777777" w:rsidR="007D706A" w:rsidRDefault="007D706A" w:rsidP="00F70508">
            <w:pPr>
              <w:pStyle w:val="ParagraphStyle9"/>
              <w:rPr>
                <w:rStyle w:val="CharacterStyle9"/>
              </w:rPr>
            </w:pPr>
            <w:r>
              <w:rPr>
                <w:rStyle w:val="CharacterStyle9"/>
              </w:rPr>
              <w:t>3.607.416,00</w:t>
            </w:r>
          </w:p>
        </w:tc>
        <w:tc>
          <w:tcPr>
            <w:tcW w:w="1395" w:type="dxa"/>
            <w:tcBorders>
              <w:bottom w:val="single" w:sz="6" w:space="0" w:color="000000"/>
              <w:right w:val="single" w:sz="6" w:space="0" w:color="000000"/>
            </w:tcBorders>
            <w:vAlign w:val="center"/>
          </w:tcPr>
          <w:p w14:paraId="551751B3" w14:textId="77777777" w:rsidR="007D706A" w:rsidRDefault="007D706A" w:rsidP="00F70508">
            <w:pPr>
              <w:pStyle w:val="ParagraphStyle9"/>
              <w:rPr>
                <w:rStyle w:val="CharacterStyle9"/>
              </w:rPr>
            </w:pPr>
            <w:r>
              <w:rPr>
                <w:rStyle w:val="CharacterStyle9"/>
              </w:rPr>
              <w:t>3.813.847,00</w:t>
            </w:r>
          </w:p>
        </w:tc>
        <w:tc>
          <w:tcPr>
            <w:tcW w:w="1395" w:type="dxa"/>
            <w:tcBorders>
              <w:bottom w:val="single" w:sz="6" w:space="0" w:color="000000"/>
              <w:right w:val="single" w:sz="6" w:space="0" w:color="000000"/>
            </w:tcBorders>
            <w:vAlign w:val="center"/>
          </w:tcPr>
          <w:p w14:paraId="7AA6136B" w14:textId="77777777" w:rsidR="007D706A" w:rsidRDefault="007D706A" w:rsidP="00F70508">
            <w:pPr>
              <w:pStyle w:val="ParagraphStyle9"/>
              <w:rPr>
                <w:rStyle w:val="CharacterStyle9"/>
              </w:rPr>
            </w:pPr>
            <w:r>
              <w:rPr>
                <w:rStyle w:val="CharacterStyle9"/>
              </w:rPr>
              <w:t>4.109.963,00</w:t>
            </w:r>
          </w:p>
        </w:tc>
        <w:tc>
          <w:tcPr>
            <w:tcW w:w="1395" w:type="dxa"/>
            <w:tcBorders>
              <w:bottom w:val="single" w:sz="6" w:space="0" w:color="000000"/>
              <w:right w:val="single" w:sz="6" w:space="0" w:color="000000"/>
            </w:tcBorders>
            <w:vAlign w:val="center"/>
          </w:tcPr>
          <w:p w14:paraId="5043F671" w14:textId="77777777" w:rsidR="007D706A" w:rsidRDefault="007D706A" w:rsidP="00F70508">
            <w:pPr>
              <w:pStyle w:val="ParagraphStyle9"/>
              <w:rPr>
                <w:rStyle w:val="CharacterStyle9"/>
              </w:rPr>
            </w:pPr>
            <w:r>
              <w:rPr>
                <w:rStyle w:val="CharacterStyle9"/>
              </w:rPr>
              <w:t>4.151.373,00</w:t>
            </w:r>
          </w:p>
        </w:tc>
      </w:tr>
      <w:tr w:rsidR="007D706A" w14:paraId="37E49A3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DF83B80"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570F6535"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04AA759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A6D61A5" w14:textId="77777777" w:rsidR="007D706A" w:rsidRDefault="007D706A" w:rsidP="00F70508">
            <w:pPr>
              <w:pStyle w:val="ParagraphStyle12"/>
              <w:rPr>
                <w:rStyle w:val="CharacterStyle12"/>
              </w:rPr>
            </w:pPr>
            <w:r>
              <w:rPr>
                <w:rStyle w:val="CharacterStyle12"/>
              </w:rPr>
              <w:t>3.607.416,00</w:t>
            </w:r>
          </w:p>
        </w:tc>
        <w:tc>
          <w:tcPr>
            <w:tcW w:w="1395" w:type="dxa"/>
            <w:tcBorders>
              <w:bottom w:val="single" w:sz="6" w:space="0" w:color="000000"/>
              <w:right w:val="single" w:sz="6" w:space="0" w:color="000000"/>
            </w:tcBorders>
            <w:vAlign w:val="center"/>
          </w:tcPr>
          <w:p w14:paraId="7147B73A" w14:textId="77777777" w:rsidR="007D706A" w:rsidRDefault="007D706A" w:rsidP="00F70508">
            <w:pPr>
              <w:pStyle w:val="ParagraphStyle12"/>
              <w:rPr>
                <w:rStyle w:val="CharacterStyle12"/>
              </w:rPr>
            </w:pPr>
            <w:r>
              <w:rPr>
                <w:rStyle w:val="CharacterStyle12"/>
              </w:rPr>
              <w:t>3.813.847,00</w:t>
            </w:r>
          </w:p>
        </w:tc>
        <w:tc>
          <w:tcPr>
            <w:tcW w:w="1395" w:type="dxa"/>
            <w:tcBorders>
              <w:bottom w:val="single" w:sz="6" w:space="0" w:color="000000"/>
              <w:right w:val="single" w:sz="6" w:space="0" w:color="000000"/>
            </w:tcBorders>
            <w:vAlign w:val="center"/>
          </w:tcPr>
          <w:p w14:paraId="674D266D" w14:textId="77777777" w:rsidR="007D706A" w:rsidRDefault="007D706A" w:rsidP="00F70508">
            <w:pPr>
              <w:pStyle w:val="ParagraphStyle12"/>
              <w:rPr>
                <w:rStyle w:val="CharacterStyle12"/>
              </w:rPr>
            </w:pPr>
            <w:r>
              <w:rPr>
                <w:rStyle w:val="CharacterStyle12"/>
              </w:rPr>
              <w:t>4.109.963,00</w:t>
            </w:r>
          </w:p>
        </w:tc>
        <w:tc>
          <w:tcPr>
            <w:tcW w:w="1395" w:type="dxa"/>
            <w:tcBorders>
              <w:bottom w:val="single" w:sz="6" w:space="0" w:color="000000"/>
              <w:right w:val="single" w:sz="6" w:space="0" w:color="000000"/>
            </w:tcBorders>
            <w:vAlign w:val="center"/>
          </w:tcPr>
          <w:p w14:paraId="15C81544" w14:textId="77777777" w:rsidR="007D706A" w:rsidRDefault="007D706A" w:rsidP="00F70508">
            <w:pPr>
              <w:pStyle w:val="ParagraphStyle12"/>
              <w:rPr>
                <w:rStyle w:val="CharacterStyle12"/>
              </w:rPr>
            </w:pPr>
            <w:r>
              <w:rPr>
                <w:rStyle w:val="CharacterStyle12"/>
              </w:rPr>
              <w:t>4.151.373,00</w:t>
            </w:r>
          </w:p>
        </w:tc>
      </w:tr>
      <w:tr w:rsidR="007D706A" w14:paraId="215011C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7FDC30B" w14:textId="77777777" w:rsidR="007D706A" w:rsidRDefault="007D706A" w:rsidP="00F70508">
            <w:pPr>
              <w:pStyle w:val="ParagraphStyle10"/>
              <w:rPr>
                <w:rStyle w:val="CharacterStyle10"/>
              </w:rPr>
            </w:pPr>
            <w:r>
              <w:rPr>
                <w:rStyle w:val="CharacterStyle10"/>
              </w:rPr>
              <w:t>31</w:t>
            </w:r>
          </w:p>
        </w:tc>
        <w:tc>
          <w:tcPr>
            <w:tcW w:w="4995" w:type="dxa"/>
            <w:tcBorders>
              <w:bottom w:val="single" w:sz="6" w:space="0" w:color="000000"/>
              <w:right w:val="single" w:sz="6" w:space="0" w:color="000000"/>
            </w:tcBorders>
            <w:vAlign w:val="center"/>
          </w:tcPr>
          <w:p w14:paraId="3D304F45" w14:textId="77777777" w:rsidR="007D706A" w:rsidRDefault="007D706A" w:rsidP="00F70508">
            <w:pPr>
              <w:pStyle w:val="ParagraphStyle11"/>
              <w:rPr>
                <w:rStyle w:val="CharacterStyle11"/>
              </w:rPr>
            </w:pPr>
            <w:r>
              <w:rPr>
                <w:rStyle w:val="CharacterStyle11"/>
              </w:rPr>
              <w:t>Rashodi za zaposlene</w:t>
            </w:r>
          </w:p>
        </w:tc>
        <w:tc>
          <w:tcPr>
            <w:tcW w:w="1395" w:type="dxa"/>
            <w:tcBorders>
              <w:bottom w:val="single" w:sz="6" w:space="0" w:color="000000"/>
              <w:right w:val="single" w:sz="6" w:space="0" w:color="000000"/>
            </w:tcBorders>
            <w:vAlign w:val="center"/>
          </w:tcPr>
          <w:p w14:paraId="015DCE7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6C6F1F2" w14:textId="77777777" w:rsidR="007D706A" w:rsidRDefault="007D706A" w:rsidP="00F70508">
            <w:pPr>
              <w:pStyle w:val="ParagraphStyle12"/>
              <w:rPr>
                <w:rStyle w:val="CharacterStyle12"/>
              </w:rPr>
            </w:pPr>
            <w:r>
              <w:rPr>
                <w:rStyle w:val="CharacterStyle12"/>
              </w:rPr>
              <w:t>3.468.250,00</w:t>
            </w:r>
          </w:p>
        </w:tc>
        <w:tc>
          <w:tcPr>
            <w:tcW w:w="1395" w:type="dxa"/>
            <w:tcBorders>
              <w:bottom w:val="single" w:sz="6" w:space="0" w:color="000000"/>
              <w:right w:val="single" w:sz="6" w:space="0" w:color="000000"/>
            </w:tcBorders>
            <w:vAlign w:val="center"/>
          </w:tcPr>
          <w:p w14:paraId="193C794E" w14:textId="77777777" w:rsidR="007D706A" w:rsidRDefault="007D706A" w:rsidP="00F70508">
            <w:pPr>
              <w:pStyle w:val="ParagraphStyle12"/>
              <w:rPr>
                <w:rStyle w:val="CharacterStyle12"/>
              </w:rPr>
            </w:pPr>
            <w:r>
              <w:rPr>
                <w:rStyle w:val="CharacterStyle12"/>
              </w:rPr>
              <w:t>3.659.197,00</w:t>
            </w:r>
          </w:p>
        </w:tc>
        <w:tc>
          <w:tcPr>
            <w:tcW w:w="1395" w:type="dxa"/>
            <w:tcBorders>
              <w:bottom w:val="single" w:sz="6" w:space="0" w:color="000000"/>
              <w:right w:val="single" w:sz="6" w:space="0" w:color="000000"/>
            </w:tcBorders>
            <w:vAlign w:val="center"/>
          </w:tcPr>
          <w:p w14:paraId="400660A4" w14:textId="77777777" w:rsidR="007D706A" w:rsidRDefault="007D706A" w:rsidP="00F70508">
            <w:pPr>
              <w:pStyle w:val="ParagraphStyle12"/>
              <w:rPr>
                <w:rStyle w:val="CharacterStyle12"/>
              </w:rPr>
            </w:pPr>
            <w:r>
              <w:rPr>
                <w:rStyle w:val="CharacterStyle12"/>
              </w:rPr>
              <w:t>3.949.963,00</w:t>
            </w:r>
          </w:p>
        </w:tc>
        <w:tc>
          <w:tcPr>
            <w:tcW w:w="1395" w:type="dxa"/>
            <w:tcBorders>
              <w:bottom w:val="single" w:sz="6" w:space="0" w:color="000000"/>
              <w:right w:val="single" w:sz="6" w:space="0" w:color="000000"/>
            </w:tcBorders>
            <w:vAlign w:val="center"/>
          </w:tcPr>
          <w:p w14:paraId="4FB657B8" w14:textId="77777777" w:rsidR="007D706A" w:rsidRDefault="007D706A" w:rsidP="00F70508">
            <w:pPr>
              <w:pStyle w:val="ParagraphStyle12"/>
              <w:rPr>
                <w:rStyle w:val="CharacterStyle12"/>
              </w:rPr>
            </w:pPr>
            <w:r>
              <w:rPr>
                <w:rStyle w:val="CharacterStyle12"/>
              </w:rPr>
              <w:t>3.986.373,00</w:t>
            </w:r>
          </w:p>
        </w:tc>
      </w:tr>
      <w:tr w:rsidR="007D706A" w14:paraId="1DAF703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7C7A4CA"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61099F84"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4939656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9F39062" w14:textId="77777777" w:rsidR="007D706A" w:rsidRDefault="007D706A" w:rsidP="00F70508">
            <w:pPr>
              <w:pStyle w:val="ParagraphStyle12"/>
              <w:rPr>
                <w:rStyle w:val="CharacterStyle12"/>
              </w:rPr>
            </w:pPr>
            <w:r>
              <w:rPr>
                <w:rStyle w:val="CharacterStyle12"/>
              </w:rPr>
              <w:t>139.166,00</w:t>
            </w:r>
          </w:p>
        </w:tc>
        <w:tc>
          <w:tcPr>
            <w:tcW w:w="1395" w:type="dxa"/>
            <w:tcBorders>
              <w:bottom w:val="single" w:sz="6" w:space="0" w:color="000000"/>
              <w:right w:val="single" w:sz="6" w:space="0" w:color="000000"/>
            </w:tcBorders>
            <w:vAlign w:val="center"/>
          </w:tcPr>
          <w:p w14:paraId="4FF6DE63" w14:textId="77777777" w:rsidR="007D706A" w:rsidRDefault="007D706A" w:rsidP="00F70508">
            <w:pPr>
              <w:pStyle w:val="ParagraphStyle12"/>
              <w:rPr>
                <w:rStyle w:val="CharacterStyle12"/>
              </w:rPr>
            </w:pPr>
            <w:r>
              <w:rPr>
                <w:rStyle w:val="CharacterStyle12"/>
              </w:rPr>
              <w:t>154.650,00</w:t>
            </w:r>
          </w:p>
        </w:tc>
        <w:tc>
          <w:tcPr>
            <w:tcW w:w="1395" w:type="dxa"/>
            <w:tcBorders>
              <w:bottom w:val="single" w:sz="6" w:space="0" w:color="000000"/>
              <w:right w:val="single" w:sz="6" w:space="0" w:color="000000"/>
            </w:tcBorders>
            <w:vAlign w:val="center"/>
          </w:tcPr>
          <w:p w14:paraId="4CBE4D30" w14:textId="77777777" w:rsidR="007D706A" w:rsidRDefault="007D706A" w:rsidP="00F70508">
            <w:pPr>
              <w:pStyle w:val="ParagraphStyle12"/>
              <w:rPr>
                <w:rStyle w:val="CharacterStyle12"/>
              </w:rPr>
            </w:pPr>
            <w:r>
              <w:rPr>
                <w:rStyle w:val="CharacterStyle12"/>
              </w:rPr>
              <w:t>160.000,00</w:t>
            </w:r>
          </w:p>
        </w:tc>
        <w:tc>
          <w:tcPr>
            <w:tcW w:w="1395" w:type="dxa"/>
            <w:tcBorders>
              <w:bottom w:val="single" w:sz="6" w:space="0" w:color="000000"/>
              <w:right w:val="single" w:sz="6" w:space="0" w:color="000000"/>
            </w:tcBorders>
            <w:vAlign w:val="center"/>
          </w:tcPr>
          <w:p w14:paraId="3BA40061" w14:textId="77777777" w:rsidR="007D706A" w:rsidRDefault="007D706A" w:rsidP="00F70508">
            <w:pPr>
              <w:pStyle w:val="ParagraphStyle12"/>
              <w:rPr>
                <w:rStyle w:val="CharacterStyle12"/>
              </w:rPr>
            </w:pPr>
            <w:r>
              <w:rPr>
                <w:rStyle w:val="CharacterStyle12"/>
              </w:rPr>
              <w:t>165.000,00</w:t>
            </w:r>
          </w:p>
        </w:tc>
      </w:tr>
      <w:tr w:rsidR="007D706A" w14:paraId="1A660AA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E6FD14E" w14:textId="77777777" w:rsidR="007D706A" w:rsidRDefault="007D706A" w:rsidP="00F70508">
            <w:pPr>
              <w:pStyle w:val="ParagraphStyle7"/>
              <w:rPr>
                <w:rStyle w:val="CharacterStyle7"/>
              </w:rPr>
            </w:pPr>
            <w:r>
              <w:rPr>
                <w:rStyle w:val="CharacterStyle7"/>
              </w:rPr>
              <w:t>Izvor financiranja 31</w:t>
            </w:r>
          </w:p>
        </w:tc>
        <w:tc>
          <w:tcPr>
            <w:tcW w:w="4995" w:type="dxa"/>
            <w:tcBorders>
              <w:bottom w:val="single" w:sz="6" w:space="0" w:color="000000"/>
              <w:right w:val="single" w:sz="6" w:space="0" w:color="000000"/>
            </w:tcBorders>
            <w:vAlign w:val="center"/>
          </w:tcPr>
          <w:p w14:paraId="52BD7E71" w14:textId="77777777" w:rsidR="007D706A" w:rsidRDefault="007D706A" w:rsidP="00F70508">
            <w:pPr>
              <w:pStyle w:val="ParagraphStyle8"/>
              <w:rPr>
                <w:rStyle w:val="CharacterStyle8"/>
              </w:rPr>
            </w:pPr>
            <w:r>
              <w:rPr>
                <w:rStyle w:val="CharacterStyle8"/>
              </w:rPr>
              <w:t>Vlastiti prihodi</w:t>
            </w:r>
          </w:p>
        </w:tc>
        <w:tc>
          <w:tcPr>
            <w:tcW w:w="1395" w:type="dxa"/>
            <w:tcBorders>
              <w:bottom w:val="single" w:sz="6" w:space="0" w:color="000000"/>
              <w:right w:val="single" w:sz="6" w:space="0" w:color="000000"/>
            </w:tcBorders>
            <w:vAlign w:val="center"/>
          </w:tcPr>
          <w:p w14:paraId="4AA89E79"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1D4779A" w14:textId="77777777" w:rsidR="007D706A" w:rsidRDefault="007D706A" w:rsidP="00F70508">
            <w:pPr>
              <w:pStyle w:val="ParagraphStyle9"/>
              <w:rPr>
                <w:rStyle w:val="CharacterStyle9"/>
              </w:rPr>
            </w:pPr>
            <w:r>
              <w:rPr>
                <w:rStyle w:val="CharacterStyle9"/>
              </w:rPr>
              <w:t>20.000,00</w:t>
            </w:r>
          </w:p>
        </w:tc>
        <w:tc>
          <w:tcPr>
            <w:tcW w:w="1395" w:type="dxa"/>
            <w:tcBorders>
              <w:bottom w:val="single" w:sz="6" w:space="0" w:color="000000"/>
              <w:right w:val="single" w:sz="6" w:space="0" w:color="000000"/>
            </w:tcBorders>
            <w:vAlign w:val="center"/>
          </w:tcPr>
          <w:p w14:paraId="0EFD1B27" w14:textId="77777777" w:rsidR="007D706A" w:rsidRDefault="007D706A" w:rsidP="00F70508">
            <w:pPr>
              <w:pStyle w:val="ParagraphStyle9"/>
              <w:rPr>
                <w:rStyle w:val="CharacterStyle9"/>
              </w:rPr>
            </w:pPr>
            <w:r>
              <w:rPr>
                <w:rStyle w:val="CharacterStyle9"/>
              </w:rPr>
              <w:t>25.300,00</w:t>
            </w:r>
          </w:p>
        </w:tc>
        <w:tc>
          <w:tcPr>
            <w:tcW w:w="1395" w:type="dxa"/>
            <w:tcBorders>
              <w:bottom w:val="single" w:sz="6" w:space="0" w:color="000000"/>
              <w:right w:val="single" w:sz="6" w:space="0" w:color="000000"/>
            </w:tcBorders>
            <w:vAlign w:val="center"/>
          </w:tcPr>
          <w:p w14:paraId="1F07503B" w14:textId="77777777" w:rsidR="007D706A" w:rsidRDefault="007D706A" w:rsidP="00F70508">
            <w:pPr>
              <w:pStyle w:val="ParagraphStyle9"/>
              <w:rPr>
                <w:rStyle w:val="CharacterStyle9"/>
              </w:rPr>
            </w:pPr>
            <w:r>
              <w:rPr>
                <w:rStyle w:val="CharacterStyle9"/>
              </w:rPr>
              <w:t>26.312,00</w:t>
            </w:r>
          </w:p>
        </w:tc>
        <w:tc>
          <w:tcPr>
            <w:tcW w:w="1395" w:type="dxa"/>
            <w:tcBorders>
              <w:bottom w:val="single" w:sz="6" w:space="0" w:color="000000"/>
              <w:right w:val="single" w:sz="6" w:space="0" w:color="000000"/>
            </w:tcBorders>
            <w:vAlign w:val="center"/>
          </w:tcPr>
          <w:p w14:paraId="769DAF96" w14:textId="77777777" w:rsidR="007D706A" w:rsidRDefault="007D706A" w:rsidP="00F70508">
            <w:pPr>
              <w:pStyle w:val="ParagraphStyle9"/>
              <w:rPr>
                <w:rStyle w:val="CharacterStyle9"/>
              </w:rPr>
            </w:pPr>
            <w:r>
              <w:rPr>
                <w:rStyle w:val="CharacterStyle9"/>
              </w:rPr>
              <w:t>26.570,00</w:t>
            </w:r>
          </w:p>
        </w:tc>
      </w:tr>
      <w:tr w:rsidR="007D706A" w14:paraId="2A88F4E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7B25CC9"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709E81DA"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0BE88B8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33E3D5E" w14:textId="77777777" w:rsidR="007D706A" w:rsidRDefault="007D706A" w:rsidP="00F70508">
            <w:pPr>
              <w:pStyle w:val="ParagraphStyle12"/>
              <w:rPr>
                <w:rStyle w:val="CharacterStyle12"/>
              </w:rPr>
            </w:pPr>
            <w:r>
              <w:rPr>
                <w:rStyle w:val="CharacterStyle12"/>
              </w:rPr>
              <w:t>20.000,00</w:t>
            </w:r>
          </w:p>
        </w:tc>
        <w:tc>
          <w:tcPr>
            <w:tcW w:w="1395" w:type="dxa"/>
            <w:tcBorders>
              <w:bottom w:val="single" w:sz="6" w:space="0" w:color="000000"/>
              <w:right w:val="single" w:sz="6" w:space="0" w:color="000000"/>
            </w:tcBorders>
            <w:vAlign w:val="center"/>
          </w:tcPr>
          <w:p w14:paraId="35C5323D" w14:textId="77777777" w:rsidR="007D706A" w:rsidRDefault="007D706A" w:rsidP="00F70508">
            <w:pPr>
              <w:pStyle w:val="ParagraphStyle12"/>
              <w:rPr>
                <w:rStyle w:val="CharacterStyle12"/>
              </w:rPr>
            </w:pPr>
            <w:r>
              <w:rPr>
                <w:rStyle w:val="CharacterStyle12"/>
              </w:rPr>
              <w:t>25.300,00</w:t>
            </w:r>
          </w:p>
        </w:tc>
        <w:tc>
          <w:tcPr>
            <w:tcW w:w="1395" w:type="dxa"/>
            <w:tcBorders>
              <w:bottom w:val="single" w:sz="6" w:space="0" w:color="000000"/>
              <w:right w:val="single" w:sz="6" w:space="0" w:color="000000"/>
            </w:tcBorders>
            <w:vAlign w:val="center"/>
          </w:tcPr>
          <w:p w14:paraId="692527FF" w14:textId="77777777" w:rsidR="007D706A" w:rsidRDefault="007D706A" w:rsidP="00F70508">
            <w:pPr>
              <w:pStyle w:val="ParagraphStyle12"/>
              <w:rPr>
                <w:rStyle w:val="CharacterStyle12"/>
              </w:rPr>
            </w:pPr>
            <w:r>
              <w:rPr>
                <w:rStyle w:val="CharacterStyle12"/>
              </w:rPr>
              <w:t>26.312,00</w:t>
            </w:r>
          </w:p>
        </w:tc>
        <w:tc>
          <w:tcPr>
            <w:tcW w:w="1395" w:type="dxa"/>
            <w:tcBorders>
              <w:bottom w:val="single" w:sz="6" w:space="0" w:color="000000"/>
              <w:right w:val="single" w:sz="6" w:space="0" w:color="000000"/>
            </w:tcBorders>
            <w:vAlign w:val="center"/>
          </w:tcPr>
          <w:p w14:paraId="517C59AC" w14:textId="77777777" w:rsidR="007D706A" w:rsidRDefault="007D706A" w:rsidP="00F70508">
            <w:pPr>
              <w:pStyle w:val="ParagraphStyle12"/>
              <w:rPr>
                <w:rStyle w:val="CharacterStyle12"/>
              </w:rPr>
            </w:pPr>
            <w:r>
              <w:rPr>
                <w:rStyle w:val="CharacterStyle12"/>
              </w:rPr>
              <w:t>26.570,00</w:t>
            </w:r>
          </w:p>
        </w:tc>
      </w:tr>
      <w:tr w:rsidR="007D706A" w14:paraId="01DB92B6"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3270399"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6AC1F6B2"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2E21FD0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8F3F03E" w14:textId="77777777" w:rsidR="007D706A" w:rsidRDefault="007D706A" w:rsidP="00F70508">
            <w:pPr>
              <w:pStyle w:val="ParagraphStyle12"/>
              <w:rPr>
                <w:rStyle w:val="CharacterStyle12"/>
              </w:rPr>
            </w:pPr>
            <w:r>
              <w:rPr>
                <w:rStyle w:val="CharacterStyle12"/>
              </w:rPr>
              <w:t>20.000,00</w:t>
            </w:r>
          </w:p>
        </w:tc>
        <w:tc>
          <w:tcPr>
            <w:tcW w:w="1395" w:type="dxa"/>
            <w:tcBorders>
              <w:bottom w:val="single" w:sz="6" w:space="0" w:color="000000"/>
              <w:right w:val="single" w:sz="6" w:space="0" w:color="000000"/>
            </w:tcBorders>
            <w:vAlign w:val="center"/>
          </w:tcPr>
          <w:p w14:paraId="71547567" w14:textId="77777777" w:rsidR="007D706A" w:rsidRDefault="007D706A" w:rsidP="00F70508">
            <w:pPr>
              <w:pStyle w:val="ParagraphStyle12"/>
              <w:rPr>
                <w:rStyle w:val="CharacterStyle12"/>
              </w:rPr>
            </w:pPr>
            <w:r>
              <w:rPr>
                <w:rStyle w:val="CharacterStyle12"/>
              </w:rPr>
              <w:t>25.300,00</w:t>
            </w:r>
          </w:p>
        </w:tc>
        <w:tc>
          <w:tcPr>
            <w:tcW w:w="1395" w:type="dxa"/>
            <w:tcBorders>
              <w:bottom w:val="single" w:sz="6" w:space="0" w:color="000000"/>
              <w:right w:val="single" w:sz="6" w:space="0" w:color="000000"/>
            </w:tcBorders>
            <w:vAlign w:val="center"/>
          </w:tcPr>
          <w:p w14:paraId="5028EC6C" w14:textId="77777777" w:rsidR="007D706A" w:rsidRDefault="007D706A" w:rsidP="00F70508">
            <w:pPr>
              <w:pStyle w:val="ParagraphStyle12"/>
              <w:rPr>
                <w:rStyle w:val="CharacterStyle12"/>
              </w:rPr>
            </w:pPr>
            <w:r>
              <w:rPr>
                <w:rStyle w:val="CharacterStyle12"/>
              </w:rPr>
              <w:t>26.312,00</w:t>
            </w:r>
          </w:p>
        </w:tc>
        <w:tc>
          <w:tcPr>
            <w:tcW w:w="1395" w:type="dxa"/>
            <w:tcBorders>
              <w:bottom w:val="single" w:sz="6" w:space="0" w:color="000000"/>
              <w:right w:val="single" w:sz="6" w:space="0" w:color="000000"/>
            </w:tcBorders>
            <w:vAlign w:val="center"/>
          </w:tcPr>
          <w:p w14:paraId="4D02DCC0" w14:textId="77777777" w:rsidR="007D706A" w:rsidRDefault="007D706A" w:rsidP="00F70508">
            <w:pPr>
              <w:pStyle w:val="ParagraphStyle12"/>
              <w:rPr>
                <w:rStyle w:val="CharacterStyle12"/>
              </w:rPr>
            </w:pPr>
            <w:r>
              <w:rPr>
                <w:rStyle w:val="CharacterStyle12"/>
              </w:rPr>
              <w:t>26.570,00</w:t>
            </w:r>
          </w:p>
        </w:tc>
      </w:tr>
      <w:tr w:rsidR="007D706A" w14:paraId="047F797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F98053D" w14:textId="77777777" w:rsidR="007D706A" w:rsidRDefault="007D706A" w:rsidP="00F70508">
            <w:pPr>
              <w:pStyle w:val="ParagraphStyle7"/>
              <w:rPr>
                <w:rStyle w:val="CharacterStyle7"/>
              </w:rPr>
            </w:pPr>
            <w:r>
              <w:rPr>
                <w:rStyle w:val="CharacterStyle7"/>
              </w:rPr>
              <w:t>Izvor financiranja 41</w:t>
            </w:r>
          </w:p>
        </w:tc>
        <w:tc>
          <w:tcPr>
            <w:tcW w:w="4995" w:type="dxa"/>
            <w:tcBorders>
              <w:bottom w:val="single" w:sz="6" w:space="0" w:color="000000"/>
              <w:right w:val="single" w:sz="6" w:space="0" w:color="000000"/>
            </w:tcBorders>
            <w:vAlign w:val="center"/>
          </w:tcPr>
          <w:p w14:paraId="660DED0C" w14:textId="77777777" w:rsidR="007D706A" w:rsidRDefault="007D706A" w:rsidP="00F70508">
            <w:pPr>
              <w:pStyle w:val="ParagraphStyle8"/>
              <w:rPr>
                <w:rStyle w:val="CharacterStyle8"/>
              </w:rPr>
            </w:pPr>
            <w:r>
              <w:rPr>
                <w:rStyle w:val="CharacterStyle8"/>
              </w:rPr>
              <w:t>Prihodi za posebne namjene</w:t>
            </w:r>
          </w:p>
        </w:tc>
        <w:tc>
          <w:tcPr>
            <w:tcW w:w="1395" w:type="dxa"/>
            <w:tcBorders>
              <w:bottom w:val="single" w:sz="6" w:space="0" w:color="000000"/>
              <w:right w:val="single" w:sz="6" w:space="0" w:color="000000"/>
            </w:tcBorders>
            <w:vAlign w:val="center"/>
          </w:tcPr>
          <w:p w14:paraId="3F4BC7D1"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93D6A53" w14:textId="77777777" w:rsidR="007D706A" w:rsidRDefault="007D706A" w:rsidP="00F70508">
            <w:pPr>
              <w:pStyle w:val="ParagraphStyle9"/>
              <w:rPr>
                <w:rStyle w:val="CharacterStyle9"/>
              </w:rPr>
            </w:pPr>
            <w:r>
              <w:rPr>
                <w:rStyle w:val="CharacterStyle9"/>
              </w:rPr>
              <w:t>670.000,00</w:t>
            </w:r>
          </w:p>
        </w:tc>
        <w:tc>
          <w:tcPr>
            <w:tcW w:w="1395" w:type="dxa"/>
            <w:tcBorders>
              <w:bottom w:val="single" w:sz="6" w:space="0" w:color="000000"/>
              <w:right w:val="single" w:sz="6" w:space="0" w:color="000000"/>
            </w:tcBorders>
            <w:vAlign w:val="center"/>
          </w:tcPr>
          <w:p w14:paraId="2424E458"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658D6EA"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939ABC6" w14:textId="77777777" w:rsidR="007D706A" w:rsidRDefault="007D706A" w:rsidP="00F70508">
            <w:pPr>
              <w:pStyle w:val="ParagraphStyle9"/>
              <w:rPr>
                <w:rStyle w:val="CharacterStyle9"/>
              </w:rPr>
            </w:pPr>
            <w:r>
              <w:rPr>
                <w:rStyle w:val="CharacterStyle9"/>
              </w:rPr>
              <w:t>0,00</w:t>
            </w:r>
          </w:p>
        </w:tc>
      </w:tr>
      <w:tr w:rsidR="007D706A" w14:paraId="1715C52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96375FE"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67B247BF"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3D77464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3CED341" w14:textId="77777777" w:rsidR="007D706A" w:rsidRDefault="007D706A" w:rsidP="00F70508">
            <w:pPr>
              <w:pStyle w:val="ParagraphStyle12"/>
              <w:rPr>
                <w:rStyle w:val="CharacterStyle12"/>
              </w:rPr>
            </w:pPr>
            <w:r>
              <w:rPr>
                <w:rStyle w:val="CharacterStyle12"/>
              </w:rPr>
              <w:t>654.500,00</w:t>
            </w:r>
          </w:p>
        </w:tc>
        <w:tc>
          <w:tcPr>
            <w:tcW w:w="1395" w:type="dxa"/>
            <w:tcBorders>
              <w:bottom w:val="single" w:sz="6" w:space="0" w:color="000000"/>
              <w:right w:val="single" w:sz="6" w:space="0" w:color="000000"/>
            </w:tcBorders>
            <w:vAlign w:val="center"/>
          </w:tcPr>
          <w:p w14:paraId="508B1B7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3A9563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25D0F04" w14:textId="77777777" w:rsidR="007D706A" w:rsidRDefault="007D706A" w:rsidP="00F70508">
            <w:pPr>
              <w:pStyle w:val="ParagraphStyle12"/>
              <w:rPr>
                <w:rStyle w:val="CharacterStyle12"/>
              </w:rPr>
            </w:pPr>
            <w:r>
              <w:rPr>
                <w:rStyle w:val="CharacterStyle12"/>
              </w:rPr>
              <w:t>0,00</w:t>
            </w:r>
          </w:p>
        </w:tc>
      </w:tr>
      <w:tr w:rsidR="007D706A" w14:paraId="01CE1EF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93A1615"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046DE917"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0793D97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E09A5D5" w14:textId="77777777" w:rsidR="007D706A" w:rsidRDefault="007D706A" w:rsidP="00F70508">
            <w:pPr>
              <w:pStyle w:val="ParagraphStyle12"/>
              <w:rPr>
                <w:rStyle w:val="CharacterStyle12"/>
              </w:rPr>
            </w:pPr>
            <w:r>
              <w:rPr>
                <w:rStyle w:val="CharacterStyle12"/>
              </w:rPr>
              <w:t>650.500,00</w:t>
            </w:r>
          </w:p>
        </w:tc>
        <w:tc>
          <w:tcPr>
            <w:tcW w:w="1395" w:type="dxa"/>
            <w:tcBorders>
              <w:bottom w:val="single" w:sz="6" w:space="0" w:color="000000"/>
              <w:right w:val="single" w:sz="6" w:space="0" w:color="000000"/>
            </w:tcBorders>
            <w:vAlign w:val="center"/>
          </w:tcPr>
          <w:p w14:paraId="632BB7C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F36B14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03CA68D" w14:textId="77777777" w:rsidR="007D706A" w:rsidRDefault="007D706A" w:rsidP="00F70508">
            <w:pPr>
              <w:pStyle w:val="ParagraphStyle12"/>
              <w:rPr>
                <w:rStyle w:val="CharacterStyle12"/>
              </w:rPr>
            </w:pPr>
            <w:r>
              <w:rPr>
                <w:rStyle w:val="CharacterStyle12"/>
              </w:rPr>
              <w:t>0,00</w:t>
            </w:r>
          </w:p>
        </w:tc>
      </w:tr>
      <w:tr w:rsidR="007D706A" w14:paraId="4BADF96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B86452A" w14:textId="77777777" w:rsidR="007D706A" w:rsidRDefault="007D706A" w:rsidP="00F70508">
            <w:pPr>
              <w:pStyle w:val="ParagraphStyle10"/>
              <w:rPr>
                <w:rStyle w:val="CharacterStyle10"/>
              </w:rPr>
            </w:pPr>
            <w:r>
              <w:rPr>
                <w:rStyle w:val="CharacterStyle10"/>
              </w:rPr>
              <w:t>34</w:t>
            </w:r>
          </w:p>
        </w:tc>
        <w:tc>
          <w:tcPr>
            <w:tcW w:w="4995" w:type="dxa"/>
            <w:tcBorders>
              <w:bottom w:val="single" w:sz="6" w:space="0" w:color="000000"/>
              <w:right w:val="single" w:sz="6" w:space="0" w:color="000000"/>
            </w:tcBorders>
            <w:vAlign w:val="center"/>
          </w:tcPr>
          <w:p w14:paraId="491843E3" w14:textId="77777777" w:rsidR="007D706A" w:rsidRDefault="007D706A" w:rsidP="00F70508">
            <w:pPr>
              <w:pStyle w:val="ParagraphStyle11"/>
              <w:rPr>
                <w:rStyle w:val="CharacterStyle11"/>
              </w:rPr>
            </w:pPr>
            <w:r>
              <w:rPr>
                <w:rStyle w:val="CharacterStyle11"/>
              </w:rPr>
              <w:t>Financijski rashodi</w:t>
            </w:r>
          </w:p>
        </w:tc>
        <w:tc>
          <w:tcPr>
            <w:tcW w:w="1395" w:type="dxa"/>
            <w:tcBorders>
              <w:bottom w:val="single" w:sz="6" w:space="0" w:color="000000"/>
              <w:right w:val="single" w:sz="6" w:space="0" w:color="000000"/>
            </w:tcBorders>
            <w:vAlign w:val="center"/>
          </w:tcPr>
          <w:p w14:paraId="42F12DF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97D0FAF" w14:textId="77777777" w:rsidR="007D706A" w:rsidRDefault="007D706A" w:rsidP="00F70508">
            <w:pPr>
              <w:pStyle w:val="ParagraphStyle12"/>
              <w:rPr>
                <w:rStyle w:val="CharacterStyle12"/>
              </w:rPr>
            </w:pPr>
            <w:r>
              <w:rPr>
                <w:rStyle w:val="CharacterStyle12"/>
              </w:rPr>
              <w:t>4.000,00</w:t>
            </w:r>
          </w:p>
        </w:tc>
        <w:tc>
          <w:tcPr>
            <w:tcW w:w="1395" w:type="dxa"/>
            <w:tcBorders>
              <w:bottom w:val="single" w:sz="6" w:space="0" w:color="000000"/>
              <w:right w:val="single" w:sz="6" w:space="0" w:color="000000"/>
            </w:tcBorders>
            <w:vAlign w:val="center"/>
          </w:tcPr>
          <w:p w14:paraId="0DCF73D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A9B824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AE0C337" w14:textId="77777777" w:rsidR="007D706A" w:rsidRDefault="007D706A" w:rsidP="00F70508">
            <w:pPr>
              <w:pStyle w:val="ParagraphStyle12"/>
              <w:rPr>
                <w:rStyle w:val="CharacterStyle12"/>
              </w:rPr>
            </w:pPr>
            <w:r>
              <w:rPr>
                <w:rStyle w:val="CharacterStyle12"/>
              </w:rPr>
              <w:t>0,00</w:t>
            </w:r>
          </w:p>
        </w:tc>
      </w:tr>
      <w:tr w:rsidR="007D706A" w14:paraId="272EA7B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C450DB9"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302C6C57"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3345227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E4724E9" w14:textId="77777777" w:rsidR="007D706A" w:rsidRDefault="007D706A" w:rsidP="00F70508">
            <w:pPr>
              <w:pStyle w:val="ParagraphStyle12"/>
              <w:rPr>
                <w:rStyle w:val="CharacterStyle12"/>
              </w:rPr>
            </w:pPr>
            <w:r>
              <w:rPr>
                <w:rStyle w:val="CharacterStyle12"/>
              </w:rPr>
              <w:t>15.500,00</w:t>
            </w:r>
          </w:p>
        </w:tc>
        <w:tc>
          <w:tcPr>
            <w:tcW w:w="1395" w:type="dxa"/>
            <w:tcBorders>
              <w:bottom w:val="single" w:sz="6" w:space="0" w:color="000000"/>
              <w:right w:val="single" w:sz="6" w:space="0" w:color="000000"/>
            </w:tcBorders>
            <w:vAlign w:val="center"/>
          </w:tcPr>
          <w:p w14:paraId="0A5FF30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DFA710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BCE5F66" w14:textId="77777777" w:rsidR="007D706A" w:rsidRDefault="007D706A" w:rsidP="00F70508">
            <w:pPr>
              <w:pStyle w:val="ParagraphStyle12"/>
              <w:rPr>
                <w:rStyle w:val="CharacterStyle12"/>
              </w:rPr>
            </w:pPr>
            <w:r>
              <w:rPr>
                <w:rStyle w:val="CharacterStyle12"/>
              </w:rPr>
              <w:t>0,00</w:t>
            </w:r>
          </w:p>
        </w:tc>
      </w:tr>
      <w:tr w:rsidR="007D706A" w14:paraId="1EACDC9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3E410C2" w14:textId="77777777" w:rsidR="007D706A" w:rsidRDefault="007D706A" w:rsidP="00F70508">
            <w:pPr>
              <w:pStyle w:val="ParagraphStyle10"/>
              <w:rPr>
                <w:rStyle w:val="CharacterStyle10"/>
              </w:rPr>
            </w:pPr>
            <w:r>
              <w:rPr>
                <w:rStyle w:val="CharacterStyle10"/>
              </w:rPr>
              <w:t>42</w:t>
            </w:r>
          </w:p>
        </w:tc>
        <w:tc>
          <w:tcPr>
            <w:tcW w:w="4995" w:type="dxa"/>
            <w:tcBorders>
              <w:bottom w:val="single" w:sz="6" w:space="0" w:color="000000"/>
              <w:right w:val="single" w:sz="6" w:space="0" w:color="000000"/>
            </w:tcBorders>
            <w:vAlign w:val="center"/>
          </w:tcPr>
          <w:p w14:paraId="1F63CC0E"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5297E5F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85D1283" w14:textId="77777777" w:rsidR="007D706A" w:rsidRDefault="007D706A" w:rsidP="00F70508">
            <w:pPr>
              <w:pStyle w:val="ParagraphStyle12"/>
              <w:rPr>
                <w:rStyle w:val="CharacterStyle12"/>
              </w:rPr>
            </w:pPr>
            <w:r>
              <w:rPr>
                <w:rStyle w:val="CharacterStyle12"/>
              </w:rPr>
              <w:t>15.500,00</w:t>
            </w:r>
          </w:p>
        </w:tc>
        <w:tc>
          <w:tcPr>
            <w:tcW w:w="1395" w:type="dxa"/>
            <w:tcBorders>
              <w:bottom w:val="single" w:sz="6" w:space="0" w:color="000000"/>
              <w:right w:val="single" w:sz="6" w:space="0" w:color="000000"/>
            </w:tcBorders>
            <w:vAlign w:val="center"/>
          </w:tcPr>
          <w:p w14:paraId="159BFBC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C164F5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EEDAA59" w14:textId="77777777" w:rsidR="007D706A" w:rsidRDefault="007D706A" w:rsidP="00F70508">
            <w:pPr>
              <w:pStyle w:val="ParagraphStyle12"/>
              <w:rPr>
                <w:rStyle w:val="CharacterStyle12"/>
              </w:rPr>
            </w:pPr>
            <w:r>
              <w:rPr>
                <w:rStyle w:val="CharacterStyle12"/>
              </w:rPr>
              <w:t>0,00</w:t>
            </w:r>
          </w:p>
        </w:tc>
      </w:tr>
      <w:tr w:rsidR="007D706A" w14:paraId="2A02F59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89778E6" w14:textId="77777777" w:rsidR="007D706A" w:rsidRDefault="007D706A" w:rsidP="00F70508">
            <w:pPr>
              <w:pStyle w:val="ParagraphStyle7"/>
              <w:rPr>
                <w:rStyle w:val="CharacterStyle7"/>
              </w:rPr>
            </w:pPr>
            <w:r>
              <w:rPr>
                <w:rStyle w:val="CharacterStyle7"/>
              </w:rPr>
              <w:t>Izvor financiranja 43</w:t>
            </w:r>
          </w:p>
        </w:tc>
        <w:tc>
          <w:tcPr>
            <w:tcW w:w="4995" w:type="dxa"/>
            <w:tcBorders>
              <w:bottom w:val="single" w:sz="6" w:space="0" w:color="000000"/>
              <w:right w:val="single" w:sz="6" w:space="0" w:color="000000"/>
            </w:tcBorders>
            <w:vAlign w:val="center"/>
          </w:tcPr>
          <w:p w14:paraId="16060CEA" w14:textId="77777777" w:rsidR="007D706A" w:rsidRDefault="007D706A" w:rsidP="00F70508">
            <w:pPr>
              <w:pStyle w:val="ParagraphStyle8"/>
              <w:rPr>
                <w:rStyle w:val="CharacterStyle8"/>
              </w:rPr>
            </w:pPr>
            <w:r>
              <w:rPr>
                <w:rStyle w:val="CharacterStyle8"/>
              </w:rPr>
              <w:t>Ostali prihodi za posebne namjene</w:t>
            </w:r>
          </w:p>
        </w:tc>
        <w:tc>
          <w:tcPr>
            <w:tcW w:w="1395" w:type="dxa"/>
            <w:tcBorders>
              <w:bottom w:val="single" w:sz="6" w:space="0" w:color="000000"/>
              <w:right w:val="single" w:sz="6" w:space="0" w:color="000000"/>
            </w:tcBorders>
            <w:vAlign w:val="center"/>
          </w:tcPr>
          <w:p w14:paraId="012A1C11"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7836E59"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82D32B0" w14:textId="77777777" w:rsidR="007D706A" w:rsidRDefault="007D706A" w:rsidP="00F70508">
            <w:pPr>
              <w:pStyle w:val="ParagraphStyle9"/>
              <w:rPr>
                <w:rStyle w:val="CharacterStyle9"/>
              </w:rPr>
            </w:pPr>
            <w:r>
              <w:rPr>
                <w:rStyle w:val="CharacterStyle9"/>
              </w:rPr>
              <w:t>622.700,00</w:t>
            </w:r>
          </w:p>
        </w:tc>
        <w:tc>
          <w:tcPr>
            <w:tcW w:w="1395" w:type="dxa"/>
            <w:tcBorders>
              <w:bottom w:val="single" w:sz="6" w:space="0" w:color="000000"/>
              <w:right w:val="single" w:sz="6" w:space="0" w:color="000000"/>
            </w:tcBorders>
            <w:vAlign w:val="center"/>
          </w:tcPr>
          <w:p w14:paraId="18FE4D87" w14:textId="77777777" w:rsidR="007D706A" w:rsidRDefault="007D706A" w:rsidP="00F70508">
            <w:pPr>
              <w:pStyle w:val="ParagraphStyle9"/>
              <w:rPr>
                <w:rStyle w:val="CharacterStyle9"/>
              </w:rPr>
            </w:pPr>
            <w:r>
              <w:rPr>
                <w:rStyle w:val="CharacterStyle9"/>
              </w:rPr>
              <w:t>632.588,00</w:t>
            </w:r>
          </w:p>
        </w:tc>
        <w:tc>
          <w:tcPr>
            <w:tcW w:w="1395" w:type="dxa"/>
            <w:tcBorders>
              <w:bottom w:val="single" w:sz="6" w:space="0" w:color="000000"/>
              <w:right w:val="single" w:sz="6" w:space="0" w:color="000000"/>
            </w:tcBorders>
            <w:vAlign w:val="center"/>
          </w:tcPr>
          <w:p w14:paraId="6EF0E15F" w14:textId="77777777" w:rsidR="007D706A" w:rsidRDefault="007D706A" w:rsidP="00F70508">
            <w:pPr>
              <w:pStyle w:val="ParagraphStyle9"/>
              <w:rPr>
                <w:rStyle w:val="CharacterStyle9"/>
              </w:rPr>
            </w:pPr>
            <w:r>
              <w:rPr>
                <w:rStyle w:val="CharacterStyle9"/>
              </w:rPr>
              <w:t>638.830,00</w:t>
            </w:r>
          </w:p>
        </w:tc>
      </w:tr>
      <w:tr w:rsidR="007D706A" w14:paraId="088C438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E949A44"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35EEF892"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2BC2D90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D0C88C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4E92792" w14:textId="77777777" w:rsidR="007D706A" w:rsidRDefault="007D706A" w:rsidP="00F70508">
            <w:pPr>
              <w:pStyle w:val="ParagraphStyle12"/>
              <w:rPr>
                <w:rStyle w:val="CharacterStyle12"/>
              </w:rPr>
            </w:pPr>
            <w:r>
              <w:rPr>
                <w:rStyle w:val="CharacterStyle12"/>
              </w:rPr>
              <w:t>611.700,00</w:t>
            </w:r>
          </w:p>
        </w:tc>
        <w:tc>
          <w:tcPr>
            <w:tcW w:w="1395" w:type="dxa"/>
            <w:tcBorders>
              <w:bottom w:val="single" w:sz="6" w:space="0" w:color="000000"/>
              <w:right w:val="single" w:sz="6" w:space="0" w:color="000000"/>
            </w:tcBorders>
            <w:vAlign w:val="center"/>
          </w:tcPr>
          <w:p w14:paraId="4F9FD2B2" w14:textId="77777777" w:rsidR="007D706A" w:rsidRDefault="007D706A" w:rsidP="00F70508">
            <w:pPr>
              <w:pStyle w:val="ParagraphStyle12"/>
              <w:rPr>
                <w:rStyle w:val="CharacterStyle12"/>
              </w:rPr>
            </w:pPr>
            <w:r>
              <w:rPr>
                <w:rStyle w:val="CharacterStyle12"/>
              </w:rPr>
              <w:t>621.588,00</w:t>
            </w:r>
          </w:p>
        </w:tc>
        <w:tc>
          <w:tcPr>
            <w:tcW w:w="1395" w:type="dxa"/>
            <w:tcBorders>
              <w:bottom w:val="single" w:sz="6" w:space="0" w:color="000000"/>
              <w:right w:val="single" w:sz="6" w:space="0" w:color="000000"/>
            </w:tcBorders>
            <w:vAlign w:val="center"/>
          </w:tcPr>
          <w:p w14:paraId="4162DB85" w14:textId="77777777" w:rsidR="007D706A" w:rsidRDefault="007D706A" w:rsidP="00F70508">
            <w:pPr>
              <w:pStyle w:val="ParagraphStyle12"/>
              <w:rPr>
                <w:rStyle w:val="CharacterStyle12"/>
              </w:rPr>
            </w:pPr>
            <w:r>
              <w:rPr>
                <w:rStyle w:val="CharacterStyle12"/>
              </w:rPr>
              <w:t>627.830,00</w:t>
            </w:r>
          </w:p>
        </w:tc>
      </w:tr>
      <w:tr w:rsidR="007D706A" w14:paraId="746AEE0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8074D17"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1B2523EE"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7AE01A4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25C23A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3D18BA0" w14:textId="77777777" w:rsidR="007D706A" w:rsidRDefault="007D706A" w:rsidP="00F70508">
            <w:pPr>
              <w:pStyle w:val="ParagraphStyle12"/>
              <w:rPr>
                <w:rStyle w:val="CharacterStyle12"/>
              </w:rPr>
            </w:pPr>
            <w:r>
              <w:rPr>
                <w:rStyle w:val="CharacterStyle12"/>
              </w:rPr>
              <w:t>607.700,00</w:t>
            </w:r>
          </w:p>
        </w:tc>
        <w:tc>
          <w:tcPr>
            <w:tcW w:w="1395" w:type="dxa"/>
            <w:tcBorders>
              <w:bottom w:val="single" w:sz="6" w:space="0" w:color="000000"/>
              <w:right w:val="single" w:sz="6" w:space="0" w:color="000000"/>
            </w:tcBorders>
            <w:vAlign w:val="center"/>
          </w:tcPr>
          <w:p w14:paraId="38E6428F" w14:textId="77777777" w:rsidR="007D706A" w:rsidRDefault="007D706A" w:rsidP="00F70508">
            <w:pPr>
              <w:pStyle w:val="ParagraphStyle12"/>
              <w:rPr>
                <w:rStyle w:val="CharacterStyle12"/>
              </w:rPr>
            </w:pPr>
            <w:r>
              <w:rPr>
                <w:rStyle w:val="CharacterStyle12"/>
              </w:rPr>
              <w:t>617.588,00</w:t>
            </w:r>
          </w:p>
        </w:tc>
        <w:tc>
          <w:tcPr>
            <w:tcW w:w="1395" w:type="dxa"/>
            <w:tcBorders>
              <w:bottom w:val="single" w:sz="6" w:space="0" w:color="000000"/>
              <w:right w:val="single" w:sz="6" w:space="0" w:color="000000"/>
            </w:tcBorders>
            <w:vAlign w:val="center"/>
          </w:tcPr>
          <w:p w14:paraId="749432BA" w14:textId="77777777" w:rsidR="007D706A" w:rsidRDefault="007D706A" w:rsidP="00F70508">
            <w:pPr>
              <w:pStyle w:val="ParagraphStyle12"/>
              <w:rPr>
                <w:rStyle w:val="CharacterStyle12"/>
              </w:rPr>
            </w:pPr>
            <w:r>
              <w:rPr>
                <w:rStyle w:val="CharacterStyle12"/>
              </w:rPr>
              <w:t>623.830,00</w:t>
            </w:r>
          </w:p>
        </w:tc>
      </w:tr>
      <w:tr w:rsidR="007D706A" w14:paraId="655145D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53B3287" w14:textId="77777777" w:rsidR="007D706A" w:rsidRDefault="007D706A" w:rsidP="00F70508">
            <w:pPr>
              <w:pStyle w:val="ParagraphStyle10"/>
              <w:rPr>
                <w:rStyle w:val="CharacterStyle10"/>
              </w:rPr>
            </w:pPr>
            <w:r>
              <w:rPr>
                <w:rStyle w:val="CharacterStyle10"/>
              </w:rPr>
              <w:t>34</w:t>
            </w:r>
          </w:p>
        </w:tc>
        <w:tc>
          <w:tcPr>
            <w:tcW w:w="4995" w:type="dxa"/>
            <w:tcBorders>
              <w:bottom w:val="single" w:sz="6" w:space="0" w:color="000000"/>
              <w:right w:val="single" w:sz="6" w:space="0" w:color="000000"/>
            </w:tcBorders>
            <w:vAlign w:val="center"/>
          </w:tcPr>
          <w:p w14:paraId="0B0E3BBD" w14:textId="77777777" w:rsidR="007D706A" w:rsidRDefault="007D706A" w:rsidP="00F70508">
            <w:pPr>
              <w:pStyle w:val="ParagraphStyle11"/>
              <w:rPr>
                <w:rStyle w:val="CharacterStyle11"/>
              </w:rPr>
            </w:pPr>
            <w:r>
              <w:rPr>
                <w:rStyle w:val="CharacterStyle11"/>
              </w:rPr>
              <w:t>Financijski rashodi</w:t>
            </w:r>
          </w:p>
        </w:tc>
        <w:tc>
          <w:tcPr>
            <w:tcW w:w="1395" w:type="dxa"/>
            <w:tcBorders>
              <w:bottom w:val="single" w:sz="6" w:space="0" w:color="000000"/>
              <w:right w:val="single" w:sz="6" w:space="0" w:color="000000"/>
            </w:tcBorders>
            <w:vAlign w:val="center"/>
          </w:tcPr>
          <w:p w14:paraId="3C167B3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58166E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055DD80" w14:textId="77777777" w:rsidR="007D706A" w:rsidRDefault="007D706A" w:rsidP="00F70508">
            <w:pPr>
              <w:pStyle w:val="ParagraphStyle12"/>
              <w:rPr>
                <w:rStyle w:val="CharacterStyle12"/>
              </w:rPr>
            </w:pPr>
            <w:r>
              <w:rPr>
                <w:rStyle w:val="CharacterStyle12"/>
              </w:rPr>
              <w:t>4.000,00</w:t>
            </w:r>
          </w:p>
        </w:tc>
        <w:tc>
          <w:tcPr>
            <w:tcW w:w="1395" w:type="dxa"/>
            <w:tcBorders>
              <w:bottom w:val="single" w:sz="6" w:space="0" w:color="000000"/>
              <w:right w:val="single" w:sz="6" w:space="0" w:color="000000"/>
            </w:tcBorders>
            <w:vAlign w:val="center"/>
          </w:tcPr>
          <w:p w14:paraId="491F3DB5" w14:textId="77777777" w:rsidR="007D706A" w:rsidRDefault="007D706A" w:rsidP="00F70508">
            <w:pPr>
              <w:pStyle w:val="ParagraphStyle12"/>
              <w:rPr>
                <w:rStyle w:val="CharacterStyle12"/>
              </w:rPr>
            </w:pPr>
            <w:r>
              <w:rPr>
                <w:rStyle w:val="CharacterStyle12"/>
              </w:rPr>
              <w:t>4.000,00</w:t>
            </w:r>
          </w:p>
        </w:tc>
        <w:tc>
          <w:tcPr>
            <w:tcW w:w="1395" w:type="dxa"/>
            <w:tcBorders>
              <w:bottom w:val="single" w:sz="6" w:space="0" w:color="000000"/>
              <w:right w:val="single" w:sz="6" w:space="0" w:color="000000"/>
            </w:tcBorders>
            <w:vAlign w:val="center"/>
          </w:tcPr>
          <w:p w14:paraId="4E8F2A29" w14:textId="77777777" w:rsidR="007D706A" w:rsidRDefault="007D706A" w:rsidP="00F70508">
            <w:pPr>
              <w:pStyle w:val="ParagraphStyle12"/>
              <w:rPr>
                <w:rStyle w:val="CharacterStyle12"/>
              </w:rPr>
            </w:pPr>
            <w:r>
              <w:rPr>
                <w:rStyle w:val="CharacterStyle12"/>
              </w:rPr>
              <w:t>4.000,00</w:t>
            </w:r>
          </w:p>
        </w:tc>
      </w:tr>
      <w:tr w:rsidR="007D706A" w14:paraId="3B3267D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9F0B52C"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22634D0D"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568FAD2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0F1E12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A572295" w14:textId="77777777" w:rsidR="007D706A" w:rsidRDefault="007D706A" w:rsidP="00F70508">
            <w:pPr>
              <w:pStyle w:val="ParagraphStyle12"/>
              <w:rPr>
                <w:rStyle w:val="CharacterStyle12"/>
              </w:rPr>
            </w:pPr>
            <w:r>
              <w:rPr>
                <w:rStyle w:val="CharacterStyle12"/>
              </w:rPr>
              <w:t>11.000,00</w:t>
            </w:r>
          </w:p>
        </w:tc>
        <w:tc>
          <w:tcPr>
            <w:tcW w:w="1395" w:type="dxa"/>
            <w:tcBorders>
              <w:bottom w:val="single" w:sz="6" w:space="0" w:color="000000"/>
              <w:right w:val="single" w:sz="6" w:space="0" w:color="000000"/>
            </w:tcBorders>
            <w:vAlign w:val="center"/>
          </w:tcPr>
          <w:p w14:paraId="3BD67550" w14:textId="77777777" w:rsidR="007D706A" w:rsidRDefault="007D706A" w:rsidP="00F70508">
            <w:pPr>
              <w:pStyle w:val="ParagraphStyle12"/>
              <w:rPr>
                <w:rStyle w:val="CharacterStyle12"/>
              </w:rPr>
            </w:pPr>
            <w:r>
              <w:rPr>
                <w:rStyle w:val="CharacterStyle12"/>
              </w:rPr>
              <w:t>11.000,00</w:t>
            </w:r>
          </w:p>
        </w:tc>
        <w:tc>
          <w:tcPr>
            <w:tcW w:w="1395" w:type="dxa"/>
            <w:tcBorders>
              <w:bottom w:val="single" w:sz="6" w:space="0" w:color="000000"/>
              <w:right w:val="single" w:sz="6" w:space="0" w:color="000000"/>
            </w:tcBorders>
            <w:vAlign w:val="center"/>
          </w:tcPr>
          <w:p w14:paraId="2D5F46F8" w14:textId="77777777" w:rsidR="007D706A" w:rsidRDefault="007D706A" w:rsidP="00F70508">
            <w:pPr>
              <w:pStyle w:val="ParagraphStyle12"/>
              <w:rPr>
                <w:rStyle w:val="CharacterStyle12"/>
              </w:rPr>
            </w:pPr>
            <w:r>
              <w:rPr>
                <w:rStyle w:val="CharacterStyle12"/>
              </w:rPr>
              <w:t>11.000,00</w:t>
            </w:r>
          </w:p>
        </w:tc>
      </w:tr>
      <w:tr w:rsidR="007D706A" w14:paraId="6CFFE506"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7C5A0F5" w14:textId="77777777" w:rsidR="007D706A" w:rsidRDefault="007D706A" w:rsidP="00F70508">
            <w:pPr>
              <w:pStyle w:val="ParagraphStyle10"/>
              <w:rPr>
                <w:rStyle w:val="CharacterStyle10"/>
              </w:rPr>
            </w:pPr>
            <w:r>
              <w:rPr>
                <w:rStyle w:val="CharacterStyle10"/>
              </w:rPr>
              <w:t>42</w:t>
            </w:r>
          </w:p>
        </w:tc>
        <w:tc>
          <w:tcPr>
            <w:tcW w:w="4995" w:type="dxa"/>
            <w:tcBorders>
              <w:bottom w:val="single" w:sz="6" w:space="0" w:color="000000"/>
              <w:right w:val="single" w:sz="6" w:space="0" w:color="000000"/>
            </w:tcBorders>
            <w:vAlign w:val="center"/>
          </w:tcPr>
          <w:p w14:paraId="13BC9D4A"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45EAE1E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EE8E90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83FAAE6" w14:textId="77777777" w:rsidR="007D706A" w:rsidRDefault="007D706A" w:rsidP="00F70508">
            <w:pPr>
              <w:pStyle w:val="ParagraphStyle12"/>
              <w:rPr>
                <w:rStyle w:val="CharacterStyle12"/>
              </w:rPr>
            </w:pPr>
            <w:r>
              <w:rPr>
                <w:rStyle w:val="CharacterStyle12"/>
              </w:rPr>
              <w:t>11.000,00</w:t>
            </w:r>
          </w:p>
        </w:tc>
        <w:tc>
          <w:tcPr>
            <w:tcW w:w="1395" w:type="dxa"/>
            <w:tcBorders>
              <w:bottom w:val="single" w:sz="6" w:space="0" w:color="000000"/>
              <w:right w:val="single" w:sz="6" w:space="0" w:color="000000"/>
            </w:tcBorders>
            <w:vAlign w:val="center"/>
          </w:tcPr>
          <w:p w14:paraId="2D8C03BC" w14:textId="77777777" w:rsidR="007D706A" w:rsidRDefault="007D706A" w:rsidP="00F70508">
            <w:pPr>
              <w:pStyle w:val="ParagraphStyle12"/>
              <w:rPr>
                <w:rStyle w:val="CharacterStyle12"/>
              </w:rPr>
            </w:pPr>
            <w:r>
              <w:rPr>
                <w:rStyle w:val="CharacterStyle12"/>
              </w:rPr>
              <w:t>11.000,00</w:t>
            </w:r>
          </w:p>
        </w:tc>
        <w:tc>
          <w:tcPr>
            <w:tcW w:w="1395" w:type="dxa"/>
            <w:tcBorders>
              <w:bottom w:val="single" w:sz="6" w:space="0" w:color="000000"/>
              <w:right w:val="single" w:sz="6" w:space="0" w:color="000000"/>
            </w:tcBorders>
            <w:vAlign w:val="center"/>
          </w:tcPr>
          <w:p w14:paraId="6F781664" w14:textId="77777777" w:rsidR="007D706A" w:rsidRDefault="007D706A" w:rsidP="00F70508">
            <w:pPr>
              <w:pStyle w:val="ParagraphStyle12"/>
              <w:rPr>
                <w:rStyle w:val="CharacterStyle12"/>
              </w:rPr>
            </w:pPr>
            <w:r>
              <w:rPr>
                <w:rStyle w:val="CharacterStyle12"/>
              </w:rPr>
              <w:t>11.000,00</w:t>
            </w:r>
          </w:p>
        </w:tc>
      </w:tr>
      <w:tr w:rsidR="007D706A" w14:paraId="32A4140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0020A32" w14:textId="77777777" w:rsidR="007D706A" w:rsidRDefault="007D706A" w:rsidP="00F70508">
            <w:pPr>
              <w:pStyle w:val="ParagraphStyle7"/>
              <w:rPr>
                <w:rStyle w:val="CharacterStyle7"/>
              </w:rPr>
            </w:pPr>
            <w:r>
              <w:rPr>
                <w:rStyle w:val="CharacterStyle7"/>
              </w:rPr>
              <w:t>Izvor financiranja 5</w:t>
            </w:r>
          </w:p>
        </w:tc>
        <w:tc>
          <w:tcPr>
            <w:tcW w:w="4995" w:type="dxa"/>
            <w:tcBorders>
              <w:bottom w:val="single" w:sz="6" w:space="0" w:color="000000"/>
              <w:right w:val="single" w:sz="6" w:space="0" w:color="000000"/>
            </w:tcBorders>
            <w:vAlign w:val="center"/>
          </w:tcPr>
          <w:p w14:paraId="594DF31C" w14:textId="77777777" w:rsidR="007D706A" w:rsidRDefault="007D706A" w:rsidP="00F70508">
            <w:pPr>
              <w:pStyle w:val="ParagraphStyle8"/>
              <w:rPr>
                <w:rStyle w:val="CharacterStyle8"/>
              </w:rPr>
            </w:pPr>
            <w:r>
              <w:rPr>
                <w:rStyle w:val="CharacterStyle8"/>
              </w:rPr>
              <w:t>POMOĆI</w:t>
            </w:r>
          </w:p>
        </w:tc>
        <w:tc>
          <w:tcPr>
            <w:tcW w:w="1395" w:type="dxa"/>
            <w:tcBorders>
              <w:bottom w:val="single" w:sz="6" w:space="0" w:color="000000"/>
              <w:right w:val="single" w:sz="6" w:space="0" w:color="000000"/>
            </w:tcBorders>
            <w:vAlign w:val="center"/>
          </w:tcPr>
          <w:p w14:paraId="1E7455EF"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01186B7"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B6A12F6" w14:textId="77777777" w:rsidR="007D706A" w:rsidRDefault="007D706A" w:rsidP="00F70508">
            <w:pPr>
              <w:pStyle w:val="ParagraphStyle9"/>
              <w:rPr>
                <w:rStyle w:val="CharacterStyle9"/>
              </w:rPr>
            </w:pPr>
            <w:r>
              <w:rPr>
                <w:rStyle w:val="CharacterStyle9"/>
              </w:rPr>
              <w:t>815.402,00</w:t>
            </w:r>
          </w:p>
        </w:tc>
        <w:tc>
          <w:tcPr>
            <w:tcW w:w="1395" w:type="dxa"/>
            <w:tcBorders>
              <w:bottom w:val="single" w:sz="6" w:space="0" w:color="000000"/>
              <w:right w:val="single" w:sz="6" w:space="0" w:color="000000"/>
            </w:tcBorders>
            <w:vAlign w:val="center"/>
          </w:tcPr>
          <w:p w14:paraId="5F666A91" w14:textId="77777777" w:rsidR="007D706A" w:rsidRDefault="007D706A" w:rsidP="00F70508">
            <w:pPr>
              <w:pStyle w:val="ParagraphStyle9"/>
              <w:rPr>
                <w:rStyle w:val="CharacterStyle9"/>
              </w:rPr>
            </w:pPr>
            <w:r>
              <w:rPr>
                <w:rStyle w:val="CharacterStyle9"/>
              </w:rPr>
              <w:t>821.508,00</w:t>
            </w:r>
          </w:p>
        </w:tc>
        <w:tc>
          <w:tcPr>
            <w:tcW w:w="1395" w:type="dxa"/>
            <w:tcBorders>
              <w:bottom w:val="single" w:sz="6" w:space="0" w:color="000000"/>
              <w:right w:val="single" w:sz="6" w:space="0" w:color="000000"/>
            </w:tcBorders>
            <w:vAlign w:val="center"/>
          </w:tcPr>
          <w:p w14:paraId="7713189C" w14:textId="77777777" w:rsidR="007D706A" w:rsidRDefault="007D706A" w:rsidP="00F70508">
            <w:pPr>
              <w:pStyle w:val="ParagraphStyle9"/>
              <w:rPr>
                <w:rStyle w:val="CharacterStyle9"/>
              </w:rPr>
            </w:pPr>
            <w:r>
              <w:rPr>
                <w:rStyle w:val="CharacterStyle9"/>
              </w:rPr>
              <w:t>830.000,00</w:t>
            </w:r>
          </w:p>
        </w:tc>
      </w:tr>
      <w:tr w:rsidR="007D706A" w14:paraId="68A46A4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BA0439A"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2E4E5199"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0D9D2E9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210AEF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5162E33" w14:textId="77777777" w:rsidR="007D706A" w:rsidRDefault="007D706A" w:rsidP="00F70508">
            <w:pPr>
              <w:pStyle w:val="ParagraphStyle12"/>
              <w:rPr>
                <w:rStyle w:val="CharacterStyle12"/>
              </w:rPr>
            </w:pPr>
            <w:r>
              <w:rPr>
                <w:rStyle w:val="CharacterStyle12"/>
              </w:rPr>
              <w:t>815.402,00</w:t>
            </w:r>
          </w:p>
        </w:tc>
        <w:tc>
          <w:tcPr>
            <w:tcW w:w="1395" w:type="dxa"/>
            <w:tcBorders>
              <w:bottom w:val="single" w:sz="6" w:space="0" w:color="000000"/>
              <w:right w:val="single" w:sz="6" w:space="0" w:color="000000"/>
            </w:tcBorders>
            <w:vAlign w:val="center"/>
          </w:tcPr>
          <w:p w14:paraId="2EF731E5" w14:textId="77777777" w:rsidR="007D706A" w:rsidRDefault="007D706A" w:rsidP="00F70508">
            <w:pPr>
              <w:pStyle w:val="ParagraphStyle12"/>
              <w:rPr>
                <w:rStyle w:val="CharacterStyle12"/>
              </w:rPr>
            </w:pPr>
            <w:r>
              <w:rPr>
                <w:rStyle w:val="CharacterStyle12"/>
              </w:rPr>
              <w:t>821.508,00</w:t>
            </w:r>
          </w:p>
        </w:tc>
        <w:tc>
          <w:tcPr>
            <w:tcW w:w="1395" w:type="dxa"/>
            <w:tcBorders>
              <w:bottom w:val="single" w:sz="6" w:space="0" w:color="000000"/>
              <w:right w:val="single" w:sz="6" w:space="0" w:color="000000"/>
            </w:tcBorders>
            <w:vAlign w:val="center"/>
          </w:tcPr>
          <w:p w14:paraId="5C41F016" w14:textId="77777777" w:rsidR="007D706A" w:rsidRDefault="007D706A" w:rsidP="00F70508">
            <w:pPr>
              <w:pStyle w:val="ParagraphStyle12"/>
              <w:rPr>
                <w:rStyle w:val="CharacterStyle12"/>
              </w:rPr>
            </w:pPr>
            <w:r>
              <w:rPr>
                <w:rStyle w:val="CharacterStyle12"/>
              </w:rPr>
              <w:t>830.000,00</w:t>
            </w:r>
          </w:p>
        </w:tc>
      </w:tr>
      <w:tr w:rsidR="007D706A" w14:paraId="02EE864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68E5AC0" w14:textId="77777777" w:rsidR="007D706A" w:rsidRDefault="007D706A" w:rsidP="00F70508">
            <w:pPr>
              <w:pStyle w:val="ParagraphStyle10"/>
              <w:rPr>
                <w:rStyle w:val="CharacterStyle10"/>
              </w:rPr>
            </w:pPr>
            <w:r>
              <w:rPr>
                <w:rStyle w:val="CharacterStyle10"/>
              </w:rPr>
              <w:t>31</w:t>
            </w:r>
          </w:p>
        </w:tc>
        <w:tc>
          <w:tcPr>
            <w:tcW w:w="4995" w:type="dxa"/>
            <w:tcBorders>
              <w:bottom w:val="single" w:sz="6" w:space="0" w:color="000000"/>
              <w:right w:val="single" w:sz="6" w:space="0" w:color="000000"/>
            </w:tcBorders>
            <w:vAlign w:val="center"/>
          </w:tcPr>
          <w:p w14:paraId="1E3C1E44" w14:textId="77777777" w:rsidR="007D706A" w:rsidRDefault="007D706A" w:rsidP="00F70508">
            <w:pPr>
              <w:pStyle w:val="ParagraphStyle11"/>
              <w:rPr>
                <w:rStyle w:val="CharacterStyle11"/>
              </w:rPr>
            </w:pPr>
            <w:r>
              <w:rPr>
                <w:rStyle w:val="CharacterStyle11"/>
              </w:rPr>
              <w:t>Rashodi za zaposlene</w:t>
            </w:r>
          </w:p>
        </w:tc>
        <w:tc>
          <w:tcPr>
            <w:tcW w:w="1395" w:type="dxa"/>
            <w:tcBorders>
              <w:bottom w:val="single" w:sz="6" w:space="0" w:color="000000"/>
              <w:right w:val="single" w:sz="6" w:space="0" w:color="000000"/>
            </w:tcBorders>
            <w:vAlign w:val="center"/>
          </w:tcPr>
          <w:p w14:paraId="0361D81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BACC05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D5B30A8" w14:textId="77777777" w:rsidR="007D706A" w:rsidRDefault="007D706A" w:rsidP="00F70508">
            <w:pPr>
              <w:pStyle w:val="ParagraphStyle12"/>
              <w:rPr>
                <w:rStyle w:val="CharacterStyle12"/>
              </w:rPr>
            </w:pPr>
            <w:r>
              <w:rPr>
                <w:rStyle w:val="CharacterStyle12"/>
              </w:rPr>
              <w:t>777.217,00</w:t>
            </w:r>
          </w:p>
        </w:tc>
        <w:tc>
          <w:tcPr>
            <w:tcW w:w="1395" w:type="dxa"/>
            <w:tcBorders>
              <w:bottom w:val="single" w:sz="6" w:space="0" w:color="000000"/>
              <w:right w:val="single" w:sz="6" w:space="0" w:color="000000"/>
            </w:tcBorders>
            <w:vAlign w:val="center"/>
          </w:tcPr>
          <w:p w14:paraId="7E666436" w14:textId="77777777" w:rsidR="007D706A" w:rsidRDefault="007D706A" w:rsidP="00F70508">
            <w:pPr>
              <w:pStyle w:val="ParagraphStyle12"/>
              <w:rPr>
                <w:rStyle w:val="CharacterStyle12"/>
              </w:rPr>
            </w:pPr>
            <w:r>
              <w:rPr>
                <w:rStyle w:val="CharacterStyle12"/>
              </w:rPr>
              <w:t>782.000,00</w:t>
            </w:r>
          </w:p>
        </w:tc>
        <w:tc>
          <w:tcPr>
            <w:tcW w:w="1395" w:type="dxa"/>
            <w:tcBorders>
              <w:bottom w:val="single" w:sz="6" w:space="0" w:color="000000"/>
              <w:right w:val="single" w:sz="6" w:space="0" w:color="000000"/>
            </w:tcBorders>
            <w:vAlign w:val="center"/>
          </w:tcPr>
          <w:p w14:paraId="391F5AE3" w14:textId="77777777" w:rsidR="007D706A" w:rsidRDefault="007D706A" w:rsidP="00F70508">
            <w:pPr>
              <w:pStyle w:val="ParagraphStyle12"/>
              <w:rPr>
                <w:rStyle w:val="CharacterStyle12"/>
              </w:rPr>
            </w:pPr>
            <w:r>
              <w:rPr>
                <w:rStyle w:val="CharacterStyle12"/>
              </w:rPr>
              <w:t>790.120,00</w:t>
            </w:r>
          </w:p>
        </w:tc>
      </w:tr>
      <w:tr w:rsidR="007D706A" w14:paraId="3EF55FD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3A1A357"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3B0402C5"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23EB18F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D293D3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21ECC31" w14:textId="77777777" w:rsidR="007D706A" w:rsidRDefault="007D706A" w:rsidP="00F70508">
            <w:pPr>
              <w:pStyle w:val="ParagraphStyle12"/>
              <w:rPr>
                <w:rStyle w:val="CharacterStyle12"/>
              </w:rPr>
            </w:pPr>
            <w:r>
              <w:rPr>
                <w:rStyle w:val="CharacterStyle12"/>
              </w:rPr>
              <w:t>38.185,00</w:t>
            </w:r>
          </w:p>
        </w:tc>
        <w:tc>
          <w:tcPr>
            <w:tcW w:w="1395" w:type="dxa"/>
            <w:tcBorders>
              <w:bottom w:val="single" w:sz="6" w:space="0" w:color="000000"/>
              <w:right w:val="single" w:sz="6" w:space="0" w:color="000000"/>
            </w:tcBorders>
            <w:vAlign w:val="center"/>
          </w:tcPr>
          <w:p w14:paraId="728C1969" w14:textId="77777777" w:rsidR="007D706A" w:rsidRDefault="007D706A" w:rsidP="00F70508">
            <w:pPr>
              <w:pStyle w:val="ParagraphStyle12"/>
              <w:rPr>
                <w:rStyle w:val="CharacterStyle12"/>
              </w:rPr>
            </w:pPr>
            <w:r>
              <w:rPr>
                <w:rStyle w:val="CharacterStyle12"/>
              </w:rPr>
              <w:t>39.508,00</w:t>
            </w:r>
          </w:p>
        </w:tc>
        <w:tc>
          <w:tcPr>
            <w:tcW w:w="1395" w:type="dxa"/>
            <w:tcBorders>
              <w:bottom w:val="single" w:sz="6" w:space="0" w:color="000000"/>
              <w:right w:val="single" w:sz="6" w:space="0" w:color="000000"/>
            </w:tcBorders>
            <w:vAlign w:val="center"/>
          </w:tcPr>
          <w:p w14:paraId="03B7D865" w14:textId="77777777" w:rsidR="007D706A" w:rsidRDefault="007D706A" w:rsidP="00F70508">
            <w:pPr>
              <w:pStyle w:val="ParagraphStyle12"/>
              <w:rPr>
                <w:rStyle w:val="CharacterStyle12"/>
              </w:rPr>
            </w:pPr>
            <w:r>
              <w:rPr>
                <w:rStyle w:val="CharacterStyle12"/>
              </w:rPr>
              <w:t>39.880,00</w:t>
            </w:r>
          </w:p>
        </w:tc>
      </w:tr>
      <w:tr w:rsidR="007D706A" w14:paraId="57DC0DC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66AFAC5" w14:textId="77777777" w:rsidR="007D706A" w:rsidRDefault="007D706A" w:rsidP="00F70508">
            <w:pPr>
              <w:pStyle w:val="ParagraphStyle7"/>
              <w:rPr>
                <w:rStyle w:val="CharacterStyle7"/>
              </w:rPr>
            </w:pPr>
            <w:r>
              <w:rPr>
                <w:rStyle w:val="CharacterStyle7"/>
              </w:rPr>
              <w:t>Izvor financiranja 50</w:t>
            </w:r>
          </w:p>
        </w:tc>
        <w:tc>
          <w:tcPr>
            <w:tcW w:w="4995" w:type="dxa"/>
            <w:tcBorders>
              <w:bottom w:val="single" w:sz="6" w:space="0" w:color="000000"/>
              <w:right w:val="single" w:sz="6" w:space="0" w:color="000000"/>
            </w:tcBorders>
            <w:vAlign w:val="center"/>
          </w:tcPr>
          <w:p w14:paraId="312349D5" w14:textId="77777777" w:rsidR="007D706A" w:rsidRDefault="007D706A" w:rsidP="00F70508">
            <w:pPr>
              <w:pStyle w:val="ParagraphStyle8"/>
              <w:rPr>
                <w:rStyle w:val="CharacterStyle8"/>
              </w:rPr>
            </w:pPr>
            <w:r>
              <w:rPr>
                <w:rStyle w:val="CharacterStyle8"/>
              </w:rPr>
              <w:t>Pomoći iz državnog proračuna</w:t>
            </w:r>
          </w:p>
        </w:tc>
        <w:tc>
          <w:tcPr>
            <w:tcW w:w="1395" w:type="dxa"/>
            <w:tcBorders>
              <w:bottom w:val="single" w:sz="6" w:space="0" w:color="000000"/>
              <w:right w:val="single" w:sz="6" w:space="0" w:color="000000"/>
            </w:tcBorders>
            <w:vAlign w:val="center"/>
          </w:tcPr>
          <w:p w14:paraId="31D44A4B"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832F7E3"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65C94BC" w14:textId="77777777" w:rsidR="007D706A" w:rsidRDefault="007D706A" w:rsidP="00F70508">
            <w:pPr>
              <w:pStyle w:val="ParagraphStyle9"/>
              <w:rPr>
                <w:rStyle w:val="CharacterStyle9"/>
              </w:rPr>
            </w:pPr>
            <w:r>
              <w:rPr>
                <w:rStyle w:val="CharacterStyle9"/>
              </w:rPr>
              <w:t>137.865,00</w:t>
            </w:r>
          </w:p>
        </w:tc>
        <w:tc>
          <w:tcPr>
            <w:tcW w:w="1395" w:type="dxa"/>
            <w:tcBorders>
              <w:bottom w:val="single" w:sz="6" w:space="0" w:color="000000"/>
              <w:right w:val="single" w:sz="6" w:space="0" w:color="000000"/>
            </w:tcBorders>
            <w:vAlign w:val="center"/>
          </w:tcPr>
          <w:p w14:paraId="78C2BEE5"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22245C9" w14:textId="77777777" w:rsidR="007D706A" w:rsidRDefault="007D706A" w:rsidP="00F70508">
            <w:pPr>
              <w:pStyle w:val="ParagraphStyle9"/>
              <w:rPr>
                <w:rStyle w:val="CharacterStyle9"/>
              </w:rPr>
            </w:pPr>
            <w:r>
              <w:rPr>
                <w:rStyle w:val="CharacterStyle9"/>
              </w:rPr>
              <w:t>0,00</w:t>
            </w:r>
          </w:p>
        </w:tc>
      </w:tr>
      <w:tr w:rsidR="007D706A" w14:paraId="5C19454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00887DF"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525138EC"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1101977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51B9E8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F9C3CD1" w14:textId="77777777" w:rsidR="007D706A" w:rsidRDefault="007D706A" w:rsidP="00F70508">
            <w:pPr>
              <w:pStyle w:val="ParagraphStyle12"/>
              <w:rPr>
                <w:rStyle w:val="CharacterStyle12"/>
              </w:rPr>
            </w:pPr>
            <w:r>
              <w:rPr>
                <w:rStyle w:val="CharacterStyle12"/>
              </w:rPr>
              <w:t>137.865,00</w:t>
            </w:r>
          </w:p>
        </w:tc>
        <w:tc>
          <w:tcPr>
            <w:tcW w:w="1395" w:type="dxa"/>
            <w:tcBorders>
              <w:bottom w:val="single" w:sz="6" w:space="0" w:color="000000"/>
              <w:right w:val="single" w:sz="6" w:space="0" w:color="000000"/>
            </w:tcBorders>
            <w:vAlign w:val="center"/>
          </w:tcPr>
          <w:p w14:paraId="77D5C6C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F370074" w14:textId="77777777" w:rsidR="007D706A" w:rsidRDefault="007D706A" w:rsidP="00F70508">
            <w:pPr>
              <w:pStyle w:val="ParagraphStyle12"/>
              <w:rPr>
                <w:rStyle w:val="CharacterStyle12"/>
              </w:rPr>
            </w:pPr>
            <w:r>
              <w:rPr>
                <w:rStyle w:val="CharacterStyle12"/>
              </w:rPr>
              <w:t>0,00</w:t>
            </w:r>
          </w:p>
        </w:tc>
      </w:tr>
      <w:tr w:rsidR="007D706A" w14:paraId="30C79436"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0834DD1" w14:textId="77777777" w:rsidR="007D706A" w:rsidRDefault="007D706A" w:rsidP="00F70508">
            <w:pPr>
              <w:pStyle w:val="ParagraphStyle10"/>
              <w:rPr>
                <w:rStyle w:val="CharacterStyle10"/>
              </w:rPr>
            </w:pPr>
            <w:r>
              <w:rPr>
                <w:rStyle w:val="CharacterStyle10"/>
              </w:rPr>
              <w:t>31</w:t>
            </w:r>
          </w:p>
        </w:tc>
        <w:tc>
          <w:tcPr>
            <w:tcW w:w="4995" w:type="dxa"/>
            <w:tcBorders>
              <w:bottom w:val="single" w:sz="6" w:space="0" w:color="000000"/>
              <w:right w:val="single" w:sz="6" w:space="0" w:color="000000"/>
            </w:tcBorders>
            <w:vAlign w:val="center"/>
          </w:tcPr>
          <w:p w14:paraId="584D3E64" w14:textId="77777777" w:rsidR="007D706A" w:rsidRDefault="007D706A" w:rsidP="00F70508">
            <w:pPr>
              <w:pStyle w:val="ParagraphStyle11"/>
              <w:rPr>
                <w:rStyle w:val="CharacterStyle11"/>
              </w:rPr>
            </w:pPr>
            <w:r>
              <w:rPr>
                <w:rStyle w:val="CharacterStyle11"/>
              </w:rPr>
              <w:t>Rashodi za zaposlene</w:t>
            </w:r>
          </w:p>
        </w:tc>
        <w:tc>
          <w:tcPr>
            <w:tcW w:w="1395" w:type="dxa"/>
            <w:tcBorders>
              <w:bottom w:val="single" w:sz="6" w:space="0" w:color="000000"/>
              <w:right w:val="single" w:sz="6" w:space="0" w:color="000000"/>
            </w:tcBorders>
            <w:vAlign w:val="center"/>
          </w:tcPr>
          <w:p w14:paraId="265F58A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2D8955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9E738C6" w14:textId="77777777" w:rsidR="007D706A" w:rsidRDefault="007D706A" w:rsidP="00F70508">
            <w:pPr>
              <w:pStyle w:val="ParagraphStyle12"/>
              <w:rPr>
                <w:rStyle w:val="CharacterStyle12"/>
              </w:rPr>
            </w:pPr>
            <w:r>
              <w:rPr>
                <w:rStyle w:val="CharacterStyle12"/>
              </w:rPr>
              <w:t>137.865,00</w:t>
            </w:r>
          </w:p>
        </w:tc>
        <w:tc>
          <w:tcPr>
            <w:tcW w:w="1395" w:type="dxa"/>
            <w:tcBorders>
              <w:bottom w:val="single" w:sz="6" w:space="0" w:color="000000"/>
              <w:right w:val="single" w:sz="6" w:space="0" w:color="000000"/>
            </w:tcBorders>
            <w:vAlign w:val="center"/>
          </w:tcPr>
          <w:p w14:paraId="7679E6E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D9C5076" w14:textId="77777777" w:rsidR="007D706A" w:rsidRDefault="007D706A" w:rsidP="00F70508">
            <w:pPr>
              <w:pStyle w:val="ParagraphStyle12"/>
              <w:rPr>
                <w:rStyle w:val="CharacterStyle12"/>
              </w:rPr>
            </w:pPr>
            <w:r>
              <w:rPr>
                <w:rStyle w:val="CharacterStyle12"/>
              </w:rPr>
              <w:t>0,00</w:t>
            </w:r>
          </w:p>
        </w:tc>
      </w:tr>
      <w:tr w:rsidR="007D706A" w14:paraId="18F7ED4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38DB12F" w14:textId="77777777" w:rsidR="007D706A" w:rsidRDefault="007D706A" w:rsidP="00F70508">
            <w:pPr>
              <w:pStyle w:val="ParagraphStyle7"/>
              <w:rPr>
                <w:rStyle w:val="CharacterStyle7"/>
              </w:rPr>
            </w:pPr>
            <w:r>
              <w:rPr>
                <w:rStyle w:val="CharacterStyle7"/>
              </w:rPr>
              <w:t>Izvor financiranja 53</w:t>
            </w:r>
          </w:p>
        </w:tc>
        <w:tc>
          <w:tcPr>
            <w:tcW w:w="4995" w:type="dxa"/>
            <w:tcBorders>
              <w:bottom w:val="single" w:sz="6" w:space="0" w:color="000000"/>
              <w:right w:val="single" w:sz="6" w:space="0" w:color="000000"/>
            </w:tcBorders>
            <w:vAlign w:val="center"/>
          </w:tcPr>
          <w:p w14:paraId="1DD3428D" w14:textId="77777777" w:rsidR="007D706A" w:rsidRDefault="007D706A" w:rsidP="00F70508">
            <w:pPr>
              <w:pStyle w:val="ParagraphStyle8"/>
              <w:rPr>
                <w:rStyle w:val="CharacterStyle8"/>
              </w:rPr>
            </w:pPr>
            <w:r>
              <w:rPr>
                <w:rStyle w:val="CharacterStyle8"/>
              </w:rPr>
              <w:t>Proračuni, drugi nivoi - za posebne i / ili ugovorene namjene</w:t>
            </w:r>
          </w:p>
        </w:tc>
        <w:tc>
          <w:tcPr>
            <w:tcW w:w="1395" w:type="dxa"/>
            <w:tcBorders>
              <w:bottom w:val="single" w:sz="6" w:space="0" w:color="000000"/>
              <w:right w:val="single" w:sz="6" w:space="0" w:color="000000"/>
            </w:tcBorders>
            <w:vAlign w:val="center"/>
          </w:tcPr>
          <w:p w14:paraId="4CACD30B"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D293333" w14:textId="77777777" w:rsidR="007D706A" w:rsidRDefault="007D706A" w:rsidP="00F70508">
            <w:pPr>
              <w:pStyle w:val="ParagraphStyle9"/>
              <w:rPr>
                <w:rStyle w:val="CharacterStyle9"/>
              </w:rPr>
            </w:pPr>
            <w:r>
              <w:rPr>
                <w:rStyle w:val="CharacterStyle9"/>
              </w:rPr>
              <w:t>946.765,00</w:t>
            </w:r>
          </w:p>
        </w:tc>
        <w:tc>
          <w:tcPr>
            <w:tcW w:w="1395" w:type="dxa"/>
            <w:tcBorders>
              <w:bottom w:val="single" w:sz="6" w:space="0" w:color="000000"/>
              <w:right w:val="single" w:sz="6" w:space="0" w:color="000000"/>
            </w:tcBorders>
            <w:vAlign w:val="center"/>
          </w:tcPr>
          <w:p w14:paraId="509DFC13"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7DC48DB"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8E3DF3D" w14:textId="77777777" w:rsidR="007D706A" w:rsidRDefault="007D706A" w:rsidP="00F70508">
            <w:pPr>
              <w:pStyle w:val="ParagraphStyle9"/>
              <w:rPr>
                <w:rStyle w:val="CharacterStyle9"/>
              </w:rPr>
            </w:pPr>
            <w:r>
              <w:rPr>
                <w:rStyle w:val="CharacterStyle9"/>
              </w:rPr>
              <w:t>0,00</w:t>
            </w:r>
          </w:p>
        </w:tc>
      </w:tr>
      <w:tr w:rsidR="007D706A" w14:paraId="4BD8ADC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A5730AE"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7DF38CA0"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0366DB6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BFC9D79" w14:textId="77777777" w:rsidR="007D706A" w:rsidRDefault="007D706A" w:rsidP="00F70508">
            <w:pPr>
              <w:pStyle w:val="ParagraphStyle12"/>
              <w:rPr>
                <w:rStyle w:val="CharacterStyle12"/>
              </w:rPr>
            </w:pPr>
            <w:r>
              <w:rPr>
                <w:rStyle w:val="CharacterStyle12"/>
              </w:rPr>
              <w:t>946.765,00</w:t>
            </w:r>
          </w:p>
        </w:tc>
        <w:tc>
          <w:tcPr>
            <w:tcW w:w="1395" w:type="dxa"/>
            <w:tcBorders>
              <w:bottom w:val="single" w:sz="6" w:space="0" w:color="000000"/>
              <w:right w:val="single" w:sz="6" w:space="0" w:color="000000"/>
            </w:tcBorders>
            <w:vAlign w:val="center"/>
          </w:tcPr>
          <w:p w14:paraId="4531D94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468C2E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20A9A92" w14:textId="77777777" w:rsidR="007D706A" w:rsidRDefault="007D706A" w:rsidP="00F70508">
            <w:pPr>
              <w:pStyle w:val="ParagraphStyle12"/>
              <w:rPr>
                <w:rStyle w:val="CharacterStyle12"/>
              </w:rPr>
            </w:pPr>
            <w:r>
              <w:rPr>
                <w:rStyle w:val="CharacterStyle12"/>
              </w:rPr>
              <w:t>0,00</w:t>
            </w:r>
          </w:p>
        </w:tc>
      </w:tr>
      <w:tr w:rsidR="007D706A" w14:paraId="70C11B8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28F83DB" w14:textId="77777777" w:rsidR="007D706A" w:rsidRDefault="007D706A" w:rsidP="00F70508">
            <w:pPr>
              <w:pStyle w:val="ParagraphStyle10"/>
              <w:rPr>
                <w:rStyle w:val="CharacterStyle10"/>
              </w:rPr>
            </w:pPr>
            <w:r>
              <w:rPr>
                <w:rStyle w:val="CharacterStyle10"/>
              </w:rPr>
              <w:t>31</w:t>
            </w:r>
          </w:p>
        </w:tc>
        <w:tc>
          <w:tcPr>
            <w:tcW w:w="4995" w:type="dxa"/>
            <w:tcBorders>
              <w:bottom w:val="single" w:sz="6" w:space="0" w:color="000000"/>
              <w:right w:val="single" w:sz="6" w:space="0" w:color="000000"/>
            </w:tcBorders>
            <w:vAlign w:val="center"/>
          </w:tcPr>
          <w:p w14:paraId="66C25D38" w14:textId="77777777" w:rsidR="007D706A" w:rsidRDefault="007D706A" w:rsidP="00F70508">
            <w:pPr>
              <w:pStyle w:val="ParagraphStyle11"/>
              <w:rPr>
                <w:rStyle w:val="CharacterStyle11"/>
              </w:rPr>
            </w:pPr>
            <w:r>
              <w:rPr>
                <w:rStyle w:val="CharacterStyle11"/>
              </w:rPr>
              <w:t>Rashodi za zaposlene</w:t>
            </w:r>
          </w:p>
        </w:tc>
        <w:tc>
          <w:tcPr>
            <w:tcW w:w="1395" w:type="dxa"/>
            <w:tcBorders>
              <w:bottom w:val="single" w:sz="6" w:space="0" w:color="000000"/>
              <w:right w:val="single" w:sz="6" w:space="0" w:color="000000"/>
            </w:tcBorders>
            <w:vAlign w:val="center"/>
          </w:tcPr>
          <w:p w14:paraId="497F266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DF211D2" w14:textId="77777777" w:rsidR="007D706A" w:rsidRDefault="007D706A" w:rsidP="00F70508">
            <w:pPr>
              <w:pStyle w:val="ParagraphStyle12"/>
              <w:rPr>
                <w:rStyle w:val="CharacterStyle12"/>
              </w:rPr>
            </w:pPr>
            <w:r>
              <w:rPr>
                <w:rStyle w:val="CharacterStyle12"/>
              </w:rPr>
              <w:t>915.505,00</w:t>
            </w:r>
          </w:p>
        </w:tc>
        <w:tc>
          <w:tcPr>
            <w:tcW w:w="1395" w:type="dxa"/>
            <w:tcBorders>
              <w:bottom w:val="single" w:sz="6" w:space="0" w:color="000000"/>
              <w:right w:val="single" w:sz="6" w:space="0" w:color="000000"/>
            </w:tcBorders>
            <w:vAlign w:val="center"/>
          </w:tcPr>
          <w:p w14:paraId="3AA2602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250BC1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E4BE5F0" w14:textId="77777777" w:rsidR="007D706A" w:rsidRDefault="007D706A" w:rsidP="00F70508">
            <w:pPr>
              <w:pStyle w:val="ParagraphStyle12"/>
              <w:rPr>
                <w:rStyle w:val="CharacterStyle12"/>
              </w:rPr>
            </w:pPr>
            <w:r>
              <w:rPr>
                <w:rStyle w:val="CharacterStyle12"/>
              </w:rPr>
              <w:t>0,00</w:t>
            </w:r>
          </w:p>
        </w:tc>
      </w:tr>
      <w:tr w:rsidR="007D706A" w14:paraId="0A66FFE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B49033F"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7B0E6A90"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731B1EF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2806902" w14:textId="77777777" w:rsidR="007D706A" w:rsidRDefault="007D706A" w:rsidP="00F70508">
            <w:pPr>
              <w:pStyle w:val="ParagraphStyle12"/>
              <w:rPr>
                <w:rStyle w:val="CharacterStyle12"/>
              </w:rPr>
            </w:pPr>
            <w:r>
              <w:rPr>
                <w:rStyle w:val="CharacterStyle12"/>
              </w:rPr>
              <w:t>31.260,00</w:t>
            </w:r>
          </w:p>
        </w:tc>
        <w:tc>
          <w:tcPr>
            <w:tcW w:w="1395" w:type="dxa"/>
            <w:tcBorders>
              <w:bottom w:val="single" w:sz="6" w:space="0" w:color="000000"/>
              <w:right w:val="single" w:sz="6" w:space="0" w:color="000000"/>
            </w:tcBorders>
            <w:vAlign w:val="center"/>
          </w:tcPr>
          <w:p w14:paraId="43496C3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2CA130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D4926EC" w14:textId="77777777" w:rsidR="007D706A" w:rsidRDefault="007D706A" w:rsidP="00F70508">
            <w:pPr>
              <w:pStyle w:val="ParagraphStyle12"/>
              <w:rPr>
                <w:rStyle w:val="CharacterStyle12"/>
              </w:rPr>
            </w:pPr>
            <w:r>
              <w:rPr>
                <w:rStyle w:val="CharacterStyle12"/>
              </w:rPr>
              <w:t>0,00</w:t>
            </w:r>
          </w:p>
        </w:tc>
      </w:tr>
      <w:tr w:rsidR="007D706A" w14:paraId="6710153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C7333E8" w14:textId="77777777" w:rsidR="007D706A" w:rsidRDefault="007D706A" w:rsidP="00F70508">
            <w:pPr>
              <w:pStyle w:val="ParagraphStyle4"/>
              <w:rPr>
                <w:rStyle w:val="CharacterStyle4"/>
              </w:rPr>
            </w:pPr>
            <w:r>
              <w:rPr>
                <w:rStyle w:val="CharacterStyle4"/>
              </w:rPr>
              <w:t>Aktivnost A103507</w:t>
            </w:r>
          </w:p>
        </w:tc>
        <w:tc>
          <w:tcPr>
            <w:tcW w:w="4995" w:type="dxa"/>
            <w:tcBorders>
              <w:bottom w:val="single" w:sz="6" w:space="0" w:color="000000"/>
              <w:right w:val="single" w:sz="6" w:space="0" w:color="000000"/>
            </w:tcBorders>
            <w:vAlign w:val="center"/>
          </w:tcPr>
          <w:p w14:paraId="5A9B049A" w14:textId="77777777" w:rsidR="007D706A" w:rsidRDefault="007D706A" w:rsidP="00F70508">
            <w:pPr>
              <w:pStyle w:val="ParagraphStyle5"/>
              <w:rPr>
                <w:rStyle w:val="CharacterStyle5"/>
              </w:rPr>
            </w:pPr>
            <w:r>
              <w:rPr>
                <w:rStyle w:val="CharacterStyle5"/>
              </w:rPr>
              <w:t>UPRAVNO VIJEĆE</w:t>
            </w:r>
          </w:p>
        </w:tc>
        <w:tc>
          <w:tcPr>
            <w:tcW w:w="1395" w:type="dxa"/>
            <w:tcBorders>
              <w:bottom w:val="single" w:sz="6" w:space="0" w:color="000000"/>
              <w:right w:val="single" w:sz="6" w:space="0" w:color="000000"/>
            </w:tcBorders>
            <w:vAlign w:val="center"/>
          </w:tcPr>
          <w:p w14:paraId="080C6011"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5DCE10AA" w14:textId="77777777" w:rsidR="007D706A" w:rsidRDefault="007D706A" w:rsidP="00F70508">
            <w:pPr>
              <w:pStyle w:val="ParagraphStyle6"/>
              <w:rPr>
                <w:rStyle w:val="CharacterStyle6"/>
              </w:rPr>
            </w:pPr>
            <w:r>
              <w:rPr>
                <w:rStyle w:val="CharacterStyle6"/>
              </w:rPr>
              <w:t>8.000,00</w:t>
            </w:r>
          </w:p>
        </w:tc>
        <w:tc>
          <w:tcPr>
            <w:tcW w:w="1395" w:type="dxa"/>
            <w:tcBorders>
              <w:bottom w:val="single" w:sz="6" w:space="0" w:color="000000"/>
              <w:right w:val="single" w:sz="6" w:space="0" w:color="000000"/>
            </w:tcBorders>
            <w:vAlign w:val="center"/>
          </w:tcPr>
          <w:p w14:paraId="45623534" w14:textId="77777777" w:rsidR="007D706A" w:rsidRDefault="007D706A" w:rsidP="00F70508">
            <w:pPr>
              <w:pStyle w:val="ParagraphStyle6"/>
              <w:rPr>
                <w:rStyle w:val="CharacterStyle6"/>
              </w:rPr>
            </w:pPr>
            <w:r>
              <w:rPr>
                <w:rStyle w:val="CharacterStyle6"/>
              </w:rPr>
              <w:t>8.000,00</w:t>
            </w:r>
          </w:p>
        </w:tc>
        <w:tc>
          <w:tcPr>
            <w:tcW w:w="1395" w:type="dxa"/>
            <w:tcBorders>
              <w:bottom w:val="single" w:sz="6" w:space="0" w:color="000000"/>
              <w:right w:val="single" w:sz="6" w:space="0" w:color="000000"/>
            </w:tcBorders>
            <w:vAlign w:val="center"/>
          </w:tcPr>
          <w:p w14:paraId="639FF7DC" w14:textId="77777777" w:rsidR="007D706A" w:rsidRDefault="007D706A" w:rsidP="00F70508">
            <w:pPr>
              <w:pStyle w:val="ParagraphStyle6"/>
              <w:rPr>
                <w:rStyle w:val="CharacterStyle6"/>
              </w:rPr>
            </w:pPr>
            <w:r>
              <w:rPr>
                <w:rStyle w:val="CharacterStyle6"/>
              </w:rPr>
              <w:t>8.000,00</w:t>
            </w:r>
          </w:p>
        </w:tc>
        <w:tc>
          <w:tcPr>
            <w:tcW w:w="1395" w:type="dxa"/>
            <w:tcBorders>
              <w:bottom w:val="single" w:sz="6" w:space="0" w:color="000000"/>
              <w:right w:val="single" w:sz="6" w:space="0" w:color="000000"/>
            </w:tcBorders>
            <w:vAlign w:val="center"/>
          </w:tcPr>
          <w:p w14:paraId="0AF4A950" w14:textId="77777777" w:rsidR="007D706A" w:rsidRDefault="007D706A" w:rsidP="00F70508">
            <w:pPr>
              <w:pStyle w:val="ParagraphStyle6"/>
              <w:rPr>
                <w:rStyle w:val="CharacterStyle6"/>
              </w:rPr>
            </w:pPr>
            <w:r>
              <w:rPr>
                <w:rStyle w:val="CharacterStyle6"/>
              </w:rPr>
              <w:t>8.000,00</w:t>
            </w:r>
          </w:p>
        </w:tc>
      </w:tr>
      <w:tr w:rsidR="007D706A" w14:paraId="6B416BE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F0BA152"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2C38B0AA"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15DE3690"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8DFECC3" w14:textId="77777777" w:rsidR="007D706A" w:rsidRDefault="007D706A" w:rsidP="00F70508">
            <w:pPr>
              <w:pStyle w:val="ParagraphStyle9"/>
              <w:rPr>
                <w:rStyle w:val="CharacterStyle9"/>
              </w:rPr>
            </w:pPr>
            <w:r>
              <w:rPr>
                <w:rStyle w:val="CharacterStyle9"/>
              </w:rPr>
              <w:t>8.000,00</w:t>
            </w:r>
          </w:p>
        </w:tc>
        <w:tc>
          <w:tcPr>
            <w:tcW w:w="1395" w:type="dxa"/>
            <w:tcBorders>
              <w:bottom w:val="single" w:sz="6" w:space="0" w:color="000000"/>
              <w:right w:val="single" w:sz="6" w:space="0" w:color="000000"/>
            </w:tcBorders>
            <w:vAlign w:val="center"/>
          </w:tcPr>
          <w:p w14:paraId="118A9C08" w14:textId="77777777" w:rsidR="007D706A" w:rsidRDefault="007D706A" w:rsidP="00F70508">
            <w:pPr>
              <w:pStyle w:val="ParagraphStyle9"/>
              <w:rPr>
                <w:rStyle w:val="CharacterStyle9"/>
              </w:rPr>
            </w:pPr>
            <w:r>
              <w:rPr>
                <w:rStyle w:val="CharacterStyle9"/>
              </w:rPr>
              <w:t>8.000,00</w:t>
            </w:r>
          </w:p>
        </w:tc>
        <w:tc>
          <w:tcPr>
            <w:tcW w:w="1395" w:type="dxa"/>
            <w:tcBorders>
              <w:bottom w:val="single" w:sz="6" w:space="0" w:color="000000"/>
              <w:right w:val="single" w:sz="6" w:space="0" w:color="000000"/>
            </w:tcBorders>
            <w:vAlign w:val="center"/>
          </w:tcPr>
          <w:p w14:paraId="0D90924F" w14:textId="77777777" w:rsidR="007D706A" w:rsidRDefault="007D706A" w:rsidP="00F70508">
            <w:pPr>
              <w:pStyle w:val="ParagraphStyle9"/>
              <w:rPr>
                <w:rStyle w:val="CharacterStyle9"/>
              </w:rPr>
            </w:pPr>
            <w:r>
              <w:rPr>
                <w:rStyle w:val="CharacterStyle9"/>
              </w:rPr>
              <w:t>8.000,00</w:t>
            </w:r>
          </w:p>
        </w:tc>
        <w:tc>
          <w:tcPr>
            <w:tcW w:w="1395" w:type="dxa"/>
            <w:tcBorders>
              <w:bottom w:val="single" w:sz="6" w:space="0" w:color="000000"/>
              <w:right w:val="single" w:sz="6" w:space="0" w:color="000000"/>
            </w:tcBorders>
            <w:vAlign w:val="center"/>
          </w:tcPr>
          <w:p w14:paraId="7E49AB66" w14:textId="77777777" w:rsidR="007D706A" w:rsidRDefault="007D706A" w:rsidP="00F70508">
            <w:pPr>
              <w:pStyle w:val="ParagraphStyle9"/>
              <w:rPr>
                <w:rStyle w:val="CharacterStyle9"/>
              </w:rPr>
            </w:pPr>
            <w:r>
              <w:rPr>
                <w:rStyle w:val="CharacterStyle9"/>
              </w:rPr>
              <w:t>8.000,00</w:t>
            </w:r>
          </w:p>
        </w:tc>
      </w:tr>
      <w:tr w:rsidR="007D706A" w14:paraId="73F3C22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7D65750"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04E0676A"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2FEC0EB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DFC9D8E" w14:textId="77777777" w:rsidR="007D706A" w:rsidRDefault="007D706A" w:rsidP="00F70508">
            <w:pPr>
              <w:pStyle w:val="ParagraphStyle12"/>
              <w:rPr>
                <w:rStyle w:val="CharacterStyle12"/>
              </w:rPr>
            </w:pPr>
            <w:r>
              <w:rPr>
                <w:rStyle w:val="CharacterStyle12"/>
              </w:rPr>
              <w:t>8.000,00</w:t>
            </w:r>
          </w:p>
        </w:tc>
        <w:tc>
          <w:tcPr>
            <w:tcW w:w="1395" w:type="dxa"/>
            <w:tcBorders>
              <w:bottom w:val="single" w:sz="6" w:space="0" w:color="000000"/>
              <w:right w:val="single" w:sz="6" w:space="0" w:color="000000"/>
            </w:tcBorders>
            <w:vAlign w:val="center"/>
          </w:tcPr>
          <w:p w14:paraId="2F3510BA" w14:textId="77777777" w:rsidR="007D706A" w:rsidRDefault="007D706A" w:rsidP="00F70508">
            <w:pPr>
              <w:pStyle w:val="ParagraphStyle12"/>
              <w:rPr>
                <w:rStyle w:val="CharacterStyle12"/>
              </w:rPr>
            </w:pPr>
            <w:r>
              <w:rPr>
                <w:rStyle w:val="CharacterStyle12"/>
              </w:rPr>
              <w:t>8.000,00</w:t>
            </w:r>
          </w:p>
        </w:tc>
        <w:tc>
          <w:tcPr>
            <w:tcW w:w="1395" w:type="dxa"/>
            <w:tcBorders>
              <w:bottom w:val="single" w:sz="6" w:space="0" w:color="000000"/>
              <w:right w:val="single" w:sz="6" w:space="0" w:color="000000"/>
            </w:tcBorders>
            <w:vAlign w:val="center"/>
          </w:tcPr>
          <w:p w14:paraId="21CF75A1" w14:textId="77777777" w:rsidR="007D706A" w:rsidRDefault="007D706A" w:rsidP="00F70508">
            <w:pPr>
              <w:pStyle w:val="ParagraphStyle12"/>
              <w:rPr>
                <w:rStyle w:val="CharacterStyle12"/>
              </w:rPr>
            </w:pPr>
            <w:r>
              <w:rPr>
                <w:rStyle w:val="CharacterStyle12"/>
              </w:rPr>
              <w:t>8.000,00</w:t>
            </w:r>
          </w:p>
        </w:tc>
        <w:tc>
          <w:tcPr>
            <w:tcW w:w="1395" w:type="dxa"/>
            <w:tcBorders>
              <w:bottom w:val="single" w:sz="6" w:space="0" w:color="000000"/>
              <w:right w:val="single" w:sz="6" w:space="0" w:color="000000"/>
            </w:tcBorders>
            <w:vAlign w:val="center"/>
          </w:tcPr>
          <w:p w14:paraId="2EE074F6" w14:textId="77777777" w:rsidR="007D706A" w:rsidRDefault="007D706A" w:rsidP="00F70508">
            <w:pPr>
              <w:pStyle w:val="ParagraphStyle12"/>
              <w:rPr>
                <w:rStyle w:val="CharacterStyle12"/>
              </w:rPr>
            </w:pPr>
            <w:r>
              <w:rPr>
                <w:rStyle w:val="CharacterStyle12"/>
              </w:rPr>
              <w:t>8.000,00</w:t>
            </w:r>
          </w:p>
        </w:tc>
      </w:tr>
      <w:tr w:rsidR="007D706A" w14:paraId="75E1D87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96D3D1E"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1ECEA302"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785047E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AE39AB9" w14:textId="77777777" w:rsidR="007D706A" w:rsidRDefault="007D706A" w:rsidP="00F70508">
            <w:pPr>
              <w:pStyle w:val="ParagraphStyle12"/>
              <w:rPr>
                <w:rStyle w:val="CharacterStyle12"/>
              </w:rPr>
            </w:pPr>
            <w:r>
              <w:rPr>
                <w:rStyle w:val="CharacterStyle12"/>
              </w:rPr>
              <w:t>8.000,00</w:t>
            </w:r>
          </w:p>
        </w:tc>
        <w:tc>
          <w:tcPr>
            <w:tcW w:w="1395" w:type="dxa"/>
            <w:tcBorders>
              <w:bottom w:val="single" w:sz="6" w:space="0" w:color="000000"/>
              <w:right w:val="single" w:sz="6" w:space="0" w:color="000000"/>
            </w:tcBorders>
            <w:vAlign w:val="center"/>
          </w:tcPr>
          <w:p w14:paraId="48B38665" w14:textId="77777777" w:rsidR="007D706A" w:rsidRDefault="007D706A" w:rsidP="00F70508">
            <w:pPr>
              <w:pStyle w:val="ParagraphStyle12"/>
              <w:rPr>
                <w:rStyle w:val="CharacterStyle12"/>
              </w:rPr>
            </w:pPr>
            <w:r>
              <w:rPr>
                <w:rStyle w:val="CharacterStyle12"/>
              </w:rPr>
              <w:t>8.000,00</w:t>
            </w:r>
          </w:p>
        </w:tc>
        <w:tc>
          <w:tcPr>
            <w:tcW w:w="1395" w:type="dxa"/>
            <w:tcBorders>
              <w:bottom w:val="single" w:sz="6" w:space="0" w:color="000000"/>
              <w:right w:val="single" w:sz="6" w:space="0" w:color="000000"/>
            </w:tcBorders>
            <w:vAlign w:val="center"/>
          </w:tcPr>
          <w:p w14:paraId="2A37ACB4" w14:textId="77777777" w:rsidR="007D706A" w:rsidRDefault="007D706A" w:rsidP="00F70508">
            <w:pPr>
              <w:pStyle w:val="ParagraphStyle12"/>
              <w:rPr>
                <w:rStyle w:val="CharacterStyle12"/>
              </w:rPr>
            </w:pPr>
            <w:r>
              <w:rPr>
                <w:rStyle w:val="CharacterStyle12"/>
              </w:rPr>
              <w:t>8.000,00</w:t>
            </w:r>
          </w:p>
        </w:tc>
        <w:tc>
          <w:tcPr>
            <w:tcW w:w="1395" w:type="dxa"/>
            <w:tcBorders>
              <w:bottom w:val="single" w:sz="6" w:space="0" w:color="000000"/>
              <w:right w:val="single" w:sz="6" w:space="0" w:color="000000"/>
            </w:tcBorders>
            <w:vAlign w:val="center"/>
          </w:tcPr>
          <w:p w14:paraId="34E95154" w14:textId="77777777" w:rsidR="007D706A" w:rsidRDefault="007D706A" w:rsidP="00F70508">
            <w:pPr>
              <w:pStyle w:val="ParagraphStyle12"/>
              <w:rPr>
                <w:rStyle w:val="CharacterStyle12"/>
              </w:rPr>
            </w:pPr>
            <w:r>
              <w:rPr>
                <w:rStyle w:val="CharacterStyle12"/>
              </w:rPr>
              <w:t>8.000,00</w:t>
            </w:r>
          </w:p>
        </w:tc>
      </w:tr>
      <w:tr w:rsidR="007D706A" w14:paraId="31692C9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43AE622" w14:textId="77777777" w:rsidR="007D706A" w:rsidRDefault="007D706A" w:rsidP="00F70508">
            <w:pPr>
              <w:pStyle w:val="ParagraphStyle4"/>
              <w:rPr>
                <w:rStyle w:val="CharacterStyle4"/>
              </w:rPr>
            </w:pPr>
            <w:r>
              <w:rPr>
                <w:rStyle w:val="CharacterStyle4"/>
              </w:rPr>
              <w:t>Aktivnost A103508</w:t>
            </w:r>
          </w:p>
        </w:tc>
        <w:tc>
          <w:tcPr>
            <w:tcW w:w="4995" w:type="dxa"/>
            <w:tcBorders>
              <w:bottom w:val="single" w:sz="6" w:space="0" w:color="000000"/>
              <w:right w:val="single" w:sz="6" w:space="0" w:color="000000"/>
            </w:tcBorders>
            <w:vAlign w:val="center"/>
          </w:tcPr>
          <w:p w14:paraId="129BA582" w14:textId="77777777" w:rsidR="007D706A" w:rsidRDefault="007D706A" w:rsidP="00F70508">
            <w:pPr>
              <w:pStyle w:val="ParagraphStyle5"/>
              <w:rPr>
                <w:rStyle w:val="CharacterStyle5"/>
              </w:rPr>
            </w:pPr>
            <w:r>
              <w:rPr>
                <w:rStyle w:val="CharacterStyle5"/>
              </w:rPr>
              <w:t>POMOĆNICI ZA DJECU S TEŠKOĆAMA U RAZVOJU</w:t>
            </w:r>
          </w:p>
        </w:tc>
        <w:tc>
          <w:tcPr>
            <w:tcW w:w="1395" w:type="dxa"/>
            <w:tcBorders>
              <w:bottom w:val="single" w:sz="6" w:space="0" w:color="000000"/>
              <w:right w:val="single" w:sz="6" w:space="0" w:color="000000"/>
            </w:tcBorders>
            <w:vAlign w:val="center"/>
          </w:tcPr>
          <w:p w14:paraId="78292924"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5E1C3DC4" w14:textId="77777777" w:rsidR="007D706A" w:rsidRDefault="007D706A" w:rsidP="00F70508">
            <w:pPr>
              <w:pStyle w:val="ParagraphStyle6"/>
              <w:rPr>
                <w:rStyle w:val="CharacterStyle6"/>
              </w:rPr>
            </w:pPr>
            <w:r>
              <w:rPr>
                <w:rStyle w:val="CharacterStyle6"/>
              </w:rPr>
              <w:t>20.000,00</w:t>
            </w:r>
          </w:p>
        </w:tc>
        <w:tc>
          <w:tcPr>
            <w:tcW w:w="1395" w:type="dxa"/>
            <w:tcBorders>
              <w:bottom w:val="single" w:sz="6" w:space="0" w:color="000000"/>
              <w:right w:val="single" w:sz="6" w:space="0" w:color="000000"/>
            </w:tcBorders>
            <w:vAlign w:val="center"/>
          </w:tcPr>
          <w:p w14:paraId="7C7A736C" w14:textId="77777777" w:rsidR="007D706A" w:rsidRDefault="007D706A" w:rsidP="00F70508">
            <w:pPr>
              <w:pStyle w:val="ParagraphStyle6"/>
              <w:rPr>
                <w:rStyle w:val="CharacterStyle6"/>
              </w:rPr>
            </w:pPr>
            <w:r>
              <w:rPr>
                <w:rStyle w:val="CharacterStyle6"/>
              </w:rPr>
              <w:t>18.000,00</w:t>
            </w:r>
          </w:p>
        </w:tc>
        <w:tc>
          <w:tcPr>
            <w:tcW w:w="1395" w:type="dxa"/>
            <w:tcBorders>
              <w:bottom w:val="single" w:sz="6" w:space="0" w:color="000000"/>
              <w:right w:val="single" w:sz="6" w:space="0" w:color="000000"/>
            </w:tcBorders>
            <w:vAlign w:val="center"/>
          </w:tcPr>
          <w:p w14:paraId="00AAF3AB" w14:textId="77777777" w:rsidR="007D706A" w:rsidRDefault="007D706A" w:rsidP="00F70508">
            <w:pPr>
              <w:pStyle w:val="ParagraphStyle6"/>
              <w:rPr>
                <w:rStyle w:val="CharacterStyle6"/>
              </w:rPr>
            </w:pPr>
            <w:r>
              <w:rPr>
                <w:rStyle w:val="CharacterStyle6"/>
              </w:rPr>
              <w:t>20.000,00</w:t>
            </w:r>
          </w:p>
        </w:tc>
        <w:tc>
          <w:tcPr>
            <w:tcW w:w="1395" w:type="dxa"/>
            <w:tcBorders>
              <w:bottom w:val="single" w:sz="6" w:space="0" w:color="000000"/>
              <w:right w:val="single" w:sz="6" w:space="0" w:color="000000"/>
            </w:tcBorders>
            <w:vAlign w:val="center"/>
          </w:tcPr>
          <w:p w14:paraId="39529D4C" w14:textId="77777777" w:rsidR="007D706A" w:rsidRDefault="007D706A" w:rsidP="00F70508">
            <w:pPr>
              <w:pStyle w:val="ParagraphStyle6"/>
              <w:rPr>
                <w:rStyle w:val="CharacterStyle6"/>
              </w:rPr>
            </w:pPr>
            <w:r>
              <w:rPr>
                <w:rStyle w:val="CharacterStyle6"/>
              </w:rPr>
              <w:t>20.000,00</w:t>
            </w:r>
          </w:p>
        </w:tc>
      </w:tr>
      <w:tr w:rsidR="007D706A" w14:paraId="4A2513E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AE0D388"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0E1FDC1B"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774BA729"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C58C84E" w14:textId="77777777" w:rsidR="007D706A" w:rsidRDefault="007D706A" w:rsidP="00F70508">
            <w:pPr>
              <w:pStyle w:val="ParagraphStyle9"/>
              <w:rPr>
                <w:rStyle w:val="CharacterStyle9"/>
              </w:rPr>
            </w:pPr>
            <w:r>
              <w:rPr>
                <w:rStyle w:val="CharacterStyle9"/>
              </w:rPr>
              <w:t>20.000,00</w:t>
            </w:r>
          </w:p>
        </w:tc>
        <w:tc>
          <w:tcPr>
            <w:tcW w:w="1395" w:type="dxa"/>
            <w:tcBorders>
              <w:bottom w:val="single" w:sz="6" w:space="0" w:color="000000"/>
              <w:right w:val="single" w:sz="6" w:space="0" w:color="000000"/>
            </w:tcBorders>
            <w:vAlign w:val="center"/>
          </w:tcPr>
          <w:p w14:paraId="65092E47" w14:textId="77777777" w:rsidR="007D706A" w:rsidRDefault="007D706A" w:rsidP="00F70508">
            <w:pPr>
              <w:pStyle w:val="ParagraphStyle9"/>
              <w:rPr>
                <w:rStyle w:val="CharacterStyle9"/>
              </w:rPr>
            </w:pPr>
            <w:r>
              <w:rPr>
                <w:rStyle w:val="CharacterStyle9"/>
              </w:rPr>
              <w:t>18.000,00</w:t>
            </w:r>
          </w:p>
        </w:tc>
        <w:tc>
          <w:tcPr>
            <w:tcW w:w="1395" w:type="dxa"/>
            <w:tcBorders>
              <w:bottom w:val="single" w:sz="6" w:space="0" w:color="000000"/>
              <w:right w:val="single" w:sz="6" w:space="0" w:color="000000"/>
            </w:tcBorders>
            <w:vAlign w:val="center"/>
          </w:tcPr>
          <w:p w14:paraId="2C4140BF" w14:textId="77777777" w:rsidR="007D706A" w:rsidRDefault="007D706A" w:rsidP="00F70508">
            <w:pPr>
              <w:pStyle w:val="ParagraphStyle9"/>
              <w:rPr>
                <w:rStyle w:val="CharacterStyle9"/>
              </w:rPr>
            </w:pPr>
            <w:r>
              <w:rPr>
                <w:rStyle w:val="CharacterStyle9"/>
              </w:rPr>
              <w:t>20.000,00</w:t>
            </w:r>
          </w:p>
        </w:tc>
        <w:tc>
          <w:tcPr>
            <w:tcW w:w="1395" w:type="dxa"/>
            <w:tcBorders>
              <w:bottom w:val="single" w:sz="6" w:space="0" w:color="000000"/>
              <w:right w:val="single" w:sz="6" w:space="0" w:color="000000"/>
            </w:tcBorders>
            <w:vAlign w:val="center"/>
          </w:tcPr>
          <w:p w14:paraId="5E5DA8E4" w14:textId="77777777" w:rsidR="007D706A" w:rsidRDefault="007D706A" w:rsidP="00F70508">
            <w:pPr>
              <w:pStyle w:val="ParagraphStyle9"/>
              <w:rPr>
                <w:rStyle w:val="CharacterStyle9"/>
              </w:rPr>
            </w:pPr>
            <w:r>
              <w:rPr>
                <w:rStyle w:val="CharacterStyle9"/>
              </w:rPr>
              <w:t>20.000,00</w:t>
            </w:r>
          </w:p>
        </w:tc>
      </w:tr>
      <w:tr w:rsidR="007D706A" w14:paraId="339B3E0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B7AA140"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7A88DD87"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6FA7769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67E0E2D" w14:textId="77777777" w:rsidR="007D706A" w:rsidRDefault="007D706A" w:rsidP="00F70508">
            <w:pPr>
              <w:pStyle w:val="ParagraphStyle12"/>
              <w:rPr>
                <w:rStyle w:val="CharacterStyle12"/>
              </w:rPr>
            </w:pPr>
            <w:r>
              <w:rPr>
                <w:rStyle w:val="CharacterStyle12"/>
              </w:rPr>
              <w:t>20.000,00</w:t>
            </w:r>
          </w:p>
        </w:tc>
        <w:tc>
          <w:tcPr>
            <w:tcW w:w="1395" w:type="dxa"/>
            <w:tcBorders>
              <w:bottom w:val="single" w:sz="6" w:space="0" w:color="000000"/>
              <w:right w:val="single" w:sz="6" w:space="0" w:color="000000"/>
            </w:tcBorders>
            <w:vAlign w:val="center"/>
          </w:tcPr>
          <w:p w14:paraId="2CF27D2F" w14:textId="77777777" w:rsidR="007D706A" w:rsidRDefault="007D706A" w:rsidP="00F70508">
            <w:pPr>
              <w:pStyle w:val="ParagraphStyle12"/>
              <w:rPr>
                <w:rStyle w:val="CharacterStyle12"/>
              </w:rPr>
            </w:pPr>
            <w:r>
              <w:rPr>
                <w:rStyle w:val="CharacterStyle12"/>
              </w:rPr>
              <w:t>18.000,00</w:t>
            </w:r>
          </w:p>
        </w:tc>
        <w:tc>
          <w:tcPr>
            <w:tcW w:w="1395" w:type="dxa"/>
            <w:tcBorders>
              <w:bottom w:val="single" w:sz="6" w:space="0" w:color="000000"/>
              <w:right w:val="single" w:sz="6" w:space="0" w:color="000000"/>
            </w:tcBorders>
            <w:vAlign w:val="center"/>
          </w:tcPr>
          <w:p w14:paraId="6DB94DB0" w14:textId="77777777" w:rsidR="007D706A" w:rsidRDefault="007D706A" w:rsidP="00F70508">
            <w:pPr>
              <w:pStyle w:val="ParagraphStyle12"/>
              <w:rPr>
                <w:rStyle w:val="CharacterStyle12"/>
              </w:rPr>
            </w:pPr>
            <w:r>
              <w:rPr>
                <w:rStyle w:val="CharacterStyle12"/>
              </w:rPr>
              <w:t>20.000,00</w:t>
            </w:r>
          </w:p>
        </w:tc>
        <w:tc>
          <w:tcPr>
            <w:tcW w:w="1395" w:type="dxa"/>
            <w:tcBorders>
              <w:bottom w:val="single" w:sz="6" w:space="0" w:color="000000"/>
              <w:right w:val="single" w:sz="6" w:space="0" w:color="000000"/>
            </w:tcBorders>
            <w:vAlign w:val="center"/>
          </w:tcPr>
          <w:p w14:paraId="78E63C11" w14:textId="77777777" w:rsidR="007D706A" w:rsidRDefault="007D706A" w:rsidP="00F70508">
            <w:pPr>
              <w:pStyle w:val="ParagraphStyle12"/>
              <w:rPr>
                <w:rStyle w:val="CharacterStyle12"/>
              </w:rPr>
            </w:pPr>
            <w:r>
              <w:rPr>
                <w:rStyle w:val="CharacterStyle12"/>
              </w:rPr>
              <w:t>20.000,00</w:t>
            </w:r>
          </w:p>
        </w:tc>
      </w:tr>
      <w:tr w:rsidR="007D706A" w14:paraId="27A24F6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5A68081"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3F9CD464"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7E8CE00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D7AAB34" w14:textId="77777777" w:rsidR="007D706A" w:rsidRDefault="007D706A" w:rsidP="00F70508">
            <w:pPr>
              <w:pStyle w:val="ParagraphStyle12"/>
              <w:rPr>
                <w:rStyle w:val="CharacterStyle12"/>
              </w:rPr>
            </w:pPr>
            <w:r>
              <w:rPr>
                <w:rStyle w:val="CharacterStyle12"/>
              </w:rPr>
              <w:t>20.000,00</w:t>
            </w:r>
          </w:p>
        </w:tc>
        <w:tc>
          <w:tcPr>
            <w:tcW w:w="1395" w:type="dxa"/>
            <w:tcBorders>
              <w:bottom w:val="single" w:sz="6" w:space="0" w:color="000000"/>
              <w:right w:val="single" w:sz="6" w:space="0" w:color="000000"/>
            </w:tcBorders>
            <w:vAlign w:val="center"/>
          </w:tcPr>
          <w:p w14:paraId="6606DB1B" w14:textId="77777777" w:rsidR="007D706A" w:rsidRDefault="007D706A" w:rsidP="00F70508">
            <w:pPr>
              <w:pStyle w:val="ParagraphStyle12"/>
              <w:rPr>
                <w:rStyle w:val="CharacterStyle12"/>
              </w:rPr>
            </w:pPr>
            <w:r>
              <w:rPr>
                <w:rStyle w:val="CharacterStyle12"/>
              </w:rPr>
              <w:t>18.000,00</w:t>
            </w:r>
          </w:p>
        </w:tc>
        <w:tc>
          <w:tcPr>
            <w:tcW w:w="1395" w:type="dxa"/>
            <w:tcBorders>
              <w:bottom w:val="single" w:sz="6" w:space="0" w:color="000000"/>
              <w:right w:val="single" w:sz="6" w:space="0" w:color="000000"/>
            </w:tcBorders>
            <w:vAlign w:val="center"/>
          </w:tcPr>
          <w:p w14:paraId="30108655" w14:textId="77777777" w:rsidR="007D706A" w:rsidRDefault="007D706A" w:rsidP="00F70508">
            <w:pPr>
              <w:pStyle w:val="ParagraphStyle12"/>
              <w:rPr>
                <w:rStyle w:val="CharacterStyle12"/>
              </w:rPr>
            </w:pPr>
            <w:r>
              <w:rPr>
                <w:rStyle w:val="CharacterStyle12"/>
              </w:rPr>
              <w:t>20.000,00</w:t>
            </w:r>
          </w:p>
        </w:tc>
        <w:tc>
          <w:tcPr>
            <w:tcW w:w="1395" w:type="dxa"/>
            <w:tcBorders>
              <w:bottom w:val="single" w:sz="6" w:space="0" w:color="000000"/>
              <w:right w:val="single" w:sz="6" w:space="0" w:color="000000"/>
            </w:tcBorders>
            <w:vAlign w:val="center"/>
          </w:tcPr>
          <w:p w14:paraId="04FE3776" w14:textId="77777777" w:rsidR="007D706A" w:rsidRDefault="007D706A" w:rsidP="00F70508">
            <w:pPr>
              <w:pStyle w:val="ParagraphStyle12"/>
              <w:rPr>
                <w:rStyle w:val="CharacterStyle12"/>
              </w:rPr>
            </w:pPr>
            <w:r>
              <w:rPr>
                <w:rStyle w:val="CharacterStyle12"/>
              </w:rPr>
              <w:t>20.000,00</w:t>
            </w:r>
          </w:p>
        </w:tc>
      </w:tr>
      <w:tr w:rsidR="007D706A" w14:paraId="4205A23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8CD22B3" w14:textId="77777777" w:rsidR="007D706A" w:rsidRDefault="007D706A" w:rsidP="00F70508">
            <w:pPr>
              <w:pStyle w:val="ParagraphStyle4"/>
              <w:rPr>
                <w:rStyle w:val="CharacterStyle4"/>
              </w:rPr>
            </w:pPr>
            <w:r>
              <w:rPr>
                <w:rStyle w:val="CharacterStyle4"/>
              </w:rPr>
              <w:t>Aktivnost A103509</w:t>
            </w:r>
          </w:p>
        </w:tc>
        <w:tc>
          <w:tcPr>
            <w:tcW w:w="4995" w:type="dxa"/>
            <w:tcBorders>
              <w:bottom w:val="single" w:sz="6" w:space="0" w:color="000000"/>
              <w:right w:val="single" w:sz="6" w:space="0" w:color="000000"/>
            </w:tcBorders>
            <w:vAlign w:val="center"/>
          </w:tcPr>
          <w:p w14:paraId="10B8DF4F" w14:textId="77777777" w:rsidR="007D706A" w:rsidRDefault="007D706A" w:rsidP="00F70508">
            <w:pPr>
              <w:pStyle w:val="ParagraphStyle5"/>
              <w:rPr>
                <w:rStyle w:val="CharacterStyle5"/>
              </w:rPr>
            </w:pPr>
            <w:r>
              <w:rPr>
                <w:rStyle w:val="CharacterStyle5"/>
              </w:rPr>
              <w:t>PROGRAM PREDŠKOLE</w:t>
            </w:r>
          </w:p>
        </w:tc>
        <w:tc>
          <w:tcPr>
            <w:tcW w:w="1395" w:type="dxa"/>
            <w:tcBorders>
              <w:bottom w:val="single" w:sz="6" w:space="0" w:color="000000"/>
              <w:right w:val="single" w:sz="6" w:space="0" w:color="000000"/>
            </w:tcBorders>
            <w:vAlign w:val="center"/>
          </w:tcPr>
          <w:p w14:paraId="1F5B889B"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159470E9" w14:textId="77777777" w:rsidR="007D706A" w:rsidRDefault="007D706A" w:rsidP="00F70508">
            <w:pPr>
              <w:pStyle w:val="ParagraphStyle6"/>
              <w:rPr>
                <w:rStyle w:val="CharacterStyle6"/>
              </w:rPr>
            </w:pPr>
            <w:r>
              <w:rPr>
                <w:rStyle w:val="CharacterStyle6"/>
              </w:rPr>
              <w:t>9.500,00</w:t>
            </w:r>
          </w:p>
        </w:tc>
        <w:tc>
          <w:tcPr>
            <w:tcW w:w="1395" w:type="dxa"/>
            <w:tcBorders>
              <w:bottom w:val="single" w:sz="6" w:space="0" w:color="000000"/>
              <w:right w:val="single" w:sz="6" w:space="0" w:color="000000"/>
            </w:tcBorders>
            <w:vAlign w:val="center"/>
          </w:tcPr>
          <w:p w14:paraId="7ABC62DF" w14:textId="77777777" w:rsidR="007D706A" w:rsidRDefault="007D706A" w:rsidP="00F70508">
            <w:pPr>
              <w:pStyle w:val="ParagraphStyle6"/>
              <w:rPr>
                <w:rStyle w:val="CharacterStyle6"/>
              </w:rPr>
            </w:pPr>
            <w:r>
              <w:rPr>
                <w:rStyle w:val="CharacterStyle6"/>
              </w:rPr>
              <w:t>10.000,00</w:t>
            </w:r>
          </w:p>
        </w:tc>
        <w:tc>
          <w:tcPr>
            <w:tcW w:w="1395" w:type="dxa"/>
            <w:tcBorders>
              <w:bottom w:val="single" w:sz="6" w:space="0" w:color="000000"/>
              <w:right w:val="single" w:sz="6" w:space="0" w:color="000000"/>
            </w:tcBorders>
            <w:vAlign w:val="center"/>
          </w:tcPr>
          <w:p w14:paraId="282A091D" w14:textId="77777777" w:rsidR="007D706A" w:rsidRDefault="007D706A" w:rsidP="00F70508">
            <w:pPr>
              <w:pStyle w:val="ParagraphStyle6"/>
              <w:rPr>
                <w:rStyle w:val="CharacterStyle6"/>
              </w:rPr>
            </w:pPr>
            <w:r>
              <w:rPr>
                <w:rStyle w:val="CharacterStyle6"/>
              </w:rPr>
              <w:t>10.000,00</w:t>
            </w:r>
          </w:p>
        </w:tc>
        <w:tc>
          <w:tcPr>
            <w:tcW w:w="1395" w:type="dxa"/>
            <w:tcBorders>
              <w:bottom w:val="single" w:sz="6" w:space="0" w:color="000000"/>
              <w:right w:val="single" w:sz="6" w:space="0" w:color="000000"/>
            </w:tcBorders>
            <w:vAlign w:val="center"/>
          </w:tcPr>
          <w:p w14:paraId="6FAC5A00" w14:textId="77777777" w:rsidR="007D706A" w:rsidRDefault="007D706A" w:rsidP="00F70508">
            <w:pPr>
              <w:pStyle w:val="ParagraphStyle6"/>
              <w:rPr>
                <w:rStyle w:val="CharacterStyle6"/>
              </w:rPr>
            </w:pPr>
            <w:r>
              <w:rPr>
                <w:rStyle w:val="CharacterStyle6"/>
              </w:rPr>
              <w:t>10.000,00</w:t>
            </w:r>
          </w:p>
        </w:tc>
      </w:tr>
      <w:tr w:rsidR="007D706A" w14:paraId="2221606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D2E0242" w14:textId="77777777" w:rsidR="007D706A" w:rsidRDefault="007D706A" w:rsidP="00F70508">
            <w:pPr>
              <w:pStyle w:val="ParagraphStyle7"/>
              <w:rPr>
                <w:rStyle w:val="CharacterStyle7"/>
              </w:rPr>
            </w:pPr>
            <w:r>
              <w:rPr>
                <w:rStyle w:val="CharacterStyle7"/>
              </w:rPr>
              <w:t>Izvor financiranja 50</w:t>
            </w:r>
          </w:p>
        </w:tc>
        <w:tc>
          <w:tcPr>
            <w:tcW w:w="4995" w:type="dxa"/>
            <w:tcBorders>
              <w:bottom w:val="single" w:sz="6" w:space="0" w:color="000000"/>
              <w:right w:val="single" w:sz="6" w:space="0" w:color="000000"/>
            </w:tcBorders>
            <w:vAlign w:val="center"/>
          </w:tcPr>
          <w:p w14:paraId="191980BC" w14:textId="77777777" w:rsidR="007D706A" w:rsidRDefault="007D706A" w:rsidP="00F70508">
            <w:pPr>
              <w:pStyle w:val="ParagraphStyle8"/>
              <w:rPr>
                <w:rStyle w:val="CharacterStyle8"/>
              </w:rPr>
            </w:pPr>
            <w:r>
              <w:rPr>
                <w:rStyle w:val="CharacterStyle8"/>
              </w:rPr>
              <w:t>Pomoći iz državnog proračuna</w:t>
            </w:r>
          </w:p>
        </w:tc>
        <w:tc>
          <w:tcPr>
            <w:tcW w:w="1395" w:type="dxa"/>
            <w:tcBorders>
              <w:bottom w:val="single" w:sz="6" w:space="0" w:color="000000"/>
              <w:right w:val="single" w:sz="6" w:space="0" w:color="000000"/>
            </w:tcBorders>
            <w:vAlign w:val="center"/>
          </w:tcPr>
          <w:p w14:paraId="026C6F5D"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4F8E5B4"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B90F699" w14:textId="77777777" w:rsidR="007D706A" w:rsidRDefault="007D706A" w:rsidP="00F70508">
            <w:pPr>
              <w:pStyle w:val="ParagraphStyle9"/>
              <w:rPr>
                <w:rStyle w:val="CharacterStyle9"/>
              </w:rPr>
            </w:pPr>
            <w:r>
              <w:rPr>
                <w:rStyle w:val="CharacterStyle9"/>
              </w:rPr>
              <w:t>10.000,00</w:t>
            </w:r>
          </w:p>
        </w:tc>
        <w:tc>
          <w:tcPr>
            <w:tcW w:w="1395" w:type="dxa"/>
            <w:tcBorders>
              <w:bottom w:val="single" w:sz="6" w:space="0" w:color="000000"/>
              <w:right w:val="single" w:sz="6" w:space="0" w:color="000000"/>
            </w:tcBorders>
            <w:vAlign w:val="center"/>
          </w:tcPr>
          <w:p w14:paraId="73510BA5" w14:textId="77777777" w:rsidR="007D706A" w:rsidRDefault="007D706A" w:rsidP="00F70508">
            <w:pPr>
              <w:pStyle w:val="ParagraphStyle9"/>
              <w:rPr>
                <w:rStyle w:val="CharacterStyle9"/>
              </w:rPr>
            </w:pPr>
            <w:r>
              <w:rPr>
                <w:rStyle w:val="CharacterStyle9"/>
              </w:rPr>
              <w:t>10.000,00</w:t>
            </w:r>
          </w:p>
        </w:tc>
        <w:tc>
          <w:tcPr>
            <w:tcW w:w="1395" w:type="dxa"/>
            <w:tcBorders>
              <w:bottom w:val="single" w:sz="6" w:space="0" w:color="000000"/>
              <w:right w:val="single" w:sz="6" w:space="0" w:color="000000"/>
            </w:tcBorders>
            <w:vAlign w:val="center"/>
          </w:tcPr>
          <w:p w14:paraId="07389E66" w14:textId="77777777" w:rsidR="007D706A" w:rsidRDefault="007D706A" w:rsidP="00F70508">
            <w:pPr>
              <w:pStyle w:val="ParagraphStyle9"/>
              <w:rPr>
                <w:rStyle w:val="CharacterStyle9"/>
              </w:rPr>
            </w:pPr>
            <w:r>
              <w:rPr>
                <w:rStyle w:val="CharacterStyle9"/>
              </w:rPr>
              <w:t>10.000,00</w:t>
            </w:r>
          </w:p>
        </w:tc>
      </w:tr>
      <w:tr w:rsidR="007D706A" w14:paraId="67B75C4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57D50B2"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638DBCB7"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4F8DA2A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7A5C94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E27256B" w14:textId="77777777" w:rsidR="007D706A" w:rsidRDefault="007D706A" w:rsidP="00F70508">
            <w:pPr>
              <w:pStyle w:val="ParagraphStyle12"/>
              <w:rPr>
                <w:rStyle w:val="CharacterStyle12"/>
              </w:rPr>
            </w:pPr>
            <w:r>
              <w:rPr>
                <w:rStyle w:val="CharacterStyle12"/>
              </w:rPr>
              <w:t>10.000,00</w:t>
            </w:r>
          </w:p>
        </w:tc>
        <w:tc>
          <w:tcPr>
            <w:tcW w:w="1395" w:type="dxa"/>
            <w:tcBorders>
              <w:bottom w:val="single" w:sz="6" w:space="0" w:color="000000"/>
              <w:right w:val="single" w:sz="6" w:space="0" w:color="000000"/>
            </w:tcBorders>
            <w:vAlign w:val="center"/>
          </w:tcPr>
          <w:p w14:paraId="3ED37368" w14:textId="77777777" w:rsidR="007D706A" w:rsidRDefault="007D706A" w:rsidP="00F70508">
            <w:pPr>
              <w:pStyle w:val="ParagraphStyle12"/>
              <w:rPr>
                <w:rStyle w:val="CharacterStyle12"/>
              </w:rPr>
            </w:pPr>
            <w:r>
              <w:rPr>
                <w:rStyle w:val="CharacterStyle12"/>
              </w:rPr>
              <w:t>10.000,00</w:t>
            </w:r>
          </w:p>
        </w:tc>
        <w:tc>
          <w:tcPr>
            <w:tcW w:w="1395" w:type="dxa"/>
            <w:tcBorders>
              <w:bottom w:val="single" w:sz="6" w:space="0" w:color="000000"/>
              <w:right w:val="single" w:sz="6" w:space="0" w:color="000000"/>
            </w:tcBorders>
            <w:vAlign w:val="center"/>
          </w:tcPr>
          <w:p w14:paraId="50FF283C" w14:textId="77777777" w:rsidR="007D706A" w:rsidRDefault="007D706A" w:rsidP="00F70508">
            <w:pPr>
              <w:pStyle w:val="ParagraphStyle12"/>
              <w:rPr>
                <w:rStyle w:val="CharacterStyle12"/>
              </w:rPr>
            </w:pPr>
            <w:r>
              <w:rPr>
                <w:rStyle w:val="CharacterStyle12"/>
              </w:rPr>
              <w:t>10.000,00</w:t>
            </w:r>
          </w:p>
        </w:tc>
      </w:tr>
      <w:tr w:rsidR="007D706A" w14:paraId="4C78907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05B67B6"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4DA65DC6"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026858A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81E2A8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853574A" w14:textId="77777777" w:rsidR="007D706A" w:rsidRDefault="007D706A" w:rsidP="00F70508">
            <w:pPr>
              <w:pStyle w:val="ParagraphStyle12"/>
              <w:rPr>
                <w:rStyle w:val="CharacterStyle12"/>
              </w:rPr>
            </w:pPr>
            <w:r>
              <w:rPr>
                <w:rStyle w:val="CharacterStyle12"/>
              </w:rPr>
              <w:t>10.000,00</w:t>
            </w:r>
          </w:p>
        </w:tc>
        <w:tc>
          <w:tcPr>
            <w:tcW w:w="1395" w:type="dxa"/>
            <w:tcBorders>
              <w:bottom w:val="single" w:sz="6" w:space="0" w:color="000000"/>
              <w:right w:val="single" w:sz="6" w:space="0" w:color="000000"/>
            </w:tcBorders>
            <w:vAlign w:val="center"/>
          </w:tcPr>
          <w:p w14:paraId="70488A38" w14:textId="77777777" w:rsidR="007D706A" w:rsidRDefault="007D706A" w:rsidP="00F70508">
            <w:pPr>
              <w:pStyle w:val="ParagraphStyle12"/>
              <w:rPr>
                <w:rStyle w:val="CharacterStyle12"/>
              </w:rPr>
            </w:pPr>
            <w:r>
              <w:rPr>
                <w:rStyle w:val="CharacterStyle12"/>
              </w:rPr>
              <w:t>10.000,00</w:t>
            </w:r>
          </w:p>
        </w:tc>
        <w:tc>
          <w:tcPr>
            <w:tcW w:w="1395" w:type="dxa"/>
            <w:tcBorders>
              <w:bottom w:val="single" w:sz="6" w:space="0" w:color="000000"/>
              <w:right w:val="single" w:sz="6" w:space="0" w:color="000000"/>
            </w:tcBorders>
            <w:vAlign w:val="center"/>
          </w:tcPr>
          <w:p w14:paraId="29EB8C78" w14:textId="77777777" w:rsidR="007D706A" w:rsidRDefault="007D706A" w:rsidP="00F70508">
            <w:pPr>
              <w:pStyle w:val="ParagraphStyle12"/>
              <w:rPr>
                <w:rStyle w:val="CharacterStyle12"/>
              </w:rPr>
            </w:pPr>
            <w:r>
              <w:rPr>
                <w:rStyle w:val="CharacterStyle12"/>
              </w:rPr>
              <w:t>10.000,00</w:t>
            </w:r>
          </w:p>
        </w:tc>
      </w:tr>
      <w:tr w:rsidR="007D706A" w14:paraId="1C940C3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84AF9E6" w14:textId="77777777" w:rsidR="007D706A" w:rsidRDefault="007D706A" w:rsidP="00F70508">
            <w:pPr>
              <w:pStyle w:val="ParagraphStyle7"/>
              <w:rPr>
                <w:rStyle w:val="CharacterStyle7"/>
              </w:rPr>
            </w:pPr>
            <w:r>
              <w:rPr>
                <w:rStyle w:val="CharacterStyle7"/>
              </w:rPr>
              <w:t>Izvor financiranja 53</w:t>
            </w:r>
          </w:p>
        </w:tc>
        <w:tc>
          <w:tcPr>
            <w:tcW w:w="4995" w:type="dxa"/>
            <w:tcBorders>
              <w:bottom w:val="single" w:sz="6" w:space="0" w:color="000000"/>
              <w:right w:val="single" w:sz="6" w:space="0" w:color="000000"/>
            </w:tcBorders>
            <w:vAlign w:val="center"/>
          </w:tcPr>
          <w:p w14:paraId="7F61D021" w14:textId="77777777" w:rsidR="007D706A" w:rsidRDefault="007D706A" w:rsidP="00F70508">
            <w:pPr>
              <w:pStyle w:val="ParagraphStyle8"/>
              <w:rPr>
                <w:rStyle w:val="CharacterStyle8"/>
              </w:rPr>
            </w:pPr>
            <w:r>
              <w:rPr>
                <w:rStyle w:val="CharacterStyle8"/>
              </w:rPr>
              <w:t>Proračuni, drugi nivoi - za posebne i / ili ugovorene namjene</w:t>
            </w:r>
          </w:p>
        </w:tc>
        <w:tc>
          <w:tcPr>
            <w:tcW w:w="1395" w:type="dxa"/>
            <w:tcBorders>
              <w:bottom w:val="single" w:sz="6" w:space="0" w:color="000000"/>
              <w:right w:val="single" w:sz="6" w:space="0" w:color="000000"/>
            </w:tcBorders>
            <w:vAlign w:val="center"/>
          </w:tcPr>
          <w:p w14:paraId="667A918D"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72EA8F7" w14:textId="77777777" w:rsidR="007D706A" w:rsidRDefault="007D706A" w:rsidP="00F70508">
            <w:pPr>
              <w:pStyle w:val="ParagraphStyle9"/>
              <w:rPr>
                <w:rStyle w:val="CharacterStyle9"/>
              </w:rPr>
            </w:pPr>
            <w:r>
              <w:rPr>
                <w:rStyle w:val="CharacterStyle9"/>
              </w:rPr>
              <w:t>9.500,00</w:t>
            </w:r>
          </w:p>
        </w:tc>
        <w:tc>
          <w:tcPr>
            <w:tcW w:w="1395" w:type="dxa"/>
            <w:tcBorders>
              <w:bottom w:val="single" w:sz="6" w:space="0" w:color="000000"/>
              <w:right w:val="single" w:sz="6" w:space="0" w:color="000000"/>
            </w:tcBorders>
            <w:vAlign w:val="center"/>
          </w:tcPr>
          <w:p w14:paraId="2414BDEF"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AC74820"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A26C658" w14:textId="77777777" w:rsidR="007D706A" w:rsidRDefault="007D706A" w:rsidP="00F70508">
            <w:pPr>
              <w:pStyle w:val="ParagraphStyle9"/>
              <w:rPr>
                <w:rStyle w:val="CharacterStyle9"/>
              </w:rPr>
            </w:pPr>
            <w:r>
              <w:rPr>
                <w:rStyle w:val="CharacterStyle9"/>
              </w:rPr>
              <w:t>0,00</w:t>
            </w:r>
          </w:p>
        </w:tc>
      </w:tr>
      <w:tr w:rsidR="007D706A" w14:paraId="2341B18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6A46EB1"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1D3773AA"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735D01D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21D9BEE" w14:textId="77777777" w:rsidR="007D706A" w:rsidRDefault="007D706A" w:rsidP="00F70508">
            <w:pPr>
              <w:pStyle w:val="ParagraphStyle12"/>
              <w:rPr>
                <w:rStyle w:val="CharacterStyle12"/>
              </w:rPr>
            </w:pPr>
            <w:r>
              <w:rPr>
                <w:rStyle w:val="CharacterStyle12"/>
              </w:rPr>
              <w:t>9.500,00</w:t>
            </w:r>
          </w:p>
        </w:tc>
        <w:tc>
          <w:tcPr>
            <w:tcW w:w="1395" w:type="dxa"/>
            <w:tcBorders>
              <w:bottom w:val="single" w:sz="6" w:space="0" w:color="000000"/>
              <w:right w:val="single" w:sz="6" w:space="0" w:color="000000"/>
            </w:tcBorders>
            <w:vAlign w:val="center"/>
          </w:tcPr>
          <w:p w14:paraId="54F3E41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B81E5A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154F4D7" w14:textId="77777777" w:rsidR="007D706A" w:rsidRDefault="007D706A" w:rsidP="00F70508">
            <w:pPr>
              <w:pStyle w:val="ParagraphStyle12"/>
              <w:rPr>
                <w:rStyle w:val="CharacterStyle12"/>
              </w:rPr>
            </w:pPr>
            <w:r>
              <w:rPr>
                <w:rStyle w:val="CharacterStyle12"/>
              </w:rPr>
              <w:t>0,00</w:t>
            </w:r>
          </w:p>
        </w:tc>
      </w:tr>
      <w:tr w:rsidR="007D706A" w14:paraId="7D9B6B8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A443E38"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1713AA56"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687A5D5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95C9480" w14:textId="77777777" w:rsidR="007D706A" w:rsidRDefault="007D706A" w:rsidP="00F70508">
            <w:pPr>
              <w:pStyle w:val="ParagraphStyle12"/>
              <w:rPr>
                <w:rStyle w:val="CharacterStyle12"/>
              </w:rPr>
            </w:pPr>
            <w:r>
              <w:rPr>
                <w:rStyle w:val="CharacterStyle12"/>
              </w:rPr>
              <w:t>9.500,00</w:t>
            </w:r>
          </w:p>
        </w:tc>
        <w:tc>
          <w:tcPr>
            <w:tcW w:w="1395" w:type="dxa"/>
            <w:tcBorders>
              <w:bottom w:val="single" w:sz="6" w:space="0" w:color="000000"/>
              <w:right w:val="single" w:sz="6" w:space="0" w:color="000000"/>
            </w:tcBorders>
            <w:vAlign w:val="center"/>
          </w:tcPr>
          <w:p w14:paraId="2FB9B29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20423C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3DCEDCB" w14:textId="77777777" w:rsidR="007D706A" w:rsidRDefault="007D706A" w:rsidP="00F70508">
            <w:pPr>
              <w:pStyle w:val="ParagraphStyle12"/>
              <w:rPr>
                <w:rStyle w:val="CharacterStyle12"/>
              </w:rPr>
            </w:pPr>
            <w:r>
              <w:rPr>
                <w:rStyle w:val="CharacterStyle12"/>
              </w:rPr>
              <w:t>0,00</w:t>
            </w:r>
          </w:p>
        </w:tc>
      </w:tr>
      <w:tr w:rsidR="007D706A" w14:paraId="516DE84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E79D2DE" w14:textId="77777777" w:rsidR="007D706A" w:rsidRDefault="007D706A" w:rsidP="00F70508">
            <w:pPr>
              <w:pStyle w:val="ParagraphStyle4"/>
              <w:rPr>
                <w:rStyle w:val="CharacterStyle4"/>
              </w:rPr>
            </w:pPr>
            <w:r>
              <w:rPr>
                <w:rStyle w:val="CharacterStyle4"/>
              </w:rPr>
              <w:t>Aktivnost A103510</w:t>
            </w:r>
          </w:p>
        </w:tc>
        <w:tc>
          <w:tcPr>
            <w:tcW w:w="4995" w:type="dxa"/>
            <w:tcBorders>
              <w:bottom w:val="single" w:sz="6" w:space="0" w:color="000000"/>
              <w:right w:val="single" w:sz="6" w:space="0" w:color="000000"/>
            </w:tcBorders>
            <w:vAlign w:val="center"/>
          </w:tcPr>
          <w:p w14:paraId="329B75FA" w14:textId="77777777" w:rsidR="007D706A" w:rsidRDefault="007D706A" w:rsidP="00F70508">
            <w:pPr>
              <w:pStyle w:val="ParagraphStyle5"/>
              <w:rPr>
                <w:rStyle w:val="CharacterStyle5"/>
              </w:rPr>
            </w:pPr>
            <w:r>
              <w:rPr>
                <w:rStyle w:val="CharacterStyle5"/>
              </w:rPr>
              <w:t>PROGRAM DJECE S POTEŠKOĆAMA</w:t>
            </w:r>
          </w:p>
        </w:tc>
        <w:tc>
          <w:tcPr>
            <w:tcW w:w="1395" w:type="dxa"/>
            <w:tcBorders>
              <w:bottom w:val="single" w:sz="6" w:space="0" w:color="000000"/>
              <w:right w:val="single" w:sz="6" w:space="0" w:color="000000"/>
            </w:tcBorders>
            <w:vAlign w:val="center"/>
          </w:tcPr>
          <w:p w14:paraId="1109BDCE"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3DC35457" w14:textId="77777777" w:rsidR="007D706A" w:rsidRDefault="007D706A" w:rsidP="00F70508">
            <w:pPr>
              <w:pStyle w:val="ParagraphStyle6"/>
              <w:rPr>
                <w:rStyle w:val="CharacterStyle6"/>
              </w:rPr>
            </w:pPr>
            <w:r>
              <w:rPr>
                <w:rStyle w:val="CharacterStyle6"/>
              </w:rPr>
              <w:t>9.500,00</w:t>
            </w:r>
          </w:p>
        </w:tc>
        <w:tc>
          <w:tcPr>
            <w:tcW w:w="1395" w:type="dxa"/>
            <w:tcBorders>
              <w:bottom w:val="single" w:sz="6" w:space="0" w:color="000000"/>
              <w:right w:val="single" w:sz="6" w:space="0" w:color="000000"/>
            </w:tcBorders>
            <w:vAlign w:val="center"/>
          </w:tcPr>
          <w:p w14:paraId="0987528B" w14:textId="77777777" w:rsidR="007D706A" w:rsidRDefault="007D706A" w:rsidP="00F70508">
            <w:pPr>
              <w:pStyle w:val="ParagraphStyle6"/>
              <w:rPr>
                <w:rStyle w:val="CharacterStyle6"/>
              </w:rPr>
            </w:pPr>
            <w:r>
              <w:rPr>
                <w:rStyle w:val="CharacterStyle6"/>
              </w:rPr>
              <w:t>10.000,00</w:t>
            </w:r>
          </w:p>
        </w:tc>
        <w:tc>
          <w:tcPr>
            <w:tcW w:w="1395" w:type="dxa"/>
            <w:tcBorders>
              <w:bottom w:val="single" w:sz="6" w:space="0" w:color="000000"/>
              <w:right w:val="single" w:sz="6" w:space="0" w:color="000000"/>
            </w:tcBorders>
            <w:vAlign w:val="center"/>
          </w:tcPr>
          <w:p w14:paraId="2776562B" w14:textId="77777777" w:rsidR="007D706A" w:rsidRDefault="007D706A" w:rsidP="00F70508">
            <w:pPr>
              <w:pStyle w:val="ParagraphStyle6"/>
              <w:rPr>
                <w:rStyle w:val="CharacterStyle6"/>
              </w:rPr>
            </w:pPr>
            <w:r>
              <w:rPr>
                <w:rStyle w:val="CharacterStyle6"/>
              </w:rPr>
              <w:t>10.000,00</w:t>
            </w:r>
          </w:p>
        </w:tc>
        <w:tc>
          <w:tcPr>
            <w:tcW w:w="1395" w:type="dxa"/>
            <w:tcBorders>
              <w:bottom w:val="single" w:sz="6" w:space="0" w:color="000000"/>
              <w:right w:val="single" w:sz="6" w:space="0" w:color="000000"/>
            </w:tcBorders>
            <w:vAlign w:val="center"/>
          </w:tcPr>
          <w:p w14:paraId="01D487E4" w14:textId="77777777" w:rsidR="007D706A" w:rsidRDefault="007D706A" w:rsidP="00F70508">
            <w:pPr>
              <w:pStyle w:val="ParagraphStyle6"/>
              <w:rPr>
                <w:rStyle w:val="CharacterStyle6"/>
              </w:rPr>
            </w:pPr>
            <w:r>
              <w:rPr>
                <w:rStyle w:val="CharacterStyle6"/>
              </w:rPr>
              <w:t>10.000,00</w:t>
            </w:r>
          </w:p>
        </w:tc>
      </w:tr>
      <w:tr w:rsidR="007D706A" w14:paraId="375292E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073E8D3" w14:textId="77777777" w:rsidR="007D706A" w:rsidRDefault="007D706A" w:rsidP="00F70508">
            <w:pPr>
              <w:pStyle w:val="ParagraphStyle7"/>
              <w:rPr>
                <w:rStyle w:val="CharacterStyle7"/>
              </w:rPr>
            </w:pPr>
            <w:r>
              <w:rPr>
                <w:rStyle w:val="CharacterStyle7"/>
              </w:rPr>
              <w:t>Izvor financiranja 50</w:t>
            </w:r>
          </w:p>
        </w:tc>
        <w:tc>
          <w:tcPr>
            <w:tcW w:w="4995" w:type="dxa"/>
            <w:tcBorders>
              <w:bottom w:val="single" w:sz="6" w:space="0" w:color="000000"/>
              <w:right w:val="single" w:sz="6" w:space="0" w:color="000000"/>
            </w:tcBorders>
            <w:vAlign w:val="center"/>
          </w:tcPr>
          <w:p w14:paraId="79B79DA6" w14:textId="77777777" w:rsidR="007D706A" w:rsidRDefault="007D706A" w:rsidP="00F70508">
            <w:pPr>
              <w:pStyle w:val="ParagraphStyle8"/>
              <w:rPr>
                <w:rStyle w:val="CharacterStyle8"/>
              </w:rPr>
            </w:pPr>
            <w:r>
              <w:rPr>
                <w:rStyle w:val="CharacterStyle8"/>
              </w:rPr>
              <w:t>Pomoći iz državnog proračuna</w:t>
            </w:r>
          </w:p>
        </w:tc>
        <w:tc>
          <w:tcPr>
            <w:tcW w:w="1395" w:type="dxa"/>
            <w:tcBorders>
              <w:bottom w:val="single" w:sz="6" w:space="0" w:color="000000"/>
              <w:right w:val="single" w:sz="6" w:space="0" w:color="000000"/>
            </w:tcBorders>
            <w:vAlign w:val="center"/>
          </w:tcPr>
          <w:p w14:paraId="1427CF96"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6536A42"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9204BBA" w14:textId="77777777" w:rsidR="007D706A" w:rsidRDefault="007D706A" w:rsidP="00F70508">
            <w:pPr>
              <w:pStyle w:val="ParagraphStyle9"/>
              <w:rPr>
                <w:rStyle w:val="CharacterStyle9"/>
              </w:rPr>
            </w:pPr>
            <w:r>
              <w:rPr>
                <w:rStyle w:val="CharacterStyle9"/>
              </w:rPr>
              <w:t>10.000,00</w:t>
            </w:r>
          </w:p>
        </w:tc>
        <w:tc>
          <w:tcPr>
            <w:tcW w:w="1395" w:type="dxa"/>
            <w:tcBorders>
              <w:bottom w:val="single" w:sz="6" w:space="0" w:color="000000"/>
              <w:right w:val="single" w:sz="6" w:space="0" w:color="000000"/>
            </w:tcBorders>
            <w:vAlign w:val="center"/>
          </w:tcPr>
          <w:p w14:paraId="47061209" w14:textId="77777777" w:rsidR="007D706A" w:rsidRDefault="007D706A" w:rsidP="00F70508">
            <w:pPr>
              <w:pStyle w:val="ParagraphStyle9"/>
              <w:rPr>
                <w:rStyle w:val="CharacterStyle9"/>
              </w:rPr>
            </w:pPr>
            <w:r>
              <w:rPr>
                <w:rStyle w:val="CharacterStyle9"/>
              </w:rPr>
              <w:t>10.000,00</w:t>
            </w:r>
          </w:p>
        </w:tc>
        <w:tc>
          <w:tcPr>
            <w:tcW w:w="1395" w:type="dxa"/>
            <w:tcBorders>
              <w:bottom w:val="single" w:sz="6" w:space="0" w:color="000000"/>
              <w:right w:val="single" w:sz="6" w:space="0" w:color="000000"/>
            </w:tcBorders>
            <w:vAlign w:val="center"/>
          </w:tcPr>
          <w:p w14:paraId="4EEEB996" w14:textId="77777777" w:rsidR="007D706A" w:rsidRDefault="007D706A" w:rsidP="00F70508">
            <w:pPr>
              <w:pStyle w:val="ParagraphStyle9"/>
              <w:rPr>
                <w:rStyle w:val="CharacterStyle9"/>
              </w:rPr>
            </w:pPr>
            <w:r>
              <w:rPr>
                <w:rStyle w:val="CharacterStyle9"/>
              </w:rPr>
              <w:t>10.000,00</w:t>
            </w:r>
          </w:p>
        </w:tc>
      </w:tr>
      <w:tr w:rsidR="007D706A" w14:paraId="63D9DB4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5DB42FE"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77A6139D"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394B6C4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D862F4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FD0427B" w14:textId="77777777" w:rsidR="007D706A" w:rsidRDefault="007D706A" w:rsidP="00F70508">
            <w:pPr>
              <w:pStyle w:val="ParagraphStyle12"/>
              <w:rPr>
                <w:rStyle w:val="CharacterStyle12"/>
              </w:rPr>
            </w:pPr>
            <w:r>
              <w:rPr>
                <w:rStyle w:val="CharacterStyle12"/>
              </w:rPr>
              <w:t>10.000,00</w:t>
            </w:r>
          </w:p>
        </w:tc>
        <w:tc>
          <w:tcPr>
            <w:tcW w:w="1395" w:type="dxa"/>
            <w:tcBorders>
              <w:bottom w:val="single" w:sz="6" w:space="0" w:color="000000"/>
              <w:right w:val="single" w:sz="6" w:space="0" w:color="000000"/>
            </w:tcBorders>
            <w:vAlign w:val="center"/>
          </w:tcPr>
          <w:p w14:paraId="33934F69" w14:textId="77777777" w:rsidR="007D706A" w:rsidRDefault="007D706A" w:rsidP="00F70508">
            <w:pPr>
              <w:pStyle w:val="ParagraphStyle12"/>
              <w:rPr>
                <w:rStyle w:val="CharacterStyle12"/>
              </w:rPr>
            </w:pPr>
            <w:r>
              <w:rPr>
                <w:rStyle w:val="CharacterStyle12"/>
              </w:rPr>
              <w:t>10.000,00</w:t>
            </w:r>
          </w:p>
        </w:tc>
        <w:tc>
          <w:tcPr>
            <w:tcW w:w="1395" w:type="dxa"/>
            <w:tcBorders>
              <w:bottom w:val="single" w:sz="6" w:space="0" w:color="000000"/>
              <w:right w:val="single" w:sz="6" w:space="0" w:color="000000"/>
            </w:tcBorders>
            <w:vAlign w:val="center"/>
          </w:tcPr>
          <w:p w14:paraId="355A4A1C" w14:textId="77777777" w:rsidR="007D706A" w:rsidRDefault="007D706A" w:rsidP="00F70508">
            <w:pPr>
              <w:pStyle w:val="ParagraphStyle12"/>
              <w:rPr>
                <w:rStyle w:val="CharacterStyle12"/>
              </w:rPr>
            </w:pPr>
            <w:r>
              <w:rPr>
                <w:rStyle w:val="CharacterStyle12"/>
              </w:rPr>
              <w:t>10.000,00</w:t>
            </w:r>
          </w:p>
        </w:tc>
      </w:tr>
      <w:tr w:rsidR="007D706A" w14:paraId="6C3E92D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7BE1B18"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13223B91"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2353E6F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4D081E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E142B2C" w14:textId="77777777" w:rsidR="007D706A" w:rsidRDefault="007D706A" w:rsidP="00F70508">
            <w:pPr>
              <w:pStyle w:val="ParagraphStyle12"/>
              <w:rPr>
                <w:rStyle w:val="CharacterStyle12"/>
              </w:rPr>
            </w:pPr>
            <w:r>
              <w:rPr>
                <w:rStyle w:val="CharacterStyle12"/>
              </w:rPr>
              <w:t>10.000,00</w:t>
            </w:r>
          </w:p>
        </w:tc>
        <w:tc>
          <w:tcPr>
            <w:tcW w:w="1395" w:type="dxa"/>
            <w:tcBorders>
              <w:bottom w:val="single" w:sz="6" w:space="0" w:color="000000"/>
              <w:right w:val="single" w:sz="6" w:space="0" w:color="000000"/>
            </w:tcBorders>
            <w:vAlign w:val="center"/>
          </w:tcPr>
          <w:p w14:paraId="56C90FEC" w14:textId="77777777" w:rsidR="007D706A" w:rsidRDefault="007D706A" w:rsidP="00F70508">
            <w:pPr>
              <w:pStyle w:val="ParagraphStyle12"/>
              <w:rPr>
                <w:rStyle w:val="CharacterStyle12"/>
              </w:rPr>
            </w:pPr>
            <w:r>
              <w:rPr>
                <w:rStyle w:val="CharacterStyle12"/>
              </w:rPr>
              <w:t>10.000,00</w:t>
            </w:r>
          </w:p>
        </w:tc>
        <w:tc>
          <w:tcPr>
            <w:tcW w:w="1395" w:type="dxa"/>
            <w:tcBorders>
              <w:bottom w:val="single" w:sz="6" w:space="0" w:color="000000"/>
              <w:right w:val="single" w:sz="6" w:space="0" w:color="000000"/>
            </w:tcBorders>
            <w:vAlign w:val="center"/>
          </w:tcPr>
          <w:p w14:paraId="7A74C1DF" w14:textId="77777777" w:rsidR="007D706A" w:rsidRDefault="007D706A" w:rsidP="00F70508">
            <w:pPr>
              <w:pStyle w:val="ParagraphStyle12"/>
              <w:rPr>
                <w:rStyle w:val="CharacterStyle12"/>
              </w:rPr>
            </w:pPr>
            <w:r>
              <w:rPr>
                <w:rStyle w:val="CharacterStyle12"/>
              </w:rPr>
              <w:t>10.000,00</w:t>
            </w:r>
          </w:p>
        </w:tc>
      </w:tr>
      <w:tr w:rsidR="007D706A" w14:paraId="1217BB6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794A55D" w14:textId="77777777" w:rsidR="007D706A" w:rsidRDefault="007D706A" w:rsidP="00F70508">
            <w:pPr>
              <w:pStyle w:val="ParagraphStyle7"/>
              <w:rPr>
                <w:rStyle w:val="CharacterStyle7"/>
              </w:rPr>
            </w:pPr>
            <w:r>
              <w:rPr>
                <w:rStyle w:val="CharacterStyle7"/>
              </w:rPr>
              <w:t>Izvor financiranja 53</w:t>
            </w:r>
          </w:p>
        </w:tc>
        <w:tc>
          <w:tcPr>
            <w:tcW w:w="4995" w:type="dxa"/>
            <w:tcBorders>
              <w:bottom w:val="single" w:sz="6" w:space="0" w:color="000000"/>
              <w:right w:val="single" w:sz="6" w:space="0" w:color="000000"/>
            </w:tcBorders>
            <w:vAlign w:val="center"/>
          </w:tcPr>
          <w:p w14:paraId="5C98B77A" w14:textId="77777777" w:rsidR="007D706A" w:rsidRDefault="007D706A" w:rsidP="00F70508">
            <w:pPr>
              <w:pStyle w:val="ParagraphStyle8"/>
              <w:rPr>
                <w:rStyle w:val="CharacterStyle8"/>
              </w:rPr>
            </w:pPr>
            <w:r>
              <w:rPr>
                <w:rStyle w:val="CharacterStyle8"/>
              </w:rPr>
              <w:t>Proračuni, drugi nivoi - za posebne i / ili ugovorene namjene</w:t>
            </w:r>
          </w:p>
        </w:tc>
        <w:tc>
          <w:tcPr>
            <w:tcW w:w="1395" w:type="dxa"/>
            <w:tcBorders>
              <w:bottom w:val="single" w:sz="6" w:space="0" w:color="000000"/>
              <w:right w:val="single" w:sz="6" w:space="0" w:color="000000"/>
            </w:tcBorders>
            <w:vAlign w:val="center"/>
          </w:tcPr>
          <w:p w14:paraId="69C3A33A"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159D518" w14:textId="77777777" w:rsidR="007D706A" w:rsidRDefault="007D706A" w:rsidP="00F70508">
            <w:pPr>
              <w:pStyle w:val="ParagraphStyle9"/>
              <w:rPr>
                <w:rStyle w:val="CharacterStyle9"/>
              </w:rPr>
            </w:pPr>
            <w:r>
              <w:rPr>
                <w:rStyle w:val="CharacterStyle9"/>
              </w:rPr>
              <w:t>9.500,00</w:t>
            </w:r>
          </w:p>
        </w:tc>
        <w:tc>
          <w:tcPr>
            <w:tcW w:w="1395" w:type="dxa"/>
            <w:tcBorders>
              <w:bottom w:val="single" w:sz="6" w:space="0" w:color="000000"/>
              <w:right w:val="single" w:sz="6" w:space="0" w:color="000000"/>
            </w:tcBorders>
            <w:vAlign w:val="center"/>
          </w:tcPr>
          <w:p w14:paraId="3E50B836"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9B7B5D3"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7C7410F" w14:textId="77777777" w:rsidR="007D706A" w:rsidRDefault="007D706A" w:rsidP="00F70508">
            <w:pPr>
              <w:pStyle w:val="ParagraphStyle9"/>
              <w:rPr>
                <w:rStyle w:val="CharacterStyle9"/>
              </w:rPr>
            </w:pPr>
            <w:r>
              <w:rPr>
                <w:rStyle w:val="CharacterStyle9"/>
              </w:rPr>
              <w:t>0,00</w:t>
            </w:r>
          </w:p>
        </w:tc>
      </w:tr>
      <w:tr w:rsidR="007D706A" w14:paraId="1F2CC31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37C7DC3"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49F16F8A"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4E50E8D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1011C35" w14:textId="77777777" w:rsidR="007D706A" w:rsidRDefault="007D706A" w:rsidP="00F70508">
            <w:pPr>
              <w:pStyle w:val="ParagraphStyle12"/>
              <w:rPr>
                <w:rStyle w:val="CharacterStyle12"/>
              </w:rPr>
            </w:pPr>
            <w:r>
              <w:rPr>
                <w:rStyle w:val="CharacterStyle12"/>
              </w:rPr>
              <w:t>9.500,00</w:t>
            </w:r>
          </w:p>
        </w:tc>
        <w:tc>
          <w:tcPr>
            <w:tcW w:w="1395" w:type="dxa"/>
            <w:tcBorders>
              <w:bottom w:val="single" w:sz="6" w:space="0" w:color="000000"/>
              <w:right w:val="single" w:sz="6" w:space="0" w:color="000000"/>
            </w:tcBorders>
            <w:vAlign w:val="center"/>
          </w:tcPr>
          <w:p w14:paraId="72A3D52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234FFF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64CE653" w14:textId="77777777" w:rsidR="007D706A" w:rsidRDefault="007D706A" w:rsidP="00F70508">
            <w:pPr>
              <w:pStyle w:val="ParagraphStyle12"/>
              <w:rPr>
                <w:rStyle w:val="CharacterStyle12"/>
              </w:rPr>
            </w:pPr>
            <w:r>
              <w:rPr>
                <w:rStyle w:val="CharacterStyle12"/>
              </w:rPr>
              <w:t>0,00</w:t>
            </w:r>
          </w:p>
        </w:tc>
      </w:tr>
      <w:tr w:rsidR="007D706A" w14:paraId="2B8C799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3450108"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594541CF"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50FA7AF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44D1F1E" w14:textId="77777777" w:rsidR="007D706A" w:rsidRDefault="007D706A" w:rsidP="00F70508">
            <w:pPr>
              <w:pStyle w:val="ParagraphStyle12"/>
              <w:rPr>
                <w:rStyle w:val="CharacterStyle12"/>
              </w:rPr>
            </w:pPr>
            <w:r>
              <w:rPr>
                <w:rStyle w:val="CharacterStyle12"/>
              </w:rPr>
              <w:t>9.500,00</w:t>
            </w:r>
          </w:p>
        </w:tc>
        <w:tc>
          <w:tcPr>
            <w:tcW w:w="1395" w:type="dxa"/>
            <w:tcBorders>
              <w:bottom w:val="single" w:sz="6" w:space="0" w:color="000000"/>
              <w:right w:val="single" w:sz="6" w:space="0" w:color="000000"/>
            </w:tcBorders>
            <w:vAlign w:val="center"/>
          </w:tcPr>
          <w:p w14:paraId="0DAF884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20B14F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E2FD1B3" w14:textId="77777777" w:rsidR="007D706A" w:rsidRDefault="007D706A" w:rsidP="00F70508">
            <w:pPr>
              <w:pStyle w:val="ParagraphStyle12"/>
              <w:rPr>
                <w:rStyle w:val="CharacterStyle12"/>
              </w:rPr>
            </w:pPr>
            <w:r>
              <w:rPr>
                <w:rStyle w:val="CharacterStyle12"/>
              </w:rPr>
              <w:t>0,00</w:t>
            </w:r>
          </w:p>
        </w:tc>
      </w:tr>
      <w:tr w:rsidR="007D706A" w14:paraId="4F17B5E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720C30F" w14:textId="77777777" w:rsidR="007D706A" w:rsidRDefault="007D706A" w:rsidP="00F70508">
            <w:pPr>
              <w:pStyle w:val="ParagraphStyle4"/>
              <w:rPr>
                <w:rStyle w:val="CharacterStyle4"/>
              </w:rPr>
            </w:pPr>
            <w:r>
              <w:rPr>
                <w:rStyle w:val="CharacterStyle4"/>
              </w:rPr>
              <w:t>Aktivnost A103512</w:t>
            </w:r>
          </w:p>
        </w:tc>
        <w:tc>
          <w:tcPr>
            <w:tcW w:w="4995" w:type="dxa"/>
            <w:tcBorders>
              <w:bottom w:val="single" w:sz="6" w:space="0" w:color="000000"/>
              <w:right w:val="single" w:sz="6" w:space="0" w:color="000000"/>
            </w:tcBorders>
            <w:vAlign w:val="center"/>
          </w:tcPr>
          <w:p w14:paraId="4EE7FB4D" w14:textId="77777777" w:rsidR="007D706A" w:rsidRDefault="007D706A" w:rsidP="00F70508">
            <w:pPr>
              <w:pStyle w:val="ParagraphStyle5"/>
              <w:rPr>
                <w:rStyle w:val="CharacterStyle5"/>
              </w:rPr>
            </w:pPr>
            <w:r>
              <w:rPr>
                <w:rStyle w:val="CharacterStyle5"/>
              </w:rPr>
              <w:t>SUBVENCIJA CIJENE PROGRAMA DRUGI IZVORI</w:t>
            </w:r>
          </w:p>
        </w:tc>
        <w:tc>
          <w:tcPr>
            <w:tcW w:w="1395" w:type="dxa"/>
            <w:tcBorders>
              <w:bottom w:val="single" w:sz="6" w:space="0" w:color="000000"/>
              <w:right w:val="single" w:sz="6" w:space="0" w:color="000000"/>
            </w:tcBorders>
            <w:vAlign w:val="center"/>
          </w:tcPr>
          <w:p w14:paraId="34A0A58B"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11FBA6E8" w14:textId="77777777" w:rsidR="007D706A" w:rsidRDefault="007D706A" w:rsidP="00F70508">
            <w:pPr>
              <w:pStyle w:val="ParagraphStyle6"/>
              <w:rPr>
                <w:rStyle w:val="CharacterStyle6"/>
              </w:rPr>
            </w:pPr>
            <w:r>
              <w:rPr>
                <w:rStyle w:val="CharacterStyle6"/>
              </w:rPr>
              <w:t>5.000,00</w:t>
            </w:r>
          </w:p>
        </w:tc>
        <w:tc>
          <w:tcPr>
            <w:tcW w:w="1395" w:type="dxa"/>
            <w:tcBorders>
              <w:bottom w:val="single" w:sz="6" w:space="0" w:color="000000"/>
              <w:right w:val="single" w:sz="6" w:space="0" w:color="000000"/>
            </w:tcBorders>
            <w:vAlign w:val="center"/>
          </w:tcPr>
          <w:p w14:paraId="7E3ECAD9" w14:textId="77777777" w:rsidR="007D706A" w:rsidRDefault="007D706A" w:rsidP="00F70508">
            <w:pPr>
              <w:pStyle w:val="ParagraphStyle6"/>
              <w:rPr>
                <w:rStyle w:val="CharacterStyle6"/>
              </w:rPr>
            </w:pPr>
            <w:r>
              <w:rPr>
                <w:rStyle w:val="CharacterStyle6"/>
              </w:rPr>
              <w:t>8.000,00</w:t>
            </w:r>
          </w:p>
        </w:tc>
        <w:tc>
          <w:tcPr>
            <w:tcW w:w="1395" w:type="dxa"/>
            <w:tcBorders>
              <w:bottom w:val="single" w:sz="6" w:space="0" w:color="000000"/>
              <w:right w:val="single" w:sz="6" w:space="0" w:color="000000"/>
            </w:tcBorders>
            <w:vAlign w:val="center"/>
          </w:tcPr>
          <w:p w14:paraId="49F8EC5B" w14:textId="77777777" w:rsidR="007D706A" w:rsidRDefault="007D706A" w:rsidP="00F70508">
            <w:pPr>
              <w:pStyle w:val="ParagraphStyle6"/>
              <w:rPr>
                <w:rStyle w:val="CharacterStyle6"/>
              </w:rPr>
            </w:pPr>
            <w:r>
              <w:rPr>
                <w:rStyle w:val="CharacterStyle6"/>
              </w:rPr>
              <w:t>8.000,00</w:t>
            </w:r>
          </w:p>
        </w:tc>
        <w:tc>
          <w:tcPr>
            <w:tcW w:w="1395" w:type="dxa"/>
            <w:tcBorders>
              <w:bottom w:val="single" w:sz="6" w:space="0" w:color="000000"/>
              <w:right w:val="single" w:sz="6" w:space="0" w:color="000000"/>
            </w:tcBorders>
            <w:vAlign w:val="center"/>
          </w:tcPr>
          <w:p w14:paraId="6D902CE8" w14:textId="77777777" w:rsidR="007D706A" w:rsidRDefault="007D706A" w:rsidP="00F70508">
            <w:pPr>
              <w:pStyle w:val="ParagraphStyle6"/>
              <w:rPr>
                <w:rStyle w:val="CharacterStyle6"/>
              </w:rPr>
            </w:pPr>
            <w:r>
              <w:rPr>
                <w:rStyle w:val="CharacterStyle6"/>
              </w:rPr>
              <w:t>8.000,00</w:t>
            </w:r>
          </w:p>
        </w:tc>
      </w:tr>
      <w:tr w:rsidR="007D706A" w14:paraId="50743AC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BAAD91A" w14:textId="77777777" w:rsidR="007D706A" w:rsidRDefault="007D706A" w:rsidP="00F70508">
            <w:pPr>
              <w:pStyle w:val="ParagraphStyle7"/>
              <w:rPr>
                <w:rStyle w:val="CharacterStyle7"/>
              </w:rPr>
            </w:pPr>
            <w:r>
              <w:rPr>
                <w:rStyle w:val="CharacterStyle7"/>
              </w:rPr>
              <w:t>Izvor financiranja 5</w:t>
            </w:r>
          </w:p>
        </w:tc>
        <w:tc>
          <w:tcPr>
            <w:tcW w:w="4995" w:type="dxa"/>
            <w:tcBorders>
              <w:bottom w:val="single" w:sz="6" w:space="0" w:color="000000"/>
              <w:right w:val="single" w:sz="6" w:space="0" w:color="000000"/>
            </w:tcBorders>
            <w:vAlign w:val="center"/>
          </w:tcPr>
          <w:p w14:paraId="4457A764" w14:textId="77777777" w:rsidR="007D706A" w:rsidRDefault="007D706A" w:rsidP="00F70508">
            <w:pPr>
              <w:pStyle w:val="ParagraphStyle8"/>
              <w:rPr>
                <w:rStyle w:val="CharacterStyle8"/>
              </w:rPr>
            </w:pPr>
            <w:r>
              <w:rPr>
                <w:rStyle w:val="CharacterStyle8"/>
              </w:rPr>
              <w:t>POMOĆI</w:t>
            </w:r>
          </w:p>
        </w:tc>
        <w:tc>
          <w:tcPr>
            <w:tcW w:w="1395" w:type="dxa"/>
            <w:tcBorders>
              <w:bottom w:val="single" w:sz="6" w:space="0" w:color="000000"/>
              <w:right w:val="single" w:sz="6" w:space="0" w:color="000000"/>
            </w:tcBorders>
            <w:vAlign w:val="center"/>
          </w:tcPr>
          <w:p w14:paraId="71BD8536"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EAC5950"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4EB0CBC" w14:textId="77777777" w:rsidR="007D706A" w:rsidRDefault="007D706A" w:rsidP="00F70508">
            <w:pPr>
              <w:pStyle w:val="ParagraphStyle9"/>
              <w:rPr>
                <w:rStyle w:val="CharacterStyle9"/>
              </w:rPr>
            </w:pPr>
            <w:r>
              <w:rPr>
                <w:rStyle w:val="CharacterStyle9"/>
              </w:rPr>
              <w:t>8.000,00</w:t>
            </w:r>
          </w:p>
        </w:tc>
        <w:tc>
          <w:tcPr>
            <w:tcW w:w="1395" w:type="dxa"/>
            <w:tcBorders>
              <w:bottom w:val="single" w:sz="6" w:space="0" w:color="000000"/>
              <w:right w:val="single" w:sz="6" w:space="0" w:color="000000"/>
            </w:tcBorders>
            <w:vAlign w:val="center"/>
          </w:tcPr>
          <w:p w14:paraId="48544464" w14:textId="77777777" w:rsidR="007D706A" w:rsidRDefault="007D706A" w:rsidP="00F70508">
            <w:pPr>
              <w:pStyle w:val="ParagraphStyle9"/>
              <w:rPr>
                <w:rStyle w:val="CharacterStyle9"/>
              </w:rPr>
            </w:pPr>
            <w:r>
              <w:rPr>
                <w:rStyle w:val="CharacterStyle9"/>
              </w:rPr>
              <w:t>8.000,00</w:t>
            </w:r>
          </w:p>
        </w:tc>
        <w:tc>
          <w:tcPr>
            <w:tcW w:w="1395" w:type="dxa"/>
            <w:tcBorders>
              <w:bottom w:val="single" w:sz="6" w:space="0" w:color="000000"/>
              <w:right w:val="single" w:sz="6" w:space="0" w:color="000000"/>
            </w:tcBorders>
            <w:vAlign w:val="center"/>
          </w:tcPr>
          <w:p w14:paraId="63D07DBA" w14:textId="77777777" w:rsidR="007D706A" w:rsidRDefault="007D706A" w:rsidP="00F70508">
            <w:pPr>
              <w:pStyle w:val="ParagraphStyle9"/>
              <w:rPr>
                <w:rStyle w:val="CharacterStyle9"/>
              </w:rPr>
            </w:pPr>
            <w:r>
              <w:rPr>
                <w:rStyle w:val="CharacterStyle9"/>
              </w:rPr>
              <w:t>8.000,00</w:t>
            </w:r>
          </w:p>
        </w:tc>
      </w:tr>
      <w:tr w:rsidR="007D706A" w14:paraId="262E942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5FF1DCA"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772684C7"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1BC0C18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CCE106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858BCAE" w14:textId="77777777" w:rsidR="007D706A" w:rsidRDefault="007D706A" w:rsidP="00F70508">
            <w:pPr>
              <w:pStyle w:val="ParagraphStyle12"/>
              <w:rPr>
                <w:rStyle w:val="CharacterStyle12"/>
              </w:rPr>
            </w:pPr>
            <w:r>
              <w:rPr>
                <w:rStyle w:val="CharacterStyle12"/>
              </w:rPr>
              <w:t>8.000,00</w:t>
            </w:r>
          </w:p>
        </w:tc>
        <w:tc>
          <w:tcPr>
            <w:tcW w:w="1395" w:type="dxa"/>
            <w:tcBorders>
              <w:bottom w:val="single" w:sz="6" w:space="0" w:color="000000"/>
              <w:right w:val="single" w:sz="6" w:space="0" w:color="000000"/>
            </w:tcBorders>
            <w:vAlign w:val="center"/>
          </w:tcPr>
          <w:p w14:paraId="1F4B1097" w14:textId="77777777" w:rsidR="007D706A" w:rsidRDefault="007D706A" w:rsidP="00F70508">
            <w:pPr>
              <w:pStyle w:val="ParagraphStyle12"/>
              <w:rPr>
                <w:rStyle w:val="CharacterStyle12"/>
              </w:rPr>
            </w:pPr>
            <w:r>
              <w:rPr>
                <w:rStyle w:val="CharacterStyle12"/>
              </w:rPr>
              <w:t>8.000,00</w:t>
            </w:r>
          </w:p>
        </w:tc>
        <w:tc>
          <w:tcPr>
            <w:tcW w:w="1395" w:type="dxa"/>
            <w:tcBorders>
              <w:bottom w:val="single" w:sz="6" w:space="0" w:color="000000"/>
              <w:right w:val="single" w:sz="6" w:space="0" w:color="000000"/>
            </w:tcBorders>
            <w:vAlign w:val="center"/>
          </w:tcPr>
          <w:p w14:paraId="1DC83F3C" w14:textId="77777777" w:rsidR="007D706A" w:rsidRDefault="007D706A" w:rsidP="00F70508">
            <w:pPr>
              <w:pStyle w:val="ParagraphStyle12"/>
              <w:rPr>
                <w:rStyle w:val="CharacterStyle12"/>
              </w:rPr>
            </w:pPr>
            <w:r>
              <w:rPr>
                <w:rStyle w:val="CharacterStyle12"/>
              </w:rPr>
              <w:t>8.000,00</w:t>
            </w:r>
          </w:p>
        </w:tc>
      </w:tr>
      <w:tr w:rsidR="007D706A" w14:paraId="1759990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3F5535C"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558BD20D"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7006308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881D71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8261C12" w14:textId="77777777" w:rsidR="007D706A" w:rsidRDefault="007D706A" w:rsidP="00F70508">
            <w:pPr>
              <w:pStyle w:val="ParagraphStyle12"/>
              <w:rPr>
                <w:rStyle w:val="CharacterStyle12"/>
              </w:rPr>
            </w:pPr>
            <w:r>
              <w:rPr>
                <w:rStyle w:val="CharacterStyle12"/>
              </w:rPr>
              <w:t>8.000,00</w:t>
            </w:r>
          </w:p>
        </w:tc>
        <w:tc>
          <w:tcPr>
            <w:tcW w:w="1395" w:type="dxa"/>
            <w:tcBorders>
              <w:bottom w:val="single" w:sz="6" w:space="0" w:color="000000"/>
              <w:right w:val="single" w:sz="6" w:space="0" w:color="000000"/>
            </w:tcBorders>
            <w:vAlign w:val="center"/>
          </w:tcPr>
          <w:p w14:paraId="190FC2A5" w14:textId="77777777" w:rsidR="007D706A" w:rsidRDefault="007D706A" w:rsidP="00F70508">
            <w:pPr>
              <w:pStyle w:val="ParagraphStyle12"/>
              <w:rPr>
                <w:rStyle w:val="CharacterStyle12"/>
              </w:rPr>
            </w:pPr>
            <w:r>
              <w:rPr>
                <w:rStyle w:val="CharacterStyle12"/>
              </w:rPr>
              <w:t>8.000,00</w:t>
            </w:r>
          </w:p>
        </w:tc>
        <w:tc>
          <w:tcPr>
            <w:tcW w:w="1395" w:type="dxa"/>
            <w:tcBorders>
              <w:bottom w:val="single" w:sz="6" w:space="0" w:color="000000"/>
              <w:right w:val="single" w:sz="6" w:space="0" w:color="000000"/>
            </w:tcBorders>
            <w:vAlign w:val="center"/>
          </w:tcPr>
          <w:p w14:paraId="0CAB0132" w14:textId="77777777" w:rsidR="007D706A" w:rsidRDefault="007D706A" w:rsidP="00F70508">
            <w:pPr>
              <w:pStyle w:val="ParagraphStyle12"/>
              <w:rPr>
                <w:rStyle w:val="CharacterStyle12"/>
              </w:rPr>
            </w:pPr>
            <w:r>
              <w:rPr>
                <w:rStyle w:val="CharacterStyle12"/>
              </w:rPr>
              <w:t>8.000,00</w:t>
            </w:r>
          </w:p>
        </w:tc>
      </w:tr>
      <w:tr w:rsidR="007D706A" w14:paraId="5B2C9F76"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3518946" w14:textId="77777777" w:rsidR="007D706A" w:rsidRDefault="007D706A" w:rsidP="00F70508">
            <w:pPr>
              <w:pStyle w:val="ParagraphStyle7"/>
              <w:rPr>
                <w:rStyle w:val="CharacterStyle7"/>
              </w:rPr>
            </w:pPr>
            <w:r>
              <w:rPr>
                <w:rStyle w:val="CharacterStyle7"/>
              </w:rPr>
              <w:t>Izvor financiranja 53</w:t>
            </w:r>
          </w:p>
        </w:tc>
        <w:tc>
          <w:tcPr>
            <w:tcW w:w="4995" w:type="dxa"/>
            <w:tcBorders>
              <w:bottom w:val="single" w:sz="6" w:space="0" w:color="000000"/>
              <w:right w:val="single" w:sz="6" w:space="0" w:color="000000"/>
            </w:tcBorders>
            <w:vAlign w:val="center"/>
          </w:tcPr>
          <w:p w14:paraId="4A0C1E71" w14:textId="77777777" w:rsidR="007D706A" w:rsidRDefault="007D706A" w:rsidP="00F70508">
            <w:pPr>
              <w:pStyle w:val="ParagraphStyle8"/>
              <w:rPr>
                <w:rStyle w:val="CharacterStyle8"/>
              </w:rPr>
            </w:pPr>
            <w:r>
              <w:rPr>
                <w:rStyle w:val="CharacterStyle8"/>
              </w:rPr>
              <w:t>Proračuni, drugi nivoi - za posebne i / ili ugovorene namjene</w:t>
            </w:r>
          </w:p>
        </w:tc>
        <w:tc>
          <w:tcPr>
            <w:tcW w:w="1395" w:type="dxa"/>
            <w:tcBorders>
              <w:bottom w:val="single" w:sz="6" w:space="0" w:color="000000"/>
              <w:right w:val="single" w:sz="6" w:space="0" w:color="000000"/>
            </w:tcBorders>
            <w:vAlign w:val="center"/>
          </w:tcPr>
          <w:p w14:paraId="4DF8B0FD"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8AAAEE1" w14:textId="77777777" w:rsidR="007D706A" w:rsidRDefault="007D706A" w:rsidP="00F70508">
            <w:pPr>
              <w:pStyle w:val="ParagraphStyle9"/>
              <w:rPr>
                <w:rStyle w:val="CharacterStyle9"/>
              </w:rPr>
            </w:pPr>
            <w:r>
              <w:rPr>
                <w:rStyle w:val="CharacterStyle9"/>
              </w:rPr>
              <w:t>5.000,00</w:t>
            </w:r>
          </w:p>
        </w:tc>
        <w:tc>
          <w:tcPr>
            <w:tcW w:w="1395" w:type="dxa"/>
            <w:tcBorders>
              <w:bottom w:val="single" w:sz="6" w:space="0" w:color="000000"/>
              <w:right w:val="single" w:sz="6" w:space="0" w:color="000000"/>
            </w:tcBorders>
            <w:vAlign w:val="center"/>
          </w:tcPr>
          <w:p w14:paraId="2703C6D4"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6EF8BBB"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ED0612C" w14:textId="77777777" w:rsidR="007D706A" w:rsidRDefault="007D706A" w:rsidP="00F70508">
            <w:pPr>
              <w:pStyle w:val="ParagraphStyle9"/>
              <w:rPr>
                <w:rStyle w:val="CharacterStyle9"/>
              </w:rPr>
            </w:pPr>
            <w:r>
              <w:rPr>
                <w:rStyle w:val="CharacterStyle9"/>
              </w:rPr>
              <w:t>0,00</w:t>
            </w:r>
          </w:p>
        </w:tc>
      </w:tr>
      <w:tr w:rsidR="007D706A" w14:paraId="4A9DD19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9EE60D6"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2905CBF5"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5E6E442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7397751" w14:textId="77777777" w:rsidR="007D706A" w:rsidRDefault="007D706A" w:rsidP="00F70508">
            <w:pPr>
              <w:pStyle w:val="ParagraphStyle12"/>
              <w:rPr>
                <w:rStyle w:val="CharacterStyle12"/>
              </w:rPr>
            </w:pPr>
            <w:r>
              <w:rPr>
                <w:rStyle w:val="CharacterStyle12"/>
              </w:rPr>
              <w:t>5.000,00</w:t>
            </w:r>
          </w:p>
        </w:tc>
        <w:tc>
          <w:tcPr>
            <w:tcW w:w="1395" w:type="dxa"/>
            <w:tcBorders>
              <w:bottom w:val="single" w:sz="6" w:space="0" w:color="000000"/>
              <w:right w:val="single" w:sz="6" w:space="0" w:color="000000"/>
            </w:tcBorders>
            <w:vAlign w:val="center"/>
          </w:tcPr>
          <w:p w14:paraId="02A32E8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93CAB3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780287B" w14:textId="77777777" w:rsidR="007D706A" w:rsidRDefault="007D706A" w:rsidP="00F70508">
            <w:pPr>
              <w:pStyle w:val="ParagraphStyle12"/>
              <w:rPr>
                <w:rStyle w:val="CharacterStyle12"/>
              </w:rPr>
            </w:pPr>
            <w:r>
              <w:rPr>
                <w:rStyle w:val="CharacterStyle12"/>
              </w:rPr>
              <w:t>0,00</w:t>
            </w:r>
          </w:p>
        </w:tc>
      </w:tr>
      <w:tr w:rsidR="007D706A" w14:paraId="1432DA1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37DB48B"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2883FE8E"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6AC9610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A9D3D43" w14:textId="77777777" w:rsidR="007D706A" w:rsidRDefault="007D706A" w:rsidP="00F70508">
            <w:pPr>
              <w:pStyle w:val="ParagraphStyle12"/>
              <w:rPr>
                <w:rStyle w:val="CharacterStyle12"/>
              </w:rPr>
            </w:pPr>
            <w:r>
              <w:rPr>
                <w:rStyle w:val="CharacterStyle12"/>
              </w:rPr>
              <w:t>5.000,00</w:t>
            </w:r>
          </w:p>
        </w:tc>
        <w:tc>
          <w:tcPr>
            <w:tcW w:w="1395" w:type="dxa"/>
            <w:tcBorders>
              <w:bottom w:val="single" w:sz="6" w:space="0" w:color="000000"/>
              <w:right w:val="single" w:sz="6" w:space="0" w:color="000000"/>
            </w:tcBorders>
            <w:vAlign w:val="center"/>
          </w:tcPr>
          <w:p w14:paraId="0D4411D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76CA75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E5D8136" w14:textId="77777777" w:rsidR="007D706A" w:rsidRDefault="007D706A" w:rsidP="00F70508">
            <w:pPr>
              <w:pStyle w:val="ParagraphStyle12"/>
              <w:rPr>
                <w:rStyle w:val="CharacterStyle12"/>
              </w:rPr>
            </w:pPr>
            <w:r>
              <w:rPr>
                <w:rStyle w:val="CharacterStyle12"/>
              </w:rPr>
              <w:t>0,00</w:t>
            </w:r>
          </w:p>
        </w:tc>
      </w:tr>
      <w:tr w:rsidR="007D706A" w14:paraId="5FA1F6B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DE4BC47" w14:textId="77777777" w:rsidR="007D706A" w:rsidRDefault="007D706A" w:rsidP="00F70508">
            <w:pPr>
              <w:pStyle w:val="ParagraphStyle4"/>
              <w:rPr>
                <w:rStyle w:val="CharacterStyle4"/>
              </w:rPr>
            </w:pPr>
            <w:r>
              <w:rPr>
                <w:rStyle w:val="CharacterStyle4"/>
              </w:rPr>
              <w:t>Kapitalni projekt K103502</w:t>
            </w:r>
          </w:p>
        </w:tc>
        <w:tc>
          <w:tcPr>
            <w:tcW w:w="4995" w:type="dxa"/>
            <w:tcBorders>
              <w:bottom w:val="single" w:sz="6" w:space="0" w:color="000000"/>
              <w:right w:val="single" w:sz="6" w:space="0" w:color="000000"/>
            </w:tcBorders>
            <w:vAlign w:val="center"/>
          </w:tcPr>
          <w:p w14:paraId="4B17E488" w14:textId="77777777" w:rsidR="007D706A" w:rsidRDefault="007D706A" w:rsidP="00F70508">
            <w:pPr>
              <w:pStyle w:val="ParagraphStyle5"/>
              <w:rPr>
                <w:rStyle w:val="CharacterStyle5"/>
              </w:rPr>
            </w:pPr>
            <w:r>
              <w:rPr>
                <w:rStyle w:val="CharacterStyle5"/>
              </w:rPr>
              <w:t>OPREMANJE PROSTORA</w:t>
            </w:r>
          </w:p>
        </w:tc>
        <w:tc>
          <w:tcPr>
            <w:tcW w:w="1395" w:type="dxa"/>
            <w:tcBorders>
              <w:bottom w:val="single" w:sz="6" w:space="0" w:color="000000"/>
              <w:right w:val="single" w:sz="6" w:space="0" w:color="000000"/>
            </w:tcBorders>
            <w:vAlign w:val="center"/>
          </w:tcPr>
          <w:p w14:paraId="6EA70F3E"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1A00B590" w14:textId="77777777" w:rsidR="007D706A" w:rsidRDefault="007D706A" w:rsidP="00F70508">
            <w:pPr>
              <w:pStyle w:val="ParagraphStyle6"/>
              <w:rPr>
                <w:rStyle w:val="CharacterStyle6"/>
              </w:rPr>
            </w:pPr>
            <w:r>
              <w:rPr>
                <w:rStyle w:val="CharacterStyle6"/>
              </w:rPr>
              <w:t>24.140,00</w:t>
            </w:r>
          </w:p>
        </w:tc>
        <w:tc>
          <w:tcPr>
            <w:tcW w:w="1395" w:type="dxa"/>
            <w:tcBorders>
              <w:bottom w:val="single" w:sz="6" w:space="0" w:color="000000"/>
              <w:right w:val="single" w:sz="6" w:space="0" w:color="000000"/>
            </w:tcBorders>
            <w:vAlign w:val="center"/>
          </w:tcPr>
          <w:p w14:paraId="2842087E" w14:textId="77777777" w:rsidR="007D706A" w:rsidRDefault="007D706A" w:rsidP="00F70508">
            <w:pPr>
              <w:pStyle w:val="ParagraphStyle6"/>
              <w:rPr>
                <w:rStyle w:val="CharacterStyle6"/>
              </w:rPr>
            </w:pPr>
            <w:r>
              <w:rPr>
                <w:rStyle w:val="CharacterStyle6"/>
              </w:rPr>
              <w:t>20.000,00</w:t>
            </w:r>
          </w:p>
        </w:tc>
        <w:tc>
          <w:tcPr>
            <w:tcW w:w="1395" w:type="dxa"/>
            <w:tcBorders>
              <w:bottom w:val="single" w:sz="6" w:space="0" w:color="000000"/>
              <w:right w:val="single" w:sz="6" w:space="0" w:color="000000"/>
            </w:tcBorders>
            <w:vAlign w:val="center"/>
          </w:tcPr>
          <w:p w14:paraId="084C7F93" w14:textId="77777777" w:rsidR="007D706A" w:rsidRDefault="007D706A" w:rsidP="00F70508">
            <w:pPr>
              <w:pStyle w:val="ParagraphStyle6"/>
              <w:rPr>
                <w:rStyle w:val="CharacterStyle6"/>
              </w:rPr>
            </w:pPr>
            <w:r>
              <w:rPr>
                <w:rStyle w:val="CharacterStyle6"/>
              </w:rPr>
              <w:t>20.000,00</w:t>
            </w:r>
          </w:p>
        </w:tc>
        <w:tc>
          <w:tcPr>
            <w:tcW w:w="1395" w:type="dxa"/>
            <w:tcBorders>
              <w:bottom w:val="single" w:sz="6" w:space="0" w:color="000000"/>
              <w:right w:val="single" w:sz="6" w:space="0" w:color="000000"/>
            </w:tcBorders>
            <w:vAlign w:val="center"/>
          </w:tcPr>
          <w:p w14:paraId="79C6EDE9" w14:textId="77777777" w:rsidR="007D706A" w:rsidRDefault="007D706A" w:rsidP="00F70508">
            <w:pPr>
              <w:pStyle w:val="ParagraphStyle6"/>
              <w:rPr>
                <w:rStyle w:val="CharacterStyle6"/>
              </w:rPr>
            </w:pPr>
            <w:r>
              <w:rPr>
                <w:rStyle w:val="CharacterStyle6"/>
              </w:rPr>
              <w:t>20.000,00</w:t>
            </w:r>
          </w:p>
        </w:tc>
      </w:tr>
      <w:tr w:rsidR="007D706A" w14:paraId="3C1E315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3836422"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42A56463"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5E09035A"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AD28849" w14:textId="77777777" w:rsidR="007D706A" w:rsidRDefault="007D706A" w:rsidP="00F70508">
            <w:pPr>
              <w:pStyle w:val="ParagraphStyle9"/>
              <w:rPr>
                <w:rStyle w:val="CharacterStyle9"/>
              </w:rPr>
            </w:pPr>
            <w:r>
              <w:rPr>
                <w:rStyle w:val="CharacterStyle9"/>
              </w:rPr>
              <w:t>24.140,00</w:t>
            </w:r>
          </w:p>
        </w:tc>
        <w:tc>
          <w:tcPr>
            <w:tcW w:w="1395" w:type="dxa"/>
            <w:tcBorders>
              <w:bottom w:val="single" w:sz="6" w:space="0" w:color="000000"/>
              <w:right w:val="single" w:sz="6" w:space="0" w:color="000000"/>
            </w:tcBorders>
            <w:vAlign w:val="center"/>
          </w:tcPr>
          <w:p w14:paraId="19C32446" w14:textId="77777777" w:rsidR="007D706A" w:rsidRDefault="007D706A" w:rsidP="00F70508">
            <w:pPr>
              <w:pStyle w:val="ParagraphStyle9"/>
              <w:rPr>
                <w:rStyle w:val="CharacterStyle9"/>
              </w:rPr>
            </w:pPr>
            <w:r>
              <w:rPr>
                <w:rStyle w:val="CharacterStyle9"/>
              </w:rPr>
              <w:t>20.000,00</w:t>
            </w:r>
          </w:p>
        </w:tc>
        <w:tc>
          <w:tcPr>
            <w:tcW w:w="1395" w:type="dxa"/>
            <w:tcBorders>
              <w:bottom w:val="single" w:sz="6" w:space="0" w:color="000000"/>
              <w:right w:val="single" w:sz="6" w:space="0" w:color="000000"/>
            </w:tcBorders>
            <w:vAlign w:val="center"/>
          </w:tcPr>
          <w:p w14:paraId="6E535D68" w14:textId="77777777" w:rsidR="007D706A" w:rsidRDefault="007D706A" w:rsidP="00F70508">
            <w:pPr>
              <w:pStyle w:val="ParagraphStyle9"/>
              <w:rPr>
                <w:rStyle w:val="CharacterStyle9"/>
              </w:rPr>
            </w:pPr>
            <w:r>
              <w:rPr>
                <w:rStyle w:val="CharacterStyle9"/>
              </w:rPr>
              <w:t>20.000,00</w:t>
            </w:r>
          </w:p>
        </w:tc>
        <w:tc>
          <w:tcPr>
            <w:tcW w:w="1395" w:type="dxa"/>
            <w:tcBorders>
              <w:bottom w:val="single" w:sz="6" w:space="0" w:color="000000"/>
              <w:right w:val="single" w:sz="6" w:space="0" w:color="000000"/>
            </w:tcBorders>
            <w:vAlign w:val="center"/>
          </w:tcPr>
          <w:p w14:paraId="0F333FAB" w14:textId="77777777" w:rsidR="007D706A" w:rsidRDefault="007D706A" w:rsidP="00F70508">
            <w:pPr>
              <w:pStyle w:val="ParagraphStyle9"/>
              <w:rPr>
                <w:rStyle w:val="CharacterStyle9"/>
              </w:rPr>
            </w:pPr>
            <w:r>
              <w:rPr>
                <w:rStyle w:val="CharacterStyle9"/>
              </w:rPr>
              <w:t>20.000,00</w:t>
            </w:r>
          </w:p>
        </w:tc>
      </w:tr>
      <w:tr w:rsidR="007D706A" w14:paraId="5C4C9FB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D58264E"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69C26BA7"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62A8E67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49E6CA7" w14:textId="77777777" w:rsidR="007D706A" w:rsidRDefault="007D706A" w:rsidP="00F70508">
            <w:pPr>
              <w:pStyle w:val="ParagraphStyle12"/>
              <w:rPr>
                <w:rStyle w:val="CharacterStyle12"/>
              </w:rPr>
            </w:pPr>
            <w:r>
              <w:rPr>
                <w:rStyle w:val="CharacterStyle12"/>
              </w:rPr>
              <w:t>24.140,00</w:t>
            </w:r>
          </w:p>
        </w:tc>
        <w:tc>
          <w:tcPr>
            <w:tcW w:w="1395" w:type="dxa"/>
            <w:tcBorders>
              <w:bottom w:val="single" w:sz="6" w:space="0" w:color="000000"/>
              <w:right w:val="single" w:sz="6" w:space="0" w:color="000000"/>
            </w:tcBorders>
            <w:vAlign w:val="center"/>
          </w:tcPr>
          <w:p w14:paraId="4CBAFB17" w14:textId="77777777" w:rsidR="007D706A" w:rsidRDefault="007D706A" w:rsidP="00F70508">
            <w:pPr>
              <w:pStyle w:val="ParagraphStyle12"/>
              <w:rPr>
                <w:rStyle w:val="CharacterStyle12"/>
              </w:rPr>
            </w:pPr>
            <w:r>
              <w:rPr>
                <w:rStyle w:val="CharacterStyle12"/>
              </w:rPr>
              <w:t>20.000,00</w:t>
            </w:r>
          </w:p>
        </w:tc>
        <w:tc>
          <w:tcPr>
            <w:tcW w:w="1395" w:type="dxa"/>
            <w:tcBorders>
              <w:bottom w:val="single" w:sz="6" w:space="0" w:color="000000"/>
              <w:right w:val="single" w:sz="6" w:space="0" w:color="000000"/>
            </w:tcBorders>
            <w:vAlign w:val="center"/>
          </w:tcPr>
          <w:p w14:paraId="3C3F7294" w14:textId="77777777" w:rsidR="007D706A" w:rsidRDefault="007D706A" w:rsidP="00F70508">
            <w:pPr>
              <w:pStyle w:val="ParagraphStyle12"/>
              <w:rPr>
                <w:rStyle w:val="CharacterStyle12"/>
              </w:rPr>
            </w:pPr>
            <w:r>
              <w:rPr>
                <w:rStyle w:val="CharacterStyle12"/>
              </w:rPr>
              <w:t>20.000,00</w:t>
            </w:r>
          </w:p>
        </w:tc>
        <w:tc>
          <w:tcPr>
            <w:tcW w:w="1395" w:type="dxa"/>
            <w:tcBorders>
              <w:bottom w:val="single" w:sz="6" w:space="0" w:color="000000"/>
              <w:right w:val="single" w:sz="6" w:space="0" w:color="000000"/>
            </w:tcBorders>
            <w:vAlign w:val="center"/>
          </w:tcPr>
          <w:p w14:paraId="691B6DB5" w14:textId="77777777" w:rsidR="007D706A" w:rsidRDefault="007D706A" w:rsidP="00F70508">
            <w:pPr>
              <w:pStyle w:val="ParagraphStyle12"/>
              <w:rPr>
                <w:rStyle w:val="CharacterStyle12"/>
              </w:rPr>
            </w:pPr>
            <w:r>
              <w:rPr>
                <w:rStyle w:val="CharacterStyle12"/>
              </w:rPr>
              <w:t>20.000,00</w:t>
            </w:r>
          </w:p>
        </w:tc>
      </w:tr>
      <w:tr w:rsidR="007D706A" w14:paraId="0F1E92E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297AC43" w14:textId="77777777" w:rsidR="007D706A" w:rsidRDefault="007D706A" w:rsidP="00F70508">
            <w:pPr>
              <w:pStyle w:val="ParagraphStyle10"/>
              <w:rPr>
                <w:rStyle w:val="CharacterStyle10"/>
              </w:rPr>
            </w:pPr>
            <w:r>
              <w:rPr>
                <w:rStyle w:val="CharacterStyle10"/>
              </w:rPr>
              <w:t>42</w:t>
            </w:r>
          </w:p>
        </w:tc>
        <w:tc>
          <w:tcPr>
            <w:tcW w:w="4995" w:type="dxa"/>
            <w:tcBorders>
              <w:bottom w:val="single" w:sz="6" w:space="0" w:color="000000"/>
              <w:right w:val="single" w:sz="6" w:space="0" w:color="000000"/>
            </w:tcBorders>
            <w:vAlign w:val="center"/>
          </w:tcPr>
          <w:p w14:paraId="0FB84116"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2AA5AC0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0C6755F" w14:textId="77777777" w:rsidR="007D706A" w:rsidRDefault="007D706A" w:rsidP="00F70508">
            <w:pPr>
              <w:pStyle w:val="ParagraphStyle12"/>
              <w:rPr>
                <w:rStyle w:val="CharacterStyle12"/>
              </w:rPr>
            </w:pPr>
            <w:r>
              <w:rPr>
                <w:rStyle w:val="CharacterStyle12"/>
              </w:rPr>
              <w:t>24.140,00</w:t>
            </w:r>
          </w:p>
        </w:tc>
        <w:tc>
          <w:tcPr>
            <w:tcW w:w="1395" w:type="dxa"/>
            <w:tcBorders>
              <w:bottom w:val="single" w:sz="6" w:space="0" w:color="000000"/>
              <w:right w:val="single" w:sz="6" w:space="0" w:color="000000"/>
            </w:tcBorders>
            <w:vAlign w:val="center"/>
          </w:tcPr>
          <w:p w14:paraId="489180A6" w14:textId="77777777" w:rsidR="007D706A" w:rsidRDefault="007D706A" w:rsidP="00F70508">
            <w:pPr>
              <w:pStyle w:val="ParagraphStyle12"/>
              <w:rPr>
                <w:rStyle w:val="CharacterStyle12"/>
              </w:rPr>
            </w:pPr>
            <w:r>
              <w:rPr>
                <w:rStyle w:val="CharacterStyle12"/>
              </w:rPr>
              <w:t>20.000,00</w:t>
            </w:r>
          </w:p>
        </w:tc>
        <w:tc>
          <w:tcPr>
            <w:tcW w:w="1395" w:type="dxa"/>
            <w:tcBorders>
              <w:bottom w:val="single" w:sz="6" w:space="0" w:color="000000"/>
              <w:right w:val="single" w:sz="6" w:space="0" w:color="000000"/>
            </w:tcBorders>
            <w:vAlign w:val="center"/>
          </w:tcPr>
          <w:p w14:paraId="1101308E" w14:textId="77777777" w:rsidR="007D706A" w:rsidRDefault="007D706A" w:rsidP="00F70508">
            <w:pPr>
              <w:pStyle w:val="ParagraphStyle12"/>
              <w:rPr>
                <w:rStyle w:val="CharacterStyle12"/>
              </w:rPr>
            </w:pPr>
            <w:r>
              <w:rPr>
                <w:rStyle w:val="CharacterStyle12"/>
              </w:rPr>
              <w:t>20.000,00</w:t>
            </w:r>
          </w:p>
        </w:tc>
        <w:tc>
          <w:tcPr>
            <w:tcW w:w="1395" w:type="dxa"/>
            <w:tcBorders>
              <w:bottom w:val="single" w:sz="6" w:space="0" w:color="000000"/>
              <w:right w:val="single" w:sz="6" w:space="0" w:color="000000"/>
            </w:tcBorders>
            <w:vAlign w:val="center"/>
          </w:tcPr>
          <w:p w14:paraId="75B07FAA" w14:textId="77777777" w:rsidR="007D706A" w:rsidRDefault="007D706A" w:rsidP="00F70508">
            <w:pPr>
              <w:pStyle w:val="ParagraphStyle12"/>
              <w:rPr>
                <w:rStyle w:val="CharacterStyle12"/>
              </w:rPr>
            </w:pPr>
            <w:r>
              <w:rPr>
                <w:rStyle w:val="CharacterStyle12"/>
              </w:rPr>
              <w:t>20.000,00</w:t>
            </w:r>
          </w:p>
        </w:tc>
      </w:tr>
      <w:tr w:rsidR="007D706A" w14:paraId="0DDE1A4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2F72C72" w14:textId="77777777" w:rsidR="007D706A" w:rsidRDefault="007D706A" w:rsidP="00F70508">
            <w:pPr>
              <w:pStyle w:val="ParagraphStyle4"/>
              <w:rPr>
                <w:rStyle w:val="CharacterStyle4"/>
              </w:rPr>
            </w:pPr>
            <w:r>
              <w:rPr>
                <w:rStyle w:val="CharacterStyle4"/>
              </w:rPr>
              <w:t>Tekući projekt T103502</w:t>
            </w:r>
          </w:p>
        </w:tc>
        <w:tc>
          <w:tcPr>
            <w:tcW w:w="4995" w:type="dxa"/>
            <w:tcBorders>
              <w:bottom w:val="single" w:sz="6" w:space="0" w:color="000000"/>
              <w:right w:val="single" w:sz="6" w:space="0" w:color="000000"/>
            </w:tcBorders>
            <w:vAlign w:val="center"/>
          </w:tcPr>
          <w:p w14:paraId="7F70DA8A" w14:textId="77777777" w:rsidR="007D706A" w:rsidRDefault="007D706A" w:rsidP="00F70508">
            <w:pPr>
              <w:pStyle w:val="ParagraphStyle5"/>
              <w:rPr>
                <w:rStyle w:val="CharacterStyle5"/>
              </w:rPr>
            </w:pPr>
            <w:r>
              <w:rPr>
                <w:rStyle w:val="CharacterStyle5"/>
              </w:rPr>
              <w:t>PODRUČNI OBJEKT LAMANOVA</w:t>
            </w:r>
          </w:p>
        </w:tc>
        <w:tc>
          <w:tcPr>
            <w:tcW w:w="1395" w:type="dxa"/>
            <w:tcBorders>
              <w:bottom w:val="single" w:sz="6" w:space="0" w:color="000000"/>
              <w:right w:val="single" w:sz="6" w:space="0" w:color="000000"/>
            </w:tcBorders>
            <w:vAlign w:val="center"/>
          </w:tcPr>
          <w:p w14:paraId="277CEB20"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7E55025D" w14:textId="77777777" w:rsidR="007D706A" w:rsidRDefault="007D706A" w:rsidP="00F70508">
            <w:pPr>
              <w:pStyle w:val="ParagraphStyle6"/>
              <w:rPr>
                <w:rStyle w:val="CharacterStyle6"/>
              </w:rPr>
            </w:pPr>
            <w:r>
              <w:rPr>
                <w:rStyle w:val="CharacterStyle6"/>
              </w:rPr>
              <w:t>8.627,00</w:t>
            </w:r>
          </w:p>
        </w:tc>
        <w:tc>
          <w:tcPr>
            <w:tcW w:w="1395" w:type="dxa"/>
            <w:tcBorders>
              <w:bottom w:val="single" w:sz="6" w:space="0" w:color="000000"/>
              <w:right w:val="single" w:sz="6" w:space="0" w:color="000000"/>
            </w:tcBorders>
            <w:vAlign w:val="center"/>
          </w:tcPr>
          <w:p w14:paraId="1E489E87" w14:textId="77777777" w:rsidR="007D706A" w:rsidRDefault="007D706A" w:rsidP="00F70508">
            <w:pPr>
              <w:pStyle w:val="ParagraphStyle6"/>
              <w:rPr>
                <w:rStyle w:val="CharacterStyle6"/>
              </w:rPr>
            </w:pPr>
            <w:r>
              <w:rPr>
                <w:rStyle w:val="CharacterStyle6"/>
              </w:rPr>
              <w:t>8.627,00</w:t>
            </w:r>
          </w:p>
        </w:tc>
        <w:tc>
          <w:tcPr>
            <w:tcW w:w="1395" w:type="dxa"/>
            <w:tcBorders>
              <w:bottom w:val="single" w:sz="6" w:space="0" w:color="000000"/>
              <w:right w:val="single" w:sz="6" w:space="0" w:color="000000"/>
            </w:tcBorders>
            <w:vAlign w:val="center"/>
          </w:tcPr>
          <w:p w14:paraId="62F65484" w14:textId="77777777" w:rsidR="007D706A" w:rsidRDefault="007D706A" w:rsidP="00F70508">
            <w:pPr>
              <w:pStyle w:val="ParagraphStyle6"/>
              <w:rPr>
                <w:rStyle w:val="CharacterStyle6"/>
              </w:rPr>
            </w:pPr>
            <w:r>
              <w:rPr>
                <w:rStyle w:val="CharacterStyle6"/>
              </w:rPr>
              <w:t>8.627,00</w:t>
            </w:r>
          </w:p>
        </w:tc>
        <w:tc>
          <w:tcPr>
            <w:tcW w:w="1395" w:type="dxa"/>
            <w:tcBorders>
              <w:bottom w:val="single" w:sz="6" w:space="0" w:color="000000"/>
              <w:right w:val="single" w:sz="6" w:space="0" w:color="000000"/>
            </w:tcBorders>
            <w:vAlign w:val="center"/>
          </w:tcPr>
          <w:p w14:paraId="1F1543FE" w14:textId="77777777" w:rsidR="007D706A" w:rsidRDefault="007D706A" w:rsidP="00F70508">
            <w:pPr>
              <w:pStyle w:val="ParagraphStyle6"/>
              <w:rPr>
                <w:rStyle w:val="CharacterStyle6"/>
              </w:rPr>
            </w:pPr>
            <w:r>
              <w:rPr>
                <w:rStyle w:val="CharacterStyle6"/>
              </w:rPr>
              <w:t>8.627,00</w:t>
            </w:r>
          </w:p>
        </w:tc>
      </w:tr>
      <w:tr w:rsidR="007D706A" w14:paraId="07DE348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CA3CA33"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5290D247"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18DFE023"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FA6593B" w14:textId="77777777" w:rsidR="007D706A" w:rsidRDefault="007D706A" w:rsidP="00F70508">
            <w:pPr>
              <w:pStyle w:val="ParagraphStyle9"/>
              <w:rPr>
                <w:rStyle w:val="CharacterStyle9"/>
              </w:rPr>
            </w:pPr>
            <w:r>
              <w:rPr>
                <w:rStyle w:val="CharacterStyle9"/>
              </w:rPr>
              <w:t>8.627,00</w:t>
            </w:r>
          </w:p>
        </w:tc>
        <w:tc>
          <w:tcPr>
            <w:tcW w:w="1395" w:type="dxa"/>
            <w:tcBorders>
              <w:bottom w:val="single" w:sz="6" w:space="0" w:color="000000"/>
              <w:right w:val="single" w:sz="6" w:space="0" w:color="000000"/>
            </w:tcBorders>
            <w:vAlign w:val="center"/>
          </w:tcPr>
          <w:p w14:paraId="0BBA2752" w14:textId="77777777" w:rsidR="007D706A" w:rsidRDefault="007D706A" w:rsidP="00F70508">
            <w:pPr>
              <w:pStyle w:val="ParagraphStyle9"/>
              <w:rPr>
                <w:rStyle w:val="CharacterStyle9"/>
              </w:rPr>
            </w:pPr>
            <w:r>
              <w:rPr>
                <w:rStyle w:val="CharacterStyle9"/>
              </w:rPr>
              <w:t>8.627,00</w:t>
            </w:r>
          </w:p>
        </w:tc>
        <w:tc>
          <w:tcPr>
            <w:tcW w:w="1395" w:type="dxa"/>
            <w:tcBorders>
              <w:bottom w:val="single" w:sz="6" w:space="0" w:color="000000"/>
              <w:right w:val="single" w:sz="6" w:space="0" w:color="000000"/>
            </w:tcBorders>
            <w:vAlign w:val="center"/>
          </w:tcPr>
          <w:p w14:paraId="7F832411" w14:textId="77777777" w:rsidR="007D706A" w:rsidRDefault="007D706A" w:rsidP="00F70508">
            <w:pPr>
              <w:pStyle w:val="ParagraphStyle9"/>
              <w:rPr>
                <w:rStyle w:val="CharacterStyle9"/>
              </w:rPr>
            </w:pPr>
            <w:r>
              <w:rPr>
                <w:rStyle w:val="CharacterStyle9"/>
              </w:rPr>
              <w:t>8.627,00</w:t>
            </w:r>
          </w:p>
        </w:tc>
        <w:tc>
          <w:tcPr>
            <w:tcW w:w="1395" w:type="dxa"/>
            <w:tcBorders>
              <w:bottom w:val="single" w:sz="6" w:space="0" w:color="000000"/>
              <w:right w:val="single" w:sz="6" w:space="0" w:color="000000"/>
            </w:tcBorders>
            <w:vAlign w:val="center"/>
          </w:tcPr>
          <w:p w14:paraId="650B919E" w14:textId="77777777" w:rsidR="007D706A" w:rsidRDefault="007D706A" w:rsidP="00F70508">
            <w:pPr>
              <w:pStyle w:val="ParagraphStyle9"/>
              <w:rPr>
                <w:rStyle w:val="CharacterStyle9"/>
              </w:rPr>
            </w:pPr>
            <w:r>
              <w:rPr>
                <w:rStyle w:val="CharacterStyle9"/>
              </w:rPr>
              <w:t>8.627,00</w:t>
            </w:r>
          </w:p>
        </w:tc>
      </w:tr>
      <w:tr w:rsidR="007D706A" w14:paraId="198CC84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2925950"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73794154"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0DCC29A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C67BCEB" w14:textId="77777777" w:rsidR="007D706A" w:rsidRDefault="007D706A" w:rsidP="00F70508">
            <w:pPr>
              <w:pStyle w:val="ParagraphStyle12"/>
              <w:rPr>
                <w:rStyle w:val="CharacterStyle12"/>
              </w:rPr>
            </w:pPr>
            <w:r>
              <w:rPr>
                <w:rStyle w:val="CharacterStyle12"/>
              </w:rPr>
              <w:t>8.627,00</w:t>
            </w:r>
          </w:p>
        </w:tc>
        <w:tc>
          <w:tcPr>
            <w:tcW w:w="1395" w:type="dxa"/>
            <w:tcBorders>
              <w:bottom w:val="single" w:sz="6" w:space="0" w:color="000000"/>
              <w:right w:val="single" w:sz="6" w:space="0" w:color="000000"/>
            </w:tcBorders>
            <w:vAlign w:val="center"/>
          </w:tcPr>
          <w:p w14:paraId="62C772DD" w14:textId="77777777" w:rsidR="007D706A" w:rsidRDefault="007D706A" w:rsidP="00F70508">
            <w:pPr>
              <w:pStyle w:val="ParagraphStyle12"/>
              <w:rPr>
                <w:rStyle w:val="CharacterStyle12"/>
              </w:rPr>
            </w:pPr>
            <w:r>
              <w:rPr>
                <w:rStyle w:val="CharacterStyle12"/>
              </w:rPr>
              <w:t>8.627,00</w:t>
            </w:r>
          </w:p>
        </w:tc>
        <w:tc>
          <w:tcPr>
            <w:tcW w:w="1395" w:type="dxa"/>
            <w:tcBorders>
              <w:bottom w:val="single" w:sz="6" w:space="0" w:color="000000"/>
              <w:right w:val="single" w:sz="6" w:space="0" w:color="000000"/>
            </w:tcBorders>
            <w:vAlign w:val="center"/>
          </w:tcPr>
          <w:p w14:paraId="188E6CEB" w14:textId="77777777" w:rsidR="007D706A" w:rsidRDefault="007D706A" w:rsidP="00F70508">
            <w:pPr>
              <w:pStyle w:val="ParagraphStyle12"/>
              <w:rPr>
                <w:rStyle w:val="CharacterStyle12"/>
              </w:rPr>
            </w:pPr>
            <w:r>
              <w:rPr>
                <w:rStyle w:val="CharacterStyle12"/>
              </w:rPr>
              <w:t>8.627,00</w:t>
            </w:r>
          </w:p>
        </w:tc>
        <w:tc>
          <w:tcPr>
            <w:tcW w:w="1395" w:type="dxa"/>
            <w:tcBorders>
              <w:bottom w:val="single" w:sz="6" w:space="0" w:color="000000"/>
              <w:right w:val="single" w:sz="6" w:space="0" w:color="000000"/>
            </w:tcBorders>
            <w:vAlign w:val="center"/>
          </w:tcPr>
          <w:p w14:paraId="2AF524AD" w14:textId="77777777" w:rsidR="007D706A" w:rsidRDefault="007D706A" w:rsidP="00F70508">
            <w:pPr>
              <w:pStyle w:val="ParagraphStyle12"/>
              <w:rPr>
                <w:rStyle w:val="CharacterStyle12"/>
              </w:rPr>
            </w:pPr>
            <w:r>
              <w:rPr>
                <w:rStyle w:val="CharacterStyle12"/>
              </w:rPr>
              <w:t>8.627,00</w:t>
            </w:r>
          </w:p>
        </w:tc>
      </w:tr>
      <w:tr w:rsidR="007D706A" w14:paraId="460FFAD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8EB436C"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04866FF6"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3481EF2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7C0B39C" w14:textId="77777777" w:rsidR="007D706A" w:rsidRDefault="007D706A" w:rsidP="00F70508">
            <w:pPr>
              <w:pStyle w:val="ParagraphStyle12"/>
              <w:rPr>
                <w:rStyle w:val="CharacterStyle12"/>
              </w:rPr>
            </w:pPr>
            <w:r>
              <w:rPr>
                <w:rStyle w:val="CharacterStyle12"/>
              </w:rPr>
              <w:t>8.627,00</w:t>
            </w:r>
          </w:p>
        </w:tc>
        <w:tc>
          <w:tcPr>
            <w:tcW w:w="1395" w:type="dxa"/>
            <w:tcBorders>
              <w:bottom w:val="single" w:sz="6" w:space="0" w:color="000000"/>
              <w:right w:val="single" w:sz="6" w:space="0" w:color="000000"/>
            </w:tcBorders>
            <w:vAlign w:val="center"/>
          </w:tcPr>
          <w:p w14:paraId="36B75EF5" w14:textId="77777777" w:rsidR="007D706A" w:rsidRDefault="007D706A" w:rsidP="00F70508">
            <w:pPr>
              <w:pStyle w:val="ParagraphStyle12"/>
              <w:rPr>
                <w:rStyle w:val="CharacterStyle12"/>
              </w:rPr>
            </w:pPr>
            <w:r>
              <w:rPr>
                <w:rStyle w:val="CharacterStyle12"/>
              </w:rPr>
              <w:t>8.627,00</w:t>
            </w:r>
          </w:p>
        </w:tc>
        <w:tc>
          <w:tcPr>
            <w:tcW w:w="1395" w:type="dxa"/>
            <w:tcBorders>
              <w:bottom w:val="single" w:sz="6" w:space="0" w:color="000000"/>
              <w:right w:val="single" w:sz="6" w:space="0" w:color="000000"/>
            </w:tcBorders>
            <w:vAlign w:val="center"/>
          </w:tcPr>
          <w:p w14:paraId="33C2BD70" w14:textId="77777777" w:rsidR="007D706A" w:rsidRDefault="007D706A" w:rsidP="00F70508">
            <w:pPr>
              <w:pStyle w:val="ParagraphStyle12"/>
              <w:rPr>
                <w:rStyle w:val="CharacterStyle12"/>
              </w:rPr>
            </w:pPr>
            <w:r>
              <w:rPr>
                <w:rStyle w:val="CharacterStyle12"/>
              </w:rPr>
              <w:t>8.627,00</w:t>
            </w:r>
          </w:p>
        </w:tc>
        <w:tc>
          <w:tcPr>
            <w:tcW w:w="1395" w:type="dxa"/>
            <w:tcBorders>
              <w:bottom w:val="single" w:sz="6" w:space="0" w:color="000000"/>
              <w:right w:val="single" w:sz="6" w:space="0" w:color="000000"/>
            </w:tcBorders>
            <w:vAlign w:val="center"/>
          </w:tcPr>
          <w:p w14:paraId="50EA42C2" w14:textId="77777777" w:rsidR="007D706A" w:rsidRDefault="007D706A" w:rsidP="00F70508">
            <w:pPr>
              <w:pStyle w:val="ParagraphStyle12"/>
              <w:rPr>
                <w:rStyle w:val="CharacterStyle12"/>
              </w:rPr>
            </w:pPr>
            <w:r>
              <w:rPr>
                <w:rStyle w:val="CharacterStyle12"/>
              </w:rPr>
              <w:t>8.627,00</w:t>
            </w:r>
          </w:p>
        </w:tc>
      </w:tr>
      <w:tr w:rsidR="007D706A" w14:paraId="255C2CE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E171FA9" w14:textId="77777777" w:rsidR="007D706A" w:rsidRDefault="007D706A" w:rsidP="00F70508">
            <w:pPr>
              <w:pStyle w:val="ParagraphStyle4"/>
              <w:rPr>
                <w:rStyle w:val="CharacterStyle4"/>
              </w:rPr>
            </w:pPr>
            <w:r>
              <w:rPr>
                <w:rStyle w:val="CharacterStyle4"/>
              </w:rPr>
              <w:t>GLAVA    00703</w:t>
            </w:r>
          </w:p>
        </w:tc>
        <w:tc>
          <w:tcPr>
            <w:tcW w:w="4995" w:type="dxa"/>
            <w:tcBorders>
              <w:bottom w:val="single" w:sz="6" w:space="0" w:color="000000"/>
              <w:right w:val="single" w:sz="6" w:space="0" w:color="000000"/>
            </w:tcBorders>
            <w:vAlign w:val="center"/>
          </w:tcPr>
          <w:p w14:paraId="08268584" w14:textId="77777777" w:rsidR="007D706A" w:rsidRDefault="007D706A" w:rsidP="00F70508">
            <w:pPr>
              <w:pStyle w:val="ParagraphStyle5"/>
              <w:rPr>
                <w:rStyle w:val="CharacterStyle5"/>
              </w:rPr>
            </w:pPr>
            <w:r>
              <w:rPr>
                <w:rStyle w:val="CharacterStyle5"/>
              </w:rPr>
              <w:t>OSNOVNE ŠKOLE</w:t>
            </w:r>
          </w:p>
        </w:tc>
        <w:tc>
          <w:tcPr>
            <w:tcW w:w="1395" w:type="dxa"/>
            <w:tcBorders>
              <w:bottom w:val="single" w:sz="6" w:space="0" w:color="000000"/>
              <w:right w:val="single" w:sz="6" w:space="0" w:color="000000"/>
            </w:tcBorders>
            <w:vAlign w:val="center"/>
          </w:tcPr>
          <w:p w14:paraId="48DCDAD1"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5BC350CD" w14:textId="77777777" w:rsidR="007D706A" w:rsidRDefault="007D706A" w:rsidP="00F70508">
            <w:pPr>
              <w:pStyle w:val="ParagraphStyle6"/>
              <w:rPr>
                <w:rStyle w:val="CharacterStyle6"/>
              </w:rPr>
            </w:pPr>
            <w:r>
              <w:rPr>
                <w:rStyle w:val="CharacterStyle6"/>
              </w:rPr>
              <w:t>7.843.768,50</w:t>
            </w:r>
          </w:p>
        </w:tc>
        <w:tc>
          <w:tcPr>
            <w:tcW w:w="1395" w:type="dxa"/>
            <w:tcBorders>
              <w:bottom w:val="single" w:sz="6" w:space="0" w:color="000000"/>
              <w:right w:val="single" w:sz="6" w:space="0" w:color="000000"/>
            </w:tcBorders>
            <w:vAlign w:val="center"/>
          </w:tcPr>
          <w:p w14:paraId="6EFFB03F" w14:textId="77777777" w:rsidR="007D706A" w:rsidRDefault="007D706A" w:rsidP="00F70508">
            <w:pPr>
              <w:pStyle w:val="ParagraphStyle6"/>
              <w:rPr>
                <w:rStyle w:val="CharacterStyle6"/>
              </w:rPr>
            </w:pPr>
            <w:r>
              <w:rPr>
                <w:rStyle w:val="CharacterStyle6"/>
              </w:rPr>
              <w:t>7.609.145,00</w:t>
            </w:r>
          </w:p>
        </w:tc>
        <w:tc>
          <w:tcPr>
            <w:tcW w:w="1395" w:type="dxa"/>
            <w:tcBorders>
              <w:bottom w:val="single" w:sz="6" w:space="0" w:color="000000"/>
              <w:right w:val="single" w:sz="6" w:space="0" w:color="000000"/>
            </w:tcBorders>
            <w:vAlign w:val="center"/>
          </w:tcPr>
          <w:p w14:paraId="621950AE" w14:textId="77777777" w:rsidR="007D706A" w:rsidRDefault="007D706A" w:rsidP="00F70508">
            <w:pPr>
              <w:pStyle w:val="ParagraphStyle6"/>
              <w:rPr>
                <w:rStyle w:val="CharacterStyle6"/>
              </w:rPr>
            </w:pPr>
            <w:r>
              <w:rPr>
                <w:rStyle w:val="CharacterStyle6"/>
              </w:rPr>
              <w:t>7.745.822,77</w:t>
            </w:r>
          </w:p>
        </w:tc>
        <w:tc>
          <w:tcPr>
            <w:tcW w:w="1395" w:type="dxa"/>
            <w:tcBorders>
              <w:bottom w:val="single" w:sz="6" w:space="0" w:color="000000"/>
              <w:right w:val="single" w:sz="6" w:space="0" w:color="000000"/>
            </w:tcBorders>
            <w:vAlign w:val="center"/>
          </w:tcPr>
          <w:p w14:paraId="0038FD5B" w14:textId="77777777" w:rsidR="007D706A" w:rsidRDefault="007D706A" w:rsidP="00F70508">
            <w:pPr>
              <w:pStyle w:val="ParagraphStyle6"/>
              <w:rPr>
                <w:rStyle w:val="CharacterStyle6"/>
              </w:rPr>
            </w:pPr>
            <w:r>
              <w:rPr>
                <w:rStyle w:val="CharacterStyle6"/>
              </w:rPr>
              <w:t>7.822.356,85</w:t>
            </w:r>
          </w:p>
        </w:tc>
      </w:tr>
      <w:tr w:rsidR="007D706A" w14:paraId="0D7FEB96"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C327CA5" w14:textId="77777777" w:rsidR="007D706A" w:rsidRDefault="007D706A" w:rsidP="00F70508">
            <w:pPr>
              <w:pStyle w:val="ParagraphStyle4"/>
              <w:rPr>
                <w:rStyle w:val="CharacterStyle4"/>
              </w:rPr>
            </w:pPr>
            <w:r>
              <w:rPr>
                <w:rStyle w:val="CharacterStyle4"/>
              </w:rPr>
              <w:t>Izvor financiranja 11</w:t>
            </w:r>
          </w:p>
        </w:tc>
        <w:tc>
          <w:tcPr>
            <w:tcW w:w="4995" w:type="dxa"/>
            <w:tcBorders>
              <w:bottom w:val="single" w:sz="6" w:space="0" w:color="000000"/>
              <w:right w:val="single" w:sz="6" w:space="0" w:color="000000"/>
            </w:tcBorders>
            <w:vAlign w:val="center"/>
          </w:tcPr>
          <w:p w14:paraId="17E4A40E" w14:textId="77777777" w:rsidR="007D706A" w:rsidRDefault="007D706A" w:rsidP="00F70508">
            <w:pPr>
              <w:pStyle w:val="ParagraphStyle5"/>
              <w:rPr>
                <w:rStyle w:val="CharacterStyle5"/>
              </w:rPr>
            </w:pPr>
            <w:r>
              <w:rPr>
                <w:rStyle w:val="CharacterStyle5"/>
              </w:rPr>
              <w:t>Opći prihodi i primici</w:t>
            </w:r>
          </w:p>
        </w:tc>
        <w:tc>
          <w:tcPr>
            <w:tcW w:w="1395" w:type="dxa"/>
            <w:tcBorders>
              <w:bottom w:val="single" w:sz="6" w:space="0" w:color="000000"/>
              <w:right w:val="single" w:sz="6" w:space="0" w:color="000000"/>
            </w:tcBorders>
            <w:vAlign w:val="center"/>
          </w:tcPr>
          <w:p w14:paraId="397665F5"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0E323CAD" w14:textId="77777777" w:rsidR="007D706A" w:rsidRDefault="007D706A" w:rsidP="00F70508">
            <w:pPr>
              <w:pStyle w:val="ParagraphStyle6"/>
              <w:rPr>
                <w:rStyle w:val="CharacterStyle6"/>
              </w:rPr>
            </w:pPr>
            <w:r>
              <w:rPr>
                <w:rStyle w:val="CharacterStyle6"/>
              </w:rPr>
              <w:t>814.671,81</w:t>
            </w:r>
          </w:p>
        </w:tc>
        <w:tc>
          <w:tcPr>
            <w:tcW w:w="1395" w:type="dxa"/>
            <w:tcBorders>
              <w:bottom w:val="single" w:sz="6" w:space="0" w:color="000000"/>
              <w:right w:val="single" w:sz="6" w:space="0" w:color="000000"/>
            </w:tcBorders>
            <w:vAlign w:val="center"/>
          </w:tcPr>
          <w:p w14:paraId="384E7611" w14:textId="77777777" w:rsidR="007D706A" w:rsidRDefault="007D706A" w:rsidP="00F70508">
            <w:pPr>
              <w:pStyle w:val="ParagraphStyle6"/>
              <w:rPr>
                <w:rStyle w:val="CharacterStyle6"/>
              </w:rPr>
            </w:pPr>
            <w:r>
              <w:rPr>
                <w:rStyle w:val="CharacterStyle6"/>
              </w:rPr>
              <w:t>1.151.717,69</w:t>
            </w:r>
          </w:p>
        </w:tc>
        <w:tc>
          <w:tcPr>
            <w:tcW w:w="1395" w:type="dxa"/>
            <w:tcBorders>
              <w:bottom w:val="single" w:sz="6" w:space="0" w:color="000000"/>
              <w:right w:val="single" w:sz="6" w:space="0" w:color="000000"/>
            </w:tcBorders>
            <w:vAlign w:val="center"/>
          </w:tcPr>
          <w:p w14:paraId="35142D03" w14:textId="77777777" w:rsidR="007D706A" w:rsidRDefault="007D706A" w:rsidP="00F70508">
            <w:pPr>
              <w:pStyle w:val="ParagraphStyle6"/>
              <w:rPr>
                <w:rStyle w:val="CharacterStyle6"/>
              </w:rPr>
            </w:pPr>
            <w:r>
              <w:rPr>
                <w:rStyle w:val="CharacterStyle6"/>
              </w:rPr>
              <w:t>1.187.877,08</w:t>
            </w:r>
          </w:p>
        </w:tc>
        <w:tc>
          <w:tcPr>
            <w:tcW w:w="1395" w:type="dxa"/>
            <w:tcBorders>
              <w:bottom w:val="single" w:sz="6" w:space="0" w:color="000000"/>
              <w:right w:val="single" w:sz="6" w:space="0" w:color="000000"/>
            </w:tcBorders>
            <w:vAlign w:val="center"/>
          </w:tcPr>
          <w:p w14:paraId="620FA6D4" w14:textId="77777777" w:rsidR="007D706A" w:rsidRDefault="007D706A" w:rsidP="00F70508">
            <w:pPr>
              <w:pStyle w:val="ParagraphStyle6"/>
              <w:rPr>
                <w:rStyle w:val="CharacterStyle6"/>
              </w:rPr>
            </w:pPr>
            <w:r>
              <w:rPr>
                <w:rStyle w:val="CharacterStyle6"/>
              </w:rPr>
              <w:t>1.199.689,95</w:t>
            </w:r>
          </w:p>
        </w:tc>
      </w:tr>
      <w:tr w:rsidR="007D706A" w14:paraId="1A4F3F9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F7D816D" w14:textId="77777777" w:rsidR="007D706A" w:rsidRDefault="007D706A" w:rsidP="00F70508">
            <w:pPr>
              <w:pStyle w:val="ParagraphStyle4"/>
              <w:rPr>
                <w:rStyle w:val="CharacterStyle4"/>
              </w:rPr>
            </w:pPr>
            <w:r>
              <w:rPr>
                <w:rStyle w:val="CharacterStyle4"/>
              </w:rPr>
              <w:t>Izvor financiranja 31</w:t>
            </w:r>
          </w:p>
        </w:tc>
        <w:tc>
          <w:tcPr>
            <w:tcW w:w="4995" w:type="dxa"/>
            <w:tcBorders>
              <w:bottom w:val="single" w:sz="6" w:space="0" w:color="000000"/>
              <w:right w:val="single" w:sz="6" w:space="0" w:color="000000"/>
            </w:tcBorders>
            <w:vAlign w:val="center"/>
          </w:tcPr>
          <w:p w14:paraId="0CDB2BAF" w14:textId="77777777" w:rsidR="007D706A" w:rsidRDefault="007D706A" w:rsidP="00F70508">
            <w:pPr>
              <w:pStyle w:val="ParagraphStyle5"/>
              <w:rPr>
                <w:rStyle w:val="CharacterStyle5"/>
              </w:rPr>
            </w:pPr>
            <w:r>
              <w:rPr>
                <w:rStyle w:val="CharacterStyle5"/>
              </w:rPr>
              <w:t>Vlastiti prihodi</w:t>
            </w:r>
          </w:p>
        </w:tc>
        <w:tc>
          <w:tcPr>
            <w:tcW w:w="1395" w:type="dxa"/>
            <w:tcBorders>
              <w:bottom w:val="single" w:sz="6" w:space="0" w:color="000000"/>
              <w:right w:val="single" w:sz="6" w:space="0" w:color="000000"/>
            </w:tcBorders>
            <w:vAlign w:val="center"/>
          </w:tcPr>
          <w:p w14:paraId="4F27A06E"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3E427D38" w14:textId="77777777" w:rsidR="007D706A" w:rsidRDefault="007D706A" w:rsidP="00F70508">
            <w:pPr>
              <w:pStyle w:val="ParagraphStyle6"/>
              <w:rPr>
                <w:rStyle w:val="CharacterStyle6"/>
              </w:rPr>
            </w:pPr>
            <w:r>
              <w:rPr>
                <w:rStyle w:val="CharacterStyle6"/>
              </w:rPr>
              <w:t>14.140,00</w:t>
            </w:r>
          </w:p>
        </w:tc>
        <w:tc>
          <w:tcPr>
            <w:tcW w:w="1395" w:type="dxa"/>
            <w:tcBorders>
              <w:bottom w:val="single" w:sz="6" w:space="0" w:color="000000"/>
              <w:right w:val="single" w:sz="6" w:space="0" w:color="000000"/>
            </w:tcBorders>
            <w:vAlign w:val="center"/>
          </w:tcPr>
          <w:p w14:paraId="17CA9E58" w14:textId="77777777" w:rsidR="007D706A" w:rsidRDefault="007D706A" w:rsidP="00F70508">
            <w:pPr>
              <w:pStyle w:val="ParagraphStyle6"/>
              <w:rPr>
                <w:rStyle w:val="CharacterStyle6"/>
              </w:rPr>
            </w:pPr>
            <w:r>
              <w:rPr>
                <w:rStyle w:val="CharacterStyle6"/>
              </w:rPr>
              <w:t>59.590,00</w:t>
            </w:r>
          </w:p>
        </w:tc>
        <w:tc>
          <w:tcPr>
            <w:tcW w:w="1395" w:type="dxa"/>
            <w:tcBorders>
              <w:bottom w:val="single" w:sz="6" w:space="0" w:color="000000"/>
              <w:right w:val="single" w:sz="6" w:space="0" w:color="000000"/>
            </w:tcBorders>
            <w:vAlign w:val="center"/>
          </w:tcPr>
          <w:p w14:paraId="53295701" w14:textId="77777777" w:rsidR="007D706A" w:rsidRDefault="007D706A" w:rsidP="00F70508">
            <w:pPr>
              <w:pStyle w:val="ParagraphStyle6"/>
              <w:rPr>
                <w:rStyle w:val="CharacterStyle6"/>
              </w:rPr>
            </w:pPr>
            <w:r>
              <w:rPr>
                <w:rStyle w:val="CharacterStyle6"/>
              </w:rPr>
              <w:t>14.394,60</w:t>
            </w:r>
          </w:p>
        </w:tc>
        <w:tc>
          <w:tcPr>
            <w:tcW w:w="1395" w:type="dxa"/>
            <w:tcBorders>
              <w:bottom w:val="single" w:sz="6" w:space="0" w:color="000000"/>
              <w:right w:val="single" w:sz="6" w:space="0" w:color="000000"/>
            </w:tcBorders>
            <w:vAlign w:val="center"/>
          </w:tcPr>
          <w:p w14:paraId="73FBB4AD" w14:textId="77777777" w:rsidR="007D706A" w:rsidRDefault="007D706A" w:rsidP="00F70508">
            <w:pPr>
              <w:pStyle w:val="ParagraphStyle6"/>
              <w:rPr>
                <w:rStyle w:val="CharacterStyle6"/>
              </w:rPr>
            </w:pPr>
            <w:r>
              <w:rPr>
                <w:rStyle w:val="CharacterStyle6"/>
              </w:rPr>
              <w:t>14.536,00</w:t>
            </w:r>
          </w:p>
        </w:tc>
      </w:tr>
      <w:tr w:rsidR="007D706A" w14:paraId="21336E5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D476FAD" w14:textId="77777777" w:rsidR="007D706A" w:rsidRDefault="007D706A" w:rsidP="00F70508">
            <w:pPr>
              <w:pStyle w:val="ParagraphStyle4"/>
              <w:rPr>
                <w:rStyle w:val="CharacterStyle4"/>
              </w:rPr>
            </w:pPr>
            <w:r>
              <w:rPr>
                <w:rStyle w:val="CharacterStyle4"/>
              </w:rPr>
              <w:t>Izvor financiranja 41</w:t>
            </w:r>
          </w:p>
        </w:tc>
        <w:tc>
          <w:tcPr>
            <w:tcW w:w="4995" w:type="dxa"/>
            <w:tcBorders>
              <w:bottom w:val="single" w:sz="6" w:space="0" w:color="000000"/>
              <w:right w:val="single" w:sz="6" w:space="0" w:color="000000"/>
            </w:tcBorders>
            <w:vAlign w:val="center"/>
          </w:tcPr>
          <w:p w14:paraId="6894284C" w14:textId="77777777" w:rsidR="007D706A" w:rsidRDefault="007D706A" w:rsidP="00F70508">
            <w:pPr>
              <w:pStyle w:val="ParagraphStyle5"/>
              <w:rPr>
                <w:rStyle w:val="CharacterStyle5"/>
              </w:rPr>
            </w:pPr>
            <w:r>
              <w:rPr>
                <w:rStyle w:val="CharacterStyle5"/>
              </w:rPr>
              <w:t>Prihodi za posebne namjene</w:t>
            </w:r>
          </w:p>
        </w:tc>
        <w:tc>
          <w:tcPr>
            <w:tcW w:w="1395" w:type="dxa"/>
            <w:tcBorders>
              <w:bottom w:val="single" w:sz="6" w:space="0" w:color="000000"/>
              <w:right w:val="single" w:sz="6" w:space="0" w:color="000000"/>
            </w:tcBorders>
            <w:vAlign w:val="center"/>
          </w:tcPr>
          <w:p w14:paraId="16DACD8B"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630C107B" w14:textId="77777777" w:rsidR="007D706A" w:rsidRDefault="007D706A" w:rsidP="00F70508">
            <w:pPr>
              <w:pStyle w:val="ParagraphStyle6"/>
              <w:rPr>
                <w:rStyle w:val="CharacterStyle6"/>
              </w:rPr>
            </w:pPr>
            <w:r>
              <w:rPr>
                <w:rStyle w:val="CharacterStyle6"/>
              </w:rPr>
              <w:t>165.000,00</w:t>
            </w:r>
          </w:p>
        </w:tc>
        <w:tc>
          <w:tcPr>
            <w:tcW w:w="1395" w:type="dxa"/>
            <w:tcBorders>
              <w:bottom w:val="single" w:sz="6" w:space="0" w:color="000000"/>
              <w:right w:val="single" w:sz="6" w:space="0" w:color="000000"/>
            </w:tcBorders>
            <w:vAlign w:val="center"/>
          </w:tcPr>
          <w:p w14:paraId="60E1275B"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38AFC4BF"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4A1BA270" w14:textId="77777777" w:rsidR="007D706A" w:rsidRDefault="007D706A" w:rsidP="00F70508">
            <w:pPr>
              <w:pStyle w:val="ParagraphStyle6"/>
              <w:rPr>
                <w:rStyle w:val="CharacterStyle6"/>
              </w:rPr>
            </w:pPr>
            <w:r>
              <w:rPr>
                <w:rStyle w:val="CharacterStyle6"/>
              </w:rPr>
              <w:t>0,00</w:t>
            </w:r>
          </w:p>
        </w:tc>
      </w:tr>
      <w:tr w:rsidR="007D706A" w14:paraId="67D7558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D1DD128" w14:textId="77777777" w:rsidR="007D706A" w:rsidRDefault="007D706A" w:rsidP="00F70508">
            <w:pPr>
              <w:pStyle w:val="ParagraphStyle4"/>
              <w:rPr>
                <w:rStyle w:val="CharacterStyle4"/>
              </w:rPr>
            </w:pPr>
            <w:r>
              <w:rPr>
                <w:rStyle w:val="CharacterStyle4"/>
              </w:rPr>
              <w:t>Izvor financiranja 43</w:t>
            </w:r>
          </w:p>
        </w:tc>
        <w:tc>
          <w:tcPr>
            <w:tcW w:w="4995" w:type="dxa"/>
            <w:tcBorders>
              <w:bottom w:val="single" w:sz="6" w:space="0" w:color="000000"/>
              <w:right w:val="single" w:sz="6" w:space="0" w:color="000000"/>
            </w:tcBorders>
            <w:vAlign w:val="center"/>
          </w:tcPr>
          <w:p w14:paraId="0BEDD08A" w14:textId="77777777" w:rsidR="007D706A" w:rsidRDefault="007D706A" w:rsidP="00F70508">
            <w:pPr>
              <w:pStyle w:val="ParagraphStyle5"/>
              <w:rPr>
                <w:rStyle w:val="CharacterStyle5"/>
              </w:rPr>
            </w:pPr>
            <w:r>
              <w:rPr>
                <w:rStyle w:val="CharacterStyle5"/>
              </w:rPr>
              <w:t>Ostali prihodi za posebne namjene</w:t>
            </w:r>
          </w:p>
        </w:tc>
        <w:tc>
          <w:tcPr>
            <w:tcW w:w="1395" w:type="dxa"/>
            <w:tcBorders>
              <w:bottom w:val="single" w:sz="6" w:space="0" w:color="000000"/>
              <w:right w:val="single" w:sz="6" w:space="0" w:color="000000"/>
            </w:tcBorders>
            <w:vAlign w:val="center"/>
          </w:tcPr>
          <w:p w14:paraId="3D65EBEA"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0A18492D"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60BBFCAB" w14:textId="77777777" w:rsidR="007D706A" w:rsidRDefault="007D706A" w:rsidP="00F70508">
            <w:pPr>
              <w:pStyle w:val="ParagraphStyle6"/>
              <w:rPr>
                <w:rStyle w:val="CharacterStyle6"/>
              </w:rPr>
            </w:pPr>
            <w:r>
              <w:rPr>
                <w:rStyle w:val="CharacterStyle6"/>
              </w:rPr>
              <w:t>163.000,00</w:t>
            </w:r>
          </w:p>
        </w:tc>
        <w:tc>
          <w:tcPr>
            <w:tcW w:w="1395" w:type="dxa"/>
            <w:tcBorders>
              <w:bottom w:val="single" w:sz="6" w:space="0" w:color="000000"/>
              <w:right w:val="single" w:sz="6" w:space="0" w:color="000000"/>
            </w:tcBorders>
            <w:vAlign w:val="center"/>
          </w:tcPr>
          <w:p w14:paraId="26D9043D" w14:textId="77777777" w:rsidR="007D706A" w:rsidRDefault="007D706A" w:rsidP="00F70508">
            <w:pPr>
              <w:pStyle w:val="ParagraphStyle6"/>
              <w:rPr>
                <w:rStyle w:val="CharacterStyle6"/>
              </w:rPr>
            </w:pPr>
            <w:r>
              <w:rPr>
                <w:rStyle w:val="CharacterStyle6"/>
              </w:rPr>
              <w:t>166.627,50</w:t>
            </w:r>
          </w:p>
        </w:tc>
        <w:tc>
          <w:tcPr>
            <w:tcW w:w="1395" w:type="dxa"/>
            <w:tcBorders>
              <w:bottom w:val="single" w:sz="6" w:space="0" w:color="000000"/>
              <w:right w:val="single" w:sz="6" w:space="0" w:color="000000"/>
            </w:tcBorders>
            <w:vAlign w:val="center"/>
          </w:tcPr>
          <w:p w14:paraId="6E846303" w14:textId="77777777" w:rsidR="007D706A" w:rsidRDefault="007D706A" w:rsidP="00F70508">
            <w:pPr>
              <w:pStyle w:val="ParagraphStyle6"/>
              <w:rPr>
                <w:rStyle w:val="CharacterStyle6"/>
              </w:rPr>
            </w:pPr>
            <w:r>
              <w:rPr>
                <w:rStyle w:val="CharacterStyle6"/>
              </w:rPr>
              <w:t>168.278,50</w:t>
            </w:r>
          </w:p>
        </w:tc>
      </w:tr>
      <w:tr w:rsidR="007D706A" w14:paraId="40E1997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AF954E4" w14:textId="77777777" w:rsidR="007D706A" w:rsidRDefault="007D706A" w:rsidP="00F70508">
            <w:pPr>
              <w:pStyle w:val="ParagraphStyle4"/>
              <w:rPr>
                <w:rStyle w:val="CharacterStyle4"/>
              </w:rPr>
            </w:pPr>
            <w:r>
              <w:rPr>
                <w:rStyle w:val="CharacterStyle4"/>
              </w:rPr>
              <w:t>Izvor financiranja 5</w:t>
            </w:r>
          </w:p>
        </w:tc>
        <w:tc>
          <w:tcPr>
            <w:tcW w:w="4995" w:type="dxa"/>
            <w:tcBorders>
              <w:bottom w:val="single" w:sz="6" w:space="0" w:color="000000"/>
              <w:right w:val="single" w:sz="6" w:space="0" w:color="000000"/>
            </w:tcBorders>
            <w:vAlign w:val="center"/>
          </w:tcPr>
          <w:p w14:paraId="5A3A8CC9" w14:textId="77777777" w:rsidR="007D706A" w:rsidRDefault="007D706A" w:rsidP="00F70508">
            <w:pPr>
              <w:pStyle w:val="ParagraphStyle5"/>
              <w:rPr>
                <w:rStyle w:val="CharacterStyle5"/>
              </w:rPr>
            </w:pPr>
            <w:r>
              <w:rPr>
                <w:rStyle w:val="CharacterStyle5"/>
              </w:rPr>
              <w:t>POMOĆI</w:t>
            </w:r>
          </w:p>
        </w:tc>
        <w:tc>
          <w:tcPr>
            <w:tcW w:w="1395" w:type="dxa"/>
            <w:tcBorders>
              <w:bottom w:val="single" w:sz="6" w:space="0" w:color="000000"/>
              <w:right w:val="single" w:sz="6" w:space="0" w:color="000000"/>
            </w:tcBorders>
            <w:vAlign w:val="center"/>
          </w:tcPr>
          <w:p w14:paraId="1337F2AF"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6465DA1F"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326DBA18" w14:textId="77777777" w:rsidR="007D706A" w:rsidRDefault="007D706A" w:rsidP="00F70508">
            <w:pPr>
              <w:pStyle w:val="ParagraphStyle6"/>
              <w:rPr>
                <w:rStyle w:val="CharacterStyle6"/>
              </w:rPr>
            </w:pPr>
            <w:r>
              <w:rPr>
                <w:rStyle w:val="CharacterStyle6"/>
              </w:rPr>
              <w:t>79.205,00</w:t>
            </w:r>
          </w:p>
        </w:tc>
        <w:tc>
          <w:tcPr>
            <w:tcW w:w="1395" w:type="dxa"/>
            <w:tcBorders>
              <w:bottom w:val="single" w:sz="6" w:space="0" w:color="000000"/>
              <w:right w:val="single" w:sz="6" w:space="0" w:color="000000"/>
            </w:tcBorders>
            <w:vAlign w:val="center"/>
          </w:tcPr>
          <w:p w14:paraId="3688F499" w14:textId="77777777" w:rsidR="007D706A" w:rsidRDefault="007D706A" w:rsidP="00F70508">
            <w:pPr>
              <w:pStyle w:val="ParagraphStyle6"/>
              <w:rPr>
                <w:rStyle w:val="CharacterStyle6"/>
              </w:rPr>
            </w:pPr>
            <w:r>
              <w:rPr>
                <w:rStyle w:val="CharacterStyle6"/>
              </w:rPr>
              <w:t>83.456,65</w:t>
            </w:r>
          </w:p>
        </w:tc>
        <w:tc>
          <w:tcPr>
            <w:tcW w:w="1395" w:type="dxa"/>
            <w:tcBorders>
              <w:bottom w:val="single" w:sz="6" w:space="0" w:color="000000"/>
              <w:right w:val="single" w:sz="6" w:space="0" w:color="000000"/>
            </w:tcBorders>
            <w:vAlign w:val="center"/>
          </w:tcPr>
          <w:p w14:paraId="3F1C6F2B" w14:textId="77777777" w:rsidR="007D706A" w:rsidRDefault="007D706A" w:rsidP="00F70508">
            <w:pPr>
              <w:pStyle w:val="ParagraphStyle6"/>
              <w:rPr>
                <w:rStyle w:val="CharacterStyle6"/>
              </w:rPr>
            </w:pPr>
            <w:r>
              <w:rPr>
                <w:rStyle w:val="CharacterStyle6"/>
              </w:rPr>
              <w:t>84.269,69</w:t>
            </w:r>
          </w:p>
        </w:tc>
      </w:tr>
      <w:tr w:rsidR="007D706A" w14:paraId="1A58D842" w14:textId="77777777" w:rsidTr="00F70508">
        <w:trPr>
          <w:trHeight w:val="375"/>
        </w:trPr>
        <w:tc>
          <w:tcPr>
            <w:tcW w:w="2880" w:type="dxa"/>
            <w:tcBorders>
              <w:left w:val="single" w:sz="6" w:space="0" w:color="000000"/>
              <w:bottom w:val="single" w:sz="6" w:space="0" w:color="000000"/>
              <w:right w:val="single" w:sz="6" w:space="0" w:color="000000"/>
            </w:tcBorders>
            <w:vAlign w:val="center"/>
          </w:tcPr>
          <w:p w14:paraId="29C84F35" w14:textId="77777777" w:rsidR="007D706A" w:rsidRDefault="007D706A" w:rsidP="00F70508">
            <w:pPr>
              <w:pStyle w:val="ParagraphStyle4"/>
              <w:rPr>
                <w:rStyle w:val="CharacterStyle4"/>
              </w:rPr>
            </w:pPr>
            <w:r>
              <w:rPr>
                <w:rStyle w:val="CharacterStyle4"/>
              </w:rPr>
              <w:t>Izvor financiranja 50</w:t>
            </w:r>
          </w:p>
        </w:tc>
        <w:tc>
          <w:tcPr>
            <w:tcW w:w="4995" w:type="dxa"/>
            <w:tcBorders>
              <w:bottom w:val="single" w:sz="6" w:space="0" w:color="000000"/>
              <w:right w:val="single" w:sz="6" w:space="0" w:color="000000"/>
            </w:tcBorders>
            <w:vAlign w:val="center"/>
          </w:tcPr>
          <w:p w14:paraId="04935EDA" w14:textId="77777777" w:rsidR="007D706A" w:rsidRDefault="007D706A" w:rsidP="00F70508">
            <w:pPr>
              <w:pStyle w:val="ParagraphStyle5"/>
              <w:rPr>
                <w:rStyle w:val="CharacterStyle5"/>
              </w:rPr>
            </w:pPr>
            <w:r>
              <w:rPr>
                <w:rStyle w:val="CharacterStyle5"/>
              </w:rPr>
              <w:t>Pomoći iz državnog proračuna</w:t>
            </w:r>
          </w:p>
        </w:tc>
        <w:tc>
          <w:tcPr>
            <w:tcW w:w="1395" w:type="dxa"/>
            <w:tcBorders>
              <w:bottom w:val="single" w:sz="6" w:space="0" w:color="000000"/>
              <w:right w:val="single" w:sz="6" w:space="0" w:color="000000"/>
            </w:tcBorders>
            <w:vAlign w:val="center"/>
          </w:tcPr>
          <w:p w14:paraId="24AA8652"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3CEFC950" w14:textId="77777777" w:rsidR="007D706A" w:rsidRDefault="007D706A" w:rsidP="00F70508">
            <w:pPr>
              <w:pStyle w:val="ParagraphStyle6"/>
              <w:rPr>
                <w:rStyle w:val="CharacterStyle6"/>
              </w:rPr>
            </w:pPr>
            <w:r>
              <w:rPr>
                <w:rStyle w:val="CharacterStyle6"/>
              </w:rPr>
              <w:t>325.460,00</w:t>
            </w:r>
          </w:p>
        </w:tc>
        <w:tc>
          <w:tcPr>
            <w:tcW w:w="1395" w:type="dxa"/>
            <w:tcBorders>
              <w:bottom w:val="single" w:sz="6" w:space="0" w:color="000000"/>
              <w:right w:val="single" w:sz="6" w:space="0" w:color="000000"/>
            </w:tcBorders>
            <w:vAlign w:val="center"/>
          </w:tcPr>
          <w:p w14:paraId="560ACD84" w14:textId="77777777" w:rsidR="007D706A" w:rsidRDefault="007D706A" w:rsidP="00F70508">
            <w:pPr>
              <w:pStyle w:val="ParagraphStyle6"/>
              <w:rPr>
                <w:rStyle w:val="CharacterStyle6"/>
              </w:rPr>
            </w:pPr>
            <w:r>
              <w:rPr>
                <w:rStyle w:val="CharacterStyle6"/>
              </w:rPr>
              <w:t>5.600.382,31</w:t>
            </w:r>
          </w:p>
        </w:tc>
        <w:tc>
          <w:tcPr>
            <w:tcW w:w="1395" w:type="dxa"/>
            <w:tcBorders>
              <w:bottom w:val="single" w:sz="6" w:space="0" w:color="000000"/>
              <w:right w:val="single" w:sz="6" w:space="0" w:color="000000"/>
            </w:tcBorders>
            <w:vAlign w:val="center"/>
          </w:tcPr>
          <w:p w14:paraId="777B176B" w14:textId="77777777" w:rsidR="007D706A" w:rsidRDefault="007D706A" w:rsidP="00F70508">
            <w:pPr>
              <w:pStyle w:val="ParagraphStyle6"/>
              <w:rPr>
                <w:rStyle w:val="CharacterStyle6"/>
              </w:rPr>
            </w:pPr>
            <w:r>
              <w:rPr>
                <w:rStyle w:val="CharacterStyle6"/>
              </w:rPr>
              <w:t>5.786.047,56</w:t>
            </w:r>
          </w:p>
        </w:tc>
        <w:tc>
          <w:tcPr>
            <w:tcW w:w="1395" w:type="dxa"/>
            <w:tcBorders>
              <w:bottom w:val="single" w:sz="6" w:space="0" w:color="000000"/>
              <w:right w:val="single" w:sz="6" w:space="0" w:color="000000"/>
            </w:tcBorders>
            <w:vAlign w:val="center"/>
          </w:tcPr>
          <w:p w14:paraId="483E553D" w14:textId="77777777" w:rsidR="007D706A" w:rsidRDefault="007D706A" w:rsidP="00F70508">
            <w:pPr>
              <w:pStyle w:val="ParagraphStyle6"/>
              <w:rPr>
                <w:rStyle w:val="CharacterStyle6"/>
              </w:rPr>
            </w:pPr>
            <w:r>
              <w:rPr>
                <w:rStyle w:val="CharacterStyle6"/>
              </w:rPr>
              <w:t>5.843.161,83</w:t>
            </w:r>
          </w:p>
        </w:tc>
      </w:tr>
      <w:tr w:rsidR="007D706A" w14:paraId="6400F3B6"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D6D204F" w14:textId="77777777" w:rsidR="007D706A" w:rsidRDefault="007D706A" w:rsidP="00F70508">
            <w:pPr>
              <w:pStyle w:val="ParagraphStyle4"/>
              <w:rPr>
                <w:rStyle w:val="CharacterStyle4"/>
              </w:rPr>
            </w:pPr>
            <w:r>
              <w:rPr>
                <w:rStyle w:val="CharacterStyle4"/>
              </w:rPr>
              <w:t>Izvor financiranja 51</w:t>
            </w:r>
          </w:p>
        </w:tc>
        <w:tc>
          <w:tcPr>
            <w:tcW w:w="4995" w:type="dxa"/>
            <w:tcBorders>
              <w:bottom w:val="single" w:sz="6" w:space="0" w:color="000000"/>
              <w:right w:val="single" w:sz="6" w:space="0" w:color="000000"/>
            </w:tcBorders>
            <w:vAlign w:val="center"/>
          </w:tcPr>
          <w:p w14:paraId="3E7D69B7" w14:textId="77777777" w:rsidR="007D706A" w:rsidRDefault="007D706A" w:rsidP="00F70508">
            <w:pPr>
              <w:pStyle w:val="ParagraphStyle5"/>
              <w:rPr>
                <w:rStyle w:val="CharacterStyle5"/>
              </w:rPr>
            </w:pPr>
            <w:r>
              <w:rPr>
                <w:rStyle w:val="CharacterStyle5"/>
              </w:rPr>
              <w:t>Pomoći EU</w:t>
            </w:r>
          </w:p>
        </w:tc>
        <w:tc>
          <w:tcPr>
            <w:tcW w:w="1395" w:type="dxa"/>
            <w:tcBorders>
              <w:bottom w:val="single" w:sz="6" w:space="0" w:color="000000"/>
              <w:right w:val="single" w:sz="6" w:space="0" w:color="000000"/>
            </w:tcBorders>
            <w:vAlign w:val="center"/>
          </w:tcPr>
          <w:p w14:paraId="6C4D6459"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700FA67C" w14:textId="77777777" w:rsidR="007D706A" w:rsidRDefault="007D706A" w:rsidP="00F70508">
            <w:pPr>
              <w:pStyle w:val="ParagraphStyle6"/>
              <w:rPr>
                <w:rStyle w:val="CharacterStyle6"/>
              </w:rPr>
            </w:pPr>
            <w:r>
              <w:rPr>
                <w:rStyle w:val="CharacterStyle6"/>
              </w:rPr>
              <w:t>5.377.240,00</w:t>
            </w:r>
          </w:p>
        </w:tc>
        <w:tc>
          <w:tcPr>
            <w:tcW w:w="1395" w:type="dxa"/>
            <w:tcBorders>
              <w:bottom w:val="single" w:sz="6" w:space="0" w:color="000000"/>
              <w:right w:val="single" w:sz="6" w:space="0" w:color="000000"/>
            </w:tcBorders>
            <w:vAlign w:val="center"/>
          </w:tcPr>
          <w:p w14:paraId="2372E281"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0968214B"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7AD1F716" w14:textId="77777777" w:rsidR="007D706A" w:rsidRDefault="007D706A" w:rsidP="00F70508">
            <w:pPr>
              <w:pStyle w:val="ParagraphStyle6"/>
              <w:rPr>
                <w:rStyle w:val="CharacterStyle6"/>
              </w:rPr>
            </w:pPr>
            <w:r>
              <w:rPr>
                <w:rStyle w:val="CharacterStyle6"/>
              </w:rPr>
              <w:t>0,00</w:t>
            </w:r>
          </w:p>
        </w:tc>
      </w:tr>
      <w:tr w:rsidR="007D706A" w14:paraId="55C7EBE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3927C8A" w14:textId="77777777" w:rsidR="007D706A" w:rsidRDefault="007D706A" w:rsidP="00F70508">
            <w:pPr>
              <w:pStyle w:val="ParagraphStyle4"/>
              <w:rPr>
                <w:rStyle w:val="CharacterStyle4"/>
              </w:rPr>
            </w:pPr>
            <w:r>
              <w:rPr>
                <w:rStyle w:val="CharacterStyle4"/>
              </w:rPr>
              <w:t>Izvor financiranja 510</w:t>
            </w:r>
          </w:p>
        </w:tc>
        <w:tc>
          <w:tcPr>
            <w:tcW w:w="4995" w:type="dxa"/>
            <w:tcBorders>
              <w:bottom w:val="single" w:sz="6" w:space="0" w:color="000000"/>
              <w:right w:val="single" w:sz="6" w:space="0" w:color="000000"/>
            </w:tcBorders>
            <w:vAlign w:val="center"/>
          </w:tcPr>
          <w:p w14:paraId="75C0716D" w14:textId="77777777" w:rsidR="007D706A" w:rsidRDefault="007D706A" w:rsidP="00F70508">
            <w:pPr>
              <w:pStyle w:val="ParagraphStyle5"/>
              <w:rPr>
                <w:rStyle w:val="CharacterStyle5"/>
              </w:rPr>
            </w:pPr>
            <w:r>
              <w:rPr>
                <w:rStyle w:val="CharacterStyle5"/>
              </w:rPr>
              <w:t>Programi Unije - proračunski korisnici</w:t>
            </w:r>
          </w:p>
        </w:tc>
        <w:tc>
          <w:tcPr>
            <w:tcW w:w="1395" w:type="dxa"/>
            <w:tcBorders>
              <w:bottom w:val="single" w:sz="6" w:space="0" w:color="000000"/>
              <w:right w:val="single" w:sz="6" w:space="0" w:color="000000"/>
            </w:tcBorders>
            <w:vAlign w:val="center"/>
          </w:tcPr>
          <w:p w14:paraId="72CC64BF"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2641E0DC"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485C19EF" w14:textId="77777777" w:rsidR="007D706A" w:rsidRDefault="007D706A" w:rsidP="00F70508">
            <w:pPr>
              <w:pStyle w:val="ParagraphStyle6"/>
              <w:rPr>
                <w:rStyle w:val="CharacterStyle6"/>
              </w:rPr>
            </w:pPr>
            <w:r>
              <w:rPr>
                <w:rStyle w:val="CharacterStyle6"/>
              </w:rPr>
              <w:t>132.000,00</w:t>
            </w:r>
          </w:p>
        </w:tc>
        <w:tc>
          <w:tcPr>
            <w:tcW w:w="1395" w:type="dxa"/>
            <w:tcBorders>
              <w:bottom w:val="single" w:sz="6" w:space="0" w:color="000000"/>
              <w:right w:val="single" w:sz="6" w:space="0" w:color="000000"/>
            </w:tcBorders>
            <w:vAlign w:val="center"/>
          </w:tcPr>
          <w:p w14:paraId="105BC0A4" w14:textId="77777777" w:rsidR="007D706A" w:rsidRDefault="007D706A" w:rsidP="00F70508">
            <w:pPr>
              <w:pStyle w:val="ParagraphStyle6"/>
              <w:rPr>
                <w:rStyle w:val="CharacterStyle6"/>
              </w:rPr>
            </w:pPr>
            <w:r>
              <w:rPr>
                <w:rStyle w:val="CharacterStyle6"/>
              </w:rPr>
              <w:t>71.925,00</w:t>
            </w:r>
          </w:p>
        </w:tc>
        <w:tc>
          <w:tcPr>
            <w:tcW w:w="1395" w:type="dxa"/>
            <w:tcBorders>
              <w:bottom w:val="single" w:sz="6" w:space="0" w:color="000000"/>
              <w:right w:val="single" w:sz="6" w:space="0" w:color="000000"/>
            </w:tcBorders>
            <w:vAlign w:val="center"/>
          </w:tcPr>
          <w:p w14:paraId="2AFA0CC0" w14:textId="77777777" w:rsidR="007D706A" w:rsidRDefault="007D706A" w:rsidP="00F70508">
            <w:pPr>
              <w:pStyle w:val="ParagraphStyle6"/>
              <w:rPr>
                <w:rStyle w:val="CharacterStyle6"/>
              </w:rPr>
            </w:pPr>
            <w:r>
              <w:rPr>
                <w:rStyle w:val="CharacterStyle6"/>
              </w:rPr>
              <w:t>72.625,00</w:t>
            </w:r>
          </w:p>
        </w:tc>
      </w:tr>
      <w:tr w:rsidR="007D706A" w14:paraId="03ABF23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1B2DC8E" w14:textId="77777777" w:rsidR="007D706A" w:rsidRDefault="007D706A" w:rsidP="00F70508">
            <w:pPr>
              <w:pStyle w:val="ParagraphStyle4"/>
              <w:rPr>
                <w:rStyle w:val="CharacterStyle4"/>
              </w:rPr>
            </w:pPr>
            <w:r>
              <w:rPr>
                <w:rStyle w:val="CharacterStyle4"/>
              </w:rPr>
              <w:t>Izvor financiranja 52</w:t>
            </w:r>
          </w:p>
        </w:tc>
        <w:tc>
          <w:tcPr>
            <w:tcW w:w="4995" w:type="dxa"/>
            <w:tcBorders>
              <w:bottom w:val="single" w:sz="6" w:space="0" w:color="000000"/>
              <w:right w:val="single" w:sz="6" w:space="0" w:color="000000"/>
            </w:tcBorders>
            <w:vAlign w:val="center"/>
          </w:tcPr>
          <w:p w14:paraId="75C41E48" w14:textId="77777777" w:rsidR="007D706A" w:rsidRDefault="007D706A" w:rsidP="00F70508">
            <w:pPr>
              <w:pStyle w:val="ParagraphStyle5"/>
              <w:rPr>
                <w:rStyle w:val="CharacterStyle5"/>
              </w:rPr>
            </w:pPr>
            <w:r>
              <w:rPr>
                <w:rStyle w:val="CharacterStyle5"/>
              </w:rPr>
              <w:t>Ostale pomoći</w:t>
            </w:r>
          </w:p>
        </w:tc>
        <w:tc>
          <w:tcPr>
            <w:tcW w:w="1395" w:type="dxa"/>
            <w:tcBorders>
              <w:bottom w:val="single" w:sz="6" w:space="0" w:color="000000"/>
              <w:right w:val="single" w:sz="6" w:space="0" w:color="000000"/>
            </w:tcBorders>
            <w:vAlign w:val="center"/>
          </w:tcPr>
          <w:p w14:paraId="7FCAA32B"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1BE2A1EF"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606B044C" w14:textId="77777777" w:rsidR="007D706A" w:rsidRDefault="007D706A" w:rsidP="00F70508">
            <w:pPr>
              <w:pStyle w:val="ParagraphStyle6"/>
              <w:rPr>
                <w:rStyle w:val="CharacterStyle6"/>
              </w:rPr>
            </w:pPr>
            <w:r>
              <w:rPr>
                <w:rStyle w:val="CharacterStyle6"/>
              </w:rPr>
              <w:t>3.000,00</w:t>
            </w:r>
          </w:p>
        </w:tc>
        <w:tc>
          <w:tcPr>
            <w:tcW w:w="1395" w:type="dxa"/>
            <w:tcBorders>
              <w:bottom w:val="single" w:sz="6" w:space="0" w:color="000000"/>
              <w:right w:val="single" w:sz="6" w:space="0" w:color="000000"/>
            </w:tcBorders>
            <w:vAlign w:val="center"/>
          </w:tcPr>
          <w:p w14:paraId="0490B37A" w14:textId="77777777" w:rsidR="007D706A" w:rsidRDefault="007D706A" w:rsidP="00F70508">
            <w:pPr>
              <w:pStyle w:val="ParagraphStyle6"/>
              <w:rPr>
                <w:rStyle w:val="CharacterStyle6"/>
              </w:rPr>
            </w:pPr>
            <w:r>
              <w:rPr>
                <w:rStyle w:val="CharacterStyle6"/>
              </w:rPr>
              <w:t>3.000,00</w:t>
            </w:r>
          </w:p>
        </w:tc>
        <w:tc>
          <w:tcPr>
            <w:tcW w:w="1395" w:type="dxa"/>
            <w:tcBorders>
              <w:bottom w:val="single" w:sz="6" w:space="0" w:color="000000"/>
              <w:right w:val="single" w:sz="6" w:space="0" w:color="000000"/>
            </w:tcBorders>
            <w:vAlign w:val="center"/>
          </w:tcPr>
          <w:p w14:paraId="3E41F6F5" w14:textId="77777777" w:rsidR="007D706A" w:rsidRDefault="007D706A" w:rsidP="00F70508">
            <w:pPr>
              <w:pStyle w:val="ParagraphStyle6"/>
              <w:rPr>
                <w:rStyle w:val="CharacterStyle6"/>
              </w:rPr>
            </w:pPr>
            <w:r>
              <w:rPr>
                <w:rStyle w:val="CharacterStyle6"/>
              </w:rPr>
              <w:t>3.000,00</w:t>
            </w:r>
          </w:p>
        </w:tc>
      </w:tr>
      <w:tr w:rsidR="007D706A" w14:paraId="3C18D02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6780051" w14:textId="77777777" w:rsidR="007D706A" w:rsidRDefault="007D706A" w:rsidP="00F70508">
            <w:pPr>
              <w:pStyle w:val="ParagraphStyle4"/>
              <w:rPr>
                <w:rStyle w:val="CharacterStyle4"/>
              </w:rPr>
            </w:pPr>
            <w:r>
              <w:rPr>
                <w:rStyle w:val="CharacterStyle4"/>
              </w:rPr>
              <w:t>Izvor financiranja 53</w:t>
            </w:r>
          </w:p>
        </w:tc>
        <w:tc>
          <w:tcPr>
            <w:tcW w:w="4995" w:type="dxa"/>
            <w:tcBorders>
              <w:bottom w:val="single" w:sz="6" w:space="0" w:color="000000"/>
              <w:right w:val="single" w:sz="6" w:space="0" w:color="000000"/>
            </w:tcBorders>
            <w:vAlign w:val="center"/>
          </w:tcPr>
          <w:p w14:paraId="74B1298B" w14:textId="77777777" w:rsidR="007D706A" w:rsidRDefault="007D706A" w:rsidP="00F70508">
            <w:pPr>
              <w:pStyle w:val="ParagraphStyle5"/>
              <w:rPr>
                <w:rStyle w:val="CharacterStyle5"/>
              </w:rPr>
            </w:pPr>
            <w:r>
              <w:rPr>
                <w:rStyle w:val="CharacterStyle5"/>
              </w:rPr>
              <w:t>Proračuni, drugi nivoi - za posebne i / ili ugovorene namjene</w:t>
            </w:r>
          </w:p>
        </w:tc>
        <w:tc>
          <w:tcPr>
            <w:tcW w:w="1395" w:type="dxa"/>
            <w:tcBorders>
              <w:bottom w:val="single" w:sz="6" w:space="0" w:color="000000"/>
              <w:right w:val="single" w:sz="6" w:space="0" w:color="000000"/>
            </w:tcBorders>
            <w:vAlign w:val="center"/>
          </w:tcPr>
          <w:p w14:paraId="4B93BF18"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7E16D076" w14:textId="77777777" w:rsidR="007D706A" w:rsidRDefault="007D706A" w:rsidP="00F70508">
            <w:pPr>
              <w:pStyle w:val="ParagraphStyle6"/>
              <w:rPr>
                <w:rStyle w:val="CharacterStyle6"/>
              </w:rPr>
            </w:pPr>
            <w:r>
              <w:rPr>
                <w:rStyle w:val="CharacterStyle6"/>
              </w:rPr>
              <w:t>435.306,34</w:t>
            </w:r>
          </w:p>
        </w:tc>
        <w:tc>
          <w:tcPr>
            <w:tcW w:w="1395" w:type="dxa"/>
            <w:tcBorders>
              <w:bottom w:val="single" w:sz="6" w:space="0" w:color="000000"/>
              <w:right w:val="single" w:sz="6" w:space="0" w:color="000000"/>
            </w:tcBorders>
            <w:vAlign w:val="center"/>
          </w:tcPr>
          <w:p w14:paraId="4C48296A"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0769ACBD"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7C149158" w14:textId="77777777" w:rsidR="007D706A" w:rsidRDefault="007D706A" w:rsidP="00F70508">
            <w:pPr>
              <w:pStyle w:val="ParagraphStyle6"/>
              <w:rPr>
                <w:rStyle w:val="CharacterStyle6"/>
              </w:rPr>
            </w:pPr>
            <w:r>
              <w:rPr>
                <w:rStyle w:val="CharacterStyle6"/>
              </w:rPr>
              <w:t>0,00</w:t>
            </w:r>
          </w:p>
        </w:tc>
      </w:tr>
      <w:tr w:rsidR="007D706A" w14:paraId="2F1B199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EF5893C" w14:textId="77777777" w:rsidR="007D706A" w:rsidRDefault="007D706A" w:rsidP="00F70508">
            <w:pPr>
              <w:pStyle w:val="ParagraphStyle4"/>
              <w:rPr>
                <w:rStyle w:val="CharacterStyle4"/>
              </w:rPr>
            </w:pPr>
            <w:r>
              <w:rPr>
                <w:rStyle w:val="CharacterStyle4"/>
              </w:rPr>
              <w:t>Izvor financiranja 54</w:t>
            </w:r>
          </w:p>
        </w:tc>
        <w:tc>
          <w:tcPr>
            <w:tcW w:w="4995" w:type="dxa"/>
            <w:tcBorders>
              <w:bottom w:val="single" w:sz="6" w:space="0" w:color="000000"/>
              <w:right w:val="single" w:sz="6" w:space="0" w:color="000000"/>
            </w:tcBorders>
            <w:vAlign w:val="center"/>
          </w:tcPr>
          <w:p w14:paraId="4C9E9751" w14:textId="77777777" w:rsidR="007D706A" w:rsidRDefault="007D706A" w:rsidP="00F70508">
            <w:pPr>
              <w:pStyle w:val="ParagraphStyle5"/>
              <w:rPr>
                <w:rStyle w:val="CharacterStyle5"/>
              </w:rPr>
            </w:pPr>
            <w:r>
              <w:rPr>
                <w:rStyle w:val="CharacterStyle5"/>
              </w:rPr>
              <w:t>Pomoći tijela i fondova EU</w:t>
            </w:r>
          </w:p>
        </w:tc>
        <w:tc>
          <w:tcPr>
            <w:tcW w:w="1395" w:type="dxa"/>
            <w:tcBorders>
              <w:bottom w:val="single" w:sz="6" w:space="0" w:color="000000"/>
              <w:right w:val="single" w:sz="6" w:space="0" w:color="000000"/>
            </w:tcBorders>
            <w:vAlign w:val="center"/>
          </w:tcPr>
          <w:p w14:paraId="7B1FD411"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0F17819F" w14:textId="77777777" w:rsidR="007D706A" w:rsidRDefault="007D706A" w:rsidP="00F70508">
            <w:pPr>
              <w:pStyle w:val="ParagraphStyle6"/>
              <w:rPr>
                <w:rStyle w:val="CharacterStyle6"/>
              </w:rPr>
            </w:pPr>
            <w:r>
              <w:rPr>
                <w:rStyle w:val="CharacterStyle6"/>
              </w:rPr>
              <w:t>512.010,00</w:t>
            </w:r>
          </w:p>
        </w:tc>
        <w:tc>
          <w:tcPr>
            <w:tcW w:w="1395" w:type="dxa"/>
            <w:tcBorders>
              <w:bottom w:val="single" w:sz="6" w:space="0" w:color="000000"/>
              <w:right w:val="single" w:sz="6" w:space="0" w:color="000000"/>
            </w:tcBorders>
            <w:vAlign w:val="center"/>
          </w:tcPr>
          <w:p w14:paraId="13D4648A"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5621C950"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6934F154" w14:textId="77777777" w:rsidR="007D706A" w:rsidRDefault="007D706A" w:rsidP="00F70508">
            <w:pPr>
              <w:pStyle w:val="ParagraphStyle6"/>
              <w:rPr>
                <w:rStyle w:val="CharacterStyle6"/>
              </w:rPr>
            </w:pPr>
            <w:r>
              <w:rPr>
                <w:rStyle w:val="CharacterStyle6"/>
              </w:rPr>
              <w:t>0,00</w:t>
            </w:r>
          </w:p>
        </w:tc>
      </w:tr>
      <w:tr w:rsidR="007D706A" w14:paraId="54DB23C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DB20CFA" w14:textId="77777777" w:rsidR="007D706A" w:rsidRDefault="007D706A" w:rsidP="00F70508">
            <w:pPr>
              <w:pStyle w:val="ParagraphStyle4"/>
              <w:rPr>
                <w:rStyle w:val="CharacterStyle4"/>
              </w:rPr>
            </w:pPr>
            <w:r>
              <w:rPr>
                <w:rStyle w:val="CharacterStyle4"/>
              </w:rPr>
              <w:t>Izvor financiranja 55</w:t>
            </w:r>
          </w:p>
        </w:tc>
        <w:tc>
          <w:tcPr>
            <w:tcW w:w="4995" w:type="dxa"/>
            <w:tcBorders>
              <w:bottom w:val="single" w:sz="6" w:space="0" w:color="000000"/>
              <w:right w:val="single" w:sz="6" w:space="0" w:color="000000"/>
            </w:tcBorders>
            <w:vAlign w:val="center"/>
          </w:tcPr>
          <w:p w14:paraId="72A8991A" w14:textId="77777777" w:rsidR="007D706A" w:rsidRDefault="007D706A" w:rsidP="00F70508">
            <w:pPr>
              <w:pStyle w:val="ParagraphStyle5"/>
              <w:rPr>
                <w:rStyle w:val="CharacterStyle5"/>
              </w:rPr>
            </w:pPr>
            <w:r>
              <w:rPr>
                <w:rStyle w:val="CharacterStyle5"/>
              </w:rPr>
              <w:t>Pomoći iz inozemstva</w:t>
            </w:r>
          </w:p>
        </w:tc>
        <w:tc>
          <w:tcPr>
            <w:tcW w:w="1395" w:type="dxa"/>
            <w:tcBorders>
              <w:bottom w:val="single" w:sz="6" w:space="0" w:color="000000"/>
              <w:right w:val="single" w:sz="6" w:space="0" w:color="000000"/>
            </w:tcBorders>
            <w:vAlign w:val="center"/>
          </w:tcPr>
          <w:p w14:paraId="490662D2"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1509ED2E" w14:textId="77777777" w:rsidR="007D706A" w:rsidRDefault="007D706A" w:rsidP="00F70508">
            <w:pPr>
              <w:pStyle w:val="ParagraphStyle6"/>
              <w:rPr>
                <w:rStyle w:val="CharacterStyle6"/>
              </w:rPr>
            </w:pPr>
            <w:r>
              <w:rPr>
                <w:rStyle w:val="CharacterStyle6"/>
              </w:rPr>
              <w:t>23.500,00</w:t>
            </w:r>
          </w:p>
        </w:tc>
        <w:tc>
          <w:tcPr>
            <w:tcW w:w="1395" w:type="dxa"/>
            <w:tcBorders>
              <w:bottom w:val="single" w:sz="6" w:space="0" w:color="000000"/>
              <w:right w:val="single" w:sz="6" w:space="0" w:color="000000"/>
            </w:tcBorders>
            <w:vAlign w:val="center"/>
          </w:tcPr>
          <w:p w14:paraId="38DCBDDA"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076C1A42"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59380315" w14:textId="77777777" w:rsidR="007D706A" w:rsidRDefault="007D706A" w:rsidP="00F70508">
            <w:pPr>
              <w:pStyle w:val="ParagraphStyle6"/>
              <w:rPr>
                <w:rStyle w:val="CharacterStyle6"/>
              </w:rPr>
            </w:pPr>
            <w:r>
              <w:rPr>
                <w:rStyle w:val="CharacterStyle6"/>
              </w:rPr>
              <w:t>0,00</w:t>
            </w:r>
          </w:p>
        </w:tc>
      </w:tr>
      <w:tr w:rsidR="007D706A" w14:paraId="1AACDBF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5F9743E" w14:textId="77777777" w:rsidR="007D706A" w:rsidRDefault="007D706A" w:rsidP="00F70508">
            <w:pPr>
              <w:pStyle w:val="ParagraphStyle4"/>
              <w:rPr>
                <w:rStyle w:val="CharacterStyle4"/>
              </w:rPr>
            </w:pPr>
            <w:r>
              <w:rPr>
                <w:rStyle w:val="CharacterStyle4"/>
              </w:rPr>
              <w:t>Izvor financiranja 561</w:t>
            </w:r>
          </w:p>
        </w:tc>
        <w:tc>
          <w:tcPr>
            <w:tcW w:w="4995" w:type="dxa"/>
            <w:tcBorders>
              <w:bottom w:val="single" w:sz="6" w:space="0" w:color="000000"/>
              <w:right w:val="single" w:sz="6" w:space="0" w:color="000000"/>
            </w:tcBorders>
            <w:vAlign w:val="center"/>
          </w:tcPr>
          <w:p w14:paraId="7DED69A1" w14:textId="77777777" w:rsidR="007D706A" w:rsidRDefault="007D706A" w:rsidP="00F70508">
            <w:pPr>
              <w:pStyle w:val="ParagraphStyle5"/>
              <w:rPr>
                <w:rStyle w:val="CharacterStyle5"/>
              </w:rPr>
            </w:pPr>
            <w:r>
              <w:rPr>
                <w:rStyle w:val="CharacterStyle5"/>
              </w:rPr>
              <w:t>Europski socijalni fond plus</w:t>
            </w:r>
          </w:p>
        </w:tc>
        <w:tc>
          <w:tcPr>
            <w:tcW w:w="1395" w:type="dxa"/>
            <w:tcBorders>
              <w:bottom w:val="single" w:sz="6" w:space="0" w:color="000000"/>
              <w:right w:val="single" w:sz="6" w:space="0" w:color="000000"/>
            </w:tcBorders>
            <w:vAlign w:val="center"/>
          </w:tcPr>
          <w:p w14:paraId="17FA301D"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74148E4A"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53A3B135" w14:textId="77777777" w:rsidR="007D706A" w:rsidRDefault="007D706A" w:rsidP="00F70508">
            <w:pPr>
              <w:pStyle w:val="ParagraphStyle6"/>
              <w:rPr>
                <w:rStyle w:val="CharacterStyle6"/>
              </w:rPr>
            </w:pPr>
            <w:r>
              <w:rPr>
                <w:rStyle w:val="CharacterStyle6"/>
              </w:rPr>
              <w:t>383.910,00</w:t>
            </w:r>
          </w:p>
        </w:tc>
        <w:tc>
          <w:tcPr>
            <w:tcW w:w="1395" w:type="dxa"/>
            <w:tcBorders>
              <w:bottom w:val="single" w:sz="6" w:space="0" w:color="000000"/>
              <w:right w:val="single" w:sz="6" w:space="0" w:color="000000"/>
            </w:tcBorders>
            <w:vAlign w:val="center"/>
          </w:tcPr>
          <w:p w14:paraId="49D20FB3" w14:textId="77777777" w:rsidR="007D706A" w:rsidRDefault="007D706A" w:rsidP="00F70508">
            <w:pPr>
              <w:pStyle w:val="ParagraphStyle6"/>
              <w:rPr>
                <w:rStyle w:val="CharacterStyle6"/>
              </w:rPr>
            </w:pPr>
            <w:r>
              <w:rPr>
                <w:rStyle w:val="CharacterStyle6"/>
              </w:rPr>
              <w:t>396.862,53</w:t>
            </w:r>
          </w:p>
        </w:tc>
        <w:tc>
          <w:tcPr>
            <w:tcW w:w="1395" w:type="dxa"/>
            <w:tcBorders>
              <w:bottom w:val="single" w:sz="6" w:space="0" w:color="000000"/>
              <w:right w:val="single" w:sz="6" w:space="0" w:color="000000"/>
            </w:tcBorders>
            <w:vAlign w:val="center"/>
          </w:tcPr>
          <w:p w14:paraId="1AB130E1" w14:textId="77777777" w:rsidR="007D706A" w:rsidRDefault="007D706A" w:rsidP="00F70508">
            <w:pPr>
              <w:pStyle w:val="ParagraphStyle6"/>
              <w:rPr>
                <w:rStyle w:val="CharacterStyle6"/>
              </w:rPr>
            </w:pPr>
            <w:r>
              <w:rPr>
                <w:rStyle w:val="CharacterStyle6"/>
              </w:rPr>
              <w:t>400.781,63</w:t>
            </w:r>
          </w:p>
        </w:tc>
      </w:tr>
      <w:tr w:rsidR="007D706A" w14:paraId="28DD46E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47F5D5B" w14:textId="77777777" w:rsidR="007D706A" w:rsidRDefault="007D706A" w:rsidP="00F70508">
            <w:pPr>
              <w:pStyle w:val="ParagraphStyle4"/>
              <w:rPr>
                <w:rStyle w:val="CharacterStyle4"/>
              </w:rPr>
            </w:pPr>
            <w:r>
              <w:rPr>
                <w:rStyle w:val="CharacterStyle4"/>
              </w:rPr>
              <w:t>Izvor financiranja 61</w:t>
            </w:r>
          </w:p>
        </w:tc>
        <w:tc>
          <w:tcPr>
            <w:tcW w:w="4995" w:type="dxa"/>
            <w:tcBorders>
              <w:bottom w:val="single" w:sz="6" w:space="0" w:color="000000"/>
              <w:right w:val="single" w:sz="6" w:space="0" w:color="000000"/>
            </w:tcBorders>
            <w:vAlign w:val="center"/>
          </w:tcPr>
          <w:p w14:paraId="552D68F7" w14:textId="77777777" w:rsidR="007D706A" w:rsidRDefault="007D706A" w:rsidP="00F70508">
            <w:pPr>
              <w:pStyle w:val="ParagraphStyle5"/>
              <w:rPr>
                <w:rStyle w:val="CharacterStyle5"/>
              </w:rPr>
            </w:pPr>
            <w:r>
              <w:rPr>
                <w:rStyle w:val="CharacterStyle5"/>
              </w:rPr>
              <w:t>Donacije</w:t>
            </w:r>
          </w:p>
        </w:tc>
        <w:tc>
          <w:tcPr>
            <w:tcW w:w="1395" w:type="dxa"/>
            <w:tcBorders>
              <w:bottom w:val="single" w:sz="6" w:space="0" w:color="000000"/>
              <w:right w:val="single" w:sz="6" w:space="0" w:color="000000"/>
            </w:tcBorders>
            <w:vAlign w:val="center"/>
          </w:tcPr>
          <w:p w14:paraId="4A209DC7"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6051B129" w14:textId="77777777" w:rsidR="007D706A" w:rsidRDefault="007D706A" w:rsidP="00F70508">
            <w:pPr>
              <w:pStyle w:val="ParagraphStyle6"/>
              <w:rPr>
                <w:rStyle w:val="CharacterStyle6"/>
              </w:rPr>
            </w:pPr>
            <w:r>
              <w:rPr>
                <w:rStyle w:val="CharacterStyle6"/>
              </w:rPr>
              <w:t>24.100,00</w:t>
            </w:r>
          </w:p>
        </w:tc>
        <w:tc>
          <w:tcPr>
            <w:tcW w:w="1395" w:type="dxa"/>
            <w:tcBorders>
              <w:bottom w:val="single" w:sz="6" w:space="0" w:color="000000"/>
              <w:right w:val="single" w:sz="6" w:space="0" w:color="000000"/>
            </w:tcBorders>
            <w:vAlign w:val="center"/>
          </w:tcPr>
          <w:p w14:paraId="390651E1" w14:textId="77777777" w:rsidR="007D706A" w:rsidRDefault="007D706A" w:rsidP="00F70508">
            <w:pPr>
              <w:pStyle w:val="ParagraphStyle6"/>
              <w:rPr>
                <w:rStyle w:val="CharacterStyle6"/>
              </w:rPr>
            </w:pPr>
            <w:r>
              <w:rPr>
                <w:rStyle w:val="CharacterStyle6"/>
              </w:rPr>
              <w:t>36.340,00</w:t>
            </w:r>
          </w:p>
        </w:tc>
        <w:tc>
          <w:tcPr>
            <w:tcW w:w="1395" w:type="dxa"/>
            <w:tcBorders>
              <w:bottom w:val="single" w:sz="6" w:space="0" w:color="000000"/>
              <w:right w:val="single" w:sz="6" w:space="0" w:color="000000"/>
            </w:tcBorders>
            <w:vAlign w:val="center"/>
          </w:tcPr>
          <w:p w14:paraId="427FF25D" w14:textId="77777777" w:rsidR="007D706A" w:rsidRDefault="007D706A" w:rsidP="00F70508">
            <w:pPr>
              <w:pStyle w:val="ParagraphStyle6"/>
              <w:rPr>
                <w:rStyle w:val="CharacterStyle6"/>
              </w:rPr>
            </w:pPr>
            <w:r>
              <w:rPr>
                <w:rStyle w:val="CharacterStyle6"/>
              </w:rPr>
              <w:t>35.631,85</w:t>
            </w:r>
          </w:p>
        </w:tc>
        <w:tc>
          <w:tcPr>
            <w:tcW w:w="1395" w:type="dxa"/>
            <w:tcBorders>
              <w:bottom w:val="single" w:sz="6" w:space="0" w:color="000000"/>
              <w:right w:val="single" w:sz="6" w:space="0" w:color="000000"/>
            </w:tcBorders>
            <w:vAlign w:val="center"/>
          </w:tcPr>
          <w:p w14:paraId="4181BA85" w14:textId="77777777" w:rsidR="007D706A" w:rsidRDefault="007D706A" w:rsidP="00F70508">
            <w:pPr>
              <w:pStyle w:val="ParagraphStyle6"/>
              <w:rPr>
                <w:rStyle w:val="CharacterStyle6"/>
              </w:rPr>
            </w:pPr>
            <w:r>
              <w:rPr>
                <w:rStyle w:val="CharacterStyle6"/>
              </w:rPr>
              <w:t>36.014,25</w:t>
            </w:r>
          </w:p>
        </w:tc>
      </w:tr>
      <w:tr w:rsidR="007D706A" w14:paraId="14D69B5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BF5C370" w14:textId="77777777" w:rsidR="007D706A" w:rsidRDefault="007D706A" w:rsidP="00F70508">
            <w:pPr>
              <w:pStyle w:val="ParagraphStyle4"/>
              <w:rPr>
                <w:rStyle w:val="CharacterStyle4"/>
              </w:rPr>
            </w:pPr>
            <w:r>
              <w:rPr>
                <w:rStyle w:val="CharacterStyle4"/>
              </w:rPr>
              <w:t>Izvor financiranja 82</w:t>
            </w:r>
          </w:p>
        </w:tc>
        <w:tc>
          <w:tcPr>
            <w:tcW w:w="4995" w:type="dxa"/>
            <w:tcBorders>
              <w:bottom w:val="single" w:sz="6" w:space="0" w:color="000000"/>
              <w:right w:val="single" w:sz="6" w:space="0" w:color="000000"/>
            </w:tcBorders>
            <w:vAlign w:val="center"/>
          </w:tcPr>
          <w:p w14:paraId="2E579062" w14:textId="77777777" w:rsidR="007D706A" w:rsidRDefault="007D706A" w:rsidP="00F70508">
            <w:pPr>
              <w:pStyle w:val="ParagraphStyle5"/>
              <w:rPr>
                <w:rStyle w:val="CharacterStyle5"/>
              </w:rPr>
            </w:pPr>
            <w:r>
              <w:rPr>
                <w:rStyle w:val="CharacterStyle5"/>
              </w:rPr>
              <w:t>Preneseni viškovi iz ranijih godina</w:t>
            </w:r>
          </w:p>
        </w:tc>
        <w:tc>
          <w:tcPr>
            <w:tcW w:w="1395" w:type="dxa"/>
            <w:tcBorders>
              <w:bottom w:val="single" w:sz="6" w:space="0" w:color="000000"/>
              <w:right w:val="single" w:sz="6" w:space="0" w:color="000000"/>
            </w:tcBorders>
            <w:vAlign w:val="center"/>
          </w:tcPr>
          <w:p w14:paraId="704ABA45"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7DD8CB85" w14:textId="77777777" w:rsidR="007D706A" w:rsidRDefault="007D706A" w:rsidP="00F70508">
            <w:pPr>
              <w:pStyle w:val="ParagraphStyle6"/>
              <w:rPr>
                <w:rStyle w:val="CharacterStyle6"/>
              </w:rPr>
            </w:pPr>
            <w:r>
              <w:rPr>
                <w:rStyle w:val="CharacterStyle6"/>
              </w:rPr>
              <w:t>152.340,35</w:t>
            </w:r>
          </w:p>
        </w:tc>
        <w:tc>
          <w:tcPr>
            <w:tcW w:w="1395" w:type="dxa"/>
            <w:tcBorders>
              <w:bottom w:val="single" w:sz="6" w:space="0" w:color="000000"/>
              <w:right w:val="single" w:sz="6" w:space="0" w:color="000000"/>
            </w:tcBorders>
            <w:vAlign w:val="center"/>
          </w:tcPr>
          <w:p w14:paraId="0104A13C"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29AA2E46"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00BE051B" w14:textId="77777777" w:rsidR="007D706A" w:rsidRDefault="007D706A" w:rsidP="00F70508">
            <w:pPr>
              <w:pStyle w:val="ParagraphStyle6"/>
              <w:rPr>
                <w:rStyle w:val="CharacterStyle6"/>
              </w:rPr>
            </w:pPr>
            <w:r>
              <w:rPr>
                <w:rStyle w:val="CharacterStyle6"/>
              </w:rPr>
              <w:t>0,00</w:t>
            </w:r>
          </w:p>
        </w:tc>
      </w:tr>
      <w:tr w:rsidR="007D706A" w14:paraId="57D8231D" w14:textId="77777777" w:rsidTr="00F70508">
        <w:trPr>
          <w:trHeight w:val="375"/>
        </w:trPr>
        <w:tc>
          <w:tcPr>
            <w:tcW w:w="2880" w:type="dxa"/>
            <w:tcBorders>
              <w:left w:val="single" w:sz="6" w:space="0" w:color="000000"/>
              <w:bottom w:val="single" w:sz="6" w:space="0" w:color="000000"/>
              <w:right w:val="single" w:sz="6" w:space="0" w:color="000000"/>
            </w:tcBorders>
            <w:vAlign w:val="center"/>
          </w:tcPr>
          <w:p w14:paraId="08120F1F" w14:textId="77777777" w:rsidR="007D706A" w:rsidRDefault="007D706A" w:rsidP="00F70508">
            <w:pPr>
              <w:pStyle w:val="ParagraphStyle4"/>
              <w:rPr>
                <w:rStyle w:val="CharacterStyle4"/>
              </w:rPr>
            </w:pPr>
            <w:r>
              <w:rPr>
                <w:rStyle w:val="CharacterStyle4"/>
              </w:rPr>
              <w:t>PROGRAM    1036</w:t>
            </w:r>
          </w:p>
        </w:tc>
        <w:tc>
          <w:tcPr>
            <w:tcW w:w="4995" w:type="dxa"/>
            <w:tcBorders>
              <w:bottom w:val="single" w:sz="6" w:space="0" w:color="000000"/>
              <w:right w:val="single" w:sz="6" w:space="0" w:color="000000"/>
            </w:tcBorders>
            <w:vAlign w:val="center"/>
          </w:tcPr>
          <w:p w14:paraId="37DAC991" w14:textId="77777777" w:rsidR="007D706A" w:rsidRDefault="007D706A" w:rsidP="00F70508">
            <w:pPr>
              <w:pStyle w:val="ParagraphStyle5"/>
              <w:rPr>
                <w:rStyle w:val="CharacterStyle5"/>
              </w:rPr>
            </w:pPr>
            <w:r>
              <w:rPr>
                <w:rStyle w:val="CharacterStyle5"/>
              </w:rPr>
              <w:t>DJELATNOST USTANOVA U OSNOVNOM ŠKOLSTVU</w:t>
            </w:r>
          </w:p>
        </w:tc>
        <w:tc>
          <w:tcPr>
            <w:tcW w:w="1395" w:type="dxa"/>
            <w:tcBorders>
              <w:bottom w:val="single" w:sz="6" w:space="0" w:color="000000"/>
              <w:right w:val="single" w:sz="6" w:space="0" w:color="000000"/>
            </w:tcBorders>
            <w:vAlign w:val="center"/>
          </w:tcPr>
          <w:p w14:paraId="5F738715"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6E120E70" w14:textId="77777777" w:rsidR="007D706A" w:rsidRDefault="007D706A" w:rsidP="00F70508">
            <w:pPr>
              <w:pStyle w:val="ParagraphStyle6"/>
              <w:rPr>
                <w:rStyle w:val="CharacterStyle6"/>
              </w:rPr>
            </w:pPr>
            <w:r>
              <w:rPr>
                <w:rStyle w:val="CharacterStyle6"/>
              </w:rPr>
              <w:t>7.843.768,50</w:t>
            </w:r>
          </w:p>
        </w:tc>
        <w:tc>
          <w:tcPr>
            <w:tcW w:w="1395" w:type="dxa"/>
            <w:tcBorders>
              <w:bottom w:val="single" w:sz="6" w:space="0" w:color="000000"/>
              <w:right w:val="single" w:sz="6" w:space="0" w:color="000000"/>
            </w:tcBorders>
            <w:vAlign w:val="center"/>
          </w:tcPr>
          <w:p w14:paraId="45C0C869" w14:textId="77777777" w:rsidR="007D706A" w:rsidRDefault="007D706A" w:rsidP="00F70508">
            <w:pPr>
              <w:pStyle w:val="ParagraphStyle6"/>
              <w:rPr>
                <w:rStyle w:val="CharacterStyle6"/>
              </w:rPr>
            </w:pPr>
            <w:r>
              <w:rPr>
                <w:rStyle w:val="CharacterStyle6"/>
              </w:rPr>
              <w:t>7.609.145,00</w:t>
            </w:r>
          </w:p>
        </w:tc>
        <w:tc>
          <w:tcPr>
            <w:tcW w:w="1395" w:type="dxa"/>
            <w:tcBorders>
              <w:bottom w:val="single" w:sz="6" w:space="0" w:color="000000"/>
              <w:right w:val="single" w:sz="6" w:space="0" w:color="000000"/>
            </w:tcBorders>
            <w:vAlign w:val="center"/>
          </w:tcPr>
          <w:p w14:paraId="0FD54960" w14:textId="77777777" w:rsidR="007D706A" w:rsidRDefault="007D706A" w:rsidP="00F70508">
            <w:pPr>
              <w:pStyle w:val="ParagraphStyle6"/>
              <w:rPr>
                <w:rStyle w:val="CharacterStyle6"/>
              </w:rPr>
            </w:pPr>
            <w:r>
              <w:rPr>
                <w:rStyle w:val="CharacterStyle6"/>
              </w:rPr>
              <w:t>7.745.822,77</w:t>
            </w:r>
          </w:p>
        </w:tc>
        <w:tc>
          <w:tcPr>
            <w:tcW w:w="1395" w:type="dxa"/>
            <w:tcBorders>
              <w:bottom w:val="single" w:sz="6" w:space="0" w:color="000000"/>
              <w:right w:val="single" w:sz="6" w:space="0" w:color="000000"/>
            </w:tcBorders>
            <w:vAlign w:val="center"/>
          </w:tcPr>
          <w:p w14:paraId="046CAA91" w14:textId="77777777" w:rsidR="007D706A" w:rsidRDefault="007D706A" w:rsidP="00F70508">
            <w:pPr>
              <w:pStyle w:val="ParagraphStyle6"/>
              <w:rPr>
                <w:rStyle w:val="CharacterStyle6"/>
              </w:rPr>
            </w:pPr>
            <w:r>
              <w:rPr>
                <w:rStyle w:val="CharacterStyle6"/>
              </w:rPr>
              <w:t>7.822.356,85</w:t>
            </w:r>
          </w:p>
        </w:tc>
      </w:tr>
      <w:tr w:rsidR="007D706A" w14:paraId="7D0CC42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9C7F058" w14:textId="77777777" w:rsidR="007D706A" w:rsidRDefault="007D706A" w:rsidP="00F70508">
            <w:pPr>
              <w:pStyle w:val="ParagraphStyle4"/>
              <w:rPr>
                <w:rStyle w:val="CharacterStyle4"/>
              </w:rPr>
            </w:pPr>
            <w:r>
              <w:rPr>
                <w:rStyle w:val="CharacterStyle4"/>
              </w:rPr>
              <w:t>Aktivnost A103635</w:t>
            </w:r>
          </w:p>
        </w:tc>
        <w:tc>
          <w:tcPr>
            <w:tcW w:w="4995" w:type="dxa"/>
            <w:tcBorders>
              <w:bottom w:val="single" w:sz="6" w:space="0" w:color="000000"/>
              <w:right w:val="single" w:sz="6" w:space="0" w:color="000000"/>
            </w:tcBorders>
            <w:vAlign w:val="center"/>
          </w:tcPr>
          <w:p w14:paraId="265C2D85" w14:textId="77777777" w:rsidR="007D706A" w:rsidRDefault="007D706A" w:rsidP="00F70508">
            <w:pPr>
              <w:pStyle w:val="ParagraphStyle5"/>
              <w:rPr>
                <w:rStyle w:val="CharacterStyle5"/>
              </w:rPr>
            </w:pPr>
            <w:r>
              <w:rPr>
                <w:rStyle w:val="CharacterStyle5"/>
              </w:rPr>
              <w:t>MATERIJALNI RASHODI PO OSNOVI DODATNIH STANDARDA</w:t>
            </w:r>
          </w:p>
        </w:tc>
        <w:tc>
          <w:tcPr>
            <w:tcW w:w="1395" w:type="dxa"/>
            <w:tcBorders>
              <w:bottom w:val="single" w:sz="6" w:space="0" w:color="000000"/>
              <w:right w:val="single" w:sz="6" w:space="0" w:color="000000"/>
            </w:tcBorders>
            <w:vAlign w:val="center"/>
          </w:tcPr>
          <w:p w14:paraId="394B2115"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1240ED56" w14:textId="77777777" w:rsidR="007D706A" w:rsidRDefault="007D706A" w:rsidP="00F70508">
            <w:pPr>
              <w:pStyle w:val="ParagraphStyle6"/>
              <w:rPr>
                <w:rStyle w:val="CharacterStyle6"/>
              </w:rPr>
            </w:pPr>
            <w:r>
              <w:rPr>
                <w:rStyle w:val="CharacterStyle6"/>
              </w:rPr>
              <w:t>25.022,39</w:t>
            </w:r>
          </w:p>
        </w:tc>
        <w:tc>
          <w:tcPr>
            <w:tcW w:w="1395" w:type="dxa"/>
            <w:tcBorders>
              <w:bottom w:val="single" w:sz="6" w:space="0" w:color="000000"/>
              <w:right w:val="single" w:sz="6" w:space="0" w:color="000000"/>
            </w:tcBorders>
            <w:vAlign w:val="center"/>
          </w:tcPr>
          <w:p w14:paraId="5FDDB363" w14:textId="77777777" w:rsidR="007D706A" w:rsidRDefault="007D706A" w:rsidP="00F70508">
            <w:pPr>
              <w:pStyle w:val="ParagraphStyle6"/>
              <w:rPr>
                <w:rStyle w:val="CharacterStyle6"/>
              </w:rPr>
            </w:pPr>
            <w:r>
              <w:rPr>
                <w:rStyle w:val="CharacterStyle6"/>
              </w:rPr>
              <w:t>33.000,00</w:t>
            </w:r>
          </w:p>
        </w:tc>
        <w:tc>
          <w:tcPr>
            <w:tcW w:w="1395" w:type="dxa"/>
            <w:tcBorders>
              <w:bottom w:val="single" w:sz="6" w:space="0" w:color="000000"/>
              <w:right w:val="single" w:sz="6" w:space="0" w:color="000000"/>
            </w:tcBorders>
            <w:vAlign w:val="center"/>
          </w:tcPr>
          <w:p w14:paraId="5737D12D" w14:textId="77777777" w:rsidR="007D706A" w:rsidRDefault="007D706A" w:rsidP="00F70508">
            <w:pPr>
              <w:pStyle w:val="ParagraphStyle6"/>
              <w:rPr>
                <w:rStyle w:val="CharacterStyle6"/>
              </w:rPr>
            </w:pPr>
            <w:r>
              <w:rPr>
                <w:rStyle w:val="CharacterStyle6"/>
              </w:rPr>
              <w:t>34.320,00</w:t>
            </w:r>
          </w:p>
        </w:tc>
        <w:tc>
          <w:tcPr>
            <w:tcW w:w="1395" w:type="dxa"/>
            <w:tcBorders>
              <w:bottom w:val="single" w:sz="6" w:space="0" w:color="000000"/>
              <w:right w:val="single" w:sz="6" w:space="0" w:color="000000"/>
            </w:tcBorders>
            <w:vAlign w:val="center"/>
          </w:tcPr>
          <w:p w14:paraId="1360A0FD" w14:textId="77777777" w:rsidR="007D706A" w:rsidRDefault="007D706A" w:rsidP="00F70508">
            <w:pPr>
              <w:pStyle w:val="ParagraphStyle6"/>
              <w:rPr>
                <w:rStyle w:val="CharacterStyle6"/>
              </w:rPr>
            </w:pPr>
            <w:r>
              <w:rPr>
                <w:rStyle w:val="CharacterStyle6"/>
              </w:rPr>
              <w:t>34.664,00</w:t>
            </w:r>
          </w:p>
        </w:tc>
      </w:tr>
      <w:tr w:rsidR="007D706A" w14:paraId="06F44BC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DCD04FF"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6D4590C3"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20CF78DC"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25C58AD" w14:textId="77777777" w:rsidR="007D706A" w:rsidRDefault="007D706A" w:rsidP="00F70508">
            <w:pPr>
              <w:pStyle w:val="ParagraphStyle9"/>
              <w:rPr>
                <w:rStyle w:val="CharacterStyle9"/>
              </w:rPr>
            </w:pPr>
            <w:r>
              <w:rPr>
                <w:rStyle w:val="CharacterStyle9"/>
              </w:rPr>
              <w:t>25.022,39</w:t>
            </w:r>
          </w:p>
        </w:tc>
        <w:tc>
          <w:tcPr>
            <w:tcW w:w="1395" w:type="dxa"/>
            <w:tcBorders>
              <w:bottom w:val="single" w:sz="6" w:space="0" w:color="000000"/>
              <w:right w:val="single" w:sz="6" w:space="0" w:color="000000"/>
            </w:tcBorders>
            <w:vAlign w:val="center"/>
          </w:tcPr>
          <w:p w14:paraId="3BC2CD00" w14:textId="77777777" w:rsidR="007D706A" w:rsidRDefault="007D706A" w:rsidP="00F70508">
            <w:pPr>
              <w:pStyle w:val="ParagraphStyle9"/>
              <w:rPr>
                <w:rStyle w:val="CharacterStyle9"/>
              </w:rPr>
            </w:pPr>
            <w:r>
              <w:rPr>
                <w:rStyle w:val="CharacterStyle9"/>
              </w:rPr>
              <w:t>33.000,00</w:t>
            </w:r>
          </w:p>
        </w:tc>
        <w:tc>
          <w:tcPr>
            <w:tcW w:w="1395" w:type="dxa"/>
            <w:tcBorders>
              <w:bottom w:val="single" w:sz="6" w:space="0" w:color="000000"/>
              <w:right w:val="single" w:sz="6" w:space="0" w:color="000000"/>
            </w:tcBorders>
            <w:vAlign w:val="center"/>
          </w:tcPr>
          <w:p w14:paraId="3B3F3EE9" w14:textId="77777777" w:rsidR="007D706A" w:rsidRDefault="007D706A" w:rsidP="00F70508">
            <w:pPr>
              <w:pStyle w:val="ParagraphStyle9"/>
              <w:rPr>
                <w:rStyle w:val="CharacterStyle9"/>
              </w:rPr>
            </w:pPr>
            <w:r>
              <w:rPr>
                <w:rStyle w:val="CharacterStyle9"/>
              </w:rPr>
              <w:t>34.320,00</w:t>
            </w:r>
          </w:p>
        </w:tc>
        <w:tc>
          <w:tcPr>
            <w:tcW w:w="1395" w:type="dxa"/>
            <w:tcBorders>
              <w:bottom w:val="single" w:sz="6" w:space="0" w:color="000000"/>
              <w:right w:val="single" w:sz="6" w:space="0" w:color="000000"/>
            </w:tcBorders>
            <w:vAlign w:val="center"/>
          </w:tcPr>
          <w:p w14:paraId="045D362F" w14:textId="77777777" w:rsidR="007D706A" w:rsidRDefault="007D706A" w:rsidP="00F70508">
            <w:pPr>
              <w:pStyle w:val="ParagraphStyle9"/>
              <w:rPr>
                <w:rStyle w:val="CharacterStyle9"/>
              </w:rPr>
            </w:pPr>
            <w:r>
              <w:rPr>
                <w:rStyle w:val="CharacterStyle9"/>
              </w:rPr>
              <w:t>34.664,00</w:t>
            </w:r>
          </w:p>
        </w:tc>
      </w:tr>
      <w:tr w:rsidR="007D706A" w14:paraId="6A8BDE6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50B7BDD"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049BA914"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62B204E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2742627" w14:textId="77777777" w:rsidR="007D706A" w:rsidRDefault="007D706A" w:rsidP="00F70508">
            <w:pPr>
              <w:pStyle w:val="ParagraphStyle12"/>
              <w:rPr>
                <w:rStyle w:val="CharacterStyle12"/>
              </w:rPr>
            </w:pPr>
            <w:r>
              <w:rPr>
                <w:rStyle w:val="CharacterStyle12"/>
              </w:rPr>
              <w:t>25.022,39</w:t>
            </w:r>
          </w:p>
        </w:tc>
        <w:tc>
          <w:tcPr>
            <w:tcW w:w="1395" w:type="dxa"/>
            <w:tcBorders>
              <w:bottom w:val="single" w:sz="6" w:space="0" w:color="000000"/>
              <w:right w:val="single" w:sz="6" w:space="0" w:color="000000"/>
            </w:tcBorders>
            <w:vAlign w:val="center"/>
          </w:tcPr>
          <w:p w14:paraId="1CE8A480" w14:textId="77777777" w:rsidR="007D706A" w:rsidRDefault="007D706A" w:rsidP="00F70508">
            <w:pPr>
              <w:pStyle w:val="ParagraphStyle12"/>
              <w:rPr>
                <w:rStyle w:val="CharacterStyle12"/>
              </w:rPr>
            </w:pPr>
            <w:r>
              <w:rPr>
                <w:rStyle w:val="CharacterStyle12"/>
              </w:rPr>
              <w:t>33.000,00</w:t>
            </w:r>
          </w:p>
        </w:tc>
        <w:tc>
          <w:tcPr>
            <w:tcW w:w="1395" w:type="dxa"/>
            <w:tcBorders>
              <w:bottom w:val="single" w:sz="6" w:space="0" w:color="000000"/>
              <w:right w:val="single" w:sz="6" w:space="0" w:color="000000"/>
            </w:tcBorders>
            <w:vAlign w:val="center"/>
          </w:tcPr>
          <w:p w14:paraId="23FB7F6B" w14:textId="77777777" w:rsidR="007D706A" w:rsidRDefault="007D706A" w:rsidP="00F70508">
            <w:pPr>
              <w:pStyle w:val="ParagraphStyle12"/>
              <w:rPr>
                <w:rStyle w:val="CharacterStyle12"/>
              </w:rPr>
            </w:pPr>
            <w:r>
              <w:rPr>
                <w:rStyle w:val="CharacterStyle12"/>
              </w:rPr>
              <w:t>34.320,00</w:t>
            </w:r>
          </w:p>
        </w:tc>
        <w:tc>
          <w:tcPr>
            <w:tcW w:w="1395" w:type="dxa"/>
            <w:tcBorders>
              <w:bottom w:val="single" w:sz="6" w:space="0" w:color="000000"/>
              <w:right w:val="single" w:sz="6" w:space="0" w:color="000000"/>
            </w:tcBorders>
            <w:vAlign w:val="center"/>
          </w:tcPr>
          <w:p w14:paraId="0253F934" w14:textId="77777777" w:rsidR="007D706A" w:rsidRDefault="007D706A" w:rsidP="00F70508">
            <w:pPr>
              <w:pStyle w:val="ParagraphStyle12"/>
              <w:rPr>
                <w:rStyle w:val="CharacterStyle12"/>
              </w:rPr>
            </w:pPr>
            <w:r>
              <w:rPr>
                <w:rStyle w:val="CharacterStyle12"/>
              </w:rPr>
              <w:t>34.664,00</w:t>
            </w:r>
          </w:p>
        </w:tc>
      </w:tr>
      <w:tr w:rsidR="007D706A" w14:paraId="775B3AA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2DF5309"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1C814D4C"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277F2BF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4C63D8E" w14:textId="77777777" w:rsidR="007D706A" w:rsidRDefault="007D706A" w:rsidP="00F70508">
            <w:pPr>
              <w:pStyle w:val="ParagraphStyle12"/>
              <w:rPr>
                <w:rStyle w:val="CharacterStyle12"/>
              </w:rPr>
            </w:pPr>
            <w:r>
              <w:rPr>
                <w:rStyle w:val="CharacterStyle12"/>
              </w:rPr>
              <w:t>25.022,39</w:t>
            </w:r>
          </w:p>
        </w:tc>
        <w:tc>
          <w:tcPr>
            <w:tcW w:w="1395" w:type="dxa"/>
            <w:tcBorders>
              <w:bottom w:val="single" w:sz="6" w:space="0" w:color="000000"/>
              <w:right w:val="single" w:sz="6" w:space="0" w:color="000000"/>
            </w:tcBorders>
            <w:vAlign w:val="center"/>
          </w:tcPr>
          <w:p w14:paraId="54344B79" w14:textId="77777777" w:rsidR="007D706A" w:rsidRDefault="007D706A" w:rsidP="00F70508">
            <w:pPr>
              <w:pStyle w:val="ParagraphStyle12"/>
              <w:rPr>
                <w:rStyle w:val="CharacterStyle12"/>
              </w:rPr>
            </w:pPr>
            <w:r>
              <w:rPr>
                <w:rStyle w:val="CharacterStyle12"/>
              </w:rPr>
              <w:t>33.000,00</w:t>
            </w:r>
          </w:p>
        </w:tc>
        <w:tc>
          <w:tcPr>
            <w:tcW w:w="1395" w:type="dxa"/>
            <w:tcBorders>
              <w:bottom w:val="single" w:sz="6" w:space="0" w:color="000000"/>
              <w:right w:val="single" w:sz="6" w:space="0" w:color="000000"/>
            </w:tcBorders>
            <w:vAlign w:val="center"/>
          </w:tcPr>
          <w:p w14:paraId="75404775" w14:textId="77777777" w:rsidR="007D706A" w:rsidRDefault="007D706A" w:rsidP="00F70508">
            <w:pPr>
              <w:pStyle w:val="ParagraphStyle12"/>
              <w:rPr>
                <w:rStyle w:val="CharacterStyle12"/>
              </w:rPr>
            </w:pPr>
            <w:r>
              <w:rPr>
                <w:rStyle w:val="CharacterStyle12"/>
              </w:rPr>
              <w:t>34.320,00</w:t>
            </w:r>
          </w:p>
        </w:tc>
        <w:tc>
          <w:tcPr>
            <w:tcW w:w="1395" w:type="dxa"/>
            <w:tcBorders>
              <w:bottom w:val="single" w:sz="6" w:space="0" w:color="000000"/>
              <w:right w:val="single" w:sz="6" w:space="0" w:color="000000"/>
            </w:tcBorders>
            <w:vAlign w:val="center"/>
          </w:tcPr>
          <w:p w14:paraId="3E023FED" w14:textId="77777777" w:rsidR="007D706A" w:rsidRDefault="007D706A" w:rsidP="00F70508">
            <w:pPr>
              <w:pStyle w:val="ParagraphStyle12"/>
              <w:rPr>
                <w:rStyle w:val="CharacterStyle12"/>
              </w:rPr>
            </w:pPr>
            <w:r>
              <w:rPr>
                <w:rStyle w:val="CharacterStyle12"/>
              </w:rPr>
              <w:t>34.664,00</w:t>
            </w:r>
          </w:p>
        </w:tc>
      </w:tr>
      <w:tr w:rsidR="007D706A" w14:paraId="0B397AF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1E593BA" w14:textId="77777777" w:rsidR="007D706A" w:rsidRDefault="007D706A" w:rsidP="00F70508">
            <w:pPr>
              <w:pStyle w:val="ParagraphStyle4"/>
              <w:rPr>
                <w:rStyle w:val="CharacterStyle4"/>
              </w:rPr>
            </w:pPr>
            <w:r>
              <w:rPr>
                <w:rStyle w:val="CharacterStyle4"/>
              </w:rPr>
              <w:t>Aktivnost A103643</w:t>
            </w:r>
          </w:p>
        </w:tc>
        <w:tc>
          <w:tcPr>
            <w:tcW w:w="4995" w:type="dxa"/>
            <w:tcBorders>
              <w:bottom w:val="single" w:sz="6" w:space="0" w:color="000000"/>
              <w:right w:val="single" w:sz="6" w:space="0" w:color="000000"/>
            </w:tcBorders>
            <w:vAlign w:val="center"/>
          </w:tcPr>
          <w:p w14:paraId="5F60FAA5" w14:textId="77777777" w:rsidR="007D706A" w:rsidRDefault="007D706A" w:rsidP="00F70508">
            <w:pPr>
              <w:pStyle w:val="ParagraphStyle5"/>
              <w:rPr>
                <w:rStyle w:val="CharacterStyle5"/>
              </w:rPr>
            </w:pPr>
            <w:r>
              <w:rPr>
                <w:rStyle w:val="CharacterStyle5"/>
              </w:rPr>
              <w:t>NATJECANJA UČENIKA</w:t>
            </w:r>
          </w:p>
        </w:tc>
        <w:tc>
          <w:tcPr>
            <w:tcW w:w="1395" w:type="dxa"/>
            <w:tcBorders>
              <w:bottom w:val="single" w:sz="6" w:space="0" w:color="000000"/>
              <w:right w:val="single" w:sz="6" w:space="0" w:color="000000"/>
            </w:tcBorders>
            <w:vAlign w:val="center"/>
          </w:tcPr>
          <w:p w14:paraId="267C6F00"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0EBB226D"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3C2477C1" w14:textId="77777777" w:rsidR="007D706A" w:rsidRDefault="007D706A" w:rsidP="00F70508">
            <w:pPr>
              <w:pStyle w:val="ParagraphStyle6"/>
              <w:rPr>
                <w:rStyle w:val="CharacterStyle6"/>
              </w:rPr>
            </w:pPr>
            <w:r>
              <w:rPr>
                <w:rStyle w:val="CharacterStyle6"/>
              </w:rPr>
              <w:t>2.600,00</w:t>
            </w:r>
          </w:p>
        </w:tc>
        <w:tc>
          <w:tcPr>
            <w:tcW w:w="1395" w:type="dxa"/>
            <w:tcBorders>
              <w:bottom w:val="single" w:sz="6" w:space="0" w:color="000000"/>
              <w:right w:val="single" w:sz="6" w:space="0" w:color="000000"/>
            </w:tcBorders>
            <w:vAlign w:val="center"/>
          </w:tcPr>
          <w:p w14:paraId="5E12FDE1" w14:textId="77777777" w:rsidR="007D706A" w:rsidRDefault="007D706A" w:rsidP="00F70508">
            <w:pPr>
              <w:pStyle w:val="ParagraphStyle6"/>
              <w:rPr>
                <w:rStyle w:val="CharacterStyle6"/>
              </w:rPr>
            </w:pPr>
            <w:r>
              <w:rPr>
                <w:rStyle w:val="CharacterStyle6"/>
              </w:rPr>
              <w:t>1.456,00</w:t>
            </w:r>
          </w:p>
        </w:tc>
        <w:tc>
          <w:tcPr>
            <w:tcW w:w="1395" w:type="dxa"/>
            <w:tcBorders>
              <w:bottom w:val="single" w:sz="6" w:space="0" w:color="000000"/>
              <w:right w:val="single" w:sz="6" w:space="0" w:color="000000"/>
            </w:tcBorders>
            <w:vAlign w:val="center"/>
          </w:tcPr>
          <w:p w14:paraId="19A2879E" w14:textId="77777777" w:rsidR="007D706A" w:rsidRDefault="007D706A" w:rsidP="00F70508">
            <w:pPr>
              <w:pStyle w:val="ParagraphStyle6"/>
              <w:rPr>
                <w:rStyle w:val="CharacterStyle6"/>
              </w:rPr>
            </w:pPr>
            <w:r>
              <w:rPr>
                <w:rStyle w:val="CharacterStyle6"/>
              </w:rPr>
              <w:t>1.470,00</w:t>
            </w:r>
          </w:p>
        </w:tc>
      </w:tr>
      <w:tr w:rsidR="007D706A" w14:paraId="3BEA313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72E080E"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7BF7C3C5"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6B1E4FBB"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4E599D2"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74ABB84" w14:textId="77777777" w:rsidR="007D706A" w:rsidRDefault="007D706A" w:rsidP="00F70508">
            <w:pPr>
              <w:pStyle w:val="ParagraphStyle9"/>
              <w:rPr>
                <w:rStyle w:val="CharacterStyle9"/>
              </w:rPr>
            </w:pPr>
            <w:r>
              <w:rPr>
                <w:rStyle w:val="CharacterStyle9"/>
              </w:rPr>
              <w:t>2.600,00</w:t>
            </w:r>
          </w:p>
        </w:tc>
        <w:tc>
          <w:tcPr>
            <w:tcW w:w="1395" w:type="dxa"/>
            <w:tcBorders>
              <w:bottom w:val="single" w:sz="6" w:space="0" w:color="000000"/>
              <w:right w:val="single" w:sz="6" w:space="0" w:color="000000"/>
            </w:tcBorders>
            <w:vAlign w:val="center"/>
          </w:tcPr>
          <w:p w14:paraId="0908B9EE" w14:textId="77777777" w:rsidR="007D706A" w:rsidRDefault="007D706A" w:rsidP="00F70508">
            <w:pPr>
              <w:pStyle w:val="ParagraphStyle9"/>
              <w:rPr>
                <w:rStyle w:val="CharacterStyle9"/>
              </w:rPr>
            </w:pPr>
            <w:r>
              <w:rPr>
                <w:rStyle w:val="CharacterStyle9"/>
              </w:rPr>
              <w:t>1.456,00</w:t>
            </w:r>
          </w:p>
        </w:tc>
        <w:tc>
          <w:tcPr>
            <w:tcW w:w="1395" w:type="dxa"/>
            <w:tcBorders>
              <w:bottom w:val="single" w:sz="6" w:space="0" w:color="000000"/>
              <w:right w:val="single" w:sz="6" w:space="0" w:color="000000"/>
            </w:tcBorders>
            <w:vAlign w:val="center"/>
          </w:tcPr>
          <w:p w14:paraId="2ED1A66B" w14:textId="77777777" w:rsidR="007D706A" w:rsidRDefault="007D706A" w:rsidP="00F70508">
            <w:pPr>
              <w:pStyle w:val="ParagraphStyle9"/>
              <w:rPr>
                <w:rStyle w:val="CharacterStyle9"/>
              </w:rPr>
            </w:pPr>
            <w:r>
              <w:rPr>
                <w:rStyle w:val="CharacterStyle9"/>
              </w:rPr>
              <w:t>1.470,00</w:t>
            </w:r>
          </w:p>
        </w:tc>
      </w:tr>
      <w:tr w:rsidR="007D706A" w14:paraId="4783A95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26FA6E3"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30620F02"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3CE6909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44530D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D7089D8" w14:textId="77777777" w:rsidR="007D706A" w:rsidRDefault="007D706A" w:rsidP="00F70508">
            <w:pPr>
              <w:pStyle w:val="ParagraphStyle12"/>
              <w:rPr>
                <w:rStyle w:val="CharacterStyle12"/>
              </w:rPr>
            </w:pPr>
            <w:r>
              <w:rPr>
                <w:rStyle w:val="CharacterStyle12"/>
              </w:rPr>
              <w:t>2.600,00</w:t>
            </w:r>
          </w:p>
        </w:tc>
        <w:tc>
          <w:tcPr>
            <w:tcW w:w="1395" w:type="dxa"/>
            <w:tcBorders>
              <w:bottom w:val="single" w:sz="6" w:space="0" w:color="000000"/>
              <w:right w:val="single" w:sz="6" w:space="0" w:color="000000"/>
            </w:tcBorders>
            <w:vAlign w:val="center"/>
          </w:tcPr>
          <w:p w14:paraId="0164EB2E" w14:textId="77777777" w:rsidR="007D706A" w:rsidRDefault="007D706A" w:rsidP="00F70508">
            <w:pPr>
              <w:pStyle w:val="ParagraphStyle12"/>
              <w:rPr>
                <w:rStyle w:val="CharacterStyle12"/>
              </w:rPr>
            </w:pPr>
            <w:r>
              <w:rPr>
                <w:rStyle w:val="CharacterStyle12"/>
              </w:rPr>
              <w:t>1.456,00</w:t>
            </w:r>
          </w:p>
        </w:tc>
        <w:tc>
          <w:tcPr>
            <w:tcW w:w="1395" w:type="dxa"/>
            <w:tcBorders>
              <w:bottom w:val="single" w:sz="6" w:space="0" w:color="000000"/>
              <w:right w:val="single" w:sz="6" w:space="0" w:color="000000"/>
            </w:tcBorders>
            <w:vAlign w:val="center"/>
          </w:tcPr>
          <w:p w14:paraId="179EF0AC" w14:textId="77777777" w:rsidR="007D706A" w:rsidRDefault="007D706A" w:rsidP="00F70508">
            <w:pPr>
              <w:pStyle w:val="ParagraphStyle12"/>
              <w:rPr>
                <w:rStyle w:val="CharacterStyle12"/>
              </w:rPr>
            </w:pPr>
            <w:r>
              <w:rPr>
                <w:rStyle w:val="CharacterStyle12"/>
              </w:rPr>
              <w:t>1.470,00</w:t>
            </w:r>
          </w:p>
        </w:tc>
      </w:tr>
      <w:tr w:rsidR="007D706A" w14:paraId="213AD96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1052094"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5CBF8A02"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3B1E4A1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40C31C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2DDD989" w14:textId="77777777" w:rsidR="007D706A" w:rsidRDefault="007D706A" w:rsidP="00F70508">
            <w:pPr>
              <w:pStyle w:val="ParagraphStyle12"/>
              <w:rPr>
                <w:rStyle w:val="CharacterStyle12"/>
              </w:rPr>
            </w:pPr>
            <w:r>
              <w:rPr>
                <w:rStyle w:val="CharacterStyle12"/>
              </w:rPr>
              <w:t>2.600,00</w:t>
            </w:r>
          </w:p>
        </w:tc>
        <w:tc>
          <w:tcPr>
            <w:tcW w:w="1395" w:type="dxa"/>
            <w:tcBorders>
              <w:bottom w:val="single" w:sz="6" w:space="0" w:color="000000"/>
              <w:right w:val="single" w:sz="6" w:space="0" w:color="000000"/>
            </w:tcBorders>
            <w:vAlign w:val="center"/>
          </w:tcPr>
          <w:p w14:paraId="03EF327E" w14:textId="77777777" w:rsidR="007D706A" w:rsidRDefault="007D706A" w:rsidP="00F70508">
            <w:pPr>
              <w:pStyle w:val="ParagraphStyle12"/>
              <w:rPr>
                <w:rStyle w:val="CharacterStyle12"/>
              </w:rPr>
            </w:pPr>
            <w:r>
              <w:rPr>
                <w:rStyle w:val="CharacterStyle12"/>
              </w:rPr>
              <w:t>1.456,00</w:t>
            </w:r>
          </w:p>
        </w:tc>
        <w:tc>
          <w:tcPr>
            <w:tcW w:w="1395" w:type="dxa"/>
            <w:tcBorders>
              <w:bottom w:val="single" w:sz="6" w:space="0" w:color="000000"/>
              <w:right w:val="single" w:sz="6" w:space="0" w:color="000000"/>
            </w:tcBorders>
            <w:vAlign w:val="center"/>
          </w:tcPr>
          <w:p w14:paraId="0A70B776" w14:textId="77777777" w:rsidR="007D706A" w:rsidRDefault="007D706A" w:rsidP="00F70508">
            <w:pPr>
              <w:pStyle w:val="ParagraphStyle12"/>
              <w:rPr>
                <w:rStyle w:val="CharacterStyle12"/>
              </w:rPr>
            </w:pPr>
            <w:r>
              <w:rPr>
                <w:rStyle w:val="CharacterStyle12"/>
              </w:rPr>
              <w:t>1.470,00</w:t>
            </w:r>
          </w:p>
        </w:tc>
      </w:tr>
      <w:tr w:rsidR="007D706A" w14:paraId="0F2EA57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9B1F17E" w14:textId="77777777" w:rsidR="007D706A" w:rsidRDefault="007D706A" w:rsidP="00F70508">
            <w:pPr>
              <w:pStyle w:val="ParagraphStyle4"/>
              <w:rPr>
                <w:rStyle w:val="CharacterStyle4"/>
              </w:rPr>
            </w:pPr>
            <w:r>
              <w:rPr>
                <w:rStyle w:val="CharacterStyle4"/>
              </w:rPr>
              <w:t>Aktivnost A103601</w:t>
            </w:r>
          </w:p>
        </w:tc>
        <w:tc>
          <w:tcPr>
            <w:tcW w:w="4995" w:type="dxa"/>
            <w:tcBorders>
              <w:bottom w:val="single" w:sz="6" w:space="0" w:color="000000"/>
              <w:right w:val="single" w:sz="6" w:space="0" w:color="000000"/>
            </w:tcBorders>
            <w:vAlign w:val="center"/>
          </w:tcPr>
          <w:p w14:paraId="6A8A62C3" w14:textId="77777777" w:rsidR="007D706A" w:rsidRDefault="007D706A" w:rsidP="00F70508">
            <w:pPr>
              <w:pStyle w:val="ParagraphStyle5"/>
              <w:rPr>
                <w:rStyle w:val="CharacterStyle5"/>
              </w:rPr>
            </w:pPr>
            <w:r>
              <w:rPr>
                <w:rStyle w:val="CharacterStyle5"/>
              </w:rPr>
              <w:t>DECENTRALIZIRANE FUNKCIJE</w:t>
            </w:r>
          </w:p>
        </w:tc>
        <w:tc>
          <w:tcPr>
            <w:tcW w:w="1395" w:type="dxa"/>
            <w:tcBorders>
              <w:bottom w:val="single" w:sz="6" w:space="0" w:color="000000"/>
              <w:right w:val="single" w:sz="6" w:space="0" w:color="000000"/>
            </w:tcBorders>
            <w:vAlign w:val="center"/>
          </w:tcPr>
          <w:p w14:paraId="59FBB392"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2824D4FD" w14:textId="77777777" w:rsidR="007D706A" w:rsidRDefault="007D706A" w:rsidP="00F70508">
            <w:pPr>
              <w:pStyle w:val="ParagraphStyle6"/>
              <w:rPr>
                <w:rStyle w:val="CharacterStyle6"/>
              </w:rPr>
            </w:pPr>
            <w:r>
              <w:rPr>
                <w:rStyle w:val="CharacterStyle6"/>
              </w:rPr>
              <w:t>1.016.388,17</w:t>
            </w:r>
          </w:p>
        </w:tc>
        <w:tc>
          <w:tcPr>
            <w:tcW w:w="1395" w:type="dxa"/>
            <w:tcBorders>
              <w:bottom w:val="single" w:sz="6" w:space="0" w:color="000000"/>
              <w:right w:val="single" w:sz="6" w:space="0" w:color="000000"/>
            </w:tcBorders>
            <w:vAlign w:val="center"/>
          </w:tcPr>
          <w:p w14:paraId="280BA56F" w14:textId="77777777" w:rsidR="007D706A" w:rsidRDefault="007D706A" w:rsidP="00F70508">
            <w:pPr>
              <w:pStyle w:val="ParagraphStyle6"/>
              <w:rPr>
                <w:rStyle w:val="CharacterStyle6"/>
              </w:rPr>
            </w:pPr>
            <w:r>
              <w:rPr>
                <w:rStyle w:val="CharacterStyle6"/>
              </w:rPr>
              <w:t>930.000,00</w:t>
            </w:r>
          </w:p>
        </w:tc>
        <w:tc>
          <w:tcPr>
            <w:tcW w:w="1395" w:type="dxa"/>
            <w:tcBorders>
              <w:bottom w:val="single" w:sz="6" w:space="0" w:color="000000"/>
              <w:right w:val="single" w:sz="6" w:space="0" w:color="000000"/>
            </w:tcBorders>
            <w:vAlign w:val="center"/>
          </w:tcPr>
          <w:p w14:paraId="61D65DA7" w14:textId="77777777" w:rsidR="007D706A" w:rsidRDefault="007D706A" w:rsidP="00F70508">
            <w:pPr>
              <w:pStyle w:val="ParagraphStyle6"/>
              <w:rPr>
                <w:rStyle w:val="CharacterStyle6"/>
              </w:rPr>
            </w:pPr>
            <w:r>
              <w:rPr>
                <w:rStyle w:val="CharacterStyle6"/>
              </w:rPr>
              <w:t>967.203,00</w:t>
            </w:r>
          </w:p>
        </w:tc>
        <w:tc>
          <w:tcPr>
            <w:tcW w:w="1395" w:type="dxa"/>
            <w:tcBorders>
              <w:bottom w:val="single" w:sz="6" w:space="0" w:color="000000"/>
              <w:right w:val="single" w:sz="6" w:space="0" w:color="000000"/>
            </w:tcBorders>
            <w:vAlign w:val="center"/>
          </w:tcPr>
          <w:p w14:paraId="77D3B0B2" w14:textId="77777777" w:rsidR="007D706A" w:rsidRDefault="007D706A" w:rsidP="00F70508">
            <w:pPr>
              <w:pStyle w:val="ParagraphStyle6"/>
              <w:rPr>
                <w:rStyle w:val="CharacterStyle6"/>
              </w:rPr>
            </w:pPr>
            <w:r>
              <w:rPr>
                <w:rStyle w:val="CharacterStyle6"/>
              </w:rPr>
              <w:t>976.892,00</w:t>
            </w:r>
          </w:p>
        </w:tc>
      </w:tr>
      <w:tr w:rsidR="007D706A" w14:paraId="41BF50A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B8F539A"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1486EE59"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1772970A"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21911C8" w14:textId="77777777" w:rsidR="007D706A" w:rsidRDefault="007D706A" w:rsidP="00F70508">
            <w:pPr>
              <w:pStyle w:val="ParagraphStyle9"/>
              <w:rPr>
                <w:rStyle w:val="CharacterStyle9"/>
              </w:rPr>
            </w:pPr>
            <w:r>
              <w:rPr>
                <w:rStyle w:val="CharacterStyle9"/>
              </w:rPr>
              <w:t>0,91</w:t>
            </w:r>
          </w:p>
        </w:tc>
        <w:tc>
          <w:tcPr>
            <w:tcW w:w="1395" w:type="dxa"/>
            <w:tcBorders>
              <w:bottom w:val="single" w:sz="6" w:space="0" w:color="000000"/>
              <w:right w:val="single" w:sz="6" w:space="0" w:color="000000"/>
            </w:tcBorders>
            <w:vAlign w:val="center"/>
          </w:tcPr>
          <w:p w14:paraId="36CBF382" w14:textId="77777777" w:rsidR="007D706A" w:rsidRDefault="007D706A" w:rsidP="00F70508">
            <w:pPr>
              <w:pStyle w:val="ParagraphStyle9"/>
              <w:rPr>
                <w:rStyle w:val="CharacterStyle9"/>
              </w:rPr>
            </w:pPr>
            <w:r>
              <w:rPr>
                <w:rStyle w:val="CharacterStyle9"/>
              </w:rPr>
              <w:t>53.381,80</w:t>
            </w:r>
          </w:p>
        </w:tc>
        <w:tc>
          <w:tcPr>
            <w:tcW w:w="1395" w:type="dxa"/>
            <w:tcBorders>
              <w:bottom w:val="single" w:sz="6" w:space="0" w:color="000000"/>
              <w:right w:val="single" w:sz="6" w:space="0" w:color="000000"/>
            </w:tcBorders>
            <w:vAlign w:val="center"/>
          </w:tcPr>
          <w:p w14:paraId="49499180" w14:textId="77777777" w:rsidR="007D706A" w:rsidRDefault="007D706A" w:rsidP="00F70508">
            <w:pPr>
              <w:pStyle w:val="ParagraphStyle9"/>
              <w:rPr>
                <w:rStyle w:val="CharacterStyle9"/>
              </w:rPr>
            </w:pPr>
            <w:r>
              <w:rPr>
                <w:rStyle w:val="CharacterStyle9"/>
              </w:rPr>
              <w:t>55.520,00</w:t>
            </w:r>
          </w:p>
        </w:tc>
        <w:tc>
          <w:tcPr>
            <w:tcW w:w="1395" w:type="dxa"/>
            <w:tcBorders>
              <w:bottom w:val="single" w:sz="6" w:space="0" w:color="000000"/>
              <w:right w:val="single" w:sz="6" w:space="0" w:color="000000"/>
            </w:tcBorders>
            <w:vAlign w:val="center"/>
          </w:tcPr>
          <w:p w14:paraId="265FBC16" w14:textId="77777777" w:rsidR="007D706A" w:rsidRDefault="007D706A" w:rsidP="00F70508">
            <w:pPr>
              <w:pStyle w:val="ParagraphStyle9"/>
              <w:rPr>
                <w:rStyle w:val="CharacterStyle9"/>
              </w:rPr>
            </w:pPr>
            <w:r>
              <w:rPr>
                <w:rStyle w:val="CharacterStyle9"/>
              </w:rPr>
              <w:t>56.074,00</w:t>
            </w:r>
          </w:p>
        </w:tc>
      </w:tr>
      <w:tr w:rsidR="007D706A" w14:paraId="7311B4B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3856357"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0F40F08D"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495912E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9384020" w14:textId="77777777" w:rsidR="007D706A" w:rsidRDefault="007D706A" w:rsidP="00F70508">
            <w:pPr>
              <w:pStyle w:val="ParagraphStyle12"/>
              <w:rPr>
                <w:rStyle w:val="CharacterStyle12"/>
              </w:rPr>
            </w:pPr>
            <w:r>
              <w:rPr>
                <w:rStyle w:val="CharacterStyle12"/>
              </w:rPr>
              <w:t>0,91</w:t>
            </w:r>
          </w:p>
        </w:tc>
        <w:tc>
          <w:tcPr>
            <w:tcW w:w="1395" w:type="dxa"/>
            <w:tcBorders>
              <w:bottom w:val="single" w:sz="6" w:space="0" w:color="000000"/>
              <w:right w:val="single" w:sz="6" w:space="0" w:color="000000"/>
            </w:tcBorders>
            <w:vAlign w:val="center"/>
          </w:tcPr>
          <w:p w14:paraId="7E00FBA4" w14:textId="77777777" w:rsidR="007D706A" w:rsidRDefault="007D706A" w:rsidP="00F70508">
            <w:pPr>
              <w:pStyle w:val="ParagraphStyle12"/>
              <w:rPr>
                <w:rStyle w:val="CharacterStyle12"/>
              </w:rPr>
            </w:pPr>
            <w:r>
              <w:rPr>
                <w:rStyle w:val="CharacterStyle12"/>
              </w:rPr>
              <w:t>53.381,80</w:t>
            </w:r>
          </w:p>
        </w:tc>
        <w:tc>
          <w:tcPr>
            <w:tcW w:w="1395" w:type="dxa"/>
            <w:tcBorders>
              <w:bottom w:val="single" w:sz="6" w:space="0" w:color="000000"/>
              <w:right w:val="single" w:sz="6" w:space="0" w:color="000000"/>
            </w:tcBorders>
            <w:vAlign w:val="center"/>
          </w:tcPr>
          <w:p w14:paraId="06C2B1B3" w14:textId="77777777" w:rsidR="007D706A" w:rsidRDefault="007D706A" w:rsidP="00F70508">
            <w:pPr>
              <w:pStyle w:val="ParagraphStyle12"/>
              <w:rPr>
                <w:rStyle w:val="CharacterStyle12"/>
              </w:rPr>
            </w:pPr>
            <w:r>
              <w:rPr>
                <w:rStyle w:val="CharacterStyle12"/>
              </w:rPr>
              <w:t>55.520,00</w:t>
            </w:r>
          </w:p>
        </w:tc>
        <w:tc>
          <w:tcPr>
            <w:tcW w:w="1395" w:type="dxa"/>
            <w:tcBorders>
              <w:bottom w:val="single" w:sz="6" w:space="0" w:color="000000"/>
              <w:right w:val="single" w:sz="6" w:space="0" w:color="000000"/>
            </w:tcBorders>
            <w:vAlign w:val="center"/>
          </w:tcPr>
          <w:p w14:paraId="7627E1E3" w14:textId="77777777" w:rsidR="007D706A" w:rsidRDefault="007D706A" w:rsidP="00F70508">
            <w:pPr>
              <w:pStyle w:val="ParagraphStyle12"/>
              <w:rPr>
                <w:rStyle w:val="CharacterStyle12"/>
              </w:rPr>
            </w:pPr>
            <w:r>
              <w:rPr>
                <w:rStyle w:val="CharacterStyle12"/>
              </w:rPr>
              <w:t>56.074,00</w:t>
            </w:r>
          </w:p>
        </w:tc>
      </w:tr>
      <w:tr w:rsidR="007D706A" w14:paraId="6B7DA7F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94E4552"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1AC60BDF"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3AC21C8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3CCB7C3" w14:textId="77777777" w:rsidR="007D706A" w:rsidRDefault="007D706A" w:rsidP="00F70508">
            <w:pPr>
              <w:pStyle w:val="ParagraphStyle12"/>
              <w:rPr>
                <w:rStyle w:val="CharacterStyle12"/>
              </w:rPr>
            </w:pPr>
            <w:r>
              <w:rPr>
                <w:rStyle w:val="CharacterStyle12"/>
              </w:rPr>
              <w:t>0,91</w:t>
            </w:r>
          </w:p>
        </w:tc>
        <w:tc>
          <w:tcPr>
            <w:tcW w:w="1395" w:type="dxa"/>
            <w:tcBorders>
              <w:bottom w:val="single" w:sz="6" w:space="0" w:color="000000"/>
              <w:right w:val="single" w:sz="6" w:space="0" w:color="000000"/>
            </w:tcBorders>
            <w:vAlign w:val="center"/>
          </w:tcPr>
          <w:p w14:paraId="1FB29C71" w14:textId="77777777" w:rsidR="007D706A" w:rsidRDefault="007D706A" w:rsidP="00F70508">
            <w:pPr>
              <w:pStyle w:val="ParagraphStyle12"/>
              <w:rPr>
                <w:rStyle w:val="CharacterStyle12"/>
              </w:rPr>
            </w:pPr>
            <w:r>
              <w:rPr>
                <w:rStyle w:val="CharacterStyle12"/>
              </w:rPr>
              <w:t>52.831,80</w:t>
            </w:r>
          </w:p>
        </w:tc>
        <w:tc>
          <w:tcPr>
            <w:tcW w:w="1395" w:type="dxa"/>
            <w:tcBorders>
              <w:bottom w:val="single" w:sz="6" w:space="0" w:color="000000"/>
              <w:right w:val="single" w:sz="6" w:space="0" w:color="000000"/>
            </w:tcBorders>
            <w:vAlign w:val="center"/>
          </w:tcPr>
          <w:p w14:paraId="22286468" w14:textId="77777777" w:rsidR="007D706A" w:rsidRDefault="007D706A" w:rsidP="00F70508">
            <w:pPr>
              <w:pStyle w:val="ParagraphStyle12"/>
              <w:rPr>
                <w:rStyle w:val="CharacterStyle12"/>
              </w:rPr>
            </w:pPr>
            <w:r>
              <w:rPr>
                <w:rStyle w:val="CharacterStyle12"/>
              </w:rPr>
              <w:t>54.947,00</w:t>
            </w:r>
          </w:p>
        </w:tc>
        <w:tc>
          <w:tcPr>
            <w:tcW w:w="1395" w:type="dxa"/>
            <w:tcBorders>
              <w:bottom w:val="single" w:sz="6" w:space="0" w:color="000000"/>
              <w:right w:val="single" w:sz="6" w:space="0" w:color="000000"/>
            </w:tcBorders>
            <w:vAlign w:val="center"/>
          </w:tcPr>
          <w:p w14:paraId="02A0BCF5" w14:textId="77777777" w:rsidR="007D706A" w:rsidRDefault="007D706A" w:rsidP="00F70508">
            <w:pPr>
              <w:pStyle w:val="ParagraphStyle12"/>
              <w:rPr>
                <w:rStyle w:val="CharacterStyle12"/>
              </w:rPr>
            </w:pPr>
            <w:r>
              <w:rPr>
                <w:rStyle w:val="CharacterStyle12"/>
              </w:rPr>
              <w:t>55.496,00</w:t>
            </w:r>
          </w:p>
        </w:tc>
      </w:tr>
      <w:tr w:rsidR="007D706A" w14:paraId="0E665A9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EA0B772" w14:textId="77777777" w:rsidR="007D706A" w:rsidRDefault="007D706A" w:rsidP="00F70508">
            <w:pPr>
              <w:pStyle w:val="ParagraphStyle10"/>
              <w:rPr>
                <w:rStyle w:val="CharacterStyle10"/>
              </w:rPr>
            </w:pPr>
            <w:r>
              <w:rPr>
                <w:rStyle w:val="CharacterStyle10"/>
              </w:rPr>
              <w:t>34</w:t>
            </w:r>
          </w:p>
        </w:tc>
        <w:tc>
          <w:tcPr>
            <w:tcW w:w="4995" w:type="dxa"/>
            <w:tcBorders>
              <w:bottom w:val="single" w:sz="6" w:space="0" w:color="000000"/>
              <w:right w:val="single" w:sz="6" w:space="0" w:color="000000"/>
            </w:tcBorders>
            <w:vAlign w:val="center"/>
          </w:tcPr>
          <w:p w14:paraId="06AA7ABE" w14:textId="77777777" w:rsidR="007D706A" w:rsidRDefault="007D706A" w:rsidP="00F70508">
            <w:pPr>
              <w:pStyle w:val="ParagraphStyle11"/>
              <w:rPr>
                <w:rStyle w:val="CharacterStyle11"/>
              </w:rPr>
            </w:pPr>
            <w:r>
              <w:rPr>
                <w:rStyle w:val="CharacterStyle11"/>
              </w:rPr>
              <w:t>Financijski rashodi</w:t>
            </w:r>
          </w:p>
        </w:tc>
        <w:tc>
          <w:tcPr>
            <w:tcW w:w="1395" w:type="dxa"/>
            <w:tcBorders>
              <w:bottom w:val="single" w:sz="6" w:space="0" w:color="000000"/>
              <w:right w:val="single" w:sz="6" w:space="0" w:color="000000"/>
            </w:tcBorders>
            <w:vAlign w:val="center"/>
          </w:tcPr>
          <w:p w14:paraId="553374D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215F6D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FAC037B" w14:textId="77777777" w:rsidR="007D706A" w:rsidRDefault="007D706A" w:rsidP="00F70508">
            <w:pPr>
              <w:pStyle w:val="ParagraphStyle12"/>
              <w:rPr>
                <w:rStyle w:val="CharacterStyle12"/>
              </w:rPr>
            </w:pPr>
            <w:r>
              <w:rPr>
                <w:rStyle w:val="CharacterStyle12"/>
              </w:rPr>
              <w:t>550,00</w:t>
            </w:r>
          </w:p>
        </w:tc>
        <w:tc>
          <w:tcPr>
            <w:tcW w:w="1395" w:type="dxa"/>
            <w:tcBorders>
              <w:bottom w:val="single" w:sz="6" w:space="0" w:color="000000"/>
              <w:right w:val="single" w:sz="6" w:space="0" w:color="000000"/>
            </w:tcBorders>
            <w:vAlign w:val="center"/>
          </w:tcPr>
          <w:p w14:paraId="550E49F1" w14:textId="77777777" w:rsidR="007D706A" w:rsidRDefault="007D706A" w:rsidP="00F70508">
            <w:pPr>
              <w:pStyle w:val="ParagraphStyle12"/>
              <w:rPr>
                <w:rStyle w:val="CharacterStyle12"/>
              </w:rPr>
            </w:pPr>
            <w:r>
              <w:rPr>
                <w:rStyle w:val="CharacterStyle12"/>
              </w:rPr>
              <w:t>573,00</w:t>
            </w:r>
          </w:p>
        </w:tc>
        <w:tc>
          <w:tcPr>
            <w:tcW w:w="1395" w:type="dxa"/>
            <w:tcBorders>
              <w:bottom w:val="single" w:sz="6" w:space="0" w:color="000000"/>
              <w:right w:val="single" w:sz="6" w:space="0" w:color="000000"/>
            </w:tcBorders>
            <w:vAlign w:val="center"/>
          </w:tcPr>
          <w:p w14:paraId="20378E9A" w14:textId="77777777" w:rsidR="007D706A" w:rsidRDefault="007D706A" w:rsidP="00F70508">
            <w:pPr>
              <w:pStyle w:val="ParagraphStyle12"/>
              <w:rPr>
                <w:rStyle w:val="CharacterStyle12"/>
              </w:rPr>
            </w:pPr>
            <w:r>
              <w:rPr>
                <w:rStyle w:val="CharacterStyle12"/>
              </w:rPr>
              <w:t>578,00</w:t>
            </w:r>
          </w:p>
        </w:tc>
      </w:tr>
      <w:tr w:rsidR="007D706A" w14:paraId="4C00890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7AD8ED3" w14:textId="77777777" w:rsidR="007D706A" w:rsidRDefault="007D706A" w:rsidP="00F70508">
            <w:pPr>
              <w:pStyle w:val="ParagraphStyle7"/>
              <w:rPr>
                <w:rStyle w:val="CharacterStyle7"/>
              </w:rPr>
            </w:pPr>
            <w:r>
              <w:rPr>
                <w:rStyle w:val="CharacterStyle7"/>
              </w:rPr>
              <w:t>Izvor financiranja 50</w:t>
            </w:r>
          </w:p>
        </w:tc>
        <w:tc>
          <w:tcPr>
            <w:tcW w:w="4995" w:type="dxa"/>
            <w:tcBorders>
              <w:bottom w:val="single" w:sz="6" w:space="0" w:color="000000"/>
              <w:right w:val="single" w:sz="6" w:space="0" w:color="000000"/>
            </w:tcBorders>
            <w:vAlign w:val="center"/>
          </w:tcPr>
          <w:p w14:paraId="284CEAD4" w14:textId="77777777" w:rsidR="007D706A" w:rsidRDefault="007D706A" w:rsidP="00F70508">
            <w:pPr>
              <w:pStyle w:val="ParagraphStyle8"/>
              <w:rPr>
                <w:rStyle w:val="CharacterStyle8"/>
              </w:rPr>
            </w:pPr>
            <w:r>
              <w:rPr>
                <w:rStyle w:val="CharacterStyle8"/>
              </w:rPr>
              <w:t>Pomoći iz državnog proračuna</w:t>
            </w:r>
          </w:p>
        </w:tc>
        <w:tc>
          <w:tcPr>
            <w:tcW w:w="1395" w:type="dxa"/>
            <w:tcBorders>
              <w:bottom w:val="single" w:sz="6" w:space="0" w:color="000000"/>
              <w:right w:val="single" w:sz="6" w:space="0" w:color="000000"/>
            </w:tcBorders>
            <w:vAlign w:val="center"/>
          </w:tcPr>
          <w:p w14:paraId="29D98702"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91D0FDA" w14:textId="77777777" w:rsidR="007D706A" w:rsidRDefault="007D706A" w:rsidP="00F70508">
            <w:pPr>
              <w:pStyle w:val="ParagraphStyle9"/>
              <w:rPr>
                <w:rStyle w:val="CharacterStyle9"/>
              </w:rPr>
            </w:pPr>
            <w:r>
              <w:rPr>
                <w:rStyle w:val="CharacterStyle9"/>
              </w:rPr>
              <w:t>54.087,26</w:t>
            </w:r>
          </w:p>
        </w:tc>
        <w:tc>
          <w:tcPr>
            <w:tcW w:w="1395" w:type="dxa"/>
            <w:tcBorders>
              <w:bottom w:val="single" w:sz="6" w:space="0" w:color="000000"/>
              <w:right w:val="single" w:sz="6" w:space="0" w:color="000000"/>
            </w:tcBorders>
            <w:vAlign w:val="center"/>
          </w:tcPr>
          <w:p w14:paraId="0AF5D38C" w14:textId="77777777" w:rsidR="007D706A" w:rsidRDefault="007D706A" w:rsidP="00F70508">
            <w:pPr>
              <w:pStyle w:val="ParagraphStyle9"/>
              <w:rPr>
                <w:rStyle w:val="CharacterStyle9"/>
              </w:rPr>
            </w:pPr>
            <w:r>
              <w:rPr>
                <w:rStyle w:val="CharacterStyle9"/>
              </w:rPr>
              <w:t>876.618,20</w:t>
            </w:r>
          </w:p>
        </w:tc>
        <w:tc>
          <w:tcPr>
            <w:tcW w:w="1395" w:type="dxa"/>
            <w:tcBorders>
              <w:bottom w:val="single" w:sz="6" w:space="0" w:color="000000"/>
              <w:right w:val="single" w:sz="6" w:space="0" w:color="000000"/>
            </w:tcBorders>
            <w:vAlign w:val="center"/>
          </w:tcPr>
          <w:p w14:paraId="13C161ED" w14:textId="77777777" w:rsidR="007D706A" w:rsidRDefault="007D706A" w:rsidP="00F70508">
            <w:pPr>
              <w:pStyle w:val="ParagraphStyle9"/>
              <w:rPr>
                <w:rStyle w:val="CharacterStyle9"/>
              </w:rPr>
            </w:pPr>
            <w:r>
              <w:rPr>
                <w:rStyle w:val="CharacterStyle9"/>
              </w:rPr>
              <w:t>911.683,00</w:t>
            </w:r>
          </w:p>
        </w:tc>
        <w:tc>
          <w:tcPr>
            <w:tcW w:w="1395" w:type="dxa"/>
            <w:tcBorders>
              <w:bottom w:val="single" w:sz="6" w:space="0" w:color="000000"/>
              <w:right w:val="single" w:sz="6" w:space="0" w:color="000000"/>
            </w:tcBorders>
            <w:vAlign w:val="center"/>
          </w:tcPr>
          <w:p w14:paraId="7CD6802F" w14:textId="77777777" w:rsidR="007D706A" w:rsidRDefault="007D706A" w:rsidP="00F70508">
            <w:pPr>
              <w:pStyle w:val="ParagraphStyle9"/>
              <w:rPr>
                <w:rStyle w:val="CharacterStyle9"/>
              </w:rPr>
            </w:pPr>
            <w:r>
              <w:rPr>
                <w:rStyle w:val="CharacterStyle9"/>
              </w:rPr>
              <w:t>920.818,00</w:t>
            </w:r>
          </w:p>
        </w:tc>
      </w:tr>
      <w:tr w:rsidR="007D706A" w14:paraId="24C2031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B95B86B"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49D0C9C5"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69D96FC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5A2A7CB" w14:textId="77777777" w:rsidR="007D706A" w:rsidRDefault="007D706A" w:rsidP="00F70508">
            <w:pPr>
              <w:pStyle w:val="ParagraphStyle12"/>
              <w:rPr>
                <w:rStyle w:val="CharacterStyle12"/>
              </w:rPr>
            </w:pPr>
            <w:r>
              <w:rPr>
                <w:rStyle w:val="CharacterStyle12"/>
              </w:rPr>
              <w:t>54.087,26</w:t>
            </w:r>
          </w:p>
        </w:tc>
        <w:tc>
          <w:tcPr>
            <w:tcW w:w="1395" w:type="dxa"/>
            <w:tcBorders>
              <w:bottom w:val="single" w:sz="6" w:space="0" w:color="000000"/>
              <w:right w:val="single" w:sz="6" w:space="0" w:color="000000"/>
            </w:tcBorders>
            <w:vAlign w:val="center"/>
          </w:tcPr>
          <w:p w14:paraId="5C0C09E9" w14:textId="77777777" w:rsidR="007D706A" w:rsidRDefault="007D706A" w:rsidP="00F70508">
            <w:pPr>
              <w:pStyle w:val="ParagraphStyle12"/>
              <w:rPr>
                <w:rStyle w:val="CharacterStyle12"/>
              </w:rPr>
            </w:pPr>
            <w:r>
              <w:rPr>
                <w:rStyle w:val="CharacterStyle12"/>
              </w:rPr>
              <w:t>876.618,20</w:t>
            </w:r>
          </w:p>
        </w:tc>
        <w:tc>
          <w:tcPr>
            <w:tcW w:w="1395" w:type="dxa"/>
            <w:tcBorders>
              <w:bottom w:val="single" w:sz="6" w:space="0" w:color="000000"/>
              <w:right w:val="single" w:sz="6" w:space="0" w:color="000000"/>
            </w:tcBorders>
            <w:vAlign w:val="center"/>
          </w:tcPr>
          <w:p w14:paraId="54E51073" w14:textId="77777777" w:rsidR="007D706A" w:rsidRDefault="007D706A" w:rsidP="00F70508">
            <w:pPr>
              <w:pStyle w:val="ParagraphStyle12"/>
              <w:rPr>
                <w:rStyle w:val="CharacterStyle12"/>
              </w:rPr>
            </w:pPr>
            <w:r>
              <w:rPr>
                <w:rStyle w:val="CharacterStyle12"/>
              </w:rPr>
              <w:t>911.683,00</w:t>
            </w:r>
          </w:p>
        </w:tc>
        <w:tc>
          <w:tcPr>
            <w:tcW w:w="1395" w:type="dxa"/>
            <w:tcBorders>
              <w:bottom w:val="single" w:sz="6" w:space="0" w:color="000000"/>
              <w:right w:val="single" w:sz="6" w:space="0" w:color="000000"/>
            </w:tcBorders>
            <w:vAlign w:val="center"/>
          </w:tcPr>
          <w:p w14:paraId="72B4FFB0" w14:textId="77777777" w:rsidR="007D706A" w:rsidRDefault="007D706A" w:rsidP="00F70508">
            <w:pPr>
              <w:pStyle w:val="ParagraphStyle12"/>
              <w:rPr>
                <w:rStyle w:val="CharacterStyle12"/>
              </w:rPr>
            </w:pPr>
            <w:r>
              <w:rPr>
                <w:rStyle w:val="CharacterStyle12"/>
              </w:rPr>
              <w:t>920.818,00</w:t>
            </w:r>
          </w:p>
        </w:tc>
      </w:tr>
      <w:tr w:rsidR="007D706A" w14:paraId="2FFB921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1FC6E08" w14:textId="77777777" w:rsidR="007D706A" w:rsidRDefault="007D706A" w:rsidP="00F70508">
            <w:pPr>
              <w:pStyle w:val="ParagraphStyle10"/>
              <w:rPr>
                <w:rStyle w:val="CharacterStyle10"/>
              </w:rPr>
            </w:pPr>
            <w:r>
              <w:rPr>
                <w:rStyle w:val="CharacterStyle10"/>
              </w:rPr>
              <w:t>31</w:t>
            </w:r>
          </w:p>
        </w:tc>
        <w:tc>
          <w:tcPr>
            <w:tcW w:w="4995" w:type="dxa"/>
            <w:tcBorders>
              <w:bottom w:val="single" w:sz="6" w:space="0" w:color="000000"/>
              <w:right w:val="single" w:sz="6" w:space="0" w:color="000000"/>
            </w:tcBorders>
            <w:vAlign w:val="center"/>
          </w:tcPr>
          <w:p w14:paraId="0C15EDFE" w14:textId="77777777" w:rsidR="007D706A" w:rsidRDefault="007D706A" w:rsidP="00F70508">
            <w:pPr>
              <w:pStyle w:val="ParagraphStyle11"/>
              <w:rPr>
                <w:rStyle w:val="CharacterStyle11"/>
              </w:rPr>
            </w:pPr>
            <w:r>
              <w:rPr>
                <w:rStyle w:val="CharacterStyle11"/>
              </w:rPr>
              <w:t>Rashodi za zaposlene</w:t>
            </w:r>
          </w:p>
        </w:tc>
        <w:tc>
          <w:tcPr>
            <w:tcW w:w="1395" w:type="dxa"/>
            <w:tcBorders>
              <w:bottom w:val="single" w:sz="6" w:space="0" w:color="000000"/>
              <w:right w:val="single" w:sz="6" w:space="0" w:color="000000"/>
            </w:tcBorders>
            <w:vAlign w:val="center"/>
          </w:tcPr>
          <w:p w14:paraId="4057EEE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874242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A9AB929" w14:textId="77777777" w:rsidR="007D706A" w:rsidRDefault="007D706A" w:rsidP="00F70508">
            <w:pPr>
              <w:pStyle w:val="ParagraphStyle12"/>
              <w:rPr>
                <w:rStyle w:val="CharacterStyle12"/>
              </w:rPr>
            </w:pPr>
            <w:r>
              <w:rPr>
                <w:rStyle w:val="CharacterStyle12"/>
              </w:rPr>
              <w:t>841.500,00</w:t>
            </w:r>
          </w:p>
        </w:tc>
        <w:tc>
          <w:tcPr>
            <w:tcW w:w="1395" w:type="dxa"/>
            <w:tcBorders>
              <w:bottom w:val="single" w:sz="6" w:space="0" w:color="000000"/>
              <w:right w:val="single" w:sz="6" w:space="0" w:color="000000"/>
            </w:tcBorders>
            <w:vAlign w:val="center"/>
          </w:tcPr>
          <w:p w14:paraId="4CBE5C6B" w14:textId="77777777" w:rsidR="007D706A" w:rsidRDefault="007D706A" w:rsidP="00F70508">
            <w:pPr>
              <w:pStyle w:val="ParagraphStyle12"/>
              <w:rPr>
                <w:rStyle w:val="CharacterStyle12"/>
              </w:rPr>
            </w:pPr>
            <w:r>
              <w:rPr>
                <w:rStyle w:val="CharacterStyle12"/>
              </w:rPr>
              <w:t>875.160,00</w:t>
            </w:r>
          </w:p>
        </w:tc>
        <w:tc>
          <w:tcPr>
            <w:tcW w:w="1395" w:type="dxa"/>
            <w:tcBorders>
              <w:bottom w:val="single" w:sz="6" w:space="0" w:color="000000"/>
              <w:right w:val="single" w:sz="6" w:space="0" w:color="000000"/>
            </w:tcBorders>
            <w:vAlign w:val="center"/>
          </w:tcPr>
          <w:p w14:paraId="3DEC5EBF" w14:textId="77777777" w:rsidR="007D706A" w:rsidRDefault="007D706A" w:rsidP="00F70508">
            <w:pPr>
              <w:pStyle w:val="ParagraphStyle12"/>
              <w:rPr>
                <w:rStyle w:val="CharacterStyle12"/>
              </w:rPr>
            </w:pPr>
            <w:r>
              <w:rPr>
                <w:rStyle w:val="CharacterStyle12"/>
              </w:rPr>
              <w:t>883.928,00</w:t>
            </w:r>
          </w:p>
        </w:tc>
      </w:tr>
      <w:tr w:rsidR="007D706A" w14:paraId="11922B2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1213C5F"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5316008C"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0E1FD44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61E6979" w14:textId="77777777" w:rsidR="007D706A" w:rsidRDefault="007D706A" w:rsidP="00F70508">
            <w:pPr>
              <w:pStyle w:val="ParagraphStyle12"/>
              <w:rPr>
                <w:rStyle w:val="CharacterStyle12"/>
              </w:rPr>
            </w:pPr>
            <w:r>
              <w:rPr>
                <w:rStyle w:val="CharacterStyle12"/>
              </w:rPr>
              <w:t>53.537,26</w:t>
            </w:r>
          </w:p>
        </w:tc>
        <w:tc>
          <w:tcPr>
            <w:tcW w:w="1395" w:type="dxa"/>
            <w:tcBorders>
              <w:bottom w:val="single" w:sz="6" w:space="0" w:color="000000"/>
              <w:right w:val="single" w:sz="6" w:space="0" w:color="000000"/>
            </w:tcBorders>
            <w:vAlign w:val="center"/>
          </w:tcPr>
          <w:p w14:paraId="07C13914" w14:textId="77777777" w:rsidR="007D706A" w:rsidRDefault="007D706A" w:rsidP="00F70508">
            <w:pPr>
              <w:pStyle w:val="ParagraphStyle12"/>
              <w:rPr>
                <w:rStyle w:val="CharacterStyle12"/>
              </w:rPr>
            </w:pPr>
            <w:r>
              <w:rPr>
                <w:rStyle w:val="CharacterStyle12"/>
              </w:rPr>
              <w:t>35.118,20</w:t>
            </w:r>
          </w:p>
        </w:tc>
        <w:tc>
          <w:tcPr>
            <w:tcW w:w="1395" w:type="dxa"/>
            <w:tcBorders>
              <w:bottom w:val="single" w:sz="6" w:space="0" w:color="000000"/>
              <w:right w:val="single" w:sz="6" w:space="0" w:color="000000"/>
            </w:tcBorders>
            <w:vAlign w:val="center"/>
          </w:tcPr>
          <w:p w14:paraId="1AB759F5" w14:textId="77777777" w:rsidR="007D706A" w:rsidRDefault="007D706A" w:rsidP="00F70508">
            <w:pPr>
              <w:pStyle w:val="ParagraphStyle12"/>
              <w:rPr>
                <w:rStyle w:val="CharacterStyle12"/>
              </w:rPr>
            </w:pPr>
            <w:r>
              <w:rPr>
                <w:rStyle w:val="CharacterStyle12"/>
              </w:rPr>
              <w:t>36.523,00</w:t>
            </w:r>
          </w:p>
        </w:tc>
        <w:tc>
          <w:tcPr>
            <w:tcW w:w="1395" w:type="dxa"/>
            <w:tcBorders>
              <w:bottom w:val="single" w:sz="6" w:space="0" w:color="000000"/>
              <w:right w:val="single" w:sz="6" w:space="0" w:color="000000"/>
            </w:tcBorders>
            <w:vAlign w:val="center"/>
          </w:tcPr>
          <w:p w14:paraId="0702CD7F" w14:textId="77777777" w:rsidR="007D706A" w:rsidRDefault="007D706A" w:rsidP="00F70508">
            <w:pPr>
              <w:pStyle w:val="ParagraphStyle12"/>
              <w:rPr>
                <w:rStyle w:val="CharacterStyle12"/>
              </w:rPr>
            </w:pPr>
            <w:r>
              <w:rPr>
                <w:rStyle w:val="CharacterStyle12"/>
              </w:rPr>
              <w:t>36.890,00</w:t>
            </w:r>
          </w:p>
        </w:tc>
      </w:tr>
      <w:tr w:rsidR="007D706A" w14:paraId="467B06A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F8F0D01" w14:textId="77777777" w:rsidR="007D706A" w:rsidRDefault="007D706A" w:rsidP="00F70508">
            <w:pPr>
              <w:pStyle w:val="ParagraphStyle10"/>
              <w:rPr>
                <w:rStyle w:val="CharacterStyle10"/>
              </w:rPr>
            </w:pPr>
            <w:r>
              <w:rPr>
                <w:rStyle w:val="CharacterStyle10"/>
              </w:rPr>
              <w:t>34</w:t>
            </w:r>
          </w:p>
        </w:tc>
        <w:tc>
          <w:tcPr>
            <w:tcW w:w="4995" w:type="dxa"/>
            <w:tcBorders>
              <w:bottom w:val="single" w:sz="6" w:space="0" w:color="000000"/>
              <w:right w:val="single" w:sz="6" w:space="0" w:color="000000"/>
            </w:tcBorders>
            <w:vAlign w:val="center"/>
          </w:tcPr>
          <w:p w14:paraId="1DF2A6EC" w14:textId="77777777" w:rsidR="007D706A" w:rsidRDefault="007D706A" w:rsidP="00F70508">
            <w:pPr>
              <w:pStyle w:val="ParagraphStyle11"/>
              <w:rPr>
                <w:rStyle w:val="CharacterStyle11"/>
              </w:rPr>
            </w:pPr>
            <w:r>
              <w:rPr>
                <w:rStyle w:val="CharacterStyle11"/>
              </w:rPr>
              <w:t>Financijski rashodi</w:t>
            </w:r>
          </w:p>
        </w:tc>
        <w:tc>
          <w:tcPr>
            <w:tcW w:w="1395" w:type="dxa"/>
            <w:tcBorders>
              <w:bottom w:val="single" w:sz="6" w:space="0" w:color="000000"/>
              <w:right w:val="single" w:sz="6" w:space="0" w:color="000000"/>
            </w:tcBorders>
            <w:vAlign w:val="center"/>
          </w:tcPr>
          <w:p w14:paraId="00FA711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2D26D62" w14:textId="77777777" w:rsidR="007D706A" w:rsidRDefault="007D706A" w:rsidP="00F70508">
            <w:pPr>
              <w:pStyle w:val="ParagraphStyle12"/>
              <w:rPr>
                <w:rStyle w:val="CharacterStyle12"/>
              </w:rPr>
            </w:pPr>
            <w:r>
              <w:rPr>
                <w:rStyle w:val="CharacterStyle12"/>
              </w:rPr>
              <w:t>550,00</w:t>
            </w:r>
          </w:p>
        </w:tc>
        <w:tc>
          <w:tcPr>
            <w:tcW w:w="1395" w:type="dxa"/>
            <w:tcBorders>
              <w:bottom w:val="single" w:sz="6" w:space="0" w:color="000000"/>
              <w:right w:val="single" w:sz="6" w:space="0" w:color="000000"/>
            </w:tcBorders>
            <w:vAlign w:val="center"/>
          </w:tcPr>
          <w:p w14:paraId="7DBB082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B34339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CAD113B" w14:textId="77777777" w:rsidR="007D706A" w:rsidRDefault="007D706A" w:rsidP="00F70508">
            <w:pPr>
              <w:pStyle w:val="ParagraphStyle12"/>
              <w:rPr>
                <w:rStyle w:val="CharacterStyle12"/>
              </w:rPr>
            </w:pPr>
            <w:r>
              <w:rPr>
                <w:rStyle w:val="CharacterStyle12"/>
              </w:rPr>
              <w:t>0,00</w:t>
            </w:r>
          </w:p>
        </w:tc>
      </w:tr>
      <w:tr w:rsidR="007D706A" w14:paraId="264DF38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8BB4F8B" w14:textId="77777777" w:rsidR="007D706A" w:rsidRDefault="007D706A" w:rsidP="00F70508">
            <w:pPr>
              <w:pStyle w:val="ParagraphStyle7"/>
              <w:rPr>
                <w:rStyle w:val="CharacterStyle7"/>
              </w:rPr>
            </w:pPr>
            <w:r>
              <w:rPr>
                <w:rStyle w:val="CharacterStyle7"/>
              </w:rPr>
              <w:t>Izvor financiranja 51</w:t>
            </w:r>
          </w:p>
        </w:tc>
        <w:tc>
          <w:tcPr>
            <w:tcW w:w="4995" w:type="dxa"/>
            <w:tcBorders>
              <w:bottom w:val="single" w:sz="6" w:space="0" w:color="000000"/>
              <w:right w:val="single" w:sz="6" w:space="0" w:color="000000"/>
            </w:tcBorders>
            <w:vAlign w:val="center"/>
          </w:tcPr>
          <w:p w14:paraId="44E772A5" w14:textId="77777777" w:rsidR="007D706A" w:rsidRDefault="007D706A" w:rsidP="00F70508">
            <w:pPr>
              <w:pStyle w:val="ParagraphStyle8"/>
              <w:rPr>
                <w:rStyle w:val="CharacterStyle8"/>
              </w:rPr>
            </w:pPr>
            <w:r>
              <w:rPr>
                <w:rStyle w:val="CharacterStyle8"/>
              </w:rPr>
              <w:t>Pomoći EU</w:t>
            </w:r>
          </w:p>
        </w:tc>
        <w:tc>
          <w:tcPr>
            <w:tcW w:w="1395" w:type="dxa"/>
            <w:tcBorders>
              <w:bottom w:val="single" w:sz="6" w:space="0" w:color="000000"/>
              <w:right w:val="single" w:sz="6" w:space="0" w:color="000000"/>
            </w:tcBorders>
            <w:vAlign w:val="center"/>
          </w:tcPr>
          <w:p w14:paraId="7E25F430"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115C3E3" w14:textId="77777777" w:rsidR="007D706A" w:rsidRDefault="007D706A" w:rsidP="00F70508">
            <w:pPr>
              <w:pStyle w:val="ParagraphStyle9"/>
              <w:rPr>
                <w:rStyle w:val="CharacterStyle9"/>
              </w:rPr>
            </w:pPr>
            <w:r>
              <w:rPr>
                <w:rStyle w:val="CharacterStyle9"/>
              </w:rPr>
              <w:t>962.000,00</w:t>
            </w:r>
          </w:p>
        </w:tc>
        <w:tc>
          <w:tcPr>
            <w:tcW w:w="1395" w:type="dxa"/>
            <w:tcBorders>
              <w:bottom w:val="single" w:sz="6" w:space="0" w:color="000000"/>
              <w:right w:val="single" w:sz="6" w:space="0" w:color="000000"/>
            </w:tcBorders>
            <w:vAlign w:val="center"/>
          </w:tcPr>
          <w:p w14:paraId="0B08850E"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0E5164B"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F951B87" w14:textId="77777777" w:rsidR="007D706A" w:rsidRDefault="007D706A" w:rsidP="00F70508">
            <w:pPr>
              <w:pStyle w:val="ParagraphStyle9"/>
              <w:rPr>
                <w:rStyle w:val="CharacterStyle9"/>
              </w:rPr>
            </w:pPr>
            <w:r>
              <w:rPr>
                <w:rStyle w:val="CharacterStyle9"/>
              </w:rPr>
              <w:t>0,00</w:t>
            </w:r>
          </w:p>
        </w:tc>
      </w:tr>
      <w:tr w:rsidR="007D706A" w14:paraId="38B7614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784EBBF"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6154C677"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0C4EB96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32B1C53" w14:textId="77777777" w:rsidR="007D706A" w:rsidRDefault="007D706A" w:rsidP="00F70508">
            <w:pPr>
              <w:pStyle w:val="ParagraphStyle12"/>
              <w:rPr>
                <w:rStyle w:val="CharacterStyle12"/>
              </w:rPr>
            </w:pPr>
            <w:r>
              <w:rPr>
                <w:rStyle w:val="CharacterStyle12"/>
              </w:rPr>
              <w:t>962.000,00</w:t>
            </w:r>
          </w:p>
        </w:tc>
        <w:tc>
          <w:tcPr>
            <w:tcW w:w="1395" w:type="dxa"/>
            <w:tcBorders>
              <w:bottom w:val="single" w:sz="6" w:space="0" w:color="000000"/>
              <w:right w:val="single" w:sz="6" w:space="0" w:color="000000"/>
            </w:tcBorders>
            <w:vAlign w:val="center"/>
          </w:tcPr>
          <w:p w14:paraId="67EA84A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AF0C99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272C9DF" w14:textId="77777777" w:rsidR="007D706A" w:rsidRDefault="007D706A" w:rsidP="00F70508">
            <w:pPr>
              <w:pStyle w:val="ParagraphStyle12"/>
              <w:rPr>
                <w:rStyle w:val="CharacterStyle12"/>
              </w:rPr>
            </w:pPr>
            <w:r>
              <w:rPr>
                <w:rStyle w:val="CharacterStyle12"/>
              </w:rPr>
              <w:t>0,00</w:t>
            </w:r>
          </w:p>
        </w:tc>
      </w:tr>
      <w:tr w:rsidR="007D706A" w14:paraId="2CCBA31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E1CB963" w14:textId="77777777" w:rsidR="007D706A" w:rsidRDefault="007D706A" w:rsidP="00F70508">
            <w:pPr>
              <w:pStyle w:val="ParagraphStyle10"/>
              <w:rPr>
                <w:rStyle w:val="CharacterStyle10"/>
              </w:rPr>
            </w:pPr>
            <w:r>
              <w:rPr>
                <w:rStyle w:val="CharacterStyle10"/>
              </w:rPr>
              <w:t>31</w:t>
            </w:r>
          </w:p>
        </w:tc>
        <w:tc>
          <w:tcPr>
            <w:tcW w:w="4995" w:type="dxa"/>
            <w:tcBorders>
              <w:bottom w:val="single" w:sz="6" w:space="0" w:color="000000"/>
              <w:right w:val="single" w:sz="6" w:space="0" w:color="000000"/>
            </w:tcBorders>
            <w:vAlign w:val="center"/>
          </w:tcPr>
          <w:p w14:paraId="5F00F2D0" w14:textId="77777777" w:rsidR="007D706A" w:rsidRDefault="007D706A" w:rsidP="00F70508">
            <w:pPr>
              <w:pStyle w:val="ParagraphStyle11"/>
              <w:rPr>
                <w:rStyle w:val="CharacterStyle11"/>
              </w:rPr>
            </w:pPr>
            <w:r>
              <w:rPr>
                <w:rStyle w:val="CharacterStyle11"/>
              </w:rPr>
              <w:t>Rashodi za zaposlene</w:t>
            </w:r>
          </w:p>
        </w:tc>
        <w:tc>
          <w:tcPr>
            <w:tcW w:w="1395" w:type="dxa"/>
            <w:tcBorders>
              <w:bottom w:val="single" w:sz="6" w:space="0" w:color="000000"/>
              <w:right w:val="single" w:sz="6" w:space="0" w:color="000000"/>
            </w:tcBorders>
            <w:vAlign w:val="center"/>
          </w:tcPr>
          <w:p w14:paraId="42700C7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F9B61E9" w14:textId="77777777" w:rsidR="007D706A" w:rsidRDefault="007D706A" w:rsidP="00F70508">
            <w:pPr>
              <w:pStyle w:val="ParagraphStyle12"/>
              <w:rPr>
                <w:rStyle w:val="CharacterStyle12"/>
              </w:rPr>
            </w:pPr>
            <w:r>
              <w:rPr>
                <w:rStyle w:val="CharacterStyle12"/>
              </w:rPr>
              <w:t>921.500,00</w:t>
            </w:r>
          </w:p>
        </w:tc>
        <w:tc>
          <w:tcPr>
            <w:tcW w:w="1395" w:type="dxa"/>
            <w:tcBorders>
              <w:bottom w:val="single" w:sz="6" w:space="0" w:color="000000"/>
              <w:right w:val="single" w:sz="6" w:space="0" w:color="000000"/>
            </w:tcBorders>
            <w:vAlign w:val="center"/>
          </w:tcPr>
          <w:p w14:paraId="67080D5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AF3EF4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B2F9DF5" w14:textId="77777777" w:rsidR="007D706A" w:rsidRDefault="007D706A" w:rsidP="00F70508">
            <w:pPr>
              <w:pStyle w:val="ParagraphStyle12"/>
              <w:rPr>
                <w:rStyle w:val="CharacterStyle12"/>
              </w:rPr>
            </w:pPr>
            <w:r>
              <w:rPr>
                <w:rStyle w:val="CharacterStyle12"/>
              </w:rPr>
              <w:t>0,00</w:t>
            </w:r>
          </w:p>
        </w:tc>
      </w:tr>
      <w:tr w:rsidR="007D706A" w14:paraId="3C9F2E6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B3B553C"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4E41B005"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490A85C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3BA4A6E" w14:textId="77777777" w:rsidR="007D706A" w:rsidRDefault="007D706A" w:rsidP="00F70508">
            <w:pPr>
              <w:pStyle w:val="ParagraphStyle12"/>
              <w:rPr>
                <w:rStyle w:val="CharacterStyle12"/>
              </w:rPr>
            </w:pPr>
            <w:r>
              <w:rPr>
                <w:rStyle w:val="CharacterStyle12"/>
              </w:rPr>
              <w:t>40.500,00</w:t>
            </w:r>
          </w:p>
        </w:tc>
        <w:tc>
          <w:tcPr>
            <w:tcW w:w="1395" w:type="dxa"/>
            <w:tcBorders>
              <w:bottom w:val="single" w:sz="6" w:space="0" w:color="000000"/>
              <w:right w:val="single" w:sz="6" w:space="0" w:color="000000"/>
            </w:tcBorders>
            <w:vAlign w:val="center"/>
          </w:tcPr>
          <w:p w14:paraId="0CC6277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8E4E15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FA589AA" w14:textId="77777777" w:rsidR="007D706A" w:rsidRDefault="007D706A" w:rsidP="00F70508">
            <w:pPr>
              <w:pStyle w:val="ParagraphStyle12"/>
              <w:rPr>
                <w:rStyle w:val="CharacterStyle12"/>
              </w:rPr>
            </w:pPr>
            <w:r>
              <w:rPr>
                <w:rStyle w:val="CharacterStyle12"/>
              </w:rPr>
              <w:t>0,00</w:t>
            </w:r>
          </w:p>
        </w:tc>
      </w:tr>
      <w:tr w:rsidR="007D706A" w14:paraId="26C3E5A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1C3F1C5" w14:textId="77777777" w:rsidR="007D706A" w:rsidRDefault="007D706A" w:rsidP="00F70508">
            <w:pPr>
              <w:pStyle w:val="ParagraphStyle7"/>
              <w:rPr>
                <w:rStyle w:val="CharacterStyle7"/>
              </w:rPr>
            </w:pPr>
            <w:r>
              <w:rPr>
                <w:rStyle w:val="CharacterStyle7"/>
              </w:rPr>
              <w:t>Izvor financiranja 61</w:t>
            </w:r>
          </w:p>
        </w:tc>
        <w:tc>
          <w:tcPr>
            <w:tcW w:w="4995" w:type="dxa"/>
            <w:tcBorders>
              <w:bottom w:val="single" w:sz="6" w:space="0" w:color="000000"/>
              <w:right w:val="single" w:sz="6" w:space="0" w:color="000000"/>
            </w:tcBorders>
            <w:vAlign w:val="center"/>
          </w:tcPr>
          <w:p w14:paraId="151EEFEE" w14:textId="77777777" w:rsidR="007D706A" w:rsidRDefault="007D706A" w:rsidP="00F70508">
            <w:pPr>
              <w:pStyle w:val="ParagraphStyle8"/>
              <w:rPr>
                <w:rStyle w:val="CharacterStyle8"/>
              </w:rPr>
            </w:pPr>
            <w:r>
              <w:rPr>
                <w:rStyle w:val="CharacterStyle8"/>
              </w:rPr>
              <w:t>Donacije</w:t>
            </w:r>
          </w:p>
        </w:tc>
        <w:tc>
          <w:tcPr>
            <w:tcW w:w="1395" w:type="dxa"/>
            <w:tcBorders>
              <w:bottom w:val="single" w:sz="6" w:space="0" w:color="000000"/>
              <w:right w:val="single" w:sz="6" w:space="0" w:color="000000"/>
            </w:tcBorders>
            <w:vAlign w:val="center"/>
          </w:tcPr>
          <w:p w14:paraId="5EE73D60"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82A6364" w14:textId="77777777" w:rsidR="007D706A" w:rsidRDefault="007D706A" w:rsidP="00F70508">
            <w:pPr>
              <w:pStyle w:val="ParagraphStyle9"/>
              <w:rPr>
                <w:rStyle w:val="CharacterStyle9"/>
              </w:rPr>
            </w:pPr>
            <w:r>
              <w:rPr>
                <w:rStyle w:val="CharacterStyle9"/>
              </w:rPr>
              <w:t>300,00</w:t>
            </w:r>
          </w:p>
        </w:tc>
        <w:tc>
          <w:tcPr>
            <w:tcW w:w="1395" w:type="dxa"/>
            <w:tcBorders>
              <w:bottom w:val="single" w:sz="6" w:space="0" w:color="000000"/>
              <w:right w:val="single" w:sz="6" w:space="0" w:color="000000"/>
            </w:tcBorders>
            <w:vAlign w:val="center"/>
          </w:tcPr>
          <w:p w14:paraId="3D33D329"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838B1F3"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20F79E5" w14:textId="77777777" w:rsidR="007D706A" w:rsidRDefault="007D706A" w:rsidP="00F70508">
            <w:pPr>
              <w:pStyle w:val="ParagraphStyle9"/>
              <w:rPr>
                <w:rStyle w:val="CharacterStyle9"/>
              </w:rPr>
            </w:pPr>
            <w:r>
              <w:rPr>
                <w:rStyle w:val="CharacterStyle9"/>
              </w:rPr>
              <w:t>0,00</w:t>
            </w:r>
          </w:p>
        </w:tc>
      </w:tr>
      <w:tr w:rsidR="007D706A" w14:paraId="5C64D45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44E6953"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0F2B7956"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11DA861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7574D38" w14:textId="77777777" w:rsidR="007D706A" w:rsidRDefault="007D706A" w:rsidP="00F70508">
            <w:pPr>
              <w:pStyle w:val="ParagraphStyle12"/>
              <w:rPr>
                <w:rStyle w:val="CharacterStyle12"/>
              </w:rPr>
            </w:pPr>
            <w:r>
              <w:rPr>
                <w:rStyle w:val="CharacterStyle12"/>
              </w:rPr>
              <w:t>300,00</w:t>
            </w:r>
          </w:p>
        </w:tc>
        <w:tc>
          <w:tcPr>
            <w:tcW w:w="1395" w:type="dxa"/>
            <w:tcBorders>
              <w:bottom w:val="single" w:sz="6" w:space="0" w:color="000000"/>
              <w:right w:val="single" w:sz="6" w:space="0" w:color="000000"/>
            </w:tcBorders>
            <w:vAlign w:val="center"/>
          </w:tcPr>
          <w:p w14:paraId="3B3A128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DE636F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3D84F3E" w14:textId="77777777" w:rsidR="007D706A" w:rsidRDefault="007D706A" w:rsidP="00F70508">
            <w:pPr>
              <w:pStyle w:val="ParagraphStyle12"/>
              <w:rPr>
                <w:rStyle w:val="CharacterStyle12"/>
              </w:rPr>
            </w:pPr>
            <w:r>
              <w:rPr>
                <w:rStyle w:val="CharacterStyle12"/>
              </w:rPr>
              <w:t>0,00</w:t>
            </w:r>
          </w:p>
        </w:tc>
      </w:tr>
      <w:tr w:rsidR="007D706A" w14:paraId="72FDC5F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333E1A2"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1863C245"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4620904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A4CE5DD" w14:textId="77777777" w:rsidR="007D706A" w:rsidRDefault="007D706A" w:rsidP="00F70508">
            <w:pPr>
              <w:pStyle w:val="ParagraphStyle12"/>
              <w:rPr>
                <w:rStyle w:val="CharacterStyle12"/>
              </w:rPr>
            </w:pPr>
            <w:r>
              <w:rPr>
                <w:rStyle w:val="CharacterStyle12"/>
              </w:rPr>
              <w:t>300,00</w:t>
            </w:r>
          </w:p>
        </w:tc>
        <w:tc>
          <w:tcPr>
            <w:tcW w:w="1395" w:type="dxa"/>
            <w:tcBorders>
              <w:bottom w:val="single" w:sz="6" w:space="0" w:color="000000"/>
              <w:right w:val="single" w:sz="6" w:space="0" w:color="000000"/>
            </w:tcBorders>
            <w:vAlign w:val="center"/>
          </w:tcPr>
          <w:p w14:paraId="231B2DD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4BA9A2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5B8861C" w14:textId="77777777" w:rsidR="007D706A" w:rsidRDefault="007D706A" w:rsidP="00F70508">
            <w:pPr>
              <w:pStyle w:val="ParagraphStyle12"/>
              <w:rPr>
                <w:rStyle w:val="CharacterStyle12"/>
              </w:rPr>
            </w:pPr>
            <w:r>
              <w:rPr>
                <w:rStyle w:val="CharacterStyle12"/>
              </w:rPr>
              <w:t>0,00</w:t>
            </w:r>
          </w:p>
        </w:tc>
      </w:tr>
      <w:tr w:rsidR="007D706A" w14:paraId="0CD3684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CA1C213" w14:textId="77777777" w:rsidR="007D706A" w:rsidRDefault="007D706A" w:rsidP="00F70508">
            <w:pPr>
              <w:pStyle w:val="ParagraphStyle4"/>
              <w:rPr>
                <w:rStyle w:val="CharacterStyle4"/>
              </w:rPr>
            </w:pPr>
            <w:r>
              <w:rPr>
                <w:rStyle w:val="CharacterStyle4"/>
              </w:rPr>
              <w:t>Aktivnost A103602</w:t>
            </w:r>
          </w:p>
        </w:tc>
        <w:tc>
          <w:tcPr>
            <w:tcW w:w="4995" w:type="dxa"/>
            <w:tcBorders>
              <w:bottom w:val="single" w:sz="6" w:space="0" w:color="000000"/>
              <w:right w:val="single" w:sz="6" w:space="0" w:color="000000"/>
            </w:tcBorders>
            <w:vAlign w:val="center"/>
          </w:tcPr>
          <w:p w14:paraId="349EFEE3" w14:textId="77777777" w:rsidR="007D706A" w:rsidRDefault="007D706A" w:rsidP="00F70508">
            <w:pPr>
              <w:pStyle w:val="ParagraphStyle5"/>
              <w:rPr>
                <w:rStyle w:val="CharacterStyle5"/>
              </w:rPr>
            </w:pPr>
            <w:r>
              <w:rPr>
                <w:rStyle w:val="CharacterStyle5"/>
              </w:rPr>
              <w:t>PRODUŽENI BORAVAK DJECE U ŠKOLI</w:t>
            </w:r>
          </w:p>
        </w:tc>
        <w:tc>
          <w:tcPr>
            <w:tcW w:w="1395" w:type="dxa"/>
            <w:tcBorders>
              <w:bottom w:val="single" w:sz="6" w:space="0" w:color="000000"/>
              <w:right w:val="single" w:sz="6" w:space="0" w:color="000000"/>
            </w:tcBorders>
            <w:vAlign w:val="center"/>
          </w:tcPr>
          <w:p w14:paraId="52A515D8"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2243CEF8" w14:textId="77777777" w:rsidR="007D706A" w:rsidRDefault="007D706A" w:rsidP="00F70508">
            <w:pPr>
              <w:pStyle w:val="ParagraphStyle6"/>
              <w:rPr>
                <w:rStyle w:val="CharacterStyle6"/>
              </w:rPr>
            </w:pPr>
            <w:r>
              <w:rPr>
                <w:rStyle w:val="CharacterStyle6"/>
              </w:rPr>
              <w:t>132.120,00</w:t>
            </w:r>
          </w:p>
        </w:tc>
        <w:tc>
          <w:tcPr>
            <w:tcW w:w="1395" w:type="dxa"/>
            <w:tcBorders>
              <w:bottom w:val="single" w:sz="6" w:space="0" w:color="000000"/>
              <w:right w:val="single" w:sz="6" w:space="0" w:color="000000"/>
            </w:tcBorders>
            <w:vAlign w:val="center"/>
          </w:tcPr>
          <w:p w14:paraId="1E67CF38" w14:textId="77777777" w:rsidR="007D706A" w:rsidRDefault="007D706A" w:rsidP="00F70508">
            <w:pPr>
              <w:pStyle w:val="ParagraphStyle6"/>
              <w:rPr>
                <w:rStyle w:val="CharacterStyle6"/>
              </w:rPr>
            </w:pPr>
            <w:r>
              <w:rPr>
                <w:rStyle w:val="CharacterStyle6"/>
              </w:rPr>
              <w:t>121.245,00</w:t>
            </w:r>
          </w:p>
        </w:tc>
        <w:tc>
          <w:tcPr>
            <w:tcW w:w="1395" w:type="dxa"/>
            <w:tcBorders>
              <w:bottom w:val="single" w:sz="6" w:space="0" w:color="000000"/>
              <w:right w:val="single" w:sz="6" w:space="0" w:color="000000"/>
            </w:tcBorders>
            <w:vAlign w:val="center"/>
          </w:tcPr>
          <w:p w14:paraId="0F8569FE" w14:textId="77777777" w:rsidR="007D706A" w:rsidRDefault="007D706A" w:rsidP="00F70508">
            <w:pPr>
              <w:pStyle w:val="ParagraphStyle6"/>
              <w:rPr>
                <w:rStyle w:val="CharacterStyle6"/>
              </w:rPr>
            </w:pPr>
            <w:r>
              <w:rPr>
                <w:rStyle w:val="CharacterStyle6"/>
              </w:rPr>
              <w:t>126.094,00</w:t>
            </w:r>
          </w:p>
        </w:tc>
        <w:tc>
          <w:tcPr>
            <w:tcW w:w="1395" w:type="dxa"/>
            <w:tcBorders>
              <w:bottom w:val="single" w:sz="6" w:space="0" w:color="000000"/>
              <w:right w:val="single" w:sz="6" w:space="0" w:color="000000"/>
            </w:tcBorders>
            <w:vAlign w:val="center"/>
          </w:tcPr>
          <w:p w14:paraId="0C3FF62A" w14:textId="77777777" w:rsidR="007D706A" w:rsidRDefault="007D706A" w:rsidP="00F70508">
            <w:pPr>
              <w:pStyle w:val="ParagraphStyle6"/>
              <w:rPr>
                <w:rStyle w:val="CharacterStyle6"/>
              </w:rPr>
            </w:pPr>
            <w:r>
              <w:rPr>
                <w:rStyle w:val="CharacterStyle6"/>
              </w:rPr>
              <w:t>127.357,00</w:t>
            </w:r>
          </w:p>
        </w:tc>
      </w:tr>
      <w:tr w:rsidR="007D706A" w14:paraId="01C143B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554160E"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25DEDBA6"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719D2A7F"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5743702" w14:textId="77777777" w:rsidR="007D706A" w:rsidRDefault="007D706A" w:rsidP="00F70508">
            <w:pPr>
              <w:pStyle w:val="ParagraphStyle9"/>
              <w:rPr>
                <w:rStyle w:val="CharacterStyle9"/>
              </w:rPr>
            </w:pPr>
            <w:r>
              <w:rPr>
                <w:rStyle w:val="CharacterStyle9"/>
              </w:rPr>
              <w:t>106.120,00</w:t>
            </w:r>
          </w:p>
        </w:tc>
        <w:tc>
          <w:tcPr>
            <w:tcW w:w="1395" w:type="dxa"/>
            <w:tcBorders>
              <w:bottom w:val="single" w:sz="6" w:space="0" w:color="000000"/>
              <w:right w:val="single" w:sz="6" w:space="0" w:color="000000"/>
            </w:tcBorders>
            <w:vAlign w:val="center"/>
          </w:tcPr>
          <w:p w14:paraId="466F1EB8" w14:textId="77777777" w:rsidR="007D706A" w:rsidRDefault="007D706A" w:rsidP="00F70508">
            <w:pPr>
              <w:pStyle w:val="ParagraphStyle9"/>
              <w:rPr>
                <w:rStyle w:val="CharacterStyle9"/>
              </w:rPr>
            </w:pPr>
            <w:r>
              <w:rPr>
                <w:rStyle w:val="CharacterStyle9"/>
              </w:rPr>
              <w:t>97.145,00</w:t>
            </w:r>
          </w:p>
        </w:tc>
        <w:tc>
          <w:tcPr>
            <w:tcW w:w="1395" w:type="dxa"/>
            <w:tcBorders>
              <w:bottom w:val="single" w:sz="6" w:space="0" w:color="000000"/>
              <w:right w:val="single" w:sz="6" w:space="0" w:color="000000"/>
            </w:tcBorders>
            <w:vAlign w:val="center"/>
          </w:tcPr>
          <w:p w14:paraId="2FFA4E43" w14:textId="77777777" w:rsidR="007D706A" w:rsidRDefault="007D706A" w:rsidP="00F70508">
            <w:pPr>
              <w:pStyle w:val="ParagraphStyle9"/>
              <w:rPr>
                <w:rStyle w:val="CharacterStyle9"/>
              </w:rPr>
            </w:pPr>
            <w:r>
              <w:rPr>
                <w:rStyle w:val="CharacterStyle9"/>
              </w:rPr>
              <w:t>101.030,00</w:t>
            </w:r>
          </w:p>
        </w:tc>
        <w:tc>
          <w:tcPr>
            <w:tcW w:w="1395" w:type="dxa"/>
            <w:tcBorders>
              <w:bottom w:val="single" w:sz="6" w:space="0" w:color="000000"/>
              <w:right w:val="single" w:sz="6" w:space="0" w:color="000000"/>
            </w:tcBorders>
            <w:vAlign w:val="center"/>
          </w:tcPr>
          <w:p w14:paraId="30993CE1" w14:textId="77777777" w:rsidR="007D706A" w:rsidRDefault="007D706A" w:rsidP="00F70508">
            <w:pPr>
              <w:pStyle w:val="ParagraphStyle9"/>
              <w:rPr>
                <w:rStyle w:val="CharacterStyle9"/>
              </w:rPr>
            </w:pPr>
            <w:r>
              <w:rPr>
                <w:rStyle w:val="CharacterStyle9"/>
              </w:rPr>
              <w:t>102.042,00</w:t>
            </w:r>
          </w:p>
        </w:tc>
      </w:tr>
      <w:tr w:rsidR="007D706A" w14:paraId="69E64D6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E50150D"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114495CE"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0F33B09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D0B5A64" w14:textId="77777777" w:rsidR="007D706A" w:rsidRDefault="007D706A" w:rsidP="00F70508">
            <w:pPr>
              <w:pStyle w:val="ParagraphStyle12"/>
              <w:rPr>
                <w:rStyle w:val="CharacterStyle12"/>
              </w:rPr>
            </w:pPr>
            <w:r>
              <w:rPr>
                <w:rStyle w:val="CharacterStyle12"/>
              </w:rPr>
              <w:t>106.120,00</w:t>
            </w:r>
          </w:p>
        </w:tc>
        <w:tc>
          <w:tcPr>
            <w:tcW w:w="1395" w:type="dxa"/>
            <w:tcBorders>
              <w:bottom w:val="single" w:sz="6" w:space="0" w:color="000000"/>
              <w:right w:val="single" w:sz="6" w:space="0" w:color="000000"/>
            </w:tcBorders>
            <w:vAlign w:val="center"/>
          </w:tcPr>
          <w:p w14:paraId="4797829F" w14:textId="77777777" w:rsidR="007D706A" w:rsidRDefault="007D706A" w:rsidP="00F70508">
            <w:pPr>
              <w:pStyle w:val="ParagraphStyle12"/>
              <w:rPr>
                <w:rStyle w:val="CharacterStyle12"/>
              </w:rPr>
            </w:pPr>
            <w:r>
              <w:rPr>
                <w:rStyle w:val="CharacterStyle12"/>
              </w:rPr>
              <w:t>97.145,00</w:t>
            </w:r>
          </w:p>
        </w:tc>
        <w:tc>
          <w:tcPr>
            <w:tcW w:w="1395" w:type="dxa"/>
            <w:tcBorders>
              <w:bottom w:val="single" w:sz="6" w:space="0" w:color="000000"/>
              <w:right w:val="single" w:sz="6" w:space="0" w:color="000000"/>
            </w:tcBorders>
            <w:vAlign w:val="center"/>
          </w:tcPr>
          <w:p w14:paraId="1A7AF4DE" w14:textId="77777777" w:rsidR="007D706A" w:rsidRDefault="007D706A" w:rsidP="00F70508">
            <w:pPr>
              <w:pStyle w:val="ParagraphStyle12"/>
              <w:rPr>
                <w:rStyle w:val="CharacterStyle12"/>
              </w:rPr>
            </w:pPr>
            <w:r>
              <w:rPr>
                <w:rStyle w:val="CharacterStyle12"/>
              </w:rPr>
              <w:t>101.030,00</w:t>
            </w:r>
          </w:p>
        </w:tc>
        <w:tc>
          <w:tcPr>
            <w:tcW w:w="1395" w:type="dxa"/>
            <w:tcBorders>
              <w:bottom w:val="single" w:sz="6" w:space="0" w:color="000000"/>
              <w:right w:val="single" w:sz="6" w:space="0" w:color="000000"/>
            </w:tcBorders>
            <w:vAlign w:val="center"/>
          </w:tcPr>
          <w:p w14:paraId="7A1099B9" w14:textId="77777777" w:rsidR="007D706A" w:rsidRDefault="007D706A" w:rsidP="00F70508">
            <w:pPr>
              <w:pStyle w:val="ParagraphStyle12"/>
              <w:rPr>
                <w:rStyle w:val="CharacterStyle12"/>
              </w:rPr>
            </w:pPr>
            <w:r>
              <w:rPr>
                <w:rStyle w:val="CharacterStyle12"/>
              </w:rPr>
              <w:t>102.042,00</w:t>
            </w:r>
          </w:p>
        </w:tc>
      </w:tr>
      <w:tr w:rsidR="007D706A" w14:paraId="3394324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33585A6" w14:textId="77777777" w:rsidR="007D706A" w:rsidRDefault="007D706A" w:rsidP="00F70508">
            <w:pPr>
              <w:pStyle w:val="ParagraphStyle10"/>
              <w:rPr>
                <w:rStyle w:val="CharacterStyle10"/>
              </w:rPr>
            </w:pPr>
            <w:r>
              <w:rPr>
                <w:rStyle w:val="CharacterStyle10"/>
              </w:rPr>
              <w:t>31</w:t>
            </w:r>
          </w:p>
        </w:tc>
        <w:tc>
          <w:tcPr>
            <w:tcW w:w="4995" w:type="dxa"/>
            <w:tcBorders>
              <w:bottom w:val="single" w:sz="6" w:space="0" w:color="000000"/>
              <w:right w:val="single" w:sz="6" w:space="0" w:color="000000"/>
            </w:tcBorders>
            <w:vAlign w:val="center"/>
          </w:tcPr>
          <w:p w14:paraId="7755017A" w14:textId="77777777" w:rsidR="007D706A" w:rsidRDefault="007D706A" w:rsidP="00F70508">
            <w:pPr>
              <w:pStyle w:val="ParagraphStyle11"/>
              <w:rPr>
                <w:rStyle w:val="CharacterStyle11"/>
              </w:rPr>
            </w:pPr>
            <w:r>
              <w:rPr>
                <w:rStyle w:val="CharacterStyle11"/>
              </w:rPr>
              <w:t>Rashodi za zaposlene</w:t>
            </w:r>
          </w:p>
        </w:tc>
        <w:tc>
          <w:tcPr>
            <w:tcW w:w="1395" w:type="dxa"/>
            <w:tcBorders>
              <w:bottom w:val="single" w:sz="6" w:space="0" w:color="000000"/>
              <w:right w:val="single" w:sz="6" w:space="0" w:color="000000"/>
            </w:tcBorders>
            <w:vAlign w:val="center"/>
          </w:tcPr>
          <w:p w14:paraId="13268CC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8F4421B" w14:textId="77777777" w:rsidR="007D706A" w:rsidRDefault="007D706A" w:rsidP="00F70508">
            <w:pPr>
              <w:pStyle w:val="ParagraphStyle12"/>
              <w:rPr>
                <w:rStyle w:val="CharacterStyle12"/>
              </w:rPr>
            </w:pPr>
            <w:r>
              <w:rPr>
                <w:rStyle w:val="CharacterStyle12"/>
              </w:rPr>
              <w:t>104.225,00</w:t>
            </w:r>
          </w:p>
        </w:tc>
        <w:tc>
          <w:tcPr>
            <w:tcW w:w="1395" w:type="dxa"/>
            <w:tcBorders>
              <w:bottom w:val="single" w:sz="6" w:space="0" w:color="000000"/>
              <w:right w:val="single" w:sz="6" w:space="0" w:color="000000"/>
            </w:tcBorders>
            <w:vAlign w:val="center"/>
          </w:tcPr>
          <w:p w14:paraId="5D98D109" w14:textId="77777777" w:rsidR="007D706A" w:rsidRDefault="007D706A" w:rsidP="00F70508">
            <w:pPr>
              <w:pStyle w:val="ParagraphStyle12"/>
              <w:rPr>
                <w:rStyle w:val="CharacterStyle12"/>
              </w:rPr>
            </w:pPr>
            <w:r>
              <w:rPr>
                <w:rStyle w:val="CharacterStyle12"/>
              </w:rPr>
              <w:t>94.350,00</w:t>
            </w:r>
          </w:p>
        </w:tc>
        <w:tc>
          <w:tcPr>
            <w:tcW w:w="1395" w:type="dxa"/>
            <w:tcBorders>
              <w:bottom w:val="single" w:sz="6" w:space="0" w:color="000000"/>
              <w:right w:val="single" w:sz="6" w:space="0" w:color="000000"/>
            </w:tcBorders>
            <w:vAlign w:val="center"/>
          </w:tcPr>
          <w:p w14:paraId="4A982E32" w14:textId="77777777" w:rsidR="007D706A" w:rsidRDefault="007D706A" w:rsidP="00F70508">
            <w:pPr>
              <w:pStyle w:val="ParagraphStyle12"/>
              <w:rPr>
                <w:rStyle w:val="CharacterStyle12"/>
              </w:rPr>
            </w:pPr>
            <w:r>
              <w:rPr>
                <w:rStyle w:val="CharacterStyle12"/>
              </w:rPr>
              <w:t>98.124,00</w:t>
            </w:r>
          </w:p>
        </w:tc>
        <w:tc>
          <w:tcPr>
            <w:tcW w:w="1395" w:type="dxa"/>
            <w:tcBorders>
              <w:bottom w:val="single" w:sz="6" w:space="0" w:color="000000"/>
              <w:right w:val="single" w:sz="6" w:space="0" w:color="000000"/>
            </w:tcBorders>
            <w:vAlign w:val="center"/>
          </w:tcPr>
          <w:p w14:paraId="4B310B88" w14:textId="77777777" w:rsidR="007D706A" w:rsidRDefault="007D706A" w:rsidP="00F70508">
            <w:pPr>
              <w:pStyle w:val="ParagraphStyle12"/>
              <w:rPr>
                <w:rStyle w:val="CharacterStyle12"/>
              </w:rPr>
            </w:pPr>
            <w:r>
              <w:rPr>
                <w:rStyle w:val="CharacterStyle12"/>
              </w:rPr>
              <w:t>99.107,00</w:t>
            </w:r>
          </w:p>
        </w:tc>
      </w:tr>
      <w:tr w:rsidR="007D706A" w14:paraId="39D8677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75AA244"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4B0FF2EE"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3DE7615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08E0804" w14:textId="77777777" w:rsidR="007D706A" w:rsidRDefault="007D706A" w:rsidP="00F70508">
            <w:pPr>
              <w:pStyle w:val="ParagraphStyle12"/>
              <w:rPr>
                <w:rStyle w:val="CharacterStyle12"/>
              </w:rPr>
            </w:pPr>
            <w:r>
              <w:rPr>
                <w:rStyle w:val="CharacterStyle12"/>
              </w:rPr>
              <w:t>1.895,00</w:t>
            </w:r>
          </w:p>
        </w:tc>
        <w:tc>
          <w:tcPr>
            <w:tcW w:w="1395" w:type="dxa"/>
            <w:tcBorders>
              <w:bottom w:val="single" w:sz="6" w:space="0" w:color="000000"/>
              <w:right w:val="single" w:sz="6" w:space="0" w:color="000000"/>
            </w:tcBorders>
            <w:vAlign w:val="center"/>
          </w:tcPr>
          <w:p w14:paraId="13D67140" w14:textId="77777777" w:rsidR="007D706A" w:rsidRDefault="007D706A" w:rsidP="00F70508">
            <w:pPr>
              <w:pStyle w:val="ParagraphStyle12"/>
              <w:rPr>
                <w:rStyle w:val="CharacterStyle12"/>
              </w:rPr>
            </w:pPr>
            <w:r>
              <w:rPr>
                <w:rStyle w:val="CharacterStyle12"/>
              </w:rPr>
              <w:t>2.795,00</w:t>
            </w:r>
          </w:p>
        </w:tc>
        <w:tc>
          <w:tcPr>
            <w:tcW w:w="1395" w:type="dxa"/>
            <w:tcBorders>
              <w:bottom w:val="single" w:sz="6" w:space="0" w:color="000000"/>
              <w:right w:val="single" w:sz="6" w:space="0" w:color="000000"/>
            </w:tcBorders>
            <w:vAlign w:val="center"/>
          </w:tcPr>
          <w:p w14:paraId="24C35807" w14:textId="77777777" w:rsidR="007D706A" w:rsidRDefault="007D706A" w:rsidP="00F70508">
            <w:pPr>
              <w:pStyle w:val="ParagraphStyle12"/>
              <w:rPr>
                <w:rStyle w:val="CharacterStyle12"/>
              </w:rPr>
            </w:pPr>
            <w:r>
              <w:rPr>
                <w:rStyle w:val="CharacterStyle12"/>
              </w:rPr>
              <w:t>2.906,00</w:t>
            </w:r>
          </w:p>
        </w:tc>
        <w:tc>
          <w:tcPr>
            <w:tcW w:w="1395" w:type="dxa"/>
            <w:tcBorders>
              <w:bottom w:val="single" w:sz="6" w:space="0" w:color="000000"/>
              <w:right w:val="single" w:sz="6" w:space="0" w:color="000000"/>
            </w:tcBorders>
            <w:vAlign w:val="center"/>
          </w:tcPr>
          <w:p w14:paraId="7514CBB9" w14:textId="77777777" w:rsidR="007D706A" w:rsidRDefault="007D706A" w:rsidP="00F70508">
            <w:pPr>
              <w:pStyle w:val="ParagraphStyle12"/>
              <w:rPr>
                <w:rStyle w:val="CharacterStyle12"/>
              </w:rPr>
            </w:pPr>
            <w:r>
              <w:rPr>
                <w:rStyle w:val="CharacterStyle12"/>
              </w:rPr>
              <w:t>2.935,00</w:t>
            </w:r>
          </w:p>
        </w:tc>
      </w:tr>
      <w:tr w:rsidR="007D706A" w14:paraId="5154E51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E06831F" w14:textId="77777777" w:rsidR="007D706A" w:rsidRDefault="007D706A" w:rsidP="00F70508">
            <w:pPr>
              <w:pStyle w:val="ParagraphStyle7"/>
              <w:rPr>
                <w:rStyle w:val="CharacterStyle7"/>
              </w:rPr>
            </w:pPr>
            <w:r>
              <w:rPr>
                <w:rStyle w:val="CharacterStyle7"/>
              </w:rPr>
              <w:t>Izvor financiranja 5</w:t>
            </w:r>
          </w:p>
        </w:tc>
        <w:tc>
          <w:tcPr>
            <w:tcW w:w="4995" w:type="dxa"/>
            <w:tcBorders>
              <w:bottom w:val="single" w:sz="6" w:space="0" w:color="000000"/>
              <w:right w:val="single" w:sz="6" w:space="0" w:color="000000"/>
            </w:tcBorders>
            <w:vAlign w:val="center"/>
          </w:tcPr>
          <w:p w14:paraId="1AE100E6" w14:textId="77777777" w:rsidR="007D706A" w:rsidRDefault="007D706A" w:rsidP="00F70508">
            <w:pPr>
              <w:pStyle w:val="ParagraphStyle8"/>
              <w:rPr>
                <w:rStyle w:val="CharacterStyle8"/>
              </w:rPr>
            </w:pPr>
            <w:r>
              <w:rPr>
                <w:rStyle w:val="CharacterStyle8"/>
              </w:rPr>
              <w:t>POMOĆI</w:t>
            </w:r>
          </w:p>
        </w:tc>
        <w:tc>
          <w:tcPr>
            <w:tcW w:w="1395" w:type="dxa"/>
            <w:tcBorders>
              <w:bottom w:val="single" w:sz="6" w:space="0" w:color="000000"/>
              <w:right w:val="single" w:sz="6" w:space="0" w:color="000000"/>
            </w:tcBorders>
            <w:vAlign w:val="center"/>
          </w:tcPr>
          <w:p w14:paraId="44EC39B7"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56F0A3B"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FE850B9" w14:textId="77777777" w:rsidR="007D706A" w:rsidRDefault="007D706A" w:rsidP="00F70508">
            <w:pPr>
              <w:pStyle w:val="ParagraphStyle9"/>
              <w:rPr>
                <w:rStyle w:val="CharacterStyle9"/>
              </w:rPr>
            </w:pPr>
            <w:r>
              <w:rPr>
                <w:rStyle w:val="CharacterStyle9"/>
              </w:rPr>
              <w:t>24.100,00</w:t>
            </w:r>
          </w:p>
        </w:tc>
        <w:tc>
          <w:tcPr>
            <w:tcW w:w="1395" w:type="dxa"/>
            <w:tcBorders>
              <w:bottom w:val="single" w:sz="6" w:space="0" w:color="000000"/>
              <w:right w:val="single" w:sz="6" w:space="0" w:color="000000"/>
            </w:tcBorders>
            <w:vAlign w:val="center"/>
          </w:tcPr>
          <w:p w14:paraId="0E6DBA81" w14:textId="77777777" w:rsidR="007D706A" w:rsidRDefault="007D706A" w:rsidP="00F70508">
            <w:pPr>
              <w:pStyle w:val="ParagraphStyle9"/>
              <w:rPr>
                <w:rStyle w:val="CharacterStyle9"/>
              </w:rPr>
            </w:pPr>
            <w:r>
              <w:rPr>
                <w:rStyle w:val="CharacterStyle9"/>
              </w:rPr>
              <w:t>25.064,00</w:t>
            </w:r>
          </w:p>
        </w:tc>
        <w:tc>
          <w:tcPr>
            <w:tcW w:w="1395" w:type="dxa"/>
            <w:tcBorders>
              <w:bottom w:val="single" w:sz="6" w:space="0" w:color="000000"/>
              <w:right w:val="single" w:sz="6" w:space="0" w:color="000000"/>
            </w:tcBorders>
            <w:vAlign w:val="center"/>
          </w:tcPr>
          <w:p w14:paraId="22988C8E" w14:textId="77777777" w:rsidR="007D706A" w:rsidRDefault="007D706A" w:rsidP="00F70508">
            <w:pPr>
              <w:pStyle w:val="ParagraphStyle9"/>
              <w:rPr>
                <w:rStyle w:val="CharacterStyle9"/>
              </w:rPr>
            </w:pPr>
            <w:r>
              <w:rPr>
                <w:rStyle w:val="CharacterStyle9"/>
              </w:rPr>
              <w:t>25.315,00</w:t>
            </w:r>
          </w:p>
        </w:tc>
      </w:tr>
      <w:tr w:rsidR="007D706A" w14:paraId="2A4761C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0E4DA4D"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269791FE"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1FC884D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A9CA4C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669AE53" w14:textId="77777777" w:rsidR="007D706A" w:rsidRDefault="007D706A" w:rsidP="00F70508">
            <w:pPr>
              <w:pStyle w:val="ParagraphStyle12"/>
              <w:rPr>
                <w:rStyle w:val="CharacterStyle12"/>
              </w:rPr>
            </w:pPr>
            <w:r>
              <w:rPr>
                <w:rStyle w:val="CharacterStyle12"/>
              </w:rPr>
              <w:t>24.100,00</w:t>
            </w:r>
          </w:p>
        </w:tc>
        <w:tc>
          <w:tcPr>
            <w:tcW w:w="1395" w:type="dxa"/>
            <w:tcBorders>
              <w:bottom w:val="single" w:sz="6" w:space="0" w:color="000000"/>
              <w:right w:val="single" w:sz="6" w:space="0" w:color="000000"/>
            </w:tcBorders>
            <w:vAlign w:val="center"/>
          </w:tcPr>
          <w:p w14:paraId="6F5165B0" w14:textId="77777777" w:rsidR="007D706A" w:rsidRDefault="007D706A" w:rsidP="00F70508">
            <w:pPr>
              <w:pStyle w:val="ParagraphStyle12"/>
              <w:rPr>
                <w:rStyle w:val="CharacterStyle12"/>
              </w:rPr>
            </w:pPr>
            <w:r>
              <w:rPr>
                <w:rStyle w:val="CharacterStyle12"/>
              </w:rPr>
              <w:t>25.064,00</w:t>
            </w:r>
          </w:p>
        </w:tc>
        <w:tc>
          <w:tcPr>
            <w:tcW w:w="1395" w:type="dxa"/>
            <w:tcBorders>
              <w:bottom w:val="single" w:sz="6" w:space="0" w:color="000000"/>
              <w:right w:val="single" w:sz="6" w:space="0" w:color="000000"/>
            </w:tcBorders>
            <w:vAlign w:val="center"/>
          </w:tcPr>
          <w:p w14:paraId="20B71257" w14:textId="77777777" w:rsidR="007D706A" w:rsidRDefault="007D706A" w:rsidP="00F70508">
            <w:pPr>
              <w:pStyle w:val="ParagraphStyle12"/>
              <w:rPr>
                <w:rStyle w:val="CharacterStyle12"/>
              </w:rPr>
            </w:pPr>
            <w:r>
              <w:rPr>
                <w:rStyle w:val="CharacterStyle12"/>
              </w:rPr>
              <w:t>25.315,00</w:t>
            </w:r>
          </w:p>
        </w:tc>
      </w:tr>
      <w:tr w:rsidR="007D706A" w14:paraId="21B073D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F7E1444" w14:textId="77777777" w:rsidR="007D706A" w:rsidRDefault="007D706A" w:rsidP="00F70508">
            <w:pPr>
              <w:pStyle w:val="ParagraphStyle10"/>
              <w:rPr>
                <w:rStyle w:val="CharacterStyle10"/>
              </w:rPr>
            </w:pPr>
            <w:r>
              <w:rPr>
                <w:rStyle w:val="CharacterStyle10"/>
              </w:rPr>
              <w:t>31</w:t>
            </w:r>
          </w:p>
        </w:tc>
        <w:tc>
          <w:tcPr>
            <w:tcW w:w="4995" w:type="dxa"/>
            <w:tcBorders>
              <w:bottom w:val="single" w:sz="6" w:space="0" w:color="000000"/>
              <w:right w:val="single" w:sz="6" w:space="0" w:color="000000"/>
            </w:tcBorders>
            <w:vAlign w:val="center"/>
          </w:tcPr>
          <w:p w14:paraId="72DC1E6F" w14:textId="77777777" w:rsidR="007D706A" w:rsidRDefault="007D706A" w:rsidP="00F70508">
            <w:pPr>
              <w:pStyle w:val="ParagraphStyle11"/>
              <w:rPr>
                <w:rStyle w:val="CharacterStyle11"/>
              </w:rPr>
            </w:pPr>
            <w:r>
              <w:rPr>
                <w:rStyle w:val="CharacterStyle11"/>
              </w:rPr>
              <w:t>Rashodi za zaposlene</w:t>
            </w:r>
          </w:p>
        </w:tc>
        <w:tc>
          <w:tcPr>
            <w:tcW w:w="1395" w:type="dxa"/>
            <w:tcBorders>
              <w:bottom w:val="single" w:sz="6" w:space="0" w:color="000000"/>
              <w:right w:val="single" w:sz="6" w:space="0" w:color="000000"/>
            </w:tcBorders>
            <w:vAlign w:val="center"/>
          </w:tcPr>
          <w:p w14:paraId="01888F3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EEA493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D073A24" w14:textId="77777777" w:rsidR="007D706A" w:rsidRDefault="007D706A" w:rsidP="00F70508">
            <w:pPr>
              <w:pStyle w:val="ParagraphStyle12"/>
              <w:rPr>
                <w:rStyle w:val="CharacterStyle12"/>
              </w:rPr>
            </w:pPr>
            <w:r>
              <w:rPr>
                <w:rStyle w:val="CharacterStyle12"/>
              </w:rPr>
              <w:t>24.100,00</w:t>
            </w:r>
          </w:p>
        </w:tc>
        <w:tc>
          <w:tcPr>
            <w:tcW w:w="1395" w:type="dxa"/>
            <w:tcBorders>
              <w:bottom w:val="single" w:sz="6" w:space="0" w:color="000000"/>
              <w:right w:val="single" w:sz="6" w:space="0" w:color="000000"/>
            </w:tcBorders>
            <w:vAlign w:val="center"/>
          </w:tcPr>
          <w:p w14:paraId="094E4BD3" w14:textId="77777777" w:rsidR="007D706A" w:rsidRDefault="007D706A" w:rsidP="00F70508">
            <w:pPr>
              <w:pStyle w:val="ParagraphStyle12"/>
              <w:rPr>
                <w:rStyle w:val="CharacterStyle12"/>
              </w:rPr>
            </w:pPr>
            <w:r>
              <w:rPr>
                <w:rStyle w:val="CharacterStyle12"/>
              </w:rPr>
              <w:t>25.064,00</w:t>
            </w:r>
          </w:p>
        </w:tc>
        <w:tc>
          <w:tcPr>
            <w:tcW w:w="1395" w:type="dxa"/>
            <w:tcBorders>
              <w:bottom w:val="single" w:sz="6" w:space="0" w:color="000000"/>
              <w:right w:val="single" w:sz="6" w:space="0" w:color="000000"/>
            </w:tcBorders>
            <w:vAlign w:val="center"/>
          </w:tcPr>
          <w:p w14:paraId="1BBFA1D7" w14:textId="77777777" w:rsidR="007D706A" w:rsidRDefault="007D706A" w:rsidP="00F70508">
            <w:pPr>
              <w:pStyle w:val="ParagraphStyle12"/>
              <w:rPr>
                <w:rStyle w:val="CharacterStyle12"/>
              </w:rPr>
            </w:pPr>
            <w:r>
              <w:rPr>
                <w:rStyle w:val="CharacterStyle12"/>
              </w:rPr>
              <w:t>25.315,00</w:t>
            </w:r>
          </w:p>
        </w:tc>
      </w:tr>
      <w:tr w:rsidR="007D706A" w14:paraId="26C23816"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9581A68" w14:textId="77777777" w:rsidR="007D706A" w:rsidRDefault="007D706A" w:rsidP="00F70508">
            <w:pPr>
              <w:pStyle w:val="ParagraphStyle7"/>
              <w:rPr>
                <w:rStyle w:val="CharacterStyle7"/>
              </w:rPr>
            </w:pPr>
            <w:r>
              <w:rPr>
                <w:rStyle w:val="CharacterStyle7"/>
              </w:rPr>
              <w:t>Izvor financiranja 53</w:t>
            </w:r>
          </w:p>
        </w:tc>
        <w:tc>
          <w:tcPr>
            <w:tcW w:w="4995" w:type="dxa"/>
            <w:tcBorders>
              <w:bottom w:val="single" w:sz="6" w:space="0" w:color="000000"/>
              <w:right w:val="single" w:sz="6" w:space="0" w:color="000000"/>
            </w:tcBorders>
            <w:vAlign w:val="center"/>
          </w:tcPr>
          <w:p w14:paraId="13F9B677" w14:textId="77777777" w:rsidR="007D706A" w:rsidRDefault="007D706A" w:rsidP="00F70508">
            <w:pPr>
              <w:pStyle w:val="ParagraphStyle8"/>
              <w:rPr>
                <w:rStyle w:val="CharacterStyle8"/>
              </w:rPr>
            </w:pPr>
            <w:r>
              <w:rPr>
                <w:rStyle w:val="CharacterStyle8"/>
              </w:rPr>
              <w:t>Proračuni, drugi nivoi - za posebne i / ili ugovorene namjene</w:t>
            </w:r>
          </w:p>
        </w:tc>
        <w:tc>
          <w:tcPr>
            <w:tcW w:w="1395" w:type="dxa"/>
            <w:tcBorders>
              <w:bottom w:val="single" w:sz="6" w:space="0" w:color="000000"/>
              <w:right w:val="single" w:sz="6" w:space="0" w:color="000000"/>
            </w:tcBorders>
            <w:vAlign w:val="center"/>
          </w:tcPr>
          <w:p w14:paraId="6DD9ACEC"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2CBD4B1" w14:textId="77777777" w:rsidR="007D706A" w:rsidRDefault="007D706A" w:rsidP="00F70508">
            <w:pPr>
              <w:pStyle w:val="ParagraphStyle9"/>
              <w:rPr>
                <w:rStyle w:val="CharacterStyle9"/>
              </w:rPr>
            </w:pPr>
            <w:r>
              <w:rPr>
                <w:rStyle w:val="CharacterStyle9"/>
              </w:rPr>
              <w:t>26.000,00</w:t>
            </w:r>
          </w:p>
        </w:tc>
        <w:tc>
          <w:tcPr>
            <w:tcW w:w="1395" w:type="dxa"/>
            <w:tcBorders>
              <w:bottom w:val="single" w:sz="6" w:space="0" w:color="000000"/>
              <w:right w:val="single" w:sz="6" w:space="0" w:color="000000"/>
            </w:tcBorders>
            <w:vAlign w:val="center"/>
          </w:tcPr>
          <w:p w14:paraId="70AB66FC"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A9AC5D5"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EA478FD" w14:textId="77777777" w:rsidR="007D706A" w:rsidRDefault="007D706A" w:rsidP="00F70508">
            <w:pPr>
              <w:pStyle w:val="ParagraphStyle9"/>
              <w:rPr>
                <w:rStyle w:val="CharacterStyle9"/>
              </w:rPr>
            </w:pPr>
            <w:r>
              <w:rPr>
                <w:rStyle w:val="CharacterStyle9"/>
              </w:rPr>
              <w:t>0,00</w:t>
            </w:r>
          </w:p>
        </w:tc>
      </w:tr>
      <w:tr w:rsidR="007D706A" w14:paraId="164ACA6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3EE63FC"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6B7E72AA"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6D01E5D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CDB02CD" w14:textId="77777777" w:rsidR="007D706A" w:rsidRDefault="007D706A" w:rsidP="00F70508">
            <w:pPr>
              <w:pStyle w:val="ParagraphStyle12"/>
              <w:rPr>
                <w:rStyle w:val="CharacterStyle12"/>
              </w:rPr>
            </w:pPr>
            <w:r>
              <w:rPr>
                <w:rStyle w:val="CharacterStyle12"/>
              </w:rPr>
              <w:t>26.000,00</w:t>
            </w:r>
          </w:p>
        </w:tc>
        <w:tc>
          <w:tcPr>
            <w:tcW w:w="1395" w:type="dxa"/>
            <w:tcBorders>
              <w:bottom w:val="single" w:sz="6" w:space="0" w:color="000000"/>
              <w:right w:val="single" w:sz="6" w:space="0" w:color="000000"/>
            </w:tcBorders>
            <w:vAlign w:val="center"/>
          </w:tcPr>
          <w:p w14:paraId="79077E5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F87946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F55B697" w14:textId="77777777" w:rsidR="007D706A" w:rsidRDefault="007D706A" w:rsidP="00F70508">
            <w:pPr>
              <w:pStyle w:val="ParagraphStyle12"/>
              <w:rPr>
                <w:rStyle w:val="CharacterStyle12"/>
              </w:rPr>
            </w:pPr>
            <w:r>
              <w:rPr>
                <w:rStyle w:val="CharacterStyle12"/>
              </w:rPr>
              <w:t>0,00</w:t>
            </w:r>
          </w:p>
        </w:tc>
      </w:tr>
      <w:tr w:rsidR="007D706A" w14:paraId="36637A4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E4280BE" w14:textId="77777777" w:rsidR="007D706A" w:rsidRDefault="007D706A" w:rsidP="00F70508">
            <w:pPr>
              <w:pStyle w:val="ParagraphStyle10"/>
              <w:rPr>
                <w:rStyle w:val="CharacterStyle10"/>
              </w:rPr>
            </w:pPr>
            <w:r>
              <w:rPr>
                <w:rStyle w:val="CharacterStyle10"/>
              </w:rPr>
              <w:t>31</w:t>
            </w:r>
          </w:p>
        </w:tc>
        <w:tc>
          <w:tcPr>
            <w:tcW w:w="4995" w:type="dxa"/>
            <w:tcBorders>
              <w:bottom w:val="single" w:sz="6" w:space="0" w:color="000000"/>
              <w:right w:val="single" w:sz="6" w:space="0" w:color="000000"/>
            </w:tcBorders>
            <w:vAlign w:val="center"/>
          </w:tcPr>
          <w:p w14:paraId="6851D7E1" w14:textId="77777777" w:rsidR="007D706A" w:rsidRDefault="007D706A" w:rsidP="00F70508">
            <w:pPr>
              <w:pStyle w:val="ParagraphStyle11"/>
              <w:rPr>
                <w:rStyle w:val="CharacterStyle11"/>
              </w:rPr>
            </w:pPr>
            <w:r>
              <w:rPr>
                <w:rStyle w:val="CharacterStyle11"/>
              </w:rPr>
              <w:t>Rashodi za zaposlene</w:t>
            </w:r>
          </w:p>
        </w:tc>
        <w:tc>
          <w:tcPr>
            <w:tcW w:w="1395" w:type="dxa"/>
            <w:tcBorders>
              <w:bottom w:val="single" w:sz="6" w:space="0" w:color="000000"/>
              <w:right w:val="single" w:sz="6" w:space="0" w:color="000000"/>
            </w:tcBorders>
            <w:vAlign w:val="center"/>
          </w:tcPr>
          <w:p w14:paraId="26D3D14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710FC12" w14:textId="77777777" w:rsidR="007D706A" w:rsidRDefault="007D706A" w:rsidP="00F70508">
            <w:pPr>
              <w:pStyle w:val="ParagraphStyle12"/>
              <w:rPr>
                <w:rStyle w:val="CharacterStyle12"/>
              </w:rPr>
            </w:pPr>
            <w:r>
              <w:rPr>
                <w:rStyle w:val="CharacterStyle12"/>
              </w:rPr>
              <w:t>26.000,00</w:t>
            </w:r>
          </w:p>
        </w:tc>
        <w:tc>
          <w:tcPr>
            <w:tcW w:w="1395" w:type="dxa"/>
            <w:tcBorders>
              <w:bottom w:val="single" w:sz="6" w:space="0" w:color="000000"/>
              <w:right w:val="single" w:sz="6" w:space="0" w:color="000000"/>
            </w:tcBorders>
            <w:vAlign w:val="center"/>
          </w:tcPr>
          <w:p w14:paraId="51A2FF8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530BDD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9EFFA55" w14:textId="77777777" w:rsidR="007D706A" w:rsidRDefault="007D706A" w:rsidP="00F70508">
            <w:pPr>
              <w:pStyle w:val="ParagraphStyle12"/>
              <w:rPr>
                <w:rStyle w:val="CharacterStyle12"/>
              </w:rPr>
            </w:pPr>
            <w:r>
              <w:rPr>
                <w:rStyle w:val="CharacterStyle12"/>
              </w:rPr>
              <w:t>0,00</w:t>
            </w:r>
          </w:p>
        </w:tc>
      </w:tr>
      <w:tr w:rsidR="007D706A" w14:paraId="050E9B9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155CE41" w14:textId="77777777" w:rsidR="007D706A" w:rsidRDefault="007D706A" w:rsidP="00F70508">
            <w:pPr>
              <w:pStyle w:val="ParagraphStyle4"/>
              <w:rPr>
                <w:rStyle w:val="CharacterStyle4"/>
              </w:rPr>
            </w:pPr>
            <w:r>
              <w:rPr>
                <w:rStyle w:val="CharacterStyle4"/>
              </w:rPr>
              <w:t>Aktivnost A103603</w:t>
            </w:r>
          </w:p>
        </w:tc>
        <w:tc>
          <w:tcPr>
            <w:tcW w:w="4995" w:type="dxa"/>
            <w:tcBorders>
              <w:bottom w:val="single" w:sz="6" w:space="0" w:color="000000"/>
              <w:right w:val="single" w:sz="6" w:space="0" w:color="000000"/>
            </w:tcBorders>
            <w:vAlign w:val="center"/>
          </w:tcPr>
          <w:p w14:paraId="73D667C1" w14:textId="77777777" w:rsidR="007D706A" w:rsidRDefault="007D706A" w:rsidP="00F70508">
            <w:pPr>
              <w:pStyle w:val="ParagraphStyle5"/>
              <w:rPr>
                <w:rStyle w:val="CharacterStyle5"/>
              </w:rPr>
            </w:pPr>
            <w:r>
              <w:rPr>
                <w:rStyle w:val="CharacterStyle5"/>
              </w:rPr>
              <w:t>ŠKOLSKI PEDAGOG</w:t>
            </w:r>
          </w:p>
        </w:tc>
        <w:tc>
          <w:tcPr>
            <w:tcW w:w="1395" w:type="dxa"/>
            <w:tcBorders>
              <w:bottom w:val="single" w:sz="6" w:space="0" w:color="000000"/>
              <w:right w:val="single" w:sz="6" w:space="0" w:color="000000"/>
            </w:tcBorders>
            <w:vAlign w:val="center"/>
          </w:tcPr>
          <w:p w14:paraId="035756A5"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48A3B169" w14:textId="77777777" w:rsidR="007D706A" w:rsidRDefault="007D706A" w:rsidP="00F70508">
            <w:pPr>
              <w:pStyle w:val="ParagraphStyle6"/>
              <w:rPr>
                <w:rStyle w:val="CharacterStyle6"/>
              </w:rPr>
            </w:pPr>
            <w:r>
              <w:rPr>
                <w:rStyle w:val="CharacterStyle6"/>
              </w:rPr>
              <w:t>7.800,00</w:t>
            </w:r>
          </w:p>
        </w:tc>
        <w:tc>
          <w:tcPr>
            <w:tcW w:w="1395" w:type="dxa"/>
            <w:tcBorders>
              <w:bottom w:val="single" w:sz="6" w:space="0" w:color="000000"/>
              <w:right w:val="single" w:sz="6" w:space="0" w:color="000000"/>
            </w:tcBorders>
            <w:vAlign w:val="center"/>
          </w:tcPr>
          <w:p w14:paraId="4AD9EF32" w14:textId="77777777" w:rsidR="007D706A" w:rsidRDefault="007D706A" w:rsidP="00F70508">
            <w:pPr>
              <w:pStyle w:val="ParagraphStyle6"/>
              <w:rPr>
                <w:rStyle w:val="CharacterStyle6"/>
              </w:rPr>
            </w:pPr>
            <w:r>
              <w:rPr>
                <w:rStyle w:val="CharacterStyle6"/>
              </w:rPr>
              <w:t>14.850,00</w:t>
            </w:r>
          </w:p>
        </w:tc>
        <w:tc>
          <w:tcPr>
            <w:tcW w:w="1395" w:type="dxa"/>
            <w:tcBorders>
              <w:bottom w:val="single" w:sz="6" w:space="0" w:color="000000"/>
              <w:right w:val="single" w:sz="6" w:space="0" w:color="000000"/>
            </w:tcBorders>
            <w:vAlign w:val="center"/>
          </w:tcPr>
          <w:p w14:paraId="25BA3A24" w14:textId="77777777" w:rsidR="007D706A" w:rsidRDefault="007D706A" w:rsidP="00F70508">
            <w:pPr>
              <w:pStyle w:val="ParagraphStyle6"/>
              <w:rPr>
                <w:rStyle w:val="CharacterStyle6"/>
              </w:rPr>
            </w:pPr>
            <w:r>
              <w:rPr>
                <w:rStyle w:val="CharacterStyle6"/>
              </w:rPr>
              <w:t>15.445,00</w:t>
            </w:r>
          </w:p>
        </w:tc>
        <w:tc>
          <w:tcPr>
            <w:tcW w:w="1395" w:type="dxa"/>
            <w:tcBorders>
              <w:bottom w:val="single" w:sz="6" w:space="0" w:color="000000"/>
              <w:right w:val="single" w:sz="6" w:space="0" w:color="000000"/>
            </w:tcBorders>
            <w:vAlign w:val="center"/>
          </w:tcPr>
          <w:p w14:paraId="74553CE9" w14:textId="77777777" w:rsidR="007D706A" w:rsidRDefault="007D706A" w:rsidP="00F70508">
            <w:pPr>
              <w:pStyle w:val="ParagraphStyle6"/>
              <w:rPr>
                <w:rStyle w:val="CharacterStyle6"/>
              </w:rPr>
            </w:pPr>
            <w:r>
              <w:rPr>
                <w:rStyle w:val="CharacterStyle6"/>
              </w:rPr>
              <w:t>15.599,00</w:t>
            </w:r>
          </w:p>
        </w:tc>
      </w:tr>
      <w:tr w:rsidR="007D706A" w14:paraId="05FCC96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C7323A8"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082BA1ED"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0CEFB5ED"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322FABF" w14:textId="77777777" w:rsidR="007D706A" w:rsidRDefault="007D706A" w:rsidP="00F70508">
            <w:pPr>
              <w:pStyle w:val="ParagraphStyle9"/>
              <w:rPr>
                <w:rStyle w:val="CharacterStyle9"/>
              </w:rPr>
            </w:pPr>
            <w:r>
              <w:rPr>
                <w:rStyle w:val="CharacterStyle9"/>
              </w:rPr>
              <w:t>7.800,00</w:t>
            </w:r>
          </w:p>
        </w:tc>
        <w:tc>
          <w:tcPr>
            <w:tcW w:w="1395" w:type="dxa"/>
            <w:tcBorders>
              <w:bottom w:val="single" w:sz="6" w:space="0" w:color="000000"/>
              <w:right w:val="single" w:sz="6" w:space="0" w:color="000000"/>
            </w:tcBorders>
            <w:vAlign w:val="center"/>
          </w:tcPr>
          <w:p w14:paraId="4FFA4D53" w14:textId="77777777" w:rsidR="007D706A" w:rsidRDefault="007D706A" w:rsidP="00F70508">
            <w:pPr>
              <w:pStyle w:val="ParagraphStyle9"/>
              <w:rPr>
                <w:rStyle w:val="CharacterStyle9"/>
              </w:rPr>
            </w:pPr>
            <w:r>
              <w:rPr>
                <w:rStyle w:val="CharacterStyle9"/>
              </w:rPr>
              <w:t>14.850,00</w:t>
            </w:r>
          </w:p>
        </w:tc>
        <w:tc>
          <w:tcPr>
            <w:tcW w:w="1395" w:type="dxa"/>
            <w:tcBorders>
              <w:bottom w:val="single" w:sz="6" w:space="0" w:color="000000"/>
              <w:right w:val="single" w:sz="6" w:space="0" w:color="000000"/>
            </w:tcBorders>
            <w:vAlign w:val="center"/>
          </w:tcPr>
          <w:p w14:paraId="50753E1F" w14:textId="77777777" w:rsidR="007D706A" w:rsidRDefault="007D706A" w:rsidP="00F70508">
            <w:pPr>
              <w:pStyle w:val="ParagraphStyle9"/>
              <w:rPr>
                <w:rStyle w:val="CharacterStyle9"/>
              </w:rPr>
            </w:pPr>
            <w:r>
              <w:rPr>
                <w:rStyle w:val="CharacterStyle9"/>
              </w:rPr>
              <w:t>15.445,00</w:t>
            </w:r>
          </w:p>
        </w:tc>
        <w:tc>
          <w:tcPr>
            <w:tcW w:w="1395" w:type="dxa"/>
            <w:tcBorders>
              <w:bottom w:val="single" w:sz="6" w:space="0" w:color="000000"/>
              <w:right w:val="single" w:sz="6" w:space="0" w:color="000000"/>
            </w:tcBorders>
            <w:vAlign w:val="center"/>
          </w:tcPr>
          <w:p w14:paraId="3CDD045A" w14:textId="77777777" w:rsidR="007D706A" w:rsidRDefault="007D706A" w:rsidP="00F70508">
            <w:pPr>
              <w:pStyle w:val="ParagraphStyle9"/>
              <w:rPr>
                <w:rStyle w:val="CharacterStyle9"/>
              </w:rPr>
            </w:pPr>
            <w:r>
              <w:rPr>
                <w:rStyle w:val="CharacterStyle9"/>
              </w:rPr>
              <w:t>15.599,00</w:t>
            </w:r>
          </w:p>
        </w:tc>
      </w:tr>
      <w:tr w:rsidR="007D706A" w14:paraId="16BA1CF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DC79D61"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7DED8314"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1BCA853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3662916" w14:textId="77777777" w:rsidR="007D706A" w:rsidRDefault="007D706A" w:rsidP="00F70508">
            <w:pPr>
              <w:pStyle w:val="ParagraphStyle12"/>
              <w:rPr>
                <w:rStyle w:val="CharacterStyle12"/>
              </w:rPr>
            </w:pPr>
            <w:r>
              <w:rPr>
                <w:rStyle w:val="CharacterStyle12"/>
              </w:rPr>
              <w:t>7.800,00</w:t>
            </w:r>
          </w:p>
        </w:tc>
        <w:tc>
          <w:tcPr>
            <w:tcW w:w="1395" w:type="dxa"/>
            <w:tcBorders>
              <w:bottom w:val="single" w:sz="6" w:space="0" w:color="000000"/>
              <w:right w:val="single" w:sz="6" w:space="0" w:color="000000"/>
            </w:tcBorders>
            <w:vAlign w:val="center"/>
          </w:tcPr>
          <w:p w14:paraId="4143061C" w14:textId="77777777" w:rsidR="007D706A" w:rsidRDefault="007D706A" w:rsidP="00F70508">
            <w:pPr>
              <w:pStyle w:val="ParagraphStyle12"/>
              <w:rPr>
                <w:rStyle w:val="CharacterStyle12"/>
              </w:rPr>
            </w:pPr>
            <w:r>
              <w:rPr>
                <w:rStyle w:val="CharacterStyle12"/>
              </w:rPr>
              <w:t>14.850,00</w:t>
            </w:r>
          </w:p>
        </w:tc>
        <w:tc>
          <w:tcPr>
            <w:tcW w:w="1395" w:type="dxa"/>
            <w:tcBorders>
              <w:bottom w:val="single" w:sz="6" w:space="0" w:color="000000"/>
              <w:right w:val="single" w:sz="6" w:space="0" w:color="000000"/>
            </w:tcBorders>
            <w:vAlign w:val="center"/>
          </w:tcPr>
          <w:p w14:paraId="434E4733" w14:textId="77777777" w:rsidR="007D706A" w:rsidRDefault="007D706A" w:rsidP="00F70508">
            <w:pPr>
              <w:pStyle w:val="ParagraphStyle12"/>
              <w:rPr>
                <w:rStyle w:val="CharacterStyle12"/>
              </w:rPr>
            </w:pPr>
            <w:r>
              <w:rPr>
                <w:rStyle w:val="CharacterStyle12"/>
              </w:rPr>
              <w:t>15.445,00</w:t>
            </w:r>
          </w:p>
        </w:tc>
        <w:tc>
          <w:tcPr>
            <w:tcW w:w="1395" w:type="dxa"/>
            <w:tcBorders>
              <w:bottom w:val="single" w:sz="6" w:space="0" w:color="000000"/>
              <w:right w:val="single" w:sz="6" w:space="0" w:color="000000"/>
            </w:tcBorders>
            <w:vAlign w:val="center"/>
          </w:tcPr>
          <w:p w14:paraId="2D0E4000" w14:textId="77777777" w:rsidR="007D706A" w:rsidRDefault="007D706A" w:rsidP="00F70508">
            <w:pPr>
              <w:pStyle w:val="ParagraphStyle12"/>
              <w:rPr>
                <w:rStyle w:val="CharacterStyle12"/>
              </w:rPr>
            </w:pPr>
            <w:r>
              <w:rPr>
                <w:rStyle w:val="CharacterStyle12"/>
              </w:rPr>
              <w:t>15.599,00</w:t>
            </w:r>
          </w:p>
        </w:tc>
      </w:tr>
      <w:tr w:rsidR="007D706A" w14:paraId="798BCCF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CF6D958" w14:textId="77777777" w:rsidR="007D706A" w:rsidRDefault="007D706A" w:rsidP="00F70508">
            <w:pPr>
              <w:pStyle w:val="ParagraphStyle10"/>
              <w:rPr>
                <w:rStyle w:val="CharacterStyle10"/>
              </w:rPr>
            </w:pPr>
            <w:r>
              <w:rPr>
                <w:rStyle w:val="CharacterStyle10"/>
              </w:rPr>
              <w:t>31</w:t>
            </w:r>
          </w:p>
        </w:tc>
        <w:tc>
          <w:tcPr>
            <w:tcW w:w="4995" w:type="dxa"/>
            <w:tcBorders>
              <w:bottom w:val="single" w:sz="6" w:space="0" w:color="000000"/>
              <w:right w:val="single" w:sz="6" w:space="0" w:color="000000"/>
            </w:tcBorders>
            <w:vAlign w:val="center"/>
          </w:tcPr>
          <w:p w14:paraId="24FCF118" w14:textId="77777777" w:rsidR="007D706A" w:rsidRDefault="007D706A" w:rsidP="00F70508">
            <w:pPr>
              <w:pStyle w:val="ParagraphStyle11"/>
              <w:rPr>
                <w:rStyle w:val="CharacterStyle11"/>
              </w:rPr>
            </w:pPr>
            <w:r>
              <w:rPr>
                <w:rStyle w:val="CharacterStyle11"/>
              </w:rPr>
              <w:t>Rashodi za zaposlene</w:t>
            </w:r>
          </w:p>
        </w:tc>
        <w:tc>
          <w:tcPr>
            <w:tcW w:w="1395" w:type="dxa"/>
            <w:tcBorders>
              <w:bottom w:val="single" w:sz="6" w:space="0" w:color="000000"/>
              <w:right w:val="single" w:sz="6" w:space="0" w:color="000000"/>
            </w:tcBorders>
            <w:vAlign w:val="center"/>
          </w:tcPr>
          <w:p w14:paraId="16B9DD6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36F1D97" w14:textId="77777777" w:rsidR="007D706A" w:rsidRDefault="007D706A" w:rsidP="00F70508">
            <w:pPr>
              <w:pStyle w:val="ParagraphStyle12"/>
              <w:rPr>
                <w:rStyle w:val="CharacterStyle12"/>
              </w:rPr>
            </w:pPr>
            <w:r>
              <w:rPr>
                <w:rStyle w:val="CharacterStyle12"/>
              </w:rPr>
              <w:t>7.800,00</w:t>
            </w:r>
          </w:p>
        </w:tc>
        <w:tc>
          <w:tcPr>
            <w:tcW w:w="1395" w:type="dxa"/>
            <w:tcBorders>
              <w:bottom w:val="single" w:sz="6" w:space="0" w:color="000000"/>
              <w:right w:val="single" w:sz="6" w:space="0" w:color="000000"/>
            </w:tcBorders>
            <w:vAlign w:val="center"/>
          </w:tcPr>
          <w:p w14:paraId="08CF2903" w14:textId="77777777" w:rsidR="007D706A" w:rsidRDefault="007D706A" w:rsidP="00F70508">
            <w:pPr>
              <w:pStyle w:val="ParagraphStyle12"/>
              <w:rPr>
                <w:rStyle w:val="CharacterStyle12"/>
              </w:rPr>
            </w:pPr>
            <w:r>
              <w:rPr>
                <w:rStyle w:val="CharacterStyle12"/>
              </w:rPr>
              <w:t>14.850,00</w:t>
            </w:r>
          </w:p>
        </w:tc>
        <w:tc>
          <w:tcPr>
            <w:tcW w:w="1395" w:type="dxa"/>
            <w:tcBorders>
              <w:bottom w:val="single" w:sz="6" w:space="0" w:color="000000"/>
              <w:right w:val="single" w:sz="6" w:space="0" w:color="000000"/>
            </w:tcBorders>
            <w:vAlign w:val="center"/>
          </w:tcPr>
          <w:p w14:paraId="0E651503" w14:textId="77777777" w:rsidR="007D706A" w:rsidRDefault="007D706A" w:rsidP="00F70508">
            <w:pPr>
              <w:pStyle w:val="ParagraphStyle12"/>
              <w:rPr>
                <w:rStyle w:val="CharacterStyle12"/>
              </w:rPr>
            </w:pPr>
            <w:r>
              <w:rPr>
                <w:rStyle w:val="CharacterStyle12"/>
              </w:rPr>
              <w:t>15.445,00</w:t>
            </w:r>
          </w:p>
        </w:tc>
        <w:tc>
          <w:tcPr>
            <w:tcW w:w="1395" w:type="dxa"/>
            <w:tcBorders>
              <w:bottom w:val="single" w:sz="6" w:space="0" w:color="000000"/>
              <w:right w:val="single" w:sz="6" w:space="0" w:color="000000"/>
            </w:tcBorders>
            <w:vAlign w:val="center"/>
          </w:tcPr>
          <w:p w14:paraId="56E3BB0D" w14:textId="77777777" w:rsidR="007D706A" w:rsidRDefault="007D706A" w:rsidP="00F70508">
            <w:pPr>
              <w:pStyle w:val="ParagraphStyle12"/>
              <w:rPr>
                <w:rStyle w:val="CharacterStyle12"/>
              </w:rPr>
            </w:pPr>
            <w:r>
              <w:rPr>
                <w:rStyle w:val="CharacterStyle12"/>
              </w:rPr>
              <w:t>15.599,00</w:t>
            </w:r>
          </w:p>
        </w:tc>
      </w:tr>
      <w:tr w:rsidR="007D706A" w14:paraId="677941A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34236FC" w14:textId="77777777" w:rsidR="007D706A" w:rsidRDefault="007D706A" w:rsidP="00F70508">
            <w:pPr>
              <w:pStyle w:val="ParagraphStyle4"/>
              <w:rPr>
                <w:rStyle w:val="CharacterStyle4"/>
              </w:rPr>
            </w:pPr>
            <w:r>
              <w:rPr>
                <w:rStyle w:val="CharacterStyle4"/>
              </w:rPr>
              <w:t>Aktivnost A103604</w:t>
            </w:r>
          </w:p>
        </w:tc>
        <w:tc>
          <w:tcPr>
            <w:tcW w:w="4995" w:type="dxa"/>
            <w:tcBorders>
              <w:bottom w:val="single" w:sz="6" w:space="0" w:color="000000"/>
              <w:right w:val="single" w:sz="6" w:space="0" w:color="000000"/>
            </w:tcBorders>
            <w:vAlign w:val="center"/>
          </w:tcPr>
          <w:p w14:paraId="1E4417B9" w14:textId="77777777" w:rsidR="007D706A" w:rsidRDefault="007D706A" w:rsidP="00F70508">
            <w:pPr>
              <w:pStyle w:val="ParagraphStyle5"/>
              <w:rPr>
                <w:rStyle w:val="CharacterStyle5"/>
              </w:rPr>
            </w:pPr>
            <w:r>
              <w:rPr>
                <w:rStyle w:val="CharacterStyle5"/>
              </w:rPr>
              <w:t>ŠKOLSKI ODBOR</w:t>
            </w:r>
          </w:p>
        </w:tc>
        <w:tc>
          <w:tcPr>
            <w:tcW w:w="1395" w:type="dxa"/>
            <w:tcBorders>
              <w:bottom w:val="single" w:sz="6" w:space="0" w:color="000000"/>
              <w:right w:val="single" w:sz="6" w:space="0" w:color="000000"/>
            </w:tcBorders>
            <w:vAlign w:val="center"/>
          </w:tcPr>
          <w:p w14:paraId="354ED433"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2C2F77A7" w14:textId="77777777" w:rsidR="007D706A" w:rsidRDefault="007D706A" w:rsidP="00F70508">
            <w:pPr>
              <w:pStyle w:val="ParagraphStyle6"/>
              <w:rPr>
                <w:rStyle w:val="CharacterStyle6"/>
              </w:rPr>
            </w:pPr>
            <w:r>
              <w:rPr>
                <w:rStyle w:val="CharacterStyle6"/>
              </w:rPr>
              <w:t>2.000,00</w:t>
            </w:r>
          </w:p>
        </w:tc>
        <w:tc>
          <w:tcPr>
            <w:tcW w:w="1395" w:type="dxa"/>
            <w:tcBorders>
              <w:bottom w:val="single" w:sz="6" w:space="0" w:color="000000"/>
              <w:right w:val="single" w:sz="6" w:space="0" w:color="000000"/>
            </w:tcBorders>
            <w:vAlign w:val="center"/>
          </w:tcPr>
          <w:p w14:paraId="340E1451" w14:textId="77777777" w:rsidR="007D706A" w:rsidRDefault="007D706A" w:rsidP="00F70508">
            <w:pPr>
              <w:pStyle w:val="ParagraphStyle6"/>
              <w:rPr>
                <w:rStyle w:val="CharacterStyle6"/>
              </w:rPr>
            </w:pPr>
            <w:r>
              <w:rPr>
                <w:rStyle w:val="CharacterStyle6"/>
              </w:rPr>
              <w:t>2.000,00</w:t>
            </w:r>
          </w:p>
        </w:tc>
        <w:tc>
          <w:tcPr>
            <w:tcW w:w="1395" w:type="dxa"/>
            <w:tcBorders>
              <w:bottom w:val="single" w:sz="6" w:space="0" w:color="000000"/>
              <w:right w:val="single" w:sz="6" w:space="0" w:color="000000"/>
            </w:tcBorders>
            <w:vAlign w:val="center"/>
          </w:tcPr>
          <w:p w14:paraId="1B2E2851" w14:textId="77777777" w:rsidR="007D706A" w:rsidRDefault="007D706A" w:rsidP="00F70508">
            <w:pPr>
              <w:pStyle w:val="ParagraphStyle6"/>
              <w:rPr>
                <w:rStyle w:val="CharacterStyle6"/>
              </w:rPr>
            </w:pPr>
            <w:r>
              <w:rPr>
                <w:rStyle w:val="CharacterStyle6"/>
              </w:rPr>
              <w:t>2.080,00</w:t>
            </w:r>
          </w:p>
        </w:tc>
        <w:tc>
          <w:tcPr>
            <w:tcW w:w="1395" w:type="dxa"/>
            <w:tcBorders>
              <w:bottom w:val="single" w:sz="6" w:space="0" w:color="000000"/>
              <w:right w:val="single" w:sz="6" w:space="0" w:color="000000"/>
            </w:tcBorders>
            <w:vAlign w:val="center"/>
          </w:tcPr>
          <w:p w14:paraId="54CD6A71" w14:textId="77777777" w:rsidR="007D706A" w:rsidRDefault="007D706A" w:rsidP="00F70508">
            <w:pPr>
              <w:pStyle w:val="ParagraphStyle6"/>
              <w:rPr>
                <w:rStyle w:val="CharacterStyle6"/>
              </w:rPr>
            </w:pPr>
            <w:r>
              <w:rPr>
                <w:rStyle w:val="CharacterStyle6"/>
              </w:rPr>
              <w:t>2.100,00</w:t>
            </w:r>
          </w:p>
        </w:tc>
      </w:tr>
      <w:tr w:rsidR="007D706A" w14:paraId="5311FC4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1D94E69"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78A1CD56"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724F491C"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6B4B486" w14:textId="77777777" w:rsidR="007D706A" w:rsidRDefault="007D706A" w:rsidP="00F70508">
            <w:pPr>
              <w:pStyle w:val="ParagraphStyle9"/>
              <w:rPr>
                <w:rStyle w:val="CharacterStyle9"/>
              </w:rPr>
            </w:pPr>
            <w:r>
              <w:rPr>
                <w:rStyle w:val="CharacterStyle9"/>
              </w:rPr>
              <w:t>2.000,00</w:t>
            </w:r>
          </w:p>
        </w:tc>
        <w:tc>
          <w:tcPr>
            <w:tcW w:w="1395" w:type="dxa"/>
            <w:tcBorders>
              <w:bottom w:val="single" w:sz="6" w:space="0" w:color="000000"/>
              <w:right w:val="single" w:sz="6" w:space="0" w:color="000000"/>
            </w:tcBorders>
            <w:vAlign w:val="center"/>
          </w:tcPr>
          <w:p w14:paraId="3D7E7489" w14:textId="77777777" w:rsidR="007D706A" w:rsidRDefault="007D706A" w:rsidP="00F70508">
            <w:pPr>
              <w:pStyle w:val="ParagraphStyle9"/>
              <w:rPr>
                <w:rStyle w:val="CharacterStyle9"/>
              </w:rPr>
            </w:pPr>
            <w:r>
              <w:rPr>
                <w:rStyle w:val="CharacterStyle9"/>
              </w:rPr>
              <w:t>2.000,00</w:t>
            </w:r>
          </w:p>
        </w:tc>
        <w:tc>
          <w:tcPr>
            <w:tcW w:w="1395" w:type="dxa"/>
            <w:tcBorders>
              <w:bottom w:val="single" w:sz="6" w:space="0" w:color="000000"/>
              <w:right w:val="single" w:sz="6" w:space="0" w:color="000000"/>
            </w:tcBorders>
            <w:vAlign w:val="center"/>
          </w:tcPr>
          <w:p w14:paraId="37498F46" w14:textId="77777777" w:rsidR="007D706A" w:rsidRDefault="007D706A" w:rsidP="00F70508">
            <w:pPr>
              <w:pStyle w:val="ParagraphStyle9"/>
              <w:rPr>
                <w:rStyle w:val="CharacterStyle9"/>
              </w:rPr>
            </w:pPr>
            <w:r>
              <w:rPr>
                <w:rStyle w:val="CharacterStyle9"/>
              </w:rPr>
              <w:t>2.080,00</w:t>
            </w:r>
          </w:p>
        </w:tc>
        <w:tc>
          <w:tcPr>
            <w:tcW w:w="1395" w:type="dxa"/>
            <w:tcBorders>
              <w:bottom w:val="single" w:sz="6" w:space="0" w:color="000000"/>
              <w:right w:val="single" w:sz="6" w:space="0" w:color="000000"/>
            </w:tcBorders>
            <w:vAlign w:val="center"/>
          </w:tcPr>
          <w:p w14:paraId="1C0A52AA" w14:textId="77777777" w:rsidR="007D706A" w:rsidRDefault="007D706A" w:rsidP="00F70508">
            <w:pPr>
              <w:pStyle w:val="ParagraphStyle9"/>
              <w:rPr>
                <w:rStyle w:val="CharacterStyle9"/>
              </w:rPr>
            </w:pPr>
            <w:r>
              <w:rPr>
                <w:rStyle w:val="CharacterStyle9"/>
              </w:rPr>
              <w:t>2.100,00</w:t>
            </w:r>
          </w:p>
        </w:tc>
      </w:tr>
      <w:tr w:rsidR="007D706A" w14:paraId="73B6A60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40721CD"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50A8ADA8"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721AED5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E10A869" w14:textId="77777777" w:rsidR="007D706A" w:rsidRDefault="007D706A" w:rsidP="00F70508">
            <w:pPr>
              <w:pStyle w:val="ParagraphStyle12"/>
              <w:rPr>
                <w:rStyle w:val="CharacterStyle12"/>
              </w:rPr>
            </w:pPr>
            <w:r>
              <w:rPr>
                <w:rStyle w:val="CharacterStyle12"/>
              </w:rPr>
              <w:t>2.000,00</w:t>
            </w:r>
          </w:p>
        </w:tc>
        <w:tc>
          <w:tcPr>
            <w:tcW w:w="1395" w:type="dxa"/>
            <w:tcBorders>
              <w:bottom w:val="single" w:sz="6" w:space="0" w:color="000000"/>
              <w:right w:val="single" w:sz="6" w:space="0" w:color="000000"/>
            </w:tcBorders>
            <w:vAlign w:val="center"/>
          </w:tcPr>
          <w:p w14:paraId="30196A6F" w14:textId="77777777" w:rsidR="007D706A" w:rsidRDefault="007D706A" w:rsidP="00F70508">
            <w:pPr>
              <w:pStyle w:val="ParagraphStyle12"/>
              <w:rPr>
                <w:rStyle w:val="CharacterStyle12"/>
              </w:rPr>
            </w:pPr>
            <w:r>
              <w:rPr>
                <w:rStyle w:val="CharacterStyle12"/>
              </w:rPr>
              <w:t>2.000,00</w:t>
            </w:r>
          </w:p>
        </w:tc>
        <w:tc>
          <w:tcPr>
            <w:tcW w:w="1395" w:type="dxa"/>
            <w:tcBorders>
              <w:bottom w:val="single" w:sz="6" w:space="0" w:color="000000"/>
              <w:right w:val="single" w:sz="6" w:space="0" w:color="000000"/>
            </w:tcBorders>
            <w:vAlign w:val="center"/>
          </w:tcPr>
          <w:p w14:paraId="5A14F732" w14:textId="77777777" w:rsidR="007D706A" w:rsidRDefault="007D706A" w:rsidP="00F70508">
            <w:pPr>
              <w:pStyle w:val="ParagraphStyle12"/>
              <w:rPr>
                <w:rStyle w:val="CharacterStyle12"/>
              </w:rPr>
            </w:pPr>
            <w:r>
              <w:rPr>
                <w:rStyle w:val="CharacterStyle12"/>
              </w:rPr>
              <w:t>2.080,00</w:t>
            </w:r>
          </w:p>
        </w:tc>
        <w:tc>
          <w:tcPr>
            <w:tcW w:w="1395" w:type="dxa"/>
            <w:tcBorders>
              <w:bottom w:val="single" w:sz="6" w:space="0" w:color="000000"/>
              <w:right w:val="single" w:sz="6" w:space="0" w:color="000000"/>
            </w:tcBorders>
            <w:vAlign w:val="center"/>
          </w:tcPr>
          <w:p w14:paraId="715C0EF4" w14:textId="77777777" w:rsidR="007D706A" w:rsidRDefault="007D706A" w:rsidP="00F70508">
            <w:pPr>
              <w:pStyle w:val="ParagraphStyle12"/>
              <w:rPr>
                <w:rStyle w:val="CharacterStyle12"/>
              </w:rPr>
            </w:pPr>
            <w:r>
              <w:rPr>
                <w:rStyle w:val="CharacterStyle12"/>
              </w:rPr>
              <w:t>2.100,00</w:t>
            </w:r>
          </w:p>
        </w:tc>
      </w:tr>
      <w:tr w:rsidR="007D706A" w14:paraId="7620816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10BDF90"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7F8C77BE"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4ADAAB7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1F09606" w14:textId="77777777" w:rsidR="007D706A" w:rsidRDefault="007D706A" w:rsidP="00F70508">
            <w:pPr>
              <w:pStyle w:val="ParagraphStyle12"/>
              <w:rPr>
                <w:rStyle w:val="CharacterStyle12"/>
              </w:rPr>
            </w:pPr>
            <w:r>
              <w:rPr>
                <w:rStyle w:val="CharacterStyle12"/>
              </w:rPr>
              <w:t>2.000,00</w:t>
            </w:r>
          </w:p>
        </w:tc>
        <w:tc>
          <w:tcPr>
            <w:tcW w:w="1395" w:type="dxa"/>
            <w:tcBorders>
              <w:bottom w:val="single" w:sz="6" w:space="0" w:color="000000"/>
              <w:right w:val="single" w:sz="6" w:space="0" w:color="000000"/>
            </w:tcBorders>
            <w:vAlign w:val="center"/>
          </w:tcPr>
          <w:p w14:paraId="45B83AF2" w14:textId="77777777" w:rsidR="007D706A" w:rsidRDefault="007D706A" w:rsidP="00F70508">
            <w:pPr>
              <w:pStyle w:val="ParagraphStyle12"/>
              <w:rPr>
                <w:rStyle w:val="CharacterStyle12"/>
              </w:rPr>
            </w:pPr>
            <w:r>
              <w:rPr>
                <w:rStyle w:val="CharacterStyle12"/>
              </w:rPr>
              <w:t>2.000,00</w:t>
            </w:r>
          </w:p>
        </w:tc>
        <w:tc>
          <w:tcPr>
            <w:tcW w:w="1395" w:type="dxa"/>
            <w:tcBorders>
              <w:bottom w:val="single" w:sz="6" w:space="0" w:color="000000"/>
              <w:right w:val="single" w:sz="6" w:space="0" w:color="000000"/>
            </w:tcBorders>
            <w:vAlign w:val="center"/>
          </w:tcPr>
          <w:p w14:paraId="47BA3CCA" w14:textId="77777777" w:rsidR="007D706A" w:rsidRDefault="007D706A" w:rsidP="00F70508">
            <w:pPr>
              <w:pStyle w:val="ParagraphStyle12"/>
              <w:rPr>
                <w:rStyle w:val="CharacterStyle12"/>
              </w:rPr>
            </w:pPr>
            <w:r>
              <w:rPr>
                <w:rStyle w:val="CharacterStyle12"/>
              </w:rPr>
              <w:t>2.080,00</w:t>
            </w:r>
          </w:p>
        </w:tc>
        <w:tc>
          <w:tcPr>
            <w:tcW w:w="1395" w:type="dxa"/>
            <w:tcBorders>
              <w:bottom w:val="single" w:sz="6" w:space="0" w:color="000000"/>
              <w:right w:val="single" w:sz="6" w:space="0" w:color="000000"/>
            </w:tcBorders>
            <w:vAlign w:val="center"/>
          </w:tcPr>
          <w:p w14:paraId="4EBAFA48" w14:textId="77777777" w:rsidR="007D706A" w:rsidRDefault="007D706A" w:rsidP="00F70508">
            <w:pPr>
              <w:pStyle w:val="ParagraphStyle12"/>
              <w:rPr>
                <w:rStyle w:val="CharacterStyle12"/>
              </w:rPr>
            </w:pPr>
            <w:r>
              <w:rPr>
                <w:rStyle w:val="CharacterStyle12"/>
              </w:rPr>
              <w:t>2.100,00</w:t>
            </w:r>
          </w:p>
        </w:tc>
      </w:tr>
      <w:tr w:rsidR="007D706A" w14:paraId="6FFD135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81075A6" w14:textId="77777777" w:rsidR="007D706A" w:rsidRDefault="007D706A" w:rsidP="00F70508">
            <w:pPr>
              <w:pStyle w:val="ParagraphStyle4"/>
              <w:rPr>
                <w:rStyle w:val="CharacterStyle4"/>
              </w:rPr>
            </w:pPr>
            <w:r>
              <w:rPr>
                <w:rStyle w:val="CharacterStyle4"/>
              </w:rPr>
              <w:t>Aktivnost A103605</w:t>
            </w:r>
          </w:p>
        </w:tc>
        <w:tc>
          <w:tcPr>
            <w:tcW w:w="4995" w:type="dxa"/>
            <w:tcBorders>
              <w:bottom w:val="single" w:sz="6" w:space="0" w:color="000000"/>
              <w:right w:val="single" w:sz="6" w:space="0" w:color="000000"/>
            </w:tcBorders>
            <w:vAlign w:val="center"/>
          </w:tcPr>
          <w:p w14:paraId="0A7E549F" w14:textId="77777777" w:rsidR="007D706A" w:rsidRDefault="007D706A" w:rsidP="00F70508">
            <w:pPr>
              <w:pStyle w:val="ParagraphStyle5"/>
              <w:rPr>
                <w:rStyle w:val="CharacterStyle5"/>
              </w:rPr>
            </w:pPr>
            <w:r>
              <w:rPr>
                <w:rStyle w:val="CharacterStyle5"/>
              </w:rPr>
              <w:t>PROGRAMI I AKTIVNOSTI ŠKOLE</w:t>
            </w:r>
          </w:p>
        </w:tc>
        <w:tc>
          <w:tcPr>
            <w:tcW w:w="1395" w:type="dxa"/>
            <w:tcBorders>
              <w:bottom w:val="single" w:sz="6" w:space="0" w:color="000000"/>
              <w:right w:val="single" w:sz="6" w:space="0" w:color="000000"/>
            </w:tcBorders>
            <w:vAlign w:val="center"/>
          </w:tcPr>
          <w:p w14:paraId="2B812025"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13BAF0C1" w14:textId="77777777" w:rsidR="007D706A" w:rsidRDefault="007D706A" w:rsidP="00F70508">
            <w:pPr>
              <w:pStyle w:val="ParagraphStyle6"/>
              <w:rPr>
                <w:rStyle w:val="CharacterStyle6"/>
              </w:rPr>
            </w:pPr>
            <w:r>
              <w:rPr>
                <w:rStyle w:val="CharacterStyle6"/>
              </w:rPr>
              <w:t>65.250,00</w:t>
            </w:r>
          </w:p>
        </w:tc>
        <w:tc>
          <w:tcPr>
            <w:tcW w:w="1395" w:type="dxa"/>
            <w:tcBorders>
              <w:bottom w:val="single" w:sz="6" w:space="0" w:color="000000"/>
              <w:right w:val="single" w:sz="6" w:space="0" w:color="000000"/>
            </w:tcBorders>
            <w:vAlign w:val="center"/>
          </w:tcPr>
          <w:p w14:paraId="05B2D044" w14:textId="77777777" w:rsidR="007D706A" w:rsidRDefault="007D706A" w:rsidP="00F70508">
            <w:pPr>
              <w:pStyle w:val="ParagraphStyle6"/>
              <w:rPr>
                <w:rStyle w:val="CharacterStyle6"/>
              </w:rPr>
            </w:pPr>
            <w:r>
              <w:rPr>
                <w:rStyle w:val="CharacterStyle6"/>
              </w:rPr>
              <w:t>60.750,00</w:t>
            </w:r>
          </w:p>
        </w:tc>
        <w:tc>
          <w:tcPr>
            <w:tcW w:w="1395" w:type="dxa"/>
            <w:tcBorders>
              <w:bottom w:val="single" w:sz="6" w:space="0" w:color="000000"/>
              <w:right w:val="single" w:sz="6" w:space="0" w:color="000000"/>
            </w:tcBorders>
            <w:vAlign w:val="center"/>
          </w:tcPr>
          <w:p w14:paraId="37EC845D" w14:textId="77777777" w:rsidR="007D706A" w:rsidRDefault="007D706A" w:rsidP="00F70508">
            <w:pPr>
              <w:pStyle w:val="ParagraphStyle6"/>
              <w:rPr>
                <w:rStyle w:val="CharacterStyle6"/>
              </w:rPr>
            </w:pPr>
            <w:r>
              <w:rPr>
                <w:rStyle w:val="CharacterStyle6"/>
              </w:rPr>
              <w:t>61.100,00</w:t>
            </w:r>
          </w:p>
        </w:tc>
        <w:tc>
          <w:tcPr>
            <w:tcW w:w="1395" w:type="dxa"/>
            <w:tcBorders>
              <w:bottom w:val="single" w:sz="6" w:space="0" w:color="000000"/>
              <w:right w:val="single" w:sz="6" w:space="0" w:color="000000"/>
            </w:tcBorders>
            <w:vAlign w:val="center"/>
          </w:tcPr>
          <w:p w14:paraId="079EBE74" w14:textId="77777777" w:rsidR="007D706A" w:rsidRDefault="007D706A" w:rsidP="00F70508">
            <w:pPr>
              <w:pStyle w:val="ParagraphStyle6"/>
              <w:rPr>
                <w:rStyle w:val="CharacterStyle6"/>
              </w:rPr>
            </w:pPr>
            <w:r>
              <w:rPr>
                <w:rStyle w:val="CharacterStyle6"/>
              </w:rPr>
              <w:t>61.712,00</w:t>
            </w:r>
          </w:p>
        </w:tc>
      </w:tr>
      <w:tr w:rsidR="007D706A" w14:paraId="3CCB63C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ADD1C4B"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6F9361F4"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0421BF63"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DB7E241" w14:textId="77777777" w:rsidR="007D706A" w:rsidRDefault="007D706A" w:rsidP="00F70508">
            <w:pPr>
              <w:pStyle w:val="ParagraphStyle9"/>
              <w:rPr>
                <w:rStyle w:val="CharacterStyle9"/>
              </w:rPr>
            </w:pPr>
            <w:r>
              <w:rPr>
                <w:rStyle w:val="CharacterStyle9"/>
              </w:rPr>
              <w:t>2.000,00</w:t>
            </w:r>
          </w:p>
        </w:tc>
        <w:tc>
          <w:tcPr>
            <w:tcW w:w="1395" w:type="dxa"/>
            <w:tcBorders>
              <w:bottom w:val="single" w:sz="6" w:space="0" w:color="000000"/>
              <w:right w:val="single" w:sz="6" w:space="0" w:color="000000"/>
            </w:tcBorders>
            <w:vAlign w:val="center"/>
          </w:tcPr>
          <w:p w14:paraId="326F8E50" w14:textId="77777777" w:rsidR="007D706A" w:rsidRDefault="007D706A" w:rsidP="00F70508">
            <w:pPr>
              <w:pStyle w:val="ParagraphStyle9"/>
              <w:rPr>
                <w:rStyle w:val="CharacterStyle9"/>
              </w:rPr>
            </w:pPr>
            <w:r>
              <w:rPr>
                <w:rStyle w:val="CharacterStyle9"/>
              </w:rPr>
              <w:t>3.500,00</w:t>
            </w:r>
          </w:p>
        </w:tc>
        <w:tc>
          <w:tcPr>
            <w:tcW w:w="1395" w:type="dxa"/>
            <w:tcBorders>
              <w:bottom w:val="single" w:sz="6" w:space="0" w:color="000000"/>
              <w:right w:val="single" w:sz="6" w:space="0" w:color="000000"/>
            </w:tcBorders>
            <w:vAlign w:val="center"/>
          </w:tcPr>
          <w:p w14:paraId="7CB35D77" w14:textId="77777777" w:rsidR="007D706A" w:rsidRDefault="007D706A" w:rsidP="00F70508">
            <w:pPr>
              <w:pStyle w:val="ParagraphStyle9"/>
              <w:rPr>
                <w:rStyle w:val="CharacterStyle9"/>
              </w:rPr>
            </w:pPr>
            <w:r>
              <w:rPr>
                <w:rStyle w:val="CharacterStyle9"/>
              </w:rPr>
              <w:t>3.640,00</w:t>
            </w:r>
          </w:p>
        </w:tc>
        <w:tc>
          <w:tcPr>
            <w:tcW w:w="1395" w:type="dxa"/>
            <w:tcBorders>
              <w:bottom w:val="single" w:sz="6" w:space="0" w:color="000000"/>
              <w:right w:val="single" w:sz="6" w:space="0" w:color="000000"/>
            </w:tcBorders>
            <w:vAlign w:val="center"/>
          </w:tcPr>
          <w:p w14:paraId="0815863C" w14:textId="77777777" w:rsidR="007D706A" w:rsidRDefault="007D706A" w:rsidP="00F70508">
            <w:pPr>
              <w:pStyle w:val="ParagraphStyle9"/>
              <w:rPr>
                <w:rStyle w:val="CharacterStyle9"/>
              </w:rPr>
            </w:pPr>
            <w:r>
              <w:rPr>
                <w:rStyle w:val="CharacterStyle9"/>
              </w:rPr>
              <w:t>3.676,00</w:t>
            </w:r>
          </w:p>
        </w:tc>
      </w:tr>
      <w:tr w:rsidR="007D706A" w14:paraId="05F4C9A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1BF4A57"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0293DA47"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7D29942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F24BAFD" w14:textId="77777777" w:rsidR="007D706A" w:rsidRDefault="007D706A" w:rsidP="00F70508">
            <w:pPr>
              <w:pStyle w:val="ParagraphStyle12"/>
              <w:rPr>
                <w:rStyle w:val="CharacterStyle12"/>
              </w:rPr>
            </w:pPr>
            <w:r>
              <w:rPr>
                <w:rStyle w:val="CharacterStyle12"/>
              </w:rPr>
              <w:t>2.000,00</w:t>
            </w:r>
          </w:p>
        </w:tc>
        <w:tc>
          <w:tcPr>
            <w:tcW w:w="1395" w:type="dxa"/>
            <w:tcBorders>
              <w:bottom w:val="single" w:sz="6" w:space="0" w:color="000000"/>
              <w:right w:val="single" w:sz="6" w:space="0" w:color="000000"/>
            </w:tcBorders>
            <w:vAlign w:val="center"/>
          </w:tcPr>
          <w:p w14:paraId="7F265632" w14:textId="77777777" w:rsidR="007D706A" w:rsidRDefault="007D706A" w:rsidP="00F70508">
            <w:pPr>
              <w:pStyle w:val="ParagraphStyle12"/>
              <w:rPr>
                <w:rStyle w:val="CharacterStyle12"/>
              </w:rPr>
            </w:pPr>
            <w:r>
              <w:rPr>
                <w:rStyle w:val="CharacterStyle12"/>
              </w:rPr>
              <w:t>3.500,00</w:t>
            </w:r>
          </w:p>
        </w:tc>
        <w:tc>
          <w:tcPr>
            <w:tcW w:w="1395" w:type="dxa"/>
            <w:tcBorders>
              <w:bottom w:val="single" w:sz="6" w:space="0" w:color="000000"/>
              <w:right w:val="single" w:sz="6" w:space="0" w:color="000000"/>
            </w:tcBorders>
            <w:vAlign w:val="center"/>
          </w:tcPr>
          <w:p w14:paraId="7CC5B7A4" w14:textId="77777777" w:rsidR="007D706A" w:rsidRDefault="007D706A" w:rsidP="00F70508">
            <w:pPr>
              <w:pStyle w:val="ParagraphStyle12"/>
              <w:rPr>
                <w:rStyle w:val="CharacterStyle12"/>
              </w:rPr>
            </w:pPr>
            <w:r>
              <w:rPr>
                <w:rStyle w:val="CharacterStyle12"/>
              </w:rPr>
              <w:t>3.640,00</w:t>
            </w:r>
          </w:p>
        </w:tc>
        <w:tc>
          <w:tcPr>
            <w:tcW w:w="1395" w:type="dxa"/>
            <w:tcBorders>
              <w:bottom w:val="single" w:sz="6" w:space="0" w:color="000000"/>
              <w:right w:val="single" w:sz="6" w:space="0" w:color="000000"/>
            </w:tcBorders>
            <w:vAlign w:val="center"/>
          </w:tcPr>
          <w:p w14:paraId="48231BF8" w14:textId="77777777" w:rsidR="007D706A" w:rsidRDefault="007D706A" w:rsidP="00F70508">
            <w:pPr>
              <w:pStyle w:val="ParagraphStyle12"/>
              <w:rPr>
                <w:rStyle w:val="CharacterStyle12"/>
              </w:rPr>
            </w:pPr>
            <w:r>
              <w:rPr>
                <w:rStyle w:val="CharacterStyle12"/>
              </w:rPr>
              <w:t>3.676,00</w:t>
            </w:r>
          </w:p>
        </w:tc>
      </w:tr>
      <w:tr w:rsidR="007D706A" w14:paraId="3814C5C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AE87C89"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63FE5315"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2EC6392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58A5B11" w14:textId="77777777" w:rsidR="007D706A" w:rsidRDefault="007D706A" w:rsidP="00F70508">
            <w:pPr>
              <w:pStyle w:val="ParagraphStyle12"/>
              <w:rPr>
                <w:rStyle w:val="CharacterStyle12"/>
              </w:rPr>
            </w:pPr>
            <w:r>
              <w:rPr>
                <w:rStyle w:val="CharacterStyle12"/>
              </w:rPr>
              <w:t>2.000,00</w:t>
            </w:r>
          </w:p>
        </w:tc>
        <w:tc>
          <w:tcPr>
            <w:tcW w:w="1395" w:type="dxa"/>
            <w:tcBorders>
              <w:bottom w:val="single" w:sz="6" w:space="0" w:color="000000"/>
              <w:right w:val="single" w:sz="6" w:space="0" w:color="000000"/>
            </w:tcBorders>
            <w:vAlign w:val="center"/>
          </w:tcPr>
          <w:p w14:paraId="27D457DF" w14:textId="77777777" w:rsidR="007D706A" w:rsidRDefault="007D706A" w:rsidP="00F70508">
            <w:pPr>
              <w:pStyle w:val="ParagraphStyle12"/>
              <w:rPr>
                <w:rStyle w:val="CharacterStyle12"/>
              </w:rPr>
            </w:pPr>
            <w:r>
              <w:rPr>
                <w:rStyle w:val="CharacterStyle12"/>
              </w:rPr>
              <w:t>3.500,00</w:t>
            </w:r>
          </w:p>
        </w:tc>
        <w:tc>
          <w:tcPr>
            <w:tcW w:w="1395" w:type="dxa"/>
            <w:tcBorders>
              <w:bottom w:val="single" w:sz="6" w:space="0" w:color="000000"/>
              <w:right w:val="single" w:sz="6" w:space="0" w:color="000000"/>
            </w:tcBorders>
            <w:vAlign w:val="center"/>
          </w:tcPr>
          <w:p w14:paraId="183BBE6F" w14:textId="77777777" w:rsidR="007D706A" w:rsidRDefault="007D706A" w:rsidP="00F70508">
            <w:pPr>
              <w:pStyle w:val="ParagraphStyle12"/>
              <w:rPr>
                <w:rStyle w:val="CharacterStyle12"/>
              </w:rPr>
            </w:pPr>
            <w:r>
              <w:rPr>
                <w:rStyle w:val="CharacterStyle12"/>
              </w:rPr>
              <w:t>3.640,00</w:t>
            </w:r>
          </w:p>
        </w:tc>
        <w:tc>
          <w:tcPr>
            <w:tcW w:w="1395" w:type="dxa"/>
            <w:tcBorders>
              <w:bottom w:val="single" w:sz="6" w:space="0" w:color="000000"/>
              <w:right w:val="single" w:sz="6" w:space="0" w:color="000000"/>
            </w:tcBorders>
            <w:vAlign w:val="center"/>
          </w:tcPr>
          <w:p w14:paraId="4705798C" w14:textId="77777777" w:rsidR="007D706A" w:rsidRDefault="007D706A" w:rsidP="00F70508">
            <w:pPr>
              <w:pStyle w:val="ParagraphStyle12"/>
              <w:rPr>
                <w:rStyle w:val="CharacterStyle12"/>
              </w:rPr>
            </w:pPr>
            <w:r>
              <w:rPr>
                <w:rStyle w:val="CharacterStyle12"/>
              </w:rPr>
              <w:t>3.676,00</w:t>
            </w:r>
          </w:p>
        </w:tc>
      </w:tr>
      <w:tr w:rsidR="007D706A" w14:paraId="16A8F88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FF5306D" w14:textId="77777777" w:rsidR="007D706A" w:rsidRDefault="007D706A" w:rsidP="00F70508">
            <w:pPr>
              <w:pStyle w:val="ParagraphStyle7"/>
              <w:rPr>
                <w:rStyle w:val="CharacterStyle7"/>
              </w:rPr>
            </w:pPr>
            <w:r>
              <w:rPr>
                <w:rStyle w:val="CharacterStyle7"/>
              </w:rPr>
              <w:t>Izvor financiranja 31</w:t>
            </w:r>
          </w:p>
        </w:tc>
        <w:tc>
          <w:tcPr>
            <w:tcW w:w="4995" w:type="dxa"/>
            <w:tcBorders>
              <w:bottom w:val="single" w:sz="6" w:space="0" w:color="000000"/>
              <w:right w:val="single" w:sz="6" w:space="0" w:color="000000"/>
            </w:tcBorders>
            <w:vAlign w:val="center"/>
          </w:tcPr>
          <w:p w14:paraId="4C4F8F1A" w14:textId="77777777" w:rsidR="007D706A" w:rsidRDefault="007D706A" w:rsidP="00F70508">
            <w:pPr>
              <w:pStyle w:val="ParagraphStyle8"/>
              <w:rPr>
                <w:rStyle w:val="CharacterStyle8"/>
              </w:rPr>
            </w:pPr>
            <w:r>
              <w:rPr>
                <w:rStyle w:val="CharacterStyle8"/>
              </w:rPr>
              <w:t>Vlastiti prihodi</w:t>
            </w:r>
          </w:p>
        </w:tc>
        <w:tc>
          <w:tcPr>
            <w:tcW w:w="1395" w:type="dxa"/>
            <w:tcBorders>
              <w:bottom w:val="single" w:sz="6" w:space="0" w:color="000000"/>
              <w:right w:val="single" w:sz="6" w:space="0" w:color="000000"/>
            </w:tcBorders>
            <w:vAlign w:val="center"/>
          </w:tcPr>
          <w:p w14:paraId="2331B98E"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5A83FA6" w14:textId="77777777" w:rsidR="007D706A" w:rsidRDefault="007D706A" w:rsidP="00F70508">
            <w:pPr>
              <w:pStyle w:val="ParagraphStyle9"/>
              <w:rPr>
                <w:rStyle w:val="CharacterStyle9"/>
              </w:rPr>
            </w:pPr>
            <w:r>
              <w:rPr>
                <w:rStyle w:val="CharacterStyle9"/>
              </w:rPr>
              <w:t>5.200,00</w:t>
            </w:r>
          </w:p>
        </w:tc>
        <w:tc>
          <w:tcPr>
            <w:tcW w:w="1395" w:type="dxa"/>
            <w:tcBorders>
              <w:bottom w:val="single" w:sz="6" w:space="0" w:color="000000"/>
              <w:right w:val="single" w:sz="6" w:space="0" w:color="000000"/>
            </w:tcBorders>
            <w:vAlign w:val="center"/>
          </w:tcPr>
          <w:p w14:paraId="629E8C95" w14:textId="77777777" w:rsidR="007D706A" w:rsidRDefault="007D706A" w:rsidP="00F70508">
            <w:pPr>
              <w:pStyle w:val="ParagraphStyle9"/>
              <w:rPr>
                <w:rStyle w:val="CharacterStyle9"/>
              </w:rPr>
            </w:pPr>
            <w:r>
              <w:rPr>
                <w:rStyle w:val="CharacterStyle9"/>
              </w:rPr>
              <w:t>5.000,00</w:t>
            </w:r>
          </w:p>
        </w:tc>
        <w:tc>
          <w:tcPr>
            <w:tcW w:w="1395" w:type="dxa"/>
            <w:tcBorders>
              <w:bottom w:val="single" w:sz="6" w:space="0" w:color="000000"/>
              <w:right w:val="single" w:sz="6" w:space="0" w:color="000000"/>
            </w:tcBorders>
            <w:vAlign w:val="center"/>
          </w:tcPr>
          <w:p w14:paraId="778422B1" w14:textId="77777777" w:rsidR="007D706A" w:rsidRDefault="007D706A" w:rsidP="00F70508">
            <w:pPr>
              <w:pStyle w:val="ParagraphStyle9"/>
              <w:rPr>
                <w:rStyle w:val="CharacterStyle9"/>
              </w:rPr>
            </w:pPr>
            <w:r>
              <w:rPr>
                <w:rStyle w:val="CharacterStyle9"/>
              </w:rPr>
              <w:t>5.200,00</w:t>
            </w:r>
          </w:p>
        </w:tc>
        <w:tc>
          <w:tcPr>
            <w:tcW w:w="1395" w:type="dxa"/>
            <w:tcBorders>
              <w:bottom w:val="single" w:sz="6" w:space="0" w:color="000000"/>
              <w:right w:val="single" w:sz="6" w:space="0" w:color="000000"/>
            </w:tcBorders>
            <w:vAlign w:val="center"/>
          </w:tcPr>
          <w:p w14:paraId="2333D617" w14:textId="77777777" w:rsidR="007D706A" w:rsidRDefault="007D706A" w:rsidP="00F70508">
            <w:pPr>
              <w:pStyle w:val="ParagraphStyle9"/>
              <w:rPr>
                <w:rStyle w:val="CharacterStyle9"/>
              </w:rPr>
            </w:pPr>
            <w:r>
              <w:rPr>
                <w:rStyle w:val="CharacterStyle9"/>
              </w:rPr>
              <w:t>5.252,00</w:t>
            </w:r>
          </w:p>
        </w:tc>
      </w:tr>
      <w:tr w:rsidR="007D706A" w14:paraId="3B18C87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B52905B"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5978D9EF"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0C4D8EC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66C144F" w14:textId="77777777" w:rsidR="007D706A" w:rsidRDefault="007D706A" w:rsidP="00F70508">
            <w:pPr>
              <w:pStyle w:val="ParagraphStyle12"/>
              <w:rPr>
                <w:rStyle w:val="CharacterStyle12"/>
              </w:rPr>
            </w:pPr>
            <w:r>
              <w:rPr>
                <w:rStyle w:val="CharacterStyle12"/>
              </w:rPr>
              <w:t>5.200,00</w:t>
            </w:r>
          </w:p>
        </w:tc>
        <w:tc>
          <w:tcPr>
            <w:tcW w:w="1395" w:type="dxa"/>
            <w:tcBorders>
              <w:bottom w:val="single" w:sz="6" w:space="0" w:color="000000"/>
              <w:right w:val="single" w:sz="6" w:space="0" w:color="000000"/>
            </w:tcBorders>
            <w:vAlign w:val="center"/>
          </w:tcPr>
          <w:p w14:paraId="4B53D944" w14:textId="77777777" w:rsidR="007D706A" w:rsidRDefault="007D706A" w:rsidP="00F70508">
            <w:pPr>
              <w:pStyle w:val="ParagraphStyle12"/>
              <w:rPr>
                <w:rStyle w:val="CharacterStyle12"/>
              </w:rPr>
            </w:pPr>
            <w:r>
              <w:rPr>
                <w:rStyle w:val="CharacterStyle12"/>
              </w:rPr>
              <w:t>5.000,00</w:t>
            </w:r>
          </w:p>
        </w:tc>
        <w:tc>
          <w:tcPr>
            <w:tcW w:w="1395" w:type="dxa"/>
            <w:tcBorders>
              <w:bottom w:val="single" w:sz="6" w:space="0" w:color="000000"/>
              <w:right w:val="single" w:sz="6" w:space="0" w:color="000000"/>
            </w:tcBorders>
            <w:vAlign w:val="center"/>
          </w:tcPr>
          <w:p w14:paraId="6AC2D2E1" w14:textId="77777777" w:rsidR="007D706A" w:rsidRDefault="007D706A" w:rsidP="00F70508">
            <w:pPr>
              <w:pStyle w:val="ParagraphStyle12"/>
              <w:rPr>
                <w:rStyle w:val="CharacterStyle12"/>
              </w:rPr>
            </w:pPr>
            <w:r>
              <w:rPr>
                <w:rStyle w:val="CharacterStyle12"/>
              </w:rPr>
              <w:t>5.200,00</w:t>
            </w:r>
          </w:p>
        </w:tc>
        <w:tc>
          <w:tcPr>
            <w:tcW w:w="1395" w:type="dxa"/>
            <w:tcBorders>
              <w:bottom w:val="single" w:sz="6" w:space="0" w:color="000000"/>
              <w:right w:val="single" w:sz="6" w:space="0" w:color="000000"/>
            </w:tcBorders>
            <w:vAlign w:val="center"/>
          </w:tcPr>
          <w:p w14:paraId="4F20DF06" w14:textId="77777777" w:rsidR="007D706A" w:rsidRDefault="007D706A" w:rsidP="00F70508">
            <w:pPr>
              <w:pStyle w:val="ParagraphStyle12"/>
              <w:rPr>
                <w:rStyle w:val="CharacterStyle12"/>
              </w:rPr>
            </w:pPr>
            <w:r>
              <w:rPr>
                <w:rStyle w:val="CharacterStyle12"/>
              </w:rPr>
              <w:t>5.252,00</w:t>
            </w:r>
          </w:p>
        </w:tc>
      </w:tr>
      <w:tr w:rsidR="007D706A" w14:paraId="576429E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0D03F0C"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100F8ED2"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3FE6D18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4FFF2B8" w14:textId="77777777" w:rsidR="007D706A" w:rsidRDefault="007D706A" w:rsidP="00F70508">
            <w:pPr>
              <w:pStyle w:val="ParagraphStyle12"/>
              <w:rPr>
                <w:rStyle w:val="CharacterStyle12"/>
              </w:rPr>
            </w:pPr>
            <w:r>
              <w:rPr>
                <w:rStyle w:val="CharacterStyle12"/>
              </w:rPr>
              <w:t>5.200,00</w:t>
            </w:r>
          </w:p>
        </w:tc>
        <w:tc>
          <w:tcPr>
            <w:tcW w:w="1395" w:type="dxa"/>
            <w:tcBorders>
              <w:bottom w:val="single" w:sz="6" w:space="0" w:color="000000"/>
              <w:right w:val="single" w:sz="6" w:space="0" w:color="000000"/>
            </w:tcBorders>
            <w:vAlign w:val="center"/>
          </w:tcPr>
          <w:p w14:paraId="3A0F40CE" w14:textId="77777777" w:rsidR="007D706A" w:rsidRDefault="007D706A" w:rsidP="00F70508">
            <w:pPr>
              <w:pStyle w:val="ParagraphStyle12"/>
              <w:rPr>
                <w:rStyle w:val="CharacterStyle12"/>
              </w:rPr>
            </w:pPr>
            <w:r>
              <w:rPr>
                <w:rStyle w:val="CharacterStyle12"/>
              </w:rPr>
              <w:t>5.000,00</w:t>
            </w:r>
          </w:p>
        </w:tc>
        <w:tc>
          <w:tcPr>
            <w:tcW w:w="1395" w:type="dxa"/>
            <w:tcBorders>
              <w:bottom w:val="single" w:sz="6" w:space="0" w:color="000000"/>
              <w:right w:val="single" w:sz="6" w:space="0" w:color="000000"/>
            </w:tcBorders>
            <w:vAlign w:val="center"/>
          </w:tcPr>
          <w:p w14:paraId="7635EF02" w14:textId="77777777" w:rsidR="007D706A" w:rsidRDefault="007D706A" w:rsidP="00F70508">
            <w:pPr>
              <w:pStyle w:val="ParagraphStyle12"/>
              <w:rPr>
                <w:rStyle w:val="CharacterStyle12"/>
              </w:rPr>
            </w:pPr>
            <w:r>
              <w:rPr>
                <w:rStyle w:val="CharacterStyle12"/>
              </w:rPr>
              <w:t>5.200,00</w:t>
            </w:r>
          </w:p>
        </w:tc>
        <w:tc>
          <w:tcPr>
            <w:tcW w:w="1395" w:type="dxa"/>
            <w:tcBorders>
              <w:bottom w:val="single" w:sz="6" w:space="0" w:color="000000"/>
              <w:right w:val="single" w:sz="6" w:space="0" w:color="000000"/>
            </w:tcBorders>
            <w:vAlign w:val="center"/>
          </w:tcPr>
          <w:p w14:paraId="0E1F0735" w14:textId="77777777" w:rsidR="007D706A" w:rsidRDefault="007D706A" w:rsidP="00F70508">
            <w:pPr>
              <w:pStyle w:val="ParagraphStyle12"/>
              <w:rPr>
                <w:rStyle w:val="CharacterStyle12"/>
              </w:rPr>
            </w:pPr>
            <w:r>
              <w:rPr>
                <w:rStyle w:val="CharacterStyle12"/>
              </w:rPr>
              <w:t>5.252,00</w:t>
            </w:r>
          </w:p>
        </w:tc>
      </w:tr>
      <w:tr w:rsidR="007D706A" w14:paraId="3D078CF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8A7B4B2" w14:textId="77777777" w:rsidR="007D706A" w:rsidRDefault="007D706A" w:rsidP="00F70508">
            <w:pPr>
              <w:pStyle w:val="ParagraphStyle7"/>
              <w:rPr>
                <w:rStyle w:val="CharacterStyle7"/>
              </w:rPr>
            </w:pPr>
            <w:r>
              <w:rPr>
                <w:rStyle w:val="CharacterStyle7"/>
              </w:rPr>
              <w:t>Izvor financiranja 41</w:t>
            </w:r>
          </w:p>
        </w:tc>
        <w:tc>
          <w:tcPr>
            <w:tcW w:w="4995" w:type="dxa"/>
            <w:tcBorders>
              <w:bottom w:val="single" w:sz="6" w:space="0" w:color="000000"/>
              <w:right w:val="single" w:sz="6" w:space="0" w:color="000000"/>
            </w:tcBorders>
            <w:vAlign w:val="center"/>
          </w:tcPr>
          <w:p w14:paraId="14CBD23B" w14:textId="77777777" w:rsidR="007D706A" w:rsidRDefault="007D706A" w:rsidP="00F70508">
            <w:pPr>
              <w:pStyle w:val="ParagraphStyle8"/>
              <w:rPr>
                <w:rStyle w:val="CharacterStyle8"/>
              </w:rPr>
            </w:pPr>
            <w:r>
              <w:rPr>
                <w:rStyle w:val="CharacterStyle8"/>
              </w:rPr>
              <w:t>Prihodi za posebne namjene</w:t>
            </w:r>
          </w:p>
        </w:tc>
        <w:tc>
          <w:tcPr>
            <w:tcW w:w="1395" w:type="dxa"/>
            <w:tcBorders>
              <w:bottom w:val="single" w:sz="6" w:space="0" w:color="000000"/>
              <w:right w:val="single" w:sz="6" w:space="0" w:color="000000"/>
            </w:tcBorders>
            <w:vAlign w:val="center"/>
          </w:tcPr>
          <w:p w14:paraId="6A4CD26F"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031E496" w14:textId="77777777" w:rsidR="007D706A" w:rsidRDefault="007D706A" w:rsidP="00F70508">
            <w:pPr>
              <w:pStyle w:val="ParagraphStyle9"/>
              <w:rPr>
                <w:rStyle w:val="CharacterStyle9"/>
              </w:rPr>
            </w:pPr>
            <w:r>
              <w:rPr>
                <w:rStyle w:val="CharacterStyle9"/>
              </w:rPr>
              <w:t>40.000,00</w:t>
            </w:r>
          </w:p>
        </w:tc>
        <w:tc>
          <w:tcPr>
            <w:tcW w:w="1395" w:type="dxa"/>
            <w:tcBorders>
              <w:bottom w:val="single" w:sz="6" w:space="0" w:color="000000"/>
              <w:right w:val="single" w:sz="6" w:space="0" w:color="000000"/>
            </w:tcBorders>
            <w:vAlign w:val="center"/>
          </w:tcPr>
          <w:p w14:paraId="351B166D"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B381575"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19C1CBE" w14:textId="77777777" w:rsidR="007D706A" w:rsidRDefault="007D706A" w:rsidP="00F70508">
            <w:pPr>
              <w:pStyle w:val="ParagraphStyle9"/>
              <w:rPr>
                <w:rStyle w:val="CharacterStyle9"/>
              </w:rPr>
            </w:pPr>
            <w:r>
              <w:rPr>
                <w:rStyle w:val="CharacterStyle9"/>
              </w:rPr>
              <w:t>0,00</w:t>
            </w:r>
          </w:p>
        </w:tc>
      </w:tr>
      <w:tr w:rsidR="007D706A" w14:paraId="64D9C76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5B71DA4"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3CF914D7"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3AA1440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7BBF57E" w14:textId="77777777" w:rsidR="007D706A" w:rsidRDefault="007D706A" w:rsidP="00F70508">
            <w:pPr>
              <w:pStyle w:val="ParagraphStyle12"/>
              <w:rPr>
                <w:rStyle w:val="CharacterStyle12"/>
              </w:rPr>
            </w:pPr>
            <w:r>
              <w:rPr>
                <w:rStyle w:val="CharacterStyle12"/>
              </w:rPr>
              <w:t>40.000,00</w:t>
            </w:r>
          </w:p>
        </w:tc>
        <w:tc>
          <w:tcPr>
            <w:tcW w:w="1395" w:type="dxa"/>
            <w:tcBorders>
              <w:bottom w:val="single" w:sz="6" w:space="0" w:color="000000"/>
              <w:right w:val="single" w:sz="6" w:space="0" w:color="000000"/>
            </w:tcBorders>
            <w:vAlign w:val="center"/>
          </w:tcPr>
          <w:p w14:paraId="60C5D60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0B018D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EB6C615" w14:textId="77777777" w:rsidR="007D706A" w:rsidRDefault="007D706A" w:rsidP="00F70508">
            <w:pPr>
              <w:pStyle w:val="ParagraphStyle12"/>
              <w:rPr>
                <w:rStyle w:val="CharacterStyle12"/>
              </w:rPr>
            </w:pPr>
            <w:r>
              <w:rPr>
                <w:rStyle w:val="CharacterStyle12"/>
              </w:rPr>
              <w:t>0,00</w:t>
            </w:r>
          </w:p>
        </w:tc>
      </w:tr>
      <w:tr w:rsidR="007D706A" w14:paraId="79D93B7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1C3A7F7"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1A0F77A3"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5E6D77F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89F1638" w14:textId="77777777" w:rsidR="007D706A" w:rsidRDefault="007D706A" w:rsidP="00F70508">
            <w:pPr>
              <w:pStyle w:val="ParagraphStyle12"/>
              <w:rPr>
                <w:rStyle w:val="CharacterStyle12"/>
              </w:rPr>
            </w:pPr>
            <w:r>
              <w:rPr>
                <w:rStyle w:val="CharacterStyle12"/>
              </w:rPr>
              <w:t>40.000,00</w:t>
            </w:r>
          </w:p>
        </w:tc>
        <w:tc>
          <w:tcPr>
            <w:tcW w:w="1395" w:type="dxa"/>
            <w:tcBorders>
              <w:bottom w:val="single" w:sz="6" w:space="0" w:color="000000"/>
              <w:right w:val="single" w:sz="6" w:space="0" w:color="000000"/>
            </w:tcBorders>
            <w:vAlign w:val="center"/>
          </w:tcPr>
          <w:p w14:paraId="7A2428A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8376A8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0FD8B63" w14:textId="77777777" w:rsidR="007D706A" w:rsidRDefault="007D706A" w:rsidP="00F70508">
            <w:pPr>
              <w:pStyle w:val="ParagraphStyle12"/>
              <w:rPr>
                <w:rStyle w:val="CharacterStyle12"/>
              </w:rPr>
            </w:pPr>
            <w:r>
              <w:rPr>
                <w:rStyle w:val="CharacterStyle12"/>
              </w:rPr>
              <w:t>0,00</w:t>
            </w:r>
          </w:p>
        </w:tc>
      </w:tr>
      <w:tr w:rsidR="007D706A" w14:paraId="172577F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DCB30A7" w14:textId="77777777" w:rsidR="007D706A" w:rsidRDefault="007D706A" w:rsidP="00F70508">
            <w:pPr>
              <w:pStyle w:val="ParagraphStyle7"/>
              <w:rPr>
                <w:rStyle w:val="CharacterStyle7"/>
              </w:rPr>
            </w:pPr>
            <w:r>
              <w:rPr>
                <w:rStyle w:val="CharacterStyle7"/>
              </w:rPr>
              <w:t>Izvor financiranja 43</w:t>
            </w:r>
          </w:p>
        </w:tc>
        <w:tc>
          <w:tcPr>
            <w:tcW w:w="4995" w:type="dxa"/>
            <w:tcBorders>
              <w:bottom w:val="single" w:sz="6" w:space="0" w:color="000000"/>
              <w:right w:val="single" w:sz="6" w:space="0" w:color="000000"/>
            </w:tcBorders>
            <w:vAlign w:val="center"/>
          </w:tcPr>
          <w:p w14:paraId="17164A37" w14:textId="77777777" w:rsidR="007D706A" w:rsidRDefault="007D706A" w:rsidP="00F70508">
            <w:pPr>
              <w:pStyle w:val="ParagraphStyle8"/>
              <w:rPr>
                <w:rStyle w:val="CharacterStyle8"/>
              </w:rPr>
            </w:pPr>
            <w:r>
              <w:rPr>
                <w:rStyle w:val="CharacterStyle8"/>
              </w:rPr>
              <w:t>Ostali prihodi za posebne namjene</w:t>
            </w:r>
          </w:p>
        </w:tc>
        <w:tc>
          <w:tcPr>
            <w:tcW w:w="1395" w:type="dxa"/>
            <w:tcBorders>
              <w:bottom w:val="single" w:sz="6" w:space="0" w:color="000000"/>
              <w:right w:val="single" w:sz="6" w:space="0" w:color="000000"/>
            </w:tcBorders>
            <w:vAlign w:val="center"/>
          </w:tcPr>
          <w:p w14:paraId="4D29E7C3"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BACFE21"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69E0D1C" w14:textId="77777777" w:rsidR="007D706A" w:rsidRDefault="007D706A" w:rsidP="00F70508">
            <w:pPr>
              <w:pStyle w:val="ParagraphStyle9"/>
              <w:rPr>
                <w:rStyle w:val="CharacterStyle9"/>
              </w:rPr>
            </w:pPr>
            <w:r>
              <w:rPr>
                <w:rStyle w:val="CharacterStyle9"/>
              </w:rPr>
              <w:t>42.000,00</w:t>
            </w:r>
          </w:p>
        </w:tc>
        <w:tc>
          <w:tcPr>
            <w:tcW w:w="1395" w:type="dxa"/>
            <w:tcBorders>
              <w:bottom w:val="single" w:sz="6" w:space="0" w:color="000000"/>
              <w:right w:val="single" w:sz="6" w:space="0" w:color="000000"/>
            </w:tcBorders>
            <w:vAlign w:val="center"/>
          </w:tcPr>
          <w:p w14:paraId="4869ABD6" w14:textId="77777777" w:rsidR="007D706A" w:rsidRDefault="007D706A" w:rsidP="00F70508">
            <w:pPr>
              <w:pStyle w:val="ParagraphStyle9"/>
              <w:rPr>
                <w:rStyle w:val="CharacterStyle9"/>
              </w:rPr>
            </w:pPr>
            <w:r>
              <w:rPr>
                <w:rStyle w:val="CharacterStyle9"/>
              </w:rPr>
              <w:t>41.600,00</w:t>
            </w:r>
          </w:p>
        </w:tc>
        <w:tc>
          <w:tcPr>
            <w:tcW w:w="1395" w:type="dxa"/>
            <w:tcBorders>
              <w:bottom w:val="single" w:sz="6" w:space="0" w:color="000000"/>
              <w:right w:val="single" w:sz="6" w:space="0" w:color="000000"/>
            </w:tcBorders>
            <w:vAlign w:val="center"/>
          </w:tcPr>
          <w:p w14:paraId="18F20138" w14:textId="77777777" w:rsidR="007D706A" w:rsidRDefault="007D706A" w:rsidP="00F70508">
            <w:pPr>
              <w:pStyle w:val="ParagraphStyle9"/>
              <w:rPr>
                <w:rStyle w:val="CharacterStyle9"/>
              </w:rPr>
            </w:pPr>
            <w:r>
              <w:rPr>
                <w:rStyle w:val="CharacterStyle9"/>
              </w:rPr>
              <w:t>42.017,00</w:t>
            </w:r>
          </w:p>
        </w:tc>
      </w:tr>
      <w:tr w:rsidR="007D706A" w14:paraId="216A200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3782888"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03B7AF2B"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38C7BC3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18C81A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6564D7D" w14:textId="77777777" w:rsidR="007D706A" w:rsidRDefault="007D706A" w:rsidP="00F70508">
            <w:pPr>
              <w:pStyle w:val="ParagraphStyle12"/>
              <w:rPr>
                <w:rStyle w:val="CharacterStyle12"/>
              </w:rPr>
            </w:pPr>
            <w:r>
              <w:rPr>
                <w:rStyle w:val="CharacterStyle12"/>
              </w:rPr>
              <w:t>42.000,00</w:t>
            </w:r>
          </w:p>
        </w:tc>
        <w:tc>
          <w:tcPr>
            <w:tcW w:w="1395" w:type="dxa"/>
            <w:tcBorders>
              <w:bottom w:val="single" w:sz="6" w:space="0" w:color="000000"/>
              <w:right w:val="single" w:sz="6" w:space="0" w:color="000000"/>
            </w:tcBorders>
            <w:vAlign w:val="center"/>
          </w:tcPr>
          <w:p w14:paraId="17E7973E" w14:textId="77777777" w:rsidR="007D706A" w:rsidRDefault="007D706A" w:rsidP="00F70508">
            <w:pPr>
              <w:pStyle w:val="ParagraphStyle12"/>
              <w:rPr>
                <w:rStyle w:val="CharacterStyle12"/>
              </w:rPr>
            </w:pPr>
            <w:r>
              <w:rPr>
                <w:rStyle w:val="CharacterStyle12"/>
              </w:rPr>
              <w:t>41.600,00</w:t>
            </w:r>
          </w:p>
        </w:tc>
        <w:tc>
          <w:tcPr>
            <w:tcW w:w="1395" w:type="dxa"/>
            <w:tcBorders>
              <w:bottom w:val="single" w:sz="6" w:space="0" w:color="000000"/>
              <w:right w:val="single" w:sz="6" w:space="0" w:color="000000"/>
            </w:tcBorders>
            <w:vAlign w:val="center"/>
          </w:tcPr>
          <w:p w14:paraId="2AA1EF68" w14:textId="77777777" w:rsidR="007D706A" w:rsidRDefault="007D706A" w:rsidP="00F70508">
            <w:pPr>
              <w:pStyle w:val="ParagraphStyle12"/>
              <w:rPr>
                <w:rStyle w:val="CharacterStyle12"/>
              </w:rPr>
            </w:pPr>
            <w:r>
              <w:rPr>
                <w:rStyle w:val="CharacterStyle12"/>
              </w:rPr>
              <w:t>42.017,00</w:t>
            </w:r>
          </w:p>
        </w:tc>
      </w:tr>
      <w:tr w:rsidR="007D706A" w14:paraId="551B5EC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F5A9B2E"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5200253A"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6AA1031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E00DEE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2741152" w14:textId="77777777" w:rsidR="007D706A" w:rsidRDefault="007D706A" w:rsidP="00F70508">
            <w:pPr>
              <w:pStyle w:val="ParagraphStyle12"/>
              <w:rPr>
                <w:rStyle w:val="CharacterStyle12"/>
              </w:rPr>
            </w:pPr>
            <w:r>
              <w:rPr>
                <w:rStyle w:val="CharacterStyle12"/>
              </w:rPr>
              <w:t>42.000,00</w:t>
            </w:r>
          </w:p>
        </w:tc>
        <w:tc>
          <w:tcPr>
            <w:tcW w:w="1395" w:type="dxa"/>
            <w:tcBorders>
              <w:bottom w:val="single" w:sz="6" w:space="0" w:color="000000"/>
              <w:right w:val="single" w:sz="6" w:space="0" w:color="000000"/>
            </w:tcBorders>
            <w:vAlign w:val="center"/>
          </w:tcPr>
          <w:p w14:paraId="79C9429D" w14:textId="77777777" w:rsidR="007D706A" w:rsidRDefault="007D706A" w:rsidP="00F70508">
            <w:pPr>
              <w:pStyle w:val="ParagraphStyle12"/>
              <w:rPr>
                <w:rStyle w:val="CharacterStyle12"/>
              </w:rPr>
            </w:pPr>
            <w:r>
              <w:rPr>
                <w:rStyle w:val="CharacterStyle12"/>
              </w:rPr>
              <w:t>41.600,00</w:t>
            </w:r>
          </w:p>
        </w:tc>
        <w:tc>
          <w:tcPr>
            <w:tcW w:w="1395" w:type="dxa"/>
            <w:tcBorders>
              <w:bottom w:val="single" w:sz="6" w:space="0" w:color="000000"/>
              <w:right w:val="single" w:sz="6" w:space="0" w:color="000000"/>
            </w:tcBorders>
            <w:vAlign w:val="center"/>
          </w:tcPr>
          <w:p w14:paraId="390D7A58" w14:textId="77777777" w:rsidR="007D706A" w:rsidRDefault="007D706A" w:rsidP="00F70508">
            <w:pPr>
              <w:pStyle w:val="ParagraphStyle12"/>
              <w:rPr>
                <w:rStyle w:val="CharacterStyle12"/>
              </w:rPr>
            </w:pPr>
            <w:r>
              <w:rPr>
                <w:rStyle w:val="CharacterStyle12"/>
              </w:rPr>
              <w:t>42.017,00</w:t>
            </w:r>
          </w:p>
        </w:tc>
      </w:tr>
      <w:tr w:rsidR="007D706A" w14:paraId="30BDE54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610E0B3" w14:textId="77777777" w:rsidR="007D706A" w:rsidRDefault="007D706A" w:rsidP="00F70508">
            <w:pPr>
              <w:pStyle w:val="ParagraphStyle7"/>
              <w:rPr>
                <w:rStyle w:val="CharacterStyle7"/>
              </w:rPr>
            </w:pPr>
            <w:r>
              <w:rPr>
                <w:rStyle w:val="CharacterStyle7"/>
              </w:rPr>
              <w:t>Izvor financiranja 5</w:t>
            </w:r>
          </w:p>
        </w:tc>
        <w:tc>
          <w:tcPr>
            <w:tcW w:w="4995" w:type="dxa"/>
            <w:tcBorders>
              <w:bottom w:val="single" w:sz="6" w:space="0" w:color="000000"/>
              <w:right w:val="single" w:sz="6" w:space="0" w:color="000000"/>
            </w:tcBorders>
            <w:vAlign w:val="center"/>
          </w:tcPr>
          <w:p w14:paraId="20890108" w14:textId="77777777" w:rsidR="007D706A" w:rsidRDefault="007D706A" w:rsidP="00F70508">
            <w:pPr>
              <w:pStyle w:val="ParagraphStyle8"/>
              <w:rPr>
                <w:rStyle w:val="CharacterStyle8"/>
              </w:rPr>
            </w:pPr>
            <w:r>
              <w:rPr>
                <w:rStyle w:val="CharacterStyle8"/>
              </w:rPr>
              <w:t>POMOĆI</w:t>
            </w:r>
          </w:p>
        </w:tc>
        <w:tc>
          <w:tcPr>
            <w:tcW w:w="1395" w:type="dxa"/>
            <w:tcBorders>
              <w:bottom w:val="single" w:sz="6" w:space="0" w:color="000000"/>
              <w:right w:val="single" w:sz="6" w:space="0" w:color="000000"/>
            </w:tcBorders>
            <w:vAlign w:val="center"/>
          </w:tcPr>
          <w:p w14:paraId="42F946C1"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01C3273"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4C86BE7" w14:textId="77777777" w:rsidR="007D706A" w:rsidRDefault="007D706A" w:rsidP="00F70508">
            <w:pPr>
              <w:pStyle w:val="ParagraphStyle9"/>
              <w:rPr>
                <w:rStyle w:val="CharacterStyle9"/>
              </w:rPr>
            </w:pPr>
            <w:r>
              <w:rPr>
                <w:rStyle w:val="CharacterStyle9"/>
              </w:rPr>
              <w:t>1.300,00</w:t>
            </w:r>
          </w:p>
        </w:tc>
        <w:tc>
          <w:tcPr>
            <w:tcW w:w="1395" w:type="dxa"/>
            <w:tcBorders>
              <w:bottom w:val="single" w:sz="6" w:space="0" w:color="000000"/>
              <w:right w:val="single" w:sz="6" w:space="0" w:color="000000"/>
            </w:tcBorders>
            <w:vAlign w:val="center"/>
          </w:tcPr>
          <w:p w14:paraId="17E035CB" w14:textId="77777777" w:rsidR="007D706A" w:rsidRDefault="007D706A" w:rsidP="00F70508">
            <w:pPr>
              <w:pStyle w:val="ParagraphStyle9"/>
              <w:rPr>
                <w:rStyle w:val="CharacterStyle9"/>
              </w:rPr>
            </w:pPr>
            <w:r>
              <w:rPr>
                <w:rStyle w:val="CharacterStyle9"/>
              </w:rPr>
              <w:t>3.068,00</w:t>
            </w:r>
          </w:p>
        </w:tc>
        <w:tc>
          <w:tcPr>
            <w:tcW w:w="1395" w:type="dxa"/>
            <w:tcBorders>
              <w:bottom w:val="single" w:sz="6" w:space="0" w:color="000000"/>
              <w:right w:val="single" w:sz="6" w:space="0" w:color="000000"/>
            </w:tcBorders>
            <w:vAlign w:val="center"/>
          </w:tcPr>
          <w:p w14:paraId="0F7C5B0E" w14:textId="77777777" w:rsidR="007D706A" w:rsidRDefault="007D706A" w:rsidP="00F70508">
            <w:pPr>
              <w:pStyle w:val="ParagraphStyle9"/>
              <w:rPr>
                <w:rStyle w:val="CharacterStyle9"/>
              </w:rPr>
            </w:pPr>
            <w:r>
              <w:rPr>
                <w:rStyle w:val="CharacterStyle9"/>
              </w:rPr>
              <w:t>3.099,00</w:t>
            </w:r>
          </w:p>
        </w:tc>
      </w:tr>
      <w:tr w:rsidR="007D706A" w14:paraId="5FBA254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012A42D"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663106B8"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01DBBFC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658EAD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C371B9E" w14:textId="77777777" w:rsidR="007D706A" w:rsidRDefault="007D706A" w:rsidP="00F70508">
            <w:pPr>
              <w:pStyle w:val="ParagraphStyle12"/>
              <w:rPr>
                <w:rStyle w:val="CharacterStyle12"/>
              </w:rPr>
            </w:pPr>
            <w:r>
              <w:rPr>
                <w:rStyle w:val="CharacterStyle12"/>
              </w:rPr>
              <w:t>1.300,00</w:t>
            </w:r>
          </w:p>
        </w:tc>
        <w:tc>
          <w:tcPr>
            <w:tcW w:w="1395" w:type="dxa"/>
            <w:tcBorders>
              <w:bottom w:val="single" w:sz="6" w:space="0" w:color="000000"/>
              <w:right w:val="single" w:sz="6" w:space="0" w:color="000000"/>
            </w:tcBorders>
            <w:vAlign w:val="center"/>
          </w:tcPr>
          <w:p w14:paraId="692B6C7D" w14:textId="77777777" w:rsidR="007D706A" w:rsidRDefault="007D706A" w:rsidP="00F70508">
            <w:pPr>
              <w:pStyle w:val="ParagraphStyle12"/>
              <w:rPr>
                <w:rStyle w:val="CharacterStyle12"/>
              </w:rPr>
            </w:pPr>
            <w:r>
              <w:rPr>
                <w:rStyle w:val="CharacterStyle12"/>
              </w:rPr>
              <w:t>3.068,00</w:t>
            </w:r>
          </w:p>
        </w:tc>
        <w:tc>
          <w:tcPr>
            <w:tcW w:w="1395" w:type="dxa"/>
            <w:tcBorders>
              <w:bottom w:val="single" w:sz="6" w:space="0" w:color="000000"/>
              <w:right w:val="single" w:sz="6" w:space="0" w:color="000000"/>
            </w:tcBorders>
            <w:vAlign w:val="center"/>
          </w:tcPr>
          <w:p w14:paraId="41EDED6C" w14:textId="77777777" w:rsidR="007D706A" w:rsidRDefault="007D706A" w:rsidP="00F70508">
            <w:pPr>
              <w:pStyle w:val="ParagraphStyle12"/>
              <w:rPr>
                <w:rStyle w:val="CharacterStyle12"/>
              </w:rPr>
            </w:pPr>
            <w:r>
              <w:rPr>
                <w:rStyle w:val="CharacterStyle12"/>
              </w:rPr>
              <w:t>3.099,00</w:t>
            </w:r>
          </w:p>
        </w:tc>
      </w:tr>
      <w:tr w:rsidR="007D706A" w14:paraId="5EF219F6"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3359F04"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3B221E17"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26E936B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BE4091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63D29DE" w14:textId="77777777" w:rsidR="007D706A" w:rsidRDefault="007D706A" w:rsidP="00F70508">
            <w:pPr>
              <w:pStyle w:val="ParagraphStyle12"/>
              <w:rPr>
                <w:rStyle w:val="CharacterStyle12"/>
              </w:rPr>
            </w:pPr>
            <w:r>
              <w:rPr>
                <w:rStyle w:val="CharacterStyle12"/>
              </w:rPr>
              <w:t>1.300,00</w:t>
            </w:r>
          </w:p>
        </w:tc>
        <w:tc>
          <w:tcPr>
            <w:tcW w:w="1395" w:type="dxa"/>
            <w:tcBorders>
              <w:bottom w:val="single" w:sz="6" w:space="0" w:color="000000"/>
              <w:right w:val="single" w:sz="6" w:space="0" w:color="000000"/>
            </w:tcBorders>
            <w:vAlign w:val="center"/>
          </w:tcPr>
          <w:p w14:paraId="037C0F2E" w14:textId="77777777" w:rsidR="007D706A" w:rsidRDefault="007D706A" w:rsidP="00F70508">
            <w:pPr>
              <w:pStyle w:val="ParagraphStyle12"/>
              <w:rPr>
                <w:rStyle w:val="CharacterStyle12"/>
              </w:rPr>
            </w:pPr>
            <w:r>
              <w:rPr>
                <w:rStyle w:val="CharacterStyle12"/>
              </w:rPr>
              <w:t>3.068,00</w:t>
            </w:r>
          </w:p>
        </w:tc>
        <w:tc>
          <w:tcPr>
            <w:tcW w:w="1395" w:type="dxa"/>
            <w:tcBorders>
              <w:bottom w:val="single" w:sz="6" w:space="0" w:color="000000"/>
              <w:right w:val="single" w:sz="6" w:space="0" w:color="000000"/>
            </w:tcBorders>
            <w:vAlign w:val="center"/>
          </w:tcPr>
          <w:p w14:paraId="495F0FE8" w14:textId="77777777" w:rsidR="007D706A" w:rsidRDefault="007D706A" w:rsidP="00F70508">
            <w:pPr>
              <w:pStyle w:val="ParagraphStyle12"/>
              <w:rPr>
                <w:rStyle w:val="CharacterStyle12"/>
              </w:rPr>
            </w:pPr>
            <w:r>
              <w:rPr>
                <w:rStyle w:val="CharacterStyle12"/>
              </w:rPr>
              <w:t>3.099,00</w:t>
            </w:r>
          </w:p>
        </w:tc>
      </w:tr>
      <w:tr w:rsidR="007D706A" w14:paraId="52529D3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8DAD4AD" w14:textId="77777777" w:rsidR="007D706A" w:rsidRDefault="007D706A" w:rsidP="00F70508">
            <w:pPr>
              <w:pStyle w:val="ParagraphStyle7"/>
              <w:rPr>
                <w:rStyle w:val="CharacterStyle7"/>
              </w:rPr>
            </w:pPr>
            <w:r>
              <w:rPr>
                <w:rStyle w:val="CharacterStyle7"/>
              </w:rPr>
              <w:t>Izvor financiranja 50</w:t>
            </w:r>
          </w:p>
        </w:tc>
        <w:tc>
          <w:tcPr>
            <w:tcW w:w="4995" w:type="dxa"/>
            <w:tcBorders>
              <w:bottom w:val="single" w:sz="6" w:space="0" w:color="000000"/>
              <w:right w:val="single" w:sz="6" w:space="0" w:color="000000"/>
            </w:tcBorders>
            <w:vAlign w:val="center"/>
          </w:tcPr>
          <w:p w14:paraId="4E1DB050" w14:textId="77777777" w:rsidR="007D706A" w:rsidRDefault="007D706A" w:rsidP="00F70508">
            <w:pPr>
              <w:pStyle w:val="ParagraphStyle8"/>
              <w:rPr>
                <w:rStyle w:val="CharacterStyle8"/>
              </w:rPr>
            </w:pPr>
            <w:r>
              <w:rPr>
                <w:rStyle w:val="CharacterStyle8"/>
              </w:rPr>
              <w:t>Pomoći iz državnog proračuna</w:t>
            </w:r>
          </w:p>
        </w:tc>
        <w:tc>
          <w:tcPr>
            <w:tcW w:w="1395" w:type="dxa"/>
            <w:tcBorders>
              <w:bottom w:val="single" w:sz="6" w:space="0" w:color="000000"/>
              <w:right w:val="single" w:sz="6" w:space="0" w:color="000000"/>
            </w:tcBorders>
            <w:vAlign w:val="center"/>
          </w:tcPr>
          <w:p w14:paraId="6401C121"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25B078D"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93D69A9" w14:textId="77777777" w:rsidR="007D706A" w:rsidRDefault="007D706A" w:rsidP="00F70508">
            <w:pPr>
              <w:pStyle w:val="ParagraphStyle9"/>
              <w:rPr>
                <w:rStyle w:val="CharacterStyle9"/>
              </w:rPr>
            </w:pPr>
            <w:r>
              <w:rPr>
                <w:rStyle w:val="CharacterStyle9"/>
              </w:rPr>
              <w:t>2.950,00</w:t>
            </w:r>
          </w:p>
        </w:tc>
        <w:tc>
          <w:tcPr>
            <w:tcW w:w="1395" w:type="dxa"/>
            <w:tcBorders>
              <w:bottom w:val="single" w:sz="6" w:space="0" w:color="000000"/>
              <w:right w:val="single" w:sz="6" w:space="0" w:color="000000"/>
            </w:tcBorders>
            <w:vAlign w:val="center"/>
          </w:tcPr>
          <w:p w14:paraId="740B767F" w14:textId="77777777" w:rsidR="007D706A" w:rsidRDefault="007D706A" w:rsidP="00F70508">
            <w:pPr>
              <w:pStyle w:val="ParagraphStyle9"/>
              <w:rPr>
                <w:rStyle w:val="CharacterStyle9"/>
              </w:rPr>
            </w:pPr>
            <w:r>
              <w:rPr>
                <w:rStyle w:val="CharacterStyle9"/>
              </w:rPr>
              <w:t>1.352,00</w:t>
            </w:r>
          </w:p>
        </w:tc>
        <w:tc>
          <w:tcPr>
            <w:tcW w:w="1395" w:type="dxa"/>
            <w:tcBorders>
              <w:bottom w:val="single" w:sz="6" w:space="0" w:color="000000"/>
              <w:right w:val="single" w:sz="6" w:space="0" w:color="000000"/>
            </w:tcBorders>
            <w:vAlign w:val="center"/>
          </w:tcPr>
          <w:p w14:paraId="76CDDADF" w14:textId="77777777" w:rsidR="007D706A" w:rsidRDefault="007D706A" w:rsidP="00F70508">
            <w:pPr>
              <w:pStyle w:val="ParagraphStyle9"/>
              <w:rPr>
                <w:rStyle w:val="CharacterStyle9"/>
              </w:rPr>
            </w:pPr>
            <w:r>
              <w:rPr>
                <w:rStyle w:val="CharacterStyle9"/>
              </w:rPr>
              <w:t>1.365,00</w:t>
            </w:r>
          </w:p>
        </w:tc>
      </w:tr>
      <w:tr w:rsidR="007D706A" w14:paraId="068DF51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66618BA"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55CF77ED"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1338AF9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0B419C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84EBC4B" w14:textId="77777777" w:rsidR="007D706A" w:rsidRDefault="007D706A" w:rsidP="00F70508">
            <w:pPr>
              <w:pStyle w:val="ParagraphStyle12"/>
              <w:rPr>
                <w:rStyle w:val="CharacterStyle12"/>
              </w:rPr>
            </w:pPr>
            <w:r>
              <w:rPr>
                <w:rStyle w:val="CharacterStyle12"/>
              </w:rPr>
              <w:t>2.950,00</w:t>
            </w:r>
          </w:p>
        </w:tc>
        <w:tc>
          <w:tcPr>
            <w:tcW w:w="1395" w:type="dxa"/>
            <w:tcBorders>
              <w:bottom w:val="single" w:sz="6" w:space="0" w:color="000000"/>
              <w:right w:val="single" w:sz="6" w:space="0" w:color="000000"/>
            </w:tcBorders>
            <w:vAlign w:val="center"/>
          </w:tcPr>
          <w:p w14:paraId="1F9A5587" w14:textId="77777777" w:rsidR="007D706A" w:rsidRDefault="007D706A" w:rsidP="00F70508">
            <w:pPr>
              <w:pStyle w:val="ParagraphStyle12"/>
              <w:rPr>
                <w:rStyle w:val="CharacterStyle12"/>
              </w:rPr>
            </w:pPr>
            <w:r>
              <w:rPr>
                <w:rStyle w:val="CharacterStyle12"/>
              </w:rPr>
              <w:t>1.352,00</w:t>
            </w:r>
          </w:p>
        </w:tc>
        <w:tc>
          <w:tcPr>
            <w:tcW w:w="1395" w:type="dxa"/>
            <w:tcBorders>
              <w:bottom w:val="single" w:sz="6" w:space="0" w:color="000000"/>
              <w:right w:val="single" w:sz="6" w:space="0" w:color="000000"/>
            </w:tcBorders>
            <w:vAlign w:val="center"/>
          </w:tcPr>
          <w:p w14:paraId="7ECFD792" w14:textId="77777777" w:rsidR="007D706A" w:rsidRDefault="007D706A" w:rsidP="00F70508">
            <w:pPr>
              <w:pStyle w:val="ParagraphStyle12"/>
              <w:rPr>
                <w:rStyle w:val="CharacterStyle12"/>
              </w:rPr>
            </w:pPr>
            <w:r>
              <w:rPr>
                <w:rStyle w:val="CharacterStyle12"/>
              </w:rPr>
              <w:t>1.365,00</w:t>
            </w:r>
          </w:p>
        </w:tc>
      </w:tr>
      <w:tr w:rsidR="007D706A" w14:paraId="6331749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F002496"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13884EEF"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6F48E26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A21FFA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55A78AC" w14:textId="77777777" w:rsidR="007D706A" w:rsidRDefault="007D706A" w:rsidP="00F70508">
            <w:pPr>
              <w:pStyle w:val="ParagraphStyle12"/>
              <w:rPr>
                <w:rStyle w:val="CharacterStyle12"/>
              </w:rPr>
            </w:pPr>
            <w:r>
              <w:rPr>
                <w:rStyle w:val="CharacterStyle12"/>
              </w:rPr>
              <w:t>2.600,00</w:t>
            </w:r>
          </w:p>
        </w:tc>
        <w:tc>
          <w:tcPr>
            <w:tcW w:w="1395" w:type="dxa"/>
            <w:tcBorders>
              <w:bottom w:val="single" w:sz="6" w:space="0" w:color="000000"/>
              <w:right w:val="single" w:sz="6" w:space="0" w:color="000000"/>
            </w:tcBorders>
            <w:vAlign w:val="center"/>
          </w:tcPr>
          <w:p w14:paraId="5AD43CBE" w14:textId="77777777" w:rsidR="007D706A" w:rsidRDefault="007D706A" w:rsidP="00F70508">
            <w:pPr>
              <w:pStyle w:val="ParagraphStyle12"/>
              <w:rPr>
                <w:rStyle w:val="CharacterStyle12"/>
              </w:rPr>
            </w:pPr>
            <w:r>
              <w:rPr>
                <w:rStyle w:val="CharacterStyle12"/>
              </w:rPr>
              <w:t>988,00</w:t>
            </w:r>
          </w:p>
        </w:tc>
        <w:tc>
          <w:tcPr>
            <w:tcW w:w="1395" w:type="dxa"/>
            <w:tcBorders>
              <w:bottom w:val="single" w:sz="6" w:space="0" w:color="000000"/>
              <w:right w:val="single" w:sz="6" w:space="0" w:color="000000"/>
            </w:tcBorders>
            <w:vAlign w:val="center"/>
          </w:tcPr>
          <w:p w14:paraId="1B2B3232" w14:textId="77777777" w:rsidR="007D706A" w:rsidRDefault="007D706A" w:rsidP="00F70508">
            <w:pPr>
              <w:pStyle w:val="ParagraphStyle12"/>
              <w:rPr>
                <w:rStyle w:val="CharacterStyle12"/>
              </w:rPr>
            </w:pPr>
            <w:r>
              <w:rPr>
                <w:rStyle w:val="CharacterStyle12"/>
              </w:rPr>
              <w:t>998,00</w:t>
            </w:r>
          </w:p>
        </w:tc>
      </w:tr>
      <w:tr w:rsidR="007D706A" w14:paraId="6F0F370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B52A92E" w14:textId="77777777" w:rsidR="007D706A" w:rsidRDefault="007D706A" w:rsidP="00F70508">
            <w:pPr>
              <w:pStyle w:val="ParagraphStyle10"/>
              <w:rPr>
                <w:rStyle w:val="CharacterStyle10"/>
              </w:rPr>
            </w:pPr>
            <w:r>
              <w:rPr>
                <w:rStyle w:val="CharacterStyle10"/>
              </w:rPr>
              <w:t>38</w:t>
            </w:r>
          </w:p>
        </w:tc>
        <w:tc>
          <w:tcPr>
            <w:tcW w:w="4995" w:type="dxa"/>
            <w:tcBorders>
              <w:bottom w:val="single" w:sz="6" w:space="0" w:color="000000"/>
              <w:right w:val="single" w:sz="6" w:space="0" w:color="000000"/>
            </w:tcBorders>
            <w:vAlign w:val="center"/>
          </w:tcPr>
          <w:p w14:paraId="2D31523B" w14:textId="77777777" w:rsidR="007D706A" w:rsidRDefault="007D706A" w:rsidP="00F70508">
            <w:pPr>
              <w:pStyle w:val="ParagraphStyle11"/>
              <w:rPr>
                <w:rStyle w:val="CharacterStyle11"/>
              </w:rPr>
            </w:pPr>
            <w:r>
              <w:rPr>
                <w:rStyle w:val="CharacterStyle11"/>
              </w:rPr>
              <w:t>Rashodi za donacije, kazne, naknade šteta i kapitalne pomoći</w:t>
            </w:r>
          </w:p>
        </w:tc>
        <w:tc>
          <w:tcPr>
            <w:tcW w:w="1395" w:type="dxa"/>
            <w:tcBorders>
              <w:bottom w:val="single" w:sz="6" w:space="0" w:color="000000"/>
              <w:right w:val="single" w:sz="6" w:space="0" w:color="000000"/>
            </w:tcBorders>
            <w:vAlign w:val="center"/>
          </w:tcPr>
          <w:p w14:paraId="582C797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D3D013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8641775" w14:textId="77777777" w:rsidR="007D706A" w:rsidRDefault="007D706A" w:rsidP="00F70508">
            <w:pPr>
              <w:pStyle w:val="ParagraphStyle12"/>
              <w:rPr>
                <w:rStyle w:val="CharacterStyle12"/>
              </w:rPr>
            </w:pPr>
            <w:r>
              <w:rPr>
                <w:rStyle w:val="CharacterStyle12"/>
              </w:rPr>
              <w:t>350,00</w:t>
            </w:r>
          </w:p>
        </w:tc>
        <w:tc>
          <w:tcPr>
            <w:tcW w:w="1395" w:type="dxa"/>
            <w:tcBorders>
              <w:bottom w:val="single" w:sz="6" w:space="0" w:color="000000"/>
              <w:right w:val="single" w:sz="6" w:space="0" w:color="000000"/>
            </w:tcBorders>
            <w:vAlign w:val="center"/>
          </w:tcPr>
          <w:p w14:paraId="62E4CF19" w14:textId="77777777" w:rsidR="007D706A" w:rsidRDefault="007D706A" w:rsidP="00F70508">
            <w:pPr>
              <w:pStyle w:val="ParagraphStyle12"/>
              <w:rPr>
                <w:rStyle w:val="CharacterStyle12"/>
              </w:rPr>
            </w:pPr>
            <w:r>
              <w:rPr>
                <w:rStyle w:val="CharacterStyle12"/>
              </w:rPr>
              <w:t>364,00</w:t>
            </w:r>
          </w:p>
        </w:tc>
        <w:tc>
          <w:tcPr>
            <w:tcW w:w="1395" w:type="dxa"/>
            <w:tcBorders>
              <w:bottom w:val="single" w:sz="6" w:space="0" w:color="000000"/>
              <w:right w:val="single" w:sz="6" w:space="0" w:color="000000"/>
            </w:tcBorders>
            <w:vAlign w:val="center"/>
          </w:tcPr>
          <w:p w14:paraId="7EE9EBFD" w14:textId="77777777" w:rsidR="007D706A" w:rsidRDefault="007D706A" w:rsidP="00F70508">
            <w:pPr>
              <w:pStyle w:val="ParagraphStyle12"/>
              <w:rPr>
                <w:rStyle w:val="CharacterStyle12"/>
              </w:rPr>
            </w:pPr>
            <w:r>
              <w:rPr>
                <w:rStyle w:val="CharacterStyle12"/>
              </w:rPr>
              <w:t>367,00</w:t>
            </w:r>
          </w:p>
        </w:tc>
      </w:tr>
      <w:tr w:rsidR="007D706A" w14:paraId="3C2CFC6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5BFEE86" w14:textId="77777777" w:rsidR="007D706A" w:rsidRDefault="007D706A" w:rsidP="00F70508">
            <w:pPr>
              <w:pStyle w:val="ParagraphStyle7"/>
              <w:rPr>
                <w:rStyle w:val="CharacterStyle7"/>
              </w:rPr>
            </w:pPr>
            <w:r>
              <w:rPr>
                <w:rStyle w:val="CharacterStyle7"/>
              </w:rPr>
              <w:t>Izvor financiranja 53</w:t>
            </w:r>
          </w:p>
        </w:tc>
        <w:tc>
          <w:tcPr>
            <w:tcW w:w="4995" w:type="dxa"/>
            <w:tcBorders>
              <w:bottom w:val="single" w:sz="6" w:space="0" w:color="000000"/>
              <w:right w:val="single" w:sz="6" w:space="0" w:color="000000"/>
            </w:tcBorders>
            <w:vAlign w:val="center"/>
          </w:tcPr>
          <w:p w14:paraId="1F2E6DD0" w14:textId="77777777" w:rsidR="007D706A" w:rsidRDefault="007D706A" w:rsidP="00F70508">
            <w:pPr>
              <w:pStyle w:val="ParagraphStyle8"/>
              <w:rPr>
                <w:rStyle w:val="CharacterStyle8"/>
              </w:rPr>
            </w:pPr>
            <w:r>
              <w:rPr>
                <w:rStyle w:val="CharacterStyle8"/>
              </w:rPr>
              <w:t>Proračuni, drugi nivoi - za posebne i / ili ugovorene namjene</w:t>
            </w:r>
          </w:p>
        </w:tc>
        <w:tc>
          <w:tcPr>
            <w:tcW w:w="1395" w:type="dxa"/>
            <w:tcBorders>
              <w:bottom w:val="single" w:sz="6" w:space="0" w:color="000000"/>
              <w:right w:val="single" w:sz="6" w:space="0" w:color="000000"/>
            </w:tcBorders>
            <w:vAlign w:val="center"/>
          </w:tcPr>
          <w:p w14:paraId="533783F3"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3CDF4BF" w14:textId="77777777" w:rsidR="007D706A" w:rsidRDefault="007D706A" w:rsidP="00F70508">
            <w:pPr>
              <w:pStyle w:val="ParagraphStyle9"/>
              <w:rPr>
                <w:rStyle w:val="CharacterStyle9"/>
              </w:rPr>
            </w:pPr>
            <w:r>
              <w:rPr>
                <w:rStyle w:val="CharacterStyle9"/>
              </w:rPr>
              <w:t>4.950,00</w:t>
            </w:r>
          </w:p>
        </w:tc>
        <w:tc>
          <w:tcPr>
            <w:tcW w:w="1395" w:type="dxa"/>
            <w:tcBorders>
              <w:bottom w:val="single" w:sz="6" w:space="0" w:color="000000"/>
              <w:right w:val="single" w:sz="6" w:space="0" w:color="000000"/>
            </w:tcBorders>
            <w:vAlign w:val="center"/>
          </w:tcPr>
          <w:p w14:paraId="5F32F357"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0AE3409"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60F1887" w14:textId="77777777" w:rsidR="007D706A" w:rsidRDefault="007D706A" w:rsidP="00F70508">
            <w:pPr>
              <w:pStyle w:val="ParagraphStyle9"/>
              <w:rPr>
                <w:rStyle w:val="CharacterStyle9"/>
              </w:rPr>
            </w:pPr>
            <w:r>
              <w:rPr>
                <w:rStyle w:val="CharacterStyle9"/>
              </w:rPr>
              <w:t>0,00</w:t>
            </w:r>
          </w:p>
        </w:tc>
      </w:tr>
      <w:tr w:rsidR="007D706A" w14:paraId="3B12611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4DB39DC"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094762E0"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12A8D67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2383159" w14:textId="77777777" w:rsidR="007D706A" w:rsidRDefault="007D706A" w:rsidP="00F70508">
            <w:pPr>
              <w:pStyle w:val="ParagraphStyle12"/>
              <w:rPr>
                <w:rStyle w:val="CharacterStyle12"/>
              </w:rPr>
            </w:pPr>
            <w:r>
              <w:rPr>
                <w:rStyle w:val="CharacterStyle12"/>
              </w:rPr>
              <w:t>4.950,00</w:t>
            </w:r>
          </w:p>
        </w:tc>
        <w:tc>
          <w:tcPr>
            <w:tcW w:w="1395" w:type="dxa"/>
            <w:tcBorders>
              <w:bottom w:val="single" w:sz="6" w:space="0" w:color="000000"/>
              <w:right w:val="single" w:sz="6" w:space="0" w:color="000000"/>
            </w:tcBorders>
            <w:vAlign w:val="center"/>
          </w:tcPr>
          <w:p w14:paraId="70CA244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5DECF3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FC09B4B" w14:textId="77777777" w:rsidR="007D706A" w:rsidRDefault="007D706A" w:rsidP="00F70508">
            <w:pPr>
              <w:pStyle w:val="ParagraphStyle12"/>
              <w:rPr>
                <w:rStyle w:val="CharacterStyle12"/>
              </w:rPr>
            </w:pPr>
            <w:r>
              <w:rPr>
                <w:rStyle w:val="CharacterStyle12"/>
              </w:rPr>
              <w:t>0,00</w:t>
            </w:r>
          </w:p>
        </w:tc>
      </w:tr>
      <w:tr w:rsidR="007D706A" w14:paraId="621563C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B229454"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08A13B7A"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2C736C7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31422EF" w14:textId="77777777" w:rsidR="007D706A" w:rsidRDefault="007D706A" w:rsidP="00F70508">
            <w:pPr>
              <w:pStyle w:val="ParagraphStyle12"/>
              <w:rPr>
                <w:rStyle w:val="CharacterStyle12"/>
              </w:rPr>
            </w:pPr>
            <w:r>
              <w:rPr>
                <w:rStyle w:val="CharacterStyle12"/>
              </w:rPr>
              <w:t>4.600,00</w:t>
            </w:r>
          </w:p>
        </w:tc>
        <w:tc>
          <w:tcPr>
            <w:tcW w:w="1395" w:type="dxa"/>
            <w:tcBorders>
              <w:bottom w:val="single" w:sz="6" w:space="0" w:color="000000"/>
              <w:right w:val="single" w:sz="6" w:space="0" w:color="000000"/>
            </w:tcBorders>
            <w:vAlign w:val="center"/>
          </w:tcPr>
          <w:p w14:paraId="168D1CA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E90960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BD9155D" w14:textId="77777777" w:rsidR="007D706A" w:rsidRDefault="007D706A" w:rsidP="00F70508">
            <w:pPr>
              <w:pStyle w:val="ParagraphStyle12"/>
              <w:rPr>
                <w:rStyle w:val="CharacterStyle12"/>
              </w:rPr>
            </w:pPr>
            <w:r>
              <w:rPr>
                <w:rStyle w:val="CharacterStyle12"/>
              </w:rPr>
              <w:t>0,00</w:t>
            </w:r>
          </w:p>
        </w:tc>
      </w:tr>
      <w:tr w:rsidR="007D706A" w14:paraId="7814237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9A2B990" w14:textId="77777777" w:rsidR="007D706A" w:rsidRDefault="007D706A" w:rsidP="00F70508">
            <w:pPr>
              <w:pStyle w:val="ParagraphStyle10"/>
              <w:rPr>
                <w:rStyle w:val="CharacterStyle10"/>
              </w:rPr>
            </w:pPr>
            <w:r>
              <w:rPr>
                <w:rStyle w:val="CharacterStyle10"/>
              </w:rPr>
              <w:t>38</w:t>
            </w:r>
          </w:p>
        </w:tc>
        <w:tc>
          <w:tcPr>
            <w:tcW w:w="4995" w:type="dxa"/>
            <w:tcBorders>
              <w:bottom w:val="single" w:sz="6" w:space="0" w:color="000000"/>
              <w:right w:val="single" w:sz="6" w:space="0" w:color="000000"/>
            </w:tcBorders>
            <w:vAlign w:val="center"/>
          </w:tcPr>
          <w:p w14:paraId="22B5C073" w14:textId="77777777" w:rsidR="007D706A" w:rsidRDefault="007D706A" w:rsidP="00F70508">
            <w:pPr>
              <w:pStyle w:val="ParagraphStyle11"/>
              <w:rPr>
                <w:rStyle w:val="CharacterStyle11"/>
              </w:rPr>
            </w:pPr>
            <w:r>
              <w:rPr>
                <w:rStyle w:val="CharacterStyle11"/>
              </w:rPr>
              <w:t>Rashodi za donacije, kazne, naknade šteta i kapitalne pomoći</w:t>
            </w:r>
          </w:p>
        </w:tc>
        <w:tc>
          <w:tcPr>
            <w:tcW w:w="1395" w:type="dxa"/>
            <w:tcBorders>
              <w:bottom w:val="single" w:sz="6" w:space="0" w:color="000000"/>
              <w:right w:val="single" w:sz="6" w:space="0" w:color="000000"/>
            </w:tcBorders>
            <w:vAlign w:val="center"/>
          </w:tcPr>
          <w:p w14:paraId="31A4CE4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A8A2CBF" w14:textId="77777777" w:rsidR="007D706A" w:rsidRDefault="007D706A" w:rsidP="00F70508">
            <w:pPr>
              <w:pStyle w:val="ParagraphStyle12"/>
              <w:rPr>
                <w:rStyle w:val="CharacterStyle12"/>
              </w:rPr>
            </w:pPr>
            <w:r>
              <w:rPr>
                <w:rStyle w:val="CharacterStyle12"/>
              </w:rPr>
              <w:t>350,00</w:t>
            </w:r>
          </w:p>
        </w:tc>
        <w:tc>
          <w:tcPr>
            <w:tcW w:w="1395" w:type="dxa"/>
            <w:tcBorders>
              <w:bottom w:val="single" w:sz="6" w:space="0" w:color="000000"/>
              <w:right w:val="single" w:sz="6" w:space="0" w:color="000000"/>
            </w:tcBorders>
            <w:vAlign w:val="center"/>
          </w:tcPr>
          <w:p w14:paraId="41E362A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B4C23D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306D487" w14:textId="77777777" w:rsidR="007D706A" w:rsidRDefault="007D706A" w:rsidP="00F70508">
            <w:pPr>
              <w:pStyle w:val="ParagraphStyle12"/>
              <w:rPr>
                <w:rStyle w:val="CharacterStyle12"/>
              </w:rPr>
            </w:pPr>
            <w:r>
              <w:rPr>
                <w:rStyle w:val="CharacterStyle12"/>
              </w:rPr>
              <w:t>0,00</w:t>
            </w:r>
          </w:p>
        </w:tc>
      </w:tr>
      <w:tr w:rsidR="007D706A" w14:paraId="52814C1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7A0B58A" w14:textId="77777777" w:rsidR="007D706A" w:rsidRDefault="007D706A" w:rsidP="00F70508">
            <w:pPr>
              <w:pStyle w:val="ParagraphStyle7"/>
              <w:rPr>
                <w:rStyle w:val="CharacterStyle7"/>
              </w:rPr>
            </w:pPr>
            <w:r>
              <w:rPr>
                <w:rStyle w:val="CharacterStyle7"/>
              </w:rPr>
              <w:t>Izvor financiranja 55</w:t>
            </w:r>
          </w:p>
        </w:tc>
        <w:tc>
          <w:tcPr>
            <w:tcW w:w="4995" w:type="dxa"/>
            <w:tcBorders>
              <w:bottom w:val="single" w:sz="6" w:space="0" w:color="000000"/>
              <w:right w:val="single" w:sz="6" w:space="0" w:color="000000"/>
            </w:tcBorders>
            <w:vAlign w:val="center"/>
          </w:tcPr>
          <w:p w14:paraId="2B6142FB" w14:textId="77777777" w:rsidR="007D706A" w:rsidRDefault="007D706A" w:rsidP="00F70508">
            <w:pPr>
              <w:pStyle w:val="ParagraphStyle8"/>
              <w:rPr>
                <w:rStyle w:val="CharacterStyle8"/>
              </w:rPr>
            </w:pPr>
            <w:r>
              <w:rPr>
                <w:rStyle w:val="CharacterStyle8"/>
              </w:rPr>
              <w:t>Pomoći iz inozemstva</w:t>
            </w:r>
          </w:p>
        </w:tc>
        <w:tc>
          <w:tcPr>
            <w:tcW w:w="1395" w:type="dxa"/>
            <w:tcBorders>
              <w:bottom w:val="single" w:sz="6" w:space="0" w:color="000000"/>
              <w:right w:val="single" w:sz="6" w:space="0" w:color="000000"/>
            </w:tcBorders>
            <w:vAlign w:val="center"/>
          </w:tcPr>
          <w:p w14:paraId="4D535479"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0DC9621" w14:textId="77777777" w:rsidR="007D706A" w:rsidRDefault="007D706A" w:rsidP="00F70508">
            <w:pPr>
              <w:pStyle w:val="ParagraphStyle9"/>
              <w:rPr>
                <w:rStyle w:val="CharacterStyle9"/>
              </w:rPr>
            </w:pPr>
            <w:r>
              <w:rPr>
                <w:rStyle w:val="CharacterStyle9"/>
              </w:rPr>
              <w:t>9.500,00</w:t>
            </w:r>
          </w:p>
        </w:tc>
        <w:tc>
          <w:tcPr>
            <w:tcW w:w="1395" w:type="dxa"/>
            <w:tcBorders>
              <w:bottom w:val="single" w:sz="6" w:space="0" w:color="000000"/>
              <w:right w:val="single" w:sz="6" w:space="0" w:color="000000"/>
            </w:tcBorders>
            <w:vAlign w:val="center"/>
          </w:tcPr>
          <w:p w14:paraId="7978203D"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079C377"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A4C7716" w14:textId="77777777" w:rsidR="007D706A" w:rsidRDefault="007D706A" w:rsidP="00F70508">
            <w:pPr>
              <w:pStyle w:val="ParagraphStyle9"/>
              <w:rPr>
                <w:rStyle w:val="CharacterStyle9"/>
              </w:rPr>
            </w:pPr>
            <w:r>
              <w:rPr>
                <w:rStyle w:val="CharacterStyle9"/>
              </w:rPr>
              <w:t>0,00</w:t>
            </w:r>
          </w:p>
        </w:tc>
      </w:tr>
      <w:tr w:rsidR="007D706A" w14:paraId="13A4BC6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55060E0"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37A14166"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4056BF9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B010661" w14:textId="77777777" w:rsidR="007D706A" w:rsidRDefault="007D706A" w:rsidP="00F70508">
            <w:pPr>
              <w:pStyle w:val="ParagraphStyle12"/>
              <w:rPr>
                <w:rStyle w:val="CharacterStyle12"/>
              </w:rPr>
            </w:pPr>
            <w:r>
              <w:rPr>
                <w:rStyle w:val="CharacterStyle12"/>
              </w:rPr>
              <w:t>9.500,00</w:t>
            </w:r>
          </w:p>
        </w:tc>
        <w:tc>
          <w:tcPr>
            <w:tcW w:w="1395" w:type="dxa"/>
            <w:tcBorders>
              <w:bottom w:val="single" w:sz="6" w:space="0" w:color="000000"/>
              <w:right w:val="single" w:sz="6" w:space="0" w:color="000000"/>
            </w:tcBorders>
            <w:vAlign w:val="center"/>
          </w:tcPr>
          <w:p w14:paraId="515EA11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657A24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AF8BE2D" w14:textId="77777777" w:rsidR="007D706A" w:rsidRDefault="007D706A" w:rsidP="00F70508">
            <w:pPr>
              <w:pStyle w:val="ParagraphStyle12"/>
              <w:rPr>
                <w:rStyle w:val="CharacterStyle12"/>
              </w:rPr>
            </w:pPr>
            <w:r>
              <w:rPr>
                <w:rStyle w:val="CharacterStyle12"/>
              </w:rPr>
              <w:t>0,00</w:t>
            </w:r>
          </w:p>
        </w:tc>
      </w:tr>
      <w:tr w:rsidR="007D706A" w14:paraId="56F8812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1DBD4FE" w14:textId="77777777" w:rsidR="007D706A" w:rsidRDefault="007D706A" w:rsidP="00F70508">
            <w:pPr>
              <w:pStyle w:val="ParagraphStyle10"/>
              <w:rPr>
                <w:rStyle w:val="CharacterStyle10"/>
              </w:rPr>
            </w:pPr>
            <w:r>
              <w:rPr>
                <w:rStyle w:val="CharacterStyle10"/>
              </w:rPr>
              <w:t>31</w:t>
            </w:r>
          </w:p>
        </w:tc>
        <w:tc>
          <w:tcPr>
            <w:tcW w:w="4995" w:type="dxa"/>
            <w:tcBorders>
              <w:bottom w:val="single" w:sz="6" w:space="0" w:color="000000"/>
              <w:right w:val="single" w:sz="6" w:space="0" w:color="000000"/>
            </w:tcBorders>
            <w:vAlign w:val="center"/>
          </w:tcPr>
          <w:p w14:paraId="5986E27F" w14:textId="77777777" w:rsidR="007D706A" w:rsidRDefault="007D706A" w:rsidP="00F70508">
            <w:pPr>
              <w:pStyle w:val="ParagraphStyle11"/>
              <w:rPr>
                <w:rStyle w:val="CharacterStyle11"/>
              </w:rPr>
            </w:pPr>
            <w:r>
              <w:rPr>
                <w:rStyle w:val="CharacterStyle11"/>
              </w:rPr>
              <w:t>Rashodi za zaposlene</w:t>
            </w:r>
          </w:p>
        </w:tc>
        <w:tc>
          <w:tcPr>
            <w:tcW w:w="1395" w:type="dxa"/>
            <w:tcBorders>
              <w:bottom w:val="single" w:sz="6" w:space="0" w:color="000000"/>
              <w:right w:val="single" w:sz="6" w:space="0" w:color="000000"/>
            </w:tcBorders>
            <w:vAlign w:val="center"/>
          </w:tcPr>
          <w:p w14:paraId="26AC144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291CD97" w14:textId="77777777" w:rsidR="007D706A" w:rsidRDefault="007D706A" w:rsidP="00F70508">
            <w:pPr>
              <w:pStyle w:val="ParagraphStyle12"/>
              <w:rPr>
                <w:rStyle w:val="CharacterStyle12"/>
              </w:rPr>
            </w:pPr>
            <w:r>
              <w:rPr>
                <w:rStyle w:val="CharacterStyle12"/>
              </w:rPr>
              <w:t>100,00</w:t>
            </w:r>
          </w:p>
        </w:tc>
        <w:tc>
          <w:tcPr>
            <w:tcW w:w="1395" w:type="dxa"/>
            <w:tcBorders>
              <w:bottom w:val="single" w:sz="6" w:space="0" w:color="000000"/>
              <w:right w:val="single" w:sz="6" w:space="0" w:color="000000"/>
            </w:tcBorders>
            <w:vAlign w:val="center"/>
          </w:tcPr>
          <w:p w14:paraId="1E88FAB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807F92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4EF2F5B" w14:textId="77777777" w:rsidR="007D706A" w:rsidRDefault="007D706A" w:rsidP="00F70508">
            <w:pPr>
              <w:pStyle w:val="ParagraphStyle12"/>
              <w:rPr>
                <w:rStyle w:val="CharacterStyle12"/>
              </w:rPr>
            </w:pPr>
            <w:r>
              <w:rPr>
                <w:rStyle w:val="CharacterStyle12"/>
              </w:rPr>
              <w:t>0,00</w:t>
            </w:r>
          </w:p>
        </w:tc>
      </w:tr>
      <w:tr w:rsidR="007D706A" w14:paraId="7B407DF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67EF5B5"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1FA4DA00"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124C032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92197C8" w14:textId="77777777" w:rsidR="007D706A" w:rsidRDefault="007D706A" w:rsidP="00F70508">
            <w:pPr>
              <w:pStyle w:val="ParagraphStyle12"/>
              <w:rPr>
                <w:rStyle w:val="CharacterStyle12"/>
              </w:rPr>
            </w:pPr>
            <w:r>
              <w:rPr>
                <w:rStyle w:val="CharacterStyle12"/>
              </w:rPr>
              <w:t>9.400,00</w:t>
            </w:r>
          </w:p>
        </w:tc>
        <w:tc>
          <w:tcPr>
            <w:tcW w:w="1395" w:type="dxa"/>
            <w:tcBorders>
              <w:bottom w:val="single" w:sz="6" w:space="0" w:color="000000"/>
              <w:right w:val="single" w:sz="6" w:space="0" w:color="000000"/>
            </w:tcBorders>
            <w:vAlign w:val="center"/>
          </w:tcPr>
          <w:p w14:paraId="68C8985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28A174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6ABE36C" w14:textId="77777777" w:rsidR="007D706A" w:rsidRDefault="007D706A" w:rsidP="00F70508">
            <w:pPr>
              <w:pStyle w:val="ParagraphStyle12"/>
              <w:rPr>
                <w:rStyle w:val="CharacterStyle12"/>
              </w:rPr>
            </w:pPr>
            <w:r>
              <w:rPr>
                <w:rStyle w:val="CharacterStyle12"/>
              </w:rPr>
              <w:t>0,00</w:t>
            </w:r>
          </w:p>
        </w:tc>
      </w:tr>
      <w:tr w:rsidR="007D706A" w14:paraId="45ACF94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42DAE31" w14:textId="77777777" w:rsidR="007D706A" w:rsidRDefault="007D706A" w:rsidP="00F70508">
            <w:pPr>
              <w:pStyle w:val="ParagraphStyle7"/>
              <w:rPr>
                <w:rStyle w:val="CharacterStyle7"/>
              </w:rPr>
            </w:pPr>
            <w:r>
              <w:rPr>
                <w:rStyle w:val="CharacterStyle7"/>
              </w:rPr>
              <w:t>Izvor financiranja 61</w:t>
            </w:r>
          </w:p>
        </w:tc>
        <w:tc>
          <w:tcPr>
            <w:tcW w:w="4995" w:type="dxa"/>
            <w:tcBorders>
              <w:bottom w:val="single" w:sz="6" w:space="0" w:color="000000"/>
              <w:right w:val="single" w:sz="6" w:space="0" w:color="000000"/>
            </w:tcBorders>
            <w:vAlign w:val="center"/>
          </w:tcPr>
          <w:p w14:paraId="17808E02" w14:textId="77777777" w:rsidR="007D706A" w:rsidRDefault="007D706A" w:rsidP="00F70508">
            <w:pPr>
              <w:pStyle w:val="ParagraphStyle8"/>
              <w:rPr>
                <w:rStyle w:val="CharacterStyle8"/>
              </w:rPr>
            </w:pPr>
            <w:r>
              <w:rPr>
                <w:rStyle w:val="CharacterStyle8"/>
              </w:rPr>
              <w:t>Donacije</w:t>
            </w:r>
          </w:p>
        </w:tc>
        <w:tc>
          <w:tcPr>
            <w:tcW w:w="1395" w:type="dxa"/>
            <w:tcBorders>
              <w:bottom w:val="single" w:sz="6" w:space="0" w:color="000000"/>
              <w:right w:val="single" w:sz="6" w:space="0" w:color="000000"/>
            </w:tcBorders>
            <w:vAlign w:val="center"/>
          </w:tcPr>
          <w:p w14:paraId="39D48E1C"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A5CA888" w14:textId="77777777" w:rsidR="007D706A" w:rsidRDefault="007D706A" w:rsidP="00F70508">
            <w:pPr>
              <w:pStyle w:val="ParagraphStyle9"/>
              <w:rPr>
                <w:rStyle w:val="CharacterStyle9"/>
              </w:rPr>
            </w:pPr>
            <w:r>
              <w:rPr>
                <w:rStyle w:val="CharacterStyle9"/>
              </w:rPr>
              <w:t>3.600,00</w:t>
            </w:r>
          </w:p>
        </w:tc>
        <w:tc>
          <w:tcPr>
            <w:tcW w:w="1395" w:type="dxa"/>
            <w:tcBorders>
              <w:bottom w:val="single" w:sz="6" w:space="0" w:color="000000"/>
              <w:right w:val="single" w:sz="6" w:space="0" w:color="000000"/>
            </w:tcBorders>
            <w:vAlign w:val="center"/>
          </w:tcPr>
          <w:p w14:paraId="3FBA3383" w14:textId="77777777" w:rsidR="007D706A" w:rsidRDefault="007D706A" w:rsidP="00F70508">
            <w:pPr>
              <w:pStyle w:val="ParagraphStyle9"/>
              <w:rPr>
                <w:rStyle w:val="CharacterStyle9"/>
              </w:rPr>
            </w:pPr>
            <w:r>
              <w:rPr>
                <w:rStyle w:val="CharacterStyle9"/>
              </w:rPr>
              <w:t>6.000,00</w:t>
            </w:r>
          </w:p>
        </w:tc>
        <w:tc>
          <w:tcPr>
            <w:tcW w:w="1395" w:type="dxa"/>
            <w:tcBorders>
              <w:bottom w:val="single" w:sz="6" w:space="0" w:color="000000"/>
              <w:right w:val="single" w:sz="6" w:space="0" w:color="000000"/>
            </w:tcBorders>
            <w:vAlign w:val="center"/>
          </w:tcPr>
          <w:p w14:paraId="6556F4B7" w14:textId="77777777" w:rsidR="007D706A" w:rsidRDefault="007D706A" w:rsidP="00F70508">
            <w:pPr>
              <w:pStyle w:val="ParagraphStyle9"/>
              <w:rPr>
                <w:rStyle w:val="CharacterStyle9"/>
              </w:rPr>
            </w:pPr>
            <w:r>
              <w:rPr>
                <w:rStyle w:val="CharacterStyle9"/>
              </w:rPr>
              <w:t>6.240,00</w:t>
            </w:r>
          </w:p>
        </w:tc>
        <w:tc>
          <w:tcPr>
            <w:tcW w:w="1395" w:type="dxa"/>
            <w:tcBorders>
              <w:bottom w:val="single" w:sz="6" w:space="0" w:color="000000"/>
              <w:right w:val="single" w:sz="6" w:space="0" w:color="000000"/>
            </w:tcBorders>
            <w:vAlign w:val="center"/>
          </w:tcPr>
          <w:p w14:paraId="53F6FF4C" w14:textId="77777777" w:rsidR="007D706A" w:rsidRDefault="007D706A" w:rsidP="00F70508">
            <w:pPr>
              <w:pStyle w:val="ParagraphStyle9"/>
              <w:rPr>
                <w:rStyle w:val="CharacterStyle9"/>
              </w:rPr>
            </w:pPr>
            <w:r>
              <w:rPr>
                <w:rStyle w:val="CharacterStyle9"/>
              </w:rPr>
              <w:t>6.303,00</w:t>
            </w:r>
          </w:p>
        </w:tc>
      </w:tr>
      <w:tr w:rsidR="007D706A" w14:paraId="18DDEB3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7E2E2A5"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761D97F9"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685C28F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29C48CC" w14:textId="77777777" w:rsidR="007D706A" w:rsidRDefault="007D706A" w:rsidP="00F70508">
            <w:pPr>
              <w:pStyle w:val="ParagraphStyle12"/>
              <w:rPr>
                <w:rStyle w:val="CharacterStyle12"/>
              </w:rPr>
            </w:pPr>
            <w:r>
              <w:rPr>
                <w:rStyle w:val="CharacterStyle12"/>
              </w:rPr>
              <w:t>3.600,00</w:t>
            </w:r>
          </w:p>
        </w:tc>
        <w:tc>
          <w:tcPr>
            <w:tcW w:w="1395" w:type="dxa"/>
            <w:tcBorders>
              <w:bottom w:val="single" w:sz="6" w:space="0" w:color="000000"/>
              <w:right w:val="single" w:sz="6" w:space="0" w:color="000000"/>
            </w:tcBorders>
            <w:vAlign w:val="center"/>
          </w:tcPr>
          <w:p w14:paraId="30A19560" w14:textId="77777777" w:rsidR="007D706A" w:rsidRDefault="007D706A" w:rsidP="00F70508">
            <w:pPr>
              <w:pStyle w:val="ParagraphStyle12"/>
              <w:rPr>
                <w:rStyle w:val="CharacterStyle12"/>
              </w:rPr>
            </w:pPr>
            <w:r>
              <w:rPr>
                <w:rStyle w:val="CharacterStyle12"/>
              </w:rPr>
              <w:t>6.000,00</w:t>
            </w:r>
          </w:p>
        </w:tc>
        <w:tc>
          <w:tcPr>
            <w:tcW w:w="1395" w:type="dxa"/>
            <w:tcBorders>
              <w:bottom w:val="single" w:sz="6" w:space="0" w:color="000000"/>
              <w:right w:val="single" w:sz="6" w:space="0" w:color="000000"/>
            </w:tcBorders>
            <w:vAlign w:val="center"/>
          </w:tcPr>
          <w:p w14:paraId="41EC407E" w14:textId="77777777" w:rsidR="007D706A" w:rsidRDefault="007D706A" w:rsidP="00F70508">
            <w:pPr>
              <w:pStyle w:val="ParagraphStyle12"/>
              <w:rPr>
                <w:rStyle w:val="CharacterStyle12"/>
              </w:rPr>
            </w:pPr>
            <w:r>
              <w:rPr>
                <w:rStyle w:val="CharacterStyle12"/>
              </w:rPr>
              <w:t>6.240,00</w:t>
            </w:r>
          </w:p>
        </w:tc>
        <w:tc>
          <w:tcPr>
            <w:tcW w:w="1395" w:type="dxa"/>
            <w:tcBorders>
              <w:bottom w:val="single" w:sz="6" w:space="0" w:color="000000"/>
              <w:right w:val="single" w:sz="6" w:space="0" w:color="000000"/>
            </w:tcBorders>
            <w:vAlign w:val="center"/>
          </w:tcPr>
          <w:p w14:paraId="1F72F997" w14:textId="77777777" w:rsidR="007D706A" w:rsidRDefault="007D706A" w:rsidP="00F70508">
            <w:pPr>
              <w:pStyle w:val="ParagraphStyle12"/>
              <w:rPr>
                <w:rStyle w:val="CharacterStyle12"/>
              </w:rPr>
            </w:pPr>
            <w:r>
              <w:rPr>
                <w:rStyle w:val="CharacterStyle12"/>
              </w:rPr>
              <w:t>6.303,00</w:t>
            </w:r>
          </w:p>
        </w:tc>
      </w:tr>
      <w:tr w:rsidR="007D706A" w14:paraId="00F8D78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494D919"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2D595831"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57992DE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A8322E1" w14:textId="77777777" w:rsidR="007D706A" w:rsidRDefault="007D706A" w:rsidP="00F70508">
            <w:pPr>
              <w:pStyle w:val="ParagraphStyle12"/>
              <w:rPr>
                <w:rStyle w:val="CharacterStyle12"/>
              </w:rPr>
            </w:pPr>
            <w:r>
              <w:rPr>
                <w:rStyle w:val="CharacterStyle12"/>
              </w:rPr>
              <w:t>3.600,00</w:t>
            </w:r>
          </w:p>
        </w:tc>
        <w:tc>
          <w:tcPr>
            <w:tcW w:w="1395" w:type="dxa"/>
            <w:tcBorders>
              <w:bottom w:val="single" w:sz="6" w:space="0" w:color="000000"/>
              <w:right w:val="single" w:sz="6" w:space="0" w:color="000000"/>
            </w:tcBorders>
            <w:vAlign w:val="center"/>
          </w:tcPr>
          <w:p w14:paraId="03DDE669" w14:textId="77777777" w:rsidR="007D706A" w:rsidRDefault="007D706A" w:rsidP="00F70508">
            <w:pPr>
              <w:pStyle w:val="ParagraphStyle12"/>
              <w:rPr>
                <w:rStyle w:val="CharacterStyle12"/>
              </w:rPr>
            </w:pPr>
            <w:r>
              <w:rPr>
                <w:rStyle w:val="CharacterStyle12"/>
              </w:rPr>
              <w:t>6.000,00</w:t>
            </w:r>
          </w:p>
        </w:tc>
        <w:tc>
          <w:tcPr>
            <w:tcW w:w="1395" w:type="dxa"/>
            <w:tcBorders>
              <w:bottom w:val="single" w:sz="6" w:space="0" w:color="000000"/>
              <w:right w:val="single" w:sz="6" w:space="0" w:color="000000"/>
            </w:tcBorders>
            <w:vAlign w:val="center"/>
          </w:tcPr>
          <w:p w14:paraId="72DD075C" w14:textId="77777777" w:rsidR="007D706A" w:rsidRDefault="007D706A" w:rsidP="00F70508">
            <w:pPr>
              <w:pStyle w:val="ParagraphStyle12"/>
              <w:rPr>
                <w:rStyle w:val="CharacterStyle12"/>
              </w:rPr>
            </w:pPr>
            <w:r>
              <w:rPr>
                <w:rStyle w:val="CharacterStyle12"/>
              </w:rPr>
              <w:t>6.240,00</w:t>
            </w:r>
          </w:p>
        </w:tc>
        <w:tc>
          <w:tcPr>
            <w:tcW w:w="1395" w:type="dxa"/>
            <w:tcBorders>
              <w:bottom w:val="single" w:sz="6" w:space="0" w:color="000000"/>
              <w:right w:val="single" w:sz="6" w:space="0" w:color="000000"/>
            </w:tcBorders>
            <w:vAlign w:val="center"/>
          </w:tcPr>
          <w:p w14:paraId="24703DA0" w14:textId="77777777" w:rsidR="007D706A" w:rsidRDefault="007D706A" w:rsidP="00F70508">
            <w:pPr>
              <w:pStyle w:val="ParagraphStyle12"/>
              <w:rPr>
                <w:rStyle w:val="CharacterStyle12"/>
              </w:rPr>
            </w:pPr>
            <w:r>
              <w:rPr>
                <w:rStyle w:val="CharacterStyle12"/>
              </w:rPr>
              <w:t>6.303,00</w:t>
            </w:r>
          </w:p>
        </w:tc>
      </w:tr>
      <w:tr w:rsidR="007D706A" w14:paraId="690F69F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5702210" w14:textId="77777777" w:rsidR="007D706A" w:rsidRDefault="007D706A" w:rsidP="00F70508">
            <w:pPr>
              <w:pStyle w:val="ParagraphStyle4"/>
              <w:rPr>
                <w:rStyle w:val="CharacterStyle4"/>
              </w:rPr>
            </w:pPr>
            <w:r>
              <w:rPr>
                <w:rStyle w:val="CharacterStyle4"/>
              </w:rPr>
              <w:t>Tekući projekt T103604</w:t>
            </w:r>
          </w:p>
        </w:tc>
        <w:tc>
          <w:tcPr>
            <w:tcW w:w="4995" w:type="dxa"/>
            <w:tcBorders>
              <w:bottom w:val="single" w:sz="6" w:space="0" w:color="000000"/>
              <w:right w:val="single" w:sz="6" w:space="0" w:color="000000"/>
            </w:tcBorders>
            <w:vAlign w:val="center"/>
          </w:tcPr>
          <w:p w14:paraId="19D7B47B" w14:textId="77777777" w:rsidR="007D706A" w:rsidRDefault="007D706A" w:rsidP="00F70508">
            <w:pPr>
              <w:pStyle w:val="ParagraphStyle5"/>
              <w:rPr>
                <w:rStyle w:val="CharacterStyle5"/>
              </w:rPr>
            </w:pPr>
            <w:r>
              <w:rPr>
                <w:rStyle w:val="CharacterStyle5"/>
              </w:rPr>
              <w:t>ŠKOLSKA SHEMA</w:t>
            </w:r>
          </w:p>
        </w:tc>
        <w:tc>
          <w:tcPr>
            <w:tcW w:w="1395" w:type="dxa"/>
            <w:tcBorders>
              <w:bottom w:val="single" w:sz="6" w:space="0" w:color="000000"/>
              <w:right w:val="single" w:sz="6" w:space="0" w:color="000000"/>
            </w:tcBorders>
            <w:vAlign w:val="center"/>
          </w:tcPr>
          <w:p w14:paraId="03338A82"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6B555D10" w14:textId="77777777" w:rsidR="007D706A" w:rsidRDefault="007D706A" w:rsidP="00F70508">
            <w:pPr>
              <w:pStyle w:val="ParagraphStyle6"/>
              <w:rPr>
                <w:rStyle w:val="CharacterStyle6"/>
              </w:rPr>
            </w:pPr>
            <w:r>
              <w:rPr>
                <w:rStyle w:val="CharacterStyle6"/>
              </w:rPr>
              <w:t>1.000,00</w:t>
            </w:r>
          </w:p>
        </w:tc>
        <w:tc>
          <w:tcPr>
            <w:tcW w:w="1395" w:type="dxa"/>
            <w:tcBorders>
              <w:bottom w:val="single" w:sz="6" w:space="0" w:color="000000"/>
              <w:right w:val="single" w:sz="6" w:space="0" w:color="000000"/>
            </w:tcBorders>
            <w:vAlign w:val="center"/>
          </w:tcPr>
          <w:p w14:paraId="44E025BA" w14:textId="77777777" w:rsidR="007D706A" w:rsidRDefault="007D706A" w:rsidP="00F70508">
            <w:pPr>
              <w:pStyle w:val="ParagraphStyle6"/>
              <w:rPr>
                <w:rStyle w:val="CharacterStyle6"/>
              </w:rPr>
            </w:pPr>
            <w:r>
              <w:rPr>
                <w:rStyle w:val="CharacterStyle6"/>
              </w:rPr>
              <w:t>1.000,00</w:t>
            </w:r>
          </w:p>
        </w:tc>
        <w:tc>
          <w:tcPr>
            <w:tcW w:w="1395" w:type="dxa"/>
            <w:tcBorders>
              <w:bottom w:val="single" w:sz="6" w:space="0" w:color="000000"/>
              <w:right w:val="single" w:sz="6" w:space="0" w:color="000000"/>
            </w:tcBorders>
            <w:vAlign w:val="center"/>
          </w:tcPr>
          <w:p w14:paraId="6614252A" w14:textId="77777777" w:rsidR="007D706A" w:rsidRDefault="007D706A" w:rsidP="00F70508">
            <w:pPr>
              <w:pStyle w:val="ParagraphStyle6"/>
              <w:rPr>
                <w:rStyle w:val="CharacterStyle6"/>
              </w:rPr>
            </w:pPr>
            <w:r>
              <w:rPr>
                <w:rStyle w:val="CharacterStyle6"/>
              </w:rPr>
              <w:t>1.000,00</w:t>
            </w:r>
          </w:p>
        </w:tc>
        <w:tc>
          <w:tcPr>
            <w:tcW w:w="1395" w:type="dxa"/>
            <w:tcBorders>
              <w:bottom w:val="single" w:sz="6" w:space="0" w:color="000000"/>
              <w:right w:val="single" w:sz="6" w:space="0" w:color="000000"/>
            </w:tcBorders>
            <w:vAlign w:val="center"/>
          </w:tcPr>
          <w:p w14:paraId="2DE298DF" w14:textId="77777777" w:rsidR="007D706A" w:rsidRDefault="007D706A" w:rsidP="00F70508">
            <w:pPr>
              <w:pStyle w:val="ParagraphStyle6"/>
              <w:rPr>
                <w:rStyle w:val="CharacterStyle6"/>
              </w:rPr>
            </w:pPr>
            <w:r>
              <w:rPr>
                <w:rStyle w:val="CharacterStyle6"/>
              </w:rPr>
              <w:t>1.000,00</w:t>
            </w:r>
          </w:p>
        </w:tc>
      </w:tr>
      <w:tr w:rsidR="007D706A" w14:paraId="647AE46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F612976"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1D804998"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5D9408C2"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320F1B1" w14:textId="77777777" w:rsidR="007D706A" w:rsidRDefault="007D706A" w:rsidP="00F70508">
            <w:pPr>
              <w:pStyle w:val="ParagraphStyle9"/>
              <w:rPr>
                <w:rStyle w:val="CharacterStyle9"/>
              </w:rPr>
            </w:pPr>
            <w:r>
              <w:rPr>
                <w:rStyle w:val="CharacterStyle9"/>
              </w:rPr>
              <w:t>1.000,00</w:t>
            </w:r>
          </w:p>
        </w:tc>
        <w:tc>
          <w:tcPr>
            <w:tcW w:w="1395" w:type="dxa"/>
            <w:tcBorders>
              <w:bottom w:val="single" w:sz="6" w:space="0" w:color="000000"/>
              <w:right w:val="single" w:sz="6" w:space="0" w:color="000000"/>
            </w:tcBorders>
            <w:vAlign w:val="center"/>
          </w:tcPr>
          <w:p w14:paraId="71E4C666" w14:textId="77777777" w:rsidR="007D706A" w:rsidRDefault="007D706A" w:rsidP="00F70508">
            <w:pPr>
              <w:pStyle w:val="ParagraphStyle9"/>
              <w:rPr>
                <w:rStyle w:val="CharacterStyle9"/>
              </w:rPr>
            </w:pPr>
            <w:r>
              <w:rPr>
                <w:rStyle w:val="CharacterStyle9"/>
              </w:rPr>
              <w:t>1.000,00</w:t>
            </w:r>
          </w:p>
        </w:tc>
        <w:tc>
          <w:tcPr>
            <w:tcW w:w="1395" w:type="dxa"/>
            <w:tcBorders>
              <w:bottom w:val="single" w:sz="6" w:space="0" w:color="000000"/>
              <w:right w:val="single" w:sz="6" w:space="0" w:color="000000"/>
            </w:tcBorders>
            <w:vAlign w:val="center"/>
          </w:tcPr>
          <w:p w14:paraId="709C329C" w14:textId="77777777" w:rsidR="007D706A" w:rsidRDefault="007D706A" w:rsidP="00F70508">
            <w:pPr>
              <w:pStyle w:val="ParagraphStyle9"/>
              <w:rPr>
                <w:rStyle w:val="CharacterStyle9"/>
              </w:rPr>
            </w:pPr>
            <w:r>
              <w:rPr>
                <w:rStyle w:val="CharacterStyle9"/>
              </w:rPr>
              <w:t>1.000,00</w:t>
            </w:r>
          </w:p>
        </w:tc>
        <w:tc>
          <w:tcPr>
            <w:tcW w:w="1395" w:type="dxa"/>
            <w:tcBorders>
              <w:bottom w:val="single" w:sz="6" w:space="0" w:color="000000"/>
              <w:right w:val="single" w:sz="6" w:space="0" w:color="000000"/>
            </w:tcBorders>
            <w:vAlign w:val="center"/>
          </w:tcPr>
          <w:p w14:paraId="334E78BE" w14:textId="77777777" w:rsidR="007D706A" w:rsidRDefault="007D706A" w:rsidP="00F70508">
            <w:pPr>
              <w:pStyle w:val="ParagraphStyle9"/>
              <w:rPr>
                <w:rStyle w:val="CharacterStyle9"/>
              </w:rPr>
            </w:pPr>
            <w:r>
              <w:rPr>
                <w:rStyle w:val="CharacterStyle9"/>
              </w:rPr>
              <w:t>1.000,00</w:t>
            </w:r>
          </w:p>
        </w:tc>
      </w:tr>
      <w:tr w:rsidR="007D706A" w14:paraId="1D646D8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999BD14"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79F78ACB"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2894887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5449E8A" w14:textId="77777777" w:rsidR="007D706A" w:rsidRDefault="007D706A" w:rsidP="00F70508">
            <w:pPr>
              <w:pStyle w:val="ParagraphStyle12"/>
              <w:rPr>
                <w:rStyle w:val="CharacterStyle12"/>
              </w:rPr>
            </w:pPr>
            <w:r>
              <w:rPr>
                <w:rStyle w:val="CharacterStyle12"/>
              </w:rPr>
              <w:t>1.000,00</w:t>
            </w:r>
          </w:p>
        </w:tc>
        <w:tc>
          <w:tcPr>
            <w:tcW w:w="1395" w:type="dxa"/>
            <w:tcBorders>
              <w:bottom w:val="single" w:sz="6" w:space="0" w:color="000000"/>
              <w:right w:val="single" w:sz="6" w:space="0" w:color="000000"/>
            </w:tcBorders>
            <w:vAlign w:val="center"/>
          </w:tcPr>
          <w:p w14:paraId="1482F565" w14:textId="77777777" w:rsidR="007D706A" w:rsidRDefault="007D706A" w:rsidP="00F70508">
            <w:pPr>
              <w:pStyle w:val="ParagraphStyle12"/>
              <w:rPr>
                <w:rStyle w:val="CharacterStyle12"/>
              </w:rPr>
            </w:pPr>
            <w:r>
              <w:rPr>
                <w:rStyle w:val="CharacterStyle12"/>
              </w:rPr>
              <w:t>1.000,00</w:t>
            </w:r>
          </w:p>
        </w:tc>
        <w:tc>
          <w:tcPr>
            <w:tcW w:w="1395" w:type="dxa"/>
            <w:tcBorders>
              <w:bottom w:val="single" w:sz="6" w:space="0" w:color="000000"/>
              <w:right w:val="single" w:sz="6" w:space="0" w:color="000000"/>
            </w:tcBorders>
            <w:vAlign w:val="center"/>
          </w:tcPr>
          <w:p w14:paraId="7F0CCE52" w14:textId="77777777" w:rsidR="007D706A" w:rsidRDefault="007D706A" w:rsidP="00F70508">
            <w:pPr>
              <w:pStyle w:val="ParagraphStyle12"/>
              <w:rPr>
                <w:rStyle w:val="CharacterStyle12"/>
              </w:rPr>
            </w:pPr>
            <w:r>
              <w:rPr>
                <w:rStyle w:val="CharacterStyle12"/>
              </w:rPr>
              <w:t>1.000,00</w:t>
            </w:r>
          </w:p>
        </w:tc>
        <w:tc>
          <w:tcPr>
            <w:tcW w:w="1395" w:type="dxa"/>
            <w:tcBorders>
              <w:bottom w:val="single" w:sz="6" w:space="0" w:color="000000"/>
              <w:right w:val="single" w:sz="6" w:space="0" w:color="000000"/>
            </w:tcBorders>
            <w:vAlign w:val="center"/>
          </w:tcPr>
          <w:p w14:paraId="29542D8E" w14:textId="77777777" w:rsidR="007D706A" w:rsidRDefault="007D706A" w:rsidP="00F70508">
            <w:pPr>
              <w:pStyle w:val="ParagraphStyle12"/>
              <w:rPr>
                <w:rStyle w:val="CharacterStyle12"/>
              </w:rPr>
            </w:pPr>
            <w:r>
              <w:rPr>
                <w:rStyle w:val="CharacterStyle12"/>
              </w:rPr>
              <w:t>1.000,00</w:t>
            </w:r>
          </w:p>
        </w:tc>
      </w:tr>
      <w:tr w:rsidR="007D706A" w14:paraId="160255C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0CB0F84"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791F0042"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3559E4D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4AD6938" w14:textId="77777777" w:rsidR="007D706A" w:rsidRDefault="007D706A" w:rsidP="00F70508">
            <w:pPr>
              <w:pStyle w:val="ParagraphStyle12"/>
              <w:rPr>
                <w:rStyle w:val="CharacterStyle12"/>
              </w:rPr>
            </w:pPr>
            <w:r>
              <w:rPr>
                <w:rStyle w:val="CharacterStyle12"/>
              </w:rPr>
              <w:t>1.000,00</w:t>
            </w:r>
          </w:p>
        </w:tc>
        <w:tc>
          <w:tcPr>
            <w:tcW w:w="1395" w:type="dxa"/>
            <w:tcBorders>
              <w:bottom w:val="single" w:sz="6" w:space="0" w:color="000000"/>
              <w:right w:val="single" w:sz="6" w:space="0" w:color="000000"/>
            </w:tcBorders>
            <w:vAlign w:val="center"/>
          </w:tcPr>
          <w:p w14:paraId="1BAA6402" w14:textId="77777777" w:rsidR="007D706A" w:rsidRDefault="007D706A" w:rsidP="00F70508">
            <w:pPr>
              <w:pStyle w:val="ParagraphStyle12"/>
              <w:rPr>
                <w:rStyle w:val="CharacterStyle12"/>
              </w:rPr>
            </w:pPr>
            <w:r>
              <w:rPr>
                <w:rStyle w:val="CharacterStyle12"/>
              </w:rPr>
              <w:t>1.000,00</w:t>
            </w:r>
          </w:p>
        </w:tc>
        <w:tc>
          <w:tcPr>
            <w:tcW w:w="1395" w:type="dxa"/>
            <w:tcBorders>
              <w:bottom w:val="single" w:sz="6" w:space="0" w:color="000000"/>
              <w:right w:val="single" w:sz="6" w:space="0" w:color="000000"/>
            </w:tcBorders>
            <w:vAlign w:val="center"/>
          </w:tcPr>
          <w:p w14:paraId="72CB7252" w14:textId="77777777" w:rsidR="007D706A" w:rsidRDefault="007D706A" w:rsidP="00F70508">
            <w:pPr>
              <w:pStyle w:val="ParagraphStyle12"/>
              <w:rPr>
                <w:rStyle w:val="CharacterStyle12"/>
              </w:rPr>
            </w:pPr>
            <w:r>
              <w:rPr>
                <w:rStyle w:val="CharacterStyle12"/>
              </w:rPr>
              <w:t>1.000,00</w:t>
            </w:r>
          </w:p>
        </w:tc>
        <w:tc>
          <w:tcPr>
            <w:tcW w:w="1395" w:type="dxa"/>
            <w:tcBorders>
              <w:bottom w:val="single" w:sz="6" w:space="0" w:color="000000"/>
              <w:right w:val="single" w:sz="6" w:space="0" w:color="000000"/>
            </w:tcBorders>
            <w:vAlign w:val="center"/>
          </w:tcPr>
          <w:p w14:paraId="01EDAC94" w14:textId="77777777" w:rsidR="007D706A" w:rsidRDefault="007D706A" w:rsidP="00F70508">
            <w:pPr>
              <w:pStyle w:val="ParagraphStyle12"/>
              <w:rPr>
                <w:rStyle w:val="CharacterStyle12"/>
              </w:rPr>
            </w:pPr>
            <w:r>
              <w:rPr>
                <w:rStyle w:val="CharacterStyle12"/>
              </w:rPr>
              <w:t>1.000,00</w:t>
            </w:r>
          </w:p>
        </w:tc>
      </w:tr>
      <w:tr w:rsidR="007D706A" w14:paraId="465A642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2A07221" w14:textId="77777777" w:rsidR="007D706A" w:rsidRDefault="007D706A" w:rsidP="00F70508">
            <w:pPr>
              <w:pStyle w:val="ParagraphStyle4"/>
              <w:rPr>
                <w:rStyle w:val="CharacterStyle4"/>
              </w:rPr>
            </w:pPr>
            <w:r>
              <w:rPr>
                <w:rStyle w:val="CharacterStyle4"/>
              </w:rPr>
              <w:t>Tekući projekt T103627</w:t>
            </w:r>
          </w:p>
        </w:tc>
        <w:tc>
          <w:tcPr>
            <w:tcW w:w="4995" w:type="dxa"/>
            <w:tcBorders>
              <w:bottom w:val="single" w:sz="6" w:space="0" w:color="000000"/>
              <w:right w:val="single" w:sz="6" w:space="0" w:color="000000"/>
            </w:tcBorders>
            <w:vAlign w:val="center"/>
          </w:tcPr>
          <w:p w14:paraId="1047427E" w14:textId="77777777" w:rsidR="007D706A" w:rsidRDefault="007D706A" w:rsidP="00F70508">
            <w:pPr>
              <w:pStyle w:val="ParagraphStyle5"/>
              <w:rPr>
                <w:rStyle w:val="CharacterStyle5"/>
              </w:rPr>
            </w:pPr>
            <w:r>
              <w:rPr>
                <w:rStyle w:val="CharacterStyle5"/>
              </w:rPr>
              <w:t>POMOĆNICI U NASTAVI</w:t>
            </w:r>
          </w:p>
        </w:tc>
        <w:tc>
          <w:tcPr>
            <w:tcW w:w="1395" w:type="dxa"/>
            <w:tcBorders>
              <w:bottom w:val="single" w:sz="6" w:space="0" w:color="000000"/>
              <w:right w:val="single" w:sz="6" w:space="0" w:color="000000"/>
            </w:tcBorders>
            <w:vAlign w:val="center"/>
          </w:tcPr>
          <w:p w14:paraId="18CEA1D6"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4A233BD9" w14:textId="77777777" w:rsidR="007D706A" w:rsidRDefault="007D706A" w:rsidP="00F70508">
            <w:pPr>
              <w:pStyle w:val="ParagraphStyle6"/>
              <w:rPr>
                <w:rStyle w:val="CharacterStyle6"/>
              </w:rPr>
            </w:pPr>
            <w:r>
              <w:rPr>
                <w:rStyle w:val="CharacterStyle6"/>
              </w:rPr>
              <w:t>92.700,00</w:t>
            </w:r>
          </w:p>
        </w:tc>
        <w:tc>
          <w:tcPr>
            <w:tcW w:w="1395" w:type="dxa"/>
            <w:tcBorders>
              <w:bottom w:val="single" w:sz="6" w:space="0" w:color="000000"/>
              <w:right w:val="single" w:sz="6" w:space="0" w:color="000000"/>
            </w:tcBorders>
            <w:vAlign w:val="center"/>
          </w:tcPr>
          <w:p w14:paraId="44BBDB02" w14:textId="77777777" w:rsidR="007D706A" w:rsidRDefault="007D706A" w:rsidP="00F70508">
            <w:pPr>
              <w:pStyle w:val="ParagraphStyle6"/>
              <w:rPr>
                <w:rStyle w:val="CharacterStyle6"/>
              </w:rPr>
            </w:pPr>
            <w:r>
              <w:rPr>
                <w:rStyle w:val="CharacterStyle6"/>
              </w:rPr>
              <w:t>89.100,00</w:t>
            </w:r>
          </w:p>
        </w:tc>
        <w:tc>
          <w:tcPr>
            <w:tcW w:w="1395" w:type="dxa"/>
            <w:tcBorders>
              <w:bottom w:val="single" w:sz="6" w:space="0" w:color="000000"/>
              <w:right w:val="single" w:sz="6" w:space="0" w:color="000000"/>
            </w:tcBorders>
            <w:vAlign w:val="center"/>
          </w:tcPr>
          <w:p w14:paraId="75CDBA22" w14:textId="77777777" w:rsidR="007D706A" w:rsidRDefault="007D706A" w:rsidP="00F70508">
            <w:pPr>
              <w:pStyle w:val="ParagraphStyle6"/>
              <w:rPr>
                <w:rStyle w:val="CharacterStyle6"/>
              </w:rPr>
            </w:pPr>
            <w:r>
              <w:rPr>
                <w:rStyle w:val="CharacterStyle6"/>
              </w:rPr>
              <w:t>92.664,00</w:t>
            </w:r>
          </w:p>
        </w:tc>
        <w:tc>
          <w:tcPr>
            <w:tcW w:w="1395" w:type="dxa"/>
            <w:tcBorders>
              <w:bottom w:val="single" w:sz="6" w:space="0" w:color="000000"/>
              <w:right w:val="single" w:sz="6" w:space="0" w:color="000000"/>
            </w:tcBorders>
            <w:vAlign w:val="center"/>
          </w:tcPr>
          <w:p w14:paraId="706AA575" w14:textId="77777777" w:rsidR="007D706A" w:rsidRDefault="007D706A" w:rsidP="00F70508">
            <w:pPr>
              <w:pStyle w:val="ParagraphStyle6"/>
              <w:rPr>
                <w:rStyle w:val="CharacterStyle6"/>
              </w:rPr>
            </w:pPr>
            <w:r>
              <w:rPr>
                <w:rStyle w:val="CharacterStyle6"/>
              </w:rPr>
              <w:t>93.592,00</w:t>
            </w:r>
          </w:p>
        </w:tc>
      </w:tr>
      <w:tr w:rsidR="007D706A" w14:paraId="211C2E6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4C00BC0" w14:textId="77777777" w:rsidR="007D706A" w:rsidRDefault="007D706A" w:rsidP="00F70508">
            <w:pPr>
              <w:pStyle w:val="ParagraphStyle7"/>
              <w:rPr>
                <w:rStyle w:val="CharacterStyle7"/>
              </w:rPr>
            </w:pPr>
            <w:r>
              <w:rPr>
                <w:rStyle w:val="CharacterStyle7"/>
              </w:rPr>
              <w:t>Izvor financiranja 54</w:t>
            </w:r>
          </w:p>
        </w:tc>
        <w:tc>
          <w:tcPr>
            <w:tcW w:w="4995" w:type="dxa"/>
            <w:tcBorders>
              <w:bottom w:val="single" w:sz="6" w:space="0" w:color="000000"/>
              <w:right w:val="single" w:sz="6" w:space="0" w:color="000000"/>
            </w:tcBorders>
            <w:vAlign w:val="center"/>
          </w:tcPr>
          <w:p w14:paraId="268F7C59" w14:textId="77777777" w:rsidR="007D706A" w:rsidRDefault="007D706A" w:rsidP="00F70508">
            <w:pPr>
              <w:pStyle w:val="ParagraphStyle8"/>
              <w:rPr>
                <w:rStyle w:val="CharacterStyle8"/>
              </w:rPr>
            </w:pPr>
            <w:r>
              <w:rPr>
                <w:rStyle w:val="CharacterStyle8"/>
              </w:rPr>
              <w:t>Pomoći tijela i fondova EU</w:t>
            </w:r>
          </w:p>
        </w:tc>
        <w:tc>
          <w:tcPr>
            <w:tcW w:w="1395" w:type="dxa"/>
            <w:tcBorders>
              <w:bottom w:val="single" w:sz="6" w:space="0" w:color="000000"/>
              <w:right w:val="single" w:sz="6" w:space="0" w:color="000000"/>
            </w:tcBorders>
            <w:vAlign w:val="center"/>
          </w:tcPr>
          <w:p w14:paraId="69A233A1"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EA38467" w14:textId="77777777" w:rsidR="007D706A" w:rsidRDefault="007D706A" w:rsidP="00F70508">
            <w:pPr>
              <w:pStyle w:val="ParagraphStyle9"/>
              <w:rPr>
                <w:rStyle w:val="CharacterStyle9"/>
              </w:rPr>
            </w:pPr>
            <w:r>
              <w:rPr>
                <w:rStyle w:val="CharacterStyle9"/>
              </w:rPr>
              <w:t>92.700,00</w:t>
            </w:r>
          </w:p>
        </w:tc>
        <w:tc>
          <w:tcPr>
            <w:tcW w:w="1395" w:type="dxa"/>
            <w:tcBorders>
              <w:bottom w:val="single" w:sz="6" w:space="0" w:color="000000"/>
              <w:right w:val="single" w:sz="6" w:space="0" w:color="000000"/>
            </w:tcBorders>
            <w:vAlign w:val="center"/>
          </w:tcPr>
          <w:p w14:paraId="321B1FE3"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5A31158"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BDD3A8D" w14:textId="77777777" w:rsidR="007D706A" w:rsidRDefault="007D706A" w:rsidP="00F70508">
            <w:pPr>
              <w:pStyle w:val="ParagraphStyle9"/>
              <w:rPr>
                <w:rStyle w:val="CharacterStyle9"/>
              </w:rPr>
            </w:pPr>
            <w:r>
              <w:rPr>
                <w:rStyle w:val="CharacterStyle9"/>
              </w:rPr>
              <w:t>0,00</w:t>
            </w:r>
          </w:p>
        </w:tc>
      </w:tr>
      <w:tr w:rsidR="007D706A" w14:paraId="3FBFEF8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12D16EF"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49D5AFC8"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25C5672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112C7F7" w14:textId="77777777" w:rsidR="007D706A" w:rsidRDefault="007D706A" w:rsidP="00F70508">
            <w:pPr>
              <w:pStyle w:val="ParagraphStyle12"/>
              <w:rPr>
                <w:rStyle w:val="CharacterStyle12"/>
              </w:rPr>
            </w:pPr>
            <w:r>
              <w:rPr>
                <w:rStyle w:val="CharacterStyle12"/>
              </w:rPr>
              <w:t>92.700,00</w:t>
            </w:r>
          </w:p>
        </w:tc>
        <w:tc>
          <w:tcPr>
            <w:tcW w:w="1395" w:type="dxa"/>
            <w:tcBorders>
              <w:bottom w:val="single" w:sz="6" w:space="0" w:color="000000"/>
              <w:right w:val="single" w:sz="6" w:space="0" w:color="000000"/>
            </w:tcBorders>
            <w:vAlign w:val="center"/>
          </w:tcPr>
          <w:p w14:paraId="688E1A2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E8F538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B84C680" w14:textId="77777777" w:rsidR="007D706A" w:rsidRDefault="007D706A" w:rsidP="00F70508">
            <w:pPr>
              <w:pStyle w:val="ParagraphStyle12"/>
              <w:rPr>
                <w:rStyle w:val="CharacterStyle12"/>
              </w:rPr>
            </w:pPr>
            <w:r>
              <w:rPr>
                <w:rStyle w:val="CharacterStyle12"/>
              </w:rPr>
              <w:t>0,00</w:t>
            </w:r>
          </w:p>
        </w:tc>
      </w:tr>
      <w:tr w:rsidR="007D706A" w14:paraId="01D7699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154A50C" w14:textId="77777777" w:rsidR="007D706A" w:rsidRDefault="007D706A" w:rsidP="00F70508">
            <w:pPr>
              <w:pStyle w:val="ParagraphStyle10"/>
              <w:rPr>
                <w:rStyle w:val="CharacterStyle10"/>
              </w:rPr>
            </w:pPr>
            <w:r>
              <w:rPr>
                <w:rStyle w:val="CharacterStyle10"/>
              </w:rPr>
              <w:t>31</w:t>
            </w:r>
          </w:p>
        </w:tc>
        <w:tc>
          <w:tcPr>
            <w:tcW w:w="4995" w:type="dxa"/>
            <w:tcBorders>
              <w:bottom w:val="single" w:sz="6" w:space="0" w:color="000000"/>
              <w:right w:val="single" w:sz="6" w:space="0" w:color="000000"/>
            </w:tcBorders>
            <w:vAlign w:val="center"/>
          </w:tcPr>
          <w:p w14:paraId="674C8E21" w14:textId="77777777" w:rsidR="007D706A" w:rsidRDefault="007D706A" w:rsidP="00F70508">
            <w:pPr>
              <w:pStyle w:val="ParagraphStyle11"/>
              <w:rPr>
                <w:rStyle w:val="CharacterStyle11"/>
              </w:rPr>
            </w:pPr>
            <w:r>
              <w:rPr>
                <w:rStyle w:val="CharacterStyle11"/>
              </w:rPr>
              <w:t>Rashodi za zaposlene</w:t>
            </w:r>
          </w:p>
        </w:tc>
        <w:tc>
          <w:tcPr>
            <w:tcW w:w="1395" w:type="dxa"/>
            <w:tcBorders>
              <w:bottom w:val="single" w:sz="6" w:space="0" w:color="000000"/>
              <w:right w:val="single" w:sz="6" w:space="0" w:color="000000"/>
            </w:tcBorders>
            <w:vAlign w:val="center"/>
          </w:tcPr>
          <w:p w14:paraId="7EF580D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B5CDE26" w14:textId="77777777" w:rsidR="007D706A" w:rsidRDefault="007D706A" w:rsidP="00F70508">
            <w:pPr>
              <w:pStyle w:val="ParagraphStyle12"/>
              <w:rPr>
                <w:rStyle w:val="CharacterStyle12"/>
              </w:rPr>
            </w:pPr>
            <w:r>
              <w:rPr>
                <w:rStyle w:val="CharacterStyle12"/>
              </w:rPr>
              <w:t>91.890,00</w:t>
            </w:r>
          </w:p>
        </w:tc>
        <w:tc>
          <w:tcPr>
            <w:tcW w:w="1395" w:type="dxa"/>
            <w:tcBorders>
              <w:bottom w:val="single" w:sz="6" w:space="0" w:color="000000"/>
              <w:right w:val="single" w:sz="6" w:space="0" w:color="000000"/>
            </w:tcBorders>
            <w:vAlign w:val="center"/>
          </w:tcPr>
          <w:p w14:paraId="24C31F1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C8B78A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DA1C38A" w14:textId="77777777" w:rsidR="007D706A" w:rsidRDefault="007D706A" w:rsidP="00F70508">
            <w:pPr>
              <w:pStyle w:val="ParagraphStyle12"/>
              <w:rPr>
                <w:rStyle w:val="CharacterStyle12"/>
              </w:rPr>
            </w:pPr>
            <w:r>
              <w:rPr>
                <w:rStyle w:val="CharacterStyle12"/>
              </w:rPr>
              <w:t>0,00</w:t>
            </w:r>
          </w:p>
        </w:tc>
      </w:tr>
      <w:tr w:rsidR="007D706A" w14:paraId="505A4A9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FFB75C4"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2CE1AFDB"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6924324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CA8F5AE" w14:textId="77777777" w:rsidR="007D706A" w:rsidRDefault="007D706A" w:rsidP="00F70508">
            <w:pPr>
              <w:pStyle w:val="ParagraphStyle12"/>
              <w:rPr>
                <w:rStyle w:val="CharacterStyle12"/>
              </w:rPr>
            </w:pPr>
            <w:r>
              <w:rPr>
                <w:rStyle w:val="CharacterStyle12"/>
              </w:rPr>
              <w:t>810,00</w:t>
            </w:r>
          </w:p>
        </w:tc>
        <w:tc>
          <w:tcPr>
            <w:tcW w:w="1395" w:type="dxa"/>
            <w:tcBorders>
              <w:bottom w:val="single" w:sz="6" w:space="0" w:color="000000"/>
              <w:right w:val="single" w:sz="6" w:space="0" w:color="000000"/>
            </w:tcBorders>
            <w:vAlign w:val="center"/>
          </w:tcPr>
          <w:p w14:paraId="68E5D6A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46962B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9FE0031" w14:textId="77777777" w:rsidR="007D706A" w:rsidRDefault="007D706A" w:rsidP="00F70508">
            <w:pPr>
              <w:pStyle w:val="ParagraphStyle12"/>
              <w:rPr>
                <w:rStyle w:val="CharacterStyle12"/>
              </w:rPr>
            </w:pPr>
            <w:r>
              <w:rPr>
                <w:rStyle w:val="CharacterStyle12"/>
              </w:rPr>
              <w:t>0,00</w:t>
            </w:r>
          </w:p>
        </w:tc>
      </w:tr>
      <w:tr w:rsidR="007D706A" w14:paraId="5F81473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2EC6730" w14:textId="77777777" w:rsidR="007D706A" w:rsidRDefault="007D706A" w:rsidP="00F70508">
            <w:pPr>
              <w:pStyle w:val="ParagraphStyle7"/>
              <w:rPr>
                <w:rStyle w:val="CharacterStyle7"/>
              </w:rPr>
            </w:pPr>
            <w:r>
              <w:rPr>
                <w:rStyle w:val="CharacterStyle7"/>
              </w:rPr>
              <w:t>Izvor financiranja 561</w:t>
            </w:r>
          </w:p>
        </w:tc>
        <w:tc>
          <w:tcPr>
            <w:tcW w:w="4995" w:type="dxa"/>
            <w:tcBorders>
              <w:bottom w:val="single" w:sz="6" w:space="0" w:color="000000"/>
              <w:right w:val="single" w:sz="6" w:space="0" w:color="000000"/>
            </w:tcBorders>
            <w:vAlign w:val="center"/>
          </w:tcPr>
          <w:p w14:paraId="323F583B" w14:textId="77777777" w:rsidR="007D706A" w:rsidRDefault="007D706A" w:rsidP="00F70508">
            <w:pPr>
              <w:pStyle w:val="ParagraphStyle8"/>
              <w:rPr>
                <w:rStyle w:val="CharacterStyle8"/>
              </w:rPr>
            </w:pPr>
            <w:r>
              <w:rPr>
                <w:rStyle w:val="CharacterStyle8"/>
              </w:rPr>
              <w:t>Europski socijalni fond plus</w:t>
            </w:r>
          </w:p>
        </w:tc>
        <w:tc>
          <w:tcPr>
            <w:tcW w:w="1395" w:type="dxa"/>
            <w:tcBorders>
              <w:bottom w:val="single" w:sz="6" w:space="0" w:color="000000"/>
              <w:right w:val="single" w:sz="6" w:space="0" w:color="000000"/>
            </w:tcBorders>
            <w:vAlign w:val="center"/>
          </w:tcPr>
          <w:p w14:paraId="4328A753"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9A7F778"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BCD61AE" w14:textId="77777777" w:rsidR="007D706A" w:rsidRDefault="007D706A" w:rsidP="00F70508">
            <w:pPr>
              <w:pStyle w:val="ParagraphStyle9"/>
              <w:rPr>
                <w:rStyle w:val="CharacterStyle9"/>
              </w:rPr>
            </w:pPr>
            <w:r>
              <w:rPr>
                <w:rStyle w:val="CharacterStyle9"/>
              </w:rPr>
              <w:t>89.100,00</w:t>
            </w:r>
          </w:p>
        </w:tc>
        <w:tc>
          <w:tcPr>
            <w:tcW w:w="1395" w:type="dxa"/>
            <w:tcBorders>
              <w:bottom w:val="single" w:sz="6" w:space="0" w:color="000000"/>
              <w:right w:val="single" w:sz="6" w:space="0" w:color="000000"/>
            </w:tcBorders>
            <w:vAlign w:val="center"/>
          </w:tcPr>
          <w:p w14:paraId="612914B2" w14:textId="77777777" w:rsidR="007D706A" w:rsidRDefault="007D706A" w:rsidP="00F70508">
            <w:pPr>
              <w:pStyle w:val="ParagraphStyle9"/>
              <w:rPr>
                <w:rStyle w:val="CharacterStyle9"/>
              </w:rPr>
            </w:pPr>
            <w:r>
              <w:rPr>
                <w:rStyle w:val="CharacterStyle9"/>
              </w:rPr>
              <w:t>92.664,00</w:t>
            </w:r>
          </w:p>
        </w:tc>
        <w:tc>
          <w:tcPr>
            <w:tcW w:w="1395" w:type="dxa"/>
            <w:tcBorders>
              <w:bottom w:val="single" w:sz="6" w:space="0" w:color="000000"/>
              <w:right w:val="single" w:sz="6" w:space="0" w:color="000000"/>
            </w:tcBorders>
            <w:vAlign w:val="center"/>
          </w:tcPr>
          <w:p w14:paraId="000BCB42" w14:textId="77777777" w:rsidR="007D706A" w:rsidRDefault="007D706A" w:rsidP="00F70508">
            <w:pPr>
              <w:pStyle w:val="ParagraphStyle9"/>
              <w:rPr>
                <w:rStyle w:val="CharacterStyle9"/>
              </w:rPr>
            </w:pPr>
            <w:r>
              <w:rPr>
                <w:rStyle w:val="CharacterStyle9"/>
              </w:rPr>
              <w:t>93.592,00</w:t>
            </w:r>
          </w:p>
        </w:tc>
      </w:tr>
      <w:tr w:rsidR="007D706A" w14:paraId="68BE668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D96EC10"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21EB27C9"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55621B2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FB90F9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998254A" w14:textId="77777777" w:rsidR="007D706A" w:rsidRDefault="007D706A" w:rsidP="00F70508">
            <w:pPr>
              <w:pStyle w:val="ParagraphStyle12"/>
              <w:rPr>
                <w:rStyle w:val="CharacterStyle12"/>
              </w:rPr>
            </w:pPr>
            <w:r>
              <w:rPr>
                <w:rStyle w:val="CharacterStyle12"/>
              </w:rPr>
              <w:t>89.100,00</w:t>
            </w:r>
          </w:p>
        </w:tc>
        <w:tc>
          <w:tcPr>
            <w:tcW w:w="1395" w:type="dxa"/>
            <w:tcBorders>
              <w:bottom w:val="single" w:sz="6" w:space="0" w:color="000000"/>
              <w:right w:val="single" w:sz="6" w:space="0" w:color="000000"/>
            </w:tcBorders>
            <w:vAlign w:val="center"/>
          </w:tcPr>
          <w:p w14:paraId="0CDB7761" w14:textId="77777777" w:rsidR="007D706A" w:rsidRDefault="007D706A" w:rsidP="00F70508">
            <w:pPr>
              <w:pStyle w:val="ParagraphStyle12"/>
              <w:rPr>
                <w:rStyle w:val="CharacterStyle12"/>
              </w:rPr>
            </w:pPr>
            <w:r>
              <w:rPr>
                <w:rStyle w:val="CharacterStyle12"/>
              </w:rPr>
              <w:t>92.664,00</w:t>
            </w:r>
          </w:p>
        </w:tc>
        <w:tc>
          <w:tcPr>
            <w:tcW w:w="1395" w:type="dxa"/>
            <w:tcBorders>
              <w:bottom w:val="single" w:sz="6" w:space="0" w:color="000000"/>
              <w:right w:val="single" w:sz="6" w:space="0" w:color="000000"/>
            </w:tcBorders>
            <w:vAlign w:val="center"/>
          </w:tcPr>
          <w:p w14:paraId="5A7F8281" w14:textId="77777777" w:rsidR="007D706A" w:rsidRDefault="007D706A" w:rsidP="00F70508">
            <w:pPr>
              <w:pStyle w:val="ParagraphStyle12"/>
              <w:rPr>
                <w:rStyle w:val="CharacterStyle12"/>
              </w:rPr>
            </w:pPr>
            <w:r>
              <w:rPr>
                <w:rStyle w:val="CharacterStyle12"/>
              </w:rPr>
              <w:t>93.592,00</w:t>
            </w:r>
          </w:p>
        </w:tc>
      </w:tr>
      <w:tr w:rsidR="007D706A" w14:paraId="1AFFE09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B7036D0" w14:textId="77777777" w:rsidR="007D706A" w:rsidRDefault="007D706A" w:rsidP="00F70508">
            <w:pPr>
              <w:pStyle w:val="ParagraphStyle10"/>
              <w:rPr>
                <w:rStyle w:val="CharacterStyle10"/>
              </w:rPr>
            </w:pPr>
            <w:r>
              <w:rPr>
                <w:rStyle w:val="CharacterStyle10"/>
              </w:rPr>
              <w:t>31</w:t>
            </w:r>
          </w:p>
        </w:tc>
        <w:tc>
          <w:tcPr>
            <w:tcW w:w="4995" w:type="dxa"/>
            <w:tcBorders>
              <w:bottom w:val="single" w:sz="6" w:space="0" w:color="000000"/>
              <w:right w:val="single" w:sz="6" w:space="0" w:color="000000"/>
            </w:tcBorders>
            <w:vAlign w:val="center"/>
          </w:tcPr>
          <w:p w14:paraId="4AF3A75F" w14:textId="77777777" w:rsidR="007D706A" w:rsidRDefault="007D706A" w:rsidP="00F70508">
            <w:pPr>
              <w:pStyle w:val="ParagraphStyle11"/>
              <w:rPr>
                <w:rStyle w:val="CharacterStyle11"/>
              </w:rPr>
            </w:pPr>
            <w:r>
              <w:rPr>
                <w:rStyle w:val="CharacterStyle11"/>
              </w:rPr>
              <w:t>Rashodi za zaposlene</w:t>
            </w:r>
          </w:p>
        </w:tc>
        <w:tc>
          <w:tcPr>
            <w:tcW w:w="1395" w:type="dxa"/>
            <w:tcBorders>
              <w:bottom w:val="single" w:sz="6" w:space="0" w:color="000000"/>
              <w:right w:val="single" w:sz="6" w:space="0" w:color="000000"/>
            </w:tcBorders>
            <w:vAlign w:val="center"/>
          </w:tcPr>
          <w:p w14:paraId="0068D13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02FCFF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5497F5C" w14:textId="77777777" w:rsidR="007D706A" w:rsidRDefault="007D706A" w:rsidP="00F70508">
            <w:pPr>
              <w:pStyle w:val="ParagraphStyle12"/>
              <w:rPr>
                <w:rStyle w:val="CharacterStyle12"/>
              </w:rPr>
            </w:pPr>
            <w:r>
              <w:rPr>
                <w:rStyle w:val="CharacterStyle12"/>
              </w:rPr>
              <w:t>88.950,00</w:t>
            </w:r>
          </w:p>
        </w:tc>
        <w:tc>
          <w:tcPr>
            <w:tcW w:w="1395" w:type="dxa"/>
            <w:tcBorders>
              <w:bottom w:val="single" w:sz="6" w:space="0" w:color="000000"/>
              <w:right w:val="single" w:sz="6" w:space="0" w:color="000000"/>
            </w:tcBorders>
            <w:vAlign w:val="center"/>
          </w:tcPr>
          <w:p w14:paraId="7FA7CBBA" w14:textId="77777777" w:rsidR="007D706A" w:rsidRDefault="007D706A" w:rsidP="00F70508">
            <w:pPr>
              <w:pStyle w:val="ParagraphStyle12"/>
              <w:rPr>
                <w:rStyle w:val="CharacterStyle12"/>
              </w:rPr>
            </w:pPr>
            <w:r>
              <w:rPr>
                <w:rStyle w:val="CharacterStyle12"/>
              </w:rPr>
              <w:t>92.508,00</w:t>
            </w:r>
          </w:p>
        </w:tc>
        <w:tc>
          <w:tcPr>
            <w:tcW w:w="1395" w:type="dxa"/>
            <w:tcBorders>
              <w:bottom w:val="single" w:sz="6" w:space="0" w:color="000000"/>
              <w:right w:val="single" w:sz="6" w:space="0" w:color="000000"/>
            </w:tcBorders>
            <w:vAlign w:val="center"/>
          </w:tcPr>
          <w:p w14:paraId="633FA092" w14:textId="77777777" w:rsidR="007D706A" w:rsidRDefault="007D706A" w:rsidP="00F70508">
            <w:pPr>
              <w:pStyle w:val="ParagraphStyle12"/>
              <w:rPr>
                <w:rStyle w:val="CharacterStyle12"/>
              </w:rPr>
            </w:pPr>
            <w:r>
              <w:rPr>
                <w:rStyle w:val="CharacterStyle12"/>
              </w:rPr>
              <w:t>93.434,00</w:t>
            </w:r>
          </w:p>
        </w:tc>
      </w:tr>
      <w:tr w:rsidR="007D706A" w14:paraId="38FB505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5573194"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5D15F439"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2E47196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8A6776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540B032" w14:textId="77777777" w:rsidR="007D706A" w:rsidRDefault="007D706A" w:rsidP="00F70508">
            <w:pPr>
              <w:pStyle w:val="ParagraphStyle12"/>
              <w:rPr>
                <w:rStyle w:val="CharacterStyle12"/>
              </w:rPr>
            </w:pPr>
            <w:r>
              <w:rPr>
                <w:rStyle w:val="CharacterStyle12"/>
              </w:rPr>
              <w:t>150,00</w:t>
            </w:r>
          </w:p>
        </w:tc>
        <w:tc>
          <w:tcPr>
            <w:tcW w:w="1395" w:type="dxa"/>
            <w:tcBorders>
              <w:bottom w:val="single" w:sz="6" w:space="0" w:color="000000"/>
              <w:right w:val="single" w:sz="6" w:space="0" w:color="000000"/>
            </w:tcBorders>
            <w:vAlign w:val="center"/>
          </w:tcPr>
          <w:p w14:paraId="3DB4441B" w14:textId="77777777" w:rsidR="007D706A" w:rsidRDefault="007D706A" w:rsidP="00F70508">
            <w:pPr>
              <w:pStyle w:val="ParagraphStyle12"/>
              <w:rPr>
                <w:rStyle w:val="CharacterStyle12"/>
              </w:rPr>
            </w:pPr>
            <w:r>
              <w:rPr>
                <w:rStyle w:val="CharacterStyle12"/>
              </w:rPr>
              <w:t>156,00</w:t>
            </w:r>
          </w:p>
        </w:tc>
        <w:tc>
          <w:tcPr>
            <w:tcW w:w="1395" w:type="dxa"/>
            <w:tcBorders>
              <w:bottom w:val="single" w:sz="6" w:space="0" w:color="000000"/>
              <w:right w:val="single" w:sz="6" w:space="0" w:color="000000"/>
            </w:tcBorders>
            <w:vAlign w:val="center"/>
          </w:tcPr>
          <w:p w14:paraId="47A5A6C3" w14:textId="77777777" w:rsidR="007D706A" w:rsidRDefault="007D706A" w:rsidP="00F70508">
            <w:pPr>
              <w:pStyle w:val="ParagraphStyle12"/>
              <w:rPr>
                <w:rStyle w:val="CharacterStyle12"/>
              </w:rPr>
            </w:pPr>
            <w:r>
              <w:rPr>
                <w:rStyle w:val="CharacterStyle12"/>
              </w:rPr>
              <w:t>158,00</w:t>
            </w:r>
          </w:p>
        </w:tc>
      </w:tr>
      <w:tr w:rsidR="007D706A" w14:paraId="4D1A91C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C462114" w14:textId="77777777" w:rsidR="007D706A" w:rsidRDefault="007D706A" w:rsidP="00F70508">
            <w:pPr>
              <w:pStyle w:val="ParagraphStyle4"/>
              <w:rPr>
                <w:rStyle w:val="CharacterStyle4"/>
              </w:rPr>
            </w:pPr>
            <w:r>
              <w:rPr>
                <w:rStyle w:val="CharacterStyle4"/>
              </w:rPr>
              <w:t>Kapitalni projekt K103605</w:t>
            </w:r>
          </w:p>
        </w:tc>
        <w:tc>
          <w:tcPr>
            <w:tcW w:w="4995" w:type="dxa"/>
            <w:tcBorders>
              <w:bottom w:val="single" w:sz="6" w:space="0" w:color="000000"/>
              <w:right w:val="single" w:sz="6" w:space="0" w:color="000000"/>
            </w:tcBorders>
            <w:vAlign w:val="center"/>
          </w:tcPr>
          <w:p w14:paraId="496FBF54" w14:textId="77777777" w:rsidR="007D706A" w:rsidRDefault="007D706A" w:rsidP="00F70508">
            <w:pPr>
              <w:pStyle w:val="ParagraphStyle5"/>
              <w:rPr>
                <w:rStyle w:val="CharacterStyle5"/>
              </w:rPr>
            </w:pPr>
            <w:r>
              <w:rPr>
                <w:rStyle w:val="CharacterStyle5"/>
              </w:rPr>
              <w:t>NABAVA ŠKOLSKIH UDŽBENIKA</w:t>
            </w:r>
          </w:p>
        </w:tc>
        <w:tc>
          <w:tcPr>
            <w:tcW w:w="1395" w:type="dxa"/>
            <w:tcBorders>
              <w:bottom w:val="single" w:sz="6" w:space="0" w:color="000000"/>
              <w:right w:val="single" w:sz="6" w:space="0" w:color="000000"/>
            </w:tcBorders>
            <w:vAlign w:val="center"/>
          </w:tcPr>
          <w:p w14:paraId="5F0BC2CB"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613CD84F" w14:textId="77777777" w:rsidR="007D706A" w:rsidRDefault="007D706A" w:rsidP="00F70508">
            <w:pPr>
              <w:pStyle w:val="ParagraphStyle6"/>
              <w:rPr>
                <w:rStyle w:val="CharacterStyle6"/>
              </w:rPr>
            </w:pPr>
            <w:r>
              <w:rPr>
                <w:rStyle w:val="CharacterStyle6"/>
              </w:rPr>
              <w:t>12.000,00</w:t>
            </w:r>
          </w:p>
        </w:tc>
        <w:tc>
          <w:tcPr>
            <w:tcW w:w="1395" w:type="dxa"/>
            <w:tcBorders>
              <w:bottom w:val="single" w:sz="6" w:space="0" w:color="000000"/>
              <w:right w:val="single" w:sz="6" w:space="0" w:color="000000"/>
            </w:tcBorders>
            <w:vAlign w:val="center"/>
          </w:tcPr>
          <w:p w14:paraId="7643447C" w14:textId="77777777" w:rsidR="007D706A" w:rsidRDefault="007D706A" w:rsidP="00F70508">
            <w:pPr>
              <w:pStyle w:val="ParagraphStyle6"/>
              <w:rPr>
                <w:rStyle w:val="CharacterStyle6"/>
              </w:rPr>
            </w:pPr>
            <w:r>
              <w:rPr>
                <w:rStyle w:val="CharacterStyle6"/>
              </w:rPr>
              <w:t>10.000,00</w:t>
            </w:r>
          </w:p>
        </w:tc>
        <w:tc>
          <w:tcPr>
            <w:tcW w:w="1395" w:type="dxa"/>
            <w:tcBorders>
              <w:bottom w:val="single" w:sz="6" w:space="0" w:color="000000"/>
              <w:right w:val="single" w:sz="6" w:space="0" w:color="000000"/>
            </w:tcBorders>
            <w:vAlign w:val="center"/>
          </w:tcPr>
          <w:p w14:paraId="0DA73792" w14:textId="77777777" w:rsidR="007D706A" w:rsidRDefault="007D706A" w:rsidP="00F70508">
            <w:pPr>
              <w:pStyle w:val="ParagraphStyle6"/>
              <w:rPr>
                <w:rStyle w:val="CharacterStyle6"/>
              </w:rPr>
            </w:pPr>
            <w:r>
              <w:rPr>
                <w:rStyle w:val="CharacterStyle6"/>
              </w:rPr>
              <w:t>10.400,00</w:t>
            </w:r>
          </w:p>
        </w:tc>
        <w:tc>
          <w:tcPr>
            <w:tcW w:w="1395" w:type="dxa"/>
            <w:tcBorders>
              <w:bottom w:val="single" w:sz="6" w:space="0" w:color="000000"/>
              <w:right w:val="single" w:sz="6" w:space="0" w:color="000000"/>
            </w:tcBorders>
            <w:vAlign w:val="center"/>
          </w:tcPr>
          <w:p w14:paraId="630B8C84" w14:textId="77777777" w:rsidR="007D706A" w:rsidRDefault="007D706A" w:rsidP="00F70508">
            <w:pPr>
              <w:pStyle w:val="ParagraphStyle6"/>
              <w:rPr>
                <w:rStyle w:val="CharacterStyle6"/>
              </w:rPr>
            </w:pPr>
            <w:r>
              <w:rPr>
                <w:rStyle w:val="CharacterStyle6"/>
              </w:rPr>
              <w:t>10.504,00</w:t>
            </w:r>
          </w:p>
        </w:tc>
      </w:tr>
      <w:tr w:rsidR="007D706A" w14:paraId="7F4DD51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F5823E4" w14:textId="77777777" w:rsidR="007D706A" w:rsidRDefault="007D706A" w:rsidP="00F70508">
            <w:pPr>
              <w:pStyle w:val="ParagraphStyle7"/>
              <w:rPr>
                <w:rStyle w:val="CharacterStyle7"/>
              </w:rPr>
            </w:pPr>
            <w:r>
              <w:rPr>
                <w:rStyle w:val="CharacterStyle7"/>
              </w:rPr>
              <w:t>Izvor financiranja 50</w:t>
            </w:r>
          </w:p>
        </w:tc>
        <w:tc>
          <w:tcPr>
            <w:tcW w:w="4995" w:type="dxa"/>
            <w:tcBorders>
              <w:bottom w:val="single" w:sz="6" w:space="0" w:color="000000"/>
              <w:right w:val="single" w:sz="6" w:space="0" w:color="000000"/>
            </w:tcBorders>
            <w:vAlign w:val="center"/>
          </w:tcPr>
          <w:p w14:paraId="4365A111" w14:textId="77777777" w:rsidR="007D706A" w:rsidRDefault="007D706A" w:rsidP="00F70508">
            <w:pPr>
              <w:pStyle w:val="ParagraphStyle8"/>
              <w:rPr>
                <w:rStyle w:val="CharacterStyle8"/>
              </w:rPr>
            </w:pPr>
            <w:r>
              <w:rPr>
                <w:rStyle w:val="CharacterStyle8"/>
              </w:rPr>
              <w:t>Pomoći iz državnog proračuna</w:t>
            </w:r>
          </w:p>
        </w:tc>
        <w:tc>
          <w:tcPr>
            <w:tcW w:w="1395" w:type="dxa"/>
            <w:tcBorders>
              <w:bottom w:val="single" w:sz="6" w:space="0" w:color="000000"/>
              <w:right w:val="single" w:sz="6" w:space="0" w:color="000000"/>
            </w:tcBorders>
            <w:vAlign w:val="center"/>
          </w:tcPr>
          <w:p w14:paraId="2CE0EEB5"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C324DF3"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0E545F5" w14:textId="77777777" w:rsidR="007D706A" w:rsidRDefault="007D706A" w:rsidP="00F70508">
            <w:pPr>
              <w:pStyle w:val="ParagraphStyle9"/>
              <w:rPr>
                <w:rStyle w:val="CharacterStyle9"/>
              </w:rPr>
            </w:pPr>
            <w:r>
              <w:rPr>
                <w:rStyle w:val="CharacterStyle9"/>
              </w:rPr>
              <w:t>10.000,00</w:t>
            </w:r>
          </w:p>
        </w:tc>
        <w:tc>
          <w:tcPr>
            <w:tcW w:w="1395" w:type="dxa"/>
            <w:tcBorders>
              <w:bottom w:val="single" w:sz="6" w:space="0" w:color="000000"/>
              <w:right w:val="single" w:sz="6" w:space="0" w:color="000000"/>
            </w:tcBorders>
            <w:vAlign w:val="center"/>
          </w:tcPr>
          <w:p w14:paraId="36B9AA50" w14:textId="77777777" w:rsidR="007D706A" w:rsidRDefault="007D706A" w:rsidP="00F70508">
            <w:pPr>
              <w:pStyle w:val="ParagraphStyle9"/>
              <w:rPr>
                <w:rStyle w:val="CharacterStyle9"/>
              </w:rPr>
            </w:pPr>
            <w:r>
              <w:rPr>
                <w:rStyle w:val="CharacterStyle9"/>
              </w:rPr>
              <w:t>10.400,00</w:t>
            </w:r>
          </w:p>
        </w:tc>
        <w:tc>
          <w:tcPr>
            <w:tcW w:w="1395" w:type="dxa"/>
            <w:tcBorders>
              <w:bottom w:val="single" w:sz="6" w:space="0" w:color="000000"/>
              <w:right w:val="single" w:sz="6" w:space="0" w:color="000000"/>
            </w:tcBorders>
            <w:vAlign w:val="center"/>
          </w:tcPr>
          <w:p w14:paraId="0BC77E88" w14:textId="77777777" w:rsidR="007D706A" w:rsidRDefault="007D706A" w:rsidP="00F70508">
            <w:pPr>
              <w:pStyle w:val="ParagraphStyle9"/>
              <w:rPr>
                <w:rStyle w:val="CharacterStyle9"/>
              </w:rPr>
            </w:pPr>
            <w:r>
              <w:rPr>
                <w:rStyle w:val="CharacterStyle9"/>
              </w:rPr>
              <w:t>10.504,00</w:t>
            </w:r>
          </w:p>
        </w:tc>
      </w:tr>
      <w:tr w:rsidR="007D706A" w14:paraId="4C65BE4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7F58BBB"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51FE68D0"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2807D24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F1A91A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953C0A3" w14:textId="77777777" w:rsidR="007D706A" w:rsidRDefault="007D706A" w:rsidP="00F70508">
            <w:pPr>
              <w:pStyle w:val="ParagraphStyle12"/>
              <w:rPr>
                <w:rStyle w:val="CharacterStyle12"/>
              </w:rPr>
            </w:pPr>
            <w:r>
              <w:rPr>
                <w:rStyle w:val="CharacterStyle12"/>
              </w:rPr>
              <w:t>10.000,00</w:t>
            </w:r>
          </w:p>
        </w:tc>
        <w:tc>
          <w:tcPr>
            <w:tcW w:w="1395" w:type="dxa"/>
            <w:tcBorders>
              <w:bottom w:val="single" w:sz="6" w:space="0" w:color="000000"/>
              <w:right w:val="single" w:sz="6" w:space="0" w:color="000000"/>
            </w:tcBorders>
            <w:vAlign w:val="center"/>
          </w:tcPr>
          <w:p w14:paraId="2D1213CB" w14:textId="77777777" w:rsidR="007D706A" w:rsidRDefault="007D706A" w:rsidP="00F70508">
            <w:pPr>
              <w:pStyle w:val="ParagraphStyle12"/>
              <w:rPr>
                <w:rStyle w:val="CharacterStyle12"/>
              </w:rPr>
            </w:pPr>
            <w:r>
              <w:rPr>
                <w:rStyle w:val="CharacterStyle12"/>
              </w:rPr>
              <w:t>10.400,00</w:t>
            </w:r>
          </w:p>
        </w:tc>
        <w:tc>
          <w:tcPr>
            <w:tcW w:w="1395" w:type="dxa"/>
            <w:tcBorders>
              <w:bottom w:val="single" w:sz="6" w:space="0" w:color="000000"/>
              <w:right w:val="single" w:sz="6" w:space="0" w:color="000000"/>
            </w:tcBorders>
            <w:vAlign w:val="center"/>
          </w:tcPr>
          <w:p w14:paraId="298E1FC6" w14:textId="77777777" w:rsidR="007D706A" w:rsidRDefault="007D706A" w:rsidP="00F70508">
            <w:pPr>
              <w:pStyle w:val="ParagraphStyle12"/>
              <w:rPr>
                <w:rStyle w:val="CharacterStyle12"/>
              </w:rPr>
            </w:pPr>
            <w:r>
              <w:rPr>
                <w:rStyle w:val="CharacterStyle12"/>
              </w:rPr>
              <w:t>10.504,00</w:t>
            </w:r>
          </w:p>
        </w:tc>
      </w:tr>
      <w:tr w:rsidR="007D706A" w14:paraId="7889D78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6419157" w14:textId="77777777" w:rsidR="007D706A" w:rsidRDefault="007D706A" w:rsidP="00F70508">
            <w:pPr>
              <w:pStyle w:val="ParagraphStyle10"/>
              <w:rPr>
                <w:rStyle w:val="CharacterStyle10"/>
              </w:rPr>
            </w:pPr>
            <w:r>
              <w:rPr>
                <w:rStyle w:val="CharacterStyle10"/>
              </w:rPr>
              <w:t>42</w:t>
            </w:r>
          </w:p>
        </w:tc>
        <w:tc>
          <w:tcPr>
            <w:tcW w:w="4995" w:type="dxa"/>
            <w:tcBorders>
              <w:bottom w:val="single" w:sz="6" w:space="0" w:color="000000"/>
              <w:right w:val="single" w:sz="6" w:space="0" w:color="000000"/>
            </w:tcBorders>
            <w:vAlign w:val="center"/>
          </w:tcPr>
          <w:p w14:paraId="4C71B7DB"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41A7332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66192B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8475260" w14:textId="77777777" w:rsidR="007D706A" w:rsidRDefault="007D706A" w:rsidP="00F70508">
            <w:pPr>
              <w:pStyle w:val="ParagraphStyle12"/>
              <w:rPr>
                <w:rStyle w:val="CharacterStyle12"/>
              </w:rPr>
            </w:pPr>
            <w:r>
              <w:rPr>
                <w:rStyle w:val="CharacterStyle12"/>
              </w:rPr>
              <w:t>10.000,00</w:t>
            </w:r>
          </w:p>
        </w:tc>
        <w:tc>
          <w:tcPr>
            <w:tcW w:w="1395" w:type="dxa"/>
            <w:tcBorders>
              <w:bottom w:val="single" w:sz="6" w:space="0" w:color="000000"/>
              <w:right w:val="single" w:sz="6" w:space="0" w:color="000000"/>
            </w:tcBorders>
            <w:vAlign w:val="center"/>
          </w:tcPr>
          <w:p w14:paraId="532FEE10" w14:textId="77777777" w:rsidR="007D706A" w:rsidRDefault="007D706A" w:rsidP="00F70508">
            <w:pPr>
              <w:pStyle w:val="ParagraphStyle12"/>
              <w:rPr>
                <w:rStyle w:val="CharacterStyle12"/>
              </w:rPr>
            </w:pPr>
            <w:r>
              <w:rPr>
                <w:rStyle w:val="CharacterStyle12"/>
              </w:rPr>
              <w:t>10.400,00</w:t>
            </w:r>
          </w:p>
        </w:tc>
        <w:tc>
          <w:tcPr>
            <w:tcW w:w="1395" w:type="dxa"/>
            <w:tcBorders>
              <w:bottom w:val="single" w:sz="6" w:space="0" w:color="000000"/>
              <w:right w:val="single" w:sz="6" w:space="0" w:color="000000"/>
            </w:tcBorders>
            <w:vAlign w:val="center"/>
          </w:tcPr>
          <w:p w14:paraId="70CCB6B3" w14:textId="77777777" w:rsidR="007D706A" w:rsidRDefault="007D706A" w:rsidP="00F70508">
            <w:pPr>
              <w:pStyle w:val="ParagraphStyle12"/>
              <w:rPr>
                <w:rStyle w:val="CharacterStyle12"/>
              </w:rPr>
            </w:pPr>
            <w:r>
              <w:rPr>
                <w:rStyle w:val="CharacterStyle12"/>
              </w:rPr>
              <w:t>10.504,00</w:t>
            </w:r>
          </w:p>
        </w:tc>
      </w:tr>
      <w:tr w:rsidR="007D706A" w14:paraId="79751E2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B1E4276" w14:textId="77777777" w:rsidR="007D706A" w:rsidRDefault="007D706A" w:rsidP="00F70508">
            <w:pPr>
              <w:pStyle w:val="ParagraphStyle7"/>
              <w:rPr>
                <w:rStyle w:val="CharacterStyle7"/>
              </w:rPr>
            </w:pPr>
            <w:r>
              <w:rPr>
                <w:rStyle w:val="CharacterStyle7"/>
              </w:rPr>
              <w:t>Izvor financiranja 53</w:t>
            </w:r>
          </w:p>
        </w:tc>
        <w:tc>
          <w:tcPr>
            <w:tcW w:w="4995" w:type="dxa"/>
            <w:tcBorders>
              <w:bottom w:val="single" w:sz="6" w:space="0" w:color="000000"/>
              <w:right w:val="single" w:sz="6" w:space="0" w:color="000000"/>
            </w:tcBorders>
            <w:vAlign w:val="center"/>
          </w:tcPr>
          <w:p w14:paraId="32E8A2C7" w14:textId="77777777" w:rsidR="007D706A" w:rsidRDefault="007D706A" w:rsidP="00F70508">
            <w:pPr>
              <w:pStyle w:val="ParagraphStyle8"/>
              <w:rPr>
                <w:rStyle w:val="CharacterStyle8"/>
              </w:rPr>
            </w:pPr>
            <w:r>
              <w:rPr>
                <w:rStyle w:val="CharacterStyle8"/>
              </w:rPr>
              <w:t>Proračuni, drugi nivoi - za posebne i / ili ugovorene namjene</w:t>
            </w:r>
          </w:p>
        </w:tc>
        <w:tc>
          <w:tcPr>
            <w:tcW w:w="1395" w:type="dxa"/>
            <w:tcBorders>
              <w:bottom w:val="single" w:sz="6" w:space="0" w:color="000000"/>
              <w:right w:val="single" w:sz="6" w:space="0" w:color="000000"/>
            </w:tcBorders>
            <w:vAlign w:val="center"/>
          </w:tcPr>
          <w:p w14:paraId="21B97414"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2A6D730" w14:textId="77777777" w:rsidR="007D706A" w:rsidRDefault="007D706A" w:rsidP="00F70508">
            <w:pPr>
              <w:pStyle w:val="ParagraphStyle9"/>
              <w:rPr>
                <w:rStyle w:val="CharacterStyle9"/>
              </w:rPr>
            </w:pPr>
            <w:r>
              <w:rPr>
                <w:rStyle w:val="CharacterStyle9"/>
              </w:rPr>
              <w:t>12.000,00</w:t>
            </w:r>
          </w:p>
        </w:tc>
        <w:tc>
          <w:tcPr>
            <w:tcW w:w="1395" w:type="dxa"/>
            <w:tcBorders>
              <w:bottom w:val="single" w:sz="6" w:space="0" w:color="000000"/>
              <w:right w:val="single" w:sz="6" w:space="0" w:color="000000"/>
            </w:tcBorders>
            <w:vAlign w:val="center"/>
          </w:tcPr>
          <w:p w14:paraId="359A47EC"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AC5E965"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597BE88" w14:textId="77777777" w:rsidR="007D706A" w:rsidRDefault="007D706A" w:rsidP="00F70508">
            <w:pPr>
              <w:pStyle w:val="ParagraphStyle9"/>
              <w:rPr>
                <w:rStyle w:val="CharacterStyle9"/>
              </w:rPr>
            </w:pPr>
            <w:r>
              <w:rPr>
                <w:rStyle w:val="CharacterStyle9"/>
              </w:rPr>
              <w:t>0,00</w:t>
            </w:r>
          </w:p>
        </w:tc>
      </w:tr>
      <w:tr w:rsidR="007D706A" w14:paraId="7C153BE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D139C16"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1457B5A9"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03E0DAA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4320739" w14:textId="77777777" w:rsidR="007D706A" w:rsidRDefault="007D706A" w:rsidP="00F70508">
            <w:pPr>
              <w:pStyle w:val="ParagraphStyle12"/>
              <w:rPr>
                <w:rStyle w:val="CharacterStyle12"/>
              </w:rPr>
            </w:pPr>
            <w:r>
              <w:rPr>
                <w:rStyle w:val="CharacterStyle12"/>
              </w:rPr>
              <w:t>12.000,00</w:t>
            </w:r>
          </w:p>
        </w:tc>
        <w:tc>
          <w:tcPr>
            <w:tcW w:w="1395" w:type="dxa"/>
            <w:tcBorders>
              <w:bottom w:val="single" w:sz="6" w:space="0" w:color="000000"/>
              <w:right w:val="single" w:sz="6" w:space="0" w:color="000000"/>
            </w:tcBorders>
            <w:vAlign w:val="center"/>
          </w:tcPr>
          <w:p w14:paraId="6E4BF08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256FDD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E555E74" w14:textId="77777777" w:rsidR="007D706A" w:rsidRDefault="007D706A" w:rsidP="00F70508">
            <w:pPr>
              <w:pStyle w:val="ParagraphStyle12"/>
              <w:rPr>
                <w:rStyle w:val="CharacterStyle12"/>
              </w:rPr>
            </w:pPr>
            <w:r>
              <w:rPr>
                <w:rStyle w:val="CharacterStyle12"/>
              </w:rPr>
              <w:t>0,00</w:t>
            </w:r>
          </w:p>
        </w:tc>
      </w:tr>
      <w:tr w:rsidR="007D706A" w14:paraId="1BFC72C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5A86D8D" w14:textId="77777777" w:rsidR="007D706A" w:rsidRDefault="007D706A" w:rsidP="00F70508">
            <w:pPr>
              <w:pStyle w:val="ParagraphStyle10"/>
              <w:rPr>
                <w:rStyle w:val="CharacterStyle10"/>
              </w:rPr>
            </w:pPr>
            <w:r>
              <w:rPr>
                <w:rStyle w:val="CharacterStyle10"/>
              </w:rPr>
              <w:t>42</w:t>
            </w:r>
          </w:p>
        </w:tc>
        <w:tc>
          <w:tcPr>
            <w:tcW w:w="4995" w:type="dxa"/>
            <w:tcBorders>
              <w:bottom w:val="single" w:sz="6" w:space="0" w:color="000000"/>
              <w:right w:val="single" w:sz="6" w:space="0" w:color="000000"/>
            </w:tcBorders>
            <w:vAlign w:val="center"/>
          </w:tcPr>
          <w:p w14:paraId="397FA9A4"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719BD63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276BDF4" w14:textId="77777777" w:rsidR="007D706A" w:rsidRDefault="007D706A" w:rsidP="00F70508">
            <w:pPr>
              <w:pStyle w:val="ParagraphStyle12"/>
              <w:rPr>
                <w:rStyle w:val="CharacterStyle12"/>
              </w:rPr>
            </w:pPr>
            <w:r>
              <w:rPr>
                <w:rStyle w:val="CharacterStyle12"/>
              </w:rPr>
              <w:t>12.000,00</w:t>
            </w:r>
          </w:p>
        </w:tc>
        <w:tc>
          <w:tcPr>
            <w:tcW w:w="1395" w:type="dxa"/>
            <w:tcBorders>
              <w:bottom w:val="single" w:sz="6" w:space="0" w:color="000000"/>
              <w:right w:val="single" w:sz="6" w:space="0" w:color="000000"/>
            </w:tcBorders>
            <w:vAlign w:val="center"/>
          </w:tcPr>
          <w:p w14:paraId="2061DA6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503C9E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D658DC4" w14:textId="77777777" w:rsidR="007D706A" w:rsidRDefault="007D706A" w:rsidP="00F70508">
            <w:pPr>
              <w:pStyle w:val="ParagraphStyle12"/>
              <w:rPr>
                <w:rStyle w:val="CharacterStyle12"/>
              </w:rPr>
            </w:pPr>
            <w:r>
              <w:rPr>
                <w:rStyle w:val="CharacterStyle12"/>
              </w:rPr>
              <w:t>0,00</w:t>
            </w:r>
          </w:p>
        </w:tc>
      </w:tr>
      <w:tr w:rsidR="007D706A" w14:paraId="767BBF5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ECCA060" w14:textId="77777777" w:rsidR="007D706A" w:rsidRDefault="007D706A" w:rsidP="00F70508">
            <w:pPr>
              <w:pStyle w:val="ParagraphStyle4"/>
              <w:rPr>
                <w:rStyle w:val="CharacterStyle4"/>
              </w:rPr>
            </w:pPr>
            <w:r>
              <w:rPr>
                <w:rStyle w:val="CharacterStyle4"/>
              </w:rPr>
              <w:t>Aktivnost A103630</w:t>
            </w:r>
          </w:p>
        </w:tc>
        <w:tc>
          <w:tcPr>
            <w:tcW w:w="4995" w:type="dxa"/>
            <w:tcBorders>
              <w:bottom w:val="single" w:sz="6" w:space="0" w:color="000000"/>
              <w:right w:val="single" w:sz="6" w:space="0" w:color="000000"/>
            </w:tcBorders>
            <w:vAlign w:val="center"/>
          </w:tcPr>
          <w:p w14:paraId="4B31596B" w14:textId="77777777" w:rsidR="007D706A" w:rsidRDefault="007D706A" w:rsidP="00F70508">
            <w:pPr>
              <w:pStyle w:val="ParagraphStyle5"/>
              <w:rPr>
                <w:rStyle w:val="CharacterStyle5"/>
              </w:rPr>
            </w:pPr>
            <w:r>
              <w:rPr>
                <w:rStyle w:val="CharacterStyle5"/>
              </w:rPr>
              <w:t>NABAVA RADNIH BILJEŽNICA</w:t>
            </w:r>
          </w:p>
        </w:tc>
        <w:tc>
          <w:tcPr>
            <w:tcW w:w="1395" w:type="dxa"/>
            <w:tcBorders>
              <w:bottom w:val="single" w:sz="6" w:space="0" w:color="000000"/>
              <w:right w:val="single" w:sz="6" w:space="0" w:color="000000"/>
            </w:tcBorders>
            <w:vAlign w:val="center"/>
          </w:tcPr>
          <w:p w14:paraId="3F402FD8"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1C78405F" w14:textId="77777777" w:rsidR="007D706A" w:rsidRDefault="007D706A" w:rsidP="00F70508">
            <w:pPr>
              <w:pStyle w:val="ParagraphStyle6"/>
              <w:rPr>
                <w:rStyle w:val="CharacterStyle6"/>
              </w:rPr>
            </w:pPr>
            <w:r>
              <w:rPr>
                <w:rStyle w:val="CharacterStyle6"/>
              </w:rPr>
              <w:t>7.700,00</w:t>
            </w:r>
          </w:p>
        </w:tc>
        <w:tc>
          <w:tcPr>
            <w:tcW w:w="1395" w:type="dxa"/>
            <w:tcBorders>
              <w:bottom w:val="single" w:sz="6" w:space="0" w:color="000000"/>
              <w:right w:val="single" w:sz="6" w:space="0" w:color="000000"/>
            </w:tcBorders>
            <w:vAlign w:val="center"/>
          </w:tcPr>
          <w:p w14:paraId="4C4A3A41" w14:textId="77777777" w:rsidR="007D706A" w:rsidRDefault="007D706A" w:rsidP="00F70508">
            <w:pPr>
              <w:pStyle w:val="ParagraphStyle6"/>
              <w:rPr>
                <w:rStyle w:val="CharacterStyle6"/>
              </w:rPr>
            </w:pPr>
            <w:r>
              <w:rPr>
                <w:rStyle w:val="CharacterStyle6"/>
              </w:rPr>
              <w:t>7.000,00</w:t>
            </w:r>
          </w:p>
        </w:tc>
        <w:tc>
          <w:tcPr>
            <w:tcW w:w="1395" w:type="dxa"/>
            <w:tcBorders>
              <w:bottom w:val="single" w:sz="6" w:space="0" w:color="000000"/>
              <w:right w:val="single" w:sz="6" w:space="0" w:color="000000"/>
            </w:tcBorders>
            <w:vAlign w:val="center"/>
          </w:tcPr>
          <w:p w14:paraId="56A99CDD" w14:textId="77777777" w:rsidR="007D706A" w:rsidRDefault="007D706A" w:rsidP="00F70508">
            <w:pPr>
              <w:pStyle w:val="ParagraphStyle6"/>
              <w:rPr>
                <w:rStyle w:val="CharacterStyle6"/>
              </w:rPr>
            </w:pPr>
            <w:r>
              <w:rPr>
                <w:rStyle w:val="CharacterStyle6"/>
              </w:rPr>
              <w:t>7.280,00</w:t>
            </w:r>
          </w:p>
        </w:tc>
        <w:tc>
          <w:tcPr>
            <w:tcW w:w="1395" w:type="dxa"/>
            <w:tcBorders>
              <w:bottom w:val="single" w:sz="6" w:space="0" w:color="000000"/>
              <w:right w:val="single" w:sz="6" w:space="0" w:color="000000"/>
            </w:tcBorders>
            <w:vAlign w:val="center"/>
          </w:tcPr>
          <w:p w14:paraId="43F3AE8A" w14:textId="77777777" w:rsidR="007D706A" w:rsidRDefault="007D706A" w:rsidP="00F70508">
            <w:pPr>
              <w:pStyle w:val="ParagraphStyle6"/>
              <w:rPr>
                <w:rStyle w:val="CharacterStyle6"/>
              </w:rPr>
            </w:pPr>
            <w:r>
              <w:rPr>
                <w:rStyle w:val="CharacterStyle6"/>
              </w:rPr>
              <w:t>7.353,00</w:t>
            </w:r>
          </w:p>
        </w:tc>
      </w:tr>
      <w:tr w:rsidR="007D706A" w14:paraId="43407E6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46788CE"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12F7FC6A"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4E9B1D1D"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FB8BAA0" w14:textId="77777777" w:rsidR="007D706A" w:rsidRDefault="007D706A" w:rsidP="00F70508">
            <w:pPr>
              <w:pStyle w:val="ParagraphStyle9"/>
              <w:rPr>
                <w:rStyle w:val="CharacterStyle9"/>
              </w:rPr>
            </w:pPr>
            <w:r>
              <w:rPr>
                <w:rStyle w:val="CharacterStyle9"/>
              </w:rPr>
              <w:t>6.500,00</w:t>
            </w:r>
          </w:p>
        </w:tc>
        <w:tc>
          <w:tcPr>
            <w:tcW w:w="1395" w:type="dxa"/>
            <w:tcBorders>
              <w:bottom w:val="single" w:sz="6" w:space="0" w:color="000000"/>
              <w:right w:val="single" w:sz="6" w:space="0" w:color="000000"/>
            </w:tcBorders>
            <w:vAlign w:val="center"/>
          </w:tcPr>
          <w:p w14:paraId="5CDC64D7" w14:textId="77777777" w:rsidR="007D706A" w:rsidRDefault="007D706A" w:rsidP="00F70508">
            <w:pPr>
              <w:pStyle w:val="ParagraphStyle9"/>
              <w:rPr>
                <w:rStyle w:val="CharacterStyle9"/>
              </w:rPr>
            </w:pPr>
            <w:r>
              <w:rPr>
                <w:rStyle w:val="CharacterStyle9"/>
              </w:rPr>
              <w:t>6.000,00</w:t>
            </w:r>
          </w:p>
        </w:tc>
        <w:tc>
          <w:tcPr>
            <w:tcW w:w="1395" w:type="dxa"/>
            <w:tcBorders>
              <w:bottom w:val="single" w:sz="6" w:space="0" w:color="000000"/>
              <w:right w:val="single" w:sz="6" w:space="0" w:color="000000"/>
            </w:tcBorders>
            <w:vAlign w:val="center"/>
          </w:tcPr>
          <w:p w14:paraId="0E156858" w14:textId="77777777" w:rsidR="007D706A" w:rsidRDefault="007D706A" w:rsidP="00F70508">
            <w:pPr>
              <w:pStyle w:val="ParagraphStyle9"/>
              <w:rPr>
                <w:rStyle w:val="CharacterStyle9"/>
              </w:rPr>
            </w:pPr>
            <w:r>
              <w:rPr>
                <w:rStyle w:val="CharacterStyle9"/>
              </w:rPr>
              <w:t>6.240,00</w:t>
            </w:r>
          </w:p>
        </w:tc>
        <w:tc>
          <w:tcPr>
            <w:tcW w:w="1395" w:type="dxa"/>
            <w:tcBorders>
              <w:bottom w:val="single" w:sz="6" w:space="0" w:color="000000"/>
              <w:right w:val="single" w:sz="6" w:space="0" w:color="000000"/>
            </w:tcBorders>
            <w:vAlign w:val="center"/>
          </w:tcPr>
          <w:p w14:paraId="6650C272" w14:textId="77777777" w:rsidR="007D706A" w:rsidRDefault="007D706A" w:rsidP="00F70508">
            <w:pPr>
              <w:pStyle w:val="ParagraphStyle9"/>
              <w:rPr>
                <w:rStyle w:val="CharacterStyle9"/>
              </w:rPr>
            </w:pPr>
            <w:r>
              <w:rPr>
                <w:rStyle w:val="CharacterStyle9"/>
              </w:rPr>
              <w:t>6.303,00</w:t>
            </w:r>
          </w:p>
        </w:tc>
      </w:tr>
      <w:tr w:rsidR="007D706A" w14:paraId="6C8BA00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C3D4FD1"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772BD313"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674D6B0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010A1F9" w14:textId="77777777" w:rsidR="007D706A" w:rsidRDefault="007D706A" w:rsidP="00F70508">
            <w:pPr>
              <w:pStyle w:val="ParagraphStyle12"/>
              <w:rPr>
                <w:rStyle w:val="CharacterStyle12"/>
              </w:rPr>
            </w:pPr>
            <w:r>
              <w:rPr>
                <w:rStyle w:val="CharacterStyle12"/>
              </w:rPr>
              <w:t>6.500,00</w:t>
            </w:r>
          </w:p>
        </w:tc>
        <w:tc>
          <w:tcPr>
            <w:tcW w:w="1395" w:type="dxa"/>
            <w:tcBorders>
              <w:bottom w:val="single" w:sz="6" w:space="0" w:color="000000"/>
              <w:right w:val="single" w:sz="6" w:space="0" w:color="000000"/>
            </w:tcBorders>
            <w:vAlign w:val="center"/>
          </w:tcPr>
          <w:p w14:paraId="3922958A" w14:textId="77777777" w:rsidR="007D706A" w:rsidRDefault="007D706A" w:rsidP="00F70508">
            <w:pPr>
              <w:pStyle w:val="ParagraphStyle12"/>
              <w:rPr>
                <w:rStyle w:val="CharacterStyle12"/>
              </w:rPr>
            </w:pPr>
            <w:r>
              <w:rPr>
                <w:rStyle w:val="CharacterStyle12"/>
              </w:rPr>
              <w:t>6.000,00</w:t>
            </w:r>
          </w:p>
        </w:tc>
        <w:tc>
          <w:tcPr>
            <w:tcW w:w="1395" w:type="dxa"/>
            <w:tcBorders>
              <w:bottom w:val="single" w:sz="6" w:space="0" w:color="000000"/>
              <w:right w:val="single" w:sz="6" w:space="0" w:color="000000"/>
            </w:tcBorders>
            <w:vAlign w:val="center"/>
          </w:tcPr>
          <w:p w14:paraId="7ECF9EEE" w14:textId="77777777" w:rsidR="007D706A" w:rsidRDefault="007D706A" w:rsidP="00F70508">
            <w:pPr>
              <w:pStyle w:val="ParagraphStyle12"/>
              <w:rPr>
                <w:rStyle w:val="CharacterStyle12"/>
              </w:rPr>
            </w:pPr>
            <w:r>
              <w:rPr>
                <w:rStyle w:val="CharacterStyle12"/>
              </w:rPr>
              <w:t>6.240,00</w:t>
            </w:r>
          </w:p>
        </w:tc>
        <w:tc>
          <w:tcPr>
            <w:tcW w:w="1395" w:type="dxa"/>
            <w:tcBorders>
              <w:bottom w:val="single" w:sz="6" w:space="0" w:color="000000"/>
              <w:right w:val="single" w:sz="6" w:space="0" w:color="000000"/>
            </w:tcBorders>
            <w:vAlign w:val="center"/>
          </w:tcPr>
          <w:p w14:paraId="7E10FB74" w14:textId="77777777" w:rsidR="007D706A" w:rsidRDefault="007D706A" w:rsidP="00F70508">
            <w:pPr>
              <w:pStyle w:val="ParagraphStyle12"/>
              <w:rPr>
                <w:rStyle w:val="CharacterStyle12"/>
              </w:rPr>
            </w:pPr>
            <w:r>
              <w:rPr>
                <w:rStyle w:val="CharacterStyle12"/>
              </w:rPr>
              <w:t>6.303,00</w:t>
            </w:r>
          </w:p>
        </w:tc>
      </w:tr>
      <w:tr w:rsidR="007D706A" w14:paraId="130D562D" w14:textId="77777777" w:rsidTr="00F70508">
        <w:trPr>
          <w:trHeight w:val="405"/>
        </w:trPr>
        <w:tc>
          <w:tcPr>
            <w:tcW w:w="2880" w:type="dxa"/>
            <w:tcBorders>
              <w:left w:val="single" w:sz="6" w:space="0" w:color="000000"/>
              <w:bottom w:val="single" w:sz="6" w:space="0" w:color="000000"/>
              <w:right w:val="single" w:sz="6" w:space="0" w:color="000000"/>
            </w:tcBorders>
            <w:vAlign w:val="center"/>
          </w:tcPr>
          <w:p w14:paraId="4387155E" w14:textId="77777777" w:rsidR="007D706A" w:rsidRDefault="007D706A" w:rsidP="00F70508">
            <w:pPr>
              <w:pStyle w:val="ParagraphStyle10"/>
              <w:rPr>
                <w:rStyle w:val="CharacterStyle10"/>
              </w:rPr>
            </w:pPr>
            <w:r>
              <w:rPr>
                <w:rStyle w:val="CharacterStyle10"/>
              </w:rPr>
              <w:t>37</w:t>
            </w:r>
          </w:p>
        </w:tc>
        <w:tc>
          <w:tcPr>
            <w:tcW w:w="4995" w:type="dxa"/>
            <w:tcBorders>
              <w:bottom w:val="single" w:sz="6" w:space="0" w:color="000000"/>
              <w:right w:val="single" w:sz="6" w:space="0" w:color="000000"/>
            </w:tcBorders>
            <w:vAlign w:val="center"/>
          </w:tcPr>
          <w:p w14:paraId="304B957C" w14:textId="77777777" w:rsidR="007D706A" w:rsidRDefault="007D706A" w:rsidP="00F70508">
            <w:pPr>
              <w:pStyle w:val="ParagraphStyle11"/>
              <w:rPr>
                <w:rStyle w:val="CharacterStyle11"/>
              </w:rPr>
            </w:pPr>
            <w:r>
              <w:rPr>
                <w:rStyle w:val="CharacterStyle11"/>
              </w:rPr>
              <w:t>Naknade građanima i kućanstvima na temelju osiguranja i druge naknade</w:t>
            </w:r>
          </w:p>
        </w:tc>
        <w:tc>
          <w:tcPr>
            <w:tcW w:w="1395" w:type="dxa"/>
            <w:tcBorders>
              <w:bottom w:val="single" w:sz="6" w:space="0" w:color="000000"/>
              <w:right w:val="single" w:sz="6" w:space="0" w:color="000000"/>
            </w:tcBorders>
            <w:vAlign w:val="center"/>
          </w:tcPr>
          <w:p w14:paraId="5EB283D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177FDF6" w14:textId="77777777" w:rsidR="007D706A" w:rsidRDefault="007D706A" w:rsidP="00F70508">
            <w:pPr>
              <w:pStyle w:val="ParagraphStyle12"/>
              <w:rPr>
                <w:rStyle w:val="CharacterStyle12"/>
              </w:rPr>
            </w:pPr>
            <w:r>
              <w:rPr>
                <w:rStyle w:val="CharacterStyle12"/>
              </w:rPr>
              <w:t>6.500,00</w:t>
            </w:r>
          </w:p>
        </w:tc>
        <w:tc>
          <w:tcPr>
            <w:tcW w:w="1395" w:type="dxa"/>
            <w:tcBorders>
              <w:bottom w:val="single" w:sz="6" w:space="0" w:color="000000"/>
              <w:right w:val="single" w:sz="6" w:space="0" w:color="000000"/>
            </w:tcBorders>
            <w:vAlign w:val="center"/>
          </w:tcPr>
          <w:p w14:paraId="735684B4" w14:textId="77777777" w:rsidR="007D706A" w:rsidRDefault="007D706A" w:rsidP="00F70508">
            <w:pPr>
              <w:pStyle w:val="ParagraphStyle12"/>
              <w:rPr>
                <w:rStyle w:val="CharacterStyle12"/>
              </w:rPr>
            </w:pPr>
            <w:r>
              <w:rPr>
                <w:rStyle w:val="CharacterStyle12"/>
              </w:rPr>
              <w:t>6.000,00</w:t>
            </w:r>
          </w:p>
        </w:tc>
        <w:tc>
          <w:tcPr>
            <w:tcW w:w="1395" w:type="dxa"/>
            <w:tcBorders>
              <w:bottom w:val="single" w:sz="6" w:space="0" w:color="000000"/>
              <w:right w:val="single" w:sz="6" w:space="0" w:color="000000"/>
            </w:tcBorders>
            <w:vAlign w:val="center"/>
          </w:tcPr>
          <w:p w14:paraId="592DF263" w14:textId="77777777" w:rsidR="007D706A" w:rsidRDefault="007D706A" w:rsidP="00F70508">
            <w:pPr>
              <w:pStyle w:val="ParagraphStyle12"/>
              <w:rPr>
                <w:rStyle w:val="CharacterStyle12"/>
              </w:rPr>
            </w:pPr>
            <w:r>
              <w:rPr>
                <w:rStyle w:val="CharacterStyle12"/>
              </w:rPr>
              <w:t>6.240,00</w:t>
            </w:r>
          </w:p>
        </w:tc>
        <w:tc>
          <w:tcPr>
            <w:tcW w:w="1395" w:type="dxa"/>
            <w:tcBorders>
              <w:bottom w:val="single" w:sz="6" w:space="0" w:color="000000"/>
              <w:right w:val="single" w:sz="6" w:space="0" w:color="000000"/>
            </w:tcBorders>
            <w:vAlign w:val="center"/>
          </w:tcPr>
          <w:p w14:paraId="52B8B53A" w14:textId="77777777" w:rsidR="007D706A" w:rsidRDefault="007D706A" w:rsidP="00F70508">
            <w:pPr>
              <w:pStyle w:val="ParagraphStyle12"/>
              <w:rPr>
                <w:rStyle w:val="CharacterStyle12"/>
              </w:rPr>
            </w:pPr>
            <w:r>
              <w:rPr>
                <w:rStyle w:val="CharacterStyle12"/>
              </w:rPr>
              <w:t>6.303,00</w:t>
            </w:r>
          </w:p>
        </w:tc>
      </w:tr>
      <w:tr w:rsidR="007D706A" w14:paraId="390E5A8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1AFC99A" w14:textId="77777777" w:rsidR="007D706A" w:rsidRDefault="007D706A" w:rsidP="00F70508">
            <w:pPr>
              <w:pStyle w:val="ParagraphStyle7"/>
              <w:rPr>
                <w:rStyle w:val="CharacterStyle7"/>
              </w:rPr>
            </w:pPr>
            <w:r>
              <w:rPr>
                <w:rStyle w:val="CharacterStyle7"/>
              </w:rPr>
              <w:t>Izvor financiranja 5</w:t>
            </w:r>
          </w:p>
        </w:tc>
        <w:tc>
          <w:tcPr>
            <w:tcW w:w="4995" w:type="dxa"/>
            <w:tcBorders>
              <w:bottom w:val="single" w:sz="6" w:space="0" w:color="000000"/>
              <w:right w:val="single" w:sz="6" w:space="0" w:color="000000"/>
            </w:tcBorders>
            <w:vAlign w:val="center"/>
          </w:tcPr>
          <w:p w14:paraId="4FD5D6D6" w14:textId="77777777" w:rsidR="007D706A" w:rsidRDefault="007D706A" w:rsidP="00F70508">
            <w:pPr>
              <w:pStyle w:val="ParagraphStyle8"/>
              <w:rPr>
                <w:rStyle w:val="CharacterStyle8"/>
              </w:rPr>
            </w:pPr>
            <w:r>
              <w:rPr>
                <w:rStyle w:val="CharacterStyle8"/>
              </w:rPr>
              <w:t>POMOĆI</w:t>
            </w:r>
          </w:p>
        </w:tc>
        <w:tc>
          <w:tcPr>
            <w:tcW w:w="1395" w:type="dxa"/>
            <w:tcBorders>
              <w:bottom w:val="single" w:sz="6" w:space="0" w:color="000000"/>
              <w:right w:val="single" w:sz="6" w:space="0" w:color="000000"/>
            </w:tcBorders>
            <w:vAlign w:val="center"/>
          </w:tcPr>
          <w:p w14:paraId="599FAAEE"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D6D5F79"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7F49E31" w14:textId="77777777" w:rsidR="007D706A" w:rsidRDefault="007D706A" w:rsidP="00F70508">
            <w:pPr>
              <w:pStyle w:val="ParagraphStyle9"/>
              <w:rPr>
                <w:rStyle w:val="CharacterStyle9"/>
              </w:rPr>
            </w:pPr>
            <w:r>
              <w:rPr>
                <w:rStyle w:val="CharacterStyle9"/>
              </w:rPr>
              <w:t>1.000,00</w:t>
            </w:r>
          </w:p>
        </w:tc>
        <w:tc>
          <w:tcPr>
            <w:tcW w:w="1395" w:type="dxa"/>
            <w:tcBorders>
              <w:bottom w:val="single" w:sz="6" w:space="0" w:color="000000"/>
              <w:right w:val="single" w:sz="6" w:space="0" w:color="000000"/>
            </w:tcBorders>
            <w:vAlign w:val="center"/>
          </w:tcPr>
          <w:p w14:paraId="0E659399" w14:textId="77777777" w:rsidR="007D706A" w:rsidRDefault="007D706A" w:rsidP="00F70508">
            <w:pPr>
              <w:pStyle w:val="ParagraphStyle9"/>
              <w:rPr>
                <w:rStyle w:val="CharacterStyle9"/>
              </w:rPr>
            </w:pPr>
            <w:r>
              <w:rPr>
                <w:rStyle w:val="CharacterStyle9"/>
              </w:rPr>
              <w:t>1.040,00</w:t>
            </w:r>
          </w:p>
        </w:tc>
        <w:tc>
          <w:tcPr>
            <w:tcW w:w="1395" w:type="dxa"/>
            <w:tcBorders>
              <w:bottom w:val="single" w:sz="6" w:space="0" w:color="000000"/>
              <w:right w:val="single" w:sz="6" w:space="0" w:color="000000"/>
            </w:tcBorders>
            <w:vAlign w:val="center"/>
          </w:tcPr>
          <w:p w14:paraId="69DC073B" w14:textId="77777777" w:rsidR="007D706A" w:rsidRDefault="007D706A" w:rsidP="00F70508">
            <w:pPr>
              <w:pStyle w:val="ParagraphStyle9"/>
              <w:rPr>
                <w:rStyle w:val="CharacterStyle9"/>
              </w:rPr>
            </w:pPr>
            <w:r>
              <w:rPr>
                <w:rStyle w:val="CharacterStyle9"/>
              </w:rPr>
              <w:t>1.050,00</w:t>
            </w:r>
          </w:p>
        </w:tc>
      </w:tr>
      <w:tr w:rsidR="007D706A" w14:paraId="70B4D3E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6B466DA"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01DAA9AB"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3CABAAF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0CA6EC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10940E9" w14:textId="77777777" w:rsidR="007D706A" w:rsidRDefault="007D706A" w:rsidP="00F70508">
            <w:pPr>
              <w:pStyle w:val="ParagraphStyle12"/>
              <w:rPr>
                <w:rStyle w:val="CharacterStyle12"/>
              </w:rPr>
            </w:pPr>
            <w:r>
              <w:rPr>
                <w:rStyle w:val="CharacterStyle12"/>
              </w:rPr>
              <w:t>1.000,00</w:t>
            </w:r>
          </w:p>
        </w:tc>
        <w:tc>
          <w:tcPr>
            <w:tcW w:w="1395" w:type="dxa"/>
            <w:tcBorders>
              <w:bottom w:val="single" w:sz="6" w:space="0" w:color="000000"/>
              <w:right w:val="single" w:sz="6" w:space="0" w:color="000000"/>
            </w:tcBorders>
            <w:vAlign w:val="center"/>
          </w:tcPr>
          <w:p w14:paraId="2B0BD1FC" w14:textId="77777777" w:rsidR="007D706A" w:rsidRDefault="007D706A" w:rsidP="00F70508">
            <w:pPr>
              <w:pStyle w:val="ParagraphStyle12"/>
              <w:rPr>
                <w:rStyle w:val="CharacterStyle12"/>
              </w:rPr>
            </w:pPr>
            <w:r>
              <w:rPr>
                <w:rStyle w:val="CharacterStyle12"/>
              </w:rPr>
              <w:t>1.040,00</w:t>
            </w:r>
          </w:p>
        </w:tc>
        <w:tc>
          <w:tcPr>
            <w:tcW w:w="1395" w:type="dxa"/>
            <w:tcBorders>
              <w:bottom w:val="single" w:sz="6" w:space="0" w:color="000000"/>
              <w:right w:val="single" w:sz="6" w:space="0" w:color="000000"/>
            </w:tcBorders>
            <w:vAlign w:val="center"/>
          </w:tcPr>
          <w:p w14:paraId="7F8371E1" w14:textId="77777777" w:rsidR="007D706A" w:rsidRDefault="007D706A" w:rsidP="00F70508">
            <w:pPr>
              <w:pStyle w:val="ParagraphStyle12"/>
              <w:rPr>
                <w:rStyle w:val="CharacterStyle12"/>
              </w:rPr>
            </w:pPr>
            <w:r>
              <w:rPr>
                <w:rStyle w:val="CharacterStyle12"/>
              </w:rPr>
              <w:t>1.050,00</w:t>
            </w:r>
          </w:p>
        </w:tc>
      </w:tr>
      <w:tr w:rsidR="007D706A" w14:paraId="4B66ECA2" w14:textId="77777777" w:rsidTr="00F70508">
        <w:trPr>
          <w:trHeight w:val="420"/>
        </w:trPr>
        <w:tc>
          <w:tcPr>
            <w:tcW w:w="2880" w:type="dxa"/>
            <w:tcBorders>
              <w:left w:val="single" w:sz="6" w:space="0" w:color="000000"/>
              <w:bottom w:val="single" w:sz="6" w:space="0" w:color="000000"/>
              <w:right w:val="single" w:sz="6" w:space="0" w:color="000000"/>
            </w:tcBorders>
            <w:vAlign w:val="center"/>
          </w:tcPr>
          <w:p w14:paraId="6433096E" w14:textId="77777777" w:rsidR="007D706A" w:rsidRDefault="007D706A" w:rsidP="00F70508">
            <w:pPr>
              <w:pStyle w:val="ParagraphStyle10"/>
              <w:rPr>
                <w:rStyle w:val="CharacterStyle10"/>
              </w:rPr>
            </w:pPr>
            <w:r>
              <w:rPr>
                <w:rStyle w:val="CharacterStyle10"/>
              </w:rPr>
              <w:t>37</w:t>
            </w:r>
          </w:p>
        </w:tc>
        <w:tc>
          <w:tcPr>
            <w:tcW w:w="4995" w:type="dxa"/>
            <w:tcBorders>
              <w:bottom w:val="single" w:sz="6" w:space="0" w:color="000000"/>
              <w:right w:val="single" w:sz="6" w:space="0" w:color="000000"/>
            </w:tcBorders>
            <w:vAlign w:val="center"/>
          </w:tcPr>
          <w:p w14:paraId="14FDB52D" w14:textId="77777777" w:rsidR="007D706A" w:rsidRDefault="007D706A" w:rsidP="00F70508">
            <w:pPr>
              <w:pStyle w:val="ParagraphStyle11"/>
              <w:rPr>
                <w:rStyle w:val="CharacterStyle11"/>
              </w:rPr>
            </w:pPr>
            <w:r>
              <w:rPr>
                <w:rStyle w:val="CharacterStyle11"/>
              </w:rPr>
              <w:t>Naknade građanima i kućanstvima na temelju osiguranja i druge naknade</w:t>
            </w:r>
          </w:p>
        </w:tc>
        <w:tc>
          <w:tcPr>
            <w:tcW w:w="1395" w:type="dxa"/>
            <w:tcBorders>
              <w:bottom w:val="single" w:sz="6" w:space="0" w:color="000000"/>
              <w:right w:val="single" w:sz="6" w:space="0" w:color="000000"/>
            </w:tcBorders>
            <w:vAlign w:val="center"/>
          </w:tcPr>
          <w:p w14:paraId="641C4E9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D010A5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BF6B0FB" w14:textId="77777777" w:rsidR="007D706A" w:rsidRDefault="007D706A" w:rsidP="00F70508">
            <w:pPr>
              <w:pStyle w:val="ParagraphStyle12"/>
              <w:rPr>
                <w:rStyle w:val="CharacterStyle12"/>
              </w:rPr>
            </w:pPr>
            <w:r>
              <w:rPr>
                <w:rStyle w:val="CharacterStyle12"/>
              </w:rPr>
              <w:t>1.000,00</w:t>
            </w:r>
          </w:p>
        </w:tc>
        <w:tc>
          <w:tcPr>
            <w:tcW w:w="1395" w:type="dxa"/>
            <w:tcBorders>
              <w:bottom w:val="single" w:sz="6" w:space="0" w:color="000000"/>
              <w:right w:val="single" w:sz="6" w:space="0" w:color="000000"/>
            </w:tcBorders>
            <w:vAlign w:val="center"/>
          </w:tcPr>
          <w:p w14:paraId="61F04CF2" w14:textId="77777777" w:rsidR="007D706A" w:rsidRDefault="007D706A" w:rsidP="00F70508">
            <w:pPr>
              <w:pStyle w:val="ParagraphStyle12"/>
              <w:rPr>
                <w:rStyle w:val="CharacterStyle12"/>
              </w:rPr>
            </w:pPr>
            <w:r>
              <w:rPr>
                <w:rStyle w:val="CharacterStyle12"/>
              </w:rPr>
              <w:t>1.040,00</w:t>
            </w:r>
          </w:p>
        </w:tc>
        <w:tc>
          <w:tcPr>
            <w:tcW w:w="1395" w:type="dxa"/>
            <w:tcBorders>
              <w:bottom w:val="single" w:sz="6" w:space="0" w:color="000000"/>
              <w:right w:val="single" w:sz="6" w:space="0" w:color="000000"/>
            </w:tcBorders>
            <w:vAlign w:val="center"/>
          </w:tcPr>
          <w:p w14:paraId="5AC4CFDB" w14:textId="77777777" w:rsidR="007D706A" w:rsidRDefault="007D706A" w:rsidP="00F70508">
            <w:pPr>
              <w:pStyle w:val="ParagraphStyle12"/>
              <w:rPr>
                <w:rStyle w:val="CharacterStyle12"/>
              </w:rPr>
            </w:pPr>
            <w:r>
              <w:rPr>
                <w:rStyle w:val="CharacterStyle12"/>
              </w:rPr>
              <w:t>1.050,00</w:t>
            </w:r>
          </w:p>
        </w:tc>
      </w:tr>
      <w:tr w:rsidR="007D706A" w14:paraId="65CB572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690E828" w14:textId="77777777" w:rsidR="007D706A" w:rsidRDefault="007D706A" w:rsidP="00F70508">
            <w:pPr>
              <w:pStyle w:val="ParagraphStyle7"/>
              <w:rPr>
                <w:rStyle w:val="CharacterStyle7"/>
              </w:rPr>
            </w:pPr>
            <w:r>
              <w:rPr>
                <w:rStyle w:val="CharacterStyle7"/>
              </w:rPr>
              <w:t>Izvor financiranja 53</w:t>
            </w:r>
          </w:p>
        </w:tc>
        <w:tc>
          <w:tcPr>
            <w:tcW w:w="4995" w:type="dxa"/>
            <w:tcBorders>
              <w:bottom w:val="single" w:sz="6" w:space="0" w:color="000000"/>
              <w:right w:val="single" w:sz="6" w:space="0" w:color="000000"/>
            </w:tcBorders>
            <w:vAlign w:val="center"/>
          </w:tcPr>
          <w:p w14:paraId="40271030" w14:textId="77777777" w:rsidR="007D706A" w:rsidRDefault="007D706A" w:rsidP="00F70508">
            <w:pPr>
              <w:pStyle w:val="ParagraphStyle8"/>
              <w:rPr>
                <w:rStyle w:val="CharacterStyle8"/>
              </w:rPr>
            </w:pPr>
            <w:r>
              <w:rPr>
                <w:rStyle w:val="CharacterStyle8"/>
              </w:rPr>
              <w:t>Proračuni, drugi nivoi - za posebne i / ili ugovorene namjene</w:t>
            </w:r>
          </w:p>
        </w:tc>
        <w:tc>
          <w:tcPr>
            <w:tcW w:w="1395" w:type="dxa"/>
            <w:tcBorders>
              <w:bottom w:val="single" w:sz="6" w:space="0" w:color="000000"/>
              <w:right w:val="single" w:sz="6" w:space="0" w:color="000000"/>
            </w:tcBorders>
            <w:vAlign w:val="center"/>
          </w:tcPr>
          <w:p w14:paraId="35A4CA1E"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DEAC215" w14:textId="77777777" w:rsidR="007D706A" w:rsidRDefault="007D706A" w:rsidP="00F70508">
            <w:pPr>
              <w:pStyle w:val="ParagraphStyle9"/>
              <w:rPr>
                <w:rStyle w:val="CharacterStyle9"/>
              </w:rPr>
            </w:pPr>
            <w:r>
              <w:rPr>
                <w:rStyle w:val="CharacterStyle9"/>
              </w:rPr>
              <w:t>1.200,00</w:t>
            </w:r>
          </w:p>
        </w:tc>
        <w:tc>
          <w:tcPr>
            <w:tcW w:w="1395" w:type="dxa"/>
            <w:tcBorders>
              <w:bottom w:val="single" w:sz="6" w:space="0" w:color="000000"/>
              <w:right w:val="single" w:sz="6" w:space="0" w:color="000000"/>
            </w:tcBorders>
            <w:vAlign w:val="center"/>
          </w:tcPr>
          <w:p w14:paraId="022469AA"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9F63D8E"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6A43D2B" w14:textId="77777777" w:rsidR="007D706A" w:rsidRDefault="007D706A" w:rsidP="00F70508">
            <w:pPr>
              <w:pStyle w:val="ParagraphStyle9"/>
              <w:rPr>
                <w:rStyle w:val="CharacterStyle9"/>
              </w:rPr>
            </w:pPr>
            <w:r>
              <w:rPr>
                <w:rStyle w:val="CharacterStyle9"/>
              </w:rPr>
              <w:t>0,00</w:t>
            </w:r>
          </w:p>
        </w:tc>
      </w:tr>
      <w:tr w:rsidR="007D706A" w14:paraId="2E6597C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4DBB71B"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3C0C6046"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41D632A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160EBC1" w14:textId="77777777" w:rsidR="007D706A" w:rsidRDefault="007D706A" w:rsidP="00F70508">
            <w:pPr>
              <w:pStyle w:val="ParagraphStyle12"/>
              <w:rPr>
                <w:rStyle w:val="CharacterStyle12"/>
              </w:rPr>
            </w:pPr>
            <w:r>
              <w:rPr>
                <w:rStyle w:val="CharacterStyle12"/>
              </w:rPr>
              <w:t>1.200,00</w:t>
            </w:r>
          </w:p>
        </w:tc>
        <w:tc>
          <w:tcPr>
            <w:tcW w:w="1395" w:type="dxa"/>
            <w:tcBorders>
              <w:bottom w:val="single" w:sz="6" w:space="0" w:color="000000"/>
              <w:right w:val="single" w:sz="6" w:space="0" w:color="000000"/>
            </w:tcBorders>
            <w:vAlign w:val="center"/>
          </w:tcPr>
          <w:p w14:paraId="0E413DD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7EDCB6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8A00826" w14:textId="77777777" w:rsidR="007D706A" w:rsidRDefault="007D706A" w:rsidP="00F70508">
            <w:pPr>
              <w:pStyle w:val="ParagraphStyle12"/>
              <w:rPr>
                <w:rStyle w:val="CharacterStyle12"/>
              </w:rPr>
            </w:pPr>
            <w:r>
              <w:rPr>
                <w:rStyle w:val="CharacterStyle12"/>
              </w:rPr>
              <w:t>0,00</w:t>
            </w:r>
          </w:p>
        </w:tc>
      </w:tr>
      <w:tr w:rsidR="007D706A" w14:paraId="0EC10EAC" w14:textId="77777777" w:rsidTr="00F70508">
        <w:trPr>
          <w:trHeight w:val="405"/>
        </w:trPr>
        <w:tc>
          <w:tcPr>
            <w:tcW w:w="2880" w:type="dxa"/>
            <w:tcBorders>
              <w:left w:val="single" w:sz="6" w:space="0" w:color="000000"/>
              <w:bottom w:val="single" w:sz="6" w:space="0" w:color="000000"/>
              <w:right w:val="single" w:sz="6" w:space="0" w:color="000000"/>
            </w:tcBorders>
            <w:vAlign w:val="center"/>
          </w:tcPr>
          <w:p w14:paraId="0A7BD45B" w14:textId="77777777" w:rsidR="007D706A" w:rsidRDefault="007D706A" w:rsidP="00F70508">
            <w:pPr>
              <w:pStyle w:val="ParagraphStyle10"/>
              <w:rPr>
                <w:rStyle w:val="CharacterStyle10"/>
              </w:rPr>
            </w:pPr>
            <w:r>
              <w:rPr>
                <w:rStyle w:val="CharacterStyle10"/>
              </w:rPr>
              <w:t>37</w:t>
            </w:r>
          </w:p>
        </w:tc>
        <w:tc>
          <w:tcPr>
            <w:tcW w:w="4995" w:type="dxa"/>
            <w:tcBorders>
              <w:bottom w:val="single" w:sz="6" w:space="0" w:color="000000"/>
              <w:right w:val="single" w:sz="6" w:space="0" w:color="000000"/>
            </w:tcBorders>
            <w:vAlign w:val="center"/>
          </w:tcPr>
          <w:p w14:paraId="4B8E6998" w14:textId="77777777" w:rsidR="007D706A" w:rsidRDefault="007D706A" w:rsidP="00F70508">
            <w:pPr>
              <w:pStyle w:val="ParagraphStyle11"/>
              <w:rPr>
                <w:rStyle w:val="CharacterStyle11"/>
              </w:rPr>
            </w:pPr>
            <w:r>
              <w:rPr>
                <w:rStyle w:val="CharacterStyle11"/>
              </w:rPr>
              <w:t>Naknade građanima i kućanstvima na temelju osiguranja i druge naknade</w:t>
            </w:r>
          </w:p>
        </w:tc>
        <w:tc>
          <w:tcPr>
            <w:tcW w:w="1395" w:type="dxa"/>
            <w:tcBorders>
              <w:bottom w:val="single" w:sz="6" w:space="0" w:color="000000"/>
              <w:right w:val="single" w:sz="6" w:space="0" w:color="000000"/>
            </w:tcBorders>
            <w:vAlign w:val="center"/>
          </w:tcPr>
          <w:p w14:paraId="3175D17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FF0EB77" w14:textId="77777777" w:rsidR="007D706A" w:rsidRDefault="007D706A" w:rsidP="00F70508">
            <w:pPr>
              <w:pStyle w:val="ParagraphStyle12"/>
              <w:rPr>
                <w:rStyle w:val="CharacterStyle12"/>
              </w:rPr>
            </w:pPr>
            <w:r>
              <w:rPr>
                <w:rStyle w:val="CharacterStyle12"/>
              </w:rPr>
              <w:t>1.200,00</w:t>
            </w:r>
          </w:p>
        </w:tc>
        <w:tc>
          <w:tcPr>
            <w:tcW w:w="1395" w:type="dxa"/>
            <w:tcBorders>
              <w:bottom w:val="single" w:sz="6" w:space="0" w:color="000000"/>
              <w:right w:val="single" w:sz="6" w:space="0" w:color="000000"/>
            </w:tcBorders>
            <w:vAlign w:val="center"/>
          </w:tcPr>
          <w:p w14:paraId="2886010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7E270B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50AEA09" w14:textId="77777777" w:rsidR="007D706A" w:rsidRDefault="007D706A" w:rsidP="00F70508">
            <w:pPr>
              <w:pStyle w:val="ParagraphStyle12"/>
              <w:rPr>
                <w:rStyle w:val="CharacterStyle12"/>
              </w:rPr>
            </w:pPr>
            <w:r>
              <w:rPr>
                <w:rStyle w:val="CharacterStyle12"/>
              </w:rPr>
              <w:t>0,00</w:t>
            </w:r>
          </w:p>
        </w:tc>
      </w:tr>
      <w:tr w:rsidR="007D706A" w14:paraId="3136B6A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F5CA731" w14:textId="77777777" w:rsidR="007D706A" w:rsidRDefault="007D706A" w:rsidP="00F70508">
            <w:pPr>
              <w:pStyle w:val="ParagraphStyle4"/>
              <w:rPr>
                <w:rStyle w:val="CharacterStyle4"/>
              </w:rPr>
            </w:pPr>
            <w:r>
              <w:rPr>
                <w:rStyle w:val="CharacterStyle4"/>
              </w:rPr>
              <w:t>Aktivnost A103637</w:t>
            </w:r>
          </w:p>
        </w:tc>
        <w:tc>
          <w:tcPr>
            <w:tcW w:w="4995" w:type="dxa"/>
            <w:tcBorders>
              <w:bottom w:val="single" w:sz="6" w:space="0" w:color="000000"/>
              <w:right w:val="single" w:sz="6" w:space="0" w:color="000000"/>
            </w:tcBorders>
            <w:vAlign w:val="center"/>
          </w:tcPr>
          <w:p w14:paraId="4086B9F3" w14:textId="77777777" w:rsidR="007D706A" w:rsidRDefault="007D706A" w:rsidP="00F70508">
            <w:pPr>
              <w:pStyle w:val="ParagraphStyle5"/>
              <w:rPr>
                <w:rStyle w:val="CharacterStyle5"/>
              </w:rPr>
            </w:pPr>
            <w:r>
              <w:rPr>
                <w:rStyle w:val="CharacterStyle5"/>
              </w:rPr>
              <w:t>PREHRANA ZA UČENIKE U OSNOVNIM ŠKOLAMA</w:t>
            </w:r>
          </w:p>
        </w:tc>
        <w:tc>
          <w:tcPr>
            <w:tcW w:w="1395" w:type="dxa"/>
            <w:tcBorders>
              <w:bottom w:val="single" w:sz="6" w:space="0" w:color="000000"/>
              <w:right w:val="single" w:sz="6" w:space="0" w:color="000000"/>
            </w:tcBorders>
            <w:vAlign w:val="center"/>
          </w:tcPr>
          <w:p w14:paraId="0B986D22"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719F5A42" w14:textId="77777777" w:rsidR="007D706A" w:rsidRDefault="007D706A" w:rsidP="00F70508">
            <w:pPr>
              <w:pStyle w:val="ParagraphStyle6"/>
              <w:rPr>
                <w:rStyle w:val="CharacterStyle6"/>
              </w:rPr>
            </w:pPr>
            <w:r>
              <w:rPr>
                <w:rStyle w:val="CharacterStyle6"/>
              </w:rPr>
              <w:t>38.000,00</w:t>
            </w:r>
          </w:p>
        </w:tc>
        <w:tc>
          <w:tcPr>
            <w:tcW w:w="1395" w:type="dxa"/>
            <w:tcBorders>
              <w:bottom w:val="single" w:sz="6" w:space="0" w:color="000000"/>
              <w:right w:val="single" w:sz="6" w:space="0" w:color="000000"/>
            </w:tcBorders>
            <w:vAlign w:val="center"/>
          </w:tcPr>
          <w:p w14:paraId="09569CED" w14:textId="77777777" w:rsidR="007D706A" w:rsidRDefault="007D706A" w:rsidP="00F70508">
            <w:pPr>
              <w:pStyle w:val="ParagraphStyle6"/>
              <w:rPr>
                <w:rStyle w:val="CharacterStyle6"/>
              </w:rPr>
            </w:pPr>
            <w:r>
              <w:rPr>
                <w:rStyle w:val="CharacterStyle6"/>
              </w:rPr>
              <w:t>39.000,00</w:t>
            </w:r>
          </w:p>
        </w:tc>
        <w:tc>
          <w:tcPr>
            <w:tcW w:w="1395" w:type="dxa"/>
            <w:tcBorders>
              <w:bottom w:val="single" w:sz="6" w:space="0" w:color="000000"/>
              <w:right w:val="single" w:sz="6" w:space="0" w:color="000000"/>
            </w:tcBorders>
            <w:vAlign w:val="center"/>
          </w:tcPr>
          <w:p w14:paraId="5ACEE8D1" w14:textId="77777777" w:rsidR="007D706A" w:rsidRDefault="007D706A" w:rsidP="00F70508">
            <w:pPr>
              <w:pStyle w:val="ParagraphStyle6"/>
              <w:rPr>
                <w:rStyle w:val="CharacterStyle6"/>
              </w:rPr>
            </w:pPr>
            <w:r>
              <w:rPr>
                <w:rStyle w:val="CharacterStyle6"/>
              </w:rPr>
              <w:t>40.560,00</w:t>
            </w:r>
          </w:p>
        </w:tc>
        <w:tc>
          <w:tcPr>
            <w:tcW w:w="1395" w:type="dxa"/>
            <w:tcBorders>
              <w:bottom w:val="single" w:sz="6" w:space="0" w:color="000000"/>
              <w:right w:val="single" w:sz="6" w:space="0" w:color="000000"/>
            </w:tcBorders>
            <w:vAlign w:val="center"/>
          </w:tcPr>
          <w:p w14:paraId="4EC68705" w14:textId="77777777" w:rsidR="007D706A" w:rsidRDefault="007D706A" w:rsidP="00F70508">
            <w:pPr>
              <w:pStyle w:val="ParagraphStyle6"/>
              <w:rPr>
                <w:rStyle w:val="CharacterStyle6"/>
              </w:rPr>
            </w:pPr>
            <w:r>
              <w:rPr>
                <w:rStyle w:val="CharacterStyle6"/>
              </w:rPr>
              <w:t>40.965,00</w:t>
            </w:r>
          </w:p>
        </w:tc>
      </w:tr>
      <w:tr w:rsidR="007D706A" w14:paraId="69D8616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B0973AB"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54A7228A"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2AE4E38C"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9FA3C6A"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FEC7E14" w14:textId="77777777" w:rsidR="007D706A" w:rsidRDefault="007D706A" w:rsidP="00F70508">
            <w:pPr>
              <w:pStyle w:val="ParagraphStyle9"/>
              <w:rPr>
                <w:rStyle w:val="CharacterStyle9"/>
              </w:rPr>
            </w:pPr>
            <w:r>
              <w:rPr>
                <w:rStyle w:val="CharacterStyle9"/>
              </w:rPr>
              <w:t>1.000,00</w:t>
            </w:r>
          </w:p>
        </w:tc>
        <w:tc>
          <w:tcPr>
            <w:tcW w:w="1395" w:type="dxa"/>
            <w:tcBorders>
              <w:bottom w:val="single" w:sz="6" w:space="0" w:color="000000"/>
              <w:right w:val="single" w:sz="6" w:space="0" w:color="000000"/>
            </w:tcBorders>
            <w:vAlign w:val="center"/>
          </w:tcPr>
          <w:p w14:paraId="2EADC1B9" w14:textId="77777777" w:rsidR="007D706A" w:rsidRDefault="007D706A" w:rsidP="00F70508">
            <w:pPr>
              <w:pStyle w:val="ParagraphStyle9"/>
              <w:rPr>
                <w:rStyle w:val="CharacterStyle9"/>
              </w:rPr>
            </w:pPr>
            <w:r>
              <w:rPr>
                <w:rStyle w:val="CharacterStyle9"/>
              </w:rPr>
              <w:t>1.040,00</w:t>
            </w:r>
          </w:p>
        </w:tc>
        <w:tc>
          <w:tcPr>
            <w:tcW w:w="1395" w:type="dxa"/>
            <w:tcBorders>
              <w:bottom w:val="single" w:sz="6" w:space="0" w:color="000000"/>
              <w:right w:val="single" w:sz="6" w:space="0" w:color="000000"/>
            </w:tcBorders>
            <w:vAlign w:val="center"/>
          </w:tcPr>
          <w:p w14:paraId="5AEDA4CE" w14:textId="77777777" w:rsidR="007D706A" w:rsidRDefault="007D706A" w:rsidP="00F70508">
            <w:pPr>
              <w:pStyle w:val="ParagraphStyle9"/>
              <w:rPr>
                <w:rStyle w:val="CharacterStyle9"/>
              </w:rPr>
            </w:pPr>
            <w:r>
              <w:rPr>
                <w:rStyle w:val="CharacterStyle9"/>
              </w:rPr>
              <w:t>1.050,00</w:t>
            </w:r>
          </w:p>
        </w:tc>
      </w:tr>
      <w:tr w:rsidR="007D706A" w14:paraId="776E9B3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D1E96B3"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09880D6C"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4377AB2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0ED8C2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4266240" w14:textId="77777777" w:rsidR="007D706A" w:rsidRDefault="007D706A" w:rsidP="00F70508">
            <w:pPr>
              <w:pStyle w:val="ParagraphStyle12"/>
              <w:rPr>
                <w:rStyle w:val="CharacterStyle12"/>
              </w:rPr>
            </w:pPr>
            <w:r>
              <w:rPr>
                <w:rStyle w:val="CharacterStyle12"/>
              </w:rPr>
              <w:t>1.000,00</w:t>
            </w:r>
          </w:p>
        </w:tc>
        <w:tc>
          <w:tcPr>
            <w:tcW w:w="1395" w:type="dxa"/>
            <w:tcBorders>
              <w:bottom w:val="single" w:sz="6" w:space="0" w:color="000000"/>
              <w:right w:val="single" w:sz="6" w:space="0" w:color="000000"/>
            </w:tcBorders>
            <w:vAlign w:val="center"/>
          </w:tcPr>
          <w:p w14:paraId="1F93FFED" w14:textId="77777777" w:rsidR="007D706A" w:rsidRDefault="007D706A" w:rsidP="00F70508">
            <w:pPr>
              <w:pStyle w:val="ParagraphStyle12"/>
              <w:rPr>
                <w:rStyle w:val="CharacterStyle12"/>
              </w:rPr>
            </w:pPr>
            <w:r>
              <w:rPr>
                <w:rStyle w:val="CharacterStyle12"/>
              </w:rPr>
              <w:t>1.040,00</w:t>
            </w:r>
          </w:p>
        </w:tc>
        <w:tc>
          <w:tcPr>
            <w:tcW w:w="1395" w:type="dxa"/>
            <w:tcBorders>
              <w:bottom w:val="single" w:sz="6" w:space="0" w:color="000000"/>
              <w:right w:val="single" w:sz="6" w:space="0" w:color="000000"/>
            </w:tcBorders>
            <w:vAlign w:val="center"/>
          </w:tcPr>
          <w:p w14:paraId="0BCDF64D" w14:textId="77777777" w:rsidR="007D706A" w:rsidRDefault="007D706A" w:rsidP="00F70508">
            <w:pPr>
              <w:pStyle w:val="ParagraphStyle12"/>
              <w:rPr>
                <w:rStyle w:val="CharacterStyle12"/>
              </w:rPr>
            </w:pPr>
            <w:r>
              <w:rPr>
                <w:rStyle w:val="CharacterStyle12"/>
              </w:rPr>
              <w:t>1.050,00</w:t>
            </w:r>
          </w:p>
        </w:tc>
      </w:tr>
      <w:tr w:rsidR="007D706A" w14:paraId="07BC9E8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945BCD6"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336A4392"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0EAF0C1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C70605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E2DD9F4" w14:textId="77777777" w:rsidR="007D706A" w:rsidRDefault="007D706A" w:rsidP="00F70508">
            <w:pPr>
              <w:pStyle w:val="ParagraphStyle12"/>
              <w:rPr>
                <w:rStyle w:val="CharacterStyle12"/>
              </w:rPr>
            </w:pPr>
            <w:r>
              <w:rPr>
                <w:rStyle w:val="CharacterStyle12"/>
              </w:rPr>
              <w:t>1.000,00</w:t>
            </w:r>
          </w:p>
        </w:tc>
        <w:tc>
          <w:tcPr>
            <w:tcW w:w="1395" w:type="dxa"/>
            <w:tcBorders>
              <w:bottom w:val="single" w:sz="6" w:space="0" w:color="000000"/>
              <w:right w:val="single" w:sz="6" w:space="0" w:color="000000"/>
            </w:tcBorders>
            <w:vAlign w:val="center"/>
          </w:tcPr>
          <w:p w14:paraId="300F3D62" w14:textId="77777777" w:rsidR="007D706A" w:rsidRDefault="007D706A" w:rsidP="00F70508">
            <w:pPr>
              <w:pStyle w:val="ParagraphStyle12"/>
              <w:rPr>
                <w:rStyle w:val="CharacterStyle12"/>
              </w:rPr>
            </w:pPr>
            <w:r>
              <w:rPr>
                <w:rStyle w:val="CharacterStyle12"/>
              </w:rPr>
              <w:t>1.040,00</w:t>
            </w:r>
          </w:p>
        </w:tc>
        <w:tc>
          <w:tcPr>
            <w:tcW w:w="1395" w:type="dxa"/>
            <w:tcBorders>
              <w:bottom w:val="single" w:sz="6" w:space="0" w:color="000000"/>
              <w:right w:val="single" w:sz="6" w:space="0" w:color="000000"/>
            </w:tcBorders>
            <w:vAlign w:val="center"/>
          </w:tcPr>
          <w:p w14:paraId="53B2A6FA" w14:textId="77777777" w:rsidR="007D706A" w:rsidRDefault="007D706A" w:rsidP="00F70508">
            <w:pPr>
              <w:pStyle w:val="ParagraphStyle12"/>
              <w:rPr>
                <w:rStyle w:val="CharacterStyle12"/>
              </w:rPr>
            </w:pPr>
            <w:r>
              <w:rPr>
                <w:rStyle w:val="CharacterStyle12"/>
              </w:rPr>
              <w:t>1.050,00</w:t>
            </w:r>
          </w:p>
        </w:tc>
      </w:tr>
      <w:tr w:rsidR="007D706A" w14:paraId="6DD207D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A19CB53" w14:textId="77777777" w:rsidR="007D706A" w:rsidRDefault="007D706A" w:rsidP="00F70508">
            <w:pPr>
              <w:pStyle w:val="ParagraphStyle7"/>
              <w:rPr>
                <w:rStyle w:val="CharacterStyle7"/>
              </w:rPr>
            </w:pPr>
            <w:r>
              <w:rPr>
                <w:rStyle w:val="CharacterStyle7"/>
              </w:rPr>
              <w:t>Izvor financiranja 50</w:t>
            </w:r>
          </w:p>
        </w:tc>
        <w:tc>
          <w:tcPr>
            <w:tcW w:w="4995" w:type="dxa"/>
            <w:tcBorders>
              <w:bottom w:val="single" w:sz="6" w:space="0" w:color="000000"/>
              <w:right w:val="single" w:sz="6" w:space="0" w:color="000000"/>
            </w:tcBorders>
            <w:vAlign w:val="center"/>
          </w:tcPr>
          <w:p w14:paraId="7A9A10C8" w14:textId="77777777" w:rsidR="007D706A" w:rsidRDefault="007D706A" w:rsidP="00F70508">
            <w:pPr>
              <w:pStyle w:val="ParagraphStyle8"/>
              <w:rPr>
                <w:rStyle w:val="CharacterStyle8"/>
              </w:rPr>
            </w:pPr>
            <w:r>
              <w:rPr>
                <w:rStyle w:val="CharacterStyle8"/>
              </w:rPr>
              <w:t>Pomoći iz državnog proračuna</w:t>
            </w:r>
          </w:p>
        </w:tc>
        <w:tc>
          <w:tcPr>
            <w:tcW w:w="1395" w:type="dxa"/>
            <w:tcBorders>
              <w:bottom w:val="single" w:sz="6" w:space="0" w:color="000000"/>
              <w:right w:val="single" w:sz="6" w:space="0" w:color="000000"/>
            </w:tcBorders>
            <w:vAlign w:val="center"/>
          </w:tcPr>
          <w:p w14:paraId="0382BC80"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9862715"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A962D64" w14:textId="77777777" w:rsidR="007D706A" w:rsidRDefault="007D706A" w:rsidP="00F70508">
            <w:pPr>
              <w:pStyle w:val="ParagraphStyle9"/>
              <w:rPr>
                <w:rStyle w:val="CharacterStyle9"/>
              </w:rPr>
            </w:pPr>
            <w:r>
              <w:rPr>
                <w:rStyle w:val="CharacterStyle9"/>
              </w:rPr>
              <w:t>38.000,00</w:t>
            </w:r>
          </w:p>
        </w:tc>
        <w:tc>
          <w:tcPr>
            <w:tcW w:w="1395" w:type="dxa"/>
            <w:tcBorders>
              <w:bottom w:val="single" w:sz="6" w:space="0" w:color="000000"/>
              <w:right w:val="single" w:sz="6" w:space="0" w:color="000000"/>
            </w:tcBorders>
            <w:vAlign w:val="center"/>
          </w:tcPr>
          <w:p w14:paraId="2E582A39" w14:textId="77777777" w:rsidR="007D706A" w:rsidRDefault="007D706A" w:rsidP="00F70508">
            <w:pPr>
              <w:pStyle w:val="ParagraphStyle9"/>
              <w:rPr>
                <w:rStyle w:val="CharacterStyle9"/>
              </w:rPr>
            </w:pPr>
            <w:r>
              <w:rPr>
                <w:rStyle w:val="CharacterStyle9"/>
              </w:rPr>
              <w:t>39.520,00</w:t>
            </w:r>
          </w:p>
        </w:tc>
        <w:tc>
          <w:tcPr>
            <w:tcW w:w="1395" w:type="dxa"/>
            <w:tcBorders>
              <w:bottom w:val="single" w:sz="6" w:space="0" w:color="000000"/>
              <w:right w:val="single" w:sz="6" w:space="0" w:color="000000"/>
            </w:tcBorders>
            <w:vAlign w:val="center"/>
          </w:tcPr>
          <w:p w14:paraId="07589ED5" w14:textId="77777777" w:rsidR="007D706A" w:rsidRDefault="007D706A" w:rsidP="00F70508">
            <w:pPr>
              <w:pStyle w:val="ParagraphStyle9"/>
              <w:rPr>
                <w:rStyle w:val="CharacterStyle9"/>
              </w:rPr>
            </w:pPr>
            <w:r>
              <w:rPr>
                <w:rStyle w:val="CharacterStyle9"/>
              </w:rPr>
              <w:t>39.915,00</w:t>
            </w:r>
          </w:p>
        </w:tc>
      </w:tr>
      <w:tr w:rsidR="007D706A" w14:paraId="2D09196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D84120F"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3EB5979A"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5785B3B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F4CDD0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2C85C6B" w14:textId="77777777" w:rsidR="007D706A" w:rsidRDefault="007D706A" w:rsidP="00F70508">
            <w:pPr>
              <w:pStyle w:val="ParagraphStyle12"/>
              <w:rPr>
                <w:rStyle w:val="CharacterStyle12"/>
              </w:rPr>
            </w:pPr>
            <w:r>
              <w:rPr>
                <w:rStyle w:val="CharacterStyle12"/>
              </w:rPr>
              <w:t>38.000,00</w:t>
            </w:r>
          </w:p>
        </w:tc>
        <w:tc>
          <w:tcPr>
            <w:tcW w:w="1395" w:type="dxa"/>
            <w:tcBorders>
              <w:bottom w:val="single" w:sz="6" w:space="0" w:color="000000"/>
              <w:right w:val="single" w:sz="6" w:space="0" w:color="000000"/>
            </w:tcBorders>
            <w:vAlign w:val="center"/>
          </w:tcPr>
          <w:p w14:paraId="5B8E268C" w14:textId="77777777" w:rsidR="007D706A" w:rsidRDefault="007D706A" w:rsidP="00F70508">
            <w:pPr>
              <w:pStyle w:val="ParagraphStyle12"/>
              <w:rPr>
                <w:rStyle w:val="CharacterStyle12"/>
              </w:rPr>
            </w:pPr>
            <w:r>
              <w:rPr>
                <w:rStyle w:val="CharacterStyle12"/>
              </w:rPr>
              <w:t>39.520,00</w:t>
            </w:r>
          </w:p>
        </w:tc>
        <w:tc>
          <w:tcPr>
            <w:tcW w:w="1395" w:type="dxa"/>
            <w:tcBorders>
              <w:bottom w:val="single" w:sz="6" w:space="0" w:color="000000"/>
              <w:right w:val="single" w:sz="6" w:space="0" w:color="000000"/>
            </w:tcBorders>
            <w:vAlign w:val="center"/>
          </w:tcPr>
          <w:p w14:paraId="7769B31B" w14:textId="77777777" w:rsidR="007D706A" w:rsidRDefault="007D706A" w:rsidP="00F70508">
            <w:pPr>
              <w:pStyle w:val="ParagraphStyle12"/>
              <w:rPr>
                <w:rStyle w:val="CharacterStyle12"/>
              </w:rPr>
            </w:pPr>
            <w:r>
              <w:rPr>
                <w:rStyle w:val="CharacterStyle12"/>
              </w:rPr>
              <w:t>39.915,00</w:t>
            </w:r>
          </w:p>
        </w:tc>
      </w:tr>
      <w:tr w:rsidR="007D706A" w14:paraId="78B34DD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11F80C5"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409BD9F0"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360493E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8AA8B8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1B6F9D4" w14:textId="77777777" w:rsidR="007D706A" w:rsidRDefault="007D706A" w:rsidP="00F70508">
            <w:pPr>
              <w:pStyle w:val="ParagraphStyle12"/>
              <w:rPr>
                <w:rStyle w:val="CharacterStyle12"/>
              </w:rPr>
            </w:pPr>
            <w:r>
              <w:rPr>
                <w:rStyle w:val="CharacterStyle12"/>
              </w:rPr>
              <w:t>38.000,00</w:t>
            </w:r>
          </w:p>
        </w:tc>
        <w:tc>
          <w:tcPr>
            <w:tcW w:w="1395" w:type="dxa"/>
            <w:tcBorders>
              <w:bottom w:val="single" w:sz="6" w:space="0" w:color="000000"/>
              <w:right w:val="single" w:sz="6" w:space="0" w:color="000000"/>
            </w:tcBorders>
            <w:vAlign w:val="center"/>
          </w:tcPr>
          <w:p w14:paraId="139B20AC" w14:textId="77777777" w:rsidR="007D706A" w:rsidRDefault="007D706A" w:rsidP="00F70508">
            <w:pPr>
              <w:pStyle w:val="ParagraphStyle12"/>
              <w:rPr>
                <w:rStyle w:val="CharacterStyle12"/>
              </w:rPr>
            </w:pPr>
            <w:r>
              <w:rPr>
                <w:rStyle w:val="CharacterStyle12"/>
              </w:rPr>
              <w:t>39.520,00</w:t>
            </w:r>
          </w:p>
        </w:tc>
        <w:tc>
          <w:tcPr>
            <w:tcW w:w="1395" w:type="dxa"/>
            <w:tcBorders>
              <w:bottom w:val="single" w:sz="6" w:space="0" w:color="000000"/>
              <w:right w:val="single" w:sz="6" w:space="0" w:color="000000"/>
            </w:tcBorders>
            <w:vAlign w:val="center"/>
          </w:tcPr>
          <w:p w14:paraId="41411444" w14:textId="77777777" w:rsidR="007D706A" w:rsidRDefault="007D706A" w:rsidP="00F70508">
            <w:pPr>
              <w:pStyle w:val="ParagraphStyle12"/>
              <w:rPr>
                <w:rStyle w:val="CharacterStyle12"/>
              </w:rPr>
            </w:pPr>
            <w:r>
              <w:rPr>
                <w:rStyle w:val="CharacterStyle12"/>
              </w:rPr>
              <w:t>39.915,00</w:t>
            </w:r>
          </w:p>
        </w:tc>
      </w:tr>
      <w:tr w:rsidR="007D706A" w14:paraId="643AFDA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1BF1D56" w14:textId="77777777" w:rsidR="007D706A" w:rsidRDefault="007D706A" w:rsidP="00F70508">
            <w:pPr>
              <w:pStyle w:val="ParagraphStyle7"/>
              <w:rPr>
                <w:rStyle w:val="CharacterStyle7"/>
              </w:rPr>
            </w:pPr>
            <w:r>
              <w:rPr>
                <w:rStyle w:val="CharacterStyle7"/>
              </w:rPr>
              <w:t>Izvor financiranja 53</w:t>
            </w:r>
          </w:p>
        </w:tc>
        <w:tc>
          <w:tcPr>
            <w:tcW w:w="4995" w:type="dxa"/>
            <w:tcBorders>
              <w:bottom w:val="single" w:sz="6" w:space="0" w:color="000000"/>
              <w:right w:val="single" w:sz="6" w:space="0" w:color="000000"/>
            </w:tcBorders>
            <w:vAlign w:val="center"/>
          </w:tcPr>
          <w:p w14:paraId="6BD51E11" w14:textId="77777777" w:rsidR="007D706A" w:rsidRDefault="007D706A" w:rsidP="00F70508">
            <w:pPr>
              <w:pStyle w:val="ParagraphStyle8"/>
              <w:rPr>
                <w:rStyle w:val="CharacterStyle8"/>
              </w:rPr>
            </w:pPr>
            <w:r>
              <w:rPr>
                <w:rStyle w:val="CharacterStyle8"/>
              </w:rPr>
              <w:t>Proračuni, drugi nivoi - za posebne i / ili ugovorene namjene</w:t>
            </w:r>
          </w:p>
        </w:tc>
        <w:tc>
          <w:tcPr>
            <w:tcW w:w="1395" w:type="dxa"/>
            <w:tcBorders>
              <w:bottom w:val="single" w:sz="6" w:space="0" w:color="000000"/>
              <w:right w:val="single" w:sz="6" w:space="0" w:color="000000"/>
            </w:tcBorders>
            <w:vAlign w:val="center"/>
          </w:tcPr>
          <w:p w14:paraId="69EF6A5C"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0D032C0" w14:textId="77777777" w:rsidR="007D706A" w:rsidRDefault="007D706A" w:rsidP="00F70508">
            <w:pPr>
              <w:pStyle w:val="ParagraphStyle9"/>
              <w:rPr>
                <w:rStyle w:val="CharacterStyle9"/>
              </w:rPr>
            </w:pPr>
            <w:r>
              <w:rPr>
                <w:rStyle w:val="CharacterStyle9"/>
              </w:rPr>
              <w:t>38.000,00</w:t>
            </w:r>
          </w:p>
        </w:tc>
        <w:tc>
          <w:tcPr>
            <w:tcW w:w="1395" w:type="dxa"/>
            <w:tcBorders>
              <w:bottom w:val="single" w:sz="6" w:space="0" w:color="000000"/>
              <w:right w:val="single" w:sz="6" w:space="0" w:color="000000"/>
            </w:tcBorders>
            <w:vAlign w:val="center"/>
          </w:tcPr>
          <w:p w14:paraId="6E37B5BB"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A43B9CC"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33BB27B" w14:textId="77777777" w:rsidR="007D706A" w:rsidRDefault="007D706A" w:rsidP="00F70508">
            <w:pPr>
              <w:pStyle w:val="ParagraphStyle9"/>
              <w:rPr>
                <w:rStyle w:val="CharacterStyle9"/>
              </w:rPr>
            </w:pPr>
            <w:r>
              <w:rPr>
                <w:rStyle w:val="CharacterStyle9"/>
              </w:rPr>
              <w:t>0,00</w:t>
            </w:r>
          </w:p>
        </w:tc>
      </w:tr>
      <w:tr w:rsidR="007D706A" w14:paraId="6C6BDA5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6231D15"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4C1F87CB"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70A9566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B659214" w14:textId="77777777" w:rsidR="007D706A" w:rsidRDefault="007D706A" w:rsidP="00F70508">
            <w:pPr>
              <w:pStyle w:val="ParagraphStyle12"/>
              <w:rPr>
                <w:rStyle w:val="CharacterStyle12"/>
              </w:rPr>
            </w:pPr>
            <w:r>
              <w:rPr>
                <w:rStyle w:val="CharacterStyle12"/>
              </w:rPr>
              <w:t>38.000,00</w:t>
            </w:r>
          </w:p>
        </w:tc>
        <w:tc>
          <w:tcPr>
            <w:tcW w:w="1395" w:type="dxa"/>
            <w:tcBorders>
              <w:bottom w:val="single" w:sz="6" w:space="0" w:color="000000"/>
              <w:right w:val="single" w:sz="6" w:space="0" w:color="000000"/>
            </w:tcBorders>
            <w:vAlign w:val="center"/>
          </w:tcPr>
          <w:p w14:paraId="72A1D41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5536E5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CBD1217" w14:textId="77777777" w:rsidR="007D706A" w:rsidRDefault="007D706A" w:rsidP="00F70508">
            <w:pPr>
              <w:pStyle w:val="ParagraphStyle12"/>
              <w:rPr>
                <w:rStyle w:val="CharacterStyle12"/>
              </w:rPr>
            </w:pPr>
            <w:r>
              <w:rPr>
                <w:rStyle w:val="CharacterStyle12"/>
              </w:rPr>
              <w:t>0,00</w:t>
            </w:r>
          </w:p>
        </w:tc>
      </w:tr>
      <w:tr w:rsidR="007D706A" w14:paraId="6EA6E7E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0A326BA"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0E116432"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4C3D959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1A10634" w14:textId="77777777" w:rsidR="007D706A" w:rsidRDefault="007D706A" w:rsidP="00F70508">
            <w:pPr>
              <w:pStyle w:val="ParagraphStyle12"/>
              <w:rPr>
                <w:rStyle w:val="CharacterStyle12"/>
              </w:rPr>
            </w:pPr>
            <w:r>
              <w:rPr>
                <w:rStyle w:val="CharacterStyle12"/>
              </w:rPr>
              <w:t>38.000,00</w:t>
            </w:r>
          </w:p>
        </w:tc>
        <w:tc>
          <w:tcPr>
            <w:tcW w:w="1395" w:type="dxa"/>
            <w:tcBorders>
              <w:bottom w:val="single" w:sz="6" w:space="0" w:color="000000"/>
              <w:right w:val="single" w:sz="6" w:space="0" w:color="000000"/>
            </w:tcBorders>
            <w:vAlign w:val="center"/>
          </w:tcPr>
          <w:p w14:paraId="4977E58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7ADA14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B11A2FE" w14:textId="77777777" w:rsidR="007D706A" w:rsidRDefault="007D706A" w:rsidP="00F70508">
            <w:pPr>
              <w:pStyle w:val="ParagraphStyle12"/>
              <w:rPr>
                <w:rStyle w:val="CharacterStyle12"/>
              </w:rPr>
            </w:pPr>
            <w:r>
              <w:rPr>
                <w:rStyle w:val="CharacterStyle12"/>
              </w:rPr>
              <w:t>0,00</w:t>
            </w:r>
          </w:p>
        </w:tc>
      </w:tr>
      <w:tr w:rsidR="007D706A" w14:paraId="2F13131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41C6078" w14:textId="77777777" w:rsidR="007D706A" w:rsidRDefault="007D706A" w:rsidP="00F70508">
            <w:pPr>
              <w:pStyle w:val="ParagraphStyle4"/>
              <w:rPr>
                <w:rStyle w:val="CharacterStyle4"/>
              </w:rPr>
            </w:pPr>
            <w:r>
              <w:rPr>
                <w:rStyle w:val="CharacterStyle4"/>
              </w:rPr>
              <w:t>Kapitalni projekt K103601</w:t>
            </w:r>
          </w:p>
        </w:tc>
        <w:tc>
          <w:tcPr>
            <w:tcW w:w="4995" w:type="dxa"/>
            <w:tcBorders>
              <w:bottom w:val="single" w:sz="6" w:space="0" w:color="000000"/>
              <w:right w:val="single" w:sz="6" w:space="0" w:color="000000"/>
            </w:tcBorders>
            <w:vAlign w:val="center"/>
          </w:tcPr>
          <w:p w14:paraId="1FAD8854" w14:textId="77777777" w:rsidR="007D706A" w:rsidRDefault="007D706A" w:rsidP="00F70508">
            <w:pPr>
              <w:pStyle w:val="ParagraphStyle5"/>
              <w:rPr>
                <w:rStyle w:val="CharacterStyle5"/>
              </w:rPr>
            </w:pPr>
            <w:r>
              <w:rPr>
                <w:rStyle w:val="CharacterStyle5"/>
              </w:rPr>
              <w:t>OPREMANJE PROSTORA</w:t>
            </w:r>
          </w:p>
        </w:tc>
        <w:tc>
          <w:tcPr>
            <w:tcW w:w="1395" w:type="dxa"/>
            <w:tcBorders>
              <w:bottom w:val="single" w:sz="6" w:space="0" w:color="000000"/>
              <w:right w:val="single" w:sz="6" w:space="0" w:color="000000"/>
            </w:tcBorders>
            <w:vAlign w:val="center"/>
          </w:tcPr>
          <w:p w14:paraId="5F53C2D9"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2B66F1D9" w14:textId="77777777" w:rsidR="007D706A" w:rsidRDefault="007D706A" w:rsidP="00F70508">
            <w:pPr>
              <w:pStyle w:val="ParagraphStyle6"/>
              <w:rPr>
                <w:rStyle w:val="CharacterStyle6"/>
              </w:rPr>
            </w:pPr>
            <w:r>
              <w:rPr>
                <w:rStyle w:val="CharacterStyle6"/>
              </w:rPr>
              <w:t>19.390,49</w:t>
            </w:r>
          </w:p>
        </w:tc>
        <w:tc>
          <w:tcPr>
            <w:tcW w:w="1395" w:type="dxa"/>
            <w:tcBorders>
              <w:bottom w:val="single" w:sz="6" w:space="0" w:color="000000"/>
              <w:right w:val="single" w:sz="6" w:space="0" w:color="000000"/>
            </w:tcBorders>
            <w:vAlign w:val="center"/>
          </w:tcPr>
          <w:p w14:paraId="2758E4B4" w14:textId="77777777" w:rsidR="007D706A" w:rsidRDefault="007D706A" w:rsidP="00F70508">
            <w:pPr>
              <w:pStyle w:val="ParagraphStyle6"/>
              <w:rPr>
                <w:rStyle w:val="CharacterStyle6"/>
              </w:rPr>
            </w:pPr>
            <w:r>
              <w:rPr>
                <w:rStyle w:val="CharacterStyle6"/>
              </w:rPr>
              <w:t>32.500,00</w:t>
            </w:r>
          </w:p>
        </w:tc>
        <w:tc>
          <w:tcPr>
            <w:tcW w:w="1395" w:type="dxa"/>
            <w:tcBorders>
              <w:bottom w:val="single" w:sz="6" w:space="0" w:color="000000"/>
              <w:right w:val="single" w:sz="6" w:space="0" w:color="000000"/>
            </w:tcBorders>
            <w:vAlign w:val="center"/>
          </w:tcPr>
          <w:p w14:paraId="184AA330" w14:textId="77777777" w:rsidR="007D706A" w:rsidRDefault="007D706A" w:rsidP="00F70508">
            <w:pPr>
              <w:pStyle w:val="ParagraphStyle6"/>
              <w:rPr>
                <w:rStyle w:val="CharacterStyle6"/>
              </w:rPr>
            </w:pPr>
            <w:r>
              <w:rPr>
                <w:rStyle w:val="CharacterStyle6"/>
              </w:rPr>
              <w:t>31.720,00</w:t>
            </w:r>
          </w:p>
        </w:tc>
        <w:tc>
          <w:tcPr>
            <w:tcW w:w="1395" w:type="dxa"/>
            <w:tcBorders>
              <w:bottom w:val="single" w:sz="6" w:space="0" w:color="000000"/>
              <w:right w:val="single" w:sz="6" w:space="0" w:color="000000"/>
            </w:tcBorders>
            <w:vAlign w:val="center"/>
          </w:tcPr>
          <w:p w14:paraId="02631B18" w14:textId="77777777" w:rsidR="007D706A" w:rsidRDefault="007D706A" w:rsidP="00F70508">
            <w:pPr>
              <w:pStyle w:val="ParagraphStyle6"/>
              <w:rPr>
                <w:rStyle w:val="CharacterStyle6"/>
              </w:rPr>
            </w:pPr>
            <w:r>
              <w:rPr>
                <w:rStyle w:val="CharacterStyle6"/>
              </w:rPr>
              <w:t>32.037,00</w:t>
            </w:r>
          </w:p>
        </w:tc>
      </w:tr>
      <w:tr w:rsidR="007D706A" w14:paraId="7D148C1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9D0ACCF" w14:textId="77777777" w:rsidR="007D706A" w:rsidRDefault="007D706A" w:rsidP="00F70508">
            <w:pPr>
              <w:pStyle w:val="ParagraphStyle7"/>
              <w:rPr>
                <w:rStyle w:val="CharacterStyle7"/>
              </w:rPr>
            </w:pPr>
            <w:r>
              <w:rPr>
                <w:rStyle w:val="CharacterStyle7"/>
              </w:rPr>
              <w:t>Izvor financiranja 5</w:t>
            </w:r>
          </w:p>
        </w:tc>
        <w:tc>
          <w:tcPr>
            <w:tcW w:w="4995" w:type="dxa"/>
            <w:tcBorders>
              <w:bottom w:val="single" w:sz="6" w:space="0" w:color="000000"/>
              <w:right w:val="single" w:sz="6" w:space="0" w:color="000000"/>
            </w:tcBorders>
            <w:vAlign w:val="center"/>
          </w:tcPr>
          <w:p w14:paraId="25823BF2" w14:textId="77777777" w:rsidR="007D706A" w:rsidRDefault="007D706A" w:rsidP="00F70508">
            <w:pPr>
              <w:pStyle w:val="ParagraphStyle8"/>
              <w:rPr>
                <w:rStyle w:val="CharacterStyle8"/>
              </w:rPr>
            </w:pPr>
            <w:r>
              <w:rPr>
                <w:rStyle w:val="CharacterStyle8"/>
              </w:rPr>
              <w:t>POMOĆI</w:t>
            </w:r>
          </w:p>
        </w:tc>
        <w:tc>
          <w:tcPr>
            <w:tcW w:w="1395" w:type="dxa"/>
            <w:tcBorders>
              <w:bottom w:val="single" w:sz="6" w:space="0" w:color="000000"/>
              <w:right w:val="single" w:sz="6" w:space="0" w:color="000000"/>
            </w:tcBorders>
            <w:vAlign w:val="center"/>
          </w:tcPr>
          <w:p w14:paraId="104275FA"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0B4C119"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160CEA7" w14:textId="77777777" w:rsidR="007D706A" w:rsidRDefault="007D706A" w:rsidP="00F70508">
            <w:pPr>
              <w:pStyle w:val="ParagraphStyle9"/>
              <w:rPr>
                <w:rStyle w:val="CharacterStyle9"/>
              </w:rPr>
            </w:pPr>
            <w:r>
              <w:rPr>
                <w:rStyle w:val="CharacterStyle9"/>
              </w:rPr>
              <w:t>1.000,00</w:t>
            </w:r>
          </w:p>
        </w:tc>
        <w:tc>
          <w:tcPr>
            <w:tcW w:w="1395" w:type="dxa"/>
            <w:tcBorders>
              <w:bottom w:val="single" w:sz="6" w:space="0" w:color="000000"/>
              <w:right w:val="single" w:sz="6" w:space="0" w:color="000000"/>
            </w:tcBorders>
            <w:vAlign w:val="center"/>
          </w:tcPr>
          <w:p w14:paraId="49E485BA" w14:textId="77777777" w:rsidR="007D706A" w:rsidRDefault="007D706A" w:rsidP="00F70508">
            <w:pPr>
              <w:pStyle w:val="ParagraphStyle9"/>
              <w:rPr>
                <w:rStyle w:val="CharacterStyle9"/>
              </w:rPr>
            </w:pPr>
            <w:r>
              <w:rPr>
                <w:rStyle w:val="CharacterStyle9"/>
              </w:rPr>
              <w:t>1.000,00</w:t>
            </w:r>
          </w:p>
        </w:tc>
        <w:tc>
          <w:tcPr>
            <w:tcW w:w="1395" w:type="dxa"/>
            <w:tcBorders>
              <w:bottom w:val="single" w:sz="6" w:space="0" w:color="000000"/>
              <w:right w:val="single" w:sz="6" w:space="0" w:color="000000"/>
            </w:tcBorders>
            <w:vAlign w:val="center"/>
          </w:tcPr>
          <w:p w14:paraId="5EEB1F17" w14:textId="77777777" w:rsidR="007D706A" w:rsidRDefault="007D706A" w:rsidP="00F70508">
            <w:pPr>
              <w:pStyle w:val="ParagraphStyle9"/>
              <w:rPr>
                <w:rStyle w:val="CharacterStyle9"/>
              </w:rPr>
            </w:pPr>
            <w:r>
              <w:rPr>
                <w:rStyle w:val="CharacterStyle9"/>
              </w:rPr>
              <w:t>1.000,00</w:t>
            </w:r>
          </w:p>
        </w:tc>
      </w:tr>
      <w:tr w:rsidR="007D706A" w14:paraId="5B60F55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8506824"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5FB7EFB0"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2E731F2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17E404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374D755" w14:textId="77777777" w:rsidR="007D706A" w:rsidRDefault="007D706A" w:rsidP="00F70508">
            <w:pPr>
              <w:pStyle w:val="ParagraphStyle12"/>
              <w:rPr>
                <w:rStyle w:val="CharacterStyle12"/>
              </w:rPr>
            </w:pPr>
            <w:r>
              <w:rPr>
                <w:rStyle w:val="CharacterStyle12"/>
              </w:rPr>
              <w:t>1.000,00</w:t>
            </w:r>
          </w:p>
        </w:tc>
        <w:tc>
          <w:tcPr>
            <w:tcW w:w="1395" w:type="dxa"/>
            <w:tcBorders>
              <w:bottom w:val="single" w:sz="6" w:space="0" w:color="000000"/>
              <w:right w:val="single" w:sz="6" w:space="0" w:color="000000"/>
            </w:tcBorders>
            <w:vAlign w:val="center"/>
          </w:tcPr>
          <w:p w14:paraId="2475B52B" w14:textId="77777777" w:rsidR="007D706A" w:rsidRDefault="007D706A" w:rsidP="00F70508">
            <w:pPr>
              <w:pStyle w:val="ParagraphStyle12"/>
              <w:rPr>
                <w:rStyle w:val="CharacterStyle12"/>
              </w:rPr>
            </w:pPr>
            <w:r>
              <w:rPr>
                <w:rStyle w:val="CharacterStyle12"/>
              </w:rPr>
              <w:t>1.000,00</w:t>
            </w:r>
          </w:p>
        </w:tc>
        <w:tc>
          <w:tcPr>
            <w:tcW w:w="1395" w:type="dxa"/>
            <w:tcBorders>
              <w:bottom w:val="single" w:sz="6" w:space="0" w:color="000000"/>
              <w:right w:val="single" w:sz="6" w:space="0" w:color="000000"/>
            </w:tcBorders>
            <w:vAlign w:val="center"/>
          </w:tcPr>
          <w:p w14:paraId="52B3EB91" w14:textId="77777777" w:rsidR="007D706A" w:rsidRDefault="007D706A" w:rsidP="00F70508">
            <w:pPr>
              <w:pStyle w:val="ParagraphStyle12"/>
              <w:rPr>
                <w:rStyle w:val="CharacterStyle12"/>
              </w:rPr>
            </w:pPr>
            <w:r>
              <w:rPr>
                <w:rStyle w:val="CharacterStyle12"/>
              </w:rPr>
              <w:t>1.000,00</w:t>
            </w:r>
          </w:p>
        </w:tc>
      </w:tr>
      <w:tr w:rsidR="007D706A" w14:paraId="7DA4893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1AFDD86" w14:textId="77777777" w:rsidR="007D706A" w:rsidRDefault="007D706A" w:rsidP="00F70508">
            <w:pPr>
              <w:pStyle w:val="ParagraphStyle10"/>
              <w:rPr>
                <w:rStyle w:val="CharacterStyle10"/>
              </w:rPr>
            </w:pPr>
            <w:r>
              <w:rPr>
                <w:rStyle w:val="CharacterStyle10"/>
              </w:rPr>
              <w:t>42</w:t>
            </w:r>
          </w:p>
        </w:tc>
        <w:tc>
          <w:tcPr>
            <w:tcW w:w="4995" w:type="dxa"/>
            <w:tcBorders>
              <w:bottom w:val="single" w:sz="6" w:space="0" w:color="000000"/>
              <w:right w:val="single" w:sz="6" w:space="0" w:color="000000"/>
            </w:tcBorders>
            <w:vAlign w:val="center"/>
          </w:tcPr>
          <w:p w14:paraId="42D220E4"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1244A20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E096A5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A409BF6" w14:textId="77777777" w:rsidR="007D706A" w:rsidRDefault="007D706A" w:rsidP="00F70508">
            <w:pPr>
              <w:pStyle w:val="ParagraphStyle12"/>
              <w:rPr>
                <w:rStyle w:val="CharacterStyle12"/>
              </w:rPr>
            </w:pPr>
            <w:r>
              <w:rPr>
                <w:rStyle w:val="CharacterStyle12"/>
              </w:rPr>
              <w:t>1.000,00</w:t>
            </w:r>
          </w:p>
        </w:tc>
        <w:tc>
          <w:tcPr>
            <w:tcW w:w="1395" w:type="dxa"/>
            <w:tcBorders>
              <w:bottom w:val="single" w:sz="6" w:space="0" w:color="000000"/>
              <w:right w:val="single" w:sz="6" w:space="0" w:color="000000"/>
            </w:tcBorders>
            <w:vAlign w:val="center"/>
          </w:tcPr>
          <w:p w14:paraId="1BAC13FF" w14:textId="77777777" w:rsidR="007D706A" w:rsidRDefault="007D706A" w:rsidP="00F70508">
            <w:pPr>
              <w:pStyle w:val="ParagraphStyle12"/>
              <w:rPr>
                <w:rStyle w:val="CharacterStyle12"/>
              </w:rPr>
            </w:pPr>
            <w:r>
              <w:rPr>
                <w:rStyle w:val="CharacterStyle12"/>
              </w:rPr>
              <w:t>1.000,00</w:t>
            </w:r>
          </w:p>
        </w:tc>
        <w:tc>
          <w:tcPr>
            <w:tcW w:w="1395" w:type="dxa"/>
            <w:tcBorders>
              <w:bottom w:val="single" w:sz="6" w:space="0" w:color="000000"/>
              <w:right w:val="single" w:sz="6" w:space="0" w:color="000000"/>
            </w:tcBorders>
            <w:vAlign w:val="center"/>
          </w:tcPr>
          <w:p w14:paraId="3387D935" w14:textId="77777777" w:rsidR="007D706A" w:rsidRDefault="007D706A" w:rsidP="00F70508">
            <w:pPr>
              <w:pStyle w:val="ParagraphStyle12"/>
              <w:rPr>
                <w:rStyle w:val="CharacterStyle12"/>
              </w:rPr>
            </w:pPr>
            <w:r>
              <w:rPr>
                <w:rStyle w:val="CharacterStyle12"/>
              </w:rPr>
              <w:t>1.000,00</w:t>
            </w:r>
          </w:p>
        </w:tc>
      </w:tr>
      <w:tr w:rsidR="007D706A" w14:paraId="5E66AB5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C31D1D6" w14:textId="77777777" w:rsidR="007D706A" w:rsidRDefault="007D706A" w:rsidP="00F70508">
            <w:pPr>
              <w:pStyle w:val="ParagraphStyle7"/>
              <w:rPr>
                <w:rStyle w:val="CharacterStyle7"/>
              </w:rPr>
            </w:pPr>
            <w:r>
              <w:rPr>
                <w:rStyle w:val="CharacterStyle7"/>
              </w:rPr>
              <w:t>Izvor financiranja 50</w:t>
            </w:r>
          </w:p>
        </w:tc>
        <w:tc>
          <w:tcPr>
            <w:tcW w:w="4995" w:type="dxa"/>
            <w:tcBorders>
              <w:bottom w:val="single" w:sz="6" w:space="0" w:color="000000"/>
              <w:right w:val="single" w:sz="6" w:space="0" w:color="000000"/>
            </w:tcBorders>
            <w:vAlign w:val="center"/>
          </w:tcPr>
          <w:p w14:paraId="0E4BCF25" w14:textId="77777777" w:rsidR="007D706A" w:rsidRDefault="007D706A" w:rsidP="00F70508">
            <w:pPr>
              <w:pStyle w:val="ParagraphStyle8"/>
              <w:rPr>
                <w:rStyle w:val="CharacterStyle8"/>
              </w:rPr>
            </w:pPr>
            <w:r>
              <w:rPr>
                <w:rStyle w:val="CharacterStyle8"/>
              </w:rPr>
              <w:t>Pomoći iz državnog proračuna</w:t>
            </w:r>
          </w:p>
        </w:tc>
        <w:tc>
          <w:tcPr>
            <w:tcW w:w="1395" w:type="dxa"/>
            <w:tcBorders>
              <w:bottom w:val="single" w:sz="6" w:space="0" w:color="000000"/>
              <w:right w:val="single" w:sz="6" w:space="0" w:color="000000"/>
            </w:tcBorders>
            <w:vAlign w:val="center"/>
          </w:tcPr>
          <w:p w14:paraId="0D566E19"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7CA7CA3" w14:textId="77777777" w:rsidR="007D706A" w:rsidRDefault="007D706A" w:rsidP="00F70508">
            <w:pPr>
              <w:pStyle w:val="ParagraphStyle9"/>
              <w:rPr>
                <w:rStyle w:val="CharacterStyle9"/>
              </w:rPr>
            </w:pPr>
            <w:r>
              <w:rPr>
                <w:rStyle w:val="CharacterStyle9"/>
              </w:rPr>
              <w:t>2.000,00</w:t>
            </w:r>
          </w:p>
        </w:tc>
        <w:tc>
          <w:tcPr>
            <w:tcW w:w="1395" w:type="dxa"/>
            <w:tcBorders>
              <w:bottom w:val="single" w:sz="6" w:space="0" w:color="000000"/>
              <w:right w:val="single" w:sz="6" w:space="0" w:color="000000"/>
            </w:tcBorders>
            <w:vAlign w:val="center"/>
          </w:tcPr>
          <w:p w14:paraId="3E1C64F6" w14:textId="77777777" w:rsidR="007D706A" w:rsidRDefault="007D706A" w:rsidP="00F70508">
            <w:pPr>
              <w:pStyle w:val="ParagraphStyle9"/>
              <w:rPr>
                <w:rStyle w:val="CharacterStyle9"/>
              </w:rPr>
            </w:pPr>
            <w:r>
              <w:rPr>
                <w:rStyle w:val="CharacterStyle9"/>
              </w:rPr>
              <w:t>18.500,00</w:t>
            </w:r>
          </w:p>
        </w:tc>
        <w:tc>
          <w:tcPr>
            <w:tcW w:w="1395" w:type="dxa"/>
            <w:tcBorders>
              <w:bottom w:val="single" w:sz="6" w:space="0" w:color="000000"/>
              <w:right w:val="single" w:sz="6" w:space="0" w:color="000000"/>
            </w:tcBorders>
            <w:vAlign w:val="center"/>
          </w:tcPr>
          <w:p w14:paraId="625A12D9" w14:textId="77777777" w:rsidR="007D706A" w:rsidRDefault="007D706A" w:rsidP="00F70508">
            <w:pPr>
              <w:pStyle w:val="ParagraphStyle9"/>
              <w:rPr>
                <w:rStyle w:val="CharacterStyle9"/>
              </w:rPr>
            </w:pPr>
            <w:r>
              <w:rPr>
                <w:rStyle w:val="CharacterStyle9"/>
              </w:rPr>
              <w:t>19.280,00</w:t>
            </w:r>
          </w:p>
        </w:tc>
        <w:tc>
          <w:tcPr>
            <w:tcW w:w="1395" w:type="dxa"/>
            <w:tcBorders>
              <w:bottom w:val="single" w:sz="6" w:space="0" w:color="000000"/>
              <w:right w:val="single" w:sz="6" w:space="0" w:color="000000"/>
            </w:tcBorders>
            <w:vAlign w:val="center"/>
          </w:tcPr>
          <w:p w14:paraId="3491F4BC" w14:textId="77777777" w:rsidR="007D706A" w:rsidRDefault="007D706A" w:rsidP="00F70508">
            <w:pPr>
              <w:pStyle w:val="ParagraphStyle9"/>
              <w:rPr>
                <w:rStyle w:val="CharacterStyle9"/>
              </w:rPr>
            </w:pPr>
            <w:r>
              <w:rPr>
                <w:rStyle w:val="CharacterStyle9"/>
              </w:rPr>
              <w:t>19.483,00</w:t>
            </w:r>
          </w:p>
        </w:tc>
      </w:tr>
      <w:tr w:rsidR="007D706A" w14:paraId="586EF96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3C7D052"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438F979B"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76B7E98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886C02E" w14:textId="77777777" w:rsidR="007D706A" w:rsidRDefault="007D706A" w:rsidP="00F70508">
            <w:pPr>
              <w:pStyle w:val="ParagraphStyle12"/>
              <w:rPr>
                <w:rStyle w:val="CharacterStyle12"/>
              </w:rPr>
            </w:pPr>
            <w:r>
              <w:rPr>
                <w:rStyle w:val="CharacterStyle12"/>
              </w:rPr>
              <w:t>2.000,00</w:t>
            </w:r>
          </w:p>
        </w:tc>
        <w:tc>
          <w:tcPr>
            <w:tcW w:w="1395" w:type="dxa"/>
            <w:tcBorders>
              <w:bottom w:val="single" w:sz="6" w:space="0" w:color="000000"/>
              <w:right w:val="single" w:sz="6" w:space="0" w:color="000000"/>
            </w:tcBorders>
            <w:vAlign w:val="center"/>
          </w:tcPr>
          <w:p w14:paraId="348759FC" w14:textId="77777777" w:rsidR="007D706A" w:rsidRDefault="007D706A" w:rsidP="00F70508">
            <w:pPr>
              <w:pStyle w:val="ParagraphStyle12"/>
              <w:rPr>
                <w:rStyle w:val="CharacterStyle12"/>
              </w:rPr>
            </w:pPr>
            <w:r>
              <w:rPr>
                <w:rStyle w:val="CharacterStyle12"/>
              </w:rPr>
              <w:t>18.500,00</w:t>
            </w:r>
          </w:p>
        </w:tc>
        <w:tc>
          <w:tcPr>
            <w:tcW w:w="1395" w:type="dxa"/>
            <w:tcBorders>
              <w:bottom w:val="single" w:sz="6" w:space="0" w:color="000000"/>
              <w:right w:val="single" w:sz="6" w:space="0" w:color="000000"/>
            </w:tcBorders>
            <w:vAlign w:val="center"/>
          </w:tcPr>
          <w:p w14:paraId="4793F801" w14:textId="77777777" w:rsidR="007D706A" w:rsidRDefault="007D706A" w:rsidP="00F70508">
            <w:pPr>
              <w:pStyle w:val="ParagraphStyle12"/>
              <w:rPr>
                <w:rStyle w:val="CharacterStyle12"/>
              </w:rPr>
            </w:pPr>
            <w:r>
              <w:rPr>
                <w:rStyle w:val="CharacterStyle12"/>
              </w:rPr>
              <w:t>19.280,00</w:t>
            </w:r>
          </w:p>
        </w:tc>
        <w:tc>
          <w:tcPr>
            <w:tcW w:w="1395" w:type="dxa"/>
            <w:tcBorders>
              <w:bottom w:val="single" w:sz="6" w:space="0" w:color="000000"/>
              <w:right w:val="single" w:sz="6" w:space="0" w:color="000000"/>
            </w:tcBorders>
            <w:vAlign w:val="center"/>
          </w:tcPr>
          <w:p w14:paraId="129E27F1" w14:textId="77777777" w:rsidR="007D706A" w:rsidRDefault="007D706A" w:rsidP="00F70508">
            <w:pPr>
              <w:pStyle w:val="ParagraphStyle12"/>
              <w:rPr>
                <w:rStyle w:val="CharacterStyle12"/>
              </w:rPr>
            </w:pPr>
            <w:r>
              <w:rPr>
                <w:rStyle w:val="CharacterStyle12"/>
              </w:rPr>
              <w:t>19.483,00</w:t>
            </w:r>
          </w:p>
        </w:tc>
      </w:tr>
      <w:tr w:rsidR="007D706A" w14:paraId="533E81A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462CEBE" w14:textId="77777777" w:rsidR="007D706A" w:rsidRDefault="007D706A" w:rsidP="00F70508">
            <w:pPr>
              <w:pStyle w:val="ParagraphStyle10"/>
              <w:rPr>
                <w:rStyle w:val="CharacterStyle10"/>
              </w:rPr>
            </w:pPr>
            <w:r>
              <w:rPr>
                <w:rStyle w:val="CharacterStyle10"/>
              </w:rPr>
              <w:t>42</w:t>
            </w:r>
          </w:p>
        </w:tc>
        <w:tc>
          <w:tcPr>
            <w:tcW w:w="4995" w:type="dxa"/>
            <w:tcBorders>
              <w:bottom w:val="single" w:sz="6" w:space="0" w:color="000000"/>
              <w:right w:val="single" w:sz="6" w:space="0" w:color="000000"/>
            </w:tcBorders>
            <w:vAlign w:val="center"/>
          </w:tcPr>
          <w:p w14:paraId="4DA21F32"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5F93A8A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EB96F80" w14:textId="77777777" w:rsidR="007D706A" w:rsidRDefault="007D706A" w:rsidP="00F70508">
            <w:pPr>
              <w:pStyle w:val="ParagraphStyle12"/>
              <w:rPr>
                <w:rStyle w:val="CharacterStyle12"/>
              </w:rPr>
            </w:pPr>
            <w:r>
              <w:rPr>
                <w:rStyle w:val="CharacterStyle12"/>
              </w:rPr>
              <w:t>2.000,00</w:t>
            </w:r>
          </w:p>
        </w:tc>
        <w:tc>
          <w:tcPr>
            <w:tcW w:w="1395" w:type="dxa"/>
            <w:tcBorders>
              <w:bottom w:val="single" w:sz="6" w:space="0" w:color="000000"/>
              <w:right w:val="single" w:sz="6" w:space="0" w:color="000000"/>
            </w:tcBorders>
            <w:vAlign w:val="center"/>
          </w:tcPr>
          <w:p w14:paraId="6AF745C2" w14:textId="77777777" w:rsidR="007D706A" w:rsidRDefault="007D706A" w:rsidP="00F70508">
            <w:pPr>
              <w:pStyle w:val="ParagraphStyle12"/>
              <w:rPr>
                <w:rStyle w:val="CharacterStyle12"/>
              </w:rPr>
            </w:pPr>
            <w:r>
              <w:rPr>
                <w:rStyle w:val="CharacterStyle12"/>
              </w:rPr>
              <w:t>18.500,00</w:t>
            </w:r>
          </w:p>
        </w:tc>
        <w:tc>
          <w:tcPr>
            <w:tcW w:w="1395" w:type="dxa"/>
            <w:tcBorders>
              <w:bottom w:val="single" w:sz="6" w:space="0" w:color="000000"/>
              <w:right w:val="single" w:sz="6" w:space="0" w:color="000000"/>
            </w:tcBorders>
            <w:vAlign w:val="center"/>
          </w:tcPr>
          <w:p w14:paraId="2B3C0F86" w14:textId="77777777" w:rsidR="007D706A" w:rsidRDefault="007D706A" w:rsidP="00F70508">
            <w:pPr>
              <w:pStyle w:val="ParagraphStyle12"/>
              <w:rPr>
                <w:rStyle w:val="CharacterStyle12"/>
              </w:rPr>
            </w:pPr>
            <w:r>
              <w:rPr>
                <w:rStyle w:val="CharacterStyle12"/>
              </w:rPr>
              <w:t>19.280,00</w:t>
            </w:r>
          </w:p>
        </w:tc>
        <w:tc>
          <w:tcPr>
            <w:tcW w:w="1395" w:type="dxa"/>
            <w:tcBorders>
              <w:bottom w:val="single" w:sz="6" w:space="0" w:color="000000"/>
              <w:right w:val="single" w:sz="6" w:space="0" w:color="000000"/>
            </w:tcBorders>
            <w:vAlign w:val="center"/>
          </w:tcPr>
          <w:p w14:paraId="3A2C5ED2" w14:textId="77777777" w:rsidR="007D706A" w:rsidRDefault="007D706A" w:rsidP="00F70508">
            <w:pPr>
              <w:pStyle w:val="ParagraphStyle12"/>
              <w:rPr>
                <w:rStyle w:val="CharacterStyle12"/>
              </w:rPr>
            </w:pPr>
            <w:r>
              <w:rPr>
                <w:rStyle w:val="CharacterStyle12"/>
              </w:rPr>
              <w:t>19.483,00</w:t>
            </w:r>
          </w:p>
        </w:tc>
      </w:tr>
      <w:tr w:rsidR="007D706A" w14:paraId="5CD7C9E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0006B3D" w14:textId="77777777" w:rsidR="007D706A" w:rsidRDefault="007D706A" w:rsidP="00F70508">
            <w:pPr>
              <w:pStyle w:val="ParagraphStyle7"/>
              <w:rPr>
                <w:rStyle w:val="CharacterStyle7"/>
              </w:rPr>
            </w:pPr>
            <w:r>
              <w:rPr>
                <w:rStyle w:val="CharacterStyle7"/>
              </w:rPr>
              <w:t>Izvor financiranja 52</w:t>
            </w:r>
          </w:p>
        </w:tc>
        <w:tc>
          <w:tcPr>
            <w:tcW w:w="4995" w:type="dxa"/>
            <w:tcBorders>
              <w:bottom w:val="single" w:sz="6" w:space="0" w:color="000000"/>
              <w:right w:val="single" w:sz="6" w:space="0" w:color="000000"/>
            </w:tcBorders>
            <w:vAlign w:val="center"/>
          </w:tcPr>
          <w:p w14:paraId="4B1EC3E6" w14:textId="77777777" w:rsidR="007D706A" w:rsidRDefault="007D706A" w:rsidP="00F70508">
            <w:pPr>
              <w:pStyle w:val="ParagraphStyle8"/>
              <w:rPr>
                <w:rStyle w:val="CharacterStyle8"/>
              </w:rPr>
            </w:pPr>
            <w:r>
              <w:rPr>
                <w:rStyle w:val="CharacterStyle8"/>
              </w:rPr>
              <w:t>Ostale pomoći</w:t>
            </w:r>
          </w:p>
        </w:tc>
        <w:tc>
          <w:tcPr>
            <w:tcW w:w="1395" w:type="dxa"/>
            <w:tcBorders>
              <w:bottom w:val="single" w:sz="6" w:space="0" w:color="000000"/>
              <w:right w:val="single" w:sz="6" w:space="0" w:color="000000"/>
            </w:tcBorders>
            <w:vAlign w:val="center"/>
          </w:tcPr>
          <w:p w14:paraId="764E25FE"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F148081"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09298D3" w14:textId="77777777" w:rsidR="007D706A" w:rsidRDefault="007D706A" w:rsidP="00F70508">
            <w:pPr>
              <w:pStyle w:val="ParagraphStyle9"/>
              <w:rPr>
                <w:rStyle w:val="CharacterStyle9"/>
              </w:rPr>
            </w:pPr>
            <w:r>
              <w:rPr>
                <w:rStyle w:val="CharacterStyle9"/>
              </w:rPr>
              <w:t>3.000,00</w:t>
            </w:r>
          </w:p>
        </w:tc>
        <w:tc>
          <w:tcPr>
            <w:tcW w:w="1395" w:type="dxa"/>
            <w:tcBorders>
              <w:bottom w:val="single" w:sz="6" w:space="0" w:color="000000"/>
              <w:right w:val="single" w:sz="6" w:space="0" w:color="000000"/>
            </w:tcBorders>
            <w:vAlign w:val="center"/>
          </w:tcPr>
          <w:p w14:paraId="52FDA6D3" w14:textId="77777777" w:rsidR="007D706A" w:rsidRDefault="007D706A" w:rsidP="00F70508">
            <w:pPr>
              <w:pStyle w:val="ParagraphStyle9"/>
              <w:rPr>
                <w:rStyle w:val="CharacterStyle9"/>
              </w:rPr>
            </w:pPr>
            <w:r>
              <w:rPr>
                <w:rStyle w:val="CharacterStyle9"/>
              </w:rPr>
              <w:t>3.000,00</w:t>
            </w:r>
          </w:p>
        </w:tc>
        <w:tc>
          <w:tcPr>
            <w:tcW w:w="1395" w:type="dxa"/>
            <w:tcBorders>
              <w:bottom w:val="single" w:sz="6" w:space="0" w:color="000000"/>
              <w:right w:val="single" w:sz="6" w:space="0" w:color="000000"/>
            </w:tcBorders>
            <w:vAlign w:val="center"/>
          </w:tcPr>
          <w:p w14:paraId="67F5D420" w14:textId="77777777" w:rsidR="007D706A" w:rsidRDefault="007D706A" w:rsidP="00F70508">
            <w:pPr>
              <w:pStyle w:val="ParagraphStyle9"/>
              <w:rPr>
                <w:rStyle w:val="CharacterStyle9"/>
              </w:rPr>
            </w:pPr>
            <w:r>
              <w:rPr>
                <w:rStyle w:val="CharacterStyle9"/>
              </w:rPr>
              <w:t>3.000,00</w:t>
            </w:r>
          </w:p>
        </w:tc>
      </w:tr>
      <w:tr w:rsidR="007D706A" w14:paraId="3F6ED89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D69B3E7"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3B2790F7"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77F12AB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A00D09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C5066AA" w14:textId="77777777" w:rsidR="007D706A" w:rsidRDefault="007D706A" w:rsidP="00F70508">
            <w:pPr>
              <w:pStyle w:val="ParagraphStyle12"/>
              <w:rPr>
                <w:rStyle w:val="CharacterStyle12"/>
              </w:rPr>
            </w:pPr>
            <w:r>
              <w:rPr>
                <w:rStyle w:val="CharacterStyle12"/>
              </w:rPr>
              <w:t>3.000,00</w:t>
            </w:r>
          </w:p>
        </w:tc>
        <w:tc>
          <w:tcPr>
            <w:tcW w:w="1395" w:type="dxa"/>
            <w:tcBorders>
              <w:bottom w:val="single" w:sz="6" w:space="0" w:color="000000"/>
              <w:right w:val="single" w:sz="6" w:space="0" w:color="000000"/>
            </w:tcBorders>
            <w:vAlign w:val="center"/>
          </w:tcPr>
          <w:p w14:paraId="037F47D3" w14:textId="77777777" w:rsidR="007D706A" w:rsidRDefault="007D706A" w:rsidP="00F70508">
            <w:pPr>
              <w:pStyle w:val="ParagraphStyle12"/>
              <w:rPr>
                <w:rStyle w:val="CharacterStyle12"/>
              </w:rPr>
            </w:pPr>
            <w:r>
              <w:rPr>
                <w:rStyle w:val="CharacterStyle12"/>
              </w:rPr>
              <w:t>3.000,00</w:t>
            </w:r>
          </w:p>
        </w:tc>
        <w:tc>
          <w:tcPr>
            <w:tcW w:w="1395" w:type="dxa"/>
            <w:tcBorders>
              <w:bottom w:val="single" w:sz="6" w:space="0" w:color="000000"/>
              <w:right w:val="single" w:sz="6" w:space="0" w:color="000000"/>
            </w:tcBorders>
            <w:vAlign w:val="center"/>
          </w:tcPr>
          <w:p w14:paraId="44F328BE" w14:textId="77777777" w:rsidR="007D706A" w:rsidRDefault="007D706A" w:rsidP="00F70508">
            <w:pPr>
              <w:pStyle w:val="ParagraphStyle12"/>
              <w:rPr>
                <w:rStyle w:val="CharacterStyle12"/>
              </w:rPr>
            </w:pPr>
            <w:r>
              <w:rPr>
                <w:rStyle w:val="CharacterStyle12"/>
              </w:rPr>
              <w:t>3.000,00</w:t>
            </w:r>
          </w:p>
        </w:tc>
      </w:tr>
      <w:tr w:rsidR="007D706A" w14:paraId="5A5EF37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A78E5D7" w14:textId="77777777" w:rsidR="007D706A" w:rsidRDefault="007D706A" w:rsidP="00F70508">
            <w:pPr>
              <w:pStyle w:val="ParagraphStyle10"/>
              <w:rPr>
                <w:rStyle w:val="CharacterStyle10"/>
              </w:rPr>
            </w:pPr>
            <w:r>
              <w:rPr>
                <w:rStyle w:val="CharacterStyle10"/>
              </w:rPr>
              <w:t>42</w:t>
            </w:r>
          </w:p>
        </w:tc>
        <w:tc>
          <w:tcPr>
            <w:tcW w:w="4995" w:type="dxa"/>
            <w:tcBorders>
              <w:bottom w:val="single" w:sz="6" w:space="0" w:color="000000"/>
              <w:right w:val="single" w:sz="6" w:space="0" w:color="000000"/>
            </w:tcBorders>
            <w:vAlign w:val="center"/>
          </w:tcPr>
          <w:p w14:paraId="2B1624AD"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0B89C3D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F2AAB0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2F10868" w14:textId="77777777" w:rsidR="007D706A" w:rsidRDefault="007D706A" w:rsidP="00F70508">
            <w:pPr>
              <w:pStyle w:val="ParagraphStyle12"/>
              <w:rPr>
                <w:rStyle w:val="CharacterStyle12"/>
              </w:rPr>
            </w:pPr>
            <w:r>
              <w:rPr>
                <w:rStyle w:val="CharacterStyle12"/>
              </w:rPr>
              <w:t>3.000,00</w:t>
            </w:r>
          </w:p>
        </w:tc>
        <w:tc>
          <w:tcPr>
            <w:tcW w:w="1395" w:type="dxa"/>
            <w:tcBorders>
              <w:bottom w:val="single" w:sz="6" w:space="0" w:color="000000"/>
              <w:right w:val="single" w:sz="6" w:space="0" w:color="000000"/>
            </w:tcBorders>
            <w:vAlign w:val="center"/>
          </w:tcPr>
          <w:p w14:paraId="53DC7331" w14:textId="77777777" w:rsidR="007D706A" w:rsidRDefault="007D706A" w:rsidP="00F70508">
            <w:pPr>
              <w:pStyle w:val="ParagraphStyle12"/>
              <w:rPr>
                <w:rStyle w:val="CharacterStyle12"/>
              </w:rPr>
            </w:pPr>
            <w:r>
              <w:rPr>
                <w:rStyle w:val="CharacterStyle12"/>
              </w:rPr>
              <w:t>3.000,00</w:t>
            </w:r>
          </w:p>
        </w:tc>
        <w:tc>
          <w:tcPr>
            <w:tcW w:w="1395" w:type="dxa"/>
            <w:tcBorders>
              <w:bottom w:val="single" w:sz="6" w:space="0" w:color="000000"/>
              <w:right w:val="single" w:sz="6" w:space="0" w:color="000000"/>
            </w:tcBorders>
            <w:vAlign w:val="center"/>
          </w:tcPr>
          <w:p w14:paraId="4B3C10D7" w14:textId="77777777" w:rsidR="007D706A" w:rsidRDefault="007D706A" w:rsidP="00F70508">
            <w:pPr>
              <w:pStyle w:val="ParagraphStyle12"/>
              <w:rPr>
                <w:rStyle w:val="CharacterStyle12"/>
              </w:rPr>
            </w:pPr>
            <w:r>
              <w:rPr>
                <w:rStyle w:val="CharacterStyle12"/>
              </w:rPr>
              <w:t>3.000,00</w:t>
            </w:r>
          </w:p>
        </w:tc>
      </w:tr>
      <w:tr w:rsidR="007D706A" w14:paraId="7FA8C90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7AF7454" w14:textId="77777777" w:rsidR="007D706A" w:rsidRDefault="007D706A" w:rsidP="00F70508">
            <w:pPr>
              <w:pStyle w:val="ParagraphStyle7"/>
              <w:rPr>
                <w:rStyle w:val="CharacterStyle7"/>
              </w:rPr>
            </w:pPr>
            <w:r>
              <w:rPr>
                <w:rStyle w:val="CharacterStyle7"/>
              </w:rPr>
              <w:t>Izvor financiranja 53</w:t>
            </w:r>
          </w:p>
        </w:tc>
        <w:tc>
          <w:tcPr>
            <w:tcW w:w="4995" w:type="dxa"/>
            <w:tcBorders>
              <w:bottom w:val="single" w:sz="6" w:space="0" w:color="000000"/>
              <w:right w:val="single" w:sz="6" w:space="0" w:color="000000"/>
            </w:tcBorders>
            <w:vAlign w:val="center"/>
          </w:tcPr>
          <w:p w14:paraId="710E684B" w14:textId="77777777" w:rsidR="007D706A" w:rsidRDefault="007D706A" w:rsidP="00F70508">
            <w:pPr>
              <w:pStyle w:val="ParagraphStyle8"/>
              <w:rPr>
                <w:rStyle w:val="CharacterStyle8"/>
              </w:rPr>
            </w:pPr>
            <w:r>
              <w:rPr>
                <w:rStyle w:val="CharacterStyle8"/>
              </w:rPr>
              <w:t>Proračuni, drugi nivoi - za posebne i / ili ugovorene namjene</w:t>
            </w:r>
          </w:p>
        </w:tc>
        <w:tc>
          <w:tcPr>
            <w:tcW w:w="1395" w:type="dxa"/>
            <w:tcBorders>
              <w:bottom w:val="single" w:sz="6" w:space="0" w:color="000000"/>
              <w:right w:val="single" w:sz="6" w:space="0" w:color="000000"/>
            </w:tcBorders>
            <w:vAlign w:val="center"/>
          </w:tcPr>
          <w:p w14:paraId="50C404C6"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AF7FFC4" w14:textId="77777777" w:rsidR="007D706A" w:rsidRDefault="007D706A" w:rsidP="00F70508">
            <w:pPr>
              <w:pStyle w:val="ParagraphStyle9"/>
              <w:rPr>
                <w:rStyle w:val="CharacterStyle9"/>
              </w:rPr>
            </w:pPr>
            <w:r>
              <w:rPr>
                <w:rStyle w:val="CharacterStyle9"/>
              </w:rPr>
              <w:t>1.500,00</w:t>
            </w:r>
          </w:p>
        </w:tc>
        <w:tc>
          <w:tcPr>
            <w:tcW w:w="1395" w:type="dxa"/>
            <w:tcBorders>
              <w:bottom w:val="single" w:sz="6" w:space="0" w:color="000000"/>
              <w:right w:val="single" w:sz="6" w:space="0" w:color="000000"/>
            </w:tcBorders>
            <w:vAlign w:val="center"/>
          </w:tcPr>
          <w:p w14:paraId="671BC1E4"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EEA30CE"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95F14AB" w14:textId="77777777" w:rsidR="007D706A" w:rsidRDefault="007D706A" w:rsidP="00F70508">
            <w:pPr>
              <w:pStyle w:val="ParagraphStyle9"/>
              <w:rPr>
                <w:rStyle w:val="CharacterStyle9"/>
              </w:rPr>
            </w:pPr>
            <w:r>
              <w:rPr>
                <w:rStyle w:val="CharacterStyle9"/>
              </w:rPr>
              <w:t>0,00</w:t>
            </w:r>
          </w:p>
        </w:tc>
      </w:tr>
      <w:tr w:rsidR="007D706A" w14:paraId="051AB52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935C4E7"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6ECF88FD"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2AC73F2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8CEB514" w14:textId="77777777" w:rsidR="007D706A" w:rsidRDefault="007D706A" w:rsidP="00F70508">
            <w:pPr>
              <w:pStyle w:val="ParagraphStyle12"/>
              <w:rPr>
                <w:rStyle w:val="CharacterStyle12"/>
              </w:rPr>
            </w:pPr>
            <w:r>
              <w:rPr>
                <w:rStyle w:val="CharacterStyle12"/>
              </w:rPr>
              <w:t>1.500,00</w:t>
            </w:r>
          </w:p>
        </w:tc>
        <w:tc>
          <w:tcPr>
            <w:tcW w:w="1395" w:type="dxa"/>
            <w:tcBorders>
              <w:bottom w:val="single" w:sz="6" w:space="0" w:color="000000"/>
              <w:right w:val="single" w:sz="6" w:space="0" w:color="000000"/>
            </w:tcBorders>
            <w:vAlign w:val="center"/>
          </w:tcPr>
          <w:p w14:paraId="6D05880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8410EA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2DBCB80" w14:textId="77777777" w:rsidR="007D706A" w:rsidRDefault="007D706A" w:rsidP="00F70508">
            <w:pPr>
              <w:pStyle w:val="ParagraphStyle12"/>
              <w:rPr>
                <w:rStyle w:val="CharacterStyle12"/>
              </w:rPr>
            </w:pPr>
            <w:r>
              <w:rPr>
                <w:rStyle w:val="CharacterStyle12"/>
              </w:rPr>
              <w:t>0,00</w:t>
            </w:r>
          </w:p>
        </w:tc>
      </w:tr>
      <w:tr w:rsidR="007D706A" w14:paraId="02F0EF1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CA3A5B3" w14:textId="77777777" w:rsidR="007D706A" w:rsidRDefault="007D706A" w:rsidP="00F70508">
            <w:pPr>
              <w:pStyle w:val="ParagraphStyle10"/>
              <w:rPr>
                <w:rStyle w:val="CharacterStyle10"/>
              </w:rPr>
            </w:pPr>
            <w:r>
              <w:rPr>
                <w:rStyle w:val="CharacterStyle10"/>
              </w:rPr>
              <w:t>42</w:t>
            </w:r>
          </w:p>
        </w:tc>
        <w:tc>
          <w:tcPr>
            <w:tcW w:w="4995" w:type="dxa"/>
            <w:tcBorders>
              <w:bottom w:val="single" w:sz="6" w:space="0" w:color="000000"/>
              <w:right w:val="single" w:sz="6" w:space="0" w:color="000000"/>
            </w:tcBorders>
            <w:vAlign w:val="center"/>
          </w:tcPr>
          <w:p w14:paraId="5D18C7C0"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1AB3F72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51E5ECE" w14:textId="77777777" w:rsidR="007D706A" w:rsidRDefault="007D706A" w:rsidP="00F70508">
            <w:pPr>
              <w:pStyle w:val="ParagraphStyle12"/>
              <w:rPr>
                <w:rStyle w:val="CharacterStyle12"/>
              </w:rPr>
            </w:pPr>
            <w:r>
              <w:rPr>
                <w:rStyle w:val="CharacterStyle12"/>
              </w:rPr>
              <w:t>1.500,00</w:t>
            </w:r>
          </w:p>
        </w:tc>
        <w:tc>
          <w:tcPr>
            <w:tcW w:w="1395" w:type="dxa"/>
            <w:tcBorders>
              <w:bottom w:val="single" w:sz="6" w:space="0" w:color="000000"/>
              <w:right w:val="single" w:sz="6" w:space="0" w:color="000000"/>
            </w:tcBorders>
            <w:vAlign w:val="center"/>
          </w:tcPr>
          <w:p w14:paraId="7927B61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3806A9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086EAF7" w14:textId="77777777" w:rsidR="007D706A" w:rsidRDefault="007D706A" w:rsidP="00F70508">
            <w:pPr>
              <w:pStyle w:val="ParagraphStyle12"/>
              <w:rPr>
                <w:rStyle w:val="CharacterStyle12"/>
              </w:rPr>
            </w:pPr>
            <w:r>
              <w:rPr>
                <w:rStyle w:val="CharacterStyle12"/>
              </w:rPr>
              <w:t>0,00</w:t>
            </w:r>
          </w:p>
        </w:tc>
      </w:tr>
      <w:tr w:rsidR="007D706A" w14:paraId="5032386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010BB16" w14:textId="77777777" w:rsidR="007D706A" w:rsidRDefault="007D706A" w:rsidP="00F70508">
            <w:pPr>
              <w:pStyle w:val="ParagraphStyle7"/>
              <w:rPr>
                <w:rStyle w:val="CharacterStyle7"/>
              </w:rPr>
            </w:pPr>
            <w:r>
              <w:rPr>
                <w:rStyle w:val="CharacterStyle7"/>
              </w:rPr>
              <w:t>Izvor financiranja 55</w:t>
            </w:r>
          </w:p>
        </w:tc>
        <w:tc>
          <w:tcPr>
            <w:tcW w:w="4995" w:type="dxa"/>
            <w:tcBorders>
              <w:bottom w:val="single" w:sz="6" w:space="0" w:color="000000"/>
              <w:right w:val="single" w:sz="6" w:space="0" w:color="000000"/>
            </w:tcBorders>
            <w:vAlign w:val="center"/>
          </w:tcPr>
          <w:p w14:paraId="4CE63F9E" w14:textId="77777777" w:rsidR="007D706A" w:rsidRDefault="007D706A" w:rsidP="00F70508">
            <w:pPr>
              <w:pStyle w:val="ParagraphStyle8"/>
              <w:rPr>
                <w:rStyle w:val="CharacterStyle8"/>
              </w:rPr>
            </w:pPr>
            <w:r>
              <w:rPr>
                <w:rStyle w:val="CharacterStyle8"/>
              </w:rPr>
              <w:t>Pomoći iz inozemstva</w:t>
            </w:r>
          </w:p>
        </w:tc>
        <w:tc>
          <w:tcPr>
            <w:tcW w:w="1395" w:type="dxa"/>
            <w:tcBorders>
              <w:bottom w:val="single" w:sz="6" w:space="0" w:color="000000"/>
              <w:right w:val="single" w:sz="6" w:space="0" w:color="000000"/>
            </w:tcBorders>
            <w:vAlign w:val="center"/>
          </w:tcPr>
          <w:p w14:paraId="38236E49"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24AB0D9" w14:textId="77777777" w:rsidR="007D706A" w:rsidRDefault="007D706A" w:rsidP="00F70508">
            <w:pPr>
              <w:pStyle w:val="ParagraphStyle9"/>
              <w:rPr>
                <w:rStyle w:val="CharacterStyle9"/>
              </w:rPr>
            </w:pPr>
            <w:r>
              <w:rPr>
                <w:rStyle w:val="CharacterStyle9"/>
              </w:rPr>
              <w:t>14.000,00</w:t>
            </w:r>
          </w:p>
        </w:tc>
        <w:tc>
          <w:tcPr>
            <w:tcW w:w="1395" w:type="dxa"/>
            <w:tcBorders>
              <w:bottom w:val="single" w:sz="6" w:space="0" w:color="000000"/>
              <w:right w:val="single" w:sz="6" w:space="0" w:color="000000"/>
            </w:tcBorders>
            <w:vAlign w:val="center"/>
          </w:tcPr>
          <w:p w14:paraId="466F55DD"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83DE1BE"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90A036D" w14:textId="77777777" w:rsidR="007D706A" w:rsidRDefault="007D706A" w:rsidP="00F70508">
            <w:pPr>
              <w:pStyle w:val="ParagraphStyle9"/>
              <w:rPr>
                <w:rStyle w:val="CharacterStyle9"/>
              </w:rPr>
            </w:pPr>
            <w:r>
              <w:rPr>
                <w:rStyle w:val="CharacterStyle9"/>
              </w:rPr>
              <w:t>0,00</w:t>
            </w:r>
          </w:p>
        </w:tc>
      </w:tr>
      <w:tr w:rsidR="007D706A" w14:paraId="0DA10CD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1AB808B"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1B6F3143"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13C185E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2398E23" w14:textId="77777777" w:rsidR="007D706A" w:rsidRDefault="007D706A" w:rsidP="00F70508">
            <w:pPr>
              <w:pStyle w:val="ParagraphStyle12"/>
              <w:rPr>
                <w:rStyle w:val="CharacterStyle12"/>
              </w:rPr>
            </w:pPr>
            <w:r>
              <w:rPr>
                <w:rStyle w:val="CharacterStyle12"/>
              </w:rPr>
              <w:t>14.000,00</w:t>
            </w:r>
          </w:p>
        </w:tc>
        <w:tc>
          <w:tcPr>
            <w:tcW w:w="1395" w:type="dxa"/>
            <w:tcBorders>
              <w:bottom w:val="single" w:sz="6" w:space="0" w:color="000000"/>
              <w:right w:val="single" w:sz="6" w:space="0" w:color="000000"/>
            </w:tcBorders>
            <w:vAlign w:val="center"/>
          </w:tcPr>
          <w:p w14:paraId="750E8B2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9FE8C4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5594B0D" w14:textId="77777777" w:rsidR="007D706A" w:rsidRDefault="007D706A" w:rsidP="00F70508">
            <w:pPr>
              <w:pStyle w:val="ParagraphStyle12"/>
              <w:rPr>
                <w:rStyle w:val="CharacterStyle12"/>
              </w:rPr>
            </w:pPr>
            <w:r>
              <w:rPr>
                <w:rStyle w:val="CharacterStyle12"/>
              </w:rPr>
              <w:t>0,00</w:t>
            </w:r>
          </w:p>
        </w:tc>
      </w:tr>
      <w:tr w:rsidR="007D706A" w14:paraId="0CB4F2C6"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67642C8" w14:textId="77777777" w:rsidR="007D706A" w:rsidRDefault="007D706A" w:rsidP="00F70508">
            <w:pPr>
              <w:pStyle w:val="ParagraphStyle10"/>
              <w:rPr>
                <w:rStyle w:val="CharacterStyle10"/>
              </w:rPr>
            </w:pPr>
            <w:r>
              <w:rPr>
                <w:rStyle w:val="CharacterStyle10"/>
              </w:rPr>
              <w:t>42</w:t>
            </w:r>
          </w:p>
        </w:tc>
        <w:tc>
          <w:tcPr>
            <w:tcW w:w="4995" w:type="dxa"/>
            <w:tcBorders>
              <w:bottom w:val="single" w:sz="6" w:space="0" w:color="000000"/>
              <w:right w:val="single" w:sz="6" w:space="0" w:color="000000"/>
            </w:tcBorders>
            <w:vAlign w:val="center"/>
          </w:tcPr>
          <w:p w14:paraId="31ECF914"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6B1C490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729BC47" w14:textId="77777777" w:rsidR="007D706A" w:rsidRDefault="007D706A" w:rsidP="00F70508">
            <w:pPr>
              <w:pStyle w:val="ParagraphStyle12"/>
              <w:rPr>
                <w:rStyle w:val="CharacterStyle12"/>
              </w:rPr>
            </w:pPr>
            <w:r>
              <w:rPr>
                <w:rStyle w:val="CharacterStyle12"/>
              </w:rPr>
              <w:t>14.000,00</w:t>
            </w:r>
          </w:p>
        </w:tc>
        <w:tc>
          <w:tcPr>
            <w:tcW w:w="1395" w:type="dxa"/>
            <w:tcBorders>
              <w:bottom w:val="single" w:sz="6" w:space="0" w:color="000000"/>
              <w:right w:val="single" w:sz="6" w:space="0" w:color="000000"/>
            </w:tcBorders>
            <w:vAlign w:val="center"/>
          </w:tcPr>
          <w:p w14:paraId="5728AEA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EC14C1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8908E6E" w14:textId="77777777" w:rsidR="007D706A" w:rsidRDefault="007D706A" w:rsidP="00F70508">
            <w:pPr>
              <w:pStyle w:val="ParagraphStyle12"/>
              <w:rPr>
                <w:rStyle w:val="CharacterStyle12"/>
              </w:rPr>
            </w:pPr>
            <w:r>
              <w:rPr>
                <w:rStyle w:val="CharacterStyle12"/>
              </w:rPr>
              <w:t>0,00</w:t>
            </w:r>
          </w:p>
        </w:tc>
      </w:tr>
      <w:tr w:rsidR="007D706A" w14:paraId="39CC83A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4D23D1F" w14:textId="77777777" w:rsidR="007D706A" w:rsidRDefault="007D706A" w:rsidP="00F70508">
            <w:pPr>
              <w:pStyle w:val="ParagraphStyle7"/>
              <w:rPr>
                <w:rStyle w:val="CharacterStyle7"/>
              </w:rPr>
            </w:pPr>
            <w:r>
              <w:rPr>
                <w:rStyle w:val="CharacterStyle7"/>
              </w:rPr>
              <w:t>Izvor financiranja 61</w:t>
            </w:r>
          </w:p>
        </w:tc>
        <w:tc>
          <w:tcPr>
            <w:tcW w:w="4995" w:type="dxa"/>
            <w:tcBorders>
              <w:bottom w:val="single" w:sz="6" w:space="0" w:color="000000"/>
              <w:right w:val="single" w:sz="6" w:space="0" w:color="000000"/>
            </w:tcBorders>
            <w:vAlign w:val="center"/>
          </w:tcPr>
          <w:p w14:paraId="607F81A9" w14:textId="77777777" w:rsidR="007D706A" w:rsidRDefault="007D706A" w:rsidP="00F70508">
            <w:pPr>
              <w:pStyle w:val="ParagraphStyle8"/>
              <w:rPr>
                <w:rStyle w:val="CharacterStyle8"/>
              </w:rPr>
            </w:pPr>
            <w:r>
              <w:rPr>
                <w:rStyle w:val="CharacterStyle8"/>
              </w:rPr>
              <w:t>Donacije</w:t>
            </w:r>
          </w:p>
        </w:tc>
        <w:tc>
          <w:tcPr>
            <w:tcW w:w="1395" w:type="dxa"/>
            <w:tcBorders>
              <w:bottom w:val="single" w:sz="6" w:space="0" w:color="000000"/>
              <w:right w:val="single" w:sz="6" w:space="0" w:color="000000"/>
            </w:tcBorders>
            <w:vAlign w:val="center"/>
          </w:tcPr>
          <w:p w14:paraId="169E2177"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B768961" w14:textId="77777777" w:rsidR="007D706A" w:rsidRDefault="007D706A" w:rsidP="00F70508">
            <w:pPr>
              <w:pStyle w:val="ParagraphStyle9"/>
              <w:rPr>
                <w:rStyle w:val="CharacterStyle9"/>
              </w:rPr>
            </w:pPr>
            <w:r>
              <w:rPr>
                <w:rStyle w:val="CharacterStyle9"/>
              </w:rPr>
              <w:t>1.000,00</w:t>
            </w:r>
          </w:p>
        </w:tc>
        <w:tc>
          <w:tcPr>
            <w:tcW w:w="1395" w:type="dxa"/>
            <w:tcBorders>
              <w:bottom w:val="single" w:sz="6" w:space="0" w:color="000000"/>
              <w:right w:val="single" w:sz="6" w:space="0" w:color="000000"/>
            </w:tcBorders>
            <w:vAlign w:val="center"/>
          </w:tcPr>
          <w:p w14:paraId="1D811C17" w14:textId="77777777" w:rsidR="007D706A" w:rsidRDefault="007D706A" w:rsidP="00F70508">
            <w:pPr>
              <w:pStyle w:val="ParagraphStyle9"/>
              <w:rPr>
                <w:rStyle w:val="CharacterStyle9"/>
              </w:rPr>
            </w:pPr>
            <w:r>
              <w:rPr>
                <w:rStyle w:val="CharacterStyle9"/>
              </w:rPr>
              <w:t>10.000,00</w:t>
            </w:r>
          </w:p>
        </w:tc>
        <w:tc>
          <w:tcPr>
            <w:tcW w:w="1395" w:type="dxa"/>
            <w:tcBorders>
              <w:bottom w:val="single" w:sz="6" w:space="0" w:color="000000"/>
              <w:right w:val="single" w:sz="6" w:space="0" w:color="000000"/>
            </w:tcBorders>
            <w:vAlign w:val="center"/>
          </w:tcPr>
          <w:p w14:paraId="7D1F6DA0" w14:textId="77777777" w:rsidR="007D706A" w:rsidRDefault="007D706A" w:rsidP="00F70508">
            <w:pPr>
              <w:pStyle w:val="ParagraphStyle9"/>
              <w:rPr>
                <w:rStyle w:val="CharacterStyle9"/>
              </w:rPr>
            </w:pPr>
            <w:r>
              <w:rPr>
                <w:rStyle w:val="CharacterStyle9"/>
              </w:rPr>
              <w:t>8.440,00</w:t>
            </w:r>
          </w:p>
        </w:tc>
        <w:tc>
          <w:tcPr>
            <w:tcW w:w="1395" w:type="dxa"/>
            <w:tcBorders>
              <w:bottom w:val="single" w:sz="6" w:space="0" w:color="000000"/>
              <w:right w:val="single" w:sz="6" w:space="0" w:color="000000"/>
            </w:tcBorders>
            <w:vAlign w:val="center"/>
          </w:tcPr>
          <w:p w14:paraId="39BD9A12" w14:textId="77777777" w:rsidR="007D706A" w:rsidRDefault="007D706A" w:rsidP="00F70508">
            <w:pPr>
              <w:pStyle w:val="ParagraphStyle9"/>
              <w:rPr>
                <w:rStyle w:val="CharacterStyle9"/>
              </w:rPr>
            </w:pPr>
            <w:r>
              <w:rPr>
                <w:rStyle w:val="CharacterStyle9"/>
              </w:rPr>
              <w:t>8.554,00</w:t>
            </w:r>
          </w:p>
        </w:tc>
      </w:tr>
      <w:tr w:rsidR="007D706A" w14:paraId="61149A1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5E257DB"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07515862"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56B869C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BBE4696" w14:textId="77777777" w:rsidR="007D706A" w:rsidRDefault="007D706A" w:rsidP="00F70508">
            <w:pPr>
              <w:pStyle w:val="ParagraphStyle12"/>
              <w:rPr>
                <w:rStyle w:val="CharacterStyle12"/>
              </w:rPr>
            </w:pPr>
            <w:r>
              <w:rPr>
                <w:rStyle w:val="CharacterStyle12"/>
              </w:rPr>
              <w:t>1.000,00</w:t>
            </w:r>
          </w:p>
        </w:tc>
        <w:tc>
          <w:tcPr>
            <w:tcW w:w="1395" w:type="dxa"/>
            <w:tcBorders>
              <w:bottom w:val="single" w:sz="6" w:space="0" w:color="000000"/>
              <w:right w:val="single" w:sz="6" w:space="0" w:color="000000"/>
            </w:tcBorders>
            <w:vAlign w:val="center"/>
          </w:tcPr>
          <w:p w14:paraId="4DA6E625" w14:textId="77777777" w:rsidR="007D706A" w:rsidRDefault="007D706A" w:rsidP="00F70508">
            <w:pPr>
              <w:pStyle w:val="ParagraphStyle12"/>
              <w:rPr>
                <w:rStyle w:val="CharacterStyle12"/>
              </w:rPr>
            </w:pPr>
            <w:r>
              <w:rPr>
                <w:rStyle w:val="CharacterStyle12"/>
              </w:rPr>
              <w:t>10.000,00</w:t>
            </w:r>
          </w:p>
        </w:tc>
        <w:tc>
          <w:tcPr>
            <w:tcW w:w="1395" w:type="dxa"/>
            <w:tcBorders>
              <w:bottom w:val="single" w:sz="6" w:space="0" w:color="000000"/>
              <w:right w:val="single" w:sz="6" w:space="0" w:color="000000"/>
            </w:tcBorders>
            <w:vAlign w:val="center"/>
          </w:tcPr>
          <w:p w14:paraId="16D80AD0" w14:textId="77777777" w:rsidR="007D706A" w:rsidRDefault="007D706A" w:rsidP="00F70508">
            <w:pPr>
              <w:pStyle w:val="ParagraphStyle12"/>
              <w:rPr>
                <w:rStyle w:val="CharacterStyle12"/>
              </w:rPr>
            </w:pPr>
            <w:r>
              <w:rPr>
                <w:rStyle w:val="CharacterStyle12"/>
              </w:rPr>
              <w:t>8.440,00</w:t>
            </w:r>
          </w:p>
        </w:tc>
        <w:tc>
          <w:tcPr>
            <w:tcW w:w="1395" w:type="dxa"/>
            <w:tcBorders>
              <w:bottom w:val="single" w:sz="6" w:space="0" w:color="000000"/>
              <w:right w:val="single" w:sz="6" w:space="0" w:color="000000"/>
            </w:tcBorders>
            <w:vAlign w:val="center"/>
          </w:tcPr>
          <w:p w14:paraId="79237A37" w14:textId="77777777" w:rsidR="007D706A" w:rsidRDefault="007D706A" w:rsidP="00F70508">
            <w:pPr>
              <w:pStyle w:val="ParagraphStyle12"/>
              <w:rPr>
                <w:rStyle w:val="CharacterStyle12"/>
              </w:rPr>
            </w:pPr>
            <w:r>
              <w:rPr>
                <w:rStyle w:val="CharacterStyle12"/>
              </w:rPr>
              <w:t>8.554,00</w:t>
            </w:r>
          </w:p>
        </w:tc>
      </w:tr>
      <w:tr w:rsidR="007D706A" w14:paraId="19592A4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E679BBF" w14:textId="77777777" w:rsidR="007D706A" w:rsidRDefault="007D706A" w:rsidP="00F70508">
            <w:pPr>
              <w:pStyle w:val="ParagraphStyle10"/>
              <w:rPr>
                <w:rStyle w:val="CharacterStyle10"/>
              </w:rPr>
            </w:pPr>
            <w:r>
              <w:rPr>
                <w:rStyle w:val="CharacterStyle10"/>
              </w:rPr>
              <w:t>42</w:t>
            </w:r>
          </w:p>
        </w:tc>
        <w:tc>
          <w:tcPr>
            <w:tcW w:w="4995" w:type="dxa"/>
            <w:tcBorders>
              <w:bottom w:val="single" w:sz="6" w:space="0" w:color="000000"/>
              <w:right w:val="single" w:sz="6" w:space="0" w:color="000000"/>
            </w:tcBorders>
            <w:vAlign w:val="center"/>
          </w:tcPr>
          <w:p w14:paraId="17CEEE38"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7895895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BC20AB9" w14:textId="77777777" w:rsidR="007D706A" w:rsidRDefault="007D706A" w:rsidP="00F70508">
            <w:pPr>
              <w:pStyle w:val="ParagraphStyle12"/>
              <w:rPr>
                <w:rStyle w:val="CharacterStyle12"/>
              </w:rPr>
            </w:pPr>
            <w:r>
              <w:rPr>
                <w:rStyle w:val="CharacterStyle12"/>
              </w:rPr>
              <w:t>1.000,00</w:t>
            </w:r>
          </w:p>
        </w:tc>
        <w:tc>
          <w:tcPr>
            <w:tcW w:w="1395" w:type="dxa"/>
            <w:tcBorders>
              <w:bottom w:val="single" w:sz="6" w:space="0" w:color="000000"/>
              <w:right w:val="single" w:sz="6" w:space="0" w:color="000000"/>
            </w:tcBorders>
            <w:vAlign w:val="center"/>
          </w:tcPr>
          <w:p w14:paraId="7E221F77" w14:textId="77777777" w:rsidR="007D706A" w:rsidRDefault="007D706A" w:rsidP="00F70508">
            <w:pPr>
              <w:pStyle w:val="ParagraphStyle12"/>
              <w:rPr>
                <w:rStyle w:val="CharacterStyle12"/>
              </w:rPr>
            </w:pPr>
            <w:r>
              <w:rPr>
                <w:rStyle w:val="CharacterStyle12"/>
              </w:rPr>
              <w:t>10.000,00</w:t>
            </w:r>
          </w:p>
        </w:tc>
        <w:tc>
          <w:tcPr>
            <w:tcW w:w="1395" w:type="dxa"/>
            <w:tcBorders>
              <w:bottom w:val="single" w:sz="6" w:space="0" w:color="000000"/>
              <w:right w:val="single" w:sz="6" w:space="0" w:color="000000"/>
            </w:tcBorders>
            <w:vAlign w:val="center"/>
          </w:tcPr>
          <w:p w14:paraId="7E1E0446" w14:textId="77777777" w:rsidR="007D706A" w:rsidRDefault="007D706A" w:rsidP="00F70508">
            <w:pPr>
              <w:pStyle w:val="ParagraphStyle12"/>
              <w:rPr>
                <w:rStyle w:val="CharacterStyle12"/>
              </w:rPr>
            </w:pPr>
            <w:r>
              <w:rPr>
                <w:rStyle w:val="CharacterStyle12"/>
              </w:rPr>
              <w:t>8.440,00</w:t>
            </w:r>
          </w:p>
        </w:tc>
        <w:tc>
          <w:tcPr>
            <w:tcW w:w="1395" w:type="dxa"/>
            <w:tcBorders>
              <w:bottom w:val="single" w:sz="6" w:space="0" w:color="000000"/>
              <w:right w:val="single" w:sz="6" w:space="0" w:color="000000"/>
            </w:tcBorders>
            <w:vAlign w:val="center"/>
          </w:tcPr>
          <w:p w14:paraId="6096EEEF" w14:textId="77777777" w:rsidR="007D706A" w:rsidRDefault="007D706A" w:rsidP="00F70508">
            <w:pPr>
              <w:pStyle w:val="ParagraphStyle12"/>
              <w:rPr>
                <w:rStyle w:val="CharacterStyle12"/>
              </w:rPr>
            </w:pPr>
            <w:r>
              <w:rPr>
                <w:rStyle w:val="CharacterStyle12"/>
              </w:rPr>
              <w:t>8.554,00</w:t>
            </w:r>
          </w:p>
        </w:tc>
      </w:tr>
      <w:tr w:rsidR="007D706A" w14:paraId="1A49EEB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CB6DAE1" w14:textId="77777777" w:rsidR="007D706A" w:rsidRDefault="007D706A" w:rsidP="00F70508">
            <w:pPr>
              <w:pStyle w:val="ParagraphStyle7"/>
              <w:rPr>
                <w:rStyle w:val="CharacterStyle7"/>
              </w:rPr>
            </w:pPr>
            <w:r>
              <w:rPr>
                <w:rStyle w:val="CharacterStyle7"/>
              </w:rPr>
              <w:t>Izvor financiranja 82</w:t>
            </w:r>
          </w:p>
        </w:tc>
        <w:tc>
          <w:tcPr>
            <w:tcW w:w="4995" w:type="dxa"/>
            <w:tcBorders>
              <w:bottom w:val="single" w:sz="6" w:space="0" w:color="000000"/>
              <w:right w:val="single" w:sz="6" w:space="0" w:color="000000"/>
            </w:tcBorders>
            <w:vAlign w:val="center"/>
          </w:tcPr>
          <w:p w14:paraId="5DF7A65B" w14:textId="77777777" w:rsidR="007D706A" w:rsidRDefault="007D706A" w:rsidP="00F70508">
            <w:pPr>
              <w:pStyle w:val="ParagraphStyle8"/>
              <w:rPr>
                <w:rStyle w:val="CharacterStyle8"/>
              </w:rPr>
            </w:pPr>
            <w:r>
              <w:rPr>
                <w:rStyle w:val="CharacterStyle8"/>
              </w:rPr>
              <w:t>Preneseni viškovi iz ranijih godina</w:t>
            </w:r>
          </w:p>
        </w:tc>
        <w:tc>
          <w:tcPr>
            <w:tcW w:w="1395" w:type="dxa"/>
            <w:tcBorders>
              <w:bottom w:val="single" w:sz="6" w:space="0" w:color="000000"/>
              <w:right w:val="single" w:sz="6" w:space="0" w:color="000000"/>
            </w:tcBorders>
            <w:vAlign w:val="center"/>
          </w:tcPr>
          <w:p w14:paraId="00B5C8E1"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8E80EB8" w14:textId="77777777" w:rsidR="007D706A" w:rsidRDefault="007D706A" w:rsidP="00F70508">
            <w:pPr>
              <w:pStyle w:val="ParagraphStyle9"/>
              <w:rPr>
                <w:rStyle w:val="CharacterStyle9"/>
              </w:rPr>
            </w:pPr>
            <w:r>
              <w:rPr>
                <w:rStyle w:val="CharacterStyle9"/>
              </w:rPr>
              <w:t>890,49</w:t>
            </w:r>
          </w:p>
        </w:tc>
        <w:tc>
          <w:tcPr>
            <w:tcW w:w="1395" w:type="dxa"/>
            <w:tcBorders>
              <w:bottom w:val="single" w:sz="6" w:space="0" w:color="000000"/>
              <w:right w:val="single" w:sz="6" w:space="0" w:color="000000"/>
            </w:tcBorders>
            <w:vAlign w:val="center"/>
          </w:tcPr>
          <w:p w14:paraId="59897E69"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AC37816"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7E293BA" w14:textId="77777777" w:rsidR="007D706A" w:rsidRDefault="007D706A" w:rsidP="00F70508">
            <w:pPr>
              <w:pStyle w:val="ParagraphStyle9"/>
              <w:rPr>
                <w:rStyle w:val="CharacterStyle9"/>
              </w:rPr>
            </w:pPr>
            <w:r>
              <w:rPr>
                <w:rStyle w:val="CharacterStyle9"/>
              </w:rPr>
              <w:t>0,00</w:t>
            </w:r>
          </w:p>
        </w:tc>
      </w:tr>
      <w:tr w:rsidR="007D706A" w14:paraId="64EB9A7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1586390"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56F046CE"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5AD92F3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8F53DC6" w14:textId="77777777" w:rsidR="007D706A" w:rsidRDefault="007D706A" w:rsidP="00F70508">
            <w:pPr>
              <w:pStyle w:val="ParagraphStyle12"/>
              <w:rPr>
                <w:rStyle w:val="CharacterStyle12"/>
              </w:rPr>
            </w:pPr>
            <w:r>
              <w:rPr>
                <w:rStyle w:val="CharacterStyle12"/>
              </w:rPr>
              <w:t>890,49</w:t>
            </w:r>
          </w:p>
        </w:tc>
        <w:tc>
          <w:tcPr>
            <w:tcW w:w="1395" w:type="dxa"/>
            <w:tcBorders>
              <w:bottom w:val="single" w:sz="6" w:space="0" w:color="000000"/>
              <w:right w:val="single" w:sz="6" w:space="0" w:color="000000"/>
            </w:tcBorders>
            <w:vAlign w:val="center"/>
          </w:tcPr>
          <w:p w14:paraId="534FCB3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734DC1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1EC6501" w14:textId="77777777" w:rsidR="007D706A" w:rsidRDefault="007D706A" w:rsidP="00F70508">
            <w:pPr>
              <w:pStyle w:val="ParagraphStyle12"/>
              <w:rPr>
                <w:rStyle w:val="CharacterStyle12"/>
              </w:rPr>
            </w:pPr>
            <w:r>
              <w:rPr>
                <w:rStyle w:val="CharacterStyle12"/>
              </w:rPr>
              <w:t>0,00</w:t>
            </w:r>
          </w:p>
        </w:tc>
      </w:tr>
      <w:tr w:rsidR="007D706A" w14:paraId="6ECB88C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D92F0C0" w14:textId="77777777" w:rsidR="007D706A" w:rsidRDefault="007D706A" w:rsidP="00F70508">
            <w:pPr>
              <w:pStyle w:val="ParagraphStyle10"/>
              <w:rPr>
                <w:rStyle w:val="CharacterStyle10"/>
              </w:rPr>
            </w:pPr>
            <w:r>
              <w:rPr>
                <w:rStyle w:val="CharacterStyle10"/>
              </w:rPr>
              <w:t>42</w:t>
            </w:r>
          </w:p>
        </w:tc>
        <w:tc>
          <w:tcPr>
            <w:tcW w:w="4995" w:type="dxa"/>
            <w:tcBorders>
              <w:bottom w:val="single" w:sz="6" w:space="0" w:color="000000"/>
              <w:right w:val="single" w:sz="6" w:space="0" w:color="000000"/>
            </w:tcBorders>
            <w:vAlign w:val="center"/>
          </w:tcPr>
          <w:p w14:paraId="492AD4D5"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0B33DC7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F9DF9C7" w14:textId="77777777" w:rsidR="007D706A" w:rsidRDefault="007D706A" w:rsidP="00F70508">
            <w:pPr>
              <w:pStyle w:val="ParagraphStyle12"/>
              <w:rPr>
                <w:rStyle w:val="CharacterStyle12"/>
              </w:rPr>
            </w:pPr>
            <w:r>
              <w:rPr>
                <w:rStyle w:val="CharacterStyle12"/>
              </w:rPr>
              <w:t>890,49</w:t>
            </w:r>
          </w:p>
        </w:tc>
        <w:tc>
          <w:tcPr>
            <w:tcW w:w="1395" w:type="dxa"/>
            <w:tcBorders>
              <w:bottom w:val="single" w:sz="6" w:space="0" w:color="000000"/>
              <w:right w:val="single" w:sz="6" w:space="0" w:color="000000"/>
            </w:tcBorders>
            <w:vAlign w:val="center"/>
          </w:tcPr>
          <w:p w14:paraId="4A842FB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C286DC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6095340" w14:textId="77777777" w:rsidR="007D706A" w:rsidRDefault="007D706A" w:rsidP="00F70508">
            <w:pPr>
              <w:pStyle w:val="ParagraphStyle12"/>
              <w:rPr>
                <w:rStyle w:val="CharacterStyle12"/>
              </w:rPr>
            </w:pPr>
            <w:r>
              <w:rPr>
                <w:rStyle w:val="CharacterStyle12"/>
              </w:rPr>
              <w:t>0,00</w:t>
            </w:r>
          </w:p>
        </w:tc>
      </w:tr>
      <w:tr w:rsidR="007D706A" w14:paraId="198D145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14C166A" w14:textId="77777777" w:rsidR="007D706A" w:rsidRDefault="007D706A" w:rsidP="00F70508">
            <w:pPr>
              <w:pStyle w:val="ParagraphStyle4"/>
              <w:rPr>
                <w:rStyle w:val="CharacterStyle4"/>
              </w:rPr>
            </w:pPr>
            <w:r>
              <w:rPr>
                <w:rStyle w:val="CharacterStyle4"/>
              </w:rPr>
              <w:t>Aktivnost A103606</w:t>
            </w:r>
          </w:p>
        </w:tc>
        <w:tc>
          <w:tcPr>
            <w:tcW w:w="4995" w:type="dxa"/>
            <w:tcBorders>
              <w:bottom w:val="single" w:sz="6" w:space="0" w:color="000000"/>
              <w:right w:val="single" w:sz="6" w:space="0" w:color="000000"/>
            </w:tcBorders>
            <w:vAlign w:val="center"/>
          </w:tcPr>
          <w:p w14:paraId="2F049063" w14:textId="77777777" w:rsidR="007D706A" w:rsidRDefault="007D706A" w:rsidP="00F70508">
            <w:pPr>
              <w:pStyle w:val="ParagraphStyle5"/>
              <w:rPr>
                <w:rStyle w:val="CharacterStyle5"/>
              </w:rPr>
            </w:pPr>
            <w:r>
              <w:rPr>
                <w:rStyle w:val="CharacterStyle5"/>
              </w:rPr>
              <w:t>DECENTRALIZIRANE FUNKCIJE</w:t>
            </w:r>
          </w:p>
        </w:tc>
        <w:tc>
          <w:tcPr>
            <w:tcW w:w="1395" w:type="dxa"/>
            <w:tcBorders>
              <w:bottom w:val="single" w:sz="6" w:space="0" w:color="000000"/>
              <w:right w:val="single" w:sz="6" w:space="0" w:color="000000"/>
            </w:tcBorders>
            <w:vAlign w:val="center"/>
          </w:tcPr>
          <w:p w14:paraId="5D24026D"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497DEEFB" w14:textId="77777777" w:rsidR="007D706A" w:rsidRDefault="007D706A" w:rsidP="00F70508">
            <w:pPr>
              <w:pStyle w:val="ParagraphStyle6"/>
              <w:rPr>
                <w:rStyle w:val="CharacterStyle6"/>
              </w:rPr>
            </w:pPr>
            <w:r>
              <w:rPr>
                <w:rStyle w:val="CharacterStyle6"/>
              </w:rPr>
              <w:t>1.772.771,84</w:t>
            </w:r>
          </w:p>
        </w:tc>
        <w:tc>
          <w:tcPr>
            <w:tcW w:w="1395" w:type="dxa"/>
            <w:tcBorders>
              <w:bottom w:val="single" w:sz="6" w:space="0" w:color="000000"/>
              <w:right w:val="single" w:sz="6" w:space="0" w:color="000000"/>
            </w:tcBorders>
            <w:vAlign w:val="center"/>
          </w:tcPr>
          <w:p w14:paraId="7F45F5C9" w14:textId="77777777" w:rsidR="007D706A" w:rsidRDefault="007D706A" w:rsidP="00F70508">
            <w:pPr>
              <w:pStyle w:val="ParagraphStyle6"/>
              <w:rPr>
                <w:rStyle w:val="CharacterStyle6"/>
              </w:rPr>
            </w:pPr>
            <w:r>
              <w:rPr>
                <w:rStyle w:val="CharacterStyle6"/>
              </w:rPr>
              <w:t>1.691.000,00</w:t>
            </w:r>
          </w:p>
        </w:tc>
        <w:tc>
          <w:tcPr>
            <w:tcW w:w="1395" w:type="dxa"/>
            <w:tcBorders>
              <w:bottom w:val="single" w:sz="6" w:space="0" w:color="000000"/>
              <w:right w:val="single" w:sz="6" w:space="0" w:color="000000"/>
            </w:tcBorders>
            <w:vAlign w:val="center"/>
          </w:tcPr>
          <w:p w14:paraId="39F321B9" w14:textId="77777777" w:rsidR="007D706A" w:rsidRDefault="007D706A" w:rsidP="00F70508">
            <w:pPr>
              <w:pStyle w:val="ParagraphStyle6"/>
              <w:rPr>
                <w:rStyle w:val="CharacterStyle6"/>
              </w:rPr>
            </w:pPr>
            <w:r>
              <w:rPr>
                <w:rStyle w:val="CharacterStyle6"/>
              </w:rPr>
              <w:t>1.758.640,00</w:t>
            </w:r>
          </w:p>
        </w:tc>
        <w:tc>
          <w:tcPr>
            <w:tcW w:w="1395" w:type="dxa"/>
            <w:tcBorders>
              <w:bottom w:val="single" w:sz="6" w:space="0" w:color="000000"/>
              <w:right w:val="single" w:sz="6" w:space="0" w:color="000000"/>
            </w:tcBorders>
            <w:vAlign w:val="center"/>
          </w:tcPr>
          <w:p w14:paraId="3F6179DE" w14:textId="77777777" w:rsidR="007D706A" w:rsidRDefault="007D706A" w:rsidP="00F70508">
            <w:pPr>
              <w:pStyle w:val="ParagraphStyle6"/>
              <w:rPr>
                <w:rStyle w:val="CharacterStyle6"/>
              </w:rPr>
            </w:pPr>
            <w:r>
              <w:rPr>
                <w:rStyle w:val="CharacterStyle6"/>
              </w:rPr>
              <w:t>1.776.260,00</w:t>
            </w:r>
          </w:p>
        </w:tc>
      </w:tr>
      <w:tr w:rsidR="007D706A" w14:paraId="6BEEC7B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45112A9"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4545AFD1"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1D76B746"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E61C3CE"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7A1ABB3" w14:textId="77777777" w:rsidR="007D706A" w:rsidRDefault="007D706A" w:rsidP="00F70508">
            <w:pPr>
              <w:pStyle w:val="ParagraphStyle9"/>
              <w:rPr>
                <w:rStyle w:val="CharacterStyle9"/>
              </w:rPr>
            </w:pPr>
            <w:r>
              <w:rPr>
                <w:rStyle w:val="CharacterStyle9"/>
              </w:rPr>
              <w:t>79.311,52</w:t>
            </w:r>
          </w:p>
        </w:tc>
        <w:tc>
          <w:tcPr>
            <w:tcW w:w="1395" w:type="dxa"/>
            <w:tcBorders>
              <w:bottom w:val="single" w:sz="6" w:space="0" w:color="000000"/>
              <w:right w:val="single" w:sz="6" w:space="0" w:color="000000"/>
            </w:tcBorders>
            <w:vAlign w:val="center"/>
          </w:tcPr>
          <w:p w14:paraId="5044C13A" w14:textId="77777777" w:rsidR="007D706A" w:rsidRDefault="007D706A" w:rsidP="00F70508">
            <w:pPr>
              <w:pStyle w:val="ParagraphStyle9"/>
              <w:rPr>
                <w:rStyle w:val="CharacterStyle9"/>
              </w:rPr>
            </w:pPr>
            <w:r>
              <w:rPr>
                <w:rStyle w:val="CharacterStyle9"/>
              </w:rPr>
              <w:t>82.484,00</w:t>
            </w:r>
          </w:p>
        </w:tc>
        <w:tc>
          <w:tcPr>
            <w:tcW w:w="1395" w:type="dxa"/>
            <w:tcBorders>
              <w:bottom w:val="single" w:sz="6" w:space="0" w:color="000000"/>
              <w:right w:val="single" w:sz="6" w:space="0" w:color="000000"/>
            </w:tcBorders>
            <w:vAlign w:val="center"/>
          </w:tcPr>
          <w:p w14:paraId="78B5A7AE" w14:textId="77777777" w:rsidR="007D706A" w:rsidRDefault="007D706A" w:rsidP="00F70508">
            <w:pPr>
              <w:pStyle w:val="ParagraphStyle9"/>
              <w:rPr>
                <w:rStyle w:val="CharacterStyle9"/>
              </w:rPr>
            </w:pPr>
            <w:r>
              <w:rPr>
                <w:rStyle w:val="CharacterStyle9"/>
              </w:rPr>
              <w:t>83.310,00</w:t>
            </w:r>
          </w:p>
        </w:tc>
      </w:tr>
      <w:tr w:rsidR="007D706A" w14:paraId="5BD7B11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2702A38"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64107A7D"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6737E69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695751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EB9A51C" w14:textId="77777777" w:rsidR="007D706A" w:rsidRDefault="007D706A" w:rsidP="00F70508">
            <w:pPr>
              <w:pStyle w:val="ParagraphStyle12"/>
              <w:rPr>
                <w:rStyle w:val="CharacterStyle12"/>
              </w:rPr>
            </w:pPr>
            <w:r>
              <w:rPr>
                <w:rStyle w:val="CharacterStyle12"/>
              </w:rPr>
              <w:t>79.311,52</w:t>
            </w:r>
          </w:p>
        </w:tc>
        <w:tc>
          <w:tcPr>
            <w:tcW w:w="1395" w:type="dxa"/>
            <w:tcBorders>
              <w:bottom w:val="single" w:sz="6" w:space="0" w:color="000000"/>
              <w:right w:val="single" w:sz="6" w:space="0" w:color="000000"/>
            </w:tcBorders>
            <w:vAlign w:val="center"/>
          </w:tcPr>
          <w:p w14:paraId="02FFEE07" w14:textId="77777777" w:rsidR="007D706A" w:rsidRDefault="007D706A" w:rsidP="00F70508">
            <w:pPr>
              <w:pStyle w:val="ParagraphStyle12"/>
              <w:rPr>
                <w:rStyle w:val="CharacterStyle12"/>
              </w:rPr>
            </w:pPr>
            <w:r>
              <w:rPr>
                <w:rStyle w:val="CharacterStyle12"/>
              </w:rPr>
              <w:t>82.484,00</w:t>
            </w:r>
          </w:p>
        </w:tc>
        <w:tc>
          <w:tcPr>
            <w:tcW w:w="1395" w:type="dxa"/>
            <w:tcBorders>
              <w:bottom w:val="single" w:sz="6" w:space="0" w:color="000000"/>
              <w:right w:val="single" w:sz="6" w:space="0" w:color="000000"/>
            </w:tcBorders>
            <w:vAlign w:val="center"/>
          </w:tcPr>
          <w:p w14:paraId="2F5B47A1" w14:textId="77777777" w:rsidR="007D706A" w:rsidRDefault="007D706A" w:rsidP="00F70508">
            <w:pPr>
              <w:pStyle w:val="ParagraphStyle12"/>
              <w:rPr>
                <w:rStyle w:val="CharacterStyle12"/>
              </w:rPr>
            </w:pPr>
            <w:r>
              <w:rPr>
                <w:rStyle w:val="CharacterStyle12"/>
              </w:rPr>
              <w:t>83.310,00</w:t>
            </w:r>
          </w:p>
        </w:tc>
      </w:tr>
      <w:tr w:rsidR="007D706A" w14:paraId="680F461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CB1F31B"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51C849A5"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0BBE1C1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747FCA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FB3DD18" w14:textId="77777777" w:rsidR="007D706A" w:rsidRDefault="007D706A" w:rsidP="00F70508">
            <w:pPr>
              <w:pStyle w:val="ParagraphStyle12"/>
              <w:rPr>
                <w:rStyle w:val="CharacterStyle12"/>
              </w:rPr>
            </w:pPr>
            <w:r>
              <w:rPr>
                <w:rStyle w:val="CharacterStyle12"/>
              </w:rPr>
              <w:t>78.611,52</w:t>
            </w:r>
          </w:p>
        </w:tc>
        <w:tc>
          <w:tcPr>
            <w:tcW w:w="1395" w:type="dxa"/>
            <w:tcBorders>
              <w:bottom w:val="single" w:sz="6" w:space="0" w:color="000000"/>
              <w:right w:val="single" w:sz="6" w:space="0" w:color="000000"/>
            </w:tcBorders>
            <w:vAlign w:val="center"/>
          </w:tcPr>
          <w:p w14:paraId="7235C06D" w14:textId="77777777" w:rsidR="007D706A" w:rsidRDefault="007D706A" w:rsidP="00F70508">
            <w:pPr>
              <w:pStyle w:val="ParagraphStyle12"/>
              <w:rPr>
                <w:rStyle w:val="CharacterStyle12"/>
              </w:rPr>
            </w:pPr>
            <w:r>
              <w:rPr>
                <w:rStyle w:val="CharacterStyle12"/>
              </w:rPr>
              <w:t>81.756,00</w:t>
            </w:r>
          </w:p>
        </w:tc>
        <w:tc>
          <w:tcPr>
            <w:tcW w:w="1395" w:type="dxa"/>
            <w:tcBorders>
              <w:bottom w:val="single" w:sz="6" w:space="0" w:color="000000"/>
              <w:right w:val="single" w:sz="6" w:space="0" w:color="000000"/>
            </w:tcBorders>
            <w:vAlign w:val="center"/>
          </w:tcPr>
          <w:p w14:paraId="13240638" w14:textId="77777777" w:rsidR="007D706A" w:rsidRDefault="007D706A" w:rsidP="00F70508">
            <w:pPr>
              <w:pStyle w:val="ParagraphStyle12"/>
              <w:rPr>
                <w:rStyle w:val="CharacterStyle12"/>
              </w:rPr>
            </w:pPr>
            <w:r>
              <w:rPr>
                <w:rStyle w:val="CharacterStyle12"/>
              </w:rPr>
              <w:t>82.575,00</w:t>
            </w:r>
          </w:p>
        </w:tc>
      </w:tr>
      <w:tr w:rsidR="007D706A" w14:paraId="580474A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D01DA72" w14:textId="77777777" w:rsidR="007D706A" w:rsidRDefault="007D706A" w:rsidP="00F70508">
            <w:pPr>
              <w:pStyle w:val="ParagraphStyle10"/>
              <w:rPr>
                <w:rStyle w:val="CharacterStyle10"/>
              </w:rPr>
            </w:pPr>
            <w:r>
              <w:rPr>
                <w:rStyle w:val="CharacterStyle10"/>
              </w:rPr>
              <w:t>34</w:t>
            </w:r>
          </w:p>
        </w:tc>
        <w:tc>
          <w:tcPr>
            <w:tcW w:w="4995" w:type="dxa"/>
            <w:tcBorders>
              <w:bottom w:val="single" w:sz="6" w:space="0" w:color="000000"/>
              <w:right w:val="single" w:sz="6" w:space="0" w:color="000000"/>
            </w:tcBorders>
            <w:vAlign w:val="center"/>
          </w:tcPr>
          <w:p w14:paraId="3B261052" w14:textId="77777777" w:rsidR="007D706A" w:rsidRDefault="007D706A" w:rsidP="00F70508">
            <w:pPr>
              <w:pStyle w:val="ParagraphStyle11"/>
              <w:rPr>
                <w:rStyle w:val="CharacterStyle11"/>
              </w:rPr>
            </w:pPr>
            <w:r>
              <w:rPr>
                <w:rStyle w:val="CharacterStyle11"/>
              </w:rPr>
              <w:t>Financijski rashodi</w:t>
            </w:r>
          </w:p>
        </w:tc>
        <w:tc>
          <w:tcPr>
            <w:tcW w:w="1395" w:type="dxa"/>
            <w:tcBorders>
              <w:bottom w:val="single" w:sz="6" w:space="0" w:color="000000"/>
              <w:right w:val="single" w:sz="6" w:space="0" w:color="000000"/>
            </w:tcBorders>
            <w:vAlign w:val="center"/>
          </w:tcPr>
          <w:p w14:paraId="3E4CE98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7A72A9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31ADC0B" w14:textId="77777777" w:rsidR="007D706A" w:rsidRDefault="007D706A" w:rsidP="00F70508">
            <w:pPr>
              <w:pStyle w:val="ParagraphStyle12"/>
              <w:rPr>
                <w:rStyle w:val="CharacterStyle12"/>
              </w:rPr>
            </w:pPr>
            <w:r>
              <w:rPr>
                <w:rStyle w:val="CharacterStyle12"/>
              </w:rPr>
              <w:t>700,00</w:t>
            </w:r>
          </w:p>
        </w:tc>
        <w:tc>
          <w:tcPr>
            <w:tcW w:w="1395" w:type="dxa"/>
            <w:tcBorders>
              <w:bottom w:val="single" w:sz="6" w:space="0" w:color="000000"/>
              <w:right w:val="single" w:sz="6" w:space="0" w:color="000000"/>
            </w:tcBorders>
            <w:vAlign w:val="center"/>
          </w:tcPr>
          <w:p w14:paraId="48787A5F" w14:textId="77777777" w:rsidR="007D706A" w:rsidRDefault="007D706A" w:rsidP="00F70508">
            <w:pPr>
              <w:pStyle w:val="ParagraphStyle12"/>
              <w:rPr>
                <w:rStyle w:val="CharacterStyle12"/>
              </w:rPr>
            </w:pPr>
            <w:r>
              <w:rPr>
                <w:rStyle w:val="CharacterStyle12"/>
              </w:rPr>
              <w:t>728,00</w:t>
            </w:r>
          </w:p>
        </w:tc>
        <w:tc>
          <w:tcPr>
            <w:tcW w:w="1395" w:type="dxa"/>
            <w:tcBorders>
              <w:bottom w:val="single" w:sz="6" w:space="0" w:color="000000"/>
              <w:right w:val="single" w:sz="6" w:space="0" w:color="000000"/>
            </w:tcBorders>
            <w:vAlign w:val="center"/>
          </w:tcPr>
          <w:p w14:paraId="50FB6953" w14:textId="77777777" w:rsidR="007D706A" w:rsidRDefault="007D706A" w:rsidP="00F70508">
            <w:pPr>
              <w:pStyle w:val="ParagraphStyle12"/>
              <w:rPr>
                <w:rStyle w:val="CharacterStyle12"/>
              </w:rPr>
            </w:pPr>
            <w:r>
              <w:rPr>
                <w:rStyle w:val="CharacterStyle12"/>
              </w:rPr>
              <w:t>735,00</w:t>
            </w:r>
          </w:p>
        </w:tc>
      </w:tr>
      <w:tr w:rsidR="007D706A" w14:paraId="76E9EEB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DFD4E1E" w14:textId="77777777" w:rsidR="007D706A" w:rsidRDefault="007D706A" w:rsidP="00F70508">
            <w:pPr>
              <w:pStyle w:val="ParagraphStyle7"/>
              <w:rPr>
                <w:rStyle w:val="CharacterStyle7"/>
              </w:rPr>
            </w:pPr>
            <w:r>
              <w:rPr>
                <w:rStyle w:val="CharacterStyle7"/>
              </w:rPr>
              <w:t>Izvor financiranja 50</w:t>
            </w:r>
          </w:p>
        </w:tc>
        <w:tc>
          <w:tcPr>
            <w:tcW w:w="4995" w:type="dxa"/>
            <w:tcBorders>
              <w:bottom w:val="single" w:sz="6" w:space="0" w:color="000000"/>
              <w:right w:val="single" w:sz="6" w:space="0" w:color="000000"/>
            </w:tcBorders>
            <w:vAlign w:val="center"/>
          </w:tcPr>
          <w:p w14:paraId="39AAA7FF" w14:textId="77777777" w:rsidR="007D706A" w:rsidRDefault="007D706A" w:rsidP="00F70508">
            <w:pPr>
              <w:pStyle w:val="ParagraphStyle8"/>
              <w:rPr>
                <w:rStyle w:val="CharacterStyle8"/>
              </w:rPr>
            </w:pPr>
            <w:r>
              <w:rPr>
                <w:rStyle w:val="CharacterStyle8"/>
              </w:rPr>
              <w:t>Pomoći iz državnog proračuna</w:t>
            </w:r>
          </w:p>
        </w:tc>
        <w:tc>
          <w:tcPr>
            <w:tcW w:w="1395" w:type="dxa"/>
            <w:tcBorders>
              <w:bottom w:val="single" w:sz="6" w:space="0" w:color="000000"/>
              <w:right w:val="single" w:sz="6" w:space="0" w:color="000000"/>
            </w:tcBorders>
            <w:vAlign w:val="center"/>
          </w:tcPr>
          <w:p w14:paraId="62FBA5F8"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B1B0E1B" w14:textId="77777777" w:rsidR="007D706A" w:rsidRDefault="007D706A" w:rsidP="00F70508">
            <w:pPr>
              <w:pStyle w:val="ParagraphStyle9"/>
              <w:rPr>
                <w:rStyle w:val="CharacterStyle9"/>
              </w:rPr>
            </w:pPr>
            <w:r>
              <w:rPr>
                <w:rStyle w:val="CharacterStyle9"/>
              </w:rPr>
              <w:t>75.936,84</w:t>
            </w:r>
          </w:p>
        </w:tc>
        <w:tc>
          <w:tcPr>
            <w:tcW w:w="1395" w:type="dxa"/>
            <w:tcBorders>
              <w:bottom w:val="single" w:sz="6" w:space="0" w:color="000000"/>
              <w:right w:val="single" w:sz="6" w:space="0" w:color="000000"/>
            </w:tcBorders>
            <w:vAlign w:val="center"/>
          </w:tcPr>
          <w:p w14:paraId="07F91B0C" w14:textId="77777777" w:rsidR="007D706A" w:rsidRDefault="007D706A" w:rsidP="00F70508">
            <w:pPr>
              <w:pStyle w:val="ParagraphStyle9"/>
              <w:rPr>
                <w:rStyle w:val="CharacterStyle9"/>
              </w:rPr>
            </w:pPr>
            <w:r>
              <w:rPr>
                <w:rStyle w:val="CharacterStyle9"/>
              </w:rPr>
              <w:t>1.611.688,48</w:t>
            </w:r>
          </w:p>
        </w:tc>
        <w:tc>
          <w:tcPr>
            <w:tcW w:w="1395" w:type="dxa"/>
            <w:tcBorders>
              <w:bottom w:val="single" w:sz="6" w:space="0" w:color="000000"/>
              <w:right w:val="single" w:sz="6" w:space="0" w:color="000000"/>
            </w:tcBorders>
            <w:vAlign w:val="center"/>
          </w:tcPr>
          <w:p w14:paraId="7A8F4AF0" w14:textId="77777777" w:rsidR="007D706A" w:rsidRDefault="007D706A" w:rsidP="00F70508">
            <w:pPr>
              <w:pStyle w:val="ParagraphStyle9"/>
              <w:rPr>
                <w:rStyle w:val="CharacterStyle9"/>
              </w:rPr>
            </w:pPr>
            <w:r>
              <w:rPr>
                <w:rStyle w:val="CharacterStyle9"/>
              </w:rPr>
              <w:t>1.676.156,00</w:t>
            </w:r>
          </w:p>
        </w:tc>
        <w:tc>
          <w:tcPr>
            <w:tcW w:w="1395" w:type="dxa"/>
            <w:tcBorders>
              <w:bottom w:val="single" w:sz="6" w:space="0" w:color="000000"/>
              <w:right w:val="single" w:sz="6" w:space="0" w:color="000000"/>
            </w:tcBorders>
            <w:vAlign w:val="center"/>
          </w:tcPr>
          <w:p w14:paraId="663AC023" w14:textId="77777777" w:rsidR="007D706A" w:rsidRDefault="007D706A" w:rsidP="00F70508">
            <w:pPr>
              <w:pStyle w:val="ParagraphStyle9"/>
              <w:rPr>
                <w:rStyle w:val="CharacterStyle9"/>
              </w:rPr>
            </w:pPr>
            <w:r>
              <w:rPr>
                <w:rStyle w:val="CharacterStyle9"/>
              </w:rPr>
              <w:t>1.692.950,00</w:t>
            </w:r>
          </w:p>
        </w:tc>
      </w:tr>
      <w:tr w:rsidR="007D706A" w14:paraId="22C4FA3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7786AFB"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31ACDA27"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4F39E22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AA515A1" w14:textId="77777777" w:rsidR="007D706A" w:rsidRDefault="007D706A" w:rsidP="00F70508">
            <w:pPr>
              <w:pStyle w:val="ParagraphStyle12"/>
              <w:rPr>
                <w:rStyle w:val="CharacterStyle12"/>
              </w:rPr>
            </w:pPr>
            <w:r>
              <w:rPr>
                <w:rStyle w:val="CharacterStyle12"/>
              </w:rPr>
              <w:t>75.936,84</w:t>
            </w:r>
          </w:p>
        </w:tc>
        <w:tc>
          <w:tcPr>
            <w:tcW w:w="1395" w:type="dxa"/>
            <w:tcBorders>
              <w:bottom w:val="single" w:sz="6" w:space="0" w:color="000000"/>
              <w:right w:val="single" w:sz="6" w:space="0" w:color="000000"/>
            </w:tcBorders>
            <w:vAlign w:val="center"/>
          </w:tcPr>
          <w:p w14:paraId="2A3BB52E" w14:textId="77777777" w:rsidR="007D706A" w:rsidRDefault="007D706A" w:rsidP="00F70508">
            <w:pPr>
              <w:pStyle w:val="ParagraphStyle12"/>
              <w:rPr>
                <w:rStyle w:val="CharacterStyle12"/>
              </w:rPr>
            </w:pPr>
            <w:r>
              <w:rPr>
                <w:rStyle w:val="CharacterStyle12"/>
              </w:rPr>
              <w:t>1.611.688,48</w:t>
            </w:r>
          </w:p>
        </w:tc>
        <w:tc>
          <w:tcPr>
            <w:tcW w:w="1395" w:type="dxa"/>
            <w:tcBorders>
              <w:bottom w:val="single" w:sz="6" w:space="0" w:color="000000"/>
              <w:right w:val="single" w:sz="6" w:space="0" w:color="000000"/>
            </w:tcBorders>
            <w:vAlign w:val="center"/>
          </w:tcPr>
          <w:p w14:paraId="4FA26A92" w14:textId="77777777" w:rsidR="007D706A" w:rsidRDefault="007D706A" w:rsidP="00F70508">
            <w:pPr>
              <w:pStyle w:val="ParagraphStyle12"/>
              <w:rPr>
                <w:rStyle w:val="CharacterStyle12"/>
              </w:rPr>
            </w:pPr>
            <w:r>
              <w:rPr>
                <w:rStyle w:val="CharacterStyle12"/>
              </w:rPr>
              <w:t>1.676.156,00</w:t>
            </w:r>
          </w:p>
        </w:tc>
        <w:tc>
          <w:tcPr>
            <w:tcW w:w="1395" w:type="dxa"/>
            <w:tcBorders>
              <w:bottom w:val="single" w:sz="6" w:space="0" w:color="000000"/>
              <w:right w:val="single" w:sz="6" w:space="0" w:color="000000"/>
            </w:tcBorders>
            <w:vAlign w:val="center"/>
          </w:tcPr>
          <w:p w14:paraId="24DF3A1C" w14:textId="77777777" w:rsidR="007D706A" w:rsidRDefault="007D706A" w:rsidP="00F70508">
            <w:pPr>
              <w:pStyle w:val="ParagraphStyle12"/>
              <w:rPr>
                <w:rStyle w:val="CharacterStyle12"/>
              </w:rPr>
            </w:pPr>
            <w:r>
              <w:rPr>
                <w:rStyle w:val="CharacterStyle12"/>
              </w:rPr>
              <w:t>1.692.950,00</w:t>
            </w:r>
          </w:p>
        </w:tc>
      </w:tr>
      <w:tr w:rsidR="007D706A" w14:paraId="2297C5C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9BF2894" w14:textId="77777777" w:rsidR="007D706A" w:rsidRDefault="007D706A" w:rsidP="00F70508">
            <w:pPr>
              <w:pStyle w:val="ParagraphStyle10"/>
              <w:rPr>
                <w:rStyle w:val="CharacterStyle10"/>
              </w:rPr>
            </w:pPr>
            <w:r>
              <w:rPr>
                <w:rStyle w:val="CharacterStyle10"/>
              </w:rPr>
              <w:t>31</w:t>
            </w:r>
          </w:p>
        </w:tc>
        <w:tc>
          <w:tcPr>
            <w:tcW w:w="4995" w:type="dxa"/>
            <w:tcBorders>
              <w:bottom w:val="single" w:sz="6" w:space="0" w:color="000000"/>
              <w:right w:val="single" w:sz="6" w:space="0" w:color="000000"/>
            </w:tcBorders>
            <w:vAlign w:val="center"/>
          </w:tcPr>
          <w:p w14:paraId="35849C7E" w14:textId="77777777" w:rsidR="007D706A" w:rsidRDefault="007D706A" w:rsidP="00F70508">
            <w:pPr>
              <w:pStyle w:val="ParagraphStyle11"/>
              <w:rPr>
                <w:rStyle w:val="CharacterStyle11"/>
              </w:rPr>
            </w:pPr>
            <w:r>
              <w:rPr>
                <w:rStyle w:val="CharacterStyle11"/>
              </w:rPr>
              <w:t>Rashodi za zaposlene</w:t>
            </w:r>
          </w:p>
        </w:tc>
        <w:tc>
          <w:tcPr>
            <w:tcW w:w="1395" w:type="dxa"/>
            <w:tcBorders>
              <w:bottom w:val="single" w:sz="6" w:space="0" w:color="000000"/>
              <w:right w:val="single" w:sz="6" w:space="0" w:color="000000"/>
            </w:tcBorders>
            <w:vAlign w:val="center"/>
          </w:tcPr>
          <w:p w14:paraId="3B7468D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BE5C1A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8426E65" w14:textId="77777777" w:rsidR="007D706A" w:rsidRDefault="007D706A" w:rsidP="00F70508">
            <w:pPr>
              <w:pStyle w:val="ParagraphStyle12"/>
              <w:rPr>
                <w:rStyle w:val="CharacterStyle12"/>
              </w:rPr>
            </w:pPr>
            <w:r>
              <w:rPr>
                <w:rStyle w:val="CharacterStyle12"/>
              </w:rPr>
              <w:t>1.552.525,00</w:t>
            </w:r>
          </w:p>
        </w:tc>
        <w:tc>
          <w:tcPr>
            <w:tcW w:w="1395" w:type="dxa"/>
            <w:tcBorders>
              <w:bottom w:val="single" w:sz="6" w:space="0" w:color="000000"/>
              <w:right w:val="single" w:sz="6" w:space="0" w:color="000000"/>
            </w:tcBorders>
            <w:vAlign w:val="center"/>
          </w:tcPr>
          <w:p w14:paraId="6791ECFC" w14:textId="77777777" w:rsidR="007D706A" w:rsidRDefault="007D706A" w:rsidP="00F70508">
            <w:pPr>
              <w:pStyle w:val="ParagraphStyle12"/>
              <w:rPr>
                <w:rStyle w:val="CharacterStyle12"/>
              </w:rPr>
            </w:pPr>
            <w:r>
              <w:rPr>
                <w:rStyle w:val="CharacterStyle12"/>
              </w:rPr>
              <w:t>1.614.626,00</w:t>
            </w:r>
          </w:p>
        </w:tc>
        <w:tc>
          <w:tcPr>
            <w:tcW w:w="1395" w:type="dxa"/>
            <w:tcBorders>
              <w:bottom w:val="single" w:sz="6" w:space="0" w:color="000000"/>
              <w:right w:val="single" w:sz="6" w:space="0" w:color="000000"/>
            </w:tcBorders>
            <w:vAlign w:val="center"/>
          </w:tcPr>
          <w:p w14:paraId="643D66A5" w14:textId="77777777" w:rsidR="007D706A" w:rsidRDefault="007D706A" w:rsidP="00F70508">
            <w:pPr>
              <w:pStyle w:val="ParagraphStyle12"/>
              <w:rPr>
                <w:rStyle w:val="CharacterStyle12"/>
              </w:rPr>
            </w:pPr>
            <w:r>
              <w:rPr>
                <w:rStyle w:val="CharacterStyle12"/>
              </w:rPr>
              <w:t>1.630.804,00</w:t>
            </w:r>
          </w:p>
        </w:tc>
      </w:tr>
      <w:tr w:rsidR="007D706A" w14:paraId="449F222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38A0941"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5191C66C"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607605D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ACAAC19" w14:textId="77777777" w:rsidR="007D706A" w:rsidRDefault="007D706A" w:rsidP="00F70508">
            <w:pPr>
              <w:pStyle w:val="ParagraphStyle12"/>
              <w:rPr>
                <w:rStyle w:val="CharacterStyle12"/>
              </w:rPr>
            </w:pPr>
            <w:r>
              <w:rPr>
                <w:rStyle w:val="CharacterStyle12"/>
              </w:rPr>
              <w:t>75.236,84</w:t>
            </w:r>
          </w:p>
        </w:tc>
        <w:tc>
          <w:tcPr>
            <w:tcW w:w="1395" w:type="dxa"/>
            <w:tcBorders>
              <w:bottom w:val="single" w:sz="6" w:space="0" w:color="000000"/>
              <w:right w:val="single" w:sz="6" w:space="0" w:color="000000"/>
            </w:tcBorders>
            <w:vAlign w:val="center"/>
          </w:tcPr>
          <w:p w14:paraId="3C390E41" w14:textId="77777777" w:rsidR="007D706A" w:rsidRDefault="007D706A" w:rsidP="00F70508">
            <w:pPr>
              <w:pStyle w:val="ParagraphStyle12"/>
              <w:rPr>
                <w:rStyle w:val="CharacterStyle12"/>
              </w:rPr>
            </w:pPr>
            <w:r>
              <w:rPr>
                <w:rStyle w:val="CharacterStyle12"/>
              </w:rPr>
              <w:t>59.163,48</w:t>
            </w:r>
          </w:p>
        </w:tc>
        <w:tc>
          <w:tcPr>
            <w:tcW w:w="1395" w:type="dxa"/>
            <w:tcBorders>
              <w:bottom w:val="single" w:sz="6" w:space="0" w:color="000000"/>
              <w:right w:val="single" w:sz="6" w:space="0" w:color="000000"/>
            </w:tcBorders>
            <w:vAlign w:val="center"/>
          </w:tcPr>
          <w:p w14:paraId="73E49EEA" w14:textId="77777777" w:rsidR="007D706A" w:rsidRDefault="007D706A" w:rsidP="00F70508">
            <w:pPr>
              <w:pStyle w:val="ParagraphStyle12"/>
              <w:rPr>
                <w:rStyle w:val="CharacterStyle12"/>
              </w:rPr>
            </w:pPr>
            <w:r>
              <w:rPr>
                <w:rStyle w:val="CharacterStyle12"/>
              </w:rPr>
              <w:t>61.530,00</w:t>
            </w:r>
          </w:p>
        </w:tc>
        <w:tc>
          <w:tcPr>
            <w:tcW w:w="1395" w:type="dxa"/>
            <w:tcBorders>
              <w:bottom w:val="single" w:sz="6" w:space="0" w:color="000000"/>
              <w:right w:val="single" w:sz="6" w:space="0" w:color="000000"/>
            </w:tcBorders>
            <w:vAlign w:val="center"/>
          </w:tcPr>
          <w:p w14:paraId="24B165E7" w14:textId="77777777" w:rsidR="007D706A" w:rsidRDefault="007D706A" w:rsidP="00F70508">
            <w:pPr>
              <w:pStyle w:val="ParagraphStyle12"/>
              <w:rPr>
                <w:rStyle w:val="CharacterStyle12"/>
              </w:rPr>
            </w:pPr>
            <w:r>
              <w:rPr>
                <w:rStyle w:val="CharacterStyle12"/>
              </w:rPr>
              <w:t>62.146,00</w:t>
            </w:r>
          </w:p>
        </w:tc>
      </w:tr>
      <w:tr w:rsidR="007D706A" w14:paraId="1E8E467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7EE7788" w14:textId="77777777" w:rsidR="007D706A" w:rsidRDefault="007D706A" w:rsidP="00F70508">
            <w:pPr>
              <w:pStyle w:val="ParagraphStyle10"/>
              <w:rPr>
                <w:rStyle w:val="CharacterStyle10"/>
              </w:rPr>
            </w:pPr>
            <w:r>
              <w:rPr>
                <w:rStyle w:val="CharacterStyle10"/>
              </w:rPr>
              <w:t>34</w:t>
            </w:r>
          </w:p>
        </w:tc>
        <w:tc>
          <w:tcPr>
            <w:tcW w:w="4995" w:type="dxa"/>
            <w:tcBorders>
              <w:bottom w:val="single" w:sz="6" w:space="0" w:color="000000"/>
              <w:right w:val="single" w:sz="6" w:space="0" w:color="000000"/>
            </w:tcBorders>
            <w:vAlign w:val="center"/>
          </w:tcPr>
          <w:p w14:paraId="026C60D2" w14:textId="77777777" w:rsidR="007D706A" w:rsidRDefault="007D706A" w:rsidP="00F70508">
            <w:pPr>
              <w:pStyle w:val="ParagraphStyle11"/>
              <w:rPr>
                <w:rStyle w:val="CharacterStyle11"/>
              </w:rPr>
            </w:pPr>
            <w:r>
              <w:rPr>
                <w:rStyle w:val="CharacterStyle11"/>
              </w:rPr>
              <w:t>Financijski rashodi</w:t>
            </w:r>
          </w:p>
        </w:tc>
        <w:tc>
          <w:tcPr>
            <w:tcW w:w="1395" w:type="dxa"/>
            <w:tcBorders>
              <w:bottom w:val="single" w:sz="6" w:space="0" w:color="000000"/>
              <w:right w:val="single" w:sz="6" w:space="0" w:color="000000"/>
            </w:tcBorders>
            <w:vAlign w:val="center"/>
          </w:tcPr>
          <w:p w14:paraId="12CB058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1A09A9D" w14:textId="77777777" w:rsidR="007D706A" w:rsidRDefault="007D706A" w:rsidP="00F70508">
            <w:pPr>
              <w:pStyle w:val="ParagraphStyle12"/>
              <w:rPr>
                <w:rStyle w:val="CharacterStyle12"/>
              </w:rPr>
            </w:pPr>
            <w:r>
              <w:rPr>
                <w:rStyle w:val="CharacterStyle12"/>
              </w:rPr>
              <w:t>700,00</w:t>
            </w:r>
          </w:p>
        </w:tc>
        <w:tc>
          <w:tcPr>
            <w:tcW w:w="1395" w:type="dxa"/>
            <w:tcBorders>
              <w:bottom w:val="single" w:sz="6" w:space="0" w:color="000000"/>
              <w:right w:val="single" w:sz="6" w:space="0" w:color="000000"/>
            </w:tcBorders>
            <w:vAlign w:val="center"/>
          </w:tcPr>
          <w:p w14:paraId="59583FD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9960DE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C9FEE84" w14:textId="77777777" w:rsidR="007D706A" w:rsidRDefault="007D706A" w:rsidP="00F70508">
            <w:pPr>
              <w:pStyle w:val="ParagraphStyle12"/>
              <w:rPr>
                <w:rStyle w:val="CharacterStyle12"/>
              </w:rPr>
            </w:pPr>
            <w:r>
              <w:rPr>
                <w:rStyle w:val="CharacterStyle12"/>
              </w:rPr>
              <w:t>0,00</w:t>
            </w:r>
          </w:p>
        </w:tc>
      </w:tr>
      <w:tr w:rsidR="007D706A" w14:paraId="444658B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33267FF" w14:textId="77777777" w:rsidR="007D706A" w:rsidRDefault="007D706A" w:rsidP="00F70508">
            <w:pPr>
              <w:pStyle w:val="ParagraphStyle7"/>
              <w:rPr>
                <w:rStyle w:val="CharacterStyle7"/>
              </w:rPr>
            </w:pPr>
            <w:r>
              <w:rPr>
                <w:rStyle w:val="CharacterStyle7"/>
              </w:rPr>
              <w:t>Izvor financiranja 51</w:t>
            </w:r>
          </w:p>
        </w:tc>
        <w:tc>
          <w:tcPr>
            <w:tcW w:w="4995" w:type="dxa"/>
            <w:tcBorders>
              <w:bottom w:val="single" w:sz="6" w:space="0" w:color="000000"/>
              <w:right w:val="single" w:sz="6" w:space="0" w:color="000000"/>
            </w:tcBorders>
            <w:vAlign w:val="center"/>
          </w:tcPr>
          <w:p w14:paraId="4FCC8BE2" w14:textId="77777777" w:rsidR="007D706A" w:rsidRDefault="007D706A" w:rsidP="00F70508">
            <w:pPr>
              <w:pStyle w:val="ParagraphStyle8"/>
              <w:rPr>
                <w:rStyle w:val="CharacterStyle8"/>
              </w:rPr>
            </w:pPr>
            <w:r>
              <w:rPr>
                <w:rStyle w:val="CharacterStyle8"/>
              </w:rPr>
              <w:t>Pomoći EU</w:t>
            </w:r>
          </w:p>
        </w:tc>
        <w:tc>
          <w:tcPr>
            <w:tcW w:w="1395" w:type="dxa"/>
            <w:tcBorders>
              <w:bottom w:val="single" w:sz="6" w:space="0" w:color="000000"/>
              <w:right w:val="single" w:sz="6" w:space="0" w:color="000000"/>
            </w:tcBorders>
            <w:vAlign w:val="center"/>
          </w:tcPr>
          <w:p w14:paraId="751F4CAB"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CCD27B8" w14:textId="77777777" w:rsidR="007D706A" w:rsidRDefault="007D706A" w:rsidP="00F70508">
            <w:pPr>
              <w:pStyle w:val="ParagraphStyle9"/>
              <w:rPr>
                <w:rStyle w:val="CharacterStyle9"/>
              </w:rPr>
            </w:pPr>
            <w:r>
              <w:rPr>
                <w:rStyle w:val="CharacterStyle9"/>
              </w:rPr>
              <w:t>1.696.000,00</w:t>
            </w:r>
          </w:p>
        </w:tc>
        <w:tc>
          <w:tcPr>
            <w:tcW w:w="1395" w:type="dxa"/>
            <w:tcBorders>
              <w:bottom w:val="single" w:sz="6" w:space="0" w:color="000000"/>
              <w:right w:val="single" w:sz="6" w:space="0" w:color="000000"/>
            </w:tcBorders>
            <w:vAlign w:val="center"/>
          </w:tcPr>
          <w:p w14:paraId="75799163"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3CB711C"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EBF199C" w14:textId="77777777" w:rsidR="007D706A" w:rsidRDefault="007D706A" w:rsidP="00F70508">
            <w:pPr>
              <w:pStyle w:val="ParagraphStyle9"/>
              <w:rPr>
                <w:rStyle w:val="CharacterStyle9"/>
              </w:rPr>
            </w:pPr>
            <w:r>
              <w:rPr>
                <w:rStyle w:val="CharacterStyle9"/>
              </w:rPr>
              <w:t>0,00</w:t>
            </w:r>
          </w:p>
        </w:tc>
      </w:tr>
      <w:tr w:rsidR="007D706A" w14:paraId="6786B6F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9C6B65A"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374E9248"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5C4EAA1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0E06808" w14:textId="77777777" w:rsidR="007D706A" w:rsidRDefault="007D706A" w:rsidP="00F70508">
            <w:pPr>
              <w:pStyle w:val="ParagraphStyle12"/>
              <w:rPr>
                <w:rStyle w:val="CharacterStyle12"/>
              </w:rPr>
            </w:pPr>
            <w:r>
              <w:rPr>
                <w:rStyle w:val="CharacterStyle12"/>
              </w:rPr>
              <w:t>1.696.000,00</w:t>
            </w:r>
          </w:p>
        </w:tc>
        <w:tc>
          <w:tcPr>
            <w:tcW w:w="1395" w:type="dxa"/>
            <w:tcBorders>
              <w:bottom w:val="single" w:sz="6" w:space="0" w:color="000000"/>
              <w:right w:val="single" w:sz="6" w:space="0" w:color="000000"/>
            </w:tcBorders>
            <w:vAlign w:val="center"/>
          </w:tcPr>
          <w:p w14:paraId="4C03EAC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D528F0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34635B1" w14:textId="77777777" w:rsidR="007D706A" w:rsidRDefault="007D706A" w:rsidP="00F70508">
            <w:pPr>
              <w:pStyle w:val="ParagraphStyle12"/>
              <w:rPr>
                <w:rStyle w:val="CharacterStyle12"/>
              </w:rPr>
            </w:pPr>
            <w:r>
              <w:rPr>
                <w:rStyle w:val="CharacterStyle12"/>
              </w:rPr>
              <w:t>0,00</w:t>
            </w:r>
          </w:p>
        </w:tc>
      </w:tr>
      <w:tr w:rsidR="007D706A" w14:paraId="392F76F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6252E44" w14:textId="77777777" w:rsidR="007D706A" w:rsidRDefault="007D706A" w:rsidP="00F70508">
            <w:pPr>
              <w:pStyle w:val="ParagraphStyle10"/>
              <w:rPr>
                <w:rStyle w:val="CharacterStyle10"/>
              </w:rPr>
            </w:pPr>
            <w:r>
              <w:rPr>
                <w:rStyle w:val="CharacterStyle10"/>
              </w:rPr>
              <w:t>31</w:t>
            </w:r>
          </w:p>
        </w:tc>
        <w:tc>
          <w:tcPr>
            <w:tcW w:w="4995" w:type="dxa"/>
            <w:tcBorders>
              <w:bottom w:val="single" w:sz="6" w:space="0" w:color="000000"/>
              <w:right w:val="single" w:sz="6" w:space="0" w:color="000000"/>
            </w:tcBorders>
            <w:vAlign w:val="center"/>
          </w:tcPr>
          <w:p w14:paraId="4B6CC410" w14:textId="77777777" w:rsidR="007D706A" w:rsidRDefault="007D706A" w:rsidP="00F70508">
            <w:pPr>
              <w:pStyle w:val="ParagraphStyle11"/>
              <w:rPr>
                <w:rStyle w:val="CharacterStyle11"/>
              </w:rPr>
            </w:pPr>
            <w:r>
              <w:rPr>
                <w:rStyle w:val="CharacterStyle11"/>
              </w:rPr>
              <w:t>Rashodi za zaposlene</w:t>
            </w:r>
          </w:p>
        </w:tc>
        <w:tc>
          <w:tcPr>
            <w:tcW w:w="1395" w:type="dxa"/>
            <w:tcBorders>
              <w:bottom w:val="single" w:sz="6" w:space="0" w:color="000000"/>
              <w:right w:val="single" w:sz="6" w:space="0" w:color="000000"/>
            </w:tcBorders>
            <w:vAlign w:val="center"/>
          </w:tcPr>
          <w:p w14:paraId="26AA801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600C9DE" w14:textId="77777777" w:rsidR="007D706A" w:rsidRDefault="007D706A" w:rsidP="00F70508">
            <w:pPr>
              <w:pStyle w:val="ParagraphStyle12"/>
              <w:rPr>
                <w:rStyle w:val="CharacterStyle12"/>
              </w:rPr>
            </w:pPr>
            <w:r>
              <w:rPr>
                <w:rStyle w:val="CharacterStyle12"/>
              </w:rPr>
              <w:t>1.637.500,00</w:t>
            </w:r>
          </w:p>
        </w:tc>
        <w:tc>
          <w:tcPr>
            <w:tcW w:w="1395" w:type="dxa"/>
            <w:tcBorders>
              <w:bottom w:val="single" w:sz="6" w:space="0" w:color="000000"/>
              <w:right w:val="single" w:sz="6" w:space="0" w:color="000000"/>
            </w:tcBorders>
            <w:vAlign w:val="center"/>
          </w:tcPr>
          <w:p w14:paraId="174D4FD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BFCF79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2B3722A" w14:textId="77777777" w:rsidR="007D706A" w:rsidRDefault="007D706A" w:rsidP="00F70508">
            <w:pPr>
              <w:pStyle w:val="ParagraphStyle12"/>
              <w:rPr>
                <w:rStyle w:val="CharacterStyle12"/>
              </w:rPr>
            </w:pPr>
            <w:r>
              <w:rPr>
                <w:rStyle w:val="CharacterStyle12"/>
              </w:rPr>
              <w:t>0,00</w:t>
            </w:r>
          </w:p>
        </w:tc>
      </w:tr>
      <w:tr w:rsidR="007D706A" w14:paraId="5237C57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CF3ED66"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64E742B6"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16F7263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2830878" w14:textId="77777777" w:rsidR="007D706A" w:rsidRDefault="007D706A" w:rsidP="00F70508">
            <w:pPr>
              <w:pStyle w:val="ParagraphStyle12"/>
              <w:rPr>
                <w:rStyle w:val="CharacterStyle12"/>
              </w:rPr>
            </w:pPr>
            <w:r>
              <w:rPr>
                <w:rStyle w:val="CharacterStyle12"/>
              </w:rPr>
              <w:t>58.500,00</w:t>
            </w:r>
          </w:p>
        </w:tc>
        <w:tc>
          <w:tcPr>
            <w:tcW w:w="1395" w:type="dxa"/>
            <w:tcBorders>
              <w:bottom w:val="single" w:sz="6" w:space="0" w:color="000000"/>
              <w:right w:val="single" w:sz="6" w:space="0" w:color="000000"/>
            </w:tcBorders>
            <w:vAlign w:val="center"/>
          </w:tcPr>
          <w:p w14:paraId="17E8A54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31A86A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BAC0B3C" w14:textId="77777777" w:rsidR="007D706A" w:rsidRDefault="007D706A" w:rsidP="00F70508">
            <w:pPr>
              <w:pStyle w:val="ParagraphStyle12"/>
              <w:rPr>
                <w:rStyle w:val="CharacterStyle12"/>
              </w:rPr>
            </w:pPr>
            <w:r>
              <w:rPr>
                <w:rStyle w:val="CharacterStyle12"/>
              </w:rPr>
              <w:t>0,00</w:t>
            </w:r>
          </w:p>
        </w:tc>
      </w:tr>
      <w:tr w:rsidR="007D706A" w14:paraId="50D3B93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09FBA81" w14:textId="77777777" w:rsidR="007D706A" w:rsidRDefault="007D706A" w:rsidP="00F70508">
            <w:pPr>
              <w:pStyle w:val="ParagraphStyle7"/>
              <w:rPr>
                <w:rStyle w:val="CharacterStyle7"/>
              </w:rPr>
            </w:pPr>
            <w:r>
              <w:rPr>
                <w:rStyle w:val="CharacterStyle7"/>
              </w:rPr>
              <w:t>Izvor financiranja 53</w:t>
            </w:r>
          </w:p>
        </w:tc>
        <w:tc>
          <w:tcPr>
            <w:tcW w:w="4995" w:type="dxa"/>
            <w:tcBorders>
              <w:bottom w:val="single" w:sz="6" w:space="0" w:color="000000"/>
              <w:right w:val="single" w:sz="6" w:space="0" w:color="000000"/>
            </w:tcBorders>
            <w:vAlign w:val="center"/>
          </w:tcPr>
          <w:p w14:paraId="4AC2B0E4" w14:textId="77777777" w:rsidR="007D706A" w:rsidRDefault="007D706A" w:rsidP="00F70508">
            <w:pPr>
              <w:pStyle w:val="ParagraphStyle8"/>
              <w:rPr>
                <w:rStyle w:val="CharacterStyle8"/>
              </w:rPr>
            </w:pPr>
            <w:r>
              <w:rPr>
                <w:rStyle w:val="CharacterStyle8"/>
              </w:rPr>
              <w:t>Proračuni, drugi nivoi - za posebne i / ili ugovorene namjene</w:t>
            </w:r>
          </w:p>
        </w:tc>
        <w:tc>
          <w:tcPr>
            <w:tcW w:w="1395" w:type="dxa"/>
            <w:tcBorders>
              <w:bottom w:val="single" w:sz="6" w:space="0" w:color="000000"/>
              <w:right w:val="single" w:sz="6" w:space="0" w:color="000000"/>
            </w:tcBorders>
            <w:vAlign w:val="center"/>
          </w:tcPr>
          <w:p w14:paraId="2A09065A"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7457746" w14:textId="77777777" w:rsidR="007D706A" w:rsidRDefault="007D706A" w:rsidP="00F70508">
            <w:pPr>
              <w:pStyle w:val="ParagraphStyle9"/>
              <w:rPr>
                <w:rStyle w:val="CharacterStyle9"/>
              </w:rPr>
            </w:pPr>
            <w:r>
              <w:rPr>
                <w:rStyle w:val="CharacterStyle9"/>
              </w:rPr>
              <w:t>835,00</w:t>
            </w:r>
          </w:p>
        </w:tc>
        <w:tc>
          <w:tcPr>
            <w:tcW w:w="1395" w:type="dxa"/>
            <w:tcBorders>
              <w:bottom w:val="single" w:sz="6" w:space="0" w:color="000000"/>
              <w:right w:val="single" w:sz="6" w:space="0" w:color="000000"/>
            </w:tcBorders>
            <w:vAlign w:val="center"/>
          </w:tcPr>
          <w:p w14:paraId="7EFD8454"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ECA8ACB"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B3B6664" w14:textId="77777777" w:rsidR="007D706A" w:rsidRDefault="007D706A" w:rsidP="00F70508">
            <w:pPr>
              <w:pStyle w:val="ParagraphStyle9"/>
              <w:rPr>
                <w:rStyle w:val="CharacterStyle9"/>
              </w:rPr>
            </w:pPr>
            <w:r>
              <w:rPr>
                <w:rStyle w:val="CharacterStyle9"/>
              </w:rPr>
              <w:t>0,00</w:t>
            </w:r>
          </w:p>
        </w:tc>
      </w:tr>
      <w:tr w:rsidR="007D706A" w14:paraId="127708A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5760165"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7B206E48"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2633C44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AFCD472" w14:textId="77777777" w:rsidR="007D706A" w:rsidRDefault="007D706A" w:rsidP="00F70508">
            <w:pPr>
              <w:pStyle w:val="ParagraphStyle12"/>
              <w:rPr>
                <w:rStyle w:val="CharacterStyle12"/>
              </w:rPr>
            </w:pPr>
            <w:r>
              <w:rPr>
                <w:rStyle w:val="CharacterStyle12"/>
              </w:rPr>
              <w:t>835,00</w:t>
            </w:r>
          </w:p>
        </w:tc>
        <w:tc>
          <w:tcPr>
            <w:tcW w:w="1395" w:type="dxa"/>
            <w:tcBorders>
              <w:bottom w:val="single" w:sz="6" w:space="0" w:color="000000"/>
              <w:right w:val="single" w:sz="6" w:space="0" w:color="000000"/>
            </w:tcBorders>
            <w:vAlign w:val="center"/>
          </w:tcPr>
          <w:p w14:paraId="406EE34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91291D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8716D32" w14:textId="77777777" w:rsidR="007D706A" w:rsidRDefault="007D706A" w:rsidP="00F70508">
            <w:pPr>
              <w:pStyle w:val="ParagraphStyle12"/>
              <w:rPr>
                <w:rStyle w:val="CharacterStyle12"/>
              </w:rPr>
            </w:pPr>
            <w:r>
              <w:rPr>
                <w:rStyle w:val="CharacterStyle12"/>
              </w:rPr>
              <w:t>0,00</w:t>
            </w:r>
          </w:p>
        </w:tc>
      </w:tr>
      <w:tr w:rsidR="007D706A" w14:paraId="17E282F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B94DC2A" w14:textId="77777777" w:rsidR="007D706A" w:rsidRDefault="007D706A" w:rsidP="00F70508">
            <w:pPr>
              <w:pStyle w:val="ParagraphStyle10"/>
              <w:rPr>
                <w:rStyle w:val="CharacterStyle10"/>
              </w:rPr>
            </w:pPr>
            <w:r>
              <w:rPr>
                <w:rStyle w:val="CharacterStyle10"/>
              </w:rPr>
              <w:t>31</w:t>
            </w:r>
          </w:p>
        </w:tc>
        <w:tc>
          <w:tcPr>
            <w:tcW w:w="4995" w:type="dxa"/>
            <w:tcBorders>
              <w:bottom w:val="single" w:sz="6" w:space="0" w:color="000000"/>
              <w:right w:val="single" w:sz="6" w:space="0" w:color="000000"/>
            </w:tcBorders>
            <w:vAlign w:val="center"/>
          </w:tcPr>
          <w:p w14:paraId="18CF391C" w14:textId="77777777" w:rsidR="007D706A" w:rsidRDefault="007D706A" w:rsidP="00F70508">
            <w:pPr>
              <w:pStyle w:val="ParagraphStyle11"/>
              <w:rPr>
                <w:rStyle w:val="CharacterStyle11"/>
              </w:rPr>
            </w:pPr>
            <w:r>
              <w:rPr>
                <w:rStyle w:val="CharacterStyle11"/>
              </w:rPr>
              <w:t>Rashodi za zaposlene</w:t>
            </w:r>
          </w:p>
        </w:tc>
        <w:tc>
          <w:tcPr>
            <w:tcW w:w="1395" w:type="dxa"/>
            <w:tcBorders>
              <w:bottom w:val="single" w:sz="6" w:space="0" w:color="000000"/>
              <w:right w:val="single" w:sz="6" w:space="0" w:color="000000"/>
            </w:tcBorders>
            <w:vAlign w:val="center"/>
          </w:tcPr>
          <w:p w14:paraId="60CEB8C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5932FFC" w14:textId="77777777" w:rsidR="007D706A" w:rsidRDefault="007D706A" w:rsidP="00F70508">
            <w:pPr>
              <w:pStyle w:val="ParagraphStyle12"/>
              <w:rPr>
                <w:rStyle w:val="CharacterStyle12"/>
              </w:rPr>
            </w:pPr>
            <w:r>
              <w:rPr>
                <w:rStyle w:val="CharacterStyle12"/>
              </w:rPr>
              <w:t>525,00</w:t>
            </w:r>
          </w:p>
        </w:tc>
        <w:tc>
          <w:tcPr>
            <w:tcW w:w="1395" w:type="dxa"/>
            <w:tcBorders>
              <w:bottom w:val="single" w:sz="6" w:space="0" w:color="000000"/>
              <w:right w:val="single" w:sz="6" w:space="0" w:color="000000"/>
            </w:tcBorders>
            <w:vAlign w:val="center"/>
          </w:tcPr>
          <w:p w14:paraId="2AA4CF4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FAFE26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98E6C6D" w14:textId="77777777" w:rsidR="007D706A" w:rsidRDefault="007D706A" w:rsidP="00F70508">
            <w:pPr>
              <w:pStyle w:val="ParagraphStyle12"/>
              <w:rPr>
                <w:rStyle w:val="CharacterStyle12"/>
              </w:rPr>
            </w:pPr>
            <w:r>
              <w:rPr>
                <w:rStyle w:val="CharacterStyle12"/>
              </w:rPr>
              <w:t>0,00</w:t>
            </w:r>
          </w:p>
        </w:tc>
      </w:tr>
      <w:tr w:rsidR="007D706A" w14:paraId="4BB1C08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7C710C0"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5ADA797A"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0A73347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0B03F01" w14:textId="77777777" w:rsidR="007D706A" w:rsidRDefault="007D706A" w:rsidP="00F70508">
            <w:pPr>
              <w:pStyle w:val="ParagraphStyle12"/>
              <w:rPr>
                <w:rStyle w:val="CharacterStyle12"/>
              </w:rPr>
            </w:pPr>
            <w:r>
              <w:rPr>
                <w:rStyle w:val="CharacterStyle12"/>
              </w:rPr>
              <w:t>310,00</w:t>
            </w:r>
          </w:p>
        </w:tc>
        <w:tc>
          <w:tcPr>
            <w:tcW w:w="1395" w:type="dxa"/>
            <w:tcBorders>
              <w:bottom w:val="single" w:sz="6" w:space="0" w:color="000000"/>
              <w:right w:val="single" w:sz="6" w:space="0" w:color="000000"/>
            </w:tcBorders>
            <w:vAlign w:val="center"/>
          </w:tcPr>
          <w:p w14:paraId="046DBC5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0DE36B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7E4B2F1" w14:textId="77777777" w:rsidR="007D706A" w:rsidRDefault="007D706A" w:rsidP="00F70508">
            <w:pPr>
              <w:pStyle w:val="ParagraphStyle12"/>
              <w:rPr>
                <w:rStyle w:val="CharacterStyle12"/>
              </w:rPr>
            </w:pPr>
            <w:r>
              <w:rPr>
                <w:rStyle w:val="CharacterStyle12"/>
              </w:rPr>
              <w:t>0,00</w:t>
            </w:r>
          </w:p>
        </w:tc>
      </w:tr>
      <w:tr w:rsidR="007D706A" w14:paraId="017F9F5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D343AB5" w14:textId="77777777" w:rsidR="007D706A" w:rsidRDefault="007D706A" w:rsidP="00F70508">
            <w:pPr>
              <w:pStyle w:val="ParagraphStyle4"/>
              <w:rPr>
                <w:rStyle w:val="CharacterStyle4"/>
              </w:rPr>
            </w:pPr>
            <w:r>
              <w:rPr>
                <w:rStyle w:val="CharacterStyle4"/>
              </w:rPr>
              <w:t>Aktivnost A103611</w:t>
            </w:r>
          </w:p>
        </w:tc>
        <w:tc>
          <w:tcPr>
            <w:tcW w:w="4995" w:type="dxa"/>
            <w:tcBorders>
              <w:bottom w:val="single" w:sz="6" w:space="0" w:color="000000"/>
              <w:right w:val="single" w:sz="6" w:space="0" w:color="000000"/>
            </w:tcBorders>
            <w:vAlign w:val="center"/>
          </w:tcPr>
          <w:p w14:paraId="57BD2405" w14:textId="77777777" w:rsidR="007D706A" w:rsidRDefault="007D706A" w:rsidP="00F70508">
            <w:pPr>
              <w:pStyle w:val="ParagraphStyle5"/>
              <w:rPr>
                <w:rStyle w:val="CharacterStyle5"/>
              </w:rPr>
            </w:pPr>
            <w:r>
              <w:rPr>
                <w:rStyle w:val="CharacterStyle5"/>
              </w:rPr>
              <w:t>MATERIJALNI RASHODI PO OSNOVI DODATNIH STANDARDA</w:t>
            </w:r>
          </w:p>
        </w:tc>
        <w:tc>
          <w:tcPr>
            <w:tcW w:w="1395" w:type="dxa"/>
            <w:tcBorders>
              <w:bottom w:val="single" w:sz="6" w:space="0" w:color="000000"/>
              <w:right w:val="single" w:sz="6" w:space="0" w:color="000000"/>
            </w:tcBorders>
            <w:vAlign w:val="center"/>
          </w:tcPr>
          <w:p w14:paraId="0E1BADCF"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56E79772" w14:textId="77777777" w:rsidR="007D706A" w:rsidRDefault="007D706A" w:rsidP="00F70508">
            <w:pPr>
              <w:pStyle w:val="ParagraphStyle6"/>
              <w:rPr>
                <w:rStyle w:val="CharacterStyle6"/>
              </w:rPr>
            </w:pPr>
            <w:r>
              <w:rPr>
                <w:rStyle w:val="CharacterStyle6"/>
              </w:rPr>
              <w:t>25.000,00</w:t>
            </w:r>
          </w:p>
        </w:tc>
        <w:tc>
          <w:tcPr>
            <w:tcW w:w="1395" w:type="dxa"/>
            <w:tcBorders>
              <w:bottom w:val="single" w:sz="6" w:space="0" w:color="000000"/>
              <w:right w:val="single" w:sz="6" w:space="0" w:color="000000"/>
            </w:tcBorders>
            <w:vAlign w:val="center"/>
          </w:tcPr>
          <w:p w14:paraId="0DA9C191" w14:textId="77777777" w:rsidR="007D706A" w:rsidRDefault="007D706A" w:rsidP="00F70508">
            <w:pPr>
              <w:pStyle w:val="ParagraphStyle6"/>
              <w:rPr>
                <w:rStyle w:val="CharacterStyle6"/>
              </w:rPr>
            </w:pPr>
            <w:r>
              <w:rPr>
                <w:rStyle w:val="CharacterStyle6"/>
              </w:rPr>
              <w:t>25.000,00</w:t>
            </w:r>
          </w:p>
        </w:tc>
        <w:tc>
          <w:tcPr>
            <w:tcW w:w="1395" w:type="dxa"/>
            <w:tcBorders>
              <w:bottom w:val="single" w:sz="6" w:space="0" w:color="000000"/>
              <w:right w:val="single" w:sz="6" w:space="0" w:color="000000"/>
            </w:tcBorders>
            <w:vAlign w:val="center"/>
          </w:tcPr>
          <w:p w14:paraId="44738049" w14:textId="77777777" w:rsidR="007D706A" w:rsidRDefault="007D706A" w:rsidP="00F70508">
            <w:pPr>
              <w:pStyle w:val="ParagraphStyle6"/>
              <w:rPr>
                <w:rStyle w:val="CharacterStyle6"/>
              </w:rPr>
            </w:pPr>
            <w:r>
              <w:rPr>
                <w:rStyle w:val="CharacterStyle6"/>
              </w:rPr>
              <w:t>26.000,00</w:t>
            </w:r>
          </w:p>
        </w:tc>
        <w:tc>
          <w:tcPr>
            <w:tcW w:w="1395" w:type="dxa"/>
            <w:tcBorders>
              <w:bottom w:val="single" w:sz="6" w:space="0" w:color="000000"/>
              <w:right w:val="single" w:sz="6" w:space="0" w:color="000000"/>
            </w:tcBorders>
            <w:vAlign w:val="center"/>
          </w:tcPr>
          <w:p w14:paraId="1E0D5B98" w14:textId="77777777" w:rsidR="007D706A" w:rsidRDefault="007D706A" w:rsidP="00F70508">
            <w:pPr>
              <w:pStyle w:val="ParagraphStyle6"/>
              <w:rPr>
                <w:rStyle w:val="CharacterStyle6"/>
              </w:rPr>
            </w:pPr>
            <w:r>
              <w:rPr>
                <w:rStyle w:val="CharacterStyle6"/>
              </w:rPr>
              <w:t>26.261,00</w:t>
            </w:r>
          </w:p>
        </w:tc>
      </w:tr>
      <w:tr w:rsidR="007D706A" w14:paraId="55D182C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810FDF7"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5EEB9E08"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101A922E"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666B4D8" w14:textId="77777777" w:rsidR="007D706A" w:rsidRDefault="007D706A" w:rsidP="00F70508">
            <w:pPr>
              <w:pStyle w:val="ParagraphStyle9"/>
              <w:rPr>
                <w:rStyle w:val="CharacterStyle9"/>
              </w:rPr>
            </w:pPr>
            <w:r>
              <w:rPr>
                <w:rStyle w:val="CharacterStyle9"/>
              </w:rPr>
              <w:t>25.000,00</w:t>
            </w:r>
          </w:p>
        </w:tc>
        <w:tc>
          <w:tcPr>
            <w:tcW w:w="1395" w:type="dxa"/>
            <w:tcBorders>
              <w:bottom w:val="single" w:sz="6" w:space="0" w:color="000000"/>
              <w:right w:val="single" w:sz="6" w:space="0" w:color="000000"/>
            </w:tcBorders>
            <w:vAlign w:val="center"/>
          </w:tcPr>
          <w:p w14:paraId="0D349CE9" w14:textId="77777777" w:rsidR="007D706A" w:rsidRDefault="007D706A" w:rsidP="00F70508">
            <w:pPr>
              <w:pStyle w:val="ParagraphStyle9"/>
              <w:rPr>
                <w:rStyle w:val="CharacterStyle9"/>
              </w:rPr>
            </w:pPr>
            <w:r>
              <w:rPr>
                <w:rStyle w:val="CharacterStyle9"/>
              </w:rPr>
              <w:t>25.000,00</w:t>
            </w:r>
          </w:p>
        </w:tc>
        <w:tc>
          <w:tcPr>
            <w:tcW w:w="1395" w:type="dxa"/>
            <w:tcBorders>
              <w:bottom w:val="single" w:sz="6" w:space="0" w:color="000000"/>
              <w:right w:val="single" w:sz="6" w:space="0" w:color="000000"/>
            </w:tcBorders>
            <w:vAlign w:val="center"/>
          </w:tcPr>
          <w:p w14:paraId="36745356" w14:textId="77777777" w:rsidR="007D706A" w:rsidRDefault="007D706A" w:rsidP="00F70508">
            <w:pPr>
              <w:pStyle w:val="ParagraphStyle9"/>
              <w:rPr>
                <w:rStyle w:val="CharacterStyle9"/>
              </w:rPr>
            </w:pPr>
            <w:r>
              <w:rPr>
                <w:rStyle w:val="CharacterStyle9"/>
              </w:rPr>
              <w:t>26.000,00</w:t>
            </w:r>
          </w:p>
        </w:tc>
        <w:tc>
          <w:tcPr>
            <w:tcW w:w="1395" w:type="dxa"/>
            <w:tcBorders>
              <w:bottom w:val="single" w:sz="6" w:space="0" w:color="000000"/>
              <w:right w:val="single" w:sz="6" w:space="0" w:color="000000"/>
            </w:tcBorders>
            <w:vAlign w:val="center"/>
          </w:tcPr>
          <w:p w14:paraId="27ADE907" w14:textId="77777777" w:rsidR="007D706A" w:rsidRDefault="007D706A" w:rsidP="00F70508">
            <w:pPr>
              <w:pStyle w:val="ParagraphStyle9"/>
              <w:rPr>
                <w:rStyle w:val="CharacterStyle9"/>
              </w:rPr>
            </w:pPr>
            <w:r>
              <w:rPr>
                <w:rStyle w:val="CharacterStyle9"/>
              </w:rPr>
              <w:t>26.261,00</w:t>
            </w:r>
          </w:p>
        </w:tc>
      </w:tr>
      <w:tr w:rsidR="007D706A" w14:paraId="15C4E24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1926F25"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49BEC565"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36A77D3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27AC845" w14:textId="77777777" w:rsidR="007D706A" w:rsidRDefault="007D706A" w:rsidP="00F70508">
            <w:pPr>
              <w:pStyle w:val="ParagraphStyle12"/>
              <w:rPr>
                <w:rStyle w:val="CharacterStyle12"/>
              </w:rPr>
            </w:pPr>
            <w:r>
              <w:rPr>
                <w:rStyle w:val="CharacterStyle12"/>
              </w:rPr>
              <w:t>25.000,00</w:t>
            </w:r>
          </w:p>
        </w:tc>
        <w:tc>
          <w:tcPr>
            <w:tcW w:w="1395" w:type="dxa"/>
            <w:tcBorders>
              <w:bottom w:val="single" w:sz="6" w:space="0" w:color="000000"/>
              <w:right w:val="single" w:sz="6" w:space="0" w:color="000000"/>
            </w:tcBorders>
            <w:vAlign w:val="center"/>
          </w:tcPr>
          <w:p w14:paraId="4B61E87D" w14:textId="77777777" w:rsidR="007D706A" w:rsidRDefault="007D706A" w:rsidP="00F70508">
            <w:pPr>
              <w:pStyle w:val="ParagraphStyle12"/>
              <w:rPr>
                <w:rStyle w:val="CharacterStyle12"/>
              </w:rPr>
            </w:pPr>
            <w:r>
              <w:rPr>
                <w:rStyle w:val="CharacterStyle12"/>
              </w:rPr>
              <w:t>25.000,00</w:t>
            </w:r>
          </w:p>
        </w:tc>
        <w:tc>
          <w:tcPr>
            <w:tcW w:w="1395" w:type="dxa"/>
            <w:tcBorders>
              <w:bottom w:val="single" w:sz="6" w:space="0" w:color="000000"/>
              <w:right w:val="single" w:sz="6" w:space="0" w:color="000000"/>
            </w:tcBorders>
            <w:vAlign w:val="center"/>
          </w:tcPr>
          <w:p w14:paraId="0620F30F" w14:textId="77777777" w:rsidR="007D706A" w:rsidRDefault="007D706A" w:rsidP="00F70508">
            <w:pPr>
              <w:pStyle w:val="ParagraphStyle12"/>
              <w:rPr>
                <w:rStyle w:val="CharacterStyle12"/>
              </w:rPr>
            </w:pPr>
            <w:r>
              <w:rPr>
                <w:rStyle w:val="CharacterStyle12"/>
              </w:rPr>
              <w:t>26.000,00</w:t>
            </w:r>
          </w:p>
        </w:tc>
        <w:tc>
          <w:tcPr>
            <w:tcW w:w="1395" w:type="dxa"/>
            <w:tcBorders>
              <w:bottom w:val="single" w:sz="6" w:space="0" w:color="000000"/>
              <w:right w:val="single" w:sz="6" w:space="0" w:color="000000"/>
            </w:tcBorders>
            <w:vAlign w:val="center"/>
          </w:tcPr>
          <w:p w14:paraId="39192C4A" w14:textId="77777777" w:rsidR="007D706A" w:rsidRDefault="007D706A" w:rsidP="00F70508">
            <w:pPr>
              <w:pStyle w:val="ParagraphStyle12"/>
              <w:rPr>
                <w:rStyle w:val="CharacterStyle12"/>
              </w:rPr>
            </w:pPr>
            <w:r>
              <w:rPr>
                <w:rStyle w:val="CharacterStyle12"/>
              </w:rPr>
              <w:t>26.261,00</w:t>
            </w:r>
          </w:p>
        </w:tc>
      </w:tr>
      <w:tr w:rsidR="007D706A" w14:paraId="3F7FF6E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D2AB8DB"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2B028054"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1A01D70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3A31071" w14:textId="77777777" w:rsidR="007D706A" w:rsidRDefault="007D706A" w:rsidP="00F70508">
            <w:pPr>
              <w:pStyle w:val="ParagraphStyle12"/>
              <w:rPr>
                <w:rStyle w:val="CharacterStyle12"/>
              </w:rPr>
            </w:pPr>
            <w:r>
              <w:rPr>
                <w:rStyle w:val="CharacterStyle12"/>
              </w:rPr>
              <w:t>24.800,00</w:t>
            </w:r>
          </w:p>
        </w:tc>
        <w:tc>
          <w:tcPr>
            <w:tcW w:w="1395" w:type="dxa"/>
            <w:tcBorders>
              <w:bottom w:val="single" w:sz="6" w:space="0" w:color="000000"/>
              <w:right w:val="single" w:sz="6" w:space="0" w:color="000000"/>
            </w:tcBorders>
            <w:vAlign w:val="center"/>
          </w:tcPr>
          <w:p w14:paraId="31BAA448" w14:textId="77777777" w:rsidR="007D706A" w:rsidRDefault="007D706A" w:rsidP="00F70508">
            <w:pPr>
              <w:pStyle w:val="ParagraphStyle12"/>
              <w:rPr>
                <w:rStyle w:val="CharacterStyle12"/>
              </w:rPr>
            </w:pPr>
            <w:r>
              <w:rPr>
                <w:rStyle w:val="CharacterStyle12"/>
              </w:rPr>
              <w:t>24.800,00</w:t>
            </w:r>
          </w:p>
        </w:tc>
        <w:tc>
          <w:tcPr>
            <w:tcW w:w="1395" w:type="dxa"/>
            <w:tcBorders>
              <w:bottom w:val="single" w:sz="6" w:space="0" w:color="000000"/>
              <w:right w:val="single" w:sz="6" w:space="0" w:color="000000"/>
            </w:tcBorders>
            <w:vAlign w:val="center"/>
          </w:tcPr>
          <w:p w14:paraId="603D20D7" w14:textId="77777777" w:rsidR="007D706A" w:rsidRDefault="007D706A" w:rsidP="00F70508">
            <w:pPr>
              <w:pStyle w:val="ParagraphStyle12"/>
              <w:rPr>
                <w:rStyle w:val="CharacterStyle12"/>
              </w:rPr>
            </w:pPr>
            <w:r>
              <w:rPr>
                <w:rStyle w:val="CharacterStyle12"/>
              </w:rPr>
              <w:t>25.792,00</w:t>
            </w:r>
          </w:p>
        </w:tc>
        <w:tc>
          <w:tcPr>
            <w:tcW w:w="1395" w:type="dxa"/>
            <w:tcBorders>
              <w:bottom w:val="single" w:sz="6" w:space="0" w:color="000000"/>
              <w:right w:val="single" w:sz="6" w:space="0" w:color="000000"/>
            </w:tcBorders>
            <w:vAlign w:val="center"/>
          </w:tcPr>
          <w:p w14:paraId="2421CB46" w14:textId="77777777" w:rsidR="007D706A" w:rsidRDefault="007D706A" w:rsidP="00F70508">
            <w:pPr>
              <w:pStyle w:val="ParagraphStyle12"/>
              <w:rPr>
                <w:rStyle w:val="CharacterStyle12"/>
              </w:rPr>
            </w:pPr>
            <w:r>
              <w:rPr>
                <w:rStyle w:val="CharacterStyle12"/>
              </w:rPr>
              <w:t>26.051,00</w:t>
            </w:r>
          </w:p>
        </w:tc>
      </w:tr>
      <w:tr w:rsidR="007D706A" w14:paraId="2953E08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B2EBCED" w14:textId="77777777" w:rsidR="007D706A" w:rsidRDefault="007D706A" w:rsidP="00F70508">
            <w:pPr>
              <w:pStyle w:val="ParagraphStyle10"/>
              <w:rPr>
                <w:rStyle w:val="CharacterStyle10"/>
              </w:rPr>
            </w:pPr>
            <w:r>
              <w:rPr>
                <w:rStyle w:val="CharacterStyle10"/>
              </w:rPr>
              <w:t>34</w:t>
            </w:r>
          </w:p>
        </w:tc>
        <w:tc>
          <w:tcPr>
            <w:tcW w:w="4995" w:type="dxa"/>
            <w:tcBorders>
              <w:bottom w:val="single" w:sz="6" w:space="0" w:color="000000"/>
              <w:right w:val="single" w:sz="6" w:space="0" w:color="000000"/>
            </w:tcBorders>
            <w:vAlign w:val="center"/>
          </w:tcPr>
          <w:p w14:paraId="3B12A9DD" w14:textId="77777777" w:rsidR="007D706A" w:rsidRDefault="007D706A" w:rsidP="00F70508">
            <w:pPr>
              <w:pStyle w:val="ParagraphStyle11"/>
              <w:rPr>
                <w:rStyle w:val="CharacterStyle11"/>
              </w:rPr>
            </w:pPr>
            <w:r>
              <w:rPr>
                <w:rStyle w:val="CharacterStyle11"/>
              </w:rPr>
              <w:t>Financijski rashodi</w:t>
            </w:r>
          </w:p>
        </w:tc>
        <w:tc>
          <w:tcPr>
            <w:tcW w:w="1395" w:type="dxa"/>
            <w:tcBorders>
              <w:bottom w:val="single" w:sz="6" w:space="0" w:color="000000"/>
              <w:right w:val="single" w:sz="6" w:space="0" w:color="000000"/>
            </w:tcBorders>
            <w:vAlign w:val="center"/>
          </w:tcPr>
          <w:p w14:paraId="560B4DF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ABBC06D" w14:textId="77777777" w:rsidR="007D706A" w:rsidRDefault="007D706A" w:rsidP="00F70508">
            <w:pPr>
              <w:pStyle w:val="ParagraphStyle12"/>
              <w:rPr>
                <w:rStyle w:val="CharacterStyle12"/>
              </w:rPr>
            </w:pPr>
            <w:r>
              <w:rPr>
                <w:rStyle w:val="CharacterStyle12"/>
              </w:rPr>
              <w:t>200,00</w:t>
            </w:r>
          </w:p>
        </w:tc>
        <w:tc>
          <w:tcPr>
            <w:tcW w:w="1395" w:type="dxa"/>
            <w:tcBorders>
              <w:bottom w:val="single" w:sz="6" w:space="0" w:color="000000"/>
              <w:right w:val="single" w:sz="6" w:space="0" w:color="000000"/>
            </w:tcBorders>
            <w:vAlign w:val="center"/>
          </w:tcPr>
          <w:p w14:paraId="5FD1BD15" w14:textId="77777777" w:rsidR="007D706A" w:rsidRDefault="007D706A" w:rsidP="00F70508">
            <w:pPr>
              <w:pStyle w:val="ParagraphStyle12"/>
              <w:rPr>
                <w:rStyle w:val="CharacterStyle12"/>
              </w:rPr>
            </w:pPr>
            <w:r>
              <w:rPr>
                <w:rStyle w:val="CharacterStyle12"/>
              </w:rPr>
              <w:t>200,00</w:t>
            </w:r>
          </w:p>
        </w:tc>
        <w:tc>
          <w:tcPr>
            <w:tcW w:w="1395" w:type="dxa"/>
            <w:tcBorders>
              <w:bottom w:val="single" w:sz="6" w:space="0" w:color="000000"/>
              <w:right w:val="single" w:sz="6" w:space="0" w:color="000000"/>
            </w:tcBorders>
            <w:vAlign w:val="center"/>
          </w:tcPr>
          <w:p w14:paraId="0C4FC445" w14:textId="77777777" w:rsidR="007D706A" w:rsidRDefault="007D706A" w:rsidP="00F70508">
            <w:pPr>
              <w:pStyle w:val="ParagraphStyle12"/>
              <w:rPr>
                <w:rStyle w:val="CharacterStyle12"/>
              </w:rPr>
            </w:pPr>
            <w:r>
              <w:rPr>
                <w:rStyle w:val="CharacterStyle12"/>
              </w:rPr>
              <w:t>208,00</w:t>
            </w:r>
          </w:p>
        </w:tc>
        <w:tc>
          <w:tcPr>
            <w:tcW w:w="1395" w:type="dxa"/>
            <w:tcBorders>
              <w:bottom w:val="single" w:sz="6" w:space="0" w:color="000000"/>
              <w:right w:val="single" w:sz="6" w:space="0" w:color="000000"/>
            </w:tcBorders>
            <w:vAlign w:val="center"/>
          </w:tcPr>
          <w:p w14:paraId="6B294549" w14:textId="77777777" w:rsidR="007D706A" w:rsidRDefault="007D706A" w:rsidP="00F70508">
            <w:pPr>
              <w:pStyle w:val="ParagraphStyle12"/>
              <w:rPr>
                <w:rStyle w:val="CharacterStyle12"/>
              </w:rPr>
            </w:pPr>
            <w:r>
              <w:rPr>
                <w:rStyle w:val="CharacterStyle12"/>
              </w:rPr>
              <w:t>210,00</w:t>
            </w:r>
          </w:p>
        </w:tc>
      </w:tr>
      <w:tr w:rsidR="007D706A" w14:paraId="24E34956"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1D9812C" w14:textId="77777777" w:rsidR="007D706A" w:rsidRDefault="007D706A" w:rsidP="00F70508">
            <w:pPr>
              <w:pStyle w:val="ParagraphStyle4"/>
              <w:rPr>
                <w:rStyle w:val="CharacterStyle4"/>
              </w:rPr>
            </w:pPr>
            <w:r>
              <w:rPr>
                <w:rStyle w:val="CharacterStyle4"/>
              </w:rPr>
              <w:t>Aktivnost A103607</w:t>
            </w:r>
          </w:p>
        </w:tc>
        <w:tc>
          <w:tcPr>
            <w:tcW w:w="4995" w:type="dxa"/>
            <w:tcBorders>
              <w:bottom w:val="single" w:sz="6" w:space="0" w:color="000000"/>
              <w:right w:val="single" w:sz="6" w:space="0" w:color="000000"/>
            </w:tcBorders>
            <w:vAlign w:val="center"/>
          </w:tcPr>
          <w:p w14:paraId="603D3E90" w14:textId="77777777" w:rsidR="007D706A" w:rsidRDefault="007D706A" w:rsidP="00F70508">
            <w:pPr>
              <w:pStyle w:val="ParagraphStyle5"/>
              <w:rPr>
                <w:rStyle w:val="CharacterStyle5"/>
              </w:rPr>
            </w:pPr>
            <w:r>
              <w:rPr>
                <w:rStyle w:val="CharacterStyle5"/>
              </w:rPr>
              <w:t>NASTAVA TJELESNE I ZDRAVSTVENE KULTURE</w:t>
            </w:r>
          </w:p>
        </w:tc>
        <w:tc>
          <w:tcPr>
            <w:tcW w:w="1395" w:type="dxa"/>
            <w:tcBorders>
              <w:bottom w:val="single" w:sz="6" w:space="0" w:color="000000"/>
              <w:right w:val="single" w:sz="6" w:space="0" w:color="000000"/>
            </w:tcBorders>
            <w:vAlign w:val="center"/>
          </w:tcPr>
          <w:p w14:paraId="28960264"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1DE67545" w14:textId="77777777" w:rsidR="007D706A" w:rsidRDefault="007D706A" w:rsidP="00F70508">
            <w:pPr>
              <w:pStyle w:val="ParagraphStyle6"/>
              <w:rPr>
                <w:rStyle w:val="CharacterStyle6"/>
              </w:rPr>
            </w:pPr>
            <w:r>
              <w:rPr>
                <w:rStyle w:val="CharacterStyle6"/>
              </w:rPr>
              <w:t>34.500,00</w:t>
            </w:r>
          </w:p>
        </w:tc>
        <w:tc>
          <w:tcPr>
            <w:tcW w:w="1395" w:type="dxa"/>
            <w:tcBorders>
              <w:bottom w:val="single" w:sz="6" w:space="0" w:color="000000"/>
              <w:right w:val="single" w:sz="6" w:space="0" w:color="000000"/>
            </w:tcBorders>
            <w:vAlign w:val="center"/>
          </w:tcPr>
          <w:p w14:paraId="2D2DA1B9" w14:textId="77777777" w:rsidR="007D706A" w:rsidRDefault="007D706A" w:rsidP="00F70508">
            <w:pPr>
              <w:pStyle w:val="ParagraphStyle6"/>
              <w:rPr>
                <w:rStyle w:val="CharacterStyle6"/>
              </w:rPr>
            </w:pPr>
            <w:r>
              <w:rPr>
                <w:rStyle w:val="CharacterStyle6"/>
              </w:rPr>
              <w:t>33.300,00</w:t>
            </w:r>
          </w:p>
        </w:tc>
        <w:tc>
          <w:tcPr>
            <w:tcW w:w="1395" w:type="dxa"/>
            <w:tcBorders>
              <w:bottom w:val="single" w:sz="6" w:space="0" w:color="000000"/>
              <w:right w:val="single" w:sz="6" w:space="0" w:color="000000"/>
            </w:tcBorders>
            <w:vAlign w:val="center"/>
          </w:tcPr>
          <w:p w14:paraId="4AA1FEE3" w14:textId="77777777" w:rsidR="007D706A" w:rsidRDefault="007D706A" w:rsidP="00F70508">
            <w:pPr>
              <w:pStyle w:val="ParagraphStyle6"/>
              <w:rPr>
                <w:rStyle w:val="CharacterStyle6"/>
              </w:rPr>
            </w:pPr>
            <w:r>
              <w:rPr>
                <w:rStyle w:val="CharacterStyle6"/>
              </w:rPr>
              <w:t>34.632,00</w:t>
            </w:r>
          </w:p>
        </w:tc>
        <w:tc>
          <w:tcPr>
            <w:tcW w:w="1395" w:type="dxa"/>
            <w:tcBorders>
              <w:bottom w:val="single" w:sz="6" w:space="0" w:color="000000"/>
              <w:right w:val="single" w:sz="6" w:space="0" w:color="000000"/>
            </w:tcBorders>
            <w:vAlign w:val="center"/>
          </w:tcPr>
          <w:p w14:paraId="43BC2BA6" w14:textId="77777777" w:rsidR="007D706A" w:rsidRDefault="007D706A" w:rsidP="00F70508">
            <w:pPr>
              <w:pStyle w:val="ParagraphStyle6"/>
              <w:rPr>
                <w:rStyle w:val="CharacterStyle6"/>
              </w:rPr>
            </w:pPr>
            <w:r>
              <w:rPr>
                <w:rStyle w:val="CharacterStyle6"/>
              </w:rPr>
              <w:t>34.979,00</w:t>
            </w:r>
          </w:p>
        </w:tc>
      </w:tr>
      <w:tr w:rsidR="007D706A" w14:paraId="5F297CB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E812D67"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7CB794FE"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29DBC68A"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F5C761E" w14:textId="77777777" w:rsidR="007D706A" w:rsidRDefault="007D706A" w:rsidP="00F70508">
            <w:pPr>
              <w:pStyle w:val="ParagraphStyle9"/>
              <w:rPr>
                <w:rStyle w:val="CharacterStyle9"/>
              </w:rPr>
            </w:pPr>
            <w:r>
              <w:rPr>
                <w:rStyle w:val="CharacterStyle9"/>
              </w:rPr>
              <w:t>34.500,00</w:t>
            </w:r>
          </w:p>
        </w:tc>
        <w:tc>
          <w:tcPr>
            <w:tcW w:w="1395" w:type="dxa"/>
            <w:tcBorders>
              <w:bottom w:val="single" w:sz="6" w:space="0" w:color="000000"/>
              <w:right w:val="single" w:sz="6" w:space="0" w:color="000000"/>
            </w:tcBorders>
            <w:vAlign w:val="center"/>
          </w:tcPr>
          <w:p w14:paraId="492C62DF" w14:textId="77777777" w:rsidR="007D706A" w:rsidRDefault="007D706A" w:rsidP="00F70508">
            <w:pPr>
              <w:pStyle w:val="ParagraphStyle9"/>
              <w:rPr>
                <w:rStyle w:val="CharacterStyle9"/>
              </w:rPr>
            </w:pPr>
            <w:r>
              <w:rPr>
                <w:rStyle w:val="CharacterStyle9"/>
              </w:rPr>
              <w:t>33.300,00</w:t>
            </w:r>
          </w:p>
        </w:tc>
        <w:tc>
          <w:tcPr>
            <w:tcW w:w="1395" w:type="dxa"/>
            <w:tcBorders>
              <w:bottom w:val="single" w:sz="6" w:space="0" w:color="000000"/>
              <w:right w:val="single" w:sz="6" w:space="0" w:color="000000"/>
            </w:tcBorders>
            <w:vAlign w:val="center"/>
          </w:tcPr>
          <w:p w14:paraId="46D9D629" w14:textId="77777777" w:rsidR="007D706A" w:rsidRDefault="007D706A" w:rsidP="00F70508">
            <w:pPr>
              <w:pStyle w:val="ParagraphStyle9"/>
              <w:rPr>
                <w:rStyle w:val="CharacterStyle9"/>
              </w:rPr>
            </w:pPr>
            <w:r>
              <w:rPr>
                <w:rStyle w:val="CharacterStyle9"/>
              </w:rPr>
              <w:t>34.632,00</w:t>
            </w:r>
          </w:p>
        </w:tc>
        <w:tc>
          <w:tcPr>
            <w:tcW w:w="1395" w:type="dxa"/>
            <w:tcBorders>
              <w:bottom w:val="single" w:sz="6" w:space="0" w:color="000000"/>
              <w:right w:val="single" w:sz="6" w:space="0" w:color="000000"/>
            </w:tcBorders>
            <w:vAlign w:val="center"/>
          </w:tcPr>
          <w:p w14:paraId="2DF9B1DF" w14:textId="77777777" w:rsidR="007D706A" w:rsidRDefault="007D706A" w:rsidP="00F70508">
            <w:pPr>
              <w:pStyle w:val="ParagraphStyle9"/>
              <w:rPr>
                <w:rStyle w:val="CharacterStyle9"/>
              </w:rPr>
            </w:pPr>
            <w:r>
              <w:rPr>
                <w:rStyle w:val="CharacterStyle9"/>
              </w:rPr>
              <w:t>34.979,00</w:t>
            </w:r>
          </w:p>
        </w:tc>
      </w:tr>
      <w:tr w:rsidR="007D706A" w14:paraId="22009BB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5A28E56"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583B5DDF"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788D0BA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605D99E" w14:textId="77777777" w:rsidR="007D706A" w:rsidRDefault="007D706A" w:rsidP="00F70508">
            <w:pPr>
              <w:pStyle w:val="ParagraphStyle12"/>
              <w:rPr>
                <w:rStyle w:val="CharacterStyle12"/>
              </w:rPr>
            </w:pPr>
            <w:r>
              <w:rPr>
                <w:rStyle w:val="CharacterStyle12"/>
              </w:rPr>
              <w:t>34.500,00</w:t>
            </w:r>
          </w:p>
        </w:tc>
        <w:tc>
          <w:tcPr>
            <w:tcW w:w="1395" w:type="dxa"/>
            <w:tcBorders>
              <w:bottom w:val="single" w:sz="6" w:space="0" w:color="000000"/>
              <w:right w:val="single" w:sz="6" w:space="0" w:color="000000"/>
            </w:tcBorders>
            <w:vAlign w:val="center"/>
          </w:tcPr>
          <w:p w14:paraId="397A6049" w14:textId="77777777" w:rsidR="007D706A" w:rsidRDefault="007D706A" w:rsidP="00F70508">
            <w:pPr>
              <w:pStyle w:val="ParagraphStyle12"/>
              <w:rPr>
                <w:rStyle w:val="CharacterStyle12"/>
              </w:rPr>
            </w:pPr>
            <w:r>
              <w:rPr>
                <w:rStyle w:val="CharacterStyle12"/>
              </w:rPr>
              <w:t>33.300,00</w:t>
            </w:r>
          </w:p>
        </w:tc>
        <w:tc>
          <w:tcPr>
            <w:tcW w:w="1395" w:type="dxa"/>
            <w:tcBorders>
              <w:bottom w:val="single" w:sz="6" w:space="0" w:color="000000"/>
              <w:right w:val="single" w:sz="6" w:space="0" w:color="000000"/>
            </w:tcBorders>
            <w:vAlign w:val="center"/>
          </w:tcPr>
          <w:p w14:paraId="26CC9ADA" w14:textId="77777777" w:rsidR="007D706A" w:rsidRDefault="007D706A" w:rsidP="00F70508">
            <w:pPr>
              <w:pStyle w:val="ParagraphStyle12"/>
              <w:rPr>
                <w:rStyle w:val="CharacterStyle12"/>
              </w:rPr>
            </w:pPr>
            <w:r>
              <w:rPr>
                <w:rStyle w:val="CharacterStyle12"/>
              </w:rPr>
              <w:t>34.632,00</w:t>
            </w:r>
          </w:p>
        </w:tc>
        <w:tc>
          <w:tcPr>
            <w:tcW w:w="1395" w:type="dxa"/>
            <w:tcBorders>
              <w:bottom w:val="single" w:sz="6" w:space="0" w:color="000000"/>
              <w:right w:val="single" w:sz="6" w:space="0" w:color="000000"/>
            </w:tcBorders>
            <w:vAlign w:val="center"/>
          </w:tcPr>
          <w:p w14:paraId="125D57DE" w14:textId="77777777" w:rsidR="007D706A" w:rsidRDefault="007D706A" w:rsidP="00F70508">
            <w:pPr>
              <w:pStyle w:val="ParagraphStyle12"/>
              <w:rPr>
                <w:rStyle w:val="CharacterStyle12"/>
              </w:rPr>
            </w:pPr>
            <w:r>
              <w:rPr>
                <w:rStyle w:val="CharacterStyle12"/>
              </w:rPr>
              <w:t>34.979,00</w:t>
            </w:r>
          </w:p>
        </w:tc>
      </w:tr>
      <w:tr w:rsidR="007D706A" w14:paraId="4465864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C63956E" w14:textId="77777777" w:rsidR="007D706A" w:rsidRDefault="007D706A" w:rsidP="00F70508">
            <w:pPr>
              <w:pStyle w:val="ParagraphStyle10"/>
              <w:rPr>
                <w:rStyle w:val="CharacterStyle10"/>
              </w:rPr>
            </w:pPr>
            <w:r>
              <w:rPr>
                <w:rStyle w:val="CharacterStyle10"/>
              </w:rPr>
              <w:t>31</w:t>
            </w:r>
          </w:p>
        </w:tc>
        <w:tc>
          <w:tcPr>
            <w:tcW w:w="4995" w:type="dxa"/>
            <w:tcBorders>
              <w:bottom w:val="single" w:sz="6" w:space="0" w:color="000000"/>
              <w:right w:val="single" w:sz="6" w:space="0" w:color="000000"/>
            </w:tcBorders>
            <w:vAlign w:val="center"/>
          </w:tcPr>
          <w:p w14:paraId="6368426C" w14:textId="77777777" w:rsidR="007D706A" w:rsidRDefault="007D706A" w:rsidP="00F70508">
            <w:pPr>
              <w:pStyle w:val="ParagraphStyle11"/>
              <w:rPr>
                <w:rStyle w:val="CharacterStyle11"/>
              </w:rPr>
            </w:pPr>
            <w:r>
              <w:rPr>
                <w:rStyle w:val="CharacterStyle11"/>
              </w:rPr>
              <w:t>Rashodi za zaposlene</w:t>
            </w:r>
          </w:p>
        </w:tc>
        <w:tc>
          <w:tcPr>
            <w:tcW w:w="1395" w:type="dxa"/>
            <w:tcBorders>
              <w:bottom w:val="single" w:sz="6" w:space="0" w:color="000000"/>
              <w:right w:val="single" w:sz="6" w:space="0" w:color="000000"/>
            </w:tcBorders>
            <w:vAlign w:val="center"/>
          </w:tcPr>
          <w:p w14:paraId="31C9228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C3F0B43" w14:textId="77777777" w:rsidR="007D706A" w:rsidRDefault="007D706A" w:rsidP="00F70508">
            <w:pPr>
              <w:pStyle w:val="ParagraphStyle12"/>
              <w:rPr>
                <w:rStyle w:val="CharacterStyle12"/>
              </w:rPr>
            </w:pPr>
            <w:r>
              <w:rPr>
                <w:rStyle w:val="CharacterStyle12"/>
              </w:rPr>
              <w:t>34.500,00</w:t>
            </w:r>
          </w:p>
        </w:tc>
        <w:tc>
          <w:tcPr>
            <w:tcW w:w="1395" w:type="dxa"/>
            <w:tcBorders>
              <w:bottom w:val="single" w:sz="6" w:space="0" w:color="000000"/>
              <w:right w:val="single" w:sz="6" w:space="0" w:color="000000"/>
            </w:tcBorders>
            <w:vAlign w:val="center"/>
          </w:tcPr>
          <w:p w14:paraId="699FB7DE" w14:textId="77777777" w:rsidR="007D706A" w:rsidRDefault="007D706A" w:rsidP="00F70508">
            <w:pPr>
              <w:pStyle w:val="ParagraphStyle12"/>
              <w:rPr>
                <w:rStyle w:val="CharacterStyle12"/>
              </w:rPr>
            </w:pPr>
            <w:r>
              <w:rPr>
                <w:rStyle w:val="CharacterStyle12"/>
              </w:rPr>
              <w:t>33.300,00</w:t>
            </w:r>
          </w:p>
        </w:tc>
        <w:tc>
          <w:tcPr>
            <w:tcW w:w="1395" w:type="dxa"/>
            <w:tcBorders>
              <w:bottom w:val="single" w:sz="6" w:space="0" w:color="000000"/>
              <w:right w:val="single" w:sz="6" w:space="0" w:color="000000"/>
            </w:tcBorders>
            <w:vAlign w:val="center"/>
          </w:tcPr>
          <w:p w14:paraId="2F5DB822" w14:textId="77777777" w:rsidR="007D706A" w:rsidRDefault="007D706A" w:rsidP="00F70508">
            <w:pPr>
              <w:pStyle w:val="ParagraphStyle12"/>
              <w:rPr>
                <w:rStyle w:val="CharacterStyle12"/>
              </w:rPr>
            </w:pPr>
            <w:r>
              <w:rPr>
                <w:rStyle w:val="CharacterStyle12"/>
              </w:rPr>
              <w:t>34.632,00</w:t>
            </w:r>
          </w:p>
        </w:tc>
        <w:tc>
          <w:tcPr>
            <w:tcW w:w="1395" w:type="dxa"/>
            <w:tcBorders>
              <w:bottom w:val="single" w:sz="6" w:space="0" w:color="000000"/>
              <w:right w:val="single" w:sz="6" w:space="0" w:color="000000"/>
            </w:tcBorders>
            <w:vAlign w:val="center"/>
          </w:tcPr>
          <w:p w14:paraId="396DCD30" w14:textId="77777777" w:rsidR="007D706A" w:rsidRDefault="007D706A" w:rsidP="00F70508">
            <w:pPr>
              <w:pStyle w:val="ParagraphStyle12"/>
              <w:rPr>
                <w:rStyle w:val="CharacterStyle12"/>
              </w:rPr>
            </w:pPr>
            <w:r>
              <w:rPr>
                <w:rStyle w:val="CharacterStyle12"/>
              </w:rPr>
              <w:t>34.979,00</w:t>
            </w:r>
          </w:p>
        </w:tc>
      </w:tr>
      <w:tr w:rsidR="007D706A" w14:paraId="40FA199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5DE05FA" w14:textId="77777777" w:rsidR="007D706A" w:rsidRDefault="007D706A" w:rsidP="00F70508">
            <w:pPr>
              <w:pStyle w:val="ParagraphStyle4"/>
              <w:rPr>
                <w:rStyle w:val="CharacterStyle4"/>
              </w:rPr>
            </w:pPr>
            <w:r>
              <w:rPr>
                <w:rStyle w:val="CharacterStyle4"/>
              </w:rPr>
              <w:t>Aktivnost A103608</w:t>
            </w:r>
          </w:p>
        </w:tc>
        <w:tc>
          <w:tcPr>
            <w:tcW w:w="4995" w:type="dxa"/>
            <w:tcBorders>
              <w:bottom w:val="single" w:sz="6" w:space="0" w:color="000000"/>
              <w:right w:val="single" w:sz="6" w:space="0" w:color="000000"/>
            </w:tcBorders>
            <w:vAlign w:val="center"/>
          </w:tcPr>
          <w:p w14:paraId="3197FEAB" w14:textId="77777777" w:rsidR="007D706A" w:rsidRDefault="007D706A" w:rsidP="00F70508">
            <w:pPr>
              <w:pStyle w:val="ParagraphStyle5"/>
              <w:rPr>
                <w:rStyle w:val="CharacterStyle5"/>
              </w:rPr>
            </w:pPr>
            <w:r>
              <w:rPr>
                <w:rStyle w:val="CharacterStyle5"/>
              </w:rPr>
              <w:t>PRODUŽENI BORAVAK DJECE U ŠKOLI</w:t>
            </w:r>
          </w:p>
        </w:tc>
        <w:tc>
          <w:tcPr>
            <w:tcW w:w="1395" w:type="dxa"/>
            <w:tcBorders>
              <w:bottom w:val="single" w:sz="6" w:space="0" w:color="000000"/>
              <w:right w:val="single" w:sz="6" w:space="0" w:color="000000"/>
            </w:tcBorders>
            <w:vAlign w:val="center"/>
          </w:tcPr>
          <w:p w14:paraId="2F11BE77"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56C494A0" w14:textId="77777777" w:rsidR="007D706A" w:rsidRDefault="007D706A" w:rsidP="00F70508">
            <w:pPr>
              <w:pStyle w:val="ParagraphStyle6"/>
              <w:rPr>
                <w:rStyle w:val="CharacterStyle6"/>
              </w:rPr>
            </w:pPr>
            <w:r>
              <w:rPr>
                <w:rStyle w:val="CharacterStyle6"/>
              </w:rPr>
              <w:t>133.100,00</w:t>
            </w:r>
          </w:p>
        </w:tc>
        <w:tc>
          <w:tcPr>
            <w:tcW w:w="1395" w:type="dxa"/>
            <w:tcBorders>
              <w:bottom w:val="single" w:sz="6" w:space="0" w:color="000000"/>
              <w:right w:val="single" w:sz="6" w:space="0" w:color="000000"/>
            </w:tcBorders>
            <w:vAlign w:val="center"/>
          </w:tcPr>
          <w:p w14:paraId="4E869D35" w14:textId="77777777" w:rsidR="007D706A" w:rsidRDefault="007D706A" w:rsidP="00F70508">
            <w:pPr>
              <w:pStyle w:val="ParagraphStyle6"/>
              <w:rPr>
                <w:rStyle w:val="CharacterStyle6"/>
              </w:rPr>
            </w:pPr>
            <w:r>
              <w:rPr>
                <w:rStyle w:val="CharacterStyle6"/>
              </w:rPr>
              <w:t>126.900,00</w:t>
            </w:r>
          </w:p>
        </w:tc>
        <w:tc>
          <w:tcPr>
            <w:tcW w:w="1395" w:type="dxa"/>
            <w:tcBorders>
              <w:bottom w:val="single" w:sz="6" w:space="0" w:color="000000"/>
              <w:right w:val="single" w:sz="6" w:space="0" w:color="000000"/>
            </w:tcBorders>
            <w:vAlign w:val="center"/>
          </w:tcPr>
          <w:p w14:paraId="1D49E75A" w14:textId="77777777" w:rsidR="007D706A" w:rsidRDefault="007D706A" w:rsidP="00F70508">
            <w:pPr>
              <w:pStyle w:val="ParagraphStyle6"/>
              <w:rPr>
                <w:rStyle w:val="CharacterStyle6"/>
              </w:rPr>
            </w:pPr>
            <w:r>
              <w:rPr>
                <w:rStyle w:val="CharacterStyle6"/>
              </w:rPr>
              <w:t>131.976,00</w:t>
            </w:r>
          </w:p>
        </w:tc>
        <w:tc>
          <w:tcPr>
            <w:tcW w:w="1395" w:type="dxa"/>
            <w:tcBorders>
              <w:bottom w:val="single" w:sz="6" w:space="0" w:color="000000"/>
              <w:right w:val="single" w:sz="6" w:space="0" w:color="000000"/>
            </w:tcBorders>
            <w:vAlign w:val="center"/>
          </w:tcPr>
          <w:p w14:paraId="373D2D28" w14:textId="77777777" w:rsidR="007D706A" w:rsidRDefault="007D706A" w:rsidP="00F70508">
            <w:pPr>
              <w:pStyle w:val="ParagraphStyle6"/>
              <w:rPr>
                <w:rStyle w:val="CharacterStyle6"/>
              </w:rPr>
            </w:pPr>
            <w:r>
              <w:rPr>
                <w:rStyle w:val="CharacterStyle6"/>
              </w:rPr>
              <w:t>133.298,00</w:t>
            </w:r>
          </w:p>
        </w:tc>
      </w:tr>
      <w:tr w:rsidR="007D706A" w14:paraId="650A6B4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5B5A42E"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34685420"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21701A2E"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4A92648" w14:textId="77777777" w:rsidR="007D706A" w:rsidRDefault="007D706A" w:rsidP="00F70508">
            <w:pPr>
              <w:pStyle w:val="ParagraphStyle9"/>
              <w:rPr>
                <w:rStyle w:val="CharacterStyle9"/>
              </w:rPr>
            </w:pPr>
            <w:r>
              <w:rPr>
                <w:rStyle w:val="CharacterStyle9"/>
              </w:rPr>
              <w:t>133.100,00</w:t>
            </w:r>
          </w:p>
        </w:tc>
        <w:tc>
          <w:tcPr>
            <w:tcW w:w="1395" w:type="dxa"/>
            <w:tcBorders>
              <w:bottom w:val="single" w:sz="6" w:space="0" w:color="000000"/>
              <w:right w:val="single" w:sz="6" w:space="0" w:color="000000"/>
            </w:tcBorders>
            <w:vAlign w:val="center"/>
          </w:tcPr>
          <w:p w14:paraId="482E949D" w14:textId="77777777" w:rsidR="007D706A" w:rsidRDefault="007D706A" w:rsidP="00F70508">
            <w:pPr>
              <w:pStyle w:val="ParagraphStyle9"/>
              <w:rPr>
                <w:rStyle w:val="CharacterStyle9"/>
              </w:rPr>
            </w:pPr>
            <w:r>
              <w:rPr>
                <w:rStyle w:val="CharacterStyle9"/>
              </w:rPr>
              <w:t>126.900,00</w:t>
            </w:r>
          </w:p>
        </w:tc>
        <w:tc>
          <w:tcPr>
            <w:tcW w:w="1395" w:type="dxa"/>
            <w:tcBorders>
              <w:bottom w:val="single" w:sz="6" w:space="0" w:color="000000"/>
              <w:right w:val="single" w:sz="6" w:space="0" w:color="000000"/>
            </w:tcBorders>
            <w:vAlign w:val="center"/>
          </w:tcPr>
          <w:p w14:paraId="3E08198F" w14:textId="77777777" w:rsidR="007D706A" w:rsidRDefault="007D706A" w:rsidP="00F70508">
            <w:pPr>
              <w:pStyle w:val="ParagraphStyle9"/>
              <w:rPr>
                <w:rStyle w:val="CharacterStyle9"/>
              </w:rPr>
            </w:pPr>
            <w:r>
              <w:rPr>
                <w:rStyle w:val="CharacterStyle9"/>
              </w:rPr>
              <w:t>131.976,00</w:t>
            </w:r>
          </w:p>
        </w:tc>
        <w:tc>
          <w:tcPr>
            <w:tcW w:w="1395" w:type="dxa"/>
            <w:tcBorders>
              <w:bottom w:val="single" w:sz="6" w:space="0" w:color="000000"/>
              <w:right w:val="single" w:sz="6" w:space="0" w:color="000000"/>
            </w:tcBorders>
            <w:vAlign w:val="center"/>
          </w:tcPr>
          <w:p w14:paraId="57C96A93" w14:textId="77777777" w:rsidR="007D706A" w:rsidRDefault="007D706A" w:rsidP="00F70508">
            <w:pPr>
              <w:pStyle w:val="ParagraphStyle9"/>
              <w:rPr>
                <w:rStyle w:val="CharacterStyle9"/>
              </w:rPr>
            </w:pPr>
            <w:r>
              <w:rPr>
                <w:rStyle w:val="CharacterStyle9"/>
              </w:rPr>
              <w:t>133.298,00</w:t>
            </w:r>
          </w:p>
        </w:tc>
      </w:tr>
      <w:tr w:rsidR="007D706A" w14:paraId="2D25671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BC1A55B"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2EF180DB"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01E9218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7B74ACC" w14:textId="77777777" w:rsidR="007D706A" w:rsidRDefault="007D706A" w:rsidP="00F70508">
            <w:pPr>
              <w:pStyle w:val="ParagraphStyle12"/>
              <w:rPr>
                <w:rStyle w:val="CharacterStyle12"/>
              </w:rPr>
            </w:pPr>
            <w:r>
              <w:rPr>
                <w:rStyle w:val="CharacterStyle12"/>
              </w:rPr>
              <w:t>133.100,00</w:t>
            </w:r>
          </w:p>
        </w:tc>
        <w:tc>
          <w:tcPr>
            <w:tcW w:w="1395" w:type="dxa"/>
            <w:tcBorders>
              <w:bottom w:val="single" w:sz="6" w:space="0" w:color="000000"/>
              <w:right w:val="single" w:sz="6" w:space="0" w:color="000000"/>
            </w:tcBorders>
            <w:vAlign w:val="center"/>
          </w:tcPr>
          <w:p w14:paraId="7DBD5464" w14:textId="77777777" w:rsidR="007D706A" w:rsidRDefault="007D706A" w:rsidP="00F70508">
            <w:pPr>
              <w:pStyle w:val="ParagraphStyle12"/>
              <w:rPr>
                <w:rStyle w:val="CharacterStyle12"/>
              </w:rPr>
            </w:pPr>
            <w:r>
              <w:rPr>
                <w:rStyle w:val="CharacterStyle12"/>
              </w:rPr>
              <w:t>126.900,00</w:t>
            </w:r>
          </w:p>
        </w:tc>
        <w:tc>
          <w:tcPr>
            <w:tcW w:w="1395" w:type="dxa"/>
            <w:tcBorders>
              <w:bottom w:val="single" w:sz="6" w:space="0" w:color="000000"/>
              <w:right w:val="single" w:sz="6" w:space="0" w:color="000000"/>
            </w:tcBorders>
            <w:vAlign w:val="center"/>
          </w:tcPr>
          <w:p w14:paraId="635B80D4" w14:textId="77777777" w:rsidR="007D706A" w:rsidRDefault="007D706A" w:rsidP="00F70508">
            <w:pPr>
              <w:pStyle w:val="ParagraphStyle12"/>
              <w:rPr>
                <w:rStyle w:val="CharacterStyle12"/>
              </w:rPr>
            </w:pPr>
            <w:r>
              <w:rPr>
                <w:rStyle w:val="CharacterStyle12"/>
              </w:rPr>
              <w:t>131.976,00</w:t>
            </w:r>
          </w:p>
        </w:tc>
        <w:tc>
          <w:tcPr>
            <w:tcW w:w="1395" w:type="dxa"/>
            <w:tcBorders>
              <w:bottom w:val="single" w:sz="6" w:space="0" w:color="000000"/>
              <w:right w:val="single" w:sz="6" w:space="0" w:color="000000"/>
            </w:tcBorders>
            <w:vAlign w:val="center"/>
          </w:tcPr>
          <w:p w14:paraId="486A32A3" w14:textId="77777777" w:rsidR="007D706A" w:rsidRDefault="007D706A" w:rsidP="00F70508">
            <w:pPr>
              <w:pStyle w:val="ParagraphStyle12"/>
              <w:rPr>
                <w:rStyle w:val="CharacterStyle12"/>
              </w:rPr>
            </w:pPr>
            <w:r>
              <w:rPr>
                <w:rStyle w:val="CharacterStyle12"/>
              </w:rPr>
              <w:t>133.298,00</w:t>
            </w:r>
          </w:p>
        </w:tc>
      </w:tr>
      <w:tr w:rsidR="007D706A" w14:paraId="41954B3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EF0A8F6" w14:textId="77777777" w:rsidR="007D706A" w:rsidRDefault="007D706A" w:rsidP="00F70508">
            <w:pPr>
              <w:pStyle w:val="ParagraphStyle10"/>
              <w:rPr>
                <w:rStyle w:val="CharacterStyle10"/>
              </w:rPr>
            </w:pPr>
            <w:r>
              <w:rPr>
                <w:rStyle w:val="CharacterStyle10"/>
              </w:rPr>
              <w:t>31</w:t>
            </w:r>
          </w:p>
        </w:tc>
        <w:tc>
          <w:tcPr>
            <w:tcW w:w="4995" w:type="dxa"/>
            <w:tcBorders>
              <w:bottom w:val="single" w:sz="6" w:space="0" w:color="000000"/>
              <w:right w:val="single" w:sz="6" w:space="0" w:color="000000"/>
            </w:tcBorders>
            <w:vAlign w:val="center"/>
          </w:tcPr>
          <w:p w14:paraId="418EA368" w14:textId="77777777" w:rsidR="007D706A" w:rsidRDefault="007D706A" w:rsidP="00F70508">
            <w:pPr>
              <w:pStyle w:val="ParagraphStyle11"/>
              <w:rPr>
                <w:rStyle w:val="CharacterStyle11"/>
              </w:rPr>
            </w:pPr>
            <w:r>
              <w:rPr>
                <w:rStyle w:val="CharacterStyle11"/>
              </w:rPr>
              <w:t>Rashodi za zaposlene</w:t>
            </w:r>
          </w:p>
        </w:tc>
        <w:tc>
          <w:tcPr>
            <w:tcW w:w="1395" w:type="dxa"/>
            <w:tcBorders>
              <w:bottom w:val="single" w:sz="6" w:space="0" w:color="000000"/>
              <w:right w:val="single" w:sz="6" w:space="0" w:color="000000"/>
            </w:tcBorders>
            <w:vAlign w:val="center"/>
          </w:tcPr>
          <w:p w14:paraId="181FB5E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392590E" w14:textId="77777777" w:rsidR="007D706A" w:rsidRDefault="007D706A" w:rsidP="00F70508">
            <w:pPr>
              <w:pStyle w:val="ParagraphStyle12"/>
              <w:rPr>
                <w:rStyle w:val="CharacterStyle12"/>
              </w:rPr>
            </w:pPr>
            <w:r>
              <w:rPr>
                <w:rStyle w:val="CharacterStyle12"/>
              </w:rPr>
              <w:t>133.100,00</w:t>
            </w:r>
          </w:p>
        </w:tc>
        <w:tc>
          <w:tcPr>
            <w:tcW w:w="1395" w:type="dxa"/>
            <w:tcBorders>
              <w:bottom w:val="single" w:sz="6" w:space="0" w:color="000000"/>
              <w:right w:val="single" w:sz="6" w:space="0" w:color="000000"/>
            </w:tcBorders>
            <w:vAlign w:val="center"/>
          </w:tcPr>
          <w:p w14:paraId="706F2468" w14:textId="77777777" w:rsidR="007D706A" w:rsidRDefault="007D706A" w:rsidP="00F70508">
            <w:pPr>
              <w:pStyle w:val="ParagraphStyle12"/>
              <w:rPr>
                <w:rStyle w:val="CharacterStyle12"/>
              </w:rPr>
            </w:pPr>
            <w:r>
              <w:rPr>
                <w:rStyle w:val="CharacterStyle12"/>
              </w:rPr>
              <w:t>126.900,00</w:t>
            </w:r>
          </w:p>
        </w:tc>
        <w:tc>
          <w:tcPr>
            <w:tcW w:w="1395" w:type="dxa"/>
            <w:tcBorders>
              <w:bottom w:val="single" w:sz="6" w:space="0" w:color="000000"/>
              <w:right w:val="single" w:sz="6" w:space="0" w:color="000000"/>
            </w:tcBorders>
            <w:vAlign w:val="center"/>
          </w:tcPr>
          <w:p w14:paraId="72D49E11" w14:textId="77777777" w:rsidR="007D706A" w:rsidRDefault="007D706A" w:rsidP="00F70508">
            <w:pPr>
              <w:pStyle w:val="ParagraphStyle12"/>
              <w:rPr>
                <w:rStyle w:val="CharacterStyle12"/>
              </w:rPr>
            </w:pPr>
            <w:r>
              <w:rPr>
                <w:rStyle w:val="CharacterStyle12"/>
              </w:rPr>
              <w:t>131.976,00</w:t>
            </w:r>
          </w:p>
        </w:tc>
        <w:tc>
          <w:tcPr>
            <w:tcW w:w="1395" w:type="dxa"/>
            <w:tcBorders>
              <w:bottom w:val="single" w:sz="6" w:space="0" w:color="000000"/>
              <w:right w:val="single" w:sz="6" w:space="0" w:color="000000"/>
            </w:tcBorders>
            <w:vAlign w:val="center"/>
          </w:tcPr>
          <w:p w14:paraId="61C0EEC8" w14:textId="77777777" w:rsidR="007D706A" w:rsidRDefault="007D706A" w:rsidP="00F70508">
            <w:pPr>
              <w:pStyle w:val="ParagraphStyle12"/>
              <w:rPr>
                <w:rStyle w:val="CharacterStyle12"/>
              </w:rPr>
            </w:pPr>
            <w:r>
              <w:rPr>
                <w:rStyle w:val="CharacterStyle12"/>
              </w:rPr>
              <w:t>133.298,00</w:t>
            </w:r>
          </w:p>
        </w:tc>
      </w:tr>
      <w:tr w:rsidR="007D706A" w14:paraId="244FD50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7727D28" w14:textId="77777777" w:rsidR="007D706A" w:rsidRDefault="007D706A" w:rsidP="00F70508">
            <w:pPr>
              <w:pStyle w:val="ParagraphStyle4"/>
              <w:rPr>
                <w:rStyle w:val="CharacterStyle4"/>
              </w:rPr>
            </w:pPr>
            <w:r>
              <w:rPr>
                <w:rStyle w:val="CharacterStyle4"/>
              </w:rPr>
              <w:t>Aktivnost A103609</w:t>
            </w:r>
          </w:p>
        </w:tc>
        <w:tc>
          <w:tcPr>
            <w:tcW w:w="4995" w:type="dxa"/>
            <w:tcBorders>
              <w:bottom w:val="single" w:sz="6" w:space="0" w:color="000000"/>
              <w:right w:val="single" w:sz="6" w:space="0" w:color="000000"/>
            </w:tcBorders>
            <w:vAlign w:val="center"/>
          </w:tcPr>
          <w:p w14:paraId="1E381FA8" w14:textId="77777777" w:rsidR="007D706A" w:rsidRDefault="007D706A" w:rsidP="00F70508">
            <w:pPr>
              <w:pStyle w:val="ParagraphStyle5"/>
              <w:rPr>
                <w:rStyle w:val="CharacterStyle5"/>
              </w:rPr>
            </w:pPr>
            <w:r>
              <w:rPr>
                <w:rStyle w:val="CharacterStyle5"/>
              </w:rPr>
              <w:t>ŠKOLSKI PSIHOLOG</w:t>
            </w:r>
          </w:p>
        </w:tc>
        <w:tc>
          <w:tcPr>
            <w:tcW w:w="1395" w:type="dxa"/>
            <w:tcBorders>
              <w:bottom w:val="single" w:sz="6" w:space="0" w:color="000000"/>
              <w:right w:val="single" w:sz="6" w:space="0" w:color="000000"/>
            </w:tcBorders>
            <w:vAlign w:val="center"/>
          </w:tcPr>
          <w:p w14:paraId="6A232561"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615DE0AA" w14:textId="77777777" w:rsidR="007D706A" w:rsidRDefault="007D706A" w:rsidP="00F70508">
            <w:pPr>
              <w:pStyle w:val="ParagraphStyle6"/>
              <w:rPr>
                <w:rStyle w:val="CharacterStyle6"/>
              </w:rPr>
            </w:pPr>
            <w:r>
              <w:rPr>
                <w:rStyle w:val="CharacterStyle6"/>
              </w:rPr>
              <w:t>40.500,00</w:t>
            </w:r>
          </w:p>
        </w:tc>
        <w:tc>
          <w:tcPr>
            <w:tcW w:w="1395" w:type="dxa"/>
            <w:tcBorders>
              <w:bottom w:val="single" w:sz="6" w:space="0" w:color="000000"/>
              <w:right w:val="single" w:sz="6" w:space="0" w:color="000000"/>
            </w:tcBorders>
            <w:vAlign w:val="center"/>
          </w:tcPr>
          <w:p w14:paraId="6980BF35" w14:textId="77777777" w:rsidR="007D706A" w:rsidRDefault="007D706A" w:rsidP="00F70508">
            <w:pPr>
              <w:pStyle w:val="ParagraphStyle6"/>
              <w:rPr>
                <w:rStyle w:val="CharacterStyle6"/>
              </w:rPr>
            </w:pPr>
            <w:r>
              <w:rPr>
                <w:rStyle w:val="CharacterStyle6"/>
              </w:rPr>
              <w:t>39.300,00</w:t>
            </w:r>
          </w:p>
        </w:tc>
        <w:tc>
          <w:tcPr>
            <w:tcW w:w="1395" w:type="dxa"/>
            <w:tcBorders>
              <w:bottom w:val="single" w:sz="6" w:space="0" w:color="000000"/>
              <w:right w:val="single" w:sz="6" w:space="0" w:color="000000"/>
            </w:tcBorders>
            <w:vAlign w:val="center"/>
          </w:tcPr>
          <w:p w14:paraId="0B345236" w14:textId="77777777" w:rsidR="007D706A" w:rsidRDefault="007D706A" w:rsidP="00F70508">
            <w:pPr>
              <w:pStyle w:val="ParagraphStyle6"/>
              <w:rPr>
                <w:rStyle w:val="CharacterStyle6"/>
              </w:rPr>
            </w:pPr>
            <w:r>
              <w:rPr>
                <w:rStyle w:val="CharacterStyle6"/>
              </w:rPr>
              <w:t>40.872,00</w:t>
            </w:r>
          </w:p>
        </w:tc>
        <w:tc>
          <w:tcPr>
            <w:tcW w:w="1395" w:type="dxa"/>
            <w:tcBorders>
              <w:bottom w:val="single" w:sz="6" w:space="0" w:color="000000"/>
              <w:right w:val="single" w:sz="6" w:space="0" w:color="000000"/>
            </w:tcBorders>
            <w:vAlign w:val="center"/>
          </w:tcPr>
          <w:p w14:paraId="7142A20E" w14:textId="77777777" w:rsidR="007D706A" w:rsidRDefault="007D706A" w:rsidP="00F70508">
            <w:pPr>
              <w:pStyle w:val="ParagraphStyle6"/>
              <w:rPr>
                <w:rStyle w:val="CharacterStyle6"/>
              </w:rPr>
            </w:pPr>
            <w:r>
              <w:rPr>
                <w:rStyle w:val="CharacterStyle6"/>
              </w:rPr>
              <w:t>41.282,00</w:t>
            </w:r>
          </w:p>
        </w:tc>
      </w:tr>
      <w:tr w:rsidR="007D706A" w14:paraId="0B0EA67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5ABE3E1"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4E51F805"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39A4A405"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C35233D" w14:textId="77777777" w:rsidR="007D706A" w:rsidRDefault="007D706A" w:rsidP="00F70508">
            <w:pPr>
              <w:pStyle w:val="ParagraphStyle9"/>
              <w:rPr>
                <w:rStyle w:val="CharacterStyle9"/>
              </w:rPr>
            </w:pPr>
            <w:r>
              <w:rPr>
                <w:rStyle w:val="CharacterStyle9"/>
              </w:rPr>
              <w:t>40.500,00</w:t>
            </w:r>
          </w:p>
        </w:tc>
        <w:tc>
          <w:tcPr>
            <w:tcW w:w="1395" w:type="dxa"/>
            <w:tcBorders>
              <w:bottom w:val="single" w:sz="6" w:space="0" w:color="000000"/>
              <w:right w:val="single" w:sz="6" w:space="0" w:color="000000"/>
            </w:tcBorders>
            <w:vAlign w:val="center"/>
          </w:tcPr>
          <w:p w14:paraId="1D95C9AF" w14:textId="77777777" w:rsidR="007D706A" w:rsidRDefault="007D706A" w:rsidP="00F70508">
            <w:pPr>
              <w:pStyle w:val="ParagraphStyle9"/>
              <w:rPr>
                <w:rStyle w:val="CharacterStyle9"/>
              </w:rPr>
            </w:pPr>
            <w:r>
              <w:rPr>
                <w:rStyle w:val="CharacterStyle9"/>
              </w:rPr>
              <w:t>39.300,00</w:t>
            </w:r>
          </w:p>
        </w:tc>
        <w:tc>
          <w:tcPr>
            <w:tcW w:w="1395" w:type="dxa"/>
            <w:tcBorders>
              <w:bottom w:val="single" w:sz="6" w:space="0" w:color="000000"/>
              <w:right w:val="single" w:sz="6" w:space="0" w:color="000000"/>
            </w:tcBorders>
            <w:vAlign w:val="center"/>
          </w:tcPr>
          <w:p w14:paraId="1666EF0E" w14:textId="77777777" w:rsidR="007D706A" w:rsidRDefault="007D706A" w:rsidP="00F70508">
            <w:pPr>
              <w:pStyle w:val="ParagraphStyle9"/>
              <w:rPr>
                <w:rStyle w:val="CharacterStyle9"/>
              </w:rPr>
            </w:pPr>
            <w:r>
              <w:rPr>
                <w:rStyle w:val="CharacterStyle9"/>
              </w:rPr>
              <w:t>40.872,00</w:t>
            </w:r>
          </w:p>
        </w:tc>
        <w:tc>
          <w:tcPr>
            <w:tcW w:w="1395" w:type="dxa"/>
            <w:tcBorders>
              <w:bottom w:val="single" w:sz="6" w:space="0" w:color="000000"/>
              <w:right w:val="single" w:sz="6" w:space="0" w:color="000000"/>
            </w:tcBorders>
            <w:vAlign w:val="center"/>
          </w:tcPr>
          <w:p w14:paraId="05EDB392" w14:textId="77777777" w:rsidR="007D706A" w:rsidRDefault="007D706A" w:rsidP="00F70508">
            <w:pPr>
              <w:pStyle w:val="ParagraphStyle9"/>
              <w:rPr>
                <w:rStyle w:val="CharacterStyle9"/>
              </w:rPr>
            </w:pPr>
            <w:r>
              <w:rPr>
                <w:rStyle w:val="CharacterStyle9"/>
              </w:rPr>
              <w:t>41.282,00</w:t>
            </w:r>
          </w:p>
        </w:tc>
      </w:tr>
      <w:tr w:rsidR="007D706A" w14:paraId="275100E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C1495BE"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4CC17F8D"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364722C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20E3556" w14:textId="77777777" w:rsidR="007D706A" w:rsidRDefault="007D706A" w:rsidP="00F70508">
            <w:pPr>
              <w:pStyle w:val="ParagraphStyle12"/>
              <w:rPr>
                <w:rStyle w:val="CharacterStyle12"/>
              </w:rPr>
            </w:pPr>
            <w:r>
              <w:rPr>
                <w:rStyle w:val="CharacterStyle12"/>
              </w:rPr>
              <w:t>40.500,00</w:t>
            </w:r>
          </w:p>
        </w:tc>
        <w:tc>
          <w:tcPr>
            <w:tcW w:w="1395" w:type="dxa"/>
            <w:tcBorders>
              <w:bottom w:val="single" w:sz="6" w:space="0" w:color="000000"/>
              <w:right w:val="single" w:sz="6" w:space="0" w:color="000000"/>
            </w:tcBorders>
            <w:vAlign w:val="center"/>
          </w:tcPr>
          <w:p w14:paraId="5621068C" w14:textId="77777777" w:rsidR="007D706A" w:rsidRDefault="007D706A" w:rsidP="00F70508">
            <w:pPr>
              <w:pStyle w:val="ParagraphStyle12"/>
              <w:rPr>
                <w:rStyle w:val="CharacterStyle12"/>
              </w:rPr>
            </w:pPr>
            <w:r>
              <w:rPr>
                <w:rStyle w:val="CharacterStyle12"/>
              </w:rPr>
              <w:t>39.300,00</w:t>
            </w:r>
          </w:p>
        </w:tc>
        <w:tc>
          <w:tcPr>
            <w:tcW w:w="1395" w:type="dxa"/>
            <w:tcBorders>
              <w:bottom w:val="single" w:sz="6" w:space="0" w:color="000000"/>
              <w:right w:val="single" w:sz="6" w:space="0" w:color="000000"/>
            </w:tcBorders>
            <w:vAlign w:val="center"/>
          </w:tcPr>
          <w:p w14:paraId="4C050EB0" w14:textId="77777777" w:rsidR="007D706A" w:rsidRDefault="007D706A" w:rsidP="00F70508">
            <w:pPr>
              <w:pStyle w:val="ParagraphStyle12"/>
              <w:rPr>
                <w:rStyle w:val="CharacterStyle12"/>
              </w:rPr>
            </w:pPr>
            <w:r>
              <w:rPr>
                <w:rStyle w:val="CharacterStyle12"/>
              </w:rPr>
              <w:t>40.872,00</w:t>
            </w:r>
          </w:p>
        </w:tc>
        <w:tc>
          <w:tcPr>
            <w:tcW w:w="1395" w:type="dxa"/>
            <w:tcBorders>
              <w:bottom w:val="single" w:sz="6" w:space="0" w:color="000000"/>
              <w:right w:val="single" w:sz="6" w:space="0" w:color="000000"/>
            </w:tcBorders>
            <w:vAlign w:val="center"/>
          </w:tcPr>
          <w:p w14:paraId="79114A01" w14:textId="77777777" w:rsidR="007D706A" w:rsidRDefault="007D706A" w:rsidP="00F70508">
            <w:pPr>
              <w:pStyle w:val="ParagraphStyle12"/>
              <w:rPr>
                <w:rStyle w:val="CharacterStyle12"/>
              </w:rPr>
            </w:pPr>
            <w:r>
              <w:rPr>
                <w:rStyle w:val="CharacterStyle12"/>
              </w:rPr>
              <w:t>41.282,00</w:t>
            </w:r>
          </w:p>
        </w:tc>
      </w:tr>
      <w:tr w:rsidR="007D706A" w14:paraId="26B09D2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99D419D" w14:textId="77777777" w:rsidR="007D706A" w:rsidRDefault="007D706A" w:rsidP="00F70508">
            <w:pPr>
              <w:pStyle w:val="ParagraphStyle10"/>
              <w:rPr>
                <w:rStyle w:val="CharacterStyle10"/>
              </w:rPr>
            </w:pPr>
            <w:r>
              <w:rPr>
                <w:rStyle w:val="CharacterStyle10"/>
              </w:rPr>
              <w:t>31</w:t>
            </w:r>
          </w:p>
        </w:tc>
        <w:tc>
          <w:tcPr>
            <w:tcW w:w="4995" w:type="dxa"/>
            <w:tcBorders>
              <w:bottom w:val="single" w:sz="6" w:space="0" w:color="000000"/>
              <w:right w:val="single" w:sz="6" w:space="0" w:color="000000"/>
            </w:tcBorders>
            <w:vAlign w:val="center"/>
          </w:tcPr>
          <w:p w14:paraId="50EB02BE" w14:textId="77777777" w:rsidR="007D706A" w:rsidRDefault="007D706A" w:rsidP="00F70508">
            <w:pPr>
              <w:pStyle w:val="ParagraphStyle11"/>
              <w:rPr>
                <w:rStyle w:val="CharacterStyle11"/>
              </w:rPr>
            </w:pPr>
            <w:r>
              <w:rPr>
                <w:rStyle w:val="CharacterStyle11"/>
              </w:rPr>
              <w:t>Rashodi za zaposlene</w:t>
            </w:r>
          </w:p>
        </w:tc>
        <w:tc>
          <w:tcPr>
            <w:tcW w:w="1395" w:type="dxa"/>
            <w:tcBorders>
              <w:bottom w:val="single" w:sz="6" w:space="0" w:color="000000"/>
              <w:right w:val="single" w:sz="6" w:space="0" w:color="000000"/>
            </w:tcBorders>
            <w:vAlign w:val="center"/>
          </w:tcPr>
          <w:p w14:paraId="62D523A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5C524A5" w14:textId="77777777" w:rsidR="007D706A" w:rsidRDefault="007D706A" w:rsidP="00F70508">
            <w:pPr>
              <w:pStyle w:val="ParagraphStyle12"/>
              <w:rPr>
                <w:rStyle w:val="CharacterStyle12"/>
              </w:rPr>
            </w:pPr>
            <w:r>
              <w:rPr>
                <w:rStyle w:val="CharacterStyle12"/>
              </w:rPr>
              <w:t>40.500,00</w:t>
            </w:r>
          </w:p>
        </w:tc>
        <w:tc>
          <w:tcPr>
            <w:tcW w:w="1395" w:type="dxa"/>
            <w:tcBorders>
              <w:bottom w:val="single" w:sz="6" w:space="0" w:color="000000"/>
              <w:right w:val="single" w:sz="6" w:space="0" w:color="000000"/>
            </w:tcBorders>
            <w:vAlign w:val="center"/>
          </w:tcPr>
          <w:p w14:paraId="171B8E28" w14:textId="77777777" w:rsidR="007D706A" w:rsidRDefault="007D706A" w:rsidP="00F70508">
            <w:pPr>
              <w:pStyle w:val="ParagraphStyle12"/>
              <w:rPr>
                <w:rStyle w:val="CharacterStyle12"/>
              </w:rPr>
            </w:pPr>
            <w:r>
              <w:rPr>
                <w:rStyle w:val="CharacterStyle12"/>
              </w:rPr>
              <w:t>39.300,00</w:t>
            </w:r>
          </w:p>
        </w:tc>
        <w:tc>
          <w:tcPr>
            <w:tcW w:w="1395" w:type="dxa"/>
            <w:tcBorders>
              <w:bottom w:val="single" w:sz="6" w:space="0" w:color="000000"/>
              <w:right w:val="single" w:sz="6" w:space="0" w:color="000000"/>
            </w:tcBorders>
            <w:vAlign w:val="center"/>
          </w:tcPr>
          <w:p w14:paraId="1729618F" w14:textId="77777777" w:rsidR="007D706A" w:rsidRDefault="007D706A" w:rsidP="00F70508">
            <w:pPr>
              <w:pStyle w:val="ParagraphStyle12"/>
              <w:rPr>
                <w:rStyle w:val="CharacterStyle12"/>
              </w:rPr>
            </w:pPr>
            <w:r>
              <w:rPr>
                <w:rStyle w:val="CharacterStyle12"/>
              </w:rPr>
              <w:t>40.872,00</w:t>
            </w:r>
          </w:p>
        </w:tc>
        <w:tc>
          <w:tcPr>
            <w:tcW w:w="1395" w:type="dxa"/>
            <w:tcBorders>
              <w:bottom w:val="single" w:sz="6" w:space="0" w:color="000000"/>
              <w:right w:val="single" w:sz="6" w:space="0" w:color="000000"/>
            </w:tcBorders>
            <w:vAlign w:val="center"/>
          </w:tcPr>
          <w:p w14:paraId="29907A4D" w14:textId="77777777" w:rsidR="007D706A" w:rsidRDefault="007D706A" w:rsidP="00F70508">
            <w:pPr>
              <w:pStyle w:val="ParagraphStyle12"/>
              <w:rPr>
                <w:rStyle w:val="CharacterStyle12"/>
              </w:rPr>
            </w:pPr>
            <w:r>
              <w:rPr>
                <w:rStyle w:val="CharacterStyle12"/>
              </w:rPr>
              <w:t>41.282,00</w:t>
            </w:r>
          </w:p>
        </w:tc>
      </w:tr>
      <w:tr w:rsidR="007D706A" w14:paraId="30F2453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08A08C8" w14:textId="77777777" w:rsidR="007D706A" w:rsidRDefault="007D706A" w:rsidP="00F70508">
            <w:pPr>
              <w:pStyle w:val="ParagraphStyle4"/>
              <w:rPr>
                <w:rStyle w:val="CharacterStyle4"/>
              </w:rPr>
            </w:pPr>
            <w:r>
              <w:rPr>
                <w:rStyle w:val="CharacterStyle4"/>
              </w:rPr>
              <w:t>Aktivnost A103610</w:t>
            </w:r>
          </w:p>
        </w:tc>
        <w:tc>
          <w:tcPr>
            <w:tcW w:w="4995" w:type="dxa"/>
            <w:tcBorders>
              <w:bottom w:val="single" w:sz="6" w:space="0" w:color="000000"/>
              <w:right w:val="single" w:sz="6" w:space="0" w:color="000000"/>
            </w:tcBorders>
            <w:vAlign w:val="center"/>
          </w:tcPr>
          <w:p w14:paraId="2A7FC729" w14:textId="77777777" w:rsidR="007D706A" w:rsidRDefault="007D706A" w:rsidP="00F70508">
            <w:pPr>
              <w:pStyle w:val="ParagraphStyle5"/>
              <w:rPr>
                <w:rStyle w:val="CharacterStyle5"/>
              </w:rPr>
            </w:pPr>
            <w:r>
              <w:rPr>
                <w:rStyle w:val="CharacterStyle5"/>
              </w:rPr>
              <w:t>ŠKOLSKI LOGOPED</w:t>
            </w:r>
          </w:p>
        </w:tc>
        <w:tc>
          <w:tcPr>
            <w:tcW w:w="1395" w:type="dxa"/>
            <w:tcBorders>
              <w:bottom w:val="single" w:sz="6" w:space="0" w:color="000000"/>
              <w:right w:val="single" w:sz="6" w:space="0" w:color="000000"/>
            </w:tcBorders>
            <w:vAlign w:val="center"/>
          </w:tcPr>
          <w:p w14:paraId="030835F5"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6D0AA51C" w14:textId="77777777" w:rsidR="007D706A" w:rsidRDefault="007D706A" w:rsidP="00F70508">
            <w:pPr>
              <w:pStyle w:val="ParagraphStyle6"/>
              <w:rPr>
                <w:rStyle w:val="CharacterStyle6"/>
              </w:rPr>
            </w:pPr>
            <w:r>
              <w:rPr>
                <w:rStyle w:val="CharacterStyle6"/>
              </w:rPr>
              <w:t>36.750,00</w:t>
            </w:r>
          </w:p>
        </w:tc>
        <w:tc>
          <w:tcPr>
            <w:tcW w:w="1395" w:type="dxa"/>
            <w:tcBorders>
              <w:bottom w:val="single" w:sz="6" w:space="0" w:color="000000"/>
              <w:right w:val="single" w:sz="6" w:space="0" w:color="000000"/>
            </w:tcBorders>
            <w:vAlign w:val="center"/>
          </w:tcPr>
          <w:p w14:paraId="4C6D0A5A" w14:textId="77777777" w:rsidR="007D706A" w:rsidRDefault="007D706A" w:rsidP="00F70508">
            <w:pPr>
              <w:pStyle w:val="ParagraphStyle6"/>
              <w:rPr>
                <w:rStyle w:val="CharacterStyle6"/>
              </w:rPr>
            </w:pPr>
            <w:r>
              <w:rPr>
                <w:rStyle w:val="CharacterStyle6"/>
              </w:rPr>
              <w:t>34.500,00</w:t>
            </w:r>
          </w:p>
        </w:tc>
        <w:tc>
          <w:tcPr>
            <w:tcW w:w="1395" w:type="dxa"/>
            <w:tcBorders>
              <w:bottom w:val="single" w:sz="6" w:space="0" w:color="000000"/>
              <w:right w:val="single" w:sz="6" w:space="0" w:color="000000"/>
            </w:tcBorders>
            <w:vAlign w:val="center"/>
          </w:tcPr>
          <w:p w14:paraId="0E32EDBF" w14:textId="77777777" w:rsidR="007D706A" w:rsidRDefault="007D706A" w:rsidP="00F70508">
            <w:pPr>
              <w:pStyle w:val="ParagraphStyle6"/>
              <w:rPr>
                <w:rStyle w:val="CharacterStyle6"/>
              </w:rPr>
            </w:pPr>
            <w:r>
              <w:rPr>
                <w:rStyle w:val="CharacterStyle6"/>
              </w:rPr>
              <w:t>35.880,00</w:t>
            </w:r>
          </w:p>
        </w:tc>
        <w:tc>
          <w:tcPr>
            <w:tcW w:w="1395" w:type="dxa"/>
            <w:tcBorders>
              <w:bottom w:val="single" w:sz="6" w:space="0" w:color="000000"/>
              <w:right w:val="single" w:sz="6" w:space="0" w:color="000000"/>
            </w:tcBorders>
            <w:vAlign w:val="center"/>
          </w:tcPr>
          <w:p w14:paraId="52D78410" w14:textId="77777777" w:rsidR="007D706A" w:rsidRDefault="007D706A" w:rsidP="00F70508">
            <w:pPr>
              <w:pStyle w:val="ParagraphStyle6"/>
              <w:rPr>
                <w:rStyle w:val="CharacterStyle6"/>
              </w:rPr>
            </w:pPr>
            <w:r>
              <w:rPr>
                <w:rStyle w:val="CharacterStyle6"/>
              </w:rPr>
              <w:t>36.240,00</w:t>
            </w:r>
          </w:p>
        </w:tc>
      </w:tr>
      <w:tr w:rsidR="007D706A" w14:paraId="0837855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9550114"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2D173069"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6DA9054F"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83D8763" w14:textId="77777777" w:rsidR="007D706A" w:rsidRDefault="007D706A" w:rsidP="00F70508">
            <w:pPr>
              <w:pStyle w:val="ParagraphStyle9"/>
              <w:rPr>
                <w:rStyle w:val="CharacterStyle9"/>
              </w:rPr>
            </w:pPr>
            <w:r>
              <w:rPr>
                <w:rStyle w:val="CharacterStyle9"/>
              </w:rPr>
              <w:t>36.750,00</w:t>
            </w:r>
          </w:p>
        </w:tc>
        <w:tc>
          <w:tcPr>
            <w:tcW w:w="1395" w:type="dxa"/>
            <w:tcBorders>
              <w:bottom w:val="single" w:sz="6" w:space="0" w:color="000000"/>
              <w:right w:val="single" w:sz="6" w:space="0" w:color="000000"/>
            </w:tcBorders>
            <w:vAlign w:val="center"/>
          </w:tcPr>
          <w:p w14:paraId="3B7F92CB" w14:textId="77777777" w:rsidR="007D706A" w:rsidRDefault="007D706A" w:rsidP="00F70508">
            <w:pPr>
              <w:pStyle w:val="ParagraphStyle9"/>
              <w:rPr>
                <w:rStyle w:val="CharacterStyle9"/>
              </w:rPr>
            </w:pPr>
            <w:r>
              <w:rPr>
                <w:rStyle w:val="CharacterStyle9"/>
              </w:rPr>
              <w:t>34.500,00</w:t>
            </w:r>
          </w:p>
        </w:tc>
        <w:tc>
          <w:tcPr>
            <w:tcW w:w="1395" w:type="dxa"/>
            <w:tcBorders>
              <w:bottom w:val="single" w:sz="6" w:space="0" w:color="000000"/>
              <w:right w:val="single" w:sz="6" w:space="0" w:color="000000"/>
            </w:tcBorders>
            <w:vAlign w:val="center"/>
          </w:tcPr>
          <w:p w14:paraId="282F4792" w14:textId="77777777" w:rsidR="007D706A" w:rsidRDefault="007D706A" w:rsidP="00F70508">
            <w:pPr>
              <w:pStyle w:val="ParagraphStyle9"/>
              <w:rPr>
                <w:rStyle w:val="CharacterStyle9"/>
              </w:rPr>
            </w:pPr>
            <w:r>
              <w:rPr>
                <w:rStyle w:val="CharacterStyle9"/>
              </w:rPr>
              <w:t>35.880,00</w:t>
            </w:r>
          </w:p>
        </w:tc>
        <w:tc>
          <w:tcPr>
            <w:tcW w:w="1395" w:type="dxa"/>
            <w:tcBorders>
              <w:bottom w:val="single" w:sz="6" w:space="0" w:color="000000"/>
              <w:right w:val="single" w:sz="6" w:space="0" w:color="000000"/>
            </w:tcBorders>
            <w:vAlign w:val="center"/>
          </w:tcPr>
          <w:p w14:paraId="38D96D01" w14:textId="77777777" w:rsidR="007D706A" w:rsidRDefault="007D706A" w:rsidP="00F70508">
            <w:pPr>
              <w:pStyle w:val="ParagraphStyle9"/>
              <w:rPr>
                <w:rStyle w:val="CharacterStyle9"/>
              </w:rPr>
            </w:pPr>
            <w:r>
              <w:rPr>
                <w:rStyle w:val="CharacterStyle9"/>
              </w:rPr>
              <w:t>36.240,00</w:t>
            </w:r>
          </w:p>
        </w:tc>
      </w:tr>
      <w:tr w:rsidR="007D706A" w14:paraId="2E58E08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50373D5"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007F9DAE"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3AD0D3E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85D5D5D" w14:textId="77777777" w:rsidR="007D706A" w:rsidRDefault="007D706A" w:rsidP="00F70508">
            <w:pPr>
              <w:pStyle w:val="ParagraphStyle12"/>
              <w:rPr>
                <w:rStyle w:val="CharacterStyle12"/>
              </w:rPr>
            </w:pPr>
            <w:r>
              <w:rPr>
                <w:rStyle w:val="CharacterStyle12"/>
              </w:rPr>
              <w:t>36.750,00</w:t>
            </w:r>
          </w:p>
        </w:tc>
        <w:tc>
          <w:tcPr>
            <w:tcW w:w="1395" w:type="dxa"/>
            <w:tcBorders>
              <w:bottom w:val="single" w:sz="6" w:space="0" w:color="000000"/>
              <w:right w:val="single" w:sz="6" w:space="0" w:color="000000"/>
            </w:tcBorders>
            <w:vAlign w:val="center"/>
          </w:tcPr>
          <w:p w14:paraId="30D3C367" w14:textId="77777777" w:rsidR="007D706A" w:rsidRDefault="007D706A" w:rsidP="00F70508">
            <w:pPr>
              <w:pStyle w:val="ParagraphStyle12"/>
              <w:rPr>
                <w:rStyle w:val="CharacterStyle12"/>
              </w:rPr>
            </w:pPr>
            <w:r>
              <w:rPr>
                <w:rStyle w:val="CharacterStyle12"/>
              </w:rPr>
              <w:t>34.500,00</w:t>
            </w:r>
          </w:p>
        </w:tc>
        <w:tc>
          <w:tcPr>
            <w:tcW w:w="1395" w:type="dxa"/>
            <w:tcBorders>
              <w:bottom w:val="single" w:sz="6" w:space="0" w:color="000000"/>
              <w:right w:val="single" w:sz="6" w:space="0" w:color="000000"/>
            </w:tcBorders>
            <w:vAlign w:val="center"/>
          </w:tcPr>
          <w:p w14:paraId="46FC21C1" w14:textId="77777777" w:rsidR="007D706A" w:rsidRDefault="007D706A" w:rsidP="00F70508">
            <w:pPr>
              <w:pStyle w:val="ParagraphStyle12"/>
              <w:rPr>
                <w:rStyle w:val="CharacterStyle12"/>
              </w:rPr>
            </w:pPr>
            <w:r>
              <w:rPr>
                <w:rStyle w:val="CharacterStyle12"/>
              </w:rPr>
              <w:t>35.880,00</w:t>
            </w:r>
          </w:p>
        </w:tc>
        <w:tc>
          <w:tcPr>
            <w:tcW w:w="1395" w:type="dxa"/>
            <w:tcBorders>
              <w:bottom w:val="single" w:sz="6" w:space="0" w:color="000000"/>
              <w:right w:val="single" w:sz="6" w:space="0" w:color="000000"/>
            </w:tcBorders>
            <w:vAlign w:val="center"/>
          </w:tcPr>
          <w:p w14:paraId="51A7D310" w14:textId="77777777" w:rsidR="007D706A" w:rsidRDefault="007D706A" w:rsidP="00F70508">
            <w:pPr>
              <w:pStyle w:val="ParagraphStyle12"/>
              <w:rPr>
                <w:rStyle w:val="CharacterStyle12"/>
              </w:rPr>
            </w:pPr>
            <w:r>
              <w:rPr>
                <w:rStyle w:val="CharacterStyle12"/>
              </w:rPr>
              <w:t>36.240,00</w:t>
            </w:r>
          </w:p>
        </w:tc>
      </w:tr>
      <w:tr w:rsidR="007D706A" w14:paraId="31DE200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2A9B0F2" w14:textId="77777777" w:rsidR="007D706A" w:rsidRDefault="007D706A" w:rsidP="00F70508">
            <w:pPr>
              <w:pStyle w:val="ParagraphStyle10"/>
              <w:rPr>
                <w:rStyle w:val="CharacterStyle10"/>
              </w:rPr>
            </w:pPr>
            <w:r>
              <w:rPr>
                <w:rStyle w:val="CharacterStyle10"/>
              </w:rPr>
              <w:t>31</w:t>
            </w:r>
          </w:p>
        </w:tc>
        <w:tc>
          <w:tcPr>
            <w:tcW w:w="4995" w:type="dxa"/>
            <w:tcBorders>
              <w:bottom w:val="single" w:sz="6" w:space="0" w:color="000000"/>
              <w:right w:val="single" w:sz="6" w:space="0" w:color="000000"/>
            </w:tcBorders>
            <w:vAlign w:val="center"/>
          </w:tcPr>
          <w:p w14:paraId="62F605F5" w14:textId="77777777" w:rsidR="007D706A" w:rsidRDefault="007D706A" w:rsidP="00F70508">
            <w:pPr>
              <w:pStyle w:val="ParagraphStyle11"/>
              <w:rPr>
                <w:rStyle w:val="CharacterStyle11"/>
              </w:rPr>
            </w:pPr>
            <w:r>
              <w:rPr>
                <w:rStyle w:val="CharacterStyle11"/>
              </w:rPr>
              <w:t>Rashodi za zaposlene</w:t>
            </w:r>
          </w:p>
        </w:tc>
        <w:tc>
          <w:tcPr>
            <w:tcW w:w="1395" w:type="dxa"/>
            <w:tcBorders>
              <w:bottom w:val="single" w:sz="6" w:space="0" w:color="000000"/>
              <w:right w:val="single" w:sz="6" w:space="0" w:color="000000"/>
            </w:tcBorders>
            <w:vAlign w:val="center"/>
          </w:tcPr>
          <w:p w14:paraId="134F843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C90D1C7" w14:textId="77777777" w:rsidR="007D706A" w:rsidRDefault="007D706A" w:rsidP="00F70508">
            <w:pPr>
              <w:pStyle w:val="ParagraphStyle12"/>
              <w:rPr>
                <w:rStyle w:val="CharacterStyle12"/>
              </w:rPr>
            </w:pPr>
            <w:r>
              <w:rPr>
                <w:rStyle w:val="CharacterStyle12"/>
              </w:rPr>
              <w:t>36.750,00</w:t>
            </w:r>
          </w:p>
        </w:tc>
        <w:tc>
          <w:tcPr>
            <w:tcW w:w="1395" w:type="dxa"/>
            <w:tcBorders>
              <w:bottom w:val="single" w:sz="6" w:space="0" w:color="000000"/>
              <w:right w:val="single" w:sz="6" w:space="0" w:color="000000"/>
            </w:tcBorders>
            <w:vAlign w:val="center"/>
          </w:tcPr>
          <w:p w14:paraId="0ACCB349" w14:textId="77777777" w:rsidR="007D706A" w:rsidRDefault="007D706A" w:rsidP="00F70508">
            <w:pPr>
              <w:pStyle w:val="ParagraphStyle12"/>
              <w:rPr>
                <w:rStyle w:val="CharacterStyle12"/>
              </w:rPr>
            </w:pPr>
            <w:r>
              <w:rPr>
                <w:rStyle w:val="CharacterStyle12"/>
              </w:rPr>
              <w:t>34.500,00</w:t>
            </w:r>
          </w:p>
        </w:tc>
        <w:tc>
          <w:tcPr>
            <w:tcW w:w="1395" w:type="dxa"/>
            <w:tcBorders>
              <w:bottom w:val="single" w:sz="6" w:space="0" w:color="000000"/>
              <w:right w:val="single" w:sz="6" w:space="0" w:color="000000"/>
            </w:tcBorders>
            <w:vAlign w:val="center"/>
          </w:tcPr>
          <w:p w14:paraId="6A06B1E3" w14:textId="77777777" w:rsidR="007D706A" w:rsidRDefault="007D706A" w:rsidP="00F70508">
            <w:pPr>
              <w:pStyle w:val="ParagraphStyle12"/>
              <w:rPr>
                <w:rStyle w:val="CharacterStyle12"/>
              </w:rPr>
            </w:pPr>
            <w:r>
              <w:rPr>
                <w:rStyle w:val="CharacterStyle12"/>
              </w:rPr>
              <w:t>35.880,00</w:t>
            </w:r>
          </w:p>
        </w:tc>
        <w:tc>
          <w:tcPr>
            <w:tcW w:w="1395" w:type="dxa"/>
            <w:tcBorders>
              <w:bottom w:val="single" w:sz="6" w:space="0" w:color="000000"/>
              <w:right w:val="single" w:sz="6" w:space="0" w:color="000000"/>
            </w:tcBorders>
            <w:vAlign w:val="center"/>
          </w:tcPr>
          <w:p w14:paraId="1DE33E6A" w14:textId="77777777" w:rsidR="007D706A" w:rsidRDefault="007D706A" w:rsidP="00F70508">
            <w:pPr>
              <w:pStyle w:val="ParagraphStyle12"/>
              <w:rPr>
                <w:rStyle w:val="CharacterStyle12"/>
              </w:rPr>
            </w:pPr>
            <w:r>
              <w:rPr>
                <w:rStyle w:val="CharacterStyle12"/>
              </w:rPr>
              <w:t>36.240,00</w:t>
            </w:r>
          </w:p>
        </w:tc>
      </w:tr>
      <w:tr w:rsidR="007D706A" w14:paraId="148E56D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17F9D3D" w14:textId="77777777" w:rsidR="007D706A" w:rsidRDefault="007D706A" w:rsidP="00F70508">
            <w:pPr>
              <w:pStyle w:val="ParagraphStyle4"/>
              <w:rPr>
                <w:rStyle w:val="CharacterStyle4"/>
              </w:rPr>
            </w:pPr>
            <w:r>
              <w:rPr>
                <w:rStyle w:val="CharacterStyle4"/>
              </w:rPr>
              <w:t>Aktivnost A103612</w:t>
            </w:r>
          </w:p>
        </w:tc>
        <w:tc>
          <w:tcPr>
            <w:tcW w:w="4995" w:type="dxa"/>
            <w:tcBorders>
              <w:bottom w:val="single" w:sz="6" w:space="0" w:color="000000"/>
              <w:right w:val="single" w:sz="6" w:space="0" w:color="000000"/>
            </w:tcBorders>
            <w:vAlign w:val="center"/>
          </w:tcPr>
          <w:p w14:paraId="07BFE7D5" w14:textId="77777777" w:rsidR="007D706A" w:rsidRDefault="007D706A" w:rsidP="00F70508">
            <w:pPr>
              <w:pStyle w:val="ParagraphStyle5"/>
              <w:rPr>
                <w:rStyle w:val="CharacterStyle5"/>
              </w:rPr>
            </w:pPr>
            <w:r>
              <w:rPr>
                <w:rStyle w:val="CharacterStyle5"/>
              </w:rPr>
              <w:t>ŠKOLSKI ODBOR</w:t>
            </w:r>
          </w:p>
        </w:tc>
        <w:tc>
          <w:tcPr>
            <w:tcW w:w="1395" w:type="dxa"/>
            <w:tcBorders>
              <w:bottom w:val="single" w:sz="6" w:space="0" w:color="000000"/>
              <w:right w:val="single" w:sz="6" w:space="0" w:color="000000"/>
            </w:tcBorders>
            <w:vAlign w:val="center"/>
          </w:tcPr>
          <w:p w14:paraId="682D9278"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3758F95C" w14:textId="77777777" w:rsidR="007D706A" w:rsidRDefault="007D706A" w:rsidP="00F70508">
            <w:pPr>
              <w:pStyle w:val="ParagraphStyle6"/>
              <w:rPr>
                <w:rStyle w:val="CharacterStyle6"/>
              </w:rPr>
            </w:pPr>
            <w:r>
              <w:rPr>
                <w:rStyle w:val="CharacterStyle6"/>
              </w:rPr>
              <w:t>2.700,00</w:t>
            </w:r>
          </w:p>
        </w:tc>
        <w:tc>
          <w:tcPr>
            <w:tcW w:w="1395" w:type="dxa"/>
            <w:tcBorders>
              <w:bottom w:val="single" w:sz="6" w:space="0" w:color="000000"/>
              <w:right w:val="single" w:sz="6" w:space="0" w:color="000000"/>
            </w:tcBorders>
            <w:vAlign w:val="center"/>
          </w:tcPr>
          <w:p w14:paraId="6B630A3F" w14:textId="77777777" w:rsidR="007D706A" w:rsidRDefault="007D706A" w:rsidP="00F70508">
            <w:pPr>
              <w:pStyle w:val="ParagraphStyle6"/>
              <w:rPr>
                <w:rStyle w:val="CharacterStyle6"/>
              </w:rPr>
            </w:pPr>
            <w:r>
              <w:rPr>
                <w:rStyle w:val="CharacterStyle6"/>
              </w:rPr>
              <w:t>2.700,00</w:t>
            </w:r>
          </w:p>
        </w:tc>
        <w:tc>
          <w:tcPr>
            <w:tcW w:w="1395" w:type="dxa"/>
            <w:tcBorders>
              <w:bottom w:val="single" w:sz="6" w:space="0" w:color="000000"/>
              <w:right w:val="single" w:sz="6" w:space="0" w:color="000000"/>
            </w:tcBorders>
            <w:vAlign w:val="center"/>
          </w:tcPr>
          <w:p w14:paraId="518D0C32" w14:textId="77777777" w:rsidR="007D706A" w:rsidRDefault="007D706A" w:rsidP="00F70508">
            <w:pPr>
              <w:pStyle w:val="ParagraphStyle6"/>
              <w:rPr>
                <w:rStyle w:val="CharacterStyle6"/>
              </w:rPr>
            </w:pPr>
            <w:r>
              <w:rPr>
                <w:rStyle w:val="CharacterStyle6"/>
              </w:rPr>
              <w:t>2.808,00</w:t>
            </w:r>
          </w:p>
        </w:tc>
        <w:tc>
          <w:tcPr>
            <w:tcW w:w="1395" w:type="dxa"/>
            <w:tcBorders>
              <w:bottom w:val="single" w:sz="6" w:space="0" w:color="000000"/>
              <w:right w:val="single" w:sz="6" w:space="0" w:color="000000"/>
            </w:tcBorders>
            <w:vAlign w:val="center"/>
          </w:tcPr>
          <w:p w14:paraId="2B19B700" w14:textId="77777777" w:rsidR="007D706A" w:rsidRDefault="007D706A" w:rsidP="00F70508">
            <w:pPr>
              <w:pStyle w:val="ParagraphStyle6"/>
              <w:rPr>
                <w:rStyle w:val="CharacterStyle6"/>
              </w:rPr>
            </w:pPr>
            <w:r>
              <w:rPr>
                <w:rStyle w:val="CharacterStyle6"/>
              </w:rPr>
              <w:t>2.836,00</w:t>
            </w:r>
          </w:p>
        </w:tc>
      </w:tr>
      <w:tr w:rsidR="007D706A" w14:paraId="0CAEC42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3A72A49"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2F0E0FBB"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497E5146"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E00CA31" w14:textId="77777777" w:rsidR="007D706A" w:rsidRDefault="007D706A" w:rsidP="00F70508">
            <w:pPr>
              <w:pStyle w:val="ParagraphStyle9"/>
              <w:rPr>
                <w:rStyle w:val="CharacterStyle9"/>
              </w:rPr>
            </w:pPr>
            <w:r>
              <w:rPr>
                <w:rStyle w:val="CharacterStyle9"/>
              </w:rPr>
              <w:t>2.700,00</w:t>
            </w:r>
          </w:p>
        </w:tc>
        <w:tc>
          <w:tcPr>
            <w:tcW w:w="1395" w:type="dxa"/>
            <w:tcBorders>
              <w:bottom w:val="single" w:sz="6" w:space="0" w:color="000000"/>
              <w:right w:val="single" w:sz="6" w:space="0" w:color="000000"/>
            </w:tcBorders>
            <w:vAlign w:val="center"/>
          </w:tcPr>
          <w:p w14:paraId="4F597285" w14:textId="77777777" w:rsidR="007D706A" w:rsidRDefault="007D706A" w:rsidP="00F70508">
            <w:pPr>
              <w:pStyle w:val="ParagraphStyle9"/>
              <w:rPr>
                <w:rStyle w:val="CharacterStyle9"/>
              </w:rPr>
            </w:pPr>
            <w:r>
              <w:rPr>
                <w:rStyle w:val="CharacterStyle9"/>
              </w:rPr>
              <w:t>2.700,00</w:t>
            </w:r>
          </w:p>
        </w:tc>
        <w:tc>
          <w:tcPr>
            <w:tcW w:w="1395" w:type="dxa"/>
            <w:tcBorders>
              <w:bottom w:val="single" w:sz="6" w:space="0" w:color="000000"/>
              <w:right w:val="single" w:sz="6" w:space="0" w:color="000000"/>
            </w:tcBorders>
            <w:vAlign w:val="center"/>
          </w:tcPr>
          <w:p w14:paraId="358B456A" w14:textId="77777777" w:rsidR="007D706A" w:rsidRDefault="007D706A" w:rsidP="00F70508">
            <w:pPr>
              <w:pStyle w:val="ParagraphStyle9"/>
              <w:rPr>
                <w:rStyle w:val="CharacterStyle9"/>
              </w:rPr>
            </w:pPr>
            <w:r>
              <w:rPr>
                <w:rStyle w:val="CharacterStyle9"/>
              </w:rPr>
              <w:t>2.808,00</w:t>
            </w:r>
          </w:p>
        </w:tc>
        <w:tc>
          <w:tcPr>
            <w:tcW w:w="1395" w:type="dxa"/>
            <w:tcBorders>
              <w:bottom w:val="single" w:sz="6" w:space="0" w:color="000000"/>
              <w:right w:val="single" w:sz="6" w:space="0" w:color="000000"/>
            </w:tcBorders>
            <w:vAlign w:val="center"/>
          </w:tcPr>
          <w:p w14:paraId="3AF2B8F8" w14:textId="77777777" w:rsidR="007D706A" w:rsidRDefault="007D706A" w:rsidP="00F70508">
            <w:pPr>
              <w:pStyle w:val="ParagraphStyle9"/>
              <w:rPr>
                <w:rStyle w:val="CharacterStyle9"/>
              </w:rPr>
            </w:pPr>
            <w:r>
              <w:rPr>
                <w:rStyle w:val="CharacterStyle9"/>
              </w:rPr>
              <w:t>2.836,00</w:t>
            </w:r>
          </w:p>
        </w:tc>
      </w:tr>
      <w:tr w:rsidR="007D706A" w14:paraId="1BE999B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7A8FA7F"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189E8F30"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15E7EEF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DC855D8" w14:textId="77777777" w:rsidR="007D706A" w:rsidRDefault="007D706A" w:rsidP="00F70508">
            <w:pPr>
              <w:pStyle w:val="ParagraphStyle12"/>
              <w:rPr>
                <w:rStyle w:val="CharacterStyle12"/>
              </w:rPr>
            </w:pPr>
            <w:r>
              <w:rPr>
                <w:rStyle w:val="CharacterStyle12"/>
              </w:rPr>
              <w:t>2.700,00</w:t>
            </w:r>
          </w:p>
        </w:tc>
        <w:tc>
          <w:tcPr>
            <w:tcW w:w="1395" w:type="dxa"/>
            <w:tcBorders>
              <w:bottom w:val="single" w:sz="6" w:space="0" w:color="000000"/>
              <w:right w:val="single" w:sz="6" w:space="0" w:color="000000"/>
            </w:tcBorders>
            <w:vAlign w:val="center"/>
          </w:tcPr>
          <w:p w14:paraId="09923BEE" w14:textId="77777777" w:rsidR="007D706A" w:rsidRDefault="007D706A" w:rsidP="00F70508">
            <w:pPr>
              <w:pStyle w:val="ParagraphStyle12"/>
              <w:rPr>
                <w:rStyle w:val="CharacterStyle12"/>
              </w:rPr>
            </w:pPr>
            <w:r>
              <w:rPr>
                <w:rStyle w:val="CharacterStyle12"/>
              </w:rPr>
              <w:t>2.700,00</w:t>
            </w:r>
          </w:p>
        </w:tc>
        <w:tc>
          <w:tcPr>
            <w:tcW w:w="1395" w:type="dxa"/>
            <w:tcBorders>
              <w:bottom w:val="single" w:sz="6" w:space="0" w:color="000000"/>
              <w:right w:val="single" w:sz="6" w:space="0" w:color="000000"/>
            </w:tcBorders>
            <w:vAlign w:val="center"/>
          </w:tcPr>
          <w:p w14:paraId="4A11C1B2" w14:textId="77777777" w:rsidR="007D706A" w:rsidRDefault="007D706A" w:rsidP="00F70508">
            <w:pPr>
              <w:pStyle w:val="ParagraphStyle12"/>
              <w:rPr>
                <w:rStyle w:val="CharacterStyle12"/>
              </w:rPr>
            </w:pPr>
            <w:r>
              <w:rPr>
                <w:rStyle w:val="CharacterStyle12"/>
              </w:rPr>
              <w:t>2.808,00</w:t>
            </w:r>
          </w:p>
        </w:tc>
        <w:tc>
          <w:tcPr>
            <w:tcW w:w="1395" w:type="dxa"/>
            <w:tcBorders>
              <w:bottom w:val="single" w:sz="6" w:space="0" w:color="000000"/>
              <w:right w:val="single" w:sz="6" w:space="0" w:color="000000"/>
            </w:tcBorders>
            <w:vAlign w:val="center"/>
          </w:tcPr>
          <w:p w14:paraId="2640B843" w14:textId="77777777" w:rsidR="007D706A" w:rsidRDefault="007D706A" w:rsidP="00F70508">
            <w:pPr>
              <w:pStyle w:val="ParagraphStyle12"/>
              <w:rPr>
                <w:rStyle w:val="CharacterStyle12"/>
              </w:rPr>
            </w:pPr>
            <w:r>
              <w:rPr>
                <w:rStyle w:val="CharacterStyle12"/>
              </w:rPr>
              <w:t>2.836,00</w:t>
            </w:r>
          </w:p>
        </w:tc>
      </w:tr>
      <w:tr w:rsidR="007D706A" w14:paraId="38E91CA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BBABDDF"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7612FD48"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518BBB4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89D5475" w14:textId="77777777" w:rsidR="007D706A" w:rsidRDefault="007D706A" w:rsidP="00F70508">
            <w:pPr>
              <w:pStyle w:val="ParagraphStyle12"/>
              <w:rPr>
                <w:rStyle w:val="CharacterStyle12"/>
              </w:rPr>
            </w:pPr>
            <w:r>
              <w:rPr>
                <w:rStyle w:val="CharacterStyle12"/>
              </w:rPr>
              <w:t>2.700,00</w:t>
            </w:r>
          </w:p>
        </w:tc>
        <w:tc>
          <w:tcPr>
            <w:tcW w:w="1395" w:type="dxa"/>
            <w:tcBorders>
              <w:bottom w:val="single" w:sz="6" w:space="0" w:color="000000"/>
              <w:right w:val="single" w:sz="6" w:space="0" w:color="000000"/>
            </w:tcBorders>
            <w:vAlign w:val="center"/>
          </w:tcPr>
          <w:p w14:paraId="46BE0464" w14:textId="77777777" w:rsidR="007D706A" w:rsidRDefault="007D706A" w:rsidP="00F70508">
            <w:pPr>
              <w:pStyle w:val="ParagraphStyle12"/>
              <w:rPr>
                <w:rStyle w:val="CharacterStyle12"/>
              </w:rPr>
            </w:pPr>
            <w:r>
              <w:rPr>
                <w:rStyle w:val="CharacterStyle12"/>
              </w:rPr>
              <w:t>2.700,00</w:t>
            </w:r>
          </w:p>
        </w:tc>
        <w:tc>
          <w:tcPr>
            <w:tcW w:w="1395" w:type="dxa"/>
            <w:tcBorders>
              <w:bottom w:val="single" w:sz="6" w:space="0" w:color="000000"/>
              <w:right w:val="single" w:sz="6" w:space="0" w:color="000000"/>
            </w:tcBorders>
            <w:vAlign w:val="center"/>
          </w:tcPr>
          <w:p w14:paraId="02BB3BC9" w14:textId="77777777" w:rsidR="007D706A" w:rsidRDefault="007D706A" w:rsidP="00F70508">
            <w:pPr>
              <w:pStyle w:val="ParagraphStyle12"/>
              <w:rPr>
                <w:rStyle w:val="CharacterStyle12"/>
              </w:rPr>
            </w:pPr>
            <w:r>
              <w:rPr>
                <w:rStyle w:val="CharacterStyle12"/>
              </w:rPr>
              <w:t>2.808,00</w:t>
            </w:r>
          </w:p>
        </w:tc>
        <w:tc>
          <w:tcPr>
            <w:tcW w:w="1395" w:type="dxa"/>
            <w:tcBorders>
              <w:bottom w:val="single" w:sz="6" w:space="0" w:color="000000"/>
              <w:right w:val="single" w:sz="6" w:space="0" w:color="000000"/>
            </w:tcBorders>
            <w:vAlign w:val="center"/>
          </w:tcPr>
          <w:p w14:paraId="63F13E1F" w14:textId="77777777" w:rsidR="007D706A" w:rsidRDefault="007D706A" w:rsidP="00F70508">
            <w:pPr>
              <w:pStyle w:val="ParagraphStyle12"/>
              <w:rPr>
                <w:rStyle w:val="CharacterStyle12"/>
              </w:rPr>
            </w:pPr>
            <w:r>
              <w:rPr>
                <w:rStyle w:val="CharacterStyle12"/>
              </w:rPr>
              <w:t>2.836,00</w:t>
            </w:r>
          </w:p>
        </w:tc>
      </w:tr>
      <w:tr w:rsidR="007D706A" w14:paraId="26B2E56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1FC3683" w14:textId="77777777" w:rsidR="007D706A" w:rsidRDefault="007D706A" w:rsidP="00F70508">
            <w:pPr>
              <w:pStyle w:val="ParagraphStyle4"/>
              <w:rPr>
                <w:rStyle w:val="CharacterStyle4"/>
              </w:rPr>
            </w:pPr>
            <w:r>
              <w:rPr>
                <w:rStyle w:val="CharacterStyle4"/>
              </w:rPr>
              <w:t>Aktivnost A103613</w:t>
            </w:r>
          </w:p>
        </w:tc>
        <w:tc>
          <w:tcPr>
            <w:tcW w:w="4995" w:type="dxa"/>
            <w:tcBorders>
              <w:bottom w:val="single" w:sz="6" w:space="0" w:color="000000"/>
              <w:right w:val="single" w:sz="6" w:space="0" w:color="000000"/>
            </w:tcBorders>
            <w:vAlign w:val="center"/>
          </w:tcPr>
          <w:p w14:paraId="23C41A41" w14:textId="77777777" w:rsidR="007D706A" w:rsidRDefault="007D706A" w:rsidP="00F70508">
            <w:pPr>
              <w:pStyle w:val="ParagraphStyle5"/>
              <w:rPr>
                <w:rStyle w:val="CharacterStyle5"/>
              </w:rPr>
            </w:pPr>
            <w:r>
              <w:rPr>
                <w:rStyle w:val="CharacterStyle5"/>
              </w:rPr>
              <w:t>PROGRAMI I AKTIVNOSTI ŠKOLE</w:t>
            </w:r>
          </w:p>
        </w:tc>
        <w:tc>
          <w:tcPr>
            <w:tcW w:w="1395" w:type="dxa"/>
            <w:tcBorders>
              <w:bottom w:val="single" w:sz="6" w:space="0" w:color="000000"/>
              <w:right w:val="single" w:sz="6" w:space="0" w:color="000000"/>
            </w:tcBorders>
            <w:vAlign w:val="center"/>
          </w:tcPr>
          <w:p w14:paraId="35300136"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0DAB470B" w14:textId="77777777" w:rsidR="007D706A" w:rsidRDefault="007D706A" w:rsidP="00F70508">
            <w:pPr>
              <w:pStyle w:val="ParagraphStyle6"/>
              <w:rPr>
                <w:rStyle w:val="CharacterStyle6"/>
              </w:rPr>
            </w:pPr>
            <w:r>
              <w:rPr>
                <w:rStyle w:val="CharacterStyle6"/>
              </w:rPr>
              <w:t>116.685,63</w:t>
            </w:r>
          </w:p>
        </w:tc>
        <w:tc>
          <w:tcPr>
            <w:tcW w:w="1395" w:type="dxa"/>
            <w:tcBorders>
              <w:bottom w:val="single" w:sz="6" w:space="0" w:color="000000"/>
              <w:right w:val="single" w:sz="6" w:space="0" w:color="000000"/>
            </w:tcBorders>
            <w:vAlign w:val="center"/>
          </w:tcPr>
          <w:p w14:paraId="7ED11CFA" w14:textId="77777777" w:rsidR="007D706A" w:rsidRDefault="007D706A" w:rsidP="00F70508">
            <w:pPr>
              <w:pStyle w:val="ParagraphStyle6"/>
              <w:rPr>
                <w:rStyle w:val="CharacterStyle6"/>
              </w:rPr>
            </w:pPr>
            <w:r>
              <w:rPr>
                <w:rStyle w:val="CharacterStyle6"/>
              </w:rPr>
              <w:t>66.600,00</w:t>
            </w:r>
          </w:p>
        </w:tc>
        <w:tc>
          <w:tcPr>
            <w:tcW w:w="1395" w:type="dxa"/>
            <w:tcBorders>
              <w:bottom w:val="single" w:sz="6" w:space="0" w:color="000000"/>
              <w:right w:val="single" w:sz="6" w:space="0" w:color="000000"/>
            </w:tcBorders>
            <w:vAlign w:val="center"/>
          </w:tcPr>
          <w:p w14:paraId="37519490" w14:textId="77777777" w:rsidR="007D706A" w:rsidRDefault="007D706A" w:rsidP="00F70508">
            <w:pPr>
              <w:pStyle w:val="ParagraphStyle6"/>
              <w:rPr>
                <w:rStyle w:val="CharacterStyle6"/>
              </w:rPr>
            </w:pPr>
            <w:r>
              <w:rPr>
                <w:rStyle w:val="CharacterStyle6"/>
              </w:rPr>
              <w:t>48.776,00</w:t>
            </w:r>
          </w:p>
        </w:tc>
        <w:tc>
          <w:tcPr>
            <w:tcW w:w="1395" w:type="dxa"/>
            <w:tcBorders>
              <w:bottom w:val="single" w:sz="6" w:space="0" w:color="000000"/>
              <w:right w:val="single" w:sz="6" w:space="0" w:color="000000"/>
            </w:tcBorders>
            <w:vAlign w:val="center"/>
          </w:tcPr>
          <w:p w14:paraId="4FBD27F6" w14:textId="77777777" w:rsidR="007D706A" w:rsidRDefault="007D706A" w:rsidP="00F70508">
            <w:pPr>
              <w:pStyle w:val="ParagraphStyle6"/>
              <w:rPr>
                <w:rStyle w:val="CharacterStyle6"/>
              </w:rPr>
            </w:pPr>
            <w:r>
              <w:rPr>
                <w:rStyle w:val="CharacterStyle6"/>
              </w:rPr>
              <w:t>49.265,00</w:t>
            </w:r>
          </w:p>
        </w:tc>
      </w:tr>
      <w:tr w:rsidR="007D706A" w14:paraId="5A6F591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818775E"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1DA812CA"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53E5875A"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7867BD6" w14:textId="77777777" w:rsidR="007D706A" w:rsidRDefault="007D706A" w:rsidP="00F70508">
            <w:pPr>
              <w:pStyle w:val="ParagraphStyle9"/>
              <w:rPr>
                <w:rStyle w:val="CharacterStyle9"/>
              </w:rPr>
            </w:pPr>
            <w:r>
              <w:rPr>
                <w:rStyle w:val="CharacterStyle9"/>
              </w:rPr>
              <w:t>5.002,13</w:t>
            </w:r>
          </w:p>
        </w:tc>
        <w:tc>
          <w:tcPr>
            <w:tcW w:w="1395" w:type="dxa"/>
            <w:tcBorders>
              <w:bottom w:val="single" w:sz="6" w:space="0" w:color="000000"/>
              <w:right w:val="single" w:sz="6" w:space="0" w:color="000000"/>
            </w:tcBorders>
            <w:vAlign w:val="center"/>
          </w:tcPr>
          <w:p w14:paraId="6D49890C" w14:textId="77777777" w:rsidR="007D706A" w:rsidRDefault="007D706A" w:rsidP="00F70508">
            <w:pPr>
              <w:pStyle w:val="ParagraphStyle9"/>
              <w:rPr>
                <w:rStyle w:val="CharacterStyle9"/>
              </w:rPr>
            </w:pPr>
            <w:r>
              <w:rPr>
                <w:rStyle w:val="CharacterStyle9"/>
              </w:rPr>
              <w:t>6.600,00</w:t>
            </w:r>
          </w:p>
        </w:tc>
        <w:tc>
          <w:tcPr>
            <w:tcW w:w="1395" w:type="dxa"/>
            <w:tcBorders>
              <w:bottom w:val="single" w:sz="6" w:space="0" w:color="000000"/>
              <w:right w:val="single" w:sz="6" w:space="0" w:color="000000"/>
            </w:tcBorders>
            <w:vAlign w:val="center"/>
          </w:tcPr>
          <w:p w14:paraId="391B7610" w14:textId="77777777" w:rsidR="007D706A" w:rsidRDefault="007D706A" w:rsidP="00F70508">
            <w:pPr>
              <w:pStyle w:val="ParagraphStyle9"/>
              <w:rPr>
                <w:rStyle w:val="CharacterStyle9"/>
              </w:rPr>
            </w:pPr>
            <w:r>
              <w:rPr>
                <w:rStyle w:val="CharacterStyle9"/>
              </w:rPr>
              <w:t>6.864,00</w:t>
            </w:r>
          </w:p>
        </w:tc>
        <w:tc>
          <w:tcPr>
            <w:tcW w:w="1395" w:type="dxa"/>
            <w:tcBorders>
              <w:bottom w:val="single" w:sz="6" w:space="0" w:color="000000"/>
              <w:right w:val="single" w:sz="6" w:space="0" w:color="000000"/>
            </w:tcBorders>
            <w:vAlign w:val="center"/>
          </w:tcPr>
          <w:p w14:paraId="6D8D2272" w14:textId="77777777" w:rsidR="007D706A" w:rsidRDefault="007D706A" w:rsidP="00F70508">
            <w:pPr>
              <w:pStyle w:val="ParagraphStyle9"/>
              <w:rPr>
                <w:rStyle w:val="CharacterStyle9"/>
              </w:rPr>
            </w:pPr>
            <w:r>
              <w:rPr>
                <w:rStyle w:val="CharacterStyle9"/>
              </w:rPr>
              <w:t>6.933,00</w:t>
            </w:r>
          </w:p>
        </w:tc>
      </w:tr>
      <w:tr w:rsidR="007D706A" w14:paraId="45ECF54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CB89925"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50D81494"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0C9A609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97826C6" w14:textId="77777777" w:rsidR="007D706A" w:rsidRDefault="007D706A" w:rsidP="00F70508">
            <w:pPr>
              <w:pStyle w:val="ParagraphStyle12"/>
              <w:rPr>
                <w:rStyle w:val="CharacterStyle12"/>
              </w:rPr>
            </w:pPr>
            <w:r>
              <w:rPr>
                <w:rStyle w:val="CharacterStyle12"/>
              </w:rPr>
              <w:t>5.002,13</w:t>
            </w:r>
          </w:p>
        </w:tc>
        <w:tc>
          <w:tcPr>
            <w:tcW w:w="1395" w:type="dxa"/>
            <w:tcBorders>
              <w:bottom w:val="single" w:sz="6" w:space="0" w:color="000000"/>
              <w:right w:val="single" w:sz="6" w:space="0" w:color="000000"/>
            </w:tcBorders>
            <w:vAlign w:val="center"/>
          </w:tcPr>
          <w:p w14:paraId="317429F6" w14:textId="77777777" w:rsidR="007D706A" w:rsidRDefault="007D706A" w:rsidP="00F70508">
            <w:pPr>
              <w:pStyle w:val="ParagraphStyle12"/>
              <w:rPr>
                <w:rStyle w:val="CharacterStyle12"/>
              </w:rPr>
            </w:pPr>
            <w:r>
              <w:rPr>
                <w:rStyle w:val="CharacterStyle12"/>
              </w:rPr>
              <w:t>6.600,00</w:t>
            </w:r>
          </w:p>
        </w:tc>
        <w:tc>
          <w:tcPr>
            <w:tcW w:w="1395" w:type="dxa"/>
            <w:tcBorders>
              <w:bottom w:val="single" w:sz="6" w:space="0" w:color="000000"/>
              <w:right w:val="single" w:sz="6" w:space="0" w:color="000000"/>
            </w:tcBorders>
            <w:vAlign w:val="center"/>
          </w:tcPr>
          <w:p w14:paraId="507A8667" w14:textId="77777777" w:rsidR="007D706A" w:rsidRDefault="007D706A" w:rsidP="00F70508">
            <w:pPr>
              <w:pStyle w:val="ParagraphStyle12"/>
              <w:rPr>
                <w:rStyle w:val="CharacterStyle12"/>
              </w:rPr>
            </w:pPr>
            <w:r>
              <w:rPr>
                <w:rStyle w:val="CharacterStyle12"/>
              </w:rPr>
              <w:t>6.864,00</w:t>
            </w:r>
          </w:p>
        </w:tc>
        <w:tc>
          <w:tcPr>
            <w:tcW w:w="1395" w:type="dxa"/>
            <w:tcBorders>
              <w:bottom w:val="single" w:sz="6" w:space="0" w:color="000000"/>
              <w:right w:val="single" w:sz="6" w:space="0" w:color="000000"/>
            </w:tcBorders>
            <w:vAlign w:val="center"/>
          </w:tcPr>
          <w:p w14:paraId="0782F490" w14:textId="77777777" w:rsidR="007D706A" w:rsidRDefault="007D706A" w:rsidP="00F70508">
            <w:pPr>
              <w:pStyle w:val="ParagraphStyle12"/>
              <w:rPr>
                <w:rStyle w:val="CharacterStyle12"/>
              </w:rPr>
            </w:pPr>
            <w:r>
              <w:rPr>
                <w:rStyle w:val="CharacterStyle12"/>
              </w:rPr>
              <w:t>6.933,00</w:t>
            </w:r>
          </w:p>
        </w:tc>
      </w:tr>
      <w:tr w:rsidR="007D706A" w14:paraId="544D7EC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E8B85A2"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39925897"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3E5D704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1A9EC7A" w14:textId="77777777" w:rsidR="007D706A" w:rsidRDefault="007D706A" w:rsidP="00F70508">
            <w:pPr>
              <w:pStyle w:val="ParagraphStyle12"/>
              <w:rPr>
                <w:rStyle w:val="CharacterStyle12"/>
              </w:rPr>
            </w:pPr>
            <w:r>
              <w:rPr>
                <w:rStyle w:val="CharacterStyle12"/>
              </w:rPr>
              <w:t>5.002,13</w:t>
            </w:r>
          </w:p>
        </w:tc>
        <w:tc>
          <w:tcPr>
            <w:tcW w:w="1395" w:type="dxa"/>
            <w:tcBorders>
              <w:bottom w:val="single" w:sz="6" w:space="0" w:color="000000"/>
              <w:right w:val="single" w:sz="6" w:space="0" w:color="000000"/>
            </w:tcBorders>
            <w:vAlign w:val="center"/>
          </w:tcPr>
          <w:p w14:paraId="0EE1C822" w14:textId="77777777" w:rsidR="007D706A" w:rsidRDefault="007D706A" w:rsidP="00F70508">
            <w:pPr>
              <w:pStyle w:val="ParagraphStyle12"/>
              <w:rPr>
                <w:rStyle w:val="CharacterStyle12"/>
              </w:rPr>
            </w:pPr>
            <w:r>
              <w:rPr>
                <w:rStyle w:val="CharacterStyle12"/>
              </w:rPr>
              <w:t>6.600,00</w:t>
            </w:r>
          </w:p>
        </w:tc>
        <w:tc>
          <w:tcPr>
            <w:tcW w:w="1395" w:type="dxa"/>
            <w:tcBorders>
              <w:bottom w:val="single" w:sz="6" w:space="0" w:color="000000"/>
              <w:right w:val="single" w:sz="6" w:space="0" w:color="000000"/>
            </w:tcBorders>
            <w:vAlign w:val="center"/>
          </w:tcPr>
          <w:p w14:paraId="06C78298" w14:textId="77777777" w:rsidR="007D706A" w:rsidRDefault="007D706A" w:rsidP="00F70508">
            <w:pPr>
              <w:pStyle w:val="ParagraphStyle12"/>
              <w:rPr>
                <w:rStyle w:val="CharacterStyle12"/>
              </w:rPr>
            </w:pPr>
            <w:r>
              <w:rPr>
                <w:rStyle w:val="CharacterStyle12"/>
              </w:rPr>
              <w:t>6.864,00</w:t>
            </w:r>
          </w:p>
        </w:tc>
        <w:tc>
          <w:tcPr>
            <w:tcW w:w="1395" w:type="dxa"/>
            <w:tcBorders>
              <w:bottom w:val="single" w:sz="6" w:space="0" w:color="000000"/>
              <w:right w:val="single" w:sz="6" w:space="0" w:color="000000"/>
            </w:tcBorders>
            <w:vAlign w:val="center"/>
          </w:tcPr>
          <w:p w14:paraId="2EE9A436" w14:textId="77777777" w:rsidR="007D706A" w:rsidRDefault="007D706A" w:rsidP="00F70508">
            <w:pPr>
              <w:pStyle w:val="ParagraphStyle12"/>
              <w:rPr>
                <w:rStyle w:val="CharacterStyle12"/>
              </w:rPr>
            </w:pPr>
            <w:r>
              <w:rPr>
                <w:rStyle w:val="CharacterStyle12"/>
              </w:rPr>
              <w:t>6.933,00</w:t>
            </w:r>
          </w:p>
        </w:tc>
      </w:tr>
      <w:tr w:rsidR="007D706A" w14:paraId="73C786F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C05D6B0" w14:textId="77777777" w:rsidR="007D706A" w:rsidRDefault="007D706A" w:rsidP="00F70508">
            <w:pPr>
              <w:pStyle w:val="ParagraphStyle7"/>
              <w:rPr>
                <w:rStyle w:val="CharacterStyle7"/>
              </w:rPr>
            </w:pPr>
            <w:r>
              <w:rPr>
                <w:rStyle w:val="CharacterStyle7"/>
              </w:rPr>
              <w:t>Izvor financiranja 31</w:t>
            </w:r>
          </w:p>
        </w:tc>
        <w:tc>
          <w:tcPr>
            <w:tcW w:w="4995" w:type="dxa"/>
            <w:tcBorders>
              <w:bottom w:val="single" w:sz="6" w:space="0" w:color="000000"/>
              <w:right w:val="single" w:sz="6" w:space="0" w:color="000000"/>
            </w:tcBorders>
            <w:vAlign w:val="center"/>
          </w:tcPr>
          <w:p w14:paraId="4709E678" w14:textId="77777777" w:rsidR="007D706A" w:rsidRDefault="007D706A" w:rsidP="00F70508">
            <w:pPr>
              <w:pStyle w:val="ParagraphStyle8"/>
              <w:rPr>
                <w:rStyle w:val="CharacterStyle8"/>
              </w:rPr>
            </w:pPr>
            <w:r>
              <w:rPr>
                <w:rStyle w:val="CharacterStyle8"/>
              </w:rPr>
              <w:t>Vlastiti prihodi</w:t>
            </w:r>
          </w:p>
        </w:tc>
        <w:tc>
          <w:tcPr>
            <w:tcW w:w="1395" w:type="dxa"/>
            <w:tcBorders>
              <w:bottom w:val="single" w:sz="6" w:space="0" w:color="000000"/>
              <w:right w:val="single" w:sz="6" w:space="0" w:color="000000"/>
            </w:tcBorders>
            <w:vAlign w:val="center"/>
          </w:tcPr>
          <w:p w14:paraId="61DB5CD6"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7857661" w14:textId="77777777" w:rsidR="007D706A" w:rsidRDefault="007D706A" w:rsidP="00F70508">
            <w:pPr>
              <w:pStyle w:val="ParagraphStyle9"/>
              <w:rPr>
                <w:rStyle w:val="CharacterStyle9"/>
              </w:rPr>
            </w:pPr>
            <w:r>
              <w:rPr>
                <w:rStyle w:val="CharacterStyle9"/>
              </w:rPr>
              <w:t>700,00</w:t>
            </w:r>
          </w:p>
        </w:tc>
        <w:tc>
          <w:tcPr>
            <w:tcW w:w="1395" w:type="dxa"/>
            <w:tcBorders>
              <w:bottom w:val="single" w:sz="6" w:space="0" w:color="000000"/>
              <w:right w:val="single" w:sz="6" w:space="0" w:color="000000"/>
            </w:tcBorders>
            <w:vAlign w:val="center"/>
          </w:tcPr>
          <w:p w14:paraId="161B2BA7" w14:textId="77777777" w:rsidR="007D706A" w:rsidRDefault="007D706A" w:rsidP="00F70508">
            <w:pPr>
              <w:pStyle w:val="ParagraphStyle9"/>
              <w:rPr>
                <w:rStyle w:val="CharacterStyle9"/>
              </w:rPr>
            </w:pPr>
            <w:r>
              <w:rPr>
                <w:rStyle w:val="CharacterStyle9"/>
              </w:rPr>
              <w:t>20.400,00</w:t>
            </w:r>
          </w:p>
        </w:tc>
        <w:tc>
          <w:tcPr>
            <w:tcW w:w="1395" w:type="dxa"/>
            <w:tcBorders>
              <w:bottom w:val="single" w:sz="6" w:space="0" w:color="000000"/>
              <w:right w:val="single" w:sz="6" w:space="0" w:color="000000"/>
            </w:tcBorders>
            <w:vAlign w:val="center"/>
          </w:tcPr>
          <w:p w14:paraId="2B6652ED" w14:textId="77777777" w:rsidR="007D706A" w:rsidRDefault="007D706A" w:rsidP="00F70508">
            <w:pPr>
              <w:pStyle w:val="ParagraphStyle9"/>
              <w:rPr>
                <w:rStyle w:val="CharacterStyle9"/>
              </w:rPr>
            </w:pPr>
            <w:r>
              <w:rPr>
                <w:rStyle w:val="CharacterStyle9"/>
              </w:rPr>
              <w:t>728,00</w:t>
            </w:r>
          </w:p>
        </w:tc>
        <w:tc>
          <w:tcPr>
            <w:tcW w:w="1395" w:type="dxa"/>
            <w:tcBorders>
              <w:bottom w:val="single" w:sz="6" w:space="0" w:color="000000"/>
              <w:right w:val="single" w:sz="6" w:space="0" w:color="000000"/>
            </w:tcBorders>
            <w:vAlign w:val="center"/>
          </w:tcPr>
          <w:p w14:paraId="0F881CDA" w14:textId="77777777" w:rsidR="007D706A" w:rsidRDefault="007D706A" w:rsidP="00F70508">
            <w:pPr>
              <w:pStyle w:val="ParagraphStyle9"/>
              <w:rPr>
                <w:rStyle w:val="CharacterStyle9"/>
              </w:rPr>
            </w:pPr>
            <w:r>
              <w:rPr>
                <w:rStyle w:val="CharacterStyle9"/>
              </w:rPr>
              <w:t>735,00</w:t>
            </w:r>
          </w:p>
        </w:tc>
      </w:tr>
      <w:tr w:rsidR="007D706A" w14:paraId="76A2DEA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892E07E"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45BB255A"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3794D6E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404E9ED" w14:textId="77777777" w:rsidR="007D706A" w:rsidRDefault="007D706A" w:rsidP="00F70508">
            <w:pPr>
              <w:pStyle w:val="ParagraphStyle12"/>
              <w:rPr>
                <w:rStyle w:val="CharacterStyle12"/>
              </w:rPr>
            </w:pPr>
            <w:r>
              <w:rPr>
                <w:rStyle w:val="CharacterStyle12"/>
              </w:rPr>
              <w:t>700,00</w:t>
            </w:r>
          </w:p>
        </w:tc>
        <w:tc>
          <w:tcPr>
            <w:tcW w:w="1395" w:type="dxa"/>
            <w:tcBorders>
              <w:bottom w:val="single" w:sz="6" w:space="0" w:color="000000"/>
              <w:right w:val="single" w:sz="6" w:space="0" w:color="000000"/>
            </w:tcBorders>
            <w:vAlign w:val="center"/>
          </w:tcPr>
          <w:p w14:paraId="2B8F2807" w14:textId="77777777" w:rsidR="007D706A" w:rsidRDefault="007D706A" w:rsidP="00F70508">
            <w:pPr>
              <w:pStyle w:val="ParagraphStyle12"/>
              <w:rPr>
                <w:rStyle w:val="CharacterStyle12"/>
              </w:rPr>
            </w:pPr>
            <w:r>
              <w:rPr>
                <w:rStyle w:val="CharacterStyle12"/>
              </w:rPr>
              <w:t>20.400,00</w:t>
            </w:r>
          </w:p>
        </w:tc>
        <w:tc>
          <w:tcPr>
            <w:tcW w:w="1395" w:type="dxa"/>
            <w:tcBorders>
              <w:bottom w:val="single" w:sz="6" w:space="0" w:color="000000"/>
              <w:right w:val="single" w:sz="6" w:space="0" w:color="000000"/>
            </w:tcBorders>
            <w:vAlign w:val="center"/>
          </w:tcPr>
          <w:p w14:paraId="2DFF62D8" w14:textId="77777777" w:rsidR="007D706A" w:rsidRDefault="007D706A" w:rsidP="00F70508">
            <w:pPr>
              <w:pStyle w:val="ParagraphStyle12"/>
              <w:rPr>
                <w:rStyle w:val="CharacterStyle12"/>
              </w:rPr>
            </w:pPr>
            <w:r>
              <w:rPr>
                <w:rStyle w:val="CharacterStyle12"/>
              </w:rPr>
              <w:t>728,00</w:t>
            </w:r>
          </w:p>
        </w:tc>
        <w:tc>
          <w:tcPr>
            <w:tcW w:w="1395" w:type="dxa"/>
            <w:tcBorders>
              <w:bottom w:val="single" w:sz="6" w:space="0" w:color="000000"/>
              <w:right w:val="single" w:sz="6" w:space="0" w:color="000000"/>
            </w:tcBorders>
            <w:vAlign w:val="center"/>
          </w:tcPr>
          <w:p w14:paraId="397FCB31" w14:textId="77777777" w:rsidR="007D706A" w:rsidRDefault="007D706A" w:rsidP="00F70508">
            <w:pPr>
              <w:pStyle w:val="ParagraphStyle12"/>
              <w:rPr>
                <w:rStyle w:val="CharacterStyle12"/>
              </w:rPr>
            </w:pPr>
            <w:r>
              <w:rPr>
                <w:rStyle w:val="CharacterStyle12"/>
              </w:rPr>
              <w:t>735,00</w:t>
            </w:r>
          </w:p>
        </w:tc>
      </w:tr>
      <w:tr w:rsidR="007D706A" w14:paraId="29A48C66"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144B449" w14:textId="77777777" w:rsidR="007D706A" w:rsidRDefault="007D706A" w:rsidP="00F70508">
            <w:pPr>
              <w:pStyle w:val="ParagraphStyle10"/>
              <w:rPr>
                <w:rStyle w:val="CharacterStyle10"/>
              </w:rPr>
            </w:pPr>
            <w:r>
              <w:rPr>
                <w:rStyle w:val="CharacterStyle10"/>
              </w:rPr>
              <w:t>31</w:t>
            </w:r>
          </w:p>
        </w:tc>
        <w:tc>
          <w:tcPr>
            <w:tcW w:w="4995" w:type="dxa"/>
            <w:tcBorders>
              <w:bottom w:val="single" w:sz="6" w:space="0" w:color="000000"/>
              <w:right w:val="single" w:sz="6" w:space="0" w:color="000000"/>
            </w:tcBorders>
            <w:vAlign w:val="center"/>
          </w:tcPr>
          <w:p w14:paraId="23C54C08" w14:textId="77777777" w:rsidR="007D706A" w:rsidRDefault="007D706A" w:rsidP="00F70508">
            <w:pPr>
              <w:pStyle w:val="ParagraphStyle11"/>
              <w:rPr>
                <w:rStyle w:val="CharacterStyle11"/>
              </w:rPr>
            </w:pPr>
            <w:r>
              <w:rPr>
                <w:rStyle w:val="CharacterStyle11"/>
              </w:rPr>
              <w:t>Rashodi za zaposlene</w:t>
            </w:r>
          </w:p>
        </w:tc>
        <w:tc>
          <w:tcPr>
            <w:tcW w:w="1395" w:type="dxa"/>
            <w:tcBorders>
              <w:bottom w:val="single" w:sz="6" w:space="0" w:color="000000"/>
              <w:right w:val="single" w:sz="6" w:space="0" w:color="000000"/>
            </w:tcBorders>
            <w:vAlign w:val="center"/>
          </w:tcPr>
          <w:p w14:paraId="63029DE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66FABC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51F13B2" w14:textId="77777777" w:rsidR="007D706A" w:rsidRDefault="007D706A" w:rsidP="00F70508">
            <w:pPr>
              <w:pStyle w:val="ParagraphStyle12"/>
              <w:rPr>
                <w:rStyle w:val="CharacterStyle12"/>
              </w:rPr>
            </w:pPr>
            <w:r>
              <w:rPr>
                <w:rStyle w:val="CharacterStyle12"/>
              </w:rPr>
              <w:t>1.165,00</w:t>
            </w:r>
          </w:p>
        </w:tc>
        <w:tc>
          <w:tcPr>
            <w:tcW w:w="1395" w:type="dxa"/>
            <w:tcBorders>
              <w:bottom w:val="single" w:sz="6" w:space="0" w:color="000000"/>
              <w:right w:val="single" w:sz="6" w:space="0" w:color="000000"/>
            </w:tcBorders>
            <w:vAlign w:val="center"/>
          </w:tcPr>
          <w:p w14:paraId="044351E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5AAEF21" w14:textId="77777777" w:rsidR="007D706A" w:rsidRDefault="007D706A" w:rsidP="00F70508">
            <w:pPr>
              <w:pStyle w:val="ParagraphStyle12"/>
              <w:rPr>
                <w:rStyle w:val="CharacterStyle12"/>
              </w:rPr>
            </w:pPr>
            <w:r>
              <w:rPr>
                <w:rStyle w:val="CharacterStyle12"/>
              </w:rPr>
              <w:t>0,00</w:t>
            </w:r>
          </w:p>
        </w:tc>
      </w:tr>
      <w:tr w:rsidR="007D706A" w14:paraId="025105B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8AADC81"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3DDA0439"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6FE0E3D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1925101" w14:textId="77777777" w:rsidR="007D706A" w:rsidRDefault="007D706A" w:rsidP="00F70508">
            <w:pPr>
              <w:pStyle w:val="ParagraphStyle12"/>
              <w:rPr>
                <w:rStyle w:val="CharacterStyle12"/>
              </w:rPr>
            </w:pPr>
            <w:r>
              <w:rPr>
                <w:rStyle w:val="CharacterStyle12"/>
              </w:rPr>
              <w:t>600,00</w:t>
            </w:r>
          </w:p>
        </w:tc>
        <w:tc>
          <w:tcPr>
            <w:tcW w:w="1395" w:type="dxa"/>
            <w:tcBorders>
              <w:bottom w:val="single" w:sz="6" w:space="0" w:color="000000"/>
              <w:right w:val="single" w:sz="6" w:space="0" w:color="000000"/>
            </w:tcBorders>
            <w:vAlign w:val="center"/>
          </w:tcPr>
          <w:p w14:paraId="053A645D" w14:textId="77777777" w:rsidR="007D706A" w:rsidRDefault="007D706A" w:rsidP="00F70508">
            <w:pPr>
              <w:pStyle w:val="ParagraphStyle12"/>
              <w:rPr>
                <w:rStyle w:val="CharacterStyle12"/>
              </w:rPr>
            </w:pPr>
            <w:r>
              <w:rPr>
                <w:rStyle w:val="CharacterStyle12"/>
              </w:rPr>
              <w:t>18.835,00</w:t>
            </w:r>
          </w:p>
        </w:tc>
        <w:tc>
          <w:tcPr>
            <w:tcW w:w="1395" w:type="dxa"/>
            <w:tcBorders>
              <w:bottom w:val="single" w:sz="6" w:space="0" w:color="000000"/>
              <w:right w:val="single" w:sz="6" w:space="0" w:color="000000"/>
            </w:tcBorders>
            <w:vAlign w:val="center"/>
          </w:tcPr>
          <w:p w14:paraId="2C2904D3" w14:textId="77777777" w:rsidR="007D706A" w:rsidRDefault="007D706A" w:rsidP="00F70508">
            <w:pPr>
              <w:pStyle w:val="ParagraphStyle12"/>
              <w:rPr>
                <w:rStyle w:val="CharacterStyle12"/>
              </w:rPr>
            </w:pPr>
            <w:r>
              <w:rPr>
                <w:rStyle w:val="CharacterStyle12"/>
              </w:rPr>
              <w:t>520,00</w:t>
            </w:r>
          </w:p>
        </w:tc>
        <w:tc>
          <w:tcPr>
            <w:tcW w:w="1395" w:type="dxa"/>
            <w:tcBorders>
              <w:bottom w:val="single" w:sz="6" w:space="0" w:color="000000"/>
              <w:right w:val="single" w:sz="6" w:space="0" w:color="000000"/>
            </w:tcBorders>
            <w:vAlign w:val="center"/>
          </w:tcPr>
          <w:p w14:paraId="3CAADF9B" w14:textId="77777777" w:rsidR="007D706A" w:rsidRDefault="007D706A" w:rsidP="00F70508">
            <w:pPr>
              <w:pStyle w:val="ParagraphStyle12"/>
              <w:rPr>
                <w:rStyle w:val="CharacterStyle12"/>
              </w:rPr>
            </w:pPr>
            <w:r>
              <w:rPr>
                <w:rStyle w:val="CharacterStyle12"/>
              </w:rPr>
              <w:t>525,00</w:t>
            </w:r>
          </w:p>
        </w:tc>
      </w:tr>
      <w:tr w:rsidR="007D706A" w14:paraId="6343BB9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9541C9B" w14:textId="77777777" w:rsidR="007D706A" w:rsidRDefault="007D706A" w:rsidP="00F70508">
            <w:pPr>
              <w:pStyle w:val="ParagraphStyle10"/>
              <w:rPr>
                <w:rStyle w:val="CharacterStyle10"/>
              </w:rPr>
            </w:pPr>
            <w:r>
              <w:rPr>
                <w:rStyle w:val="CharacterStyle10"/>
              </w:rPr>
              <w:t>34</w:t>
            </w:r>
          </w:p>
        </w:tc>
        <w:tc>
          <w:tcPr>
            <w:tcW w:w="4995" w:type="dxa"/>
            <w:tcBorders>
              <w:bottom w:val="single" w:sz="6" w:space="0" w:color="000000"/>
              <w:right w:val="single" w:sz="6" w:space="0" w:color="000000"/>
            </w:tcBorders>
            <w:vAlign w:val="center"/>
          </w:tcPr>
          <w:p w14:paraId="2ADA6730" w14:textId="77777777" w:rsidR="007D706A" w:rsidRDefault="007D706A" w:rsidP="00F70508">
            <w:pPr>
              <w:pStyle w:val="ParagraphStyle11"/>
              <w:rPr>
                <w:rStyle w:val="CharacterStyle11"/>
              </w:rPr>
            </w:pPr>
            <w:r>
              <w:rPr>
                <w:rStyle w:val="CharacterStyle11"/>
              </w:rPr>
              <w:t>Financijski rashodi</w:t>
            </w:r>
          </w:p>
        </w:tc>
        <w:tc>
          <w:tcPr>
            <w:tcW w:w="1395" w:type="dxa"/>
            <w:tcBorders>
              <w:bottom w:val="single" w:sz="6" w:space="0" w:color="000000"/>
              <w:right w:val="single" w:sz="6" w:space="0" w:color="000000"/>
            </w:tcBorders>
            <w:vAlign w:val="center"/>
          </w:tcPr>
          <w:p w14:paraId="17B5772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7A9D1EA" w14:textId="77777777" w:rsidR="007D706A" w:rsidRDefault="007D706A" w:rsidP="00F70508">
            <w:pPr>
              <w:pStyle w:val="ParagraphStyle12"/>
              <w:rPr>
                <w:rStyle w:val="CharacterStyle12"/>
              </w:rPr>
            </w:pPr>
            <w:r>
              <w:rPr>
                <w:rStyle w:val="CharacterStyle12"/>
              </w:rPr>
              <w:t>100,00</w:t>
            </w:r>
          </w:p>
        </w:tc>
        <w:tc>
          <w:tcPr>
            <w:tcW w:w="1395" w:type="dxa"/>
            <w:tcBorders>
              <w:bottom w:val="single" w:sz="6" w:space="0" w:color="000000"/>
              <w:right w:val="single" w:sz="6" w:space="0" w:color="000000"/>
            </w:tcBorders>
            <w:vAlign w:val="center"/>
          </w:tcPr>
          <w:p w14:paraId="38E6CC4F" w14:textId="77777777" w:rsidR="007D706A" w:rsidRDefault="007D706A" w:rsidP="00F70508">
            <w:pPr>
              <w:pStyle w:val="ParagraphStyle12"/>
              <w:rPr>
                <w:rStyle w:val="CharacterStyle12"/>
              </w:rPr>
            </w:pPr>
            <w:r>
              <w:rPr>
                <w:rStyle w:val="CharacterStyle12"/>
              </w:rPr>
              <w:t>400,00</w:t>
            </w:r>
          </w:p>
        </w:tc>
        <w:tc>
          <w:tcPr>
            <w:tcW w:w="1395" w:type="dxa"/>
            <w:tcBorders>
              <w:bottom w:val="single" w:sz="6" w:space="0" w:color="000000"/>
              <w:right w:val="single" w:sz="6" w:space="0" w:color="000000"/>
            </w:tcBorders>
            <w:vAlign w:val="center"/>
          </w:tcPr>
          <w:p w14:paraId="0938C56C" w14:textId="77777777" w:rsidR="007D706A" w:rsidRDefault="007D706A" w:rsidP="00F70508">
            <w:pPr>
              <w:pStyle w:val="ParagraphStyle12"/>
              <w:rPr>
                <w:rStyle w:val="CharacterStyle12"/>
              </w:rPr>
            </w:pPr>
            <w:r>
              <w:rPr>
                <w:rStyle w:val="CharacterStyle12"/>
              </w:rPr>
              <w:t>208,00</w:t>
            </w:r>
          </w:p>
        </w:tc>
        <w:tc>
          <w:tcPr>
            <w:tcW w:w="1395" w:type="dxa"/>
            <w:tcBorders>
              <w:bottom w:val="single" w:sz="6" w:space="0" w:color="000000"/>
              <w:right w:val="single" w:sz="6" w:space="0" w:color="000000"/>
            </w:tcBorders>
            <w:vAlign w:val="center"/>
          </w:tcPr>
          <w:p w14:paraId="61FA8817" w14:textId="77777777" w:rsidR="007D706A" w:rsidRDefault="007D706A" w:rsidP="00F70508">
            <w:pPr>
              <w:pStyle w:val="ParagraphStyle12"/>
              <w:rPr>
                <w:rStyle w:val="CharacterStyle12"/>
              </w:rPr>
            </w:pPr>
            <w:r>
              <w:rPr>
                <w:rStyle w:val="CharacterStyle12"/>
              </w:rPr>
              <w:t>210,00</w:t>
            </w:r>
          </w:p>
        </w:tc>
      </w:tr>
      <w:tr w:rsidR="007D706A" w14:paraId="1AF825E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8814709" w14:textId="77777777" w:rsidR="007D706A" w:rsidRDefault="007D706A" w:rsidP="00F70508">
            <w:pPr>
              <w:pStyle w:val="ParagraphStyle7"/>
              <w:rPr>
                <w:rStyle w:val="CharacterStyle7"/>
              </w:rPr>
            </w:pPr>
            <w:r>
              <w:rPr>
                <w:rStyle w:val="CharacterStyle7"/>
              </w:rPr>
              <w:t>Izvor financiranja 41</w:t>
            </w:r>
          </w:p>
        </w:tc>
        <w:tc>
          <w:tcPr>
            <w:tcW w:w="4995" w:type="dxa"/>
            <w:tcBorders>
              <w:bottom w:val="single" w:sz="6" w:space="0" w:color="000000"/>
              <w:right w:val="single" w:sz="6" w:space="0" w:color="000000"/>
            </w:tcBorders>
            <w:vAlign w:val="center"/>
          </w:tcPr>
          <w:p w14:paraId="528EE54E" w14:textId="77777777" w:rsidR="007D706A" w:rsidRDefault="007D706A" w:rsidP="00F70508">
            <w:pPr>
              <w:pStyle w:val="ParagraphStyle8"/>
              <w:rPr>
                <w:rStyle w:val="CharacterStyle8"/>
              </w:rPr>
            </w:pPr>
            <w:r>
              <w:rPr>
                <w:rStyle w:val="CharacterStyle8"/>
              </w:rPr>
              <w:t>Prihodi za posebne namjene</w:t>
            </w:r>
          </w:p>
        </w:tc>
        <w:tc>
          <w:tcPr>
            <w:tcW w:w="1395" w:type="dxa"/>
            <w:tcBorders>
              <w:bottom w:val="single" w:sz="6" w:space="0" w:color="000000"/>
              <w:right w:val="single" w:sz="6" w:space="0" w:color="000000"/>
            </w:tcBorders>
            <w:vAlign w:val="center"/>
          </w:tcPr>
          <w:p w14:paraId="4EFFD4A6"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78DD30C" w14:textId="77777777" w:rsidR="007D706A" w:rsidRDefault="007D706A" w:rsidP="00F70508">
            <w:pPr>
              <w:pStyle w:val="ParagraphStyle9"/>
              <w:rPr>
                <w:rStyle w:val="CharacterStyle9"/>
              </w:rPr>
            </w:pPr>
            <w:r>
              <w:rPr>
                <w:rStyle w:val="CharacterStyle9"/>
              </w:rPr>
              <w:t>35.000,00</w:t>
            </w:r>
          </w:p>
        </w:tc>
        <w:tc>
          <w:tcPr>
            <w:tcW w:w="1395" w:type="dxa"/>
            <w:tcBorders>
              <w:bottom w:val="single" w:sz="6" w:space="0" w:color="000000"/>
              <w:right w:val="single" w:sz="6" w:space="0" w:color="000000"/>
            </w:tcBorders>
            <w:vAlign w:val="center"/>
          </w:tcPr>
          <w:p w14:paraId="26E65F08"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ED8906B"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52942E6" w14:textId="77777777" w:rsidR="007D706A" w:rsidRDefault="007D706A" w:rsidP="00F70508">
            <w:pPr>
              <w:pStyle w:val="ParagraphStyle9"/>
              <w:rPr>
                <w:rStyle w:val="CharacterStyle9"/>
              </w:rPr>
            </w:pPr>
            <w:r>
              <w:rPr>
                <w:rStyle w:val="CharacterStyle9"/>
              </w:rPr>
              <w:t>0,00</w:t>
            </w:r>
          </w:p>
        </w:tc>
      </w:tr>
      <w:tr w:rsidR="007D706A" w14:paraId="3F7B940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CD3F407"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2A457ED8"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471FF73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05ADAA9" w14:textId="77777777" w:rsidR="007D706A" w:rsidRDefault="007D706A" w:rsidP="00F70508">
            <w:pPr>
              <w:pStyle w:val="ParagraphStyle12"/>
              <w:rPr>
                <w:rStyle w:val="CharacterStyle12"/>
              </w:rPr>
            </w:pPr>
            <w:r>
              <w:rPr>
                <w:rStyle w:val="CharacterStyle12"/>
              </w:rPr>
              <w:t>35.000,00</w:t>
            </w:r>
          </w:p>
        </w:tc>
        <w:tc>
          <w:tcPr>
            <w:tcW w:w="1395" w:type="dxa"/>
            <w:tcBorders>
              <w:bottom w:val="single" w:sz="6" w:space="0" w:color="000000"/>
              <w:right w:val="single" w:sz="6" w:space="0" w:color="000000"/>
            </w:tcBorders>
            <w:vAlign w:val="center"/>
          </w:tcPr>
          <w:p w14:paraId="2883404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E4627E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474CA23" w14:textId="77777777" w:rsidR="007D706A" w:rsidRDefault="007D706A" w:rsidP="00F70508">
            <w:pPr>
              <w:pStyle w:val="ParagraphStyle12"/>
              <w:rPr>
                <w:rStyle w:val="CharacterStyle12"/>
              </w:rPr>
            </w:pPr>
            <w:r>
              <w:rPr>
                <w:rStyle w:val="CharacterStyle12"/>
              </w:rPr>
              <w:t>0,00</w:t>
            </w:r>
          </w:p>
        </w:tc>
      </w:tr>
      <w:tr w:rsidR="007D706A" w14:paraId="1022F27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2EABF5E"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02BC1F11"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06007F3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C1CEF49" w14:textId="77777777" w:rsidR="007D706A" w:rsidRDefault="007D706A" w:rsidP="00F70508">
            <w:pPr>
              <w:pStyle w:val="ParagraphStyle12"/>
              <w:rPr>
                <w:rStyle w:val="CharacterStyle12"/>
              </w:rPr>
            </w:pPr>
            <w:r>
              <w:rPr>
                <w:rStyle w:val="CharacterStyle12"/>
              </w:rPr>
              <w:t>34.900,00</w:t>
            </w:r>
          </w:p>
        </w:tc>
        <w:tc>
          <w:tcPr>
            <w:tcW w:w="1395" w:type="dxa"/>
            <w:tcBorders>
              <w:bottom w:val="single" w:sz="6" w:space="0" w:color="000000"/>
              <w:right w:val="single" w:sz="6" w:space="0" w:color="000000"/>
            </w:tcBorders>
            <w:vAlign w:val="center"/>
          </w:tcPr>
          <w:p w14:paraId="5D14B05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DBD6D5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7179E5B" w14:textId="77777777" w:rsidR="007D706A" w:rsidRDefault="007D706A" w:rsidP="00F70508">
            <w:pPr>
              <w:pStyle w:val="ParagraphStyle12"/>
              <w:rPr>
                <w:rStyle w:val="CharacterStyle12"/>
              </w:rPr>
            </w:pPr>
            <w:r>
              <w:rPr>
                <w:rStyle w:val="CharacterStyle12"/>
              </w:rPr>
              <w:t>0,00</w:t>
            </w:r>
          </w:p>
        </w:tc>
      </w:tr>
      <w:tr w:rsidR="007D706A" w14:paraId="0ADE3D06"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7BD4854" w14:textId="77777777" w:rsidR="007D706A" w:rsidRDefault="007D706A" w:rsidP="00F70508">
            <w:pPr>
              <w:pStyle w:val="ParagraphStyle10"/>
              <w:rPr>
                <w:rStyle w:val="CharacterStyle10"/>
              </w:rPr>
            </w:pPr>
            <w:r>
              <w:rPr>
                <w:rStyle w:val="CharacterStyle10"/>
              </w:rPr>
              <w:t>34</w:t>
            </w:r>
          </w:p>
        </w:tc>
        <w:tc>
          <w:tcPr>
            <w:tcW w:w="4995" w:type="dxa"/>
            <w:tcBorders>
              <w:bottom w:val="single" w:sz="6" w:space="0" w:color="000000"/>
              <w:right w:val="single" w:sz="6" w:space="0" w:color="000000"/>
            </w:tcBorders>
            <w:vAlign w:val="center"/>
          </w:tcPr>
          <w:p w14:paraId="238C8AB8" w14:textId="77777777" w:rsidR="007D706A" w:rsidRDefault="007D706A" w:rsidP="00F70508">
            <w:pPr>
              <w:pStyle w:val="ParagraphStyle11"/>
              <w:rPr>
                <w:rStyle w:val="CharacterStyle11"/>
              </w:rPr>
            </w:pPr>
            <w:r>
              <w:rPr>
                <w:rStyle w:val="CharacterStyle11"/>
              </w:rPr>
              <w:t>Financijski rashodi</w:t>
            </w:r>
          </w:p>
        </w:tc>
        <w:tc>
          <w:tcPr>
            <w:tcW w:w="1395" w:type="dxa"/>
            <w:tcBorders>
              <w:bottom w:val="single" w:sz="6" w:space="0" w:color="000000"/>
              <w:right w:val="single" w:sz="6" w:space="0" w:color="000000"/>
            </w:tcBorders>
            <w:vAlign w:val="center"/>
          </w:tcPr>
          <w:p w14:paraId="61B2844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889133A" w14:textId="77777777" w:rsidR="007D706A" w:rsidRDefault="007D706A" w:rsidP="00F70508">
            <w:pPr>
              <w:pStyle w:val="ParagraphStyle12"/>
              <w:rPr>
                <w:rStyle w:val="CharacterStyle12"/>
              </w:rPr>
            </w:pPr>
            <w:r>
              <w:rPr>
                <w:rStyle w:val="CharacterStyle12"/>
              </w:rPr>
              <w:t>100,00</w:t>
            </w:r>
          </w:p>
        </w:tc>
        <w:tc>
          <w:tcPr>
            <w:tcW w:w="1395" w:type="dxa"/>
            <w:tcBorders>
              <w:bottom w:val="single" w:sz="6" w:space="0" w:color="000000"/>
              <w:right w:val="single" w:sz="6" w:space="0" w:color="000000"/>
            </w:tcBorders>
            <w:vAlign w:val="center"/>
          </w:tcPr>
          <w:p w14:paraId="5DB3487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1F030D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68E4448" w14:textId="77777777" w:rsidR="007D706A" w:rsidRDefault="007D706A" w:rsidP="00F70508">
            <w:pPr>
              <w:pStyle w:val="ParagraphStyle12"/>
              <w:rPr>
                <w:rStyle w:val="CharacterStyle12"/>
              </w:rPr>
            </w:pPr>
            <w:r>
              <w:rPr>
                <w:rStyle w:val="CharacterStyle12"/>
              </w:rPr>
              <w:t>0,00</w:t>
            </w:r>
          </w:p>
        </w:tc>
      </w:tr>
      <w:tr w:rsidR="007D706A" w14:paraId="1425FC7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AD7D1DF" w14:textId="77777777" w:rsidR="007D706A" w:rsidRDefault="007D706A" w:rsidP="00F70508">
            <w:pPr>
              <w:pStyle w:val="ParagraphStyle7"/>
              <w:rPr>
                <w:rStyle w:val="CharacterStyle7"/>
              </w:rPr>
            </w:pPr>
            <w:r>
              <w:rPr>
                <w:rStyle w:val="CharacterStyle7"/>
              </w:rPr>
              <w:t>Izvor financiranja 43</w:t>
            </w:r>
          </w:p>
        </w:tc>
        <w:tc>
          <w:tcPr>
            <w:tcW w:w="4995" w:type="dxa"/>
            <w:tcBorders>
              <w:bottom w:val="single" w:sz="6" w:space="0" w:color="000000"/>
              <w:right w:val="single" w:sz="6" w:space="0" w:color="000000"/>
            </w:tcBorders>
            <w:vAlign w:val="center"/>
          </w:tcPr>
          <w:p w14:paraId="149AFE74" w14:textId="77777777" w:rsidR="007D706A" w:rsidRDefault="007D706A" w:rsidP="00F70508">
            <w:pPr>
              <w:pStyle w:val="ParagraphStyle8"/>
              <w:rPr>
                <w:rStyle w:val="CharacterStyle8"/>
              </w:rPr>
            </w:pPr>
            <w:r>
              <w:rPr>
                <w:rStyle w:val="CharacterStyle8"/>
              </w:rPr>
              <w:t>Ostali prihodi za posebne namjene</w:t>
            </w:r>
          </w:p>
        </w:tc>
        <w:tc>
          <w:tcPr>
            <w:tcW w:w="1395" w:type="dxa"/>
            <w:tcBorders>
              <w:bottom w:val="single" w:sz="6" w:space="0" w:color="000000"/>
              <w:right w:val="single" w:sz="6" w:space="0" w:color="000000"/>
            </w:tcBorders>
            <w:vAlign w:val="center"/>
          </w:tcPr>
          <w:p w14:paraId="19206296"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A72E20C"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45699C2" w14:textId="77777777" w:rsidR="007D706A" w:rsidRDefault="007D706A" w:rsidP="00F70508">
            <w:pPr>
              <w:pStyle w:val="ParagraphStyle9"/>
              <w:rPr>
                <w:rStyle w:val="CharacterStyle9"/>
              </w:rPr>
            </w:pPr>
            <w:r>
              <w:rPr>
                <w:rStyle w:val="CharacterStyle9"/>
              </w:rPr>
              <w:t>32.000,00</w:t>
            </w:r>
          </w:p>
        </w:tc>
        <w:tc>
          <w:tcPr>
            <w:tcW w:w="1395" w:type="dxa"/>
            <w:tcBorders>
              <w:bottom w:val="single" w:sz="6" w:space="0" w:color="000000"/>
              <w:right w:val="single" w:sz="6" w:space="0" w:color="000000"/>
            </w:tcBorders>
            <w:vAlign w:val="center"/>
          </w:tcPr>
          <w:p w14:paraId="3955988B" w14:textId="77777777" w:rsidR="007D706A" w:rsidRDefault="007D706A" w:rsidP="00F70508">
            <w:pPr>
              <w:pStyle w:val="ParagraphStyle9"/>
              <w:rPr>
                <w:rStyle w:val="CharacterStyle9"/>
              </w:rPr>
            </w:pPr>
            <w:r>
              <w:rPr>
                <w:rStyle w:val="CharacterStyle9"/>
              </w:rPr>
              <w:t>33.280,00</w:t>
            </w:r>
          </w:p>
        </w:tc>
        <w:tc>
          <w:tcPr>
            <w:tcW w:w="1395" w:type="dxa"/>
            <w:tcBorders>
              <w:bottom w:val="single" w:sz="6" w:space="0" w:color="000000"/>
              <w:right w:val="single" w:sz="6" w:space="0" w:color="000000"/>
            </w:tcBorders>
            <w:vAlign w:val="center"/>
          </w:tcPr>
          <w:p w14:paraId="23C9EA15" w14:textId="77777777" w:rsidR="007D706A" w:rsidRDefault="007D706A" w:rsidP="00F70508">
            <w:pPr>
              <w:pStyle w:val="ParagraphStyle9"/>
              <w:rPr>
                <w:rStyle w:val="CharacterStyle9"/>
              </w:rPr>
            </w:pPr>
            <w:r>
              <w:rPr>
                <w:rStyle w:val="CharacterStyle9"/>
              </w:rPr>
              <w:t>33.613,00</w:t>
            </w:r>
          </w:p>
        </w:tc>
      </w:tr>
      <w:tr w:rsidR="007D706A" w14:paraId="559C8C2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05292EF"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4ADB956B"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6500055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CDA6BF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26BEE5D" w14:textId="77777777" w:rsidR="007D706A" w:rsidRDefault="007D706A" w:rsidP="00F70508">
            <w:pPr>
              <w:pStyle w:val="ParagraphStyle12"/>
              <w:rPr>
                <w:rStyle w:val="CharacterStyle12"/>
              </w:rPr>
            </w:pPr>
            <w:r>
              <w:rPr>
                <w:rStyle w:val="CharacterStyle12"/>
              </w:rPr>
              <w:t>32.000,00</w:t>
            </w:r>
          </w:p>
        </w:tc>
        <w:tc>
          <w:tcPr>
            <w:tcW w:w="1395" w:type="dxa"/>
            <w:tcBorders>
              <w:bottom w:val="single" w:sz="6" w:space="0" w:color="000000"/>
              <w:right w:val="single" w:sz="6" w:space="0" w:color="000000"/>
            </w:tcBorders>
            <w:vAlign w:val="center"/>
          </w:tcPr>
          <w:p w14:paraId="31A4629E" w14:textId="77777777" w:rsidR="007D706A" w:rsidRDefault="007D706A" w:rsidP="00F70508">
            <w:pPr>
              <w:pStyle w:val="ParagraphStyle12"/>
              <w:rPr>
                <w:rStyle w:val="CharacterStyle12"/>
              </w:rPr>
            </w:pPr>
            <w:r>
              <w:rPr>
                <w:rStyle w:val="CharacterStyle12"/>
              </w:rPr>
              <w:t>33.280,00</w:t>
            </w:r>
          </w:p>
        </w:tc>
        <w:tc>
          <w:tcPr>
            <w:tcW w:w="1395" w:type="dxa"/>
            <w:tcBorders>
              <w:bottom w:val="single" w:sz="6" w:space="0" w:color="000000"/>
              <w:right w:val="single" w:sz="6" w:space="0" w:color="000000"/>
            </w:tcBorders>
            <w:vAlign w:val="center"/>
          </w:tcPr>
          <w:p w14:paraId="0A68128E" w14:textId="77777777" w:rsidR="007D706A" w:rsidRDefault="007D706A" w:rsidP="00F70508">
            <w:pPr>
              <w:pStyle w:val="ParagraphStyle12"/>
              <w:rPr>
                <w:rStyle w:val="CharacterStyle12"/>
              </w:rPr>
            </w:pPr>
            <w:r>
              <w:rPr>
                <w:rStyle w:val="CharacterStyle12"/>
              </w:rPr>
              <w:t>33.613,00</w:t>
            </w:r>
          </w:p>
        </w:tc>
      </w:tr>
      <w:tr w:rsidR="007D706A" w14:paraId="19679A6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1BA9C32"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1F07220D"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6FB2182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E564CD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FCDB914" w14:textId="77777777" w:rsidR="007D706A" w:rsidRDefault="007D706A" w:rsidP="00F70508">
            <w:pPr>
              <w:pStyle w:val="ParagraphStyle12"/>
              <w:rPr>
                <w:rStyle w:val="CharacterStyle12"/>
              </w:rPr>
            </w:pPr>
            <w:r>
              <w:rPr>
                <w:rStyle w:val="CharacterStyle12"/>
              </w:rPr>
              <w:t>31.900,00</w:t>
            </w:r>
          </w:p>
        </w:tc>
        <w:tc>
          <w:tcPr>
            <w:tcW w:w="1395" w:type="dxa"/>
            <w:tcBorders>
              <w:bottom w:val="single" w:sz="6" w:space="0" w:color="000000"/>
              <w:right w:val="single" w:sz="6" w:space="0" w:color="000000"/>
            </w:tcBorders>
            <w:vAlign w:val="center"/>
          </w:tcPr>
          <w:p w14:paraId="42421539" w14:textId="77777777" w:rsidR="007D706A" w:rsidRDefault="007D706A" w:rsidP="00F70508">
            <w:pPr>
              <w:pStyle w:val="ParagraphStyle12"/>
              <w:rPr>
                <w:rStyle w:val="CharacterStyle12"/>
              </w:rPr>
            </w:pPr>
            <w:r>
              <w:rPr>
                <w:rStyle w:val="CharacterStyle12"/>
              </w:rPr>
              <w:t>33.176,00</w:t>
            </w:r>
          </w:p>
        </w:tc>
        <w:tc>
          <w:tcPr>
            <w:tcW w:w="1395" w:type="dxa"/>
            <w:tcBorders>
              <w:bottom w:val="single" w:sz="6" w:space="0" w:color="000000"/>
              <w:right w:val="single" w:sz="6" w:space="0" w:color="000000"/>
            </w:tcBorders>
            <w:vAlign w:val="center"/>
          </w:tcPr>
          <w:p w14:paraId="7C350757" w14:textId="77777777" w:rsidR="007D706A" w:rsidRDefault="007D706A" w:rsidP="00F70508">
            <w:pPr>
              <w:pStyle w:val="ParagraphStyle12"/>
              <w:rPr>
                <w:rStyle w:val="CharacterStyle12"/>
              </w:rPr>
            </w:pPr>
            <w:r>
              <w:rPr>
                <w:rStyle w:val="CharacterStyle12"/>
              </w:rPr>
              <w:t>33.508,00</w:t>
            </w:r>
          </w:p>
        </w:tc>
      </w:tr>
      <w:tr w:rsidR="007D706A" w14:paraId="4252192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69C3153" w14:textId="77777777" w:rsidR="007D706A" w:rsidRDefault="007D706A" w:rsidP="00F70508">
            <w:pPr>
              <w:pStyle w:val="ParagraphStyle10"/>
              <w:rPr>
                <w:rStyle w:val="CharacterStyle10"/>
              </w:rPr>
            </w:pPr>
            <w:r>
              <w:rPr>
                <w:rStyle w:val="CharacterStyle10"/>
              </w:rPr>
              <w:t>34</w:t>
            </w:r>
          </w:p>
        </w:tc>
        <w:tc>
          <w:tcPr>
            <w:tcW w:w="4995" w:type="dxa"/>
            <w:tcBorders>
              <w:bottom w:val="single" w:sz="6" w:space="0" w:color="000000"/>
              <w:right w:val="single" w:sz="6" w:space="0" w:color="000000"/>
            </w:tcBorders>
            <w:vAlign w:val="center"/>
          </w:tcPr>
          <w:p w14:paraId="211CFBF2" w14:textId="77777777" w:rsidR="007D706A" w:rsidRDefault="007D706A" w:rsidP="00F70508">
            <w:pPr>
              <w:pStyle w:val="ParagraphStyle11"/>
              <w:rPr>
                <w:rStyle w:val="CharacterStyle11"/>
              </w:rPr>
            </w:pPr>
            <w:r>
              <w:rPr>
                <w:rStyle w:val="CharacterStyle11"/>
              </w:rPr>
              <w:t>Financijski rashodi</w:t>
            </w:r>
          </w:p>
        </w:tc>
        <w:tc>
          <w:tcPr>
            <w:tcW w:w="1395" w:type="dxa"/>
            <w:tcBorders>
              <w:bottom w:val="single" w:sz="6" w:space="0" w:color="000000"/>
              <w:right w:val="single" w:sz="6" w:space="0" w:color="000000"/>
            </w:tcBorders>
            <w:vAlign w:val="center"/>
          </w:tcPr>
          <w:p w14:paraId="6FFA2EA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BDBCDC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A72055C" w14:textId="77777777" w:rsidR="007D706A" w:rsidRDefault="007D706A" w:rsidP="00F70508">
            <w:pPr>
              <w:pStyle w:val="ParagraphStyle12"/>
              <w:rPr>
                <w:rStyle w:val="CharacterStyle12"/>
              </w:rPr>
            </w:pPr>
            <w:r>
              <w:rPr>
                <w:rStyle w:val="CharacterStyle12"/>
              </w:rPr>
              <w:t>100,00</w:t>
            </w:r>
          </w:p>
        </w:tc>
        <w:tc>
          <w:tcPr>
            <w:tcW w:w="1395" w:type="dxa"/>
            <w:tcBorders>
              <w:bottom w:val="single" w:sz="6" w:space="0" w:color="000000"/>
              <w:right w:val="single" w:sz="6" w:space="0" w:color="000000"/>
            </w:tcBorders>
            <w:vAlign w:val="center"/>
          </w:tcPr>
          <w:p w14:paraId="334491EF" w14:textId="77777777" w:rsidR="007D706A" w:rsidRDefault="007D706A" w:rsidP="00F70508">
            <w:pPr>
              <w:pStyle w:val="ParagraphStyle12"/>
              <w:rPr>
                <w:rStyle w:val="CharacterStyle12"/>
              </w:rPr>
            </w:pPr>
            <w:r>
              <w:rPr>
                <w:rStyle w:val="CharacterStyle12"/>
              </w:rPr>
              <w:t>104,00</w:t>
            </w:r>
          </w:p>
        </w:tc>
        <w:tc>
          <w:tcPr>
            <w:tcW w:w="1395" w:type="dxa"/>
            <w:tcBorders>
              <w:bottom w:val="single" w:sz="6" w:space="0" w:color="000000"/>
              <w:right w:val="single" w:sz="6" w:space="0" w:color="000000"/>
            </w:tcBorders>
            <w:vAlign w:val="center"/>
          </w:tcPr>
          <w:p w14:paraId="689F4CCC" w14:textId="77777777" w:rsidR="007D706A" w:rsidRDefault="007D706A" w:rsidP="00F70508">
            <w:pPr>
              <w:pStyle w:val="ParagraphStyle12"/>
              <w:rPr>
                <w:rStyle w:val="CharacterStyle12"/>
              </w:rPr>
            </w:pPr>
            <w:r>
              <w:rPr>
                <w:rStyle w:val="CharacterStyle12"/>
              </w:rPr>
              <w:t>105,00</w:t>
            </w:r>
          </w:p>
        </w:tc>
      </w:tr>
      <w:tr w:rsidR="007D706A" w14:paraId="6E4841B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29CE934" w14:textId="77777777" w:rsidR="007D706A" w:rsidRDefault="007D706A" w:rsidP="00F70508">
            <w:pPr>
              <w:pStyle w:val="ParagraphStyle7"/>
              <w:rPr>
                <w:rStyle w:val="CharacterStyle7"/>
              </w:rPr>
            </w:pPr>
            <w:r>
              <w:rPr>
                <w:rStyle w:val="CharacterStyle7"/>
              </w:rPr>
              <w:t>Izvor financiranja 5</w:t>
            </w:r>
          </w:p>
        </w:tc>
        <w:tc>
          <w:tcPr>
            <w:tcW w:w="4995" w:type="dxa"/>
            <w:tcBorders>
              <w:bottom w:val="single" w:sz="6" w:space="0" w:color="000000"/>
              <w:right w:val="single" w:sz="6" w:space="0" w:color="000000"/>
            </w:tcBorders>
            <w:vAlign w:val="center"/>
          </w:tcPr>
          <w:p w14:paraId="38AB5485" w14:textId="77777777" w:rsidR="007D706A" w:rsidRDefault="007D706A" w:rsidP="00F70508">
            <w:pPr>
              <w:pStyle w:val="ParagraphStyle8"/>
              <w:rPr>
                <w:rStyle w:val="CharacterStyle8"/>
              </w:rPr>
            </w:pPr>
            <w:r>
              <w:rPr>
                <w:rStyle w:val="CharacterStyle8"/>
              </w:rPr>
              <w:t>POMOĆI</w:t>
            </w:r>
          </w:p>
        </w:tc>
        <w:tc>
          <w:tcPr>
            <w:tcW w:w="1395" w:type="dxa"/>
            <w:tcBorders>
              <w:bottom w:val="single" w:sz="6" w:space="0" w:color="000000"/>
              <w:right w:val="single" w:sz="6" w:space="0" w:color="000000"/>
            </w:tcBorders>
            <w:vAlign w:val="center"/>
          </w:tcPr>
          <w:p w14:paraId="1FD649FC"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AE10FF3"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72DE174" w14:textId="77777777" w:rsidR="007D706A" w:rsidRDefault="007D706A" w:rsidP="00F70508">
            <w:pPr>
              <w:pStyle w:val="ParagraphStyle9"/>
              <w:rPr>
                <w:rStyle w:val="CharacterStyle9"/>
              </w:rPr>
            </w:pPr>
            <w:r>
              <w:rPr>
                <w:rStyle w:val="CharacterStyle9"/>
              </w:rPr>
              <w:t>2.600,00</w:t>
            </w:r>
          </w:p>
        </w:tc>
        <w:tc>
          <w:tcPr>
            <w:tcW w:w="1395" w:type="dxa"/>
            <w:tcBorders>
              <w:bottom w:val="single" w:sz="6" w:space="0" w:color="000000"/>
              <w:right w:val="single" w:sz="6" w:space="0" w:color="000000"/>
            </w:tcBorders>
            <w:vAlign w:val="center"/>
          </w:tcPr>
          <w:p w14:paraId="262EE281" w14:textId="77777777" w:rsidR="007D706A" w:rsidRDefault="007D706A" w:rsidP="00F70508">
            <w:pPr>
              <w:pStyle w:val="ParagraphStyle9"/>
              <w:rPr>
                <w:rStyle w:val="CharacterStyle9"/>
              </w:rPr>
            </w:pPr>
            <w:r>
              <w:rPr>
                <w:rStyle w:val="CharacterStyle9"/>
              </w:rPr>
              <w:t>2.704,00</w:t>
            </w:r>
          </w:p>
        </w:tc>
        <w:tc>
          <w:tcPr>
            <w:tcW w:w="1395" w:type="dxa"/>
            <w:tcBorders>
              <w:bottom w:val="single" w:sz="6" w:space="0" w:color="000000"/>
              <w:right w:val="single" w:sz="6" w:space="0" w:color="000000"/>
            </w:tcBorders>
            <w:vAlign w:val="center"/>
          </w:tcPr>
          <w:p w14:paraId="6FB42DA7" w14:textId="77777777" w:rsidR="007D706A" w:rsidRDefault="007D706A" w:rsidP="00F70508">
            <w:pPr>
              <w:pStyle w:val="ParagraphStyle9"/>
              <w:rPr>
                <w:rStyle w:val="CharacterStyle9"/>
              </w:rPr>
            </w:pPr>
            <w:r>
              <w:rPr>
                <w:rStyle w:val="CharacterStyle9"/>
              </w:rPr>
              <w:t>2.732,00</w:t>
            </w:r>
          </w:p>
        </w:tc>
      </w:tr>
      <w:tr w:rsidR="007D706A" w14:paraId="343DCA06"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50F33BF"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13410DDE"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41BDAB3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45DD48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EAE91A3" w14:textId="77777777" w:rsidR="007D706A" w:rsidRDefault="007D706A" w:rsidP="00F70508">
            <w:pPr>
              <w:pStyle w:val="ParagraphStyle12"/>
              <w:rPr>
                <w:rStyle w:val="CharacterStyle12"/>
              </w:rPr>
            </w:pPr>
            <w:r>
              <w:rPr>
                <w:rStyle w:val="CharacterStyle12"/>
              </w:rPr>
              <w:t>2.600,00</w:t>
            </w:r>
          </w:p>
        </w:tc>
        <w:tc>
          <w:tcPr>
            <w:tcW w:w="1395" w:type="dxa"/>
            <w:tcBorders>
              <w:bottom w:val="single" w:sz="6" w:space="0" w:color="000000"/>
              <w:right w:val="single" w:sz="6" w:space="0" w:color="000000"/>
            </w:tcBorders>
            <w:vAlign w:val="center"/>
          </w:tcPr>
          <w:p w14:paraId="4A15F135" w14:textId="77777777" w:rsidR="007D706A" w:rsidRDefault="007D706A" w:rsidP="00F70508">
            <w:pPr>
              <w:pStyle w:val="ParagraphStyle12"/>
              <w:rPr>
                <w:rStyle w:val="CharacterStyle12"/>
              </w:rPr>
            </w:pPr>
            <w:r>
              <w:rPr>
                <w:rStyle w:val="CharacterStyle12"/>
              </w:rPr>
              <w:t>2.704,00</w:t>
            </w:r>
          </w:p>
        </w:tc>
        <w:tc>
          <w:tcPr>
            <w:tcW w:w="1395" w:type="dxa"/>
            <w:tcBorders>
              <w:bottom w:val="single" w:sz="6" w:space="0" w:color="000000"/>
              <w:right w:val="single" w:sz="6" w:space="0" w:color="000000"/>
            </w:tcBorders>
            <w:vAlign w:val="center"/>
          </w:tcPr>
          <w:p w14:paraId="46D353AC" w14:textId="77777777" w:rsidR="007D706A" w:rsidRDefault="007D706A" w:rsidP="00F70508">
            <w:pPr>
              <w:pStyle w:val="ParagraphStyle12"/>
              <w:rPr>
                <w:rStyle w:val="CharacterStyle12"/>
              </w:rPr>
            </w:pPr>
            <w:r>
              <w:rPr>
                <w:rStyle w:val="CharacterStyle12"/>
              </w:rPr>
              <w:t>2.732,00</w:t>
            </w:r>
          </w:p>
        </w:tc>
      </w:tr>
      <w:tr w:rsidR="007D706A" w14:paraId="0B8B4C4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17C082B" w14:textId="77777777" w:rsidR="007D706A" w:rsidRDefault="007D706A" w:rsidP="00F70508">
            <w:pPr>
              <w:pStyle w:val="ParagraphStyle10"/>
              <w:rPr>
                <w:rStyle w:val="CharacterStyle10"/>
              </w:rPr>
            </w:pPr>
            <w:r>
              <w:rPr>
                <w:rStyle w:val="CharacterStyle10"/>
              </w:rPr>
              <w:t>31</w:t>
            </w:r>
          </w:p>
        </w:tc>
        <w:tc>
          <w:tcPr>
            <w:tcW w:w="4995" w:type="dxa"/>
            <w:tcBorders>
              <w:bottom w:val="single" w:sz="6" w:space="0" w:color="000000"/>
              <w:right w:val="single" w:sz="6" w:space="0" w:color="000000"/>
            </w:tcBorders>
            <w:vAlign w:val="center"/>
          </w:tcPr>
          <w:p w14:paraId="4E52381B" w14:textId="77777777" w:rsidR="007D706A" w:rsidRDefault="007D706A" w:rsidP="00F70508">
            <w:pPr>
              <w:pStyle w:val="ParagraphStyle11"/>
              <w:rPr>
                <w:rStyle w:val="CharacterStyle11"/>
              </w:rPr>
            </w:pPr>
            <w:r>
              <w:rPr>
                <w:rStyle w:val="CharacterStyle11"/>
              </w:rPr>
              <w:t>Rashodi za zaposlene</w:t>
            </w:r>
          </w:p>
        </w:tc>
        <w:tc>
          <w:tcPr>
            <w:tcW w:w="1395" w:type="dxa"/>
            <w:tcBorders>
              <w:bottom w:val="single" w:sz="6" w:space="0" w:color="000000"/>
              <w:right w:val="single" w:sz="6" w:space="0" w:color="000000"/>
            </w:tcBorders>
            <w:vAlign w:val="center"/>
          </w:tcPr>
          <w:p w14:paraId="433F3F8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C74B7B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4B9D97A" w14:textId="77777777" w:rsidR="007D706A" w:rsidRDefault="007D706A" w:rsidP="00F70508">
            <w:pPr>
              <w:pStyle w:val="ParagraphStyle12"/>
              <w:rPr>
                <w:rStyle w:val="CharacterStyle12"/>
              </w:rPr>
            </w:pPr>
            <w:r>
              <w:rPr>
                <w:rStyle w:val="CharacterStyle12"/>
              </w:rPr>
              <w:t>175,00</w:t>
            </w:r>
          </w:p>
        </w:tc>
        <w:tc>
          <w:tcPr>
            <w:tcW w:w="1395" w:type="dxa"/>
            <w:tcBorders>
              <w:bottom w:val="single" w:sz="6" w:space="0" w:color="000000"/>
              <w:right w:val="single" w:sz="6" w:space="0" w:color="000000"/>
            </w:tcBorders>
            <w:vAlign w:val="center"/>
          </w:tcPr>
          <w:p w14:paraId="78D8F50F" w14:textId="77777777" w:rsidR="007D706A" w:rsidRDefault="007D706A" w:rsidP="00F70508">
            <w:pPr>
              <w:pStyle w:val="ParagraphStyle12"/>
              <w:rPr>
                <w:rStyle w:val="CharacterStyle12"/>
              </w:rPr>
            </w:pPr>
            <w:r>
              <w:rPr>
                <w:rStyle w:val="CharacterStyle12"/>
              </w:rPr>
              <w:t>182,00</w:t>
            </w:r>
          </w:p>
        </w:tc>
        <w:tc>
          <w:tcPr>
            <w:tcW w:w="1395" w:type="dxa"/>
            <w:tcBorders>
              <w:bottom w:val="single" w:sz="6" w:space="0" w:color="000000"/>
              <w:right w:val="single" w:sz="6" w:space="0" w:color="000000"/>
            </w:tcBorders>
            <w:vAlign w:val="center"/>
          </w:tcPr>
          <w:p w14:paraId="363E3530" w14:textId="77777777" w:rsidR="007D706A" w:rsidRDefault="007D706A" w:rsidP="00F70508">
            <w:pPr>
              <w:pStyle w:val="ParagraphStyle12"/>
              <w:rPr>
                <w:rStyle w:val="CharacterStyle12"/>
              </w:rPr>
            </w:pPr>
            <w:r>
              <w:rPr>
                <w:rStyle w:val="CharacterStyle12"/>
              </w:rPr>
              <w:t>185,00</w:t>
            </w:r>
          </w:p>
        </w:tc>
      </w:tr>
      <w:tr w:rsidR="007D706A" w14:paraId="0D5D51E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9FA1176"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097CDBA0"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1602311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D21058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6DE20A1" w14:textId="77777777" w:rsidR="007D706A" w:rsidRDefault="007D706A" w:rsidP="00F70508">
            <w:pPr>
              <w:pStyle w:val="ParagraphStyle12"/>
              <w:rPr>
                <w:rStyle w:val="CharacterStyle12"/>
              </w:rPr>
            </w:pPr>
            <w:r>
              <w:rPr>
                <w:rStyle w:val="CharacterStyle12"/>
              </w:rPr>
              <w:t>2.425,00</w:t>
            </w:r>
          </w:p>
        </w:tc>
        <w:tc>
          <w:tcPr>
            <w:tcW w:w="1395" w:type="dxa"/>
            <w:tcBorders>
              <w:bottom w:val="single" w:sz="6" w:space="0" w:color="000000"/>
              <w:right w:val="single" w:sz="6" w:space="0" w:color="000000"/>
            </w:tcBorders>
            <w:vAlign w:val="center"/>
          </w:tcPr>
          <w:p w14:paraId="32967B75" w14:textId="77777777" w:rsidR="007D706A" w:rsidRDefault="007D706A" w:rsidP="00F70508">
            <w:pPr>
              <w:pStyle w:val="ParagraphStyle12"/>
              <w:rPr>
                <w:rStyle w:val="CharacterStyle12"/>
              </w:rPr>
            </w:pPr>
            <w:r>
              <w:rPr>
                <w:rStyle w:val="CharacterStyle12"/>
              </w:rPr>
              <w:t>2.522,00</w:t>
            </w:r>
          </w:p>
        </w:tc>
        <w:tc>
          <w:tcPr>
            <w:tcW w:w="1395" w:type="dxa"/>
            <w:tcBorders>
              <w:bottom w:val="single" w:sz="6" w:space="0" w:color="000000"/>
              <w:right w:val="single" w:sz="6" w:space="0" w:color="000000"/>
            </w:tcBorders>
            <w:vAlign w:val="center"/>
          </w:tcPr>
          <w:p w14:paraId="520B0F78" w14:textId="77777777" w:rsidR="007D706A" w:rsidRDefault="007D706A" w:rsidP="00F70508">
            <w:pPr>
              <w:pStyle w:val="ParagraphStyle12"/>
              <w:rPr>
                <w:rStyle w:val="CharacterStyle12"/>
              </w:rPr>
            </w:pPr>
            <w:r>
              <w:rPr>
                <w:rStyle w:val="CharacterStyle12"/>
              </w:rPr>
              <w:t>2.547,00</w:t>
            </w:r>
          </w:p>
        </w:tc>
      </w:tr>
      <w:tr w:rsidR="007D706A" w14:paraId="43EA8AB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01ACBB3" w14:textId="77777777" w:rsidR="007D706A" w:rsidRDefault="007D706A" w:rsidP="00F70508">
            <w:pPr>
              <w:pStyle w:val="ParagraphStyle7"/>
              <w:rPr>
                <w:rStyle w:val="CharacterStyle7"/>
              </w:rPr>
            </w:pPr>
            <w:r>
              <w:rPr>
                <w:rStyle w:val="CharacterStyle7"/>
              </w:rPr>
              <w:t>Izvor financiranja 50</w:t>
            </w:r>
          </w:p>
        </w:tc>
        <w:tc>
          <w:tcPr>
            <w:tcW w:w="4995" w:type="dxa"/>
            <w:tcBorders>
              <w:bottom w:val="single" w:sz="6" w:space="0" w:color="000000"/>
              <w:right w:val="single" w:sz="6" w:space="0" w:color="000000"/>
            </w:tcBorders>
            <w:vAlign w:val="center"/>
          </w:tcPr>
          <w:p w14:paraId="2F057D40" w14:textId="77777777" w:rsidR="007D706A" w:rsidRDefault="007D706A" w:rsidP="00F70508">
            <w:pPr>
              <w:pStyle w:val="ParagraphStyle8"/>
              <w:rPr>
                <w:rStyle w:val="CharacterStyle8"/>
              </w:rPr>
            </w:pPr>
            <w:r>
              <w:rPr>
                <w:rStyle w:val="CharacterStyle8"/>
              </w:rPr>
              <w:t>Pomoći iz državnog proračuna</w:t>
            </w:r>
          </w:p>
        </w:tc>
        <w:tc>
          <w:tcPr>
            <w:tcW w:w="1395" w:type="dxa"/>
            <w:tcBorders>
              <w:bottom w:val="single" w:sz="6" w:space="0" w:color="000000"/>
              <w:right w:val="single" w:sz="6" w:space="0" w:color="000000"/>
            </w:tcBorders>
            <w:vAlign w:val="center"/>
          </w:tcPr>
          <w:p w14:paraId="00A2D752"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22B1AD1"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AB075FB" w14:textId="77777777" w:rsidR="007D706A" w:rsidRDefault="007D706A" w:rsidP="00F70508">
            <w:pPr>
              <w:pStyle w:val="ParagraphStyle9"/>
              <w:rPr>
                <w:rStyle w:val="CharacterStyle9"/>
              </w:rPr>
            </w:pPr>
            <w:r>
              <w:rPr>
                <w:rStyle w:val="CharacterStyle9"/>
              </w:rPr>
              <w:t>1.000,00</w:t>
            </w:r>
          </w:p>
        </w:tc>
        <w:tc>
          <w:tcPr>
            <w:tcW w:w="1395" w:type="dxa"/>
            <w:tcBorders>
              <w:bottom w:val="single" w:sz="6" w:space="0" w:color="000000"/>
              <w:right w:val="single" w:sz="6" w:space="0" w:color="000000"/>
            </w:tcBorders>
            <w:vAlign w:val="center"/>
          </w:tcPr>
          <w:p w14:paraId="6EAAEA0B" w14:textId="77777777" w:rsidR="007D706A" w:rsidRDefault="007D706A" w:rsidP="00F70508">
            <w:pPr>
              <w:pStyle w:val="ParagraphStyle9"/>
              <w:rPr>
                <w:rStyle w:val="CharacterStyle9"/>
              </w:rPr>
            </w:pPr>
            <w:r>
              <w:rPr>
                <w:rStyle w:val="CharacterStyle9"/>
              </w:rPr>
              <w:t>1.040,00</w:t>
            </w:r>
          </w:p>
        </w:tc>
        <w:tc>
          <w:tcPr>
            <w:tcW w:w="1395" w:type="dxa"/>
            <w:tcBorders>
              <w:bottom w:val="single" w:sz="6" w:space="0" w:color="000000"/>
              <w:right w:val="single" w:sz="6" w:space="0" w:color="000000"/>
            </w:tcBorders>
            <w:vAlign w:val="center"/>
          </w:tcPr>
          <w:p w14:paraId="2DE1A102" w14:textId="77777777" w:rsidR="007D706A" w:rsidRDefault="007D706A" w:rsidP="00F70508">
            <w:pPr>
              <w:pStyle w:val="ParagraphStyle9"/>
              <w:rPr>
                <w:rStyle w:val="CharacterStyle9"/>
              </w:rPr>
            </w:pPr>
            <w:r>
              <w:rPr>
                <w:rStyle w:val="CharacterStyle9"/>
              </w:rPr>
              <w:t>1.050,00</w:t>
            </w:r>
          </w:p>
        </w:tc>
      </w:tr>
      <w:tr w:rsidR="007D706A" w14:paraId="728CF5B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7D76E49"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3EAEB306"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4F16B21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4BBE09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6A3194E" w14:textId="77777777" w:rsidR="007D706A" w:rsidRDefault="007D706A" w:rsidP="00F70508">
            <w:pPr>
              <w:pStyle w:val="ParagraphStyle12"/>
              <w:rPr>
                <w:rStyle w:val="CharacterStyle12"/>
              </w:rPr>
            </w:pPr>
            <w:r>
              <w:rPr>
                <w:rStyle w:val="CharacterStyle12"/>
              </w:rPr>
              <w:t>1.000,00</w:t>
            </w:r>
          </w:p>
        </w:tc>
        <w:tc>
          <w:tcPr>
            <w:tcW w:w="1395" w:type="dxa"/>
            <w:tcBorders>
              <w:bottom w:val="single" w:sz="6" w:space="0" w:color="000000"/>
              <w:right w:val="single" w:sz="6" w:space="0" w:color="000000"/>
            </w:tcBorders>
            <w:vAlign w:val="center"/>
          </w:tcPr>
          <w:p w14:paraId="5A0E9E20" w14:textId="77777777" w:rsidR="007D706A" w:rsidRDefault="007D706A" w:rsidP="00F70508">
            <w:pPr>
              <w:pStyle w:val="ParagraphStyle12"/>
              <w:rPr>
                <w:rStyle w:val="CharacterStyle12"/>
              </w:rPr>
            </w:pPr>
            <w:r>
              <w:rPr>
                <w:rStyle w:val="CharacterStyle12"/>
              </w:rPr>
              <w:t>1.040,00</w:t>
            </w:r>
          </w:p>
        </w:tc>
        <w:tc>
          <w:tcPr>
            <w:tcW w:w="1395" w:type="dxa"/>
            <w:tcBorders>
              <w:bottom w:val="single" w:sz="6" w:space="0" w:color="000000"/>
              <w:right w:val="single" w:sz="6" w:space="0" w:color="000000"/>
            </w:tcBorders>
            <w:vAlign w:val="center"/>
          </w:tcPr>
          <w:p w14:paraId="7DD514D4" w14:textId="77777777" w:rsidR="007D706A" w:rsidRDefault="007D706A" w:rsidP="00F70508">
            <w:pPr>
              <w:pStyle w:val="ParagraphStyle12"/>
              <w:rPr>
                <w:rStyle w:val="CharacterStyle12"/>
              </w:rPr>
            </w:pPr>
            <w:r>
              <w:rPr>
                <w:rStyle w:val="CharacterStyle12"/>
              </w:rPr>
              <w:t>1.050,00</w:t>
            </w:r>
          </w:p>
        </w:tc>
      </w:tr>
      <w:tr w:rsidR="007D706A" w14:paraId="7CCABA2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4BC1CB8" w14:textId="77777777" w:rsidR="007D706A" w:rsidRDefault="007D706A" w:rsidP="00F70508">
            <w:pPr>
              <w:pStyle w:val="ParagraphStyle10"/>
              <w:rPr>
                <w:rStyle w:val="CharacterStyle10"/>
              </w:rPr>
            </w:pPr>
            <w:r>
              <w:rPr>
                <w:rStyle w:val="CharacterStyle10"/>
              </w:rPr>
              <w:t>38</w:t>
            </w:r>
          </w:p>
        </w:tc>
        <w:tc>
          <w:tcPr>
            <w:tcW w:w="4995" w:type="dxa"/>
            <w:tcBorders>
              <w:bottom w:val="single" w:sz="6" w:space="0" w:color="000000"/>
              <w:right w:val="single" w:sz="6" w:space="0" w:color="000000"/>
            </w:tcBorders>
            <w:vAlign w:val="center"/>
          </w:tcPr>
          <w:p w14:paraId="5FA67637" w14:textId="77777777" w:rsidR="007D706A" w:rsidRDefault="007D706A" w:rsidP="00F70508">
            <w:pPr>
              <w:pStyle w:val="ParagraphStyle11"/>
              <w:rPr>
                <w:rStyle w:val="CharacterStyle11"/>
              </w:rPr>
            </w:pPr>
            <w:r>
              <w:rPr>
                <w:rStyle w:val="CharacterStyle11"/>
              </w:rPr>
              <w:t>Rashodi za donacije, kazne, naknade šteta i kapitalne pomoći</w:t>
            </w:r>
          </w:p>
        </w:tc>
        <w:tc>
          <w:tcPr>
            <w:tcW w:w="1395" w:type="dxa"/>
            <w:tcBorders>
              <w:bottom w:val="single" w:sz="6" w:space="0" w:color="000000"/>
              <w:right w:val="single" w:sz="6" w:space="0" w:color="000000"/>
            </w:tcBorders>
            <w:vAlign w:val="center"/>
          </w:tcPr>
          <w:p w14:paraId="1011FEB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D665B9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AD3D1BE" w14:textId="77777777" w:rsidR="007D706A" w:rsidRDefault="007D706A" w:rsidP="00F70508">
            <w:pPr>
              <w:pStyle w:val="ParagraphStyle12"/>
              <w:rPr>
                <w:rStyle w:val="CharacterStyle12"/>
              </w:rPr>
            </w:pPr>
            <w:r>
              <w:rPr>
                <w:rStyle w:val="CharacterStyle12"/>
              </w:rPr>
              <w:t>1.000,00</w:t>
            </w:r>
          </w:p>
        </w:tc>
        <w:tc>
          <w:tcPr>
            <w:tcW w:w="1395" w:type="dxa"/>
            <w:tcBorders>
              <w:bottom w:val="single" w:sz="6" w:space="0" w:color="000000"/>
              <w:right w:val="single" w:sz="6" w:space="0" w:color="000000"/>
            </w:tcBorders>
            <w:vAlign w:val="center"/>
          </w:tcPr>
          <w:p w14:paraId="2B2260D5" w14:textId="77777777" w:rsidR="007D706A" w:rsidRDefault="007D706A" w:rsidP="00F70508">
            <w:pPr>
              <w:pStyle w:val="ParagraphStyle12"/>
              <w:rPr>
                <w:rStyle w:val="CharacterStyle12"/>
              </w:rPr>
            </w:pPr>
            <w:r>
              <w:rPr>
                <w:rStyle w:val="CharacterStyle12"/>
              </w:rPr>
              <w:t>1.040,00</w:t>
            </w:r>
          </w:p>
        </w:tc>
        <w:tc>
          <w:tcPr>
            <w:tcW w:w="1395" w:type="dxa"/>
            <w:tcBorders>
              <w:bottom w:val="single" w:sz="6" w:space="0" w:color="000000"/>
              <w:right w:val="single" w:sz="6" w:space="0" w:color="000000"/>
            </w:tcBorders>
            <w:vAlign w:val="center"/>
          </w:tcPr>
          <w:p w14:paraId="60E99A20" w14:textId="77777777" w:rsidR="007D706A" w:rsidRDefault="007D706A" w:rsidP="00F70508">
            <w:pPr>
              <w:pStyle w:val="ParagraphStyle12"/>
              <w:rPr>
                <w:rStyle w:val="CharacterStyle12"/>
              </w:rPr>
            </w:pPr>
            <w:r>
              <w:rPr>
                <w:rStyle w:val="CharacterStyle12"/>
              </w:rPr>
              <w:t>1.050,00</w:t>
            </w:r>
          </w:p>
        </w:tc>
      </w:tr>
      <w:tr w:rsidR="007D706A" w14:paraId="79041B0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8546607" w14:textId="77777777" w:rsidR="007D706A" w:rsidRDefault="007D706A" w:rsidP="00F70508">
            <w:pPr>
              <w:pStyle w:val="ParagraphStyle7"/>
              <w:rPr>
                <w:rStyle w:val="CharacterStyle7"/>
              </w:rPr>
            </w:pPr>
            <w:r>
              <w:rPr>
                <w:rStyle w:val="CharacterStyle7"/>
              </w:rPr>
              <w:t>Izvor financiranja 53</w:t>
            </w:r>
          </w:p>
        </w:tc>
        <w:tc>
          <w:tcPr>
            <w:tcW w:w="4995" w:type="dxa"/>
            <w:tcBorders>
              <w:bottom w:val="single" w:sz="6" w:space="0" w:color="000000"/>
              <w:right w:val="single" w:sz="6" w:space="0" w:color="000000"/>
            </w:tcBorders>
            <w:vAlign w:val="center"/>
          </w:tcPr>
          <w:p w14:paraId="28DAD7C3" w14:textId="77777777" w:rsidR="007D706A" w:rsidRDefault="007D706A" w:rsidP="00F70508">
            <w:pPr>
              <w:pStyle w:val="ParagraphStyle8"/>
              <w:rPr>
                <w:rStyle w:val="CharacterStyle8"/>
              </w:rPr>
            </w:pPr>
            <w:r>
              <w:rPr>
                <w:rStyle w:val="CharacterStyle8"/>
              </w:rPr>
              <w:t>Proračuni, drugi nivoi - za posebne i / ili ugovorene namjene</w:t>
            </w:r>
          </w:p>
        </w:tc>
        <w:tc>
          <w:tcPr>
            <w:tcW w:w="1395" w:type="dxa"/>
            <w:tcBorders>
              <w:bottom w:val="single" w:sz="6" w:space="0" w:color="000000"/>
              <w:right w:val="single" w:sz="6" w:space="0" w:color="000000"/>
            </w:tcBorders>
            <w:vAlign w:val="center"/>
          </w:tcPr>
          <w:p w14:paraId="6E9416AC"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236C596" w14:textId="77777777" w:rsidR="007D706A" w:rsidRDefault="007D706A" w:rsidP="00F70508">
            <w:pPr>
              <w:pStyle w:val="ParagraphStyle9"/>
              <w:rPr>
                <w:rStyle w:val="CharacterStyle9"/>
              </w:rPr>
            </w:pPr>
            <w:r>
              <w:rPr>
                <w:rStyle w:val="CharacterStyle9"/>
              </w:rPr>
              <w:t>3.983,50</w:t>
            </w:r>
          </w:p>
        </w:tc>
        <w:tc>
          <w:tcPr>
            <w:tcW w:w="1395" w:type="dxa"/>
            <w:tcBorders>
              <w:bottom w:val="single" w:sz="6" w:space="0" w:color="000000"/>
              <w:right w:val="single" w:sz="6" w:space="0" w:color="000000"/>
            </w:tcBorders>
            <w:vAlign w:val="center"/>
          </w:tcPr>
          <w:p w14:paraId="4A46E422"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CAAC19F"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DD2BF5C" w14:textId="77777777" w:rsidR="007D706A" w:rsidRDefault="007D706A" w:rsidP="00F70508">
            <w:pPr>
              <w:pStyle w:val="ParagraphStyle9"/>
              <w:rPr>
                <w:rStyle w:val="CharacterStyle9"/>
              </w:rPr>
            </w:pPr>
            <w:r>
              <w:rPr>
                <w:rStyle w:val="CharacterStyle9"/>
              </w:rPr>
              <w:t>0,00</w:t>
            </w:r>
          </w:p>
        </w:tc>
      </w:tr>
      <w:tr w:rsidR="007D706A" w14:paraId="10C28296"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D8D4631"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1FCA8245"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36F45AF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751D380" w14:textId="77777777" w:rsidR="007D706A" w:rsidRDefault="007D706A" w:rsidP="00F70508">
            <w:pPr>
              <w:pStyle w:val="ParagraphStyle12"/>
              <w:rPr>
                <w:rStyle w:val="CharacterStyle12"/>
              </w:rPr>
            </w:pPr>
            <w:r>
              <w:rPr>
                <w:rStyle w:val="CharacterStyle12"/>
              </w:rPr>
              <w:t>3.983,50</w:t>
            </w:r>
          </w:p>
        </w:tc>
        <w:tc>
          <w:tcPr>
            <w:tcW w:w="1395" w:type="dxa"/>
            <w:tcBorders>
              <w:bottom w:val="single" w:sz="6" w:space="0" w:color="000000"/>
              <w:right w:val="single" w:sz="6" w:space="0" w:color="000000"/>
            </w:tcBorders>
            <w:vAlign w:val="center"/>
          </w:tcPr>
          <w:p w14:paraId="792BAA5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B31D6F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20FBC95" w14:textId="77777777" w:rsidR="007D706A" w:rsidRDefault="007D706A" w:rsidP="00F70508">
            <w:pPr>
              <w:pStyle w:val="ParagraphStyle12"/>
              <w:rPr>
                <w:rStyle w:val="CharacterStyle12"/>
              </w:rPr>
            </w:pPr>
            <w:r>
              <w:rPr>
                <w:rStyle w:val="CharacterStyle12"/>
              </w:rPr>
              <w:t>0,00</w:t>
            </w:r>
          </w:p>
        </w:tc>
      </w:tr>
      <w:tr w:rsidR="007D706A" w14:paraId="76D6CB8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11881E5" w14:textId="77777777" w:rsidR="007D706A" w:rsidRDefault="007D706A" w:rsidP="00F70508">
            <w:pPr>
              <w:pStyle w:val="ParagraphStyle10"/>
              <w:rPr>
                <w:rStyle w:val="CharacterStyle10"/>
              </w:rPr>
            </w:pPr>
            <w:r>
              <w:rPr>
                <w:rStyle w:val="CharacterStyle10"/>
              </w:rPr>
              <w:t>31</w:t>
            </w:r>
          </w:p>
        </w:tc>
        <w:tc>
          <w:tcPr>
            <w:tcW w:w="4995" w:type="dxa"/>
            <w:tcBorders>
              <w:bottom w:val="single" w:sz="6" w:space="0" w:color="000000"/>
              <w:right w:val="single" w:sz="6" w:space="0" w:color="000000"/>
            </w:tcBorders>
            <w:vAlign w:val="center"/>
          </w:tcPr>
          <w:p w14:paraId="743BFA04" w14:textId="77777777" w:rsidR="007D706A" w:rsidRDefault="007D706A" w:rsidP="00F70508">
            <w:pPr>
              <w:pStyle w:val="ParagraphStyle11"/>
              <w:rPr>
                <w:rStyle w:val="CharacterStyle11"/>
              </w:rPr>
            </w:pPr>
            <w:r>
              <w:rPr>
                <w:rStyle w:val="CharacterStyle11"/>
              </w:rPr>
              <w:t>Rashodi za zaposlene</w:t>
            </w:r>
          </w:p>
        </w:tc>
        <w:tc>
          <w:tcPr>
            <w:tcW w:w="1395" w:type="dxa"/>
            <w:tcBorders>
              <w:bottom w:val="single" w:sz="6" w:space="0" w:color="000000"/>
              <w:right w:val="single" w:sz="6" w:space="0" w:color="000000"/>
            </w:tcBorders>
            <w:vAlign w:val="center"/>
          </w:tcPr>
          <w:p w14:paraId="3BF364C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36D69AE" w14:textId="77777777" w:rsidR="007D706A" w:rsidRDefault="007D706A" w:rsidP="00F70508">
            <w:pPr>
              <w:pStyle w:val="ParagraphStyle12"/>
              <w:rPr>
                <w:rStyle w:val="CharacterStyle12"/>
              </w:rPr>
            </w:pPr>
            <w:r>
              <w:rPr>
                <w:rStyle w:val="CharacterStyle12"/>
              </w:rPr>
              <w:t>600,00</w:t>
            </w:r>
          </w:p>
        </w:tc>
        <w:tc>
          <w:tcPr>
            <w:tcW w:w="1395" w:type="dxa"/>
            <w:tcBorders>
              <w:bottom w:val="single" w:sz="6" w:space="0" w:color="000000"/>
              <w:right w:val="single" w:sz="6" w:space="0" w:color="000000"/>
            </w:tcBorders>
            <w:vAlign w:val="center"/>
          </w:tcPr>
          <w:p w14:paraId="177BEDB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85B2D1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CDEB51C" w14:textId="77777777" w:rsidR="007D706A" w:rsidRDefault="007D706A" w:rsidP="00F70508">
            <w:pPr>
              <w:pStyle w:val="ParagraphStyle12"/>
              <w:rPr>
                <w:rStyle w:val="CharacterStyle12"/>
              </w:rPr>
            </w:pPr>
            <w:r>
              <w:rPr>
                <w:rStyle w:val="CharacterStyle12"/>
              </w:rPr>
              <w:t>0,00</w:t>
            </w:r>
          </w:p>
        </w:tc>
      </w:tr>
      <w:tr w:rsidR="007D706A" w14:paraId="1A0EC7A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94A405A"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20937591"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5412105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409E38C" w14:textId="77777777" w:rsidR="007D706A" w:rsidRDefault="007D706A" w:rsidP="00F70508">
            <w:pPr>
              <w:pStyle w:val="ParagraphStyle12"/>
              <w:rPr>
                <w:rStyle w:val="CharacterStyle12"/>
              </w:rPr>
            </w:pPr>
            <w:r>
              <w:rPr>
                <w:rStyle w:val="CharacterStyle12"/>
              </w:rPr>
              <w:t>2.605,00</w:t>
            </w:r>
          </w:p>
        </w:tc>
        <w:tc>
          <w:tcPr>
            <w:tcW w:w="1395" w:type="dxa"/>
            <w:tcBorders>
              <w:bottom w:val="single" w:sz="6" w:space="0" w:color="000000"/>
              <w:right w:val="single" w:sz="6" w:space="0" w:color="000000"/>
            </w:tcBorders>
            <w:vAlign w:val="center"/>
          </w:tcPr>
          <w:p w14:paraId="1A6B5B1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391293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2E5EF01" w14:textId="77777777" w:rsidR="007D706A" w:rsidRDefault="007D706A" w:rsidP="00F70508">
            <w:pPr>
              <w:pStyle w:val="ParagraphStyle12"/>
              <w:rPr>
                <w:rStyle w:val="CharacterStyle12"/>
              </w:rPr>
            </w:pPr>
            <w:r>
              <w:rPr>
                <w:rStyle w:val="CharacterStyle12"/>
              </w:rPr>
              <w:t>0,00</w:t>
            </w:r>
          </w:p>
        </w:tc>
      </w:tr>
      <w:tr w:rsidR="007D706A" w14:paraId="75513A3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40E977B" w14:textId="77777777" w:rsidR="007D706A" w:rsidRDefault="007D706A" w:rsidP="00F70508">
            <w:pPr>
              <w:pStyle w:val="ParagraphStyle10"/>
              <w:rPr>
                <w:rStyle w:val="CharacterStyle10"/>
              </w:rPr>
            </w:pPr>
            <w:r>
              <w:rPr>
                <w:rStyle w:val="CharacterStyle10"/>
              </w:rPr>
              <w:t>38</w:t>
            </w:r>
          </w:p>
        </w:tc>
        <w:tc>
          <w:tcPr>
            <w:tcW w:w="4995" w:type="dxa"/>
            <w:tcBorders>
              <w:bottom w:val="single" w:sz="6" w:space="0" w:color="000000"/>
              <w:right w:val="single" w:sz="6" w:space="0" w:color="000000"/>
            </w:tcBorders>
            <w:vAlign w:val="center"/>
          </w:tcPr>
          <w:p w14:paraId="7ED61189" w14:textId="77777777" w:rsidR="007D706A" w:rsidRDefault="007D706A" w:rsidP="00F70508">
            <w:pPr>
              <w:pStyle w:val="ParagraphStyle11"/>
              <w:rPr>
                <w:rStyle w:val="CharacterStyle11"/>
              </w:rPr>
            </w:pPr>
            <w:r>
              <w:rPr>
                <w:rStyle w:val="CharacterStyle11"/>
              </w:rPr>
              <w:t>Rashodi za donacije, kazne, naknade šteta i kapitalne pomoći</w:t>
            </w:r>
          </w:p>
        </w:tc>
        <w:tc>
          <w:tcPr>
            <w:tcW w:w="1395" w:type="dxa"/>
            <w:tcBorders>
              <w:bottom w:val="single" w:sz="6" w:space="0" w:color="000000"/>
              <w:right w:val="single" w:sz="6" w:space="0" w:color="000000"/>
            </w:tcBorders>
            <w:vAlign w:val="center"/>
          </w:tcPr>
          <w:p w14:paraId="756BBC6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127197A" w14:textId="77777777" w:rsidR="007D706A" w:rsidRDefault="007D706A" w:rsidP="00F70508">
            <w:pPr>
              <w:pStyle w:val="ParagraphStyle12"/>
              <w:rPr>
                <w:rStyle w:val="CharacterStyle12"/>
              </w:rPr>
            </w:pPr>
            <w:r>
              <w:rPr>
                <w:rStyle w:val="CharacterStyle12"/>
              </w:rPr>
              <w:t>778,50</w:t>
            </w:r>
          </w:p>
        </w:tc>
        <w:tc>
          <w:tcPr>
            <w:tcW w:w="1395" w:type="dxa"/>
            <w:tcBorders>
              <w:bottom w:val="single" w:sz="6" w:space="0" w:color="000000"/>
              <w:right w:val="single" w:sz="6" w:space="0" w:color="000000"/>
            </w:tcBorders>
            <w:vAlign w:val="center"/>
          </w:tcPr>
          <w:p w14:paraId="14092C5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EF8043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BC590CF" w14:textId="77777777" w:rsidR="007D706A" w:rsidRDefault="007D706A" w:rsidP="00F70508">
            <w:pPr>
              <w:pStyle w:val="ParagraphStyle12"/>
              <w:rPr>
                <w:rStyle w:val="CharacterStyle12"/>
              </w:rPr>
            </w:pPr>
            <w:r>
              <w:rPr>
                <w:rStyle w:val="CharacterStyle12"/>
              </w:rPr>
              <w:t>0,00</w:t>
            </w:r>
          </w:p>
        </w:tc>
      </w:tr>
      <w:tr w:rsidR="007D706A" w14:paraId="6F6A49B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832B109" w14:textId="77777777" w:rsidR="007D706A" w:rsidRDefault="007D706A" w:rsidP="00F70508">
            <w:pPr>
              <w:pStyle w:val="ParagraphStyle7"/>
              <w:rPr>
                <w:rStyle w:val="CharacterStyle7"/>
              </w:rPr>
            </w:pPr>
            <w:r>
              <w:rPr>
                <w:rStyle w:val="CharacterStyle7"/>
              </w:rPr>
              <w:t>Izvor financiranja 54</w:t>
            </w:r>
          </w:p>
        </w:tc>
        <w:tc>
          <w:tcPr>
            <w:tcW w:w="4995" w:type="dxa"/>
            <w:tcBorders>
              <w:bottom w:val="single" w:sz="6" w:space="0" w:color="000000"/>
              <w:right w:val="single" w:sz="6" w:space="0" w:color="000000"/>
            </w:tcBorders>
            <w:vAlign w:val="center"/>
          </w:tcPr>
          <w:p w14:paraId="5BBE7F82" w14:textId="77777777" w:rsidR="007D706A" w:rsidRDefault="007D706A" w:rsidP="00F70508">
            <w:pPr>
              <w:pStyle w:val="ParagraphStyle8"/>
              <w:rPr>
                <w:rStyle w:val="CharacterStyle8"/>
              </w:rPr>
            </w:pPr>
            <w:r>
              <w:rPr>
                <w:rStyle w:val="CharacterStyle8"/>
              </w:rPr>
              <w:t>Pomoći tijela i fondova EU</w:t>
            </w:r>
          </w:p>
        </w:tc>
        <w:tc>
          <w:tcPr>
            <w:tcW w:w="1395" w:type="dxa"/>
            <w:tcBorders>
              <w:bottom w:val="single" w:sz="6" w:space="0" w:color="000000"/>
              <w:right w:val="single" w:sz="6" w:space="0" w:color="000000"/>
            </w:tcBorders>
            <w:vAlign w:val="center"/>
          </w:tcPr>
          <w:p w14:paraId="362E84E1"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1AC7FBC" w14:textId="77777777" w:rsidR="007D706A" w:rsidRDefault="007D706A" w:rsidP="00F70508">
            <w:pPr>
              <w:pStyle w:val="ParagraphStyle9"/>
              <w:rPr>
                <w:rStyle w:val="CharacterStyle9"/>
              </w:rPr>
            </w:pPr>
            <w:r>
              <w:rPr>
                <w:rStyle w:val="CharacterStyle9"/>
              </w:rPr>
              <w:t>48.000,00</w:t>
            </w:r>
          </w:p>
        </w:tc>
        <w:tc>
          <w:tcPr>
            <w:tcW w:w="1395" w:type="dxa"/>
            <w:tcBorders>
              <w:bottom w:val="single" w:sz="6" w:space="0" w:color="000000"/>
              <w:right w:val="single" w:sz="6" w:space="0" w:color="000000"/>
            </w:tcBorders>
            <w:vAlign w:val="center"/>
          </w:tcPr>
          <w:p w14:paraId="41AD1A86"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8DF6E9B"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EA307AD" w14:textId="77777777" w:rsidR="007D706A" w:rsidRDefault="007D706A" w:rsidP="00F70508">
            <w:pPr>
              <w:pStyle w:val="ParagraphStyle9"/>
              <w:rPr>
                <w:rStyle w:val="CharacterStyle9"/>
              </w:rPr>
            </w:pPr>
            <w:r>
              <w:rPr>
                <w:rStyle w:val="CharacterStyle9"/>
              </w:rPr>
              <w:t>0,00</w:t>
            </w:r>
          </w:p>
        </w:tc>
      </w:tr>
      <w:tr w:rsidR="007D706A" w14:paraId="548D7D8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B9BEC51"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07C5C7A8"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49891E8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C65A246" w14:textId="77777777" w:rsidR="007D706A" w:rsidRDefault="007D706A" w:rsidP="00F70508">
            <w:pPr>
              <w:pStyle w:val="ParagraphStyle12"/>
              <w:rPr>
                <w:rStyle w:val="CharacterStyle12"/>
              </w:rPr>
            </w:pPr>
            <w:r>
              <w:rPr>
                <w:rStyle w:val="CharacterStyle12"/>
              </w:rPr>
              <w:t>48.000,00</w:t>
            </w:r>
          </w:p>
        </w:tc>
        <w:tc>
          <w:tcPr>
            <w:tcW w:w="1395" w:type="dxa"/>
            <w:tcBorders>
              <w:bottom w:val="single" w:sz="6" w:space="0" w:color="000000"/>
              <w:right w:val="single" w:sz="6" w:space="0" w:color="000000"/>
            </w:tcBorders>
            <w:vAlign w:val="center"/>
          </w:tcPr>
          <w:p w14:paraId="520F20D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96C721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06096FF" w14:textId="77777777" w:rsidR="007D706A" w:rsidRDefault="007D706A" w:rsidP="00F70508">
            <w:pPr>
              <w:pStyle w:val="ParagraphStyle12"/>
              <w:rPr>
                <w:rStyle w:val="CharacterStyle12"/>
              </w:rPr>
            </w:pPr>
            <w:r>
              <w:rPr>
                <w:rStyle w:val="CharacterStyle12"/>
              </w:rPr>
              <w:t>0,00</w:t>
            </w:r>
          </w:p>
        </w:tc>
      </w:tr>
      <w:tr w:rsidR="007D706A" w14:paraId="57B250B6"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3160D38"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10060160"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516F862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E7A94E8" w14:textId="77777777" w:rsidR="007D706A" w:rsidRDefault="007D706A" w:rsidP="00F70508">
            <w:pPr>
              <w:pStyle w:val="ParagraphStyle12"/>
              <w:rPr>
                <w:rStyle w:val="CharacterStyle12"/>
              </w:rPr>
            </w:pPr>
            <w:r>
              <w:rPr>
                <w:rStyle w:val="CharacterStyle12"/>
              </w:rPr>
              <w:t>48.000,00</w:t>
            </w:r>
          </w:p>
        </w:tc>
        <w:tc>
          <w:tcPr>
            <w:tcW w:w="1395" w:type="dxa"/>
            <w:tcBorders>
              <w:bottom w:val="single" w:sz="6" w:space="0" w:color="000000"/>
              <w:right w:val="single" w:sz="6" w:space="0" w:color="000000"/>
            </w:tcBorders>
            <w:vAlign w:val="center"/>
          </w:tcPr>
          <w:p w14:paraId="7FAF631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6796F4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BADDADD" w14:textId="77777777" w:rsidR="007D706A" w:rsidRDefault="007D706A" w:rsidP="00F70508">
            <w:pPr>
              <w:pStyle w:val="ParagraphStyle12"/>
              <w:rPr>
                <w:rStyle w:val="CharacterStyle12"/>
              </w:rPr>
            </w:pPr>
            <w:r>
              <w:rPr>
                <w:rStyle w:val="CharacterStyle12"/>
              </w:rPr>
              <w:t>0,00</w:t>
            </w:r>
          </w:p>
        </w:tc>
      </w:tr>
      <w:tr w:rsidR="007D706A" w14:paraId="1E290C8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ECF3CD7" w14:textId="77777777" w:rsidR="007D706A" w:rsidRDefault="007D706A" w:rsidP="00F70508">
            <w:pPr>
              <w:pStyle w:val="ParagraphStyle7"/>
              <w:rPr>
                <w:rStyle w:val="CharacterStyle7"/>
              </w:rPr>
            </w:pPr>
            <w:r>
              <w:rPr>
                <w:rStyle w:val="CharacterStyle7"/>
              </w:rPr>
              <w:t>Izvor financiranja 61</w:t>
            </w:r>
          </w:p>
        </w:tc>
        <w:tc>
          <w:tcPr>
            <w:tcW w:w="4995" w:type="dxa"/>
            <w:tcBorders>
              <w:bottom w:val="single" w:sz="6" w:space="0" w:color="000000"/>
              <w:right w:val="single" w:sz="6" w:space="0" w:color="000000"/>
            </w:tcBorders>
            <w:vAlign w:val="center"/>
          </w:tcPr>
          <w:p w14:paraId="1F5E056F" w14:textId="77777777" w:rsidR="007D706A" w:rsidRDefault="007D706A" w:rsidP="00F70508">
            <w:pPr>
              <w:pStyle w:val="ParagraphStyle8"/>
              <w:rPr>
                <w:rStyle w:val="CharacterStyle8"/>
              </w:rPr>
            </w:pPr>
            <w:r>
              <w:rPr>
                <w:rStyle w:val="CharacterStyle8"/>
              </w:rPr>
              <w:t>Donacije</w:t>
            </w:r>
          </w:p>
        </w:tc>
        <w:tc>
          <w:tcPr>
            <w:tcW w:w="1395" w:type="dxa"/>
            <w:tcBorders>
              <w:bottom w:val="single" w:sz="6" w:space="0" w:color="000000"/>
              <w:right w:val="single" w:sz="6" w:space="0" w:color="000000"/>
            </w:tcBorders>
            <w:vAlign w:val="center"/>
          </w:tcPr>
          <w:p w14:paraId="75033A94"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7EB3601" w14:textId="77777777" w:rsidR="007D706A" w:rsidRDefault="007D706A" w:rsidP="00F70508">
            <w:pPr>
              <w:pStyle w:val="ParagraphStyle9"/>
              <w:rPr>
                <w:rStyle w:val="CharacterStyle9"/>
              </w:rPr>
            </w:pPr>
            <w:r>
              <w:rPr>
                <w:rStyle w:val="CharacterStyle9"/>
              </w:rPr>
              <w:t>4.000,00</w:t>
            </w:r>
          </w:p>
        </w:tc>
        <w:tc>
          <w:tcPr>
            <w:tcW w:w="1395" w:type="dxa"/>
            <w:tcBorders>
              <w:bottom w:val="single" w:sz="6" w:space="0" w:color="000000"/>
              <w:right w:val="single" w:sz="6" w:space="0" w:color="000000"/>
            </w:tcBorders>
            <w:vAlign w:val="center"/>
          </w:tcPr>
          <w:p w14:paraId="3583901E" w14:textId="77777777" w:rsidR="007D706A" w:rsidRDefault="007D706A" w:rsidP="00F70508">
            <w:pPr>
              <w:pStyle w:val="ParagraphStyle9"/>
              <w:rPr>
                <w:rStyle w:val="CharacterStyle9"/>
              </w:rPr>
            </w:pPr>
            <w:r>
              <w:rPr>
                <w:rStyle w:val="CharacterStyle9"/>
              </w:rPr>
              <w:t>4.000,00</w:t>
            </w:r>
          </w:p>
        </w:tc>
        <w:tc>
          <w:tcPr>
            <w:tcW w:w="1395" w:type="dxa"/>
            <w:tcBorders>
              <w:bottom w:val="single" w:sz="6" w:space="0" w:color="000000"/>
              <w:right w:val="single" w:sz="6" w:space="0" w:color="000000"/>
            </w:tcBorders>
            <w:vAlign w:val="center"/>
          </w:tcPr>
          <w:p w14:paraId="133C9AE1" w14:textId="77777777" w:rsidR="007D706A" w:rsidRDefault="007D706A" w:rsidP="00F70508">
            <w:pPr>
              <w:pStyle w:val="ParagraphStyle9"/>
              <w:rPr>
                <w:rStyle w:val="CharacterStyle9"/>
              </w:rPr>
            </w:pPr>
            <w:r>
              <w:rPr>
                <w:rStyle w:val="CharacterStyle9"/>
              </w:rPr>
              <w:t>4.160,00</w:t>
            </w:r>
          </w:p>
        </w:tc>
        <w:tc>
          <w:tcPr>
            <w:tcW w:w="1395" w:type="dxa"/>
            <w:tcBorders>
              <w:bottom w:val="single" w:sz="6" w:space="0" w:color="000000"/>
              <w:right w:val="single" w:sz="6" w:space="0" w:color="000000"/>
            </w:tcBorders>
            <w:vAlign w:val="center"/>
          </w:tcPr>
          <w:p w14:paraId="170E6443" w14:textId="77777777" w:rsidR="007D706A" w:rsidRDefault="007D706A" w:rsidP="00F70508">
            <w:pPr>
              <w:pStyle w:val="ParagraphStyle9"/>
              <w:rPr>
                <w:rStyle w:val="CharacterStyle9"/>
              </w:rPr>
            </w:pPr>
            <w:r>
              <w:rPr>
                <w:rStyle w:val="CharacterStyle9"/>
              </w:rPr>
              <w:t>4.202,00</w:t>
            </w:r>
          </w:p>
        </w:tc>
      </w:tr>
      <w:tr w:rsidR="007D706A" w14:paraId="4BCC953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7D139C8"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20A278BD"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13FE9E4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A0B3621" w14:textId="77777777" w:rsidR="007D706A" w:rsidRDefault="007D706A" w:rsidP="00F70508">
            <w:pPr>
              <w:pStyle w:val="ParagraphStyle12"/>
              <w:rPr>
                <w:rStyle w:val="CharacterStyle12"/>
              </w:rPr>
            </w:pPr>
            <w:r>
              <w:rPr>
                <w:rStyle w:val="CharacterStyle12"/>
              </w:rPr>
              <w:t>4.000,00</w:t>
            </w:r>
          </w:p>
        </w:tc>
        <w:tc>
          <w:tcPr>
            <w:tcW w:w="1395" w:type="dxa"/>
            <w:tcBorders>
              <w:bottom w:val="single" w:sz="6" w:space="0" w:color="000000"/>
              <w:right w:val="single" w:sz="6" w:space="0" w:color="000000"/>
            </w:tcBorders>
            <w:vAlign w:val="center"/>
          </w:tcPr>
          <w:p w14:paraId="0B286124" w14:textId="77777777" w:rsidR="007D706A" w:rsidRDefault="007D706A" w:rsidP="00F70508">
            <w:pPr>
              <w:pStyle w:val="ParagraphStyle12"/>
              <w:rPr>
                <w:rStyle w:val="CharacterStyle12"/>
              </w:rPr>
            </w:pPr>
            <w:r>
              <w:rPr>
                <w:rStyle w:val="CharacterStyle12"/>
              </w:rPr>
              <w:t>4.000,00</w:t>
            </w:r>
          </w:p>
        </w:tc>
        <w:tc>
          <w:tcPr>
            <w:tcW w:w="1395" w:type="dxa"/>
            <w:tcBorders>
              <w:bottom w:val="single" w:sz="6" w:space="0" w:color="000000"/>
              <w:right w:val="single" w:sz="6" w:space="0" w:color="000000"/>
            </w:tcBorders>
            <w:vAlign w:val="center"/>
          </w:tcPr>
          <w:p w14:paraId="27234AB1" w14:textId="77777777" w:rsidR="007D706A" w:rsidRDefault="007D706A" w:rsidP="00F70508">
            <w:pPr>
              <w:pStyle w:val="ParagraphStyle12"/>
              <w:rPr>
                <w:rStyle w:val="CharacterStyle12"/>
              </w:rPr>
            </w:pPr>
            <w:r>
              <w:rPr>
                <w:rStyle w:val="CharacterStyle12"/>
              </w:rPr>
              <w:t>4.160,00</w:t>
            </w:r>
          </w:p>
        </w:tc>
        <w:tc>
          <w:tcPr>
            <w:tcW w:w="1395" w:type="dxa"/>
            <w:tcBorders>
              <w:bottom w:val="single" w:sz="6" w:space="0" w:color="000000"/>
              <w:right w:val="single" w:sz="6" w:space="0" w:color="000000"/>
            </w:tcBorders>
            <w:vAlign w:val="center"/>
          </w:tcPr>
          <w:p w14:paraId="0FF52D03" w14:textId="77777777" w:rsidR="007D706A" w:rsidRDefault="007D706A" w:rsidP="00F70508">
            <w:pPr>
              <w:pStyle w:val="ParagraphStyle12"/>
              <w:rPr>
                <w:rStyle w:val="CharacterStyle12"/>
              </w:rPr>
            </w:pPr>
            <w:r>
              <w:rPr>
                <w:rStyle w:val="CharacterStyle12"/>
              </w:rPr>
              <w:t>4.202,00</w:t>
            </w:r>
          </w:p>
        </w:tc>
      </w:tr>
      <w:tr w:rsidR="007D706A" w14:paraId="0176E85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28569FA"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533F4D1F"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3E7E8C0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7CF03B9" w14:textId="77777777" w:rsidR="007D706A" w:rsidRDefault="007D706A" w:rsidP="00F70508">
            <w:pPr>
              <w:pStyle w:val="ParagraphStyle12"/>
              <w:rPr>
                <w:rStyle w:val="CharacterStyle12"/>
              </w:rPr>
            </w:pPr>
            <w:r>
              <w:rPr>
                <w:rStyle w:val="CharacterStyle12"/>
              </w:rPr>
              <w:t>4.000,00</w:t>
            </w:r>
          </w:p>
        </w:tc>
        <w:tc>
          <w:tcPr>
            <w:tcW w:w="1395" w:type="dxa"/>
            <w:tcBorders>
              <w:bottom w:val="single" w:sz="6" w:space="0" w:color="000000"/>
              <w:right w:val="single" w:sz="6" w:space="0" w:color="000000"/>
            </w:tcBorders>
            <w:vAlign w:val="center"/>
          </w:tcPr>
          <w:p w14:paraId="7BCE8A7F" w14:textId="77777777" w:rsidR="007D706A" w:rsidRDefault="007D706A" w:rsidP="00F70508">
            <w:pPr>
              <w:pStyle w:val="ParagraphStyle12"/>
              <w:rPr>
                <w:rStyle w:val="CharacterStyle12"/>
              </w:rPr>
            </w:pPr>
            <w:r>
              <w:rPr>
                <w:rStyle w:val="CharacterStyle12"/>
              </w:rPr>
              <w:t>4.000,00</w:t>
            </w:r>
          </w:p>
        </w:tc>
        <w:tc>
          <w:tcPr>
            <w:tcW w:w="1395" w:type="dxa"/>
            <w:tcBorders>
              <w:bottom w:val="single" w:sz="6" w:space="0" w:color="000000"/>
              <w:right w:val="single" w:sz="6" w:space="0" w:color="000000"/>
            </w:tcBorders>
            <w:vAlign w:val="center"/>
          </w:tcPr>
          <w:p w14:paraId="3DA4367A" w14:textId="77777777" w:rsidR="007D706A" w:rsidRDefault="007D706A" w:rsidP="00F70508">
            <w:pPr>
              <w:pStyle w:val="ParagraphStyle12"/>
              <w:rPr>
                <w:rStyle w:val="CharacterStyle12"/>
              </w:rPr>
            </w:pPr>
            <w:r>
              <w:rPr>
                <w:rStyle w:val="CharacterStyle12"/>
              </w:rPr>
              <w:t>4.160,00</w:t>
            </w:r>
          </w:p>
        </w:tc>
        <w:tc>
          <w:tcPr>
            <w:tcW w:w="1395" w:type="dxa"/>
            <w:tcBorders>
              <w:bottom w:val="single" w:sz="6" w:space="0" w:color="000000"/>
              <w:right w:val="single" w:sz="6" w:space="0" w:color="000000"/>
            </w:tcBorders>
            <w:vAlign w:val="center"/>
          </w:tcPr>
          <w:p w14:paraId="5FCAC866" w14:textId="77777777" w:rsidR="007D706A" w:rsidRDefault="007D706A" w:rsidP="00F70508">
            <w:pPr>
              <w:pStyle w:val="ParagraphStyle12"/>
              <w:rPr>
                <w:rStyle w:val="CharacterStyle12"/>
              </w:rPr>
            </w:pPr>
            <w:r>
              <w:rPr>
                <w:rStyle w:val="CharacterStyle12"/>
              </w:rPr>
              <w:t>4.202,00</w:t>
            </w:r>
          </w:p>
        </w:tc>
      </w:tr>
      <w:tr w:rsidR="007D706A" w14:paraId="054959A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9BC320A" w14:textId="77777777" w:rsidR="007D706A" w:rsidRDefault="007D706A" w:rsidP="00F70508">
            <w:pPr>
              <w:pStyle w:val="ParagraphStyle7"/>
              <w:rPr>
                <w:rStyle w:val="CharacterStyle7"/>
              </w:rPr>
            </w:pPr>
            <w:r>
              <w:rPr>
                <w:rStyle w:val="CharacterStyle7"/>
              </w:rPr>
              <w:t>Izvor financiranja 82</w:t>
            </w:r>
          </w:p>
        </w:tc>
        <w:tc>
          <w:tcPr>
            <w:tcW w:w="4995" w:type="dxa"/>
            <w:tcBorders>
              <w:bottom w:val="single" w:sz="6" w:space="0" w:color="000000"/>
              <w:right w:val="single" w:sz="6" w:space="0" w:color="000000"/>
            </w:tcBorders>
            <w:vAlign w:val="center"/>
          </w:tcPr>
          <w:p w14:paraId="53D87AB5" w14:textId="77777777" w:rsidR="007D706A" w:rsidRDefault="007D706A" w:rsidP="00F70508">
            <w:pPr>
              <w:pStyle w:val="ParagraphStyle8"/>
              <w:rPr>
                <w:rStyle w:val="CharacterStyle8"/>
              </w:rPr>
            </w:pPr>
            <w:r>
              <w:rPr>
                <w:rStyle w:val="CharacterStyle8"/>
              </w:rPr>
              <w:t>Preneseni viškovi iz ranijih godina</w:t>
            </w:r>
          </w:p>
        </w:tc>
        <w:tc>
          <w:tcPr>
            <w:tcW w:w="1395" w:type="dxa"/>
            <w:tcBorders>
              <w:bottom w:val="single" w:sz="6" w:space="0" w:color="000000"/>
              <w:right w:val="single" w:sz="6" w:space="0" w:color="000000"/>
            </w:tcBorders>
            <w:vAlign w:val="center"/>
          </w:tcPr>
          <w:p w14:paraId="32E8453A"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3B482E3" w14:textId="77777777" w:rsidR="007D706A" w:rsidRDefault="007D706A" w:rsidP="00F70508">
            <w:pPr>
              <w:pStyle w:val="ParagraphStyle9"/>
              <w:rPr>
                <w:rStyle w:val="CharacterStyle9"/>
              </w:rPr>
            </w:pPr>
            <w:r>
              <w:rPr>
                <w:rStyle w:val="CharacterStyle9"/>
              </w:rPr>
              <w:t>20.000,00</w:t>
            </w:r>
          </w:p>
        </w:tc>
        <w:tc>
          <w:tcPr>
            <w:tcW w:w="1395" w:type="dxa"/>
            <w:tcBorders>
              <w:bottom w:val="single" w:sz="6" w:space="0" w:color="000000"/>
              <w:right w:val="single" w:sz="6" w:space="0" w:color="000000"/>
            </w:tcBorders>
            <w:vAlign w:val="center"/>
          </w:tcPr>
          <w:p w14:paraId="0F0DF684"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5B6D456"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1FCAB6D" w14:textId="77777777" w:rsidR="007D706A" w:rsidRDefault="007D706A" w:rsidP="00F70508">
            <w:pPr>
              <w:pStyle w:val="ParagraphStyle9"/>
              <w:rPr>
                <w:rStyle w:val="CharacterStyle9"/>
              </w:rPr>
            </w:pPr>
            <w:r>
              <w:rPr>
                <w:rStyle w:val="CharacterStyle9"/>
              </w:rPr>
              <w:t>0,00</w:t>
            </w:r>
          </w:p>
        </w:tc>
      </w:tr>
      <w:tr w:rsidR="007D706A" w14:paraId="0BAF130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A021D08"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6E20BE47"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7930AC1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B46E9C3" w14:textId="77777777" w:rsidR="007D706A" w:rsidRDefault="007D706A" w:rsidP="00F70508">
            <w:pPr>
              <w:pStyle w:val="ParagraphStyle12"/>
              <w:rPr>
                <w:rStyle w:val="CharacterStyle12"/>
              </w:rPr>
            </w:pPr>
            <w:r>
              <w:rPr>
                <w:rStyle w:val="CharacterStyle12"/>
              </w:rPr>
              <w:t>20.000,00</w:t>
            </w:r>
          </w:p>
        </w:tc>
        <w:tc>
          <w:tcPr>
            <w:tcW w:w="1395" w:type="dxa"/>
            <w:tcBorders>
              <w:bottom w:val="single" w:sz="6" w:space="0" w:color="000000"/>
              <w:right w:val="single" w:sz="6" w:space="0" w:color="000000"/>
            </w:tcBorders>
            <w:vAlign w:val="center"/>
          </w:tcPr>
          <w:p w14:paraId="4A82BDF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4BED50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7FEF94E" w14:textId="77777777" w:rsidR="007D706A" w:rsidRDefault="007D706A" w:rsidP="00F70508">
            <w:pPr>
              <w:pStyle w:val="ParagraphStyle12"/>
              <w:rPr>
                <w:rStyle w:val="CharacterStyle12"/>
              </w:rPr>
            </w:pPr>
            <w:r>
              <w:rPr>
                <w:rStyle w:val="CharacterStyle12"/>
              </w:rPr>
              <w:t>0,00</w:t>
            </w:r>
          </w:p>
        </w:tc>
      </w:tr>
      <w:tr w:rsidR="007D706A" w14:paraId="5036239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679F0BF" w14:textId="77777777" w:rsidR="007D706A" w:rsidRDefault="007D706A" w:rsidP="00F70508">
            <w:pPr>
              <w:pStyle w:val="ParagraphStyle10"/>
              <w:rPr>
                <w:rStyle w:val="CharacterStyle10"/>
              </w:rPr>
            </w:pPr>
            <w:r>
              <w:rPr>
                <w:rStyle w:val="CharacterStyle10"/>
              </w:rPr>
              <w:t>31</w:t>
            </w:r>
          </w:p>
        </w:tc>
        <w:tc>
          <w:tcPr>
            <w:tcW w:w="4995" w:type="dxa"/>
            <w:tcBorders>
              <w:bottom w:val="single" w:sz="6" w:space="0" w:color="000000"/>
              <w:right w:val="single" w:sz="6" w:space="0" w:color="000000"/>
            </w:tcBorders>
            <w:vAlign w:val="center"/>
          </w:tcPr>
          <w:p w14:paraId="1F15BD3C" w14:textId="77777777" w:rsidR="007D706A" w:rsidRDefault="007D706A" w:rsidP="00F70508">
            <w:pPr>
              <w:pStyle w:val="ParagraphStyle11"/>
              <w:rPr>
                <w:rStyle w:val="CharacterStyle11"/>
              </w:rPr>
            </w:pPr>
            <w:r>
              <w:rPr>
                <w:rStyle w:val="CharacterStyle11"/>
              </w:rPr>
              <w:t>Rashodi za zaposlene</w:t>
            </w:r>
          </w:p>
        </w:tc>
        <w:tc>
          <w:tcPr>
            <w:tcW w:w="1395" w:type="dxa"/>
            <w:tcBorders>
              <w:bottom w:val="single" w:sz="6" w:space="0" w:color="000000"/>
              <w:right w:val="single" w:sz="6" w:space="0" w:color="000000"/>
            </w:tcBorders>
            <w:vAlign w:val="center"/>
          </w:tcPr>
          <w:p w14:paraId="2009653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37CAE39" w14:textId="77777777" w:rsidR="007D706A" w:rsidRDefault="007D706A" w:rsidP="00F70508">
            <w:pPr>
              <w:pStyle w:val="ParagraphStyle12"/>
              <w:rPr>
                <w:rStyle w:val="CharacterStyle12"/>
              </w:rPr>
            </w:pPr>
            <w:r>
              <w:rPr>
                <w:rStyle w:val="CharacterStyle12"/>
              </w:rPr>
              <w:t>1.165,00</w:t>
            </w:r>
          </w:p>
        </w:tc>
        <w:tc>
          <w:tcPr>
            <w:tcW w:w="1395" w:type="dxa"/>
            <w:tcBorders>
              <w:bottom w:val="single" w:sz="6" w:space="0" w:color="000000"/>
              <w:right w:val="single" w:sz="6" w:space="0" w:color="000000"/>
            </w:tcBorders>
            <w:vAlign w:val="center"/>
          </w:tcPr>
          <w:p w14:paraId="01347FE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61A6C9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EC3FFB8" w14:textId="77777777" w:rsidR="007D706A" w:rsidRDefault="007D706A" w:rsidP="00F70508">
            <w:pPr>
              <w:pStyle w:val="ParagraphStyle12"/>
              <w:rPr>
                <w:rStyle w:val="CharacterStyle12"/>
              </w:rPr>
            </w:pPr>
            <w:r>
              <w:rPr>
                <w:rStyle w:val="CharacterStyle12"/>
              </w:rPr>
              <w:t>0,00</w:t>
            </w:r>
          </w:p>
        </w:tc>
      </w:tr>
      <w:tr w:rsidR="007D706A" w14:paraId="5C72923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8011BD8"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6D961731"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320497F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5464DDE" w14:textId="77777777" w:rsidR="007D706A" w:rsidRDefault="007D706A" w:rsidP="00F70508">
            <w:pPr>
              <w:pStyle w:val="ParagraphStyle12"/>
              <w:rPr>
                <w:rStyle w:val="CharacterStyle12"/>
              </w:rPr>
            </w:pPr>
            <w:r>
              <w:rPr>
                <w:rStyle w:val="CharacterStyle12"/>
              </w:rPr>
              <w:t>18.635,00</w:t>
            </w:r>
          </w:p>
        </w:tc>
        <w:tc>
          <w:tcPr>
            <w:tcW w:w="1395" w:type="dxa"/>
            <w:tcBorders>
              <w:bottom w:val="single" w:sz="6" w:space="0" w:color="000000"/>
              <w:right w:val="single" w:sz="6" w:space="0" w:color="000000"/>
            </w:tcBorders>
            <w:vAlign w:val="center"/>
          </w:tcPr>
          <w:p w14:paraId="252642D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7E03D5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09E8575" w14:textId="77777777" w:rsidR="007D706A" w:rsidRDefault="007D706A" w:rsidP="00F70508">
            <w:pPr>
              <w:pStyle w:val="ParagraphStyle12"/>
              <w:rPr>
                <w:rStyle w:val="CharacterStyle12"/>
              </w:rPr>
            </w:pPr>
            <w:r>
              <w:rPr>
                <w:rStyle w:val="CharacterStyle12"/>
              </w:rPr>
              <w:t>0,00</w:t>
            </w:r>
          </w:p>
        </w:tc>
      </w:tr>
      <w:tr w:rsidR="007D706A" w14:paraId="188AE03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26081CE" w14:textId="77777777" w:rsidR="007D706A" w:rsidRDefault="007D706A" w:rsidP="00F70508">
            <w:pPr>
              <w:pStyle w:val="ParagraphStyle10"/>
              <w:rPr>
                <w:rStyle w:val="CharacterStyle10"/>
              </w:rPr>
            </w:pPr>
            <w:r>
              <w:rPr>
                <w:rStyle w:val="CharacterStyle10"/>
              </w:rPr>
              <w:t>34</w:t>
            </w:r>
          </w:p>
        </w:tc>
        <w:tc>
          <w:tcPr>
            <w:tcW w:w="4995" w:type="dxa"/>
            <w:tcBorders>
              <w:bottom w:val="single" w:sz="6" w:space="0" w:color="000000"/>
              <w:right w:val="single" w:sz="6" w:space="0" w:color="000000"/>
            </w:tcBorders>
            <w:vAlign w:val="center"/>
          </w:tcPr>
          <w:p w14:paraId="3B608CC2" w14:textId="77777777" w:rsidR="007D706A" w:rsidRDefault="007D706A" w:rsidP="00F70508">
            <w:pPr>
              <w:pStyle w:val="ParagraphStyle11"/>
              <w:rPr>
                <w:rStyle w:val="CharacterStyle11"/>
              </w:rPr>
            </w:pPr>
            <w:r>
              <w:rPr>
                <w:rStyle w:val="CharacterStyle11"/>
              </w:rPr>
              <w:t>Financijski rashodi</w:t>
            </w:r>
          </w:p>
        </w:tc>
        <w:tc>
          <w:tcPr>
            <w:tcW w:w="1395" w:type="dxa"/>
            <w:tcBorders>
              <w:bottom w:val="single" w:sz="6" w:space="0" w:color="000000"/>
              <w:right w:val="single" w:sz="6" w:space="0" w:color="000000"/>
            </w:tcBorders>
            <w:vAlign w:val="center"/>
          </w:tcPr>
          <w:p w14:paraId="0204CEE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D8291B8" w14:textId="77777777" w:rsidR="007D706A" w:rsidRDefault="007D706A" w:rsidP="00F70508">
            <w:pPr>
              <w:pStyle w:val="ParagraphStyle12"/>
              <w:rPr>
                <w:rStyle w:val="CharacterStyle12"/>
              </w:rPr>
            </w:pPr>
            <w:r>
              <w:rPr>
                <w:rStyle w:val="CharacterStyle12"/>
              </w:rPr>
              <w:t>200,00</w:t>
            </w:r>
          </w:p>
        </w:tc>
        <w:tc>
          <w:tcPr>
            <w:tcW w:w="1395" w:type="dxa"/>
            <w:tcBorders>
              <w:bottom w:val="single" w:sz="6" w:space="0" w:color="000000"/>
              <w:right w:val="single" w:sz="6" w:space="0" w:color="000000"/>
            </w:tcBorders>
            <w:vAlign w:val="center"/>
          </w:tcPr>
          <w:p w14:paraId="651D07D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5C3160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830F098" w14:textId="77777777" w:rsidR="007D706A" w:rsidRDefault="007D706A" w:rsidP="00F70508">
            <w:pPr>
              <w:pStyle w:val="ParagraphStyle12"/>
              <w:rPr>
                <w:rStyle w:val="CharacterStyle12"/>
              </w:rPr>
            </w:pPr>
            <w:r>
              <w:rPr>
                <w:rStyle w:val="CharacterStyle12"/>
              </w:rPr>
              <w:t>0,00</w:t>
            </w:r>
          </w:p>
        </w:tc>
      </w:tr>
      <w:tr w:rsidR="007D706A" w14:paraId="36413A0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2C7A400" w14:textId="77777777" w:rsidR="007D706A" w:rsidRDefault="007D706A" w:rsidP="00F70508">
            <w:pPr>
              <w:pStyle w:val="ParagraphStyle4"/>
              <w:rPr>
                <w:rStyle w:val="CharacterStyle4"/>
              </w:rPr>
            </w:pPr>
            <w:r>
              <w:rPr>
                <w:rStyle w:val="CharacterStyle4"/>
              </w:rPr>
              <w:t>Aktivnost A103614</w:t>
            </w:r>
          </w:p>
        </w:tc>
        <w:tc>
          <w:tcPr>
            <w:tcW w:w="4995" w:type="dxa"/>
            <w:tcBorders>
              <w:bottom w:val="single" w:sz="6" w:space="0" w:color="000000"/>
              <w:right w:val="single" w:sz="6" w:space="0" w:color="000000"/>
            </w:tcBorders>
            <w:vAlign w:val="center"/>
          </w:tcPr>
          <w:p w14:paraId="5FEB5290" w14:textId="77777777" w:rsidR="007D706A" w:rsidRDefault="007D706A" w:rsidP="00F70508">
            <w:pPr>
              <w:pStyle w:val="ParagraphStyle5"/>
              <w:rPr>
                <w:rStyle w:val="CharacterStyle5"/>
              </w:rPr>
            </w:pPr>
            <w:r>
              <w:rPr>
                <w:rStyle w:val="CharacterStyle5"/>
              </w:rPr>
              <w:t>GLAZBENO OBRAZOVANJE</w:t>
            </w:r>
          </w:p>
        </w:tc>
        <w:tc>
          <w:tcPr>
            <w:tcW w:w="1395" w:type="dxa"/>
            <w:tcBorders>
              <w:bottom w:val="single" w:sz="6" w:space="0" w:color="000000"/>
              <w:right w:val="single" w:sz="6" w:space="0" w:color="000000"/>
            </w:tcBorders>
            <w:vAlign w:val="center"/>
          </w:tcPr>
          <w:p w14:paraId="61CB51DA"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500FF57B" w14:textId="77777777" w:rsidR="007D706A" w:rsidRDefault="007D706A" w:rsidP="00F70508">
            <w:pPr>
              <w:pStyle w:val="ParagraphStyle6"/>
              <w:rPr>
                <w:rStyle w:val="CharacterStyle6"/>
              </w:rPr>
            </w:pPr>
            <w:r>
              <w:rPr>
                <w:rStyle w:val="CharacterStyle6"/>
              </w:rPr>
              <w:t>23.000,00</w:t>
            </w:r>
          </w:p>
        </w:tc>
        <w:tc>
          <w:tcPr>
            <w:tcW w:w="1395" w:type="dxa"/>
            <w:tcBorders>
              <w:bottom w:val="single" w:sz="6" w:space="0" w:color="000000"/>
              <w:right w:val="single" w:sz="6" w:space="0" w:color="000000"/>
            </w:tcBorders>
            <w:vAlign w:val="center"/>
          </w:tcPr>
          <w:p w14:paraId="0F494EFF" w14:textId="77777777" w:rsidR="007D706A" w:rsidRDefault="007D706A" w:rsidP="00F70508">
            <w:pPr>
              <w:pStyle w:val="ParagraphStyle6"/>
              <w:rPr>
                <w:rStyle w:val="CharacterStyle6"/>
              </w:rPr>
            </w:pPr>
            <w:r>
              <w:rPr>
                <w:rStyle w:val="CharacterStyle6"/>
              </w:rPr>
              <w:t>24.000,00</w:t>
            </w:r>
          </w:p>
        </w:tc>
        <w:tc>
          <w:tcPr>
            <w:tcW w:w="1395" w:type="dxa"/>
            <w:tcBorders>
              <w:bottom w:val="single" w:sz="6" w:space="0" w:color="000000"/>
              <w:right w:val="single" w:sz="6" w:space="0" w:color="000000"/>
            </w:tcBorders>
            <w:vAlign w:val="center"/>
          </w:tcPr>
          <w:p w14:paraId="0A6841EA" w14:textId="77777777" w:rsidR="007D706A" w:rsidRDefault="007D706A" w:rsidP="00F70508">
            <w:pPr>
              <w:pStyle w:val="ParagraphStyle6"/>
              <w:rPr>
                <w:rStyle w:val="CharacterStyle6"/>
              </w:rPr>
            </w:pPr>
            <w:r>
              <w:rPr>
                <w:rStyle w:val="CharacterStyle6"/>
              </w:rPr>
              <w:t>16.640,00</w:t>
            </w:r>
          </w:p>
        </w:tc>
        <w:tc>
          <w:tcPr>
            <w:tcW w:w="1395" w:type="dxa"/>
            <w:tcBorders>
              <w:bottom w:val="single" w:sz="6" w:space="0" w:color="000000"/>
              <w:right w:val="single" w:sz="6" w:space="0" w:color="000000"/>
            </w:tcBorders>
            <w:vAlign w:val="center"/>
          </w:tcPr>
          <w:p w14:paraId="5CB5671A" w14:textId="77777777" w:rsidR="007D706A" w:rsidRDefault="007D706A" w:rsidP="00F70508">
            <w:pPr>
              <w:pStyle w:val="ParagraphStyle6"/>
              <w:rPr>
                <w:rStyle w:val="CharacterStyle6"/>
              </w:rPr>
            </w:pPr>
            <w:r>
              <w:rPr>
                <w:rStyle w:val="CharacterStyle6"/>
              </w:rPr>
              <w:t>16.807,00</w:t>
            </w:r>
          </w:p>
        </w:tc>
      </w:tr>
      <w:tr w:rsidR="007D706A" w14:paraId="5E50902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F5BA908" w14:textId="77777777" w:rsidR="007D706A" w:rsidRDefault="007D706A" w:rsidP="00F70508">
            <w:pPr>
              <w:pStyle w:val="ParagraphStyle7"/>
              <w:rPr>
                <w:rStyle w:val="CharacterStyle7"/>
              </w:rPr>
            </w:pPr>
            <w:r>
              <w:rPr>
                <w:rStyle w:val="CharacterStyle7"/>
              </w:rPr>
              <w:t>Izvor financiranja 31</w:t>
            </w:r>
          </w:p>
        </w:tc>
        <w:tc>
          <w:tcPr>
            <w:tcW w:w="4995" w:type="dxa"/>
            <w:tcBorders>
              <w:bottom w:val="single" w:sz="6" w:space="0" w:color="000000"/>
              <w:right w:val="single" w:sz="6" w:space="0" w:color="000000"/>
            </w:tcBorders>
            <w:vAlign w:val="center"/>
          </w:tcPr>
          <w:p w14:paraId="7A70823A" w14:textId="77777777" w:rsidR="007D706A" w:rsidRDefault="007D706A" w:rsidP="00F70508">
            <w:pPr>
              <w:pStyle w:val="ParagraphStyle8"/>
              <w:rPr>
                <w:rStyle w:val="CharacterStyle8"/>
              </w:rPr>
            </w:pPr>
            <w:r>
              <w:rPr>
                <w:rStyle w:val="CharacterStyle8"/>
              </w:rPr>
              <w:t>Vlastiti prihodi</w:t>
            </w:r>
          </w:p>
        </w:tc>
        <w:tc>
          <w:tcPr>
            <w:tcW w:w="1395" w:type="dxa"/>
            <w:tcBorders>
              <w:bottom w:val="single" w:sz="6" w:space="0" w:color="000000"/>
              <w:right w:val="single" w:sz="6" w:space="0" w:color="000000"/>
            </w:tcBorders>
            <w:vAlign w:val="center"/>
          </w:tcPr>
          <w:p w14:paraId="4940E1AE"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91EBEBB"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B87E2B4" w14:textId="77777777" w:rsidR="007D706A" w:rsidRDefault="007D706A" w:rsidP="00F70508">
            <w:pPr>
              <w:pStyle w:val="ParagraphStyle9"/>
              <w:rPr>
                <w:rStyle w:val="CharacterStyle9"/>
              </w:rPr>
            </w:pPr>
            <w:r>
              <w:rPr>
                <w:rStyle w:val="CharacterStyle9"/>
              </w:rPr>
              <w:t>8.000,00</w:t>
            </w:r>
          </w:p>
        </w:tc>
        <w:tc>
          <w:tcPr>
            <w:tcW w:w="1395" w:type="dxa"/>
            <w:tcBorders>
              <w:bottom w:val="single" w:sz="6" w:space="0" w:color="000000"/>
              <w:right w:val="single" w:sz="6" w:space="0" w:color="000000"/>
            </w:tcBorders>
            <w:vAlign w:val="center"/>
          </w:tcPr>
          <w:p w14:paraId="7710D3E7"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B9E2DD1" w14:textId="77777777" w:rsidR="007D706A" w:rsidRDefault="007D706A" w:rsidP="00F70508">
            <w:pPr>
              <w:pStyle w:val="ParagraphStyle9"/>
              <w:rPr>
                <w:rStyle w:val="CharacterStyle9"/>
              </w:rPr>
            </w:pPr>
            <w:r>
              <w:rPr>
                <w:rStyle w:val="CharacterStyle9"/>
              </w:rPr>
              <w:t>0,00</w:t>
            </w:r>
          </w:p>
        </w:tc>
      </w:tr>
      <w:tr w:rsidR="007D706A" w14:paraId="0A0014F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3B71137"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311C5E26"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2854924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F7B6EC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D56883C" w14:textId="77777777" w:rsidR="007D706A" w:rsidRDefault="007D706A" w:rsidP="00F70508">
            <w:pPr>
              <w:pStyle w:val="ParagraphStyle12"/>
              <w:rPr>
                <w:rStyle w:val="CharacterStyle12"/>
              </w:rPr>
            </w:pPr>
            <w:r>
              <w:rPr>
                <w:rStyle w:val="CharacterStyle12"/>
              </w:rPr>
              <w:t>8.000,00</w:t>
            </w:r>
          </w:p>
        </w:tc>
        <w:tc>
          <w:tcPr>
            <w:tcW w:w="1395" w:type="dxa"/>
            <w:tcBorders>
              <w:bottom w:val="single" w:sz="6" w:space="0" w:color="000000"/>
              <w:right w:val="single" w:sz="6" w:space="0" w:color="000000"/>
            </w:tcBorders>
            <w:vAlign w:val="center"/>
          </w:tcPr>
          <w:p w14:paraId="0BB556D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6D239CC" w14:textId="77777777" w:rsidR="007D706A" w:rsidRDefault="007D706A" w:rsidP="00F70508">
            <w:pPr>
              <w:pStyle w:val="ParagraphStyle12"/>
              <w:rPr>
                <w:rStyle w:val="CharacterStyle12"/>
              </w:rPr>
            </w:pPr>
            <w:r>
              <w:rPr>
                <w:rStyle w:val="CharacterStyle12"/>
              </w:rPr>
              <w:t>0,00</w:t>
            </w:r>
          </w:p>
        </w:tc>
      </w:tr>
      <w:tr w:rsidR="007D706A" w14:paraId="7B57E59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030F0A4"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308CA429"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1E8297E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30A5F0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FED18F1" w14:textId="77777777" w:rsidR="007D706A" w:rsidRDefault="007D706A" w:rsidP="00F70508">
            <w:pPr>
              <w:pStyle w:val="ParagraphStyle12"/>
              <w:rPr>
                <w:rStyle w:val="CharacterStyle12"/>
              </w:rPr>
            </w:pPr>
            <w:r>
              <w:rPr>
                <w:rStyle w:val="CharacterStyle12"/>
              </w:rPr>
              <w:t>8.000,00</w:t>
            </w:r>
          </w:p>
        </w:tc>
        <w:tc>
          <w:tcPr>
            <w:tcW w:w="1395" w:type="dxa"/>
            <w:tcBorders>
              <w:bottom w:val="single" w:sz="6" w:space="0" w:color="000000"/>
              <w:right w:val="single" w:sz="6" w:space="0" w:color="000000"/>
            </w:tcBorders>
            <w:vAlign w:val="center"/>
          </w:tcPr>
          <w:p w14:paraId="15E2974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0D1CAA5" w14:textId="77777777" w:rsidR="007D706A" w:rsidRDefault="007D706A" w:rsidP="00F70508">
            <w:pPr>
              <w:pStyle w:val="ParagraphStyle12"/>
              <w:rPr>
                <w:rStyle w:val="CharacterStyle12"/>
              </w:rPr>
            </w:pPr>
            <w:r>
              <w:rPr>
                <w:rStyle w:val="CharacterStyle12"/>
              </w:rPr>
              <w:t>0,00</w:t>
            </w:r>
          </w:p>
        </w:tc>
      </w:tr>
      <w:tr w:rsidR="007D706A" w14:paraId="1272F62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60FE742" w14:textId="77777777" w:rsidR="007D706A" w:rsidRDefault="007D706A" w:rsidP="00F70508">
            <w:pPr>
              <w:pStyle w:val="ParagraphStyle7"/>
              <w:rPr>
                <w:rStyle w:val="CharacterStyle7"/>
              </w:rPr>
            </w:pPr>
            <w:r>
              <w:rPr>
                <w:rStyle w:val="CharacterStyle7"/>
              </w:rPr>
              <w:t>Izvor financiranja 41</w:t>
            </w:r>
          </w:p>
        </w:tc>
        <w:tc>
          <w:tcPr>
            <w:tcW w:w="4995" w:type="dxa"/>
            <w:tcBorders>
              <w:bottom w:val="single" w:sz="6" w:space="0" w:color="000000"/>
              <w:right w:val="single" w:sz="6" w:space="0" w:color="000000"/>
            </w:tcBorders>
            <w:vAlign w:val="center"/>
          </w:tcPr>
          <w:p w14:paraId="5B27D6AC" w14:textId="77777777" w:rsidR="007D706A" w:rsidRDefault="007D706A" w:rsidP="00F70508">
            <w:pPr>
              <w:pStyle w:val="ParagraphStyle8"/>
              <w:rPr>
                <w:rStyle w:val="CharacterStyle8"/>
              </w:rPr>
            </w:pPr>
            <w:r>
              <w:rPr>
                <w:rStyle w:val="CharacterStyle8"/>
              </w:rPr>
              <w:t>Prihodi za posebne namjene</w:t>
            </w:r>
          </w:p>
        </w:tc>
        <w:tc>
          <w:tcPr>
            <w:tcW w:w="1395" w:type="dxa"/>
            <w:tcBorders>
              <w:bottom w:val="single" w:sz="6" w:space="0" w:color="000000"/>
              <w:right w:val="single" w:sz="6" w:space="0" w:color="000000"/>
            </w:tcBorders>
            <w:vAlign w:val="center"/>
          </w:tcPr>
          <w:p w14:paraId="22635C87"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8E16AED" w14:textId="77777777" w:rsidR="007D706A" w:rsidRDefault="007D706A" w:rsidP="00F70508">
            <w:pPr>
              <w:pStyle w:val="ParagraphStyle9"/>
              <w:rPr>
                <w:rStyle w:val="CharacterStyle9"/>
              </w:rPr>
            </w:pPr>
            <w:r>
              <w:rPr>
                <w:rStyle w:val="CharacterStyle9"/>
              </w:rPr>
              <w:t>15.000,00</w:t>
            </w:r>
          </w:p>
        </w:tc>
        <w:tc>
          <w:tcPr>
            <w:tcW w:w="1395" w:type="dxa"/>
            <w:tcBorders>
              <w:bottom w:val="single" w:sz="6" w:space="0" w:color="000000"/>
              <w:right w:val="single" w:sz="6" w:space="0" w:color="000000"/>
            </w:tcBorders>
            <w:vAlign w:val="center"/>
          </w:tcPr>
          <w:p w14:paraId="5ACFF5AA"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710665A"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B33849A" w14:textId="77777777" w:rsidR="007D706A" w:rsidRDefault="007D706A" w:rsidP="00F70508">
            <w:pPr>
              <w:pStyle w:val="ParagraphStyle9"/>
              <w:rPr>
                <w:rStyle w:val="CharacterStyle9"/>
              </w:rPr>
            </w:pPr>
            <w:r>
              <w:rPr>
                <w:rStyle w:val="CharacterStyle9"/>
              </w:rPr>
              <w:t>0,00</w:t>
            </w:r>
          </w:p>
        </w:tc>
      </w:tr>
      <w:tr w:rsidR="007D706A" w14:paraId="32ADD50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F5A8A83"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2F80BAF4"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7890E3A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97B5729" w14:textId="77777777" w:rsidR="007D706A" w:rsidRDefault="007D706A" w:rsidP="00F70508">
            <w:pPr>
              <w:pStyle w:val="ParagraphStyle12"/>
              <w:rPr>
                <w:rStyle w:val="CharacterStyle12"/>
              </w:rPr>
            </w:pPr>
            <w:r>
              <w:rPr>
                <w:rStyle w:val="CharacterStyle12"/>
              </w:rPr>
              <w:t>15.000,00</w:t>
            </w:r>
          </w:p>
        </w:tc>
        <w:tc>
          <w:tcPr>
            <w:tcW w:w="1395" w:type="dxa"/>
            <w:tcBorders>
              <w:bottom w:val="single" w:sz="6" w:space="0" w:color="000000"/>
              <w:right w:val="single" w:sz="6" w:space="0" w:color="000000"/>
            </w:tcBorders>
            <w:vAlign w:val="center"/>
          </w:tcPr>
          <w:p w14:paraId="3BCBAEB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FFA6EC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577DEDF" w14:textId="77777777" w:rsidR="007D706A" w:rsidRDefault="007D706A" w:rsidP="00F70508">
            <w:pPr>
              <w:pStyle w:val="ParagraphStyle12"/>
              <w:rPr>
                <w:rStyle w:val="CharacterStyle12"/>
              </w:rPr>
            </w:pPr>
            <w:r>
              <w:rPr>
                <w:rStyle w:val="CharacterStyle12"/>
              </w:rPr>
              <w:t>0,00</w:t>
            </w:r>
          </w:p>
        </w:tc>
      </w:tr>
      <w:tr w:rsidR="007D706A" w14:paraId="65C4305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1D30480"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276085DB"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3CFBF6D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939F04C" w14:textId="77777777" w:rsidR="007D706A" w:rsidRDefault="007D706A" w:rsidP="00F70508">
            <w:pPr>
              <w:pStyle w:val="ParagraphStyle12"/>
              <w:rPr>
                <w:rStyle w:val="CharacterStyle12"/>
              </w:rPr>
            </w:pPr>
            <w:r>
              <w:rPr>
                <w:rStyle w:val="CharacterStyle12"/>
              </w:rPr>
              <w:t>15.000,00</w:t>
            </w:r>
          </w:p>
        </w:tc>
        <w:tc>
          <w:tcPr>
            <w:tcW w:w="1395" w:type="dxa"/>
            <w:tcBorders>
              <w:bottom w:val="single" w:sz="6" w:space="0" w:color="000000"/>
              <w:right w:val="single" w:sz="6" w:space="0" w:color="000000"/>
            </w:tcBorders>
            <w:vAlign w:val="center"/>
          </w:tcPr>
          <w:p w14:paraId="2EC46B0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04BAA9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1DC26AB" w14:textId="77777777" w:rsidR="007D706A" w:rsidRDefault="007D706A" w:rsidP="00F70508">
            <w:pPr>
              <w:pStyle w:val="ParagraphStyle12"/>
              <w:rPr>
                <w:rStyle w:val="CharacterStyle12"/>
              </w:rPr>
            </w:pPr>
            <w:r>
              <w:rPr>
                <w:rStyle w:val="CharacterStyle12"/>
              </w:rPr>
              <w:t>0,00</w:t>
            </w:r>
          </w:p>
        </w:tc>
      </w:tr>
      <w:tr w:rsidR="007D706A" w14:paraId="6958126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28002C7" w14:textId="77777777" w:rsidR="007D706A" w:rsidRDefault="007D706A" w:rsidP="00F70508">
            <w:pPr>
              <w:pStyle w:val="ParagraphStyle7"/>
              <w:rPr>
                <w:rStyle w:val="CharacterStyle7"/>
              </w:rPr>
            </w:pPr>
            <w:r>
              <w:rPr>
                <w:rStyle w:val="CharacterStyle7"/>
              </w:rPr>
              <w:t>Izvor financiranja 43</w:t>
            </w:r>
          </w:p>
        </w:tc>
        <w:tc>
          <w:tcPr>
            <w:tcW w:w="4995" w:type="dxa"/>
            <w:tcBorders>
              <w:bottom w:val="single" w:sz="6" w:space="0" w:color="000000"/>
              <w:right w:val="single" w:sz="6" w:space="0" w:color="000000"/>
            </w:tcBorders>
            <w:vAlign w:val="center"/>
          </w:tcPr>
          <w:p w14:paraId="73F75F76" w14:textId="77777777" w:rsidR="007D706A" w:rsidRDefault="007D706A" w:rsidP="00F70508">
            <w:pPr>
              <w:pStyle w:val="ParagraphStyle8"/>
              <w:rPr>
                <w:rStyle w:val="CharacterStyle8"/>
              </w:rPr>
            </w:pPr>
            <w:r>
              <w:rPr>
                <w:rStyle w:val="CharacterStyle8"/>
              </w:rPr>
              <w:t>Ostali prihodi za posebne namjene</w:t>
            </w:r>
          </w:p>
        </w:tc>
        <w:tc>
          <w:tcPr>
            <w:tcW w:w="1395" w:type="dxa"/>
            <w:tcBorders>
              <w:bottom w:val="single" w:sz="6" w:space="0" w:color="000000"/>
              <w:right w:val="single" w:sz="6" w:space="0" w:color="000000"/>
            </w:tcBorders>
            <w:vAlign w:val="center"/>
          </w:tcPr>
          <w:p w14:paraId="74162388"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05E0761"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24DC82B" w14:textId="77777777" w:rsidR="007D706A" w:rsidRDefault="007D706A" w:rsidP="00F70508">
            <w:pPr>
              <w:pStyle w:val="ParagraphStyle9"/>
              <w:rPr>
                <w:rStyle w:val="CharacterStyle9"/>
              </w:rPr>
            </w:pPr>
            <w:r>
              <w:rPr>
                <w:rStyle w:val="CharacterStyle9"/>
              </w:rPr>
              <w:t>16.000,00</w:t>
            </w:r>
          </w:p>
        </w:tc>
        <w:tc>
          <w:tcPr>
            <w:tcW w:w="1395" w:type="dxa"/>
            <w:tcBorders>
              <w:bottom w:val="single" w:sz="6" w:space="0" w:color="000000"/>
              <w:right w:val="single" w:sz="6" w:space="0" w:color="000000"/>
            </w:tcBorders>
            <w:vAlign w:val="center"/>
          </w:tcPr>
          <w:p w14:paraId="7D04C85F" w14:textId="77777777" w:rsidR="007D706A" w:rsidRDefault="007D706A" w:rsidP="00F70508">
            <w:pPr>
              <w:pStyle w:val="ParagraphStyle9"/>
              <w:rPr>
                <w:rStyle w:val="CharacterStyle9"/>
              </w:rPr>
            </w:pPr>
            <w:r>
              <w:rPr>
                <w:rStyle w:val="CharacterStyle9"/>
              </w:rPr>
              <w:t>16.640,00</w:t>
            </w:r>
          </w:p>
        </w:tc>
        <w:tc>
          <w:tcPr>
            <w:tcW w:w="1395" w:type="dxa"/>
            <w:tcBorders>
              <w:bottom w:val="single" w:sz="6" w:space="0" w:color="000000"/>
              <w:right w:val="single" w:sz="6" w:space="0" w:color="000000"/>
            </w:tcBorders>
            <w:vAlign w:val="center"/>
          </w:tcPr>
          <w:p w14:paraId="3B87F1E8" w14:textId="77777777" w:rsidR="007D706A" w:rsidRDefault="007D706A" w:rsidP="00F70508">
            <w:pPr>
              <w:pStyle w:val="ParagraphStyle9"/>
              <w:rPr>
                <w:rStyle w:val="CharacterStyle9"/>
              </w:rPr>
            </w:pPr>
            <w:r>
              <w:rPr>
                <w:rStyle w:val="CharacterStyle9"/>
              </w:rPr>
              <w:t>16.807,00</w:t>
            </w:r>
          </w:p>
        </w:tc>
      </w:tr>
      <w:tr w:rsidR="007D706A" w14:paraId="324D148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2C6809C"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4440CB4B"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04C3E85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AB63C1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C2CCF77" w14:textId="77777777" w:rsidR="007D706A" w:rsidRDefault="007D706A" w:rsidP="00F70508">
            <w:pPr>
              <w:pStyle w:val="ParagraphStyle12"/>
              <w:rPr>
                <w:rStyle w:val="CharacterStyle12"/>
              </w:rPr>
            </w:pPr>
            <w:r>
              <w:rPr>
                <w:rStyle w:val="CharacterStyle12"/>
              </w:rPr>
              <w:t>16.000,00</w:t>
            </w:r>
          </w:p>
        </w:tc>
        <w:tc>
          <w:tcPr>
            <w:tcW w:w="1395" w:type="dxa"/>
            <w:tcBorders>
              <w:bottom w:val="single" w:sz="6" w:space="0" w:color="000000"/>
              <w:right w:val="single" w:sz="6" w:space="0" w:color="000000"/>
            </w:tcBorders>
            <w:vAlign w:val="center"/>
          </w:tcPr>
          <w:p w14:paraId="0E200B82" w14:textId="77777777" w:rsidR="007D706A" w:rsidRDefault="007D706A" w:rsidP="00F70508">
            <w:pPr>
              <w:pStyle w:val="ParagraphStyle12"/>
              <w:rPr>
                <w:rStyle w:val="CharacterStyle12"/>
              </w:rPr>
            </w:pPr>
            <w:r>
              <w:rPr>
                <w:rStyle w:val="CharacterStyle12"/>
              </w:rPr>
              <w:t>16.640,00</w:t>
            </w:r>
          </w:p>
        </w:tc>
        <w:tc>
          <w:tcPr>
            <w:tcW w:w="1395" w:type="dxa"/>
            <w:tcBorders>
              <w:bottom w:val="single" w:sz="6" w:space="0" w:color="000000"/>
              <w:right w:val="single" w:sz="6" w:space="0" w:color="000000"/>
            </w:tcBorders>
            <w:vAlign w:val="center"/>
          </w:tcPr>
          <w:p w14:paraId="7E6636B1" w14:textId="77777777" w:rsidR="007D706A" w:rsidRDefault="007D706A" w:rsidP="00F70508">
            <w:pPr>
              <w:pStyle w:val="ParagraphStyle12"/>
              <w:rPr>
                <w:rStyle w:val="CharacterStyle12"/>
              </w:rPr>
            </w:pPr>
            <w:r>
              <w:rPr>
                <w:rStyle w:val="CharacterStyle12"/>
              </w:rPr>
              <w:t>16.807,00</w:t>
            </w:r>
          </w:p>
        </w:tc>
      </w:tr>
      <w:tr w:rsidR="007D706A" w14:paraId="480E783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219F63B"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49081830"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5694D2B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66471D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66F8018" w14:textId="77777777" w:rsidR="007D706A" w:rsidRDefault="007D706A" w:rsidP="00F70508">
            <w:pPr>
              <w:pStyle w:val="ParagraphStyle12"/>
              <w:rPr>
                <w:rStyle w:val="CharacterStyle12"/>
              </w:rPr>
            </w:pPr>
            <w:r>
              <w:rPr>
                <w:rStyle w:val="CharacterStyle12"/>
              </w:rPr>
              <w:t>16.000,00</w:t>
            </w:r>
          </w:p>
        </w:tc>
        <w:tc>
          <w:tcPr>
            <w:tcW w:w="1395" w:type="dxa"/>
            <w:tcBorders>
              <w:bottom w:val="single" w:sz="6" w:space="0" w:color="000000"/>
              <w:right w:val="single" w:sz="6" w:space="0" w:color="000000"/>
            </w:tcBorders>
            <w:vAlign w:val="center"/>
          </w:tcPr>
          <w:p w14:paraId="2E920DC2" w14:textId="77777777" w:rsidR="007D706A" w:rsidRDefault="007D706A" w:rsidP="00F70508">
            <w:pPr>
              <w:pStyle w:val="ParagraphStyle12"/>
              <w:rPr>
                <w:rStyle w:val="CharacterStyle12"/>
              </w:rPr>
            </w:pPr>
            <w:r>
              <w:rPr>
                <w:rStyle w:val="CharacterStyle12"/>
              </w:rPr>
              <w:t>16.640,00</w:t>
            </w:r>
          </w:p>
        </w:tc>
        <w:tc>
          <w:tcPr>
            <w:tcW w:w="1395" w:type="dxa"/>
            <w:tcBorders>
              <w:bottom w:val="single" w:sz="6" w:space="0" w:color="000000"/>
              <w:right w:val="single" w:sz="6" w:space="0" w:color="000000"/>
            </w:tcBorders>
            <w:vAlign w:val="center"/>
          </w:tcPr>
          <w:p w14:paraId="34269AD4" w14:textId="77777777" w:rsidR="007D706A" w:rsidRDefault="007D706A" w:rsidP="00F70508">
            <w:pPr>
              <w:pStyle w:val="ParagraphStyle12"/>
              <w:rPr>
                <w:rStyle w:val="CharacterStyle12"/>
              </w:rPr>
            </w:pPr>
            <w:r>
              <w:rPr>
                <w:rStyle w:val="CharacterStyle12"/>
              </w:rPr>
              <w:t>16.807,00</w:t>
            </w:r>
          </w:p>
        </w:tc>
      </w:tr>
      <w:tr w:rsidR="007D706A" w14:paraId="1B2C52A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E263DC7" w14:textId="77777777" w:rsidR="007D706A" w:rsidRDefault="007D706A" w:rsidP="00F70508">
            <w:pPr>
              <w:pStyle w:val="ParagraphStyle7"/>
              <w:rPr>
                <w:rStyle w:val="CharacterStyle7"/>
              </w:rPr>
            </w:pPr>
            <w:r>
              <w:rPr>
                <w:rStyle w:val="CharacterStyle7"/>
              </w:rPr>
              <w:t>Izvor financiranja 82</w:t>
            </w:r>
          </w:p>
        </w:tc>
        <w:tc>
          <w:tcPr>
            <w:tcW w:w="4995" w:type="dxa"/>
            <w:tcBorders>
              <w:bottom w:val="single" w:sz="6" w:space="0" w:color="000000"/>
              <w:right w:val="single" w:sz="6" w:space="0" w:color="000000"/>
            </w:tcBorders>
            <w:vAlign w:val="center"/>
          </w:tcPr>
          <w:p w14:paraId="4C1CE1CB" w14:textId="77777777" w:rsidR="007D706A" w:rsidRDefault="007D706A" w:rsidP="00F70508">
            <w:pPr>
              <w:pStyle w:val="ParagraphStyle8"/>
              <w:rPr>
                <w:rStyle w:val="CharacterStyle8"/>
              </w:rPr>
            </w:pPr>
            <w:r>
              <w:rPr>
                <w:rStyle w:val="CharacterStyle8"/>
              </w:rPr>
              <w:t>Preneseni viškovi iz ranijih godina</w:t>
            </w:r>
          </w:p>
        </w:tc>
        <w:tc>
          <w:tcPr>
            <w:tcW w:w="1395" w:type="dxa"/>
            <w:tcBorders>
              <w:bottom w:val="single" w:sz="6" w:space="0" w:color="000000"/>
              <w:right w:val="single" w:sz="6" w:space="0" w:color="000000"/>
            </w:tcBorders>
            <w:vAlign w:val="center"/>
          </w:tcPr>
          <w:p w14:paraId="0B0F152C"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CABE617" w14:textId="77777777" w:rsidR="007D706A" w:rsidRDefault="007D706A" w:rsidP="00F70508">
            <w:pPr>
              <w:pStyle w:val="ParagraphStyle9"/>
              <w:rPr>
                <w:rStyle w:val="CharacterStyle9"/>
              </w:rPr>
            </w:pPr>
            <w:r>
              <w:rPr>
                <w:rStyle w:val="CharacterStyle9"/>
              </w:rPr>
              <w:t>8.000,00</w:t>
            </w:r>
          </w:p>
        </w:tc>
        <w:tc>
          <w:tcPr>
            <w:tcW w:w="1395" w:type="dxa"/>
            <w:tcBorders>
              <w:bottom w:val="single" w:sz="6" w:space="0" w:color="000000"/>
              <w:right w:val="single" w:sz="6" w:space="0" w:color="000000"/>
            </w:tcBorders>
            <w:vAlign w:val="center"/>
          </w:tcPr>
          <w:p w14:paraId="49A6E788"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30D2AD1"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B3068AB" w14:textId="77777777" w:rsidR="007D706A" w:rsidRDefault="007D706A" w:rsidP="00F70508">
            <w:pPr>
              <w:pStyle w:val="ParagraphStyle9"/>
              <w:rPr>
                <w:rStyle w:val="CharacterStyle9"/>
              </w:rPr>
            </w:pPr>
            <w:r>
              <w:rPr>
                <w:rStyle w:val="CharacterStyle9"/>
              </w:rPr>
              <w:t>0,00</w:t>
            </w:r>
          </w:p>
        </w:tc>
      </w:tr>
      <w:tr w:rsidR="007D706A" w14:paraId="549AD46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E6C4F34"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6C2732A3"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36CE929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DDBBDE5" w14:textId="77777777" w:rsidR="007D706A" w:rsidRDefault="007D706A" w:rsidP="00F70508">
            <w:pPr>
              <w:pStyle w:val="ParagraphStyle12"/>
              <w:rPr>
                <w:rStyle w:val="CharacterStyle12"/>
              </w:rPr>
            </w:pPr>
            <w:r>
              <w:rPr>
                <w:rStyle w:val="CharacterStyle12"/>
              </w:rPr>
              <w:t>8.000,00</w:t>
            </w:r>
          </w:p>
        </w:tc>
        <w:tc>
          <w:tcPr>
            <w:tcW w:w="1395" w:type="dxa"/>
            <w:tcBorders>
              <w:bottom w:val="single" w:sz="6" w:space="0" w:color="000000"/>
              <w:right w:val="single" w:sz="6" w:space="0" w:color="000000"/>
            </w:tcBorders>
            <w:vAlign w:val="center"/>
          </w:tcPr>
          <w:p w14:paraId="6210D5C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AE5259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3E072A5" w14:textId="77777777" w:rsidR="007D706A" w:rsidRDefault="007D706A" w:rsidP="00F70508">
            <w:pPr>
              <w:pStyle w:val="ParagraphStyle12"/>
              <w:rPr>
                <w:rStyle w:val="CharacterStyle12"/>
              </w:rPr>
            </w:pPr>
            <w:r>
              <w:rPr>
                <w:rStyle w:val="CharacterStyle12"/>
              </w:rPr>
              <w:t>0,00</w:t>
            </w:r>
          </w:p>
        </w:tc>
      </w:tr>
      <w:tr w:rsidR="007D706A" w14:paraId="124E9B3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2D3FAB7"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29462343"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02C3809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128934C" w14:textId="77777777" w:rsidR="007D706A" w:rsidRDefault="007D706A" w:rsidP="00F70508">
            <w:pPr>
              <w:pStyle w:val="ParagraphStyle12"/>
              <w:rPr>
                <w:rStyle w:val="CharacterStyle12"/>
              </w:rPr>
            </w:pPr>
            <w:r>
              <w:rPr>
                <w:rStyle w:val="CharacterStyle12"/>
              </w:rPr>
              <w:t>8.000,00</w:t>
            </w:r>
          </w:p>
        </w:tc>
        <w:tc>
          <w:tcPr>
            <w:tcW w:w="1395" w:type="dxa"/>
            <w:tcBorders>
              <w:bottom w:val="single" w:sz="6" w:space="0" w:color="000000"/>
              <w:right w:val="single" w:sz="6" w:space="0" w:color="000000"/>
            </w:tcBorders>
            <w:vAlign w:val="center"/>
          </w:tcPr>
          <w:p w14:paraId="2CA782C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152128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49D518F" w14:textId="77777777" w:rsidR="007D706A" w:rsidRDefault="007D706A" w:rsidP="00F70508">
            <w:pPr>
              <w:pStyle w:val="ParagraphStyle12"/>
              <w:rPr>
                <w:rStyle w:val="CharacterStyle12"/>
              </w:rPr>
            </w:pPr>
            <w:r>
              <w:rPr>
                <w:rStyle w:val="CharacterStyle12"/>
              </w:rPr>
              <w:t>0,00</w:t>
            </w:r>
          </w:p>
        </w:tc>
      </w:tr>
      <w:tr w:rsidR="007D706A" w14:paraId="3690CE6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CA64727" w14:textId="77777777" w:rsidR="007D706A" w:rsidRDefault="007D706A" w:rsidP="00F70508">
            <w:pPr>
              <w:pStyle w:val="ParagraphStyle4"/>
              <w:rPr>
                <w:rStyle w:val="CharacterStyle4"/>
              </w:rPr>
            </w:pPr>
            <w:r>
              <w:rPr>
                <w:rStyle w:val="CharacterStyle4"/>
              </w:rPr>
              <w:t>Aktivnost A103615</w:t>
            </w:r>
          </w:p>
        </w:tc>
        <w:tc>
          <w:tcPr>
            <w:tcW w:w="4995" w:type="dxa"/>
            <w:tcBorders>
              <w:bottom w:val="single" w:sz="6" w:space="0" w:color="000000"/>
              <w:right w:val="single" w:sz="6" w:space="0" w:color="000000"/>
            </w:tcBorders>
            <w:vAlign w:val="center"/>
          </w:tcPr>
          <w:p w14:paraId="420494C2" w14:textId="77777777" w:rsidR="007D706A" w:rsidRDefault="007D706A" w:rsidP="00F70508">
            <w:pPr>
              <w:pStyle w:val="ParagraphStyle5"/>
              <w:rPr>
                <w:rStyle w:val="CharacterStyle5"/>
              </w:rPr>
            </w:pPr>
            <w:r>
              <w:rPr>
                <w:rStyle w:val="CharacterStyle5"/>
              </w:rPr>
              <w:t>ZAVIČAJNA NASTAVA</w:t>
            </w:r>
          </w:p>
        </w:tc>
        <w:tc>
          <w:tcPr>
            <w:tcW w:w="1395" w:type="dxa"/>
            <w:tcBorders>
              <w:bottom w:val="single" w:sz="6" w:space="0" w:color="000000"/>
              <w:right w:val="single" w:sz="6" w:space="0" w:color="000000"/>
            </w:tcBorders>
            <w:vAlign w:val="center"/>
          </w:tcPr>
          <w:p w14:paraId="44CBBE67"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57544CC9" w14:textId="77777777" w:rsidR="007D706A" w:rsidRDefault="007D706A" w:rsidP="00F70508">
            <w:pPr>
              <w:pStyle w:val="ParagraphStyle6"/>
              <w:rPr>
                <w:rStyle w:val="CharacterStyle6"/>
              </w:rPr>
            </w:pPr>
            <w:r>
              <w:rPr>
                <w:rStyle w:val="CharacterStyle6"/>
              </w:rPr>
              <w:t>1.300,00</w:t>
            </w:r>
          </w:p>
        </w:tc>
        <w:tc>
          <w:tcPr>
            <w:tcW w:w="1395" w:type="dxa"/>
            <w:tcBorders>
              <w:bottom w:val="single" w:sz="6" w:space="0" w:color="000000"/>
              <w:right w:val="single" w:sz="6" w:space="0" w:color="000000"/>
            </w:tcBorders>
            <w:vAlign w:val="center"/>
          </w:tcPr>
          <w:p w14:paraId="58128CEA" w14:textId="77777777" w:rsidR="007D706A" w:rsidRDefault="007D706A" w:rsidP="00F70508">
            <w:pPr>
              <w:pStyle w:val="ParagraphStyle6"/>
              <w:rPr>
                <w:rStyle w:val="CharacterStyle6"/>
              </w:rPr>
            </w:pPr>
            <w:r>
              <w:rPr>
                <w:rStyle w:val="CharacterStyle6"/>
              </w:rPr>
              <w:t>1.600,00</w:t>
            </w:r>
          </w:p>
        </w:tc>
        <w:tc>
          <w:tcPr>
            <w:tcW w:w="1395" w:type="dxa"/>
            <w:tcBorders>
              <w:bottom w:val="single" w:sz="6" w:space="0" w:color="000000"/>
              <w:right w:val="single" w:sz="6" w:space="0" w:color="000000"/>
            </w:tcBorders>
            <w:vAlign w:val="center"/>
          </w:tcPr>
          <w:p w14:paraId="5AB4DB4D" w14:textId="77777777" w:rsidR="007D706A" w:rsidRDefault="007D706A" w:rsidP="00F70508">
            <w:pPr>
              <w:pStyle w:val="ParagraphStyle6"/>
              <w:rPr>
                <w:rStyle w:val="CharacterStyle6"/>
              </w:rPr>
            </w:pPr>
            <w:r>
              <w:rPr>
                <w:rStyle w:val="CharacterStyle6"/>
              </w:rPr>
              <w:t>1.352,00</w:t>
            </w:r>
          </w:p>
        </w:tc>
        <w:tc>
          <w:tcPr>
            <w:tcW w:w="1395" w:type="dxa"/>
            <w:tcBorders>
              <w:bottom w:val="single" w:sz="6" w:space="0" w:color="000000"/>
              <w:right w:val="single" w:sz="6" w:space="0" w:color="000000"/>
            </w:tcBorders>
            <w:vAlign w:val="center"/>
          </w:tcPr>
          <w:p w14:paraId="674E0132" w14:textId="77777777" w:rsidR="007D706A" w:rsidRDefault="007D706A" w:rsidP="00F70508">
            <w:pPr>
              <w:pStyle w:val="ParagraphStyle6"/>
              <w:rPr>
                <w:rStyle w:val="CharacterStyle6"/>
              </w:rPr>
            </w:pPr>
            <w:r>
              <w:rPr>
                <w:rStyle w:val="CharacterStyle6"/>
              </w:rPr>
              <w:t>1.366,00</w:t>
            </w:r>
          </w:p>
        </w:tc>
      </w:tr>
      <w:tr w:rsidR="007D706A" w14:paraId="2722BF8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C4B2D31" w14:textId="77777777" w:rsidR="007D706A" w:rsidRDefault="007D706A" w:rsidP="00F70508">
            <w:pPr>
              <w:pStyle w:val="ParagraphStyle7"/>
              <w:rPr>
                <w:rStyle w:val="CharacterStyle7"/>
              </w:rPr>
            </w:pPr>
            <w:r>
              <w:rPr>
                <w:rStyle w:val="CharacterStyle7"/>
              </w:rPr>
              <w:t>Izvor financiranja 31</w:t>
            </w:r>
          </w:p>
        </w:tc>
        <w:tc>
          <w:tcPr>
            <w:tcW w:w="4995" w:type="dxa"/>
            <w:tcBorders>
              <w:bottom w:val="single" w:sz="6" w:space="0" w:color="000000"/>
              <w:right w:val="single" w:sz="6" w:space="0" w:color="000000"/>
            </w:tcBorders>
            <w:vAlign w:val="center"/>
          </w:tcPr>
          <w:p w14:paraId="1B11A099" w14:textId="77777777" w:rsidR="007D706A" w:rsidRDefault="007D706A" w:rsidP="00F70508">
            <w:pPr>
              <w:pStyle w:val="ParagraphStyle8"/>
              <w:rPr>
                <w:rStyle w:val="CharacterStyle8"/>
              </w:rPr>
            </w:pPr>
            <w:r>
              <w:rPr>
                <w:rStyle w:val="CharacterStyle8"/>
              </w:rPr>
              <w:t>Vlastiti prihodi</w:t>
            </w:r>
          </w:p>
        </w:tc>
        <w:tc>
          <w:tcPr>
            <w:tcW w:w="1395" w:type="dxa"/>
            <w:tcBorders>
              <w:bottom w:val="single" w:sz="6" w:space="0" w:color="000000"/>
              <w:right w:val="single" w:sz="6" w:space="0" w:color="000000"/>
            </w:tcBorders>
            <w:vAlign w:val="center"/>
          </w:tcPr>
          <w:p w14:paraId="0E4AC15C"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4E8AD9A"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D58DC37" w14:textId="77777777" w:rsidR="007D706A" w:rsidRDefault="007D706A" w:rsidP="00F70508">
            <w:pPr>
              <w:pStyle w:val="ParagraphStyle9"/>
              <w:rPr>
                <w:rStyle w:val="CharacterStyle9"/>
              </w:rPr>
            </w:pPr>
            <w:r>
              <w:rPr>
                <w:rStyle w:val="CharacterStyle9"/>
              </w:rPr>
              <w:t>300,00</w:t>
            </w:r>
          </w:p>
        </w:tc>
        <w:tc>
          <w:tcPr>
            <w:tcW w:w="1395" w:type="dxa"/>
            <w:tcBorders>
              <w:bottom w:val="single" w:sz="6" w:space="0" w:color="000000"/>
              <w:right w:val="single" w:sz="6" w:space="0" w:color="000000"/>
            </w:tcBorders>
            <w:vAlign w:val="center"/>
          </w:tcPr>
          <w:p w14:paraId="6504F9B4"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AEC526C" w14:textId="77777777" w:rsidR="007D706A" w:rsidRDefault="007D706A" w:rsidP="00F70508">
            <w:pPr>
              <w:pStyle w:val="ParagraphStyle9"/>
              <w:rPr>
                <w:rStyle w:val="CharacterStyle9"/>
              </w:rPr>
            </w:pPr>
            <w:r>
              <w:rPr>
                <w:rStyle w:val="CharacterStyle9"/>
              </w:rPr>
              <w:t>0,00</w:t>
            </w:r>
          </w:p>
        </w:tc>
      </w:tr>
      <w:tr w:rsidR="007D706A" w14:paraId="44EE422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B1A1353"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32645854"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4E9D6E0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893B2E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5431B04" w14:textId="77777777" w:rsidR="007D706A" w:rsidRDefault="007D706A" w:rsidP="00F70508">
            <w:pPr>
              <w:pStyle w:val="ParagraphStyle12"/>
              <w:rPr>
                <w:rStyle w:val="CharacterStyle12"/>
              </w:rPr>
            </w:pPr>
            <w:r>
              <w:rPr>
                <w:rStyle w:val="CharacterStyle12"/>
              </w:rPr>
              <w:t>300,00</w:t>
            </w:r>
          </w:p>
        </w:tc>
        <w:tc>
          <w:tcPr>
            <w:tcW w:w="1395" w:type="dxa"/>
            <w:tcBorders>
              <w:bottom w:val="single" w:sz="6" w:space="0" w:color="000000"/>
              <w:right w:val="single" w:sz="6" w:space="0" w:color="000000"/>
            </w:tcBorders>
            <w:vAlign w:val="center"/>
          </w:tcPr>
          <w:p w14:paraId="1A702CC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C730E08" w14:textId="77777777" w:rsidR="007D706A" w:rsidRDefault="007D706A" w:rsidP="00F70508">
            <w:pPr>
              <w:pStyle w:val="ParagraphStyle12"/>
              <w:rPr>
                <w:rStyle w:val="CharacterStyle12"/>
              </w:rPr>
            </w:pPr>
            <w:r>
              <w:rPr>
                <w:rStyle w:val="CharacterStyle12"/>
              </w:rPr>
              <w:t>0,00</w:t>
            </w:r>
          </w:p>
        </w:tc>
      </w:tr>
      <w:tr w:rsidR="007D706A" w14:paraId="4A92E3D6"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36C34E0"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69352806"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374D664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F5A053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B87E5A1" w14:textId="77777777" w:rsidR="007D706A" w:rsidRDefault="007D706A" w:rsidP="00F70508">
            <w:pPr>
              <w:pStyle w:val="ParagraphStyle12"/>
              <w:rPr>
                <w:rStyle w:val="CharacterStyle12"/>
              </w:rPr>
            </w:pPr>
            <w:r>
              <w:rPr>
                <w:rStyle w:val="CharacterStyle12"/>
              </w:rPr>
              <w:t>300,00</w:t>
            </w:r>
          </w:p>
        </w:tc>
        <w:tc>
          <w:tcPr>
            <w:tcW w:w="1395" w:type="dxa"/>
            <w:tcBorders>
              <w:bottom w:val="single" w:sz="6" w:space="0" w:color="000000"/>
              <w:right w:val="single" w:sz="6" w:space="0" w:color="000000"/>
            </w:tcBorders>
            <w:vAlign w:val="center"/>
          </w:tcPr>
          <w:p w14:paraId="17811D9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F59FEDA" w14:textId="77777777" w:rsidR="007D706A" w:rsidRDefault="007D706A" w:rsidP="00F70508">
            <w:pPr>
              <w:pStyle w:val="ParagraphStyle12"/>
              <w:rPr>
                <w:rStyle w:val="CharacterStyle12"/>
              </w:rPr>
            </w:pPr>
            <w:r>
              <w:rPr>
                <w:rStyle w:val="CharacterStyle12"/>
              </w:rPr>
              <w:t>0,00</w:t>
            </w:r>
          </w:p>
        </w:tc>
      </w:tr>
      <w:tr w:rsidR="007D706A" w14:paraId="54CBD92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03B5F24" w14:textId="77777777" w:rsidR="007D706A" w:rsidRDefault="007D706A" w:rsidP="00F70508">
            <w:pPr>
              <w:pStyle w:val="ParagraphStyle7"/>
              <w:rPr>
                <w:rStyle w:val="CharacterStyle7"/>
              </w:rPr>
            </w:pPr>
            <w:r>
              <w:rPr>
                <w:rStyle w:val="CharacterStyle7"/>
              </w:rPr>
              <w:t>Izvor financiranja 5</w:t>
            </w:r>
          </w:p>
        </w:tc>
        <w:tc>
          <w:tcPr>
            <w:tcW w:w="4995" w:type="dxa"/>
            <w:tcBorders>
              <w:bottom w:val="single" w:sz="6" w:space="0" w:color="000000"/>
              <w:right w:val="single" w:sz="6" w:space="0" w:color="000000"/>
            </w:tcBorders>
            <w:vAlign w:val="center"/>
          </w:tcPr>
          <w:p w14:paraId="00BD85C1" w14:textId="77777777" w:rsidR="007D706A" w:rsidRDefault="007D706A" w:rsidP="00F70508">
            <w:pPr>
              <w:pStyle w:val="ParagraphStyle8"/>
              <w:rPr>
                <w:rStyle w:val="CharacterStyle8"/>
              </w:rPr>
            </w:pPr>
            <w:r>
              <w:rPr>
                <w:rStyle w:val="CharacterStyle8"/>
              </w:rPr>
              <w:t>POMOĆI</w:t>
            </w:r>
          </w:p>
        </w:tc>
        <w:tc>
          <w:tcPr>
            <w:tcW w:w="1395" w:type="dxa"/>
            <w:tcBorders>
              <w:bottom w:val="single" w:sz="6" w:space="0" w:color="000000"/>
              <w:right w:val="single" w:sz="6" w:space="0" w:color="000000"/>
            </w:tcBorders>
            <w:vAlign w:val="center"/>
          </w:tcPr>
          <w:p w14:paraId="01C0EDE6"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173358E"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BDA7310" w14:textId="77777777" w:rsidR="007D706A" w:rsidRDefault="007D706A" w:rsidP="00F70508">
            <w:pPr>
              <w:pStyle w:val="ParagraphStyle9"/>
              <w:rPr>
                <w:rStyle w:val="CharacterStyle9"/>
              </w:rPr>
            </w:pPr>
            <w:r>
              <w:rPr>
                <w:rStyle w:val="CharacterStyle9"/>
              </w:rPr>
              <w:t>1.300,00</w:t>
            </w:r>
          </w:p>
        </w:tc>
        <w:tc>
          <w:tcPr>
            <w:tcW w:w="1395" w:type="dxa"/>
            <w:tcBorders>
              <w:bottom w:val="single" w:sz="6" w:space="0" w:color="000000"/>
              <w:right w:val="single" w:sz="6" w:space="0" w:color="000000"/>
            </w:tcBorders>
            <w:vAlign w:val="center"/>
          </w:tcPr>
          <w:p w14:paraId="267CFB90" w14:textId="77777777" w:rsidR="007D706A" w:rsidRDefault="007D706A" w:rsidP="00F70508">
            <w:pPr>
              <w:pStyle w:val="ParagraphStyle9"/>
              <w:rPr>
                <w:rStyle w:val="CharacterStyle9"/>
              </w:rPr>
            </w:pPr>
            <w:r>
              <w:rPr>
                <w:rStyle w:val="CharacterStyle9"/>
              </w:rPr>
              <w:t>1.352,00</w:t>
            </w:r>
          </w:p>
        </w:tc>
        <w:tc>
          <w:tcPr>
            <w:tcW w:w="1395" w:type="dxa"/>
            <w:tcBorders>
              <w:bottom w:val="single" w:sz="6" w:space="0" w:color="000000"/>
              <w:right w:val="single" w:sz="6" w:space="0" w:color="000000"/>
            </w:tcBorders>
            <w:vAlign w:val="center"/>
          </w:tcPr>
          <w:p w14:paraId="23CB997B" w14:textId="77777777" w:rsidR="007D706A" w:rsidRDefault="007D706A" w:rsidP="00F70508">
            <w:pPr>
              <w:pStyle w:val="ParagraphStyle9"/>
              <w:rPr>
                <w:rStyle w:val="CharacterStyle9"/>
              </w:rPr>
            </w:pPr>
            <w:r>
              <w:rPr>
                <w:rStyle w:val="CharacterStyle9"/>
              </w:rPr>
              <w:t>1.366,00</w:t>
            </w:r>
          </w:p>
        </w:tc>
      </w:tr>
      <w:tr w:rsidR="007D706A" w14:paraId="7DB4156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B5776DB"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55776B6D"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6161137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43447B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4AF497C" w14:textId="77777777" w:rsidR="007D706A" w:rsidRDefault="007D706A" w:rsidP="00F70508">
            <w:pPr>
              <w:pStyle w:val="ParagraphStyle12"/>
              <w:rPr>
                <w:rStyle w:val="CharacterStyle12"/>
              </w:rPr>
            </w:pPr>
            <w:r>
              <w:rPr>
                <w:rStyle w:val="CharacterStyle12"/>
              </w:rPr>
              <w:t>1.300,00</w:t>
            </w:r>
          </w:p>
        </w:tc>
        <w:tc>
          <w:tcPr>
            <w:tcW w:w="1395" w:type="dxa"/>
            <w:tcBorders>
              <w:bottom w:val="single" w:sz="6" w:space="0" w:color="000000"/>
              <w:right w:val="single" w:sz="6" w:space="0" w:color="000000"/>
            </w:tcBorders>
            <w:vAlign w:val="center"/>
          </w:tcPr>
          <w:p w14:paraId="13A30160" w14:textId="77777777" w:rsidR="007D706A" w:rsidRDefault="007D706A" w:rsidP="00F70508">
            <w:pPr>
              <w:pStyle w:val="ParagraphStyle12"/>
              <w:rPr>
                <w:rStyle w:val="CharacterStyle12"/>
              </w:rPr>
            </w:pPr>
            <w:r>
              <w:rPr>
                <w:rStyle w:val="CharacterStyle12"/>
              </w:rPr>
              <w:t>1.352,00</w:t>
            </w:r>
          </w:p>
        </w:tc>
        <w:tc>
          <w:tcPr>
            <w:tcW w:w="1395" w:type="dxa"/>
            <w:tcBorders>
              <w:bottom w:val="single" w:sz="6" w:space="0" w:color="000000"/>
              <w:right w:val="single" w:sz="6" w:space="0" w:color="000000"/>
            </w:tcBorders>
            <w:vAlign w:val="center"/>
          </w:tcPr>
          <w:p w14:paraId="6F7885DB" w14:textId="77777777" w:rsidR="007D706A" w:rsidRDefault="007D706A" w:rsidP="00F70508">
            <w:pPr>
              <w:pStyle w:val="ParagraphStyle12"/>
              <w:rPr>
                <w:rStyle w:val="CharacterStyle12"/>
              </w:rPr>
            </w:pPr>
            <w:r>
              <w:rPr>
                <w:rStyle w:val="CharacterStyle12"/>
              </w:rPr>
              <w:t>1.366,00</w:t>
            </w:r>
          </w:p>
        </w:tc>
      </w:tr>
      <w:tr w:rsidR="007D706A" w14:paraId="4064699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0A6BB9C"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17780E64"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73CCC71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1FE2AD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EBD3604" w14:textId="77777777" w:rsidR="007D706A" w:rsidRDefault="007D706A" w:rsidP="00F70508">
            <w:pPr>
              <w:pStyle w:val="ParagraphStyle12"/>
              <w:rPr>
                <w:rStyle w:val="CharacterStyle12"/>
              </w:rPr>
            </w:pPr>
            <w:r>
              <w:rPr>
                <w:rStyle w:val="CharacterStyle12"/>
              </w:rPr>
              <w:t>1.300,00</w:t>
            </w:r>
          </w:p>
        </w:tc>
        <w:tc>
          <w:tcPr>
            <w:tcW w:w="1395" w:type="dxa"/>
            <w:tcBorders>
              <w:bottom w:val="single" w:sz="6" w:space="0" w:color="000000"/>
              <w:right w:val="single" w:sz="6" w:space="0" w:color="000000"/>
            </w:tcBorders>
            <w:vAlign w:val="center"/>
          </w:tcPr>
          <w:p w14:paraId="1BCE2A19" w14:textId="77777777" w:rsidR="007D706A" w:rsidRDefault="007D706A" w:rsidP="00F70508">
            <w:pPr>
              <w:pStyle w:val="ParagraphStyle12"/>
              <w:rPr>
                <w:rStyle w:val="CharacterStyle12"/>
              </w:rPr>
            </w:pPr>
            <w:r>
              <w:rPr>
                <w:rStyle w:val="CharacterStyle12"/>
              </w:rPr>
              <w:t>1.352,00</w:t>
            </w:r>
          </w:p>
        </w:tc>
        <w:tc>
          <w:tcPr>
            <w:tcW w:w="1395" w:type="dxa"/>
            <w:tcBorders>
              <w:bottom w:val="single" w:sz="6" w:space="0" w:color="000000"/>
              <w:right w:val="single" w:sz="6" w:space="0" w:color="000000"/>
            </w:tcBorders>
            <w:vAlign w:val="center"/>
          </w:tcPr>
          <w:p w14:paraId="4F31B11C" w14:textId="77777777" w:rsidR="007D706A" w:rsidRDefault="007D706A" w:rsidP="00F70508">
            <w:pPr>
              <w:pStyle w:val="ParagraphStyle12"/>
              <w:rPr>
                <w:rStyle w:val="CharacterStyle12"/>
              </w:rPr>
            </w:pPr>
            <w:r>
              <w:rPr>
                <w:rStyle w:val="CharacterStyle12"/>
              </w:rPr>
              <w:t>1.366,00</w:t>
            </w:r>
          </w:p>
        </w:tc>
      </w:tr>
      <w:tr w:rsidR="007D706A" w14:paraId="6F84685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732DD2E" w14:textId="77777777" w:rsidR="007D706A" w:rsidRDefault="007D706A" w:rsidP="00F70508">
            <w:pPr>
              <w:pStyle w:val="ParagraphStyle7"/>
              <w:rPr>
                <w:rStyle w:val="CharacterStyle7"/>
              </w:rPr>
            </w:pPr>
            <w:r>
              <w:rPr>
                <w:rStyle w:val="CharacterStyle7"/>
              </w:rPr>
              <w:t>Izvor financiranja 53</w:t>
            </w:r>
          </w:p>
        </w:tc>
        <w:tc>
          <w:tcPr>
            <w:tcW w:w="4995" w:type="dxa"/>
            <w:tcBorders>
              <w:bottom w:val="single" w:sz="6" w:space="0" w:color="000000"/>
              <w:right w:val="single" w:sz="6" w:space="0" w:color="000000"/>
            </w:tcBorders>
            <w:vAlign w:val="center"/>
          </w:tcPr>
          <w:p w14:paraId="255C1111" w14:textId="77777777" w:rsidR="007D706A" w:rsidRDefault="007D706A" w:rsidP="00F70508">
            <w:pPr>
              <w:pStyle w:val="ParagraphStyle8"/>
              <w:rPr>
                <w:rStyle w:val="CharacterStyle8"/>
              </w:rPr>
            </w:pPr>
            <w:r>
              <w:rPr>
                <w:rStyle w:val="CharacterStyle8"/>
              </w:rPr>
              <w:t>Proračuni, drugi nivoi - za posebne i / ili ugovorene namjene</w:t>
            </w:r>
          </w:p>
        </w:tc>
        <w:tc>
          <w:tcPr>
            <w:tcW w:w="1395" w:type="dxa"/>
            <w:tcBorders>
              <w:bottom w:val="single" w:sz="6" w:space="0" w:color="000000"/>
              <w:right w:val="single" w:sz="6" w:space="0" w:color="000000"/>
            </w:tcBorders>
            <w:vAlign w:val="center"/>
          </w:tcPr>
          <w:p w14:paraId="58078D78"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4CB1BB2" w14:textId="77777777" w:rsidR="007D706A" w:rsidRDefault="007D706A" w:rsidP="00F70508">
            <w:pPr>
              <w:pStyle w:val="ParagraphStyle9"/>
              <w:rPr>
                <w:rStyle w:val="CharacterStyle9"/>
              </w:rPr>
            </w:pPr>
            <w:r>
              <w:rPr>
                <w:rStyle w:val="CharacterStyle9"/>
              </w:rPr>
              <w:t>1.300,00</w:t>
            </w:r>
          </w:p>
        </w:tc>
        <w:tc>
          <w:tcPr>
            <w:tcW w:w="1395" w:type="dxa"/>
            <w:tcBorders>
              <w:bottom w:val="single" w:sz="6" w:space="0" w:color="000000"/>
              <w:right w:val="single" w:sz="6" w:space="0" w:color="000000"/>
            </w:tcBorders>
            <w:vAlign w:val="center"/>
          </w:tcPr>
          <w:p w14:paraId="6EF2531A"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16B0BAC"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2ABAFCE" w14:textId="77777777" w:rsidR="007D706A" w:rsidRDefault="007D706A" w:rsidP="00F70508">
            <w:pPr>
              <w:pStyle w:val="ParagraphStyle9"/>
              <w:rPr>
                <w:rStyle w:val="CharacterStyle9"/>
              </w:rPr>
            </w:pPr>
            <w:r>
              <w:rPr>
                <w:rStyle w:val="CharacterStyle9"/>
              </w:rPr>
              <w:t>0,00</w:t>
            </w:r>
          </w:p>
        </w:tc>
      </w:tr>
      <w:tr w:rsidR="007D706A" w14:paraId="6050C0D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5A4EBFD"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62FE1CE7"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49A7BB8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2D15227" w14:textId="77777777" w:rsidR="007D706A" w:rsidRDefault="007D706A" w:rsidP="00F70508">
            <w:pPr>
              <w:pStyle w:val="ParagraphStyle12"/>
              <w:rPr>
                <w:rStyle w:val="CharacterStyle12"/>
              </w:rPr>
            </w:pPr>
            <w:r>
              <w:rPr>
                <w:rStyle w:val="CharacterStyle12"/>
              </w:rPr>
              <w:t>1.300,00</w:t>
            </w:r>
          </w:p>
        </w:tc>
        <w:tc>
          <w:tcPr>
            <w:tcW w:w="1395" w:type="dxa"/>
            <w:tcBorders>
              <w:bottom w:val="single" w:sz="6" w:space="0" w:color="000000"/>
              <w:right w:val="single" w:sz="6" w:space="0" w:color="000000"/>
            </w:tcBorders>
            <w:vAlign w:val="center"/>
          </w:tcPr>
          <w:p w14:paraId="7349798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4C84EA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37EBE20" w14:textId="77777777" w:rsidR="007D706A" w:rsidRDefault="007D706A" w:rsidP="00F70508">
            <w:pPr>
              <w:pStyle w:val="ParagraphStyle12"/>
              <w:rPr>
                <w:rStyle w:val="CharacterStyle12"/>
              </w:rPr>
            </w:pPr>
            <w:r>
              <w:rPr>
                <w:rStyle w:val="CharacterStyle12"/>
              </w:rPr>
              <w:t>0,00</w:t>
            </w:r>
          </w:p>
        </w:tc>
      </w:tr>
      <w:tr w:rsidR="007D706A" w14:paraId="363DD6A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502010C"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08EEEB26"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50BFD6B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A9CF003" w14:textId="77777777" w:rsidR="007D706A" w:rsidRDefault="007D706A" w:rsidP="00F70508">
            <w:pPr>
              <w:pStyle w:val="ParagraphStyle12"/>
              <w:rPr>
                <w:rStyle w:val="CharacterStyle12"/>
              </w:rPr>
            </w:pPr>
            <w:r>
              <w:rPr>
                <w:rStyle w:val="CharacterStyle12"/>
              </w:rPr>
              <w:t>1.300,00</w:t>
            </w:r>
          </w:p>
        </w:tc>
        <w:tc>
          <w:tcPr>
            <w:tcW w:w="1395" w:type="dxa"/>
            <w:tcBorders>
              <w:bottom w:val="single" w:sz="6" w:space="0" w:color="000000"/>
              <w:right w:val="single" w:sz="6" w:space="0" w:color="000000"/>
            </w:tcBorders>
            <w:vAlign w:val="center"/>
          </w:tcPr>
          <w:p w14:paraId="21B0928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DF162E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06B7A42" w14:textId="77777777" w:rsidR="007D706A" w:rsidRDefault="007D706A" w:rsidP="00F70508">
            <w:pPr>
              <w:pStyle w:val="ParagraphStyle12"/>
              <w:rPr>
                <w:rStyle w:val="CharacterStyle12"/>
              </w:rPr>
            </w:pPr>
            <w:r>
              <w:rPr>
                <w:rStyle w:val="CharacterStyle12"/>
              </w:rPr>
              <w:t>0,00</w:t>
            </w:r>
          </w:p>
        </w:tc>
      </w:tr>
      <w:tr w:rsidR="007D706A" w14:paraId="7C13915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D605945" w14:textId="77777777" w:rsidR="007D706A" w:rsidRDefault="007D706A" w:rsidP="00F70508">
            <w:pPr>
              <w:pStyle w:val="ParagraphStyle4"/>
              <w:rPr>
                <w:rStyle w:val="CharacterStyle4"/>
              </w:rPr>
            </w:pPr>
            <w:r>
              <w:rPr>
                <w:rStyle w:val="CharacterStyle4"/>
              </w:rPr>
              <w:t>Tekući projekt T103607</w:t>
            </w:r>
          </w:p>
        </w:tc>
        <w:tc>
          <w:tcPr>
            <w:tcW w:w="4995" w:type="dxa"/>
            <w:tcBorders>
              <w:bottom w:val="single" w:sz="6" w:space="0" w:color="000000"/>
              <w:right w:val="single" w:sz="6" w:space="0" w:color="000000"/>
            </w:tcBorders>
            <w:vAlign w:val="center"/>
          </w:tcPr>
          <w:p w14:paraId="744DB5DB" w14:textId="77777777" w:rsidR="007D706A" w:rsidRDefault="007D706A" w:rsidP="00F70508">
            <w:pPr>
              <w:pStyle w:val="ParagraphStyle5"/>
              <w:rPr>
                <w:rStyle w:val="CharacterStyle5"/>
              </w:rPr>
            </w:pPr>
            <w:r>
              <w:rPr>
                <w:rStyle w:val="CharacterStyle5"/>
              </w:rPr>
              <w:t>ŠKOLSKA SHEMA</w:t>
            </w:r>
          </w:p>
        </w:tc>
        <w:tc>
          <w:tcPr>
            <w:tcW w:w="1395" w:type="dxa"/>
            <w:tcBorders>
              <w:bottom w:val="single" w:sz="6" w:space="0" w:color="000000"/>
              <w:right w:val="single" w:sz="6" w:space="0" w:color="000000"/>
            </w:tcBorders>
            <w:vAlign w:val="center"/>
          </w:tcPr>
          <w:p w14:paraId="64469442"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02B29201" w14:textId="77777777" w:rsidR="007D706A" w:rsidRDefault="007D706A" w:rsidP="00F70508">
            <w:pPr>
              <w:pStyle w:val="ParagraphStyle6"/>
              <w:rPr>
                <w:rStyle w:val="CharacterStyle6"/>
              </w:rPr>
            </w:pPr>
            <w:r>
              <w:rPr>
                <w:rStyle w:val="CharacterStyle6"/>
              </w:rPr>
              <w:t>5.000,00</w:t>
            </w:r>
          </w:p>
        </w:tc>
        <w:tc>
          <w:tcPr>
            <w:tcW w:w="1395" w:type="dxa"/>
            <w:tcBorders>
              <w:bottom w:val="single" w:sz="6" w:space="0" w:color="000000"/>
              <w:right w:val="single" w:sz="6" w:space="0" w:color="000000"/>
            </w:tcBorders>
            <w:vAlign w:val="center"/>
          </w:tcPr>
          <w:p w14:paraId="1797E4AB" w14:textId="77777777" w:rsidR="007D706A" w:rsidRDefault="007D706A" w:rsidP="00F70508">
            <w:pPr>
              <w:pStyle w:val="ParagraphStyle6"/>
              <w:rPr>
                <w:rStyle w:val="CharacterStyle6"/>
              </w:rPr>
            </w:pPr>
            <w:r>
              <w:rPr>
                <w:rStyle w:val="CharacterStyle6"/>
              </w:rPr>
              <w:t>5.000,00</w:t>
            </w:r>
          </w:p>
        </w:tc>
        <w:tc>
          <w:tcPr>
            <w:tcW w:w="1395" w:type="dxa"/>
            <w:tcBorders>
              <w:bottom w:val="single" w:sz="6" w:space="0" w:color="000000"/>
              <w:right w:val="single" w:sz="6" w:space="0" w:color="000000"/>
            </w:tcBorders>
            <w:vAlign w:val="center"/>
          </w:tcPr>
          <w:p w14:paraId="392C1F5C" w14:textId="77777777" w:rsidR="007D706A" w:rsidRDefault="007D706A" w:rsidP="00F70508">
            <w:pPr>
              <w:pStyle w:val="ParagraphStyle6"/>
              <w:rPr>
                <w:rStyle w:val="CharacterStyle6"/>
              </w:rPr>
            </w:pPr>
            <w:r>
              <w:rPr>
                <w:rStyle w:val="CharacterStyle6"/>
              </w:rPr>
              <w:t>5.200,00</w:t>
            </w:r>
          </w:p>
        </w:tc>
        <w:tc>
          <w:tcPr>
            <w:tcW w:w="1395" w:type="dxa"/>
            <w:tcBorders>
              <w:bottom w:val="single" w:sz="6" w:space="0" w:color="000000"/>
              <w:right w:val="single" w:sz="6" w:space="0" w:color="000000"/>
            </w:tcBorders>
            <w:vAlign w:val="center"/>
          </w:tcPr>
          <w:p w14:paraId="6CBBCF7B" w14:textId="77777777" w:rsidR="007D706A" w:rsidRDefault="007D706A" w:rsidP="00F70508">
            <w:pPr>
              <w:pStyle w:val="ParagraphStyle6"/>
              <w:rPr>
                <w:rStyle w:val="CharacterStyle6"/>
              </w:rPr>
            </w:pPr>
            <w:r>
              <w:rPr>
                <w:rStyle w:val="CharacterStyle6"/>
              </w:rPr>
              <w:t>5.252,00</w:t>
            </w:r>
          </w:p>
        </w:tc>
      </w:tr>
      <w:tr w:rsidR="007D706A" w14:paraId="54E7D4D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5BB0FDF"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445C9516"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2ED033E0"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462EBC6" w14:textId="77777777" w:rsidR="007D706A" w:rsidRDefault="007D706A" w:rsidP="00F70508">
            <w:pPr>
              <w:pStyle w:val="ParagraphStyle9"/>
              <w:rPr>
                <w:rStyle w:val="CharacterStyle9"/>
              </w:rPr>
            </w:pPr>
            <w:r>
              <w:rPr>
                <w:rStyle w:val="CharacterStyle9"/>
              </w:rPr>
              <w:t>5.000,00</w:t>
            </w:r>
          </w:p>
        </w:tc>
        <w:tc>
          <w:tcPr>
            <w:tcW w:w="1395" w:type="dxa"/>
            <w:tcBorders>
              <w:bottom w:val="single" w:sz="6" w:space="0" w:color="000000"/>
              <w:right w:val="single" w:sz="6" w:space="0" w:color="000000"/>
            </w:tcBorders>
            <w:vAlign w:val="center"/>
          </w:tcPr>
          <w:p w14:paraId="61FBC4C6" w14:textId="77777777" w:rsidR="007D706A" w:rsidRDefault="007D706A" w:rsidP="00F70508">
            <w:pPr>
              <w:pStyle w:val="ParagraphStyle9"/>
              <w:rPr>
                <w:rStyle w:val="CharacterStyle9"/>
              </w:rPr>
            </w:pPr>
            <w:r>
              <w:rPr>
                <w:rStyle w:val="CharacterStyle9"/>
              </w:rPr>
              <w:t>5.000,00</w:t>
            </w:r>
          </w:p>
        </w:tc>
        <w:tc>
          <w:tcPr>
            <w:tcW w:w="1395" w:type="dxa"/>
            <w:tcBorders>
              <w:bottom w:val="single" w:sz="6" w:space="0" w:color="000000"/>
              <w:right w:val="single" w:sz="6" w:space="0" w:color="000000"/>
            </w:tcBorders>
            <w:vAlign w:val="center"/>
          </w:tcPr>
          <w:p w14:paraId="12B8C277" w14:textId="77777777" w:rsidR="007D706A" w:rsidRDefault="007D706A" w:rsidP="00F70508">
            <w:pPr>
              <w:pStyle w:val="ParagraphStyle9"/>
              <w:rPr>
                <w:rStyle w:val="CharacterStyle9"/>
              </w:rPr>
            </w:pPr>
            <w:r>
              <w:rPr>
                <w:rStyle w:val="CharacterStyle9"/>
              </w:rPr>
              <w:t>5.200,00</w:t>
            </w:r>
          </w:p>
        </w:tc>
        <w:tc>
          <w:tcPr>
            <w:tcW w:w="1395" w:type="dxa"/>
            <w:tcBorders>
              <w:bottom w:val="single" w:sz="6" w:space="0" w:color="000000"/>
              <w:right w:val="single" w:sz="6" w:space="0" w:color="000000"/>
            </w:tcBorders>
            <w:vAlign w:val="center"/>
          </w:tcPr>
          <w:p w14:paraId="5508FD3C" w14:textId="77777777" w:rsidR="007D706A" w:rsidRDefault="007D706A" w:rsidP="00F70508">
            <w:pPr>
              <w:pStyle w:val="ParagraphStyle9"/>
              <w:rPr>
                <w:rStyle w:val="CharacterStyle9"/>
              </w:rPr>
            </w:pPr>
            <w:r>
              <w:rPr>
                <w:rStyle w:val="CharacterStyle9"/>
              </w:rPr>
              <w:t>5.252,00</w:t>
            </w:r>
          </w:p>
        </w:tc>
      </w:tr>
      <w:tr w:rsidR="007D706A" w14:paraId="4946208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CDE1BF8"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4FE3D255"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7208ED8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B8D4E66" w14:textId="77777777" w:rsidR="007D706A" w:rsidRDefault="007D706A" w:rsidP="00F70508">
            <w:pPr>
              <w:pStyle w:val="ParagraphStyle12"/>
              <w:rPr>
                <w:rStyle w:val="CharacterStyle12"/>
              </w:rPr>
            </w:pPr>
            <w:r>
              <w:rPr>
                <w:rStyle w:val="CharacterStyle12"/>
              </w:rPr>
              <w:t>5.000,00</w:t>
            </w:r>
          </w:p>
        </w:tc>
        <w:tc>
          <w:tcPr>
            <w:tcW w:w="1395" w:type="dxa"/>
            <w:tcBorders>
              <w:bottom w:val="single" w:sz="6" w:space="0" w:color="000000"/>
              <w:right w:val="single" w:sz="6" w:space="0" w:color="000000"/>
            </w:tcBorders>
            <w:vAlign w:val="center"/>
          </w:tcPr>
          <w:p w14:paraId="570590B8" w14:textId="77777777" w:rsidR="007D706A" w:rsidRDefault="007D706A" w:rsidP="00F70508">
            <w:pPr>
              <w:pStyle w:val="ParagraphStyle12"/>
              <w:rPr>
                <w:rStyle w:val="CharacterStyle12"/>
              </w:rPr>
            </w:pPr>
            <w:r>
              <w:rPr>
                <w:rStyle w:val="CharacterStyle12"/>
              </w:rPr>
              <w:t>5.000,00</w:t>
            </w:r>
          </w:p>
        </w:tc>
        <w:tc>
          <w:tcPr>
            <w:tcW w:w="1395" w:type="dxa"/>
            <w:tcBorders>
              <w:bottom w:val="single" w:sz="6" w:space="0" w:color="000000"/>
              <w:right w:val="single" w:sz="6" w:space="0" w:color="000000"/>
            </w:tcBorders>
            <w:vAlign w:val="center"/>
          </w:tcPr>
          <w:p w14:paraId="0B8DD1BE" w14:textId="77777777" w:rsidR="007D706A" w:rsidRDefault="007D706A" w:rsidP="00F70508">
            <w:pPr>
              <w:pStyle w:val="ParagraphStyle12"/>
              <w:rPr>
                <w:rStyle w:val="CharacterStyle12"/>
              </w:rPr>
            </w:pPr>
            <w:r>
              <w:rPr>
                <w:rStyle w:val="CharacterStyle12"/>
              </w:rPr>
              <w:t>5.200,00</w:t>
            </w:r>
          </w:p>
        </w:tc>
        <w:tc>
          <w:tcPr>
            <w:tcW w:w="1395" w:type="dxa"/>
            <w:tcBorders>
              <w:bottom w:val="single" w:sz="6" w:space="0" w:color="000000"/>
              <w:right w:val="single" w:sz="6" w:space="0" w:color="000000"/>
            </w:tcBorders>
            <w:vAlign w:val="center"/>
          </w:tcPr>
          <w:p w14:paraId="5AB412E7" w14:textId="77777777" w:rsidR="007D706A" w:rsidRDefault="007D706A" w:rsidP="00F70508">
            <w:pPr>
              <w:pStyle w:val="ParagraphStyle12"/>
              <w:rPr>
                <w:rStyle w:val="CharacterStyle12"/>
              </w:rPr>
            </w:pPr>
            <w:r>
              <w:rPr>
                <w:rStyle w:val="CharacterStyle12"/>
              </w:rPr>
              <w:t>5.252,00</w:t>
            </w:r>
          </w:p>
        </w:tc>
      </w:tr>
      <w:tr w:rsidR="007D706A" w14:paraId="4C247E5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25BABFF"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31E22942"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4C5597B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AAA90BE" w14:textId="77777777" w:rsidR="007D706A" w:rsidRDefault="007D706A" w:rsidP="00F70508">
            <w:pPr>
              <w:pStyle w:val="ParagraphStyle12"/>
              <w:rPr>
                <w:rStyle w:val="CharacterStyle12"/>
              </w:rPr>
            </w:pPr>
            <w:r>
              <w:rPr>
                <w:rStyle w:val="CharacterStyle12"/>
              </w:rPr>
              <w:t>5.000,00</w:t>
            </w:r>
          </w:p>
        </w:tc>
        <w:tc>
          <w:tcPr>
            <w:tcW w:w="1395" w:type="dxa"/>
            <w:tcBorders>
              <w:bottom w:val="single" w:sz="6" w:space="0" w:color="000000"/>
              <w:right w:val="single" w:sz="6" w:space="0" w:color="000000"/>
            </w:tcBorders>
            <w:vAlign w:val="center"/>
          </w:tcPr>
          <w:p w14:paraId="4C7F7827" w14:textId="77777777" w:rsidR="007D706A" w:rsidRDefault="007D706A" w:rsidP="00F70508">
            <w:pPr>
              <w:pStyle w:val="ParagraphStyle12"/>
              <w:rPr>
                <w:rStyle w:val="CharacterStyle12"/>
              </w:rPr>
            </w:pPr>
            <w:r>
              <w:rPr>
                <w:rStyle w:val="CharacterStyle12"/>
              </w:rPr>
              <w:t>5.000,00</w:t>
            </w:r>
          </w:p>
        </w:tc>
        <w:tc>
          <w:tcPr>
            <w:tcW w:w="1395" w:type="dxa"/>
            <w:tcBorders>
              <w:bottom w:val="single" w:sz="6" w:space="0" w:color="000000"/>
              <w:right w:val="single" w:sz="6" w:space="0" w:color="000000"/>
            </w:tcBorders>
            <w:vAlign w:val="center"/>
          </w:tcPr>
          <w:p w14:paraId="513153AC" w14:textId="77777777" w:rsidR="007D706A" w:rsidRDefault="007D706A" w:rsidP="00F70508">
            <w:pPr>
              <w:pStyle w:val="ParagraphStyle12"/>
              <w:rPr>
                <w:rStyle w:val="CharacterStyle12"/>
              </w:rPr>
            </w:pPr>
            <w:r>
              <w:rPr>
                <w:rStyle w:val="CharacterStyle12"/>
              </w:rPr>
              <w:t>5.200,00</w:t>
            </w:r>
          </w:p>
        </w:tc>
        <w:tc>
          <w:tcPr>
            <w:tcW w:w="1395" w:type="dxa"/>
            <w:tcBorders>
              <w:bottom w:val="single" w:sz="6" w:space="0" w:color="000000"/>
              <w:right w:val="single" w:sz="6" w:space="0" w:color="000000"/>
            </w:tcBorders>
            <w:vAlign w:val="center"/>
          </w:tcPr>
          <w:p w14:paraId="6C63CFB7" w14:textId="77777777" w:rsidR="007D706A" w:rsidRDefault="007D706A" w:rsidP="00F70508">
            <w:pPr>
              <w:pStyle w:val="ParagraphStyle12"/>
              <w:rPr>
                <w:rStyle w:val="CharacterStyle12"/>
              </w:rPr>
            </w:pPr>
            <w:r>
              <w:rPr>
                <w:rStyle w:val="CharacterStyle12"/>
              </w:rPr>
              <w:t>5.252,00</w:t>
            </w:r>
          </w:p>
        </w:tc>
      </w:tr>
      <w:tr w:rsidR="007D706A" w14:paraId="294F7F0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F0FA7F3" w14:textId="77777777" w:rsidR="007D706A" w:rsidRDefault="007D706A" w:rsidP="00F70508">
            <w:pPr>
              <w:pStyle w:val="ParagraphStyle4"/>
              <w:rPr>
                <w:rStyle w:val="CharacterStyle4"/>
              </w:rPr>
            </w:pPr>
            <w:r>
              <w:rPr>
                <w:rStyle w:val="CharacterStyle4"/>
              </w:rPr>
              <w:t>Aktivnost A103617</w:t>
            </w:r>
          </w:p>
        </w:tc>
        <w:tc>
          <w:tcPr>
            <w:tcW w:w="4995" w:type="dxa"/>
            <w:tcBorders>
              <w:bottom w:val="single" w:sz="6" w:space="0" w:color="000000"/>
              <w:right w:val="single" w:sz="6" w:space="0" w:color="000000"/>
            </w:tcBorders>
            <w:vAlign w:val="center"/>
          </w:tcPr>
          <w:p w14:paraId="06AACEAD" w14:textId="77777777" w:rsidR="007D706A" w:rsidRDefault="007D706A" w:rsidP="00F70508">
            <w:pPr>
              <w:pStyle w:val="ParagraphStyle5"/>
              <w:rPr>
                <w:rStyle w:val="CharacterStyle5"/>
              </w:rPr>
            </w:pPr>
            <w:r>
              <w:rPr>
                <w:rStyle w:val="CharacterStyle5"/>
              </w:rPr>
              <w:t>GRAĐANSKI ODGOJ</w:t>
            </w:r>
          </w:p>
        </w:tc>
        <w:tc>
          <w:tcPr>
            <w:tcW w:w="1395" w:type="dxa"/>
            <w:tcBorders>
              <w:bottom w:val="single" w:sz="6" w:space="0" w:color="000000"/>
              <w:right w:val="single" w:sz="6" w:space="0" w:color="000000"/>
            </w:tcBorders>
            <w:vAlign w:val="center"/>
          </w:tcPr>
          <w:p w14:paraId="61C77B91"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3CDC56C6" w14:textId="77777777" w:rsidR="007D706A" w:rsidRDefault="007D706A" w:rsidP="00F70508">
            <w:pPr>
              <w:pStyle w:val="ParagraphStyle6"/>
              <w:rPr>
                <w:rStyle w:val="CharacterStyle6"/>
              </w:rPr>
            </w:pPr>
            <w:r>
              <w:rPr>
                <w:rStyle w:val="CharacterStyle6"/>
              </w:rPr>
              <w:t>700,00</w:t>
            </w:r>
          </w:p>
        </w:tc>
        <w:tc>
          <w:tcPr>
            <w:tcW w:w="1395" w:type="dxa"/>
            <w:tcBorders>
              <w:bottom w:val="single" w:sz="6" w:space="0" w:color="000000"/>
              <w:right w:val="single" w:sz="6" w:space="0" w:color="000000"/>
            </w:tcBorders>
            <w:vAlign w:val="center"/>
          </w:tcPr>
          <w:p w14:paraId="6BF9AF63" w14:textId="77777777" w:rsidR="007D706A" w:rsidRDefault="007D706A" w:rsidP="00F70508">
            <w:pPr>
              <w:pStyle w:val="ParagraphStyle6"/>
              <w:rPr>
                <w:rStyle w:val="CharacterStyle6"/>
              </w:rPr>
            </w:pPr>
            <w:r>
              <w:rPr>
                <w:rStyle w:val="CharacterStyle6"/>
              </w:rPr>
              <w:t>700,00</w:t>
            </w:r>
          </w:p>
        </w:tc>
        <w:tc>
          <w:tcPr>
            <w:tcW w:w="1395" w:type="dxa"/>
            <w:tcBorders>
              <w:bottom w:val="single" w:sz="6" w:space="0" w:color="000000"/>
              <w:right w:val="single" w:sz="6" w:space="0" w:color="000000"/>
            </w:tcBorders>
            <w:vAlign w:val="center"/>
          </w:tcPr>
          <w:p w14:paraId="64CA516A" w14:textId="77777777" w:rsidR="007D706A" w:rsidRDefault="007D706A" w:rsidP="00F70508">
            <w:pPr>
              <w:pStyle w:val="ParagraphStyle6"/>
              <w:rPr>
                <w:rStyle w:val="CharacterStyle6"/>
              </w:rPr>
            </w:pPr>
            <w:r>
              <w:rPr>
                <w:rStyle w:val="CharacterStyle6"/>
              </w:rPr>
              <w:t>728,00</w:t>
            </w:r>
          </w:p>
        </w:tc>
        <w:tc>
          <w:tcPr>
            <w:tcW w:w="1395" w:type="dxa"/>
            <w:tcBorders>
              <w:bottom w:val="single" w:sz="6" w:space="0" w:color="000000"/>
              <w:right w:val="single" w:sz="6" w:space="0" w:color="000000"/>
            </w:tcBorders>
            <w:vAlign w:val="center"/>
          </w:tcPr>
          <w:p w14:paraId="40A23170" w14:textId="77777777" w:rsidR="007D706A" w:rsidRDefault="007D706A" w:rsidP="00F70508">
            <w:pPr>
              <w:pStyle w:val="ParagraphStyle6"/>
              <w:rPr>
                <w:rStyle w:val="CharacterStyle6"/>
              </w:rPr>
            </w:pPr>
            <w:r>
              <w:rPr>
                <w:rStyle w:val="CharacterStyle6"/>
              </w:rPr>
              <w:t>735,00</w:t>
            </w:r>
          </w:p>
        </w:tc>
      </w:tr>
      <w:tr w:rsidR="007D706A" w14:paraId="47C777D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9C964F1"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6E32683C"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1ED5BB36"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87BD260" w14:textId="77777777" w:rsidR="007D706A" w:rsidRDefault="007D706A" w:rsidP="00F70508">
            <w:pPr>
              <w:pStyle w:val="ParagraphStyle9"/>
              <w:rPr>
                <w:rStyle w:val="CharacterStyle9"/>
              </w:rPr>
            </w:pPr>
            <w:r>
              <w:rPr>
                <w:rStyle w:val="CharacterStyle9"/>
              </w:rPr>
              <w:t>700,00</w:t>
            </w:r>
          </w:p>
        </w:tc>
        <w:tc>
          <w:tcPr>
            <w:tcW w:w="1395" w:type="dxa"/>
            <w:tcBorders>
              <w:bottom w:val="single" w:sz="6" w:space="0" w:color="000000"/>
              <w:right w:val="single" w:sz="6" w:space="0" w:color="000000"/>
            </w:tcBorders>
            <w:vAlign w:val="center"/>
          </w:tcPr>
          <w:p w14:paraId="1142527E" w14:textId="77777777" w:rsidR="007D706A" w:rsidRDefault="007D706A" w:rsidP="00F70508">
            <w:pPr>
              <w:pStyle w:val="ParagraphStyle9"/>
              <w:rPr>
                <w:rStyle w:val="CharacterStyle9"/>
              </w:rPr>
            </w:pPr>
            <w:r>
              <w:rPr>
                <w:rStyle w:val="CharacterStyle9"/>
              </w:rPr>
              <w:t>700,00</w:t>
            </w:r>
          </w:p>
        </w:tc>
        <w:tc>
          <w:tcPr>
            <w:tcW w:w="1395" w:type="dxa"/>
            <w:tcBorders>
              <w:bottom w:val="single" w:sz="6" w:space="0" w:color="000000"/>
              <w:right w:val="single" w:sz="6" w:space="0" w:color="000000"/>
            </w:tcBorders>
            <w:vAlign w:val="center"/>
          </w:tcPr>
          <w:p w14:paraId="3863664B" w14:textId="77777777" w:rsidR="007D706A" w:rsidRDefault="007D706A" w:rsidP="00F70508">
            <w:pPr>
              <w:pStyle w:val="ParagraphStyle9"/>
              <w:rPr>
                <w:rStyle w:val="CharacterStyle9"/>
              </w:rPr>
            </w:pPr>
            <w:r>
              <w:rPr>
                <w:rStyle w:val="CharacterStyle9"/>
              </w:rPr>
              <w:t>728,00</w:t>
            </w:r>
          </w:p>
        </w:tc>
        <w:tc>
          <w:tcPr>
            <w:tcW w:w="1395" w:type="dxa"/>
            <w:tcBorders>
              <w:bottom w:val="single" w:sz="6" w:space="0" w:color="000000"/>
              <w:right w:val="single" w:sz="6" w:space="0" w:color="000000"/>
            </w:tcBorders>
            <w:vAlign w:val="center"/>
          </w:tcPr>
          <w:p w14:paraId="58581FC4" w14:textId="77777777" w:rsidR="007D706A" w:rsidRDefault="007D706A" w:rsidP="00F70508">
            <w:pPr>
              <w:pStyle w:val="ParagraphStyle9"/>
              <w:rPr>
                <w:rStyle w:val="CharacterStyle9"/>
              </w:rPr>
            </w:pPr>
            <w:r>
              <w:rPr>
                <w:rStyle w:val="CharacterStyle9"/>
              </w:rPr>
              <w:t>735,00</w:t>
            </w:r>
          </w:p>
        </w:tc>
      </w:tr>
      <w:tr w:rsidR="007D706A" w14:paraId="03A9CAA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A4D8AE9"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1BD6E6A3"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1E5AB47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8C9E404" w14:textId="77777777" w:rsidR="007D706A" w:rsidRDefault="007D706A" w:rsidP="00F70508">
            <w:pPr>
              <w:pStyle w:val="ParagraphStyle12"/>
              <w:rPr>
                <w:rStyle w:val="CharacterStyle12"/>
              </w:rPr>
            </w:pPr>
            <w:r>
              <w:rPr>
                <w:rStyle w:val="CharacterStyle12"/>
              </w:rPr>
              <w:t>700,00</w:t>
            </w:r>
          </w:p>
        </w:tc>
        <w:tc>
          <w:tcPr>
            <w:tcW w:w="1395" w:type="dxa"/>
            <w:tcBorders>
              <w:bottom w:val="single" w:sz="6" w:space="0" w:color="000000"/>
              <w:right w:val="single" w:sz="6" w:space="0" w:color="000000"/>
            </w:tcBorders>
            <w:vAlign w:val="center"/>
          </w:tcPr>
          <w:p w14:paraId="143D3C6E" w14:textId="77777777" w:rsidR="007D706A" w:rsidRDefault="007D706A" w:rsidP="00F70508">
            <w:pPr>
              <w:pStyle w:val="ParagraphStyle12"/>
              <w:rPr>
                <w:rStyle w:val="CharacterStyle12"/>
              </w:rPr>
            </w:pPr>
            <w:r>
              <w:rPr>
                <w:rStyle w:val="CharacterStyle12"/>
              </w:rPr>
              <w:t>700,00</w:t>
            </w:r>
          </w:p>
        </w:tc>
        <w:tc>
          <w:tcPr>
            <w:tcW w:w="1395" w:type="dxa"/>
            <w:tcBorders>
              <w:bottom w:val="single" w:sz="6" w:space="0" w:color="000000"/>
              <w:right w:val="single" w:sz="6" w:space="0" w:color="000000"/>
            </w:tcBorders>
            <w:vAlign w:val="center"/>
          </w:tcPr>
          <w:p w14:paraId="0C440CAC" w14:textId="77777777" w:rsidR="007D706A" w:rsidRDefault="007D706A" w:rsidP="00F70508">
            <w:pPr>
              <w:pStyle w:val="ParagraphStyle12"/>
              <w:rPr>
                <w:rStyle w:val="CharacterStyle12"/>
              </w:rPr>
            </w:pPr>
            <w:r>
              <w:rPr>
                <w:rStyle w:val="CharacterStyle12"/>
              </w:rPr>
              <w:t>728,00</w:t>
            </w:r>
          </w:p>
        </w:tc>
        <w:tc>
          <w:tcPr>
            <w:tcW w:w="1395" w:type="dxa"/>
            <w:tcBorders>
              <w:bottom w:val="single" w:sz="6" w:space="0" w:color="000000"/>
              <w:right w:val="single" w:sz="6" w:space="0" w:color="000000"/>
            </w:tcBorders>
            <w:vAlign w:val="center"/>
          </w:tcPr>
          <w:p w14:paraId="29A6EB9E" w14:textId="77777777" w:rsidR="007D706A" w:rsidRDefault="007D706A" w:rsidP="00F70508">
            <w:pPr>
              <w:pStyle w:val="ParagraphStyle12"/>
              <w:rPr>
                <w:rStyle w:val="CharacterStyle12"/>
              </w:rPr>
            </w:pPr>
            <w:r>
              <w:rPr>
                <w:rStyle w:val="CharacterStyle12"/>
              </w:rPr>
              <w:t>735,00</w:t>
            </w:r>
          </w:p>
        </w:tc>
      </w:tr>
      <w:tr w:rsidR="007D706A" w14:paraId="7ED5930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3D0B36D"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18802402"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06F2182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09639B6" w14:textId="77777777" w:rsidR="007D706A" w:rsidRDefault="007D706A" w:rsidP="00F70508">
            <w:pPr>
              <w:pStyle w:val="ParagraphStyle12"/>
              <w:rPr>
                <w:rStyle w:val="CharacterStyle12"/>
              </w:rPr>
            </w:pPr>
            <w:r>
              <w:rPr>
                <w:rStyle w:val="CharacterStyle12"/>
              </w:rPr>
              <w:t>700,00</w:t>
            </w:r>
          </w:p>
        </w:tc>
        <w:tc>
          <w:tcPr>
            <w:tcW w:w="1395" w:type="dxa"/>
            <w:tcBorders>
              <w:bottom w:val="single" w:sz="6" w:space="0" w:color="000000"/>
              <w:right w:val="single" w:sz="6" w:space="0" w:color="000000"/>
            </w:tcBorders>
            <w:vAlign w:val="center"/>
          </w:tcPr>
          <w:p w14:paraId="6E30B9E8" w14:textId="77777777" w:rsidR="007D706A" w:rsidRDefault="007D706A" w:rsidP="00F70508">
            <w:pPr>
              <w:pStyle w:val="ParagraphStyle12"/>
              <w:rPr>
                <w:rStyle w:val="CharacterStyle12"/>
              </w:rPr>
            </w:pPr>
            <w:r>
              <w:rPr>
                <w:rStyle w:val="CharacterStyle12"/>
              </w:rPr>
              <w:t>700,00</w:t>
            </w:r>
          </w:p>
        </w:tc>
        <w:tc>
          <w:tcPr>
            <w:tcW w:w="1395" w:type="dxa"/>
            <w:tcBorders>
              <w:bottom w:val="single" w:sz="6" w:space="0" w:color="000000"/>
              <w:right w:val="single" w:sz="6" w:space="0" w:color="000000"/>
            </w:tcBorders>
            <w:vAlign w:val="center"/>
          </w:tcPr>
          <w:p w14:paraId="5E58DB5C" w14:textId="77777777" w:rsidR="007D706A" w:rsidRDefault="007D706A" w:rsidP="00F70508">
            <w:pPr>
              <w:pStyle w:val="ParagraphStyle12"/>
              <w:rPr>
                <w:rStyle w:val="CharacterStyle12"/>
              </w:rPr>
            </w:pPr>
            <w:r>
              <w:rPr>
                <w:rStyle w:val="CharacterStyle12"/>
              </w:rPr>
              <w:t>728,00</w:t>
            </w:r>
          </w:p>
        </w:tc>
        <w:tc>
          <w:tcPr>
            <w:tcW w:w="1395" w:type="dxa"/>
            <w:tcBorders>
              <w:bottom w:val="single" w:sz="6" w:space="0" w:color="000000"/>
              <w:right w:val="single" w:sz="6" w:space="0" w:color="000000"/>
            </w:tcBorders>
            <w:vAlign w:val="center"/>
          </w:tcPr>
          <w:p w14:paraId="11E44FC9" w14:textId="77777777" w:rsidR="007D706A" w:rsidRDefault="007D706A" w:rsidP="00F70508">
            <w:pPr>
              <w:pStyle w:val="ParagraphStyle12"/>
              <w:rPr>
                <w:rStyle w:val="CharacterStyle12"/>
              </w:rPr>
            </w:pPr>
            <w:r>
              <w:rPr>
                <w:rStyle w:val="CharacterStyle12"/>
              </w:rPr>
              <w:t>735,00</w:t>
            </w:r>
          </w:p>
        </w:tc>
      </w:tr>
      <w:tr w:rsidR="007D706A" w14:paraId="5D2D6B0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2777366" w14:textId="77777777" w:rsidR="007D706A" w:rsidRDefault="007D706A" w:rsidP="00F70508">
            <w:pPr>
              <w:pStyle w:val="ParagraphStyle4"/>
              <w:rPr>
                <w:rStyle w:val="CharacterStyle4"/>
              </w:rPr>
            </w:pPr>
            <w:r>
              <w:rPr>
                <w:rStyle w:val="CharacterStyle4"/>
              </w:rPr>
              <w:t>Kapitalni projekt K103606</w:t>
            </w:r>
          </w:p>
        </w:tc>
        <w:tc>
          <w:tcPr>
            <w:tcW w:w="4995" w:type="dxa"/>
            <w:tcBorders>
              <w:bottom w:val="single" w:sz="6" w:space="0" w:color="000000"/>
              <w:right w:val="single" w:sz="6" w:space="0" w:color="000000"/>
            </w:tcBorders>
            <w:vAlign w:val="center"/>
          </w:tcPr>
          <w:p w14:paraId="1B92FEE0" w14:textId="77777777" w:rsidR="007D706A" w:rsidRDefault="007D706A" w:rsidP="00F70508">
            <w:pPr>
              <w:pStyle w:val="ParagraphStyle5"/>
              <w:rPr>
                <w:rStyle w:val="CharacterStyle5"/>
              </w:rPr>
            </w:pPr>
            <w:r>
              <w:rPr>
                <w:rStyle w:val="CharacterStyle5"/>
              </w:rPr>
              <w:t>NABAVA ŠKOLSKIH UDŽBENIKA</w:t>
            </w:r>
          </w:p>
        </w:tc>
        <w:tc>
          <w:tcPr>
            <w:tcW w:w="1395" w:type="dxa"/>
            <w:tcBorders>
              <w:bottom w:val="single" w:sz="6" w:space="0" w:color="000000"/>
              <w:right w:val="single" w:sz="6" w:space="0" w:color="000000"/>
            </w:tcBorders>
            <w:vAlign w:val="center"/>
          </w:tcPr>
          <w:p w14:paraId="7148A3A6"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0ABB1410" w14:textId="77777777" w:rsidR="007D706A" w:rsidRDefault="007D706A" w:rsidP="00F70508">
            <w:pPr>
              <w:pStyle w:val="ParagraphStyle6"/>
              <w:rPr>
                <w:rStyle w:val="CharacterStyle6"/>
              </w:rPr>
            </w:pPr>
            <w:r>
              <w:rPr>
                <w:rStyle w:val="CharacterStyle6"/>
              </w:rPr>
              <w:t>26.000,00</w:t>
            </w:r>
          </w:p>
        </w:tc>
        <w:tc>
          <w:tcPr>
            <w:tcW w:w="1395" w:type="dxa"/>
            <w:tcBorders>
              <w:bottom w:val="single" w:sz="6" w:space="0" w:color="000000"/>
              <w:right w:val="single" w:sz="6" w:space="0" w:color="000000"/>
            </w:tcBorders>
            <w:vAlign w:val="center"/>
          </w:tcPr>
          <w:p w14:paraId="45FD6DEC" w14:textId="77777777" w:rsidR="007D706A" w:rsidRDefault="007D706A" w:rsidP="00F70508">
            <w:pPr>
              <w:pStyle w:val="ParagraphStyle6"/>
              <w:rPr>
                <w:rStyle w:val="CharacterStyle6"/>
              </w:rPr>
            </w:pPr>
            <w:r>
              <w:rPr>
                <w:rStyle w:val="CharacterStyle6"/>
              </w:rPr>
              <w:t>25.000,00</w:t>
            </w:r>
          </w:p>
        </w:tc>
        <w:tc>
          <w:tcPr>
            <w:tcW w:w="1395" w:type="dxa"/>
            <w:tcBorders>
              <w:bottom w:val="single" w:sz="6" w:space="0" w:color="000000"/>
              <w:right w:val="single" w:sz="6" w:space="0" w:color="000000"/>
            </w:tcBorders>
            <w:vAlign w:val="center"/>
          </w:tcPr>
          <w:p w14:paraId="266ED4D9" w14:textId="77777777" w:rsidR="007D706A" w:rsidRDefault="007D706A" w:rsidP="00F70508">
            <w:pPr>
              <w:pStyle w:val="ParagraphStyle6"/>
              <w:rPr>
                <w:rStyle w:val="CharacterStyle6"/>
              </w:rPr>
            </w:pPr>
            <w:r>
              <w:rPr>
                <w:rStyle w:val="CharacterStyle6"/>
              </w:rPr>
              <w:t>26.000,00</w:t>
            </w:r>
          </w:p>
        </w:tc>
        <w:tc>
          <w:tcPr>
            <w:tcW w:w="1395" w:type="dxa"/>
            <w:tcBorders>
              <w:bottom w:val="single" w:sz="6" w:space="0" w:color="000000"/>
              <w:right w:val="single" w:sz="6" w:space="0" w:color="000000"/>
            </w:tcBorders>
            <w:vAlign w:val="center"/>
          </w:tcPr>
          <w:p w14:paraId="04E841B5" w14:textId="77777777" w:rsidR="007D706A" w:rsidRDefault="007D706A" w:rsidP="00F70508">
            <w:pPr>
              <w:pStyle w:val="ParagraphStyle6"/>
              <w:rPr>
                <w:rStyle w:val="CharacterStyle6"/>
              </w:rPr>
            </w:pPr>
            <w:r>
              <w:rPr>
                <w:rStyle w:val="CharacterStyle6"/>
              </w:rPr>
              <w:t>26.260,00</w:t>
            </w:r>
          </w:p>
        </w:tc>
      </w:tr>
      <w:tr w:rsidR="007D706A" w14:paraId="76C9317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2710208" w14:textId="77777777" w:rsidR="007D706A" w:rsidRDefault="007D706A" w:rsidP="00F70508">
            <w:pPr>
              <w:pStyle w:val="ParagraphStyle7"/>
              <w:rPr>
                <w:rStyle w:val="CharacterStyle7"/>
              </w:rPr>
            </w:pPr>
            <w:r>
              <w:rPr>
                <w:rStyle w:val="CharacterStyle7"/>
              </w:rPr>
              <w:t>Izvor financiranja 50</w:t>
            </w:r>
          </w:p>
        </w:tc>
        <w:tc>
          <w:tcPr>
            <w:tcW w:w="4995" w:type="dxa"/>
            <w:tcBorders>
              <w:bottom w:val="single" w:sz="6" w:space="0" w:color="000000"/>
              <w:right w:val="single" w:sz="6" w:space="0" w:color="000000"/>
            </w:tcBorders>
            <w:vAlign w:val="center"/>
          </w:tcPr>
          <w:p w14:paraId="3467AFBE" w14:textId="77777777" w:rsidR="007D706A" w:rsidRDefault="007D706A" w:rsidP="00F70508">
            <w:pPr>
              <w:pStyle w:val="ParagraphStyle8"/>
              <w:rPr>
                <w:rStyle w:val="CharacterStyle8"/>
              </w:rPr>
            </w:pPr>
            <w:r>
              <w:rPr>
                <w:rStyle w:val="CharacterStyle8"/>
              </w:rPr>
              <w:t>Pomoći iz državnog proračuna</w:t>
            </w:r>
          </w:p>
        </w:tc>
        <w:tc>
          <w:tcPr>
            <w:tcW w:w="1395" w:type="dxa"/>
            <w:tcBorders>
              <w:bottom w:val="single" w:sz="6" w:space="0" w:color="000000"/>
              <w:right w:val="single" w:sz="6" w:space="0" w:color="000000"/>
            </w:tcBorders>
            <w:vAlign w:val="center"/>
          </w:tcPr>
          <w:p w14:paraId="08CDE6C4"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E1A9F67"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E622715" w14:textId="77777777" w:rsidR="007D706A" w:rsidRDefault="007D706A" w:rsidP="00F70508">
            <w:pPr>
              <w:pStyle w:val="ParagraphStyle9"/>
              <w:rPr>
                <w:rStyle w:val="CharacterStyle9"/>
              </w:rPr>
            </w:pPr>
            <w:r>
              <w:rPr>
                <w:rStyle w:val="CharacterStyle9"/>
              </w:rPr>
              <w:t>25.000,00</w:t>
            </w:r>
          </w:p>
        </w:tc>
        <w:tc>
          <w:tcPr>
            <w:tcW w:w="1395" w:type="dxa"/>
            <w:tcBorders>
              <w:bottom w:val="single" w:sz="6" w:space="0" w:color="000000"/>
              <w:right w:val="single" w:sz="6" w:space="0" w:color="000000"/>
            </w:tcBorders>
            <w:vAlign w:val="center"/>
          </w:tcPr>
          <w:p w14:paraId="56822359" w14:textId="77777777" w:rsidR="007D706A" w:rsidRDefault="007D706A" w:rsidP="00F70508">
            <w:pPr>
              <w:pStyle w:val="ParagraphStyle9"/>
              <w:rPr>
                <w:rStyle w:val="CharacterStyle9"/>
              </w:rPr>
            </w:pPr>
            <w:r>
              <w:rPr>
                <w:rStyle w:val="CharacterStyle9"/>
              </w:rPr>
              <w:t>26.000,00</w:t>
            </w:r>
          </w:p>
        </w:tc>
        <w:tc>
          <w:tcPr>
            <w:tcW w:w="1395" w:type="dxa"/>
            <w:tcBorders>
              <w:bottom w:val="single" w:sz="6" w:space="0" w:color="000000"/>
              <w:right w:val="single" w:sz="6" w:space="0" w:color="000000"/>
            </w:tcBorders>
            <w:vAlign w:val="center"/>
          </w:tcPr>
          <w:p w14:paraId="5992FB8D" w14:textId="77777777" w:rsidR="007D706A" w:rsidRDefault="007D706A" w:rsidP="00F70508">
            <w:pPr>
              <w:pStyle w:val="ParagraphStyle9"/>
              <w:rPr>
                <w:rStyle w:val="CharacterStyle9"/>
              </w:rPr>
            </w:pPr>
            <w:r>
              <w:rPr>
                <w:rStyle w:val="CharacterStyle9"/>
              </w:rPr>
              <w:t>26.260,00</w:t>
            </w:r>
          </w:p>
        </w:tc>
      </w:tr>
      <w:tr w:rsidR="007D706A" w14:paraId="130E532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F7C0CAF"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74FF56AF"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02AD71D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2F5C92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A33D5C3" w14:textId="77777777" w:rsidR="007D706A" w:rsidRDefault="007D706A" w:rsidP="00F70508">
            <w:pPr>
              <w:pStyle w:val="ParagraphStyle12"/>
              <w:rPr>
                <w:rStyle w:val="CharacterStyle12"/>
              </w:rPr>
            </w:pPr>
            <w:r>
              <w:rPr>
                <w:rStyle w:val="CharacterStyle12"/>
              </w:rPr>
              <w:t>25.000,00</w:t>
            </w:r>
          </w:p>
        </w:tc>
        <w:tc>
          <w:tcPr>
            <w:tcW w:w="1395" w:type="dxa"/>
            <w:tcBorders>
              <w:bottom w:val="single" w:sz="6" w:space="0" w:color="000000"/>
              <w:right w:val="single" w:sz="6" w:space="0" w:color="000000"/>
            </w:tcBorders>
            <w:vAlign w:val="center"/>
          </w:tcPr>
          <w:p w14:paraId="719C6178" w14:textId="77777777" w:rsidR="007D706A" w:rsidRDefault="007D706A" w:rsidP="00F70508">
            <w:pPr>
              <w:pStyle w:val="ParagraphStyle12"/>
              <w:rPr>
                <w:rStyle w:val="CharacterStyle12"/>
              </w:rPr>
            </w:pPr>
            <w:r>
              <w:rPr>
                <w:rStyle w:val="CharacterStyle12"/>
              </w:rPr>
              <w:t>26.000,00</w:t>
            </w:r>
          </w:p>
        </w:tc>
        <w:tc>
          <w:tcPr>
            <w:tcW w:w="1395" w:type="dxa"/>
            <w:tcBorders>
              <w:bottom w:val="single" w:sz="6" w:space="0" w:color="000000"/>
              <w:right w:val="single" w:sz="6" w:space="0" w:color="000000"/>
            </w:tcBorders>
            <w:vAlign w:val="center"/>
          </w:tcPr>
          <w:p w14:paraId="17542B50" w14:textId="77777777" w:rsidR="007D706A" w:rsidRDefault="007D706A" w:rsidP="00F70508">
            <w:pPr>
              <w:pStyle w:val="ParagraphStyle12"/>
              <w:rPr>
                <w:rStyle w:val="CharacterStyle12"/>
              </w:rPr>
            </w:pPr>
            <w:r>
              <w:rPr>
                <w:rStyle w:val="CharacterStyle12"/>
              </w:rPr>
              <w:t>26.260,00</w:t>
            </w:r>
          </w:p>
        </w:tc>
      </w:tr>
      <w:tr w:rsidR="007D706A" w14:paraId="6B8C508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7982C99" w14:textId="77777777" w:rsidR="007D706A" w:rsidRDefault="007D706A" w:rsidP="00F70508">
            <w:pPr>
              <w:pStyle w:val="ParagraphStyle10"/>
              <w:rPr>
                <w:rStyle w:val="CharacterStyle10"/>
              </w:rPr>
            </w:pPr>
            <w:r>
              <w:rPr>
                <w:rStyle w:val="CharacterStyle10"/>
              </w:rPr>
              <w:t>42</w:t>
            </w:r>
          </w:p>
        </w:tc>
        <w:tc>
          <w:tcPr>
            <w:tcW w:w="4995" w:type="dxa"/>
            <w:tcBorders>
              <w:bottom w:val="single" w:sz="6" w:space="0" w:color="000000"/>
              <w:right w:val="single" w:sz="6" w:space="0" w:color="000000"/>
            </w:tcBorders>
            <w:vAlign w:val="center"/>
          </w:tcPr>
          <w:p w14:paraId="13F3BCFB"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08A5A30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56C261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0FD7B46" w14:textId="77777777" w:rsidR="007D706A" w:rsidRDefault="007D706A" w:rsidP="00F70508">
            <w:pPr>
              <w:pStyle w:val="ParagraphStyle12"/>
              <w:rPr>
                <w:rStyle w:val="CharacterStyle12"/>
              </w:rPr>
            </w:pPr>
            <w:r>
              <w:rPr>
                <w:rStyle w:val="CharacterStyle12"/>
              </w:rPr>
              <w:t>25.000,00</w:t>
            </w:r>
          </w:p>
        </w:tc>
        <w:tc>
          <w:tcPr>
            <w:tcW w:w="1395" w:type="dxa"/>
            <w:tcBorders>
              <w:bottom w:val="single" w:sz="6" w:space="0" w:color="000000"/>
              <w:right w:val="single" w:sz="6" w:space="0" w:color="000000"/>
            </w:tcBorders>
            <w:vAlign w:val="center"/>
          </w:tcPr>
          <w:p w14:paraId="076EF424" w14:textId="77777777" w:rsidR="007D706A" w:rsidRDefault="007D706A" w:rsidP="00F70508">
            <w:pPr>
              <w:pStyle w:val="ParagraphStyle12"/>
              <w:rPr>
                <w:rStyle w:val="CharacterStyle12"/>
              </w:rPr>
            </w:pPr>
            <w:r>
              <w:rPr>
                <w:rStyle w:val="CharacterStyle12"/>
              </w:rPr>
              <w:t>26.000,00</w:t>
            </w:r>
          </w:p>
        </w:tc>
        <w:tc>
          <w:tcPr>
            <w:tcW w:w="1395" w:type="dxa"/>
            <w:tcBorders>
              <w:bottom w:val="single" w:sz="6" w:space="0" w:color="000000"/>
              <w:right w:val="single" w:sz="6" w:space="0" w:color="000000"/>
            </w:tcBorders>
            <w:vAlign w:val="center"/>
          </w:tcPr>
          <w:p w14:paraId="4698B609" w14:textId="77777777" w:rsidR="007D706A" w:rsidRDefault="007D706A" w:rsidP="00F70508">
            <w:pPr>
              <w:pStyle w:val="ParagraphStyle12"/>
              <w:rPr>
                <w:rStyle w:val="CharacterStyle12"/>
              </w:rPr>
            </w:pPr>
            <w:r>
              <w:rPr>
                <w:rStyle w:val="CharacterStyle12"/>
              </w:rPr>
              <w:t>26.260,00</w:t>
            </w:r>
          </w:p>
        </w:tc>
      </w:tr>
      <w:tr w:rsidR="007D706A" w14:paraId="3C7C27A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0F971E2" w14:textId="77777777" w:rsidR="007D706A" w:rsidRDefault="007D706A" w:rsidP="00F70508">
            <w:pPr>
              <w:pStyle w:val="ParagraphStyle7"/>
              <w:rPr>
                <w:rStyle w:val="CharacterStyle7"/>
              </w:rPr>
            </w:pPr>
            <w:r>
              <w:rPr>
                <w:rStyle w:val="CharacterStyle7"/>
              </w:rPr>
              <w:t>Izvor financiranja 53</w:t>
            </w:r>
          </w:p>
        </w:tc>
        <w:tc>
          <w:tcPr>
            <w:tcW w:w="4995" w:type="dxa"/>
            <w:tcBorders>
              <w:bottom w:val="single" w:sz="6" w:space="0" w:color="000000"/>
              <w:right w:val="single" w:sz="6" w:space="0" w:color="000000"/>
            </w:tcBorders>
            <w:vAlign w:val="center"/>
          </w:tcPr>
          <w:p w14:paraId="7C9298E1" w14:textId="77777777" w:rsidR="007D706A" w:rsidRDefault="007D706A" w:rsidP="00F70508">
            <w:pPr>
              <w:pStyle w:val="ParagraphStyle8"/>
              <w:rPr>
                <w:rStyle w:val="CharacterStyle8"/>
              </w:rPr>
            </w:pPr>
            <w:r>
              <w:rPr>
                <w:rStyle w:val="CharacterStyle8"/>
              </w:rPr>
              <w:t>Proračuni, drugi nivoi - za posebne i / ili ugovorene namjene</w:t>
            </w:r>
          </w:p>
        </w:tc>
        <w:tc>
          <w:tcPr>
            <w:tcW w:w="1395" w:type="dxa"/>
            <w:tcBorders>
              <w:bottom w:val="single" w:sz="6" w:space="0" w:color="000000"/>
              <w:right w:val="single" w:sz="6" w:space="0" w:color="000000"/>
            </w:tcBorders>
            <w:vAlign w:val="center"/>
          </w:tcPr>
          <w:p w14:paraId="1EFFEF45"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B8AEEED" w14:textId="77777777" w:rsidR="007D706A" w:rsidRDefault="007D706A" w:rsidP="00F70508">
            <w:pPr>
              <w:pStyle w:val="ParagraphStyle9"/>
              <w:rPr>
                <w:rStyle w:val="CharacterStyle9"/>
              </w:rPr>
            </w:pPr>
            <w:r>
              <w:rPr>
                <w:rStyle w:val="CharacterStyle9"/>
              </w:rPr>
              <w:t>26.000,00</w:t>
            </w:r>
          </w:p>
        </w:tc>
        <w:tc>
          <w:tcPr>
            <w:tcW w:w="1395" w:type="dxa"/>
            <w:tcBorders>
              <w:bottom w:val="single" w:sz="6" w:space="0" w:color="000000"/>
              <w:right w:val="single" w:sz="6" w:space="0" w:color="000000"/>
            </w:tcBorders>
            <w:vAlign w:val="center"/>
          </w:tcPr>
          <w:p w14:paraId="7BFCD129"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CF114A5"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7B1D66F" w14:textId="77777777" w:rsidR="007D706A" w:rsidRDefault="007D706A" w:rsidP="00F70508">
            <w:pPr>
              <w:pStyle w:val="ParagraphStyle9"/>
              <w:rPr>
                <w:rStyle w:val="CharacterStyle9"/>
              </w:rPr>
            </w:pPr>
            <w:r>
              <w:rPr>
                <w:rStyle w:val="CharacterStyle9"/>
              </w:rPr>
              <w:t>0,00</w:t>
            </w:r>
          </w:p>
        </w:tc>
      </w:tr>
      <w:tr w:rsidR="007D706A" w14:paraId="091C36E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20A2EE1"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5BB50EDB"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4C07CC5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236FBD9" w14:textId="77777777" w:rsidR="007D706A" w:rsidRDefault="007D706A" w:rsidP="00F70508">
            <w:pPr>
              <w:pStyle w:val="ParagraphStyle12"/>
              <w:rPr>
                <w:rStyle w:val="CharacterStyle12"/>
              </w:rPr>
            </w:pPr>
            <w:r>
              <w:rPr>
                <w:rStyle w:val="CharacterStyle12"/>
              </w:rPr>
              <w:t>26.000,00</w:t>
            </w:r>
          </w:p>
        </w:tc>
        <w:tc>
          <w:tcPr>
            <w:tcW w:w="1395" w:type="dxa"/>
            <w:tcBorders>
              <w:bottom w:val="single" w:sz="6" w:space="0" w:color="000000"/>
              <w:right w:val="single" w:sz="6" w:space="0" w:color="000000"/>
            </w:tcBorders>
            <w:vAlign w:val="center"/>
          </w:tcPr>
          <w:p w14:paraId="7268904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0746CA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D783F2A" w14:textId="77777777" w:rsidR="007D706A" w:rsidRDefault="007D706A" w:rsidP="00F70508">
            <w:pPr>
              <w:pStyle w:val="ParagraphStyle12"/>
              <w:rPr>
                <w:rStyle w:val="CharacterStyle12"/>
              </w:rPr>
            </w:pPr>
            <w:r>
              <w:rPr>
                <w:rStyle w:val="CharacterStyle12"/>
              </w:rPr>
              <w:t>0,00</w:t>
            </w:r>
          </w:p>
        </w:tc>
      </w:tr>
      <w:tr w:rsidR="007D706A" w14:paraId="28A2B30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A7407EE" w14:textId="77777777" w:rsidR="007D706A" w:rsidRDefault="007D706A" w:rsidP="00F70508">
            <w:pPr>
              <w:pStyle w:val="ParagraphStyle10"/>
              <w:rPr>
                <w:rStyle w:val="CharacterStyle10"/>
              </w:rPr>
            </w:pPr>
            <w:r>
              <w:rPr>
                <w:rStyle w:val="CharacterStyle10"/>
              </w:rPr>
              <w:t>42</w:t>
            </w:r>
          </w:p>
        </w:tc>
        <w:tc>
          <w:tcPr>
            <w:tcW w:w="4995" w:type="dxa"/>
            <w:tcBorders>
              <w:bottom w:val="single" w:sz="6" w:space="0" w:color="000000"/>
              <w:right w:val="single" w:sz="6" w:space="0" w:color="000000"/>
            </w:tcBorders>
            <w:vAlign w:val="center"/>
          </w:tcPr>
          <w:p w14:paraId="7060E32A"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4FF7BAD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DC6C7CD" w14:textId="77777777" w:rsidR="007D706A" w:rsidRDefault="007D706A" w:rsidP="00F70508">
            <w:pPr>
              <w:pStyle w:val="ParagraphStyle12"/>
              <w:rPr>
                <w:rStyle w:val="CharacterStyle12"/>
              </w:rPr>
            </w:pPr>
            <w:r>
              <w:rPr>
                <w:rStyle w:val="CharacterStyle12"/>
              </w:rPr>
              <w:t>26.000,00</w:t>
            </w:r>
          </w:p>
        </w:tc>
        <w:tc>
          <w:tcPr>
            <w:tcW w:w="1395" w:type="dxa"/>
            <w:tcBorders>
              <w:bottom w:val="single" w:sz="6" w:space="0" w:color="000000"/>
              <w:right w:val="single" w:sz="6" w:space="0" w:color="000000"/>
            </w:tcBorders>
            <w:vAlign w:val="center"/>
          </w:tcPr>
          <w:p w14:paraId="7DEC088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310AD1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1CE0BAD" w14:textId="77777777" w:rsidR="007D706A" w:rsidRDefault="007D706A" w:rsidP="00F70508">
            <w:pPr>
              <w:pStyle w:val="ParagraphStyle12"/>
              <w:rPr>
                <w:rStyle w:val="CharacterStyle12"/>
              </w:rPr>
            </w:pPr>
            <w:r>
              <w:rPr>
                <w:rStyle w:val="CharacterStyle12"/>
              </w:rPr>
              <w:t>0,00</w:t>
            </w:r>
          </w:p>
        </w:tc>
      </w:tr>
      <w:tr w:rsidR="007D706A" w14:paraId="2B0A147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4BB02D1" w14:textId="77777777" w:rsidR="007D706A" w:rsidRDefault="007D706A" w:rsidP="00F70508">
            <w:pPr>
              <w:pStyle w:val="ParagraphStyle4"/>
              <w:rPr>
                <w:rStyle w:val="CharacterStyle4"/>
              </w:rPr>
            </w:pPr>
            <w:r>
              <w:rPr>
                <w:rStyle w:val="CharacterStyle4"/>
              </w:rPr>
              <w:t>Aktivnost A103631</w:t>
            </w:r>
          </w:p>
        </w:tc>
        <w:tc>
          <w:tcPr>
            <w:tcW w:w="4995" w:type="dxa"/>
            <w:tcBorders>
              <w:bottom w:val="single" w:sz="6" w:space="0" w:color="000000"/>
              <w:right w:val="single" w:sz="6" w:space="0" w:color="000000"/>
            </w:tcBorders>
            <w:vAlign w:val="center"/>
          </w:tcPr>
          <w:p w14:paraId="1567B54A" w14:textId="77777777" w:rsidR="007D706A" w:rsidRDefault="007D706A" w:rsidP="00F70508">
            <w:pPr>
              <w:pStyle w:val="ParagraphStyle5"/>
              <w:rPr>
                <w:rStyle w:val="CharacterStyle5"/>
              </w:rPr>
            </w:pPr>
            <w:r>
              <w:rPr>
                <w:rStyle w:val="CharacterStyle5"/>
              </w:rPr>
              <w:t>NABAVA RADNIH BILJEŽNICA</w:t>
            </w:r>
          </w:p>
        </w:tc>
        <w:tc>
          <w:tcPr>
            <w:tcW w:w="1395" w:type="dxa"/>
            <w:tcBorders>
              <w:bottom w:val="single" w:sz="6" w:space="0" w:color="000000"/>
              <w:right w:val="single" w:sz="6" w:space="0" w:color="000000"/>
            </w:tcBorders>
            <w:vAlign w:val="center"/>
          </w:tcPr>
          <w:p w14:paraId="46A2958C"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66500881" w14:textId="77777777" w:rsidR="007D706A" w:rsidRDefault="007D706A" w:rsidP="00F70508">
            <w:pPr>
              <w:pStyle w:val="ParagraphStyle6"/>
              <w:rPr>
                <w:rStyle w:val="CharacterStyle6"/>
              </w:rPr>
            </w:pPr>
            <w:r>
              <w:rPr>
                <w:rStyle w:val="CharacterStyle6"/>
              </w:rPr>
              <w:t>33.000,00</w:t>
            </w:r>
          </w:p>
        </w:tc>
        <w:tc>
          <w:tcPr>
            <w:tcW w:w="1395" w:type="dxa"/>
            <w:tcBorders>
              <w:bottom w:val="single" w:sz="6" w:space="0" w:color="000000"/>
              <w:right w:val="single" w:sz="6" w:space="0" w:color="000000"/>
            </w:tcBorders>
            <w:vAlign w:val="center"/>
          </w:tcPr>
          <w:p w14:paraId="2763253D" w14:textId="77777777" w:rsidR="007D706A" w:rsidRDefault="007D706A" w:rsidP="00F70508">
            <w:pPr>
              <w:pStyle w:val="ParagraphStyle6"/>
              <w:rPr>
                <w:rStyle w:val="CharacterStyle6"/>
              </w:rPr>
            </w:pPr>
            <w:r>
              <w:rPr>
                <w:rStyle w:val="CharacterStyle6"/>
              </w:rPr>
              <w:t>32.000,00</w:t>
            </w:r>
          </w:p>
        </w:tc>
        <w:tc>
          <w:tcPr>
            <w:tcW w:w="1395" w:type="dxa"/>
            <w:tcBorders>
              <w:bottom w:val="single" w:sz="6" w:space="0" w:color="000000"/>
              <w:right w:val="single" w:sz="6" w:space="0" w:color="000000"/>
            </w:tcBorders>
            <w:vAlign w:val="center"/>
          </w:tcPr>
          <w:p w14:paraId="21986FFA" w14:textId="77777777" w:rsidR="007D706A" w:rsidRDefault="007D706A" w:rsidP="00F70508">
            <w:pPr>
              <w:pStyle w:val="ParagraphStyle6"/>
              <w:rPr>
                <w:rStyle w:val="CharacterStyle6"/>
              </w:rPr>
            </w:pPr>
            <w:r>
              <w:rPr>
                <w:rStyle w:val="CharacterStyle6"/>
              </w:rPr>
              <w:t>33.280,00</w:t>
            </w:r>
          </w:p>
        </w:tc>
        <w:tc>
          <w:tcPr>
            <w:tcW w:w="1395" w:type="dxa"/>
            <w:tcBorders>
              <w:bottom w:val="single" w:sz="6" w:space="0" w:color="000000"/>
              <w:right w:val="single" w:sz="6" w:space="0" w:color="000000"/>
            </w:tcBorders>
            <w:vAlign w:val="center"/>
          </w:tcPr>
          <w:p w14:paraId="700C82FD" w14:textId="77777777" w:rsidR="007D706A" w:rsidRDefault="007D706A" w:rsidP="00F70508">
            <w:pPr>
              <w:pStyle w:val="ParagraphStyle6"/>
              <w:rPr>
                <w:rStyle w:val="CharacterStyle6"/>
              </w:rPr>
            </w:pPr>
            <w:r>
              <w:rPr>
                <w:rStyle w:val="CharacterStyle6"/>
              </w:rPr>
              <w:t>33.613,00</w:t>
            </w:r>
          </w:p>
        </w:tc>
      </w:tr>
      <w:tr w:rsidR="007D706A" w14:paraId="5140C7C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CBF7963"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18A09D3D"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64BCF191"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F8C41A9" w14:textId="77777777" w:rsidR="007D706A" w:rsidRDefault="007D706A" w:rsidP="00F70508">
            <w:pPr>
              <w:pStyle w:val="ParagraphStyle9"/>
              <w:rPr>
                <w:rStyle w:val="CharacterStyle9"/>
              </w:rPr>
            </w:pPr>
            <w:r>
              <w:rPr>
                <w:rStyle w:val="CharacterStyle9"/>
              </w:rPr>
              <w:t>32.500,00</w:t>
            </w:r>
          </w:p>
        </w:tc>
        <w:tc>
          <w:tcPr>
            <w:tcW w:w="1395" w:type="dxa"/>
            <w:tcBorders>
              <w:bottom w:val="single" w:sz="6" w:space="0" w:color="000000"/>
              <w:right w:val="single" w:sz="6" w:space="0" w:color="000000"/>
            </w:tcBorders>
            <w:vAlign w:val="center"/>
          </w:tcPr>
          <w:p w14:paraId="02BFBF26" w14:textId="77777777" w:rsidR="007D706A" w:rsidRDefault="007D706A" w:rsidP="00F70508">
            <w:pPr>
              <w:pStyle w:val="ParagraphStyle9"/>
              <w:rPr>
                <w:rStyle w:val="CharacterStyle9"/>
              </w:rPr>
            </w:pPr>
            <w:r>
              <w:rPr>
                <w:rStyle w:val="CharacterStyle9"/>
              </w:rPr>
              <w:t>31.500,00</w:t>
            </w:r>
          </w:p>
        </w:tc>
        <w:tc>
          <w:tcPr>
            <w:tcW w:w="1395" w:type="dxa"/>
            <w:tcBorders>
              <w:bottom w:val="single" w:sz="6" w:space="0" w:color="000000"/>
              <w:right w:val="single" w:sz="6" w:space="0" w:color="000000"/>
            </w:tcBorders>
            <w:vAlign w:val="center"/>
          </w:tcPr>
          <w:p w14:paraId="1114C49D" w14:textId="77777777" w:rsidR="007D706A" w:rsidRDefault="007D706A" w:rsidP="00F70508">
            <w:pPr>
              <w:pStyle w:val="ParagraphStyle9"/>
              <w:rPr>
                <w:rStyle w:val="CharacterStyle9"/>
              </w:rPr>
            </w:pPr>
            <w:r>
              <w:rPr>
                <w:rStyle w:val="CharacterStyle9"/>
              </w:rPr>
              <w:t>32.760,00</w:t>
            </w:r>
          </w:p>
        </w:tc>
        <w:tc>
          <w:tcPr>
            <w:tcW w:w="1395" w:type="dxa"/>
            <w:tcBorders>
              <w:bottom w:val="single" w:sz="6" w:space="0" w:color="000000"/>
              <w:right w:val="single" w:sz="6" w:space="0" w:color="000000"/>
            </w:tcBorders>
            <w:vAlign w:val="center"/>
          </w:tcPr>
          <w:p w14:paraId="64C76A2A" w14:textId="77777777" w:rsidR="007D706A" w:rsidRDefault="007D706A" w:rsidP="00F70508">
            <w:pPr>
              <w:pStyle w:val="ParagraphStyle9"/>
              <w:rPr>
                <w:rStyle w:val="CharacterStyle9"/>
              </w:rPr>
            </w:pPr>
            <w:r>
              <w:rPr>
                <w:rStyle w:val="CharacterStyle9"/>
              </w:rPr>
              <w:t>33.088,00</w:t>
            </w:r>
          </w:p>
        </w:tc>
      </w:tr>
      <w:tr w:rsidR="007D706A" w14:paraId="34E5A34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D3C835E"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55888CD5"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728F9F7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AE695FE" w14:textId="77777777" w:rsidR="007D706A" w:rsidRDefault="007D706A" w:rsidP="00F70508">
            <w:pPr>
              <w:pStyle w:val="ParagraphStyle12"/>
              <w:rPr>
                <w:rStyle w:val="CharacterStyle12"/>
              </w:rPr>
            </w:pPr>
            <w:r>
              <w:rPr>
                <w:rStyle w:val="CharacterStyle12"/>
              </w:rPr>
              <w:t>32.500,00</w:t>
            </w:r>
          </w:p>
        </w:tc>
        <w:tc>
          <w:tcPr>
            <w:tcW w:w="1395" w:type="dxa"/>
            <w:tcBorders>
              <w:bottom w:val="single" w:sz="6" w:space="0" w:color="000000"/>
              <w:right w:val="single" w:sz="6" w:space="0" w:color="000000"/>
            </w:tcBorders>
            <w:vAlign w:val="center"/>
          </w:tcPr>
          <w:p w14:paraId="4B14F66F" w14:textId="77777777" w:rsidR="007D706A" w:rsidRDefault="007D706A" w:rsidP="00F70508">
            <w:pPr>
              <w:pStyle w:val="ParagraphStyle12"/>
              <w:rPr>
                <w:rStyle w:val="CharacterStyle12"/>
              </w:rPr>
            </w:pPr>
            <w:r>
              <w:rPr>
                <w:rStyle w:val="CharacterStyle12"/>
              </w:rPr>
              <w:t>31.500,00</w:t>
            </w:r>
          </w:p>
        </w:tc>
        <w:tc>
          <w:tcPr>
            <w:tcW w:w="1395" w:type="dxa"/>
            <w:tcBorders>
              <w:bottom w:val="single" w:sz="6" w:space="0" w:color="000000"/>
              <w:right w:val="single" w:sz="6" w:space="0" w:color="000000"/>
            </w:tcBorders>
            <w:vAlign w:val="center"/>
          </w:tcPr>
          <w:p w14:paraId="7E3ECCE6" w14:textId="77777777" w:rsidR="007D706A" w:rsidRDefault="007D706A" w:rsidP="00F70508">
            <w:pPr>
              <w:pStyle w:val="ParagraphStyle12"/>
              <w:rPr>
                <w:rStyle w:val="CharacterStyle12"/>
              </w:rPr>
            </w:pPr>
            <w:r>
              <w:rPr>
                <w:rStyle w:val="CharacterStyle12"/>
              </w:rPr>
              <w:t>32.760,00</w:t>
            </w:r>
          </w:p>
        </w:tc>
        <w:tc>
          <w:tcPr>
            <w:tcW w:w="1395" w:type="dxa"/>
            <w:tcBorders>
              <w:bottom w:val="single" w:sz="6" w:space="0" w:color="000000"/>
              <w:right w:val="single" w:sz="6" w:space="0" w:color="000000"/>
            </w:tcBorders>
            <w:vAlign w:val="center"/>
          </w:tcPr>
          <w:p w14:paraId="4A4785D2" w14:textId="77777777" w:rsidR="007D706A" w:rsidRDefault="007D706A" w:rsidP="00F70508">
            <w:pPr>
              <w:pStyle w:val="ParagraphStyle12"/>
              <w:rPr>
                <w:rStyle w:val="CharacterStyle12"/>
              </w:rPr>
            </w:pPr>
            <w:r>
              <w:rPr>
                <w:rStyle w:val="CharacterStyle12"/>
              </w:rPr>
              <w:t>33.088,00</w:t>
            </w:r>
          </w:p>
        </w:tc>
      </w:tr>
      <w:tr w:rsidR="007D706A" w14:paraId="5A4CFFEC" w14:textId="77777777" w:rsidTr="00F70508">
        <w:trPr>
          <w:trHeight w:val="420"/>
        </w:trPr>
        <w:tc>
          <w:tcPr>
            <w:tcW w:w="2880" w:type="dxa"/>
            <w:tcBorders>
              <w:left w:val="single" w:sz="6" w:space="0" w:color="000000"/>
              <w:bottom w:val="single" w:sz="6" w:space="0" w:color="000000"/>
              <w:right w:val="single" w:sz="6" w:space="0" w:color="000000"/>
            </w:tcBorders>
            <w:vAlign w:val="center"/>
          </w:tcPr>
          <w:p w14:paraId="68B5BA66" w14:textId="77777777" w:rsidR="007D706A" w:rsidRDefault="007D706A" w:rsidP="00F70508">
            <w:pPr>
              <w:pStyle w:val="ParagraphStyle10"/>
              <w:rPr>
                <w:rStyle w:val="CharacterStyle10"/>
              </w:rPr>
            </w:pPr>
            <w:r>
              <w:rPr>
                <w:rStyle w:val="CharacterStyle10"/>
              </w:rPr>
              <w:t>37</w:t>
            </w:r>
          </w:p>
        </w:tc>
        <w:tc>
          <w:tcPr>
            <w:tcW w:w="4995" w:type="dxa"/>
            <w:tcBorders>
              <w:bottom w:val="single" w:sz="6" w:space="0" w:color="000000"/>
              <w:right w:val="single" w:sz="6" w:space="0" w:color="000000"/>
            </w:tcBorders>
            <w:vAlign w:val="center"/>
          </w:tcPr>
          <w:p w14:paraId="1EBCD291" w14:textId="77777777" w:rsidR="007D706A" w:rsidRDefault="007D706A" w:rsidP="00F70508">
            <w:pPr>
              <w:pStyle w:val="ParagraphStyle11"/>
              <w:rPr>
                <w:rStyle w:val="CharacterStyle11"/>
              </w:rPr>
            </w:pPr>
            <w:r>
              <w:rPr>
                <w:rStyle w:val="CharacterStyle11"/>
              </w:rPr>
              <w:t>Naknade građanima i kućanstvima na temelju osiguranja i druge naknade</w:t>
            </w:r>
          </w:p>
        </w:tc>
        <w:tc>
          <w:tcPr>
            <w:tcW w:w="1395" w:type="dxa"/>
            <w:tcBorders>
              <w:bottom w:val="single" w:sz="6" w:space="0" w:color="000000"/>
              <w:right w:val="single" w:sz="6" w:space="0" w:color="000000"/>
            </w:tcBorders>
            <w:vAlign w:val="center"/>
          </w:tcPr>
          <w:p w14:paraId="4CE6D3A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E527260" w14:textId="77777777" w:rsidR="007D706A" w:rsidRDefault="007D706A" w:rsidP="00F70508">
            <w:pPr>
              <w:pStyle w:val="ParagraphStyle12"/>
              <w:rPr>
                <w:rStyle w:val="CharacterStyle12"/>
              </w:rPr>
            </w:pPr>
            <w:r>
              <w:rPr>
                <w:rStyle w:val="CharacterStyle12"/>
              </w:rPr>
              <w:t>32.500,00</w:t>
            </w:r>
          </w:p>
        </w:tc>
        <w:tc>
          <w:tcPr>
            <w:tcW w:w="1395" w:type="dxa"/>
            <w:tcBorders>
              <w:bottom w:val="single" w:sz="6" w:space="0" w:color="000000"/>
              <w:right w:val="single" w:sz="6" w:space="0" w:color="000000"/>
            </w:tcBorders>
            <w:vAlign w:val="center"/>
          </w:tcPr>
          <w:p w14:paraId="4BFABC5E" w14:textId="77777777" w:rsidR="007D706A" w:rsidRDefault="007D706A" w:rsidP="00F70508">
            <w:pPr>
              <w:pStyle w:val="ParagraphStyle12"/>
              <w:rPr>
                <w:rStyle w:val="CharacterStyle12"/>
              </w:rPr>
            </w:pPr>
            <w:r>
              <w:rPr>
                <w:rStyle w:val="CharacterStyle12"/>
              </w:rPr>
              <w:t>31.500,00</w:t>
            </w:r>
          </w:p>
        </w:tc>
        <w:tc>
          <w:tcPr>
            <w:tcW w:w="1395" w:type="dxa"/>
            <w:tcBorders>
              <w:bottom w:val="single" w:sz="6" w:space="0" w:color="000000"/>
              <w:right w:val="single" w:sz="6" w:space="0" w:color="000000"/>
            </w:tcBorders>
            <w:vAlign w:val="center"/>
          </w:tcPr>
          <w:p w14:paraId="6D1946C6" w14:textId="77777777" w:rsidR="007D706A" w:rsidRDefault="007D706A" w:rsidP="00F70508">
            <w:pPr>
              <w:pStyle w:val="ParagraphStyle12"/>
              <w:rPr>
                <w:rStyle w:val="CharacterStyle12"/>
              </w:rPr>
            </w:pPr>
            <w:r>
              <w:rPr>
                <w:rStyle w:val="CharacterStyle12"/>
              </w:rPr>
              <w:t>32.760,00</w:t>
            </w:r>
          </w:p>
        </w:tc>
        <w:tc>
          <w:tcPr>
            <w:tcW w:w="1395" w:type="dxa"/>
            <w:tcBorders>
              <w:bottom w:val="single" w:sz="6" w:space="0" w:color="000000"/>
              <w:right w:val="single" w:sz="6" w:space="0" w:color="000000"/>
            </w:tcBorders>
            <w:vAlign w:val="center"/>
          </w:tcPr>
          <w:p w14:paraId="7DBD17F5" w14:textId="77777777" w:rsidR="007D706A" w:rsidRDefault="007D706A" w:rsidP="00F70508">
            <w:pPr>
              <w:pStyle w:val="ParagraphStyle12"/>
              <w:rPr>
                <w:rStyle w:val="CharacterStyle12"/>
              </w:rPr>
            </w:pPr>
            <w:r>
              <w:rPr>
                <w:rStyle w:val="CharacterStyle12"/>
              </w:rPr>
              <w:t>33.088,00</w:t>
            </w:r>
          </w:p>
        </w:tc>
      </w:tr>
      <w:tr w:rsidR="007D706A" w14:paraId="11D1960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702EC8E" w14:textId="77777777" w:rsidR="007D706A" w:rsidRDefault="007D706A" w:rsidP="00F70508">
            <w:pPr>
              <w:pStyle w:val="ParagraphStyle7"/>
              <w:rPr>
                <w:rStyle w:val="CharacterStyle7"/>
              </w:rPr>
            </w:pPr>
            <w:r>
              <w:rPr>
                <w:rStyle w:val="CharacterStyle7"/>
              </w:rPr>
              <w:t>Izvor financiranja 5</w:t>
            </w:r>
          </w:p>
        </w:tc>
        <w:tc>
          <w:tcPr>
            <w:tcW w:w="4995" w:type="dxa"/>
            <w:tcBorders>
              <w:bottom w:val="single" w:sz="6" w:space="0" w:color="000000"/>
              <w:right w:val="single" w:sz="6" w:space="0" w:color="000000"/>
            </w:tcBorders>
            <w:vAlign w:val="center"/>
          </w:tcPr>
          <w:p w14:paraId="2639EC0A" w14:textId="77777777" w:rsidR="007D706A" w:rsidRDefault="007D706A" w:rsidP="00F70508">
            <w:pPr>
              <w:pStyle w:val="ParagraphStyle8"/>
              <w:rPr>
                <w:rStyle w:val="CharacterStyle8"/>
              </w:rPr>
            </w:pPr>
            <w:r>
              <w:rPr>
                <w:rStyle w:val="CharacterStyle8"/>
              </w:rPr>
              <w:t>POMOĆI</w:t>
            </w:r>
          </w:p>
        </w:tc>
        <w:tc>
          <w:tcPr>
            <w:tcW w:w="1395" w:type="dxa"/>
            <w:tcBorders>
              <w:bottom w:val="single" w:sz="6" w:space="0" w:color="000000"/>
              <w:right w:val="single" w:sz="6" w:space="0" w:color="000000"/>
            </w:tcBorders>
            <w:vAlign w:val="center"/>
          </w:tcPr>
          <w:p w14:paraId="1720F70E"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6B28922"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A43CE44" w14:textId="77777777" w:rsidR="007D706A" w:rsidRDefault="007D706A" w:rsidP="00F70508">
            <w:pPr>
              <w:pStyle w:val="ParagraphStyle9"/>
              <w:rPr>
                <w:rStyle w:val="CharacterStyle9"/>
              </w:rPr>
            </w:pPr>
            <w:r>
              <w:rPr>
                <w:rStyle w:val="CharacterStyle9"/>
              </w:rPr>
              <w:t>500,00</w:t>
            </w:r>
          </w:p>
        </w:tc>
        <w:tc>
          <w:tcPr>
            <w:tcW w:w="1395" w:type="dxa"/>
            <w:tcBorders>
              <w:bottom w:val="single" w:sz="6" w:space="0" w:color="000000"/>
              <w:right w:val="single" w:sz="6" w:space="0" w:color="000000"/>
            </w:tcBorders>
            <w:vAlign w:val="center"/>
          </w:tcPr>
          <w:p w14:paraId="464CFCA4" w14:textId="77777777" w:rsidR="007D706A" w:rsidRDefault="007D706A" w:rsidP="00F70508">
            <w:pPr>
              <w:pStyle w:val="ParagraphStyle9"/>
              <w:rPr>
                <w:rStyle w:val="CharacterStyle9"/>
              </w:rPr>
            </w:pPr>
            <w:r>
              <w:rPr>
                <w:rStyle w:val="CharacterStyle9"/>
              </w:rPr>
              <w:t>520,00</w:t>
            </w:r>
          </w:p>
        </w:tc>
        <w:tc>
          <w:tcPr>
            <w:tcW w:w="1395" w:type="dxa"/>
            <w:tcBorders>
              <w:bottom w:val="single" w:sz="6" w:space="0" w:color="000000"/>
              <w:right w:val="single" w:sz="6" w:space="0" w:color="000000"/>
            </w:tcBorders>
            <w:vAlign w:val="center"/>
          </w:tcPr>
          <w:p w14:paraId="1284F5AD" w14:textId="77777777" w:rsidR="007D706A" w:rsidRDefault="007D706A" w:rsidP="00F70508">
            <w:pPr>
              <w:pStyle w:val="ParagraphStyle9"/>
              <w:rPr>
                <w:rStyle w:val="CharacterStyle9"/>
              </w:rPr>
            </w:pPr>
            <w:r>
              <w:rPr>
                <w:rStyle w:val="CharacterStyle9"/>
              </w:rPr>
              <w:t>525,00</w:t>
            </w:r>
          </w:p>
        </w:tc>
      </w:tr>
      <w:tr w:rsidR="007D706A" w14:paraId="470EB62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074B25B"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07EB088E"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5EB3EB9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7625FB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3FFCBF9" w14:textId="77777777" w:rsidR="007D706A" w:rsidRDefault="007D706A" w:rsidP="00F70508">
            <w:pPr>
              <w:pStyle w:val="ParagraphStyle12"/>
              <w:rPr>
                <w:rStyle w:val="CharacterStyle12"/>
              </w:rPr>
            </w:pPr>
            <w:r>
              <w:rPr>
                <w:rStyle w:val="CharacterStyle12"/>
              </w:rPr>
              <w:t>500,00</w:t>
            </w:r>
          </w:p>
        </w:tc>
        <w:tc>
          <w:tcPr>
            <w:tcW w:w="1395" w:type="dxa"/>
            <w:tcBorders>
              <w:bottom w:val="single" w:sz="6" w:space="0" w:color="000000"/>
              <w:right w:val="single" w:sz="6" w:space="0" w:color="000000"/>
            </w:tcBorders>
            <w:vAlign w:val="center"/>
          </w:tcPr>
          <w:p w14:paraId="1740E208" w14:textId="77777777" w:rsidR="007D706A" w:rsidRDefault="007D706A" w:rsidP="00F70508">
            <w:pPr>
              <w:pStyle w:val="ParagraphStyle12"/>
              <w:rPr>
                <w:rStyle w:val="CharacterStyle12"/>
              </w:rPr>
            </w:pPr>
            <w:r>
              <w:rPr>
                <w:rStyle w:val="CharacterStyle12"/>
              </w:rPr>
              <w:t>520,00</w:t>
            </w:r>
          </w:p>
        </w:tc>
        <w:tc>
          <w:tcPr>
            <w:tcW w:w="1395" w:type="dxa"/>
            <w:tcBorders>
              <w:bottom w:val="single" w:sz="6" w:space="0" w:color="000000"/>
              <w:right w:val="single" w:sz="6" w:space="0" w:color="000000"/>
            </w:tcBorders>
            <w:vAlign w:val="center"/>
          </w:tcPr>
          <w:p w14:paraId="2F2C06D4" w14:textId="77777777" w:rsidR="007D706A" w:rsidRDefault="007D706A" w:rsidP="00F70508">
            <w:pPr>
              <w:pStyle w:val="ParagraphStyle12"/>
              <w:rPr>
                <w:rStyle w:val="CharacterStyle12"/>
              </w:rPr>
            </w:pPr>
            <w:r>
              <w:rPr>
                <w:rStyle w:val="CharacterStyle12"/>
              </w:rPr>
              <w:t>525,00</w:t>
            </w:r>
          </w:p>
        </w:tc>
      </w:tr>
      <w:tr w:rsidR="007D706A" w14:paraId="0261656B" w14:textId="77777777" w:rsidTr="00F70508">
        <w:trPr>
          <w:trHeight w:val="405"/>
        </w:trPr>
        <w:tc>
          <w:tcPr>
            <w:tcW w:w="2880" w:type="dxa"/>
            <w:tcBorders>
              <w:left w:val="single" w:sz="6" w:space="0" w:color="000000"/>
              <w:bottom w:val="single" w:sz="6" w:space="0" w:color="000000"/>
              <w:right w:val="single" w:sz="6" w:space="0" w:color="000000"/>
            </w:tcBorders>
            <w:vAlign w:val="center"/>
          </w:tcPr>
          <w:p w14:paraId="1A6EC66B" w14:textId="77777777" w:rsidR="007D706A" w:rsidRDefault="007D706A" w:rsidP="00F70508">
            <w:pPr>
              <w:pStyle w:val="ParagraphStyle10"/>
              <w:rPr>
                <w:rStyle w:val="CharacterStyle10"/>
              </w:rPr>
            </w:pPr>
            <w:r>
              <w:rPr>
                <w:rStyle w:val="CharacterStyle10"/>
              </w:rPr>
              <w:t>37</w:t>
            </w:r>
          </w:p>
        </w:tc>
        <w:tc>
          <w:tcPr>
            <w:tcW w:w="4995" w:type="dxa"/>
            <w:tcBorders>
              <w:bottom w:val="single" w:sz="6" w:space="0" w:color="000000"/>
              <w:right w:val="single" w:sz="6" w:space="0" w:color="000000"/>
            </w:tcBorders>
            <w:vAlign w:val="center"/>
          </w:tcPr>
          <w:p w14:paraId="26BEBEF4" w14:textId="77777777" w:rsidR="007D706A" w:rsidRDefault="007D706A" w:rsidP="00F70508">
            <w:pPr>
              <w:pStyle w:val="ParagraphStyle11"/>
              <w:rPr>
                <w:rStyle w:val="CharacterStyle11"/>
              </w:rPr>
            </w:pPr>
            <w:r>
              <w:rPr>
                <w:rStyle w:val="CharacterStyle11"/>
              </w:rPr>
              <w:t>Naknade građanima i kućanstvima na temelju osiguranja i druge naknade</w:t>
            </w:r>
          </w:p>
        </w:tc>
        <w:tc>
          <w:tcPr>
            <w:tcW w:w="1395" w:type="dxa"/>
            <w:tcBorders>
              <w:bottom w:val="single" w:sz="6" w:space="0" w:color="000000"/>
              <w:right w:val="single" w:sz="6" w:space="0" w:color="000000"/>
            </w:tcBorders>
            <w:vAlign w:val="center"/>
          </w:tcPr>
          <w:p w14:paraId="7EB0667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056C1A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B513F1A" w14:textId="77777777" w:rsidR="007D706A" w:rsidRDefault="007D706A" w:rsidP="00F70508">
            <w:pPr>
              <w:pStyle w:val="ParagraphStyle12"/>
              <w:rPr>
                <w:rStyle w:val="CharacterStyle12"/>
              </w:rPr>
            </w:pPr>
            <w:r>
              <w:rPr>
                <w:rStyle w:val="CharacterStyle12"/>
              </w:rPr>
              <w:t>500,00</w:t>
            </w:r>
          </w:p>
        </w:tc>
        <w:tc>
          <w:tcPr>
            <w:tcW w:w="1395" w:type="dxa"/>
            <w:tcBorders>
              <w:bottom w:val="single" w:sz="6" w:space="0" w:color="000000"/>
              <w:right w:val="single" w:sz="6" w:space="0" w:color="000000"/>
            </w:tcBorders>
            <w:vAlign w:val="center"/>
          </w:tcPr>
          <w:p w14:paraId="66EE8AD4" w14:textId="77777777" w:rsidR="007D706A" w:rsidRDefault="007D706A" w:rsidP="00F70508">
            <w:pPr>
              <w:pStyle w:val="ParagraphStyle12"/>
              <w:rPr>
                <w:rStyle w:val="CharacterStyle12"/>
              </w:rPr>
            </w:pPr>
            <w:r>
              <w:rPr>
                <w:rStyle w:val="CharacterStyle12"/>
              </w:rPr>
              <w:t>520,00</w:t>
            </w:r>
          </w:p>
        </w:tc>
        <w:tc>
          <w:tcPr>
            <w:tcW w:w="1395" w:type="dxa"/>
            <w:tcBorders>
              <w:bottom w:val="single" w:sz="6" w:space="0" w:color="000000"/>
              <w:right w:val="single" w:sz="6" w:space="0" w:color="000000"/>
            </w:tcBorders>
            <w:vAlign w:val="center"/>
          </w:tcPr>
          <w:p w14:paraId="6850E4AB" w14:textId="77777777" w:rsidR="007D706A" w:rsidRDefault="007D706A" w:rsidP="00F70508">
            <w:pPr>
              <w:pStyle w:val="ParagraphStyle12"/>
              <w:rPr>
                <w:rStyle w:val="CharacterStyle12"/>
              </w:rPr>
            </w:pPr>
            <w:r>
              <w:rPr>
                <w:rStyle w:val="CharacterStyle12"/>
              </w:rPr>
              <w:t>525,00</w:t>
            </w:r>
          </w:p>
        </w:tc>
      </w:tr>
      <w:tr w:rsidR="007D706A" w14:paraId="5027D21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D7C5F8F" w14:textId="77777777" w:rsidR="007D706A" w:rsidRDefault="007D706A" w:rsidP="00F70508">
            <w:pPr>
              <w:pStyle w:val="ParagraphStyle7"/>
              <w:rPr>
                <w:rStyle w:val="CharacterStyle7"/>
              </w:rPr>
            </w:pPr>
            <w:r>
              <w:rPr>
                <w:rStyle w:val="CharacterStyle7"/>
              </w:rPr>
              <w:t>Izvor financiranja 53</w:t>
            </w:r>
          </w:p>
        </w:tc>
        <w:tc>
          <w:tcPr>
            <w:tcW w:w="4995" w:type="dxa"/>
            <w:tcBorders>
              <w:bottom w:val="single" w:sz="6" w:space="0" w:color="000000"/>
              <w:right w:val="single" w:sz="6" w:space="0" w:color="000000"/>
            </w:tcBorders>
            <w:vAlign w:val="center"/>
          </w:tcPr>
          <w:p w14:paraId="576AD8CD" w14:textId="77777777" w:rsidR="007D706A" w:rsidRDefault="007D706A" w:rsidP="00F70508">
            <w:pPr>
              <w:pStyle w:val="ParagraphStyle8"/>
              <w:rPr>
                <w:rStyle w:val="CharacterStyle8"/>
              </w:rPr>
            </w:pPr>
            <w:r>
              <w:rPr>
                <w:rStyle w:val="CharacterStyle8"/>
              </w:rPr>
              <w:t>Proračuni, drugi nivoi - za posebne i / ili ugovorene namjene</w:t>
            </w:r>
          </w:p>
        </w:tc>
        <w:tc>
          <w:tcPr>
            <w:tcW w:w="1395" w:type="dxa"/>
            <w:tcBorders>
              <w:bottom w:val="single" w:sz="6" w:space="0" w:color="000000"/>
              <w:right w:val="single" w:sz="6" w:space="0" w:color="000000"/>
            </w:tcBorders>
            <w:vAlign w:val="center"/>
          </w:tcPr>
          <w:p w14:paraId="390C17F3"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FFF9933" w14:textId="77777777" w:rsidR="007D706A" w:rsidRDefault="007D706A" w:rsidP="00F70508">
            <w:pPr>
              <w:pStyle w:val="ParagraphStyle9"/>
              <w:rPr>
                <w:rStyle w:val="CharacterStyle9"/>
              </w:rPr>
            </w:pPr>
            <w:r>
              <w:rPr>
                <w:rStyle w:val="CharacterStyle9"/>
              </w:rPr>
              <w:t>500,00</w:t>
            </w:r>
          </w:p>
        </w:tc>
        <w:tc>
          <w:tcPr>
            <w:tcW w:w="1395" w:type="dxa"/>
            <w:tcBorders>
              <w:bottom w:val="single" w:sz="6" w:space="0" w:color="000000"/>
              <w:right w:val="single" w:sz="6" w:space="0" w:color="000000"/>
            </w:tcBorders>
            <w:vAlign w:val="center"/>
          </w:tcPr>
          <w:p w14:paraId="2BA4FDCA"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3A8F410"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3A8072B" w14:textId="77777777" w:rsidR="007D706A" w:rsidRDefault="007D706A" w:rsidP="00F70508">
            <w:pPr>
              <w:pStyle w:val="ParagraphStyle9"/>
              <w:rPr>
                <w:rStyle w:val="CharacterStyle9"/>
              </w:rPr>
            </w:pPr>
            <w:r>
              <w:rPr>
                <w:rStyle w:val="CharacterStyle9"/>
              </w:rPr>
              <w:t>0,00</w:t>
            </w:r>
          </w:p>
        </w:tc>
      </w:tr>
      <w:tr w:rsidR="007D706A" w14:paraId="3C8A52B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2B4860B"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02870FDE"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1278702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17313A3" w14:textId="77777777" w:rsidR="007D706A" w:rsidRDefault="007D706A" w:rsidP="00F70508">
            <w:pPr>
              <w:pStyle w:val="ParagraphStyle12"/>
              <w:rPr>
                <w:rStyle w:val="CharacterStyle12"/>
              </w:rPr>
            </w:pPr>
            <w:r>
              <w:rPr>
                <w:rStyle w:val="CharacterStyle12"/>
              </w:rPr>
              <w:t>500,00</w:t>
            </w:r>
          </w:p>
        </w:tc>
        <w:tc>
          <w:tcPr>
            <w:tcW w:w="1395" w:type="dxa"/>
            <w:tcBorders>
              <w:bottom w:val="single" w:sz="6" w:space="0" w:color="000000"/>
              <w:right w:val="single" w:sz="6" w:space="0" w:color="000000"/>
            </w:tcBorders>
            <w:vAlign w:val="center"/>
          </w:tcPr>
          <w:p w14:paraId="26C516A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203C91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646FDFB" w14:textId="77777777" w:rsidR="007D706A" w:rsidRDefault="007D706A" w:rsidP="00F70508">
            <w:pPr>
              <w:pStyle w:val="ParagraphStyle12"/>
              <w:rPr>
                <w:rStyle w:val="CharacterStyle12"/>
              </w:rPr>
            </w:pPr>
            <w:r>
              <w:rPr>
                <w:rStyle w:val="CharacterStyle12"/>
              </w:rPr>
              <w:t>0,00</w:t>
            </w:r>
          </w:p>
        </w:tc>
      </w:tr>
      <w:tr w:rsidR="007D706A" w14:paraId="6D97500D" w14:textId="77777777" w:rsidTr="00F70508">
        <w:trPr>
          <w:trHeight w:val="420"/>
        </w:trPr>
        <w:tc>
          <w:tcPr>
            <w:tcW w:w="2880" w:type="dxa"/>
            <w:tcBorders>
              <w:left w:val="single" w:sz="6" w:space="0" w:color="000000"/>
              <w:bottom w:val="single" w:sz="6" w:space="0" w:color="000000"/>
              <w:right w:val="single" w:sz="6" w:space="0" w:color="000000"/>
            </w:tcBorders>
            <w:vAlign w:val="center"/>
          </w:tcPr>
          <w:p w14:paraId="2192EEE0" w14:textId="77777777" w:rsidR="007D706A" w:rsidRDefault="007D706A" w:rsidP="00F70508">
            <w:pPr>
              <w:pStyle w:val="ParagraphStyle10"/>
              <w:rPr>
                <w:rStyle w:val="CharacterStyle10"/>
              </w:rPr>
            </w:pPr>
            <w:r>
              <w:rPr>
                <w:rStyle w:val="CharacterStyle10"/>
              </w:rPr>
              <w:t>37</w:t>
            </w:r>
          </w:p>
        </w:tc>
        <w:tc>
          <w:tcPr>
            <w:tcW w:w="4995" w:type="dxa"/>
            <w:tcBorders>
              <w:bottom w:val="single" w:sz="6" w:space="0" w:color="000000"/>
              <w:right w:val="single" w:sz="6" w:space="0" w:color="000000"/>
            </w:tcBorders>
            <w:vAlign w:val="center"/>
          </w:tcPr>
          <w:p w14:paraId="1CE2BF0D" w14:textId="77777777" w:rsidR="007D706A" w:rsidRDefault="007D706A" w:rsidP="00F70508">
            <w:pPr>
              <w:pStyle w:val="ParagraphStyle11"/>
              <w:rPr>
                <w:rStyle w:val="CharacterStyle11"/>
              </w:rPr>
            </w:pPr>
            <w:r>
              <w:rPr>
                <w:rStyle w:val="CharacterStyle11"/>
              </w:rPr>
              <w:t>Naknade građanima i kućanstvima na temelju osiguranja i druge naknade</w:t>
            </w:r>
          </w:p>
        </w:tc>
        <w:tc>
          <w:tcPr>
            <w:tcW w:w="1395" w:type="dxa"/>
            <w:tcBorders>
              <w:bottom w:val="single" w:sz="6" w:space="0" w:color="000000"/>
              <w:right w:val="single" w:sz="6" w:space="0" w:color="000000"/>
            </w:tcBorders>
            <w:vAlign w:val="center"/>
          </w:tcPr>
          <w:p w14:paraId="41C807A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1D95DEB" w14:textId="77777777" w:rsidR="007D706A" w:rsidRDefault="007D706A" w:rsidP="00F70508">
            <w:pPr>
              <w:pStyle w:val="ParagraphStyle12"/>
              <w:rPr>
                <w:rStyle w:val="CharacterStyle12"/>
              </w:rPr>
            </w:pPr>
            <w:r>
              <w:rPr>
                <w:rStyle w:val="CharacterStyle12"/>
              </w:rPr>
              <w:t>500,00</w:t>
            </w:r>
          </w:p>
        </w:tc>
        <w:tc>
          <w:tcPr>
            <w:tcW w:w="1395" w:type="dxa"/>
            <w:tcBorders>
              <w:bottom w:val="single" w:sz="6" w:space="0" w:color="000000"/>
              <w:right w:val="single" w:sz="6" w:space="0" w:color="000000"/>
            </w:tcBorders>
            <w:vAlign w:val="center"/>
          </w:tcPr>
          <w:p w14:paraId="7AF4BD3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A0BAD5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D05ABA9" w14:textId="77777777" w:rsidR="007D706A" w:rsidRDefault="007D706A" w:rsidP="00F70508">
            <w:pPr>
              <w:pStyle w:val="ParagraphStyle12"/>
              <w:rPr>
                <w:rStyle w:val="CharacterStyle12"/>
              </w:rPr>
            </w:pPr>
            <w:r>
              <w:rPr>
                <w:rStyle w:val="CharacterStyle12"/>
              </w:rPr>
              <w:t>0,00</w:t>
            </w:r>
          </w:p>
        </w:tc>
      </w:tr>
      <w:tr w:rsidR="007D706A" w14:paraId="0E8C77F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0E704DF" w14:textId="77777777" w:rsidR="007D706A" w:rsidRDefault="007D706A" w:rsidP="00F70508">
            <w:pPr>
              <w:pStyle w:val="ParagraphStyle4"/>
              <w:rPr>
                <w:rStyle w:val="CharacterStyle4"/>
              </w:rPr>
            </w:pPr>
            <w:r>
              <w:rPr>
                <w:rStyle w:val="CharacterStyle4"/>
              </w:rPr>
              <w:t>Aktivnost A103638</w:t>
            </w:r>
          </w:p>
        </w:tc>
        <w:tc>
          <w:tcPr>
            <w:tcW w:w="4995" w:type="dxa"/>
            <w:tcBorders>
              <w:bottom w:val="single" w:sz="6" w:space="0" w:color="000000"/>
              <w:right w:val="single" w:sz="6" w:space="0" w:color="000000"/>
            </w:tcBorders>
            <w:vAlign w:val="center"/>
          </w:tcPr>
          <w:p w14:paraId="19B2CC7C" w14:textId="77777777" w:rsidR="007D706A" w:rsidRDefault="007D706A" w:rsidP="00F70508">
            <w:pPr>
              <w:pStyle w:val="ParagraphStyle5"/>
              <w:rPr>
                <w:rStyle w:val="CharacterStyle5"/>
              </w:rPr>
            </w:pPr>
            <w:r>
              <w:rPr>
                <w:rStyle w:val="CharacterStyle5"/>
              </w:rPr>
              <w:t>PREHRANA ZA UČENIKE U OSNOVNIM ŠKOLAMA</w:t>
            </w:r>
          </w:p>
        </w:tc>
        <w:tc>
          <w:tcPr>
            <w:tcW w:w="1395" w:type="dxa"/>
            <w:tcBorders>
              <w:bottom w:val="single" w:sz="6" w:space="0" w:color="000000"/>
              <w:right w:val="single" w:sz="6" w:space="0" w:color="000000"/>
            </w:tcBorders>
            <w:vAlign w:val="center"/>
          </w:tcPr>
          <w:p w14:paraId="7B5B72FB"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7E570163" w14:textId="77777777" w:rsidR="007D706A" w:rsidRDefault="007D706A" w:rsidP="00F70508">
            <w:pPr>
              <w:pStyle w:val="ParagraphStyle6"/>
              <w:rPr>
                <w:rStyle w:val="CharacterStyle6"/>
              </w:rPr>
            </w:pPr>
            <w:r>
              <w:rPr>
                <w:rStyle w:val="CharacterStyle6"/>
              </w:rPr>
              <w:t>65.000,00</w:t>
            </w:r>
          </w:p>
        </w:tc>
        <w:tc>
          <w:tcPr>
            <w:tcW w:w="1395" w:type="dxa"/>
            <w:tcBorders>
              <w:bottom w:val="single" w:sz="6" w:space="0" w:color="000000"/>
              <w:right w:val="single" w:sz="6" w:space="0" w:color="000000"/>
            </w:tcBorders>
            <w:vAlign w:val="center"/>
          </w:tcPr>
          <w:p w14:paraId="6ADD3D0E" w14:textId="77777777" w:rsidR="007D706A" w:rsidRDefault="007D706A" w:rsidP="00F70508">
            <w:pPr>
              <w:pStyle w:val="ParagraphStyle6"/>
              <w:rPr>
                <w:rStyle w:val="CharacterStyle6"/>
              </w:rPr>
            </w:pPr>
            <w:r>
              <w:rPr>
                <w:rStyle w:val="CharacterStyle6"/>
              </w:rPr>
              <w:t>60.300,00</w:t>
            </w:r>
          </w:p>
        </w:tc>
        <w:tc>
          <w:tcPr>
            <w:tcW w:w="1395" w:type="dxa"/>
            <w:tcBorders>
              <w:bottom w:val="single" w:sz="6" w:space="0" w:color="000000"/>
              <w:right w:val="single" w:sz="6" w:space="0" w:color="000000"/>
            </w:tcBorders>
            <w:vAlign w:val="center"/>
          </w:tcPr>
          <w:p w14:paraId="447C394C" w14:textId="77777777" w:rsidR="007D706A" w:rsidRDefault="007D706A" w:rsidP="00F70508">
            <w:pPr>
              <w:pStyle w:val="ParagraphStyle6"/>
              <w:rPr>
                <w:rStyle w:val="CharacterStyle6"/>
              </w:rPr>
            </w:pPr>
            <w:r>
              <w:rPr>
                <w:rStyle w:val="CharacterStyle6"/>
              </w:rPr>
              <w:t>62.700,00</w:t>
            </w:r>
          </w:p>
        </w:tc>
        <w:tc>
          <w:tcPr>
            <w:tcW w:w="1395" w:type="dxa"/>
            <w:tcBorders>
              <w:bottom w:val="single" w:sz="6" w:space="0" w:color="000000"/>
              <w:right w:val="single" w:sz="6" w:space="0" w:color="000000"/>
            </w:tcBorders>
            <w:vAlign w:val="center"/>
          </w:tcPr>
          <w:p w14:paraId="6CAEF225" w14:textId="77777777" w:rsidR="007D706A" w:rsidRDefault="007D706A" w:rsidP="00F70508">
            <w:pPr>
              <w:pStyle w:val="ParagraphStyle6"/>
              <w:rPr>
                <w:rStyle w:val="CharacterStyle6"/>
              </w:rPr>
            </w:pPr>
            <w:r>
              <w:rPr>
                <w:rStyle w:val="CharacterStyle6"/>
              </w:rPr>
              <w:t>63.407,00</w:t>
            </w:r>
          </w:p>
        </w:tc>
      </w:tr>
      <w:tr w:rsidR="007D706A" w14:paraId="026026C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DE328C1"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4E9F4EC7"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509DF9E4"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7887240"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893D399" w14:textId="77777777" w:rsidR="007D706A" w:rsidRDefault="007D706A" w:rsidP="00F70508">
            <w:pPr>
              <w:pStyle w:val="ParagraphStyle9"/>
              <w:rPr>
                <w:rStyle w:val="CharacterStyle9"/>
              </w:rPr>
            </w:pPr>
            <w:r>
              <w:rPr>
                <w:rStyle w:val="CharacterStyle9"/>
              </w:rPr>
              <w:t>300,00</w:t>
            </w:r>
          </w:p>
        </w:tc>
        <w:tc>
          <w:tcPr>
            <w:tcW w:w="1395" w:type="dxa"/>
            <w:tcBorders>
              <w:bottom w:val="single" w:sz="6" w:space="0" w:color="000000"/>
              <w:right w:val="single" w:sz="6" w:space="0" w:color="000000"/>
            </w:tcBorders>
            <w:vAlign w:val="center"/>
          </w:tcPr>
          <w:p w14:paraId="4A295FF6" w14:textId="77777777" w:rsidR="007D706A" w:rsidRDefault="007D706A" w:rsidP="00F70508">
            <w:pPr>
              <w:pStyle w:val="ParagraphStyle9"/>
              <w:rPr>
                <w:rStyle w:val="CharacterStyle9"/>
              </w:rPr>
            </w:pPr>
            <w:r>
              <w:rPr>
                <w:rStyle w:val="CharacterStyle9"/>
              </w:rPr>
              <w:t>300,00</w:t>
            </w:r>
          </w:p>
        </w:tc>
        <w:tc>
          <w:tcPr>
            <w:tcW w:w="1395" w:type="dxa"/>
            <w:tcBorders>
              <w:bottom w:val="single" w:sz="6" w:space="0" w:color="000000"/>
              <w:right w:val="single" w:sz="6" w:space="0" w:color="000000"/>
            </w:tcBorders>
            <w:vAlign w:val="center"/>
          </w:tcPr>
          <w:p w14:paraId="30532FDE" w14:textId="77777777" w:rsidR="007D706A" w:rsidRDefault="007D706A" w:rsidP="00F70508">
            <w:pPr>
              <w:pStyle w:val="ParagraphStyle9"/>
              <w:rPr>
                <w:rStyle w:val="CharacterStyle9"/>
              </w:rPr>
            </w:pPr>
            <w:r>
              <w:rPr>
                <w:rStyle w:val="CharacterStyle9"/>
              </w:rPr>
              <w:t>382,00</w:t>
            </w:r>
          </w:p>
        </w:tc>
      </w:tr>
      <w:tr w:rsidR="007D706A" w14:paraId="247E3B3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DBC4C93"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7BD28AA7"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571E250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A802B4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2092E8A" w14:textId="77777777" w:rsidR="007D706A" w:rsidRDefault="007D706A" w:rsidP="00F70508">
            <w:pPr>
              <w:pStyle w:val="ParagraphStyle12"/>
              <w:rPr>
                <w:rStyle w:val="CharacterStyle12"/>
              </w:rPr>
            </w:pPr>
            <w:r>
              <w:rPr>
                <w:rStyle w:val="CharacterStyle12"/>
              </w:rPr>
              <w:t>300,00</w:t>
            </w:r>
          </w:p>
        </w:tc>
        <w:tc>
          <w:tcPr>
            <w:tcW w:w="1395" w:type="dxa"/>
            <w:tcBorders>
              <w:bottom w:val="single" w:sz="6" w:space="0" w:color="000000"/>
              <w:right w:val="single" w:sz="6" w:space="0" w:color="000000"/>
            </w:tcBorders>
            <w:vAlign w:val="center"/>
          </w:tcPr>
          <w:p w14:paraId="154B459E" w14:textId="77777777" w:rsidR="007D706A" w:rsidRDefault="007D706A" w:rsidP="00F70508">
            <w:pPr>
              <w:pStyle w:val="ParagraphStyle12"/>
              <w:rPr>
                <w:rStyle w:val="CharacterStyle12"/>
              </w:rPr>
            </w:pPr>
            <w:r>
              <w:rPr>
                <w:rStyle w:val="CharacterStyle12"/>
              </w:rPr>
              <w:t>300,00</w:t>
            </w:r>
          </w:p>
        </w:tc>
        <w:tc>
          <w:tcPr>
            <w:tcW w:w="1395" w:type="dxa"/>
            <w:tcBorders>
              <w:bottom w:val="single" w:sz="6" w:space="0" w:color="000000"/>
              <w:right w:val="single" w:sz="6" w:space="0" w:color="000000"/>
            </w:tcBorders>
            <w:vAlign w:val="center"/>
          </w:tcPr>
          <w:p w14:paraId="03BA7DF1" w14:textId="77777777" w:rsidR="007D706A" w:rsidRDefault="007D706A" w:rsidP="00F70508">
            <w:pPr>
              <w:pStyle w:val="ParagraphStyle12"/>
              <w:rPr>
                <w:rStyle w:val="CharacterStyle12"/>
              </w:rPr>
            </w:pPr>
            <w:r>
              <w:rPr>
                <w:rStyle w:val="CharacterStyle12"/>
              </w:rPr>
              <w:t>382,00</w:t>
            </w:r>
          </w:p>
        </w:tc>
      </w:tr>
      <w:tr w:rsidR="007D706A" w14:paraId="2759F8E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9B2EE26"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0066E5A0"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0683D8F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B27F55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6FB0E5D" w14:textId="77777777" w:rsidR="007D706A" w:rsidRDefault="007D706A" w:rsidP="00F70508">
            <w:pPr>
              <w:pStyle w:val="ParagraphStyle12"/>
              <w:rPr>
                <w:rStyle w:val="CharacterStyle12"/>
              </w:rPr>
            </w:pPr>
            <w:r>
              <w:rPr>
                <w:rStyle w:val="CharacterStyle12"/>
              </w:rPr>
              <w:t>300,00</w:t>
            </w:r>
          </w:p>
        </w:tc>
        <w:tc>
          <w:tcPr>
            <w:tcW w:w="1395" w:type="dxa"/>
            <w:tcBorders>
              <w:bottom w:val="single" w:sz="6" w:space="0" w:color="000000"/>
              <w:right w:val="single" w:sz="6" w:space="0" w:color="000000"/>
            </w:tcBorders>
            <w:vAlign w:val="center"/>
          </w:tcPr>
          <w:p w14:paraId="3862C297" w14:textId="77777777" w:rsidR="007D706A" w:rsidRDefault="007D706A" w:rsidP="00F70508">
            <w:pPr>
              <w:pStyle w:val="ParagraphStyle12"/>
              <w:rPr>
                <w:rStyle w:val="CharacterStyle12"/>
              </w:rPr>
            </w:pPr>
            <w:r>
              <w:rPr>
                <w:rStyle w:val="CharacterStyle12"/>
              </w:rPr>
              <w:t>300,00</w:t>
            </w:r>
          </w:p>
        </w:tc>
        <w:tc>
          <w:tcPr>
            <w:tcW w:w="1395" w:type="dxa"/>
            <w:tcBorders>
              <w:bottom w:val="single" w:sz="6" w:space="0" w:color="000000"/>
              <w:right w:val="single" w:sz="6" w:space="0" w:color="000000"/>
            </w:tcBorders>
            <w:vAlign w:val="center"/>
          </w:tcPr>
          <w:p w14:paraId="3FCFF0E9" w14:textId="77777777" w:rsidR="007D706A" w:rsidRDefault="007D706A" w:rsidP="00F70508">
            <w:pPr>
              <w:pStyle w:val="ParagraphStyle12"/>
              <w:rPr>
                <w:rStyle w:val="CharacterStyle12"/>
              </w:rPr>
            </w:pPr>
            <w:r>
              <w:rPr>
                <w:rStyle w:val="CharacterStyle12"/>
              </w:rPr>
              <w:t>382,00</w:t>
            </w:r>
          </w:p>
        </w:tc>
      </w:tr>
      <w:tr w:rsidR="007D706A" w14:paraId="3B03BCE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1AEA317" w14:textId="77777777" w:rsidR="007D706A" w:rsidRDefault="007D706A" w:rsidP="00F70508">
            <w:pPr>
              <w:pStyle w:val="ParagraphStyle7"/>
              <w:rPr>
                <w:rStyle w:val="CharacterStyle7"/>
              </w:rPr>
            </w:pPr>
            <w:r>
              <w:rPr>
                <w:rStyle w:val="CharacterStyle7"/>
              </w:rPr>
              <w:t>Izvor financiranja 50</w:t>
            </w:r>
          </w:p>
        </w:tc>
        <w:tc>
          <w:tcPr>
            <w:tcW w:w="4995" w:type="dxa"/>
            <w:tcBorders>
              <w:bottom w:val="single" w:sz="6" w:space="0" w:color="000000"/>
              <w:right w:val="single" w:sz="6" w:space="0" w:color="000000"/>
            </w:tcBorders>
            <w:vAlign w:val="center"/>
          </w:tcPr>
          <w:p w14:paraId="63B375C8" w14:textId="77777777" w:rsidR="007D706A" w:rsidRDefault="007D706A" w:rsidP="00F70508">
            <w:pPr>
              <w:pStyle w:val="ParagraphStyle8"/>
              <w:rPr>
                <w:rStyle w:val="CharacterStyle8"/>
              </w:rPr>
            </w:pPr>
            <w:r>
              <w:rPr>
                <w:rStyle w:val="CharacterStyle8"/>
              </w:rPr>
              <w:t>Pomoći iz državnog proračuna</w:t>
            </w:r>
          </w:p>
        </w:tc>
        <w:tc>
          <w:tcPr>
            <w:tcW w:w="1395" w:type="dxa"/>
            <w:tcBorders>
              <w:bottom w:val="single" w:sz="6" w:space="0" w:color="000000"/>
              <w:right w:val="single" w:sz="6" w:space="0" w:color="000000"/>
            </w:tcBorders>
            <w:vAlign w:val="center"/>
          </w:tcPr>
          <w:p w14:paraId="76BA5DFB"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6B46EB3"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307C76F" w14:textId="77777777" w:rsidR="007D706A" w:rsidRDefault="007D706A" w:rsidP="00F70508">
            <w:pPr>
              <w:pStyle w:val="ParagraphStyle9"/>
              <w:rPr>
                <w:rStyle w:val="CharacterStyle9"/>
              </w:rPr>
            </w:pPr>
            <w:r>
              <w:rPr>
                <w:rStyle w:val="CharacterStyle9"/>
              </w:rPr>
              <w:t>60.000,00</w:t>
            </w:r>
          </w:p>
        </w:tc>
        <w:tc>
          <w:tcPr>
            <w:tcW w:w="1395" w:type="dxa"/>
            <w:tcBorders>
              <w:bottom w:val="single" w:sz="6" w:space="0" w:color="000000"/>
              <w:right w:val="single" w:sz="6" w:space="0" w:color="000000"/>
            </w:tcBorders>
            <w:vAlign w:val="center"/>
          </w:tcPr>
          <w:p w14:paraId="4C7AB135" w14:textId="77777777" w:rsidR="007D706A" w:rsidRDefault="007D706A" w:rsidP="00F70508">
            <w:pPr>
              <w:pStyle w:val="ParagraphStyle9"/>
              <w:rPr>
                <w:rStyle w:val="CharacterStyle9"/>
              </w:rPr>
            </w:pPr>
            <w:r>
              <w:rPr>
                <w:rStyle w:val="CharacterStyle9"/>
              </w:rPr>
              <w:t>62.400,00</w:t>
            </w:r>
          </w:p>
        </w:tc>
        <w:tc>
          <w:tcPr>
            <w:tcW w:w="1395" w:type="dxa"/>
            <w:tcBorders>
              <w:bottom w:val="single" w:sz="6" w:space="0" w:color="000000"/>
              <w:right w:val="single" w:sz="6" w:space="0" w:color="000000"/>
            </w:tcBorders>
            <w:vAlign w:val="center"/>
          </w:tcPr>
          <w:p w14:paraId="19ED2DD3" w14:textId="77777777" w:rsidR="007D706A" w:rsidRDefault="007D706A" w:rsidP="00F70508">
            <w:pPr>
              <w:pStyle w:val="ParagraphStyle9"/>
              <w:rPr>
                <w:rStyle w:val="CharacterStyle9"/>
              </w:rPr>
            </w:pPr>
            <w:r>
              <w:rPr>
                <w:rStyle w:val="CharacterStyle9"/>
              </w:rPr>
              <w:t>63.025,00</w:t>
            </w:r>
          </w:p>
        </w:tc>
      </w:tr>
      <w:tr w:rsidR="007D706A" w14:paraId="73D9175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9722403"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4ADC4EDF"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00CA9B4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7B4AE1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9878F61" w14:textId="77777777" w:rsidR="007D706A" w:rsidRDefault="007D706A" w:rsidP="00F70508">
            <w:pPr>
              <w:pStyle w:val="ParagraphStyle12"/>
              <w:rPr>
                <w:rStyle w:val="CharacterStyle12"/>
              </w:rPr>
            </w:pPr>
            <w:r>
              <w:rPr>
                <w:rStyle w:val="CharacterStyle12"/>
              </w:rPr>
              <w:t>60.000,00</w:t>
            </w:r>
          </w:p>
        </w:tc>
        <w:tc>
          <w:tcPr>
            <w:tcW w:w="1395" w:type="dxa"/>
            <w:tcBorders>
              <w:bottom w:val="single" w:sz="6" w:space="0" w:color="000000"/>
              <w:right w:val="single" w:sz="6" w:space="0" w:color="000000"/>
            </w:tcBorders>
            <w:vAlign w:val="center"/>
          </w:tcPr>
          <w:p w14:paraId="10947EB1" w14:textId="77777777" w:rsidR="007D706A" w:rsidRDefault="007D706A" w:rsidP="00F70508">
            <w:pPr>
              <w:pStyle w:val="ParagraphStyle12"/>
              <w:rPr>
                <w:rStyle w:val="CharacterStyle12"/>
              </w:rPr>
            </w:pPr>
            <w:r>
              <w:rPr>
                <w:rStyle w:val="CharacterStyle12"/>
              </w:rPr>
              <w:t>62.400,00</w:t>
            </w:r>
          </w:p>
        </w:tc>
        <w:tc>
          <w:tcPr>
            <w:tcW w:w="1395" w:type="dxa"/>
            <w:tcBorders>
              <w:bottom w:val="single" w:sz="6" w:space="0" w:color="000000"/>
              <w:right w:val="single" w:sz="6" w:space="0" w:color="000000"/>
            </w:tcBorders>
            <w:vAlign w:val="center"/>
          </w:tcPr>
          <w:p w14:paraId="2BCD08D8" w14:textId="77777777" w:rsidR="007D706A" w:rsidRDefault="007D706A" w:rsidP="00F70508">
            <w:pPr>
              <w:pStyle w:val="ParagraphStyle12"/>
              <w:rPr>
                <w:rStyle w:val="CharacterStyle12"/>
              </w:rPr>
            </w:pPr>
            <w:r>
              <w:rPr>
                <w:rStyle w:val="CharacterStyle12"/>
              </w:rPr>
              <w:t>63.025,00</w:t>
            </w:r>
          </w:p>
        </w:tc>
      </w:tr>
      <w:tr w:rsidR="007D706A" w14:paraId="53EF86D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A6057E3"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0D189B2D"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0405BC8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B1F57B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C7425C7" w14:textId="77777777" w:rsidR="007D706A" w:rsidRDefault="007D706A" w:rsidP="00F70508">
            <w:pPr>
              <w:pStyle w:val="ParagraphStyle12"/>
              <w:rPr>
                <w:rStyle w:val="CharacterStyle12"/>
              </w:rPr>
            </w:pPr>
            <w:r>
              <w:rPr>
                <w:rStyle w:val="CharacterStyle12"/>
              </w:rPr>
              <w:t>60.000,00</w:t>
            </w:r>
          </w:p>
        </w:tc>
        <w:tc>
          <w:tcPr>
            <w:tcW w:w="1395" w:type="dxa"/>
            <w:tcBorders>
              <w:bottom w:val="single" w:sz="6" w:space="0" w:color="000000"/>
              <w:right w:val="single" w:sz="6" w:space="0" w:color="000000"/>
            </w:tcBorders>
            <w:vAlign w:val="center"/>
          </w:tcPr>
          <w:p w14:paraId="7ED9FC29" w14:textId="77777777" w:rsidR="007D706A" w:rsidRDefault="007D706A" w:rsidP="00F70508">
            <w:pPr>
              <w:pStyle w:val="ParagraphStyle12"/>
              <w:rPr>
                <w:rStyle w:val="CharacterStyle12"/>
              </w:rPr>
            </w:pPr>
            <w:r>
              <w:rPr>
                <w:rStyle w:val="CharacterStyle12"/>
              </w:rPr>
              <w:t>62.400,00</w:t>
            </w:r>
          </w:p>
        </w:tc>
        <w:tc>
          <w:tcPr>
            <w:tcW w:w="1395" w:type="dxa"/>
            <w:tcBorders>
              <w:bottom w:val="single" w:sz="6" w:space="0" w:color="000000"/>
              <w:right w:val="single" w:sz="6" w:space="0" w:color="000000"/>
            </w:tcBorders>
            <w:vAlign w:val="center"/>
          </w:tcPr>
          <w:p w14:paraId="0BABABEE" w14:textId="77777777" w:rsidR="007D706A" w:rsidRDefault="007D706A" w:rsidP="00F70508">
            <w:pPr>
              <w:pStyle w:val="ParagraphStyle12"/>
              <w:rPr>
                <w:rStyle w:val="CharacterStyle12"/>
              </w:rPr>
            </w:pPr>
            <w:r>
              <w:rPr>
                <w:rStyle w:val="CharacterStyle12"/>
              </w:rPr>
              <w:t>63.025,00</w:t>
            </w:r>
          </w:p>
        </w:tc>
      </w:tr>
      <w:tr w:rsidR="007D706A" w14:paraId="742F5A9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71443CA" w14:textId="77777777" w:rsidR="007D706A" w:rsidRDefault="007D706A" w:rsidP="00F70508">
            <w:pPr>
              <w:pStyle w:val="ParagraphStyle7"/>
              <w:rPr>
                <w:rStyle w:val="CharacterStyle7"/>
              </w:rPr>
            </w:pPr>
            <w:r>
              <w:rPr>
                <w:rStyle w:val="CharacterStyle7"/>
              </w:rPr>
              <w:t>Izvor financiranja 53</w:t>
            </w:r>
          </w:p>
        </w:tc>
        <w:tc>
          <w:tcPr>
            <w:tcW w:w="4995" w:type="dxa"/>
            <w:tcBorders>
              <w:bottom w:val="single" w:sz="6" w:space="0" w:color="000000"/>
              <w:right w:val="single" w:sz="6" w:space="0" w:color="000000"/>
            </w:tcBorders>
            <w:vAlign w:val="center"/>
          </w:tcPr>
          <w:p w14:paraId="4F796EE1" w14:textId="77777777" w:rsidR="007D706A" w:rsidRDefault="007D706A" w:rsidP="00F70508">
            <w:pPr>
              <w:pStyle w:val="ParagraphStyle8"/>
              <w:rPr>
                <w:rStyle w:val="CharacterStyle8"/>
              </w:rPr>
            </w:pPr>
            <w:r>
              <w:rPr>
                <w:rStyle w:val="CharacterStyle8"/>
              </w:rPr>
              <w:t>Proračuni, drugi nivoi - za posebne i / ili ugovorene namjene</w:t>
            </w:r>
          </w:p>
        </w:tc>
        <w:tc>
          <w:tcPr>
            <w:tcW w:w="1395" w:type="dxa"/>
            <w:tcBorders>
              <w:bottom w:val="single" w:sz="6" w:space="0" w:color="000000"/>
              <w:right w:val="single" w:sz="6" w:space="0" w:color="000000"/>
            </w:tcBorders>
            <w:vAlign w:val="center"/>
          </w:tcPr>
          <w:p w14:paraId="009F870F"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30CEB59" w14:textId="77777777" w:rsidR="007D706A" w:rsidRDefault="007D706A" w:rsidP="00F70508">
            <w:pPr>
              <w:pStyle w:val="ParagraphStyle9"/>
              <w:rPr>
                <w:rStyle w:val="CharacterStyle9"/>
              </w:rPr>
            </w:pPr>
            <w:r>
              <w:rPr>
                <w:rStyle w:val="CharacterStyle9"/>
              </w:rPr>
              <w:t>65.000,00</w:t>
            </w:r>
          </w:p>
        </w:tc>
        <w:tc>
          <w:tcPr>
            <w:tcW w:w="1395" w:type="dxa"/>
            <w:tcBorders>
              <w:bottom w:val="single" w:sz="6" w:space="0" w:color="000000"/>
              <w:right w:val="single" w:sz="6" w:space="0" w:color="000000"/>
            </w:tcBorders>
            <w:vAlign w:val="center"/>
          </w:tcPr>
          <w:p w14:paraId="21AD5ED8"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31C5B93"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1F1CC17" w14:textId="77777777" w:rsidR="007D706A" w:rsidRDefault="007D706A" w:rsidP="00F70508">
            <w:pPr>
              <w:pStyle w:val="ParagraphStyle9"/>
              <w:rPr>
                <w:rStyle w:val="CharacterStyle9"/>
              </w:rPr>
            </w:pPr>
            <w:r>
              <w:rPr>
                <w:rStyle w:val="CharacterStyle9"/>
              </w:rPr>
              <w:t>0,00</w:t>
            </w:r>
          </w:p>
        </w:tc>
      </w:tr>
      <w:tr w:rsidR="007D706A" w14:paraId="11EF194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7B35F45"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175AC332"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0FFF029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51277BA" w14:textId="77777777" w:rsidR="007D706A" w:rsidRDefault="007D706A" w:rsidP="00F70508">
            <w:pPr>
              <w:pStyle w:val="ParagraphStyle12"/>
              <w:rPr>
                <w:rStyle w:val="CharacterStyle12"/>
              </w:rPr>
            </w:pPr>
            <w:r>
              <w:rPr>
                <w:rStyle w:val="CharacterStyle12"/>
              </w:rPr>
              <w:t>65.000,00</w:t>
            </w:r>
          </w:p>
        </w:tc>
        <w:tc>
          <w:tcPr>
            <w:tcW w:w="1395" w:type="dxa"/>
            <w:tcBorders>
              <w:bottom w:val="single" w:sz="6" w:space="0" w:color="000000"/>
              <w:right w:val="single" w:sz="6" w:space="0" w:color="000000"/>
            </w:tcBorders>
            <w:vAlign w:val="center"/>
          </w:tcPr>
          <w:p w14:paraId="7087E87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8EF266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9A033C6" w14:textId="77777777" w:rsidR="007D706A" w:rsidRDefault="007D706A" w:rsidP="00F70508">
            <w:pPr>
              <w:pStyle w:val="ParagraphStyle12"/>
              <w:rPr>
                <w:rStyle w:val="CharacterStyle12"/>
              </w:rPr>
            </w:pPr>
            <w:r>
              <w:rPr>
                <w:rStyle w:val="CharacterStyle12"/>
              </w:rPr>
              <w:t>0,00</w:t>
            </w:r>
          </w:p>
        </w:tc>
      </w:tr>
      <w:tr w:rsidR="007D706A" w14:paraId="2E64062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CA9BDCB"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36E2D808"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3786891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F461D8F" w14:textId="77777777" w:rsidR="007D706A" w:rsidRDefault="007D706A" w:rsidP="00F70508">
            <w:pPr>
              <w:pStyle w:val="ParagraphStyle12"/>
              <w:rPr>
                <w:rStyle w:val="CharacterStyle12"/>
              </w:rPr>
            </w:pPr>
            <w:r>
              <w:rPr>
                <w:rStyle w:val="CharacterStyle12"/>
              </w:rPr>
              <w:t>65.000,00</w:t>
            </w:r>
          </w:p>
        </w:tc>
        <w:tc>
          <w:tcPr>
            <w:tcW w:w="1395" w:type="dxa"/>
            <w:tcBorders>
              <w:bottom w:val="single" w:sz="6" w:space="0" w:color="000000"/>
              <w:right w:val="single" w:sz="6" w:space="0" w:color="000000"/>
            </w:tcBorders>
            <w:vAlign w:val="center"/>
          </w:tcPr>
          <w:p w14:paraId="7FE8C77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03A371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460532E" w14:textId="77777777" w:rsidR="007D706A" w:rsidRDefault="007D706A" w:rsidP="00F70508">
            <w:pPr>
              <w:pStyle w:val="ParagraphStyle12"/>
              <w:rPr>
                <w:rStyle w:val="CharacterStyle12"/>
              </w:rPr>
            </w:pPr>
            <w:r>
              <w:rPr>
                <w:rStyle w:val="CharacterStyle12"/>
              </w:rPr>
              <w:t>0,00</w:t>
            </w:r>
          </w:p>
        </w:tc>
      </w:tr>
      <w:tr w:rsidR="007D706A" w14:paraId="418BEE0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E4C8BC9" w14:textId="77777777" w:rsidR="007D706A" w:rsidRDefault="007D706A" w:rsidP="00F70508">
            <w:pPr>
              <w:pStyle w:val="ParagraphStyle4"/>
              <w:rPr>
                <w:rStyle w:val="CharacterStyle4"/>
              </w:rPr>
            </w:pPr>
            <w:r>
              <w:rPr>
                <w:rStyle w:val="CharacterStyle4"/>
              </w:rPr>
              <w:t>Kapitalni projekt K103602</w:t>
            </w:r>
          </w:p>
        </w:tc>
        <w:tc>
          <w:tcPr>
            <w:tcW w:w="4995" w:type="dxa"/>
            <w:tcBorders>
              <w:bottom w:val="single" w:sz="6" w:space="0" w:color="000000"/>
              <w:right w:val="single" w:sz="6" w:space="0" w:color="000000"/>
            </w:tcBorders>
            <w:vAlign w:val="center"/>
          </w:tcPr>
          <w:p w14:paraId="699B8FC2" w14:textId="77777777" w:rsidR="007D706A" w:rsidRDefault="007D706A" w:rsidP="00F70508">
            <w:pPr>
              <w:pStyle w:val="ParagraphStyle5"/>
              <w:rPr>
                <w:rStyle w:val="CharacterStyle5"/>
              </w:rPr>
            </w:pPr>
            <w:r>
              <w:rPr>
                <w:rStyle w:val="CharacterStyle5"/>
              </w:rPr>
              <w:t>OPREMANJE PROSTORA</w:t>
            </w:r>
          </w:p>
        </w:tc>
        <w:tc>
          <w:tcPr>
            <w:tcW w:w="1395" w:type="dxa"/>
            <w:tcBorders>
              <w:bottom w:val="single" w:sz="6" w:space="0" w:color="000000"/>
              <w:right w:val="single" w:sz="6" w:space="0" w:color="000000"/>
            </w:tcBorders>
            <w:vAlign w:val="center"/>
          </w:tcPr>
          <w:p w14:paraId="0FE6FB58"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2B4507BB" w14:textId="77777777" w:rsidR="007D706A" w:rsidRDefault="007D706A" w:rsidP="00F70508">
            <w:pPr>
              <w:pStyle w:val="ParagraphStyle6"/>
              <w:rPr>
                <w:rStyle w:val="CharacterStyle6"/>
              </w:rPr>
            </w:pPr>
            <w:r>
              <w:rPr>
                <w:rStyle w:val="CharacterStyle6"/>
              </w:rPr>
              <w:t>38.493,89</w:t>
            </w:r>
          </w:p>
        </w:tc>
        <w:tc>
          <w:tcPr>
            <w:tcW w:w="1395" w:type="dxa"/>
            <w:tcBorders>
              <w:bottom w:val="single" w:sz="6" w:space="0" w:color="000000"/>
              <w:right w:val="single" w:sz="6" w:space="0" w:color="000000"/>
            </w:tcBorders>
            <w:vAlign w:val="center"/>
          </w:tcPr>
          <w:p w14:paraId="12466395" w14:textId="77777777" w:rsidR="007D706A" w:rsidRDefault="007D706A" w:rsidP="00F70508">
            <w:pPr>
              <w:pStyle w:val="ParagraphStyle6"/>
              <w:rPr>
                <w:rStyle w:val="CharacterStyle6"/>
              </w:rPr>
            </w:pPr>
            <w:r>
              <w:rPr>
                <w:rStyle w:val="CharacterStyle6"/>
              </w:rPr>
              <w:t>42.900,00</w:t>
            </w:r>
          </w:p>
        </w:tc>
        <w:tc>
          <w:tcPr>
            <w:tcW w:w="1395" w:type="dxa"/>
            <w:tcBorders>
              <w:bottom w:val="single" w:sz="6" w:space="0" w:color="000000"/>
              <w:right w:val="single" w:sz="6" w:space="0" w:color="000000"/>
            </w:tcBorders>
            <w:vAlign w:val="center"/>
          </w:tcPr>
          <w:p w14:paraId="31670C05" w14:textId="77777777" w:rsidR="007D706A" w:rsidRDefault="007D706A" w:rsidP="00F70508">
            <w:pPr>
              <w:pStyle w:val="ParagraphStyle6"/>
              <w:rPr>
                <w:rStyle w:val="CharacterStyle6"/>
              </w:rPr>
            </w:pPr>
            <w:r>
              <w:rPr>
                <w:rStyle w:val="CharacterStyle6"/>
              </w:rPr>
              <w:t>32.136,00</w:t>
            </w:r>
          </w:p>
        </w:tc>
        <w:tc>
          <w:tcPr>
            <w:tcW w:w="1395" w:type="dxa"/>
            <w:tcBorders>
              <w:bottom w:val="single" w:sz="6" w:space="0" w:color="000000"/>
              <w:right w:val="single" w:sz="6" w:space="0" w:color="000000"/>
            </w:tcBorders>
            <w:vAlign w:val="center"/>
          </w:tcPr>
          <w:p w14:paraId="5944DAD4" w14:textId="77777777" w:rsidR="007D706A" w:rsidRDefault="007D706A" w:rsidP="00F70508">
            <w:pPr>
              <w:pStyle w:val="ParagraphStyle6"/>
              <w:rPr>
                <w:rStyle w:val="CharacterStyle6"/>
              </w:rPr>
            </w:pPr>
            <w:r>
              <w:rPr>
                <w:rStyle w:val="CharacterStyle6"/>
              </w:rPr>
              <w:t>32.458,00</w:t>
            </w:r>
          </w:p>
        </w:tc>
      </w:tr>
      <w:tr w:rsidR="007D706A" w14:paraId="457E158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03660ED"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31311F4B"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448A46C1"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7C93109" w14:textId="77777777" w:rsidR="007D706A" w:rsidRDefault="007D706A" w:rsidP="00F70508">
            <w:pPr>
              <w:pStyle w:val="ParagraphStyle9"/>
              <w:rPr>
                <w:rStyle w:val="CharacterStyle9"/>
              </w:rPr>
            </w:pPr>
            <w:r>
              <w:rPr>
                <w:rStyle w:val="CharacterStyle9"/>
              </w:rPr>
              <w:t>1.296,36</w:t>
            </w:r>
          </w:p>
        </w:tc>
        <w:tc>
          <w:tcPr>
            <w:tcW w:w="1395" w:type="dxa"/>
            <w:tcBorders>
              <w:bottom w:val="single" w:sz="6" w:space="0" w:color="000000"/>
              <w:right w:val="single" w:sz="6" w:space="0" w:color="000000"/>
            </w:tcBorders>
            <w:vAlign w:val="center"/>
          </w:tcPr>
          <w:p w14:paraId="4C6ACE5B"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87B59B8"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F2DA775" w14:textId="77777777" w:rsidR="007D706A" w:rsidRDefault="007D706A" w:rsidP="00F70508">
            <w:pPr>
              <w:pStyle w:val="ParagraphStyle9"/>
              <w:rPr>
                <w:rStyle w:val="CharacterStyle9"/>
              </w:rPr>
            </w:pPr>
            <w:r>
              <w:rPr>
                <w:rStyle w:val="CharacterStyle9"/>
              </w:rPr>
              <w:t>0,00</w:t>
            </w:r>
          </w:p>
        </w:tc>
      </w:tr>
      <w:tr w:rsidR="007D706A" w14:paraId="16FFC1A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10C0C8C"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164A150D"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3316646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D174EC2" w14:textId="77777777" w:rsidR="007D706A" w:rsidRDefault="007D706A" w:rsidP="00F70508">
            <w:pPr>
              <w:pStyle w:val="ParagraphStyle12"/>
              <w:rPr>
                <w:rStyle w:val="CharacterStyle12"/>
              </w:rPr>
            </w:pPr>
            <w:r>
              <w:rPr>
                <w:rStyle w:val="CharacterStyle12"/>
              </w:rPr>
              <w:t>1.296,36</w:t>
            </w:r>
          </w:p>
        </w:tc>
        <w:tc>
          <w:tcPr>
            <w:tcW w:w="1395" w:type="dxa"/>
            <w:tcBorders>
              <w:bottom w:val="single" w:sz="6" w:space="0" w:color="000000"/>
              <w:right w:val="single" w:sz="6" w:space="0" w:color="000000"/>
            </w:tcBorders>
            <w:vAlign w:val="center"/>
          </w:tcPr>
          <w:p w14:paraId="02356C4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687A6C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D14EE1E" w14:textId="77777777" w:rsidR="007D706A" w:rsidRDefault="007D706A" w:rsidP="00F70508">
            <w:pPr>
              <w:pStyle w:val="ParagraphStyle12"/>
              <w:rPr>
                <w:rStyle w:val="CharacterStyle12"/>
              </w:rPr>
            </w:pPr>
            <w:r>
              <w:rPr>
                <w:rStyle w:val="CharacterStyle12"/>
              </w:rPr>
              <w:t>0,00</w:t>
            </w:r>
          </w:p>
        </w:tc>
      </w:tr>
      <w:tr w:rsidR="007D706A" w14:paraId="675BB07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CB3F0F6" w14:textId="77777777" w:rsidR="007D706A" w:rsidRDefault="007D706A" w:rsidP="00F70508">
            <w:pPr>
              <w:pStyle w:val="ParagraphStyle10"/>
              <w:rPr>
                <w:rStyle w:val="CharacterStyle10"/>
              </w:rPr>
            </w:pPr>
            <w:r>
              <w:rPr>
                <w:rStyle w:val="CharacterStyle10"/>
              </w:rPr>
              <w:t>42</w:t>
            </w:r>
          </w:p>
        </w:tc>
        <w:tc>
          <w:tcPr>
            <w:tcW w:w="4995" w:type="dxa"/>
            <w:tcBorders>
              <w:bottom w:val="single" w:sz="6" w:space="0" w:color="000000"/>
              <w:right w:val="single" w:sz="6" w:space="0" w:color="000000"/>
            </w:tcBorders>
            <w:vAlign w:val="center"/>
          </w:tcPr>
          <w:p w14:paraId="4E300567"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234C19F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98CA82B" w14:textId="77777777" w:rsidR="007D706A" w:rsidRDefault="007D706A" w:rsidP="00F70508">
            <w:pPr>
              <w:pStyle w:val="ParagraphStyle12"/>
              <w:rPr>
                <w:rStyle w:val="CharacterStyle12"/>
              </w:rPr>
            </w:pPr>
            <w:r>
              <w:rPr>
                <w:rStyle w:val="CharacterStyle12"/>
              </w:rPr>
              <w:t>1.296,36</w:t>
            </w:r>
          </w:p>
        </w:tc>
        <w:tc>
          <w:tcPr>
            <w:tcW w:w="1395" w:type="dxa"/>
            <w:tcBorders>
              <w:bottom w:val="single" w:sz="6" w:space="0" w:color="000000"/>
              <w:right w:val="single" w:sz="6" w:space="0" w:color="000000"/>
            </w:tcBorders>
            <w:vAlign w:val="center"/>
          </w:tcPr>
          <w:p w14:paraId="641C3D2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A620E1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EC2EF1C" w14:textId="77777777" w:rsidR="007D706A" w:rsidRDefault="007D706A" w:rsidP="00F70508">
            <w:pPr>
              <w:pStyle w:val="ParagraphStyle12"/>
              <w:rPr>
                <w:rStyle w:val="CharacterStyle12"/>
              </w:rPr>
            </w:pPr>
            <w:r>
              <w:rPr>
                <w:rStyle w:val="CharacterStyle12"/>
              </w:rPr>
              <w:t>0,00</w:t>
            </w:r>
          </w:p>
        </w:tc>
      </w:tr>
      <w:tr w:rsidR="007D706A" w14:paraId="3EAE1CD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38E3813" w14:textId="77777777" w:rsidR="007D706A" w:rsidRDefault="007D706A" w:rsidP="00F70508">
            <w:pPr>
              <w:pStyle w:val="ParagraphStyle7"/>
              <w:rPr>
                <w:rStyle w:val="CharacterStyle7"/>
              </w:rPr>
            </w:pPr>
            <w:r>
              <w:rPr>
                <w:rStyle w:val="CharacterStyle7"/>
              </w:rPr>
              <w:t>Izvor financiranja 31</w:t>
            </w:r>
          </w:p>
        </w:tc>
        <w:tc>
          <w:tcPr>
            <w:tcW w:w="4995" w:type="dxa"/>
            <w:tcBorders>
              <w:bottom w:val="single" w:sz="6" w:space="0" w:color="000000"/>
              <w:right w:val="single" w:sz="6" w:space="0" w:color="000000"/>
            </w:tcBorders>
            <w:vAlign w:val="center"/>
          </w:tcPr>
          <w:p w14:paraId="4209FF21" w14:textId="77777777" w:rsidR="007D706A" w:rsidRDefault="007D706A" w:rsidP="00F70508">
            <w:pPr>
              <w:pStyle w:val="ParagraphStyle8"/>
              <w:rPr>
                <w:rStyle w:val="CharacterStyle8"/>
              </w:rPr>
            </w:pPr>
            <w:r>
              <w:rPr>
                <w:rStyle w:val="CharacterStyle8"/>
              </w:rPr>
              <w:t>Vlastiti prihodi</w:t>
            </w:r>
          </w:p>
        </w:tc>
        <w:tc>
          <w:tcPr>
            <w:tcW w:w="1395" w:type="dxa"/>
            <w:tcBorders>
              <w:bottom w:val="single" w:sz="6" w:space="0" w:color="000000"/>
              <w:right w:val="single" w:sz="6" w:space="0" w:color="000000"/>
            </w:tcBorders>
            <w:vAlign w:val="center"/>
          </w:tcPr>
          <w:p w14:paraId="148D60BE"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EC52501"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C2951E2" w14:textId="77777777" w:rsidR="007D706A" w:rsidRDefault="007D706A" w:rsidP="00F70508">
            <w:pPr>
              <w:pStyle w:val="ParagraphStyle9"/>
              <w:rPr>
                <w:rStyle w:val="CharacterStyle9"/>
              </w:rPr>
            </w:pPr>
            <w:r>
              <w:rPr>
                <w:rStyle w:val="CharacterStyle9"/>
              </w:rPr>
              <w:t>12.000,00</w:t>
            </w:r>
          </w:p>
        </w:tc>
        <w:tc>
          <w:tcPr>
            <w:tcW w:w="1395" w:type="dxa"/>
            <w:tcBorders>
              <w:bottom w:val="single" w:sz="6" w:space="0" w:color="000000"/>
              <w:right w:val="single" w:sz="6" w:space="0" w:color="000000"/>
            </w:tcBorders>
            <w:vAlign w:val="center"/>
          </w:tcPr>
          <w:p w14:paraId="18371FA0"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5C4EC68" w14:textId="77777777" w:rsidR="007D706A" w:rsidRDefault="007D706A" w:rsidP="00F70508">
            <w:pPr>
              <w:pStyle w:val="ParagraphStyle9"/>
              <w:rPr>
                <w:rStyle w:val="CharacterStyle9"/>
              </w:rPr>
            </w:pPr>
            <w:r>
              <w:rPr>
                <w:rStyle w:val="CharacterStyle9"/>
              </w:rPr>
              <w:t>0,00</w:t>
            </w:r>
          </w:p>
        </w:tc>
      </w:tr>
      <w:tr w:rsidR="007D706A" w14:paraId="726016B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895FDE9"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6D3AB340"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7FFB95C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1AD28E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B067E95" w14:textId="77777777" w:rsidR="007D706A" w:rsidRDefault="007D706A" w:rsidP="00F70508">
            <w:pPr>
              <w:pStyle w:val="ParagraphStyle12"/>
              <w:rPr>
                <w:rStyle w:val="CharacterStyle12"/>
              </w:rPr>
            </w:pPr>
            <w:r>
              <w:rPr>
                <w:rStyle w:val="CharacterStyle12"/>
              </w:rPr>
              <w:t>12.000,00</w:t>
            </w:r>
          </w:p>
        </w:tc>
        <w:tc>
          <w:tcPr>
            <w:tcW w:w="1395" w:type="dxa"/>
            <w:tcBorders>
              <w:bottom w:val="single" w:sz="6" w:space="0" w:color="000000"/>
              <w:right w:val="single" w:sz="6" w:space="0" w:color="000000"/>
            </w:tcBorders>
            <w:vAlign w:val="center"/>
          </w:tcPr>
          <w:p w14:paraId="6332E62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2B55A90" w14:textId="77777777" w:rsidR="007D706A" w:rsidRDefault="007D706A" w:rsidP="00F70508">
            <w:pPr>
              <w:pStyle w:val="ParagraphStyle12"/>
              <w:rPr>
                <w:rStyle w:val="CharacterStyle12"/>
              </w:rPr>
            </w:pPr>
            <w:r>
              <w:rPr>
                <w:rStyle w:val="CharacterStyle12"/>
              </w:rPr>
              <w:t>0,00</w:t>
            </w:r>
          </w:p>
        </w:tc>
      </w:tr>
      <w:tr w:rsidR="007D706A" w14:paraId="28DC0D5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B541A22" w14:textId="77777777" w:rsidR="007D706A" w:rsidRDefault="007D706A" w:rsidP="00F70508">
            <w:pPr>
              <w:pStyle w:val="ParagraphStyle10"/>
              <w:rPr>
                <w:rStyle w:val="CharacterStyle10"/>
              </w:rPr>
            </w:pPr>
            <w:r>
              <w:rPr>
                <w:rStyle w:val="CharacterStyle10"/>
              </w:rPr>
              <w:t>42</w:t>
            </w:r>
          </w:p>
        </w:tc>
        <w:tc>
          <w:tcPr>
            <w:tcW w:w="4995" w:type="dxa"/>
            <w:tcBorders>
              <w:bottom w:val="single" w:sz="6" w:space="0" w:color="000000"/>
              <w:right w:val="single" w:sz="6" w:space="0" w:color="000000"/>
            </w:tcBorders>
            <w:vAlign w:val="center"/>
          </w:tcPr>
          <w:p w14:paraId="147B7846"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5FC1DAE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AF71EE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569D8CA" w14:textId="77777777" w:rsidR="007D706A" w:rsidRDefault="007D706A" w:rsidP="00F70508">
            <w:pPr>
              <w:pStyle w:val="ParagraphStyle12"/>
              <w:rPr>
                <w:rStyle w:val="CharacterStyle12"/>
              </w:rPr>
            </w:pPr>
            <w:r>
              <w:rPr>
                <w:rStyle w:val="CharacterStyle12"/>
              </w:rPr>
              <w:t>12.000,00</w:t>
            </w:r>
          </w:p>
        </w:tc>
        <w:tc>
          <w:tcPr>
            <w:tcW w:w="1395" w:type="dxa"/>
            <w:tcBorders>
              <w:bottom w:val="single" w:sz="6" w:space="0" w:color="000000"/>
              <w:right w:val="single" w:sz="6" w:space="0" w:color="000000"/>
            </w:tcBorders>
            <w:vAlign w:val="center"/>
          </w:tcPr>
          <w:p w14:paraId="28AE98C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D2894AA" w14:textId="77777777" w:rsidR="007D706A" w:rsidRDefault="007D706A" w:rsidP="00F70508">
            <w:pPr>
              <w:pStyle w:val="ParagraphStyle12"/>
              <w:rPr>
                <w:rStyle w:val="CharacterStyle12"/>
              </w:rPr>
            </w:pPr>
            <w:r>
              <w:rPr>
                <w:rStyle w:val="CharacterStyle12"/>
              </w:rPr>
              <w:t>0,00</w:t>
            </w:r>
          </w:p>
        </w:tc>
      </w:tr>
      <w:tr w:rsidR="007D706A" w14:paraId="0FCBA0A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CF84BF9" w14:textId="77777777" w:rsidR="007D706A" w:rsidRDefault="007D706A" w:rsidP="00F70508">
            <w:pPr>
              <w:pStyle w:val="ParagraphStyle7"/>
              <w:rPr>
                <w:rStyle w:val="CharacterStyle7"/>
              </w:rPr>
            </w:pPr>
            <w:r>
              <w:rPr>
                <w:rStyle w:val="CharacterStyle7"/>
              </w:rPr>
              <w:t>Izvor financiranja 41</w:t>
            </w:r>
          </w:p>
        </w:tc>
        <w:tc>
          <w:tcPr>
            <w:tcW w:w="4995" w:type="dxa"/>
            <w:tcBorders>
              <w:bottom w:val="single" w:sz="6" w:space="0" w:color="000000"/>
              <w:right w:val="single" w:sz="6" w:space="0" w:color="000000"/>
            </w:tcBorders>
            <w:vAlign w:val="center"/>
          </w:tcPr>
          <w:p w14:paraId="7C875DFA" w14:textId="77777777" w:rsidR="007D706A" w:rsidRDefault="007D706A" w:rsidP="00F70508">
            <w:pPr>
              <w:pStyle w:val="ParagraphStyle8"/>
              <w:rPr>
                <w:rStyle w:val="CharacterStyle8"/>
              </w:rPr>
            </w:pPr>
            <w:r>
              <w:rPr>
                <w:rStyle w:val="CharacterStyle8"/>
              </w:rPr>
              <w:t>Prihodi za posebne namjene</w:t>
            </w:r>
          </w:p>
        </w:tc>
        <w:tc>
          <w:tcPr>
            <w:tcW w:w="1395" w:type="dxa"/>
            <w:tcBorders>
              <w:bottom w:val="single" w:sz="6" w:space="0" w:color="000000"/>
              <w:right w:val="single" w:sz="6" w:space="0" w:color="000000"/>
            </w:tcBorders>
            <w:vAlign w:val="center"/>
          </w:tcPr>
          <w:p w14:paraId="702D4DCF"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50EE022" w14:textId="77777777" w:rsidR="007D706A" w:rsidRDefault="007D706A" w:rsidP="00F70508">
            <w:pPr>
              <w:pStyle w:val="ParagraphStyle9"/>
              <w:rPr>
                <w:rStyle w:val="CharacterStyle9"/>
              </w:rPr>
            </w:pPr>
            <w:r>
              <w:rPr>
                <w:rStyle w:val="CharacterStyle9"/>
              </w:rPr>
              <w:t>10.000,00</w:t>
            </w:r>
          </w:p>
        </w:tc>
        <w:tc>
          <w:tcPr>
            <w:tcW w:w="1395" w:type="dxa"/>
            <w:tcBorders>
              <w:bottom w:val="single" w:sz="6" w:space="0" w:color="000000"/>
              <w:right w:val="single" w:sz="6" w:space="0" w:color="000000"/>
            </w:tcBorders>
            <w:vAlign w:val="center"/>
          </w:tcPr>
          <w:p w14:paraId="76B93B69"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B291ACA"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2F583BC" w14:textId="77777777" w:rsidR="007D706A" w:rsidRDefault="007D706A" w:rsidP="00F70508">
            <w:pPr>
              <w:pStyle w:val="ParagraphStyle9"/>
              <w:rPr>
                <w:rStyle w:val="CharacterStyle9"/>
              </w:rPr>
            </w:pPr>
            <w:r>
              <w:rPr>
                <w:rStyle w:val="CharacterStyle9"/>
              </w:rPr>
              <w:t>0,00</w:t>
            </w:r>
          </w:p>
        </w:tc>
      </w:tr>
      <w:tr w:rsidR="007D706A" w14:paraId="0785B016"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1DF3350"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3AC03537"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7AC65EC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730379E" w14:textId="77777777" w:rsidR="007D706A" w:rsidRDefault="007D706A" w:rsidP="00F70508">
            <w:pPr>
              <w:pStyle w:val="ParagraphStyle12"/>
              <w:rPr>
                <w:rStyle w:val="CharacterStyle12"/>
              </w:rPr>
            </w:pPr>
            <w:r>
              <w:rPr>
                <w:rStyle w:val="CharacterStyle12"/>
              </w:rPr>
              <w:t>10.000,00</w:t>
            </w:r>
          </w:p>
        </w:tc>
        <w:tc>
          <w:tcPr>
            <w:tcW w:w="1395" w:type="dxa"/>
            <w:tcBorders>
              <w:bottom w:val="single" w:sz="6" w:space="0" w:color="000000"/>
              <w:right w:val="single" w:sz="6" w:space="0" w:color="000000"/>
            </w:tcBorders>
            <w:vAlign w:val="center"/>
          </w:tcPr>
          <w:p w14:paraId="7FD26B2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665D7A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C0F7198" w14:textId="77777777" w:rsidR="007D706A" w:rsidRDefault="007D706A" w:rsidP="00F70508">
            <w:pPr>
              <w:pStyle w:val="ParagraphStyle12"/>
              <w:rPr>
                <w:rStyle w:val="CharacterStyle12"/>
              </w:rPr>
            </w:pPr>
            <w:r>
              <w:rPr>
                <w:rStyle w:val="CharacterStyle12"/>
              </w:rPr>
              <w:t>0,00</w:t>
            </w:r>
          </w:p>
        </w:tc>
      </w:tr>
      <w:tr w:rsidR="007D706A" w14:paraId="4EDC2AB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EC0E3A1" w14:textId="77777777" w:rsidR="007D706A" w:rsidRDefault="007D706A" w:rsidP="00F70508">
            <w:pPr>
              <w:pStyle w:val="ParagraphStyle10"/>
              <w:rPr>
                <w:rStyle w:val="CharacterStyle10"/>
              </w:rPr>
            </w:pPr>
            <w:r>
              <w:rPr>
                <w:rStyle w:val="CharacterStyle10"/>
              </w:rPr>
              <w:t>42</w:t>
            </w:r>
          </w:p>
        </w:tc>
        <w:tc>
          <w:tcPr>
            <w:tcW w:w="4995" w:type="dxa"/>
            <w:tcBorders>
              <w:bottom w:val="single" w:sz="6" w:space="0" w:color="000000"/>
              <w:right w:val="single" w:sz="6" w:space="0" w:color="000000"/>
            </w:tcBorders>
            <w:vAlign w:val="center"/>
          </w:tcPr>
          <w:p w14:paraId="38E974B3"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6F2ECF5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1D628E7" w14:textId="77777777" w:rsidR="007D706A" w:rsidRDefault="007D706A" w:rsidP="00F70508">
            <w:pPr>
              <w:pStyle w:val="ParagraphStyle12"/>
              <w:rPr>
                <w:rStyle w:val="CharacterStyle12"/>
              </w:rPr>
            </w:pPr>
            <w:r>
              <w:rPr>
                <w:rStyle w:val="CharacterStyle12"/>
              </w:rPr>
              <w:t>10.000,00</w:t>
            </w:r>
          </w:p>
        </w:tc>
        <w:tc>
          <w:tcPr>
            <w:tcW w:w="1395" w:type="dxa"/>
            <w:tcBorders>
              <w:bottom w:val="single" w:sz="6" w:space="0" w:color="000000"/>
              <w:right w:val="single" w:sz="6" w:space="0" w:color="000000"/>
            </w:tcBorders>
            <w:vAlign w:val="center"/>
          </w:tcPr>
          <w:p w14:paraId="3FEC2B8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24E3BB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E550636" w14:textId="77777777" w:rsidR="007D706A" w:rsidRDefault="007D706A" w:rsidP="00F70508">
            <w:pPr>
              <w:pStyle w:val="ParagraphStyle12"/>
              <w:rPr>
                <w:rStyle w:val="CharacterStyle12"/>
              </w:rPr>
            </w:pPr>
            <w:r>
              <w:rPr>
                <w:rStyle w:val="CharacterStyle12"/>
              </w:rPr>
              <w:t>0,00</w:t>
            </w:r>
          </w:p>
        </w:tc>
      </w:tr>
      <w:tr w:rsidR="007D706A" w14:paraId="6D30979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F5EC9D9" w14:textId="77777777" w:rsidR="007D706A" w:rsidRDefault="007D706A" w:rsidP="00F70508">
            <w:pPr>
              <w:pStyle w:val="ParagraphStyle7"/>
              <w:rPr>
                <w:rStyle w:val="CharacterStyle7"/>
              </w:rPr>
            </w:pPr>
            <w:r>
              <w:rPr>
                <w:rStyle w:val="CharacterStyle7"/>
              </w:rPr>
              <w:t>Izvor financiranja 43</w:t>
            </w:r>
          </w:p>
        </w:tc>
        <w:tc>
          <w:tcPr>
            <w:tcW w:w="4995" w:type="dxa"/>
            <w:tcBorders>
              <w:bottom w:val="single" w:sz="6" w:space="0" w:color="000000"/>
              <w:right w:val="single" w:sz="6" w:space="0" w:color="000000"/>
            </w:tcBorders>
            <w:vAlign w:val="center"/>
          </w:tcPr>
          <w:p w14:paraId="22728C36" w14:textId="77777777" w:rsidR="007D706A" w:rsidRDefault="007D706A" w:rsidP="00F70508">
            <w:pPr>
              <w:pStyle w:val="ParagraphStyle8"/>
              <w:rPr>
                <w:rStyle w:val="CharacterStyle8"/>
              </w:rPr>
            </w:pPr>
            <w:r>
              <w:rPr>
                <w:rStyle w:val="CharacterStyle8"/>
              </w:rPr>
              <w:t>Ostali prihodi za posebne namjene</w:t>
            </w:r>
          </w:p>
        </w:tc>
        <w:tc>
          <w:tcPr>
            <w:tcW w:w="1395" w:type="dxa"/>
            <w:tcBorders>
              <w:bottom w:val="single" w:sz="6" w:space="0" w:color="000000"/>
              <w:right w:val="single" w:sz="6" w:space="0" w:color="000000"/>
            </w:tcBorders>
            <w:vAlign w:val="center"/>
          </w:tcPr>
          <w:p w14:paraId="1F79A931"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95C91C6"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F510BA9" w14:textId="77777777" w:rsidR="007D706A" w:rsidRDefault="007D706A" w:rsidP="00F70508">
            <w:pPr>
              <w:pStyle w:val="ParagraphStyle9"/>
              <w:rPr>
                <w:rStyle w:val="CharacterStyle9"/>
              </w:rPr>
            </w:pPr>
            <w:r>
              <w:rPr>
                <w:rStyle w:val="CharacterStyle9"/>
              </w:rPr>
              <w:t>8.000,00</w:t>
            </w:r>
          </w:p>
        </w:tc>
        <w:tc>
          <w:tcPr>
            <w:tcW w:w="1395" w:type="dxa"/>
            <w:tcBorders>
              <w:bottom w:val="single" w:sz="6" w:space="0" w:color="000000"/>
              <w:right w:val="single" w:sz="6" w:space="0" w:color="000000"/>
            </w:tcBorders>
            <w:vAlign w:val="center"/>
          </w:tcPr>
          <w:p w14:paraId="333904BF" w14:textId="77777777" w:rsidR="007D706A" w:rsidRDefault="007D706A" w:rsidP="00F70508">
            <w:pPr>
              <w:pStyle w:val="ParagraphStyle9"/>
              <w:rPr>
                <w:rStyle w:val="CharacterStyle9"/>
              </w:rPr>
            </w:pPr>
            <w:r>
              <w:rPr>
                <w:rStyle w:val="CharacterStyle9"/>
              </w:rPr>
              <w:t>8.320,00</w:t>
            </w:r>
          </w:p>
        </w:tc>
        <w:tc>
          <w:tcPr>
            <w:tcW w:w="1395" w:type="dxa"/>
            <w:tcBorders>
              <w:bottom w:val="single" w:sz="6" w:space="0" w:color="000000"/>
              <w:right w:val="single" w:sz="6" w:space="0" w:color="000000"/>
            </w:tcBorders>
            <w:vAlign w:val="center"/>
          </w:tcPr>
          <w:p w14:paraId="2D77EFA0" w14:textId="77777777" w:rsidR="007D706A" w:rsidRDefault="007D706A" w:rsidP="00F70508">
            <w:pPr>
              <w:pStyle w:val="ParagraphStyle9"/>
              <w:rPr>
                <w:rStyle w:val="CharacterStyle9"/>
              </w:rPr>
            </w:pPr>
            <w:r>
              <w:rPr>
                <w:rStyle w:val="CharacterStyle9"/>
              </w:rPr>
              <w:t>8.404,00</w:t>
            </w:r>
          </w:p>
        </w:tc>
      </w:tr>
      <w:tr w:rsidR="007D706A" w14:paraId="4AC0962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C34DDE9"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1332344D"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080D1CC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A16D27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89511F2" w14:textId="77777777" w:rsidR="007D706A" w:rsidRDefault="007D706A" w:rsidP="00F70508">
            <w:pPr>
              <w:pStyle w:val="ParagraphStyle12"/>
              <w:rPr>
                <w:rStyle w:val="CharacterStyle12"/>
              </w:rPr>
            </w:pPr>
            <w:r>
              <w:rPr>
                <w:rStyle w:val="CharacterStyle12"/>
              </w:rPr>
              <w:t>8.000,00</w:t>
            </w:r>
          </w:p>
        </w:tc>
        <w:tc>
          <w:tcPr>
            <w:tcW w:w="1395" w:type="dxa"/>
            <w:tcBorders>
              <w:bottom w:val="single" w:sz="6" w:space="0" w:color="000000"/>
              <w:right w:val="single" w:sz="6" w:space="0" w:color="000000"/>
            </w:tcBorders>
            <w:vAlign w:val="center"/>
          </w:tcPr>
          <w:p w14:paraId="69DE4E59" w14:textId="77777777" w:rsidR="007D706A" w:rsidRDefault="007D706A" w:rsidP="00F70508">
            <w:pPr>
              <w:pStyle w:val="ParagraphStyle12"/>
              <w:rPr>
                <w:rStyle w:val="CharacterStyle12"/>
              </w:rPr>
            </w:pPr>
            <w:r>
              <w:rPr>
                <w:rStyle w:val="CharacterStyle12"/>
              </w:rPr>
              <w:t>8.320,00</w:t>
            </w:r>
          </w:p>
        </w:tc>
        <w:tc>
          <w:tcPr>
            <w:tcW w:w="1395" w:type="dxa"/>
            <w:tcBorders>
              <w:bottom w:val="single" w:sz="6" w:space="0" w:color="000000"/>
              <w:right w:val="single" w:sz="6" w:space="0" w:color="000000"/>
            </w:tcBorders>
            <w:vAlign w:val="center"/>
          </w:tcPr>
          <w:p w14:paraId="10709995" w14:textId="77777777" w:rsidR="007D706A" w:rsidRDefault="007D706A" w:rsidP="00F70508">
            <w:pPr>
              <w:pStyle w:val="ParagraphStyle12"/>
              <w:rPr>
                <w:rStyle w:val="CharacterStyle12"/>
              </w:rPr>
            </w:pPr>
            <w:r>
              <w:rPr>
                <w:rStyle w:val="CharacterStyle12"/>
              </w:rPr>
              <w:t>8.404,00</w:t>
            </w:r>
          </w:p>
        </w:tc>
      </w:tr>
      <w:tr w:rsidR="007D706A" w14:paraId="3B74938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94D831A" w14:textId="77777777" w:rsidR="007D706A" w:rsidRDefault="007D706A" w:rsidP="00F70508">
            <w:pPr>
              <w:pStyle w:val="ParagraphStyle10"/>
              <w:rPr>
                <w:rStyle w:val="CharacterStyle10"/>
              </w:rPr>
            </w:pPr>
            <w:r>
              <w:rPr>
                <w:rStyle w:val="CharacterStyle10"/>
              </w:rPr>
              <w:t>42</w:t>
            </w:r>
          </w:p>
        </w:tc>
        <w:tc>
          <w:tcPr>
            <w:tcW w:w="4995" w:type="dxa"/>
            <w:tcBorders>
              <w:bottom w:val="single" w:sz="6" w:space="0" w:color="000000"/>
              <w:right w:val="single" w:sz="6" w:space="0" w:color="000000"/>
            </w:tcBorders>
            <w:vAlign w:val="center"/>
          </w:tcPr>
          <w:p w14:paraId="0DAB5EFB"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0267713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56E2C8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EAE4A8C" w14:textId="77777777" w:rsidR="007D706A" w:rsidRDefault="007D706A" w:rsidP="00F70508">
            <w:pPr>
              <w:pStyle w:val="ParagraphStyle12"/>
              <w:rPr>
                <w:rStyle w:val="CharacterStyle12"/>
              </w:rPr>
            </w:pPr>
            <w:r>
              <w:rPr>
                <w:rStyle w:val="CharacterStyle12"/>
              </w:rPr>
              <w:t>8.000,00</w:t>
            </w:r>
          </w:p>
        </w:tc>
        <w:tc>
          <w:tcPr>
            <w:tcW w:w="1395" w:type="dxa"/>
            <w:tcBorders>
              <w:bottom w:val="single" w:sz="6" w:space="0" w:color="000000"/>
              <w:right w:val="single" w:sz="6" w:space="0" w:color="000000"/>
            </w:tcBorders>
            <w:vAlign w:val="center"/>
          </w:tcPr>
          <w:p w14:paraId="7F6ECD19" w14:textId="77777777" w:rsidR="007D706A" w:rsidRDefault="007D706A" w:rsidP="00F70508">
            <w:pPr>
              <w:pStyle w:val="ParagraphStyle12"/>
              <w:rPr>
                <w:rStyle w:val="CharacterStyle12"/>
              </w:rPr>
            </w:pPr>
            <w:r>
              <w:rPr>
                <w:rStyle w:val="CharacterStyle12"/>
              </w:rPr>
              <w:t>8.320,00</w:t>
            </w:r>
          </w:p>
        </w:tc>
        <w:tc>
          <w:tcPr>
            <w:tcW w:w="1395" w:type="dxa"/>
            <w:tcBorders>
              <w:bottom w:val="single" w:sz="6" w:space="0" w:color="000000"/>
              <w:right w:val="single" w:sz="6" w:space="0" w:color="000000"/>
            </w:tcBorders>
            <w:vAlign w:val="center"/>
          </w:tcPr>
          <w:p w14:paraId="58BF3C2E" w14:textId="77777777" w:rsidR="007D706A" w:rsidRDefault="007D706A" w:rsidP="00F70508">
            <w:pPr>
              <w:pStyle w:val="ParagraphStyle12"/>
              <w:rPr>
                <w:rStyle w:val="CharacterStyle12"/>
              </w:rPr>
            </w:pPr>
            <w:r>
              <w:rPr>
                <w:rStyle w:val="CharacterStyle12"/>
              </w:rPr>
              <w:t>8.404,00</w:t>
            </w:r>
          </w:p>
        </w:tc>
      </w:tr>
      <w:tr w:rsidR="007D706A" w14:paraId="31F6470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24D0561" w14:textId="77777777" w:rsidR="007D706A" w:rsidRDefault="007D706A" w:rsidP="00F70508">
            <w:pPr>
              <w:pStyle w:val="ParagraphStyle7"/>
              <w:rPr>
                <w:rStyle w:val="CharacterStyle7"/>
              </w:rPr>
            </w:pPr>
            <w:r>
              <w:rPr>
                <w:rStyle w:val="CharacterStyle7"/>
              </w:rPr>
              <w:t>Izvor financiranja 50</w:t>
            </w:r>
          </w:p>
        </w:tc>
        <w:tc>
          <w:tcPr>
            <w:tcW w:w="4995" w:type="dxa"/>
            <w:tcBorders>
              <w:bottom w:val="single" w:sz="6" w:space="0" w:color="000000"/>
              <w:right w:val="single" w:sz="6" w:space="0" w:color="000000"/>
            </w:tcBorders>
            <w:vAlign w:val="center"/>
          </w:tcPr>
          <w:p w14:paraId="5FD41175" w14:textId="77777777" w:rsidR="007D706A" w:rsidRDefault="007D706A" w:rsidP="00F70508">
            <w:pPr>
              <w:pStyle w:val="ParagraphStyle8"/>
              <w:rPr>
                <w:rStyle w:val="CharacterStyle8"/>
              </w:rPr>
            </w:pPr>
            <w:r>
              <w:rPr>
                <w:rStyle w:val="CharacterStyle8"/>
              </w:rPr>
              <w:t>Pomoći iz državnog proračuna</w:t>
            </w:r>
          </w:p>
        </w:tc>
        <w:tc>
          <w:tcPr>
            <w:tcW w:w="1395" w:type="dxa"/>
            <w:tcBorders>
              <w:bottom w:val="single" w:sz="6" w:space="0" w:color="000000"/>
              <w:right w:val="single" w:sz="6" w:space="0" w:color="000000"/>
            </w:tcBorders>
            <w:vAlign w:val="center"/>
          </w:tcPr>
          <w:p w14:paraId="65AEB0B0"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9BD3217" w14:textId="77777777" w:rsidR="007D706A" w:rsidRDefault="007D706A" w:rsidP="00F70508">
            <w:pPr>
              <w:pStyle w:val="ParagraphStyle9"/>
              <w:rPr>
                <w:rStyle w:val="CharacterStyle9"/>
              </w:rPr>
            </w:pPr>
            <w:r>
              <w:rPr>
                <w:rStyle w:val="CharacterStyle9"/>
              </w:rPr>
              <w:t>21.000,00</w:t>
            </w:r>
          </w:p>
        </w:tc>
        <w:tc>
          <w:tcPr>
            <w:tcW w:w="1395" w:type="dxa"/>
            <w:tcBorders>
              <w:bottom w:val="single" w:sz="6" w:space="0" w:color="000000"/>
              <w:right w:val="single" w:sz="6" w:space="0" w:color="000000"/>
            </w:tcBorders>
            <w:vAlign w:val="center"/>
          </w:tcPr>
          <w:p w14:paraId="6A379A9B" w14:textId="77777777" w:rsidR="007D706A" w:rsidRDefault="007D706A" w:rsidP="00F70508">
            <w:pPr>
              <w:pStyle w:val="ParagraphStyle9"/>
              <w:rPr>
                <w:rStyle w:val="CharacterStyle9"/>
              </w:rPr>
            </w:pPr>
            <w:r>
              <w:rPr>
                <w:rStyle w:val="CharacterStyle9"/>
              </w:rPr>
              <w:t>22.700,00</w:t>
            </w:r>
          </w:p>
        </w:tc>
        <w:tc>
          <w:tcPr>
            <w:tcW w:w="1395" w:type="dxa"/>
            <w:tcBorders>
              <w:bottom w:val="single" w:sz="6" w:space="0" w:color="000000"/>
              <w:right w:val="single" w:sz="6" w:space="0" w:color="000000"/>
            </w:tcBorders>
            <w:vAlign w:val="center"/>
          </w:tcPr>
          <w:p w14:paraId="72332F0E" w14:textId="77777777" w:rsidR="007D706A" w:rsidRDefault="007D706A" w:rsidP="00F70508">
            <w:pPr>
              <w:pStyle w:val="ParagraphStyle9"/>
              <w:rPr>
                <w:rStyle w:val="CharacterStyle9"/>
              </w:rPr>
            </w:pPr>
            <w:r>
              <w:rPr>
                <w:rStyle w:val="CharacterStyle9"/>
              </w:rPr>
              <w:t>23.608,00</w:t>
            </w:r>
          </w:p>
        </w:tc>
        <w:tc>
          <w:tcPr>
            <w:tcW w:w="1395" w:type="dxa"/>
            <w:tcBorders>
              <w:bottom w:val="single" w:sz="6" w:space="0" w:color="000000"/>
              <w:right w:val="single" w:sz="6" w:space="0" w:color="000000"/>
            </w:tcBorders>
            <w:vAlign w:val="center"/>
          </w:tcPr>
          <w:p w14:paraId="30A12ADE" w14:textId="77777777" w:rsidR="007D706A" w:rsidRDefault="007D706A" w:rsidP="00F70508">
            <w:pPr>
              <w:pStyle w:val="ParagraphStyle9"/>
              <w:rPr>
                <w:rStyle w:val="CharacterStyle9"/>
              </w:rPr>
            </w:pPr>
            <w:r>
              <w:rPr>
                <w:rStyle w:val="CharacterStyle9"/>
              </w:rPr>
              <w:t>23.844,00</w:t>
            </w:r>
          </w:p>
        </w:tc>
      </w:tr>
      <w:tr w:rsidR="007D706A" w14:paraId="0E7AB7C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00F190D"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6E40F531"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4D0B411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3CD564A" w14:textId="77777777" w:rsidR="007D706A" w:rsidRDefault="007D706A" w:rsidP="00F70508">
            <w:pPr>
              <w:pStyle w:val="ParagraphStyle12"/>
              <w:rPr>
                <w:rStyle w:val="CharacterStyle12"/>
              </w:rPr>
            </w:pPr>
            <w:r>
              <w:rPr>
                <w:rStyle w:val="CharacterStyle12"/>
              </w:rPr>
              <w:t>21.000,00</w:t>
            </w:r>
          </w:p>
        </w:tc>
        <w:tc>
          <w:tcPr>
            <w:tcW w:w="1395" w:type="dxa"/>
            <w:tcBorders>
              <w:bottom w:val="single" w:sz="6" w:space="0" w:color="000000"/>
              <w:right w:val="single" w:sz="6" w:space="0" w:color="000000"/>
            </w:tcBorders>
            <w:vAlign w:val="center"/>
          </w:tcPr>
          <w:p w14:paraId="3774388A" w14:textId="77777777" w:rsidR="007D706A" w:rsidRDefault="007D706A" w:rsidP="00F70508">
            <w:pPr>
              <w:pStyle w:val="ParagraphStyle12"/>
              <w:rPr>
                <w:rStyle w:val="CharacterStyle12"/>
              </w:rPr>
            </w:pPr>
            <w:r>
              <w:rPr>
                <w:rStyle w:val="CharacterStyle12"/>
              </w:rPr>
              <w:t>22.700,00</w:t>
            </w:r>
          </w:p>
        </w:tc>
        <w:tc>
          <w:tcPr>
            <w:tcW w:w="1395" w:type="dxa"/>
            <w:tcBorders>
              <w:bottom w:val="single" w:sz="6" w:space="0" w:color="000000"/>
              <w:right w:val="single" w:sz="6" w:space="0" w:color="000000"/>
            </w:tcBorders>
            <w:vAlign w:val="center"/>
          </w:tcPr>
          <w:p w14:paraId="00A9CFF1" w14:textId="77777777" w:rsidR="007D706A" w:rsidRDefault="007D706A" w:rsidP="00F70508">
            <w:pPr>
              <w:pStyle w:val="ParagraphStyle12"/>
              <w:rPr>
                <w:rStyle w:val="CharacterStyle12"/>
              </w:rPr>
            </w:pPr>
            <w:r>
              <w:rPr>
                <w:rStyle w:val="CharacterStyle12"/>
              </w:rPr>
              <w:t>23.608,00</w:t>
            </w:r>
          </w:p>
        </w:tc>
        <w:tc>
          <w:tcPr>
            <w:tcW w:w="1395" w:type="dxa"/>
            <w:tcBorders>
              <w:bottom w:val="single" w:sz="6" w:space="0" w:color="000000"/>
              <w:right w:val="single" w:sz="6" w:space="0" w:color="000000"/>
            </w:tcBorders>
            <w:vAlign w:val="center"/>
          </w:tcPr>
          <w:p w14:paraId="0D9B00CF" w14:textId="77777777" w:rsidR="007D706A" w:rsidRDefault="007D706A" w:rsidP="00F70508">
            <w:pPr>
              <w:pStyle w:val="ParagraphStyle12"/>
              <w:rPr>
                <w:rStyle w:val="CharacterStyle12"/>
              </w:rPr>
            </w:pPr>
            <w:r>
              <w:rPr>
                <w:rStyle w:val="CharacterStyle12"/>
              </w:rPr>
              <w:t>23.844,00</w:t>
            </w:r>
          </w:p>
        </w:tc>
      </w:tr>
      <w:tr w:rsidR="007D706A" w14:paraId="566ADFA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4E92393" w14:textId="77777777" w:rsidR="007D706A" w:rsidRDefault="007D706A" w:rsidP="00F70508">
            <w:pPr>
              <w:pStyle w:val="ParagraphStyle10"/>
              <w:rPr>
                <w:rStyle w:val="CharacterStyle10"/>
              </w:rPr>
            </w:pPr>
            <w:r>
              <w:rPr>
                <w:rStyle w:val="CharacterStyle10"/>
              </w:rPr>
              <w:t>42</w:t>
            </w:r>
          </w:p>
        </w:tc>
        <w:tc>
          <w:tcPr>
            <w:tcW w:w="4995" w:type="dxa"/>
            <w:tcBorders>
              <w:bottom w:val="single" w:sz="6" w:space="0" w:color="000000"/>
              <w:right w:val="single" w:sz="6" w:space="0" w:color="000000"/>
            </w:tcBorders>
            <w:vAlign w:val="center"/>
          </w:tcPr>
          <w:p w14:paraId="4F068B2A"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4915BAC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1AAAD98" w14:textId="77777777" w:rsidR="007D706A" w:rsidRDefault="007D706A" w:rsidP="00F70508">
            <w:pPr>
              <w:pStyle w:val="ParagraphStyle12"/>
              <w:rPr>
                <w:rStyle w:val="CharacterStyle12"/>
              </w:rPr>
            </w:pPr>
            <w:r>
              <w:rPr>
                <w:rStyle w:val="CharacterStyle12"/>
              </w:rPr>
              <w:t>21.000,00</w:t>
            </w:r>
          </w:p>
        </w:tc>
        <w:tc>
          <w:tcPr>
            <w:tcW w:w="1395" w:type="dxa"/>
            <w:tcBorders>
              <w:bottom w:val="single" w:sz="6" w:space="0" w:color="000000"/>
              <w:right w:val="single" w:sz="6" w:space="0" w:color="000000"/>
            </w:tcBorders>
            <w:vAlign w:val="center"/>
          </w:tcPr>
          <w:p w14:paraId="6BD2897E" w14:textId="77777777" w:rsidR="007D706A" w:rsidRDefault="007D706A" w:rsidP="00F70508">
            <w:pPr>
              <w:pStyle w:val="ParagraphStyle12"/>
              <w:rPr>
                <w:rStyle w:val="CharacterStyle12"/>
              </w:rPr>
            </w:pPr>
            <w:r>
              <w:rPr>
                <w:rStyle w:val="CharacterStyle12"/>
              </w:rPr>
              <w:t>22.700,00</w:t>
            </w:r>
          </w:p>
        </w:tc>
        <w:tc>
          <w:tcPr>
            <w:tcW w:w="1395" w:type="dxa"/>
            <w:tcBorders>
              <w:bottom w:val="single" w:sz="6" w:space="0" w:color="000000"/>
              <w:right w:val="single" w:sz="6" w:space="0" w:color="000000"/>
            </w:tcBorders>
            <w:vAlign w:val="center"/>
          </w:tcPr>
          <w:p w14:paraId="06F1887C" w14:textId="77777777" w:rsidR="007D706A" w:rsidRDefault="007D706A" w:rsidP="00F70508">
            <w:pPr>
              <w:pStyle w:val="ParagraphStyle12"/>
              <w:rPr>
                <w:rStyle w:val="CharacterStyle12"/>
              </w:rPr>
            </w:pPr>
            <w:r>
              <w:rPr>
                <w:rStyle w:val="CharacterStyle12"/>
              </w:rPr>
              <w:t>23.608,00</w:t>
            </w:r>
          </w:p>
        </w:tc>
        <w:tc>
          <w:tcPr>
            <w:tcW w:w="1395" w:type="dxa"/>
            <w:tcBorders>
              <w:bottom w:val="single" w:sz="6" w:space="0" w:color="000000"/>
              <w:right w:val="single" w:sz="6" w:space="0" w:color="000000"/>
            </w:tcBorders>
            <w:vAlign w:val="center"/>
          </w:tcPr>
          <w:p w14:paraId="7B0DAB20" w14:textId="77777777" w:rsidR="007D706A" w:rsidRDefault="007D706A" w:rsidP="00F70508">
            <w:pPr>
              <w:pStyle w:val="ParagraphStyle12"/>
              <w:rPr>
                <w:rStyle w:val="CharacterStyle12"/>
              </w:rPr>
            </w:pPr>
            <w:r>
              <w:rPr>
                <w:rStyle w:val="CharacterStyle12"/>
              </w:rPr>
              <w:t>23.844,00</w:t>
            </w:r>
          </w:p>
        </w:tc>
      </w:tr>
      <w:tr w:rsidR="007D706A" w14:paraId="36E4B9F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D134C1B" w14:textId="77777777" w:rsidR="007D706A" w:rsidRDefault="007D706A" w:rsidP="00F70508">
            <w:pPr>
              <w:pStyle w:val="ParagraphStyle7"/>
              <w:rPr>
                <w:rStyle w:val="CharacterStyle7"/>
              </w:rPr>
            </w:pPr>
            <w:r>
              <w:rPr>
                <w:rStyle w:val="CharacterStyle7"/>
              </w:rPr>
              <w:t>Izvor financiranja 53</w:t>
            </w:r>
          </w:p>
        </w:tc>
        <w:tc>
          <w:tcPr>
            <w:tcW w:w="4995" w:type="dxa"/>
            <w:tcBorders>
              <w:bottom w:val="single" w:sz="6" w:space="0" w:color="000000"/>
              <w:right w:val="single" w:sz="6" w:space="0" w:color="000000"/>
            </w:tcBorders>
            <w:vAlign w:val="center"/>
          </w:tcPr>
          <w:p w14:paraId="485B8F5C" w14:textId="77777777" w:rsidR="007D706A" w:rsidRDefault="007D706A" w:rsidP="00F70508">
            <w:pPr>
              <w:pStyle w:val="ParagraphStyle8"/>
              <w:rPr>
                <w:rStyle w:val="CharacterStyle8"/>
              </w:rPr>
            </w:pPr>
            <w:r>
              <w:rPr>
                <w:rStyle w:val="CharacterStyle8"/>
              </w:rPr>
              <w:t>Proračuni, drugi nivoi - za posebne i / ili ugovorene namjene</w:t>
            </w:r>
          </w:p>
        </w:tc>
        <w:tc>
          <w:tcPr>
            <w:tcW w:w="1395" w:type="dxa"/>
            <w:tcBorders>
              <w:bottom w:val="single" w:sz="6" w:space="0" w:color="000000"/>
              <w:right w:val="single" w:sz="6" w:space="0" w:color="000000"/>
            </w:tcBorders>
            <w:vAlign w:val="center"/>
          </w:tcPr>
          <w:p w14:paraId="7B97974E"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1949835" w14:textId="77777777" w:rsidR="007D706A" w:rsidRDefault="007D706A" w:rsidP="00F70508">
            <w:pPr>
              <w:pStyle w:val="ParagraphStyle9"/>
              <w:rPr>
                <w:rStyle w:val="CharacterStyle9"/>
              </w:rPr>
            </w:pPr>
            <w:r>
              <w:rPr>
                <w:rStyle w:val="CharacterStyle9"/>
              </w:rPr>
              <w:t>700,00</w:t>
            </w:r>
          </w:p>
        </w:tc>
        <w:tc>
          <w:tcPr>
            <w:tcW w:w="1395" w:type="dxa"/>
            <w:tcBorders>
              <w:bottom w:val="single" w:sz="6" w:space="0" w:color="000000"/>
              <w:right w:val="single" w:sz="6" w:space="0" w:color="000000"/>
            </w:tcBorders>
            <w:vAlign w:val="center"/>
          </w:tcPr>
          <w:p w14:paraId="3C9FC8F3"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8ECE5BF"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336C308" w14:textId="77777777" w:rsidR="007D706A" w:rsidRDefault="007D706A" w:rsidP="00F70508">
            <w:pPr>
              <w:pStyle w:val="ParagraphStyle9"/>
              <w:rPr>
                <w:rStyle w:val="CharacterStyle9"/>
              </w:rPr>
            </w:pPr>
            <w:r>
              <w:rPr>
                <w:rStyle w:val="CharacterStyle9"/>
              </w:rPr>
              <w:t>0,00</w:t>
            </w:r>
          </w:p>
        </w:tc>
      </w:tr>
      <w:tr w:rsidR="007D706A" w14:paraId="1077874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FBDF038"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34B591DA"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34A9154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5A1869A" w14:textId="77777777" w:rsidR="007D706A" w:rsidRDefault="007D706A" w:rsidP="00F70508">
            <w:pPr>
              <w:pStyle w:val="ParagraphStyle12"/>
              <w:rPr>
                <w:rStyle w:val="CharacterStyle12"/>
              </w:rPr>
            </w:pPr>
            <w:r>
              <w:rPr>
                <w:rStyle w:val="CharacterStyle12"/>
              </w:rPr>
              <w:t>700,00</w:t>
            </w:r>
          </w:p>
        </w:tc>
        <w:tc>
          <w:tcPr>
            <w:tcW w:w="1395" w:type="dxa"/>
            <w:tcBorders>
              <w:bottom w:val="single" w:sz="6" w:space="0" w:color="000000"/>
              <w:right w:val="single" w:sz="6" w:space="0" w:color="000000"/>
            </w:tcBorders>
            <w:vAlign w:val="center"/>
          </w:tcPr>
          <w:p w14:paraId="30B5A4E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384EFE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DF4B95A" w14:textId="77777777" w:rsidR="007D706A" w:rsidRDefault="007D706A" w:rsidP="00F70508">
            <w:pPr>
              <w:pStyle w:val="ParagraphStyle12"/>
              <w:rPr>
                <w:rStyle w:val="CharacterStyle12"/>
              </w:rPr>
            </w:pPr>
            <w:r>
              <w:rPr>
                <w:rStyle w:val="CharacterStyle12"/>
              </w:rPr>
              <w:t>0,00</w:t>
            </w:r>
          </w:p>
        </w:tc>
      </w:tr>
      <w:tr w:rsidR="007D706A" w14:paraId="53E6F31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48CFFD0" w14:textId="77777777" w:rsidR="007D706A" w:rsidRDefault="007D706A" w:rsidP="00F70508">
            <w:pPr>
              <w:pStyle w:val="ParagraphStyle10"/>
              <w:rPr>
                <w:rStyle w:val="CharacterStyle10"/>
              </w:rPr>
            </w:pPr>
            <w:r>
              <w:rPr>
                <w:rStyle w:val="CharacterStyle10"/>
              </w:rPr>
              <w:t>42</w:t>
            </w:r>
          </w:p>
        </w:tc>
        <w:tc>
          <w:tcPr>
            <w:tcW w:w="4995" w:type="dxa"/>
            <w:tcBorders>
              <w:bottom w:val="single" w:sz="6" w:space="0" w:color="000000"/>
              <w:right w:val="single" w:sz="6" w:space="0" w:color="000000"/>
            </w:tcBorders>
            <w:vAlign w:val="center"/>
          </w:tcPr>
          <w:p w14:paraId="403EACAC"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3F7321B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EE16483" w14:textId="77777777" w:rsidR="007D706A" w:rsidRDefault="007D706A" w:rsidP="00F70508">
            <w:pPr>
              <w:pStyle w:val="ParagraphStyle12"/>
              <w:rPr>
                <w:rStyle w:val="CharacterStyle12"/>
              </w:rPr>
            </w:pPr>
            <w:r>
              <w:rPr>
                <w:rStyle w:val="CharacterStyle12"/>
              </w:rPr>
              <w:t>700,00</w:t>
            </w:r>
          </w:p>
        </w:tc>
        <w:tc>
          <w:tcPr>
            <w:tcW w:w="1395" w:type="dxa"/>
            <w:tcBorders>
              <w:bottom w:val="single" w:sz="6" w:space="0" w:color="000000"/>
              <w:right w:val="single" w:sz="6" w:space="0" w:color="000000"/>
            </w:tcBorders>
            <w:vAlign w:val="center"/>
          </w:tcPr>
          <w:p w14:paraId="67D9D92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B6D2FD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6D06608" w14:textId="77777777" w:rsidR="007D706A" w:rsidRDefault="007D706A" w:rsidP="00F70508">
            <w:pPr>
              <w:pStyle w:val="ParagraphStyle12"/>
              <w:rPr>
                <w:rStyle w:val="CharacterStyle12"/>
              </w:rPr>
            </w:pPr>
            <w:r>
              <w:rPr>
                <w:rStyle w:val="CharacterStyle12"/>
              </w:rPr>
              <w:t>0,00</w:t>
            </w:r>
          </w:p>
        </w:tc>
      </w:tr>
      <w:tr w:rsidR="007D706A" w14:paraId="4663E37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E094778" w14:textId="77777777" w:rsidR="007D706A" w:rsidRDefault="007D706A" w:rsidP="00F70508">
            <w:pPr>
              <w:pStyle w:val="ParagraphStyle7"/>
              <w:rPr>
                <w:rStyle w:val="CharacterStyle7"/>
              </w:rPr>
            </w:pPr>
            <w:r>
              <w:rPr>
                <w:rStyle w:val="CharacterStyle7"/>
              </w:rPr>
              <w:t>Izvor financiranja 61</w:t>
            </w:r>
          </w:p>
        </w:tc>
        <w:tc>
          <w:tcPr>
            <w:tcW w:w="4995" w:type="dxa"/>
            <w:tcBorders>
              <w:bottom w:val="single" w:sz="6" w:space="0" w:color="000000"/>
              <w:right w:val="single" w:sz="6" w:space="0" w:color="000000"/>
            </w:tcBorders>
            <w:vAlign w:val="center"/>
          </w:tcPr>
          <w:p w14:paraId="2507BFAE" w14:textId="77777777" w:rsidR="007D706A" w:rsidRDefault="007D706A" w:rsidP="00F70508">
            <w:pPr>
              <w:pStyle w:val="ParagraphStyle8"/>
              <w:rPr>
                <w:rStyle w:val="CharacterStyle8"/>
              </w:rPr>
            </w:pPr>
            <w:r>
              <w:rPr>
                <w:rStyle w:val="CharacterStyle8"/>
              </w:rPr>
              <w:t>Donacije</w:t>
            </w:r>
          </w:p>
        </w:tc>
        <w:tc>
          <w:tcPr>
            <w:tcW w:w="1395" w:type="dxa"/>
            <w:tcBorders>
              <w:bottom w:val="single" w:sz="6" w:space="0" w:color="000000"/>
              <w:right w:val="single" w:sz="6" w:space="0" w:color="000000"/>
            </w:tcBorders>
            <w:vAlign w:val="center"/>
          </w:tcPr>
          <w:p w14:paraId="35513E11"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8C6F370" w14:textId="77777777" w:rsidR="007D706A" w:rsidRDefault="007D706A" w:rsidP="00F70508">
            <w:pPr>
              <w:pStyle w:val="ParagraphStyle9"/>
              <w:rPr>
                <w:rStyle w:val="CharacterStyle9"/>
              </w:rPr>
            </w:pPr>
            <w:r>
              <w:rPr>
                <w:rStyle w:val="CharacterStyle9"/>
              </w:rPr>
              <w:t>200,00</w:t>
            </w:r>
          </w:p>
        </w:tc>
        <w:tc>
          <w:tcPr>
            <w:tcW w:w="1395" w:type="dxa"/>
            <w:tcBorders>
              <w:bottom w:val="single" w:sz="6" w:space="0" w:color="000000"/>
              <w:right w:val="single" w:sz="6" w:space="0" w:color="000000"/>
            </w:tcBorders>
            <w:vAlign w:val="center"/>
          </w:tcPr>
          <w:p w14:paraId="5375BA52" w14:textId="77777777" w:rsidR="007D706A" w:rsidRDefault="007D706A" w:rsidP="00F70508">
            <w:pPr>
              <w:pStyle w:val="ParagraphStyle9"/>
              <w:rPr>
                <w:rStyle w:val="CharacterStyle9"/>
              </w:rPr>
            </w:pPr>
            <w:r>
              <w:rPr>
                <w:rStyle w:val="CharacterStyle9"/>
              </w:rPr>
              <w:t>200,00</w:t>
            </w:r>
          </w:p>
        </w:tc>
        <w:tc>
          <w:tcPr>
            <w:tcW w:w="1395" w:type="dxa"/>
            <w:tcBorders>
              <w:bottom w:val="single" w:sz="6" w:space="0" w:color="000000"/>
              <w:right w:val="single" w:sz="6" w:space="0" w:color="000000"/>
            </w:tcBorders>
            <w:vAlign w:val="center"/>
          </w:tcPr>
          <w:p w14:paraId="6679C330" w14:textId="77777777" w:rsidR="007D706A" w:rsidRDefault="007D706A" w:rsidP="00F70508">
            <w:pPr>
              <w:pStyle w:val="ParagraphStyle9"/>
              <w:rPr>
                <w:rStyle w:val="CharacterStyle9"/>
              </w:rPr>
            </w:pPr>
            <w:r>
              <w:rPr>
                <w:rStyle w:val="CharacterStyle9"/>
              </w:rPr>
              <w:t>208,00</w:t>
            </w:r>
          </w:p>
        </w:tc>
        <w:tc>
          <w:tcPr>
            <w:tcW w:w="1395" w:type="dxa"/>
            <w:tcBorders>
              <w:bottom w:val="single" w:sz="6" w:space="0" w:color="000000"/>
              <w:right w:val="single" w:sz="6" w:space="0" w:color="000000"/>
            </w:tcBorders>
            <w:vAlign w:val="center"/>
          </w:tcPr>
          <w:p w14:paraId="6841FBC0" w14:textId="77777777" w:rsidR="007D706A" w:rsidRDefault="007D706A" w:rsidP="00F70508">
            <w:pPr>
              <w:pStyle w:val="ParagraphStyle9"/>
              <w:rPr>
                <w:rStyle w:val="CharacterStyle9"/>
              </w:rPr>
            </w:pPr>
            <w:r>
              <w:rPr>
                <w:rStyle w:val="CharacterStyle9"/>
              </w:rPr>
              <w:t>210,00</w:t>
            </w:r>
          </w:p>
        </w:tc>
      </w:tr>
      <w:tr w:rsidR="007D706A" w14:paraId="4276A2D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11B4473"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0E1DA3EE"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2226A52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F997C6D" w14:textId="77777777" w:rsidR="007D706A" w:rsidRDefault="007D706A" w:rsidP="00F70508">
            <w:pPr>
              <w:pStyle w:val="ParagraphStyle12"/>
              <w:rPr>
                <w:rStyle w:val="CharacterStyle12"/>
              </w:rPr>
            </w:pPr>
            <w:r>
              <w:rPr>
                <w:rStyle w:val="CharacterStyle12"/>
              </w:rPr>
              <w:t>200,00</w:t>
            </w:r>
          </w:p>
        </w:tc>
        <w:tc>
          <w:tcPr>
            <w:tcW w:w="1395" w:type="dxa"/>
            <w:tcBorders>
              <w:bottom w:val="single" w:sz="6" w:space="0" w:color="000000"/>
              <w:right w:val="single" w:sz="6" w:space="0" w:color="000000"/>
            </w:tcBorders>
            <w:vAlign w:val="center"/>
          </w:tcPr>
          <w:p w14:paraId="7E4741D7" w14:textId="77777777" w:rsidR="007D706A" w:rsidRDefault="007D706A" w:rsidP="00F70508">
            <w:pPr>
              <w:pStyle w:val="ParagraphStyle12"/>
              <w:rPr>
                <w:rStyle w:val="CharacterStyle12"/>
              </w:rPr>
            </w:pPr>
            <w:r>
              <w:rPr>
                <w:rStyle w:val="CharacterStyle12"/>
              </w:rPr>
              <w:t>200,00</w:t>
            </w:r>
          </w:p>
        </w:tc>
        <w:tc>
          <w:tcPr>
            <w:tcW w:w="1395" w:type="dxa"/>
            <w:tcBorders>
              <w:bottom w:val="single" w:sz="6" w:space="0" w:color="000000"/>
              <w:right w:val="single" w:sz="6" w:space="0" w:color="000000"/>
            </w:tcBorders>
            <w:vAlign w:val="center"/>
          </w:tcPr>
          <w:p w14:paraId="0EB5CE58" w14:textId="77777777" w:rsidR="007D706A" w:rsidRDefault="007D706A" w:rsidP="00F70508">
            <w:pPr>
              <w:pStyle w:val="ParagraphStyle12"/>
              <w:rPr>
                <w:rStyle w:val="CharacterStyle12"/>
              </w:rPr>
            </w:pPr>
            <w:r>
              <w:rPr>
                <w:rStyle w:val="CharacterStyle12"/>
              </w:rPr>
              <w:t>208,00</w:t>
            </w:r>
          </w:p>
        </w:tc>
        <w:tc>
          <w:tcPr>
            <w:tcW w:w="1395" w:type="dxa"/>
            <w:tcBorders>
              <w:bottom w:val="single" w:sz="6" w:space="0" w:color="000000"/>
              <w:right w:val="single" w:sz="6" w:space="0" w:color="000000"/>
            </w:tcBorders>
            <w:vAlign w:val="center"/>
          </w:tcPr>
          <w:p w14:paraId="6FB9B58C" w14:textId="77777777" w:rsidR="007D706A" w:rsidRDefault="007D706A" w:rsidP="00F70508">
            <w:pPr>
              <w:pStyle w:val="ParagraphStyle12"/>
              <w:rPr>
                <w:rStyle w:val="CharacterStyle12"/>
              </w:rPr>
            </w:pPr>
            <w:r>
              <w:rPr>
                <w:rStyle w:val="CharacterStyle12"/>
              </w:rPr>
              <w:t>210,00</w:t>
            </w:r>
          </w:p>
        </w:tc>
      </w:tr>
      <w:tr w:rsidR="007D706A" w14:paraId="2D0FCC5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C50CF37" w14:textId="77777777" w:rsidR="007D706A" w:rsidRDefault="007D706A" w:rsidP="00F70508">
            <w:pPr>
              <w:pStyle w:val="ParagraphStyle10"/>
              <w:rPr>
                <w:rStyle w:val="CharacterStyle10"/>
              </w:rPr>
            </w:pPr>
            <w:r>
              <w:rPr>
                <w:rStyle w:val="CharacterStyle10"/>
              </w:rPr>
              <w:t>42</w:t>
            </w:r>
          </w:p>
        </w:tc>
        <w:tc>
          <w:tcPr>
            <w:tcW w:w="4995" w:type="dxa"/>
            <w:tcBorders>
              <w:bottom w:val="single" w:sz="6" w:space="0" w:color="000000"/>
              <w:right w:val="single" w:sz="6" w:space="0" w:color="000000"/>
            </w:tcBorders>
            <w:vAlign w:val="center"/>
          </w:tcPr>
          <w:p w14:paraId="232A6007"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2BB2A75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FCB64D0" w14:textId="77777777" w:rsidR="007D706A" w:rsidRDefault="007D706A" w:rsidP="00F70508">
            <w:pPr>
              <w:pStyle w:val="ParagraphStyle12"/>
              <w:rPr>
                <w:rStyle w:val="CharacterStyle12"/>
              </w:rPr>
            </w:pPr>
            <w:r>
              <w:rPr>
                <w:rStyle w:val="CharacterStyle12"/>
              </w:rPr>
              <w:t>200,00</w:t>
            </w:r>
          </w:p>
        </w:tc>
        <w:tc>
          <w:tcPr>
            <w:tcW w:w="1395" w:type="dxa"/>
            <w:tcBorders>
              <w:bottom w:val="single" w:sz="6" w:space="0" w:color="000000"/>
              <w:right w:val="single" w:sz="6" w:space="0" w:color="000000"/>
            </w:tcBorders>
            <w:vAlign w:val="center"/>
          </w:tcPr>
          <w:p w14:paraId="38E76B16" w14:textId="77777777" w:rsidR="007D706A" w:rsidRDefault="007D706A" w:rsidP="00F70508">
            <w:pPr>
              <w:pStyle w:val="ParagraphStyle12"/>
              <w:rPr>
                <w:rStyle w:val="CharacterStyle12"/>
              </w:rPr>
            </w:pPr>
            <w:r>
              <w:rPr>
                <w:rStyle w:val="CharacterStyle12"/>
              </w:rPr>
              <w:t>200,00</w:t>
            </w:r>
          </w:p>
        </w:tc>
        <w:tc>
          <w:tcPr>
            <w:tcW w:w="1395" w:type="dxa"/>
            <w:tcBorders>
              <w:bottom w:val="single" w:sz="6" w:space="0" w:color="000000"/>
              <w:right w:val="single" w:sz="6" w:space="0" w:color="000000"/>
            </w:tcBorders>
            <w:vAlign w:val="center"/>
          </w:tcPr>
          <w:p w14:paraId="2103F7A5" w14:textId="77777777" w:rsidR="007D706A" w:rsidRDefault="007D706A" w:rsidP="00F70508">
            <w:pPr>
              <w:pStyle w:val="ParagraphStyle12"/>
              <w:rPr>
                <w:rStyle w:val="CharacterStyle12"/>
              </w:rPr>
            </w:pPr>
            <w:r>
              <w:rPr>
                <w:rStyle w:val="CharacterStyle12"/>
              </w:rPr>
              <w:t>208,00</w:t>
            </w:r>
          </w:p>
        </w:tc>
        <w:tc>
          <w:tcPr>
            <w:tcW w:w="1395" w:type="dxa"/>
            <w:tcBorders>
              <w:bottom w:val="single" w:sz="6" w:space="0" w:color="000000"/>
              <w:right w:val="single" w:sz="6" w:space="0" w:color="000000"/>
            </w:tcBorders>
            <w:vAlign w:val="center"/>
          </w:tcPr>
          <w:p w14:paraId="304047D0" w14:textId="77777777" w:rsidR="007D706A" w:rsidRDefault="007D706A" w:rsidP="00F70508">
            <w:pPr>
              <w:pStyle w:val="ParagraphStyle12"/>
              <w:rPr>
                <w:rStyle w:val="CharacterStyle12"/>
              </w:rPr>
            </w:pPr>
            <w:r>
              <w:rPr>
                <w:rStyle w:val="CharacterStyle12"/>
              </w:rPr>
              <w:t>210,00</w:t>
            </w:r>
          </w:p>
        </w:tc>
      </w:tr>
      <w:tr w:rsidR="007D706A" w14:paraId="6956945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21F9813" w14:textId="77777777" w:rsidR="007D706A" w:rsidRDefault="007D706A" w:rsidP="00F70508">
            <w:pPr>
              <w:pStyle w:val="ParagraphStyle7"/>
              <w:rPr>
                <w:rStyle w:val="CharacterStyle7"/>
              </w:rPr>
            </w:pPr>
            <w:r>
              <w:rPr>
                <w:rStyle w:val="CharacterStyle7"/>
              </w:rPr>
              <w:t>Izvor financiranja 82</w:t>
            </w:r>
          </w:p>
        </w:tc>
        <w:tc>
          <w:tcPr>
            <w:tcW w:w="4995" w:type="dxa"/>
            <w:tcBorders>
              <w:bottom w:val="single" w:sz="6" w:space="0" w:color="000000"/>
              <w:right w:val="single" w:sz="6" w:space="0" w:color="000000"/>
            </w:tcBorders>
            <w:vAlign w:val="center"/>
          </w:tcPr>
          <w:p w14:paraId="2119E2A7" w14:textId="77777777" w:rsidR="007D706A" w:rsidRDefault="007D706A" w:rsidP="00F70508">
            <w:pPr>
              <w:pStyle w:val="ParagraphStyle8"/>
              <w:rPr>
                <w:rStyle w:val="CharacterStyle8"/>
              </w:rPr>
            </w:pPr>
            <w:r>
              <w:rPr>
                <w:rStyle w:val="CharacterStyle8"/>
              </w:rPr>
              <w:t>Preneseni viškovi iz ranijih godina</w:t>
            </w:r>
          </w:p>
        </w:tc>
        <w:tc>
          <w:tcPr>
            <w:tcW w:w="1395" w:type="dxa"/>
            <w:tcBorders>
              <w:bottom w:val="single" w:sz="6" w:space="0" w:color="000000"/>
              <w:right w:val="single" w:sz="6" w:space="0" w:color="000000"/>
            </w:tcBorders>
            <w:vAlign w:val="center"/>
          </w:tcPr>
          <w:p w14:paraId="7918DAA9"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98975DD" w14:textId="77777777" w:rsidR="007D706A" w:rsidRDefault="007D706A" w:rsidP="00F70508">
            <w:pPr>
              <w:pStyle w:val="ParagraphStyle9"/>
              <w:rPr>
                <w:rStyle w:val="CharacterStyle9"/>
              </w:rPr>
            </w:pPr>
            <w:r>
              <w:rPr>
                <w:rStyle w:val="CharacterStyle9"/>
              </w:rPr>
              <w:t>5.297,53</w:t>
            </w:r>
          </w:p>
        </w:tc>
        <w:tc>
          <w:tcPr>
            <w:tcW w:w="1395" w:type="dxa"/>
            <w:tcBorders>
              <w:bottom w:val="single" w:sz="6" w:space="0" w:color="000000"/>
              <w:right w:val="single" w:sz="6" w:space="0" w:color="000000"/>
            </w:tcBorders>
            <w:vAlign w:val="center"/>
          </w:tcPr>
          <w:p w14:paraId="397B6B7D"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ED769D5"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903FEE6" w14:textId="77777777" w:rsidR="007D706A" w:rsidRDefault="007D706A" w:rsidP="00F70508">
            <w:pPr>
              <w:pStyle w:val="ParagraphStyle9"/>
              <w:rPr>
                <w:rStyle w:val="CharacterStyle9"/>
              </w:rPr>
            </w:pPr>
            <w:r>
              <w:rPr>
                <w:rStyle w:val="CharacterStyle9"/>
              </w:rPr>
              <w:t>0,00</w:t>
            </w:r>
          </w:p>
        </w:tc>
      </w:tr>
      <w:tr w:rsidR="007D706A" w14:paraId="21C2AEF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984F4AB"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3CAB06A8"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082B404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E4D0D06" w14:textId="77777777" w:rsidR="007D706A" w:rsidRDefault="007D706A" w:rsidP="00F70508">
            <w:pPr>
              <w:pStyle w:val="ParagraphStyle12"/>
              <w:rPr>
                <w:rStyle w:val="CharacterStyle12"/>
              </w:rPr>
            </w:pPr>
            <w:r>
              <w:rPr>
                <w:rStyle w:val="CharacterStyle12"/>
              </w:rPr>
              <w:t>5.297,53</w:t>
            </w:r>
          </w:p>
        </w:tc>
        <w:tc>
          <w:tcPr>
            <w:tcW w:w="1395" w:type="dxa"/>
            <w:tcBorders>
              <w:bottom w:val="single" w:sz="6" w:space="0" w:color="000000"/>
              <w:right w:val="single" w:sz="6" w:space="0" w:color="000000"/>
            </w:tcBorders>
            <w:vAlign w:val="center"/>
          </w:tcPr>
          <w:p w14:paraId="6CF9925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D701AD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0C2F1CB" w14:textId="77777777" w:rsidR="007D706A" w:rsidRDefault="007D706A" w:rsidP="00F70508">
            <w:pPr>
              <w:pStyle w:val="ParagraphStyle12"/>
              <w:rPr>
                <w:rStyle w:val="CharacterStyle12"/>
              </w:rPr>
            </w:pPr>
            <w:r>
              <w:rPr>
                <w:rStyle w:val="CharacterStyle12"/>
              </w:rPr>
              <w:t>0,00</w:t>
            </w:r>
          </w:p>
        </w:tc>
      </w:tr>
      <w:tr w:rsidR="007D706A" w14:paraId="254DCCA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4C03398" w14:textId="77777777" w:rsidR="007D706A" w:rsidRDefault="007D706A" w:rsidP="00F70508">
            <w:pPr>
              <w:pStyle w:val="ParagraphStyle10"/>
              <w:rPr>
                <w:rStyle w:val="CharacterStyle10"/>
              </w:rPr>
            </w:pPr>
            <w:r>
              <w:rPr>
                <w:rStyle w:val="CharacterStyle10"/>
              </w:rPr>
              <w:t>42</w:t>
            </w:r>
          </w:p>
        </w:tc>
        <w:tc>
          <w:tcPr>
            <w:tcW w:w="4995" w:type="dxa"/>
            <w:tcBorders>
              <w:bottom w:val="single" w:sz="6" w:space="0" w:color="000000"/>
              <w:right w:val="single" w:sz="6" w:space="0" w:color="000000"/>
            </w:tcBorders>
            <w:vAlign w:val="center"/>
          </w:tcPr>
          <w:p w14:paraId="1C882896"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2E89B83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46CF8E2" w14:textId="77777777" w:rsidR="007D706A" w:rsidRDefault="007D706A" w:rsidP="00F70508">
            <w:pPr>
              <w:pStyle w:val="ParagraphStyle12"/>
              <w:rPr>
                <w:rStyle w:val="CharacterStyle12"/>
              </w:rPr>
            </w:pPr>
            <w:r>
              <w:rPr>
                <w:rStyle w:val="CharacterStyle12"/>
              </w:rPr>
              <w:t>5.297,53</w:t>
            </w:r>
          </w:p>
        </w:tc>
        <w:tc>
          <w:tcPr>
            <w:tcW w:w="1395" w:type="dxa"/>
            <w:tcBorders>
              <w:bottom w:val="single" w:sz="6" w:space="0" w:color="000000"/>
              <w:right w:val="single" w:sz="6" w:space="0" w:color="000000"/>
            </w:tcBorders>
            <w:vAlign w:val="center"/>
          </w:tcPr>
          <w:p w14:paraId="1394ED5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360EF9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8D4C31B" w14:textId="77777777" w:rsidR="007D706A" w:rsidRDefault="007D706A" w:rsidP="00F70508">
            <w:pPr>
              <w:pStyle w:val="ParagraphStyle12"/>
              <w:rPr>
                <w:rStyle w:val="CharacterStyle12"/>
              </w:rPr>
            </w:pPr>
            <w:r>
              <w:rPr>
                <w:rStyle w:val="CharacterStyle12"/>
              </w:rPr>
              <w:t>0,00</w:t>
            </w:r>
          </w:p>
        </w:tc>
      </w:tr>
      <w:tr w:rsidR="007D706A" w14:paraId="0878919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4B2224D" w14:textId="77777777" w:rsidR="007D706A" w:rsidRDefault="007D706A" w:rsidP="00F70508">
            <w:pPr>
              <w:pStyle w:val="ParagraphStyle4"/>
              <w:rPr>
                <w:rStyle w:val="CharacterStyle4"/>
              </w:rPr>
            </w:pPr>
            <w:r>
              <w:rPr>
                <w:rStyle w:val="CharacterStyle4"/>
              </w:rPr>
              <w:t>Tekući projekt T103625</w:t>
            </w:r>
          </w:p>
        </w:tc>
        <w:tc>
          <w:tcPr>
            <w:tcW w:w="4995" w:type="dxa"/>
            <w:tcBorders>
              <w:bottom w:val="single" w:sz="6" w:space="0" w:color="000000"/>
              <w:right w:val="single" w:sz="6" w:space="0" w:color="000000"/>
            </w:tcBorders>
            <w:vAlign w:val="center"/>
          </w:tcPr>
          <w:p w14:paraId="30DABDD0" w14:textId="77777777" w:rsidR="007D706A" w:rsidRDefault="007D706A" w:rsidP="00F70508">
            <w:pPr>
              <w:pStyle w:val="ParagraphStyle5"/>
              <w:rPr>
                <w:rStyle w:val="CharacterStyle5"/>
              </w:rPr>
            </w:pPr>
            <w:r>
              <w:rPr>
                <w:rStyle w:val="CharacterStyle5"/>
              </w:rPr>
              <w:t>UNUTARNJE UREĐENJE ZGRADE</w:t>
            </w:r>
          </w:p>
        </w:tc>
        <w:tc>
          <w:tcPr>
            <w:tcW w:w="1395" w:type="dxa"/>
            <w:tcBorders>
              <w:bottom w:val="single" w:sz="6" w:space="0" w:color="000000"/>
              <w:right w:val="single" w:sz="6" w:space="0" w:color="000000"/>
            </w:tcBorders>
            <w:vAlign w:val="center"/>
          </w:tcPr>
          <w:p w14:paraId="52B0A63C"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5DE6252F"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612D70A9" w14:textId="77777777" w:rsidR="007D706A" w:rsidRDefault="007D706A" w:rsidP="00F70508">
            <w:pPr>
              <w:pStyle w:val="ParagraphStyle6"/>
              <w:rPr>
                <w:rStyle w:val="CharacterStyle6"/>
              </w:rPr>
            </w:pPr>
            <w:r>
              <w:rPr>
                <w:rStyle w:val="CharacterStyle6"/>
              </w:rPr>
              <w:t>31.000,00</w:t>
            </w:r>
          </w:p>
        </w:tc>
        <w:tc>
          <w:tcPr>
            <w:tcW w:w="1395" w:type="dxa"/>
            <w:tcBorders>
              <w:bottom w:val="single" w:sz="6" w:space="0" w:color="000000"/>
              <w:right w:val="single" w:sz="6" w:space="0" w:color="000000"/>
            </w:tcBorders>
            <w:vAlign w:val="center"/>
          </w:tcPr>
          <w:p w14:paraId="2747F583" w14:textId="77777777" w:rsidR="007D706A" w:rsidRDefault="007D706A" w:rsidP="00F70508">
            <w:pPr>
              <w:pStyle w:val="ParagraphStyle6"/>
              <w:rPr>
                <w:rStyle w:val="CharacterStyle6"/>
              </w:rPr>
            </w:pPr>
            <w:r>
              <w:rPr>
                <w:rStyle w:val="CharacterStyle6"/>
              </w:rPr>
              <w:t>32.240,00</w:t>
            </w:r>
          </w:p>
        </w:tc>
        <w:tc>
          <w:tcPr>
            <w:tcW w:w="1395" w:type="dxa"/>
            <w:tcBorders>
              <w:bottom w:val="single" w:sz="6" w:space="0" w:color="000000"/>
              <w:right w:val="single" w:sz="6" w:space="0" w:color="000000"/>
            </w:tcBorders>
            <w:vAlign w:val="center"/>
          </w:tcPr>
          <w:p w14:paraId="0EA26E92" w14:textId="77777777" w:rsidR="007D706A" w:rsidRDefault="007D706A" w:rsidP="00F70508">
            <w:pPr>
              <w:pStyle w:val="ParagraphStyle6"/>
              <w:rPr>
                <w:rStyle w:val="CharacterStyle6"/>
              </w:rPr>
            </w:pPr>
            <w:r>
              <w:rPr>
                <w:rStyle w:val="CharacterStyle6"/>
              </w:rPr>
              <w:t>32.563,00</w:t>
            </w:r>
          </w:p>
        </w:tc>
      </w:tr>
      <w:tr w:rsidR="007D706A" w14:paraId="0CBC824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474EF79"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6513A43C"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3D90833D"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C079526"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9F1B269" w14:textId="77777777" w:rsidR="007D706A" w:rsidRDefault="007D706A" w:rsidP="00F70508">
            <w:pPr>
              <w:pStyle w:val="ParagraphStyle9"/>
              <w:rPr>
                <w:rStyle w:val="CharacterStyle9"/>
              </w:rPr>
            </w:pPr>
            <w:r>
              <w:rPr>
                <w:rStyle w:val="CharacterStyle9"/>
              </w:rPr>
              <w:t>31.000,00</w:t>
            </w:r>
          </w:p>
        </w:tc>
        <w:tc>
          <w:tcPr>
            <w:tcW w:w="1395" w:type="dxa"/>
            <w:tcBorders>
              <w:bottom w:val="single" w:sz="6" w:space="0" w:color="000000"/>
              <w:right w:val="single" w:sz="6" w:space="0" w:color="000000"/>
            </w:tcBorders>
            <w:vAlign w:val="center"/>
          </w:tcPr>
          <w:p w14:paraId="48565DA8" w14:textId="77777777" w:rsidR="007D706A" w:rsidRDefault="007D706A" w:rsidP="00F70508">
            <w:pPr>
              <w:pStyle w:val="ParagraphStyle9"/>
              <w:rPr>
                <w:rStyle w:val="CharacterStyle9"/>
              </w:rPr>
            </w:pPr>
            <w:r>
              <w:rPr>
                <w:rStyle w:val="CharacterStyle9"/>
              </w:rPr>
              <w:t>32.240,00</w:t>
            </w:r>
          </w:p>
        </w:tc>
        <w:tc>
          <w:tcPr>
            <w:tcW w:w="1395" w:type="dxa"/>
            <w:tcBorders>
              <w:bottom w:val="single" w:sz="6" w:space="0" w:color="000000"/>
              <w:right w:val="single" w:sz="6" w:space="0" w:color="000000"/>
            </w:tcBorders>
            <w:vAlign w:val="center"/>
          </w:tcPr>
          <w:p w14:paraId="3453C515" w14:textId="77777777" w:rsidR="007D706A" w:rsidRDefault="007D706A" w:rsidP="00F70508">
            <w:pPr>
              <w:pStyle w:val="ParagraphStyle9"/>
              <w:rPr>
                <w:rStyle w:val="CharacterStyle9"/>
              </w:rPr>
            </w:pPr>
            <w:r>
              <w:rPr>
                <w:rStyle w:val="CharacterStyle9"/>
              </w:rPr>
              <w:t>32.563,00</w:t>
            </w:r>
          </w:p>
        </w:tc>
      </w:tr>
      <w:tr w:rsidR="007D706A" w14:paraId="4FA9382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6DFD5B6"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441665C2"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2A4A979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AA787E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8166EC8" w14:textId="77777777" w:rsidR="007D706A" w:rsidRDefault="007D706A" w:rsidP="00F70508">
            <w:pPr>
              <w:pStyle w:val="ParagraphStyle12"/>
              <w:rPr>
                <w:rStyle w:val="CharacterStyle12"/>
              </w:rPr>
            </w:pPr>
            <w:r>
              <w:rPr>
                <w:rStyle w:val="CharacterStyle12"/>
              </w:rPr>
              <w:t>31.000,00</w:t>
            </w:r>
          </w:p>
        </w:tc>
        <w:tc>
          <w:tcPr>
            <w:tcW w:w="1395" w:type="dxa"/>
            <w:tcBorders>
              <w:bottom w:val="single" w:sz="6" w:space="0" w:color="000000"/>
              <w:right w:val="single" w:sz="6" w:space="0" w:color="000000"/>
            </w:tcBorders>
            <w:vAlign w:val="center"/>
          </w:tcPr>
          <w:p w14:paraId="6FA4C6C5" w14:textId="77777777" w:rsidR="007D706A" w:rsidRDefault="007D706A" w:rsidP="00F70508">
            <w:pPr>
              <w:pStyle w:val="ParagraphStyle12"/>
              <w:rPr>
                <w:rStyle w:val="CharacterStyle12"/>
              </w:rPr>
            </w:pPr>
            <w:r>
              <w:rPr>
                <w:rStyle w:val="CharacterStyle12"/>
              </w:rPr>
              <w:t>32.240,00</w:t>
            </w:r>
          </w:p>
        </w:tc>
        <w:tc>
          <w:tcPr>
            <w:tcW w:w="1395" w:type="dxa"/>
            <w:tcBorders>
              <w:bottom w:val="single" w:sz="6" w:space="0" w:color="000000"/>
              <w:right w:val="single" w:sz="6" w:space="0" w:color="000000"/>
            </w:tcBorders>
            <w:vAlign w:val="center"/>
          </w:tcPr>
          <w:p w14:paraId="1F6A64C9" w14:textId="77777777" w:rsidR="007D706A" w:rsidRDefault="007D706A" w:rsidP="00F70508">
            <w:pPr>
              <w:pStyle w:val="ParagraphStyle12"/>
              <w:rPr>
                <w:rStyle w:val="CharacterStyle12"/>
              </w:rPr>
            </w:pPr>
            <w:r>
              <w:rPr>
                <w:rStyle w:val="CharacterStyle12"/>
              </w:rPr>
              <w:t>32.563,00</w:t>
            </w:r>
          </w:p>
        </w:tc>
      </w:tr>
      <w:tr w:rsidR="007D706A" w14:paraId="78B4DA7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9DD094A"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1FBA27CA"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439523E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B90607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CD18A7F" w14:textId="77777777" w:rsidR="007D706A" w:rsidRDefault="007D706A" w:rsidP="00F70508">
            <w:pPr>
              <w:pStyle w:val="ParagraphStyle12"/>
              <w:rPr>
                <w:rStyle w:val="CharacterStyle12"/>
              </w:rPr>
            </w:pPr>
            <w:r>
              <w:rPr>
                <w:rStyle w:val="CharacterStyle12"/>
              </w:rPr>
              <w:t>31.000,00</w:t>
            </w:r>
          </w:p>
        </w:tc>
        <w:tc>
          <w:tcPr>
            <w:tcW w:w="1395" w:type="dxa"/>
            <w:tcBorders>
              <w:bottom w:val="single" w:sz="6" w:space="0" w:color="000000"/>
              <w:right w:val="single" w:sz="6" w:space="0" w:color="000000"/>
            </w:tcBorders>
            <w:vAlign w:val="center"/>
          </w:tcPr>
          <w:p w14:paraId="0DBB1F1A" w14:textId="77777777" w:rsidR="007D706A" w:rsidRDefault="007D706A" w:rsidP="00F70508">
            <w:pPr>
              <w:pStyle w:val="ParagraphStyle12"/>
              <w:rPr>
                <w:rStyle w:val="CharacterStyle12"/>
              </w:rPr>
            </w:pPr>
            <w:r>
              <w:rPr>
                <w:rStyle w:val="CharacterStyle12"/>
              </w:rPr>
              <w:t>32.240,00</w:t>
            </w:r>
          </w:p>
        </w:tc>
        <w:tc>
          <w:tcPr>
            <w:tcW w:w="1395" w:type="dxa"/>
            <w:tcBorders>
              <w:bottom w:val="single" w:sz="6" w:space="0" w:color="000000"/>
              <w:right w:val="single" w:sz="6" w:space="0" w:color="000000"/>
            </w:tcBorders>
            <w:vAlign w:val="center"/>
          </w:tcPr>
          <w:p w14:paraId="5EA4F0C0" w14:textId="77777777" w:rsidR="007D706A" w:rsidRDefault="007D706A" w:rsidP="00F70508">
            <w:pPr>
              <w:pStyle w:val="ParagraphStyle12"/>
              <w:rPr>
                <w:rStyle w:val="CharacterStyle12"/>
              </w:rPr>
            </w:pPr>
            <w:r>
              <w:rPr>
                <w:rStyle w:val="CharacterStyle12"/>
              </w:rPr>
              <w:t>32.563,00</w:t>
            </w:r>
          </w:p>
        </w:tc>
      </w:tr>
      <w:tr w:rsidR="007D706A" w14:paraId="281EBFA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D2D72C6" w14:textId="77777777" w:rsidR="007D706A" w:rsidRDefault="007D706A" w:rsidP="00F70508">
            <w:pPr>
              <w:pStyle w:val="ParagraphStyle4"/>
              <w:rPr>
                <w:rStyle w:val="CharacterStyle4"/>
              </w:rPr>
            </w:pPr>
            <w:r>
              <w:rPr>
                <w:rStyle w:val="CharacterStyle4"/>
              </w:rPr>
              <w:t>Tekući projekt T103628</w:t>
            </w:r>
          </w:p>
        </w:tc>
        <w:tc>
          <w:tcPr>
            <w:tcW w:w="4995" w:type="dxa"/>
            <w:tcBorders>
              <w:bottom w:val="single" w:sz="6" w:space="0" w:color="000000"/>
              <w:right w:val="single" w:sz="6" w:space="0" w:color="000000"/>
            </w:tcBorders>
            <w:vAlign w:val="center"/>
          </w:tcPr>
          <w:p w14:paraId="6398FFA7" w14:textId="77777777" w:rsidR="007D706A" w:rsidRDefault="007D706A" w:rsidP="00F70508">
            <w:pPr>
              <w:pStyle w:val="ParagraphStyle5"/>
              <w:rPr>
                <w:rStyle w:val="CharacterStyle5"/>
              </w:rPr>
            </w:pPr>
            <w:r>
              <w:rPr>
                <w:rStyle w:val="CharacterStyle5"/>
              </w:rPr>
              <w:t>POMOĆNICI U NASTAVI</w:t>
            </w:r>
          </w:p>
        </w:tc>
        <w:tc>
          <w:tcPr>
            <w:tcW w:w="1395" w:type="dxa"/>
            <w:tcBorders>
              <w:bottom w:val="single" w:sz="6" w:space="0" w:color="000000"/>
              <w:right w:val="single" w:sz="6" w:space="0" w:color="000000"/>
            </w:tcBorders>
            <w:vAlign w:val="center"/>
          </w:tcPr>
          <w:p w14:paraId="7F948ED1"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0137F060" w14:textId="77777777" w:rsidR="007D706A" w:rsidRDefault="007D706A" w:rsidP="00F70508">
            <w:pPr>
              <w:pStyle w:val="ParagraphStyle6"/>
              <w:rPr>
                <w:rStyle w:val="CharacterStyle6"/>
              </w:rPr>
            </w:pPr>
            <w:r>
              <w:rPr>
                <w:rStyle w:val="CharacterStyle6"/>
              </w:rPr>
              <w:t>98.500,00</w:t>
            </w:r>
          </w:p>
        </w:tc>
        <w:tc>
          <w:tcPr>
            <w:tcW w:w="1395" w:type="dxa"/>
            <w:tcBorders>
              <w:bottom w:val="single" w:sz="6" w:space="0" w:color="000000"/>
              <w:right w:val="single" w:sz="6" w:space="0" w:color="000000"/>
            </w:tcBorders>
            <w:vAlign w:val="center"/>
          </w:tcPr>
          <w:p w14:paraId="5A0D3D82" w14:textId="77777777" w:rsidR="007D706A" w:rsidRDefault="007D706A" w:rsidP="00F70508">
            <w:pPr>
              <w:pStyle w:val="ParagraphStyle6"/>
              <w:rPr>
                <w:rStyle w:val="CharacterStyle6"/>
              </w:rPr>
            </w:pPr>
            <w:r>
              <w:rPr>
                <w:rStyle w:val="CharacterStyle6"/>
              </w:rPr>
              <w:t>102.500,00</w:t>
            </w:r>
          </w:p>
        </w:tc>
        <w:tc>
          <w:tcPr>
            <w:tcW w:w="1395" w:type="dxa"/>
            <w:tcBorders>
              <w:bottom w:val="single" w:sz="6" w:space="0" w:color="000000"/>
              <w:right w:val="single" w:sz="6" w:space="0" w:color="000000"/>
            </w:tcBorders>
            <w:vAlign w:val="center"/>
          </w:tcPr>
          <w:p w14:paraId="48FD8BA1" w14:textId="77777777" w:rsidR="007D706A" w:rsidRDefault="007D706A" w:rsidP="00F70508">
            <w:pPr>
              <w:pStyle w:val="ParagraphStyle6"/>
              <w:rPr>
                <w:rStyle w:val="CharacterStyle6"/>
              </w:rPr>
            </w:pPr>
            <w:r>
              <w:rPr>
                <w:rStyle w:val="CharacterStyle6"/>
              </w:rPr>
              <w:t>106.600,00</w:t>
            </w:r>
          </w:p>
        </w:tc>
        <w:tc>
          <w:tcPr>
            <w:tcW w:w="1395" w:type="dxa"/>
            <w:tcBorders>
              <w:bottom w:val="single" w:sz="6" w:space="0" w:color="000000"/>
              <w:right w:val="single" w:sz="6" w:space="0" w:color="000000"/>
            </w:tcBorders>
            <w:vAlign w:val="center"/>
          </w:tcPr>
          <w:p w14:paraId="41E277E7" w14:textId="77777777" w:rsidR="007D706A" w:rsidRDefault="007D706A" w:rsidP="00F70508">
            <w:pPr>
              <w:pStyle w:val="ParagraphStyle6"/>
              <w:rPr>
                <w:rStyle w:val="CharacterStyle6"/>
              </w:rPr>
            </w:pPr>
            <w:r>
              <w:rPr>
                <w:rStyle w:val="CharacterStyle6"/>
              </w:rPr>
              <w:t>107.668,00</w:t>
            </w:r>
          </w:p>
        </w:tc>
      </w:tr>
      <w:tr w:rsidR="007D706A" w14:paraId="120C258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EAAF7E8" w14:textId="77777777" w:rsidR="007D706A" w:rsidRDefault="007D706A" w:rsidP="00F70508">
            <w:pPr>
              <w:pStyle w:val="ParagraphStyle7"/>
              <w:rPr>
                <w:rStyle w:val="CharacterStyle7"/>
              </w:rPr>
            </w:pPr>
            <w:r>
              <w:rPr>
                <w:rStyle w:val="CharacterStyle7"/>
              </w:rPr>
              <w:t>Izvor financiranja 54</w:t>
            </w:r>
          </w:p>
        </w:tc>
        <w:tc>
          <w:tcPr>
            <w:tcW w:w="4995" w:type="dxa"/>
            <w:tcBorders>
              <w:bottom w:val="single" w:sz="6" w:space="0" w:color="000000"/>
              <w:right w:val="single" w:sz="6" w:space="0" w:color="000000"/>
            </w:tcBorders>
            <w:vAlign w:val="center"/>
          </w:tcPr>
          <w:p w14:paraId="3FF54663" w14:textId="77777777" w:rsidR="007D706A" w:rsidRDefault="007D706A" w:rsidP="00F70508">
            <w:pPr>
              <w:pStyle w:val="ParagraphStyle8"/>
              <w:rPr>
                <w:rStyle w:val="CharacterStyle8"/>
              </w:rPr>
            </w:pPr>
            <w:r>
              <w:rPr>
                <w:rStyle w:val="CharacterStyle8"/>
              </w:rPr>
              <w:t>Pomoći tijela i fondova EU</w:t>
            </w:r>
          </w:p>
        </w:tc>
        <w:tc>
          <w:tcPr>
            <w:tcW w:w="1395" w:type="dxa"/>
            <w:tcBorders>
              <w:bottom w:val="single" w:sz="6" w:space="0" w:color="000000"/>
              <w:right w:val="single" w:sz="6" w:space="0" w:color="000000"/>
            </w:tcBorders>
            <w:vAlign w:val="center"/>
          </w:tcPr>
          <w:p w14:paraId="3F9A2C44"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8A1008D" w14:textId="77777777" w:rsidR="007D706A" w:rsidRDefault="007D706A" w:rsidP="00F70508">
            <w:pPr>
              <w:pStyle w:val="ParagraphStyle9"/>
              <w:rPr>
                <w:rStyle w:val="CharacterStyle9"/>
              </w:rPr>
            </w:pPr>
            <w:r>
              <w:rPr>
                <w:rStyle w:val="CharacterStyle9"/>
              </w:rPr>
              <w:t>98.500,00</w:t>
            </w:r>
          </w:p>
        </w:tc>
        <w:tc>
          <w:tcPr>
            <w:tcW w:w="1395" w:type="dxa"/>
            <w:tcBorders>
              <w:bottom w:val="single" w:sz="6" w:space="0" w:color="000000"/>
              <w:right w:val="single" w:sz="6" w:space="0" w:color="000000"/>
            </w:tcBorders>
            <w:vAlign w:val="center"/>
          </w:tcPr>
          <w:p w14:paraId="739EDE83"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0CB37C2"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F26E42A" w14:textId="77777777" w:rsidR="007D706A" w:rsidRDefault="007D706A" w:rsidP="00F70508">
            <w:pPr>
              <w:pStyle w:val="ParagraphStyle9"/>
              <w:rPr>
                <w:rStyle w:val="CharacterStyle9"/>
              </w:rPr>
            </w:pPr>
            <w:r>
              <w:rPr>
                <w:rStyle w:val="CharacterStyle9"/>
              </w:rPr>
              <w:t>0,00</w:t>
            </w:r>
          </w:p>
        </w:tc>
      </w:tr>
      <w:tr w:rsidR="007D706A" w14:paraId="026D591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7089910"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1FE4DFAB"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2A65697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F8C5CAB" w14:textId="77777777" w:rsidR="007D706A" w:rsidRDefault="007D706A" w:rsidP="00F70508">
            <w:pPr>
              <w:pStyle w:val="ParagraphStyle12"/>
              <w:rPr>
                <w:rStyle w:val="CharacterStyle12"/>
              </w:rPr>
            </w:pPr>
            <w:r>
              <w:rPr>
                <w:rStyle w:val="CharacterStyle12"/>
              </w:rPr>
              <w:t>98.500,00</w:t>
            </w:r>
          </w:p>
        </w:tc>
        <w:tc>
          <w:tcPr>
            <w:tcW w:w="1395" w:type="dxa"/>
            <w:tcBorders>
              <w:bottom w:val="single" w:sz="6" w:space="0" w:color="000000"/>
              <w:right w:val="single" w:sz="6" w:space="0" w:color="000000"/>
            </w:tcBorders>
            <w:vAlign w:val="center"/>
          </w:tcPr>
          <w:p w14:paraId="16CBBC7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10967B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0DB9199" w14:textId="77777777" w:rsidR="007D706A" w:rsidRDefault="007D706A" w:rsidP="00F70508">
            <w:pPr>
              <w:pStyle w:val="ParagraphStyle12"/>
              <w:rPr>
                <w:rStyle w:val="CharacterStyle12"/>
              </w:rPr>
            </w:pPr>
            <w:r>
              <w:rPr>
                <w:rStyle w:val="CharacterStyle12"/>
              </w:rPr>
              <w:t>0,00</w:t>
            </w:r>
          </w:p>
        </w:tc>
      </w:tr>
      <w:tr w:rsidR="007D706A" w14:paraId="3EB69506"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7FEF41D" w14:textId="77777777" w:rsidR="007D706A" w:rsidRDefault="007D706A" w:rsidP="00F70508">
            <w:pPr>
              <w:pStyle w:val="ParagraphStyle10"/>
              <w:rPr>
                <w:rStyle w:val="CharacterStyle10"/>
              </w:rPr>
            </w:pPr>
            <w:r>
              <w:rPr>
                <w:rStyle w:val="CharacterStyle10"/>
              </w:rPr>
              <w:t>31</w:t>
            </w:r>
          </w:p>
        </w:tc>
        <w:tc>
          <w:tcPr>
            <w:tcW w:w="4995" w:type="dxa"/>
            <w:tcBorders>
              <w:bottom w:val="single" w:sz="6" w:space="0" w:color="000000"/>
              <w:right w:val="single" w:sz="6" w:space="0" w:color="000000"/>
            </w:tcBorders>
            <w:vAlign w:val="center"/>
          </w:tcPr>
          <w:p w14:paraId="4AE7C314" w14:textId="77777777" w:rsidR="007D706A" w:rsidRDefault="007D706A" w:rsidP="00F70508">
            <w:pPr>
              <w:pStyle w:val="ParagraphStyle11"/>
              <w:rPr>
                <w:rStyle w:val="CharacterStyle11"/>
              </w:rPr>
            </w:pPr>
            <w:r>
              <w:rPr>
                <w:rStyle w:val="CharacterStyle11"/>
              </w:rPr>
              <w:t>Rashodi za zaposlene</w:t>
            </w:r>
          </w:p>
        </w:tc>
        <w:tc>
          <w:tcPr>
            <w:tcW w:w="1395" w:type="dxa"/>
            <w:tcBorders>
              <w:bottom w:val="single" w:sz="6" w:space="0" w:color="000000"/>
              <w:right w:val="single" w:sz="6" w:space="0" w:color="000000"/>
            </w:tcBorders>
            <w:vAlign w:val="center"/>
          </w:tcPr>
          <w:p w14:paraId="3833ACE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17C330B" w14:textId="77777777" w:rsidR="007D706A" w:rsidRDefault="007D706A" w:rsidP="00F70508">
            <w:pPr>
              <w:pStyle w:val="ParagraphStyle12"/>
              <w:rPr>
                <w:rStyle w:val="CharacterStyle12"/>
              </w:rPr>
            </w:pPr>
            <w:r>
              <w:rPr>
                <w:rStyle w:val="CharacterStyle12"/>
              </w:rPr>
              <w:t>93.500,00</w:t>
            </w:r>
          </w:p>
        </w:tc>
        <w:tc>
          <w:tcPr>
            <w:tcW w:w="1395" w:type="dxa"/>
            <w:tcBorders>
              <w:bottom w:val="single" w:sz="6" w:space="0" w:color="000000"/>
              <w:right w:val="single" w:sz="6" w:space="0" w:color="000000"/>
            </w:tcBorders>
            <w:vAlign w:val="center"/>
          </w:tcPr>
          <w:p w14:paraId="04BEF7C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D344B6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A3DC4E0" w14:textId="77777777" w:rsidR="007D706A" w:rsidRDefault="007D706A" w:rsidP="00F70508">
            <w:pPr>
              <w:pStyle w:val="ParagraphStyle12"/>
              <w:rPr>
                <w:rStyle w:val="CharacterStyle12"/>
              </w:rPr>
            </w:pPr>
            <w:r>
              <w:rPr>
                <w:rStyle w:val="CharacterStyle12"/>
              </w:rPr>
              <w:t>0,00</w:t>
            </w:r>
          </w:p>
        </w:tc>
      </w:tr>
      <w:tr w:rsidR="007D706A" w14:paraId="3DACE64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D7FE43D"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2E63E8EE"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49EBB42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26BE149" w14:textId="77777777" w:rsidR="007D706A" w:rsidRDefault="007D706A" w:rsidP="00F70508">
            <w:pPr>
              <w:pStyle w:val="ParagraphStyle12"/>
              <w:rPr>
                <w:rStyle w:val="CharacterStyle12"/>
              </w:rPr>
            </w:pPr>
            <w:r>
              <w:rPr>
                <w:rStyle w:val="CharacterStyle12"/>
              </w:rPr>
              <w:t>5.000,00</w:t>
            </w:r>
          </w:p>
        </w:tc>
        <w:tc>
          <w:tcPr>
            <w:tcW w:w="1395" w:type="dxa"/>
            <w:tcBorders>
              <w:bottom w:val="single" w:sz="6" w:space="0" w:color="000000"/>
              <w:right w:val="single" w:sz="6" w:space="0" w:color="000000"/>
            </w:tcBorders>
            <w:vAlign w:val="center"/>
          </w:tcPr>
          <w:p w14:paraId="2FAE9D8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8DE7FE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ADD0F9D" w14:textId="77777777" w:rsidR="007D706A" w:rsidRDefault="007D706A" w:rsidP="00F70508">
            <w:pPr>
              <w:pStyle w:val="ParagraphStyle12"/>
              <w:rPr>
                <w:rStyle w:val="CharacterStyle12"/>
              </w:rPr>
            </w:pPr>
            <w:r>
              <w:rPr>
                <w:rStyle w:val="CharacterStyle12"/>
              </w:rPr>
              <w:t>0,00</w:t>
            </w:r>
          </w:p>
        </w:tc>
      </w:tr>
      <w:tr w:rsidR="007D706A" w14:paraId="07B5837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D0C2A4F" w14:textId="77777777" w:rsidR="007D706A" w:rsidRDefault="007D706A" w:rsidP="00F70508">
            <w:pPr>
              <w:pStyle w:val="ParagraphStyle7"/>
              <w:rPr>
                <w:rStyle w:val="CharacterStyle7"/>
              </w:rPr>
            </w:pPr>
            <w:r>
              <w:rPr>
                <w:rStyle w:val="CharacterStyle7"/>
              </w:rPr>
              <w:t>Izvor financiranja 561</w:t>
            </w:r>
          </w:p>
        </w:tc>
        <w:tc>
          <w:tcPr>
            <w:tcW w:w="4995" w:type="dxa"/>
            <w:tcBorders>
              <w:bottom w:val="single" w:sz="6" w:space="0" w:color="000000"/>
              <w:right w:val="single" w:sz="6" w:space="0" w:color="000000"/>
            </w:tcBorders>
            <w:vAlign w:val="center"/>
          </w:tcPr>
          <w:p w14:paraId="46BFE8B9" w14:textId="77777777" w:rsidR="007D706A" w:rsidRDefault="007D706A" w:rsidP="00F70508">
            <w:pPr>
              <w:pStyle w:val="ParagraphStyle8"/>
              <w:rPr>
                <w:rStyle w:val="CharacterStyle8"/>
              </w:rPr>
            </w:pPr>
            <w:r>
              <w:rPr>
                <w:rStyle w:val="CharacterStyle8"/>
              </w:rPr>
              <w:t>Europski socijalni fond plus</w:t>
            </w:r>
          </w:p>
        </w:tc>
        <w:tc>
          <w:tcPr>
            <w:tcW w:w="1395" w:type="dxa"/>
            <w:tcBorders>
              <w:bottom w:val="single" w:sz="6" w:space="0" w:color="000000"/>
              <w:right w:val="single" w:sz="6" w:space="0" w:color="000000"/>
            </w:tcBorders>
            <w:vAlign w:val="center"/>
          </w:tcPr>
          <w:p w14:paraId="4B4FDABF"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187AD8C"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D19BDBB" w14:textId="77777777" w:rsidR="007D706A" w:rsidRDefault="007D706A" w:rsidP="00F70508">
            <w:pPr>
              <w:pStyle w:val="ParagraphStyle9"/>
              <w:rPr>
                <w:rStyle w:val="CharacterStyle9"/>
              </w:rPr>
            </w:pPr>
            <w:r>
              <w:rPr>
                <w:rStyle w:val="CharacterStyle9"/>
              </w:rPr>
              <w:t>102.500,00</w:t>
            </w:r>
          </w:p>
        </w:tc>
        <w:tc>
          <w:tcPr>
            <w:tcW w:w="1395" w:type="dxa"/>
            <w:tcBorders>
              <w:bottom w:val="single" w:sz="6" w:space="0" w:color="000000"/>
              <w:right w:val="single" w:sz="6" w:space="0" w:color="000000"/>
            </w:tcBorders>
            <w:vAlign w:val="center"/>
          </w:tcPr>
          <w:p w14:paraId="3F90A206" w14:textId="77777777" w:rsidR="007D706A" w:rsidRDefault="007D706A" w:rsidP="00F70508">
            <w:pPr>
              <w:pStyle w:val="ParagraphStyle9"/>
              <w:rPr>
                <w:rStyle w:val="CharacterStyle9"/>
              </w:rPr>
            </w:pPr>
            <w:r>
              <w:rPr>
                <w:rStyle w:val="CharacterStyle9"/>
              </w:rPr>
              <w:t>106.600,00</w:t>
            </w:r>
          </w:p>
        </w:tc>
        <w:tc>
          <w:tcPr>
            <w:tcW w:w="1395" w:type="dxa"/>
            <w:tcBorders>
              <w:bottom w:val="single" w:sz="6" w:space="0" w:color="000000"/>
              <w:right w:val="single" w:sz="6" w:space="0" w:color="000000"/>
            </w:tcBorders>
            <w:vAlign w:val="center"/>
          </w:tcPr>
          <w:p w14:paraId="2AA49A05" w14:textId="77777777" w:rsidR="007D706A" w:rsidRDefault="007D706A" w:rsidP="00F70508">
            <w:pPr>
              <w:pStyle w:val="ParagraphStyle9"/>
              <w:rPr>
                <w:rStyle w:val="CharacterStyle9"/>
              </w:rPr>
            </w:pPr>
            <w:r>
              <w:rPr>
                <w:rStyle w:val="CharacterStyle9"/>
              </w:rPr>
              <w:t>107.668,00</w:t>
            </w:r>
          </w:p>
        </w:tc>
      </w:tr>
      <w:tr w:rsidR="007D706A" w14:paraId="0188587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9822BCC"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71D725B2"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65CE0FC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D4037B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3A6029C" w14:textId="77777777" w:rsidR="007D706A" w:rsidRDefault="007D706A" w:rsidP="00F70508">
            <w:pPr>
              <w:pStyle w:val="ParagraphStyle12"/>
              <w:rPr>
                <w:rStyle w:val="CharacterStyle12"/>
              </w:rPr>
            </w:pPr>
            <w:r>
              <w:rPr>
                <w:rStyle w:val="CharacterStyle12"/>
              </w:rPr>
              <w:t>102.500,00</w:t>
            </w:r>
          </w:p>
        </w:tc>
        <w:tc>
          <w:tcPr>
            <w:tcW w:w="1395" w:type="dxa"/>
            <w:tcBorders>
              <w:bottom w:val="single" w:sz="6" w:space="0" w:color="000000"/>
              <w:right w:val="single" w:sz="6" w:space="0" w:color="000000"/>
            </w:tcBorders>
            <w:vAlign w:val="center"/>
          </w:tcPr>
          <w:p w14:paraId="62BEC4B4" w14:textId="77777777" w:rsidR="007D706A" w:rsidRDefault="007D706A" w:rsidP="00F70508">
            <w:pPr>
              <w:pStyle w:val="ParagraphStyle12"/>
              <w:rPr>
                <w:rStyle w:val="CharacterStyle12"/>
              </w:rPr>
            </w:pPr>
            <w:r>
              <w:rPr>
                <w:rStyle w:val="CharacterStyle12"/>
              </w:rPr>
              <w:t>106.600,00</w:t>
            </w:r>
          </w:p>
        </w:tc>
        <w:tc>
          <w:tcPr>
            <w:tcW w:w="1395" w:type="dxa"/>
            <w:tcBorders>
              <w:bottom w:val="single" w:sz="6" w:space="0" w:color="000000"/>
              <w:right w:val="single" w:sz="6" w:space="0" w:color="000000"/>
            </w:tcBorders>
            <w:vAlign w:val="center"/>
          </w:tcPr>
          <w:p w14:paraId="4B8D29C5" w14:textId="77777777" w:rsidR="007D706A" w:rsidRDefault="007D706A" w:rsidP="00F70508">
            <w:pPr>
              <w:pStyle w:val="ParagraphStyle12"/>
              <w:rPr>
                <w:rStyle w:val="CharacterStyle12"/>
              </w:rPr>
            </w:pPr>
            <w:r>
              <w:rPr>
                <w:rStyle w:val="CharacterStyle12"/>
              </w:rPr>
              <w:t>107.668,00</w:t>
            </w:r>
          </w:p>
        </w:tc>
      </w:tr>
      <w:tr w:rsidR="007D706A" w14:paraId="0501D81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6B778CB" w14:textId="77777777" w:rsidR="007D706A" w:rsidRDefault="007D706A" w:rsidP="00F70508">
            <w:pPr>
              <w:pStyle w:val="ParagraphStyle10"/>
              <w:rPr>
                <w:rStyle w:val="CharacterStyle10"/>
              </w:rPr>
            </w:pPr>
            <w:r>
              <w:rPr>
                <w:rStyle w:val="CharacterStyle10"/>
              </w:rPr>
              <w:t>31</w:t>
            </w:r>
          </w:p>
        </w:tc>
        <w:tc>
          <w:tcPr>
            <w:tcW w:w="4995" w:type="dxa"/>
            <w:tcBorders>
              <w:bottom w:val="single" w:sz="6" w:space="0" w:color="000000"/>
              <w:right w:val="single" w:sz="6" w:space="0" w:color="000000"/>
            </w:tcBorders>
            <w:vAlign w:val="center"/>
          </w:tcPr>
          <w:p w14:paraId="27A1E53B" w14:textId="77777777" w:rsidR="007D706A" w:rsidRDefault="007D706A" w:rsidP="00F70508">
            <w:pPr>
              <w:pStyle w:val="ParagraphStyle11"/>
              <w:rPr>
                <w:rStyle w:val="CharacterStyle11"/>
              </w:rPr>
            </w:pPr>
            <w:r>
              <w:rPr>
                <w:rStyle w:val="CharacterStyle11"/>
              </w:rPr>
              <w:t>Rashodi za zaposlene</w:t>
            </w:r>
          </w:p>
        </w:tc>
        <w:tc>
          <w:tcPr>
            <w:tcW w:w="1395" w:type="dxa"/>
            <w:tcBorders>
              <w:bottom w:val="single" w:sz="6" w:space="0" w:color="000000"/>
              <w:right w:val="single" w:sz="6" w:space="0" w:color="000000"/>
            </w:tcBorders>
            <w:vAlign w:val="center"/>
          </w:tcPr>
          <w:p w14:paraId="08E3D37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73342B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492FD7B" w14:textId="77777777" w:rsidR="007D706A" w:rsidRDefault="007D706A" w:rsidP="00F70508">
            <w:pPr>
              <w:pStyle w:val="ParagraphStyle12"/>
              <w:rPr>
                <w:rStyle w:val="CharacterStyle12"/>
              </w:rPr>
            </w:pPr>
            <w:r>
              <w:rPr>
                <w:rStyle w:val="CharacterStyle12"/>
              </w:rPr>
              <w:t>97.500,00</w:t>
            </w:r>
          </w:p>
        </w:tc>
        <w:tc>
          <w:tcPr>
            <w:tcW w:w="1395" w:type="dxa"/>
            <w:tcBorders>
              <w:bottom w:val="single" w:sz="6" w:space="0" w:color="000000"/>
              <w:right w:val="single" w:sz="6" w:space="0" w:color="000000"/>
            </w:tcBorders>
            <w:vAlign w:val="center"/>
          </w:tcPr>
          <w:p w14:paraId="46134ED2" w14:textId="77777777" w:rsidR="007D706A" w:rsidRDefault="007D706A" w:rsidP="00F70508">
            <w:pPr>
              <w:pStyle w:val="ParagraphStyle12"/>
              <w:rPr>
                <w:rStyle w:val="CharacterStyle12"/>
              </w:rPr>
            </w:pPr>
            <w:r>
              <w:rPr>
                <w:rStyle w:val="CharacterStyle12"/>
              </w:rPr>
              <w:t>101.400,00</w:t>
            </w:r>
          </w:p>
        </w:tc>
        <w:tc>
          <w:tcPr>
            <w:tcW w:w="1395" w:type="dxa"/>
            <w:tcBorders>
              <w:bottom w:val="single" w:sz="6" w:space="0" w:color="000000"/>
              <w:right w:val="single" w:sz="6" w:space="0" w:color="000000"/>
            </w:tcBorders>
            <w:vAlign w:val="center"/>
          </w:tcPr>
          <w:p w14:paraId="6DC3A0EF" w14:textId="77777777" w:rsidR="007D706A" w:rsidRDefault="007D706A" w:rsidP="00F70508">
            <w:pPr>
              <w:pStyle w:val="ParagraphStyle12"/>
              <w:rPr>
                <w:rStyle w:val="CharacterStyle12"/>
              </w:rPr>
            </w:pPr>
            <w:r>
              <w:rPr>
                <w:rStyle w:val="CharacterStyle12"/>
              </w:rPr>
              <w:t>102.416,00</w:t>
            </w:r>
          </w:p>
        </w:tc>
      </w:tr>
      <w:tr w:rsidR="007D706A" w14:paraId="7FC9AD6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2CB366E"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38F3F885"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0291E90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2A460F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727E361" w14:textId="77777777" w:rsidR="007D706A" w:rsidRDefault="007D706A" w:rsidP="00F70508">
            <w:pPr>
              <w:pStyle w:val="ParagraphStyle12"/>
              <w:rPr>
                <w:rStyle w:val="CharacterStyle12"/>
              </w:rPr>
            </w:pPr>
            <w:r>
              <w:rPr>
                <w:rStyle w:val="CharacterStyle12"/>
              </w:rPr>
              <w:t>5.000,00</w:t>
            </w:r>
          </w:p>
        </w:tc>
        <w:tc>
          <w:tcPr>
            <w:tcW w:w="1395" w:type="dxa"/>
            <w:tcBorders>
              <w:bottom w:val="single" w:sz="6" w:space="0" w:color="000000"/>
              <w:right w:val="single" w:sz="6" w:space="0" w:color="000000"/>
            </w:tcBorders>
            <w:vAlign w:val="center"/>
          </w:tcPr>
          <w:p w14:paraId="004AEB51" w14:textId="77777777" w:rsidR="007D706A" w:rsidRDefault="007D706A" w:rsidP="00F70508">
            <w:pPr>
              <w:pStyle w:val="ParagraphStyle12"/>
              <w:rPr>
                <w:rStyle w:val="CharacterStyle12"/>
              </w:rPr>
            </w:pPr>
            <w:r>
              <w:rPr>
                <w:rStyle w:val="CharacterStyle12"/>
              </w:rPr>
              <w:t>5.200,00</w:t>
            </w:r>
          </w:p>
        </w:tc>
        <w:tc>
          <w:tcPr>
            <w:tcW w:w="1395" w:type="dxa"/>
            <w:tcBorders>
              <w:bottom w:val="single" w:sz="6" w:space="0" w:color="000000"/>
              <w:right w:val="single" w:sz="6" w:space="0" w:color="000000"/>
            </w:tcBorders>
            <w:vAlign w:val="center"/>
          </w:tcPr>
          <w:p w14:paraId="55322531" w14:textId="77777777" w:rsidR="007D706A" w:rsidRDefault="007D706A" w:rsidP="00F70508">
            <w:pPr>
              <w:pStyle w:val="ParagraphStyle12"/>
              <w:rPr>
                <w:rStyle w:val="CharacterStyle12"/>
              </w:rPr>
            </w:pPr>
            <w:r>
              <w:rPr>
                <w:rStyle w:val="CharacterStyle12"/>
              </w:rPr>
              <w:t>5.252,00</w:t>
            </w:r>
          </w:p>
        </w:tc>
      </w:tr>
      <w:tr w:rsidR="007D706A" w14:paraId="12AB24E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70F3B03" w14:textId="77777777" w:rsidR="007D706A" w:rsidRDefault="007D706A" w:rsidP="00F70508">
            <w:pPr>
              <w:pStyle w:val="ParagraphStyle4"/>
              <w:rPr>
                <w:rStyle w:val="CharacterStyle4"/>
              </w:rPr>
            </w:pPr>
            <w:r>
              <w:rPr>
                <w:rStyle w:val="CharacterStyle4"/>
              </w:rPr>
              <w:t>Aktivnost A103618</w:t>
            </w:r>
          </w:p>
        </w:tc>
        <w:tc>
          <w:tcPr>
            <w:tcW w:w="4995" w:type="dxa"/>
            <w:tcBorders>
              <w:bottom w:val="single" w:sz="6" w:space="0" w:color="000000"/>
              <w:right w:val="single" w:sz="6" w:space="0" w:color="000000"/>
            </w:tcBorders>
            <w:vAlign w:val="center"/>
          </w:tcPr>
          <w:p w14:paraId="1E57CB37" w14:textId="77777777" w:rsidR="007D706A" w:rsidRDefault="007D706A" w:rsidP="00F70508">
            <w:pPr>
              <w:pStyle w:val="ParagraphStyle5"/>
              <w:rPr>
                <w:rStyle w:val="CharacterStyle5"/>
              </w:rPr>
            </w:pPr>
            <w:r>
              <w:rPr>
                <w:rStyle w:val="CharacterStyle5"/>
              </w:rPr>
              <w:t>DECENTRALIZIRANE FUNKCIJE</w:t>
            </w:r>
          </w:p>
        </w:tc>
        <w:tc>
          <w:tcPr>
            <w:tcW w:w="1395" w:type="dxa"/>
            <w:tcBorders>
              <w:bottom w:val="single" w:sz="6" w:space="0" w:color="000000"/>
              <w:right w:val="single" w:sz="6" w:space="0" w:color="000000"/>
            </w:tcBorders>
            <w:vAlign w:val="center"/>
          </w:tcPr>
          <w:p w14:paraId="291BD0D4"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2B27124F" w14:textId="77777777" w:rsidR="007D706A" w:rsidRDefault="007D706A" w:rsidP="00F70508">
            <w:pPr>
              <w:pStyle w:val="ParagraphStyle6"/>
              <w:rPr>
                <w:rStyle w:val="CharacterStyle6"/>
              </w:rPr>
            </w:pPr>
            <w:r>
              <w:rPr>
                <w:rStyle w:val="CharacterStyle6"/>
              </w:rPr>
              <w:t>2.884.899,09</w:t>
            </w:r>
          </w:p>
        </w:tc>
        <w:tc>
          <w:tcPr>
            <w:tcW w:w="1395" w:type="dxa"/>
            <w:tcBorders>
              <w:bottom w:val="single" w:sz="6" w:space="0" w:color="000000"/>
              <w:right w:val="single" w:sz="6" w:space="0" w:color="000000"/>
            </w:tcBorders>
            <w:vAlign w:val="center"/>
          </w:tcPr>
          <w:p w14:paraId="14F62A82" w14:textId="77777777" w:rsidR="007D706A" w:rsidRDefault="007D706A" w:rsidP="00F70508">
            <w:pPr>
              <w:pStyle w:val="ParagraphStyle6"/>
              <w:rPr>
                <w:rStyle w:val="CharacterStyle6"/>
              </w:rPr>
            </w:pPr>
            <w:r>
              <w:rPr>
                <w:rStyle w:val="CharacterStyle6"/>
              </w:rPr>
              <w:t>2.887.051,81</w:t>
            </w:r>
          </w:p>
        </w:tc>
        <w:tc>
          <w:tcPr>
            <w:tcW w:w="1395" w:type="dxa"/>
            <w:tcBorders>
              <w:bottom w:val="single" w:sz="6" w:space="0" w:color="000000"/>
              <w:right w:val="single" w:sz="6" w:space="0" w:color="000000"/>
            </w:tcBorders>
            <w:vAlign w:val="center"/>
          </w:tcPr>
          <w:p w14:paraId="42C96D7B" w14:textId="77777777" w:rsidR="007D706A" w:rsidRDefault="007D706A" w:rsidP="00F70508">
            <w:pPr>
              <w:pStyle w:val="ParagraphStyle6"/>
              <w:rPr>
                <w:rStyle w:val="CharacterStyle6"/>
              </w:rPr>
            </w:pPr>
            <w:r>
              <w:rPr>
                <w:rStyle w:val="CharacterStyle6"/>
              </w:rPr>
              <w:t>2.965.777,84</w:t>
            </w:r>
          </w:p>
        </w:tc>
        <w:tc>
          <w:tcPr>
            <w:tcW w:w="1395" w:type="dxa"/>
            <w:tcBorders>
              <w:bottom w:val="single" w:sz="6" w:space="0" w:color="000000"/>
              <w:right w:val="single" w:sz="6" w:space="0" w:color="000000"/>
            </w:tcBorders>
            <w:vAlign w:val="center"/>
          </w:tcPr>
          <w:p w14:paraId="4479E0A0" w14:textId="77777777" w:rsidR="007D706A" w:rsidRDefault="007D706A" w:rsidP="00F70508">
            <w:pPr>
              <w:pStyle w:val="ParagraphStyle6"/>
              <w:rPr>
                <w:rStyle w:val="CharacterStyle6"/>
              </w:rPr>
            </w:pPr>
            <w:r>
              <w:rPr>
                <w:rStyle w:val="CharacterStyle6"/>
              </w:rPr>
              <w:t>2.994.641,87</w:t>
            </w:r>
          </w:p>
        </w:tc>
      </w:tr>
      <w:tr w:rsidR="007D706A" w14:paraId="787D6D66"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AB39665"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669D90C8"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45C83EAB"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E19032F"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09BEC7B" w14:textId="77777777" w:rsidR="007D706A" w:rsidRDefault="007D706A" w:rsidP="00F70508">
            <w:pPr>
              <w:pStyle w:val="ParagraphStyle9"/>
              <w:rPr>
                <w:rStyle w:val="CharacterStyle9"/>
              </w:rPr>
            </w:pPr>
            <w:r>
              <w:rPr>
                <w:rStyle w:val="CharacterStyle9"/>
              </w:rPr>
              <w:t>162.307,18</w:t>
            </w:r>
          </w:p>
        </w:tc>
        <w:tc>
          <w:tcPr>
            <w:tcW w:w="1395" w:type="dxa"/>
            <w:tcBorders>
              <w:bottom w:val="single" w:sz="6" w:space="0" w:color="000000"/>
              <w:right w:val="single" w:sz="6" w:space="0" w:color="000000"/>
            </w:tcBorders>
            <w:vAlign w:val="center"/>
          </w:tcPr>
          <w:p w14:paraId="48CBEC52" w14:textId="77777777" w:rsidR="007D706A" w:rsidRDefault="007D706A" w:rsidP="00F70508">
            <w:pPr>
              <w:pStyle w:val="ParagraphStyle9"/>
              <w:rPr>
                <w:rStyle w:val="CharacterStyle9"/>
              </w:rPr>
            </w:pPr>
            <w:r>
              <w:rPr>
                <w:rStyle w:val="CharacterStyle9"/>
              </w:rPr>
              <w:t>166.770,63</w:t>
            </w:r>
          </w:p>
        </w:tc>
        <w:tc>
          <w:tcPr>
            <w:tcW w:w="1395" w:type="dxa"/>
            <w:tcBorders>
              <w:bottom w:val="single" w:sz="6" w:space="0" w:color="000000"/>
              <w:right w:val="single" w:sz="6" w:space="0" w:color="000000"/>
            </w:tcBorders>
            <w:vAlign w:val="center"/>
          </w:tcPr>
          <w:p w14:paraId="5235E41F" w14:textId="77777777" w:rsidR="007D706A" w:rsidRDefault="007D706A" w:rsidP="00F70508">
            <w:pPr>
              <w:pStyle w:val="ParagraphStyle9"/>
              <w:rPr>
                <w:rStyle w:val="CharacterStyle9"/>
              </w:rPr>
            </w:pPr>
            <w:r>
              <w:rPr>
                <w:rStyle w:val="CharacterStyle9"/>
              </w:rPr>
              <w:t>168.393,70</w:t>
            </w:r>
          </w:p>
        </w:tc>
      </w:tr>
      <w:tr w:rsidR="007D706A" w14:paraId="27DE0DF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EDAD0B8"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2B862DFD"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559F023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025313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DDD7254" w14:textId="77777777" w:rsidR="007D706A" w:rsidRDefault="007D706A" w:rsidP="00F70508">
            <w:pPr>
              <w:pStyle w:val="ParagraphStyle12"/>
              <w:rPr>
                <w:rStyle w:val="CharacterStyle12"/>
              </w:rPr>
            </w:pPr>
            <w:r>
              <w:rPr>
                <w:rStyle w:val="CharacterStyle12"/>
              </w:rPr>
              <w:t>162.307,18</w:t>
            </w:r>
          </w:p>
        </w:tc>
        <w:tc>
          <w:tcPr>
            <w:tcW w:w="1395" w:type="dxa"/>
            <w:tcBorders>
              <w:bottom w:val="single" w:sz="6" w:space="0" w:color="000000"/>
              <w:right w:val="single" w:sz="6" w:space="0" w:color="000000"/>
            </w:tcBorders>
            <w:vAlign w:val="center"/>
          </w:tcPr>
          <w:p w14:paraId="7377E391" w14:textId="77777777" w:rsidR="007D706A" w:rsidRDefault="007D706A" w:rsidP="00F70508">
            <w:pPr>
              <w:pStyle w:val="ParagraphStyle12"/>
              <w:rPr>
                <w:rStyle w:val="CharacterStyle12"/>
              </w:rPr>
            </w:pPr>
            <w:r>
              <w:rPr>
                <w:rStyle w:val="CharacterStyle12"/>
              </w:rPr>
              <w:t>166.770,63</w:t>
            </w:r>
          </w:p>
        </w:tc>
        <w:tc>
          <w:tcPr>
            <w:tcW w:w="1395" w:type="dxa"/>
            <w:tcBorders>
              <w:bottom w:val="single" w:sz="6" w:space="0" w:color="000000"/>
              <w:right w:val="single" w:sz="6" w:space="0" w:color="000000"/>
            </w:tcBorders>
            <w:vAlign w:val="center"/>
          </w:tcPr>
          <w:p w14:paraId="596236D2" w14:textId="77777777" w:rsidR="007D706A" w:rsidRDefault="007D706A" w:rsidP="00F70508">
            <w:pPr>
              <w:pStyle w:val="ParagraphStyle12"/>
              <w:rPr>
                <w:rStyle w:val="CharacterStyle12"/>
              </w:rPr>
            </w:pPr>
            <w:r>
              <w:rPr>
                <w:rStyle w:val="CharacterStyle12"/>
              </w:rPr>
              <w:t>168.393,70</w:t>
            </w:r>
          </w:p>
        </w:tc>
      </w:tr>
      <w:tr w:rsidR="007D706A" w14:paraId="1E20E4B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CCA0031"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3C761445"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18F464F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2D1757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8958451" w14:textId="77777777" w:rsidR="007D706A" w:rsidRDefault="007D706A" w:rsidP="00F70508">
            <w:pPr>
              <w:pStyle w:val="ParagraphStyle12"/>
              <w:rPr>
                <w:rStyle w:val="CharacterStyle12"/>
              </w:rPr>
            </w:pPr>
            <w:r>
              <w:rPr>
                <w:rStyle w:val="CharacterStyle12"/>
              </w:rPr>
              <w:t>160.847,18</w:t>
            </w:r>
          </w:p>
        </w:tc>
        <w:tc>
          <w:tcPr>
            <w:tcW w:w="1395" w:type="dxa"/>
            <w:tcBorders>
              <w:bottom w:val="single" w:sz="6" w:space="0" w:color="000000"/>
              <w:right w:val="single" w:sz="6" w:space="0" w:color="000000"/>
            </w:tcBorders>
            <w:vAlign w:val="center"/>
          </w:tcPr>
          <w:p w14:paraId="4B0208F1" w14:textId="77777777" w:rsidR="007D706A" w:rsidRDefault="007D706A" w:rsidP="00F70508">
            <w:pPr>
              <w:pStyle w:val="ParagraphStyle12"/>
              <w:rPr>
                <w:rStyle w:val="CharacterStyle12"/>
              </w:rPr>
            </w:pPr>
            <w:r>
              <w:rPr>
                <w:rStyle w:val="CharacterStyle12"/>
              </w:rPr>
              <w:t>165.270,48</w:t>
            </w:r>
          </w:p>
        </w:tc>
        <w:tc>
          <w:tcPr>
            <w:tcW w:w="1395" w:type="dxa"/>
            <w:tcBorders>
              <w:bottom w:val="single" w:sz="6" w:space="0" w:color="000000"/>
              <w:right w:val="single" w:sz="6" w:space="0" w:color="000000"/>
            </w:tcBorders>
            <w:vAlign w:val="center"/>
          </w:tcPr>
          <w:p w14:paraId="281DE683" w14:textId="77777777" w:rsidR="007D706A" w:rsidRDefault="007D706A" w:rsidP="00F70508">
            <w:pPr>
              <w:pStyle w:val="ParagraphStyle12"/>
              <w:rPr>
                <w:rStyle w:val="CharacterStyle12"/>
              </w:rPr>
            </w:pPr>
            <w:r>
              <w:rPr>
                <w:rStyle w:val="CharacterStyle12"/>
              </w:rPr>
              <w:t>166.878,95</w:t>
            </w:r>
          </w:p>
        </w:tc>
      </w:tr>
      <w:tr w:rsidR="007D706A" w14:paraId="073BC3F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EF31200" w14:textId="77777777" w:rsidR="007D706A" w:rsidRDefault="007D706A" w:rsidP="00F70508">
            <w:pPr>
              <w:pStyle w:val="ParagraphStyle10"/>
              <w:rPr>
                <w:rStyle w:val="CharacterStyle10"/>
              </w:rPr>
            </w:pPr>
            <w:r>
              <w:rPr>
                <w:rStyle w:val="CharacterStyle10"/>
              </w:rPr>
              <w:t>34</w:t>
            </w:r>
          </w:p>
        </w:tc>
        <w:tc>
          <w:tcPr>
            <w:tcW w:w="4995" w:type="dxa"/>
            <w:tcBorders>
              <w:bottom w:val="single" w:sz="6" w:space="0" w:color="000000"/>
              <w:right w:val="single" w:sz="6" w:space="0" w:color="000000"/>
            </w:tcBorders>
            <w:vAlign w:val="center"/>
          </w:tcPr>
          <w:p w14:paraId="7E067BD0" w14:textId="77777777" w:rsidR="007D706A" w:rsidRDefault="007D706A" w:rsidP="00F70508">
            <w:pPr>
              <w:pStyle w:val="ParagraphStyle11"/>
              <w:rPr>
                <w:rStyle w:val="CharacterStyle11"/>
              </w:rPr>
            </w:pPr>
            <w:r>
              <w:rPr>
                <w:rStyle w:val="CharacterStyle11"/>
              </w:rPr>
              <w:t>Financijski rashodi</w:t>
            </w:r>
          </w:p>
        </w:tc>
        <w:tc>
          <w:tcPr>
            <w:tcW w:w="1395" w:type="dxa"/>
            <w:tcBorders>
              <w:bottom w:val="single" w:sz="6" w:space="0" w:color="000000"/>
              <w:right w:val="single" w:sz="6" w:space="0" w:color="000000"/>
            </w:tcBorders>
            <w:vAlign w:val="center"/>
          </w:tcPr>
          <w:p w14:paraId="59C8D77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8FEE8A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62FB172" w14:textId="77777777" w:rsidR="007D706A" w:rsidRDefault="007D706A" w:rsidP="00F70508">
            <w:pPr>
              <w:pStyle w:val="ParagraphStyle12"/>
              <w:rPr>
                <w:rStyle w:val="CharacterStyle12"/>
              </w:rPr>
            </w:pPr>
            <w:r>
              <w:rPr>
                <w:rStyle w:val="CharacterStyle12"/>
              </w:rPr>
              <w:t>1.460,00</w:t>
            </w:r>
          </w:p>
        </w:tc>
        <w:tc>
          <w:tcPr>
            <w:tcW w:w="1395" w:type="dxa"/>
            <w:tcBorders>
              <w:bottom w:val="single" w:sz="6" w:space="0" w:color="000000"/>
              <w:right w:val="single" w:sz="6" w:space="0" w:color="000000"/>
            </w:tcBorders>
            <w:vAlign w:val="center"/>
          </w:tcPr>
          <w:p w14:paraId="5EB74265" w14:textId="77777777" w:rsidR="007D706A" w:rsidRDefault="007D706A" w:rsidP="00F70508">
            <w:pPr>
              <w:pStyle w:val="ParagraphStyle12"/>
              <w:rPr>
                <w:rStyle w:val="CharacterStyle12"/>
              </w:rPr>
            </w:pPr>
            <w:r>
              <w:rPr>
                <w:rStyle w:val="CharacterStyle12"/>
              </w:rPr>
              <w:t>1.500,15</w:t>
            </w:r>
          </w:p>
        </w:tc>
        <w:tc>
          <w:tcPr>
            <w:tcW w:w="1395" w:type="dxa"/>
            <w:tcBorders>
              <w:bottom w:val="single" w:sz="6" w:space="0" w:color="000000"/>
              <w:right w:val="single" w:sz="6" w:space="0" w:color="000000"/>
            </w:tcBorders>
            <w:vAlign w:val="center"/>
          </w:tcPr>
          <w:p w14:paraId="377B10AE" w14:textId="77777777" w:rsidR="007D706A" w:rsidRDefault="007D706A" w:rsidP="00F70508">
            <w:pPr>
              <w:pStyle w:val="ParagraphStyle12"/>
              <w:rPr>
                <w:rStyle w:val="CharacterStyle12"/>
              </w:rPr>
            </w:pPr>
            <w:r>
              <w:rPr>
                <w:rStyle w:val="CharacterStyle12"/>
              </w:rPr>
              <w:t>1.514,75</w:t>
            </w:r>
          </w:p>
        </w:tc>
      </w:tr>
      <w:tr w:rsidR="007D706A" w14:paraId="700736F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AD8E180" w14:textId="77777777" w:rsidR="007D706A" w:rsidRDefault="007D706A" w:rsidP="00F70508">
            <w:pPr>
              <w:pStyle w:val="ParagraphStyle7"/>
              <w:rPr>
                <w:rStyle w:val="CharacterStyle7"/>
              </w:rPr>
            </w:pPr>
            <w:r>
              <w:rPr>
                <w:rStyle w:val="CharacterStyle7"/>
              </w:rPr>
              <w:t>Izvor financiranja 31</w:t>
            </w:r>
          </w:p>
        </w:tc>
        <w:tc>
          <w:tcPr>
            <w:tcW w:w="4995" w:type="dxa"/>
            <w:tcBorders>
              <w:bottom w:val="single" w:sz="6" w:space="0" w:color="000000"/>
              <w:right w:val="single" w:sz="6" w:space="0" w:color="000000"/>
            </w:tcBorders>
            <w:vAlign w:val="center"/>
          </w:tcPr>
          <w:p w14:paraId="0D4FA306" w14:textId="77777777" w:rsidR="007D706A" w:rsidRDefault="007D706A" w:rsidP="00F70508">
            <w:pPr>
              <w:pStyle w:val="ParagraphStyle8"/>
              <w:rPr>
                <w:rStyle w:val="CharacterStyle8"/>
              </w:rPr>
            </w:pPr>
            <w:r>
              <w:rPr>
                <w:rStyle w:val="CharacterStyle8"/>
              </w:rPr>
              <w:t>Vlastiti prihodi</w:t>
            </w:r>
          </w:p>
        </w:tc>
        <w:tc>
          <w:tcPr>
            <w:tcW w:w="1395" w:type="dxa"/>
            <w:tcBorders>
              <w:bottom w:val="single" w:sz="6" w:space="0" w:color="000000"/>
              <w:right w:val="single" w:sz="6" w:space="0" w:color="000000"/>
            </w:tcBorders>
            <w:vAlign w:val="center"/>
          </w:tcPr>
          <w:p w14:paraId="432DE782"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3174742"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F15916F" w14:textId="77777777" w:rsidR="007D706A" w:rsidRDefault="007D706A" w:rsidP="00F70508">
            <w:pPr>
              <w:pStyle w:val="ParagraphStyle9"/>
              <w:rPr>
                <w:rStyle w:val="CharacterStyle9"/>
              </w:rPr>
            </w:pPr>
            <w:r>
              <w:rPr>
                <w:rStyle w:val="CharacterStyle9"/>
              </w:rPr>
              <w:t>650,00</w:t>
            </w:r>
          </w:p>
        </w:tc>
        <w:tc>
          <w:tcPr>
            <w:tcW w:w="1395" w:type="dxa"/>
            <w:tcBorders>
              <w:bottom w:val="single" w:sz="6" w:space="0" w:color="000000"/>
              <w:right w:val="single" w:sz="6" w:space="0" w:color="000000"/>
            </w:tcBorders>
            <w:vAlign w:val="center"/>
          </w:tcPr>
          <w:p w14:paraId="39791CBA"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64FD765" w14:textId="77777777" w:rsidR="007D706A" w:rsidRDefault="007D706A" w:rsidP="00F70508">
            <w:pPr>
              <w:pStyle w:val="ParagraphStyle9"/>
              <w:rPr>
                <w:rStyle w:val="CharacterStyle9"/>
              </w:rPr>
            </w:pPr>
            <w:r>
              <w:rPr>
                <w:rStyle w:val="CharacterStyle9"/>
              </w:rPr>
              <w:t>0,00</w:t>
            </w:r>
          </w:p>
        </w:tc>
      </w:tr>
      <w:tr w:rsidR="007D706A" w14:paraId="4330C11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FD5D7D6"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29C608AE"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2D47D02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70A4DC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1578A31" w14:textId="77777777" w:rsidR="007D706A" w:rsidRDefault="007D706A" w:rsidP="00F70508">
            <w:pPr>
              <w:pStyle w:val="ParagraphStyle12"/>
              <w:rPr>
                <w:rStyle w:val="CharacterStyle12"/>
              </w:rPr>
            </w:pPr>
            <w:r>
              <w:rPr>
                <w:rStyle w:val="CharacterStyle12"/>
              </w:rPr>
              <w:t>650,00</w:t>
            </w:r>
          </w:p>
        </w:tc>
        <w:tc>
          <w:tcPr>
            <w:tcW w:w="1395" w:type="dxa"/>
            <w:tcBorders>
              <w:bottom w:val="single" w:sz="6" w:space="0" w:color="000000"/>
              <w:right w:val="single" w:sz="6" w:space="0" w:color="000000"/>
            </w:tcBorders>
            <w:vAlign w:val="center"/>
          </w:tcPr>
          <w:p w14:paraId="365D2FA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FFACA54" w14:textId="77777777" w:rsidR="007D706A" w:rsidRDefault="007D706A" w:rsidP="00F70508">
            <w:pPr>
              <w:pStyle w:val="ParagraphStyle12"/>
              <w:rPr>
                <w:rStyle w:val="CharacterStyle12"/>
              </w:rPr>
            </w:pPr>
            <w:r>
              <w:rPr>
                <w:rStyle w:val="CharacterStyle12"/>
              </w:rPr>
              <w:t>0,00</w:t>
            </w:r>
          </w:p>
        </w:tc>
      </w:tr>
      <w:tr w:rsidR="007D706A" w14:paraId="27B4B25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06D9C7A"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4818C278"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78E960B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C31292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5036AD7" w14:textId="77777777" w:rsidR="007D706A" w:rsidRDefault="007D706A" w:rsidP="00F70508">
            <w:pPr>
              <w:pStyle w:val="ParagraphStyle12"/>
              <w:rPr>
                <w:rStyle w:val="CharacterStyle12"/>
              </w:rPr>
            </w:pPr>
            <w:r>
              <w:rPr>
                <w:rStyle w:val="CharacterStyle12"/>
              </w:rPr>
              <w:t>650,00</w:t>
            </w:r>
          </w:p>
        </w:tc>
        <w:tc>
          <w:tcPr>
            <w:tcW w:w="1395" w:type="dxa"/>
            <w:tcBorders>
              <w:bottom w:val="single" w:sz="6" w:space="0" w:color="000000"/>
              <w:right w:val="single" w:sz="6" w:space="0" w:color="000000"/>
            </w:tcBorders>
            <w:vAlign w:val="center"/>
          </w:tcPr>
          <w:p w14:paraId="1F26BF7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C8C9173" w14:textId="77777777" w:rsidR="007D706A" w:rsidRDefault="007D706A" w:rsidP="00F70508">
            <w:pPr>
              <w:pStyle w:val="ParagraphStyle12"/>
              <w:rPr>
                <w:rStyle w:val="CharacterStyle12"/>
              </w:rPr>
            </w:pPr>
            <w:r>
              <w:rPr>
                <w:rStyle w:val="CharacterStyle12"/>
              </w:rPr>
              <w:t>0,00</w:t>
            </w:r>
          </w:p>
        </w:tc>
      </w:tr>
      <w:tr w:rsidR="007D706A" w14:paraId="0F1DAFA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A2B3522" w14:textId="77777777" w:rsidR="007D706A" w:rsidRDefault="007D706A" w:rsidP="00F70508">
            <w:pPr>
              <w:pStyle w:val="ParagraphStyle7"/>
              <w:rPr>
                <w:rStyle w:val="CharacterStyle7"/>
              </w:rPr>
            </w:pPr>
            <w:r>
              <w:rPr>
                <w:rStyle w:val="CharacterStyle7"/>
              </w:rPr>
              <w:t>Izvor financiranja 50</w:t>
            </w:r>
          </w:p>
        </w:tc>
        <w:tc>
          <w:tcPr>
            <w:tcW w:w="4995" w:type="dxa"/>
            <w:tcBorders>
              <w:bottom w:val="single" w:sz="6" w:space="0" w:color="000000"/>
              <w:right w:val="single" w:sz="6" w:space="0" w:color="000000"/>
            </w:tcBorders>
            <w:vAlign w:val="center"/>
          </w:tcPr>
          <w:p w14:paraId="46A23EA8" w14:textId="77777777" w:rsidR="007D706A" w:rsidRDefault="007D706A" w:rsidP="00F70508">
            <w:pPr>
              <w:pStyle w:val="ParagraphStyle8"/>
              <w:rPr>
                <w:rStyle w:val="CharacterStyle8"/>
              </w:rPr>
            </w:pPr>
            <w:r>
              <w:rPr>
                <w:rStyle w:val="CharacterStyle8"/>
              </w:rPr>
              <w:t>Pomoći iz državnog proračuna</w:t>
            </w:r>
          </w:p>
        </w:tc>
        <w:tc>
          <w:tcPr>
            <w:tcW w:w="1395" w:type="dxa"/>
            <w:tcBorders>
              <w:bottom w:val="single" w:sz="6" w:space="0" w:color="000000"/>
              <w:right w:val="single" w:sz="6" w:space="0" w:color="000000"/>
            </w:tcBorders>
            <w:vAlign w:val="center"/>
          </w:tcPr>
          <w:p w14:paraId="594A7CAF"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99E349F" w14:textId="77777777" w:rsidR="007D706A" w:rsidRDefault="007D706A" w:rsidP="00F70508">
            <w:pPr>
              <w:pStyle w:val="ParagraphStyle9"/>
              <w:rPr>
                <w:rStyle w:val="CharacterStyle9"/>
              </w:rPr>
            </w:pPr>
            <w:r>
              <w:rPr>
                <w:rStyle w:val="CharacterStyle9"/>
              </w:rPr>
              <w:t>164.185,90</w:t>
            </w:r>
          </w:p>
        </w:tc>
        <w:tc>
          <w:tcPr>
            <w:tcW w:w="1395" w:type="dxa"/>
            <w:tcBorders>
              <w:bottom w:val="single" w:sz="6" w:space="0" w:color="000000"/>
              <w:right w:val="single" w:sz="6" w:space="0" w:color="000000"/>
            </w:tcBorders>
            <w:vAlign w:val="center"/>
          </w:tcPr>
          <w:p w14:paraId="65557294" w14:textId="77777777" w:rsidR="007D706A" w:rsidRDefault="007D706A" w:rsidP="00F70508">
            <w:pPr>
              <w:pStyle w:val="ParagraphStyle9"/>
              <w:rPr>
                <w:rStyle w:val="CharacterStyle9"/>
              </w:rPr>
            </w:pPr>
            <w:r>
              <w:rPr>
                <w:rStyle w:val="CharacterStyle9"/>
              </w:rPr>
              <w:t>2.724.094,63</w:t>
            </w:r>
          </w:p>
        </w:tc>
        <w:tc>
          <w:tcPr>
            <w:tcW w:w="1395" w:type="dxa"/>
            <w:tcBorders>
              <w:bottom w:val="single" w:sz="6" w:space="0" w:color="000000"/>
              <w:right w:val="single" w:sz="6" w:space="0" w:color="000000"/>
            </w:tcBorders>
            <w:vAlign w:val="center"/>
          </w:tcPr>
          <w:p w14:paraId="1A198829" w14:textId="77777777" w:rsidR="007D706A" w:rsidRDefault="007D706A" w:rsidP="00F70508">
            <w:pPr>
              <w:pStyle w:val="ParagraphStyle9"/>
              <w:rPr>
                <w:rStyle w:val="CharacterStyle9"/>
              </w:rPr>
            </w:pPr>
            <w:r>
              <w:rPr>
                <w:rStyle w:val="CharacterStyle9"/>
              </w:rPr>
              <w:t>2.799.007,21</w:t>
            </w:r>
          </w:p>
        </w:tc>
        <w:tc>
          <w:tcPr>
            <w:tcW w:w="1395" w:type="dxa"/>
            <w:tcBorders>
              <w:bottom w:val="single" w:sz="6" w:space="0" w:color="000000"/>
              <w:right w:val="single" w:sz="6" w:space="0" w:color="000000"/>
            </w:tcBorders>
            <w:vAlign w:val="center"/>
          </w:tcPr>
          <w:p w14:paraId="6089520D" w14:textId="77777777" w:rsidR="007D706A" w:rsidRDefault="007D706A" w:rsidP="00F70508">
            <w:pPr>
              <w:pStyle w:val="ParagraphStyle9"/>
              <w:rPr>
                <w:rStyle w:val="CharacterStyle9"/>
              </w:rPr>
            </w:pPr>
            <w:r>
              <w:rPr>
                <w:rStyle w:val="CharacterStyle9"/>
              </w:rPr>
              <w:t>2.826.248,17</w:t>
            </w:r>
          </w:p>
        </w:tc>
      </w:tr>
      <w:tr w:rsidR="007D706A" w14:paraId="13B3119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0E8D8AA"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7FCCA54E"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68EEA05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58A0A7D" w14:textId="77777777" w:rsidR="007D706A" w:rsidRDefault="007D706A" w:rsidP="00F70508">
            <w:pPr>
              <w:pStyle w:val="ParagraphStyle12"/>
              <w:rPr>
                <w:rStyle w:val="CharacterStyle12"/>
              </w:rPr>
            </w:pPr>
            <w:r>
              <w:rPr>
                <w:rStyle w:val="CharacterStyle12"/>
              </w:rPr>
              <w:t>164.185,90</w:t>
            </w:r>
          </w:p>
        </w:tc>
        <w:tc>
          <w:tcPr>
            <w:tcW w:w="1395" w:type="dxa"/>
            <w:tcBorders>
              <w:bottom w:val="single" w:sz="6" w:space="0" w:color="000000"/>
              <w:right w:val="single" w:sz="6" w:space="0" w:color="000000"/>
            </w:tcBorders>
            <w:vAlign w:val="center"/>
          </w:tcPr>
          <w:p w14:paraId="3BC131EE" w14:textId="77777777" w:rsidR="007D706A" w:rsidRDefault="007D706A" w:rsidP="00F70508">
            <w:pPr>
              <w:pStyle w:val="ParagraphStyle12"/>
              <w:rPr>
                <w:rStyle w:val="CharacterStyle12"/>
              </w:rPr>
            </w:pPr>
            <w:r>
              <w:rPr>
                <w:rStyle w:val="CharacterStyle12"/>
              </w:rPr>
              <w:t>2.724.094,63</w:t>
            </w:r>
          </w:p>
        </w:tc>
        <w:tc>
          <w:tcPr>
            <w:tcW w:w="1395" w:type="dxa"/>
            <w:tcBorders>
              <w:bottom w:val="single" w:sz="6" w:space="0" w:color="000000"/>
              <w:right w:val="single" w:sz="6" w:space="0" w:color="000000"/>
            </w:tcBorders>
            <w:vAlign w:val="center"/>
          </w:tcPr>
          <w:p w14:paraId="7DA54D1A" w14:textId="77777777" w:rsidR="007D706A" w:rsidRDefault="007D706A" w:rsidP="00F70508">
            <w:pPr>
              <w:pStyle w:val="ParagraphStyle12"/>
              <w:rPr>
                <w:rStyle w:val="CharacterStyle12"/>
              </w:rPr>
            </w:pPr>
            <w:r>
              <w:rPr>
                <w:rStyle w:val="CharacterStyle12"/>
              </w:rPr>
              <w:t>2.799.007,21</w:t>
            </w:r>
          </w:p>
        </w:tc>
        <w:tc>
          <w:tcPr>
            <w:tcW w:w="1395" w:type="dxa"/>
            <w:tcBorders>
              <w:bottom w:val="single" w:sz="6" w:space="0" w:color="000000"/>
              <w:right w:val="single" w:sz="6" w:space="0" w:color="000000"/>
            </w:tcBorders>
            <w:vAlign w:val="center"/>
          </w:tcPr>
          <w:p w14:paraId="498BCFE3" w14:textId="77777777" w:rsidR="007D706A" w:rsidRDefault="007D706A" w:rsidP="00F70508">
            <w:pPr>
              <w:pStyle w:val="ParagraphStyle12"/>
              <w:rPr>
                <w:rStyle w:val="CharacterStyle12"/>
              </w:rPr>
            </w:pPr>
            <w:r>
              <w:rPr>
                <w:rStyle w:val="CharacterStyle12"/>
              </w:rPr>
              <w:t>2.826.248,17</w:t>
            </w:r>
          </w:p>
        </w:tc>
      </w:tr>
      <w:tr w:rsidR="007D706A" w14:paraId="1C60E17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7B72E7D" w14:textId="77777777" w:rsidR="007D706A" w:rsidRDefault="007D706A" w:rsidP="00F70508">
            <w:pPr>
              <w:pStyle w:val="ParagraphStyle10"/>
              <w:rPr>
                <w:rStyle w:val="CharacterStyle10"/>
              </w:rPr>
            </w:pPr>
            <w:r>
              <w:rPr>
                <w:rStyle w:val="CharacterStyle10"/>
              </w:rPr>
              <w:t>31</w:t>
            </w:r>
          </w:p>
        </w:tc>
        <w:tc>
          <w:tcPr>
            <w:tcW w:w="4995" w:type="dxa"/>
            <w:tcBorders>
              <w:bottom w:val="single" w:sz="6" w:space="0" w:color="000000"/>
              <w:right w:val="single" w:sz="6" w:space="0" w:color="000000"/>
            </w:tcBorders>
            <w:vAlign w:val="center"/>
          </w:tcPr>
          <w:p w14:paraId="297F60AE" w14:textId="77777777" w:rsidR="007D706A" w:rsidRDefault="007D706A" w:rsidP="00F70508">
            <w:pPr>
              <w:pStyle w:val="ParagraphStyle11"/>
              <w:rPr>
                <w:rStyle w:val="CharacterStyle11"/>
              </w:rPr>
            </w:pPr>
            <w:r>
              <w:rPr>
                <w:rStyle w:val="CharacterStyle11"/>
              </w:rPr>
              <w:t>Rashodi za zaposlene</w:t>
            </w:r>
          </w:p>
        </w:tc>
        <w:tc>
          <w:tcPr>
            <w:tcW w:w="1395" w:type="dxa"/>
            <w:tcBorders>
              <w:bottom w:val="single" w:sz="6" w:space="0" w:color="000000"/>
              <w:right w:val="single" w:sz="6" w:space="0" w:color="000000"/>
            </w:tcBorders>
            <w:vAlign w:val="center"/>
          </w:tcPr>
          <w:p w14:paraId="16ACC2F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CBF2ED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D754DD7" w14:textId="77777777" w:rsidR="007D706A" w:rsidRDefault="007D706A" w:rsidP="00F70508">
            <w:pPr>
              <w:pStyle w:val="ParagraphStyle12"/>
              <w:rPr>
                <w:rStyle w:val="CharacterStyle12"/>
              </w:rPr>
            </w:pPr>
            <w:r>
              <w:rPr>
                <w:rStyle w:val="CharacterStyle12"/>
              </w:rPr>
              <w:t>2.649.200,00</w:t>
            </w:r>
          </w:p>
        </w:tc>
        <w:tc>
          <w:tcPr>
            <w:tcW w:w="1395" w:type="dxa"/>
            <w:tcBorders>
              <w:bottom w:val="single" w:sz="6" w:space="0" w:color="000000"/>
              <w:right w:val="single" w:sz="6" w:space="0" w:color="000000"/>
            </w:tcBorders>
            <w:vAlign w:val="center"/>
          </w:tcPr>
          <w:p w14:paraId="283819A2" w14:textId="77777777" w:rsidR="007D706A" w:rsidRDefault="007D706A" w:rsidP="00F70508">
            <w:pPr>
              <w:pStyle w:val="ParagraphStyle12"/>
              <w:rPr>
                <w:rStyle w:val="CharacterStyle12"/>
              </w:rPr>
            </w:pPr>
            <w:r>
              <w:rPr>
                <w:rStyle w:val="CharacterStyle12"/>
              </w:rPr>
              <w:t>2.722.052,99</w:t>
            </w:r>
          </w:p>
        </w:tc>
        <w:tc>
          <w:tcPr>
            <w:tcW w:w="1395" w:type="dxa"/>
            <w:tcBorders>
              <w:bottom w:val="single" w:sz="6" w:space="0" w:color="000000"/>
              <w:right w:val="single" w:sz="6" w:space="0" w:color="000000"/>
            </w:tcBorders>
            <w:vAlign w:val="center"/>
          </w:tcPr>
          <w:p w14:paraId="0B3C1E3E" w14:textId="77777777" w:rsidR="007D706A" w:rsidRDefault="007D706A" w:rsidP="00F70508">
            <w:pPr>
              <w:pStyle w:val="ParagraphStyle12"/>
              <w:rPr>
                <w:rStyle w:val="CharacterStyle12"/>
              </w:rPr>
            </w:pPr>
            <w:r>
              <w:rPr>
                <w:rStyle w:val="CharacterStyle12"/>
              </w:rPr>
              <w:t>2.748.545,00</w:t>
            </w:r>
          </w:p>
        </w:tc>
      </w:tr>
      <w:tr w:rsidR="007D706A" w14:paraId="0F03A34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BB5EA12"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1CE18098"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120F08B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5CDD826" w14:textId="77777777" w:rsidR="007D706A" w:rsidRDefault="007D706A" w:rsidP="00F70508">
            <w:pPr>
              <w:pStyle w:val="ParagraphStyle12"/>
              <w:rPr>
                <w:rStyle w:val="CharacterStyle12"/>
              </w:rPr>
            </w:pPr>
            <w:r>
              <w:rPr>
                <w:rStyle w:val="CharacterStyle12"/>
              </w:rPr>
              <w:t>162.725,90</w:t>
            </w:r>
          </w:p>
        </w:tc>
        <w:tc>
          <w:tcPr>
            <w:tcW w:w="1395" w:type="dxa"/>
            <w:tcBorders>
              <w:bottom w:val="single" w:sz="6" w:space="0" w:color="000000"/>
              <w:right w:val="single" w:sz="6" w:space="0" w:color="000000"/>
            </w:tcBorders>
            <w:vAlign w:val="center"/>
          </w:tcPr>
          <w:p w14:paraId="24EA2630" w14:textId="77777777" w:rsidR="007D706A" w:rsidRDefault="007D706A" w:rsidP="00F70508">
            <w:pPr>
              <w:pStyle w:val="ParagraphStyle12"/>
              <w:rPr>
                <w:rStyle w:val="CharacterStyle12"/>
              </w:rPr>
            </w:pPr>
            <w:r>
              <w:rPr>
                <w:rStyle w:val="CharacterStyle12"/>
              </w:rPr>
              <w:t>74.894,63</w:t>
            </w:r>
          </w:p>
        </w:tc>
        <w:tc>
          <w:tcPr>
            <w:tcW w:w="1395" w:type="dxa"/>
            <w:tcBorders>
              <w:bottom w:val="single" w:sz="6" w:space="0" w:color="000000"/>
              <w:right w:val="single" w:sz="6" w:space="0" w:color="000000"/>
            </w:tcBorders>
            <w:vAlign w:val="center"/>
          </w:tcPr>
          <w:p w14:paraId="45C7C6FE" w14:textId="77777777" w:rsidR="007D706A" w:rsidRDefault="007D706A" w:rsidP="00F70508">
            <w:pPr>
              <w:pStyle w:val="ParagraphStyle12"/>
              <w:rPr>
                <w:rStyle w:val="CharacterStyle12"/>
              </w:rPr>
            </w:pPr>
            <w:r>
              <w:rPr>
                <w:rStyle w:val="CharacterStyle12"/>
              </w:rPr>
              <w:t>76.954,22</w:t>
            </w:r>
          </w:p>
        </w:tc>
        <w:tc>
          <w:tcPr>
            <w:tcW w:w="1395" w:type="dxa"/>
            <w:tcBorders>
              <w:bottom w:val="single" w:sz="6" w:space="0" w:color="000000"/>
              <w:right w:val="single" w:sz="6" w:space="0" w:color="000000"/>
            </w:tcBorders>
            <w:vAlign w:val="center"/>
          </w:tcPr>
          <w:p w14:paraId="1C29EA06" w14:textId="77777777" w:rsidR="007D706A" w:rsidRDefault="007D706A" w:rsidP="00F70508">
            <w:pPr>
              <w:pStyle w:val="ParagraphStyle12"/>
              <w:rPr>
                <w:rStyle w:val="CharacterStyle12"/>
              </w:rPr>
            </w:pPr>
            <w:r>
              <w:rPr>
                <w:rStyle w:val="CharacterStyle12"/>
              </w:rPr>
              <w:t>77.703,17</w:t>
            </w:r>
          </w:p>
        </w:tc>
      </w:tr>
      <w:tr w:rsidR="007D706A" w14:paraId="1BCFC0F6"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99C8084" w14:textId="77777777" w:rsidR="007D706A" w:rsidRDefault="007D706A" w:rsidP="00F70508">
            <w:pPr>
              <w:pStyle w:val="ParagraphStyle10"/>
              <w:rPr>
                <w:rStyle w:val="CharacterStyle10"/>
              </w:rPr>
            </w:pPr>
            <w:r>
              <w:rPr>
                <w:rStyle w:val="CharacterStyle10"/>
              </w:rPr>
              <w:t>34</w:t>
            </w:r>
          </w:p>
        </w:tc>
        <w:tc>
          <w:tcPr>
            <w:tcW w:w="4995" w:type="dxa"/>
            <w:tcBorders>
              <w:bottom w:val="single" w:sz="6" w:space="0" w:color="000000"/>
              <w:right w:val="single" w:sz="6" w:space="0" w:color="000000"/>
            </w:tcBorders>
            <w:vAlign w:val="center"/>
          </w:tcPr>
          <w:p w14:paraId="23FAFCA1" w14:textId="77777777" w:rsidR="007D706A" w:rsidRDefault="007D706A" w:rsidP="00F70508">
            <w:pPr>
              <w:pStyle w:val="ParagraphStyle11"/>
              <w:rPr>
                <w:rStyle w:val="CharacterStyle11"/>
              </w:rPr>
            </w:pPr>
            <w:r>
              <w:rPr>
                <w:rStyle w:val="CharacterStyle11"/>
              </w:rPr>
              <w:t>Financijski rashodi</w:t>
            </w:r>
          </w:p>
        </w:tc>
        <w:tc>
          <w:tcPr>
            <w:tcW w:w="1395" w:type="dxa"/>
            <w:tcBorders>
              <w:bottom w:val="single" w:sz="6" w:space="0" w:color="000000"/>
              <w:right w:val="single" w:sz="6" w:space="0" w:color="000000"/>
            </w:tcBorders>
            <w:vAlign w:val="center"/>
          </w:tcPr>
          <w:p w14:paraId="6EBA7A9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2FCCA7F" w14:textId="77777777" w:rsidR="007D706A" w:rsidRDefault="007D706A" w:rsidP="00F70508">
            <w:pPr>
              <w:pStyle w:val="ParagraphStyle12"/>
              <w:rPr>
                <w:rStyle w:val="CharacterStyle12"/>
              </w:rPr>
            </w:pPr>
            <w:r>
              <w:rPr>
                <w:rStyle w:val="CharacterStyle12"/>
              </w:rPr>
              <w:t>1.460,00</w:t>
            </w:r>
          </w:p>
        </w:tc>
        <w:tc>
          <w:tcPr>
            <w:tcW w:w="1395" w:type="dxa"/>
            <w:tcBorders>
              <w:bottom w:val="single" w:sz="6" w:space="0" w:color="000000"/>
              <w:right w:val="single" w:sz="6" w:space="0" w:color="000000"/>
            </w:tcBorders>
            <w:vAlign w:val="center"/>
          </w:tcPr>
          <w:p w14:paraId="36F1181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A352B4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4CA313D" w14:textId="77777777" w:rsidR="007D706A" w:rsidRDefault="007D706A" w:rsidP="00F70508">
            <w:pPr>
              <w:pStyle w:val="ParagraphStyle12"/>
              <w:rPr>
                <w:rStyle w:val="CharacterStyle12"/>
              </w:rPr>
            </w:pPr>
            <w:r>
              <w:rPr>
                <w:rStyle w:val="CharacterStyle12"/>
              </w:rPr>
              <w:t>0,00</w:t>
            </w:r>
          </w:p>
        </w:tc>
      </w:tr>
      <w:tr w:rsidR="007D706A" w14:paraId="1161268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C2A6201" w14:textId="77777777" w:rsidR="007D706A" w:rsidRDefault="007D706A" w:rsidP="00F70508">
            <w:pPr>
              <w:pStyle w:val="ParagraphStyle7"/>
              <w:rPr>
                <w:rStyle w:val="CharacterStyle7"/>
              </w:rPr>
            </w:pPr>
            <w:r>
              <w:rPr>
                <w:rStyle w:val="CharacterStyle7"/>
              </w:rPr>
              <w:t>Izvor financiranja 51</w:t>
            </w:r>
          </w:p>
        </w:tc>
        <w:tc>
          <w:tcPr>
            <w:tcW w:w="4995" w:type="dxa"/>
            <w:tcBorders>
              <w:bottom w:val="single" w:sz="6" w:space="0" w:color="000000"/>
              <w:right w:val="single" w:sz="6" w:space="0" w:color="000000"/>
            </w:tcBorders>
            <w:vAlign w:val="center"/>
          </w:tcPr>
          <w:p w14:paraId="50FE8286" w14:textId="77777777" w:rsidR="007D706A" w:rsidRDefault="007D706A" w:rsidP="00F70508">
            <w:pPr>
              <w:pStyle w:val="ParagraphStyle8"/>
              <w:rPr>
                <w:rStyle w:val="CharacterStyle8"/>
              </w:rPr>
            </w:pPr>
            <w:r>
              <w:rPr>
                <w:rStyle w:val="CharacterStyle8"/>
              </w:rPr>
              <w:t>Pomoći EU</w:t>
            </w:r>
          </w:p>
        </w:tc>
        <w:tc>
          <w:tcPr>
            <w:tcW w:w="1395" w:type="dxa"/>
            <w:tcBorders>
              <w:bottom w:val="single" w:sz="6" w:space="0" w:color="000000"/>
              <w:right w:val="single" w:sz="6" w:space="0" w:color="000000"/>
            </w:tcBorders>
            <w:vAlign w:val="center"/>
          </w:tcPr>
          <w:p w14:paraId="4EE2376E"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7754E40" w14:textId="77777777" w:rsidR="007D706A" w:rsidRDefault="007D706A" w:rsidP="00F70508">
            <w:pPr>
              <w:pStyle w:val="ParagraphStyle9"/>
              <w:rPr>
                <w:rStyle w:val="CharacterStyle9"/>
              </w:rPr>
            </w:pPr>
            <w:r>
              <w:rPr>
                <w:rStyle w:val="CharacterStyle9"/>
              </w:rPr>
              <w:t>2.719.240,00</w:t>
            </w:r>
          </w:p>
        </w:tc>
        <w:tc>
          <w:tcPr>
            <w:tcW w:w="1395" w:type="dxa"/>
            <w:tcBorders>
              <w:bottom w:val="single" w:sz="6" w:space="0" w:color="000000"/>
              <w:right w:val="single" w:sz="6" w:space="0" w:color="000000"/>
            </w:tcBorders>
            <w:vAlign w:val="center"/>
          </w:tcPr>
          <w:p w14:paraId="4A47DE8B"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231468C"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76C50B5" w14:textId="77777777" w:rsidR="007D706A" w:rsidRDefault="007D706A" w:rsidP="00F70508">
            <w:pPr>
              <w:pStyle w:val="ParagraphStyle9"/>
              <w:rPr>
                <w:rStyle w:val="CharacterStyle9"/>
              </w:rPr>
            </w:pPr>
            <w:r>
              <w:rPr>
                <w:rStyle w:val="CharacterStyle9"/>
              </w:rPr>
              <w:t>0,00</w:t>
            </w:r>
          </w:p>
        </w:tc>
      </w:tr>
      <w:tr w:rsidR="007D706A" w14:paraId="07BCD85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70F6C0B"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05B0D6E3"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6C3083B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C3A586E" w14:textId="77777777" w:rsidR="007D706A" w:rsidRDefault="007D706A" w:rsidP="00F70508">
            <w:pPr>
              <w:pStyle w:val="ParagraphStyle12"/>
              <w:rPr>
                <w:rStyle w:val="CharacterStyle12"/>
              </w:rPr>
            </w:pPr>
            <w:r>
              <w:rPr>
                <w:rStyle w:val="CharacterStyle12"/>
              </w:rPr>
              <w:t>2.719.240,00</w:t>
            </w:r>
          </w:p>
        </w:tc>
        <w:tc>
          <w:tcPr>
            <w:tcW w:w="1395" w:type="dxa"/>
            <w:tcBorders>
              <w:bottom w:val="single" w:sz="6" w:space="0" w:color="000000"/>
              <w:right w:val="single" w:sz="6" w:space="0" w:color="000000"/>
            </w:tcBorders>
            <w:vAlign w:val="center"/>
          </w:tcPr>
          <w:p w14:paraId="055F302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FC6365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2202F20" w14:textId="77777777" w:rsidR="007D706A" w:rsidRDefault="007D706A" w:rsidP="00F70508">
            <w:pPr>
              <w:pStyle w:val="ParagraphStyle12"/>
              <w:rPr>
                <w:rStyle w:val="CharacterStyle12"/>
              </w:rPr>
            </w:pPr>
            <w:r>
              <w:rPr>
                <w:rStyle w:val="CharacterStyle12"/>
              </w:rPr>
              <w:t>0,00</w:t>
            </w:r>
          </w:p>
        </w:tc>
      </w:tr>
      <w:tr w:rsidR="007D706A" w14:paraId="14C4352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2C327F0" w14:textId="77777777" w:rsidR="007D706A" w:rsidRDefault="007D706A" w:rsidP="00F70508">
            <w:pPr>
              <w:pStyle w:val="ParagraphStyle10"/>
              <w:rPr>
                <w:rStyle w:val="CharacterStyle10"/>
              </w:rPr>
            </w:pPr>
            <w:r>
              <w:rPr>
                <w:rStyle w:val="CharacterStyle10"/>
              </w:rPr>
              <w:t>31</w:t>
            </w:r>
          </w:p>
        </w:tc>
        <w:tc>
          <w:tcPr>
            <w:tcW w:w="4995" w:type="dxa"/>
            <w:tcBorders>
              <w:bottom w:val="single" w:sz="6" w:space="0" w:color="000000"/>
              <w:right w:val="single" w:sz="6" w:space="0" w:color="000000"/>
            </w:tcBorders>
            <w:vAlign w:val="center"/>
          </w:tcPr>
          <w:p w14:paraId="43E008D7" w14:textId="77777777" w:rsidR="007D706A" w:rsidRDefault="007D706A" w:rsidP="00F70508">
            <w:pPr>
              <w:pStyle w:val="ParagraphStyle11"/>
              <w:rPr>
                <w:rStyle w:val="CharacterStyle11"/>
              </w:rPr>
            </w:pPr>
            <w:r>
              <w:rPr>
                <w:rStyle w:val="CharacterStyle11"/>
              </w:rPr>
              <w:t>Rashodi za zaposlene</w:t>
            </w:r>
          </w:p>
        </w:tc>
        <w:tc>
          <w:tcPr>
            <w:tcW w:w="1395" w:type="dxa"/>
            <w:tcBorders>
              <w:bottom w:val="single" w:sz="6" w:space="0" w:color="000000"/>
              <w:right w:val="single" w:sz="6" w:space="0" w:color="000000"/>
            </w:tcBorders>
            <w:vAlign w:val="center"/>
          </w:tcPr>
          <w:p w14:paraId="04BFF44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30A146A" w14:textId="77777777" w:rsidR="007D706A" w:rsidRDefault="007D706A" w:rsidP="00F70508">
            <w:pPr>
              <w:pStyle w:val="ParagraphStyle12"/>
              <w:rPr>
                <w:rStyle w:val="CharacterStyle12"/>
              </w:rPr>
            </w:pPr>
            <w:r>
              <w:rPr>
                <w:rStyle w:val="CharacterStyle12"/>
              </w:rPr>
              <w:t>2.649.200,00</w:t>
            </w:r>
          </w:p>
        </w:tc>
        <w:tc>
          <w:tcPr>
            <w:tcW w:w="1395" w:type="dxa"/>
            <w:tcBorders>
              <w:bottom w:val="single" w:sz="6" w:space="0" w:color="000000"/>
              <w:right w:val="single" w:sz="6" w:space="0" w:color="000000"/>
            </w:tcBorders>
            <w:vAlign w:val="center"/>
          </w:tcPr>
          <w:p w14:paraId="44BE063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9005DE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E1FCB3A" w14:textId="77777777" w:rsidR="007D706A" w:rsidRDefault="007D706A" w:rsidP="00F70508">
            <w:pPr>
              <w:pStyle w:val="ParagraphStyle12"/>
              <w:rPr>
                <w:rStyle w:val="CharacterStyle12"/>
              </w:rPr>
            </w:pPr>
            <w:r>
              <w:rPr>
                <w:rStyle w:val="CharacterStyle12"/>
              </w:rPr>
              <w:t>0,00</w:t>
            </w:r>
          </w:p>
        </w:tc>
      </w:tr>
      <w:tr w:rsidR="007D706A" w14:paraId="0B83DD1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6380524"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6E2A0619"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5D38ECF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BE85BC8" w14:textId="77777777" w:rsidR="007D706A" w:rsidRDefault="007D706A" w:rsidP="00F70508">
            <w:pPr>
              <w:pStyle w:val="ParagraphStyle12"/>
              <w:rPr>
                <w:rStyle w:val="CharacterStyle12"/>
              </w:rPr>
            </w:pPr>
            <w:r>
              <w:rPr>
                <w:rStyle w:val="CharacterStyle12"/>
              </w:rPr>
              <w:t>70.040,00</w:t>
            </w:r>
          </w:p>
        </w:tc>
        <w:tc>
          <w:tcPr>
            <w:tcW w:w="1395" w:type="dxa"/>
            <w:tcBorders>
              <w:bottom w:val="single" w:sz="6" w:space="0" w:color="000000"/>
              <w:right w:val="single" w:sz="6" w:space="0" w:color="000000"/>
            </w:tcBorders>
            <w:vAlign w:val="center"/>
          </w:tcPr>
          <w:p w14:paraId="4C15F87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1EB0F4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1B518C4" w14:textId="77777777" w:rsidR="007D706A" w:rsidRDefault="007D706A" w:rsidP="00F70508">
            <w:pPr>
              <w:pStyle w:val="ParagraphStyle12"/>
              <w:rPr>
                <w:rStyle w:val="CharacterStyle12"/>
              </w:rPr>
            </w:pPr>
            <w:r>
              <w:rPr>
                <w:rStyle w:val="CharacterStyle12"/>
              </w:rPr>
              <w:t>0,00</w:t>
            </w:r>
          </w:p>
        </w:tc>
      </w:tr>
      <w:tr w:rsidR="007D706A" w14:paraId="547F3D96"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CC67E12" w14:textId="77777777" w:rsidR="007D706A" w:rsidRDefault="007D706A" w:rsidP="00F70508">
            <w:pPr>
              <w:pStyle w:val="ParagraphStyle7"/>
              <w:rPr>
                <w:rStyle w:val="CharacterStyle7"/>
              </w:rPr>
            </w:pPr>
            <w:r>
              <w:rPr>
                <w:rStyle w:val="CharacterStyle7"/>
              </w:rPr>
              <w:t>Izvor financiranja 53</w:t>
            </w:r>
          </w:p>
        </w:tc>
        <w:tc>
          <w:tcPr>
            <w:tcW w:w="4995" w:type="dxa"/>
            <w:tcBorders>
              <w:bottom w:val="single" w:sz="6" w:space="0" w:color="000000"/>
              <w:right w:val="single" w:sz="6" w:space="0" w:color="000000"/>
            </w:tcBorders>
            <w:vAlign w:val="center"/>
          </w:tcPr>
          <w:p w14:paraId="45DF5EE4" w14:textId="77777777" w:rsidR="007D706A" w:rsidRDefault="007D706A" w:rsidP="00F70508">
            <w:pPr>
              <w:pStyle w:val="ParagraphStyle8"/>
              <w:rPr>
                <w:rStyle w:val="CharacterStyle8"/>
              </w:rPr>
            </w:pPr>
            <w:r>
              <w:rPr>
                <w:rStyle w:val="CharacterStyle8"/>
              </w:rPr>
              <w:t>Proračuni, drugi nivoi - za posebne i / ili ugovorene namjene</w:t>
            </w:r>
          </w:p>
        </w:tc>
        <w:tc>
          <w:tcPr>
            <w:tcW w:w="1395" w:type="dxa"/>
            <w:tcBorders>
              <w:bottom w:val="single" w:sz="6" w:space="0" w:color="000000"/>
              <w:right w:val="single" w:sz="6" w:space="0" w:color="000000"/>
            </w:tcBorders>
            <w:vAlign w:val="center"/>
          </w:tcPr>
          <w:p w14:paraId="25482F51"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D4BEBC6" w14:textId="77777777" w:rsidR="007D706A" w:rsidRDefault="007D706A" w:rsidP="00F70508">
            <w:pPr>
              <w:pStyle w:val="ParagraphStyle9"/>
              <w:rPr>
                <w:rStyle w:val="CharacterStyle9"/>
              </w:rPr>
            </w:pPr>
            <w:r>
              <w:rPr>
                <w:rStyle w:val="CharacterStyle9"/>
              </w:rPr>
              <w:t>735,00</w:t>
            </w:r>
          </w:p>
        </w:tc>
        <w:tc>
          <w:tcPr>
            <w:tcW w:w="1395" w:type="dxa"/>
            <w:tcBorders>
              <w:bottom w:val="single" w:sz="6" w:space="0" w:color="000000"/>
              <w:right w:val="single" w:sz="6" w:space="0" w:color="000000"/>
            </w:tcBorders>
            <w:vAlign w:val="center"/>
          </w:tcPr>
          <w:p w14:paraId="44A0F15B"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D581582"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73E1A2E" w14:textId="77777777" w:rsidR="007D706A" w:rsidRDefault="007D706A" w:rsidP="00F70508">
            <w:pPr>
              <w:pStyle w:val="ParagraphStyle9"/>
              <w:rPr>
                <w:rStyle w:val="CharacterStyle9"/>
              </w:rPr>
            </w:pPr>
            <w:r>
              <w:rPr>
                <w:rStyle w:val="CharacterStyle9"/>
              </w:rPr>
              <w:t>0,00</w:t>
            </w:r>
          </w:p>
        </w:tc>
      </w:tr>
      <w:tr w:rsidR="007D706A" w14:paraId="5AACAFA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06A8C65"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0298BD8F"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38ACD9A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A260F04" w14:textId="77777777" w:rsidR="007D706A" w:rsidRDefault="007D706A" w:rsidP="00F70508">
            <w:pPr>
              <w:pStyle w:val="ParagraphStyle12"/>
              <w:rPr>
                <w:rStyle w:val="CharacterStyle12"/>
              </w:rPr>
            </w:pPr>
            <w:r>
              <w:rPr>
                <w:rStyle w:val="CharacterStyle12"/>
              </w:rPr>
              <w:t>735,00</w:t>
            </w:r>
          </w:p>
        </w:tc>
        <w:tc>
          <w:tcPr>
            <w:tcW w:w="1395" w:type="dxa"/>
            <w:tcBorders>
              <w:bottom w:val="single" w:sz="6" w:space="0" w:color="000000"/>
              <w:right w:val="single" w:sz="6" w:space="0" w:color="000000"/>
            </w:tcBorders>
            <w:vAlign w:val="center"/>
          </w:tcPr>
          <w:p w14:paraId="011B044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47F693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6F33107" w14:textId="77777777" w:rsidR="007D706A" w:rsidRDefault="007D706A" w:rsidP="00F70508">
            <w:pPr>
              <w:pStyle w:val="ParagraphStyle12"/>
              <w:rPr>
                <w:rStyle w:val="CharacterStyle12"/>
              </w:rPr>
            </w:pPr>
            <w:r>
              <w:rPr>
                <w:rStyle w:val="CharacterStyle12"/>
              </w:rPr>
              <w:t>0,00</w:t>
            </w:r>
          </w:p>
        </w:tc>
      </w:tr>
      <w:tr w:rsidR="007D706A" w14:paraId="6DB04EB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DDC10AC"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6E7854AC"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1955418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6C06376" w14:textId="77777777" w:rsidR="007D706A" w:rsidRDefault="007D706A" w:rsidP="00F70508">
            <w:pPr>
              <w:pStyle w:val="ParagraphStyle12"/>
              <w:rPr>
                <w:rStyle w:val="CharacterStyle12"/>
              </w:rPr>
            </w:pPr>
            <w:r>
              <w:rPr>
                <w:rStyle w:val="CharacterStyle12"/>
              </w:rPr>
              <w:t>735,00</w:t>
            </w:r>
          </w:p>
        </w:tc>
        <w:tc>
          <w:tcPr>
            <w:tcW w:w="1395" w:type="dxa"/>
            <w:tcBorders>
              <w:bottom w:val="single" w:sz="6" w:space="0" w:color="000000"/>
              <w:right w:val="single" w:sz="6" w:space="0" w:color="000000"/>
            </w:tcBorders>
            <w:vAlign w:val="center"/>
          </w:tcPr>
          <w:p w14:paraId="4DB48A4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229623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8A8C593" w14:textId="77777777" w:rsidR="007D706A" w:rsidRDefault="007D706A" w:rsidP="00F70508">
            <w:pPr>
              <w:pStyle w:val="ParagraphStyle12"/>
              <w:rPr>
                <w:rStyle w:val="CharacterStyle12"/>
              </w:rPr>
            </w:pPr>
            <w:r>
              <w:rPr>
                <w:rStyle w:val="CharacterStyle12"/>
              </w:rPr>
              <w:t>0,00</w:t>
            </w:r>
          </w:p>
        </w:tc>
      </w:tr>
      <w:tr w:rsidR="007D706A" w14:paraId="75351FF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FC9037F" w14:textId="77777777" w:rsidR="007D706A" w:rsidRDefault="007D706A" w:rsidP="00F70508">
            <w:pPr>
              <w:pStyle w:val="ParagraphStyle7"/>
              <w:rPr>
                <w:rStyle w:val="CharacterStyle7"/>
              </w:rPr>
            </w:pPr>
            <w:r>
              <w:rPr>
                <w:rStyle w:val="CharacterStyle7"/>
              </w:rPr>
              <w:t>Izvor financiranja 82</w:t>
            </w:r>
          </w:p>
        </w:tc>
        <w:tc>
          <w:tcPr>
            <w:tcW w:w="4995" w:type="dxa"/>
            <w:tcBorders>
              <w:bottom w:val="single" w:sz="6" w:space="0" w:color="000000"/>
              <w:right w:val="single" w:sz="6" w:space="0" w:color="000000"/>
            </w:tcBorders>
            <w:vAlign w:val="center"/>
          </w:tcPr>
          <w:p w14:paraId="7D97F560" w14:textId="77777777" w:rsidR="007D706A" w:rsidRDefault="007D706A" w:rsidP="00F70508">
            <w:pPr>
              <w:pStyle w:val="ParagraphStyle8"/>
              <w:rPr>
                <w:rStyle w:val="CharacterStyle8"/>
              </w:rPr>
            </w:pPr>
            <w:r>
              <w:rPr>
                <w:rStyle w:val="CharacterStyle8"/>
              </w:rPr>
              <w:t>Preneseni viškovi iz ranijih godina</w:t>
            </w:r>
          </w:p>
        </w:tc>
        <w:tc>
          <w:tcPr>
            <w:tcW w:w="1395" w:type="dxa"/>
            <w:tcBorders>
              <w:bottom w:val="single" w:sz="6" w:space="0" w:color="000000"/>
              <w:right w:val="single" w:sz="6" w:space="0" w:color="000000"/>
            </w:tcBorders>
            <w:vAlign w:val="center"/>
          </w:tcPr>
          <w:p w14:paraId="49AD66B3"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C49C090" w14:textId="77777777" w:rsidR="007D706A" w:rsidRDefault="007D706A" w:rsidP="00F70508">
            <w:pPr>
              <w:pStyle w:val="ParagraphStyle9"/>
              <w:rPr>
                <w:rStyle w:val="CharacterStyle9"/>
              </w:rPr>
            </w:pPr>
            <w:r>
              <w:rPr>
                <w:rStyle w:val="CharacterStyle9"/>
              </w:rPr>
              <w:t>738,19</w:t>
            </w:r>
          </w:p>
        </w:tc>
        <w:tc>
          <w:tcPr>
            <w:tcW w:w="1395" w:type="dxa"/>
            <w:tcBorders>
              <w:bottom w:val="single" w:sz="6" w:space="0" w:color="000000"/>
              <w:right w:val="single" w:sz="6" w:space="0" w:color="000000"/>
            </w:tcBorders>
            <w:vAlign w:val="center"/>
          </w:tcPr>
          <w:p w14:paraId="546D1E7E"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9379ADE"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53D2158" w14:textId="77777777" w:rsidR="007D706A" w:rsidRDefault="007D706A" w:rsidP="00F70508">
            <w:pPr>
              <w:pStyle w:val="ParagraphStyle9"/>
              <w:rPr>
                <w:rStyle w:val="CharacterStyle9"/>
              </w:rPr>
            </w:pPr>
            <w:r>
              <w:rPr>
                <w:rStyle w:val="CharacterStyle9"/>
              </w:rPr>
              <w:t>0,00</w:t>
            </w:r>
          </w:p>
        </w:tc>
      </w:tr>
      <w:tr w:rsidR="007D706A" w14:paraId="4130D0F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218D96C"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5E59B3D0"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3254198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F63A675" w14:textId="77777777" w:rsidR="007D706A" w:rsidRDefault="007D706A" w:rsidP="00F70508">
            <w:pPr>
              <w:pStyle w:val="ParagraphStyle12"/>
              <w:rPr>
                <w:rStyle w:val="CharacterStyle12"/>
              </w:rPr>
            </w:pPr>
            <w:r>
              <w:rPr>
                <w:rStyle w:val="CharacterStyle12"/>
              </w:rPr>
              <w:t>738,19</w:t>
            </w:r>
          </w:p>
        </w:tc>
        <w:tc>
          <w:tcPr>
            <w:tcW w:w="1395" w:type="dxa"/>
            <w:tcBorders>
              <w:bottom w:val="single" w:sz="6" w:space="0" w:color="000000"/>
              <w:right w:val="single" w:sz="6" w:space="0" w:color="000000"/>
            </w:tcBorders>
            <w:vAlign w:val="center"/>
          </w:tcPr>
          <w:p w14:paraId="0CF5B79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991C51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843195C" w14:textId="77777777" w:rsidR="007D706A" w:rsidRDefault="007D706A" w:rsidP="00F70508">
            <w:pPr>
              <w:pStyle w:val="ParagraphStyle12"/>
              <w:rPr>
                <w:rStyle w:val="CharacterStyle12"/>
              </w:rPr>
            </w:pPr>
            <w:r>
              <w:rPr>
                <w:rStyle w:val="CharacterStyle12"/>
              </w:rPr>
              <w:t>0,00</w:t>
            </w:r>
          </w:p>
        </w:tc>
      </w:tr>
      <w:tr w:rsidR="007D706A" w14:paraId="4B6FBFE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8CE496A"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6CE31044"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5DF3F9B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3BFA271" w14:textId="77777777" w:rsidR="007D706A" w:rsidRDefault="007D706A" w:rsidP="00F70508">
            <w:pPr>
              <w:pStyle w:val="ParagraphStyle12"/>
              <w:rPr>
                <w:rStyle w:val="CharacterStyle12"/>
              </w:rPr>
            </w:pPr>
            <w:r>
              <w:rPr>
                <w:rStyle w:val="CharacterStyle12"/>
              </w:rPr>
              <w:t>738,19</w:t>
            </w:r>
          </w:p>
        </w:tc>
        <w:tc>
          <w:tcPr>
            <w:tcW w:w="1395" w:type="dxa"/>
            <w:tcBorders>
              <w:bottom w:val="single" w:sz="6" w:space="0" w:color="000000"/>
              <w:right w:val="single" w:sz="6" w:space="0" w:color="000000"/>
            </w:tcBorders>
            <w:vAlign w:val="center"/>
          </w:tcPr>
          <w:p w14:paraId="19C7B56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D86D6B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8E7B0A0" w14:textId="77777777" w:rsidR="007D706A" w:rsidRDefault="007D706A" w:rsidP="00F70508">
            <w:pPr>
              <w:pStyle w:val="ParagraphStyle12"/>
              <w:rPr>
                <w:rStyle w:val="CharacterStyle12"/>
              </w:rPr>
            </w:pPr>
            <w:r>
              <w:rPr>
                <w:rStyle w:val="CharacterStyle12"/>
              </w:rPr>
              <w:t>0,00</w:t>
            </w:r>
          </w:p>
        </w:tc>
      </w:tr>
      <w:tr w:rsidR="007D706A" w14:paraId="12F6D18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9227363" w14:textId="77777777" w:rsidR="007D706A" w:rsidRDefault="007D706A" w:rsidP="00F70508">
            <w:pPr>
              <w:pStyle w:val="ParagraphStyle4"/>
              <w:rPr>
                <w:rStyle w:val="CharacterStyle4"/>
              </w:rPr>
            </w:pPr>
            <w:r>
              <w:rPr>
                <w:rStyle w:val="CharacterStyle4"/>
              </w:rPr>
              <w:t>Aktivnost A103622</w:t>
            </w:r>
          </w:p>
        </w:tc>
        <w:tc>
          <w:tcPr>
            <w:tcW w:w="4995" w:type="dxa"/>
            <w:tcBorders>
              <w:bottom w:val="single" w:sz="6" w:space="0" w:color="000000"/>
              <w:right w:val="single" w:sz="6" w:space="0" w:color="000000"/>
            </w:tcBorders>
            <w:vAlign w:val="center"/>
          </w:tcPr>
          <w:p w14:paraId="59B16EB6" w14:textId="77777777" w:rsidR="007D706A" w:rsidRDefault="007D706A" w:rsidP="00F70508">
            <w:pPr>
              <w:pStyle w:val="ParagraphStyle5"/>
              <w:rPr>
                <w:rStyle w:val="CharacterStyle5"/>
              </w:rPr>
            </w:pPr>
            <w:r>
              <w:rPr>
                <w:rStyle w:val="CharacterStyle5"/>
              </w:rPr>
              <w:t>MATERIJALNI RASHODI PO OSNOVI DODATNIH STANDARDA</w:t>
            </w:r>
          </w:p>
        </w:tc>
        <w:tc>
          <w:tcPr>
            <w:tcW w:w="1395" w:type="dxa"/>
            <w:tcBorders>
              <w:bottom w:val="single" w:sz="6" w:space="0" w:color="000000"/>
              <w:right w:val="single" w:sz="6" w:space="0" w:color="000000"/>
            </w:tcBorders>
            <w:vAlign w:val="center"/>
          </w:tcPr>
          <w:p w14:paraId="06F11C7B"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6ADE3E6C" w14:textId="77777777" w:rsidR="007D706A" w:rsidRDefault="007D706A" w:rsidP="00F70508">
            <w:pPr>
              <w:pStyle w:val="ParagraphStyle6"/>
              <w:rPr>
                <w:rStyle w:val="CharacterStyle6"/>
              </w:rPr>
            </w:pPr>
            <w:r>
              <w:rPr>
                <w:rStyle w:val="CharacterStyle6"/>
              </w:rPr>
              <w:t>55.230,00</w:t>
            </w:r>
          </w:p>
        </w:tc>
        <w:tc>
          <w:tcPr>
            <w:tcW w:w="1395" w:type="dxa"/>
            <w:tcBorders>
              <w:bottom w:val="single" w:sz="6" w:space="0" w:color="000000"/>
              <w:right w:val="single" w:sz="6" w:space="0" w:color="000000"/>
            </w:tcBorders>
            <w:vAlign w:val="center"/>
          </w:tcPr>
          <w:p w14:paraId="6B0DA7B9" w14:textId="77777777" w:rsidR="007D706A" w:rsidRDefault="007D706A" w:rsidP="00F70508">
            <w:pPr>
              <w:pStyle w:val="ParagraphStyle6"/>
              <w:rPr>
                <w:rStyle w:val="CharacterStyle6"/>
              </w:rPr>
            </w:pPr>
            <w:r>
              <w:rPr>
                <w:rStyle w:val="CharacterStyle6"/>
              </w:rPr>
              <w:t>51.100,00</w:t>
            </w:r>
          </w:p>
        </w:tc>
        <w:tc>
          <w:tcPr>
            <w:tcW w:w="1395" w:type="dxa"/>
            <w:tcBorders>
              <w:bottom w:val="single" w:sz="6" w:space="0" w:color="000000"/>
              <w:right w:val="single" w:sz="6" w:space="0" w:color="000000"/>
            </w:tcBorders>
            <w:vAlign w:val="center"/>
          </w:tcPr>
          <w:p w14:paraId="05E85308" w14:textId="77777777" w:rsidR="007D706A" w:rsidRDefault="007D706A" w:rsidP="00F70508">
            <w:pPr>
              <w:pStyle w:val="ParagraphStyle6"/>
              <w:rPr>
                <w:rStyle w:val="CharacterStyle6"/>
              </w:rPr>
            </w:pPr>
            <w:r>
              <w:rPr>
                <w:rStyle w:val="CharacterStyle6"/>
              </w:rPr>
              <w:t>52.505,25</w:t>
            </w:r>
          </w:p>
        </w:tc>
        <w:tc>
          <w:tcPr>
            <w:tcW w:w="1395" w:type="dxa"/>
            <w:tcBorders>
              <w:bottom w:val="single" w:sz="6" w:space="0" w:color="000000"/>
              <w:right w:val="single" w:sz="6" w:space="0" w:color="000000"/>
            </w:tcBorders>
            <w:vAlign w:val="center"/>
          </w:tcPr>
          <w:p w14:paraId="3CC5FFE5" w14:textId="77777777" w:rsidR="007D706A" w:rsidRDefault="007D706A" w:rsidP="00F70508">
            <w:pPr>
              <w:pStyle w:val="ParagraphStyle6"/>
              <w:rPr>
                <w:rStyle w:val="CharacterStyle6"/>
              </w:rPr>
            </w:pPr>
            <w:r>
              <w:rPr>
                <w:rStyle w:val="CharacterStyle6"/>
              </w:rPr>
              <w:t>53.016,25</w:t>
            </w:r>
          </w:p>
        </w:tc>
      </w:tr>
      <w:tr w:rsidR="007D706A" w14:paraId="2AEF47F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1D1F480"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0E9DAA05"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51903B49"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53F4593" w14:textId="77777777" w:rsidR="007D706A" w:rsidRDefault="007D706A" w:rsidP="00F70508">
            <w:pPr>
              <w:pStyle w:val="ParagraphStyle9"/>
              <w:rPr>
                <w:rStyle w:val="CharacterStyle9"/>
              </w:rPr>
            </w:pPr>
            <w:r>
              <w:rPr>
                <w:rStyle w:val="CharacterStyle9"/>
              </w:rPr>
              <w:t>55.230,00</w:t>
            </w:r>
          </w:p>
        </w:tc>
        <w:tc>
          <w:tcPr>
            <w:tcW w:w="1395" w:type="dxa"/>
            <w:tcBorders>
              <w:bottom w:val="single" w:sz="6" w:space="0" w:color="000000"/>
              <w:right w:val="single" w:sz="6" w:space="0" w:color="000000"/>
            </w:tcBorders>
            <w:vAlign w:val="center"/>
          </w:tcPr>
          <w:p w14:paraId="075CDB04" w14:textId="77777777" w:rsidR="007D706A" w:rsidRDefault="007D706A" w:rsidP="00F70508">
            <w:pPr>
              <w:pStyle w:val="ParagraphStyle9"/>
              <w:rPr>
                <w:rStyle w:val="CharacterStyle9"/>
              </w:rPr>
            </w:pPr>
            <w:r>
              <w:rPr>
                <w:rStyle w:val="CharacterStyle9"/>
              </w:rPr>
              <w:t>51.100,00</w:t>
            </w:r>
          </w:p>
        </w:tc>
        <w:tc>
          <w:tcPr>
            <w:tcW w:w="1395" w:type="dxa"/>
            <w:tcBorders>
              <w:bottom w:val="single" w:sz="6" w:space="0" w:color="000000"/>
              <w:right w:val="single" w:sz="6" w:space="0" w:color="000000"/>
            </w:tcBorders>
            <w:vAlign w:val="center"/>
          </w:tcPr>
          <w:p w14:paraId="104AEE4A" w14:textId="77777777" w:rsidR="007D706A" w:rsidRDefault="007D706A" w:rsidP="00F70508">
            <w:pPr>
              <w:pStyle w:val="ParagraphStyle9"/>
              <w:rPr>
                <w:rStyle w:val="CharacterStyle9"/>
              </w:rPr>
            </w:pPr>
            <w:r>
              <w:rPr>
                <w:rStyle w:val="CharacterStyle9"/>
              </w:rPr>
              <w:t>52.505,25</w:t>
            </w:r>
          </w:p>
        </w:tc>
        <w:tc>
          <w:tcPr>
            <w:tcW w:w="1395" w:type="dxa"/>
            <w:tcBorders>
              <w:bottom w:val="single" w:sz="6" w:space="0" w:color="000000"/>
              <w:right w:val="single" w:sz="6" w:space="0" w:color="000000"/>
            </w:tcBorders>
            <w:vAlign w:val="center"/>
          </w:tcPr>
          <w:p w14:paraId="25A44B73" w14:textId="77777777" w:rsidR="007D706A" w:rsidRDefault="007D706A" w:rsidP="00F70508">
            <w:pPr>
              <w:pStyle w:val="ParagraphStyle9"/>
              <w:rPr>
                <w:rStyle w:val="CharacterStyle9"/>
              </w:rPr>
            </w:pPr>
            <w:r>
              <w:rPr>
                <w:rStyle w:val="CharacterStyle9"/>
              </w:rPr>
              <w:t>53.016,25</w:t>
            </w:r>
          </w:p>
        </w:tc>
      </w:tr>
      <w:tr w:rsidR="007D706A" w14:paraId="558E980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8A838ED"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289CBB68"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1FCE606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B55C854" w14:textId="77777777" w:rsidR="007D706A" w:rsidRDefault="007D706A" w:rsidP="00F70508">
            <w:pPr>
              <w:pStyle w:val="ParagraphStyle12"/>
              <w:rPr>
                <w:rStyle w:val="CharacterStyle12"/>
              </w:rPr>
            </w:pPr>
            <w:r>
              <w:rPr>
                <w:rStyle w:val="CharacterStyle12"/>
              </w:rPr>
              <w:t>55.230,00</w:t>
            </w:r>
          </w:p>
        </w:tc>
        <w:tc>
          <w:tcPr>
            <w:tcW w:w="1395" w:type="dxa"/>
            <w:tcBorders>
              <w:bottom w:val="single" w:sz="6" w:space="0" w:color="000000"/>
              <w:right w:val="single" w:sz="6" w:space="0" w:color="000000"/>
            </w:tcBorders>
            <w:vAlign w:val="center"/>
          </w:tcPr>
          <w:p w14:paraId="34F32817" w14:textId="77777777" w:rsidR="007D706A" w:rsidRDefault="007D706A" w:rsidP="00F70508">
            <w:pPr>
              <w:pStyle w:val="ParagraphStyle12"/>
              <w:rPr>
                <w:rStyle w:val="CharacterStyle12"/>
              </w:rPr>
            </w:pPr>
            <w:r>
              <w:rPr>
                <w:rStyle w:val="CharacterStyle12"/>
              </w:rPr>
              <w:t>51.100,00</w:t>
            </w:r>
          </w:p>
        </w:tc>
        <w:tc>
          <w:tcPr>
            <w:tcW w:w="1395" w:type="dxa"/>
            <w:tcBorders>
              <w:bottom w:val="single" w:sz="6" w:space="0" w:color="000000"/>
              <w:right w:val="single" w:sz="6" w:space="0" w:color="000000"/>
            </w:tcBorders>
            <w:vAlign w:val="center"/>
          </w:tcPr>
          <w:p w14:paraId="6F55D192" w14:textId="77777777" w:rsidR="007D706A" w:rsidRDefault="007D706A" w:rsidP="00F70508">
            <w:pPr>
              <w:pStyle w:val="ParagraphStyle12"/>
              <w:rPr>
                <w:rStyle w:val="CharacterStyle12"/>
              </w:rPr>
            </w:pPr>
            <w:r>
              <w:rPr>
                <w:rStyle w:val="CharacterStyle12"/>
              </w:rPr>
              <w:t>52.505,25</w:t>
            </w:r>
          </w:p>
        </w:tc>
        <w:tc>
          <w:tcPr>
            <w:tcW w:w="1395" w:type="dxa"/>
            <w:tcBorders>
              <w:bottom w:val="single" w:sz="6" w:space="0" w:color="000000"/>
              <w:right w:val="single" w:sz="6" w:space="0" w:color="000000"/>
            </w:tcBorders>
            <w:vAlign w:val="center"/>
          </w:tcPr>
          <w:p w14:paraId="4A55B85D" w14:textId="77777777" w:rsidR="007D706A" w:rsidRDefault="007D706A" w:rsidP="00F70508">
            <w:pPr>
              <w:pStyle w:val="ParagraphStyle12"/>
              <w:rPr>
                <w:rStyle w:val="CharacterStyle12"/>
              </w:rPr>
            </w:pPr>
            <w:r>
              <w:rPr>
                <w:rStyle w:val="CharacterStyle12"/>
              </w:rPr>
              <w:t>53.016,25</w:t>
            </w:r>
          </w:p>
        </w:tc>
      </w:tr>
      <w:tr w:rsidR="007D706A" w14:paraId="1683021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A6B5959"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634FA17E"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00F349C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061F318" w14:textId="77777777" w:rsidR="007D706A" w:rsidRDefault="007D706A" w:rsidP="00F70508">
            <w:pPr>
              <w:pStyle w:val="ParagraphStyle12"/>
              <w:rPr>
                <w:rStyle w:val="CharacterStyle12"/>
              </w:rPr>
            </w:pPr>
            <w:r>
              <w:rPr>
                <w:rStyle w:val="CharacterStyle12"/>
              </w:rPr>
              <w:t>55.230,00</w:t>
            </w:r>
          </w:p>
        </w:tc>
        <w:tc>
          <w:tcPr>
            <w:tcW w:w="1395" w:type="dxa"/>
            <w:tcBorders>
              <w:bottom w:val="single" w:sz="6" w:space="0" w:color="000000"/>
              <w:right w:val="single" w:sz="6" w:space="0" w:color="000000"/>
            </w:tcBorders>
            <w:vAlign w:val="center"/>
          </w:tcPr>
          <w:p w14:paraId="18B7A21C" w14:textId="77777777" w:rsidR="007D706A" w:rsidRDefault="007D706A" w:rsidP="00F70508">
            <w:pPr>
              <w:pStyle w:val="ParagraphStyle12"/>
              <w:rPr>
                <w:rStyle w:val="CharacterStyle12"/>
              </w:rPr>
            </w:pPr>
            <w:r>
              <w:rPr>
                <w:rStyle w:val="CharacterStyle12"/>
              </w:rPr>
              <w:t>51.100,00</w:t>
            </w:r>
          </w:p>
        </w:tc>
        <w:tc>
          <w:tcPr>
            <w:tcW w:w="1395" w:type="dxa"/>
            <w:tcBorders>
              <w:bottom w:val="single" w:sz="6" w:space="0" w:color="000000"/>
              <w:right w:val="single" w:sz="6" w:space="0" w:color="000000"/>
            </w:tcBorders>
            <w:vAlign w:val="center"/>
          </w:tcPr>
          <w:p w14:paraId="57D2C89A" w14:textId="77777777" w:rsidR="007D706A" w:rsidRDefault="007D706A" w:rsidP="00F70508">
            <w:pPr>
              <w:pStyle w:val="ParagraphStyle12"/>
              <w:rPr>
                <w:rStyle w:val="CharacterStyle12"/>
              </w:rPr>
            </w:pPr>
            <w:r>
              <w:rPr>
                <w:rStyle w:val="CharacterStyle12"/>
              </w:rPr>
              <w:t>52.505,25</w:t>
            </w:r>
          </w:p>
        </w:tc>
        <w:tc>
          <w:tcPr>
            <w:tcW w:w="1395" w:type="dxa"/>
            <w:tcBorders>
              <w:bottom w:val="single" w:sz="6" w:space="0" w:color="000000"/>
              <w:right w:val="single" w:sz="6" w:space="0" w:color="000000"/>
            </w:tcBorders>
            <w:vAlign w:val="center"/>
          </w:tcPr>
          <w:p w14:paraId="4C669586" w14:textId="77777777" w:rsidR="007D706A" w:rsidRDefault="007D706A" w:rsidP="00F70508">
            <w:pPr>
              <w:pStyle w:val="ParagraphStyle12"/>
              <w:rPr>
                <w:rStyle w:val="CharacterStyle12"/>
              </w:rPr>
            </w:pPr>
            <w:r>
              <w:rPr>
                <w:rStyle w:val="CharacterStyle12"/>
              </w:rPr>
              <w:t>53.016,25</w:t>
            </w:r>
          </w:p>
        </w:tc>
      </w:tr>
      <w:tr w:rsidR="007D706A" w14:paraId="22D8114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AF4AA23" w14:textId="77777777" w:rsidR="007D706A" w:rsidRDefault="007D706A" w:rsidP="00F70508">
            <w:pPr>
              <w:pStyle w:val="ParagraphStyle4"/>
              <w:rPr>
                <w:rStyle w:val="CharacterStyle4"/>
              </w:rPr>
            </w:pPr>
            <w:r>
              <w:rPr>
                <w:rStyle w:val="CharacterStyle4"/>
              </w:rPr>
              <w:t>Aktivnost A103619</w:t>
            </w:r>
          </w:p>
        </w:tc>
        <w:tc>
          <w:tcPr>
            <w:tcW w:w="4995" w:type="dxa"/>
            <w:tcBorders>
              <w:bottom w:val="single" w:sz="6" w:space="0" w:color="000000"/>
              <w:right w:val="single" w:sz="6" w:space="0" w:color="000000"/>
            </w:tcBorders>
            <w:vAlign w:val="center"/>
          </w:tcPr>
          <w:p w14:paraId="572FE2DF" w14:textId="77777777" w:rsidR="007D706A" w:rsidRDefault="007D706A" w:rsidP="00F70508">
            <w:pPr>
              <w:pStyle w:val="ParagraphStyle5"/>
              <w:rPr>
                <w:rStyle w:val="CharacterStyle5"/>
              </w:rPr>
            </w:pPr>
            <w:r>
              <w:rPr>
                <w:rStyle w:val="CharacterStyle5"/>
              </w:rPr>
              <w:t>NASTAVA TJELESNE I ZDRAVSTVENE KULTURE</w:t>
            </w:r>
          </w:p>
        </w:tc>
        <w:tc>
          <w:tcPr>
            <w:tcW w:w="1395" w:type="dxa"/>
            <w:tcBorders>
              <w:bottom w:val="single" w:sz="6" w:space="0" w:color="000000"/>
              <w:right w:val="single" w:sz="6" w:space="0" w:color="000000"/>
            </w:tcBorders>
            <w:vAlign w:val="center"/>
          </w:tcPr>
          <w:p w14:paraId="631F5CE7"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453BE63B" w14:textId="77777777" w:rsidR="007D706A" w:rsidRDefault="007D706A" w:rsidP="00F70508">
            <w:pPr>
              <w:pStyle w:val="ParagraphStyle6"/>
              <w:rPr>
                <w:rStyle w:val="CharacterStyle6"/>
              </w:rPr>
            </w:pPr>
            <w:r>
              <w:rPr>
                <w:rStyle w:val="CharacterStyle6"/>
              </w:rPr>
              <w:t>13.895,00</w:t>
            </w:r>
          </w:p>
        </w:tc>
        <w:tc>
          <w:tcPr>
            <w:tcW w:w="1395" w:type="dxa"/>
            <w:tcBorders>
              <w:bottom w:val="single" w:sz="6" w:space="0" w:color="000000"/>
              <w:right w:val="single" w:sz="6" w:space="0" w:color="000000"/>
            </w:tcBorders>
            <w:vAlign w:val="center"/>
          </w:tcPr>
          <w:p w14:paraId="25FC36E2" w14:textId="77777777" w:rsidR="007D706A" w:rsidRDefault="007D706A" w:rsidP="00F70508">
            <w:pPr>
              <w:pStyle w:val="ParagraphStyle6"/>
              <w:rPr>
                <w:rStyle w:val="CharacterStyle6"/>
              </w:rPr>
            </w:pPr>
            <w:r>
              <w:rPr>
                <w:rStyle w:val="CharacterStyle6"/>
              </w:rPr>
              <w:t>14.022,19</w:t>
            </w:r>
          </w:p>
        </w:tc>
        <w:tc>
          <w:tcPr>
            <w:tcW w:w="1395" w:type="dxa"/>
            <w:tcBorders>
              <w:bottom w:val="single" w:sz="6" w:space="0" w:color="000000"/>
              <w:right w:val="single" w:sz="6" w:space="0" w:color="000000"/>
            </w:tcBorders>
            <w:vAlign w:val="center"/>
          </w:tcPr>
          <w:p w14:paraId="57D24096" w14:textId="77777777" w:rsidR="007D706A" w:rsidRDefault="007D706A" w:rsidP="00F70508">
            <w:pPr>
              <w:pStyle w:val="ParagraphStyle6"/>
              <w:rPr>
                <w:rStyle w:val="CharacterStyle6"/>
              </w:rPr>
            </w:pPr>
            <w:r>
              <w:rPr>
                <w:rStyle w:val="CharacterStyle6"/>
              </w:rPr>
              <w:t>14.364,45</w:t>
            </w:r>
          </w:p>
        </w:tc>
        <w:tc>
          <w:tcPr>
            <w:tcW w:w="1395" w:type="dxa"/>
            <w:tcBorders>
              <w:bottom w:val="single" w:sz="6" w:space="0" w:color="000000"/>
              <w:right w:val="single" w:sz="6" w:space="0" w:color="000000"/>
            </w:tcBorders>
            <w:vAlign w:val="center"/>
          </w:tcPr>
          <w:p w14:paraId="38049515" w14:textId="77777777" w:rsidR="007D706A" w:rsidRDefault="007D706A" w:rsidP="00F70508">
            <w:pPr>
              <w:pStyle w:val="ParagraphStyle6"/>
              <w:rPr>
                <w:rStyle w:val="CharacterStyle6"/>
              </w:rPr>
            </w:pPr>
            <w:r>
              <w:rPr>
                <w:rStyle w:val="CharacterStyle6"/>
              </w:rPr>
              <w:t>14.504,25</w:t>
            </w:r>
          </w:p>
        </w:tc>
      </w:tr>
      <w:tr w:rsidR="007D706A" w14:paraId="336FF6A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61AE785"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6130AB49"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232804C9"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14C50C2" w14:textId="77777777" w:rsidR="007D706A" w:rsidRDefault="007D706A" w:rsidP="00F70508">
            <w:pPr>
              <w:pStyle w:val="ParagraphStyle9"/>
              <w:rPr>
                <w:rStyle w:val="CharacterStyle9"/>
              </w:rPr>
            </w:pPr>
            <w:r>
              <w:rPr>
                <w:rStyle w:val="CharacterStyle9"/>
              </w:rPr>
              <w:t>13.895,00</w:t>
            </w:r>
          </w:p>
        </w:tc>
        <w:tc>
          <w:tcPr>
            <w:tcW w:w="1395" w:type="dxa"/>
            <w:tcBorders>
              <w:bottom w:val="single" w:sz="6" w:space="0" w:color="000000"/>
              <w:right w:val="single" w:sz="6" w:space="0" w:color="000000"/>
            </w:tcBorders>
            <w:vAlign w:val="center"/>
          </w:tcPr>
          <w:p w14:paraId="77C31616" w14:textId="77777777" w:rsidR="007D706A" w:rsidRDefault="007D706A" w:rsidP="00F70508">
            <w:pPr>
              <w:pStyle w:val="ParagraphStyle9"/>
              <w:rPr>
                <w:rStyle w:val="CharacterStyle9"/>
              </w:rPr>
            </w:pPr>
            <w:r>
              <w:rPr>
                <w:rStyle w:val="CharacterStyle9"/>
              </w:rPr>
              <w:t>14.022,19</w:t>
            </w:r>
          </w:p>
        </w:tc>
        <w:tc>
          <w:tcPr>
            <w:tcW w:w="1395" w:type="dxa"/>
            <w:tcBorders>
              <w:bottom w:val="single" w:sz="6" w:space="0" w:color="000000"/>
              <w:right w:val="single" w:sz="6" w:space="0" w:color="000000"/>
            </w:tcBorders>
            <w:vAlign w:val="center"/>
          </w:tcPr>
          <w:p w14:paraId="1233549D" w14:textId="77777777" w:rsidR="007D706A" w:rsidRDefault="007D706A" w:rsidP="00F70508">
            <w:pPr>
              <w:pStyle w:val="ParagraphStyle9"/>
              <w:rPr>
                <w:rStyle w:val="CharacterStyle9"/>
              </w:rPr>
            </w:pPr>
            <w:r>
              <w:rPr>
                <w:rStyle w:val="CharacterStyle9"/>
              </w:rPr>
              <w:t>14.364,45</w:t>
            </w:r>
          </w:p>
        </w:tc>
        <w:tc>
          <w:tcPr>
            <w:tcW w:w="1395" w:type="dxa"/>
            <w:tcBorders>
              <w:bottom w:val="single" w:sz="6" w:space="0" w:color="000000"/>
              <w:right w:val="single" w:sz="6" w:space="0" w:color="000000"/>
            </w:tcBorders>
            <w:vAlign w:val="center"/>
          </w:tcPr>
          <w:p w14:paraId="5641C002" w14:textId="77777777" w:rsidR="007D706A" w:rsidRDefault="007D706A" w:rsidP="00F70508">
            <w:pPr>
              <w:pStyle w:val="ParagraphStyle9"/>
              <w:rPr>
                <w:rStyle w:val="CharacterStyle9"/>
              </w:rPr>
            </w:pPr>
            <w:r>
              <w:rPr>
                <w:rStyle w:val="CharacterStyle9"/>
              </w:rPr>
              <w:t>14.504,25</w:t>
            </w:r>
          </w:p>
        </w:tc>
      </w:tr>
      <w:tr w:rsidR="007D706A" w14:paraId="5F631C26"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9571E8A"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4E3B9037"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5E18600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828C269" w14:textId="77777777" w:rsidR="007D706A" w:rsidRDefault="007D706A" w:rsidP="00F70508">
            <w:pPr>
              <w:pStyle w:val="ParagraphStyle12"/>
              <w:rPr>
                <w:rStyle w:val="CharacterStyle12"/>
              </w:rPr>
            </w:pPr>
            <w:r>
              <w:rPr>
                <w:rStyle w:val="CharacterStyle12"/>
              </w:rPr>
              <w:t>13.895,00</w:t>
            </w:r>
          </w:p>
        </w:tc>
        <w:tc>
          <w:tcPr>
            <w:tcW w:w="1395" w:type="dxa"/>
            <w:tcBorders>
              <w:bottom w:val="single" w:sz="6" w:space="0" w:color="000000"/>
              <w:right w:val="single" w:sz="6" w:space="0" w:color="000000"/>
            </w:tcBorders>
            <w:vAlign w:val="center"/>
          </w:tcPr>
          <w:p w14:paraId="7EB71620" w14:textId="77777777" w:rsidR="007D706A" w:rsidRDefault="007D706A" w:rsidP="00F70508">
            <w:pPr>
              <w:pStyle w:val="ParagraphStyle12"/>
              <w:rPr>
                <w:rStyle w:val="CharacterStyle12"/>
              </w:rPr>
            </w:pPr>
            <w:r>
              <w:rPr>
                <w:rStyle w:val="CharacterStyle12"/>
              </w:rPr>
              <w:t>14.022,19</w:t>
            </w:r>
          </w:p>
        </w:tc>
        <w:tc>
          <w:tcPr>
            <w:tcW w:w="1395" w:type="dxa"/>
            <w:tcBorders>
              <w:bottom w:val="single" w:sz="6" w:space="0" w:color="000000"/>
              <w:right w:val="single" w:sz="6" w:space="0" w:color="000000"/>
            </w:tcBorders>
            <w:vAlign w:val="center"/>
          </w:tcPr>
          <w:p w14:paraId="50D8BD9D" w14:textId="77777777" w:rsidR="007D706A" w:rsidRDefault="007D706A" w:rsidP="00F70508">
            <w:pPr>
              <w:pStyle w:val="ParagraphStyle12"/>
              <w:rPr>
                <w:rStyle w:val="CharacterStyle12"/>
              </w:rPr>
            </w:pPr>
            <w:r>
              <w:rPr>
                <w:rStyle w:val="CharacterStyle12"/>
              </w:rPr>
              <w:t>14.364,45</w:t>
            </w:r>
          </w:p>
        </w:tc>
        <w:tc>
          <w:tcPr>
            <w:tcW w:w="1395" w:type="dxa"/>
            <w:tcBorders>
              <w:bottom w:val="single" w:sz="6" w:space="0" w:color="000000"/>
              <w:right w:val="single" w:sz="6" w:space="0" w:color="000000"/>
            </w:tcBorders>
            <w:vAlign w:val="center"/>
          </w:tcPr>
          <w:p w14:paraId="25EF10C5" w14:textId="77777777" w:rsidR="007D706A" w:rsidRDefault="007D706A" w:rsidP="00F70508">
            <w:pPr>
              <w:pStyle w:val="ParagraphStyle12"/>
              <w:rPr>
                <w:rStyle w:val="CharacterStyle12"/>
              </w:rPr>
            </w:pPr>
            <w:r>
              <w:rPr>
                <w:rStyle w:val="CharacterStyle12"/>
              </w:rPr>
              <w:t>14.504,25</w:t>
            </w:r>
          </w:p>
        </w:tc>
      </w:tr>
      <w:tr w:rsidR="007D706A" w14:paraId="3950A2C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83BBBB0" w14:textId="77777777" w:rsidR="007D706A" w:rsidRDefault="007D706A" w:rsidP="00F70508">
            <w:pPr>
              <w:pStyle w:val="ParagraphStyle10"/>
              <w:rPr>
                <w:rStyle w:val="CharacterStyle10"/>
              </w:rPr>
            </w:pPr>
            <w:r>
              <w:rPr>
                <w:rStyle w:val="CharacterStyle10"/>
              </w:rPr>
              <w:t>31</w:t>
            </w:r>
          </w:p>
        </w:tc>
        <w:tc>
          <w:tcPr>
            <w:tcW w:w="4995" w:type="dxa"/>
            <w:tcBorders>
              <w:bottom w:val="single" w:sz="6" w:space="0" w:color="000000"/>
              <w:right w:val="single" w:sz="6" w:space="0" w:color="000000"/>
            </w:tcBorders>
            <w:vAlign w:val="center"/>
          </w:tcPr>
          <w:p w14:paraId="269C3FA2" w14:textId="77777777" w:rsidR="007D706A" w:rsidRDefault="007D706A" w:rsidP="00F70508">
            <w:pPr>
              <w:pStyle w:val="ParagraphStyle11"/>
              <w:rPr>
                <w:rStyle w:val="CharacterStyle11"/>
              </w:rPr>
            </w:pPr>
            <w:r>
              <w:rPr>
                <w:rStyle w:val="CharacterStyle11"/>
              </w:rPr>
              <w:t>Rashodi za zaposlene</w:t>
            </w:r>
          </w:p>
        </w:tc>
        <w:tc>
          <w:tcPr>
            <w:tcW w:w="1395" w:type="dxa"/>
            <w:tcBorders>
              <w:bottom w:val="single" w:sz="6" w:space="0" w:color="000000"/>
              <w:right w:val="single" w:sz="6" w:space="0" w:color="000000"/>
            </w:tcBorders>
            <w:vAlign w:val="center"/>
          </w:tcPr>
          <w:p w14:paraId="5341E48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1E8A4C6" w14:textId="77777777" w:rsidR="007D706A" w:rsidRDefault="007D706A" w:rsidP="00F70508">
            <w:pPr>
              <w:pStyle w:val="ParagraphStyle12"/>
              <w:rPr>
                <w:rStyle w:val="CharacterStyle12"/>
              </w:rPr>
            </w:pPr>
            <w:r>
              <w:rPr>
                <w:rStyle w:val="CharacterStyle12"/>
              </w:rPr>
              <w:t>13.895,00</w:t>
            </w:r>
          </w:p>
        </w:tc>
        <w:tc>
          <w:tcPr>
            <w:tcW w:w="1395" w:type="dxa"/>
            <w:tcBorders>
              <w:bottom w:val="single" w:sz="6" w:space="0" w:color="000000"/>
              <w:right w:val="single" w:sz="6" w:space="0" w:color="000000"/>
            </w:tcBorders>
            <w:vAlign w:val="center"/>
          </w:tcPr>
          <w:p w14:paraId="75060D54" w14:textId="77777777" w:rsidR="007D706A" w:rsidRDefault="007D706A" w:rsidP="00F70508">
            <w:pPr>
              <w:pStyle w:val="ParagraphStyle12"/>
              <w:rPr>
                <w:rStyle w:val="CharacterStyle12"/>
              </w:rPr>
            </w:pPr>
            <w:r>
              <w:rPr>
                <w:rStyle w:val="CharacterStyle12"/>
              </w:rPr>
              <w:t>14.022,19</w:t>
            </w:r>
          </w:p>
        </w:tc>
        <w:tc>
          <w:tcPr>
            <w:tcW w:w="1395" w:type="dxa"/>
            <w:tcBorders>
              <w:bottom w:val="single" w:sz="6" w:space="0" w:color="000000"/>
              <w:right w:val="single" w:sz="6" w:space="0" w:color="000000"/>
            </w:tcBorders>
            <w:vAlign w:val="center"/>
          </w:tcPr>
          <w:p w14:paraId="043A41B6" w14:textId="77777777" w:rsidR="007D706A" w:rsidRDefault="007D706A" w:rsidP="00F70508">
            <w:pPr>
              <w:pStyle w:val="ParagraphStyle12"/>
              <w:rPr>
                <w:rStyle w:val="CharacterStyle12"/>
              </w:rPr>
            </w:pPr>
            <w:r>
              <w:rPr>
                <w:rStyle w:val="CharacterStyle12"/>
              </w:rPr>
              <w:t>14.364,45</w:t>
            </w:r>
          </w:p>
        </w:tc>
        <w:tc>
          <w:tcPr>
            <w:tcW w:w="1395" w:type="dxa"/>
            <w:tcBorders>
              <w:bottom w:val="single" w:sz="6" w:space="0" w:color="000000"/>
              <w:right w:val="single" w:sz="6" w:space="0" w:color="000000"/>
            </w:tcBorders>
            <w:vAlign w:val="center"/>
          </w:tcPr>
          <w:p w14:paraId="49F78FB3" w14:textId="77777777" w:rsidR="007D706A" w:rsidRDefault="007D706A" w:rsidP="00F70508">
            <w:pPr>
              <w:pStyle w:val="ParagraphStyle12"/>
              <w:rPr>
                <w:rStyle w:val="CharacterStyle12"/>
              </w:rPr>
            </w:pPr>
            <w:r>
              <w:rPr>
                <w:rStyle w:val="CharacterStyle12"/>
              </w:rPr>
              <w:t>14.504,25</w:t>
            </w:r>
          </w:p>
        </w:tc>
      </w:tr>
      <w:tr w:rsidR="007D706A" w14:paraId="2CF7A13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581F446" w14:textId="77777777" w:rsidR="007D706A" w:rsidRDefault="007D706A" w:rsidP="00F70508">
            <w:pPr>
              <w:pStyle w:val="ParagraphStyle4"/>
              <w:rPr>
                <w:rStyle w:val="CharacterStyle4"/>
              </w:rPr>
            </w:pPr>
            <w:r>
              <w:rPr>
                <w:rStyle w:val="CharacterStyle4"/>
              </w:rPr>
              <w:t>Aktivnost A103620</w:t>
            </w:r>
          </w:p>
        </w:tc>
        <w:tc>
          <w:tcPr>
            <w:tcW w:w="4995" w:type="dxa"/>
            <w:tcBorders>
              <w:bottom w:val="single" w:sz="6" w:space="0" w:color="000000"/>
              <w:right w:val="single" w:sz="6" w:space="0" w:color="000000"/>
            </w:tcBorders>
            <w:vAlign w:val="center"/>
          </w:tcPr>
          <w:p w14:paraId="458519EA" w14:textId="77777777" w:rsidR="007D706A" w:rsidRDefault="007D706A" w:rsidP="00F70508">
            <w:pPr>
              <w:pStyle w:val="ParagraphStyle5"/>
              <w:rPr>
                <w:rStyle w:val="CharacterStyle5"/>
              </w:rPr>
            </w:pPr>
            <w:r>
              <w:rPr>
                <w:rStyle w:val="CharacterStyle5"/>
              </w:rPr>
              <w:t>PRODUŽENI BORAVAK DJECE U ŠKOLI</w:t>
            </w:r>
          </w:p>
        </w:tc>
        <w:tc>
          <w:tcPr>
            <w:tcW w:w="1395" w:type="dxa"/>
            <w:tcBorders>
              <w:bottom w:val="single" w:sz="6" w:space="0" w:color="000000"/>
              <w:right w:val="single" w:sz="6" w:space="0" w:color="000000"/>
            </w:tcBorders>
            <w:vAlign w:val="center"/>
          </w:tcPr>
          <w:p w14:paraId="1E4002D9"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18B9F455" w14:textId="77777777" w:rsidR="007D706A" w:rsidRDefault="007D706A" w:rsidP="00F70508">
            <w:pPr>
              <w:pStyle w:val="ParagraphStyle6"/>
              <w:rPr>
                <w:rStyle w:val="CharacterStyle6"/>
              </w:rPr>
            </w:pPr>
            <w:r>
              <w:rPr>
                <w:rStyle w:val="CharacterStyle6"/>
              </w:rPr>
              <w:t>218.550,00</w:t>
            </w:r>
          </w:p>
        </w:tc>
        <w:tc>
          <w:tcPr>
            <w:tcW w:w="1395" w:type="dxa"/>
            <w:tcBorders>
              <w:bottom w:val="single" w:sz="6" w:space="0" w:color="000000"/>
              <w:right w:val="single" w:sz="6" w:space="0" w:color="000000"/>
            </w:tcBorders>
            <w:vAlign w:val="center"/>
          </w:tcPr>
          <w:p w14:paraId="30DF2EE1" w14:textId="77777777" w:rsidR="007D706A" w:rsidRDefault="007D706A" w:rsidP="00F70508">
            <w:pPr>
              <w:pStyle w:val="ParagraphStyle6"/>
              <w:rPr>
                <w:rStyle w:val="CharacterStyle6"/>
              </w:rPr>
            </w:pPr>
            <w:r>
              <w:rPr>
                <w:rStyle w:val="CharacterStyle6"/>
              </w:rPr>
              <w:t>218.700,00</w:t>
            </w:r>
          </w:p>
        </w:tc>
        <w:tc>
          <w:tcPr>
            <w:tcW w:w="1395" w:type="dxa"/>
            <w:tcBorders>
              <w:bottom w:val="single" w:sz="6" w:space="0" w:color="000000"/>
              <w:right w:val="single" w:sz="6" w:space="0" w:color="000000"/>
            </w:tcBorders>
            <w:vAlign w:val="center"/>
          </w:tcPr>
          <w:p w14:paraId="7D164AF2" w14:textId="77777777" w:rsidR="007D706A" w:rsidRDefault="007D706A" w:rsidP="00F70508">
            <w:pPr>
              <w:pStyle w:val="ParagraphStyle6"/>
              <w:rPr>
                <w:rStyle w:val="CharacterStyle6"/>
              </w:rPr>
            </w:pPr>
            <w:r>
              <w:rPr>
                <w:rStyle w:val="CharacterStyle6"/>
              </w:rPr>
              <w:t>224.714,25</w:t>
            </w:r>
          </w:p>
        </w:tc>
        <w:tc>
          <w:tcPr>
            <w:tcW w:w="1395" w:type="dxa"/>
            <w:tcBorders>
              <w:bottom w:val="single" w:sz="6" w:space="0" w:color="000000"/>
              <w:right w:val="single" w:sz="6" w:space="0" w:color="000000"/>
            </w:tcBorders>
            <w:vAlign w:val="center"/>
          </w:tcPr>
          <w:p w14:paraId="5B46249E" w14:textId="77777777" w:rsidR="007D706A" w:rsidRDefault="007D706A" w:rsidP="00F70508">
            <w:pPr>
              <w:pStyle w:val="ParagraphStyle6"/>
              <w:rPr>
                <w:rStyle w:val="CharacterStyle6"/>
              </w:rPr>
            </w:pPr>
            <w:r>
              <w:rPr>
                <w:rStyle w:val="CharacterStyle6"/>
              </w:rPr>
              <w:t>226.901,25</w:t>
            </w:r>
          </w:p>
        </w:tc>
      </w:tr>
      <w:tr w:rsidR="007D706A" w14:paraId="1C4DBDA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2F13A7D"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6B5D9005"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7F6AFC02"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652E405" w14:textId="77777777" w:rsidR="007D706A" w:rsidRDefault="007D706A" w:rsidP="00F70508">
            <w:pPr>
              <w:pStyle w:val="ParagraphStyle9"/>
              <w:rPr>
                <w:rStyle w:val="CharacterStyle9"/>
              </w:rPr>
            </w:pPr>
            <w:r>
              <w:rPr>
                <w:rStyle w:val="CharacterStyle9"/>
              </w:rPr>
              <w:t>191.150,00</w:t>
            </w:r>
          </w:p>
        </w:tc>
        <w:tc>
          <w:tcPr>
            <w:tcW w:w="1395" w:type="dxa"/>
            <w:tcBorders>
              <w:bottom w:val="single" w:sz="6" w:space="0" w:color="000000"/>
              <w:right w:val="single" w:sz="6" w:space="0" w:color="000000"/>
            </w:tcBorders>
            <w:vAlign w:val="center"/>
          </w:tcPr>
          <w:p w14:paraId="75026111" w14:textId="77777777" w:rsidR="007D706A" w:rsidRDefault="007D706A" w:rsidP="00F70508">
            <w:pPr>
              <w:pStyle w:val="ParagraphStyle9"/>
              <w:rPr>
                <w:rStyle w:val="CharacterStyle9"/>
              </w:rPr>
            </w:pPr>
            <w:r>
              <w:rPr>
                <w:rStyle w:val="CharacterStyle9"/>
              </w:rPr>
              <w:t>191.300,00</w:t>
            </w:r>
          </w:p>
        </w:tc>
        <w:tc>
          <w:tcPr>
            <w:tcW w:w="1395" w:type="dxa"/>
            <w:tcBorders>
              <w:bottom w:val="single" w:sz="6" w:space="0" w:color="000000"/>
              <w:right w:val="single" w:sz="6" w:space="0" w:color="000000"/>
            </w:tcBorders>
            <w:vAlign w:val="center"/>
          </w:tcPr>
          <w:p w14:paraId="7752AD6D" w14:textId="77777777" w:rsidR="007D706A" w:rsidRDefault="007D706A" w:rsidP="00F70508">
            <w:pPr>
              <w:pStyle w:val="ParagraphStyle9"/>
              <w:rPr>
                <w:rStyle w:val="CharacterStyle9"/>
              </w:rPr>
            </w:pPr>
            <w:r>
              <w:rPr>
                <w:rStyle w:val="CharacterStyle9"/>
              </w:rPr>
              <w:t>196.560,75</w:t>
            </w:r>
          </w:p>
        </w:tc>
        <w:tc>
          <w:tcPr>
            <w:tcW w:w="1395" w:type="dxa"/>
            <w:tcBorders>
              <w:bottom w:val="single" w:sz="6" w:space="0" w:color="000000"/>
              <w:right w:val="single" w:sz="6" w:space="0" w:color="000000"/>
            </w:tcBorders>
            <w:vAlign w:val="center"/>
          </w:tcPr>
          <w:p w14:paraId="39D4304D" w14:textId="77777777" w:rsidR="007D706A" w:rsidRDefault="007D706A" w:rsidP="00F70508">
            <w:pPr>
              <w:pStyle w:val="ParagraphStyle9"/>
              <w:rPr>
                <w:rStyle w:val="CharacterStyle9"/>
              </w:rPr>
            </w:pPr>
            <w:r>
              <w:rPr>
                <w:rStyle w:val="CharacterStyle9"/>
              </w:rPr>
              <w:t>198.473,75</w:t>
            </w:r>
          </w:p>
        </w:tc>
      </w:tr>
      <w:tr w:rsidR="007D706A" w14:paraId="560108F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D70CA83"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1B15FB8D"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356022B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420C629" w14:textId="77777777" w:rsidR="007D706A" w:rsidRDefault="007D706A" w:rsidP="00F70508">
            <w:pPr>
              <w:pStyle w:val="ParagraphStyle12"/>
              <w:rPr>
                <w:rStyle w:val="CharacterStyle12"/>
              </w:rPr>
            </w:pPr>
            <w:r>
              <w:rPr>
                <w:rStyle w:val="CharacterStyle12"/>
              </w:rPr>
              <w:t>191.150,00</w:t>
            </w:r>
          </w:p>
        </w:tc>
        <w:tc>
          <w:tcPr>
            <w:tcW w:w="1395" w:type="dxa"/>
            <w:tcBorders>
              <w:bottom w:val="single" w:sz="6" w:space="0" w:color="000000"/>
              <w:right w:val="single" w:sz="6" w:space="0" w:color="000000"/>
            </w:tcBorders>
            <w:vAlign w:val="center"/>
          </w:tcPr>
          <w:p w14:paraId="385EDA27" w14:textId="77777777" w:rsidR="007D706A" w:rsidRDefault="007D706A" w:rsidP="00F70508">
            <w:pPr>
              <w:pStyle w:val="ParagraphStyle12"/>
              <w:rPr>
                <w:rStyle w:val="CharacterStyle12"/>
              </w:rPr>
            </w:pPr>
            <w:r>
              <w:rPr>
                <w:rStyle w:val="CharacterStyle12"/>
              </w:rPr>
              <w:t>191.300,00</w:t>
            </w:r>
          </w:p>
        </w:tc>
        <w:tc>
          <w:tcPr>
            <w:tcW w:w="1395" w:type="dxa"/>
            <w:tcBorders>
              <w:bottom w:val="single" w:sz="6" w:space="0" w:color="000000"/>
              <w:right w:val="single" w:sz="6" w:space="0" w:color="000000"/>
            </w:tcBorders>
            <w:vAlign w:val="center"/>
          </w:tcPr>
          <w:p w14:paraId="29E3DA0B" w14:textId="77777777" w:rsidR="007D706A" w:rsidRDefault="007D706A" w:rsidP="00F70508">
            <w:pPr>
              <w:pStyle w:val="ParagraphStyle12"/>
              <w:rPr>
                <w:rStyle w:val="CharacterStyle12"/>
              </w:rPr>
            </w:pPr>
            <w:r>
              <w:rPr>
                <w:rStyle w:val="CharacterStyle12"/>
              </w:rPr>
              <w:t>196.560,75</w:t>
            </w:r>
          </w:p>
        </w:tc>
        <w:tc>
          <w:tcPr>
            <w:tcW w:w="1395" w:type="dxa"/>
            <w:tcBorders>
              <w:bottom w:val="single" w:sz="6" w:space="0" w:color="000000"/>
              <w:right w:val="single" w:sz="6" w:space="0" w:color="000000"/>
            </w:tcBorders>
            <w:vAlign w:val="center"/>
          </w:tcPr>
          <w:p w14:paraId="2530A39A" w14:textId="77777777" w:rsidR="007D706A" w:rsidRDefault="007D706A" w:rsidP="00F70508">
            <w:pPr>
              <w:pStyle w:val="ParagraphStyle12"/>
              <w:rPr>
                <w:rStyle w:val="CharacterStyle12"/>
              </w:rPr>
            </w:pPr>
            <w:r>
              <w:rPr>
                <w:rStyle w:val="CharacterStyle12"/>
              </w:rPr>
              <w:t>198.473,75</w:t>
            </w:r>
          </w:p>
        </w:tc>
      </w:tr>
      <w:tr w:rsidR="007D706A" w14:paraId="44300F2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0C294AD" w14:textId="77777777" w:rsidR="007D706A" w:rsidRDefault="007D706A" w:rsidP="00F70508">
            <w:pPr>
              <w:pStyle w:val="ParagraphStyle10"/>
              <w:rPr>
                <w:rStyle w:val="CharacterStyle10"/>
              </w:rPr>
            </w:pPr>
            <w:r>
              <w:rPr>
                <w:rStyle w:val="CharacterStyle10"/>
              </w:rPr>
              <w:t>31</w:t>
            </w:r>
          </w:p>
        </w:tc>
        <w:tc>
          <w:tcPr>
            <w:tcW w:w="4995" w:type="dxa"/>
            <w:tcBorders>
              <w:bottom w:val="single" w:sz="6" w:space="0" w:color="000000"/>
              <w:right w:val="single" w:sz="6" w:space="0" w:color="000000"/>
            </w:tcBorders>
            <w:vAlign w:val="center"/>
          </w:tcPr>
          <w:p w14:paraId="43CE5E41" w14:textId="77777777" w:rsidR="007D706A" w:rsidRDefault="007D706A" w:rsidP="00F70508">
            <w:pPr>
              <w:pStyle w:val="ParagraphStyle11"/>
              <w:rPr>
                <w:rStyle w:val="CharacterStyle11"/>
              </w:rPr>
            </w:pPr>
            <w:r>
              <w:rPr>
                <w:rStyle w:val="CharacterStyle11"/>
              </w:rPr>
              <w:t>Rashodi za zaposlene</w:t>
            </w:r>
          </w:p>
        </w:tc>
        <w:tc>
          <w:tcPr>
            <w:tcW w:w="1395" w:type="dxa"/>
            <w:tcBorders>
              <w:bottom w:val="single" w:sz="6" w:space="0" w:color="000000"/>
              <w:right w:val="single" w:sz="6" w:space="0" w:color="000000"/>
            </w:tcBorders>
            <w:vAlign w:val="center"/>
          </w:tcPr>
          <w:p w14:paraId="5F02C04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798235E" w14:textId="77777777" w:rsidR="007D706A" w:rsidRDefault="007D706A" w:rsidP="00F70508">
            <w:pPr>
              <w:pStyle w:val="ParagraphStyle12"/>
              <w:rPr>
                <w:rStyle w:val="CharacterStyle12"/>
              </w:rPr>
            </w:pPr>
            <w:r>
              <w:rPr>
                <w:rStyle w:val="CharacterStyle12"/>
              </w:rPr>
              <w:t>191.150,00</w:t>
            </w:r>
          </w:p>
        </w:tc>
        <w:tc>
          <w:tcPr>
            <w:tcW w:w="1395" w:type="dxa"/>
            <w:tcBorders>
              <w:bottom w:val="single" w:sz="6" w:space="0" w:color="000000"/>
              <w:right w:val="single" w:sz="6" w:space="0" w:color="000000"/>
            </w:tcBorders>
            <w:vAlign w:val="center"/>
          </w:tcPr>
          <w:p w14:paraId="72917502" w14:textId="77777777" w:rsidR="007D706A" w:rsidRDefault="007D706A" w:rsidP="00F70508">
            <w:pPr>
              <w:pStyle w:val="ParagraphStyle12"/>
              <w:rPr>
                <w:rStyle w:val="CharacterStyle12"/>
              </w:rPr>
            </w:pPr>
            <w:r>
              <w:rPr>
                <w:rStyle w:val="CharacterStyle12"/>
              </w:rPr>
              <w:t>191.300,00</w:t>
            </w:r>
          </w:p>
        </w:tc>
        <w:tc>
          <w:tcPr>
            <w:tcW w:w="1395" w:type="dxa"/>
            <w:tcBorders>
              <w:bottom w:val="single" w:sz="6" w:space="0" w:color="000000"/>
              <w:right w:val="single" w:sz="6" w:space="0" w:color="000000"/>
            </w:tcBorders>
            <w:vAlign w:val="center"/>
          </w:tcPr>
          <w:p w14:paraId="5142BFD7" w14:textId="77777777" w:rsidR="007D706A" w:rsidRDefault="007D706A" w:rsidP="00F70508">
            <w:pPr>
              <w:pStyle w:val="ParagraphStyle12"/>
              <w:rPr>
                <w:rStyle w:val="CharacterStyle12"/>
              </w:rPr>
            </w:pPr>
            <w:r>
              <w:rPr>
                <w:rStyle w:val="CharacterStyle12"/>
              </w:rPr>
              <w:t>196.560,75</w:t>
            </w:r>
          </w:p>
        </w:tc>
        <w:tc>
          <w:tcPr>
            <w:tcW w:w="1395" w:type="dxa"/>
            <w:tcBorders>
              <w:bottom w:val="single" w:sz="6" w:space="0" w:color="000000"/>
              <w:right w:val="single" w:sz="6" w:space="0" w:color="000000"/>
            </w:tcBorders>
            <w:vAlign w:val="center"/>
          </w:tcPr>
          <w:p w14:paraId="08C68D86" w14:textId="77777777" w:rsidR="007D706A" w:rsidRDefault="007D706A" w:rsidP="00F70508">
            <w:pPr>
              <w:pStyle w:val="ParagraphStyle12"/>
              <w:rPr>
                <w:rStyle w:val="CharacterStyle12"/>
              </w:rPr>
            </w:pPr>
            <w:r>
              <w:rPr>
                <w:rStyle w:val="CharacterStyle12"/>
              </w:rPr>
              <w:t>198.473,75</w:t>
            </w:r>
          </w:p>
        </w:tc>
      </w:tr>
      <w:tr w:rsidR="007D706A" w14:paraId="425FD87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2C2B506" w14:textId="77777777" w:rsidR="007D706A" w:rsidRDefault="007D706A" w:rsidP="00F70508">
            <w:pPr>
              <w:pStyle w:val="ParagraphStyle7"/>
              <w:rPr>
                <w:rStyle w:val="CharacterStyle7"/>
              </w:rPr>
            </w:pPr>
            <w:r>
              <w:rPr>
                <w:rStyle w:val="CharacterStyle7"/>
              </w:rPr>
              <w:t>Izvor financiranja 5</w:t>
            </w:r>
          </w:p>
        </w:tc>
        <w:tc>
          <w:tcPr>
            <w:tcW w:w="4995" w:type="dxa"/>
            <w:tcBorders>
              <w:bottom w:val="single" w:sz="6" w:space="0" w:color="000000"/>
              <w:right w:val="single" w:sz="6" w:space="0" w:color="000000"/>
            </w:tcBorders>
            <w:vAlign w:val="center"/>
          </w:tcPr>
          <w:p w14:paraId="02A756D7" w14:textId="77777777" w:rsidR="007D706A" w:rsidRDefault="007D706A" w:rsidP="00F70508">
            <w:pPr>
              <w:pStyle w:val="ParagraphStyle8"/>
              <w:rPr>
                <w:rStyle w:val="CharacterStyle8"/>
              </w:rPr>
            </w:pPr>
            <w:r>
              <w:rPr>
                <w:rStyle w:val="CharacterStyle8"/>
              </w:rPr>
              <w:t>POMOĆI</w:t>
            </w:r>
          </w:p>
        </w:tc>
        <w:tc>
          <w:tcPr>
            <w:tcW w:w="1395" w:type="dxa"/>
            <w:tcBorders>
              <w:bottom w:val="single" w:sz="6" w:space="0" w:color="000000"/>
              <w:right w:val="single" w:sz="6" w:space="0" w:color="000000"/>
            </w:tcBorders>
            <w:vAlign w:val="center"/>
          </w:tcPr>
          <w:p w14:paraId="68BB174D"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C79C15A"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5FB90D6" w14:textId="77777777" w:rsidR="007D706A" w:rsidRDefault="007D706A" w:rsidP="00F70508">
            <w:pPr>
              <w:pStyle w:val="ParagraphStyle9"/>
              <w:rPr>
                <w:rStyle w:val="CharacterStyle9"/>
              </w:rPr>
            </w:pPr>
            <w:r>
              <w:rPr>
                <w:rStyle w:val="CharacterStyle9"/>
              </w:rPr>
              <w:t>27.400,00</w:t>
            </w:r>
          </w:p>
        </w:tc>
        <w:tc>
          <w:tcPr>
            <w:tcW w:w="1395" w:type="dxa"/>
            <w:tcBorders>
              <w:bottom w:val="single" w:sz="6" w:space="0" w:color="000000"/>
              <w:right w:val="single" w:sz="6" w:space="0" w:color="000000"/>
            </w:tcBorders>
            <w:vAlign w:val="center"/>
          </w:tcPr>
          <w:p w14:paraId="6EF00E06" w14:textId="77777777" w:rsidR="007D706A" w:rsidRDefault="007D706A" w:rsidP="00F70508">
            <w:pPr>
              <w:pStyle w:val="ParagraphStyle9"/>
              <w:rPr>
                <w:rStyle w:val="CharacterStyle9"/>
              </w:rPr>
            </w:pPr>
            <w:r>
              <w:rPr>
                <w:rStyle w:val="CharacterStyle9"/>
              </w:rPr>
              <w:t>28.153,50</w:t>
            </w:r>
          </w:p>
        </w:tc>
        <w:tc>
          <w:tcPr>
            <w:tcW w:w="1395" w:type="dxa"/>
            <w:tcBorders>
              <w:bottom w:val="single" w:sz="6" w:space="0" w:color="000000"/>
              <w:right w:val="single" w:sz="6" w:space="0" w:color="000000"/>
            </w:tcBorders>
            <w:vAlign w:val="center"/>
          </w:tcPr>
          <w:p w14:paraId="0A56E36F" w14:textId="77777777" w:rsidR="007D706A" w:rsidRDefault="007D706A" w:rsidP="00F70508">
            <w:pPr>
              <w:pStyle w:val="ParagraphStyle9"/>
              <w:rPr>
                <w:rStyle w:val="CharacterStyle9"/>
              </w:rPr>
            </w:pPr>
            <w:r>
              <w:rPr>
                <w:rStyle w:val="CharacterStyle9"/>
              </w:rPr>
              <w:t>28.427,50</w:t>
            </w:r>
          </w:p>
        </w:tc>
      </w:tr>
      <w:tr w:rsidR="007D706A" w14:paraId="28649476"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20111F8"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2E1B39C7"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6584434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E171A7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7604A15" w14:textId="77777777" w:rsidR="007D706A" w:rsidRDefault="007D706A" w:rsidP="00F70508">
            <w:pPr>
              <w:pStyle w:val="ParagraphStyle12"/>
              <w:rPr>
                <w:rStyle w:val="CharacterStyle12"/>
              </w:rPr>
            </w:pPr>
            <w:r>
              <w:rPr>
                <w:rStyle w:val="CharacterStyle12"/>
              </w:rPr>
              <w:t>27.400,00</w:t>
            </w:r>
          </w:p>
        </w:tc>
        <w:tc>
          <w:tcPr>
            <w:tcW w:w="1395" w:type="dxa"/>
            <w:tcBorders>
              <w:bottom w:val="single" w:sz="6" w:space="0" w:color="000000"/>
              <w:right w:val="single" w:sz="6" w:space="0" w:color="000000"/>
            </w:tcBorders>
            <w:vAlign w:val="center"/>
          </w:tcPr>
          <w:p w14:paraId="44070090" w14:textId="77777777" w:rsidR="007D706A" w:rsidRDefault="007D706A" w:rsidP="00F70508">
            <w:pPr>
              <w:pStyle w:val="ParagraphStyle12"/>
              <w:rPr>
                <w:rStyle w:val="CharacterStyle12"/>
              </w:rPr>
            </w:pPr>
            <w:r>
              <w:rPr>
                <w:rStyle w:val="CharacterStyle12"/>
              </w:rPr>
              <w:t>28.153,50</w:t>
            </w:r>
          </w:p>
        </w:tc>
        <w:tc>
          <w:tcPr>
            <w:tcW w:w="1395" w:type="dxa"/>
            <w:tcBorders>
              <w:bottom w:val="single" w:sz="6" w:space="0" w:color="000000"/>
              <w:right w:val="single" w:sz="6" w:space="0" w:color="000000"/>
            </w:tcBorders>
            <w:vAlign w:val="center"/>
          </w:tcPr>
          <w:p w14:paraId="5BAD74BE" w14:textId="77777777" w:rsidR="007D706A" w:rsidRDefault="007D706A" w:rsidP="00F70508">
            <w:pPr>
              <w:pStyle w:val="ParagraphStyle12"/>
              <w:rPr>
                <w:rStyle w:val="CharacterStyle12"/>
              </w:rPr>
            </w:pPr>
            <w:r>
              <w:rPr>
                <w:rStyle w:val="CharacterStyle12"/>
              </w:rPr>
              <w:t>28.427,50</w:t>
            </w:r>
          </w:p>
        </w:tc>
      </w:tr>
      <w:tr w:rsidR="007D706A" w14:paraId="46AF8F8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5A03AE0" w14:textId="77777777" w:rsidR="007D706A" w:rsidRDefault="007D706A" w:rsidP="00F70508">
            <w:pPr>
              <w:pStyle w:val="ParagraphStyle10"/>
              <w:rPr>
                <w:rStyle w:val="CharacterStyle10"/>
              </w:rPr>
            </w:pPr>
            <w:r>
              <w:rPr>
                <w:rStyle w:val="CharacterStyle10"/>
              </w:rPr>
              <w:t>31</w:t>
            </w:r>
          </w:p>
        </w:tc>
        <w:tc>
          <w:tcPr>
            <w:tcW w:w="4995" w:type="dxa"/>
            <w:tcBorders>
              <w:bottom w:val="single" w:sz="6" w:space="0" w:color="000000"/>
              <w:right w:val="single" w:sz="6" w:space="0" w:color="000000"/>
            </w:tcBorders>
            <w:vAlign w:val="center"/>
          </w:tcPr>
          <w:p w14:paraId="5EFF6C34" w14:textId="77777777" w:rsidR="007D706A" w:rsidRDefault="007D706A" w:rsidP="00F70508">
            <w:pPr>
              <w:pStyle w:val="ParagraphStyle11"/>
              <w:rPr>
                <w:rStyle w:val="CharacterStyle11"/>
              </w:rPr>
            </w:pPr>
            <w:r>
              <w:rPr>
                <w:rStyle w:val="CharacterStyle11"/>
              </w:rPr>
              <w:t>Rashodi za zaposlene</w:t>
            </w:r>
          </w:p>
        </w:tc>
        <w:tc>
          <w:tcPr>
            <w:tcW w:w="1395" w:type="dxa"/>
            <w:tcBorders>
              <w:bottom w:val="single" w:sz="6" w:space="0" w:color="000000"/>
              <w:right w:val="single" w:sz="6" w:space="0" w:color="000000"/>
            </w:tcBorders>
            <w:vAlign w:val="center"/>
          </w:tcPr>
          <w:p w14:paraId="07E6F60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27892E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6A787A6" w14:textId="77777777" w:rsidR="007D706A" w:rsidRDefault="007D706A" w:rsidP="00F70508">
            <w:pPr>
              <w:pStyle w:val="ParagraphStyle12"/>
              <w:rPr>
                <w:rStyle w:val="CharacterStyle12"/>
              </w:rPr>
            </w:pPr>
            <w:r>
              <w:rPr>
                <w:rStyle w:val="CharacterStyle12"/>
              </w:rPr>
              <w:t>27.160,00</w:t>
            </w:r>
          </w:p>
        </w:tc>
        <w:tc>
          <w:tcPr>
            <w:tcW w:w="1395" w:type="dxa"/>
            <w:tcBorders>
              <w:bottom w:val="single" w:sz="6" w:space="0" w:color="000000"/>
              <w:right w:val="single" w:sz="6" w:space="0" w:color="000000"/>
            </w:tcBorders>
            <w:vAlign w:val="center"/>
          </w:tcPr>
          <w:p w14:paraId="040BB0D8" w14:textId="77777777" w:rsidR="007D706A" w:rsidRDefault="007D706A" w:rsidP="00F70508">
            <w:pPr>
              <w:pStyle w:val="ParagraphStyle12"/>
              <w:rPr>
                <w:rStyle w:val="CharacterStyle12"/>
              </w:rPr>
            </w:pPr>
            <w:r>
              <w:rPr>
                <w:rStyle w:val="CharacterStyle12"/>
              </w:rPr>
              <w:t>27.906,90</w:t>
            </w:r>
          </w:p>
        </w:tc>
        <w:tc>
          <w:tcPr>
            <w:tcW w:w="1395" w:type="dxa"/>
            <w:tcBorders>
              <w:bottom w:val="single" w:sz="6" w:space="0" w:color="000000"/>
              <w:right w:val="single" w:sz="6" w:space="0" w:color="000000"/>
            </w:tcBorders>
            <w:vAlign w:val="center"/>
          </w:tcPr>
          <w:p w14:paraId="4F8BF129" w14:textId="77777777" w:rsidR="007D706A" w:rsidRDefault="007D706A" w:rsidP="00F70508">
            <w:pPr>
              <w:pStyle w:val="ParagraphStyle12"/>
              <w:rPr>
                <w:rStyle w:val="CharacterStyle12"/>
              </w:rPr>
            </w:pPr>
            <w:r>
              <w:rPr>
                <w:rStyle w:val="CharacterStyle12"/>
              </w:rPr>
              <w:t>28.178,50</w:t>
            </w:r>
          </w:p>
        </w:tc>
      </w:tr>
      <w:tr w:rsidR="007D706A" w14:paraId="1B4B569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823165F"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551E27E8"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00EDD09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E68EF0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AA5B648" w14:textId="77777777" w:rsidR="007D706A" w:rsidRDefault="007D706A" w:rsidP="00F70508">
            <w:pPr>
              <w:pStyle w:val="ParagraphStyle12"/>
              <w:rPr>
                <w:rStyle w:val="CharacterStyle12"/>
              </w:rPr>
            </w:pPr>
            <w:r>
              <w:rPr>
                <w:rStyle w:val="CharacterStyle12"/>
              </w:rPr>
              <w:t>240,00</w:t>
            </w:r>
          </w:p>
        </w:tc>
        <w:tc>
          <w:tcPr>
            <w:tcW w:w="1395" w:type="dxa"/>
            <w:tcBorders>
              <w:bottom w:val="single" w:sz="6" w:space="0" w:color="000000"/>
              <w:right w:val="single" w:sz="6" w:space="0" w:color="000000"/>
            </w:tcBorders>
            <w:vAlign w:val="center"/>
          </w:tcPr>
          <w:p w14:paraId="224EC0F3" w14:textId="77777777" w:rsidR="007D706A" w:rsidRDefault="007D706A" w:rsidP="00F70508">
            <w:pPr>
              <w:pStyle w:val="ParagraphStyle12"/>
              <w:rPr>
                <w:rStyle w:val="CharacterStyle12"/>
              </w:rPr>
            </w:pPr>
            <w:r>
              <w:rPr>
                <w:rStyle w:val="CharacterStyle12"/>
              </w:rPr>
              <w:t>246,60</w:t>
            </w:r>
          </w:p>
        </w:tc>
        <w:tc>
          <w:tcPr>
            <w:tcW w:w="1395" w:type="dxa"/>
            <w:tcBorders>
              <w:bottom w:val="single" w:sz="6" w:space="0" w:color="000000"/>
              <w:right w:val="single" w:sz="6" w:space="0" w:color="000000"/>
            </w:tcBorders>
            <w:vAlign w:val="center"/>
          </w:tcPr>
          <w:p w14:paraId="424CE71F" w14:textId="77777777" w:rsidR="007D706A" w:rsidRDefault="007D706A" w:rsidP="00F70508">
            <w:pPr>
              <w:pStyle w:val="ParagraphStyle12"/>
              <w:rPr>
                <w:rStyle w:val="CharacterStyle12"/>
              </w:rPr>
            </w:pPr>
            <w:r>
              <w:rPr>
                <w:rStyle w:val="CharacterStyle12"/>
              </w:rPr>
              <w:t>249,00</w:t>
            </w:r>
          </w:p>
        </w:tc>
      </w:tr>
      <w:tr w:rsidR="007D706A" w14:paraId="04AF0B5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446DABE" w14:textId="77777777" w:rsidR="007D706A" w:rsidRDefault="007D706A" w:rsidP="00F70508">
            <w:pPr>
              <w:pStyle w:val="ParagraphStyle7"/>
              <w:rPr>
                <w:rStyle w:val="CharacterStyle7"/>
              </w:rPr>
            </w:pPr>
            <w:r>
              <w:rPr>
                <w:rStyle w:val="CharacterStyle7"/>
              </w:rPr>
              <w:t>Izvor financiranja 53</w:t>
            </w:r>
          </w:p>
        </w:tc>
        <w:tc>
          <w:tcPr>
            <w:tcW w:w="4995" w:type="dxa"/>
            <w:tcBorders>
              <w:bottom w:val="single" w:sz="6" w:space="0" w:color="000000"/>
              <w:right w:val="single" w:sz="6" w:space="0" w:color="000000"/>
            </w:tcBorders>
            <w:vAlign w:val="center"/>
          </w:tcPr>
          <w:p w14:paraId="1D4281B8" w14:textId="77777777" w:rsidR="007D706A" w:rsidRDefault="007D706A" w:rsidP="00F70508">
            <w:pPr>
              <w:pStyle w:val="ParagraphStyle8"/>
              <w:rPr>
                <w:rStyle w:val="CharacterStyle8"/>
              </w:rPr>
            </w:pPr>
            <w:r>
              <w:rPr>
                <w:rStyle w:val="CharacterStyle8"/>
              </w:rPr>
              <w:t>Proračuni, drugi nivoi - za posebne i / ili ugovorene namjene</w:t>
            </w:r>
          </w:p>
        </w:tc>
        <w:tc>
          <w:tcPr>
            <w:tcW w:w="1395" w:type="dxa"/>
            <w:tcBorders>
              <w:bottom w:val="single" w:sz="6" w:space="0" w:color="000000"/>
              <w:right w:val="single" w:sz="6" w:space="0" w:color="000000"/>
            </w:tcBorders>
            <w:vAlign w:val="center"/>
          </w:tcPr>
          <w:p w14:paraId="1B772964"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57BA7FC" w14:textId="77777777" w:rsidR="007D706A" w:rsidRDefault="007D706A" w:rsidP="00F70508">
            <w:pPr>
              <w:pStyle w:val="ParagraphStyle9"/>
              <w:rPr>
                <w:rStyle w:val="CharacterStyle9"/>
              </w:rPr>
            </w:pPr>
            <w:r>
              <w:rPr>
                <w:rStyle w:val="CharacterStyle9"/>
              </w:rPr>
              <w:t>27.400,00</w:t>
            </w:r>
          </w:p>
        </w:tc>
        <w:tc>
          <w:tcPr>
            <w:tcW w:w="1395" w:type="dxa"/>
            <w:tcBorders>
              <w:bottom w:val="single" w:sz="6" w:space="0" w:color="000000"/>
              <w:right w:val="single" w:sz="6" w:space="0" w:color="000000"/>
            </w:tcBorders>
            <w:vAlign w:val="center"/>
          </w:tcPr>
          <w:p w14:paraId="33E85367"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2D45C9F"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7F24788" w14:textId="77777777" w:rsidR="007D706A" w:rsidRDefault="007D706A" w:rsidP="00F70508">
            <w:pPr>
              <w:pStyle w:val="ParagraphStyle9"/>
              <w:rPr>
                <w:rStyle w:val="CharacterStyle9"/>
              </w:rPr>
            </w:pPr>
            <w:r>
              <w:rPr>
                <w:rStyle w:val="CharacterStyle9"/>
              </w:rPr>
              <w:t>0,00</w:t>
            </w:r>
          </w:p>
        </w:tc>
      </w:tr>
      <w:tr w:rsidR="007D706A" w14:paraId="2F83B83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A52E7C4"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699217E7"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24ABE09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0D4F638" w14:textId="77777777" w:rsidR="007D706A" w:rsidRDefault="007D706A" w:rsidP="00F70508">
            <w:pPr>
              <w:pStyle w:val="ParagraphStyle12"/>
              <w:rPr>
                <w:rStyle w:val="CharacterStyle12"/>
              </w:rPr>
            </w:pPr>
            <w:r>
              <w:rPr>
                <w:rStyle w:val="CharacterStyle12"/>
              </w:rPr>
              <w:t>27.400,00</w:t>
            </w:r>
          </w:p>
        </w:tc>
        <w:tc>
          <w:tcPr>
            <w:tcW w:w="1395" w:type="dxa"/>
            <w:tcBorders>
              <w:bottom w:val="single" w:sz="6" w:space="0" w:color="000000"/>
              <w:right w:val="single" w:sz="6" w:space="0" w:color="000000"/>
            </w:tcBorders>
            <w:vAlign w:val="center"/>
          </w:tcPr>
          <w:p w14:paraId="34F6C6F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A3BDF0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5E8D016" w14:textId="77777777" w:rsidR="007D706A" w:rsidRDefault="007D706A" w:rsidP="00F70508">
            <w:pPr>
              <w:pStyle w:val="ParagraphStyle12"/>
              <w:rPr>
                <w:rStyle w:val="CharacterStyle12"/>
              </w:rPr>
            </w:pPr>
            <w:r>
              <w:rPr>
                <w:rStyle w:val="CharacterStyle12"/>
              </w:rPr>
              <w:t>0,00</w:t>
            </w:r>
          </w:p>
        </w:tc>
      </w:tr>
      <w:tr w:rsidR="007D706A" w14:paraId="5148FB6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B3F79E9" w14:textId="77777777" w:rsidR="007D706A" w:rsidRDefault="007D706A" w:rsidP="00F70508">
            <w:pPr>
              <w:pStyle w:val="ParagraphStyle10"/>
              <w:rPr>
                <w:rStyle w:val="CharacterStyle10"/>
              </w:rPr>
            </w:pPr>
            <w:r>
              <w:rPr>
                <w:rStyle w:val="CharacterStyle10"/>
              </w:rPr>
              <w:t>31</w:t>
            </w:r>
          </w:p>
        </w:tc>
        <w:tc>
          <w:tcPr>
            <w:tcW w:w="4995" w:type="dxa"/>
            <w:tcBorders>
              <w:bottom w:val="single" w:sz="6" w:space="0" w:color="000000"/>
              <w:right w:val="single" w:sz="6" w:space="0" w:color="000000"/>
            </w:tcBorders>
            <w:vAlign w:val="center"/>
          </w:tcPr>
          <w:p w14:paraId="7D34CE9C" w14:textId="77777777" w:rsidR="007D706A" w:rsidRDefault="007D706A" w:rsidP="00F70508">
            <w:pPr>
              <w:pStyle w:val="ParagraphStyle11"/>
              <w:rPr>
                <w:rStyle w:val="CharacterStyle11"/>
              </w:rPr>
            </w:pPr>
            <w:r>
              <w:rPr>
                <w:rStyle w:val="CharacterStyle11"/>
              </w:rPr>
              <w:t>Rashodi za zaposlene</w:t>
            </w:r>
          </w:p>
        </w:tc>
        <w:tc>
          <w:tcPr>
            <w:tcW w:w="1395" w:type="dxa"/>
            <w:tcBorders>
              <w:bottom w:val="single" w:sz="6" w:space="0" w:color="000000"/>
              <w:right w:val="single" w:sz="6" w:space="0" w:color="000000"/>
            </w:tcBorders>
            <w:vAlign w:val="center"/>
          </w:tcPr>
          <w:p w14:paraId="6DE7375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A424058" w14:textId="77777777" w:rsidR="007D706A" w:rsidRDefault="007D706A" w:rsidP="00F70508">
            <w:pPr>
              <w:pStyle w:val="ParagraphStyle12"/>
              <w:rPr>
                <w:rStyle w:val="CharacterStyle12"/>
              </w:rPr>
            </w:pPr>
            <w:r>
              <w:rPr>
                <w:rStyle w:val="CharacterStyle12"/>
              </w:rPr>
              <w:t>27.160,00</w:t>
            </w:r>
          </w:p>
        </w:tc>
        <w:tc>
          <w:tcPr>
            <w:tcW w:w="1395" w:type="dxa"/>
            <w:tcBorders>
              <w:bottom w:val="single" w:sz="6" w:space="0" w:color="000000"/>
              <w:right w:val="single" w:sz="6" w:space="0" w:color="000000"/>
            </w:tcBorders>
            <w:vAlign w:val="center"/>
          </w:tcPr>
          <w:p w14:paraId="3AAB5E0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B4378F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68401E1" w14:textId="77777777" w:rsidR="007D706A" w:rsidRDefault="007D706A" w:rsidP="00F70508">
            <w:pPr>
              <w:pStyle w:val="ParagraphStyle12"/>
              <w:rPr>
                <w:rStyle w:val="CharacterStyle12"/>
              </w:rPr>
            </w:pPr>
            <w:r>
              <w:rPr>
                <w:rStyle w:val="CharacterStyle12"/>
              </w:rPr>
              <w:t>0,00</w:t>
            </w:r>
          </w:p>
        </w:tc>
      </w:tr>
      <w:tr w:rsidR="007D706A" w14:paraId="39B72F0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7E0FF52"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0DAFDE62"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2EF3172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ECC7DA0" w14:textId="77777777" w:rsidR="007D706A" w:rsidRDefault="007D706A" w:rsidP="00F70508">
            <w:pPr>
              <w:pStyle w:val="ParagraphStyle12"/>
              <w:rPr>
                <w:rStyle w:val="CharacterStyle12"/>
              </w:rPr>
            </w:pPr>
            <w:r>
              <w:rPr>
                <w:rStyle w:val="CharacterStyle12"/>
              </w:rPr>
              <w:t>240,00</w:t>
            </w:r>
          </w:p>
        </w:tc>
        <w:tc>
          <w:tcPr>
            <w:tcW w:w="1395" w:type="dxa"/>
            <w:tcBorders>
              <w:bottom w:val="single" w:sz="6" w:space="0" w:color="000000"/>
              <w:right w:val="single" w:sz="6" w:space="0" w:color="000000"/>
            </w:tcBorders>
            <w:vAlign w:val="center"/>
          </w:tcPr>
          <w:p w14:paraId="45FC350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78AEF1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803ED66" w14:textId="77777777" w:rsidR="007D706A" w:rsidRDefault="007D706A" w:rsidP="00F70508">
            <w:pPr>
              <w:pStyle w:val="ParagraphStyle12"/>
              <w:rPr>
                <w:rStyle w:val="CharacterStyle12"/>
              </w:rPr>
            </w:pPr>
            <w:r>
              <w:rPr>
                <w:rStyle w:val="CharacterStyle12"/>
              </w:rPr>
              <w:t>0,00</w:t>
            </w:r>
          </w:p>
        </w:tc>
      </w:tr>
      <w:tr w:rsidR="007D706A" w14:paraId="232C31E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393281B" w14:textId="77777777" w:rsidR="007D706A" w:rsidRDefault="007D706A" w:rsidP="00F70508">
            <w:pPr>
              <w:pStyle w:val="ParagraphStyle4"/>
              <w:rPr>
                <w:rStyle w:val="CharacterStyle4"/>
              </w:rPr>
            </w:pPr>
            <w:r>
              <w:rPr>
                <w:rStyle w:val="CharacterStyle4"/>
              </w:rPr>
              <w:t>Aktivnost A103634</w:t>
            </w:r>
          </w:p>
        </w:tc>
        <w:tc>
          <w:tcPr>
            <w:tcW w:w="4995" w:type="dxa"/>
            <w:tcBorders>
              <w:bottom w:val="single" w:sz="6" w:space="0" w:color="000000"/>
              <w:right w:val="single" w:sz="6" w:space="0" w:color="000000"/>
            </w:tcBorders>
            <w:vAlign w:val="center"/>
          </w:tcPr>
          <w:p w14:paraId="7F767F7A" w14:textId="77777777" w:rsidR="007D706A" w:rsidRDefault="007D706A" w:rsidP="00F70508">
            <w:pPr>
              <w:pStyle w:val="ParagraphStyle5"/>
              <w:rPr>
                <w:rStyle w:val="CharacterStyle5"/>
              </w:rPr>
            </w:pPr>
            <w:r>
              <w:rPr>
                <w:rStyle w:val="CharacterStyle5"/>
              </w:rPr>
              <w:t>RAČUNOVODSTVENO-FINANCIJSKI REFERENT</w:t>
            </w:r>
          </w:p>
        </w:tc>
        <w:tc>
          <w:tcPr>
            <w:tcW w:w="1395" w:type="dxa"/>
            <w:tcBorders>
              <w:bottom w:val="single" w:sz="6" w:space="0" w:color="000000"/>
              <w:right w:val="single" w:sz="6" w:space="0" w:color="000000"/>
            </w:tcBorders>
            <w:vAlign w:val="center"/>
          </w:tcPr>
          <w:p w14:paraId="00056C34"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6B14A42F" w14:textId="77777777" w:rsidR="007D706A" w:rsidRDefault="007D706A" w:rsidP="00F70508">
            <w:pPr>
              <w:pStyle w:val="ParagraphStyle6"/>
              <w:rPr>
                <w:rStyle w:val="CharacterStyle6"/>
              </w:rPr>
            </w:pPr>
            <w:r>
              <w:rPr>
                <w:rStyle w:val="CharacterStyle6"/>
              </w:rPr>
              <w:t>11.600,00</w:t>
            </w:r>
          </w:p>
        </w:tc>
        <w:tc>
          <w:tcPr>
            <w:tcW w:w="1395" w:type="dxa"/>
            <w:tcBorders>
              <w:bottom w:val="single" w:sz="6" w:space="0" w:color="000000"/>
              <w:right w:val="single" w:sz="6" w:space="0" w:color="000000"/>
            </w:tcBorders>
            <w:vAlign w:val="center"/>
          </w:tcPr>
          <w:p w14:paraId="11EBA01B" w14:textId="77777777" w:rsidR="007D706A" w:rsidRDefault="007D706A" w:rsidP="00F70508">
            <w:pPr>
              <w:pStyle w:val="ParagraphStyle6"/>
              <w:rPr>
                <w:rStyle w:val="CharacterStyle6"/>
              </w:rPr>
            </w:pPr>
            <w:r>
              <w:rPr>
                <w:rStyle w:val="CharacterStyle6"/>
              </w:rPr>
              <w:t>11.100,00</w:t>
            </w:r>
          </w:p>
        </w:tc>
        <w:tc>
          <w:tcPr>
            <w:tcW w:w="1395" w:type="dxa"/>
            <w:tcBorders>
              <w:bottom w:val="single" w:sz="6" w:space="0" w:color="000000"/>
              <w:right w:val="single" w:sz="6" w:space="0" w:color="000000"/>
            </w:tcBorders>
            <w:vAlign w:val="center"/>
          </w:tcPr>
          <w:p w14:paraId="1769E4FB" w14:textId="77777777" w:rsidR="007D706A" w:rsidRDefault="007D706A" w:rsidP="00F70508">
            <w:pPr>
              <w:pStyle w:val="ParagraphStyle6"/>
              <w:rPr>
                <w:rStyle w:val="CharacterStyle6"/>
              </w:rPr>
            </w:pPr>
            <w:r>
              <w:rPr>
                <w:rStyle w:val="CharacterStyle6"/>
              </w:rPr>
              <w:t>11.405,25</w:t>
            </w:r>
          </w:p>
        </w:tc>
        <w:tc>
          <w:tcPr>
            <w:tcW w:w="1395" w:type="dxa"/>
            <w:tcBorders>
              <w:bottom w:val="single" w:sz="6" w:space="0" w:color="000000"/>
              <w:right w:val="single" w:sz="6" w:space="0" w:color="000000"/>
            </w:tcBorders>
            <w:vAlign w:val="center"/>
          </w:tcPr>
          <w:p w14:paraId="54823B5D" w14:textId="77777777" w:rsidR="007D706A" w:rsidRDefault="007D706A" w:rsidP="00F70508">
            <w:pPr>
              <w:pStyle w:val="ParagraphStyle6"/>
              <w:rPr>
                <w:rStyle w:val="CharacterStyle6"/>
              </w:rPr>
            </w:pPr>
            <w:r>
              <w:rPr>
                <w:rStyle w:val="CharacterStyle6"/>
              </w:rPr>
              <w:t>11.516,25</w:t>
            </w:r>
          </w:p>
        </w:tc>
      </w:tr>
      <w:tr w:rsidR="007D706A" w14:paraId="23FEDA2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1826F6F"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33F9E857"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1553248E"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1AE11FC" w14:textId="77777777" w:rsidR="007D706A" w:rsidRDefault="007D706A" w:rsidP="00F70508">
            <w:pPr>
              <w:pStyle w:val="ParagraphStyle9"/>
              <w:rPr>
                <w:rStyle w:val="CharacterStyle9"/>
              </w:rPr>
            </w:pPr>
            <w:r>
              <w:rPr>
                <w:rStyle w:val="CharacterStyle9"/>
              </w:rPr>
              <w:t>11.600,00</w:t>
            </w:r>
          </w:p>
        </w:tc>
        <w:tc>
          <w:tcPr>
            <w:tcW w:w="1395" w:type="dxa"/>
            <w:tcBorders>
              <w:bottom w:val="single" w:sz="6" w:space="0" w:color="000000"/>
              <w:right w:val="single" w:sz="6" w:space="0" w:color="000000"/>
            </w:tcBorders>
            <w:vAlign w:val="center"/>
          </w:tcPr>
          <w:p w14:paraId="7DF4C570" w14:textId="77777777" w:rsidR="007D706A" w:rsidRDefault="007D706A" w:rsidP="00F70508">
            <w:pPr>
              <w:pStyle w:val="ParagraphStyle9"/>
              <w:rPr>
                <w:rStyle w:val="CharacterStyle9"/>
              </w:rPr>
            </w:pPr>
            <w:r>
              <w:rPr>
                <w:rStyle w:val="CharacterStyle9"/>
              </w:rPr>
              <w:t>11.100,00</w:t>
            </w:r>
          </w:p>
        </w:tc>
        <w:tc>
          <w:tcPr>
            <w:tcW w:w="1395" w:type="dxa"/>
            <w:tcBorders>
              <w:bottom w:val="single" w:sz="6" w:space="0" w:color="000000"/>
              <w:right w:val="single" w:sz="6" w:space="0" w:color="000000"/>
            </w:tcBorders>
            <w:vAlign w:val="center"/>
          </w:tcPr>
          <w:p w14:paraId="3247522C" w14:textId="77777777" w:rsidR="007D706A" w:rsidRDefault="007D706A" w:rsidP="00F70508">
            <w:pPr>
              <w:pStyle w:val="ParagraphStyle9"/>
              <w:rPr>
                <w:rStyle w:val="CharacterStyle9"/>
              </w:rPr>
            </w:pPr>
            <w:r>
              <w:rPr>
                <w:rStyle w:val="CharacterStyle9"/>
              </w:rPr>
              <w:t>11.405,25</w:t>
            </w:r>
          </w:p>
        </w:tc>
        <w:tc>
          <w:tcPr>
            <w:tcW w:w="1395" w:type="dxa"/>
            <w:tcBorders>
              <w:bottom w:val="single" w:sz="6" w:space="0" w:color="000000"/>
              <w:right w:val="single" w:sz="6" w:space="0" w:color="000000"/>
            </w:tcBorders>
            <w:vAlign w:val="center"/>
          </w:tcPr>
          <w:p w14:paraId="75283ED1" w14:textId="77777777" w:rsidR="007D706A" w:rsidRDefault="007D706A" w:rsidP="00F70508">
            <w:pPr>
              <w:pStyle w:val="ParagraphStyle9"/>
              <w:rPr>
                <w:rStyle w:val="CharacterStyle9"/>
              </w:rPr>
            </w:pPr>
            <w:r>
              <w:rPr>
                <w:rStyle w:val="CharacterStyle9"/>
              </w:rPr>
              <w:t>11.516,25</w:t>
            </w:r>
          </w:p>
        </w:tc>
      </w:tr>
      <w:tr w:rsidR="007D706A" w14:paraId="318039A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303D852"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458E8693"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07CD858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2877702" w14:textId="77777777" w:rsidR="007D706A" w:rsidRDefault="007D706A" w:rsidP="00F70508">
            <w:pPr>
              <w:pStyle w:val="ParagraphStyle12"/>
              <w:rPr>
                <w:rStyle w:val="CharacterStyle12"/>
              </w:rPr>
            </w:pPr>
            <w:r>
              <w:rPr>
                <w:rStyle w:val="CharacterStyle12"/>
              </w:rPr>
              <w:t>11.600,00</w:t>
            </w:r>
          </w:p>
        </w:tc>
        <w:tc>
          <w:tcPr>
            <w:tcW w:w="1395" w:type="dxa"/>
            <w:tcBorders>
              <w:bottom w:val="single" w:sz="6" w:space="0" w:color="000000"/>
              <w:right w:val="single" w:sz="6" w:space="0" w:color="000000"/>
            </w:tcBorders>
            <w:vAlign w:val="center"/>
          </w:tcPr>
          <w:p w14:paraId="51ED7D10" w14:textId="77777777" w:rsidR="007D706A" w:rsidRDefault="007D706A" w:rsidP="00F70508">
            <w:pPr>
              <w:pStyle w:val="ParagraphStyle12"/>
              <w:rPr>
                <w:rStyle w:val="CharacterStyle12"/>
              </w:rPr>
            </w:pPr>
            <w:r>
              <w:rPr>
                <w:rStyle w:val="CharacterStyle12"/>
              </w:rPr>
              <w:t>11.100,00</w:t>
            </w:r>
          </w:p>
        </w:tc>
        <w:tc>
          <w:tcPr>
            <w:tcW w:w="1395" w:type="dxa"/>
            <w:tcBorders>
              <w:bottom w:val="single" w:sz="6" w:space="0" w:color="000000"/>
              <w:right w:val="single" w:sz="6" w:space="0" w:color="000000"/>
            </w:tcBorders>
            <w:vAlign w:val="center"/>
          </w:tcPr>
          <w:p w14:paraId="1EE3BA0A" w14:textId="77777777" w:rsidR="007D706A" w:rsidRDefault="007D706A" w:rsidP="00F70508">
            <w:pPr>
              <w:pStyle w:val="ParagraphStyle12"/>
              <w:rPr>
                <w:rStyle w:val="CharacterStyle12"/>
              </w:rPr>
            </w:pPr>
            <w:r>
              <w:rPr>
                <w:rStyle w:val="CharacterStyle12"/>
              </w:rPr>
              <w:t>11.405,25</w:t>
            </w:r>
          </w:p>
        </w:tc>
        <w:tc>
          <w:tcPr>
            <w:tcW w:w="1395" w:type="dxa"/>
            <w:tcBorders>
              <w:bottom w:val="single" w:sz="6" w:space="0" w:color="000000"/>
              <w:right w:val="single" w:sz="6" w:space="0" w:color="000000"/>
            </w:tcBorders>
            <w:vAlign w:val="center"/>
          </w:tcPr>
          <w:p w14:paraId="2164C257" w14:textId="77777777" w:rsidR="007D706A" w:rsidRDefault="007D706A" w:rsidP="00F70508">
            <w:pPr>
              <w:pStyle w:val="ParagraphStyle12"/>
              <w:rPr>
                <w:rStyle w:val="CharacterStyle12"/>
              </w:rPr>
            </w:pPr>
            <w:r>
              <w:rPr>
                <w:rStyle w:val="CharacterStyle12"/>
              </w:rPr>
              <w:t>11.516,25</w:t>
            </w:r>
          </w:p>
        </w:tc>
      </w:tr>
      <w:tr w:rsidR="007D706A" w14:paraId="204ED40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F2FADE8" w14:textId="77777777" w:rsidR="007D706A" w:rsidRDefault="007D706A" w:rsidP="00F70508">
            <w:pPr>
              <w:pStyle w:val="ParagraphStyle10"/>
              <w:rPr>
                <w:rStyle w:val="CharacterStyle10"/>
              </w:rPr>
            </w:pPr>
            <w:r>
              <w:rPr>
                <w:rStyle w:val="CharacterStyle10"/>
              </w:rPr>
              <w:t>31</w:t>
            </w:r>
          </w:p>
        </w:tc>
        <w:tc>
          <w:tcPr>
            <w:tcW w:w="4995" w:type="dxa"/>
            <w:tcBorders>
              <w:bottom w:val="single" w:sz="6" w:space="0" w:color="000000"/>
              <w:right w:val="single" w:sz="6" w:space="0" w:color="000000"/>
            </w:tcBorders>
            <w:vAlign w:val="center"/>
          </w:tcPr>
          <w:p w14:paraId="032F5DA6" w14:textId="77777777" w:rsidR="007D706A" w:rsidRDefault="007D706A" w:rsidP="00F70508">
            <w:pPr>
              <w:pStyle w:val="ParagraphStyle11"/>
              <w:rPr>
                <w:rStyle w:val="CharacterStyle11"/>
              </w:rPr>
            </w:pPr>
            <w:r>
              <w:rPr>
                <w:rStyle w:val="CharacterStyle11"/>
              </w:rPr>
              <w:t>Rashodi za zaposlene</w:t>
            </w:r>
          </w:p>
        </w:tc>
        <w:tc>
          <w:tcPr>
            <w:tcW w:w="1395" w:type="dxa"/>
            <w:tcBorders>
              <w:bottom w:val="single" w:sz="6" w:space="0" w:color="000000"/>
              <w:right w:val="single" w:sz="6" w:space="0" w:color="000000"/>
            </w:tcBorders>
            <w:vAlign w:val="center"/>
          </w:tcPr>
          <w:p w14:paraId="4B285DE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6A75463" w14:textId="77777777" w:rsidR="007D706A" w:rsidRDefault="007D706A" w:rsidP="00F70508">
            <w:pPr>
              <w:pStyle w:val="ParagraphStyle12"/>
              <w:rPr>
                <w:rStyle w:val="CharacterStyle12"/>
              </w:rPr>
            </w:pPr>
            <w:r>
              <w:rPr>
                <w:rStyle w:val="CharacterStyle12"/>
              </w:rPr>
              <w:t>11.600,00</w:t>
            </w:r>
          </w:p>
        </w:tc>
        <w:tc>
          <w:tcPr>
            <w:tcW w:w="1395" w:type="dxa"/>
            <w:tcBorders>
              <w:bottom w:val="single" w:sz="6" w:space="0" w:color="000000"/>
              <w:right w:val="single" w:sz="6" w:space="0" w:color="000000"/>
            </w:tcBorders>
            <w:vAlign w:val="center"/>
          </w:tcPr>
          <w:p w14:paraId="3C5D5945" w14:textId="77777777" w:rsidR="007D706A" w:rsidRDefault="007D706A" w:rsidP="00F70508">
            <w:pPr>
              <w:pStyle w:val="ParagraphStyle12"/>
              <w:rPr>
                <w:rStyle w:val="CharacterStyle12"/>
              </w:rPr>
            </w:pPr>
            <w:r>
              <w:rPr>
                <w:rStyle w:val="CharacterStyle12"/>
              </w:rPr>
              <w:t>11.100,00</w:t>
            </w:r>
          </w:p>
        </w:tc>
        <w:tc>
          <w:tcPr>
            <w:tcW w:w="1395" w:type="dxa"/>
            <w:tcBorders>
              <w:bottom w:val="single" w:sz="6" w:space="0" w:color="000000"/>
              <w:right w:val="single" w:sz="6" w:space="0" w:color="000000"/>
            </w:tcBorders>
            <w:vAlign w:val="center"/>
          </w:tcPr>
          <w:p w14:paraId="643676D8" w14:textId="77777777" w:rsidR="007D706A" w:rsidRDefault="007D706A" w:rsidP="00F70508">
            <w:pPr>
              <w:pStyle w:val="ParagraphStyle12"/>
              <w:rPr>
                <w:rStyle w:val="CharacterStyle12"/>
              </w:rPr>
            </w:pPr>
            <w:r>
              <w:rPr>
                <w:rStyle w:val="CharacterStyle12"/>
              </w:rPr>
              <w:t>11.405,25</w:t>
            </w:r>
          </w:p>
        </w:tc>
        <w:tc>
          <w:tcPr>
            <w:tcW w:w="1395" w:type="dxa"/>
            <w:tcBorders>
              <w:bottom w:val="single" w:sz="6" w:space="0" w:color="000000"/>
              <w:right w:val="single" w:sz="6" w:space="0" w:color="000000"/>
            </w:tcBorders>
            <w:vAlign w:val="center"/>
          </w:tcPr>
          <w:p w14:paraId="187A20F3" w14:textId="77777777" w:rsidR="007D706A" w:rsidRDefault="007D706A" w:rsidP="00F70508">
            <w:pPr>
              <w:pStyle w:val="ParagraphStyle12"/>
              <w:rPr>
                <w:rStyle w:val="CharacterStyle12"/>
              </w:rPr>
            </w:pPr>
            <w:r>
              <w:rPr>
                <w:rStyle w:val="CharacterStyle12"/>
              </w:rPr>
              <w:t>11.516,25</w:t>
            </w:r>
          </w:p>
        </w:tc>
      </w:tr>
      <w:tr w:rsidR="007D706A" w14:paraId="4A8A8CD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B282061" w14:textId="77777777" w:rsidR="007D706A" w:rsidRDefault="007D706A" w:rsidP="00F70508">
            <w:pPr>
              <w:pStyle w:val="ParagraphStyle4"/>
              <w:rPr>
                <w:rStyle w:val="CharacterStyle4"/>
              </w:rPr>
            </w:pPr>
            <w:r>
              <w:rPr>
                <w:rStyle w:val="CharacterStyle4"/>
              </w:rPr>
              <w:t>Aktivnost A103623</w:t>
            </w:r>
          </w:p>
        </w:tc>
        <w:tc>
          <w:tcPr>
            <w:tcW w:w="4995" w:type="dxa"/>
            <w:tcBorders>
              <w:bottom w:val="single" w:sz="6" w:space="0" w:color="000000"/>
              <w:right w:val="single" w:sz="6" w:space="0" w:color="000000"/>
            </w:tcBorders>
            <w:vAlign w:val="center"/>
          </w:tcPr>
          <w:p w14:paraId="1D6EDFF0" w14:textId="77777777" w:rsidR="007D706A" w:rsidRDefault="007D706A" w:rsidP="00F70508">
            <w:pPr>
              <w:pStyle w:val="ParagraphStyle5"/>
              <w:rPr>
                <w:rStyle w:val="CharacterStyle5"/>
              </w:rPr>
            </w:pPr>
            <w:r>
              <w:rPr>
                <w:rStyle w:val="CharacterStyle5"/>
              </w:rPr>
              <w:t>ŠKOLSKI ODBOR</w:t>
            </w:r>
          </w:p>
        </w:tc>
        <w:tc>
          <w:tcPr>
            <w:tcW w:w="1395" w:type="dxa"/>
            <w:tcBorders>
              <w:bottom w:val="single" w:sz="6" w:space="0" w:color="000000"/>
              <w:right w:val="single" w:sz="6" w:space="0" w:color="000000"/>
            </w:tcBorders>
            <w:vAlign w:val="center"/>
          </w:tcPr>
          <w:p w14:paraId="4191C497"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102FBCDC" w14:textId="77777777" w:rsidR="007D706A" w:rsidRDefault="007D706A" w:rsidP="00F70508">
            <w:pPr>
              <w:pStyle w:val="ParagraphStyle6"/>
              <w:rPr>
                <w:rStyle w:val="CharacterStyle6"/>
              </w:rPr>
            </w:pPr>
            <w:r>
              <w:rPr>
                <w:rStyle w:val="CharacterStyle6"/>
              </w:rPr>
              <w:t>2.655,00</w:t>
            </w:r>
          </w:p>
        </w:tc>
        <w:tc>
          <w:tcPr>
            <w:tcW w:w="1395" w:type="dxa"/>
            <w:tcBorders>
              <w:bottom w:val="single" w:sz="6" w:space="0" w:color="000000"/>
              <w:right w:val="single" w:sz="6" w:space="0" w:color="000000"/>
            </w:tcBorders>
            <w:vAlign w:val="center"/>
          </w:tcPr>
          <w:p w14:paraId="126CFBE5" w14:textId="77777777" w:rsidR="007D706A" w:rsidRDefault="007D706A" w:rsidP="00F70508">
            <w:pPr>
              <w:pStyle w:val="ParagraphStyle6"/>
              <w:rPr>
                <w:rStyle w:val="CharacterStyle6"/>
              </w:rPr>
            </w:pPr>
            <w:r>
              <w:rPr>
                <w:rStyle w:val="CharacterStyle6"/>
              </w:rPr>
              <w:t>3.000,00</w:t>
            </w:r>
          </w:p>
        </w:tc>
        <w:tc>
          <w:tcPr>
            <w:tcW w:w="1395" w:type="dxa"/>
            <w:tcBorders>
              <w:bottom w:val="single" w:sz="6" w:space="0" w:color="000000"/>
              <w:right w:val="single" w:sz="6" w:space="0" w:color="000000"/>
            </w:tcBorders>
            <w:vAlign w:val="center"/>
          </w:tcPr>
          <w:p w14:paraId="7A084DF7" w14:textId="77777777" w:rsidR="007D706A" w:rsidRDefault="007D706A" w:rsidP="00F70508">
            <w:pPr>
              <w:pStyle w:val="ParagraphStyle6"/>
              <w:rPr>
                <w:rStyle w:val="CharacterStyle6"/>
              </w:rPr>
            </w:pPr>
            <w:r>
              <w:rPr>
                <w:rStyle w:val="CharacterStyle6"/>
              </w:rPr>
              <w:t>3.082,50</w:t>
            </w:r>
          </w:p>
        </w:tc>
        <w:tc>
          <w:tcPr>
            <w:tcW w:w="1395" w:type="dxa"/>
            <w:tcBorders>
              <w:bottom w:val="single" w:sz="6" w:space="0" w:color="000000"/>
              <w:right w:val="single" w:sz="6" w:space="0" w:color="000000"/>
            </w:tcBorders>
            <w:vAlign w:val="center"/>
          </w:tcPr>
          <w:p w14:paraId="2BA3EB67" w14:textId="77777777" w:rsidR="007D706A" w:rsidRDefault="007D706A" w:rsidP="00F70508">
            <w:pPr>
              <w:pStyle w:val="ParagraphStyle6"/>
              <w:rPr>
                <w:rStyle w:val="CharacterStyle6"/>
              </w:rPr>
            </w:pPr>
            <w:r>
              <w:rPr>
                <w:rStyle w:val="CharacterStyle6"/>
              </w:rPr>
              <w:t>3.112,50</w:t>
            </w:r>
          </w:p>
        </w:tc>
      </w:tr>
      <w:tr w:rsidR="007D706A" w14:paraId="7557BBE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049ACFB"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657DFEB6"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2DA16AAE"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4865188" w14:textId="77777777" w:rsidR="007D706A" w:rsidRDefault="007D706A" w:rsidP="00F70508">
            <w:pPr>
              <w:pStyle w:val="ParagraphStyle9"/>
              <w:rPr>
                <w:rStyle w:val="CharacterStyle9"/>
              </w:rPr>
            </w:pPr>
            <w:r>
              <w:rPr>
                <w:rStyle w:val="CharacterStyle9"/>
              </w:rPr>
              <w:t>2.655,00</w:t>
            </w:r>
          </w:p>
        </w:tc>
        <w:tc>
          <w:tcPr>
            <w:tcW w:w="1395" w:type="dxa"/>
            <w:tcBorders>
              <w:bottom w:val="single" w:sz="6" w:space="0" w:color="000000"/>
              <w:right w:val="single" w:sz="6" w:space="0" w:color="000000"/>
            </w:tcBorders>
            <w:vAlign w:val="center"/>
          </w:tcPr>
          <w:p w14:paraId="4FF28A59" w14:textId="77777777" w:rsidR="007D706A" w:rsidRDefault="007D706A" w:rsidP="00F70508">
            <w:pPr>
              <w:pStyle w:val="ParagraphStyle9"/>
              <w:rPr>
                <w:rStyle w:val="CharacterStyle9"/>
              </w:rPr>
            </w:pPr>
            <w:r>
              <w:rPr>
                <w:rStyle w:val="CharacterStyle9"/>
              </w:rPr>
              <w:t>3.000,00</w:t>
            </w:r>
          </w:p>
        </w:tc>
        <w:tc>
          <w:tcPr>
            <w:tcW w:w="1395" w:type="dxa"/>
            <w:tcBorders>
              <w:bottom w:val="single" w:sz="6" w:space="0" w:color="000000"/>
              <w:right w:val="single" w:sz="6" w:space="0" w:color="000000"/>
            </w:tcBorders>
            <w:vAlign w:val="center"/>
          </w:tcPr>
          <w:p w14:paraId="26B25E29" w14:textId="77777777" w:rsidR="007D706A" w:rsidRDefault="007D706A" w:rsidP="00F70508">
            <w:pPr>
              <w:pStyle w:val="ParagraphStyle9"/>
              <w:rPr>
                <w:rStyle w:val="CharacterStyle9"/>
              </w:rPr>
            </w:pPr>
            <w:r>
              <w:rPr>
                <w:rStyle w:val="CharacterStyle9"/>
              </w:rPr>
              <w:t>3.082,50</w:t>
            </w:r>
          </w:p>
        </w:tc>
        <w:tc>
          <w:tcPr>
            <w:tcW w:w="1395" w:type="dxa"/>
            <w:tcBorders>
              <w:bottom w:val="single" w:sz="6" w:space="0" w:color="000000"/>
              <w:right w:val="single" w:sz="6" w:space="0" w:color="000000"/>
            </w:tcBorders>
            <w:vAlign w:val="center"/>
          </w:tcPr>
          <w:p w14:paraId="23D31EF7" w14:textId="77777777" w:rsidR="007D706A" w:rsidRDefault="007D706A" w:rsidP="00F70508">
            <w:pPr>
              <w:pStyle w:val="ParagraphStyle9"/>
              <w:rPr>
                <w:rStyle w:val="CharacterStyle9"/>
              </w:rPr>
            </w:pPr>
            <w:r>
              <w:rPr>
                <w:rStyle w:val="CharacterStyle9"/>
              </w:rPr>
              <w:t>3.112,50</w:t>
            </w:r>
          </w:p>
        </w:tc>
      </w:tr>
      <w:tr w:rsidR="007D706A" w14:paraId="3DFE63D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1D156E7"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16FFB3A9"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6A9C28C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3D4E742" w14:textId="77777777" w:rsidR="007D706A" w:rsidRDefault="007D706A" w:rsidP="00F70508">
            <w:pPr>
              <w:pStyle w:val="ParagraphStyle12"/>
              <w:rPr>
                <w:rStyle w:val="CharacterStyle12"/>
              </w:rPr>
            </w:pPr>
            <w:r>
              <w:rPr>
                <w:rStyle w:val="CharacterStyle12"/>
              </w:rPr>
              <w:t>2.655,00</w:t>
            </w:r>
          </w:p>
        </w:tc>
        <w:tc>
          <w:tcPr>
            <w:tcW w:w="1395" w:type="dxa"/>
            <w:tcBorders>
              <w:bottom w:val="single" w:sz="6" w:space="0" w:color="000000"/>
              <w:right w:val="single" w:sz="6" w:space="0" w:color="000000"/>
            </w:tcBorders>
            <w:vAlign w:val="center"/>
          </w:tcPr>
          <w:p w14:paraId="19B892B7" w14:textId="77777777" w:rsidR="007D706A" w:rsidRDefault="007D706A" w:rsidP="00F70508">
            <w:pPr>
              <w:pStyle w:val="ParagraphStyle12"/>
              <w:rPr>
                <w:rStyle w:val="CharacterStyle12"/>
              </w:rPr>
            </w:pPr>
            <w:r>
              <w:rPr>
                <w:rStyle w:val="CharacterStyle12"/>
              </w:rPr>
              <w:t>3.000,00</w:t>
            </w:r>
          </w:p>
        </w:tc>
        <w:tc>
          <w:tcPr>
            <w:tcW w:w="1395" w:type="dxa"/>
            <w:tcBorders>
              <w:bottom w:val="single" w:sz="6" w:space="0" w:color="000000"/>
              <w:right w:val="single" w:sz="6" w:space="0" w:color="000000"/>
            </w:tcBorders>
            <w:vAlign w:val="center"/>
          </w:tcPr>
          <w:p w14:paraId="58E131BF" w14:textId="77777777" w:rsidR="007D706A" w:rsidRDefault="007D706A" w:rsidP="00F70508">
            <w:pPr>
              <w:pStyle w:val="ParagraphStyle12"/>
              <w:rPr>
                <w:rStyle w:val="CharacterStyle12"/>
              </w:rPr>
            </w:pPr>
            <w:r>
              <w:rPr>
                <w:rStyle w:val="CharacterStyle12"/>
              </w:rPr>
              <w:t>3.082,50</w:t>
            </w:r>
          </w:p>
        </w:tc>
        <w:tc>
          <w:tcPr>
            <w:tcW w:w="1395" w:type="dxa"/>
            <w:tcBorders>
              <w:bottom w:val="single" w:sz="6" w:space="0" w:color="000000"/>
              <w:right w:val="single" w:sz="6" w:space="0" w:color="000000"/>
            </w:tcBorders>
            <w:vAlign w:val="center"/>
          </w:tcPr>
          <w:p w14:paraId="523E603A" w14:textId="77777777" w:rsidR="007D706A" w:rsidRDefault="007D706A" w:rsidP="00F70508">
            <w:pPr>
              <w:pStyle w:val="ParagraphStyle12"/>
              <w:rPr>
                <w:rStyle w:val="CharacterStyle12"/>
              </w:rPr>
            </w:pPr>
            <w:r>
              <w:rPr>
                <w:rStyle w:val="CharacterStyle12"/>
              </w:rPr>
              <w:t>3.112,50</w:t>
            </w:r>
          </w:p>
        </w:tc>
      </w:tr>
      <w:tr w:rsidR="007D706A" w14:paraId="0525381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34A0A79"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2A80A118"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23B0E71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49E413C" w14:textId="77777777" w:rsidR="007D706A" w:rsidRDefault="007D706A" w:rsidP="00F70508">
            <w:pPr>
              <w:pStyle w:val="ParagraphStyle12"/>
              <w:rPr>
                <w:rStyle w:val="CharacterStyle12"/>
              </w:rPr>
            </w:pPr>
            <w:r>
              <w:rPr>
                <w:rStyle w:val="CharacterStyle12"/>
              </w:rPr>
              <w:t>2.655,00</w:t>
            </w:r>
          </w:p>
        </w:tc>
        <w:tc>
          <w:tcPr>
            <w:tcW w:w="1395" w:type="dxa"/>
            <w:tcBorders>
              <w:bottom w:val="single" w:sz="6" w:space="0" w:color="000000"/>
              <w:right w:val="single" w:sz="6" w:space="0" w:color="000000"/>
            </w:tcBorders>
            <w:vAlign w:val="center"/>
          </w:tcPr>
          <w:p w14:paraId="56397981" w14:textId="77777777" w:rsidR="007D706A" w:rsidRDefault="007D706A" w:rsidP="00F70508">
            <w:pPr>
              <w:pStyle w:val="ParagraphStyle12"/>
              <w:rPr>
                <w:rStyle w:val="CharacterStyle12"/>
              </w:rPr>
            </w:pPr>
            <w:r>
              <w:rPr>
                <w:rStyle w:val="CharacterStyle12"/>
              </w:rPr>
              <w:t>3.000,00</w:t>
            </w:r>
          </w:p>
        </w:tc>
        <w:tc>
          <w:tcPr>
            <w:tcW w:w="1395" w:type="dxa"/>
            <w:tcBorders>
              <w:bottom w:val="single" w:sz="6" w:space="0" w:color="000000"/>
              <w:right w:val="single" w:sz="6" w:space="0" w:color="000000"/>
            </w:tcBorders>
            <w:vAlign w:val="center"/>
          </w:tcPr>
          <w:p w14:paraId="75F73A7A" w14:textId="77777777" w:rsidR="007D706A" w:rsidRDefault="007D706A" w:rsidP="00F70508">
            <w:pPr>
              <w:pStyle w:val="ParagraphStyle12"/>
              <w:rPr>
                <w:rStyle w:val="CharacterStyle12"/>
              </w:rPr>
            </w:pPr>
            <w:r>
              <w:rPr>
                <w:rStyle w:val="CharacterStyle12"/>
              </w:rPr>
              <w:t>3.082,50</w:t>
            </w:r>
          </w:p>
        </w:tc>
        <w:tc>
          <w:tcPr>
            <w:tcW w:w="1395" w:type="dxa"/>
            <w:tcBorders>
              <w:bottom w:val="single" w:sz="6" w:space="0" w:color="000000"/>
              <w:right w:val="single" w:sz="6" w:space="0" w:color="000000"/>
            </w:tcBorders>
            <w:vAlign w:val="center"/>
          </w:tcPr>
          <w:p w14:paraId="288B5AC0" w14:textId="77777777" w:rsidR="007D706A" w:rsidRDefault="007D706A" w:rsidP="00F70508">
            <w:pPr>
              <w:pStyle w:val="ParagraphStyle12"/>
              <w:rPr>
                <w:rStyle w:val="CharacterStyle12"/>
              </w:rPr>
            </w:pPr>
            <w:r>
              <w:rPr>
                <w:rStyle w:val="CharacterStyle12"/>
              </w:rPr>
              <w:t>3.112,50</w:t>
            </w:r>
          </w:p>
        </w:tc>
      </w:tr>
      <w:tr w:rsidR="007D706A" w14:paraId="3ADE8C0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FE68B7F" w14:textId="77777777" w:rsidR="007D706A" w:rsidRDefault="007D706A" w:rsidP="00F70508">
            <w:pPr>
              <w:pStyle w:val="ParagraphStyle4"/>
              <w:rPr>
                <w:rStyle w:val="CharacterStyle4"/>
              </w:rPr>
            </w:pPr>
            <w:r>
              <w:rPr>
                <w:rStyle w:val="CharacterStyle4"/>
              </w:rPr>
              <w:t>Aktivnost A103624</w:t>
            </w:r>
          </w:p>
        </w:tc>
        <w:tc>
          <w:tcPr>
            <w:tcW w:w="4995" w:type="dxa"/>
            <w:tcBorders>
              <w:bottom w:val="single" w:sz="6" w:space="0" w:color="000000"/>
              <w:right w:val="single" w:sz="6" w:space="0" w:color="000000"/>
            </w:tcBorders>
            <w:vAlign w:val="center"/>
          </w:tcPr>
          <w:p w14:paraId="4A82749B" w14:textId="77777777" w:rsidR="007D706A" w:rsidRDefault="007D706A" w:rsidP="00F70508">
            <w:pPr>
              <w:pStyle w:val="ParagraphStyle5"/>
              <w:rPr>
                <w:rStyle w:val="CharacterStyle5"/>
              </w:rPr>
            </w:pPr>
            <w:r>
              <w:rPr>
                <w:rStyle w:val="CharacterStyle5"/>
              </w:rPr>
              <w:t>PROGRAMI I AKTIVNOSTI ŠKOLE</w:t>
            </w:r>
          </w:p>
        </w:tc>
        <w:tc>
          <w:tcPr>
            <w:tcW w:w="1395" w:type="dxa"/>
            <w:tcBorders>
              <w:bottom w:val="single" w:sz="6" w:space="0" w:color="000000"/>
              <w:right w:val="single" w:sz="6" w:space="0" w:color="000000"/>
            </w:tcBorders>
            <w:vAlign w:val="center"/>
          </w:tcPr>
          <w:p w14:paraId="09C046B0"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30648263" w14:textId="77777777" w:rsidR="007D706A" w:rsidRDefault="007D706A" w:rsidP="00F70508">
            <w:pPr>
              <w:pStyle w:val="ParagraphStyle6"/>
              <w:rPr>
                <w:rStyle w:val="CharacterStyle6"/>
              </w:rPr>
            </w:pPr>
            <w:r>
              <w:rPr>
                <w:rStyle w:val="CharacterStyle6"/>
              </w:rPr>
              <w:t>234.931,00</w:t>
            </w:r>
          </w:p>
        </w:tc>
        <w:tc>
          <w:tcPr>
            <w:tcW w:w="1395" w:type="dxa"/>
            <w:tcBorders>
              <w:bottom w:val="single" w:sz="6" w:space="0" w:color="000000"/>
              <w:right w:val="single" w:sz="6" w:space="0" w:color="000000"/>
            </w:tcBorders>
            <w:vAlign w:val="center"/>
          </w:tcPr>
          <w:p w14:paraId="1AEAEF80" w14:textId="77777777" w:rsidR="007D706A" w:rsidRDefault="007D706A" w:rsidP="00F70508">
            <w:pPr>
              <w:pStyle w:val="ParagraphStyle6"/>
              <w:rPr>
                <w:rStyle w:val="CharacterStyle6"/>
              </w:rPr>
            </w:pPr>
            <w:r>
              <w:rPr>
                <w:rStyle w:val="CharacterStyle6"/>
              </w:rPr>
              <w:t>252.980,00</w:t>
            </w:r>
          </w:p>
        </w:tc>
        <w:tc>
          <w:tcPr>
            <w:tcW w:w="1395" w:type="dxa"/>
            <w:tcBorders>
              <w:bottom w:val="single" w:sz="6" w:space="0" w:color="000000"/>
              <w:right w:val="single" w:sz="6" w:space="0" w:color="000000"/>
            </w:tcBorders>
            <w:vAlign w:val="center"/>
          </w:tcPr>
          <w:p w14:paraId="41F2CBAE" w14:textId="77777777" w:rsidR="007D706A" w:rsidRDefault="007D706A" w:rsidP="00F70508">
            <w:pPr>
              <w:pStyle w:val="ParagraphStyle6"/>
              <w:rPr>
                <w:rStyle w:val="CharacterStyle6"/>
              </w:rPr>
            </w:pPr>
            <w:r>
              <w:rPr>
                <w:rStyle w:val="CharacterStyle6"/>
              </w:rPr>
              <w:t>196.231,96</w:t>
            </w:r>
          </w:p>
        </w:tc>
        <w:tc>
          <w:tcPr>
            <w:tcW w:w="1395" w:type="dxa"/>
            <w:tcBorders>
              <w:bottom w:val="single" w:sz="6" w:space="0" w:color="000000"/>
              <w:right w:val="single" w:sz="6" w:space="0" w:color="000000"/>
            </w:tcBorders>
            <w:vAlign w:val="center"/>
          </w:tcPr>
          <w:p w14:paraId="1A7CA54F" w14:textId="77777777" w:rsidR="007D706A" w:rsidRDefault="007D706A" w:rsidP="00F70508">
            <w:pPr>
              <w:pStyle w:val="ParagraphStyle6"/>
              <w:rPr>
                <w:rStyle w:val="CharacterStyle6"/>
              </w:rPr>
            </w:pPr>
            <w:r>
              <w:rPr>
                <w:rStyle w:val="CharacterStyle6"/>
              </w:rPr>
              <w:t>198.141,75</w:t>
            </w:r>
          </w:p>
        </w:tc>
      </w:tr>
      <w:tr w:rsidR="007D706A" w14:paraId="4FB35A7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6AF01ED"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02E98D9C"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54EA491A"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B034377" w14:textId="77777777" w:rsidR="007D706A" w:rsidRDefault="007D706A" w:rsidP="00F70508">
            <w:pPr>
              <w:pStyle w:val="ParagraphStyle9"/>
              <w:rPr>
                <w:rStyle w:val="CharacterStyle9"/>
              </w:rPr>
            </w:pPr>
            <w:r>
              <w:rPr>
                <w:rStyle w:val="CharacterStyle9"/>
              </w:rPr>
              <w:t>7.850,02</w:t>
            </w:r>
          </w:p>
        </w:tc>
        <w:tc>
          <w:tcPr>
            <w:tcW w:w="1395" w:type="dxa"/>
            <w:tcBorders>
              <w:bottom w:val="single" w:sz="6" w:space="0" w:color="000000"/>
              <w:right w:val="single" w:sz="6" w:space="0" w:color="000000"/>
            </w:tcBorders>
            <w:vAlign w:val="center"/>
          </w:tcPr>
          <w:p w14:paraId="073FEE9F" w14:textId="77777777" w:rsidR="007D706A" w:rsidRDefault="007D706A" w:rsidP="00F70508">
            <w:pPr>
              <w:pStyle w:val="ParagraphStyle9"/>
              <w:rPr>
                <w:rStyle w:val="CharacterStyle9"/>
              </w:rPr>
            </w:pPr>
            <w:r>
              <w:rPr>
                <w:rStyle w:val="CharacterStyle9"/>
              </w:rPr>
              <w:t>20.000,00</w:t>
            </w:r>
          </w:p>
        </w:tc>
        <w:tc>
          <w:tcPr>
            <w:tcW w:w="1395" w:type="dxa"/>
            <w:tcBorders>
              <w:bottom w:val="single" w:sz="6" w:space="0" w:color="000000"/>
              <w:right w:val="single" w:sz="6" w:space="0" w:color="000000"/>
            </w:tcBorders>
            <w:vAlign w:val="center"/>
          </w:tcPr>
          <w:p w14:paraId="3AB1FAB1" w14:textId="77777777" w:rsidR="007D706A" w:rsidRDefault="007D706A" w:rsidP="00F70508">
            <w:pPr>
              <w:pStyle w:val="ParagraphStyle9"/>
              <w:rPr>
                <w:rStyle w:val="CharacterStyle9"/>
              </w:rPr>
            </w:pPr>
            <w:r>
              <w:rPr>
                <w:rStyle w:val="CharacterStyle9"/>
              </w:rPr>
              <w:t>20.550,00</w:t>
            </w:r>
          </w:p>
        </w:tc>
        <w:tc>
          <w:tcPr>
            <w:tcW w:w="1395" w:type="dxa"/>
            <w:tcBorders>
              <w:bottom w:val="single" w:sz="6" w:space="0" w:color="000000"/>
              <w:right w:val="single" w:sz="6" w:space="0" w:color="000000"/>
            </w:tcBorders>
            <w:vAlign w:val="center"/>
          </w:tcPr>
          <w:p w14:paraId="58EB233A" w14:textId="77777777" w:rsidR="007D706A" w:rsidRDefault="007D706A" w:rsidP="00F70508">
            <w:pPr>
              <w:pStyle w:val="ParagraphStyle9"/>
              <w:rPr>
                <w:rStyle w:val="CharacterStyle9"/>
              </w:rPr>
            </w:pPr>
            <w:r>
              <w:rPr>
                <w:rStyle w:val="CharacterStyle9"/>
              </w:rPr>
              <w:t>20.750,00</w:t>
            </w:r>
          </w:p>
        </w:tc>
      </w:tr>
      <w:tr w:rsidR="007D706A" w14:paraId="256B54A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EA32EE6"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454AFDF4"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68FD4FA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8E5CDF3" w14:textId="77777777" w:rsidR="007D706A" w:rsidRDefault="007D706A" w:rsidP="00F70508">
            <w:pPr>
              <w:pStyle w:val="ParagraphStyle12"/>
              <w:rPr>
                <w:rStyle w:val="CharacterStyle12"/>
              </w:rPr>
            </w:pPr>
            <w:r>
              <w:rPr>
                <w:rStyle w:val="CharacterStyle12"/>
              </w:rPr>
              <w:t>7.850,02</w:t>
            </w:r>
          </w:p>
        </w:tc>
        <w:tc>
          <w:tcPr>
            <w:tcW w:w="1395" w:type="dxa"/>
            <w:tcBorders>
              <w:bottom w:val="single" w:sz="6" w:space="0" w:color="000000"/>
              <w:right w:val="single" w:sz="6" w:space="0" w:color="000000"/>
            </w:tcBorders>
            <w:vAlign w:val="center"/>
          </w:tcPr>
          <w:p w14:paraId="031ACF07" w14:textId="77777777" w:rsidR="007D706A" w:rsidRDefault="007D706A" w:rsidP="00F70508">
            <w:pPr>
              <w:pStyle w:val="ParagraphStyle12"/>
              <w:rPr>
                <w:rStyle w:val="CharacterStyle12"/>
              </w:rPr>
            </w:pPr>
            <w:r>
              <w:rPr>
                <w:rStyle w:val="CharacterStyle12"/>
              </w:rPr>
              <w:t>20.000,00</w:t>
            </w:r>
          </w:p>
        </w:tc>
        <w:tc>
          <w:tcPr>
            <w:tcW w:w="1395" w:type="dxa"/>
            <w:tcBorders>
              <w:bottom w:val="single" w:sz="6" w:space="0" w:color="000000"/>
              <w:right w:val="single" w:sz="6" w:space="0" w:color="000000"/>
            </w:tcBorders>
            <w:vAlign w:val="center"/>
          </w:tcPr>
          <w:p w14:paraId="3684FAAA" w14:textId="77777777" w:rsidR="007D706A" w:rsidRDefault="007D706A" w:rsidP="00F70508">
            <w:pPr>
              <w:pStyle w:val="ParagraphStyle12"/>
              <w:rPr>
                <w:rStyle w:val="CharacterStyle12"/>
              </w:rPr>
            </w:pPr>
            <w:r>
              <w:rPr>
                <w:rStyle w:val="CharacterStyle12"/>
              </w:rPr>
              <w:t>20.550,00</w:t>
            </w:r>
          </w:p>
        </w:tc>
        <w:tc>
          <w:tcPr>
            <w:tcW w:w="1395" w:type="dxa"/>
            <w:tcBorders>
              <w:bottom w:val="single" w:sz="6" w:space="0" w:color="000000"/>
              <w:right w:val="single" w:sz="6" w:space="0" w:color="000000"/>
            </w:tcBorders>
            <w:vAlign w:val="center"/>
          </w:tcPr>
          <w:p w14:paraId="26910B4D" w14:textId="77777777" w:rsidR="007D706A" w:rsidRDefault="007D706A" w:rsidP="00F70508">
            <w:pPr>
              <w:pStyle w:val="ParagraphStyle12"/>
              <w:rPr>
                <w:rStyle w:val="CharacterStyle12"/>
              </w:rPr>
            </w:pPr>
            <w:r>
              <w:rPr>
                <w:rStyle w:val="CharacterStyle12"/>
              </w:rPr>
              <w:t>20.750,00</w:t>
            </w:r>
          </w:p>
        </w:tc>
      </w:tr>
      <w:tr w:rsidR="007D706A" w14:paraId="1FADC17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19B4FAE"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5E4C84D9"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3891735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F02A9C5" w14:textId="77777777" w:rsidR="007D706A" w:rsidRDefault="007D706A" w:rsidP="00F70508">
            <w:pPr>
              <w:pStyle w:val="ParagraphStyle12"/>
              <w:rPr>
                <w:rStyle w:val="CharacterStyle12"/>
              </w:rPr>
            </w:pPr>
            <w:r>
              <w:rPr>
                <w:rStyle w:val="CharacterStyle12"/>
              </w:rPr>
              <w:t>7.850,02</w:t>
            </w:r>
          </w:p>
        </w:tc>
        <w:tc>
          <w:tcPr>
            <w:tcW w:w="1395" w:type="dxa"/>
            <w:tcBorders>
              <w:bottom w:val="single" w:sz="6" w:space="0" w:color="000000"/>
              <w:right w:val="single" w:sz="6" w:space="0" w:color="000000"/>
            </w:tcBorders>
            <w:vAlign w:val="center"/>
          </w:tcPr>
          <w:p w14:paraId="6437CA3F" w14:textId="77777777" w:rsidR="007D706A" w:rsidRDefault="007D706A" w:rsidP="00F70508">
            <w:pPr>
              <w:pStyle w:val="ParagraphStyle12"/>
              <w:rPr>
                <w:rStyle w:val="CharacterStyle12"/>
              </w:rPr>
            </w:pPr>
            <w:r>
              <w:rPr>
                <w:rStyle w:val="CharacterStyle12"/>
              </w:rPr>
              <w:t>20.000,00</w:t>
            </w:r>
          </w:p>
        </w:tc>
        <w:tc>
          <w:tcPr>
            <w:tcW w:w="1395" w:type="dxa"/>
            <w:tcBorders>
              <w:bottom w:val="single" w:sz="6" w:space="0" w:color="000000"/>
              <w:right w:val="single" w:sz="6" w:space="0" w:color="000000"/>
            </w:tcBorders>
            <w:vAlign w:val="center"/>
          </w:tcPr>
          <w:p w14:paraId="4B56D15E" w14:textId="77777777" w:rsidR="007D706A" w:rsidRDefault="007D706A" w:rsidP="00F70508">
            <w:pPr>
              <w:pStyle w:val="ParagraphStyle12"/>
              <w:rPr>
                <w:rStyle w:val="CharacterStyle12"/>
              </w:rPr>
            </w:pPr>
            <w:r>
              <w:rPr>
                <w:rStyle w:val="CharacterStyle12"/>
              </w:rPr>
              <w:t>20.550,00</w:t>
            </w:r>
          </w:p>
        </w:tc>
        <w:tc>
          <w:tcPr>
            <w:tcW w:w="1395" w:type="dxa"/>
            <w:tcBorders>
              <w:bottom w:val="single" w:sz="6" w:space="0" w:color="000000"/>
              <w:right w:val="single" w:sz="6" w:space="0" w:color="000000"/>
            </w:tcBorders>
            <w:vAlign w:val="center"/>
          </w:tcPr>
          <w:p w14:paraId="5CAACE00" w14:textId="77777777" w:rsidR="007D706A" w:rsidRDefault="007D706A" w:rsidP="00F70508">
            <w:pPr>
              <w:pStyle w:val="ParagraphStyle12"/>
              <w:rPr>
                <w:rStyle w:val="CharacterStyle12"/>
              </w:rPr>
            </w:pPr>
            <w:r>
              <w:rPr>
                <w:rStyle w:val="CharacterStyle12"/>
              </w:rPr>
              <w:t>20.750,00</w:t>
            </w:r>
          </w:p>
        </w:tc>
      </w:tr>
      <w:tr w:rsidR="007D706A" w14:paraId="721C2D6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7E31E62" w14:textId="77777777" w:rsidR="007D706A" w:rsidRDefault="007D706A" w:rsidP="00F70508">
            <w:pPr>
              <w:pStyle w:val="ParagraphStyle7"/>
              <w:rPr>
                <w:rStyle w:val="CharacterStyle7"/>
              </w:rPr>
            </w:pPr>
            <w:r>
              <w:rPr>
                <w:rStyle w:val="CharacterStyle7"/>
              </w:rPr>
              <w:t>Izvor financiranja 31</w:t>
            </w:r>
          </w:p>
        </w:tc>
        <w:tc>
          <w:tcPr>
            <w:tcW w:w="4995" w:type="dxa"/>
            <w:tcBorders>
              <w:bottom w:val="single" w:sz="6" w:space="0" w:color="000000"/>
              <w:right w:val="single" w:sz="6" w:space="0" w:color="000000"/>
            </w:tcBorders>
            <w:vAlign w:val="center"/>
          </w:tcPr>
          <w:p w14:paraId="0F118BFE" w14:textId="77777777" w:rsidR="007D706A" w:rsidRDefault="007D706A" w:rsidP="00F70508">
            <w:pPr>
              <w:pStyle w:val="ParagraphStyle8"/>
              <w:rPr>
                <w:rStyle w:val="CharacterStyle8"/>
              </w:rPr>
            </w:pPr>
            <w:r>
              <w:rPr>
                <w:rStyle w:val="CharacterStyle8"/>
              </w:rPr>
              <w:t>Vlastiti prihodi</w:t>
            </w:r>
          </w:p>
        </w:tc>
        <w:tc>
          <w:tcPr>
            <w:tcW w:w="1395" w:type="dxa"/>
            <w:tcBorders>
              <w:bottom w:val="single" w:sz="6" w:space="0" w:color="000000"/>
              <w:right w:val="single" w:sz="6" w:space="0" w:color="000000"/>
            </w:tcBorders>
            <w:vAlign w:val="center"/>
          </w:tcPr>
          <w:p w14:paraId="2F344273"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2E611F1" w14:textId="77777777" w:rsidR="007D706A" w:rsidRDefault="007D706A" w:rsidP="00F70508">
            <w:pPr>
              <w:pStyle w:val="ParagraphStyle9"/>
              <w:rPr>
                <w:rStyle w:val="CharacterStyle9"/>
              </w:rPr>
            </w:pPr>
            <w:r>
              <w:rPr>
                <w:rStyle w:val="CharacterStyle9"/>
              </w:rPr>
              <w:t>8.240,00</w:t>
            </w:r>
          </w:p>
        </w:tc>
        <w:tc>
          <w:tcPr>
            <w:tcW w:w="1395" w:type="dxa"/>
            <w:tcBorders>
              <w:bottom w:val="single" w:sz="6" w:space="0" w:color="000000"/>
              <w:right w:val="single" w:sz="6" w:space="0" w:color="000000"/>
            </w:tcBorders>
            <w:vAlign w:val="center"/>
          </w:tcPr>
          <w:p w14:paraId="4F4B0E10" w14:textId="77777777" w:rsidR="007D706A" w:rsidRDefault="007D706A" w:rsidP="00F70508">
            <w:pPr>
              <w:pStyle w:val="ParagraphStyle9"/>
              <w:rPr>
                <w:rStyle w:val="CharacterStyle9"/>
              </w:rPr>
            </w:pPr>
            <w:r>
              <w:rPr>
                <w:rStyle w:val="CharacterStyle9"/>
              </w:rPr>
              <w:t>8.240,00</w:t>
            </w:r>
          </w:p>
        </w:tc>
        <w:tc>
          <w:tcPr>
            <w:tcW w:w="1395" w:type="dxa"/>
            <w:tcBorders>
              <w:bottom w:val="single" w:sz="6" w:space="0" w:color="000000"/>
              <w:right w:val="single" w:sz="6" w:space="0" w:color="000000"/>
            </w:tcBorders>
            <w:vAlign w:val="center"/>
          </w:tcPr>
          <w:p w14:paraId="0D67488B" w14:textId="77777777" w:rsidR="007D706A" w:rsidRDefault="007D706A" w:rsidP="00F70508">
            <w:pPr>
              <w:pStyle w:val="ParagraphStyle9"/>
              <w:rPr>
                <w:rStyle w:val="CharacterStyle9"/>
              </w:rPr>
            </w:pPr>
            <w:r>
              <w:rPr>
                <w:rStyle w:val="CharacterStyle9"/>
              </w:rPr>
              <w:t>8.466,60</w:t>
            </w:r>
          </w:p>
        </w:tc>
        <w:tc>
          <w:tcPr>
            <w:tcW w:w="1395" w:type="dxa"/>
            <w:tcBorders>
              <w:bottom w:val="single" w:sz="6" w:space="0" w:color="000000"/>
              <w:right w:val="single" w:sz="6" w:space="0" w:color="000000"/>
            </w:tcBorders>
            <w:vAlign w:val="center"/>
          </w:tcPr>
          <w:p w14:paraId="4E56C6F9" w14:textId="77777777" w:rsidR="007D706A" w:rsidRDefault="007D706A" w:rsidP="00F70508">
            <w:pPr>
              <w:pStyle w:val="ParagraphStyle9"/>
              <w:rPr>
                <w:rStyle w:val="CharacterStyle9"/>
              </w:rPr>
            </w:pPr>
            <w:r>
              <w:rPr>
                <w:rStyle w:val="CharacterStyle9"/>
              </w:rPr>
              <w:t>8.549,00</w:t>
            </w:r>
          </w:p>
        </w:tc>
      </w:tr>
      <w:tr w:rsidR="007D706A" w14:paraId="62F74F3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E0788D0"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421861B7"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3C696E4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3B7F6CD" w14:textId="77777777" w:rsidR="007D706A" w:rsidRDefault="007D706A" w:rsidP="00F70508">
            <w:pPr>
              <w:pStyle w:val="ParagraphStyle12"/>
              <w:rPr>
                <w:rStyle w:val="CharacterStyle12"/>
              </w:rPr>
            </w:pPr>
            <w:r>
              <w:rPr>
                <w:rStyle w:val="CharacterStyle12"/>
              </w:rPr>
              <w:t>8.240,00</w:t>
            </w:r>
          </w:p>
        </w:tc>
        <w:tc>
          <w:tcPr>
            <w:tcW w:w="1395" w:type="dxa"/>
            <w:tcBorders>
              <w:bottom w:val="single" w:sz="6" w:space="0" w:color="000000"/>
              <w:right w:val="single" w:sz="6" w:space="0" w:color="000000"/>
            </w:tcBorders>
            <w:vAlign w:val="center"/>
          </w:tcPr>
          <w:p w14:paraId="3383F6FB" w14:textId="77777777" w:rsidR="007D706A" w:rsidRDefault="007D706A" w:rsidP="00F70508">
            <w:pPr>
              <w:pStyle w:val="ParagraphStyle12"/>
              <w:rPr>
                <w:rStyle w:val="CharacterStyle12"/>
              </w:rPr>
            </w:pPr>
            <w:r>
              <w:rPr>
                <w:rStyle w:val="CharacterStyle12"/>
              </w:rPr>
              <w:t>8.240,00</w:t>
            </w:r>
          </w:p>
        </w:tc>
        <w:tc>
          <w:tcPr>
            <w:tcW w:w="1395" w:type="dxa"/>
            <w:tcBorders>
              <w:bottom w:val="single" w:sz="6" w:space="0" w:color="000000"/>
              <w:right w:val="single" w:sz="6" w:space="0" w:color="000000"/>
            </w:tcBorders>
            <w:vAlign w:val="center"/>
          </w:tcPr>
          <w:p w14:paraId="68A6D339" w14:textId="77777777" w:rsidR="007D706A" w:rsidRDefault="007D706A" w:rsidP="00F70508">
            <w:pPr>
              <w:pStyle w:val="ParagraphStyle12"/>
              <w:rPr>
                <w:rStyle w:val="CharacterStyle12"/>
              </w:rPr>
            </w:pPr>
            <w:r>
              <w:rPr>
                <w:rStyle w:val="CharacterStyle12"/>
              </w:rPr>
              <w:t>8.466,60</w:t>
            </w:r>
          </w:p>
        </w:tc>
        <w:tc>
          <w:tcPr>
            <w:tcW w:w="1395" w:type="dxa"/>
            <w:tcBorders>
              <w:bottom w:val="single" w:sz="6" w:space="0" w:color="000000"/>
              <w:right w:val="single" w:sz="6" w:space="0" w:color="000000"/>
            </w:tcBorders>
            <w:vAlign w:val="center"/>
          </w:tcPr>
          <w:p w14:paraId="63021BF4" w14:textId="77777777" w:rsidR="007D706A" w:rsidRDefault="007D706A" w:rsidP="00F70508">
            <w:pPr>
              <w:pStyle w:val="ParagraphStyle12"/>
              <w:rPr>
                <w:rStyle w:val="CharacterStyle12"/>
              </w:rPr>
            </w:pPr>
            <w:r>
              <w:rPr>
                <w:rStyle w:val="CharacterStyle12"/>
              </w:rPr>
              <w:t>8.549,00</w:t>
            </w:r>
          </w:p>
        </w:tc>
      </w:tr>
      <w:tr w:rsidR="007D706A" w14:paraId="3E05042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4A68FDA"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44E971BE"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4ABD4DC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B5EB220" w14:textId="77777777" w:rsidR="007D706A" w:rsidRDefault="007D706A" w:rsidP="00F70508">
            <w:pPr>
              <w:pStyle w:val="ParagraphStyle12"/>
              <w:rPr>
                <w:rStyle w:val="CharacterStyle12"/>
              </w:rPr>
            </w:pPr>
            <w:r>
              <w:rPr>
                <w:rStyle w:val="CharacterStyle12"/>
              </w:rPr>
              <w:t>8.040,00</w:t>
            </w:r>
          </w:p>
        </w:tc>
        <w:tc>
          <w:tcPr>
            <w:tcW w:w="1395" w:type="dxa"/>
            <w:tcBorders>
              <w:bottom w:val="single" w:sz="6" w:space="0" w:color="000000"/>
              <w:right w:val="single" w:sz="6" w:space="0" w:color="000000"/>
            </w:tcBorders>
            <w:vAlign w:val="center"/>
          </w:tcPr>
          <w:p w14:paraId="5AE44ABE" w14:textId="77777777" w:rsidR="007D706A" w:rsidRDefault="007D706A" w:rsidP="00F70508">
            <w:pPr>
              <w:pStyle w:val="ParagraphStyle12"/>
              <w:rPr>
                <w:rStyle w:val="CharacterStyle12"/>
              </w:rPr>
            </w:pPr>
            <w:r>
              <w:rPr>
                <w:rStyle w:val="CharacterStyle12"/>
              </w:rPr>
              <w:t>8.040,00</w:t>
            </w:r>
          </w:p>
        </w:tc>
        <w:tc>
          <w:tcPr>
            <w:tcW w:w="1395" w:type="dxa"/>
            <w:tcBorders>
              <w:bottom w:val="single" w:sz="6" w:space="0" w:color="000000"/>
              <w:right w:val="single" w:sz="6" w:space="0" w:color="000000"/>
            </w:tcBorders>
            <w:vAlign w:val="center"/>
          </w:tcPr>
          <w:p w14:paraId="0314420E" w14:textId="77777777" w:rsidR="007D706A" w:rsidRDefault="007D706A" w:rsidP="00F70508">
            <w:pPr>
              <w:pStyle w:val="ParagraphStyle12"/>
              <w:rPr>
                <w:rStyle w:val="CharacterStyle12"/>
              </w:rPr>
            </w:pPr>
            <w:r>
              <w:rPr>
                <w:rStyle w:val="CharacterStyle12"/>
              </w:rPr>
              <w:t>8.261,10</w:t>
            </w:r>
          </w:p>
        </w:tc>
        <w:tc>
          <w:tcPr>
            <w:tcW w:w="1395" w:type="dxa"/>
            <w:tcBorders>
              <w:bottom w:val="single" w:sz="6" w:space="0" w:color="000000"/>
              <w:right w:val="single" w:sz="6" w:space="0" w:color="000000"/>
            </w:tcBorders>
            <w:vAlign w:val="center"/>
          </w:tcPr>
          <w:p w14:paraId="3B36BD32" w14:textId="77777777" w:rsidR="007D706A" w:rsidRDefault="007D706A" w:rsidP="00F70508">
            <w:pPr>
              <w:pStyle w:val="ParagraphStyle12"/>
              <w:rPr>
                <w:rStyle w:val="CharacterStyle12"/>
              </w:rPr>
            </w:pPr>
            <w:r>
              <w:rPr>
                <w:rStyle w:val="CharacterStyle12"/>
              </w:rPr>
              <w:t>8.341,50</w:t>
            </w:r>
          </w:p>
        </w:tc>
      </w:tr>
      <w:tr w:rsidR="007D706A" w14:paraId="236C50F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17D269B" w14:textId="77777777" w:rsidR="007D706A" w:rsidRDefault="007D706A" w:rsidP="00F70508">
            <w:pPr>
              <w:pStyle w:val="ParagraphStyle10"/>
              <w:rPr>
                <w:rStyle w:val="CharacterStyle10"/>
              </w:rPr>
            </w:pPr>
            <w:r>
              <w:rPr>
                <w:rStyle w:val="CharacterStyle10"/>
              </w:rPr>
              <w:t>34</w:t>
            </w:r>
          </w:p>
        </w:tc>
        <w:tc>
          <w:tcPr>
            <w:tcW w:w="4995" w:type="dxa"/>
            <w:tcBorders>
              <w:bottom w:val="single" w:sz="6" w:space="0" w:color="000000"/>
              <w:right w:val="single" w:sz="6" w:space="0" w:color="000000"/>
            </w:tcBorders>
            <w:vAlign w:val="center"/>
          </w:tcPr>
          <w:p w14:paraId="193EEB5E" w14:textId="77777777" w:rsidR="007D706A" w:rsidRDefault="007D706A" w:rsidP="00F70508">
            <w:pPr>
              <w:pStyle w:val="ParagraphStyle11"/>
              <w:rPr>
                <w:rStyle w:val="CharacterStyle11"/>
              </w:rPr>
            </w:pPr>
            <w:r>
              <w:rPr>
                <w:rStyle w:val="CharacterStyle11"/>
              </w:rPr>
              <w:t>Financijski rashodi</w:t>
            </w:r>
          </w:p>
        </w:tc>
        <w:tc>
          <w:tcPr>
            <w:tcW w:w="1395" w:type="dxa"/>
            <w:tcBorders>
              <w:bottom w:val="single" w:sz="6" w:space="0" w:color="000000"/>
              <w:right w:val="single" w:sz="6" w:space="0" w:color="000000"/>
            </w:tcBorders>
            <w:vAlign w:val="center"/>
          </w:tcPr>
          <w:p w14:paraId="1DD82D9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9590B44" w14:textId="77777777" w:rsidR="007D706A" w:rsidRDefault="007D706A" w:rsidP="00F70508">
            <w:pPr>
              <w:pStyle w:val="ParagraphStyle12"/>
              <w:rPr>
                <w:rStyle w:val="CharacterStyle12"/>
              </w:rPr>
            </w:pPr>
            <w:r>
              <w:rPr>
                <w:rStyle w:val="CharacterStyle12"/>
              </w:rPr>
              <w:t>200,00</w:t>
            </w:r>
          </w:p>
        </w:tc>
        <w:tc>
          <w:tcPr>
            <w:tcW w:w="1395" w:type="dxa"/>
            <w:tcBorders>
              <w:bottom w:val="single" w:sz="6" w:space="0" w:color="000000"/>
              <w:right w:val="single" w:sz="6" w:space="0" w:color="000000"/>
            </w:tcBorders>
            <w:vAlign w:val="center"/>
          </w:tcPr>
          <w:p w14:paraId="3811DF49" w14:textId="77777777" w:rsidR="007D706A" w:rsidRDefault="007D706A" w:rsidP="00F70508">
            <w:pPr>
              <w:pStyle w:val="ParagraphStyle12"/>
              <w:rPr>
                <w:rStyle w:val="CharacterStyle12"/>
              </w:rPr>
            </w:pPr>
            <w:r>
              <w:rPr>
                <w:rStyle w:val="CharacterStyle12"/>
              </w:rPr>
              <w:t>200,00</w:t>
            </w:r>
          </w:p>
        </w:tc>
        <w:tc>
          <w:tcPr>
            <w:tcW w:w="1395" w:type="dxa"/>
            <w:tcBorders>
              <w:bottom w:val="single" w:sz="6" w:space="0" w:color="000000"/>
              <w:right w:val="single" w:sz="6" w:space="0" w:color="000000"/>
            </w:tcBorders>
            <w:vAlign w:val="center"/>
          </w:tcPr>
          <w:p w14:paraId="20AFB41C" w14:textId="77777777" w:rsidR="007D706A" w:rsidRDefault="007D706A" w:rsidP="00F70508">
            <w:pPr>
              <w:pStyle w:val="ParagraphStyle12"/>
              <w:rPr>
                <w:rStyle w:val="CharacterStyle12"/>
              </w:rPr>
            </w:pPr>
            <w:r>
              <w:rPr>
                <w:rStyle w:val="CharacterStyle12"/>
              </w:rPr>
              <w:t>205,50</w:t>
            </w:r>
          </w:p>
        </w:tc>
        <w:tc>
          <w:tcPr>
            <w:tcW w:w="1395" w:type="dxa"/>
            <w:tcBorders>
              <w:bottom w:val="single" w:sz="6" w:space="0" w:color="000000"/>
              <w:right w:val="single" w:sz="6" w:space="0" w:color="000000"/>
            </w:tcBorders>
            <w:vAlign w:val="center"/>
          </w:tcPr>
          <w:p w14:paraId="0F9D5FAE" w14:textId="77777777" w:rsidR="007D706A" w:rsidRDefault="007D706A" w:rsidP="00F70508">
            <w:pPr>
              <w:pStyle w:val="ParagraphStyle12"/>
              <w:rPr>
                <w:rStyle w:val="CharacterStyle12"/>
              </w:rPr>
            </w:pPr>
            <w:r>
              <w:rPr>
                <w:rStyle w:val="CharacterStyle12"/>
              </w:rPr>
              <w:t>207,50</w:t>
            </w:r>
          </w:p>
        </w:tc>
      </w:tr>
      <w:tr w:rsidR="007D706A" w14:paraId="3CB4AE8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D6A8A11" w14:textId="77777777" w:rsidR="007D706A" w:rsidRDefault="007D706A" w:rsidP="00F70508">
            <w:pPr>
              <w:pStyle w:val="ParagraphStyle7"/>
              <w:rPr>
                <w:rStyle w:val="CharacterStyle7"/>
              </w:rPr>
            </w:pPr>
            <w:r>
              <w:rPr>
                <w:rStyle w:val="CharacterStyle7"/>
              </w:rPr>
              <w:t>Izvor financiranja 41</w:t>
            </w:r>
          </w:p>
        </w:tc>
        <w:tc>
          <w:tcPr>
            <w:tcW w:w="4995" w:type="dxa"/>
            <w:tcBorders>
              <w:bottom w:val="single" w:sz="6" w:space="0" w:color="000000"/>
              <w:right w:val="single" w:sz="6" w:space="0" w:color="000000"/>
            </w:tcBorders>
            <w:vAlign w:val="center"/>
          </w:tcPr>
          <w:p w14:paraId="4B3F7775" w14:textId="77777777" w:rsidR="007D706A" w:rsidRDefault="007D706A" w:rsidP="00F70508">
            <w:pPr>
              <w:pStyle w:val="ParagraphStyle8"/>
              <w:rPr>
                <w:rStyle w:val="CharacterStyle8"/>
              </w:rPr>
            </w:pPr>
            <w:r>
              <w:rPr>
                <w:rStyle w:val="CharacterStyle8"/>
              </w:rPr>
              <w:t>Prihodi za posebne namjene</w:t>
            </w:r>
          </w:p>
        </w:tc>
        <w:tc>
          <w:tcPr>
            <w:tcW w:w="1395" w:type="dxa"/>
            <w:tcBorders>
              <w:bottom w:val="single" w:sz="6" w:space="0" w:color="000000"/>
              <w:right w:val="single" w:sz="6" w:space="0" w:color="000000"/>
            </w:tcBorders>
            <w:vAlign w:val="center"/>
          </w:tcPr>
          <w:p w14:paraId="5CD68FB4"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E53E22E" w14:textId="77777777" w:rsidR="007D706A" w:rsidRDefault="007D706A" w:rsidP="00F70508">
            <w:pPr>
              <w:pStyle w:val="ParagraphStyle9"/>
              <w:rPr>
                <w:rStyle w:val="CharacterStyle9"/>
              </w:rPr>
            </w:pPr>
            <w:r>
              <w:rPr>
                <w:rStyle w:val="CharacterStyle9"/>
              </w:rPr>
              <w:t>65.000,00</w:t>
            </w:r>
          </w:p>
        </w:tc>
        <w:tc>
          <w:tcPr>
            <w:tcW w:w="1395" w:type="dxa"/>
            <w:tcBorders>
              <w:bottom w:val="single" w:sz="6" w:space="0" w:color="000000"/>
              <w:right w:val="single" w:sz="6" w:space="0" w:color="000000"/>
            </w:tcBorders>
            <w:vAlign w:val="center"/>
          </w:tcPr>
          <w:p w14:paraId="6318C6DD"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892096A"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5800E63" w14:textId="77777777" w:rsidR="007D706A" w:rsidRDefault="007D706A" w:rsidP="00F70508">
            <w:pPr>
              <w:pStyle w:val="ParagraphStyle9"/>
              <w:rPr>
                <w:rStyle w:val="CharacterStyle9"/>
              </w:rPr>
            </w:pPr>
            <w:r>
              <w:rPr>
                <w:rStyle w:val="CharacterStyle9"/>
              </w:rPr>
              <w:t>0,00</w:t>
            </w:r>
          </w:p>
        </w:tc>
      </w:tr>
      <w:tr w:rsidR="007D706A" w14:paraId="57CEB5D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A9749BA"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18F44D9F"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6F5299B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EDFC9DC" w14:textId="77777777" w:rsidR="007D706A" w:rsidRDefault="007D706A" w:rsidP="00F70508">
            <w:pPr>
              <w:pStyle w:val="ParagraphStyle12"/>
              <w:rPr>
                <w:rStyle w:val="CharacterStyle12"/>
              </w:rPr>
            </w:pPr>
            <w:r>
              <w:rPr>
                <w:rStyle w:val="CharacterStyle12"/>
              </w:rPr>
              <w:t>65.000,00</w:t>
            </w:r>
          </w:p>
        </w:tc>
        <w:tc>
          <w:tcPr>
            <w:tcW w:w="1395" w:type="dxa"/>
            <w:tcBorders>
              <w:bottom w:val="single" w:sz="6" w:space="0" w:color="000000"/>
              <w:right w:val="single" w:sz="6" w:space="0" w:color="000000"/>
            </w:tcBorders>
            <w:vAlign w:val="center"/>
          </w:tcPr>
          <w:p w14:paraId="7A4FE8B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6A0A97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C9268E4" w14:textId="77777777" w:rsidR="007D706A" w:rsidRDefault="007D706A" w:rsidP="00F70508">
            <w:pPr>
              <w:pStyle w:val="ParagraphStyle12"/>
              <w:rPr>
                <w:rStyle w:val="CharacterStyle12"/>
              </w:rPr>
            </w:pPr>
            <w:r>
              <w:rPr>
                <w:rStyle w:val="CharacterStyle12"/>
              </w:rPr>
              <w:t>0,00</w:t>
            </w:r>
          </w:p>
        </w:tc>
      </w:tr>
      <w:tr w:rsidR="007D706A" w14:paraId="798EFBA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021D53D"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1CFE557C"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6422451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1C19BC3" w14:textId="77777777" w:rsidR="007D706A" w:rsidRDefault="007D706A" w:rsidP="00F70508">
            <w:pPr>
              <w:pStyle w:val="ParagraphStyle12"/>
              <w:rPr>
                <w:rStyle w:val="CharacterStyle12"/>
              </w:rPr>
            </w:pPr>
            <w:r>
              <w:rPr>
                <w:rStyle w:val="CharacterStyle12"/>
              </w:rPr>
              <w:t>65.000,00</w:t>
            </w:r>
          </w:p>
        </w:tc>
        <w:tc>
          <w:tcPr>
            <w:tcW w:w="1395" w:type="dxa"/>
            <w:tcBorders>
              <w:bottom w:val="single" w:sz="6" w:space="0" w:color="000000"/>
              <w:right w:val="single" w:sz="6" w:space="0" w:color="000000"/>
            </w:tcBorders>
            <w:vAlign w:val="center"/>
          </w:tcPr>
          <w:p w14:paraId="4B814CD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A6E05D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9E2B6E3" w14:textId="77777777" w:rsidR="007D706A" w:rsidRDefault="007D706A" w:rsidP="00F70508">
            <w:pPr>
              <w:pStyle w:val="ParagraphStyle12"/>
              <w:rPr>
                <w:rStyle w:val="CharacterStyle12"/>
              </w:rPr>
            </w:pPr>
            <w:r>
              <w:rPr>
                <w:rStyle w:val="CharacterStyle12"/>
              </w:rPr>
              <w:t>0,00</w:t>
            </w:r>
          </w:p>
        </w:tc>
      </w:tr>
      <w:tr w:rsidR="007D706A" w14:paraId="172E305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D582F2B" w14:textId="77777777" w:rsidR="007D706A" w:rsidRDefault="007D706A" w:rsidP="00F70508">
            <w:pPr>
              <w:pStyle w:val="ParagraphStyle7"/>
              <w:rPr>
                <w:rStyle w:val="CharacterStyle7"/>
              </w:rPr>
            </w:pPr>
            <w:r>
              <w:rPr>
                <w:rStyle w:val="CharacterStyle7"/>
              </w:rPr>
              <w:t>Izvor financiranja 43</w:t>
            </w:r>
          </w:p>
        </w:tc>
        <w:tc>
          <w:tcPr>
            <w:tcW w:w="4995" w:type="dxa"/>
            <w:tcBorders>
              <w:bottom w:val="single" w:sz="6" w:space="0" w:color="000000"/>
              <w:right w:val="single" w:sz="6" w:space="0" w:color="000000"/>
            </w:tcBorders>
            <w:vAlign w:val="center"/>
          </w:tcPr>
          <w:p w14:paraId="3B16832D" w14:textId="77777777" w:rsidR="007D706A" w:rsidRDefault="007D706A" w:rsidP="00F70508">
            <w:pPr>
              <w:pStyle w:val="ParagraphStyle8"/>
              <w:rPr>
                <w:rStyle w:val="CharacterStyle8"/>
              </w:rPr>
            </w:pPr>
            <w:r>
              <w:rPr>
                <w:rStyle w:val="CharacterStyle8"/>
              </w:rPr>
              <w:t>Ostali prihodi za posebne namjene</w:t>
            </w:r>
          </w:p>
        </w:tc>
        <w:tc>
          <w:tcPr>
            <w:tcW w:w="1395" w:type="dxa"/>
            <w:tcBorders>
              <w:bottom w:val="single" w:sz="6" w:space="0" w:color="000000"/>
              <w:right w:val="single" w:sz="6" w:space="0" w:color="000000"/>
            </w:tcBorders>
            <w:vAlign w:val="center"/>
          </w:tcPr>
          <w:p w14:paraId="69B3273E"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8F563D2"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9033127" w14:textId="77777777" w:rsidR="007D706A" w:rsidRDefault="007D706A" w:rsidP="00F70508">
            <w:pPr>
              <w:pStyle w:val="ParagraphStyle9"/>
              <w:rPr>
                <w:rStyle w:val="CharacterStyle9"/>
              </w:rPr>
            </w:pPr>
            <w:r>
              <w:rPr>
                <w:rStyle w:val="CharacterStyle9"/>
              </w:rPr>
              <w:t>65.000,00</w:t>
            </w:r>
          </w:p>
        </w:tc>
        <w:tc>
          <w:tcPr>
            <w:tcW w:w="1395" w:type="dxa"/>
            <w:tcBorders>
              <w:bottom w:val="single" w:sz="6" w:space="0" w:color="000000"/>
              <w:right w:val="single" w:sz="6" w:space="0" w:color="000000"/>
            </w:tcBorders>
            <w:vAlign w:val="center"/>
          </w:tcPr>
          <w:p w14:paraId="2A81720C" w14:textId="77777777" w:rsidR="007D706A" w:rsidRDefault="007D706A" w:rsidP="00F70508">
            <w:pPr>
              <w:pStyle w:val="ParagraphStyle9"/>
              <w:rPr>
                <w:rStyle w:val="CharacterStyle9"/>
              </w:rPr>
            </w:pPr>
            <w:r>
              <w:rPr>
                <w:rStyle w:val="CharacterStyle9"/>
              </w:rPr>
              <w:t>66.787,50</w:t>
            </w:r>
          </w:p>
        </w:tc>
        <w:tc>
          <w:tcPr>
            <w:tcW w:w="1395" w:type="dxa"/>
            <w:tcBorders>
              <w:bottom w:val="single" w:sz="6" w:space="0" w:color="000000"/>
              <w:right w:val="single" w:sz="6" w:space="0" w:color="000000"/>
            </w:tcBorders>
            <w:vAlign w:val="center"/>
          </w:tcPr>
          <w:p w14:paraId="4300F7C6" w14:textId="77777777" w:rsidR="007D706A" w:rsidRDefault="007D706A" w:rsidP="00F70508">
            <w:pPr>
              <w:pStyle w:val="ParagraphStyle9"/>
              <w:rPr>
                <w:rStyle w:val="CharacterStyle9"/>
              </w:rPr>
            </w:pPr>
            <w:r>
              <w:rPr>
                <w:rStyle w:val="CharacterStyle9"/>
              </w:rPr>
              <w:t>67.437,50</w:t>
            </w:r>
          </w:p>
        </w:tc>
      </w:tr>
      <w:tr w:rsidR="007D706A" w14:paraId="7F128C7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202138F"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04B54280"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38C4CB0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0AE34B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6295ADF" w14:textId="77777777" w:rsidR="007D706A" w:rsidRDefault="007D706A" w:rsidP="00F70508">
            <w:pPr>
              <w:pStyle w:val="ParagraphStyle12"/>
              <w:rPr>
                <w:rStyle w:val="CharacterStyle12"/>
              </w:rPr>
            </w:pPr>
            <w:r>
              <w:rPr>
                <w:rStyle w:val="CharacterStyle12"/>
              </w:rPr>
              <w:t>65.000,00</w:t>
            </w:r>
          </w:p>
        </w:tc>
        <w:tc>
          <w:tcPr>
            <w:tcW w:w="1395" w:type="dxa"/>
            <w:tcBorders>
              <w:bottom w:val="single" w:sz="6" w:space="0" w:color="000000"/>
              <w:right w:val="single" w:sz="6" w:space="0" w:color="000000"/>
            </w:tcBorders>
            <w:vAlign w:val="center"/>
          </w:tcPr>
          <w:p w14:paraId="5B9009BB" w14:textId="77777777" w:rsidR="007D706A" w:rsidRDefault="007D706A" w:rsidP="00F70508">
            <w:pPr>
              <w:pStyle w:val="ParagraphStyle12"/>
              <w:rPr>
                <w:rStyle w:val="CharacterStyle12"/>
              </w:rPr>
            </w:pPr>
            <w:r>
              <w:rPr>
                <w:rStyle w:val="CharacterStyle12"/>
              </w:rPr>
              <w:t>66.787,50</w:t>
            </w:r>
          </w:p>
        </w:tc>
        <w:tc>
          <w:tcPr>
            <w:tcW w:w="1395" w:type="dxa"/>
            <w:tcBorders>
              <w:bottom w:val="single" w:sz="6" w:space="0" w:color="000000"/>
              <w:right w:val="single" w:sz="6" w:space="0" w:color="000000"/>
            </w:tcBorders>
            <w:vAlign w:val="center"/>
          </w:tcPr>
          <w:p w14:paraId="3FD23A47" w14:textId="77777777" w:rsidR="007D706A" w:rsidRDefault="007D706A" w:rsidP="00F70508">
            <w:pPr>
              <w:pStyle w:val="ParagraphStyle12"/>
              <w:rPr>
                <w:rStyle w:val="CharacterStyle12"/>
              </w:rPr>
            </w:pPr>
            <w:r>
              <w:rPr>
                <w:rStyle w:val="CharacterStyle12"/>
              </w:rPr>
              <w:t>67.437,50</w:t>
            </w:r>
          </w:p>
        </w:tc>
      </w:tr>
      <w:tr w:rsidR="007D706A" w14:paraId="0FFC15C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5A450F5"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0BC28DAA"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41C1714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5226A7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45AEBEA" w14:textId="77777777" w:rsidR="007D706A" w:rsidRDefault="007D706A" w:rsidP="00F70508">
            <w:pPr>
              <w:pStyle w:val="ParagraphStyle12"/>
              <w:rPr>
                <w:rStyle w:val="CharacterStyle12"/>
              </w:rPr>
            </w:pPr>
            <w:r>
              <w:rPr>
                <w:rStyle w:val="CharacterStyle12"/>
              </w:rPr>
              <w:t>65.000,00</w:t>
            </w:r>
          </w:p>
        </w:tc>
        <w:tc>
          <w:tcPr>
            <w:tcW w:w="1395" w:type="dxa"/>
            <w:tcBorders>
              <w:bottom w:val="single" w:sz="6" w:space="0" w:color="000000"/>
              <w:right w:val="single" w:sz="6" w:space="0" w:color="000000"/>
            </w:tcBorders>
            <w:vAlign w:val="center"/>
          </w:tcPr>
          <w:p w14:paraId="2F192894" w14:textId="77777777" w:rsidR="007D706A" w:rsidRDefault="007D706A" w:rsidP="00F70508">
            <w:pPr>
              <w:pStyle w:val="ParagraphStyle12"/>
              <w:rPr>
                <w:rStyle w:val="CharacterStyle12"/>
              </w:rPr>
            </w:pPr>
            <w:r>
              <w:rPr>
                <w:rStyle w:val="CharacterStyle12"/>
              </w:rPr>
              <w:t>66.787,50</w:t>
            </w:r>
          </w:p>
        </w:tc>
        <w:tc>
          <w:tcPr>
            <w:tcW w:w="1395" w:type="dxa"/>
            <w:tcBorders>
              <w:bottom w:val="single" w:sz="6" w:space="0" w:color="000000"/>
              <w:right w:val="single" w:sz="6" w:space="0" w:color="000000"/>
            </w:tcBorders>
            <w:vAlign w:val="center"/>
          </w:tcPr>
          <w:p w14:paraId="733694EC" w14:textId="77777777" w:rsidR="007D706A" w:rsidRDefault="007D706A" w:rsidP="00F70508">
            <w:pPr>
              <w:pStyle w:val="ParagraphStyle12"/>
              <w:rPr>
                <w:rStyle w:val="CharacterStyle12"/>
              </w:rPr>
            </w:pPr>
            <w:r>
              <w:rPr>
                <w:rStyle w:val="CharacterStyle12"/>
              </w:rPr>
              <w:t>67.437,50</w:t>
            </w:r>
          </w:p>
        </w:tc>
      </w:tr>
      <w:tr w:rsidR="007D706A" w14:paraId="74F4DE0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4DD1AE2" w14:textId="77777777" w:rsidR="007D706A" w:rsidRDefault="007D706A" w:rsidP="00F70508">
            <w:pPr>
              <w:pStyle w:val="ParagraphStyle7"/>
              <w:rPr>
                <w:rStyle w:val="CharacterStyle7"/>
              </w:rPr>
            </w:pPr>
            <w:r>
              <w:rPr>
                <w:rStyle w:val="CharacterStyle7"/>
              </w:rPr>
              <w:t>Izvor financiranja 5</w:t>
            </w:r>
          </w:p>
        </w:tc>
        <w:tc>
          <w:tcPr>
            <w:tcW w:w="4995" w:type="dxa"/>
            <w:tcBorders>
              <w:bottom w:val="single" w:sz="6" w:space="0" w:color="000000"/>
              <w:right w:val="single" w:sz="6" w:space="0" w:color="000000"/>
            </w:tcBorders>
            <w:vAlign w:val="center"/>
          </w:tcPr>
          <w:p w14:paraId="415D3FE5" w14:textId="77777777" w:rsidR="007D706A" w:rsidRDefault="007D706A" w:rsidP="00F70508">
            <w:pPr>
              <w:pStyle w:val="ParagraphStyle8"/>
              <w:rPr>
                <w:rStyle w:val="CharacterStyle8"/>
              </w:rPr>
            </w:pPr>
            <w:r>
              <w:rPr>
                <w:rStyle w:val="CharacterStyle8"/>
              </w:rPr>
              <w:t>POMOĆI</w:t>
            </w:r>
          </w:p>
        </w:tc>
        <w:tc>
          <w:tcPr>
            <w:tcW w:w="1395" w:type="dxa"/>
            <w:tcBorders>
              <w:bottom w:val="single" w:sz="6" w:space="0" w:color="000000"/>
              <w:right w:val="single" w:sz="6" w:space="0" w:color="000000"/>
            </w:tcBorders>
            <w:vAlign w:val="center"/>
          </w:tcPr>
          <w:p w14:paraId="31690E55"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6579A10"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9BE20B9" w14:textId="77777777" w:rsidR="007D706A" w:rsidRDefault="007D706A" w:rsidP="00F70508">
            <w:pPr>
              <w:pStyle w:val="ParagraphStyle9"/>
              <w:rPr>
                <w:rStyle w:val="CharacterStyle9"/>
              </w:rPr>
            </w:pPr>
            <w:r>
              <w:rPr>
                <w:rStyle w:val="CharacterStyle9"/>
              </w:rPr>
              <w:t>8.205,00</w:t>
            </w:r>
          </w:p>
        </w:tc>
        <w:tc>
          <w:tcPr>
            <w:tcW w:w="1395" w:type="dxa"/>
            <w:tcBorders>
              <w:bottom w:val="single" w:sz="6" w:space="0" w:color="000000"/>
              <w:right w:val="single" w:sz="6" w:space="0" w:color="000000"/>
            </w:tcBorders>
            <w:vAlign w:val="center"/>
          </w:tcPr>
          <w:p w14:paraId="5DFA0291" w14:textId="77777777" w:rsidR="007D706A" w:rsidRDefault="007D706A" w:rsidP="00F70508">
            <w:pPr>
              <w:pStyle w:val="ParagraphStyle9"/>
              <w:rPr>
                <w:rStyle w:val="CharacterStyle9"/>
              </w:rPr>
            </w:pPr>
            <w:r>
              <w:rPr>
                <w:rStyle w:val="CharacterStyle9"/>
              </w:rPr>
              <w:t>8.430,65</w:t>
            </w:r>
          </w:p>
        </w:tc>
        <w:tc>
          <w:tcPr>
            <w:tcW w:w="1395" w:type="dxa"/>
            <w:tcBorders>
              <w:bottom w:val="single" w:sz="6" w:space="0" w:color="000000"/>
              <w:right w:val="single" w:sz="6" w:space="0" w:color="000000"/>
            </w:tcBorders>
            <w:vAlign w:val="center"/>
          </w:tcPr>
          <w:p w14:paraId="5B4158B4" w14:textId="77777777" w:rsidR="007D706A" w:rsidRDefault="007D706A" w:rsidP="00F70508">
            <w:pPr>
              <w:pStyle w:val="ParagraphStyle9"/>
              <w:rPr>
                <w:rStyle w:val="CharacterStyle9"/>
              </w:rPr>
            </w:pPr>
            <w:r>
              <w:rPr>
                <w:rStyle w:val="CharacterStyle9"/>
              </w:rPr>
              <w:t>8.512,69</w:t>
            </w:r>
          </w:p>
        </w:tc>
      </w:tr>
      <w:tr w:rsidR="007D706A" w14:paraId="7A916E9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0F6E7A4"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4B217FD4"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5F31CE9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4CF6A3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42BC23C" w14:textId="77777777" w:rsidR="007D706A" w:rsidRDefault="007D706A" w:rsidP="00F70508">
            <w:pPr>
              <w:pStyle w:val="ParagraphStyle12"/>
              <w:rPr>
                <w:rStyle w:val="CharacterStyle12"/>
              </w:rPr>
            </w:pPr>
            <w:r>
              <w:rPr>
                <w:rStyle w:val="CharacterStyle12"/>
              </w:rPr>
              <w:t>8.205,00</w:t>
            </w:r>
          </w:p>
        </w:tc>
        <w:tc>
          <w:tcPr>
            <w:tcW w:w="1395" w:type="dxa"/>
            <w:tcBorders>
              <w:bottom w:val="single" w:sz="6" w:space="0" w:color="000000"/>
              <w:right w:val="single" w:sz="6" w:space="0" w:color="000000"/>
            </w:tcBorders>
            <w:vAlign w:val="center"/>
          </w:tcPr>
          <w:p w14:paraId="4DC75F59" w14:textId="77777777" w:rsidR="007D706A" w:rsidRDefault="007D706A" w:rsidP="00F70508">
            <w:pPr>
              <w:pStyle w:val="ParagraphStyle12"/>
              <w:rPr>
                <w:rStyle w:val="CharacterStyle12"/>
              </w:rPr>
            </w:pPr>
            <w:r>
              <w:rPr>
                <w:rStyle w:val="CharacterStyle12"/>
              </w:rPr>
              <w:t>8.430,65</w:t>
            </w:r>
          </w:p>
        </w:tc>
        <w:tc>
          <w:tcPr>
            <w:tcW w:w="1395" w:type="dxa"/>
            <w:tcBorders>
              <w:bottom w:val="single" w:sz="6" w:space="0" w:color="000000"/>
              <w:right w:val="single" w:sz="6" w:space="0" w:color="000000"/>
            </w:tcBorders>
            <w:vAlign w:val="center"/>
          </w:tcPr>
          <w:p w14:paraId="74A1B45E" w14:textId="77777777" w:rsidR="007D706A" w:rsidRDefault="007D706A" w:rsidP="00F70508">
            <w:pPr>
              <w:pStyle w:val="ParagraphStyle12"/>
              <w:rPr>
                <w:rStyle w:val="CharacterStyle12"/>
              </w:rPr>
            </w:pPr>
            <w:r>
              <w:rPr>
                <w:rStyle w:val="CharacterStyle12"/>
              </w:rPr>
              <w:t>8.512,69</w:t>
            </w:r>
          </w:p>
        </w:tc>
      </w:tr>
      <w:tr w:rsidR="007D706A" w14:paraId="5249D2C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84C54D2" w14:textId="77777777" w:rsidR="007D706A" w:rsidRDefault="007D706A" w:rsidP="00F70508">
            <w:pPr>
              <w:pStyle w:val="ParagraphStyle10"/>
              <w:rPr>
                <w:rStyle w:val="CharacterStyle10"/>
              </w:rPr>
            </w:pPr>
            <w:r>
              <w:rPr>
                <w:rStyle w:val="CharacterStyle10"/>
              </w:rPr>
              <w:t>31</w:t>
            </w:r>
          </w:p>
        </w:tc>
        <w:tc>
          <w:tcPr>
            <w:tcW w:w="4995" w:type="dxa"/>
            <w:tcBorders>
              <w:bottom w:val="single" w:sz="6" w:space="0" w:color="000000"/>
              <w:right w:val="single" w:sz="6" w:space="0" w:color="000000"/>
            </w:tcBorders>
            <w:vAlign w:val="center"/>
          </w:tcPr>
          <w:p w14:paraId="635EDE85" w14:textId="77777777" w:rsidR="007D706A" w:rsidRDefault="007D706A" w:rsidP="00F70508">
            <w:pPr>
              <w:pStyle w:val="ParagraphStyle11"/>
              <w:rPr>
                <w:rStyle w:val="CharacterStyle11"/>
              </w:rPr>
            </w:pPr>
            <w:r>
              <w:rPr>
                <w:rStyle w:val="CharacterStyle11"/>
              </w:rPr>
              <w:t>Rashodi za zaposlene</w:t>
            </w:r>
          </w:p>
        </w:tc>
        <w:tc>
          <w:tcPr>
            <w:tcW w:w="1395" w:type="dxa"/>
            <w:tcBorders>
              <w:bottom w:val="single" w:sz="6" w:space="0" w:color="000000"/>
              <w:right w:val="single" w:sz="6" w:space="0" w:color="000000"/>
            </w:tcBorders>
            <w:vAlign w:val="center"/>
          </w:tcPr>
          <w:p w14:paraId="498B732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5CE5D8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8E748F4" w14:textId="77777777" w:rsidR="007D706A" w:rsidRDefault="007D706A" w:rsidP="00F70508">
            <w:pPr>
              <w:pStyle w:val="ParagraphStyle12"/>
              <w:rPr>
                <w:rStyle w:val="CharacterStyle12"/>
              </w:rPr>
            </w:pPr>
            <w:r>
              <w:rPr>
                <w:rStyle w:val="CharacterStyle12"/>
              </w:rPr>
              <w:t>770,00</w:t>
            </w:r>
          </w:p>
        </w:tc>
        <w:tc>
          <w:tcPr>
            <w:tcW w:w="1395" w:type="dxa"/>
            <w:tcBorders>
              <w:bottom w:val="single" w:sz="6" w:space="0" w:color="000000"/>
              <w:right w:val="single" w:sz="6" w:space="0" w:color="000000"/>
            </w:tcBorders>
            <w:vAlign w:val="center"/>
          </w:tcPr>
          <w:p w14:paraId="3BE69FF8" w14:textId="77777777" w:rsidR="007D706A" w:rsidRDefault="007D706A" w:rsidP="00F70508">
            <w:pPr>
              <w:pStyle w:val="ParagraphStyle12"/>
              <w:rPr>
                <w:rStyle w:val="CharacterStyle12"/>
              </w:rPr>
            </w:pPr>
            <w:r>
              <w:rPr>
                <w:rStyle w:val="CharacterStyle12"/>
              </w:rPr>
              <w:t>791,17</w:t>
            </w:r>
          </w:p>
        </w:tc>
        <w:tc>
          <w:tcPr>
            <w:tcW w:w="1395" w:type="dxa"/>
            <w:tcBorders>
              <w:bottom w:val="single" w:sz="6" w:space="0" w:color="000000"/>
              <w:right w:val="single" w:sz="6" w:space="0" w:color="000000"/>
            </w:tcBorders>
            <w:vAlign w:val="center"/>
          </w:tcPr>
          <w:p w14:paraId="1993B314" w14:textId="77777777" w:rsidR="007D706A" w:rsidRDefault="007D706A" w:rsidP="00F70508">
            <w:pPr>
              <w:pStyle w:val="ParagraphStyle12"/>
              <w:rPr>
                <w:rStyle w:val="CharacterStyle12"/>
              </w:rPr>
            </w:pPr>
            <w:r>
              <w:rPr>
                <w:rStyle w:val="CharacterStyle12"/>
              </w:rPr>
              <w:t>798,87</w:t>
            </w:r>
          </w:p>
        </w:tc>
      </w:tr>
      <w:tr w:rsidR="007D706A" w14:paraId="09C8F84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527947F"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0A78D08A"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57E4F01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4DC41E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0DA268C" w14:textId="77777777" w:rsidR="007D706A" w:rsidRDefault="007D706A" w:rsidP="00F70508">
            <w:pPr>
              <w:pStyle w:val="ParagraphStyle12"/>
              <w:rPr>
                <w:rStyle w:val="CharacterStyle12"/>
              </w:rPr>
            </w:pPr>
            <w:r>
              <w:rPr>
                <w:rStyle w:val="CharacterStyle12"/>
              </w:rPr>
              <w:t>7.435,00</w:t>
            </w:r>
          </w:p>
        </w:tc>
        <w:tc>
          <w:tcPr>
            <w:tcW w:w="1395" w:type="dxa"/>
            <w:tcBorders>
              <w:bottom w:val="single" w:sz="6" w:space="0" w:color="000000"/>
              <w:right w:val="single" w:sz="6" w:space="0" w:color="000000"/>
            </w:tcBorders>
            <w:vAlign w:val="center"/>
          </w:tcPr>
          <w:p w14:paraId="1C058F98" w14:textId="77777777" w:rsidR="007D706A" w:rsidRDefault="007D706A" w:rsidP="00F70508">
            <w:pPr>
              <w:pStyle w:val="ParagraphStyle12"/>
              <w:rPr>
                <w:rStyle w:val="CharacterStyle12"/>
              </w:rPr>
            </w:pPr>
            <w:r>
              <w:rPr>
                <w:rStyle w:val="CharacterStyle12"/>
              </w:rPr>
              <w:t>7.639,48</w:t>
            </w:r>
          </w:p>
        </w:tc>
        <w:tc>
          <w:tcPr>
            <w:tcW w:w="1395" w:type="dxa"/>
            <w:tcBorders>
              <w:bottom w:val="single" w:sz="6" w:space="0" w:color="000000"/>
              <w:right w:val="single" w:sz="6" w:space="0" w:color="000000"/>
            </w:tcBorders>
            <w:vAlign w:val="center"/>
          </w:tcPr>
          <w:p w14:paraId="1C627FAE" w14:textId="77777777" w:rsidR="007D706A" w:rsidRDefault="007D706A" w:rsidP="00F70508">
            <w:pPr>
              <w:pStyle w:val="ParagraphStyle12"/>
              <w:rPr>
                <w:rStyle w:val="CharacterStyle12"/>
              </w:rPr>
            </w:pPr>
            <w:r>
              <w:rPr>
                <w:rStyle w:val="CharacterStyle12"/>
              </w:rPr>
              <w:t>7.713,82</w:t>
            </w:r>
          </w:p>
        </w:tc>
      </w:tr>
      <w:tr w:rsidR="007D706A" w14:paraId="378546B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DEA5D63" w14:textId="77777777" w:rsidR="007D706A" w:rsidRDefault="007D706A" w:rsidP="00F70508">
            <w:pPr>
              <w:pStyle w:val="ParagraphStyle7"/>
              <w:rPr>
                <w:rStyle w:val="CharacterStyle7"/>
              </w:rPr>
            </w:pPr>
            <w:r>
              <w:rPr>
                <w:rStyle w:val="CharacterStyle7"/>
              </w:rPr>
              <w:t>Izvor financiranja 50</w:t>
            </w:r>
          </w:p>
        </w:tc>
        <w:tc>
          <w:tcPr>
            <w:tcW w:w="4995" w:type="dxa"/>
            <w:tcBorders>
              <w:bottom w:val="single" w:sz="6" w:space="0" w:color="000000"/>
              <w:right w:val="single" w:sz="6" w:space="0" w:color="000000"/>
            </w:tcBorders>
            <w:vAlign w:val="center"/>
          </w:tcPr>
          <w:p w14:paraId="230DA0BE" w14:textId="77777777" w:rsidR="007D706A" w:rsidRDefault="007D706A" w:rsidP="00F70508">
            <w:pPr>
              <w:pStyle w:val="ParagraphStyle8"/>
              <w:rPr>
                <w:rStyle w:val="CharacterStyle8"/>
              </w:rPr>
            </w:pPr>
            <w:r>
              <w:rPr>
                <w:rStyle w:val="CharacterStyle8"/>
              </w:rPr>
              <w:t>Pomoći iz državnog proračuna</w:t>
            </w:r>
          </w:p>
        </w:tc>
        <w:tc>
          <w:tcPr>
            <w:tcW w:w="1395" w:type="dxa"/>
            <w:tcBorders>
              <w:bottom w:val="single" w:sz="6" w:space="0" w:color="000000"/>
              <w:right w:val="single" w:sz="6" w:space="0" w:color="000000"/>
            </w:tcBorders>
            <w:vAlign w:val="center"/>
          </w:tcPr>
          <w:p w14:paraId="5CDC6393"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DE4F458"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37E83B3" w14:textId="77777777" w:rsidR="007D706A" w:rsidRDefault="007D706A" w:rsidP="00F70508">
            <w:pPr>
              <w:pStyle w:val="ParagraphStyle9"/>
              <w:rPr>
                <w:rStyle w:val="CharacterStyle9"/>
              </w:rPr>
            </w:pPr>
            <w:r>
              <w:rPr>
                <w:rStyle w:val="CharacterStyle9"/>
              </w:rPr>
              <w:t>6.395,00</w:t>
            </w:r>
          </w:p>
        </w:tc>
        <w:tc>
          <w:tcPr>
            <w:tcW w:w="1395" w:type="dxa"/>
            <w:tcBorders>
              <w:bottom w:val="single" w:sz="6" w:space="0" w:color="000000"/>
              <w:right w:val="single" w:sz="6" w:space="0" w:color="000000"/>
            </w:tcBorders>
            <w:vAlign w:val="center"/>
          </w:tcPr>
          <w:p w14:paraId="478F388D" w14:textId="77777777" w:rsidR="007D706A" w:rsidRDefault="007D706A" w:rsidP="00F70508">
            <w:pPr>
              <w:pStyle w:val="ParagraphStyle9"/>
              <w:rPr>
                <w:rStyle w:val="CharacterStyle9"/>
              </w:rPr>
            </w:pPr>
            <w:r>
              <w:rPr>
                <w:rStyle w:val="CharacterStyle9"/>
              </w:rPr>
              <w:t>6.570,86</w:t>
            </w:r>
          </w:p>
        </w:tc>
        <w:tc>
          <w:tcPr>
            <w:tcW w:w="1395" w:type="dxa"/>
            <w:tcBorders>
              <w:bottom w:val="single" w:sz="6" w:space="0" w:color="000000"/>
              <w:right w:val="single" w:sz="6" w:space="0" w:color="000000"/>
            </w:tcBorders>
            <w:vAlign w:val="center"/>
          </w:tcPr>
          <w:p w14:paraId="5C7960D9" w14:textId="77777777" w:rsidR="007D706A" w:rsidRDefault="007D706A" w:rsidP="00F70508">
            <w:pPr>
              <w:pStyle w:val="ParagraphStyle9"/>
              <w:rPr>
                <w:rStyle w:val="CharacterStyle9"/>
              </w:rPr>
            </w:pPr>
            <w:r>
              <w:rPr>
                <w:rStyle w:val="CharacterStyle9"/>
              </w:rPr>
              <w:t>6.634,81</w:t>
            </w:r>
          </w:p>
        </w:tc>
      </w:tr>
      <w:tr w:rsidR="007D706A" w14:paraId="06DC895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EF5B052"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027A003A"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1D675AA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10DB19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563583C" w14:textId="77777777" w:rsidR="007D706A" w:rsidRDefault="007D706A" w:rsidP="00F70508">
            <w:pPr>
              <w:pStyle w:val="ParagraphStyle12"/>
              <w:rPr>
                <w:rStyle w:val="CharacterStyle12"/>
              </w:rPr>
            </w:pPr>
            <w:r>
              <w:rPr>
                <w:rStyle w:val="CharacterStyle12"/>
              </w:rPr>
              <w:t>6.395,00</w:t>
            </w:r>
          </w:p>
        </w:tc>
        <w:tc>
          <w:tcPr>
            <w:tcW w:w="1395" w:type="dxa"/>
            <w:tcBorders>
              <w:bottom w:val="single" w:sz="6" w:space="0" w:color="000000"/>
              <w:right w:val="single" w:sz="6" w:space="0" w:color="000000"/>
            </w:tcBorders>
            <w:vAlign w:val="center"/>
          </w:tcPr>
          <w:p w14:paraId="6F3CAFDD" w14:textId="77777777" w:rsidR="007D706A" w:rsidRDefault="007D706A" w:rsidP="00F70508">
            <w:pPr>
              <w:pStyle w:val="ParagraphStyle12"/>
              <w:rPr>
                <w:rStyle w:val="CharacterStyle12"/>
              </w:rPr>
            </w:pPr>
            <w:r>
              <w:rPr>
                <w:rStyle w:val="CharacterStyle12"/>
              </w:rPr>
              <w:t>6.570,86</w:t>
            </w:r>
          </w:p>
        </w:tc>
        <w:tc>
          <w:tcPr>
            <w:tcW w:w="1395" w:type="dxa"/>
            <w:tcBorders>
              <w:bottom w:val="single" w:sz="6" w:space="0" w:color="000000"/>
              <w:right w:val="single" w:sz="6" w:space="0" w:color="000000"/>
            </w:tcBorders>
            <w:vAlign w:val="center"/>
          </w:tcPr>
          <w:p w14:paraId="0633A8BA" w14:textId="77777777" w:rsidR="007D706A" w:rsidRDefault="007D706A" w:rsidP="00F70508">
            <w:pPr>
              <w:pStyle w:val="ParagraphStyle12"/>
              <w:rPr>
                <w:rStyle w:val="CharacterStyle12"/>
              </w:rPr>
            </w:pPr>
            <w:r>
              <w:rPr>
                <w:rStyle w:val="CharacterStyle12"/>
              </w:rPr>
              <w:t>6.634,81</w:t>
            </w:r>
          </w:p>
        </w:tc>
      </w:tr>
      <w:tr w:rsidR="007D706A" w14:paraId="47228EAF" w14:textId="77777777" w:rsidTr="00F70508">
        <w:trPr>
          <w:trHeight w:val="405"/>
        </w:trPr>
        <w:tc>
          <w:tcPr>
            <w:tcW w:w="2880" w:type="dxa"/>
            <w:tcBorders>
              <w:left w:val="single" w:sz="6" w:space="0" w:color="000000"/>
              <w:bottom w:val="single" w:sz="6" w:space="0" w:color="000000"/>
              <w:right w:val="single" w:sz="6" w:space="0" w:color="000000"/>
            </w:tcBorders>
            <w:vAlign w:val="center"/>
          </w:tcPr>
          <w:p w14:paraId="558E8B8D" w14:textId="77777777" w:rsidR="007D706A" w:rsidRDefault="007D706A" w:rsidP="00F70508">
            <w:pPr>
              <w:pStyle w:val="ParagraphStyle10"/>
              <w:rPr>
                <w:rStyle w:val="CharacterStyle10"/>
              </w:rPr>
            </w:pPr>
            <w:r>
              <w:rPr>
                <w:rStyle w:val="CharacterStyle10"/>
              </w:rPr>
              <w:t>37</w:t>
            </w:r>
          </w:p>
        </w:tc>
        <w:tc>
          <w:tcPr>
            <w:tcW w:w="4995" w:type="dxa"/>
            <w:tcBorders>
              <w:bottom w:val="single" w:sz="6" w:space="0" w:color="000000"/>
              <w:right w:val="single" w:sz="6" w:space="0" w:color="000000"/>
            </w:tcBorders>
            <w:vAlign w:val="center"/>
          </w:tcPr>
          <w:p w14:paraId="588C8719" w14:textId="77777777" w:rsidR="007D706A" w:rsidRDefault="007D706A" w:rsidP="00F70508">
            <w:pPr>
              <w:pStyle w:val="ParagraphStyle11"/>
              <w:rPr>
                <w:rStyle w:val="CharacterStyle11"/>
              </w:rPr>
            </w:pPr>
            <w:r>
              <w:rPr>
                <w:rStyle w:val="CharacterStyle11"/>
              </w:rPr>
              <w:t>Naknade građanima i kućanstvima na temelju osiguranja i druge naknade</w:t>
            </w:r>
          </w:p>
        </w:tc>
        <w:tc>
          <w:tcPr>
            <w:tcW w:w="1395" w:type="dxa"/>
            <w:tcBorders>
              <w:bottom w:val="single" w:sz="6" w:space="0" w:color="000000"/>
              <w:right w:val="single" w:sz="6" w:space="0" w:color="000000"/>
            </w:tcBorders>
            <w:vAlign w:val="center"/>
          </w:tcPr>
          <w:p w14:paraId="2227B2F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80A2C6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956A131" w14:textId="77777777" w:rsidR="007D706A" w:rsidRDefault="007D706A" w:rsidP="00F70508">
            <w:pPr>
              <w:pStyle w:val="ParagraphStyle12"/>
              <w:rPr>
                <w:rStyle w:val="CharacterStyle12"/>
              </w:rPr>
            </w:pPr>
            <w:r>
              <w:rPr>
                <w:rStyle w:val="CharacterStyle12"/>
              </w:rPr>
              <w:t>5.000,00</w:t>
            </w:r>
          </w:p>
        </w:tc>
        <w:tc>
          <w:tcPr>
            <w:tcW w:w="1395" w:type="dxa"/>
            <w:tcBorders>
              <w:bottom w:val="single" w:sz="6" w:space="0" w:color="000000"/>
              <w:right w:val="single" w:sz="6" w:space="0" w:color="000000"/>
            </w:tcBorders>
            <w:vAlign w:val="center"/>
          </w:tcPr>
          <w:p w14:paraId="3B72C7F7" w14:textId="77777777" w:rsidR="007D706A" w:rsidRDefault="007D706A" w:rsidP="00F70508">
            <w:pPr>
              <w:pStyle w:val="ParagraphStyle12"/>
              <w:rPr>
                <w:rStyle w:val="CharacterStyle12"/>
              </w:rPr>
            </w:pPr>
            <w:r>
              <w:rPr>
                <w:rStyle w:val="CharacterStyle12"/>
              </w:rPr>
              <w:t>5.137,50</w:t>
            </w:r>
          </w:p>
        </w:tc>
        <w:tc>
          <w:tcPr>
            <w:tcW w:w="1395" w:type="dxa"/>
            <w:tcBorders>
              <w:bottom w:val="single" w:sz="6" w:space="0" w:color="000000"/>
              <w:right w:val="single" w:sz="6" w:space="0" w:color="000000"/>
            </w:tcBorders>
            <w:vAlign w:val="center"/>
          </w:tcPr>
          <w:p w14:paraId="3D6E2F8A" w14:textId="77777777" w:rsidR="007D706A" w:rsidRDefault="007D706A" w:rsidP="00F70508">
            <w:pPr>
              <w:pStyle w:val="ParagraphStyle12"/>
              <w:rPr>
                <w:rStyle w:val="CharacterStyle12"/>
              </w:rPr>
            </w:pPr>
            <w:r>
              <w:rPr>
                <w:rStyle w:val="CharacterStyle12"/>
              </w:rPr>
              <w:t>5.187,50</w:t>
            </w:r>
          </w:p>
        </w:tc>
      </w:tr>
      <w:tr w:rsidR="007D706A" w14:paraId="499E1C2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3C8A957" w14:textId="77777777" w:rsidR="007D706A" w:rsidRDefault="007D706A" w:rsidP="00F70508">
            <w:pPr>
              <w:pStyle w:val="ParagraphStyle10"/>
              <w:rPr>
                <w:rStyle w:val="CharacterStyle10"/>
              </w:rPr>
            </w:pPr>
            <w:r>
              <w:rPr>
                <w:rStyle w:val="CharacterStyle10"/>
              </w:rPr>
              <w:t>38</w:t>
            </w:r>
          </w:p>
        </w:tc>
        <w:tc>
          <w:tcPr>
            <w:tcW w:w="4995" w:type="dxa"/>
            <w:tcBorders>
              <w:bottom w:val="single" w:sz="6" w:space="0" w:color="000000"/>
              <w:right w:val="single" w:sz="6" w:space="0" w:color="000000"/>
            </w:tcBorders>
            <w:vAlign w:val="center"/>
          </w:tcPr>
          <w:p w14:paraId="14153950" w14:textId="77777777" w:rsidR="007D706A" w:rsidRDefault="007D706A" w:rsidP="00F70508">
            <w:pPr>
              <w:pStyle w:val="ParagraphStyle11"/>
              <w:rPr>
                <w:rStyle w:val="CharacterStyle11"/>
              </w:rPr>
            </w:pPr>
            <w:r>
              <w:rPr>
                <w:rStyle w:val="CharacterStyle11"/>
              </w:rPr>
              <w:t>Rashodi za donacije, kazne, naknade šteta i kapitalne pomoći</w:t>
            </w:r>
          </w:p>
        </w:tc>
        <w:tc>
          <w:tcPr>
            <w:tcW w:w="1395" w:type="dxa"/>
            <w:tcBorders>
              <w:bottom w:val="single" w:sz="6" w:space="0" w:color="000000"/>
              <w:right w:val="single" w:sz="6" w:space="0" w:color="000000"/>
            </w:tcBorders>
            <w:vAlign w:val="center"/>
          </w:tcPr>
          <w:p w14:paraId="0D44693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4850A7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EEF6CDE" w14:textId="77777777" w:rsidR="007D706A" w:rsidRDefault="007D706A" w:rsidP="00F70508">
            <w:pPr>
              <w:pStyle w:val="ParagraphStyle12"/>
              <w:rPr>
                <w:rStyle w:val="CharacterStyle12"/>
              </w:rPr>
            </w:pPr>
            <w:r>
              <w:rPr>
                <w:rStyle w:val="CharacterStyle12"/>
              </w:rPr>
              <w:t>1.395,00</w:t>
            </w:r>
          </w:p>
        </w:tc>
        <w:tc>
          <w:tcPr>
            <w:tcW w:w="1395" w:type="dxa"/>
            <w:tcBorders>
              <w:bottom w:val="single" w:sz="6" w:space="0" w:color="000000"/>
              <w:right w:val="single" w:sz="6" w:space="0" w:color="000000"/>
            </w:tcBorders>
            <w:vAlign w:val="center"/>
          </w:tcPr>
          <w:p w14:paraId="5230613B" w14:textId="77777777" w:rsidR="007D706A" w:rsidRDefault="007D706A" w:rsidP="00F70508">
            <w:pPr>
              <w:pStyle w:val="ParagraphStyle12"/>
              <w:rPr>
                <w:rStyle w:val="CharacterStyle12"/>
              </w:rPr>
            </w:pPr>
            <w:r>
              <w:rPr>
                <w:rStyle w:val="CharacterStyle12"/>
              </w:rPr>
              <w:t>1.433,36</w:t>
            </w:r>
          </w:p>
        </w:tc>
        <w:tc>
          <w:tcPr>
            <w:tcW w:w="1395" w:type="dxa"/>
            <w:tcBorders>
              <w:bottom w:val="single" w:sz="6" w:space="0" w:color="000000"/>
              <w:right w:val="single" w:sz="6" w:space="0" w:color="000000"/>
            </w:tcBorders>
            <w:vAlign w:val="center"/>
          </w:tcPr>
          <w:p w14:paraId="250EF372" w14:textId="77777777" w:rsidR="007D706A" w:rsidRDefault="007D706A" w:rsidP="00F70508">
            <w:pPr>
              <w:pStyle w:val="ParagraphStyle12"/>
              <w:rPr>
                <w:rStyle w:val="CharacterStyle12"/>
              </w:rPr>
            </w:pPr>
            <w:r>
              <w:rPr>
                <w:rStyle w:val="CharacterStyle12"/>
              </w:rPr>
              <w:t>1.447,31</w:t>
            </w:r>
          </w:p>
        </w:tc>
      </w:tr>
      <w:tr w:rsidR="007D706A" w14:paraId="55A259A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1ABDA4A" w14:textId="77777777" w:rsidR="007D706A" w:rsidRDefault="007D706A" w:rsidP="00F70508">
            <w:pPr>
              <w:pStyle w:val="ParagraphStyle7"/>
              <w:rPr>
                <w:rStyle w:val="CharacterStyle7"/>
              </w:rPr>
            </w:pPr>
            <w:r>
              <w:rPr>
                <w:rStyle w:val="CharacterStyle7"/>
              </w:rPr>
              <w:t>Izvor financiranja 510</w:t>
            </w:r>
          </w:p>
        </w:tc>
        <w:tc>
          <w:tcPr>
            <w:tcW w:w="4995" w:type="dxa"/>
            <w:tcBorders>
              <w:bottom w:val="single" w:sz="6" w:space="0" w:color="000000"/>
              <w:right w:val="single" w:sz="6" w:space="0" w:color="000000"/>
            </w:tcBorders>
            <w:vAlign w:val="center"/>
          </w:tcPr>
          <w:p w14:paraId="48E230F5" w14:textId="77777777" w:rsidR="007D706A" w:rsidRDefault="007D706A" w:rsidP="00F70508">
            <w:pPr>
              <w:pStyle w:val="ParagraphStyle8"/>
              <w:rPr>
                <w:rStyle w:val="CharacterStyle8"/>
              </w:rPr>
            </w:pPr>
            <w:r>
              <w:rPr>
                <w:rStyle w:val="CharacterStyle8"/>
              </w:rPr>
              <w:t>Programi Unije - proračunski korisnici</w:t>
            </w:r>
          </w:p>
        </w:tc>
        <w:tc>
          <w:tcPr>
            <w:tcW w:w="1395" w:type="dxa"/>
            <w:tcBorders>
              <w:bottom w:val="single" w:sz="6" w:space="0" w:color="000000"/>
              <w:right w:val="single" w:sz="6" w:space="0" w:color="000000"/>
            </w:tcBorders>
            <w:vAlign w:val="center"/>
          </w:tcPr>
          <w:p w14:paraId="287D0C4F"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04DFC5A"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AD6F7BE" w14:textId="77777777" w:rsidR="007D706A" w:rsidRDefault="007D706A" w:rsidP="00F70508">
            <w:pPr>
              <w:pStyle w:val="ParagraphStyle9"/>
              <w:rPr>
                <w:rStyle w:val="CharacterStyle9"/>
              </w:rPr>
            </w:pPr>
            <w:r>
              <w:rPr>
                <w:rStyle w:val="CharacterStyle9"/>
              </w:rPr>
              <w:t>132.000,00</w:t>
            </w:r>
          </w:p>
        </w:tc>
        <w:tc>
          <w:tcPr>
            <w:tcW w:w="1395" w:type="dxa"/>
            <w:tcBorders>
              <w:bottom w:val="single" w:sz="6" w:space="0" w:color="000000"/>
              <w:right w:val="single" w:sz="6" w:space="0" w:color="000000"/>
            </w:tcBorders>
            <w:vAlign w:val="center"/>
          </w:tcPr>
          <w:p w14:paraId="13EAEED8" w14:textId="77777777" w:rsidR="007D706A" w:rsidRDefault="007D706A" w:rsidP="00F70508">
            <w:pPr>
              <w:pStyle w:val="ParagraphStyle9"/>
              <w:rPr>
                <w:rStyle w:val="CharacterStyle9"/>
              </w:rPr>
            </w:pPr>
            <w:r>
              <w:rPr>
                <w:rStyle w:val="CharacterStyle9"/>
              </w:rPr>
              <w:t>71.925,00</w:t>
            </w:r>
          </w:p>
        </w:tc>
        <w:tc>
          <w:tcPr>
            <w:tcW w:w="1395" w:type="dxa"/>
            <w:tcBorders>
              <w:bottom w:val="single" w:sz="6" w:space="0" w:color="000000"/>
              <w:right w:val="single" w:sz="6" w:space="0" w:color="000000"/>
            </w:tcBorders>
            <w:vAlign w:val="center"/>
          </w:tcPr>
          <w:p w14:paraId="36D99E80" w14:textId="77777777" w:rsidR="007D706A" w:rsidRDefault="007D706A" w:rsidP="00F70508">
            <w:pPr>
              <w:pStyle w:val="ParagraphStyle9"/>
              <w:rPr>
                <w:rStyle w:val="CharacterStyle9"/>
              </w:rPr>
            </w:pPr>
            <w:r>
              <w:rPr>
                <w:rStyle w:val="CharacterStyle9"/>
              </w:rPr>
              <w:t>72.625,00</w:t>
            </w:r>
          </w:p>
        </w:tc>
      </w:tr>
      <w:tr w:rsidR="007D706A" w14:paraId="7765B0E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05674F8"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1FD2405D"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5FFBE35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D4D32E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5A5DD5E" w14:textId="77777777" w:rsidR="007D706A" w:rsidRDefault="007D706A" w:rsidP="00F70508">
            <w:pPr>
              <w:pStyle w:val="ParagraphStyle12"/>
              <w:rPr>
                <w:rStyle w:val="CharacterStyle12"/>
              </w:rPr>
            </w:pPr>
            <w:r>
              <w:rPr>
                <w:rStyle w:val="CharacterStyle12"/>
              </w:rPr>
              <w:t>132.000,00</w:t>
            </w:r>
          </w:p>
        </w:tc>
        <w:tc>
          <w:tcPr>
            <w:tcW w:w="1395" w:type="dxa"/>
            <w:tcBorders>
              <w:bottom w:val="single" w:sz="6" w:space="0" w:color="000000"/>
              <w:right w:val="single" w:sz="6" w:space="0" w:color="000000"/>
            </w:tcBorders>
            <w:vAlign w:val="center"/>
          </w:tcPr>
          <w:p w14:paraId="772A541C" w14:textId="77777777" w:rsidR="007D706A" w:rsidRDefault="007D706A" w:rsidP="00F70508">
            <w:pPr>
              <w:pStyle w:val="ParagraphStyle12"/>
              <w:rPr>
                <w:rStyle w:val="CharacterStyle12"/>
              </w:rPr>
            </w:pPr>
            <w:r>
              <w:rPr>
                <w:rStyle w:val="CharacterStyle12"/>
              </w:rPr>
              <w:t>71.925,00</w:t>
            </w:r>
          </w:p>
        </w:tc>
        <w:tc>
          <w:tcPr>
            <w:tcW w:w="1395" w:type="dxa"/>
            <w:tcBorders>
              <w:bottom w:val="single" w:sz="6" w:space="0" w:color="000000"/>
              <w:right w:val="single" w:sz="6" w:space="0" w:color="000000"/>
            </w:tcBorders>
            <w:vAlign w:val="center"/>
          </w:tcPr>
          <w:p w14:paraId="2DE9A4D8" w14:textId="77777777" w:rsidR="007D706A" w:rsidRDefault="007D706A" w:rsidP="00F70508">
            <w:pPr>
              <w:pStyle w:val="ParagraphStyle12"/>
              <w:rPr>
                <w:rStyle w:val="CharacterStyle12"/>
              </w:rPr>
            </w:pPr>
            <w:r>
              <w:rPr>
                <w:rStyle w:val="CharacterStyle12"/>
              </w:rPr>
              <w:t>72.625,00</w:t>
            </w:r>
          </w:p>
        </w:tc>
      </w:tr>
      <w:tr w:rsidR="007D706A" w14:paraId="2D19601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33FB3B5" w14:textId="77777777" w:rsidR="007D706A" w:rsidRDefault="007D706A" w:rsidP="00F70508">
            <w:pPr>
              <w:pStyle w:val="ParagraphStyle10"/>
              <w:rPr>
                <w:rStyle w:val="CharacterStyle10"/>
              </w:rPr>
            </w:pPr>
            <w:r>
              <w:rPr>
                <w:rStyle w:val="CharacterStyle10"/>
              </w:rPr>
              <w:t>31</w:t>
            </w:r>
          </w:p>
        </w:tc>
        <w:tc>
          <w:tcPr>
            <w:tcW w:w="4995" w:type="dxa"/>
            <w:tcBorders>
              <w:bottom w:val="single" w:sz="6" w:space="0" w:color="000000"/>
              <w:right w:val="single" w:sz="6" w:space="0" w:color="000000"/>
            </w:tcBorders>
            <w:vAlign w:val="center"/>
          </w:tcPr>
          <w:p w14:paraId="0DDDE5EC" w14:textId="77777777" w:rsidR="007D706A" w:rsidRDefault="007D706A" w:rsidP="00F70508">
            <w:pPr>
              <w:pStyle w:val="ParagraphStyle11"/>
              <w:rPr>
                <w:rStyle w:val="CharacterStyle11"/>
              </w:rPr>
            </w:pPr>
            <w:r>
              <w:rPr>
                <w:rStyle w:val="CharacterStyle11"/>
              </w:rPr>
              <w:t>Rashodi za zaposlene</w:t>
            </w:r>
          </w:p>
        </w:tc>
        <w:tc>
          <w:tcPr>
            <w:tcW w:w="1395" w:type="dxa"/>
            <w:tcBorders>
              <w:bottom w:val="single" w:sz="6" w:space="0" w:color="000000"/>
              <w:right w:val="single" w:sz="6" w:space="0" w:color="000000"/>
            </w:tcBorders>
            <w:vAlign w:val="center"/>
          </w:tcPr>
          <w:p w14:paraId="14CA46E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F0FFB2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3227663" w14:textId="77777777" w:rsidR="007D706A" w:rsidRDefault="007D706A" w:rsidP="00F70508">
            <w:pPr>
              <w:pStyle w:val="ParagraphStyle12"/>
              <w:rPr>
                <w:rStyle w:val="CharacterStyle12"/>
              </w:rPr>
            </w:pPr>
            <w:r>
              <w:rPr>
                <w:rStyle w:val="CharacterStyle12"/>
              </w:rPr>
              <w:t>2.500,00</w:t>
            </w:r>
          </w:p>
        </w:tc>
        <w:tc>
          <w:tcPr>
            <w:tcW w:w="1395" w:type="dxa"/>
            <w:tcBorders>
              <w:bottom w:val="single" w:sz="6" w:space="0" w:color="000000"/>
              <w:right w:val="single" w:sz="6" w:space="0" w:color="000000"/>
            </w:tcBorders>
            <w:vAlign w:val="center"/>
          </w:tcPr>
          <w:p w14:paraId="2C24736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D6D1709" w14:textId="77777777" w:rsidR="007D706A" w:rsidRDefault="007D706A" w:rsidP="00F70508">
            <w:pPr>
              <w:pStyle w:val="ParagraphStyle12"/>
              <w:rPr>
                <w:rStyle w:val="CharacterStyle12"/>
              </w:rPr>
            </w:pPr>
            <w:r>
              <w:rPr>
                <w:rStyle w:val="CharacterStyle12"/>
              </w:rPr>
              <w:t>0,00</w:t>
            </w:r>
          </w:p>
        </w:tc>
      </w:tr>
      <w:tr w:rsidR="007D706A" w14:paraId="37F47C0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188A940"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32D1D3FE"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36BE85A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61A0AF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0249C5F" w14:textId="77777777" w:rsidR="007D706A" w:rsidRDefault="007D706A" w:rsidP="00F70508">
            <w:pPr>
              <w:pStyle w:val="ParagraphStyle12"/>
              <w:rPr>
                <w:rStyle w:val="CharacterStyle12"/>
              </w:rPr>
            </w:pPr>
            <w:r>
              <w:rPr>
                <w:rStyle w:val="CharacterStyle12"/>
              </w:rPr>
              <w:t>129.200,00</w:t>
            </w:r>
          </w:p>
        </w:tc>
        <w:tc>
          <w:tcPr>
            <w:tcW w:w="1395" w:type="dxa"/>
            <w:tcBorders>
              <w:bottom w:val="single" w:sz="6" w:space="0" w:color="000000"/>
              <w:right w:val="single" w:sz="6" w:space="0" w:color="000000"/>
            </w:tcBorders>
            <w:vAlign w:val="center"/>
          </w:tcPr>
          <w:p w14:paraId="478FCA25" w14:textId="77777777" w:rsidR="007D706A" w:rsidRDefault="007D706A" w:rsidP="00F70508">
            <w:pPr>
              <w:pStyle w:val="ParagraphStyle12"/>
              <w:rPr>
                <w:rStyle w:val="CharacterStyle12"/>
              </w:rPr>
            </w:pPr>
            <w:r>
              <w:rPr>
                <w:rStyle w:val="CharacterStyle12"/>
              </w:rPr>
              <w:t>71.925,00</w:t>
            </w:r>
          </w:p>
        </w:tc>
        <w:tc>
          <w:tcPr>
            <w:tcW w:w="1395" w:type="dxa"/>
            <w:tcBorders>
              <w:bottom w:val="single" w:sz="6" w:space="0" w:color="000000"/>
              <w:right w:val="single" w:sz="6" w:space="0" w:color="000000"/>
            </w:tcBorders>
            <w:vAlign w:val="center"/>
          </w:tcPr>
          <w:p w14:paraId="724ABAFD" w14:textId="77777777" w:rsidR="007D706A" w:rsidRDefault="007D706A" w:rsidP="00F70508">
            <w:pPr>
              <w:pStyle w:val="ParagraphStyle12"/>
              <w:rPr>
                <w:rStyle w:val="CharacterStyle12"/>
              </w:rPr>
            </w:pPr>
            <w:r>
              <w:rPr>
                <w:rStyle w:val="CharacterStyle12"/>
              </w:rPr>
              <w:t>72.625,00</w:t>
            </w:r>
          </w:p>
        </w:tc>
      </w:tr>
      <w:tr w:rsidR="007D706A" w14:paraId="788B67D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947567D" w14:textId="77777777" w:rsidR="007D706A" w:rsidRDefault="007D706A" w:rsidP="00F70508">
            <w:pPr>
              <w:pStyle w:val="ParagraphStyle10"/>
              <w:rPr>
                <w:rStyle w:val="CharacterStyle10"/>
              </w:rPr>
            </w:pPr>
            <w:r>
              <w:rPr>
                <w:rStyle w:val="CharacterStyle10"/>
              </w:rPr>
              <w:t>34</w:t>
            </w:r>
          </w:p>
        </w:tc>
        <w:tc>
          <w:tcPr>
            <w:tcW w:w="4995" w:type="dxa"/>
            <w:tcBorders>
              <w:bottom w:val="single" w:sz="6" w:space="0" w:color="000000"/>
              <w:right w:val="single" w:sz="6" w:space="0" w:color="000000"/>
            </w:tcBorders>
            <w:vAlign w:val="center"/>
          </w:tcPr>
          <w:p w14:paraId="00CDBE80" w14:textId="77777777" w:rsidR="007D706A" w:rsidRDefault="007D706A" w:rsidP="00F70508">
            <w:pPr>
              <w:pStyle w:val="ParagraphStyle11"/>
              <w:rPr>
                <w:rStyle w:val="CharacterStyle11"/>
              </w:rPr>
            </w:pPr>
            <w:r>
              <w:rPr>
                <w:rStyle w:val="CharacterStyle11"/>
              </w:rPr>
              <w:t>Financijski rashodi</w:t>
            </w:r>
          </w:p>
        </w:tc>
        <w:tc>
          <w:tcPr>
            <w:tcW w:w="1395" w:type="dxa"/>
            <w:tcBorders>
              <w:bottom w:val="single" w:sz="6" w:space="0" w:color="000000"/>
              <w:right w:val="single" w:sz="6" w:space="0" w:color="000000"/>
            </w:tcBorders>
            <w:vAlign w:val="center"/>
          </w:tcPr>
          <w:p w14:paraId="7011D3B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6F5166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3699F39" w14:textId="77777777" w:rsidR="007D706A" w:rsidRDefault="007D706A" w:rsidP="00F70508">
            <w:pPr>
              <w:pStyle w:val="ParagraphStyle12"/>
              <w:rPr>
                <w:rStyle w:val="CharacterStyle12"/>
              </w:rPr>
            </w:pPr>
            <w:r>
              <w:rPr>
                <w:rStyle w:val="CharacterStyle12"/>
              </w:rPr>
              <w:t>300,00</w:t>
            </w:r>
          </w:p>
        </w:tc>
        <w:tc>
          <w:tcPr>
            <w:tcW w:w="1395" w:type="dxa"/>
            <w:tcBorders>
              <w:bottom w:val="single" w:sz="6" w:space="0" w:color="000000"/>
              <w:right w:val="single" w:sz="6" w:space="0" w:color="000000"/>
            </w:tcBorders>
            <w:vAlign w:val="center"/>
          </w:tcPr>
          <w:p w14:paraId="760E28E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843B535" w14:textId="77777777" w:rsidR="007D706A" w:rsidRDefault="007D706A" w:rsidP="00F70508">
            <w:pPr>
              <w:pStyle w:val="ParagraphStyle12"/>
              <w:rPr>
                <w:rStyle w:val="CharacterStyle12"/>
              </w:rPr>
            </w:pPr>
            <w:r>
              <w:rPr>
                <w:rStyle w:val="CharacterStyle12"/>
              </w:rPr>
              <w:t>0,00</w:t>
            </w:r>
          </w:p>
        </w:tc>
      </w:tr>
      <w:tr w:rsidR="007D706A" w14:paraId="736557E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71B04FD" w14:textId="77777777" w:rsidR="007D706A" w:rsidRDefault="007D706A" w:rsidP="00F70508">
            <w:pPr>
              <w:pStyle w:val="ParagraphStyle7"/>
              <w:rPr>
                <w:rStyle w:val="CharacterStyle7"/>
              </w:rPr>
            </w:pPr>
            <w:r>
              <w:rPr>
                <w:rStyle w:val="CharacterStyle7"/>
              </w:rPr>
              <w:t>Izvor financiranja 53</w:t>
            </w:r>
          </w:p>
        </w:tc>
        <w:tc>
          <w:tcPr>
            <w:tcW w:w="4995" w:type="dxa"/>
            <w:tcBorders>
              <w:bottom w:val="single" w:sz="6" w:space="0" w:color="000000"/>
              <w:right w:val="single" w:sz="6" w:space="0" w:color="000000"/>
            </w:tcBorders>
            <w:vAlign w:val="center"/>
          </w:tcPr>
          <w:p w14:paraId="029B10CA" w14:textId="77777777" w:rsidR="007D706A" w:rsidRDefault="007D706A" w:rsidP="00F70508">
            <w:pPr>
              <w:pStyle w:val="ParagraphStyle8"/>
              <w:rPr>
                <w:rStyle w:val="CharacterStyle8"/>
              </w:rPr>
            </w:pPr>
            <w:r>
              <w:rPr>
                <w:rStyle w:val="CharacterStyle8"/>
              </w:rPr>
              <w:t>Proračuni, drugi nivoi - za posebne i / ili ugovorene namjene</w:t>
            </w:r>
          </w:p>
        </w:tc>
        <w:tc>
          <w:tcPr>
            <w:tcW w:w="1395" w:type="dxa"/>
            <w:tcBorders>
              <w:bottom w:val="single" w:sz="6" w:space="0" w:color="000000"/>
              <w:right w:val="single" w:sz="6" w:space="0" w:color="000000"/>
            </w:tcBorders>
            <w:vAlign w:val="center"/>
          </w:tcPr>
          <w:p w14:paraId="11DFD5AD"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314FB7B" w14:textId="77777777" w:rsidR="007D706A" w:rsidRDefault="007D706A" w:rsidP="00F70508">
            <w:pPr>
              <w:pStyle w:val="ParagraphStyle9"/>
              <w:rPr>
                <w:rStyle w:val="CharacterStyle9"/>
              </w:rPr>
            </w:pPr>
            <w:r>
              <w:rPr>
                <w:rStyle w:val="CharacterStyle9"/>
              </w:rPr>
              <w:t>14.600,00</w:t>
            </w:r>
          </w:p>
        </w:tc>
        <w:tc>
          <w:tcPr>
            <w:tcW w:w="1395" w:type="dxa"/>
            <w:tcBorders>
              <w:bottom w:val="single" w:sz="6" w:space="0" w:color="000000"/>
              <w:right w:val="single" w:sz="6" w:space="0" w:color="000000"/>
            </w:tcBorders>
            <w:vAlign w:val="center"/>
          </w:tcPr>
          <w:p w14:paraId="67007FEA"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93812DF"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738A6D8" w14:textId="77777777" w:rsidR="007D706A" w:rsidRDefault="007D706A" w:rsidP="00F70508">
            <w:pPr>
              <w:pStyle w:val="ParagraphStyle9"/>
              <w:rPr>
                <w:rStyle w:val="CharacterStyle9"/>
              </w:rPr>
            </w:pPr>
            <w:r>
              <w:rPr>
                <w:rStyle w:val="CharacterStyle9"/>
              </w:rPr>
              <w:t>0,00</w:t>
            </w:r>
          </w:p>
        </w:tc>
      </w:tr>
      <w:tr w:rsidR="007D706A" w14:paraId="785F2656"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1EB066D"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006249A9"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55B0858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FFE66AD" w14:textId="77777777" w:rsidR="007D706A" w:rsidRDefault="007D706A" w:rsidP="00F70508">
            <w:pPr>
              <w:pStyle w:val="ParagraphStyle12"/>
              <w:rPr>
                <w:rStyle w:val="CharacterStyle12"/>
              </w:rPr>
            </w:pPr>
            <w:r>
              <w:rPr>
                <w:rStyle w:val="CharacterStyle12"/>
              </w:rPr>
              <w:t>14.600,00</w:t>
            </w:r>
          </w:p>
        </w:tc>
        <w:tc>
          <w:tcPr>
            <w:tcW w:w="1395" w:type="dxa"/>
            <w:tcBorders>
              <w:bottom w:val="single" w:sz="6" w:space="0" w:color="000000"/>
              <w:right w:val="single" w:sz="6" w:space="0" w:color="000000"/>
            </w:tcBorders>
            <w:vAlign w:val="center"/>
          </w:tcPr>
          <w:p w14:paraId="0DB5E7A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68474E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2852165" w14:textId="77777777" w:rsidR="007D706A" w:rsidRDefault="007D706A" w:rsidP="00F70508">
            <w:pPr>
              <w:pStyle w:val="ParagraphStyle12"/>
              <w:rPr>
                <w:rStyle w:val="CharacterStyle12"/>
              </w:rPr>
            </w:pPr>
            <w:r>
              <w:rPr>
                <w:rStyle w:val="CharacterStyle12"/>
              </w:rPr>
              <w:t>0,00</w:t>
            </w:r>
          </w:p>
        </w:tc>
      </w:tr>
      <w:tr w:rsidR="007D706A" w14:paraId="7423EE1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54E9AD0" w14:textId="77777777" w:rsidR="007D706A" w:rsidRDefault="007D706A" w:rsidP="00F70508">
            <w:pPr>
              <w:pStyle w:val="ParagraphStyle10"/>
              <w:rPr>
                <w:rStyle w:val="CharacterStyle10"/>
              </w:rPr>
            </w:pPr>
            <w:r>
              <w:rPr>
                <w:rStyle w:val="CharacterStyle10"/>
              </w:rPr>
              <w:t>31</w:t>
            </w:r>
          </w:p>
        </w:tc>
        <w:tc>
          <w:tcPr>
            <w:tcW w:w="4995" w:type="dxa"/>
            <w:tcBorders>
              <w:bottom w:val="single" w:sz="6" w:space="0" w:color="000000"/>
              <w:right w:val="single" w:sz="6" w:space="0" w:color="000000"/>
            </w:tcBorders>
            <w:vAlign w:val="center"/>
          </w:tcPr>
          <w:p w14:paraId="63961B37" w14:textId="77777777" w:rsidR="007D706A" w:rsidRDefault="007D706A" w:rsidP="00F70508">
            <w:pPr>
              <w:pStyle w:val="ParagraphStyle11"/>
              <w:rPr>
                <w:rStyle w:val="CharacterStyle11"/>
              </w:rPr>
            </w:pPr>
            <w:r>
              <w:rPr>
                <w:rStyle w:val="CharacterStyle11"/>
              </w:rPr>
              <w:t>Rashodi za zaposlene</w:t>
            </w:r>
          </w:p>
        </w:tc>
        <w:tc>
          <w:tcPr>
            <w:tcW w:w="1395" w:type="dxa"/>
            <w:tcBorders>
              <w:bottom w:val="single" w:sz="6" w:space="0" w:color="000000"/>
              <w:right w:val="single" w:sz="6" w:space="0" w:color="000000"/>
            </w:tcBorders>
            <w:vAlign w:val="center"/>
          </w:tcPr>
          <w:p w14:paraId="109EFE5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E906F5A" w14:textId="77777777" w:rsidR="007D706A" w:rsidRDefault="007D706A" w:rsidP="00F70508">
            <w:pPr>
              <w:pStyle w:val="ParagraphStyle12"/>
              <w:rPr>
                <w:rStyle w:val="CharacterStyle12"/>
              </w:rPr>
            </w:pPr>
            <w:r>
              <w:rPr>
                <w:rStyle w:val="CharacterStyle12"/>
              </w:rPr>
              <w:t>770,00</w:t>
            </w:r>
          </w:p>
        </w:tc>
        <w:tc>
          <w:tcPr>
            <w:tcW w:w="1395" w:type="dxa"/>
            <w:tcBorders>
              <w:bottom w:val="single" w:sz="6" w:space="0" w:color="000000"/>
              <w:right w:val="single" w:sz="6" w:space="0" w:color="000000"/>
            </w:tcBorders>
            <w:vAlign w:val="center"/>
          </w:tcPr>
          <w:p w14:paraId="460CB36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04C2D5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5756802" w14:textId="77777777" w:rsidR="007D706A" w:rsidRDefault="007D706A" w:rsidP="00F70508">
            <w:pPr>
              <w:pStyle w:val="ParagraphStyle12"/>
              <w:rPr>
                <w:rStyle w:val="CharacterStyle12"/>
              </w:rPr>
            </w:pPr>
            <w:r>
              <w:rPr>
                <w:rStyle w:val="CharacterStyle12"/>
              </w:rPr>
              <w:t>0,00</w:t>
            </w:r>
          </w:p>
        </w:tc>
      </w:tr>
      <w:tr w:rsidR="007D706A" w14:paraId="3729C2D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172C320"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4AB46E61"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06FB4B3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1815DDC" w14:textId="77777777" w:rsidR="007D706A" w:rsidRDefault="007D706A" w:rsidP="00F70508">
            <w:pPr>
              <w:pStyle w:val="ParagraphStyle12"/>
              <w:rPr>
                <w:rStyle w:val="CharacterStyle12"/>
              </w:rPr>
            </w:pPr>
            <w:r>
              <w:rPr>
                <w:rStyle w:val="CharacterStyle12"/>
              </w:rPr>
              <w:t>7.435,00</w:t>
            </w:r>
          </w:p>
        </w:tc>
        <w:tc>
          <w:tcPr>
            <w:tcW w:w="1395" w:type="dxa"/>
            <w:tcBorders>
              <w:bottom w:val="single" w:sz="6" w:space="0" w:color="000000"/>
              <w:right w:val="single" w:sz="6" w:space="0" w:color="000000"/>
            </w:tcBorders>
            <w:vAlign w:val="center"/>
          </w:tcPr>
          <w:p w14:paraId="0AFABBC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003A37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6A370C3" w14:textId="77777777" w:rsidR="007D706A" w:rsidRDefault="007D706A" w:rsidP="00F70508">
            <w:pPr>
              <w:pStyle w:val="ParagraphStyle12"/>
              <w:rPr>
                <w:rStyle w:val="CharacterStyle12"/>
              </w:rPr>
            </w:pPr>
            <w:r>
              <w:rPr>
                <w:rStyle w:val="CharacterStyle12"/>
              </w:rPr>
              <w:t>0,00</w:t>
            </w:r>
          </w:p>
        </w:tc>
      </w:tr>
      <w:tr w:rsidR="007D706A" w14:paraId="5BC3BA56" w14:textId="77777777" w:rsidTr="00F70508">
        <w:trPr>
          <w:trHeight w:val="420"/>
        </w:trPr>
        <w:tc>
          <w:tcPr>
            <w:tcW w:w="2880" w:type="dxa"/>
            <w:tcBorders>
              <w:left w:val="single" w:sz="6" w:space="0" w:color="000000"/>
              <w:bottom w:val="single" w:sz="6" w:space="0" w:color="000000"/>
              <w:right w:val="single" w:sz="6" w:space="0" w:color="000000"/>
            </w:tcBorders>
            <w:vAlign w:val="center"/>
          </w:tcPr>
          <w:p w14:paraId="58241E9F" w14:textId="77777777" w:rsidR="007D706A" w:rsidRDefault="007D706A" w:rsidP="00F70508">
            <w:pPr>
              <w:pStyle w:val="ParagraphStyle10"/>
              <w:rPr>
                <w:rStyle w:val="CharacterStyle10"/>
              </w:rPr>
            </w:pPr>
            <w:r>
              <w:rPr>
                <w:rStyle w:val="CharacterStyle10"/>
              </w:rPr>
              <w:t>37</w:t>
            </w:r>
          </w:p>
        </w:tc>
        <w:tc>
          <w:tcPr>
            <w:tcW w:w="4995" w:type="dxa"/>
            <w:tcBorders>
              <w:bottom w:val="single" w:sz="6" w:space="0" w:color="000000"/>
              <w:right w:val="single" w:sz="6" w:space="0" w:color="000000"/>
            </w:tcBorders>
            <w:vAlign w:val="center"/>
          </w:tcPr>
          <w:p w14:paraId="7CB7B145" w14:textId="77777777" w:rsidR="007D706A" w:rsidRDefault="007D706A" w:rsidP="00F70508">
            <w:pPr>
              <w:pStyle w:val="ParagraphStyle11"/>
              <w:rPr>
                <w:rStyle w:val="CharacterStyle11"/>
              </w:rPr>
            </w:pPr>
            <w:r>
              <w:rPr>
                <w:rStyle w:val="CharacterStyle11"/>
              </w:rPr>
              <w:t>Naknade građanima i kućanstvima na temelju osiguranja i druge naknade</w:t>
            </w:r>
          </w:p>
        </w:tc>
        <w:tc>
          <w:tcPr>
            <w:tcW w:w="1395" w:type="dxa"/>
            <w:tcBorders>
              <w:bottom w:val="single" w:sz="6" w:space="0" w:color="000000"/>
              <w:right w:val="single" w:sz="6" w:space="0" w:color="000000"/>
            </w:tcBorders>
            <w:vAlign w:val="center"/>
          </w:tcPr>
          <w:p w14:paraId="2E18996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0C1EFA5" w14:textId="77777777" w:rsidR="007D706A" w:rsidRDefault="007D706A" w:rsidP="00F70508">
            <w:pPr>
              <w:pStyle w:val="ParagraphStyle12"/>
              <w:rPr>
                <w:rStyle w:val="CharacterStyle12"/>
              </w:rPr>
            </w:pPr>
            <w:r>
              <w:rPr>
                <w:rStyle w:val="CharacterStyle12"/>
              </w:rPr>
              <w:t>5.000,00</w:t>
            </w:r>
          </w:p>
        </w:tc>
        <w:tc>
          <w:tcPr>
            <w:tcW w:w="1395" w:type="dxa"/>
            <w:tcBorders>
              <w:bottom w:val="single" w:sz="6" w:space="0" w:color="000000"/>
              <w:right w:val="single" w:sz="6" w:space="0" w:color="000000"/>
            </w:tcBorders>
            <w:vAlign w:val="center"/>
          </w:tcPr>
          <w:p w14:paraId="2B133DA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C30BF5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528DD6F" w14:textId="77777777" w:rsidR="007D706A" w:rsidRDefault="007D706A" w:rsidP="00F70508">
            <w:pPr>
              <w:pStyle w:val="ParagraphStyle12"/>
              <w:rPr>
                <w:rStyle w:val="CharacterStyle12"/>
              </w:rPr>
            </w:pPr>
            <w:r>
              <w:rPr>
                <w:rStyle w:val="CharacterStyle12"/>
              </w:rPr>
              <w:t>0,00</w:t>
            </w:r>
          </w:p>
        </w:tc>
      </w:tr>
      <w:tr w:rsidR="007D706A" w14:paraId="7CBDBE6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ED0509D" w14:textId="77777777" w:rsidR="007D706A" w:rsidRDefault="007D706A" w:rsidP="00F70508">
            <w:pPr>
              <w:pStyle w:val="ParagraphStyle10"/>
              <w:rPr>
                <w:rStyle w:val="CharacterStyle10"/>
              </w:rPr>
            </w:pPr>
            <w:r>
              <w:rPr>
                <w:rStyle w:val="CharacterStyle10"/>
              </w:rPr>
              <w:t>38</w:t>
            </w:r>
          </w:p>
        </w:tc>
        <w:tc>
          <w:tcPr>
            <w:tcW w:w="4995" w:type="dxa"/>
            <w:tcBorders>
              <w:bottom w:val="single" w:sz="6" w:space="0" w:color="000000"/>
              <w:right w:val="single" w:sz="6" w:space="0" w:color="000000"/>
            </w:tcBorders>
            <w:vAlign w:val="center"/>
          </w:tcPr>
          <w:p w14:paraId="18B1979D" w14:textId="77777777" w:rsidR="007D706A" w:rsidRDefault="007D706A" w:rsidP="00F70508">
            <w:pPr>
              <w:pStyle w:val="ParagraphStyle11"/>
              <w:rPr>
                <w:rStyle w:val="CharacterStyle11"/>
              </w:rPr>
            </w:pPr>
            <w:r>
              <w:rPr>
                <w:rStyle w:val="CharacterStyle11"/>
              </w:rPr>
              <w:t>Rashodi za donacije, kazne, naknade šteta i kapitalne pomoći</w:t>
            </w:r>
          </w:p>
        </w:tc>
        <w:tc>
          <w:tcPr>
            <w:tcW w:w="1395" w:type="dxa"/>
            <w:tcBorders>
              <w:bottom w:val="single" w:sz="6" w:space="0" w:color="000000"/>
              <w:right w:val="single" w:sz="6" w:space="0" w:color="000000"/>
            </w:tcBorders>
            <w:vAlign w:val="center"/>
          </w:tcPr>
          <w:p w14:paraId="7012302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4CF663A" w14:textId="77777777" w:rsidR="007D706A" w:rsidRDefault="007D706A" w:rsidP="00F70508">
            <w:pPr>
              <w:pStyle w:val="ParagraphStyle12"/>
              <w:rPr>
                <w:rStyle w:val="CharacterStyle12"/>
              </w:rPr>
            </w:pPr>
            <w:r>
              <w:rPr>
                <w:rStyle w:val="CharacterStyle12"/>
              </w:rPr>
              <w:t>1.395,00</w:t>
            </w:r>
          </w:p>
        </w:tc>
        <w:tc>
          <w:tcPr>
            <w:tcW w:w="1395" w:type="dxa"/>
            <w:tcBorders>
              <w:bottom w:val="single" w:sz="6" w:space="0" w:color="000000"/>
              <w:right w:val="single" w:sz="6" w:space="0" w:color="000000"/>
            </w:tcBorders>
            <w:vAlign w:val="center"/>
          </w:tcPr>
          <w:p w14:paraId="239168F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C74471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3D7E6CB" w14:textId="77777777" w:rsidR="007D706A" w:rsidRDefault="007D706A" w:rsidP="00F70508">
            <w:pPr>
              <w:pStyle w:val="ParagraphStyle12"/>
              <w:rPr>
                <w:rStyle w:val="CharacterStyle12"/>
              </w:rPr>
            </w:pPr>
            <w:r>
              <w:rPr>
                <w:rStyle w:val="CharacterStyle12"/>
              </w:rPr>
              <w:t>0,00</w:t>
            </w:r>
          </w:p>
        </w:tc>
      </w:tr>
      <w:tr w:rsidR="007D706A" w14:paraId="517C1D2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63D77C4" w14:textId="77777777" w:rsidR="007D706A" w:rsidRDefault="007D706A" w:rsidP="00F70508">
            <w:pPr>
              <w:pStyle w:val="ParagraphStyle7"/>
              <w:rPr>
                <w:rStyle w:val="CharacterStyle7"/>
              </w:rPr>
            </w:pPr>
            <w:r>
              <w:rPr>
                <w:rStyle w:val="CharacterStyle7"/>
              </w:rPr>
              <w:t>Izvor financiranja 54</w:t>
            </w:r>
          </w:p>
        </w:tc>
        <w:tc>
          <w:tcPr>
            <w:tcW w:w="4995" w:type="dxa"/>
            <w:tcBorders>
              <w:bottom w:val="single" w:sz="6" w:space="0" w:color="000000"/>
              <w:right w:val="single" w:sz="6" w:space="0" w:color="000000"/>
            </w:tcBorders>
            <w:vAlign w:val="center"/>
          </w:tcPr>
          <w:p w14:paraId="4F285CAA" w14:textId="77777777" w:rsidR="007D706A" w:rsidRDefault="007D706A" w:rsidP="00F70508">
            <w:pPr>
              <w:pStyle w:val="ParagraphStyle8"/>
              <w:rPr>
                <w:rStyle w:val="CharacterStyle8"/>
              </w:rPr>
            </w:pPr>
            <w:r>
              <w:rPr>
                <w:rStyle w:val="CharacterStyle8"/>
              </w:rPr>
              <w:t>Pomoći tijela i fondova EU</w:t>
            </w:r>
          </w:p>
        </w:tc>
        <w:tc>
          <w:tcPr>
            <w:tcW w:w="1395" w:type="dxa"/>
            <w:tcBorders>
              <w:bottom w:val="single" w:sz="6" w:space="0" w:color="000000"/>
              <w:right w:val="single" w:sz="6" w:space="0" w:color="000000"/>
            </w:tcBorders>
            <w:vAlign w:val="center"/>
          </w:tcPr>
          <w:p w14:paraId="5A77C404"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FA7BAA0" w14:textId="77777777" w:rsidR="007D706A" w:rsidRDefault="007D706A" w:rsidP="00F70508">
            <w:pPr>
              <w:pStyle w:val="ParagraphStyle9"/>
              <w:rPr>
                <w:rStyle w:val="CharacterStyle9"/>
              </w:rPr>
            </w:pPr>
            <w:r>
              <w:rPr>
                <w:rStyle w:val="CharacterStyle9"/>
              </w:rPr>
              <w:t>60.000,00</w:t>
            </w:r>
          </w:p>
        </w:tc>
        <w:tc>
          <w:tcPr>
            <w:tcW w:w="1395" w:type="dxa"/>
            <w:tcBorders>
              <w:bottom w:val="single" w:sz="6" w:space="0" w:color="000000"/>
              <w:right w:val="single" w:sz="6" w:space="0" w:color="000000"/>
            </w:tcBorders>
            <w:vAlign w:val="center"/>
          </w:tcPr>
          <w:p w14:paraId="20AF588E"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1E4FD8E"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8DFEC61" w14:textId="77777777" w:rsidR="007D706A" w:rsidRDefault="007D706A" w:rsidP="00F70508">
            <w:pPr>
              <w:pStyle w:val="ParagraphStyle9"/>
              <w:rPr>
                <w:rStyle w:val="CharacterStyle9"/>
              </w:rPr>
            </w:pPr>
            <w:r>
              <w:rPr>
                <w:rStyle w:val="CharacterStyle9"/>
              </w:rPr>
              <w:t>0,00</w:t>
            </w:r>
          </w:p>
        </w:tc>
      </w:tr>
      <w:tr w:rsidR="007D706A" w14:paraId="2BA438A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1766E4E"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57726EB7"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5C0E4E2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BD908AF" w14:textId="77777777" w:rsidR="007D706A" w:rsidRDefault="007D706A" w:rsidP="00F70508">
            <w:pPr>
              <w:pStyle w:val="ParagraphStyle12"/>
              <w:rPr>
                <w:rStyle w:val="CharacterStyle12"/>
              </w:rPr>
            </w:pPr>
            <w:r>
              <w:rPr>
                <w:rStyle w:val="CharacterStyle12"/>
              </w:rPr>
              <w:t>60.000,00</w:t>
            </w:r>
          </w:p>
        </w:tc>
        <w:tc>
          <w:tcPr>
            <w:tcW w:w="1395" w:type="dxa"/>
            <w:tcBorders>
              <w:bottom w:val="single" w:sz="6" w:space="0" w:color="000000"/>
              <w:right w:val="single" w:sz="6" w:space="0" w:color="000000"/>
            </w:tcBorders>
            <w:vAlign w:val="center"/>
          </w:tcPr>
          <w:p w14:paraId="402EE53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21D097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F00C578" w14:textId="77777777" w:rsidR="007D706A" w:rsidRDefault="007D706A" w:rsidP="00F70508">
            <w:pPr>
              <w:pStyle w:val="ParagraphStyle12"/>
              <w:rPr>
                <w:rStyle w:val="CharacterStyle12"/>
              </w:rPr>
            </w:pPr>
            <w:r>
              <w:rPr>
                <w:rStyle w:val="CharacterStyle12"/>
              </w:rPr>
              <w:t>0,00</w:t>
            </w:r>
          </w:p>
        </w:tc>
      </w:tr>
      <w:tr w:rsidR="007D706A" w14:paraId="022DAC3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61E3103"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5F4B31D4"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62C387E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24091DE" w14:textId="77777777" w:rsidR="007D706A" w:rsidRDefault="007D706A" w:rsidP="00F70508">
            <w:pPr>
              <w:pStyle w:val="ParagraphStyle12"/>
              <w:rPr>
                <w:rStyle w:val="CharacterStyle12"/>
              </w:rPr>
            </w:pPr>
            <w:r>
              <w:rPr>
                <w:rStyle w:val="CharacterStyle12"/>
              </w:rPr>
              <w:t>60.000,00</w:t>
            </w:r>
          </w:p>
        </w:tc>
        <w:tc>
          <w:tcPr>
            <w:tcW w:w="1395" w:type="dxa"/>
            <w:tcBorders>
              <w:bottom w:val="single" w:sz="6" w:space="0" w:color="000000"/>
              <w:right w:val="single" w:sz="6" w:space="0" w:color="000000"/>
            </w:tcBorders>
            <w:vAlign w:val="center"/>
          </w:tcPr>
          <w:p w14:paraId="02289DE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B3F9AB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21F347F" w14:textId="77777777" w:rsidR="007D706A" w:rsidRDefault="007D706A" w:rsidP="00F70508">
            <w:pPr>
              <w:pStyle w:val="ParagraphStyle12"/>
              <w:rPr>
                <w:rStyle w:val="CharacterStyle12"/>
              </w:rPr>
            </w:pPr>
            <w:r>
              <w:rPr>
                <w:rStyle w:val="CharacterStyle12"/>
              </w:rPr>
              <w:t>0,00</w:t>
            </w:r>
          </w:p>
        </w:tc>
      </w:tr>
      <w:tr w:rsidR="007D706A" w14:paraId="3D92631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D3405FC" w14:textId="77777777" w:rsidR="007D706A" w:rsidRDefault="007D706A" w:rsidP="00F70508">
            <w:pPr>
              <w:pStyle w:val="ParagraphStyle7"/>
              <w:rPr>
                <w:rStyle w:val="CharacterStyle7"/>
              </w:rPr>
            </w:pPr>
            <w:r>
              <w:rPr>
                <w:rStyle w:val="CharacterStyle7"/>
              </w:rPr>
              <w:t>Izvor financiranja 61</w:t>
            </w:r>
          </w:p>
        </w:tc>
        <w:tc>
          <w:tcPr>
            <w:tcW w:w="4995" w:type="dxa"/>
            <w:tcBorders>
              <w:bottom w:val="single" w:sz="6" w:space="0" w:color="000000"/>
              <w:right w:val="single" w:sz="6" w:space="0" w:color="000000"/>
            </w:tcBorders>
            <w:vAlign w:val="center"/>
          </w:tcPr>
          <w:p w14:paraId="3FD65CC6" w14:textId="77777777" w:rsidR="007D706A" w:rsidRDefault="007D706A" w:rsidP="00F70508">
            <w:pPr>
              <w:pStyle w:val="ParagraphStyle8"/>
              <w:rPr>
                <w:rStyle w:val="CharacterStyle8"/>
              </w:rPr>
            </w:pPr>
            <w:r>
              <w:rPr>
                <w:rStyle w:val="CharacterStyle8"/>
              </w:rPr>
              <w:t>Donacije</w:t>
            </w:r>
          </w:p>
        </w:tc>
        <w:tc>
          <w:tcPr>
            <w:tcW w:w="1395" w:type="dxa"/>
            <w:tcBorders>
              <w:bottom w:val="single" w:sz="6" w:space="0" w:color="000000"/>
              <w:right w:val="single" w:sz="6" w:space="0" w:color="000000"/>
            </w:tcBorders>
            <w:vAlign w:val="center"/>
          </w:tcPr>
          <w:p w14:paraId="1DB1EE06"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E052AB4" w14:textId="77777777" w:rsidR="007D706A" w:rsidRDefault="007D706A" w:rsidP="00F70508">
            <w:pPr>
              <w:pStyle w:val="ParagraphStyle9"/>
              <w:rPr>
                <w:rStyle w:val="CharacterStyle9"/>
              </w:rPr>
            </w:pPr>
            <w:r>
              <w:rPr>
                <w:rStyle w:val="CharacterStyle9"/>
              </w:rPr>
              <w:t>13.140,00</w:t>
            </w:r>
          </w:p>
        </w:tc>
        <w:tc>
          <w:tcPr>
            <w:tcW w:w="1395" w:type="dxa"/>
            <w:tcBorders>
              <w:bottom w:val="single" w:sz="6" w:space="0" w:color="000000"/>
              <w:right w:val="single" w:sz="6" w:space="0" w:color="000000"/>
            </w:tcBorders>
            <w:vAlign w:val="center"/>
          </w:tcPr>
          <w:p w14:paraId="37442304" w14:textId="77777777" w:rsidR="007D706A" w:rsidRDefault="007D706A" w:rsidP="00F70508">
            <w:pPr>
              <w:pStyle w:val="ParagraphStyle9"/>
              <w:rPr>
                <w:rStyle w:val="CharacterStyle9"/>
              </w:rPr>
            </w:pPr>
            <w:r>
              <w:rPr>
                <w:rStyle w:val="CharacterStyle9"/>
              </w:rPr>
              <w:t>13.140,00</w:t>
            </w:r>
          </w:p>
        </w:tc>
        <w:tc>
          <w:tcPr>
            <w:tcW w:w="1395" w:type="dxa"/>
            <w:tcBorders>
              <w:bottom w:val="single" w:sz="6" w:space="0" w:color="000000"/>
              <w:right w:val="single" w:sz="6" w:space="0" w:color="000000"/>
            </w:tcBorders>
            <w:vAlign w:val="center"/>
          </w:tcPr>
          <w:p w14:paraId="4C00324F" w14:textId="77777777" w:rsidR="007D706A" w:rsidRDefault="007D706A" w:rsidP="00F70508">
            <w:pPr>
              <w:pStyle w:val="ParagraphStyle9"/>
              <w:rPr>
                <w:rStyle w:val="CharacterStyle9"/>
              </w:rPr>
            </w:pPr>
            <w:r>
              <w:rPr>
                <w:rStyle w:val="CharacterStyle9"/>
              </w:rPr>
              <w:t>13.501,35</w:t>
            </w:r>
          </w:p>
        </w:tc>
        <w:tc>
          <w:tcPr>
            <w:tcW w:w="1395" w:type="dxa"/>
            <w:tcBorders>
              <w:bottom w:val="single" w:sz="6" w:space="0" w:color="000000"/>
              <w:right w:val="single" w:sz="6" w:space="0" w:color="000000"/>
            </w:tcBorders>
            <w:vAlign w:val="center"/>
          </w:tcPr>
          <w:p w14:paraId="3E96E315" w14:textId="77777777" w:rsidR="007D706A" w:rsidRDefault="007D706A" w:rsidP="00F70508">
            <w:pPr>
              <w:pStyle w:val="ParagraphStyle9"/>
              <w:rPr>
                <w:rStyle w:val="CharacterStyle9"/>
              </w:rPr>
            </w:pPr>
            <w:r>
              <w:rPr>
                <w:rStyle w:val="CharacterStyle9"/>
              </w:rPr>
              <w:t>13.632,75</w:t>
            </w:r>
          </w:p>
        </w:tc>
      </w:tr>
      <w:tr w:rsidR="007D706A" w14:paraId="5378DFA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3EF2CC3"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79950768"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654A276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8D76A2B" w14:textId="77777777" w:rsidR="007D706A" w:rsidRDefault="007D706A" w:rsidP="00F70508">
            <w:pPr>
              <w:pStyle w:val="ParagraphStyle12"/>
              <w:rPr>
                <w:rStyle w:val="CharacterStyle12"/>
              </w:rPr>
            </w:pPr>
            <w:r>
              <w:rPr>
                <w:rStyle w:val="CharacterStyle12"/>
              </w:rPr>
              <w:t>13.140,00</w:t>
            </w:r>
          </w:p>
        </w:tc>
        <w:tc>
          <w:tcPr>
            <w:tcW w:w="1395" w:type="dxa"/>
            <w:tcBorders>
              <w:bottom w:val="single" w:sz="6" w:space="0" w:color="000000"/>
              <w:right w:val="single" w:sz="6" w:space="0" w:color="000000"/>
            </w:tcBorders>
            <w:vAlign w:val="center"/>
          </w:tcPr>
          <w:p w14:paraId="2B10F134" w14:textId="77777777" w:rsidR="007D706A" w:rsidRDefault="007D706A" w:rsidP="00F70508">
            <w:pPr>
              <w:pStyle w:val="ParagraphStyle12"/>
              <w:rPr>
                <w:rStyle w:val="CharacterStyle12"/>
              </w:rPr>
            </w:pPr>
            <w:r>
              <w:rPr>
                <w:rStyle w:val="CharacterStyle12"/>
              </w:rPr>
              <w:t>13.140,00</w:t>
            </w:r>
          </w:p>
        </w:tc>
        <w:tc>
          <w:tcPr>
            <w:tcW w:w="1395" w:type="dxa"/>
            <w:tcBorders>
              <w:bottom w:val="single" w:sz="6" w:space="0" w:color="000000"/>
              <w:right w:val="single" w:sz="6" w:space="0" w:color="000000"/>
            </w:tcBorders>
            <w:vAlign w:val="center"/>
          </w:tcPr>
          <w:p w14:paraId="44021BDA" w14:textId="77777777" w:rsidR="007D706A" w:rsidRDefault="007D706A" w:rsidP="00F70508">
            <w:pPr>
              <w:pStyle w:val="ParagraphStyle12"/>
              <w:rPr>
                <w:rStyle w:val="CharacterStyle12"/>
              </w:rPr>
            </w:pPr>
            <w:r>
              <w:rPr>
                <w:rStyle w:val="CharacterStyle12"/>
              </w:rPr>
              <w:t>13.501,35</w:t>
            </w:r>
          </w:p>
        </w:tc>
        <w:tc>
          <w:tcPr>
            <w:tcW w:w="1395" w:type="dxa"/>
            <w:tcBorders>
              <w:bottom w:val="single" w:sz="6" w:space="0" w:color="000000"/>
              <w:right w:val="single" w:sz="6" w:space="0" w:color="000000"/>
            </w:tcBorders>
            <w:vAlign w:val="center"/>
          </w:tcPr>
          <w:p w14:paraId="1FF34A5F" w14:textId="77777777" w:rsidR="007D706A" w:rsidRDefault="007D706A" w:rsidP="00F70508">
            <w:pPr>
              <w:pStyle w:val="ParagraphStyle12"/>
              <w:rPr>
                <w:rStyle w:val="CharacterStyle12"/>
              </w:rPr>
            </w:pPr>
            <w:r>
              <w:rPr>
                <w:rStyle w:val="CharacterStyle12"/>
              </w:rPr>
              <w:t>13.632,75</w:t>
            </w:r>
          </w:p>
        </w:tc>
      </w:tr>
      <w:tr w:rsidR="007D706A" w14:paraId="5434ABB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F27D10B"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158B7D9F"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235F027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EEDA669" w14:textId="77777777" w:rsidR="007D706A" w:rsidRDefault="007D706A" w:rsidP="00F70508">
            <w:pPr>
              <w:pStyle w:val="ParagraphStyle12"/>
              <w:rPr>
                <w:rStyle w:val="CharacterStyle12"/>
              </w:rPr>
            </w:pPr>
            <w:r>
              <w:rPr>
                <w:rStyle w:val="CharacterStyle12"/>
              </w:rPr>
              <w:t>13.140,00</w:t>
            </w:r>
          </w:p>
        </w:tc>
        <w:tc>
          <w:tcPr>
            <w:tcW w:w="1395" w:type="dxa"/>
            <w:tcBorders>
              <w:bottom w:val="single" w:sz="6" w:space="0" w:color="000000"/>
              <w:right w:val="single" w:sz="6" w:space="0" w:color="000000"/>
            </w:tcBorders>
            <w:vAlign w:val="center"/>
          </w:tcPr>
          <w:p w14:paraId="4E15B933" w14:textId="77777777" w:rsidR="007D706A" w:rsidRDefault="007D706A" w:rsidP="00F70508">
            <w:pPr>
              <w:pStyle w:val="ParagraphStyle12"/>
              <w:rPr>
                <w:rStyle w:val="CharacterStyle12"/>
              </w:rPr>
            </w:pPr>
            <w:r>
              <w:rPr>
                <w:rStyle w:val="CharacterStyle12"/>
              </w:rPr>
              <w:t>13.140,00</w:t>
            </w:r>
          </w:p>
        </w:tc>
        <w:tc>
          <w:tcPr>
            <w:tcW w:w="1395" w:type="dxa"/>
            <w:tcBorders>
              <w:bottom w:val="single" w:sz="6" w:space="0" w:color="000000"/>
              <w:right w:val="single" w:sz="6" w:space="0" w:color="000000"/>
            </w:tcBorders>
            <w:vAlign w:val="center"/>
          </w:tcPr>
          <w:p w14:paraId="326EB611" w14:textId="77777777" w:rsidR="007D706A" w:rsidRDefault="007D706A" w:rsidP="00F70508">
            <w:pPr>
              <w:pStyle w:val="ParagraphStyle12"/>
              <w:rPr>
                <w:rStyle w:val="CharacterStyle12"/>
              </w:rPr>
            </w:pPr>
            <w:r>
              <w:rPr>
                <w:rStyle w:val="CharacterStyle12"/>
              </w:rPr>
              <w:t>13.501,35</w:t>
            </w:r>
          </w:p>
        </w:tc>
        <w:tc>
          <w:tcPr>
            <w:tcW w:w="1395" w:type="dxa"/>
            <w:tcBorders>
              <w:bottom w:val="single" w:sz="6" w:space="0" w:color="000000"/>
              <w:right w:val="single" w:sz="6" w:space="0" w:color="000000"/>
            </w:tcBorders>
            <w:vAlign w:val="center"/>
          </w:tcPr>
          <w:p w14:paraId="5C4B6A2A" w14:textId="77777777" w:rsidR="007D706A" w:rsidRDefault="007D706A" w:rsidP="00F70508">
            <w:pPr>
              <w:pStyle w:val="ParagraphStyle12"/>
              <w:rPr>
                <w:rStyle w:val="CharacterStyle12"/>
              </w:rPr>
            </w:pPr>
            <w:r>
              <w:rPr>
                <w:rStyle w:val="CharacterStyle12"/>
              </w:rPr>
              <w:t>13.632,75</w:t>
            </w:r>
          </w:p>
        </w:tc>
      </w:tr>
      <w:tr w:rsidR="007D706A" w14:paraId="55587A7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3AD73BD" w14:textId="77777777" w:rsidR="007D706A" w:rsidRDefault="007D706A" w:rsidP="00F70508">
            <w:pPr>
              <w:pStyle w:val="ParagraphStyle7"/>
              <w:rPr>
                <w:rStyle w:val="CharacterStyle7"/>
              </w:rPr>
            </w:pPr>
            <w:r>
              <w:rPr>
                <w:rStyle w:val="CharacterStyle7"/>
              </w:rPr>
              <w:t>Izvor financiranja 82</w:t>
            </w:r>
          </w:p>
        </w:tc>
        <w:tc>
          <w:tcPr>
            <w:tcW w:w="4995" w:type="dxa"/>
            <w:tcBorders>
              <w:bottom w:val="single" w:sz="6" w:space="0" w:color="000000"/>
              <w:right w:val="single" w:sz="6" w:space="0" w:color="000000"/>
            </w:tcBorders>
            <w:vAlign w:val="center"/>
          </w:tcPr>
          <w:p w14:paraId="303DD9BA" w14:textId="77777777" w:rsidR="007D706A" w:rsidRDefault="007D706A" w:rsidP="00F70508">
            <w:pPr>
              <w:pStyle w:val="ParagraphStyle8"/>
              <w:rPr>
                <w:rStyle w:val="CharacterStyle8"/>
              </w:rPr>
            </w:pPr>
            <w:r>
              <w:rPr>
                <w:rStyle w:val="CharacterStyle8"/>
              </w:rPr>
              <w:t>Preneseni viškovi iz ranijih godina</w:t>
            </w:r>
          </w:p>
        </w:tc>
        <w:tc>
          <w:tcPr>
            <w:tcW w:w="1395" w:type="dxa"/>
            <w:tcBorders>
              <w:bottom w:val="single" w:sz="6" w:space="0" w:color="000000"/>
              <w:right w:val="single" w:sz="6" w:space="0" w:color="000000"/>
            </w:tcBorders>
            <w:vAlign w:val="center"/>
          </w:tcPr>
          <w:p w14:paraId="4FD673A9"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11FF1FC" w14:textId="77777777" w:rsidR="007D706A" w:rsidRDefault="007D706A" w:rsidP="00F70508">
            <w:pPr>
              <w:pStyle w:val="ParagraphStyle9"/>
              <w:rPr>
                <w:rStyle w:val="CharacterStyle9"/>
              </w:rPr>
            </w:pPr>
            <w:r>
              <w:rPr>
                <w:rStyle w:val="CharacterStyle9"/>
              </w:rPr>
              <w:t>66.100,98</w:t>
            </w:r>
          </w:p>
        </w:tc>
        <w:tc>
          <w:tcPr>
            <w:tcW w:w="1395" w:type="dxa"/>
            <w:tcBorders>
              <w:bottom w:val="single" w:sz="6" w:space="0" w:color="000000"/>
              <w:right w:val="single" w:sz="6" w:space="0" w:color="000000"/>
            </w:tcBorders>
            <w:vAlign w:val="center"/>
          </w:tcPr>
          <w:p w14:paraId="71933759"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7BF3344"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D1E7AC4" w14:textId="77777777" w:rsidR="007D706A" w:rsidRDefault="007D706A" w:rsidP="00F70508">
            <w:pPr>
              <w:pStyle w:val="ParagraphStyle9"/>
              <w:rPr>
                <w:rStyle w:val="CharacterStyle9"/>
              </w:rPr>
            </w:pPr>
            <w:r>
              <w:rPr>
                <w:rStyle w:val="CharacterStyle9"/>
              </w:rPr>
              <w:t>0,00</w:t>
            </w:r>
          </w:p>
        </w:tc>
      </w:tr>
      <w:tr w:rsidR="007D706A" w14:paraId="7D99449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E5FB340"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786C6DAC"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72B84E0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3955335" w14:textId="77777777" w:rsidR="007D706A" w:rsidRDefault="007D706A" w:rsidP="00F70508">
            <w:pPr>
              <w:pStyle w:val="ParagraphStyle12"/>
              <w:rPr>
                <w:rStyle w:val="CharacterStyle12"/>
              </w:rPr>
            </w:pPr>
            <w:r>
              <w:rPr>
                <w:rStyle w:val="CharacterStyle12"/>
              </w:rPr>
              <w:t>66.100,98</w:t>
            </w:r>
          </w:p>
        </w:tc>
        <w:tc>
          <w:tcPr>
            <w:tcW w:w="1395" w:type="dxa"/>
            <w:tcBorders>
              <w:bottom w:val="single" w:sz="6" w:space="0" w:color="000000"/>
              <w:right w:val="single" w:sz="6" w:space="0" w:color="000000"/>
            </w:tcBorders>
            <w:vAlign w:val="center"/>
          </w:tcPr>
          <w:p w14:paraId="32A5DFD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087F3F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AA66C66" w14:textId="77777777" w:rsidR="007D706A" w:rsidRDefault="007D706A" w:rsidP="00F70508">
            <w:pPr>
              <w:pStyle w:val="ParagraphStyle12"/>
              <w:rPr>
                <w:rStyle w:val="CharacterStyle12"/>
              </w:rPr>
            </w:pPr>
            <w:r>
              <w:rPr>
                <w:rStyle w:val="CharacterStyle12"/>
              </w:rPr>
              <w:t>0,00</w:t>
            </w:r>
          </w:p>
        </w:tc>
      </w:tr>
      <w:tr w:rsidR="007D706A" w14:paraId="5690045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BE95641" w14:textId="77777777" w:rsidR="007D706A" w:rsidRDefault="007D706A" w:rsidP="00F70508">
            <w:pPr>
              <w:pStyle w:val="ParagraphStyle10"/>
              <w:rPr>
                <w:rStyle w:val="CharacterStyle10"/>
              </w:rPr>
            </w:pPr>
            <w:r>
              <w:rPr>
                <w:rStyle w:val="CharacterStyle10"/>
              </w:rPr>
              <w:t>31</w:t>
            </w:r>
          </w:p>
        </w:tc>
        <w:tc>
          <w:tcPr>
            <w:tcW w:w="4995" w:type="dxa"/>
            <w:tcBorders>
              <w:bottom w:val="single" w:sz="6" w:space="0" w:color="000000"/>
              <w:right w:val="single" w:sz="6" w:space="0" w:color="000000"/>
            </w:tcBorders>
            <w:vAlign w:val="center"/>
          </w:tcPr>
          <w:p w14:paraId="419EF021" w14:textId="77777777" w:rsidR="007D706A" w:rsidRDefault="007D706A" w:rsidP="00F70508">
            <w:pPr>
              <w:pStyle w:val="ParagraphStyle11"/>
              <w:rPr>
                <w:rStyle w:val="CharacterStyle11"/>
              </w:rPr>
            </w:pPr>
            <w:r>
              <w:rPr>
                <w:rStyle w:val="CharacterStyle11"/>
              </w:rPr>
              <w:t>Rashodi za zaposlene</w:t>
            </w:r>
          </w:p>
        </w:tc>
        <w:tc>
          <w:tcPr>
            <w:tcW w:w="1395" w:type="dxa"/>
            <w:tcBorders>
              <w:bottom w:val="single" w:sz="6" w:space="0" w:color="000000"/>
              <w:right w:val="single" w:sz="6" w:space="0" w:color="000000"/>
            </w:tcBorders>
            <w:vAlign w:val="center"/>
          </w:tcPr>
          <w:p w14:paraId="096EE6D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E9AE9E5" w14:textId="77777777" w:rsidR="007D706A" w:rsidRDefault="007D706A" w:rsidP="00F70508">
            <w:pPr>
              <w:pStyle w:val="ParagraphStyle12"/>
              <w:rPr>
                <w:rStyle w:val="CharacterStyle12"/>
              </w:rPr>
            </w:pPr>
            <w:r>
              <w:rPr>
                <w:rStyle w:val="CharacterStyle12"/>
              </w:rPr>
              <w:t>2.500,00</w:t>
            </w:r>
          </w:p>
        </w:tc>
        <w:tc>
          <w:tcPr>
            <w:tcW w:w="1395" w:type="dxa"/>
            <w:tcBorders>
              <w:bottom w:val="single" w:sz="6" w:space="0" w:color="000000"/>
              <w:right w:val="single" w:sz="6" w:space="0" w:color="000000"/>
            </w:tcBorders>
            <w:vAlign w:val="center"/>
          </w:tcPr>
          <w:p w14:paraId="180BF8F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E5A0E0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FD98353" w14:textId="77777777" w:rsidR="007D706A" w:rsidRDefault="007D706A" w:rsidP="00F70508">
            <w:pPr>
              <w:pStyle w:val="ParagraphStyle12"/>
              <w:rPr>
                <w:rStyle w:val="CharacterStyle12"/>
              </w:rPr>
            </w:pPr>
            <w:r>
              <w:rPr>
                <w:rStyle w:val="CharacterStyle12"/>
              </w:rPr>
              <w:t>0,00</w:t>
            </w:r>
          </w:p>
        </w:tc>
      </w:tr>
      <w:tr w:rsidR="007D706A" w14:paraId="05CF777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E0404FA"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2B3FD692"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4B175A4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9F0562C" w14:textId="77777777" w:rsidR="007D706A" w:rsidRDefault="007D706A" w:rsidP="00F70508">
            <w:pPr>
              <w:pStyle w:val="ParagraphStyle12"/>
              <w:rPr>
                <w:rStyle w:val="CharacterStyle12"/>
              </w:rPr>
            </w:pPr>
            <w:r>
              <w:rPr>
                <w:rStyle w:val="CharacterStyle12"/>
              </w:rPr>
              <w:t>63.300,98</w:t>
            </w:r>
          </w:p>
        </w:tc>
        <w:tc>
          <w:tcPr>
            <w:tcW w:w="1395" w:type="dxa"/>
            <w:tcBorders>
              <w:bottom w:val="single" w:sz="6" w:space="0" w:color="000000"/>
              <w:right w:val="single" w:sz="6" w:space="0" w:color="000000"/>
            </w:tcBorders>
            <w:vAlign w:val="center"/>
          </w:tcPr>
          <w:p w14:paraId="7426CF2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FE58D4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46946D6" w14:textId="77777777" w:rsidR="007D706A" w:rsidRDefault="007D706A" w:rsidP="00F70508">
            <w:pPr>
              <w:pStyle w:val="ParagraphStyle12"/>
              <w:rPr>
                <w:rStyle w:val="CharacterStyle12"/>
              </w:rPr>
            </w:pPr>
            <w:r>
              <w:rPr>
                <w:rStyle w:val="CharacterStyle12"/>
              </w:rPr>
              <w:t>0,00</w:t>
            </w:r>
          </w:p>
        </w:tc>
      </w:tr>
      <w:tr w:rsidR="007D706A" w14:paraId="3AA09C9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327675B" w14:textId="77777777" w:rsidR="007D706A" w:rsidRDefault="007D706A" w:rsidP="00F70508">
            <w:pPr>
              <w:pStyle w:val="ParagraphStyle10"/>
              <w:rPr>
                <w:rStyle w:val="CharacterStyle10"/>
              </w:rPr>
            </w:pPr>
            <w:r>
              <w:rPr>
                <w:rStyle w:val="CharacterStyle10"/>
              </w:rPr>
              <w:t>34</w:t>
            </w:r>
          </w:p>
        </w:tc>
        <w:tc>
          <w:tcPr>
            <w:tcW w:w="4995" w:type="dxa"/>
            <w:tcBorders>
              <w:bottom w:val="single" w:sz="6" w:space="0" w:color="000000"/>
              <w:right w:val="single" w:sz="6" w:space="0" w:color="000000"/>
            </w:tcBorders>
            <w:vAlign w:val="center"/>
          </w:tcPr>
          <w:p w14:paraId="19B4ADFB" w14:textId="77777777" w:rsidR="007D706A" w:rsidRDefault="007D706A" w:rsidP="00F70508">
            <w:pPr>
              <w:pStyle w:val="ParagraphStyle11"/>
              <w:rPr>
                <w:rStyle w:val="CharacterStyle11"/>
              </w:rPr>
            </w:pPr>
            <w:r>
              <w:rPr>
                <w:rStyle w:val="CharacterStyle11"/>
              </w:rPr>
              <w:t>Financijski rashodi</w:t>
            </w:r>
          </w:p>
        </w:tc>
        <w:tc>
          <w:tcPr>
            <w:tcW w:w="1395" w:type="dxa"/>
            <w:tcBorders>
              <w:bottom w:val="single" w:sz="6" w:space="0" w:color="000000"/>
              <w:right w:val="single" w:sz="6" w:space="0" w:color="000000"/>
            </w:tcBorders>
            <w:vAlign w:val="center"/>
          </w:tcPr>
          <w:p w14:paraId="4383383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C0FC7FC" w14:textId="77777777" w:rsidR="007D706A" w:rsidRDefault="007D706A" w:rsidP="00F70508">
            <w:pPr>
              <w:pStyle w:val="ParagraphStyle12"/>
              <w:rPr>
                <w:rStyle w:val="CharacterStyle12"/>
              </w:rPr>
            </w:pPr>
            <w:r>
              <w:rPr>
                <w:rStyle w:val="CharacterStyle12"/>
              </w:rPr>
              <w:t>300,00</w:t>
            </w:r>
          </w:p>
        </w:tc>
        <w:tc>
          <w:tcPr>
            <w:tcW w:w="1395" w:type="dxa"/>
            <w:tcBorders>
              <w:bottom w:val="single" w:sz="6" w:space="0" w:color="000000"/>
              <w:right w:val="single" w:sz="6" w:space="0" w:color="000000"/>
            </w:tcBorders>
            <w:vAlign w:val="center"/>
          </w:tcPr>
          <w:p w14:paraId="2477BEA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0D9D7A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033B481" w14:textId="77777777" w:rsidR="007D706A" w:rsidRDefault="007D706A" w:rsidP="00F70508">
            <w:pPr>
              <w:pStyle w:val="ParagraphStyle12"/>
              <w:rPr>
                <w:rStyle w:val="CharacterStyle12"/>
              </w:rPr>
            </w:pPr>
            <w:r>
              <w:rPr>
                <w:rStyle w:val="CharacterStyle12"/>
              </w:rPr>
              <w:t>0,00</w:t>
            </w:r>
          </w:p>
        </w:tc>
      </w:tr>
      <w:tr w:rsidR="007D706A" w14:paraId="2895B53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EA443FE" w14:textId="77777777" w:rsidR="007D706A" w:rsidRDefault="007D706A" w:rsidP="00F70508">
            <w:pPr>
              <w:pStyle w:val="ParagraphStyle4"/>
              <w:rPr>
                <w:rStyle w:val="CharacterStyle4"/>
              </w:rPr>
            </w:pPr>
            <w:r>
              <w:rPr>
                <w:rStyle w:val="CharacterStyle4"/>
              </w:rPr>
              <w:t>Aktivnost A103625</w:t>
            </w:r>
          </w:p>
        </w:tc>
        <w:tc>
          <w:tcPr>
            <w:tcW w:w="4995" w:type="dxa"/>
            <w:tcBorders>
              <w:bottom w:val="single" w:sz="6" w:space="0" w:color="000000"/>
              <w:right w:val="single" w:sz="6" w:space="0" w:color="000000"/>
            </w:tcBorders>
            <w:vAlign w:val="center"/>
          </w:tcPr>
          <w:p w14:paraId="3ED139C5" w14:textId="77777777" w:rsidR="007D706A" w:rsidRDefault="007D706A" w:rsidP="00F70508">
            <w:pPr>
              <w:pStyle w:val="ParagraphStyle5"/>
              <w:rPr>
                <w:rStyle w:val="CharacterStyle5"/>
              </w:rPr>
            </w:pPr>
            <w:r>
              <w:rPr>
                <w:rStyle w:val="CharacterStyle5"/>
              </w:rPr>
              <w:t>NATJECANJA UCENIKA DRUGI IZVOR</w:t>
            </w:r>
          </w:p>
        </w:tc>
        <w:tc>
          <w:tcPr>
            <w:tcW w:w="1395" w:type="dxa"/>
            <w:tcBorders>
              <w:bottom w:val="single" w:sz="6" w:space="0" w:color="000000"/>
              <w:right w:val="single" w:sz="6" w:space="0" w:color="000000"/>
            </w:tcBorders>
            <w:vAlign w:val="center"/>
          </w:tcPr>
          <w:p w14:paraId="7BA213E1"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13E18C5D" w14:textId="77777777" w:rsidR="007D706A" w:rsidRDefault="007D706A" w:rsidP="00F70508">
            <w:pPr>
              <w:pStyle w:val="ParagraphStyle6"/>
              <w:rPr>
                <w:rStyle w:val="CharacterStyle6"/>
              </w:rPr>
            </w:pPr>
            <w:r>
              <w:rPr>
                <w:rStyle w:val="CharacterStyle6"/>
              </w:rPr>
              <w:t>1.860,00</w:t>
            </w:r>
          </w:p>
        </w:tc>
        <w:tc>
          <w:tcPr>
            <w:tcW w:w="1395" w:type="dxa"/>
            <w:tcBorders>
              <w:bottom w:val="single" w:sz="6" w:space="0" w:color="000000"/>
              <w:right w:val="single" w:sz="6" w:space="0" w:color="000000"/>
            </w:tcBorders>
            <w:vAlign w:val="center"/>
          </w:tcPr>
          <w:p w14:paraId="4ED2755F" w14:textId="77777777" w:rsidR="007D706A" w:rsidRDefault="007D706A" w:rsidP="00F70508">
            <w:pPr>
              <w:pStyle w:val="ParagraphStyle6"/>
              <w:rPr>
                <w:rStyle w:val="CharacterStyle6"/>
              </w:rPr>
            </w:pPr>
            <w:r>
              <w:rPr>
                <w:rStyle w:val="CharacterStyle6"/>
              </w:rPr>
              <w:t>3.000,00</w:t>
            </w:r>
          </w:p>
        </w:tc>
        <w:tc>
          <w:tcPr>
            <w:tcW w:w="1395" w:type="dxa"/>
            <w:tcBorders>
              <w:bottom w:val="single" w:sz="6" w:space="0" w:color="000000"/>
              <w:right w:val="single" w:sz="6" w:space="0" w:color="000000"/>
            </w:tcBorders>
            <w:vAlign w:val="center"/>
          </w:tcPr>
          <w:p w14:paraId="7AED9014" w14:textId="77777777" w:rsidR="007D706A" w:rsidRDefault="007D706A" w:rsidP="00F70508">
            <w:pPr>
              <w:pStyle w:val="ParagraphStyle6"/>
              <w:rPr>
                <w:rStyle w:val="CharacterStyle6"/>
              </w:rPr>
            </w:pPr>
            <w:r>
              <w:rPr>
                <w:rStyle w:val="CharacterStyle6"/>
              </w:rPr>
              <w:t>3.082,50</w:t>
            </w:r>
          </w:p>
        </w:tc>
        <w:tc>
          <w:tcPr>
            <w:tcW w:w="1395" w:type="dxa"/>
            <w:tcBorders>
              <w:bottom w:val="single" w:sz="6" w:space="0" w:color="000000"/>
              <w:right w:val="single" w:sz="6" w:space="0" w:color="000000"/>
            </w:tcBorders>
            <w:vAlign w:val="center"/>
          </w:tcPr>
          <w:p w14:paraId="06BD55EA" w14:textId="77777777" w:rsidR="007D706A" w:rsidRDefault="007D706A" w:rsidP="00F70508">
            <w:pPr>
              <w:pStyle w:val="ParagraphStyle6"/>
              <w:rPr>
                <w:rStyle w:val="CharacterStyle6"/>
              </w:rPr>
            </w:pPr>
            <w:r>
              <w:rPr>
                <w:rStyle w:val="CharacterStyle6"/>
              </w:rPr>
              <w:t>3.112,50</w:t>
            </w:r>
          </w:p>
        </w:tc>
      </w:tr>
      <w:tr w:rsidR="007D706A" w14:paraId="31ABB30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255FC90" w14:textId="77777777" w:rsidR="007D706A" w:rsidRDefault="007D706A" w:rsidP="00F70508">
            <w:pPr>
              <w:pStyle w:val="ParagraphStyle7"/>
              <w:rPr>
                <w:rStyle w:val="CharacterStyle7"/>
              </w:rPr>
            </w:pPr>
            <w:r>
              <w:rPr>
                <w:rStyle w:val="CharacterStyle7"/>
              </w:rPr>
              <w:t>Izvor financiranja 61</w:t>
            </w:r>
          </w:p>
        </w:tc>
        <w:tc>
          <w:tcPr>
            <w:tcW w:w="4995" w:type="dxa"/>
            <w:tcBorders>
              <w:bottom w:val="single" w:sz="6" w:space="0" w:color="000000"/>
              <w:right w:val="single" w:sz="6" w:space="0" w:color="000000"/>
            </w:tcBorders>
            <w:vAlign w:val="center"/>
          </w:tcPr>
          <w:p w14:paraId="07C6E447" w14:textId="77777777" w:rsidR="007D706A" w:rsidRDefault="007D706A" w:rsidP="00F70508">
            <w:pPr>
              <w:pStyle w:val="ParagraphStyle8"/>
              <w:rPr>
                <w:rStyle w:val="CharacterStyle8"/>
              </w:rPr>
            </w:pPr>
            <w:r>
              <w:rPr>
                <w:rStyle w:val="CharacterStyle8"/>
              </w:rPr>
              <w:t>Donacije</w:t>
            </w:r>
          </w:p>
        </w:tc>
        <w:tc>
          <w:tcPr>
            <w:tcW w:w="1395" w:type="dxa"/>
            <w:tcBorders>
              <w:bottom w:val="single" w:sz="6" w:space="0" w:color="000000"/>
              <w:right w:val="single" w:sz="6" w:space="0" w:color="000000"/>
            </w:tcBorders>
            <w:vAlign w:val="center"/>
          </w:tcPr>
          <w:p w14:paraId="7430219A"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585F86B" w14:textId="77777777" w:rsidR="007D706A" w:rsidRDefault="007D706A" w:rsidP="00F70508">
            <w:pPr>
              <w:pStyle w:val="ParagraphStyle9"/>
              <w:rPr>
                <w:rStyle w:val="CharacterStyle9"/>
              </w:rPr>
            </w:pPr>
            <w:r>
              <w:rPr>
                <w:rStyle w:val="CharacterStyle9"/>
              </w:rPr>
              <w:t>1.860,00</w:t>
            </w:r>
          </w:p>
        </w:tc>
        <w:tc>
          <w:tcPr>
            <w:tcW w:w="1395" w:type="dxa"/>
            <w:tcBorders>
              <w:bottom w:val="single" w:sz="6" w:space="0" w:color="000000"/>
              <w:right w:val="single" w:sz="6" w:space="0" w:color="000000"/>
            </w:tcBorders>
            <w:vAlign w:val="center"/>
          </w:tcPr>
          <w:p w14:paraId="2F981B3B" w14:textId="77777777" w:rsidR="007D706A" w:rsidRDefault="007D706A" w:rsidP="00F70508">
            <w:pPr>
              <w:pStyle w:val="ParagraphStyle9"/>
              <w:rPr>
                <w:rStyle w:val="CharacterStyle9"/>
              </w:rPr>
            </w:pPr>
            <w:r>
              <w:rPr>
                <w:rStyle w:val="CharacterStyle9"/>
              </w:rPr>
              <w:t>3.000,00</w:t>
            </w:r>
          </w:p>
        </w:tc>
        <w:tc>
          <w:tcPr>
            <w:tcW w:w="1395" w:type="dxa"/>
            <w:tcBorders>
              <w:bottom w:val="single" w:sz="6" w:space="0" w:color="000000"/>
              <w:right w:val="single" w:sz="6" w:space="0" w:color="000000"/>
            </w:tcBorders>
            <w:vAlign w:val="center"/>
          </w:tcPr>
          <w:p w14:paraId="795971BC" w14:textId="77777777" w:rsidR="007D706A" w:rsidRDefault="007D706A" w:rsidP="00F70508">
            <w:pPr>
              <w:pStyle w:val="ParagraphStyle9"/>
              <w:rPr>
                <w:rStyle w:val="CharacterStyle9"/>
              </w:rPr>
            </w:pPr>
            <w:r>
              <w:rPr>
                <w:rStyle w:val="CharacterStyle9"/>
              </w:rPr>
              <w:t>3.082,50</w:t>
            </w:r>
          </w:p>
        </w:tc>
        <w:tc>
          <w:tcPr>
            <w:tcW w:w="1395" w:type="dxa"/>
            <w:tcBorders>
              <w:bottom w:val="single" w:sz="6" w:space="0" w:color="000000"/>
              <w:right w:val="single" w:sz="6" w:space="0" w:color="000000"/>
            </w:tcBorders>
            <w:vAlign w:val="center"/>
          </w:tcPr>
          <w:p w14:paraId="776D2830" w14:textId="77777777" w:rsidR="007D706A" w:rsidRDefault="007D706A" w:rsidP="00F70508">
            <w:pPr>
              <w:pStyle w:val="ParagraphStyle9"/>
              <w:rPr>
                <w:rStyle w:val="CharacterStyle9"/>
              </w:rPr>
            </w:pPr>
            <w:r>
              <w:rPr>
                <w:rStyle w:val="CharacterStyle9"/>
              </w:rPr>
              <w:t>3.112,50</w:t>
            </w:r>
          </w:p>
        </w:tc>
      </w:tr>
      <w:tr w:rsidR="007D706A" w14:paraId="6ABEBAD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300A5B5"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6AE1DC21"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75C6D3D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7BA2164" w14:textId="77777777" w:rsidR="007D706A" w:rsidRDefault="007D706A" w:rsidP="00F70508">
            <w:pPr>
              <w:pStyle w:val="ParagraphStyle12"/>
              <w:rPr>
                <w:rStyle w:val="CharacterStyle12"/>
              </w:rPr>
            </w:pPr>
            <w:r>
              <w:rPr>
                <w:rStyle w:val="CharacterStyle12"/>
              </w:rPr>
              <w:t>1.860,00</w:t>
            </w:r>
          </w:p>
        </w:tc>
        <w:tc>
          <w:tcPr>
            <w:tcW w:w="1395" w:type="dxa"/>
            <w:tcBorders>
              <w:bottom w:val="single" w:sz="6" w:space="0" w:color="000000"/>
              <w:right w:val="single" w:sz="6" w:space="0" w:color="000000"/>
            </w:tcBorders>
            <w:vAlign w:val="center"/>
          </w:tcPr>
          <w:p w14:paraId="6A9FF961" w14:textId="77777777" w:rsidR="007D706A" w:rsidRDefault="007D706A" w:rsidP="00F70508">
            <w:pPr>
              <w:pStyle w:val="ParagraphStyle12"/>
              <w:rPr>
                <w:rStyle w:val="CharacterStyle12"/>
              </w:rPr>
            </w:pPr>
            <w:r>
              <w:rPr>
                <w:rStyle w:val="CharacterStyle12"/>
              </w:rPr>
              <w:t>3.000,00</w:t>
            </w:r>
          </w:p>
        </w:tc>
        <w:tc>
          <w:tcPr>
            <w:tcW w:w="1395" w:type="dxa"/>
            <w:tcBorders>
              <w:bottom w:val="single" w:sz="6" w:space="0" w:color="000000"/>
              <w:right w:val="single" w:sz="6" w:space="0" w:color="000000"/>
            </w:tcBorders>
            <w:vAlign w:val="center"/>
          </w:tcPr>
          <w:p w14:paraId="162EE857" w14:textId="77777777" w:rsidR="007D706A" w:rsidRDefault="007D706A" w:rsidP="00F70508">
            <w:pPr>
              <w:pStyle w:val="ParagraphStyle12"/>
              <w:rPr>
                <w:rStyle w:val="CharacterStyle12"/>
              </w:rPr>
            </w:pPr>
            <w:r>
              <w:rPr>
                <w:rStyle w:val="CharacterStyle12"/>
              </w:rPr>
              <w:t>3.082,50</w:t>
            </w:r>
          </w:p>
        </w:tc>
        <w:tc>
          <w:tcPr>
            <w:tcW w:w="1395" w:type="dxa"/>
            <w:tcBorders>
              <w:bottom w:val="single" w:sz="6" w:space="0" w:color="000000"/>
              <w:right w:val="single" w:sz="6" w:space="0" w:color="000000"/>
            </w:tcBorders>
            <w:vAlign w:val="center"/>
          </w:tcPr>
          <w:p w14:paraId="20940CE0" w14:textId="77777777" w:rsidR="007D706A" w:rsidRDefault="007D706A" w:rsidP="00F70508">
            <w:pPr>
              <w:pStyle w:val="ParagraphStyle12"/>
              <w:rPr>
                <w:rStyle w:val="CharacterStyle12"/>
              </w:rPr>
            </w:pPr>
            <w:r>
              <w:rPr>
                <w:rStyle w:val="CharacterStyle12"/>
              </w:rPr>
              <w:t>3.112,50</w:t>
            </w:r>
          </w:p>
        </w:tc>
      </w:tr>
      <w:tr w:rsidR="007D706A" w14:paraId="2DA4A32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2130FFE"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2059521A"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1DAF663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CF143B7" w14:textId="77777777" w:rsidR="007D706A" w:rsidRDefault="007D706A" w:rsidP="00F70508">
            <w:pPr>
              <w:pStyle w:val="ParagraphStyle12"/>
              <w:rPr>
                <w:rStyle w:val="CharacterStyle12"/>
              </w:rPr>
            </w:pPr>
            <w:r>
              <w:rPr>
                <w:rStyle w:val="CharacterStyle12"/>
              </w:rPr>
              <w:t>1.860,00</w:t>
            </w:r>
          </w:p>
        </w:tc>
        <w:tc>
          <w:tcPr>
            <w:tcW w:w="1395" w:type="dxa"/>
            <w:tcBorders>
              <w:bottom w:val="single" w:sz="6" w:space="0" w:color="000000"/>
              <w:right w:val="single" w:sz="6" w:space="0" w:color="000000"/>
            </w:tcBorders>
            <w:vAlign w:val="center"/>
          </w:tcPr>
          <w:p w14:paraId="7EBFA75B" w14:textId="77777777" w:rsidR="007D706A" w:rsidRDefault="007D706A" w:rsidP="00F70508">
            <w:pPr>
              <w:pStyle w:val="ParagraphStyle12"/>
              <w:rPr>
                <w:rStyle w:val="CharacterStyle12"/>
              </w:rPr>
            </w:pPr>
            <w:r>
              <w:rPr>
                <w:rStyle w:val="CharacterStyle12"/>
              </w:rPr>
              <w:t>3.000,00</w:t>
            </w:r>
          </w:p>
        </w:tc>
        <w:tc>
          <w:tcPr>
            <w:tcW w:w="1395" w:type="dxa"/>
            <w:tcBorders>
              <w:bottom w:val="single" w:sz="6" w:space="0" w:color="000000"/>
              <w:right w:val="single" w:sz="6" w:space="0" w:color="000000"/>
            </w:tcBorders>
            <w:vAlign w:val="center"/>
          </w:tcPr>
          <w:p w14:paraId="19845335" w14:textId="77777777" w:rsidR="007D706A" w:rsidRDefault="007D706A" w:rsidP="00F70508">
            <w:pPr>
              <w:pStyle w:val="ParagraphStyle12"/>
              <w:rPr>
                <w:rStyle w:val="CharacterStyle12"/>
              </w:rPr>
            </w:pPr>
            <w:r>
              <w:rPr>
                <w:rStyle w:val="CharacterStyle12"/>
              </w:rPr>
              <w:t>3.082,50</w:t>
            </w:r>
          </w:p>
        </w:tc>
        <w:tc>
          <w:tcPr>
            <w:tcW w:w="1395" w:type="dxa"/>
            <w:tcBorders>
              <w:bottom w:val="single" w:sz="6" w:space="0" w:color="000000"/>
              <w:right w:val="single" w:sz="6" w:space="0" w:color="000000"/>
            </w:tcBorders>
            <w:vAlign w:val="center"/>
          </w:tcPr>
          <w:p w14:paraId="0478E98E" w14:textId="77777777" w:rsidR="007D706A" w:rsidRDefault="007D706A" w:rsidP="00F70508">
            <w:pPr>
              <w:pStyle w:val="ParagraphStyle12"/>
              <w:rPr>
                <w:rStyle w:val="CharacterStyle12"/>
              </w:rPr>
            </w:pPr>
            <w:r>
              <w:rPr>
                <w:rStyle w:val="CharacterStyle12"/>
              </w:rPr>
              <w:t>3.112,50</w:t>
            </w:r>
          </w:p>
        </w:tc>
      </w:tr>
      <w:tr w:rsidR="007D706A" w14:paraId="06177BF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013322F" w14:textId="77777777" w:rsidR="007D706A" w:rsidRDefault="007D706A" w:rsidP="00F70508">
            <w:pPr>
              <w:pStyle w:val="ParagraphStyle4"/>
              <w:rPr>
                <w:rStyle w:val="CharacterStyle4"/>
              </w:rPr>
            </w:pPr>
            <w:r>
              <w:rPr>
                <w:rStyle w:val="CharacterStyle4"/>
              </w:rPr>
              <w:t>Tekući projekt T103611</w:t>
            </w:r>
          </w:p>
        </w:tc>
        <w:tc>
          <w:tcPr>
            <w:tcW w:w="4995" w:type="dxa"/>
            <w:tcBorders>
              <w:bottom w:val="single" w:sz="6" w:space="0" w:color="000000"/>
              <w:right w:val="single" w:sz="6" w:space="0" w:color="000000"/>
            </w:tcBorders>
            <w:vAlign w:val="center"/>
          </w:tcPr>
          <w:p w14:paraId="1B78FEF5" w14:textId="77777777" w:rsidR="007D706A" w:rsidRDefault="007D706A" w:rsidP="00F70508">
            <w:pPr>
              <w:pStyle w:val="ParagraphStyle5"/>
              <w:rPr>
                <w:rStyle w:val="CharacterStyle5"/>
              </w:rPr>
            </w:pPr>
            <w:r>
              <w:rPr>
                <w:rStyle w:val="CharacterStyle5"/>
              </w:rPr>
              <w:t>ŠKOLSKA SHEMA</w:t>
            </w:r>
          </w:p>
        </w:tc>
        <w:tc>
          <w:tcPr>
            <w:tcW w:w="1395" w:type="dxa"/>
            <w:tcBorders>
              <w:bottom w:val="single" w:sz="6" w:space="0" w:color="000000"/>
              <w:right w:val="single" w:sz="6" w:space="0" w:color="000000"/>
            </w:tcBorders>
            <w:vAlign w:val="center"/>
          </w:tcPr>
          <w:p w14:paraId="0BD9B43B"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39E3E9E4" w14:textId="77777777" w:rsidR="007D706A" w:rsidRDefault="007D706A" w:rsidP="00F70508">
            <w:pPr>
              <w:pStyle w:val="ParagraphStyle6"/>
              <w:rPr>
                <w:rStyle w:val="CharacterStyle6"/>
              </w:rPr>
            </w:pPr>
            <w:r>
              <w:rPr>
                <w:rStyle w:val="CharacterStyle6"/>
              </w:rPr>
              <w:t>4.500,00</w:t>
            </w:r>
          </w:p>
        </w:tc>
        <w:tc>
          <w:tcPr>
            <w:tcW w:w="1395" w:type="dxa"/>
            <w:tcBorders>
              <w:bottom w:val="single" w:sz="6" w:space="0" w:color="000000"/>
              <w:right w:val="single" w:sz="6" w:space="0" w:color="000000"/>
            </w:tcBorders>
            <w:vAlign w:val="center"/>
          </w:tcPr>
          <w:p w14:paraId="77909AFA" w14:textId="77777777" w:rsidR="007D706A" w:rsidRDefault="007D706A" w:rsidP="00F70508">
            <w:pPr>
              <w:pStyle w:val="ParagraphStyle6"/>
              <w:rPr>
                <w:rStyle w:val="CharacterStyle6"/>
              </w:rPr>
            </w:pPr>
            <w:r>
              <w:rPr>
                <w:rStyle w:val="CharacterStyle6"/>
              </w:rPr>
              <w:t>6.000,00</w:t>
            </w:r>
          </w:p>
        </w:tc>
        <w:tc>
          <w:tcPr>
            <w:tcW w:w="1395" w:type="dxa"/>
            <w:tcBorders>
              <w:bottom w:val="single" w:sz="6" w:space="0" w:color="000000"/>
              <w:right w:val="single" w:sz="6" w:space="0" w:color="000000"/>
            </w:tcBorders>
            <w:vAlign w:val="center"/>
          </w:tcPr>
          <w:p w14:paraId="01967025" w14:textId="77777777" w:rsidR="007D706A" w:rsidRDefault="007D706A" w:rsidP="00F70508">
            <w:pPr>
              <w:pStyle w:val="ParagraphStyle6"/>
              <w:rPr>
                <w:rStyle w:val="CharacterStyle6"/>
              </w:rPr>
            </w:pPr>
            <w:r>
              <w:rPr>
                <w:rStyle w:val="CharacterStyle6"/>
              </w:rPr>
              <w:t>6.165,00</w:t>
            </w:r>
          </w:p>
        </w:tc>
        <w:tc>
          <w:tcPr>
            <w:tcW w:w="1395" w:type="dxa"/>
            <w:tcBorders>
              <w:bottom w:val="single" w:sz="6" w:space="0" w:color="000000"/>
              <w:right w:val="single" w:sz="6" w:space="0" w:color="000000"/>
            </w:tcBorders>
            <w:vAlign w:val="center"/>
          </w:tcPr>
          <w:p w14:paraId="0358F0B8" w14:textId="77777777" w:rsidR="007D706A" w:rsidRDefault="007D706A" w:rsidP="00F70508">
            <w:pPr>
              <w:pStyle w:val="ParagraphStyle6"/>
              <w:rPr>
                <w:rStyle w:val="CharacterStyle6"/>
              </w:rPr>
            </w:pPr>
            <w:r>
              <w:rPr>
                <w:rStyle w:val="CharacterStyle6"/>
              </w:rPr>
              <w:t>6.225,00</w:t>
            </w:r>
          </w:p>
        </w:tc>
      </w:tr>
      <w:tr w:rsidR="007D706A" w14:paraId="78A5FD8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DFA9B42"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22231137"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36583203"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0837E6B" w14:textId="77777777" w:rsidR="007D706A" w:rsidRDefault="007D706A" w:rsidP="00F70508">
            <w:pPr>
              <w:pStyle w:val="ParagraphStyle9"/>
              <w:rPr>
                <w:rStyle w:val="CharacterStyle9"/>
              </w:rPr>
            </w:pPr>
            <w:r>
              <w:rPr>
                <w:rStyle w:val="CharacterStyle9"/>
              </w:rPr>
              <w:t>4.500,00</w:t>
            </w:r>
          </w:p>
        </w:tc>
        <w:tc>
          <w:tcPr>
            <w:tcW w:w="1395" w:type="dxa"/>
            <w:tcBorders>
              <w:bottom w:val="single" w:sz="6" w:space="0" w:color="000000"/>
              <w:right w:val="single" w:sz="6" w:space="0" w:color="000000"/>
            </w:tcBorders>
            <w:vAlign w:val="center"/>
          </w:tcPr>
          <w:p w14:paraId="7F95CD32" w14:textId="77777777" w:rsidR="007D706A" w:rsidRDefault="007D706A" w:rsidP="00F70508">
            <w:pPr>
              <w:pStyle w:val="ParagraphStyle9"/>
              <w:rPr>
                <w:rStyle w:val="CharacterStyle9"/>
              </w:rPr>
            </w:pPr>
            <w:r>
              <w:rPr>
                <w:rStyle w:val="CharacterStyle9"/>
              </w:rPr>
              <w:t>6.000,00</w:t>
            </w:r>
          </w:p>
        </w:tc>
        <w:tc>
          <w:tcPr>
            <w:tcW w:w="1395" w:type="dxa"/>
            <w:tcBorders>
              <w:bottom w:val="single" w:sz="6" w:space="0" w:color="000000"/>
              <w:right w:val="single" w:sz="6" w:space="0" w:color="000000"/>
            </w:tcBorders>
            <w:vAlign w:val="center"/>
          </w:tcPr>
          <w:p w14:paraId="30EE00F5" w14:textId="77777777" w:rsidR="007D706A" w:rsidRDefault="007D706A" w:rsidP="00F70508">
            <w:pPr>
              <w:pStyle w:val="ParagraphStyle9"/>
              <w:rPr>
                <w:rStyle w:val="CharacterStyle9"/>
              </w:rPr>
            </w:pPr>
            <w:r>
              <w:rPr>
                <w:rStyle w:val="CharacterStyle9"/>
              </w:rPr>
              <w:t>6.165,00</w:t>
            </w:r>
          </w:p>
        </w:tc>
        <w:tc>
          <w:tcPr>
            <w:tcW w:w="1395" w:type="dxa"/>
            <w:tcBorders>
              <w:bottom w:val="single" w:sz="6" w:space="0" w:color="000000"/>
              <w:right w:val="single" w:sz="6" w:space="0" w:color="000000"/>
            </w:tcBorders>
            <w:vAlign w:val="center"/>
          </w:tcPr>
          <w:p w14:paraId="35A79258" w14:textId="77777777" w:rsidR="007D706A" w:rsidRDefault="007D706A" w:rsidP="00F70508">
            <w:pPr>
              <w:pStyle w:val="ParagraphStyle9"/>
              <w:rPr>
                <w:rStyle w:val="CharacterStyle9"/>
              </w:rPr>
            </w:pPr>
            <w:r>
              <w:rPr>
                <w:rStyle w:val="CharacterStyle9"/>
              </w:rPr>
              <w:t>6.225,00</w:t>
            </w:r>
          </w:p>
        </w:tc>
      </w:tr>
      <w:tr w:rsidR="007D706A" w14:paraId="7705DB96"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2FD0449"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0F9A13F4"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24FC2A4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8EF50FD" w14:textId="77777777" w:rsidR="007D706A" w:rsidRDefault="007D706A" w:rsidP="00F70508">
            <w:pPr>
              <w:pStyle w:val="ParagraphStyle12"/>
              <w:rPr>
                <w:rStyle w:val="CharacterStyle12"/>
              </w:rPr>
            </w:pPr>
            <w:r>
              <w:rPr>
                <w:rStyle w:val="CharacterStyle12"/>
              </w:rPr>
              <w:t>4.500,00</w:t>
            </w:r>
          </w:p>
        </w:tc>
        <w:tc>
          <w:tcPr>
            <w:tcW w:w="1395" w:type="dxa"/>
            <w:tcBorders>
              <w:bottom w:val="single" w:sz="6" w:space="0" w:color="000000"/>
              <w:right w:val="single" w:sz="6" w:space="0" w:color="000000"/>
            </w:tcBorders>
            <w:vAlign w:val="center"/>
          </w:tcPr>
          <w:p w14:paraId="100300A2" w14:textId="77777777" w:rsidR="007D706A" w:rsidRDefault="007D706A" w:rsidP="00F70508">
            <w:pPr>
              <w:pStyle w:val="ParagraphStyle12"/>
              <w:rPr>
                <w:rStyle w:val="CharacterStyle12"/>
              </w:rPr>
            </w:pPr>
            <w:r>
              <w:rPr>
                <w:rStyle w:val="CharacterStyle12"/>
              </w:rPr>
              <w:t>6.000,00</w:t>
            </w:r>
          </w:p>
        </w:tc>
        <w:tc>
          <w:tcPr>
            <w:tcW w:w="1395" w:type="dxa"/>
            <w:tcBorders>
              <w:bottom w:val="single" w:sz="6" w:space="0" w:color="000000"/>
              <w:right w:val="single" w:sz="6" w:space="0" w:color="000000"/>
            </w:tcBorders>
            <w:vAlign w:val="center"/>
          </w:tcPr>
          <w:p w14:paraId="5E3C111B" w14:textId="77777777" w:rsidR="007D706A" w:rsidRDefault="007D706A" w:rsidP="00F70508">
            <w:pPr>
              <w:pStyle w:val="ParagraphStyle12"/>
              <w:rPr>
                <w:rStyle w:val="CharacterStyle12"/>
              </w:rPr>
            </w:pPr>
            <w:r>
              <w:rPr>
                <w:rStyle w:val="CharacterStyle12"/>
              </w:rPr>
              <w:t>6.165,00</w:t>
            </w:r>
          </w:p>
        </w:tc>
        <w:tc>
          <w:tcPr>
            <w:tcW w:w="1395" w:type="dxa"/>
            <w:tcBorders>
              <w:bottom w:val="single" w:sz="6" w:space="0" w:color="000000"/>
              <w:right w:val="single" w:sz="6" w:space="0" w:color="000000"/>
            </w:tcBorders>
            <w:vAlign w:val="center"/>
          </w:tcPr>
          <w:p w14:paraId="416912DF" w14:textId="77777777" w:rsidR="007D706A" w:rsidRDefault="007D706A" w:rsidP="00F70508">
            <w:pPr>
              <w:pStyle w:val="ParagraphStyle12"/>
              <w:rPr>
                <w:rStyle w:val="CharacterStyle12"/>
              </w:rPr>
            </w:pPr>
            <w:r>
              <w:rPr>
                <w:rStyle w:val="CharacterStyle12"/>
              </w:rPr>
              <w:t>6.225,00</w:t>
            </w:r>
          </w:p>
        </w:tc>
      </w:tr>
      <w:tr w:rsidR="007D706A" w14:paraId="2CB4654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6C5FCE2"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64833973"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193FD85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15AE967" w14:textId="77777777" w:rsidR="007D706A" w:rsidRDefault="007D706A" w:rsidP="00F70508">
            <w:pPr>
              <w:pStyle w:val="ParagraphStyle12"/>
              <w:rPr>
                <w:rStyle w:val="CharacterStyle12"/>
              </w:rPr>
            </w:pPr>
            <w:r>
              <w:rPr>
                <w:rStyle w:val="CharacterStyle12"/>
              </w:rPr>
              <w:t>4.500,00</w:t>
            </w:r>
          </w:p>
        </w:tc>
        <w:tc>
          <w:tcPr>
            <w:tcW w:w="1395" w:type="dxa"/>
            <w:tcBorders>
              <w:bottom w:val="single" w:sz="6" w:space="0" w:color="000000"/>
              <w:right w:val="single" w:sz="6" w:space="0" w:color="000000"/>
            </w:tcBorders>
            <w:vAlign w:val="center"/>
          </w:tcPr>
          <w:p w14:paraId="57B8FAEB" w14:textId="77777777" w:rsidR="007D706A" w:rsidRDefault="007D706A" w:rsidP="00F70508">
            <w:pPr>
              <w:pStyle w:val="ParagraphStyle12"/>
              <w:rPr>
                <w:rStyle w:val="CharacterStyle12"/>
              </w:rPr>
            </w:pPr>
            <w:r>
              <w:rPr>
                <w:rStyle w:val="CharacterStyle12"/>
              </w:rPr>
              <w:t>6.000,00</w:t>
            </w:r>
          </w:p>
        </w:tc>
        <w:tc>
          <w:tcPr>
            <w:tcW w:w="1395" w:type="dxa"/>
            <w:tcBorders>
              <w:bottom w:val="single" w:sz="6" w:space="0" w:color="000000"/>
              <w:right w:val="single" w:sz="6" w:space="0" w:color="000000"/>
            </w:tcBorders>
            <w:vAlign w:val="center"/>
          </w:tcPr>
          <w:p w14:paraId="6E7EF5CA" w14:textId="77777777" w:rsidR="007D706A" w:rsidRDefault="007D706A" w:rsidP="00F70508">
            <w:pPr>
              <w:pStyle w:val="ParagraphStyle12"/>
              <w:rPr>
                <w:rStyle w:val="CharacterStyle12"/>
              </w:rPr>
            </w:pPr>
            <w:r>
              <w:rPr>
                <w:rStyle w:val="CharacterStyle12"/>
              </w:rPr>
              <w:t>6.165,00</w:t>
            </w:r>
          </w:p>
        </w:tc>
        <w:tc>
          <w:tcPr>
            <w:tcW w:w="1395" w:type="dxa"/>
            <w:tcBorders>
              <w:bottom w:val="single" w:sz="6" w:space="0" w:color="000000"/>
              <w:right w:val="single" w:sz="6" w:space="0" w:color="000000"/>
            </w:tcBorders>
            <w:vAlign w:val="center"/>
          </w:tcPr>
          <w:p w14:paraId="17A84038" w14:textId="77777777" w:rsidR="007D706A" w:rsidRDefault="007D706A" w:rsidP="00F70508">
            <w:pPr>
              <w:pStyle w:val="ParagraphStyle12"/>
              <w:rPr>
                <w:rStyle w:val="CharacterStyle12"/>
              </w:rPr>
            </w:pPr>
            <w:r>
              <w:rPr>
                <w:rStyle w:val="CharacterStyle12"/>
              </w:rPr>
              <w:t>6.225,00</w:t>
            </w:r>
          </w:p>
        </w:tc>
      </w:tr>
      <w:tr w:rsidR="007D706A" w14:paraId="296F96E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F9F4DAF" w14:textId="77777777" w:rsidR="007D706A" w:rsidRDefault="007D706A" w:rsidP="00F70508">
            <w:pPr>
              <w:pStyle w:val="ParagraphStyle4"/>
              <w:rPr>
                <w:rStyle w:val="CharacterStyle4"/>
              </w:rPr>
            </w:pPr>
            <w:r>
              <w:rPr>
                <w:rStyle w:val="CharacterStyle4"/>
              </w:rPr>
              <w:t>Aktivnost A103626</w:t>
            </w:r>
          </w:p>
        </w:tc>
        <w:tc>
          <w:tcPr>
            <w:tcW w:w="4995" w:type="dxa"/>
            <w:tcBorders>
              <w:bottom w:val="single" w:sz="6" w:space="0" w:color="000000"/>
              <w:right w:val="single" w:sz="6" w:space="0" w:color="000000"/>
            </w:tcBorders>
            <w:vAlign w:val="center"/>
          </w:tcPr>
          <w:p w14:paraId="3D73FF14" w14:textId="77777777" w:rsidR="007D706A" w:rsidRDefault="007D706A" w:rsidP="00F70508">
            <w:pPr>
              <w:pStyle w:val="ParagraphStyle5"/>
              <w:rPr>
                <w:rStyle w:val="CharacterStyle5"/>
              </w:rPr>
            </w:pPr>
            <w:r>
              <w:rPr>
                <w:rStyle w:val="CharacterStyle5"/>
              </w:rPr>
              <w:t>ZAVIČAJNA NASTAVA</w:t>
            </w:r>
          </w:p>
        </w:tc>
        <w:tc>
          <w:tcPr>
            <w:tcW w:w="1395" w:type="dxa"/>
            <w:tcBorders>
              <w:bottom w:val="single" w:sz="6" w:space="0" w:color="000000"/>
              <w:right w:val="single" w:sz="6" w:space="0" w:color="000000"/>
            </w:tcBorders>
            <w:vAlign w:val="center"/>
          </w:tcPr>
          <w:p w14:paraId="260D6734"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6B3CED8F" w14:textId="77777777" w:rsidR="007D706A" w:rsidRDefault="007D706A" w:rsidP="00F70508">
            <w:pPr>
              <w:pStyle w:val="ParagraphStyle6"/>
              <w:rPr>
                <w:rStyle w:val="CharacterStyle6"/>
              </w:rPr>
            </w:pPr>
            <w:r>
              <w:rPr>
                <w:rStyle w:val="CharacterStyle6"/>
              </w:rPr>
              <w:t>1.300,00</w:t>
            </w:r>
          </w:p>
        </w:tc>
        <w:tc>
          <w:tcPr>
            <w:tcW w:w="1395" w:type="dxa"/>
            <w:tcBorders>
              <w:bottom w:val="single" w:sz="6" w:space="0" w:color="000000"/>
              <w:right w:val="single" w:sz="6" w:space="0" w:color="000000"/>
            </w:tcBorders>
            <w:vAlign w:val="center"/>
          </w:tcPr>
          <w:p w14:paraId="1B728595" w14:textId="77777777" w:rsidR="007D706A" w:rsidRDefault="007D706A" w:rsidP="00F70508">
            <w:pPr>
              <w:pStyle w:val="ParagraphStyle6"/>
              <w:rPr>
                <w:rStyle w:val="CharacterStyle6"/>
              </w:rPr>
            </w:pPr>
            <w:r>
              <w:rPr>
                <w:rStyle w:val="CharacterStyle6"/>
              </w:rPr>
              <w:t>1.300,00</w:t>
            </w:r>
          </w:p>
        </w:tc>
        <w:tc>
          <w:tcPr>
            <w:tcW w:w="1395" w:type="dxa"/>
            <w:tcBorders>
              <w:bottom w:val="single" w:sz="6" w:space="0" w:color="000000"/>
              <w:right w:val="single" w:sz="6" w:space="0" w:color="000000"/>
            </w:tcBorders>
            <w:vAlign w:val="center"/>
          </w:tcPr>
          <w:p w14:paraId="137B57B5" w14:textId="77777777" w:rsidR="007D706A" w:rsidRDefault="007D706A" w:rsidP="00F70508">
            <w:pPr>
              <w:pStyle w:val="ParagraphStyle6"/>
              <w:rPr>
                <w:rStyle w:val="CharacterStyle6"/>
              </w:rPr>
            </w:pPr>
            <w:r>
              <w:rPr>
                <w:rStyle w:val="CharacterStyle6"/>
              </w:rPr>
              <w:t>1.335,75</w:t>
            </w:r>
          </w:p>
        </w:tc>
        <w:tc>
          <w:tcPr>
            <w:tcW w:w="1395" w:type="dxa"/>
            <w:tcBorders>
              <w:bottom w:val="single" w:sz="6" w:space="0" w:color="000000"/>
              <w:right w:val="single" w:sz="6" w:space="0" w:color="000000"/>
            </w:tcBorders>
            <w:vAlign w:val="center"/>
          </w:tcPr>
          <w:p w14:paraId="7DE08587" w14:textId="77777777" w:rsidR="007D706A" w:rsidRDefault="007D706A" w:rsidP="00F70508">
            <w:pPr>
              <w:pStyle w:val="ParagraphStyle6"/>
              <w:rPr>
                <w:rStyle w:val="CharacterStyle6"/>
              </w:rPr>
            </w:pPr>
            <w:r>
              <w:rPr>
                <w:rStyle w:val="CharacterStyle6"/>
              </w:rPr>
              <w:t>1.348,75</w:t>
            </w:r>
          </w:p>
        </w:tc>
      </w:tr>
      <w:tr w:rsidR="007D706A" w14:paraId="4D054456"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8FC4C45" w14:textId="77777777" w:rsidR="007D706A" w:rsidRDefault="007D706A" w:rsidP="00F70508">
            <w:pPr>
              <w:pStyle w:val="ParagraphStyle7"/>
              <w:rPr>
                <w:rStyle w:val="CharacterStyle7"/>
              </w:rPr>
            </w:pPr>
            <w:r>
              <w:rPr>
                <w:rStyle w:val="CharacterStyle7"/>
              </w:rPr>
              <w:t>Izvor financiranja 5</w:t>
            </w:r>
          </w:p>
        </w:tc>
        <w:tc>
          <w:tcPr>
            <w:tcW w:w="4995" w:type="dxa"/>
            <w:tcBorders>
              <w:bottom w:val="single" w:sz="6" w:space="0" w:color="000000"/>
              <w:right w:val="single" w:sz="6" w:space="0" w:color="000000"/>
            </w:tcBorders>
            <w:vAlign w:val="center"/>
          </w:tcPr>
          <w:p w14:paraId="4206C9AF" w14:textId="77777777" w:rsidR="007D706A" w:rsidRDefault="007D706A" w:rsidP="00F70508">
            <w:pPr>
              <w:pStyle w:val="ParagraphStyle8"/>
              <w:rPr>
                <w:rStyle w:val="CharacterStyle8"/>
              </w:rPr>
            </w:pPr>
            <w:r>
              <w:rPr>
                <w:rStyle w:val="CharacterStyle8"/>
              </w:rPr>
              <w:t>POMOĆI</w:t>
            </w:r>
          </w:p>
        </w:tc>
        <w:tc>
          <w:tcPr>
            <w:tcW w:w="1395" w:type="dxa"/>
            <w:tcBorders>
              <w:bottom w:val="single" w:sz="6" w:space="0" w:color="000000"/>
              <w:right w:val="single" w:sz="6" w:space="0" w:color="000000"/>
            </w:tcBorders>
            <w:vAlign w:val="center"/>
          </w:tcPr>
          <w:p w14:paraId="19741784"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5B6EDBC"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5CB036A" w14:textId="77777777" w:rsidR="007D706A" w:rsidRDefault="007D706A" w:rsidP="00F70508">
            <w:pPr>
              <w:pStyle w:val="ParagraphStyle9"/>
              <w:rPr>
                <w:rStyle w:val="CharacterStyle9"/>
              </w:rPr>
            </w:pPr>
            <w:r>
              <w:rPr>
                <w:rStyle w:val="CharacterStyle9"/>
              </w:rPr>
              <w:t>1.300,00</w:t>
            </w:r>
          </w:p>
        </w:tc>
        <w:tc>
          <w:tcPr>
            <w:tcW w:w="1395" w:type="dxa"/>
            <w:tcBorders>
              <w:bottom w:val="single" w:sz="6" w:space="0" w:color="000000"/>
              <w:right w:val="single" w:sz="6" w:space="0" w:color="000000"/>
            </w:tcBorders>
            <w:vAlign w:val="center"/>
          </w:tcPr>
          <w:p w14:paraId="784EC33C" w14:textId="77777777" w:rsidR="007D706A" w:rsidRDefault="007D706A" w:rsidP="00F70508">
            <w:pPr>
              <w:pStyle w:val="ParagraphStyle9"/>
              <w:rPr>
                <w:rStyle w:val="CharacterStyle9"/>
              </w:rPr>
            </w:pPr>
            <w:r>
              <w:rPr>
                <w:rStyle w:val="CharacterStyle9"/>
              </w:rPr>
              <w:t>1.335,75</w:t>
            </w:r>
          </w:p>
        </w:tc>
        <w:tc>
          <w:tcPr>
            <w:tcW w:w="1395" w:type="dxa"/>
            <w:tcBorders>
              <w:bottom w:val="single" w:sz="6" w:space="0" w:color="000000"/>
              <w:right w:val="single" w:sz="6" w:space="0" w:color="000000"/>
            </w:tcBorders>
            <w:vAlign w:val="center"/>
          </w:tcPr>
          <w:p w14:paraId="00A4CAD0" w14:textId="77777777" w:rsidR="007D706A" w:rsidRDefault="007D706A" w:rsidP="00F70508">
            <w:pPr>
              <w:pStyle w:val="ParagraphStyle9"/>
              <w:rPr>
                <w:rStyle w:val="CharacterStyle9"/>
              </w:rPr>
            </w:pPr>
            <w:r>
              <w:rPr>
                <w:rStyle w:val="CharacterStyle9"/>
              </w:rPr>
              <w:t>1.348,75</w:t>
            </w:r>
          </w:p>
        </w:tc>
      </w:tr>
      <w:tr w:rsidR="007D706A" w14:paraId="5F11727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E1B689D"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5C893E61"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182AE5E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0C3BB5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FF7F22C" w14:textId="77777777" w:rsidR="007D706A" w:rsidRDefault="007D706A" w:rsidP="00F70508">
            <w:pPr>
              <w:pStyle w:val="ParagraphStyle12"/>
              <w:rPr>
                <w:rStyle w:val="CharacterStyle12"/>
              </w:rPr>
            </w:pPr>
            <w:r>
              <w:rPr>
                <w:rStyle w:val="CharacterStyle12"/>
              </w:rPr>
              <w:t>1.300,00</w:t>
            </w:r>
          </w:p>
        </w:tc>
        <w:tc>
          <w:tcPr>
            <w:tcW w:w="1395" w:type="dxa"/>
            <w:tcBorders>
              <w:bottom w:val="single" w:sz="6" w:space="0" w:color="000000"/>
              <w:right w:val="single" w:sz="6" w:space="0" w:color="000000"/>
            </w:tcBorders>
            <w:vAlign w:val="center"/>
          </w:tcPr>
          <w:p w14:paraId="56124079" w14:textId="77777777" w:rsidR="007D706A" w:rsidRDefault="007D706A" w:rsidP="00F70508">
            <w:pPr>
              <w:pStyle w:val="ParagraphStyle12"/>
              <w:rPr>
                <w:rStyle w:val="CharacterStyle12"/>
              </w:rPr>
            </w:pPr>
            <w:r>
              <w:rPr>
                <w:rStyle w:val="CharacterStyle12"/>
              </w:rPr>
              <w:t>1.335,75</w:t>
            </w:r>
          </w:p>
        </w:tc>
        <w:tc>
          <w:tcPr>
            <w:tcW w:w="1395" w:type="dxa"/>
            <w:tcBorders>
              <w:bottom w:val="single" w:sz="6" w:space="0" w:color="000000"/>
              <w:right w:val="single" w:sz="6" w:space="0" w:color="000000"/>
            </w:tcBorders>
            <w:vAlign w:val="center"/>
          </w:tcPr>
          <w:p w14:paraId="15404E88" w14:textId="77777777" w:rsidR="007D706A" w:rsidRDefault="007D706A" w:rsidP="00F70508">
            <w:pPr>
              <w:pStyle w:val="ParagraphStyle12"/>
              <w:rPr>
                <w:rStyle w:val="CharacterStyle12"/>
              </w:rPr>
            </w:pPr>
            <w:r>
              <w:rPr>
                <w:rStyle w:val="CharacterStyle12"/>
              </w:rPr>
              <w:t>1.348,75</w:t>
            </w:r>
          </w:p>
        </w:tc>
      </w:tr>
      <w:tr w:rsidR="007D706A" w14:paraId="0602452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B6084B6"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00D01948"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4A66867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A42777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2EE513F" w14:textId="77777777" w:rsidR="007D706A" w:rsidRDefault="007D706A" w:rsidP="00F70508">
            <w:pPr>
              <w:pStyle w:val="ParagraphStyle12"/>
              <w:rPr>
                <w:rStyle w:val="CharacterStyle12"/>
              </w:rPr>
            </w:pPr>
            <w:r>
              <w:rPr>
                <w:rStyle w:val="CharacterStyle12"/>
              </w:rPr>
              <w:t>1.300,00</w:t>
            </w:r>
          </w:p>
        </w:tc>
        <w:tc>
          <w:tcPr>
            <w:tcW w:w="1395" w:type="dxa"/>
            <w:tcBorders>
              <w:bottom w:val="single" w:sz="6" w:space="0" w:color="000000"/>
              <w:right w:val="single" w:sz="6" w:space="0" w:color="000000"/>
            </w:tcBorders>
            <w:vAlign w:val="center"/>
          </w:tcPr>
          <w:p w14:paraId="4BAFB421" w14:textId="77777777" w:rsidR="007D706A" w:rsidRDefault="007D706A" w:rsidP="00F70508">
            <w:pPr>
              <w:pStyle w:val="ParagraphStyle12"/>
              <w:rPr>
                <w:rStyle w:val="CharacterStyle12"/>
              </w:rPr>
            </w:pPr>
            <w:r>
              <w:rPr>
                <w:rStyle w:val="CharacterStyle12"/>
              </w:rPr>
              <w:t>1.335,75</w:t>
            </w:r>
          </w:p>
        </w:tc>
        <w:tc>
          <w:tcPr>
            <w:tcW w:w="1395" w:type="dxa"/>
            <w:tcBorders>
              <w:bottom w:val="single" w:sz="6" w:space="0" w:color="000000"/>
              <w:right w:val="single" w:sz="6" w:space="0" w:color="000000"/>
            </w:tcBorders>
            <w:vAlign w:val="center"/>
          </w:tcPr>
          <w:p w14:paraId="2E9E3274" w14:textId="77777777" w:rsidR="007D706A" w:rsidRDefault="007D706A" w:rsidP="00F70508">
            <w:pPr>
              <w:pStyle w:val="ParagraphStyle12"/>
              <w:rPr>
                <w:rStyle w:val="CharacterStyle12"/>
              </w:rPr>
            </w:pPr>
            <w:r>
              <w:rPr>
                <w:rStyle w:val="CharacterStyle12"/>
              </w:rPr>
              <w:t>1.348,75</w:t>
            </w:r>
          </w:p>
        </w:tc>
      </w:tr>
      <w:tr w:rsidR="007D706A" w14:paraId="3C4636F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0241881" w14:textId="77777777" w:rsidR="007D706A" w:rsidRDefault="007D706A" w:rsidP="00F70508">
            <w:pPr>
              <w:pStyle w:val="ParagraphStyle7"/>
              <w:rPr>
                <w:rStyle w:val="CharacterStyle7"/>
              </w:rPr>
            </w:pPr>
            <w:r>
              <w:rPr>
                <w:rStyle w:val="CharacterStyle7"/>
              </w:rPr>
              <w:t>Izvor financiranja 53</w:t>
            </w:r>
          </w:p>
        </w:tc>
        <w:tc>
          <w:tcPr>
            <w:tcW w:w="4995" w:type="dxa"/>
            <w:tcBorders>
              <w:bottom w:val="single" w:sz="6" w:space="0" w:color="000000"/>
              <w:right w:val="single" w:sz="6" w:space="0" w:color="000000"/>
            </w:tcBorders>
            <w:vAlign w:val="center"/>
          </w:tcPr>
          <w:p w14:paraId="23CCC1D7" w14:textId="77777777" w:rsidR="007D706A" w:rsidRDefault="007D706A" w:rsidP="00F70508">
            <w:pPr>
              <w:pStyle w:val="ParagraphStyle8"/>
              <w:rPr>
                <w:rStyle w:val="CharacterStyle8"/>
              </w:rPr>
            </w:pPr>
            <w:r>
              <w:rPr>
                <w:rStyle w:val="CharacterStyle8"/>
              </w:rPr>
              <w:t>Proračuni, drugi nivoi - za posebne i / ili ugovorene namjene</w:t>
            </w:r>
          </w:p>
        </w:tc>
        <w:tc>
          <w:tcPr>
            <w:tcW w:w="1395" w:type="dxa"/>
            <w:tcBorders>
              <w:bottom w:val="single" w:sz="6" w:space="0" w:color="000000"/>
              <w:right w:val="single" w:sz="6" w:space="0" w:color="000000"/>
            </w:tcBorders>
            <w:vAlign w:val="center"/>
          </w:tcPr>
          <w:p w14:paraId="013518B2"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D0111FE" w14:textId="77777777" w:rsidR="007D706A" w:rsidRDefault="007D706A" w:rsidP="00F70508">
            <w:pPr>
              <w:pStyle w:val="ParagraphStyle9"/>
              <w:rPr>
                <w:rStyle w:val="CharacterStyle9"/>
              </w:rPr>
            </w:pPr>
            <w:r>
              <w:rPr>
                <w:rStyle w:val="CharacterStyle9"/>
              </w:rPr>
              <w:t>1.300,00</w:t>
            </w:r>
          </w:p>
        </w:tc>
        <w:tc>
          <w:tcPr>
            <w:tcW w:w="1395" w:type="dxa"/>
            <w:tcBorders>
              <w:bottom w:val="single" w:sz="6" w:space="0" w:color="000000"/>
              <w:right w:val="single" w:sz="6" w:space="0" w:color="000000"/>
            </w:tcBorders>
            <w:vAlign w:val="center"/>
          </w:tcPr>
          <w:p w14:paraId="5D1C395B"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ED135A5"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B03CFC2" w14:textId="77777777" w:rsidR="007D706A" w:rsidRDefault="007D706A" w:rsidP="00F70508">
            <w:pPr>
              <w:pStyle w:val="ParagraphStyle9"/>
              <w:rPr>
                <w:rStyle w:val="CharacterStyle9"/>
              </w:rPr>
            </w:pPr>
            <w:r>
              <w:rPr>
                <w:rStyle w:val="CharacterStyle9"/>
              </w:rPr>
              <w:t>0,00</w:t>
            </w:r>
          </w:p>
        </w:tc>
      </w:tr>
      <w:tr w:rsidR="007D706A" w14:paraId="17B8E0F6"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CB88F3A"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7F5BA5EB"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79F9205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55A2F5F" w14:textId="77777777" w:rsidR="007D706A" w:rsidRDefault="007D706A" w:rsidP="00F70508">
            <w:pPr>
              <w:pStyle w:val="ParagraphStyle12"/>
              <w:rPr>
                <w:rStyle w:val="CharacterStyle12"/>
              </w:rPr>
            </w:pPr>
            <w:r>
              <w:rPr>
                <w:rStyle w:val="CharacterStyle12"/>
              </w:rPr>
              <w:t>1.300,00</w:t>
            </w:r>
          </w:p>
        </w:tc>
        <w:tc>
          <w:tcPr>
            <w:tcW w:w="1395" w:type="dxa"/>
            <w:tcBorders>
              <w:bottom w:val="single" w:sz="6" w:space="0" w:color="000000"/>
              <w:right w:val="single" w:sz="6" w:space="0" w:color="000000"/>
            </w:tcBorders>
            <w:vAlign w:val="center"/>
          </w:tcPr>
          <w:p w14:paraId="4FD84F4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865B1E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067C337" w14:textId="77777777" w:rsidR="007D706A" w:rsidRDefault="007D706A" w:rsidP="00F70508">
            <w:pPr>
              <w:pStyle w:val="ParagraphStyle12"/>
              <w:rPr>
                <w:rStyle w:val="CharacterStyle12"/>
              </w:rPr>
            </w:pPr>
            <w:r>
              <w:rPr>
                <w:rStyle w:val="CharacterStyle12"/>
              </w:rPr>
              <w:t>0,00</w:t>
            </w:r>
          </w:p>
        </w:tc>
      </w:tr>
      <w:tr w:rsidR="007D706A" w14:paraId="3CBA15E6"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A9AF7E3"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162493FD"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144E003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F6A22E2" w14:textId="77777777" w:rsidR="007D706A" w:rsidRDefault="007D706A" w:rsidP="00F70508">
            <w:pPr>
              <w:pStyle w:val="ParagraphStyle12"/>
              <w:rPr>
                <w:rStyle w:val="CharacterStyle12"/>
              </w:rPr>
            </w:pPr>
            <w:r>
              <w:rPr>
                <w:rStyle w:val="CharacterStyle12"/>
              </w:rPr>
              <w:t>1.300,00</w:t>
            </w:r>
          </w:p>
        </w:tc>
        <w:tc>
          <w:tcPr>
            <w:tcW w:w="1395" w:type="dxa"/>
            <w:tcBorders>
              <w:bottom w:val="single" w:sz="6" w:space="0" w:color="000000"/>
              <w:right w:val="single" w:sz="6" w:space="0" w:color="000000"/>
            </w:tcBorders>
            <w:vAlign w:val="center"/>
          </w:tcPr>
          <w:p w14:paraId="75C8EBB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8081E2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A7A9BDC" w14:textId="77777777" w:rsidR="007D706A" w:rsidRDefault="007D706A" w:rsidP="00F70508">
            <w:pPr>
              <w:pStyle w:val="ParagraphStyle12"/>
              <w:rPr>
                <w:rStyle w:val="CharacterStyle12"/>
              </w:rPr>
            </w:pPr>
            <w:r>
              <w:rPr>
                <w:rStyle w:val="CharacterStyle12"/>
              </w:rPr>
              <w:t>0,00</w:t>
            </w:r>
          </w:p>
        </w:tc>
      </w:tr>
      <w:tr w:rsidR="007D706A" w14:paraId="5EEABE6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9E6DD43" w14:textId="77777777" w:rsidR="007D706A" w:rsidRDefault="007D706A" w:rsidP="00F70508">
            <w:pPr>
              <w:pStyle w:val="ParagraphStyle4"/>
              <w:rPr>
                <w:rStyle w:val="CharacterStyle4"/>
              </w:rPr>
            </w:pPr>
            <w:r>
              <w:rPr>
                <w:rStyle w:val="CharacterStyle4"/>
              </w:rPr>
              <w:t>Kapitalni projekt K103604</w:t>
            </w:r>
          </w:p>
        </w:tc>
        <w:tc>
          <w:tcPr>
            <w:tcW w:w="4995" w:type="dxa"/>
            <w:tcBorders>
              <w:bottom w:val="single" w:sz="6" w:space="0" w:color="000000"/>
              <w:right w:val="single" w:sz="6" w:space="0" w:color="000000"/>
            </w:tcBorders>
            <w:vAlign w:val="center"/>
          </w:tcPr>
          <w:p w14:paraId="38C342D5" w14:textId="77777777" w:rsidR="007D706A" w:rsidRDefault="007D706A" w:rsidP="00F70508">
            <w:pPr>
              <w:pStyle w:val="ParagraphStyle5"/>
              <w:rPr>
                <w:rStyle w:val="CharacterStyle5"/>
              </w:rPr>
            </w:pPr>
            <w:r>
              <w:rPr>
                <w:rStyle w:val="CharacterStyle5"/>
              </w:rPr>
              <w:t>NABAVA ŠKOLSKIH UDŽBENIKA</w:t>
            </w:r>
          </w:p>
        </w:tc>
        <w:tc>
          <w:tcPr>
            <w:tcW w:w="1395" w:type="dxa"/>
            <w:tcBorders>
              <w:bottom w:val="single" w:sz="6" w:space="0" w:color="000000"/>
              <w:right w:val="single" w:sz="6" w:space="0" w:color="000000"/>
            </w:tcBorders>
            <w:vAlign w:val="center"/>
          </w:tcPr>
          <w:p w14:paraId="35E7CA02"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183D8665" w14:textId="77777777" w:rsidR="007D706A" w:rsidRDefault="007D706A" w:rsidP="00F70508">
            <w:pPr>
              <w:pStyle w:val="ParagraphStyle6"/>
              <w:rPr>
                <w:rStyle w:val="CharacterStyle6"/>
              </w:rPr>
            </w:pPr>
            <w:r>
              <w:rPr>
                <w:rStyle w:val="CharacterStyle6"/>
              </w:rPr>
              <w:t>78.000,00</w:t>
            </w:r>
          </w:p>
        </w:tc>
        <w:tc>
          <w:tcPr>
            <w:tcW w:w="1395" w:type="dxa"/>
            <w:tcBorders>
              <w:bottom w:val="single" w:sz="6" w:space="0" w:color="000000"/>
              <w:right w:val="single" w:sz="6" w:space="0" w:color="000000"/>
            </w:tcBorders>
            <w:vAlign w:val="center"/>
          </w:tcPr>
          <w:p w14:paraId="0B59981A" w14:textId="77777777" w:rsidR="007D706A" w:rsidRDefault="007D706A" w:rsidP="00F70508">
            <w:pPr>
              <w:pStyle w:val="ParagraphStyle6"/>
              <w:rPr>
                <w:rStyle w:val="CharacterStyle6"/>
              </w:rPr>
            </w:pPr>
            <w:r>
              <w:rPr>
                <w:rStyle w:val="CharacterStyle6"/>
              </w:rPr>
              <w:t>60.000,00</w:t>
            </w:r>
          </w:p>
        </w:tc>
        <w:tc>
          <w:tcPr>
            <w:tcW w:w="1395" w:type="dxa"/>
            <w:tcBorders>
              <w:bottom w:val="single" w:sz="6" w:space="0" w:color="000000"/>
              <w:right w:val="single" w:sz="6" w:space="0" w:color="000000"/>
            </w:tcBorders>
            <w:vAlign w:val="center"/>
          </w:tcPr>
          <w:p w14:paraId="072CD4E5" w14:textId="77777777" w:rsidR="007D706A" w:rsidRDefault="007D706A" w:rsidP="00F70508">
            <w:pPr>
              <w:pStyle w:val="ParagraphStyle6"/>
              <w:rPr>
                <w:rStyle w:val="CharacterStyle6"/>
              </w:rPr>
            </w:pPr>
            <w:r>
              <w:rPr>
                <w:rStyle w:val="CharacterStyle6"/>
              </w:rPr>
              <w:t>61.650,00</w:t>
            </w:r>
          </w:p>
        </w:tc>
        <w:tc>
          <w:tcPr>
            <w:tcW w:w="1395" w:type="dxa"/>
            <w:tcBorders>
              <w:bottom w:val="single" w:sz="6" w:space="0" w:color="000000"/>
              <w:right w:val="single" w:sz="6" w:space="0" w:color="000000"/>
            </w:tcBorders>
            <w:vAlign w:val="center"/>
          </w:tcPr>
          <w:p w14:paraId="5DF0188D" w14:textId="77777777" w:rsidR="007D706A" w:rsidRDefault="007D706A" w:rsidP="00F70508">
            <w:pPr>
              <w:pStyle w:val="ParagraphStyle6"/>
              <w:rPr>
                <w:rStyle w:val="CharacterStyle6"/>
              </w:rPr>
            </w:pPr>
            <w:r>
              <w:rPr>
                <w:rStyle w:val="CharacterStyle6"/>
              </w:rPr>
              <w:t>62.250,00</w:t>
            </w:r>
          </w:p>
        </w:tc>
      </w:tr>
      <w:tr w:rsidR="007D706A" w14:paraId="36166CF6"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E964AF4" w14:textId="77777777" w:rsidR="007D706A" w:rsidRDefault="007D706A" w:rsidP="00F70508">
            <w:pPr>
              <w:pStyle w:val="ParagraphStyle7"/>
              <w:rPr>
                <w:rStyle w:val="CharacterStyle7"/>
              </w:rPr>
            </w:pPr>
            <w:r>
              <w:rPr>
                <w:rStyle w:val="CharacterStyle7"/>
              </w:rPr>
              <w:t>Izvor financiranja 50</w:t>
            </w:r>
          </w:p>
        </w:tc>
        <w:tc>
          <w:tcPr>
            <w:tcW w:w="4995" w:type="dxa"/>
            <w:tcBorders>
              <w:bottom w:val="single" w:sz="6" w:space="0" w:color="000000"/>
              <w:right w:val="single" w:sz="6" w:space="0" w:color="000000"/>
            </w:tcBorders>
            <w:vAlign w:val="center"/>
          </w:tcPr>
          <w:p w14:paraId="16C669EE" w14:textId="77777777" w:rsidR="007D706A" w:rsidRDefault="007D706A" w:rsidP="00F70508">
            <w:pPr>
              <w:pStyle w:val="ParagraphStyle8"/>
              <w:rPr>
                <w:rStyle w:val="CharacterStyle8"/>
              </w:rPr>
            </w:pPr>
            <w:r>
              <w:rPr>
                <w:rStyle w:val="CharacterStyle8"/>
              </w:rPr>
              <w:t>Pomoći iz državnog proračuna</w:t>
            </w:r>
          </w:p>
        </w:tc>
        <w:tc>
          <w:tcPr>
            <w:tcW w:w="1395" w:type="dxa"/>
            <w:tcBorders>
              <w:bottom w:val="single" w:sz="6" w:space="0" w:color="000000"/>
              <w:right w:val="single" w:sz="6" w:space="0" w:color="000000"/>
            </w:tcBorders>
            <w:vAlign w:val="center"/>
          </w:tcPr>
          <w:p w14:paraId="54DA8988"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EDAF77A"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154F1B1" w14:textId="77777777" w:rsidR="007D706A" w:rsidRDefault="007D706A" w:rsidP="00F70508">
            <w:pPr>
              <w:pStyle w:val="ParagraphStyle9"/>
              <w:rPr>
                <w:rStyle w:val="CharacterStyle9"/>
              </w:rPr>
            </w:pPr>
            <w:r>
              <w:rPr>
                <w:rStyle w:val="CharacterStyle9"/>
              </w:rPr>
              <w:t>60.000,00</w:t>
            </w:r>
          </w:p>
        </w:tc>
        <w:tc>
          <w:tcPr>
            <w:tcW w:w="1395" w:type="dxa"/>
            <w:tcBorders>
              <w:bottom w:val="single" w:sz="6" w:space="0" w:color="000000"/>
              <w:right w:val="single" w:sz="6" w:space="0" w:color="000000"/>
            </w:tcBorders>
            <w:vAlign w:val="center"/>
          </w:tcPr>
          <w:p w14:paraId="02C8DC23" w14:textId="77777777" w:rsidR="007D706A" w:rsidRDefault="007D706A" w:rsidP="00F70508">
            <w:pPr>
              <w:pStyle w:val="ParagraphStyle9"/>
              <w:rPr>
                <w:rStyle w:val="CharacterStyle9"/>
              </w:rPr>
            </w:pPr>
            <w:r>
              <w:rPr>
                <w:rStyle w:val="CharacterStyle9"/>
              </w:rPr>
              <w:t>61.650,00</w:t>
            </w:r>
          </w:p>
        </w:tc>
        <w:tc>
          <w:tcPr>
            <w:tcW w:w="1395" w:type="dxa"/>
            <w:tcBorders>
              <w:bottom w:val="single" w:sz="6" w:space="0" w:color="000000"/>
              <w:right w:val="single" w:sz="6" w:space="0" w:color="000000"/>
            </w:tcBorders>
            <w:vAlign w:val="center"/>
          </w:tcPr>
          <w:p w14:paraId="6EB1CD1B" w14:textId="77777777" w:rsidR="007D706A" w:rsidRDefault="007D706A" w:rsidP="00F70508">
            <w:pPr>
              <w:pStyle w:val="ParagraphStyle9"/>
              <w:rPr>
                <w:rStyle w:val="CharacterStyle9"/>
              </w:rPr>
            </w:pPr>
            <w:r>
              <w:rPr>
                <w:rStyle w:val="CharacterStyle9"/>
              </w:rPr>
              <w:t>62.250,00</w:t>
            </w:r>
          </w:p>
        </w:tc>
      </w:tr>
      <w:tr w:rsidR="007D706A" w14:paraId="567AB1E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55EF65B"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771DC47E"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4C0801E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A3D8C3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6396556" w14:textId="77777777" w:rsidR="007D706A" w:rsidRDefault="007D706A" w:rsidP="00F70508">
            <w:pPr>
              <w:pStyle w:val="ParagraphStyle12"/>
              <w:rPr>
                <w:rStyle w:val="CharacterStyle12"/>
              </w:rPr>
            </w:pPr>
            <w:r>
              <w:rPr>
                <w:rStyle w:val="CharacterStyle12"/>
              </w:rPr>
              <w:t>60.000,00</w:t>
            </w:r>
          </w:p>
        </w:tc>
        <w:tc>
          <w:tcPr>
            <w:tcW w:w="1395" w:type="dxa"/>
            <w:tcBorders>
              <w:bottom w:val="single" w:sz="6" w:space="0" w:color="000000"/>
              <w:right w:val="single" w:sz="6" w:space="0" w:color="000000"/>
            </w:tcBorders>
            <w:vAlign w:val="center"/>
          </w:tcPr>
          <w:p w14:paraId="72F16D08" w14:textId="77777777" w:rsidR="007D706A" w:rsidRDefault="007D706A" w:rsidP="00F70508">
            <w:pPr>
              <w:pStyle w:val="ParagraphStyle12"/>
              <w:rPr>
                <w:rStyle w:val="CharacterStyle12"/>
              </w:rPr>
            </w:pPr>
            <w:r>
              <w:rPr>
                <w:rStyle w:val="CharacterStyle12"/>
              </w:rPr>
              <w:t>61.650,00</w:t>
            </w:r>
          </w:p>
        </w:tc>
        <w:tc>
          <w:tcPr>
            <w:tcW w:w="1395" w:type="dxa"/>
            <w:tcBorders>
              <w:bottom w:val="single" w:sz="6" w:space="0" w:color="000000"/>
              <w:right w:val="single" w:sz="6" w:space="0" w:color="000000"/>
            </w:tcBorders>
            <w:vAlign w:val="center"/>
          </w:tcPr>
          <w:p w14:paraId="32F0AF1D" w14:textId="77777777" w:rsidR="007D706A" w:rsidRDefault="007D706A" w:rsidP="00F70508">
            <w:pPr>
              <w:pStyle w:val="ParagraphStyle12"/>
              <w:rPr>
                <w:rStyle w:val="CharacterStyle12"/>
              </w:rPr>
            </w:pPr>
            <w:r>
              <w:rPr>
                <w:rStyle w:val="CharacterStyle12"/>
              </w:rPr>
              <w:t>62.250,00</w:t>
            </w:r>
          </w:p>
        </w:tc>
      </w:tr>
      <w:tr w:rsidR="007D706A" w14:paraId="5C54B0B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C07672C" w14:textId="77777777" w:rsidR="007D706A" w:rsidRDefault="007D706A" w:rsidP="00F70508">
            <w:pPr>
              <w:pStyle w:val="ParagraphStyle10"/>
              <w:rPr>
                <w:rStyle w:val="CharacterStyle10"/>
              </w:rPr>
            </w:pPr>
            <w:r>
              <w:rPr>
                <w:rStyle w:val="CharacterStyle10"/>
              </w:rPr>
              <w:t>42</w:t>
            </w:r>
          </w:p>
        </w:tc>
        <w:tc>
          <w:tcPr>
            <w:tcW w:w="4995" w:type="dxa"/>
            <w:tcBorders>
              <w:bottom w:val="single" w:sz="6" w:space="0" w:color="000000"/>
              <w:right w:val="single" w:sz="6" w:space="0" w:color="000000"/>
            </w:tcBorders>
            <w:vAlign w:val="center"/>
          </w:tcPr>
          <w:p w14:paraId="030DD9AE"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4564A1C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09E562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55B5236" w14:textId="77777777" w:rsidR="007D706A" w:rsidRDefault="007D706A" w:rsidP="00F70508">
            <w:pPr>
              <w:pStyle w:val="ParagraphStyle12"/>
              <w:rPr>
                <w:rStyle w:val="CharacterStyle12"/>
              </w:rPr>
            </w:pPr>
            <w:r>
              <w:rPr>
                <w:rStyle w:val="CharacterStyle12"/>
              </w:rPr>
              <w:t>60.000,00</w:t>
            </w:r>
          </w:p>
        </w:tc>
        <w:tc>
          <w:tcPr>
            <w:tcW w:w="1395" w:type="dxa"/>
            <w:tcBorders>
              <w:bottom w:val="single" w:sz="6" w:space="0" w:color="000000"/>
              <w:right w:val="single" w:sz="6" w:space="0" w:color="000000"/>
            </w:tcBorders>
            <w:vAlign w:val="center"/>
          </w:tcPr>
          <w:p w14:paraId="6B6D9EC2" w14:textId="77777777" w:rsidR="007D706A" w:rsidRDefault="007D706A" w:rsidP="00F70508">
            <w:pPr>
              <w:pStyle w:val="ParagraphStyle12"/>
              <w:rPr>
                <w:rStyle w:val="CharacterStyle12"/>
              </w:rPr>
            </w:pPr>
            <w:r>
              <w:rPr>
                <w:rStyle w:val="CharacterStyle12"/>
              </w:rPr>
              <w:t>61.650,00</w:t>
            </w:r>
          </w:p>
        </w:tc>
        <w:tc>
          <w:tcPr>
            <w:tcW w:w="1395" w:type="dxa"/>
            <w:tcBorders>
              <w:bottom w:val="single" w:sz="6" w:space="0" w:color="000000"/>
              <w:right w:val="single" w:sz="6" w:space="0" w:color="000000"/>
            </w:tcBorders>
            <w:vAlign w:val="center"/>
          </w:tcPr>
          <w:p w14:paraId="67705AB5" w14:textId="77777777" w:rsidR="007D706A" w:rsidRDefault="007D706A" w:rsidP="00F70508">
            <w:pPr>
              <w:pStyle w:val="ParagraphStyle12"/>
              <w:rPr>
                <w:rStyle w:val="CharacterStyle12"/>
              </w:rPr>
            </w:pPr>
            <w:r>
              <w:rPr>
                <w:rStyle w:val="CharacterStyle12"/>
              </w:rPr>
              <w:t>62.250,00</w:t>
            </w:r>
          </w:p>
        </w:tc>
      </w:tr>
      <w:tr w:rsidR="007D706A" w14:paraId="789AD936"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80B2F19" w14:textId="77777777" w:rsidR="007D706A" w:rsidRDefault="007D706A" w:rsidP="00F70508">
            <w:pPr>
              <w:pStyle w:val="ParagraphStyle7"/>
              <w:rPr>
                <w:rStyle w:val="CharacterStyle7"/>
              </w:rPr>
            </w:pPr>
            <w:r>
              <w:rPr>
                <w:rStyle w:val="CharacterStyle7"/>
              </w:rPr>
              <w:t>Izvor financiranja 53</w:t>
            </w:r>
          </w:p>
        </w:tc>
        <w:tc>
          <w:tcPr>
            <w:tcW w:w="4995" w:type="dxa"/>
            <w:tcBorders>
              <w:bottom w:val="single" w:sz="6" w:space="0" w:color="000000"/>
              <w:right w:val="single" w:sz="6" w:space="0" w:color="000000"/>
            </w:tcBorders>
            <w:vAlign w:val="center"/>
          </w:tcPr>
          <w:p w14:paraId="201A9FC9" w14:textId="77777777" w:rsidR="007D706A" w:rsidRDefault="007D706A" w:rsidP="00F70508">
            <w:pPr>
              <w:pStyle w:val="ParagraphStyle8"/>
              <w:rPr>
                <w:rStyle w:val="CharacterStyle8"/>
              </w:rPr>
            </w:pPr>
            <w:r>
              <w:rPr>
                <w:rStyle w:val="CharacterStyle8"/>
              </w:rPr>
              <w:t>Proračuni, drugi nivoi - za posebne i / ili ugovorene namjene</w:t>
            </w:r>
          </w:p>
        </w:tc>
        <w:tc>
          <w:tcPr>
            <w:tcW w:w="1395" w:type="dxa"/>
            <w:tcBorders>
              <w:bottom w:val="single" w:sz="6" w:space="0" w:color="000000"/>
              <w:right w:val="single" w:sz="6" w:space="0" w:color="000000"/>
            </w:tcBorders>
            <w:vAlign w:val="center"/>
          </w:tcPr>
          <w:p w14:paraId="3870A35C"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437C2E2" w14:textId="77777777" w:rsidR="007D706A" w:rsidRDefault="007D706A" w:rsidP="00F70508">
            <w:pPr>
              <w:pStyle w:val="ParagraphStyle9"/>
              <w:rPr>
                <w:rStyle w:val="CharacterStyle9"/>
              </w:rPr>
            </w:pPr>
            <w:r>
              <w:rPr>
                <w:rStyle w:val="CharacterStyle9"/>
              </w:rPr>
              <w:t>78.000,00</w:t>
            </w:r>
          </w:p>
        </w:tc>
        <w:tc>
          <w:tcPr>
            <w:tcW w:w="1395" w:type="dxa"/>
            <w:tcBorders>
              <w:bottom w:val="single" w:sz="6" w:space="0" w:color="000000"/>
              <w:right w:val="single" w:sz="6" w:space="0" w:color="000000"/>
            </w:tcBorders>
            <w:vAlign w:val="center"/>
          </w:tcPr>
          <w:p w14:paraId="7A3C365C"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2FE5497"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20017B9" w14:textId="77777777" w:rsidR="007D706A" w:rsidRDefault="007D706A" w:rsidP="00F70508">
            <w:pPr>
              <w:pStyle w:val="ParagraphStyle9"/>
              <w:rPr>
                <w:rStyle w:val="CharacterStyle9"/>
              </w:rPr>
            </w:pPr>
            <w:r>
              <w:rPr>
                <w:rStyle w:val="CharacterStyle9"/>
              </w:rPr>
              <w:t>0,00</w:t>
            </w:r>
          </w:p>
        </w:tc>
      </w:tr>
      <w:tr w:rsidR="007D706A" w14:paraId="4EE0BCE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78BF7FB"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7FB552B0"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6A32297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16D9A11" w14:textId="77777777" w:rsidR="007D706A" w:rsidRDefault="007D706A" w:rsidP="00F70508">
            <w:pPr>
              <w:pStyle w:val="ParagraphStyle12"/>
              <w:rPr>
                <w:rStyle w:val="CharacterStyle12"/>
              </w:rPr>
            </w:pPr>
            <w:r>
              <w:rPr>
                <w:rStyle w:val="CharacterStyle12"/>
              </w:rPr>
              <w:t>78.000,00</w:t>
            </w:r>
          </w:p>
        </w:tc>
        <w:tc>
          <w:tcPr>
            <w:tcW w:w="1395" w:type="dxa"/>
            <w:tcBorders>
              <w:bottom w:val="single" w:sz="6" w:space="0" w:color="000000"/>
              <w:right w:val="single" w:sz="6" w:space="0" w:color="000000"/>
            </w:tcBorders>
            <w:vAlign w:val="center"/>
          </w:tcPr>
          <w:p w14:paraId="04BC3DD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49E304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3AE402D" w14:textId="77777777" w:rsidR="007D706A" w:rsidRDefault="007D706A" w:rsidP="00F70508">
            <w:pPr>
              <w:pStyle w:val="ParagraphStyle12"/>
              <w:rPr>
                <w:rStyle w:val="CharacterStyle12"/>
              </w:rPr>
            </w:pPr>
            <w:r>
              <w:rPr>
                <w:rStyle w:val="CharacterStyle12"/>
              </w:rPr>
              <w:t>0,00</w:t>
            </w:r>
          </w:p>
        </w:tc>
      </w:tr>
      <w:tr w:rsidR="007D706A" w14:paraId="14747C3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EBC2A30" w14:textId="77777777" w:rsidR="007D706A" w:rsidRDefault="007D706A" w:rsidP="00F70508">
            <w:pPr>
              <w:pStyle w:val="ParagraphStyle10"/>
              <w:rPr>
                <w:rStyle w:val="CharacterStyle10"/>
              </w:rPr>
            </w:pPr>
            <w:r>
              <w:rPr>
                <w:rStyle w:val="CharacterStyle10"/>
              </w:rPr>
              <w:t>42</w:t>
            </w:r>
          </w:p>
        </w:tc>
        <w:tc>
          <w:tcPr>
            <w:tcW w:w="4995" w:type="dxa"/>
            <w:tcBorders>
              <w:bottom w:val="single" w:sz="6" w:space="0" w:color="000000"/>
              <w:right w:val="single" w:sz="6" w:space="0" w:color="000000"/>
            </w:tcBorders>
            <w:vAlign w:val="center"/>
          </w:tcPr>
          <w:p w14:paraId="33AB2A5C"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4884EAB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E2DE393" w14:textId="77777777" w:rsidR="007D706A" w:rsidRDefault="007D706A" w:rsidP="00F70508">
            <w:pPr>
              <w:pStyle w:val="ParagraphStyle12"/>
              <w:rPr>
                <w:rStyle w:val="CharacterStyle12"/>
              </w:rPr>
            </w:pPr>
            <w:r>
              <w:rPr>
                <w:rStyle w:val="CharacterStyle12"/>
              </w:rPr>
              <w:t>78.000,00</w:t>
            </w:r>
          </w:p>
        </w:tc>
        <w:tc>
          <w:tcPr>
            <w:tcW w:w="1395" w:type="dxa"/>
            <w:tcBorders>
              <w:bottom w:val="single" w:sz="6" w:space="0" w:color="000000"/>
              <w:right w:val="single" w:sz="6" w:space="0" w:color="000000"/>
            </w:tcBorders>
            <w:vAlign w:val="center"/>
          </w:tcPr>
          <w:p w14:paraId="3180378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EDDECB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2CED955" w14:textId="77777777" w:rsidR="007D706A" w:rsidRDefault="007D706A" w:rsidP="00F70508">
            <w:pPr>
              <w:pStyle w:val="ParagraphStyle12"/>
              <w:rPr>
                <w:rStyle w:val="CharacterStyle12"/>
              </w:rPr>
            </w:pPr>
            <w:r>
              <w:rPr>
                <w:rStyle w:val="CharacterStyle12"/>
              </w:rPr>
              <w:t>0,00</w:t>
            </w:r>
          </w:p>
        </w:tc>
      </w:tr>
      <w:tr w:rsidR="007D706A" w14:paraId="2288D8A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3CDA710" w14:textId="77777777" w:rsidR="007D706A" w:rsidRDefault="007D706A" w:rsidP="00F70508">
            <w:pPr>
              <w:pStyle w:val="ParagraphStyle4"/>
              <w:rPr>
                <w:rStyle w:val="CharacterStyle4"/>
              </w:rPr>
            </w:pPr>
            <w:r>
              <w:rPr>
                <w:rStyle w:val="CharacterStyle4"/>
              </w:rPr>
              <w:t>Aktivnost A103632</w:t>
            </w:r>
          </w:p>
        </w:tc>
        <w:tc>
          <w:tcPr>
            <w:tcW w:w="4995" w:type="dxa"/>
            <w:tcBorders>
              <w:bottom w:val="single" w:sz="6" w:space="0" w:color="000000"/>
              <w:right w:val="single" w:sz="6" w:space="0" w:color="000000"/>
            </w:tcBorders>
            <w:vAlign w:val="center"/>
          </w:tcPr>
          <w:p w14:paraId="138EF84B" w14:textId="77777777" w:rsidR="007D706A" w:rsidRDefault="007D706A" w:rsidP="00F70508">
            <w:pPr>
              <w:pStyle w:val="ParagraphStyle5"/>
              <w:rPr>
                <w:rStyle w:val="CharacterStyle5"/>
              </w:rPr>
            </w:pPr>
            <w:r>
              <w:rPr>
                <w:rStyle w:val="CharacterStyle5"/>
              </w:rPr>
              <w:t>NABAVA RADNIH BILJEŽNICA</w:t>
            </w:r>
          </w:p>
        </w:tc>
        <w:tc>
          <w:tcPr>
            <w:tcW w:w="1395" w:type="dxa"/>
            <w:tcBorders>
              <w:bottom w:val="single" w:sz="6" w:space="0" w:color="000000"/>
              <w:right w:val="single" w:sz="6" w:space="0" w:color="000000"/>
            </w:tcBorders>
            <w:vAlign w:val="center"/>
          </w:tcPr>
          <w:p w14:paraId="6ED802CD"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6FF05D18" w14:textId="77777777" w:rsidR="007D706A" w:rsidRDefault="007D706A" w:rsidP="00F70508">
            <w:pPr>
              <w:pStyle w:val="ParagraphStyle6"/>
              <w:rPr>
                <w:rStyle w:val="CharacterStyle6"/>
              </w:rPr>
            </w:pPr>
            <w:r>
              <w:rPr>
                <w:rStyle w:val="CharacterStyle6"/>
              </w:rPr>
              <w:t>70.500,00</w:t>
            </w:r>
          </w:p>
        </w:tc>
        <w:tc>
          <w:tcPr>
            <w:tcW w:w="1395" w:type="dxa"/>
            <w:tcBorders>
              <w:bottom w:val="single" w:sz="6" w:space="0" w:color="000000"/>
              <w:right w:val="single" w:sz="6" w:space="0" w:color="000000"/>
            </w:tcBorders>
            <w:vAlign w:val="center"/>
          </w:tcPr>
          <w:p w14:paraId="73304DD6" w14:textId="77777777" w:rsidR="007D706A" w:rsidRDefault="007D706A" w:rsidP="00F70508">
            <w:pPr>
              <w:pStyle w:val="ParagraphStyle6"/>
              <w:rPr>
                <w:rStyle w:val="CharacterStyle6"/>
              </w:rPr>
            </w:pPr>
            <w:r>
              <w:rPr>
                <w:rStyle w:val="CharacterStyle6"/>
              </w:rPr>
              <w:t>70.500,00</w:t>
            </w:r>
          </w:p>
        </w:tc>
        <w:tc>
          <w:tcPr>
            <w:tcW w:w="1395" w:type="dxa"/>
            <w:tcBorders>
              <w:bottom w:val="single" w:sz="6" w:space="0" w:color="000000"/>
              <w:right w:val="single" w:sz="6" w:space="0" w:color="000000"/>
            </w:tcBorders>
            <w:vAlign w:val="center"/>
          </w:tcPr>
          <w:p w14:paraId="1F270F25" w14:textId="77777777" w:rsidR="007D706A" w:rsidRDefault="007D706A" w:rsidP="00F70508">
            <w:pPr>
              <w:pStyle w:val="ParagraphStyle6"/>
              <w:rPr>
                <w:rStyle w:val="CharacterStyle6"/>
              </w:rPr>
            </w:pPr>
            <w:r>
              <w:rPr>
                <w:rStyle w:val="CharacterStyle6"/>
              </w:rPr>
              <w:t>72.438,75</w:t>
            </w:r>
          </w:p>
        </w:tc>
        <w:tc>
          <w:tcPr>
            <w:tcW w:w="1395" w:type="dxa"/>
            <w:tcBorders>
              <w:bottom w:val="single" w:sz="6" w:space="0" w:color="000000"/>
              <w:right w:val="single" w:sz="6" w:space="0" w:color="000000"/>
            </w:tcBorders>
            <w:vAlign w:val="center"/>
          </w:tcPr>
          <w:p w14:paraId="387CB06B" w14:textId="77777777" w:rsidR="007D706A" w:rsidRDefault="007D706A" w:rsidP="00F70508">
            <w:pPr>
              <w:pStyle w:val="ParagraphStyle6"/>
              <w:rPr>
                <w:rStyle w:val="CharacterStyle6"/>
              </w:rPr>
            </w:pPr>
            <w:r>
              <w:rPr>
                <w:rStyle w:val="CharacterStyle6"/>
              </w:rPr>
              <w:t>73.143,75</w:t>
            </w:r>
          </w:p>
        </w:tc>
      </w:tr>
      <w:tr w:rsidR="007D706A" w14:paraId="67D1C2E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6EB7792"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42570923"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2006492D"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C320570" w14:textId="77777777" w:rsidR="007D706A" w:rsidRDefault="007D706A" w:rsidP="00F70508">
            <w:pPr>
              <w:pStyle w:val="ParagraphStyle9"/>
              <w:rPr>
                <w:rStyle w:val="CharacterStyle9"/>
              </w:rPr>
            </w:pPr>
            <w:r>
              <w:rPr>
                <w:rStyle w:val="CharacterStyle9"/>
              </w:rPr>
              <w:t>60.000,00</w:t>
            </w:r>
          </w:p>
        </w:tc>
        <w:tc>
          <w:tcPr>
            <w:tcW w:w="1395" w:type="dxa"/>
            <w:tcBorders>
              <w:bottom w:val="single" w:sz="6" w:space="0" w:color="000000"/>
              <w:right w:val="single" w:sz="6" w:space="0" w:color="000000"/>
            </w:tcBorders>
            <w:vAlign w:val="center"/>
          </w:tcPr>
          <w:p w14:paraId="1607551C" w14:textId="77777777" w:rsidR="007D706A" w:rsidRDefault="007D706A" w:rsidP="00F70508">
            <w:pPr>
              <w:pStyle w:val="ParagraphStyle9"/>
              <w:rPr>
                <w:rStyle w:val="CharacterStyle9"/>
              </w:rPr>
            </w:pPr>
            <w:r>
              <w:rPr>
                <w:rStyle w:val="CharacterStyle9"/>
              </w:rPr>
              <w:t>60.000,00</w:t>
            </w:r>
          </w:p>
        </w:tc>
        <w:tc>
          <w:tcPr>
            <w:tcW w:w="1395" w:type="dxa"/>
            <w:tcBorders>
              <w:bottom w:val="single" w:sz="6" w:space="0" w:color="000000"/>
              <w:right w:val="single" w:sz="6" w:space="0" w:color="000000"/>
            </w:tcBorders>
            <w:vAlign w:val="center"/>
          </w:tcPr>
          <w:p w14:paraId="3258C839" w14:textId="77777777" w:rsidR="007D706A" w:rsidRDefault="007D706A" w:rsidP="00F70508">
            <w:pPr>
              <w:pStyle w:val="ParagraphStyle9"/>
              <w:rPr>
                <w:rStyle w:val="CharacterStyle9"/>
              </w:rPr>
            </w:pPr>
            <w:r>
              <w:rPr>
                <w:rStyle w:val="CharacterStyle9"/>
              </w:rPr>
              <w:t>61.650,00</w:t>
            </w:r>
          </w:p>
        </w:tc>
        <w:tc>
          <w:tcPr>
            <w:tcW w:w="1395" w:type="dxa"/>
            <w:tcBorders>
              <w:bottom w:val="single" w:sz="6" w:space="0" w:color="000000"/>
              <w:right w:val="single" w:sz="6" w:space="0" w:color="000000"/>
            </w:tcBorders>
            <w:vAlign w:val="center"/>
          </w:tcPr>
          <w:p w14:paraId="1305FD44" w14:textId="77777777" w:rsidR="007D706A" w:rsidRDefault="007D706A" w:rsidP="00F70508">
            <w:pPr>
              <w:pStyle w:val="ParagraphStyle9"/>
              <w:rPr>
                <w:rStyle w:val="CharacterStyle9"/>
              </w:rPr>
            </w:pPr>
            <w:r>
              <w:rPr>
                <w:rStyle w:val="CharacterStyle9"/>
              </w:rPr>
              <w:t>62.250,00</w:t>
            </w:r>
          </w:p>
        </w:tc>
      </w:tr>
      <w:tr w:rsidR="007D706A" w14:paraId="1B62A40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52F6119"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35ACF0F9"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46A541B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CD711B3" w14:textId="77777777" w:rsidR="007D706A" w:rsidRDefault="007D706A" w:rsidP="00F70508">
            <w:pPr>
              <w:pStyle w:val="ParagraphStyle12"/>
              <w:rPr>
                <w:rStyle w:val="CharacterStyle12"/>
              </w:rPr>
            </w:pPr>
            <w:r>
              <w:rPr>
                <w:rStyle w:val="CharacterStyle12"/>
              </w:rPr>
              <w:t>60.000,00</w:t>
            </w:r>
          </w:p>
        </w:tc>
        <w:tc>
          <w:tcPr>
            <w:tcW w:w="1395" w:type="dxa"/>
            <w:tcBorders>
              <w:bottom w:val="single" w:sz="6" w:space="0" w:color="000000"/>
              <w:right w:val="single" w:sz="6" w:space="0" w:color="000000"/>
            </w:tcBorders>
            <w:vAlign w:val="center"/>
          </w:tcPr>
          <w:p w14:paraId="71CEE268" w14:textId="77777777" w:rsidR="007D706A" w:rsidRDefault="007D706A" w:rsidP="00F70508">
            <w:pPr>
              <w:pStyle w:val="ParagraphStyle12"/>
              <w:rPr>
                <w:rStyle w:val="CharacterStyle12"/>
              </w:rPr>
            </w:pPr>
            <w:r>
              <w:rPr>
                <w:rStyle w:val="CharacterStyle12"/>
              </w:rPr>
              <w:t>60.000,00</w:t>
            </w:r>
          </w:p>
        </w:tc>
        <w:tc>
          <w:tcPr>
            <w:tcW w:w="1395" w:type="dxa"/>
            <w:tcBorders>
              <w:bottom w:val="single" w:sz="6" w:space="0" w:color="000000"/>
              <w:right w:val="single" w:sz="6" w:space="0" w:color="000000"/>
            </w:tcBorders>
            <w:vAlign w:val="center"/>
          </w:tcPr>
          <w:p w14:paraId="28D09C94" w14:textId="77777777" w:rsidR="007D706A" w:rsidRDefault="007D706A" w:rsidP="00F70508">
            <w:pPr>
              <w:pStyle w:val="ParagraphStyle12"/>
              <w:rPr>
                <w:rStyle w:val="CharacterStyle12"/>
              </w:rPr>
            </w:pPr>
            <w:r>
              <w:rPr>
                <w:rStyle w:val="CharacterStyle12"/>
              </w:rPr>
              <w:t>61.650,00</w:t>
            </w:r>
          </w:p>
        </w:tc>
        <w:tc>
          <w:tcPr>
            <w:tcW w:w="1395" w:type="dxa"/>
            <w:tcBorders>
              <w:bottom w:val="single" w:sz="6" w:space="0" w:color="000000"/>
              <w:right w:val="single" w:sz="6" w:space="0" w:color="000000"/>
            </w:tcBorders>
            <w:vAlign w:val="center"/>
          </w:tcPr>
          <w:p w14:paraId="6613A9B6" w14:textId="77777777" w:rsidR="007D706A" w:rsidRDefault="007D706A" w:rsidP="00F70508">
            <w:pPr>
              <w:pStyle w:val="ParagraphStyle12"/>
              <w:rPr>
                <w:rStyle w:val="CharacterStyle12"/>
              </w:rPr>
            </w:pPr>
            <w:r>
              <w:rPr>
                <w:rStyle w:val="CharacterStyle12"/>
              </w:rPr>
              <w:t>62.250,00</w:t>
            </w:r>
          </w:p>
        </w:tc>
      </w:tr>
      <w:tr w:rsidR="007D706A" w14:paraId="183B2180" w14:textId="77777777" w:rsidTr="00F70508">
        <w:trPr>
          <w:trHeight w:val="405"/>
        </w:trPr>
        <w:tc>
          <w:tcPr>
            <w:tcW w:w="2880" w:type="dxa"/>
            <w:tcBorders>
              <w:left w:val="single" w:sz="6" w:space="0" w:color="000000"/>
              <w:bottom w:val="single" w:sz="6" w:space="0" w:color="000000"/>
              <w:right w:val="single" w:sz="6" w:space="0" w:color="000000"/>
            </w:tcBorders>
            <w:vAlign w:val="center"/>
          </w:tcPr>
          <w:p w14:paraId="323C6702" w14:textId="77777777" w:rsidR="007D706A" w:rsidRDefault="007D706A" w:rsidP="00F70508">
            <w:pPr>
              <w:pStyle w:val="ParagraphStyle10"/>
              <w:rPr>
                <w:rStyle w:val="CharacterStyle10"/>
              </w:rPr>
            </w:pPr>
            <w:r>
              <w:rPr>
                <w:rStyle w:val="CharacterStyle10"/>
              </w:rPr>
              <w:t>37</w:t>
            </w:r>
          </w:p>
        </w:tc>
        <w:tc>
          <w:tcPr>
            <w:tcW w:w="4995" w:type="dxa"/>
            <w:tcBorders>
              <w:bottom w:val="single" w:sz="6" w:space="0" w:color="000000"/>
              <w:right w:val="single" w:sz="6" w:space="0" w:color="000000"/>
            </w:tcBorders>
            <w:vAlign w:val="center"/>
          </w:tcPr>
          <w:p w14:paraId="52487ADD" w14:textId="77777777" w:rsidR="007D706A" w:rsidRDefault="007D706A" w:rsidP="00F70508">
            <w:pPr>
              <w:pStyle w:val="ParagraphStyle11"/>
              <w:rPr>
                <w:rStyle w:val="CharacterStyle11"/>
              </w:rPr>
            </w:pPr>
            <w:r>
              <w:rPr>
                <w:rStyle w:val="CharacterStyle11"/>
              </w:rPr>
              <w:t>Naknade građanima i kućanstvima na temelju osiguranja i druge naknade</w:t>
            </w:r>
          </w:p>
        </w:tc>
        <w:tc>
          <w:tcPr>
            <w:tcW w:w="1395" w:type="dxa"/>
            <w:tcBorders>
              <w:bottom w:val="single" w:sz="6" w:space="0" w:color="000000"/>
              <w:right w:val="single" w:sz="6" w:space="0" w:color="000000"/>
            </w:tcBorders>
            <w:vAlign w:val="center"/>
          </w:tcPr>
          <w:p w14:paraId="419E408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F1E8FD9" w14:textId="77777777" w:rsidR="007D706A" w:rsidRDefault="007D706A" w:rsidP="00F70508">
            <w:pPr>
              <w:pStyle w:val="ParagraphStyle12"/>
              <w:rPr>
                <w:rStyle w:val="CharacterStyle12"/>
              </w:rPr>
            </w:pPr>
            <w:r>
              <w:rPr>
                <w:rStyle w:val="CharacterStyle12"/>
              </w:rPr>
              <w:t>60.000,00</w:t>
            </w:r>
          </w:p>
        </w:tc>
        <w:tc>
          <w:tcPr>
            <w:tcW w:w="1395" w:type="dxa"/>
            <w:tcBorders>
              <w:bottom w:val="single" w:sz="6" w:space="0" w:color="000000"/>
              <w:right w:val="single" w:sz="6" w:space="0" w:color="000000"/>
            </w:tcBorders>
            <w:vAlign w:val="center"/>
          </w:tcPr>
          <w:p w14:paraId="02816DFF" w14:textId="77777777" w:rsidR="007D706A" w:rsidRDefault="007D706A" w:rsidP="00F70508">
            <w:pPr>
              <w:pStyle w:val="ParagraphStyle12"/>
              <w:rPr>
                <w:rStyle w:val="CharacterStyle12"/>
              </w:rPr>
            </w:pPr>
            <w:r>
              <w:rPr>
                <w:rStyle w:val="CharacterStyle12"/>
              </w:rPr>
              <w:t>60.000,00</w:t>
            </w:r>
          </w:p>
        </w:tc>
        <w:tc>
          <w:tcPr>
            <w:tcW w:w="1395" w:type="dxa"/>
            <w:tcBorders>
              <w:bottom w:val="single" w:sz="6" w:space="0" w:color="000000"/>
              <w:right w:val="single" w:sz="6" w:space="0" w:color="000000"/>
            </w:tcBorders>
            <w:vAlign w:val="center"/>
          </w:tcPr>
          <w:p w14:paraId="3A659459" w14:textId="77777777" w:rsidR="007D706A" w:rsidRDefault="007D706A" w:rsidP="00F70508">
            <w:pPr>
              <w:pStyle w:val="ParagraphStyle12"/>
              <w:rPr>
                <w:rStyle w:val="CharacterStyle12"/>
              </w:rPr>
            </w:pPr>
            <w:r>
              <w:rPr>
                <w:rStyle w:val="CharacterStyle12"/>
              </w:rPr>
              <w:t>61.650,00</w:t>
            </w:r>
          </w:p>
        </w:tc>
        <w:tc>
          <w:tcPr>
            <w:tcW w:w="1395" w:type="dxa"/>
            <w:tcBorders>
              <w:bottom w:val="single" w:sz="6" w:space="0" w:color="000000"/>
              <w:right w:val="single" w:sz="6" w:space="0" w:color="000000"/>
            </w:tcBorders>
            <w:vAlign w:val="center"/>
          </w:tcPr>
          <w:p w14:paraId="65F8E376" w14:textId="77777777" w:rsidR="007D706A" w:rsidRDefault="007D706A" w:rsidP="00F70508">
            <w:pPr>
              <w:pStyle w:val="ParagraphStyle12"/>
              <w:rPr>
                <w:rStyle w:val="CharacterStyle12"/>
              </w:rPr>
            </w:pPr>
            <w:r>
              <w:rPr>
                <w:rStyle w:val="CharacterStyle12"/>
              </w:rPr>
              <w:t>62.250,00</w:t>
            </w:r>
          </w:p>
        </w:tc>
      </w:tr>
      <w:tr w:rsidR="007D706A" w14:paraId="274CA28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F80FA1A" w14:textId="77777777" w:rsidR="007D706A" w:rsidRDefault="007D706A" w:rsidP="00F70508">
            <w:pPr>
              <w:pStyle w:val="ParagraphStyle7"/>
              <w:rPr>
                <w:rStyle w:val="CharacterStyle7"/>
              </w:rPr>
            </w:pPr>
            <w:r>
              <w:rPr>
                <w:rStyle w:val="CharacterStyle7"/>
              </w:rPr>
              <w:t>Izvor financiranja 5</w:t>
            </w:r>
          </w:p>
        </w:tc>
        <w:tc>
          <w:tcPr>
            <w:tcW w:w="4995" w:type="dxa"/>
            <w:tcBorders>
              <w:bottom w:val="single" w:sz="6" w:space="0" w:color="000000"/>
              <w:right w:val="single" w:sz="6" w:space="0" w:color="000000"/>
            </w:tcBorders>
            <w:vAlign w:val="center"/>
          </w:tcPr>
          <w:p w14:paraId="02077FAE" w14:textId="77777777" w:rsidR="007D706A" w:rsidRDefault="007D706A" w:rsidP="00F70508">
            <w:pPr>
              <w:pStyle w:val="ParagraphStyle8"/>
              <w:rPr>
                <w:rStyle w:val="CharacterStyle8"/>
              </w:rPr>
            </w:pPr>
            <w:r>
              <w:rPr>
                <w:rStyle w:val="CharacterStyle8"/>
              </w:rPr>
              <w:t>POMOĆI</w:t>
            </w:r>
          </w:p>
        </w:tc>
        <w:tc>
          <w:tcPr>
            <w:tcW w:w="1395" w:type="dxa"/>
            <w:tcBorders>
              <w:bottom w:val="single" w:sz="6" w:space="0" w:color="000000"/>
              <w:right w:val="single" w:sz="6" w:space="0" w:color="000000"/>
            </w:tcBorders>
            <w:vAlign w:val="center"/>
          </w:tcPr>
          <w:p w14:paraId="74B9ED94"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BDC4FE4"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DF19174" w14:textId="77777777" w:rsidR="007D706A" w:rsidRDefault="007D706A" w:rsidP="00F70508">
            <w:pPr>
              <w:pStyle w:val="ParagraphStyle9"/>
              <w:rPr>
                <w:rStyle w:val="CharacterStyle9"/>
              </w:rPr>
            </w:pPr>
            <w:r>
              <w:rPr>
                <w:rStyle w:val="CharacterStyle9"/>
              </w:rPr>
              <w:t>10.500,00</w:t>
            </w:r>
          </w:p>
        </w:tc>
        <w:tc>
          <w:tcPr>
            <w:tcW w:w="1395" w:type="dxa"/>
            <w:tcBorders>
              <w:bottom w:val="single" w:sz="6" w:space="0" w:color="000000"/>
              <w:right w:val="single" w:sz="6" w:space="0" w:color="000000"/>
            </w:tcBorders>
            <w:vAlign w:val="center"/>
          </w:tcPr>
          <w:p w14:paraId="6765EEBF" w14:textId="77777777" w:rsidR="007D706A" w:rsidRDefault="007D706A" w:rsidP="00F70508">
            <w:pPr>
              <w:pStyle w:val="ParagraphStyle9"/>
              <w:rPr>
                <w:rStyle w:val="CharacterStyle9"/>
              </w:rPr>
            </w:pPr>
            <w:r>
              <w:rPr>
                <w:rStyle w:val="CharacterStyle9"/>
              </w:rPr>
              <w:t>10.788,75</w:t>
            </w:r>
          </w:p>
        </w:tc>
        <w:tc>
          <w:tcPr>
            <w:tcW w:w="1395" w:type="dxa"/>
            <w:tcBorders>
              <w:bottom w:val="single" w:sz="6" w:space="0" w:color="000000"/>
              <w:right w:val="single" w:sz="6" w:space="0" w:color="000000"/>
            </w:tcBorders>
            <w:vAlign w:val="center"/>
          </w:tcPr>
          <w:p w14:paraId="4C850CE6" w14:textId="77777777" w:rsidR="007D706A" w:rsidRDefault="007D706A" w:rsidP="00F70508">
            <w:pPr>
              <w:pStyle w:val="ParagraphStyle9"/>
              <w:rPr>
                <w:rStyle w:val="CharacterStyle9"/>
              </w:rPr>
            </w:pPr>
            <w:r>
              <w:rPr>
                <w:rStyle w:val="CharacterStyle9"/>
              </w:rPr>
              <w:t>10.893,75</w:t>
            </w:r>
          </w:p>
        </w:tc>
      </w:tr>
      <w:tr w:rsidR="007D706A" w14:paraId="0E0FE04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204001E"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2E854808"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4A29192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5B784A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C68C214" w14:textId="77777777" w:rsidR="007D706A" w:rsidRDefault="007D706A" w:rsidP="00F70508">
            <w:pPr>
              <w:pStyle w:val="ParagraphStyle12"/>
              <w:rPr>
                <w:rStyle w:val="CharacterStyle12"/>
              </w:rPr>
            </w:pPr>
            <w:r>
              <w:rPr>
                <w:rStyle w:val="CharacterStyle12"/>
              </w:rPr>
              <w:t>10.500,00</w:t>
            </w:r>
          </w:p>
        </w:tc>
        <w:tc>
          <w:tcPr>
            <w:tcW w:w="1395" w:type="dxa"/>
            <w:tcBorders>
              <w:bottom w:val="single" w:sz="6" w:space="0" w:color="000000"/>
              <w:right w:val="single" w:sz="6" w:space="0" w:color="000000"/>
            </w:tcBorders>
            <w:vAlign w:val="center"/>
          </w:tcPr>
          <w:p w14:paraId="29EA30B7" w14:textId="77777777" w:rsidR="007D706A" w:rsidRDefault="007D706A" w:rsidP="00F70508">
            <w:pPr>
              <w:pStyle w:val="ParagraphStyle12"/>
              <w:rPr>
                <w:rStyle w:val="CharacterStyle12"/>
              </w:rPr>
            </w:pPr>
            <w:r>
              <w:rPr>
                <w:rStyle w:val="CharacterStyle12"/>
              </w:rPr>
              <w:t>10.788,75</w:t>
            </w:r>
          </w:p>
        </w:tc>
        <w:tc>
          <w:tcPr>
            <w:tcW w:w="1395" w:type="dxa"/>
            <w:tcBorders>
              <w:bottom w:val="single" w:sz="6" w:space="0" w:color="000000"/>
              <w:right w:val="single" w:sz="6" w:space="0" w:color="000000"/>
            </w:tcBorders>
            <w:vAlign w:val="center"/>
          </w:tcPr>
          <w:p w14:paraId="185B9FD8" w14:textId="77777777" w:rsidR="007D706A" w:rsidRDefault="007D706A" w:rsidP="00F70508">
            <w:pPr>
              <w:pStyle w:val="ParagraphStyle12"/>
              <w:rPr>
                <w:rStyle w:val="CharacterStyle12"/>
              </w:rPr>
            </w:pPr>
            <w:r>
              <w:rPr>
                <w:rStyle w:val="CharacterStyle12"/>
              </w:rPr>
              <w:t>10.893,75</w:t>
            </w:r>
          </w:p>
        </w:tc>
      </w:tr>
      <w:tr w:rsidR="007D706A" w14:paraId="56996C2A" w14:textId="77777777" w:rsidTr="00F70508">
        <w:trPr>
          <w:trHeight w:val="420"/>
        </w:trPr>
        <w:tc>
          <w:tcPr>
            <w:tcW w:w="2880" w:type="dxa"/>
            <w:tcBorders>
              <w:left w:val="single" w:sz="6" w:space="0" w:color="000000"/>
              <w:bottom w:val="single" w:sz="6" w:space="0" w:color="000000"/>
              <w:right w:val="single" w:sz="6" w:space="0" w:color="000000"/>
            </w:tcBorders>
            <w:vAlign w:val="center"/>
          </w:tcPr>
          <w:p w14:paraId="121B2610" w14:textId="77777777" w:rsidR="007D706A" w:rsidRDefault="007D706A" w:rsidP="00F70508">
            <w:pPr>
              <w:pStyle w:val="ParagraphStyle10"/>
              <w:rPr>
                <w:rStyle w:val="CharacterStyle10"/>
              </w:rPr>
            </w:pPr>
            <w:r>
              <w:rPr>
                <w:rStyle w:val="CharacterStyle10"/>
              </w:rPr>
              <w:t>37</w:t>
            </w:r>
          </w:p>
        </w:tc>
        <w:tc>
          <w:tcPr>
            <w:tcW w:w="4995" w:type="dxa"/>
            <w:tcBorders>
              <w:bottom w:val="single" w:sz="6" w:space="0" w:color="000000"/>
              <w:right w:val="single" w:sz="6" w:space="0" w:color="000000"/>
            </w:tcBorders>
            <w:vAlign w:val="center"/>
          </w:tcPr>
          <w:p w14:paraId="368FDE5F" w14:textId="77777777" w:rsidR="007D706A" w:rsidRDefault="007D706A" w:rsidP="00F70508">
            <w:pPr>
              <w:pStyle w:val="ParagraphStyle11"/>
              <w:rPr>
                <w:rStyle w:val="CharacterStyle11"/>
              </w:rPr>
            </w:pPr>
            <w:r>
              <w:rPr>
                <w:rStyle w:val="CharacterStyle11"/>
              </w:rPr>
              <w:t>Naknade građanima i kućanstvima na temelju osiguranja i druge naknade</w:t>
            </w:r>
          </w:p>
        </w:tc>
        <w:tc>
          <w:tcPr>
            <w:tcW w:w="1395" w:type="dxa"/>
            <w:tcBorders>
              <w:bottom w:val="single" w:sz="6" w:space="0" w:color="000000"/>
              <w:right w:val="single" w:sz="6" w:space="0" w:color="000000"/>
            </w:tcBorders>
            <w:vAlign w:val="center"/>
          </w:tcPr>
          <w:p w14:paraId="4852C2F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A0D8EF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53347EA" w14:textId="77777777" w:rsidR="007D706A" w:rsidRDefault="007D706A" w:rsidP="00F70508">
            <w:pPr>
              <w:pStyle w:val="ParagraphStyle12"/>
              <w:rPr>
                <w:rStyle w:val="CharacterStyle12"/>
              </w:rPr>
            </w:pPr>
            <w:r>
              <w:rPr>
                <w:rStyle w:val="CharacterStyle12"/>
              </w:rPr>
              <w:t>10.500,00</w:t>
            </w:r>
          </w:p>
        </w:tc>
        <w:tc>
          <w:tcPr>
            <w:tcW w:w="1395" w:type="dxa"/>
            <w:tcBorders>
              <w:bottom w:val="single" w:sz="6" w:space="0" w:color="000000"/>
              <w:right w:val="single" w:sz="6" w:space="0" w:color="000000"/>
            </w:tcBorders>
            <w:vAlign w:val="center"/>
          </w:tcPr>
          <w:p w14:paraId="7B5ACB33" w14:textId="77777777" w:rsidR="007D706A" w:rsidRDefault="007D706A" w:rsidP="00F70508">
            <w:pPr>
              <w:pStyle w:val="ParagraphStyle12"/>
              <w:rPr>
                <w:rStyle w:val="CharacterStyle12"/>
              </w:rPr>
            </w:pPr>
            <w:r>
              <w:rPr>
                <w:rStyle w:val="CharacterStyle12"/>
              </w:rPr>
              <w:t>10.788,75</w:t>
            </w:r>
          </w:p>
        </w:tc>
        <w:tc>
          <w:tcPr>
            <w:tcW w:w="1395" w:type="dxa"/>
            <w:tcBorders>
              <w:bottom w:val="single" w:sz="6" w:space="0" w:color="000000"/>
              <w:right w:val="single" w:sz="6" w:space="0" w:color="000000"/>
            </w:tcBorders>
            <w:vAlign w:val="center"/>
          </w:tcPr>
          <w:p w14:paraId="653252A5" w14:textId="77777777" w:rsidR="007D706A" w:rsidRDefault="007D706A" w:rsidP="00F70508">
            <w:pPr>
              <w:pStyle w:val="ParagraphStyle12"/>
              <w:rPr>
                <w:rStyle w:val="CharacterStyle12"/>
              </w:rPr>
            </w:pPr>
            <w:r>
              <w:rPr>
                <w:rStyle w:val="CharacterStyle12"/>
              </w:rPr>
              <w:t>10.893,75</w:t>
            </w:r>
          </w:p>
        </w:tc>
      </w:tr>
      <w:tr w:rsidR="007D706A" w14:paraId="6725E85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6D77A7F" w14:textId="77777777" w:rsidR="007D706A" w:rsidRDefault="007D706A" w:rsidP="00F70508">
            <w:pPr>
              <w:pStyle w:val="ParagraphStyle7"/>
              <w:rPr>
                <w:rStyle w:val="CharacterStyle7"/>
              </w:rPr>
            </w:pPr>
            <w:r>
              <w:rPr>
                <w:rStyle w:val="CharacterStyle7"/>
              </w:rPr>
              <w:t>Izvor financiranja 53</w:t>
            </w:r>
          </w:p>
        </w:tc>
        <w:tc>
          <w:tcPr>
            <w:tcW w:w="4995" w:type="dxa"/>
            <w:tcBorders>
              <w:bottom w:val="single" w:sz="6" w:space="0" w:color="000000"/>
              <w:right w:val="single" w:sz="6" w:space="0" w:color="000000"/>
            </w:tcBorders>
            <w:vAlign w:val="center"/>
          </w:tcPr>
          <w:p w14:paraId="238341EA" w14:textId="77777777" w:rsidR="007D706A" w:rsidRDefault="007D706A" w:rsidP="00F70508">
            <w:pPr>
              <w:pStyle w:val="ParagraphStyle8"/>
              <w:rPr>
                <w:rStyle w:val="CharacterStyle8"/>
              </w:rPr>
            </w:pPr>
            <w:r>
              <w:rPr>
                <w:rStyle w:val="CharacterStyle8"/>
              </w:rPr>
              <w:t>Proračuni, drugi nivoi - za posebne i / ili ugovorene namjene</w:t>
            </w:r>
          </w:p>
        </w:tc>
        <w:tc>
          <w:tcPr>
            <w:tcW w:w="1395" w:type="dxa"/>
            <w:tcBorders>
              <w:bottom w:val="single" w:sz="6" w:space="0" w:color="000000"/>
              <w:right w:val="single" w:sz="6" w:space="0" w:color="000000"/>
            </w:tcBorders>
            <w:vAlign w:val="center"/>
          </w:tcPr>
          <w:p w14:paraId="7D84776F"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DE6DDD3" w14:textId="77777777" w:rsidR="007D706A" w:rsidRDefault="007D706A" w:rsidP="00F70508">
            <w:pPr>
              <w:pStyle w:val="ParagraphStyle9"/>
              <w:rPr>
                <w:rStyle w:val="CharacterStyle9"/>
              </w:rPr>
            </w:pPr>
            <w:r>
              <w:rPr>
                <w:rStyle w:val="CharacterStyle9"/>
              </w:rPr>
              <w:t>10.500,00</w:t>
            </w:r>
          </w:p>
        </w:tc>
        <w:tc>
          <w:tcPr>
            <w:tcW w:w="1395" w:type="dxa"/>
            <w:tcBorders>
              <w:bottom w:val="single" w:sz="6" w:space="0" w:color="000000"/>
              <w:right w:val="single" w:sz="6" w:space="0" w:color="000000"/>
            </w:tcBorders>
            <w:vAlign w:val="center"/>
          </w:tcPr>
          <w:p w14:paraId="7CD8D545"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57AAE4E"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E7DB216" w14:textId="77777777" w:rsidR="007D706A" w:rsidRDefault="007D706A" w:rsidP="00F70508">
            <w:pPr>
              <w:pStyle w:val="ParagraphStyle9"/>
              <w:rPr>
                <w:rStyle w:val="CharacterStyle9"/>
              </w:rPr>
            </w:pPr>
            <w:r>
              <w:rPr>
                <w:rStyle w:val="CharacterStyle9"/>
              </w:rPr>
              <w:t>0,00</w:t>
            </w:r>
          </w:p>
        </w:tc>
      </w:tr>
      <w:tr w:rsidR="007D706A" w14:paraId="7509D2E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44EE5E9"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51D6FE19"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3FDEF8D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7FD68A8" w14:textId="77777777" w:rsidR="007D706A" w:rsidRDefault="007D706A" w:rsidP="00F70508">
            <w:pPr>
              <w:pStyle w:val="ParagraphStyle12"/>
              <w:rPr>
                <w:rStyle w:val="CharacterStyle12"/>
              </w:rPr>
            </w:pPr>
            <w:r>
              <w:rPr>
                <w:rStyle w:val="CharacterStyle12"/>
              </w:rPr>
              <w:t>10.500,00</w:t>
            </w:r>
          </w:p>
        </w:tc>
        <w:tc>
          <w:tcPr>
            <w:tcW w:w="1395" w:type="dxa"/>
            <w:tcBorders>
              <w:bottom w:val="single" w:sz="6" w:space="0" w:color="000000"/>
              <w:right w:val="single" w:sz="6" w:space="0" w:color="000000"/>
            </w:tcBorders>
            <w:vAlign w:val="center"/>
          </w:tcPr>
          <w:p w14:paraId="7FA4EE5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5585C5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9DC5731" w14:textId="77777777" w:rsidR="007D706A" w:rsidRDefault="007D706A" w:rsidP="00F70508">
            <w:pPr>
              <w:pStyle w:val="ParagraphStyle12"/>
              <w:rPr>
                <w:rStyle w:val="CharacterStyle12"/>
              </w:rPr>
            </w:pPr>
            <w:r>
              <w:rPr>
                <w:rStyle w:val="CharacterStyle12"/>
              </w:rPr>
              <w:t>0,00</w:t>
            </w:r>
          </w:p>
        </w:tc>
      </w:tr>
      <w:tr w:rsidR="007D706A" w14:paraId="438A9EC3" w14:textId="77777777" w:rsidTr="00F70508">
        <w:trPr>
          <w:trHeight w:val="405"/>
        </w:trPr>
        <w:tc>
          <w:tcPr>
            <w:tcW w:w="2880" w:type="dxa"/>
            <w:tcBorders>
              <w:left w:val="single" w:sz="6" w:space="0" w:color="000000"/>
              <w:bottom w:val="single" w:sz="6" w:space="0" w:color="000000"/>
              <w:right w:val="single" w:sz="6" w:space="0" w:color="000000"/>
            </w:tcBorders>
            <w:vAlign w:val="center"/>
          </w:tcPr>
          <w:p w14:paraId="14EDF664" w14:textId="77777777" w:rsidR="007D706A" w:rsidRDefault="007D706A" w:rsidP="00F70508">
            <w:pPr>
              <w:pStyle w:val="ParagraphStyle10"/>
              <w:rPr>
                <w:rStyle w:val="CharacterStyle10"/>
              </w:rPr>
            </w:pPr>
            <w:r>
              <w:rPr>
                <w:rStyle w:val="CharacterStyle10"/>
              </w:rPr>
              <w:t>37</w:t>
            </w:r>
          </w:p>
        </w:tc>
        <w:tc>
          <w:tcPr>
            <w:tcW w:w="4995" w:type="dxa"/>
            <w:tcBorders>
              <w:bottom w:val="single" w:sz="6" w:space="0" w:color="000000"/>
              <w:right w:val="single" w:sz="6" w:space="0" w:color="000000"/>
            </w:tcBorders>
            <w:vAlign w:val="center"/>
          </w:tcPr>
          <w:p w14:paraId="08120C9C" w14:textId="77777777" w:rsidR="007D706A" w:rsidRDefault="007D706A" w:rsidP="00F70508">
            <w:pPr>
              <w:pStyle w:val="ParagraphStyle11"/>
              <w:rPr>
                <w:rStyle w:val="CharacterStyle11"/>
              </w:rPr>
            </w:pPr>
            <w:r>
              <w:rPr>
                <w:rStyle w:val="CharacterStyle11"/>
              </w:rPr>
              <w:t>Naknade građanima i kućanstvima na temelju osiguranja i druge naknade</w:t>
            </w:r>
          </w:p>
        </w:tc>
        <w:tc>
          <w:tcPr>
            <w:tcW w:w="1395" w:type="dxa"/>
            <w:tcBorders>
              <w:bottom w:val="single" w:sz="6" w:space="0" w:color="000000"/>
              <w:right w:val="single" w:sz="6" w:space="0" w:color="000000"/>
            </w:tcBorders>
            <w:vAlign w:val="center"/>
          </w:tcPr>
          <w:p w14:paraId="377A6B9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E7DDB5D" w14:textId="77777777" w:rsidR="007D706A" w:rsidRDefault="007D706A" w:rsidP="00F70508">
            <w:pPr>
              <w:pStyle w:val="ParagraphStyle12"/>
              <w:rPr>
                <w:rStyle w:val="CharacterStyle12"/>
              </w:rPr>
            </w:pPr>
            <w:r>
              <w:rPr>
                <w:rStyle w:val="CharacterStyle12"/>
              </w:rPr>
              <w:t>10.500,00</w:t>
            </w:r>
          </w:p>
        </w:tc>
        <w:tc>
          <w:tcPr>
            <w:tcW w:w="1395" w:type="dxa"/>
            <w:tcBorders>
              <w:bottom w:val="single" w:sz="6" w:space="0" w:color="000000"/>
              <w:right w:val="single" w:sz="6" w:space="0" w:color="000000"/>
            </w:tcBorders>
            <w:vAlign w:val="center"/>
          </w:tcPr>
          <w:p w14:paraId="6D556D6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151FFF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1D5D64A" w14:textId="77777777" w:rsidR="007D706A" w:rsidRDefault="007D706A" w:rsidP="00F70508">
            <w:pPr>
              <w:pStyle w:val="ParagraphStyle12"/>
              <w:rPr>
                <w:rStyle w:val="CharacterStyle12"/>
              </w:rPr>
            </w:pPr>
            <w:r>
              <w:rPr>
                <w:rStyle w:val="CharacterStyle12"/>
              </w:rPr>
              <w:t>0,00</w:t>
            </w:r>
          </w:p>
        </w:tc>
      </w:tr>
      <w:tr w:rsidR="007D706A" w14:paraId="2812E51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7F987E4" w14:textId="77777777" w:rsidR="007D706A" w:rsidRDefault="007D706A" w:rsidP="00F70508">
            <w:pPr>
              <w:pStyle w:val="ParagraphStyle4"/>
              <w:rPr>
                <w:rStyle w:val="CharacterStyle4"/>
              </w:rPr>
            </w:pPr>
            <w:r>
              <w:rPr>
                <w:rStyle w:val="CharacterStyle4"/>
              </w:rPr>
              <w:t>Aktivnost A103639</w:t>
            </w:r>
          </w:p>
        </w:tc>
        <w:tc>
          <w:tcPr>
            <w:tcW w:w="4995" w:type="dxa"/>
            <w:tcBorders>
              <w:bottom w:val="single" w:sz="6" w:space="0" w:color="000000"/>
              <w:right w:val="single" w:sz="6" w:space="0" w:color="000000"/>
            </w:tcBorders>
            <w:vAlign w:val="center"/>
          </w:tcPr>
          <w:p w14:paraId="7ADF02A0" w14:textId="77777777" w:rsidR="007D706A" w:rsidRDefault="007D706A" w:rsidP="00F70508">
            <w:pPr>
              <w:pStyle w:val="ParagraphStyle5"/>
              <w:rPr>
                <w:rStyle w:val="CharacterStyle5"/>
              </w:rPr>
            </w:pPr>
            <w:r>
              <w:rPr>
                <w:rStyle w:val="CharacterStyle5"/>
              </w:rPr>
              <w:t>PREHRANA ZA UČENIKE U OSNOVNIM ŠKOLAMA</w:t>
            </w:r>
          </w:p>
        </w:tc>
        <w:tc>
          <w:tcPr>
            <w:tcW w:w="1395" w:type="dxa"/>
            <w:tcBorders>
              <w:bottom w:val="single" w:sz="6" w:space="0" w:color="000000"/>
              <w:right w:val="single" w:sz="6" w:space="0" w:color="000000"/>
            </w:tcBorders>
            <w:vAlign w:val="center"/>
          </w:tcPr>
          <w:p w14:paraId="5874BB4B"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1142202A" w14:textId="77777777" w:rsidR="007D706A" w:rsidRDefault="007D706A" w:rsidP="00F70508">
            <w:pPr>
              <w:pStyle w:val="ParagraphStyle6"/>
              <w:rPr>
                <w:rStyle w:val="CharacterStyle6"/>
              </w:rPr>
            </w:pPr>
            <w:r>
              <w:rPr>
                <w:rStyle w:val="CharacterStyle6"/>
              </w:rPr>
              <w:t>118.000,00</w:t>
            </w:r>
          </w:p>
        </w:tc>
        <w:tc>
          <w:tcPr>
            <w:tcW w:w="1395" w:type="dxa"/>
            <w:tcBorders>
              <w:bottom w:val="single" w:sz="6" w:space="0" w:color="000000"/>
              <w:right w:val="single" w:sz="6" w:space="0" w:color="000000"/>
            </w:tcBorders>
            <w:vAlign w:val="center"/>
          </w:tcPr>
          <w:p w14:paraId="30D89EA9" w14:textId="77777777" w:rsidR="007D706A" w:rsidRDefault="007D706A" w:rsidP="00F70508">
            <w:pPr>
              <w:pStyle w:val="ParagraphStyle6"/>
              <w:rPr>
                <w:rStyle w:val="CharacterStyle6"/>
              </w:rPr>
            </w:pPr>
            <w:r>
              <w:rPr>
                <w:rStyle w:val="CharacterStyle6"/>
              </w:rPr>
              <w:t>120.000,00</w:t>
            </w:r>
          </w:p>
        </w:tc>
        <w:tc>
          <w:tcPr>
            <w:tcW w:w="1395" w:type="dxa"/>
            <w:tcBorders>
              <w:bottom w:val="single" w:sz="6" w:space="0" w:color="000000"/>
              <w:right w:val="single" w:sz="6" w:space="0" w:color="000000"/>
            </w:tcBorders>
            <w:vAlign w:val="center"/>
          </w:tcPr>
          <w:p w14:paraId="014B841A" w14:textId="77777777" w:rsidR="007D706A" w:rsidRDefault="007D706A" w:rsidP="00F70508">
            <w:pPr>
              <w:pStyle w:val="ParagraphStyle6"/>
              <w:rPr>
                <w:rStyle w:val="CharacterStyle6"/>
              </w:rPr>
            </w:pPr>
            <w:r>
              <w:rPr>
                <w:rStyle w:val="CharacterStyle6"/>
              </w:rPr>
              <w:t>121.245,00</w:t>
            </w:r>
          </w:p>
        </w:tc>
        <w:tc>
          <w:tcPr>
            <w:tcW w:w="1395" w:type="dxa"/>
            <w:tcBorders>
              <w:bottom w:val="single" w:sz="6" w:space="0" w:color="000000"/>
              <w:right w:val="single" w:sz="6" w:space="0" w:color="000000"/>
            </w:tcBorders>
            <w:vAlign w:val="center"/>
          </w:tcPr>
          <w:p w14:paraId="49179098" w14:textId="77777777" w:rsidR="007D706A" w:rsidRDefault="007D706A" w:rsidP="00F70508">
            <w:pPr>
              <w:pStyle w:val="ParagraphStyle6"/>
              <w:rPr>
                <w:rStyle w:val="CharacterStyle6"/>
              </w:rPr>
            </w:pPr>
            <w:r>
              <w:rPr>
                <w:rStyle w:val="CharacterStyle6"/>
              </w:rPr>
              <w:t>122.425,00</w:t>
            </w:r>
          </w:p>
        </w:tc>
      </w:tr>
      <w:tr w:rsidR="007D706A" w14:paraId="6FAB464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7EABE46"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0392825D"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269FD1E0"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C4338AB"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9E1DE1A" w14:textId="77777777" w:rsidR="007D706A" w:rsidRDefault="007D706A" w:rsidP="00F70508">
            <w:pPr>
              <w:pStyle w:val="ParagraphStyle9"/>
              <w:rPr>
                <w:rStyle w:val="CharacterStyle9"/>
              </w:rPr>
            </w:pPr>
            <w:r>
              <w:rPr>
                <w:rStyle w:val="CharacterStyle9"/>
              </w:rPr>
              <w:t>2.000,00</w:t>
            </w:r>
          </w:p>
        </w:tc>
        <w:tc>
          <w:tcPr>
            <w:tcW w:w="1395" w:type="dxa"/>
            <w:tcBorders>
              <w:bottom w:val="single" w:sz="6" w:space="0" w:color="000000"/>
              <w:right w:val="single" w:sz="6" w:space="0" w:color="000000"/>
            </w:tcBorders>
            <w:vAlign w:val="center"/>
          </w:tcPr>
          <w:p w14:paraId="09124718"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D3E0750" w14:textId="77777777" w:rsidR="007D706A" w:rsidRDefault="007D706A" w:rsidP="00F70508">
            <w:pPr>
              <w:pStyle w:val="ParagraphStyle9"/>
              <w:rPr>
                <w:rStyle w:val="CharacterStyle9"/>
              </w:rPr>
            </w:pPr>
            <w:r>
              <w:rPr>
                <w:rStyle w:val="CharacterStyle9"/>
              </w:rPr>
              <w:t>0,00</w:t>
            </w:r>
          </w:p>
        </w:tc>
      </w:tr>
      <w:tr w:rsidR="007D706A" w14:paraId="7F7A771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8B2FC50"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258654AB"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2D6AE22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873280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4D31B95" w14:textId="77777777" w:rsidR="007D706A" w:rsidRDefault="007D706A" w:rsidP="00F70508">
            <w:pPr>
              <w:pStyle w:val="ParagraphStyle12"/>
              <w:rPr>
                <w:rStyle w:val="CharacterStyle12"/>
              </w:rPr>
            </w:pPr>
            <w:r>
              <w:rPr>
                <w:rStyle w:val="CharacterStyle12"/>
              </w:rPr>
              <w:t>2.000,00</w:t>
            </w:r>
          </w:p>
        </w:tc>
        <w:tc>
          <w:tcPr>
            <w:tcW w:w="1395" w:type="dxa"/>
            <w:tcBorders>
              <w:bottom w:val="single" w:sz="6" w:space="0" w:color="000000"/>
              <w:right w:val="single" w:sz="6" w:space="0" w:color="000000"/>
            </w:tcBorders>
            <w:vAlign w:val="center"/>
          </w:tcPr>
          <w:p w14:paraId="61D6265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F894073" w14:textId="77777777" w:rsidR="007D706A" w:rsidRDefault="007D706A" w:rsidP="00F70508">
            <w:pPr>
              <w:pStyle w:val="ParagraphStyle12"/>
              <w:rPr>
                <w:rStyle w:val="CharacterStyle12"/>
              </w:rPr>
            </w:pPr>
            <w:r>
              <w:rPr>
                <w:rStyle w:val="CharacterStyle12"/>
              </w:rPr>
              <w:t>0,00</w:t>
            </w:r>
          </w:p>
        </w:tc>
      </w:tr>
      <w:tr w:rsidR="007D706A" w14:paraId="56DBADA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838466A"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41F210DF"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7E7E15F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61DDEE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2FE127A" w14:textId="77777777" w:rsidR="007D706A" w:rsidRDefault="007D706A" w:rsidP="00F70508">
            <w:pPr>
              <w:pStyle w:val="ParagraphStyle12"/>
              <w:rPr>
                <w:rStyle w:val="CharacterStyle12"/>
              </w:rPr>
            </w:pPr>
            <w:r>
              <w:rPr>
                <w:rStyle w:val="CharacterStyle12"/>
              </w:rPr>
              <w:t>2.000,00</w:t>
            </w:r>
          </w:p>
        </w:tc>
        <w:tc>
          <w:tcPr>
            <w:tcW w:w="1395" w:type="dxa"/>
            <w:tcBorders>
              <w:bottom w:val="single" w:sz="6" w:space="0" w:color="000000"/>
              <w:right w:val="single" w:sz="6" w:space="0" w:color="000000"/>
            </w:tcBorders>
            <w:vAlign w:val="center"/>
          </w:tcPr>
          <w:p w14:paraId="681786C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99A131A" w14:textId="77777777" w:rsidR="007D706A" w:rsidRDefault="007D706A" w:rsidP="00F70508">
            <w:pPr>
              <w:pStyle w:val="ParagraphStyle12"/>
              <w:rPr>
                <w:rStyle w:val="CharacterStyle12"/>
              </w:rPr>
            </w:pPr>
            <w:r>
              <w:rPr>
                <w:rStyle w:val="CharacterStyle12"/>
              </w:rPr>
              <w:t>0,00</w:t>
            </w:r>
          </w:p>
        </w:tc>
      </w:tr>
      <w:tr w:rsidR="007D706A" w14:paraId="5C6CE88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4A0C384" w14:textId="77777777" w:rsidR="007D706A" w:rsidRDefault="007D706A" w:rsidP="00F70508">
            <w:pPr>
              <w:pStyle w:val="ParagraphStyle7"/>
              <w:rPr>
                <w:rStyle w:val="CharacterStyle7"/>
              </w:rPr>
            </w:pPr>
            <w:r>
              <w:rPr>
                <w:rStyle w:val="CharacterStyle7"/>
              </w:rPr>
              <w:t>Izvor financiranja 50</w:t>
            </w:r>
          </w:p>
        </w:tc>
        <w:tc>
          <w:tcPr>
            <w:tcW w:w="4995" w:type="dxa"/>
            <w:tcBorders>
              <w:bottom w:val="single" w:sz="6" w:space="0" w:color="000000"/>
              <w:right w:val="single" w:sz="6" w:space="0" w:color="000000"/>
            </w:tcBorders>
            <w:vAlign w:val="center"/>
          </w:tcPr>
          <w:p w14:paraId="66798A79" w14:textId="77777777" w:rsidR="007D706A" w:rsidRDefault="007D706A" w:rsidP="00F70508">
            <w:pPr>
              <w:pStyle w:val="ParagraphStyle8"/>
              <w:rPr>
                <w:rStyle w:val="CharacterStyle8"/>
              </w:rPr>
            </w:pPr>
            <w:r>
              <w:rPr>
                <w:rStyle w:val="CharacterStyle8"/>
              </w:rPr>
              <w:t>Pomoći iz državnog proračuna</w:t>
            </w:r>
          </w:p>
        </w:tc>
        <w:tc>
          <w:tcPr>
            <w:tcW w:w="1395" w:type="dxa"/>
            <w:tcBorders>
              <w:bottom w:val="single" w:sz="6" w:space="0" w:color="000000"/>
              <w:right w:val="single" w:sz="6" w:space="0" w:color="000000"/>
            </w:tcBorders>
            <w:vAlign w:val="center"/>
          </w:tcPr>
          <w:p w14:paraId="5FC236E5"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8C0E175"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A961F6B" w14:textId="77777777" w:rsidR="007D706A" w:rsidRDefault="007D706A" w:rsidP="00F70508">
            <w:pPr>
              <w:pStyle w:val="ParagraphStyle9"/>
              <w:rPr>
                <w:rStyle w:val="CharacterStyle9"/>
              </w:rPr>
            </w:pPr>
            <w:r>
              <w:rPr>
                <w:rStyle w:val="CharacterStyle9"/>
              </w:rPr>
              <w:t>118.000,00</w:t>
            </w:r>
          </w:p>
        </w:tc>
        <w:tc>
          <w:tcPr>
            <w:tcW w:w="1395" w:type="dxa"/>
            <w:tcBorders>
              <w:bottom w:val="single" w:sz="6" w:space="0" w:color="000000"/>
              <w:right w:val="single" w:sz="6" w:space="0" w:color="000000"/>
            </w:tcBorders>
            <w:vAlign w:val="center"/>
          </w:tcPr>
          <w:p w14:paraId="4C402483" w14:textId="77777777" w:rsidR="007D706A" w:rsidRDefault="007D706A" w:rsidP="00F70508">
            <w:pPr>
              <w:pStyle w:val="ParagraphStyle9"/>
              <w:rPr>
                <w:rStyle w:val="CharacterStyle9"/>
              </w:rPr>
            </w:pPr>
            <w:r>
              <w:rPr>
                <w:rStyle w:val="CharacterStyle9"/>
              </w:rPr>
              <w:t>121.245,00</w:t>
            </w:r>
          </w:p>
        </w:tc>
        <w:tc>
          <w:tcPr>
            <w:tcW w:w="1395" w:type="dxa"/>
            <w:tcBorders>
              <w:bottom w:val="single" w:sz="6" w:space="0" w:color="000000"/>
              <w:right w:val="single" w:sz="6" w:space="0" w:color="000000"/>
            </w:tcBorders>
            <w:vAlign w:val="center"/>
          </w:tcPr>
          <w:p w14:paraId="53C58ADB" w14:textId="77777777" w:rsidR="007D706A" w:rsidRDefault="007D706A" w:rsidP="00F70508">
            <w:pPr>
              <w:pStyle w:val="ParagraphStyle9"/>
              <w:rPr>
                <w:rStyle w:val="CharacterStyle9"/>
              </w:rPr>
            </w:pPr>
            <w:r>
              <w:rPr>
                <w:rStyle w:val="CharacterStyle9"/>
              </w:rPr>
              <w:t>122.425,00</w:t>
            </w:r>
          </w:p>
        </w:tc>
      </w:tr>
      <w:tr w:rsidR="007D706A" w14:paraId="1198F46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92124E9"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6791DC61"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61C057F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AFC948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6DBA091" w14:textId="77777777" w:rsidR="007D706A" w:rsidRDefault="007D706A" w:rsidP="00F70508">
            <w:pPr>
              <w:pStyle w:val="ParagraphStyle12"/>
              <w:rPr>
                <w:rStyle w:val="CharacterStyle12"/>
              </w:rPr>
            </w:pPr>
            <w:r>
              <w:rPr>
                <w:rStyle w:val="CharacterStyle12"/>
              </w:rPr>
              <w:t>118.000,00</w:t>
            </w:r>
          </w:p>
        </w:tc>
        <w:tc>
          <w:tcPr>
            <w:tcW w:w="1395" w:type="dxa"/>
            <w:tcBorders>
              <w:bottom w:val="single" w:sz="6" w:space="0" w:color="000000"/>
              <w:right w:val="single" w:sz="6" w:space="0" w:color="000000"/>
            </w:tcBorders>
            <w:vAlign w:val="center"/>
          </w:tcPr>
          <w:p w14:paraId="22ABAF1F" w14:textId="77777777" w:rsidR="007D706A" w:rsidRDefault="007D706A" w:rsidP="00F70508">
            <w:pPr>
              <w:pStyle w:val="ParagraphStyle12"/>
              <w:rPr>
                <w:rStyle w:val="CharacterStyle12"/>
              </w:rPr>
            </w:pPr>
            <w:r>
              <w:rPr>
                <w:rStyle w:val="CharacterStyle12"/>
              </w:rPr>
              <w:t>121.245,00</w:t>
            </w:r>
          </w:p>
        </w:tc>
        <w:tc>
          <w:tcPr>
            <w:tcW w:w="1395" w:type="dxa"/>
            <w:tcBorders>
              <w:bottom w:val="single" w:sz="6" w:space="0" w:color="000000"/>
              <w:right w:val="single" w:sz="6" w:space="0" w:color="000000"/>
            </w:tcBorders>
            <w:vAlign w:val="center"/>
          </w:tcPr>
          <w:p w14:paraId="2F6A06F0" w14:textId="77777777" w:rsidR="007D706A" w:rsidRDefault="007D706A" w:rsidP="00F70508">
            <w:pPr>
              <w:pStyle w:val="ParagraphStyle12"/>
              <w:rPr>
                <w:rStyle w:val="CharacterStyle12"/>
              </w:rPr>
            </w:pPr>
            <w:r>
              <w:rPr>
                <w:rStyle w:val="CharacterStyle12"/>
              </w:rPr>
              <w:t>122.425,00</w:t>
            </w:r>
          </w:p>
        </w:tc>
      </w:tr>
      <w:tr w:rsidR="007D706A" w14:paraId="155B786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3E45395"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596737E5"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67D831F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C00DE0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85215C4" w14:textId="77777777" w:rsidR="007D706A" w:rsidRDefault="007D706A" w:rsidP="00F70508">
            <w:pPr>
              <w:pStyle w:val="ParagraphStyle12"/>
              <w:rPr>
                <w:rStyle w:val="CharacterStyle12"/>
              </w:rPr>
            </w:pPr>
            <w:r>
              <w:rPr>
                <w:rStyle w:val="CharacterStyle12"/>
              </w:rPr>
              <w:t>118.000,00</w:t>
            </w:r>
          </w:p>
        </w:tc>
        <w:tc>
          <w:tcPr>
            <w:tcW w:w="1395" w:type="dxa"/>
            <w:tcBorders>
              <w:bottom w:val="single" w:sz="6" w:space="0" w:color="000000"/>
              <w:right w:val="single" w:sz="6" w:space="0" w:color="000000"/>
            </w:tcBorders>
            <w:vAlign w:val="center"/>
          </w:tcPr>
          <w:p w14:paraId="001A0A00" w14:textId="77777777" w:rsidR="007D706A" w:rsidRDefault="007D706A" w:rsidP="00F70508">
            <w:pPr>
              <w:pStyle w:val="ParagraphStyle12"/>
              <w:rPr>
                <w:rStyle w:val="CharacterStyle12"/>
              </w:rPr>
            </w:pPr>
            <w:r>
              <w:rPr>
                <w:rStyle w:val="CharacterStyle12"/>
              </w:rPr>
              <w:t>121.245,00</w:t>
            </w:r>
          </w:p>
        </w:tc>
        <w:tc>
          <w:tcPr>
            <w:tcW w:w="1395" w:type="dxa"/>
            <w:tcBorders>
              <w:bottom w:val="single" w:sz="6" w:space="0" w:color="000000"/>
              <w:right w:val="single" w:sz="6" w:space="0" w:color="000000"/>
            </w:tcBorders>
            <w:vAlign w:val="center"/>
          </w:tcPr>
          <w:p w14:paraId="01FE56FA" w14:textId="77777777" w:rsidR="007D706A" w:rsidRDefault="007D706A" w:rsidP="00F70508">
            <w:pPr>
              <w:pStyle w:val="ParagraphStyle12"/>
              <w:rPr>
                <w:rStyle w:val="CharacterStyle12"/>
              </w:rPr>
            </w:pPr>
            <w:r>
              <w:rPr>
                <w:rStyle w:val="CharacterStyle12"/>
              </w:rPr>
              <w:t>122.425,00</w:t>
            </w:r>
          </w:p>
        </w:tc>
      </w:tr>
      <w:tr w:rsidR="007D706A" w14:paraId="09928EA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1270FD9" w14:textId="77777777" w:rsidR="007D706A" w:rsidRDefault="007D706A" w:rsidP="00F70508">
            <w:pPr>
              <w:pStyle w:val="ParagraphStyle7"/>
              <w:rPr>
                <w:rStyle w:val="CharacterStyle7"/>
              </w:rPr>
            </w:pPr>
            <w:r>
              <w:rPr>
                <w:rStyle w:val="CharacterStyle7"/>
              </w:rPr>
              <w:t>Izvor financiranja 53</w:t>
            </w:r>
          </w:p>
        </w:tc>
        <w:tc>
          <w:tcPr>
            <w:tcW w:w="4995" w:type="dxa"/>
            <w:tcBorders>
              <w:bottom w:val="single" w:sz="6" w:space="0" w:color="000000"/>
              <w:right w:val="single" w:sz="6" w:space="0" w:color="000000"/>
            </w:tcBorders>
            <w:vAlign w:val="center"/>
          </w:tcPr>
          <w:p w14:paraId="0297EF3C" w14:textId="77777777" w:rsidR="007D706A" w:rsidRDefault="007D706A" w:rsidP="00F70508">
            <w:pPr>
              <w:pStyle w:val="ParagraphStyle8"/>
              <w:rPr>
                <w:rStyle w:val="CharacterStyle8"/>
              </w:rPr>
            </w:pPr>
            <w:r>
              <w:rPr>
                <w:rStyle w:val="CharacterStyle8"/>
              </w:rPr>
              <w:t>Proračuni, drugi nivoi - za posebne i / ili ugovorene namjene</w:t>
            </w:r>
          </w:p>
        </w:tc>
        <w:tc>
          <w:tcPr>
            <w:tcW w:w="1395" w:type="dxa"/>
            <w:tcBorders>
              <w:bottom w:val="single" w:sz="6" w:space="0" w:color="000000"/>
              <w:right w:val="single" w:sz="6" w:space="0" w:color="000000"/>
            </w:tcBorders>
            <w:vAlign w:val="center"/>
          </w:tcPr>
          <w:p w14:paraId="19C1822D"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FABC6BA" w14:textId="77777777" w:rsidR="007D706A" w:rsidRDefault="007D706A" w:rsidP="00F70508">
            <w:pPr>
              <w:pStyle w:val="ParagraphStyle9"/>
              <w:rPr>
                <w:rStyle w:val="CharacterStyle9"/>
              </w:rPr>
            </w:pPr>
            <w:r>
              <w:rPr>
                <w:rStyle w:val="CharacterStyle9"/>
              </w:rPr>
              <w:t>118.000,00</w:t>
            </w:r>
          </w:p>
        </w:tc>
        <w:tc>
          <w:tcPr>
            <w:tcW w:w="1395" w:type="dxa"/>
            <w:tcBorders>
              <w:bottom w:val="single" w:sz="6" w:space="0" w:color="000000"/>
              <w:right w:val="single" w:sz="6" w:space="0" w:color="000000"/>
            </w:tcBorders>
            <w:vAlign w:val="center"/>
          </w:tcPr>
          <w:p w14:paraId="6BF397E6"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B173395"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422E406" w14:textId="77777777" w:rsidR="007D706A" w:rsidRDefault="007D706A" w:rsidP="00F70508">
            <w:pPr>
              <w:pStyle w:val="ParagraphStyle9"/>
              <w:rPr>
                <w:rStyle w:val="CharacterStyle9"/>
              </w:rPr>
            </w:pPr>
            <w:r>
              <w:rPr>
                <w:rStyle w:val="CharacterStyle9"/>
              </w:rPr>
              <w:t>0,00</w:t>
            </w:r>
          </w:p>
        </w:tc>
      </w:tr>
      <w:tr w:rsidR="007D706A" w14:paraId="56BA722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6765ECC"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161FADAD"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5856791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8709737" w14:textId="77777777" w:rsidR="007D706A" w:rsidRDefault="007D706A" w:rsidP="00F70508">
            <w:pPr>
              <w:pStyle w:val="ParagraphStyle12"/>
              <w:rPr>
                <w:rStyle w:val="CharacterStyle12"/>
              </w:rPr>
            </w:pPr>
            <w:r>
              <w:rPr>
                <w:rStyle w:val="CharacterStyle12"/>
              </w:rPr>
              <w:t>118.000,00</w:t>
            </w:r>
          </w:p>
        </w:tc>
        <w:tc>
          <w:tcPr>
            <w:tcW w:w="1395" w:type="dxa"/>
            <w:tcBorders>
              <w:bottom w:val="single" w:sz="6" w:space="0" w:color="000000"/>
              <w:right w:val="single" w:sz="6" w:space="0" w:color="000000"/>
            </w:tcBorders>
            <w:vAlign w:val="center"/>
          </w:tcPr>
          <w:p w14:paraId="6265D85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82A819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1BB3A5B" w14:textId="77777777" w:rsidR="007D706A" w:rsidRDefault="007D706A" w:rsidP="00F70508">
            <w:pPr>
              <w:pStyle w:val="ParagraphStyle12"/>
              <w:rPr>
                <w:rStyle w:val="CharacterStyle12"/>
              </w:rPr>
            </w:pPr>
            <w:r>
              <w:rPr>
                <w:rStyle w:val="CharacterStyle12"/>
              </w:rPr>
              <w:t>0,00</w:t>
            </w:r>
          </w:p>
        </w:tc>
      </w:tr>
      <w:tr w:rsidR="007D706A" w14:paraId="3B1AD47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9B910E3"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5BC9B772"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648F683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C9E74C6" w14:textId="77777777" w:rsidR="007D706A" w:rsidRDefault="007D706A" w:rsidP="00F70508">
            <w:pPr>
              <w:pStyle w:val="ParagraphStyle12"/>
              <w:rPr>
                <w:rStyle w:val="CharacterStyle12"/>
              </w:rPr>
            </w:pPr>
            <w:r>
              <w:rPr>
                <w:rStyle w:val="CharacterStyle12"/>
              </w:rPr>
              <w:t>118.000,00</w:t>
            </w:r>
          </w:p>
        </w:tc>
        <w:tc>
          <w:tcPr>
            <w:tcW w:w="1395" w:type="dxa"/>
            <w:tcBorders>
              <w:bottom w:val="single" w:sz="6" w:space="0" w:color="000000"/>
              <w:right w:val="single" w:sz="6" w:space="0" w:color="000000"/>
            </w:tcBorders>
            <w:vAlign w:val="center"/>
          </w:tcPr>
          <w:p w14:paraId="15F2CBD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E83A18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AD93D8B" w14:textId="77777777" w:rsidR="007D706A" w:rsidRDefault="007D706A" w:rsidP="00F70508">
            <w:pPr>
              <w:pStyle w:val="ParagraphStyle12"/>
              <w:rPr>
                <w:rStyle w:val="CharacterStyle12"/>
              </w:rPr>
            </w:pPr>
            <w:r>
              <w:rPr>
                <w:rStyle w:val="CharacterStyle12"/>
              </w:rPr>
              <w:t>0,00</w:t>
            </w:r>
          </w:p>
        </w:tc>
      </w:tr>
      <w:tr w:rsidR="007D706A" w14:paraId="6C04F56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F5694D5" w14:textId="77777777" w:rsidR="007D706A" w:rsidRDefault="007D706A" w:rsidP="00F70508">
            <w:pPr>
              <w:pStyle w:val="ParagraphStyle4"/>
              <w:rPr>
                <w:rStyle w:val="CharacterStyle4"/>
              </w:rPr>
            </w:pPr>
            <w:r>
              <w:rPr>
                <w:rStyle w:val="CharacterStyle4"/>
              </w:rPr>
              <w:t>Tekući projekt T103626</w:t>
            </w:r>
          </w:p>
        </w:tc>
        <w:tc>
          <w:tcPr>
            <w:tcW w:w="4995" w:type="dxa"/>
            <w:tcBorders>
              <w:bottom w:val="single" w:sz="6" w:space="0" w:color="000000"/>
              <w:right w:val="single" w:sz="6" w:space="0" w:color="000000"/>
            </w:tcBorders>
            <w:vAlign w:val="center"/>
          </w:tcPr>
          <w:p w14:paraId="0798658E" w14:textId="77777777" w:rsidR="007D706A" w:rsidRDefault="007D706A" w:rsidP="00F70508">
            <w:pPr>
              <w:pStyle w:val="ParagraphStyle5"/>
              <w:rPr>
                <w:rStyle w:val="CharacterStyle5"/>
              </w:rPr>
            </w:pPr>
            <w:r>
              <w:rPr>
                <w:rStyle w:val="CharacterStyle5"/>
              </w:rPr>
              <w:t>POMOĆNICI U NASTAVI</w:t>
            </w:r>
          </w:p>
        </w:tc>
        <w:tc>
          <w:tcPr>
            <w:tcW w:w="1395" w:type="dxa"/>
            <w:tcBorders>
              <w:bottom w:val="single" w:sz="6" w:space="0" w:color="000000"/>
              <w:right w:val="single" w:sz="6" w:space="0" w:color="000000"/>
            </w:tcBorders>
            <w:vAlign w:val="center"/>
          </w:tcPr>
          <w:p w14:paraId="7C7CB892"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57C1BDE3" w14:textId="77777777" w:rsidR="007D706A" w:rsidRDefault="007D706A" w:rsidP="00F70508">
            <w:pPr>
              <w:pStyle w:val="ParagraphStyle6"/>
              <w:rPr>
                <w:rStyle w:val="CharacterStyle6"/>
              </w:rPr>
            </w:pPr>
            <w:r>
              <w:rPr>
                <w:rStyle w:val="CharacterStyle6"/>
              </w:rPr>
              <w:t>212.810,00</w:t>
            </w:r>
          </w:p>
        </w:tc>
        <w:tc>
          <w:tcPr>
            <w:tcW w:w="1395" w:type="dxa"/>
            <w:tcBorders>
              <w:bottom w:val="single" w:sz="6" w:space="0" w:color="000000"/>
              <w:right w:val="single" w:sz="6" w:space="0" w:color="000000"/>
            </w:tcBorders>
            <w:vAlign w:val="center"/>
          </w:tcPr>
          <w:p w14:paraId="3E9E8941" w14:textId="77777777" w:rsidR="007D706A" w:rsidRDefault="007D706A" w:rsidP="00F70508">
            <w:pPr>
              <w:pStyle w:val="ParagraphStyle6"/>
              <w:rPr>
                <w:rStyle w:val="CharacterStyle6"/>
              </w:rPr>
            </w:pPr>
            <w:r>
              <w:rPr>
                <w:rStyle w:val="CharacterStyle6"/>
              </w:rPr>
              <w:t>192.310,00</w:t>
            </w:r>
          </w:p>
        </w:tc>
        <w:tc>
          <w:tcPr>
            <w:tcW w:w="1395" w:type="dxa"/>
            <w:tcBorders>
              <w:bottom w:val="single" w:sz="6" w:space="0" w:color="000000"/>
              <w:right w:val="single" w:sz="6" w:space="0" w:color="000000"/>
            </w:tcBorders>
            <w:vAlign w:val="center"/>
          </w:tcPr>
          <w:p w14:paraId="630449A5" w14:textId="77777777" w:rsidR="007D706A" w:rsidRDefault="007D706A" w:rsidP="00F70508">
            <w:pPr>
              <w:pStyle w:val="ParagraphStyle6"/>
              <w:rPr>
                <w:rStyle w:val="CharacterStyle6"/>
              </w:rPr>
            </w:pPr>
            <w:r>
              <w:rPr>
                <w:rStyle w:val="CharacterStyle6"/>
              </w:rPr>
              <w:t>197.598,53</w:t>
            </w:r>
          </w:p>
        </w:tc>
        <w:tc>
          <w:tcPr>
            <w:tcW w:w="1395" w:type="dxa"/>
            <w:tcBorders>
              <w:bottom w:val="single" w:sz="6" w:space="0" w:color="000000"/>
              <w:right w:val="single" w:sz="6" w:space="0" w:color="000000"/>
            </w:tcBorders>
            <w:vAlign w:val="center"/>
          </w:tcPr>
          <w:p w14:paraId="368A2046" w14:textId="77777777" w:rsidR="007D706A" w:rsidRDefault="007D706A" w:rsidP="00F70508">
            <w:pPr>
              <w:pStyle w:val="ParagraphStyle6"/>
              <w:rPr>
                <w:rStyle w:val="CharacterStyle6"/>
              </w:rPr>
            </w:pPr>
            <w:r>
              <w:rPr>
                <w:rStyle w:val="CharacterStyle6"/>
              </w:rPr>
              <w:t>199.521,63</w:t>
            </w:r>
          </w:p>
        </w:tc>
      </w:tr>
      <w:tr w:rsidR="007D706A" w14:paraId="79CBCE06"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54706F9" w14:textId="77777777" w:rsidR="007D706A" w:rsidRDefault="007D706A" w:rsidP="00F70508">
            <w:pPr>
              <w:pStyle w:val="ParagraphStyle7"/>
              <w:rPr>
                <w:rStyle w:val="CharacterStyle7"/>
              </w:rPr>
            </w:pPr>
            <w:r>
              <w:rPr>
                <w:rStyle w:val="CharacterStyle7"/>
              </w:rPr>
              <w:t>Izvor financiranja 54</w:t>
            </w:r>
          </w:p>
        </w:tc>
        <w:tc>
          <w:tcPr>
            <w:tcW w:w="4995" w:type="dxa"/>
            <w:tcBorders>
              <w:bottom w:val="single" w:sz="6" w:space="0" w:color="000000"/>
              <w:right w:val="single" w:sz="6" w:space="0" w:color="000000"/>
            </w:tcBorders>
            <w:vAlign w:val="center"/>
          </w:tcPr>
          <w:p w14:paraId="60E34BDB" w14:textId="77777777" w:rsidR="007D706A" w:rsidRDefault="007D706A" w:rsidP="00F70508">
            <w:pPr>
              <w:pStyle w:val="ParagraphStyle8"/>
              <w:rPr>
                <w:rStyle w:val="CharacterStyle8"/>
              </w:rPr>
            </w:pPr>
            <w:r>
              <w:rPr>
                <w:rStyle w:val="CharacterStyle8"/>
              </w:rPr>
              <w:t>Pomoći tijela i fondova EU</w:t>
            </w:r>
          </w:p>
        </w:tc>
        <w:tc>
          <w:tcPr>
            <w:tcW w:w="1395" w:type="dxa"/>
            <w:tcBorders>
              <w:bottom w:val="single" w:sz="6" w:space="0" w:color="000000"/>
              <w:right w:val="single" w:sz="6" w:space="0" w:color="000000"/>
            </w:tcBorders>
            <w:vAlign w:val="center"/>
          </w:tcPr>
          <w:p w14:paraId="0AE202C1"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B9052B3" w14:textId="77777777" w:rsidR="007D706A" w:rsidRDefault="007D706A" w:rsidP="00F70508">
            <w:pPr>
              <w:pStyle w:val="ParagraphStyle9"/>
              <w:rPr>
                <w:rStyle w:val="CharacterStyle9"/>
              </w:rPr>
            </w:pPr>
            <w:r>
              <w:rPr>
                <w:rStyle w:val="CharacterStyle9"/>
              </w:rPr>
              <w:t>212.810,00</w:t>
            </w:r>
          </w:p>
        </w:tc>
        <w:tc>
          <w:tcPr>
            <w:tcW w:w="1395" w:type="dxa"/>
            <w:tcBorders>
              <w:bottom w:val="single" w:sz="6" w:space="0" w:color="000000"/>
              <w:right w:val="single" w:sz="6" w:space="0" w:color="000000"/>
            </w:tcBorders>
            <w:vAlign w:val="center"/>
          </w:tcPr>
          <w:p w14:paraId="0AC1536E"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5AA517E"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20520E5" w14:textId="77777777" w:rsidR="007D706A" w:rsidRDefault="007D706A" w:rsidP="00F70508">
            <w:pPr>
              <w:pStyle w:val="ParagraphStyle9"/>
              <w:rPr>
                <w:rStyle w:val="CharacterStyle9"/>
              </w:rPr>
            </w:pPr>
            <w:r>
              <w:rPr>
                <w:rStyle w:val="CharacterStyle9"/>
              </w:rPr>
              <w:t>0,00</w:t>
            </w:r>
          </w:p>
        </w:tc>
      </w:tr>
      <w:tr w:rsidR="007D706A" w14:paraId="4CF99CA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AABBE68"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49B469EE"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2950BA9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913C2C6" w14:textId="77777777" w:rsidR="007D706A" w:rsidRDefault="007D706A" w:rsidP="00F70508">
            <w:pPr>
              <w:pStyle w:val="ParagraphStyle12"/>
              <w:rPr>
                <w:rStyle w:val="CharacterStyle12"/>
              </w:rPr>
            </w:pPr>
            <w:r>
              <w:rPr>
                <w:rStyle w:val="CharacterStyle12"/>
              </w:rPr>
              <w:t>212.810,00</w:t>
            </w:r>
          </w:p>
        </w:tc>
        <w:tc>
          <w:tcPr>
            <w:tcW w:w="1395" w:type="dxa"/>
            <w:tcBorders>
              <w:bottom w:val="single" w:sz="6" w:space="0" w:color="000000"/>
              <w:right w:val="single" w:sz="6" w:space="0" w:color="000000"/>
            </w:tcBorders>
            <w:vAlign w:val="center"/>
          </w:tcPr>
          <w:p w14:paraId="2623E01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95810F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28ED7CC" w14:textId="77777777" w:rsidR="007D706A" w:rsidRDefault="007D706A" w:rsidP="00F70508">
            <w:pPr>
              <w:pStyle w:val="ParagraphStyle12"/>
              <w:rPr>
                <w:rStyle w:val="CharacterStyle12"/>
              </w:rPr>
            </w:pPr>
            <w:r>
              <w:rPr>
                <w:rStyle w:val="CharacterStyle12"/>
              </w:rPr>
              <w:t>0,00</w:t>
            </w:r>
          </w:p>
        </w:tc>
      </w:tr>
      <w:tr w:rsidR="007D706A" w14:paraId="518CFC9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EFC8472" w14:textId="77777777" w:rsidR="007D706A" w:rsidRDefault="007D706A" w:rsidP="00F70508">
            <w:pPr>
              <w:pStyle w:val="ParagraphStyle10"/>
              <w:rPr>
                <w:rStyle w:val="CharacterStyle10"/>
              </w:rPr>
            </w:pPr>
            <w:r>
              <w:rPr>
                <w:rStyle w:val="CharacterStyle10"/>
              </w:rPr>
              <w:t>31</w:t>
            </w:r>
          </w:p>
        </w:tc>
        <w:tc>
          <w:tcPr>
            <w:tcW w:w="4995" w:type="dxa"/>
            <w:tcBorders>
              <w:bottom w:val="single" w:sz="6" w:space="0" w:color="000000"/>
              <w:right w:val="single" w:sz="6" w:space="0" w:color="000000"/>
            </w:tcBorders>
            <w:vAlign w:val="center"/>
          </w:tcPr>
          <w:p w14:paraId="5871DCF5" w14:textId="77777777" w:rsidR="007D706A" w:rsidRDefault="007D706A" w:rsidP="00F70508">
            <w:pPr>
              <w:pStyle w:val="ParagraphStyle11"/>
              <w:rPr>
                <w:rStyle w:val="CharacterStyle11"/>
              </w:rPr>
            </w:pPr>
            <w:r>
              <w:rPr>
                <w:rStyle w:val="CharacterStyle11"/>
              </w:rPr>
              <w:t>Rashodi za zaposlene</w:t>
            </w:r>
          </w:p>
        </w:tc>
        <w:tc>
          <w:tcPr>
            <w:tcW w:w="1395" w:type="dxa"/>
            <w:tcBorders>
              <w:bottom w:val="single" w:sz="6" w:space="0" w:color="000000"/>
              <w:right w:val="single" w:sz="6" w:space="0" w:color="000000"/>
            </w:tcBorders>
            <w:vAlign w:val="center"/>
          </w:tcPr>
          <w:p w14:paraId="2336912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F6B3917" w14:textId="77777777" w:rsidR="007D706A" w:rsidRDefault="007D706A" w:rsidP="00F70508">
            <w:pPr>
              <w:pStyle w:val="ParagraphStyle12"/>
              <w:rPr>
                <w:rStyle w:val="CharacterStyle12"/>
              </w:rPr>
            </w:pPr>
            <w:r>
              <w:rPr>
                <w:rStyle w:val="CharacterStyle12"/>
              </w:rPr>
              <w:t>210.150,00</w:t>
            </w:r>
          </w:p>
        </w:tc>
        <w:tc>
          <w:tcPr>
            <w:tcW w:w="1395" w:type="dxa"/>
            <w:tcBorders>
              <w:bottom w:val="single" w:sz="6" w:space="0" w:color="000000"/>
              <w:right w:val="single" w:sz="6" w:space="0" w:color="000000"/>
            </w:tcBorders>
            <w:vAlign w:val="center"/>
          </w:tcPr>
          <w:p w14:paraId="4F7A22D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B9752C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74F200B" w14:textId="77777777" w:rsidR="007D706A" w:rsidRDefault="007D706A" w:rsidP="00F70508">
            <w:pPr>
              <w:pStyle w:val="ParagraphStyle12"/>
              <w:rPr>
                <w:rStyle w:val="CharacterStyle12"/>
              </w:rPr>
            </w:pPr>
            <w:r>
              <w:rPr>
                <w:rStyle w:val="CharacterStyle12"/>
              </w:rPr>
              <w:t>0,00</w:t>
            </w:r>
          </w:p>
        </w:tc>
      </w:tr>
      <w:tr w:rsidR="007D706A" w14:paraId="0B80750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8C42333"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0787214A"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6614CB7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6CEFEFB" w14:textId="77777777" w:rsidR="007D706A" w:rsidRDefault="007D706A" w:rsidP="00F70508">
            <w:pPr>
              <w:pStyle w:val="ParagraphStyle12"/>
              <w:rPr>
                <w:rStyle w:val="CharacterStyle12"/>
              </w:rPr>
            </w:pPr>
            <w:r>
              <w:rPr>
                <w:rStyle w:val="CharacterStyle12"/>
              </w:rPr>
              <w:t>2.660,00</w:t>
            </w:r>
          </w:p>
        </w:tc>
        <w:tc>
          <w:tcPr>
            <w:tcW w:w="1395" w:type="dxa"/>
            <w:tcBorders>
              <w:bottom w:val="single" w:sz="6" w:space="0" w:color="000000"/>
              <w:right w:val="single" w:sz="6" w:space="0" w:color="000000"/>
            </w:tcBorders>
            <w:vAlign w:val="center"/>
          </w:tcPr>
          <w:p w14:paraId="0E18C01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68E3B8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98F5A19" w14:textId="77777777" w:rsidR="007D706A" w:rsidRDefault="007D706A" w:rsidP="00F70508">
            <w:pPr>
              <w:pStyle w:val="ParagraphStyle12"/>
              <w:rPr>
                <w:rStyle w:val="CharacterStyle12"/>
              </w:rPr>
            </w:pPr>
            <w:r>
              <w:rPr>
                <w:rStyle w:val="CharacterStyle12"/>
              </w:rPr>
              <w:t>0,00</w:t>
            </w:r>
          </w:p>
        </w:tc>
      </w:tr>
      <w:tr w:rsidR="007D706A" w14:paraId="4FFD2A26"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A1688CC" w14:textId="77777777" w:rsidR="007D706A" w:rsidRDefault="007D706A" w:rsidP="00F70508">
            <w:pPr>
              <w:pStyle w:val="ParagraphStyle7"/>
              <w:rPr>
                <w:rStyle w:val="CharacterStyle7"/>
              </w:rPr>
            </w:pPr>
            <w:r>
              <w:rPr>
                <w:rStyle w:val="CharacterStyle7"/>
              </w:rPr>
              <w:t>Izvor financiranja 561</w:t>
            </w:r>
          </w:p>
        </w:tc>
        <w:tc>
          <w:tcPr>
            <w:tcW w:w="4995" w:type="dxa"/>
            <w:tcBorders>
              <w:bottom w:val="single" w:sz="6" w:space="0" w:color="000000"/>
              <w:right w:val="single" w:sz="6" w:space="0" w:color="000000"/>
            </w:tcBorders>
            <w:vAlign w:val="center"/>
          </w:tcPr>
          <w:p w14:paraId="2D8AF298" w14:textId="77777777" w:rsidR="007D706A" w:rsidRDefault="007D706A" w:rsidP="00F70508">
            <w:pPr>
              <w:pStyle w:val="ParagraphStyle8"/>
              <w:rPr>
                <w:rStyle w:val="CharacterStyle8"/>
              </w:rPr>
            </w:pPr>
            <w:r>
              <w:rPr>
                <w:rStyle w:val="CharacterStyle8"/>
              </w:rPr>
              <w:t>Europski socijalni fond plus</w:t>
            </w:r>
          </w:p>
        </w:tc>
        <w:tc>
          <w:tcPr>
            <w:tcW w:w="1395" w:type="dxa"/>
            <w:tcBorders>
              <w:bottom w:val="single" w:sz="6" w:space="0" w:color="000000"/>
              <w:right w:val="single" w:sz="6" w:space="0" w:color="000000"/>
            </w:tcBorders>
            <w:vAlign w:val="center"/>
          </w:tcPr>
          <w:p w14:paraId="46898E0E"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61B8AF3"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9AE5A48" w14:textId="77777777" w:rsidR="007D706A" w:rsidRDefault="007D706A" w:rsidP="00F70508">
            <w:pPr>
              <w:pStyle w:val="ParagraphStyle9"/>
              <w:rPr>
                <w:rStyle w:val="CharacterStyle9"/>
              </w:rPr>
            </w:pPr>
            <w:r>
              <w:rPr>
                <w:rStyle w:val="CharacterStyle9"/>
              </w:rPr>
              <w:t>192.310,00</w:t>
            </w:r>
          </w:p>
        </w:tc>
        <w:tc>
          <w:tcPr>
            <w:tcW w:w="1395" w:type="dxa"/>
            <w:tcBorders>
              <w:bottom w:val="single" w:sz="6" w:space="0" w:color="000000"/>
              <w:right w:val="single" w:sz="6" w:space="0" w:color="000000"/>
            </w:tcBorders>
            <w:vAlign w:val="center"/>
          </w:tcPr>
          <w:p w14:paraId="00CA3302" w14:textId="77777777" w:rsidR="007D706A" w:rsidRDefault="007D706A" w:rsidP="00F70508">
            <w:pPr>
              <w:pStyle w:val="ParagraphStyle9"/>
              <w:rPr>
                <w:rStyle w:val="CharacterStyle9"/>
              </w:rPr>
            </w:pPr>
            <w:r>
              <w:rPr>
                <w:rStyle w:val="CharacterStyle9"/>
              </w:rPr>
              <w:t>197.598,53</w:t>
            </w:r>
          </w:p>
        </w:tc>
        <w:tc>
          <w:tcPr>
            <w:tcW w:w="1395" w:type="dxa"/>
            <w:tcBorders>
              <w:bottom w:val="single" w:sz="6" w:space="0" w:color="000000"/>
              <w:right w:val="single" w:sz="6" w:space="0" w:color="000000"/>
            </w:tcBorders>
            <w:vAlign w:val="center"/>
          </w:tcPr>
          <w:p w14:paraId="681385B4" w14:textId="77777777" w:rsidR="007D706A" w:rsidRDefault="007D706A" w:rsidP="00F70508">
            <w:pPr>
              <w:pStyle w:val="ParagraphStyle9"/>
              <w:rPr>
                <w:rStyle w:val="CharacterStyle9"/>
              </w:rPr>
            </w:pPr>
            <w:r>
              <w:rPr>
                <w:rStyle w:val="CharacterStyle9"/>
              </w:rPr>
              <w:t>199.521,63</w:t>
            </w:r>
          </w:p>
        </w:tc>
      </w:tr>
      <w:tr w:rsidR="007D706A" w14:paraId="4DE96C9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E46DE5A"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3FCD07C6"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37B0120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8B1050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A1B30B1" w14:textId="77777777" w:rsidR="007D706A" w:rsidRDefault="007D706A" w:rsidP="00F70508">
            <w:pPr>
              <w:pStyle w:val="ParagraphStyle12"/>
              <w:rPr>
                <w:rStyle w:val="CharacterStyle12"/>
              </w:rPr>
            </w:pPr>
            <w:r>
              <w:rPr>
                <w:rStyle w:val="CharacterStyle12"/>
              </w:rPr>
              <w:t>192.310,00</w:t>
            </w:r>
          </w:p>
        </w:tc>
        <w:tc>
          <w:tcPr>
            <w:tcW w:w="1395" w:type="dxa"/>
            <w:tcBorders>
              <w:bottom w:val="single" w:sz="6" w:space="0" w:color="000000"/>
              <w:right w:val="single" w:sz="6" w:space="0" w:color="000000"/>
            </w:tcBorders>
            <w:vAlign w:val="center"/>
          </w:tcPr>
          <w:p w14:paraId="4027CB0C" w14:textId="77777777" w:rsidR="007D706A" w:rsidRDefault="007D706A" w:rsidP="00F70508">
            <w:pPr>
              <w:pStyle w:val="ParagraphStyle12"/>
              <w:rPr>
                <w:rStyle w:val="CharacterStyle12"/>
              </w:rPr>
            </w:pPr>
            <w:r>
              <w:rPr>
                <w:rStyle w:val="CharacterStyle12"/>
              </w:rPr>
              <w:t>197.598,53</w:t>
            </w:r>
          </w:p>
        </w:tc>
        <w:tc>
          <w:tcPr>
            <w:tcW w:w="1395" w:type="dxa"/>
            <w:tcBorders>
              <w:bottom w:val="single" w:sz="6" w:space="0" w:color="000000"/>
              <w:right w:val="single" w:sz="6" w:space="0" w:color="000000"/>
            </w:tcBorders>
            <w:vAlign w:val="center"/>
          </w:tcPr>
          <w:p w14:paraId="51A54F8B" w14:textId="77777777" w:rsidR="007D706A" w:rsidRDefault="007D706A" w:rsidP="00F70508">
            <w:pPr>
              <w:pStyle w:val="ParagraphStyle12"/>
              <w:rPr>
                <w:rStyle w:val="CharacterStyle12"/>
              </w:rPr>
            </w:pPr>
            <w:r>
              <w:rPr>
                <w:rStyle w:val="CharacterStyle12"/>
              </w:rPr>
              <w:t>199.521,63</w:t>
            </w:r>
          </w:p>
        </w:tc>
      </w:tr>
      <w:tr w:rsidR="007D706A" w14:paraId="5F46312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EF71E85" w14:textId="77777777" w:rsidR="007D706A" w:rsidRDefault="007D706A" w:rsidP="00F70508">
            <w:pPr>
              <w:pStyle w:val="ParagraphStyle10"/>
              <w:rPr>
                <w:rStyle w:val="CharacterStyle10"/>
              </w:rPr>
            </w:pPr>
            <w:r>
              <w:rPr>
                <w:rStyle w:val="CharacterStyle10"/>
              </w:rPr>
              <w:t>31</w:t>
            </w:r>
          </w:p>
        </w:tc>
        <w:tc>
          <w:tcPr>
            <w:tcW w:w="4995" w:type="dxa"/>
            <w:tcBorders>
              <w:bottom w:val="single" w:sz="6" w:space="0" w:color="000000"/>
              <w:right w:val="single" w:sz="6" w:space="0" w:color="000000"/>
            </w:tcBorders>
            <w:vAlign w:val="center"/>
          </w:tcPr>
          <w:p w14:paraId="395A82FF" w14:textId="77777777" w:rsidR="007D706A" w:rsidRDefault="007D706A" w:rsidP="00F70508">
            <w:pPr>
              <w:pStyle w:val="ParagraphStyle11"/>
              <w:rPr>
                <w:rStyle w:val="CharacterStyle11"/>
              </w:rPr>
            </w:pPr>
            <w:r>
              <w:rPr>
                <w:rStyle w:val="CharacterStyle11"/>
              </w:rPr>
              <w:t>Rashodi za zaposlene</w:t>
            </w:r>
          </w:p>
        </w:tc>
        <w:tc>
          <w:tcPr>
            <w:tcW w:w="1395" w:type="dxa"/>
            <w:tcBorders>
              <w:bottom w:val="single" w:sz="6" w:space="0" w:color="000000"/>
              <w:right w:val="single" w:sz="6" w:space="0" w:color="000000"/>
            </w:tcBorders>
            <w:vAlign w:val="center"/>
          </w:tcPr>
          <w:p w14:paraId="606050B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A04914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C456D96" w14:textId="77777777" w:rsidR="007D706A" w:rsidRDefault="007D706A" w:rsidP="00F70508">
            <w:pPr>
              <w:pStyle w:val="ParagraphStyle12"/>
              <w:rPr>
                <w:rStyle w:val="CharacterStyle12"/>
              </w:rPr>
            </w:pPr>
            <w:r>
              <w:rPr>
                <w:rStyle w:val="CharacterStyle12"/>
              </w:rPr>
              <w:t>190.350,00</w:t>
            </w:r>
          </w:p>
        </w:tc>
        <w:tc>
          <w:tcPr>
            <w:tcW w:w="1395" w:type="dxa"/>
            <w:tcBorders>
              <w:bottom w:val="single" w:sz="6" w:space="0" w:color="000000"/>
              <w:right w:val="single" w:sz="6" w:space="0" w:color="000000"/>
            </w:tcBorders>
            <w:vAlign w:val="center"/>
          </w:tcPr>
          <w:p w14:paraId="1E8A00D1" w14:textId="77777777" w:rsidR="007D706A" w:rsidRDefault="007D706A" w:rsidP="00F70508">
            <w:pPr>
              <w:pStyle w:val="ParagraphStyle12"/>
              <w:rPr>
                <w:rStyle w:val="CharacterStyle12"/>
              </w:rPr>
            </w:pPr>
            <w:r>
              <w:rPr>
                <w:rStyle w:val="CharacterStyle12"/>
              </w:rPr>
              <w:t>195.584,63</w:t>
            </w:r>
          </w:p>
        </w:tc>
        <w:tc>
          <w:tcPr>
            <w:tcW w:w="1395" w:type="dxa"/>
            <w:tcBorders>
              <w:bottom w:val="single" w:sz="6" w:space="0" w:color="000000"/>
              <w:right w:val="single" w:sz="6" w:space="0" w:color="000000"/>
            </w:tcBorders>
            <w:vAlign w:val="center"/>
          </w:tcPr>
          <w:p w14:paraId="2F4E05ED" w14:textId="77777777" w:rsidR="007D706A" w:rsidRDefault="007D706A" w:rsidP="00F70508">
            <w:pPr>
              <w:pStyle w:val="ParagraphStyle12"/>
              <w:rPr>
                <w:rStyle w:val="CharacterStyle12"/>
              </w:rPr>
            </w:pPr>
            <w:r>
              <w:rPr>
                <w:rStyle w:val="CharacterStyle12"/>
              </w:rPr>
              <w:t>197.488,13</w:t>
            </w:r>
          </w:p>
        </w:tc>
      </w:tr>
      <w:tr w:rsidR="007D706A" w14:paraId="4D1E972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2D9BAFB"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15E70009"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59F90C5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25C6DB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EE98062" w14:textId="77777777" w:rsidR="007D706A" w:rsidRDefault="007D706A" w:rsidP="00F70508">
            <w:pPr>
              <w:pStyle w:val="ParagraphStyle12"/>
              <w:rPr>
                <w:rStyle w:val="CharacterStyle12"/>
              </w:rPr>
            </w:pPr>
            <w:r>
              <w:rPr>
                <w:rStyle w:val="CharacterStyle12"/>
              </w:rPr>
              <w:t>1.960,00</w:t>
            </w:r>
          </w:p>
        </w:tc>
        <w:tc>
          <w:tcPr>
            <w:tcW w:w="1395" w:type="dxa"/>
            <w:tcBorders>
              <w:bottom w:val="single" w:sz="6" w:space="0" w:color="000000"/>
              <w:right w:val="single" w:sz="6" w:space="0" w:color="000000"/>
            </w:tcBorders>
            <w:vAlign w:val="center"/>
          </w:tcPr>
          <w:p w14:paraId="0EEF2252" w14:textId="77777777" w:rsidR="007D706A" w:rsidRDefault="007D706A" w:rsidP="00F70508">
            <w:pPr>
              <w:pStyle w:val="ParagraphStyle12"/>
              <w:rPr>
                <w:rStyle w:val="CharacterStyle12"/>
              </w:rPr>
            </w:pPr>
            <w:r>
              <w:rPr>
                <w:rStyle w:val="CharacterStyle12"/>
              </w:rPr>
              <w:t>2.013,90</w:t>
            </w:r>
          </w:p>
        </w:tc>
        <w:tc>
          <w:tcPr>
            <w:tcW w:w="1395" w:type="dxa"/>
            <w:tcBorders>
              <w:bottom w:val="single" w:sz="6" w:space="0" w:color="000000"/>
              <w:right w:val="single" w:sz="6" w:space="0" w:color="000000"/>
            </w:tcBorders>
            <w:vAlign w:val="center"/>
          </w:tcPr>
          <w:p w14:paraId="07045ADD" w14:textId="77777777" w:rsidR="007D706A" w:rsidRDefault="007D706A" w:rsidP="00F70508">
            <w:pPr>
              <w:pStyle w:val="ParagraphStyle12"/>
              <w:rPr>
                <w:rStyle w:val="CharacterStyle12"/>
              </w:rPr>
            </w:pPr>
            <w:r>
              <w:rPr>
                <w:rStyle w:val="CharacterStyle12"/>
              </w:rPr>
              <w:t>2.033,50</w:t>
            </w:r>
          </w:p>
        </w:tc>
      </w:tr>
      <w:tr w:rsidR="007D706A" w14:paraId="3F2FA7B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99A2005" w14:textId="77777777" w:rsidR="007D706A" w:rsidRDefault="007D706A" w:rsidP="00F70508">
            <w:pPr>
              <w:pStyle w:val="ParagraphStyle4"/>
              <w:rPr>
                <w:rStyle w:val="CharacterStyle4"/>
              </w:rPr>
            </w:pPr>
            <w:r>
              <w:rPr>
                <w:rStyle w:val="CharacterStyle4"/>
              </w:rPr>
              <w:t>Kapitalni projekt K103603</w:t>
            </w:r>
          </w:p>
        </w:tc>
        <w:tc>
          <w:tcPr>
            <w:tcW w:w="4995" w:type="dxa"/>
            <w:tcBorders>
              <w:bottom w:val="single" w:sz="6" w:space="0" w:color="000000"/>
              <w:right w:val="single" w:sz="6" w:space="0" w:color="000000"/>
            </w:tcBorders>
            <w:vAlign w:val="center"/>
          </w:tcPr>
          <w:p w14:paraId="18CB19AA" w14:textId="77777777" w:rsidR="007D706A" w:rsidRDefault="007D706A" w:rsidP="00F70508">
            <w:pPr>
              <w:pStyle w:val="ParagraphStyle5"/>
              <w:rPr>
                <w:rStyle w:val="CharacterStyle5"/>
              </w:rPr>
            </w:pPr>
            <w:r>
              <w:rPr>
                <w:rStyle w:val="CharacterStyle5"/>
              </w:rPr>
              <w:t>OPREMANJE PROSTORA</w:t>
            </w:r>
          </w:p>
        </w:tc>
        <w:tc>
          <w:tcPr>
            <w:tcW w:w="1395" w:type="dxa"/>
            <w:tcBorders>
              <w:bottom w:val="single" w:sz="6" w:space="0" w:color="000000"/>
              <w:right w:val="single" w:sz="6" w:space="0" w:color="000000"/>
            </w:tcBorders>
            <w:vAlign w:val="center"/>
          </w:tcPr>
          <w:p w14:paraId="42A44AED"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33DB3A78" w14:textId="77777777" w:rsidR="007D706A" w:rsidRDefault="007D706A" w:rsidP="00F70508">
            <w:pPr>
              <w:pStyle w:val="ParagraphStyle6"/>
              <w:rPr>
                <w:rStyle w:val="CharacterStyle6"/>
              </w:rPr>
            </w:pPr>
            <w:r>
              <w:rPr>
                <w:rStyle w:val="CharacterStyle6"/>
              </w:rPr>
              <w:t>58.410,00</w:t>
            </w:r>
          </w:p>
        </w:tc>
        <w:tc>
          <w:tcPr>
            <w:tcW w:w="1395" w:type="dxa"/>
            <w:tcBorders>
              <w:bottom w:val="single" w:sz="6" w:space="0" w:color="000000"/>
              <w:right w:val="single" w:sz="6" w:space="0" w:color="000000"/>
            </w:tcBorders>
            <w:vAlign w:val="center"/>
          </w:tcPr>
          <w:p w14:paraId="7C5ED54C" w14:textId="77777777" w:rsidR="007D706A" w:rsidRDefault="007D706A" w:rsidP="00F70508">
            <w:pPr>
              <w:pStyle w:val="ParagraphStyle6"/>
              <w:rPr>
                <w:rStyle w:val="CharacterStyle6"/>
              </w:rPr>
            </w:pPr>
            <w:r>
              <w:rPr>
                <w:rStyle w:val="CharacterStyle6"/>
              </w:rPr>
              <w:t>26.480,00</w:t>
            </w:r>
          </w:p>
        </w:tc>
        <w:tc>
          <w:tcPr>
            <w:tcW w:w="1395" w:type="dxa"/>
            <w:tcBorders>
              <w:bottom w:val="single" w:sz="6" w:space="0" w:color="000000"/>
              <w:right w:val="single" w:sz="6" w:space="0" w:color="000000"/>
            </w:tcBorders>
            <w:vAlign w:val="center"/>
          </w:tcPr>
          <w:p w14:paraId="5D29BE4B" w14:textId="77777777" w:rsidR="007D706A" w:rsidRDefault="007D706A" w:rsidP="00F70508">
            <w:pPr>
              <w:pStyle w:val="ParagraphStyle6"/>
              <w:rPr>
                <w:rStyle w:val="CharacterStyle6"/>
              </w:rPr>
            </w:pPr>
            <w:r>
              <w:rPr>
                <w:rStyle w:val="CharacterStyle6"/>
              </w:rPr>
              <w:t>22.070,70</w:t>
            </w:r>
          </w:p>
        </w:tc>
        <w:tc>
          <w:tcPr>
            <w:tcW w:w="1395" w:type="dxa"/>
            <w:tcBorders>
              <w:bottom w:val="single" w:sz="6" w:space="0" w:color="000000"/>
              <w:right w:val="single" w:sz="6" w:space="0" w:color="000000"/>
            </w:tcBorders>
            <w:vAlign w:val="center"/>
          </w:tcPr>
          <w:p w14:paraId="25761C7D" w14:textId="77777777" w:rsidR="007D706A" w:rsidRDefault="007D706A" w:rsidP="00F70508">
            <w:pPr>
              <w:pStyle w:val="ParagraphStyle6"/>
              <w:rPr>
                <w:rStyle w:val="CharacterStyle6"/>
              </w:rPr>
            </w:pPr>
            <w:r>
              <w:rPr>
                <w:rStyle w:val="CharacterStyle6"/>
              </w:rPr>
              <w:t>22.285,50</w:t>
            </w:r>
          </w:p>
        </w:tc>
      </w:tr>
      <w:tr w:rsidR="007D706A" w14:paraId="71A3349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2415206" w14:textId="77777777" w:rsidR="007D706A" w:rsidRDefault="007D706A" w:rsidP="00F70508">
            <w:pPr>
              <w:pStyle w:val="ParagraphStyle7"/>
              <w:rPr>
                <w:rStyle w:val="CharacterStyle7"/>
              </w:rPr>
            </w:pPr>
            <w:r>
              <w:rPr>
                <w:rStyle w:val="CharacterStyle7"/>
              </w:rPr>
              <w:t>Izvor financiranja 31</w:t>
            </w:r>
          </w:p>
        </w:tc>
        <w:tc>
          <w:tcPr>
            <w:tcW w:w="4995" w:type="dxa"/>
            <w:tcBorders>
              <w:bottom w:val="single" w:sz="6" w:space="0" w:color="000000"/>
              <w:right w:val="single" w:sz="6" w:space="0" w:color="000000"/>
            </w:tcBorders>
            <w:vAlign w:val="center"/>
          </w:tcPr>
          <w:p w14:paraId="3EF47B68" w14:textId="77777777" w:rsidR="007D706A" w:rsidRDefault="007D706A" w:rsidP="00F70508">
            <w:pPr>
              <w:pStyle w:val="ParagraphStyle8"/>
              <w:rPr>
                <w:rStyle w:val="CharacterStyle8"/>
              </w:rPr>
            </w:pPr>
            <w:r>
              <w:rPr>
                <w:rStyle w:val="CharacterStyle8"/>
              </w:rPr>
              <w:t>Vlastiti prihodi</w:t>
            </w:r>
          </w:p>
        </w:tc>
        <w:tc>
          <w:tcPr>
            <w:tcW w:w="1395" w:type="dxa"/>
            <w:tcBorders>
              <w:bottom w:val="single" w:sz="6" w:space="0" w:color="000000"/>
              <w:right w:val="single" w:sz="6" w:space="0" w:color="000000"/>
            </w:tcBorders>
            <w:vAlign w:val="center"/>
          </w:tcPr>
          <w:p w14:paraId="442F2CB5"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0D2F31E"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7C5BE29" w14:textId="77777777" w:rsidR="007D706A" w:rsidRDefault="007D706A" w:rsidP="00F70508">
            <w:pPr>
              <w:pStyle w:val="ParagraphStyle9"/>
              <w:rPr>
                <w:rStyle w:val="CharacterStyle9"/>
              </w:rPr>
            </w:pPr>
            <w:r>
              <w:rPr>
                <w:rStyle w:val="CharacterStyle9"/>
              </w:rPr>
              <w:t>5.000,00</w:t>
            </w:r>
          </w:p>
        </w:tc>
        <w:tc>
          <w:tcPr>
            <w:tcW w:w="1395" w:type="dxa"/>
            <w:tcBorders>
              <w:bottom w:val="single" w:sz="6" w:space="0" w:color="000000"/>
              <w:right w:val="single" w:sz="6" w:space="0" w:color="000000"/>
            </w:tcBorders>
            <w:vAlign w:val="center"/>
          </w:tcPr>
          <w:p w14:paraId="181CF2D4"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99C70E1" w14:textId="77777777" w:rsidR="007D706A" w:rsidRDefault="007D706A" w:rsidP="00F70508">
            <w:pPr>
              <w:pStyle w:val="ParagraphStyle9"/>
              <w:rPr>
                <w:rStyle w:val="CharacterStyle9"/>
              </w:rPr>
            </w:pPr>
            <w:r>
              <w:rPr>
                <w:rStyle w:val="CharacterStyle9"/>
              </w:rPr>
              <w:t>0,00</w:t>
            </w:r>
          </w:p>
        </w:tc>
      </w:tr>
      <w:tr w:rsidR="007D706A" w14:paraId="61CD57A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D2652D0"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6243BF11"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5C05D04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614439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2717469" w14:textId="77777777" w:rsidR="007D706A" w:rsidRDefault="007D706A" w:rsidP="00F70508">
            <w:pPr>
              <w:pStyle w:val="ParagraphStyle12"/>
              <w:rPr>
                <w:rStyle w:val="CharacterStyle12"/>
              </w:rPr>
            </w:pPr>
            <w:r>
              <w:rPr>
                <w:rStyle w:val="CharacterStyle12"/>
              </w:rPr>
              <w:t>5.000,00</w:t>
            </w:r>
          </w:p>
        </w:tc>
        <w:tc>
          <w:tcPr>
            <w:tcW w:w="1395" w:type="dxa"/>
            <w:tcBorders>
              <w:bottom w:val="single" w:sz="6" w:space="0" w:color="000000"/>
              <w:right w:val="single" w:sz="6" w:space="0" w:color="000000"/>
            </w:tcBorders>
            <w:vAlign w:val="center"/>
          </w:tcPr>
          <w:p w14:paraId="458BAC5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A5FA1C2" w14:textId="77777777" w:rsidR="007D706A" w:rsidRDefault="007D706A" w:rsidP="00F70508">
            <w:pPr>
              <w:pStyle w:val="ParagraphStyle12"/>
              <w:rPr>
                <w:rStyle w:val="CharacterStyle12"/>
              </w:rPr>
            </w:pPr>
            <w:r>
              <w:rPr>
                <w:rStyle w:val="CharacterStyle12"/>
              </w:rPr>
              <w:t>0,00</w:t>
            </w:r>
          </w:p>
        </w:tc>
      </w:tr>
      <w:tr w:rsidR="007D706A" w14:paraId="142853D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DA7B89F" w14:textId="77777777" w:rsidR="007D706A" w:rsidRDefault="007D706A" w:rsidP="00F70508">
            <w:pPr>
              <w:pStyle w:val="ParagraphStyle10"/>
              <w:rPr>
                <w:rStyle w:val="CharacterStyle10"/>
              </w:rPr>
            </w:pPr>
            <w:r>
              <w:rPr>
                <w:rStyle w:val="CharacterStyle10"/>
              </w:rPr>
              <w:t>42</w:t>
            </w:r>
          </w:p>
        </w:tc>
        <w:tc>
          <w:tcPr>
            <w:tcW w:w="4995" w:type="dxa"/>
            <w:tcBorders>
              <w:bottom w:val="single" w:sz="6" w:space="0" w:color="000000"/>
              <w:right w:val="single" w:sz="6" w:space="0" w:color="000000"/>
            </w:tcBorders>
            <w:vAlign w:val="center"/>
          </w:tcPr>
          <w:p w14:paraId="46626C46"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48E0A25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CC055B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9A64313" w14:textId="77777777" w:rsidR="007D706A" w:rsidRDefault="007D706A" w:rsidP="00F70508">
            <w:pPr>
              <w:pStyle w:val="ParagraphStyle12"/>
              <w:rPr>
                <w:rStyle w:val="CharacterStyle12"/>
              </w:rPr>
            </w:pPr>
            <w:r>
              <w:rPr>
                <w:rStyle w:val="CharacterStyle12"/>
              </w:rPr>
              <w:t>5.000,00</w:t>
            </w:r>
          </w:p>
        </w:tc>
        <w:tc>
          <w:tcPr>
            <w:tcW w:w="1395" w:type="dxa"/>
            <w:tcBorders>
              <w:bottom w:val="single" w:sz="6" w:space="0" w:color="000000"/>
              <w:right w:val="single" w:sz="6" w:space="0" w:color="000000"/>
            </w:tcBorders>
            <w:vAlign w:val="center"/>
          </w:tcPr>
          <w:p w14:paraId="6A67FCD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25C25F1" w14:textId="77777777" w:rsidR="007D706A" w:rsidRDefault="007D706A" w:rsidP="00F70508">
            <w:pPr>
              <w:pStyle w:val="ParagraphStyle12"/>
              <w:rPr>
                <w:rStyle w:val="CharacterStyle12"/>
              </w:rPr>
            </w:pPr>
            <w:r>
              <w:rPr>
                <w:rStyle w:val="CharacterStyle12"/>
              </w:rPr>
              <w:t>0,00</w:t>
            </w:r>
          </w:p>
        </w:tc>
      </w:tr>
      <w:tr w:rsidR="007D706A" w14:paraId="0A2B26E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A25F96F" w14:textId="77777777" w:rsidR="007D706A" w:rsidRDefault="007D706A" w:rsidP="00F70508">
            <w:pPr>
              <w:pStyle w:val="ParagraphStyle7"/>
              <w:rPr>
                <w:rStyle w:val="CharacterStyle7"/>
              </w:rPr>
            </w:pPr>
            <w:r>
              <w:rPr>
                <w:rStyle w:val="CharacterStyle7"/>
              </w:rPr>
              <w:t>Izvor financiranja 50</w:t>
            </w:r>
          </w:p>
        </w:tc>
        <w:tc>
          <w:tcPr>
            <w:tcW w:w="4995" w:type="dxa"/>
            <w:tcBorders>
              <w:bottom w:val="single" w:sz="6" w:space="0" w:color="000000"/>
              <w:right w:val="single" w:sz="6" w:space="0" w:color="000000"/>
            </w:tcBorders>
            <w:vAlign w:val="center"/>
          </w:tcPr>
          <w:p w14:paraId="4DDF0159" w14:textId="77777777" w:rsidR="007D706A" w:rsidRDefault="007D706A" w:rsidP="00F70508">
            <w:pPr>
              <w:pStyle w:val="ParagraphStyle8"/>
              <w:rPr>
                <w:rStyle w:val="CharacterStyle8"/>
              </w:rPr>
            </w:pPr>
            <w:r>
              <w:rPr>
                <w:rStyle w:val="CharacterStyle8"/>
              </w:rPr>
              <w:t>Pomoći iz državnog proračuna</w:t>
            </w:r>
          </w:p>
        </w:tc>
        <w:tc>
          <w:tcPr>
            <w:tcW w:w="1395" w:type="dxa"/>
            <w:tcBorders>
              <w:bottom w:val="single" w:sz="6" w:space="0" w:color="000000"/>
              <w:right w:val="single" w:sz="6" w:space="0" w:color="000000"/>
            </w:tcBorders>
            <w:vAlign w:val="center"/>
          </w:tcPr>
          <w:p w14:paraId="7F438DFE"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DAB413B" w14:textId="77777777" w:rsidR="007D706A" w:rsidRDefault="007D706A" w:rsidP="00F70508">
            <w:pPr>
              <w:pStyle w:val="ParagraphStyle9"/>
              <w:rPr>
                <w:rStyle w:val="CharacterStyle9"/>
              </w:rPr>
            </w:pPr>
            <w:r>
              <w:rPr>
                <w:rStyle w:val="CharacterStyle9"/>
              </w:rPr>
              <w:t>8.250,00</w:t>
            </w:r>
          </w:p>
        </w:tc>
        <w:tc>
          <w:tcPr>
            <w:tcW w:w="1395" w:type="dxa"/>
            <w:tcBorders>
              <w:bottom w:val="single" w:sz="6" w:space="0" w:color="000000"/>
              <w:right w:val="single" w:sz="6" w:space="0" w:color="000000"/>
            </w:tcBorders>
            <w:vAlign w:val="center"/>
          </w:tcPr>
          <w:p w14:paraId="0DF26D4C" w14:textId="77777777" w:rsidR="007D706A" w:rsidRDefault="007D706A" w:rsidP="00F70508">
            <w:pPr>
              <w:pStyle w:val="ParagraphStyle9"/>
              <w:rPr>
                <w:rStyle w:val="CharacterStyle9"/>
              </w:rPr>
            </w:pPr>
            <w:r>
              <w:rPr>
                <w:rStyle w:val="CharacterStyle9"/>
              </w:rPr>
              <w:t>21.480,00</w:t>
            </w:r>
          </w:p>
        </w:tc>
        <w:tc>
          <w:tcPr>
            <w:tcW w:w="1395" w:type="dxa"/>
            <w:tcBorders>
              <w:bottom w:val="single" w:sz="6" w:space="0" w:color="000000"/>
              <w:right w:val="single" w:sz="6" w:space="0" w:color="000000"/>
            </w:tcBorders>
            <w:vAlign w:val="center"/>
          </w:tcPr>
          <w:p w14:paraId="2857AF90" w14:textId="77777777" w:rsidR="007D706A" w:rsidRDefault="007D706A" w:rsidP="00F70508">
            <w:pPr>
              <w:pStyle w:val="ParagraphStyle9"/>
              <w:rPr>
                <w:rStyle w:val="CharacterStyle9"/>
              </w:rPr>
            </w:pPr>
            <w:r>
              <w:rPr>
                <w:rStyle w:val="CharacterStyle9"/>
              </w:rPr>
              <w:t>22.070,70</w:t>
            </w:r>
          </w:p>
        </w:tc>
        <w:tc>
          <w:tcPr>
            <w:tcW w:w="1395" w:type="dxa"/>
            <w:tcBorders>
              <w:bottom w:val="single" w:sz="6" w:space="0" w:color="000000"/>
              <w:right w:val="single" w:sz="6" w:space="0" w:color="000000"/>
            </w:tcBorders>
            <w:vAlign w:val="center"/>
          </w:tcPr>
          <w:p w14:paraId="46F6EE92" w14:textId="77777777" w:rsidR="007D706A" w:rsidRDefault="007D706A" w:rsidP="00F70508">
            <w:pPr>
              <w:pStyle w:val="ParagraphStyle9"/>
              <w:rPr>
                <w:rStyle w:val="CharacterStyle9"/>
              </w:rPr>
            </w:pPr>
            <w:r>
              <w:rPr>
                <w:rStyle w:val="CharacterStyle9"/>
              </w:rPr>
              <w:t>22.285,50</w:t>
            </w:r>
          </w:p>
        </w:tc>
      </w:tr>
      <w:tr w:rsidR="007D706A" w14:paraId="5B1FC30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480AA9D"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471E0713"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66024D0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151D951" w14:textId="77777777" w:rsidR="007D706A" w:rsidRDefault="007D706A" w:rsidP="00F70508">
            <w:pPr>
              <w:pStyle w:val="ParagraphStyle12"/>
              <w:rPr>
                <w:rStyle w:val="CharacterStyle12"/>
              </w:rPr>
            </w:pPr>
            <w:r>
              <w:rPr>
                <w:rStyle w:val="CharacterStyle12"/>
              </w:rPr>
              <w:t>8.250,00</w:t>
            </w:r>
          </w:p>
        </w:tc>
        <w:tc>
          <w:tcPr>
            <w:tcW w:w="1395" w:type="dxa"/>
            <w:tcBorders>
              <w:bottom w:val="single" w:sz="6" w:space="0" w:color="000000"/>
              <w:right w:val="single" w:sz="6" w:space="0" w:color="000000"/>
            </w:tcBorders>
            <w:vAlign w:val="center"/>
          </w:tcPr>
          <w:p w14:paraId="3C0AAEC0" w14:textId="77777777" w:rsidR="007D706A" w:rsidRDefault="007D706A" w:rsidP="00F70508">
            <w:pPr>
              <w:pStyle w:val="ParagraphStyle12"/>
              <w:rPr>
                <w:rStyle w:val="CharacterStyle12"/>
              </w:rPr>
            </w:pPr>
            <w:r>
              <w:rPr>
                <w:rStyle w:val="CharacterStyle12"/>
              </w:rPr>
              <w:t>21.480,00</w:t>
            </w:r>
          </w:p>
        </w:tc>
        <w:tc>
          <w:tcPr>
            <w:tcW w:w="1395" w:type="dxa"/>
            <w:tcBorders>
              <w:bottom w:val="single" w:sz="6" w:space="0" w:color="000000"/>
              <w:right w:val="single" w:sz="6" w:space="0" w:color="000000"/>
            </w:tcBorders>
            <w:vAlign w:val="center"/>
          </w:tcPr>
          <w:p w14:paraId="00DEC9AE" w14:textId="77777777" w:rsidR="007D706A" w:rsidRDefault="007D706A" w:rsidP="00F70508">
            <w:pPr>
              <w:pStyle w:val="ParagraphStyle12"/>
              <w:rPr>
                <w:rStyle w:val="CharacterStyle12"/>
              </w:rPr>
            </w:pPr>
            <w:r>
              <w:rPr>
                <w:rStyle w:val="CharacterStyle12"/>
              </w:rPr>
              <w:t>22.070,70</w:t>
            </w:r>
          </w:p>
        </w:tc>
        <w:tc>
          <w:tcPr>
            <w:tcW w:w="1395" w:type="dxa"/>
            <w:tcBorders>
              <w:bottom w:val="single" w:sz="6" w:space="0" w:color="000000"/>
              <w:right w:val="single" w:sz="6" w:space="0" w:color="000000"/>
            </w:tcBorders>
            <w:vAlign w:val="center"/>
          </w:tcPr>
          <w:p w14:paraId="7DEBD38D" w14:textId="77777777" w:rsidR="007D706A" w:rsidRDefault="007D706A" w:rsidP="00F70508">
            <w:pPr>
              <w:pStyle w:val="ParagraphStyle12"/>
              <w:rPr>
                <w:rStyle w:val="CharacterStyle12"/>
              </w:rPr>
            </w:pPr>
            <w:r>
              <w:rPr>
                <w:rStyle w:val="CharacterStyle12"/>
              </w:rPr>
              <w:t>22.285,50</w:t>
            </w:r>
          </w:p>
        </w:tc>
      </w:tr>
      <w:tr w:rsidR="007D706A" w14:paraId="6711909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C89E431" w14:textId="77777777" w:rsidR="007D706A" w:rsidRDefault="007D706A" w:rsidP="00F70508">
            <w:pPr>
              <w:pStyle w:val="ParagraphStyle10"/>
              <w:rPr>
                <w:rStyle w:val="CharacterStyle10"/>
              </w:rPr>
            </w:pPr>
            <w:r>
              <w:rPr>
                <w:rStyle w:val="CharacterStyle10"/>
              </w:rPr>
              <w:t>42</w:t>
            </w:r>
          </w:p>
        </w:tc>
        <w:tc>
          <w:tcPr>
            <w:tcW w:w="4995" w:type="dxa"/>
            <w:tcBorders>
              <w:bottom w:val="single" w:sz="6" w:space="0" w:color="000000"/>
              <w:right w:val="single" w:sz="6" w:space="0" w:color="000000"/>
            </w:tcBorders>
            <w:vAlign w:val="center"/>
          </w:tcPr>
          <w:p w14:paraId="01042749"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1763DC2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D02C78C" w14:textId="77777777" w:rsidR="007D706A" w:rsidRDefault="007D706A" w:rsidP="00F70508">
            <w:pPr>
              <w:pStyle w:val="ParagraphStyle12"/>
              <w:rPr>
                <w:rStyle w:val="CharacterStyle12"/>
              </w:rPr>
            </w:pPr>
            <w:r>
              <w:rPr>
                <w:rStyle w:val="CharacterStyle12"/>
              </w:rPr>
              <w:t>8.250,00</w:t>
            </w:r>
          </w:p>
        </w:tc>
        <w:tc>
          <w:tcPr>
            <w:tcW w:w="1395" w:type="dxa"/>
            <w:tcBorders>
              <w:bottom w:val="single" w:sz="6" w:space="0" w:color="000000"/>
              <w:right w:val="single" w:sz="6" w:space="0" w:color="000000"/>
            </w:tcBorders>
            <w:vAlign w:val="center"/>
          </w:tcPr>
          <w:p w14:paraId="1EAE2E59" w14:textId="77777777" w:rsidR="007D706A" w:rsidRDefault="007D706A" w:rsidP="00F70508">
            <w:pPr>
              <w:pStyle w:val="ParagraphStyle12"/>
              <w:rPr>
                <w:rStyle w:val="CharacterStyle12"/>
              </w:rPr>
            </w:pPr>
            <w:r>
              <w:rPr>
                <w:rStyle w:val="CharacterStyle12"/>
              </w:rPr>
              <w:t>21.480,00</w:t>
            </w:r>
          </w:p>
        </w:tc>
        <w:tc>
          <w:tcPr>
            <w:tcW w:w="1395" w:type="dxa"/>
            <w:tcBorders>
              <w:bottom w:val="single" w:sz="6" w:space="0" w:color="000000"/>
              <w:right w:val="single" w:sz="6" w:space="0" w:color="000000"/>
            </w:tcBorders>
            <w:vAlign w:val="center"/>
          </w:tcPr>
          <w:p w14:paraId="1B34DE88" w14:textId="77777777" w:rsidR="007D706A" w:rsidRDefault="007D706A" w:rsidP="00F70508">
            <w:pPr>
              <w:pStyle w:val="ParagraphStyle12"/>
              <w:rPr>
                <w:rStyle w:val="CharacterStyle12"/>
              </w:rPr>
            </w:pPr>
            <w:r>
              <w:rPr>
                <w:rStyle w:val="CharacterStyle12"/>
              </w:rPr>
              <w:t>22.070,70</w:t>
            </w:r>
          </w:p>
        </w:tc>
        <w:tc>
          <w:tcPr>
            <w:tcW w:w="1395" w:type="dxa"/>
            <w:tcBorders>
              <w:bottom w:val="single" w:sz="6" w:space="0" w:color="000000"/>
              <w:right w:val="single" w:sz="6" w:space="0" w:color="000000"/>
            </w:tcBorders>
            <w:vAlign w:val="center"/>
          </w:tcPr>
          <w:p w14:paraId="5649C4D9" w14:textId="77777777" w:rsidR="007D706A" w:rsidRDefault="007D706A" w:rsidP="00F70508">
            <w:pPr>
              <w:pStyle w:val="ParagraphStyle12"/>
              <w:rPr>
                <w:rStyle w:val="CharacterStyle12"/>
              </w:rPr>
            </w:pPr>
            <w:r>
              <w:rPr>
                <w:rStyle w:val="CharacterStyle12"/>
              </w:rPr>
              <w:t>22.285,50</w:t>
            </w:r>
          </w:p>
        </w:tc>
      </w:tr>
      <w:tr w:rsidR="007D706A" w14:paraId="3B7C004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7E425C7" w14:textId="77777777" w:rsidR="007D706A" w:rsidRDefault="007D706A" w:rsidP="00F70508">
            <w:pPr>
              <w:pStyle w:val="ParagraphStyle7"/>
              <w:rPr>
                <w:rStyle w:val="CharacterStyle7"/>
              </w:rPr>
            </w:pPr>
            <w:r>
              <w:rPr>
                <w:rStyle w:val="CharacterStyle7"/>
              </w:rPr>
              <w:t>Izvor financiranja 53</w:t>
            </w:r>
          </w:p>
        </w:tc>
        <w:tc>
          <w:tcPr>
            <w:tcW w:w="4995" w:type="dxa"/>
            <w:tcBorders>
              <w:bottom w:val="single" w:sz="6" w:space="0" w:color="000000"/>
              <w:right w:val="single" w:sz="6" w:space="0" w:color="000000"/>
            </w:tcBorders>
            <w:vAlign w:val="center"/>
          </w:tcPr>
          <w:p w14:paraId="768A1CFB" w14:textId="77777777" w:rsidR="007D706A" w:rsidRDefault="007D706A" w:rsidP="00F70508">
            <w:pPr>
              <w:pStyle w:val="ParagraphStyle8"/>
              <w:rPr>
                <w:rStyle w:val="CharacterStyle8"/>
              </w:rPr>
            </w:pPr>
            <w:r>
              <w:rPr>
                <w:rStyle w:val="CharacterStyle8"/>
              </w:rPr>
              <w:t>Proračuni, drugi nivoi - za posebne i / ili ugovorene namjene</w:t>
            </w:r>
          </w:p>
        </w:tc>
        <w:tc>
          <w:tcPr>
            <w:tcW w:w="1395" w:type="dxa"/>
            <w:tcBorders>
              <w:bottom w:val="single" w:sz="6" w:space="0" w:color="000000"/>
              <w:right w:val="single" w:sz="6" w:space="0" w:color="000000"/>
            </w:tcBorders>
            <w:vAlign w:val="center"/>
          </w:tcPr>
          <w:p w14:paraId="2B86B349"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998B2C9" w14:textId="77777777" w:rsidR="007D706A" w:rsidRDefault="007D706A" w:rsidP="00F70508">
            <w:pPr>
              <w:pStyle w:val="ParagraphStyle9"/>
              <w:rPr>
                <w:rStyle w:val="CharacterStyle9"/>
              </w:rPr>
            </w:pPr>
            <w:r>
              <w:rPr>
                <w:rStyle w:val="CharacterStyle9"/>
              </w:rPr>
              <w:t>1.260,00</w:t>
            </w:r>
          </w:p>
        </w:tc>
        <w:tc>
          <w:tcPr>
            <w:tcW w:w="1395" w:type="dxa"/>
            <w:tcBorders>
              <w:bottom w:val="single" w:sz="6" w:space="0" w:color="000000"/>
              <w:right w:val="single" w:sz="6" w:space="0" w:color="000000"/>
            </w:tcBorders>
            <w:vAlign w:val="center"/>
          </w:tcPr>
          <w:p w14:paraId="220FBCDC"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0CD16B8"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6ED5FAB" w14:textId="77777777" w:rsidR="007D706A" w:rsidRDefault="007D706A" w:rsidP="00F70508">
            <w:pPr>
              <w:pStyle w:val="ParagraphStyle9"/>
              <w:rPr>
                <w:rStyle w:val="CharacterStyle9"/>
              </w:rPr>
            </w:pPr>
            <w:r>
              <w:rPr>
                <w:rStyle w:val="CharacterStyle9"/>
              </w:rPr>
              <w:t>0,00</w:t>
            </w:r>
          </w:p>
        </w:tc>
      </w:tr>
      <w:tr w:rsidR="007D706A" w14:paraId="633E3A7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F22B55A"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1193FB37"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7519255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0B9D1C5" w14:textId="77777777" w:rsidR="007D706A" w:rsidRDefault="007D706A" w:rsidP="00F70508">
            <w:pPr>
              <w:pStyle w:val="ParagraphStyle12"/>
              <w:rPr>
                <w:rStyle w:val="CharacterStyle12"/>
              </w:rPr>
            </w:pPr>
            <w:r>
              <w:rPr>
                <w:rStyle w:val="CharacterStyle12"/>
              </w:rPr>
              <w:t>1.260,00</w:t>
            </w:r>
          </w:p>
        </w:tc>
        <w:tc>
          <w:tcPr>
            <w:tcW w:w="1395" w:type="dxa"/>
            <w:tcBorders>
              <w:bottom w:val="single" w:sz="6" w:space="0" w:color="000000"/>
              <w:right w:val="single" w:sz="6" w:space="0" w:color="000000"/>
            </w:tcBorders>
            <w:vAlign w:val="center"/>
          </w:tcPr>
          <w:p w14:paraId="53B14CB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3D882E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423FA18" w14:textId="77777777" w:rsidR="007D706A" w:rsidRDefault="007D706A" w:rsidP="00F70508">
            <w:pPr>
              <w:pStyle w:val="ParagraphStyle12"/>
              <w:rPr>
                <w:rStyle w:val="CharacterStyle12"/>
              </w:rPr>
            </w:pPr>
            <w:r>
              <w:rPr>
                <w:rStyle w:val="CharacterStyle12"/>
              </w:rPr>
              <w:t>0,00</w:t>
            </w:r>
          </w:p>
        </w:tc>
      </w:tr>
      <w:tr w:rsidR="007D706A" w14:paraId="1E0CC58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554E514" w14:textId="77777777" w:rsidR="007D706A" w:rsidRDefault="007D706A" w:rsidP="00F70508">
            <w:pPr>
              <w:pStyle w:val="ParagraphStyle10"/>
              <w:rPr>
                <w:rStyle w:val="CharacterStyle10"/>
              </w:rPr>
            </w:pPr>
            <w:r>
              <w:rPr>
                <w:rStyle w:val="CharacterStyle10"/>
              </w:rPr>
              <w:t>42</w:t>
            </w:r>
          </w:p>
        </w:tc>
        <w:tc>
          <w:tcPr>
            <w:tcW w:w="4995" w:type="dxa"/>
            <w:tcBorders>
              <w:bottom w:val="single" w:sz="6" w:space="0" w:color="000000"/>
              <w:right w:val="single" w:sz="6" w:space="0" w:color="000000"/>
            </w:tcBorders>
            <w:vAlign w:val="center"/>
          </w:tcPr>
          <w:p w14:paraId="04E51CEA"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6492FF0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64E3DA0" w14:textId="77777777" w:rsidR="007D706A" w:rsidRDefault="007D706A" w:rsidP="00F70508">
            <w:pPr>
              <w:pStyle w:val="ParagraphStyle12"/>
              <w:rPr>
                <w:rStyle w:val="CharacterStyle12"/>
              </w:rPr>
            </w:pPr>
            <w:r>
              <w:rPr>
                <w:rStyle w:val="CharacterStyle12"/>
              </w:rPr>
              <w:t>1.260,00</w:t>
            </w:r>
          </w:p>
        </w:tc>
        <w:tc>
          <w:tcPr>
            <w:tcW w:w="1395" w:type="dxa"/>
            <w:tcBorders>
              <w:bottom w:val="single" w:sz="6" w:space="0" w:color="000000"/>
              <w:right w:val="single" w:sz="6" w:space="0" w:color="000000"/>
            </w:tcBorders>
            <w:vAlign w:val="center"/>
          </w:tcPr>
          <w:p w14:paraId="329F290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EF5957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E729D63" w14:textId="77777777" w:rsidR="007D706A" w:rsidRDefault="007D706A" w:rsidP="00F70508">
            <w:pPr>
              <w:pStyle w:val="ParagraphStyle12"/>
              <w:rPr>
                <w:rStyle w:val="CharacterStyle12"/>
              </w:rPr>
            </w:pPr>
            <w:r>
              <w:rPr>
                <w:rStyle w:val="CharacterStyle12"/>
              </w:rPr>
              <w:t>0,00</w:t>
            </w:r>
          </w:p>
        </w:tc>
      </w:tr>
      <w:tr w:rsidR="007D706A" w14:paraId="1ADE358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B033285" w14:textId="77777777" w:rsidR="007D706A" w:rsidRDefault="007D706A" w:rsidP="00F70508">
            <w:pPr>
              <w:pStyle w:val="ParagraphStyle7"/>
              <w:rPr>
                <w:rStyle w:val="CharacterStyle7"/>
              </w:rPr>
            </w:pPr>
            <w:r>
              <w:rPr>
                <w:rStyle w:val="CharacterStyle7"/>
              </w:rPr>
              <w:t>Izvor financiranja 82</w:t>
            </w:r>
          </w:p>
        </w:tc>
        <w:tc>
          <w:tcPr>
            <w:tcW w:w="4995" w:type="dxa"/>
            <w:tcBorders>
              <w:bottom w:val="single" w:sz="6" w:space="0" w:color="000000"/>
              <w:right w:val="single" w:sz="6" w:space="0" w:color="000000"/>
            </w:tcBorders>
            <w:vAlign w:val="center"/>
          </w:tcPr>
          <w:p w14:paraId="74B60E07" w14:textId="77777777" w:rsidR="007D706A" w:rsidRDefault="007D706A" w:rsidP="00F70508">
            <w:pPr>
              <w:pStyle w:val="ParagraphStyle8"/>
              <w:rPr>
                <w:rStyle w:val="CharacterStyle8"/>
              </w:rPr>
            </w:pPr>
            <w:r>
              <w:rPr>
                <w:rStyle w:val="CharacterStyle8"/>
              </w:rPr>
              <w:t>Preneseni viškovi iz ranijih godina</w:t>
            </w:r>
          </w:p>
        </w:tc>
        <w:tc>
          <w:tcPr>
            <w:tcW w:w="1395" w:type="dxa"/>
            <w:tcBorders>
              <w:bottom w:val="single" w:sz="6" w:space="0" w:color="000000"/>
              <w:right w:val="single" w:sz="6" w:space="0" w:color="000000"/>
            </w:tcBorders>
            <w:vAlign w:val="center"/>
          </w:tcPr>
          <w:p w14:paraId="07450A2C"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EA3F58D" w14:textId="77777777" w:rsidR="007D706A" w:rsidRDefault="007D706A" w:rsidP="00F70508">
            <w:pPr>
              <w:pStyle w:val="ParagraphStyle9"/>
              <w:rPr>
                <w:rStyle w:val="CharacterStyle9"/>
              </w:rPr>
            </w:pPr>
            <w:r>
              <w:rPr>
                <w:rStyle w:val="CharacterStyle9"/>
              </w:rPr>
              <w:t>48.900,00</w:t>
            </w:r>
          </w:p>
        </w:tc>
        <w:tc>
          <w:tcPr>
            <w:tcW w:w="1395" w:type="dxa"/>
            <w:tcBorders>
              <w:bottom w:val="single" w:sz="6" w:space="0" w:color="000000"/>
              <w:right w:val="single" w:sz="6" w:space="0" w:color="000000"/>
            </w:tcBorders>
            <w:vAlign w:val="center"/>
          </w:tcPr>
          <w:p w14:paraId="73100B92"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998C8DD"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55EA4A0" w14:textId="77777777" w:rsidR="007D706A" w:rsidRDefault="007D706A" w:rsidP="00F70508">
            <w:pPr>
              <w:pStyle w:val="ParagraphStyle9"/>
              <w:rPr>
                <w:rStyle w:val="CharacterStyle9"/>
              </w:rPr>
            </w:pPr>
            <w:r>
              <w:rPr>
                <w:rStyle w:val="CharacterStyle9"/>
              </w:rPr>
              <w:t>0,00</w:t>
            </w:r>
          </w:p>
        </w:tc>
      </w:tr>
      <w:tr w:rsidR="007D706A" w14:paraId="7D4970D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9B8B770"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1E622865"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36B462F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1456104" w14:textId="77777777" w:rsidR="007D706A" w:rsidRDefault="007D706A" w:rsidP="00F70508">
            <w:pPr>
              <w:pStyle w:val="ParagraphStyle12"/>
              <w:rPr>
                <w:rStyle w:val="CharacterStyle12"/>
              </w:rPr>
            </w:pPr>
            <w:r>
              <w:rPr>
                <w:rStyle w:val="CharacterStyle12"/>
              </w:rPr>
              <w:t>48.900,00</w:t>
            </w:r>
          </w:p>
        </w:tc>
        <w:tc>
          <w:tcPr>
            <w:tcW w:w="1395" w:type="dxa"/>
            <w:tcBorders>
              <w:bottom w:val="single" w:sz="6" w:space="0" w:color="000000"/>
              <w:right w:val="single" w:sz="6" w:space="0" w:color="000000"/>
            </w:tcBorders>
            <w:vAlign w:val="center"/>
          </w:tcPr>
          <w:p w14:paraId="1DA7B4A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5C9B76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68E546B" w14:textId="77777777" w:rsidR="007D706A" w:rsidRDefault="007D706A" w:rsidP="00F70508">
            <w:pPr>
              <w:pStyle w:val="ParagraphStyle12"/>
              <w:rPr>
                <w:rStyle w:val="CharacterStyle12"/>
              </w:rPr>
            </w:pPr>
            <w:r>
              <w:rPr>
                <w:rStyle w:val="CharacterStyle12"/>
              </w:rPr>
              <w:t>0,00</w:t>
            </w:r>
          </w:p>
        </w:tc>
      </w:tr>
      <w:tr w:rsidR="007D706A" w14:paraId="3B38BB9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57A3455" w14:textId="77777777" w:rsidR="007D706A" w:rsidRDefault="007D706A" w:rsidP="00F70508">
            <w:pPr>
              <w:pStyle w:val="ParagraphStyle10"/>
              <w:rPr>
                <w:rStyle w:val="CharacterStyle10"/>
              </w:rPr>
            </w:pPr>
            <w:r>
              <w:rPr>
                <w:rStyle w:val="CharacterStyle10"/>
              </w:rPr>
              <w:t>42</w:t>
            </w:r>
          </w:p>
        </w:tc>
        <w:tc>
          <w:tcPr>
            <w:tcW w:w="4995" w:type="dxa"/>
            <w:tcBorders>
              <w:bottom w:val="single" w:sz="6" w:space="0" w:color="000000"/>
              <w:right w:val="single" w:sz="6" w:space="0" w:color="000000"/>
            </w:tcBorders>
            <w:vAlign w:val="center"/>
          </w:tcPr>
          <w:p w14:paraId="3C366716"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0E1D986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06C5FFE" w14:textId="77777777" w:rsidR="007D706A" w:rsidRDefault="007D706A" w:rsidP="00F70508">
            <w:pPr>
              <w:pStyle w:val="ParagraphStyle12"/>
              <w:rPr>
                <w:rStyle w:val="CharacterStyle12"/>
              </w:rPr>
            </w:pPr>
            <w:r>
              <w:rPr>
                <w:rStyle w:val="CharacterStyle12"/>
              </w:rPr>
              <w:t>34.750,00</w:t>
            </w:r>
          </w:p>
        </w:tc>
        <w:tc>
          <w:tcPr>
            <w:tcW w:w="1395" w:type="dxa"/>
            <w:tcBorders>
              <w:bottom w:val="single" w:sz="6" w:space="0" w:color="000000"/>
              <w:right w:val="single" w:sz="6" w:space="0" w:color="000000"/>
            </w:tcBorders>
            <w:vAlign w:val="center"/>
          </w:tcPr>
          <w:p w14:paraId="78AB4C1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E921C3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65237F0" w14:textId="77777777" w:rsidR="007D706A" w:rsidRDefault="007D706A" w:rsidP="00F70508">
            <w:pPr>
              <w:pStyle w:val="ParagraphStyle12"/>
              <w:rPr>
                <w:rStyle w:val="CharacterStyle12"/>
              </w:rPr>
            </w:pPr>
            <w:r>
              <w:rPr>
                <w:rStyle w:val="CharacterStyle12"/>
              </w:rPr>
              <w:t>0,00</w:t>
            </w:r>
          </w:p>
        </w:tc>
      </w:tr>
      <w:tr w:rsidR="007D706A" w14:paraId="08E526D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A82768A" w14:textId="77777777" w:rsidR="007D706A" w:rsidRDefault="007D706A" w:rsidP="00F70508">
            <w:pPr>
              <w:pStyle w:val="ParagraphStyle10"/>
              <w:rPr>
                <w:rStyle w:val="CharacterStyle10"/>
              </w:rPr>
            </w:pPr>
            <w:r>
              <w:rPr>
                <w:rStyle w:val="CharacterStyle10"/>
              </w:rPr>
              <w:t>45</w:t>
            </w:r>
          </w:p>
        </w:tc>
        <w:tc>
          <w:tcPr>
            <w:tcW w:w="4995" w:type="dxa"/>
            <w:tcBorders>
              <w:bottom w:val="single" w:sz="6" w:space="0" w:color="000000"/>
              <w:right w:val="single" w:sz="6" w:space="0" w:color="000000"/>
            </w:tcBorders>
            <w:vAlign w:val="center"/>
          </w:tcPr>
          <w:p w14:paraId="4A0A5350" w14:textId="77777777" w:rsidR="007D706A" w:rsidRDefault="007D706A" w:rsidP="00F70508">
            <w:pPr>
              <w:pStyle w:val="ParagraphStyle11"/>
              <w:rPr>
                <w:rStyle w:val="CharacterStyle11"/>
              </w:rPr>
            </w:pPr>
            <w:r>
              <w:rPr>
                <w:rStyle w:val="CharacterStyle11"/>
              </w:rPr>
              <w:t>Rashodi za dodatna ulaganja na nefinancijskoj imovini</w:t>
            </w:r>
          </w:p>
        </w:tc>
        <w:tc>
          <w:tcPr>
            <w:tcW w:w="1395" w:type="dxa"/>
            <w:tcBorders>
              <w:bottom w:val="single" w:sz="6" w:space="0" w:color="000000"/>
              <w:right w:val="single" w:sz="6" w:space="0" w:color="000000"/>
            </w:tcBorders>
            <w:vAlign w:val="center"/>
          </w:tcPr>
          <w:p w14:paraId="092B135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491739A" w14:textId="77777777" w:rsidR="007D706A" w:rsidRDefault="007D706A" w:rsidP="00F70508">
            <w:pPr>
              <w:pStyle w:val="ParagraphStyle12"/>
              <w:rPr>
                <w:rStyle w:val="CharacterStyle12"/>
              </w:rPr>
            </w:pPr>
            <w:r>
              <w:rPr>
                <w:rStyle w:val="CharacterStyle12"/>
              </w:rPr>
              <w:t>14.150,00</w:t>
            </w:r>
          </w:p>
        </w:tc>
        <w:tc>
          <w:tcPr>
            <w:tcW w:w="1395" w:type="dxa"/>
            <w:tcBorders>
              <w:bottom w:val="single" w:sz="6" w:space="0" w:color="000000"/>
              <w:right w:val="single" w:sz="6" w:space="0" w:color="000000"/>
            </w:tcBorders>
            <w:vAlign w:val="center"/>
          </w:tcPr>
          <w:p w14:paraId="6B0CBEF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307431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8A624F9" w14:textId="77777777" w:rsidR="007D706A" w:rsidRDefault="007D706A" w:rsidP="00F70508">
            <w:pPr>
              <w:pStyle w:val="ParagraphStyle12"/>
              <w:rPr>
                <w:rStyle w:val="CharacterStyle12"/>
              </w:rPr>
            </w:pPr>
            <w:r>
              <w:rPr>
                <w:rStyle w:val="CharacterStyle12"/>
              </w:rPr>
              <w:t>0,00</w:t>
            </w:r>
          </w:p>
        </w:tc>
      </w:tr>
      <w:tr w:rsidR="007D706A" w14:paraId="0C36BBE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A1003C2" w14:textId="77777777" w:rsidR="007D706A" w:rsidRDefault="007D706A" w:rsidP="00F70508">
            <w:pPr>
              <w:pStyle w:val="ParagraphStyle4"/>
              <w:rPr>
                <w:rStyle w:val="CharacterStyle4"/>
              </w:rPr>
            </w:pPr>
            <w:r>
              <w:rPr>
                <w:rStyle w:val="CharacterStyle4"/>
              </w:rPr>
              <w:t>Kapitalni projekt K103614</w:t>
            </w:r>
          </w:p>
        </w:tc>
        <w:tc>
          <w:tcPr>
            <w:tcW w:w="4995" w:type="dxa"/>
            <w:tcBorders>
              <w:bottom w:val="single" w:sz="6" w:space="0" w:color="000000"/>
              <w:right w:val="single" w:sz="6" w:space="0" w:color="000000"/>
            </w:tcBorders>
            <w:vAlign w:val="center"/>
          </w:tcPr>
          <w:p w14:paraId="336D1AC5" w14:textId="77777777" w:rsidR="007D706A" w:rsidRDefault="007D706A" w:rsidP="00F70508">
            <w:pPr>
              <w:pStyle w:val="ParagraphStyle5"/>
              <w:rPr>
                <w:rStyle w:val="CharacterStyle5"/>
              </w:rPr>
            </w:pPr>
            <w:r>
              <w:rPr>
                <w:rStyle w:val="CharacterStyle5"/>
              </w:rPr>
              <w:t>PROJEKT NAŠA MALA KNJIŽNICA</w:t>
            </w:r>
          </w:p>
        </w:tc>
        <w:tc>
          <w:tcPr>
            <w:tcW w:w="1395" w:type="dxa"/>
            <w:tcBorders>
              <w:bottom w:val="single" w:sz="6" w:space="0" w:color="000000"/>
              <w:right w:val="single" w:sz="6" w:space="0" w:color="000000"/>
            </w:tcBorders>
            <w:vAlign w:val="center"/>
          </w:tcPr>
          <w:p w14:paraId="7BA8C39E"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14656C41" w14:textId="77777777" w:rsidR="007D706A" w:rsidRDefault="007D706A" w:rsidP="00F70508">
            <w:pPr>
              <w:pStyle w:val="ParagraphStyle6"/>
              <w:rPr>
                <w:rStyle w:val="CharacterStyle6"/>
              </w:rPr>
            </w:pPr>
            <w:r>
              <w:rPr>
                <w:rStyle w:val="CharacterStyle6"/>
              </w:rPr>
              <w:t>300,00</w:t>
            </w:r>
          </w:p>
        </w:tc>
        <w:tc>
          <w:tcPr>
            <w:tcW w:w="1395" w:type="dxa"/>
            <w:tcBorders>
              <w:bottom w:val="single" w:sz="6" w:space="0" w:color="000000"/>
              <w:right w:val="single" w:sz="6" w:space="0" w:color="000000"/>
            </w:tcBorders>
            <w:vAlign w:val="center"/>
          </w:tcPr>
          <w:p w14:paraId="11F6A3CD" w14:textId="77777777" w:rsidR="007D706A" w:rsidRDefault="007D706A" w:rsidP="00F70508">
            <w:pPr>
              <w:pStyle w:val="ParagraphStyle6"/>
              <w:rPr>
                <w:rStyle w:val="CharacterStyle6"/>
              </w:rPr>
            </w:pPr>
            <w:r>
              <w:rPr>
                <w:rStyle w:val="CharacterStyle6"/>
              </w:rPr>
              <w:t>300,00</w:t>
            </w:r>
          </w:p>
        </w:tc>
        <w:tc>
          <w:tcPr>
            <w:tcW w:w="1395" w:type="dxa"/>
            <w:tcBorders>
              <w:bottom w:val="single" w:sz="6" w:space="0" w:color="000000"/>
              <w:right w:val="single" w:sz="6" w:space="0" w:color="000000"/>
            </w:tcBorders>
            <w:vAlign w:val="center"/>
          </w:tcPr>
          <w:p w14:paraId="3DF6AD10" w14:textId="77777777" w:rsidR="007D706A" w:rsidRDefault="007D706A" w:rsidP="00F70508">
            <w:pPr>
              <w:pStyle w:val="ParagraphStyle6"/>
              <w:rPr>
                <w:rStyle w:val="CharacterStyle6"/>
              </w:rPr>
            </w:pPr>
            <w:r>
              <w:rPr>
                <w:rStyle w:val="CharacterStyle6"/>
              </w:rPr>
              <w:t>308,25</w:t>
            </w:r>
          </w:p>
        </w:tc>
        <w:tc>
          <w:tcPr>
            <w:tcW w:w="1395" w:type="dxa"/>
            <w:tcBorders>
              <w:bottom w:val="single" w:sz="6" w:space="0" w:color="000000"/>
              <w:right w:val="single" w:sz="6" w:space="0" w:color="000000"/>
            </w:tcBorders>
            <w:vAlign w:val="center"/>
          </w:tcPr>
          <w:p w14:paraId="3B5A247E" w14:textId="77777777" w:rsidR="007D706A" w:rsidRDefault="007D706A" w:rsidP="00F70508">
            <w:pPr>
              <w:pStyle w:val="ParagraphStyle6"/>
              <w:rPr>
                <w:rStyle w:val="CharacterStyle6"/>
              </w:rPr>
            </w:pPr>
            <w:r>
              <w:rPr>
                <w:rStyle w:val="CharacterStyle6"/>
              </w:rPr>
              <w:t>311,25</w:t>
            </w:r>
          </w:p>
        </w:tc>
      </w:tr>
      <w:tr w:rsidR="007D706A" w14:paraId="04D4B96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AD38DB9"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10F0AEE7"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7C728C56"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17EB6D4" w14:textId="77777777" w:rsidR="007D706A" w:rsidRDefault="007D706A" w:rsidP="00F70508">
            <w:pPr>
              <w:pStyle w:val="ParagraphStyle9"/>
              <w:rPr>
                <w:rStyle w:val="CharacterStyle9"/>
              </w:rPr>
            </w:pPr>
            <w:r>
              <w:rPr>
                <w:rStyle w:val="CharacterStyle9"/>
              </w:rPr>
              <w:t>300,00</w:t>
            </w:r>
          </w:p>
        </w:tc>
        <w:tc>
          <w:tcPr>
            <w:tcW w:w="1395" w:type="dxa"/>
            <w:tcBorders>
              <w:bottom w:val="single" w:sz="6" w:space="0" w:color="000000"/>
              <w:right w:val="single" w:sz="6" w:space="0" w:color="000000"/>
            </w:tcBorders>
            <w:vAlign w:val="center"/>
          </w:tcPr>
          <w:p w14:paraId="0538B8F6" w14:textId="77777777" w:rsidR="007D706A" w:rsidRDefault="007D706A" w:rsidP="00F70508">
            <w:pPr>
              <w:pStyle w:val="ParagraphStyle9"/>
              <w:rPr>
                <w:rStyle w:val="CharacterStyle9"/>
              </w:rPr>
            </w:pPr>
            <w:r>
              <w:rPr>
                <w:rStyle w:val="CharacterStyle9"/>
              </w:rPr>
              <w:t>300,00</w:t>
            </w:r>
          </w:p>
        </w:tc>
        <w:tc>
          <w:tcPr>
            <w:tcW w:w="1395" w:type="dxa"/>
            <w:tcBorders>
              <w:bottom w:val="single" w:sz="6" w:space="0" w:color="000000"/>
              <w:right w:val="single" w:sz="6" w:space="0" w:color="000000"/>
            </w:tcBorders>
            <w:vAlign w:val="center"/>
          </w:tcPr>
          <w:p w14:paraId="6C1C75F4" w14:textId="77777777" w:rsidR="007D706A" w:rsidRDefault="007D706A" w:rsidP="00F70508">
            <w:pPr>
              <w:pStyle w:val="ParagraphStyle9"/>
              <w:rPr>
                <w:rStyle w:val="CharacterStyle9"/>
              </w:rPr>
            </w:pPr>
            <w:r>
              <w:rPr>
                <w:rStyle w:val="CharacterStyle9"/>
              </w:rPr>
              <w:t>308,25</w:t>
            </w:r>
          </w:p>
        </w:tc>
        <w:tc>
          <w:tcPr>
            <w:tcW w:w="1395" w:type="dxa"/>
            <w:tcBorders>
              <w:bottom w:val="single" w:sz="6" w:space="0" w:color="000000"/>
              <w:right w:val="single" w:sz="6" w:space="0" w:color="000000"/>
            </w:tcBorders>
            <w:vAlign w:val="center"/>
          </w:tcPr>
          <w:p w14:paraId="1AE60183" w14:textId="77777777" w:rsidR="007D706A" w:rsidRDefault="007D706A" w:rsidP="00F70508">
            <w:pPr>
              <w:pStyle w:val="ParagraphStyle9"/>
              <w:rPr>
                <w:rStyle w:val="CharacterStyle9"/>
              </w:rPr>
            </w:pPr>
            <w:r>
              <w:rPr>
                <w:rStyle w:val="CharacterStyle9"/>
              </w:rPr>
              <w:t>311,25</w:t>
            </w:r>
          </w:p>
        </w:tc>
      </w:tr>
      <w:tr w:rsidR="007D706A" w14:paraId="0784F49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FD9BB2C"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0EEE7283"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6CABB1E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1D3D79D" w14:textId="77777777" w:rsidR="007D706A" w:rsidRDefault="007D706A" w:rsidP="00F70508">
            <w:pPr>
              <w:pStyle w:val="ParagraphStyle12"/>
              <w:rPr>
                <w:rStyle w:val="CharacterStyle12"/>
              </w:rPr>
            </w:pPr>
            <w:r>
              <w:rPr>
                <w:rStyle w:val="CharacterStyle12"/>
              </w:rPr>
              <w:t>300,00</w:t>
            </w:r>
          </w:p>
        </w:tc>
        <w:tc>
          <w:tcPr>
            <w:tcW w:w="1395" w:type="dxa"/>
            <w:tcBorders>
              <w:bottom w:val="single" w:sz="6" w:space="0" w:color="000000"/>
              <w:right w:val="single" w:sz="6" w:space="0" w:color="000000"/>
            </w:tcBorders>
            <w:vAlign w:val="center"/>
          </w:tcPr>
          <w:p w14:paraId="0703519E" w14:textId="77777777" w:rsidR="007D706A" w:rsidRDefault="007D706A" w:rsidP="00F70508">
            <w:pPr>
              <w:pStyle w:val="ParagraphStyle12"/>
              <w:rPr>
                <w:rStyle w:val="CharacterStyle12"/>
              </w:rPr>
            </w:pPr>
            <w:r>
              <w:rPr>
                <w:rStyle w:val="CharacterStyle12"/>
              </w:rPr>
              <w:t>300,00</w:t>
            </w:r>
          </w:p>
        </w:tc>
        <w:tc>
          <w:tcPr>
            <w:tcW w:w="1395" w:type="dxa"/>
            <w:tcBorders>
              <w:bottom w:val="single" w:sz="6" w:space="0" w:color="000000"/>
              <w:right w:val="single" w:sz="6" w:space="0" w:color="000000"/>
            </w:tcBorders>
            <w:vAlign w:val="center"/>
          </w:tcPr>
          <w:p w14:paraId="255EDAFD" w14:textId="77777777" w:rsidR="007D706A" w:rsidRDefault="007D706A" w:rsidP="00F70508">
            <w:pPr>
              <w:pStyle w:val="ParagraphStyle12"/>
              <w:rPr>
                <w:rStyle w:val="CharacterStyle12"/>
              </w:rPr>
            </w:pPr>
            <w:r>
              <w:rPr>
                <w:rStyle w:val="CharacterStyle12"/>
              </w:rPr>
              <w:t>308,25</w:t>
            </w:r>
          </w:p>
        </w:tc>
        <w:tc>
          <w:tcPr>
            <w:tcW w:w="1395" w:type="dxa"/>
            <w:tcBorders>
              <w:bottom w:val="single" w:sz="6" w:space="0" w:color="000000"/>
              <w:right w:val="single" w:sz="6" w:space="0" w:color="000000"/>
            </w:tcBorders>
            <w:vAlign w:val="center"/>
          </w:tcPr>
          <w:p w14:paraId="4303E56A" w14:textId="77777777" w:rsidR="007D706A" w:rsidRDefault="007D706A" w:rsidP="00F70508">
            <w:pPr>
              <w:pStyle w:val="ParagraphStyle12"/>
              <w:rPr>
                <w:rStyle w:val="CharacterStyle12"/>
              </w:rPr>
            </w:pPr>
            <w:r>
              <w:rPr>
                <w:rStyle w:val="CharacterStyle12"/>
              </w:rPr>
              <w:t>311,25</w:t>
            </w:r>
          </w:p>
        </w:tc>
      </w:tr>
      <w:tr w:rsidR="007D706A" w14:paraId="5DAC0B2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2A91476" w14:textId="77777777" w:rsidR="007D706A" w:rsidRDefault="007D706A" w:rsidP="00F70508">
            <w:pPr>
              <w:pStyle w:val="ParagraphStyle10"/>
              <w:rPr>
                <w:rStyle w:val="CharacterStyle10"/>
              </w:rPr>
            </w:pPr>
            <w:r>
              <w:rPr>
                <w:rStyle w:val="CharacterStyle10"/>
              </w:rPr>
              <w:t>42</w:t>
            </w:r>
          </w:p>
        </w:tc>
        <w:tc>
          <w:tcPr>
            <w:tcW w:w="4995" w:type="dxa"/>
            <w:tcBorders>
              <w:bottom w:val="single" w:sz="6" w:space="0" w:color="000000"/>
              <w:right w:val="single" w:sz="6" w:space="0" w:color="000000"/>
            </w:tcBorders>
            <w:vAlign w:val="center"/>
          </w:tcPr>
          <w:p w14:paraId="7B82BC25"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6178CA0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1EA7E39" w14:textId="77777777" w:rsidR="007D706A" w:rsidRDefault="007D706A" w:rsidP="00F70508">
            <w:pPr>
              <w:pStyle w:val="ParagraphStyle12"/>
              <w:rPr>
                <w:rStyle w:val="CharacterStyle12"/>
              </w:rPr>
            </w:pPr>
            <w:r>
              <w:rPr>
                <w:rStyle w:val="CharacterStyle12"/>
              </w:rPr>
              <w:t>300,00</w:t>
            </w:r>
          </w:p>
        </w:tc>
        <w:tc>
          <w:tcPr>
            <w:tcW w:w="1395" w:type="dxa"/>
            <w:tcBorders>
              <w:bottom w:val="single" w:sz="6" w:space="0" w:color="000000"/>
              <w:right w:val="single" w:sz="6" w:space="0" w:color="000000"/>
            </w:tcBorders>
            <w:vAlign w:val="center"/>
          </w:tcPr>
          <w:p w14:paraId="4BF94632" w14:textId="77777777" w:rsidR="007D706A" w:rsidRDefault="007D706A" w:rsidP="00F70508">
            <w:pPr>
              <w:pStyle w:val="ParagraphStyle12"/>
              <w:rPr>
                <w:rStyle w:val="CharacterStyle12"/>
              </w:rPr>
            </w:pPr>
            <w:r>
              <w:rPr>
                <w:rStyle w:val="CharacterStyle12"/>
              </w:rPr>
              <w:t>300,00</w:t>
            </w:r>
          </w:p>
        </w:tc>
        <w:tc>
          <w:tcPr>
            <w:tcW w:w="1395" w:type="dxa"/>
            <w:tcBorders>
              <w:bottom w:val="single" w:sz="6" w:space="0" w:color="000000"/>
              <w:right w:val="single" w:sz="6" w:space="0" w:color="000000"/>
            </w:tcBorders>
            <w:vAlign w:val="center"/>
          </w:tcPr>
          <w:p w14:paraId="3506BED0" w14:textId="77777777" w:rsidR="007D706A" w:rsidRDefault="007D706A" w:rsidP="00F70508">
            <w:pPr>
              <w:pStyle w:val="ParagraphStyle12"/>
              <w:rPr>
                <w:rStyle w:val="CharacterStyle12"/>
              </w:rPr>
            </w:pPr>
            <w:r>
              <w:rPr>
                <w:rStyle w:val="CharacterStyle12"/>
              </w:rPr>
              <w:t>308,25</w:t>
            </w:r>
          </w:p>
        </w:tc>
        <w:tc>
          <w:tcPr>
            <w:tcW w:w="1395" w:type="dxa"/>
            <w:tcBorders>
              <w:bottom w:val="single" w:sz="6" w:space="0" w:color="000000"/>
              <w:right w:val="single" w:sz="6" w:space="0" w:color="000000"/>
            </w:tcBorders>
            <w:vAlign w:val="center"/>
          </w:tcPr>
          <w:p w14:paraId="5ED2F273" w14:textId="77777777" w:rsidR="007D706A" w:rsidRDefault="007D706A" w:rsidP="00F70508">
            <w:pPr>
              <w:pStyle w:val="ParagraphStyle12"/>
              <w:rPr>
                <w:rStyle w:val="CharacterStyle12"/>
              </w:rPr>
            </w:pPr>
            <w:r>
              <w:rPr>
                <w:rStyle w:val="CharacterStyle12"/>
              </w:rPr>
              <w:t>311,25</w:t>
            </w:r>
          </w:p>
        </w:tc>
      </w:tr>
      <w:tr w:rsidR="007D706A" w14:paraId="21D2F5D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C34CE28" w14:textId="77777777" w:rsidR="007D706A" w:rsidRDefault="007D706A" w:rsidP="00F70508">
            <w:pPr>
              <w:pStyle w:val="ParagraphStyle4"/>
              <w:rPr>
                <w:rStyle w:val="CharacterStyle4"/>
              </w:rPr>
            </w:pPr>
            <w:r>
              <w:rPr>
                <w:rStyle w:val="CharacterStyle4"/>
              </w:rPr>
              <w:t>Aktivnost A103641</w:t>
            </w:r>
          </w:p>
        </w:tc>
        <w:tc>
          <w:tcPr>
            <w:tcW w:w="4995" w:type="dxa"/>
            <w:tcBorders>
              <w:bottom w:val="single" w:sz="6" w:space="0" w:color="000000"/>
              <w:right w:val="single" w:sz="6" w:space="0" w:color="000000"/>
            </w:tcBorders>
            <w:vAlign w:val="center"/>
          </w:tcPr>
          <w:p w14:paraId="00D59918" w14:textId="77777777" w:rsidR="007D706A" w:rsidRDefault="007D706A" w:rsidP="00F70508">
            <w:pPr>
              <w:pStyle w:val="ParagraphStyle5"/>
              <w:rPr>
                <w:rStyle w:val="CharacterStyle5"/>
              </w:rPr>
            </w:pPr>
            <w:r>
              <w:rPr>
                <w:rStyle w:val="CharacterStyle5"/>
              </w:rPr>
              <w:t>RAD S DAROVITOM DJECOM</w:t>
            </w:r>
          </w:p>
        </w:tc>
        <w:tc>
          <w:tcPr>
            <w:tcW w:w="1395" w:type="dxa"/>
            <w:tcBorders>
              <w:bottom w:val="single" w:sz="6" w:space="0" w:color="000000"/>
              <w:right w:val="single" w:sz="6" w:space="0" w:color="000000"/>
            </w:tcBorders>
            <w:vAlign w:val="center"/>
          </w:tcPr>
          <w:p w14:paraId="1D5EE8EA"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5D1A1F84" w14:textId="77777777" w:rsidR="007D706A" w:rsidRDefault="007D706A" w:rsidP="00F70508">
            <w:pPr>
              <w:pStyle w:val="ParagraphStyle6"/>
              <w:rPr>
                <w:rStyle w:val="CharacterStyle6"/>
              </w:rPr>
            </w:pPr>
            <w:r>
              <w:rPr>
                <w:rStyle w:val="CharacterStyle6"/>
              </w:rPr>
              <w:t>3.956,00</w:t>
            </w:r>
          </w:p>
        </w:tc>
        <w:tc>
          <w:tcPr>
            <w:tcW w:w="1395" w:type="dxa"/>
            <w:tcBorders>
              <w:bottom w:val="single" w:sz="6" w:space="0" w:color="000000"/>
              <w:right w:val="single" w:sz="6" w:space="0" w:color="000000"/>
            </w:tcBorders>
            <w:vAlign w:val="center"/>
          </w:tcPr>
          <w:p w14:paraId="4E37ED5F" w14:textId="77777777" w:rsidR="007D706A" w:rsidRDefault="007D706A" w:rsidP="00F70508">
            <w:pPr>
              <w:pStyle w:val="ParagraphStyle6"/>
              <w:rPr>
                <w:rStyle w:val="CharacterStyle6"/>
              </w:rPr>
            </w:pPr>
            <w:r>
              <w:rPr>
                <w:rStyle w:val="CharacterStyle6"/>
              </w:rPr>
              <w:t>3.956,00</w:t>
            </w:r>
          </w:p>
        </w:tc>
        <w:tc>
          <w:tcPr>
            <w:tcW w:w="1395" w:type="dxa"/>
            <w:tcBorders>
              <w:bottom w:val="single" w:sz="6" w:space="0" w:color="000000"/>
              <w:right w:val="single" w:sz="6" w:space="0" w:color="000000"/>
            </w:tcBorders>
            <w:vAlign w:val="center"/>
          </w:tcPr>
          <w:p w14:paraId="529A3292" w14:textId="77777777" w:rsidR="007D706A" w:rsidRDefault="007D706A" w:rsidP="00F70508">
            <w:pPr>
              <w:pStyle w:val="ParagraphStyle6"/>
              <w:rPr>
                <w:rStyle w:val="CharacterStyle6"/>
              </w:rPr>
            </w:pPr>
            <w:r>
              <w:rPr>
                <w:rStyle w:val="CharacterStyle6"/>
              </w:rPr>
              <w:t>4.064,79</w:t>
            </w:r>
          </w:p>
        </w:tc>
        <w:tc>
          <w:tcPr>
            <w:tcW w:w="1395" w:type="dxa"/>
            <w:tcBorders>
              <w:bottom w:val="single" w:sz="6" w:space="0" w:color="000000"/>
              <w:right w:val="single" w:sz="6" w:space="0" w:color="000000"/>
            </w:tcBorders>
            <w:vAlign w:val="center"/>
          </w:tcPr>
          <w:p w14:paraId="0092FBCF" w14:textId="77777777" w:rsidR="007D706A" w:rsidRDefault="007D706A" w:rsidP="00F70508">
            <w:pPr>
              <w:pStyle w:val="ParagraphStyle6"/>
              <w:rPr>
                <w:rStyle w:val="CharacterStyle6"/>
              </w:rPr>
            </w:pPr>
            <w:r>
              <w:rPr>
                <w:rStyle w:val="CharacterStyle6"/>
              </w:rPr>
              <w:t>4.104,35</w:t>
            </w:r>
          </w:p>
        </w:tc>
      </w:tr>
      <w:tr w:rsidR="007D706A" w14:paraId="7224BB6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52DF114" w14:textId="77777777" w:rsidR="007D706A" w:rsidRDefault="007D706A" w:rsidP="00F70508">
            <w:pPr>
              <w:pStyle w:val="ParagraphStyle7"/>
              <w:rPr>
                <w:rStyle w:val="CharacterStyle7"/>
              </w:rPr>
            </w:pPr>
            <w:r>
              <w:rPr>
                <w:rStyle w:val="CharacterStyle7"/>
              </w:rPr>
              <w:t>Izvor financiranja 50</w:t>
            </w:r>
          </w:p>
        </w:tc>
        <w:tc>
          <w:tcPr>
            <w:tcW w:w="4995" w:type="dxa"/>
            <w:tcBorders>
              <w:bottom w:val="single" w:sz="6" w:space="0" w:color="000000"/>
              <w:right w:val="single" w:sz="6" w:space="0" w:color="000000"/>
            </w:tcBorders>
            <w:vAlign w:val="center"/>
          </w:tcPr>
          <w:p w14:paraId="3E86658B" w14:textId="77777777" w:rsidR="007D706A" w:rsidRDefault="007D706A" w:rsidP="00F70508">
            <w:pPr>
              <w:pStyle w:val="ParagraphStyle8"/>
              <w:rPr>
                <w:rStyle w:val="CharacterStyle8"/>
              </w:rPr>
            </w:pPr>
            <w:r>
              <w:rPr>
                <w:rStyle w:val="CharacterStyle8"/>
              </w:rPr>
              <w:t>Pomoći iz državnog proračuna</w:t>
            </w:r>
          </w:p>
        </w:tc>
        <w:tc>
          <w:tcPr>
            <w:tcW w:w="1395" w:type="dxa"/>
            <w:tcBorders>
              <w:bottom w:val="single" w:sz="6" w:space="0" w:color="000000"/>
              <w:right w:val="single" w:sz="6" w:space="0" w:color="000000"/>
            </w:tcBorders>
            <w:vAlign w:val="center"/>
          </w:tcPr>
          <w:p w14:paraId="44F25C73"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0D18CEF"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218688B" w14:textId="77777777" w:rsidR="007D706A" w:rsidRDefault="007D706A" w:rsidP="00F70508">
            <w:pPr>
              <w:pStyle w:val="ParagraphStyle9"/>
              <w:rPr>
                <w:rStyle w:val="CharacterStyle9"/>
              </w:rPr>
            </w:pPr>
            <w:r>
              <w:rPr>
                <w:rStyle w:val="CharacterStyle9"/>
              </w:rPr>
              <w:t>3.956,00</w:t>
            </w:r>
          </w:p>
        </w:tc>
        <w:tc>
          <w:tcPr>
            <w:tcW w:w="1395" w:type="dxa"/>
            <w:tcBorders>
              <w:bottom w:val="single" w:sz="6" w:space="0" w:color="000000"/>
              <w:right w:val="single" w:sz="6" w:space="0" w:color="000000"/>
            </w:tcBorders>
            <w:vAlign w:val="center"/>
          </w:tcPr>
          <w:p w14:paraId="1D6F6D6C" w14:textId="77777777" w:rsidR="007D706A" w:rsidRDefault="007D706A" w:rsidP="00F70508">
            <w:pPr>
              <w:pStyle w:val="ParagraphStyle9"/>
              <w:rPr>
                <w:rStyle w:val="CharacterStyle9"/>
              </w:rPr>
            </w:pPr>
            <w:r>
              <w:rPr>
                <w:rStyle w:val="CharacterStyle9"/>
              </w:rPr>
              <w:t>4.064,79</w:t>
            </w:r>
          </w:p>
        </w:tc>
        <w:tc>
          <w:tcPr>
            <w:tcW w:w="1395" w:type="dxa"/>
            <w:tcBorders>
              <w:bottom w:val="single" w:sz="6" w:space="0" w:color="000000"/>
              <w:right w:val="single" w:sz="6" w:space="0" w:color="000000"/>
            </w:tcBorders>
            <w:vAlign w:val="center"/>
          </w:tcPr>
          <w:p w14:paraId="56C5824E" w14:textId="77777777" w:rsidR="007D706A" w:rsidRDefault="007D706A" w:rsidP="00F70508">
            <w:pPr>
              <w:pStyle w:val="ParagraphStyle9"/>
              <w:rPr>
                <w:rStyle w:val="CharacterStyle9"/>
              </w:rPr>
            </w:pPr>
            <w:r>
              <w:rPr>
                <w:rStyle w:val="CharacterStyle9"/>
              </w:rPr>
              <w:t>4.104,35</w:t>
            </w:r>
          </w:p>
        </w:tc>
      </w:tr>
      <w:tr w:rsidR="007D706A" w14:paraId="3BF4D68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6367328"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71EC6812"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156170A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62A8E2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99C5AD1" w14:textId="77777777" w:rsidR="007D706A" w:rsidRDefault="007D706A" w:rsidP="00F70508">
            <w:pPr>
              <w:pStyle w:val="ParagraphStyle12"/>
              <w:rPr>
                <w:rStyle w:val="CharacterStyle12"/>
              </w:rPr>
            </w:pPr>
            <w:r>
              <w:rPr>
                <w:rStyle w:val="CharacterStyle12"/>
              </w:rPr>
              <w:t>3.956,00</w:t>
            </w:r>
          </w:p>
        </w:tc>
        <w:tc>
          <w:tcPr>
            <w:tcW w:w="1395" w:type="dxa"/>
            <w:tcBorders>
              <w:bottom w:val="single" w:sz="6" w:space="0" w:color="000000"/>
              <w:right w:val="single" w:sz="6" w:space="0" w:color="000000"/>
            </w:tcBorders>
            <w:vAlign w:val="center"/>
          </w:tcPr>
          <w:p w14:paraId="3E54C5F0" w14:textId="77777777" w:rsidR="007D706A" w:rsidRDefault="007D706A" w:rsidP="00F70508">
            <w:pPr>
              <w:pStyle w:val="ParagraphStyle12"/>
              <w:rPr>
                <w:rStyle w:val="CharacterStyle12"/>
              </w:rPr>
            </w:pPr>
            <w:r>
              <w:rPr>
                <w:rStyle w:val="CharacterStyle12"/>
              </w:rPr>
              <w:t>4.064,79</w:t>
            </w:r>
          </w:p>
        </w:tc>
        <w:tc>
          <w:tcPr>
            <w:tcW w:w="1395" w:type="dxa"/>
            <w:tcBorders>
              <w:bottom w:val="single" w:sz="6" w:space="0" w:color="000000"/>
              <w:right w:val="single" w:sz="6" w:space="0" w:color="000000"/>
            </w:tcBorders>
            <w:vAlign w:val="center"/>
          </w:tcPr>
          <w:p w14:paraId="553A6300" w14:textId="77777777" w:rsidR="007D706A" w:rsidRDefault="007D706A" w:rsidP="00F70508">
            <w:pPr>
              <w:pStyle w:val="ParagraphStyle12"/>
              <w:rPr>
                <w:rStyle w:val="CharacterStyle12"/>
              </w:rPr>
            </w:pPr>
            <w:r>
              <w:rPr>
                <w:rStyle w:val="CharacterStyle12"/>
              </w:rPr>
              <w:t>4.104,35</w:t>
            </w:r>
          </w:p>
        </w:tc>
      </w:tr>
      <w:tr w:rsidR="007D706A" w14:paraId="15D70C7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AD70FF3"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678BB05F"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74FA173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9593F4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FDD0D03" w14:textId="77777777" w:rsidR="007D706A" w:rsidRDefault="007D706A" w:rsidP="00F70508">
            <w:pPr>
              <w:pStyle w:val="ParagraphStyle12"/>
              <w:rPr>
                <w:rStyle w:val="CharacterStyle12"/>
              </w:rPr>
            </w:pPr>
            <w:r>
              <w:rPr>
                <w:rStyle w:val="CharacterStyle12"/>
              </w:rPr>
              <w:t>3.956,00</w:t>
            </w:r>
          </w:p>
        </w:tc>
        <w:tc>
          <w:tcPr>
            <w:tcW w:w="1395" w:type="dxa"/>
            <w:tcBorders>
              <w:bottom w:val="single" w:sz="6" w:space="0" w:color="000000"/>
              <w:right w:val="single" w:sz="6" w:space="0" w:color="000000"/>
            </w:tcBorders>
            <w:vAlign w:val="center"/>
          </w:tcPr>
          <w:p w14:paraId="4E4908DA" w14:textId="77777777" w:rsidR="007D706A" w:rsidRDefault="007D706A" w:rsidP="00F70508">
            <w:pPr>
              <w:pStyle w:val="ParagraphStyle12"/>
              <w:rPr>
                <w:rStyle w:val="CharacterStyle12"/>
              </w:rPr>
            </w:pPr>
            <w:r>
              <w:rPr>
                <w:rStyle w:val="CharacterStyle12"/>
              </w:rPr>
              <w:t>4.064,79</w:t>
            </w:r>
          </w:p>
        </w:tc>
        <w:tc>
          <w:tcPr>
            <w:tcW w:w="1395" w:type="dxa"/>
            <w:tcBorders>
              <w:bottom w:val="single" w:sz="6" w:space="0" w:color="000000"/>
              <w:right w:val="single" w:sz="6" w:space="0" w:color="000000"/>
            </w:tcBorders>
            <w:vAlign w:val="center"/>
          </w:tcPr>
          <w:p w14:paraId="62E56816" w14:textId="77777777" w:rsidR="007D706A" w:rsidRDefault="007D706A" w:rsidP="00F70508">
            <w:pPr>
              <w:pStyle w:val="ParagraphStyle12"/>
              <w:rPr>
                <w:rStyle w:val="CharacterStyle12"/>
              </w:rPr>
            </w:pPr>
            <w:r>
              <w:rPr>
                <w:rStyle w:val="CharacterStyle12"/>
              </w:rPr>
              <w:t>4.104,35</w:t>
            </w:r>
          </w:p>
        </w:tc>
      </w:tr>
      <w:tr w:rsidR="007D706A" w14:paraId="0413E01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6068127" w14:textId="77777777" w:rsidR="007D706A" w:rsidRDefault="007D706A" w:rsidP="00F70508">
            <w:pPr>
              <w:pStyle w:val="ParagraphStyle7"/>
              <w:rPr>
                <w:rStyle w:val="CharacterStyle7"/>
              </w:rPr>
            </w:pPr>
            <w:r>
              <w:rPr>
                <w:rStyle w:val="CharacterStyle7"/>
              </w:rPr>
              <w:t>Izvor financiranja 53</w:t>
            </w:r>
          </w:p>
        </w:tc>
        <w:tc>
          <w:tcPr>
            <w:tcW w:w="4995" w:type="dxa"/>
            <w:tcBorders>
              <w:bottom w:val="single" w:sz="6" w:space="0" w:color="000000"/>
              <w:right w:val="single" w:sz="6" w:space="0" w:color="000000"/>
            </w:tcBorders>
            <w:vAlign w:val="center"/>
          </w:tcPr>
          <w:p w14:paraId="7295B764" w14:textId="77777777" w:rsidR="007D706A" w:rsidRDefault="007D706A" w:rsidP="00F70508">
            <w:pPr>
              <w:pStyle w:val="ParagraphStyle8"/>
              <w:rPr>
                <w:rStyle w:val="CharacterStyle8"/>
              </w:rPr>
            </w:pPr>
            <w:r>
              <w:rPr>
                <w:rStyle w:val="CharacterStyle8"/>
              </w:rPr>
              <w:t>Proračuni, drugi nivoi - za posebne i / ili ugovorene namjene</w:t>
            </w:r>
          </w:p>
        </w:tc>
        <w:tc>
          <w:tcPr>
            <w:tcW w:w="1395" w:type="dxa"/>
            <w:tcBorders>
              <w:bottom w:val="single" w:sz="6" w:space="0" w:color="000000"/>
              <w:right w:val="single" w:sz="6" w:space="0" w:color="000000"/>
            </w:tcBorders>
            <w:vAlign w:val="center"/>
          </w:tcPr>
          <w:p w14:paraId="74A96BD7"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29B0254" w14:textId="77777777" w:rsidR="007D706A" w:rsidRDefault="007D706A" w:rsidP="00F70508">
            <w:pPr>
              <w:pStyle w:val="ParagraphStyle9"/>
              <w:rPr>
                <w:rStyle w:val="CharacterStyle9"/>
              </w:rPr>
            </w:pPr>
            <w:r>
              <w:rPr>
                <w:rStyle w:val="CharacterStyle9"/>
              </w:rPr>
              <w:t>1.542,84</w:t>
            </w:r>
          </w:p>
        </w:tc>
        <w:tc>
          <w:tcPr>
            <w:tcW w:w="1395" w:type="dxa"/>
            <w:tcBorders>
              <w:bottom w:val="single" w:sz="6" w:space="0" w:color="000000"/>
              <w:right w:val="single" w:sz="6" w:space="0" w:color="000000"/>
            </w:tcBorders>
            <w:vAlign w:val="center"/>
          </w:tcPr>
          <w:p w14:paraId="2FB527A9"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3BF3B63"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A561942" w14:textId="77777777" w:rsidR="007D706A" w:rsidRDefault="007D706A" w:rsidP="00F70508">
            <w:pPr>
              <w:pStyle w:val="ParagraphStyle9"/>
              <w:rPr>
                <w:rStyle w:val="CharacterStyle9"/>
              </w:rPr>
            </w:pPr>
            <w:r>
              <w:rPr>
                <w:rStyle w:val="CharacterStyle9"/>
              </w:rPr>
              <w:t>0,00</w:t>
            </w:r>
          </w:p>
        </w:tc>
      </w:tr>
      <w:tr w:rsidR="007D706A" w14:paraId="2A46941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98836B6"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49A7969E"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3D4A159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E2A6AA3" w14:textId="77777777" w:rsidR="007D706A" w:rsidRDefault="007D706A" w:rsidP="00F70508">
            <w:pPr>
              <w:pStyle w:val="ParagraphStyle12"/>
              <w:rPr>
                <w:rStyle w:val="CharacterStyle12"/>
              </w:rPr>
            </w:pPr>
            <w:r>
              <w:rPr>
                <w:rStyle w:val="CharacterStyle12"/>
              </w:rPr>
              <w:t>1.542,84</w:t>
            </w:r>
          </w:p>
        </w:tc>
        <w:tc>
          <w:tcPr>
            <w:tcW w:w="1395" w:type="dxa"/>
            <w:tcBorders>
              <w:bottom w:val="single" w:sz="6" w:space="0" w:color="000000"/>
              <w:right w:val="single" w:sz="6" w:space="0" w:color="000000"/>
            </w:tcBorders>
            <w:vAlign w:val="center"/>
          </w:tcPr>
          <w:p w14:paraId="1C49DEE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8FA49F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4F586F1" w14:textId="77777777" w:rsidR="007D706A" w:rsidRDefault="007D706A" w:rsidP="00F70508">
            <w:pPr>
              <w:pStyle w:val="ParagraphStyle12"/>
              <w:rPr>
                <w:rStyle w:val="CharacterStyle12"/>
              </w:rPr>
            </w:pPr>
            <w:r>
              <w:rPr>
                <w:rStyle w:val="CharacterStyle12"/>
              </w:rPr>
              <w:t>0,00</w:t>
            </w:r>
          </w:p>
        </w:tc>
      </w:tr>
      <w:tr w:rsidR="007D706A" w14:paraId="50C252D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0ABBCDF"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0779AFA6"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625437D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3EFFAD7" w14:textId="77777777" w:rsidR="007D706A" w:rsidRDefault="007D706A" w:rsidP="00F70508">
            <w:pPr>
              <w:pStyle w:val="ParagraphStyle12"/>
              <w:rPr>
                <w:rStyle w:val="CharacterStyle12"/>
              </w:rPr>
            </w:pPr>
            <w:r>
              <w:rPr>
                <w:rStyle w:val="CharacterStyle12"/>
              </w:rPr>
              <w:t>1.542,84</w:t>
            </w:r>
          </w:p>
        </w:tc>
        <w:tc>
          <w:tcPr>
            <w:tcW w:w="1395" w:type="dxa"/>
            <w:tcBorders>
              <w:bottom w:val="single" w:sz="6" w:space="0" w:color="000000"/>
              <w:right w:val="single" w:sz="6" w:space="0" w:color="000000"/>
            </w:tcBorders>
            <w:vAlign w:val="center"/>
          </w:tcPr>
          <w:p w14:paraId="3876F6F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6EDABB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6E2401D" w14:textId="77777777" w:rsidR="007D706A" w:rsidRDefault="007D706A" w:rsidP="00F70508">
            <w:pPr>
              <w:pStyle w:val="ParagraphStyle12"/>
              <w:rPr>
                <w:rStyle w:val="CharacterStyle12"/>
              </w:rPr>
            </w:pPr>
            <w:r>
              <w:rPr>
                <w:rStyle w:val="CharacterStyle12"/>
              </w:rPr>
              <w:t>0,00</w:t>
            </w:r>
          </w:p>
        </w:tc>
      </w:tr>
      <w:tr w:rsidR="007D706A" w14:paraId="1B6FC9E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9F074FE" w14:textId="77777777" w:rsidR="007D706A" w:rsidRDefault="007D706A" w:rsidP="00F70508">
            <w:pPr>
              <w:pStyle w:val="ParagraphStyle7"/>
              <w:rPr>
                <w:rStyle w:val="CharacterStyle7"/>
              </w:rPr>
            </w:pPr>
            <w:r>
              <w:rPr>
                <w:rStyle w:val="CharacterStyle7"/>
              </w:rPr>
              <w:t>Izvor financiranja 82</w:t>
            </w:r>
          </w:p>
        </w:tc>
        <w:tc>
          <w:tcPr>
            <w:tcW w:w="4995" w:type="dxa"/>
            <w:tcBorders>
              <w:bottom w:val="single" w:sz="6" w:space="0" w:color="000000"/>
              <w:right w:val="single" w:sz="6" w:space="0" w:color="000000"/>
            </w:tcBorders>
            <w:vAlign w:val="center"/>
          </w:tcPr>
          <w:p w14:paraId="28C51648" w14:textId="77777777" w:rsidR="007D706A" w:rsidRDefault="007D706A" w:rsidP="00F70508">
            <w:pPr>
              <w:pStyle w:val="ParagraphStyle8"/>
              <w:rPr>
                <w:rStyle w:val="CharacterStyle8"/>
              </w:rPr>
            </w:pPr>
            <w:r>
              <w:rPr>
                <w:rStyle w:val="CharacterStyle8"/>
              </w:rPr>
              <w:t>Preneseni viškovi iz ranijih godina</w:t>
            </w:r>
          </w:p>
        </w:tc>
        <w:tc>
          <w:tcPr>
            <w:tcW w:w="1395" w:type="dxa"/>
            <w:tcBorders>
              <w:bottom w:val="single" w:sz="6" w:space="0" w:color="000000"/>
              <w:right w:val="single" w:sz="6" w:space="0" w:color="000000"/>
            </w:tcBorders>
            <w:vAlign w:val="center"/>
          </w:tcPr>
          <w:p w14:paraId="2BF4921D"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09620B9" w14:textId="77777777" w:rsidR="007D706A" w:rsidRDefault="007D706A" w:rsidP="00F70508">
            <w:pPr>
              <w:pStyle w:val="ParagraphStyle9"/>
              <w:rPr>
                <w:rStyle w:val="CharacterStyle9"/>
              </w:rPr>
            </w:pPr>
            <w:r>
              <w:rPr>
                <w:rStyle w:val="CharacterStyle9"/>
              </w:rPr>
              <w:t>2.413,16</w:t>
            </w:r>
          </w:p>
        </w:tc>
        <w:tc>
          <w:tcPr>
            <w:tcW w:w="1395" w:type="dxa"/>
            <w:tcBorders>
              <w:bottom w:val="single" w:sz="6" w:space="0" w:color="000000"/>
              <w:right w:val="single" w:sz="6" w:space="0" w:color="000000"/>
            </w:tcBorders>
            <w:vAlign w:val="center"/>
          </w:tcPr>
          <w:p w14:paraId="7A725044"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E7E3299"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A67CEA8" w14:textId="77777777" w:rsidR="007D706A" w:rsidRDefault="007D706A" w:rsidP="00F70508">
            <w:pPr>
              <w:pStyle w:val="ParagraphStyle9"/>
              <w:rPr>
                <w:rStyle w:val="CharacterStyle9"/>
              </w:rPr>
            </w:pPr>
            <w:r>
              <w:rPr>
                <w:rStyle w:val="CharacterStyle9"/>
              </w:rPr>
              <w:t>0,00</w:t>
            </w:r>
          </w:p>
        </w:tc>
      </w:tr>
      <w:tr w:rsidR="007D706A" w14:paraId="0D1AD6E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AA1E968"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2083F4A1"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014C80A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EF08166" w14:textId="77777777" w:rsidR="007D706A" w:rsidRDefault="007D706A" w:rsidP="00F70508">
            <w:pPr>
              <w:pStyle w:val="ParagraphStyle12"/>
              <w:rPr>
                <w:rStyle w:val="CharacterStyle12"/>
              </w:rPr>
            </w:pPr>
            <w:r>
              <w:rPr>
                <w:rStyle w:val="CharacterStyle12"/>
              </w:rPr>
              <w:t>2.413,16</w:t>
            </w:r>
          </w:p>
        </w:tc>
        <w:tc>
          <w:tcPr>
            <w:tcW w:w="1395" w:type="dxa"/>
            <w:tcBorders>
              <w:bottom w:val="single" w:sz="6" w:space="0" w:color="000000"/>
              <w:right w:val="single" w:sz="6" w:space="0" w:color="000000"/>
            </w:tcBorders>
            <w:vAlign w:val="center"/>
          </w:tcPr>
          <w:p w14:paraId="1BA1142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D8DEE9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905C31C" w14:textId="77777777" w:rsidR="007D706A" w:rsidRDefault="007D706A" w:rsidP="00F70508">
            <w:pPr>
              <w:pStyle w:val="ParagraphStyle12"/>
              <w:rPr>
                <w:rStyle w:val="CharacterStyle12"/>
              </w:rPr>
            </w:pPr>
            <w:r>
              <w:rPr>
                <w:rStyle w:val="CharacterStyle12"/>
              </w:rPr>
              <w:t>0,00</w:t>
            </w:r>
          </w:p>
        </w:tc>
      </w:tr>
      <w:tr w:rsidR="007D706A" w14:paraId="39C285E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9B210B6"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1F37FEF2"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423C41D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CB58F5F" w14:textId="77777777" w:rsidR="007D706A" w:rsidRDefault="007D706A" w:rsidP="00F70508">
            <w:pPr>
              <w:pStyle w:val="ParagraphStyle12"/>
              <w:rPr>
                <w:rStyle w:val="CharacterStyle12"/>
              </w:rPr>
            </w:pPr>
            <w:r>
              <w:rPr>
                <w:rStyle w:val="CharacterStyle12"/>
              </w:rPr>
              <w:t>2.413,16</w:t>
            </w:r>
          </w:p>
        </w:tc>
        <w:tc>
          <w:tcPr>
            <w:tcW w:w="1395" w:type="dxa"/>
            <w:tcBorders>
              <w:bottom w:val="single" w:sz="6" w:space="0" w:color="000000"/>
              <w:right w:val="single" w:sz="6" w:space="0" w:color="000000"/>
            </w:tcBorders>
            <w:vAlign w:val="center"/>
          </w:tcPr>
          <w:p w14:paraId="7C49FBE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D530A8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5C74C2F" w14:textId="77777777" w:rsidR="007D706A" w:rsidRDefault="007D706A" w:rsidP="00F70508">
            <w:pPr>
              <w:pStyle w:val="ParagraphStyle12"/>
              <w:rPr>
                <w:rStyle w:val="CharacterStyle12"/>
              </w:rPr>
            </w:pPr>
            <w:r>
              <w:rPr>
                <w:rStyle w:val="CharacterStyle12"/>
              </w:rPr>
              <w:t>0,00</w:t>
            </w:r>
          </w:p>
        </w:tc>
      </w:tr>
      <w:tr w:rsidR="007D706A" w14:paraId="4DE2B55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698FA03" w14:textId="77777777" w:rsidR="007D706A" w:rsidRDefault="007D706A" w:rsidP="00F70508">
            <w:pPr>
              <w:pStyle w:val="ParagraphStyle4"/>
              <w:rPr>
                <w:rStyle w:val="CharacterStyle4"/>
              </w:rPr>
            </w:pPr>
            <w:r>
              <w:rPr>
                <w:rStyle w:val="CharacterStyle4"/>
              </w:rPr>
              <w:t>GLAVA    00704</w:t>
            </w:r>
          </w:p>
        </w:tc>
        <w:tc>
          <w:tcPr>
            <w:tcW w:w="4995" w:type="dxa"/>
            <w:tcBorders>
              <w:bottom w:val="single" w:sz="6" w:space="0" w:color="000000"/>
              <w:right w:val="single" w:sz="6" w:space="0" w:color="000000"/>
            </w:tcBorders>
            <w:vAlign w:val="center"/>
          </w:tcPr>
          <w:p w14:paraId="65BC3D46" w14:textId="77777777" w:rsidR="007D706A" w:rsidRDefault="007D706A" w:rsidP="00F70508">
            <w:pPr>
              <w:pStyle w:val="ParagraphStyle5"/>
              <w:rPr>
                <w:rStyle w:val="CharacterStyle5"/>
              </w:rPr>
            </w:pPr>
            <w:r>
              <w:rPr>
                <w:rStyle w:val="CharacterStyle5"/>
              </w:rPr>
              <w:t>USTANOVE U KULTURI</w:t>
            </w:r>
          </w:p>
        </w:tc>
        <w:tc>
          <w:tcPr>
            <w:tcW w:w="1395" w:type="dxa"/>
            <w:tcBorders>
              <w:bottom w:val="single" w:sz="6" w:space="0" w:color="000000"/>
              <w:right w:val="single" w:sz="6" w:space="0" w:color="000000"/>
            </w:tcBorders>
            <w:vAlign w:val="center"/>
          </w:tcPr>
          <w:p w14:paraId="01878DC3"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48561176" w14:textId="77777777" w:rsidR="007D706A" w:rsidRDefault="007D706A" w:rsidP="00F70508">
            <w:pPr>
              <w:pStyle w:val="ParagraphStyle6"/>
              <w:rPr>
                <w:rStyle w:val="CharacterStyle6"/>
              </w:rPr>
            </w:pPr>
            <w:r>
              <w:rPr>
                <w:rStyle w:val="CharacterStyle6"/>
              </w:rPr>
              <w:t>2.359.325,00</w:t>
            </w:r>
          </w:p>
        </w:tc>
        <w:tc>
          <w:tcPr>
            <w:tcW w:w="1395" w:type="dxa"/>
            <w:tcBorders>
              <w:bottom w:val="single" w:sz="6" w:space="0" w:color="000000"/>
              <w:right w:val="single" w:sz="6" w:space="0" w:color="000000"/>
            </w:tcBorders>
            <w:vAlign w:val="center"/>
          </w:tcPr>
          <w:p w14:paraId="28E8A85F" w14:textId="77777777" w:rsidR="007D706A" w:rsidRDefault="007D706A" w:rsidP="00F70508">
            <w:pPr>
              <w:pStyle w:val="ParagraphStyle6"/>
              <w:rPr>
                <w:rStyle w:val="CharacterStyle6"/>
              </w:rPr>
            </w:pPr>
            <w:r>
              <w:rPr>
                <w:rStyle w:val="CharacterStyle6"/>
              </w:rPr>
              <w:t>2.421.906,00</w:t>
            </w:r>
          </w:p>
        </w:tc>
        <w:tc>
          <w:tcPr>
            <w:tcW w:w="1395" w:type="dxa"/>
            <w:tcBorders>
              <w:bottom w:val="single" w:sz="6" w:space="0" w:color="000000"/>
              <w:right w:val="single" w:sz="6" w:space="0" w:color="000000"/>
            </w:tcBorders>
            <w:vAlign w:val="center"/>
          </w:tcPr>
          <w:p w14:paraId="009014EA" w14:textId="77777777" w:rsidR="007D706A" w:rsidRDefault="007D706A" w:rsidP="00F70508">
            <w:pPr>
              <w:pStyle w:val="ParagraphStyle6"/>
              <w:rPr>
                <w:rStyle w:val="CharacterStyle6"/>
              </w:rPr>
            </w:pPr>
            <w:r>
              <w:rPr>
                <w:rStyle w:val="CharacterStyle6"/>
              </w:rPr>
              <w:t>2.427.991,00</w:t>
            </w:r>
          </w:p>
        </w:tc>
        <w:tc>
          <w:tcPr>
            <w:tcW w:w="1395" w:type="dxa"/>
            <w:tcBorders>
              <w:bottom w:val="single" w:sz="6" w:space="0" w:color="000000"/>
              <w:right w:val="single" w:sz="6" w:space="0" w:color="000000"/>
            </w:tcBorders>
            <w:vAlign w:val="center"/>
          </w:tcPr>
          <w:p w14:paraId="327F04AA" w14:textId="77777777" w:rsidR="007D706A" w:rsidRDefault="007D706A" w:rsidP="00F70508">
            <w:pPr>
              <w:pStyle w:val="ParagraphStyle6"/>
              <w:rPr>
                <w:rStyle w:val="CharacterStyle6"/>
              </w:rPr>
            </w:pPr>
            <w:r>
              <w:rPr>
                <w:rStyle w:val="CharacterStyle6"/>
              </w:rPr>
              <w:t>2.470.596,00</w:t>
            </w:r>
          </w:p>
        </w:tc>
      </w:tr>
      <w:tr w:rsidR="007D706A" w14:paraId="79152C9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D52B550" w14:textId="77777777" w:rsidR="007D706A" w:rsidRDefault="007D706A" w:rsidP="00F70508">
            <w:pPr>
              <w:pStyle w:val="ParagraphStyle4"/>
              <w:rPr>
                <w:rStyle w:val="CharacterStyle4"/>
              </w:rPr>
            </w:pPr>
            <w:r>
              <w:rPr>
                <w:rStyle w:val="CharacterStyle4"/>
              </w:rPr>
              <w:t>Izvor financiranja 11</w:t>
            </w:r>
          </w:p>
        </w:tc>
        <w:tc>
          <w:tcPr>
            <w:tcW w:w="4995" w:type="dxa"/>
            <w:tcBorders>
              <w:bottom w:val="single" w:sz="6" w:space="0" w:color="000000"/>
              <w:right w:val="single" w:sz="6" w:space="0" w:color="000000"/>
            </w:tcBorders>
            <w:vAlign w:val="center"/>
          </w:tcPr>
          <w:p w14:paraId="390287CB" w14:textId="77777777" w:rsidR="007D706A" w:rsidRDefault="007D706A" w:rsidP="00F70508">
            <w:pPr>
              <w:pStyle w:val="ParagraphStyle5"/>
              <w:rPr>
                <w:rStyle w:val="CharacterStyle5"/>
              </w:rPr>
            </w:pPr>
            <w:r>
              <w:rPr>
                <w:rStyle w:val="CharacterStyle5"/>
              </w:rPr>
              <w:t>Opći prihodi i primici</w:t>
            </w:r>
          </w:p>
        </w:tc>
        <w:tc>
          <w:tcPr>
            <w:tcW w:w="1395" w:type="dxa"/>
            <w:tcBorders>
              <w:bottom w:val="single" w:sz="6" w:space="0" w:color="000000"/>
              <w:right w:val="single" w:sz="6" w:space="0" w:color="000000"/>
            </w:tcBorders>
            <w:vAlign w:val="center"/>
          </w:tcPr>
          <w:p w14:paraId="31204665"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3E396DC1" w14:textId="77777777" w:rsidR="007D706A" w:rsidRDefault="007D706A" w:rsidP="00F70508">
            <w:pPr>
              <w:pStyle w:val="ParagraphStyle6"/>
              <w:rPr>
                <w:rStyle w:val="CharacterStyle6"/>
              </w:rPr>
            </w:pPr>
            <w:r>
              <w:rPr>
                <w:rStyle w:val="CharacterStyle6"/>
              </w:rPr>
              <w:t>1.706.247,86</w:t>
            </w:r>
          </w:p>
        </w:tc>
        <w:tc>
          <w:tcPr>
            <w:tcW w:w="1395" w:type="dxa"/>
            <w:tcBorders>
              <w:bottom w:val="single" w:sz="6" w:space="0" w:color="000000"/>
              <w:right w:val="single" w:sz="6" w:space="0" w:color="000000"/>
            </w:tcBorders>
            <w:vAlign w:val="center"/>
          </w:tcPr>
          <w:p w14:paraId="3C344F85" w14:textId="77777777" w:rsidR="007D706A" w:rsidRDefault="007D706A" w:rsidP="00F70508">
            <w:pPr>
              <w:pStyle w:val="ParagraphStyle6"/>
              <w:rPr>
                <w:rStyle w:val="CharacterStyle6"/>
              </w:rPr>
            </w:pPr>
            <w:r>
              <w:rPr>
                <w:rStyle w:val="CharacterStyle6"/>
              </w:rPr>
              <w:t>1.759.361,00</w:t>
            </w:r>
          </w:p>
        </w:tc>
        <w:tc>
          <w:tcPr>
            <w:tcW w:w="1395" w:type="dxa"/>
            <w:tcBorders>
              <w:bottom w:val="single" w:sz="6" w:space="0" w:color="000000"/>
              <w:right w:val="single" w:sz="6" w:space="0" w:color="000000"/>
            </w:tcBorders>
            <w:vAlign w:val="center"/>
          </w:tcPr>
          <w:p w14:paraId="3DDB62F4" w14:textId="77777777" w:rsidR="007D706A" w:rsidRDefault="007D706A" w:rsidP="00F70508">
            <w:pPr>
              <w:pStyle w:val="ParagraphStyle6"/>
              <w:rPr>
                <w:rStyle w:val="CharacterStyle6"/>
              </w:rPr>
            </w:pPr>
            <w:r>
              <w:rPr>
                <w:rStyle w:val="CharacterStyle6"/>
              </w:rPr>
              <w:t>1.894.411,00</w:t>
            </w:r>
          </w:p>
        </w:tc>
        <w:tc>
          <w:tcPr>
            <w:tcW w:w="1395" w:type="dxa"/>
            <w:tcBorders>
              <w:bottom w:val="single" w:sz="6" w:space="0" w:color="000000"/>
              <w:right w:val="single" w:sz="6" w:space="0" w:color="000000"/>
            </w:tcBorders>
            <w:vAlign w:val="center"/>
          </w:tcPr>
          <w:p w14:paraId="247008FA" w14:textId="77777777" w:rsidR="007D706A" w:rsidRDefault="007D706A" w:rsidP="00F70508">
            <w:pPr>
              <w:pStyle w:val="ParagraphStyle6"/>
              <w:rPr>
                <w:rStyle w:val="CharacterStyle6"/>
              </w:rPr>
            </w:pPr>
            <w:r>
              <w:rPr>
                <w:rStyle w:val="CharacterStyle6"/>
              </w:rPr>
              <w:t>1.932.216,00</w:t>
            </w:r>
          </w:p>
        </w:tc>
      </w:tr>
      <w:tr w:rsidR="007D706A" w14:paraId="4E9E195C" w14:textId="77777777" w:rsidTr="00F70508">
        <w:trPr>
          <w:trHeight w:val="375"/>
        </w:trPr>
        <w:tc>
          <w:tcPr>
            <w:tcW w:w="2880" w:type="dxa"/>
            <w:tcBorders>
              <w:left w:val="single" w:sz="6" w:space="0" w:color="000000"/>
              <w:bottom w:val="single" w:sz="6" w:space="0" w:color="000000"/>
              <w:right w:val="single" w:sz="6" w:space="0" w:color="000000"/>
            </w:tcBorders>
            <w:vAlign w:val="center"/>
          </w:tcPr>
          <w:p w14:paraId="3C5CB1E3" w14:textId="77777777" w:rsidR="007D706A" w:rsidRDefault="007D706A" w:rsidP="00F70508">
            <w:pPr>
              <w:pStyle w:val="ParagraphStyle4"/>
              <w:rPr>
                <w:rStyle w:val="CharacterStyle4"/>
              </w:rPr>
            </w:pPr>
            <w:r>
              <w:rPr>
                <w:rStyle w:val="CharacterStyle4"/>
              </w:rPr>
              <w:t>Izvor financiranja 31</w:t>
            </w:r>
          </w:p>
        </w:tc>
        <w:tc>
          <w:tcPr>
            <w:tcW w:w="4995" w:type="dxa"/>
            <w:tcBorders>
              <w:bottom w:val="single" w:sz="6" w:space="0" w:color="000000"/>
              <w:right w:val="single" w:sz="6" w:space="0" w:color="000000"/>
            </w:tcBorders>
            <w:vAlign w:val="center"/>
          </w:tcPr>
          <w:p w14:paraId="4B21363E" w14:textId="77777777" w:rsidR="007D706A" w:rsidRDefault="007D706A" w:rsidP="00F70508">
            <w:pPr>
              <w:pStyle w:val="ParagraphStyle5"/>
              <w:rPr>
                <w:rStyle w:val="CharacterStyle5"/>
              </w:rPr>
            </w:pPr>
            <w:r>
              <w:rPr>
                <w:rStyle w:val="CharacterStyle5"/>
              </w:rPr>
              <w:t>Vlastiti prihodi</w:t>
            </w:r>
          </w:p>
        </w:tc>
        <w:tc>
          <w:tcPr>
            <w:tcW w:w="1395" w:type="dxa"/>
            <w:tcBorders>
              <w:bottom w:val="single" w:sz="6" w:space="0" w:color="000000"/>
              <w:right w:val="single" w:sz="6" w:space="0" w:color="000000"/>
            </w:tcBorders>
            <w:vAlign w:val="center"/>
          </w:tcPr>
          <w:p w14:paraId="542ACE20"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09328728" w14:textId="77777777" w:rsidR="007D706A" w:rsidRDefault="007D706A" w:rsidP="00F70508">
            <w:pPr>
              <w:pStyle w:val="ParagraphStyle6"/>
              <w:rPr>
                <w:rStyle w:val="CharacterStyle6"/>
              </w:rPr>
            </w:pPr>
            <w:r>
              <w:rPr>
                <w:rStyle w:val="CharacterStyle6"/>
              </w:rPr>
              <w:t>150.185,39</w:t>
            </w:r>
          </w:p>
        </w:tc>
        <w:tc>
          <w:tcPr>
            <w:tcW w:w="1395" w:type="dxa"/>
            <w:tcBorders>
              <w:bottom w:val="single" w:sz="6" w:space="0" w:color="000000"/>
              <w:right w:val="single" w:sz="6" w:space="0" w:color="000000"/>
            </w:tcBorders>
            <w:vAlign w:val="center"/>
          </w:tcPr>
          <w:p w14:paraId="7277C1BA" w14:textId="77777777" w:rsidR="007D706A" w:rsidRDefault="007D706A" w:rsidP="00F70508">
            <w:pPr>
              <w:pStyle w:val="ParagraphStyle6"/>
              <w:rPr>
                <w:rStyle w:val="CharacterStyle6"/>
              </w:rPr>
            </w:pPr>
            <w:r>
              <w:rPr>
                <w:rStyle w:val="CharacterStyle6"/>
              </w:rPr>
              <w:t>192.695,00</w:t>
            </w:r>
          </w:p>
        </w:tc>
        <w:tc>
          <w:tcPr>
            <w:tcW w:w="1395" w:type="dxa"/>
            <w:tcBorders>
              <w:bottom w:val="single" w:sz="6" w:space="0" w:color="000000"/>
              <w:right w:val="single" w:sz="6" w:space="0" w:color="000000"/>
            </w:tcBorders>
            <w:vAlign w:val="center"/>
          </w:tcPr>
          <w:p w14:paraId="774FDF3F" w14:textId="77777777" w:rsidR="007D706A" w:rsidRDefault="007D706A" w:rsidP="00F70508">
            <w:pPr>
              <w:pStyle w:val="ParagraphStyle6"/>
              <w:rPr>
                <w:rStyle w:val="CharacterStyle6"/>
              </w:rPr>
            </w:pPr>
            <w:r>
              <w:rPr>
                <w:rStyle w:val="CharacterStyle6"/>
              </w:rPr>
              <w:t>150.280,00</w:t>
            </w:r>
          </w:p>
        </w:tc>
        <w:tc>
          <w:tcPr>
            <w:tcW w:w="1395" w:type="dxa"/>
            <w:tcBorders>
              <w:bottom w:val="single" w:sz="6" w:space="0" w:color="000000"/>
              <w:right w:val="single" w:sz="6" w:space="0" w:color="000000"/>
            </w:tcBorders>
            <w:vAlign w:val="center"/>
          </w:tcPr>
          <w:p w14:paraId="4E347CA1" w14:textId="77777777" w:rsidR="007D706A" w:rsidRDefault="007D706A" w:rsidP="00F70508">
            <w:pPr>
              <w:pStyle w:val="ParagraphStyle6"/>
              <w:rPr>
                <w:rStyle w:val="CharacterStyle6"/>
              </w:rPr>
            </w:pPr>
            <w:r>
              <w:rPr>
                <w:rStyle w:val="CharacterStyle6"/>
              </w:rPr>
              <w:t>150.770,00</w:t>
            </w:r>
          </w:p>
        </w:tc>
      </w:tr>
      <w:tr w:rsidR="007D706A" w14:paraId="38BF8EE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23FB557" w14:textId="77777777" w:rsidR="007D706A" w:rsidRDefault="007D706A" w:rsidP="00F70508">
            <w:pPr>
              <w:pStyle w:val="ParagraphStyle4"/>
              <w:rPr>
                <w:rStyle w:val="CharacterStyle4"/>
              </w:rPr>
            </w:pPr>
            <w:r>
              <w:rPr>
                <w:rStyle w:val="CharacterStyle4"/>
              </w:rPr>
              <w:t>Izvor financiranja 41</w:t>
            </w:r>
          </w:p>
        </w:tc>
        <w:tc>
          <w:tcPr>
            <w:tcW w:w="4995" w:type="dxa"/>
            <w:tcBorders>
              <w:bottom w:val="single" w:sz="6" w:space="0" w:color="000000"/>
              <w:right w:val="single" w:sz="6" w:space="0" w:color="000000"/>
            </w:tcBorders>
            <w:vAlign w:val="center"/>
          </w:tcPr>
          <w:p w14:paraId="011C990F" w14:textId="77777777" w:rsidR="007D706A" w:rsidRDefault="007D706A" w:rsidP="00F70508">
            <w:pPr>
              <w:pStyle w:val="ParagraphStyle5"/>
              <w:rPr>
                <w:rStyle w:val="CharacterStyle5"/>
              </w:rPr>
            </w:pPr>
            <w:r>
              <w:rPr>
                <w:rStyle w:val="CharacterStyle5"/>
              </w:rPr>
              <w:t>Prihodi za posebne namjene</w:t>
            </w:r>
          </w:p>
        </w:tc>
        <w:tc>
          <w:tcPr>
            <w:tcW w:w="1395" w:type="dxa"/>
            <w:tcBorders>
              <w:bottom w:val="single" w:sz="6" w:space="0" w:color="000000"/>
              <w:right w:val="single" w:sz="6" w:space="0" w:color="000000"/>
            </w:tcBorders>
            <w:vAlign w:val="center"/>
          </w:tcPr>
          <w:p w14:paraId="41288EBE"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4BF8F500" w14:textId="77777777" w:rsidR="007D706A" w:rsidRDefault="007D706A" w:rsidP="00F70508">
            <w:pPr>
              <w:pStyle w:val="ParagraphStyle6"/>
              <w:rPr>
                <w:rStyle w:val="CharacterStyle6"/>
              </w:rPr>
            </w:pPr>
            <w:r>
              <w:rPr>
                <w:rStyle w:val="CharacterStyle6"/>
              </w:rPr>
              <w:t>159.637,86</w:t>
            </w:r>
          </w:p>
        </w:tc>
        <w:tc>
          <w:tcPr>
            <w:tcW w:w="1395" w:type="dxa"/>
            <w:tcBorders>
              <w:bottom w:val="single" w:sz="6" w:space="0" w:color="000000"/>
              <w:right w:val="single" w:sz="6" w:space="0" w:color="000000"/>
            </w:tcBorders>
            <w:vAlign w:val="center"/>
          </w:tcPr>
          <w:p w14:paraId="28DBEE79"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185859E6"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107D7A0A" w14:textId="77777777" w:rsidR="007D706A" w:rsidRDefault="007D706A" w:rsidP="00F70508">
            <w:pPr>
              <w:pStyle w:val="ParagraphStyle6"/>
              <w:rPr>
                <w:rStyle w:val="CharacterStyle6"/>
              </w:rPr>
            </w:pPr>
            <w:r>
              <w:rPr>
                <w:rStyle w:val="CharacterStyle6"/>
              </w:rPr>
              <w:t>0,00</w:t>
            </w:r>
          </w:p>
        </w:tc>
      </w:tr>
      <w:tr w:rsidR="007D706A" w14:paraId="5912B28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7DAE3E7" w14:textId="77777777" w:rsidR="007D706A" w:rsidRDefault="007D706A" w:rsidP="00F70508">
            <w:pPr>
              <w:pStyle w:val="ParagraphStyle4"/>
              <w:rPr>
                <w:rStyle w:val="CharacterStyle4"/>
              </w:rPr>
            </w:pPr>
            <w:r>
              <w:rPr>
                <w:rStyle w:val="CharacterStyle4"/>
              </w:rPr>
              <w:t>Izvor financiranja 43</w:t>
            </w:r>
          </w:p>
        </w:tc>
        <w:tc>
          <w:tcPr>
            <w:tcW w:w="4995" w:type="dxa"/>
            <w:tcBorders>
              <w:bottom w:val="single" w:sz="6" w:space="0" w:color="000000"/>
              <w:right w:val="single" w:sz="6" w:space="0" w:color="000000"/>
            </w:tcBorders>
            <w:vAlign w:val="center"/>
          </w:tcPr>
          <w:p w14:paraId="1365EB8A" w14:textId="77777777" w:rsidR="007D706A" w:rsidRDefault="007D706A" w:rsidP="00F70508">
            <w:pPr>
              <w:pStyle w:val="ParagraphStyle5"/>
              <w:rPr>
                <w:rStyle w:val="CharacterStyle5"/>
              </w:rPr>
            </w:pPr>
            <w:r>
              <w:rPr>
                <w:rStyle w:val="CharacterStyle5"/>
              </w:rPr>
              <w:t>Ostali prihodi za posebne namjene</w:t>
            </w:r>
          </w:p>
        </w:tc>
        <w:tc>
          <w:tcPr>
            <w:tcW w:w="1395" w:type="dxa"/>
            <w:tcBorders>
              <w:bottom w:val="single" w:sz="6" w:space="0" w:color="000000"/>
              <w:right w:val="single" w:sz="6" w:space="0" w:color="000000"/>
            </w:tcBorders>
            <w:vAlign w:val="center"/>
          </w:tcPr>
          <w:p w14:paraId="4809BFB6"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390C73E5"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2DC6FCAC" w14:textId="77777777" w:rsidR="007D706A" w:rsidRDefault="007D706A" w:rsidP="00F70508">
            <w:pPr>
              <w:pStyle w:val="ParagraphStyle6"/>
              <w:rPr>
                <w:rStyle w:val="CharacterStyle6"/>
              </w:rPr>
            </w:pPr>
            <w:r>
              <w:rPr>
                <w:rStyle w:val="CharacterStyle6"/>
              </w:rPr>
              <w:t>232.150,00</w:t>
            </w:r>
          </w:p>
        </w:tc>
        <w:tc>
          <w:tcPr>
            <w:tcW w:w="1395" w:type="dxa"/>
            <w:tcBorders>
              <w:bottom w:val="single" w:sz="6" w:space="0" w:color="000000"/>
              <w:right w:val="single" w:sz="6" w:space="0" w:color="000000"/>
            </w:tcBorders>
            <w:vAlign w:val="center"/>
          </w:tcPr>
          <w:p w14:paraId="45D81C37" w14:textId="77777777" w:rsidR="007D706A" w:rsidRDefault="007D706A" w:rsidP="00F70508">
            <w:pPr>
              <w:pStyle w:val="ParagraphStyle6"/>
              <w:rPr>
                <w:rStyle w:val="CharacterStyle6"/>
              </w:rPr>
            </w:pPr>
            <w:r>
              <w:rPr>
                <w:rStyle w:val="CharacterStyle6"/>
              </w:rPr>
              <w:t>152.600,00</w:t>
            </w:r>
          </w:p>
        </w:tc>
        <w:tc>
          <w:tcPr>
            <w:tcW w:w="1395" w:type="dxa"/>
            <w:tcBorders>
              <w:bottom w:val="single" w:sz="6" w:space="0" w:color="000000"/>
              <w:right w:val="single" w:sz="6" w:space="0" w:color="000000"/>
            </w:tcBorders>
            <w:vAlign w:val="center"/>
          </w:tcPr>
          <w:p w14:paraId="0EBF39A2" w14:textId="77777777" w:rsidR="007D706A" w:rsidRDefault="007D706A" w:rsidP="00F70508">
            <w:pPr>
              <w:pStyle w:val="ParagraphStyle6"/>
              <w:rPr>
                <w:rStyle w:val="CharacterStyle6"/>
              </w:rPr>
            </w:pPr>
            <w:r>
              <w:rPr>
                <w:rStyle w:val="CharacterStyle6"/>
              </w:rPr>
              <w:t>153.910,00</w:t>
            </w:r>
          </w:p>
        </w:tc>
      </w:tr>
      <w:tr w:rsidR="007D706A" w14:paraId="5CCEEB7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D5895A0" w14:textId="77777777" w:rsidR="007D706A" w:rsidRDefault="007D706A" w:rsidP="00F70508">
            <w:pPr>
              <w:pStyle w:val="ParagraphStyle4"/>
              <w:rPr>
                <w:rStyle w:val="CharacterStyle4"/>
              </w:rPr>
            </w:pPr>
            <w:r>
              <w:rPr>
                <w:rStyle w:val="CharacterStyle4"/>
              </w:rPr>
              <w:t>Izvor financiranja 5</w:t>
            </w:r>
          </w:p>
        </w:tc>
        <w:tc>
          <w:tcPr>
            <w:tcW w:w="4995" w:type="dxa"/>
            <w:tcBorders>
              <w:bottom w:val="single" w:sz="6" w:space="0" w:color="000000"/>
              <w:right w:val="single" w:sz="6" w:space="0" w:color="000000"/>
            </w:tcBorders>
            <w:vAlign w:val="center"/>
          </w:tcPr>
          <w:p w14:paraId="0A710321" w14:textId="77777777" w:rsidR="007D706A" w:rsidRDefault="007D706A" w:rsidP="00F70508">
            <w:pPr>
              <w:pStyle w:val="ParagraphStyle5"/>
              <w:rPr>
                <w:rStyle w:val="CharacterStyle5"/>
              </w:rPr>
            </w:pPr>
            <w:r>
              <w:rPr>
                <w:rStyle w:val="CharacterStyle5"/>
              </w:rPr>
              <w:t>POMOĆI</w:t>
            </w:r>
          </w:p>
        </w:tc>
        <w:tc>
          <w:tcPr>
            <w:tcW w:w="1395" w:type="dxa"/>
            <w:tcBorders>
              <w:bottom w:val="single" w:sz="6" w:space="0" w:color="000000"/>
              <w:right w:val="single" w:sz="6" w:space="0" w:color="000000"/>
            </w:tcBorders>
            <w:vAlign w:val="center"/>
          </w:tcPr>
          <w:p w14:paraId="2C91C0F6"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6EA46B24"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34AF32C0" w14:textId="77777777" w:rsidR="007D706A" w:rsidRDefault="007D706A" w:rsidP="00F70508">
            <w:pPr>
              <w:pStyle w:val="ParagraphStyle6"/>
              <w:rPr>
                <w:rStyle w:val="CharacterStyle6"/>
              </w:rPr>
            </w:pPr>
            <w:r>
              <w:rPr>
                <w:rStyle w:val="CharacterStyle6"/>
              </w:rPr>
              <w:t>16.700,00</w:t>
            </w:r>
          </w:p>
        </w:tc>
        <w:tc>
          <w:tcPr>
            <w:tcW w:w="1395" w:type="dxa"/>
            <w:tcBorders>
              <w:bottom w:val="single" w:sz="6" w:space="0" w:color="000000"/>
              <w:right w:val="single" w:sz="6" w:space="0" w:color="000000"/>
            </w:tcBorders>
            <w:vAlign w:val="center"/>
          </w:tcPr>
          <w:p w14:paraId="403AAE2A" w14:textId="77777777" w:rsidR="007D706A" w:rsidRDefault="007D706A" w:rsidP="00F70508">
            <w:pPr>
              <w:pStyle w:val="ParagraphStyle6"/>
              <w:rPr>
                <w:rStyle w:val="CharacterStyle6"/>
              </w:rPr>
            </w:pPr>
            <w:r>
              <w:rPr>
                <w:rStyle w:val="CharacterStyle6"/>
              </w:rPr>
              <w:t>12.500,00</w:t>
            </w:r>
          </w:p>
        </w:tc>
        <w:tc>
          <w:tcPr>
            <w:tcW w:w="1395" w:type="dxa"/>
            <w:tcBorders>
              <w:bottom w:val="single" w:sz="6" w:space="0" w:color="000000"/>
              <w:right w:val="single" w:sz="6" w:space="0" w:color="000000"/>
            </w:tcBorders>
            <w:vAlign w:val="center"/>
          </w:tcPr>
          <w:p w14:paraId="263866DD" w14:textId="77777777" w:rsidR="007D706A" w:rsidRDefault="007D706A" w:rsidP="00F70508">
            <w:pPr>
              <w:pStyle w:val="ParagraphStyle6"/>
              <w:rPr>
                <w:rStyle w:val="CharacterStyle6"/>
              </w:rPr>
            </w:pPr>
            <w:r>
              <w:rPr>
                <w:rStyle w:val="CharacterStyle6"/>
              </w:rPr>
              <w:t>12.500,00</w:t>
            </w:r>
          </w:p>
        </w:tc>
      </w:tr>
      <w:tr w:rsidR="007D706A" w14:paraId="195BEE7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92B7957" w14:textId="77777777" w:rsidR="007D706A" w:rsidRDefault="007D706A" w:rsidP="00F70508">
            <w:pPr>
              <w:pStyle w:val="ParagraphStyle4"/>
              <w:rPr>
                <w:rStyle w:val="CharacterStyle4"/>
              </w:rPr>
            </w:pPr>
            <w:r>
              <w:rPr>
                <w:rStyle w:val="CharacterStyle4"/>
              </w:rPr>
              <w:t>Izvor financiranja 50</w:t>
            </w:r>
          </w:p>
        </w:tc>
        <w:tc>
          <w:tcPr>
            <w:tcW w:w="4995" w:type="dxa"/>
            <w:tcBorders>
              <w:bottom w:val="single" w:sz="6" w:space="0" w:color="000000"/>
              <w:right w:val="single" w:sz="6" w:space="0" w:color="000000"/>
            </w:tcBorders>
            <w:vAlign w:val="center"/>
          </w:tcPr>
          <w:p w14:paraId="63DABAEC" w14:textId="77777777" w:rsidR="007D706A" w:rsidRDefault="007D706A" w:rsidP="00F70508">
            <w:pPr>
              <w:pStyle w:val="ParagraphStyle5"/>
              <w:rPr>
                <w:rStyle w:val="CharacterStyle5"/>
              </w:rPr>
            </w:pPr>
            <w:r>
              <w:rPr>
                <w:rStyle w:val="CharacterStyle5"/>
              </w:rPr>
              <w:t>Pomoći iz državnog proračuna</w:t>
            </w:r>
          </w:p>
        </w:tc>
        <w:tc>
          <w:tcPr>
            <w:tcW w:w="1395" w:type="dxa"/>
            <w:tcBorders>
              <w:bottom w:val="single" w:sz="6" w:space="0" w:color="000000"/>
              <w:right w:val="single" w:sz="6" w:space="0" w:color="000000"/>
            </w:tcBorders>
            <w:vAlign w:val="center"/>
          </w:tcPr>
          <w:p w14:paraId="5941D20A"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4D23AF76"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6D0F15EF" w14:textId="77777777" w:rsidR="007D706A" w:rsidRDefault="007D706A" w:rsidP="00F70508">
            <w:pPr>
              <w:pStyle w:val="ParagraphStyle6"/>
              <w:rPr>
                <w:rStyle w:val="CharacterStyle6"/>
              </w:rPr>
            </w:pPr>
            <w:r>
              <w:rPr>
                <w:rStyle w:val="CharacterStyle6"/>
              </w:rPr>
              <w:t>172.100,00</w:t>
            </w:r>
          </w:p>
        </w:tc>
        <w:tc>
          <w:tcPr>
            <w:tcW w:w="1395" w:type="dxa"/>
            <w:tcBorders>
              <w:bottom w:val="single" w:sz="6" w:space="0" w:color="000000"/>
              <w:right w:val="single" w:sz="6" w:space="0" w:color="000000"/>
            </w:tcBorders>
            <w:vAlign w:val="center"/>
          </w:tcPr>
          <w:p w14:paraId="76C96A61" w14:textId="77777777" w:rsidR="007D706A" w:rsidRDefault="007D706A" w:rsidP="00F70508">
            <w:pPr>
              <w:pStyle w:val="ParagraphStyle6"/>
              <w:rPr>
                <w:rStyle w:val="CharacterStyle6"/>
              </w:rPr>
            </w:pPr>
            <w:r>
              <w:rPr>
                <w:rStyle w:val="CharacterStyle6"/>
              </w:rPr>
              <w:t>170.600,00</w:t>
            </w:r>
          </w:p>
        </w:tc>
        <w:tc>
          <w:tcPr>
            <w:tcW w:w="1395" w:type="dxa"/>
            <w:tcBorders>
              <w:bottom w:val="single" w:sz="6" w:space="0" w:color="000000"/>
              <w:right w:val="single" w:sz="6" w:space="0" w:color="000000"/>
            </w:tcBorders>
            <w:vAlign w:val="center"/>
          </w:tcPr>
          <w:p w14:paraId="2803157C" w14:textId="77777777" w:rsidR="007D706A" w:rsidRDefault="007D706A" w:rsidP="00F70508">
            <w:pPr>
              <w:pStyle w:val="ParagraphStyle6"/>
              <w:rPr>
                <w:rStyle w:val="CharacterStyle6"/>
              </w:rPr>
            </w:pPr>
            <w:r>
              <w:rPr>
                <w:rStyle w:val="CharacterStyle6"/>
              </w:rPr>
              <w:t>172.600,00</w:t>
            </w:r>
          </w:p>
        </w:tc>
      </w:tr>
      <w:tr w:rsidR="007D706A" w14:paraId="67D1334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6D842D0" w14:textId="77777777" w:rsidR="007D706A" w:rsidRDefault="007D706A" w:rsidP="00F70508">
            <w:pPr>
              <w:pStyle w:val="ParagraphStyle4"/>
              <w:rPr>
                <w:rStyle w:val="CharacterStyle4"/>
              </w:rPr>
            </w:pPr>
            <w:r>
              <w:rPr>
                <w:rStyle w:val="CharacterStyle4"/>
              </w:rPr>
              <w:t>Izvor financiranja 53</w:t>
            </w:r>
          </w:p>
        </w:tc>
        <w:tc>
          <w:tcPr>
            <w:tcW w:w="4995" w:type="dxa"/>
            <w:tcBorders>
              <w:bottom w:val="single" w:sz="6" w:space="0" w:color="000000"/>
              <w:right w:val="single" w:sz="6" w:space="0" w:color="000000"/>
            </w:tcBorders>
            <w:vAlign w:val="center"/>
          </w:tcPr>
          <w:p w14:paraId="618821DE" w14:textId="77777777" w:rsidR="007D706A" w:rsidRDefault="007D706A" w:rsidP="00F70508">
            <w:pPr>
              <w:pStyle w:val="ParagraphStyle5"/>
              <w:rPr>
                <w:rStyle w:val="CharacterStyle5"/>
              </w:rPr>
            </w:pPr>
            <w:r>
              <w:rPr>
                <w:rStyle w:val="CharacterStyle5"/>
              </w:rPr>
              <w:t>Proračuni, drugi nivoi - za posebne i / ili ugovorene namjene</w:t>
            </w:r>
          </w:p>
        </w:tc>
        <w:tc>
          <w:tcPr>
            <w:tcW w:w="1395" w:type="dxa"/>
            <w:tcBorders>
              <w:bottom w:val="single" w:sz="6" w:space="0" w:color="000000"/>
              <w:right w:val="single" w:sz="6" w:space="0" w:color="000000"/>
            </w:tcBorders>
            <w:vAlign w:val="center"/>
          </w:tcPr>
          <w:p w14:paraId="3E8828AD"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088D4553" w14:textId="77777777" w:rsidR="007D706A" w:rsidRDefault="007D706A" w:rsidP="00F70508">
            <w:pPr>
              <w:pStyle w:val="ParagraphStyle6"/>
              <w:rPr>
                <w:rStyle w:val="CharacterStyle6"/>
              </w:rPr>
            </w:pPr>
            <w:r>
              <w:rPr>
                <w:rStyle w:val="CharacterStyle6"/>
              </w:rPr>
              <w:t>151.200,00</w:t>
            </w:r>
          </w:p>
        </w:tc>
        <w:tc>
          <w:tcPr>
            <w:tcW w:w="1395" w:type="dxa"/>
            <w:tcBorders>
              <w:bottom w:val="single" w:sz="6" w:space="0" w:color="000000"/>
              <w:right w:val="single" w:sz="6" w:space="0" w:color="000000"/>
            </w:tcBorders>
            <w:vAlign w:val="center"/>
          </w:tcPr>
          <w:p w14:paraId="2EA937C7"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2CCD90BB"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65361BB1" w14:textId="77777777" w:rsidR="007D706A" w:rsidRDefault="007D706A" w:rsidP="00F70508">
            <w:pPr>
              <w:pStyle w:val="ParagraphStyle6"/>
              <w:rPr>
                <w:rStyle w:val="CharacterStyle6"/>
              </w:rPr>
            </w:pPr>
            <w:r>
              <w:rPr>
                <w:rStyle w:val="CharacterStyle6"/>
              </w:rPr>
              <w:t>0,00</w:t>
            </w:r>
          </w:p>
        </w:tc>
      </w:tr>
      <w:tr w:rsidR="007D706A" w14:paraId="33D928F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FA862A3" w14:textId="77777777" w:rsidR="007D706A" w:rsidRDefault="007D706A" w:rsidP="00F70508">
            <w:pPr>
              <w:pStyle w:val="ParagraphStyle4"/>
              <w:rPr>
                <w:rStyle w:val="CharacterStyle4"/>
              </w:rPr>
            </w:pPr>
            <w:r>
              <w:rPr>
                <w:rStyle w:val="CharacterStyle4"/>
              </w:rPr>
              <w:t>Izvor financiranja 54</w:t>
            </w:r>
          </w:p>
        </w:tc>
        <w:tc>
          <w:tcPr>
            <w:tcW w:w="4995" w:type="dxa"/>
            <w:tcBorders>
              <w:bottom w:val="single" w:sz="6" w:space="0" w:color="000000"/>
              <w:right w:val="single" w:sz="6" w:space="0" w:color="000000"/>
            </w:tcBorders>
            <w:vAlign w:val="center"/>
          </w:tcPr>
          <w:p w14:paraId="59DCE420" w14:textId="77777777" w:rsidR="007D706A" w:rsidRDefault="007D706A" w:rsidP="00F70508">
            <w:pPr>
              <w:pStyle w:val="ParagraphStyle5"/>
              <w:rPr>
                <w:rStyle w:val="CharacterStyle5"/>
              </w:rPr>
            </w:pPr>
            <w:r>
              <w:rPr>
                <w:rStyle w:val="CharacterStyle5"/>
              </w:rPr>
              <w:t>Pomoći tijela i fondova EU</w:t>
            </w:r>
          </w:p>
        </w:tc>
        <w:tc>
          <w:tcPr>
            <w:tcW w:w="1395" w:type="dxa"/>
            <w:tcBorders>
              <w:bottom w:val="single" w:sz="6" w:space="0" w:color="000000"/>
              <w:right w:val="single" w:sz="6" w:space="0" w:color="000000"/>
            </w:tcBorders>
            <w:vAlign w:val="center"/>
          </w:tcPr>
          <w:p w14:paraId="0A288276"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4F218C62" w14:textId="77777777" w:rsidR="007D706A" w:rsidRDefault="007D706A" w:rsidP="00F70508">
            <w:pPr>
              <w:pStyle w:val="ParagraphStyle6"/>
              <w:rPr>
                <w:rStyle w:val="CharacterStyle6"/>
              </w:rPr>
            </w:pPr>
            <w:r>
              <w:rPr>
                <w:rStyle w:val="CharacterStyle6"/>
              </w:rPr>
              <w:t>93.092,67</w:t>
            </w:r>
          </w:p>
        </w:tc>
        <w:tc>
          <w:tcPr>
            <w:tcW w:w="1395" w:type="dxa"/>
            <w:tcBorders>
              <w:bottom w:val="single" w:sz="6" w:space="0" w:color="000000"/>
              <w:right w:val="single" w:sz="6" w:space="0" w:color="000000"/>
            </w:tcBorders>
            <w:vAlign w:val="center"/>
          </w:tcPr>
          <w:p w14:paraId="55136930"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64B72B41"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62034E21" w14:textId="77777777" w:rsidR="007D706A" w:rsidRDefault="007D706A" w:rsidP="00F70508">
            <w:pPr>
              <w:pStyle w:val="ParagraphStyle6"/>
              <w:rPr>
                <w:rStyle w:val="CharacterStyle6"/>
              </w:rPr>
            </w:pPr>
            <w:r>
              <w:rPr>
                <w:rStyle w:val="CharacterStyle6"/>
              </w:rPr>
              <w:t>0,00</w:t>
            </w:r>
          </w:p>
        </w:tc>
      </w:tr>
      <w:tr w:rsidR="007D706A" w14:paraId="3751488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D04A767" w14:textId="77777777" w:rsidR="007D706A" w:rsidRDefault="007D706A" w:rsidP="00F70508">
            <w:pPr>
              <w:pStyle w:val="ParagraphStyle4"/>
              <w:rPr>
                <w:rStyle w:val="CharacterStyle4"/>
              </w:rPr>
            </w:pPr>
            <w:r>
              <w:rPr>
                <w:rStyle w:val="CharacterStyle4"/>
              </w:rPr>
              <w:t>Izvor financiranja 61</w:t>
            </w:r>
          </w:p>
        </w:tc>
        <w:tc>
          <w:tcPr>
            <w:tcW w:w="4995" w:type="dxa"/>
            <w:tcBorders>
              <w:bottom w:val="single" w:sz="6" w:space="0" w:color="000000"/>
              <w:right w:val="single" w:sz="6" w:space="0" w:color="000000"/>
            </w:tcBorders>
            <w:vAlign w:val="center"/>
          </w:tcPr>
          <w:p w14:paraId="2696EBF1" w14:textId="77777777" w:rsidR="007D706A" w:rsidRDefault="007D706A" w:rsidP="00F70508">
            <w:pPr>
              <w:pStyle w:val="ParagraphStyle5"/>
              <w:rPr>
                <w:rStyle w:val="CharacterStyle5"/>
              </w:rPr>
            </w:pPr>
            <w:r>
              <w:rPr>
                <w:rStyle w:val="CharacterStyle5"/>
              </w:rPr>
              <w:t>Donacije</w:t>
            </w:r>
          </w:p>
        </w:tc>
        <w:tc>
          <w:tcPr>
            <w:tcW w:w="1395" w:type="dxa"/>
            <w:tcBorders>
              <w:bottom w:val="single" w:sz="6" w:space="0" w:color="000000"/>
              <w:right w:val="single" w:sz="6" w:space="0" w:color="000000"/>
            </w:tcBorders>
            <w:vAlign w:val="center"/>
          </w:tcPr>
          <w:p w14:paraId="06E64802"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4B6524D5" w14:textId="77777777" w:rsidR="007D706A" w:rsidRDefault="007D706A" w:rsidP="00F70508">
            <w:pPr>
              <w:pStyle w:val="ParagraphStyle6"/>
              <w:rPr>
                <w:rStyle w:val="CharacterStyle6"/>
              </w:rPr>
            </w:pPr>
            <w:r>
              <w:rPr>
                <w:rStyle w:val="CharacterStyle6"/>
              </w:rPr>
              <w:t>55.764,40</w:t>
            </w:r>
          </w:p>
        </w:tc>
        <w:tc>
          <w:tcPr>
            <w:tcW w:w="1395" w:type="dxa"/>
            <w:tcBorders>
              <w:bottom w:val="single" w:sz="6" w:space="0" w:color="000000"/>
              <w:right w:val="single" w:sz="6" w:space="0" w:color="000000"/>
            </w:tcBorders>
            <w:vAlign w:val="center"/>
          </w:tcPr>
          <w:p w14:paraId="0242CA63" w14:textId="77777777" w:rsidR="007D706A" w:rsidRDefault="007D706A" w:rsidP="00F70508">
            <w:pPr>
              <w:pStyle w:val="ParagraphStyle6"/>
              <w:rPr>
                <w:rStyle w:val="CharacterStyle6"/>
              </w:rPr>
            </w:pPr>
            <w:r>
              <w:rPr>
                <w:rStyle w:val="CharacterStyle6"/>
              </w:rPr>
              <w:t>48.900,00</w:t>
            </w:r>
          </w:p>
        </w:tc>
        <w:tc>
          <w:tcPr>
            <w:tcW w:w="1395" w:type="dxa"/>
            <w:tcBorders>
              <w:bottom w:val="single" w:sz="6" w:space="0" w:color="000000"/>
              <w:right w:val="single" w:sz="6" w:space="0" w:color="000000"/>
            </w:tcBorders>
            <w:vAlign w:val="center"/>
          </w:tcPr>
          <w:p w14:paraId="575AE49F" w14:textId="77777777" w:rsidR="007D706A" w:rsidRDefault="007D706A" w:rsidP="00F70508">
            <w:pPr>
              <w:pStyle w:val="ParagraphStyle6"/>
              <w:rPr>
                <w:rStyle w:val="CharacterStyle6"/>
              </w:rPr>
            </w:pPr>
            <w:r>
              <w:rPr>
                <w:rStyle w:val="CharacterStyle6"/>
              </w:rPr>
              <w:t>47.600,00</w:t>
            </w:r>
          </w:p>
        </w:tc>
        <w:tc>
          <w:tcPr>
            <w:tcW w:w="1395" w:type="dxa"/>
            <w:tcBorders>
              <w:bottom w:val="single" w:sz="6" w:space="0" w:color="000000"/>
              <w:right w:val="single" w:sz="6" w:space="0" w:color="000000"/>
            </w:tcBorders>
            <w:vAlign w:val="center"/>
          </w:tcPr>
          <w:p w14:paraId="55018B7E" w14:textId="77777777" w:rsidR="007D706A" w:rsidRDefault="007D706A" w:rsidP="00F70508">
            <w:pPr>
              <w:pStyle w:val="ParagraphStyle6"/>
              <w:rPr>
                <w:rStyle w:val="CharacterStyle6"/>
              </w:rPr>
            </w:pPr>
            <w:r>
              <w:rPr>
                <w:rStyle w:val="CharacterStyle6"/>
              </w:rPr>
              <w:t>48.600,00</w:t>
            </w:r>
          </w:p>
        </w:tc>
      </w:tr>
      <w:tr w:rsidR="007D706A" w14:paraId="5BF55FC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45912A7" w14:textId="77777777" w:rsidR="007D706A" w:rsidRDefault="007D706A" w:rsidP="00F70508">
            <w:pPr>
              <w:pStyle w:val="ParagraphStyle4"/>
              <w:rPr>
                <w:rStyle w:val="CharacterStyle4"/>
              </w:rPr>
            </w:pPr>
            <w:r>
              <w:rPr>
                <w:rStyle w:val="CharacterStyle4"/>
              </w:rPr>
              <w:t>Izvor financiranja 82</w:t>
            </w:r>
          </w:p>
        </w:tc>
        <w:tc>
          <w:tcPr>
            <w:tcW w:w="4995" w:type="dxa"/>
            <w:tcBorders>
              <w:bottom w:val="single" w:sz="6" w:space="0" w:color="000000"/>
              <w:right w:val="single" w:sz="6" w:space="0" w:color="000000"/>
            </w:tcBorders>
            <w:vAlign w:val="center"/>
          </w:tcPr>
          <w:p w14:paraId="282D6ACF" w14:textId="77777777" w:rsidR="007D706A" w:rsidRDefault="007D706A" w:rsidP="00F70508">
            <w:pPr>
              <w:pStyle w:val="ParagraphStyle5"/>
              <w:rPr>
                <w:rStyle w:val="CharacterStyle5"/>
              </w:rPr>
            </w:pPr>
            <w:r>
              <w:rPr>
                <w:rStyle w:val="CharacterStyle5"/>
              </w:rPr>
              <w:t>Preneseni viškovi iz ranijih godina</w:t>
            </w:r>
          </w:p>
        </w:tc>
        <w:tc>
          <w:tcPr>
            <w:tcW w:w="1395" w:type="dxa"/>
            <w:tcBorders>
              <w:bottom w:val="single" w:sz="6" w:space="0" w:color="000000"/>
              <w:right w:val="single" w:sz="6" w:space="0" w:color="000000"/>
            </w:tcBorders>
            <w:vAlign w:val="center"/>
          </w:tcPr>
          <w:p w14:paraId="71674E61"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2336CE82" w14:textId="77777777" w:rsidR="007D706A" w:rsidRDefault="007D706A" w:rsidP="00F70508">
            <w:pPr>
              <w:pStyle w:val="ParagraphStyle6"/>
              <w:rPr>
                <w:rStyle w:val="CharacterStyle6"/>
              </w:rPr>
            </w:pPr>
            <w:r>
              <w:rPr>
                <w:rStyle w:val="CharacterStyle6"/>
              </w:rPr>
              <w:t>43.196,82</w:t>
            </w:r>
          </w:p>
        </w:tc>
        <w:tc>
          <w:tcPr>
            <w:tcW w:w="1395" w:type="dxa"/>
            <w:tcBorders>
              <w:bottom w:val="single" w:sz="6" w:space="0" w:color="000000"/>
              <w:right w:val="single" w:sz="6" w:space="0" w:color="000000"/>
            </w:tcBorders>
            <w:vAlign w:val="center"/>
          </w:tcPr>
          <w:p w14:paraId="089D2107"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0F08CE2E"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5FDA7CDF" w14:textId="77777777" w:rsidR="007D706A" w:rsidRDefault="007D706A" w:rsidP="00F70508">
            <w:pPr>
              <w:pStyle w:val="ParagraphStyle6"/>
              <w:rPr>
                <w:rStyle w:val="CharacterStyle6"/>
              </w:rPr>
            </w:pPr>
            <w:r>
              <w:rPr>
                <w:rStyle w:val="CharacterStyle6"/>
              </w:rPr>
              <w:t>0,00</w:t>
            </w:r>
          </w:p>
        </w:tc>
      </w:tr>
      <w:tr w:rsidR="007D706A" w14:paraId="382C06AA" w14:textId="77777777" w:rsidTr="00F70508">
        <w:trPr>
          <w:trHeight w:val="375"/>
        </w:trPr>
        <w:tc>
          <w:tcPr>
            <w:tcW w:w="2880" w:type="dxa"/>
            <w:tcBorders>
              <w:left w:val="single" w:sz="6" w:space="0" w:color="000000"/>
              <w:bottom w:val="single" w:sz="6" w:space="0" w:color="000000"/>
              <w:right w:val="single" w:sz="6" w:space="0" w:color="000000"/>
            </w:tcBorders>
            <w:vAlign w:val="center"/>
          </w:tcPr>
          <w:p w14:paraId="6F679321" w14:textId="77777777" w:rsidR="007D706A" w:rsidRDefault="007D706A" w:rsidP="00F70508">
            <w:pPr>
              <w:pStyle w:val="ParagraphStyle4"/>
              <w:rPr>
                <w:rStyle w:val="CharacterStyle4"/>
              </w:rPr>
            </w:pPr>
            <w:r>
              <w:rPr>
                <w:rStyle w:val="CharacterStyle4"/>
              </w:rPr>
              <w:t>PROGRAM    1037</w:t>
            </w:r>
          </w:p>
        </w:tc>
        <w:tc>
          <w:tcPr>
            <w:tcW w:w="4995" w:type="dxa"/>
            <w:tcBorders>
              <w:bottom w:val="single" w:sz="6" w:space="0" w:color="000000"/>
              <w:right w:val="single" w:sz="6" w:space="0" w:color="000000"/>
            </w:tcBorders>
            <w:vAlign w:val="center"/>
          </w:tcPr>
          <w:p w14:paraId="73844A47" w14:textId="77777777" w:rsidR="007D706A" w:rsidRDefault="007D706A" w:rsidP="00F70508">
            <w:pPr>
              <w:pStyle w:val="ParagraphStyle5"/>
              <w:rPr>
                <w:rStyle w:val="CharacterStyle5"/>
              </w:rPr>
            </w:pPr>
            <w:r>
              <w:rPr>
                <w:rStyle w:val="CharacterStyle5"/>
              </w:rPr>
              <w:t>DJELATNOST USTANOVA U KULTURI</w:t>
            </w:r>
          </w:p>
        </w:tc>
        <w:tc>
          <w:tcPr>
            <w:tcW w:w="1395" w:type="dxa"/>
            <w:tcBorders>
              <w:bottom w:val="single" w:sz="6" w:space="0" w:color="000000"/>
              <w:right w:val="single" w:sz="6" w:space="0" w:color="000000"/>
            </w:tcBorders>
            <w:vAlign w:val="center"/>
          </w:tcPr>
          <w:p w14:paraId="35227836"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066A712F" w14:textId="77777777" w:rsidR="007D706A" w:rsidRDefault="007D706A" w:rsidP="00F70508">
            <w:pPr>
              <w:pStyle w:val="ParagraphStyle6"/>
              <w:rPr>
                <w:rStyle w:val="CharacterStyle6"/>
              </w:rPr>
            </w:pPr>
            <w:r>
              <w:rPr>
                <w:rStyle w:val="CharacterStyle6"/>
              </w:rPr>
              <w:t>2.359.325,00</w:t>
            </w:r>
          </w:p>
        </w:tc>
        <w:tc>
          <w:tcPr>
            <w:tcW w:w="1395" w:type="dxa"/>
            <w:tcBorders>
              <w:bottom w:val="single" w:sz="6" w:space="0" w:color="000000"/>
              <w:right w:val="single" w:sz="6" w:space="0" w:color="000000"/>
            </w:tcBorders>
            <w:vAlign w:val="center"/>
          </w:tcPr>
          <w:p w14:paraId="3C84C914" w14:textId="77777777" w:rsidR="007D706A" w:rsidRDefault="007D706A" w:rsidP="00F70508">
            <w:pPr>
              <w:pStyle w:val="ParagraphStyle6"/>
              <w:rPr>
                <w:rStyle w:val="CharacterStyle6"/>
              </w:rPr>
            </w:pPr>
            <w:r>
              <w:rPr>
                <w:rStyle w:val="CharacterStyle6"/>
              </w:rPr>
              <w:t>2.421.906,00</w:t>
            </w:r>
          </w:p>
        </w:tc>
        <w:tc>
          <w:tcPr>
            <w:tcW w:w="1395" w:type="dxa"/>
            <w:tcBorders>
              <w:bottom w:val="single" w:sz="6" w:space="0" w:color="000000"/>
              <w:right w:val="single" w:sz="6" w:space="0" w:color="000000"/>
            </w:tcBorders>
            <w:vAlign w:val="center"/>
          </w:tcPr>
          <w:p w14:paraId="4D22D629" w14:textId="77777777" w:rsidR="007D706A" w:rsidRDefault="007D706A" w:rsidP="00F70508">
            <w:pPr>
              <w:pStyle w:val="ParagraphStyle6"/>
              <w:rPr>
                <w:rStyle w:val="CharacterStyle6"/>
              </w:rPr>
            </w:pPr>
            <w:r>
              <w:rPr>
                <w:rStyle w:val="CharacterStyle6"/>
              </w:rPr>
              <w:t>2.427.991,00</w:t>
            </w:r>
          </w:p>
        </w:tc>
        <w:tc>
          <w:tcPr>
            <w:tcW w:w="1395" w:type="dxa"/>
            <w:tcBorders>
              <w:bottom w:val="single" w:sz="6" w:space="0" w:color="000000"/>
              <w:right w:val="single" w:sz="6" w:space="0" w:color="000000"/>
            </w:tcBorders>
            <w:vAlign w:val="center"/>
          </w:tcPr>
          <w:p w14:paraId="4C7ED130" w14:textId="77777777" w:rsidR="007D706A" w:rsidRDefault="007D706A" w:rsidP="00F70508">
            <w:pPr>
              <w:pStyle w:val="ParagraphStyle6"/>
              <w:rPr>
                <w:rStyle w:val="CharacterStyle6"/>
              </w:rPr>
            </w:pPr>
            <w:r>
              <w:rPr>
                <w:rStyle w:val="CharacterStyle6"/>
              </w:rPr>
              <w:t>2.470.596,00</w:t>
            </w:r>
          </w:p>
        </w:tc>
      </w:tr>
      <w:tr w:rsidR="007D706A" w14:paraId="6715FE0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C0874A3" w14:textId="77777777" w:rsidR="007D706A" w:rsidRDefault="007D706A" w:rsidP="00F70508">
            <w:pPr>
              <w:pStyle w:val="ParagraphStyle4"/>
              <w:rPr>
                <w:rStyle w:val="CharacterStyle4"/>
              </w:rPr>
            </w:pPr>
            <w:r>
              <w:rPr>
                <w:rStyle w:val="CharacterStyle4"/>
              </w:rPr>
              <w:t>Aktivnost A103701</w:t>
            </w:r>
          </w:p>
        </w:tc>
        <w:tc>
          <w:tcPr>
            <w:tcW w:w="4995" w:type="dxa"/>
            <w:tcBorders>
              <w:bottom w:val="single" w:sz="6" w:space="0" w:color="000000"/>
              <w:right w:val="single" w:sz="6" w:space="0" w:color="000000"/>
            </w:tcBorders>
            <w:vAlign w:val="center"/>
          </w:tcPr>
          <w:p w14:paraId="3B6F52A1" w14:textId="77777777" w:rsidR="007D706A" w:rsidRDefault="007D706A" w:rsidP="00F70508">
            <w:pPr>
              <w:pStyle w:val="ParagraphStyle5"/>
              <w:rPr>
                <w:rStyle w:val="CharacterStyle5"/>
              </w:rPr>
            </w:pPr>
            <w:r>
              <w:rPr>
                <w:rStyle w:val="CharacterStyle5"/>
              </w:rPr>
              <w:t>REDOVAN RAD USTANOVE U KULTURI</w:t>
            </w:r>
          </w:p>
        </w:tc>
        <w:tc>
          <w:tcPr>
            <w:tcW w:w="1395" w:type="dxa"/>
            <w:tcBorders>
              <w:bottom w:val="single" w:sz="6" w:space="0" w:color="000000"/>
              <w:right w:val="single" w:sz="6" w:space="0" w:color="000000"/>
            </w:tcBorders>
            <w:vAlign w:val="center"/>
          </w:tcPr>
          <w:p w14:paraId="38C1B3EB"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7A201882" w14:textId="77777777" w:rsidR="007D706A" w:rsidRDefault="007D706A" w:rsidP="00F70508">
            <w:pPr>
              <w:pStyle w:val="ParagraphStyle6"/>
              <w:rPr>
                <w:rStyle w:val="CharacterStyle6"/>
              </w:rPr>
            </w:pPr>
            <w:r>
              <w:rPr>
                <w:rStyle w:val="CharacterStyle6"/>
              </w:rPr>
              <w:t>507.072,50</w:t>
            </w:r>
          </w:p>
        </w:tc>
        <w:tc>
          <w:tcPr>
            <w:tcW w:w="1395" w:type="dxa"/>
            <w:tcBorders>
              <w:bottom w:val="single" w:sz="6" w:space="0" w:color="000000"/>
              <w:right w:val="single" w:sz="6" w:space="0" w:color="000000"/>
            </w:tcBorders>
            <w:vAlign w:val="center"/>
          </w:tcPr>
          <w:p w14:paraId="3C5920C6" w14:textId="77777777" w:rsidR="007D706A" w:rsidRDefault="007D706A" w:rsidP="00F70508">
            <w:pPr>
              <w:pStyle w:val="ParagraphStyle6"/>
              <w:rPr>
                <w:rStyle w:val="CharacterStyle6"/>
              </w:rPr>
            </w:pPr>
            <w:r>
              <w:rPr>
                <w:rStyle w:val="CharacterStyle6"/>
              </w:rPr>
              <w:t>451.775,00</w:t>
            </w:r>
          </w:p>
        </w:tc>
        <w:tc>
          <w:tcPr>
            <w:tcW w:w="1395" w:type="dxa"/>
            <w:tcBorders>
              <w:bottom w:val="single" w:sz="6" w:space="0" w:color="000000"/>
              <w:right w:val="single" w:sz="6" w:space="0" w:color="000000"/>
            </w:tcBorders>
            <w:vAlign w:val="center"/>
          </w:tcPr>
          <w:p w14:paraId="424B14FC" w14:textId="77777777" w:rsidR="007D706A" w:rsidRDefault="007D706A" w:rsidP="00F70508">
            <w:pPr>
              <w:pStyle w:val="ParagraphStyle6"/>
              <w:rPr>
                <w:rStyle w:val="CharacterStyle6"/>
              </w:rPr>
            </w:pPr>
            <w:r>
              <w:rPr>
                <w:rStyle w:val="CharacterStyle6"/>
              </w:rPr>
              <w:t>467.775,00</w:t>
            </w:r>
          </w:p>
        </w:tc>
        <w:tc>
          <w:tcPr>
            <w:tcW w:w="1395" w:type="dxa"/>
            <w:tcBorders>
              <w:bottom w:val="single" w:sz="6" w:space="0" w:color="000000"/>
              <w:right w:val="single" w:sz="6" w:space="0" w:color="000000"/>
            </w:tcBorders>
            <w:vAlign w:val="center"/>
          </w:tcPr>
          <w:p w14:paraId="5570E535" w14:textId="77777777" w:rsidR="007D706A" w:rsidRDefault="007D706A" w:rsidP="00F70508">
            <w:pPr>
              <w:pStyle w:val="ParagraphStyle6"/>
              <w:rPr>
                <w:rStyle w:val="CharacterStyle6"/>
              </w:rPr>
            </w:pPr>
            <w:r>
              <w:rPr>
                <w:rStyle w:val="CharacterStyle6"/>
              </w:rPr>
              <w:t>472.065,00</w:t>
            </w:r>
          </w:p>
        </w:tc>
      </w:tr>
      <w:tr w:rsidR="007D706A" w14:paraId="5559E64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1BFB307"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4243F4E0"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44160D57"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D0AA5E3" w14:textId="77777777" w:rsidR="007D706A" w:rsidRDefault="007D706A" w:rsidP="00F70508">
            <w:pPr>
              <w:pStyle w:val="ParagraphStyle9"/>
              <w:rPr>
                <w:rStyle w:val="CharacterStyle9"/>
              </w:rPr>
            </w:pPr>
            <w:r>
              <w:rPr>
                <w:rStyle w:val="CharacterStyle9"/>
              </w:rPr>
              <w:t>418.372,50</w:t>
            </w:r>
          </w:p>
        </w:tc>
        <w:tc>
          <w:tcPr>
            <w:tcW w:w="1395" w:type="dxa"/>
            <w:tcBorders>
              <w:bottom w:val="single" w:sz="6" w:space="0" w:color="000000"/>
              <w:right w:val="single" w:sz="6" w:space="0" w:color="000000"/>
            </w:tcBorders>
            <w:vAlign w:val="center"/>
          </w:tcPr>
          <w:p w14:paraId="3C8AC2CB" w14:textId="77777777" w:rsidR="007D706A" w:rsidRDefault="007D706A" w:rsidP="00F70508">
            <w:pPr>
              <w:pStyle w:val="ParagraphStyle9"/>
              <w:rPr>
                <w:rStyle w:val="CharacterStyle9"/>
              </w:rPr>
            </w:pPr>
            <w:r>
              <w:rPr>
                <w:rStyle w:val="CharacterStyle9"/>
              </w:rPr>
              <w:t>433.275,00</w:t>
            </w:r>
          </w:p>
        </w:tc>
        <w:tc>
          <w:tcPr>
            <w:tcW w:w="1395" w:type="dxa"/>
            <w:tcBorders>
              <w:bottom w:val="single" w:sz="6" w:space="0" w:color="000000"/>
              <w:right w:val="single" w:sz="6" w:space="0" w:color="000000"/>
            </w:tcBorders>
            <w:vAlign w:val="center"/>
          </w:tcPr>
          <w:p w14:paraId="325FAA9B" w14:textId="77777777" w:rsidR="007D706A" w:rsidRDefault="007D706A" w:rsidP="00F70508">
            <w:pPr>
              <w:pStyle w:val="ParagraphStyle9"/>
              <w:rPr>
                <w:rStyle w:val="CharacterStyle9"/>
              </w:rPr>
            </w:pPr>
            <w:r>
              <w:rPr>
                <w:rStyle w:val="CharacterStyle9"/>
              </w:rPr>
              <w:t>449.275,00</w:t>
            </w:r>
          </w:p>
        </w:tc>
        <w:tc>
          <w:tcPr>
            <w:tcW w:w="1395" w:type="dxa"/>
            <w:tcBorders>
              <w:bottom w:val="single" w:sz="6" w:space="0" w:color="000000"/>
              <w:right w:val="single" w:sz="6" w:space="0" w:color="000000"/>
            </w:tcBorders>
            <w:vAlign w:val="center"/>
          </w:tcPr>
          <w:p w14:paraId="1B20D361" w14:textId="77777777" w:rsidR="007D706A" w:rsidRDefault="007D706A" w:rsidP="00F70508">
            <w:pPr>
              <w:pStyle w:val="ParagraphStyle9"/>
              <w:rPr>
                <w:rStyle w:val="CharacterStyle9"/>
              </w:rPr>
            </w:pPr>
            <w:r>
              <w:rPr>
                <w:rStyle w:val="CharacterStyle9"/>
              </w:rPr>
              <w:t>453.565,00</w:t>
            </w:r>
          </w:p>
        </w:tc>
      </w:tr>
      <w:tr w:rsidR="007D706A" w14:paraId="52A9CAF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4E370C1"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546982D7"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6ECD4D2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5155284" w14:textId="77777777" w:rsidR="007D706A" w:rsidRDefault="007D706A" w:rsidP="00F70508">
            <w:pPr>
              <w:pStyle w:val="ParagraphStyle12"/>
              <w:rPr>
                <w:rStyle w:val="CharacterStyle12"/>
              </w:rPr>
            </w:pPr>
            <w:r>
              <w:rPr>
                <w:rStyle w:val="CharacterStyle12"/>
              </w:rPr>
              <w:t>418.372,50</w:t>
            </w:r>
          </w:p>
        </w:tc>
        <w:tc>
          <w:tcPr>
            <w:tcW w:w="1395" w:type="dxa"/>
            <w:tcBorders>
              <w:bottom w:val="single" w:sz="6" w:space="0" w:color="000000"/>
              <w:right w:val="single" w:sz="6" w:space="0" w:color="000000"/>
            </w:tcBorders>
            <w:vAlign w:val="center"/>
          </w:tcPr>
          <w:p w14:paraId="2E0B7649" w14:textId="77777777" w:rsidR="007D706A" w:rsidRDefault="007D706A" w:rsidP="00F70508">
            <w:pPr>
              <w:pStyle w:val="ParagraphStyle12"/>
              <w:rPr>
                <w:rStyle w:val="CharacterStyle12"/>
              </w:rPr>
            </w:pPr>
            <w:r>
              <w:rPr>
                <w:rStyle w:val="CharacterStyle12"/>
              </w:rPr>
              <w:t>433.275,00</w:t>
            </w:r>
          </w:p>
        </w:tc>
        <w:tc>
          <w:tcPr>
            <w:tcW w:w="1395" w:type="dxa"/>
            <w:tcBorders>
              <w:bottom w:val="single" w:sz="6" w:space="0" w:color="000000"/>
              <w:right w:val="single" w:sz="6" w:space="0" w:color="000000"/>
            </w:tcBorders>
            <w:vAlign w:val="center"/>
          </w:tcPr>
          <w:p w14:paraId="08C58A51" w14:textId="77777777" w:rsidR="007D706A" w:rsidRDefault="007D706A" w:rsidP="00F70508">
            <w:pPr>
              <w:pStyle w:val="ParagraphStyle12"/>
              <w:rPr>
                <w:rStyle w:val="CharacterStyle12"/>
              </w:rPr>
            </w:pPr>
            <w:r>
              <w:rPr>
                <w:rStyle w:val="CharacterStyle12"/>
              </w:rPr>
              <w:t>449.275,00</w:t>
            </w:r>
          </w:p>
        </w:tc>
        <w:tc>
          <w:tcPr>
            <w:tcW w:w="1395" w:type="dxa"/>
            <w:tcBorders>
              <w:bottom w:val="single" w:sz="6" w:space="0" w:color="000000"/>
              <w:right w:val="single" w:sz="6" w:space="0" w:color="000000"/>
            </w:tcBorders>
            <w:vAlign w:val="center"/>
          </w:tcPr>
          <w:p w14:paraId="1D57F6F5" w14:textId="77777777" w:rsidR="007D706A" w:rsidRDefault="007D706A" w:rsidP="00F70508">
            <w:pPr>
              <w:pStyle w:val="ParagraphStyle12"/>
              <w:rPr>
                <w:rStyle w:val="CharacterStyle12"/>
              </w:rPr>
            </w:pPr>
            <w:r>
              <w:rPr>
                <w:rStyle w:val="CharacterStyle12"/>
              </w:rPr>
              <w:t>453.565,00</w:t>
            </w:r>
          </w:p>
        </w:tc>
      </w:tr>
      <w:tr w:rsidR="007D706A" w14:paraId="67B6411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6DBC416" w14:textId="77777777" w:rsidR="007D706A" w:rsidRDefault="007D706A" w:rsidP="00F70508">
            <w:pPr>
              <w:pStyle w:val="ParagraphStyle10"/>
              <w:rPr>
                <w:rStyle w:val="CharacterStyle10"/>
              </w:rPr>
            </w:pPr>
            <w:r>
              <w:rPr>
                <w:rStyle w:val="CharacterStyle10"/>
              </w:rPr>
              <w:t>31</w:t>
            </w:r>
          </w:p>
        </w:tc>
        <w:tc>
          <w:tcPr>
            <w:tcW w:w="4995" w:type="dxa"/>
            <w:tcBorders>
              <w:bottom w:val="single" w:sz="6" w:space="0" w:color="000000"/>
              <w:right w:val="single" w:sz="6" w:space="0" w:color="000000"/>
            </w:tcBorders>
            <w:vAlign w:val="center"/>
          </w:tcPr>
          <w:p w14:paraId="47FE6AD7" w14:textId="77777777" w:rsidR="007D706A" w:rsidRDefault="007D706A" w:rsidP="00F70508">
            <w:pPr>
              <w:pStyle w:val="ParagraphStyle11"/>
              <w:rPr>
                <w:rStyle w:val="CharacterStyle11"/>
              </w:rPr>
            </w:pPr>
            <w:r>
              <w:rPr>
                <w:rStyle w:val="CharacterStyle11"/>
              </w:rPr>
              <w:t>Rashodi za zaposlene</w:t>
            </w:r>
          </w:p>
        </w:tc>
        <w:tc>
          <w:tcPr>
            <w:tcW w:w="1395" w:type="dxa"/>
            <w:tcBorders>
              <w:bottom w:val="single" w:sz="6" w:space="0" w:color="000000"/>
              <w:right w:val="single" w:sz="6" w:space="0" w:color="000000"/>
            </w:tcBorders>
            <w:vAlign w:val="center"/>
          </w:tcPr>
          <w:p w14:paraId="065594B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C363B4C" w14:textId="77777777" w:rsidR="007D706A" w:rsidRDefault="007D706A" w:rsidP="00F70508">
            <w:pPr>
              <w:pStyle w:val="ParagraphStyle12"/>
              <w:rPr>
                <w:rStyle w:val="CharacterStyle12"/>
              </w:rPr>
            </w:pPr>
            <w:r>
              <w:rPr>
                <w:rStyle w:val="CharacterStyle12"/>
              </w:rPr>
              <w:t>347.006,10</w:t>
            </w:r>
          </w:p>
        </w:tc>
        <w:tc>
          <w:tcPr>
            <w:tcW w:w="1395" w:type="dxa"/>
            <w:tcBorders>
              <w:bottom w:val="single" w:sz="6" w:space="0" w:color="000000"/>
              <w:right w:val="single" w:sz="6" w:space="0" w:color="000000"/>
            </w:tcBorders>
            <w:vAlign w:val="center"/>
          </w:tcPr>
          <w:p w14:paraId="678D82C9" w14:textId="77777777" w:rsidR="007D706A" w:rsidRDefault="007D706A" w:rsidP="00F70508">
            <w:pPr>
              <w:pStyle w:val="ParagraphStyle12"/>
              <w:rPr>
                <w:rStyle w:val="CharacterStyle12"/>
              </w:rPr>
            </w:pPr>
            <w:r>
              <w:rPr>
                <w:rStyle w:val="CharacterStyle12"/>
              </w:rPr>
              <w:t>347.875,00</w:t>
            </w:r>
          </w:p>
        </w:tc>
        <w:tc>
          <w:tcPr>
            <w:tcW w:w="1395" w:type="dxa"/>
            <w:tcBorders>
              <w:bottom w:val="single" w:sz="6" w:space="0" w:color="000000"/>
              <w:right w:val="single" w:sz="6" w:space="0" w:color="000000"/>
            </w:tcBorders>
            <w:vAlign w:val="center"/>
          </w:tcPr>
          <w:p w14:paraId="3ADF515B" w14:textId="77777777" w:rsidR="007D706A" w:rsidRDefault="007D706A" w:rsidP="00F70508">
            <w:pPr>
              <w:pStyle w:val="ParagraphStyle12"/>
              <w:rPr>
                <w:rStyle w:val="CharacterStyle12"/>
              </w:rPr>
            </w:pPr>
            <w:r>
              <w:rPr>
                <w:rStyle w:val="CharacterStyle12"/>
              </w:rPr>
              <w:t>358.875,00</w:t>
            </w:r>
          </w:p>
        </w:tc>
        <w:tc>
          <w:tcPr>
            <w:tcW w:w="1395" w:type="dxa"/>
            <w:tcBorders>
              <w:bottom w:val="single" w:sz="6" w:space="0" w:color="000000"/>
              <w:right w:val="single" w:sz="6" w:space="0" w:color="000000"/>
            </w:tcBorders>
            <w:vAlign w:val="center"/>
          </w:tcPr>
          <w:p w14:paraId="2440DEF6" w14:textId="77777777" w:rsidR="007D706A" w:rsidRDefault="007D706A" w:rsidP="00F70508">
            <w:pPr>
              <w:pStyle w:val="ParagraphStyle12"/>
              <w:rPr>
                <w:rStyle w:val="CharacterStyle12"/>
              </w:rPr>
            </w:pPr>
            <w:r>
              <w:rPr>
                <w:rStyle w:val="CharacterStyle12"/>
              </w:rPr>
              <w:t>363.165,00</w:t>
            </w:r>
          </w:p>
        </w:tc>
      </w:tr>
      <w:tr w:rsidR="007D706A" w14:paraId="2F5953F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5EC9C6C"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7139BF7C"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4F73F99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F3B3EAC" w14:textId="77777777" w:rsidR="007D706A" w:rsidRDefault="007D706A" w:rsidP="00F70508">
            <w:pPr>
              <w:pStyle w:val="ParagraphStyle12"/>
              <w:rPr>
                <w:rStyle w:val="CharacterStyle12"/>
              </w:rPr>
            </w:pPr>
            <w:r>
              <w:rPr>
                <w:rStyle w:val="CharacterStyle12"/>
              </w:rPr>
              <w:t>71.366,40</w:t>
            </w:r>
          </w:p>
        </w:tc>
        <w:tc>
          <w:tcPr>
            <w:tcW w:w="1395" w:type="dxa"/>
            <w:tcBorders>
              <w:bottom w:val="single" w:sz="6" w:space="0" w:color="000000"/>
              <w:right w:val="single" w:sz="6" w:space="0" w:color="000000"/>
            </w:tcBorders>
            <w:vAlign w:val="center"/>
          </w:tcPr>
          <w:p w14:paraId="0EE00908" w14:textId="77777777" w:rsidR="007D706A" w:rsidRDefault="007D706A" w:rsidP="00F70508">
            <w:pPr>
              <w:pStyle w:val="ParagraphStyle12"/>
              <w:rPr>
                <w:rStyle w:val="CharacterStyle12"/>
              </w:rPr>
            </w:pPr>
            <w:r>
              <w:rPr>
                <w:rStyle w:val="CharacterStyle12"/>
              </w:rPr>
              <w:t>85.400,00</w:t>
            </w:r>
          </w:p>
        </w:tc>
        <w:tc>
          <w:tcPr>
            <w:tcW w:w="1395" w:type="dxa"/>
            <w:tcBorders>
              <w:bottom w:val="single" w:sz="6" w:space="0" w:color="000000"/>
              <w:right w:val="single" w:sz="6" w:space="0" w:color="000000"/>
            </w:tcBorders>
            <w:vAlign w:val="center"/>
          </w:tcPr>
          <w:p w14:paraId="43C72264" w14:textId="77777777" w:rsidR="007D706A" w:rsidRDefault="007D706A" w:rsidP="00F70508">
            <w:pPr>
              <w:pStyle w:val="ParagraphStyle12"/>
              <w:rPr>
                <w:rStyle w:val="CharacterStyle12"/>
              </w:rPr>
            </w:pPr>
            <w:r>
              <w:rPr>
                <w:rStyle w:val="CharacterStyle12"/>
              </w:rPr>
              <w:t>90.400,00</w:t>
            </w:r>
          </w:p>
        </w:tc>
        <w:tc>
          <w:tcPr>
            <w:tcW w:w="1395" w:type="dxa"/>
            <w:tcBorders>
              <w:bottom w:val="single" w:sz="6" w:space="0" w:color="000000"/>
              <w:right w:val="single" w:sz="6" w:space="0" w:color="000000"/>
            </w:tcBorders>
            <w:vAlign w:val="center"/>
          </w:tcPr>
          <w:p w14:paraId="497F2FCB" w14:textId="77777777" w:rsidR="007D706A" w:rsidRDefault="007D706A" w:rsidP="00F70508">
            <w:pPr>
              <w:pStyle w:val="ParagraphStyle12"/>
              <w:rPr>
                <w:rStyle w:val="CharacterStyle12"/>
              </w:rPr>
            </w:pPr>
            <w:r>
              <w:rPr>
                <w:rStyle w:val="CharacterStyle12"/>
              </w:rPr>
              <w:t>90.400,00</w:t>
            </w:r>
          </w:p>
        </w:tc>
      </w:tr>
      <w:tr w:rsidR="007D706A" w14:paraId="27A0634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0F60C2F" w14:textId="77777777" w:rsidR="007D706A" w:rsidRDefault="007D706A" w:rsidP="00F70508">
            <w:pPr>
              <w:pStyle w:val="ParagraphStyle7"/>
              <w:rPr>
                <w:rStyle w:val="CharacterStyle7"/>
              </w:rPr>
            </w:pPr>
            <w:r>
              <w:rPr>
                <w:rStyle w:val="CharacterStyle7"/>
              </w:rPr>
              <w:t>Izvor financiranja 31</w:t>
            </w:r>
          </w:p>
        </w:tc>
        <w:tc>
          <w:tcPr>
            <w:tcW w:w="4995" w:type="dxa"/>
            <w:tcBorders>
              <w:bottom w:val="single" w:sz="6" w:space="0" w:color="000000"/>
              <w:right w:val="single" w:sz="6" w:space="0" w:color="000000"/>
            </w:tcBorders>
            <w:vAlign w:val="center"/>
          </w:tcPr>
          <w:p w14:paraId="4A3E336D" w14:textId="77777777" w:rsidR="007D706A" w:rsidRDefault="007D706A" w:rsidP="00F70508">
            <w:pPr>
              <w:pStyle w:val="ParagraphStyle8"/>
              <w:rPr>
                <w:rStyle w:val="CharacterStyle8"/>
              </w:rPr>
            </w:pPr>
            <w:r>
              <w:rPr>
                <w:rStyle w:val="CharacterStyle8"/>
              </w:rPr>
              <w:t>Vlastiti prihodi</w:t>
            </w:r>
          </w:p>
        </w:tc>
        <w:tc>
          <w:tcPr>
            <w:tcW w:w="1395" w:type="dxa"/>
            <w:tcBorders>
              <w:bottom w:val="single" w:sz="6" w:space="0" w:color="000000"/>
              <w:right w:val="single" w:sz="6" w:space="0" w:color="000000"/>
            </w:tcBorders>
            <w:vAlign w:val="center"/>
          </w:tcPr>
          <w:p w14:paraId="4F47B9F5"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DB5D249" w14:textId="77777777" w:rsidR="007D706A" w:rsidRDefault="007D706A" w:rsidP="00F70508">
            <w:pPr>
              <w:pStyle w:val="ParagraphStyle9"/>
              <w:rPr>
                <w:rStyle w:val="CharacterStyle9"/>
              </w:rPr>
            </w:pPr>
            <w:r>
              <w:rPr>
                <w:rStyle w:val="CharacterStyle9"/>
              </w:rPr>
              <w:t>13.000,00</w:t>
            </w:r>
          </w:p>
        </w:tc>
        <w:tc>
          <w:tcPr>
            <w:tcW w:w="1395" w:type="dxa"/>
            <w:tcBorders>
              <w:bottom w:val="single" w:sz="6" w:space="0" w:color="000000"/>
              <w:right w:val="single" w:sz="6" w:space="0" w:color="000000"/>
            </w:tcBorders>
            <w:vAlign w:val="center"/>
          </w:tcPr>
          <w:p w14:paraId="1350EBAD" w14:textId="77777777" w:rsidR="007D706A" w:rsidRDefault="007D706A" w:rsidP="00F70508">
            <w:pPr>
              <w:pStyle w:val="ParagraphStyle9"/>
              <w:rPr>
                <w:rStyle w:val="CharacterStyle9"/>
              </w:rPr>
            </w:pPr>
            <w:r>
              <w:rPr>
                <w:rStyle w:val="CharacterStyle9"/>
              </w:rPr>
              <w:t>18.500,00</w:t>
            </w:r>
          </w:p>
        </w:tc>
        <w:tc>
          <w:tcPr>
            <w:tcW w:w="1395" w:type="dxa"/>
            <w:tcBorders>
              <w:bottom w:val="single" w:sz="6" w:space="0" w:color="000000"/>
              <w:right w:val="single" w:sz="6" w:space="0" w:color="000000"/>
            </w:tcBorders>
            <w:vAlign w:val="center"/>
          </w:tcPr>
          <w:p w14:paraId="226E0552" w14:textId="77777777" w:rsidR="007D706A" w:rsidRDefault="007D706A" w:rsidP="00F70508">
            <w:pPr>
              <w:pStyle w:val="ParagraphStyle9"/>
              <w:rPr>
                <w:rStyle w:val="CharacterStyle9"/>
              </w:rPr>
            </w:pPr>
            <w:r>
              <w:rPr>
                <w:rStyle w:val="CharacterStyle9"/>
              </w:rPr>
              <w:t>18.500,00</w:t>
            </w:r>
          </w:p>
        </w:tc>
        <w:tc>
          <w:tcPr>
            <w:tcW w:w="1395" w:type="dxa"/>
            <w:tcBorders>
              <w:bottom w:val="single" w:sz="6" w:space="0" w:color="000000"/>
              <w:right w:val="single" w:sz="6" w:space="0" w:color="000000"/>
            </w:tcBorders>
            <w:vAlign w:val="center"/>
          </w:tcPr>
          <w:p w14:paraId="71CEDA7A" w14:textId="77777777" w:rsidR="007D706A" w:rsidRDefault="007D706A" w:rsidP="00F70508">
            <w:pPr>
              <w:pStyle w:val="ParagraphStyle9"/>
              <w:rPr>
                <w:rStyle w:val="CharacterStyle9"/>
              </w:rPr>
            </w:pPr>
            <w:r>
              <w:rPr>
                <w:rStyle w:val="CharacterStyle9"/>
              </w:rPr>
              <w:t>18.500,00</w:t>
            </w:r>
          </w:p>
        </w:tc>
      </w:tr>
      <w:tr w:rsidR="007D706A" w14:paraId="652121A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F0E2084"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6C0253D9"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30579B4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BEBC3FD" w14:textId="77777777" w:rsidR="007D706A" w:rsidRDefault="007D706A" w:rsidP="00F70508">
            <w:pPr>
              <w:pStyle w:val="ParagraphStyle12"/>
              <w:rPr>
                <w:rStyle w:val="CharacterStyle12"/>
              </w:rPr>
            </w:pPr>
            <w:r>
              <w:rPr>
                <w:rStyle w:val="CharacterStyle12"/>
              </w:rPr>
              <w:t>13.000,00</w:t>
            </w:r>
          </w:p>
        </w:tc>
        <w:tc>
          <w:tcPr>
            <w:tcW w:w="1395" w:type="dxa"/>
            <w:tcBorders>
              <w:bottom w:val="single" w:sz="6" w:space="0" w:color="000000"/>
              <w:right w:val="single" w:sz="6" w:space="0" w:color="000000"/>
            </w:tcBorders>
            <w:vAlign w:val="center"/>
          </w:tcPr>
          <w:p w14:paraId="0ECA7D4E" w14:textId="77777777" w:rsidR="007D706A" w:rsidRDefault="007D706A" w:rsidP="00F70508">
            <w:pPr>
              <w:pStyle w:val="ParagraphStyle12"/>
              <w:rPr>
                <w:rStyle w:val="CharacterStyle12"/>
              </w:rPr>
            </w:pPr>
            <w:r>
              <w:rPr>
                <w:rStyle w:val="CharacterStyle12"/>
              </w:rPr>
              <w:t>18.500,00</w:t>
            </w:r>
          </w:p>
        </w:tc>
        <w:tc>
          <w:tcPr>
            <w:tcW w:w="1395" w:type="dxa"/>
            <w:tcBorders>
              <w:bottom w:val="single" w:sz="6" w:space="0" w:color="000000"/>
              <w:right w:val="single" w:sz="6" w:space="0" w:color="000000"/>
            </w:tcBorders>
            <w:vAlign w:val="center"/>
          </w:tcPr>
          <w:p w14:paraId="0935DC40" w14:textId="77777777" w:rsidR="007D706A" w:rsidRDefault="007D706A" w:rsidP="00F70508">
            <w:pPr>
              <w:pStyle w:val="ParagraphStyle12"/>
              <w:rPr>
                <w:rStyle w:val="CharacterStyle12"/>
              </w:rPr>
            </w:pPr>
            <w:r>
              <w:rPr>
                <w:rStyle w:val="CharacterStyle12"/>
              </w:rPr>
              <w:t>18.500,00</w:t>
            </w:r>
          </w:p>
        </w:tc>
        <w:tc>
          <w:tcPr>
            <w:tcW w:w="1395" w:type="dxa"/>
            <w:tcBorders>
              <w:bottom w:val="single" w:sz="6" w:space="0" w:color="000000"/>
              <w:right w:val="single" w:sz="6" w:space="0" w:color="000000"/>
            </w:tcBorders>
            <w:vAlign w:val="center"/>
          </w:tcPr>
          <w:p w14:paraId="724F3E97" w14:textId="77777777" w:rsidR="007D706A" w:rsidRDefault="007D706A" w:rsidP="00F70508">
            <w:pPr>
              <w:pStyle w:val="ParagraphStyle12"/>
              <w:rPr>
                <w:rStyle w:val="CharacterStyle12"/>
              </w:rPr>
            </w:pPr>
            <w:r>
              <w:rPr>
                <w:rStyle w:val="CharacterStyle12"/>
              </w:rPr>
              <w:t>18.500,00</w:t>
            </w:r>
          </w:p>
        </w:tc>
      </w:tr>
      <w:tr w:rsidR="007D706A" w14:paraId="4545723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3154582"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22186265"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1C83923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E8BF893" w14:textId="77777777" w:rsidR="007D706A" w:rsidRDefault="007D706A" w:rsidP="00F70508">
            <w:pPr>
              <w:pStyle w:val="ParagraphStyle12"/>
              <w:rPr>
                <w:rStyle w:val="CharacterStyle12"/>
              </w:rPr>
            </w:pPr>
            <w:r>
              <w:rPr>
                <w:rStyle w:val="CharacterStyle12"/>
              </w:rPr>
              <w:t>12.200,00</w:t>
            </w:r>
          </w:p>
        </w:tc>
        <w:tc>
          <w:tcPr>
            <w:tcW w:w="1395" w:type="dxa"/>
            <w:tcBorders>
              <w:bottom w:val="single" w:sz="6" w:space="0" w:color="000000"/>
              <w:right w:val="single" w:sz="6" w:space="0" w:color="000000"/>
            </w:tcBorders>
            <w:vAlign w:val="center"/>
          </w:tcPr>
          <w:p w14:paraId="5ACC27FF" w14:textId="77777777" w:rsidR="007D706A" w:rsidRDefault="007D706A" w:rsidP="00F70508">
            <w:pPr>
              <w:pStyle w:val="ParagraphStyle12"/>
              <w:rPr>
                <w:rStyle w:val="CharacterStyle12"/>
              </w:rPr>
            </w:pPr>
            <w:r>
              <w:rPr>
                <w:rStyle w:val="CharacterStyle12"/>
              </w:rPr>
              <w:t>17.550,00</w:t>
            </w:r>
          </w:p>
        </w:tc>
        <w:tc>
          <w:tcPr>
            <w:tcW w:w="1395" w:type="dxa"/>
            <w:tcBorders>
              <w:bottom w:val="single" w:sz="6" w:space="0" w:color="000000"/>
              <w:right w:val="single" w:sz="6" w:space="0" w:color="000000"/>
            </w:tcBorders>
            <w:vAlign w:val="center"/>
          </w:tcPr>
          <w:p w14:paraId="65274092" w14:textId="77777777" w:rsidR="007D706A" w:rsidRDefault="007D706A" w:rsidP="00F70508">
            <w:pPr>
              <w:pStyle w:val="ParagraphStyle12"/>
              <w:rPr>
                <w:rStyle w:val="CharacterStyle12"/>
              </w:rPr>
            </w:pPr>
            <w:r>
              <w:rPr>
                <w:rStyle w:val="CharacterStyle12"/>
              </w:rPr>
              <w:t>17.550,00</w:t>
            </w:r>
          </w:p>
        </w:tc>
        <w:tc>
          <w:tcPr>
            <w:tcW w:w="1395" w:type="dxa"/>
            <w:tcBorders>
              <w:bottom w:val="single" w:sz="6" w:space="0" w:color="000000"/>
              <w:right w:val="single" w:sz="6" w:space="0" w:color="000000"/>
            </w:tcBorders>
            <w:vAlign w:val="center"/>
          </w:tcPr>
          <w:p w14:paraId="2DE50033" w14:textId="77777777" w:rsidR="007D706A" w:rsidRDefault="007D706A" w:rsidP="00F70508">
            <w:pPr>
              <w:pStyle w:val="ParagraphStyle12"/>
              <w:rPr>
                <w:rStyle w:val="CharacterStyle12"/>
              </w:rPr>
            </w:pPr>
            <w:r>
              <w:rPr>
                <w:rStyle w:val="CharacterStyle12"/>
              </w:rPr>
              <w:t>17.550,00</w:t>
            </w:r>
          </w:p>
        </w:tc>
      </w:tr>
      <w:tr w:rsidR="007D706A" w14:paraId="0A8F728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43C02C6" w14:textId="77777777" w:rsidR="007D706A" w:rsidRDefault="007D706A" w:rsidP="00F70508">
            <w:pPr>
              <w:pStyle w:val="ParagraphStyle10"/>
              <w:rPr>
                <w:rStyle w:val="CharacterStyle10"/>
              </w:rPr>
            </w:pPr>
            <w:r>
              <w:rPr>
                <w:rStyle w:val="CharacterStyle10"/>
              </w:rPr>
              <w:t>34</w:t>
            </w:r>
          </w:p>
        </w:tc>
        <w:tc>
          <w:tcPr>
            <w:tcW w:w="4995" w:type="dxa"/>
            <w:tcBorders>
              <w:bottom w:val="single" w:sz="6" w:space="0" w:color="000000"/>
              <w:right w:val="single" w:sz="6" w:space="0" w:color="000000"/>
            </w:tcBorders>
            <w:vAlign w:val="center"/>
          </w:tcPr>
          <w:p w14:paraId="5D432864" w14:textId="77777777" w:rsidR="007D706A" w:rsidRDefault="007D706A" w:rsidP="00F70508">
            <w:pPr>
              <w:pStyle w:val="ParagraphStyle11"/>
              <w:rPr>
                <w:rStyle w:val="CharacterStyle11"/>
              </w:rPr>
            </w:pPr>
            <w:r>
              <w:rPr>
                <w:rStyle w:val="CharacterStyle11"/>
              </w:rPr>
              <w:t>Financijski rashodi</w:t>
            </w:r>
          </w:p>
        </w:tc>
        <w:tc>
          <w:tcPr>
            <w:tcW w:w="1395" w:type="dxa"/>
            <w:tcBorders>
              <w:bottom w:val="single" w:sz="6" w:space="0" w:color="000000"/>
              <w:right w:val="single" w:sz="6" w:space="0" w:color="000000"/>
            </w:tcBorders>
            <w:vAlign w:val="center"/>
          </w:tcPr>
          <w:p w14:paraId="7471629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CE001AA" w14:textId="77777777" w:rsidR="007D706A" w:rsidRDefault="007D706A" w:rsidP="00F70508">
            <w:pPr>
              <w:pStyle w:val="ParagraphStyle12"/>
              <w:rPr>
                <w:rStyle w:val="CharacterStyle12"/>
              </w:rPr>
            </w:pPr>
            <w:r>
              <w:rPr>
                <w:rStyle w:val="CharacterStyle12"/>
              </w:rPr>
              <w:t>800,00</w:t>
            </w:r>
          </w:p>
        </w:tc>
        <w:tc>
          <w:tcPr>
            <w:tcW w:w="1395" w:type="dxa"/>
            <w:tcBorders>
              <w:bottom w:val="single" w:sz="6" w:space="0" w:color="000000"/>
              <w:right w:val="single" w:sz="6" w:space="0" w:color="000000"/>
            </w:tcBorders>
            <w:vAlign w:val="center"/>
          </w:tcPr>
          <w:p w14:paraId="78ACA342" w14:textId="77777777" w:rsidR="007D706A" w:rsidRDefault="007D706A" w:rsidP="00F70508">
            <w:pPr>
              <w:pStyle w:val="ParagraphStyle12"/>
              <w:rPr>
                <w:rStyle w:val="CharacterStyle12"/>
              </w:rPr>
            </w:pPr>
            <w:r>
              <w:rPr>
                <w:rStyle w:val="CharacterStyle12"/>
              </w:rPr>
              <w:t>950,00</w:t>
            </w:r>
          </w:p>
        </w:tc>
        <w:tc>
          <w:tcPr>
            <w:tcW w:w="1395" w:type="dxa"/>
            <w:tcBorders>
              <w:bottom w:val="single" w:sz="6" w:space="0" w:color="000000"/>
              <w:right w:val="single" w:sz="6" w:space="0" w:color="000000"/>
            </w:tcBorders>
            <w:vAlign w:val="center"/>
          </w:tcPr>
          <w:p w14:paraId="12000647" w14:textId="77777777" w:rsidR="007D706A" w:rsidRDefault="007D706A" w:rsidP="00F70508">
            <w:pPr>
              <w:pStyle w:val="ParagraphStyle12"/>
              <w:rPr>
                <w:rStyle w:val="CharacterStyle12"/>
              </w:rPr>
            </w:pPr>
            <w:r>
              <w:rPr>
                <w:rStyle w:val="CharacterStyle12"/>
              </w:rPr>
              <w:t>950,00</w:t>
            </w:r>
          </w:p>
        </w:tc>
        <w:tc>
          <w:tcPr>
            <w:tcW w:w="1395" w:type="dxa"/>
            <w:tcBorders>
              <w:bottom w:val="single" w:sz="6" w:space="0" w:color="000000"/>
              <w:right w:val="single" w:sz="6" w:space="0" w:color="000000"/>
            </w:tcBorders>
            <w:vAlign w:val="center"/>
          </w:tcPr>
          <w:p w14:paraId="25FD8977" w14:textId="77777777" w:rsidR="007D706A" w:rsidRDefault="007D706A" w:rsidP="00F70508">
            <w:pPr>
              <w:pStyle w:val="ParagraphStyle12"/>
              <w:rPr>
                <w:rStyle w:val="CharacterStyle12"/>
              </w:rPr>
            </w:pPr>
            <w:r>
              <w:rPr>
                <w:rStyle w:val="CharacterStyle12"/>
              </w:rPr>
              <w:t>950,00</w:t>
            </w:r>
          </w:p>
        </w:tc>
      </w:tr>
      <w:tr w:rsidR="007D706A" w14:paraId="2B76085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C284AED" w14:textId="77777777" w:rsidR="007D706A" w:rsidRDefault="007D706A" w:rsidP="00F70508">
            <w:pPr>
              <w:pStyle w:val="ParagraphStyle7"/>
              <w:rPr>
                <w:rStyle w:val="CharacterStyle7"/>
              </w:rPr>
            </w:pPr>
            <w:r>
              <w:rPr>
                <w:rStyle w:val="CharacterStyle7"/>
              </w:rPr>
              <w:t>Izvor financiranja 41</w:t>
            </w:r>
          </w:p>
        </w:tc>
        <w:tc>
          <w:tcPr>
            <w:tcW w:w="4995" w:type="dxa"/>
            <w:tcBorders>
              <w:bottom w:val="single" w:sz="6" w:space="0" w:color="000000"/>
              <w:right w:val="single" w:sz="6" w:space="0" w:color="000000"/>
            </w:tcBorders>
            <w:vAlign w:val="center"/>
          </w:tcPr>
          <w:p w14:paraId="70CF494D" w14:textId="77777777" w:rsidR="007D706A" w:rsidRDefault="007D706A" w:rsidP="00F70508">
            <w:pPr>
              <w:pStyle w:val="ParagraphStyle8"/>
              <w:rPr>
                <w:rStyle w:val="CharacterStyle8"/>
              </w:rPr>
            </w:pPr>
            <w:r>
              <w:rPr>
                <w:rStyle w:val="CharacterStyle8"/>
              </w:rPr>
              <w:t>Prihodi za posebne namjene</w:t>
            </w:r>
          </w:p>
        </w:tc>
        <w:tc>
          <w:tcPr>
            <w:tcW w:w="1395" w:type="dxa"/>
            <w:tcBorders>
              <w:bottom w:val="single" w:sz="6" w:space="0" w:color="000000"/>
              <w:right w:val="single" w:sz="6" w:space="0" w:color="000000"/>
            </w:tcBorders>
            <w:vAlign w:val="center"/>
          </w:tcPr>
          <w:p w14:paraId="5B3BFBB1"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733A4B9" w14:textId="77777777" w:rsidR="007D706A" w:rsidRDefault="007D706A" w:rsidP="00F70508">
            <w:pPr>
              <w:pStyle w:val="ParagraphStyle9"/>
              <w:rPr>
                <w:rStyle w:val="CharacterStyle9"/>
              </w:rPr>
            </w:pPr>
            <w:r>
              <w:rPr>
                <w:rStyle w:val="CharacterStyle9"/>
              </w:rPr>
              <w:t>10.200,00</w:t>
            </w:r>
          </w:p>
        </w:tc>
        <w:tc>
          <w:tcPr>
            <w:tcW w:w="1395" w:type="dxa"/>
            <w:tcBorders>
              <w:bottom w:val="single" w:sz="6" w:space="0" w:color="000000"/>
              <w:right w:val="single" w:sz="6" w:space="0" w:color="000000"/>
            </w:tcBorders>
            <w:vAlign w:val="center"/>
          </w:tcPr>
          <w:p w14:paraId="03430482"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D10A4A7"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28961B4" w14:textId="77777777" w:rsidR="007D706A" w:rsidRDefault="007D706A" w:rsidP="00F70508">
            <w:pPr>
              <w:pStyle w:val="ParagraphStyle9"/>
              <w:rPr>
                <w:rStyle w:val="CharacterStyle9"/>
              </w:rPr>
            </w:pPr>
            <w:r>
              <w:rPr>
                <w:rStyle w:val="CharacterStyle9"/>
              </w:rPr>
              <w:t>0,00</w:t>
            </w:r>
          </w:p>
        </w:tc>
      </w:tr>
      <w:tr w:rsidR="007D706A" w14:paraId="2C6580C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A2BA6AF"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27A66BAE"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367DBF7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126F620" w14:textId="77777777" w:rsidR="007D706A" w:rsidRDefault="007D706A" w:rsidP="00F70508">
            <w:pPr>
              <w:pStyle w:val="ParagraphStyle12"/>
              <w:rPr>
                <w:rStyle w:val="CharacterStyle12"/>
              </w:rPr>
            </w:pPr>
            <w:r>
              <w:rPr>
                <w:rStyle w:val="CharacterStyle12"/>
              </w:rPr>
              <w:t>10.200,00</w:t>
            </w:r>
          </w:p>
        </w:tc>
        <w:tc>
          <w:tcPr>
            <w:tcW w:w="1395" w:type="dxa"/>
            <w:tcBorders>
              <w:bottom w:val="single" w:sz="6" w:space="0" w:color="000000"/>
              <w:right w:val="single" w:sz="6" w:space="0" w:color="000000"/>
            </w:tcBorders>
            <w:vAlign w:val="center"/>
          </w:tcPr>
          <w:p w14:paraId="1EBCDE7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EAEBDC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0B3CA52" w14:textId="77777777" w:rsidR="007D706A" w:rsidRDefault="007D706A" w:rsidP="00F70508">
            <w:pPr>
              <w:pStyle w:val="ParagraphStyle12"/>
              <w:rPr>
                <w:rStyle w:val="CharacterStyle12"/>
              </w:rPr>
            </w:pPr>
            <w:r>
              <w:rPr>
                <w:rStyle w:val="CharacterStyle12"/>
              </w:rPr>
              <w:t>0,00</w:t>
            </w:r>
          </w:p>
        </w:tc>
      </w:tr>
      <w:tr w:rsidR="007D706A" w14:paraId="4DA7253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D096B91"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7D707263"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5DE1429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5C37F3B" w14:textId="77777777" w:rsidR="007D706A" w:rsidRDefault="007D706A" w:rsidP="00F70508">
            <w:pPr>
              <w:pStyle w:val="ParagraphStyle12"/>
              <w:rPr>
                <w:rStyle w:val="CharacterStyle12"/>
              </w:rPr>
            </w:pPr>
            <w:r>
              <w:rPr>
                <w:rStyle w:val="CharacterStyle12"/>
              </w:rPr>
              <w:t>10.200,00</w:t>
            </w:r>
          </w:p>
        </w:tc>
        <w:tc>
          <w:tcPr>
            <w:tcW w:w="1395" w:type="dxa"/>
            <w:tcBorders>
              <w:bottom w:val="single" w:sz="6" w:space="0" w:color="000000"/>
              <w:right w:val="single" w:sz="6" w:space="0" w:color="000000"/>
            </w:tcBorders>
            <w:vAlign w:val="center"/>
          </w:tcPr>
          <w:p w14:paraId="57F4CA0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4F684D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0523AD0" w14:textId="77777777" w:rsidR="007D706A" w:rsidRDefault="007D706A" w:rsidP="00F70508">
            <w:pPr>
              <w:pStyle w:val="ParagraphStyle12"/>
              <w:rPr>
                <w:rStyle w:val="CharacterStyle12"/>
              </w:rPr>
            </w:pPr>
            <w:r>
              <w:rPr>
                <w:rStyle w:val="CharacterStyle12"/>
              </w:rPr>
              <w:t>0,00</w:t>
            </w:r>
          </w:p>
        </w:tc>
      </w:tr>
      <w:tr w:rsidR="007D706A" w14:paraId="5E738F0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04A844C" w14:textId="77777777" w:rsidR="007D706A" w:rsidRDefault="007D706A" w:rsidP="00F70508">
            <w:pPr>
              <w:pStyle w:val="ParagraphStyle7"/>
              <w:rPr>
                <w:rStyle w:val="CharacterStyle7"/>
              </w:rPr>
            </w:pPr>
            <w:r>
              <w:rPr>
                <w:rStyle w:val="CharacterStyle7"/>
              </w:rPr>
              <w:t>Izvor financiranja 53</w:t>
            </w:r>
          </w:p>
        </w:tc>
        <w:tc>
          <w:tcPr>
            <w:tcW w:w="4995" w:type="dxa"/>
            <w:tcBorders>
              <w:bottom w:val="single" w:sz="6" w:space="0" w:color="000000"/>
              <w:right w:val="single" w:sz="6" w:space="0" w:color="000000"/>
            </w:tcBorders>
            <w:vAlign w:val="center"/>
          </w:tcPr>
          <w:p w14:paraId="65C213A0" w14:textId="77777777" w:rsidR="007D706A" w:rsidRDefault="007D706A" w:rsidP="00F70508">
            <w:pPr>
              <w:pStyle w:val="ParagraphStyle8"/>
              <w:rPr>
                <w:rStyle w:val="CharacterStyle8"/>
              </w:rPr>
            </w:pPr>
            <w:r>
              <w:rPr>
                <w:rStyle w:val="CharacterStyle8"/>
              </w:rPr>
              <w:t>Proračuni, drugi nivoi - za posebne i / ili ugovorene namjene</w:t>
            </w:r>
          </w:p>
        </w:tc>
        <w:tc>
          <w:tcPr>
            <w:tcW w:w="1395" w:type="dxa"/>
            <w:tcBorders>
              <w:bottom w:val="single" w:sz="6" w:space="0" w:color="000000"/>
              <w:right w:val="single" w:sz="6" w:space="0" w:color="000000"/>
            </w:tcBorders>
            <w:vAlign w:val="center"/>
          </w:tcPr>
          <w:p w14:paraId="6177CDEB"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C23A6AF" w14:textId="77777777" w:rsidR="007D706A" w:rsidRDefault="007D706A" w:rsidP="00F70508">
            <w:pPr>
              <w:pStyle w:val="ParagraphStyle9"/>
              <w:rPr>
                <w:rStyle w:val="CharacterStyle9"/>
              </w:rPr>
            </w:pPr>
            <w:r>
              <w:rPr>
                <w:rStyle w:val="CharacterStyle9"/>
              </w:rPr>
              <w:t>65.000,00</w:t>
            </w:r>
          </w:p>
        </w:tc>
        <w:tc>
          <w:tcPr>
            <w:tcW w:w="1395" w:type="dxa"/>
            <w:tcBorders>
              <w:bottom w:val="single" w:sz="6" w:space="0" w:color="000000"/>
              <w:right w:val="single" w:sz="6" w:space="0" w:color="000000"/>
            </w:tcBorders>
            <w:vAlign w:val="center"/>
          </w:tcPr>
          <w:p w14:paraId="0EBE5A26"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7951DBA"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EA22BB4" w14:textId="77777777" w:rsidR="007D706A" w:rsidRDefault="007D706A" w:rsidP="00F70508">
            <w:pPr>
              <w:pStyle w:val="ParagraphStyle9"/>
              <w:rPr>
                <w:rStyle w:val="CharacterStyle9"/>
              </w:rPr>
            </w:pPr>
            <w:r>
              <w:rPr>
                <w:rStyle w:val="CharacterStyle9"/>
              </w:rPr>
              <w:t>0,00</w:t>
            </w:r>
          </w:p>
        </w:tc>
      </w:tr>
      <w:tr w:rsidR="007D706A" w14:paraId="6EF2C2E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241E186"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04758216"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2B0C468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0F9ABC4" w14:textId="77777777" w:rsidR="007D706A" w:rsidRDefault="007D706A" w:rsidP="00F70508">
            <w:pPr>
              <w:pStyle w:val="ParagraphStyle12"/>
              <w:rPr>
                <w:rStyle w:val="CharacterStyle12"/>
              </w:rPr>
            </w:pPr>
            <w:r>
              <w:rPr>
                <w:rStyle w:val="CharacterStyle12"/>
              </w:rPr>
              <w:t>65.000,00</w:t>
            </w:r>
          </w:p>
        </w:tc>
        <w:tc>
          <w:tcPr>
            <w:tcW w:w="1395" w:type="dxa"/>
            <w:tcBorders>
              <w:bottom w:val="single" w:sz="6" w:space="0" w:color="000000"/>
              <w:right w:val="single" w:sz="6" w:space="0" w:color="000000"/>
            </w:tcBorders>
            <w:vAlign w:val="center"/>
          </w:tcPr>
          <w:p w14:paraId="553F3D1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6169E3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CC0E3DF" w14:textId="77777777" w:rsidR="007D706A" w:rsidRDefault="007D706A" w:rsidP="00F70508">
            <w:pPr>
              <w:pStyle w:val="ParagraphStyle12"/>
              <w:rPr>
                <w:rStyle w:val="CharacterStyle12"/>
              </w:rPr>
            </w:pPr>
            <w:r>
              <w:rPr>
                <w:rStyle w:val="CharacterStyle12"/>
              </w:rPr>
              <w:t>0,00</w:t>
            </w:r>
          </w:p>
        </w:tc>
      </w:tr>
      <w:tr w:rsidR="007D706A" w14:paraId="727F7C6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22B9FB5" w14:textId="77777777" w:rsidR="007D706A" w:rsidRDefault="007D706A" w:rsidP="00F70508">
            <w:pPr>
              <w:pStyle w:val="ParagraphStyle10"/>
              <w:rPr>
                <w:rStyle w:val="CharacterStyle10"/>
              </w:rPr>
            </w:pPr>
            <w:r>
              <w:rPr>
                <w:rStyle w:val="CharacterStyle10"/>
              </w:rPr>
              <w:t>45</w:t>
            </w:r>
          </w:p>
        </w:tc>
        <w:tc>
          <w:tcPr>
            <w:tcW w:w="4995" w:type="dxa"/>
            <w:tcBorders>
              <w:bottom w:val="single" w:sz="6" w:space="0" w:color="000000"/>
              <w:right w:val="single" w:sz="6" w:space="0" w:color="000000"/>
            </w:tcBorders>
            <w:vAlign w:val="center"/>
          </w:tcPr>
          <w:p w14:paraId="0E9ADEC3" w14:textId="77777777" w:rsidR="007D706A" w:rsidRDefault="007D706A" w:rsidP="00F70508">
            <w:pPr>
              <w:pStyle w:val="ParagraphStyle11"/>
              <w:rPr>
                <w:rStyle w:val="CharacterStyle11"/>
              </w:rPr>
            </w:pPr>
            <w:r>
              <w:rPr>
                <w:rStyle w:val="CharacterStyle11"/>
              </w:rPr>
              <w:t>Rashodi za dodatna ulaganja na nefinancijskoj imovini</w:t>
            </w:r>
          </w:p>
        </w:tc>
        <w:tc>
          <w:tcPr>
            <w:tcW w:w="1395" w:type="dxa"/>
            <w:tcBorders>
              <w:bottom w:val="single" w:sz="6" w:space="0" w:color="000000"/>
              <w:right w:val="single" w:sz="6" w:space="0" w:color="000000"/>
            </w:tcBorders>
            <w:vAlign w:val="center"/>
          </w:tcPr>
          <w:p w14:paraId="6660A9F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566563C" w14:textId="77777777" w:rsidR="007D706A" w:rsidRDefault="007D706A" w:rsidP="00F70508">
            <w:pPr>
              <w:pStyle w:val="ParagraphStyle12"/>
              <w:rPr>
                <w:rStyle w:val="CharacterStyle12"/>
              </w:rPr>
            </w:pPr>
            <w:r>
              <w:rPr>
                <w:rStyle w:val="CharacterStyle12"/>
              </w:rPr>
              <w:t>65.000,00</w:t>
            </w:r>
          </w:p>
        </w:tc>
        <w:tc>
          <w:tcPr>
            <w:tcW w:w="1395" w:type="dxa"/>
            <w:tcBorders>
              <w:bottom w:val="single" w:sz="6" w:space="0" w:color="000000"/>
              <w:right w:val="single" w:sz="6" w:space="0" w:color="000000"/>
            </w:tcBorders>
            <w:vAlign w:val="center"/>
          </w:tcPr>
          <w:p w14:paraId="6206F0E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F555F4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934326E" w14:textId="77777777" w:rsidR="007D706A" w:rsidRDefault="007D706A" w:rsidP="00F70508">
            <w:pPr>
              <w:pStyle w:val="ParagraphStyle12"/>
              <w:rPr>
                <w:rStyle w:val="CharacterStyle12"/>
              </w:rPr>
            </w:pPr>
            <w:r>
              <w:rPr>
                <w:rStyle w:val="CharacterStyle12"/>
              </w:rPr>
              <w:t>0,00</w:t>
            </w:r>
          </w:p>
        </w:tc>
      </w:tr>
      <w:tr w:rsidR="007D706A" w14:paraId="7814779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FD552F7" w14:textId="77777777" w:rsidR="007D706A" w:rsidRDefault="007D706A" w:rsidP="00F70508">
            <w:pPr>
              <w:pStyle w:val="ParagraphStyle7"/>
              <w:rPr>
                <w:rStyle w:val="CharacterStyle7"/>
              </w:rPr>
            </w:pPr>
            <w:r>
              <w:rPr>
                <w:rStyle w:val="CharacterStyle7"/>
              </w:rPr>
              <w:t>Izvor financiranja 82</w:t>
            </w:r>
          </w:p>
        </w:tc>
        <w:tc>
          <w:tcPr>
            <w:tcW w:w="4995" w:type="dxa"/>
            <w:tcBorders>
              <w:bottom w:val="single" w:sz="6" w:space="0" w:color="000000"/>
              <w:right w:val="single" w:sz="6" w:space="0" w:color="000000"/>
            </w:tcBorders>
            <w:vAlign w:val="center"/>
          </w:tcPr>
          <w:p w14:paraId="55DCA0D3" w14:textId="77777777" w:rsidR="007D706A" w:rsidRDefault="007D706A" w:rsidP="00F70508">
            <w:pPr>
              <w:pStyle w:val="ParagraphStyle8"/>
              <w:rPr>
                <w:rStyle w:val="CharacterStyle8"/>
              </w:rPr>
            </w:pPr>
            <w:r>
              <w:rPr>
                <w:rStyle w:val="CharacterStyle8"/>
              </w:rPr>
              <w:t>Preneseni viškovi iz ranijih godina</w:t>
            </w:r>
          </w:p>
        </w:tc>
        <w:tc>
          <w:tcPr>
            <w:tcW w:w="1395" w:type="dxa"/>
            <w:tcBorders>
              <w:bottom w:val="single" w:sz="6" w:space="0" w:color="000000"/>
              <w:right w:val="single" w:sz="6" w:space="0" w:color="000000"/>
            </w:tcBorders>
            <w:vAlign w:val="center"/>
          </w:tcPr>
          <w:p w14:paraId="0C12A95B"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2F7AE59" w14:textId="77777777" w:rsidR="007D706A" w:rsidRDefault="007D706A" w:rsidP="00F70508">
            <w:pPr>
              <w:pStyle w:val="ParagraphStyle9"/>
              <w:rPr>
                <w:rStyle w:val="CharacterStyle9"/>
              </w:rPr>
            </w:pPr>
            <w:r>
              <w:rPr>
                <w:rStyle w:val="CharacterStyle9"/>
              </w:rPr>
              <w:t>500,00</w:t>
            </w:r>
          </w:p>
        </w:tc>
        <w:tc>
          <w:tcPr>
            <w:tcW w:w="1395" w:type="dxa"/>
            <w:tcBorders>
              <w:bottom w:val="single" w:sz="6" w:space="0" w:color="000000"/>
              <w:right w:val="single" w:sz="6" w:space="0" w:color="000000"/>
            </w:tcBorders>
            <w:vAlign w:val="center"/>
          </w:tcPr>
          <w:p w14:paraId="32E85F34"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79923B0"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8FAC996" w14:textId="77777777" w:rsidR="007D706A" w:rsidRDefault="007D706A" w:rsidP="00F70508">
            <w:pPr>
              <w:pStyle w:val="ParagraphStyle9"/>
              <w:rPr>
                <w:rStyle w:val="CharacterStyle9"/>
              </w:rPr>
            </w:pPr>
            <w:r>
              <w:rPr>
                <w:rStyle w:val="CharacterStyle9"/>
              </w:rPr>
              <w:t>0,00</w:t>
            </w:r>
          </w:p>
        </w:tc>
      </w:tr>
      <w:tr w:rsidR="007D706A" w14:paraId="4A56540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43D2F4E"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7A4C8D96"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65E0B3E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8632518" w14:textId="77777777" w:rsidR="007D706A" w:rsidRDefault="007D706A" w:rsidP="00F70508">
            <w:pPr>
              <w:pStyle w:val="ParagraphStyle12"/>
              <w:rPr>
                <w:rStyle w:val="CharacterStyle12"/>
              </w:rPr>
            </w:pPr>
            <w:r>
              <w:rPr>
                <w:rStyle w:val="CharacterStyle12"/>
              </w:rPr>
              <w:t>500,00</w:t>
            </w:r>
          </w:p>
        </w:tc>
        <w:tc>
          <w:tcPr>
            <w:tcW w:w="1395" w:type="dxa"/>
            <w:tcBorders>
              <w:bottom w:val="single" w:sz="6" w:space="0" w:color="000000"/>
              <w:right w:val="single" w:sz="6" w:space="0" w:color="000000"/>
            </w:tcBorders>
            <w:vAlign w:val="center"/>
          </w:tcPr>
          <w:p w14:paraId="0E930B0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A1B929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ED48745" w14:textId="77777777" w:rsidR="007D706A" w:rsidRDefault="007D706A" w:rsidP="00F70508">
            <w:pPr>
              <w:pStyle w:val="ParagraphStyle12"/>
              <w:rPr>
                <w:rStyle w:val="CharacterStyle12"/>
              </w:rPr>
            </w:pPr>
            <w:r>
              <w:rPr>
                <w:rStyle w:val="CharacterStyle12"/>
              </w:rPr>
              <w:t>0,00</w:t>
            </w:r>
          </w:p>
        </w:tc>
      </w:tr>
      <w:tr w:rsidR="007D706A" w14:paraId="49B97F2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CE29B4F"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4C6D0ED3"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0EDE888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A2753CC" w14:textId="77777777" w:rsidR="007D706A" w:rsidRDefault="007D706A" w:rsidP="00F70508">
            <w:pPr>
              <w:pStyle w:val="ParagraphStyle12"/>
              <w:rPr>
                <w:rStyle w:val="CharacterStyle12"/>
              </w:rPr>
            </w:pPr>
            <w:r>
              <w:rPr>
                <w:rStyle w:val="CharacterStyle12"/>
              </w:rPr>
              <w:t>500,00</w:t>
            </w:r>
          </w:p>
        </w:tc>
        <w:tc>
          <w:tcPr>
            <w:tcW w:w="1395" w:type="dxa"/>
            <w:tcBorders>
              <w:bottom w:val="single" w:sz="6" w:space="0" w:color="000000"/>
              <w:right w:val="single" w:sz="6" w:space="0" w:color="000000"/>
            </w:tcBorders>
            <w:vAlign w:val="center"/>
          </w:tcPr>
          <w:p w14:paraId="21C65C8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1D963D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BD8080C" w14:textId="77777777" w:rsidR="007D706A" w:rsidRDefault="007D706A" w:rsidP="00F70508">
            <w:pPr>
              <w:pStyle w:val="ParagraphStyle12"/>
              <w:rPr>
                <w:rStyle w:val="CharacterStyle12"/>
              </w:rPr>
            </w:pPr>
            <w:r>
              <w:rPr>
                <w:rStyle w:val="CharacterStyle12"/>
              </w:rPr>
              <w:t>0,00</w:t>
            </w:r>
          </w:p>
        </w:tc>
      </w:tr>
      <w:tr w:rsidR="007D706A" w14:paraId="45C9370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C4F4631" w14:textId="77777777" w:rsidR="007D706A" w:rsidRDefault="007D706A" w:rsidP="00F70508">
            <w:pPr>
              <w:pStyle w:val="ParagraphStyle4"/>
              <w:rPr>
                <w:rStyle w:val="CharacterStyle4"/>
              </w:rPr>
            </w:pPr>
            <w:r>
              <w:rPr>
                <w:rStyle w:val="CharacterStyle4"/>
              </w:rPr>
              <w:t>Aktivnost A103702</w:t>
            </w:r>
          </w:p>
        </w:tc>
        <w:tc>
          <w:tcPr>
            <w:tcW w:w="4995" w:type="dxa"/>
            <w:tcBorders>
              <w:bottom w:val="single" w:sz="6" w:space="0" w:color="000000"/>
              <w:right w:val="single" w:sz="6" w:space="0" w:color="000000"/>
            </w:tcBorders>
            <w:vAlign w:val="center"/>
          </w:tcPr>
          <w:p w14:paraId="3844B5E5" w14:textId="77777777" w:rsidR="007D706A" w:rsidRDefault="007D706A" w:rsidP="00F70508">
            <w:pPr>
              <w:pStyle w:val="ParagraphStyle5"/>
              <w:rPr>
                <w:rStyle w:val="CharacterStyle5"/>
              </w:rPr>
            </w:pPr>
            <w:r>
              <w:rPr>
                <w:rStyle w:val="CharacterStyle5"/>
              </w:rPr>
              <w:t>UPRAVNO VIJEĆE</w:t>
            </w:r>
          </w:p>
        </w:tc>
        <w:tc>
          <w:tcPr>
            <w:tcW w:w="1395" w:type="dxa"/>
            <w:tcBorders>
              <w:bottom w:val="single" w:sz="6" w:space="0" w:color="000000"/>
              <w:right w:val="single" w:sz="6" w:space="0" w:color="000000"/>
            </w:tcBorders>
            <w:vAlign w:val="center"/>
          </w:tcPr>
          <w:p w14:paraId="3F02E1D7"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6C9ED22A" w14:textId="77777777" w:rsidR="007D706A" w:rsidRDefault="007D706A" w:rsidP="00F70508">
            <w:pPr>
              <w:pStyle w:val="ParagraphStyle6"/>
              <w:rPr>
                <w:rStyle w:val="CharacterStyle6"/>
              </w:rPr>
            </w:pPr>
            <w:r>
              <w:rPr>
                <w:rStyle w:val="CharacterStyle6"/>
              </w:rPr>
              <w:t>3.120,00</w:t>
            </w:r>
          </w:p>
        </w:tc>
        <w:tc>
          <w:tcPr>
            <w:tcW w:w="1395" w:type="dxa"/>
            <w:tcBorders>
              <w:bottom w:val="single" w:sz="6" w:space="0" w:color="000000"/>
              <w:right w:val="single" w:sz="6" w:space="0" w:color="000000"/>
            </w:tcBorders>
            <w:vAlign w:val="center"/>
          </w:tcPr>
          <w:p w14:paraId="23F18607" w14:textId="77777777" w:rsidR="007D706A" w:rsidRDefault="007D706A" w:rsidP="00F70508">
            <w:pPr>
              <w:pStyle w:val="ParagraphStyle6"/>
              <w:rPr>
                <w:rStyle w:val="CharacterStyle6"/>
              </w:rPr>
            </w:pPr>
            <w:r>
              <w:rPr>
                <w:rStyle w:val="CharacterStyle6"/>
              </w:rPr>
              <w:t>3.306,00</w:t>
            </w:r>
          </w:p>
        </w:tc>
        <w:tc>
          <w:tcPr>
            <w:tcW w:w="1395" w:type="dxa"/>
            <w:tcBorders>
              <w:bottom w:val="single" w:sz="6" w:space="0" w:color="000000"/>
              <w:right w:val="single" w:sz="6" w:space="0" w:color="000000"/>
            </w:tcBorders>
            <w:vAlign w:val="center"/>
          </w:tcPr>
          <w:p w14:paraId="03AF7C42" w14:textId="77777777" w:rsidR="007D706A" w:rsidRDefault="007D706A" w:rsidP="00F70508">
            <w:pPr>
              <w:pStyle w:val="ParagraphStyle6"/>
              <w:rPr>
                <w:rStyle w:val="CharacterStyle6"/>
              </w:rPr>
            </w:pPr>
            <w:r>
              <w:rPr>
                <w:rStyle w:val="CharacterStyle6"/>
              </w:rPr>
              <w:t>3.306,00</w:t>
            </w:r>
          </w:p>
        </w:tc>
        <w:tc>
          <w:tcPr>
            <w:tcW w:w="1395" w:type="dxa"/>
            <w:tcBorders>
              <w:bottom w:val="single" w:sz="6" w:space="0" w:color="000000"/>
              <w:right w:val="single" w:sz="6" w:space="0" w:color="000000"/>
            </w:tcBorders>
            <w:vAlign w:val="center"/>
          </w:tcPr>
          <w:p w14:paraId="7E3EAEEA" w14:textId="77777777" w:rsidR="007D706A" w:rsidRDefault="007D706A" w:rsidP="00F70508">
            <w:pPr>
              <w:pStyle w:val="ParagraphStyle6"/>
              <w:rPr>
                <w:rStyle w:val="CharacterStyle6"/>
              </w:rPr>
            </w:pPr>
            <w:r>
              <w:rPr>
                <w:rStyle w:val="CharacterStyle6"/>
              </w:rPr>
              <w:t>3.306,00</w:t>
            </w:r>
          </w:p>
        </w:tc>
      </w:tr>
      <w:tr w:rsidR="007D706A" w14:paraId="2E29E60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350D04C"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5E53DBC2"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52228DBF"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2A4C449" w14:textId="77777777" w:rsidR="007D706A" w:rsidRDefault="007D706A" w:rsidP="00F70508">
            <w:pPr>
              <w:pStyle w:val="ParagraphStyle9"/>
              <w:rPr>
                <w:rStyle w:val="CharacterStyle9"/>
              </w:rPr>
            </w:pPr>
            <w:r>
              <w:rPr>
                <w:rStyle w:val="CharacterStyle9"/>
              </w:rPr>
              <w:t>3.120,00</w:t>
            </w:r>
          </w:p>
        </w:tc>
        <w:tc>
          <w:tcPr>
            <w:tcW w:w="1395" w:type="dxa"/>
            <w:tcBorders>
              <w:bottom w:val="single" w:sz="6" w:space="0" w:color="000000"/>
              <w:right w:val="single" w:sz="6" w:space="0" w:color="000000"/>
            </w:tcBorders>
            <w:vAlign w:val="center"/>
          </w:tcPr>
          <w:p w14:paraId="560AED93" w14:textId="77777777" w:rsidR="007D706A" w:rsidRDefault="007D706A" w:rsidP="00F70508">
            <w:pPr>
              <w:pStyle w:val="ParagraphStyle9"/>
              <w:rPr>
                <w:rStyle w:val="CharacterStyle9"/>
              </w:rPr>
            </w:pPr>
            <w:r>
              <w:rPr>
                <w:rStyle w:val="CharacterStyle9"/>
              </w:rPr>
              <w:t>3.306,00</w:t>
            </w:r>
          </w:p>
        </w:tc>
        <w:tc>
          <w:tcPr>
            <w:tcW w:w="1395" w:type="dxa"/>
            <w:tcBorders>
              <w:bottom w:val="single" w:sz="6" w:space="0" w:color="000000"/>
              <w:right w:val="single" w:sz="6" w:space="0" w:color="000000"/>
            </w:tcBorders>
            <w:vAlign w:val="center"/>
          </w:tcPr>
          <w:p w14:paraId="7C48FE0F" w14:textId="77777777" w:rsidR="007D706A" w:rsidRDefault="007D706A" w:rsidP="00F70508">
            <w:pPr>
              <w:pStyle w:val="ParagraphStyle9"/>
              <w:rPr>
                <w:rStyle w:val="CharacterStyle9"/>
              </w:rPr>
            </w:pPr>
            <w:r>
              <w:rPr>
                <w:rStyle w:val="CharacterStyle9"/>
              </w:rPr>
              <w:t>3.306,00</w:t>
            </w:r>
          </w:p>
        </w:tc>
        <w:tc>
          <w:tcPr>
            <w:tcW w:w="1395" w:type="dxa"/>
            <w:tcBorders>
              <w:bottom w:val="single" w:sz="6" w:space="0" w:color="000000"/>
              <w:right w:val="single" w:sz="6" w:space="0" w:color="000000"/>
            </w:tcBorders>
            <w:vAlign w:val="center"/>
          </w:tcPr>
          <w:p w14:paraId="1747879A" w14:textId="77777777" w:rsidR="007D706A" w:rsidRDefault="007D706A" w:rsidP="00F70508">
            <w:pPr>
              <w:pStyle w:val="ParagraphStyle9"/>
              <w:rPr>
                <w:rStyle w:val="CharacterStyle9"/>
              </w:rPr>
            </w:pPr>
            <w:r>
              <w:rPr>
                <w:rStyle w:val="CharacterStyle9"/>
              </w:rPr>
              <w:t>3.306,00</w:t>
            </w:r>
          </w:p>
        </w:tc>
      </w:tr>
      <w:tr w:rsidR="007D706A" w14:paraId="77C4181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86B6907"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6BA8DF06"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4880CCD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03EF7B3" w14:textId="77777777" w:rsidR="007D706A" w:rsidRDefault="007D706A" w:rsidP="00F70508">
            <w:pPr>
              <w:pStyle w:val="ParagraphStyle12"/>
              <w:rPr>
                <w:rStyle w:val="CharacterStyle12"/>
              </w:rPr>
            </w:pPr>
            <w:r>
              <w:rPr>
                <w:rStyle w:val="CharacterStyle12"/>
              </w:rPr>
              <w:t>3.120,00</w:t>
            </w:r>
          </w:p>
        </w:tc>
        <w:tc>
          <w:tcPr>
            <w:tcW w:w="1395" w:type="dxa"/>
            <w:tcBorders>
              <w:bottom w:val="single" w:sz="6" w:space="0" w:color="000000"/>
              <w:right w:val="single" w:sz="6" w:space="0" w:color="000000"/>
            </w:tcBorders>
            <w:vAlign w:val="center"/>
          </w:tcPr>
          <w:p w14:paraId="5AB14C37" w14:textId="77777777" w:rsidR="007D706A" w:rsidRDefault="007D706A" w:rsidP="00F70508">
            <w:pPr>
              <w:pStyle w:val="ParagraphStyle12"/>
              <w:rPr>
                <w:rStyle w:val="CharacterStyle12"/>
              </w:rPr>
            </w:pPr>
            <w:r>
              <w:rPr>
                <w:rStyle w:val="CharacterStyle12"/>
              </w:rPr>
              <w:t>3.306,00</w:t>
            </w:r>
          </w:p>
        </w:tc>
        <w:tc>
          <w:tcPr>
            <w:tcW w:w="1395" w:type="dxa"/>
            <w:tcBorders>
              <w:bottom w:val="single" w:sz="6" w:space="0" w:color="000000"/>
              <w:right w:val="single" w:sz="6" w:space="0" w:color="000000"/>
            </w:tcBorders>
            <w:vAlign w:val="center"/>
          </w:tcPr>
          <w:p w14:paraId="5EC5D10A" w14:textId="77777777" w:rsidR="007D706A" w:rsidRDefault="007D706A" w:rsidP="00F70508">
            <w:pPr>
              <w:pStyle w:val="ParagraphStyle12"/>
              <w:rPr>
                <w:rStyle w:val="CharacterStyle12"/>
              </w:rPr>
            </w:pPr>
            <w:r>
              <w:rPr>
                <w:rStyle w:val="CharacterStyle12"/>
              </w:rPr>
              <w:t>3.306,00</w:t>
            </w:r>
          </w:p>
        </w:tc>
        <w:tc>
          <w:tcPr>
            <w:tcW w:w="1395" w:type="dxa"/>
            <w:tcBorders>
              <w:bottom w:val="single" w:sz="6" w:space="0" w:color="000000"/>
              <w:right w:val="single" w:sz="6" w:space="0" w:color="000000"/>
            </w:tcBorders>
            <w:vAlign w:val="center"/>
          </w:tcPr>
          <w:p w14:paraId="65F15E86" w14:textId="77777777" w:rsidR="007D706A" w:rsidRDefault="007D706A" w:rsidP="00F70508">
            <w:pPr>
              <w:pStyle w:val="ParagraphStyle12"/>
              <w:rPr>
                <w:rStyle w:val="CharacterStyle12"/>
              </w:rPr>
            </w:pPr>
            <w:r>
              <w:rPr>
                <w:rStyle w:val="CharacterStyle12"/>
              </w:rPr>
              <w:t>3.306,00</w:t>
            </w:r>
          </w:p>
        </w:tc>
      </w:tr>
      <w:tr w:rsidR="007D706A" w14:paraId="767D7AD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8DDFDC8"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375DB534"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20FD53A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17FC7C6" w14:textId="77777777" w:rsidR="007D706A" w:rsidRDefault="007D706A" w:rsidP="00F70508">
            <w:pPr>
              <w:pStyle w:val="ParagraphStyle12"/>
              <w:rPr>
                <w:rStyle w:val="CharacterStyle12"/>
              </w:rPr>
            </w:pPr>
            <w:r>
              <w:rPr>
                <w:rStyle w:val="CharacterStyle12"/>
              </w:rPr>
              <w:t>3.120,00</w:t>
            </w:r>
          </w:p>
        </w:tc>
        <w:tc>
          <w:tcPr>
            <w:tcW w:w="1395" w:type="dxa"/>
            <w:tcBorders>
              <w:bottom w:val="single" w:sz="6" w:space="0" w:color="000000"/>
              <w:right w:val="single" w:sz="6" w:space="0" w:color="000000"/>
            </w:tcBorders>
            <w:vAlign w:val="center"/>
          </w:tcPr>
          <w:p w14:paraId="0E1FCC0D" w14:textId="77777777" w:rsidR="007D706A" w:rsidRDefault="007D706A" w:rsidP="00F70508">
            <w:pPr>
              <w:pStyle w:val="ParagraphStyle12"/>
              <w:rPr>
                <w:rStyle w:val="CharacterStyle12"/>
              </w:rPr>
            </w:pPr>
            <w:r>
              <w:rPr>
                <w:rStyle w:val="CharacterStyle12"/>
              </w:rPr>
              <w:t>3.306,00</w:t>
            </w:r>
          </w:p>
        </w:tc>
        <w:tc>
          <w:tcPr>
            <w:tcW w:w="1395" w:type="dxa"/>
            <w:tcBorders>
              <w:bottom w:val="single" w:sz="6" w:space="0" w:color="000000"/>
              <w:right w:val="single" w:sz="6" w:space="0" w:color="000000"/>
            </w:tcBorders>
            <w:vAlign w:val="center"/>
          </w:tcPr>
          <w:p w14:paraId="74E3CF62" w14:textId="77777777" w:rsidR="007D706A" w:rsidRDefault="007D706A" w:rsidP="00F70508">
            <w:pPr>
              <w:pStyle w:val="ParagraphStyle12"/>
              <w:rPr>
                <w:rStyle w:val="CharacterStyle12"/>
              </w:rPr>
            </w:pPr>
            <w:r>
              <w:rPr>
                <w:rStyle w:val="CharacterStyle12"/>
              </w:rPr>
              <w:t>3.306,00</w:t>
            </w:r>
          </w:p>
        </w:tc>
        <w:tc>
          <w:tcPr>
            <w:tcW w:w="1395" w:type="dxa"/>
            <w:tcBorders>
              <w:bottom w:val="single" w:sz="6" w:space="0" w:color="000000"/>
              <w:right w:val="single" w:sz="6" w:space="0" w:color="000000"/>
            </w:tcBorders>
            <w:vAlign w:val="center"/>
          </w:tcPr>
          <w:p w14:paraId="6297D970" w14:textId="77777777" w:rsidR="007D706A" w:rsidRDefault="007D706A" w:rsidP="00F70508">
            <w:pPr>
              <w:pStyle w:val="ParagraphStyle12"/>
              <w:rPr>
                <w:rStyle w:val="CharacterStyle12"/>
              </w:rPr>
            </w:pPr>
            <w:r>
              <w:rPr>
                <w:rStyle w:val="CharacterStyle12"/>
              </w:rPr>
              <w:t>3.306,00</w:t>
            </w:r>
          </w:p>
        </w:tc>
      </w:tr>
      <w:tr w:rsidR="007D706A" w14:paraId="5CDCD7B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6DDC206" w14:textId="77777777" w:rsidR="007D706A" w:rsidRDefault="007D706A" w:rsidP="00F70508">
            <w:pPr>
              <w:pStyle w:val="ParagraphStyle4"/>
              <w:rPr>
                <w:rStyle w:val="CharacterStyle4"/>
              </w:rPr>
            </w:pPr>
            <w:r>
              <w:rPr>
                <w:rStyle w:val="CharacterStyle4"/>
              </w:rPr>
              <w:t>Aktivnost A103703</w:t>
            </w:r>
          </w:p>
        </w:tc>
        <w:tc>
          <w:tcPr>
            <w:tcW w:w="4995" w:type="dxa"/>
            <w:tcBorders>
              <w:bottom w:val="single" w:sz="6" w:space="0" w:color="000000"/>
              <w:right w:val="single" w:sz="6" w:space="0" w:color="000000"/>
            </w:tcBorders>
            <w:vAlign w:val="center"/>
          </w:tcPr>
          <w:p w14:paraId="44694436" w14:textId="77777777" w:rsidR="007D706A" w:rsidRDefault="007D706A" w:rsidP="00F70508">
            <w:pPr>
              <w:pStyle w:val="ParagraphStyle5"/>
              <w:rPr>
                <w:rStyle w:val="CharacterStyle5"/>
              </w:rPr>
            </w:pPr>
            <w:r>
              <w:rPr>
                <w:rStyle w:val="CharacterStyle5"/>
              </w:rPr>
              <w:t>POSEBNI PROGRAMI USTANOVE</w:t>
            </w:r>
          </w:p>
        </w:tc>
        <w:tc>
          <w:tcPr>
            <w:tcW w:w="1395" w:type="dxa"/>
            <w:tcBorders>
              <w:bottom w:val="single" w:sz="6" w:space="0" w:color="000000"/>
              <w:right w:val="single" w:sz="6" w:space="0" w:color="000000"/>
            </w:tcBorders>
            <w:vAlign w:val="center"/>
          </w:tcPr>
          <w:p w14:paraId="156A91E7"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346C0CEE" w14:textId="77777777" w:rsidR="007D706A" w:rsidRDefault="007D706A" w:rsidP="00F70508">
            <w:pPr>
              <w:pStyle w:val="ParagraphStyle6"/>
              <w:rPr>
                <w:rStyle w:val="CharacterStyle6"/>
              </w:rPr>
            </w:pPr>
            <w:r>
              <w:rPr>
                <w:rStyle w:val="CharacterStyle6"/>
              </w:rPr>
              <w:t>291.573,00</w:t>
            </w:r>
          </w:p>
        </w:tc>
        <w:tc>
          <w:tcPr>
            <w:tcW w:w="1395" w:type="dxa"/>
            <w:tcBorders>
              <w:bottom w:val="single" w:sz="6" w:space="0" w:color="000000"/>
              <w:right w:val="single" w:sz="6" w:space="0" w:color="000000"/>
            </w:tcBorders>
            <w:vAlign w:val="center"/>
          </w:tcPr>
          <w:p w14:paraId="3038E146" w14:textId="77777777" w:rsidR="007D706A" w:rsidRDefault="007D706A" w:rsidP="00F70508">
            <w:pPr>
              <w:pStyle w:val="ParagraphStyle6"/>
              <w:rPr>
                <w:rStyle w:val="CharacterStyle6"/>
              </w:rPr>
            </w:pPr>
            <w:r>
              <w:rPr>
                <w:rStyle w:val="CharacterStyle6"/>
              </w:rPr>
              <w:t>357.695,00</w:t>
            </w:r>
          </w:p>
        </w:tc>
        <w:tc>
          <w:tcPr>
            <w:tcW w:w="1395" w:type="dxa"/>
            <w:tcBorders>
              <w:bottom w:val="single" w:sz="6" w:space="0" w:color="000000"/>
              <w:right w:val="single" w:sz="6" w:space="0" w:color="000000"/>
            </w:tcBorders>
            <w:vAlign w:val="center"/>
          </w:tcPr>
          <w:p w14:paraId="112719F7" w14:textId="77777777" w:rsidR="007D706A" w:rsidRDefault="007D706A" w:rsidP="00F70508">
            <w:pPr>
              <w:pStyle w:val="ParagraphStyle6"/>
              <w:rPr>
                <w:rStyle w:val="CharacterStyle6"/>
              </w:rPr>
            </w:pPr>
            <w:r>
              <w:rPr>
                <w:rStyle w:val="CharacterStyle6"/>
              </w:rPr>
              <w:t>295.845,00</w:t>
            </w:r>
          </w:p>
        </w:tc>
        <w:tc>
          <w:tcPr>
            <w:tcW w:w="1395" w:type="dxa"/>
            <w:tcBorders>
              <w:bottom w:val="single" w:sz="6" w:space="0" w:color="000000"/>
              <w:right w:val="single" w:sz="6" w:space="0" w:color="000000"/>
            </w:tcBorders>
            <w:vAlign w:val="center"/>
          </w:tcPr>
          <w:p w14:paraId="241BE2E9" w14:textId="77777777" w:rsidR="007D706A" w:rsidRDefault="007D706A" w:rsidP="00F70508">
            <w:pPr>
              <w:pStyle w:val="ParagraphStyle6"/>
              <w:rPr>
                <w:rStyle w:val="CharacterStyle6"/>
              </w:rPr>
            </w:pPr>
            <w:r>
              <w:rPr>
                <w:rStyle w:val="CharacterStyle6"/>
              </w:rPr>
              <w:t>300.845,00</w:t>
            </w:r>
          </w:p>
        </w:tc>
      </w:tr>
      <w:tr w:rsidR="007D706A" w14:paraId="0A60355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F4D585C"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75438E12"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3BAE41C6"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71E1EE0" w14:textId="77777777" w:rsidR="007D706A" w:rsidRDefault="007D706A" w:rsidP="00F70508">
            <w:pPr>
              <w:pStyle w:val="ParagraphStyle9"/>
              <w:rPr>
                <w:rStyle w:val="CharacterStyle9"/>
              </w:rPr>
            </w:pPr>
            <w:r>
              <w:rPr>
                <w:rStyle w:val="CharacterStyle9"/>
              </w:rPr>
              <w:t>90.499,74</w:t>
            </w:r>
          </w:p>
        </w:tc>
        <w:tc>
          <w:tcPr>
            <w:tcW w:w="1395" w:type="dxa"/>
            <w:tcBorders>
              <w:bottom w:val="single" w:sz="6" w:space="0" w:color="000000"/>
              <w:right w:val="single" w:sz="6" w:space="0" w:color="000000"/>
            </w:tcBorders>
            <w:vAlign w:val="center"/>
          </w:tcPr>
          <w:p w14:paraId="499337F7" w14:textId="77777777" w:rsidR="007D706A" w:rsidRDefault="007D706A" w:rsidP="00F70508">
            <w:pPr>
              <w:pStyle w:val="ParagraphStyle9"/>
              <w:rPr>
                <w:rStyle w:val="CharacterStyle9"/>
              </w:rPr>
            </w:pPr>
            <w:r>
              <w:rPr>
                <w:rStyle w:val="CharacterStyle9"/>
              </w:rPr>
              <w:t>166.200,00</w:t>
            </w:r>
          </w:p>
        </w:tc>
        <w:tc>
          <w:tcPr>
            <w:tcW w:w="1395" w:type="dxa"/>
            <w:tcBorders>
              <w:bottom w:val="single" w:sz="6" w:space="0" w:color="000000"/>
              <w:right w:val="single" w:sz="6" w:space="0" w:color="000000"/>
            </w:tcBorders>
            <w:vAlign w:val="center"/>
          </w:tcPr>
          <w:p w14:paraId="2FD6C83D" w14:textId="77777777" w:rsidR="007D706A" w:rsidRDefault="007D706A" w:rsidP="00F70508">
            <w:pPr>
              <w:pStyle w:val="ParagraphStyle9"/>
              <w:rPr>
                <w:rStyle w:val="CharacterStyle9"/>
              </w:rPr>
            </w:pPr>
            <w:r>
              <w:rPr>
                <w:rStyle w:val="CharacterStyle9"/>
              </w:rPr>
              <w:t>205.000,00</w:t>
            </w:r>
          </w:p>
        </w:tc>
        <w:tc>
          <w:tcPr>
            <w:tcW w:w="1395" w:type="dxa"/>
            <w:tcBorders>
              <w:bottom w:val="single" w:sz="6" w:space="0" w:color="000000"/>
              <w:right w:val="single" w:sz="6" w:space="0" w:color="000000"/>
            </w:tcBorders>
            <w:vAlign w:val="center"/>
          </w:tcPr>
          <w:p w14:paraId="5DCC86E7" w14:textId="77777777" w:rsidR="007D706A" w:rsidRDefault="007D706A" w:rsidP="00F70508">
            <w:pPr>
              <w:pStyle w:val="ParagraphStyle9"/>
              <w:rPr>
                <w:rStyle w:val="CharacterStyle9"/>
              </w:rPr>
            </w:pPr>
            <w:r>
              <w:rPr>
                <w:rStyle w:val="CharacterStyle9"/>
              </w:rPr>
              <w:t>210.000,00</w:t>
            </w:r>
          </w:p>
        </w:tc>
      </w:tr>
      <w:tr w:rsidR="007D706A" w14:paraId="5AD7BD2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7EB3A40"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06267575"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0C74B29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3F32CD4" w14:textId="77777777" w:rsidR="007D706A" w:rsidRDefault="007D706A" w:rsidP="00F70508">
            <w:pPr>
              <w:pStyle w:val="ParagraphStyle12"/>
              <w:rPr>
                <w:rStyle w:val="CharacterStyle12"/>
              </w:rPr>
            </w:pPr>
            <w:r>
              <w:rPr>
                <w:rStyle w:val="CharacterStyle12"/>
              </w:rPr>
              <w:t>90.499,74</w:t>
            </w:r>
          </w:p>
        </w:tc>
        <w:tc>
          <w:tcPr>
            <w:tcW w:w="1395" w:type="dxa"/>
            <w:tcBorders>
              <w:bottom w:val="single" w:sz="6" w:space="0" w:color="000000"/>
              <w:right w:val="single" w:sz="6" w:space="0" w:color="000000"/>
            </w:tcBorders>
            <w:vAlign w:val="center"/>
          </w:tcPr>
          <w:p w14:paraId="530BBE25" w14:textId="77777777" w:rsidR="007D706A" w:rsidRDefault="007D706A" w:rsidP="00F70508">
            <w:pPr>
              <w:pStyle w:val="ParagraphStyle12"/>
              <w:rPr>
                <w:rStyle w:val="CharacterStyle12"/>
              </w:rPr>
            </w:pPr>
            <w:r>
              <w:rPr>
                <w:rStyle w:val="CharacterStyle12"/>
              </w:rPr>
              <w:t>166.200,00</w:t>
            </w:r>
          </w:p>
        </w:tc>
        <w:tc>
          <w:tcPr>
            <w:tcW w:w="1395" w:type="dxa"/>
            <w:tcBorders>
              <w:bottom w:val="single" w:sz="6" w:space="0" w:color="000000"/>
              <w:right w:val="single" w:sz="6" w:space="0" w:color="000000"/>
            </w:tcBorders>
            <w:vAlign w:val="center"/>
          </w:tcPr>
          <w:p w14:paraId="048A7879" w14:textId="77777777" w:rsidR="007D706A" w:rsidRDefault="007D706A" w:rsidP="00F70508">
            <w:pPr>
              <w:pStyle w:val="ParagraphStyle12"/>
              <w:rPr>
                <w:rStyle w:val="CharacterStyle12"/>
              </w:rPr>
            </w:pPr>
            <w:r>
              <w:rPr>
                <w:rStyle w:val="CharacterStyle12"/>
              </w:rPr>
              <w:t>205.000,00</w:t>
            </w:r>
          </w:p>
        </w:tc>
        <w:tc>
          <w:tcPr>
            <w:tcW w:w="1395" w:type="dxa"/>
            <w:tcBorders>
              <w:bottom w:val="single" w:sz="6" w:space="0" w:color="000000"/>
              <w:right w:val="single" w:sz="6" w:space="0" w:color="000000"/>
            </w:tcBorders>
            <w:vAlign w:val="center"/>
          </w:tcPr>
          <w:p w14:paraId="4F3C6411" w14:textId="77777777" w:rsidR="007D706A" w:rsidRDefault="007D706A" w:rsidP="00F70508">
            <w:pPr>
              <w:pStyle w:val="ParagraphStyle12"/>
              <w:rPr>
                <w:rStyle w:val="CharacterStyle12"/>
              </w:rPr>
            </w:pPr>
            <w:r>
              <w:rPr>
                <w:rStyle w:val="CharacterStyle12"/>
              </w:rPr>
              <w:t>210.000,00</w:t>
            </w:r>
          </w:p>
        </w:tc>
      </w:tr>
      <w:tr w:rsidR="007D706A" w14:paraId="3B4BD47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180B7B2"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6213ED6C"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3188263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F2E1D76" w14:textId="77777777" w:rsidR="007D706A" w:rsidRDefault="007D706A" w:rsidP="00F70508">
            <w:pPr>
              <w:pStyle w:val="ParagraphStyle12"/>
              <w:rPr>
                <w:rStyle w:val="CharacterStyle12"/>
              </w:rPr>
            </w:pPr>
            <w:r>
              <w:rPr>
                <w:rStyle w:val="CharacterStyle12"/>
              </w:rPr>
              <w:t>90.499,74</w:t>
            </w:r>
          </w:p>
        </w:tc>
        <w:tc>
          <w:tcPr>
            <w:tcW w:w="1395" w:type="dxa"/>
            <w:tcBorders>
              <w:bottom w:val="single" w:sz="6" w:space="0" w:color="000000"/>
              <w:right w:val="single" w:sz="6" w:space="0" w:color="000000"/>
            </w:tcBorders>
            <w:vAlign w:val="center"/>
          </w:tcPr>
          <w:p w14:paraId="372D14C7" w14:textId="77777777" w:rsidR="007D706A" w:rsidRDefault="007D706A" w:rsidP="00F70508">
            <w:pPr>
              <w:pStyle w:val="ParagraphStyle12"/>
              <w:rPr>
                <w:rStyle w:val="CharacterStyle12"/>
              </w:rPr>
            </w:pPr>
            <w:r>
              <w:rPr>
                <w:rStyle w:val="CharacterStyle12"/>
              </w:rPr>
              <w:t>166.200,00</w:t>
            </w:r>
          </w:p>
        </w:tc>
        <w:tc>
          <w:tcPr>
            <w:tcW w:w="1395" w:type="dxa"/>
            <w:tcBorders>
              <w:bottom w:val="single" w:sz="6" w:space="0" w:color="000000"/>
              <w:right w:val="single" w:sz="6" w:space="0" w:color="000000"/>
            </w:tcBorders>
            <w:vAlign w:val="center"/>
          </w:tcPr>
          <w:p w14:paraId="5782F91F" w14:textId="77777777" w:rsidR="007D706A" w:rsidRDefault="007D706A" w:rsidP="00F70508">
            <w:pPr>
              <w:pStyle w:val="ParagraphStyle12"/>
              <w:rPr>
                <w:rStyle w:val="CharacterStyle12"/>
              </w:rPr>
            </w:pPr>
            <w:r>
              <w:rPr>
                <w:rStyle w:val="CharacterStyle12"/>
              </w:rPr>
              <w:t>205.000,00</w:t>
            </w:r>
          </w:p>
        </w:tc>
        <w:tc>
          <w:tcPr>
            <w:tcW w:w="1395" w:type="dxa"/>
            <w:tcBorders>
              <w:bottom w:val="single" w:sz="6" w:space="0" w:color="000000"/>
              <w:right w:val="single" w:sz="6" w:space="0" w:color="000000"/>
            </w:tcBorders>
            <w:vAlign w:val="center"/>
          </w:tcPr>
          <w:p w14:paraId="569C0A81" w14:textId="77777777" w:rsidR="007D706A" w:rsidRDefault="007D706A" w:rsidP="00F70508">
            <w:pPr>
              <w:pStyle w:val="ParagraphStyle12"/>
              <w:rPr>
                <w:rStyle w:val="CharacterStyle12"/>
              </w:rPr>
            </w:pPr>
            <w:r>
              <w:rPr>
                <w:rStyle w:val="CharacterStyle12"/>
              </w:rPr>
              <w:t>210.000,00</w:t>
            </w:r>
          </w:p>
        </w:tc>
      </w:tr>
      <w:tr w:rsidR="007D706A" w14:paraId="4D89C7A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7221498" w14:textId="77777777" w:rsidR="007D706A" w:rsidRDefault="007D706A" w:rsidP="00F70508">
            <w:pPr>
              <w:pStyle w:val="ParagraphStyle7"/>
              <w:rPr>
                <w:rStyle w:val="CharacterStyle7"/>
              </w:rPr>
            </w:pPr>
            <w:r>
              <w:rPr>
                <w:rStyle w:val="CharacterStyle7"/>
              </w:rPr>
              <w:t>Izvor financiranja 31</w:t>
            </w:r>
          </w:p>
        </w:tc>
        <w:tc>
          <w:tcPr>
            <w:tcW w:w="4995" w:type="dxa"/>
            <w:tcBorders>
              <w:bottom w:val="single" w:sz="6" w:space="0" w:color="000000"/>
              <w:right w:val="single" w:sz="6" w:space="0" w:color="000000"/>
            </w:tcBorders>
            <w:vAlign w:val="center"/>
          </w:tcPr>
          <w:p w14:paraId="217CFCBD" w14:textId="77777777" w:rsidR="007D706A" w:rsidRDefault="007D706A" w:rsidP="00F70508">
            <w:pPr>
              <w:pStyle w:val="ParagraphStyle8"/>
              <w:rPr>
                <w:rStyle w:val="CharacterStyle8"/>
              </w:rPr>
            </w:pPr>
            <w:r>
              <w:rPr>
                <w:rStyle w:val="CharacterStyle8"/>
              </w:rPr>
              <w:t>Vlastiti prihodi</w:t>
            </w:r>
          </w:p>
        </w:tc>
        <w:tc>
          <w:tcPr>
            <w:tcW w:w="1395" w:type="dxa"/>
            <w:tcBorders>
              <w:bottom w:val="single" w:sz="6" w:space="0" w:color="000000"/>
              <w:right w:val="single" w:sz="6" w:space="0" w:color="000000"/>
            </w:tcBorders>
            <w:vAlign w:val="center"/>
          </w:tcPr>
          <w:p w14:paraId="52F89941"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61C2E1A" w14:textId="77777777" w:rsidR="007D706A" w:rsidRDefault="007D706A" w:rsidP="00F70508">
            <w:pPr>
              <w:pStyle w:val="ParagraphStyle9"/>
              <w:rPr>
                <w:rStyle w:val="CharacterStyle9"/>
              </w:rPr>
            </w:pPr>
            <w:r>
              <w:rPr>
                <w:rStyle w:val="CharacterStyle9"/>
              </w:rPr>
              <w:t>42.745,00</w:t>
            </w:r>
          </w:p>
        </w:tc>
        <w:tc>
          <w:tcPr>
            <w:tcW w:w="1395" w:type="dxa"/>
            <w:tcBorders>
              <w:bottom w:val="single" w:sz="6" w:space="0" w:color="000000"/>
              <w:right w:val="single" w:sz="6" w:space="0" w:color="000000"/>
            </w:tcBorders>
            <w:vAlign w:val="center"/>
          </w:tcPr>
          <w:p w14:paraId="22216CF8" w14:textId="77777777" w:rsidR="007D706A" w:rsidRDefault="007D706A" w:rsidP="00F70508">
            <w:pPr>
              <w:pStyle w:val="ParagraphStyle9"/>
              <w:rPr>
                <w:rStyle w:val="CharacterStyle9"/>
              </w:rPr>
            </w:pPr>
            <w:r>
              <w:rPr>
                <w:rStyle w:val="CharacterStyle9"/>
              </w:rPr>
              <w:t>42.745,00</w:t>
            </w:r>
          </w:p>
        </w:tc>
        <w:tc>
          <w:tcPr>
            <w:tcW w:w="1395" w:type="dxa"/>
            <w:tcBorders>
              <w:bottom w:val="single" w:sz="6" w:space="0" w:color="000000"/>
              <w:right w:val="single" w:sz="6" w:space="0" w:color="000000"/>
            </w:tcBorders>
            <w:vAlign w:val="center"/>
          </w:tcPr>
          <w:p w14:paraId="775E318B" w14:textId="77777777" w:rsidR="007D706A" w:rsidRDefault="007D706A" w:rsidP="00F70508">
            <w:pPr>
              <w:pStyle w:val="ParagraphStyle9"/>
              <w:rPr>
                <w:rStyle w:val="CharacterStyle9"/>
              </w:rPr>
            </w:pPr>
            <w:r>
              <w:rPr>
                <w:rStyle w:val="CharacterStyle9"/>
              </w:rPr>
              <w:t>42.745,00</w:t>
            </w:r>
          </w:p>
        </w:tc>
        <w:tc>
          <w:tcPr>
            <w:tcW w:w="1395" w:type="dxa"/>
            <w:tcBorders>
              <w:bottom w:val="single" w:sz="6" w:space="0" w:color="000000"/>
              <w:right w:val="single" w:sz="6" w:space="0" w:color="000000"/>
            </w:tcBorders>
            <w:vAlign w:val="center"/>
          </w:tcPr>
          <w:p w14:paraId="739F9E53" w14:textId="77777777" w:rsidR="007D706A" w:rsidRDefault="007D706A" w:rsidP="00F70508">
            <w:pPr>
              <w:pStyle w:val="ParagraphStyle9"/>
              <w:rPr>
                <w:rStyle w:val="CharacterStyle9"/>
              </w:rPr>
            </w:pPr>
            <w:r>
              <w:rPr>
                <w:rStyle w:val="CharacterStyle9"/>
              </w:rPr>
              <w:t>42.745,00</w:t>
            </w:r>
          </w:p>
        </w:tc>
      </w:tr>
      <w:tr w:rsidR="007D706A" w14:paraId="2D2A183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9BDCC27"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414DD6A0"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622F858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42257DF" w14:textId="77777777" w:rsidR="007D706A" w:rsidRDefault="007D706A" w:rsidP="00F70508">
            <w:pPr>
              <w:pStyle w:val="ParagraphStyle12"/>
              <w:rPr>
                <w:rStyle w:val="CharacterStyle12"/>
              </w:rPr>
            </w:pPr>
            <w:r>
              <w:rPr>
                <w:rStyle w:val="CharacterStyle12"/>
              </w:rPr>
              <w:t>42.745,00</w:t>
            </w:r>
          </w:p>
        </w:tc>
        <w:tc>
          <w:tcPr>
            <w:tcW w:w="1395" w:type="dxa"/>
            <w:tcBorders>
              <w:bottom w:val="single" w:sz="6" w:space="0" w:color="000000"/>
              <w:right w:val="single" w:sz="6" w:space="0" w:color="000000"/>
            </w:tcBorders>
            <w:vAlign w:val="center"/>
          </w:tcPr>
          <w:p w14:paraId="4491D8F5" w14:textId="77777777" w:rsidR="007D706A" w:rsidRDefault="007D706A" w:rsidP="00F70508">
            <w:pPr>
              <w:pStyle w:val="ParagraphStyle12"/>
              <w:rPr>
                <w:rStyle w:val="CharacterStyle12"/>
              </w:rPr>
            </w:pPr>
            <w:r>
              <w:rPr>
                <w:rStyle w:val="CharacterStyle12"/>
              </w:rPr>
              <w:t>42.745,00</w:t>
            </w:r>
          </w:p>
        </w:tc>
        <w:tc>
          <w:tcPr>
            <w:tcW w:w="1395" w:type="dxa"/>
            <w:tcBorders>
              <w:bottom w:val="single" w:sz="6" w:space="0" w:color="000000"/>
              <w:right w:val="single" w:sz="6" w:space="0" w:color="000000"/>
            </w:tcBorders>
            <w:vAlign w:val="center"/>
          </w:tcPr>
          <w:p w14:paraId="2A3D0BC4" w14:textId="77777777" w:rsidR="007D706A" w:rsidRDefault="007D706A" w:rsidP="00F70508">
            <w:pPr>
              <w:pStyle w:val="ParagraphStyle12"/>
              <w:rPr>
                <w:rStyle w:val="CharacterStyle12"/>
              </w:rPr>
            </w:pPr>
            <w:r>
              <w:rPr>
                <w:rStyle w:val="CharacterStyle12"/>
              </w:rPr>
              <w:t>42.745,00</w:t>
            </w:r>
          </w:p>
        </w:tc>
        <w:tc>
          <w:tcPr>
            <w:tcW w:w="1395" w:type="dxa"/>
            <w:tcBorders>
              <w:bottom w:val="single" w:sz="6" w:space="0" w:color="000000"/>
              <w:right w:val="single" w:sz="6" w:space="0" w:color="000000"/>
            </w:tcBorders>
            <w:vAlign w:val="center"/>
          </w:tcPr>
          <w:p w14:paraId="02F9331A" w14:textId="77777777" w:rsidR="007D706A" w:rsidRDefault="007D706A" w:rsidP="00F70508">
            <w:pPr>
              <w:pStyle w:val="ParagraphStyle12"/>
              <w:rPr>
                <w:rStyle w:val="CharacterStyle12"/>
              </w:rPr>
            </w:pPr>
            <w:r>
              <w:rPr>
                <w:rStyle w:val="CharacterStyle12"/>
              </w:rPr>
              <w:t>42.745,00</w:t>
            </w:r>
          </w:p>
        </w:tc>
      </w:tr>
      <w:tr w:rsidR="007D706A" w14:paraId="5A05F216"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2EF5FBB"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7438556F"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30326E9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9CAA7CD" w14:textId="77777777" w:rsidR="007D706A" w:rsidRDefault="007D706A" w:rsidP="00F70508">
            <w:pPr>
              <w:pStyle w:val="ParagraphStyle12"/>
              <w:rPr>
                <w:rStyle w:val="CharacterStyle12"/>
              </w:rPr>
            </w:pPr>
            <w:r>
              <w:rPr>
                <w:rStyle w:val="CharacterStyle12"/>
              </w:rPr>
              <w:t>42.745,00</w:t>
            </w:r>
          </w:p>
        </w:tc>
        <w:tc>
          <w:tcPr>
            <w:tcW w:w="1395" w:type="dxa"/>
            <w:tcBorders>
              <w:bottom w:val="single" w:sz="6" w:space="0" w:color="000000"/>
              <w:right w:val="single" w:sz="6" w:space="0" w:color="000000"/>
            </w:tcBorders>
            <w:vAlign w:val="center"/>
          </w:tcPr>
          <w:p w14:paraId="0E941561" w14:textId="77777777" w:rsidR="007D706A" w:rsidRDefault="007D706A" w:rsidP="00F70508">
            <w:pPr>
              <w:pStyle w:val="ParagraphStyle12"/>
              <w:rPr>
                <w:rStyle w:val="CharacterStyle12"/>
              </w:rPr>
            </w:pPr>
            <w:r>
              <w:rPr>
                <w:rStyle w:val="CharacterStyle12"/>
              </w:rPr>
              <w:t>42.745,00</w:t>
            </w:r>
          </w:p>
        </w:tc>
        <w:tc>
          <w:tcPr>
            <w:tcW w:w="1395" w:type="dxa"/>
            <w:tcBorders>
              <w:bottom w:val="single" w:sz="6" w:space="0" w:color="000000"/>
              <w:right w:val="single" w:sz="6" w:space="0" w:color="000000"/>
            </w:tcBorders>
            <w:vAlign w:val="center"/>
          </w:tcPr>
          <w:p w14:paraId="6204DCAA" w14:textId="77777777" w:rsidR="007D706A" w:rsidRDefault="007D706A" w:rsidP="00F70508">
            <w:pPr>
              <w:pStyle w:val="ParagraphStyle12"/>
              <w:rPr>
                <w:rStyle w:val="CharacterStyle12"/>
              </w:rPr>
            </w:pPr>
            <w:r>
              <w:rPr>
                <w:rStyle w:val="CharacterStyle12"/>
              </w:rPr>
              <w:t>42.745,00</w:t>
            </w:r>
          </w:p>
        </w:tc>
        <w:tc>
          <w:tcPr>
            <w:tcW w:w="1395" w:type="dxa"/>
            <w:tcBorders>
              <w:bottom w:val="single" w:sz="6" w:space="0" w:color="000000"/>
              <w:right w:val="single" w:sz="6" w:space="0" w:color="000000"/>
            </w:tcBorders>
            <w:vAlign w:val="center"/>
          </w:tcPr>
          <w:p w14:paraId="6F9248F6" w14:textId="77777777" w:rsidR="007D706A" w:rsidRDefault="007D706A" w:rsidP="00F70508">
            <w:pPr>
              <w:pStyle w:val="ParagraphStyle12"/>
              <w:rPr>
                <w:rStyle w:val="CharacterStyle12"/>
              </w:rPr>
            </w:pPr>
            <w:r>
              <w:rPr>
                <w:rStyle w:val="CharacterStyle12"/>
              </w:rPr>
              <w:t>42.745,00</w:t>
            </w:r>
          </w:p>
        </w:tc>
      </w:tr>
      <w:tr w:rsidR="007D706A" w14:paraId="51A375F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1252569" w14:textId="77777777" w:rsidR="007D706A" w:rsidRDefault="007D706A" w:rsidP="00F70508">
            <w:pPr>
              <w:pStyle w:val="ParagraphStyle7"/>
              <w:rPr>
                <w:rStyle w:val="CharacterStyle7"/>
              </w:rPr>
            </w:pPr>
            <w:r>
              <w:rPr>
                <w:rStyle w:val="CharacterStyle7"/>
              </w:rPr>
              <w:t>Izvor financiranja 41</w:t>
            </w:r>
          </w:p>
        </w:tc>
        <w:tc>
          <w:tcPr>
            <w:tcW w:w="4995" w:type="dxa"/>
            <w:tcBorders>
              <w:bottom w:val="single" w:sz="6" w:space="0" w:color="000000"/>
              <w:right w:val="single" w:sz="6" w:space="0" w:color="000000"/>
            </w:tcBorders>
            <w:vAlign w:val="center"/>
          </w:tcPr>
          <w:p w14:paraId="79190ACD" w14:textId="77777777" w:rsidR="007D706A" w:rsidRDefault="007D706A" w:rsidP="00F70508">
            <w:pPr>
              <w:pStyle w:val="ParagraphStyle8"/>
              <w:rPr>
                <w:rStyle w:val="CharacterStyle8"/>
              </w:rPr>
            </w:pPr>
            <w:r>
              <w:rPr>
                <w:rStyle w:val="CharacterStyle8"/>
              </w:rPr>
              <w:t>Prihodi za posebne namjene</w:t>
            </w:r>
          </w:p>
        </w:tc>
        <w:tc>
          <w:tcPr>
            <w:tcW w:w="1395" w:type="dxa"/>
            <w:tcBorders>
              <w:bottom w:val="single" w:sz="6" w:space="0" w:color="000000"/>
              <w:right w:val="single" w:sz="6" w:space="0" w:color="000000"/>
            </w:tcBorders>
            <w:vAlign w:val="center"/>
          </w:tcPr>
          <w:p w14:paraId="50C05C9F"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EAE2D3A" w14:textId="77777777" w:rsidR="007D706A" w:rsidRDefault="007D706A" w:rsidP="00F70508">
            <w:pPr>
              <w:pStyle w:val="ParagraphStyle9"/>
              <w:rPr>
                <w:rStyle w:val="CharacterStyle9"/>
              </w:rPr>
            </w:pPr>
            <w:r>
              <w:rPr>
                <w:rStyle w:val="CharacterStyle9"/>
              </w:rPr>
              <w:t>110.578,86</w:t>
            </w:r>
          </w:p>
        </w:tc>
        <w:tc>
          <w:tcPr>
            <w:tcW w:w="1395" w:type="dxa"/>
            <w:tcBorders>
              <w:bottom w:val="single" w:sz="6" w:space="0" w:color="000000"/>
              <w:right w:val="single" w:sz="6" w:space="0" w:color="000000"/>
            </w:tcBorders>
            <w:vAlign w:val="center"/>
          </w:tcPr>
          <w:p w14:paraId="7B0A18BB"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D63B824"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59C20D0" w14:textId="77777777" w:rsidR="007D706A" w:rsidRDefault="007D706A" w:rsidP="00F70508">
            <w:pPr>
              <w:pStyle w:val="ParagraphStyle9"/>
              <w:rPr>
                <w:rStyle w:val="CharacterStyle9"/>
              </w:rPr>
            </w:pPr>
            <w:r>
              <w:rPr>
                <w:rStyle w:val="CharacterStyle9"/>
              </w:rPr>
              <w:t>0,00</w:t>
            </w:r>
          </w:p>
        </w:tc>
      </w:tr>
      <w:tr w:rsidR="007D706A" w14:paraId="1C40538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6F1A3F5"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7F2BA0F4"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47CA9E4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326404A" w14:textId="77777777" w:rsidR="007D706A" w:rsidRDefault="007D706A" w:rsidP="00F70508">
            <w:pPr>
              <w:pStyle w:val="ParagraphStyle12"/>
              <w:rPr>
                <w:rStyle w:val="CharacterStyle12"/>
              </w:rPr>
            </w:pPr>
            <w:r>
              <w:rPr>
                <w:rStyle w:val="CharacterStyle12"/>
              </w:rPr>
              <w:t>110.578,86</w:t>
            </w:r>
          </w:p>
        </w:tc>
        <w:tc>
          <w:tcPr>
            <w:tcW w:w="1395" w:type="dxa"/>
            <w:tcBorders>
              <w:bottom w:val="single" w:sz="6" w:space="0" w:color="000000"/>
              <w:right w:val="single" w:sz="6" w:space="0" w:color="000000"/>
            </w:tcBorders>
            <w:vAlign w:val="center"/>
          </w:tcPr>
          <w:p w14:paraId="2D7D297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5AC276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87143BC" w14:textId="77777777" w:rsidR="007D706A" w:rsidRDefault="007D706A" w:rsidP="00F70508">
            <w:pPr>
              <w:pStyle w:val="ParagraphStyle12"/>
              <w:rPr>
                <w:rStyle w:val="CharacterStyle12"/>
              </w:rPr>
            </w:pPr>
            <w:r>
              <w:rPr>
                <w:rStyle w:val="CharacterStyle12"/>
              </w:rPr>
              <w:t>0,00</w:t>
            </w:r>
          </w:p>
        </w:tc>
      </w:tr>
      <w:tr w:rsidR="007D706A" w14:paraId="39393C4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AD1E9F0"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1208925A"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6DE34B6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3D09DE9" w14:textId="77777777" w:rsidR="007D706A" w:rsidRDefault="007D706A" w:rsidP="00F70508">
            <w:pPr>
              <w:pStyle w:val="ParagraphStyle12"/>
              <w:rPr>
                <w:rStyle w:val="CharacterStyle12"/>
              </w:rPr>
            </w:pPr>
            <w:r>
              <w:rPr>
                <w:rStyle w:val="CharacterStyle12"/>
              </w:rPr>
              <w:t>110.578,86</w:t>
            </w:r>
          </w:p>
        </w:tc>
        <w:tc>
          <w:tcPr>
            <w:tcW w:w="1395" w:type="dxa"/>
            <w:tcBorders>
              <w:bottom w:val="single" w:sz="6" w:space="0" w:color="000000"/>
              <w:right w:val="single" w:sz="6" w:space="0" w:color="000000"/>
            </w:tcBorders>
            <w:vAlign w:val="center"/>
          </w:tcPr>
          <w:p w14:paraId="3546D84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9E3CD1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33FFF7D" w14:textId="77777777" w:rsidR="007D706A" w:rsidRDefault="007D706A" w:rsidP="00F70508">
            <w:pPr>
              <w:pStyle w:val="ParagraphStyle12"/>
              <w:rPr>
                <w:rStyle w:val="CharacterStyle12"/>
              </w:rPr>
            </w:pPr>
            <w:r>
              <w:rPr>
                <w:rStyle w:val="CharacterStyle12"/>
              </w:rPr>
              <w:t>0,00</w:t>
            </w:r>
          </w:p>
        </w:tc>
      </w:tr>
      <w:tr w:rsidR="007D706A" w14:paraId="0E24204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3CAF9F0" w14:textId="77777777" w:rsidR="007D706A" w:rsidRDefault="007D706A" w:rsidP="00F70508">
            <w:pPr>
              <w:pStyle w:val="ParagraphStyle7"/>
              <w:rPr>
                <w:rStyle w:val="CharacterStyle7"/>
              </w:rPr>
            </w:pPr>
            <w:r>
              <w:rPr>
                <w:rStyle w:val="CharacterStyle7"/>
              </w:rPr>
              <w:t>Izvor financiranja 43</w:t>
            </w:r>
          </w:p>
        </w:tc>
        <w:tc>
          <w:tcPr>
            <w:tcW w:w="4995" w:type="dxa"/>
            <w:tcBorders>
              <w:bottom w:val="single" w:sz="6" w:space="0" w:color="000000"/>
              <w:right w:val="single" w:sz="6" w:space="0" w:color="000000"/>
            </w:tcBorders>
            <w:vAlign w:val="center"/>
          </w:tcPr>
          <w:p w14:paraId="7CE34D37" w14:textId="77777777" w:rsidR="007D706A" w:rsidRDefault="007D706A" w:rsidP="00F70508">
            <w:pPr>
              <w:pStyle w:val="ParagraphStyle8"/>
              <w:rPr>
                <w:rStyle w:val="CharacterStyle8"/>
              </w:rPr>
            </w:pPr>
            <w:r>
              <w:rPr>
                <w:rStyle w:val="CharacterStyle8"/>
              </w:rPr>
              <w:t>Ostali prihodi za posebne namjene</w:t>
            </w:r>
          </w:p>
        </w:tc>
        <w:tc>
          <w:tcPr>
            <w:tcW w:w="1395" w:type="dxa"/>
            <w:tcBorders>
              <w:bottom w:val="single" w:sz="6" w:space="0" w:color="000000"/>
              <w:right w:val="single" w:sz="6" w:space="0" w:color="000000"/>
            </w:tcBorders>
            <w:vAlign w:val="center"/>
          </w:tcPr>
          <w:p w14:paraId="37163FCD"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B9A6905"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DBBE4F2" w14:textId="77777777" w:rsidR="007D706A" w:rsidRDefault="007D706A" w:rsidP="00F70508">
            <w:pPr>
              <w:pStyle w:val="ParagraphStyle9"/>
              <w:rPr>
                <w:rStyle w:val="CharacterStyle9"/>
              </w:rPr>
            </w:pPr>
            <w:r>
              <w:rPr>
                <w:rStyle w:val="CharacterStyle9"/>
              </w:rPr>
              <w:t>100.650,00</w:t>
            </w:r>
          </w:p>
        </w:tc>
        <w:tc>
          <w:tcPr>
            <w:tcW w:w="1395" w:type="dxa"/>
            <w:tcBorders>
              <w:bottom w:val="single" w:sz="6" w:space="0" w:color="000000"/>
              <w:right w:val="single" w:sz="6" w:space="0" w:color="000000"/>
            </w:tcBorders>
            <w:vAlign w:val="center"/>
          </w:tcPr>
          <w:p w14:paraId="4C4AE2C4"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FEA64A6" w14:textId="77777777" w:rsidR="007D706A" w:rsidRDefault="007D706A" w:rsidP="00F70508">
            <w:pPr>
              <w:pStyle w:val="ParagraphStyle9"/>
              <w:rPr>
                <w:rStyle w:val="CharacterStyle9"/>
              </w:rPr>
            </w:pPr>
            <w:r>
              <w:rPr>
                <w:rStyle w:val="CharacterStyle9"/>
              </w:rPr>
              <w:t>0,00</w:t>
            </w:r>
          </w:p>
        </w:tc>
      </w:tr>
      <w:tr w:rsidR="007D706A" w14:paraId="7764C9B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AF713E5"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13C2F257"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38D7A54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3ECA56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8924FFC" w14:textId="77777777" w:rsidR="007D706A" w:rsidRDefault="007D706A" w:rsidP="00F70508">
            <w:pPr>
              <w:pStyle w:val="ParagraphStyle12"/>
              <w:rPr>
                <w:rStyle w:val="CharacterStyle12"/>
              </w:rPr>
            </w:pPr>
            <w:r>
              <w:rPr>
                <w:rStyle w:val="CharacterStyle12"/>
              </w:rPr>
              <w:t>100.650,00</w:t>
            </w:r>
          </w:p>
        </w:tc>
        <w:tc>
          <w:tcPr>
            <w:tcW w:w="1395" w:type="dxa"/>
            <w:tcBorders>
              <w:bottom w:val="single" w:sz="6" w:space="0" w:color="000000"/>
              <w:right w:val="single" w:sz="6" w:space="0" w:color="000000"/>
            </w:tcBorders>
            <w:vAlign w:val="center"/>
          </w:tcPr>
          <w:p w14:paraId="5013622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2A8F8FD" w14:textId="77777777" w:rsidR="007D706A" w:rsidRDefault="007D706A" w:rsidP="00F70508">
            <w:pPr>
              <w:pStyle w:val="ParagraphStyle12"/>
              <w:rPr>
                <w:rStyle w:val="CharacterStyle12"/>
              </w:rPr>
            </w:pPr>
            <w:r>
              <w:rPr>
                <w:rStyle w:val="CharacterStyle12"/>
              </w:rPr>
              <w:t>0,00</w:t>
            </w:r>
          </w:p>
        </w:tc>
      </w:tr>
      <w:tr w:rsidR="007D706A" w14:paraId="2196CD8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09A6596"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6E38270C"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7B3EE56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6F4805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CED0357" w14:textId="77777777" w:rsidR="007D706A" w:rsidRDefault="007D706A" w:rsidP="00F70508">
            <w:pPr>
              <w:pStyle w:val="ParagraphStyle12"/>
              <w:rPr>
                <w:rStyle w:val="CharacterStyle12"/>
              </w:rPr>
            </w:pPr>
            <w:r>
              <w:rPr>
                <w:rStyle w:val="CharacterStyle12"/>
              </w:rPr>
              <w:t>100.650,00</w:t>
            </w:r>
          </w:p>
        </w:tc>
        <w:tc>
          <w:tcPr>
            <w:tcW w:w="1395" w:type="dxa"/>
            <w:tcBorders>
              <w:bottom w:val="single" w:sz="6" w:space="0" w:color="000000"/>
              <w:right w:val="single" w:sz="6" w:space="0" w:color="000000"/>
            </w:tcBorders>
            <w:vAlign w:val="center"/>
          </w:tcPr>
          <w:p w14:paraId="0BA60A1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BDE7E0E" w14:textId="77777777" w:rsidR="007D706A" w:rsidRDefault="007D706A" w:rsidP="00F70508">
            <w:pPr>
              <w:pStyle w:val="ParagraphStyle12"/>
              <w:rPr>
                <w:rStyle w:val="CharacterStyle12"/>
              </w:rPr>
            </w:pPr>
            <w:r>
              <w:rPr>
                <w:rStyle w:val="CharacterStyle12"/>
              </w:rPr>
              <w:t>0,00</w:t>
            </w:r>
          </w:p>
        </w:tc>
      </w:tr>
      <w:tr w:rsidR="007D706A" w14:paraId="792C3DB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157AA5B" w14:textId="77777777" w:rsidR="007D706A" w:rsidRDefault="007D706A" w:rsidP="00F70508">
            <w:pPr>
              <w:pStyle w:val="ParagraphStyle7"/>
              <w:rPr>
                <w:rStyle w:val="CharacterStyle7"/>
              </w:rPr>
            </w:pPr>
            <w:r>
              <w:rPr>
                <w:rStyle w:val="CharacterStyle7"/>
              </w:rPr>
              <w:t>Izvor financiranja 5</w:t>
            </w:r>
          </w:p>
        </w:tc>
        <w:tc>
          <w:tcPr>
            <w:tcW w:w="4995" w:type="dxa"/>
            <w:tcBorders>
              <w:bottom w:val="single" w:sz="6" w:space="0" w:color="000000"/>
              <w:right w:val="single" w:sz="6" w:space="0" w:color="000000"/>
            </w:tcBorders>
            <w:vAlign w:val="center"/>
          </w:tcPr>
          <w:p w14:paraId="0B2F37A2" w14:textId="77777777" w:rsidR="007D706A" w:rsidRDefault="007D706A" w:rsidP="00F70508">
            <w:pPr>
              <w:pStyle w:val="ParagraphStyle8"/>
              <w:rPr>
                <w:rStyle w:val="CharacterStyle8"/>
              </w:rPr>
            </w:pPr>
            <w:r>
              <w:rPr>
                <w:rStyle w:val="CharacterStyle8"/>
              </w:rPr>
              <w:t>POMOĆI</w:t>
            </w:r>
          </w:p>
        </w:tc>
        <w:tc>
          <w:tcPr>
            <w:tcW w:w="1395" w:type="dxa"/>
            <w:tcBorders>
              <w:bottom w:val="single" w:sz="6" w:space="0" w:color="000000"/>
              <w:right w:val="single" w:sz="6" w:space="0" w:color="000000"/>
            </w:tcBorders>
            <w:vAlign w:val="center"/>
          </w:tcPr>
          <w:p w14:paraId="2D75FBC6"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2489E11"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6E4C26C" w14:textId="77777777" w:rsidR="007D706A" w:rsidRDefault="007D706A" w:rsidP="00F70508">
            <w:pPr>
              <w:pStyle w:val="ParagraphStyle9"/>
              <w:rPr>
                <w:rStyle w:val="CharacterStyle9"/>
              </w:rPr>
            </w:pPr>
            <w:r>
              <w:rPr>
                <w:rStyle w:val="CharacterStyle9"/>
              </w:rPr>
              <w:t>3.000,00</w:t>
            </w:r>
          </w:p>
        </w:tc>
        <w:tc>
          <w:tcPr>
            <w:tcW w:w="1395" w:type="dxa"/>
            <w:tcBorders>
              <w:bottom w:val="single" w:sz="6" w:space="0" w:color="000000"/>
              <w:right w:val="single" w:sz="6" w:space="0" w:color="000000"/>
            </w:tcBorders>
            <w:vAlign w:val="center"/>
          </w:tcPr>
          <w:p w14:paraId="210397AE" w14:textId="77777777" w:rsidR="007D706A" w:rsidRDefault="007D706A" w:rsidP="00F70508">
            <w:pPr>
              <w:pStyle w:val="ParagraphStyle9"/>
              <w:rPr>
                <w:rStyle w:val="CharacterStyle9"/>
              </w:rPr>
            </w:pPr>
            <w:r>
              <w:rPr>
                <w:rStyle w:val="CharacterStyle9"/>
              </w:rPr>
              <w:t>3.000,00</w:t>
            </w:r>
          </w:p>
        </w:tc>
        <w:tc>
          <w:tcPr>
            <w:tcW w:w="1395" w:type="dxa"/>
            <w:tcBorders>
              <w:bottom w:val="single" w:sz="6" w:space="0" w:color="000000"/>
              <w:right w:val="single" w:sz="6" w:space="0" w:color="000000"/>
            </w:tcBorders>
            <w:vAlign w:val="center"/>
          </w:tcPr>
          <w:p w14:paraId="21DEBE03" w14:textId="77777777" w:rsidR="007D706A" w:rsidRDefault="007D706A" w:rsidP="00F70508">
            <w:pPr>
              <w:pStyle w:val="ParagraphStyle9"/>
              <w:rPr>
                <w:rStyle w:val="CharacterStyle9"/>
              </w:rPr>
            </w:pPr>
            <w:r>
              <w:rPr>
                <w:rStyle w:val="CharacterStyle9"/>
              </w:rPr>
              <w:t>3.000,00</w:t>
            </w:r>
          </w:p>
        </w:tc>
      </w:tr>
      <w:tr w:rsidR="007D706A" w14:paraId="3C04737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148CABC"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509650C2"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31A500B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21A197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E4FDD05" w14:textId="77777777" w:rsidR="007D706A" w:rsidRDefault="007D706A" w:rsidP="00F70508">
            <w:pPr>
              <w:pStyle w:val="ParagraphStyle12"/>
              <w:rPr>
                <w:rStyle w:val="CharacterStyle12"/>
              </w:rPr>
            </w:pPr>
            <w:r>
              <w:rPr>
                <w:rStyle w:val="CharacterStyle12"/>
              </w:rPr>
              <w:t>3.000,00</w:t>
            </w:r>
          </w:p>
        </w:tc>
        <w:tc>
          <w:tcPr>
            <w:tcW w:w="1395" w:type="dxa"/>
            <w:tcBorders>
              <w:bottom w:val="single" w:sz="6" w:space="0" w:color="000000"/>
              <w:right w:val="single" w:sz="6" w:space="0" w:color="000000"/>
            </w:tcBorders>
            <w:vAlign w:val="center"/>
          </w:tcPr>
          <w:p w14:paraId="38DEED25" w14:textId="77777777" w:rsidR="007D706A" w:rsidRDefault="007D706A" w:rsidP="00F70508">
            <w:pPr>
              <w:pStyle w:val="ParagraphStyle12"/>
              <w:rPr>
                <w:rStyle w:val="CharacterStyle12"/>
              </w:rPr>
            </w:pPr>
            <w:r>
              <w:rPr>
                <w:rStyle w:val="CharacterStyle12"/>
              </w:rPr>
              <w:t>3.000,00</w:t>
            </w:r>
          </w:p>
        </w:tc>
        <w:tc>
          <w:tcPr>
            <w:tcW w:w="1395" w:type="dxa"/>
            <w:tcBorders>
              <w:bottom w:val="single" w:sz="6" w:space="0" w:color="000000"/>
              <w:right w:val="single" w:sz="6" w:space="0" w:color="000000"/>
            </w:tcBorders>
            <w:vAlign w:val="center"/>
          </w:tcPr>
          <w:p w14:paraId="5B3C8699" w14:textId="77777777" w:rsidR="007D706A" w:rsidRDefault="007D706A" w:rsidP="00F70508">
            <w:pPr>
              <w:pStyle w:val="ParagraphStyle12"/>
              <w:rPr>
                <w:rStyle w:val="CharacterStyle12"/>
              </w:rPr>
            </w:pPr>
            <w:r>
              <w:rPr>
                <w:rStyle w:val="CharacterStyle12"/>
              </w:rPr>
              <w:t>3.000,00</w:t>
            </w:r>
          </w:p>
        </w:tc>
      </w:tr>
      <w:tr w:rsidR="007D706A" w14:paraId="11D7D19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1CEC546"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4472B983"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0043C17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260C04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4BD2E6D" w14:textId="77777777" w:rsidR="007D706A" w:rsidRDefault="007D706A" w:rsidP="00F70508">
            <w:pPr>
              <w:pStyle w:val="ParagraphStyle12"/>
              <w:rPr>
                <w:rStyle w:val="CharacterStyle12"/>
              </w:rPr>
            </w:pPr>
            <w:r>
              <w:rPr>
                <w:rStyle w:val="CharacterStyle12"/>
              </w:rPr>
              <w:t>3.000,00</w:t>
            </w:r>
          </w:p>
        </w:tc>
        <w:tc>
          <w:tcPr>
            <w:tcW w:w="1395" w:type="dxa"/>
            <w:tcBorders>
              <w:bottom w:val="single" w:sz="6" w:space="0" w:color="000000"/>
              <w:right w:val="single" w:sz="6" w:space="0" w:color="000000"/>
            </w:tcBorders>
            <w:vAlign w:val="center"/>
          </w:tcPr>
          <w:p w14:paraId="38AACA2A" w14:textId="77777777" w:rsidR="007D706A" w:rsidRDefault="007D706A" w:rsidP="00F70508">
            <w:pPr>
              <w:pStyle w:val="ParagraphStyle12"/>
              <w:rPr>
                <w:rStyle w:val="CharacterStyle12"/>
              </w:rPr>
            </w:pPr>
            <w:r>
              <w:rPr>
                <w:rStyle w:val="CharacterStyle12"/>
              </w:rPr>
              <w:t>3.000,00</w:t>
            </w:r>
          </w:p>
        </w:tc>
        <w:tc>
          <w:tcPr>
            <w:tcW w:w="1395" w:type="dxa"/>
            <w:tcBorders>
              <w:bottom w:val="single" w:sz="6" w:space="0" w:color="000000"/>
              <w:right w:val="single" w:sz="6" w:space="0" w:color="000000"/>
            </w:tcBorders>
            <w:vAlign w:val="center"/>
          </w:tcPr>
          <w:p w14:paraId="0B1A7A70" w14:textId="77777777" w:rsidR="007D706A" w:rsidRDefault="007D706A" w:rsidP="00F70508">
            <w:pPr>
              <w:pStyle w:val="ParagraphStyle12"/>
              <w:rPr>
                <w:rStyle w:val="CharacterStyle12"/>
              </w:rPr>
            </w:pPr>
            <w:r>
              <w:rPr>
                <w:rStyle w:val="CharacterStyle12"/>
              </w:rPr>
              <w:t>3.000,00</w:t>
            </w:r>
          </w:p>
        </w:tc>
      </w:tr>
      <w:tr w:rsidR="007D706A" w14:paraId="61BB63B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F912CFC" w14:textId="77777777" w:rsidR="007D706A" w:rsidRDefault="007D706A" w:rsidP="00F70508">
            <w:pPr>
              <w:pStyle w:val="ParagraphStyle7"/>
              <w:rPr>
                <w:rStyle w:val="CharacterStyle7"/>
              </w:rPr>
            </w:pPr>
            <w:r>
              <w:rPr>
                <w:rStyle w:val="CharacterStyle7"/>
              </w:rPr>
              <w:t>Izvor financiranja 50</w:t>
            </w:r>
          </w:p>
        </w:tc>
        <w:tc>
          <w:tcPr>
            <w:tcW w:w="4995" w:type="dxa"/>
            <w:tcBorders>
              <w:bottom w:val="single" w:sz="6" w:space="0" w:color="000000"/>
              <w:right w:val="single" w:sz="6" w:space="0" w:color="000000"/>
            </w:tcBorders>
            <w:vAlign w:val="center"/>
          </w:tcPr>
          <w:p w14:paraId="1F7774D3" w14:textId="77777777" w:rsidR="007D706A" w:rsidRDefault="007D706A" w:rsidP="00F70508">
            <w:pPr>
              <w:pStyle w:val="ParagraphStyle8"/>
              <w:rPr>
                <w:rStyle w:val="CharacterStyle8"/>
              </w:rPr>
            </w:pPr>
            <w:r>
              <w:rPr>
                <w:rStyle w:val="CharacterStyle8"/>
              </w:rPr>
              <w:t>Pomoći iz državnog proračuna</w:t>
            </w:r>
          </w:p>
        </w:tc>
        <w:tc>
          <w:tcPr>
            <w:tcW w:w="1395" w:type="dxa"/>
            <w:tcBorders>
              <w:bottom w:val="single" w:sz="6" w:space="0" w:color="000000"/>
              <w:right w:val="single" w:sz="6" w:space="0" w:color="000000"/>
            </w:tcBorders>
            <w:vAlign w:val="center"/>
          </w:tcPr>
          <w:p w14:paraId="44C97BBF"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09D37F7"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A78AF96" w14:textId="77777777" w:rsidR="007D706A" w:rsidRDefault="007D706A" w:rsidP="00F70508">
            <w:pPr>
              <w:pStyle w:val="ParagraphStyle9"/>
              <w:rPr>
                <w:rStyle w:val="CharacterStyle9"/>
              </w:rPr>
            </w:pPr>
            <w:r>
              <w:rPr>
                <w:rStyle w:val="CharacterStyle9"/>
              </w:rPr>
              <w:t>16.500,00</w:t>
            </w:r>
          </w:p>
        </w:tc>
        <w:tc>
          <w:tcPr>
            <w:tcW w:w="1395" w:type="dxa"/>
            <w:tcBorders>
              <w:bottom w:val="single" w:sz="6" w:space="0" w:color="000000"/>
              <w:right w:val="single" w:sz="6" w:space="0" w:color="000000"/>
            </w:tcBorders>
            <w:vAlign w:val="center"/>
          </w:tcPr>
          <w:p w14:paraId="72F4D173" w14:textId="77777777" w:rsidR="007D706A" w:rsidRDefault="007D706A" w:rsidP="00F70508">
            <w:pPr>
              <w:pStyle w:val="ParagraphStyle9"/>
              <w:rPr>
                <w:rStyle w:val="CharacterStyle9"/>
              </w:rPr>
            </w:pPr>
            <w:r>
              <w:rPr>
                <w:rStyle w:val="CharacterStyle9"/>
              </w:rPr>
              <w:t>16.500,00</w:t>
            </w:r>
          </w:p>
        </w:tc>
        <w:tc>
          <w:tcPr>
            <w:tcW w:w="1395" w:type="dxa"/>
            <w:tcBorders>
              <w:bottom w:val="single" w:sz="6" w:space="0" w:color="000000"/>
              <w:right w:val="single" w:sz="6" w:space="0" w:color="000000"/>
            </w:tcBorders>
            <w:vAlign w:val="center"/>
          </w:tcPr>
          <w:p w14:paraId="35142AD1" w14:textId="77777777" w:rsidR="007D706A" w:rsidRDefault="007D706A" w:rsidP="00F70508">
            <w:pPr>
              <w:pStyle w:val="ParagraphStyle9"/>
              <w:rPr>
                <w:rStyle w:val="CharacterStyle9"/>
              </w:rPr>
            </w:pPr>
            <w:r>
              <w:rPr>
                <w:rStyle w:val="CharacterStyle9"/>
              </w:rPr>
              <w:t>16.500,00</w:t>
            </w:r>
          </w:p>
        </w:tc>
      </w:tr>
      <w:tr w:rsidR="007D706A" w14:paraId="7D12FE0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CED9B34"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7268026A"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1B31855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5D4EC3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476C7C1" w14:textId="77777777" w:rsidR="007D706A" w:rsidRDefault="007D706A" w:rsidP="00F70508">
            <w:pPr>
              <w:pStyle w:val="ParagraphStyle12"/>
              <w:rPr>
                <w:rStyle w:val="CharacterStyle12"/>
              </w:rPr>
            </w:pPr>
            <w:r>
              <w:rPr>
                <w:rStyle w:val="CharacterStyle12"/>
              </w:rPr>
              <w:t>16.500,00</w:t>
            </w:r>
          </w:p>
        </w:tc>
        <w:tc>
          <w:tcPr>
            <w:tcW w:w="1395" w:type="dxa"/>
            <w:tcBorders>
              <w:bottom w:val="single" w:sz="6" w:space="0" w:color="000000"/>
              <w:right w:val="single" w:sz="6" w:space="0" w:color="000000"/>
            </w:tcBorders>
            <w:vAlign w:val="center"/>
          </w:tcPr>
          <w:p w14:paraId="3BDA25C8" w14:textId="77777777" w:rsidR="007D706A" w:rsidRDefault="007D706A" w:rsidP="00F70508">
            <w:pPr>
              <w:pStyle w:val="ParagraphStyle12"/>
              <w:rPr>
                <w:rStyle w:val="CharacterStyle12"/>
              </w:rPr>
            </w:pPr>
            <w:r>
              <w:rPr>
                <w:rStyle w:val="CharacterStyle12"/>
              </w:rPr>
              <w:t>16.500,00</w:t>
            </w:r>
          </w:p>
        </w:tc>
        <w:tc>
          <w:tcPr>
            <w:tcW w:w="1395" w:type="dxa"/>
            <w:tcBorders>
              <w:bottom w:val="single" w:sz="6" w:space="0" w:color="000000"/>
              <w:right w:val="single" w:sz="6" w:space="0" w:color="000000"/>
            </w:tcBorders>
            <w:vAlign w:val="center"/>
          </w:tcPr>
          <w:p w14:paraId="3AE84E5C" w14:textId="77777777" w:rsidR="007D706A" w:rsidRDefault="007D706A" w:rsidP="00F70508">
            <w:pPr>
              <w:pStyle w:val="ParagraphStyle12"/>
              <w:rPr>
                <w:rStyle w:val="CharacterStyle12"/>
              </w:rPr>
            </w:pPr>
            <w:r>
              <w:rPr>
                <w:rStyle w:val="CharacterStyle12"/>
              </w:rPr>
              <w:t>16.500,00</w:t>
            </w:r>
          </w:p>
        </w:tc>
      </w:tr>
      <w:tr w:rsidR="007D706A" w14:paraId="6BF802E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CA948BC"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655832A1"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039B3EA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5BE6EC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5AD4674" w14:textId="77777777" w:rsidR="007D706A" w:rsidRDefault="007D706A" w:rsidP="00F70508">
            <w:pPr>
              <w:pStyle w:val="ParagraphStyle12"/>
              <w:rPr>
                <w:rStyle w:val="CharacterStyle12"/>
              </w:rPr>
            </w:pPr>
            <w:r>
              <w:rPr>
                <w:rStyle w:val="CharacterStyle12"/>
              </w:rPr>
              <w:t>16.500,00</w:t>
            </w:r>
          </w:p>
        </w:tc>
        <w:tc>
          <w:tcPr>
            <w:tcW w:w="1395" w:type="dxa"/>
            <w:tcBorders>
              <w:bottom w:val="single" w:sz="6" w:space="0" w:color="000000"/>
              <w:right w:val="single" w:sz="6" w:space="0" w:color="000000"/>
            </w:tcBorders>
            <w:vAlign w:val="center"/>
          </w:tcPr>
          <w:p w14:paraId="0374886A" w14:textId="77777777" w:rsidR="007D706A" w:rsidRDefault="007D706A" w:rsidP="00F70508">
            <w:pPr>
              <w:pStyle w:val="ParagraphStyle12"/>
              <w:rPr>
                <w:rStyle w:val="CharacterStyle12"/>
              </w:rPr>
            </w:pPr>
            <w:r>
              <w:rPr>
                <w:rStyle w:val="CharacterStyle12"/>
              </w:rPr>
              <w:t>16.500,00</w:t>
            </w:r>
          </w:p>
        </w:tc>
        <w:tc>
          <w:tcPr>
            <w:tcW w:w="1395" w:type="dxa"/>
            <w:tcBorders>
              <w:bottom w:val="single" w:sz="6" w:space="0" w:color="000000"/>
              <w:right w:val="single" w:sz="6" w:space="0" w:color="000000"/>
            </w:tcBorders>
            <w:vAlign w:val="center"/>
          </w:tcPr>
          <w:p w14:paraId="28A20DCC" w14:textId="77777777" w:rsidR="007D706A" w:rsidRDefault="007D706A" w:rsidP="00F70508">
            <w:pPr>
              <w:pStyle w:val="ParagraphStyle12"/>
              <w:rPr>
                <w:rStyle w:val="CharacterStyle12"/>
              </w:rPr>
            </w:pPr>
            <w:r>
              <w:rPr>
                <w:rStyle w:val="CharacterStyle12"/>
              </w:rPr>
              <w:t>16.500,00</w:t>
            </w:r>
          </w:p>
        </w:tc>
      </w:tr>
      <w:tr w:rsidR="007D706A" w14:paraId="450560E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4954AAA" w14:textId="77777777" w:rsidR="007D706A" w:rsidRDefault="007D706A" w:rsidP="00F70508">
            <w:pPr>
              <w:pStyle w:val="ParagraphStyle7"/>
              <w:rPr>
                <w:rStyle w:val="CharacterStyle7"/>
              </w:rPr>
            </w:pPr>
            <w:r>
              <w:rPr>
                <w:rStyle w:val="CharacterStyle7"/>
              </w:rPr>
              <w:t>Izvor financiranja 53</w:t>
            </w:r>
          </w:p>
        </w:tc>
        <w:tc>
          <w:tcPr>
            <w:tcW w:w="4995" w:type="dxa"/>
            <w:tcBorders>
              <w:bottom w:val="single" w:sz="6" w:space="0" w:color="000000"/>
              <w:right w:val="single" w:sz="6" w:space="0" w:color="000000"/>
            </w:tcBorders>
            <w:vAlign w:val="center"/>
          </w:tcPr>
          <w:p w14:paraId="0E5E2C4F" w14:textId="77777777" w:rsidR="007D706A" w:rsidRDefault="007D706A" w:rsidP="00F70508">
            <w:pPr>
              <w:pStyle w:val="ParagraphStyle8"/>
              <w:rPr>
                <w:rStyle w:val="CharacterStyle8"/>
              </w:rPr>
            </w:pPr>
            <w:r>
              <w:rPr>
                <w:rStyle w:val="CharacterStyle8"/>
              </w:rPr>
              <w:t>Proračuni, drugi nivoi - za posebne i / ili ugovorene namjene</w:t>
            </w:r>
          </w:p>
        </w:tc>
        <w:tc>
          <w:tcPr>
            <w:tcW w:w="1395" w:type="dxa"/>
            <w:tcBorders>
              <w:bottom w:val="single" w:sz="6" w:space="0" w:color="000000"/>
              <w:right w:val="single" w:sz="6" w:space="0" w:color="000000"/>
            </w:tcBorders>
            <w:vAlign w:val="center"/>
          </w:tcPr>
          <w:p w14:paraId="4DD6904A"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B6A4C90" w14:textId="77777777" w:rsidR="007D706A" w:rsidRDefault="007D706A" w:rsidP="00F70508">
            <w:pPr>
              <w:pStyle w:val="ParagraphStyle9"/>
              <w:rPr>
                <w:rStyle w:val="CharacterStyle9"/>
              </w:rPr>
            </w:pPr>
            <w:r>
              <w:rPr>
                <w:rStyle w:val="CharacterStyle9"/>
              </w:rPr>
              <w:t>19.500,00</w:t>
            </w:r>
          </w:p>
        </w:tc>
        <w:tc>
          <w:tcPr>
            <w:tcW w:w="1395" w:type="dxa"/>
            <w:tcBorders>
              <w:bottom w:val="single" w:sz="6" w:space="0" w:color="000000"/>
              <w:right w:val="single" w:sz="6" w:space="0" w:color="000000"/>
            </w:tcBorders>
            <w:vAlign w:val="center"/>
          </w:tcPr>
          <w:p w14:paraId="7807F671"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4864DDA"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F658754" w14:textId="77777777" w:rsidR="007D706A" w:rsidRDefault="007D706A" w:rsidP="00F70508">
            <w:pPr>
              <w:pStyle w:val="ParagraphStyle9"/>
              <w:rPr>
                <w:rStyle w:val="CharacterStyle9"/>
              </w:rPr>
            </w:pPr>
            <w:r>
              <w:rPr>
                <w:rStyle w:val="CharacterStyle9"/>
              </w:rPr>
              <w:t>0,00</w:t>
            </w:r>
          </w:p>
        </w:tc>
      </w:tr>
      <w:tr w:rsidR="007D706A" w14:paraId="461C420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A637161"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540192EB"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5B6E24C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B86A7BD" w14:textId="77777777" w:rsidR="007D706A" w:rsidRDefault="007D706A" w:rsidP="00F70508">
            <w:pPr>
              <w:pStyle w:val="ParagraphStyle12"/>
              <w:rPr>
                <w:rStyle w:val="CharacterStyle12"/>
              </w:rPr>
            </w:pPr>
            <w:r>
              <w:rPr>
                <w:rStyle w:val="CharacterStyle12"/>
              </w:rPr>
              <w:t>19.500,00</w:t>
            </w:r>
          </w:p>
        </w:tc>
        <w:tc>
          <w:tcPr>
            <w:tcW w:w="1395" w:type="dxa"/>
            <w:tcBorders>
              <w:bottom w:val="single" w:sz="6" w:space="0" w:color="000000"/>
              <w:right w:val="single" w:sz="6" w:space="0" w:color="000000"/>
            </w:tcBorders>
            <w:vAlign w:val="center"/>
          </w:tcPr>
          <w:p w14:paraId="67DDBA4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0400D9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456EF03" w14:textId="77777777" w:rsidR="007D706A" w:rsidRDefault="007D706A" w:rsidP="00F70508">
            <w:pPr>
              <w:pStyle w:val="ParagraphStyle12"/>
              <w:rPr>
                <w:rStyle w:val="CharacterStyle12"/>
              </w:rPr>
            </w:pPr>
            <w:r>
              <w:rPr>
                <w:rStyle w:val="CharacterStyle12"/>
              </w:rPr>
              <w:t>0,00</w:t>
            </w:r>
          </w:p>
        </w:tc>
      </w:tr>
      <w:tr w:rsidR="007D706A" w14:paraId="0FA5710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51DA470"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1D3A48BD"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60052B4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15A8B4D" w14:textId="77777777" w:rsidR="007D706A" w:rsidRDefault="007D706A" w:rsidP="00F70508">
            <w:pPr>
              <w:pStyle w:val="ParagraphStyle12"/>
              <w:rPr>
                <w:rStyle w:val="CharacterStyle12"/>
              </w:rPr>
            </w:pPr>
            <w:r>
              <w:rPr>
                <w:rStyle w:val="CharacterStyle12"/>
              </w:rPr>
              <w:t>19.500,00</w:t>
            </w:r>
          </w:p>
        </w:tc>
        <w:tc>
          <w:tcPr>
            <w:tcW w:w="1395" w:type="dxa"/>
            <w:tcBorders>
              <w:bottom w:val="single" w:sz="6" w:space="0" w:color="000000"/>
              <w:right w:val="single" w:sz="6" w:space="0" w:color="000000"/>
            </w:tcBorders>
            <w:vAlign w:val="center"/>
          </w:tcPr>
          <w:p w14:paraId="499EE58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FD7929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C1F1640" w14:textId="77777777" w:rsidR="007D706A" w:rsidRDefault="007D706A" w:rsidP="00F70508">
            <w:pPr>
              <w:pStyle w:val="ParagraphStyle12"/>
              <w:rPr>
                <w:rStyle w:val="CharacterStyle12"/>
              </w:rPr>
            </w:pPr>
            <w:r>
              <w:rPr>
                <w:rStyle w:val="CharacterStyle12"/>
              </w:rPr>
              <w:t>0,00</w:t>
            </w:r>
          </w:p>
        </w:tc>
      </w:tr>
      <w:tr w:rsidR="007D706A" w14:paraId="3C3F60A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8EE53AA" w14:textId="77777777" w:rsidR="007D706A" w:rsidRDefault="007D706A" w:rsidP="00F70508">
            <w:pPr>
              <w:pStyle w:val="ParagraphStyle7"/>
              <w:rPr>
                <w:rStyle w:val="CharacterStyle7"/>
              </w:rPr>
            </w:pPr>
            <w:r>
              <w:rPr>
                <w:rStyle w:val="CharacterStyle7"/>
              </w:rPr>
              <w:t>Izvor financiranja 61</w:t>
            </w:r>
          </w:p>
        </w:tc>
        <w:tc>
          <w:tcPr>
            <w:tcW w:w="4995" w:type="dxa"/>
            <w:tcBorders>
              <w:bottom w:val="single" w:sz="6" w:space="0" w:color="000000"/>
              <w:right w:val="single" w:sz="6" w:space="0" w:color="000000"/>
            </w:tcBorders>
            <w:vAlign w:val="center"/>
          </w:tcPr>
          <w:p w14:paraId="4A0C8217" w14:textId="77777777" w:rsidR="007D706A" w:rsidRDefault="007D706A" w:rsidP="00F70508">
            <w:pPr>
              <w:pStyle w:val="ParagraphStyle8"/>
              <w:rPr>
                <w:rStyle w:val="CharacterStyle8"/>
              </w:rPr>
            </w:pPr>
            <w:r>
              <w:rPr>
                <w:rStyle w:val="CharacterStyle8"/>
              </w:rPr>
              <w:t>Donacije</w:t>
            </w:r>
          </w:p>
        </w:tc>
        <w:tc>
          <w:tcPr>
            <w:tcW w:w="1395" w:type="dxa"/>
            <w:tcBorders>
              <w:bottom w:val="single" w:sz="6" w:space="0" w:color="000000"/>
              <w:right w:val="single" w:sz="6" w:space="0" w:color="000000"/>
            </w:tcBorders>
            <w:vAlign w:val="center"/>
          </w:tcPr>
          <w:p w14:paraId="5CE78452"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8CC2112" w14:textId="77777777" w:rsidR="007D706A" w:rsidRDefault="007D706A" w:rsidP="00F70508">
            <w:pPr>
              <w:pStyle w:val="ParagraphStyle9"/>
              <w:rPr>
                <w:rStyle w:val="CharacterStyle9"/>
              </w:rPr>
            </w:pPr>
            <w:r>
              <w:rPr>
                <w:rStyle w:val="CharacterStyle9"/>
              </w:rPr>
              <w:t>28.249,40</w:t>
            </w:r>
          </w:p>
        </w:tc>
        <w:tc>
          <w:tcPr>
            <w:tcW w:w="1395" w:type="dxa"/>
            <w:tcBorders>
              <w:bottom w:val="single" w:sz="6" w:space="0" w:color="000000"/>
              <w:right w:val="single" w:sz="6" w:space="0" w:color="000000"/>
            </w:tcBorders>
            <w:vAlign w:val="center"/>
          </w:tcPr>
          <w:p w14:paraId="0A1D7CDE" w14:textId="77777777" w:rsidR="007D706A" w:rsidRDefault="007D706A" w:rsidP="00F70508">
            <w:pPr>
              <w:pStyle w:val="ParagraphStyle9"/>
              <w:rPr>
                <w:rStyle w:val="CharacterStyle9"/>
              </w:rPr>
            </w:pPr>
            <w:r>
              <w:rPr>
                <w:rStyle w:val="CharacterStyle9"/>
              </w:rPr>
              <w:t>28.600,00</w:t>
            </w:r>
          </w:p>
        </w:tc>
        <w:tc>
          <w:tcPr>
            <w:tcW w:w="1395" w:type="dxa"/>
            <w:tcBorders>
              <w:bottom w:val="single" w:sz="6" w:space="0" w:color="000000"/>
              <w:right w:val="single" w:sz="6" w:space="0" w:color="000000"/>
            </w:tcBorders>
            <w:vAlign w:val="center"/>
          </w:tcPr>
          <w:p w14:paraId="284C1582" w14:textId="77777777" w:rsidR="007D706A" w:rsidRDefault="007D706A" w:rsidP="00F70508">
            <w:pPr>
              <w:pStyle w:val="ParagraphStyle9"/>
              <w:rPr>
                <w:rStyle w:val="CharacterStyle9"/>
              </w:rPr>
            </w:pPr>
            <w:r>
              <w:rPr>
                <w:rStyle w:val="CharacterStyle9"/>
              </w:rPr>
              <w:t>28.600,00</w:t>
            </w:r>
          </w:p>
        </w:tc>
        <w:tc>
          <w:tcPr>
            <w:tcW w:w="1395" w:type="dxa"/>
            <w:tcBorders>
              <w:bottom w:val="single" w:sz="6" w:space="0" w:color="000000"/>
              <w:right w:val="single" w:sz="6" w:space="0" w:color="000000"/>
            </w:tcBorders>
            <w:vAlign w:val="center"/>
          </w:tcPr>
          <w:p w14:paraId="09E1F34C" w14:textId="77777777" w:rsidR="007D706A" w:rsidRDefault="007D706A" w:rsidP="00F70508">
            <w:pPr>
              <w:pStyle w:val="ParagraphStyle9"/>
              <w:rPr>
                <w:rStyle w:val="CharacterStyle9"/>
              </w:rPr>
            </w:pPr>
            <w:r>
              <w:rPr>
                <w:rStyle w:val="CharacterStyle9"/>
              </w:rPr>
              <w:t>28.600,00</w:t>
            </w:r>
          </w:p>
        </w:tc>
      </w:tr>
      <w:tr w:rsidR="007D706A" w14:paraId="6544056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66AFF44"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31CFBA6E"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092FE8E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E079335" w14:textId="77777777" w:rsidR="007D706A" w:rsidRDefault="007D706A" w:rsidP="00F70508">
            <w:pPr>
              <w:pStyle w:val="ParagraphStyle12"/>
              <w:rPr>
                <w:rStyle w:val="CharacterStyle12"/>
              </w:rPr>
            </w:pPr>
            <w:r>
              <w:rPr>
                <w:rStyle w:val="CharacterStyle12"/>
              </w:rPr>
              <w:t>28.249,40</w:t>
            </w:r>
          </w:p>
        </w:tc>
        <w:tc>
          <w:tcPr>
            <w:tcW w:w="1395" w:type="dxa"/>
            <w:tcBorders>
              <w:bottom w:val="single" w:sz="6" w:space="0" w:color="000000"/>
              <w:right w:val="single" w:sz="6" w:space="0" w:color="000000"/>
            </w:tcBorders>
            <w:vAlign w:val="center"/>
          </w:tcPr>
          <w:p w14:paraId="53A71A31" w14:textId="77777777" w:rsidR="007D706A" w:rsidRDefault="007D706A" w:rsidP="00F70508">
            <w:pPr>
              <w:pStyle w:val="ParagraphStyle12"/>
              <w:rPr>
                <w:rStyle w:val="CharacterStyle12"/>
              </w:rPr>
            </w:pPr>
            <w:r>
              <w:rPr>
                <w:rStyle w:val="CharacterStyle12"/>
              </w:rPr>
              <w:t>28.600,00</w:t>
            </w:r>
          </w:p>
        </w:tc>
        <w:tc>
          <w:tcPr>
            <w:tcW w:w="1395" w:type="dxa"/>
            <w:tcBorders>
              <w:bottom w:val="single" w:sz="6" w:space="0" w:color="000000"/>
              <w:right w:val="single" w:sz="6" w:space="0" w:color="000000"/>
            </w:tcBorders>
            <w:vAlign w:val="center"/>
          </w:tcPr>
          <w:p w14:paraId="4CA49DA5" w14:textId="77777777" w:rsidR="007D706A" w:rsidRDefault="007D706A" w:rsidP="00F70508">
            <w:pPr>
              <w:pStyle w:val="ParagraphStyle12"/>
              <w:rPr>
                <w:rStyle w:val="CharacterStyle12"/>
              </w:rPr>
            </w:pPr>
            <w:r>
              <w:rPr>
                <w:rStyle w:val="CharacterStyle12"/>
              </w:rPr>
              <w:t>28.600,00</w:t>
            </w:r>
          </w:p>
        </w:tc>
        <w:tc>
          <w:tcPr>
            <w:tcW w:w="1395" w:type="dxa"/>
            <w:tcBorders>
              <w:bottom w:val="single" w:sz="6" w:space="0" w:color="000000"/>
              <w:right w:val="single" w:sz="6" w:space="0" w:color="000000"/>
            </w:tcBorders>
            <w:vAlign w:val="center"/>
          </w:tcPr>
          <w:p w14:paraId="6240A698" w14:textId="77777777" w:rsidR="007D706A" w:rsidRDefault="007D706A" w:rsidP="00F70508">
            <w:pPr>
              <w:pStyle w:val="ParagraphStyle12"/>
              <w:rPr>
                <w:rStyle w:val="CharacterStyle12"/>
              </w:rPr>
            </w:pPr>
            <w:r>
              <w:rPr>
                <w:rStyle w:val="CharacterStyle12"/>
              </w:rPr>
              <w:t>28.600,00</w:t>
            </w:r>
          </w:p>
        </w:tc>
      </w:tr>
      <w:tr w:rsidR="007D706A" w14:paraId="07D2336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D8F7D94"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04D19613"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7776FB6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A9716C7" w14:textId="77777777" w:rsidR="007D706A" w:rsidRDefault="007D706A" w:rsidP="00F70508">
            <w:pPr>
              <w:pStyle w:val="ParagraphStyle12"/>
              <w:rPr>
                <w:rStyle w:val="CharacterStyle12"/>
              </w:rPr>
            </w:pPr>
            <w:r>
              <w:rPr>
                <w:rStyle w:val="CharacterStyle12"/>
              </w:rPr>
              <w:t>28.249,40</w:t>
            </w:r>
          </w:p>
        </w:tc>
        <w:tc>
          <w:tcPr>
            <w:tcW w:w="1395" w:type="dxa"/>
            <w:tcBorders>
              <w:bottom w:val="single" w:sz="6" w:space="0" w:color="000000"/>
              <w:right w:val="single" w:sz="6" w:space="0" w:color="000000"/>
            </w:tcBorders>
            <w:vAlign w:val="center"/>
          </w:tcPr>
          <w:p w14:paraId="0151960E" w14:textId="77777777" w:rsidR="007D706A" w:rsidRDefault="007D706A" w:rsidP="00F70508">
            <w:pPr>
              <w:pStyle w:val="ParagraphStyle12"/>
              <w:rPr>
                <w:rStyle w:val="CharacterStyle12"/>
              </w:rPr>
            </w:pPr>
            <w:r>
              <w:rPr>
                <w:rStyle w:val="CharacterStyle12"/>
              </w:rPr>
              <w:t>28.600,00</w:t>
            </w:r>
          </w:p>
        </w:tc>
        <w:tc>
          <w:tcPr>
            <w:tcW w:w="1395" w:type="dxa"/>
            <w:tcBorders>
              <w:bottom w:val="single" w:sz="6" w:space="0" w:color="000000"/>
              <w:right w:val="single" w:sz="6" w:space="0" w:color="000000"/>
            </w:tcBorders>
            <w:vAlign w:val="center"/>
          </w:tcPr>
          <w:p w14:paraId="31F64EAF" w14:textId="77777777" w:rsidR="007D706A" w:rsidRDefault="007D706A" w:rsidP="00F70508">
            <w:pPr>
              <w:pStyle w:val="ParagraphStyle12"/>
              <w:rPr>
                <w:rStyle w:val="CharacterStyle12"/>
              </w:rPr>
            </w:pPr>
            <w:r>
              <w:rPr>
                <w:rStyle w:val="CharacterStyle12"/>
              </w:rPr>
              <w:t>28.600,00</w:t>
            </w:r>
          </w:p>
        </w:tc>
        <w:tc>
          <w:tcPr>
            <w:tcW w:w="1395" w:type="dxa"/>
            <w:tcBorders>
              <w:bottom w:val="single" w:sz="6" w:space="0" w:color="000000"/>
              <w:right w:val="single" w:sz="6" w:space="0" w:color="000000"/>
            </w:tcBorders>
            <w:vAlign w:val="center"/>
          </w:tcPr>
          <w:p w14:paraId="513560DF" w14:textId="77777777" w:rsidR="007D706A" w:rsidRDefault="007D706A" w:rsidP="00F70508">
            <w:pPr>
              <w:pStyle w:val="ParagraphStyle12"/>
              <w:rPr>
                <w:rStyle w:val="CharacterStyle12"/>
              </w:rPr>
            </w:pPr>
            <w:r>
              <w:rPr>
                <w:rStyle w:val="CharacterStyle12"/>
              </w:rPr>
              <w:t>28.600,00</w:t>
            </w:r>
          </w:p>
        </w:tc>
      </w:tr>
      <w:tr w:rsidR="007D706A" w14:paraId="7B22A2B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60BA7AD" w14:textId="77777777" w:rsidR="007D706A" w:rsidRDefault="007D706A" w:rsidP="00F70508">
            <w:pPr>
              <w:pStyle w:val="ParagraphStyle4"/>
              <w:rPr>
                <w:rStyle w:val="CharacterStyle4"/>
              </w:rPr>
            </w:pPr>
            <w:r>
              <w:rPr>
                <w:rStyle w:val="CharacterStyle4"/>
              </w:rPr>
              <w:t>Aktivnost A103704</w:t>
            </w:r>
          </w:p>
        </w:tc>
        <w:tc>
          <w:tcPr>
            <w:tcW w:w="4995" w:type="dxa"/>
            <w:tcBorders>
              <w:bottom w:val="single" w:sz="6" w:space="0" w:color="000000"/>
              <w:right w:val="single" w:sz="6" w:space="0" w:color="000000"/>
            </w:tcBorders>
            <w:vAlign w:val="center"/>
          </w:tcPr>
          <w:p w14:paraId="282C71D7" w14:textId="77777777" w:rsidR="007D706A" w:rsidRDefault="007D706A" w:rsidP="00F70508">
            <w:pPr>
              <w:pStyle w:val="ParagraphStyle5"/>
              <w:rPr>
                <w:rStyle w:val="CharacterStyle5"/>
              </w:rPr>
            </w:pPr>
            <w:r>
              <w:rPr>
                <w:rStyle w:val="CharacterStyle5"/>
              </w:rPr>
              <w:t>DANI ANTUNA ŠOLJANA</w:t>
            </w:r>
          </w:p>
        </w:tc>
        <w:tc>
          <w:tcPr>
            <w:tcW w:w="1395" w:type="dxa"/>
            <w:tcBorders>
              <w:bottom w:val="single" w:sz="6" w:space="0" w:color="000000"/>
              <w:right w:val="single" w:sz="6" w:space="0" w:color="000000"/>
            </w:tcBorders>
            <w:vAlign w:val="center"/>
          </w:tcPr>
          <w:p w14:paraId="4C17FE5A"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4F8593D8" w14:textId="77777777" w:rsidR="007D706A" w:rsidRDefault="007D706A" w:rsidP="00F70508">
            <w:pPr>
              <w:pStyle w:val="ParagraphStyle6"/>
              <w:rPr>
                <w:rStyle w:val="CharacterStyle6"/>
              </w:rPr>
            </w:pPr>
            <w:r>
              <w:rPr>
                <w:rStyle w:val="CharacterStyle6"/>
              </w:rPr>
              <w:t>12.409,00</w:t>
            </w:r>
          </w:p>
        </w:tc>
        <w:tc>
          <w:tcPr>
            <w:tcW w:w="1395" w:type="dxa"/>
            <w:tcBorders>
              <w:bottom w:val="single" w:sz="6" w:space="0" w:color="000000"/>
              <w:right w:val="single" w:sz="6" w:space="0" w:color="000000"/>
            </w:tcBorders>
            <w:vAlign w:val="center"/>
          </w:tcPr>
          <w:p w14:paraId="52859471" w14:textId="77777777" w:rsidR="007D706A" w:rsidRDefault="007D706A" w:rsidP="00F70508">
            <w:pPr>
              <w:pStyle w:val="ParagraphStyle6"/>
              <w:rPr>
                <w:rStyle w:val="CharacterStyle6"/>
              </w:rPr>
            </w:pPr>
            <w:r>
              <w:rPr>
                <w:rStyle w:val="CharacterStyle6"/>
              </w:rPr>
              <w:t>11.700,00</w:t>
            </w:r>
          </w:p>
        </w:tc>
        <w:tc>
          <w:tcPr>
            <w:tcW w:w="1395" w:type="dxa"/>
            <w:tcBorders>
              <w:bottom w:val="single" w:sz="6" w:space="0" w:color="000000"/>
              <w:right w:val="single" w:sz="6" w:space="0" w:color="000000"/>
            </w:tcBorders>
            <w:vAlign w:val="center"/>
          </w:tcPr>
          <w:p w14:paraId="699C9E1F" w14:textId="77777777" w:rsidR="007D706A" w:rsidRDefault="007D706A" w:rsidP="00F70508">
            <w:pPr>
              <w:pStyle w:val="ParagraphStyle6"/>
              <w:rPr>
                <w:rStyle w:val="CharacterStyle6"/>
              </w:rPr>
            </w:pPr>
            <w:r>
              <w:rPr>
                <w:rStyle w:val="CharacterStyle6"/>
              </w:rPr>
              <w:t>9.910,00</w:t>
            </w:r>
          </w:p>
        </w:tc>
        <w:tc>
          <w:tcPr>
            <w:tcW w:w="1395" w:type="dxa"/>
            <w:tcBorders>
              <w:bottom w:val="single" w:sz="6" w:space="0" w:color="000000"/>
              <w:right w:val="single" w:sz="6" w:space="0" w:color="000000"/>
            </w:tcBorders>
            <w:vAlign w:val="center"/>
          </w:tcPr>
          <w:p w14:paraId="386AFAC1" w14:textId="77777777" w:rsidR="007D706A" w:rsidRDefault="007D706A" w:rsidP="00F70508">
            <w:pPr>
              <w:pStyle w:val="ParagraphStyle6"/>
              <w:rPr>
                <w:rStyle w:val="CharacterStyle6"/>
              </w:rPr>
            </w:pPr>
            <w:r>
              <w:rPr>
                <w:rStyle w:val="CharacterStyle6"/>
              </w:rPr>
              <w:t>9.910,00</w:t>
            </w:r>
          </w:p>
        </w:tc>
      </w:tr>
      <w:tr w:rsidR="007D706A" w14:paraId="6519B36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ACA2AB0"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38D48FDC"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4D9FB061"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23E61B1" w14:textId="77777777" w:rsidR="007D706A" w:rsidRDefault="007D706A" w:rsidP="00F70508">
            <w:pPr>
              <w:pStyle w:val="ParagraphStyle9"/>
              <w:rPr>
                <w:rStyle w:val="CharacterStyle9"/>
              </w:rPr>
            </w:pPr>
            <w:r>
              <w:rPr>
                <w:rStyle w:val="CharacterStyle9"/>
              </w:rPr>
              <w:t>2.500,00</w:t>
            </w:r>
          </w:p>
        </w:tc>
        <w:tc>
          <w:tcPr>
            <w:tcW w:w="1395" w:type="dxa"/>
            <w:tcBorders>
              <w:bottom w:val="single" w:sz="6" w:space="0" w:color="000000"/>
              <w:right w:val="single" w:sz="6" w:space="0" w:color="000000"/>
            </w:tcBorders>
            <w:vAlign w:val="center"/>
          </w:tcPr>
          <w:p w14:paraId="2E367EB8" w14:textId="77777777" w:rsidR="007D706A" w:rsidRDefault="007D706A" w:rsidP="00F70508">
            <w:pPr>
              <w:pStyle w:val="ParagraphStyle9"/>
              <w:rPr>
                <w:rStyle w:val="CharacterStyle9"/>
              </w:rPr>
            </w:pPr>
            <w:r>
              <w:rPr>
                <w:rStyle w:val="CharacterStyle9"/>
              </w:rPr>
              <w:t>5.700,00</w:t>
            </w:r>
          </w:p>
        </w:tc>
        <w:tc>
          <w:tcPr>
            <w:tcW w:w="1395" w:type="dxa"/>
            <w:tcBorders>
              <w:bottom w:val="single" w:sz="6" w:space="0" w:color="000000"/>
              <w:right w:val="single" w:sz="6" w:space="0" w:color="000000"/>
            </w:tcBorders>
            <w:vAlign w:val="center"/>
          </w:tcPr>
          <w:p w14:paraId="7BA83441" w14:textId="77777777" w:rsidR="007D706A" w:rsidRDefault="007D706A" w:rsidP="00F70508">
            <w:pPr>
              <w:pStyle w:val="ParagraphStyle9"/>
              <w:rPr>
                <w:rStyle w:val="CharacterStyle9"/>
              </w:rPr>
            </w:pPr>
            <w:r>
              <w:rPr>
                <w:rStyle w:val="CharacterStyle9"/>
              </w:rPr>
              <w:t>3.910,00</w:t>
            </w:r>
          </w:p>
        </w:tc>
        <w:tc>
          <w:tcPr>
            <w:tcW w:w="1395" w:type="dxa"/>
            <w:tcBorders>
              <w:bottom w:val="single" w:sz="6" w:space="0" w:color="000000"/>
              <w:right w:val="single" w:sz="6" w:space="0" w:color="000000"/>
            </w:tcBorders>
            <w:vAlign w:val="center"/>
          </w:tcPr>
          <w:p w14:paraId="7EE9A988" w14:textId="77777777" w:rsidR="007D706A" w:rsidRDefault="007D706A" w:rsidP="00F70508">
            <w:pPr>
              <w:pStyle w:val="ParagraphStyle9"/>
              <w:rPr>
                <w:rStyle w:val="CharacterStyle9"/>
              </w:rPr>
            </w:pPr>
            <w:r>
              <w:rPr>
                <w:rStyle w:val="CharacterStyle9"/>
              </w:rPr>
              <w:t>3.910,00</w:t>
            </w:r>
          </w:p>
        </w:tc>
      </w:tr>
      <w:tr w:rsidR="007D706A" w14:paraId="213A2D3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6054187"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32AFA538"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176232A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D3D29CC" w14:textId="77777777" w:rsidR="007D706A" w:rsidRDefault="007D706A" w:rsidP="00F70508">
            <w:pPr>
              <w:pStyle w:val="ParagraphStyle12"/>
              <w:rPr>
                <w:rStyle w:val="CharacterStyle12"/>
              </w:rPr>
            </w:pPr>
            <w:r>
              <w:rPr>
                <w:rStyle w:val="CharacterStyle12"/>
              </w:rPr>
              <w:t>2.500,00</w:t>
            </w:r>
          </w:p>
        </w:tc>
        <w:tc>
          <w:tcPr>
            <w:tcW w:w="1395" w:type="dxa"/>
            <w:tcBorders>
              <w:bottom w:val="single" w:sz="6" w:space="0" w:color="000000"/>
              <w:right w:val="single" w:sz="6" w:space="0" w:color="000000"/>
            </w:tcBorders>
            <w:vAlign w:val="center"/>
          </w:tcPr>
          <w:p w14:paraId="1E7952C0" w14:textId="77777777" w:rsidR="007D706A" w:rsidRDefault="007D706A" w:rsidP="00F70508">
            <w:pPr>
              <w:pStyle w:val="ParagraphStyle12"/>
              <w:rPr>
                <w:rStyle w:val="CharacterStyle12"/>
              </w:rPr>
            </w:pPr>
            <w:r>
              <w:rPr>
                <w:rStyle w:val="CharacterStyle12"/>
              </w:rPr>
              <w:t>5.700,00</w:t>
            </w:r>
          </w:p>
        </w:tc>
        <w:tc>
          <w:tcPr>
            <w:tcW w:w="1395" w:type="dxa"/>
            <w:tcBorders>
              <w:bottom w:val="single" w:sz="6" w:space="0" w:color="000000"/>
              <w:right w:val="single" w:sz="6" w:space="0" w:color="000000"/>
            </w:tcBorders>
            <w:vAlign w:val="center"/>
          </w:tcPr>
          <w:p w14:paraId="2F6848D9" w14:textId="77777777" w:rsidR="007D706A" w:rsidRDefault="007D706A" w:rsidP="00F70508">
            <w:pPr>
              <w:pStyle w:val="ParagraphStyle12"/>
              <w:rPr>
                <w:rStyle w:val="CharacterStyle12"/>
              </w:rPr>
            </w:pPr>
            <w:r>
              <w:rPr>
                <w:rStyle w:val="CharacterStyle12"/>
              </w:rPr>
              <w:t>3.910,00</w:t>
            </w:r>
          </w:p>
        </w:tc>
        <w:tc>
          <w:tcPr>
            <w:tcW w:w="1395" w:type="dxa"/>
            <w:tcBorders>
              <w:bottom w:val="single" w:sz="6" w:space="0" w:color="000000"/>
              <w:right w:val="single" w:sz="6" w:space="0" w:color="000000"/>
            </w:tcBorders>
            <w:vAlign w:val="center"/>
          </w:tcPr>
          <w:p w14:paraId="4EBF700B" w14:textId="77777777" w:rsidR="007D706A" w:rsidRDefault="007D706A" w:rsidP="00F70508">
            <w:pPr>
              <w:pStyle w:val="ParagraphStyle12"/>
              <w:rPr>
                <w:rStyle w:val="CharacterStyle12"/>
              </w:rPr>
            </w:pPr>
            <w:r>
              <w:rPr>
                <w:rStyle w:val="CharacterStyle12"/>
              </w:rPr>
              <w:t>3.910,00</w:t>
            </w:r>
          </w:p>
        </w:tc>
      </w:tr>
      <w:tr w:rsidR="007D706A" w14:paraId="22B1FF1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FE55AF1"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2CDE9FBA"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73A263A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7D7047F" w14:textId="77777777" w:rsidR="007D706A" w:rsidRDefault="007D706A" w:rsidP="00F70508">
            <w:pPr>
              <w:pStyle w:val="ParagraphStyle12"/>
              <w:rPr>
                <w:rStyle w:val="CharacterStyle12"/>
              </w:rPr>
            </w:pPr>
            <w:r>
              <w:rPr>
                <w:rStyle w:val="CharacterStyle12"/>
              </w:rPr>
              <w:t>2.500,00</w:t>
            </w:r>
          </w:p>
        </w:tc>
        <w:tc>
          <w:tcPr>
            <w:tcW w:w="1395" w:type="dxa"/>
            <w:tcBorders>
              <w:bottom w:val="single" w:sz="6" w:space="0" w:color="000000"/>
              <w:right w:val="single" w:sz="6" w:space="0" w:color="000000"/>
            </w:tcBorders>
            <w:vAlign w:val="center"/>
          </w:tcPr>
          <w:p w14:paraId="4ED44065" w14:textId="77777777" w:rsidR="007D706A" w:rsidRDefault="007D706A" w:rsidP="00F70508">
            <w:pPr>
              <w:pStyle w:val="ParagraphStyle12"/>
              <w:rPr>
                <w:rStyle w:val="CharacterStyle12"/>
              </w:rPr>
            </w:pPr>
            <w:r>
              <w:rPr>
                <w:rStyle w:val="CharacterStyle12"/>
              </w:rPr>
              <w:t>5.700,00</w:t>
            </w:r>
          </w:p>
        </w:tc>
        <w:tc>
          <w:tcPr>
            <w:tcW w:w="1395" w:type="dxa"/>
            <w:tcBorders>
              <w:bottom w:val="single" w:sz="6" w:space="0" w:color="000000"/>
              <w:right w:val="single" w:sz="6" w:space="0" w:color="000000"/>
            </w:tcBorders>
            <w:vAlign w:val="center"/>
          </w:tcPr>
          <w:p w14:paraId="3FB74EBD" w14:textId="77777777" w:rsidR="007D706A" w:rsidRDefault="007D706A" w:rsidP="00F70508">
            <w:pPr>
              <w:pStyle w:val="ParagraphStyle12"/>
              <w:rPr>
                <w:rStyle w:val="CharacterStyle12"/>
              </w:rPr>
            </w:pPr>
            <w:r>
              <w:rPr>
                <w:rStyle w:val="CharacterStyle12"/>
              </w:rPr>
              <w:t>3.910,00</w:t>
            </w:r>
          </w:p>
        </w:tc>
        <w:tc>
          <w:tcPr>
            <w:tcW w:w="1395" w:type="dxa"/>
            <w:tcBorders>
              <w:bottom w:val="single" w:sz="6" w:space="0" w:color="000000"/>
              <w:right w:val="single" w:sz="6" w:space="0" w:color="000000"/>
            </w:tcBorders>
            <w:vAlign w:val="center"/>
          </w:tcPr>
          <w:p w14:paraId="76547FA6" w14:textId="77777777" w:rsidR="007D706A" w:rsidRDefault="007D706A" w:rsidP="00F70508">
            <w:pPr>
              <w:pStyle w:val="ParagraphStyle12"/>
              <w:rPr>
                <w:rStyle w:val="CharacterStyle12"/>
              </w:rPr>
            </w:pPr>
            <w:r>
              <w:rPr>
                <w:rStyle w:val="CharacterStyle12"/>
              </w:rPr>
              <w:t>3.910,00</w:t>
            </w:r>
          </w:p>
        </w:tc>
      </w:tr>
      <w:tr w:rsidR="007D706A" w14:paraId="3A06FCD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193CB88" w14:textId="77777777" w:rsidR="007D706A" w:rsidRDefault="007D706A" w:rsidP="00F70508">
            <w:pPr>
              <w:pStyle w:val="ParagraphStyle7"/>
              <w:rPr>
                <w:rStyle w:val="CharacterStyle7"/>
              </w:rPr>
            </w:pPr>
            <w:r>
              <w:rPr>
                <w:rStyle w:val="CharacterStyle7"/>
              </w:rPr>
              <w:t>Izvor financiranja 41</w:t>
            </w:r>
          </w:p>
        </w:tc>
        <w:tc>
          <w:tcPr>
            <w:tcW w:w="4995" w:type="dxa"/>
            <w:tcBorders>
              <w:bottom w:val="single" w:sz="6" w:space="0" w:color="000000"/>
              <w:right w:val="single" w:sz="6" w:space="0" w:color="000000"/>
            </w:tcBorders>
            <w:vAlign w:val="center"/>
          </w:tcPr>
          <w:p w14:paraId="3DF3E065" w14:textId="77777777" w:rsidR="007D706A" w:rsidRDefault="007D706A" w:rsidP="00F70508">
            <w:pPr>
              <w:pStyle w:val="ParagraphStyle8"/>
              <w:rPr>
                <w:rStyle w:val="CharacterStyle8"/>
              </w:rPr>
            </w:pPr>
            <w:r>
              <w:rPr>
                <w:rStyle w:val="CharacterStyle8"/>
              </w:rPr>
              <w:t>Prihodi za posebne namjene</w:t>
            </w:r>
          </w:p>
        </w:tc>
        <w:tc>
          <w:tcPr>
            <w:tcW w:w="1395" w:type="dxa"/>
            <w:tcBorders>
              <w:bottom w:val="single" w:sz="6" w:space="0" w:color="000000"/>
              <w:right w:val="single" w:sz="6" w:space="0" w:color="000000"/>
            </w:tcBorders>
            <w:vAlign w:val="center"/>
          </w:tcPr>
          <w:p w14:paraId="4FF4612D"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D40D70F" w14:textId="77777777" w:rsidR="007D706A" w:rsidRDefault="007D706A" w:rsidP="00F70508">
            <w:pPr>
              <w:pStyle w:val="ParagraphStyle9"/>
              <w:rPr>
                <w:rStyle w:val="CharacterStyle9"/>
              </w:rPr>
            </w:pPr>
            <w:r>
              <w:rPr>
                <w:rStyle w:val="CharacterStyle9"/>
              </w:rPr>
              <w:t>3.909,00</w:t>
            </w:r>
          </w:p>
        </w:tc>
        <w:tc>
          <w:tcPr>
            <w:tcW w:w="1395" w:type="dxa"/>
            <w:tcBorders>
              <w:bottom w:val="single" w:sz="6" w:space="0" w:color="000000"/>
              <w:right w:val="single" w:sz="6" w:space="0" w:color="000000"/>
            </w:tcBorders>
            <w:vAlign w:val="center"/>
          </w:tcPr>
          <w:p w14:paraId="6B8740E0"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ED0B6E7"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8059A8D" w14:textId="77777777" w:rsidR="007D706A" w:rsidRDefault="007D706A" w:rsidP="00F70508">
            <w:pPr>
              <w:pStyle w:val="ParagraphStyle9"/>
              <w:rPr>
                <w:rStyle w:val="CharacterStyle9"/>
              </w:rPr>
            </w:pPr>
            <w:r>
              <w:rPr>
                <w:rStyle w:val="CharacterStyle9"/>
              </w:rPr>
              <w:t>0,00</w:t>
            </w:r>
          </w:p>
        </w:tc>
      </w:tr>
      <w:tr w:rsidR="007D706A" w14:paraId="338CC2D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91FD533"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1542C55F"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3D9A77B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9EECB9E" w14:textId="77777777" w:rsidR="007D706A" w:rsidRDefault="007D706A" w:rsidP="00F70508">
            <w:pPr>
              <w:pStyle w:val="ParagraphStyle12"/>
              <w:rPr>
                <w:rStyle w:val="CharacterStyle12"/>
              </w:rPr>
            </w:pPr>
            <w:r>
              <w:rPr>
                <w:rStyle w:val="CharacterStyle12"/>
              </w:rPr>
              <w:t>3.909,00</w:t>
            </w:r>
          </w:p>
        </w:tc>
        <w:tc>
          <w:tcPr>
            <w:tcW w:w="1395" w:type="dxa"/>
            <w:tcBorders>
              <w:bottom w:val="single" w:sz="6" w:space="0" w:color="000000"/>
              <w:right w:val="single" w:sz="6" w:space="0" w:color="000000"/>
            </w:tcBorders>
            <w:vAlign w:val="center"/>
          </w:tcPr>
          <w:p w14:paraId="0906521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2878F6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595167E" w14:textId="77777777" w:rsidR="007D706A" w:rsidRDefault="007D706A" w:rsidP="00F70508">
            <w:pPr>
              <w:pStyle w:val="ParagraphStyle12"/>
              <w:rPr>
                <w:rStyle w:val="CharacterStyle12"/>
              </w:rPr>
            </w:pPr>
            <w:r>
              <w:rPr>
                <w:rStyle w:val="CharacterStyle12"/>
              </w:rPr>
              <w:t>0,00</w:t>
            </w:r>
          </w:p>
        </w:tc>
      </w:tr>
      <w:tr w:rsidR="007D706A" w14:paraId="555F614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A1B1DCD"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3D5312B2"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37010C9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E4D7D43" w14:textId="77777777" w:rsidR="007D706A" w:rsidRDefault="007D706A" w:rsidP="00F70508">
            <w:pPr>
              <w:pStyle w:val="ParagraphStyle12"/>
              <w:rPr>
                <w:rStyle w:val="CharacterStyle12"/>
              </w:rPr>
            </w:pPr>
            <w:r>
              <w:rPr>
                <w:rStyle w:val="CharacterStyle12"/>
              </w:rPr>
              <w:t>3.909,00</w:t>
            </w:r>
          </w:p>
        </w:tc>
        <w:tc>
          <w:tcPr>
            <w:tcW w:w="1395" w:type="dxa"/>
            <w:tcBorders>
              <w:bottom w:val="single" w:sz="6" w:space="0" w:color="000000"/>
              <w:right w:val="single" w:sz="6" w:space="0" w:color="000000"/>
            </w:tcBorders>
            <w:vAlign w:val="center"/>
          </w:tcPr>
          <w:p w14:paraId="3DCB3CD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8EA0B9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5CAEFD5" w14:textId="77777777" w:rsidR="007D706A" w:rsidRDefault="007D706A" w:rsidP="00F70508">
            <w:pPr>
              <w:pStyle w:val="ParagraphStyle12"/>
              <w:rPr>
                <w:rStyle w:val="CharacterStyle12"/>
              </w:rPr>
            </w:pPr>
            <w:r>
              <w:rPr>
                <w:rStyle w:val="CharacterStyle12"/>
              </w:rPr>
              <w:t>0,00</w:t>
            </w:r>
          </w:p>
        </w:tc>
      </w:tr>
      <w:tr w:rsidR="007D706A" w14:paraId="3912C5E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7246CD0" w14:textId="77777777" w:rsidR="007D706A" w:rsidRDefault="007D706A" w:rsidP="00F70508">
            <w:pPr>
              <w:pStyle w:val="ParagraphStyle7"/>
              <w:rPr>
                <w:rStyle w:val="CharacterStyle7"/>
              </w:rPr>
            </w:pPr>
            <w:r>
              <w:rPr>
                <w:rStyle w:val="CharacterStyle7"/>
              </w:rPr>
              <w:t>Izvor financiranja 5</w:t>
            </w:r>
          </w:p>
        </w:tc>
        <w:tc>
          <w:tcPr>
            <w:tcW w:w="4995" w:type="dxa"/>
            <w:tcBorders>
              <w:bottom w:val="single" w:sz="6" w:space="0" w:color="000000"/>
              <w:right w:val="single" w:sz="6" w:space="0" w:color="000000"/>
            </w:tcBorders>
            <w:vAlign w:val="center"/>
          </w:tcPr>
          <w:p w14:paraId="5B6F36FC" w14:textId="77777777" w:rsidR="007D706A" w:rsidRDefault="007D706A" w:rsidP="00F70508">
            <w:pPr>
              <w:pStyle w:val="ParagraphStyle8"/>
              <w:rPr>
                <w:rStyle w:val="CharacterStyle8"/>
              </w:rPr>
            </w:pPr>
            <w:r>
              <w:rPr>
                <w:rStyle w:val="CharacterStyle8"/>
              </w:rPr>
              <w:t>POMOĆI</w:t>
            </w:r>
          </w:p>
        </w:tc>
        <w:tc>
          <w:tcPr>
            <w:tcW w:w="1395" w:type="dxa"/>
            <w:tcBorders>
              <w:bottom w:val="single" w:sz="6" w:space="0" w:color="000000"/>
              <w:right w:val="single" w:sz="6" w:space="0" w:color="000000"/>
            </w:tcBorders>
            <w:vAlign w:val="center"/>
          </w:tcPr>
          <w:p w14:paraId="549D5011"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21572F2"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BE76E6D" w14:textId="77777777" w:rsidR="007D706A" w:rsidRDefault="007D706A" w:rsidP="00F70508">
            <w:pPr>
              <w:pStyle w:val="ParagraphStyle9"/>
              <w:rPr>
                <w:rStyle w:val="CharacterStyle9"/>
              </w:rPr>
            </w:pPr>
            <w:r>
              <w:rPr>
                <w:rStyle w:val="CharacterStyle9"/>
              </w:rPr>
              <w:t>2.000,00</w:t>
            </w:r>
          </w:p>
        </w:tc>
        <w:tc>
          <w:tcPr>
            <w:tcW w:w="1395" w:type="dxa"/>
            <w:tcBorders>
              <w:bottom w:val="single" w:sz="6" w:space="0" w:color="000000"/>
              <w:right w:val="single" w:sz="6" w:space="0" w:color="000000"/>
            </w:tcBorders>
            <w:vAlign w:val="center"/>
          </w:tcPr>
          <w:p w14:paraId="7884347E" w14:textId="77777777" w:rsidR="007D706A" w:rsidRDefault="007D706A" w:rsidP="00F70508">
            <w:pPr>
              <w:pStyle w:val="ParagraphStyle9"/>
              <w:rPr>
                <w:rStyle w:val="CharacterStyle9"/>
              </w:rPr>
            </w:pPr>
            <w:r>
              <w:rPr>
                <w:rStyle w:val="CharacterStyle9"/>
              </w:rPr>
              <w:t>2.000,00</w:t>
            </w:r>
          </w:p>
        </w:tc>
        <w:tc>
          <w:tcPr>
            <w:tcW w:w="1395" w:type="dxa"/>
            <w:tcBorders>
              <w:bottom w:val="single" w:sz="6" w:space="0" w:color="000000"/>
              <w:right w:val="single" w:sz="6" w:space="0" w:color="000000"/>
            </w:tcBorders>
            <w:vAlign w:val="center"/>
          </w:tcPr>
          <w:p w14:paraId="02DED15E" w14:textId="77777777" w:rsidR="007D706A" w:rsidRDefault="007D706A" w:rsidP="00F70508">
            <w:pPr>
              <w:pStyle w:val="ParagraphStyle9"/>
              <w:rPr>
                <w:rStyle w:val="CharacterStyle9"/>
              </w:rPr>
            </w:pPr>
            <w:r>
              <w:rPr>
                <w:rStyle w:val="CharacterStyle9"/>
              </w:rPr>
              <w:t>2.000,00</w:t>
            </w:r>
          </w:p>
        </w:tc>
      </w:tr>
      <w:tr w:rsidR="007D706A" w14:paraId="7E702D3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03F4F6B"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37D68933"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3C5A2E6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AB2630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88E064B" w14:textId="77777777" w:rsidR="007D706A" w:rsidRDefault="007D706A" w:rsidP="00F70508">
            <w:pPr>
              <w:pStyle w:val="ParagraphStyle12"/>
              <w:rPr>
                <w:rStyle w:val="CharacterStyle12"/>
              </w:rPr>
            </w:pPr>
            <w:r>
              <w:rPr>
                <w:rStyle w:val="CharacterStyle12"/>
              </w:rPr>
              <w:t>2.000,00</w:t>
            </w:r>
          </w:p>
        </w:tc>
        <w:tc>
          <w:tcPr>
            <w:tcW w:w="1395" w:type="dxa"/>
            <w:tcBorders>
              <w:bottom w:val="single" w:sz="6" w:space="0" w:color="000000"/>
              <w:right w:val="single" w:sz="6" w:space="0" w:color="000000"/>
            </w:tcBorders>
            <w:vAlign w:val="center"/>
          </w:tcPr>
          <w:p w14:paraId="5B9443A9" w14:textId="77777777" w:rsidR="007D706A" w:rsidRDefault="007D706A" w:rsidP="00F70508">
            <w:pPr>
              <w:pStyle w:val="ParagraphStyle12"/>
              <w:rPr>
                <w:rStyle w:val="CharacterStyle12"/>
              </w:rPr>
            </w:pPr>
            <w:r>
              <w:rPr>
                <w:rStyle w:val="CharacterStyle12"/>
              </w:rPr>
              <w:t>2.000,00</w:t>
            </w:r>
          </w:p>
        </w:tc>
        <w:tc>
          <w:tcPr>
            <w:tcW w:w="1395" w:type="dxa"/>
            <w:tcBorders>
              <w:bottom w:val="single" w:sz="6" w:space="0" w:color="000000"/>
              <w:right w:val="single" w:sz="6" w:space="0" w:color="000000"/>
            </w:tcBorders>
            <w:vAlign w:val="center"/>
          </w:tcPr>
          <w:p w14:paraId="61F4911F" w14:textId="77777777" w:rsidR="007D706A" w:rsidRDefault="007D706A" w:rsidP="00F70508">
            <w:pPr>
              <w:pStyle w:val="ParagraphStyle12"/>
              <w:rPr>
                <w:rStyle w:val="CharacterStyle12"/>
              </w:rPr>
            </w:pPr>
            <w:r>
              <w:rPr>
                <w:rStyle w:val="CharacterStyle12"/>
              </w:rPr>
              <w:t>2.000,00</w:t>
            </w:r>
          </w:p>
        </w:tc>
      </w:tr>
      <w:tr w:rsidR="007D706A" w14:paraId="7B5CA7E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083D12E"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4BFC93B9"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33BBFB0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D99CE5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08E1CE0" w14:textId="77777777" w:rsidR="007D706A" w:rsidRDefault="007D706A" w:rsidP="00F70508">
            <w:pPr>
              <w:pStyle w:val="ParagraphStyle12"/>
              <w:rPr>
                <w:rStyle w:val="CharacterStyle12"/>
              </w:rPr>
            </w:pPr>
            <w:r>
              <w:rPr>
                <w:rStyle w:val="CharacterStyle12"/>
              </w:rPr>
              <w:t>2.000,00</w:t>
            </w:r>
          </w:p>
        </w:tc>
        <w:tc>
          <w:tcPr>
            <w:tcW w:w="1395" w:type="dxa"/>
            <w:tcBorders>
              <w:bottom w:val="single" w:sz="6" w:space="0" w:color="000000"/>
              <w:right w:val="single" w:sz="6" w:space="0" w:color="000000"/>
            </w:tcBorders>
            <w:vAlign w:val="center"/>
          </w:tcPr>
          <w:p w14:paraId="06F69079" w14:textId="77777777" w:rsidR="007D706A" w:rsidRDefault="007D706A" w:rsidP="00F70508">
            <w:pPr>
              <w:pStyle w:val="ParagraphStyle12"/>
              <w:rPr>
                <w:rStyle w:val="CharacterStyle12"/>
              </w:rPr>
            </w:pPr>
            <w:r>
              <w:rPr>
                <w:rStyle w:val="CharacterStyle12"/>
              </w:rPr>
              <w:t>2.000,00</w:t>
            </w:r>
          </w:p>
        </w:tc>
        <w:tc>
          <w:tcPr>
            <w:tcW w:w="1395" w:type="dxa"/>
            <w:tcBorders>
              <w:bottom w:val="single" w:sz="6" w:space="0" w:color="000000"/>
              <w:right w:val="single" w:sz="6" w:space="0" w:color="000000"/>
            </w:tcBorders>
            <w:vAlign w:val="center"/>
          </w:tcPr>
          <w:p w14:paraId="3C11364B" w14:textId="77777777" w:rsidR="007D706A" w:rsidRDefault="007D706A" w:rsidP="00F70508">
            <w:pPr>
              <w:pStyle w:val="ParagraphStyle12"/>
              <w:rPr>
                <w:rStyle w:val="CharacterStyle12"/>
              </w:rPr>
            </w:pPr>
            <w:r>
              <w:rPr>
                <w:rStyle w:val="CharacterStyle12"/>
              </w:rPr>
              <w:t>2.000,00</w:t>
            </w:r>
          </w:p>
        </w:tc>
      </w:tr>
      <w:tr w:rsidR="007D706A" w14:paraId="1114BB2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CA1F56D" w14:textId="77777777" w:rsidR="007D706A" w:rsidRDefault="007D706A" w:rsidP="00F70508">
            <w:pPr>
              <w:pStyle w:val="ParagraphStyle7"/>
              <w:rPr>
                <w:rStyle w:val="CharacterStyle7"/>
              </w:rPr>
            </w:pPr>
            <w:r>
              <w:rPr>
                <w:rStyle w:val="CharacterStyle7"/>
              </w:rPr>
              <w:t>Izvor financiranja 50</w:t>
            </w:r>
          </w:p>
        </w:tc>
        <w:tc>
          <w:tcPr>
            <w:tcW w:w="4995" w:type="dxa"/>
            <w:tcBorders>
              <w:bottom w:val="single" w:sz="6" w:space="0" w:color="000000"/>
              <w:right w:val="single" w:sz="6" w:space="0" w:color="000000"/>
            </w:tcBorders>
            <w:vAlign w:val="center"/>
          </w:tcPr>
          <w:p w14:paraId="5C512C8A" w14:textId="77777777" w:rsidR="007D706A" w:rsidRDefault="007D706A" w:rsidP="00F70508">
            <w:pPr>
              <w:pStyle w:val="ParagraphStyle8"/>
              <w:rPr>
                <w:rStyle w:val="CharacterStyle8"/>
              </w:rPr>
            </w:pPr>
            <w:r>
              <w:rPr>
                <w:rStyle w:val="CharacterStyle8"/>
              </w:rPr>
              <w:t>Pomoći iz državnog proračuna</w:t>
            </w:r>
          </w:p>
        </w:tc>
        <w:tc>
          <w:tcPr>
            <w:tcW w:w="1395" w:type="dxa"/>
            <w:tcBorders>
              <w:bottom w:val="single" w:sz="6" w:space="0" w:color="000000"/>
              <w:right w:val="single" w:sz="6" w:space="0" w:color="000000"/>
            </w:tcBorders>
            <w:vAlign w:val="center"/>
          </w:tcPr>
          <w:p w14:paraId="31269116"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F98C280"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26A633F" w14:textId="77777777" w:rsidR="007D706A" w:rsidRDefault="007D706A" w:rsidP="00F70508">
            <w:pPr>
              <w:pStyle w:val="ParagraphStyle9"/>
              <w:rPr>
                <w:rStyle w:val="CharacterStyle9"/>
              </w:rPr>
            </w:pPr>
            <w:r>
              <w:rPr>
                <w:rStyle w:val="CharacterStyle9"/>
              </w:rPr>
              <w:t>4.000,00</w:t>
            </w:r>
          </w:p>
        </w:tc>
        <w:tc>
          <w:tcPr>
            <w:tcW w:w="1395" w:type="dxa"/>
            <w:tcBorders>
              <w:bottom w:val="single" w:sz="6" w:space="0" w:color="000000"/>
              <w:right w:val="single" w:sz="6" w:space="0" w:color="000000"/>
            </w:tcBorders>
            <w:vAlign w:val="center"/>
          </w:tcPr>
          <w:p w14:paraId="166E2AF3" w14:textId="77777777" w:rsidR="007D706A" w:rsidRDefault="007D706A" w:rsidP="00F70508">
            <w:pPr>
              <w:pStyle w:val="ParagraphStyle9"/>
              <w:rPr>
                <w:rStyle w:val="CharacterStyle9"/>
              </w:rPr>
            </w:pPr>
            <w:r>
              <w:rPr>
                <w:rStyle w:val="CharacterStyle9"/>
              </w:rPr>
              <w:t>4.000,00</w:t>
            </w:r>
          </w:p>
        </w:tc>
        <w:tc>
          <w:tcPr>
            <w:tcW w:w="1395" w:type="dxa"/>
            <w:tcBorders>
              <w:bottom w:val="single" w:sz="6" w:space="0" w:color="000000"/>
              <w:right w:val="single" w:sz="6" w:space="0" w:color="000000"/>
            </w:tcBorders>
            <w:vAlign w:val="center"/>
          </w:tcPr>
          <w:p w14:paraId="1B72758F" w14:textId="77777777" w:rsidR="007D706A" w:rsidRDefault="007D706A" w:rsidP="00F70508">
            <w:pPr>
              <w:pStyle w:val="ParagraphStyle9"/>
              <w:rPr>
                <w:rStyle w:val="CharacterStyle9"/>
              </w:rPr>
            </w:pPr>
            <w:r>
              <w:rPr>
                <w:rStyle w:val="CharacterStyle9"/>
              </w:rPr>
              <w:t>4.000,00</w:t>
            </w:r>
          </w:p>
        </w:tc>
      </w:tr>
      <w:tr w:rsidR="007D706A" w14:paraId="34F7CAF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35C9697"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720A0D5F"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06AFF2A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6FC649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BAC5EC8" w14:textId="77777777" w:rsidR="007D706A" w:rsidRDefault="007D706A" w:rsidP="00F70508">
            <w:pPr>
              <w:pStyle w:val="ParagraphStyle12"/>
              <w:rPr>
                <w:rStyle w:val="CharacterStyle12"/>
              </w:rPr>
            </w:pPr>
            <w:r>
              <w:rPr>
                <w:rStyle w:val="CharacterStyle12"/>
              </w:rPr>
              <w:t>4.000,00</w:t>
            </w:r>
          </w:p>
        </w:tc>
        <w:tc>
          <w:tcPr>
            <w:tcW w:w="1395" w:type="dxa"/>
            <w:tcBorders>
              <w:bottom w:val="single" w:sz="6" w:space="0" w:color="000000"/>
              <w:right w:val="single" w:sz="6" w:space="0" w:color="000000"/>
            </w:tcBorders>
            <w:vAlign w:val="center"/>
          </w:tcPr>
          <w:p w14:paraId="5EBCFBA4" w14:textId="77777777" w:rsidR="007D706A" w:rsidRDefault="007D706A" w:rsidP="00F70508">
            <w:pPr>
              <w:pStyle w:val="ParagraphStyle12"/>
              <w:rPr>
                <w:rStyle w:val="CharacterStyle12"/>
              </w:rPr>
            </w:pPr>
            <w:r>
              <w:rPr>
                <w:rStyle w:val="CharacterStyle12"/>
              </w:rPr>
              <w:t>4.000,00</w:t>
            </w:r>
          </w:p>
        </w:tc>
        <w:tc>
          <w:tcPr>
            <w:tcW w:w="1395" w:type="dxa"/>
            <w:tcBorders>
              <w:bottom w:val="single" w:sz="6" w:space="0" w:color="000000"/>
              <w:right w:val="single" w:sz="6" w:space="0" w:color="000000"/>
            </w:tcBorders>
            <w:vAlign w:val="center"/>
          </w:tcPr>
          <w:p w14:paraId="130EAC61" w14:textId="77777777" w:rsidR="007D706A" w:rsidRDefault="007D706A" w:rsidP="00F70508">
            <w:pPr>
              <w:pStyle w:val="ParagraphStyle12"/>
              <w:rPr>
                <w:rStyle w:val="CharacterStyle12"/>
              </w:rPr>
            </w:pPr>
            <w:r>
              <w:rPr>
                <w:rStyle w:val="CharacterStyle12"/>
              </w:rPr>
              <w:t>4.000,00</w:t>
            </w:r>
          </w:p>
        </w:tc>
      </w:tr>
      <w:tr w:rsidR="007D706A" w14:paraId="376731F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1337699"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4E599CE1"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5EE440A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591032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7321F98" w14:textId="77777777" w:rsidR="007D706A" w:rsidRDefault="007D706A" w:rsidP="00F70508">
            <w:pPr>
              <w:pStyle w:val="ParagraphStyle12"/>
              <w:rPr>
                <w:rStyle w:val="CharacterStyle12"/>
              </w:rPr>
            </w:pPr>
            <w:r>
              <w:rPr>
                <w:rStyle w:val="CharacterStyle12"/>
              </w:rPr>
              <w:t>4.000,00</w:t>
            </w:r>
          </w:p>
        </w:tc>
        <w:tc>
          <w:tcPr>
            <w:tcW w:w="1395" w:type="dxa"/>
            <w:tcBorders>
              <w:bottom w:val="single" w:sz="6" w:space="0" w:color="000000"/>
              <w:right w:val="single" w:sz="6" w:space="0" w:color="000000"/>
            </w:tcBorders>
            <w:vAlign w:val="center"/>
          </w:tcPr>
          <w:p w14:paraId="38F2E7F4" w14:textId="77777777" w:rsidR="007D706A" w:rsidRDefault="007D706A" w:rsidP="00F70508">
            <w:pPr>
              <w:pStyle w:val="ParagraphStyle12"/>
              <w:rPr>
                <w:rStyle w:val="CharacterStyle12"/>
              </w:rPr>
            </w:pPr>
            <w:r>
              <w:rPr>
                <w:rStyle w:val="CharacterStyle12"/>
              </w:rPr>
              <w:t>4.000,00</w:t>
            </w:r>
          </w:p>
        </w:tc>
        <w:tc>
          <w:tcPr>
            <w:tcW w:w="1395" w:type="dxa"/>
            <w:tcBorders>
              <w:bottom w:val="single" w:sz="6" w:space="0" w:color="000000"/>
              <w:right w:val="single" w:sz="6" w:space="0" w:color="000000"/>
            </w:tcBorders>
            <w:vAlign w:val="center"/>
          </w:tcPr>
          <w:p w14:paraId="59B95E65" w14:textId="77777777" w:rsidR="007D706A" w:rsidRDefault="007D706A" w:rsidP="00F70508">
            <w:pPr>
              <w:pStyle w:val="ParagraphStyle12"/>
              <w:rPr>
                <w:rStyle w:val="CharacterStyle12"/>
              </w:rPr>
            </w:pPr>
            <w:r>
              <w:rPr>
                <w:rStyle w:val="CharacterStyle12"/>
              </w:rPr>
              <w:t>4.000,00</w:t>
            </w:r>
          </w:p>
        </w:tc>
      </w:tr>
      <w:tr w:rsidR="007D706A" w14:paraId="625F768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CF4B271" w14:textId="77777777" w:rsidR="007D706A" w:rsidRDefault="007D706A" w:rsidP="00F70508">
            <w:pPr>
              <w:pStyle w:val="ParagraphStyle7"/>
              <w:rPr>
                <w:rStyle w:val="CharacterStyle7"/>
              </w:rPr>
            </w:pPr>
            <w:r>
              <w:rPr>
                <w:rStyle w:val="CharacterStyle7"/>
              </w:rPr>
              <w:t>Izvor financiranja 53</w:t>
            </w:r>
          </w:p>
        </w:tc>
        <w:tc>
          <w:tcPr>
            <w:tcW w:w="4995" w:type="dxa"/>
            <w:tcBorders>
              <w:bottom w:val="single" w:sz="6" w:space="0" w:color="000000"/>
              <w:right w:val="single" w:sz="6" w:space="0" w:color="000000"/>
            </w:tcBorders>
            <w:vAlign w:val="center"/>
          </w:tcPr>
          <w:p w14:paraId="226E4722" w14:textId="77777777" w:rsidR="007D706A" w:rsidRDefault="007D706A" w:rsidP="00F70508">
            <w:pPr>
              <w:pStyle w:val="ParagraphStyle8"/>
              <w:rPr>
                <w:rStyle w:val="CharacterStyle8"/>
              </w:rPr>
            </w:pPr>
            <w:r>
              <w:rPr>
                <w:rStyle w:val="CharacterStyle8"/>
              </w:rPr>
              <w:t>Proračuni, drugi nivoi - za posebne i / ili ugovorene namjene</w:t>
            </w:r>
          </w:p>
        </w:tc>
        <w:tc>
          <w:tcPr>
            <w:tcW w:w="1395" w:type="dxa"/>
            <w:tcBorders>
              <w:bottom w:val="single" w:sz="6" w:space="0" w:color="000000"/>
              <w:right w:val="single" w:sz="6" w:space="0" w:color="000000"/>
            </w:tcBorders>
            <w:vAlign w:val="center"/>
          </w:tcPr>
          <w:p w14:paraId="7BABB206"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4D985BF" w14:textId="77777777" w:rsidR="007D706A" w:rsidRDefault="007D706A" w:rsidP="00F70508">
            <w:pPr>
              <w:pStyle w:val="ParagraphStyle9"/>
              <w:rPr>
                <w:rStyle w:val="CharacterStyle9"/>
              </w:rPr>
            </w:pPr>
            <w:r>
              <w:rPr>
                <w:rStyle w:val="CharacterStyle9"/>
              </w:rPr>
              <w:t>6.000,00</w:t>
            </w:r>
          </w:p>
        </w:tc>
        <w:tc>
          <w:tcPr>
            <w:tcW w:w="1395" w:type="dxa"/>
            <w:tcBorders>
              <w:bottom w:val="single" w:sz="6" w:space="0" w:color="000000"/>
              <w:right w:val="single" w:sz="6" w:space="0" w:color="000000"/>
            </w:tcBorders>
            <w:vAlign w:val="center"/>
          </w:tcPr>
          <w:p w14:paraId="27ECA3B7"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C516737"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9F18A9D" w14:textId="77777777" w:rsidR="007D706A" w:rsidRDefault="007D706A" w:rsidP="00F70508">
            <w:pPr>
              <w:pStyle w:val="ParagraphStyle9"/>
              <w:rPr>
                <w:rStyle w:val="CharacterStyle9"/>
              </w:rPr>
            </w:pPr>
            <w:r>
              <w:rPr>
                <w:rStyle w:val="CharacterStyle9"/>
              </w:rPr>
              <w:t>0,00</w:t>
            </w:r>
          </w:p>
        </w:tc>
      </w:tr>
      <w:tr w:rsidR="007D706A" w14:paraId="6823E0F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3525264"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082F6ECB"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1EBA188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44B8EAE" w14:textId="77777777" w:rsidR="007D706A" w:rsidRDefault="007D706A" w:rsidP="00F70508">
            <w:pPr>
              <w:pStyle w:val="ParagraphStyle12"/>
              <w:rPr>
                <w:rStyle w:val="CharacterStyle12"/>
              </w:rPr>
            </w:pPr>
            <w:r>
              <w:rPr>
                <w:rStyle w:val="CharacterStyle12"/>
              </w:rPr>
              <w:t>6.000,00</w:t>
            </w:r>
          </w:p>
        </w:tc>
        <w:tc>
          <w:tcPr>
            <w:tcW w:w="1395" w:type="dxa"/>
            <w:tcBorders>
              <w:bottom w:val="single" w:sz="6" w:space="0" w:color="000000"/>
              <w:right w:val="single" w:sz="6" w:space="0" w:color="000000"/>
            </w:tcBorders>
            <w:vAlign w:val="center"/>
          </w:tcPr>
          <w:p w14:paraId="41AD9B2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C2581D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5F376DE" w14:textId="77777777" w:rsidR="007D706A" w:rsidRDefault="007D706A" w:rsidP="00F70508">
            <w:pPr>
              <w:pStyle w:val="ParagraphStyle12"/>
              <w:rPr>
                <w:rStyle w:val="CharacterStyle12"/>
              </w:rPr>
            </w:pPr>
            <w:r>
              <w:rPr>
                <w:rStyle w:val="CharacterStyle12"/>
              </w:rPr>
              <w:t>0,00</w:t>
            </w:r>
          </w:p>
        </w:tc>
      </w:tr>
      <w:tr w:rsidR="007D706A" w14:paraId="46FD973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37B288B"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66CF4625"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38C2D7A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5D6FB54" w14:textId="77777777" w:rsidR="007D706A" w:rsidRDefault="007D706A" w:rsidP="00F70508">
            <w:pPr>
              <w:pStyle w:val="ParagraphStyle12"/>
              <w:rPr>
                <w:rStyle w:val="CharacterStyle12"/>
              </w:rPr>
            </w:pPr>
            <w:r>
              <w:rPr>
                <w:rStyle w:val="CharacterStyle12"/>
              </w:rPr>
              <w:t>6.000,00</w:t>
            </w:r>
          </w:p>
        </w:tc>
        <w:tc>
          <w:tcPr>
            <w:tcW w:w="1395" w:type="dxa"/>
            <w:tcBorders>
              <w:bottom w:val="single" w:sz="6" w:space="0" w:color="000000"/>
              <w:right w:val="single" w:sz="6" w:space="0" w:color="000000"/>
            </w:tcBorders>
            <w:vAlign w:val="center"/>
          </w:tcPr>
          <w:p w14:paraId="4374961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AADC7C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7D58FE2" w14:textId="77777777" w:rsidR="007D706A" w:rsidRDefault="007D706A" w:rsidP="00F70508">
            <w:pPr>
              <w:pStyle w:val="ParagraphStyle12"/>
              <w:rPr>
                <w:rStyle w:val="CharacterStyle12"/>
              </w:rPr>
            </w:pPr>
            <w:r>
              <w:rPr>
                <w:rStyle w:val="CharacterStyle12"/>
              </w:rPr>
              <w:t>0,00</w:t>
            </w:r>
          </w:p>
        </w:tc>
      </w:tr>
      <w:tr w:rsidR="007D706A" w14:paraId="3127892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99FB33D" w14:textId="77777777" w:rsidR="007D706A" w:rsidRDefault="007D706A" w:rsidP="00F70508">
            <w:pPr>
              <w:pStyle w:val="ParagraphStyle4"/>
              <w:rPr>
                <w:rStyle w:val="CharacterStyle4"/>
              </w:rPr>
            </w:pPr>
            <w:r>
              <w:rPr>
                <w:rStyle w:val="CharacterStyle4"/>
              </w:rPr>
              <w:t>Aktivnost A103720</w:t>
            </w:r>
          </w:p>
        </w:tc>
        <w:tc>
          <w:tcPr>
            <w:tcW w:w="4995" w:type="dxa"/>
            <w:tcBorders>
              <w:bottom w:val="single" w:sz="6" w:space="0" w:color="000000"/>
              <w:right w:val="single" w:sz="6" w:space="0" w:color="000000"/>
            </w:tcBorders>
            <w:vAlign w:val="center"/>
          </w:tcPr>
          <w:p w14:paraId="4EABE7DA" w14:textId="77777777" w:rsidR="007D706A" w:rsidRDefault="007D706A" w:rsidP="00F70508">
            <w:pPr>
              <w:pStyle w:val="ParagraphStyle5"/>
              <w:rPr>
                <w:rStyle w:val="CharacterStyle5"/>
              </w:rPr>
            </w:pPr>
            <w:r>
              <w:rPr>
                <w:rStyle w:val="CharacterStyle5"/>
              </w:rPr>
              <w:t>GRISIA</w:t>
            </w:r>
          </w:p>
        </w:tc>
        <w:tc>
          <w:tcPr>
            <w:tcW w:w="1395" w:type="dxa"/>
            <w:tcBorders>
              <w:bottom w:val="single" w:sz="6" w:space="0" w:color="000000"/>
              <w:right w:val="single" w:sz="6" w:space="0" w:color="000000"/>
            </w:tcBorders>
            <w:vAlign w:val="center"/>
          </w:tcPr>
          <w:p w14:paraId="33EA74FB"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44969268" w14:textId="77777777" w:rsidR="007D706A" w:rsidRDefault="007D706A" w:rsidP="00F70508">
            <w:pPr>
              <w:pStyle w:val="ParagraphStyle6"/>
              <w:rPr>
                <w:rStyle w:val="CharacterStyle6"/>
              </w:rPr>
            </w:pPr>
            <w:r>
              <w:rPr>
                <w:rStyle w:val="CharacterStyle6"/>
              </w:rPr>
              <w:t>12.300,00</w:t>
            </w:r>
          </w:p>
        </w:tc>
        <w:tc>
          <w:tcPr>
            <w:tcW w:w="1395" w:type="dxa"/>
            <w:tcBorders>
              <w:bottom w:val="single" w:sz="6" w:space="0" w:color="000000"/>
              <w:right w:val="single" w:sz="6" w:space="0" w:color="000000"/>
            </w:tcBorders>
            <w:vAlign w:val="center"/>
          </w:tcPr>
          <w:p w14:paraId="5F7B75B9" w14:textId="77777777" w:rsidR="007D706A" w:rsidRDefault="007D706A" w:rsidP="00F70508">
            <w:pPr>
              <w:pStyle w:val="ParagraphStyle6"/>
              <w:rPr>
                <w:rStyle w:val="CharacterStyle6"/>
              </w:rPr>
            </w:pPr>
            <w:r>
              <w:rPr>
                <w:rStyle w:val="CharacterStyle6"/>
              </w:rPr>
              <w:t>15.200,00</w:t>
            </w:r>
          </w:p>
        </w:tc>
        <w:tc>
          <w:tcPr>
            <w:tcW w:w="1395" w:type="dxa"/>
            <w:tcBorders>
              <w:bottom w:val="single" w:sz="6" w:space="0" w:color="000000"/>
              <w:right w:val="single" w:sz="6" w:space="0" w:color="000000"/>
            </w:tcBorders>
            <w:vAlign w:val="center"/>
          </w:tcPr>
          <w:p w14:paraId="1E602129" w14:textId="77777777" w:rsidR="007D706A" w:rsidRDefault="007D706A" w:rsidP="00F70508">
            <w:pPr>
              <w:pStyle w:val="ParagraphStyle6"/>
              <w:rPr>
                <w:rStyle w:val="CharacterStyle6"/>
              </w:rPr>
            </w:pPr>
            <w:r>
              <w:rPr>
                <w:rStyle w:val="CharacterStyle6"/>
              </w:rPr>
              <w:t>17.000,00</w:t>
            </w:r>
          </w:p>
        </w:tc>
        <w:tc>
          <w:tcPr>
            <w:tcW w:w="1395" w:type="dxa"/>
            <w:tcBorders>
              <w:bottom w:val="single" w:sz="6" w:space="0" w:color="000000"/>
              <w:right w:val="single" w:sz="6" w:space="0" w:color="000000"/>
            </w:tcBorders>
            <w:vAlign w:val="center"/>
          </w:tcPr>
          <w:p w14:paraId="68E4EB66" w14:textId="77777777" w:rsidR="007D706A" w:rsidRDefault="007D706A" w:rsidP="00F70508">
            <w:pPr>
              <w:pStyle w:val="ParagraphStyle6"/>
              <w:rPr>
                <w:rStyle w:val="CharacterStyle6"/>
              </w:rPr>
            </w:pPr>
            <w:r>
              <w:rPr>
                <w:rStyle w:val="CharacterStyle6"/>
              </w:rPr>
              <w:t>17.000,00</w:t>
            </w:r>
          </w:p>
        </w:tc>
      </w:tr>
      <w:tr w:rsidR="007D706A" w14:paraId="4C4CBFD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4C5D351"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4448BA12"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351710BE"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0EA1872" w14:textId="77777777" w:rsidR="007D706A" w:rsidRDefault="007D706A" w:rsidP="00F70508">
            <w:pPr>
              <w:pStyle w:val="ParagraphStyle9"/>
              <w:rPr>
                <w:rStyle w:val="CharacterStyle9"/>
              </w:rPr>
            </w:pPr>
            <w:r>
              <w:rPr>
                <w:rStyle w:val="CharacterStyle9"/>
              </w:rPr>
              <w:t>10.000,00</w:t>
            </w:r>
          </w:p>
        </w:tc>
        <w:tc>
          <w:tcPr>
            <w:tcW w:w="1395" w:type="dxa"/>
            <w:tcBorders>
              <w:bottom w:val="single" w:sz="6" w:space="0" w:color="000000"/>
              <w:right w:val="single" w:sz="6" w:space="0" w:color="000000"/>
            </w:tcBorders>
            <w:vAlign w:val="center"/>
          </w:tcPr>
          <w:p w14:paraId="3FB8BBEF" w14:textId="77777777" w:rsidR="007D706A" w:rsidRDefault="007D706A" w:rsidP="00F70508">
            <w:pPr>
              <w:pStyle w:val="ParagraphStyle9"/>
              <w:rPr>
                <w:rStyle w:val="CharacterStyle9"/>
              </w:rPr>
            </w:pPr>
            <w:r>
              <w:rPr>
                <w:rStyle w:val="CharacterStyle9"/>
              </w:rPr>
              <w:t>12.900,00</w:t>
            </w:r>
          </w:p>
        </w:tc>
        <w:tc>
          <w:tcPr>
            <w:tcW w:w="1395" w:type="dxa"/>
            <w:tcBorders>
              <w:bottom w:val="single" w:sz="6" w:space="0" w:color="000000"/>
              <w:right w:val="single" w:sz="6" w:space="0" w:color="000000"/>
            </w:tcBorders>
            <w:vAlign w:val="center"/>
          </w:tcPr>
          <w:p w14:paraId="2D0E9698" w14:textId="77777777" w:rsidR="007D706A" w:rsidRDefault="007D706A" w:rsidP="00F70508">
            <w:pPr>
              <w:pStyle w:val="ParagraphStyle9"/>
              <w:rPr>
                <w:rStyle w:val="CharacterStyle9"/>
              </w:rPr>
            </w:pPr>
            <w:r>
              <w:rPr>
                <w:rStyle w:val="CharacterStyle9"/>
              </w:rPr>
              <w:t>17.000,00</w:t>
            </w:r>
          </w:p>
        </w:tc>
        <w:tc>
          <w:tcPr>
            <w:tcW w:w="1395" w:type="dxa"/>
            <w:tcBorders>
              <w:bottom w:val="single" w:sz="6" w:space="0" w:color="000000"/>
              <w:right w:val="single" w:sz="6" w:space="0" w:color="000000"/>
            </w:tcBorders>
            <w:vAlign w:val="center"/>
          </w:tcPr>
          <w:p w14:paraId="23B405BC" w14:textId="77777777" w:rsidR="007D706A" w:rsidRDefault="007D706A" w:rsidP="00F70508">
            <w:pPr>
              <w:pStyle w:val="ParagraphStyle9"/>
              <w:rPr>
                <w:rStyle w:val="CharacterStyle9"/>
              </w:rPr>
            </w:pPr>
            <w:r>
              <w:rPr>
                <w:rStyle w:val="CharacterStyle9"/>
              </w:rPr>
              <w:t>17.000,00</w:t>
            </w:r>
          </w:p>
        </w:tc>
      </w:tr>
      <w:tr w:rsidR="007D706A" w14:paraId="2F336E5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768339C"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3390AA5C"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4FE4583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6196385" w14:textId="77777777" w:rsidR="007D706A" w:rsidRDefault="007D706A" w:rsidP="00F70508">
            <w:pPr>
              <w:pStyle w:val="ParagraphStyle12"/>
              <w:rPr>
                <w:rStyle w:val="CharacterStyle12"/>
              </w:rPr>
            </w:pPr>
            <w:r>
              <w:rPr>
                <w:rStyle w:val="CharacterStyle12"/>
              </w:rPr>
              <w:t>10.000,00</w:t>
            </w:r>
          </w:p>
        </w:tc>
        <w:tc>
          <w:tcPr>
            <w:tcW w:w="1395" w:type="dxa"/>
            <w:tcBorders>
              <w:bottom w:val="single" w:sz="6" w:space="0" w:color="000000"/>
              <w:right w:val="single" w:sz="6" w:space="0" w:color="000000"/>
            </w:tcBorders>
            <w:vAlign w:val="center"/>
          </w:tcPr>
          <w:p w14:paraId="170B8C82" w14:textId="77777777" w:rsidR="007D706A" w:rsidRDefault="007D706A" w:rsidP="00F70508">
            <w:pPr>
              <w:pStyle w:val="ParagraphStyle12"/>
              <w:rPr>
                <w:rStyle w:val="CharacterStyle12"/>
              </w:rPr>
            </w:pPr>
            <w:r>
              <w:rPr>
                <w:rStyle w:val="CharacterStyle12"/>
              </w:rPr>
              <w:t>12.900,00</w:t>
            </w:r>
          </w:p>
        </w:tc>
        <w:tc>
          <w:tcPr>
            <w:tcW w:w="1395" w:type="dxa"/>
            <w:tcBorders>
              <w:bottom w:val="single" w:sz="6" w:space="0" w:color="000000"/>
              <w:right w:val="single" w:sz="6" w:space="0" w:color="000000"/>
            </w:tcBorders>
            <w:vAlign w:val="center"/>
          </w:tcPr>
          <w:p w14:paraId="311A0AA1" w14:textId="77777777" w:rsidR="007D706A" w:rsidRDefault="007D706A" w:rsidP="00F70508">
            <w:pPr>
              <w:pStyle w:val="ParagraphStyle12"/>
              <w:rPr>
                <w:rStyle w:val="CharacterStyle12"/>
              </w:rPr>
            </w:pPr>
            <w:r>
              <w:rPr>
                <w:rStyle w:val="CharacterStyle12"/>
              </w:rPr>
              <w:t>17.000,00</w:t>
            </w:r>
          </w:p>
        </w:tc>
        <w:tc>
          <w:tcPr>
            <w:tcW w:w="1395" w:type="dxa"/>
            <w:tcBorders>
              <w:bottom w:val="single" w:sz="6" w:space="0" w:color="000000"/>
              <w:right w:val="single" w:sz="6" w:space="0" w:color="000000"/>
            </w:tcBorders>
            <w:vAlign w:val="center"/>
          </w:tcPr>
          <w:p w14:paraId="4F168D31" w14:textId="77777777" w:rsidR="007D706A" w:rsidRDefault="007D706A" w:rsidP="00F70508">
            <w:pPr>
              <w:pStyle w:val="ParagraphStyle12"/>
              <w:rPr>
                <w:rStyle w:val="CharacterStyle12"/>
              </w:rPr>
            </w:pPr>
            <w:r>
              <w:rPr>
                <w:rStyle w:val="CharacterStyle12"/>
              </w:rPr>
              <w:t>17.000,00</w:t>
            </w:r>
          </w:p>
        </w:tc>
      </w:tr>
      <w:tr w:rsidR="007D706A" w14:paraId="182731A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31BC0E9"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3AC4A048"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2445CAB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47F93AC" w14:textId="77777777" w:rsidR="007D706A" w:rsidRDefault="007D706A" w:rsidP="00F70508">
            <w:pPr>
              <w:pStyle w:val="ParagraphStyle12"/>
              <w:rPr>
                <w:rStyle w:val="CharacterStyle12"/>
              </w:rPr>
            </w:pPr>
            <w:r>
              <w:rPr>
                <w:rStyle w:val="CharacterStyle12"/>
              </w:rPr>
              <w:t>10.000,00</w:t>
            </w:r>
          </w:p>
        </w:tc>
        <w:tc>
          <w:tcPr>
            <w:tcW w:w="1395" w:type="dxa"/>
            <w:tcBorders>
              <w:bottom w:val="single" w:sz="6" w:space="0" w:color="000000"/>
              <w:right w:val="single" w:sz="6" w:space="0" w:color="000000"/>
            </w:tcBorders>
            <w:vAlign w:val="center"/>
          </w:tcPr>
          <w:p w14:paraId="4D50ED3F" w14:textId="77777777" w:rsidR="007D706A" w:rsidRDefault="007D706A" w:rsidP="00F70508">
            <w:pPr>
              <w:pStyle w:val="ParagraphStyle12"/>
              <w:rPr>
                <w:rStyle w:val="CharacterStyle12"/>
              </w:rPr>
            </w:pPr>
            <w:r>
              <w:rPr>
                <w:rStyle w:val="CharacterStyle12"/>
              </w:rPr>
              <w:t>12.900,00</w:t>
            </w:r>
          </w:p>
        </w:tc>
        <w:tc>
          <w:tcPr>
            <w:tcW w:w="1395" w:type="dxa"/>
            <w:tcBorders>
              <w:bottom w:val="single" w:sz="6" w:space="0" w:color="000000"/>
              <w:right w:val="single" w:sz="6" w:space="0" w:color="000000"/>
            </w:tcBorders>
            <w:vAlign w:val="center"/>
          </w:tcPr>
          <w:p w14:paraId="34AA79D5" w14:textId="77777777" w:rsidR="007D706A" w:rsidRDefault="007D706A" w:rsidP="00F70508">
            <w:pPr>
              <w:pStyle w:val="ParagraphStyle12"/>
              <w:rPr>
                <w:rStyle w:val="CharacterStyle12"/>
              </w:rPr>
            </w:pPr>
            <w:r>
              <w:rPr>
                <w:rStyle w:val="CharacterStyle12"/>
              </w:rPr>
              <w:t>17.000,00</w:t>
            </w:r>
          </w:p>
        </w:tc>
        <w:tc>
          <w:tcPr>
            <w:tcW w:w="1395" w:type="dxa"/>
            <w:tcBorders>
              <w:bottom w:val="single" w:sz="6" w:space="0" w:color="000000"/>
              <w:right w:val="single" w:sz="6" w:space="0" w:color="000000"/>
            </w:tcBorders>
            <w:vAlign w:val="center"/>
          </w:tcPr>
          <w:p w14:paraId="0B10A218" w14:textId="77777777" w:rsidR="007D706A" w:rsidRDefault="007D706A" w:rsidP="00F70508">
            <w:pPr>
              <w:pStyle w:val="ParagraphStyle12"/>
              <w:rPr>
                <w:rStyle w:val="CharacterStyle12"/>
              </w:rPr>
            </w:pPr>
            <w:r>
              <w:rPr>
                <w:rStyle w:val="CharacterStyle12"/>
              </w:rPr>
              <w:t>17.000,00</w:t>
            </w:r>
          </w:p>
        </w:tc>
      </w:tr>
      <w:tr w:rsidR="007D706A" w14:paraId="0BCB50F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2A8EA0D" w14:textId="77777777" w:rsidR="007D706A" w:rsidRDefault="007D706A" w:rsidP="00F70508">
            <w:pPr>
              <w:pStyle w:val="ParagraphStyle7"/>
              <w:rPr>
                <w:rStyle w:val="CharacterStyle7"/>
              </w:rPr>
            </w:pPr>
            <w:r>
              <w:rPr>
                <w:rStyle w:val="CharacterStyle7"/>
              </w:rPr>
              <w:t>Izvor financiranja 61</w:t>
            </w:r>
          </w:p>
        </w:tc>
        <w:tc>
          <w:tcPr>
            <w:tcW w:w="4995" w:type="dxa"/>
            <w:tcBorders>
              <w:bottom w:val="single" w:sz="6" w:space="0" w:color="000000"/>
              <w:right w:val="single" w:sz="6" w:space="0" w:color="000000"/>
            </w:tcBorders>
            <w:vAlign w:val="center"/>
          </w:tcPr>
          <w:p w14:paraId="1527BD68" w14:textId="77777777" w:rsidR="007D706A" w:rsidRDefault="007D706A" w:rsidP="00F70508">
            <w:pPr>
              <w:pStyle w:val="ParagraphStyle8"/>
              <w:rPr>
                <w:rStyle w:val="CharacterStyle8"/>
              </w:rPr>
            </w:pPr>
            <w:r>
              <w:rPr>
                <w:rStyle w:val="CharacterStyle8"/>
              </w:rPr>
              <w:t>Donacije</w:t>
            </w:r>
          </w:p>
        </w:tc>
        <w:tc>
          <w:tcPr>
            <w:tcW w:w="1395" w:type="dxa"/>
            <w:tcBorders>
              <w:bottom w:val="single" w:sz="6" w:space="0" w:color="000000"/>
              <w:right w:val="single" w:sz="6" w:space="0" w:color="000000"/>
            </w:tcBorders>
            <w:vAlign w:val="center"/>
          </w:tcPr>
          <w:p w14:paraId="3099F99A"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E0952FA" w14:textId="77777777" w:rsidR="007D706A" w:rsidRDefault="007D706A" w:rsidP="00F70508">
            <w:pPr>
              <w:pStyle w:val="ParagraphStyle9"/>
              <w:rPr>
                <w:rStyle w:val="CharacterStyle9"/>
              </w:rPr>
            </w:pPr>
            <w:r>
              <w:rPr>
                <w:rStyle w:val="CharacterStyle9"/>
              </w:rPr>
              <w:t>2.300,00</w:t>
            </w:r>
          </w:p>
        </w:tc>
        <w:tc>
          <w:tcPr>
            <w:tcW w:w="1395" w:type="dxa"/>
            <w:tcBorders>
              <w:bottom w:val="single" w:sz="6" w:space="0" w:color="000000"/>
              <w:right w:val="single" w:sz="6" w:space="0" w:color="000000"/>
            </w:tcBorders>
            <w:vAlign w:val="center"/>
          </w:tcPr>
          <w:p w14:paraId="66C105FA" w14:textId="77777777" w:rsidR="007D706A" w:rsidRDefault="007D706A" w:rsidP="00F70508">
            <w:pPr>
              <w:pStyle w:val="ParagraphStyle9"/>
              <w:rPr>
                <w:rStyle w:val="CharacterStyle9"/>
              </w:rPr>
            </w:pPr>
            <w:r>
              <w:rPr>
                <w:rStyle w:val="CharacterStyle9"/>
              </w:rPr>
              <w:t>2.300,00</w:t>
            </w:r>
          </w:p>
        </w:tc>
        <w:tc>
          <w:tcPr>
            <w:tcW w:w="1395" w:type="dxa"/>
            <w:tcBorders>
              <w:bottom w:val="single" w:sz="6" w:space="0" w:color="000000"/>
              <w:right w:val="single" w:sz="6" w:space="0" w:color="000000"/>
            </w:tcBorders>
            <w:vAlign w:val="center"/>
          </w:tcPr>
          <w:p w14:paraId="160F3AC3"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14E16BE" w14:textId="77777777" w:rsidR="007D706A" w:rsidRDefault="007D706A" w:rsidP="00F70508">
            <w:pPr>
              <w:pStyle w:val="ParagraphStyle9"/>
              <w:rPr>
                <w:rStyle w:val="CharacterStyle9"/>
              </w:rPr>
            </w:pPr>
            <w:r>
              <w:rPr>
                <w:rStyle w:val="CharacterStyle9"/>
              </w:rPr>
              <w:t>0,00</w:t>
            </w:r>
          </w:p>
        </w:tc>
      </w:tr>
      <w:tr w:rsidR="007D706A" w14:paraId="5D5ABCF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1ECDFD5"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47539D49"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6DC5C81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79B157E" w14:textId="77777777" w:rsidR="007D706A" w:rsidRDefault="007D706A" w:rsidP="00F70508">
            <w:pPr>
              <w:pStyle w:val="ParagraphStyle12"/>
              <w:rPr>
                <w:rStyle w:val="CharacterStyle12"/>
              </w:rPr>
            </w:pPr>
            <w:r>
              <w:rPr>
                <w:rStyle w:val="CharacterStyle12"/>
              </w:rPr>
              <w:t>2.300,00</w:t>
            </w:r>
          </w:p>
        </w:tc>
        <w:tc>
          <w:tcPr>
            <w:tcW w:w="1395" w:type="dxa"/>
            <w:tcBorders>
              <w:bottom w:val="single" w:sz="6" w:space="0" w:color="000000"/>
              <w:right w:val="single" w:sz="6" w:space="0" w:color="000000"/>
            </w:tcBorders>
            <w:vAlign w:val="center"/>
          </w:tcPr>
          <w:p w14:paraId="73946082" w14:textId="77777777" w:rsidR="007D706A" w:rsidRDefault="007D706A" w:rsidP="00F70508">
            <w:pPr>
              <w:pStyle w:val="ParagraphStyle12"/>
              <w:rPr>
                <w:rStyle w:val="CharacterStyle12"/>
              </w:rPr>
            </w:pPr>
            <w:r>
              <w:rPr>
                <w:rStyle w:val="CharacterStyle12"/>
              </w:rPr>
              <w:t>2.300,00</w:t>
            </w:r>
          </w:p>
        </w:tc>
        <w:tc>
          <w:tcPr>
            <w:tcW w:w="1395" w:type="dxa"/>
            <w:tcBorders>
              <w:bottom w:val="single" w:sz="6" w:space="0" w:color="000000"/>
              <w:right w:val="single" w:sz="6" w:space="0" w:color="000000"/>
            </w:tcBorders>
            <w:vAlign w:val="center"/>
          </w:tcPr>
          <w:p w14:paraId="1E473DF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E21AF9C" w14:textId="77777777" w:rsidR="007D706A" w:rsidRDefault="007D706A" w:rsidP="00F70508">
            <w:pPr>
              <w:pStyle w:val="ParagraphStyle12"/>
              <w:rPr>
                <w:rStyle w:val="CharacterStyle12"/>
              </w:rPr>
            </w:pPr>
            <w:r>
              <w:rPr>
                <w:rStyle w:val="CharacterStyle12"/>
              </w:rPr>
              <w:t>0,00</w:t>
            </w:r>
          </w:p>
        </w:tc>
      </w:tr>
      <w:tr w:rsidR="007D706A" w14:paraId="08E52A9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D0FA8D7"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5CCD35E4"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47995A5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12BDF19" w14:textId="77777777" w:rsidR="007D706A" w:rsidRDefault="007D706A" w:rsidP="00F70508">
            <w:pPr>
              <w:pStyle w:val="ParagraphStyle12"/>
              <w:rPr>
                <w:rStyle w:val="CharacterStyle12"/>
              </w:rPr>
            </w:pPr>
            <w:r>
              <w:rPr>
                <w:rStyle w:val="CharacterStyle12"/>
              </w:rPr>
              <w:t>2.300,00</w:t>
            </w:r>
          </w:p>
        </w:tc>
        <w:tc>
          <w:tcPr>
            <w:tcW w:w="1395" w:type="dxa"/>
            <w:tcBorders>
              <w:bottom w:val="single" w:sz="6" w:space="0" w:color="000000"/>
              <w:right w:val="single" w:sz="6" w:space="0" w:color="000000"/>
            </w:tcBorders>
            <w:vAlign w:val="center"/>
          </w:tcPr>
          <w:p w14:paraId="6B1AA8F5" w14:textId="77777777" w:rsidR="007D706A" w:rsidRDefault="007D706A" w:rsidP="00F70508">
            <w:pPr>
              <w:pStyle w:val="ParagraphStyle12"/>
              <w:rPr>
                <w:rStyle w:val="CharacterStyle12"/>
              </w:rPr>
            </w:pPr>
            <w:r>
              <w:rPr>
                <w:rStyle w:val="CharacterStyle12"/>
              </w:rPr>
              <w:t>2.300,00</w:t>
            </w:r>
          </w:p>
        </w:tc>
        <w:tc>
          <w:tcPr>
            <w:tcW w:w="1395" w:type="dxa"/>
            <w:tcBorders>
              <w:bottom w:val="single" w:sz="6" w:space="0" w:color="000000"/>
              <w:right w:val="single" w:sz="6" w:space="0" w:color="000000"/>
            </w:tcBorders>
            <w:vAlign w:val="center"/>
          </w:tcPr>
          <w:p w14:paraId="78D0A7E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7C62E25" w14:textId="77777777" w:rsidR="007D706A" w:rsidRDefault="007D706A" w:rsidP="00F70508">
            <w:pPr>
              <w:pStyle w:val="ParagraphStyle12"/>
              <w:rPr>
                <w:rStyle w:val="CharacterStyle12"/>
              </w:rPr>
            </w:pPr>
            <w:r>
              <w:rPr>
                <w:rStyle w:val="CharacterStyle12"/>
              </w:rPr>
              <w:t>0,00</w:t>
            </w:r>
          </w:p>
        </w:tc>
      </w:tr>
      <w:tr w:rsidR="007D706A" w14:paraId="3E44786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A9ED085" w14:textId="77777777" w:rsidR="007D706A" w:rsidRDefault="007D706A" w:rsidP="00F70508">
            <w:pPr>
              <w:pStyle w:val="ParagraphStyle4"/>
              <w:rPr>
                <w:rStyle w:val="CharacterStyle4"/>
              </w:rPr>
            </w:pPr>
            <w:r>
              <w:rPr>
                <w:rStyle w:val="CharacterStyle4"/>
              </w:rPr>
              <w:t>Aktivnost A103705</w:t>
            </w:r>
          </w:p>
        </w:tc>
        <w:tc>
          <w:tcPr>
            <w:tcW w:w="4995" w:type="dxa"/>
            <w:tcBorders>
              <w:bottom w:val="single" w:sz="6" w:space="0" w:color="000000"/>
              <w:right w:val="single" w:sz="6" w:space="0" w:color="000000"/>
            </w:tcBorders>
            <w:vAlign w:val="center"/>
          </w:tcPr>
          <w:p w14:paraId="19B261F9" w14:textId="77777777" w:rsidR="007D706A" w:rsidRDefault="007D706A" w:rsidP="00F70508">
            <w:pPr>
              <w:pStyle w:val="ParagraphStyle5"/>
              <w:rPr>
                <w:rStyle w:val="CharacterStyle5"/>
              </w:rPr>
            </w:pPr>
            <w:r>
              <w:rPr>
                <w:rStyle w:val="CharacterStyle5"/>
              </w:rPr>
              <w:t>KINOPRIKAZIVAČKA DJELATNOST</w:t>
            </w:r>
          </w:p>
        </w:tc>
        <w:tc>
          <w:tcPr>
            <w:tcW w:w="1395" w:type="dxa"/>
            <w:tcBorders>
              <w:bottom w:val="single" w:sz="6" w:space="0" w:color="000000"/>
              <w:right w:val="single" w:sz="6" w:space="0" w:color="000000"/>
            </w:tcBorders>
            <w:vAlign w:val="center"/>
          </w:tcPr>
          <w:p w14:paraId="6B655742"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29D17BF5" w14:textId="77777777" w:rsidR="007D706A" w:rsidRDefault="007D706A" w:rsidP="00F70508">
            <w:pPr>
              <w:pStyle w:val="ParagraphStyle6"/>
              <w:rPr>
                <w:rStyle w:val="CharacterStyle6"/>
              </w:rPr>
            </w:pPr>
            <w:r>
              <w:rPr>
                <w:rStyle w:val="CharacterStyle6"/>
              </w:rPr>
              <w:t>21.500,00</w:t>
            </w:r>
          </w:p>
        </w:tc>
        <w:tc>
          <w:tcPr>
            <w:tcW w:w="1395" w:type="dxa"/>
            <w:tcBorders>
              <w:bottom w:val="single" w:sz="6" w:space="0" w:color="000000"/>
              <w:right w:val="single" w:sz="6" w:space="0" w:color="000000"/>
            </w:tcBorders>
            <w:vAlign w:val="center"/>
          </w:tcPr>
          <w:p w14:paraId="648D3EF1" w14:textId="77777777" w:rsidR="007D706A" w:rsidRDefault="007D706A" w:rsidP="00F70508">
            <w:pPr>
              <w:pStyle w:val="ParagraphStyle6"/>
              <w:rPr>
                <w:rStyle w:val="CharacterStyle6"/>
              </w:rPr>
            </w:pPr>
            <w:r>
              <w:rPr>
                <w:rStyle w:val="CharacterStyle6"/>
              </w:rPr>
              <w:t>21.950,00</w:t>
            </w:r>
          </w:p>
        </w:tc>
        <w:tc>
          <w:tcPr>
            <w:tcW w:w="1395" w:type="dxa"/>
            <w:tcBorders>
              <w:bottom w:val="single" w:sz="6" w:space="0" w:color="000000"/>
              <w:right w:val="single" w:sz="6" w:space="0" w:color="000000"/>
            </w:tcBorders>
            <w:vAlign w:val="center"/>
          </w:tcPr>
          <w:p w14:paraId="19B494B2" w14:textId="77777777" w:rsidR="007D706A" w:rsidRDefault="007D706A" w:rsidP="00F70508">
            <w:pPr>
              <w:pStyle w:val="ParagraphStyle6"/>
              <w:rPr>
                <w:rStyle w:val="CharacterStyle6"/>
              </w:rPr>
            </w:pPr>
            <w:r>
              <w:rPr>
                <w:rStyle w:val="CharacterStyle6"/>
              </w:rPr>
              <w:t>22.000,00</w:t>
            </w:r>
          </w:p>
        </w:tc>
        <w:tc>
          <w:tcPr>
            <w:tcW w:w="1395" w:type="dxa"/>
            <w:tcBorders>
              <w:bottom w:val="single" w:sz="6" w:space="0" w:color="000000"/>
              <w:right w:val="single" w:sz="6" w:space="0" w:color="000000"/>
            </w:tcBorders>
            <w:vAlign w:val="center"/>
          </w:tcPr>
          <w:p w14:paraId="3FB92EC8" w14:textId="77777777" w:rsidR="007D706A" w:rsidRDefault="007D706A" w:rsidP="00F70508">
            <w:pPr>
              <w:pStyle w:val="ParagraphStyle6"/>
              <w:rPr>
                <w:rStyle w:val="CharacterStyle6"/>
              </w:rPr>
            </w:pPr>
            <w:r>
              <w:rPr>
                <w:rStyle w:val="CharacterStyle6"/>
              </w:rPr>
              <w:t>22.000,00</w:t>
            </w:r>
          </w:p>
        </w:tc>
      </w:tr>
      <w:tr w:rsidR="007D706A" w14:paraId="4971C5C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3CB3D9D" w14:textId="77777777" w:rsidR="007D706A" w:rsidRDefault="007D706A" w:rsidP="00F70508">
            <w:pPr>
              <w:pStyle w:val="ParagraphStyle7"/>
              <w:rPr>
                <w:rStyle w:val="CharacterStyle7"/>
              </w:rPr>
            </w:pPr>
            <w:r>
              <w:rPr>
                <w:rStyle w:val="CharacterStyle7"/>
              </w:rPr>
              <w:t>Izvor financiranja 31</w:t>
            </w:r>
          </w:p>
        </w:tc>
        <w:tc>
          <w:tcPr>
            <w:tcW w:w="4995" w:type="dxa"/>
            <w:tcBorders>
              <w:bottom w:val="single" w:sz="6" w:space="0" w:color="000000"/>
              <w:right w:val="single" w:sz="6" w:space="0" w:color="000000"/>
            </w:tcBorders>
            <w:vAlign w:val="center"/>
          </w:tcPr>
          <w:p w14:paraId="07078D1A" w14:textId="77777777" w:rsidR="007D706A" w:rsidRDefault="007D706A" w:rsidP="00F70508">
            <w:pPr>
              <w:pStyle w:val="ParagraphStyle8"/>
              <w:rPr>
                <w:rStyle w:val="CharacterStyle8"/>
              </w:rPr>
            </w:pPr>
            <w:r>
              <w:rPr>
                <w:rStyle w:val="CharacterStyle8"/>
              </w:rPr>
              <w:t>Vlastiti prihodi</w:t>
            </w:r>
          </w:p>
        </w:tc>
        <w:tc>
          <w:tcPr>
            <w:tcW w:w="1395" w:type="dxa"/>
            <w:tcBorders>
              <w:bottom w:val="single" w:sz="6" w:space="0" w:color="000000"/>
              <w:right w:val="single" w:sz="6" w:space="0" w:color="000000"/>
            </w:tcBorders>
            <w:vAlign w:val="center"/>
          </w:tcPr>
          <w:p w14:paraId="47BCC27C"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F7DF70C" w14:textId="77777777" w:rsidR="007D706A" w:rsidRDefault="007D706A" w:rsidP="00F70508">
            <w:pPr>
              <w:pStyle w:val="ParagraphStyle9"/>
              <w:rPr>
                <w:rStyle w:val="CharacterStyle9"/>
              </w:rPr>
            </w:pPr>
            <w:r>
              <w:rPr>
                <w:rStyle w:val="CharacterStyle9"/>
              </w:rPr>
              <w:t>21.500,00</w:t>
            </w:r>
          </w:p>
        </w:tc>
        <w:tc>
          <w:tcPr>
            <w:tcW w:w="1395" w:type="dxa"/>
            <w:tcBorders>
              <w:bottom w:val="single" w:sz="6" w:space="0" w:color="000000"/>
              <w:right w:val="single" w:sz="6" w:space="0" w:color="000000"/>
            </w:tcBorders>
            <w:vAlign w:val="center"/>
          </w:tcPr>
          <w:p w14:paraId="0E7B65B3" w14:textId="77777777" w:rsidR="007D706A" w:rsidRDefault="007D706A" w:rsidP="00F70508">
            <w:pPr>
              <w:pStyle w:val="ParagraphStyle9"/>
              <w:rPr>
                <w:rStyle w:val="CharacterStyle9"/>
              </w:rPr>
            </w:pPr>
            <w:r>
              <w:rPr>
                <w:rStyle w:val="CharacterStyle9"/>
              </w:rPr>
              <w:t>21.950,00</w:t>
            </w:r>
          </w:p>
        </w:tc>
        <w:tc>
          <w:tcPr>
            <w:tcW w:w="1395" w:type="dxa"/>
            <w:tcBorders>
              <w:bottom w:val="single" w:sz="6" w:space="0" w:color="000000"/>
              <w:right w:val="single" w:sz="6" w:space="0" w:color="000000"/>
            </w:tcBorders>
            <w:vAlign w:val="center"/>
          </w:tcPr>
          <w:p w14:paraId="2EF92B71" w14:textId="77777777" w:rsidR="007D706A" w:rsidRDefault="007D706A" w:rsidP="00F70508">
            <w:pPr>
              <w:pStyle w:val="ParagraphStyle9"/>
              <w:rPr>
                <w:rStyle w:val="CharacterStyle9"/>
              </w:rPr>
            </w:pPr>
            <w:r>
              <w:rPr>
                <w:rStyle w:val="CharacterStyle9"/>
              </w:rPr>
              <w:t>22.000,00</w:t>
            </w:r>
          </w:p>
        </w:tc>
        <w:tc>
          <w:tcPr>
            <w:tcW w:w="1395" w:type="dxa"/>
            <w:tcBorders>
              <w:bottom w:val="single" w:sz="6" w:space="0" w:color="000000"/>
              <w:right w:val="single" w:sz="6" w:space="0" w:color="000000"/>
            </w:tcBorders>
            <w:vAlign w:val="center"/>
          </w:tcPr>
          <w:p w14:paraId="2804565C" w14:textId="77777777" w:rsidR="007D706A" w:rsidRDefault="007D706A" w:rsidP="00F70508">
            <w:pPr>
              <w:pStyle w:val="ParagraphStyle9"/>
              <w:rPr>
                <w:rStyle w:val="CharacterStyle9"/>
              </w:rPr>
            </w:pPr>
            <w:r>
              <w:rPr>
                <w:rStyle w:val="CharacterStyle9"/>
              </w:rPr>
              <w:t>22.000,00</w:t>
            </w:r>
          </w:p>
        </w:tc>
      </w:tr>
      <w:tr w:rsidR="007D706A" w14:paraId="231DF1A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CBCA87A"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5C98139B"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5134FF7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93A6AF9" w14:textId="77777777" w:rsidR="007D706A" w:rsidRDefault="007D706A" w:rsidP="00F70508">
            <w:pPr>
              <w:pStyle w:val="ParagraphStyle12"/>
              <w:rPr>
                <w:rStyle w:val="CharacterStyle12"/>
              </w:rPr>
            </w:pPr>
            <w:r>
              <w:rPr>
                <w:rStyle w:val="CharacterStyle12"/>
              </w:rPr>
              <w:t>21.500,00</w:t>
            </w:r>
          </w:p>
        </w:tc>
        <w:tc>
          <w:tcPr>
            <w:tcW w:w="1395" w:type="dxa"/>
            <w:tcBorders>
              <w:bottom w:val="single" w:sz="6" w:space="0" w:color="000000"/>
              <w:right w:val="single" w:sz="6" w:space="0" w:color="000000"/>
            </w:tcBorders>
            <w:vAlign w:val="center"/>
          </w:tcPr>
          <w:p w14:paraId="5126C95E" w14:textId="77777777" w:rsidR="007D706A" w:rsidRDefault="007D706A" w:rsidP="00F70508">
            <w:pPr>
              <w:pStyle w:val="ParagraphStyle12"/>
              <w:rPr>
                <w:rStyle w:val="CharacterStyle12"/>
              </w:rPr>
            </w:pPr>
            <w:r>
              <w:rPr>
                <w:rStyle w:val="CharacterStyle12"/>
              </w:rPr>
              <w:t>21.950,00</w:t>
            </w:r>
          </w:p>
        </w:tc>
        <w:tc>
          <w:tcPr>
            <w:tcW w:w="1395" w:type="dxa"/>
            <w:tcBorders>
              <w:bottom w:val="single" w:sz="6" w:space="0" w:color="000000"/>
              <w:right w:val="single" w:sz="6" w:space="0" w:color="000000"/>
            </w:tcBorders>
            <w:vAlign w:val="center"/>
          </w:tcPr>
          <w:p w14:paraId="5807FF2D" w14:textId="77777777" w:rsidR="007D706A" w:rsidRDefault="007D706A" w:rsidP="00F70508">
            <w:pPr>
              <w:pStyle w:val="ParagraphStyle12"/>
              <w:rPr>
                <w:rStyle w:val="CharacterStyle12"/>
              </w:rPr>
            </w:pPr>
            <w:r>
              <w:rPr>
                <w:rStyle w:val="CharacterStyle12"/>
              </w:rPr>
              <w:t>22.000,00</w:t>
            </w:r>
          </w:p>
        </w:tc>
        <w:tc>
          <w:tcPr>
            <w:tcW w:w="1395" w:type="dxa"/>
            <w:tcBorders>
              <w:bottom w:val="single" w:sz="6" w:space="0" w:color="000000"/>
              <w:right w:val="single" w:sz="6" w:space="0" w:color="000000"/>
            </w:tcBorders>
            <w:vAlign w:val="center"/>
          </w:tcPr>
          <w:p w14:paraId="45D54DFE" w14:textId="77777777" w:rsidR="007D706A" w:rsidRDefault="007D706A" w:rsidP="00F70508">
            <w:pPr>
              <w:pStyle w:val="ParagraphStyle12"/>
              <w:rPr>
                <w:rStyle w:val="CharacterStyle12"/>
              </w:rPr>
            </w:pPr>
            <w:r>
              <w:rPr>
                <w:rStyle w:val="CharacterStyle12"/>
              </w:rPr>
              <w:t>22.000,00</w:t>
            </w:r>
          </w:p>
        </w:tc>
      </w:tr>
      <w:tr w:rsidR="007D706A" w14:paraId="30B3DED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ECC481E"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0DF7866F"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6BED1A8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21E99F6" w14:textId="77777777" w:rsidR="007D706A" w:rsidRDefault="007D706A" w:rsidP="00F70508">
            <w:pPr>
              <w:pStyle w:val="ParagraphStyle12"/>
              <w:rPr>
                <w:rStyle w:val="CharacterStyle12"/>
              </w:rPr>
            </w:pPr>
            <w:r>
              <w:rPr>
                <w:rStyle w:val="CharacterStyle12"/>
              </w:rPr>
              <w:t>21.500,00</w:t>
            </w:r>
          </w:p>
        </w:tc>
        <w:tc>
          <w:tcPr>
            <w:tcW w:w="1395" w:type="dxa"/>
            <w:tcBorders>
              <w:bottom w:val="single" w:sz="6" w:space="0" w:color="000000"/>
              <w:right w:val="single" w:sz="6" w:space="0" w:color="000000"/>
            </w:tcBorders>
            <w:vAlign w:val="center"/>
          </w:tcPr>
          <w:p w14:paraId="6B0536C6" w14:textId="77777777" w:rsidR="007D706A" w:rsidRDefault="007D706A" w:rsidP="00F70508">
            <w:pPr>
              <w:pStyle w:val="ParagraphStyle12"/>
              <w:rPr>
                <w:rStyle w:val="CharacterStyle12"/>
              </w:rPr>
            </w:pPr>
            <w:r>
              <w:rPr>
                <w:rStyle w:val="CharacterStyle12"/>
              </w:rPr>
              <w:t>21.950,00</w:t>
            </w:r>
          </w:p>
        </w:tc>
        <w:tc>
          <w:tcPr>
            <w:tcW w:w="1395" w:type="dxa"/>
            <w:tcBorders>
              <w:bottom w:val="single" w:sz="6" w:space="0" w:color="000000"/>
              <w:right w:val="single" w:sz="6" w:space="0" w:color="000000"/>
            </w:tcBorders>
            <w:vAlign w:val="center"/>
          </w:tcPr>
          <w:p w14:paraId="421343EA" w14:textId="77777777" w:rsidR="007D706A" w:rsidRDefault="007D706A" w:rsidP="00F70508">
            <w:pPr>
              <w:pStyle w:val="ParagraphStyle12"/>
              <w:rPr>
                <w:rStyle w:val="CharacterStyle12"/>
              </w:rPr>
            </w:pPr>
            <w:r>
              <w:rPr>
                <w:rStyle w:val="CharacterStyle12"/>
              </w:rPr>
              <w:t>22.000,00</w:t>
            </w:r>
          </w:p>
        </w:tc>
        <w:tc>
          <w:tcPr>
            <w:tcW w:w="1395" w:type="dxa"/>
            <w:tcBorders>
              <w:bottom w:val="single" w:sz="6" w:space="0" w:color="000000"/>
              <w:right w:val="single" w:sz="6" w:space="0" w:color="000000"/>
            </w:tcBorders>
            <w:vAlign w:val="center"/>
          </w:tcPr>
          <w:p w14:paraId="78214DD5" w14:textId="77777777" w:rsidR="007D706A" w:rsidRDefault="007D706A" w:rsidP="00F70508">
            <w:pPr>
              <w:pStyle w:val="ParagraphStyle12"/>
              <w:rPr>
                <w:rStyle w:val="CharacterStyle12"/>
              </w:rPr>
            </w:pPr>
            <w:r>
              <w:rPr>
                <w:rStyle w:val="CharacterStyle12"/>
              </w:rPr>
              <w:t>22.000,00</w:t>
            </w:r>
          </w:p>
        </w:tc>
      </w:tr>
      <w:tr w:rsidR="007D706A" w14:paraId="2DD2FF5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F77A3E8" w14:textId="77777777" w:rsidR="007D706A" w:rsidRDefault="007D706A" w:rsidP="00F70508">
            <w:pPr>
              <w:pStyle w:val="ParagraphStyle4"/>
              <w:rPr>
                <w:rStyle w:val="CharacterStyle4"/>
              </w:rPr>
            </w:pPr>
            <w:r>
              <w:rPr>
                <w:rStyle w:val="CharacterStyle4"/>
              </w:rPr>
              <w:t>Aktivnost A103706</w:t>
            </w:r>
          </w:p>
        </w:tc>
        <w:tc>
          <w:tcPr>
            <w:tcW w:w="4995" w:type="dxa"/>
            <w:tcBorders>
              <w:bottom w:val="single" w:sz="6" w:space="0" w:color="000000"/>
              <w:right w:val="single" w:sz="6" w:space="0" w:color="000000"/>
            </w:tcBorders>
            <w:vAlign w:val="center"/>
          </w:tcPr>
          <w:p w14:paraId="2BD7ED06" w14:textId="77777777" w:rsidR="007D706A" w:rsidRDefault="007D706A" w:rsidP="00F70508">
            <w:pPr>
              <w:pStyle w:val="ParagraphStyle5"/>
              <w:rPr>
                <w:rStyle w:val="CharacterStyle5"/>
              </w:rPr>
            </w:pPr>
            <w:r>
              <w:rPr>
                <w:rStyle w:val="CharacterStyle5"/>
              </w:rPr>
              <w:t>OBRAZOVNA DJELATNOST</w:t>
            </w:r>
          </w:p>
        </w:tc>
        <w:tc>
          <w:tcPr>
            <w:tcW w:w="1395" w:type="dxa"/>
            <w:tcBorders>
              <w:bottom w:val="single" w:sz="6" w:space="0" w:color="000000"/>
              <w:right w:val="single" w:sz="6" w:space="0" w:color="000000"/>
            </w:tcBorders>
            <w:vAlign w:val="center"/>
          </w:tcPr>
          <w:p w14:paraId="15ACCED5"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21877814" w14:textId="77777777" w:rsidR="007D706A" w:rsidRDefault="007D706A" w:rsidP="00F70508">
            <w:pPr>
              <w:pStyle w:val="ParagraphStyle6"/>
              <w:rPr>
                <w:rStyle w:val="CharacterStyle6"/>
              </w:rPr>
            </w:pPr>
            <w:r>
              <w:rPr>
                <w:rStyle w:val="CharacterStyle6"/>
              </w:rPr>
              <w:t>47.537,50</w:t>
            </w:r>
          </w:p>
        </w:tc>
        <w:tc>
          <w:tcPr>
            <w:tcW w:w="1395" w:type="dxa"/>
            <w:tcBorders>
              <w:bottom w:val="single" w:sz="6" w:space="0" w:color="000000"/>
              <w:right w:val="single" w:sz="6" w:space="0" w:color="000000"/>
            </w:tcBorders>
            <w:vAlign w:val="center"/>
          </w:tcPr>
          <w:p w14:paraId="651661AB" w14:textId="77777777" w:rsidR="007D706A" w:rsidRDefault="007D706A" w:rsidP="00F70508">
            <w:pPr>
              <w:pStyle w:val="ParagraphStyle6"/>
              <w:rPr>
                <w:rStyle w:val="CharacterStyle6"/>
              </w:rPr>
            </w:pPr>
            <w:r>
              <w:rPr>
                <w:rStyle w:val="CharacterStyle6"/>
              </w:rPr>
              <w:t>41.500,00</w:t>
            </w:r>
          </w:p>
        </w:tc>
        <w:tc>
          <w:tcPr>
            <w:tcW w:w="1395" w:type="dxa"/>
            <w:tcBorders>
              <w:bottom w:val="single" w:sz="6" w:space="0" w:color="000000"/>
              <w:right w:val="single" w:sz="6" w:space="0" w:color="000000"/>
            </w:tcBorders>
            <w:vAlign w:val="center"/>
          </w:tcPr>
          <w:p w14:paraId="26ADC520" w14:textId="77777777" w:rsidR="007D706A" w:rsidRDefault="007D706A" w:rsidP="00F70508">
            <w:pPr>
              <w:pStyle w:val="ParagraphStyle6"/>
              <w:rPr>
                <w:rStyle w:val="CharacterStyle6"/>
              </w:rPr>
            </w:pPr>
            <w:r>
              <w:rPr>
                <w:rStyle w:val="CharacterStyle6"/>
              </w:rPr>
              <w:t>40.500,00</w:t>
            </w:r>
          </w:p>
        </w:tc>
        <w:tc>
          <w:tcPr>
            <w:tcW w:w="1395" w:type="dxa"/>
            <w:tcBorders>
              <w:bottom w:val="single" w:sz="6" w:space="0" w:color="000000"/>
              <w:right w:val="single" w:sz="6" w:space="0" w:color="000000"/>
            </w:tcBorders>
            <w:vAlign w:val="center"/>
          </w:tcPr>
          <w:p w14:paraId="73701498" w14:textId="77777777" w:rsidR="007D706A" w:rsidRDefault="007D706A" w:rsidP="00F70508">
            <w:pPr>
              <w:pStyle w:val="ParagraphStyle6"/>
              <w:rPr>
                <w:rStyle w:val="CharacterStyle6"/>
              </w:rPr>
            </w:pPr>
            <w:r>
              <w:rPr>
                <w:rStyle w:val="CharacterStyle6"/>
              </w:rPr>
              <w:t>40.500,00</w:t>
            </w:r>
          </w:p>
        </w:tc>
      </w:tr>
      <w:tr w:rsidR="007D706A" w14:paraId="21ACA77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29B34E1" w14:textId="77777777" w:rsidR="007D706A" w:rsidRDefault="007D706A" w:rsidP="00F70508">
            <w:pPr>
              <w:pStyle w:val="ParagraphStyle7"/>
              <w:rPr>
                <w:rStyle w:val="CharacterStyle7"/>
              </w:rPr>
            </w:pPr>
            <w:r>
              <w:rPr>
                <w:rStyle w:val="CharacterStyle7"/>
              </w:rPr>
              <w:t>Izvor financiranja 31</w:t>
            </w:r>
          </w:p>
        </w:tc>
        <w:tc>
          <w:tcPr>
            <w:tcW w:w="4995" w:type="dxa"/>
            <w:tcBorders>
              <w:bottom w:val="single" w:sz="6" w:space="0" w:color="000000"/>
              <w:right w:val="single" w:sz="6" w:space="0" w:color="000000"/>
            </w:tcBorders>
            <w:vAlign w:val="center"/>
          </w:tcPr>
          <w:p w14:paraId="67486803" w14:textId="77777777" w:rsidR="007D706A" w:rsidRDefault="007D706A" w:rsidP="00F70508">
            <w:pPr>
              <w:pStyle w:val="ParagraphStyle8"/>
              <w:rPr>
                <w:rStyle w:val="CharacterStyle8"/>
              </w:rPr>
            </w:pPr>
            <w:r>
              <w:rPr>
                <w:rStyle w:val="CharacterStyle8"/>
              </w:rPr>
              <w:t>Vlastiti prihodi</w:t>
            </w:r>
          </w:p>
        </w:tc>
        <w:tc>
          <w:tcPr>
            <w:tcW w:w="1395" w:type="dxa"/>
            <w:tcBorders>
              <w:bottom w:val="single" w:sz="6" w:space="0" w:color="000000"/>
              <w:right w:val="single" w:sz="6" w:space="0" w:color="000000"/>
            </w:tcBorders>
            <w:vAlign w:val="center"/>
          </w:tcPr>
          <w:p w14:paraId="5FCB37D8"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22A43DF" w14:textId="77777777" w:rsidR="007D706A" w:rsidRDefault="007D706A" w:rsidP="00F70508">
            <w:pPr>
              <w:pStyle w:val="ParagraphStyle9"/>
              <w:rPr>
                <w:rStyle w:val="CharacterStyle9"/>
              </w:rPr>
            </w:pPr>
            <w:r>
              <w:rPr>
                <w:rStyle w:val="CharacterStyle9"/>
              </w:rPr>
              <w:t>42.000,36</w:t>
            </w:r>
          </w:p>
        </w:tc>
        <w:tc>
          <w:tcPr>
            <w:tcW w:w="1395" w:type="dxa"/>
            <w:tcBorders>
              <w:bottom w:val="single" w:sz="6" w:space="0" w:color="000000"/>
              <w:right w:val="single" w:sz="6" w:space="0" w:color="000000"/>
            </w:tcBorders>
            <w:vAlign w:val="center"/>
          </w:tcPr>
          <w:p w14:paraId="7A7A72C9" w14:textId="77777777" w:rsidR="007D706A" w:rsidRDefault="007D706A" w:rsidP="00F70508">
            <w:pPr>
              <w:pStyle w:val="ParagraphStyle9"/>
              <w:rPr>
                <w:rStyle w:val="CharacterStyle9"/>
              </w:rPr>
            </w:pPr>
            <w:r>
              <w:rPr>
                <w:rStyle w:val="CharacterStyle9"/>
              </w:rPr>
              <w:t>41.500,00</w:t>
            </w:r>
          </w:p>
        </w:tc>
        <w:tc>
          <w:tcPr>
            <w:tcW w:w="1395" w:type="dxa"/>
            <w:tcBorders>
              <w:bottom w:val="single" w:sz="6" w:space="0" w:color="000000"/>
              <w:right w:val="single" w:sz="6" w:space="0" w:color="000000"/>
            </w:tcBorders>
            <w:vAlign w:val="center"/>
          </w:tcPr>
          <w:p w14:paraId="469292BD" w14:textId="77777777" w:rsidR="007D706A" w:rsidRDefault="007D706A" w:rsidP="00F70508">
            <w:pPr>
              <w:pStyle w:val="ParagraphStyle9"/>
              <w:rPr>
                <w:rStyle w:val="CharacterStyle9"/>
              </w:rPr>
            </w:pPr>
            <w:r>
              <w:rPr>
                <w:rStyle w:val="CharacterStyle9"/>
              </w:rPr>
              <w:t>40.500,00</w:t>
            </w:r>
          </w:p>
        </w:tc>
        <w:tc>
          <w:tcPr>
            <w:tcW w:w="1395" w:type="dxa"/>
            <w:tcBorders>
              <w:bottom w:val="single" w:sz="6" w:space="0" w:color="000000"/>
              <w:right w:val="single" w:sz="6" w:space="0" w:color="000000"/>
            </w:tcBorders>
            <w:vAlign w:val="center"/>
          </w:tcPr>
          <w:p w14:paraId="0014311C" w14:textId="77777777" w:rsidR="007D706A" w:rsidRDefault="007D706A" w:rsidP="00F70508">
            <w:pPr>
              <w:pStyle w:val="ParagraphStyle9"/>
              <w:rPr>
                <w:rStyle w:val="CharacterStyle9"/>
              </w:rPr>
            </w:pPr>
            <w:r>
              <w:rPr>
                <w:rStyle w:val="CharacterStyle9"/>
              </w:rPr>
              <w:t>40.500,00</w:t>
            </w:r>
          </w:p>
        </w:tc>
      </w:tr>
      <w:tr w:rsidR="007D706A" w14:paraId="6B949C7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7A20F3F"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1F2FCB24"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0790E33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C6AA015" w14:textId="77777777" w:rsidR="007D706A" w:rsidRDefault="007D706A" w:rsidP="00F70508">
            <w:pPr>
              <w:pStyle w:val="ParagraphStyle12"/>
              <w:rPr>
                <w:rStyle w:val="CharacterStyle12"/>
              </w:rPr>
            </w:pPr>
            <w:r>
              <w:rPr>
                <w:rStyle w:val="CharacterStyle12"/>
              </w:rPr>
              <w:t>42.000,36</w:t>
            </w:r>
          </w:p>
        </w:tc>
        <w:tc>
          <w:tcPr>
            <w:tcW w:w="1395" w:type="dxa"/>
            <w:tcBorders>
              <w:bottom w:val="single" w:sz="6" w:space="0" w:color="000000"/>
              <w:right w:val="single" w:sz="6" w:space="0" w:color="000000"/>
            </w:tcBorders>
            <w:vAlign w:val="center"/>
          </w:tcPr>
          <w:p w14:paraId="018C2850" w14:textId="77777777" w:rsidR="007D706A" w:rsidRDefault="007D706A" w:rsidP="00F70508">
            <w:pPr>
              <w:pStyle w:val="ParagraphStyle12"/>
              <w:rPr>
                <w:rStyle w:val="CharacterStyle12"/>
              </w:rPr>
            </w:pPr>
            <w:r>
              <w:rPr>
                <w:rStyle w:val="CharacterStyle12"/>
              </w:rPr>
              <w:t>41.500,00</w:t>
            </w:r>
          </w:p>
        </w:tc>
        <w:tc>
          <w:tcPr>
            <w:tcW w:w="1395" w:type="dxa"/>
            <w:tcBorders>
              <w:bottom w:val="single" w:sz="6" w:space="0" w:color="000000"/>
              <w:right w:val="single" w:sz="6" w:space="0" w:color="000000"/>
            </w:tcBorders>
            <w:vAlign w:val="center"/>
          </w:tcPr>
          <w:p w14:paraId="78F34101" w14:textId="77777777" w:rsidR="007D706A" w:rsidRDefault="007D706A" w:rsidP="00F70508">
            <w:pPr>
              <w:pStyle w:val="ParagraphStyle12"/>
              <w:rPr>
                <w:rStyle w:val="CharacterStyle12"/>
              </w:rPr>
            </w:pPr>
            <w:r>
              <w:rPr>
                <w:rStyle w:val="CharacterStyle12"/>
              </w:rPr>
              <w:t>40.500,00</w:t>
            </w:r>
          </w:p>
        </w:tc>
        <w:tc>
          <w:tcPr>
            <w:tcW w:w="1395" w:type="dxa"/>
            <w:tcBorders>
              <w:bottom w:val="single" w:sz="6" w:space="0" w:color="000000"/>
              <w:right w:val="single" w:sz="6" w:space="0" w:color="000000"/>
            </w:tcBorders>
            <w:vAlign w:val="center"/>
          </w:tcPr>
          <w:p w14:paraId="2711A932" w14:textId="77777777" w:rsidR="007D706A" w:rsidRDefault="007D706A" w:rsidP="00F70508">
            <w:pPr>
              <w:pStyle w:val="ParagraphStyle12"/>
              <w:rPr>
                <w:rStyle w:val="CharacterStyle12"/>
              </w:rPr>
            </w:pPr>
            <w:r>
              <w:rPr>
                <w:rStyle w:val="CharacterStyle12"/>
              </w:rPr>
              <w:t>40.500,00</w:t>
            </w:r>
          </w:p>
        </w:tc>
      </w:tr>
      <w:tr w:rsidR="007D706A" w14:paraId="1CE9E5C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F44192A"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32862B1D"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6030BC9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8C0E55F" w14:textId="77777777" w:rsidR="007D706A" w:rsidRDefault="007D706A" w:rsidP="00F70508">
            <w:pPr>
              <w:pStyle w:val="ParagraphStyle12"/>
              <w:rPr>
                <w:rStyle w:val="CharacterStyle12"/>
              </w:rPr>
            </w:pPr>
            <w:r>
              <w:rPr>
                <w:rStyle w:val="CharacterStyle12"/>
              </w:rPr>
              <w:t>42.000,36</w:t>
            </w:r>
          </w:p>
        </w:tc>
        <w:tc>
          <w:tcPr>
            <w:tcW w:w="1395" w:type="dxa"/>
            <w:tcBorders>
              <w:bottom w:val="single" w:sz="6" w:space="0" w:color="000000"/>
              <w:right w:val="single" w:sz="6" w:space="0" w:color="000000"/>
            </w:tcBorders>
            <w:vAlign w:val="center"/>
          </w:tcPr>
          <w:p w14:paraId="2B2C3D89" w14:textId="77777777" w:rsidR="007D706A" w:rsidRDefault="007D706A" w:rsidP="00F70508">
            <w:pPr>
              <w:pStyle w:val="ParagraphStyle12"/>
              <w:rPr>
                <w:rStyle w:val="CharacterStyle12"/>
              </w:rPr>
            </w:pPr>
            <w:r>
              <w:rPr>
                <w:rStyle w:val="CharacterStyle12"/>
              </w:rPr>
              <w:t>41.500,00</w:t>
            </w:r>
          </w:p>
        </w:tc>
        <w:tc>
          <w:tcPr>
            <w:tcW w:w="1395" w:type="dxa"/>
            <w:tcBorders>
              <w:bottom w:val="single" w:sz="6" w:space="0" w:color="000000"/>
              <w:right w:val="single" w:sz="6" w:space="0" w:color="000000"/>
            </w:tcBorders>
            <w:vAlign w:val="center"/>
          </w:tcPr>
          <w:p w14:paraId="5B418A4F" w14:textId="77777777" w:rsidR="007D706A" w:rsidRDefault="007D706A" w:rsidP="00F70508">
            <w:pPr>
              <w:pStyle w:val="ParagraphStyle12"/>
              <w:rPr>
                <w:rStyle w:val="CharacterStyle12"/>
              </w:rPr>
            </w:pPr>
            <w:r>
              <w:rPr>
                <w:rStyle w:val="CharacterStyle12"/>
              </w:rPr>
              <w:t>40.500,00</w:t>
            </w:r>
          </w:p>
        </w:tc>
        <w:tc>
          <w:tcPr>
            <w:tcW w:w="1395" w:type="dxa"/>
            <w:tcBorders>
              <w:bottom w:val="single" w:sz="6" w:space="0" w:color="000000"/>
              <w:right w:val="single" w:sz="6" w:space="0" w:color="000000"/>
            </w:tcBorders>
            <w:vAlign w:val="center"/>
          </w:tcPr>
          <w:p w14:paraId="7C63D4DC" w14:textId="77777777" w:rsidR="007D706A" w:rsidRDefault="007D706A" w:rsidP="00F70508">
            <w:pPr>
              <w:pStyle w:val="ParagraphStyle12"/>
              <w:rPr>
                <w:rStyle w:val="CharacterStyle12"/>
              </w:rPr>
            </w:pPr>
            <w:r>
              <w:rPr>
                <w:rStyle w:val="CharacterStyle12"/>
              </w:rPr>
              <w:t>40.500,00</w:t>
            </w:r>
          </w:p>
        </w:tc>
      </w:tr>
      <w:tr w:rsidR="007D706A" w14:paraId="7FF981B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4218FE9" w14:textId="77777777" w:rsidR="007D706A" w:rsidRDefault="007D706A" w:rsidP="00F70508">
            <w:pPr>
              <w:pStyle w:val="ParagraphStyle7"/>
              <w:rPr>
                <w:rStyle w:val="CharacterStyle7"/>
              </w:rPr>
            </w:pPr>
            <w:r>
              <w:rPr>
                <w:rStyle w:val="CharacterStyle7"/>
              </w:rPr>
              <w:t>Izvor financiranja 82</w:t>
            </w:r>
          </w:p>
        </w:tc>
        <w:tc>
          <w:tcPr>
            <w:tcW w:w="4995" w:type="dxa"/>
            <w:tcBorders>
              <w:bottom w:val="single" w:sz="6" w:space="0" w:color="000000"/>
              <w:right w:val="single" w:sz="6" w:space="0" w:color="000000"/>
            </w:tcBorders>
            <w:vAlign w:val="center"/>
          </w:tcPr>
          <w:p w14:paraId="269ABE74" w14:textId="77777777" w:rsidR="007D706A" w:rsidRDefault="007D706A" w:rsidP="00F70508">
            <w:pPr>
              <w:pStyle w:val="ParagraphStyle8"/>
              <w:rPr>
                <w:rStyle w:val="CharacterStyle8"/>
              </w:rPr>
            </w:pPr>
            <w:r>
              <w:rPr>
                <w:rStyle w:val="CharacterStyle8"/>
              </w:rPr>
              <w:t>Preneseni viškovi iz ranijih godina</w:t>
            </w:r>
          </w:p>
        </w:tc>
        <w:tc>
          <w:tcPr>
            <w:tcW w:w="1395" w:type="dxa"/>
            <w:tcBorders>
              <w:bottom w:val="single" w:sz="6" w:space="0" w:color="000000"/>
              <w:right w:val="single" w:sz="6" w:space="0" w:color="000000"/>
            </w:tcBorders>
            <w:vAlign w:val="center"/>
          </w:tcPr>
          <w:p w14:paraId="198935B2"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FDDA111" w14:textId="77777777" w:rsidR="007D706A" w:rsidRDefault="007D706A" w:rsidP="00F70508">
            <w:pPr>
              <w:pStyle w:val="ParagraphStyle9"/>
              <w:rPr>
                <w:rStyle w:val="CharacterStyle9"/>
              </w:rPr>
            </w:pPr>
            <w:r>
              <w:rPr>
                <w:rStyle w:val="CharacterStyle9"/>
              </w:rPr>
              <w:t>5.537,14</w:t>
            </w:r>
          </w:p>
        </w:tc>
        <w:tc>
          <w:tcPr>
            <w:tcW w:w="1395" w:type="dxa"/>
            <w:tcBorders>
              <w:bottom w:val="single" w:sz="6" w:space="0" w:color="000000"/>
              <w:right w:val="single" w:sz="6" w:space="0" w:color="000000"/>
            </w:tcBorders>
            <w:vAlign w:val="center"/>
          </w:tcPr>
          <w:p w14:paraId="3478D3E1"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A653C40"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8C5311A" w14:textId="77777777" w:rsidR="007D706A" w:rsidRDefault="007D706A" w:rsidP="00F70508">
            <w:pPr>
              <w:pStyle w:val="ParagraphStyle9"/>
              <w:rPr>
                <w:rStyle w:val="CharacterStyle9"/>
              </w:rPr>
            </w:pPr>
            <w:r>
              <w:rPr>
                <w:rStyle w:val="CharacterStyle9"/>
              </w:rPr>
              <w:t>0,00</w:t>
            </w:r>
          </w:p>
        </w:tc>
      </w:tr>
      <w:tr w:rsidR="007D706A" w14:paraId="24A4C4F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1F2506E"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680444AE"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06CBB44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FD10028" w14:textId="77777777" w:rsidR="007D706A" w:rsidRDefault="007D706A" w:rsidP="00F70508">
            <w:pPr>
              <w:pStyle w:val="ParagraphStyle12"/>
              <w:rPr>
                <w:rStyle w:val="CharacterStyle12"/>
              </w:rPr>
            </w:pPr>
            <w:r>
              <w:rPr>
                <w:rStyle w:val="CharacterStyle12"/>
              </w:rPr>
              <w:t>5.537,14</w:t>
            </w:r>
          </w:p>
        </w:tc>
        <w:tc>
          <w:tcPr>
            <w:tcW w:w="1395" w:type="dxa"/>
            <w:tcBorders>
              <w:bottom w:val="single" w:sz="6" w:space="0" w:color="000000"/>
              <w:right w:val="single" w:sz="6" w:space="0" w:color="000000"/>
            </w:tcBorders>
            <w:vAlign w:val="center"/>
          </w:tcPr>
          <w:p w14:paraId="1FFFE6F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74D0CF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1F73B25" w14:textId="77777777" w:rsidR="007D706A" w:rsidRDefault="007D706A" w:rsidP="00F70508">
            <w:pPr>
              <w:pStyle w:val="ParagraphStyle12"/>
              <w:rPr>
                <w:rStyle w:val="CharacterStyle12"/>
              </w:rPr>
            </w:pPr>
            <w:r>
              <w:rPr>
                <w:rStyle w:val="CharacterStyle12"/>
              </w:rPr>
              <w:t>0,00</w:t>
            </w:r>
          </w:p>
        </w:tc>
      </w:tr>
      <w:tr w:rsidR="007D706A" w14:paraId="298B231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0263A35"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3593FFB6"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09C5B7A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122F635" w14:textId="77777777" w:rsidR="007D706A" w:rsidRDefault="007D706A" w:rsidP="00F70508">
            <w:pPr>
              <w:pStyle w:val="ParagraphStyle12"/>
              <w:rPr>
                <w:rStyle w:val="CharacterStyle12"/>
              </w:rPr>
            </w:pPr>
            <w:r>
              <w:rPr>
                <w:rStyle w:val="CharacterStyle12"/>
              </w:rPr>
              <w:t>5.537,14</w:t>
            </w:r>
          </w:p>
        </w:tc>
        <w:tc>
          <w:tcPr>
            <w:tcW w:w="1395" w:type="dxa"/>
            <w:tcBorders>
              <w:bottom w:val="single" w:sz="6" w:space="0" w:color="000000"/>
              <w:right w:val="single" w:sz="6" w:space="0" w:color="000000"/>
            </w:tcBorders>
            <w:vAlign w:val="center"/>
          </w:tcPr>
          <w:p w14:paraId="354C0AB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14523C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47A0E81" w14:textId="77777777" w:rsidR="007D706A" w:rsidRDefault="007D706A" w:rsidP="00F70508">
            <w:pPr>
              <w:pStyle w:val="ParagraphStyle12"/>
              <w:rPr>
                <w:rStyle w:val="CharacterStyle12"/>
              </w:rPr>
            </w:pPr>
            <w:r>
              <w:rPr>
                <w:rStyle w:val="CharacterStyle12"/>
              </w:rPr>
              <w:t>0,00</w:t>
            </w:r>
          </w:p>
        </w:tc>
      </w:tr>
      <w:tr w:rsidR="007D706A" w14:paraId="043DCE6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9CCD921" w14:textId="77777777" w:rsidR="007D706A" w:rsidRDefault="007D706A" w:rsidP="00F70508">
            <w:pPr>
              <w:pStyle w:val="ParagraphStyle4"/>
              <w:rPr>
                <w:rStyle w:val="CharacterStyle4"/>
              </w:rPr>
            </w:pPr>
            <w:r>
              <w:rPr>
                <w:rStyle w:val="CharacterStyle4"/>
              </w:rPr>
              <w:t>Kapitalni projekt K103701</w:t>
            </w:r>
          </w:p>
        </w:tc>
        <w:tc>
          <w:tcPr>
            <w:tcW w:w="4995" w:type="dxa"/>
            <w:tcBorders>
              <w:bottom w:val="single" w:sz="6" w:space="0" w:color="000000"/>
              <w:right w:val="single" w:sz="6" w:space="0" w:color="000000"/>
            </w:tcBorders>
            <w:vAlign w:val="center"/>
          </w:tcPr>
          <w:p w14:paraId="22B2A94C" w14:textId="77777777" w:rsidR="007D706A" w:rsidRDefault="007D706A" w:rsidP="00F70508">
            <w:pPr>
              <w:pStyle w:val="ParagraphStyle5"/>
              <w:rPr>
                <w:rStyle w:val="CharacterStyle5"/>
              </w:rPr>
            </w:pPr>
            <w:r>
              <w:rPr>
                <w:rStyle w:val="CharacterStyle5"/>
              </w:rPr>
              <w:t>OPREMANJE PROSTORA</w:t>
            </w:r>
          </w:p>
        </w:tc>
        <w:tc>
          <w:tcPr>
            <w:tcW w:w="1395" w:type="dxa"/>
            <w:tcBorders>
              <w:bottom w:val="single" w:sz="6" w:space="0" w:color="000000"/>
              <w:right w:val="single" w:sz="6" w:space="0" w:color="000000"/>
            </w:tcBorders>
            <w:vAlign w:val="center"/>
          </w:tcPr>
          <w:p w14:paraId="3B158813"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441214F9" w14:textId="77777777" w:rsidR="007D706A" w:rsidRDefault="007D706A" w:rsidP="00F70508">
            <w:pPr>
              <w:pStyle w:val="ParagraphStyle6"/>
              <w:rPr>
                <w:rStyle w:val="CharacterStyle6"/>
              </w:rPr>
            </w:pPr>
            <w:r>
              <w:rPr>
                <w:rStyle w:val="CharacterStyle6"/>
              </w:rPr>
              <w:t>21.400,00</w:t>
            </w:r>
          </w:p>
        </w:tc>
        <w:tc>
          <w:tcPr>
            <w:tcW w:w="1395" w:type="dxa"/>
            <w:tcBorders>
              <w:bottom w:val="single" w:sz="6" w:space="0" w:color="000000"/>
              <w:right w:val="single" w:sz="6" w:space="0" w:color="000000"/>
            </w:tcBorders>
            <w:vAlign w:val="center"/>
          </w:tcPr>
          <w:p w14:paraId="04BB66A8" w14:textId="77777777" w:rsidR="007D706A" w:rsidRDefault="007D706A" w:rsidP="00F70508">
            <w:pPr>
              <w:pStyle w:val="ParagraphStyle6"/>
              <w:rPr>
                <w:rStyle w:val="CharacterStyle6"/>
              </w:rPr>
            </w:pPr>
            <w:r>
              <w:rPr>
                <w:rStyle w:val="CharacterStyle6"/>
              </w:rPr>
              <w:t>5.000,00</w:t>
            </w:r>
          </w:p>
        </w:tc>
        <w:tc>
          <w:tcPr>
            <w:tcW w:w="1395" w:type="dxa"/>
            <w:tcBorders>
              <w:bottom w:val="single" w:sz="6" w:space="0" w:color="000000"/>
              <w:right w:val="single" w:sz="6" w:space="0" w:color="000000"/>
            </w:tcBorders>
            <w:vAlign w:val="center"/>
          </w:tcPr>
          <w:p w14:paraId="245DF879" w14:textId="77777777" w:rsidR="007D706A" w:rsidRDefault="007D706A" w:rsidP="00F70508">
            <w:pPr>
              <w:pStyle w:val="ParagraphStyle6"/>
              <w:rPr>
                <w:rStyle w:val="CharacterStyle6"/>
              </w:rPr>
            </w:pPr>
            <w:r>
              <w:rPr>
                <w:rStyle w:val="CharacterStyle6"/>
              </w:rPr>
              <w:t>12.500,00</w:t>
            </w:r>
          </w:p>
        </w:tc>
        <w:tc>
          <w:tcPr>
            <w:tcW w:w="1395" w:type="dxa"/>
            <w:tcBorders>
              <w:bottom w:val="single" w:sz="6" w:space="0" w:color="000000"/>
              <w:right w:val="single" w:sz="6" w:space="0" w:color="000000"/>
            </w:tcBorders>
            <w:vAlign w:val="center"/>
          </w:tcPr>
          <w:p w14:paraId="441211B3" w14:textId="77777777" w:rsidR="007D706A" w:rsidRDefault="007D706A" w:rsidP="00F70508">
            <w:pPr>
              <w:pStyle w:val="ParagraphStyle6"/>
              <w:rPr>
                <w:rStyle w:val="CharacterStyle6"/>
              </w:rPr>
            </w:pPr>
            <w:r>
              <w:rPr>
                <w:rStyle w:val="CharacterStyle6"/>
              </w:rPr>
              <w:t>13.000,00</w:t>
            </w:r>
          </w:p>
        </w:tc>
      </w:tr>
      <w:tr w:rsidR="007D706A" w14:paraId="47B32BD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2241F1B"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4ECA38E8"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3EF5FDEA"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E1AC77B" w14:textId="77777777" w:rsidR="007D706A" w:rsidRDefault="007D706A" w:rsidP="00F70508">
            <w:pPr>
              <w:pStyle w:val="ParagraphStyle9"/>
              <w:rPr>
                <w:rStyle w:val="CharacterStyle9"/>
              </w:rPr>
            </w:pPr>
            <w:r>
              <w:rPr>
                <w:rStyle w:val="CharacterStyle9"/>
              </w:rPr>
              <w:t>21.400,00</w:t>
            </w:r>
          </w:p>
        </w:tc>
        <w:tc>
          <w:tcPr>
            <w:tcW w:w="1395" w:type="dxa"/>
            <w:tcBorders>
              <w:bottom w:val="single" w:sz="6" w:space="0" w:color="000000"/>
              <w:right w:val="single" w:sz="6" w:space="0" w:color="000000"/>
            </w:tcBorders>
            <w:vAlign w:val="center"/>
          </w:tcPr>
          <w:p w14:paraId="6463B2D7" w14:textId="77777777" w:rsidR="007D706A" w:rsidRDefault="007D706A" w:rsidP="00F70508">
            <w:pPr>
              <w:pStyle w:val="ParagraphStyle9"/>
              <w:rPr>
                <w:rStyle w:val="CharacterStyle9"/>
              </w:rPr>
            </w:pPr>
            <w:r>
              <w:rPr>
                <w:rStyle w:val="CharacterStyle9"/>
              </w:rPr>
              <w:t>5.000,00</w:t>
            </w:r>
          </w:p>
        </w:tc>
        <w:tc>
          <w:tcPr>
            <w:tcW w:w="1395" w:type="dxa"/>
            <w:tcBorders>
              <w:bottom w:val="single" w:sz="6" w:space="0" w:color="000000"/>
              <w:right w:val="single" w:sz="6" w:space="0" w:color="000000"/>
            </w:tcBorders>
            <w:vAlign w:val="center"/>
          </w:tcPr>
          <w:p w14:paraId="5FD0D75E" w14:textId="77777777" w:rsidR="007D706A" w:rsidRDefault="007D706A" w:rsidP="00F70508">
            <w:pPr>
              <w:pStyle w:val="ParagraphStyle9"/>
              <w:rPr>
                <w:rStyle w:val="CharacterStyle9"/>
              </w:rPr>
            </w:pPr>
            <w:r>
              <w:rPr>
                <w:rStyle w:val="CharacterStyle9"/>
              </w:rPr>
              <w:t>12.500,00</w:t>
            </w:r>
          </w:p>
        </w:tc>
        <w:tc>
          <w:tcPr>
            <w:tcW w:w="1395" w:type="dxa"/>
            <w:tcBorders>
              <w:bottom w:val="single" w:sz="6" w:space="0" w:color="000000"/>
              <w:right w:val="single" w:sz="6" w:space="0" w:color="000000"/>
            </w:tcBorders>
            <w:vAlign w:val="center"/>
          </w:tcPr>
          <w:p w14:paraId="69E31540" w14:textId="77777777" w:rsidR="007D706A" w:rsidRDefault="007D706A" w:rsidP="00F70508">
            <w:pPr>
              <w:pStyle w:val="ParagraphStyle9"/>
              <w:rPr>
                <w:rStyle w:val="CharacterStyle9"/>
              </w:rPr>
            </w:pPr>
            <w:r>
              <w:rPr>
                <w:rStyle w:val="CharacterStyle9"/>
              </w:rPr>
              <w:t>13.000,00</w:t>
            </w:r>
          </w:p>
        </w:tc>
      </w:tr>
      <w:tr w:rsidR="007D706A" w14:paraId="6CC0575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FA6A18A"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76900651"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0E4F53C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44EBB6A" w14:textId="77777777" w:rsidR="007D706A" w:rsidRDefault="007D706A" w:rsidP="00F70508">
            <w:pPr>
              <w:pStyle w:val="ParagraphStyle12"/>
              <w:rPr>
                <w:rStyle w:val="CharacterStyle12"/>
              </w:rPr>
            </w:pPr>
            <w:r>
              <w:rPr>
                <w:rStyle w:val="CharacterStyle12"/>
              </w:rPr>
              <w:t>21.400,00</w:t>
            </w:r>
          </w:p>
        </w:tc>
        <w:tc>
          <w:tcPr>
            <w:tcW w:w="1395" w:type="dxa"/>
            <w:tcBorders>
              <w:bottom w:val="single" w:sz="6" w:space="0" w:color="000000"/>
              <w:right w:val="single" w:sz="6" w:space="0" w:color="000000"/>
            </w:tcBorders>
            <w:vAlign w:val="center"/>
          </w:tcPr>
          <w:p w14:paraId="2B78801D" w14:textId="77777777" w:rsidR="007D706A" w:rsidRDefault="007D706A" w:rsidP="00F70508">
            <w:pPr>
              <w:pStyle w:val="ParagraphStyle12"/>
              <w:rPr>
                <w:rStyle w:val="CharacterStyle12"/>
              </w:rPr>
            </w:pPr>
            <w:r>
              <w:rPr>
                <w:rStyle w:val="CharacterStyle12"/>
              </w:rPr>
              <w:t>5.000,00</w:t>
            </w:r>
          </w:p>
        </w:tc>
        <w:tc>
          <w:tcPr>
            <w:tcW w:w="1395" w:type="dxa"/>
            <w:tcBorders>
              <w:bottom w:val="single" w:sz="6" w:space="0" w:color="000000"/>
              <w:right w:val="single" w:sz="6" w:space="0" w:color="000000"/>
            </w:tcBorders>
            <w:vAlign w:val="center"/>
          </w:tcPr>
          <w:p w14:paraId="48D7B1A0" w14:textId="77777777" w:rsidR="007D706A" w:rsidRDefault="007D706A" w:rsidP="00F70508">
            <w:pPr>
              <w:pStyle w:val="ParagraphStyle12"/>
              <w:rPr>
                <w:rStyle w:val="CharacterStyle12"/>
              </w:rPr>
            </w:pPr>
            <w:r>
              <w:rPr>
                <w:rStyle w:val="CharacterStyle12"/>
              </w:rPr>
              <w:t>12.500,00</w:t>
            </w:r>
          </w:p>
        </w:tc>
        <w:tc>
          <w:tcPr>
            <w:tcW w:w="1395" w:type="dxa"/>
            <w:tcBorders>
              <w:bottom w:val="single" w:sz="6" w:space="0" w:color="000000"/>
              <w:right w:val="single" w:sz="6" w:space="0" w:color="000000"/>
            </w:tcBorders>
            <w:vAlign w:val="center"/>
          </w:tcPr>
          <w:p w14:paraId="15C61FD8" w14:textId="77777777" w:rsidR="007D706A" w:rsidRDefault="007D706A" w:rsidP="00F70508">
            <w:pPr>
              <w:pStyle w:val="ParagraphStyle12"/>
              <w:rPr>
                <w:rStyle w:val="CharacterStyle12"/>
              </w:rPr>
            </w:pPr>
            <w:r>
              <w:rPr>
                <w:rStyle w:val="CharacterStyle12"/>
              </w:rPr>
              <w:t>13.000,00</w:t>
            </w:r>
          </w:p>
        </w:tc>
      </w:tr>
      <w:tr w:rsidR="007D706A" w14:paraId="75E0EAB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9E39573" w14:textId="77777777" w:rsidR="007D706A" w:rsidRDefault="007D706A" w:rsidP="00F70508">
            <w:pPr>
              <w:pStyle w:val="ParagraphStyle10"/>
              <w:rPr>
                <w:rStyle w:val="CharacterStyle10"/>
              </w:rPr>
            </w:pPr>
            <w:r>
              <w:rPr>
                <w:rStyle w:val="CharacterStyle10"/>
              </w:rPr>
              <w:t>42</w:t>
            </w:r>
          </w:p>
        </w:tc>
        <w:tc>
          <w:tcPr>
            <w:tcW w:w="4995" w:type="dxa"/>
            <w:tcBorders>
              <w:bottom w:val="single" w:sz="6" w:space="0" w:color="000000"/>
              <w:right w:val="single" w:sz="6" w:space="0" w:color="000000"/>
            </w:tcBorders>
            <w:vAlign w:val="center"/>
          </w:tcPr>
          <w:p w14:paraId="1AE92589"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7D51BA8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36EC5DC" w14:textId="77777777" w:rsidR="007D706A" w:rsidRDefault="007D706A" w:rsidP="00F70508">
            <w:pPr>
              <w:pStyle w:val="ParagraphStyle12"/>
              <w:rPr>
                <w:rStyle w:val="CharacterStyle12"/>
              </w:rPr>
            </w:pPr>
            <w:r>
              <w:rPr>
                <w:rStyle w:val="CharacterStyle12"/>
              </w:rPr>
              <w:t>21.400,00</w:t>
            </w:r>
          </w:p>
        </w:tc>
        <w:tc>
          <w:tcPr>
            <w:tcW w:w="1395" w:type="dxa"/>
            <w:tcBorders>
              <w:bottom w:val="single" w:sz="6" w:space="0" w:color="000000"/>
              <w:right w:val="single" w:sz="6" w:space="0" w:color="000000"/>
            </w:tcBorders>
            <w:vAlign w:val="center"/>
          </w:tcPr>
          <w:p w14:paraId="0BA94E89" w14:textId="77777777" w:rsidR="007D706A" w:rsidRDefault="007D706A" w:rsidP="00F70508">
            <w:pPr>
              <w:pStyle w:val="ParagraphStyle12"/>
              <w:rPr>
                <w:rStyle w:val="CharacterStyle12"/>
              </w:rPr>
            </w:pPr>
            <w:r>
              <w:rPr>
                <w:rStyle w:val="CharacterStyle12"/>
              </w:rPr>
              <w:t>5.000,00</w:t>
            </w:r>
          </w:p>
        </w:tc>
        <w:tc>
          <w:tcPr>
            <w:tcW w:w="1395" w:type="dxa"/>
            <w:tcBorders>
              <w:bottom w:val="single" w:sz="6" w:space="0" w:color="000000"/>
              <w:right w:val="single" w:sz="6" w:space="0" w:color="000000"/>
            </w:tcBorders>
            <w:vAlign w:val="center"/>
          </w:tcPr>
          <w:p w14:paraId="7936876D" w14:textId="77777777" w:rsidR="007D706A" w:rsidRDefault="007D706A" w:rsidP="00F70508">
            <w:pPr>
              <w:pStyle w:val="ParagraphStyle12"/>
              <w:rPr>
                <w:rStyle w:val="CharacterStyle12"/>
              </w:rPr>
            </w:pPr>
            <w:r>
              <w:rPr>
                <w:rStyle w:val="CharacterStyle12"/>
              </w:rPr>
              <w:t>12.500,00</w:t>
            </w:r>
          </w:p>
        </w:tc>
        <w:tc>
          <w:tcPr>
            <w:tcW w:w="1395" w:type="dxa"/>
            <w:tcBorders>
              <w:bottom w:val="single" w:sz="6" w:space="0" w:color="000000"/>
              <w:right w:val="single" w:sz="6" w:space="0" w:color="000000"/>
            </w:tcBorders>
            <w:vAlign w:val="center"/>
          </w:tcPr>
          <w:p w14:paraId="3BF66080" w14:textId="77777777" w:rsidR="007D706A" w:rsidRDefault="007D706A" w:rsidP="00F70508">
            <w:pPr>
              <w:pStyle w:val="ParagraphStyle12"/>
              <w:rPr>
                <w:rStyle w:val="CharacterStyle12"/>
              </w:rPr>
            </w:pPr>
            <w:r>
              <w:rPr>
                <w:rStyle w:val="CharacterStyle12"/>
              </w:rPr>
              <w:t>13.000,00</w:t>
            </w:r>
          </w:p>
        </w:tc>
      </w:tr>
      <w:tr w:rsidR="007D706A" w14:paraId="258B84F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09A1F23" w14:textId="77777777" w:rsidR="007D706A" w:rsidRDefault="007D706A" w:rsidP="00F70508">
            <w:pPr>
              <w:pStyle w:val="ParagraphStyle4"/>
              <w:rPr>
                <w:rStyle w:val="CharacterStyle4"/>
              </w:rPr>
            </w:pPr>
            <w:r>
              <w:rPr>
                <w:rStyle w:val="CharacterStyle4"/>
              </w:rPr>
              <w:t>Aktivnost A103707</w:t>
            </w:r>
          </w:p>
        </w:tc>
        <w:tc>
          <w:tcPr>
            <w:tcW w:w="4995" w:type="dxa"/>
            <w:tcBorders>
              <w:bottom w:val="single" w:sz="6" w:space="0" w:color="000000"/>
              <w:right w:val="single" w:sz="6" w:space="0" w:color="000000"/>
            </w:tcBorders>
            <w:vAlign w:val="center"/>
          </w:tcPr>
          <w:p w14:paraId="43A970D5" w14:textId="77777777" w:rsidR="007D706A" w:rsidRDefault="007D706A" w:rsidP="00F70508">
            <w:pPr>
              <w:pStyle w:val="ParagraphStyle5"/>
              <w:rPr>
                <w:rStyle w:val="CharacterStyle5"/>
              </w:rPr>
            </w:pPr>
            <w:r>
              <w:rPr>
                <w:rStyle w:val="CharacterStyle5"/>
              </w:rPr>
              <w:t>REDOVAN RAD USTANOVE U KULTURI</w:t>
            </w:r>
          </w:p>
        </w:tc>
        <w:tc>
          <w:tcPr>
            <w:tcW w:w="1395" w:type="dxa"/>
            <w:tcBorders>
              <w:bottom w:val="single" w:sz="6" w:space="0" w:color="000000"/>
              <w:right w:val="single" w:sz="6" w:space="0" w:color="000000"/>
            </w:tcBorders>
            <w:vAlign w:val="center"/>
          </w:tcPr>
          <w:p w14:paraId="565A8387"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6974BE50" w14:textId="77777777" w:rsidR="007D706A" w:rsidRDefault="007D706A" w:rsidP="00F70508">
            <w:pPr>
              <w:pStyle w:val="ParagraphStyle6"/>
              <w:rPr>
                <w:rStyle w:val="CharacterStyle6"/>
              </w:rPr>
            </w:pPr>
            <w:r>
              <w:rPr>
                <w:rStyle w:val="CharacterStyle6"/>
              </w:rPr>
              <w:t>427.270,00</w:t>
            </w:r>
          </w:p>
        </w:tc>
        <w:tc>
          <w:tcPr>
            <w:tcW w:w="1395" w:type="dxa"/>
            <w:tcBorders>
              <w:bottom w:val="single" w:sz="6" w:space="0" w:color="000000"/>
              <w:right w:val="single" w:sz="6" w:space="0" w:color="000000"/>
            </w:tcBorders>
            <w:vAlign w:val="center"/>
          </w:tcPr>
          <w:p w14:paraId="3EB5EEF6" w14:textId="77777777" w:rsidR="007D706A" w:rsidRDefault="007D706A" w:rsidP="00F70508">
            <w:pPr>
              <w:pStyle w:val="ParagraphStyle6"/>
              <w:rPr>
                <w:rStyle w:val="CharacterStyle6"/>
              </w:rPr>
            </w:pPr>
            <w:r>
              <w:rPr>
                <w:rStyle w:val="CharacterStyle6"/>
              </w:rPr>
              <w:t>470.800,00</w:t>
            </w:r>
          </w:p>
        </w:tc>
        <w:tc>
          <w:tcPr>
            <w:tcW w:w="1395" w:type="dxa"/>
            <w:tcBorders>
              <w:bottom w:val="single" w:sz="6" w:space="0" w:color="000000"/>
              <w:right w:val="single" w:sz="6" w:space="0" w:color="000000"/>
            </w:tcBorders>
            <w:vAlign w:val="center"/>
          </w:tcPr>
          <w:p w14:paraId="649D1C6C" w14:textId="77777777" w:rsidR="007D706A" w:rsidRDefault="007D706A" w:rsidP="00F70508">
            <w:pPr>
              <w:pStyle w:val="ParagraphStyle6"/>
              <w:rPr>
                <w:rStyle w:val="CharacterStyle6"/>
              </w:rPr>
            </w:pPr>
            <w:r>
              <w:rPr>
                <w:rStyle w:val="CharacterStyle6"/>
              </w:rPr>
              <w:t>485.600,00</w:t>
            </w:r>
          </w:p>
        </w:tc>
        <w:tc>
          <w:tcPr>
            <w:tcW w:w="1395" w:type="dxa"/>
            <w:tcBorders>
              <w:bottom w:val="single" w:sz="6" w:space="0" w:color="000000"/>
              <w:right w:val="single" w:sz="6" w:space="0" w:color="000000"/>
            </w:tcBorders>
            <w:vAlign w:val="center"/>
          </w:tcPr>
          <w:p w14:paraId="7A5838E4" w14:textId="77777777" w:rsidR="007D706A" w:rsidRDefault="007D706A" w:rsidP="00F70508">
            <w:pPr>
              <w:pStyle w:val="ParagraphStyle6"/>
              <w:rPr>
                <w:rStyle w:val="CharacterStyle6"/>
              </w:rPr>
            </w:pPr>
            <w:r>
              <w:rPr>
                <w:rStyle w:val="CharacterStyle6"/>
              </w:rPr>
              <w:t>489.500,00</w:t>
            </w:r>
          </w:p>
        </w:tc>
      </w:tr>
      <w:tr w:rsidR="007D706A" w14:paraId="123EC77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479584A"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6E3CF72E"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33E399EC"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D94B01A" w14:textId="77777777" w:rsidR="007D706A" w:rsidRDefault="007D706A" w:rsidP="00F70508">
            <w:pPr>
              <w:pStyle w:val="ParagraphStyle9"/>
              <w:rPr>
                <w:rStyle w:val="CharacterStyle9"/>
              </w:rPr>
            </w:pPr>
            <w:r>
              <w:rPr>
                <w:rStyle w:val="CharacterStyle9"/>
              </w:rPr>
              <w:t>420.473,14</w:t>
            </w:r>
          </w:p>
        </w:tc>
        <w:tc>
          <w:tcPr>
            <w:tcW w:w="1395" w:type="dxa"/>
            <w:tcBorders>
              <w:bottom w:val="single" w:sz="6" w:space="0" w:color="000000"/>
              <w:right w:val="single" w:sz="6" w:space="0" w:color="000000"/>
            </w:tcBorders>
            <w:vAlign w:val="center"/>
          </w:tcPr>
          <w:p w14:paraId="0C34A639" w14:textId="77777777" w:rsidR="007D706A" w:rsidRDefault="007D706A" w:rsidP="00F70508">
            <w:pPr>
              <w:pStyle w:val="ParagraphStyle9"/>
              <w:rPr>
                <w:rStyle w:val="CharacterStyle9"/>
              </w:rPr>
            </w:pPr>
            <w:r>
              <w:rPr>
                <w:rStyle w:val="CharacterStyle9"/>
              </w:rPr>
              <w:t>467.000,00</w:t>
            </w:r>
          </w:p>
        </w:tc>
        <w:tc>
          <w:tcPr>
            <w:tcW w:w="1395" w:type="dxa"/>
            <w:tcBorders>
              <w:bottom w:val="single" w:sz="6" w:space="0" w:color="000000"/>
              <w:right w:val="single" w:sz="6" w:space="0" w:color="000000"/>
            </w:tcBorders>
            <w:vAlign w:val="center"/>
          </w:tcPr>
          <w:p w14:paraId="5AD984D7" w14:textId="77777777" w:rsidR="007D706A" w:rsidRDefault="007D706A" w:rsidP="00F70508">
            <w:pPr>
              <w:pStyle w:val="ParagraphStyle9"/>
              <w:rPr>
                <w:rStyle w:val="CharacterStyle9"/>
              </w:rPr>
            </w:pPr>
            <w:r>
              <w:rPr>
                <w:rStyle w:val="CharacterStyle9"/>
              </w:rPr>
              <w:t>484.500,00</w:t>
            </w:r>
          </w:p>
        </w:tc>
        <w:tc>
          <w:tcPr>
            <w:tcW w:w="1395" w:type="dxa"/>
            <w:tcBorders>
              <w:bottom w:val="single" w:sz="6" w:space="0" w:color="000000"/>
              <w:right w:val="single" w:sz="6" w:space="0" w:color="000000"/>
            </w:tcBorders>
            <w:vAlign w:val="center"/>
          </w:tcPr>
          <w:p w14:paraId="65CA056B" w14:textId="77777777" w:rsidR="007D706A" w:rsidRDefault="007D706A" w:rsidP="00F70508">
            <w:pPr>
              <w:pStyle w:val="ParagraphStyle9"/>
              <w:rPr>
                <w:rStyle w:val="CharacterStyle9"/>
              </w:rPr>
            </w:pPr>
            <w:r>
              <w:rPr>
                <w:rStyle w:val="CharacterStyle9"/>
              </w:rPr>
              <w:t>488.400,00</w:t>
            </w:r>
          </w:p>
        </w:tc>
      </w:tr>
      <w:tr w:rsidR="007D706A" w14:paraId="4FBB284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D77FCA7"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4F2437E8"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3B81A3B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77159B2" w14:textId="77777777" w:rsidR="007D706A" w:rsidRDefault="007D706A" w:rsidP="00F70508">
            <w:pPr>
              <w:pStyle w:val="ParagraphStyle12"/>
              <w:rPr>
                <w:rStyle w:val="CharacterStyle12"/>
              </w:rPr>
            </w:pPr>
            <w:r>
              <w:rPr>
                <w:rStyle w:val="CharacterStyle12"/>
              </w:rPr>
              <w:t>419.723,14</w:t>
            </w:r>
          </w:p>
        </w:tc>
        <w:tc>
          <w:tcPr>
            <w:tcW w:w="1395" w:type="dxa"/>
            <w:tcBorders>
              <w:bottom w:val="single" w:sz="6" w:space="0" w:color="000000"/>
              <w:right w:val="single" w:sz="6" w:space="0" w:color="000000"/>
            </w:tcBorders>
            <w:vAlign w:val="center"/>
          </w:tcPr>
          <w:p w14:paraId="528AFBCC" w14:textId="77777777" w:rsidR="007D706A" w:rsidRDefault="007D706A" w:rsidP="00F70508">
            <w:pPr>
              <w:pStyle w:val="ParagraphStyle12"/>
              <w:rPr>
                <w:rStyle w:val="CharacterStyle12"/>
              </w:rPr>
            </w:pPr>
            <w:r>
              <w:rPr>
                <w:rStyle w:val="CharacterStyle12"/>
              </w:rPr>
              <w:t>466.000,00</w:t>
            </w:r>
          </w:p>
        </w:tc>
        <w:tc>
          <w:tcPr>
            <w:tcW w:w="1395" w:type="dxa"/>
            <w:tcBorders>
              <w:bottom w:val="single" w:sz="6" w:space="0" w:color="000000"/>
              <w:right w:val="single" w:sz="6" w:space="0" w:color="000000"/>
            </w:tcBorders>
            <w:vAlign w:val="center"/>
          </w:tcPr>
          <w:p w14:paraId="38EA9DF2" w14:textId="77777777" w:rsidR="007D706A" w:rsidRDefault="007D706A" w:rsidP="00F70508">
            <w:pPr>
              <w:pStyle w:val="ParagraphStyle12"/>
              <w:rPr>
                <w:rStyle w:val="CharacterStyle12"/>
              </w:rPr>
            </w:pPr>
            <w:r>
              <w:rPr>
                <w:rStyle w:val="CharacterStyle12"/>
              </w:rPr>
              <w:t>482.500,00</w:t>
            </w:r>
          </w:p>
        </w:tc>
        <w:tc>
          <w:tcPr>
            <w:tcW w:w="1395" w:type="dxa"/>
            <w:tcBorders>
              <w:bottom w:val="single" w:sz="6" w:space="0" w:color="000000"/>
              <w:right w:val="single" w:sz="6" w:space="0" w:color="000000"/>
            </w:tcBorders>
            <w:vAlign w:val="center"/>
          </w:tcPr>
          <w:p w14:paraId="1BBA28C7" w14:textId="77777777" w:rsidR="007D706A" w:rsidRDefault="007D706A" w:rsidP="00F70508">
            <w:pPr>
              <w:pStyle w:val="ParagraphStyle12"/>
              <w:rPr>
                <w:rStyle w:val="CharacterStyle12"/>
              </w:rPr>
            </w:pPr>
            <w:r>
              <w:rPr>
                <w:rStyle w:val="CharacterStyle12"/>
              </w:rPr>
              <w:t>486.400,00</w:t>
            </w:r>
          </w:p>
        </w:tc>
      </w:tr>
      <w:tr w:rsidR="007D706A" w14:paraId="3B3F69C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A05A275" w14:textId="77777777" w:rsidR="007D706A" w:rsidRDefault="007D706A" w:rsidP="00F70508">
            <w:pPr>
              <w:pStyle w:val="ParagraphStyle10"/>
              <w:rPr>
                <w:rStyle w:val="CharacterStyle10"/>
              </w:rPr>
            </w:pPr>
            <w:r>
              <w:rPr>
                <w:rStyle w:val="CharacterStyle10"/>
              </w:rPr>
              <w:t>31</w:t>
            </w:r>
          </w:p>
        </w:tc>
        <w:tc>
          <w:tcPr>
            <w:tcW w:w="4995" w:type="dxa"/>
            <w:tcBorders>
              <w:bottom w:val="single" w:sz="6" w:space="0" w:color="000000"/>
              <w:right w:val="single" w:sz="6" w:space="0" w:color="000000"/>
            </w:tcBorders>
            <w:vAlign w:val="center"/>
          </w:tcPr>
          <w:p w14:paraId="25363AD9" w14:textId="77777777" w:rsidR="007D706A" w:rsidRDefault="007D706A" w:rsidP="00F70508">
            <w:pPr>
              <w:pStyle w:val="ParagraphStyle11"/>
              <w:rPr>
                <w:rStyle w:val="CharacterStyle11"/>
              </w:rPr>
            </w:pPr>
            <w:r>
              <w:rPr>
                <w:rStyle w:val="CharacterStyle11"/>
              </w:rPr>
              <w:t>Rashodi za zaposlene</w:t>
            </w:r>
          </w:p>
        </w:tc>
        <w:tc>
          <w:tcPr>
            <w:tcW w:w="1395" w:type="dxa"/>
            <w:tcBorders>
              <w:bottom w:val="single" w:sz="6" w:space="0" w:color="000000"/>
              <w:right w:val="single" w:sz="6" w:space="0" w:color="000000"/>
            </w:tcBorders>
            <w:vAlign w:val="center"/>
          </w:tcPr>
          <w:p w14:paraId="2C7C503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81EA028" w14:textId="77777777" w:rsidR="007D706A" w:rsidRDefault="007D706A" w:rsidP="00F70508">
            <w:pPr>
              <w:pStyle w:val="ParagraphStyle12"/>
              <w:rPr>
                <w:rStyle w:val="CharacterStyle12"/>
              </w:rPr>
            </w:pPr>
            <w:r>
              <w:rPr>
                <w:rStyle w:val="CharacterStyle12"/>
              </w:rPr>
              <w:t>355.003,14</w:t>
            </w:r>
          </w:p>
        </w:tc>
        <w:tc>
          <w:tcPr>
            <w:tcW w:w="1395" w:type="dxa"/>
            <w:tcBorders>
              <w:bottom w:val="single" w:sz="6" w:space="0" w:color="000000"/>
              <w:right w:val="single" w:sz="6" w:space="0" w:color="000000"/>
            </w:tcBorders>
            <w:vAlign w:val="center"/>
          </w:tcPr>
          <w:p w14:paraId="09F2E544" w14:textId="77777777" w:rsidR="007D706A" w:rsidRDefault="007D706A" w:rsidP="00F70508">
            <w:pPr>
              <w:pStyle w:val="ParagraphStyle12"/>
              <w:rPr>
                <w:rStyle w:val="CharacterStyle12"/>
              </w:rPr>
            </w:pPr>
            <w:r>
              <w:rPr>
                <w:rStyle w:val="CharacterStyle12"/>
              </w:rPr>
              <w:t>396.000,00</w:t>
            </w:r>
          </w:p>
        </w:tc>
        <w:tc>
          <w:tcPr>
            <w:tcW w:w="1395" w:type="dxa"/>
            <w:tcBorders>
              <w:bottom w:val="single" w:sz="6" w:space="0" w:color="000000"/>
              <w:right w:val="single" w:sz="6" w:space="0" w:color="000000"/>
            </w:tcBorders>
            <w:vAlign w:val="center"/>
          </w:tcPr>
          <w:p w14:paraId="46522729" w14:textId="77777777" w:rsidR="007D706A" w:rsidRDefault="007D706A" w:rsidP="00F70508">
            <w:pPr>
              <w:pStyle w:val="ParagraphStyle12"/>
              <w:rPr>
                <w:rStyle w:val="CharacterStyle12"/>
              </w:rPr>
            </w:pPr>
            <w:r>
              <w:rPr>
                <w:rStyle w:val="CharacterStyle12"/>
              </w:rPr>
              <w:t>410.000,00</w:t>
            </w:r>
          </w:p>
        </w:tc>
        <w:tc>
          <w:tcPr>
            <w:tcW w:w="1395" w:type="dxa"/>
            <w:tcBorders>
              <w:bottom w:val="single" w:sz="6" w:space="0" w:color="000000"/>
              <w:right w:val="single" w:sz="6" w:space="0" w:color="000000"/>
            </w:tcBorders>
            <w:vAlign w:val="center"/>
          </w:tcPr>
          <w:p w14:paraId="58B53858" w14:textId="77777777" w:rsidR="007D706A" w:rsidRDefault="007D706A" w:rsidP="00F70508">
            <w:pPr>
              <w:pStyle w:val="ParagraphStyle12"/>
              <w:rPr>
                <w:rStyle w:val="CharacterStyle12"/>
              </w:rPr>
            </w:pPr>
            <w:r>
              <w:rPr>
                <w:rStyle w:val="CharacterStyle12"/>
              </w:rPr>
              <w:t>412.900,00</w:t>
            </w:r>
          </w:p>
        </w:tc>
      </w:tr>
      <w:tr w:rsidR="007D706A" w14:paraId="53DC162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AC8C62B"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536703D0"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320A122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7669ECF" w14:textId="77777777" w:rsidR="007D706A" w:rsidRDefault="007D706A" w:rsidP="00F70508">
            <w:pPr>
              <w:pStyle w:val="ParagraphStyle12"/>
              <w:rPr>
                <w:rStyle w:val="CharacterStyle12"/>
              </w:rPr>
            </w:pPr>
            <w:r>
              <w:rPr>
                <w:rStyle w:val="CharacterStyle12"/>
              </w:rPr>
              <w:t>64.270,00</w:t>
            </w:r>
          </w:p>
        </w:tc>
        <w:tc>
          <w:tcPr>
            <w:tcW w:w="1395" w:type="dxa"/>
            <w:tcBorders>
              <w:bottom w:val="single" w:sz="6" w:space="0" w:color="000000"/>
              <w:right w:val="single" w:sz="6" w:space="0" w:color="000000"/>
            </w:tcBorders>
            <w:vAlign w:val="center"/>
          </w:tcPr>
          <w:p w14:paraId="46E739B9" w14:textId="77777777" w:rsidR="007D706A" w:rsidRDefault="007D706A" w:rsidP="00F70508">
            <w:pPr>
              <w:pStyle w:val="ParagraphStyle12"/>
              <w:rPr>
                <w:rStyle w:val="CharacterStyle12"/>
              </w:rPr>
            </w:pPr>
            <w:r>
              <w:rPr>
                <w:rStyle w:val="CharacterStyle12"/>
              </w:rPr>
              <w:t>69.550,00</w:t>
            </w:r>
          </w:p>
        </w:tc>
        <w:tc>
          <w:tcPr>
            <w:tcW w:w="1395" w:type="dxa"/>
            <w:tcBorders>
              <w:bottom w:val="single" w:sz="6" w:space="0" w:color="000000"/>
              <w:right w:val="single" w:sz="6" w:space="0" w:color="000000"/>
            </w:tcBorders>
            <w:vAlign w:val="center"/>
          </w:tcPr>
          <w:p w14:paraId="2F9E55D6" w14:textId="77777777" w:rsidR="007D706A" w:rsidRDefault="007D706A" w:rsidP="00F70508">
            <w:pPr>
              <w:pStyle w:val="ParagraphStyle12"/>
              <w:rPr>
                <w:rStyle w:val="CharacterStyle12"/>
              </w:rPr>
            </w:pPr>
            <w:r>
              <w:rPr>
                <w:rStyle w:val="CharacterStyle12"/>
              </w:rPr>
              <w:t>72.000,00</w:t>
            </w:r>
          </w:p>
        </w:tc>
        <w:tc>
          <w:tcPr>
            <w:tcW w:w="1395" w:type="dxa"/>
            <w:tcBorders>
              <w:bottom w:val="single" w:sz="6" w:space="0" w:color="000000"/>
              <w:right w:val="single" w:sz="6" w:space="0" w:color="000000"/>
            </w:tcBorders>
            <w:vAlign w:val="center"/>
          </w:tcPr>
          <w:p w14:paraId="684FAE3C" w14:textId="77777777" w:rsidR="007D706A" w:rsidRDefault="007D706A" w:rsidP="00F70508">
            <w:pPr>
              <w:pStyle w:val="ParagraphStyle12"/>
              <w:rPr>
                <w:rStyle w:val="CharacterStyle12"/>
              </w:rPr>
            </w:pPr>
            <w:r>
              <w:rPr>
                <w:rStyle w:val="CharacterStyle12"/>
              </w:rPr>
              <w:t>73.000,00</w:t>
            </w:r>
          </w:p>
        </w:tc>
      </w:tr>
      <w:tr w:rsidR="007D706A" w14:paraId="2AFD14D6"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D4BA925" w14:textId="77777777" w:rsidR="007D706A" w:rsidRDefault="007D706A" w:rsidP="00F70508">
            <w:pPr>
              <w:pStyle w:val="ParagraphStyle10"/>
              <w:rPr>
                <w:rStyle w:val="CharacterStyle10"/>
              </w:rPr>
            </w:pPr>
            <w:r>
              <w:rPr>
                <w:rStyle w:val="CharacterStyle10"/>
              </w:rPr>
              <w:t>34</w:t>
            </w:r>
          </w:p>
        </w:tc>
        <w:tc>
          <w:tcPr>
            <w:tcW w:w="4995" w:type="dxa"/>
            <w:tcBorders>
              <w:bottom w:val="single" w:sz="6" w:space="0" w:color="000000"/>
              <w:right w:val="single" w:sz="6" w:space="0" w:color="000000"/>
            </w:tcBorders>
            <w:vAlign w:val="center"/>
          </w:tcPr>
          <w:p w14:paraId="1AA4C064" w14:textId="77777777" w:rsidR="007D706A" w:rsidRDefault="007D706A" w:rsidP="00F70508">
            <w:pPr>
              <w:pStyle w:val="ParagraphStyle11"/>
              <w:rPr>
                <w:rStyle w:val="CharacterStyle11"/>
              </w:rPr>
            </w:pPr>
            <w:r>
              <w:rPr>
                <w:rStyle w:val="CharacterStyle11"/>
              </w:rPr>
              <w:t>Financijski rashodi</w:t>
            </w:r>
          </w:p>
        </w:tc>
        <w:tc>
          <w:tcPr>
            <w:tcW w:w="1395" w:type="dxa"/>
            <w:tcBorders>
              <w:bottom w:val="single" w:sz="6" w:space="0" w:color="000000"/>
              <w:right w:val="single" w:sz="6" w:space="0" w:color="000000"/>
            </w:tcBorders>
            <w:vAlign w:val="center"/>
          </w:tcPr>
          <w:p w14:paraId="3D758EE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1F7EDD6" w14:textId="77777777" w:rsidR="007D706A" w:rsidRDefault="007D706A" w:rsidP="00F70508">
            <w:pPr>
              <w:pStyle w:val="ParagraphStyle12"/>
              <w:rPr>
                <w:rStyle w:val="CharacterStyle12"/>
              </w:rPr>
            </w:pPr>
            <w:r>
              <w:rPr>
                <w:rStyle w:val="CharacterStyle12"/>
              </w:rPr>
              <w:t>450,00</w:t>
            </w:r>
          </w:p>
        </w:tc>
        <w:tc>
          <w:tcPr>
            <w:tcW w:w="1395" w:type="dxa"/>
            <w:tcBorders>
              <w:bottom w:val="single" w:sz="6" w:space="0" w:color="000000"/>
              <w:right w:val="single" w:sz="6" w:space="0" w:color="000000"/>
            </w:tcBorders>
            <w:vAlign w:val="center"/>
          </w:tcPr>
          <w:p w14:paraId="7F6C143D" w14:textId="77777777" w:rsidR="007D706A" w:rsidRDefault="007D706A" w:rsidP="00F70508">
            <w:pPr>
              <w:pStyle w:val="ParagraphStyle12"/>
              <w:rPr>
                <w:rStyle w:val="CharacterStyle12"/>
              </w:rPr>
            </w:pPr>
            <w:r>
              <w:rPr>
                <w:rStyle w:val="CharacterStyle12"/>
              </w:rPr>
              <w:t>450,00</w:t>
            </w:r>
          </w:p>
        </w:tc>
        <w:tc>
          <w:tcPr>
            <w:tcW w:w="1395" w:type="dxa"/>
            <w:tcBorders>
              <w:bottom w:val="single" w:sz="6" w:space="0" w:color="000000"/>
              <w:right w:val="single" w:sz="6" w:space="0" w:color="000000"/>
            </w:tcBorders>
            <w:vAlign w:val="center"/>
          </w:tcPr>
          <w:p w14:paraId="70515EC5" w14:textId="77777777" w:rsidR="007D706A" w:rsidRDefault="007D706A" w:rsidP="00F70508">
            <w:pPr>
              <w:pStyle w:val="ParagraphStyle12"/>
              <w:rPr>
                <w:rStyle w:val="CharacterStyle12"/>
              </w:rPr>
            </w:pPr>
            <w:r>
              <w:rPr>
                <w:rStyle w:val="CharacterStyle12"/>
              </w:rPr>
              <w:t>500,00</w:t>
            </w:r>
          </w:p>
        </w:tc>
        <w:tc>
          <w:tcPr>
            <w:tcW w:w="1395" w:type="dxa"/>
            <w:tcBorders>
              <w:bottom w:val="single" w:sz="6" w:space="0" w:color="000000"/>
              <w:right w:val="single" w:sz="6" w:space="0" w:color="000000"/>
            </w:tcBorders>
            <w:vAlign w:val="center"/>
          </w:tcPr>
          <w:p w14:paraId="7CAD9A15" w14:textId="77777777" w:rsidR="007D706A" w:rsidRDefault="007D706A" w:rsidP="00F70508">
            <w:pPr>
              <w:pStyle w:val="ParagraphStyle12"/>
              <w:rPr>
                <w:rStyle w:val="CharacterStyle12"/>
              </w:rPr>
            </w:pPr>
            <w:r>
              <w:rPr>
                <w:rStyle w:val="CharacterStyle12"/>
              </w:rPr>
              <w:t>500,00</w:t>
            </w:r>
          </w:p>
        </w:tc>
      </w:tr>
      <w:tr w:rsidR="007D706A" w14:paraId="13EB3E6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A151D4C"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2711D85C"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72A5FC8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4D62009" w14:textId="77777777" w:rsidR="007D706A" w:rsidRDefault="007D706A" w:rsidP="00F70508">
            <w:pPr>
              <w:pStyle w:val="ParagraphStyle12"/>
              <w:rPr>
                <w:rStyle w:val="CharacterStyle12"/>
              </w:rPr>
            </w:pPr>
            <w:r>
              <w:rPr>
                <w:rStyle w:val="CharacterStyle12"/>
              </w:rPr>
              <w:t>750,00</w:t>
            </w:r>
          </w:p>
        </w:tc>
        <w:tc>
          <w:tcPr>
            <w:tcW w:w="1395" w:type="dxa"/>
            <w:tcBorders>
              <w:bottom w:val="single" w:sz="6" w:space="0" w:color="000000"/>
              <w:right w:val="single" w:sz="6" w:space="0" w:color="000000"/>
            </w:tcBorders>
            <w:vAlign w:val="center"/>
          </w:tcPr>
          <w:p w14:paraId="0597D450" w14:textId="77777777" w:rsidR="007D706A" w:rsidRDefault="007D706A" w:rsidP="00F70508">
            <w:pPr>
              <w:pStyle w:val="ParagraphStyle12"/>
              <w:rPr>
                <w:rStyle w:val="CharacterStyle12"/>
              </w:rPr>
            </w:pPr>
            <w:r>
              <w:rPr>
                <w:rStyle w:val="CharacterStyle12"/>
              </w:rPr>
              <w:t>1.000,00</w:t>
            </w:r>
          </w:p>
        </w:tc>
        <w:tc>
          <w:tcPr>
            <w:tcW w:w="1395" w:type="dxa"/>
            <w:tcBorders>
              <w:bottom w:val="single" w:sz="6" w:space="0" w:color="000000"/>
              <w:right w:val="single" w:sz="6" w:space="0" w:color="000000"/>
            </w:tcBorders>
            <w:vAlign w:val="center"/>
          </w:tcPr>
          <w:p w14:paraId="2CB8A8C7" w14:textId="77777777" w:rsidR="007D706A" w:rsidRDefault="007D706A" w:rsidP="00F70508">
            <w:pPr>
              <w:pStyle w:val="ParagraphStyle12"/>
              <w:rPr>
                <w:rStyle w:val="CharacterStyle12"/>
              </w:rPr>
            </w:pPr>
            <w:r>
              <w:rPr>
                <w:rStyle w:val="CharacterStyle12"/>
              </w:rPr>
              <w:t>2.000,00</w:t>
            </w:r>
          </w:p>
        </w:tc>
        <w:tc>
          <w:tcPr>
            <w:tcW w:w="1395" w:type="dxa"/>
            <w:tcBorders>
              <w:bottom w:val="single" w:sz="6" w:space="0" w:color="000000"/>
              <w:right w:val="single" w:sz="6" w:space="0" w:color="000000"/>
            </w:tcBorders>
            <w:vAlign w:val="center"/>
          </w:tcPr>
          <w:p w14:paraId="432F981C" w14:textId="77777777" w:rsidR="007D706A" w:rsidRDefault="007D706A" w:rsidP="00F70508">
            <w:pPr>
              <w:pStyle w:val="ParagraphStyle12"/>
              <w:rPr>
                <w:rStyle w:val="CharacterStyle12"/>
              </w:rPr>
            </w:pPr>
            <w:r>
              <w:rPr>
                <w:rStyle w:val="CharacterStyle12"/>
              </w:rPr>
              <w:t>2.000,00</w:t>
            </w:r>
          </w:p>
        </w:tc>
      </w:tr>
      <w:tr w:rsidR="007D706A" w14:paraId="5536BF8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2C56276" w14:textId="77777777" w:rsidR="007D706A" w:rsidRDefault="007D706A" w:rsidP="00F70508">
            <w:pPr>
              <w:pStyle w:val="ParagraphStyle10"/>
              <w:rPr>
                <w:rStyle w:val="CharacterStyle10"/>
              </w:rPr>
            </w:pPr>
            <w:r>
              <w:rPr>
                <w:rStyle w:val="CharacterStyle10"/>
              </w:rPr>
              <w:t>42</w:t>
            </w:r>
          </w:p>
        </w:tc>
        <w:tc>
          <w:tcPr>
            <w:tcW w:w="4995" w:type="dxa"/>
            <w:tcBorders>
              <w:bottom w:val="single" w:sz="6" w:space="0" w:color="000000"/>
              <w:right w:val="single" w:sz="6" w:space="0" w:color="000000"/>
            </w:tcBorders>
            <w:vAlign w:val="center"/>
          </w:tcPr>
          <w:p w14:paraId="295F246E"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4205687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484F178" w14:textId="77777777" w:rsidR="007D706A" w:rsidRDefault="007D706A" w:rsidP="00F70508">
            <w:pPr>
              <w:pStyle w:val="ParagraphStyle12"/>
              <w:rPr>
                <w:rStyle w:val="CharacterStyle12"/>
              </w:rPr>
            </w:pPr>
            <w:r>
              <w:rPr>
                <w:rStyle w:val="CharacterStyle12"/>
              </w:rPr>
              <w:t>750,00</w:t>
            </w:r>
          </w:p>
        </w:tc>
        <w:tc>
          <w:tcPr>
            <w:tcW w:w="1395" w:type="dxa"/>
            <w:tcBorders>
              <w:bottom w:val="single" w:sz="6" w:space="0" w:color="000000"/>
              <w:right w:val="single" w:sz="6" w:space="0" w:color="000000"/>
            </w:tcBorders>
            <w:vAlign w:val="center"/>
          </w:tcPr>
          <w:p w14:paraId="5B3085CC" w14:textId="77777777" w:rsidR="007D706A" w:rsidRDefault="007D706A" w:rsidP="00F70508">
            <w:pPr>
              <w:pStyle w:val="ParagraphStyle12"/>
              <w:rPr>
                <w:rStyle w:val="CharacterStyle12"/>
              </w:rPr>
            </w:pPr>
            <w:r>
              <w:rPr>
                <w:rStyle w:val="CharacterStyle12"/>
              </w:rPr>
              <w:t>1.000,00</w:t>
            </w:r>
          </w:p>
        </w:tc>
        <w:tc>
          <w:tcPr>
            <w:tcW w:w="1395" w:type="dxa"/>
            <w:tcBorders>
              <w:bottom w:val="single" w:sz="6" w:space="0" w:color="000000"/>
              <w:right w:val="single" w:sz="6" w:space="0" w:color="000000"/>
            </w:tcBorders>
            <w:vAlign w:val="center"/>
          </w:tcPr>
          <w:p w14:paraId="6F89D0F4" w14:textId="77777777" w:rsidR="007D706A" w:rsidRDefault="007D706A" w:rsidP="00F70508">
            <w:pPr>
              <w:pStyle w:val="ParagraphStyle12"/>
              <w:rPr>
                <w:rStyle w:val="CharacterStyle12"/>
              </w:rPr>
            </w:pPr>
            <w:r>
              <w:rPr>
                <w:rStyle w:val="CharacterStyle12"/>
              </w:rPr>
              <w:t>2.000,00</w:t>
            </w:r>
          </w:p>
        </w:tc>
        <w:tc>
          <w:tcPr>
            <w:tcW w:w="1395" w:type="dxa"/>
            <w:tcBorders>
              <w:bottom w:val="single" w:sz="6" w:space="0" w:color="000000"/>
              <w:right w:val="single" w:sz="6" w:space="0" w:color="000000"/>
            </w:tcBorders>
            <w:vAlign w:val="center"/>
          </w:tcPr>
          <w:p w14:paraId="1522056C" w14:textId="77777777" w:rsidR="007D706A" w:rsidRDefault="007D706A" w:rsidP="00F70508">
            <w:pPr>
              <w:pStyle w:val="ParagraphStyle12"/>
              <w:rPr>
                <w:rStyle w:val="CharacterStyle12"/>
              </w:rPr>
            </w:pPr>
            <w:r>
              <w:rPr>
                <w:rStyle w:val="CharacterStyle12"/>
              </w:rPr>
              <w:t>2.000,00</w:t>
            </w:r>
          </w:p>
        </w:tc>
      </w:tr>
      <w:tr w:rsidR="007D706A" w14:paraId="3DFB7E2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05F4A5B" w14:textId="77777777" w:rsidR="007D706A" w:rsidRDefault="007D706A" w:rsidP="00F70508">
            <w:pPr>
              <w:pStyle w:val="ParagraphStyle7"/>
              <w:rPr>
                <w:rStyle w:val="CharacterStyle7"/>
              </w:rPr>
            </w:pPr>
            <w:r>
              <w:rPr>
                <w:rStyle w:val="CharacterStyle7"/>
              </w:rPr>
              <w:t>Izvor financiranja 31</w:t>
            </w:r>
          </w:p>
        </w:tc>
        <w:tc>
          <w:tcPr>
            <w:tcW w:w="4995" w:type="dxa"/>
            <w:tcBorders>
              <w:bottom w:val="single" w:sz="6" w:space="0" w:color="000000"/>
              <w:right w:val="single" w:sz="6" w:space="0" w:color="000000"/>
            </w:tcBorders>
            <w:vAlign w:val="center"/>
          </w:tcPr>
          <w:p w14:paraId="52B45F7F" w14:textId="77777777" w:rsidR="007D706A" w:rsidRDefault="007D706A" w:rsidP="00F70508">
            <w:pPr>
              <w:pStyle w:val="ParagraphStyle8"/>
              <w:rPr>
                <w:rStyle w:val="CharacterStyle8"/>
              </w:rPr>
            </w:pPr>
            <w:r>
              <w:rPr>
                <w:rStyle w:val="CharacterStyle8"/>
              </w:rPr>
              <w:t>Vlastiti prihodi</w:t>
            </w:r>
          </w:p>
        </w:tc>
        <w:tc>
          <w:tcPr>
            <w:tcW w:w="1395" w:type="dxa"/>
            <w:tcBorders>
              <w:bottom w:val="single" w:sz="6" w:space="0" w:color="000000"/>
              <w:right w:val="single" w:sz="6" w:space="0" w:color="000000"/>
            </w:tcBorders>
            <w:vAlign w:val="center"/>
          </w:tcPr>
          <w:p w14:paraId="6CC06E31"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D502C96" w14:textId="77777777" w:rsidR="007D706A" w:rsidRDefault="007D706A" w:rsidP="00F70508">
            <w:pPr>
              <w:pStyle w:val="ParagraphStyle9"/>
              <w:rPr>
                <w:rStyle w:val="CharacterStyle9"/>
              </w:rPr>
            </w:pPr>
            <w:r>
              <w:rPr>
                <w:rStyle w:val="CharacterStyle9"/>
              </w:rPr>
              <w:t>1.700,00</w:t>
            </w:r>
          </w:p>
        </w:tc>
        <w:tc>
          <w:tcPr>
            <w:tcW w:w="1395" w:type="dxa"/>
            <w:tcBorders>
              <w:bottom w:val="single" w:sz="6" w:space="0" w:color="000000"/>
              <w:right w:val="single" w:sz="6" w:space="0" w:color="000000"/>
            </w:tcBorders>
            <w:vAlign w:val="center"/>
          </w:tcPr>
          <w:p w14:paraId="77CB47C9" w14:textId="77777777" w:rsidR="007D706A" w:rsidRDefault="007D706A" w:rsidP="00F70508">
            <w:pPr>
              <w:pStyle w:val="ParagraphStyle9"/>
              <w:rPr>
                <w:rStyle w:val="CharacterStyle9"/>
              </w:rPr>
            </w:pPr>
            <w:r>
              <w:rPr>
                <w:rStyle w:val="CharacterStyle9"/>
              </w:rPr>
              <w:t>3.800,00</w:t>
            </w:r>
          </w:p>
        </w:tc>
        <w:tc>
          <w:tcPr>
            <w:tcW w:w="1395" w:type="dxa"/>
            <w:tcBorders>
              <w:bottom w:val="single" w:sz="6" w:space="0" w:color="000000"/>
              <w:right w:val="single" w:sz="6" w:space="0" w:color="000000"/>
            </w:tcBorders>
            <w:vAlign w:val="center"/>
          </w:tcPr>
          <w:p w14:paraId="4C8DED4B" w14:textId="77777777" w:rsidR="007D706A" w:rsidRDefault="007D706A" w:rsidP="00F70508">
            <w:pPr>
              <w:pStyle w:val="ParagraphStyle9"/>
              <w:rPr>
                <w:rStyle w:val="CharacterStyle9"/>
              </w:rPr>
            </w:pPr>
            <w:r>
              <w:rPr>
                <w:rStyle w:val="CharacterStyle9"/>
              </w:rPr>
              <w:t>1.100,00</w:t>
            </w:r>
          </w:p>
        </w:tc>
        <w:tc>
          <w:tcPr>
            <w:tcW w:w="1395" w:type="dxa"/>
            <w:tcBorders>
              <w:bottom w:val="single" w:sz="6" w:space="0" w:color="000000"/>
              <w:right w:val="single" w:sz="6" w:space="0" w:color="000000"/>
            </w:tcBorders>
            <w:vAlign w:val="center"/>
          </w:tcPr>
          <w:p w14:paraId="7BD53913" w14:textId="77777777" w:rsidR="007D706A" w:rsidRDefault="007D706A" w:rsidP="00F70508">
            <w:pPr>
              <w:pStyle w:val="ParagraphStyle9"/>
              <w:rPr>
                <w:rStyle w:val="CharacterStyle9"/>
              </w:rPr>
            </w:pPr>
            <w:r>
              <w:rPr>
                <w:rStyle w:val="CharacterStyle9"/>
              </w:rPr>
              <w:t>1.100,00</w:t>
            </w:r>
          </w:p>
        </w:tc>
      </w:tr>
      <w:tr w:rsidR="007D706A" w14:paraId="3729982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4232F2D"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04D5B41B"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156B32D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C8B5E4B" w14:textId="77777777" w:rsidR="007D706A" w:rsidRDefault="007D706A" w:rsidP="00F70508">
            <w:pPr>
              <w:pStyle w:val="ParagraphStyle12"/>
              <w:rPr>
                <w:rStyle w:val="CharacterStyle12"/>
              </w:rPr>
            </w:pPr>
            <w:r>
              <w:rPr>
                <w:rStyle w:val="CharacterStyle12"/>
              </w:rPr>
              <w:t>1.500,00</w:t>
            </w:r>
          </w:p>
        </w:tc>
        <w:tc>
          <w:tcPr>
            <w:tcW w:w="1395" w:type="dxa"/>
            <w:tcBorders>
              <w:bottom w:val="single" w:sz="6" w:space="0" w:color="000000"/>
              <w:right w:val="single" w:sz="6" w:space="0" w:color="000000"/>
            </w:tcBorders>
            <w:vAlign w:val="center"/>
          </w:tcPr>
          <w:p w14:paraId="19AD2F73" w14:textId="77777777" w:rsidR="007D706A" w:rsidRDefault="007D706A" w:rsidP="00F70508">
            <w:pPr>
              <w:pStyle w:val="ParagraphStyle12"/>
              <w:rPr>
                <w:rStyle w:val="CharacterStyle12"/>
              </w:rPr>
            </w:pPr>
            <w:r>
              <w:rPr>
                <w:rStyle w:val="CharacterStyle12"/>
              </w:rPr>
              <w:t>3.300,00</w:t>
            </w:r>
          </w:p>
        </w:tc>
        <w:tc>
          <w:tcPr>
            <w:tcW w:w="1395" w:type="dxa"/>
            <w:tcBorders>
              <w:bottom w:val="single" w:sz="6" w:space="0" w:color="000000"/>
              <w:right w:val="single" w:sz="6" w:space="0" w:color="000000"/>
            </w:tcBorders>
            <w:vAlign w:val="center"/>
          </w:tcPr>
          <w:p w14:paraId="24021E34" w14:textId="77777777" w:rsidR="007D706A" w:rsidRDefault="007D706A" w:rsidP="00F70508">
            <w:pPr>
              <w:pStyle w:val="ParagraphStyle12"/>
              <w:rPr>
                <w:rStyle w:val="CharacterStyle12"/>
              </w:rPr>
            </w:pPr>
            <w:r>
              <w:rPr>
                <w:rStyle w:val="CharacterStyle12"/>
              </w:rPr>
              <w:t>1.100,00</w:t>
            </w:r>
          </w:p>
        </w:tc>
        <w:tc>
          <w:tcPr>
            <w:tcW w:w="1395" w:type="dxa"/>
            <w:tcBorders>
              <w:bottom w:val="single" w:sz="6" w:space="0" w:color="000000"/>
              <w:right w:val="single" w:sz="6" w:space="0" w:color="000000"/>
            </w:tcBorders>
            <w:vAlign w:val="center"/>
          </w:tcPr>
          <w:p w14:paraId="004D790D" w14:textId="77777777" w:rsidR="007D706A" w:rsidRDefault="007D706A" w:rsidP="00F70508">
            <w:pPr>
              <w:pStyle w:val="ParagraphStyle12"/>
              <w:rPr>
                <w:rStyle w:val="CharacterStyle12"/>
              </w:rPr>
            </w:pPr>
            <w:r>
              <w:rPr>
                <w:rStyle w:val="CharacterStyle12"/>
              </w:rPr>
              <w:t>1.100,00</w:t>
            </w:r>
          </w:p>
        </w:tc>
      </w:tr>
      <w:tr w:rsidR="007D706A" w14:paraId="4B338ED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1BDEA81"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7DDA27C8"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35352A7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3AA7549" w14:textId="77777777" w:rsidR="007D706A" w:rsidRDefault="007D706A" w:rsidP="00F70508">
            <w:pPr>
              <w:pStyle w:val="ParagraphStyle12"/>
              <w:rPr>
                <w:rStyle w:val="CharacterStyle12"/>
              </w:rPr>
            </w:pPr>
            <w:r>
              <w:rPr>
                <w:rStyle w:val="CharacterStyle12"/>
              </w:rPr>
              <w:t>1.500,00</w:t>
            </w:r>
          </w:p>
        </w:tc>
        <w:tc>
          <w:tcPr>
            <w:tcW w:w="1395" w:type="dxa"/>
            <w:tcBorders>
              <w:bottom w:val="single" w:sz="6" w:space="0" w:color="000000"/>
              <w:right w:val="single" w:sz="6" w:space="0" w:color="000000"/>
            </w:tcBorders>
            <w:vAlign w:val="center"/>
          </w:tcPr>
          <w:p w14:paraId="4D6266DB" w14:textId="77777777" w:rsidR="007D706A" w:rsidRDefault="007D706A" w:rsidP="00F70508">
            <w:pPr>
              <w:pStyle w:val="ParagraphStyle12"/>
              <w:rPr>
                <w:rStyle w:val="CharacterStyle12"/>
              </w:rPr>
            </w:pPr>
            <w:r>
              <w:rPr>
                <w:rStyle w:val="CharacterStyle12"/>
              </w:rPr>
              <w:t>3.200,00</w:t>
            </w:r>
          </w:p>
        </w:tc>
        <w:tc>
          <w:tcPr>
            <w:tcW w:w="1395" w:type="dxa"/>
            <w:tcBorders>
              <w:bottom w:val="single" w:sz="6" w:space="0" w:color="000000"/>
              <w:right w:val="single" w:sz="6" w:space="0" w:color="000000"/>
            </w:tcBorders>
            <w:vAlign w:val="center"/>
          </w:tcPr>
          <w:p w14:paraId="5310CAA1" w14:textId="77777777" w:rsidR="007D706A" w:rsidRDefault="007D706A" w:rsidP="00F70508">
            <w:pPr>
              <w:pStyle w:val="ParagraphStyle12"/>
              <w:rPr>
                <w:rStyle w:val="CharacterStyle12"/>
              </w:rPr>
            </w:pPr>
            <w:r>
              <w:rPr>
                <w:rStyle w:val="CharacterStyle12"/>
              </w:rPr>
              <w:t>1.000,00</w:t>
            </w:r>
          </w:p>
        </w:tc>
        <w:tc>
          <w:tcPr>
            <w:tcW w:w="1395" w:type="dxa"/>
            <w:tcBorders>
              <w:bottom w:val="single" w:sz="6" w:space="0" w:color="000000"/>
              <w:right w:val="single" w:sz="6" w:space="0" w:color="000000"/>
            </w:tcBorders>
            <w:vAlign w:val="center"/>
          </w:tcPr>
          <w:p w14:paraId="463A71FB" w14:textId="77777777" w:rsidR="007D706A" w:rsidRDefault="007D706A" w:rsidP="00F70508">
            <w:pPr>
              <w:pStyle w:val="ParagraphStyle12"/>
              <w:rPr>
                <w:rStyle w:val="CharacterStyle12"/>
              </w:rPr>
            </w:pPr>
            <w:r>
              <w:rPr>
                <w:rStyle w:val="CharacterStyle12"/>
              </w:rPr>
              <w:t>1.000,00</w:t>
            </w:r>
          </w:p>
        </w:tc>
      </w:tr>
      <w:tr w:rsidR="007D706A" w14:paraId="24670D3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3FA993B" w14:textId="77777777" w:rsidR="007D706A" w:rsidRDefault="007D706A" w:rsidP="00F70508">
            <w:pPr>
              <w:pStyle w:val="ParagraphStyle10"/>
              <w:rPr>
                <w:rStyle w:val="CharacterStyle10"/>
              </w:rPr>
            </w:pPr>
            <w:r>
              <w:rPr>
                <w:rStyle w:val="CharacterStyle10"/>
              </w:rPr>
              <w:t>34</w:t>
            </w:r>
          </w:p>
        </w:tc>
        <w:tc>
          <w:tcPr>
            <w:tcW w:w="4995" w:type="dxa"/>
            <w:tcBorders>
              <w:bottom w:val="single" w:sz="6" w:space="0" w:color="000000"/>
              <w:right w:val="single" w:sz="6" w:space="0" w:color="000000"/>
            </w:tcBorders>
            <w:vAlign w:val="center"/>
          </w:tcPr>
          <w:p w14:paraId="0FD533D8" w14:textId="77777777" w:rsidR="007D706A" w:rsidRDefault="007D706A" w:rsidP="00F70508">
            <w:pPr>
              <w:pStyle w:val="ParagraphStyle11"/>
              <w:rPr>
                <w:rStyle w:val="CharacterStyle11"/>
              </w:rPr>
            </w:pPr>
            <w:r>
              <w:rPr>
                <w:rStyle w:val="CharacterStyle11"/>
              </w:rPr>
              <w:t>Financijski rashodi</w:t>
            </w:r>
          </w:p>
        </w:tc>
        <w:tc>
          <w:tcPr>
            <w:tcW w:w="1395" w:type="dxa"/>
            <w:tcBorders>
              <w:bottom w:val="single" w:sz="6" w:space="0" w:color="000000"/>
              <w:right w:val="single" w:sz="6" w:space="0" w:color="000000"/>
            </w:tcBorders>
            <w:vAlign w:val="center"/>
          </w:tcPr>
          <w:p w14:paraId="01329CE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DBAA6B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C9B3916" w14:textId="77777777" w:rsidR="007D706A" w:rsidRDefault="007D706A" w:rsidP="00F70508">
            <w:pPr>
              <w:pStyle w:val="ParagraphStyle12"/>
              <w:rPr>
                <w:rStyle w:val="CharacterStyle12"/>
              </w:rPr>
            </w:pPr>
            <w:r>
              <w:rPr>
                <w:rStyle w:val="CharacterStyle12"/>
              </w:rPr>
              <w:t>100,00</w:t>
            </w:r>
          </w:p>
        </w:tc>
        <w:tc>
          <w:tcPr>
            <w:tcW w:w="1395" w:type="dxa"/>
            <w:tcBorders>
              <w:bottom w:val="single" w:sz="6" w:space="0" w:color="000000"/>
              <w:right w:val="single" w:sz="6" w:space="0" w:color="000000"/>
            </w:tcBorders>
            <w:vAlign w:val="center"/>
          </w:tcPr>
          <w:p w14:paraId="79E9EE92" w14:textId="77777777" w:rsidR="007D706A" w:rsidRDefault="007D706A" w:rsidP="00F70508">
            <w:pPr>
              <w:pStyle w:val="ParagraphStyle12"/>
              <w:rPr>
                <w:rStyle w:val="CharacterStyle12"/>
              </w:rPr>
            </w:pPr>
            <w:r>
              <w:rPr>
                <w:rStyle w:val="CharacterStyle12"/>
              </w:rPr>
              <w:t>100,00</w:t>
            </w:r>
          </w:p>
        </w:tc>
        <w:tc>
          <w:tcPr>
            <w:tcW w:w="1395" w:type="dxa"/>
            <w:tcBorders>
              <w:bottom w:val="single" w:sz="6" w:space="0" w:color="000000"/>
              <w:right w:val="single" w:sz="6" w:space="0" w:color="000000"/>
            </w:tcBorders>
            <w:vAlign w:val="center"/>
          </w:tcPr>
          <w:p w14:paraId="1E725D03" w14:textId="77777777" w:rsidR="007D706A" w:rsidRDefault="007D706A" w:rsidP="00F70508">
            <w:pPr>
              <w:pStyle w:val="ParagraphStyle12"/>
              <w:rPr>
                <w:rStyle w:val="CharacterStyle12"/>
              </w:rPr>
            </w:pPr>
            <w:r>
              <w:rPr>
                <w:rStyle w:val="CharacterStyle12"/>
              </w:rPr>
              <w:t>100,00</w:t>
            </w:r>
          </w:p>
        </w:tc>
      </w:tr>
      <w:tr w:rsidR="007D706A" w14:paraId="35063E8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073AC23"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109F7F6D"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51E841B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62E6133" w14:textId="77777777" w:rsidR="007D706A" w:rsidRDefault="007D706A" w:rsidP="00F70508">
            <w:pPr>
              <w:pStyle w:val="ParagraphStyle12"/>
              <w:rPr>
                <w:rStyle w:val="CharacterStyle12"/>
              </w:rPr>
            </w:pPr>
            <w:r>
              <w:rPr>
                <w:rStyle w:val="CharacterStyle12"/>
              </w:rPr>
              <w:t>200,00</w:t>
            </w:r>
          </w:p>
        </w:tc>
        <w:tc>
          <w:tcPr>
            <w:tcW w:w="1395" w:type="dxa"/>
            <w:tcBorders>
              <w:bottom w:val="single" w:sz="6" w:space="0" w:color="000000"/>
              <w:right w:val="single" w:sz="6" w:space="0" w:color="000000"/>
            </w:tcBorders>
            <w:vAlign w:val="center"/>
          </w:tcPr>
          <w:p w14:paraId="4C53B931" w14:textId="77777777" w:rsidR="007D706A" w:rsidRDefault="007D706A" w:rsidP="00F70508">
            <w:pPr>
              <w:pStyle w:val="ParagraphStyle12"/>
              <w:rPr>
                <w:rStyle w:val="CharacterStyle12"/>
              </w:rPr>
            </w:pPr>
            <w:r>
              <w:rPr>
                <w:rStyle w:val="CharacterStyle12"/>
              </w:rPr>
              <w:t>500,00</w:t>
            </w:r>
          </w:p>
        </w:tc>
        <w:tc>
          <w:tcPr>
            <w:tcW w:w="1395" w:type="dxa"/>
            <w:tcBorders>
              <w:bottom w:val="single" w:sz="6" w:space="0" w:color="000000"/>
              <w:right w:val="single" w:sz="6" w:space="0" w:color="000000"/>
            </w:tcBorders>
            <w:vAlign w:val="center"/>
          </w:tcPr>
          <w:p w14:paraId="42F47A9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80F10DA" w14:textId="77777777" w:rsidR="007D706A" w:rsidRDefault="007D706A" w:rsidP="00F70508">
            <w:pPr>
              <w:pStyle w:val="ParagraphStyle12"/>
              <w:rPr>
                <w:rStyle w:val="CharacterStyle12"/>
              </w:rPr>
            </w:pPr>
            <w:r>
              <w:rPr>
                <w:rStyle w:val="CharacterStyle12"/>
              </w:rPr>
              <w:t>0,00</w:t>
            </w:r>
          </w:p>
        </w:tc>
      </w:tr>
      <w:tr w:rsidR="007D706A" w14:paraId="3C55DBF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B9AB2BD" w14:textId="77777777" w:rsidR="007D706A" w:rsidRDefault="007D706A" w:rsidP="00F70508">
            <w:pPr>
              <w:pStyle w:val="ParagraphStyle10"/>
              <w:rPr>
                <w:rStyle w:val="CharacterStyle10"/>
              </w:rPr>
            </w:pPr>
            <w:r>
              <w:rPr>
                <w:rStyle w:val="CharacterStyle10"/>
              </w:rPr>
              <w:t>42</w:t>
            </w:r>
          </w:p>
        </w:tc>
        <w:tc>
          <w:tcPr>
            <w:tcW w:w="4995" w:type="dxa"/>
            <w:tcBorders>
              <w:bottom w:val="single" w:sz="6" w:space="0" w:color="000000"/>
              <w:right w:val="single" w:sz="6" w:space="0" w:color="000000"/>
            </w:tcBorders>
            <w:vAlign w:val="center"/>
          </w:tcPr>
          <w:p w14:paraId="08C7DEBF"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76B8EFF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FD9F759" w14:textId="77777777" w:rsidR="007D706A" w:rsidRDefault="007D706A" w:rsidP="00F70508">
            <w:pPr>
              <w:pStyle w:val="ParagraphStyle12"/>
              <w:rPr>
                <w:rStyle w:val="CharacterStyle12"/>
              </w:rPr>
            </w:pPr>
            <w:r>
              <w:rPr>
                <w:rStyle w:val="CharacterStyle12"/>
              </w:rPr>
              <w:t>200,00</w:t>
            </w:r>
          </w:p>
        </w:tc>
        <w:tc>
          <w:tcPr>
            <w:tcW w:w="1395" w:type="dxa"/>
            <w:tcBorders>
              <w:bottom w:val="single" w:sz="6" w:space="0" w:color="000000"/>
              <w:right w:val="single" w:sz="6" w:space="0" w:color="000000"/>
            </w:tcBorders>
            <w:vAlign w:val="center"/>
          </w:tcPr>
          <w:p w14:paraId="57F2E27A" w14:textId="77777777" w:rsidR="007D706A" w:rsidRDefault="007D706A" w:rsidP="00F70508">
            <w:pPr>
              <w:pStyle w:val="ParagraphStyle12"/>
              <w:rPr>
                <w:rStyle w:val="CharacterStyle12"/>
              </w:rPr>
            </w:pPr>
            <w:r>
              <w:rPr>
                <w:rStyle w:val="CharacterStyle12"/>
              </w:rPr>
              <w:t>500,00</w:t>
            </w:r>
          </w:p>
        </w:tc>
        <w:tc>
          <w:tcPr>
            <w:tcW w:w="1395" w:type="dxa"/>
            <w:tcBorders>
              <w:bottom w:val="single" w:sz="6" w:space="0" w:color="000000"/>
              <w:right w:val="single" w:sz="6" w:space="0" w:color="000000"/>
            </w:tcBorders>
            <w:vAlign w:val="center"/>
          </w:tcPr>
          <w:p w14:paraId="1BE757A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51AB31B" w14:textId="77777777" w:rsidR="007D706A" w:rsidRDefault="007D706A" w:rsidP="00F70508">
            <w:pPr>
              <w:pStyle w:val="ParagraphStyle12"/>
              <w:rPr>
                <w:rStyle w:val="CharacterStyle12"/>
              </w:rPr>
            </w:pPr>
            <w:r>
              <w:rPr>
                <w:rStyle w:val="CharacterStyle12"/>
              </w:rPr>
              <w:t>0,00</w:t>
            </w:r>
          </w:p>
        </w:tc>
      </w:tr>
      <w:tr w:rsidR="007D706A" w14:paraId="068A7BE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4E36AD1" w14:textId="77777777" w:rsidR="007D706A" w:rsidRDefault="007D706A" w:rsidP="00F70508">
            <w:pPr>
              <w:pStyle w:val="ParagraphStyle7"/>
              <w:rPr>
                <w:rStyle w:val="CharacterStyle7"/>
              </w:rPr>
            </w:pPr>
            <w:r>
              <w:rPr>
                <w:rStyle w:val="CharacterStyle7"/>
              </w:rPr>
              <w:t>Izvor financiranja 41</w:t>
            </w:r>
          </w:p>
        </w:tc>
        <w:tc>
          <w:tcPr>
            <w:tcW w:w="4995" w:type="dxa"/>
            <w:tcBorders>
              <w:bottom w:val="single" w:sz="6" w:space="0" w:color="000000"/>
              <w:right w:val="single" w:sz="6" w:space="0" w:color="000000"/>
            </w:tcBorders>
            <w:vAlign w:val="center"/>
          </w:tcPr>
          <w:p w14:paraId="6385AB97" w14:textId="77777777" w:rsidR="007D706A" w:rsidRDefault="007D706A" w:rsidP="00F70508">
            <w:pPr>
              <w:pStyle w:val="ParagraphStyle8"/>
              <w:rPr>
                <w:rStyle w:val="CharacterStyle8"/>
              </w:rPr>
            </w:pPr>
            <w:r>
              <w:rPr>
                <w:rStyle w:val="CharacterStyle8"/>
              </w:rPr>
              <w:t>Prihodi za posebne namjene</w:t>
            </w:r>
          </w:p>
        </w:tc>
        <w:tc>
          <w:tcPr>
            <w:tcW w:w="1395" w:type="dxa"/>
            <w:tcBorders>
              <w:bottom w:val="single" w:sz="6" w:space="0" w:color="000000"/>
              <w:right w:val="single" w:sz="6" w:space="0" w:color="000000"/>
            </w:tcBorders>
            <w:vAlign w:val="center"/>
          </w:tcPr>
          <w:p w14:paraId="1A14ADA1"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655B0F0" w14:textId="77777777" w:rsidR="007D706A" w:rsidRDefault="007D706A" w:rsidP="00F70508">
            <w:pPr>
              <w:pStyle w:val="ParagraphStyle9"/>
              <w:rPr>
                <w:rStyle w:val="CharacterStyle9"/>
              </w:rPr>
            </w:pPr>
            <w:r>
              <w:rPr>
                <w:rStyle w:val="CharacterStyle9"/>
              </w:rPr>
              <w:t>2.000,00</w:t>
            </w:r>
          </w:p>
        </w:tc>
        <w:tc>
          <w:tcPr>
            <w:tcW w:w="1395" w:type="dxa"/>
            <w:tcBorders>
              <w:bottom w:val="single" w:sz="6" w:space="0" w:color="000000"/>
              <w:right w:val="single" w:sz="6" w:space="0" w:color="000000"/>
            </w:tcBorders>
            <w:vAlign w:val="center"/>
          </w:tcPr>
          <w:p w14:paraId="4071AA8C"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3A8A203"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75C2F2B" w14:textId="77777777" w:rsidR="007D706A" w:rsidRDefault="007D706A" w:rsidP="00F70508">
            <w:pPr>
              <w:pStyle w:val="ParagraphStyle9"/>
              <w:rPr>
                <w:rStyle w:val="CharacterStyle9"/>
              </w:rPr>
            </w:pPr>
            <w:r>
              <w:rPr>
                <w:rStyle w:val="CharacterStyle9"/>
              </w:rPr>
              <w:t>0,00</w:t>
            </w:r>
          </w:p>
        </w:tc>
      </w:tr>
      <w:tr w:rsidR="007D706A" w14:paraId="5266832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9C053B8"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3258648E"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0416639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9F7870C" w14:textId="77777777" w:rsidR="007D706A" w:rsidRDefault="007D706A" w:rsidP="00F70508">
            <w:pPr>
              <w:pStyle w:val="ParagraphStyle12"/>
              <w:rPr>
                <w:rStyle w:val="CharacterStyle12"/>
              </w:rPr>
            </w:pPr>
            <w:r>
              <w:rPr>
                <w:rStyle w:val="CharacterStyle12"/>
              </w:rPr>
              <w:t>2.000,00</w:t>
            </w:r>
          </w:p>
        </w:tc>
        <w:tc>
          <w:tcPr>
            <w:tcW w:w="1395" w:type="dxa"/>
            <w:tcBorders>
              <w:bottom w:val="single" w:sz="6" w:space="0" w:color="000000"/>
              <w:right w:val="single" w:sz="6" w:space="0" w:color="000000"/>
            </w:tcBorders>
            <w:vAlign w:val="center"/>
          </w:tcPr>
          <w:p w14:paraId="5804C67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A3F1E7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280CDDD" w14:textId="77777777" w:rsidR="007D706A" w:rsidRDefault="007D706A" w:rsidP="00F70508">
            <w:pPr>
              <w:pStyle w:val="ParagraphStyle12"/>
              <w:rPr>
                <w:rStyle w:val="CharacterStyle12"/>
              </w:rPr>
            </w:pPr>
            <w:r>
              <w:rPr>
                <w:rStyle w:val="CharacterStyle12"/>
              </w:rPr>
              <w:t>0,00</w:t>
            </w:r>
          </w:p>
        </w:tc>
      </w:tr>
      <w:tr w:rsidR="007D706A" w14:paraId="4C1B2DD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1C36B21"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00F1AEA7"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52C5F21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EE549C1" w14:textId="77777777" w:rsidR="007D706A" w:rsidRDefault="007D706A" w:rsidP="00F70508">
            <w:pPr>
              <w:pStyle w:val="ParagraphStyle12"/>
              <w:rPr>
                <w:rStyle w:val="CharacterStyle12"/>
              </w:rPr>
            </w:pPr>
            <w:r>
              <w:rPr>
                <w:rStyle w:val="CharacterStyle12"/>
              </w:rPr>
              <w:t>2.000,00</w:t>
            </w:r>
          </w:p>
        </w:tc>
        <w:tc>
          <w:tcPr>
            <w:tcW w:w="1395" w:type="dxa"/>
            <w:tcBorders>
              <w:bottom w:val="single" w:sz="6" w:space="0" w:color="000000"/>
              <w:right w:val="single" w:sz="6" w:space="0" w:color="000000"/>
            </w:tcBorders>
            <w:vAlign w:val="center"/>
          </w:tcPr>
          <w:p w14:paraId="0D4B378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99EC5C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B1768C4" w14:textId="77777777" w:rsidR="007D706A" w:rsidRDefault="007D706A" w:rsidP="00F70508">
            <w:pPr>
              <w:pStyle w:val="ParagraphStyle12"/>
              <w:rPr>
                <w:rStyle w:val="CharacterStyle12"/>
              </w:rPr>
            </w:pPr>
            <w:r>
              <w:rPr>
                <w:rStyle w:val="CharacterStyle12"/>
              </w:rPr>
              <w:t>0,00</w:t>
            </w:r>
          </w:p>
        </w:tc>
      </w:tr>
      <w:tr w:rsidR="007D706A" w14:paraId="0063CCC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9BAC768" w14:textId="77777777" w:rsidR="007D706A" w:rsidRDefault="007D706A" w:rsidP="00F70508">
            <w:pPr>
              <w:pStyle w:val="ParagraphStyle7"/>
              <w:rPr>
                <w:rStyle w:val="CharacterStyle7"/>
              </w:rPr>
            </w:pPr>
            <w:r>
              <w:rPr>
                <w:rStyle w:val="CharacterStyle7"/>
              </w:rPr>
              <w:t>Izvor financiranja 82</w:t>
            </w:r>
          </w:p>
        </w:tc>
        <w:tc>
          <w:tcPr>
            <w:tcW w:w="4995" w:type="dxa"/>
            <w:tcBorders>
              <w:bottom w:val="single" w:sz="6" w:space="0" w:color="000000"/>
              <w:right w:val="single" w:sz="6" w:space="0" w:color="000000"/>
            </w:tcBorders>
            <w:vAlign w:val="center"/>
          </w:tcPr>
          <w:p w14:paraId="1D80B800" w14:textId="77777777" w:rsidR="007D706A" w:rsidRDefault="007D706A" w:rsidP="00F70508">
            <w:pPr>
              <w:pStyle w:val="ParagraphStyle8"/>
              <w:rPr>
                <w:rStyle w:val="CharacterStyle8"/>
              </w:rPr>
            </w:pPr>
            <w:r>
              <w:rPr>
                <w:rStyle w:val="CharacterStyle8"/>
              </w:rPr>
              <w:t>Preneseni viškovi iz ranijih godina</w:t>
            </w:r>
          </w:p>
        </w:tc>
        <w:tc>
          <w:tcPr>
            <w:tcW w:w="1395" w:type="dxa"/>
            <w:tcBorders>
              <w:bottom w:val="single" w:sz="6" w:space="0" w:color="000000"/>
              <w:right w:val="single" w:sz="6" w:space="0" w:color="000000"/>
            </w:tcBorders>
            <w:vAlign w:val="center"/>
          </w:tcPr>
          <w:p w14:paraId="6E1F9BF5"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DAEFC8A" w14:textId="77777777" w:rsidR="007D706A" w:rsidRDefault="007D706A" w:rsidP="00F70508">
            <w:pPr>
              <w:pStyle w:val="ParagraphStyle9"/>
              <w:rPr>
                <w:rStyle w:val="CharacterStyle9"/>
              </w:rPr>
            </w:pPr>
            <w:r>
              <w:rPr>
                <w:rStyle w:val="CharacterStyle9"/>
              </w:rPr>
              <w:t>3.096,86</w:t>
            </w:r>
          </w:p>
        </w:tc>
        <w:tc>
          <w:tcPr>
            <w:tcW w:w="1395" w:type="dxa"/>
            <w:tcBorders>
              <w:bottom w:val="single" w:sz="6" w:space="0" w:color="000000"/>
              <w:right w:val="single" w:sz="6" w:space="0" w:color="000000"/>
            </w:tcBorders>
            <w:vAlign w:val="center"/>
          </w:tcPr>
          <w:p w14:paraId="4D1B21C2"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4EAF156"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4392C42" w14:textId="77777777" w:rsidR="007D706A" w:rsidRDefault="007D706A" w:rsidP="00F70508">
            <w:pPr>
              <w:pStyle w:val="ParagraphStyle9"/>
              <w:rPr>
                <w:rStyle w:val="CharacterStyle9"/>
              </w:rPr>
            </w:pPr>
            <w:r>
              <w:rPr>
                <w:rStyle w:val="CharacterStyle9"/>
              </w:rPr>
              <w:t>0,00</w:t>
            </w:r>
          </w:p>
        </w:tc>
      </w:tr>
      <w:tr w:rsidR="007D706A" w14:paraId="0D90371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FB397E2"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77D6654F"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76F9765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B3E20E7" w14:textId="77777777" w:rsidR="007D706A" w:rsidRDefault="007D706A" w:rsidP="00F70508">
            <w:pPr>
              <w:pStyle w:val="ParagraphStyle12"/>
              <w:rPr>
                <w:rStyle w:val="CharacterStyle12"/>
              </w:rPr>
            </w:pPr>
            <w:r>
              <w:rPr>
                <w:rStyle w:val="CharacterStyle12"/>
              </w:rPr>
              <w:t>3.096,86</w:t>
            </w:r>
          </w:p>
        </w:tc>
        <w:tc>
          <w:tcPr>
            <w:tcW w:w="1395" w:type="dxa"/>
            <w:tcBorders>
              <w:bottom w:val="single" w:sz="6" w:space="0" w:color="000000"/>
              <w:right w:val="single" w:sz="6" w:space="0" w:color="000000"/>
            </w:tcBorders>
            <w:vAlign w:val="center"/>
          </w:tcPr>
          <w:p w14:paraId="79811F6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99E71F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E869F0A" w14:textId="77777777" w:rsidR="007D706A" w:rsidRDefault="007D706A" w:rsidP="00F70508">
            <w:pPr>
              <w:pStyle w:val="ParagraphStyle12"/>
              <w:rPr>
                <w:rStyle w:val="CharacterStyle12"/>
              </w:rPr>
            </w:pPr>
            <w:r>
              <w:rPr>
                <w:rStyle w:val="CharacterStyle12"/>
              </w:rPr>
              <w:t>0,00</w:t>
            </w:r>
          </w:p>
        </w:tc>
      </w:tr>
      <w:tr w:rsidR="007D706A" w14:paraId="0A824E6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09D91DE"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67F1D3CD"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43575DE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9B944A1" w14:textId="77777777" w:rsidR="007D706A" w:rsidRDefault="007D706A" w:rsidP="00F70508">
            <w:pPr>
              <w:pStyle w:val="ParagraphStyle12"/>
              <w:rPr>
                <w:rStyle w:val="CharacterStyle12"/>
              </w:rPr>
            </w:pPr>
            <w:r>
              <w:rPr>
                <w:rStyle w:val="CharacterStyle12"/>
              </w:rPr>
              <w:t>2.996,86</w:t>
            </w:r>
          </w:p>
        </w:tc>
        <w:tc>
          <w:tcPr>
            <w:tcW w:w="1395" w:type="dxa"/>
            <w:tcBorders>
              <w:bottom w:val="single" w:sz="6" w:space="0" w:color="000000"/>
              <w:right w:val="single" w:sz="6" w:space="0" w:color="000000"/>
            </w:tcBorders>
            <w:vAlign w:val="center"/>
          </w:tcPr>
          <w:p w14:paraId="238A775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210BD1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733D515" w14:textId="77777777" w:rsidR="007D706A" w:rsidRDefault="007D706A" w:rsidP="00F70508">
            <w:pPr>
              <w:pStyle w:val="ParagraphStyle12"/>
              <w:rPr>
                <w:rStyle w:val="CharacterStyle12"/>
              </w:rPr>
            </w:pPr>
            <w:r>
              <w:rPr>
                <w:rStyle w:val="CharacterStyle12"/>
              </w:rPr>
              <w:t>0,00</w:t>
            </w:r>
          </w:p>
        </w:tc>
      </w:tr>
      <w:tr w:rsidR="007D706A" w14:paraId="229164E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406EC6F" w14:textId="77777777" w:rsidR="007D706A" w:rsidRDefault="007D706A" w:rsidP="00F70508">
            <w:pPr>
              <w:pStyle w:val="ParagraphStyle10"/>
              <w:rPr>
                <w:rStyle w:val="CharacterStyle10"/>
              </w:rPr>
            </w:pPr>
            <w:r>
              <w:rPr>
                <w:rStyle w:val="CharacterStyle10"/>
              </w:rPr>
              <w:t>34</w:t>
            </w:r>
          </w:p>
        </w:tc>
        <w:tc>
          <w:tcPr>
            <w:tcW w:w="4995" w:type="dxa"/>
            <w:tcBorders>
              <w:bottom w:val="single" w:sz="6" w:space="0" w:color="000000"/>
              <w:right w:val="single" w:sz="6" w:space="0" w:color="000000"/>
            </w:tcBorders>
            <w:vAlign w:val="center"/>
          </w:tcPr>
          <w:p w14:paraId="58A93371" w14:textId="77777777" w:rsidR="007D706A" w:rsidRDefault="007D706A" w:rsidP="00F70508">
            <w:pPr>
              <w:pStyle w:val="ParagraphStyle11"/>
              <w:rPr>
                <w:rStyle w:val="CharacterStyle11"/>
              </w:rPr>
            </w:pPr>
            <w:r>
              <w:rPr>
                <w:rStyle w:val="CharacterStyle11"/>
              </w:rPr>
              <w:t>Financijski rashodi</w:t>
            </w:r>
          </w:p>
        </w:tc>
        <w:tc>
          <w:tcPr>
            <w:tcW w:w="1395" w:type="dxa"/>
            <w:tcBorders>
              <w:bottom w:val="single" w:sz="6" w:space="0" w:color="000000"/>
              <w:right w:val="single" w:sz="6" w:space="0" w:color="000000"/>
            </w:tcBorders>
            <w:vAlign w:val="center"/>
          </w:tcPr>
          <w:p w14:paraId="6E275D1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72A98BC" w14:textId="77777777" w:rsidR="007D706A" w:rsidRDefault="007D706A" w:rsidP="00F70508">
            <w:pPr>
              <w:pStyle w:val="ParagraphStyle12"/>
              <w:rPr>
                <w:rStyle w:val="CharacterStyle12"/>
              </w:rPr>
            </w:pPr>
            <w:r>
              <w:rPr>
                <w:rStyle w:val="CharacterStyle12"/>
              </w:rPr>
              <w:t>100,00</w:t>
            </w:r>
          </w:p>
        </w:tc>
        <w:tc>
          <w:tcPr>
            <w:tcW w:w="1395" w:type="dxa"/>
            <w:tcBorders>
              <w:bottom w:val="single" w:sz="6" w:space="0" w:color="000000"/>
              <w:right w:val="single" w:sz="6" w:space="0" w:color="000000"/>
            </w:tcBorders>
            <w:vAlign w:val="center"/>
          </w:tcPr>
          <w:p w14:paraId="383267C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0C4CE9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9350870" w14:textId="77777777" w:rsidR="007D706A" w:rsidRDefault="007D706A" w:rsidP="00F70508">
            <w:pPr>
              <w:pStyle w:val="ParagraphStyle12"/>
              <w:rPr>
                <w:rStyle w:val="CharacterStyle12"/>
              </w:rPr>
            </w:pPr>
            <w:r>
              <w:rPr>
                <w:rStyle w:val="CharacterStyle12"/>
              </w:rPr>
              <w:t>0,00</w:t>
            </w:r>
          </w:p>
        </w:tc>
      </w:tr>
      <w:tr w:rsidR="007D706A" w14:paraId="1A527DF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ED93B23" w14:textId="77777777" w:rsidR="007D706A" w:rsidRDefault="007D706A" w:rsidP="00F70508">
            <w:pPr>
              <w:pStyle w:val="ParagraphStyle4"/>
              <w:rPr>
                <w:rStyle w:val="CharacterStyle4"/>
              </w:rPr>
            </w:pPr>
            <w:r>
              <w:rPr>
                <w:rStyle w:val="CharacterStyle4"/>
              </w:rPr>
              <w:t>Aktivnost A103708</w:t>
            </w:r>
          </w:p>
        </w:tc>
        <w:tc>
          <w:tcPr>
            <w:tcW w:w="4995" w:type="dxa"/>
            <w:tcBorders>
              <w:bottom w:val="single" w:sz="6" w:space="0" w:color="000000"/>
              <w:right w:val="single" w:sz="6" w:space="0" w:color="000000"/>
            </w:tcBorders>
            <w:vAlign w:val="center"/>
          </w:tcPr>
          <w:p w14:paraId="2EBE92E8" w14:textId="77777777" w:rsidR="007D706A" w:rsidRDefault="007D706A" w:rsidP="00F70508">
            <w:pPr>
              <w:pStyle w:val="ParagraphStyle5"/>
              <w:rPr>
                <w:rStyle w:val="CharacterStyle5"/>
              </w:rPr>
            </w:pPr>
            <w:r>
              <w:rPr>
                <w:rStyle w:val="CharacterStyle5"/>
              </w:rPr>
              <w:t>UPRAVNO VIJEĆE</w:t>
            </w:r>
          </w:p>
        </w:tc>
        <w:tc>
          <w:tcPr>
            <w:tcW w:w="1395" w:type="dxa"/>
            <w:tcBorders>
              <w:bottom w:val="single" w:sz="6" w:space="0" w:color="000000"/>
              <w:right w:val="single" w:sz="6" w:space="0" w:color="000000"/>
            </w:tcBorders>
            <w:vAlign w:val="center"/>
          </w:tcPr>
          <w:p w14:paraId="6016A0B3"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5F1FEBBC" w14:textId="77777777" w:rsidR="007D706A" w:rsidRDefault="007D706A" w:rsidP="00F70508">
            <w:pPr>
              <w:pStyle w:val="ParagraphStyle6"/>
              <w:rPr>
                <w:rStyle w:val="CharacterStyle6"/>
              </w:rPr>
            </w:pPr>
            <w:r>
              <w:rPr>
                <w:rStyle w:val="CharacterStyle6"/>
              </w:rPr>
              <w:t>1.500,00</w:t>
            </w:r>
          </w:p>
        </w:tc>
        <w:tc>
          <w:tcPr>
            <w:tcW w:w="1395" w:type="dxa"/>
            <w:tcBorders>
              <w:bottom w:val="single" w:sz="6" w:space="0" w:color="000000"/>
              <w:right w:val="single" w:sz="6" w:space="0" w:color="000000"/>
            </w:tcBorders>
            <w:vAlign w:val="center"/>
          </w:tcPr>
          <w:p w14:paraId="66A37D09" w14:textId="77777777" w:rsidR="007D706A" w:rsidRDefault="007D706A" w:rsidP="00F70508">
            <w:pPr>
              <w:pStyle w:val="ParagraphStyle6"/>
              <w:rPr>
                <w:rStyle w:val="CharacterStyle6"/>
              </w:rPr>
            </w:pPr>
            <w:r>
              <w:rPr>
                <w:rStyle w:val="CharacterStyle6"/>
              </w:rPr>
              <w:t>1.500,00</w:t>
            </w:r>
          </w:p>
        </w:tc>
        <w:tc>
          <w:tcPr>
            <w:tcW w:w="1395" w:type="dxa"/>
            <w:tcBorders>
              <w:bottom w:val="single" w:sz="6" w:space="0" w:color="000000"/>
              <w:right w:val="single" w:sz="6" w:space="0" w:color="000000"/>
            </w:tcBorders>
            <w:vAlign w:val="center"/>
          </w:tcPr>
          <w:p w14:paraId="2900B822" w14:textId="77777777" w:rsidR="007D706A" w:rsidRDefault="007D706A" w:rsidP="00F70508">
            <w:pPr>
              <w:pStyle w:val="ParagraphStyle6"/>
              <w:rPr>
                <w:rStyle w:val="CharacterStyle6"/>
              </w:rPr>
            </w:pPr>
            <w:r>
              <w:rPr>
                <w:rStyle w:val="CharacterStyle6"/>
              </w:rPr>
              <w:t>1.500,00</w:t>
            </w:r>
          </w:p>
        </w:tc>
        <w:tc>
          <w:tcPr>
            <w:tcW w:w="1395" w:type="dxa"/>
            <w:tcBorders>
              <w:bottom w:val="single" w:sz="6" w:space="0" w:color="000000"/>
              <w:right w:val="single" w:sz="6" w:space="0" w:color="000000"/>
            </w:tcBorders>
            <w:vAlign w:val="center"/>
          </w:tcPr>
          <w:p w14:paraId="1BA4BF7A" w14:textId="77777777" w:rsidR="007D706A" w:rsidRDefault="007D706A" w:rsidP="00F70508">
            <w:pPr>
              <w:pStyle w:val="ParagraphStyle6"/>
              <w:rPr>
                <w:rStyle w:val="CharacterStyle6"/>
              </w:rPr>
            </w:pPr>
            <w:r>
              <w:rPr>
                <w:rStyle w:val="CharacterStyle6"/>
              </w:rPr>
              <w:t>1.500,00</w:t>
            </w:r>
          </w:p>
        </w:tc>
      </w:tr>
      <w:tr w:rsidR="007D706A" w14:paraId="3BB5EE9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9B753FB"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391DA990"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41FEC9F0"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695C0BF" w14:textId="77777777" w:rsidR="007D706A" w:rsidRDefault="007D706A" w:rsidP="00F70508">
            <w:pPr>
              <w:pStyle w:val="ParagraphStyle9"/>
              <w:rPr>
                <w:rStyle w:val="CharacterStyle9"/>
              </w:rPr>
            </w:pPr>
            <w:r>
              <w:rPr>
                <w:rStyle w:val="CharacterStyle9"/>
              </w:rPr>
              <w:t>1.500,00</w:t>
            </w:r>
          </w:p>
        </w:tc>
        <w:tc>
          <w:tcPr>
            <w:tcW w:w="1395" w:type="dxa"/>
            <w:tcBorders>
              <w:bottom w:val="single" w:sz="6" w:space="0" w:color="000000"/>
              <w:right w:val="single" w:sz="6" w:space="0" w:color="000000"/>
            </w:tcBorders>
            <w:vAlign w:val="center"/>
          </w:tcPr>
          <w:p w14:paraId="1A1040F2" w14:textId="77777777" w:rsidR="007D706A" w:rsidRDefault="007D706A" w:rsidP="00F70508">
            <w:pPr>
              <w:pStyle w:val="ParagraphStyle9"/>
              <w:rPr>
                <w:rStyle w:val="CharacterStyle9"/>
              </w:rPr>
            </w:pPr>
            <w:r>
              <w:rPr>
                <w:rStyle w:val="CharacterStyle9"/>
              </w:rPr>
              <w:t>1.500,00</w:t>
            </w:r>
          </w:p>
        </w:tc>
        <w:tc>
          <w:tcPr>
            <w:tcW w:w="1395" w:type="dxa"/>
            <w:tcBorders>
              <w:bottom w:val="single" w:sz="6" w:space="0" w:color="000000"/>
              <w:right w:val="single" w:sz="6" w:space="0" w:color="000000"/>
            </w:tcBorders>
            <w:vAlign w:val="center"/>
          </w:tcPr>
          <w:p w14:paraId="7C984A6B" w14:textId="77777777" w:rsidR="007D706A" w:rsidRDefault="007D706A" w:rsidP="00F70508">
            <w:pPr>
              <w:pStyle w:val="ParagraphStyle9"/>
              <w:rPr>
                <w:rStyle w:val="CharacterStyle9"/>
              </w:rPr>
            </w:pPr>
            <w:r>
              <w:rPr>
                <w:rStyle w:val="CharacterStyle9"/>
              </w:rPr>
              <w:t>1.500,00</w:t>
            </w:r>
          </w:p>
        </w:tc>
        <w:tc>
          <w:tcPr>
            <w:tcW w:w="1395" w:type="dxa"/>
            <w:tcBorders>
              <w:bottom w:val="single" w:sz="6" w:space="0" w:color="000000"/>
              <w:right w:val="single" w:sz="6" w:space="0" w:color="000000"/>
            </w:tcBorders>
            <w:vAlign w:val="center"/>
          </w:tcPr>
          <w:p w14:paraId="796BE826" w14:textId="77777777" w:rsidR="007D706A" w:rsidRDefault="007D706A" w:rsidP="00F70508">
            <w:pPr>
              <w:pStyle w:val="ParagraphStyle9"/>
              <w:rPr>
                <w:rStyle w:val="CharacterStyle9"/>
              </w:rPr>
            </w:pPr>
            <w:r>
              <w:rPr>
                <w:rStyle w:val="CharacterStyle9"/>
              </w:rPr>
              <w:t>1.500,00</w:t>
            </w:r>
          </w:p>
        </w:tc>
      </w:tr>
      <w:tr w:rsidR="007D706A" w14:paraId="0307EB5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D900421"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28FB52F0"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4CA978B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C88A873" w14:textId="77777777" w:rsidR="007D706A" w:rsidRDefault="007D706A" w:rsidP="00F70508">
            <w:pPr>
              <w:pStyle w:val="ParagraphStyle12"/>
              <w:rPr>
                <w:rStyle w:val="CharacterStyle12"/>
              </w:rPr>
            </w:pPr>
            <w:r>
              <w:rPr>
                <w:rStyle w:val="CharacterStyle12"/>
              </w:rPr>
              <w:t>1.500,00</w:t>
            </w:r>
          </w:p>
        </w:tc>
        <w:tc>
          <w:tcPr>
            <w:tcW w:w="1395" w:type="dxa"/>
            <w:tcBorders>
              <w:bottom w:val="single" w:sz="6" w:space="0" w:color="000000"/>
              <w:right w:val="single" w:sz="6" w:space="0" w:color="000000"/>
            </w:tcBorders>
            <w:vAlign w:val="center"/>
          </w:tcPr>
          <w:p w14:paraId="41B2FE72" w14:textId="77777777" w:rsidR="007D706A" w:rsidRDefault="007D706A" w:rsidP="00F70508">
            <w:pPr>
              <w:pStyle w:val="ParagraphStyle12"/>
              <w:rPr>
                <w:rStyle w:val="CharacterStyle12"/>
              </w:rPr>
            </w:pPr>
            <w:r>
              <w:rPr>
                <w:rStyle w:val="CharacterStyle12"/>
              </w:rPr>
              <w:t>1.500,00</w:t>
            </w:r>
          </w:p>
        </w:tc>
        <w:tc>
          <w:tcPr>
            <w:tcW w:w="1395" w:type="dxa"/>
            <w:tcBorders>
              <w:bottom w:val="single" w:sz="6" w:space="0" w:color="000000"/>
              <w:right w:val="single" w:sz="6" w:space="0" w:color="000000"/>
            </w:tcBorders>
            <w:vAlign w:val="center"/>
          </w:tcPr>
          <w:p w14:paraId="0AD83DE0" w14:textId="77777777" w:rsidR="007D706A" w:rsidRDefault="007D706A" w:rsidP="00F70508">
            <w:pPr>
              <w:pStyle w:val="ParagraphStyle12"/>
              <w:rPr>
                <w:rStyle w:val="CharacterStyle12"/>
              </w:rPr>
            </w:pPr>
            <w:r>
              <w:rPr>
                <w:rStyle w:val="CharacterStyle12"/>
              </w:rPr>
              <w:t>1.500,00</w:t>
            </w:r>
          </w:p>
        </w:tc>
        <w:tc>
          <w:tcPr>
            <w:tcW w:w="1395" w:type="dxa"/>
            <w:tcBorders>
              <w:bottom w:val="single" w:sz="6" w:space="0" w:color="000000"/>
              <w:right w:val="single" w:sz="6" w:space="0" w:color="000000"/>
            </w:tcBorders>
            <w:vAlign w:val="center"/>
          </w:tcPr>
          <w:p w14:paraId="24CA616A" w14:textId="77777777" w:rsidR="007D706A" w:rsidRDefault="007D706A" w:rsidP="00F70508">
            <w:pPr>
              <w:pStyle w:val="ParagraphStyle12"/>
              <w:rPr>
                <w:rStyle w:val="CharacterStyle12"/>
              </w:rPr>
            </w:pPr>
            <w:r>
              <w:rPr>
                <w:rStyle w:val="CharacterStyle12"/>
              </w:rPr>
              <w:t>1.500,00</w:t>
            </w:r>
          </w:p>
        </w:tc>
      </w:tr>
      <w:tr w:rsidR="007D706A" w14:paraId="0E2BED6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1DC1530"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5325AF33"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67BF236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ABED5A8" w14:textId="77777777" w:rsidR="007D706A" w:rsidRDefault="007D706A" w:rsidP="00F70508">
            <w:pPr>
              <w:pStyle w:val="ParagraphStyle12"/>
              <w:rPr>
                <w:rStyle w:val="CharacterStyle12"/>
              </w:rPr>
            </w:pPr>
            <w:r>
              <w:rPr>
                <w:rStyle w:val="CharacterStyle12"/>
              </w:rPr>
              <w:t>1.500,00</w:t>
            </w:r>
          </w:p>
        </w:tc>
        <w:tc>
          <w:tcPr>
            <w:tcW w:w="1395" w:type="dxa"/>
            <w:tcBorders>
              <w:bottom w:val="single" w:sz="6" w:space="0" w:color="000000"/>
              <w:right w:val="single" w:sz="6" w:space="0" w:color="000000"/>
            </w:tcBorders>
            <w:vAlign w:val="center"/>
          </w:tcPr>
          <w:p w14:paraId="76174553" w14:textId="77777777" w:rsidR="007D706A" w:rsidRDefault="007D706A" w:rsidP="00F70508">
            <w:pPr>
              <w:pStyle w:val="ParagraphStyle12"/>
              <w:rPr>
                <w:rStyle w:val="CharacterStyle12"/>
              </w:rPr>
            </w:pPr>
            <w:r>
              <w:rPr>
                <w:rStyle w:val="CharacterStyle12"/>
              </w:rPr>
              <w:t>1.500,00</w:t>
            </w:r>
          </w:p>
        </w:tc>
        <w:tc>
          <w:tcPr>
            <w:tcW w:w="1395" w:type="dxa"/>
            <w:tcBorders>
              <w:bottom w:val="single" w:sz="6" w:space="0" w:color="000000"/>
              <w:right w:val="single" w:sz="6" w:space="0" w:color="000000"/>
            </w:tcBorders>
            <w:vAlign w:val="center"/>
          </w:tcPr>
          <w:p w14:paraId="75CB834D" w14:textId="77777777" w:rsidR="007D706A" w:rsidRDefault="007D706A" w:rsidP="00F70508">
            <w:pPr>
              <w:pStyle w:val="ParagraphStyle12"/>
              <w:rPr>
                <w:rStyle w:val="CharacterStyle12"/>
              </w:rPr>
            </w:pPr>
            <w:r>
              <w:rPr>
                <w:rStyle w:val="CharacterStyle12"/>
              </w:rPr>
              <w:t>1.500,00</w:t>
            </w:r>
          </w:p>
        </w:tc>
        <w:tc>
          <w:tcPr>
            <w:tcW w:w="1395" w:type="dxa"/>
            <w:tcBorders>
              <w:bottom w:val="single" w:sz="6" w:space="0" w:color="000000"/>
              <w:right w:val="single" w:sz="6" w:space="0" w:color="000000"/>
            </w:tcBorders>
            <w:vAlign w:val="center"/>
          </w:tcPr>
          <w:p w14:paraId="1B790E72" w14:textId="77777777" w:rsidR="007D706A" w:rsidRDefault="007D706A" w:rsidP="00F70508">
            <w:pPr>
              <w:pStyle w:val="ParagraphStyle12"/>
              <w:rPr>
                <w:rStyle w:val="CharacterStyle12"/>
              </w:rPr>
            </w:pPr>
            <w:r>
              <w:rPr>
                <w:rStyle w:val="CharacterStyle12"/>
              </w:rPr>
              <w:t>1.500,00</w:t>
            </w:r>
          </w:p>
        </w:tc>
      </w:tr>
      <w:tr w:rsidR="007D706A" w14:paraId="6B5F568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6404969" w14:textId="77777777" w:rsidR="007D706A" w:rsidRDefault="007D706A" w:rsidP="00F70508">
            <w:pPr>
              <w:pStyle w:val="ParagraphStyle4"/>
              <w:rPr>
                <w:rStyle w:val="CharacterStyle4"/>
              </w:rPr>
            </w:pPr>
            <w:r>
              <w:rPr>
                <w:rStyle w:val="CharacterStyle4"/>
              </w:rPr>
              <w:t>Aktivnost A103709</w:t>
            </w:r>
          </w:p>
        </w:tc>
        <w:tc>
          <w:tcPr>
            <w:tcW w:w="4995" w:type="dxa"/>
            <w:tcBorders>
              <w:bottom w:val="single" w:sz="6" w:space="0" w:color="000000"/>
              <w:right w:val="single" w:sz="6" w:space="0" w:color="000000"/>
            </w:tcBorders>
            <w:vAlign w:val="center"/>
          </w:tcPr>
          <w:p w14:paraId="2B4D20AE" w14:textId="77777777" w:rsidR="007D706A" w:rsidRDefault="007D706A" w:rsidP="00F70508">
            <w:pPr>
              <w:pStyle w:val="ParagraphStyle5"/>
              <w:rPr>
                <w:rStyle w:val="CharacterStyle5"/>
              </w:rPr>
            </w:pPr>
            <w:r>
              <w:rPr>
                <w:rStyle w:val="CharacterStyle5"/>
              </w:rPr>
              <w:t>POSEBNI PROGRAMI USTANOVE</w:t>
            </w:r>
          </w:p>
        </w:tc>
        <w:tc>
          <w:tcPr>
            <w:tcW w:w="1395" w:type="dxa"/>
            <w:tcBorders>
              <w:bottom w:val="single" w:sz="6" w:space="0" w:color="000000"/>
              <w:right w:val="single" w:sz="6" w:space="0" w:color="000000"/>
            </w:tcBorders>
            <w:vAlign w:val="center"/>
          </w:tcPr>
          <w:p w14:paraId="48EB7D64"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0D36386D" w14:textId="77777777" w:rsidR="007D706A" w:rsidRDefault="007D706A" w:rsidP="00F70508">
            <w:pPr>
              <w:pStyle w:val="ParagraphStyle6"/>
              <w:rPr>
                <w:rStyle w:val="CharacterStyle6"/>
              </w:rPr>
            </w:pPr>
            <w:r>
              <w:rPr>
                <w:rStyle w:val="CharacterStyle6"/>
              </w:rPr>
              <w:t>34.166,00</w:t>
            </w:r>
          </w:p>
        </w:tc>
        <w:tc>
          <w:tcPr>
            <w:tcW w:w="1395" w:type="dxa"/>
            <w:tcBorders>
              <w:bottom w:val="single" w:sz="6" w:space="0" w:color="000000"/>
              <w:right w:val="single" w:sz="6" w:space="0" w:color="000000"/>
            </w:tcBorders>
            <w:vAlign w:val="center"/>
          </w:tcPr>
          <w:p w14:paraId="741F71EE" w14:textId="77777777" w:rsidR="007D706A" w:rsidRDefault="007D706A" w:rsidP="00F70508">
            <w:pPr>
              <w:pStyle w:val="ParagraphStyle6"/>
              <w:rPr>
                <w:rStyle w:val="CharacterStyle6"/>
              </w:rPr>
            </w:pPr>
            <w:r>
              <w:rPr>
                <w:rStyle w:val="CharacterStyle6"/>
              </w:rPr>
              <w:t>48.600,00</w:t>
            </w:r>
          </w:p>
        </w:tc>
        <w:tc>
          <w:tcPr>
            <w:tcW w:w="1395" w:type="dxa"/>
            <w:tcBorders>
              <w:bottom w:val="single" w:sz="6" w:space="0" w:color="000000"/>
              <w:right w:val="single" w:sz="6" w:space="0" w:color="000000"/>
            </w:tcBorders>
            <w:vAlign w:val="center"/>
          </w:tcPr>
          <w:p w14:paraId="7562AA79" w14:textId="77777777" w:rsidR="007D706A" w:rsidRDefault="007D706A" w:rsidP="00F70508">
            <w:pPr>
              <w:pStyle w:val="ParagraphStyle6"/>
              <w:rPr>
                <w:rStyle w:val="CharacterStyle6"/>
              </w:rPr>
            </w:pPr>
            <w:r>
              <w:rPr>
                <w:rStyle w:val="CharacterStyle6"/>
              </w:rPr>
              <w:t>37.500,00</w:t>
            </w:r>
          </w:p>
        </w:tc>
        <w:tc>
          <w:tcPr>
            <w:tcW w:w="1395" w:type="dxa"/>
            <w:tcBorders>
              <w:bottom w:val="single" w:sz="6" w:space="0" w:color="000000"/>
              <w:right w:val="single" w:sz="6" w:space="0" w:color="000000"/>
            </w:tcBorders>
            <w:vAlign w:val="center"/>
          </w:tcPr>
          <w:p w14:paraId="6532DD44" w14:textId="77777777" w:rsidR="007D706A" w:rsidRDefault="007D706A" w:rsidP="00F70508">
            <w:pPr>
              <w:pStyle w:val="ParagraphStyle6"/>
              <w:rPr>
                <w:rStyle w:val="CharacterStyle6"/>
              </w:rPr>
            </w:pPr>
            <w:r>
              <w:rPr>
                <w:rStyle w:val="CharacterStyle6"/>
              </w:rPr>
              <w:t>39.000,00</w:t>
            </w:r>
          </w:p>
        </w:tc>
      </w:tr>
      <w:tr w:rsidR="007D706A" w14:paraId="087BFF1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387C7FF" w14:textId="77777777" w:rsidR="007D706A" w:rsidRDefault="007D706A" w:rsidP="00F70508">
            <w:pPr>
              <w:pStyle w:val="ParagraphStyle7"/>
              <w:rPr>
                <w:rStyle w:val="CharacterStyle7"/>
              </w:rPr>
            </w:pPr>
            <w:r>
              <w:rPr>
                <w:rStyle w:val="CharacterStyle7"/>
              </w:rPr>
              <w:t>Izvor financiranja 31</w:t>
            </w:r>
          </w:p>
        </w:tc>
        <w:tc>
          <w:tcPr>
            <w:tcW w:w="4995" w:type="dxa"/>
            <w:tcBorders>
              <w:bottom w:val="single" w:sz="6" w:space="0" w:color="000000"/>
              <w:right w:val="single" w:sz="6" w:space="0" w:color="000000"/>
            </w:tcBorders>
            <w:vAlign w:val="center"/>
          </w:tcPr>
          <w:p w14:paraId="4B104FC9" w14:textId="77777777" w:rsidR="007D706A" w:rsidRDefault="007D706A" w:rsidP="00F70508">
            <w:pPr>
              <w:pStyle w:val="ParagraphStyle8"/>
              <w:rPr>
                <w:rStyle w:val="CharacterStyle8"/>
              </w:rPr>
            </w:pPr>
            <w:r>
              <w:rPr>
                <w:rStyle w:val="CharacterStyle8"/>
              </w:rPr>
              <w:t>Vlastiti prihodi</w:t>
            </w:r>
          </w:p>
        </w:tc>
        <w:tc>
          <w:tcPr>
            <w:tcW w:w="1395" w:type="dxa"/>
            <w:tcBorders>
              <w:bottom w:val="single" w:sz="6" w:space="0" w:color="000000"/>
              <w:right w:val="single" w:sz="6" w:space="0" w:color="000000"/>
            </w:tcBorders>
            <w:vAlign w:val="center"/>
          </w:tcPr>
          <w:p w14:paraId="4BD1BD2B"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852EAB8" w14:textId="77777777" w:rsidR="007D706A" w:rsidRDefault="007D706A" w:rsidP="00F70508">
            <w:pPr>
              <w:pStyle w:val="ParagraphStyle9"/>
              <w:rPr>
                <w:rStyle w:val="CharacterStyle9"/>
              </w:rPr>
            </w:pPr>
            <w:r>
              <w:rPr>
                <w:rStyle w:val="CharacterStyle9"/>
              </w:rPr>
              <w:t>266,00</w:t>
            </w:r>
          </w:p>
        </w:tc>
        <w:tc>
          <w:tcPr>
            <w:tcW w:w="1395" w:type="dxa"/>
            <w:tcBorders>
              <w:bottom w:val="single" w:sz="6" w:space="0" w:color="000000"/>
              <w:right w:val="single" w:sz="6" w:space="0" w:color="000000"/>
            </w:tcBorders>
            <w:vAlign w:val="center"/>
          </w:tcPr>
          <w:p w14:paraId="3003755A" w14:textId="77777777" w:rsidR="007D706A" w:rsidRDefault="007D706A" w:rsidP="00F70508">
            <w:pPr>
              <w:pStyle w:val="ParagraphStyle9"/>
              <w:rPr>
                <w:rStyle w:val="CharacterStyle9"/>
              </w:rPr>
            </w:pPr>
            <w:r>
              <w:rPr>
                <w:rStyle w:val="CharacterStyle9"/>
              </w:rPr>
              <w:t>2.600,00</w:t>
            </w:r>
          </w:p>
        </w:tc>
        <w:tc>
          <w:tcPr>
            <w:tcW w:w="1395" w:type="dxa"/>
            <w:tcBorders>
              <w:bottom w:val="single" w:sz="6" w:space="0" w:color="000000"/>
              <w:right w:val="single" w:sz="6" w:space="0" w:color="000000"/>
            </w:tcBorders>
            <w:vAlign w:val="center"/>
          </w:tcPr>
          <w:p w14:paraId="0FB9D5BD" w14:textId="77777777" w:rsidR="007D706A" w:rsidRDefault="007D706A" w:rsidP="00F70508">
            <w:pPr>
              <w:pStyle w:val="ParagraphStyle9"/>
              <w:rPr>
                <w:rStyle w:val="CharacterStyle9"/>
              </w:rPr>
            </w:pPr>
            <w:r>
              <w:rPr>
                <w:rStyle w:val="CharacterStyle9"/>
              </w:rPr>
              <w:t>400,00</w:t>
            </w:r>
          </w:p>
        </w:tc>
        <w:tc>
          <w:tcPr>
            <w:tcW w:w="1395" w:type="dxa"/>
            <w:tcBorders>
              <w:bottom w:val="single" w:sz="6" w:space="0" w:color="000000"/>
              <w:right w:val="single" w:sz="6" w:space="0" w:color="000000"/>
            </w:tcBorders>
            <w:vAlign w:val="center"/>
          </w:tcPr>
          <w:p w14:paraId="6749778B" w14:textId="77777777" w:rsidR="007D706A" w:rsidRDefault="007D706A" w:rsidP="00F70508">
            <w:pPr>
              <w:pStyle w:val="ParagraphStyle9"/>
              <w:rPr>
                <w:rStyle w:val="CharacterStyle9"/>
              </w:rPr>
            </w:pPr>
            <w:r>
              <w:rPr>
                <w:rStyle w:val="CharacterStyle9"/>
              </w:rPr>
              <w:t>590,00</w:t>
            </w:r>
          </w:p>
        </w:tc>
      </w:tr>
      <w:tr w:rsidR="007D706A" w14:paraId="72FB64E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7F4F46A"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2B5133B1"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6538D51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05360EB" w14:textId="77777777" w:rsidR="007D706A" w:rsidRDefault="007D706A" w:rsidP="00F70508">
            <w:pPr>
              <w:pStyle w:val="ParagraphStyle12"/>
              <w:rPr>
                <w:rStyle w:val="CharacterStyle12"/>
              </w:rPr>
            </w:pPr>
            <w:r>
              <w:rPr>
                <w:rStyle w:val="CharacterStyle12"/>
              </w:rPr>
              <w:t>266,00</w:t>
            </w:r>
          </w:p>
        </w:tc>
        <w:tc>
          <w:tcPr>
            <w:tcW w:w="1395" w:type="dxa"/>
            <w:tcBorders>
              <w:bottom w:val="single" w:sz="6" w:space="0" w:color="000000"/>
              <w:right w:val="single" w:sz="6" w:space="0" w:color="000000"/>
            </w:tcBorders>
            <w:vAlign w:val="center"/>
          </w:tcPr>
          <w:p w14:paraId="29B9EC7E" w14:textId="77777777" w:rsidR="007D706A" w:rsidRDefault="007D706A" w:rsidP="00F70508">
            <w:pPr>
              <w:pStyle w:val="ParagraphStyle12"/>
              <w:rPr>
                <w:rStyle w:val="CharacterStyle12"/>
              </w:rPr>
            </w:pPr>
            <w:r>
              <w:rPr>
                <w:rStyle w:val="CharacterStyle12"/>
              </w:rPr>
              <w:t>1.600,00</w:t>
            </w:r>
          </w:p>
        </w:tc>
        <w:tc>
          <w:tcPr>
            <w:tcW w:w="1395" w:type="dxa"/>
            <w:tcBorders>
              <w:bottom w:val="single" w:sz="6" w:space="0" w:color="000000"/>
              <w:right w:val="single" w:sz="6" w:space="0" w:color="000000"/>
            </w:tcBorders>
            <w:vAlign w:val="center"/>
          </w:tcPr>
          <w:p w14:paraId="5CB25E6F" w14:textId="77777777" w:rsidR="007D706A" w:rsidRDefault="007D706A" w:rsidP="00F70508">
            <w:pPr>
              <w:pStyle w:val="ParagraphStyle12"/>
              <w:rPr>
                <w:rStyle w:val="CharacterStyle12"/>
              </w:rPr>
            </w:pPr>
            <w:r>
              <w:rPr>
                <w:rStyle w:val="CharacterStyle12"/>
              </w:rPr>
              <w:t>400,00</w:t>
            </w:r>
          </w:p>
        </w:tc>
        <w:tc>
          <w:tcPr>
            <w:tcW w:w="1395" w:type="dxa"/>
            <w:tcBorders>
              <w:bottom w:val="single" w:sz="6" w:space="0" w:color="000000"/>
              <w:right w:val="single" w:sz="6" w:space="0" w:color="000000"/>
            </w:tcBorders>
            <w:vAlign w:val="center"/>
          </w:tcPr>
          <w:p w14:paraId="41DDBF29" w14:textId="77777777" w:rsidR="007D706A" w:rsidRDefault="007D706A" w:rsidP="00F70508">
            <w:pPr>
              <w:pStyle w:val="ParagraphStyle12"/>
              <w:rPr>
                <w:rStyle w:val="CharacterStyle12"/>
              </w:rPr>
            </w:pPr>
            <w:r>
              <w:rPr>
                <w:rStyle w:val="CharacterStyle12"/>
              </w:rPr>
              <w:t>590,00</w:t>
            </w:r>
          </w:p>
        </w:tc>
      </w:tr>
      <w:tr w:rsidR="007D706A" w14:paraId="16366F1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159F58A"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632D74E4"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61EA2CC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FC512AD" w14:textId="77777777" w:rsidR="007D706A" w:rsidRDefault="007D706A" w:rsidP="00F70508">
            <w:pPr>
              <w:pStyle w:val="ParagraphStyle12"/>
              <w:rPr>
                <w:rStyle w:val="CharacterStyle12"/>
              </w:rPr>
            </w:pPr>
            <w:r>
              <w:rPr>
                <w:rStyle w:val="CharacterStyle12"/>
              </w:rPr>
              <w:t>266,00</w:t>
            </w:r>
          </w:p>
        </w:tc>
        <w:tc>
          <w:tcPr>
            <w:tcW w:w="1395" w:type="dxa"/>
            <w:tcBorders>
              <w:bottom w:val="single" w:sz="6" w:space="0" w:color="000000"/>
              <w:right w:val="single" w:sz="6" w:space="0" w:color="000000"/>
            </w:tcBorders>
            <w:vAlign w:val="center"/>
          </w:tcPr>
          <w:p w14:paraId="766A7A1E" w14:textId="77777777" w:rsidR="007D706A" w:rsidRDefault="007D706A" w:rsidP="00F70508">
            <w:pPr>
              <w:pStyle w:val="ParagraphStyle12"/>
              <w:rPr>
                <w:rStyle w:val="CharacterStyle12"/>
              </w:rPr>
            </w:pPr>
            <w:r>
              <w:rPr>
                <w:rStyle w:val="CharacterStyle12"/>
              </w:rPr>
              <w:t>1.600,00</w:t>
            </w:r>
          </w:p>
        </w:tc>
        <w:tc>
          <w:tcPr>
            <w:tcW w:w="1395" w:type="dxa"/>
            <w:tcBorders>
              <w:bottom w:val="single" w:sz="6" w:space="0" w:color="000000"/>
              <w:right w:val="single" w:sz="6" w:space="0" w:color="000000"/>
            </w:tcBorders>
            <w:vAlign w:val="center"/>
          </w:tcPr>
          <w:p w14:paraId="6DDBDA17" w14:textId="77777777" w:rsidR="007D706A" w:rsidRDefault="007D706A" w:rsidP="00F70508">
            <w:pPr>
              <w:pStyle w:val="ParagraphStyle12"/>
              <w:rPr>
                <w:rStyle w:val="CharacterStyle12"/>
              </w:rPr>
            </w:pPr>
            <w:r>
              <w:rPr>
                <w:rStyle w:val="CharacterStyle12"/>
              </w:rPr>
              <w:t>400,00</w:t>
            </w:r>
          </w:p>
        </w:tc>
        <w:tc>
          <w:tcPr>
            <w:tcW w:w="1395" w:type="dxa"/>
            <w:tcBorders>
              <w:bottom w:val="single" w:sz="6" w:space="0" w:color="000000"/>
              <w:right w:val="single" w:sz="6" w:space="0" w:color="000000"/>
            </w:tcBorders>
            <w:vAlign w:val="center"/>
          </w:tcPr>
          <w:p w14:paraId="264A94AD" w14:textId="77777777" w:rsidR="007D706A" w:rsidRDefault="007D706A" w:rsidP="00F70508">
            <w:pPr>
              <w:pStyle w:val="ParagraphStyle12"/>
              <w:rPr>
                <w:rStyle w:val="CharacterStyle12"/>
              </w:rPr>
            </w:pPr>
            <w:r>
              <w:rPr>
                <w:rStyle w:val="CharacterStyle12"/>
              </w:rPr>
              <w:t>590,00</w:t>
            </w:r>
          </w:p>
        </w:tc>
      </w:tr>
      <w:tr w:rsidR="007D706A" w14:paraId="6D02278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1518334"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6F23294B"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32F4266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B72C09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C536C5F" w14:textId="77777777" w:rsidR="007D706A" w:rsidRDefault="007D706A" w:rsidP="00F70508">
            <w:pPr>
              <w:pStyle w:val="ParagraphStyle12"/>
              <w:rPr>
                <w:rStyle w:val="CharacterStyle12"/>
              </w:rPr>
            </w:pPr>
            <w:r>
              <w:rPr>
                <w:rStyle w:val="CharacterStyle12"/>
              </w:rPr>
              <w:t>1.000,00</w:t>
            </w:r>
          </w:p>
        </w:tc>
        <w:tc>
          <w:tcPr>
            <w:tcW w:w="1395" w:type="dxa"/>
            <w:tcBorders>
              <w:bottom w:val="single" w:sz="6" w:space="0" w:color="000000"/>
              <w:right w:val="single" w:sz="6" w:space="0" w:color="000000"/>
            </w:tcBorders>
            <w:vAlign w:val="center"/>
          </w:tcPr>
          <w:p w14:paraId="07715A9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2AD4A25" w14:textId="77777777" w:rsidR="007D706A" w:rsidRDefault="007D706A" w:rsidP="00F70508">
            <w:pPr>
              <w:pStyle w:val="ParagraphStyle12"/>
              <w:rPr>
                <w:rStyle w:val="CharacterStyle12"/>
              </w:rPr>
            </w:pPr>
            <w:r>
              <w:rPr>
                <w:rStyle w:val="CharacterStyle12"/>
              </w:rPr>
              <w:t>0,00</w:t>
            </w:r>
          </w:p>
        </w:tc>
      </w:tr>
      <w:tr w:rsidR="007D706A" w14:paraId="04F33EB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6B29DAB" w14:textId="77777777" w:rsidR="007D706A" w:rsidRDefault="007D706A" w:rsidP="00F70508">
            <w:pPr>
              <w:pStyle w:val="ParagraphStyle10"/>
              <w:rPr>
                <w:rStyle w:val="CharacterStyle10"/>
              </w:rPr>
            </w:pPr>
            <w:r>
              <w:rPr>
                <w:rStyle w:val="CharacterStyle10"/>
              </w:rPr>
              <w:t>42</w:t>
            </w:r>
          </w:p>
        </w:tc>
        <w:tc>
          <w:tcPr>
            <w:tcW w:w="4995" w:type="dxa"/>
            <w:tcBorders>
              <w:bottom w:val="single" w:sz="6" w:space="0" w:color="000000"/>
              <w:right w:val="single" w:sz="6" w:space="0" w:color="000000"/>
            </w:tcBorders>
            <w:vAlign w:val="center"/>
          </w:tcPr>
          <w:p w14:paraId="0D574AEB"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68E1C9C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90697C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CFAA2BC" w14:textId="77777777" w:rsidR="007D706A" w:rsidRDefault="007D706A" w:rsidP="00F70508">
            <w:pPr>
              <w:pStyle w:val="ParagraphStyle12"/>
              <w:rPr>
                <w:rStyle w:val="CharacterStyle12"/>
              </w:rPr>
            </w:pPr>
            <w:r>
              <w:rPr>
                <w:rStyle w:val="CharacterStyle12"/>
              </w:rPr>
              <w:t>1.000,00</w:t>
            </w:r>
          </w:p>
        </w:tc>
        <w:tc>
          <w:tcPr>
            <w:tcW w:w="1395" w:type="dxa"/>
            <w:tcBorders>
              <w:bottom w:val="single" w:sz="6" w:space="0" w:color="000000"/>
              <w:right w:val="single" w:sz="6" w:space="0" w:color="000000"/>
            </w:tcBorders>
            <w:vAlign w:val="center"/>
          </w:tcPr>
          <w:p w14:paraId="4641EB8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9F55CBA" w14:textId="77777777" w:rsidR="007D706A" w:rsidRDefault="007D706A" w:rsidP="00F70508">
            <w:pPr>
              <w:pStyle w:val="ParagraphStyle12"/>
              <w:rPr>
                <w:rStyle w:val="CharacterStyle12"/>
              </w:rPr>
            </w:pPr>
            <w:r>
              <w:rPr>
                <w:rStyle w:val="CharacterStyle12"/>
              </w:rPr>
              <w:t>0,00</w:t>
            </w:r>
          </w:p>
        </w:tc>
      </w:tr>
      <w:tr w:rsidR="007D706A" w14:paraId="4D32AE76"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2BA931C" w14:textId="77777777" w:rsidR="007D706A" w:rsidRDefault="007D706A" w:rsidP="00F70508">
            <w:pPr>
              <w:pStyle w:val="ParagraphStyle7"/>
              <w:rPr>
                <w:rStyle w:val="CharacterStyle7"/>
              </w:rPr>
            </w:pPr>
            <w:r>
              <w:rPr>
                <w:rStyle w:val="CharacterStyle7"/>
              </w:rPr>
              <w:t>Izvor financiranja 41</w:t>
            </w:r>
          </w:p>
        </w:tc>
        <w:tc>
          <w:tcPr>
            <w:tcW w:w="4995" w:type="dxa"/>
            <w:tcBorders>
              <w:bottom w:val="single" w:sz="6" w:space="0" w:color="000000"/>
              <w:right w:val="single" w:sz="6" w:space="0" w:color="000000"/>
            </w:tcBorders>
            <w:vAlign w:val="center"/>
          </w:tcPr>
          <w:p w14:paraId="4AAA405C" w14:textId="77777777" w:rsidR="007D706A" w:rsidRDefault="007D706A" w:rsidP="00F70508">
            <w:pPr>
              <w:pStyle w:val="ParagraphStyle8"/>
              <w:rPr>
                <w:rStyle w:val="CharacterStyle8"/>
              </w:rPr>
            </w:pPr>
            <w:r>
              <w:rPr>
                <w:rStyle w:val="CharacterStyle8"/>
              </w:rPr>
              <w:t>Prihodi za posebne namjene</w:t>
            </w:r>
          </w:p>
        </w:tc>
        <w:tc>
          <w:tcPr>
            <w:tcW w:w="1395" w:type="dxa"/>
            <w:tcBorders>
              <w:bottom w:val="single" w:sz="6" w:space="0" w:color="000000"/>
              <w:right w:val="single" w:sz="6" w:space="0" w:color="000000"/>
            </w:tcBorders>
            <w:vAlign w:val="center"/>
          </w:tcPr>
          <w:p w14:paraId="0073E331"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8DF8A24" w14:textId="77777777" w:rsidR="007D706A" w:rsidRDefault="007D706A" w:rsidP="00F70508">
            <w:pPr>
              <w:pStyle w:val="ParagraphStyle9"/>
              <w:rPr>
                <w:rStyle w:val="CharacterStyle9"/>
              </w:rPr>
            </w:pPr>
            <w:r>
              <w:rPr>
                <w:rStyle w:val="CharacterStyle9"/>
              </w:rPr>
              <w:t>21.200,00</w:t>
            </w:r>
          </w:p>
        </w:tc>
        <w:tc>
          <w:tcPr>
            <w:tcW w:w="1395" w:type="dxa"/>
            <w:tcBorders>
              <w:bottom w:val="single" w:sz="6" w:space="0" w:color="000000"/>
              <w:right w:val="single" w:sz="6" w:space="0" w:color="000000"/>
            </w:tcBorders>
            <w:vAlign w:val="center"/>
          </w:tcPr>
          <w:p w14:paraId="32C381E3"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15ABBC2"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0E1B03B" w14:textId="77777777" w:rsidR="007D706A" w:rsidRDefault="007D706A" w:rsidP="00F70508">
            <w:pPr>
              <w:pStyle w:val="ParagraphStyle9"/>
              <w:rPr>
                <w:rStyle w:val="CharacterStyle9"/>
              </w:rPr>
            </w:pPr>
            <w:r>
              <w:rPr>
                <w:rStyle w:val="CharacterStyle9"/>
              </w:rPr>
              <w:t>0,00</w:t>
            </w:r>
          </w:p>
        </w:tc>
      </w:tr>
      <w:tr w:rsidR="007D706A" w14:paraId="5AB611A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C5BB557"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5548A797"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5F5235A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FE133C9" w14:textId="77777777" w:rsidR="007D706A" w:rsidRDefault="007D706A" w:rsidP="00F70508">
            <w:pPr>
              <w:pStyle w:val="ParagraphStyle12"/>
              <w:rPr>
                <w:rStyle w:val="CharacterStyle12"/>
              </w:rPr>
            </w:pPr>
            <w:r>
              <w:rPr>
                <w:rStyle w:val="CharacterStyle12"/>
              </w:rPr>
              <w:t>21.200,00</w:t>
            </w:r>
          </w:p>
        </w:tc>
        <w:tc>
          <w:tcPr>
            <w:tcW w:w="1395" w:type="dxa"/>
            <w:tcBorders>
              <w:bottom w:val="single" w:sz="6" w:space="0" w:color="000000"/>
              <w:right w:val="single" w:sz="6" w:space="0" w:color="000000"/>
            </w:tcBorders>
            <w:vAlign w:val="center"/>
          </w:tcPr>
          <w:p w14:paraId="2D8CAA5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86FC36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2A8A45B" w14:textId="77777777" w:rsidR="007D706A" w:rsidRDefault="007D706A" w:rsidP="00F70508">
            <w:pPr>
              <w:pStyle w:val="ParagraphStyle12"/>
              <w:rPr>
                <w:rStyle w:val="CharacterStyle12"/>
              </w:rPr>
            </w:pPr>
            <w:r>
              <w:rPr>
                <w:rStyle w:val="CharacterStyle12"/>
              </w:rPr>
              <w:t>0,00</w:t>
            </w:r>
          </w:p>
        </w:tc>
      </w:tr>
      <w:tr w:rsidR="007D706A" w14:paraId="46646F0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5CFD7F0"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619BC25D"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2F7C621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1CD0E29" w14:textId="77777777" w:rsidR="007D706A" w:rsidRDefault="007D706A" w:rsidP="00F70508">
            <w:pPr>
              <w:pStyle w:val="ParagraphStyle12"/>
              <w:rPr>
                <w:rStyle w:val="CharacterStyle12"/>
              </w:rPr>
            </w:pPr>
            <w:r>
              <w:rPr>
                <w:rStyle w:val="CharacterStyle12"/>
              </w:rPr>
              <w:t>21.200,00</w:t>
            </w:r>
          </w:p>
        </w:tc>
        <w:tc>
          <w:tcPr>
            <w:tcW w:w="1395" w:type="dxa"/>
            <w:tcBorders>
              <w:bottom w:val="single" w:sz="6" w:space="0" w:color="000000"/>
              <w:right w:val="single" w:sz="6" w:space="0" w:color="000000"/>
            </w:tcBorders>
            <w:vAlign w:val="center"/>
          </w:tcPr>
          <w:p w14:paraId="42A51F0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3A3104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1B34B81" w14:textId="77777777" w:rsidR="007D706A" w:rsidRDefault="007D706A" w:rsidP="00F70508">
            <w:pPr>
              <w:pStyle w:val="ParagraphStyle12"/>
              <w:rPr>
                <w:rStyle w:val="CharacterStyle12"/>
              </w:rPr>
            </w:pPr>
            <w:r>
              <w:rPr>
                <w:rStyle w:val="CharacterStyle12"/>
              </w:rPr>
              <w:t>0,00</w:t>
            </w:r>
          </w:p>
        </w:tc>
      </w:tr>
      <w:tr w:rsidR="007D706A" w14:paraId="15DFCAF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60521BD" w14:textId="77777777" w:rsidR="007D706A" w:rsidRDefault="007D706A" w:rsidP="00F70508">
            <w:pPr>
              <w:pStyle w:val="ParagraphStyle7"/>
              <w:rPr>
                <w:rStyle w:val="CharacterStyle7"/>
              </w:rPr>
            </w:pPr>
            <w:r>
              <w:rPr>
                <w:rStyle w:val="CharacterStyle7"/>
              </w:rPr>
              <w:t>Izvor financiranja 43</w:t>
            </w:r>
          </w:p>
        </w:tc>
        <w:tc>
          <w:tcPr>
            <w:tcW w:w="4995" w:type="dxa"/>
            <w:tcBorders>
              <w:bottom w:val="single" w:sz="6" w:space="0" w:color="000000"/>
              <w:right w:val="single" w:sz="6" w:space="0" w:color="000000"/>
            </w:tcBorders>
            <w:vAlign w:val="center"/>
          </w:tcPr>
          <w:p w14:paraId="5DEC053B" w14:textId="77777777" w:rsidR="007D706A" w:rsidRDefault="007D706A" w:rsidP="00F70508">
            <w:pPr>
              <w:pStyle w:val="ParagraphStyle8"/>
              <w:rPr>
                <w:rStyle w:val="CharacterStyle8"/>
              </w:rPr>
            </w:pPr>
            <w:r>
              <w:rPr>
                <w:rStyle w:val="CharacterStyle8"/>
              </w:rPr>
              <w:t>Ostali prihodi za posebne namjene</w:t>
            </w:r>
          </w:p>
        </w:tc>
        <w:tc>
          <w:tcPr>
            <w:tcW w:w="1395" w:type="dxa"/>
            <w:tcBorders>
              <w:bottom w:val="single" w:sz="6" w:space="0" w:color="000000"/>
              <w:right w:val="single" w:sz="6" w:space="0" w:color="000000"/>
            </w:tcBorders>
            <w:vAlign w:val="center"/>
          </w:tcPr>
          <w:p w14:paraId="4291A3C4"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8446F4A"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46E68F7" w14:textId="77777777" w:rsidR="007D706A" w:rsidRDefault="007D706A" w:rsidP="00F70508">
            <w:pPr>
              <w:pStyle w:val="ParagraphStyle9"/>
              <w:rPr>
                <w:rStyle w:val="CharacterStyle9"/>
              </w:rPr>
            </w:pPr>
            <w:r>
              <w:rPr>
                <w:rStyle w:val="CharacterStyle9"/>
              </w:rPr>
              <w:t>26.000,00</w:t>
            </w:r>
          </w:p>
        </w:tc>
        <w:tc>
          <w:tcPr>
            <w:tcW w:w="1395" w:type="dxa"/>
            <w:tcBorders>
              <w:bottom w:val="single" w:sz="6" w:space="0" w:color="000000"/>
              <w:right w:val="single" w:sz="6" w:space="0" w:color="000000"/>
            </w:tcBorders>
            <w:vAlign w:val="center"/>
          </w:tcPr>
          <w:p w14:paraId="3ABD819B" w14:textId="77777777" w:rsidR="007D706A" w:rsidRDefault="007D706A" w:rsidP="00F70508">
            <w:pPr>
              <w:pStyle w:val="ParagraphStyle9"/>
              <w:rPr>
                <w:rStyle w:val="CharacterStyle9"/>
              </w:rPr>
            </w:pPr>
            <w:r>
              <w:rPr>
                <w:rStyle w:val="CharacterStyle9"/>
              </w:rPr>
              <w:t>21.100,00</w:t>
            </w:r>
          </w:p>
        </w:tc>
        <w:tc>
          <w:tcPr>
            <w:tcW w:w="1395" w:type="dxa"/>
            <w:tcBorders>
              <w:bottom w:val="single" w:sz="6" w:space="0" w:color="000000"/>
              <w:right w:val="single" w:sz="6" w:space="0" w:color="000000"/>
            </w:tcBorders>
            <w:vAlign w:val="center"/>
          </w:tcPr>
          <w:p w14:paraId="1321E1CA" w14:textId="77777777" w:rsidR="007D706A" w:rsidRDefault="007D706A" w:rsidP="00F70508">
            <w:pPr>
              <w:pStyle w:val="ParagraphStyle9"/>
              <w:rPr>
                <w:rStyle w:val="CharacterStyle9"/>
              </w:rPr>
            </w:pPr>
            <w:r>
              <w:rPr>
                <w:rStyle w:val="CharacterStyle9"/>
              </w:rPr>
              <w:t>22.410,00</w:t>
            </w:r>
          </w:p>
        </w:tc>
      </w:tr>
      <w:tr w:rsidR="007D706A" w14:paraId="24FEE6E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57B2620"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207267C7"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6004021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4D0895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F32954C" w14:textId="77777777" w:rsidR="007D706A" w:rsidRDefault="007D706A" w:rsidP="00F70508">
            <w:pPr>
              <w:pStyle w:val="ParagraphStyle12"/>
              <w:rPr>
                <w:rStyle w:val="CharacterStyle12"/>
              </w:rPr>
            </w:pPr>
            <w:r>
              <w:rPr>
                <w:rStyle w:val="CharacterStyle12"/>
              </w:rPr>
              <w:t>25.000,00</w:t>
            </w:r>
          </w:p>
        </w:tc>
        <w:tc>
          <w:tcPr>
            <w:tcW w:w="1395" w:type="dxa"/>
            <w:tcBorders>
              <w:bottom w:val="single" w:sz="6" w:space="0" w:color="000000"/>
              <w:right w:val="single" w:sz="6" w:space="0" w:color="000000"/>
            </w:tcBorders>
            <w:vAlign w:val="center"/>
          </w:tcPr>
          <w:p w14:paraId="72963649" w14:textId="77777777" w:rsidR="007D706A" w:rsidRDefault="007D706A" w:rsidP="00F70508">
            <w:pPr>
              <w:pStyle w:val="ParagraphStyle12"/>
              <w:rPr>
                <w:rStyle w:val="CharacterStyle12"/>
              </w:rPr>
            </w:pPr>
            <w:r>
              <w:rPr>
                <w:rStyle w:val="CharacterStyle12"/>
              </w:rPr>
              <w:t>21.100,00</w:t>
            </w:r>
          </w:p>
        </w:tc>
        <w:tc>
          <w:tcPr>
            <w:tcW w:w="1395" w:type="dxa"/>
            <w:tcBorders>
              <w:bottom w:val="single" w:sz="6" w:space="0" w:color="000000"/>
              <w:right w:val="single" w:sz="6" w:space="0" w:color="000000"/>
            </w:tcBorders>
            <w:vAlign w:val="center"/>
          </w:tcPr>
          <w:p w14:paraId="07AD78C6" w14:textId="77777777" w:rsidR="007D706A" w:rsidRDefault="007D706A" w:rsidP="00F70508">
            <w:pPr>
              <w:pStyle w:val="ParagraphStyle12"/>
              <w:rPr>
                <w:rStyle w:val="CharacterStyle12"/>
              </w:rPr>
            </w:pPr>
            <w:r>
              <w:rPr>
                <w:rStyle w:val="CharacterStyle12"/>
              </w:rPr>
              <w:t>22.410,00</w:t>
            </w:r>
          </w:p>
        </w:tc>
      </w:tr>
      <w:tr w:rsidR="007D706A" w14:paraId="7E76A14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1EDBEE7"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78C19595"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3594640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8CE0D6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3E5E0DF" w14:textId="77777777" w:rsidR="007D706A" w:rsidRDefault="007D706A" w:rsidP="00F70508">
            <w:pPr>
              <w:pStyle w:val="ParagraphStyle12"/>
              <w:rPr>
                <w:rStyle w:val="CharacterStyle12"/>
              </w:rPr>
            </w:pPr>
            <w:r>
              <w:rPr>
                <w:rStyle w:val="CharacterStyle12"/>
              </w:rPr>
              <w:t>25.000,00</w:t>
            </w:r>
          </w:p>
        </w:tc>
        <w:tc>
          <w:tcPr>
            <w:tcW w:w="1395" w:type="dxa"/>
            <w:tcBorders>
              <w:bottom w:val="single" w:sz="6" w:space="0" w:color="000000"/>
              <w:right w:val="single" w:sz="6" w:space="0" w:color="000000"/>
            </w:tcBorders>
            <w:vAlign w:val="center"/>
          </w:tcPr>
          <w:p w14:paraId="14F08F6D" w14:textId="77777777" w:rsidR="007D706A" w:rsidRDefault="007D706A" w:rsidP="00F70508">
            <w:pPr>
              <w:pStyle w:val="ParagraphStyle12"/>
              <w:rPr>
                <w:rStyle w:val="CharacterStyle12"/>
              </w:rPr>
            </w:pPr>
            <w:r>
              <w:rPr>
                <w:rStyle w:val="CharacterStyle12"/>
              </w:rPr>
              <w:t>21.100,00</w:t>
            </w:r>
          </w:p>
        </w:tc>
        <w:tc>
          <w:tcPr>
            <w:tcW w:w="1395" w:type="dxa"/>
            <w:tcBorders>
              <w:bottom w:val="single" w:sz="6" w:space="0" w:color="000000"/>
              <w:right w:val="single" w:sz="6" w:space="0" w:color="000000"/>
            </w:tcBorders>
            <w:vAlign w:val="center"/>
          </w:tcPr>
          <w:p w14:paraId="6BBAF5DA" w14:textId="77777777" w:rsidR="007D706A" w:rsidRDefault="007D706A" w:rsidP="00F70508">
            <w:pPr>
              <w:pStyle w:val="ParagraphStyle12"/>
              <w:rPr>
                <w:rStyle w:val="CharacterStyle12"/>
              </w:rPr>
            </w:pPr>
            <w:r>
              <w:rPr>
                <w:rStyle w:val="CharacterStyle12"/>
              </w:rPr>
              <w:t>22.410,00</w:t>
            </w:r>
          </w:p>
        </w:tc>
      </w:tr>
      <w:tr w:rsidR="007D706A" w14:paraId="155523D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81729F2"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1BB0DF17"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6B6B355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AEA4F7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9F6F0ED" w14:textId="77777777" w:rsidR="007D706A" w:rsidRDefault="007D706A" w:rsidP="00F70508">
            <w:pPr>
              <w:pStyle w:val="ParagraphStyle12"/>
              <w:rPr>
                <w:rStyle w:val="CharacterStyle12"/>
              </w:rPr>
            </w:pPr>
            <w:r>
              <w:rPr>
                <w:rStyle w:val="CharacterStyle12"/>
              </w:rPr>
              <w:t>1.000,00</w:t>
            </w:r>
          </w:p>
        </w:tc>
        <w:tc>
          <w:tcPr>
            <w:tcW w:w="1395" w:type="dxa"/>
            <w:tcBorders>
              <w:bottom w:val="single" w:sz="6" w:space="0" w:color="000000"/>
              <w:right w:val="single" w:sz="6" w:space="0" w:color="000000"/>
            </w:tcBorders>
            <w:vAlign w:val="center"/>
          </w:tcPr>
          <w:p w14:paraId="7185A17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E91401B" w14:textId="77777777" w:rsidR="007D706A" w:rsidRDefault="007D706A" w:rsidP="00F70508">
            <w:pPr>
              <w:pStyle w:val="ParagraphStyle12"/>
              <w:rPr>
                <w:rStyle w:val="CharacterStyle12"/>
              </w:rPr>
            </w:pPr>
            <w:r>
              <w:rPr>
                <w:rStyle w:val="CharacterStyle12"/>
              </w:rPr>
              <w:t>0,00</w:t>
            </w:r>
          </w:p>
        </w:tc>
      </w:tr>
      <w:tr w:rsidR="007D706A" w14:paraId="676310F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E4D2614" w14:textId="77777777" w:rsidR="007D706A" w:rsidRDefault="007D706A" w:rsidP="00F70508">
            <w:pPr>
              <w:pStyle w:val="ParagraphStyle10"/>
              <w:rPr>
                <w:rStyle w:val="CharacterStyle10"/>
              </w:rPr>
            </w:pPr>
            <w:r>
              <w:rPr>
                <w:rStyle w:val="CharacterStyle10"/>
              </w:rPr>
              <w:t>42</w:t>
            </w:r>
          </w:p>
        </w:tc>
        <w:tc>
          <w:tcPr>
            <w:tcW w:w="4995" w:type="dxa"/>
            <w:tcBorders>
              <w:bottom w:val="single" w:sz="6" w:space="0" w:color="000000"/>
              <w:right w:val="single" w:sz="6" w:space="0" w:color="000000"/>
            </w:tcBorders>
            <w:vAlign w:val="center"/>
          </w:tcPr>
          <w:p w14:paraId="70BABCD5"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46EB230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5AC845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65CBBB2" w14:textId="77777777" w:rsidR="007D706A" w:rsidRDefault="007D706A" w:rsidP="00F70508">
            <w:pPr>
              <w:pStyle w:val="ParagraphStyle12"/>
              <w:rPr>
                <w:rStyle w:val="CharacterStyle12"/>
              </w:rPr>
            </w:pPr>
            <w:r>
              <w:rPr>
                <w:rStyle w:val="CharacterStyle12"/>
              </w:rPr>
              <w:t>1.000,00</w:t>
            </w:r>
          </w:p>
        </w:tc>
        <w:tc>
          <w:tcPr>
            <w:tcW w:w="1395" w:type="dxa"/>
            <w:tcBorders>
              <w:bottom w:val="single" w:sz="6" w:space="0" w:color="000000"/>
              <w:right w:val="single" w:sz="6" w:space="0" w:color="000000"/>
            </w:tcBorders>
            <w:vAlign w:val="center"/>
          </w:tcPr>
          <w:p w14:paraId="2E994BD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9FF6F71" w14:textId="77777777" w:rsidR="007D706A" w:rsidRDefault="007D706A" w:rsidP="00F70508">
            <w:pPr>
              <w:pStyle w:val="ParagraphStyle12"/>
              <w:rPr>
                <w:rStyle w:val="CharacterStyle12"/>
              </w:rPr>
            </w:pPr>
            <w:r>
              <w:rPr>
                <w:rStyle w:val="CharacterStyle12"/>
              </w:rPr>
              <w:t>0,00</w:t>
            </w:r>
          </w:p>
        </w:tc>
      </w:tr>
      <w:tr w:rsidR="007D706A" w14:paraId="7C33803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E8E1E61" w14:textId="77777777" w:rsidR="007D706A" w:rsidRDefault="007D706A" w:rsidP="00F70508">
            <w:pPr>
              <w:pStyle w:val="ParagraphStyle7"/>
              <w:rPr>
                <w:rStyle w:val="CharacterStyle7"/>
              </w:rPr>
            </w:pPr>
            <w:r>
              <w:rPr>
                <w:rStyle w:val="CharacterStyle7"/>
              </w:rPr>
              <w:t>Izvor financiranja 5</w:t>
            </w:r>
          </w:p>
        </w:tc>
        <w:tc>
          <w:tcPr>
            <w:tcW w:w="4995" w:type="dxa"/>
            <w:tcBorders>
              <w:bottom w:val="single" w:sz="6" w:space="0" w:color="000000"/>
              <w:right w:val="single" w:sz="6" w:space="0" w:color="000000"/>
            </w:tcBorders>
            <w:vAlign w:val="center"/>
          </w:tcPr>
          <w:p w14:paraId="0D3062DB" w14:textId="77777777" w:rsidR="007D706A" w:rsidRDefault="007D706A" w:rsidP="00F70508">
            <w:pPr>
              <w:pStyle w:val="ParagraphStyle8"/>
              <w:rPr>
                <w:rStyle w:val="CharacterStyle8"/>
              </w:rPr>
            </w:pPr>
            <w:r>
              <w:rPr>
                <w:rStyle w:val="CharacterStyle8"/>
              </w:rPr>
              <w:t>POMOĆI</w:t>
            </w:r>
          </w:p>
        </w:tc>
        <w:tc>
          <w:tcPr>
            <w:tcW w:w="1395" w:type="dxa"/>
            <w:tcBorders>
              <w:bottom w:val="single" w:sz="6" w:space="0" w:color="000000"/>
              <w:right w:val="single" w:sz="6" w:space="0" w:color="000000"/>
            </w:tcBorders>
            <w:vAlign w:val="center"/>
          </w:tcPr>
          <w:p w14:paraId="144D2974"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F3BFBF6"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B3E0EBD" w14:textId="77777777" w:rsidR="007D706A" w:rsidRDefault="007D706A" w:rsidP="00F70508">
            <w:pPr>
              <w:pStyle w:val="ParagraphStyle9"/>
              <w:rPr>
                <w:rStyle w:val="CharacterStyle9"/>
              </w:rPr>
            </w:pPr>
            <w:r>
              <w:rPr>
                <w:rStyle w:val="CharacterStyle9"/>
              </w:rPr>
              <w:t>4.000,00</w:t>
            </w:r>
          </w:p>
        </w:tc>
        <w:tc>
          <w:tcPr>
            <w:tcW w:w="1395" w:type="dxa"/>
            <w:tcBorders>
              <w:bottom w:val="single" w:sz="6" w:space="0" w:color="000000"/>
              <w:right w:val="single" w:sz="6" w:space="0" w:color="000000"/>
            </w:tcBorders>
            <w:vAlign w:val="center"/>
          </w:tcPr>
          <w:p w14:paraId="46C86AF6" w14:textId="77777777" w:rsidR="007D706A" w:rsidRDefault="007D706A" w:rsidP="00F70508">
            <w:pPr>
              <w:pStyle w:val="ParagraphStyle9"/>
              <w:rPr>
                <w:rStyle w:val="CharacterStyle9"/>
              </w:rPr>
            </w:pPr>
            <w:r>
              <w:rPr>
                <w:rStyle w:val="CharacterStyle9"/>
              </w:rPr>
              <w:t>2.500,00</w:t>
            </w:r>
          </w:p>
        </w:tc>
        <w:tc>
          <w:tcPr>
            <w:tcW w:w="1395" w:type="dxa"/>
            <w:tcBorders>
              <w:bottom w:val="single" w:sz="6" w:space="0" w:color="000000"/>
              <w:right w:val="single" w:sz="6" w:space="0" w:color="000000"/>
            </w:tcBorders>
            <w:vAlign w:val="center"/>
          </w:tcPr>
          <w:p w14:paraId="11BC346A" w14:textId="77777777" w:rsidR="007D706A" w:rsidRDefault="007D706A" w:rsidP="00F70508">
            <w:pPr>
              <w:pStyle w:val="ParagraphStyle9"/>
              <w:rPr>
                <w:rStyle w:val="CharacterStyle9"/>
              </w:rPr>
            </w:pPr>
            <w:r>
              <w:rPr>
                <w:rStyle w:val="CharacterStyle9"/>
              </w:rPr>
              <w:t>2.500,00</w:t>
            </w:r>
          </w:p>
        </w:tc>
      </w:tr>
      <w:tr w:rsidR="007D706A" w14:paraId="47265D4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ECA1F7C"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0B26B4BD"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66F05E3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E5B86F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854F4BE" w14:textId="77777777" w:rsidR="007D706A" w:rsidRDefault="007D706A" w:rsidP="00F70508">
            <w:pPr>
              <w:pStyle w:val="ParagraphStyle12"/>
              <w:rPr>
                <w:rStyle w:val="CharacterStyle12"/>
              </w:rPr>
            </w:pPr>
            <w:r>
              <w:rPr>
                <w:rStyle w:val="CharacterStyle12"/>
              </w:rPr>
              <w:t>4.000,00</w:t>
            </w:r>
          </w:p>
        </w:tc>
        <w:tc>
          <w:tcPr>
            <w:tcW w:w="1395" w:type="dxa"/>
            <w:tcBorders>
              <w:bottom w:val="single" w:sz="6" w:space="0" w:color="000000"/>
              <w:right w:val="single" w:sz="6" w:space="0" w:color="000000"/>
            </w:tcBorders>
            <w:vAlign w:val="center"/>
          </w:tcPr>
          <w:p w14:paraId="3E3DD60B" w14:textId="77777777" w:rsidR="007D706A" w:rsidRDefault="007D706A" w:rsidP="00F70508">
            <w:pPr>
              <w:pStyle w:val="ParagraphStyle12"/>
              <w:rPr>
                <w:rStyle w:val="CharacterStyle12"/>
              </w:rPr>
            </w:pPr>
            <w:r>
              <w:rPr>
                <w:rStyle w:val="CharacterStyle12"/>
              </w:rPr>
              <w:t>2.500,00</w:t>
            </w:r>
          </w:p>
        </w:tc>
        <w:tc>
          <w:tcPr>
            <w:tcW w:w="1395" w:type="dxa"/>
            <w:tcBorders>
              <w:bottom w:val="single" w:sz="6" w:space="0" w:color="000000"/>
              <w:right w:val="single" w:sz="6" w:space="0" w:color="000000"/>
            </w:tcBorders>
            <w:vAlign w:val="center"/>
          </w:tcPr>
          <w:p w14:paraId="6549469A" w14:textId="77777777" w:rsidR="007D706A" w:rsidRDefault="007D706A" w:rsidP="00F70508">
            <w:pPr>
              <w:pStyle w:val="ParagraphStyle12"/>
              <w:rPr>
                <w:rStyle w:val="CharacterStyle12"/>
              </w:rPr>
            </w:pPr>
            <w:r>
              <w:rPr>
                <w:rStyle w:val="CharacterStyle12"/>
              </w:rPr>
              <w:t>2.500,00</w:t>
            </w:r>
          </w:p>
        </w:tc>
      </w:tr>
      <w:tr w:rsidR="007D706A" w14:paraId="31C1E9A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5D57D1B"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0A2D4882"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0643529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FC3F02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AE1C436" w14:textId="77777777" w:rsidR="007D706A" w:rsidRDefault="007D706A" w:rsidP="00F70508">
            <w:pPr>
              <w:pStyle w:val="ParagraphStyle12"/>
              <w:rPr>
                <w:rStyle w:val="CharacterStyle12"/>
              </w:rPr>
            </w:pPr>
            <w:r>
              <w:rPr>
                <w:rStyle w:val="CharacterStyle12"/>
              </w:rPr>
              <w:t>4.000,00</w:t>
            </w:r>
          </w:p>
        </w:tc>
        <w:tc>
          <w:tcPr>
            <w:tcW w:w="1395" w:type="dxa"/>
            <w:tcBorders>
              <w:bottom w:val="single" w:sz="6" w:space="0" w:color="000000"/>
              <w:right w:val="single" w:sz="6" w:space="0" w:color="000000"/>
            </w:tcBorders>
            <w:vAlign w:val="center"/>
          </w:tcPr>
          <w:p w14:paraId="423151F7" w14:textId="77777777" w:rsidR="007D706A" w:rsidRDefault="007D706A" w:rsidP="00F70508">
            <w:pPr>
              <w:pStyle w:val="ParagraphStyle12"/>
              <w:rPr>
                <w:rStyle w:val="CharacterStyle12"/>
              </w:rPr>
            </w:pPr>
            <w:r>
              <w:rPr>
                <w:rStyle w:val="CharacterStyle12"/>
              </w:rPr>
              <w:t>2.500,00</w:t>
            </w:r>
          </w:p>
        </w:tc>
        <w:tc>
          <w:tcPr>
            <w:tcW w:w="1395" w:type="dxa"/>
            <w:tcBorders>
              <w:bottom w:val="single" w:sz="6" w:space="0" w:color="000000"/>
              <w:right w:val="single" w:sz="6" w:space="0" w:color="000000"/>
            </w:tcBorders>
            <w:vAlign w:val="center"/>
          </w:tcPr>
          <w:p w14:paraId="79223E6E" w14:textId="77777777" w:rsidR="007D706A" w:rsidRDefault="007D706A" w:rsidP="00F70508">
            <w:pPr>
              <w:pStyle w:val="ParagraphStyle12"/>
              <w:rPr>
                <w:rStyle w:val="CharacterStyle12"/>
              </w:rPr>
            </w:pPr>
            <w:r>
              <w:rPr>
                <w:rStyle w:val="CharacterStyle12"/>
              </w:rPr>
              <w:t>2.500,00</w:t>
            </w:r>
          </w:p>
        </w:tc>
      </w:tr>
      <w:tr w:rsidR="007D706A" w14:paraId="3A3CEEE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72DE137" w14:textId="77777777" w:rsidR="007D706A" w:rsidRDefault="007D706A" w:rsidP="00F70508">
            <w:pPr>
              <w:pStyle w:val="ParagraphStyle7"/>
              <w:rPr>
                <w:rStyle w:val="CharacterStyle7"/>
              </w:rPr>
            </w:pPr>
            <w:r>
              <w:rPr>
                <w:rStyle w:val="CharacterStyle7"/>
              </w:rPr>
              <w:t>Izvor financiranja 50</w:t>
            </w:r>
          </w:p>
        </w:tc>
        <w:tc>
          <w:tcPr>
            <w:tcW w:w="4995" w:type="dxa"/>
            <w:tcBorders>
              <w:bottom w:val="single" w:sz="6" w:space="0" w:color="000000"/>
              <w:right w:val="single" w:sz="6" w:space="0" w:color="000000"/>
            </w:tcBorders>
            <w:vAlign w:val="center"/>
          </w:tcPr>
          <w:p w14:paraId="3625FF9B" w14:textId="77777777" w:rsidR="007D706A" w:rsidRDefault="007D706A" w:rsidP="00F70508">
            <w:pPr>
              <w:pStyle w:val="ParagraphStyle8"/>
              <w:rPr>
                <w:rStyle w:val="CharacterStyle8"/>
              </w:rPr>
            </w:pPr>
            <w:r>
              <w:rPr>
                <w:rStyle w:val="CharacterStyle8"/>
              </w:rPr>
              <w:t>Pomoći iz državnog proračuna</w:t>
            </w:r>
          </w:p>
        </w:tc>
        <w:tc>
          <w:tcPr>
            <w:tcW w:w="1395" w:type="dxa"/>
            <w:tcBorders>
              <w:bottom w:val="single" w:sz="6" w:space="0" w:color="000000"/>
              <w:right w:val="single" w:sz="6" w:space="0" w:color="000000"/>
            </w:tcBorders>
            <w:vAlign w:val="center"/>
          </w:tcPr>
          <w:p w14:paraId="6ACBA443"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1699F12"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C082B69" w14:textId="77777777" w:rsidR="007D706A" w:rsidRDefault="007D706A" w:rsidP="00F70508">
            <w:pPr>
              <w:pStyle w:val="ParagraphStyle9"/>
              <w:rPr>
                <w:rStyle w:val="CharacterStyle9"/>
              </w:rPr>
            </w:pPr>
            <w:r>
              <w:rPr>
                <w:rStyle w:val="CharacterStyle9"/>
              </w:rPr>
              <w:t>10.000,00</w:t>
            </w:r>
          </w:p>
        </w:tc>
        <w:tc>
          <w:tcPr>
            <w:tcW w:w="1395" w:type="dxa"/>
            <w:tcBorders>
              <w:bottom w:val="single" w:sz="6" w:space="0" w:color="000000"/>
              <w:right w:val="single" w:sz="6" w:space="0" w:color="000000"/>
            </w:tcBorders>
            <w:vAlign w:val="center"/>
          </w:tcPr>
          <w:p w14:paraId="10764BFD" w14:textId="77777777" w:rsidR="007D706A" w:rsidRDefault="007D706A" w:rsidP="00F70508">
            <w:pPr>
              <w:pStyle w:val="ParagraphStyle9"/>
              <w:rPr>
                <w:rStyle w:val="CharacterStyle9"/>
              </w:rPr>
            </w:pPr>
            <w:r>
              <w:rPr>
                <w:rStyle w:val="CharacterStyle9"/>
              </w:rPr>
              <w:t>7.500,00</w:t>
            </w:r>
          </w:p>
        </w:tc>
        <w:tc>
          <w:tcPr>
            <w:tcW w:w="1395" w:type="dxa"/>
            <w:tcBorders>
              <w:bottom w:val="single" w:sz="6" w:space="0" w:color="000000"/>
              <w:right w:val="single" w:sz="6" w:space="0" w:color="000000"/>
            </w:tcBorders>
            <w:vAlign w:val="center"/>
          </w:tcPr>
          <w:p w14:paraId="254DF1AB" w14:textId="77777777" w:rsidR="007D706A" w:rsidRDefault="007D706A" w:rsidP="00F70508">
            <w:pPr>
              <w:pStyle w:val="ParagraphStyle9"/>
              <w:rPr>
                <w:rStyle w:val="CharacterStyle9"/>
              </w:rPr>
            </w:pPr>
            <w:r>
              <w:rPr>
                <w:rStyle w:val="CharacterStyle9"/>
              </w:rPr>
              <w:t>7.500,00</w:t>
            </w:r>
          </w:p>
        </w:tc>
      </w:tr>
      <w:tr w:rsidR="007D706A" w14:paraId="3555A70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EA6268D"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5721DB1E"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48DFFD5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405EA1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1F229C9" w14:textId="77777777" w:rsidR="007D706A" w:rsidRDefault="007D706A" w:rsidP="00F70508">
            <w:pPr>
              <w:pStyle w:val="ParagraphStyle12"/>
              <w:rPr>
                <w:rStyle w:val="CharacterStyle12"/>
              </w:rPr>
            </w:pPr>
            <w:r>
              <w:rPr>
                <w:rStyle w:val="CharacterStyle12"/>
              </w:rPr>
              <w:t>10.000,00</w:t>
            </w:r>
          </w:p>
        </w:tc>
        <w:tc>
          <w:tcPr>
            <w:tcW w:w="1395" w:type="dxa"/>
            <w:tcBorders>
              <w:bottom w:val="single" w:sz="6" w:space="0" w:color="000000"/>
              <w:right w:val="single" w:sz="6" w:space="0" w:color="000000"/>
            </w:tcBorders>
            <w:vAlign w:val="center"/>
          </w:tcPr>
          <w:p w14:paraId="4239A4B0" w14:textId="77777777" w:rsidR="007D706A" w:rsidRDefault="007D706A" w:rsidP="00F70508">
            <w:pPr>
              <w:pStyle w:val="ParagraphStyle12"/>
              <w:rPr>
                <w:rStyle w:val="CharacterStyle12"/>
              </w:rPr>
            </w:pPr>
            <w:r>
              <w:rPr>
                <w:rStyle w:val="CharacterStyle12"/>
              </w:rPr>
              <w:t>7.500,00</w:t>
            </w:r>
          </w:p>
        </w:tc>
        <w:tc>
          <w:tcPr>
            <w:tcW w:w="1395" w:type="dxa"/>
            <w:tcBorders>
              <w:bottom w:val="single" w:sz="6" w:space="0" w:color="000000"/>
              <w:right w:val="single" w:sz="6" w:space="0" w:color="000000"/>
            </w:tcBorders>
            <w:vAlign w:val="center"/>
          </w:tcPr>
          <w:p w14:paraId="386FD546" w14:textId="77777777" w:rsidR="007D706A" w:rsidRDefault="007D706A" w:rsidP="00F70508">
            <w:pPr>
              <w:pStyle w:val="ParagraphStyle12"/>
              <w:rPr>
                <w:rStyle w:val="CharacterStyle12"/>
              </w:rPr>
            </w:pPr>
            <w:r>
              <w:rPr>
                <w:rStyle w:val="CharacterStyle12"/>
              </w:rPr>
              <w:t>7.500,00</w:t>
            </w:r>
          </w:p>
        </w:tc>
      </w:tr>
      <w:tr w:rsidR="007D706A" w14:paraId="5740BA8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1F5DE7C"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40650933"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7F1EAE4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712032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9101C7A" w14:textId="77777777" w:rsidR="007D706A" w:rsidRDefault="007D706A" w:rsidP="00F70508">
            <w:pPr>
              <w:pStyle w:val="ParagraphStyle12"/>
              <w:rPr>
                <w:rStyle w:val="CharacterStyle12"/>
              </w:rPr>
            </w:pPr>
            <w:r>
              <w:rPr>
                <w:rStyle w:val="CharacterStyle12"/>
              </w:rPr>
              <w:t>10.000,00</w:t>
            </w:r>
          </w:p>
        </w:tc>
        <w:tc>
          <w:tcPr>
            <w:tcW w:w="1395" w:type="dxa"/>
            <w:tcBorders>
              <w:bottom w:val="single" w:sz="6" w:space="0" w:color="000000"/>
              <w:right w:val="single" w:sz="6" w:space="0" w:color="000000"/>
            </w:tcBorders>
            <w:vAlign w:val="center"/>
          </w:tcPr>
          <w:p w14:paraId="2A215355" w14:textId="77777777" w:rsidR="007D706A" w:rsidRDefault="007D706A" w:rsidP="00F70508">
            <w:pPr>
              <w:pStyle w:val="ParagraphStyle12"/>
              <w:rPr>
                <w:rStyle w:val="CharacterStyle12"/>
              </w:rPr>
            </w:pPr>
            <w:r>
              <w:rPr>
                <w:rStyle w:val="CharacterStyle12"/>
              </w:rPr>
              <w:t>7.500,00</w:t>
            </w:r>
          </w:p>
        </w:tc>
        <w:tc>
          <w:tcPr>
            <w:tcW w:w="1395" w:type="dxa"/>
            <w:tcBorders>
              <w:bottom w:val="single" w:sz="6" w:space="0" w:color="000000"/>
              <w:right w:val="single" w:sz="6" w:space="0" w:color="000000"/>
            </w:tcBorders>
            <w:vAlign w:val="center"/>
          </w:tcPr>
          <w:p w14:paraId="5B86A3A4" w14:textId="77777777" w:rsidR="007D706A" w:rsidRDefault="007D706A" w:rsidP="00F70508">
            <w:pPr>
              <w:pStyle w:val="ParagraphStyle12"/>
              <w:rPr>
                <w:rStyle w:val="CharacterStyle12"/>
              </w:rPr>
            </w:pPr>
            <w:r>
              <w:rPr>
                <w:rStyle w:val="CharacterStyle12"/>
              </w:rPr>
              <w:t>7.500,00</w:t>
            </w:r>
          </w:p>
        </w:tc>
      </w:tr>
      <w:tr w:rsidR="007D706A" w14:paraId="09AC421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9406864" w14:textId="77777777" w:rsidR="007D706A" w:rsidRDefault="007D706A" w:rsidP="00F70508">
            <w:pPr>
              <w:pStyle w:val="ParagraphStyle7"/>
              <w:rPr>
                <w:rStyle w:val="CharacterStyle7"/>
              </w:rPr>
            </w:pPr>
            <w:r>
              <w:rPr>
                <w:rStyle w:val="CharacterStyle7"/>
              </w:rPr>
              <w:t>Izvor financiranja 53</w:t>
            </w:r>
          </w:p>
        </w:tc>
        <w:tc>
          <w:tcPr>
            <w:tcW w:w="4995" w:type="dxa"/>
            <w:tcBorders>
              <w:bottom w:val="single" w:sz="6" w:space="0" w:color="000000"/>
              <w:right w:val="single" w:sz="6" w:space="0" w:color="000000"/>
            </w:tcBorders>
            <w:vAlign w:val="center"/>
          </w:tcPr>
          <w:p w14:paraId="66F1A9A1" w14:textId="77777777" w:rsidR="007D706A" w:rsidRDefault="007D706A" w:rsidP="00F70508">
            <w:pPr>
              <w:pStyle w:val="ParagraphStyle8"/>
              <w:rPr>
                <w:rStyle w:val="CharacterStyle8"/>
              </w:rPr>
            </w:pPr>
            <w:r>
              <w:rPr>
                <w:rStyle w:val="CharacterStyle8"/>
              </w:rPr>
              <w:t>Proračuni, drugi nivoi - za posebne i / ili ugovorene namjene</w:t>
            </w:r>
          </w:p>
        </w:tc>
        <w:tc>
          <w:tcPr>
            <w:tcW w:w="1395" w:type="dxa"/>
            <w:tcBorders>
              <w:bottom w:val="single" w:sz="6" w:space="0" w:color="000000"/>
              <w:right w:val="single" w:sz="6" w:space="0" w:color="000000"/>
            </w:tcBorders>
            <w:vAlign w:val="center"/>
          </w:tcPr>
          <w:p w14:paraId="60057581"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C79C4E8" w14:textId="77777777" w:rsidR="007D706A" w:rsidRDefault="007D706A" w:rsidP="00F70508">
            <w:pPr>
              <w:pStyle w:val="ParagraphStyle9"/>
              <w:rPr>
                <w:rStyle w:val="CharacterStyle9"/>
              </w:rPr>
            </w:pPr>
            <w:r>
              <w:rPr>
                <w:rStyle w:val="CharacterStyle9"/>
              </w:rPr>
              <w:t>7.400,00</w:t>
            </w:r>
          </w:p>
        </w:tc>
        <w:tc>
          <w:tcPr>
            <w:tcW w:w="1395" w:type="dxa"/>
            <w:tcBorders>
              <w:bottom w:val="single" w:sz="6" w:space="0" w:color="000000"/>
              <w:right w:val="single" w:sz="6" w:space="0" w:color="000000"/>
            </w:tcBorders>
            <w:vAlign w:val="center"/>
          </w:tcPr>
          <w:p w14:paraId="7683D976"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B3A7443"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C8AF380" w14:textId="77777777" w:rsidR="007D706A" w:rsidRDefault="007D706A" w:rsidP="00F70508">
            <w:pPr>
              <w:pStyle w:val="ParagraphStyle9"/>
              <w:rPr>
                <w:rStyle w:val="CharacterStyle9"/>
              </w:rPr>
            </w:pPr>
            <w:r>
              <w:rPr>
                <w:rStyle w:val="CharacterStyle9"/>
              </w:rPr>
              <w:t>0,00</w:t>
            </w:r>
          </w:p>
        </w:tc>
      </w:tr>
      <w:tr w:rsidR="007D706A" w14:paraId="2FD0A83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06FC52B"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4AEBDC89"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55784C6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3182D6B" w14:textId="77777777" w:rsidR="007D706A" w:rsidRDefault="007D706A" w:rsidP="00F70508">
            <w:pPr>
              <w:pStyle w:val="ParagraphStyle12"/>
              <w:rPr>
                <w:rStyle w:val="CharacterStyle12"/>
              </w:rPr>
            </w:pPr>
            <w:r>
              <w:rPr>
                <w:rStyle w:val="CharacterStyle12"/>
              </w:rPr>
              <w:t>7.400,00</w:t>
            </w:r>
          </w:p>
        </w:tc>
        <w:tc>
          <w:tcPr>
            <w:tcW w:w="1395" w:type="dxa"/>
            <w:tcBorders>
              <w:bottom w:val="single" w:sz="6" w:space="0" w:color="000000"/>
              <w:right w:val="single" w:sz="6" w:space="0" w:color="000000"/>
            </w:tcBorders>
            <w:vAlign w:val="center"/>
          </w:tcPr>
          <w:p w14:paraId="51930A1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0F79C6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6381029" w14:textId="77777777" w:rsidR="007D706A" w:rsidRDefault="007D706A" w:rsidP="00F70508">
            <w:pPr>
              <w:pStyle w:val="ParagraphStyle12"/>
              <w:rPr>
                <w:rStyle w:val="CharacterStyle12"/>
              </w:rPr>
            </w:pPr>
            <w:r>
              <w:rPr>
                <w:rStyle w:val="CharacterStyle12"/>
              </w:rPr>
              <w:t>0,00</w:t>
            </w:r>
          </w:p>
        </w:tc>
      </w:tr>
      <w:tr w:rsidR="007D706A" w14:paraId="36A0E7E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2D25670"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0A4B0EB0"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7C7F1D1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38D2E64" w14:textId="77777777" w:rsidR="007D706A" w:rsidRDefault="007D706A" w:rsidP="00F70508">
            <w:pPr>
              <w:pStyle w:val="ParagraphStyle12"/>
              <w:rPr>
                <w:rStyle w:val="CharacterStyle12"/>
              </w:rPr>
            </w:pPr>
            <w:r>
              <w:rPr>
                <w:rStyle w:val="CharacterStyle12"/>
              </w:rPr>
              <w:t>7.400,00</w:t>
            </w:r>
          </w:p>
        </w:tc>
        <w:tc>
          <w:tcPr>
            <w:tcW w:w="1395" w:type="dxa"/>
            <w:tcBorders>
              <w:bottom w:val="single" w:sz="6" w:space="0" w:color="000000"/>
              <w:right w:val="single" w:sz="6" w:space="0" w:color="000000"/>
            </w:tcBorders>
            <w:vAlign w:val="center"/>
          </w:tcPr>
          <w:p w14:paraId="4A397D2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A84392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D919F80" w14:textId="77777777" w:rsidR="007D706A" w:rsidRDefault="007D706A" w:rsidP="00F70508">
            <w:pPr>
              <w:pStyle w:val="ParagraphStyle12"/>
              <w:rPr>
                <w:rStyle w:val="CharacterStyle12"/>
              </w:rPr>
            </w:pPr>
            <w:r>
              <w:rPr>
                <w:rStyle w:val="CharacterStyle12"/>
              </w:rPr>
              <w:t>0,00</w:t>
            </w:r>
          </w:p>
        </w:tc>
      </w:tr>
      <w:tr w:rsidR="007D706A" w14:paraId="77DDE67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5ECC901" w14:textId="77777777" w:rsidR="007D706A" w:rsidRDefault="007D706A" w:rsidP="00F70508">
            <w:pPr>
              <w:pStyle w:val="ParagraphStyle7"/>
              <w:rPr>
                <w:rStyle w:val="CharacterStyle7"/>
              </w:rPr>
            </w:pPr>
            <w:r>
              <w:rPr>
                <w:rStyle w:val="CharacterStyle7"/>
              </w:rPr>
              <w:t>Izvor financiranja 61</w:t>
            </w:r>
          </w:p>
        </w:tc>
        <w:tc>
          <w:tcPr>
            <w:tcW w:w="4995" w:type="dxa"/>
            <w:tcBorders>
              <w:bottom w:val="single" w:sz="6" w:space="0" w:color="000000"/>
              <w:right w:val="single" w:sz="6" w:space="0" w:color="000000"/>
            </w:tcBorders>
            <w:vAlign w:val="center"/>
          </w:tcPr>
          <w:p w14:paraId="77E80786" w14:textId="77777777" w:rsidR="007D706A" w:rsidRDefault="007D706A" w:rsidP="00F70508">
            <w:pPr>
              <w:pStyle w:val="ParagraphStyle8"/>
              <w:rPr>
                <w:rStyle w:val="CharacterStyle8"/>
              </w:rPr>
            </w:pPr>
            <w:r>
              <w:rPr>
                <w:rStyle w:val="CharacterStyle8"/>
              </w:rPr>
              <w:t>Donacije</w:t>
            </w:r>
          </w:p>
        </w:tc>
        <w:tc>
          <w:tcPr>
            <w:tcW w:w="1395" w:type="dxa"/>
            <w:tcBorders>
              <w:bottom w:val="single" w:sz="6" w:space="0" w:color="000000"/>
              <w:right w:val="single" w:sz="6" w:space="0" w:color="000000"/>
            </w:tcBorders>
            <w:vAlign w:val="center"/>
          </w:tcPr>
          <w:p w14:paraId="1B75898E"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72AD964" w14:textId="77777777" w:rsidR="007D706A" w:rsidRDefault="007D706A" w:rsidP="00F70508">
            <w:pPr>
              <w:pStyle w:val="ParagraphStyle9"/>
              <w:rPr>
                <w:rStyle w:val="CharacterStyle9"/>
              </w:rPr>
            </w:pPr>
            <w:r>
              <w:rPr>
                <w:rStyle w:val="CharacterStyle9"/>
              </w:rPr>
              <w:t>2.400,00</w:t>
            </w:r>
          </w:p>
        </w:tc>
        <w:tc>
          <w:tcPr>
            <w:tcW w:w="1395" w:type="dxa"/>
            <w:tcBorders>
              <w:bottom w:val="single" w:sz="6" w:space="0" w:color="000000"/>
              <w:right w:val="single" w:sz="6" w:space="0" w:color="000000"/>
            </w:tcBorders>
            <w:vAlign w:val="center"/>
          </w:tcPr>
          <w:p w14:paraId="11E28BC6" w14:textId="77777777" w:rsidR="007D706A" w:rsidRDefault="007D706A" w:rsidP="00F70508">
            <w:pPr>
              <w:pStyle w:val="ParagraphStyle9"/>
              <w:rPr>
                <w:rStyle w:val="CharacterStyle9"/>
              </w:rPr>
            </w:pPr>
            <w:r>
              <w:rPr>
                <w:rStyle w:val="CharacterStyle9"/>
              </w:rPr>
              <w:t>6.000,00</w:t>
            </w:r>
          </w:p>
        </w:tc>
        <w:tc>
          <w:tcPr>
            <w:tcW w:w="1395" w:type="dxa"/>
            <w:tcBorders>
              <w:bottom w:val="single" w:sz="6" w:space="0" w:color="000000"/>
              <w:right w:val="single" w:sz="6" w:space="0" w:color="000000"/>
            </w:tcBorders>
            <w:vAlign w:val="center"/>
          </w:tcPr>
          <w:p w14:paraId="3B18F87B" w14:textId="77777777" w:rsidR="007D706A" w:rsidRDefault="007D706A" w:rsidP="00F70508">
            <w:pPr>
              <w:pStyle w:val="ParagraphStyle9"/>
              <w:rPr>
                <w:rStyle w:val="CharacterStyle9"/>
              </w:rPr>
            </w:pPr>
            <w:r>
              <w:rPr>
                <w:rStyle w:val="CharacterStyle9"/>
              </w:rPr>
              <w:t>6.000,00</w:t>
            </w:r>
          </w:p>
        </w:tc>
        <w:tc>
          <w:tcPr>
            <w:tcW w:w="1395" w:type="dxa"/>
            <w:tcBorders>
              <w:bottom w:val="single" w:sz="6" w:space="0" w:color="000000"/>
              <w:right w:val="single" w:sz="6" w:space="0" w:color="000000"/>
            </w:tcBorders>
            <w:vAlign w:val="center"/>
          </w:tcPr>
          <w:p w14:paraId="48016073" w14:textId="77777777" w:rsidR="007D706A" w:rsidRDefault="007D706A" w:rsidP="00F70508">
            <w:pPr>
              <w:pStyle w:val="ParagraphStyle9"/>
              <w:rPr>
                <w:rStyle w:val="CharacterStyle9"/>
              </w:rPr>
            </w:pPr>
            <w:r>
              <w:rPr>
                <w:rStyle w:val="CharacterStyle9"/>
              </w:rPr>
              <w:t>6.000,00</w:t>
            </w:r>
          </w:p>
        </w:tc>
      </w:tr>
      <w:tr w:rsidR="007D706A" w14:paraId="648039A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6DFDA32"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24C27E04"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54692EB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2327627" w14:textId="77777777" w:rsidR="007D706A" w:rsidRDefault="007D706A" w:rsidP="00F70508">
            <w:pPr>
              <w:pStyle w:val="ParagraphStyle12"/>
              <w:rPr>
                <w:rStyle w:val="CharacterStyle12"/>
              </w:rPr>
            </w:pPr>
            <w:r>
              <w:rPr>
                <w:rStyle w:val="CharacterStyle12"/>
              </w:rPr>
              <w:t>2.400,00</w:t>
            </w:r>
          </w:p>
        </w:tc>
        <w:tc>
          <w:tcPr>
            <w:tcW w:w="1395" w:type="dxa"/>
            <w:tcBorders>
              <w:bottom w:val="single" w:sz="6" w:space="0" w:color="000000"/>
              <w:right w:val="single" w:sz="6" w:space="0" w:color="000000"/>
            </w:tcBorders>
            <w:vAlign w:val="center"/>
          </w:tcPr>
          <w:p w14:paraId="44EB952D" w14:textId="77777777" w:rsidR="007D706A" w:rsidRDefault="007D706A" w:rsidP="00F70508">
            <w:pPr>
              <w:pStyle w:val="ParagraphStyle12"/>
              <w:rPr>
                <w:rStyle w:val="CharacterStyle12"/>
              </w:rPr>
            </w:pPr>
            <w:r>
              <w:rPr>
                <w:rStyle w:val="CharacterStyle12"/>
              </w:rPr>
              <w:t>6.000,00</w:t>
            </w:r>
          </w:p>
        </w:tc>
        <w:tc>
          <w:tcPr>
            <w:tcW w:w="1395" w:type="dxa"/>
            <w:tcBorders>
              <w:bottom w:val="single" w:sz="6" w:space="0" w:color="000000"/>
              <w:right w:val="single" w:sz="6" w:space="0" w:color="000000"/>
            </w:tcBorders>
            <w:vAlign w:val="center"/>
          </w:tcPr>
          <w:p w14:paraId="1CC6C57A" w14:textId="77777777" w:rsidR="007D706A" w:rsidRDefault="007D706A" w:rsidP="00F70508">
            <w:pPr>
              <w:pStyle w:val="ParagraphStyle12"/>
              <w:rPr>
                <w:rStyle w:val="CharacterStyle12"/>
              </w:rPr>
            </w:pPr>
            <w:r>
              <w:rPr>
                <w:rStyle w:val="CharacterStyle12"/>
              </w:rPr>
              <w:t>6.000,00</w:t>
            </w:r>
          </w:p>
        </w:tc>
        <w:tc>
          <w:tcPr>
            <w:tcW w:w="1395" w:type="dxa"/>
            <w:tcBorders>
              <w:bottom w:val="single" w:sz="6" w:space="0" w:color="000000"/>
              <w:right w:val="single" w:sz="6" w:space="0" w:color="000000"/>
            </w:tcBorders>
            <w:vAlign w:val="center"/>
          </w:tcPr>
          <w:p w14:paraId="1092A2E7" w14:textId="77777777" w:rsidR="007D706A" w:rsidRDefault="007D706A" w:rsidP="00F70508">
            <w:pPr>
              <w:pStyle w:val="ParagraphStyle12"/>
              <w:rPr>
                <w:rStyle w:val="CharacterStyle12"/>
              </w:rPr>
            </w:pPr>
            <w:r>
              <w:rPr>
                <w:rStyle w:val="CharacterStyle12"/>
              </w:rPr>
              <w:t>6.000,00</w:t>
            </w:r>
          </w:p>
        </w:tc>
      </w:tr>
      <w:tr w:rsidR="007D706A" w14:paraId="2D52D48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62FBACB"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101DC767"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6177831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0ED3744" w14:textId="77777777" w:rsidR="007D706A" w:rsidRDefault="007D706A" w:rsidP="00F70508">
            <w:pPr>
              <w:pStyle w:val="ParagraphStyle12"/>
              <w:rPr>
                <w:rStyle w:val="CharacterStyle12"/>
              </w:rPr>
            </w:pPr>
            <w:r>
              <w:rPr>
                <w:rStyle w:val="CharacterStyle12"/>
              </w:rPr>
              <w:t>2.400,00</w:t>
            </w:r>
          </w:p>
        </w:tc>
        <w:tc>
          <w:tcPr>
            <w:tcW w:w="1395" w:type="dxa"/>
            <w:tcBorders>
              <w:bottom w:val="single" w:sz="6" w:space="0" w:color="000000"/>
              <w:right w:val="single" w:sz="6" w:space="0" w:color="000000"/>
            </w:tcBorders>
            <w:vAlign w:val="center"/>
          </w:tcPr>
          <w:p w14:paraId="676DF5BB" w14:textId="77777777" w:rsidR="007D706A" w:rsidRDefault="007D706A" w:rsidP="00F70508">
            <w:pPr>
              <w:pStyle w:val="ParagraphStyle12"/>
              <w:rPr>
                <w:rStyle w:val="CharacterStyle12"/>
              </w:rPr>
            </w:pPr>
            <w:r>
              <w:rPr>
                <w:rStyle w:val="CharacterStyle12"/>
              </w:rPr>
              <w:t>6.000,00</w:t>
            </w:r>
          </w:p>
        </w:tc>
        <w:tc>
          <w:tcPr>
            <w:tcW w:w="1395" w:type="dxa"/>
            <w:tcBorders>
              <w:bottom w:val="single" w:sz="6" w:space="0" w:color="000000"/>
              <w:right w:val="single" w:sz="6" w:space="0" w:color="000000"/>
            </w:tcBorders>
            <w:vAlign w:val="center"/>
          </w:tcPr>
          <w:p w14:paraId="0078F276" w14:textId="77777777" w:rsidR="007D706A" w:rsidRDefault="007D706A" w:rsidP="00F70508">
            <w:pPr>
              <w:pStyle w:val="ParagraphStyle12"/>
              <w:rPr>
                <w:rStyle w:val="CharacterStyle12"/>
              </w:rPr>
            </w:pPr>
            <w:r>
              <w:rPr>
                <w:rStyle w:val="CharacterStyle12"/>
              </w:rPr>
              <w:t>6.000,00</w:t>
            </w:r>
          </w:p>
        </w:tc>
        <w:tc>
          <w:tcPr>
            <w:tcW w:w="1395" w:type="dxa"/>
            <w:tcBorders>
              <w:bottom w:val="single" w:sz="6" w:space="0" w:color="000000"/>
              <w:right w:val="single" w:sz="6" w:space="0" w:color="000000"/>
            </w:tcBorders>
            <w:vAlign w:val="center"/>
          </w:tcPr>
          <w:p w14:paraId="3AFA3F15" w14:textId="77777777" w:rsidR="007D706A" w:rsidRDefault="007D706A" w:rsidP="00F70508">
            <w:pPr>
              <w:pStyle w:val="ParagraphStyle12"/>
              <w:rPr>
                <w:rStyle w:val="CharacterStyle12"/>
              </w:rPr>
            </w:pPr>
            <w:r>
              <w:rPr>
                <w:rStyle w:val="CharacterStyle12"/>
              </w:rPr>
              <w:t>6.000,00</w:t>
            </w:r>
          </w:p>
        </w:tc>
      </w:tr>
      <w:tr w:rsidR="007D706A" w14:paraId="39211E7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DB04AC8" w14:textId="77777777" w:rsidR="007D706A" w:rsidRDefault="007D706A" w:rsidP="00F70508">
            <w:pPr>
              <w:pStyle w:val="ParagraphStyle7"/>
              <w:rPr>
                <w:rStyle w:val="CharacterStyle7"/>
              </w:rPr>
            </w:pPr>
            <w:r>
              <w:rPr>
                <w:rStyle w:val="CharacterStyle7"/>
              </w:rPr>
              <w:t>Izvor financiranja 82</w:t>
            </w:r>
          </w:p>
        </w:tc>
        <w:tc>
          <w:tcPr>
            <w:tcW w:w="4995" w:type="dxa"/>
            <w:tcBorders>
              <w:bottom w:val="single" w:sz="6" w:space="0" w:color="000000"/>
              <w:right w:val="single" w:sz="6" w:space="0" w:color="000000"/>
            </w:tcBorders>
            <w:vAlign w:val="center"/>
          </w:tcPr>
          <w:p w14:paraId="4F31D1A4" w14:textId="77777777" w:rsidR="007D706A" w:rsidRDefault="007D706A" w:rsidP="00F70508">
            <w:pPr>
              <w:pStyle w:val="ParagraphStyle8"/>
              <w:rPr>
                <w:rStyle w:val="CharacterStyle8"/>
              </w:rPr>
            </w:pPr>
            <w:r>
              <w:rPr>
                <w:rStyle w:val="CharacterStyle8"/>
              </w:rPr>
              <w:t>Preneseni viškovi iz ranijih godina</w:t>
            </w:r>
          </w:p>
        </w:tc>
        <w:tc>
          <w:tcPr>
            <w:tcW w:w="1395" w:type="dxa"/>
            <w:tcBorders>
              <w:bottom w:val="single" w:sz="6" w:space="0" w:color="000000"/>
              <w:right w:val="single" w:sz="6" w:space="0" w:color="000000"/>
            </w:tcBorders>
            <w:vAlign w:val="center"/>
          </w:tcPr>
          <w:p w14:paraId="45446B80"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CDCEF0E" w14:textId="77777777" w:rsidR="007D706A" w:rsidRDefault="007D706A" w:rsidP="00F70508">
            <w:pPr>
              <w:pStyle w:val="ParagraphStyle9"/>
              <w:rPr>
                <w:rStyle w:val="CharacterStyle9"/>
              </w:rPr>
            </w:pPr>
            <w:r>
              <w:rPr>
                <w:rStyle w:val="CharacterStyle9"/>
              </w:rPr>
              <w:t>2.900,00</w:t>
            </w:r>
          </w:p>
        </w:tc>
        <w:tc>
          <w:tcPr>
            <w:tcW w:w="1395" w:type="dxa"/>
            <w:tcBorders>
              <w:bottom w:val="single" w:sz="6" w:space="0" w:color="000000"/>
              <w:right w:val="single" w:sz="6" w:space="0" w:color="000000"/>
            </w:tcBorders>
            <w:vAlign w:val="center"/>
          </w:tcPr>
          <w:p w14:paraId="72CBD8F4"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14F0600"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FA5DD22" w14:textId="77777777" w:rsidR="007D706A" w:rsidRDefault="007D706A" w:rsidP="00F70508">
            <w:pPr>
              <w:pStyle w:val="ParagraphStyle9"/>
              <w:rPr>
                <w:rStyle w:val="CharacterStyle9"/>
              </w:rPr>
            </w:pPr>
            <w:r>
              <w:rPr>
                <w:rStyle w:val="CharacterStyle9"/>
              </w:rPr>
              <w:t>0,00</w:t>
            </w:r>
          </w:p>
        </w:tc>
      </w:tr>
      <w:tr w:rsidR="007D706A" w14:paraId="75EF89A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69BAA01"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5CD5C739"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1048ADE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F442260" w14:textId="77777777" w:rsidR="007D706A" w:rsidRDefault="007D706A" w:rsidP="00F70508">
            <w:pPr>
              <w:pStyle w:val="ParagraphStyle12"/>
              <w:rPr>
                <w:rStyle w:val="CharacterStyle12"/>
              </w:rPr>
            </w:pPr>
            <w:r>
              <w:rPr>
                <w:rStyle w:val="CharacterStyle12"/>
              </w:rPr>
              <w:t>2.900,00</w:t>
            </w:r>
          </w:p>
        </w:tc>
        <w:tc>
          <w:tcPr>
            <w:tcW w:w="1395" w:type="dxa"/>
            <w:tcBorders>
              <w:bottom w:val="single" w:sz="6" w:space="0" w:color="000000"/>
              <w:right w:val="single" w:sz="6" w:space="0" w:color="000000"/>
            </w:tcBorders>
            <w:vAlign w:val="center"/>
          </w:tcPr>
          <w:p w14:paraId="03E7A43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89324D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FFA71E0" w14:textId="77777777" w:rsidR="007D706A" w:rsidRDefault="007D706A" w:rsidP="00F70508">
            <w:pPr>
              <w:pStyle w:val="ParagraphStyle12"/>
              <w:rPr>
                <w:rStyle w:val="CharacterStyle12"/>
              </w:rPr>
            </w:pPr>
            <w:r>
              <w:rPr>
                <w:rStyle w:val="CharacterStyle12"/>
              </w:rPr>
              <w:t>0,00</w:t>
            </w:r>
          </w:p>
        </w:tc>
      </w:tr>
      <w:tr w:rsidR="007D706A" w14:paraId="3C6ABDC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1816986"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5CB9EBA8"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63926BC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33E0EEF" w14:textId="77777777" w:rsidR="007D706A" w:rsidRDefault="007D706A" w:rsidP="00F70508">
            <w:pPr>
              <w:pStyle w:val="ParagraphStyle12"/>
              <w:rPr>
                <w:rStyle w:val="CharacterStyle12"/>
              </w:rPr>
            </w:pPr>
            <w:r>
              <w:rPr>
                <w:rStyle w:val="CharacterStyle12"/>
              </w:rPr>
              <w:t>2.900,00</w:t>
            </w:r>
          </w:p>
        </w:tc>
        <w:tc>
          <w:tcPr>
            <w:tcW w:w="1395" w:type="dxa"/>
            <w:tcBorders>
              <w:bottom w:val="single" w:sz="6" w:space="0" w:color="000000"/>
              <w:right w:val="single" w:sz="6" w:space="0" w:color="000000"/>
            </w:tcBorders>
            <w:vAlign w:val="center"/>
          </w:tcPr>
          <w:p w14:paraId="7ECFA58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F0E7A3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974AF02" w14:textId="77777777" w:rsidR="007D706A" w:rsidRDefault="007D706A" w:rsidP="00F70508">
            <w:pPr>
              <w:pStyle w:val="ParagraphStyle12"/>
              <w:rPr>
                <w:rStyle w:val="CharacterStyle12"/>
              </w:rPr>
            </w:pPr>
            <w:r>
              <w:rPr>
                <w:rStyle w:val="CharacterStyle12"/>
              </w:rPr>
              <w:t>0,00</w:t>
            </w:r>
          </w:p>
        </w:tc>
      </w:tr>
      <w:tr w:rsidR="007D706A" w14:paraId="6079F52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5FEBA1A" w14:textId="77777777" w:rsidR="007D706A" w:rsidRDefault="007D706A" w:rsidP="00F70508">
            <w:pPr>
              <w:pStyle w:val="ParagraphStyle4"/>
              <w:rPr>
                <w:rStyle w:val="CharacterStyle4"/>
              </w:rPr>
            </w:pPr>
            <w:r>
              <w:rPr>
                <w:rStyle w:val="CharacterStyle4"/>
              </w:rPr>
              <w:t>Aktivnost A103711</w:t>
            </w:r>
          </w:p>
        </w:tc>
        <w:tc>
          <w:tcPr>
            <w:tcW w:w="4995" w:type="dxa"/>
            <w:tcBorders>
              <w:bottom w:val="single" w:sz="6" w:space="0" w:color="000000"/>
              <w:right w:val="single" w:sz="6" w:space="0" w:color="000000"/>
            </w:tcBorders>
            <w:vAlign w:val="center"/>
          </w:tcPr>
          <w:p w14:paraId="78367698" w14:textId="77777777" w:rsidR="007D706A" w:rsidRDefault="007D706A" w:rsidP="00F70508">
            <w:pPr>
              <w:pStyle w:val="ParagraphStyle5"/>
              <w:rPr>
                <w:rStyle w:val="CharacterStyle5"/>
              </w:rPr>
            </w:pPr>
            <w:r>
              <w:rPr>
                <w:rStyle w:val="CharacterStyle5"/>
              </w:rPr>
              <w:t>GRISIA</w:t>
            </w:r>
          </w:p>
        </w:tc>
        <w:tc>
          <w:tcPr>
            <w:tcW w:w="1395" w:type="dxa"/>
            <w:tcBorders>
              <w:bottom w:val="single" w:sz="6" w:space="0" w:color="000000"/>
              <w:right w:val="single" w:sz="6" w:space="0" w:color="000000"/>
            </w:tcBorders>
            <w:vAlign w:val="center"/>
          </w:tcPr>
          <w:p w14:paraId="5C70AEC9"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69EE41BD" w14:textId="77777777" w:rsidR="007D706A" w:rsidRDefault="007D706A" w:rsidP="00F70508">
            <w:pPr>
              <w:pStyle w:val="ParagraphStyle6"/>
              <w:rPr>
                <w:rStyle w:val="CharacterStyle6"/>
              </w:rPr>
            </w:pPr>
            <w:r>
              <w:rPr>
                <w:rStyle w:val="CharacterStyle6"/>
              </w:rPr>
              <w:t>5.000,00</w:t>
            </w:r>
          </w:p>
        </w:tc>
        <w:tc>
          <w:tcPr>
            <w:tcW w:w="1395" w:type="dxa"/>
            <w:tcBorders>
              <w:bottom w:val="single" w:sz="6" w:space="0" w:color="000000"/>
              <w:right w:val="single" w:sz="6" w:space="0" w:color="000000"/>
            </w:tcBorders>
            <w:vAlign w:val="center"/>
          </w:tcPr>
          <w:p w14:paraId="745CDF00" w14:textId="77777777" w:rsidR="007D706A" w:rsidRDefault="007D706A" w:rsidP="00F70508">
            <w:pPr>
              <w:pStyle w:val="ParagraphStyle6"/>
              <w:rPr>
                <w:rStyle w:val="CharacterStyle6"/>
              </w:rPr>
            </w:pPr>
            <w:r>
              <w:rPr>
                <w:rStyle w:val="CharacterStyle6"/>
              </w:rPr>
              <w:t>5.000,00</w:t>
            </w:r>
          </w:p>
        </w:tc>
        <w:tc>
          <w:tcPr>
            <w:tcW w:w="1395" w:type="dxa"/>
            <w:tcBorders>
              <w:bottom w:val="single" w:sz="6" w:space="0" w:color="000000"/>
              <w:right w:val="single" w:sz="6" w:space="0" w:color="000000"/>
            </w:tcBorders>
            <w:vAlign w:val="center"/>
          </w:tcPr>
          <w:p w14:paraId="29E4000F" w14:textId="77777777" w:rsidR="007D706A" w:rsidRDefault="007D706A" w:rsidP="00F70508">
            <w:pPr>
              <w:pStyle w:val="ParagraphStyle6"/>
              <w:rPr>
                <w:rStyle w:val="CharacterStyle6"/>
              </w:rPr>
            </w:pPr>
            <w:r>
              <w:rPr>
                <w:rStyle w:val="CharacterStyle6"/>
              </w:rPr>
              <w:t>5.000,00</w:t>
            </w:r>
          </w:p>
        </w:tc>
        <w:tc>
          <w:tcPr>
            <w:tcW w:w="1395" w:type="dxa"/>
            <w:tcBorders>
              <w:bottom w:val="single" w:sz="6" w:space="0" w:color="000000"/>
              <w:right w:val="single" w:sz="6" w:space="0" w:color="000000"/>
            </w:tcBorders>
            <w:vAlign w:val="center"/>
          </w:tcPr>
          <w:p w14:paraId="2AE2F912" w14:textId="77777777" w:rsidR="007D706A" w:rsidRDefault="007D706A" w:rsidP="00F70508">
            <w:pPr>
              <w:pStyle w:val="ParagraphStyle6"/>
              <w:rPr>
                <w:rStyle w:val="CharacterStyle6"/>
              </w:rPr>
            </w:pPr>
            <w:r>
              <w:rPr>
                <w:rStyle w:val="CharacterStyle6"/>
              </w:rPr>
              <w:t>5.000,00</w:t>
            </w:r>
          </w:p>
        </w:tc>
      </w:tr>
      <w:tr w:rsidR="007D706A" w14:paraId="4282296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1BF2CFE" w14:textId="77777777" w:rsidR="007D706A" w:rsidRDefault="007D706A" w:rsidP="00F70508">
            <w:pPr>
              <w:pStyle w:val="ParagraphStyle7"/>
              <w:rPr>
                <w:rStyle w:val="CharacterStyle7"/>
              </w:rPr>
            </w:pPr>
            <w:r>
              <w:rPr>
                <w:rStyle w:val="CharacterStyle7"/>
              </w:rPr>
              <w:t>Izvor financiranja 41</w:t>
            </w:r>
          </w:p>
        </w:tc>
        <w:tc>
          <w:tcPr>
            <w:tcW w:w="4995" w:type="dxa"/>
            <w:tcBorders>
              <w:bottom w:val="single" w:sz="6" w:space="0" w:color="000000"/>
              <w:right w:val="single" w:sz="6" w:space="0" w:color="000000"/>
            </w:tcBorders>
            <w:vAlign w:val="center"/>
          </w:tcPr>
          <w:p w14:paraId="5E2DD2DB" w14:textId="77777777" w:rsidR="007D706A" w:rsidRDefault="007D706A" w:rsidP="00F70508">
            <w:pPr>
              <w:pStyle w:val="ParagraphStyle8"/>
              <w:rPr>
                <w:rStyle w:val="CharacterStyle8"/>
              </w:rPr>
            </w:pPr>
            <w:r>
              <w:rPr>
                <w:rStyle w:val="CharacterStyle8"/>
              </w:rPr>
              <w:t>Prihodi za posebne namjene</w:t>
            </w:r>
          </w:p>
        </w:tc>
        <w:tc>
          <w:tcPr>
            <w:tcW w:w="1395" w:type="dxa"/>
            <w:tcBorders>
              <w:bottom w:val="single" w:sz="6" w:space="0" w:color="000000"/>
              <w:right w:val="single" w:sz="6" w:space="0" w:color="000000"/>
            </w:tcBorders>
            <w:vAlign w:val="center"/>
          </w:tcPr>
          <w:p w14:paraId="1EFEF972"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6B454BE" w14:textId="77777777" w:rsidR="007D706A" w:rsidRDefault="007D706A" w:rsidP="00F70508">
            <w:pPr>
              <w:pStyle w:val="ParagraphStyle9"/>
              <w:rPr>
                <w:rStyle w:val="CharacterStyle9"/>
              </w:rPr>
            </w:pPr>
            <w:r>
              <w:rPr>
                <w:rStyle w:val="CharacterStyle9"/>
              </w:rPr>
              <w:t>5.000,00</w:t>
            </w:r>
          </w:p>
        </w:tc>
        <w:tc>
          <w:tcPr>
            <w:tcW w:w="1395" w:type="dxa"/>
            <w:tcBorders>
              <w:bottom w:val="single" w:sz="6" w:space="0" w:color="000000"/>
              <w:right w:val="single" w:sz="6" w:space="0" w:color="000000"/>
            </w:tcBorders>
            <w:vAlign w:val="center"/>
          </w:tcPr>
          <w:p w14:paraId="3F23DE0E"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E0AA18A"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8E41EE5" w14:textId="77777777" w:rsidR="007D706A" w:rsidRDefault="007D706A" w:rsidP="00F70508">
            <w:pPr>
              <w:pStyle w:val="ParagraphStyle9"/>
              <w:rPr>
                <w:rStyle w:val="CharacterStyle9"/>
              </w:rPr>
            </w:pPr>
            <w:r>
              <w:rPr>
                <w:rStyle w:val="CharacterStyle9"/>
              </w:rPr>
              <w:t>0,00</w:t>
            </w:r>
          </w:p>
        </w:tc>
      </w:tr>
      <w:tr w:rsidR="007D706A" w14:paraId="5891ADF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67A678D"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70E3429E"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597FA2A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08FD93B" w14:textId="77777777" w:rsidR="007D706A" w:rsidRDefault="007D706A" w:rsidP="00F70508">
            <w:pPr>
              <w:pStyle w:val="ParagraphStyle12"/>
              <w:rPr>
                <w:rStyle w:val="CharacterStyle12"/>
              </w:rPr>
            </w:pPr>
            <w:r>
              <w:rPr>
                <w:rStyle w:val="CharacterStyle12"/>
              </w:rPr>
              <w:t>5.000,00</w:t>
            </w:r>
          </w:p>
        </w:tc>
        <w:tc>
          <w:tcPr>
            <w:tcW w:w="1395" w:type="dxa"/>
            <w:tcBorders>
              <w:bottom w:val="single" w:sz="6" w:space="0" w:color="000000"/>
              <w:right w:val="single" w:sz="6" w:space="0" w:color="000000"/>
            </w:tcBorders>
            <w:vAlign w:val="center"/>
          </w:tcPr>
          <w:p w14:paraId="798D69D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1238E1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C0FE35A" w14:textId="77777777" w:rsidR="007D706A" w:rsidRDefault="007D706A" w:rsidP="00F70508">
            <w:pPr>
              <w:pStyle w:val="ParagraphStyle12"/>
              <w:rPr>
                <w:rStyle w:val="CharacterStyle12"/>
              </w:rPr>
            </w:pPr>
            <w:r>
              <w:rPr>
                <w:rStyle w:val="CharacterStyle12"/>
              </w:rPr>
              <w:t>0,00</w:t>
            </w:r>
          </w:p>
        </w:tc>
      </w:tr>
      <w:tr w:rsidR="007D706A" w14:paraId="242B9DD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7CCA8E3" w14:textId="77777777" w:rsidR="007D706A" w:rsidRDefault="007D706A" w:rsidP="00F70508">
            <w:pPr>
              <w:pStyle w:val="ParagraphStyle10"/>
              <w:rPr>
                <w:rStyle w:val="CharacterStyle10"/>
              </w:rPr>
            </w:pPr>
            <w:r>
              <w:rPr>
                <w:rStyle w:val="CharacterStyle10"/>
              </w:rPr>
              <w:t>42</w:t>
            </w:r>
          </w:p>
        </w:tc>
        <w:tc>
          <w:tcPr>
            <w:tcW w:w="4995" w:type="dxa"/>
            <w:tcBorders>
              <w:bottom w:val="single" w:sz="6" w:space="0" w:color="000000"/>
              <w:right w:val="single" w:sz="6" w:space="0" w:color="000000"/>
            </w:tcBorders>
            <w:vAlign w:val="center"/>
          </w:tcPr>
          <w:p w14:paraId="3177EE79"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610461E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02D0C34" w14:textId="77777777" w:rsidR="007D706A" w:rsidRDefault="007D706A" w:rsidP="00F70508">
            <w:pPr>
              <w:pStyle w:val="ParagraphStyle12"/>
              <w:rPr>
                <w:rStyle w:val="CharacterStyle12"/>
              </w:rPr>
            </w:pPr>
            <w:r>
              <w:rPr>
                <w:rStyle w:val="CharacterStyle12"/>
              </w:rPr>
              <w:t>5.000,00</w:t>
            </w:r>
          </w:p>
        </w:tc>
        <w:tc>
          <w:tcPr>
            <w:tcW w:w="1395" w:type="dxa"/>
            <w:tcBorders>
              <w:bottom w:val="single" w:sz="6" w:space="0" w:color="000000"/>
              <w:right w:val="single" w:sz="6" w:space="0" w:color="000000"/>
            </w:tcBorders>
            <w:vAlign w:val="center"/>
          </w:tcPr>
          <w:p w14:paraId="5B39D13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41C699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10BFE67" w14:textId="77777777" w:rsidR="007D706A" w:rsidRDefault="007D706A" w:rsidP="00F70508">
            <w:pPr>
              <w:pStyle w:val="ParagraphStyle12"/>
              <w:rPr>
                <w:rStyle w:val="CharacterStyle12"/>
              </w:rPr>
            </w:pPr>
            <w:r>
              <w:rPr>
                <w:rStyle w:val="CharacterStyle12"/>
              </w:rPr>
              <w:t>0,00</w:t>
            </w:r>
          </w:p>
        </w:tc>
      </w:tr>
      <w:tr w:rsidR="007D706A" w14:paraId="374B0166"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8542F6E" w14:textId="77777777" w:rsidR="007D706A" w:rsidRDefault="007D706A" w:rsidP="00F70508">
            <w:pPr>
              <w:pStyle w:val="ParagraphStyle7"/>
              <w:rPr>
                <w:rStyle w:val="CharacterStyle7"/>
              </w:rPr>
            </w:pPr>
            <w:r>
              <w:rPr>
                <w:rStyle w:val="CharacterStyle7"/>
              </w:rPr>
              <w:t>Izvor financiranja 43</w:t>
            </w:r>
          </w:p>
        </w:tc>
        <w:tc>
          <w:tcPr>
            <w:tcW w:w="4995" w:type="dxa"/>
            <w:tcBorders>
              <w:bottom w:val="single" w:sz="6" w:space="0" w:color="000000"/>
              <w:right w:val="single" w:sz="6" w:space="0" w:color="000000"/>
            </w:tcBorders>
            <w:vAlign w:val="center"/>
          </w:tcPr>
          <w:p w14:paraId="10AC6A60" w14:textId="77777777" w:rsidR="007D706A" w:rsidRDefault="007D706A" w:rsidP="00F70508">
            <w:pPr>
              <w:pStyle w:val="ParagraphStyle8"/>
              <w:rPr>
                <w:rStyle w:val="CharacterStyle8"/>
              </w:rPr>
            </w:pPr>
            <w:r>
              <w:rPr>
                <w:rStyle w:val="CharacterStyle8"/>
              </w:rPr>
              <w:t>Ostali prihodi za posebne namjene</w:t>
            </w:r>
          </w:p>
        </w:tc>
        <w:tc>
          <w:tcPr>
            <w:tcW w:w="1395" w:type="dxa"/>
            <w:tcBorders>
              <w:bottom w:val="single" w:sz="6" w:space="0" w:color="000000"/>
              <w:right w:val="single" w:sz="6" w:space="0" w:color="000000"/>
            </w:tcBorders>
            <w:vAlign w:val="center"/>
          </w:tcPr>
          <w:p w14:paraId="4179AF6E"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44BDE88"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DA503DD" w14:textId="77777777" w:rsidR="007D706A" w:rsidRDefault="007D706A" w:rsidP="00F70508">
            <w:pPr>
              <w:pStyle w:val="ParagraphStyle9"/>
              <w:rPr>
                <w:rStyle w:val="CharacterStyle9"/>
              </w:rPr>
            </w:pPr>
            <w:r>
              <w:rPr>
                <w:rStyle w:val="CharacterStyle9"/>
              </w:rPr>
              <w:t>5.000,00</w:t>
            </w:r>
          </w:p>
        </w:tc>
        <w:tc>
          <w:tcPr>
            <w:tcW w:w="1395" w:type="dxa"/>
            <w:tcBorders>
              <w:bottom w:val="single" w:sz="6" w:space="0" w:color="000000"/>
              <w:right w:val="single" w:sz="6" w:space="0" w:color="000000"/>
            </w:tcBorders>
            <w:vAlign w:val="center"/>
          </w:tcPr>
          <w:p w14:paraId="5E9203E2" w14:textId="77777777" w:rsidR="007D706A" w:rsidRDefault="007D706A" w:rsidP="00F70508">
            <w:pPr>
              <w:pStyle w:val="ParagraphStyle9"/>
              <w:rPr>
                <w:rStyle w:val="CharacterStyle9"/>
              </w:rPr>
            </w:pPr>
            <w:r>
              <w:rPr>
                <w:rStyle w:val="CharacterStyle9"/>
              </w:rPr>
              <w:t>5.000,00</w:t>
            </w:r>
          </w:p>
        </w:tc>
        <w:tc>
          <w:tcPr>
            <w:tcW w:w="1395" w:type="dxa"/>
            <w:tcBorders>
              <w:bottom w:val="single" w:sz="6" w:space="0" w:color="000000"/>
              <w:right w:val="single" w:sz="6" w:space="0" w:color="000000"/>
            </w:tcBorders>
            <w:vAlign w:val="center"/>
          </w:tcPr>
          <w:p w14:paraId="22ABE3B3" w14:textId="77777777" w:rsidR="007D706A" w:rsidRDefault="007D706A" w:rsidP="00F70508">
            <w:pPr>
              <w:pStyle w:val="ParagraphStyle9"/>
              <w:rPr>
                <w:rStyle w:val="CharacterStyle9"/>
              </w:rPr>
            </w:pPr>
            <w:r>
              <w:rPr>
                <w:rStyle w:val="CharacterStyle9"/>
              </w:rPr>
              <w:t>5.000,00</w:t>
            </w:r>
          </w:p>
        </w:tc>
      </w:tr>
      <w:tr w:rsidR="007D706A" w14:paraId="2DD0B80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38188CF"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2B6A567A"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298441A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1D7EB3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366F890" w14:textId="77777777" w:rsidR="007D706A" w:rsidRDefault="007D706A" w:rsidP="00F70508">
            <w:pPr>
              <w:pStyle w:val="ParagraphStyle12"/>
              <w:rPr>
                <w:rStyle w:val="CharacterStyle12"/>
              </w:rPr>
            </w:pPr>
            <w:r>
              <w:rPr>
                <w:rStyle w:val="CharacterStyle12"/>
              </w:rPr>
              <w:t>5.000,00</w:t>
            </w:r>
          </w:p>
        </w:tc>
        <w:tc>
          <w:tcPr>
            <w:tcW w:w="1395" w:type="dxa"/>
            <w:tcBorders>
              <w:bottom w:val="single" w:sz="6" w:space="0" w:color="000000"/>
              <w:right w:val="single" w:sz="6" w:space="0" w:color="000000"/>
            </w:tcBorders>
            <w:vAlign w:val="center"/>
          </w:tcPr>
          <w:p w14:paraId="005AA1E1" w14:textId="77777777" w:rsidR="007D706A" w:rsidRDefault="007D706A" w:rsidP="00F70508">
            <w:pPr>
              <w:pStyle w:val="ParagraphStyle12"/>
              <w:rPr>
                <w:rStyle w:val="CharacterStyle12"/>
              </w:rPr>
            </w:pPr>
            <w:r>
              <w:rPr>
                <w:rStyle w:val="CharacterStyle12"/>
              </w:rPr>
              <w:t>5.000,00</w:t>
            </w:r>
          </w:p>
        </w:tc>
        <w:tc>
          <w:tcPr>
            <w:tcW w:w="1395" w:type="dxa"/>
            <w:tcBorders>
              <w:bottom w:val="single" w:sz="6" w:space="0" w:color="000000"/>
              <w:right w:val="single" w:sz="6" w:space="0" w:color="000000"/>
            </w:tcBorders>
            <w:vAlign w:val="center"/>
          </w:tcPr>
          <w:p w14:paraId="3000E7FE" w14:textId="77777777" w:rsidR="007D706A" w:rsidRDefault="007D706A" w:rsidP="00F70508">
            <w:pPr>
              <w:pStyle w:val="ParagraphStyle12"/>
              <w:rPr>
                <w:rStyle w:val="CharacterStyle12"/>
              </w:rPr>
            </w:pPr>
            <w:r>
              <w:rPr>
                <w:rStyle w:val="CharacterStyle12"/>
              </w:rPr>
              <w:t>5.000,00</w:t>
            </w:r>
          </w:p>
        </w:tc>
      </w:tr>
      <w:tr w:rsidR="007D706A" w14:paraId="6B3BAB5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B314BC6" w14:textId="77777777" w:rsidR="007D706A" w:rsidRDefault="007D706A" w:rsidP="00F70508">
            <w:pPr>
              <w:pStyle w:val="ParagraphStyle10"/>
              <w:rPr>
                <w:rStyle w:val="CharacterStyle10"/>
              </w:rPr>
            </w:pPr>
            <w:r>
              <w:rPr>
                <w:rStyle w:val="CharacterStyle10"/>
              </w:rPr>
              <w:t>42</w:t>
            </w:r>
          </w:p>
        </w:tc>
        <w:tc>
          <w:tcPr>
            <w:tcW w:w="4995" w:type="dxa"/>
            <w:tcBorders>
              <w:bottom w:val="single" w:sz="6" w:space="0" w:color="000000"/>
              <w:right w:val="single" w:sz="6" w:space="0" w:color="000000"/>
            </w:tcBorders>
            <w:vAlign w:val="center"/>
          </w:tcPr>
          <w:p w14:paraId="6D34B33C"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19CCE98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526B22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88CAC01" w14:textId="77777777" w:rsidR="007D706A" w:rsidRDefault="007D706A" w:rsidP="00F70508">
            <w:pPr>
              <w:pStyle w:val="ParagraphStyle12"/>
              <w:rPr>
                <w:rStyle w:val="CharacterStyle12"/>
              </w:rPr>
            </w:pPr>
            <w:r>
              <w:rPr>
                <w:rStyle w:val="CharacterStyle12"/>
              </w:rPr>
              <w:t>5.000,00</w:t>
            </w:r>
          </w:p>
        </w:tc>
        <w:tc>
          <w:tcPr>
            <w:tcW w:w="1395" w:type="dxa"/>
            <w:tcBorders>
              <w:bottom w:val="single" w:sz="6" w:space="0" w:color="000000"/>
              <w:right w:val="single" w:sz="6" w:space="0" w:color="000000"/>
            </w:tcBorders>
            <w:vAlign w:val="center"/>
          </w:tcPr>
          <w:p w14:paraId="67AF5A2F" w14:textId="77777777" w:rsidR="007D706A" w:rsidRDefault="007D706A" w:rsidP="00F70508">
            <w:pPr>
              <w:pStyle w:val="ParagraphStyle12"/>
              <w:rPr>
                <w:rStyle w:val="CharacterStyle12"/>
              </w:rPr>
            </w:pPr>
            <w:r>
              <w:rPr>
                <w:rStyle w:val="CharacterStyle12"/>
              </w:rPr>
              <w:t>5.000,00</w:t>
            </w:r>
          </w:p>
        </w:tc>
        <w:tc>
          <w:tcPr>
            <w:tcW w:w="1395" w:type="dxa"/>
            <w:tcBorders>
              <w:bottom w:val="single" w:sz="6" w:space="0" w:color="000000"/>
              <w:right w:val="single" w:sz="6" w:space="0" w:color="000000"/>
            </w:tcBorders>
            <w:vAlign w:val="center"/>
          </w:tcPr>
          <w:p w14:paraId="4D23A347" w14:textId="77777777" w:rsidR="007D706A" w:rsidRDefault="007D706A" w:rsidP="00F70508">
            <w:pPr>
              <w:pStyle w:val="ParagraphStyle12"/>
              <w:rPr>
                <w:rStyle w:val="CharacterStyle12"/>
              </w:rPr>
            </w:pPr>
            <w:r>
              <w:rPr>
                <w:rStyle w:val="CharacterStyle12"/>
              </w:rPr>
              <w:t>5.000,00</w:t>
            </w:r>
          </w:p>
        </w:tc>
      </w:tr>
      <w:tr w:rsidR="007D706A" w14:paraId="0FC18CE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B290C8F" w14:textId="77777777" w:rsidR="007D706A" w:rsidRDefault="007D706A" w:rsidP="00F70508">
            <w:pPr>
              <w:pStyle w:val="ParagraphStyle4"/>
              <w:rPr>
                <w:rStyle w:val="CharacterStyle4"/>
              </w:rPr>
            </w:pPr>
            <w:r>
              <w:rPr>
                <w:rStyle w:val="CharacterStyle4"/>
              </w:rPr>
              <w:t>Kapitalni projekt K103702</w:t>
            </w:r>
          </w:p>
        </w:tc>
        <w:tc>
          <w:tcPr>
            <w:tcW w:w="4995" w:type="dxa"/>
            <w:tcBorders>
              <w:bottom w:val="single" w:sz="6" w:space="0" w:color="000000"/>
              <w:right w:val="single" w:sz="6" w:space="0" w:color="000000"/>
            </w:tcBorders>
            <w:vAlign w:val="center"/>
          </w:tcPr>
          <w:p w14:paraId="20D3AFC7" w14:textId="77777777" w:rsidR="007D706A" w:rsidRDefault="007D706A" w:rsidP="00F70508">
            <w:pPr>
              <w:pStyle w:val="ParagraphStyle5"/>
              <w:rPr>
                <w:rStyle w:val="CharacterStyle5"/>
              </w:rPr>
            </w:pPr>
            <w:r>
              <w:rPr>
                <w:rStyle w:val="CharacterStyle5"/>
              </w:rPr>
              <w:t>REKONSTRUKCIJA I OPREMANJE PROSTORA</w:t>
            </w:r>
          </w:p>
        </w:tc>
        <w:tc>
          <w:tcPr>
            <w:tcW w:w="1395" w:type="dxa"/>
            <w:tcBorders>
              <w:bottom w:val="single" w:sz="6" w:space="0" w:color="000000"/>
              <w:right w:val="single" w:sz="6" w:space="0" w:color="000000"/>
            </w:tcBorders>
            <w:vAlign w:val="center"/>
          </w:tcPr>
          <w:p w14:paraId="740B396F"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6DA756DA" w14:textId="77777777" w:rsidR="007D706A" w:rsidRDefault="007D706A" w:rsidP="00F70508">
            <w:pPr>
              <w:pStyle w:val="ParagraphStyle6"/>
              <w:rPr>
                <w:rStyle w:val="CharacterStyle6"/>
              </w:rPr>
            </w:pPr>
            <w:r>
              <w:rPr>
                <w:rStyle w:val="CharacterStyle6"/>
              </w:rPr>
              <w:t>211.800,00</w:t>
            </w:r>
          </w:p>
        </w:tc>
        <w:tc>
          <w:tcPr>
            <w:tcW w:w="1395" w:type="dxa"/>
            <w:tcBorders>
              <w:bottom w:val="single" w:sz="6" w:space="0" w:color="000000"/>
              <w:right w:val="single" w:sz="6" w:space="0" w:color="000000"/>
            </w:tcBorders>
            <w:vAlign w:val="center"/>
          </w:tcPr>
          <w:p w14:paraId="47BBC907" w14:textId="77777777" w:rsidR="007D706A" w:rsidRDefault="007D706A" w:rsidP="00F70508">
            <w:pPr>
              <w:pStyle w:val="ParagraphStyle6"/>
              <w:rPr>
                <w:rStyle w:val="CharacterStyle6"/>
              </w:rPr>
            </w:pPr>
            <w:r>
              <w:rPr>
                <w:rStyle w:val="CharacterStyle6"/>
              </w:rPr>
              <w:t>235.000,00</w:t>
            </w:r>
          </w:p>
        </w:tc>
        <w:tc>
          <w:tcPr>
            <w:tcW w:w="1395" w:type="dxa"/>
            <w:tcBorders>
              <w:bottom w:val="single" w:sz="6" w:space="0" w:color="000000"/>
              <w:right w:val="single" w:sz="6" w:space="0" w:color="000000"/>
            </w:tcBorders>
            <w:vAlign w:val="center"/>
          </w:tcPr>
          <w:p w14:paraId="0A1BF7AD" w14:textId="77777777" w:rsidR="007D706A" w:rsidRDefault="007D706A" w:rsidP="00F70508">
            <w:pPr>
              <w:pStyle w:val="ParagraphStyle6"/>
              <w:rPr>
                <w:rStyle w:val="CharacterStyle6"/>
              </w:rPr>
            </w:pPr>
            <w:r>
              <w:rPr>
                <w:rStyle w:val="CharacterStyle6"/>
              </w:rPr>
              <w:t>230.000,00</w:t>
            </w:r>
          </w:p>
        </w:tc>
        <w:tc>
          <w:tcPr>
            <w:tcW w:w="1395" w:type="dxa"/>
            <w:tcBorders>
              <w:bottom w:val="single" w:sz="6" w:space="0" w:color="000000"/>
              <w:right w:val="single" w:sz="6" w:space="0" w:color="000000"/>
            </w:tcBorders>
            <w:vAlign w:val="center"/>
          </w:tcPr>
          <w:p w14:paraId="6DF94B10" w14:textId="77777777" w:rsidR="007D706A" w:rsidRDefault="007D706A" w:rsidP="00F70508">
            <w:pPr>
              <w:pStyle w:val="ParagraphStyle6"/>
              <w:rPr>
                <w:rStyle w:val="CharacterStyle6"/>
              </w:rPr>
            </w:pPr>
            <w:r>
              <w:rPr>
                <w:rStyle w:val="CharacterStyle6"/>
              </w:rPr>
              <w:t>230.000,00</w:t>
            </w:r>
          </w:p>
        </w:tc>
      </w:tr>
      <w:tr w:rsidR="007D706A" w14:paraId="3AA98E0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F46C5D9"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2920C018"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68761D47"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64E0E5A" w14:textId="77777777" w:rsidR="007D706A" w:rsidRDefault="007D706A" w:rsidP="00F70508">
            <w:pPr>
              <w:pStyle w:val="ParagraphStyle9"/>
              <w:rPr>
                <w:rStyle w:val="CharacterStyle9"/>
              </w:rPr>
            </w:pPr>
            <w:r>
              <w:rPr>
                <w:rStyle w:val="CharacterStyle9"/>
              </w:rPr>
              <w:t>188.800,00</w:t>
            </w:r>
          </w:p>
        </w:tc>
        <w:tc>
          <w:tcPr>
            <w:tcW w:w="1395" w:type="dxa"/>
            <w:tcBorders>
              <w:bottom w:val="single" w:sz="6" w:space="0" w:color="000000"/>
              <w:right w:val="single" w:sz="6" w:space="0" w:color="000000"/>
            </w:tcBorders>
            <w:vAlign w:val="center"/>
          </w:tcPr>
          <w:p w14:paraId="4B895934" w14:textId="77777777" w:rsidR="007D706A" w:rsidRDefault="007D706A" w:rsidP="00F70508">
            <w:pPr>
              <w:pStyle w:val="ParagraphStyle9"/>
              <w:rPr>
                <w:rStyle w:val="CharacterStyle9"/>
              </w:rPr>
            </w:pPr>
            <w:r>
              <w:rPr>
                <w:rStyle w:val="CharacterStyle9"/>
              </w:rPr>
              <w:t>120.000,00</w:t>
            </w:r>
          </w:p>
        </w:tc>
        <w:tc>
          <w:tcPr>
            <w:tcW w:w="1395" w:type="dxa"/>
            <w:tcBorders>
              <w:bottom w:val="single" w:sz="6" w:space="0" w:color="000000"/>
              <w:right w:val="single" w:sz="6" w:space="0" w:color="000000"/>
            </w:tcBorders>
            <w:vAlign w:val="center"/>
          </w:tcPr>
          <w:p w14:paraId="6F2FF6CE" w14:textId="77777777" w:rsidR="007D706A" w:rsidRDefault="007D706A" w:rsidP="00F70508">
            <w:pPr>
              <w:pStyle w:val="ParagraphStyle9"/>
              <w:rPr>
                <w:rStyle w:val="CharacterStyle9"/>
              </w:rPr>
            </w:pPr>
            <w:r>
              <w:rPr>
                <w:rStyle w:val="CharacterStyle9"/>
              </w:rPr>
              <w:t>130.000,00</w:t>
            </w:r>
          </w:p>
        </w:tc>
        <w:tc>
          <w:tcPr>
            <w:tcW w:w="1395" w:type="dxa"/>
            <w:tcBorders>
              <w:bottom w:val="single" w:sz="6" w:space="0" w:color="000000"/>
              <w:right w:val="single" w:sz="6" w:space="0" w:color="000000"/>
            </w:tcBorders>
            <w:vAlign w:val="center"/>
          </w:tcPr>
          <w:p w14:paraId="1E1C31A7" w14:textId="77777777" w:rsidR="007D706A" w:rsidRDefault="007D706A" w:rsidP="00F70508">
            <w:pPr>
              <w:pStyle w:val="ParagraphStyle9"/>
              <w:rPr>
                <w:rStyle w:val="CharacterStyle9"/>
              </w:rPr>
            </w:pPr>
            <w:r>
              <w:rPr>
                <w:rStyle w:val="CharacterStyle9"/>
              </w:rPr>
              <w:t>130.000,00</w:t>
            </w:r>
          </w:p>
        </w:tc>
      </w:tr>
      <w:tr w:rsidR="007D706A" w14:paraId="14F26FF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5BADC38"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3C9F07DE"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3BFD99F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B08ECDB" w14:textId="77777777" w:rsidR="007D706A" w:rsidRDefault="007D706A" w:rsidP="00F70508">
            <w:pPr>
              <w:pStyle w:val="ParagraphStyle12"/>
              <w:rPr>
                <w:rStyle w:val="CharacterStyle12"/>
              </w:rPr>
            </w:pPr>
            <w:r>
              <w:rPr>
                <w:rStyle w:val="CharacterStyle12"/>
              </w:rPr>
              <w:t>3.000,00</w:t>
            </w:r>
          </w:p>
        </w:tc>
        <w:tc>
          <w:tcPr>
            <w:tcW w:w="1395" w:type="dxa"/>
            <w:tcBorders>
              <w:bottom w:val="single" w:sz="6" w:space="0" w:color="000000"/>
              <w:right w:val="single" w:sz="6" w:space="0" w:color="000000"/>
            </w:tcBorders>
            <w:vAlign w:val="center"/>
          </w:tcPr>
          <w:p w14:paraId="707349A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1DD591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3AED370" w14:textId="77777777" w:rsidR="007D706A" w:rsidRDefault="007D706A" w:rsidP="00F70508">
            <w:pPr>
              <w:pStyle w:val="ParagraphStyle12"/>
              <w:rPr>
                <w:rStyle w:val="CharacterStyle12"/>
              </w:rPr>
            </w:pPr>
            <w:r>
              <w:rPr>
                <w:rStyle w:val="CharacterStyle12"/>
              </w:rPr>
              <w:t>0,00</w:t>
            </w:r>
          </w:p>
        </w:tc>
      </w:tr>
      <w:tr w:rsidR="007D706A" w14:paraId="438C68B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3BE2F5F"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222C24C8"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128BDB4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A673B36" w14:textId="77777777" w:rsidR="007D706A" w:rsidRDefault="007D706A" w:rsidP="00F70508">
            <w:pPr>
              <w:pStyle w:val="ParagraphStyle12"/>
              <w:rPr>
                <w:rStyle w:val="CharacterStyle12"/>
              </w:rPr>
            </w:pPr>
            <w:r>
              <w:rPr>
                <w:rStyle w:val="CharacterStyle12"/>
              </w:rPr>
              <w:t>3.000,00</w:t>
            </w:r>
          </w:p>
        </w:tc>
        <w:tc>
          <w:tcPr>
            <w:tcW w:w="1395" w:type="dxa"/>
            <w:tcBorders>
              <w:bottom w:val="single" w:sz="6" w:space="0" w:color="000000"/>
              <w:right w:val="single" w:sz="6" w:space="0" w:color="000000"/>
            </w:tcBorders>
            <w:vAlign w:val="center"/>
          </w:tcPr>
          <w:p w14:paraId="05573DF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EF1F5A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36A6409" w14:textId="77777777" w:rsidR="007D706A" w:rsidRDefault="007D706A" w:rsidP="00F70508">
            <w:pPr>
              <w:pStyle w:val="ParagraphStyle12"/>
              <w:rPr>
                <w:rStyle w:val="CharacterStyle12"/>
              </w:rPr>
            </w:pPr>
            <w:r>
              <w:rPr>
                <w:rStyle w:val="CharacterStyle12"/>
              </w:rPr>
              <w:t>0,00</w:t>
            </w:r>
          </w:p>
        </w:tc>
      </w:tr>
      <w:tr w:rsidR="007D706A" w14:paraId="7D392E0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C990359"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15225E40"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62868CE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ED8309D" w14:textId="77777777" w:rsidR="007D706A" w:rsidRDefault="007D706A" w:rsidP="00F70508">
            <w:pPr>
              <w:pStyle w:val="ParagraphStyle12"/>
              <w:rPr>
                <w:rStyle w:val="CharacterStyle12"/>
              </w:rPr>
            </w:pPr>
            <w:r>
              <w:rPr>
                <w:rStyle w:val="CharacterStyle12"/>
              </w:rPr>
              <w:t>185.800,00</w:t>
            </w:r>
          </w:p>
        </w:tc>
        <w:tc>
          <w:tcPr>
            <w:tcW w:w="1395" w:type="dxa"/>
            <w:tcBorders>
              <w:bottom w:val="single" w:sz="6" w:space="0" w:color="000000"/>
              <w:right w:val="single" w:sz="6" w:space="0" w:color="000000"/>
            </w:tcBorders>
            <w:vAlign w:val="center"/>
          </w:tcPr>
          <w:p w14:paraId="26CDE7CE" w14:textId="77777777" w:rsidR="007D706A" w:rsidRDefault="007D706A" w:rsidP="00F70508">
            <w:pPr>
              <w:pStyle w:val="ParagraphStyle12"/>
              <w:rPr>
                <w:rStyle w:val="CharacterStyle12"/>
              </w:rPr>
            </w:pPr>
            <w:r>
              <w:rPr>
                <w:rStyle w:val="CharacterStyle12"/>
              </w:rPr>
              <w:t>120.000,00</w:t>
            </w:r>
          </w:p>
        </w:tc>
        <w:tc>
          <w:tcPr>
            <w:tcW w:w="1395" w:type="dxa"/>
            <w:tcBorders>
              <w:bottom w:val="single" w:sz="6" w:space="0" w:color="000000"/>
              <w:right w:val="single" w:sz="6" w:space="0" w:color="000000"/>
            </w:tcBorders>
            <w:vAlign w:val="center"/>
          </w:tcPr>
          <w:p w14:paraId="44428B79" w14:textId="77777777" w:rsidR="007D706A" w:rsidRDefault="007D706A" w:rsidP="00F70508">
            <w:pPr>
              <w:pStyle w:val="ParagraphStyle12"/>
              <w:rPr>
                <w:rStyle w:val="CharacterStyle12"/>
              </w:rPr>
            </w:pPr>
            <w:r>
              <w:rPr>
                <w:rStyle w:val="CharacterStyle12"/>
              </w:rPr>
              <w:t>130.000,00</w:t>
            </w:r>
          </w:p>
        </w:tc>
        <w:tc>
          <w:tcPr>
            <w:tcW w:w="1395" w:type="dxa"/>
            <w:tcBorders>
              <w:bottom w:val="single" w:sz="6" w:space="0" w:color="000000"/>
              <w:right w:val="single" w:sz="6" w:space="0" w:color="000000"/>
            </w:tcBorders>
            <w:vAlign w:val="center"/>
          </w:tcPr>
          <w:p w14:paraId="47ED7F4B" w14:textId="77777777" w:rsidR="007D706A" w:rsidRDefault="007D706A" w:rsidP="00F70508">
            <w:pPr>
              <w:pStyle w:val="ParagraphStyle12"/>
              <w:rPr>
                <w:rStyle w:val="CharacterStyle12"/>
              </w:rPr>
            </w:pPr>
            <w:r>
              <w:rPr>
                <w:rStyle w:val="CharacterStyle12"/>
              </w:rPr>
              <w:t>130.000,00</w:t>
            </w:r>
          </w:p>
        </w:tc>
      </w:tr>
      <w:tr w:rsidR="007D706A" w14:paraId="7FCB8F4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5A7647D" w14:textId="77777777" w:rsidR="007D706A" w:rsidRDefault="007D706A" w:rsidP="00F70508">
            <w:pPr>
              <w:pStyle w:val="ParagraphStyle10"/>
              <w:rPr>
                <w:rStyle w:val="CharacterStyle10"/>
              </w:rPr>
            </w:pPr>
            <w:r>
              <w:rPr>
                <w:rStyle w:val="CharacterStyle10"/>
              </w:rPr>
              <w:t>42</w:t>
            </w:r>
          </w:p>
        </w:tc>
        <w:tc>
          <w:tcPr>
            <w:tcW w:w="4995" w:type="dxa"/>
            <w:tcBorders>
              <w:bottom w:val="single" w:sz="6" w:space="0" w:color="000000"/>
              <w:right w:val="single" w:sz="6" w:space="0" w:color="000000"/>
            </w:tcBorders>
            <w:vAlign w:val="center"/>
          </w:tcPr>
          <w:p w14:paraId="51C6CDD3"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52D2FD4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34A8C25" w14:textId="77777777" w:rsidR="007D706A" w:rsidRDefault="007D706A" w:rsidP="00F70508">
            <w:pPr>
              <w:pStyle w:val="ParagraphStyle12"/>
              <w:rPr>
                <w:rStyle w:val="CharacterStyle12"/>
              </w:rPr>
            </w:pPr>
            <w:r>
              <w:rPr>
                <w:rStyle w:val="CharacterStyle12"/>
              </w:rPr>
              <w:t>5.800,00</w:t>
            </w:r>
          </w:p>
        </w:tc>
        <w:tc>
          <w:tcPr>
            <w:tcW w:w="1395" w:type="dxa"/>
            <w:tcBorders>
              <w:bottom w:val="single" w:sz="6" w:space="0" w:color="000000"/>
              <w:right w:val="single" w:sz="6" w:space="0" w:color="000000"/>
            </w:tcBorders>
            <w:vAlign w:val="center"/>
          </w:tcPr>
          <w:p w14:paraId="5DEF1FA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99D92E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D19547F" w14:textId="77777777" w:rsidR="007D706A" w:rsidRDefault="007D706A" w:rsidP="00F70508">
            <w:pPr>
              <w:pStyle w:val="ParagraphStyle12"/>
              <w:rPr>
                <w:rStyle w:val="CharacterStyle12"/>
              </w:rPr>
            </w:pPr>
            <w:r>
              <w:rPr>
                <w:rStyle w:val="CharacterStyle12"/>
              </w:rPr>
              <w:t>0,00</w:t>
            </w:r>
          </w:p>
        </w:tc>
      </w:tr>
      <w:tr w:rsidR="007D706A" w14:paraId="295DDB76"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F43D262" w14:textId="77777777" w:rsidR="007D706A" w:rsidRDefault="007D706A" w:rsidP="00F70508">
            <w:pPr>
              <w:pStyle w:val="ParagraphStyle10"/>
              <w:rPr>
                <w:rStyle w:val="CharacterStyle10"/>
              </w:rPr>
            </w:pPr>
            <w:r>
              <w:rPr>
                <w:rStyle w:val="CharacterStyle10"/>
              </w:rPr>
              <w:t>45</w:t>
            </w:r>
          </w:p>
        </w:tc>
        <w:tc>
          <w:tcPr>
            <w:tcW w:w="4995" w:type="dxa"/>
            <w:tcBorders>
              <w:bottom w:val="single" w:sz="6" w:space="0" w:color="000000"/>
              <w:right w:val="single" w:sz="6" w:space="0" w:color="000000"/>
            </w:tcBorders>
            <w:vAlign w:val="center"/>
          </w:tcPr>
          <w:p w14:paraId="27EAD9BD" w14:textId="77777777" w:rsidR="007D706A" w:rsidRDefault="007D706A" w:rsidP="00F70508">
            <w:pPr>
              <w:pStyle w:val="ParagraphStyle11"/>
              <w:rPr>
                <w:rStyle w:val="CharacterStyle11"/>
              </w:rPr>
            </w:pPr>
            <w:r>
              <w:rPr>
                <w:rStyle w:val="CharacterStyle11"/>
              </w:rPr>
              <w:t>Rashodi za dodatna ulaganja na nefinancijskoj imovini</w:t>
            </w:r>
          </w:p>
        </w:tc>
        <w:tc>
          <w:tcPr>
            <w:tcW w:w="1395" w:type="dxa"/>
            <w:tcBorders>
              <w:bottom w:val="single" w:sz="6" w:space="0" w:color="000000"/>
              <w:right w:val="single" w:sz="6" w:space="0" w:color="000000"/>
            </w:tcBorders>
            <w:vAlign w:val="center"/>
          </w:tcPr>
          <w:p w14:paraId="77AFDCD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0B8BC6A" w14:textId="77777777" w:rsidR="007D706A" w:rsidRDefault="007D706A" w:rsidP="00F70508">
            <w:pPr>
              <w:pStyle w:val="ParagraphStyle12"/>
              <w:rPr>
                <w:rStyle w:val="CharacterStyle12"/>
              </w:rPr>
            </w:pPr>
            <w:r>
              <w:rPr>
                <w:rStyle w:val="CharacterStyle12"/>
              </w:rPr>
              <w:t>180.000,00</w:t>
            </w:r>
          </w:p>
        </w:tc>
        <w:tc>
          <w:tcPr>
            <w:tcW w:w="1395" w:type="dxa"/>
            <w:tcBorders>
              <w:bottom w:val="single" w:sz="6" w:space="0" w:color="000000"/>
              <w:right w:val="single" w:sz="6" w:space="0" w:color="000000"/>
            </w:tcBorders>
            <w:vAlign w:val="center"/>
          </w:tcPr>
          <w:p w14:paraId="3A20F5EA" w14:textId="77777777" w:rsidR="007D706A" w:rsidRDefault="007D706A" w:rsidP="00F70508">
            <w:pPr>
              <w:pStyle w:val="ParagraphStyle12"/>
              <w:rPr>
                <w:rStyle w:val="CharacterStyle12"/>
              </w:rPr>
            </w:pPr>
            <w:r>
              <w:rPr>
                <w:rStyle w:val="CharacterStyle12"/>
              </w:rPr>
              <w:t>120.000,00</w:t>
            </w:r>
          </w:p>
        </w:tc>
        <w:tc>
          <w:tcPr>
            <w:tcW w:w="1395" w:type="dxa"/>
            <w:tcBorders>
              <w:bottom w:val="single" w:sz="6" w:space="0" w:color="000000"/>
              <w:right w:val="single" w:sz="6" w:space="0" w:color="000000"/>
            </w:tcBorders>
            <w:vAlign w:val="center"/>
          </w:tcPr>
          <w:p w14:paraId="1D86EFD2" w14:textId="77777777" w:rsidR="007D706A" w:rsidRDefault="007D706A" w:rsidP="00F70508">
            <w:pPr>
              <w:pStyle w:val="ParagraphStyle12"/>
              <w:rPr>
                <w:rStyle w:val="CharacterStyle12"/>
              </w:rPr>
            </w:pPr>
            <w:r>
              <w:rPr>
                <w:rStyle w:val="CharacterStyle12"/>
              </w:rPr>
              <w:t>130.000,00</w:t>
            </w:r>
          </w:p>
        </w:tc>
        <w:tc>
          <w:tcPr>
            <w:tcW w:w="1395" w:type="dxa"/>
            <w:tcBorders>
              <w:bottom w:val="single" w:sz="6" w:space="0" w:color="000000"/>
              <w:right w:val="single" w:sz="6" w:space="0" w:color="000000"/>
            </w:tcBorders>
            <w:vAlign w:val="center"/>
          </w:tcPr>
          <w:p w14:paraId="5CAB0EA6" w14:textId="77777777" w:rsidR="007D706A" w:rsidRDefault="007D706A" w:rsidP="00F70508">
            <w:pPr>
              <w:pStyle w:val="ParagraphStyle12"/>
              <w:rPr>
                <w:rStyle w:val="CharacterStyle12"/>
              </w:rPr>
            </w:pPr>
            <w:r>
              <w:rPr>
                <w:rStyle w:val="CharacterStyle12"/>
              </w:rPr>
              <w:t>130.000,00</w:t>
            </w:r>
          </w:p>
        </w:tc>
      </w:tr>
      <w:tr w:rsidR="007D706A" w14:paraId="50526F2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0B8F997" w14:textId="77777777" w:rsidR="007D706A" w:rsidRDefault="007D706A" w:rsidP="00F70508">
            <w:pPr>
              <w:pStyle w:val="ParagraphStyle7"/>
              <w:rPr>
                <w:rStyle w:val="CharacterStyle7"/>
              </w:rPr>
            </w:pPr>
            <w:r>
              <w:rPr>
                <w:rStyle w:val="CharacterStyle7"/>
              </w:rPr>
              <w:t>Izvor financiranja 31</w:t>
            </w:r>
          </w:p>
        </w:tc>
        <w:tc>
          <w:tcPr>
            <w:tcW w:w="4995" w:type="dxa"/>
            <w:tcBorders>
              <w:bottom w:val="single" w:sz="6" w:space="0" w:color="000000"/>
              <w:right w:val="single" w:sz="6" w:space="0" w:color="000000"/>
            </w:tcBorders>
            <w:vAlign w:val="center"/>
          </w:tcPr>
          <w:p w14:paraId="234BC06B" w14:textId="77777777" w:rsidR="007D706A" w:rsidRDefault="007D706A" w:rsidP="00F70508">
            <w:pPr>
              <w:pStyle w:val="ParagraphStyle8"/>
              <w:rPr>
                <w:rStyle w:val="CharacterStyle8"/>
              </w:rPr>
            </w:pPr>
            <w:r>
              <w:rPr>
                <w:rStyle w:val="CharacterStyle8"/>
              </w:rPr>
              <w:t>Vlastiti prihodi</w:t>
            </w:r>
          </w:p>
        </w:tc>
        <w:tc>
          <w:tcPr>
            <w:tcW w:w="1395" w:type="dxa"/>
            <w:tcBorders>
              <w:bottom w:val="single" w:sz="6" w:space="0" w:color="000000"/>
              <w:right w:val="single" w:sz="6" w:space="0" w:color="000000"/>
            </w:tcBorders>
            <w:vAlign w:val="center"/>
          </w:tcPr>
          <w:p w14:paraId="2C2182F1"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CA928A0"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0884A22" w14:textId="77777777" w:rsidR="007D706A" w:rsidRDefault="007D706A" w:rsidP="00F70508">
            <w:pPr>
              <w:pStyle w:val="ParagraphStyle9"/>
              <w:rPr>
                <w:rStyle w:val="CharacterStyle9"/>
              </w:rPr>
            </w:pPr>
            <w:r>
              <w:rPr>
                <w:rStyle w:val="CharacterStyle9"/>
              </w:rPr>
              <w:t>35.000,00</w:t>
            </w:r>
          </w:p>
        </w:tc>
        <w:tc>
          <w:tcPr>
            <w:tcW w:w="1395" w:type="dxa"/>
            <w:tcBorders>
              <w:bottom w:val="single" w:sz="6" w:space="0" w:color="000000"/>
              <w:right w:val="single" w:sz="6" w:space="0" w:color="000000"/>
            </w:tcBorders>
            <w:vAlign w:val="center"/>
          </w:tcPr>
          <w:p w14:paraId="2790C32F"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79CAAD4" w14:textId="77777777" w:rsidR="007D706A" w:rsidRDefault="007D706A" w:rsidP="00F70508">
            <w:pPr>
              <w:pStyle w:val="ParagraphStyle9"/>
              <w:rPr>
                <w:rStyle w:val="CharacterStyle9"/>
              </w:rPr>
            </w:pPr>
            <w:r>
              <w:rPr>
                <w:rStyle w:val="CharacterStyle9"/>
              </w:rPr>
              <w:t>0,00</w:t>
            </w:r>
          </w:p>
        </w:tc>
      </w:tr>
      <w:tr w:rsidR="007D706A" w14:paraId="6824436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57F8AAF"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08F808AF"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2E71E26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206CE5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A280D9F" w14:textId="77777777" w:rsidR="007D706A" w:rsidRDefault="007D706A" w:rsidP="00F70508">
            <w:pPr>
              <w:pStyle w:val="ParagraphStyle12"/>
              <w:rPr>
                <w:rStyle w:val="CharacterStyle12"/>
              </w:rPr>
            </w:pPr>
            <w:r>
              <w:rPr>
                <w:rStyle w:val="CharacterStyle12"/>
              </w:rPr>
              <w:t>35.000,00</w:t>
            </w:r>
          </w:p>
        </w:tc>
        <w:tc>
          <w:tcPr>
            <w:tcW w:w="1395" w:type="dxa"/>
            <w:tcBorders>
              <w:bottom w:val="single" w:sz="6" w:space="0" w:color="000000"/>
              <w:right w:val="single" w:sz="6" w:space="0" w:color="000000"/>
            </w:tcBorders>
            <w:vAlign w:val="center"/>
          </w:tcPr>
          <w:p w14:paraId="2D9F50F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3F138FE" w14:textId="77777777" w:rsidR="007D706A" w:rsidRDefault="007D706A" w:rsidP="00F70508">
            <w:pPr>
              <w:pStyle w:val="ParagraphStyle12"/>
              <w:rPr>
                <w:rStyle w:val="CharacterStyle12"/>
              </w:rPr>
            </w:pPr>
            <w:r>
              <w:rPr>
                <w:rStyle w:val="CharacterStyle12"/>
              </w:rPr>
              <w:t>0,00</w:t>
            </w:r>
          </w:p>
        </w:tc>
      </w:tr>
      <w:tr w:rsidR="007D706A" w14:paraId="21E12A3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23A0202" w14:textId="77777777" w:rsidR="007D706A" w:rsidRDefault="007D706A" w:rsidP="00F70508">
            <w:pPr>
              <w:pStyle w:val="ParagraphStyle10"/>
              <w:rPr>
                <w:rStyle w:val="CharacterStyle10"/>
              </w:rPr>
            </w:pPr>
            <w:r>
              <w:rPr>
                <w:rStyle w:val="CharacterStyle10"/>
              </w:rPr>
              <w:t>45</w:t>
            </w:r>
          </w:p>
        </w:tc>
        <w:tc>
          <w:tcPr>
            <w:tcW w:w="4995" w:type="dxa"/>
            <w:tcBorders>
              <w:bottom w:val="single" w:sz="6" w:space="0" w:color="000000"/>
              <w:right w:val="single" w:sz="6" w:space="0" w:color="000000"/>
            </w:tcBorders>
            <w:vAlign w:val="center"/>
          </w:tcPr>
          <w:p w14:paraId="166BE6CA" w14:textId="77777777" w:rsidR="007D706A" w:rsidRDefault="007D706A" w:rsidP="00F70508">
            <w:pPr>
              <w:pStyle w:val="ParagraphStyle11"/>
              <w:rPr>
                <w:rStyle w:val="CharacterStyle11"/>
              </w:rPr>
            </w:pPr>
            <w:r>
              <w:rPr>
                <w:rStyle w:val="CharacterStyle11"/>
              </w:rPr>
              <w:t>Rashodi za dodatna ulaganja na nefinancijskoj imovini</w:t>
            </w:r>
          </w:p>
        </w:tc>
        <w:tc>
          <w:tcPr>
            <w:tcW w:w="1395" w:type="dxa"/>
            <w:tcBorders>
              <w:bottom w:val="single" w:sz="6" w:space="0" w:color="000000"/>
              <w:right w:val="single" w:sz="6" w:space="0" w:color="000000"/>
            </w:tcBorders>
            <w:vAlign w:val="center"/>
          </w:tcPr>
          <w:p w14:paraId="4481819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75640A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2FAE744" w14:textId="77777777" w:rsidR="007D706A" w:rsidRDefault="007D706A" w:rsidP="00F70508">
            <w:pPr>
              <w:pStyle w:val="ParagraphStyle12"/>
              <w:rPr>
                <w:rStyle w:val="CharacterStyle12"/>
              </w:rPr>
            </w:pPr>
            <w:r>
              <w:rPr>
                <w:rStyle w:val="CharacterStyle12"/>
              </w:rPr>
              <w:t>35.000,00</w:t>
            </w:r>
          </w:p>
        </w:tc>
        <w:tc>
          <w:tcPr>
            <w:tcW w:w="1395" w:type="dxa"/>
            <w:tcBorders>
              <w:bottom w:val="single" w:sz="6" w:space="0" w:color="000000"/>
              <w:right w:val="single" w:sz="6" w:space="0" w:color="000000"/>
            </w:tcBorders>
            <w:vAlign w:val="center"/>
          </w:tcPr>
          <w:p w14:paraId="6E86CFB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4DB087B" w14:textId="77777777" w:rsidR="007D706A" w:rsidRDefault="007D706A" w:rsidP="00F70508">
            <w:pPr>
              <w:pStyle w:val="ParagraphStyle12"/>
              <w:rPr>
                <w:rStyle w:val="CharacterStyle12"/>
              </w:rPr>
            </w:pPr>
            <w:r>
              <w:rPr>
                <w:rStyle w:val="CharacterStyle12"/>
              </w:rPr>
              <w:t>0,00</w:t>
            </w:r>
          </w:p>
        </w:tc>
      </w:tr>
      <w:tr w:rsidR="007D706A" w14:paraId="57B5F1A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61DE137" w14:textId="77777777" w:rsidR="007D706A" w:rsidRDefault="007D706A" w:rsidP="00F70508">
            <w:pPr>
              <w:pStyle w:val="ParagraphStyle7"/>
              <w:rPr>
                <w:rStyle w:val="CharacterStyle7"/>
              </w:rPr>
            </w:pPr>
            <w:r>
              <w:rPr>
                <w:rStyle w:val="CharacterStyle7"/>
              </w:rPr>
              <w:t>Izvor financiranja 41</w:t>
            </w:r>
          </w:p>
        </w:tc>
        <w:tc>
          <w:tcPr>
            <w:tcW w:w="4995" w:type="dxa"/>
            <w:tcBorders>
              <w:bottom w:val="single" w:sz="6" w:space="0" w:color="000000"/>
              <w:right w:val="single" w:sz="6" w:space="0" w:color="000000"/>
            </w:tcBorders>
            <w:vAlign w:val="center"/>
          </w:tcPr>
          <w:p w14:paraId="5355D545" w14:textId="77777777" w:rsidR="007D706A" w:rsidRDefault="007D706A" w:rsidP="00F70508">
            <w:pPr>
              <w:pStyle w:val="ParagraphStyle8"/>
              <w:rPr>
                <w:rStyle w:val="CharacterStyle8"/>
              </w:rPr>
            </w:pPr>
            <w:r>
              <w:rPr>
                <w:rStyle w:val="CharacterStyle8"/>
              </w:rPr>
              <w:t>Prihodi za posebne namjene</w:t>
            </w:r>
          </w:p>
        </w:tc>
        <w:tc>
          <w:tcPr>
            <w:tcW w:w="1395" w:type="dxa"/>
            <w:tcBorders>
              <w:bottom w:val="single" w:sz="6" w:space="0" w:color="000000"/>
              <w:right w:val="single" w:sz="6" w:space="0" w:color="000000"/>
            </w:tcBorders>
            <w:vAlign w:val="center"/>
          </w:tcPr>
          <w:p w14:paraId="1EE38D30"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AAC2B1A" w14:textId="77777777" w:rsidR="007D706A" w:rsidRDefault="007D706A" w:rsidP="00F70508">
            <w:pPr>
              <w:pStyle w:val="ParagraphStyle9"/>
              <w:rPr>
                <w:rStyle w:val="CharacterStyle9"/>
              </w:rPr>
            </w:pPr>
            <w:r>
              <w:rPr>
                <w:rStyle w:val="CharacterStyle9"/>
              </w:rPr>
              <w:t>3.000,00</w:t>
            </w:r>
          </w:p>
        </w:tc>
        <w:tc>
          <w:tcPr>
            <w:tcW w:w="1395" w:type="dxa"/>
            <w:tcBorders>
              <w:bottom w:val="single" w:sz="6" w:space="0" w:color="000000"/>
              <w:right w:val="single" w:sz="6" w:space="0" w:color="000000"/>
            </w:tcBorders>
            <w:vAlign w:val="center"/>
          </w:tcPr>
          <w:p w14:paraId="59FE54EB"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D0C985C"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73DC4DC" w14:textId="77777777" w:rsidR="007D706A" w:rsidRDefault="007D706A" w:rsidP="00F70508">
            <w:pPr>
              <w:pStyle w:val="ParagraphStyle9"/>
              <w:rPr>
                <w:rStyle w:val="CharacterStyle9"/>
              </w:rPr>
            </w:pPr>
            <w:r>
              <w:rPr>
                <w:rStyle w:val="CharacterStyle9"/>
              </w:rPr>
              <w:t>0,00</w:t>
            </w:r>
          </w:p>
        </w:tc>
      </w:tr>
      <w:tr w:rsidR="007D706A" w14:paraId="11519D2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A057E2B"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3FC62F48"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3110BA2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9C1E0E0" w14:textId="77777777" w:rsidR="007D706A" w:rsidRDefault="007D706A" w:rsidP="00F70508">
            <w:pPr>
              <w:pStyle w:val="ParagraphStyle12"/>
              <w:rPr>
                <w:rStyle w:val="CharacterStyle12"/>
              </w:rPr>
            </w:pPr>
            <w:r>
              <w:rPr>
                <w:rStyle w:val="CharacterStyle12"/>
              </w:rPr>
              <w:t>3.000,00</w:t>
            </w:r>
          </w:p>
        </w:tc>
        <w:tc>
          <w:tcPr>
            <w:tcW w:w="1395" w:type="dxa"/>
            <w:tcBorders>
              <w:bottom w:val="single" w:sz="6" w:space="0" w:color="000000"/>
              <w:right w:val="single" w:sz="6" w:space="0" w:color="000000"/>
            </w:tcBorders>
            <w:vAlign w:val="center"/>
          </w:tcPr>
          <w:p w14:paraId="4DDCDD7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D2A2F1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65DA361" w14:textId="77777777" w:rsidR="007D706A" w:rsidRDefault="007D706A" w:rsidP="00F70508">
            <w:pPr>
              <w:pStyle w:val="ParagraphStyle12"/>
              <w:rPr>
                <w:rStyle w:val="CharacterStyle12"/>
              </w:rPr>
            </w:pPr>
            <w:r>
              <w:rPr>
                <w:rStyle w:val="CharacterStyle12"/>
              </w:rPr>
              <w:t>0,00</w:t>
            </w:r>
          </w:p>
        </w:tc>
      </w:tr>
      <w:tr w:rsidR="007D706A" w14:paraId="03149F0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3069DA4"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2FDA4018"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62D9B64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533BA28" w14:textId="77777777" w:rsidR="007D706A" w:rsidRDefault="007D706A" w:rsidP="00F70508">
            <w:pPr>
              <w:pStyle w:val="ParagraphStyle12"/>
              <w:rPr>
                <w:rStyle w:val="CharacterStyle12"/>
              </w:rPr>
            </w:pPr>
            <w:r>
              <w:rPr>
                <w:rStyle w:val="CharacterStyle12"/>
              </w:rPr>
              <w:t>3.000,00</w:t>
            </w:r>
          </w:p>
        </w:tc>
        <w:tc>
          <w:tcPr>
            <w:tcW w:w="1395" w:type="dxa"/>
            <w:tcBorders>
              <w:bottom w:val="single" w:sz="6" w:space="0" w:color="000000"/>
              <w:right w:val="single" w:sz="6" w:space="0" w:color="000000"/>
            </w:tcBorders>
            <w:vAlign w:val="center"/>
          </w:tcPr>
          <w:p w14:paraId="3C7978F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B2316F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C34DD25" w14:textId="77777777" w:rsidR="007D706A" w:rsidRDefault="007D706A" w:rsidP="00F70508">
            <w:pPr>
              <w:pStyle w:val="ParagraphStyle12"/>
              <w:rPr>
                <w:rStyle w:val="CharacterStyle12"/>
              </w:rPr>
            </w:pPr>
            <w:r>
              <w:rPr>
                <w:rStyle w:val="CharacterStyle12"/>
              </w:rPr>
              <w:t>0,00</w:t>
            </w:r>
          </w:p>
        </w:tc>
      </w:tr>
      <w:tr w:rsidR="007D706A" w14:paraId="0F54DDA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9246C36" w14:textId="77777777" w:rsidR="007D706A" w:rsidRDefault="007D706A" w:rsidP="00F70508">
            <w:pPr>
              <w:pStyle w:val="ParagraphStyle7"/>
              <w:rPr>
                <w:rStyle w:val="CharacterStyle7"/>
              </w:rPr>
            </w:pPr>
            <w:r>
              <w:rPr>
                <w:rStyle w:val="CharacterStyle7"/>
              </w:rPr>
              <w:t>Izvor financiranja 50</w:t>
            </w:r>
          </w:p>
        </w:tc>
        <w:tc>
          <w:tcPr>
            <w:tcW w:w="4995" w:type="dxa"/>
            <w:tcBorders>
              <w:bottom w:val="single" w:sz="6" w:space="0" w:color="000000"/>
              <w:right w:val="single" w:sz="6" w:space="0" w:color="000000"/>
            </w:tcBorders>
            <w:vAlign w:val="center"/>
          </w:tcPr>
          <w:p w14:paraId="155829B7" w14:textId="77777777" w:rsidR="007D706A" w:rsidRDefault="007D706A" w:rsidP="00F70508">
            <w:pPr>
              <w:pStyle w:val="ParagraphStyle8"/>
              <w:rPr>
                <w:rStyle w:val="CharacterStyle8"/>
              </w:rPr>
            </w:pPr>
            <w:r>
              <w:rPr>
                <w:rStyle w:val="CharacterStyle8"/>
              </w:rPr>
              <w:t>Pomoći iz državnog proračuna</w:t>
            </w:r>
          </w:p>
        </w:tc>
        <w:tc>
          <w:tcPr>
            <w:tcW w:w="1395" w:type="dxa"/>
            <w:tcBorders>
              <w:bottom w:val="single" w:sz="6" w:space="0" w:color="000000"/>
              <w:right w:val="single" w:sz="6" w:space="0" w:color="000000"/>
            </w:tcBorders>
            <w:vAlign w:val="center"/>
          </w:tcPr>
          <w:p w14:paraId="724510A4"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E9C6880"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161D955" w14:textId="77777777" w:rsidR="007D706A" w:rsidRDefault="007D706A" w:rsidP="00F70508">
            <w:pPr>
              <w:pStyle w:val="ParagraphStyle9"/>
              <w:rPr>
                <w:rStyle w:val="CharacterStyle9"/>
              </w:rPr>
            </w:pPr>
            <w:r>
              <w:rPr>
                <w:rStyle w:val="CharacterStyle9"/>
              </w:rPr>
              <w:t>80.000,00</w:t>
            </w:r>
          </w:p>
        </w:tc>
        <w:tc>
          <w:tcPr>
            <w:tcW w:w="1395" w:type="dxa"/>
            <w:tcBorders>
              <w:bottom w:val="single" w:sz="6" w:space="0" w:color="000000"/>
              <w:right w:val="single" w:sz="6" w:space="0" w:color="000000"/>
            </w:tcBorders>
            <w:vAlign w:val="center"/>
          </w:tcPr>
          <w:p w14:paraId="11DB5BC3" w14:textId="77777777" w:rsidR="007D706A" w:rsidRDefault="007D706A" w:rsidP="00F70508">
            <w:pPr>
              <w:pStyle w:val="ParagraphStyle9"/>
              <w:rPr>
                <w:rStyle w:val="CharacterStyle9"/>
              </w:rPr>
            </w:pPr>
            <w:r>
              <w:rPr>
                <w:rStyle w:val="CharacterStyle9"/>
              </w:rPr>
              <w:t>100.000,00</w:t>
            </w:r>
          </w:p>
        </w:tc>
        <w:tc>
          <w:tcPr>
            <w:tcW w:w="1395" w:type="dxa"/>
            <w:tcBorders>
              <w:bottom w:val="single" w:sz="6" w:space="0" w:color="000000"/>
              <w:right w:val="single" w:sz="6" w:space="0" w:color="000000"/>
            </w:tcBorders>
            <w:vAlign w:val="center"/>
          </w:tcPr>
          <w:p w14:paraId="275BFF10" w14:textId="77777777" w:rsidR="007D706A" w:rsidRDefault="007D706A" w:rsidP="00F70508">
            <w:pPr>
              <w:pStyle w:val="ParagraphStyle9"/>
              <w:rPr>
                <w:rStyle w:val="CharacterStyle9"/>
              </w:rPr>
            </w:pPr>
            <w:r>
              <w:rPr>
                <w:rStyle w:val="CharacterStyle9"/>
              </w:rPr>
              <w:t>100.000,00</w:t>
            </w:r>
          </w:p>
        </w:tc>
      </w:tr>
      <w:tr w:rsidR="007D706A" w14:paraId="566912F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5C75B01"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0BFB1653"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3A94234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01A2C5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722EAE0" w14:textId="77777777" w:rsidR="007D706A" w:rsidRDefault="007D706A" w:rsidP="00F70508">
            <w:pPr>
              <w:pStyle w:val="ParagraphStyle12"/>
              <w:rPr>
                <w:rStyle w:val="CharacterStyle12"/>
              </w:rPr>
            </w:pPr>
            <w:r>
              <w:rPr>
                <w:rStyle w:val="CharacterStyle12"/>
              </w:rPr>
              <w:t>80.000,00</w:t>
            </w:r>
          </w:p>
        </w:tc>
        <w:tc>
          <w:tcPr>
            <w:tcW w:w="1395" w:type="dxa"/>
            <w:tcBorders>
              <w:bottom w:val="single" w:sz="6" w:space="0" w:color="000000"/>
              <w:right w:val="single" w:sz="6" w:space="0" w:color="000000"/>
            </w:tcBorders>
            <w:vAlign w:val="center"/>
          </w:tcPr>
          <w:p w14:paraId="41999035" w14:textId="77777777" w:rsidR="007D706A" w:rsidRDefault="007D706A" w:rsidP="00F70508">
            <w:pPr>
              <w:pStyle w:val="ParagraphStyle12"/>
              <w:rPr>
                <w:rStyle w:val="CharacterStyle12"/>
              </w:rPr>
            </w:pPr>
            <w:r>
              <w:rPr>
                <w:rStyle w:val="CharacterStyle12"/>
              </w:rPr>
              <w:t>100.000,00</w:t>
            </w:r>
          </w:p>
        </w:tc>
        <w:tc>
          <w:tcPr>
            <w:tcW w:w="1395" w:type="dxa"/>
            <w:tcBorders>
              <w:bottom w:val="single" w:sz="6" w:space="0" w:color="000000"/>
              <w:right w:val="single" w:sz="6" w:space="0" w:color="000000"/>
            </w:tcBorders>
            <w:vAlign w:val="center"/>
          </w:tcPr>
          <w:p w14:paraId="3B3E0C42" w14:textId="77777777" w:rsidR="007D706A" w:rsidRDefault="007D706A" w:rsidP="00F70508">
            <w:pPr>
              <w:pStyle w:val="ParagraphStyle12"/>
              <w:rPr>
                <w:rStyle w:val="CharacterStyle12"/>
              </w:rPr>
            </w:pPr>
            <w:r>
              <w:rPr>
                <w:rStyle w:val="CharacterStyle12"/>
              </w:rPr>
              <w:t>100.000,00</w:t>
            </w:r>
          </w:p>
        </w:tc>
      </w:tr>
      <w:tr w:rsidR="007D706A" w14:paraId="1A33608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80AA45E" w14:textId="77777777" w:rsidR="007D706A" w:rsidRDefault="007D706A" w:rsidP="00F70508">
            <w:pPr>
              <w:pStyle w:val="ParagraphStyle10"/>
              <w:rPr>
                <w:rStyle w:val="CharacterStyle10"/>
              </w:rPr>
            </w:pPr>
            <w:r>
              <w:rPr>
                <w:rStyle w:val="CharacterStyle10"/>
              </w:rPr>
              <w:t>45</w:t>
            </w:r>
          </w:p>
        </w:tc>
        <w:tc>
          <w:tcPr>
            <w:tcW w:w="4995" w:type="dxa"/>
            <w:tcBorders>
              <w:bottom w:val="single" w:sz="6" w:space="0" w:color="000000"/>
              <w:right w:val="single" w:sz="6" w:space="0" w:color="000000"/>
            </w:tcBorders>
            <w:vAlign w:val="center"/>
          </w:tcPr>
          <w:p w14:paraId="6B507AEB" w14:textId="77777777" w:rsidR="007D706A" w:rsidRDefault="007D706A" w:rsidP="00F70508">
            <w:pPr>
              <w:pStyle w:val="ParagraphStyle11"/>
              <w:rPr>
                <w:rStyle w:val="CharacterStyle11"/>
              </w:rPr>
            </w:pPr>
            <w:r>
              <w:rPr>
                <w:rStyle w:val="CharacterStyle11"/>
              </w:rPr>
              <w:t>Rashodi za dodatna ulaganja na nefinancijskoj imovini</w:t>
            </w:r>
          </w:p>
        </w:tc>
        <w:tc>
          <w:tcPr>
            <w:tcW w:w="1395" w:type="dxa"/>
            <w:tcBorders>
              <w:bottom w:val="single" w:sz="6" w:space="0" w:color="000000"/>
              <w:right w:val="single" w:sz="6" w:space="0" w:color="000000"/>
            </w:tcBorders>
            <w:vAlign w:val="center"/>
          </w:tcPr>
          <w:p w14:paraId="0988823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4F8EAD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C556EE0" w14:textId="77777777" w:rsidR="007D706A" w:rsidRDefault="007D706A" w:rsidP="00F70508">
            <w:pPr>
              <w:pStyle w:val="ParagraphStyle12"/>
              <w:rPr>
                <w:rStyle w:val="CharacterStyle12"/>
              </w:rPr>
            </w:pPr>
            <w:r>
              <w:rPr>
                <w:rStyle w:val="CharacterStyle12"/>
              </w:rPr>
              <w:t>80.000,00</w:t>
            </w:r>
          </w:p>
        </w:tc>
        <w:tc>
          <w:tcPr>
            <w:tcW w:w="1395" w:type="dxa"/>
            <w:tcBorders>
              <w:bottom w:val="single" w:sz="6" w:space="0" w:color="000000"/>
              <w:right w:val="single" w:sz="6" w:space="0" w:color="000000"/>
            </w:tcBorders>
            <w:vAlign w:val="center"/>
          </w:tcPr>
          <w:p w14:paraId="248B797E" w14:textId="77777777" w:rsidR="007D706A" w:rsidRDefault="007D706A" w:rsidP="00F70508">
            <w:pPr>
              <w:pStyle w:val="ParagraphStyle12"/>
              <w:rPr>
                <w:rStyle w:val="CharacterStyle12"/>
              </w:rPr>
            </w:pPr>
            <w:r>
              <w:rPr>
                <w:rStyle w:val="CharacterStyle12"/>
              </w:rPr>
              <w:t>100.000,00</w:t>
            </w:r>
          </w:p>
        </w:tc>
        <w:tc>
          <w:tcPr>
            <w:tcW w:w="1395" w:type="dxa"/>
            <w:tcBorders>
              <w:bottom w:val="single" w:sz="6" w:space="0" w:color="000000"/>
              <w:right w:val="single" w:sz="6" w:space="0" w:color="000000"/>
            </w:tcBorders>
            <w:vAlign w:val="center"/>
          </w:tcPr>
          <w:p w14:paraId="15C0A2D4" w14:textId="77777777" w:rsidR="007D706A" w:rsidRDefault="007D706A" w:rsidP="00F70508">
            <w:pPr>
              <w:pStyle w:val="ParagraphStyle12"/>
              <w:rPr>
                <w:rStyle w:val="CharacterStyle12"/>
              </w:rPr>
            </w:pPr>
            <w:r>
              <w:rPr>
                <w:rStyle w:val="CharacterStyle12"/>
              </w:rPr>
              <w:t>100.000,00</w:t>
            </w:r>
          </w:p>
        </w:tc>
      </w:tr>
      <w:tr w:rsidR="007D706A" w14:paraId="7195D1D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00A0543" w14:textId="77777777" w:rsidR="007D706A" w:rsidRDefault="007D706A" w:rsidP="00F70508">
            <w:pPr>
              <w:pStyle w:val="ParagraphStyle7"/>
              <w:rPr>
                <w:rStyle w:val="CharacterStyle7"/>
              </w:rPr>
            </w:pPr>
            <w:r>
              <w:rPr>
                <w:rStyle w:val="CharacterStyle7"/>
              </w:rPr>
              <w:t>Izvor financiranja 82</w:t>
            </w:r>
          </w:p>
        </w:tc>
        <w:tc>
          <w:tcPr>
            <w:tcW w:w="4995" w:type="dxa"/>
            <w:tcBorders>
              <w:bottom w:val="single" w:sz="6" w:space="0" w:color="000000"/>
              <w:right w:val="single" w:sz="6" w:space="0" w:color="000000"/>
            </w:tcBorders>
            <w:vAlign w:val="center"/>
          </w:tcPr>
          <w:p w14:paraId="5B78B15B" w14:textId="77777777" w:rsidR="007D706A" w:rsidRDefault="007D706A" w:rsidP="00F70508">
            <w:pPr>
              <w:pStyle w:val="ParagraphStyle8"/>
              <w:rPr>
                <w:rStyle w:val="CharacterStyle8"/>
              </w:rPr>
            </w:pPr>
            <w:r>
              <w:rPr>
                <w:rStyle w:val="CharacterStyle8"/>
              </w:rPr>
              <w:t>Preneseni viškovi iz ranijih godina</w:t>
            </w:r>
          </w:p>
        </w:tc>
        <w:tc>
          <w:tcPr>
            <w:tcW w:w="1395" w:type="dxa"/>
            <w:tcBorders>
              <w:bottom w:val="single" w:sz="6" w:space="0" w:color="000000"/>
              <w:right w:val="single" w:sz="6" w:space="0" w:color="000000"/>
            </w:tcBorders>
            <w:vAlign w:val="center"/>
          </w:tcPr>
          <w:p w14:paraId="4038DDFB"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0A8AB91" w14:textId="77777777" w:rsidR="007D706A" w:rsidRDefault="007D706A" w:rsidP="00F70508">
            <w:pPr>
              <w:pStyle w:val="ParagraphStyle9"/>
              <w:rPr>
                <w:rStyle w:val="CharacterStyle9"/>
              </w:rPr>
            </w:pPr>
            <w:r>
              <w:rPr>
                <w:rStyle w:val="CharacterStyle9"/>
              </w:rPr>
              <w:t>20.000,00</w:t>
            </w:r>
          </w:p>
        </w:tc>
        <w:tc>
          <w:tcPr>
            <w:tcW w:w="1395" w:type="dxa"/>
            <w:tcBorders>
              <w:bottom w:val="single" w:sz="6" w:space="0" w:color="000000"/>
              <w:right w:val="single" w:sz="6" w:space="0" w:color="000000"/>
            </w:tcBorders>
            <w:vAlign w:val="center"/>
          </w:tcPr>
          <w:p w14:paraId="41CABB28"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97AD370"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80E245D" w14:textId="77777777" w:rsidR="007D706A" w:rsidRDefault="007D706A" w:rsidP="00F70508">
            <w:pPr>
              <w:pStyle w:val="ParagraphStyle9"/>
              <w:rPr>
                <w:rStyle w:val="CharacterStyle9"/>
              </w:rPr>
            </w:pPr>
            <w:r>
              <w:rPr>
                <w:rStyle w:val="CharacterStyle9"/>
              </w:rPr>
              <w:t>0,00</w:t>
            </w:r>
          </w:p>
        </w:tc>
      </w:tr>
      <w:tr w:rsidR="007D706A" w14:paraId="3B8A263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BA0C91B"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024FBEBE"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48553FC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97BF34A" w14:textId="77777777" w:rsidR="007D706A" w:rsidRDefault="007D706A" w:rsidP="00F70508">
            <w:pPr>
              <w:pStyle w:val="ParagraphStyle12"/>
              <w:rPr>
                <w:rStyle w:val="CharacterStyle12"/>
              </w:rPr>
            </w:pPr>
            <w:r>
              <w:rPr>
                <w:rStyle w:val="CharacterStyle12"/>
              </w:rPr>
              <w:t>1.500,00</w:t>
            </w:r>
          </w:p>
        </w:tc>
        <w:tc>
          <w:tcPr>
            <w:tcW w:w="1395" w:type="dxa"/>
            <w:tcBorders>
              <w:bottom w:val="single" w:sz="6" w:space="0" w:color="000000"/>
              <w:right w:val="single" w:sz="6" w:space="0" w:color="000000"/>
            </w:tcBorders>
            <w:vAlign w:val="center"/>
          </w:tcPr>
          <w:p w14:paraId="7331010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A01244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8D9EDF1" w14:textId="77777777" w:rsidR="007D706A" w:rsidRDefault="007D706A" w:rsidP="00F70508">
            <w:pPr>
              <w:pStyle w:val="ParagraphStyle12"/>
              <w:rPr>
                <w:rStyle w:val="CharacterStyle12"/>
              </w:rPr>
            </w:pPr>
            <w:r>
              <w:rPr>
                <w:rStyle w:val="CharacterStyle12"/>
              </w:rPr>
              <w:t>0,00</w:t>
            </w:r>
          </w:p>
        </w:tc>
      </w:tr>
      <w:tr w:rsidR="007D706A" w14:paraId="4C57146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DE8185E"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0BFB9D93"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4ED8D88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FF8BCB7" w14:textId="77777777" w:rsidR="007D706A" w:rsidRDefault="007D706A" w:rsidP="00F70508">
            <w:pPr>
              <w:pStyle w:val="ParagraphStyle12"/>
              <w:rPr>
                <w:rStyle w:val="CharacterStyle12"/>
              </w:rPr>
            </w:pPr>
            <w:r>
              <w:rPr>
                <w:rStyle w:val="CharacterStyle12"/>
              </w:rPr>
              <w:t>1.500,00</w:t>
            </w:r>
          </w:p>
        </w:tc>
        <w:tc>
          <w:tcPr>
            <w:tcW w:w="1395" w:type="dxa"/>
            <w:tcBorders>
              <w:bottom w:val="single" w:sz="6" w:space="0" w:color="000000"/>
              <w:right w:val="single" w:sz="6" w:space="0" w:color="000000"/>
            </w:tcBorders>
            <w:vAlign w:val="center"/>
          </w:tcPr>
          <w:p w14:paraId="346C9F5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62A4F0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026D21A" w14:textId="77777777" w:rsidR="007D706A" w:rsidRDefault="007D706A" w:rsidP="00F70508">
            <w:pPr>
              <w:pStyle w:val="ParagraphStyle12"/>
              <w:rPr>
                <w:rStyle w:val="CharacterStyle12"/>
              </w:rPr>
            </w:pPr>
            <w:r>
              <w:rPr>
                <w:rStyle w:val="CharacterStyle12"/>
              </w:rPr>
              <w:t>0,00</w:t>
            </w:r>
          </w:p>
        </w:tc>
      </w:tr>
      <w:tr w:rsidR="007D706A" w14:paraId="643FE15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3B5740D"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2331F403"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4E6AD00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2BBC4E7" w14:textId="77777777" w:rsidR="007D706A" w:rsidRDefault="007D706A" w:rsidP="00F70508">
            <w:pPr>
              <w:pStyle w:val="ParagraphStyle12"/>
              <w:rPr>
                <w:rStyle w:val="CharacterStyle12"/>
              </w:rPr>
            </w:pPr>
            <w:r>
              <w:rPr>
                <w:rStyle w:val="CharacterStyle12"/>
              </w:rPr>
              <w:t>18.500,00</w:t>
            </w:r>
          </w:p>
        </w:tc>
        <w:tc>
          <w:tcPr>
            <w:tcW w:w="1395" w:type="dxa"/>
            <w:tcBorders>
              <w:bottom w:val="single" w:sz="6" w:space="0" w:color="000000"/>
              <w:right w:val="single" w:sz="6" w:space="0" w:color="000000"/>
            </w:tcBorders>
            <w:vAlign w:val="center"/>
          </w:tcPr>
          <w:p w14:paraId="287DD7B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ECA576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3872FC1" w14:textId="77777777" w:rsidR="007D706A" w:rsidRDefault="007D706A" w:rsidP="00F70508">
            <w:pPr>
              <w:pStyle w:val="ParagraphStyle12"/>
              <w:rPr>
                <w:rStyle w:val="CharacterStyle12"/>
              </w:rPr>
            </w:pPr>
            <w:r>
              <w:rPr>
                <w:rStyle w:val="CharacterStyle12"/>
              </w:rPr>
              <w:t>0,00</w:t>
            </w:r>
          </w:p>
        </w:tc>
      </w:tr>
      <w:tr w:rsidR="007D706A" w14:paraId="6D9AE58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1B4CBD5" w14:textId="77777777" w:rsidR="007D706A" w:rsidRDefault="007D706A" w:rsidP="00F70508">
            <w:pPr>
              <w:pStyle w:val="ParagraphStyle10"/>
              <w:rPr>
                <w:rStyle w:val="CharacterStyle10"/>
              </w:rPr>
            </w:pPr>
            <w:r>
              <w:rPr>
                <w:rStyle w:val="CharacterStyle10"/>
              </w:rPr>
              <w:t>42</w:t>
            </w:r>
          </w:p>
        </w:tc>
        <w:tc>
          <w:tcPr>
            <w:tcW w:w="4995" w:type="dxa"/>
            <w:tcBorders>
              <w:bottom w:val="single" w:sz="6" w:space="0" w:color="000000"/>
              <w:right w:val="single" w:sz="6" w:space="0" w:color="000000"/>
            </w:tcBorders>
            <w:vAlign w:val="center"/>
          </w:tcPr>
          <w:p w14:paraId="0FFC5C36"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5F6A2F1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79CEA3C" w14:textId="77777777" w:rsidR="007D706A" w:rsidRDefault="007D706A" w:rsidP="00F70508">
            <w:pPr>
              <w:pStyle w:val="ParagraphStyle12"/>
              <w:rPr>
                <w:rStyle w:val="CharacterStyle12"/>
              </w:rPr>
            </w:pPr>
            <w:r>
              <w:rPr>
                <w:rStyle w:val="CharacterStyle12"/>
              </w:rPr>
              <w:t>2.500,00</w:t>
            </w:r>
          </w:p>
        </w:tc>
        <w:tc>
          <w:tcPr>
            <w:tcW w:w="1395" w:type="dxa"/>
            <w:tcBorders>
              <w:bottom w:val="single" w:sz="6" w:space="0" w:color="000000"/>
              <w:right w:val="single" w:sz="6" w:space="0" w:color="000000"/>
            </w:tcBorders>
            <w:vAlign w:val="center"/>
          </w:tcPr>
          <w:p w14:paraId="29D2BCB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49E85C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0801B10" w14:textId="77777777" w:rsidR="007D706A" w:rsidRDefault="007D706A" w:rsidP="00F70508">
            <w:pPr>
              <w:pStyle w:val="ParagraphStyle12"/>
              <w:rPr>
                <w:rStyle w:val="CharacterStyle12"/>
              </w:rPr>
            </w:pPr>
            <w:r>
              <w:rPr>
                <w:rStyle w:val="CharacterStyle12"/>
              </w:rPr>
              <w:t>0,00</w:t>
            </w:r>
          </w:p>
        </w:tc>
      </w:tr>
      <w:tr w:rsidR="007D706A" w14:paraId="412324C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A63D556" w14:textId="77777777" w:rsidR="007D706A" w:rsidRDefault="007D706A" w:rsidP="00F70508">
            <w:pPr>
              <w:pStyle w:val="ParagraphStyle10"/>
              <w:rPr>
                <w:rStyle w:val="CharacterStyle10"/>
              </w:rPr>
            </w:pPr>
            <w:r>
              <w:rPr>
                <w:rStyle w:val="CharacterStyle10"/>
              </w:rPr>
              <w:t>45</w:t>
            </w:r>
          </w:p>
        </w:tc>
        <w:tc>
          <w:tcPr>
            <w:tcW w:w="4995" w:type="dxa"/>
            <w:tcBorders>
              <w:bottom w:val="single" w:sz="6" w:space="0" w:color="000000"/>
              <w:right w:val="single" w:sz="6" w:space="0" w:color="000000"/>
            </w:tcBorders>
            <w:vAlign w:val="center"/>
          </w:tcPr>
          <w:p w14:paraId="12FC4319" w14:textId="77777777" w:rsidR="007D706A" w:rsidRDefault="007D706A" w:rsidP="00F70508">
            <w:pPr>
              <w:pStyle w:val="ParagraphStyle11"/>
              <w:rPr>
                <w:rStyle w:val="CharacterStyle11"/>
              </w:rPr>
            </w:pPr>
            <w:r>
              <w:rPr>
                <w:rStyle w:val="CharacterStyle11"/>
              </w:rPr>
              <w:t>Rashodi za dodatna ulaganja na nefinancijskoj imovini</w:t>
            </w:r>
          </w:p>
        </w:tc>
        <w:tc>
          <w:tcPr>
            <w:tcW w:w="1395" w:type="dxa"/>
            <w:tcBorders>
              <w:bottom w:val="single" w:sz="6" w:space="0" w:color="000000"/>
              <w:right w:val="single" w:sz="6" w:space="0" w:color="000000"/>
            </w:tcBorders>
            <w:vAlign w:val="center"/>
          </w:tcPr>
          <w:p w14:paraId="72A6DD6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689025B" w14:textId="77777777" w:rsidR="007D706A" w:rsidRDefault="007D706A" w:rsidP="00F70508">
            <w:pPr>
              <w:pStyle w:val="ParagraphStyle12"/>
              <w:rPr>
                <w:rStyle w:val="CharacterStyle12"/>
              </w:rPr>
            </w:pPr>
            <w:r>
              <w:rPr>
                <w:rStyle w:val="CharacterStyle12"/>
              </w:rPr>
              <w:t>16.000,00</w:t>
            </w:r>
          </w:p>
        </w:tc>
        <w:tc>
          <w:tcPr>
            <w:tcW w:w="1395" w:type="dxa"/>
            <w:tcBorders>
              <w:bottom w:val="single" w:sz="6" w:space="0" w:color="000000"/>
              <w:right w:val="single" w:sz="6" w:space="0" w:color="000000"/>
            </w:tcBorders>
            <w:vAlign w:val="center"/>
          </w:tcPr>
          <w:p w14:paraId="512BFE4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FC5C90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1BCC01F" w14:textId="77777777" w:rsidR="007D706A" w:rsidRDefault="007D706A" w:rsidP="00F70508">
            <w:pPr>
              <w:pStyle w:val="ParagraphStyle12"/>
              <w:rPr>
                <w:rStyle w:val="CharacterStyle12"/>
              </w:rPr>
            </w:pPr>
            <w:r>
              <w:rPr>
                <w:rStyle w:val="CharacterStyle12"/>
              </w:rPr>
              <w:t>0,00</w:t>
            </w:r>
          </w:p>
        </w:tc>
      </w:tr>
      <w:tr w:rsidR="007D706A" w14:paraId="3367031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C47A782" w14:textId="77777777" w:rsidR="007D706A" w:rsidRDefault="007D706A" w:rsidP="00F70508">
            <w:pPr>
              <w:pStyle w:val="ParagraphStyle4"/>
              <w:rPr>
                <w:rStyle w:val="CharacterStyle4"/>
              </w:rPr>
            </w:pPr>
            <w:r>
              <w:rPr>
                <w:rStyle w:val="CharacterStyle4"/>
              </w:rPr>
              <w:t>Aktivnost A103715</w:t>
            </w:r>
          </w:p>
        </w:tc>
        <w:tc>
          <w:tcPr>
            <w:tcW w:w="4995" w:type="dxa"/>
            <w:tcBorders>
              <w:bottom w:val="single" w:sz="6" w:space="0" w:color="000000"/>
              <w:right w:val="single" w:sz="6" w:space="0" w:color="000000"/>
            </w:tcBorders>
            <w:vAlign w:val="center"/>
          </w:tcPr>
          <w:p w14:paraId="63F231AB" w14:textId="77777777" w:rsidR="007D706A" w:rsidRDefault="007D706A" w:rsidP="00F70508">
            <w:pPr>
              <w:pStyle w:val="ParagraphStyle5"/>
              <w:rPr>
                <w:rStyle w:val="CharacterStyle5"/>
              </w:rPr>
            </w:pPr>
            <w:r>
              <w:rPr>
                <w:rStyle w:val="CharacterStyle5"/>
              </w:rPr>
              <w:t>MUZEJSKE ZBIRKE I DOKUMENTACIJA</w:t>
            </w:r>
          </w:p>
        </w:tc>
        <w:tc>
          <w:tcPr>
            <w:tcW w:w="1395" w:type="dxa"/>
            <w:tcBorders>
              <w:bottom w:val="single" w:sz="6" w:space="0" w:color="000000"/>
              <w:right w:val="single" w:sz="6" w:space="0" w:color="000000"/>
            </w:tcBorders>
            <w:vAlign w:val="center"/>
          </w:tcPr>
          <w:p w14:paraId="5D68484F"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04AADAB7" w14:textId="77777777" w:rsidR="007D706A" w:rsidRDefault="007D706A" w:rsidP="00F70508">
            <w:pPr>
              <w:pStyle w:val="ParagraphStyle6"/>
              <w:rPr>
                <w:rStyle w:val="CharacterStyle6"/>
              </w:rPr>
            </w:pPr>
            <w:r>
              <w:rPr>
                <w:rStyle w:val="CharacterStyle6"/>
              </w:rPr>
              <w:t>35.519,00</w:t>
            </w:r>
          </w:p>
        </w:tc>
        <w:tc>
          <w:tcPr>
            <w:tcW w:w="1395" w:type="dxa"/>
            <w:tcBorders>
              <w:bottom w:val="single" w:sz="6" w:space="0" w:color="000000"/>
              <w:right w:val="single" w:sz="6" w:space="0" w:color="000000"/>
            </w:tcBorders>
            <w:vAlign w:val="center"/>
          </w:tcPr>
          <w:p w14:paraId="2995540E" w14:textId="77777777" w:rsidR="007D706A" w:rsidRDefault="007D706A" w:rsidP="00F70508">
            <w:pPr>
              <w:pStyle w:val="ParagraphStyle6"/>
              <w:rPr>
                <w:rStyle w:val="CharacterStyle6"/>
              </w:rPr>
            </w:pPr>
            <w:r>
              <w:rPr>
                <w:rStyle w:val="CharacterStyle6"/>
              </w:rPr>
              <w:t>55.800,00</w:t>
            </w:r>
          </w:p>
        </w:tc>
        <w:tc>
          <w:tcPr>
            <w:tcW w:w="1395" w:type="dxa"/>
            <w:tcBorders>
              <w:bottom w:val="single" w:sz="6" w:space="0" w:color="000000"/>
              <w:right w:val="single" w:sz="6" w:space="0" w:color="000000"/>
            </w:tcBorders>
            <w:vAlign w:val="center"/>
          </w:tcPr>
          <w:p w14:paraId="60C6720E" w14:textId="77777777" w:rsidR="007D706A" w:rsidRDefault="007D706A" w:rsidP="00F70508">
            <w:pPr>
              <w:pStyle w:val="ParagraphStyle6"/>
              <w:rPr>
                <w:rStyle w:val="CharacterStyle6"/>
              </w:rPr>
            </w:pPr>
            <w:r>
              <w:rPr>
                <w:rStyle w:val="CharacterStyle6"/>
              </w:rPr>
              <w:t>49.200,00</w:t>
            </w:r>
          </w:p>
        </w:tc>
        <w:tc>
          <w:tcPr>
            <w:tcW w:w="1395" w:type="dxa"/>
            <w:tcBorders>
              <w:bottom w:val="single" w:sz="6" w:space="0" w:color="000000"/>
              <w:right w:val="single" w:sz="6" w:space="0" w:color="000000"/>
            </w:tcBorders>
            <w:vAlign w:val="center"/>
          </w:tcPr>
          <w:p w14:paraId="38125C2D" w14:textId="77777777" w:rsidR="007D706A" w:rsidRDefault="007D706A" w:rsidP="00F70508">
            <w:pPr>
              <w:pStyle w:val="ParagraphStyle6"/>
              <w:rPr>
                <w:rStyle w:val="CharacterStyle6"/>
              </w:rPr>
            </w:pPr>
            <w:r>
              <w:rPr>
                <w:rStyle w:val="CharacterStyle6"/>
              </w:rPr>
              <w:t>51.000,00</w:t>
            </w:r>
          </w:p>
        </w:tc>
      </w:tr>
      <w:tr w:rsidR="007D706A" w14:paraId="049B6FA6"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1ED590D"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597E1233"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548D1D7F"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4B16B5A" w14:textId="77777777" w:rsidR="007D706A" w:rsidRDefault="007D706A" w:rsidP="00F70508">
            <w:pPr>
              <w:pStyle w:val="ParagraphStyle9"/>
              <w:rPr>
                <w:rStyle w:val="CharacterStyle9"/>
              </w:rPr>
            </w:pPr>
            <w:r>
              <w:rPr>
                <w:rStyle w:val="CharacterStyle9"/>
              </w:rPr>
              <w:t>20.570,00</w:t>
            </w:r>
          </w:p>
        </w:tc>
        <w:tc>
          <w:tcPr>
            <w:tcW w:w="1395" w:type="dxa"/>
            <w:tcBorders>
              <w:bottom w:val="single" w:sz="6" w:space="0" w:color="000000"/>
              <w:right w:val="single" w:sz="6" w:space="0" w:color="000000"/>
            </w:tcBorders>
            <w:vAlign w:val="center"/>
          </w:tcPr>
          <w:p w14:paraId="657029D8" w14:textId="77777777" w:rsidR="007D706A" w:rsidRDefault="007D706A" w:rsidP="00F70508">
            <w:pPr>
              <w:pStyle w:val="ParagraphStyle9"/>
              <w:rPr>
                <w:rStyle w:val="CharacterStyle9"/>
              </w:rPr>
            </w:pPr>
            <w:r>
              <w:rPr>
                <w:rStyle w:val="CharacterStyle9"/>
              </w:rPr>
              <w:t>25.500,00</w:t>
            </w:r>
          </w:p>
        </w:tc>
        <w:tc>
          <w:tcPr>
            <w:tcW w:w="1395" w:type="dxa"/>
            <w:tcBorders>
              <w:bottom w:val="single" w:sz="6" w:space="0" w:color="000000"/>
              <w:right w:val="single" w:sz="6" w:space="0" w:color="000000"/>
            </w:tcBorders>
            <w:vAlign w:val="center"/>
          </w:tcPr>
          <w:p w14:paraId="1B022E9E" w14:textId="77777777" w:rsidR="007D706A" w:rsidRDefault="007D706A" w:rsidP="00F70508">
            <w:pPr>
              <w:pStyle w:val="ParagraphStyle9"/>
              <w:rPr>
                <w:rStyle w:val="CharacterStyle9"/>
              </w:rPr>
            </w:pPr>
            <w:r>
              <w:rPr>
                <w:rStyle w:val="CharacterStyle9"/>
              </w:rPr>
              <w:t>28.700,00</w:t>
            </w:r>
          </w:p>
        </w:tc>
        <w:tc>
          <w:tcPr>
            <w:tcW w:w="1395" w:type="dxa"/>
            <w:tcBorders>
              <w:bottom w:val="single" w:sz="6" w:space="0" w:color="000000"/>
              <w:right w:val="single" w:sz="6" w:space="0" w:color="000000"/>
            </w:tcBorders>
            <w:vAlign w:val="center"/>
          </w:tcPr>
          <w:p w14:paraId="3DC3337F" w14:textId="77777777" w:rsidR="007D706A" w:rsidRDefault="007D706A" w:rsidP="00F70508">
            <w:pPr>
              <w:pStyle w:val="ParagraphStyle9"/>
              <w:rPr>
                <w:rStyle w:val="CharacterStyle9"/>
              </w:rPr>
            </w:pPr>
            <w:r>
              <w:rPr>
                <w:rStyle w:val="CharacterStyle9"/>
              </w:rPr>
              <w:t>30.200,00</w:t>
            </w:r>
          </w:p>
        </w:tc>
      </w:tr>
      <w:tr w:rsidR="007D706A" w14:paraId="31909DB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A16E4FB"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3B5B5B6F"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3ACF7A8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49C78A4" w14:textId="77777777" w:rsidR="007D706A" w:rsidRDefault="007D706A" w:rsidP="00F70508">
            <w:pPr>
              <w:pStyle w:val="ParagraphStyle12"/>
              <w:rPr>
                <w:rStyle w:val="CharacterStyle12"/>
              </w:rPr>
            </w:pPr>
            <w:r>
              <w:rPr>
                <w:rStyle w:val="CharacterStyle12"/>
              </w:rPr>
              <w:t>14.870,00</w:t>
            </w:r>
          </w:p>
        </w:tc>
        <w:tc>
          <w:tcPr>
            <w:tcW w:w="1395" w:type="dxa"/>
            <w:tcBorders>
              <w:bottom w:val="single" w:sz="6" w:space="0" w:color="000000"/>
              <w:right w:val="single" w:sz="6" w:space="0" w:color="000000"/>
            </w:tcBorders>
            <w:vAlign w:val="center"/>
          </w:tcPr>
          <w:p w14:paraId="41CCFF20" w14:textId="77777777" w:rsidR="007D706A" w:rsidRDefault="007D706A" w:rsidP="00F70508">
            <w:pPr>
              <w:pStyle w:val="ParagraphStyle12"/>
              <w:rPr>
                <w:rStyle w:val="CharacterStyle12"/>
              </w:rPr>
            </w:pPr>
            <w:r>
              <w:rPr>
                <w:rStyle w:val="CharacterStyle12"/>
              </w:rPr>
              <w:t>19.500,00</w:t>
            </w:r>
          </w:p>
        </w:tc>
        <w:tc>
          <w:tcPr>
            <w:tcW w:w="1395" w:type="dxa"/>
            <w:tcBorders>
              <w:bottom w:val="single" w:sz="6" w:space="0" w:color="000000"/>
              <w:right w:val="single" w:sz="6" w:space="0" w:color="000000"/>
            </w:tcBorders>
            <w:vAlign w:val="center"/>
          </w:tcPr>
          <w:p w14:paraId="70643667" w14:textId="77777777" w:rsidR="007D706A" w:rsidRDefault="007D706A" w:rsidP="00F70508">
            <w:pPr>
              <w:pStyle w:val="ParagraphStyle12"/>
              <w:rPr>
                <w:rStyle w:val="CharacterStyle12"/>
              </w:rPr>
            </w:pPr>
            <w:r>
              <w:rPr>
                <w:rStyle w:val="CharacterStyle12"/>
              </w:rPr>
              <w:t>22.700,00</w:t>
            </w:r>
          </w:p>
        </w:tc>
        <w:tc>
          <w:tcPr>
            <w:tcW w:w="1395" w:type="dxa"/>
            <w:tcBorders>
              <w:bottom w:val="single" w:sz="6" w:space="0" w:color="000000"/>
              <w:right w:val="single" w:sz="6" w:space="0" w:color="000000"/>
            </w:tcBorders>
            <w:vAlign w:val="center"/>
          </w:tcPr>
          <w:p w14:paraId="4F880E12" w14:textId="77777777" w:rsidR="007D706A" w:rsidRDefault="007D706A" w:rsidP="00F70508">
            <w:pPr>
              <w:pStyle w:val="ParagraphStyle12"/>
              <w:rPr>
                <w:rStyle w:val="CharacterStyle12"/>
              </w:rPr>
            </w:pPr>
            <w:r>
              <w:rPr>
                <w:rStyle w:val="CharacterStyle12"/>
              </w:rPr>
              <w:t>24.200,00</w:t>
            </w:r>
          </w:p>
        </w:tc>
      </w:tr>
      <w:tr w:rsidR="007D706A" w14:paraId="6F3EF3D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3FFFCEE"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5E9702D0"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6253C2E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269BE03" w14:textId="77777777" w:rsidR="007D706A" w:rsidRDefault="007D706A" w:rsidP="00F70508">
            <w:pPr>
              <w:pStyle w:val="ParagraphStyle12"/>
              <w:rPr>
                <w:rStyle w:val="CharacterStyle12"/>
              </w:rPr>
            </w:pPr>
            <w:r>
              <w:rPr>
                <w:rStyle w:val="CharacterStyle12"/>
              </w:rPr>
              <w:t>14.870,00</w:t>
            </w:r>
          </w:p>
        </w:tc>
        <w:tc>
          <w:tcPr>
            <w:tcW w:w="1395" w:type="dxa"/>
            <w:tcBorders>
              <w:bottom w:val="single" w:sz="6" w:space="0" w:color="000000"/>
              <w:right w:val="single" w:sz="6" w:space="0" w:color="000000"/>
            </w:tcBorders>
            <w:vAlign w:val="center"/>
          </w:tcPr>
          <w:p w14:paraId="6DAB509B" w14:textId="77777777" w:rsidR="007D706A" w:rsidRDefault="007D706A" w:rsidP="00F70508">
            <w:pPr>
              <w:pStyle w:val="ParagraphStyle12"/>
              <w:rPr>
                <w:rStyle w:val="CharacterStyle12"/>
              </w:rPr>
            </w:pPr>
            <w:r>
              <w:rPr>
                <w:rStyle w:val="CharacterStyle12"/>
              </w:rPr>
              <w:t>19.500,00</w:t>
            </w:r>
          </w:p>
        </w:tc>
        <w:tc>
          <w:tcPr>
            <w:tcW w:w="1395" w:type="dxa"/>
            <w:tcBorders>
              <w:bottom w:val="single" w:sz="6" w:space="0" w:color="000000"/>
              <w:right w:val="single" w:sz="6" w:space="0" w:color="000000"/>
            </w:tcBorders>
            <w:vAlign w:val="center"/>
          </w:tcPr>
          <w:p w14:paraId="60402A24" w14:textId="77777777" w:rsidR="007D706A" w:rsidRDefault="007D706A" w:rsidP="00F70508">
            <w:pPr>
              <w:pStyle w:val="ParagraphStyle12"/>
              <w:rPr>
                <w:rStyle w:val="CharacterStyle12"/>
              </w:rPr>
            </w:pPr>
            <w:r>
              <w:rPr>
                <w:rStyle w:val="CharacterStyle12"/>
              </w:rPr>
              <w:t>22.700,00</w:t>
            </w:r>
          </w:p>
        </w:tc>
        <w:tc>
          <w:tcPr>
            <w:tcW w:w="1395" w:type="dxa"/>
            <w:tcBorders>
              <w:bottom w:val="single" w:sz="6" w:space="0" w:color="000000"/>
              <w:right w:val="single" w:sz="6" w:space="0" w:color="000000"/>
            </w:tcBorders>
            <w:vAlign w:val="center"/>
          </w:tcPr>
          <w:p w14:paraId="189D8D35" w14:textId="77777777" w:rsidR="007D706A" w:rsidRDefault="007D706A" w:rsidP="00F70508">
            <w:pPr>
              <w:pStyle w:val="ParagraphStyle12"/>
              <w:rPr>
                <w:rStyle w:val="CharacterStyle12"/>
              </w:rPr>
            </w:pPr>
            <w:r>
              <w:rPr>
                <w:rStyle w:val="CharacterStyle12"/>
              </w:rPr>
              <w:t>24.200,00</w:t>
            </w:r>
          </w:p>
        </w:tc>
      </w:tr>
      <w:tr w:rsidR="007D706A" w14:paraId="2A6147A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D1D1A74"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408CB985"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71B5F3F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C5C291C" w14:textId="77777777" w:rsidR="007D706A" w:rsidRDefault="007D706A" w:rsidP="00F70508">
            <w:pPr>
              <w:pStyle w:val="ParagraphStyle12"/>
              <w:rPr>
                <w:rStyle w:val="CharacterStyle12"/>
              </w:rPr>
            </w:pPr>
            <w:r>
              <w:rPr>
                <w:rStyle w:val="CharacterStyle12"/>
              </w:rPr>
              <w:t>5.700,00</w:t>
            </w:r>
          </w:p>
        </w:tc>
        <w:tc>
          <w:tcPr>
            <w:tcW w:w="1395" w:type="dxa"/>
            <w:tcBorders>
              <w:bottom w:val="single" w:sz="6" w:space="0" w:color="000000"/>
              <w:right w:val="single" w:sz="6" w:space="0" w:color="000000"/>
            </w:tcBorders>
            <w:vAlign w:val="center"/>
          </w:tcPr>
          <w:p w14:paraId="26A1F8CE" w14:textId="77777777" w:rsidR="007D706A" w:rsidRDefault="007D706A" w:rsidP="00F70508">
            <w:pPr>
              <w:pStyle w:val="ParagraphStyle12"/>
              <w:rPr>
                <w:rStyle w:val="CharacterStyle12"/>
              </w:rPr>
            </w:pPr>
            <w:r>
              <w:rPr>
                <w:rStyle w:val="CharacterStyle12"/>
              </w:rPr>
              <w:t>6.000,00</w:t>
            </w:r>
          </w:p>
        </w:tc>
        <w:tc>
          <w:tcPr>
            <w:tcW w:w="1395" w:type="dxa"/>
            <w:tcBorders>
              <w:bottom w:val="single" w:sz="6" w:space="0" w:color="000000"/>
              <w:right w:val="single" w:sz="6" w:space="0" w:color="000000"/>
            </w:tcBorders>
            <w:vAlign w:val="center"/>
          </w:tcPr>
          <w:p w14:paraId="2ED2C463" w14:textId="77777777" w:rsidR="007D706A" w:rsidRDefault="007D706A" w:rsidP="00F70508">
            <w:pPr>
              <w:pStyle w:val="ParagraphStyle12"/>
              <w:rPr>
                <w:rStyle w:val="CharacterStyle12"/>
              </w:rPr>
            </w:pPr>
            <w:r>
              <w:rPr>
                <w:rStyle w:val="CharacterStyle12"/>
              </w:rPr>
              <w:t>6.000,00</w:t>
            </w:r>
          </w:p>
        </w:tc>
        <w:tc>
          <w:tcPr>
            <w:tcW w:w="1395" w:type="dxa"/>
            <w:tcBorders>
              <w:bottom w:val="single" w:sz="6" w:space="0" w:color="000000"/>
              <w:right w:val="single" w:sz="6" w:space="0" w:color="000000"/>
            </w:tcBorders>
            <w:vAlign w:val="center"/>
          </w:tcPr>
          <w:p w14:paraId="66C4E3BA" w14:textId="77777777" w:rsidR="007D706A" w:rsidRDefault="007D706A" w:rsidP="00F70508">
            <w:pPr>
              <w:pStyle w:val="ParagraphStyle12"/>
              <w:rPr>
                <w:rStyle w:val="CharacterStyle12"/>
              </w:rPr>
            </w:pPr>
            <w:r>
              <w:rPr>
                <w:rStyle w:val="CharacterStyle12"/>
              </w:rPr>
              <w:t>6.000,00</w:t>
            </w:r>
          </w:p>
        </w:tc>
      </w:tr>
      <w:tr w:rsidR="007D706A" w14:paraId="58AEC09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10615B9" w14:textId="77777777" w:rsidR="007D706A" w:rsidRDefault="007D706A" w:rsidP="00F70508">
            <w:pPr>
              <w:pStyle w:val="ParagraphStyle10"/>
              <w:rPr>
                <w:rStyle w:val="CharacterStyle10"/>
              </w:rPr>
            </w:pPr>
            <w:r>
              <w:rPr>
                <w:rStyle w:val="CharacterStyle10"/>
              </w:rPr>
              <w:t>42</w:t>
            </w:r>
          </w:p>
        </w:tc>
        <w:tc>
          <w:tcPr>
            <w:tcW w:w="4995" w:type="dxa"/>
            <w:tcBorders>
              <w:bottom w:val="single" w:sz="6" w:space="0" w:color="000000"/>
              <w:right w:val="single" w:sz="6" w:space="0" w:color="000000"/>
            </w:tcBorders>
            <w:vAlign w:val="center"/>
          </w:tcPr>
          <w:p w14:paraId="117C4E6D"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68D9549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48EBFAD" w14:textId="77777777" w:rsidR="007D706A" w:rsidRDefault="007D706A" w:rsidP="00F70508">
            <w:pPr>
              <w:pStyle w:val="ParagraphStyle12"/>
              <w:rPr>
                <w:rStyle w:val="CharacterStyle12"/>
              </w:rPr>
            </w:pPr>
            <w:r>
              <w:rPr>
                <w:rStyle w:val="CharacterStyle12"/>
              </w:rPr>
              <w:t>5.700,00</w:t>
            </w:r>
          </w:p>
        </w:tc>
        <w:tc>
          <w:tcPr>
            <w:tcW w:w="1395" w:type="dxa"/>
            <w:tcBorders>
              <w:bottom w:val="single" w:sz="6" w:space="0" w:color="000000"/>
              <w:right w:val="single" w:sz="6" w:space="0" w:color="000000"/>
            </w:tcBorders>
            <w:vAlign w:val="center"/>
          </w:tcPr>
          <w:p w14:paraId="235C511A" w14:textId="77777777" w:rsidR="007D706A" w:rsidRDefault="007D706A" w:rsidP="00F70508">
            <w:pPr>
              <w:pStyle w:val="ParagraphStyle12"/>
              <w:rPr>
                <w:rStyle w:val="CharacterStyle12"/>
              </w:rPr>
            </w:pPr>
            <w:r>
              <w:rPr>
                <w:rStyle w:val="CharacterStyle12"/>
              </w:rPr>
              <w:t>6.000,00</w:t>
            </w:r>
          </w:p>
        </w:tc>
        <w:tc>
          <w:tcPr>
            <w:tcW w:w="1395" w:type="dxa"/>
            <w:tcBorders>
              <w:bottom w:val="single" w:sz="6" w:space="0" w:color="000000"/>
              <w:right w:val="single" w:sz="6" w:space="0" w:color="000000"/>
            </w:tcBorders>
            <w:vAlign w:val="center"/>
          </w:tcPr>
          <w:p w14:paraId="27A012A9" w14:textId="77777777" w:rsidR="007D706A" w:rsidRDefault="007D706A" w:rsidP="00F70508">
            <w:pPr>
              <w:pStyle w:val="ParagraphStyle12"/>
              <w:rPr>
                <w:rStyle w:val="CharacterStyle12"/>
              </w:rPr>
            </w:pPr>
            <w:r>
              <w:rPr>
                <w:rStyle w:val="CharacterStyle12"/>
              </w:rPr>
              <w:t>6.000,00</w:t>
            </w:r>
          </w:p>
        </w:tc>
        <w:tc>
          <w:tcPr>
            <w:tcW w:w="1395" w:type="dxa"/>
            <w:tcBorders>
              <w:bottom w:val="single" w:sz="6" w:space="0" w:color="000000"/>
              <w:right w:val="single" w:sz="6" w:space="0" w:color="000000"/>
            </w:tcBorders>
            <w:vAlign w:val="center"/>
          </w:tcPr>
          <w:p w14:paraId="42F8AA6C" w14:textId="77777777" w:rsidR="007D706A" w:rsidRDefault="007D706A" w:rsidP="00F70508">
            <w:pPr>
              <w:pStyle w:val="ParagraphStyle12"/>
              <w:rPr>
                <w:rStyle w:val="CharacterStyle12"/>
              </w:rPr>
            </w:pPr>
            <w:r>
              <w:rPr>
                <w:rStyle w:val="CharacterStyle12"/>
              </w:rPr>
              <w:t>6.000,00</w:t>
            </w:r>
          </w:p>
        </w:tc>
      </w:tr>
      <w:tr w:rsidR="007D706A" w14:paraId="1FAAAB76"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31EFBAE" w14:textId="77777777" w:rsidR="007D706A" w:rsidRDefault="007D706A" w:rsidP="00F70508">
            <w:pPr>
              <w:pStyle w:val="ParagraphStyle7"/>
              <w:rPr>
                <w:rStyle w:val="CharacterStyle7"/>
              </w:rPr>
            </w:pPr>
            <w:r>
              <w:rPr>
                <w:rStyle w:val="CharacterStyle7"/>
              </w:rPr>
              <w:t>Izvor financiranja 31</w:t>
            </w:r>
          </w:p>
        </w:tc>
        <w:tc>
          <w:tcPr>
            <w:tcW w:w="4995" w:type="dxa"/>
            <w:tcBorders>
              <w:bottom w:val="single" w:sz="6" w:space="0" w:color="000000"/>
              <w:right w:val="single" w:sz="6" w:space="0" w:color="000000"/>
            </w:tcBorders>
            <w:vAlign w:val="center"/>
          </w:tcPr>
          <w:p w14:paraId="16AA1D1A" w14:textId="77777777" w:rsidR="007D706A" w:rsidRDefault="007D706A" w:rsidP="00F70508">
            <w:pPr>
              <w:pStyle w:val="ParagraphStyle8"/>
              <w:rPr>
                <w:rStyle w:val="CharacterStyle8"/>
              </w:rPr>
            </w:pPr>
            <w:r>
              <w:rPr>
                <w:rStyle w:val="CharacterStyle8"/>
              </w:rPr>
              <w:t>Vlastiti prihodi</w:t>
            </w:r>
          </w:p>
        </w:tc>
        <w:tc>
          <w:tcPr>
            <w:tcW w:w="1395" w:type="dxa"/>
            <w:tcBorders>
              <w:bottom w:val="single" w:sz="6" w:space="0" w:color="000000"/>
              <w:right w:val="single" w:sz="6" w:space="0" w:color="000000"/>
            </w:tcBorders>
            <w:vAlign w:val="center"/>
          </w:tcPr>
          <w:p w14:paraId="172B2E96"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EA6F68C" w14:textId="77777777" w:rsidR="007D706A" w:rsidRDefault="007D706A" w:rsidP="00F70508">
            <w:pPr>
              <w:pStyle w:val="ParagraphStyle9"/>
              <w:rPr>
                <w:rStyle w:val="CharacterStyle9"/>
              </w:rPr>
            </w:pPr>
            <w:r>
              <w:rPr>
                <w:rStyle w:val="CharacterStyle9"/>
              </w:rPr>
              <w:t>1.334,00</w:t>
            </w:r>
          </w:p>
        </w:tc>
        <w:tc>
          <w:tcPr>
            <w:tcW w:w="1395" w:type="dxa"/>
            <w:tcBorders>
              <w:bottom w:val="single" w:sz="6" w:space="0" w:color="000000"/>
              <w:right w:val="single" w:sz="6" w:space="0" w:color="000000"/>
            </w:tcBorders>
            <w:vAlign w:val="center"/>
          </w:tcPr>
          <w:p w14:paraId="164D52B2" w14:textId="77777777" w:rsidR="007D706A" w:rsidRDefault="007D706A" w:rsidP="00F70508">
            <w:pPr>
              <w:pStyle w:val="ParagraphStyle9"/>
              <w:rPr>
                <w:rStyle w:val="CharacterStyle9"/>
              </w:rPr>
            </w:pPr>
            <w:r>
              <w:rPr>
                <w:rStyle w:val="CharacterStyle9"/>
              </w:rPr>
              <w:t>1.600,00</w:t>
            </w:r>
          </w:p>
        </w:tc>
        <w:tc>
          <w:tcPr>
            <w:tcW w:w="1395" w:type="dxa"/>
            <w:tcBorders>
              <w:bottom w:val="single" w:sz="6" w:space="0" w:color="000000"/>
              <w:right w:val="single" w:sz="6" w:space="0" w:color="000000"/>
            </w:tcBorders>
            <w:vAlign w:val="center"/>
          </w:tcPr>
          <w:p w14:paraId="2F6A37A1" w14:textId="77777777" w:rsidR="007D706A" w:rsidRDefault="007D706A" w:rsidP="00F70508">
            <w:pPr>
              <w:pStyle w:val="ParagraphStyle9"/>
              <w:rPr>
                <w:rStyle w:val="CharacterStyle9"/>
              </w:rPr>
            </w:pPr>
            <w:r>
              <w:rPr>
                <w:rStyle w:val="CharacterStyle9"/>
              </w:rPr>
              <w:t>500,00</w:t>
            </w:r>
          </w:p>
        </w:tc>
        <w:tc>
          <w:tcPr>
            <w:tcW w:w="1395" w:type="dxa"/>
            <w:tcBorders>
              <w:bottom w:val="single" w:sz="6" w:space="0" w:color="000000"/>
              <w:right w:val="single" w:sz="6" w:space="0" w:color="000000"/>
            </w:tcBorders>
            <w:vAlign w:val="center"/>
          </w:tcPr>
          <w:p w14:paraId="18E4E179" w14:textId="77777777" w:rsidR="007D706A" w:rsidRDefault="007D706A" w:rsidP="00F70508">
            <w:pPr>
              <w:pStyle w:val="ParagraphStyle9"/>
              <w:rPr>
                <w:rStyle w:val="CharacterStyle9"/>
              </w:rPr>
            </w:pPr>
            <w:r>
              <w:rPr>
                <w:rStyle w:val="CharacterStyle9"/>
              </w:rPr>
              <w:t>800,00</w:t>
            </w:r>
          </w:p>
        </w:tc>
      </w:tr>
      <w:tr w:rsidR="007D706A" w14:paraId="35B06EF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18092CC"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6C8CA081"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69F6739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EBC6183" w14:textId="77777777" w:rsidR="007D706A" w:rsidRDefault="007D706A" w:rsidP="00F70508">
            <w:pPr>
              <w:pStyle w:val="ParagraphStyle12"/>
              <w:rPr>
                <w:rStyle w:val="CharacterStyle12"/>
              </w:rPr>
            </w:pPr>
            <w:r>
              <w:rPr>
                <w:rStyle w:val="CharacterStyle12"/>
              </w:rPr>
              <w:t>1.334,00</w:t>
            </w:r>
          </w:p>
        </w:tc>
        <w:tc>
          <w:tcPr>
            <w:tcW w:w="1395" w:type="dxa"/>
            <w:tcBorders>
              <w:bottom w:val="single" w:sz="6" w:space="0" w:color="000000"/>
              <w:right w:val="single" w:sz="6" w:space="0" w:color="000000"/>
            </w:tcBorders>
            <w:vAlign w:val="center"/>
          </w:tcPr>
          <w:p w14:paraId="0BF59E48" w14:textId="77777777" w:rsidR="007D706A" w:rsidRDefault="007D706A" w:rsidP="00F70508">
            <w:pPr>
              <w:pStyle w:val="ParagraphStyle12"/>
              <w:rPr>
                <w:rStyle w:val="CharacterStyle12"/>
              </w:rPr>
            </w:pPr>
            <w:r>
              <w:rPr>
                <w:rStyle w:val="CharacterStyle12"/>
              </w:rPr>
              <w:t>1.600,00</w:t>
            </w:r>
          </w:p>
        </w:tc>
        <w:tc>
          <w:tcPr>
            <w:tcW w:w="1395" w:type="dxa"/>
            <w:tcBorders>
              <w:bottom w:val="single" w:sz="6" w:space="0" w:color="000000"/>
              <w:right w:val="single" w:sz="6" w:space="0" w:color="000000"/>
            </w:tcBorders>
            <w:vAlign w:val="center"/>
          </w:tcPr>
          <w:p w14:paraId="68C5F2C4" w14:textId="77777777" w:rsidR="007D706A" w:rsidRDefault="007D706A" w:rsidP="00F70508">
            <w:pPr>
              <w:pStyle w:val="ParagraphStyle12"/>
              <w:rPr>
                <w:rStyle w:val="CharacterStyle12"/>
              </w:rPr>
            </w:pPr>
            <w:r>
              <w:rPr>
                <w:rStyle w:val="CharacterStyle12"/>
              </w:rPr>
              <w:t>500,00</w:t>
            </w:r>
          </w:p>
        </w:tc>
        <w:tc>
          <w:tcPr>
            <w:tcW w:w="1395" w:type="dxa"/>
            <w:tcBorders>
              <w:bottom w:val="single" w:sz="6" w:space="0" w:color="000000"/>
              <w:right w:val="single" w:sz="6" w:space="0" w:color="000000"/>
            </w:tcBorders>
            <w:vAlign w:val="center"/>
          </w:tcPr>
          <w:p w14:paraId="0CFF3567" w14:textId="77777777" w:rsidR="007D706A" w:rsidRDefault="007D706A" w:rsidP="00F70508">
            <w:pPr>
              <w:pStyle w:val="ParagraphStyle12"/>
              <w:rPr>
                <w:rStyle w:val="CharacterStyle12"/>
              </w:rPr>
            </w:pPr>
            <w:r>
              <w:rPr>
                <w:rStyle w:val="CharacterStyle12"/>
              </w:rPr>
              <w:t>800,00</w:t>
            </w:r>
          </w:p>
        </w:tc>
      </w:tr>
      <w:tr w:rsidR="007D706A" w14:paraId="1194B4F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C9E86B9"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78A3447D"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2A87751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9A38245" w14:textId="77777777" w:rsidR="007D706A" w:rsidRDefault="007D706A" w:rsidP="00F70508">
            <w:pPr>
              <w:pStyle w:val="ParagraphStyle12"/>
              <w:rPr>
                <w:rStyle w:val="CharacterStyle12"/>
              </w:rPr>
            </w:pPr>
            <w:r>
              <w:rPr>
                <w:rStyle w:val="CharacterStyle12"/>
              </w:rPr>
              <w:t>1.334,00</w:t>
            </w:r>
          </w:p>
        </w:tc>
        <w:tc>
          <w:tcPr>
            <w:tcW w:w="1395" w:type="dxa"/>
            <w:tcBorders>
              <w:bottom w:val="single" w:sz="6" w:space="0" w:color="000000"/>
              <w:right w:val="single" w:sz="6" w:space="0" w:color="000000"/>
            </w:tcBorders>
            <w:vAlign w:val="center"/>
          </w:tcPr>
          <w:p w14:paraId="00C94A2A" w14:textId="77777777" w:rsidR="007D706A" w:rsidRDefault="007D706A" w:rsidP="00F70508">
            <w:pPr>
              <w:pStyle w:val="ParagraphStyle12"/>
              <w:rPr>
                <w:rStyle w:val="CharacterStyle12"/>
              </w:rPr>
            </w:pPr>
            <w:r>
              <w:rPr>
                <w:rStyle w:val="CharacterStyle12"/>
              </w:rPr>
              <w:t>1.600,00</w:t>
            </w:r>
          </w:p>
        </w:tc>
        <w:tc>
          <w:tcPr>
            <w:tcW w:w="1395" w:type="dxa"/>
            <w:tcBorders>
              <w:bottom w:val="single" w:sz="6" w:space="0" w:color="000000"/>
              <w:right w:val="single" w:sz="6" w:space="0" w:color="000000"/>
            </w:tcBorders>
            <w:vAlign w:val="center"/>
          </w:tcPr>
          <w:p w14:paraId="452EF078" w14:textId="77777777" w:rsidR="007D706A" w:rsidRDefault="007D706A" w:rsidP="00F70508">
            <w:pPr>
              <w:pStyle w:val="ParagraphStyle12"/>
              <w:rPr>
                <w:rStyle w:val="CharacterStyle12"/>
              </w:rPr>
            </w:pPr>
            <w:r>
              <w:rPr>
                <w:rStyle w:val="CharacterStyle12"/>
              </w:rPr>
              <w:t>500,00</w:t>
            </w:r>
          </w:p>
        </w:tc>
        <w:tc>
          <w:tcPr>
            <w:tcW w:w="1395" w:type="dxa"/>
            <w:tcBorders>
              <w:bottom w:val="single" w:sz="6" w:space="0" w:color="000000"/>
              <w:right w:val="single" w:sz="6" w:space="0" w:color="000000"/>
            </w:tcBorders>
            <w:vAlign w:val="center"/>
          </w:tcPr>
          <w:p w14:paraId="34CC02D0" w14:textId="77777777" w:rsidR="007D706A" w:rsidRDefault="007D706A" w:rsidP="00F70508">
            <w:pPr>
              <w:pStyle w:val="ParagraphStyle12"/>
              <w:rPr>
                <w:rStyle w:val="CharacterStyle12"/>
              </w:rPr>
            </w:pPr>
            <w:r>
              <w:rPr>
                <w:rStyle w:val="CharacterStyle12"/>
              </w:rPr>
              <w:t>800,00</w:t>
            </w:r>
          </w:p>
        </w:tc>
      </w:tr>
      <w:tr w:rsidR="007D706A" w14:paraId="4AE6BE9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0F01612" w14:textId="77777777" w:rsidR="007D706A" w:rsidRDefault="007D706A" w:rsidP="00F70508">
            <w:pPr>
              <w:pStyle w:val="ParagraphStyle7"/>
              <w:rPr>
                <w:rStyle w:val="CharacterStyle7"/>
              </w:rPr>
            </w:pPr>
            <w:r>
              <w:rPr>
                <w:rStyle w:val="CharacterStyle7"/>
              </w:rPr>
              <w:t>Izvor financiranja 5</w:t>
            </w:r>
          </w:p>
        </w:tc>
        <w:tc>
          <w:tcPr>
            <w:tcW w:w="4995" w:type="dxa"/>
            <w:tcBorders>
              <w:bottom w:val="single" w:sz="6" w:space="0" w:color="000000"/>
              <w:right w:val="single" w:sz="6" w:space="0" w:color="000000"/>
            </w:tcBorders>
            <w:vAlign w:val="center"/>
          </w:tcPr>
          <w:p w14:paraId="658B60F1" w14:textId="77777777" w:rsidR="007D706A" w:rsidRDefault="007D706A" w:rsidP="00F70508">
            <w:pPr>
              <w:pStyle w:val="ParagraphStyle8"/>
              <w:rPr>
                <w:rStyle w:val="CharacterStyle8"/>
              </w:rPr>
            </w:pPr>
            <w:r>
              <w:rPr>
                <w:rStyle w:val="CharacterStyle8"/>
              </w:rPr>
              <w:t>POMOĆI</w:t>
            </w:r>
          </w:p>
        </w:tc>
        <w:tc>
          <w:tcPr>
            <w:tcW w:w="1395" w:type="dxa"/>
            <w:tcBorders>
              <w:bottom w:val="single" w:sz="6" w:space="0" w:color="000000"/>
              <w:right w:val="single" w:sz="6" w:space="0" w:color="000000"/>
            </w:tcBorders>
            <w:vAlign w:val="center"/>
          </w:tcPr>
          <w:p w14:paraId="2F12E46E"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2D21280"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01C775D" w14:textId="77777777" w:rsidR="007D706A" w:rsidRDefault="007D706A" w:rsidP="00F70508">
            <w:pPr>
              <w:pStyle w:val="ParagraphStyle9"/>
              <w:rPr>
                <w:rStyle w:val="CharacterStyle9"/>
              </w:rPr>
            </w:pPr>
            <w:r>
              <w:rPr>
                <w:rStyle w:val="CharacterStyle9"/>
              </w:rPr>
              <w:t>7.700,00</w:t>
            </w:r>
          </w:p>
        </w:tc>
        <w:tc>
          <w:tcPr>
            <w:tcW w:w="1395" w:type="dxa"/>
            <w:tcBorders>
              <w:bottom w:val="single" w:sz="6" w:space="0" w:color="000000"/>
              <w:right w:val="single" w:sz="6" w:space="0" w:color="000000"/>
            </w:tcBorders>
            <w:vAlign w:val="center"/>
          </w:tcPr>
          <w:p w14:paraId="6F1C13D6" w14:textId="77777777" w:rsidR="007D706A" w:rsidRDefault="007D706A" w:rsidP="00F70508">
            <w:pPr>
              <w:pStyle w:val="ParagraphStyle9"/>
              <w:rPr>
                <w:rStyle w:val="CharacterStyle9"/>
              </w:rPr>
            </w:pPr>
            <w:r>
              <w:rPr>
                <w:rStyle w:val="CharacterStyle9"/>
              </w:rPr>
              <w:t>5.000,00</w:t>
            </w:r>
          </w:p>
        </w:tc>
        <w:tc>
          <w:tcPr>
            <w:tcW w:w="1395" w:type="dxa"/>
            <w:tcBorders>
              <w:bottom w:val="single" w:sz="6" w:space="0" w:color="000000"/>
              <w:right w:val="single" w:sz="6" w:space="0" w:color="000000"/>
            </w:tcBorders>
            <w:vAlign w:val="center"/>
          </w:tcPr>
          <w:p w14:paraId="2331DC8C" w14:textId="77777777" w:rsidR="007D706A" w:rsidRDefault="007D706A" w:rsidP="00F70508">
            <w:pPr>
              <w:pStyle w:val="ParagraphStyle9"/>
              <w:rPr>
                <w:rStyle w:val="CharacterStyle9"/>
              </w:rPr>
            </w:pPr>
            <w:r>
              <w:rPr>
                <w:rStyle w:val="CharacterStyle9"/>
              </w:rPr>
              <w:t>5.000,00</w:t>
            </w:r>
          </w:p>
        </w:tc>
      </w:tr>
      <w:tr w:rsidR="007D706A" w14:paraId="401F2AD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12AE853"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361F6B7B"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6E6B116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C88178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BFA7D6A" w14:textId="77777777" w:rsidR="007D706A" w:rsidRDefault="007D706A" w:rsidP="00F70508">
            <w:pPr>
              <w:pStyle w:val="ParagraphStyle12"/>
              <w:rPr>
                <w:rStyle w:val="CharacterStyle12"/>
              </w:rPr>
            </w:pPr>
            <w:r>
              <w:rPr>
                <w:rStyle w:val="CharacterStyle12"/>
              </w:rPr>
              <w:t>7.700,00</w:t>
            </w:r>
          </w:p>
        </w:tc>
        <w:tc>
          <w:tcPr>
            <w:tcW w:w="1395" w:type="dxa"/>
            <w:tcBorders>
              <w:bottom w:val="single" w:sz="6" w:space="0" w:color="000000"/>
              <w:right w:val="single" w:sz="6" w:space="0" w:color="000000"/>
            </w:tcBorders>
            <w:vAlign w:val="center"/>
          </w:tcPr>
          <w:p w14:paraId="43AA2546" w14:textId="77777777" w:rsidR="007D706A" w:rsidRDefault="007D706A" w:rsidP="00F70508">
            <w:pPr>
              <w:pStyle w:val="ParagraphStyle12"/>
              <w:rPr>
                <w:rStyle w:val="CharacterStyle12"/>
              </w:rPr>
            </w:pPr>
            <w:r>
              <w:rPr>
                <w:rStyle w:val="CharacterStyle12"/>
              </w:rPr>
              <w:t>5.000,00</w:t>
            </w:r>
          </w:p>
        </w:tc>
        <w:tc>
          <w:tcPr>
            <w:tcW w:w="1395" w:type="dxa"/>
            <w:tcBorders>
              <w:bottom w:val="single" w:sz="6" w:space="0" w:color="000000"/>
              <w:right w:val="single" w:sz="6" w:space="0" w:color="000000"/>
            </w:tcBorders>
            <w:vAlign w:val="center"/>
          </w:tcPr>
          <w:p w14:paraId="7164B921" w14:textId="77777777" w:rsidR="007D706A" w:rsidRDefault="007D706A" w:rsidP="00F70508">
            <w:pPr>
              <w:pStyle w:val="ParagraphStyle12"/>
              <w:rPr>
                <w:rStyle w:val="CharacterStyle12"/>
              </w:rPr>
            </w:pPr>
            <w:r>
              <w:rPr>
                <w:rStyle w:val="CharacterStyle12"/>
              </w:rPr>
              <w:t>5.000,00</w:t>
            </w:r>
          </w:p>
        </w:tc>
      </w:tr>
      <w:tr w:rsidR="007D706A" w14:paraId="4A2595B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6BC2E24"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7C42C3FC"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2865A17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DF13DD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ADEE7A8" w14:textId="77777777" w:rsidR="007D706A" w:rsidRDefault="007D706A" w:rsidP="00F70508">
            <w:pPr>
              <w:pStyle w:val="ParagraphStyle12"/>
              <w:rPr>
                <w:rStyle w:val="CharacterStyle12"/>
              </w:rPr>
            </w:pPr>
            <w:r>
              <w:rPr>
                <w:rStyle w:val="CharacterStyle12"/>
              </w:rPr>
              <w:t>7.700,00</w:t>
            </w:r>
          </w:p>
        </w:tc>
        <w:tc>
          <w:tcPr>
            <w:tcW w:w="1395" w:type="dxa"/>
            <w:tcBorders>
              <w:bottom w:val="single" w:sz="6" w:space="0" w:color="000000"/>
              <w:right w:val="single" w:sz="6" w:space="0" w:color="000000"/>
            </w:tcBorders>
            <w:vAlign w:val="center"/>
          </w:tcPr>
          <w:p w14:paraId="2469DD7E" w14:textId="77777777" w:rsidR="007D706A" w:rsidRDefault="007D706A" w:rsidP="00F70508">
            <w:pPr>
              <w:pStyle w:val="ParagraphStyle12"/>
              <w:rPr>
                <w:rStyle w:val="CharacterStyle12"/>
              </w:rPr>
            </w:pPr>
            <w:r>
              <w:rPr>
                <w:rStyle w:val="CharacterStyle12"/>
              </w:rPr>
              <w:t>5.000,00</w:t>
            </w:r>
          </w:p>
        </w:tc>
        <w:tc>
          <w:tcPr>
            <w:tcW w:w="1395" w:type="dxa"/>
            <w:tcBorders>
              <w:bottom w:val="single" w:sz="6" w:space="0" w:color="000000"/>
              <w:right w:val="single" w:sz="6" w:space="0" w:color="000000"/>
            </w:tcBorders>
            <w:vAlign w:val="center"/>
          </w:tcPr>
          <w:p w14:paraId="0C62ECDD" w14:textId="77777777" w:rsidR="007D706A" w:rsidRDefault="007D706A" w:rsidP="00F70508">
            <w:pPr>
              <w:pStyle w:val="ParagraphStyle12"/>
              <w:rPr>
                <w:rStyle w:val="CharacterStyle12"/>
              </w:rPr>
            </w:pPr>
            <w:r>
              <w:rPr>
                <w:rStyle w:val="CharacterStyle12"/>
              </w:rPr>
              <w:t>5.000,00</w:t>
            </w:r>
          </w:p>
        </w:tc>
      </w:tr>
      <w:tr w:rsidR="007D706A" w14:paraId="3ED3EAE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EECF5CE" w14:textId="77777777" w:rsidR="007D706A" w:rsidRDefault="007D706A" w:rsidP="00F70508">
            <w:pPr>
              <w:pStyle w:val="ParagraphStyle7"/>
              <w:rPr>
                <w:rStyle w:val="CharacterStyle7"/>
              </w:rPr>
            </w:pPr>
            <w:r>
              <w:rPr>
                <w:rStyle w:val="CharacterStyle7"/>
              </w:rPr>
              <w:t>Izvor financiranja 50</w:t>
            </w:r>
          </w:p>
        </w:tc>
        <w:tc>
          <w:tcPr>
            <w:tcW w:w="4995" w:type="dxa"/>
            <w:tcBorders>
              <w:bottom w:val="single" w:sz="6" w:space="0" w:color="000000"/>
              <w:right w:val="single" w:sz="6" w:space="0" w:color="000000"/>
            </w:tcBorders>
            <w:vAlign w:val="center"/>
          </w:tcPr>
          <w:p w14:paraId="039EAA65" w14:textId="77777777" w:rsidR="007D706A" w:rsidRDefault="007D706A" w:rsidP="00F70508">
            <w:pPr>
              <w:pStyle w:val="ParagraphStyle8"/>
              <w:rPr>
                <w:rStyle w:val="CharacterStyle8"/>
              </w:rPr>
            </w:pPr>
            <w:r>
              <w:rPr>
                <w:rStyle w:val="CharacterStyle8"/>
              </w:rPr>
              <w:t>Pomoći iz državnog proračuna</w:t>
            </w:r>
          </w:p>
        </w:tc>
        <w:tc>
          <w:tcPr>
            <w:tcW w:w="1395" w:type="dxa"/>
            <w:tcBorders>
              <w:bottom w:val="single" w:sz="6" w:space="0" w:color="000000"/>
              <w:right w:val="single" w:sz="6" w:space="0" w:color="000000"/>
            </w:tcBorders>
            <w:vAlign w:val="center"/>
          </w:tcPr>
          <w:p w14:paraId="78FB8DE6"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57FAD02"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E1D1AB0" w14:textId="77777777" w:rsidR="007D706A" w:rsidRDefault="007D706A" w:rsidP="00F70508">
            <w:pPr>
              <w:pStyle w:val="ParagraphStyle9"/>
              <w:rPr>
                <w:rStyle w:val="CharacterStyle9"/>
              </w:rPr>
            </w:pPr>
            <w:r>
              <w:rPr>
                <w:rStyle w:val="CharacterStyle9"/>
              </w:rPr>
              <w:t>21.000,00</w:t>
            </w:r>
          </w:p>
        </w:tc>
        <w:tc>
          <w:tcPr>
            <w:tcW w:w="1395" w:type="dxa"/>
            <w:tcBorders>
              <w:bottom w:val="single" w:sz="6" w:space="0" w:color="000000"/>
              <w:right w:val="single" w:sz="6" w:space="0" w:color="000000"/>
            </w:tcBorders>
            <w:vAlign w:val="center"/>
          </w:tcPr>
          <w:p w14:paraId="6D95C087" w14:textId="77777777" w:rsidR="007D706A" w:rsidRDefault="007D706A" w:rsidP="00F70508">
            <w:pPr>
              <w:pStyle w:val="ParagraphStyle9"/>
              <w:rPr>
                <w:rStyle w:val="CharacterStyle9"/>
              </w:rPr>
            </w:pPr>
            <w:r>
              <w:rPr>
                <w:rStyle w:val="CharacterStyle9"/>
              </w:rPr>
              <w:t>15.000,00</w:t>
            </w:r>
          </w:p>
        </w:tc>
        <w:tc>
          <w:tcPr>
            <w:tcW w:w="1395" w:type="dxa"/>
            <w:tcBorders>
              <w:bottom w:val="single" w:sz="6" w:space="0" w:color="000000"/>
              <w:right w:val="single" w:sz="6" w:space="0" w:color="000000"/>
            </w:tcBorders>
            <w:vAlign w:val="center"/>
          </w:tcPr>
          <w:p w14:paraId="2507FF25" w14:textId="77777777" w:rsidR="007D706A" w:rsidRDefault="007D706A" w:rsidP="00F70508">
            <w:pPr>
              <w:pStyle w:val="ParagraphStyle9"/>
              <w:rPr>
                <w:rStyle w:val="CharacterStyle9"/>
              </w:rPr>
            </w:pPr>
            <w:r>
              <w:rPr>
                <w:rStyle w:val="CharacterStyle9"/>
              </w:rPr>
              <w:t>15.000,00</w:t>
            </w:r>
          </w:p>
        </w:tc>
      </w:tr>
      <w:tr w:rsidR="007D706A" w14:paraId="24E0A52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2E7B686"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6E521043"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5D46D58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17A40D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A160C56" w14:textId="77777777" w:rsidR="007D706A" w:rsidRDefault="007D706A" w:rsidP="00F70508">
            <w:pPr>
              <w:pStyle w:val="ParagraphStyle12"/>
              <w:rPr>
                <w:rStyle w:val="CharacterStyle12"/>
              </w:rPr>
            </w:pPr>
            <w:r>
              <w:rPr>
                <w:rStyle w:val="CharacterStyle12"/>
              </w:rPr>
              <w:t>21.000,00</w:t>
            </w:r>
          </w:p>
        </w:tc>
        <w:tc>
          <w:tcPr>
            <w:tcW w:w="1395" w:type="dxa"/>
            <w:tcBorders>
              <w:bottom w:val="single" w:sz="6" w:space="0" w:color="000000"/>
              <w:right w:val="single" w:sz="6" w:space="0" w:color="000000"/>
            </w:tcBorders>
            <w:vAlign w:val="center"/>
          </w:tcPr>
          <w:p w14:paraId="4AE41ABB" w14:textId="77777777" w:rsidR="007D706A" w:rsidRDefault="007D706A" w:rsidP="00F70508">
            <w:pPr>
              <w:pStyle w:val="ParagraphStyle12"/>
              <w:rPr>
                <w:rStyle w:val="CharacterStyle12"/>
              </w:rPr>
            </w:pPr>
            <w:r>
              <w:rPr>
                <w:rStyle w:val="CharacterStyle12"/>
              </w:rPr>
              <w:t>15.000,00</w:t>
            </w:r>
          </w:p>
        </w:tc>
        <w:tc>
          <w:tcPr>
            <w:tcW w:w="1395" w:type="dxa"/>
            <w:tcBorders>
              <w:bottom w:val="single" w:sz="6" w:space="0" w:color="000000"/>
              <w:right w:val="single" w:sz="6" w:space="0" w:color="000000"/>
            </w:tcBorders>
            <w:vAlign w:val="center"/>
          </w:tcPr>
          <w:p w14:paraId="2BE254EC" w14:textId="77777777" w:rsidR="007D706A" w:rsidRDefault="007D706A" w:rsidP="00F70508">
            <w:pPr>
              <w:pStyle w:val="ParagraphStyle12"/>
              <w:rPr>
                <w:rStyle w:val="CharacterStyle12"/>
              </w:rPr>
            </w:pPr>
            <w:r>
              <w:rPr>
                <w:rStyle w:val="CharacterStyle12"/>
              </w:rPr>
              <w:t>15.000,00</w:t>
            </w:r>
          </w:p>
        </w:tc>
      </w:tr>
      <w:tr w:rsidR="007D706A" w14:paraId="3A85C83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92D4EBE"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3A32ACFC"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452310D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D4A0B6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CA36B11" w14:textId="77777777" w:rsidR="007D706A" w:rsidRDefault="007D706A" w:rsidP="00F70508">
            <w:pPr>
              <w:pStyle w:val="ParagraphStyle12"/>
              <w:rPr>
                <w:rStyle w:val="CharacterStyle12"/>
              </w:rPr>
            </w:pPr>
            <w:r>
              <w:rPr>
                <w:rStyle w:val="CharacterStyle12"/>
              </w:rPr>
              <w:t>21.000,00</w:t>
            </w:r>
          </w:p>
        </w:tc>
        <w:tc>
          <w:tcPr>
            <w:tcW w:w="1395" w:type="dxa"/>
            <w:tcBorders>
              <w:bottom w:val="single" w:sz="6" w:space="0" w:color="000000"/>
              <w:right w:val="single" w:sz="6" w:space="0" w:color="000000"/>
            </w:tcBorders>
            <w:vAlign w:val="center"/>
          </w:tcPr>
          <w:p w14:paraId="344F5B7F" w14:textId="77777777" w:rsidR="007D706A" w:rsidRDefault="007D706A" w:rsidP="00F70508">
            <w:pPr>
              <w:pStyle w:val="ParagraphStyle12"/>
              <w:rPr>
                <w:rStyle w:val="CharacterStyle12"/>
              </w:rPr>
            </w:pPr>
            <w:r>
              <w:rPr>
                <w:rStyle w:val="CharacterStyle12"/>
              </w:rPr>
              <w:t>15.000,00</w:t>
            </w:r>
          </w:p>
        </w:tc>
        <w:tc>
          <w:tcPr>
            <w:tcW w:w="1395" w:type="dxa"/>
            <w:tcBorders>
              <w:bottom w:val="single" w:sz="6" w:space="0" w:color="000000"/>
              <w:right w:val="single" w:sz="6" w:space="0" w:color="000000"/>
            </w:tcBorders>
            <w:vAlign w:val="center"/>
          </w:tcPr>
          <w:p w14:paraId="6375D553" w14:textId="77777777" w:rsidR="007D706A" w:rsidRDefault="007D706A" w:rsidP="00F70508">
            <w:pPr>
              <w:pStyle w:val="ParagraphStyle12"/>
              <w:rPr>
                <w:rStyle w:val="CharacterStyle12"/>
              </w:rPr>
            </w:pPr>
            <w:r>
              <w:rPr>
                <w:rStyle w:val="CharacterStyle12"/>
              </w:rPr>
              <w:t>15.000,00</w:t>
            </w:r>
          </w:p>
        </w:tc>
      </w:tr>
      <w:tr w:rsidR="007D706A" w14:paraId="3D180C3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95EB182" w14:textId="77777777" w:rsidR="007D706A" w:rsidRDefault="007D706A" w:rsidP="00F70508">
            <w:pPr>
              <w:pStyle w:val="ParagraphStyle7"/>
              <w:rPr>
                <w:rStyle w:val="CharacterStyle7"/>
              </w:rPr>
            </w:pPr>
            <w:r>
              <w:rPr>
                <w:rStyle w:val="CharacterStyle7"/>
              </w:rPr>
              <w:t>Izvor financiranja 53</w:t>
            </w:r>
          </w:p>
        </w:tc>
        <w:tc>
          <w:tcPr>
            <w:tcW w:w="4995" w:type="dxa"/>
            <w:tcBorders>
              <w:bottom w:val="single" w:sz="6" w:space="0" w:color="000000"/>
              <w:right w:val="single" w:sz="6" w:space="0" w:color="000000"/>
            </w:tcBorders>
            <w:vAlign w:val="center"/>
          </w:tcPr>
          <w:p w14:paraId="00CCA5AB" w14:textId="77777777" w:rsidR="007D706A" w:rsidRDefault="007D706A" w:rsidP="00F70508">
            <w:pPr>
              <w:pStyle w:val="ParagraphStyle8"/>
              <w:rPr>
                <w:rStyle w:val="CharacterStyle8"/>
              </w:rPr>
            </w:pPr>
            <w:r>
              <w:rPr>
                <w:rStyle w:val="CharacterStyle8"/>
              </w:rPr>
              <w:t>Proračuni, drugi nivoi - za posebne i / ili ugovorene namjene</w:t>
            </w:r>
          </w:p>
        </w:tc>
        <w:tc>
          <w:tcPr>
            <w:tcW w:w="1395" w:type="dxa"/>
            <w:tcBorders>
              <w:bottom w:val="single" w:sz="6" w:space="0" w:color="000000"/>
              <w:right w:val="single" w:sz="6" w:space="0" w:color="000000"/>
            </w:tcBorders>
            <w:vAlign w:val="center"/>
          </w:tcPr>
          <w:p w14:paraId="45FC31A4"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70933F9" w14:textId="77777777" w:rsidR="007D706A" w:rsidRDefault="007D706A" w:rsidP="00F70508">
            <w:pPr>
              <w:pStyle w:val="ParagraphStyle9"/>
              <w:rPr>
                <w:rStyle w:val="CharacterStyle9"/>
              </w:rPr>
            </w:pPr>
            <w:r>
              <w:rPr>
                <w:rStyle w:val="CharacterStyle9"/>
              </w:rPr>
              <w:t>7.000,00</w:t>
            </w:r>
          </w:p>
        </w:tc>
        <w:tc>
          <w:tcPr>
            <w:tcW w:w="1395" w:type="dxa"/>
            <w:tcBorders>
              <w:bottom w:val="single" w:sz="6" w:space="0" w:color="000000"/>
              <w:right w:val="single" w:sz="6" w:space="0" w:color="000000"/>
            </w:tcBorders>
            <w:vAlign w:val="center"/>
          </w:tcPr>
          <w:p w14:paraId="371BC321"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F19A394"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5A52F65" w14:textId="77777777" w:rsidR="007D706A" w:rsidRDefault="007D706A" w:rsidP="00F70508">
            <w:pPr>
              <w:pStyle w:val="ParagraphStyle9"/>
              <w:rPr>
                <w:rStyle w:val="CharacterStyle9"/>
              </w:rPr>
            </w:pPr>
            <w:r>
              <w:rPr>
                <w:rStyle w:val="CharacterStyle9"/>
              </w:rPr>
              <w:t>0,00</w:t>
            </w:r>
          </w:p>
        </w:tc>
      </w:tr>
      <w:tr w:rsidR="007D706A" w14:paraId="5A9BE66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E9A2BC4"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5B8DF377"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6FC2005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093B07F" w14:textId="77777777" w:rsidR="007D706A" w:rsidRDefault="007D706A" w:rsidP="00F70508">
            <w:pPr>
              <w:pStyle w:val="ParagraphStyle12"/>
              <w:rPr>
                <w:rStyle w:val="CharacterStyle12"/>
              </w:rPr>
            </w:pPr>
            <w:r>
              <w:rPr>
                <w:rStyle w:val="CharacterStyle12"/>
              </w:rPr>
              <w:t>7.000,00</w:t>
            </w:r>
          </w:p>
        </w:tc>
        <w:tc>
          <w:tcPr>
            <w:tcW w:w="1395" w:type="dxa"/>
            <w:tcBorders>
              <w:bottom w:val="single" w:sz="6" w:space="0" w:color="000000"/>
              <w:right w:val="single" w:sz="6" w:space="0" w:color="000000"/>
            </w:tcBorders>
            <w:vAlign w:val="center"/>
          </w:tcPr>
          <w:p w14:paraId="3CE6B61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9E4E59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D49284C" w14:textId="77777777" w:rsidR="007D706A" w:rsidRDefault="007D706A" w:rsidP="00F70508">
            <w:pPr>
              <w:pStyle w:val="ParagraphStyle12"/>
              <w:rPr>
                <w:rStyle w:val="CharacterStyle12"/>
              </w:rPr>
            </w:pPr>
            <w:r>
              <w:rPr>
                <w:rStyle w:val="CharacterStyle12"/>
              </w:rPr>
              <w:t>0,00</w:t>
            </w:r>
          </w:p>
        </w:tc>
      </w:tr>
      <w:tr w:rsidR="007D706A" w14:paraId="4A43D0A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9E3658C"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13BB7B10"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1A6CC81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A43F0F1" w14:textId="77777777" w:rsidR="007D706A" w:rsidRDefault="007D706A" w:rsidP="00F70508">
            <w:pPr>
              <w:pStyle w:val="ParagraphStyle12"/>
              <w:rPr>
                <w:rStyle w:val="CharacterStyle12"/>
              </w:rPr>
            </w:pPr>
            <w:r>
              <w:rPr>
                <w:rStyle w:val="CharacterStyle12"/>
              </w:rPr>
              <w:t>7.000,00</w:t>
            </w:r>
          </w:p>
        </w:tc>
        <w:tc>
          <w:tcPr>
            <w:tcW w:w="1395" w:type="dxa"/>
            <w:tcBorders>
              <w:bottom w:val="single" w:sz="6" w:space="0" w:color="000000"/>
              <w:right w:val="single" w:sz="6" w:space="0" w:color="000000"/>
            </w:tcBorders>
            <w:vAlign w:val="center"/>
          </w:tcPr>
          <w:p w14:paraId="7B7F334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9E0047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2171315" w14:textId="77777777" w:rsidR="007D706A" w:rsidRDefault="007D706A" w:rsidP="00F70508">
            <w:pPr>
              <w:pStyle w:val="ParagraphStyle12"/>
              <w:rPr>
                <w:rStyle w:val="CharacterStyle12"/>
              </w:rPr>
            </w:pPr>
            <w:r>
              <w:rPr>
                <w:rStyle w:val="CharacterStyle12"/>
              </w:rPr>
              <w:t>0,00</w:t>
            </w:r>
          </w:p>
        </w:tc>
      </w:tr>
      <w:tr w:rsidR="007D706A" w14:paraId="7D352E2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6A8E0E7" w14:textId="77777777" w:rsidR="007D706A" w:rsidRDefault="007D706A" w:rsidP="00F70508">
            <w:pPr>
              <w:pStyle w:val="ParagraphStyle7"/>
              <w:rPr>
                <w:rStyle w:val="CharacterStyle7"/>
              </w:rPr>
            </w:pPr>
            <w:r>
              <w:rPr>
                <w:rStyle w:val="CharacterStyle7"/>
              </w:rPr>
              <w:t>Izvor financiranja 61</w:t>
            </w:r>
          </w:p>
        </w:tc>
        <w:tc>
          <w:tcPr>
            <w:tcW w:w="4995" w:type="dxa"/>
            <w:tcBorders>
              <w:bottom w:val="single" w:sz="6" w:space="0" w:color="000000"/>
              <w:right w:val="single" w:sz="6" w:space="0" w:color="000000"/>
            </w:tcBorders>
            <w:vAlign w:val="center"/>
          </w:tcPr>
          <w:p w14:paraId="37C8D1EA" w14:textId="77777777" w:rsidR="007D706A" w:rsidRDefault="007D706A" w:rsidP="00F70508">
            <w:pPr>
              <w:pStyle w:val="ParagraphStyle8"/>
              <w:rPr>
                <w:rStyle w:val="CharacterStyle8"/>
              </w:rPr>
            </w:pPr>
            <w:r>
              <w:rPr>
                <w:rStyle w:val="CharacterStyle8"/>
              </w:rPr>
              <w:t>Donacije</w:t>
            </w:r>
          </w:p>
        </w:tc>
        <w:tc>
          <w:tcPr>
            <w:tcW w:w="1395" w:type="dxa"/>
            <w:tcBorders>
              <w:bottom w:val="single" w:sz="6" w:space="0" w:color="000000"/>
              <w:right w:val="single" w:sz="6" w:space="0" w:color="000000"/>
            </w:tcBorders>
            <w:vAlign w:val="center"/>
          </w:tcPr>
          <w:p w14:paraId="2E29C93D"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419EABA" w14:textId="77777777" w:rsidR="007D706A" w:rsidRDefault="007D706A" w:rsidP="00F70508">
            <w:pPr>
              <w:pStyle w:val="ParagraphStyle9"/>
              <w:rPr>
                <w:rStyle w:val="CharacterStyle9"/>
              </w:rPr>
            </w:pPr>
            <w:r>
              <w:rPr>
                <w:rStyle w:val="CharacterStyle9"/>
              </w:rPr>
              <w:t>1.615,00</w:t>
            </w:r>
          </w:p>
        </w:tc>
        <w:tc>
          <w:tcPr>
            <w:tcW w:w="1395" w:type="dxa"/>
            <w:tcBorders>
              <w:bottom w:val="single" w:sz="6" w:space="0" w:color="000000"/>
              <w:right w:val="single" w:sz="6" w:space="0" w:color="000000"/>
            </w:tcBorders>
            <w:vAlign w:val="center"/>
          </w:tcPr>
          <w:p w14:paraId="414E9293"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E59E34C"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971C8E7" w14:textId="77777777" w:rsidR="007D706A" w:rsidRDefault="007D706A" w:rsidP="00F70508">
            <w:pPr>
              <w:pStyle w:val="ParagraphStyle9"/>
              <w:rPr>
                <w:rStyle w:val="CharacterStyle9"/>
              </w:rPr>
            </w:pPr>
            <w:r>
              <w:rPr>
                <w:rStyle w:val="CharacterStyle9"/>
              </w:rPr>
              <w:t>0,00</w:t>
            </w:r>
          </w:p>
        </w:tc>
      </w:tr>
      <w:tr w:rsidR="007D706A" w14:paraId="0BED89D6"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C380E51"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0D8A215B"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072E512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6EB8495" w14:textId="77777777" w:rsidR="007D706A" w:rsidRDefault="007D706A" w:rsidP="00F70508">
            <w:pPr>
              <w:pStyle w:val="ParagraphStyle12"/>
              <w:rPr>
                <w:rStyle w:val="CharacterStyle12"/>
              </w:rPr>
            </w:pPr>
            <w:r>
              <w:rPr>
                <w:rStyle w:val="CharacterStyle12"/>
              </w:rPr>
              <w:t>1.615,00</w:t>
            </w:r>
          </w:p>
        </w:tc>
        <w:tc>
          <w:tcPr>
            <w:tcW w:w="1395" w:type="dxa"/>
            <w:tcBorders>
              <w:bottom w:val="single" w:sz="6" w:space="0" w:color="000000"/>
              <w:right w:val="single" w:sz="6" w:space="0" w:color="000000"/>
            </w:tcBorders>
            <w:vAlign w:val="center"/>
          </w:tcPr>
          <w:p w14:paraId="644A0BF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7B8DEC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A47B4BD" w14:textId="77777777" w:rsidR="007D706A" w:rsidRDefault="007D706A" w:rsidP="00F70508">
            <w:pPr>
              <w:pStyle w:val="ParagraphStyle12"/>
              <w:rPr>
                <w:rStyle w:val="CharacterStyle12"/>
              </w:rPr>
            </w:pPr>
            <w:r>
              <w:rPr>
                <w:rStyle w:val="CharacterStyle12"/>
              </w:rPr>
              <w:t>0,00</w:t>
            </w:r>
          </w:p>
        </w:tc>
      </w:tr>
      <w:tr w:rsidR="007D706A" w14:paraId="12D92AD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2CD7BAF" w14:textId="77777777" w:rsidR="007D706A" w:rsidRDefault="007D706A" w:rsidP="00F70508">
            <w:pPr>
              <w:pStyle w:val="ParagraphStyle10"/>
              <w:rPr>
                <w:rStyle w:val="CharacterStyle10"/>
              </w:rPr>
            </w:pPr>
            <w:r>
              <w:rPr>
                <w:rStyle w:val="CharacterStyle10"/>
              </w:rPr>
              <w:t>42</w:t>
            </w:r>
          </w:p>
        </w:tc>
        <w:tc>
          <w:tcPr>
            <w:tcW w:w="4995" w:type="dxa"/>
            <w:tcBorders>
              <w:bottom w:val="single" w:sz="6" w:space="0" w:color="000000"/>
              <w:right w:val="single" w:sz="6" w:space="0" w:color="000000"/>
            </w:tcBorders>
            <w:vAlign w:val="center"/>
          </w:tcPr>
          <w:p w14:paraId="100EB11C"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1EAD2C0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47FE75B" w14:textId="77777777" w:rsidR="007D706A" w:rsidRDefault="007D706A" w:rsidP="00F70508">
            <w:pPr>
              <w:pStyle w:val="ParagraphStyle12"/>
              <w:rPr>
                <w:rStyle w:val="CharacterStyle12"/>
              </w:rPr>
            </w:pPr>
            <w:r>
              <w:rPr>
                <w:rStyle w:val="CharacterStyle12"/>
              </w:rPr>
              <w:t>1.615,00</w:t>
            </w:r>
          </w:p>
        </w:tc>
        <w:tc>
          <w:tcPr>
            <w:tcW w:w="1395" w:type="dxa"/>
            <w:tcBorders>
              <w:bottom w:val="single" w:sz="6" w:space="0" w:color="000000"/>
              <w:right w:val="single" w:sz="6" w:space="0" w:color="000000"/>
            </w:tcBorders>
            <w:vAlign w:val="center"/>
          </w:tcPr>
          <w:p w14:paraId="69DB78D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3B7571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B94499F" w14:textId="77777777" w:rsidR="007D706A" w:rsidRDefault="007D706A" w:rsidP="00F70508">
            <w:pPr>
              <w:pStyle w:val="ParagraphStyle12"/>
              <w:rPr>
                <w:rStyle w:val="CharacterStyle12"/>
              </w:rPr>
            </w:pPr>
            <w:r>
              <w:rPr>
                <w:rStyle w:val="CharacterStyle12"/>
              </w:rPr>
              <w:t>0,00</w:t>
            </w:r>
          </w:p>
        </w:tc>
      </w:tr>
      <w:tr w:rsidR="007D706A" w14:paraId="666E7C9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04C1D11" w14:textId="77777777" w:rsidR="007D706A" w:rsidRDefault="007D706A" w:rsidP="00F70508">
            <w:pPr>
              <w:pStyle w:val="ParagraphStyle7"/>
              <w:rPr>
                <w:rStyle w:val="CharacterStyle7"/>
              </w:rPr>
            </w:pPr>
            <w:r>
              <w:rPr>
                <w:rStyle w:val="CharacterStyle7"/>
              </w:rPr>
              <w:t>Izvor financiranja 82</w:t>
            </w:r>
          </w:p>
        </w:tc>
        <w:tc>
          <w:tcPr>
            <w:tcW w:w="4995" w:type="dxa"/>
            <w:tcBorders>
              <w:bottom w:val="single" w:sz="6" w:space="0" w:color="000000"/>
              <w:right w:val="single" w:sz="6" w:space="0" w:color="000000"/>
            </w:tcBorders>
            <w:vAlign w:val="center"/>
          </w:tcPr>
          <w:p w14:paraId="7303F528" w14:textId="77777777" w:rsidR="007D706A" w:rsidRDefault="007D706A" w:rsidP="00F70508">
            <w:pPr>
              <w:pStyle w:val="ParagraphStyle8"/>
              <w:rPr>
                <w:rStyle w:val="CharacterStyle8"/>
              </w:rPr>
            </w:pPr>
            <w:r>
              <w:rPr>
                <w:rStyle w:val="CharacterStyle8"/>
              </w:rPr>
              <w:t>Preneseni viškovi iz ranijih godina</w:t>
            </w:r>
          </w:p>
        </w:tc>
        <w:tc>
          <w:tcPr>
            <w:tcW w:w="1395" w:type="dxa"/>
            <w:tcBorders>
              <w:bottom w:val="single" w:sz="6" w:space="0" w:color="000000"/>
              <w:right w:val="single" w:sz="6" w:space="0" w:color="000000"/>
            </w:tcBorders>
            <w:vAlign w:val="center"/>
          </w:tcPr>
          <w:p w14:paraId="79E0F384"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5EB160C" w14:textId="77777777" w:rsidR="007D706A" w:rsidRDefault="007D706A" w:rsidP="00F70508">
            <w:pPr>
              <w:pStyle w:val="ParagraphStyle9"/>
              <w:rPr>
                <w:rStyle w:val="CharacterStyle9"/>
              </w:rPr>
            </w:pPr>
            <w:r>
              <w:rPr>
                <w:rStyle w:val="CharacterStyle9"/>
              </w:rPr>
              <w:t>5.000,00</w:t>
            </w:r>
          </w:p>
        </w:tc>
        <w:tc>
          <w:tcPr>
            <w:tcW w:w="1395" w:type="dxa"/>
            <w:tcBorders>
              <w:bottom w:val="single" w:sz="6" w:space="0" w:color="000000"/>
              <w:right w:val="single" w:sz="6" w:space="0" w:color="000000"/>
            </w:tcBorders>
            <w:vAlign w:val="center"/>
          </w:tcPr>
          <w:p w14:paraId="66B9B761"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DBCE917"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34703ED" w14:textId="77777777" w:rsidR="007D706A" w:rsidRDefault="007D706A" w:rsidP="00F70508">
            <w:pPr>
              <w:pStyle w:val="ParagraphStyle9"/>
              <w:rPr>
                <w:rStyle w:val="CharacterStyle9"/>
              </w:rPr>
            </w:pPr>
            <w:r>
              <w:rPr>
                <w:rStyle w:val="CharacterStyle9"/>
              </w:rPr>
              <w:t>0,00</w:t>
            </w:r>
          </w:p>
        </w:tc>
      </w:tr>
      <w:tr w:rsidR="007D706A" w14:paraId="78A05EE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7AE1FAB"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2E01BE29"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13E8F8F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BA42645" w14:textId="77777777" w:rsidR="007D706A" w:rsidRDefault="007D706A" w:rsidP="00F70508">
            <w:pPr>
              <w:pStyle w:val="ParagraphStyle12"/>
              <w:rPr>
                <w:rStyle w:val="CharacterStyle12"/>
              </w:rPr>
            </w:pPr>
            <w:r>
              <w:rPr>
                <w:rStyle w:val="CharacterStyle12"/>
              </w:rPr>
              <w:t>5.000,00</w:t>
            </w:r>
          </w:p>
        </w:tc>
        <w:tc>
          <w:tcPr>
            <w:tcW w:w="1395" w:type="dxa"/>
            <w:tcBorders>
              <w:bottom w:val="single" w:sz="6" w:space="0" w:color="000000"/>
              <w:right w:val="single" w:sz="6" w:space="0" w:color="000000"/>
            </w:tcBorders>
            <w:vAlign w:val="center"/>
          </w:tcPr>
          <w:p w14:paraId="135D1FA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694036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754BB40" w14:textId="77777777" w:rsidR="007D706A" w:rsidRDefault="007D706A" w:rsidP="00F70508">
            <w:pPr>
              <w:pStyle w:val="ParagraphStyle12"/>
              <w:rPr>
                <w:rStyle w:val="CharacterStyle12"/>
              </w:rPr>
            </w:pPr>
            <w:r>
              <w:rPr>
                <w:rStyle w:val="CharacterStyle12"/>
              </w:rPr>
              <w:t>0,00</w:t>
            </w:r>
          </w:p>
        </w:tc>
      </w:tr>
      <w:tr w:rsidR="007D706A" w14:paraId="3D579E4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B652619"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32735BD5"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0E96D08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ACB605A" w14:textId="77777777" w:rsidR="007D706A" w:rsidRDefault="007D706A" w:rsidP="00F70508">
            <w:pPr>
              <w:pStyle w:val="ParagraphStyle12"/>
              <w:rPr>
                <w:rStyle w:val="CharacterStyle12"/>
              </w:rPr>
            </w:pPr>
            <w:r>
              <w:rPr>
                <w:rStyle w:val="CharacterStyle12"/>
              </w:rPr>
              <w:t>5.000,00</w:t>
            </w:r>
          </w:p>
        </w:tc>
        <w:tc>
          <w:tcPr>
            <w:tcW w:w="1395" w:type="dxa"/>
            <w:tcBorders>
              <w:bottom w:val="single" w:sz="6" w:space="0" w:color="000000"/>
              <w:right w:val="single" w:sz="6" w:space="0" w:color="000000"/>
            </w:tcBorders>
            <w:vAlign w:val="center"/>
          </w:tcPr>
          <w:p w14:paraId="773C403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D77C6C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710DF69" w14:textId="77777777" w:rsidR="007D706A" w:rsidRDefault="007D706A" w:rsidP="00F70508">
            <w:pPr>
              <w:pStyle w:val="ParagraphStyle12"/>
              <w:rPr>
                <w:rStyle w:val="CharacterStyle12"/>
              </w:rPr>
            </w:pPr>
            <w:r>
              <w:rPr>
                <w:rStyle w:val="CharacterStyle12"/>
              </w:rPr>
              <w:t>0,00</w:t>
            </w:r>
          </w:p>
        </w:tc>
      </w:tr>
      <w:tr w:rsidR="007D706A" w14:paraId="6096568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560E409" w14:textId="77777777" w:rsidR="007D706A" w:rsidRDefault="007D706A" w:rsidP="00F70508">
            <w:pPr>
              <w:pStyle w:val="ParagraphStyle4"/>
              <w:rPr>
                <w:rStyle w:val="CharacterStyle4"/>
              </w:rPr>
            </w:pPr>
            <w:r>
              <w:rPr>
                <w:rStyle w:val="CharacterStyle4"/>
              </w:rPr>
              <w:t>Aktivnost A103716</w:t>
            </w:r>
          </w:p>
        </w:tc>
        <w:tc>
          <w:tcPr>
            <w:tcW w:w="4995" w:type="dxa"/>
            <w:tcBorders>
              <w:bottom w:val="single" w:sz="6" w:space="0" w:color="000000"/>
              <w:right w:val="single" w:sz="6" w:space="0" w:color="000000"/>
            </w:tcBorders>
            <w:vAlign w:val="center"/>
          </w:tcPr>
          <w:p w14:paraId="511914F8" w14:textId="77777777" w:rsidR="007D706A" w:rsidRDefault="007D706A" w:rsidP="00F70508">
            <w:pPr>
              <w:pStyle w:val="ParagraphStyle5"/>
              <w:rPr>
                <w:rStyle w:val="CharacterStyle5"/>
              </w:rPr>
            </w:pPr>
            <w:r>
              <w:rPr>
                <w:rStyle w:val="CharacterStyle5"/>
              </w:rPr>
              <w:t>STALNI POSTAV</w:t>
            </w:r>
          </w:p>
        </w:tc>
        <w:tc>
          <w:tcPr>
            <w:tcW w:w="1395" w:type="dxa"/>
            <w:tcBorders>
              <w:bottom w:val="single" w:sz="6" w:space="0" w:color="000000"/>
              <w:right w:val="single" w:sz="6" w:space="0" w:color="000000"/>
            </w:tcBorders>
            <w:vAlign w:val="center"/>
          </w:tcPr>
          <w:p w14:paraId="4A4656EB"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078153A2" w14:textId="77777777" w:rsidR="007D706A" w:rsidRDefault="007D706A" w:rsidP="00F70508">
            <w:pPr>
              <w:pStyle w:val="ParagraphStyle6"/>
              <w:rPr>
                <w:rStyle w:val="CharacterStyle6"/>
              </w:rPr>
            </w:pPr>
            <w:r>
              <w:rPr>
                <w:rStyle w:val="CharacterStyle6"/>
              </w:rPr>
              <w:t>3.500,00</w:t>
            </w:r>
          </w:p>
        </w:tc>
        <w:tc>
          <w:tcPr>
            <w:tcW w:w="1395" w:type="dxa"/>
            <w:tcBorders>
              <w:bottom w:val="single" w:sz="6" w:space="0" w:color="000000"/>
              <w:right w:val="single" w:sz="6" w:space="0" w:color="000000"/>
            </w:tcBorders>
            <w:vAlign w:val="center"/>
          </w:tcPr>
          <w:p w14:paraId="077234AA"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435B03D2"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15AE739F" w14:textId="77777777" w:rsidR="007D706A" w:rsidRDefault="007D706A" w:rsidP="00F70508">
            <w:pPr>
              <w:pStyle w:val="ParagraphStyle6"/>
              <w:rPr>
                <w:rStyle w:val="CharacterStyle6"/>
              </w:rPr>
            </w:pPr>
            <w:r>
              <w:rPr>
                <w:rStyle w:val="CharacterStyle6"/>
              </w:rPr>
              <w:t>0,00</w:t>
            </w:r>
          </w:p>
        </w:tc>
      </w:tr>
      <w:tr w:rsidR="007D706A" w14:paraId="37765BB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2835D7B" w14:textId="77777777" w:rsidR="007D706A" w:rsidRDefault="007D706A" w:rsidP="00F70508">
            <w:pPr>
              <w:pStyle w:val="ParagraphStyle7"/>
              <w:rPr>
                <w:rStyle w:val="CharacterStyle7"/>
              </w:rPr>
            </w:pPr>
            <w:r>
              <w:rPr>
                <w:rStyle w:val="CharacterStyle7"/>
              </w:rPr>
              <w:t>Izvor financiranja 82</w:t>
            </w:r>
          </w:p>
        </w:tc>
        <w:tc>
          <w:tcPr>
            <w:tcW w:w="4995" w:type="dxa"/>
            <w:tcBorders>
              <w:bottom w:val="single" w:sz="6" w:space="0" w:color="000000"/>
              <w:right w:val="single" w:sz="6" w:space="0" w:color="000000"/>
            </w:tcBorders>
            <w:vAlign w:val="center"/>
          </w:tcPr>
          <w:p w14:paraId="04A5EDA3" w14:textId="77777777" w:rsidR="007D706A" w:rsidRDefault="007D706A" w:rsidP="00F70508">
            <w:pPr>
              <w:pStyle w:val="ParagraphStyle8"/>
              <w:rPr>
                <w:rStyle w:val="CharacterStyle8"/>
              </w:rPr>
            </w:pPr>
            <w:r>
              <w:rPr>
                <w:rStyle w:val="CharacterStyle8"/>
              </w:rPr>
              <w:t>Preneseni viškovi iz ranijih godina</w:t>
            </w:r>
          </w:p>
        </w:tc>
        <w:tc>
          <w:tcPr>
            <w:tcW w:w="1395" w:type="dxa"/>
            <w:tcBorders>
              <w:bottom w:val="single" w:sz="6" w:space="0" w:color="000000"/>
              <w:right w:val="single" w:sz="6" w:space="0" w:color="000000"/>
            </w:tcBorders>
            <w:vAlign w:val="center"/>
          </w:tcPr>
          <w:p w14:paraId="6C9A314C"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2623273" w14:textId="77777777" w:rsidR="007D706A" w:rsidRDefault="007D706A" w:rsidP="00F70508">
            <w:pPr>
              <w:pStyle w:val="ParagraphStyle9"/>
              <w:rPr>
                <w:rStyle w:val="CharacterStyle9"/>
              </w:rPr>
            </w:pPr>
            <w:r>
              <w:rPr>
                <w:rStyle w:val="CharacterStyle9"/>
              </w:rPr>
              <w:t>3.500,00</w:t>
            </w:r>
          </w:p>
        </w:tc>
        <w:tc>
          <w:tcPr>
            <w:tcW w:w="1395" w:type="dxa"/>
            <w:tcBorders>
              <w:bottom w:val="single" w:sz="6" w:space="0" w:color="000000"/>
              <w:right w:val="single" w:sz="6" w:space="0" w:color="000000"/>
            </w:tcBorders>
            <w:vAlign w:val="center"/>
          </w:tcPr>
          <w:p w14:paraId="3C364E74"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A6C888B"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0BEEC28" w14:textId="77777777" w:rsidR="007D706A" w:rsidRDefault="007D706A" w:rsidP="00F70508">
            <w:pPr>
              <w:pStyle w:val="ParagraphStyle9"/>
              <w:rPr>
                <w:rStyle w:val="CharacterStyle9"/>
              </w:rPr>
            </w:pPr>
            <w:r>
              <w:rPr>
                <w:rStyle w:val="CharacterStyle9"/>
              </w:rPr>
              <w:t>0,00</w:t>
            </w:r>
          </w:p>
        </w:tc>
      </w:tr>
      <w:tr w:rsidR="007D706A" w14:paraId="0FEB346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2A9B3F4"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53698496"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12104C6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64EEF92" w14:textId="77777777" w:rsidR="007D706A" w:rsidRDefault="007D706A" w:rsidP="00F70508">
            <w:pPr>
              <w:pStyle w:val="ParagraphStyle12"/>
              <w:rPr>
                <w:rStyle w:val="CharacterStyle12"/>
              </w:rPr>
            </w:pPr>
            <w:r>
              <w:rPr>
                <w:rStyle w:val="CharacterStyle12"/>
              </w:rPr>
              <w:t>3.500,00</w:t>
            </w:r>
          </w:p>
        </w:tc>
        <w:tc>
          <w:tcPr>
            <w:tcW w:w="1395" w:type="dxa"/>
            <w:tcBorders>
              <w:bottom w:val="single" w:sz="6" w:space="0" w:color="000000"/>
              <w:right w:val="single" w:sz="6" w:space="0" w:color="000000"/>
            </w:tcBorders>
            <w:vAlign w:val="center"/>
          </w:tcPr>
          <w:p w14:paraId="6D496EB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528F83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FC6FD2A" w14:textId="77777777" w:rsidR="007D706A" w:rsidRDefault="007D706A" w:rsidP="00F70508">
            <w:pPr>
              <w:pStyle w:val="ParagraphStyle12"/>
              <w:rPr>
                <w:rStyle w:val="CharacterStyle12"/>
              </w:rPr>
            </w:pPr>
            <w:r>
              <w:rPr>
                <w:rStyle w:val="CharacterStyle12"/>
              </w:rPr>
              <w:t>0,00</w:t>
            </w:r>
          </w:p>
        </w:tc>
      </w:tr>
      <w:tr w:rsidR="007D706A" w14:paraId="70A39E0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D4584D1"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7F05315F"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0543F57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B2D6626" w14:textId="77777777" w:rsidR="007D706A" w:rsidRDefault="007D706A" w:rsidP="00F70508">
            <w:pPr>
              <w:pStyle w:val="ParagraphStyle12"/>
              <w:rPr>
                <w:rStyle w:val="CharacterStyle12"/>
              </w:rPr>
            </w:pPr>
            <w:r>
              <w:rPr>
                <w:rStyle w:val="CharacterStyle12"/>
              </w:rPr>
              <w:t>3.500,00</w:t>
            </w:r>
          </w:p>
        </w:tc>
        <w:tc>
          <w:tcPr>
            <w:tcW w:w="1395" w:type="dxa"/>
            <w:tcBorders>
              <w:bottom w:val="single" w:sz="6" w:space="0" w:color="000000"/>
              <w:right w:val="single" w:sz="6" w:space="0" w:color="000000"/>
            </w:tcBorders>
            <w:vAlign w:val="center"/>
          </w:tcPr>
          <w:p w14:paraId="37B479F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1B7375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CD208AD" w14:textId="77777777" w:rsidR="007D706A" w:rsidRDefault="007D706A" w:rsidP="00F70508">
            <w:pPr>
              <w:pStyle w:val="ParagraphStyle12"/>
              <w:rPr>
                <w:rStyle w:val="CharacterStyle12"/>
              </w:rPr>
            </w:pPr>
            <w:r>
              <w:rPr>
                <w:rStyle w:val="CharacterStyle12"/>
              </w:rPr>
              <w:t>0,00</w:t>
            </w:r>
          </w:p>
        </w:tc>
      </w:tr>
      <w:tr w:rsidR="007D706A" w14:paraId="4B03B9F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FF34452" w14:textId="77777777" w:rsidR="007D706A" w:rsidRDefault="007D706A" w:rsidP="00F70508">
            <w:pPr>
              <w:pStyle w:val="ParagraphStyle4"/>
              <w:rPr>
                <w:rStyle w:val="CharacterStyle4"/>
              </w:rPr>
            </w:pPr>
            <w:r>
              <w:rPr>
                <w:rStyle w:val="CharacterStyle4"/>
              </w:rPr>
              <w:t>Aktivnost A103719</w:t>
            </w:r>
          </w:p>
        </w:tc>
        <w:tc>
          <w:tcPr>
            <w:tcW w:w="4995" w:type="dxa"/>
            <w:tcBorders>
              <w:bottom w:val="single" w:sz="6" w:space="0" w:color="000000"/>
              <w:right w:val="single" w:sz="6" w:space="0" w:color="000000"/>
            </w:tcBorders>
            <w:vAlign w:val="center"/>
          </w:tcPr>
          <w:p w14:paraId="4290D156" w14:textId="77777777" w:rsidR="007D706A" w:rsidRDefault="007D706A" w:rsidP="00F70508">
            <w:pPr>
              <w:pStyle w:val="ParagraphStyle5"/>
              <w:rPr>
                <w:rStyle w:val="CharacterStyle5"/>
              </w:rPr>
            </w:pPr>
            <w:r>
              <w:rPr>
                <w:rStyle w:val="CharacterStyle5"/>
              </w:rPr>
              <w:t>ON-LINE KATALOG MUZEJSKE ZBIRKE</w:t>
            </w:r>
          </w:p>
        </w:tc>
        <w:tc>
          <w:tcPr>
            <w:tcW w:w="1395" w:type="dxa"/>
            <w:tcBorders>
              <w:bottom w:val="single" w:sz="6" w:space="0" w:color="000000"/>
              <w:right w:val="single" w:sz="6" w:space="0" w:color="000000"/>
            </w:tcBorders>
            <w:vAlign w:val="center"/>
          </w:tcPr>
          <w:p w14:paraId="48BB9806"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5FC3F877" w14:textId="77777777" w:rsidR="007D706A" w:rsidRDefault="007D706A" w:rsidP="00F70508">
            <w:pPr>
              <w:pStyle w:val="ParagraphStyle6"/>
              <w:rPr>
                <w:rStyle w:val="CharacterStyle6"/>
              </w:rPr>
            </w:pPr>
            <w:r>
              <w:rPr>
                <w:rStyle w:val="CharacterStyle6"/>
              </w:rPr>
              <w:t>6.700,00</w:t>
            </w:r>
          </w:p>
        </w:tc>
        <w:tc>
          <w:tcPr>
            <w:tcW w:w="1395" w:type="dxa"/>
            <w:tcBorders>
              <w:bottom w:val="single" w:sz="6" w:space="0" w:color="000000"/>
              <w:right w:val="single" w:sz="6" w:space="0" w:color="000000"/>
            </w:tcBorders>
            <w:vAlign w:val="center"/>
          </w:tcPr>
          <w:p w14:paraId="7C1FE8B5"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6F2F7524"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0AADDCFE" w14:textId="77777777" w:rsidR="007D706A" w:rsidRDefault="007D706A" w:rsidP="00F70508">
            <w:pPr>
              <w:pStyle w:val="ParagraphStyle6"/>
              <w:rPr>
                <w:rStyle w:val="CharacterStyle6"/>
              </w:rPr>
            </w:pPr>
            <w:r>
              <w:rPr>
                <w:rStyle w:val="CharacterStyle6"/>
              </w:rPr>
              <w:t>0,00</w:t>
            </w:r>
          </w:p>
        </w:tc>
      </w:tr>
      <w:tr w:rsidR="007D706A" w14:paraId="02C060A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90118D5"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6A228BC0"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4A5845ED"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77F74A2" w14:textId="77777777" w:rsidR="007D706A" w:rsidRDefault="007D706A" w:rsidP="00F70508">
            <w:pPr>
              <w:pStyle w:val="ParagraphStyle9"/>
              <w:rPr>
                <w:rStyle w:val="CharacterStyle9"/>
              </w:rPr>
            </w:pPr>
            <w:r>
              <w:rPr>
                <w:rStyle w:val="CharacterStyle9"/>
              </w:rPr>
              <w:t>3.000,00</w:t>
            </w:r>
          </w:p>
        </w:tc>
        <w:tc>
          <w:tcPr>
            <w:tcW w:w="1395" w:type="dxa"/>
            <w:tcBorders>
              <w:bottom w:val="single" w:sz="6" w:space="0" w:color="000000"/>
              <w:right w:val="single" w:sz="6" w:space="0" w:color="000000"/>
            </w:tcBorders>
            <w:vAlign w:val="center"/>
          </w:tcPr>
          <w:p w14:paraId="2FAA3508"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FC14701"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4CDB5B3" w14:textId="77777777" w:rsidR="007D706A" w:rsidRDefault="007D706A" w:rsidP="00F70508">
            <w:pPr>
              <w:pStyle w:val="ParagraphStyle9"/>
              <w:rPr>
                <w:rStyle w:val="CharacterStyle9"/>
              </w:rPr>
            </w:pPr>
            <w:r>
              <w:rPr>
                <w:rStyle w:val="CharacterStyle9"/>
              </w:rPr>
              <w:t>0,00</w:t>
            </w:r>
          </w:p>
        </w:tc>
      </w:tr>
      <w:tr w:rsidR="007D706A" w14:paraId="334E0D4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949C615"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0E40E96D"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6B47C44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B40BA4B" w14:textId="77777777" w:rsidR="007D706A" w:rsidRDefault="007D706A" w:rsidP="00F70508">
            <w:pPr>
              <w:pStyle w:val="ParagraphStyle12"/>
              <w:rPr>
                <w:rStyle w:val="CharacterStyle12"/>
              </w:rPr>
            </w:pPr>
            <w:r>
              <w:rPr>
                <w:rStyle w:val="CharacterStyle12"/>
              </w:rPr>
              <w:t>3.000,00</w:t>
            </w:r>
          </w:p>
        </w:tc>
        <w:tc>
          <w:tcPr>
            <w:tcW w:w="1395" w:type="dxa"/>
            <w:tcBorders>
              <w:bottom w:val="single" w:sz="6" w:space="0" w:color="000000"/>
              <w:right w:val="single" w:sz="6" w:space="0" w:color="000000"/>
            </w:tcBorders>
            <w:vAlign w:val="center"/>
          </w:tcPr>
          <w:p w14:paraId="3D37B09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C7DF5B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748EA37" w14:textId="77777777" w:rsidR="007D706A" w:rsidRDefault="007D706A" w:rsidP="00F70508">
            <w:pPr>
              <w:pStyle w:val="ParagraphStyle12"/>
              <w:rPr>
                <w:rStyle w:val="CharacterStyle12"/>
              </w:rPr>
            </w:pPr>
            <w:r>
              <w:rPr>
                <w:rStyle w:val="CharacterStyle12"/>
              </w:rPr>
              <w:t>0,00</w:t>
            </w:r>
          </w:p>
        </w:tc>
      </w:tr>
      <w:tr w:rsidR="007D706A" w14:paraId="09A0B32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461548F"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34F5C904"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542D7AD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FCE6285" w14:textId="77777777" w:rsidR="007D706A" w:rsidRDefault="007D706A" w:rsidP="00F70508">
            <w:pPr>
              <w:pStyle w:val="ParagraphStyle12"/>
              <w:rPr>
                <w:rStyle w:val="CharacterStyle12"/>
              </w:rPr>
            </w:pPr>
            <w:r>
              <w:rPr>
                <w:rStyle w:val="CharacterStyle12"/>
              </w:rPr>
              <w:t>3.000,00</w:t>
            </w:r>
          </w:p>
        </w:tc>
        <w:tc>
          <w:tcPr>
            <w:tcW w:w="1395" w:type="dxa"/>
            <w:tcBorders>
              <w:bottom w:val="single" w:sz="6" w:space="0" w:color="000000"/>
              <w:right w:val="single" w:sz="6" w:space="0" w:color="000000"/>
            </w:tcBorders>
            <w:vAlign w:val="center"/>
          </w:tcPr>
          <w:p w14:paraId="5BA66F0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AFED40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D192B58" w14:textId="77777777" w:rsidR="007D706A" w:rsidRDefault="007D706A" w:rsidP="00F70508">
            <w:pPr>
              <w:pStyle w:val="ParagraphStyle12"/>
              <w:rPr>
                <w:rStyle w:val="CharacterStyle12"/>
              </w:rPr>
            </w:pPr>
            <w:r>
              <w:rPr>
                <w:rStyle w:val="CharacterStyle12"/>
              </w:rPr>
              <w:t>0,00</w:t>
            </w:r>
          </w:p>
        </w:tc>
      </w:tr>
      <w:tr w:rsidR="007D706A" w14:paraId="3C9590F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5058D05" w14:textId="77777777" w:rsidR="007D706A" w:rsidRDefault="007D706A" w:rsidP="00F70508">
            <w:pPr>
              <w:pStyle w:val="ParagraphStyle7"/>
              <w:rPr>
                <w:rStyle w:val="CharacterStyle7"/>
              </w:rPr>
            </w:pPr>
            <w:r>
              <w:rPr>
                <w:rStyle w:val="CharacterStyle7"/>
              </w:rPr>
              <w:t>Izvor financiranja 31</w:t>
            </w:r>
          </w:p>
        </w:tc>
        <w:tc>
          <w:tcPr>
            <w:tcW w:w="4995" w:type="dxa"/>
            <w:tcBorders>
              <w:bottom w:val="single" w:sz="6" w:space="0" w:color="000000"/>
              <w:right w:val="single" w:sz="6" w:space="0" w:color="000000"/>
            </w:tcBorders>
            <w:vAlign w:val="center"/>
          </w:tcPr>
          <w:p w14:paraId="70FFFF4F" w14:textId="77777777" w:rsidR="007D706A" w:rsidRDefault="007D706A" w:rsidP="00F70508">
            <w:pPr>
              <w:pStyle w:val="ParagraphStyle8"/>
              <w:rPr>
                <w:rStyle w:val="CharacterStyle8"/>
              </w:rPr>
            </w:pPr>
            <w:r>
              <w:rPr>
                <w:rStyle w:val="CharacterStyle8"/>
              </w:rPr>
              <w:t>Vlastiti prihodi</w:t>
            </w:r>
          </w:p>
        </w:tc>
        <w:tc>
          <w:tcPr>
            <w:tcW w:w="1395" w:type="dxa"/>
            <w:tcBorders>
              <w:bottom w:val="single" w:sz="6" w:space="0" w:color="000000"/>
              <w:right w:val="single" w:sz="6" w:space="0" w:color="000000"/>
            </w:tcBorders>
            <w:vAlign w:val="center"/>
          </w:tcPr>
          <w:p w14:paraId="27F27BB4"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C806190" w14:textId="77777777" w:rsidR="007D706A" w:rsidRDefault="007D706A" w:rsidP="00F70508">
            <w:pPr>
              <w:pStyle w:val="ParagraphStyle9"/>
              <w:rPr>
                <w:rStyle w:val="CharacterStyle9"/>
              </w:rPr>
            </w:pPr>
            <w:r>
              <w:rPr>
                <w:rStyle w:val="CharacterStyle9"/>
              </w:rPr>
              <w:t>200,00</w:t>
            </w:r>
          </w:p>
        </w:tc>
        <w:tc>
          <w:tcPr>
            <w:tcW w:w="1395" w:type="dxa"/>
            <w:tcBorders>
              <w:bottom w:val="single" w:sz="6" w:space="0" w:color="000000"/>
              <w:right w:val="single" w:sz="6" w:space="0" w:color="000000"/>
            </w:tcBorders>
            <w:vAlign w:val="center"/>
          </w:tcPr>
          <w:p w14:paraId="042B9B7F"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7F903DF"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7164659" w14:textId="77777777" w:rsidR="007D706A" w:rsidRDefault="007D706A" w:rsidP="00F70508">
            <w:pPr>
              <w:pStyle w:val="ParagraphStyle9"/>
              <w:rPr>
                <w:rStyle w:val="CharacterStyle9"/>
              </w:rPr>
            </w:pPr>
            <w:r>
              <w:rPr>
                <w:rStyle w:val="CharacterStyle9"/>
              </w:rPr>
              <w:t>0,00</w:t>
            </w:r>
          </w:p>
        </w:tc>
      </w:tr>
      <w:tr w:rsidR="007D706A" w14:paraId="570661A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0E7E66B"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6B7F6CA9"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12788EC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60A13AD" w14:textId="77777777" w:rsidR="007D706A" w:rsidRDefault="007D706A" w:rsidP="00F70508">
            <w:pPr>
              <w:pStyle w:val="ParagraphStyle12"/>
              <w:rPr>
                <w:rStyle w:val="CharacterStyle12"/>
              </w:rPr>
            </w:pPr>
            <w:r>
              <w:rPr>
                <w:rStyle w:val="CharacterStyle12"/>
              </w:rPr>
              <w:t>200,00</w:t>
            </w:r>
          </w:p>
        </w:tc>
        <w:tc>
          <w:tcPr>
            <w:tcW w:w="1395" w:type="dxa"/>
            <w:tcBorders>
              <w:bottom w:val="single" w:sz="6" w:space="0" w:color="000000"/>
              <w:right w:val="single" w:sz="6" w:space="0" w:color="000000"/>
            </w:tcBorders>
            <w:vAlign w:val="center"/>
          </w:tcPr>
          <w:p w14:paraId="3BA1B43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58B1F5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53ED88E" w14:textId="77777777" w:rsidR="007D706A" w:rsidRDefault="007D706A" w:rsidP="00F70508">
            <w:pPr>
              <w:pStyle w:val="ParagraphStyle12"/>
              <w:rPr>
                <w:rStyle w:val="CharacterStyle12"/>
              </w:rPr>
            </w:pPr>
            <w:r>
              <w:rPr>
                <w:rStyle w:val="CharacterStyle12"/>
              </w:rPr>
              <w:t>0,00</w:t>
            </w:r>
          </w:p>
        </w:tc>
      </w:tr>
      <w:tr w:rsidR="007D706A" w14:paraId="768E606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ADE1C7D"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25F7BDCE"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2C394BD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D208128" w14:textId="77777777" w:rsidR="007D706A" w:rsidRDefault="007D706A" w:rsidP="00F70508">
            <w:pPr>
              <w:pStyle w:val="ParagraphStyle12"/>
              <w:rPr>
                <w:rStyle w:val="CharacterStyle12"/>
              </w:rPr>
            </w:pPr>
            <w:r>
              <w:rPr>
                <w:rStyle w:val="CharacterStyle12"/>
              </w:rPr>
              <w:t>200,00</w:t>
            </w:r>
          </w:p>
        </w:tc>
        <w:tc>
          <w:tcPr>
            <w:tcW w:w="1395" w:type="dxa"/>
            <w:tcBorders>
              <w:bottom w:val="single" w:sz="6" w:space="0" w:color="000000"/>
              <w:right w:val="single" w:sz="6" w:space="0" w:color="000000"/>
            </w:tcBorders>
            <w:vAlign w:val="center"/>
          </w:tcPr>
          <w:p w14:paraId="5307988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57320F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CC4D790" w14:textId="77777777" w:rsidR="007D706A" w:rsidRDefault="007D706A" w:rsidP="00F70508">
            <w:pPr>
              <w:pStyle w:val="ParagraphStyle12"/>
              <w:rPr>
                <w:rStyle w:val="CharacterStyle12"/>
              </w:rPr>
            </w:pPr>
            <w:r>
              <w:rPr>
                <w:rStyle w:val="CharacterStyle12"/>
              </w:rPr>
              <w:t>0,00</w:t>
            </w:r>
          </w:p>
        </w:tc>
      </w:tr>
      <w:tr w:rsidR="007D706A" w14:paraId="59B81C3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F14B531" w14:textId="77777777" w:rsidR="007D706A" w:rsidRDefault="007D706A" w:rsidP="00F70508">
            <w:pPr>
              <w:pStyle w:val="ParagraphStyle7"/>
              <w:rPr>
                <w:rStyle w:val="CharacterStyle7"/>
              </w:rPr>
            </w:pPr>
            <w:r>
              <w:rPr>
                <w:rStyle w:val="CharacterStyle7"/>
              </w:rPr>
              <w:t>Izvor financiranja 53</w:t>
            </w:r>
          </w:p>
        </w:tc>
        <w:tc>
          <w:tcPr>
            <w:tcW w:w="4995" w:type="dxa"/>
            <w:tcBorders>
              <w:bottom w:val="single" w:sz="6" w:space="0" w:color="000000"/>
              <w:right w:val="single" w:sz="6" w:space="0" w:color="000000"/>
            </w:tcBorders>
            <w:vAlign w:val="center"/>
          </w:tcPr>
          <w:p w14:paraId="6878031F" w14:textId="77777777" w:rsidR="007D706A" w:rsidRDefault="007D706A" w:rsidP="00F70508">
            <w:pPr>
              <w:pStyle w:val="ParagraphStyle8"/>
              <w:rPr>
                <w:rStyle w:val="CharacterStyle8"/>
              </w:rPr>
            </w:pPr>
            <w:r>
              <w:rPr>
                <w:rStyle w:val="CharacterStyle8"/>
              </w:rPr>
              <w:t>Proračuni, drugi nivoi - za posebne i / ili ugovorene namjene</w:t>
            </w:r>
          </w:p>
        </w:tc>
        <w:tc>
          <w:tcPr>
            <w:tcW w:w="1395" w:type="dxa"/>
            <w:tcBorders>
              <w:bottom w:val="single" w:sz="6" w:space="0" w:color="000000"/>
              <w:right w:val="single" w:sz="6" w:space="0" w:color="000000"/>
            </w:tcBorders>
            <w:vAlign w:val="center"/>
          </w:tcPr>
          <w:p w14:paraId="5F1CB2CC"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B042395" w14:textId="77777777" w:rsidR="007D706A" w:rsidRDefault="007D706A" w:rsidP="00F70508">
            <w:pPr>
              <w:pStyle w:val="ParagraphStyle9"/>
              <w:rPr>
                <w:rStyle w:val="CharacterStyle9"/>
              </w:rPr>
            </w:pPr>
            <w:r>
              <w:rPr>
                <w:rStyle w:val="CharacterStyle9"/>
              </w:rPr>
              <w:t>3.000,00</w:t>
            </w:r>
          </w:p>
        </w:tc>
        <w:tc>
          <w:tcPr>
            <w:tcW w:w="1395" w:type="dxa"/>
            <w:tcBorders>
              <w:bottom w:val="single" w:sz="6" w:space="0" w:color="000000"/>
              <w:right w:val="single" w:sz="6" w:space="0" w:color="000000"/>
            </w:tcBorders>
            <w:vAlign w:val="center"/>
          </w:tcPr>
          <w:p w14:paraId="18D6056A"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59A77C4"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1F1863F" w14:textId="77777777" w:rsidR="007D706A" w:rsidRDefault="007D706A" w:rsidP="00F70508">
            <w:pPr>
              <w:pStyle w:val="ParagraphStyle9"/>
              <w:rPr>
                <w:rStyle w:val="CharacterStyle9"/>
              </w:rPr>
            </w:pPr>
            <w:r>
              <w:rPr>
                <w:rStyle w:val="CharacterStyle9"/>
              </w:rPr>
              <w:t>0,00</w:t>
            </w:r>
          </w:p>
        </w:tc>
      </w:tr>
      <w:tr w:rsidR="007D706A" w14:paraId="00F721D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7204C05"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7D1118F4"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13F7513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1F449BC" w14:textId="77777777" w:rsidR="007D706A" w:rsidRDefault="007D706A" w:rsidP="00F70508">
            <w:pPr>
              <w:pStyle w:val="ParagraphStyle12"/>
              <w:rPr>
                <w:rStyle w:val="CharacterStyle12"/>
              </w:rPr>
            </w:pPr>
            <w:r>
              <w:rPr>
                <w:rStyle w:val="CharacterStyle12"/>
              </w:rPr>
              <w:t>3.000,00</w:t>
            </w:r>
          </w:p>
        </w:tc>
        <w:tc>
          <w:tcPr>
            <w:tcW w:w="1395" w:type="dxa"/>
            <w:tcBorders>
              <w:bottom w:val="single" w:sz="6" w:space="0" w:color="000000"/>
              <w:right w:val="single" w:sz="6" w:space="0" w:color="000000"/>
            </w:tcBorders>
            <w:vAlign w:val="center"/>
          </w:tcPr>
          <w:p w14:paraId="63BD6A1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49BE86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C303893" w14:textId="77777777" w:rsidR="007D706A" w:rsidRDefault="007D706A" w:rsidP="00F70508">
            <w:pPr>
              <w:pStyle w:val="ParagraphStyle12"/>
              <w:rPr>
                <w:rStyle w:val="CharacterStyle12"/>
              </w:rPr>
            </w:pPr>
            <w:r>
              <w:rPr>
                <w:rStyle w:val="CharacterStyle12"/>
              </w:rPr>
              <w:t>0,00</w:t>
            </w:r>
          </w:p>
        </w:tc>
      </w:tr>
      <w:tr w:rsidR="007D706A" w14:paraId="0B55ECB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3DAF98C"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22A436AB"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10D2160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6A4BD56" w14:textId="77777777" w:rsidR="007D706A" w:rsidRDefault="007D706A" w:rsidP="00F70508">
            <w:pPr>
              <w:pStyle w:val="ParagraphStyle12"/>
              <w:rPr>
                <w:rStyle w:val="CharacterStyle12"/>
              </w:rPr>
            </w:pPr>
            <w:r>
              <w:rPr>
                <w:rStyle w:val="CharacterStyle12"/>
              </w:rPr>
              <w:t>3.000,00</w:t>
            </w:r>
          </w:p>
        </w:tc>
        <w:tc>
          <w:tcPr>
            <w:tcW w:w="1395" w:type="dxa"/>
            <w:tcBorders>
              <w:bottom w:val="single" w:sz="6" w:space="0" w:color="000000"/>
              <w:right w:val="single" w:sz="6" w:space="0" w:color="000000"/>
            </w:tcBorders>
            <w:vAlign w:val="center"/>
          </w:tcPr>
          <w:p w14:paraId="59006EC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0A7E63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436F4B0" w14:textId="77777777" w:rsidR="007D706A" w:rsidRDefault="007D706A" w:rsidP="00F70508">
            <w:pPr>
              <w:pStyle w:val="ParagraphStyle12"/>
              <w:rPr>
                <w:rStyle w:val="CharacterStyle12"/>
              </w:rPr>
            </w:pPr>
            <w:r>
              <w:rPr>
                <w:rStyle w:val="CharacterStyle12"/>
              </w:rPr>
              <w:t>0,00</w:t>
            </w:r>
          </w:p>
        </w:tc>
      </w:tr>
      <w:tr w:rsidR="007D706A" w14:paraId="4A55647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A65FEB1" w14:textId="77777777" w:rsidR="007D706A" w:rsidRDefault="007D706A" w:rsidP="00F70508">
            <w:pPr>
              <w:pStyle w:val="ParagraphStyle7"/>
              <w:rPr>
                <w:rStyle w:val="CharacterStyle7"/>
              </w:rPr>
            </w:pPr>
            <w:r>
              <w:rPr>
                <w:rStyle w:val="CharacterStyle7"/>
              </w:rPr>
              <w:t>Izvor financiranja 82</w:t>
            </w:r>
          </w:p>
        </w:tc>
        <w:tc>
          <w:tcPr>
            <w:tcW w:w="4995" w:type="dxa"/>
            <w:tcBorders>
              <w:bottom w:val="single" w:sz="6" w:space="0" w:color="000000"/>
              <w:right w:val="single" w:sz="6" w:space="0" w:color="000000"/>
            </w:tcBorders>
            <w:vAlign w:val="center"/>
          </w:tcPr>
          <w:p w14:paraId="35E8B593" w14:textId="77777777" w:rsidR="007D706A" w:rsidRDefault="007D706A" w:rsidP="00F70508">
            <w:pPr>
              <w:pStyle w:val="ParagraphStyle8"/>
              <w:rPr>
                <w:rStyle w:val="CharacterStyle8"/>
              </w:rPr>
            </w:pPr>
            <w:r>
              <w:rPr>
                <w:rStyle w:val="CharacterStyle8"/>
              </w:rPr>
              <w:t>Preneseni viškovi iz ranijih godina</w:t>
            </w:r>
          </w:p>
        </w:tc>
        <w:tc>
          <w:tcPr>
            <w:tcW w:w="1395" w:type="dxa"/>
            <w:tcBorders>
              <w:bottom w:val="single" w:sz="6" w:space="0" w:color="000000"/>
              <w:right w:val="single" w:sz="6" w:space="0" w:color="000000"/>
            </w:tcBorders>
            <w:vAlign w:val="center"/>
          </w:tcPr>
          <w:p w14:paraId="3B8AAA2F"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1AFA87C" w14:textId="77777777" w:rsidR="007D706A" w:rsidRDefault="007D706A" w:rsidP="00F70508">
            <w:pPr>
              <w:pStyle w:val="ParagraphStyle9"/>
              <w:rPr>
                <w:rStyle w:val="CharacterStyle9"/>
              </w:rPr>
            </w:pPr>
            <w:r>
              <w:rPr>
                <w:rStyle w:val="CharacterStyle9"/>
              </w:rPr>
              <w:t>500,00</w:t>
            </w:r>
          </w:p>
        </w:tc>
        <w:tc>
          <w:tcPr>
            <w:tcW w:w="1395" w:type="dxa"/>
            <w:tcBorders>
              <w:bottom w:val="single" w:sz="6" w:space="0" w:color="000000"/>
              <w:right w:val="single" w:sz="6" w:space="0" w:color="000000"/>
            </w:tcBorders>
            <w:vAlign w:val="center"/>
          </w:tcPr>
          <w:p w14:paraId="5ADF8DF6"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D560C4E"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922E26D" w14:textId="77777777" w:rsidR="007D706A" w:rsidRDefault="007D706A" w:rsidP="00F70508">
            <w:pPr>
              <w:pStyle w:val="ParagraphStyle9"/>
              <w:rPr>
                <w:rStyle w:val="CharacterStyle9"/>
              </w:rPr>
            </w:pPr>
            <w:r>
              <w:rPr>
                <w:rStyle w:val="CharacterStyle9"/>
              </w:rPr>
              <w:t>0,00</w:t>
            </w:r>
          </w:p>
        </w:tc>
      </w:tr>
      <w:tr w:rsidR="007D706A" w14:paraId="169480E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8FCD0AC"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25DE3858"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592443F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F510757" w14:textId="77777777" w:rsidR="007D706A" w:rsidRDefault="007D706A" w:rsidP="00F70508">
            <w:pPr>
              <w:pStyle w:val="ParagraphStyle12"/>
              <w:rPr>
                <w:rStyle w:val="CharacterStyle12"/>
              </w:rPr>
            </w:pPr>
            <w:r>
              <w:rPr>
                <w:rStyle w:val="CharacterStyle12"/>
              </w:rPr>
              <w:t>500,00</w:t>
            </w:r>
          </w:p>
        </w:tc>
        <w:tc>
          <w:tcPr>
            <w:tcW w:w="1395" w:type="dxa"/>
            <w:tcBorders>
              <w:bottom w:val="single" w:sz="6" w:space="0" w:color="000000"/>
              <w:right w:val="single" w:sz="6" w:space="0" w:color="000000"/>
            </w:tcBorders>
            <w:vAlign w:val="center"/>
          </w:tcPr>
          <w:p w14:paraId="42938AE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1452BF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5B39CD5" w14:textId="77777777" w:rsidR="007D706A" w:rsidRDefault="007D706A" w:rsidP="00F70508">
            <w:pPr>
              <w:pStyle w:val="ParagraphStyle12"/>
              <w:rPr>
                <w:rStyle w:val="CharacterStyle12"/>
              </w:rPr>
            </w:pPr>
            <w:r>
              <w:rPr>
                <w:rStyle w:val="CharacterStyle12"/>
              </w:rPr>
              <w:t>0,00</w:t>
            </w:r>
          </w:p>
        </w:tc>
      </w:tr>
      <w:tr w:rsidR="007D706A" w14:paraId="693CD46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A2107FC"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403C3CFE"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61FCAC1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562198A" w14:textId="77777777" w:rsidR="007D706A" w:rsidRDefault="007D706A" w:rsidP="00F70508">
            <w:pPr>
              <w:pStyle w:val="ParagraphStyle12"/>
              <w:rPr>
                <w:rStyle w:val="CharacterStyle12"/>
              </w:rPr>
            </w:pPr>
            <w:r>
              <w:rPr>
                <w:rStyle w:val="CharacterStyle12"/>
              </w:rPr>
              <w:t>500,00</w:t>
            </w:r>
          </w:p>
        </w:tc>
        <w:tc>
          <w:tcPr>
            <w:tcW w:w="1395" w:type="dxa"/>
            <w:tcBorders>
              <w:bottom w:val="single" w:sz="6" w:space="0" w:color="000000"/>
              <w:right w:val="single" w:sz="6" w:space="0" w:color="000000"/>
            </w:tcBorders>
            <w:vAlign w:val="center"/>
          </w:tcPr>
          <w:p w14:paraId="0F7A854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A5876F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ED9EBED" w14:textId="77777777" w:rsidR="007D706A" w:rsidRDefault="007D706A" w:rsidP="00F70508">
            <w:pPr>
              <w:pStyle w:val="ParagraphStyle12"/>
              <w:rPr>
                <w:rStyle w:val="CharacterStyle12"/>
              </w:rPr>
            </w:pPr>
            <w:r>
              <w:rPr>
                <w:rStyle w:val="CharacterStyle12"/>
              </w:rPr>
              <w:t>0,00</w:t>
            </w:r>
          </w:p>
        </w:tc>
      </w:tr>
      <w:tr w:rsidR="007D706A" w14:paraId="65AD0E1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DACCC61" w14:textId="77777777" w:rsidR="007D706A" w:rsidRDefault="007D706A" w:rsidP="00F70508">
            <w:pPr>
              <w:pStyle w:val="ParagraphStyle4"/>
              <w:rPr>
                <w:rStyle w:val="CharacterStyle4"/>
              </w:rPr>
            </w:pPr>
            <w:r>
              <w:rPr>
                <w:rStyle w:val="CharacterStyle4"/>
              </w:rPr>
              <w:t>Aktivnost A103717</w:t>
            </w:r>
          </w:p>
        </w:tc>
        <w:tc>
          <w:tcPr>
            <w:tcW w:w="4995" w:type="dxa"/>
            <w:tcBorders>
              <w:bottom w:val="single" w:sz="6" w:space="0" w:color="000000"/>
              <w:right w:val="single" w:sz="6" w:space="0" w:color="000000"/>
            </w:tcBorders>
            <w:vAlign w:val="center"/>
          </w:tcPr>
          <w:p w14:paraId="49298D17" w14:textId="77777777" w:rsidR="007D706A" w:rsidRDefault="007D706A" w:rsidP="00F70508">
            <w:pPr>
              <w:pStyle w:val="ParagraphStyle5"/>
              <w:rPr>
                <w:rStyle w:val="CharacterStyle5"/>
              </w:rPr>
            </w:pPr>
            <w:r>
              <w:rPr>
                <w:rStyle w:val="CharacterStyle5"/>
              </w:rPr>
              <w:t>REDOVAN RAD USTANOVE U KULTURI</w:t>
            </w:r>
          </w:p>
        </w:tc>
        <w:tc>
          <w:tcPr>
            <w:tcW w:w="1395" w:type="dxa"/>
            <w:tcBorders>
              <w:bottom w:val="single" w:sz="6" w:space="0" w:color="000000"/>
              <w:right w:val="single" w:sz="6" w:space="0" w:color="000000"/>
            </w:tcBorders>
            <w:vAlign w:val="center"/>
          </w:tcPr>
          <w:p w14:paraId="5A167BC1"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2B967122" w14:textId="77777777" w:rsidR="007D706A" w:rsidRDefault="007D706A" w:rsidP="00F70508">
            <w:pPr>
              <w:pStyle w:val="ParagraphStyle6"/>
              <w:rPr>
                <w:rStyle w:val="CharacterStyle6"/>
              </w:rPr>
            </w:pPr>
            <w:r>
              <w:rPr>
                <w:rStyle w:val="CharacterStyle6"/>
              </w:rPr>
              <w:t>158.490,33</w:t>
            </w:r>
          </w:p>
        </w:tc>
        <w:tc>
          <w:tcPr>
            <w:tcW w:w="1395" w:type="dxa"/>
            <w:tcBorders>
              <w:bottom w:val="single" w:sz="6" w:space="0" w:color="000000"/>
              <w:right w:val="single" w:sz="6" w:space="0" w:color="000000"/>
            </w:tcBorders>
            <w:vAlign w:val="center"/>
          </w:tcPr>
          <w:p w14:paraId="457EECE8" w14:textId="77777777" w:rsidR="007D706A" w:rsidRDefault="007D706A" w:rsidP="00F70508">
            <w:pPr>
              <w:pStyle w:val="ParagraphStyle6"/>
              <w:rPr>
                <w:rStyle w:val="CharacterStyle6"/>
              </w:rPr>
            </w:pPr>
            <w:r>
              <w:rPr>
                <w:rStyle w:val="CharacterStyle6"/>
              </w:rPr>
              <w:t>219.000,00</w:t>
            </w:r>
          </w:p>
        </w:tc>
        <w:tc>
          <w:tcPr>
            <w:tcW w:w="1395" w:type="dxa"/>
            <w:tcBorders>
              <w:bottom w:val="single" w:sz="6" w:space="0" w:color="000000"/>
              <w:right w:val="single" w:sz="6" w:space="0" w:color="000000"/>
            </w:tcBorders>
            <w:vAlign w:val="center"/>
          </w:tcPr>
          <w:p w14:paraId="31536C08" w14:textId="77777777" w:rsidR="007D706A" w:rsidRDefault="007D706A" w:rsidP="00F70508">
            <w:pPr>
              <w:pStyle w:val="ParagraphStyle6"/>
              <w:rPr>
                <w:rStyle w:val="CharacterStyle6"/>
              </w:rPr>
            </w:pPr>
            <w:r>
              <w:rPr>
                <w:rStyle w:val="CharacterStyle6"/>
              </w:rPr>
              <w:t>250.980,00</w:t>
            </w:r>
          </w:p>
        </w:tc>
        <w:tc>
          <w:tcPr>
            <w:tcW w:w="1395" w:type="dxa"/>
            <w:tcBorders>
              <w:bottom w:val="single" w:sz="6" w:space="0" w:color="000000"/>
              <w:right w:val="single" w:sz="6" w:space="0" w:color="000000"/>
            </w:tcBorders>
            <w:vAlign w:val="center"/>
          </w:tcPr>
          <w:p w14:paraId="68642A06" w14:textId="77777777" w:rsidR="007D706A" w:rsidRDefault="007D706A" w:rsidP="00F70508">
            <w:pPr>
              <w:pStyle w:val="ParagraphStyle6"/>
              <w:rPr>
                <w:rStyle w:val="CharacterStyle6"/>
              </w:rPr>
            </w:pPr>
            <w:r>
              <w:rPr>
                <w:rStyle w:val="CharacterStyle6"/>
              </w:rPr>
              <w:t>263.210,00</w:t>
            </w:r>
          </w:p>
        </w:tc>
      </w:tr>
      <w:tr w:rsidR="007D706A" w14:paraId="7AB6C70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B0216AB"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5A2C6C32"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753F9E57"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4AA6A31" w14:textId="77777777" w:rsidR="007D706A" w:rsidRDefault="007D706A" w:rsidP="00F70508">
            <w:pPr>
              <w:pStyle w:val="ParagraphStyle9"/>
              <w:rPr>
                <w:rStyle w:val="CharacterStyle9"/>
              </w:rPr>
            </w:pPr>
            <w:r>
              <w:rPr>
                <w:rStyle w:val="CharacterStyle9"/>
              </w:rPr>
              <w:t>156.490,33</w:t>
            </w:r>
          </w:p>
        </w:tc>
        <w:tc>
          <w:tcPr>
            <w:tcW w:w="1395" w:type="dxa"/>
            <w:tcBorders>
              <w:bottom w:val="single" w:sz="6" w:space="0" w:color="000000"/>
              <w:right w:val="single" w:sz="6" w:space="0" w:color="000000"/>
            </w:tcBorders>
            <w:vAlign w:val="center"/>
          </w:tcPr>
          <w:p w14:paraId="38B89392" w14:textId="77777777" w:rsidR="007D706A" w:rsidRDefault="007D706A" w:rsidP="00F70508">
            <w:pPr>
              <w:pStyle w:val="ParagraphStyle9"/>
              <w:rPr>
                <w:rStyle w:val="CharacterStyle9"/>
              </w:rPr>
            </w:pPr>
            <w:r>
              <w:rPr>
                <w:rStyle w:val="CharacterStyle9"/>
              </w:rPr>
              <w:t>219.000,00</w:t>
            </w:r>
          </w:p>
        </w:tc>
        <w:tc>
          <w:tcPr>
            <w:tcW w:w="1395" w:type="dxa"/>
            <w:tcBorders>
              <w:bottom w:val="single" w:sz="6" w:space="0" w:color="000000"/>
              <w:right w:val="single" w:sz="6" w:space="0" w:color="000000"/>
            </w:tcBorders>
            <w:vAlign w:val="center"/>
          </w:tcPr>
          <w:p w14:paraId="1C02239B" w14:textId="77777777" w:rsidR="007D706A" w:rsidRDefault="007D706A" w:rsidP="00F70508">
            <w:pPr>
              <w:pStyle w:val="ParagraphStyle9"/>
              <w:rPr>
                <w:rStyle w:val="CharacterStyle9"/>
              </w:rPr>
            </w:pPr>
            <w:r>
              <w:rPr>
                <w:rStyle w:val="CharacterStyle9"/>
              </w:rPr>
              <w:t>250.980,00</w:t>
            </w:r>
          </w:p>
        </w:tc>
        <w:tc>
          <w:tcPr>
            <w:tcW w:w="1395" w:type="dxa"/>
            <w:tcBorders>
              <w:bottom w:val="single" w:sz="6" w:space="0" w:color="000000"/>
              <w:right w:val="single" w:sz="6" w:space="0" w:color="000000"/>
            </w:tcBorders>
            <w:vAlign w:val="center"/>
          </w:tcPr>
          <w:p w14:paraId="191CA370" w14:textId="77777777" w:rsidR="007D706A" w:rsidRDefault="007D706A" w:rsidP="00F70508">
            <w:pPr>
              <w:pStyle w:val="ParagraphStyle9"/>
              <w:rPr>
                <w:rStyle w:val="CharacterStyle9"/>
              </w:rPr>
            </w:pPr>
            <w:r>
              <w:rPr>
                <w:rStyle w:val="CharacterStyle9"/>
              </w:rPr>
              <w:t>263.210,00</w:t>
            </w:r>
          </w:p>
        </w:tc>
      </w:tr>
      <w:tr w:rsidR="007D706A" w14:paraId="54F5826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0FDE1A8"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36C6D7F4"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0557710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697D4AA" w14:textId="77777777" w:rsidR="007D706A" w:rsidRDefault="007D706A" w:rsidP="00F70508">
            <w:pPr>
              <w:pStyle w:val="ParagraphStyle12"/>
              <w:rPr>
                <w:rStyle w:val="CharacterStyle12"/>
              </w:rPr>
            </w:pPr>
            <w:r>
              <w:rPr>
                <w:rStyle w:val="CharacterStyle12"/>
              </w:rPr>
              <w:t>156.490,33</w:t>
            </w:r>
          </w:p>
        </w:tc>
        <w:tc>
          <w:tcPr>
            <w:tcW w:w="1395" w:type="dxa"/>
            <w:tcBorders>
              <w:bottom w:val="single" w:sz="6" w:space="0" w:color="000000"/>
              <w:right w:val="single" w:sz="6" w:space="0" w:color="000000"/>
            </w:tcBorders>
            <w:vAlign w:val="center"/>
          </w:tcPr>
          <w:p w14:paraId="09C63D4D" w14:textId="77777777" w:rsidR="007D706A" w:rsidRDefault="007D706A" w:rsidP="00F70508">
            <w:pPr>
              <w:pStyle w:val="ParagraphStyle12"/>
              <w:rPr>
                <w:rStyle w:val="CharacterStyle12"/>
              </w:rPr>
            </w:pPr>
            <w:r>
              <w:rPr>
                <w:rStyle w:val="CharacterStyle12"/>
              </w:rPr>
              <w:t>219.000,00</w:t>
            </w:r>
          </w:p>
        </w:tc>
        <w:tc>
          <w:tcPr>
            <w:tcW w:w="1395" w:type="dxa"/>
            <w:tcBorders>
              <w:bottom w:val="single" w:sz="6" w:space="0" w:color="000000"/>
              <w:right w:val="single" w:sz="6" w:space="0" w:color="000000"/>
            </w:tcBorders>
            <w:vAlign w:val="center"/>
          </w:tcPr>
          <w:p w14:paraId="152A67A6" w14:textId="77777777" w:rsidR="007D706A" w:rsidRDefault="007D706A" w:rsidP="00F70508">
            <w:pPr>
              <w:pStyle w:val="ParagraphStyle12"/>
              <w:rPr>
                <w:rStyle w:val="CharacterStyle12"/>
              </w:rPr>
            </w:pPr>
            <w:r>
              <w:rPr>
                <w:rStyle w:val="CharacterStyle12"/>
              </w:rPr>
              <w:t>250.980,00</w:t>
            </w:r>
          </w:p>
        </w:tc>
        <w:tc>
          <w:tcPr>
            <w:tcW w:w="1395" w:type="dxa"/>
            <w:tcBorders>
              <w:bottom w:val="single" w:sz="6" w:space="0" w:color="000000"/>
              <w:right w:val="single" w:sz="6" w:space="0" w:color="000000"/>
            </w:tcBorders>
            <w:vAlign w:val="center"/>
          </w:tcPr>
          <w:p w14:paraId="16D71962" w14:textId="77777777" w:rsidR="007D706A" w:rsidRDefault="007D706A" w:rsidP="00F70508">
            <w:pPr>
              <w:pStyle w:val="ParagraphStyle12"/>
              <w:rPr>
                <w:rStyle w:val="CharacterStyle12"/>
              </w:rPr>
            </w:pPr>
            <w:r>
              <w:rPr>
                <w:rStyle w:val="CharacterStyle12"/>
              </w:rPr>
              <w:t>263.210,00</w:t>
            </w:r>
          </w:p>
        </w:tc>
      </w:tr>
      <w:tr w:rsidR="007D706A" w14:paraId="4A1064C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9991717" w14:textId="77777777" w:rsidR="007D706A" w:rsidRDefault="007D706A" w:rsidP="00F70508">
            <w:pPr>
              <w:pStyle w:val="ParagraphStyle10"/>
              <w:rPr>
                <w:rStyle w:val="CharacterStyle10"/>
              </w:rPr>
            </w:pPr>
            <w:r>
              <w:rPr>
                <w:rStyle w:val="CharacterStyle10"/>
              </w:rPr>
              <w:t>31</w:t>
            </w:r>
          </w:p>
        </w:tc>
        <w:tc>
          <w:tcPr>
            <w:tcW w:w="4995" w:type="dxa"/>
            <w:tcBorders>
              <w:bottom w:val="single" w:sz="6" w:space="0" w:color="000000"/>
              <w:right w:val="single" w:sz="6" w:space="0" w:color="000000"/>
            </w:tcBorders>
            <w:vAlign w:val="center"/>
          </w:tcPr>
          <w:p w14:paraId="3117AD7D" w14:textId="77777777" w:rsidR="007D706A" w:rsidRDefault="007D706A" w:rsidP="00F70508">
            <w:pPr>
              <w:pStyle w:val="ParagraphStyle11"/>
              <w:rPr>
                <w:rStyle w:val="CharacterStyle11"/>
              </w:rPr>
            </w:pPr>
            <w:r>
              <w:rPr>
                <w:rStyle w:val="CharacterStyle11"/>
              </w:rPr>
              <w:t>Rashodi za zaposlene</w:t>
            </w:r>
          </w:p>
        </w:tc>
        <w:tc>
          <w:tcPr>
            <w:tcW w:w="1395" w:type="dxa"/>
            <w:tcBorders>
              <w:bottom w:val="single" w:sz="6" w:space="0" w:color="000000"/>
              <w:right w:val="single" w:sz="6" w:space="0" w:color="000000"/>
            </w:tcBorders>
            <w:vAlign w:val="center"/>
          </w:tcPr>
          <w:p w14:paraId="74676FF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F3F7BF3" w14:textId="77777777" w:rsidR="007D706A" w:rsidRDefault="007D706A" w:rsidP="00F70508">
            <w:pPr>
              <w:pStyle w:val="ParagraphStyle12"/>
              <w:rPr>
                <w:rStyle w:val="CharacterStyle12"/>
              </w:rPr>
            </w:pPr>
            <w:r>
              <w:rPr>
                <w:rStyle w:val="CharacterStyle12"/>
              </w:rPr>
              <w:t>98.000,33</w:t>
            </w:r>
          </w:p>
        </w:tc>
        <w:tc>
          <w:tcPr>
            <w:tcW w:w="1395" w:type="dxa"/>
            <w:tcBorders>
              <w:bottom w:val="single" w:sz="6" w:space="0" w:color="000000"/>
              <w:right w:val="single" w:sz="6" w:space="0" w:color="000000"/>
            </w:tcBorders>
            <w:vAlign w:val="center"/>
          </w:tcPr>
          <w:p w14:paraId="0182E0B0" w14:textId="77777777" w:rsidR="007D706A" w:rsidRDefault="007D706A" w:rsidP="00F70508">
            <w:pPr>
              <w:pStyle w:val="ParagraphStyle12"/>
              <w:rPr>
                <w:rStyle w:val="CharacterStyle12"/>
              </w:rPr>
            </w:pPr>
            <w:r>
              <w:rPr>
                <w:rStyle w:val="CharacterStyle12"/>
              </w:rPr>
              <w:t>137.400,00</w:t>
            </w:r>
          </w:p>
        </w:tc>
        <w:tc>
          <w:tcPr>
            <w:tcW w:w="1395" w:type="dxa"/>
            <w:tcBorders>
              <w:bottom w:val="single" w:sz="6" w:space="0" w:color="000000"/>
              <w:right w:val="single" w:sz="6" w:space="0" w:color="000000"/>
            </w:tcBorders>
            <w:vAlign w:val="center"/>
          </w:tcPr>
          <w:p w14:paraId="14F27763" w14:textId="77777777" w:rsidR="007D706A" w:rsidRDefault="007D706A" w:rsidP="00F70508">
            <w:pPr>
              <w:pStyle w:val="ParagraphStyle12"/>
              <w:rPr>
                <w:rStyle w:val="CharacterStyle12"/>
              </w:rPr>
            </w:pPr>
            <w:r>
              <w:rPr>
                <w:rStyle w:val="CharacterStyle12"/>
              </w:rPr>
              <w:t>154.400,00</w:t>
            </w:r>
          </w:p>
        </w:tc>
        <w:tc>
          <w:tcPr>
            <w:tcW w:w="1395" w:type="dxa"/>
            <w:tcBorders>
              <w:bottom w:val="single" w:sz="6" w:space="0" w:color="000000"/>
              <w:right w:val="single" w:sz="6" w:space="0" w:color="000000"/>
            </w:tcBorders>
            <w:vAlign w:val="center"/>
          </w:tcPr>
          <w:p w14:paraId="34DAD454" w14:textId="77777777" w:rsidR="007D706A" w:rsidRDefault="007D706A" w:rsidP="00F70508">
            <w:pPr>
              <w:pStyle w:val="ParagraphStyle12"/>
              <w:rPr>
                <w:rStyle w:val="CharacterStyle12"/>
              </w:rPr>
            </w:pPr>
            <w:r>
              <w:rPr>
                <w:rStyle w:val="CharacterStyle12"/>
              </w:rPr>
              <w:t>162.100,00</w:t>
            </w:r>
          </w:p>
        </w:tc>
      </w:tr>
      <w:tr w:rsidR="007D706A" w14:paraId="6C3E5C7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1F82390"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5779430C"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620E076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F3E4D9C" w14:textId="77777777" w:rsidR="007D706A" w:rsidRDefault="007D706A" w:rsidP="00F70508">
            <w:pPr>
              <w:pStyle w:val="ParagraphStyle12"/>
              <w:rPr>
                <w:rStyle w:val="CharacterStyle12"/>
              </w:rPr>
            </w:pPr>
            <w:r>
              <w:rPr>
                <w:rStyle w:val="CharacterStyle12"/>
              </w:rPr>
              <w:t>57.940,00</w:t>
            </w:r>
          </w:p>
        </w:tc>
        <w:tc>
          <w:tcPr>
            <w:tcW w:w="1395" w:type="dxa"/>
            <w:tcBorders>
              <w:bottom w:val="single" w:sz="6" w:space="0" w:color="000000"/>
              <w:right w:val="single" w:sz="6" w:space="0" w:color="000000"/>
            </w:tcBorders>
            <w:vAlign w:val="center"/>
          </w:tcPr>
          <w:p w14:paraId="2434420D" w14:textId="77777777" w:rsidR="007D706A" w:rsidRDefault="007D706A" w:rsidP="00F70508">
            <w:pPr>
              <w:pStyle w:val="ParagraphStyle12"/>
              <w:rPr>
                <w:rStyle w:val="CharacterStyle12"/>
              </w:rPr>
            </w:pPr>
            <w:r>
              <w:rPr>
                <w:rStyle w:val="CharacterStyle12"/>
              </w:rPr>
              <w:t>80.900,00</w:t>
            </w:r>
          </w:p>
        </w:tc>
        <w:tc>
          <w:tcPr>
            <w:tcW w:w="1395" w:type="dxa"/>
            <w:tcBorders>
              <w:bottom w:val="single" w:sz="6" w:space="0" w:color="000000"/>
              <w:right w:val="single" w:sz="6" w:space="0" w:color="000000"/>
            </w:tcBorders>
            <w:vAlign w:val="center"/>
          </w:tcPr>
          <w:p w14:paraId="03D6A12D" w14:textId="77777777" w:rsidR="007D706A" w:rsidRDefault="007D706A" w:rsidP="00F70508">
            <w:pPr>
              <w:pStyle w:val="ParagraphStyle12"/>
              <w:rPr>
                <w:rStyle w:val="CharacterStyle12"/>
              </w:rPr>
            </w:pPr>
            <w:r>
              <w:rPr>
                <w:rStyle w:val="CharacterStyle12"/>
              </w:rPr>
              <w:t>95.780,00</w:t>
            </w:r>
          </w:p>
        </w:tc>
        <w:tc>
          <w:tcPr>
            <w:tcW w:w="1395" w:type="dxa"/>
            <w:tcBorders>
              <w:bottom w:val="single" w:sz="6" w:space="0" w:color="000000"/>
              <w:right w:val="single" w:sz="6" w:space="0" w:color="000000"/>
            </w:tcBorders>
            <w:vAlign w:val="center"/>
          </w:tcPr>
          <w:p w14:paraId="5BF1F484" w14:textId="77777777" w:rsidR="007D706A" w:rsidRDefault="007D706A" w:rsidP="00F70508">
            <w:pPr>
              <w:pStyle w:val="ParagraphStyle12"/>
              <w:rPr>
                <w:rStyle w:val="CharacterStyle12"/>
              </w:rPr>
            </w:pPr>
            <w:r>
              <w:rPr>
                <w:rStyle w:val="CharacterStyle12"/>
              </w:rPr>
              <w:t>100.260,00</w:t>
            </w:r>
          </w:p>
        </w:tc>
      </w:tr>
      <w:tr w:rsidR="007D706A" w14:paraId="124361A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F6F473C" w14:textId="77777777" w:rsidR="007D706A" w:rsidRDefault="007D706A" w:rsidP="00F70508">
            <w:pPr>
              <w:pStyle w:val="ParagraphStyle10"/>
              <w:rPr>
                <w:rStyle w:val="CharacterStyle10"/>
              </w:rPr>
            </w:pPr>
            <w:r>
              <w:rPr>
                <w:rStyle w:val="CharacterStyle10"/>
              </w:rPr>
              <w:t>34</w:t>
            </w:r>
          </w:p>
        </w:tc>
        <w:tc>
          <w:tcPr>
            <w:tcW w:w="4995" w:type="dxa"/>
            <w:tcBorders>
              <w:bottom w:val="single" w:sz="6" w:space="0" w:color="000000"/>
              <w:right w:val="single" w:sz="6" w:space="0" w:color="000000"/>
            </w:tcBorders>
            <w:vAlign w:val="center"/>
          </w:tcPr>
          <w:p w14:paraId="5B0C8D35" w14:textId="77777777" w:rsidR="007D706A" w:rsidRDefault="007D706A" w:rsidP="00F70508">
            <w:pPr>
              <w:pStyle w:val="ParagraphStyle11"/>
              <w:rPr>
                <w:rStyle w:val="CharacterStyle11"/>
              </w:rPr>
            </w:pPr>
            <w:r>
              <w:rPr>
                <w:rStyle w:val="CharacterStyle11"/>
              </w:rPr>
              <w:t>Financijski rashodi</w:t>
            </w:r>
          </w:p>
        </w:tc>
        <w:tc>
          <w:tcPr>
            <w:tcW w:w="1395" w:type="dxa"/>
            <w:tcBorders>
              <w:bottom w:val="single" w:sz="6" w:space="0" w:color="000000"/>
              <w:right w:val="single" w:sz="6" w:space="0" w:color="000000"/>
            </w:tcBorders>
            <w:vAlign w:val="center"/>
          </w:tcPr>
          <w:p w14:paraId="0B91FDE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AC5491F" w14:textId="77777777" w:rsidR="007D706A" w:rsidRDefault="007D706A" w:rsidP="00F70508">
            <w:pPr>
              <w:pStyle w:val="ParagraphStyle12"/>
              <w:rPr>
                <w:rStyle w:val="CharacterStyle12"/>
              </w:rPr>
            </w:pPr>
            <w:r>
              <w:rPr>
                <w:rStyle w:val="CharacterStyle12"/>
              </w:rPr>
              <w:t>550,00</w:t>
            </w:r>
          </w:p>
        </w:tc>
        <w:tc>
          <w:tcPr>
            <w:tcW w:w="1395" w:type="dxa"/>
            <w:tcBorders>
              <w:bottom w:val="single" w:sz="6" w:space="0" w:color="000000"/>
              <w:right w:val="single" w:sz="6" w:space="0" w:color="000000"/>
            </w:tcBorders>
            <w:vAlign w:val="center"/>
          </w:tcPr>
          <w:p w14:paraId="7D9326CA" w14:textId="77777777" w:rsidR="007D706A" w:rsidRDefault="007D706A" w:rsidP="00F70508">
            <w:pPr>
              <w:pStyle w:val="ParagraphStyle12"/>
              <w:rPr>
                <w:rStyle w:val="CharacterStyle12"/>
              </w:rPr>
            </w:pPr>
            <w:r>
              <w:rPr>
                <w:rStyle w:val="CharacterStyle12"/>
              </w:rPr>
              <w:t>700,00</w:t>
            </w:r>
          </w:p>
        </w:tc>
        <w:tc>
          <w:tcPr>
            <w:tcW w:w="1395" w:type="dxa"/>
            <w:tcBorders>
              <w:bottom w:val="single" w:sz="6" w:space="0" w:color="000000"/>
              <w:right w:val="single" w:sz="6" w:space="0" w:color="000000"/>
            </w:tcBorders>
            <w:vAlign w:val="center"/>
          </w:tcPr>
          <w:p w14:paraId="11440F64" w14:textId="77777777" w:rsidR="007D706A" w:rsidRDefault="007D706A" w:rsidP="00F70508">
            <w:pPr>
              <w:pStyle w:val="ParagraphStyle12"/>
              <w:rPr>
                <w:rStyle w:val="CharacterStyle12"/>
              </w:rPr>
            </w:pPr>
            <w:r>
              <w:rPr>
                <w:rStyle w:val="CharacterStyle12"/>
              </w:rPr>
              <w:t>800,00</w:t>
            </w:r>
          </w:p>
        </w:tc>
        <w:tc>
          <w:tcPr>
            <w:tcW w:w="1395" w:type="dxa"/>
            <w:tcBorders>
              <w:bottom w:val="single" w:sz="6" w:space="0" w:color="000000"/>
              <w:right w:val="single" w:sz="6" w:space="0" w:color="000000"/>
            </w:tcBorders>
            <w:vAlign w:val="center"/>
          </w:tcPr>
          <w:p w14:paraId="7B0F3A7A" w14:textId="77777777" w:rsidR="007D706A" w:rsidRDefault="007D706A" w:rsidP="00F70508">
            <w:pPr>
              <w:pStyle w:val="ParagraphStyle12"/>
              <w:rPr>
                <w:rStyle w:val="CharacterStyle12"/>
              </w:rPr>
            </w:pPr>
            <w:r>
              <w:rPr>
                <w:rStyle w:val="CharacterStyle12"/>
              </w:rPr>
              <w:t>850,00</w:t>
            </w:r>
          </w:p>
        </w:tc>
      </w:tr>
      <w:tr w:rsidR="007D706A" w14:paraId="18973AB6"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E05AC37" w14:textId="77777777" w:rsidR="007D706A" w:rsidRDefault="007D706A" w:rsidP="00F70508">
            <w:pPr>
              <w:pStyle w:val="ParagraphStyle7"/>
              <w:rPr>
                <w:rStyle w:val="CharacterStyle7"/>
              </w:rPr>
            </w:pPr>
            <w:r>
              <w:rPr>
                <w:rStyle w:val="CharacterStyle7"/>
              </w:rPr>
              <w:t>Izvor financiranja 41</w:t>
            </w:r>
          </w:p>
        </w:tc>
        <w:tc>
          <w:tcPr>
            <w:tcW w:w="4995" w:type="dxa"/>
            <w:tcBorders>
              <w:bottom w:val="single" w:sz="6" w:space="0" w:color="000000"/>
              <w:right w:val="single" w:sz="6" w:space="0" w:color="000000"/>
            </w:tcBorders>
            <w:vAlign w:val="center"/>
          </w:tcPr>
          <w:p w14:paraId="7AAC9970" w14:textId="77777777" w:rsidR="007D706A" w:rsidRDefault="007D706A" w:rsidP="00F70508">
            <w:pPr>
              <w:pStyle w:val="ParagraphStyle8"/>
              <w:rPr>
                <w:rStyle w:val="CharacterStyle8"/>
              </w:rPr>
            </w:pPr>
            <w:r>
              <w:rPr>
                <w:rStyle w:val="CharacterStyle8"/>
              </w:rPr>
              <w:t>Prihodi za posebne namjene</w:t>
            </w:r>
          </w:p>
        </w:tc>
        <w:tc>
          <w:tcPr>
            <w:tcW w:w="1395" w:type="dxa"/>
            <w:tcBorders>
              <w:bottom w:val="single" w:sz="6" w:space="0" w:color="000000"/>
              <w:right w:val="single" w:sz="6" w:space="0" w:color="000000"/>
            </w:tcBorders>
            <w:vAlign w:val="center"/>
          </w:tcPr>
          <w:p w14:paraId="4A874743"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2C5ACA2" w14:textId="77777777" w:rsidR="007D706A" w:rsidRDefault="007D706A" w:rsidP="00F70508">
            <w:pPr>
              <w:pStyle w:val="ParagraphStyle9"/>
              <w:rPr>
                <w:rStyle w:val="CharacterStyle9"/>
              </w:rPr>
            </w:pPr>
            <w:r>
              <w:rPr>
                <w:rStyle w:val="CharacterStyle9"/>
              </w:rPr>
              <w:t>2.000,00</w:t>
            </w:r>
          </w:p>
        </w:tc>
        <w:tc>
          <w:tcPr>
            <w:tcW w:w="1395" w:type="dxa"/>
            <w:tcBorders>
              <w:bottom w:val="single" w:sz="6" w:space="0" w:color="000000"/>
              <w:right w:val="single" w:sz="6" w:space="0" w:color="000000"/>
            </w:tcBorders>
            <w:vAlign w:val="center"/>
          </w:tcPr>
          <w:p w14:paraId="347C8DC8"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957FDB6"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FACF09B" w14:textId="77777777" w:rsidR="007D706A" w:rsidRDefault="007D706A" w:rsidP="00F70508">
            <w:pPr>
              <w:pStyle w:val="ParagraphStyle9"/>
              <w:rPr>
                <w:rStyle w:val="CharacterStyle9"/>
              </w:rPr>
            </w:pPr>
            <w:r>
              <w:rPr>
                <w:rStyle w:val="CharacterStyle9"/>
              </w:rPr>
              <w:t>0,00</w:t>
            </w:r>
          </w:p>
        </w:tc>
      </w:tr>
      <w:tr w:rsidR="007D706A" w14:paraId="0AD9227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CB407C5"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219AFE7D"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5221C6D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4D71B18" w14:textId="77777777" w:rsidR="007D706A" w:rsidRDefault="007D706A" w:rsidP="00F70508">
            <w:pPr>
              <w:pStyle w:val="ParagraphStyle12"/>
              <w:rPr>
                <w:rStyle w:val="CharacterStyle12"/>
              </w:rPr>
            </w:pPr>
            <w:r>
              <w:rPr>
                <w:rStyle w:val="CharacterStyle12"/>
              </w:rPr>
              <w:t>2.000,00</w:t>
            </w:r>
          </w:p>
        </w:tc>
        <w:tc>
          <w:tcPr>
            <w:tcW w:w="1395" w:type="dxa"/>
            <w:tcBorders>
              <w:bottom w:val="single" w:sz="6" w:space="0" w:color="000000"/>
              <w:right w:val="single" w:sz="6" w:space="0" w:color="000000"/>
            </w:tcBorders>
            <w:vAlign w:val="center"/>
          </w:tcPr>
          <w:p w14:paraId="7B376FD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8CB4CC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A4D1987" w14:textId="77777777" w:rsidR="007D706A" w:rsidRDefault="007D706A" w:rsidP="00F70508">
            <w:pPr>
              <w:pStyle w:val="ParagraphStyle12"/>
              <w:rPr>
                <w:rStyle w:val="CharacterStyle12"/>
              </w:rPr>
            </w:pPr>
            <w:r>
              <w:rPr>
                <w:rStyle w:val="CharacterStyle12"/>
              </w:rPr>
              <w:t>0,00</w:t>
            </w:r>
          </w:p>
        </w:tc>
      </w:tr>
      <w:tr w:rsidR="007D706A" w14:paraId="7D99EDA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70C0194"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32A55625"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0BE698F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88624AD" w14:textId="77777777" w:rsidR="007D706A" w:rsidRDefault="007D706A" w:rsidP="00F70508">
            <w:pPr>
              <w:pStyle w:val="ParagraphStyle12"/>
              <w:rPr>
                <w:rStyle w:val="CharacterStyle12"/>
              </w:rPr>
            </w:pPr>
            <w:r>
              <w:rPr>
                <w:rStyle w:val="CharacterStyle12"/>
              </w:rPr>
              <w:t>2.000,00</w:t>
            </w:r>
          </w:p>
        </w:tc>
        <w:tc>
          <w:tcPr>
            <w:tcW w:w="1395" w:type="dxa"/>
            <w:tcBorders>
              <w:bottom w:val="single" w:sz="6" w:space="0" w:color="000000"/>
              <w:right w:val="single" w:sz="6" w:space="0" w:color="000000"/>
            </w:tcBorders>
            <w:vAlign w:val="center"/>
          </w:tcPr>
          <w:p w14:paraId="3D39D37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E73700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D9D7B8E" w14:textId="77777777" w:rsidR="007D706A" w:rsidRDefault="007D706A" w:rsidP="00F70508">
            <w:pPr>
              <w:pStyle w:val="ParagraphStyle12"/>
              <w:rPr>
                <w:rStyle w:val="CharacterStyle12"/>
              </w:rPr>
            </w:pPr>
            <w:r>
              <w:rPr>
                <w:rStyle w:val="CharacterStyle12"/>
              </w:rPr>
              <w:t>0,00</w:t>
            </w:r>
          </w:p>
        </w:tc>
      </w:tr>
      <w:tr w:rsidR="007D706A" w14:paraId="7A0DE62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53EC4D6" w14:textId="77777777" w:rsidR="007D706A" w:rsidRDefault="007D706A" w:rsidP="00F70508">
            <w:pPr>
              <w:pStyle w:val="ParagraphStyle4"/>
              <w:rPr>
                <w:rStyle w:val="CharacterStyle4"/>
              </w:rPr>
            </w:pPr>
            <w:r>
              <w:rPr>
                <w:rStyle w:val="CharacterStyle4"/>
              </w:rPr>
              <w:t>Aktivnost A103718</w:t>
            </w:r>
          </w:p>
        </w:tc>
        <w:tc>
          <w:tcPr>
            <w:tcW w:w="4995" w:type="dxa"/>
            <w:tcBorders>
              <w:bottom w:val="single" w:sz="6" w:space="0" w:color="000000"/>
              <w:right w:val="single" w:sz="6" w:space="0" w:color="000000"/>
            </w:tcBorders>
            <w:vAlign w:val="center"/>
          </w:tcPr>
          <w:p w14:paraId="2411FCD1" w14:textId="77777777" w:rsidR="007D706A" w:rsidRDefault="007D706A" w:rsidP="00F70508">
            <w:pPr>
              <w:pStyle w:val="ParagraphStyle5"/>
              <w:rPr>
                <w:rStyle w:val="CharacterStyle5"/>
              </w:rPr>
            </w:pPr>
            <w:r>
              <w:rPr>
                <w:rStyle w:val="CharacterStyle5"/>
              </w:rPr>
              <w:t>POSEBNI PROGRAMI USTANOVE</w:t>
            </w:r>
          </w:p>
        </w:tc>
        <w:tc>
          <w:tcPr>
            <w:tcW w:w="1395" w:type="dxa"/>
            <w:tcBorders>
              <w:bottom w:val="single" w:sz="6" w:space="0" w:color="000000"/>
              <w:right w:val="single" w:sz="6" w:space="0" w:color="000000"/>
            </w:tcBorders>
            <w:vAlign w:val="center"/>
          </w:tcPr>
          <w:p w14:paraId="611CA4CE"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22EB6C99" w14:textId="77777777" w:rsidR="007D706A" w:rsidRDefault="007D706A" w:rsidP="00F70508">
            <w:pPr>
              <w:pStyle w:val="ParagraphStyle6"/>
              <w:rPr>
                <w:rStyle w:val="CharacterStyle6"/>
              </w:rPr>
            </w:pPr>
            <w:r>
              <w:rPr>
                <w:rStyle w:val="CharacterStyle6"/>
              </w:rPr>
              <w:t>106.570,50</w:t>
            </w:r>
          </w:p>
        </w:tc>
        <w:tc>
          <w:tcPr>
            <w:tcW w:w="1395" w:type="dxa"/>
            <w:tcBorders>
              <w:bottom w:val="single" w:sz="6" w:space="0" w:color="000000"/>
              <w:right w:val="single" w:sz="6" w:space="0" w:color="000000"/>
            </w:tcBorders>
            <w:vAlign w:val="center"/>
          </w:tcPr>
          <w:p w14:paraId="3CB1E36D" w14:textId="77777777" w:rsidR="007D706A" w:rsidRDefault="007D706A" w:rsidP="00F70508">
            <w:pPr>
              <w:pStyle w:val="ParagraphStyle6"/>
              <w:rPr>
                <w:rStyle w:val="CharacterStyle6"/>
              </w:rPr>
            </w:pPr>
            <w:r>
              <w:rPr>
                <w:rStyle w:val="CharacterStyle6"/>
              </w:rPr>
              <w:t>126.500,00</w:t>
            </w:r>
          </w:p>
        </w:tc>
        <w:tc>
          <w:tcPr>
            <w:tcW w:w="1395" w:type="dxa"/>
            <w:tcBorders>
              <w:bottom w:val="single" w:sz="6" w:space="0" w:color="000000"/>
              <w:right w:val="single" w:sz="6" w:space="0" w:color="000000"/>
            </w:tcBorders>
            <w:vAlign w:val="center"/>
          </w:tcPr>
          <w:p w14:paraId="0F6EAF22" w14:textId="77777777" w:rsidR="007D706A" w:rsidRDefault="007D706A" w:rsidP="00F70508">
            <w:pPr>
              <w:pStyle w:val="ParagraphStyle6"/>
              <w:rPr>
                <w:rStyle w:val="CharacterStyle6"/>
              </w:rPr>
            </w:pPr>
            <w:r>
              <w:rPr>
                <w:rStyle w:val="CharacterStyle6"/>
              </w:rPr>
              <w:t>152.500,00</w:t>
            </w:r>
          </w:p>
        </w:tc>
        <w:tc>
          <w:tcPr>
            <w:tcW w:w="1395" w:type="dxa"/>
            <w:tcBorders>
              <w:bottom w:val="single" w:sz="6" w:space="0" w:color="000000"/>
              <w:right w:val="single" w:sz="6" w:space="0" w:color="000000"/>
            </w:tcBorders>
            <w:vAlign w:val="center"/>
          </w:tcPr>
          <w:p w14:paraId="2441595C" w14:textId="77777777" w:rsidR="007D706A" w:rsidRDefault="007D706A" w:rsidP="00F70508">
            <w:pPr>
              <w:pStyle w:val="ParagraphStyle6"/>
              <w:rPr>
                <w:rStyle w:val="CharacterStyle6"/>
              </w:rPr>
            </w:pPr>
            <w:r>
              <w:rPr>
                <w:rStyle w:val="CharacterStyle6"/>
              </w:rPr>
              <w:t>152.500,00</w:t>
            </w:r>
          </w:p>
        </w:tc>
      </w:tr>
      <w:tr w:rsidR="007D706A" w14:paraId="51AE398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2425350"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4582D6F0"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477C9BD7"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273721B" w14:textId="77777777" w:rsidR="007D706A" w:rsidRDefault="007D706A" w:rsidP="00F70508">
            <w:pPr>
              <w:pStyle w:val="ParagraphStyle9"/>
              <w:rPr>
                <w:rStyle w:val="CharacterStyle9"/>
              </w:rPr>
            </w:pPr>
            <w:r>
              <w:rPr>
                <w:rStyle w:val="CharacterStyle9"/>
              </w:rPr>
              <w:t>66.250,00</w:t>
            </w:r>
          </w:p>
        </w:tc>
        <w:tc>
          <w:tcPr>
            <w:tcW w:w="1395" w:type="dxa"/>
            <w:tcBorders>
              <w:bottom w:val="single" w:sz="6" w:space="0" w:color="000000"/>
              <w:right w:val="single" w:sz="6" w:space="0" w:color="000000"/>
            </w:tcBorders>
            <w:vAlign w:val="center"/>
          </w:tcPr>
          <w:p w14:paraId="71ED37F8"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4890DD8"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8E4EEEA" w14:textId="77777777" w:rsidR="007D706A" w:rsidRDefault="007D706A" w:rsidP="00F70508">
            <w:pPr>
              <w:pStyle w:val="ParagraphStyle9"/>
              <w:rPr>
                <w:rStyle w:val="CharacterStyle9"/>
              </w:rPr>
            </w:pPr>
            <w:r>
              <w:rPr>
                <w:rStyle w:val="CharacterStyle9"/>
              </w:rPr>
              <w:t>0,00</w:t>
            </w:r>
          </w:p>
        </w:tc>
      </w:tr>
      <w:tr w:rsidR="007D706A" w14:paraId="6A5A810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3E11A67"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0DBEA3A8"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65992D6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06F0223" w14:textId="77777777" w:rsidR="007D706A" w:rsidRDefault="007D706A" w:rsidP="00F70508">
            <w:pPr>
              <w:pStyle w:val="ParagraphStyle12"/>
              <w:rPr>
                <w:rStyle w:val="CharacterStyle12"/>
              </w:rPr>
            </w:pPr>
            <w:r>
              <w:rPr>
                <w:rStyle w:val="CharacterStyle12"/>
              </w:rPr>
              <w:t>66.250,00</w:t>
            </w:r>
          </w:p>
        </w:tc>
        <w:tc>
          <w:tcPr>
            <w:tcW w:w="1395" w:type="dxa"/>
            <w:tcBorders>
              <w:bottom w:val="single" w:sz="6" w:space="0" w:color="000000"/>
              <w:right w:val="single" w:sz="6" w:space="0" w:color="000000"/>
            </w:tcBorders>
            <w:vAlign w:val="center"/>
          </w:tcPr>
          <w:p w14:paraId="7DB1C40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7B9BC5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B7B7594" w14:textId="77777777" w:rsidR="007D706A" w:rsidRDefault="007D706A" w:rsidP="00F70508">
            <w:pPr>
              <w:pStyle w:val="ParagraphStyle12"/>
              <w:rPr>
                <w:rStyle w:val="CharacterStyle12"/>
              </w:rPr>
            </w:pPr>
            <w:r>
              <w:rPr>
                <w:rStyle w:val="CharacterStyle12"/>
              </w:rPr>
              <w:t>0,00</w:t>
            </w:r>
          </w:p>
        </w:tc>
      </w:tr>
      <w:tr w:rsidR="007D706A" w14:paraId="5A79CC5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D15210B"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1EA1769E"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33505A2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C9F39F9" w14:textId="77777777" w:rsidR="007D706A" w:rsidRDefault="007D706A" w:rsidP="00F70508">
            <w:pPr>
              <w:pStyle w:val="ParagraphStyle12"/>
              <w:rPr>
                <w:rStyle w:val="CharacterStyle12"/>
              </w:rPr>
            </w:pPr>
            <w:r>
              <w:rPr>
                <w:rStyle w:val="CharacterStyle12"/>
              </w:rPr>
              <w:t>66.250,00</w:t>
            </w:r>
          </w:p>
        </w:tc>
        <w:tc>
          <w:tcPr>
            <w:tcW w:w="1395" w:type="dxa"/>
            <w:tcBorders>
              <w:bottom w:val="single" w:sz="6" w:space="0" w:color="000000"/>
              <w:right w:val="single" w:sz="6" w:space="0" w:color="000000"/>
            </w:tcBorders>
            <w:vAlign w:val="center"/>
          </w:tcPr>
          <w:p w14:paraId="737FDAF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AFF7FC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6D5FDE4" w14:textId="77777777" w:rsidR="007D706A" w:rsidRDefault="007D706A" w:rsidP="00F70508">
            <w:pPr>
              <w:pStyle w:val="ParagraphStyle12"/>
              <w:rPr>
                <w:rStyle w:val="CharacterStyle12"/>
              </w:rPr>
            </w:pPr>
            <w:r>
              <w:rPr>
                <w:rStyle w:val="CharacterStyle12"/>
              </w:rPr>
              <w:t>0,00</w:t>
            </w:r>
          </w:p>
        </w:tc>
      </w:tr>
      <w:tr w:rsidR="007D706A" w14:paraId="313910E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DA06459" w14:textId="77777777" w:rsidR="007D706A" w:rsidRDefault="007D706A" w:rsidP="00F70508">
            <w:pPr>
              <w:pStyle w:val="ParagraphStyle7"/>
              <w:rPr>
                <w:rStyle w:val="CharacterStyle7"/>
              </w:rPr>
            </w:pPr>
            <w:r>
              <w:rPr>
                <w:rStyle w:val="CharacterStyle7"/>
              </w:rPr>
              <w:t>Izvor financiranja 31</w:t>
            </w:r>
          </w:p>
        </w:tc>
        <w:tc>
          <w:tcPr>
            <w:tcW w:w="4995" w:type="dxa"/>
            <w:tcBorders>
              <w:bottom w:val="single" w:sz="6" w:space="0" w:color="000000"/>
              <w:right w:val="single" w:sz="6" w:space="0" w:color="000000"/>
            </w:tcBorders>
            <w:vAlign w:val="center"/>
          </w:tcPr>
          <w:p w14:paraId="5D3655CA" w14:textId="77777777" w:rsidR="007D706A" w:rsidRDefault="007D706A" w:rsidP="00F70508">
            <w:pPr>
              <w:pStyle w:val="ParagraphStyle8"/>
              <w:rPr>
                <w:rStyle w:val="CharacterStyle8"/>
              </w:rPr>
            </w:pPr>
            <w:r>
              <w:rPr>
                <w:rStyle w:val="CharacterStyle8"/>
              </w:rPr>
              <w:t>Vlastiti prihodi</w:t>
            </w:r>
          </w:p>
        </w:tc>
        <w:tc>
          <w:tcPr>
            <w:tcW w:w="1395" w:type="dxa"/>
            <w:tcBorders>
              <w:bottom w:val="single" w:sz="6" w:space="0" w:color="000000"/>
              <w:right w:val="single" w:sz="6" w:space="0" w:color="000000"/>
            </w:tcBorders>
            <w:vAlign w:val="center"/>
          </w:tcPr>
          <w:p w14:paraId="08860DB6"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9C8C51A" w14:textId="77777777" w:rsidR="007D706A" w:rsidRDefault="007D706A" w:rsidP="00F70508">
            <w:pPr>
              <w:pStyle w:val="ParagraphStyle9"/>
              <w:rPr>
                <w:rStyle w:val="CharacterStyle9"/>
              </w:rPr>
            </w:pPr>
            <w:r>
              <w:rPr>
                <w:rStyle w:val="CharacterStyle9"/>
              </w:rPr>
              <w:t>21.000,00</w:t>
            </w:r>
          </w:p>
        </w:tc>
        <w:tc>
          <w:tcPr>
            <w:tcW w:w="1395" w:type="dxa"/>
            <w:tcBorders>
              <w:bottom w:val="single" w:sz="6" w:space="0" w:color="000000"/>
              <w:right w:val="single" w:sz="6" w:space="0" w:color="000000"/>
            </w:tcBorders>
            <w:vAlign w:val="center"/>
          </w:tcPr>
          <w:p w14:paraId="463E42F2" w14:textId="77777777" w:rsidR="007D706A" w:rsidRDefault="007D706A" w:rsidP="00F70508">
            <w:pPr>
              <w:pStyle w:val="ParagraphStyle9"/>
              <w:rPr>
                <w:rStyle w:val="CharacterStyle9"/>
              </w:rPr>
            </w:pPr>
            <w:r>
              <w:rPr>
                <w:rStyle w:val="CharacterStyle9"/>
              </w:rPr>
              <w:t>18.000,00</w:t>
            </w:r>
          </w:p>
        </w:tc>
        <w:tc>
          <w:tcPr>
            <w:tcW w:w="1395" w:type="dxa"/>
            <w:tcBorders>
              <w:bottom w:val="single" w:sz="6" w:space="0" w:color="000000"/>
              <w:right w:val="single" w:sz="6" w:space="0" w:color="000000"/>
            </w:tcBorders>
            <w:vAlign w:val="center"/>
          </w:tcPr>
          <w:p w14:paraId="5D9B2936" w14:textId="77777777" w:rsidR="007D706A" w:rsidRDefault="007D706A" w:rsidP="00F70508">
            <w:pPr>
              <w:pStyle w:val="ParagraphStyle9"/>
              <w:rPr>
                <w:rStyle w:val="CharacterStyle9"/>
              </w:rPr>
            </w:pPr>
            <w:r>
              <w:rPr>
                <w:rStyle w:val="CharacterStyle9"/>
              </w:rPr>
              <w:t>18.000,00</w:t>
            </w:r>
          </w:p>
        </w:tc>
        <w:tc>
          <w:tcPr>
            <w:tcW w:w="1395" w:type="dxa"/>
            <w:tcBorders>
              <w:bottom w:val="single" w:sz="6" w:space="0" w:color="000000"/>
              <w:right w:val="single" w:sz="6" w:space="0" w:color="000000"/>
            </w:tcBorders>
            <w:vAlign w:val="center"/>
          </w:tcPr>
          <w:p w14:paraId="2488DAA7" w14:textId="77777777" w:rsidR="007D706A" w:rsidRDefault="007D706A" w:rsidP="00F70508">
            <w:pPr>
              <w:pStyle w:val="ParagraphStyle9"/>
              <w:rPr>
                <w:rStyle w:val="CharacterStyle9"/>
              </w:rPr>
            </w:pPr>
            <w:r>
              <w:rPr>
                <w:rStyle w:val="CharacterStyle9"/>
              </w:rPr>
              <w:t>18.000,00</w:t>
            </w:r>
          </w:p>
        </w:tc>
      </w:tr>
      <w:tr w:rsidR="007D706A" w14:paraId="3056AFC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54B799C"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6B855F3D"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76A393E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C6D0E27" w14:textId="77777777" w:rsidR="007D706A" w:rsidRDefault="007D706A" w:rsidP="00F70508">
            <w:pPr>
              <w:pStyle w:val="ParagraphStyle12"/>
              <w:rPr>
                <w:rStyle w:val="CharacterStyle12"/>
              </w:rPr>
            </w:pPr>
            <w:r>
              <w:rPr>
                <w:rStyle w:val="CharacterStyle12"/>
              </w:rPr>
              <w:t>21.000,00</w:t>
            </w:r>
          </w:p>
        </w:tc>
        <w:tc>
          <w:tcPr>
            <w:tcW w:w="1395" w:type="dxa"/>
            <w:tcBorders>
              <w:bottom w:val="single" w:sz="6" w:space="0" w:color="000000"/>
              <w:right w:val="single" w:sz="6" w:space="0" w:color="000000"/>
            </w:tcBorders>
            <w:vAlign w:val="center"/>
          </w:tcPr>
          <w:p w14:paraId="7EC4F243" w14:textId="77777777" w:rsidR="007D706A" w:rsidRDefault="007D706A" w:rsidP="00F70508">
            <w:pPr>
              <w:pStyle w:val="ParagraphStyle12"/>
              <w:rPr>
                <w:rStyle w:val="CharacterStyle12"/>
              </w:rPr>
            </w:pPr>
            <w:r>
              <w:rPr>
                <w:rStyle w:val="CharacterStyle12"/>
              </w:rPr>
              <w:t>18.000,00</w:t>
            </w:r>
          </w:p>
        </w:tc>
        <w:tc>
          <w:tcPr>
            <w:tcW w:w="1395" w:type="dxa"/>
            <w:tcBorders>
              <w:bottom w:val="single" w:sz="6" w:space="0" w:color="000000"/>
              <w:right w:val="single" w:sz="6" w:space="0" w:color="000000"/>
            </w:tcBorders>
            <w:vAlign w:val="center"/>
          </w:tcPr>
          <w:p w14:paraId="648EFD88" w14:textId="77777777" w:rsidR="007D706A" w:rsidRDefault="007D706A" w:rsidP="00F70508">
            <w:pPr>
              <w:pStyle w:val="ParagraphStyle12"/>
              <w:rPr>
                <w:rStyle w:val="CharacterStyle12"/>
              </w:rPr>
            </w:pPr>
            <w:r>
              <w:rPr>
                <w:rStyle w:val="CharacterStyle12"/>
              </w:rPr>
              <w:t>18.000,00</w:t>
            </w:r>
          </w:p>
        </w:tc>
        <w:tc>
          <w:tcPr>
            <w:tcW w:w="1395" w:type="dxa"/>
            <w:tcBorders>
              <w:bottom w:val="single" w:sz="6" w:space="0" w:color="000000"/>
              <w:right w:val="single" w:sz="6" w:space="0" w:color="000000"/>
            </w:tcBorders>
            <w:vAlign w:val="center"/>
          </w:tcPr>
          <w:p w14:paraId="5CA13AB9" w14:textId="77777777" w:rsidR="007D706A" w:rsidRDefault="007D706A" w:rsidP="00F70508">
            <w:pPr>
              <w:pStyle w:val="ParagraphStyle12"/>
              <w:rPr>
                <w:rStyle w:val="CharacterStyle12"/>
              </w:rPr>
            </w:pPr>
            <w:r>
              <w:rPr>
                <w:rStyle w:val="CharacterStyle12"/>
              </w:rPr>
              <w:t>18.000,00</w:t>
            </w:r>
          </w:p>
        </w:tc>
      </w:tr>
      <w:tr w:rsidR="007D706A" w14:paraId="4F2177F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8A19C8B"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3AFF25A9"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6954A1D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ED12F42" w14:textId="77777777" w:rsidR="007D706A" w:rsidRDefault="007D706A" w:rsidP="00F70508">
            <w:pPr>
              <w:pStyle w:val="ParagraphStyle12"/>
              <w:rPr>
                <w:rStyle w:val="CharacterStyle12"/>
              </w:rPr>
            </w:pPr>
            <w:r>
              <w:rPr>
                <w:rStyle w:val="CharacterStyle12"/>
              </w:rPr>
              <w:t>21.000,00</w:t>
            </w:r>
          </w:p>
        </w:tc>
        <w:tc>
          <w:tcPr>
            <w:tcW w:w="1395" w:type="dxa"/>
            <w:tcBorders>
              <w:bottom w:val="single" w:sz="6" w:space="0" w:color="000000"/>
              <w:right w:val="single" w:sz="6" w:space="0" w:color="000000"/>
            </w:tcBorders>
            <w:vAlign w:val="center"/>
          </w:tcPr>
          <w:p w14:paraId="6A0EF0BC" w14:textId="77777777" w:rsidR="007D706A" w:rsidRDefault="007D706A" w:rsidP="00F70508">
            <w:pPr>
              <w:pStyle w:val="ParagraphStyle12"/>
              <w:rPr>
                <w:rStyle w:val="CharacterStyle12"/>
              </w:rPr>
            </w:pPr>
            <w:r>
              <w:rPr>
                <w:rStyle w:val="CharacterStyle12"/>
              </w:rPr>
              <w:t>18.000,00</w:t>
            </w:r>
          </w:p>
        </w:tc>
        <w:tc>
          <w:tcPr>
            <w:tcW w:w="1395" w:type="dxa"/>
            <w:tcBorders>
              <w:bottom w:val="single" w:sz="6" w:space="0" w:color="000000"/>
              <w:right w:val="single" w:sz="6" w:space="0" w:color="000000"/>
            </w:tcBorders>
            <w:vAlign w:val="center"/>
          </w:tcPr>
          <w:p w14:paraId="5A363C94" w14:textId="77777777" w:rsidR="007D706A" w:rsidRDefault="007D706A" w:rsidP="00F70508">
            <w:pPr>
              <w:pStyle w:val="ParagraphStyle12"/>
              <w:rPr>
                <w:rStyle w:val="CharacterStyle12"/>
              </w:rPr>
            </w:pPr>
            <w:r>
              <w:rPr>
                <w:rStyle w:val="CharacterStyle12"/>
              </w:rPr>
              <w:t>18.000,00</w:t>
            </w:r>
          </w:p>
        </w:tc>
        <w:tc>
          <w:tcPr>
            <w:tcW w:w="1395" w:type="dxa"/>
            <w:tcBorders>
              <w:bottom w:val="single" w:sz="6" w:space="0" w:color="000000"/>
              <w:right w:val="single" w:sz="6" w:space="0" w:color="000000"/>
            </w:tcBorders>
            <w:vAlign w:val="center"/>
          </w:tcPr>
          <w:p w14:paraId="6DBEE343" w14:textId="77777777" w:rsidR="007D706A" w:rsidRDefault="007D706A" w:rsidP="00F70508">
            <w:pPr>
              <w:pStyle w:val="ParagraphStyle12"/>
              <w:rPr>
                <w:rStyle w:val="CharacterStyle12"/>
              </w:rPr>
            </w:pPr>
            <w:r>
              <w:rPr>
                <w:rStyle w:val="CharacterStyle12"/>
              </w:rPr>
              <w:t>18.000,00</w:t>
            </w:r>
          </w:p>
        </w:tc>
      </w:tr>
      <w:tr w:rsidR="007D706A" w14:paraId="78FB230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20393CC" w14:textId="77777777" w:rsidR="007D706A" w:rsidRDefault="007D706A" w:rsidP="00F70508">
            <w:pPr>
              <w:pStyle w:val="ParagraphStyle7"/>
              <w:rPr>
                <w:rStyle w:val="CharacterStyle7"/>
              </w:rPr>
            </w:pPr>
            <w:r>
              <w:rPr>
                <w:rStyle w:val="CharacterStyle7"/>
              </w:rPr>
              <w:t>Izvor financiranja 43</w:t>
            </w:r>
          </w:p>
        </w:tc>
        <w:tc>
          <w:tcPr>
            <w:tcW w:w="4995" w:type="dxa"/>
            <w:tcBorders>
              <w:bottom w:val="single" w:sz="6" w:space="0" w:color="000000"/>
              <w:right w:val="single" w:sz="6" w:space="0" w:color="000000"/>
            </w:tcBorders>
            <w:vAlign w:val="center"/>
          </w:tcPr>
          <w:p w14:paraId="6E49CFE0" w14:textId="77777777" w:rsidR="007D706A" w:rsidRDefault="007D706A" w:rsidP="00F70508">
            <w:pPr>
              <w:pStyle w:val="ParagraphStyle8"/>
              <w:rPr>
                <w:rStyle w:val="CharacterStyle8"/>
              </w:rPr>
            </w:pPr>
            <w:r>
              <w:rPr>
                <w:rStyle w:val="CharacterStyle8"/>
              </w:rPr>
              <w:t>Ostali prihodi za posebne namjene</w:t>
            </w:r>
          </w:p>
        </w:tc>
        <w:tc>
          <w:tcPr>
            <w:tcW w:w="1395" w:type="dxa"/>
            <w:tcBorders>
              <w:bottom w:val="single" w:sz="6" w:space="0" w:color="000000"/>
              <w:right w:val="single" w:sz="6" w:space="0" w:color="000000"/>
            </w:tcBorders>
            <w:vAlign w:val="center"/>
          </w:tcPr>
          <w:p w14:paraId="20B8AB41"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78E9F39"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57F39E7" w14:textId="77777777" w:rsidR="007D706A" w:rsidRDefault="007D706A" w:rsidP="00F70508">
            <w:pPr>
              <w:pStyle w:val="ParagraphStyle9"/>
              <w:rPr>
                <w:rStyle w:val="CharacterStyle9"/>
              </w:rPr>
            </w:pPr>
            <w:r>
              <w:rPr>
                <w:rStyle w:val="CharacterStyle9"/>
              </w:rPr>
              <w:t>100.500,00</w:t>
            </w:r>
          </w:p>
        </w:tc>
        <w:tc>
          <w:tcPr>
            <w:tcW w:w="1395" w:type="dxa"/>
            <w:tcBorders>
              <w:bottom w:val="single" w:sz="6" w:space="0" w:color="000000"/>
              <w:right w:val="single" w:sz="6" w:space="0" w:color="000000"/>
            </w:tcBorders>
            <w:vAlign w:val="center"/>
          </w:tcPr>
          <w:p w14:paraId="5CDD37D8" w14:textId="77777777" w:rsidR="007D706A" w:rsidRDefault="007D706A" w:rsidP="00F70508">
            <w:pPr>
              <w:pStyle w:val="ParagraphStyle9"/>
              <w:rPr>
                <w:rStyle w:val="CharacterStyle9"/>
              </w:rPr>
            </w:pPr>
            <w:r>
              <w:rPr>
                <w:rStyle w:val="CharacterStyle9"/>
              </w:rPr>
              <w:t>126.500,00</w:t>
            </w:r>
          </w:p>
        </w:tc>
        <w:tc>
          <w:tcPr>
            <w:tcW w:w="1395" w:type="dxa"/>
            <w:tcBorders>
              <w:bottom w:val="single" w:sz="6" w:space="0" w:color="000000"/>
              <w:right w:val="single" w:sz="6" w:space="0" w:color="000000"/>
            </w:tcBorders>
            <w:vAlign w:val="center"/>
          </w:tcPr>
          <w:p w14:paraId="2DB44D02" w14:textId="77777777" w:rsidR="007D706A" w:rsidRDefault="007D706A" w:rsidP="00F70508">
            <w:pPr>
              <w:pStyle w:val="ParagraphStyle9"/>
              <w:rPr>
                <w:rStyle w:val="CharacterStyle9"/>
              </w:rPr>
            </w:pPr>
            <w:r>
              <w:rPr>
                <w:rStyle w:val="CharacterStyle9"/>
              </w:rPr>
              <w:t>126.500,00</w:t>
            </w:r>
          </w:p>
        </w:tc>
      </w:tr>
      <w:tr w:rsidR="007D706A" w14:paraId="3984C3F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57B0966"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6C2469B1"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4BF78AC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2931E3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0FA6FAF" w14:textId="77777777" w:rsidR="007D706A" w:rsidRDefault="007D706A" w:rsidP="00F70508">
            <w:pPr>
              <w:pStyle w:val="ParagraphStyle12"/>
              <w:rPr>
                <w:rStyle w:val="CharacterStyle12"/>
              </w:rPr>
            </w:pPr>
            <w:r>
              <w:rPr>
                <w:rStyle w:val="CharacterStyle12"/>
              </w:rPr>
              <w:t>100.500,00</w:t>
            </w:r>
          </w:p>
        </w:tc>
        <w:tc>
          <w:tcPr>
            <w:tcW w:w="1395" w:type="dxa"/>
            <w:tcBorders>
              <w:bottom w:val="single" w:sz="6" w:space="0" w:color="000000"/>
              <w:right w:val="single" w:sz="6" w:space="0" w:color="000000"/>
            </w:tcBorders>
            <w:vAlign w:val="center"/>
          </w:tcPr>
          <w:p w14:paraId="729B4870" w14:textId="77777777" w:rsidR="007D706A" w:rsidRDefault="007D706A" w:rsidP="00F70508">
            <w:pPr>
              <w:pStyle w:val="ParagraphStyle12"/>
              <w:rPr>
                <w:rStyle w:val="CharacterStyle12"/>
              </w:rPr>
            </w:pPr>
            <w:r>
              <w:rPr>
                <w:rStyle w:val="CharacterStyle12"/>
              </w:rPr>
              <w:t>126.500,00</w:t>
            </w:r>
          </w:p>
        </w:tc>
        <w:tc>
          <w:tcPr>
            <w:tcW w:w="1395" w:type="dxa"/>
            <w:tcBorders>
              <w:bottom w:val="single" w:sz="6" w:space="0" w:color="000000"/>
              <w:right w:val="single" w:sz="6" w:space="0" w:color="000000"/>
            </w:tcBorders>
            <w:vAlign w:val="center"/>
          </w:tcPr>
          <w:p w14:paraId="4A36F5E9" w14:textId="77777777" w:rsidR="007D706A" w:rsidRDefault="007D706A" w:rsidP="00F70508">
            <w:pPr>
              <w:pStyle w:val="ParagraphStyle12"/>
              <w:rPr>
                <w:rStyle w:val="CharacterStyle12"/>
              </w:rPr>
            </w:pPr>
            <w:r>
              <w:rPr>
                <w:rStyle w:val="CharacterStyle12"/>
              </w:rPr>
              <w:t>126.500,00</w:t>
            </w:r>
          </w:p>
        </w:tc>
      </w:tr>
      <w:tr w:rsidR="007D706A" w14:paraId="16AE2EA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55F7A4E"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2AE3E16C"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034BB2F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A1D998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C989EAD" w14:textId="77777777" w:rsidR="007D706A" w:rsidRDefault="007D706A" w:rsidP="00F70508">
            <w:pPr>
              <w:pStyle w:val="ParagraphStyle12"/>
              <w:rPr>
                <w:rStyle w:val="CharacterStyle12"/>
              </w:rPr>
            </w:pPr>
            <w:r>
              <w:rPr>
                <w:rStyle w:val="CharacterStyle12"/>
              </w:rPr>
              <w:t>100.500,00</w:t>
            </w:r>
          </w:p>
        </w:tc>
        <w:tc>
          <w:tcPr>
            <w:tcW w:w="1395" w:type="dxa"/>
            <w:tcBorders>
              <w:bottom w:val="single" w:sz="6" w:space="0" w:color="000000"/>
              <w:right w:val="single" w:sz="6" w:space="0" w:color="000000"/>
            </w:tcBorders>
            <w:vAlign w:val="center"/>
          </w:tcPr>
          <w:p w14:paraId="760C2542" w14:textId="77777777" w:rsidR="007D706A" w:rsidRDefault="007D706A" w:rsidP="00F70508">
            <w:pPr>
              <w:pStyle w:val="ParagraphStyle12"/>
              <w:rPr>
                <w:rStyle w:val="CharacterStyle12"/>
              </w:rPr>
            </w:pPr>
            <w:r>
              <w:rPr>
                <w:rStyle w:val="CharacterStyle12"/>
              </w:rPr>
              <w:t>126.500,00</w:t>
            </w:r>
          </w:p>
        </w:tc>
        <w:tc>
          <w:tcPr>
            <w:tcW w:w="1395" w:type="dxa"/>
            <w:tcBorders>
              <w:bottom w:val="single" w:sz="6" w:space="0" w:color="000000"/>
              <w:right w:val="single" w:sz="6" w:space="0" w:color="000000"/>
            </w:tcBorders>
            <w:vAlign w:val="center"/>
          </w:tcPr>
          <w:p w14:paraId="4AFE3E70" w14:textId="77777777" w:rsidR="007D706A" w:rsidRDefault="007D706A" w:rsidP="00F70508">
            <w:pPr>
              <w:pStyle w:val="ParagraphStyle12"/>
              <w:rPr>
                <w:rStyle w:val="CharacterStyle12"/>
              </w:rPr>
            </w:pPr>
            <w:r>
              <w:rPr>
                <w:rStyle w:val="CharacterStyle12"/>
              </w:rPr>
              <w:t>126.500,00</w:t>
            </w:r>
          </w:p>
        </w:tc>
      </w:tr>
      <w:tr w:rsidR="007D706A" w14:paraId="6EB6737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3414A1C" w14:textId="77777777" w:rsidR="007D706A" w:rsidRDefault="007D706A" w:rsidP="00F70508">
            <w:pPr>
              <w:pStyle w:val="ParagraphStyle7"/>
              <w:rPr>
                <w:rStyle w:val="CharacterStyle7"/>
              </w:rPr>
            </w:pPr>
            <w:r>
              <w:rPr>
                <w:rStyle w:val="CharacterStyle7"/>
              </w:rPr>
              <w:t>Izvor financiranja 61</w:t>
            </w:r>
          </w:p>
        </w:tc>
        <w:tc>
          <w:tcPr>
            <w:tcW w:w="4995" w:type="dxa"/>
            <w:tcBorders>
              <w:bottom w:val="single" w:sz="6" w:space="0" w:color="000000"/>
              <w:right w:val="single" w:sz="6" w:space="0" w:color="000000"/>
            </w:tcBorders>
            <w:vAlign w:val="center"/>
          </w:tcPr>
          <w:p w14:paraId="6AC4F4E7" w14:textId="77777777" w:rsidR="007D706A" w:rsidRDefault="007D706A" w:rsidP="00F70508">
            <w:pPr>
              <w:pStyle w:val="ParagraphStyle8"/>
              <w:rPr>
                <w:rStyle w:val="CharacterStyle8"/>
              </w:rPr>
            </w:pPr>
            <w:r>
              <w:rPr>
                <w:rStyle w:val="CharacterStyle8"/>
              </w:rPr>
              <w:t>Donacije</w:t>
            </w:r>
          </w:p>
        </w:tc>
        <w:tc>
          <w:tcPr>
            <w:tcW w:w="1395" w:type="dxa"/>
            <w:tcBorders>
              <w:bottom w:val="single" w:sz="6" w:space="0" w:color="000000"/>
              <w:right w:val="single" w:sz="6" w:space="0" w:color="000000"/>
            </w:tcBorders>
            <w:vAlign w:val="center"/>
          </w:tcPr>
          <w:p w14:paraId="20F42EDE"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2B6B252" w14:textId="77777777" w:rsidR="007D706A" w:rsidRDefault="007D706A" w:rsidP="00F70508">
            <w:pPr>
              <w:pStyle w:val="ParagraphStyle9"/>
              <w:rPr>
                <w:rStyle w:val="CharacterStyle9"/>
              </w:rPr>
            </w:pPr>
            <w:r>
              <w:rPr>
                <w:rStyle w:val="CharacterStyle9"/>
              </w:rPr>
              <w:t>18.200,00</w:t>
            </w:r>
          </w:p>
        </w:tc>
        <w:tc>
          <w:tcPr>
            <w:tcW w:w="1395" w:type="dxa"/>
            <w:tcBorders>
              <w:bottom w:val="single" w:sz="6" w:space="0" w:color="000000"/>
              <w:right w:val="single" w:sz="6" w:space="0" w:color="000000"/>
            </w:tcBorders>
            <w:vAlign w:val="center"/>
          </w:tcPr>
          <w:p w14:paraId="45E3CC0E" w14:textId="77777777" w:rsidR="007D706A" w:rsidRDefault="007D706A" w:rsidP="00F70508">
            <w:pPr>
              <w:pStyle w:val="ParagraphStyle9"/>
              <w:rPr>
                <w:rStyle w:val="CharacterStyle9"/>
              </w:rPr>
            </w:pPr>
            <w:r>
              <w:rPr>
                <w:rStyle w:val="CharacterStyle9"/>
              </w:rPr>
              <w:t>8.000,00</w:t>
            </w:r>
          </w:p>
        </w:tc>
        <w:tc>
          <w:tcPr>
            <w:tcW w:w="1395" w:type="dxa"/>
            <w:tcBorders>
              <w:bottom w:val="single" w:sz="6" w:space="0" w:color="000000"/>
              <w:right w:val="single" w:sz="6" w:space="0" w:color="000000"/>
            </w:tcBorders>
            <w:vAlign w:val="center"/>
          </w:tcPr>
          <w:p w14:paraId="4F180DE0" w14:textId="77777777" w:rsidR="007D706A" w:rsidRDefault="007D706A" w:rsidP="00F70508">
            <w:pPr>
              <w:pStyle w:val="ParagraphStyle9"/>
              <w:rPr>
                <w:rStyle w:val="CharacterStyle9"/>
              </w:rPr>
            </w:pPr>
            <w:r>
              <w:rPr>
                <w:rStyle w:val="CharacterStyle9"/>
              </w:rPr>
              <w:t>8.000,00</w:t>
            </w:r>
          </w:p>
        </w:tc>
        <w:tc>
          <w:tcPr>
            <w:tcW w:w="1395" w:type="dxa"/>
            <w:tcBorders>
              <w:bottom w:val="single" w:sz="6" w:space="0" w:color="000000"/>
              <w:right w:val="single" w:sz="6" w:space="0" w:color="000000"/>
            </w:tcBorders>
            <w:vAlign w:val="center"/>
          </w:tcPr>
          <w:p w14:paraId="68D92D94" w14:textId="77777777" w:rsidR="007D706A" w:rsidRDefault="007D706A" w:rsidP="00F70508">
            <w:pPr>
              <w:pStyle w:val="ParagraphStyle9"/>
              <w:rPr>
                <w:rStyle w:val="CharacterStyle9"/>
              </w:rPr>
            </w:pPr>
            <w:r>
              <w:rPr>
                <w:rStyle w:val="CharacterStyle9"/>
              </w:rPr>
              <w:t>8.000,00</w:t>
            </w:r>
          </w:p>
        </w:tc>
      </w:tr>
      <w:tr w:rsidR="007D706A" w14:paraId="3CBF034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8794B63"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104E122C"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1E1BE97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FD85F03" w14:textId="77777777" w:rsidR="007D706A" w:rsidRDefault="007D706A" w:rsidP="00F70508">
            <w:pPr>
              <w:pStyle w:val="ParagraphStyle12"/>
              <w:rPr>
                <w:rStyle w:val="CharacterStyle12"/>
              </w:rPr>
            </w:pPr>
            <w:r>
              <w:rPr>
                <w:rStyle w:val="CharacterStyle12"/>
              </w:rPr>
              <w:t>18.200,00</w:t>
            </w:r>
          </w:p>
        </w:tc>
        <w:tc>
          <w:tcPr>
            <w:tcW w:w="1395" w:type="dxa"/>
            <w:tcBorders>
              <w:bottom w:val="single" w:sz="6" w:space="0" w:color="000000"/>
              <w:right w:val="single" w:sz="6" w:space="0" w:color="000000"/>
            </w:tcBorders>
            <w:vAlign w:val="center"/>
          </w:tcPr>
          <w:p w14:paraId="1AC1B555" w14:textId="77777777" w:rsidR="007D706A" w:rsidRDefault="007D706A" w:rsidP="00F70508">
            <w:pPr>
              <w:pStyle w:val="ParagraphStyle12"/>
              <w:rPr>
                <w:rStyle w:val="CharacterStyle12"/>
              </w:rPr>
            </w:pPr>
            <w:r>
              <w:rPr>
                <w:rStyle w:val="CharacterStyle12"/>
              </w:rPr>
              <w:t>8.000,00</w:t>
            </w:r>
          </w:p>
        </w:tc>
        <w:tc>
          <w:tcPr>
            <w:tcW w:w="1395" w:type="dxa"/>
            <w:tcBorders>
              <w:bottom w:val="single" w:sz="6" w:space="0" w:color="000000"/>
              <w:right w:val="single" w:sz="6" w:space="0" w:color="000000"/>
            </w:tcBorders>
            <w:vAlign w:val="center"/>
          </w:tcPr>
          <w:p w14:paraId="14563D0C" w14:textId="77777777" w:rsidR="007D706A" w:rsidRDefault="007D706A" w:rsidP="00F70508">
            <w:pPr>
              <w:pStyle w:val="ParagraphStyle12"/>
              <w:rPr>
                <w:rStyle w:val="CharacterStyle12"/>
              </w:rPr>
            </w:pPr>
            <w:r>
              <w:rPr>
                <w:rStyle w:val="CharacterStyle12"/>
              </w:rPr>
              <w:t>8.000,00</w:t>
            </w:r>
          </w:p>
        </w:tc>
        <w:tc>
          <w:tcPr>
            <w:tcW w:w="1395" w:type="dxa"/>
            <w:tcBorders>
              <w:bottom w:val="single" w:sz="6" w:space="0" w:color="000000"/>
              <w:right w:val="single" w:sz="6" w:space="0" w:color="000000"/>
            </w:tcBorders>
            <w:vAlign w:val="center"/>
          </w:tcPr>
          <w:p w14:paraId="4B70AD8E" w14:textId="77777777" w:rsidR="007D706A" w:rsidRDefault="007D706A" w:rsidP="00F70508">
            <w:pPr>
              <w:pStyle w:val="ParagraphStyle12"/>
              <w:rPr>
                <w:rStyle w:val="CharacterStyle12"/>
              </w:rPr>
            </w:pPr>
            <w:r>
              <w:rPr>
                <w:rStyle w:val="CharacterStyle12"/>
              </w:rPr>
              <w:t>8.000,00</w:t>
            </w:r>
          </w:p>
        </w:tc>
      </w:tr>
      <w:tr w:rsidR="007D706A" w14:paraId="4329274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6ED2A03"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5371748E"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42913FA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943E23A" w14:textId="77777777" w:rsidR="007D706A" w:rsidRDefault="007D706A" w:rsidP="00F70508">
            <w:pPr>
              <w:pStyle w:val="ParagraphStyle12"/>
              <w:rPr>
                <w:rStyle w:val="CharacterStyle12"/>
              </w:rPr>
            </w:pPr>
            <w:r>
              <w:rPr>
                <w:rStyle w:val="CharacterStyle12"/>
              </w:rPr>
              <w:t>18.200,00</w:t>
            </w:r>
          </w:p>
        </w:tc>
        <w:tc>
          <w:tcPr>
            <w:tcW w:w="1395" w:type="dxa"/>
            <w:tcBorders>
              <w:bottom w:val="single" w:sz="6" w:space="0" w:color="000000"/>
              <w:right w:val="single" w:sz="6" w:space="0" w:color="000000"/>
            </w:tcBorders>
            <w:vAlign w:val="center"/>
          </w:tcPr>
          <w:p w14:paraId="1C4AAEE1" w14:textId="77777777" w:rsidR="007D706A" w:rsidRDefault="007D706A" w:rsidP="00F70508">
            <w:pPr>
              <w:pStyle w:val="ParagraphStyle12"/>
              <w:rPr>
                <w:rStyle w:val="CharacterStyle12"/>
              </w:rPr>
            </w:pPr>
            <w:r>
              <w:rPr>
                <w:rStyle w:val="CharacterStyle12"/>
              </w:rPr>
              <w:t>8.000,00</w:t>
            </w:r>
          </w:p>
        </w:tc>
        <w:tc>
          <w:tcPr>
            <w:tcW w:w="1395" w:type="dxa"/>
            <w:tcBorders>
              <w:bottom w:val="single" w:sz="6" w:space="0" w:color="000000"/>
              <w:right w:val="single" w:sz="6" w:space="0" w:color="000000"/>
            </w:tcBorders>
            <w:vAlign w:val="center"/>
          </w:tcPr>
          <w:p w14:paraId="78239F1D" w14:textId="77777777" w:rsidR="007D706A" w:rsidRDefault="007D706A" w:rsidP="00F70508">
            <w:pPr>
              <w:pStyle w:val="ParagraphStyle12"/>
              <w:rPr>
                <w:rStyle w:val="CharacterStyle12"/>
              </w:rPr>
            </w:pPr>
            <w:r>
              <w:rPr>
                <w:rStyle w:val="CharacterStyle12"/>
              </w:rPr>
              <w:t>8.000,00</w:t>
            </w:r>
          </w:p>
        </w:tc>
        <w:tc>
          <w:tcPr>
            <w:tcW w:w="1395" w:type="dxa"/>
            <w:tcBorders>
              <w:bottom w:val="single" w:sz="6" w:space="0" w:color="000000"/>
              <w:right w:val="single" w:sz="6" w:space="0" w:color="000000"/>
            </w:tcBorders>
            <w:vAlign w:val="center"/>
          </w:tcPr>
          <w:p w14:paraId="099C1047" w14:textId="77777777" w:rsidR="007D706A" w:rsidRDefault="007D706A" w:rsidP="00F70508">
            <w:pPr>
              <w:pStyle w:val="ParagraphStyle12"/>
              <w:rPr>
                <w:rStyle w:val="CharacterStyle12"/>
              </w:rPr>
            </w:pPr>
            <w:r>
              <w:rPr>
                <w:rStyle w:val="CharacterStyle12"/>
              </w:rPr>
              <w:t>8.000,00</w:t>
            </w:r>
          </w:p>
        </w:tc>
      </w:tr>
      <w:tr w:rsidR="007D706A" w14:paraId="660E8EB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CD453BE" w14:textId="77777777" w:rsidR="007D706A" w:rsidRDefault="007D706A" w:rsidP="00F70508">
            <w:pPr>
              <w:pStyle w:val="ParagraphStyle7"/>
              <w:rPr>
                <w:rStyle w:val="CharacterStyle7"/>
              </w:rPr>
            </w:pPr>
            <w:r>
              <w:rPr>
                <w:rStyle w:val="CharacterStyle7"/>
              </w:rPr>
              <w:t>Izvor financiranja 82</w:t>
            </w:r>
          </w:p>
        </w:tc>
        <w:tc>
          <w:tcPr>
            <w:tcW w:w="4995" w:type="dxa"/>
            <w:tcBorders>
              <w:bottom w:val="single" w:sz="6" w:space="0" w:color="000000"/>
              <w:right w:val="single" w:sz="6" w:space="0" w:color="000000"/>
            </w:tcBorders>
            <w:vAlign w:val="center"/>
          </w:tcPr>
          <w:p w14:paraId="189D530D" w14:textId="77777777" w:rsidR="007D706A" w:rsidRDefault="007D706A" w:rsidP="00F70508">
            <w:pPr>
              <w:pStyle w:val="ParagraphStyle8"/>
              <w:rPr>
                <w:rStyle w:val="CharacterStyle8"/>
              </w:rPr>
            </w:pPr>
            <w:r>
              <w:rPr>
                <w:rStyle w:val="CharacterStyle8"/>
              </w:rPr>
              <w:t>Preneseni viškovi iz ranijih godina</w:t>
            </w:r>
          </w:p>
        </w:tc>
        <w:tc>
          <w:tcPr>
            <w:tcW w:w="1395" w:type="dxa"/>
            <w:tcBorders>
              <w:bottom w:val="single" w:sz="6" w:space="0" w:color="000000"/>
              <w:right w:val="single" w:sz="6" w:space="0" w:color="000000"/>
            </w:tcBorders>
            <w:vAlign w:val="center"/>
          </w:tcPr>
          <w:p w14:paraId="6687E7F2"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6DA2109" w14:textId="77777777" w:rsidR="007D706A" w:rsidRDefault="007D706A" w:rsidP="00F70508">
            <w:pPr>
              <w:pStyle w:val="ParagraphStyle9"/>
              <w:rPr>
                <w:rStyle w:val="CharacterStyle9"/>
              </w:rPr>
            </w:pPr>
            <w:r>
              <w:rPr>
                <w:rStyle w:val="CharacterStyle9"/>
              </w:rPr>
              <w:t>1.120,50</w:t>
            </w:r>
          </w:p>
        </w:tc>
        <w:tc>
          <w:tcPr>
            <w:tcW w:w="1395" w:type="dxa"/>
            <w:tcBorders>
              <w:bottom w:val="single" w:sz="6" w:space="0" w:color="000000"/>
              <w:right w:val="single" w:sz="6" w:space="0" w:color="000000"/>
            </w:tcBorders>
            <w:vAlign w:val="center"/>
          </w:tcPr>
          <w:p w14:paraId="7931FBE1"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D98EDFD"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EEEB124" w14:textId="77777777" w:rsidR="007D706A" w:rsidRDefault="007D706A" w:rsidP="00F70508">
            <w:pPr>
              <w:pStyle w:val="ParagraphStyle9"/>
              <w:rPr>
                <w:rStyle w:val="CharacterStyle9"/>
              </w:rPr>
            </w:pPr>
            <w:r>
              <w:rPr>
                <w:rStyle w:val="CharacterStyle9"/>
              </w:rPr>
              <w:t>0,00</w:t>
            </w:r>
          </w:p>
        </w:tc>
      </w:tr>
      <w:tr w:rsidR="007D706A" w14:paraId="40D03E2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784E342"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200F3558"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027E26B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C9F3735" w14:textId="77777777" w:rsidR="007D706A" w:rsidRDefault="007D706A" w:rsidP="00F70508">
            <w:pPr>
              <w:pStyle w:val="ParagraphStyle12"/>
              <w:rPr>
                <w:rStyle w:val="CharacterStyle12"/>
              </w:rPr>
            </w:pPr>
            <w:r>
              <w:rPr>
                <w:rStyle w:val="CharacterStyle12"/>
              </w:rPr>
              <w:t>1.120,50</w:t>
            </w:r>
          </w:p>
        </w:tc>
        <w:tc>
          <w:tcPr>
            <w:tcW w:w="1395" w:type="dxa"/>
            <w:tcBorders>
              <w:bottom w:val="single" w:sz="6" w:space="0" w:color="000000"/>
              <w:right w:val="single" w:sz="6" w:space="0" w:color="000000"/>
            </w:tcBorders>
            <w:vAlign w:val="center"/>
          </w:tcPr>
          <w:p w14:paraId="4315BD1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4047EE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B85A323" w14:textId="77777777" w:rsidR="007D706A" w:rsidRDefault="007D706A" w:rsidP="00F70508">
            <w:pPr>
              <w:pStyle w:val="ParagraphStyle12"/>
              <w:rPr>
                <w:rStyle w:val="CharacterStyle12"/>
              </w:rPr>
            </w:pPr>
            <w:r>
              <w:rPr>
                <w:rStyle w:val="CharacterStyle12"/>
              </w:rPr>
              <w:t>0,00</w:t>
            </w:r>
          </w:p>
        </w:tc>
      </w:tr>
      <w:tr w:rsidR="007D706A" w14:paraId="3A5A5BA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FEDEA44"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3540E2BC"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15470A5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1643605" w14:textId="77777777" w:rsidR="007D706A" w:rsidRDefault="007D706A" w:rsidP="00F70508">
            <w:pPr>
              <w:pStyle w:val="ParagraphStyle12"/>
              <w:rPr>
                <w:rStyle w:val="CharacterStyle12"/>
              </w:rPr>
            </w:pPr>
            <w:r>
              <w:rPr>
                <w:rStyle w:val="CharacterStyle12"/>
              </w:rPr>
              <w:t>1.120,50</w:t>
            </w:r>
          </w:p>
        </w:tc>
        <w:tc>
          <w:tcPr>
            <w:tcW w:w="1395" w:type="dxa"/>
            <w:tcBorders>
              <w:bottom w:val="single" w:sz="6" w:space="0" w:color="000000"/>
              <w:right w:val="single" w:sz="6" w:space="0" w:color="000000"/>
            </w:tcBorders>
            <w:vAlign w:val="center"/>
          </w:tcPr>
          <w:p w14:paraId="5C79412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2C6094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25ECFE4" w14:textId="77777777" w:rsidR="007D706A" w:rsidRDefault="007D706A" w:rsidP="00F70508">
            <w:pPr>
              <w:pStyle w:val="ParagraphStyle12"/>
              <w:rPr>
                <w:rStyle w:val="CharacterStyle12"/>
              </w:rPr>
            </w:pPr>
            <w:r>
              <w:rPr>
                <w:rStyle w:val="CharacterStyle12"/>
              </w:rPr>
              <w:t>0,00</w:t>
            </w:r>
          </w:p>
        </w:tc>
      </w:tr>
      <w:tr w:rsidR="007D706A" w14:paraId="48719AE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77A2ECB" w14:textId="77777777" w:rsidR="007D706A" w:rsidRDefault="007D706A" w:rsidP="00F70508">
            <w:pPr>
              <w:pStyle w:val="ParagraphStyle4"/>
              <w:rPr>
                <w:rStyle w:val="CharacterStyle4"/>
              </w:rPr>
            </w:pPr>
            <w:r>
              <w:rPr>
                <w:rStyle w:val="CharacterStyle4"/>
              </w:rPr>
              <w:t>Kapitalni projekt K103707</w:t>
            </w:r>
          </w:p>
        </w:tc>
        <w:tc>
          <w:tcPr>
            <w:tcW w:w="4995" w:type="dxa"/>
            <w:tcBorders>
              <w:bottom w:val="single" w:sz="6" w:space="0" w:color="000000"/>
              <w:right w:val="single" w:sz="6" w:space="0" w:color="000000"/>
            </w:tcBorders>
            <w:vAlign w:val="center"/>
          </w:tcPr>
          <w:p w14:paraId="6561EC86" w14:textId="77777777" w:rsidR="007D706A" w:rsidRDefault="007D706A" w:rsidP="00F70508">
            <w:pPr>
              <w:pStyle w:val="ParagraphStyle5"/>
              <w:rPr>
                <w:rStyle w:val="CharacterStyle5"/>
              </w:rPr>
            </w:pPr>
            <w:r>
              <w:rPr>
                <w:rStyle w:val="CharacterStyle5"/>
              </w:rPr>
              <w:t>OPREMANJE</w:t>
            </w:r>
          </w:p>
        </w:tc>
        <w:tc>
          <w:tcPr>
            <w:tcW w:w="1395" w:type="dxa"/>
            <w:tcBorders>
              <w:bottom w:val="single" w:sz="6" w:space="0" w:color="000000"/>
              <w:right w:val="single" w:sz="6" w:space="0" w:color="000000"/>
            </w:tcBorders>
            <w:vAlign w:val="center"/>
          </w:tcPr>
          <w:p w14:paraId="78BBB528"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5421AFA0" w14:textId="77777777" w:rsidR="007D706A" w:rsidRDefault="007D706A" w:rsidP="00F70508">
            <w:pPr>
              <w:pStyle w:val="ParagraphStyle6"/>
              <w:rPr>
                <w:rStyle w:val="CharacterStyle6"/>
              </w:rPr>
            </w:pPr>
            <w:r>
              <w:rPr>
                <w:rStyle w:val="CharacterStyle6"/>
              </w:rPr>
              <w:t>26.650,00</w:t>
            </w:r>
          </w:p>
        </w:tc>
        <w:tc>
          <w:tcPr>
            <w:tcW w:w="1395" w:type="dxa"/>
            <w:tcBorders>
              <w:bottom w:val="single" w:sz="6" w:space="0" w:color="000000"/>
              <w:right w:val="single" w:sz="6" w:space="0" w:color="000000"/>
            </w:tcBorders>
            <w:vAlign w:val="center"/>
          </w:tcPr>
          <w:p w14:paraId="2B5B5CC6" w14:textId="77777777" w:rsidR="007D706A" w:rsidRDefault="007D706A" w:rsidP="00F70508">
            <w:pPr>
              <w:pStyle w:val="ParagraphStyle6"/>
              <w:rPr>
                <w:rStyle w:val="CharacterStyle6"/>
              </w:rPr>
            </w:pPr>
            <w:r>
              <w:rPr>
                <w:rStyle w:val="CharacterStyle6"/>
              </w:rPr>
              <w:t>21.500,00</w:t>
            </w:r>
          </w:p>
        </w:tc>
        <w:tc>
          <w:tcPr>
            <w:tcW w:w="1395" w:type="dxa"/>
            <w:tcBorders>
              <w:bottom w:val="single" w:sz="6" w:space="0" w:color="000000"/>
              <w:right w:val="single" w:sz="6" w:space="0" w:color="000000"/>
            </w:tcBorders>
            <w:vAlign w:val="center"/>
          </w:tcPr>
          <w:p w14:paraId="6B02F4FD" w14:textId="77777777" w:rsidR="007D706A" w:rsidRDefault="007D706A" w:rsidP="00F70508">
            <w:pPr>
              <w:pStyle w:val="ParagraphStyle6"/>
              <w:rPr>
                <w:rStyle w:val="CharacterStyle6"/>
              </w:rPr>
            </w:pPr>
            <w:r>
              <w:rPr>
                <w:rStyle w:val="CharacterStyle6"/>
              </w:rPr>
              <w:t>27.000,00</w:t>
            </w:r>
          </w:p>
        </w:tc>
        <w:tc>
          <w:tcPr>
            <w:tcW w:w="1395" w:type="dxa"/>
            <w:tcBorders>
              <w:bottom w:val="single" w:sz="6" w:space="0" w:color="000000"/>
              <w:right w:val="single" w:sz="6" w:space="0" w:color="000000"/>
            </w:tcBorders>
            <w:vAlign w:val="center"/>
          </w:tcPr>
          <w:p w14:paraId="6B7D7EAD" w14:textId="77777777" w:rsidR="007D706A" w:rsidRDefault="007D706A" w:rsidP="00F70508">
            <w:pPr>
              <w:pStyle w:val="ParagraphStyle6"/>
              <w:rPr>
                <w:rStyle w:val="CharacterStyle6"/>
              </w:rPr>
            </w:pPr>
            <w:r>
              <w:rPr>
                <w:rStyle w:val="CharacterStyle6"/>
              </w:rPr>
              <w:t>27.000,00</w:t>
            </w:r>
          </w:p>
        </w:tc>
      </w:tr>
      <w:tr w:rsidR="007D706A" w14:paraId="655AF9B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951351D"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4B6F6A28"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0C486B75"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14F22B2" w14:textId="77777777" w:rsidR="007D706A" w:rsidRDefault="007D706A" w:rsidP="00F70508">
            <w:pPr>
              <w:pStyle w:val="ParagraphStyle9"/>
              <w:rPr>
                <w:rStyle w:val="CharacterStyle9"/>
              </w:rPr>
            </w:pPr>
            <w:r>
              <w:rPr>
                <w:rStyle w:val="CharacterStyle9"/>
              </w:rPr>
              <w:t>26.650,00</w:t>
            </w:r>
          </w:p>
        </w:tc>
        <w:tc>
          <w:tcPr>
            <w:tcW w:w="1395" w:type="dxa"/>
            <w:tcBorders>
              <w:bottom w:val="single" w:sz="6" w:space="0" w:color="000000"/>
              <w:right w:val="single" w:sz="6" w:space="0" w:color="000000"/>
            </w:tcBorders>
            <w:vAlign w:val="center"/>
          </w:tcPr>
          <w:p w14:paraId="63F2F388" w14:textId="77777777" w:rsidR="007D706A" w:rsidRDefault="007D706A" w:rsidP="00F70508">
            <w:pPr>
              <w:pStyle w:val="ParagraphStyle9"/>
              <w:rPr>
                <w:rStyle w:val="CharacterStyle9"/>
              </w:rPr>
            </w:pPr>
            <w:r>
              <w:rPr>
                <w:rStyle w:val="CharacterStyle9"/>
              </w:rPr>
              <w:t>21.500,00</w:t>
            </w:r>
          </w:p>
        </w:tc>
        <w:tc>
          <w:tcPr>
            <w:tcW w:w="1395" w:type="dxa"/>
            <w:tcBorders>
              <w:bottom w:val="single" w:sz="6" w:space="0" w:color="000000"/>
              <w:right w:val="single" w:sz="6" w:space="0" w:color="000000"/>
            </w:tcBorders>
            <w:vAlign w:val="center"/>
          </w:tcPr>
          <w:p w14:paraId="7A75A5AF" w14:textId="77777777" w:rsidR="007D706A" w:rsidRDefault="007D706A" w:rsidP="00F70508">
            <w:pPr>
              <w:pStyle w:val="ParagraphStyle9"/>
              <w:rPr>
                <w:rStyle w:val="CharacterStyle9"/>
              </w:rPr>
            </w:pPr>
            <w:r>
              <w:rPr>
                <w:rStyle w:val="CharacterStyle9"/>
              </w:rPr>
              <w:t>27.000,00</w:t>
            </w:r>
          </w:p>
        </w:tc>
        <w:tc>
          <w:tcPr>
            <w:tcW w:w="1395" w:type="dxa"/>
            <w:tcBorders>
              <w:bottom w:val="single" w:sz="6" w:space="0" w:color="000000"/>
              <w:right w:val="single" w:sz="6" w:space="0" w:color="000000"/>
            </w:tcBorders>
            <w:vAlign w:val="center"/>
          </w:tcPr>
          <w:p w14:paraId="0E621F64" w14:textId="77777777" w:rsidR="007D706A" w:rsidRDefault="007D706A" w:rsidP="00F70508">
            <w:pPr>
              <w:pStyle w:val="ParagraphStyle9"/>
              <w:rPr>
                <w:rStyle w:val="CharacterStyle9"/>
              </w:rPr>
            </w:pPr>
            <w:r>
              <w:rPr>
                <w:rStyle w:val="CharacterStyle9"/>
              </w:rPr>
              <w:t>27.000,00</w:t>
            </w:r>
          </w:p>
        </w:tc>
      </w:tr>
      <w:tr w:rsidR="007D706A" w14:paraId="4E82204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E2A0E9B"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5E7F548E"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55DBBC5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9D5B0B2" w14:textId="77777777" w:rsidR="007D706A" w:rsidRDefault="007D706A" w:rsidP="00F70508">
            <w:pPr>
              <w:pStyle w:val="ParagraphStyle12"/>
              <w:rPr>
                <w:rStyle w:val="CharacterStyle12"/>
              </w:rPr>
            </w:pPr>
            <w:r>
              <w:rPr>
                <w:rStyle w:val="CharacterStyle12"/>
              </w:rPr>
              <w:t>26.650,00</w:t>
            </w:r>
          </w:p>
        </w:tc>
        <w:tc>
          <w:tcPr>
            <w:tcW w:w="1395" w:type="dxa"/>
            <w:tcBorders>
              <w:bottom w:val="single" w:sz="6" w:space="0" w:color="000000"/>
              <w:right w:val="single" w:sz="6" w:space="0" w:color="000000"/>
            </w:tcBorders>
            <w:vAlign w:val="center"/>
          </w:tcPr>
          <w:p w14:paraId="45E87B00" w14:textId="77777777" w:rsidR="007D706A" w:rsidRDefault="007D706A" w:rsidP="00F70508">
            <w:pPr>
              <w:pStyle w:val="ParagraphStyle12"/>
              <w:rPr>
                <w:rStyle w:val="CharacterStyle12"/>
              </w:rPr>
            </w:pPr>
            <w:r>
              <w:rPr>
                <w:rStyle w:val="CharacterStyle12"/>
              </w:rPr>
              <w:t>21.500,00</w:t>
            </w:r>
          </w:p>
        </w:tc>
        <w:tc>
          <w:tcPr>
            <w:tcW w:w="1395" w:type="dxa"/>
            <w:tcBorders>
              <w:bottom w:val="single" w:sz="6" w:space="0" w:color="000000"/>
              <w:right w:val="single" w:sz="6" w:space="0" w:color="000000"/>
            </w:tcBorders>
            <w:vAlign w:val="center"/>
          </w:tcPr>
          <w:p w14:paraId="02C37CC8" w14:textId="77777777" w:rsidR="007D706A" w:rsidRDefault="007D706A" w:rsidP="00F70508">
            <w:pPr>
              <w:pStyle w:val="ParagraphStyle12"/>
              <w:rPr>
                <w:rStyle w:val="CharacterStyle12"/>
              </w:rPr>
            </w:pPr>
            <w:r>
              <w:rPr>
                <w:rStyle w:val="CharacterStyle12"/>
              </w:rPr>
              <w:t>27.000,00</w:t>
            </w:r>
          </w:p>
        </w:tc>
        <w:tc>
          <w:tcPr>
            <w:tcW w:w="1395" w:type="dxa"/>
            <w:tcBorders>
              <w:bottom w:val="single" w:sz="6" w:space="0" w:color="000000"/>
              <w:right w:val="single" w:sz="6" w:space="0" w:color="000000"/>
            </w:tcBorders>
            <w:vAlign w:val="center"/>
          </w:tcPr>
          <w:p w14:paraId="2096A69A" w14:textId="77777777" w:rsidR="007D706A" w:rsidRDefault="007D706A" w:rsidP="00F70508">
            <w:pPr>
              <w:pStyle w:val="ParagraphStyle12"/>
              <w:rPr>
                <w:rStyle w:val="CharacterStyle12"/>
              </w:rPr>
            </w:pPr>
            <w:r>
              <w:rPr>
                <w:rStyle w:val="CharacterStyle12"/>
              </w:rPr>
              <w:t>27.000,00</w:t>
            </w:r>
          </w:p>
        </w:tc>
      </w:tr>
      <w:tr w:rsidR="007D706A" w14:paraId="2F4FE81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11D8627" w14:textId="77777777" w:rsidR="007D706A" w:rsidRDefault="007D706A" w:rsidP="00F70508">
            <w:pPr>
              <w:pStyle w:val="ParagraphStyle10"/>
              <w:rPr>
                <w:rStyle w:val="CharacterStyle10"/>
              </w:rPr>
            </w:pPr>
            <w:r>
              <w:rPr>
                <w:rStyle w:val="CharacterStyle10"/>
              </w:rPr>
              <w:t>42</w:t>
            </w:r>
          </w:p>
        </w:tc>
        <w:tc>
          <w:tcPr>
            <w:tcW w:w="4995" w:type="dxa"/>
            <w:tcBorders>
              <w:bottom w:val="single" w:sz="6" w:space="0" w:color="000000"/>
              <w:right w:val="single" w:sz="6" w:space="0" w:color="000000"/>
            </w:tcBorders>
            <w:vAlign w:val="center"/>
          </w:tcPr>
          <w:p w14:paraId="14B08D1E"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5422709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8474A7E" w14:textId="77777777" w:rsidR="007D706A" w:rsidRDefault="007D706A" w:rsidP="00F70508">
            <w:pPr>
              <w:pStyle w:val="ParagraphStyle12"/>
              <w:rPr>
                <w:rStyle w:val="CharacterStyle12"/>
              </w:rPr>
            </w:pPr>
            <w:r>
              <w:rPr>
                <w:rStyle w:val="CharacterStyle12"/>
              </w:rPr>
              <w:t>26.650,00</w:t>
            </w:r>
          </w:p>
        </w:tc>
        <w:tc>
          <w:tcPr>
            <w:tcW w:w="1395" w:type="dxa"/>
            <w:tcBorders>
              <w:bottom w:val="single" w:sz="6" w:space="0" w:color="000000"/>
              <w:right w:val="single" w:sz="6" w:space="0" w:color="000000"/>
            </w:tcBorders>
            <w:vAlign w:val="center"/>
          </w:tcPr>
          <w:p w14:paraId="7201AF98" w14:textId="77777777" w:rsidR="007D706A" w:rsidRDefault="007D706A" w:rsidP="00F70508">
            <w:pPr>
              <w:pStyle w:val="ParagraphStyle12"/>
              <w:rPr>
                <w:rStyle w:val="CharacterStyle12"/>
              </w:rPr>
            </w:pPr>
            <w:r>
              <w:rPr>
                <w:rStyle w:val="CharacterStyle12"/>
              </w:rPr>
              <w:t>21.500,00</w:t>
            </w:r>
          </w:p>
        </w:tc>
        <w:tc>
          <w:tcPr>
            <w:tcW w:w="1395" w:type="dxa"/>
            <w:tcBorders>
              <w:bottom w:val="single" w:sz="6" w:space="0" w:color="000000"/>
              <w:right w:val="single" w:sz="6" w:space="0" w:color="000000"/>
            </w:tcBorders>
            <w:vAlign w:val="center"/>
          </w:tcPr>
          <w:p w14:paraId="45BA42AB" w14:textId="77777777" w:rsidR="007D706A" w:rsidRDefault="007D706A" w:rsidP="00F70508">
            <w:pPr>
              <w:pStyle w:val="ParagraphStyle12"/>
              <w:rPr>
                <w:rStyle w:val="CharacterStyle12"/>
              </w:rPr>
            </w:pPr>
            <w:r>
              <w:rPr>
                <w:rStyle w:val="CharacterStyle12"/>
              </w:rPr>
              <w:t>27.000,00</w:t>
            </w:r>
          </w:p>
        </w:tc>
        <w:tc>
          <w:tcPr>
            <w:tcW w:w="1395" w:type="dxa"/>
            <w:tcBorders>
              <w:bottom w:val="single" w:sz="6" w:space="0" w:color="000000"/>
              <w:right w:val="single" w:sz="6" w:space="0" w:color="000000"/>
            </w:tcBorders>
            <w:vAlign w:val="center"/>
          </w:tcPr>
          <w:p w14:paraId="159C7C0E" w14:textId="77777777" w:rsidR="007D706A" w:rsidRDefault="007D706A" w:rsidP="00F70508">
            <w:pPr>
              <w:pStyle w:val="ParagraphStyle12"/>
              <w:rPr>
                <w:rStyle w:val="CharacterStyle12"/>
              </w:rPr>
            </w:pPr>
            <w:r>
              <w:rPr>
                <w:rStyle w:val="CharacterStyle12"/>
              </w:rPr>
              <w:t>27.000,00</w:t>
            </w:r>
          </w:p>
        </w:tc>
      </w:tr>
      <w:tr w:rsidR="007D706A" w14:paraId="01CA1E8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786E337" w14:textId="77777777" w:rsidR="007D706A" w:rsidRDefault="007D706A" w:rsidP="00F70508">
            <w:pPr>
              <w:pStyle w:val="ParagraphStyle4"/>
              <w:rPr>
                <w:rStyle w:val="CharacterStyle4"/>
              </w:rPr>
            </w:pPr>
            <w:r>
              <w:rPr>
                <w:rStyle w:val="CharacterStyle4"/>
              </w:rPr>
              <w:t>Tekući projekt T103702</w:t>
            </w:r>
          </w:p>
        </w:tc>
        <w:tc>
          <w:tcPr>
            <w:tcW w:w="4995" w:type="dxa"/>
            <w:tcBorders>
              <w:bottom w:val="single" w:sz="6" w:space="0" w:color="000000"/>
              <w:right w:val="single" w:sz="6" w:space="0" w:color="000000"/>
            </w:tcBorders>
            <w:vAlign w:val="center"/>
          </w:tcPr>
          <w:p w14:paraId="7CC7854D" w14:textId="77777777" w:rsidR="007D706A" w:rsidRDefault="007D706A" w:rsidP="00F70508">
            <w:pPr>
              <w:pStyle w:val="ParagraphStyle5"/>
              <w:rPr>
                <w:rStyle w:val="CharacterStyle5"/>
              </w:rPr>
            </w:pPr>
            <w:r>
              <w:rPr>
                <w:rStyle w:val="CharacterStyle5"/>
              </w:rPr>
              <w:t>ADRIATIC PORTLAND</w:t>
            </w:r>
          </w:p>
        </w:tc>
        <w:tc>
          <w:tcPr>
            <w:tcW w:w="1395" w:type="dxa"/>
            <w:tcBorders>
              <w:bottom w:val="single" w:sz="6" w:space="0" w:color="000000"/>
              <w:right w:val="single" w:sz="6" w:space="0" w:color="000000"/>
            </w:tcBorders>
            <w:vAlign w:val="center"/>
          </w:tcPr>
          <w:p w14:paraId="0D51D064"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16B431B8" w14:textId="77777777" w:rsidR="007D706A" w:rsidRDefault="007D706A" w:rsidP="00F70508">
            <w:pPr>
              <w:pStyle w:val="ParagraphStyle6"/>
              <w:rPr>
                <w:rStyle w:val="CharacterStyle6"/>
              </w:rPr>
            </w:pPr>
            <w:r>
              <w:rPr>
                <w:rStyle w:val="CharacterStyle6"/>
              </w:rPr>
              <w:t>93.092,67</w:t>
            </w:r>
          </w:p>
        </w:tc>
        <w:tc>
          <w:tcPr>
            <w:tcW w:w="1395" w:type="dxa"/>
            <w:tcBorders>
              <w:bottom w:val="single" w:sz="6" w:space="0" w:color="000000"/>
              <w:right w:val="single" w:sz="6" w:space="0" w:color="000000"/>
            </w:tcBorders>
            <w:vAlign w:val="center"/>
          </w:tcPr>
          <w:p w14:paraId="19E42BD3"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6171F82B"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6C4A8480" w14:textId="77777777" w:rsidR="007D706A" w:rsidRDefault="007D706A" w:rsidP="00F70508">
            <w:pPr>
              <w:pStyle w:val="ParagraphStyle6"/>
              <w:rPr>
                <w:rStyle w:val="CharacterStyle6"/>
              </w:rPr>
            </w:pPr>
            <w:r>
              <w:rPr>
                <w:rStyle w:val="CharacterStyle6"/>
              </w:rPr>
              <w:t>0,00</w:t>
            </w:r>
          </w:p>
        </w:tc>
      </w:tr>
      <w:tr w:rsidR="007D706A" w14:paraId="41661C26"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2012C61" w14:textId="77777777" w:rsidR="007D706A" w:rsidRDefault="007D706A" w:rsidP="00F70508">
            <w:pPr>
              <w:pStyle w:val="ParagraphStyle7"/>
              <w:rPr>
                <w:rStyle w:val="CharacterStyle7"/>
              </w:rPr>
            </w:pPr>
            <w:r>
              <w:rPr>
                <w:rStyle w:val="CharacterStyle7"/>
              </w:rPr>
              <w:t>Izvor financiranja 54</w:t>
            </w:r>
          </w:p>
        </w:tc>
        <w:tc>
          <w:tcPr>
            <w:tcW w:w="4995" w:type="dxa"/>
            <w:tcBorders>
              <w:bottom w:val="single" w:sz="6" w:space="0" w:color="000000"/>
              <w:right w:val="single" w:sz="6" w:space="0" w:color="000000"/>
            </w:tcBorders>
            <w:vAlign w:val="center"/>
          </w:tcPr>
          <w:p w14:paraId="42106633" w14:textId="77777777" w:rsidR="007D706A" w:rsidRDefault="007D706A" w:rsidP="00F70508">
            <w:pPr>
              <w:pStyle w:val="ParagraphStyle8"/>
              <w:rPr>
                <w:rStyle w:val="CharacterStyle8"/>
              </w:rPr>
            </w:pPr>
            <w:r>
              <w:rPr>
                <w:rStyle w:val="CharacterStyle8"/>
              </w:rPr>
              <w:t>Pomoći tijela i fondova EU</w:t>
            </w:r>
          </w:p>
        </w:tc>
        <w:tc>
          <w:tcPr>
            <w:tcW w:w="1395" w:type="dxa"/>
            <w:tcBorders>
              <w:bottom w:val="single" w:sz="6" w:space="0" w:color="000000"/>
              <w:right w:val="single" w:sz="6" w:space="0" w:color="000000"/>
            </w:tcBorders>
            <w:vAlign w:val="center"/>
          </w:tcPr>
          <w:p w14:paraId="0A2D7EA8"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E60BB7E" w14:textId="77777777" w:rsidR="007D706A" w:rsidRDefault="007D706A" w:rsidP="00F70508">
            <w:pPr>
              <w:pStyle w:val="ParagraphStyle9"/>
              <w:rPr>
                <w:rStyle w:val="CharacterStyle9"/>
              </w:rPr>
            </w:pPr>
            <w:r>
              <w:rPr>
                <w:rStyle w:val="CharacterStyle9"/>
              </w:rPr>
              <w:t>93.092,67</w:t>
            </w:r>
          </w:p>
        </w:tc>
        <w:tc>
          <w:tcPr>
            <w:tcW w:w="1395" w:type="dxa"/>
            <w:tcBorders>
              <w:bottom w:val="single" w:sz="6" w:space="0" w:color="000000"/>
              <w:right w:val="single" w:sz="6" w:space="0" w:color="000000"/>
            </w:tcBorders>
            <w:vAlign w:val="center"/>
          </w:tcPr>
          <w:p w14:paraId="300576B0"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CA71454"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0C3C4EB" w14:textId="77777777" w:rsidR="007D706A" w:rsidRDefault="007D706A" w:rsidP="00F70508">
            <w:pPr>
              <w:pStyle w:val="ParagraphStyle9"/>
              <w:rPr>
                <w:rStyle w:val="CharacterStyle9"/>
              </w:rPr>
            </w:pPr>
            <w:r>
              <w:rPr>
                <w:rStyle w:val="CharacterStyle9"/>
              </w:rPr>
              <w:t>0,00</w:t>
            </w:r>
          </w:p>
        </w:tc>
      </w:tr>
      <w:tr w:rsidR="007D706A" w14:paraId="4CABF22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552C12A"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52C91630"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0765168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C1E8393" w14:textId="77777777" w:rsidR="007D706A" w:rsidRDefault="007D706A" w:rsidP="00F70508">
            <w:pPr>
              <w:pStyle w:val="ParagraphStyle12"/>
              <w:rPr>
                <w:rStyle w:val="CharacterStyle12"/>
              </w:rPr>
            </w:pPr>
            <w:r>
              <w:rPr>
                <w:rStyle w:val="CharacterStyle12"/>
              </w:rPr>
              <w:t>93.092,67</w:t>
            </w:r>
          </w:p>
        </w:tc>
        <w:tc>
          <w:tcPr>
            <w:tcW w:w="1395" w:type="dxa"/>
            <w:tcBorders>
              <w:bottom w:val="single" w:sz="6" w:space="0" w:color="000000"/>
              <w:right w:val="single" w:sz="6" w:space="0" w:color="000000"/>
            </w:tcBorders>
            <w:vAlign w:val="center"/>
          </w:tcPr>
          <w:p w14:paraId="49AA774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BAE55E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A215AF9" w14:textId="77777777" w:rsidR="007D706A" w:rsidRDefault="007D706A" w:rsidP="00F70508">
            <w:pPr>
              <w:pStyle w:val="ParagraphStyle12"/>
              <w:rPr>
                <w:rStyle w:val="CharacterStyle12"/>
              </w:rPr>
            </w:pPr>
            <w:r>
              <w:rPr>
                <w:rStyle w:val="CharacterStyle12"/>
              </w:rPr>
              <w:t>0,00</w:t>
            </w:r>
          </w:p>
        </w:tc>
      </w:tr>
      <w:tr w:rsidR="007D706A" w14:paraId="04C8D01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B767B84"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0B6D689F"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7F53645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D3E445D" w14:textId="77777777" w:rsidR="007D706A" w:rsidRDefault="007D706A" w:rsidP="00F70508">
            <w:pPr>
              <w:pStyle w:val="ParagraphStyle12"/>
              <w:rPr>
                <w:rStyle w:val="CharacterStyle12"/>
              </w:rPr>
            </w:pPr>
            <w:r>
              <w:rPr>
                <w:rStyle w:val="CharacterStyle12"/>
              </w:rPr>
              <w:t>30.000,00</w:t>
            </w:r>
          </w:p>
        </w:tc>
        <w:tc>
          <w:tcPr>
            <w:tcW w:w="1395" w:type="dxa"/>
            <w:tcBorders>
              <w:bottom w:val="single" w:sz="6" w:space="0" w:color="000000"/>
              <w:right w:val="single" w:sz="6" w:space="0" w:color="000000"/>
            </w:tcBorders>
            <w:vAlign w:val="center"/>
          </w:tcPr>
          <w:p w14:paraId="18D171F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60CC8F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386C88F" w14:textId="77777777" w:rsidR="007D706A" w:rsidRDefault="007D706A" w:rsidP="00F70508">
            <w:pPr>
              <w:pStyle w:val="ParagraphStyle12"/>
              <w:rPr>
                <w:rStyle w:val="CharacterStyle12"/>
              </w:rPr>
            </w:pPr>
            <w:r>
              <w:rPr>
                <w:rStyle w:val="CharacterStyle12"/>
              </w:rPr>
              <w:t>0,00</w:t>
            </w:r>
          </w:p>
        </w:tc>
      </w:tr>
      <w:tr w:rsidR="007D706A" w14:paraId="0C7C0DB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6E400C3" w14:textId="77777777" w:rsidR="007D706A" w:rsidRDefault="007D706A" w:rsidP="00F70508">
            <w:pPr>
              <w:pStyle w:val="ParagraphStyle10"/>
              <w:rPr>
                <w:rStyle w:val="CharacterStyle10"/>
              </w:rPr>
            </w:pPr>
            <w:r>
              <w:rPr>
                <w:rStyle w:val="CharacterStyle10"/>
              </w:rPr>
              <w:t>36</w:t>
            </w:r>
          </w:p>
        </w:tc>
        <w:tc>
          <w:tcPr>
            <w:tcW w:w="4995" w:type="dxa"/>
            <w:tcBorders>
              <w:bottom w:val="single" w:sz="6" w:space="0" w:color="000000"/>
              <w:right w:val="single" w:sz="6" w:space="0" w:color="000000"/>
            </w:tcBorders>
            <w:vAlign w:val="center"/>
          </w:tcPr>
          <w:p w14:paraId="13FDFCBA" w14:textId="77777777" w:rsidR="007D706A" w:rsidRDefault="007D706A" w:rsidP="00F70508">
            <w:pPr>
              <w:pStyle w:val="ParagraphStyle11"/>
              <w:rPr>
                <w:rStyle w:val="CharacterStyle11"/>
              </w:rPr>
            </w:pPr>
            <w:r>
              <w:rPr>
                <w:rStyle w:val="CharacterStyle11"/>
              </w:rPr>
              <w:t>Pomoći dane u inozemstvo i unutar općeg proračuna</w:t>
            </w:r>
          </w:p>
        </w:tc>
        <w:tc>
          <w:tcPr>
            <w:tcW w:w="1395" w:type="dxa"/>
            <w:tcBorders>
              <w:bottom w:val="single" w:sz="6" w:space="0" w:color="000000"/>
              <w:right w:val="single" w:sz="6" w:space="0" w:color="000000"/>
            </w:tcBorders>
            <w:vAlign w:val="center"/>
          </w:tcPr>
          <w:p w14:paraId="11D534C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B567B87" w14:textId="77777777" w:rsidR="007D706A" w:rsidRDefault="007D706A" w:rsidP="00F70508">
            <w:pPr>
              <w:pStyle w:val="ParagraphStyle12"/>
              <w:rPr>
                <w:rStyle w:val="CharacterStyle12"/>
              </w:rPr>
            </w:pPr>
            <w:r>
              <w:rPr>
                <w:rStyle w:val="CharacterStyle12"/>
              </w:rPr>
              <w:t>63.092,67</w:t>
            </w:r>
          </w:p>
        </w:tc>
        <w:tc>
          <w:tcPr>
            <w:tcW w:w="1395" w:type="dxa"/>
            <w:tcBorders>
              <w:bottom w:val="single" w:sz="6" w:space="0" w:color="000000"/>
              <w:right w:val="single" w:sz="6" w:space="0" w:color="000000"/>
            </w:tcBorders>
            <w:vAlign w:val="center"/>
          </w:tcPr>
          <w:p w14:paraId="7FCDBD9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2EF11A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88474A6" w14:textId="77777777" w:rsidR="007D706A" w:rsidRDefault="007D706A" w:rsidP="00F70508">
            <w:pPr>
              <w:pStyle w:val="ParagraphStyle12"/>
              <w:rPr>
                <w:rStyle w:val="CharacterStyle12"/>
              </w:rPr>
            </w:pPr>
            <w:r>
              <w:rPr>
                <w:rStyle w:val="CharacterStyle12"/>
              </w:rPr>
              <w:t>0,00</w:t>
            </w:r>
          </w:p>
        </w:tc>
      </w:tr>
      <w:tr w:rsidR="007D706A" w14:paraId="7411770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E275125" w14:textId="77777777" w:rsidR="007D706A" w:rsidRDefault="007D706A" w:rsidP="00F70508">
            <w:pPr>
              <w:pStyle w:val="ParagraphStyle4"/>
              <w:rPr>
                <w:rStyle w:val="CharacterStyle4"/>
              </w:rPr>
            </w:pPr>
            <w:r>
              <w:rPr>
                <w:rStyle w:val="CharacterStyle4"/>
              </w:rPr>
              <w:t>Aktivnost A103712</w:t>
            </w:r>
          </w:p>
        </w:tc>
        <w:tc>
          <w:tcPr>
            <w:tcW w:w="4995" w:type="dxa"/>
            <w:tcBorders>
              <w:bottom w:val="single" w:sz="6" w:space="0" w:color="000000"/>
              <w:right w:val="single" w:sz="6" w:space="0" w:color="000000"/>
            </w:tcBorders>
            <w:vAlign w:val="center"/>
          </w:tcPr>
          <w:p w14:paraId="1560B13D" w14:textId="77777777" w:rsidR="007D706A" w:rsidRDefault="007D706A" w:rsidP="00F70508">
            <w:pPr>
              <w:pStyle w:val="ParagraphStyle5"/>
              <w:rPr>
                <w:rStyle w:val="CharacterStyle5"/>
              </w:rPr>
            </w:pPr>
            <w:r>
              <w:rPr>
                <w:rStyle w:val="CharacterStyle5"/>
              </w:rPr>
              <w:t>REDOVAN RAD USTANOVE U KULTURI</w:t>
            </w:r>
          </w:p>
        </w:tc>
        <w:tc>
          <w:tcPr>
            <w:tcW w:w="1395" w:type="dxa"/>
            <w:tcBorders>
              <w:bottom w:val="single" w:sz="6" w:space="0" w:color="000000"/>
              <w:right w:val="single" w:sz="6" w:space="0" w:color="000000"/>
            </w:tcBorders>
            <w:vAlign w:val="center"/>
          </w:tcPr>
          <w:p w14:paraId="397C3EDD"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6E84659F" w14:textId="77777777" w:rsidR="007D706A" w:rsidRDefault="007D706A" w:rsidP="00F70508">
            <w:pPr>
              <w:pStyle w:val="ParagraphStyle6"/>
              <w:rPr>
                <w:rStyle w:val="CharacterStyle6"/>
              </w:rPr>
            </w:pPr>
            <w:r>
              <w:rPr>
                <w:rStyle w:val="CharacterStyle6"/>
              </w:rPr>
              <w:t>249.870,18</w:t>
            </w:r>
          </w:p>
        </w:tc>
        <w:tc>
          <w:tcPr>
            <w:tcW w:w="1395" w:type="dxa"/>
            <w:tcBorders>
              <w:bottom w:val="single" w:sz="6" w:space="0" w:color="000000"/>
              <w:right w:val="single" w:sz="6" w:space="0" w:color="000000"/>
            </w:tcBorders>
            <w:vAlign w:val="center"/>
          </w:tcPr>
          <w:p w14:paraId="683B6D96" w14:textId="77777777" w:rsidR="007D706A" w:rsidRDefault="007D706A" w:rsidP="00F70508">
            <w:pPr>
              <w:pStyle w:val="ParagraphStyle6"/>
              <w:rPr>
                <w:rStyle w:val="CharacterStyle6"/>
              </w:rPr>
            </w:pPr>
            <w:r>
              <w:rPr>
                <w:rStyle w:val="CharacterStyle6"/>
              </w:rPr>
              <w:t>251.084,00</w:t>
            </w:r>
          </w:p>
        </w:tc>
        <w:tc>
          <w:tcPr>
            <w:tcW w:w="1395" w:type="dxa"/>
            <w:tcBorders>
              <w:bottom w:val="single" w:sz="6" w:space="0" w:color="000000"/>
              <w:right w:val="single" w:sz="6" w:space="0" w:color="000000"/>
            </w:tcBorders>
            <w:vAlign w:val="center"/>
          </w:tcPr>
          <w:p w14:paraId="4AE7F1D4" w14:textId="77777777" w:rsidR="007D706A" w:rsidRDefault="007D706A" w:rsidP="00F70508">
            <w:pPr>
              <w:pStyle w:val="ParagraphStyle6"/>
              <w:rPr>
                <w:rStyle w:val="CharacterStyle6"/>
              </w:rPr>
            </w:pPr>
            <w:r>
              <w:rPr>
                <w:rStyle w:val="CharacterStyle6"/>
              </w:rPr>
              <w:t>253.175,00</w:t>
            </w:r>
          </w:p>
        </w:tc>
        <w:tc>
          <w:tcPr>
            <w:tcW w:w="1395" w:type="dxa"/>
            <w:tcBorders>
              <w:bottom w:val="single" w:sz="6" w:space="0" w:color="000000"/>
              <w:right w:val="single" w:sz="6" w:space="0" w:color="000000"/>
            </w:tcBorders>
            <w:vAlign w:val="center"/>
          </w:tcPr>
          <w:p w14:paraId="3F351FCB" w14:textId="77777777" w:rsidR="007D706A" w:rsidRDefault="007D706A" w:rsidP="00F70508">
            <w:pPr>
              <w:pStyle w:val="ParagraphStyle6"/>
              <w:rPr>
                <w:rStyle w:val="CharacterStyle6"/>
              </w:rPr>
            </w:pPr>
            <w:r>
              <w:rPr>
                <w:rStyle w:val="CharacterStyle6"/>
              </w:rPr>
              <w:t>260.300,00</w:t>
            </w:r>
          </w:p>
        </w:tc>
      </w:tr>
      <w:tr w:rsidR="007D706A" w14:paraId="26D0BCA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D11126D"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72FCBE3B"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651AC715"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F544EF7" w14:textId="77777777" w:rsidR="007D706A" w:rsidRDefault="007D706A" w:rsidP="00F70508">
            <w:pPr>
              <w:pStyle w:val="ParagraphStyle9"/>
              <w:rPr>
                <w:rStyle w:val="CharacterStyle9"/>
              </w:rPr>
            </w:pPr>
            <w:r>
              <w:rPr>
                <w:rStyle w:val="CharacterStyle9"/>
              </w:rPr>
              <w:t>246.180,15</w:t>
            </w:r>
          </w:p>
        </w:tc>
        <w:tc>
          <w:tcPr>
            <w:tcW w:w="1395" w:type="dxa"/>
            <w:tcBorders>
              <w:bottom w:val="single" w:sz="6" w:space="0" w:color="000000"/>
              <w:right w:val="single" w:sz="6" w:space="0" w:color="000000"/>
            </w:tcBorders>
            <w:vAlign w:val="center"/>
          </w:tcPr>
          <w:p w14:paraId="70662781" w14:textId="77777777" w:rsidR="007D706A" w:rsidRDefault="007D706A" w:rsidP="00F70508">
            <w:pPr>
              <w:pStyle w:val="ParagraphStyle9"/>
              <w:rPr>
                <w:rStyle w:val="CharacterStyle9"/>
              </w:rPr>
            </w:pPr>
            <w:r>
              <w:rPr>
                <w:rStyle w:val="CharacterStyle9"/>
              </w:rPr>
              <w:t>249.084,00</w:t>
            </w:r>
          </w:p>
        </w:tc>
        <w:tc>
          <w:tcPr>
            <w:tcW w:w="1395" w:type="dxa"/>
            <w:tcBorders>
              <w:bottom w:val="single" w:sz="6" w:space="0" w:color="000000"/>
              <w:right w:val="single" w:sz="6" w:space="0" w:color="000000"/>
            </w:tcBorders>
            <w:vAlign w:val="center"/>
          </w:tcPr>
          <w:p w14:paraId="1A066E89" w14:textId="77777777" w:rsidR="007D706A" w:rsidRDefault="007D706A" w:rsidP="00F70508">
            <w:pPr>
              <w:pStyle w:val="ParagraphStyle9"/>
              <w:rPr>
                <w:rStyle w:val="CharacterStyle9"/>
              </w:rPr>
            </w:pPr>
            <w:r>
              <w:rPr>
                <w:rStyle w:val="CharacterStyle9"/>
              </w:rPr>
              <w:t>251.175,00</w:t>
            </w:r>
          </w:p>
        </w:tc>
        <w:tc>
          <w:tcPr>
            <w:tcW w:w="1395" w:type="dxa"/>
            <w:tcBorders>
              <w:bottom w:val="single" w:sz="6" w:space="0" w:color="000000"/>
              <w:right w:val="single" w:sz="6" w:space="0" w:color="000000"/>
            </w:tcBorders>
            <w:vAlign w:val="center"/>
          </w:tcPr>
          <w:p w14:paraId="03CB3C30" w14:textId="77777777" w:rsidR="007D706A" w:rsidRDefault="007D706A" w:rsidP="00F70508">
            <w:pPr>
              <w:pStyle w:val="ParagraphStyle9"/>
              <w:rPr>
                <w:rStyle w:val="CharacterStyle9"/>
              </w:rPr>
            </w:pPr>
            <w:r>
              <w:rPr>
                <w:rStyle w:val="CharacterStyle9"/>
              </w:rPr>
              <w:t>258.300,00</w:t>
            </w:r>
          </w:p>
        </w:tc>
      </w:tr>
      <w:tr w:rsidR="007D706A" w14:paraId="34E265D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0E31E60"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14112770"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7122B00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AC6F8AB" w14:textId="77777777" w:rsidR="007D706A" w:rsidRDefault="007D706A" w:rsidP="00F70508">
            <w:pPr>
              <w:pStyle w:val="ParagraphStyle12"/>
              <w:rPr>
                <w:rStyle w:val="CharacterStyle12"/>
              </w:rPr>
            </w:pPr>
            <w:r>
              <w:rPr>
                <w:rStyle w:val="CharacterStyle12"/>
              </w:rPr>
              <w:t>246.180,15</w:t>
            </w:r>
          </w:p>
        </w:tc>
        <w:tc>
          <w:tcPr>
            <w:tcW w:w="1395" w:type="dxa"/>
            <w:tcBorders>
              <w:bottom w:val="single" w:sz="6" w:space="0" w:color="000000"/>
              <w:right w:val="single" w:sz="6" w:space="0" w:color="000000"/>
            </w:tcBorders>
            <w:vAlign w:val="center"/>
          </w:tcPr>
          <w:p w14:paraId="1E3E9DF3" w14:textId="77777777" w:rsidR="007D706A" w:rsidRDefault="007D706A" w:rsidP="00F70508">
            <w:pPr>
              <w:pStyle w:val="ParagraphStyle12"/>
              <w:rPr>
                <w:rStyle w:val="CharacterStyle12"/>
              </w:rPr>
            </w:pPr>
            <w:r>
              <w:rPr>
                <w:rStyle w:val="CharacterStyle12"/>
              </w:rPr>
              <w:t>249.084,00</w:t>
            </w:r>
          </w:p>
        </w:tc>
        <w:tc>
          <w:tcPr>
            <w:tcW w:w="1395" w:type="dxa"/>
            <w:tcBorders>
              <w:bottom w:val="single" w:sz="6" w:space="0" w:color="000000"/>
              <w:right w:val="single" w:sz="6" w:space="0" w:color="000000"/>
            </w:tcBorders>
            <w:vAlign w:val="center"/>
          </w:tcPr>
          <w:p w14:paraId="633E4758" w14:textId="77777777" w:rsidR="007D706A" w:rsidRDefault="007D706A" w:rsidP="00F70508">
            <w:pPr>
              <w:pStyle w:val="ParagraphStyle12"/>
              <w:rPr>
                <w:rStyle w:val="CharacterStyle12"/>
              </w:rPr>
            </w:pPr>
            <w:r>
              <w:rPr>
                <w:rStyle w:val="CharacterStyle12"/>
              </w:rPr>
              <w:t>251.175,00</w:t>
            </w:r>
          </w:p>
        </w:tc>
        <w:tc>
          <w:tcPr>
            <w:tcW w:w="1395" w:type="dxa"/>
            <w:tcBorders>
              <w:bottom w:val="single" w:sz="6" w:space="0" w:color="000000"/>
              <w:right w:val="single" w:sz="6" w:space="0" w:color="000000"/>
            </w:tcBorders>
            <w:vAlign w:val="center"/>
          </w:tcPr>
          <w:p w14:paraId="6743F387" w14:textId="77777777" w:rsidR="007D706A" w:rsidRDefault="007D706A" w:rsidP="00F70508">
            <w:pPr>
              <w:pStyle w:val="ParagraphStyle12"/>
              <w:rPr>
                <w:rStyle w:val="CharacterStyle12"/>
              </w:rPr>
            </w:pPr>
            <w:r>
              <w:rPr>
                <w:rStyle w:val="CharacterStyle12"/>
              </w:rPr>
              <w:t>258.300,00</w:t>
            </w:r>
          </w:p>
        </w:tc>
      </w:tr>
      <w:tr w:rsidR="007D706A" w14:paraId="24D5906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C6A0D92" w14:textId="77777777" w:rsidR="007D706A" w:rsidRDefault="007D706A" w:rsidP="00F70508">
            <w:pPr>
              <w:pStyle w:val="ParagraphStyle10"/>
              <w:rPr>
                <w:rStyle w:val="CharacterStyle10"/>
              </w:rPr>
            </w:pPr>
            <w:r>
              <w:rPr>
                <w:rStyle w:val="CharacterStyle10"/>
              </w:rPr>
              <w:t>31</w:t>
            </w:r>
          </w:p>
        </w:tc>
        <w:tc>
          <w:tcPr>
            <w:tcW w:w="4995" w:type="dxa"/>
            <w:tcBorders>
              <w:bottom w:val="single" w:sz="6" w:space="0" w:color="000000"/>
              <w:right w:val="single" w:sz="6" w:space="0" w:color="000000"/>
            </w:tcBorders>
            <w:vAlign w:val="center"/>
          </w:tcPr>
          <w:p w14:paraId="3B978EC7" w14:textId="77777777" w:rsidR="007D706A" w:rsidRDefault="007D706A" w:rsidP="00F70508">
            <w:pPr>
              <w:pStyle w:val="ParagraphStyle11"/>
              <w:rPr>
                <w:rStyle w:val="CharacterStyle11"/>
              </w:rPr>
            </w:pPr>
            <w:r>
              <w:rPr>
                <w:rStyle w:val="CharacterStyle11"/>
              </w:rPr>
              <w:t>Rashodi za zaposlene</w:t>
            </w:r>
          </w:p>
        </w:tc>
        <w:tc>
          <w:tcPr>
            <w:tcW w:w="1395" w:type="dxa"/>
            <w:tcBorders>
              <w:bottom w:val="single" w:sz="6" w:space="0" w:color="000000"/>
              <w:right w:val="single" w:sz="6" w:space="0" w:color="000000"/>
            </w:tcBorders>
            <w:vAlign w:val="center"/>
          </w:tcPr>
          <w:p w14:paraId="404D422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EEEE405" w14:textId="77777777" w:rsidR="007D706A" w:rsidRDefault="007D706A" w:rsidP="00F70508">
            <w:pPr>
              <w:pStyle w:val="ParagraphStyle12"/>
              <w:rPr>
                <w:rStyle w:val="CharacterStyle12"/>
              </w:rPr>
            </w:pPr>
            <w:r>
              <w:rPr>
                <w:rStyle w:val="CharacterStyle12"/>
              </w:rPr>
              <w:t>202.099,15</w:t>
            </w:r>
          </w:p>
        </w:tc>
        <w:tc>
          <w:tcPr>
            <w:tcW w:w="1395" w:type="dxa"/>
            <w:tcBorders>
              <w:bottom w:val="single" w:sz="6" w:space="0" w:color="000000"/>
              <w:right w:val="single" w:sz="6" w:space="0" w:color="000000"/>
            </w:tcBorders>
            <w:vAlign w:val="center"/>
          </w:tcPr>
          <w:p w14:paraId="5DAE9391" w14:textId="77777777" w:rsidR="007D706A" w:rsidRDefault="007D706A" w:rsidP="00F70508">
            <w:pPr>
              <w:pStyle w:val="ParagraphStyle12"/>
              <w:rPr>
                <w:rStyle w:val="CharacterStyle12"/>
              </w:rPr>
            </w:pPr>
            <w:r>
              <w:rPr>
                <w:rStyle w:val="CharacterStyle12"/>
              </w:rPr>
              <w:t>202.099,00</w:t>
            </w:r>
          </w:p>
        </w:tc>
        <w:tc>
          <w:tcPr>
            <w:tcW w:w="1395" w:type="dxa"/>
            <w:tcBorders>
              <w:bottom w:val="single" w:sz="6" w:space="0" w:color="000000"/>
              <w:right w:val="single" w:sz="6" w:space="0" w:color="000000"/>
            </w:tcBorders>
            <w:vAlign w:val="center"/>
          </w:tcPr>
          <w:p w14:paraId="0D601658" w14:textId="77777777" w:rsidR="007D706A" w:rsidRDefault="007D706A" w:rsidP="00F70508">
            <w:pPr>
              <w:pStyle w:val="ParagraphStyle12"/>
              <w:rPr>
                <w:rStyle w:val="CharacterStyle12"/>
              </w:rPr>
            </w:pPr>
            <w:r>
              <w:rPr>
                <w:rStyle w:val="CharacterStyle12"/>
              </w:rPr>
              <w:t>207.225,00</w:t>
            </w:r>
          </w:p>
        </w:tc>
        <w:tc>
          <w:tcPr>
            <w:tcW w:w="1395" w:type="dxa"/>
            <w:tcBorders>
              <w:bottom w:val="single" w:sz="6" w:space="0" w:color="000000"/>
              <w:right w:val="single" w:sz="6" w:space="0" w:color="000000"/>
            </w:tcBorders>
            <w:vAlign w:val="center"/>
          </w:tcPr>
          <w:p w14:paraId="3A45DA54" w14:textId="77777777" w:rsidR="007D706A" w:rsidRDefault="007D706A" w:rsidP="00F70508">
            <w:pPr>
              <w:pStyle w:val="ParagraphStyle12"/>
              <w:rPr>
                <w:rStyle w:val="CharacterStyle12"/>
              </w:rPr>
            </w:pPr>
            <w:r>
              <w:rPr>
                <w:rStyle w:val="CharacterStyle12"/>
              </w:rPr>
              <w:t>213.050,00</w:t>
            </w:r>
          </w:p>
        </w:tc>
      </w:tr>
      <w:tr w:rsidR="007D706A" w14:paraId="666C115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0106DC5"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014FEF91"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72A64EB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1268F6E" w14:textId="77777777" w:rsidR="007D706A" w:rsidRDefault="007D706A" w:rsidP="00F70508">
            <w:pPr>
              <w:pStyle w:val="ParagraphStyle12"/>
              <w:rPr>
                <w:rStyle w:val="CharacterStyle12"/>
              </w:rPr>
            </w:pPr>
            <w:r>
              <w:rPr>
                <w:rStyle w:val="CharacterStyle12"/>
              </w:rPr>
              <w:t>43.681,00</w:t>
            </w:r>
          </w:p>
        </w:tc>
        <w:tc>
          <w:tcPr>
            <w:tcW w:w="1395" w:type="dxa"/>
            <w:tcBorders>
              <w:bottom w:val="single" w:sz="6" w:space="0" w:color="000000"/>
              <w:right w:val="single" w:sz="6" w:space="0" w:color="000000"/>
            </w:tcBorders>
            <w:vAlign w:val="center"/>
          </w:tcPr>
          <w:p w14:paraId="6F596951" w14:textId="77777777" w:rsidR="007D706A" w:rsidRDefault="007D706A" w:rsidP="00F70508">
            <w:pPr>
              <w:pStyle w:val="ParagraphStyle12"/>
              <w:rPr>
                <w:rStyle w:val="CharacterStyle12"/>
              </w:rPr>
            </w:pPr>
            <w:r>
              <w:rPr>
                <w:rStyle w:val="CharacterStyle12"/>
              </w:rPr>
              <w:t>46.635,00</w:t>
            </w:r>
          </w:p>
        </w:tc>
        <w:tc>
          <w:tcPr>
            <w:tcW w:w="1395" w:type="dxa"/>
            <w:tcBorders>
              <w:bottom w:val="single" w:sz="6" w:space="0" w:color="000000"/>
              <w:right w:val="single" w:sz="6" w:space="0" w:color="000000"/>
            </w:tcBorders>
            <w:vAlign w:val="center"/>
          </w:tcPr>
          <w:p w14:paraId="542A3A17" w14:textId="77777777" w:rsidR="007D706A" w:rsidRDefault="007D706A" w:rsidP="00F70508">
            <w:pPr>
              <w:pStyle w:val="ParagraphStyle12"/>
              <w:rPr>
                <w:rStyle w:val="CharacterStyle12"/>
              </w:rPr>
            </w:pPr>
            <w:r>
              <w:rPr>
                <w:rStyle w:val="CharacterStyle12"/>
              </w:rPr>
              <w:t>43.600,00</w:t>
            </w:r>
          </w:p>
        </w:tc>
        <w:tc>
          <w:tcPr>
            <w:tcW w:w="1395" w:type="dxa"/>
            <w:tcBorders>
              <w:bottom w:val="single" w:sz="6" w:space="0" w:color="000000"/>
              <w:right w:val="single" w:sz="6" w:space="0" w:color="000000"/>
            </w:tcBorders>
            <w:vAlign w:val="center"/>
          </w:tcPr>
          <w:p w14:paraId="73037352" w14:textId="77777777" w:rsidR="007D706A" w:rsidRDefault="007D706A" w:rsidP="00F70508">
            <w:pPr>
              <w:pStyle w:val="ParagraphStyle12"/>
              <w:rPr>
                <w:rStyle w:val="CharacterStyle12"/>
              </w:rPr>
            </w:pPr>
            <w:r>
              <w:rPr>
                <w:rStyle w:val="CharacterStyle12"/>
              </w:rPr>
              <w:t>44.900,00</w:t>
            </w:r>
          </w:p>
        </w:tc>
      </w:tr>
      <w:tr w:rsidR="007D706A" w14:paraId="2A764CA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AE3114C" w14:textId="77777777" w:rsidR="007D706A" w:rsidRDefault="007D706A" w:rsidP="00F70508">
            <w:pPr>
              <w:pStyle w:val="ParagraphStyle10"/>
              <w:rPr>
                <w:rStyle w:val="CharacterStyle10"/>
              </w:rPr>
            </w:pPr>
            <w:r>
              <w:rPr>
                <w:rStyle w:val="CharacterStyle10"/>
              </w:rPr>
              <w:t>34</w:t>
            </w:r>
          </w:p>
        </w:tc>
        <w:tc>
          <w:tcPr>
            <w:tcW w:w="4995" w:type="dxa"/>
            <w:tcBorders>
              <w:bottom w:val="single" w:sz="6" w:space="0" w:color="000000"/>
              <w:right w:val="single" w:sz="6" w:space="0" w:color="000000"/>
            </w:tcBorders>
            <w:vAlign w:val="center"/>
          </w:tcPr>
          <w:p w14:paraId="541B7BC2" w14:textId="77777777" w:rsidR="007D706A" w:rsidRDefault="007D706A" w:rsidP="00F70508">
            <w:pPr>
              <w:pStyle w:val="ParagraphStyle11"/>
              <w:rPr>
                <w:rStyle w:val="CharacterStyle11"/>
              </w:rPr>
            </w:pPr>
            <w:r>
              <w:rPr>
                <w:rStyle w:val="CharacterStyle11"/>
              </w:rPr>
              <w:t>Financijski rashodi</w:t>
            </w:r>
          </w:p>
        </w:tc>
        <w:tc>
          <w:tcPr>
            <w:tcW w:w="1395" w:type="dxa"/>
            <w:tcBorders>
              <w:bottom w:val="single" w:sz="6" w:space="0" w:color="000000"/>
              <w:right w:val="single" w:sz="6" w:space="0" w:color="000000"/>
            </w:tcBorders>
            <w:vAlign w:val="center"/>
          </w:tcPr>
          <w:p w14:paraId="3D67919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94894E9" w14:textId="77777777" w:rsidR="007D706A" w:rsidRDefault="007D706A" w:rsidP="00F70508">
            <w:pPr>
              <w:pStyle w:val="ParagraphStyle12"/>
              <w:rPr>
                <w:rStyle w:val="CharacterStyle12"/>
              </w:rPr>
            </w:pPr>
            <w:r>
              <w:rPr>
                <w:rStyle w:val="CharacterStyle12"/>
              </w:rPr>
              <w:t>400,00</w:t>
            </w:r>
          </w:p>
        </w:tc>
        <w:tc>
          <w:tcPr>
            <w:tcW w:w="1395" w:type="dxa"/>
            <w:tcBorders>
              <w:bottom w:val="single" w:sz="6" w:space="0" w:color="000000"/>
              <w:right w:val="single" w:sz="6" w:space="0" w:color="000000"/>
            </w:tcBorders>
            <w:vAlign w:val="center"/>
          </w:tcPr>
          <w:p w14:paraId="008586B1" w14:textId="77777777" w:rsidR="007D706A" w:rsidRDefault="007D706A" w:rsidP="00F70508">
            <w:pPr>
              <w:pStyle w:val="ParagraphStyle12"/>
              <w:rPr>
                <w:rStyle w:val="CharacterStyle12"/>
              </w:rPr>
            </w:pPr>
            <w:r>
              <w:rPr>
                <w:rStyle w:val="CharacterStyle12"/>
              </w:rPr>
              <w:t>350,00</w:t>
            </w:r>
          </w:p>
        </w:tc>
        <w:tc>
          <w:tcPr>
            <w:tcW w:w="1395" w:type="dxa"/>
            <w:tcBorders>
              <w:bottom w:val="single" w:sz="6" w:space="0" w:color="000000"/>
              <w:right w:val="single" w:sz="6" w:space="0" w:color="000000"/>
            </w:tcBorders>
            <w:vAlign w:val="center"/>
          </w:tcPr>
          <w:p w14:paraId="1D8CD1D3" w14:textId="77777777" w:rsidR="007D706A" w:rsidRDefault="007D706A" w:rsidP="00F70508">
            <w:pPr>
              <w:pStyle w:val="ParagraphStyle12"/>
              <w:rPr>
                <w:rStyle w:val="CharacterStyle12"/>
              </w:rPr>
            </w:pPr>
            <w:r>
              <w:rPr>
                <w:rStyle w:val="CharacterStyle12"/>
              </w:rPr>
              <w:t>350,00</w:t>
            </w:r>
          </w:p>
        </w:tc>
        <w:tc>
          <w:tcPr>
            <w:tcW w:w="1395" w:type="dxa"/>
            <w:tcBorders>
              <w:bottom w:val="single" w:sz="6" w:space="0" w:color="000000"/>
              <w:right w:val="single" w:sz="6" w:space="0" w:color="000000"/>
            </w:tcBorders>
            <w:vAlign w:val="center"/>
          </w:tcPr>
          <w:p w14:paraId="3E5A54DC" w14:textId="77777777" w:rsidR="007D706A" w:rsidRDefault="007D706A" w:rsidP="00F70508">
            <w:pPr>
              <w:pStyle w:val="ParagraphStyle12"/>
              <w:rPr>
                <w:rStyle w:val="CharacterStyle12"/>
              </w:rPr>
            </w:pPr>
            <w:r>
              <w:rPr>
                <w:rStyle w:val="CharacterStyle12"/>
              </w:rPr>
              <w:t>350,00</w:t>
            </w:r>
          </w:p>
        </w:tc>
      </w:tr>
      <w:tr w:rsidR="007D706A" w14:paraId="72FF60A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767AB31" w14:textId="77777777" w:rsidR="007D706A" w:rsidRDefault="007D706A" w:rsidP="00F70508">
            <w:pPr>
              <w:pStyle w:val="ParagraphStyle7"/>
              <w:rPr>
                <w:rStyle w:val="CharacterStyle7"/>
              </w:rPr>
            </w:pPr>
            <w:r>
              <w:rPr>
                <w:rStyle w:val="CharacterStyle7"/>
              </w:rPr>
              <w:t>Izvor financiranja 31</w:t>
            </w:r>
          </w:p>
        </w:tc>
        <w:tc>
          <w:tcPr>
            <w:tcW w:w="4995" w:type="dxa"/>
            <w:tcBorders>
              <w:bottom w:val="single" w:sz="6" w:space="0" w:color="000000"/>
              <w:right w:val="single" w:sz="6" w:space="0" w:color="000000"/>
            </w:tcBorders>
            <w:vAlign w:val="center"/>
          </w:tcPr>
          <w:p w14:paraId="7F1F2853" w14:textId="77777777" w:rsidR="007D706A" w:rsidRDefault="007D706A" w:rsidP="00F70508">
            <w:pPr>
              <w:pStyle w:val="ParagraphStyle8"/>
              <w:rPr>
                <w:rStyle w:val="CharacterStyle8"/>
              </w:rPr>
            </w:pPr>
            <w:r>
              <w:rPr>
                <w:rStyle w:val="CharacterStyle8"/>
              </w:rPr>
              <w:t>Vlastiti prihodi</w:t>
            </w:r>
          </w:p>
        </w:tc>
        <w:tc>
          <w:tcPr>
            <w:tcW w:w="1395" w:type="dxa"/>
            <w:tcBorders>
              <w:bottom w:val="single" w:sz="6" w:space="0" w:color="000000"/>
              <w:right w:val="single" w:sz="6" w:space="0" w:color="000000"/>
            </w:tcBorders>
            <w:vAlign w:val="center"/>
          </w:tcPr>
          <w:p w14:paraId="695AFAD3"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2556876" w14:textId="77777777" w:rsidR="007D706A" w:rsidRDefault="007D706A" w:rsidP="00F70508">
            <w:pPr>
              <w:pStyle w:val="ParagraphStyle9"/>
              <w:rPr>
                <w:rStyle w:val="CharacterStyle9"/>
              </w:rPr>
            </w:pPr>
            <w:r>
              <w:rPr>
                <w:rStyle w:val="CharacterStyle9"/>
              </w:rPr>
              <w:t>1.940,03</w:t>
            </w:r>
          </w:p>
        </w:tc>
        <w:tc>
          <w:tcPr>
            <w:tcW w:w="1395" w:type="dxa"/>
            <w:tcBorders>
              <w:bottom w:val="single" w:sz="6" w:space="0" w:color="000000"/>
              <w:right w:val="single" w:sz="6" w:space="0" w:color="000000"/>
            </w:tcBorders>
            <w:vAlign w:val="center"/>
          </w:tcPr>
          <w:p w14:paraId="019561B8" w14:textId="77777777" w:rsidR="007D706A" w:rsidRDefault="007D706A" w:rsidP="00F70508">
            <w:pPr>
              <w:pStyle w:val="ParagraphStyle9"/>
              <w:rPr>
                <w:rStyle w:val="CharacterStyle9"/>
              </w:rPr>
            </w:pPr>
            <w:r>
              <w:rPr>
                <w:rStyle w:val="CharacterStyle9"/>
              </w:rPr>
              <w:t>2.000,00</w:t>
            </w:r>
          </w:p>
        </w:tc>
        <w:tc>
          <w:tcPr>
            <w:tcW w:w="1395" w:type="dxa"/>
            <w:tcBorders>
              <w:bottom w:val="single" w:sz="6" w:space="0" w:color="000000"/>
              <w:right w:val="single" w:sz="6" w:space="0" w:color="000000"/>
            </w:tcBorders>
            <w:vAlign w:val="center"/>
          </w:tcPr>
          <w:p w14:paraId="5AD28411" w14:textId="77777777" w:rsidR="007D706A" w:rsidRDefault="007D706A" w:rsidP="00F70508">
            <w:pPr>
              <w:pStyle w:val="ParagraphStyle9"/>
              <w:rPr>
                <w:rStyle w:val="CharacterStyle9"/>
              </w:rPr>
            </w:pPr>
            <w:r>
              <w:rPr>
                <w:rStyle w:val="CharacterStyle9"/>
              </w:rPr>
              <w:t>2.000,00</w:t>
            </w:r>
          </w:p>
        </w:tc>
        <w:tc>
          <w:tcPr>
            <w:tcW w:w="1395" w:type="dxa"/>
            <w:tcBorders>
              <w:bottom w:val="single" w:sz="6" w:space="0" w:color="000000"/>
              <w:right w:val="single" w:sz="6" w:space="0" w:color="000000"/>
            </w:tcBorders>
            <w:vAlign w:val="center"/>
          </w:tcPr>
          <w:p w14:paraId="5921712B" w14:textId="77777777" w:rsidR="007D706A" w:rsidRDefault="007D706A" w:rsidP="00F70508">
            <w:pPr>
              <w:pStyle w:val="ParagraphStyle9"/>
              <w:rPr>
                <w:rStyle w:val="CharacterStyle9"/>
              </w:rPr>
            </w:pPr>
            <w:r>
              <w:rPr>
                <w:rStyle w:val="CharacterStyle9"/>
              </w:rPr>
              <w:t>2.000,00</w:t>
            </w:r>
          </w:p>
        </w:tc>
      </w:tr>
      <w:tr w:rsidR="007D706A" w14:paraId="1C39DEF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A2ACA71"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66A535AD"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6B092BE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9E51E25" w14:textId="77777777" w:rsidR="007D706A" w:rsidRDefault="007D706A" w:rsidP="00F70508">
            <w:pPr>
              <w:pStyle w:val="ParagraphStyle12"/>
              <w:rPr>
                <w:rStyle w:val="CharacterStyle12"/>
              </w:rPr>
            </w:pPr>
            <w:r>
              <w:rPr>
                <w:rStyle w:val="CharacterStyle12"/>
              </w:rPr>
              <w:t>1.940,03</w:t>
            </w:r>
          </w:p>
        </w:tc>
        <w:tc>
          <w:tcPr>
            <w:tcW w:w="1395" w:type="dxa"/>
            <w:tcBorders>
              <w:bottom w:val="single" w:sz="6" w:space="0" w:color="000000"/>
              <w:right w:val="single" w:sz="6" w:space="0" w:color="000000"/>
            </w:tcBorders>
            <w:vAlign w:val="center"/>
          </w:tcPr>
          <w:p w14:paraId="45C24F54" w14:textId="77777777" w:rsidR="007D706A" w:rsidRDefault="007D706A" w:rsidP="00F70508">
            <w:pPr>
              <w:pStyle w:val="ParagraphStyle12"/>
              <w:rPr>
                <w:rStyle w:val="CharacterStyle12"/>
              </w:rPr>
            </w:pPr>
            <w:r>
              <w:rPr>
                <w:rStyle w:val="CharacterStyle12"/>
              </w:rPr>
              <w:t>2.000,00</w:t>
            </w:r>
          </w:p>
        </w:tc>
        <w:tc>
          <w:tcPr>
            <w:tcW w:w="1395" w:type="dxa"/>
            <w:tcBorders>
              <w:bottom w:val="single" w:sz="6" w:space="0" w:color="000000"/>
              <w:right w:val="single" w:sz="6" w:space="0" w:color="000000"/>
            </w:tcBorders>
            <w:vAlign w:val="center"/>
          </w:tcPr>
          <w:p w14:paraId="4A6A13D8" w14:textId="77777777" w:rsidR="007D706A" w:rsidRDefault="007D706A" w:rsidP="00F70508">
            <w:pPr>
              <w:pStyle w:val="ParagraphStyle12"/>
              <w:rPr>
                <w:rStyle w:val="CharacterStyle12"/>
              </w:rPr>
            </w:pPr>
            <w:r>
              <w:rPr>
                <w:rStyle w:val="CharacterStyle12"/>
              </w:rPr>
              <w:t>2.000,00</w:t>
            </w:r>
          </w:p>
        </w:tc>
        <w:tc>
          <w:tcPr>
            <w:tcW w:w="1395" w:type="dxa"/>
            <w:tcBorders>
              <w:bottom w:val="single" w:sz="6" w:space="0" w:color="000000"/>
              <w:right w:val="single" w:sz="6" w:space="0" w:color="000000"/>
            </w:tcBorders>
            <w:vAlign w:val="center"/>
          </w:tcPr>
          <w:p w14:paraId="62882680" w14:textId="77777777" w:rsidR="007D706A" w:rsidRDefault="007D706A" w:rsidP="00F70508">
            <w:pPr>
              <w:pStyle w:val="ParagraphStyle12"/>
              <w:rPr>
                <w:rStyle w:val="CharacterStyle12"/>
              </w:rPr>
            </w:pPr>
            <w:r>
              <w:rPr>
                <w:rStyle w:val="CharacterStyle12"/>
              </w:rPr>
              <w:t>2.000,00</w:t>
            </w:r>
          </w:p>
        </w:tc>
      </w:tr>
      <w:tr w:rsidR="007D706A" w14:paraId="7A3E33E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32B2A67"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5A06A39B"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4BBF6A9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96A0C2A" w14:textId="77777777" w:rsidR="007D706A" w:rsidRDefault="007D706A" w:rsidP="00F70508">
            <w:pPr>
              <w:pStyle w:val="ParagraphStyle12"/>
              <w:rPr>
                <w:rStyle w:val="CharacterStyle12"/>
              </w:rPr>
            </w:pPr>
            <w:r>
              <w:rPr>
                <w:rStyle w:val="CharacterStyle12"/>
              </w:rPr>
              <w:t>1.940,03</w:t>
            </w:r>
          </w:p>
        </w:tc>
        <w:tc>
          <w:tcPr>
            <w:tcW w:w="1395" w:type="dxa"/>
            <w:tcBorders>
              <w:bottom w:val="single" w:sz="6" w:space="0" w:color="000000"/>
              <w:right w:val="single" w:sz="6" w:space="0" w:color="000000"/>
            </w:tcBorders>
            <w:vAlign w:val="center"/>
          </w:tcPr>
          <w:p w14:paraId="446155CA" w14:textId="77777777" w:rsidR="007D706A" w:rsidRDefault="007D706A" w:rsidP="00F70508">
            <w:pPr>
              <w:pStyle w:val="ParagraphStyle12"/>
              <w:rPr>
                <w:rStyle w:val="CharacterStyle12"/>
              </w:rPr>
            </w:pPr>
            <w:r>
              <w:rPr>
                <w:rStyle w:val="CharacterStyle12"/>
              </w:rPr>
              <w:t>2.000,00</w:t>
            </w:r>
          </w:p>
        </w:tc>
        <w:tc>
          <w:tcPr>
            <w:tcW w:w="1395" w:type="dxa"/>
            <w:tcBorders>
              <w:bottom w:val="single" w:sz="6" w:space="0" w:color="000000"/>
              <w:right w:val="single" w:sz="6" w:space="0" w:color="000000"/>
            </w:tcBorders>
            <w:vAlign w:val="center"/>
          </w:tcPr>
          <w:p w14:paraId="6524F881" w14:textId="77777777" w:rsidR="007D706A" w:rsidRDefault="007D706A" w:rsidP="00F70508">
            <w:pPr>
              <w:pStyle w:val="ParagraphStyle12"/>
              <w:rPr>
                <w:rStyle w:val="CharacterStyle12"/>
              </w:rPr>
            </w:pPr>
            <w:r>
              <w:rPr>
                <w:rStyle w:val="CharacterStyle12"/>
              </w:rPr>
              <w:t>2.000,00</w:t>
            </w:r>
          </w:p>
        </w:tc>
        <w:tc>
          <w:tcPr>
            <w:tcW w:w="1395" w:type="dxa"/>
            <w:tcBorders>
              <w:bottom w:val="single" w:sz="6" w:space="0" w:color="000000"/>
              <w:right w:val="single" w:sz="6" w:space="0" w:color="000000"/>
            </w:tcBorders>
            <w:vAlign w:val="center"/>
          </w:tcPr>
          <w:p w14:paraId="565E49B3" w14:textId="77777777" w:rsidR="007D706A" w:rsidRDefault="007D706A" w:rsidP="00F70508">
            <w:pPr>
              <w:pStyle w:val="ParagraphStyle12"/>
              <w:rPr>
                <w:rStyle w:val="CharacterStyle12"/>
              </w:rPr>
            </w:pPr>
            <w:r>
              <w:rPr>
                <w:rStyle w:val="CharacterStyle12"/>
              </w:rPr>
              <w:t>2.000,00</w:t>
            </w:r>
          </w:p>
        </w:tc>
      </w:tr>
      <w:tr w:rsidR="007D706A" w14:paraId="0E4A6DB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F597FD4" w14:textId="77777777" w:rsidR="007D706A" w:rsidRDefault="007D706A" w:rsidP="00F70508">
            <w:pPr>
              <w:pStyle w:val="ParagraphStyle7"/>
              <w:rPr>
                <w:rStyle w:val="CharacterStyle7"/>
              </w:rPr>
            </w:pPr>
            <w:r>
              <w:rPr>
                <w:rStyle w:val="CharacterStyle7"/>
              </w:rPr>
              <w:t>Izvor financiranja 41</w:t>
            </w:r>
          </w:p>
        </w:tc>
        <w:tc>
          <w:tcPr>
            <w:tcW w:w="4995" w:type="dxa"/>
            <w:tcBorders>
              <w:bottom w:val="single" w:sz="6" w:space="0" w:color="000000"/>
              <w:right w:val="single" w:sz="6" w:space="0" w:color="000000"/>
            </w:tcBorders>
            <w:vAlign w:val="center"/>
          </w:tcPr>
          <w:p w14:paraId="6789C54D" w14:textId="77777777" w:rsidR="007D706A" w:rsidRDefault="007D706A" w:rsidP="00F70508">
            <w:pPr>
              <w:pStyle w:val="ParagraphStyle8"/>
              <w:rPr>
                <w:rStyle w:val="CharacterStyle8"/>
              </w:rPr>
            </w:pPr>
            <w:r>
              <w:rPr>
                <w:rStyle w:val="CharacterStyle8"/>
              </w:rPr>
              <w:t>Prihodi za posebne namjene</w:t>
            </w:r>
          </w:p>
        </w:tc>
        <w:tc>
          <w:tcPr>
            <w:tcW w:w="1395" w:type="dxa"/>
            <w:tcBorders>
              <w:bottom w:val="single" w:sz="6" w:space="0" w:color="000000"/>
              <w:right w:val="single" w:sz="6" w:space="0" w:color="000000"/>
            </w:tcBorders>
            <w:vAlign w:val="center"/>
          </w:tcPr>
          <w:p w14:paraId="2B62FA48"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F2877CC" w14:textId="77777777" w:rsidR="007D706A" w:rsidRDefault="007D706A" w:rsidP="00F70508">
            <w:pPr>
              <w:pStyle w:val="ParagraphStyle9"/>
              <w:rPr>
                <w:rStyle w:val="CharacterStyle9"/>
              </w:rPr>
            </w:pPr>
            <w:r>
              <w:rPr>
                <w:rStyle w:val="CharacterStyle9"/>
              </w:rPr>
              <w:t>1.750,00</w:t>
            </w:r>
          </w:p>
        </w:tc>
        <w:tc>
          <w:tcPr>
            <w:tcW w:w="1395" w:type="dxa"/>
            <w:tcBorders>
              <w:bottom w:val="single" w:sz="6" w:space="0" w:color="000000"/>
              <w:right w:val="single" w:sz="6" w:space="0" w:color="000000"/>
            </w:tcBorders>
            <w:vAlign w:val="center"/>
          </w:tcPr>
          <w:p w14:paraId="1E888635"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6916276"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27B4672" w14:textId="77777777" w:rsidR="007D706A" w:rsidRDefault="007D706A" w:rsidP="00F70508">
            <w:pPr>
              <w:pStyle w:val="ParagraphStyle9"/>
              <w:rPr>
                <w:rStyle w:val="CharacterStyle9"/>
              </w:rPr>
            </w:pPr>
            <w:r>
              <w:rPr>
                <w:rStyle w:val="CharacterStyle9"/>
              </w:rPr>
              <w:t>0,00</w:t>
            </w:r>
          </w:p>
        </w:tc>
      </w:tr>
      <w:tr w:rsidR="007D706A" w14:paraId="67390E0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860BBD5"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1212C1DC"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74A3C27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968ACF1" w14:textId="77777777" w:rsidR="007D706A" w:rsidRDefault="007D706A" w:rsidP="00F70508">
            <w:pPr>
              <w:pStyle w:val="ParagraphStyle12"/>
              <w:rPr>
                <w:rStyle w:val="CharacterStyle12"/>
              </w:rPr>
            </w:pPr>
            <w:r>
              <w:rPr>
                <w:rStyle w:val="CharacterStyle12"/>
              </w:rPr>
              <w:t>1.750,00</w:t>
            </w:r>
          </w:p>
        </w:tc>
        <w:tc>
          <w:tcPr>
            <w:tcW w:w="1395" w:type="dxa"/>
            <w:tcBorders>
              <w:bottom w:val="single" w:sz="6" w:space="0" w:color="000000"/>
              <w:right w:val="single" w:sz="6" w:space="0" w:color="000000"/>
            </w:tcBorders>
            <w:vAlign w:val="center"/>
          </w:tcPr>
          <w:p w14:paraId="4FBF85A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177F57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20FE7B5" w14:textId="77777777" w:rsidR="007D706A" w:rsidRDefault="007D706A" w:rsidP="00F70508">
            <w:pPr>
              <w:pStyle w:val="ParagraphStyle12"/>
              <w:rPr>
                <w:rStyle w:val="CharacterStyle12"/>
              </w:rPr>
            </w:pPr>
            <w:r>
              <w:rPr>
                <w:rStyle w:val="CharacterStyle12"/>
              </w:rPr>
              <w:t>0,00</w:t>
            </w:r>
          </w:p>
        </w:tc>
      </w:tr>
      <w:tr w:rsidR="007D706A" w14:paraId="02A5346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2DC10EA"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1F81A9D7"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4C5D65D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6199113" w14:textId="77777777" w:rsidR="007D706A" w:rsidRDefault="007D706A" w:rsidP="00F70508">
            <w:pPr>
              <w:pStyle w:val="ParagraphStyle12"/>
              <w:rPr>
                <w:rStyle w:val="CharacterStyle12"/>
              </w:rPr>
            </w:pPr>
            <w:r>
              <w:rPr>
                <w:rStyle w:val="CharacterStyle12"/>
              </w:rPr>
              <w:t>1.750,00</w:t>
            </w:r>
          </w:p>
        </w:tc>
        <w:tc>
          <w:tcPr>
            <w:tcW w:w="1395" w:type="dxa"/>
            <w:tcBorders>
              <w:bottom w:val="single" w:sz="6" w:space="0" w:color="000000"/>
              <w:right w:val="single" w:sz="6" w:space="0" w:color="000000"/>
            </w:tcBorders>
            <w:vAlign w:val="center"/>
          </w:tcPr>
          <w:p w14:paraId="0DDF4BD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A6C301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37DF823" w14:textId="77777777" w:rsidR="007D706A" w:rsidRDefault="007D706A" w:rsidP="00F70508">
            <w:pPr>
              <w:pStyle w:val="ParagraphStyle12"/>
              <w:rPr>
                <w:rStyle w:val="CharacterStyle12"/>
              </w:rPr>
            </w:pPr>
            <w:r>
              <w:rPr>
                <w:rStyle w:val="CharacterStyle12"/>
              </w:rPr>
              <w:t>0,00</w:t>
            </w:r>
          </w:p>
        </w:tc>
      </w:tr>
      <w:tr w:rsidR="007D706A" w14:paraId="396821B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6D722AA" w14:textId="77777777" w:rsidR="007D706A" w:rsidRDefault="007D706A" w:rsidP="00F70508">
            <w:pPr>
              <w:pStyle w:val="ParagraphStyle4"/>
              <w:rPr>
                <w:rStyle w:val="CharacterStyle4"/>
              </w:rPr>
            </w:pPr>
            <w:r>
              <w:rPr>
                <w:rStyle w:val="CharacterStyle4"/>
              </w:rPr>
              <w:t>Aktivnost A103713</w:t>
            </w:r>
          </w:p>
        </w:tc>
        <w:tc>
          <w:tcPr>
            <w:tcW w:w="4995" w:type="dxa"/>
            <w:tcBorders>
              <w:bottom w:val="single" w:sz="6" w:space="0" w:color="000000"/>
              <w:right w:val="single" w:sz="6" w:space="0" w:color="000000"/>
            </w:tcBorders>
            <w:vAlign w:val="center"/>
          </w:tcPr>
          <w:p w14:paraId="56599ACB" w14:textId="77777777" w:rsidR="007D706A" w:rsidRDefault="007D706A" w:rsidP="00F70508">
            <w:pPr>
              <w:pStyle w:val="ParagraphStyle5"/>
              <w:rPr>
                <w:rStyle w:val="CharacterStyle5"/>
              </w:rPr>
            </w:pPr>
            <w:r>
              <w:rPr>
                <w:rStyle w:val="CharacterStyle5"/>
              </w:rPr>
              <w:t>POSEBNI PROGRAMI USTANOVE</w:t>
            </w:r>
          </w:p>
        </w:tc>
        <w:tc>
          <w:tcPr>
            <w:tcW w:w="1395" w:type="dxa"/>
            <w:tcBorders>
              <w:bottom w:val="single" w:sz="6" w:space="0" w:color="000000"/>
              <w:right w:val="single" w:sz="6" w:space="0" w:color="000000"/>
            </w:tcBorders>
            <w:vAlign w:val="center"/>
          </w:tcPr>
          <w:p w14:paraId="46942FB8"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3DF774BE" w14:textId="77777777" w:rsidR="007D706A" w:rsidRDefault="007D706A" w:rsidP="00F70508">
            <w:pPr>
              <w:pStyle w:val="ParagraphStyle6"/>
              <w:rPr>
                <w:rStyle w:val="CharacterStyle6"/>
              </w:rPr>
            </w:pPr>
            <w:r>
              <w:rPr>
                <w:rStyle w:val="CharacterStyle6"/>
              </w:rPr>
              <w:t>11.600,00</w:t>
            </w:r>
          </w:p>
        </w:tc>
        <w:tc>
          <w:tcPr>
            <w:tcW w:w="1395" w:type="dxa"/>
            <w:tcBorders>
              <w:bottom w:val="single" w:sz="6" w:space="0" w:color="000000"/>
              <w:right w:val="single" w:sz="6" w:space="0" w:color="000000"/>
            </w:tcBorders>
            <w:vAlign w:val="center"/>
          </w:tcPr>
          <w:p w14:paraId="59468120" w14:textId="77777777" w:rsidR="007D706A" w:rsidRDefault="007D706A" w:rsidP="00F70508">
            <w:pPr>
              <w:pStyle w:val="ParagraphStyle6"/>
              <w:rPr>
                <w:rStyle w:val="CharacterStyle6"/>
              </w:rPr>
            </w:pPr>
            <w:r>
              <w:rPr>
                <w:rStyle w:val="CharacterStyle6"/>
              </w:rPr>
              <w:t>9.600,00</w:t>
            </w:r>
          </w:p>
        </w:tc>
        <w:tc>
          <w:tcPr>
            <w:tcW w:w="1395" w:type="dxa"/>
            <w:tcBorders>
              <w:bottom w:val="single" w:sz="6" w:space="0" w:color="000000"/>
              <w:right w:val="single" w:sz="6" w:space="0" w:color="000000"/>
            </w:tcBorders>
            <w:vAlign w:val="center"/>
          </w:tcPr>
          <w:p w14:paraId="00D49C3E" w14:textId="77777777" w:rsidR="007D706A" w:rsidRDefault="007D706A" w:rsidP="00F70508">
            <w:pPr>
              <w:pStyle w:val="ParagraphStyle6"/>
              <w:rPr>
                <w:rStyle w:val="CharacterStyle6"/>
              </w:rPr>
            </w:pPr>
            <w:r>
              <w:rPr>
                <w:rStyle w:val="CharacterStyle6"/>
              </w:rPr>
              <w:t>11.500,00</w:t>
            </w:r>
          </w:p>
        </w:tc>
        <w:tc>
          <w:tcPr>
            <w:tcW w:w="1395" w:type="dxa"/>
            <w:tcBorders>
              <w:bottom w:val="single" w:sz="6" w:space="0" w:color="000000"/>
              <w:right w:val="single" w:sz="6" w:space="0" w:color="000000"/>
            </w:tcBorders>
            <w:vAlign w:val="center"/>
          </w:tcPr>
          <w:p w14:paraId="777AB469" w14:textId="77777777" w:rsidR="007D706A" w:rsidRDefault="007D706A" w:rsidP="00F70508">
            <w:pPr>
              <w:pStyle w:val="ParagraphStyle6"/>
              <w:rPr>
                <w:rStyle w:val="CharacterStyle6"/>
              </w:rPr>
            </w:pPr>
            <w:r>
              <w:rPr>
                <w:rStyle w:val="CharacterStyle6"/>
              </w:rPr>
              <w:t>12.760,00</w:t>
            </w:r>
          </w:p>
        </w:tc>
      </w:tr>
      <w:tr w:rsidR="007D706A" w14:paraId="239595A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AE1914A"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6A8FA5BD"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23D62631"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983FA2B" w14:textId="77777777" w:rsidR="007D706A" w:rsidRDefault="007D706A" w:rsidP="00F70508">
            <w:pPr>
              <w:pStyle w:val="ParagraphStyle9"/>
              <w:rPr>
                <w:rStyle w:val="CharacterStyle9"/>
              </w:rPr>
            </w:pPr>
            <w:r>
              <w:rPr>
                <w:rStyle w:val="CharacterStyle9"/>
              </w:rPr>
              <w:t>11.000,00</w:t>
            </w:r>
          </w:p>
        </w:tc>
        <w:tc>
          <w:tcPr>
            <w:tcW w:w="1395" w:type="dxa"/>
            <w:tcBorders>
              <w:bottom w:val="single" w:sz="6" w:space="0" w:color="000000"/>
              <w:right w:val="single" w:sz="6" w:space="0" w:color="000000"/>
            </w:tcBorders>
            <w:vAlign w:val="center"/>
          </w:tcPr>
          <w:p w14:paraId="072131B2" w14:textId="77777777" w:rsidR="007D706A" w:rsidRDefault="007D706A" w:rsidP="00F70508">
            <w:pPr>
              <w:pStyle w:val="ParagraphStyle9"/>
              <w:rPr>
                <w:rStyle w:val="CharacterStyle9"/>
              </w:rPr>
            </w:pPr>
            <w:r>
              <w:rPr>
                <w:rStyle w:val="CharacterStyle9"/>
              </w:rPr>
              <w:t>9.000,00</w:t>
            </w:r>
          </w:p>
        </w:tc>
        <w:tc>
          <w:tcPr>
            <w:tcW w:w="1395" w:type="dxa"/>
            <w:tcBorders>
              <w:bottom w:val="single" w:sz="6" w:space="0" w:color="000000"/>
              <w:right w:val="single" w:sz="6" w:space="0" w:color="000000"/>
            </w:tcBorders>
            <w:vAlign w:val="center"/>
          </w:tcPr>
          <w:p w14:paraId="1F7C26A0" w14:textId="77777777" w:rsidR="007D706A" w:rsidRDefault="007D706A" w:rsidP="00F70508">
            <w:pPr>
              <w:pStyle w:val="ParagraphStyle9"/>
              <w:rPr>
                <w:rStyle w:val="CharacterStyle9"/>
              </w:rPr>
            </w:pPr>
            <w:r>
              <w:rPr>
                <w:rStyle w:val="CharacterStyle9"/>
              </w:rPr>
              <w:t>10.900,00</w:t>
            </w:r>
          </w:p>
        </w:tc>
        <w:tc>
          <w:tcPr>
            <w:tcW w:w="1395" w:type="dxa"/>
            <w:tcBorders>
              <w:bottom w:val="single" w:sz="6" w:space="0" w:color="000000"/>
              <w:right w:val="single" w:sz="6" w:space="0" w:color="000000"/>
            </w:tcBorders>
            <w:vAlign w:val="center"/>
          </w:tcPr>
          <w:p w14:paraId="78E27B00" w14:textId="77777777" w:rsidR="007D706A" w:rsidRDefault="007D706A" w:rsidP="00F70508">
            <w:pPr>
              <w:pStyle w:val="ParagraphStyle9"/>
              <w:rPr>
                <w:rStyle w:val="CharacterStyle9"/>
              </w:rPr>
            </w:pPr>
            <w:r>
              <w:rPr>
                <w:rStyle w:val="CharacterStyle9"/>
              </w:rPr>
              <w:t>12.160,00</w:t>
            </w:r>
          </w:p>
        </w:tc>
      </w:tr>
      <w:tr w:rsidR="007D706A" w14:paraId="60BD7EC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C9AFBD0"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20BB33BB"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48BC464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9E003BA" w14:textId="77777777" w:rsidR="007D706A" w:rsidRDefault="007D706A" w:rsidP="00F70508">
            <w:pPr>
              <w:pStyle w:val="ParagraphStyle12"/>
              <w:rPr>
                <w:rStyle w:val="CharacterStyle12"/>
              </w:rPr>
            </w:pPr>
            <w:r>
              <w:rPr>
                <w:rStyle w:val="CharacterStyle12"/>
              </w:rPr>
              <w:t>11.000,00</w:t>
            </w:r>
          </w:p>
        </w:tc>
        <w:tc>
          <w:tcPr>
            <w:tcW w:w="1395" w:type="dxa"/>
            <w:tcBorders>
              <w:bottom w:val="single" w:sz="6" w:space="0" w:color="000000"/>
              <w:right w:val="single" w:sz="6" w:space="0" w:color="000000"/>
            </w:tcBorders>
            <w:vAlign w:val="center"/>
          </w:tcPr>
          <w:p w14:paraId="21FBE7CA" w14:textId="77777777" w:rsidR="007D706A" w:rsidRDefault="007D706A" w:rsidP="00F70508">
            <w:pPr>
              <w:pStyle w:val="ParagraphStyle12"/>
              <w:rPr>
                <w:rStyle w:val="CharacterStyle12"/>
              </w:rPr>
            </w:pPr>
            <w:r>
              <w:rPr>
                <w:rStyle w:val="CharacterStyle12"/>
              </w:rPr>
              <w:t>9.000,00</w:t>
            </w:r>
          </w:p>
        </w:tc>
        <w:tc>
          <w:tcPr>
            <w:tcW w:w="1395" w:type="dxa"/>
            <w:tcBorders>
              <w:bottom w:val="single" w:sz="6" w:space="0" w:color="000000"/>
              <w:right w:val="single" w:sz="6" w:space="0" w:color="000000"/>
            </w:tcBorders>
            <w:vAlign w:val="center"/>
          </w:tcPr>
          <w:p w14:paraId="57F7F58A" w14:textId="77777777" w:rsidR="007D706A" w:rsidRDefault="007D706A" w:rsidP="00F70508">
            <w:pPr>
              <w:pStyle w:val="ParagraphStyle12"/>
              <w:rPr>
                <w:rStyle w:val="CharacterStyle12"/>
              </w:rPr>
            </w:pPr>
            <w:r>
              <w:rPr>
                <w:rStyle w:val="CharacterStyle12"/>
              </w:rPr>
              <w:t>10.900,00</w:t>
            </w:r>
          </w:p>
        </w:tc>
        <w:tc>
          <w:tcPr>
            <w:tcW w:w="1395" w:type="dxa"/>
            <w:tcBorders>
              <w:bottom w:val="single" w:sz="6" w:space="0" w:color="000000"/>
              <w:right w:val="single" w:sz="6" w:space="0" w:color="000000"/>
            </w:tcBorders>
            <w:vAlign w:val="center"/>
          </w:tcPr>
          <w:p w14:paraId="5E93A212" w14:textId="77777777" w:rsidR="007D706A" w:rsidRDefault="007D706A" w:rsidP="00F70508">
            <w:pPr>
              <w:pStyle w:val="ParagraphStyle12"/>
              <w:rPr>
                <w:rStyle w:val="CharacterStyle12"/>
              </w:rPr>
            </w:pPr>
            <w:r>
              <w:rPr>
                <w:rStyle w:val="CharacterStyle12"/>
              </w:rPr>
              <w:t>12.160,00</w:t>
            </w:r>
          </w:p>
        </w:tc>
      </w:tr>
      <w:tr w:rsidR="007D706A" w14:paraId="7092816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0B67EC0"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54296464"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52FD259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4982D2E" w14:textId="77777777" w:rsidR="007D706A" w:rsidRDefault="007D706A" w:rsidP="00F70508">
            <w:pPr>
              <w:pStyle w:val="ParagraphStyle12"/>
              <w:rPr>
                <w:rStyle w:val="CharacterStyle12"/>
              </w:rPr>
            </w:pPr>
            <w:r>
              <w:rPr>
                <w:rStyle w:val="CharacterStyle12"/>
              </w:rPr>
              <w:t>11.000,00</w:t>
            </w:r>
          </w:p>
        </w:tc>
        <w:tc>
          <w:tcPr>
            <w:tcW w:w="1395" w:type="dxa"/>
            <w:tcBorders>
              <w:bottom w:val="single" w:sz="6" w:space="0" w:color="000000"/>
              <w:right w:val="single" w:sz="6" w:space="0" w:color="000000"/>
            </w:tcBorders>
            <w:vAlign w:val="center"/>
          </w:tcPr>
          <w:p w14:paraId="6D0A2C4D" w14:textId="77777777" w:rsidR="007D706A" w:rsidRDefault="007D706A" w:rsidP="00F70508">
            <w:pPr>
              <w:pStyle w:val="ParagraphStyle12"/>
              <w:rPr>
                <w:rStyle w:val="CharacterStyle12"/>
              </w:rPr>
            </w:pPr>
            <w:r>
              <w:rPr>
                <w:rStyle w:val="CharacterStyle12"/>
              </w:rPr>
              <w:t>9.000,00</w:t>
            </w:r>
          </w:p>
        </w:tc>
        <w:tc>
          <w:tcPr>
            <w:tcW w:w="1395" w:type="dxa"/>
            <w:tcBorders>
              <w:bottom w:val="single" w:sz="6" w:space="0" w:color="000000"/>
              <w:right w:val="single" w:sz="6" w:space="0" w:color="000000"/>
            </w:tcBorders>
            <w:vAlign w:val="center"/>
          </w:tcPr>
          <w:p w14:paraId="3A528A12" w14:textId="77777777" w:rsidR="007D706A" w:rsidRDefault="007D706A" w:rsidP="00F70508">
            <w:pPr>
              <w:pStyle w:val="ParagraphStyle12"/>
              <w:rPr>
                <w:rStyle w:val="CharacterStyle12"/>
              </w:rPr>
            </w:pPr>
            <w:r>
              <w:rPr>
                <w:rStyle w:val="CharacterStyle12"/>
              </w:rPr>
              <w:t>10.900,00</w:t>
            </w:r>
          </w:p>
        </w:tc>
        <w:tc>
          <w:tcPr>
            <w:tcW w:w="1395" w:type="dxa"/>
            <w:tcBorders>
              <w:bottom w:val="single" w:sz="6" w:space="0" w:color="000000"/>
              <w:right w:val="single" w:sz="6" w:space="0" w:color="000000"/>
            </w:tcBorders>
            <w:vAlign w:val="center"/>
          </w:tcPr>
          <w:p w14:paraId="0B87B75F" w14:textId="77777777" w:rsidR="007D706A" w:rsidRDefault="007D706A" w:rsidP="00F70508">
            <w:pPr>
              <w:pStyle w:val="ParagraphStyle12"/>
              <w:rPr>
                <w:rStyle w:val="CharacterStyle12"/>
              </w:rPr>
            </w:pPr>
            <w:r>
              <w:rPr>
                <w:rStyle w:val="CharacterStyle12"/>
              </w:rPr>
              <w:t>12.160,00</w:t>
            </w:r>
          </w:p>
        </w:tc>
      </w:tr>
      <w:tr w:rsidR="007D706A" w14:paraId="08EFAB3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F7AB6EA" w14:textId="77777777" w:rsidR="007D706A" w:rsidRDefault="007D706A" w:rsidP="00F70508">
            <w:pPr>
              <w:pStyle w:val="ParagraphStyle7"/>
              <w:rPr>
                <w:rStyle w:val="CharacterStyle7"/>
              </w:rPr>
            </w:pPr>
            <w:r>
              <w:rPr>
                <w:rStyle w:val="CharacterStyle7"/>
              </w:rPr>
              <w:t>Izvor financiranja 50</w:t>
            </w:r>
          </w:p>
        </w:tc>
        <w:tc>
          <w:tcPr>
            <w:tcW w:w="4995" w:type="dxa"/>
            <w:tcBorders>
              <w:bottom w:val="single" w:sz="6" w:space="0" w:color="000000"/>
              <w:right w:val="single" w:sz="6" w:space="0" w:color="000000"/>
            </w:tcBorders>
            <w:vAlign w:val="center"/>
          </w:tcPr>
          <w:p w14:paraId="61C803E6" w14:textId="77777777" w:rsidR="007D706A" w:rsidRDefault="007D706A" w:rsidP="00F70508">
            <w:pPr>
              <w:pStyle w:val="ParagraphStyle8"/>
              <w:rPr>
                <w:rStyle w:val="CharacterStyle8"/>
              </w:rPr>
            </w:pPr>
            <w:r>
              <w:rPr>
                <w:rStyle w:val="CharacterStyle8"/>
              </w:rPr>
              <w:t>Pomoći iz državnog proračuna</w:t>
            </w:r>
          </w:p>
        </w:tc>
        <w:tc>
          <w:tcPr>
            <w:tcW w:w="1395" w:type="dxa"/>
            <w:tcBorders>
              <w:bottom w:val="single" w:sz="6" w:space="0" w:color="000000"/>
              <w:right w:val="single" w:sz="6" w:space="0" w:color="000000"/>
            </w:tcBorders>
            <w:vAlign w:val="center"/>
          </w:tcPr>
          <w:p w14:paraId="514A870A"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32B6778"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32D4275" w14:textId="77777777" w:rsidR="007D706A" w:rsidRDefault="007D706A" w:rsidP="00F70508">
            <w:pPr>
              <w:pStyle w:val="ParagraphStyle9"/>
              <w:rPr>
                <w:rStyle w:val="CharacterStyle9"/>
              </w:rPr>
            </w:pPr>
            <w:r>
              <w:rPr>
                <w:rStyle w:val="CharacterStyle9"/>
              </w:rPr>
              <w:t>600,00</w:t>
            </w:r>
          </w:p>
        </w:tc>
        <w:tc>
          <w:tcPr>
            <w:tcW w:w="1395" w:type="dxa"/>
            <w:tcBorders>
              <w:bottom w:val="single" w:sz="6" w:space="0" w:color="000000"/>
              <w:right w:val="single" w:sz="6" w:space="0" w:color="000000"/>
            </w:tcBorders>
            <w:vAlign w:val="center"/>
          </w:tcPr>
          <w:p w14:paraId="1A5B5082" w14:textId="77777777" w:rsidR="007D706A" w:rsidRDefault="007D706A" w:rsidP="00F70508">
            <w:pPr>
              <w:pStyle w:val="ParagraphStyle9"/>
              <w:rPr>
                <w:rStyle w:val="CharacterStyle9"/>
              </w:rPr>
            </w:pPr>
            <w:r>
              <w:rPr>
                <w:rStyle w:val="CharacterStyle9"/>
              </w:rPr>
              <w:t>600,00</w:t>
            </w:r>
          </w:p>
        </w:tc>
        <w:tc>
          <w:tcPr>
            <w:tcW w:w="1395" w:type="dxa"/>
            <w:tcBorders>
              <w:bottom w:val="single" w:sz="6" w:space="0" w:color="000000"/>
              <w:right w:val="single" w:sz="6" w:space="0" w:color="000000"/>
            </w:tcBorders>
            <w:vAlign w:val="center"/>
          </w:tcPr>
          <w:p w14:paraId="3C2C4213" w14:textId="77777777" w:rsidR="007D706A" w:rsidRDefault="007D706A" w:rsidP="00F70508">
            <w:pPr>
              <w:pStyle w:val="ParagraphStyle9"/>
              <w:rPr>
                <w:rStyle w:val="CharacterStyle9"/>
              </w:rPr>
            </w:pPr>
            <w:r>
              <w:rPr>
                <w:rStyle w:val="CharacterStyle9"/>
              </w:rPr>
              <w:t>600,00</w:t>
            </w:r>
          </w:p>
        </w:tc>
      </w:tr>
      <w:tr w:rsidR="007D706A" w14:paraId="37B906D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D894948"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46CD2E3D"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4873C75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CB2D44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38798AB" w14:textId="77777777" w:rsidR="007D706A" w:rsidRDefault="007D706A" w:rsidP="00F70508">
            <w:pPr>
              <w:pStyle w:val="ParagraphStyle12"/>
              <w:rPr>
                <w:rStyle w:val="CharacterStyle12"/>
              </w:rPr>
            </w:pPr>
            <w:r>
              <w:rPr>
                <w:rStyle w:val="CharacterStyle12"/>
              </w:rPr>
              <w:t>600,00</w:t>
            </w:r>
          </w:p>
        </w:tc>
        <w:tc>
          <w:tcPr>
            <w:tcW w:w="1395" w:type="dxa"/>
            <w:tcBorders>
              <w:bottom w:val="single" w:sz="6" w:space="0" w:color="000000"/>
              <w:right w:val="single" w:sz="6" w:space="0" w:color="000000"/>
            </w:tcBorders>
            <w:vAlign w:val="center"/>
          </w:tcPr>
          <w:p w14:paraId="53F893EA" w14:textId="77777777" w:rsidR="007D706A" w:rsidRDefault="007D706A" w:rsidP="00F70508">
            <w:pPr>
              <w:pStyle w:val="ParagraphStyle12"/>
              <w:rPr>
                <w:rStyle w:val="CharacterStyle12"/>
              </w:rPr>
            </w:pPr>
            <w:r>
              <w:rPr>
                <w:rStyle w:val="CharacterStyle12"/>
              </w:rPr>
              <w:t>600,00</w:t>
            </w:r>
          </w:p>
        </w:tc>
        <w:tc>
          <w:tcPr>
            <w:tcW w:w="1395" w:type="dxa"/>
            <w:tcBorders>
              <w:bottom w:val="single" w:sz="6" w:space="0" w:color="000000"/>
              <w:right w:val="single" w:sz="6" w:space="0" w:color="000000"/>
            </w:tcBorders>
            <w:vAlign w:val="center"/>
          </w:tcPr>
          <w:p w14:paraId="024F4FE7" w14:textId="77777777" w:rsidR="007D706A" w:rsidRDefault="007D706A" w:rsidP="00F70508">
            <w:pPr>
              <w:pStyle w:val="ParagraphStyle12"/>
              <w:rPr>
                <w:rStyle w:val="CharacterStyle12"/>
              </w:rPr>
            </w:pPr>
            <w:r>
              <w:rPr>
                <w:rStyle w:val="CharacterStyle12"/>
              </w:rPr>
              <w:t>600,00</w:t>
            </w:r>
          </w:p>
        </w:tc>
      </w:tr>
      <w:tr w:rsidR="007D706A" w14:paraId="1514CEB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0494419"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25C64E92"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43C1089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F7247C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E3800AC" w14:textId="77777777" w:rsidR="007D706A" w:rsidRDefault="007D706A" w:rsidP="00F70508">
            <w:pPr>
              <w:pStyle w:val="ParagraphStyle12"/>
              <w:rPr>
                <w:rStyle w:val="CharacterStyle12"/>
              </w:rPr>
            </w:pPr>
            <w:r>
              <w:rPr>
                <w:rStyle w:val="CharacterStyle12"/>
              </w:rPr>
              <w:t>600,00</w:t>
            </w:r>
          </w:p>
        </w:tc>
        <w:tc>
          <w:tcPr>
            <w:tcW w:w="1395" w:type="dxa"/>
            <w:tcBorders>
              <w:bottom w:val="single" w:sz="6" w:space="0" w:color="000000"/>
              <w:right w:val="single" w:sz="6" w:space="0" w:color="000000"/>
            </w:tcBorders>
            <w:vAlign w:val="center"/>
          </w:tcPr>
          <w:p w14:paraId="057E917E" w14:textId="77777777" w:rsidR="007D706A" w:rsidRDefault="007D706A" w:rsidP="00F70508">
            <w:pPr>
              <w:pStyle w:val="ParagraphStyle12"/>
              <w:rPr>
                <w:rStyle w:val="CharacterStyle12"/>
              </w:rPr>
            </w:pPr>
            <w:r>
              <w:rPr>
                <w:rStyle w:val="CharacterStyle12"/>
              </w:rPr>
              <w:t>600,00</w:t>
            </w:r>
          </w:p>
        </w:tc>
        <w:tc>
          <w:tcPr>
            <w:tcW w:w="1395" w:type="dxa"/>
            <w:tcBorders>
              <w:bottom w:val="single" w:sz="6" w:space="0" w:color="000000"/>
              <w:right w:val="single" w:sz="6" w:space="0" w:color="000000"/>
            </w:tcBorders>
            <w:vAlign w:val="center"/>
          </w:tcPr>
          <w:p w14:paraId="63A03B6E" w14:textId="77777777" w:rsidR="007D706A" w:rsidRDefault="007D706A" w:rsidP="00F70508">
            <w:pPr>
              <w:pStyle w:val="ParagraphStyle12"/>
              <w:rPr>
                <w:rStyle w:val="CharacterStyle12"/>
              </w:rPr>
            </w:pPr>
            <w:r>
              <w:rPr>
                <w:rStyle w:val="CharacterStyle12"/>
              </w:rPr>
              <w:t>600,00</w:t>
            </w:r>
          </w:p>
        </w:tc>
      </w:tr>
      <w:tr w:rsidR="007D706A" w14:paraId="079F4ED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A4A2D12" w14:textId="77777777" w:rsidR="007D706A" w:rsidRDefault="007D706A" w:rsidP="00F70508">
            <w:pPr>
              <w:pStyle w:val="ParagraphStyle7"/>
              <w:rPr>
                <w:rStyle w:val="CharacterStyle7"/>
              </w:rPr>
            </w:pPr>
            <w:r>
              <w:rPr>
                <w:rStyle w:val="CharacterStyle7"/>
              </w:rPr>
              <w:t>Izvor financiranja 53</w:t>
            </w:r>
          </w:p>
        </w:tc>
        <w:tc>
          <w:tcPr>
            <w:tcW w:w="4995" w:type="dxa"/>
            <w:tcBorders>
              <w:bottom w:val="single" w:sz="6" w:space="0" w:color="000000"/>
              <w:right w:val="single" w:sz="6" w:space="0" w:color="000000"/>
            </w:tcBorders>
            <w:vAlign w:val="center"/>
          </w:tcPr>
          <w:p w14:paraId="6AB00465" w14:textId="77777777" w:rsidR="007D706A" w:rsidRDefault="007D706A" w:rsidP="00F70508">
            <w:pPr>
              <w:pStyle w:val="ParagraphStyle8"/>
              <w:rPr>
                <w:rStyle w:val="CharacterStyle8"/>
              </w:rPr>
            </w:pPr>
            <w:r>
              <w:rPr>
                <w:rStyle w:val="CharacterStyle8"/>
              </w:rPr>
              <w:t>Proračuni, drugi nivoi - za posebne i / ili ugovorene namjene</w:t>
            </w:r>
          </w:p>
        </w:tc>
        <w:tc>
          <w:tcPr>
            <w:tcW w:w="1395" w:type="dxa"/>
            <w:tcBorders>
              <w:bottom w:val="single" w:sz="6" w:space="0" w:color="000000"/>
              <w:right w:val="single" w:sz="6" w:space="0" w:color="000000"/>
            </w:tcBorders>
            <w:vAlign w:val="center"/>
          </w:tcPr>
          <w:p w14:paraId="7DA5965E"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48681C5" w14:textId="77777777" w:rsidR="007D706A" w:rsidRDefault="007D706A" w:rsidP="00F70508">
            <w:pPr>
              <w:pStyle w:val="ParagraphStyle9"/>
              <w:rPr>
                <w:rStyle w:val="CharacterStyle9"/>
              </w:rPr>
            </w:pPr>
            <w:r>
              <w:rPr>
                <w:rStyle w:val="CharacterStyle9"/>
              </w:rPr>
              <w:t>600,00</w:t>
            </w:r>
          </w:p>
        </w:tc>
        <w:tc>
          <w:tcPr>
            <w:tcW w:w="1395" w:type="dxa"/>
            <w:tcBorders>
              <w:bottom w:val="single" w:sz="6" w:space="0" w:color="000000"/>
              <w:right w:val="single" w:sz="6" w:space="0" w:color="000000"/>
            </w:tcBorders>
            <w:vAlign w:val="center"/>
          </w:tcPr>
          <w:p w14:paraId="472D3284"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BF7C487"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B3B28F6" w14:textId="77777777" w:rsidR="007D706A" w:rsidRDefault="007D706A" w:rsidP="00F70508">
            <w:pPr>
              <w:pStyle w:val="ParagraphStyle9"/>
              <w:rPr>
                <w:rStyle w:val="CharacterStyle9"/>
              </w:rPr>
            </w:pPr>
            <w:r>
              <w:rPr>
                <w:rStyle w:val="CharacterStyle9"/>
              </w:rPr>
              <w:t>0,00</w:t>
            </w:r>
          </w:p>
        </w:tc>
      </w:tr>
      <w:tr w:rsidR="007D706A" w14:paraId="5ECAD88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5A16AE7"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1C8EC1A3"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2BA75A0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E351016" w14:textId="77777777" w:rsidR="007D706A" w:rsidRDefault="007D706A" w:rsidP="00F70508">
            <w:pPr>
              <w:pStyle w:val="ParagraphStyle12"/>
              <w:rPr>
                <w:rStyle w:val="CharacterStyle12"/>
              </w:rPr>
            </w:pPr>
            <w:r>
              <w:rPr>
                <w:rStyle w:val="CharacterStyle12"/>
              </w:rPr>
              <w:t>600,00</w:t>
            </w:r>
          </w:p>
        </w:tc>
        <w:tc>
          <w:tcPr>
            <w:tcW w:w="1395" w:type="dxa"/>
            <w:tcBorders>
              <w:bottom w:val="single" w:sz="6" w:space="0" w:color="000000"/>
              <w:right w:val="single" w:sz="6" w:space="0" w:color="000000"/>
            </w:tcBorders>
            <w:vAlign w:val="center"/>
          </w:tcPr>
          <w:p w14:paraId="64B7048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C3524B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DCDE4AE" w14:textId="77777777" w:rsidR="007D706A" w:rsidRDefault="007D706A" w:rsidP="00F70508">
            <w:pPr>
              <w:pStyle w:val="ParagraphStyle12"/>
              <w:rPr>
                <w:rStyle w:val="CharacterStyle12"/>
              </w:rPr>
            </w:pPr>
            <w:r>
              <w:rPr>
                <w:rStyle w:val="CharacterStyle12"/>
              </w:rPr>
              <w:t>0,00</w:t>
            </w:r>
          </w:p>
        </w:tc>
      </w:tr>
      <w:tr w:rsidR="007D706A" w14:paraId="188B1C5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6E098EB"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115730DD"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58FA385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24F77CF" w14:textId="77777777" w:rsidR="007D706A" w:rsidRDefault="007D706A" w:rsidP="00F70508">
            <w:pPr>
              <w:pStyle w:val="ParagraphStyle12"/>
              <w:rPr>
                <w:rStyle w:val="CharacterStyle12"/>
              </w:rPr>
            </w:pPr>
            <w:r>
              <w:rPr>
                <w:rStyle w:val="CharacterStyle12"/>
              </w:rPr>
              <w:t>600,00</w:t>
            </w:r>
          </w:p>
        </w:tc>
        <w:tc>
          <w:tcPr>
            <w:tcW w:w="1395" w:type="dxa"/>
            <w:tcBorders>
              <w:bottom w:val="single" w:sz="6" w:space="0" w:color="000000"/>
              <w:right w:val="single" w:sz="6" w:space="0" w:color="000000"/>
            </w:tcBorders>
            <w:vAlign w:val="center"/>
          </w:tcPr>
          <w:p w14:paraId="0DB407C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E9A62D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3CF7368" w14:textId="77777777" w:rsidR="007D706A" w:rsidRDefault="007D706A" w:rsidP="00F70508">
            <w:pPr>
              <w:pStyle w:val="ParagraphStyle12"/>
              <w:rPr>
                <w:rStyle w:val="CharacterStyle12"/>
              </w:rPr>
            </w:pPr>
            <w:r>
              <w:rPr>
                <w:rStyle w:val="CharacterStyle12"/>
              </w:rPr>
              <w:t>0,00</w:t>
            </w:r>
          </w:p>
        </w:tc>
      </w:tr>
      <w:tr w:rsidR="007D706A" w14:paraId="2A96336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BCA50D4" w14:textId="77777777" w:rsidR="007D706A" w:rsidRDefault="007D706A" w:rsidP="00F70508">
            <w:pPr>
              <w:pStyle w:val="ParagraphStyle4"/>
              <w:rPr>
                <w:rStyle w:val="CharacterStyle4"/>
              </w:rPr>
            </w:pPr>
            <w:r>
              <w:rPr>
                <w:rStyle w:val="CharacterStyle4"/>
              </w:rPr>
              <w:t>Kapitalni projekt K103704</w:t>
            </w:r>
          </w:p>
        </w:tc>
        <w:tc>
          <w:tcPr>
            <w:tcW w:w="4995" w:type="dxa"/>
            <w:tcBorders>
              <w:bottom w:val="single" w:sz="6" w:space="0" w:color="000000"/>
              <w:right w:val="single" w:sz="6" w:space="0" w:color="000000"/>
            </w:tcBorders>
            <w:vAlign w:val="center"/>
          </w:tcPr>
          <w:p w14:paraId="0B8BA318" w14:textId="77777777" w:rsidR="007D706A" w:rsidRDefault="007D706A" w:rsidP="00F70508">
            <w:pPr>
              <w:pStyle w:val="ParagraphStyle5"/>
              <w:rPr>
                <w:rStyle w:val="CharacterStyle5"/>
              </w:rPr>
            </w:pPr>
            <w:r>
              <w:rPr>
                <w:rStyle w:val="CharacterStyle5"/>
              </w:rPr>
              <w:t>NABAVA KNJIŽNE GRAĐE</w:t>
            </w:r>
          </w:p>
        </w:tc>
        <w:tc>
          <w:tcPr>
            <w:tcW w:w="1395" w:type="dxa"/>
            <w:tcBorders>
              <w:bottom w:val="single" w:sz="6" w:space="0" w:color="000000"/>
              <w:right w:val="single" w:sz="6" w:space="0" w:color="000000"/>
            </w:tcBorders>
            <w:vAlign w:val="center"/>
          </w:tcPr>
          <w:p w14:paraId="06FC8D8A"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21CE94FE" w14:textId="77777777" w:rsidR="007D706A" w:rsidRDefault="007D706A" w:rsidP="00F70508">
            <w:pPr>
              <w:pStyle w:val="ParagraphStyle6"/>
              <w:rPr>
                <w:rStyle w:val="CharacterStyle6"/>
              </w:rPr>
            </w:pPr>
            <w:r>
              <w:rPr>
                <w:rStyle w:val="CharacterStyle6"/>
              </w:rPr>
              <w:t>36.742,32</w:t>
            </w:r>
          </w:p>
        </w:tc>
        <w:tc>
          <w:tcPr>
            <w:tcW w:w="1395" w:type="dxa"/>
            <w:tcBorders>
              <w:bottom w:val="single" w:sz="6" w:space="0" w:color="000000"/>
              <w:right w:val="single" w:sz="6" w:space="0" w:color="000000"/>
            </w:tcBorders>
            <w:vAlign w:val="center"/>
          </w:tcPr>
          <w:p w14:paraId="0D368E0C" w14:textId="77777777" w:rsidR="007D706A" w:rsidRDefault="007D706A" w:rsidP="00F70508">
            <w:pPr>
              <w:pStyle w:val="ParagraphStyle6"/>
              <w:rPr>
                <w:rStyle w:val="CharacterStyle6"/>
              </w:rPr>
            </w:pPr>
            <w:r>
              <w:rPr>
                <w:rStyle w:val="CharacterStyle6"/>
              </w:rPr>
              <w:t>38.636,00</w:t>
            </w:r>
          </w:p>
        </w:tc>
        <w:tc>
          <w:tcPr>
            <w:tcW w:w="1395" w:type="dxa"/>
            <w:tcBorders>
              <w:bottom w:val="single" w:sz="6" w:space="0" w:color="000000"/>
              <w:right w:val="single" w:sz="6" w:space="0" w:color="000000"/>
            </w:tcBorders>
            <w:vAlign w:val="center"/>
          </w:tcPr>
          <w:p w14:paraId="00F41790" w14:textId="77777777" w:rsidR="007D706A" w:rsidRDefault="007D706A" w:rsidP="00F70508">
            <w:pPr>
              <w:pStyle w:val="ParagraphStyle6"/>
              <w:rPr>
                <w:rStyle w:val="CharacterStyle6"/>
              </w:rPr>
            </w:pPr>
            <w:r>
              <w:rPr>
                <w:rStyle w:val="CharacterStyle6"/>
              </w:rPr>
              <w:t>45.000,00</w:t>
            </w:r>
          </w:p>
        </w:tc>
        <w:tc>
          <w:tcPr>
            <w:tcW w:w="1395" w:type="dxa"/>
            <w:tcBorders>
              <w:bottom w:val="single" w:sz="6" w:space="0" w:color="000000"/>
              <w:right w:val="single" w:sz="6" w:space="0" w:color="000000"/>
            </w:tcBorders>
            <w:vAlign w:val="center"/>
          </w:tcPr>
          <w:p w14:paraId="2F38A171" w14:textId="77777777" w:rsidR="007D706A" w:rsidRDefault="007D706A" w:rsidP="00F70508">
            <w:pPr>
              <w:pStyle w:val="ParagraphStyle6"/>
              <w:rPr>
                <w:rStyle w:val="CharacterStyle6"/>
              </w:rPr>
            </w:pPr>
            <w:r>
              <w:rPr>
                <w:rStyle w:val="CharacterStyle6"/>
              </w:rPr>
              <w:t>50.000,00</w:t>
            </w:r>
          </w:p>
        </w:tc>
      </w:tr>
      <w:tr w:rsidR="007D706A" w14:paraId="131EFD9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F3E18F2"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6C4FD20B"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4D39D526"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EB2F509" w14:textId="77777777" w:rsidR="007D706A" w:rsidRDefault="007D706A" w:rsidP="00F70508">
            <w:pPr>
              <w:pStyle w:val="ParagraphStyle9"/>
              <w:rPr>
                <w:rStyle w:val="CharacterStyle9"/>
              </w:rPr>
            </w:pPr>
            <w:r>
              <w:rPr>
                <w:rStyle w:val="CharacterStyle9"/>
              </w:rPr>
              <w:t>5.500,00</w:t>
            </w:r>
          </w:p>
        </w:tc>
        <w:tc>
          <w:tcPr>
            <w:tcW w:w="1395" w:type="dxa"/>
            <w:tcBorders>
              <w:bottom w:val="single" w:sz="6" w:space="0" w:color="000000"/>
              <w:right w:val="single" w:sz="6" w:space="0" w:color="000000"/>
            </w:tcBorders>
            <w:vAlign w:val="center"/>
          </w:tcPr>
          <w:p w14:paraId="726F3920" w14:textId="77777777" w:rsidR="007D706A" w:rsidRDefault="007D706A" w:rsidP="00F70508">
            <w:pPr>
              <w:pStyle w:val="ParagraphStyle9"/>
              <w:rPr>
                <w:rStyle w:val="CharacterStyle9"/>
              </w:rPr>
            </w:pPr>
            <w:r>
              <w:rPr>
                <w:rStyle w:val="CharacterStyle9"/>
              </w:rPr>
              <w:t>4.636,00</w:t>
            </w:r>
          </w:p>
        </w:tc>
        <w:tc>
          <w:tcPr>
            <w:tcW w:w="1395" w:type="dxa"/>
            <w:tcBorders>
              <w:bottom w:val="single" w:sz="6" w:space="0" w:color="000000"/>
              <w:right w:val="single" w:sz="6" w:space="0" w:color="000000"/>
            </w:tcBorders>
            <w:vAlign w:val="center"/>
          </w:tcPr>
          <w:p w14:paraId="2FEF7F2E" w14:textId="77777777" w:rsidR="007D706A" w:rsidRDefault="007D706A" w:rsidP="00F70508">
            <w:pPr>
              <w:pStyle w:val="ParagraphStyle9"/>
              <w:rPr>
                <w:rStyle w:val="CharacterStyle9"/>
              </w:rPr>
            </w:pPr>
            <w:r>
              <w:rPr>
                <w:rStyle w:val="CharacterStyle9"/>
              </w:rPr>
              <w:t>8.465,00</w:t>
            </w:r>
          </w:p>
        </w:tc>
        <w:tc>
          <w:tcPr>
            <w:tcW w:w="1395" w:type="dxa"/>
            <w:tcBorders>
              <w:bottom w:val="single" w:sz="6" w:space="0" w:color="000000"/>
              <w:right w:val="single" w:sz="6" w:space="0" w:color="000000"/>
            </w:tcBorders>
            <w:vAlign w:val="center"/>
          </w:tcPr>
          <w:p w14:paraId="11EED99C" w14:textId="77777777" w:rsidR="007D706A" w:rsidRDefault="007D706A" w:rsidP="00F70508">
            <w:pPr>
              <w:pStyle w:val="ParagraphStyle9"/>
              <w:rPr>
                <w:rStyle w:val="CharacterStyle9"/>
              </w:rPr>
            </w:pPr>
            <w:r>
              <w:rPr>
                <w:rStyle w:val="CharacterStyle9"/>
              </w:rPr>
              <w:t>10.465,00</w:t>
            </w:r>
          </w:p>
        </w:tc>
      </w:tr>
      <w:tr w:rsidR="007D706A" w14:paraId="331B5B8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6F3E52C"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75AB95DC"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52A100B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5A49C89" w14:textId="77777777" w:rsidR="007D706A" w:rsidRDefault="007D706A" w:rsidP="00F70508">
            <w:pPr>
              <w:pStyle w:val="ParagraphStyle12"/>
              <w:rPr>
                <w:rStyle w:val="CharacterStyle12"/>
              </w:rPr>
            </w:pPr>
            <w:r>
              <w:rPr>
                <w:rStyle w:val="CharacterStyle12"/>
              </w:rPr>
              <w:t>5.500,00</w:t>
            </w:r>
          </w:p>
        </w:tc>
        <w:tc>
          <w:tcPr>
            <w:tcW w:w="1395" w:type="dxa"/>
            <w:tcBorders>
              <w:bottom w:val="single" w:sz="6" w:space="0" w:color="000000"/>
              <w:right w:val="single" w:sz="6" w:space="0" w:color="000000"/>
            </w:tcBorders>
            <w:vAlign w:val="center"/>
          </w:tcPr>
          <w:p w14:paraId="1715EE84" w14:textId="77777777" w:rsidR="007D706A" w:rsidRDefault="007D706A" w:rsidP="00F70508">
            <w:pPr>
              <w:pStyle w:val="ParagraphStyle12"/>
              <w:rPr>
                <w:rStyle w:val="CharacterStyle12"/>
              </w:rPr>
            </w:pPr>
            <w:r>
              <w:rPr>
                <w:rStyle w:val="CharacterStyle12"/>
              </w:rPr>
              <w:t>4.636,00</w:t>
            </w:r>
          </w:p>
        </w:tc>
        <w:tc>
          <w:tcPr>
            <w:tcW w:w="1395" w:type="dxa"/>
            <w:tcBorders>
              <w:bottom w:val="single" w:sz="6" w:space="0" w:color="000000"/>
              <w:right w:val="single" w:sz="6" w:space="0" w:color="000000"/>
            </w:tcBorders>
            <w:vAlign w:val="center"/>
          </w:tcPr>
          <w:p w14:paraId="3F6C0104" w14:textId="77777777" w:rsidR="007D706A" w:rsidRDefault="007D706A" w:rsidP="00F70508">
            <w:pPr>
              <w:pStyle w:val="ParagraphStyle12"/>
              <w:rPr>
                <w:rStyle w:val="CharacterStyle12"/>
              </w:rPr>
            </w:pPr>
            <w:r>
              <w:rPr>
                <w:rStyle w:val="CharacterStyle12"/>
              </w:rPr>
              <w:t>8.465,00</w:t>
            </w:r>
          </w:p>
        </w:tc>
        <w:tc>
          <w:tcPr>
            <w:tcW w:w="1395" w:type="dxa"/>
            <w:tcBorders>
              <w:bottom w:val="single" w:sz="6" w:space="0" w:color="000000"/>
              <w:right w:val="single" w:sz="6" w:space="0" w:color="000000"/>
            </w:tcBorders>
            <w:vAlign w:val="center"/>
          </w:tcPr>
          <w:p w14:paraId="2D6FBFBC" w14:textId="77777777" w:rsidR="007D706A" w:rsidRDefault="007D706A" w:rsidP="00F70508">
            <w:pPr>
              <w:pStyle w:val="ParagraphStyle12"/>
              <w:rPr>
                <w:rStyle w:val="CharacterStyle12"/>
              </w:rPr>
            </w:pPr>
            <w:r>
              <w:rPr>
                <w:rStyle w:val="CharacterStyle12"/>
              </w:rPr>
              <w:t>10.465,00</w:t>
            </w:r>
          </w:p>
        </w:tc>
      </w:tr>
      <w:tr w:rsidR="007D706A" w14:paraId="385EBAF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B920CED" w14:textId="77777777" w:rsidR="007D706A" w:rsidRDefault="007D706A" w:rsidP="00F70508">
            <w:pPr>
              <w:pStyle w:val="ParagraphStyle10"/>
              <w:rPr>
                <w:rStyle w:val="CharacterStyle10"/>
              </w:rPr>
            </w:pPr>
            <w:r>
              <w:rPr>
                <w:rStyle w:val="CharacterStyle10"/>
              </w:rPr>
              <w:t>42</w:t>
            </w:r>
          </w:p>
        </w:tc>
        <w:tc>
          <w:tcPr>
            <w:tcW w:w="4995" w:type="dxa"/>
            <w:tcBorders>
              <w:bottom w:val="single" w:sz="6" w:space="0" w:color="000000"/>
              <w:right w:val="single" w:sz="6" w:space="0" w:color="000000"/>
            </w:tcBorders>
            <w:vAlign w:val="center"/>
          </w:tcPr>
          <w:p w14:paraId="6D06A840"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33719C6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8891C44" w14:textId="77777777" w:rsidR="007D706A" w:rsidRDefault="007D706A" w:rsidP="00F70508">
            <w:pPr>
              <w:pStyle w:val="ParagraphStyle12"/>
              <w:rPr>
                <w:rStyle w:val="CharacterStyle12"/>
              </w:rPr>
            </w:pPr>
            <w:r>
              <w:rPr>
                <w:rStyle w:val="CharacterStyle12"/>
              </w:rPr>
              <w:t>5.500,00</w:t>
            </w:r>
          </w:p>
        </w:tc>
        <w:tc>
          <w:tcPr>
            <w:tcW w:w="1395" w:type="dxa"/>
            <w:tcBorders>
              <w:bottom w:val="single" w:sz="6" w:space="0" w:color="000000"/>
              <w:right w:val="single" w:sz="6" w:space="0" w:color="000000"/>
            </w:tcBorders>
            <w:vAlign w:val="center"/>
          </w:tcPr>
          <w:p w14:paraId="2F0E2D2D" w14:textId="77777777" w:rsidR="007D706A" w:rsidRDefault="007D706A" w:rsidP="00F70508">
            <w:pPr>
              <w:pStyle w:val="ParagraphStyle12"/>
              <w:rPr>
                <w:rStyle w:val="CharacterStyle12"/>
              </w:rPr>
            </w:pPr>
            <w:r>
              <w:rPr>
                <w:rStyle w:val="CharacterStyle12"/>
              </w:rPr>
              <w:t>4.636,00</w:t>
            </w:r>
          </w:p>
        </w:tc>
        <w:tc>
          <w:tcPr>
            <w:tcW w:w="1395" w:type="dxa"/>
            <w:tcBorders>
              <w:bottom w:val="single" w:sz="6" w:space="0" w:color="000000"/>
              <w:right w:val="single" w:sz="6" w:space="0" w:color="000000"/>
            </w:tcBorders>
            <w:vAlign w:val="center"/>
          </w:tcPr>
          <w:p w14:paraId="4DE7F455" w14:textId="77777777" w:rsidR="007D706A" w:rsidRDefault="007D706A" w:rsidP="00F70508">
            <w:pPr>
              <w:pStyle w:val="ParagraphStyle12"/>
              <w:rPr>
                <w:rStyle w:val="CharacterStyle12"/>
              </w:rPr>
            </w:pPr>
            <w:r>
              <w:rPr>
                <w:rStyle w:val="CharacterStyle12"/>
              </w:rPr>
              <w:t>8.465,00</w:t>
            </w:r>
          </w:p>
        </w:tc>
        <w:tc>
          <w:tcPr>
            <w:tcW w:w="1395" w:type="dxa"/>
            <w:tcBorders>
              <w:bottom w:val="single" w:sz="6" w:space="0" w:color="000000"/>
              <w:right w:val="single" w:sz="6" w:space="0" w:color="000000"/>
            </w:tcBorders>
            <w:vAlign w:val="center"/>
          </w:tcPr>
          <w:p w14:paraId="56954AAD" w14:textId="77777777" w:rsidR="007D706A" w:rsidRDefault="007D706A" w:rsidP="00F70508">
            <w:pPr>
              <w:pStyle w:val="ParagraphStyle12"/>
              <w:rPr>
                <w:rStyle w:val="CharacterStyle12"/>
              </w:rPr>
            </w:pPr>
            <w:r>
              <w:rPr>
                <w:rStyle w:val="CharacterStyle12"/>
              </w:rPr>
              <w:t>10.465,00</w:t>
            </w:r>
          </w:p>
        </w:tc>
      </w:tr>
      <w:tr w:rsidR="007D706A" w14:paraId="4A2F359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5379A0E" w14:textId="77777777" w:rsidR="007D706A" w:rsidRDefault="007D706A" w:rsidP="00F70508">
            <w:pPr>
              <w:pStyle w:val="ParagraphStyle7"/>
              <w:rPr>
                <w:rStyle w:val="CharacterStyle7"/>
              </w:rPr>
            </w:pPr>
            <w:r>
              <w:rPr>
                <w:rStyle w:val="CharacterStyle7"/>
              </w:rPr>
              <w:t>Izvor financiranja 31</w:t>
            </w:r>
          </w:p>
        </w:tc>
        <w:tc>
          <w:tcPr>
            <w:tcW w:w="4995" w:type="dxa"/>
            <w:tcBorders>
              <w:bottom w:val="single" w:sz="6" w:space="0" w:color="000000"/>
              <w:right w:val="single" w:sz="6" w:space="0" w:color="000000"/>
            </w:tcBorders>
            <w:vAlign w:val="center"/>
          </w:tcPr>
          <w:p w14:paraId="611DDC62" w14:textId="77777777" w:rsidR="007D706A" w:rsidRDefault="007D706A" w:rsidP="00F70508">
            <w:pPr>
              <w:pStyle w:val="ParagraphStyle8"/>
              <w:rPr>
                <w:rStyle w:val="CharacterStyle8"/>
              </w:rPr>
            </w:pPr>
            <w:r>
              <w:rPr>
                <w:rStyle w:val="CharacterStyle8"/>
              </w:rPr>
              <w:t>Vlastiti prihodi</w:t>
            </w:r>
          </w:p>
        </w:tc>
        <w:tc>
          <w:tcPr>
            <w:tcW w:w="1395" w:type="dxa"/>
            <w:tcBorders>
              <w:bottom w:val="single" w:sz="6" w:space="0" w:color="000000"/>
              <w:right w:val="single" w:sz="6" w:space="0" w:color="000000"/>
            </w:tcBorders>
            <w:vAlign w:val="center"/>
          </w:tcPr>
          <w:p w14:paraId="519C7883"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AC81C6B" w14:textId="77777777" w:rsidR="007D706A" w:rsidRDefault="007D706A" w:rsidP="00F70508">
            <w:pPr>
              <w:pStyle w:val="ParagraphStyle9"/>
              <w:rPr>
                <w:rStyle w:val="CharacterStyle9"/>
              </w:rPr>
            </w:pPr>
            <w:r>
              <w:rPr>
                <w:rStyle w:val="CharacterStyle9"/>
              </w:rPr>
              <w:t>4.500,00</w:t>
            </w:r>
          </w:p>
        </w:tc>
        <w:tc>
          <w:tcPr>
            <w:tcW w:w="1395" w:type="dxa"/>
            <w:tcBorders>
              <w:bottom w:val="single" w:sz="6" w:space="0" w:color="000000"/>
              <w:right w:val="single" w:sz="6" w:space="0" w:color="000000"/>
            </w:tcBorders>
            <w:vAlign w:val="center"/>
          </w:tcPr>
          <w:p w14:paraId="69F7251D" w14:textId="77777777" w:rsidR="007D706A" w:rsidRDefault="007D706A" w:rsidP="00F70508">
            <w:pPr>
              <w:pStyle w:val="ParagraphStyle9"/>
              <w:rPr>
                <w:rStyle w:val="CharacterStyle9"/>
              </w:rPr>
            </w:pPr>
            <w:r>
              <w:rPr>
                <w:rStyle w:val="CharacterStyle9"/>
              </w:rPr>
              <w:t>5.000,00</w:t>
            </w:r>
          </w:p>
        </w:tc>
        <w:tc>
          <w:tcPr>
            <w:tcW w:w="1395" w:type="dxa"/>
            <w:tcBorders>
              <w:bottom w:val="single" w:sz="6" w:space="0" w:color="000000"/>
              <w:right w:val="single" w:sz="6" w:space="0" w:color="000000"/>
            </w:tcBorders>
            <w:vAlign w:val="center"/>
          </w:tcPr>
          <w:p w14:paraId="4957A745" w14:textId="77777777" w:rsidR="007D706A" w:rsidRDefault="007D706A" w:rsidP="00F70508">
            <w:pPr>
              <w:pStyle w:val="ParagraphStyle9"/>
              <w:rPr>
                <w:rStyle w:val="CharacterStyle9"/>
              </w:rPr>
            </w:pPr>
            <w:r>
              <w:rPr>
                <w:rStyle w:val="CharacterStyle9"/>
              </w:rPr>
              <w:t>4.535,00</w:t>
            </w:r>
          </w:p>
        </w:tc>
        <w:tc>
          <w:tcPr>
            <w:tcW w:w="1395" w:type="dxa"/>
            <w:tcBorders>
              <w:bottom w:val="single" w:sz="6" w:space="0" w:color="000000"/>
              <w:right w:val="single" w:sz="6" w:space="0" w:color="000000"/>
            </w:tcBorders>
            <w:vAlign w:val="center"/>
          </w:tcPr>
          <w:p w14:paraId="42B8E4D2" w14:textId="77777777" w:rsidR="007D706A" w:rsidRDefault="007D706A" w:rsidP="00F70508">
            <w:pPr>
              <w:pStyle w:val="ParagraphStyle9"/>
              <w:rPr>
                <w:rStyle w:val="CharacterStyle9"/>
              </w:rPr>
            </w:pPr>
            <w:r>
              <w:rPr>
                <w:rStyle w:val="CharacterStyle9"/>
              </w:rPr>
              <w:t>4.535,00</w:t>
            </w:r>
          </w:p>
        </w:tc>
      </w:tr>
      <w:tr w:rsidR="007D706A" w14:paraId="3917818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026B706"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38480F43"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3F7E4C0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B3704A6" w14:textId="77777777" w:rsidR="007D706A" w:rsidRDefault="007D706A" w:rsidP="00F70508">
            <w:pPr>
              <w:pStyle w:val="ParagraphStyle12"/>
              <w:rPr>
                <w:rStyle w:val="CharacterStyle12"/>
              </w:rPr>
            </w:pPr>
            <w:r>
              <w:rPr>
                <w:rStyle w:val="CharacterStyle12"/>
              </w:rPr>
              <w:t>4.500,00</w:t>
            </w:r>
          </w:p>
        </w:tc>
        <w:tc>
          <w:tcPr>
            <w:tcW w:w="1395" w:type="dxa"/>
            <w:tcBorders>
              <w:bottom w:val="single" w:sz="6" w:space="0" w:color="000000"/>
              <w:right w:val="single" w:sz="6" w:space="0" w:color="000000"/>
            </w:tcBorders>
            <w:vAlign w:val="center"/>
          </w:tcPr>
          <w:p w14:paraId="38BA5448" w14:textId="77777777" w:rsidR="007D706A" w:rsidRDefault="007D706A" w:rsidP="00F70508">
            <w:pPr>
              <w:pStyle w:val="ParagraphStyle12"/>
              <w:rPr>
                <w:rStyle w:val="CharacterStyle12"/>
              </w:rPr>
            </w:pPr>
            <w:r>
              <w:rPr>
                <w:rStyle w:val="CharacterStyle12"/>
              </w:rPr>
              <w:t>5.000,00</w:t>
            </w:r>
          </w:p>
        </w:tc>
        <w:tc>
          <w:tcPr>
            <w:tcW w:w="1395" w:type="dxa"/>
            <w:tcBorders>
              <w:bottom w:val="single" w:sz="6" w:space="0" w:color="000000"/>
              <w:right w:val="single" w:sz="6" w:space="0" w:color="000000"/>
            </w:tcBorders>
            <w:vAlign w:val="center"/>
          </w:tcPr>
          <w:p w14:paraId="5F403149" w14:textId="77777777" w:rsidR="007D706A" w:rsidRDefault="007D706A" w:rsidP="00F70508">
            <w:pPr>
              <w:pStyle w:val="ParagraphStyle12"/>
              <w:rPr>
                <w:rStyle w:val="CharacterStyle12"/>
              </w:rPr>
            </w:pPr>
            <w:r>
              <w:rPr>
                <w:rStyle w:val="CharacterStyle12"/>
              </w:rPr>
              <w:t>4.535,00</w:t>
            </w:r>
          </w:p>
        </w:tc>
        <w:tc>
          <w:tcPr>
            <w:tcW w:w="1395" w:type="dxa"/>
            <w:tcBorders>
              <w:bottom w:val="single" w:sz="6" w:space="0" w:color="000000"/>
              <w:right w:val="single" w:sz="6" w:space="0" w:color="000000"/>
            </w:tcBorders>
            <w:vAlign w:val="center"/>
          </w:tcPr>
          <w:p w14:paraId="3CAFA346" w14:textId="77777777" w:rsidR="007D706A" w:rsidRDefault="007D706A" w:rsidP="00F70508">
            <w:pPr>
              <w:pStyle w:val="ParagraphStyle12"/>
              <w:rPr>
                <w:rStyle w:val="CharacterStyle12"/>
              </w:rPr>
            </w:pPr>
            <w:r>
              <w:rPr>
                <w:rStyle w:val="CharacterStyle12"/>
              </w:rPr>
              <w:t>4.535,00</w:t>
            </w:r>
          </w:p>
        </w:tc>
      </w:tr>
      <w:tr w:rsidR="007D706A" w14:paraId="5931DC3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5D114B9" w14:textId="77777777" w:rsidR="007D706A" w:rsidRDefault="007D706A" w:rsidP="00F70508">
            <w:pPr>
              <w:pStyle w:val="ParagraphStyle10"/>
              <w:rPr>
                <w:rStyle w:val="CharacterStyle10"/>
              </w:rPr>
            </w:pPr>
            <w:r>
              <w:rPr>
                <w:rStyle w:val="CharacterStyle10"/>
              </w:rPr>
              <w:t>42</w:t>
            </w:r>
          </w:p>
        </w:tc>
        <w:tc>
          <w:tcPr>
            <w:tcW w:w="4995" w:type="dxa"/>
            <w:tcBorders>
              <w:bottom w:val="single" w:sz="6" w:space="0" w:color="000000"/>
              <w:right w:val="single" w:sz="6" w:space="0" w:color="000000"/>
            </w:tcBorders>
            <w:vAlign w:val="center"/>
          </w:tcPr>
          <w:p w14:paraId="5114E0A3"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28FAA87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31E334D" w14:textId="77777777" w:rsidR="007D706A" w:rsidRDefault="007D706A" w:rsidP="00F70508">
            <w:pPr>
              <w:pStyle w:val="ParagraphStyle12"/>
              <w:rPr>
                <w:rStyle w:val="CharacterStyle12"/>
              </w:rPr>
            </w:pPr>
            <w:r>
              <w:rPr>
                <w:rStyle w:val="CharacterStyle12"/>
              </w:rPr>
              <w:t>4.500,00</w:t>
            </w:r>
          </w:p>
        </w:tc>
        <w:tc>
          <w:tcPr>
            <w:tcW w:w="1395" w:type="dxa"/>
            <w:tcBorders>
              <w:bottom w:val="single" w:sz="6" w:space="0" w:color="000000"/>
              <w:right w:val="single" w:sz="6" w:space="0" w:color="000000"/>
            </w:tcBorders>
            <w:vAlign w:val="center"/>
          </w:tcPr>
          <w:p w14:paraId="28A2E8CA" w14:textId="77777777" w:rsidR="007D706A" w:rsidRDefault="007D706A" w:rsidP="00F70508">
            <w:pPr>
              <w:pStyle w:val="ParagraphStyle12"/>
              <w:rPr>
                <w:rStyle w:val="CharacterStyle12"/>
              </w:rPr>
            </w:pPr>
            <w:r>
              <w:rPr>
                <w:rStyle w:val="CharacterStyle12"/>
              </w:rPr>
              <w:t>5.000,00</w:t>
            </w:r>
          </w:p>
        </w:tc>
        <w:tc>
          <w:tcPr>
            <w:tcW w:w="1395" w:type="dxa"/>
            <w:tcBorders>
              <w:bottom w:val="single" w:sz="6" w:space="0" w:color="000000"/>
              <w:right w:val="single" w:sz="6" w:space="0" w:color="000000"/>
            </w:tcBorders>
            <w:vAlign w:val="center"/>
          </w:tcPr>
          <w:p w14:paraId="0CC962BB" w14:textId="77777777" w:rsidR="007D706A" w:rsidRDefault="007D706A" w:rsidP="00F70508">
            <w:pPr>
              <w:pStyle w:val="ParagraphStyle12"/>
              <w:rPr>
                <w:rStyle w:val="CharacterStyle12"/>
              </w:rPr>
            </w:pPr>
            <w:r>
              <w:rPr>
                <w:rStyle w:val="CharacterStyle12"/>
              </w:rPr>
              <w:t>4.535,00</w:t>
            </w:r>
          </w:p>
        </w:tc>
        <w:tc>
          <w:tcPr>
            <w:tcW w:w="1395" w:type="dxa"/>
            <w:tcBorders>
              <w:bottom w:val="single" w:sz="6" w:space="0" w:color="000000"/>
              <w:right w:val="single" w:sz="6" w:space="0" w:color="000000"/>
            </w:tcBorders>
            <w:vAlign w:val="center"/>
          </w:tcPr>
          <w:p w14:paraId="24DD4F24" w14:textId="77777777" w:rsidR="007D706A" w:rsidRDefault="007D706A" w:rsidP="00F70508">
            <w:pPr>
              <w:pStyle w:val="ParagraphStyle12"/>
              <w:rPr>
                <w:rStyle w:val="CharacterStyle12"/>
              </w:rPr>
            </w:pPr>
            <w:r>
              <w:rPr>
                <w:rStyle w:val="CharacterStyle12"/>
              </w:rPr>
              <w:t>4.535,00</w:t>
            </w:r>
          </w:p>
        </w:tc>
      </w:tr>
      <w:tr w:rsidR="007D706A" w14:paraId="2108E00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8D8FB8C" w14:textId="77777777" w:rsidR="007D706A" w:rsidRDefault="007D706A" w:rsidP="00F70508">
            <w:pPr>
              <w:pStyle w:val="ParagraphStyle7"/>
              <w:rPr>
                <w:rStyle w:val="CharacterStyle7"/>
              </w:rPr>
            </w:pPr>
            <w:r>
              <w:rPr>
                <w:rStyle w:val="CharacterStyle7"/>
              </w:rPr>
              <w:t>Izvor financiranja 50</w:t>
            </w:r>
          </w:p>
        </w:tc>
        <w:tc>
          <w:tcPr>
            <w:tcW w:w="4995" w:type="dxa"/>
            <w:tcBorders>
              <w:bottom w:val="single" w:sz="6" w:space="0" w:color="000000"/>
              <w:right w:val="single" w:sz="6" w:space="0" w:color="000000"/>
            </w:tcBorders>
            <w:vAlign w:val="center"/>
          </w:tcPr>
          <w:p w14:paraId="67370917" w14:textId="77777777" w:rsidR="007D706A" w:rsidRDefault="007D706A" w:rsidP="00F70508">
            <w:pPr>
              <w:pStyle w:val="ParagraphStyle8"/>
              <w:rPr>
                <w:rStyle w:val="CharacterStyle8"/>
              </w:rPr>
            </w:pPr>
            <w:r>
              <w:rPr>
                <w:rStyle w:val="CharacterStyle8"/>
              </w:rPr>
              <w:t>Pomoći iz državnog proračuna</w:t>
            </w:r>
          </w:p>
        </w:tc>
        <w:tc>
          <w:tcPr>
            <w:tcW w:w="1395" w:type="dxa"/>
            <w:tcBorders>
              <w:bottom w:val="single" w:sz="6" w:space="0" w:color="000000"/>
              <w:right w:val="single" w:sz="6" w:space="0" w:color="000000"/>
            </w:tcBorders>
            <w:vAlign w:val="center"/>
          </w:tcPr>
          <w:p w14:paraId="4564B263"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31C638B"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323B4B2" w14:textId="77777777" w:rsidR="007D706A" w:rsidRDefault="007D706A" w:rsidP="00F70508">
            <w:pPr>
              <w:pStyle w:val="ParagraphStyle9"/>
              <w:rPr>
                <w:rStyle w:val="CharacterStyle9"/>
              </w:rPr>
            </w:pPr>
            <w:r>
              <w:rPr>
                <w:rStyle w:val="CharacterStyle9"/>
              </w:rPr>
              <w:t>25.000,00</w:t>
            </w:r>
          </w:p>
        </w:tc>
        <w:tc>
          <w:tcPr>
            <w:tcW w:w="1395" w:type="dxa"/>
            <w:tcBorders>
              <w:bottom w:val="single" w:sz="6" w:space="0" w:color="000000"/>
              <w:right w:val="single" w:sz="6" w:space="0" w:color="000000"/>
            </w:tcBorders>
            <w:vAlign w:val="center"/>
          </w:tcPr>
          <w:p w14:paraId="7BD7EB66" w14:textId="77777777" w:rsidR="007D706A" w:rsidRDefault="007D706A" w:rsidP="00F70508">
            <w:pPr>
              <w:pStyle w:val="ParagraphStyle9"/>
              <w:rPr>
                <w:rStyle w:val="CharacterStyle9"/>
              </w:rPr>
            </w:pPr>
            <w:r>
              <w:rPr>
                <w:rStyle w:val="CharacterStyle9"/>
              </w:rPr>
              <w:t>27.000,00</w:t>
            </w:r>
          </w:p>
        </w:tc>
        <w:tc>
          <w:tcPr>
            <w:tcW w:w="1395" w:type="dxa"/>
            <w:tcBorders>
              <w:bottom w:val="single" w:sz="6" w:space="0" w:color="000000"/>
              <w:right w:val="single" w:sz="6" w:space="0" w:color="000000"/>
            </w:tcBorders>
            <w:vAlign w:val="center"/>
          </w:tcPr>
          <w:p w14:paraId="256EA6FC" w14:textId="77777777" w:rsidR="007D706A" w:rsidRDefault="007D706A" w:rsidP="00F70508">
            <w:pPr>
              <w:pStyle w:val="ParagraphStyle9"/>
              <w:rPr>
                <w:rStyle w:val="CharacterStyle9"/>
              </w:rPr>
            </w:pPr>
            <w:r>
              <w:rPr>
                <w:rStyle w:val="CharacterStyle9"/>
              </w:rPr>
              <w:t>29.000,00</w:t>
            </w:r>
          </w:p>
        </w:tc>
      </w:tr>
      <w:tr w:rsidR="007D706A" w14:paraId="658BFEB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C861A4B"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6FAB9539"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24888DC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5B44F6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15623A4" w14:textId="77777777" w:rsidR="007D706A" w:rsidRDefault="007D706A" w:rsidP="00F70508">
            <w:pPr>
              <w:pStyle w:val="ParagraphStyle12"/>
              <w:rPr>
                <w:rStyle w:val="CharacterStyle12"/>
              </w:rPr>
            </w:pPr>
            <w:r>
              <w:rPr>
                <w:rStyle w:val="CharacterStyle12"/>
              </w:rPr>
              <w:t>25.000,00</w:t>
            </w:r>
          </w:p>
        </w:tc>
        <w:tc>
          <w:tcPr>
            <w:tcW w:w="1395" w:type="dxa"/>
            <w:tcBorders>
              <w:bottom w:val="single" w:sz="6" w:space="0" w:color="000000"/>
              <w:right w:val="single" w:sz="6" w:space="0" w:color="000000"/>
            </w:tcBorders>
            <w:vAlign w:val="center"/>
          </w:tcPr>
          <w:p w14:paraId="30A21788" w14:textId="77777777" w:rsidR="007D706A" w:rsidRDefault="007D706A" w:rsidP="00F70508">
            <w:pPr>
              <w:pStyle w:val="ParagraphStyle12"/>
              <w:rPr>
                <w:rStyle w:val="CharacterStyle12"/>
              </w:rPr>
            </w:pPr>
            <w:r>
              <w:rPr>
                <w:rStyle w:val="CharacterStyle12"/>
              </w:rPr>
              <w:t>27.000,00</w:t>
            </w:r>
          </w:p>
        </w:tc>
        <w:tc>
          <w:tcPr>
            <w:tcW w:w="1395" w:type="dxa"/>
            <w:tcBorders>
              <w:bottom w:val="single" w:sz="6" w:space="0" w:color="000000"/>
              <w:right w:val="single" w:sz="6" w:space="0" w:color="000000"/>
            </w:tcBorders>
            <w:vAlign w:val="center"/>
          </w:tcPr>
          <w:p w14:paraId="556D84C9" w14:textId="77777777" w:rsidR="007D706A" w:rsidRDefault="007D706A" w:rsidP="00F70508">
            <w:pPr>
              <w:pStyle w:val="ParagraphStyle12"/>
              <w:rPr>
                <w:rStyle w:val="CharacterStyle12"/>
              </w:rPr>
            </w:pPr>
            <w:r>
              <w:rPr>
                <w:rStyle w:val="CharacterStyle12"/>
              </w:rPr>
              <w:t>29.000,00</w:t>
            </w:r>
          </w:p>
        </w:tc>
      </w:tr>
      <w:tr w:rsidR="007D706A" w14:paraId="7DBDFEA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6B6A6D0" w14:textId="77777777" w:rsidR="007D706A" w:rsidRDefault="007D706A" w:rsidP="00F70508">
            <w:pPr>
              <w:pStyle w:val="ParagraphStyle10"/>
              <w:rPr>
                <w:rStyle w:val="CharacterStyle10"/>
              </w:rPr>
            </w:pPr>
            <w:r>
              <w:rPr>
                <w:rStyle w:val="CharacterStyle10"/>
              </w:rPr>
              <w:t>42</w:t>
            </w:r>
          </w:p>
        </w:tc>
        <w:tc>
          <w:tcPr>
            <w:tcW w:w="4995" w:type="dxa"/>
            <w:tcBorders>
              <w:bottom w:val="single" w:sz="6" w:space="0" w:color="000000"/>
              <w:right w:val="single" w:sz="6" w:space="0" w:color="000000"/>
            </w:tcBorders>
            <w:vAlign w:val="center"/>
          </w:tcPr>
          <w:p w14:paraId="682A6395"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3D3B4C2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6E56C2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A720069" w14:textId="77777777" w:rsidR="007D706A" w:rsidRDefault="007D706A" w:rsidP="00F70508">
            <w:pPr>
              <w:pStyle w:val="ParagraphStyle12"/>
              <w:rPr>
                <w:rStyle w:val="CharacterStyle12"/>
              </w:rPr>
            </w:pPr>
            <w:r>
              <w:rPr>
                <w:rStyle w:val="CharacterStyle12"/>
              </w:rPr>
              <w:t>25.000,00</w:t>
            </w:r>
          </w:p>
        </w:tc>
        <w:tc>
          <w:tcPr>
            <w:tcW w:w="1395" w:type="dxa"/>
            <w:tcBorders>
              <w:bottom w:val="single" w:sz="6" w:space="0" w:color="000000"/>
              <w:right w:val="single" w:sz="6" w:space="0" w:color="000000"/>
            </w:tcBorders>
            <w:vAlign w:val="center"/>
          </w:tcPr>
          <w:p w14:paraId="12868E7E" w14:textId="77777777" w:rsidR="007D706A" w:rsidRDefault="007D706A" w:rsidP="00F70508">
            <w:pPr>
              <w:pStyle w:val="ParagraphStyle12"/>
              <w:rPr>
                <w:rStyle w:val="CharacterStyle12"/>
              </w:rPr>
            </w:pPr>
            <w:r>
              <w:rPr>
                <w:rStyle w:val="CharacterStyle12"/>
              </w:rPr>
              <w:t>27.000,00</w:t>
            </w:r>
          </w:p>
        </w:tc>
        <w:tc>
          <w:tcPr>
            <w:tcW w:w="1395" w:type="dxa"/>
            <w:tcBorders>
              <w:bottom w:val="single" w:sz="6" w:space="0" w:color="000000"/>
              <w:right w:val="single" w:sz="6" w:space="0" w:color="000000"/>
            </w:tcBorders>
            <w:vAlign w:val="center"/>
          </w:tcPr>
          <w:p w14:paraId="4F154327" w14:textId="77777777" w:rsidR="007D706A" w:rsidRDefault="007D706A" w:rsidP="00F70508">
            <w:pPr>
              <w:pStyle w:val="ParagraphStyle12"/>
              <w:rPr>
                <w:rStyle w:val="CharacterStyle12"/>
              </w:rPr>
            </w:pPr>
            <w:r>
              <w:rPr>
                <w:rStyle w:val="CharacterStyle12"/>
              </w:rPr>
              <w:t>29.000,00</w:t>
            </w:r>
          </w:p>
        </w:tc>
      </w:tr>
      <w:tr w:rsidR="007D706A" w14:paraId="550B8BC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CDFB53E" w14:textId="77777777" w:rsidR="007D706A" w:rsidRDefault="007D706A" w:rsidP="00F70508">
            <w:pPr>
              <w:pStyle w:val="ParagraphStyle7"/>
              <w:rPr>
                <w:rStyle w:val="CharacterStyle7"/>
              </w:rPr>
            </w:pPr>
            <w:r>
              <w:rPr>
                <w:rStyle w:val="CharacterStyle7"/>
              </w:rPr>
              <w:t>Izvor financiranja 53</w:t>
            </w:r>
          </w:p>
        </w:tc>
        <w:tc>
          <w:tcPr>
            <w:tcW w:w="4995" w:type="dxa"/>
            <w:tcBorders>
              <w:bottom w:val="single" w:sz="6" w:space="0" w:color="000000"/>
              <w:right w:val="single" w:sz="6" w:space="0" w:color="000000"/>
            </w:tcBorders>
            <w:vAlign w:val="center"/>
          </w:tcPr>
          <w:p w14:paraId="2D390489" w14:textId="77777777" w:rsidR="007D706A" w:rsidRDefault="007D706A" w:rsidP="00F70508">
            <w:pPr>
              <w:pStyle w:val="ParagraphStyle8"/>
              <w:rPr>
                <w:rStyle w:val="CharacterStyle8"/>
              </w:rPr>
            </w:pPr>
            <w:r>
              <w:rPr>
                <w:rStyle w:val="CharacterStyle8"/>
              </w:rPr>
              <w:t>Proračuni, drugi nivoi - za posebne i / ili ugovorene namjene</w:t>
            </w:r>
          </w:p>
        </w:tc>
        <w:tc>
          <w:tcPr>
            <w:tcW w:w="1395" w:type="dxa"/>
            <w:tcBorders>
              <w:bottom w:val="single" w:sz="6" w:space="0" w:color="000000"/>
              <w:right w:val="single" w:sz="6" w:space="0" w:color="000000"/>
            </w:tcBorders>
            <w:vAlign w:val="center"/>
          </w:tcPr>
          <w:p w14:paraId="7F6FBCBB"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CA83E47" w14:textId="77777777" w:rsidR="007D706A" w:rsidRDefault="007D706A" w:rsidP="00F70508">
            <w:pPr>
              <w:pStyle w:val="ParagraphStyle9"/>
              <w:rPr>
                <w:rStyle w:val="CharacterStyle9"/>
              </w:rPr>
            </w:pPr>
            <w:r>
              <w:rPr>
                <w:rStyle w:val="CharacterStyle9"/>
              </w:rPr>
              <w:t>22.700,00</w:t>
            </w:r>
          </w:p>
        </w:tc>
        <w:tc>
          <w:tcPr>
            <w:tcW w:w="1395" w:type="dxa"/>
            <w:tcBorders>
              <w:bottom w:val="single" w:sz="6" w:space="0" w:color="000000"/>
              <w:right w:val="single" w:sz="6" w:space="0" w:color="000000"/>
            </w:tcBorders>
            <w:vAlign w:val="center"/>
          </w:tcPr>
          <w:p w14:paraId="5D6A1CCE"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AE00425"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F0BDC35" w14:textId="77777777" w:rsidR="007D706A" w:rsidRDefault="007D706A" w:rsidP="00F70508">
            <w:pPr>
              <w:pStyle w:val="ParagraphStyle9"/>
              <w:rPr>
                <w:rStyle w:val="CharacterStyle9"/>
              </w:rPr>
            </w:pPr>
            <w:r>
              <w:rPr>
                <w:rStyle w:val="CharacterStyle9"/>
              </w:rPr>
              <w:t>0,00</w:t>
            </w:r>
          </w:p>
        </w:tc>
      </w:tr>
      <w:tr w:rsidR="007D706A" w14:paraId="5A7E535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6FE7024"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5A20F1EA"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3CED79D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D692E02" w14:textId="77777777" w:rsidR="007D706A" w:rsidRDefault="007D706A" w:rsidP="00F70508">
            <w:pPr>
              <w:pStyle w:val="ParagraphStyle12"/>
              <w:rPr>
                <w:rStyle w:val="CharacterStyle12"/>
              </w:rPr>
            </w:pPr>
            <w:r>
              <w:rPr>
                <w:rStyle w:val="CharacterStyle12"/>
              </w:rPr>
              <w:t>22.700,00</w:t>
            </w:r>
          </w:p>
        </w:tc>
        <w:tc>
          <w:tcPr>
            <w:tcW w:w="1395" w:type="dxa"/>
            <w:tcBorders>
              <w:bottom w:val="single" w:sz="6" w:space="0" w:color="000000"/>
              <w:right w:val="single" w:sz="6" w:space="0" w:color="000000"/>
            </w:tcBorders>
            <w:vAlign w:val="center"/>
          </w:tcPr>
          <w:p w14:paraId="4717064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959905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C022CD2" w14:textId="77777777" w:rsidR="007D706A" w:rsidRDefault="007D706A" w:rsidP="00F70508">
            <w:pPr>
              <w:pStyle w:val="ParagraphStyle12"/>
              <w:rPr>
                <w:rStyle w:val="CharacterStyle12"/>
              </w:rPr>
            </w:pPr>
            <w:r>
              <w:rPr>
                <w:rStyle w:val="CharacterStyle12"/>
              </w:rPr>
              <w:t>0,00</w:t>
            </w:r>
          </w:p>
        </w:tc>
      </w:tr>
      <w:tr w:rsidR="007D706A" w14:paraId="3B45950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B51509C" w14:textId="77777777" w:rsidR="007D706A" w:rsidRDefault="007D706A" w:rsidP="00F70508">
            <w:pPr>
              <w:pStyle w:val="ParagraphStyle10"/>
              <w:rPr>
                <w:rStyle w:val="CharacterStyle10"/>
              </w:rPr>
            </w:pPr>
            <w:r>
              <w:rPr>
                <w:rStyle w:val="CharacterStyle10"/>
              </w:rPr>
              <w:t>42</w:t>
            </w:r>
          </w:p>
        </w:tc>
        <w:tc>
          <w:tcPr>
            <w:tcW w:w="4995" w:type="dxa"/>
            <w:tcBorders>
              <w:bottom w:val="single" w:sz="6" w:space="0" w:color="000000"/>
              <w:right w:val="single" w:sz="6" w:space="0" w:color="000000"/>
            </w:tcBorders>
            <w:vAlign w:val="center"/>
          </w:tcPr>
          <w:p w14:paraId="398E3622"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1FBF787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F7C4279" w14:textId="77777777" w:rsidR="007D706A" w:rsidRDefault="007D706A" w:rsidP="00F70508">
            <w:pPr>
              <w:pStyle w:val="ParagraphStyle12"/>
              <w:rPr>
                <w:rStyle w:val="CharacterStyle12"/>
              </w:rPr>
            </w:pPr>
            <w:r>
              <w:rPr>
                <w:rStyle w:val="CharacterStyle12"/>
              </w:rPr>
              <w:t>22.700,00</w:t>
            </w:r>
          </w:p>
        </w:tc>
        <w:tc>
          <w:tcPr>
            <w:tcW w:w="1395" w:type="dxa"/>
            <w:tcBorders>
              <w:bottom w:val="single" w:sz="6" w:space="0" w:color="000000"/>
              <w:right w:val="single" w:sz="6" w:space="0" w:color="000000"/>
            </w:tcBorders>
            <w:vAlign w:val="center"/>
          </w:tcPr>
          <w:p w14:paraId="2D0ED10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C75044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0320DBB" w14:textId="77777777" w:rsidR="007D706A" w:rsidRDefault="007D706A" w:rsidP="00F70508">
            <w:pPr>
              <w:pStyle w:val="ParagraphStyle12"/>
              <w:rPr>
                <w:rStyle w:val="CharacterStyle12"/>
              </w:rPr>
            </w:pPr>
            <w:r>
              <w:rPr>
                <w:rStyle w:val="CharacterStyle12"/>
              </w:rPr>
              <w:t>0,00</w:t>
            </w:r>
          </w:p>
        </w:tc>
      </w:tr>
      <w:tr w:rsidR="007D706A" w14:paraId="1166EA5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772FC11" w14:textId="77777777" w:rsidR="007D706A" w:rsidRDefault="007D706A" w:rsidP="00F70508">
            <w:pPr>
              <w:pStyle w:val="ParagraphStyle7"/>
              <w:rPr>
                <w:rStyle w:val="CharacterStyle7"/>
              </w:rPr>
            </w:pPr>
            <w:r>
              <w:rPr>
                <w:rStyle w:val="CharacterStyle7"/>
              </w:rPr>
              <w:t>Izvor financiranja 61</w:t>
            </w:r>
          </w:p>
        </w:tc>
        <w:tc>
          <w:tcPr>
            <w:tcW w:w="4995" w:type="dxa"/>
            <w:tcBorders>
              <w:bottom w:val="single" w:sz="6" w:space="0" w:color="000000"/>
              <w:right w:val="single" w:sz="6" w:space="0" w:color="000000"/>
            </w:tcBorders>
            <w:vAlign w:val="center"/>
          </w:tcPr>
          <w:p w14:paraId="113CFFCE" w14:textId="77777777" w:rsidR="007D706A" w:rsidRDefault="007D706A" w:rsidP="00F70508">
            <w:pPr>
              <w:pStyle w:val="ParagraphStyle8"/>
              <w:rPr>
                <w:rStyle w:val="CharacterStyle8"/>
              </w:rPr>
            </w:pPr>
            <w:r>
              <w:rPr>
                <w:rStyle w:val="CharacterStyle8"/>
              </w:rPr>
              <w:t>Donacije</w:t>
            </w:r>
          </w:p>
        </w:tc>
        <w:tc>
          <w:tcPr>
            <w:tcW w:w="1395" w:type="dxa"/>
            <w:tcBorders>
              <w:bottom w:val="single" w:sz="6" w:space="0" w:color="000000"/>
              <w:right w:val="single" w:sz="6" w:space="0" w:color="000000"/>
            </w:tcBorders>
            <w:vAlign w:val="center"/>
          </w:tcPr>
          <w:p w14:paraId="6C2E3D67"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4F681C4" w14:textId="77777777" w:rsidR="007D706A" w:rsidRDefault="007D706A" w:rsidP="00F70508">
            <w:pPr>
              <w:pStyle w:val="ParagraphStyle9"/>
              <w:rPr>
                <w:rStyle w:val="CharacterStyle9"/>
              </w:rPr>
            </w:pPr>
            <w:r>
              <w:rPr>
                <w:rStyle w:val="CharacterStyle9"/>
              </w:rPr>
              <w:t>3.000,00</w:t>
            </w:r>
          </w:p>
        </w:tc>
        <w:tc>
          <w:tcPr>
            <w:tcW w:w="1395" w:type="dxa"/>
            <w:tcBorders>
              <w:bottom w:val="single" w:sz="6" w:space="0" w:color="000000"/>
              <w:right w:val="single" w:sz="6" w:space="0" w:color="000000"/>
            </w:tcBorders>
            <w:vAlign w:val="center"/>
          </w:tcPr>
          <w:p w14:paraId="3FDD2507" w14:textId="77777777" w:rsidR="007D706A" w:rsidRDefault="007D706A" w:rsidP="00F70508">
            <w:pPr>
              <w:pStyle w:val="ParagraphStyle9"/>
              <w:rPr>
                <w:rStyle w:val="CharacterStyle9"/>
              </w:rPr>
            </w:pPr>
            <w:r>
              <w:rPr>
                <w:rStyle w:val="CharacterStyle9"/>
              </w:rPr>
              <w:t>4.000,00</w:t>
            </w:r>
          </w:p>
        </w:tc>
        <w:tc>
          <w:tcPr>
            <w:tcW w:w="1395" w:type="dxa"/>
            <w:tcBorders>
              <w:bottom w:val="single" w:sz="6" w:space="0" w:color="000000"/>
              <w:right w:val="single" w:sz="6" w:space="0" w:color="000000"/>
            </w:tcBorders>
            <w:vAlign w:val="center"/>
          </w:tcPr>
          <w:p w14:paraId="21E25BCE" w14:textId="77777777" w:rsidR="007D706A" w:rsidRDefault="007D706A" w:rsidP="00F70508">
            <w:pPr>
              <w:pStyle w:val="ParagraphStyle9"/>
              <w:rPr>
                <w:rStyle w:val="CharacterStyle9"/>
              </w:rPr>
            </w:pPr>
            <w:r>
              <w:rPr>
                <w:rStyle w:val="CharacterStyle9"/>
              </w:rPr>
              <w:t>5.000,00</w:t>
            </w:r>
          </w:p>
        </w:tc>
        <w:tc>
          <w:tcPr>
            <w:tcW w:w="1395" w:type="dxa"/>
            <w:tcBorders>
              <w:bottom w:val="single" w:sz="6" w:space="0" w:color="000000"/>
              <w:right w:val="single" w:sz="6" w:space="0" w:color="000000"/>
            </w:tcBorders>
            <w:vAlign w:val="center"/>
          </w:tcPr>
          <w:p w14:paraId="03E8B4A6" w14:textId="77777777" w:rsidR="007D706A" w:rsidRDefault="007D706A" w:rsidP="00F70508">
            <w:pPr>
              <w:pStyle w:val="ParagraphStyle9"/>
              <w:rPr>
                <w:rStyle w:val="CharacterStyle9"/>
              </w:rPr>
            </w:pPr>
            <w:r>
              <w:rPr>
                <w:rStyle w:val="CharacterStyle9"/>
              </w:rPr>
              <w:t>6.000,00</w:t>
            </w:r>
          </w:p>
        </w:tc>
      </w:tr>
      <w:tr w:rsidR="007D706A" w14:paraId="1470AB66"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439FC7A"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2F97B67A"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6A403E3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D9F79EE" w14:textId="77777777" w:rsidR="007D706A" w:rsidRDefault="007D706A" w:rsidP="00F70508">
            <w:pPr>
              <w:pStyle w:val="ParagraphStyle12"/>
              <w:rPr>
                <w:rStyle w:val="CharacterStyle12"/>
              </w:rPr>
            </w:pPr>
            <w:r>
              <w:rPr>
                <w:rStyle w:val="CharacterStyle12"/>
              </w:rPr>
              <w:t>3.000,00</w:t>
            </w:r>
          </w:p>
        </w:tc>
        <w:tc>
          <w:tcPr>
            <w:tcW w:w="1395" w:type="dxa"/>
            <w:tcBorders>
              <w:bottom w:val="single" w:sz="6" w:space="0" w:color="000000"/>
              <w:right w:val="single" w:sz="6" w:space="0" w:color="000000"/>
            </w:tcBorders>
            <w:vAlign w:val="center"/>
          </w:tcPr>
          <w:p w14:paraId="2A1570E9" w14:textId="77777777" w:rsidR="007D706A" w:rsidRDefault="007D706A" w:rsidP="00F70508">
            <w:pPr>
              <w:pStyle w:val="ParagraphStyle12"/>
              <w:rPr>
                <w:rStyle w:val="CharacterStyle12"/>
              </w:rPr>
            </w:pPr>
            <w:r>
              <w:rPr>
                <w:rStyle w:val="CharacterStyle12"/>
              </w:rPr>
              <w:t>4.000,00</w:t>
            </w:r>
          </w:p>
        </w:tc>
        <w:tc>
          <w:tcPr>
            <w:tcW w:w="1395" w:type="dxa"/>
            <w:tcBorders>
              <w:bottom w:val="single" w:sz="6" w:space="0" w:color="000000"/>
              <w:right w:val="single" w:sz="6" w:space="0" w:color="000000"/>
            </w:tcBorders>
            <w:vAlign w:val="center"/>
          </w:tcPr>
          <w:p w14:paraId="13995F22" w14:textId="77777777" w:rsidR="007D706A" w:rsidRDefault="007D706A" w:rsidP="00F70508">
            <w:pPr>
              <w:pStyle w:val="ParagraphStyle12"/>
              <w:rPr>
                <w:rStyle w:val="CharacterStyle12"/>
              </w:rPr>
            </w:pPr>
            <w:r>
              <w:rPr>
                <w:rStyle w:val="CharacterStyle12"/>
              </w:rPr>
              <w:t>5.000,00</w:t>
            </w:r>
          </w:p>
        </w:tc>
        <w:tc>
          <w:tcPr>
            <w:tcW w:w="1395" w:type="dxa"/>
            <w:tcBorders>
              <w:bottom w:val="single" w:sz="6" w:space="0" w:color="000000"/>
              <w:right w:val="single" w:sz="6" w:space="0" w:color="000000"/>
            </w:tcBorders>
            <w:vAlign w:val="center"/>
          </w:tcPr>
          <w:p w14:paraId="7DE34F93" w14:textId="77777777" w:rsidR="007D706A" w:rsidRDefault="007D706A" w:rsidP="00F70508">
            <w:pPr>
              <w:pStyle w:val="ParagraphStyle12"/>
              <w:rPr>
                <w:rStyle w:val="CharacterStyle12"/>
              </w:rPr>
            </w:pPr>
            <w:r>
              <w:rPr>
                <w:rStyle w:val="CharacterStyle12"/>
              </w:rPr>
              <w:t>6.000,00</w:t>
            </w:r>
          </w:p>
        </w:tc>
      </w:tr>
      <w:tr w:rsidR="007D706A" w14:paraId="403C865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16C183C" w14:textId="77777777" w:rsidR="007D706A" w:rsidRDefault="007D706A" w:rsidP="00F70508">
            <w:pPr>
              <w:pStyle w:val="ParagraphStyle10"/>
              <w:rPr>
                <w:rStyle w:val="CharacterStyle10"/>
              </w:rPr>
            </w:pPr>
            <w:r>
              <w:rPr>
                <w:rStyle w:val="CharacterStyle10"/>
              </w:rPr>
              <w:t>42</w:t>
            </w:r>
          </w:p>
        </w:tc>
        <w:tc>
          <w:tcPr>
            <w:tcW w:w="4995" w:type="dxa"/>
            <w:tcBorders>
              <w:bottom w:val="single" w:sz="6" w:space="0" w:color="000000"/>
              <w:right w:val="single" w:sz="6" w:space="0" w:color="000000"/>
            </w:tcBorders>
            <w:vAlign w:val="center"/>
          </w:tcPr>
          <w:p w14:paraId="6AEA87C4"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42675F7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2C63C6A" w14:textId="77777777" w:rsidR="007D706A" w:rsidRDefault="007D706A" w:rsidP="00F70508">
            <w:pPr>
              <w:pStyle w:val="ParagraphStyle12"/>
              <w:rPr>
                <w:rStyle w:val="CharacterStyle12"/>
              </w:rPr>
            </w:pPr>
            <w:r>
              <w:rPr>
                <w:rStyle w:val="CharacterStyle12"/>
              </w:rPr>
              <w:t>3.000,00</w:t>
            </w:r>
          </w:p>
        </w:tc>
        <w:tc>
          <w:tcPr>
            <w:tcW w:w="1395" w:type="dxa"/>
            <w:tcBorders>
              <w:bottom w:val="single" w:sz="6" w:space="0" w:color="000000"/>
              <w:right w:val="single" w:sz="6" w:space="0" w:color="000000"/>
            </w:tcBorders>
            <w:vAlign w:val="center"/>
          </w:tcPr>
          <w:p w14:paraId="5A085C5D" w14:textId="77777777" w:rsidR="007D706A" w:rsidRDefault="007D706A" w:rsidP="00F70508">
            <w:pPr>
              <w:pStyle w:val="ParagraphStyle12"/>
              <w:rPr>
                <w:rStyle w:val="CharacterStyle12"/>
              </w:rPr>
            </w:pPr>
            <w:r>
              <w:rPr>
                <w:rStyle w:val="CharacterStyle12"/>
              </w:rPr>
              <w:t>4.000,00</w:t>
            </w:r>
          </w:p>
        </w:tc>
        <w:tc>
          <w:tcPr>
            <w:tcW w:w="1395" w:type="dxa"/>
            <w:tcBorders>
              <w:bottom w:val="single" w:sz="6" w:space="0" w:color="000000"/>
              <w:right w:val="single" w:sz="6" w:space="0" w:color="000000"/>
            </w:tcBorders>
            <w:vAlign w:val="center"/>
          </w:tcPr>
          <w:p w14:paraId="0DCC3BEC" w14:textId="77777777" w:rsidR="007D706A" w:rsidRDefault="007D706A" w:rsidP="00F70508">
            <w:pPr>
              <w:pStyle w:val="ParagraphStyle12"/>
              <w:rPr>
                <w:rStyle w:val="CharacterStyle12"/>
              </w:rPr>
            </w:pPr>
            <w:r>
              <w:rPr>
                <w:rStyle w:val="CharacterStyle12"/>
              </w:rPr>
              <w:t>5.000,00</w:t>
            </w:r>
          </w:p>
        </w:tc>
        <w:tc>
          <w:tcPr>
            <w:tcW w:w="1395" w:type="dxa"/>
            <w:tcBorders>
              <w:bottom w:val="single" w:sz="6" w:space="0" w:color="000000"/>
              <w:right w:val="single" w:sz="6" w:space="0" w:color="000000"/>
            </w:tcBorders>
            <w:vAlign w:val="center"/>
          </w:tcPr>
          <w:p w14:paraId="6F2381EE" w14:textId="77777777" w:rsidR="007D706A" w:rsidRDefault="007D706A" w:rsidP="00F70508">
            <w:pPr>
              <w:pStyle w:val="ParagraphStyle12"/>
              <w:rPr>
                <w:rStyle w:val="CharacterStyle12"/>
              </w:rPr>
            </w:pPr>
            <w:r>
              <w:rPr>
                <w:rStyle w:val="CharacterStyle12"/>
              </w:rPr>
              <w:t>6.000,00</w:t>
            </w:r>
          </w:p>
        </w:tc>
      </w:tr>
      <w:tr w:rsidR="007D706A" w14:paraId="3B350AE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CF998D4" w14:textId="77777777" w:rsidR="007D706A" w:rsidRDefault="007D706A" w:rsidP="00F70508">
            <w:pPr>
              <w:pStyle w:val="ParagraphStyle7"/>
              <w:rPr>
                <w:rStyle w:val="CharacterStyle7"/>
              </w:rPr>
            </w:pPr>
            <w:r>
              <w:rPr>
                <w:rStyle w:val="CharacterStyle7"/>
              </w:rPr>
              <w:t>Izvor financiranja 82</w:t>
            </w:r>
          </w:p>
        </w:tc>
        <w:tc>
          <w:tcPr>
            <w:tcW w:w="4995" w:type="dxa"/>
            <w:tcBorders>
              <w:bottom w:val="single" w:sz="6" w:space="0" w:color="000000"/>
              <w:right w:val="single" w:sz="6" w:space="0" w:color="000000"/>
            </w:tcBorders>
            <w:vAlign w:val="center"/>
          </w:tcPr>
          <w:p w14:paraId="3E690131" w14:textId="77777777" w:rsidR="007D706A" w:rsidRDefault="007D706A" w:rsidP="00F70508">
            <w:pPr>
              <w:pStyle w:val="ParagraphStyle8"/>
              <w:rPr>
                <w:rStyle w:val="CharacterStyle8"/>
              </w:rPr>
            </w:pPr>
            <w:r>
              <w:rPr>
                <w:rStyle w:val="CharacterStyle8"/>
              </w:rPr>
              <w:t>Preneseni viškovi iz ranijih godina</w:t>
            </w:r>
          </w:p>
        </w:tc>
        <w:tc>
          <w:tcPr>
            <w:tcW w:w="1395" w:type="dxa"/>
            <w:tcBorders>
              <w:bottom w:val="single" w:sz="6" w:space="0" w:color="000000"/>
              <w:right w:val="single" w:sz="6" w:space="0" w:color="000000"/>
            </w:tcBorders>
            <w:vAlign w:val="center"/>
          </w:tcPr>
          <w:p w14:paraId="5D5F7829"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291A20D" w14:textId="77777777" w:rsidR="007D706A" w:rsidRDefault="007D706A" w:rsidP="00F70508">
            <w:pPr>
              <w:pStyle w:val="ParagraphStyle9"/>
              <w:rPr>
                <w:rStyle w:val="CharacterStyle9"/>
              </w:rPr>
            </w:pPr>
            <w:r>
              <w:rPr>
                <w:rStyle w:val="CharacterStyle9"/>
              </w:rPr>
              <w:t>1.042,32</w:t>
            </w:r>
          </w:p>
        </w:tc>
        <w:tc>
          <w:tcPr>
            <w:tcW w:w="1395" w:type="dxa"/>
            <w:tcBorders>
              <w:bottom w:val="single" w:sz="6" w:space="0" w:color="000000"/>
              <w:right w:val="single" w:sz="6" w:space="0" w:color="000000"/>
            </w:tcBorders>
            <w:vAlign w:val="center"/>
          </w:tcPr>
          <w:p w14:paraId="18028871"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43927F9"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FBF5BE5" w14:textId="77777777" w:rsidR="007D706A" w:rsidRDefault="007D706A" w:rsidP="00F70508">
            <w:pPr>
              <w:pStyle w:val="ParagraphStyle9"/>
              <w:rPr>
                <w:rStyle w:val="CharacterStyle9"/>
              </w:rPr>
            </w:pPr>
            <w:r>
              <w:rPr>
                <w:rStyle w:val="CharacterStyle9"/>
              </w:rPr>
              <w:t>0,00</w:t>
            </w:r>
          </w:p>
        </w:tc>
      </w:tr>
      <w:tr w:rsidR="007D706A" w14:paraId="5C02649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CF007EC"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1F6CD7EE"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2DA48E3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CF0BC22" w14:textId="77777777" w:rsidR="007D706A" w:rsidRDefault="007D706A" w:rsidP="00F70508">
            <w:pPr>
              <w:pStyle w:val="ParagraphStyle12"/>
              <w:rPr>
                <w:rStyle w:val="CharacterStyle12"/>
              </w:rPr>
            </w:pPr>
            <w:r>
              <w:rPr>
                <w:rStyle w:val="CharacterStyle12"/>
              </w:rPr>
              <w:t>1.042,32</w:t>
            </w:r>
          </w:p>
        </w:tc>
        <w:tc>
          <w:tcPr>
            <w:tcW w:w="1395" w:type="dxa"/>
            <w:tcBorders>
              <w:bottom w:val="single" w:sz="6" w:space="0" w:color="000000"/>
              <w:right w:val="single" w:sz="6" w:space="0" w:color="000000"/>
            </w:tcBorders>
            <w:vAlign w:val="center"/>
          </w:tcPr>
          <w:p w14:paraId="5A6E2A4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F5811D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0B2876F" w14:textId="77777777" w:rsidR="007D706A" w:rsidRDefault="007D706A" w:rsidP="00F70508">
            <w:pPr>
              <w:pStyle w:val="ParagraphStyle12"/>
              <w:rPr>
                <w:rStyle w:val="CharacterStyle12"/>
              </w:rPr>
            </w:pPr>
            <w:r>
              <w:rPr>
                <w:rStyle w:val="CharacterStyle12"/>
              </w:rPr>
              <w:t>0,00</w:t>
            </w:r>
          </w:p>
        </w:tc>
      </w:tr>
      <w:tr w:rsidR="007D706A" w14:paraId="31643CA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2DB038C" w14:textId="77777777" w:rsidR="007D706A" w:rsidRDefault="007D706A" w:rsidP="00F70508">
            <w:pPr>
              <w:pStyle w:val="ParagraphStyle10"/>
              <w:rPr>
                <w:rStyle w:val="CharacterStyle10"/>
              </w:rPr>
            </w:pPr>
            <w:r>
              <w:rPr>
                <w:rStyle w:val="CharacterStyle10"/>
              </w:rPr>
              <w:t>42</w:t>
            </w:r>
          </w:p>
        </w:tc>
        <w:tc>
          <w:tcPr>
            <w:tcW w:w="4995" w:type="dxa"/>
            <w:tcBorders>
              <w:bottom w:val="single" w:sz="6" w:space="0" w:color="000000"/>
              <w:right w:val="single" w:sz="6" w:space="0" w:color="000000"/>
            </w:tcBorders>
            <w:vAlign w:val="center"/>
          </w:tcPr>
          <w:p w14:paraId="07240AB9"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0CBC0E2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5780227" w14:textId="77777777" w:rsidR="007D706A" w:rsidRDefault="007D706A" w:rsidP="00F70508">
            <w:pPr>
              <w:pStyle w:val="ParagraphStyle12"/>
              <w:rPr>
                <w:rStyle w:val="CharacterStyle12"/>
              </w:rPr>
            </w:pPr>
            <w:r>
              <w:rPr>
                <w:rStyle w:val="CharacterStyle12"/>
              </w:rPr>
              <w:t>1.042,32</w:t>
            </w:r>
          </w:p>
        </w:tc>
        <w:tc>
          <w:tcPr>
            <w:tcW w:w="1395" w:type="dxa"/>
            <w:tcBorders>
              <w:bottom w:val="single" w:sz="6" w:space="0" w:color="000000"/>
              <w:right w:val="single" w:sz="6" w:space="0" w:color="000000"/>
            </w:tcBorders>
            <w:vAlign w:val="center"/>
          </w:tcPr>
          <w:p w14:paraId="07F7620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8790B9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6BED0FD" w14:textId="77777777" w:rsidR="007D706A" w:rsidRDefault="007D706A" w:rsidP="00F70508">
            <w:pPr>
              <w:pStyle w:val="ParagraphStyle12"/>
              <w:rPr>
                <w:rStyle w:val="CharacterStyle12"/>
              </w:rPr>
            </w:pPr>
            <w:r>
              <w:rPr>
                <w:rStyle w:val="CharacterStyle12"/>
              </w:rPr>
              <w:t>0,00</w:t>
            </w:r>
          </w:p>
        </w:tc>
      </w:tr>
      <w:tr w:rsidR="007D706A" w14:paraId="7B2F396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D786640" w14:textId="77777777" w:rsidR="007D706A" w:rsidRDefault="007D706A" w:rsidP="00F70508">
            <w:pPr>
              <w:pStyle w:val="ParagraphStyle4"/>
              <w:rPr>
                <w:rStyle w:val="CharacterStyle4"/>
              </w:rPr>
            </w:pPr>
            <w:r>
              <w:rPr>
                <w:rStyle w:val="CharacterStyle4"/>
              </w:rPr>
              <w:t>Kapitalni projekt K103705</w:t>
            </w:r>
          </w:p>
        </w:tc>
        <w:tc>
          <w:tcPr>
            <w:tcW w:w="4995" w:type="dxa"/>
            <w:tcBorders>
              <w:bottom w:val="single" w:sz="6" w:space="0" w:color="000000"/>
              <w:right w:val="single" w:sz="6" w:space="0" w:color="000000"/>
            </w:tcBorders>
            <w:vAlign w:val="center"/>
          </w:tcPr>
          <w:p w14:paraId="3EF7A84D" w14:textId="77777777" w:rsidR="007D706A" w:rsidRDefault="007D706A" w:rsidP="00F70508">
            <w:pPr>
              <w:pStyle w:val="ParagraphStyle5"/>
              <w:rPr>
                <w:rStyle w:val="CharacterStyle5"/>
              </w:rPr>
            </w:pPr>
            <w:r>
              <w:rPr>
                <w:rStyle w:val="CharacterStyle5"/>
              </w:rPr>
              <w:t>OPREMANJE PROSTORA</w:t>
            </w:r>
          </w:p>
        </w:tc>
        <w:tc>
          <w:tcPr>
            <w:tcW w:w="1395" w:type="dxa"/>
            <w:tcBorders>
              <w:bottom w:val="single" w:sz="6" w:space="0" w:color="000000"/>
              <w:right w:val="single" w:sz="6" w:space="0" w:color="000000"/>
            </w:tcBorders>
            <w:vAlign w:val="center"/>
          </w:tcPr>
          <w:p w14:paraId="3E005FF9"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2F6EB0AB" w14:textId="77777777" w:rsidR="007D706A" w:rsidRDefault="007D706A" w:rsidP="00F70508">
            <w:pPr>
              <w:pStyle w:val="ParagraphStyle6"/>
              <w:rPr>
                <w:rStyle w:val="CharacterStyle6"/>
              </w:rPr>
            </w:pPr>
            <w:r>
              <w:rPr>
                <w:rStyle w:val="CharacterStyle6"/>
              </w:rPr>
              <w:t>33.942,00</w:t>
            </w:r>
          </w:p>
        </w:tc>
        <w:tc>
          <w:tcPr>
            <w:tcW w:w="1395" w:type="dxa"/>
            <w:tcBorders>
              <w:bottom w:val="single" w:sz="6" w:space="0" w:color="000000"/>
              <w:right w:val="single" w:sz="6" w:space="0" w:color="000000"/>
            </w:tcBorders>
            <w:vAlign w:val="center"/>
          </w:tcPr>
          <w:p w14:paraId="447C6876" w14:textId="77777777" w:rsidR="007D706A" w:rsidRDefault="007D706A" w:rsidP="00F70508">
            <w:pPr>
              <w:pStyle w:val="ParagraphStyle6"/>
              <w:rPr>
                <w:rStyle w:val="CharacterStyle6"/>
              </w:rPr>
            </w:pPr>
            <w:r>
              <w:rPr>
                <w:rStyle w:val="CharacterStyle6"/>
              </w:rPr>
              <w:t>30.760,00</w:t>
            </w:r>
          </w:p>
        </w:tc>
        <w:tc>
          <w:tcPr>
            <w:tcW w:w="1395" w:type="dxa"/>
            <w:tcBorders>
              <w:bottom w:val="single" w:sz="6" w:space="0" w:color="000000"/>
              <w:right w:val="single" w:sz="6" w:space="0" w:color="000000"/>
            </w:tcBorders>
            <w:vAlign w:val="center"/>
          </w:tcPr>
          <w:p w14:paraId="73C0569F" w14:textId="77777777" w:rsidR="007D706A" w:rsidRDefault="007D706A" w:rsidP="00F70508">
            <w:pPr>
              <w:pStyle w:val="ParagraphStyle6"/>
              <w:rPr>
                <w:rStyle w:val="CharacterStyle6"/>
              </w:rPr>
            </w:pPr>
            <w:r>
              <w:rPr>
                <w:rStyle w:val="CharacterStyle6"/>
              </w:rPr>
              <w:t>10.200,00</w:t>
            </w:r>
          </w:p>
        </w:tc>
        <w:tc>
          <w:tcPr>
            <w:tcW w:w="1395" w:type="dxa"/>
            <w:tcBorders>
              <w:bottom w:val="single" w:sz="6" w:space="0" w:color="000000"/>
              <w:right w:val="single" w:sz="6" w:space="0" w:color="000000"/>
            </w:tcBorders>
            <w:vAlign w:val="center"/>
          </w:tcPr>
          <w:p w14:paraId="34C81736" w14:textId="77777777" w:rsidR="007D706A" w:rsidRDefault="007D706A" w:rsidP="00F70508">
            <w:pPr>
              <w:pStyle w:val="ParagraphStyle6"/>
              <w:rPr>
                <w:rStyle w:val="CharacterStyle6"/>
              </w:rPr>
            </w:pPr>
            <w:r>
              <w:rPr>
                <w:rStyle w:val="CharacterStyle6"/>
              </w:rPr>
              <w:t>10.200,00</w:t>
            </w:r>
          </w:p>
        </w:tc>
      </w:tr>
      <w:tr w:rsidR="007D706A" w14:paraId="6619E1A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DBAD706"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63D7E582"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6C8C8E61"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73F1D7E" w14:textId="77777777" w:rsidR="007D706A" w:rsidRDefault="007D706A" w:rsidP="00F70508">
            <w:pPr>
              <w:pStyle w:val="ParagraphStyle9"/>
              <w:rPr>
                <w:rStyle w:val="CharacterStyle9"/>
              </w:rPr>
            </w:pPr>
            <w:r>
              <w:rPr>
                <w:rStyle w:val="CharacterStyle9"/>
              </w:rPr>
              <w:t>13.942,00</w:t>
            </w:r>
          </w:p>
        </w:tc>
        <w:tc>
          <w:tcPr>
            <w:tcW w:w="1395" w:type="dxa"/>
            <w:tcBorders>
              <w:bottom w:val="single" w:sz="6" w:space="0" w:color="000000"/>
              <w:right w:val="single" w:sz="6" w:space="0" w:color="000000"/>
            </w:tcBorders>
            <w:vAlign w:val="center"/>
          </w:tcPr>
          <w:p w14:paraId="7B5B4728" w14:textId="77777777" w:rsidR="007D706A" w:rsidRDefault="007D706A" w:rsidP="00F70508">
            <w:pPr>
              <w:pStyle w:val="ParagraphStyle9"/>
              <w:rPr>
                <w:rStyle w:val="CharacterStyle9"/>
              </w:rPr>
            </w:pPr>
            <w:r>
              <w:rPr>
                <w:rStyle w:val="CharacterStyle9"/>
              </w:rPr>
              <w:t>15.760,00</w:t>
            </w:r>
          </w:p>
        </w:tc>
        <w:tc>
          <w:tcPr>
            <w:tcW w:w="1395" w:type="dxa"/>
            <w:tcBorders>
              <w:bottom w:val="single" w:sz="6" w:space="0" w:color="000000"/>
              <w:right w:val="single" w:sz="6" w:space="0" w:color="000000"/>
            </w:tcBorders>
            <w:vAlign w:val="center"/>
          </w:tcPr>
          <w:p w14:paraId="77C5C84F" w14:textId="77777777" w:rsidR="007D706A" w:rsidRDefault="007D706A" w:rsidP="00F70508">
            <w:pPr>
              <w:pStyle w:val="ParagraphStyle9"/>
              <w:rPr>
                <w:rStyle w:val="CharacterStyle9"/>
              </w:rPr>
            </w:pPr>
            <w:r>
              <w:rPr>
                <w:rStyle w:val="CharacterStyle9"/>
              </w:rPr>
              <w:t>10.200,00</w:t>
            </w:r>
          </w:p>
        </w:tc>
        <w:tc>
          <w:tcPr>
            <w:tcW w:w="1395" w:type="dxa"/>
            <w:tcBorders>
              <w:bottom w:val="single" w:sz="6" w:space="0" w:color="000000"/>
              <w:right w:val="single" w:sz="6" w:space="0" w:color="000000"/>
            </w:tcBorders>
            <w:vAlign w:val="center"/>
          </w:tcPr>
          <w:p w14:paraId="79A2656C" w14:textId="77777777" w:rsidR="007D706A" w:rsidRDefault="007D706A" w:rsidP="00F70508">
            <w:pPr>
              <w:pStyle w:val="ParagraphStyle9"/>
              <w:rPr>
                <w:rStyle w:val="CharacterStyle9"/>
              </w:rPr>
            </w:pPr>
            <w:r>
              <w:rPr>
                <w:rStyle w:val="CharacterStyle9"/>
              </w:rPr>
              <w:t>10.200,00</w:t>
            </w:r>
          </w:p>
        </w:tc>
      </w:tr>
      <w:tr w:rsidR="007D706A" w14:paraId="6183345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9F1F85E"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22D1F2EF"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6B618AE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81B603F" w14:textId="77777777" w:rsidR="007D706A" w:rsidRDefault="007D706A" w:rsidP="00F70508">
            <w:pPr>
              <w:pStyle w:val="ParagraphStyle12"/>
              <w:rPr>
                <w:rStyle w:val="CharacterStyle12"/>
              </w:rPr>
            </w:pPr>
            <w:r>
              <w:rPr>
                <w:rStyle w:val="CharacterStyle12"/>
              </w:rPr>
              <w:t>13.942,00</w:t>
            </w:r>
          </w:p>
        </w:tc>
        <w:tc>
          <w:tcPr>
            <w:tcW w:w="1395" w:type="dxa"/>
            <w:tcBorders>
              <w:bottom w:val="single" w:sz="6" w:space="0" w:color="000000"/>
              <w:right w:val="single" w:sz="6" w:space="0" w:color="000000"/>
            </w:tcBorders>
            <w:vAlign w:val="center"/>
          </w:tcPr>
          <w:p w14:paraId="6D480290" w14:textId="77777777" w:rsidR="007D706A" w:rsidRDefault="007D706A" w:rsidP="00F70508">
            <w:pPr>
              <w:pStyle w:val="ParagraphStyle12"/>
              <w:rPr>
                <w:rStyle w:val="CharacterStyle12"/>
              </w:rPr>
            </w:pPr>
            <w:r>
              <w:rPr>
                <w:rStyle w:val="CharacterStyle12"/>
              </w:rPr>
              <w:t>15.760,00</w:t>
            </w:r>
          </w:p>
        </w:tc>
        <w:tc>
          <w:tcPr>
            <w:tcW w:w="1395" w:type="dxa"/>
            <w:tcBorders>
              <w:bottom w:val="single" w:sz="6" w:space="0" w:color="000000"/>
              <w:right w:val="single" w:sz="6" w:space="0" w:color="000000"/>
            </w:tcBorders>
            <w:vAlign w:val="center"/>
          </w:tcPr>
          <w:p w14:paraId="7E97388F" w14:textId="77777777" w:rsidR="007D706A" w:rsidRDefault="007D706A" w:rsidP="00F70508">
            <w:pPr>
              <w:pStyle w:val="ParagraphStyle12"/>
              <w:rPr>
                <w:rStyle w:val="CharacterStyle12"/>
              </w:rPr>
            </w:pPr>
            <w:r>
              <w:rPr>
                <w:rStyle w:val="CharacterStyle12"/>
              </w:rPr>
              <w:t>10.200,00</w:t>
            </w:r>
          </w:p>
        </w:tc>
        <w:tc>
          <w:tcPr>
            <w:tcW w:w="1395" w:type="dxa"/>
            <w:tcBorders>
              <w:bottom w:val="single" w:sz="6" w:space="0" w:color="000000"/>
              <w:right w:val="single" w:sz="6" w:space="0" w:color="000000"/>
            </w:tcBorders>
            <w:vAlign w:val="center"/>
          </w:tcPr>
          <w:p w14:paraId="0A61B5AC" w14:textId="77777777" w:rsidR="007D706A" w:rsidRDefault="007D706A" w:rsidP="00F70508">
            <w:pPr>
              <w:pStyle w:val="ParagraphStyle12"/>
              <w:rPr>
                <w:rStyle w:val="CharacterStyle12"/>
              </w:rPr>
            </w:pPr>
            <w:r>
              <w:rPr>
                <w:rStyle w:val="CharacterStyle12"/>
              </w:rPr>
              <w:t>10.200,00</w:t>
            </w:r>
          </w:p>
        </w:tc>
      </w:tr>
      <w:tr w:rsidR="007D706A" w14:paraId="2000B62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17CCC6D" w14:textId="77777777" w:rsidR="007D706A" w:rsidRDefault="007D706A" w:rsidP="00F70508">
            <w:pPr>
              <w:pStyle w:val="ParagraphStyle10"/>
              <w:rPr>
                <w:rStyle w:val="CharacterStyle10"/>
              </w:rPr>
            </w:pPr>
            <w:r>
              <w:rPr>
                <w:rStyle w:val="CharacterStyle10"/>
              </w:rPr>
              <w:t>42</w:t>
            </w:r>
          </w:p>
        </w:tc>
        <w:tc>
          <w:tcPr>
            <w:tcW w:w="4995" w:type="dxa"/>
            <w:tcBorders>
              <w:bottom w:val="single" w:sz="6" w:space="0" w:color="000000"/>
              <w:right w:val="single" w:sz="6" w:space="0" w:color="000000"/>
            </w:tcBorders>
            <w:vAlign w:val="center"/>
          </w:tcPr>
          <w:p w14:paraId="2BBB0FA5"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4254009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BA66E91" w14:textId="77777777" w:rsidR="007D706A" w:rsidRDefault="007D706A" w:rsidP="00F70508">
            <w:pPr>
              <w:pStyle w:val="ParagraphStyle12"/>
              <w:rPr>
                <w:rStyle w:val="CharacterStyle12"/>
              </w:rPr>
            </w:pPr>
            <w:r>
              <w:rPr>
                <w:rStyle w:val="CharacterStyle12"/>
              </w:rPr>
              <w:t>13.942,00</w:t>
            </w:r>
          </w:p>
        </w:tc>
        <w:tc>
          <w:tcPr>
            <w:tcW w:w="1395" w:type="dxa"/>
            <w:tcBorders>
              <w:bottom w:val="single" w:sz="6" w:space="0" w:color="000000"/>
              <w:right w:val="single" w:sz="6" w:space="0" w:color="000000"/>
            </w:tcBorders>
            <w:vAlign w:val="center"/>
          </w:tcPr>
          <w:p w14:paraId="2AEC6F2B" w14:textId="77777777" w:rsidR="007D706A" w:rsidRDefault="007D706A" w:rsidP="00F70508">
            <w:pPr>
              <w:pStyle w:val="ParagraphStyle12"/>
              <w:rPr>
                <w:rStyle w:val="CharacterStyle12"/>
              </w:rPr>
            </w:pPr>
            <w:r>
              <w:rPr>
                <w:rStyle w:val="CharacterStyle12"/>
              </w:rPr>
              <w:t>15.760,00</w:t>
            </w:r>
          </w:p>
        </w:tc>
        <w:tc>
          <w:tcPr>
            <w:tcW w:w="1395" w:type="dxa"/>
            <w:tcBorders>
              <w:bottom w:val="single" w:sz="6" w:space="0" w:color="000000"/>
              <w:right w:val="single" w:sz="6" w:space="0" w:color="000000"/>
            </w:tcBorders>
            <w:vAlign w:val="center"/>
          </w:tcPr>
          <w:p w14:paraId="4B718AD4" w14:textId="77777777" w:rsidR="007D706A" w:rsidRDefault="007D706A" w:rsidP="00F70508">
            <w:pPr>
              <w:pStyle w:val="ParagraphStyle12"/>
              <w:rPr>
                <w:rStyle w:val="CharacterStyle12"/>
              </w:rPr>
            </w:pPr>
            <w:r>
              <w:rPr>
                <w:rStyle w:val="CharacterStyle12"/>
              </w:rPr>
              <w:t>10.200,00</w:t>
            </w:r>
          </w:p>
        </w:tc>
        <w:tc>
          <w:tcPr>
            <w:tcW w:w="1395" w:type="dxa"/>
            <w:tcBorders>
              <w:bottom w:val="single" w:sz="6" w:space="0" w:color="000000"/>
              <w:right w:val="single" w:sz="6" w:space="0" w:color="000000"/>
            </w:tcBorders>
            <w:vAlign w:val="center"/>
          </w:tcPr>
          <w:p w14:paraId="5DE7C86C" w14:textId="77777777" w:rsidR="007D706A" w:rsidRDefault="007D706A" w:rsidP="00F70508">
            <w:pPr>
              <w:pStyle w:val="ParagraphStyle12"/>
              <w:rPr>
                <w:rStyle w:val="CharacterStyle12"/>
              </w:rPr>
            </w:pPr>
            <w:r>
              <w:rPr>
                <w:rStyle w:val="CharacterStyle12"/>
              </w:rPr>
              <w:t>10.200,00</w:t>
            </w:r>
          </w:p>
        </w:tc>
      </w:tr>
      <w:tr w:rsidR="007D706A" w14:paraId="792A339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6596EC7" w14:textId="77777777" w:rsidR="007D706A" w:rsidRDefault="007D706A" w:rsidP="00F70508">
            <w:pPr>
              <w:pStyle w:val="ParagraphStyle7"/>
              <w:rPr>
                <w:rStyle w:val="CharacterStyle7"/>
              </w:rPr>
            </w:pPr>
            <w:r>
              <w:rPr>
                <w:rStyle w:val="CharacterStyle7"/>
              </w:rPr>
              <w:t>Izvor financiranja 50</w:t>
            </w:r>
          </w:p>
        </w:tc>
        <w:tc>
          <w:tcPr>
            <w:tcW w:w="4995" w:type="dxa"/>
            <w:tcBorders>
              <w:bottom w:val="single" w:sz="6" w:space="0" w:color="000000"/>
              <w:right w:val="single" w:sz="6" w:space="0" w:color="000000"/>
            </w:tcBorders>
            <w:vAlign w:val="center"/>
          </w:tcPr>
          <w:p w14:paraId="3FFBBC5B" w14:textId="77777777" w:rsidR="007D706A" w:rsidRDefault="007D706A" w:rsidP="00F70508">
            <w:pPr>
              <w:pStyle w:val="ParagraphStyle8"/>
              <w:rPr>
                <w:rStyle w:val="CharacterStyle8"/>
              </w:rPr>
            </w:pPr>
            <w:r>
              <w:rPr>
                <w:rStyle w:val="CharacterStyle8"/>
              </w:rPr>
              <w:t>Pomoći iz državnog proračuna</w:t>
            </w:r>
          </w:p>
        </w:tc>
        <w:tc>
          <w:tcPr>
            <w:tcW w:w="1395" w:type="dxa"/>
            <w:tcBorders>
              <w:bottom w:val="single" w:sz="6" w:space="0" w:color="000000"/>
              <w:right w:val="single" w:sz="6" w:space="0" w:color="000000"/>
            </w:tcBorders>
            <w:vAlign w:val="center"/>
          </w:tcPr>
          <w:p w14:paraId="3775D6C3"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EBCB94D"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91D9D3B" w14:textId="77777777" w:rsidR="007D706A" w:rsidRDefault="007D706A" w:rsidP="00F70508">
            <w:pPr>
              <w:pStyle w:val="ParagraphStyle9"/>
              <w:rPr>
                <w:rStyle w:val="CharacterStyle9"/>
              </w:rPr>
            </w:pPr>
            <w:r>
              <w:rPr>
                <w:rStyle w:val="CharacterStyle9"/>
              </w:rPr>
              <w:t>15.000,00</w:t>
            </w:r>
          </w:p>
        </w:tc>
        <w:tc>
          <w:tcPr>
            <w:tcW w:w="1395" w:type="dxa"/>
            <w:tcBorders>
              <w:bottom w:val="single" w:sz="6" w:space="0" w:color="000000"/>
              <w:right w:val="single" w:sz="6" w:space="0" w:color="000000"/>
            </w:tcBorders>
            <w:vAlign w:val="center"/>
          </w:tcPr>
          <w:p w14:paraId="3025CD9B"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54D7FBD" w14:textId="77777777" w:rsidR="007D706A" w:rsidRDefault="007D706A" w:rsidP="00F70508">
            <w:pPr>
              <w:pStyle w:val="ParagraphStyle9"/>
              <w:rPr>
                <w:rStyle w:val="CharacterStyle9"/>
              </w:rPr>
            </w:pPr>
            <w:r>
              <w:rPr>
                <w:rStyle w:val="CharacterStyle9"/>
              </w:rPr>
              <w:t>0,00</w:t>
            </w:r>
          </w:p>
        </w:tc>
      </w:tr>
      <w:tr w:rsidR="007D706A" w14:paraId="78FBF16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30B6347"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46EC9932"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7DBDFD6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CAF94B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6E8F5C9" w14:textId="77777777" w:rsidR="007D706A" w:rsidRDefault="007D706A" w:rsidP="00F70508">
            <w:pPr>
              <w:pStyle w:val="ParagraphStyle12"/>
              <w:rPr>
                <w:rStyle w:val="CharacterStyle12"/>
              </w:rPr>
            </w:pPr>
            <w:r>
              <w:rPr>
                <w:rStyle w:val="CharacterStyle12"/>
              </w:rPr>
              <w:t>15.000,00</w:t>
            </w:r>
          </w:p>
        </w:tc>
        <w:tc>
          <w:tcPr>
            <w:tcW w:w="1395" w:type="dxa"/>
            <w:tcBorders>
              <w:bottom w:val="single" w:sz="6" w:space="0" w:color="000000"/>
              <w:right w:val="single" w:sz="6" w:space="0" w:color="000000"/>
            </w:tcBorders>
            <w:vAlign w:val="center"/>
          </w:tcPr>
          <w:p w14:paraId="622A20F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53FBB2A" w14:textId="77777777" w:rsidR="007D706A" w:rsidRDefault="007D706A" w:rsidP="00F70508">
            <w:pPr>
              <w:pStyle w:val="ParagraphStyle12"/>
              <w:rPr>
                <w:rStyle w:val="CharacterStyle12"/>
              </w:rPr>
            </w:pPr>
            <w:r>
              <w:rPr>
                <w:rStyle w:val="CharacterStyle12"/>
              </w:rPr>
              <w:t>0,00</w:t>
            </w:r>
          </w:p>
        </w:tc>
      </w:tr>
      <w:tr w:rsidR="007D706A" w14:paraId="7351CC8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468F0A1" w14:textId="77777777" w:rsidR="007D706A" w:rsidRDefault="007D706A" w:rsidP="00F70508">
            <w:pPr>
              <w:pStyle w:val="ParagraphStyle10"/>
              <w:rPr>
                <w:rStyle w:val="CharacterStyle10"/>
              </w:rPr>
            </w:pPr>
            <w:r>
              <w:rPr>
                <w:rStyle w:val="CharacterStyle10"/>
              </w:rPr>
              <w:t>42</w:t>
            </w:r>
          </w:p>
        </w:tc>
        <w:tc>
          <w:tcPr>
            <w:tcW w:w="4995" w:type="dxa"/>
            <w:tcBorders>
              <w:bottom w:val="single" w:sz="6" w:space="0" w:color="000000"/>
              <w:right w:val="single" w:sz="6" w:space="0" w:color="000000"/>
            </w:tcBorders>
            <w:vAlign w:val="center"/>
          </w:tcPr>
          <w:p w14:paraId="78E44633"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6865FA2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B3A8C1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01D846F" w14:textId="77777777" w:rsidR="007D706A" w:rsidRDefault="007D706A" w:rsidP="00F70508">
            <w:pPr>
              <w:pStyle w:val="ParagraphStyle12"/>
              <w:rPr>
                <w:rStyle w:val="CharacterStyle12"/>
              </w:rPr>
            </w:pPr>
            <w:r>
              <w:rPr>
                <w:rStyle w:val="CharacterStyle12"/>
              </w:rPr>
              <w:t>15.000,00</w:t>
            </w:r>
          </w:p>
        </w:tc>
        <w:tc>
          <w:tcPr>
            <w:tcW w:w="1395" w:type="dxa"/>
            <w:tcBorders>
              <w:bottom w:val="single" w:sz="6" w:space="0" w:color="000000"/>
              <w:right w:val="single" w:sz="6" w:space="0" w:color="000000"/>
            </w:tcBorders>
            <w:vAlign w:val="center"/>
          </w:tcPr>
          <w:p w14:paraId="076E58A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F4B358A" w14:textId="77777777" w:rsidR="007D706A" w:rsidRDefault="007D706A" w:rsidP="00F70508">
            <w:pPr>
              <w:pStyle w:val="ParagraphStyle12"/>
              <w:rPr>
                <w:rStyle w:val="CharacterStyle12"/>
              </w:rPr>
            </w:pPr>
            <w:r>
              <w:rPr>
                <w:rStyle w:val="CharacterStyle12"/>
              </w:rPr>
              <w:t>0,00</w:t>
            </w:r>
          </w:p>
        </w:tc>
      </w:tr>
      <w:tr w:rsidR="007D706A" w14:paraId="788AA43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42167F3" w14:textId="77777777" w:rsidR="007D706A" w:rsidRDefault="007D706A" w:rsidP="00F70508">
            <w:pPr>
              <w:pStyle w:val="ParagraphStyle7"/>
              <w:rPr>
                <w:rStyle w:val="CharacterStyle7"/>
              </w:rPr>
            </w:pPr>
            <w:r>
              <w:rPr>
                <w:rStyle w:val="CharacterStyle7"/>
              </w:rPr>
              <w:t>Izvor financiranja 53</w:t>
            </w:r>
          </w:p>
        </w:tc>
        <w:tc>
          <w:tcPr>
            <w:tcW w:w="4995" w:type="dxa"/>
            <w:tcBorders>
              <w:bottom w:val="single" w:sz="6" w:space="0" w:color="000000"/>
              <w:right w:val="single" w:sz="6" w:space="0" w:color="000000"/>
            </w:tcBorders>
            <w:vAlign w:val="center"/>
          </w:tcPr>
          <w:p w14:paraId="309D96FE" w14:textId="77777777" w:rsidR="007D706A" w:rsidRDefault="007D706A" w:rsidP="00F70508">
            <w:pPr>
              <w:pStyle w:val="ParagraphStyle8"/>
              <w:rPr>
                <w:rStyle w:val="CharacterStyle8"/>
              </w:rPr>
            </w:pPr>
            <w:r>
              <w:rPr>
                <w:rStyle w:val="CharacterStyle8"/>
              </w:rPr>
              <w:t>Proračuni, drugi nivoi - za posebne i / ili ugovorene namjene</w:t>
            </w:r>
          </w:p>
        </w:tc>
        <w:tc>
          <w:tcPr>
            <w:tcW w:w="1395" w:type="dxa"/>
            <w:tcBorders>
              <w:bottom w:val="single" w:sz="6" w:space="0" w:color="000000"/>
              <w:right w:val="single" w:sz="6" w:space="0" w:color="000000"/>
            </w:tcBorders>
            <w:vAlign w:val="center"/>
          </w:tcPr>
          <w:p w14:paraId="28B64D37"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4BD00A2" w14:textId="77777777" w:rsidR="007D706A" w:rsidRDefault="007D706A" w:rsidP="00F70508">
            <w:pPr>
              <w:pStyle w:val="ParagraphStyle9"/>
              <w:rPr>
                <w:rStyle w:val="CharacterStyle9"/>
              </w:rPr>
            </w:pPr>
            <w:r>
              <w:rPr>
                <w:rStyle w:val="CharacterStyle9"/>
              </w:rPr>
              <w:t>20.000,00</w:t>
            </w:r>
          </w:p>
        </w:tc>
        <w:tc>
          <w:tcPr>
            <w:tcW w:w="1395" w:type="dxa"/>
            <w:tcBorders>
              <w:bottom w:val="single" w:sz="6" w:space="0" w:color="000000"/>
              <w:right w:val="single" w:sz="6" w:space="0" w:color="000000"/>
            </w:tcBorders>
            <w:vAlign w:val="center"/>
          </w:tcPr>
          <w:p w14:paraId="11CE35E6"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EF67386"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FBAB3A5" w14:textId="77777777" w:rsidR="007D706A" w:rsidRDefault="007D706A" w:rsidP="00F70508">
            <w:pPr>
              <w:pStyle w:val="ParagraphStyle9"/>
              <w:rPr>
                <w:rStyle w:val="CharacterStyle9"/>
              </w:rPr>
            </w:pPr>
            <w:r>
              <w:rPr>
                <w:rStyle w:val="CharacterStyle9"/>
              </w:rPr>
              <w:t>0,00</w:t>
            </w:r>
          </w:p>
        </w:tc>
      </w:tr>
      <w:tr w:rsidR="007D706A" w14:paraId="0417110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9CAEC08"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78CDDA20"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0C35FB2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DF0046C" w14:textId="77777777" w:rsidR="007D706A" w:rsidRDefault="007D706A" w:rsidP="00F70508">
            <w:pPr>
              <w:pStyle w:val="ParagraphStyle12"/>
              <w:rPr>
                <w:rStyle w:val="CharacterStyle12"/>
              </w:rPr>
            </w:pPr>
            <w:r>
              <w:rPr>
                <w:rStyle w:val="CharacterStyle12"/>
              </w:rPr>
              <w:t>20.000,00</w:t>
            </w:r>
          </w:p>
        </w:tc>
        <w:tc>
          <w:tcPr>
            <w:tcW w:w="1395" w:type="dxa"/>
            <w:tcBorders>
              <w:bottom w:val="single" w:sz="6" w:space="0" w:color="000000"/>
              <w:right w:val="single" w:sz="6" w:space="0" w:color="000000"/>
            </w:tcBorders>
            <w:vAlign w:val="center"/>
          </w:tcPr>
          <w:p w14:paraId="4BE6582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ECFF35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AB6DBB1" w14:textId="77777777" w:rsidR="007D706A" w:rsidRDefault="007D706A" w:rsidP="00F70508">
            <w:pPr>
              <w:pStyle w:val="ParagraphStyle12"/>
              <w:rPr>
                <w:rStyle w:val="CharacterStyle12"/>
              </w:rPr>
            </w:pPr>
            <w:r>
              <w:rPr>
                <w:rStyle w:val="CharacterStyle12"/>
              </w:rPr>
              <w:t>0,00</w:t>
            </w:r>
          </w:p>
        </w:tc>
      </w:tr>
      <w:tr w:rsidR="007D706A" w14:paraId="6113A28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3F44F4C" w14:textId="77777777" w:rsidR="007D706A" w:rsidRDefault="007D706A" w:rsidP="00F70508">
            <w:pPr>
              <w:pStyle w:val="ParagraphStyle10"/>
              <w:rPr>
                <w:rStyle w:val="CharacterStyle10"/>
              </w:rPr>
            </w:pPr>
            <w:r>
              <w:rPr>
                <w:rStyle w:val="CharacterStyle10"/>
              </w:rPr>
              <w:t>42</w:t>
            </w:r>
          </w:p>
        </w:tc>
        <w:tc>
          <w:tcPr>
            <w:tcW w:w="4995" w:type="dxa"/>
            <w:tcBorders>
              <w:bottom w:val="single" w:sz="6" w:space="0" w:color="000000"/>
              <w:right w:val="single" w:sz="6" w:space="0" w:color="000000"/>
            </w:tcBorders>
            <w:vAlign w:val="center"/>
          </w:tcPr>
          <w:p w14:paraId="4E92DAB8"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72DDA2F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BC149E0" w14:textId="77777777" w:rsidR="007D706A" w:rsidRDefault="007D706A" w:rsidP="00F70508">
            <w:pPr>
              <w:pStyle w:val="ParagraphStyle12"/>
              <w:rPr>
                <w:rStyle w:val="CharacterStyle12"/>
              </w:rPr>
            </w:pPr>
            <w:r>
              <w:rPr>
                <w:rStyle w:val="CharacterStyle12"/>
              </w:rPr>
              <w:t>20.000,00</w:t>
            </w:r>
          </w:p>
        </w:tc>
        <w:tc>
          <w:tcPr>
            <w:tcW w:w="1395" w:type="dxa"/>
            <w:tcBorders>
              <w:bottom w:val="single" w:sz="6" w:space="0" w:color="000000"/>
              <w:right w:val="single" w:sz="6" w:space="0" w:color="000000"/>
            </w:tcBorders>
            <w:vAlign w:val="center"/>
          </w:tcPr>
          <w:p w14:paraId="013BEB2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2B7C87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F91A27F" w14:textId="77777777" w:rsidR="007D706A" w:rsidRDefault="007D706A" w:rsidP="00F70508">
            <w:pPr>
              <w:pStyle w:val="ParagraphStyle12"/>
              <w:rPr>
                <w:rStyle w:val="CharacterStyle12"/>
              </w:rPr>
            </w:pPr>
            <w:r>
              <w:rPr>
                <w:rStyle w:val="CharacterStyle12"/>
              </w:rPr>
              <w:t>0,00</w:t>
            </w:r>
          </w:p>
        </w:tc>
      </w:tr>
      <w:tr w:rsidR="007D706A" w14:paraId="582A737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94DE376" w14:textId="77777777" w:rsidR="007D706A" w:rsidRDefault="007D706A" w:rsidP="00F70508">
            <w:pPr>
              <w:pStyle w:val="ParagraphStyle4"/>
              <w:rPr>
                <w:rStyle w:val="CharacterStyle4"/>
              </w:rPr>
            </w:pPr>
            <w:r>
              <w:rPr>
                <w:rStyle w:val="CharacterStyle4"/>
              </w:rPr>
              <w:t>GLAVA    00705</w:t>
            </w:r>
          </w:p>
        </w:tc>
        <w:tc>
          <w:tcPr>
            <w:tcW w:w="4995" w:type="dxa"/>
            <w:tcBorders>
              <w:bottom w:val="single" w:sz="6" w:space="0" w:color="000000"/>
              <w:right w:val="single" w:sz="6" w:space="0" w:color="000000"/>
            </w:tcBorders>
            <w:vAlign w:val="center"/>
          </w:tcPr>
          <w:p w14:paraId="4C1C1356" w14:textId="77777777" w:rsidR="007D706A" w:rsidRDefault="007D706A" w:rsidP="00F70508">
            <w:pPr>
              <w:pStyle w:val="ParagraphStyle5"/>
              <w:rPr>
                <w:rStyle w:val="CharacterStyle5"/>
              </w:rPr>
            </w:pPr>
            <w:r>
              <w:rPr>
                <w:rStyle w:val="CharacterStyle5"/>
              </w:rPr>
              <w:t>ZAŠTITA I SPAŠAVANJE</w:t>
            </w:r>
          </w:p>
        </w:tc>
        <w:tc>
          <w:tcPr>
            <w:tcW w:w="1395" w:type="dxa"/>
            <w:tcBorders>
              <w:bottom w:val="single" w:sz="6" w:space="0" w:color="000000"/>
              <w:right w:val="single" w:sz="6" w:space="0" w:color="000000"/>
            </w:tcBorders>
            <w:vAlign w:val="center"/>
          </w:tcPr>
          <w:p w14:paraId="6C1EB28A"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70B45257" w14:textId="77777777" w:rsidR="007D706A" w:rsidRDefault="007D706A" w:rsidP="00F70508">
            <w:pPr>
              <w:pStyle w:val="ParagraphStyle6"/>
              <w:rPr>
                <w:rStyle w:val="CharacterStyle6"/>
              </w:rPr>
            </w:pPr>
            <w:r>
              <w:rPr>
                <w:rStyle w:val="CharacterStyle6"/>
              </w:rPr>
              <w:t>2.641.361,00</w:t>
            </w:r>
          </w:p>
        </w:tc>
        <w:tc>
          <w:tcPr>
            <w:tcW w:w="1395" w:type="dxa"/>
            <w:tcBorders>
              <w:bottom w:val="single" w:sz="6" w:space="0" w:color="000000"/>
              <w:right w:val="single" w:sz="6" w:space="0" w:color="000000"/>
            </w:tcBorders>
            <w:vAlign w:val="center"/>
          </w:tcPr>
          <w:p w14:paraId="50C7B756" w14:textId="77777777" w:rsidR="007D706A" w:rsidRDefault="007D706A" w:rsidP="00F70508">
            <w:pPr>
              <w:pStyle w:val="ParagraphStyle6"/>
              <w:rPr>
                <w:rStyle w:val="CharacterStyle6"/>
              </w:rPr>
            </w:pPr>
            <w:r>
              <w:rPr>
                <w:rStyle w:val="CharacterStyle6"/>
              </w:rPr>
              <w:t>2.682.009,13</w:t>
            </w:r>
          </w:p>
        </w:tc>
        <w:tc>
          <w:tcPr>
            <w:tcW w:w="1395" w:type="dxa"/>
            <w:tcBorders>
              <w:bottom w:val="single" w:sz="6" w:space="0" w:color="000000"/>
              <w:right w:val="single" w:sz="6" w:space="0" w:color="000000"/>
            </w:tcBorders>
            <w:vAlign w:val="center"/>
          </w:tcPr>
          <w:p w14:paraId="18D12F18" w14:textId="77777777" w:rsidR="007D706A" w:rsidRDefault="007D706A" w:rsidP="00F70508">
            <w:pPr>
              <w:pStyle w:val="ParagraphStyle6"/>
              <w:rPr>
                <w:rStyle w:val="CharacterStyle6"/>
              </w:rPr>
            </w:pPr>
            <w:r>
              <w:rPr>
                <w:rStyle w:val="CharacterStyle6"/>
              </w:rPr>
              <w:t>2.765.577,37</w:t>
            </w:r>
          </w:p>
        </w:tc>
        <w:tc>
          <w:tcPr>
            <w:tcW w:w="1395" w:type="dxa"/>
            <w:tcBorders>
              <w:bottom w:val="single" w:sz="6" w:space="0" w:color="000000"/>
              <w:right w:val="single" w:sz="6" w:space="0" w:color="000000"/>
            </w:tcBorders>
            <w:vAlign w:val="center"/>
          </w:tcPr>
          <w:p w14:paraId="2C085ED2" w14:textId="77777777" w:rsidR="007D706A" w:rsidRDefault="007D706A" w:rsidP="00F70508">
            <w:pPr>
              <w:pStyle w:val="ParagraphStyle6"/>
              <w:rPr>
                <w:rStyle w:val="CharacterStyle6"/>
              </w:rPr>
            </w:pPr>
            <w:r>
              <w:rPr>
                <w:rStyle w:val="CharacterStyle6"/>
              </w:rPr>
              <w:t>2.792.176,37</w:t>
            </w:r>
          </w:p>
        </w:tc>
      </w:tr>
      <w:tr w:rsidR="007D706A" w14:paraId="6468EC3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F9D23AD" w14:textId="77777777" w:rsidR="007D706A" w:rsidRDefault="007D706A" w:rsidP="00F70508">
            <w:pPr>
              <w:pStyle w:val="ParagraphStyle4"/>
              <w:rPr>
                <w:rStyle w:val="CharacterStyle4"/>
              </w:rPr>
            </w:pPr>
            <w:r>
              <w:rPr>
                <w:rStyle w:val="CharacterStyle4"/>
              </w:rPr>
              <w:t>Izvor financiranja 11</w:t>
            </w:r>
          </w:p>
        </w:tc>
        <w:tc>
          <w:tcPr>
            <w:tcW w:w="4995" w:type="dxa"/>
            <w:tcBorders>
              <w:bottom w:val="single" w:sz="6" w:space="0" w:color="000000"/>
              <w:right w:val="single" w:sz="6" w:space="0" w:color="000000"/>
            </w:tcBorders>
            <w:vAlign w:val="center"/>
          </w:tcPr>
          <w:p w14:paraId="7A6E968F" w14:textId="77777777" w:rsidR="007D706A" w:rsidRDefault="007D706A" w:rsidP="00F70508">
            <w:pPr>
              <w:pStyle w:val="ParagraphStyle5"/>
              <w:rPr>
                <w:rStyle w:val="CharacterStyle5"/>
              </w:rPr>
            </w:pPr>
            <w:r>
              <w:rPr>
                <w:rStyle w:val="CharacterStyle5"/>
              </w:rPr>
              <w:t>Opći prihodi i primici</w:t>
            </w:r>
          </w:p>
        </w:tc>
        <w:tc>
          <w:tcPr>
            <w:tcW w:w="1395" w:type="dxa"/>
            <w:tcBorders>
              <w:bottom w:val="single" w:sz="6" w:space="0" w:color="000000"/>
              <w:right w:val="single" w:sz="6" w:space="0" w:color="000000"/>
            </w:tcBorders>
            <w:vAlign w:val="center"/>
          </w:tcPr>
          <w:p w14:paraId="7F92EFBF"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43045FB5" w14:textId="77777777" w:rsidR="007D706A" w:rsidRDefault="007D706A" w:rsidP="00F70508">
            <w:pPr>
              <w:pStyle w:val="ParagraphStyle6"/>
              <w:rPr>
                <w:rStyle w:val="CharacterStyle6"/>
              </w:rPr>
            </w:pPr>
            <w:r>
              <w:rPr>
                <w:rStyle w:val="CharacterStyle6"/>
              </w:rPr>
              <w:t>1.657.328,29</w:t>
            </w:r>
          </w:p>
        </w:tc>
        <w:tc>
          <w:tcPr>
            <w:tcW w:w="1395" w:type="dxa"/>
            <w:tcBorders>
              <w:bottom w:val="single" w:sz="6" w:space="0" w:color="000000"/>
              <w:right w:val="single" w:sz="6" w:space="0" w:color="000000"/>
            </w:tcBorders>
            <w:vAlign w:val="center"/>
          </w:tcPr>
          <w:p w14:paraId="19D87D32" w14:textId="77777777" w:rsidR="007D706A" w:rsidRDefault="007D706A" w:rsidP="00F70508">
            <w:pPr>
              <w:pStyle w:val="ParagraphStyle6"/>
              <w:rPr>
                <w:rStyle w:val="CharacterStyle6"/>
              </w:rPr>
            </w:pPr>
            <w:r>
              <w:rPr>
                <w:rStyle w:val="CharacterStyle6"/>
              </w:rPr>
              <w:t>1.946.295,09</w:t>
            </w:r>
          </w:p>
        </w:tc>
        <w:tc>
          <w:tcPr>
            <w:tcW w:w="1395" w:type="dxa"/>
            <w:tcBorders>
              <w:bottom w:val="single" w:sz="6" w:space="0" w:color="000000"/>
              <w:right w:val="single" w:sz="6" w:space="0" w:color="000000"/>
            </w:tcBorders>
            <w:vAlign w:val="center"/>
          </w:tcPr>
          <w:p w14:paraId="2147A3DC" w14:textId="77777777" w:rsidR="007D706A" w:rsidRDefault="007D706A" w:rsidP="00F70508">
            <w:pPr>
              <w:pStyle w:val="ParagraphStyle6"/>
              <w:rPr>
                <w:rStyle w:val="CharacterStyle6"/>
              </w:rPr>
            </w:pPr>
            <w:r>
              <w:rPr>
                <w:rStyle w:val="CharacterStyle6"/>
              </w:rPr>
              <w:t>2.029.896,66</w:t>
            </w:r>
          </w:p>
        </w:tc>
        <w:tc>
          <w:tcPr>
            <w:tcW w:w="1395" w:type="dxa"/>
            <w:tcBorders>
              <w:bottom w:val="single" w:sz="6" w:space="0" w:color="000000"/>
              <w:right w:val="single" w:sz="6" w:space="0" w:color="000000"/>
            </w:tcBorders>
            <w:vAlign w:val="center"/>
          </w:tcPr>
          <w:p w14:paraId="5465E758" w14:textId="77777777" w:rsidR="007D706A" w:rsidRDefault="007D706A" w:rsidP="00F70508">
            <w:pPr>
              <w:pStyle w:val="ParagraphStyle6"/>
              <w:rPr>
                <w:rStyle w:val="CharacterStyle6"/>
              </w:rPr>
            </w:pPr>
            <w:r>
              <w:rPr>
                <w:rStyle w:val="CharacterStyle6"/>
              </w:rPr>
              <w:t>2.049.525,66</w:t>
            </w:r>
          </w:p>
        </w:tc>
      </w:tr>
      <w:tr w:rsidR="007D706A" w14:paraId="5DD727D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839E9BF" w14:textId="77777777" w:rsidR="007D706A" w:rsidRDefault="007D706A" w:rsidP="00F70508">
            <w:pPr>
              <w:pStyle w:val="ParagraphStyle4"/>
              <w:rPr>
                <w:rStyle w:val="CharacterStyle4"/>
              </w:rPr>
            </w:pPr>
            <w:r>
              <w:rPr>
                <w:rStyle w:val="CharacterStyle4"/>
              </w:rPr>
              <w:t>Izvor financiranja 31</w:t>
            </w:r>
          </w:p>
        </w:tc>
        <w:tc>
          <w:tcPr>
            <w:tcW w:w="4995" w:type="dxa"/>
            <w:tcBorders>
              <w:bottom w:val="single" w:sz="6" w:space="0" w:color="000000"/>
              <w:right w:val="single" w:sz="6" w:space="0" w:color="000000"/>
            </w:tcBorders>
            <w:vAlign w:val="center"/>
          </w:tcPr>
          <w:p w14:paraId="50C904F9" w14:textId="77777777" w:rsidR="007D706A" w:rsidRDefault="007D706A" w:rsidP="00F70508">
            <w:pPr>
              <w:pStyle w:val="ParagraphStyle5"/>
              <w:rPr>
                <w:rStyle w:val="CharacterStyle5"/>
              </w:rPr>
            </w:pPr>
            <w:r>
              <w:rPr>
                <w:rStyle w:val="CharacterStyle5"/>
              </w:rPr>
              <w:t>Vlastiti prihodi</w:t>
            </w:r>
          </w:p>
        </w:tc>
        <w:tc>
          <w:tcPr>
            <w:tcW w:w="1395" w:type="dxa"/>
            <w:tcBorders>
              <w:bottom w:val="single" w:sz="6" w:space="0" w:color="000000"/>
              <w:right w:val="single" w:sz="6" w:space="0" w:color="000000"/>
            </w:tcBorders>
            <w:vAlign w:val="center"/>
          </w:tcPr>
          <w:p w14:paraId="4AD0B453"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43A2B542" w14:textId="77777777" w:rsidR="007D706A" w:rsidRDefault="007D706A" w:rsidP="00F70508">
            <w:pPr>
              <w:pStyle w:val="ParagraphStyle6"/>
              <w:rPr>
                <w:rStyle w:val="CharacterStyle6"/>
              </w:rPr>
            </w:pPr>
            <w:r>
              <w:rPr>
                <w:rStyle w:val="CharacterStyle6"/>
              </w:rPr>
              <w:t>35.850,00</w:t>
            </w:r>
          </w:p>
        </w:tc>
        <w:tc>
          <w:tcPr>
            <w:tcW w:w="1395" w:type="dxa"/>
            <w:tcBorders>
              <w:bottom w:val="single" w:sz="6" w:space="0" w:color="000000"/>
              <w:right w:val="single" w:sz="6" w:space="0" w:color="000000"/>
            </w:tcBorders>
            <w:vAlign w:val="center"/>
          </w:tcPr>
          <w:p w14:paraId="54108E66" w14:textId="77777777" w:rsidR="007D706A" w:rsidRDefault="007D706A" w:rsidP="00F70508">
            <w:pPr>
              <w:pStyle w:val="ParagraphStyle6"/>
              <w:rPr>
                <w:rStyle w:val="CharacterStyle6"/>
              </w:rPr>
            </w:pPr>
            <w:r>
              <w:rPr>
                <w:rStyle w:val="CharacterStyle6"/>
              </w:rPr>
              <w:t>40.500,00</w:t>
            </w:r>
          </w:p>
        </w:tc>
        <w:tc>
          <w:tcPr>
            <w:tcW w:w="1395" w:type="dxa"/>
            <w:tcBorders>
              <w:bottom w:val="single" w:sz="6" w:space="0" w:color="000000"/>
              <w:right w:val="single" w:sz="6" w:space="0" w:color="000000"/>
            </w:tcBorders>
            <w:vAlign w:val="center"/>
          </w:tcPr>
          <w:p w14:paraId="1A33CEB3" w14:textId="77777777" w:rsidR="007D706A" w:rsidRDefault="007D706A" w:rsidP="00F70508">
            <w:pPr>
              <w:pStyle w:val="ParagraphStyle6"/>
              <w:rPr>
                <w:rStyle w:val="CharacterStyle6"/>
              </w:rPr>
            </w:pPr>
            <w:r>
              <w:rPr>
                <w:rStyle w:val="CharacterStyle6"/>
              </w:rPr>
              <w:t>32.000,00</w:t>
            </w:r>
          </w:p>
        </w:tc>
        <w:tc>
          <w:tcPr>
            <w:tcW w:w="1395" w:type="dxa"/>
            <w:tcBorders>
              <w:bottom w:val="single" w:sz="6" w:space="0" w:color="000000"/>
              <w:right w:val="single" w:sz="6" w:space="0" w:color="000000"/>
            </w:tcBorders>
            <w:vAlign w:val="center"/>
          </w:tcPr>
          <w:p w14:paraId="508D753B" w14:textId="77777777" w:rsidR="007D706A" w:rsidRDefault="007D706A" w:rsidP="00F70508">
            <w:pPr>
              <w:pStyle w:val="ParagraphStyle6"/>
              <w:rPr>
                <w:rStyle w:val="CharacterStyle6"/>
              </w:rPr>
            </w:pPr>
            <w:r>
              <w:rPr>
                <w:rStyle w:val="CharacterStyle6"/>
              </w:rPr>
              <w:t>33.000,00</w:t>
            </w:r>
          </w:p>
        </w:tc>
      </w:tr>
      <w:tr w:rsidR="007D706A" w14:paraId="3EB1AC8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220EB14" w14:textId="77777777" w:rsidR="007D706A" w:rsidRDefault="007D706A" w:rsidP="00F70508">
            <w:pPr>
              <w:pStyle w:val="ParagraphStyle4"/>
              <w:rPr>
                <w:rStyle w:val="CharacterStyle4"/>
              </w:rPr>
            </w:pPr>
            <w:r>
              <w:rPr>
                <w:rStyle w:val="CharacterStyle4"/>
              </w:rPr>
              <w:t>Izvor financiranja 5</w:t>
            </w:r>
          </w:p>
        </w:tc>
        <w:tc>
          <w:tcPr>
            <w:tcW w:w="4995" w:type="dxa"/>
            <w:tcBorders>
              <w:bottom w:val="single" w:sz="6" w:space="0" w:color="000000"/>
              <w:right w:val="single" w:sz="6" w:space="0" w:color="000000"/>
            </w:tcBorders>
            <w:vAlign w:val="center"/>
          </w:tcPr>
          <w:p w14:paraId="63E73508" w14:textId="77777777" w:rsidR="007D706A" w:rsidRDefault="007D706A" w:rsidP="00F70508">
            <w:pPr>
              <w:pStyle w:val="ParagraphStyle5"/>
              <w:rPr>
                <w:rStyle w:val="CharacterStyle5"/>
              </w:rPr>
            </w:pPr>
            <w:r>
              <w:rPr>
                <w:rStyle w:val="CharacterStyle5"/>
              </w:rPr>
              <w:t>POMOĆI</w:t>
            </w:r>
          </w:p>
        </w:tc>
        <w:tc>
          <w:tcPr>
            <w:tcW w:w="1395" w:type="dxa"/>
            <w:tcBorders>
              <w:bottom w:val="single" w:sz="6" w:space="0" w:color="000000"/>
              <w:right w:val="single" w:sz="6" w:space="0" w:color="000000"/>
            </w:tcBorders>
            <w:vAlign w:val="center"/>
          </w:tcPr>
          <w:p w14:paraId="37EA5AC9"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34A9938F"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688E93D0" w14:textId="77777777" w:rsidR="007D706A" w:rsidRDefault="007D706A" w:rsidP="00F70508">
            <w:pPr>
              <w:pStyle w:val="ParagraphStyle6"/>
              <w:rPr>
                <w:rStyle w:val="CharacterStyle6"/>
              </w:rPr>
            </w:pPr>
            <w:r>
              <w:rPr>
                <w:rStyle w:val="CharacterStyle6"/>
              </w:rPr>
              <w:t>385.425,00</w:t>
            </w:r>
          </w:p>
        </w:tc>
        <w:tc>
          <w:tcPr>
            <w:tcW w:w="1395" w:type="dxa"/>
            <w:tcBorders>
              <w:bottom w:val="single" w:sz="6" w:space="0" w:color="000000"/>
              <w:right w:val="single" w:sz="6" w:space="0" w:color="000000"/>
            </w:tcBorders>
            <w:vAlign w:val="center"/>
          </w:tcPr>
          <w:p w14:paraId="40C97B9D" w14:textId="77777777" w:rsidR="007D706A" w:rsidRDefault="007D706A" w:rsidP="00F70508">
            <w:pPr>
              <w:pStyle w:val="ParagraphStyle6"/>
              <w:rPr>
                <w:rStyle w:val="CharacterStyle6"/>
              </w:rPr>
            </w:pPr>
            <w:r>
              <w:rPr>
                <w:rStyle w:val="CharacterStyle6"/>
              </w:rPr>
              <w:t>385.000,00</w:t>
            </w:r>
          </w:p>
        </w:tc>
        <w:tc>
          <w:tcPr>
            <w:tcW w:w="1395" w:type="dxa"/>
            <w:tcBorders>
              <w:bottom w:val="single" w:sz="6" w:space="0" w:color="000000"/>
              <w:right w:val="single" w:sz="6" w:space="0" w:color="000000"/>
            </w:tcBorders>
            <w:vAlign w:val="center"/>
          </w:tcPr>
          <w:p w14:paraId="0C9802D7" w14:textId="77777777" w:rsidR="007D706A" w:rsidRDefault="007D706A" w:rsidP="00F70508">
            <w:pPr>
              <w:pStyle w:val="ParagraphStyle6"/>
              <w:rPr>
                <w:rStyle w:val="CharacterStyle6"/>
              </w:rPr>
            </w:pPr>
            <w:r>
              <w:rPr>
                <w:rStyle w:val="CharacterStyle6"/>
              </w:rPr>
              <w:t>391.000,00</w:t>
            </w:r>
          </w:p>
        </w:tc>
      </w:tr>
      <w:tr w:rsidR="007D706A" w14:paraId="543E988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1356AC6" w14:textId="77777777" w:rsidR="007D706A" w:rsidRDefault="007D706A" w:rsidP="00F70508">
            <w:pPr>
              <w:pStyle w:val="ParagraphStyle4"/>
              <w:rPr>
                <w:rStyle w:val="CharacterStyle4"/>
              </w:rPr>
            </w:pPr>
            <w:r>
              <w:rPr>
                <w:rStyle w:val="CharacterStyle4"/>
              </w:rPr>
              <w:t>Izvor financiranja 50</w:t>
            </w:r>
          </w:p>
        </w:tc>
        <w:tc>
          <w:tcPr>
            <w:tcW w:w="4995" w:type="dxa"/>
            <w:tcBorders>
              <w:bottom w:val="single" w:sz="6" w:space="0" w:color="000000"/>
              <w:right w:val="single" w:sz="6" w:space="0" w:color="000000"/>
            </w:tcBorders>
            <w:vAlign w:val="center"/>
          </w:tcPr>
          <w:p w14:paraId="394E07B2" w14:textId="77777777" w:rsidR="007D706A" w:rsidRDefault="007D706A" w:rsidP="00F70508">
            <w:pPr>
              <w:pStyle w:val="ParagraphStyle5"/>
              <w:rPr>
                <w:rStyle w:val="CharacterStyle5"/>
              </w:rPr>
            </w:pPr>
            <w:r>
              <w:rPr>
                <w:rStyle w:val="CharacterStyle5"/>
              </w:rPr>
              <w:t>Pomoći iz državnog proračuna</w:t>
            </w:r>
          </w:p>
        </w:tc>
        <w:tc>
          <w:tcPr>
            <w:tcW w:w="1395" w:type="dxa"/>
            <w:tcBorders>
              <w:bottom w:val="single" w:sz="6" w:space="0" w:color="000000"/>
              <w:right w:val="single" w:sz="6" w:space="0" w:color="000000"/>
            </w:tcBorders>
            <w:vAlign w:val="center"/>
          </w:tcPr>
          <w:p w14:paraId="018A025F"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2689ADA9" w14:textId="77777777" w:rsidR="007D706A" w:rsidRDefault="007D706A" w:rsidP="00F70508">
            <w:pPr>
              <w:pStyle w:val="ParagraphStyle6"/>
              <w:rPr>
                <w:rStyle w:val="CharacterStyle6"/>
              </w:rPr>
            </w:pPr>
            <w:r>
              <w:rPr>
                <w:rStyle w:val="CharacterStyle6"/>
              </w:rPr>
              <w:t>519.439,00</w:t>
            </w:r>
          </w:p>
        </w:tc>
        <w:tc>
          <w:tcPr>
            <w:tcW w:w="1395" w:type="dxa"/>
            <w:tcBorders>
              <w:bottom w:val="single" w:sz="6" w:space="0" w:color="000000"/>
              <w:right w:val="single" w:sz="6" w:space="0" w:color="000000"/>
            </w:tcBorders>
            <w:vAlign w:val="center"/>
          </w:tcPr>
          <w:p w14:paraId="0AD7FA40" w14:textId="77777777" w:rsidR="007D706A" w:rsidRDefault="007D706A" w:rsidP="00F70508">
            <w:pPr>
              <w:pStyle w:val="ParagraphStyle6"/>
              <w:rPr>
                <w:rStyle w:val="CharacterStyle6"/>
              </w:rPr>
            </w:pPr>
            <w:r>
              <w:rPr>
                <w:rStyle w:val="CharacterStyle6"/>
              </w:rPr>
              <w:t>296.389,04</w:t>
            </w:r>
          </w:p>
        </w:tc>
        <w:tc>
          <w:tcPr>
            <w:tcW w:w="1395" w:type="dxa"/>
            <w:tcBorders>
              <w:bottom w:val="single" w:sz="6" w:space="0" w:color="000000"/>
              <w:right w:val="single" w:sz="6" w:space="0" w:color="000000"/>
            </w:tcBorders>
            <w:vAlign w:val="center"/>
          </w:tcPr>
          <w:p w14:paraId="1AA81DAA" w14:textId="77777777" w:rsidR="007D706A" w:rsidRDefault="007D706A" w:rsidP="00F70508">
            <w:pPr>
              <w:pStyle w:val="ParagraphStyle6"/>
              <w:rPr>
                <w:rStyle w:val="CharacterStyle6"/>
              </w:rPr>
            </w:pPr>
            <w:r>
              <w:rPr>
                <w:rStyle w:val="CharacterStyle6"/>
              </w:rPr>
              <w:t>305.280,71</w:t>
            </w:r>
          </w:p>
        </w:tc>
        <w:tc>
          <w:tcPr>
            <w:tcW w:w="1395" w:type="dxa"/>
            <w:tcBorders>
              <w:bottom w:val="single" w:sz="6" w:space="0" w:color="000000"/>
              <w:right w:val="single" w:sz="6" w:space="0" w:color="000000"/>
            </w:tcBorders>
            <w:vAlign w:val="center"/>
          </w:tcPr>
          <w:p w14:paraId="3E86CBA0" w14:textId="77777777" w:rsidR="007D706A" w:rsidRDefault="007D706A" w:rsidP="00F70508">
            <w:pPr>
              <w:pStyle w:val="ParagraphStyle6"/>
              <w:rPr>
                <w:rStyle w:val="CharacterStyle6"/>
              </w:rPr>
            </w:pPr>
            <w:r>
              <w:rPr>
                <w:rStyle w:val="CharacterStyle6"/>
              </w:rPr>
              <w:t>305.250,71</w:t>
            </w:r>
          </w:p>
        </w:tc>
      </w:tr>
      <w:tr w:rsidR="007D706A" w14:paraId="5DEC1A7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06F05BC" w14:textId="77777777" w:rsidR="007D706A" w:rsidRDefault="007D706A" w:rsidP="00F70508">
            <w:pPr>
              <w:pStyle w:val="ParagraphStyle4"/>
              <w:rPr>
                <w:rStyle w:val="CharacterStyle4"/>
              </w:rPr>
            </w:pPr>
            <w:r>
              <w:rPr>
                <w:rStyle w:val="CharacterStyle4"/>
              </w:rPr>
              <w:t>Izvor financiranja 53</w:t>
            </w:r>
          </w:p>
        </w:tc>
        <w:tc>
          <w:tcPr>
            <w:tcW w:w="4995" w:type="dxa"/>
            <w:tcBorders>
              <w:bottom w:val="single" w:sz="6" w:space="0" w:color="000000"/>
              <w:right w:val="single" w:sz="6" w:space="0" w:color="000000"/>
            </w:tcBorders>
            <w:vAlign w:val="center"/>
          </w:tcPr>
          <w:p w14:paraId="3E3BACBA" w14:textId="77777777" w:rsidR="007D706A" w:rsidRDefault="007D706A" w:rsidP="00F70508">
            <w:pPr>
              <w:pStyle w:val="ParagraphStyle5"/>
              <w:rPr>
                <w:rStyle w:val="CharacterStyle5"/>
              </w:rPr>
            </w:pPr>
            <w:r>
              <w:rPr>
                <w:rStyle w:val="CharacterStyle5"/>
              </w:rPr>
              <w:t>Proračuni, drugi nivoi - za posebne i / ili ugovorene namjene</w:t>
            </w:r>
          </w:p>
        </w:tc>
        <w:tc>
          <w:tcPr>
            <w:tcW w:w="1395" w:type="dxa"/>
            <w:tcBorders>
              <w:bottom w:val="single" w:sz="6" w:space="0" w:color="000000"/>
              <w:right w:val="single" w:sz="6" w:space="0" w:color="000000"/>
            </w:tcBorders>
            <w:vAlign w:val="center"/>
          </w:tcPr>
          <w:p w14:paraId="125E3497"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43143BB4" w14:textId="77777777" w:rsidR="007D706A" w:rsidRDefault="007D706A" w:rsidP="00F70508">
            <w:pPr>
              <w:pStyle w:val="ParagraphStyle6"/>
              <w:rPr>
                <w:rStyle w:val="CharacterStyle6"/>
              </w:rPr>
            </w:pPr>
            <w:r>
              <w:rPr>
                <w:rStyle w:val="CharacterStyle6"/>
              </w:rPr>
              <w:t>364.460,96</w:t>
            </w:r>
          </w:p>
        </w:tc>
        <w:tc>
          <w:tcPr>
            <w:tcW w:w="1395" w:type="dxa"/>
            <w:tcBorders>
              <w:bottom w:val="single" w:sz="6" w:space="0" w:color="000000"/>
              <w:right w:val="single" w:sz="6" w:space="0" w:color="000000"/>
            </w:tcBorders>
            <w:vAlign w:val="center"/>
          </w:tcPr>
          <w:p w14:paraId="7A4340BA"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011725B2"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700DD688" w14:textId="77777777" w:rsidR="007D706A" w:rsidRDefault="007D706A" w:rsidP="00F70508">
            <w:pPr>
              <w:pStyle w:val="ParagraphStyle6"/>
              <w:rPr>
                <w:rStyle w:val="CharacterStyle6"/>
              </w:rPr>
            </w:pPr>
            <w:r>
              <w:rPr>
                <w:rStyle w:val="CharacterStyle6"/>
              </w:rPr>
              <w:t>0,00</w:t>
            </w:r>
          </w:p>
        </w:tc>
      </w:tr>
      <w:tr w:rsidR="007D706A" w14:paraId="31D65BA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5BF29CE" w14:textId="77777777" w:rsidR="007D706A" w:rsidRDefault="007D706A" w:rsidP="00F70508">
            <w:pPr>
              <w:pStyle w:val="ParagraphStyle4"/>
              <w:rPr>
                <w:rStyle w:val="CharacterStyle4"/>
              </w:rPr>
            </w:pPr>
            <w:r>
              <w:rPr>
                <w:rStyle w:val="CharacterStyle4"/>
              </w:rPr>
              <w:t>Izvor financiranja 61</w:t>
            </w:r>
          </w:p>
        </w:tc>
        <w:tc>
          <w:tcPr>
            <w:tcW w:w="4995" w:type="dxa"/>
            <w:tcBorders>
              <w:bottom w:val="single" w:sz="6" w:space="0" w:color="000000"/>
              <w:right w:val="single" w:sz="6" w:space="0" w:color="000000"/>
            </w:tcBorders>
            <w:vAlign w:val="center"/>
          </w:tcPr>
          <w:p w14:paraId="51B3ABFC" w14:textId="77777777" w:rsidR="007D706A" w:rsidRDefault="007D706A" w:rsidP="00F70508">
            <w:pPr>
              <w:pStyle w:val="ParagraphStyle5"/>
              <w:rPr>
                <w:rStyle w:val="CharacterStyle5"/>
              </w:rPr>
            </w:pPr>
            <w:r>
              <w:rPr>
                <w:rStyle w:val="CharacterStyle5"/>
              </w:rPr>
              <w:t>Donacije</w:t>
            </w:r>
          </w:p>
        </w:tc>
        <w:tc>
          <w:tcPr>
            <w:tcW w:w="1395" w:type="dxa"/>
            <w:tcBorders>
              <w:bottom w:val="single" w:sz="6" w:space="0" w:color="000000"/>
              <w:right w:val="single" w:sz="6" w:space="0" w:color="000000"/>
            </w:tcBorders>
            <w:vAlign w:val="center"/>
          </w:tcPr>
          <w:p w14:paraId="74D9CED1"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62E013D2" w14:textId="77777777" w:rsidR="007D706A" w:rsidRDefault="007D706A" w:rsidP="00F70508">
            <w:pPr>
              <w:pStyle w:val="ParagraphStyle6"/>
              <w:rPr>
                <w:rStyle w:val="CharacterStyle6"/>
              </w:rPr>
            </w:pPr>
            <w:r>
              <w:rPr>
                <w:rStyle w:val="CharacterStyle6"/>
              </w:rPr>
              <w:t>40.000,00</w:t>
            </w:r>
          </w:p>
        </w:tc>
        <w:tc>
          <w:tcPr>
            <w:tcW w:w="1395" w:type="dxa"/>
            <w:tcBorders>
              <w:bottom w:val="single" w:sz="6" w:space="0" w:color="000000"/>
              <w:right w:val="single" w:sz="6" w:space="0" w:color="000000"/>
            </w:tcBorders>
            <w:vAlign w:val="center"/>
          </w:tcPr>
          <w:p w14:paraId="49654EB5" w14:textId="77777777" w:rsidR="007D706A" w:rsidRDefault="007D706A" w:rsidP="00F70508">
            <w:pPr>
              <w:pStyle w:val="ParagraphStyle6"/>
              <w:rPr>
                <w:rStyle w:val="CharacterStyle6"/>
              </w:rPr>
            </w:pPr>
            <w:r>
              <w:rPr>
                <w:rStyle w:val="CharacterStyle6"/>
              </w:rPr>
              <w:t>13.400,00</w:t>
            </w:r>
          </w:p>
        </w:tc>
        <w:tc>
          <w:tcPr>
            <w:tcW w:w="1395" w:type="dxa"/>
            <w:tcBorders>
              <w:bottom w:val="single" w:sz="6" w:space="0" w:color="000000"/>
              <w:right w:val="single" w:sz="6" w:space="0" w:color="000000"/>
            </w:tcBorders>
            <w:vAlign w:val="center"/>
          </w:tcPr>
          <w:p w14:paraId="4E89536A" w14:textId="77777777" w:rsidR="007D706A" w:rsidRDefault="007D706A" w:rsidP="00F70508">
            <w:pPr>
              <w:pStyle w:val="ParagraphStyle6"/>
              <w:rPr>
                <w:rStyle w:val="CharacterStyle6"/>
              </w:rPr>
            </w:pPr>
            <w:r>
              <w:rPr>
                <w:rStyle w:val="CharacterStyle6"/>
              </w:rPr>
              <w:t>13.400,00</w:t>
            </w:r>
          </w:p>
        </w:tc>
        <w:tc>
          <w:tcPr>
            <w:tcW w:w="1395" w:type="dxa"/>
            <w:tcBorders>
              <w:bottom w:val="single" w:sz="6" w:space="0" w:color="000000"/>
              <w:right w:val="single" w:sz="6" w:space="0" w:color="000000"/>
            </w:tcBorders>
            <w:vAlign w:val="center"/>
          </w:tcPr>
          <w:p w14:paraId="0551E54D" w14:textId="77777777" w:rsidR="007D706A" w:rsidRDefault="007D706A" w:rsidP="00F70508">
            <w:pPr>
              <w:pStyle w:val="ParagraphStyle6"/>
              <w:rPr>
                <w:rStyle w:val="CharacterStyle6"/>
              </w:rPr>
            </w:pPr>
            <w:r>
              <w:rPr>
                <w:rStyle w:val="CharacterStyle6"/>
              </w:rPr>
              <w:t>13.400,00</w:t>
            </w:r>
          </w:p>
        </w:tc>
      </w:tr>
      <w:tr w:rsidR="007D706A" w14:paraId="22FCF37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78683EA" w14:textId="77777777" w:rsidR="007D706A" w:rsidRDefault="007D706A" w:rsidP="00F70508">
            <w:pPr>
              <w:pStyle w:val="ParagraphStyle4"/>
              <w:rPr>
                <w:rStyle w:val="CharacterStyle4"/>
              </w:rPr>
            </w:pPr>
            <w:r>
              <w:rPr>
                <w:rStyle w:val="CharacterStyle4"/>
              </w:rPr>
              <w:t>Izvor financiranja 82</w:t>
            </w:r>
          </w:p>
        </w:tc>
        <w:tc>
          <w:tcPr>
            <w:tcW w:w="4995" w:type="dxa"/>
            <w:tcBorders>
              <w:bottom w:val="single" w:sz="6" w:space="0" w:color="000000"/>
              <w:right w:val="single" w:sz="6" w:space="0" w:color="000000"/>
            </w:tcBorders>
            <w:vAlign w:val="center"/>
          </w:tcPr>
          <w:p w14:paraId="4E7F599C" w14:textId="77777777" w:rsidR="007D706A" w:rsidRDefault="007D706A" w:rsidP="00F70508">
            <w:pPr>
              <w:pStyle w:val="ParagraphStyle5"/>
              <w:rPr>
                <w:rStyle w:val="CharacterStyle5"/>
              </w:rPr>
            </w:pPr>
            <w:r>
              <w:rPr>
                <w:rStyle w:val="CharacterStyle5"/>
              </w:rPr>
              <w:t>Preneseni viškovi iz ranijih godina</w:t>
            </w:r>
          </w:p>
        </w:tc>
        <w:tc>
          <w:tcPr>
            <w:tcW w:w="1395" w:type="dxa"/>
            <w:tcBorders>
              <w:bottom w:val="single" w:sz="6" w:space="0" w:color="000000"/>
              <w:right w:val="single" w:sz="6" w:space="0" w:color="000000"/>
            </w:tcBorders>
            <w:vAlign w:val="center"/>
          </w:tcPr>
          <w:p w14:paraId="069D98F5"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670195F7" w14:textId="77777777" w:rsidR="007D706A" w:rsidRDefault="007D706A" w:rsidP="00F70508">
            <w:pPr>
              <w:pStyle w:val="ParagraphStyle6"/>
              <w:rPr>
                <w:rStyle w:val="CharacterStyle6"/>
              </w:rPr>
            </w:pPr>
            <w:r>
              <w:rPr>
                <w:rStyle w:val="CharacterStyle6"/>
              </w:rPr>
              <w:t>24.282,75</w:t>
            </w:r>
          </w:p>
        </w:tc>
        <w:tc>
          <w:tcPr>
            <w:tcW w:w="1395" w:type="dxa"/>
            <w:tcBorders>
              <w:bottom w:val="single" w:sz="6" w:space="0" w:color="000000"/>
              <w:right w:val="single" w:sz="6" w:space="0" w:color="000000"/>
            </w:tcBorders>
            <w:vAlign w:val="center"/>
          </w:tcPr>
          <w:p w14:paraId="42E30FF4"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1BE7DAB6"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28BE2E24" w14:textId="77777777" w:rsidR="007D706A" w:rsidRDefault="007D706A" w:rsidP="00F70508">
            <w:pPr>
              <w:pStyle w:val="ParagraphStyle6"/>
              <w:rPr>
                <w:rStyle w:val="CharacterStyle6"/>
              </w:rPr>
            </w:pPr>
            <w:r>
              <w:rPr>
                <w:rStyle w:val="CharacterStyle6"/>
              </w:rPr>
              <w:t>0,00</w:t>
            </w:r>
          </w:p>
        </w:tc>
      </w:tr>
      <w:tr w:rsidR="007D706A" w14:paraId="2995062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D160F80" w14:textId="77777777" w:rsidR="007D706A" w:rsidRDefault="007D706A" w:rsidP="00F70508">
            <w:pPr>
              <w:pStyle w:val="ParagraphStyle4"/>
              <w:rPr>
                <w:rStyle w:val="CharacterStyle4"/>
              </w:rPr>
            </w:pPr>
            <w:r>
              <w:rPr>
                <w:rStyle w:val="CharacterStyle4"/>
              </w:rPr>
              <w:t>PROGRAM    1038</w:t>
            </w:r>
          </w:p>
        </w:tc>
        <w:tc>
          <w:tcPr>
            <w:tcW w:w="4995" w:type="dxa"/>
            <w:tcBorders>
              <w:bottom w:val="single" w:sz="6" w:space="0" w:color="000000"/>
              <w:right w:val="single" w:sz="6" w:space="0" w:color="000000"/>
            </w:tcBorders>
            <w:vAlign w:val="center"/>
          </w:tcPr>
          <w:p w14:paraId="325D7C77" w14:textId="77777777" w:rsidR="007D706A" w:rsidRDefault="007D706A" w:rsidP="00F70508">
            <w:pPr>
              <w:pStyle w:val="ParagraphStyle5"/>
              <w:rPr>
                <w:rStyle w:val="CharacterStyle5"/>
              </w:rPr>
            </w:pPr>
            <w:r>
              <w:rPr>
                <w:rStyle w:val="CharacterStyle5"/>
              </w:rPr>
              <w:t>CIVILNA ZAŠTITA</w:t>
            </w:r>
          </w:p>
        </w:tc>
        <w:tc>
          <w:tcPr>
            <w:tcW w:w="1395" w:type="dxa"/>
            <w:tcBorders>
              <w:bottom w:val="single" w:sz="6" w:space="0" w:color="000000"/>
              <w:right w:val="single" w:sz="6" w:space="0" w:color="000000"/>
            </w:tcBorders>
            <w:vAlign w:val="center"/>
          </w:tcPr>
          <w:p w14:paraId="477CA856"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1452D38C" w14:textId="77777777" w:rsidR="007D706A" w:rsidRDefault="007D706A" w:rsidP="00F70508">
            <w:pPr>
              <w:pStyle w:val="ParagraphStyle6"/>
              <w:rPr>
                <w:rStyle w:val="CharacterStyle6"/>
              </w:rPr>
            </w:pPr>
            <w:r>
              <w:rPr>
                <w:rStyle w:val="CharacterStyle6"/>
              </w:rPr>
              <w:t>61.541,00</w:t>
            </w:r>
          </w:p>
        </w:tc>
        <w:tc>
          <w:tcPr>
            <w:tcW w:w="1395" w:type="dxa"/>
            <w:tcBorders>
              <w:bottom w:val="single" w:sz="6" w:space="0" w:color="000000"/>
              <w:right w:val="single" w:sz="6" w:space="0" w:color="000000"/>
            </w:tcBorders>
            <w:vAlign w:val="center"/>
          </w:tcPr>
          <w:p w14:paraId="488A4F57" w14:textId="77777777" w:rsidR="007D706A" w:rsidRDefault="007D706A" w:rsidP="00F70508">
            <w:pPr>
              <w:pStyle w:val="ParagraphStyle6"/>
              <w:rPr>
                <w:rStyle w:val="CharacterStyle6"/>
              </w:rPr>
            </w:pPr>
            <w:r>
              <w:rPr>
                <w:rStyle w:val="CharacterStyle6"/>
              </w:rPr>
              <w:t>62.970,00</w:t>
            </w:r>
          </w:p>
        </w:tc>
        <w:tc>
          <w:tcPr>
            <w:tcW w:w="1395" w:type="dxa"/>
            <w:tcBorders>
              <w:bottom w:val="single" w:sz="6" w:space="0" w:color="000000"/>
              <w:right w:val="single" w:sz="6" w:space="0" w:color="000000"/>
            </w:tcBorders>
            <w:vAlign w:val="center"/>
          </w:tcPr>
          <w:p w14:paraId="7D12A042" w14:textId="77777777" w:rsidR="007D706A" w:rsidRDefault="007D706A" w:rsidP="00F70508">
            <w:pPr>
              <w:pStyle w:val="ParagraphStyle6"/>
              <w:rPr>
                <w:rStyle w:val="CharacterStyle6"/>
              </w:rPr>
            </w:pPr>
            <w:r>
              <w:rPr>
                <w:rStyle w:val="CharacterStyle6"/>
              </w:rPr>
              <w:t>56.800,00</w:t>
            </w:r>
          </w:p>
        </w:tc>
        <w:tc>
          <w:tcPr>
            <w:tcW w:w="1395" w:type="dxa"/>
            <w:tcBorders>
              <w:bottom w:val="single" w:sz="6" w:space="0" w:color="000000"/>
              <w:right w:val="single" w:sz="6" w:space="0" w:color="000000"/>
            </w:tcBorders>
            <w:vAlign w:val="center"/>
          </w:tcPr>
          <w:p w14:paraId="4E9AF425" w14:textId="77777777" w:rsidR="007D706A" w:rsidRDefault="007D706A" w:rsidP="00F70508">
            <w:pPr>
              <w:pStyle w:val="ParagraphStyle6"/>
              <w:rPr>
                <w:rStyle w:val="CharacterStyle6"/>
              </w:rPr>
            </w:pPr>
            <w:r>
              <w:rPr>
                <w:rStyle w:val="CharacterStyle6"/>
              </w:rPr>
              <w:t>58.800,00</w:t>
            </w:r>
          </w:p>
        </w:tc>
      </w:tr>
      <w:tr w:rsidR="007D706A" w14:paraId="498C046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5192642" w14:textId="77777777" w:rsidR="007D706A" w:rsidRDefault="007D706A" w:rsidP="00F70508">
            <w:pPr>
              <w:pStyle w:val="ParagraphStyle4"/>
              <w:rPr>
                <w:rStyle w:val="CharacterStyle4"/>
              </w:rPr>
            </w:pPr>
            <w:r>
              <w:rPr>
                <w:rStyle w:val="CharacterStyle4"/>
              </w:rPr>
              <w:t>Tekući projekt T103804</w:t>
            </w:r>
          </w:p>
        </w:tc>
        <w:tc>
          <w:tcPr>
            <w:tcW w:w="4995" w:type="dxa"/>
            <w:tcBorders>
              <w:bottom w:val="single" w:sz="6" w:space="0" w:color="000000"/>
              <w:right w:val="single" w:sz="6" w:space="0" w:color="000000"/>
            </w:tcBorders>
            <w:vAlign w:val="center"/>
          </w:tcPr>
          <w:p w14:paraId="40DD9EFF" w14:textId="77777777" w:rsidR="007D706A" w:rsidRDefault="007D706A" w:rsidP="00F70508">
            <w:pPr>
              <w:pStyle w:val="ParagraphStyle5"/>
              <w:rPr>
                <w:rStyle w:val="CharacterStyle5"/>
              </w:rPr>
            </w:pPr>
            <w:r>
              <w:rPr>
                <w:rStyle w:val="CharacterStyle5"/>
              </w:rPr>
              <w:t>SUFINANCIRANJE GORSKE SLUŽBE SPAŠAVANJA (HGSS)</w:t>
            </w:r>
          </w:p>
        </w:tc>
        <w:tc>
          <w:tcPr>
            <w:tcW w:w="1395" w:type="dxa"/>
            <w:tcBorders>
              <w:bottom w:val="single" w:sz="6" w:space="0" w:color="000000"/>
              <w:right w:val="single" w:sz="6" w:space="0" w:color="000000"/>
            </w:tcBorders>
            <w:vAlign w:val="center"/>
          </w:tcPr>
          <w:p w14:paraId="1129817E"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005984FC" w14:textId="77777777" w:rsidR="007D706A" w:rsidRDefault="007D706A" w:rsidP="00F70508">
            <w:pPr>
              <w:pStyle w:val="ParagraphStyle6"/>
              <w:rPr>
                <w:rStyle w:val="CharacterStyle6"/>
              </w:rPr>
            </w:pPr>
            <w:r>
              <w:rPr>
                <w:rStyle w:val="CharacterStyle6"/>
              </w:rPr>
              <w:t>670,00</w:t>
            </w:r>
          </w:p>
        </w:tc>
        <w:tc>
          <w:tcPr>
            <w:tcW w:w="1395" w:type="dxa"/>
            <w:tcBorders>
              <w:bottom w:val="single" w:sz="6" w:space="0" w:color="000000"/>
              <w:right w:val="single" w:sz="6" w:space="0" w:color="000000"/>
            </w:tcBorders>
            <w:vAlign w:val="center"/>
          </w:tcPr>
          <w:p w14:paraId="054F7298" w14:textId="77777777" w:rsidR="007D706A" w:rsidRDefault="007D706A" w:rsidP="00F70508">
            <w:pPr>
              <w:pStyle w:val="ParagraphStyle6"/>
              <w:rPr>
                <w:rStyle w:val="CharacterStyle6"/>
              </w:rPr>
            </w:pPr>
            <w:r>
              <w:rPr>
                <w:rStyle w:val="CharacterStyle6"/>
              </w:rPr>
              <w:t>670,00</w:t>
            </w:r>
          </w:p>
        </w:tc>
        <w:tc>
          <w:tcPr>
            <w:tcW w:w="1395" w:type="dxa"/>
            <w:tcBorders>
              <w:bottom w:val="single" w:sz="6" w:space="0" w:color="000000"/>
              <w:right w:val="single" w:sz="6" w:space="0" w:color="000000"/>
            </w:tcBorders>
            <w:vAlign w:val="center"/>
          </w:tcPr>
          <w:p w14:paraId="53EBE9CA" w14:textId="77777777" w:rsidR="007D706A" w:rsidRDefault="007D706A" w:rsidP="00F70508">
            <w:pPr>
              <w:pStyle w:val="ParagraphStyle6"/>
              <w:rPr>
                <w:rStyle w:val="CharacterStyle6"/>
              </w:rPr>
            </w:pPr>
            <w:r>
              <w:rPr>
                <w:rStyle w:val="CharacterStyle6"/>
              </w:rPr>
              <w:t>800,00</w:t>
            </w:r>
          </w:p>
        </w:tc>
        <w:tc>
          <w:tcPr>
            <w:tcW w:w="1395" w:type="dxa"/>
            <w:tcBorders>
              <w:bottom w:val="single" w:sz="6" w:space="0" w:color="000000"/>
              <w:right w:val="single" w:sz="6" w:space="0" w:color="000000"/>
            </w:tcBorders>
            <w:vAlign w:val="center"/>
          </w:tcPr>
          <w:p w14:paraId="1C74D7EB" w14:textId="77777777" w:rsidR="007D706A" w:rsidRDefault="007D706A" w:rsidP="00F70508">
            <w:pPr>
              <w:pStyle w:val="ParagraphStyle6"/>
              <w:rPr>
                <w:rStyle w:val="CharacterStyle6"/>
              </w:rPr>
            </w:pPr>
            <w:r>
              <w:rPr>
                <w:rStyle w:val="CharacterStyle6"/>
              </w:rPr>
              <w:t>800,00</w:t>
            </w:r>
          </w:p>
        </w:tc>
      </w:tr>
      <w:tr w:rsidR="007D706A" w14:paraId="549B3B8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B9289F7"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5FC37D54"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69ABECFC"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3AF67DA" w14:textId="77777777" w:rsidR="007D706A" w:rsidRDefault="007D706A" w:rsidP="00F70508">
            <w:pPr>
              <w:pStyle w:val="ParagraphStyle9"/>
              <w:rPr>
                <w:rStyle w:val="CharacterStyle9"/>
              </w:rPr>
            </w:pPr>
            <w:r>
              <w:rPr>
                <w:rStyle w:val="CharacterStyle9"/>
              </w:rPr>
              <w:t>670,00</w:t>
            </w:r>
          </w:p>
        </w:tc>
        <w:tc>
          <w:tcPr>
            <w:tcW w:w="1395" w:type="dxa"/>
            <w:tcBorders>
              <w:bottom w:val="single" w:sz="6" w:space="0" w:color="000000"/>
              <w:right w:val="single" w:sz="6" w:space="0" w:color="000000"/>
            </w:tcBorders>
            <w:vAlign w:val="center"/>
          </w:tcPr>
          <w:p w14:paraId="7B2FC3AC" w14:textId="77777777" w:rsidR="007D706A" w:rsidRDefault="007D706A" w:rsidP="00F70508">
            <w:pPr>
              <w:pStyle w:val="ParagraphStyle9"/>
              <w:rPr>
                <w:rStyle w:val="CharacterStyle9"/>
              </w:rPr>
            </w:pPr>
            <w:r>
              <w:rPr>
                <w:rStyle w:val="CharacterStyle9"/>
              </w:rPr>
              <w:t>670,00</w:t>
            </w:r>
          </w:p>
        </w:tc>
        <w:tc>
          <w:tcPr>
            <w:tcW w:w="1395" w:type="dxa"/>
            <w:tcBorders>
              <w:bottom w:val="single" w:sz="6" w:space="0" w:color="000000"/>
              <w:right w:val="single" w:sz="6" w:space="0" w:color="000000"/>
            </w:tcBorders>
            <w:vAlign w:val="center"/>
          </w:tcPr>
          <w:p w14:paraId="7272A780" w14:textId="77777777" w:rsidR="007D706A" w:rsidRDefault="007D706A" w:rsidP="00F70508">
            <w:pPr>
              <w:pStyle w:val="ParagraphStyle9"/>
              <w:rPr>
                <w:rStyle w:val="CharacterStyle9"/>
              </w:rPr>
            </w:pPr>
            <w:r>
              <w:rPr>
                <w:rStyle w:val="CharacterStyle9"/>
              </w:rPr>
              <w:t>800,00</w:t>
            </w:r>
          </w:p>
        </w:tc>
        <w:tc>
          <w:tcPr>
            <w:tcW w:w="1395" w:type="dxa"/>
            <w:tcBorders>
              <w:bottom w:val="single" w:sz="6" w:space="0" w:color="000000"/>
              <w:right w:val="single" w:sz="6" w:space="0" w:color="000000"/>
            </w:tcBorders>
            <w:vAlign w:val="center"/>
          </w:tcPr>
          <w:p w14:paraId="3390C9D2" w14:textId="77777777" w:rsidR="007D706A" w:rsidRDefault="007D706A" w:rsidP="00F70508">
            <w:pPr>
              <w:pStyle w:val="ParagraphStyle9"/>
              <w:rPr>
                <w:rStyle w:val="CharacterStyle9"/>
              </w:rPr>
            </w:pPr>
            <w:r>
              <w:rPr>
                <w:rStyle w:val="CharacterStyle9"/>
              </w:rPr>
              <w:t>800,00</w:t>
            </w:r>
          </w:p>
        </w:tc>
      </w:tr>
      <w:tr w:rsidR="007D706A" w14:paraId="7C7B62C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2488E40"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14861B06"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77C76CA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89F1FD9" w14:textId="77777777" w:rsidR="007D706A" w:rsidRDefault="007D706A" w:rsidP="00F70508">
            <w:pPr>
              <w:pStyle w:val="ParagraphStyle12"/>
              <w:rPr>
                <w:rStyle w:val="CharacterStyle12"/>
              </w:rPr>
            </w:pPr>
            <w:r>
              <w:rPr>
                <w:rStyle w:val="CharacterStyle12"/>
              </w:rPr>
              <w:t>670,00</w:t>
            </w:r>
          </w:p>
        </w:tc>
        <w:tc>
          <w:tcPr>
            <w:tcW w:w="1395" w:type="dxa"/>
            <w:tcBorders>
              <w:bottom w:val="single" w:sz="6" w:space="0" w:color="000000"/>
              <w:right w:val="single" w:sz="6" w:space="0" w:color="000000"/>
            </w:tcBorders>
            <w:vAlign w:val="center"/>
          </w:tcPr>
          <w:p w14:paraId="4B95AD0F" w14:textId="77777777" w:rsidR="007D706A" w:rsidRDefault="007D706A" w:rsidP="00F70508">
            <w:pPr>
              <w:pStyle w:val="ParagraphStyle12"/>
              <w:rPr>
                <w:rStyle w:val="CharacterStyle12"/>
              </w:rPr>
            </w:pPr>
            <w:r>
              <w:rPr>
                <w:rStyle w:val="CharacterStyle12"/>
              </w:rPr>
              <w:t>670,00</w:t>
            </w:r>
          </w:p>
        </w:tc>
        <w:tc>
          <w:tcPr>
            <w:tcW w:w="1395" w:type="dxa"/>
            <w:tcBorders>
              <w:bottom w:val="single" w:sz="6" w:space="0" w:color="000000"/>
              <w:right w:val="single" w:sz="6" w:space="0" w:color="000000"/>
            </w:tcBorders>
            <w:vAlign w:val="center"/>
          </w:tcPr>
          <w:p w14:paraId="481D0180" w14:textId="77777777" w:rsidR="007D706A" w:rsidRDefault="007D706A" w:rsidP="00F70508">
            <w:pPr>
              <w:pStyle w:val="ParagraphStyle12"/>
              <w:rPr>
                <w:rStyle w:val="CharacterStyle12"/>
              </w:rPr>
            </w:pPr>
            <w:r>
              <w:rPr>
                <w:rStyle w:val="CharacterStyle12"/>
              </w:rPr>
              <w:t>800,00</w:t>
            </w:r>
          </w:p>
        </w:tc>
        <w:tc>
          <w:tcPr>
            <w:tcW w:w="1395" w:type="dxa"/>
            <w:tcBorders>
              <w:bottom w:val="single" w:sz="6" w:space="0" w:color="000000"/>
              <w:right w:val="single" w:sz="6" w:space="0" w:color="000000"/>
            </w:tcBorders>
            <w:vAlign w:val="center"/>
          </w:tcPr>
          <w:p w14:paraId="1BCF584E" w14:textId="77777777" w:rsidR="007D706A" w:rsidRDefault="007D706A" w:rsidP="00F70508">
            <w:pPr>
              <w:pStyle w:val="ParagraphStyle12"/>
              <w:rPr>
                <w:rStyle w:val="CharacterStyle12"/>
              </w:rPr>
            </w:pPr>
            <w:r>
              <w:rPr>
                <w:rStyle w:val="CharacterStyle12"/>
              </w:rPr>
              <w:t>800,00</w:t>
            </w:r>
          </w:p>
        </w:tc>
      </w:tr>
      <w:tr w:rsidR="007D706A" w14:paraId="3D3B3D9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4896036" w14:textId="77777777" w:rsidR="007D706A" w:rsidRDefault="007D706A" w:rsidP="00F70508">
            <w:pPr>
              <w:pStyle w:val="ParagraphStyle10"/>
              <w:rPr>
                <w:rStyle w:val="CharacterStyle10"/>
              </w:rPr>
            </w:pPr>
            <w:r>
              <w:rPr>
                <w:rStyle w:val="CharacterStyle10"/>
              </w:rPr>
              <w:t>38</w:t>
            </w:r>
          </w:p>
        </w:tc>
        <w:tc>
          <w:tcPr>
            <w:tcW w:w="4995" w:type="dxa"/>
            <w:tcBorders>
              <w:bottom w:val="single" w:sz="6" w:space="0" w:color="000000"/>
              <w:right w:val="single" w:sz="6" w:space="0" w:color="000000"/>
            </w:tcBorders>
            <w:vAlign w:val="center"/>
          </w:tcPr>
          <w:p w14:paraId="453CAB18" w14:textId="77777777" w:rsidR="007D706A" w:rsidRDefault="007D706A" w:rsidP="00F70508">
            <w:pPr>
              <w:pStyle w:val="ParagraphStyle11"/>
              <w:rPr>
                <w:rStyle w:val="CharacterStyle11"/>
              </w:rPr>
            </w:pPr>
            <w:r>
              <w:rPr>
                <w:rStyle w:val="CharacterStyle11"/>
              </w:rPr>
              <w:t>Rashodi za donacije, kazne, naknade šteta i kapitalne pomoći</w:t>
            </w:r>
          </w:p>
        </w:tc>
        <w:tc>
          <w:tcPr>
            <w:tcW w:w="1395" w:type="dxa"/>
            <w:tcBorders>
              <w:bottom w:val="single" w:sz="6" w:space="0" w:color="000000"/>
              <w:right w:val="single" w:sz="6" w:space="0" w:color="000000"/>
            </w:tcBorders>
            <w:vAlign w:val="center"/>
          </w:tcPr>
          <w:p w14:paraId="437C896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BAF9AB8" w14:textId="77777777" w:rsidR="007D706A" w:rsidRDefault="007D706A" w:rsidP="00F70508">
            <w:pPr>
              <w:pStyle w:val="ParagraphStyle12"/>
              <w:rPr>
                <w:rStyle w:val="CharacterStyle12"/>
              </w:rPr>
            </w:pPr>
            <w:r>
              <w:rPr>
                <w:rStyle w:val="CharacterStyle12"/>
              </w:rPr>
              <w:t>670,00</w:t>
            </w:r>
          </w:p>
        </w:tc>
        <w:tc>
          <w:tcPr>
            <w:tcW w:w="1395" w:type="dxa"/>
            <w:tcBorders>
              <w:bottom w:val="single" w:sz="6" w:space="0" w:color="000000"/>
              <w:right w:val="single" w:sz="6" w:space="0" w:color="000000"/>
            </w:tcBorders>
            <w:vAlign w:val="center"/>
          </w:tcPr>
          <w:p w14:paraId="3ACF5312" w14:textId="77777777" w:rsidR="007D706A" w:rsidRDefault="007D706A" w:rsidP="00F70508">
            <w:pPr>
              <w:pStyle w:val="ParagraphStyle12"/>
              <w:rPr>
                <w:rStyle w:val="CharacterStyle12"/>
              </w:rPr>
            </w:pPr>
            <w:r>
              <w:rPr>
                <w:rStyle w:val="CharacterStyle12"/>
              </w:rPr>
              <w:t>670,00</w:t>
            </w:r>
          </w:p>
        </w:tc>
        <w:tc>
          <w:tcPr>
            <w:tcW w:w="1395" w:type="dxa"/>
            <w:tcBorders>
              <w:bottom w:val="single" w:sz="6" w:space="0" w:color="000000"/>
              <w:right w:val="single" w:sz="6" w:space="0" w:color="000000"/>
            </w:tcBorders>
            <w:vAlign w:val="center"/>
          </w:tcPr>
          <w:p w14:paraId="3EB2A54B" w14:textId="77777777" w:rsidR="007D706A" w:rsidRDefault="007D706A" w:rsidP="00F70508">
            <w:pPr>
              <w:pStyle w:val="ParagraphStyle12"/>
              <w:rPr>
                <w:rStyle w:val="CharacterStyle12"/>
              </w:rPr>
            </w:pPr>
            <w:r>
              <w:rPr>
                <w:rStyle w:val="CharacterStyle12"/>
              </w:rPr>
              <w:t>800,00</w:t>
            </w:r>
          </w:p>
        </w:tc>
        <w:tc>
          <w:tcPr>
            <w:tcW w:w="1395" w:type="dxa"/>
            <w:tcBorders>
              <w:bottom w:val="single" w:sz="6" w:space="0" w:color="000000"/>
              <w:right w:val="single" w:sz="6" w:space="0" w:color="000000"/>
            </w:tcBorders>
            <w:vAlign w:val="center"/>
          </w:tcPr>
          <w:p w14:paraId="667BFA39" w14:textId="77777777" w:rsidR="007D706A" w:rsidRDefault="007D706A" w:rsidP="00F70508">
            <w:pPr>
              <w:pStyle w:val="ParagraphStyle12"/>
              <w:rPr>
                <w:rStyle w:val="CharacterStyle12"/>
              </w:rPr>
            </w:pPr>
            <w:r>
              <w:rPr>
                <w:rStyle w:val="CharacterStyle12"/>
              </w:rPr>
              <w:t>800,00</w:t>
            </w:r>
          </w:p>
        </w:tc>
      </w:tr>
      <w:tr w:rsidR="007D706A" w14:paraId="4316937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4B69E60" w14:textId="77777777" w:rsidR="007D706A" w:rsidRDefault="007D706A" w:rsidP="00F70508">
            <w:pPr>
              <w:pStyle w:val="ParagraphStyle4"/>
              <w:rPr>
                <w:rStyle w:val="CharacterStyle4"/>
              </w:rPr>
            </w:pPr>
            <w:r>
              <w:rPr>
                <w:rStyle w:val="CharacterStyle4"/>
              </w:rPr>
              <w:t>Tekući projekt T103807</w:t>
            </w:r>
          </w:p>
        </w:tc>
        <w:tc>
          <w:tcPr>
            <w:tcW w:w="4995" w:type="dxa"/>
            <w:tcBorders>
              <w:bottom w:val="single" w:sz="6" w:space="0" w:color="000000"/>
              <w:right w:val="single" w:sz="6" w:space="0" w:color="000000"/>
            </w:tcBorders>
            <w:vAlign w:val="center"/>
          </w:tcPr>
          <w:p w14:paraId="0CE69E85" w14:textId="77777777" w:rsidR="007D706A" w:rsidRDefault="007D706A" w:rsidP="00F70508">
            <w:pPr>
              <w:pStyle w:val="ParagraphStyle5"/>
              <w:rPr>
                <w:rStyle w:val="CharacterStyle5"/>
              </w:rPr>
            </w:pPr>
            <w:r>
              <w:rPr>
                <w:rStyle w:val="CharacterStyle5"/>
              </w:rPr>
              <w:t>PLAN CIVILNE ZAŠTITE</w:t>
            </w:r>
          </w:p>
        </w:tc>
        <w:tc>
          <w:tcPr>
            <w:tcW w:w="1395" w:type="dxa"/>
            <w:tcBorders>
              <w:bottom w:val="single" w:sz="6" w:space="0" w:color="000000"/>
              <w:right w:val="single" w:sz="6" w:space="0" w:color="000000"/>
            </w:tcBorders>
            <w:vAlign w:val="center"/>
          </w:tcPr>
          <w:p w14:paraId="065C1F66"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172D3FAF" w14:textId="77777777" w:rsidR="007D706A" w:rsidRDefault="007D706A" w:rsidP="00F70508">
            <w:pPr>
              <w:pStyle w:val="ParagraphStyle6"/>
              <w:rPr>
                <w:rStyle w:val="CharacterStyle6"/>
              </w:rPr>
            </w:pPr>
            <w:r>
              <w:rPr>
                <w:rStyle w:val="CharacterStyle6"/>
              </w:rPr>
              <w:t>5.950,00</w:t>
            </w:r>
          </w:p>
        </w:tc>
        <w:tc>
          <w:tcPr>
            <w:tcW w:w="1395" w:type="dxa"/>
            <w:tcBorders>
              <w:bottom w:val="single" w:sz="6" w:space="0" w:color="000000"/>
              <w:right w:val="single" w:sz="6" w:space="0" w:color="000000"/>
            </w:tcBorders>
            <w:vAlign w:val="center"/>
          </w:tcPr>
          <w:p w14:paraId="3DF0D5D2" w14:textId="77777777" w:rsidR="007D706A" w:rsidRDefault="007D706A" w:rsidP="00F70508">
            <w:pPr>
              <w:pStyle w:val="ParagraphStyle6"/>
              <w:rPr>
                <w:rStyle w:val="CharacterStyle6"/>
              </w:rPr>
            </w:pPr>
            <w:r>
              <w:rPr>
                <w:rStyle w:val="CharacterStyle6"/>
              </w:rPr>
              <w:t>8.500,00</w:t>
            </w:r>
          </w:p>
        </w:tc>
        <w:tc>
          <w:tcPr>
            <w:tcW w:w="1395" w:type="dxa"/>
            <w:tcBorders>
              <w:bottom w:val="single" w:sz="6" w:space="0" w:color="000000"/>
              <w:right w:val="single" w:sz="6" w:space="0" w:color="000000"/>
            </w:tcBorders>
            <w:vAlign w:val="center"/>
          </w:tcPr>
          <w:p w14:paraId="5B47AA6F"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676259A9" w14:textId="77777777" w:rsidR="007D706A" w:rsidRDefault="007D706A" w:rsidP="00F70508">
            <w:pPr>
              <w:pStyle w:val="ParagraphStyle6"/>
              <w:rPr>
                <w:rStyle w:val="CharacterStyle6"/>
              </w:rPr>
            </w:pPr>
            <w:r>
              <w:rPr>
                <w:rStyle w:val="CharacterStyle6"/>
              </w:rPr>
              <w:t>0,00</w:t>
            </w:r>
          </w:p>
        </w:tc>
      </w:tr>
      <w:tr w:rsidR="007D706A" w14:paraId="0B67C1A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4242BB9"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0AAE3CD7"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5960B568"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E1C448C" w14:textId="77777777" w:rsidR="007D706A" w:rsidRDefault="007D706A" w:rsidP="00F70508">
            <w:pPr>
              <w:pStyle w:val="ParagraphStyle9"/>
              <w:rPr>
                <w:rStyle w:val="CharacterStyle9"/>
              </w:rPr>
            </w:pPr>
            <w:r>
              <w:rPr>
                <w:rStyle w:val="CharacterStyle9"/>
              </w:rPr>
              <w:t>5.950,00</w:t>
            </w:r>
          </w:p>
        </w:tc>
        <w:tc>
          <w:tcPr>
            <w:tcW w:w="1395" w:type="dxa"/>
            <w:tcBorders>
              <w:bottom w:val="single" w:sz="6" w:space="0" w:color="000000"/>
              <w:right w:val="single" w:sz="6" w:space="0" w:color="000000"/>
            </w:tcBorders>
            <w:vAlign w:val="center"/>
          </w:tcPr>
          <w:p w14:paraId="4D7EB308" w14:textId="77777777" w:rsidR="007D706A" w:rsidRDefault="007D706A" w:rsidP="00F70508">
            <w:pPr>
              <w:pStyle w:val="ParagraphStyle9"/>
              <w:rPr>
                <w:rStyle w:val="CharacterStyle9"/>
              </w:rPr>
            </w:pPr>
            <w:r>
              <w:rPr>
                <w:rStyle w:val="CharacterStyle9"/>
              </w:rPr>
              <w:t>8.500,00</w:t>
            </w:r>
          </w:p>
        </w:tc>
        <w:tc>
          <w:tcPr>
            <w:tcW w:w="1395" w:type="dxa"/>
            <w:tcBorders>
              <w:bottom w:val="single" w:sz="6" w:space="0" w:color="000000"/>
              <w:right w:val="single" w:sz="6" w:space="0" w:color="000000"/>
            </w:tcBorders>
            <w:vAlign w:val="center"/>
          </w:tcPr>
          <w:p w14:paraId="10A723A2"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70EBCA3" w14:textId="77777777" w:rsidR="007D706A" w:rsidRDefault="007D706A" w:rsidP="00F70508">
            <w:pPr>
              <w:pStyle w:val="ParagraphStyle9"/>
              <w:rPr>
                <w:rStyle w:val="CharacterStyle9"/>
              </w:rPr>
            </w:pPr>
            <w:r>
              <w:rPr>
                <w:rStyle w:val="CharacterStyle9"/>
              </w:rPr>
              <w:t>0,00</w:t>
            </w:r>
          </w:p>
        </w:tc>
      </w:tr>
      <w:tr w:rsidR="007D706A" w14:paraId="3B2F5D2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67D4165"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2E4280BB"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485152E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2E596D8" w14:textId="77777777" w:rsidR="007D706A" w:rsidRDefault="007D706A" w:rsidP="00F70508">
            <w:pPr>
              <w:pStyle w:val="ParagraphStyle12"/>
              <w:rPr>
                <w:rStyle w:val="CharacterStyle12"/>
              </w:rPr>
            </w:pPr>
            <w:r>
              <w:rPr>
                <w:rStyle w:val="CharacterStyle12"/>
              </w:rPr>
              <w:t>5.950,00</w:t>
            </w:r>
          </w:p>
        </w:tc>
        <w:tc>
          <w:tcPr>
            <w:tcW w:w="1395" w:type="dxa"/>
            <w:tcBorders>
              <w:bottom w:val="single" w:sz="6" w:space="0" w:color="000000"/>
              <w:right w:val="single" w:sz="6" w:space="0" w:color="000000"/>
            </w:tcBorders>
            <w:vAlign w:val="center"/>
          </w:tcPr>
          <w:p w14:paraId="6CD8C823" w14:textId="77777777" w:rsidR="007D706A" w:rsidRDefault="007D706A" w:rsidP="00F70508">
            <w:pPr>
              <w:pStyle w:val="ParagraphStyle12"/>
              <w:rPr>
                <w:rStyle w:val="CharacterStyle12"/>
              </w:rPr>
            </w:pPr>
            <w:r>
              <w:rPr>
                <w:rStyle w:val="CharacterStyle12"/>
              </w:rPr>
              <w:t>8.500,00</w:t>
            </w:r>
          </w:p>
        </w:tc>
        <w:tc>
          <w:tcPr>
            <w:tcW w:w="1395" w:type="dxa"/>
            <w:tcBorders>
              <w:bottom w:val="single" w:sz="6" w:space="0" w:color="000000"/>
              <w:right w:val="single" w:sz="6" w:space="0" w:color="000000"/>
            </w:tcBorders>
            <w:vAlign w:val="center"/>
          </w:tcPr>
          <w:p w14:paraId="5382E7A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FFE55D3" w14:textId="77777777" w:rsidR="007D706A" w:rsidRDefault="007D706A" w:rsidP="00F70508">
            <w:pPr>
              <w:pStyle w:val="ParagraphStyle12"/>
              <w:rPr>
                <w:rStyle w:val="CharacterStyle12"/>
              </w:rPr>
            </w:pPr>
            <w:r>
              <w:rPr>
                <w:rStyle w:val="CharacterStyle12"/>
              </w:rPr>
              <w:t>0,00</w:t>
            </w:r>
          </w:p>
        </w:tc>
      </w:tr>
      <w:tr w:rsidR="007D706A" w14:paraId="265CD10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315E21C"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19901B73"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4879C4F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28749A6" w14:textId="77777777" w:rsidR="007D706A" w:rsidRDefault="007D706A" w:rsidP="00F70508">
            <w:pPr>
              <w:pStyle w:val="ParagraphStyle12"/>
              <w:rPr>
                <w:rStyle w:val="CharacterStyle12"/>
              </w:rPr>
            </w:pPr>
            <w:r>
              <w:rPr>
                <w:rStyle w:val="CharacterStyle12"/>
              </w:rPr>
              <w:t>5.950,00</w:t>
            </w:r>
          </w:p>
        </w:tc>
        <w:tc>
          <w:tcPr>
            <w:tcW w:w="1395" w:type="dxa"/>
            <w:tcBorders>
              <w:bottom w:val="single" w:sz="6" w:space="0" w:color="000000"/>
              <w:right w:val="single" w:sz="6" w:space="0" w:color="000000"/>
            </w:tcBorders>
            <w:vAlign w:val="center"/>
          </w:tcPr>
          <w:p w14:paraId="1B212512" w14:textId="77777777" w:rsidR="007D706A" w:rsidRDefault="007D706A" w:rsidP="00F70508">
            <w:pPr>
              <w:pStyle w:val="ParagraphStyle12"/>
              <w:rPr>
                <w:rStyle w:val="CharacterStyle12"/>
              </w:rPr>
            </w:pPr>
            <w:r>
              <w:rPr>
                <w:rStyle w:val="CharacterStyle12"/>
              </w:rPr>
              <w:t>8.500,00</w:t>
            </w:r>
          </w:p>
        </w:tc>
        <w:tc>
          <w:tcPr>
            <w:tcW w:w="1395" w:type="dxa"/>
            <w:tcBorders>
              <w:bottom w:val="single" w:sz="6" w:space="0" w:color="000000"/>
              <w:right w:val="single" w:sz="6" w:space="0" w:color="000000"/>
            </w:tcBorders>
            <w:vAlign w:val="center"/>
          </w:tcPr>
          <w:p w14:paraId="6197ED1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C7096FB" w14:textId="77777777" w:rsidR="007D706A" w:rsidRDefault="007D706A" w:rsidP="00F70508">
            <w:pPr>
              <w:pStyle w:val="ParagraphStyle12"/>
              <w:rPr>
                <w:rStyle w:val="CharacterStyle12"/>
              </w:rPr>
            </w:pPr>
            <w:r>
              <w:rPr>
                <w:rStyle w:val="CharacterStyle12"/>
              </w:rPr>
              <w:t>0,00</w:t>
            </w:r>
          </w:p>
        </w:tc>
      </w:tr>
      <w:tr w:rsidR="007D706A" w14:paraId="3827EE1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1CCF6ED" w14:textId="77777777" w:rsidR="007D706A" w:rsidRDefault="007D706A" w:rsidP="00F70508">
            <w:pPr>
              <w:pStyle w:val="ParagraphStyle4"/>
              <w:rPr>
                <w:rStyle w:val="CharacterStyle4"/>
              </w:rPr>
            </w:pPr>
            <w:r>
              <w:rPr>
                <w:rStyle w:val="CharacterStyle4"/>
              </w:rPr>
              <w:t>Tekući projekt T103805</w:t>
            </w:r>
          </w:p>
        </w:tc>
        <w:tc>
          <w:tcPr>
            <w:tcW w:w="4995" w:type="dxa"/>
            <w:tcBorders>
              <w:bottom w:val="single" w:sz="6" w:space="0" w:color="000000"/>
              <w:right w:val="single" w:sz="6" w:space="0" w:color="000000"/>
            </w:tcBorders>
            <w:vAlign w:val="center"/>
          </w:tcPr>
          <w:p w14:paraId="3F29D111" w14:textId="77777777" w:rsidR="007D706A" w:rsidRDefault="007D706A" w:rsidP="00F70508">
            <w:pPr>
              <w:pStyle w:val="ParagraphStyle5"/>
              <w:rPr>
                <w:rStyle w:val="CharacterStyle5"/>
              </w:rPr>
            </w:pPr>
            <w:r>
              <w:rPr>
                <w:rStyle w:val="CharacterStyle5"/>
              </w:rPr>
              <w:t>PLAN ZAŠTITE DIVLJAČI</w:t>
            </w:r>
          </w:p>
        </w:tc>
        <w:tc>
          <w:tcPr>
            <w:tcW w:w="1395" w:type="dxa"/>
            <w:tcBorders>
              <w:bottom w:val="single" w:sz="6" w:space="0" w:color="000000"/>
              <w:right w:val="single" w:sz="6" w:space="0" w:color="000000"/>
            </w:tcBorders>
            <w:vAlign w:val="center"/>
          </w:tcPr>
          <w:p w14:paraId="42465364"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1EF9F17B" w14:textId="77777777" w:rsidR="007D706A" w:rsidRDefault="007D706A" w:rsidP="00F70508">
            <w:pPr>
              <w:pStyle w:val="ParagraphStyle6"/>
              <w:rPr>
                <w:rStyle w:val="CharacterStyle6"/>
              </w:rPr>
            </w:pPr>
            <w:r>
              <w:rPr>
                <w:rStyle w:val="CharacterStyle6"/>
              </w:rPr>
              <w:t>14.800,00</w:t>
            </w:r>
          </w:p>
        </w:tc>
        <w:tc>
          <w:tcPr>
            <w:tcW w:w="1395" w:type="dxa"/>
            <w:tcBorders>
              <w:bottom w:val="single" w:sz="6" w:space="0" w:color="000000"/>
              <w:right w:val="single" w:sz="6" w:space="0" w:color="000000"/>
            </w:tcBorders>
            <w:vAlign w:val="center"/>
          </w:tcPr>
          <w:p w14:paraId="75B1C077" w14:textId="77777777" w:rsidR="007D706A" w:rsidRDefault="007D706A" w:rsidP="00F70508">
            <w:pPr>
              <w:pStyle w:val="ParagraphStyle6"/>
              <w:rPr>
                <w:rStyle w:val="CharacterStyle6"/>
              </w:rPr>
            </w:pPr>
            <w:r>
              <w:rPr>
                <w:rStyle w:val="CharacterStyle6"/>
              </w:rPr>
              <w:t>14.800,00</w:t>
            </w:r>
          </w:p>
        </w:tc>
        <w:tc>
          <w:tcPr>
            <w:tcW w:w="1395" w:type="dxa"/>
            <w:tcBorders>
              <w:bottom w:val="single" w:sz="6" w:space="0" w:color="000000"/>
              <w:right w:val="single" w:sz="6" w:space="0" w:color="000000"/>
            </w:tcBorders>
            <w:vAlign w:val="center"/>
          </w:tcPr>
          <w:p w14:paraId="3F318BB1" w14:textId="77777777" w:rsidR="007D706A" w:rsidRDefault="007D706A" w:rsidP="00F70508">
            <w:pPr>
              <w:pStyle w:val="ParagraphStyle6"/>
              <w:rPr>
                <w:rStyle w:val="CharacterStyle6"/>
              </w:rPr>
            </w:pPr>
            <w:r>
              <w:rPr>
                <w:rStyle w:val="CharacterStyle6"/>
              </w:rPr>
              <w:t>15.000,00</w:t>
            </w:r>
          </w:p>
        </w:tc>
        <w:tc>
          <w:tcPr>
            <w:tcW w:w="1395" w:type="dxa"/>
            <w:tcBorders>
              <w:bottom w:val="single" w:sz="6" w:space="0" w:color="000000"/>
              <w:right w:val="single" w:sz="6" w:space="0" w:color="000000"/>
            </w:tcBorders>
            <w:vAlign w:val="center"/>
          </w:tcPr>
          <w:p w14:paraId="6AC8E5E2" w14:textId="77777777" w:rsidR="007D706A" w:rsidRDefault="007D706A" w:rsidP="00F70508">
            <w:pPr>
              <w:pStyle w:val="ParagraphStyle6"/>
              <w:rPr>
                <w:rStyle w:val="CharacterStyle6"/>
              </w:rPr>
            </w:pPr>
            <w:r>
              <w:rPr>
                <w:rStyle w:val="CharacterStyle6"/>
              </w:rPr>
              <w:t>15.000,00</w:t>
            </w:r>
          </w:p>
        </w:tc>
      </w:tr>
      <w:tr w:rsidR="007D706A" w14:paraId="26957BB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EE68E4C"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1DEDE98E"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4B25AE73"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FA23EA6" w14:textId="77777777" w:rsidR="007D706A" w:rsidRDefault="007D706A" w:rsidP="00F70508">
            <w:pPr>
              <w:pStyle w:val="ParagraphStyle9"/>
              <w:rPr>
                <w:rStyle w:val="CharacterStyle9"/>
              </w:rPr>
            </w:pPr>
            <w:r>
              <w:rPr>
                <w:rStyle w:val="CharacterStyle9"/>
              </w:rPr>
              <w:t>14.800,00</w:t>
            </w:r>
          </w:p>
        </w:tc>
        <w:tc>
          <w:tcPr>
            <w:tcW w:w="1395" w:type="dxa"/>
            <w:tcBorders>
              <w:bottom w:val="single" w:sz="6" w:space="0" w:color="000000"/>
              <w:right w:val="single" w:sz="6" w:space="0" w:color="000000"/>
            </w:tcBorders>
            <w:vAlign w:val="center"/>
          </w:tcPr>
          <w:p w14:paraId="0E4A7472" w14:textId="77777777" w:rsidR="007D706A" w:rsidRDefault="007D706A" w:rsidP="00F70508">
            <w:pPr>
              <w:pStyle w:val="ParagraphStyle9"/>
              <w:rPr>
                <w:rStyle w:val="CharacterStyle9"/>
              </w:rPr>
            </w:pPr>
            <w:r>
              <w:rPr>
                <w:rStyle w:val="CharacterStyle9"/>
              </w:rPr>
              <w:t>14.800,00</w:t>
            </w:r>
          </w:p>
        </w:tc>
        <w:tc>
          <w:tcPr>
            <w:tcW w:w="1395" w:type="dxa"/>
            <w:tcBorders>
              <w:bottom w:val="single" w:sz="6" w:space="0" w:color="000000"/>
              <w:right w:val="single" w:sz="6" w:space="0" w:color="000000"/>
            </w:tcBorders>
            <w:vAlign w:val="center"/>
          </w:tcPr>
          <w:p w14:paraId="596202EB" w14:textId="77777777" w:rsidR="007D706A" w:rsidRDefault="007D706A" w:rsidP="00F70508">
            <w:pPr>
              <w:pStyle w:val="ParagraphStyle9"/>
              <w:rPr>
                <w:rStyle w:val="CharacterStyle9"/>
              </w:rPr>
            </w:pPr>
            <w:r>
              <w:rPr>
                <w:rStyle w:val="CharacterStyle9"/>
              </w:rPr>
              <w:t>15.000,00</w:t>
            </w:r>
          </w:p>
        </w:tc>
        <w:tc>
          <w:tcPr>
            <w:tcW w:w="1395" w:type="dxa"/>
            <w:tcBorders>
              <w:bottom w:val="single" w:sz="6" w:space="0" w:color="000000"/>
              <w:right w:val="single" w:sz="6" w:space="0" w:color="000000"/>
            </w:tcBorders>
            <w:vAlign w:val="center"/>
          </w:tcPr>
          <w:p w14:paraId="2016D27B" w14:textId="77777777" w:rsidR="007D706A" w:rsidRDefault="007D706A" w:rsidP="00F70508">
            <w:pPr>
              <w:pStyle w:val="ParagraphStyle9"/>
              <w:rPr>
                <w:rStyle w:val="CharacterStyle9"/>
              </w:rPr>
            </w:pPr>
            <w:r>
              <w:rPr>
                <w:rStyle w:val="CharacterStyle9"/>
              </w:rPr>
              <w:t>15.000,00</w:t>
            </w:r>
          </w:p>
        </w:tc>
      </w:tr>
      <w:tr w:rsidR="007D706A" w14:paraId="2202182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FB917AA"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0ACDC754"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13648A9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32517ED" w14:textId="77777777" w:rsidR="007D706A" w:rsidRDefault="007D706A" w:rsidP="00F70508">
            <w:pPr>
              <w:pStyle w:val="ParagraphStyle12"/>
              <w:rPr>
                <w:rStyle w:val="CharacterStyle12"/>
              </w:rPr>
            </w:pPr>
            <w:r>
              <w:rPr>
                <w:rStyle w:val="CharacterStyle12"/>
              </w:rPr>
              <w:t>14.800,00</w:t>
            </w:r>
          </w:p>
        </w:tc>
        <w:tc>
          <w:tcPr>
            <w:tcW w:w="1395" w:type="dxa"/>
            <w:tcBorders>
              <w:bottom w:val="single" w:sz="6" w:space="0" w:color="000000"/>
              <w:right w:val="single" w:sz="6" w:space="0" w:color="000000"/>
            </w:tcBorders>
            <w:vAlign w:val="center"/>
          </w:tcPr>
          <w:p w14:paraId="11138F81" w14:textId="77777777" w:rsidR="007D706A" w:rsidRDefault="007D706A" w:rsidP="00F70508">
            <w:pPr>
              <w:pStyle w:val="ParagraphStyle12"/>
              <w:rPr>
                <w:rStyle w:val="CharacterStyle12"/>
              </w:rPr>
            </w:pPr>
            <w:r>
              <w:rPr>
                <w:rStyle w:val="CharacterStyle12"/>
              </w:rPr>
              <w:t>14.800,00</w:t>
            </w:r>
          </w:p>
        </w:tc>
        <w:tc>
          <w:tcPr>
            <w:tcW w:w="1395" w:type="dxa"/>
            <w:tcBorders>
              <w:bottom w:val="single" w:sz="6" w:space="0" w:color="000000"/>
              <w:right w:val="single" w:sz="6" w:space="0" w:color="000000"/>
            </w:tcBorders>
            <w:vAlign w:val="center"/>
          </w:tcPr>
          <w:p w14:paraId="36750861" w14:textId="77777777" w:rsidR="007D706A" w:rsidRDefault="007D706A" w:rsidP="00F70508">
            <w:pPr>
              <w:pStyle w:val="ParagraphStyle12"/>
              <w:rPr>
                <w:rStyle w:val="CharacterStyle12"/>
              </w:rPr>
            </w:pPr>
            <w:r>
              <w:rPr>
                <w:rStyle w:val="CharacterStyle12"/>
              </w:rPr>
              <w:t>15.000,00</w:t>
            </w:r>
          </w:p>
        </w:tc>
        <w:tc>
          <w:tcPr>
            <w:tcW w:w="1395" w:type="dxa"/>
            <w:tcBorders>
              <w:bottom w:val="single" w:sz="6" w:space="0" w:color="000000"/>
              <w:right w:val="single" w:sz="6" w:space="0" w:color="000000"/>
            </w:tcBorders>
            <w:vAlign w:val="center"/>
          </w:tcPr>
          <w:p w14:paraId="42CF33C6" w14:textId="77777777" w:rsidR="007D706A" w:rsidRDefault="007D706A" w:rsidP="00F70508">
            <w:pPr>
              <w:pStyle w:val="ParagraphStyle12"/>
              <w:rPr>
                <w:rStyle w:val="CharacterStyle12"/>
              </w:rPr>
            </w:pPr>
            <w:r>
              <w:rPr>
                <w:rStyle w:val="CharacterStyle12"/>
              </w:rPr>
              <w:t>15.000,00</w:t>
            </w:r>
          </w:p>
        </w:tc>
      </w:tr>
      <w:tr w:rsidR="007D706A" w14:paraId="4EC0759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5659F95"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66A7E3EE"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51E0024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9C3DE9F" w14:textId="77777777" w:rsidR="007D706A" w:rsidRDefault="007D706A" w:rsidP="00F70508">
            <w:pPr>
              <w:pStyle w:val="ParagraphStyle12"/>
              <w:rPr>
                <w:rStyle w:val="CharacterStyle12"/>
              </w:rPr>
            </w:pPr>
            <w:r>
              <w:rPr>
                <w:rStyle w:val="CharacterStyle12"/>
              </w:rPr>
              <w:t>10.000,00</w:t>
            </w:r>
          </w:p>
        </w:tc>
        <w:tc>
          <w:tcPr>
            <w:tcW w:w="1395" w:type="dxa"/>
            <w:tcBorders>
              <w:bottom w:val="single" w:sz="6" w:space="0" w:color="000000"/>
              <w:right w:val="single" w:sz="6" w:space="0" w:color="000000"/>
            </w:tcBorders>
            <w:vAlign w:val="center"/>
          </w:tcPr>
          <w:p w14:paraId="0A402D2B" w14:textId="77777777" w:rsidR="007D706A" w:rsidRDefault="007D706A" w:rsidP="00F70508">
            <w:pPr>
              <w:pStyle w:val="ParagraphStyle12"/>
              <w:rPr>
                <w:rStyle w:val="CharacterStyle12"/>
              </w:rPr>
            </w:pPr>
            <w:r>
              <w:rPr>
                <w:rStyle w:val="CharacterStyle12"/>
              </w:rPr>
              <w:t>10.000,00</w:t>
            </w:r>
          </w:p>
        </w:tc>
        <w:tc>
          <w:tcPr>
            <w:tcW w:w="1395" w:type="dxa"/>
            <w:tcBorders>
              <w:bottom w:val="single" w:sz="6" w:space="0" w:color="000000"/>
              <w:right w:val="single" w:sz="6" w:space="0" w:color="000000"/>
            </w:tcBorders>
            <w:vAlign w:val="center"/>
          </w:tcPr>
          <w:p w14:paraId="5B116EF6" w14:textId="77777777" w:rsidR="007D706A" w:rsidRDefault="007D706A" w:rsidP="00F70508">
            <w:pPr>
              <w:pStyle w:val="ParagraphStyle12"/>
              <w:rPr>
                <w:rStyle w:val="CharacterStyle12"/>
              </w:rPr>
            </w:pPr>
            <w:r>
              <w:rPr>
                <w:rStyle w:val="CharacterStyle12"/>
              </w:rPr>
              <w:t>10.000,00</w:t>
            </w:r>
          </w:p>
        </w:tc>
        <w:tc>
          <w:tcPr>
            <w:tcW w:w="1395" w:type="dxa"/>
            <w:tcBorders>
              <w:bottom w:val="single" w:sz="6" w:space="0" w:color="000000"/>
              <w:right w:val="single" w:sz="6" w:space="0" w:color="000000"/>
            </w:tcBorders>
            <w:vAlign w:val="center"/>
          </w:tcPr>
          <w:p w14:paraId="46DAB0E1" w14:textId="77777777" w:rsidR="007D706A" w:rsidRDefault="007D706A" w:rsidP="00F70508">
            <w:pPr>
              <w:pStyle w:val="ParagraphStyle12"/>
              <w:rPr>
                <w:rStyle w:val="CharacterStyle12"/>
              </w:rPr>
            </w:pPr>
            <w:r>
              <w:rPr>
                <w:rStyle w:val="CharacterStyle12"/>
              </w:rPr>
              <w:t>10.000,00</w:t>
            </w:r>
          </w:p>
        </w:tc>
      </w:tr>
      <w:tr w:rsidR="007D706A" w14:paraId="2421D30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86BF121" w14:textId="77777777" w:rsidR="007D706A" w:rsidRDefault="007D706A" w:rsidP="00F70508">
            <w:pPr>
              <w:pStyle w:val="ParagraphStyle10"/>
              <w:rPr>
                <w:rStyle w:val="CharacterStyle10"/>
              </w:rPr>
            </w:pPr>
            <w:r>
              <w:rPr>
                <w:rStyle w:val="CharacterStyle10"/>
              </w:rPr>
              <w:t>38</w:t>
            </w:r>
          </w:p>
        </w:tc>
        <w:tc>
          <w:tcPr>
            <w:tcW w:w="4995" w:type="dxa"/>
            <w:tcBorders>
              <w:bottom w:val="single" w:sz="6" w:space="0" w:color="000000"/>
              <w:right w:val="single" w:sz="6" w:space="0" w:color="000000"/>
            </w:tcBorders>
            <w:vAlign w:val="center"/>
          </w:tcPr>
          <w:p w14:paraId="700E5F91" w14:textId="77777777" w:rsidR="007D706A" w:rsidRDefault="007D706A" w:rsidP="00F70508">
            <w:pPr>
              <w:pStyle w:val="ParagraphStyle11"/>
              <w:rPr>
                <w:rStyle w:val="CharacterStyle11"/>
              </w:rPr>
            </w:pPr>
            <w:r>
              <w:rPr>
                <w:rStyle w:val="CharacterStyle11"/>
              </w:rPr>
              <w:t>Rashodi za donacije, kazne, naknade šteta i kapitalne pomoći</w:t>
            </w:r>
          </w:p>
        </w:tc>
        <w:tc>
          <w:tcPr>
            <w:tcW w:w="1395" w:type="dxa"/>
            <w:tcBorders>
              <w:bottom w:val="single" w:sz="6" w:space="0" w:color="000000"/>
              <w:right w:val="single" w:sz="6" w:space="0" w:color="000000"/>
            </w:tcBorders>
            <w:vAlign w:val="center"/>
          </w:tcPr>
          <w:p w14:paraId="7275430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79A097D" w14:textId="77777777" w:rsidR="007D706A" w:rsidRDefault="007D706A" w:rsidP="00F70508">
            <w:pPr>
              <w:pStyle w:val="ParagraphStyle12"/>
              <w:rPr>
                <w:rStyle w:val="CharacterStyle12"/>
              </w:rPr>
            </w:pPr>
            <w:r>
              <w:rPr>
                <w:rStyle w:val="CharacterStyle12"/>
              </w:rPr>
              <w:t>4.800,00</w:t>
            </w:r>
          </w:p>
        </w:tc>
        <w:tc>
          <w:tcPr>
            <w:tcW w:w="1395" w:type="dxa"/>
            <w:tcBorders>
              <w:bottom w:val="single" w:sz="6" w:space="0" w:color="000000"/>
              <w:right w:val="single" w:sz="6" w:space="0" w:color="000000"/>
            </w:tcBorders>
            <w:vAlign w:val="center"/>
          </w:tcPr>
          <w:p w14:paraId="0B6ACA11" w14:textId="77777777" w:rsidR="007D706A" w:rsidRDefault="007D706A" w:rsidP="00F70508">
            <w:pPr>
              <w:pStyle w:val="ParagraphStyle12"/>
              <w:rPr>
                <w:rStyle w:val="CharacterStyle12"/>
              </w:rPr>
            </w:pPr>
            <w:r>
              <w:rPr>
                <w:rStyle w:val="CharacterStyle12"/>
              </w:rPr>
              <w:t>4.800,00</w:t>
            </w:r>
          </w:p>
        </w:tc>
        <w:tc>
          <w:tcPr>
            <w:tcW w:w="1395" w:type="dxa"/>
            <w:tcBorders>
              <w:bottom w:val="single" w:sz="6" w:space="0" w:color="000000"/>
              <w:right w:val="single" w:sz="6" w:space="0" w:color="000000"/>
            </w:tcBorders>
            <w:vAlign w:val="center"/>
          </w:tcPr>
          <w:p w14:paraId="1AD6B6DC" w14:textId="77777777" w:rsidR="007D706A" w:rsidRDefault="007D706A" w:rsidP="00F70508">
            <w:pPr>
              <w:pStyle w:val="ParagraphStyle12"/>
              <w:rPr>
                <w:rStyle w:val="CharacterStyle12"/>
              </w:rPr>
            </w:pPr>
            <w:r>
              <w:rPr>
                <w:rStyle w:val="CharacterStyle12"/>
              </w:rPr>
              <w:t>5.000,00</w:t>
            </w:r>
          </w:p>
        </w:tc>
        <w:tc>
          <w:tcPr>
            <w:tcW w:w="1395" w:type="dxa"/>
            <w:tcBorders>
              <w:bottom w:val="single" w:sz="6" w:space="0" w:color="000000"/>
              <w:right w:val="single" w:sz="6" w:space="0" w:color="000000"/>
            </w:tcBorders>
            <w:vAlign w:val="center"/>
          </w:tcPr>
          <w:p w14:paraId="3A31D0BE" w14:textId="77777777" w:rsidR="007D706A" w:rsidRDefault="007D706A" w:rsidP="00F70508">
            <w:pPr>
              <w:pStyle w:val="ParagraphStyle12"/>
              <w:rPr>
                <w:rStyle w:val="CharacterStyle12"/>
              </w:rPr>
            </w:pPr>
            <w:r>
              <w:rPr>
                <w:rStyle w:val="CharacterStyle12"/>
              </w:rPr>
              <w:t>5.000,00</w:t>
            </w:r>
          </w:p>
        </w:tc>
      </w:tr>
      <w:tr w:rsidR="007D706A" w14:paraId="4C08821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0AA853F" w14:textId="77777777" w:rsidR="007D706A" w:rsidRDefault="007D706A" w:rsidP="00F70508">
            <w:pPr>
              <w:pStyle w:val="ParagraphStyle4"/>
              <w:rPr>
                <w:rStyle w:val="CharacterStyle4"/>
              </w:rPr>
            </w:pPr>
            <w:r>
              <w:rPr>
                <w:rStyle w:val="CharacterStyle4"/>
              </w:rPr>
              <w:t>Aktivnost A103801</w:t>
            </w:r>
          </w:p>
        </w:tc>
        <w:tc>
          <w:tcPr>
            <w:tcW w:w="4995" w:type="dxa"/>
            <w:tcBorders>
              <w:bottom w:val="single" w:sz="6" w:space="0" w:color="000000"/>
              <w:right w:val="single" w:sz="6" w:space="0" w:color="000000"/>
            </w:tcBorders>
            <w:vAlign w:val="center"/>
          </w:tcPr>
          <w:p w14:paraId="68C68E76" w14:textId="77777777" w:rsidR="007D706A" w:rsidRDefault="007D706A" w:rsidP="00F70508">
            <w:pPr>
              <w:pStyle w:val="ParagraphStyle5"/>
              <w:rPr>
                <w:rStyle w:val="CharacterStyle5"/>
              </w:rPr>
            </w:pPr>
            <w:r>
              <w:rPr>
                <w:rStyle w:val="CharacterStyle5"/>
              </w:rPr>
              <w:t>PRIPREMA I OPREMANJE JEDINICA CIVILNE ZAŠTITE</w:t>
            </w:r>
          </w:p>
        </w:tc>
        <w:tc>
          <w:tcPr>
            <w:tcW w:w="1395" w:type="dxa"/>
            <w:tcBorders>
              <w:bottom w:val="single" w:sz="6" w:space="0" w:color="000000"/>
              <w:right w:val="single" w:sz="6" w:space="0" w:color="000000"/>
            </w:tcBorders>
            <w:vAlign w:val="center"/>
          </w:tcPr>
          <w:p w14:paraId="24543723"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4DD3ED44" w14:textId="77777777" w:rsidR="007D706A" w:rsidRDefault="007D706A" w:rsidP="00F70508">
            <w:pPr>
              <w:pStyle w:val="ParagraphStyle6"/>
              <w:rPr>
                <w:rStyle w:val="CharacterStyle6"/>
              </w:rPr>
            </w:pPr>
            <w:r>
              <w:rPr>
                <w:rStyle w:val="CharacterStyle6"/>
              </w:rPr>
              <w:t>36.121,00</w:t>
            </w:r>
          </w:p>
        </w:tc>
        <w:tc>
          <w:tcPr>
            <w:tcW w:w="1395" w:type="dxa"/>
            <w:tcBorders>
              <w:bottom w:val="single" w:sz="6" w:space="0" w:color="000000"/>
              <w:right w:val="single" w:sz="6" w:space="0" w:color="000000"/>
            </w:tcBorders>
            <w:vAlign w:val="center"/>
          </w:tcPr>
          <w:p w14:paraId="56422258" w14:textId="77777777" w:rsidR="007D706A" w:rsidRDefault="007D706A" w:rsidP="00F70508">
            <w:pPr>
              <w:pStyle w:val="ParagraphStyle6"/>
              <w:rPr>
                <w:rStyle w:val="CharacterStyle6"/>
              </w:rPr>
            </w:pPr>
            <w:r>
              <w:rPr>
                <w:rStyle w:val="CharacterStyle6"/>
              </w:rPr>
              <w:t>35.000,00</w:t>
            </w:r>
          </w:p>
        </w:tc>
        <w:tc>
          <w:tcPr>
            <w:tcW w:w="1395" w:type="dxa"/>
            <w:tcBorders>
              <w:bottom w:val="single" w:sz="6" w:space="0" w:color="000000"/>
              <w:right w:val="single" w:sz="6" w:space="0" w:color="000000"/>
            </w:tcBorders>
            <w:vAlign w:val="center"/>
          </w:tcPr>
          <w:p w14:paraId="422C5F3D" w14:textId="77777777" w:rsidR="007D706A" w:rsidRDefault="007D706A" w:rsidP="00F70508">
            <w:pPr>
              <w:pStyle w:val="ParagraphStyle6"/>
              <w:rPr>
                <w:rStyle w:val="CharacterStyle6"/>
              </w:rPr>
            </w:pPr>
            <w:r>
              <w:rPr>
                <w:rStyle w:val="CharacterStyle6"/>
              </w:rPr>
              <w:t>37.000,00</w:t>
            </w:r>
          </w:p>
        </w:tc>
        <w:tc>
          <w:tcPr>
            <w:tcW w:w="1395" w:type="dxa"/>
            <w:tcBorders>
              <w:bottom w:val="single" w:sz="6" w:space="0" w:color="000000"/>
              <w:right w:val="single" w:sz="6" w:space="0" w:color="000000"/>
            </w:tcBorders>
            <w:vAlign w:val="center"/>
          </w:tcPr>
          <w:p w14:paraId="3B4E75C3" w14:textId="77777777" w:rsidR="007D706A" w:rsidRDefault="007D706A" w:rsidP="00F70508">
            <w:pPr>
              <w:pStyle w:val="ParagraphStyle6"/>
              <w:rPr>
                <w:rStyle w:val="CharacterStyle6"/>
              </w:rPr>
            </w:pPr>
            <w:r>
              <w:rPr>
                <w:rStyle w:val="CharacterStyle6"/>
              </w:rPr>
              <w:t>39.000,00</w:t>
            </w:r>
          </w:p>
        </w:tc>
      </w:tr>
      <w:tr w:rsidR="007D706A" w14:paraId="190E1F2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D72CA45"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37C6C230"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5F146E7F"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DDFEDC8" w14:textId="77777777" w:rsidR="007D706A" w:rsidRDefault="007D706A" w:rsidP="00F70508">
            <w:pPr>
              <w:pStyle w:val="ParagraphStyle9"/>
              <w:rPr>
                <w:rStyle w:val="CharacterStyle9"/>
              </w:rPr>
            </w:pPr>
            <w:r>
              <w:rPr>
                <w:rStyle w:val="CharacterStyle9"/>
              </w:rPr>
              <w:t>24.121,00</w:t>
            </w:r>
          </w:p>
        </w:tc>
        <w:tc>
          <w:tcPr>
            <w:tcW w:w="1395" w:type="dxa"/>
            <w:tcBorders>
              <w:bottom w:val="single" w:sz="6" w:space="0" w:color="000000"/>
              <w:right w:val="single" w:sz="6" w:space="0" w:color="000000"/>
            </w:tcBorders>
            <w:vAlign w:val="center"/>
          </w:tcPr>
          <w:p w14:paraId="02B1DDDD" w14:textId="77777777" w:rsidR="007D706A" w:rsidRDefault="007D706A" w:rsidP="00F70508">
            <w:pPr>
              <w:pStyle w:val="ParagraphStyle9"/>
              <w:rPr>
                <w:rStyle w:val="CharacterStyle9"/>
              </w:rPr>
            </w:pPr>
            <w:r>
              <w:rPr>
                <w:rStyle w:val="CharacterStyle9"/>
              </w:rPr>
              <w:t>35.000,00</w:t>
            </w:r>
          </w:p>
        </w:tc>
        <w:tc>
          <w:tcPr>
            <w:tcW w:w="1395" w:type="dxa"/>
            <w:tcBorders>
              <w:bottom w:val="single" w:sz="6" w:space="0" w:color="000000"/>
              <w:right w:val="single" w:sz="6" w:space="0" w:color="000000"/>
            </w:tcBorders>
            <w:vAlign w:val="center"/>
          </w:tcPr>
          <w:p w14:paraId="7C991058" w14:textId="77777777" w:rsidR="007D706A" w:rsidRDefault="007D706A" w:rsidP="00F70508">
            <w:pPr>
              <w:pStyle w:val="ParagraphStyle9"/>
              <w:rPr>
                <w:rStyle w:val="CharacterStyle9"/>
              </w:rPr>
            </w:pPr>
            <w:r>
              <w:rPr>
                <w:rStyle w:val="CharacterStyle9"/>
              </w:rPr>
              <w:t>37.000,00</w:t>
            </w:r>
          </w:p>
        </w:tc>
        <w:tc>
          <w:tcPr>
            <w:tcW w:w="1395" w:type="dxa"/>
            <w:tcBorders>
              <w:bottom w:val="single" w:sz="6" w:space="0" w:color="000000"/>
              <w:right w:val="single" w:sz="6" w:space="0" w:color="000000"/>
            </w:tcBorders>
            <w:vAlign w:val="center"/>
          </w:tcPr>
          <w:p w14:paraId="1714EE7E" w14:textId="77777777" w:rsidR="007D706A" w:rsidRDefault="007D706A" w:rsidP="00F70508">
            <w:pPr>
              <w:pStyle w:val="ParagraphStyle9"/>
              <w:rPr>
                <w:rStyle w:val="CharacterStyle9"/>
              </w:rPr>
            </w:pPr>
            <w:r>
              <w:rPr>
                <w:rStyle w:val="CharacterStyle9"/>
              </w:rPr>
              <w:t>39.000,00</w:t>
            </w:r>
          </w:p>
        </w:tc>
      </w:tr>
      <w:tr w:rsidR="007D706A" w14:paraId="0670EE1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DCF0585"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1A13A90B"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7F48C9C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672061A" w14:textId="77777777" w:rsidR="007D706A" w:rsidRDefault="007D706A" w:rsidP="00F70508">
            <w:pPr>
              <w:pStyle w:val="ParagraphStyle12"/>
              <w:rPr>
                <w:rStyle w:val="CharacterStyle12"/>
              </w:rPr>
            </w:pPr>
            <w:r>
              <w:rPr>
                <w:rStyle w:val="CharacterStyle12"/>
              </w:rPr>
              <w:t>16.121,00</w:t>
            </w:r>
          </w:p>
        </w:tc>
        <w:tc>
          <w:tcPr>
            <w:tcW w:w="1395" w:type="dxa"/>
            <w:tcBorders>
              <w:bottom w:val="single" w:sz="6" w:space="0" w:color="000000"/>
              <w:right w:val="single" w:sz="6" w:space="0" w:color="000000"/>
            </w:tcBorders>
            <w:vAlign w:val="center"/>
          </w:tcPr>
          <w:p w14:paraId="7F60E470" w14:textId="77777777" w:rsidR="007D706A" w:rsidRDefault="007D706A" w:rsidP="00F70508">
            <w:pPr>
              <w:pStyle w:val="ParagraphStyle12"/>
              <w:rPr>
                <w:rStyle w:val="CharacterStyle12"/>
              </w:rPr>
            </w:pPr>
            <w:r>
              <w:rPr>
                <w:rStyle w:val="CharacterStyle12"/>
              </w:rPr>
              <w:t>27.000,00</w:t>
            </w:r>
          </w:p>
        </w:tc>
        <w:tc>
          <w:tcPr>
            <w:tcW w:w="1395" w:type="dxa"/>
            <w:tcBorders>
              <w:bottom w:val="single" w:sz="6" w:space="0" w:color="000000"/>
              <w:right w:val="single" w:sz="6" w:space="0" w:color="000000"/>
            </w:tcBorders>
            <w:vAlign w:val="center"/>
          </w:tcPr>
          <w:p w14:paraId="4328AA74" w14:textId="77777777" w:rsidR="007D706A" w:rsidRDefault="007D706A" w:rsidP="00F70508">
            <w:pPr>
              <w:pStyle w:val="ParagraphStyle12"/>
              <w:rPr>
                <w:rStyle w:val="CharacterStyle12"/>
              </w:rPr>
            </w:pPr>
            <w:r>
              <w:rPr>
                <w:rStyle w:val="CharacterStyle12"/>
              </w:rPr>
              <w:t>27.000,00</w:t>
            </w:r>
          </w:p>
        </w:tc>
        <w:tc>
          <w:tcPr>
            <w:tcW w:w="1395" w:type="dxa"/>
            <w:tcBorders>
              <w:bottom w:val="single" w:sz="6" w:space="0" w:color="000000"/>
              <w:right w:val="single" w:sz="6" w:space="0" w:color="000000"/>
            </w:tcBorders>
            <w:vAlign w:val="center"/>
          </w:tcPr>
          <w:p w14:paraId="0A1FF118" w14:textId="77777777" w:rsidR="007D706A" w:rsidRDefault="007D706A" w:rsidP="00F70508">
            <w:pPr>
              <w:pStyle w:val="ParagraphStyle12"/>
              <w:rPr>
                <w:rStyle w:val="CharacterStyle12"/>
              </w:rPr>
            </w:pPr>
            <w:r>
              <w:rPr>
                <w:rStyle w:val="CharacterStyle12"/>
              </w:rPr>
              <w:t>29.000,00</w:t>
            </w:r>
          </w:p>
        </w:tc>
      </w:tr>
      <w:tr w:rsidR="007D706A" w14:paraId="3E2F483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56B20C1"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69D466A0"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1471F22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2637677" w14:textId="77777777" w:rsidR="007D706A" w:rsidRDefault="007D706A" w:rsidP="00F70508">
            <w:pPr>
              <w:pStyle w:val="ParagraphStyle12"/>
              <w:rPr>
                <w:rStyle w:val="CharacterStyle12"/>
              </w:rPr>
            </w:pPr>
            <w:r>
              <w:rPr>
                <w:rStyle w:val="CharacterStyle12"/>
              </w:rPr>
              <w:t>14.121,00</w:t>
            </w:r>
          </w:p>
        </w:tc>
        <w:tc>
          <w:tcPr>
            <w:tcW w:w="1395" w:type="dxa"/>
            <w:tcBorders>
              <w:bottom w:val="single" w:sz="6" w:space="0" w:color="000000"/>
              <w:right w:val="single" w:sz="6" w:space="0" w:color="000000"/>
            </w:tcBorders>
            <w:vAlign w:val="center"/>
          </w:tcPr>
          <w:p w14:paraId="6CC4AB30" w14:textId="77777777" w:rsidR="007D706A" w:rsidRDefault="007D706A" w:rsidP="00F70508">
            <w:pPr>
              <w:pStyle w:val="ParagraphStyle12"/>
              <w:rPr>
                <w:rStyle w:val="CharacterStyle12"/>
              </w:rPr>
            </w:pPr>
            <w:r>
              <w:rPr>
                <w:rStyle w:val="CharacterStyle12"/>
              </w:rPr>
              <w:t>25.000,00</w:t>
            </w:r>
          </w:p>
        </w:tc>
        <w:tc>
          <w:tcPr>
            <w:tcW w:w="1395" w:type="dxa"/>
            <w:tcBorders>
              <w:bottom w:val="single" w:sz="6" w:space="0" w:color="000000"/>
              <w:right w:val="single" w:sz="6" w:space="0" w:color="000000"/>
            </w:tcBorders>
            <w:vAlign w:val="center"/>
          </w:tcPr>
          <w:p w14:paraId="4FE8494C" w14:textId="77777777" w:rsidR="007D706A" w:rsidRDefault="007D706A" w:rsidP="00F70508">
            <w:pPr>
              <w:pStyle w:val="ParagraphStyle12"/>
              <w:rPr>
                <w:rStyle w:val="CharacterStyle12"/>
              </w:rPr>
            </w:pPr>
            <w:r>
              <w:rPr>
                <w:rStyle w:val="CharacterStyle12"/>
              </w:rPr>
              <w:t>25.000,00</w:t>
            </w:r>
          </w:p>
        </w:tc>
        <w:tc>
          <w:tcPr>
            <w:tcW w:w="1395" w:type="dxa"/>
            <w:tcBorders>
              <w:bottom w:val="single" w:sz="6" w:space="0" w:color="000000"/>
              <w:right w:val="single" w:sz="6" w:space="0" w:color="000000"/>
            </w:tcBorders>
            <w:vAlign w:val="center"/>
          </w:tcPr>
          <w:p w14:paraId="1D50C200" w14:textId="77777777" w:rsidR="007D706A" w:rsidRDefault="007D706A" w:rsidP="00F70508">
            <w:pPr>
              <w:pStyle w:val="ParagraphStyle12"/>
              <w:rPr>
                <w:rStyle w:val="CharacterStyle12"/>
              </w:rPr>
            </w:pPr>
            <w:r>
              <w:rPr>
                <w:rStyle w:val="CharacterStyle12"/>
              </w:rPr>
              <w:t>27.000,00</w:t>
            </w:r>
          </w:p>
        </w:tc>
      </w:tr>
      <w:tr w:rsidR="007D706A" w14:paraId="55550DB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6F2A4D3" w14:textId="77777777" w:rsidR="007D706A" w:rsidRDefault="007D706A" w:rsidP="00F70508">
            <w:pPr>
              <w:pStyle w:val="ParagraphStyle10"/>
              <w:rPr>
                <w:rStyle w:val="CharacterStyle10"/>
              </w:rPr>
            </w:pPr>
            <w:r>
              <w:rPr>
                <w:rStyle w:val="CharacterStyle10"/>
              </w:rPr>
              <w:t>38</w:t>
            </w:r>
          </w:p>
        </w:tc>
        <w:tc>
          <w:tcPr>
            <w:tcW w:w="4995" w:type="dxa"/>
            <w:tcBorders>
              <w:bottom w:val="single" w:sz="6" w:space="0" w:color="000000"/>
              <w:right w:val="single" w:sz="6" w:space="0" w:color="000000"/>
            </w:tcBorders>
            <w:vAlign w:val="center"/>
          </w:tcPr>
          <w:p w14:paraId="15A9FEA2" w14:textId="77777777" w:rsidR="007D706A" w:rsidRDefault="007D706A" w:rsidP="00F70508">
            <w:pPr>
              <w:pStyle w:val="ParagraphStyle11"/>
              <w:rPr>
                <w:rStyle w:val="CharacterStyle11"/>
              </w:rPr>
            </w:pPr>
            <w:r>
              <w:rPr>
                <w:rStyle w:val="CharacterStyle11"/>
              </w:rPr>
              <w:t>Rashodi za donacije, kazne, naknade šteta i kapitalne pomoći</w:t>
            </w:r>
          </w:p>
        </w:tc>
        <w:tc>
          <w:tcPr>
            <w:tcW w:w="1395" w:type="dxa"/>
            <w:tcBorders>
              <w:bottom w:val="single" w:sz="6" w:space="0" w:color="000000"/>
              <w:right w:val="single" w:sz="6" w:space="0" w:color="000000"/>
            </w:tcBorders>
            <w:vAlign w:val="center"/>
          </w:tcPr>
          <w:p w14:paraId="359A475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AB0DC07" w14:textId="77777777" w:rsidR="007D706A" w:rsidRDefault="007D706A" w:rsidP="00F70508">
            <w:pPr>
              <w:pStyle w:val="ParagraphStyle12"/>
              <w:rPr>
                <w:rStyle w:val="CharacterStyle12"/>
              </w:rPr>
            </w:pPr>
            <w:r>
              <w:rPr>
                <w:rStyle w:val="CharacterStyle12"/>
              </w:rPr>
              <w:t>2.000,00</w:t>
            </w:r>
          </w:p>
        </w:tc>
        <w:tc>
          <w:tcPr>
            <w:tcW w:w="1395" w:type="dxa"/>
            <w:tcBorders>
              <w:bottom w:val="single" w:sz="6" w:space="0" w:color="000000"/>
              <w:right w:val="single" w:sz="6" w:space="0" w:color="000000"/>
            </w:tcBorders>
            <w:vAlign w:val="center"/>
          </w:tcPr>
          <w:p w14:paraId="6DF5F48C" w14:textId="77777777" w:rsidR="007D706A" w:rsidRDefault="007D706A" w:rsidP="00F70508">
            <w:pPr>
              <w:pStyle w:val="ParagraphStyle12"/>
              <w:rPr>
                <w:rStyle w:val="CharacterStyle12"/>
              </w:rPr>
            </w:pPr>
            <w:r>
              <w:rPr>
                <w:rStyle w:val="CharacterStyle12"/>
              </w:rPr>
              <w:t>2.000,00</w:t>
            </w:r>
          </w:p>
        </w:tc>
        <w:tc>
          <w:tcPr>
            <w:tcW w:w="1395" w:type="dxa"/>
            <w:tcBorders>
              <w:bottom w:val="single" w:sz="6" w:space="0" w:color="000000"/>
              <w:right w:val="single" w:sz="6" w:space="0" w:color="000000"/>
            </w:tcBorders>
            <w:vAlign w:val="center"/>
          </w:tcPr>
          <w:p w14:paraId="0FB39061" w14:textId="77777777" w:rsidR="007D706A" w:rsidRDefault="007D706A" w:rsidP="00F70508">
            <w:pPr>
              <w:pStyle w:val="ParagraphStyle12"/>
              <w:rPr>
                <w:rStyle w:val="CharacterStyle12"/>
              </w:rPr>
            </w:pPr>
            <w:r>
              <w:rPr>
                <w:rStyle w:val="CharacterStyle12"/>
              </w:rPr>
              <w:t>2.000,00</w:t>
            </w:r>
          </w:p>
        </w:tc>
        <w:tc>
          <w:tcPr>
            <w:tcW w:w="1395" w:type="dxa"/>
            <w:tcBorders>
              <w:bottom w:val="single" w:sz="6" w:space="0" w:color="000000"/>
              <w:right w:val="single" w:sz="6" w:space="0" w:color="000000"/>
            </w:tcBorders>
            <w:vAlign w:val="center"/>
          </w:tcPr>
          <w:p w14:paraId="76B693E7" w14:textId="77777777" w:rsidR="007D706A" w:rsidRDefault="007D706A" w:rsidP="00F70508">
            <w:pPr>
              <w:pStyle w:val="ParagraphStyle12"/>
              <w:rPr>
                <w:rStyle w:val="CharacterStyle12"/>
              </w:rPr>
            </w:pPr>
            <w:r>
              <w:rPr>
                <w:rStyle w:val="CharacterStyle12"/>
              </w:rPr>
              <w:t>2.000,00</w:t>
            </w:r>
          </w:p>
        </w:tc>
      </w:tr>
      <w:tr w:rsidR="007D706A" w14:paraId="6576B98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AFCD936"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1125C662"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7138684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C0655D9" w14:textId="77777777" w:rsidR="007D706A" w:rsidRDefault="007D706A" w:rsidP="00F70508">
            <w:pPr>
              <w:pStyle w:val="ParagraphStyle12"/>
              <w:rPr>
                <w:rStyle w:val="CharacterStyle12"/>
              </w:rPr>
            </w:pPr>
            <w:r>
              <w:rPr>
                <w:rStyle w:val="CharacterStyle12"/>
              </w:rPr>
              <w:t>8.000,00</w:t>
            </w:r>
          </w:p>
        </w:tc>
        <w:tc>
          <w:tcPr>
            <w:tcW w:w="1395" w:type="dxa"/>
            <w:tcBorders>
              <w:bottom w:val="single" w:sz="6" w:space="0" w:color="000000"/>
              <w:right w:val="single" w:sz="6" w:space="0" w:color="000000"/>
            </w:tcBorders>
            <w:vAlign w:val="center"/>
          </w:tcPr>
          <w:p w14:paraId="3A1833AF" w14:textId="77777777" w:rsidR="007D706A" w:rsidRDefault="007D706A" w:rsidP="00F70508">
            <w:pPr>
              <w:pStyle w:val="ParagraphStyle12"/>
              <w:rPr>
                <w:rStyle w:val="CharacterStyle12"/>
              </w:rPr>
            </w:pPr>
            <w:r>
              <w:rPr>
                <w:rStyle w:val="CharacterStyle12"/>
              </w:rPr>
              <w:t>8.000,00</w:t>
            </w:r>
          </w:p>
        </w:tc>
        <w:tc>
          <w:tcPr>
            <w:tcW w:w="1395" w:type="dxa"/>
            <w:tcBorders>
              <w:bottom w:val="single" w:sz="6" w:space="0" w:color="000000"/>
              <w:right w:val="single" w:sz="6" w:space="0" w:color="000000"/>
            </w:tcBorders>
            <w:vAlign w:val="center"/>
          </w:tcPr>
          <w:p w14:paraId="4D838FD9" w14:textId="77777777" w:rsidR="007D706A" w:rsidRDefault="007D706A" w:rsidP="00F70508">
            <w:pPr>
              <w:pStyle w:val="ParagraphStyle12"/>
              <w:rPr>
                <w:rStyle w:val="CharacterStyle12"/>
              </w:rPr>
            </w:pPr>
            <w:r>
              <w:rPr>
                <w:rStyle w:val="CharacterStyle12"/>
              </w:rPr>
              <w:t>10.000,00</w:t>
            </w:r>
          </w:p>
        </w:tc>
        <w:tc>
          <w:tcPr>
            <w:tcW w:w="1395" w:type="dxa"/>
            <w:tcBorders>
              <w:bottom w:val="single" w:sz="6" w:space="0" w:color="000000"/>
              <w:right w:val="single" w:sz="6" w:space="0" w:color="000000"/>
            </w:tcBorders>
            <w:vAlign w:val="center"/>
          </w:tcPr>
          <w:p w14:paraId="4B32586A" w14:textId="77777777" w:rsidR="007D706A" w:rsidRDefault="007D706A" w:rsidP="00F70508">
            <w:pPr>
              <w:pStyle w:val="ParagraphStyle12"/>
              <w:rPr>
                <w:rStyle w:val="CharacterStyle12"/>
              </w:rPr>
            </w:pPr>
            <w:r>
              <w:rPr>
                <w:rStyle w:val="CharacterStyle12"/>
              </w:rPr>
              <w:t>10.000,00</w:t>
            </w:r>
          </w:p>
        </w:tc>
      </w:tr>
      <w:tr w:rsidR="007D706A" w14:paraId="70D8387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6B7E315" w14:textId="77777777" w:rsidR="007D706A" w:rsidRDefault="007D706A" w:rsidP="00F70508">
            <w:pPr>
              <w:pStyle w:val="ParagraphStyle10"/>
              <w:rPr>
                <w:rStyle w:val="CharacterStyle10"/>
              </w:rPr>
            </w:pPr>
            <w:r>
              <w:rPr>
                <w:rStyle w:val="CharacterStyle10"/>
              </w:rPr>
              <w:t>42</w:t>
            </w:r>
          </w:p>
        </w:tc>
        <w:tc>
          <w:tcPr>
            <w:tcW w:w="4995" w:type="dxa"/>
            <w:tcBorders>
              <w:bottom w:val="single" w:sz="6" w:space="0" w:color="000000"/>
              <w:right w:val="single" w:sz="6" w:space="0" w:color="000000"/>
            </w:tcBorders>
            <w:vAlign w:val="center"/>
          </w:tcPr>
          <w:p w14:paraId="278F6636"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4350E75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1C766D2" w14:textId="77777777" w:rsidR="007D706A" w:rsidRDefault="007D706A" w:rsidP="00F70508">
            <w:pPr>
              <w:pStyle w:val="ParagraphStyle12"/>
              <w:rPr>
                <w:rStyle w:val="CharacterStyle12"/>
              </w:rPr>
            </w:pPr>
            <w:r>
              <w:rPr>
                <w:rStyle w:val="CharacterStyle12"/>
              </w:rPr>
              <w:t>8.000,00</w:t>
            </w:r>
          </w:p>
        </w:tc>
        <w:tc>
          <w:tcPr>
            <w:tcW w:w="1395" w:type="dxa"/>
            <w:tcBorders>
              <w:bottom w:val="single" w:sz="6" w:space="0" w:color="000000"/>
              <w:right w:val="single" w:sz="6" w:space="0" w:color="000000"/>
            </w:tcBorders>
            <w:vAlign w:val="center"/>
          </w:tcPr>
          <w:p w14:paraId="29C04FF2" w14:textId="77777777" w:rsidR="007D706A" w:rsidRDefault="007D706A" w:rsidP="00F70508">
            <w:pPr>
              <w:pStyle w:val="ParagraphStyle12"/>
              <w:rPr>
                <w:rStyle w:val="CharacterStyle12"/>
              </w:rPr>
            </w:pPr>
            <w:r>
              <w:rPr>
                <w:rStyle w:val="CharacterStyle12"/>
              </w:rPr>
              <w:t>8.000,00</w:t>
            </w:r>
          </w:p>
        </w:tc>
        <w:tc>
          <w:tcPr>
            <w:tcW w:w="1395" w:type="dxa"/>
            <w:tcBorders>
              <w:bottom w:val="single" w:sz="6" w:space="0" w:color="000000"/>
              <w:right w:val="single" w:sz="6" w:space="0" w:color="000000"/>
            </w:tcBorders>
            <w:vAlign w:val="center"/>
          </w:tcPr>
          <w:p w14:paraId="51C7BF98" w14:textId="77777777" w:rsidR="007D706A" w:rsidRDefault="007D706A" w:rsidP="00F70508">
            <w:pPr>
              <w:pStyle w:val="ParagraphStyle12"/>
              <w:rPr>
                <w:rStyle w:val="CharacterStyle12"/>
              </w:rPr>
            </w:pPr>
            <w:r>
              <w:rPr>
                <w:rStyle w:val="CharacterStyle12"/>
              </w:rPr>
              <w:t>10.000,00</w:t>
            </w:r>
          </w:p>
        </w:tc>
        <w:tc>
          <w:tcPr>
            <w:tcW w:w="1395" w:type="dxa"/>
            <w:tcBorders>
              <w:bottom w:val="single" w:sz="6" w:space="0" w:color="000000"/>
              <w:right w:val="single" w:sz="6" w:space="0" w:color="000000"/>
            </w:tcBorders>
            <w:vAlign w:val="center"/>
          </w:tcPr>
          <w:p w14:paraId="770E0B66" w14:textId="77777777" w:rsidR="007D706A" w:rsidRDefault="007D706A" w:rsidP="00F70508">
            <w:pPr>
              <w:pStyle w:val="ParagraphStyle12"/>
              <w:rPr>
                <w:rStyle w:val="CharacterStyle12"/>
              </w:rPr>
            </w:pPr>
            <w:r>
              <w:rPr>
                <w:rStyle w:val="CharacterStyle12"/>
              </w:rPr>
              <w:t>10.000,00</w:t>
            </w:r>
          </w:p>
        </w:tc>
      </w:tr>
      <w:tr w:rsidR="007D706A" w14:paraId="770B3DC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1FA58F0" w14:textId="77777777" w:rsidR="007D706A" w:rsidRDefault="007D706A" w:rsidP="00F70508">
            <w:pPr>
              <w:pStyle w:val="ParagraphStyle7"/>
              <w:rPr>
                <w:rStyle w:val="CharacterStyle7"/>
              </w:rPr>
            </w:pPr>
            <w:r>
              <w:rPr>
                <w:rStyle w:val="CharacterStyle7"/>
              </w:rPr>
              <w:t>Izvor financiranja 53</w:t>
            </w:r>
          </w:p>
        </w:tc>
        <w:tc>
          <w:tcPr>
            <w:tcW w:w="4995" w:type="dxa"/>
            <w:tcBorders>
              <w:bottom w:val="single" w:sz="6" w:space="0" w:color="000000"/>
              <w:right w:val="single" w:sz="6" w:space="0" w:color="000000"/>
            </w:tcBorders>
            <w:vAlign w:val="center"/>
          </w:tcPr>
          <w:p w14:paraId="6C32BBD6" w14:textId="77777777" w:rsidR="007D706A" w:rsidRDefault="007D706A" w:rsidP="00F70508">
            <w:pPr>
              <w:pStyle w:val="ParagraphStyle8"/>
              <w:rPr>
                <w:rStyle w:val="CharacterStyle8"/>
              </w:rPr>
            </w:pPr>
            <w:r>
              <w:rPr>
                <w:rStyle w:val="CharacterStyle8"/>
              </w:rPr>
              <w:t>Proračuni, drugi nivoi - za posebne i / ili ugovorene namjene</w:t>
            </w:r>
          </w:p>
        </w:tc>
        <w:tc>
          <w:tcPr>
            <w:tcW w:w="1395" w:type="dxa"/>
            <w:tcBorders>
              <w:bottom w:val="single" w:sz="6" w:space="0" w:color="000000"/>
              <w:right w:val="single" w:sz="6" w:space="0" w:color="000000"/>
            </w:tcBorders>
            <w:vAlign w:val="center"/>
          </w:tcPr>
          <w:p w14:paraId="715CF9F9"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6EEC1C4" w14:textId="77777777" w:rsidR="007D706A" w:rsidRDefault="007D706A" w:rsidP="00F70508">
            <w:pPr>
              <w:pStyle w:val="ParagraphStyle9"/>
              <w:rPr>
                <w:rStyle w:val="CharacterStyle9"/>
              </w:rPr>
            </w:pPr>
            <w:r>
              <w:rPr>
                <w:rStyle w:val="CharacterStyle9"/>
              </w:rPr>
              <w:t>10.000,00</w:t>
            </w:r>
          </w:p>
        </w:tc>
        <w:tc>
          <w:tcPr>
            <w:tcW w:w="1395" w:type="dxa"/>
            <w:tcBorders>
              <w:bottom w:val="single" w:sz="6" w:space="0" w:color="000000"/>
              <w:right w:val="single" w:sz="6" w:space="0" w:color="000000"/>
            </w:tcBorders>
            <w:vAlign w:val="center"/>
          </w:tcPr>
          <w:p w14:paraId="608C3CDD"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F07E11E"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C543F3F" w14:textId="77777777" w:rsidR="007D706A" w:rsidRDefault="007D706A" w:rsidP="00F70508">
            <w:pPr>
              <w:pStyle w:val="ParagraphStyle9"/>
              <w:rPr>
                <w:rStyle w:val="CharacterStyle9"/>
              </w:rPr>
            </w:pPr>
            <w:r>
              <w:rPr>
                <w:rStyle w:val="CharacterStyle9"/>
              </w:rPr>
              <w:t>0,00</w:t>
            </w:r>
          </w:p>
        </w:tc>
      </w:tr>
      <w:tr w:rsidR="007D706A" w14:paraId="4D6A4C6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54D2EA5"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7D032A75"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7D80C56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0213C9B" w14:textId="77777777" w:rsidR="007D706A" w:rsidRDefault="007D706A" w:rsidP="00F70508">
            <w:pPr>
              <w:pStyle w:val="ParagraphStyle12"/>
              <w:rPr>
                <w:rStyle w:val="CharacterStyle12"/>
              </w:rPr>
            </w:pPr>
            <w:r>
              <w:rPr>
                <w:rStyle w:val="CharacterStyle12"/>
              </w:rPr>
              <w:t>10.000,00</w:t>
            </w:r>
          </w:p>
        </w:tc>
        <w:tc>
          <w:tcPr>
            <w:tcW w:w="1395" w:type="dxa"/>
            <w:tcBorders>
              <w:bottom w:val="single" w:sz="6" w:space="0" w:color="000000"/>
              <w:right w:val="single" w:sz="6" w:space="0" w:color="000000"/>
            </w:tcBorders>
            <w:vAlign w:val="center"/>
          </w:tcPr>
          <w:p w14:paraId="261EF7D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D163A9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8D34E29" w14:textId="77777777" w:rsidR="007D706A" w:rsidRDefault="007D706A" w:rsidP="00F70508">
            <w:pPr>
              <w:pStyle w:val="ParagraphStyle12"/>
              <w:rPr>
                <w:rStyle w:val="CharacterStyle12"/>
              </w:rPr>
            </w:pPr>
            <w:r>
              <w:rPr>
                <w:rStyle w:val="CharacterStyle12"/>
              </w:rPr>
              <w:t>0,00</w:t>
            </w:r>
          </w:p>
        </w:tc>
      </w:tr>
      <w:tr w:rsidR="007D706A" w14:paraId="715F516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2027054"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329BF69F"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2450FCC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1FDD53A" w14:textId="77777777" w:rsidR="007D706A" w:rsidRDefault="007D706A" w:rsidP="00F70508">
            <w:pPr>
              <w:pStyle w:val="ParagraphStyle12"/>
              <w:rPr>
                <w:rStyle w:val="CharacterStyle12"/>
              </w:rPr>
            </w:pPr>
            <w:r>
              <w:rPr>
                <w:rStyle w:val="CharacterStyle12"/>
              </w:rPr>
              <w:t>10.000,00</w:t>
            </w:r>
          </w:p>
        </w:tc>
        <w:tc>
          <w:tcPr>
            <w:tcW w:w="1395" w:type="dxa"/>
            <w:tcBorders>
              <w:bottom w:val="single" w:sz="6" w:space="0" w:color="000000"/>
              <w:right w:val="single" w:sz="6" w:space="0" w:color="000000"/>
            </w:tcBorders>
            <w:vAlign w:val="center"/>
          </w:tcPr>
          <w:p w14:paraId="11E9ECB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62BB9E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687589C" w14:textId="77777777" w:rsidR="007D706A" w:rsidRDefault="007D706A" w:rsidP="00F70508">
            <w:pPr>
              <w:pStyle w:val="ParagraphStyle12"/>
              <w:rPr>
                <w:rStyle w:val="CharacterStyle12"/>
              </w:rPr>
            </w:pPr>
            <w:r>
              <w:rPr>
                <w:rStyle w:val="CharacterStyle12"/>
              </w:rPr>
              <w:t>0,00</w:t>
            </w:r>
          </w:p>
        </w:tc>
      </w:tr>
      <w:tr w:rsidR="007D706A" w14:paraId="5639F20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0C1E7FA" w14:textId="77777777" w:rsidR="007D706A" w:rsidRDefault="007D706A" w:rsidP="00F70508">
            <w:pPr>
              <w:pStyle w:val="ParagraphStyle7"/>
              <w:rPr>
                <w:rStyle w:val="CharacterStyle7"/>
              </w:rPr>
            </w:pPr>
            <w:r>
              <w:rPr>
                <w:rStyle w:val="CharacterStyle7"/>
              </w:rPr>
              <w:t>Izvor financiranja 82</w:t>
            </w:r>
          </w:p>
        </w:tc>
        <w:tc>
          <w:tcPr>
            <w:tcW w:w="4995" w:type="dxa"/>
            <w:tcBorders>
              <w:bottom w:val="single" w:sz="6" w:space="0" w:color="000000"/>
              <w:right w:val="single" w:sz="6" w:space="0" w:color="000000"/>
            </w:tcBorders>
            <w:vAlign w:val="center"/>
          </w:tcPr>
          <w:p w14:paraId="59ED57D5" w14:textId="77777777" w:rsidR="007D706A" w:rsidRDefault="007D706A" w:rsidP="00F70508">
            <w:pPr>
              <w:pStyle w:val="ParagraphStyle8"/>
              <w:rPr>
                <w:rStyle w:val="CharacterStyle8"/>
              </w:rPr>
            </w:pPr>
            <w:r>
              <w:rPr>
                <w:rStyle w:val="CharacterStyle8"/>
              </w:rPr>
              <w:t>Preneseni viškovi iz ranijih godina</w:t>
            </w:r>
          </w:p>
        </w:tc>
        <w:tc>
          <w:tcPr>
            <w:tcW w:w="1395" w:type="dxa"/>
            <w:tcBorders>
              <w:bottom w:val="single" w:sz="6" w:space="0" w:color="000000"/>
              <w:right w:val="single" w:sz="6" w:space="0" w:color="000000"/>
            </w:tcBorders>
            <w:vAlign w:val="center"/>
          </w:tcPr>
          <w:p w14:paraId="014F6385"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DA99053" w14:textId="77777777" w:rsidR="007D706A" w:rsidRDefault="007D706A" w:rsidP="00F70508">
            <w:pPr>
              <w:pStyle w:val="ParagraphStyle9"/>
              <w:rPr>
                <w:rStyle w:val="CharacterStyle9"/>
              </w:rPr>
            </w:pPr>
            <w:r>
              <w:rPr>
                <w:rStyle w:val="CharacterStyle9"/>
              </w:rPr>
              <w:t>2.000,00</w:t>
            </w:r>
          </w:p>
        </w:tc>
        <w:tc>
          <w:tcPr>
            <w:tcW w:w="1395" w:type="dxa"/>
            <w:tcBorders>
              <w:bottom w:val="single" w:sz="6" w:space="0" w:color="000000"/>
              <w:right w:val="single" w:sz="6" w:space="0" w:color="000000"/>
            </w:tcBorders>
            <w:vAlign w:val="center"/>
          </w:tcPr>
          <w:p w14:paraId="4D12A408"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F2BB114"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A3534DE" w14:textId="77777777" w:rsidR="007D706A" w:rsidRDefault="007D706A" w:rsidP="00F70508">
            <w:pPr>
              <w:pStyle w:val="ParagraphStyle9"/>
              <w:rPr>
                <w:rStyle w:val="CharacterStyle9"/>
              </w:rPr>
            </w:pPr>
            <w:r>
              <w:rPr>
                <w:rStyle w:val="CharacterStyle9"/>
              </w:rPr>
              <w:t>0,00</w:t>
            </w:r>
          </w:p>
        </w:tc>
      </w:tr>
      <w:tr w:rsidR="007D706A" w14:paraId="07CC30C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805E38A"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64F6CA12"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6AB3036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0978C91" w14:textId="77777777" w:rsidR="007D706A" w:rsidRDefault="007D706A" w:rsidP="00F70508">
            <w:pPr>
              <w:pStyle w:val="ParagraphStyle12"/>
              <w:rPr>
                <w:rStyle w:val="CharacterStyle12"/>
              </w:rPr>
            </w:pPr>
            <w:r>
              <w:rPr>
                <w:rStyle w:val="CharacterStyle12"/>
              </w:rPr>
              <w:t>2.000,00</w:t>
            </w:r>
          </w:p>
        </w:tc>
        <w:tc>
          <w:tcPr>
            <w:tcW w:w="1395" w:type="dxa"/>
            <w:tcBorders>
              <w:bottom w:val="single" w:sz="6" w:space="0" w:color="000000"/>
              <w:right w:val="single" w:sz="6" w:space="0" w:color="000000"/>
            </w:tcBorders>
            <w:vAlign w:val="center"/>
          </w:tcPr>
          <w:p w14:paraId="00F88F5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A9EB49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5841953" w14:textId="77777777" w:rsidR="007D706A" w:rsidRDefault="007D706A" w:rsidP="00F70508">
            <w:pPr>
              <w:pStyle w:val="ParagraphStyle12"/>
              <w:rPr>
                <w:rStyle w:val="CharacterStyle12"/>
              </w:rPr>
            </w:pPr>
            <w:r>
              <w:rPr>
                <w:rStyle w:val="CharacterStyle12"/>
              </w:rPr>
              <w:t>0,00</w:t>
            </w:r>
          </w:p>
        </w:tc>
      </w:tr>
      <w:tr w:rsidR="007D706A" w14:paraId="446762C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F7777BD" w14:textId="77777777" w:rsidR="007D706A" w:rsidRDefault="007D706A" w:rsidP="00F70508">
            <w:pPr>
              <w:pStyle w:val="ParagraphStyle10"/>
              <w:rPr>
                <w:rStyle w:val="CharacterStyle10"/>
              </w:rPr>
            </w:pPr>
            <w:r>
              <w:rPr>
                <w:rStyle w:val="CharacterStyle10"/>
              </w:rPr>
              <w:t>42</w:t>
            </w:r>
          </w:p>
        </w:tc>
        <w:tc>
          <w:tcPr>
            <w:tcW w:w="4995" w:type="dxa"/>
            <w:tcBorders>
              <w:bottom w:val="single" w:sz="6" w:space="0" w:color="000000"/>
              <w:right w:val="single" w:sz="6" w:space="0" w:color="000000"/>
            </w:tcBorders>
            <w:vAlign w:val="center"/>
          </w:tcPr>
          <w:p w14:paraId="653971C3"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67CE397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D7EFB64" w14:textId="77777777" w:rsidR="007D706A" w:rsidRDefault="007D706A" w:rsidP="00F70508">
            <w:pPr>
              <w:pStyle w:val="ParagraphStyle12"/>
              <w:rPr>
                <w:rStyle w:val="CharacterStyle12"/>
              </w:rPr>
            </w:pPr>
            <w:r>
              <w:rPr>
                <w:rStyle w:val="CharacterStyle12"/>
              </w:rPr>
              <w:t>2.000,00</w:t>
            </w:r>
          </w:p>
        </w:tc>
        <w:tc>
          <w:tcPr>
            <w:tcW w:w="1395" w:type="dxa"/>
            <w:tcBorders>
              <w:bottom w:val="single" w:sz="6" w:space="0" w:color="000000"/>
              <w:right w:val="single" w:sz="6" w:space="0" w:color="000000"/>
            </w:tcBorders>
            <w:vAlign w:val="center"/>
          </w:tcPr>
          <w:p w14:paraId="3B7F2CE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8E98FD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33F748F" w14:textId="77777777" w:rsidR="007D706A" w:rsidRDefault="007D706A" w:rsidP="00F70508">
            <w:pPr>
              <w:pStyle w:val="ParagraphStyle12"/>
              <w:rPr>
                <w:rStyle w:val="CharacterStyle12"/>
              </w:rPr>
            </w:pPr>
            <w:r>
              <w:rPr>
                <w:rStyle w:val="CharacterStyle12"/>
              </w:rPr>
              <w:t>0,00</w:t>
            </w:r>
          </w:p>
        </w:tc>
      </w:tr>
      <w:tr w:rsidR="007D706A" w14:paraId="39B646BA" w14:textId="77777777" w:rsidTr="00F70508">
        <w:trPr>
          <w:trHeight w:val="420"/>
        </w:trPr>
        <w:tc>
          <w:tcPr>
            <w:tcW w:w="2880" w:type="dxa"/>
            <w:tcBorders>
              <w:left w:val="single" w:sz="6" w:space="0" w:color="000000"/>
              <w:bottom w:val="single" w:sz="6" w:space="0" w:color="000000"/>
              <w:right w:val="single" w:sz="6" w:space="0" w:color="000000"/>
            </w:tcBorders>
            <w:vAlign w:val="center"/>
          </w:tcPr>
          <w:p w14:paraId="4D460593" w14:textId="77777777" w:rsidR="007D706A" w:rsidRDefault="007D706A" w:rsidP="00F70508">
            <w:pPr>
              <w:pStyle w:val="ParagraphStyle4"/>
              <w:rPr>
                <w:rStyle w:val="CharacterStyle4"/>
              </w:rPr>
            </w:pPr>
            <w:r>
              <w:rPr>
                <w:rStyle w:val="CharacterStyle4"/>
              </w:rPr>
              <w:t>Aktivnost A103802</w:t>
            </w:r>
          </w:p>
        </w:tc>
        <w:tc>
          <w:tcPr>
            <w:tcW w:w="4995" w:type="dxa"/>
            <w:tcBorders>
              <w:bottom w:val="single" w:sz="6" w:space="0" w:color="000000"/>
              <w:right w:val="single" w:sz="6" w:space="0" w:color="000000"/>
            </w:tcBorders>
            <w:vAlign w:val="center"/>
          </w:tcPr>
          <w:p w14:paraId="1250AD99" w14:textId="77777777" w:rsidR="007D706A" w:rsidRDefault="007D706A" w:rsidP="00F70508">
            <w:pPr>
              <w:pStyle w:val="ParagraphStyle5"/>
              <w:rPr>
                <w:rStyle w:val="CharacterStyle5"/>
              </w:rPr>
            </w:pPr>
            <w:r>
              <w:rPr>
                <w:rStyle w:val="CharacterStyle5"/>
              </w:rPr>
              <w:t>SUFINANCIRANJE REGIONALNE SLUŽBE ZAŠTITE I SPAŠAVANJA</w:t>
            </w:r>
          </w:p>
        </w:tc>
        <w:tc>
          <w:tcPr>
            <w:tcW w:w="1395" w:type="dxa"/>
            <w:tcBorders>
              <w:bottom w:val="single" w:sz="6" w:space="0" w:color="000000"/>
              <w:right w:val="single" w:sz="6" w:space="0" w:color="000000"/>
            </w:tcBorders>
            <w:vAlign w:val="center"/>
          </w:tcPr>
          <w:p w14:paraId="3C208E37"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47FCA055" w14:textId="77777777" w:rsidR="007D706A" w:rsidRDefault="007D706A" w:rsidP="00F70508">
            <w:pPr>
              <w:pStyle w:val="ParagraphStyle6"/>
              <w:rPr>
                <w:rStyle w:val="CharacterStyle6"/>
              </w:rPr>
            </w:pPr>
            <w:r>
              <w:rPr>
                <w:rStyle w:val="CharacterStyle6"/>
              </w:rPr>
              <w:t>4.000,00</w:t>
            </w:r>
          </w:p>
        </w:tc>
        <w:tc>
          <w:tcPr>
            <w:tcW w:w="1395" w:type="dxa"/>
            <w:tcBorders>
              <w:bottom w:val="single" w:sz="6" w:space="0" w:color="000000"/>
              <w:right w:val="single" w:sz="6" w:space="0" w:color="000000"/>
            </w:tcBorders>
            <w:vAlign w:val="center"/>
          </w:tcPr>
          <w:p w14:paraId="419FBA3D" w14:textId="77777777" w:rsidR="007D706A" w:rsidRDefault="007D706A" w:rsidP="00F70508">
            <w:pPr>
              <w:pStyle w:val="ParagraphStyle6"/>
              <w:rPr>
                <w:rStyle w:val="CharacterStyle6"/>
              </w:rPr>
            </w:pPr>
            <w:r>
              <w:rPr>
                <w:rStyle w:val="CharacterStyle6"/>
              </w:rPr>
              <w:t>4.000,00</w:t>
            </w:r>
          </w:p>
        </w:tc>
        <w:tc>
          <w:tcPr>
            <w:tcW w:w="1395" w:type="dxa"/>
            <w:tcBorders>
              <w:bottom w:val="single" w:sz="6" w:space="0" w:color="000000"/>
              <w:right w:val="single" w:sz="6" w:space="0" w:color="000000"/>
            </w:tcBorders>
            <w:vAlign w:val="center"/>
          </w:tcPr>
          <w:p w14:paraId="27B89C70" w14:textId="77777777" w:rsidR="007D706A" w:rsidRDefault="007D706A" w:rsidP="00F70508">
            <w:pPr>
              <w:pStyle w:val="ParagraphStyle6"/>
              <w:rPr>
                <w:rStyle w:val="CharacterStyle6"/>
              </w:rPr>
            </w:pPr>
            <w:r>
              <w:rPr>
                <w:rStyle w:val="CharacterStyle6"/>
              </w:rPr>
              <w:t>4.000,00</w:t>
            </w:r>
          </w:p>
        </w:tc>
        <w:tc>
          <w:tcPr>
            <w:tcW w:w="1395" w:type="dxa"/>
            <w:tcBorders>
              <w:bottom w:val="single" w:sz="6" w:space="0" w:color="000000"/>
              <w:right w:val="single" w:sz="6" w:space="0" w:color="000000"/>
            </w:tcBorders>
            <w:vAlign w:val="center"/>
          </w:tcPr>
          <w:p w14:paraId="70564C33" w14:textId="77777777" w:rsidR="007D706A" w:rsidRDefault="007D706A" w:rsidP="00F70508">
            <w:pPr>
              <w:pStyle w:val="ParagraphStyle6"/>
              <w:rPr>
                <w:rStyle w:val="CharacterStyle6"/>
              </w:rPr>
            </w:pPr>
            <w:r>
              <w:rPr>
                <w:rStyle w:val="CharacterStyle6"/>
              </w:rPr>
              <w:t>4.000,00</w:t>
            </w:r>
          </w:p>
        </w:tc>
      </w:tr>
      <w:tr w:rsidR="007D706A" w14:paraId="0E61BEC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0C40D56"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1C4065D3"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6D8F115D"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49A0217" w14:textId="77777777" w:rsidR="007D706A" w:rsidRDefault="007D706A" w:rsidP="00F70508">
            <w:pPr>
              <w:pStyle w:val="ParagraphStyle9"/>
              <w:rPr>
                <w:rStyle w:val="CharacterStyle9"/>
              </w:rPr>
            </w:pPr>
            <w:r>
              <w:rPr>
                <w:rStyle w:val="CharacterStyle9"/>
              </w:rPr>
              <w:t>4.000,00</w:t>
            </w:r>
          </w:p>
        </w:tc>
        <w:tc>
          <w:tcPr>
            <w:tcW w:w="1395" w:type="dxa"/>
            <w:tcBorders>
              <w:bottom w:val="single" w:sz="6" w:space="0" w:color="000000"/>
              <w:right w:val="single" w:sz="6" w:space="0" w:color="000000"/>
            </w:tcBorders>
            <w:vAlign w:val="center"/>
          </w:tcPr>
          <w:p w14:paraId="434EF603" w14:textId="77777777" w:rsidR="007D706A" w:rsidRDefault="007D706A" w:rsidP="00F70508">
            <w:pPr>
              <w:pStyle w:val="ParagraphStyle9"/>
              <w:rPr>
                <w:rStyle w:val="CharacterStyle9"/>
              </w:rPr>
            </w:pPr>
            <w:r>
              <w:rPr>
                <w:rStyle w:val="CharacterStyle9"/>
              </w:rPr>
              <w:t>4.000,00</w:t>
            </w:r>
          </w:p>
        </w:tc>
        <w:tc>
          <w:tcPr>
            <w:tcW w:w="1395" w:type="dxa"/>
            <w:tcBorders>
              <w:bottom w:val="single" w:sz="6" w:space="0" w:color="000000"/>
              <w:right w:val="single" w:sz="6" w:space="0" w:color="000000"/>
            </w:tcBorders>
            <w:vAlign w:val="center"/>
          </w:tcPr>
          <w:p w14:paraId="474099C5" w14:textId="77777777" w:rsidR="007D706A" w:rsidRDefault="007D706A" w:rsidP="00F70508">
            <w:pPr>
              <w:pStyle w:val="ParagraphStyle9"/>
              <w:rPr>
                <w:rStyle w:val="CharacterStyle9"/>
              </w:rPr>
            </w:pPr>
            <w:r>
              <w:rPr>
                <w:rStyle w:val="CharacterStyle9"/>
              </w:rPr>
              <w:t>4.000,00</w:t>
            </w:r>
          </w:p>
        </w:tc>
        <w:tc>
          <w:tcPr>
            <w:tcW w:w="1395" w:type="dxa"/>
            <w:tcBorders>
              <w:bottom w:val="single" w:sz="6" w:space="0" w:color="000000"/>
              <w:right w:val="single" w:sz="6" w:space="0" w:color="000000"/>
            </w:tcBorders>
            <w:vAlign w:val="center"/>
          </w:tcPr>
          <w:p w14:paraId="1457FBC0" w14:textId="77777777" w:rsidR="007D706A" w:rsidRDefault="007D706A" w:rsidP="00F70508">
            <w:pPr>
              <w:pStyle w:val="ParagraphStyle9"/>
              <w:rPr>
                <w:rStyle w:val="CharacterStyle9"/>
              </w:rPr>
            </w:pPr>
            <w:r>
              <w:rPr>
                <w:rStyle w:val="CharacterStyle9"/>
              </w:rPr>
              <w:t>4.000,00</w:t>
            </w:r>
          </w:p>
        </w:tc>
      </w:tr>
      <w:tr w:rsidR="007D706A" w14:paraId="06CAB20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6E0C3D0"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07C4F582"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2A0B21C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81B361F" w14:textId="77777777" w:rsidR="007D706A" w:rsidRDefault="007D706A" w:rsidP="00F70508">
            <w:pPr>
              <w:pStyle w:val="ParagraphStyle12"/>
              <w:rPr>
                <w:rStyle w:val="CharacterStyle12"/>
              </w:rPr>
            </w:pPr>
            <w:r>
              <w:rPr>
                <w:rStyle w:val="CharacterStyle12"/>
              </w:rPr>
              <w:t>4.000,00</w:t>
            </w:r>
          </w:p>
        </w:tc>
        <w:tc>
          <w:tcPr>
            <w:tcW w:w="1395" w:type="dxa"/>
            <w:tcBorders>
              <w:bottom w:val="single" w:sz="6" w:space="0" w:color="000000"/>
              <w:right w:val="single" w:sz="6" w:space="0" w:color="000000"/>
            </w:tcBorders>
            <w:vAlign w:val="center"/>
          </w:tcPr>
          <w:p w14:paraId="16F7F58B" w14:textId="77777777" w:rsidR="007D706A" w:rsidRDefault="007D706A" w:rsidP="00F70508">
            <w:pPr>
              <w:pStyle w:val="ParagraphStyle12"/>
              <w:rPr>
                <w:rStyle w:val="CharacterStyle12"/>
              </w:rPr>
            </w:pPr>
            <w:r>
              <w:rPr>
                <w:rStyle w:val="CharacterStyle12"/>
              </w:rPr>
              <w:t>4.000,00</w:t>
            </w:r>
          </w:p>
        </w:tc>
        <w:tc>
          <w:tcPr>
            <w:tcW w:w="1395" w:type="dxa"/>
            <w:tcBorders>
              <w:bottom w:val="single" w:sz="6" w:space="0" w:color="000000"/>
              <w:right w:val="single" w:sz="6" w:space="0" w:color="000000"/>
            </w:tcBorders>
            <w:vAlign w:val="center"/>
          </w:tcPr>
          <w:p w14:paraId="41938467" w14:textId="77777777" w:rsidR="007D706A" w:rsidRDefault="007D706A" w:rsidP="00F70508">
            <w:pPr>
              <w:pStyle w:val="ParagraphStyle12"/>
              <w:rPr>
                <w:rStyle w:val="CharacterStyle12"/>
              </w:rPr>
            </w:pPr>
            <w:r>
              <w:rPr>
                <w:rStyle w:val="CharacterStyle12"/>
              </w:rPr>
              <w:t>4.000,00</w:t>
            </w:r>
          </w:p>
        </w:tc>
        <w:tc>
          <w:tcPr>
            <w:tcW w:w="1395" w:type="dxa"/>
            <w:tcBorders>
              <w:bottom w:val="single" w:sz="6" w:space="0" w:color="000000"/>
              <w:right w:val="single" w:sz="6" w:space="0" w:color="000000"/>
            </w:tcBorders>
            <w:vAlign w:val="center"/>
          </w:tcPr>
          <w:p w14:paraId="534B3204" w14:textId="77777777" w:rsidR="007D706A" w:rsidRDefault="007D706A" w:rsidP="00F70508">
            <w:pPr>
              <w:pStyle w:val="ParagraphStyle12"/>
              <w:rPr>
                <w:rStyle w:val="CharacterStyle12"/>
              </w:rPr>
            </w:pPr>
            <w:r>
              <w:rPr>
                <w:rStyle w:val="CharacterStyle12"/>
              </w:rPr>
              <w:t>4.000,00</w:t>
            </w:r>
          </w:p>
        </w:tc>
      </w:tr>
      <w:tr w:rsidR="007D706A" w14:paraId="48C69E9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91D5419" w14:textId="77777777" w:rsidR="007D706A" w:rsidRDefault="007D706A" w:rsidP="00F70508">
            <w:pPr>
              <w:pStyle w:val="ParagraphStyle10"/>
              <w:rPr>
                <w:rStyle w:val="CharacterStyle10"/>
              </w:rPr>
            </w:pPr>
            <w:r>
              <w:rPr>
                <w:rStyle w:val="CharacterStyle10"/>
              </w:rPr>
              <w:t>38</w:t>
            </w:r>
          </w:p>
        </w:tc>
        <w:tc>
          <w:tcPr>
            <w:tcW w:w="4995" w:type="dxa"/>
            <w:tcBorders>
              <w:bottom w:val="single" w:sz="6" w:space="0" w:color="000000"/>
              <w:right w:val="single" w:sz="6" w:space="0" w:color="000000"/>
            </w:tcBorders>
            <w:vAlign w:val="center"/>
          </w:tcPr>
          <w:p w14:paraId="652FFF79" w14:textId="77777777" w:rsidR="007D706A" w:rsidRDefault="007D706A" w:rsidP="00F70508">
            <w:pPr>
              <w:pStyle w:val="ParagraphStyle11"/>
              <w:rPr>
                <w:rStyle w:val="CharacterStyle11"/>
              </w:rPr>
            </w:pPr>
            <w:r>
              <w:rPr>
                <w:rStyle w:val="CharacterStyle11"/>
              </w:rPr>
              <w:t>Rashodi za donacije, kazne, naknade šteta i kapitalne pomoći</w:t>
            </w:r>
          </w:p>
        </w:tc>
        <w:tc>
          <w:tcPr>
            <w:tcW w:w="1395" w:type="dxa"/>
            <w:tcBorders>
              <w:bottom w:val="single" w:sz="6" w:space="0" w:color="000000"/>
              <w:right w:val="single" w:sz="6" w:space="0" w:color="000000"/>
            </w:tcBorders>
            <w:vAlign w:val="center"/>
          </w:tcPr>
          <w:p w14:paraId="7D68AE3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3F0EF24" w14:textId="77777777" w:rsidR="007D706A" w:rsidRDefault="007D706A" w:rsidP="00F70508">
            <w:pPr>
              <w:pStyle w:val="ParagraphStyle12"/>
              <w:rPr>
                <w:rStyle w:val="CharacterStyle12"/>
              </w:rPr>
            </w:pPr>
            <w:r>
              <w:rPr>
                <w:rStyle w:val="CharacterStyle12"/>
              </w:rPr>
              <w:t>4.000,00</w:t>
            </w:r>
          </w:p>
        </w:tc>
        <w:tc>
          <w:tcPr>
            <w:tcW w:w="1395" w:type="dxa"/>
            <w:tcBorders>
              <w:bottom w:val="single" w:sz="6" w:space="0" w:color="000000"/>
              <w:right w:val="single" w:sz="6" w:space="0" w:color="000000"/>
            </w:tcBorders>
            <w:vAlign w:val="center"/>
          </w:tcPr>
          <w:p w14:paraId="3D130C86" w14:textId="77777777" w:rsidR="007D706A" w:rsidRDefault="007D706A" w:rsidP="00F70508">
            <w:pPr>
              <w:pStyle w:val="ParagraphStyle12"/>
              <w:rPr>
                <w:rStyle w:val="CharacterStyle12"/>
              </w:rPr>
            </w:pPr>
            <w:r>
              <w:rPr>
                <w:rStyle w:val="CharacterStyle12"/>
              </w:rPr>
              <w:t>4.000,00</w:t>
            </w:r>
          </w:p>
        </w:tc>
        <w:tc>
          <w:tcPr>
            <w:tcW w:w="1395" w:type="dxa"/>
            <w:tcBorders>
              <w:bottom w:val="single" w:sz="6" w:space="0" w:color="000000"/>
              <w:right w:val="single" w:sz="6" w:space="0" w:color="000000"/>
            </w:tcBorders>
            <w:vAlign w:val="center"/>
          </w:tcPr>
          <w:p w14:paraId="1ED43F5B" w14:textId="77777777" w:rsidR="007D706A" w:rsidRDefault="007D706A" w:rsidP="00F70508">
            <w:pPr>
              <w:pStyle w:val="ParagraphStyle12"/>
              <w:rPr>
                <w:rStyle w:val="CharacterStyle12"/>
              </w:rPr>
            </w:pPr>
            <w:r>
              <w:rPr>
                <w:rStyle w:val="CharacterStyle12"/>
              </w:rPr>
              <w:t>4.000,00</w:t>
            </w:r>
          </w:p>
        </w:tc>
        <w:tc>
          <w:tcPr>
            <w:tcW w:w="1395" w:type="dxa"/>
            <w:tcBorders>
              <w:bottom w:val="single" w:sz="6" w:space="0" w:color="000000"/>
              <w:right w:val="single" w:sz="6" w:space="0" w:color="000000"/>
            </w:tcBorders>
            <w:vAlign w:val="center"/>
          </w:tcPr>
          <w:p w14:paraId="4F8F5542" w14:textId="77777777" w:rsidR="007D706A" w:rsidRDefault="007D706A" w:rsidP="00F70508">
            <w:pPr>
              <w:pStyle w:val="ParagraphStyle12"/>
              <w:rPr>
                <w:rStyle w:val="CharacterStyle12"/>
              </w:rPr>
            </w:pPr>
            <w:r>
              <w:rPr>
                <w:rStyle w:val="CharacterStyle12"/>
              </w:rPr>
              <w:t>4.000,00</w:t>
            </w:r>
          </w:p>
        </w:tc>
      </w:tr>
      <w:tr w:rsidR="007D706A" w14:paraId="05874C7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6BEE9FD" w14:textId="77777777" w:rsidR="007D706A" w:rsidRDefault="007D706A" w:rsidP="00F70508">
            <w:pPr>
              <w:pStyle w:val="ParagraphStyle4"/>
              <w:rPr>
                <w:rStyle w:val="CharacterStyle4"/>
              </w:rPr>
            </w:pPr>
            <w:r>
              <w:rPr>
                <w:rStyle w:val="CharacterStyle4"/>
              </w:rPr>
              <w:t>PROGRAM    1039</w:t>
            </w:r>
          </w:p>
        </w:tc>
        <w:tc>
          <w:tcPr>
            <w:tcW w:w="4995" w:type="dxa"/>
            <w:tcBorders>
              <w:bottom w:val="single" w:sz="6" w:space="0" w:color="000000"/>
              <w:right w:val="single" w:sz="6" w:space="0" w:color="000000"/>
            </w:tcBorders>
            <w:vAlign w:val="center"/>
          </w:tcPr>
          <w:p w14:paraId="65234E4C" w14:textId="77777777" w:rsidR="007D706A" w:rsidRDefault="007D706A" w:rsidP="00F70508">
            <w:pPr>
              <w:pStyle w:val="ParagraphStyle5"/>
              <w:rPr>
                <w:rStyle w:val="CharacterStyle5"/>
              </w:rPr>
            </w:pPr>
            <w:r>
              <w:rPr>
                <w:rStyle w:val="CharacterStyle5"/>
              </w:rPr>
              <w:t>VATROGASTVO</w:t>
            </w:r>
          </w:p>
        </w:tc>
        <w:tc>
          <w:tcPr>
            <w:tcW w:w="1395" w:type="dxa"/>
            <w:tcBorders>
              <w:bottom w:val="single" w:sz="6" w:space="0" w:color="000000"/>
              <w:right w:val="single" w:sz="6" w:space="0" w:color="000000"/>
            </w:tcBorders>
            <w:vAlign w:val="center"/>
          </w:tcPr>
          <w:p w14:paraId="167FAD14"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3B1F8838" w14:textId="77777777" w:rsidR="007D706A" w:rsidRDefault="007D706A" w:rsidP="00F70508">
            <w:pPr>
              <w:pStyle w:val="ParagraphStyle6"/>
              <w:rPr>
                <w:rStyle w:val="CharacterStyle6"/>
              </w:rPr>
            </w:pPr>
            <w:r>
              <w:rPr>
                <w:rStyle w:val="CharacterStyle6"/>
              </w:rPr>
              <w:t>2.579.820,00</w:t>
            </w:r>
          </w:p>
        </w:tc>
        <w:tc>
          <w:tcPr>
            <w:tcW w:w="1395" w:type="dxa"/>
            <w:tcBorders>
              <w:bottom w:val="single" w:sz="6" w:space="0" w:color="000000"/>
              <w:right w:val="single" w:sz="6" w:space="0" w:color="000000"/>
            </w:tcBorders>
            <w:vAlign w:val="center"/>
          </w:tcPr>
          <w:p w14:paraId="43B9AFC6" w14:textId="77777777" w:rsidR="007D706A" w:rsidRDefault="007D706A" w:rsidP="00F70508">
            <w:pPr>
              <w:pStyle w:val="ParagraphStyle6"/>
              <w:rPr>
                <w:rStyle w:val="CharacterStyle6"/>
              </w:rPr>
            </w:pPr>
            <w:r>
              <w:rPr>
                <w:rStyle w:val="CharacterStyle6"/>
              </w:rPr>
              <w:t>2.619.039,13</w:t>
            </w:r>
          </w:p>
        </w:tc>
        <w:tc>
          <w:tcPr>
            <w:tcW w:w="1395" w:type="dxa"/>
            <w:tcBorders>
              <w:bottom w:val="single" w:sz="6" w:space="0" w:color="000000"/>
              <w:right w:val="single" w:sz="6" w:space="0" w:color="000000"/>
            </w:tcBorders>
            <w:vAlign w:val="center"/>
          </w:tcPr>
          <w:p w14:paraId="45991A31" w14:textId="77777777" w:rsidR="007D706A" w:rsidRDefault="007D706A" w:rsidP="00F70508">
            <w:pPr>
              <w:pStyle w:val="ParagraphStyle6"/>
              <w:rPr>
                <w:rStyle w:val="CharacterStyle6"/>
              </w:rPr>
            </w:pPr>
            <w:r>
              <w:rPr>
                <w:rStyle w:val="CharacterStyle6"/>
              </w:rPr>
              <w:t>2.708.777,37</w:t>
            </w:r>
          </w:p>
        </w:tc>
        <w:tc>
          <w:tcPr>
            <w:tcW w:w="1395" w:type="dxa"/>
            <w:tcBorders>
              <w:bottom w:val="single" w:sz="6" w:space="0" w:color="000000"/>
              <w:right w:val="single" w:sz="6" w:space="0" w:color="000000"/>
            </w:tcBorders>
            <w:vAlign w:val="center"/>
          </w:tcPr>
          <w:p w14:paraId="1D8EACC9" w14:textId="77777777" w:rsidR="007D706A" w:rsidRDefault="007D706A" w:rsidP="00F70508">
            <w:pPr>
              <w:pStyle w:val="ParagraphStyle6"/>
              <w:rPr>
                <w:rStyle w:val="CharacterStyle6"/>
              </w:rPr>
            </w:pPr>
            <w:r>
              <w:rPr>
                <w:rStyle w:val="CharacterStyle6"/>
              </w:rPr>
              <w:t>2.733.376,37</w:t>
            </w:r>
          </w:p>
        </w:tc>
      </w:tr>
      <w:tr w:rsidR="007D706A" w14:paraId="35A6355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28D934D" w14:textId="77777777" w:rsidR="007D706A" w:rsidRDefault="007D706A" w:rsidP="00F70508">
            <w:pPr>
              <w:pStyle w:val="ParagraphStyle4"/>
              <w:rPr>
                <w:rStyle w:val="CharacterStyle4"/>
              </w:rPr>
            </w:pPr>
            <w:r>
              <w:rPr>
                <w:rStyle w:val="CharacterStyle4"/>
              </w:rPr>
              <w:t>Aktivnost A103901</w:t>
            </w:r>
          </w:p>
        </w:tc>
        <w:tc>
          <w:tcPr>
            <w:tcW w:w="4995" w:type="dxa"/>
            <w:tcBorders>
              <w:bottom w:val="single" w:sz="6" w:space="0" w:color="000000"/>
              <w:right w:val="single" w:sz="6" w:space="0" w:color="000000"/>
            </w:tcBorders>
            <w:vAlign w:val="center"/>
          </w:tcPr>
          <w:p w14:paraId="7C58C68A" w14:textId="77777777" w:rsidR="007D706A" w:rsidRDefault="007D706A" w:rsidP="00F70508">
            <w:pPr>
              <w:pStyle w:val="ParagraphStyle5"/>
              <w:rPr>
                <w:rStyle w:val="CharacterStyle5"/>
              </w:rPr>
            </w:pPr>
            <w:r>
              <w:rPr>
                <w:rStyle w:val="CharacterStyle5"/>
              </w:rPr>
              <w:t>SUFINANCIRANJE PODRUČNE VATROGASNE ZAJEDNICE</w:t>
            </w:r>
          </w:p>
        </w:tc>
        <w:tc>
          <w:tcPr>
            <w:tcW w:w="1395" w:type="dxa"/>
            <w:tcBorders>
              <w:bottom w:val="single" w:sz="6" w:space="0" w:color="000000"/>
              <w:right w:val="single" w:sz="6" w:space="0" w:color="000000"/>
            </w:tcBorders>
            <w:vAlign w:val="center"/>
          </w:tcPr>
          <w:p w14:paraId="74C5869A"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58C9C67E" w14:textId="77777777" w:rsidR="007D706A" w:rsidRDefault="007D706A" w:rsidP="00F70508">
            <w:pPr>
              <w:pStyle w:val="ParagraphStyle6"/>
              <w:rPr>
                <w:rStyle w:val="CharacterStyle6"/>
              </w:rPr>
            </w:pPr>
            <w:r>
              <w:rPr>
                <w:rStyle w:val="CharacterStyle6"/>
              </w:rPr>
              <w:t>309.500,00</w:t>
            </w:r>
          </w:p>
        </w:tc>
        <w:tc>
          <w:tcPr>
            <w:tcW w:w="1395" w:type="dxa"/>
            <w:tcBorders>
              <w:bottom w:val="single" w:sz="6" w:space="0" w:color="000000"/>
              <w:right w:val="single" w:sz="6" w:space="0" w:color="000000"/>
            </w:tcBorders>
            <w:vAlign w:val="center"/>
          </w:tcPr>
          <w:p w14:paraId="4FD0B60D" w14:textId="77777777" w:rsidR="007D706A" w:rsidRDefault="007D706A" w:rsidP="00F70508">
            <w:pPr>
              <w:pStyle w:val="ParagraphStyle6"/>
              <w:rPr>
                <w:rStyle w:val="CharacterStyle6"/>
              </w:rPr>
            </w:pPr>
            <w:r>
              <w:rPr>
                <w:rStyle w:val="CharacterStyle6"/>
              </w:rPr>
              <w:t>238.000,00</w:t>
            </w:r>
          </w:p>
        </w:tc>
        <w:tc>
          <w:tcPr>
            <w:tcW w:w="1395" w:type="dxa"/>
            <w:tcBorders>
              <w:bottom w:val="single" w:sz="6" w:space="0" w:color="000000"/>
              <w:right w:val="single" w:sz="6" w:space="0" w:color="000000"/>
            </w:tcBorders>
            <w:vAlign w:val="center"/>
          </w:tcPr>
          <w:p w14:paraId="14E4E83E" w14:textId="77777777" w:rsidR="007D706A" w:rsidRDefault="007D706A" w:rsidP="00F70508">
            <w:pPr>
              <w:pStyle w:val="ParagraphStyle6"/>
              <w:rPr>
                <w:rStyle w:val="CharacterStyle6"/>
              </w:rPr>
            </w:pPr>
            <w:r>
              <w:rPr>
                <w:rStyle w:val="CharacterStyle6"/>
              </w:rPr>
              <w:t>280.000,00</w:t>
            </w:r>
          </w:p>
        </w:tc>
        <w:tc>
          <w:tcPr>
            <w:tcW w:w="1395" w:type="dxa"/>
            <w:tcBorders>
              <w:bottom w:val="single" w:sz="6" w:space="0" w:color="000000"/>
              <w:right w:val="single" w:sz="6" w:space="0" w:color="000000"/>
            </w:tcBorders>
            <w:vAlign w:val="center"/>
          </w:tcPr>
          <w:p w14:paraId="2CAE4BFF" w14:textId="77777777" w:rsidR="007D706A" w:rsidRDefault="007D706A" w:rsidP="00F70508">
            <w:pPr>
              <w:pStyle w:val="ParagraphStyle6"/>
              <w:rPr>
                <w:rStyle w:val="CharacterStyle6"/>
              </w:rPr>
            </w:pPr>
            <w:r>
              <w:rPr>
                <w:rStyle w:val="CharacterStyle6"/>
              </w:rPr>
              <w:t>280.000,00</w:t>
            </w:r>
          </w:p>
        </w:tc>
      </w:tr>
      <w:tr w:rsidR="007D706A" w14:paraId="2F7668B6"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4589A20"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161DA9D3"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0B08C239"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A0FAB85" w14:textId="77777777" w:rsidR="007D706A" w:rsidRDefault="007D706A" w:rsidP="00F70508">
            <w:pPr>
              <w:pStyle w:val="ParagraphStyle9"/>
              <w:rPr>
                <w:rStyle w:val="CharacterStyle9"/>
              </w:rPr>
            </w:pPr>
            <w:r>
              <w:rPr>
                <w:rStyle w:val="CharacterStyle9"/>
              </w:rPr>
              <w:t>309.500,00</w:t>
            </w:r>
          </w:p>
        </w:tc>
        <w:tc>
          <w:tcPr>
            <w:tcW w:w="1395" w:type="dxa"/>
            <w:tcBorders>
              <w:bottom w:val="single" w:sz="6" w:space="0" w:color="000000"/>
              <w:right w:val="single" w:sz="6" w:space="0" w:color="000000"/>
            </w:tcBorders>
            <w:vAlign w:val="center"/>
          </w:tcPr>
          <w:p w14:paraId="7633EA99" w14:textId="77777777" w:rsidR="007D706A" w:rsidRDefault="007D706A" w:rsidP="00F70508">
            <w:pPr>
              <w:pStyle w:val="ParagraphStyle9"/>
              <w:rPr>
                <w:rStyle w:val="CharacterStyle9"/>
              </w:rPr>
            </w:pPr>
            <w:r>
              <w:rPr>
                <w:rStyle w:val="CharacterStyle9"/>
              </w:rPr>
              <w:t>238.000,00</w:t>
            </w:r>
          </w:p>
        </w:tc>
        <w:tc>
          <w:tcPr>
            <w:tcW w:w="1395" w:type="dxa"/>
            <w:tcBorders>
              <w:bottom w:val="single" w:sz="6" w:space="0" w:color="000000"/>
              <w:right w:val="single" w:sz="6" w:space="0" w:color="000000"/>
            </w:tcBorders>
            <w:vAlign w:val="center"/>
          </w:tcPr>
          <w:p w14:paraId="40BBF541" w14:textId="77777777" w:rsidR="007D706A" w:rsidRDefault="007D706A" w:rsidP="00F70508">
            <w:pPr>
              <w:pStyle w:val="ParagraphStyle9"/>
              <w:rPr>
                <w:rStyle w:val="CharacterStyle9"/>
              </w:rPr>
            </w:pPr>
            <w:r>
              <w:rPr>
                <w:rStyle w:val="CharacterStyle9"/>
              </w:rPr>
              <w:t>280.000,00</w:t>
            </w:r>
          </w:p>
        </w:tc>
        <w:tc>
          <w:tcPr>
            <w:tcW w:w="1395" w:type="dxa"/>
            <w:tcBorders>
              <w:bottom w:val="single" w:sz="6" w:space="0" w:color="000000"/>
              <w:right w:val="single" w:sz="6" w:space="0" w:color="000000"/>
            </w:tcBorders>
            <w:vAlign w:val="center"/>
          </w:tcPr>
          <w:p w14:paraId="05BC9A41" w14:textId="77777777" w:rsidR="007D706A" w:rsidRDefault="007D706A" w:rsidP="00F70508">
            <w:pPr>
              <w:pStyle w:val="ParagraphStyle9"/>
              <w:rPr>
                <w:rStyle w:val="CharacterStyle9"/>
              </w:rPr>
            </w:pPr>
            <w:r>
              <w:rPr>
                <w:rStyle w:val="CharacterStyle9"/>
              </w:rPr>
              <w:t>280.000,00</w:t>
            </w:r>
          </w:p>
        </w:tc>
      </w:tr>
      <w:tr w:rsidR="007D706A" w14:paraId="10E9712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C9BD153"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30BA5ABC"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7837A24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9588E27" w14:textId="77777777" w:rsidR="007D706A" w:rsidRDefault="007D706A" w:rsidP="00F70508">
            <w:pPr>
              <w:pStyle w:val="ParagraphStyle12"/>
              <w:rPr>
                <w:rStyle w:val="CharacterStyle12"/>
              </w:rPr>
            </w:pPr>
            <w:r>
              <w:rPr>
                <w:rStyle w:val="CharacterStyle12"/>
              </w:rPr>
              <w:t>309.500,00</w:t>
            </w:r>
          </w:p>
        </w:tc>
        <w:tc>
          <w:tcPr>
            <w:tcW w:w="1395" w:type="dxa"/>
            <w:tcBorders>
              <w:bottom w:val="single" w:sz="6" w:space="0" w:color="000000"/>
              <w:right w:val="single" w:sz="6" w:space="0" w:color="000000"/>
            </w:tcBorders>
            <w:vAlign w:val="center"/>
          </w:tcPr>
          <w:p w14:paraId="25522F6F" w14:textId="77777777" w:rsidR="007D706A" w:rsidRDefault="007D706A" w:rsidP="00F70508">
            <w:pPr>
              <w:pStyle w:val="ParagraphStyle12"/>
              <w:rPr>
                <w:rStyle w:val="CharacterStyle12"/>
              </w:rPr>
            </w:pPr>
            <w:r>
              <w:rPr>
                <w:rStyle w:val="CharacterStyle12"/>
              </w:rPr>
              <w:t>238.000,00</w:t>
            </w:r>
          </w:p>
        </w:tc>
        <w:tc>
          <w:tcPr>
            <w:tcW w:w="1395" w:type="dxa"/>
            <w:tcBorders>
              <w:bottom w:val="single" w:sz="6" w:space="0" w:color="000000"/>
              <w:right w:val="single" w:sz="6" w:space="0" w:color="000000"/>
            </w:tcBorders>
            <w:vAlign w:val="center"/>
          </w:tcPr>
          <w:p w14:paraId="5CF270D1" w14:textId="77777777" w:rsidR="007D706A" w:rsidRDefault="007D706A" w:rsidP="00F70508">
            <w:pPr>
              <w:pStyle w:val="ParagraphStyle12"/>
              <w:rPr>
                <w:rStyle w:val="CharacterStyle12"/>
              </w:rPr>
            </w:pPr>
            <w:r>
              <w:rPr>
                <w:rStyle w:val="CharacterStyle12"/>
              </w:rPr>
              <w:t>280.000,00</w:t>
            </w:r>
          </w:p>
        </w:tc>
        <w:tc>
          <w:tcPr>
            <w:tcW w:w="1395" w:type="dxa"/>
            <w:tcBorders>
              <w:bottom w:val="single" w:sz="6" w:space="0" w:color="000000"/>
              <w:right w:val="single" w:sz="6" w:space="0" w:color="000000"/>
            </w:tcBorders>
            <w:vAlign w:val="center"/>
          </w:tcPr>
          <w:p w14:paraId="5BDEE44E" w14:textId="77777777" w:rsidR="007D706A" w:rsidRDefault="007D706A" w:rsidP="00F70508">
            <w:pPr>
              <w:pStyle w:val="ParagraphStyle12"/>
              <w:rPr>
                <w:rStyle w:val="CharacterStyle12"/>
              </w:rPr>
            </w:pPr>
            <w:r>
              <w:rPr>
                <w:rStyle w:val="CharacterStyle12"/>
              </w:rPr>
              <w:t>280.000,00</w:t>
            </w:r>
          </w:p>
        </w:tc>
      </w:tr>
      <w:tr w:rsidR="007D706A" w14:paraId="2AFF7B7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6A5F54C" w14:textId="77777777" w:rsidR="007D706A" w:rsidRDefault="007D706A" w:rsidP="00F70508">
            <w:pPr>
              <w:pStyle w:val="ParagraphStyle10"/>
              <w:rPr>
                <w:rStyle w:val="CharacterStyle10"/>
              </w:rPr>
            </w:pPr>
            <w:r>
              <w:rPr>
                <w:rStyle w:val="CharacterStyle10"/>
              </w:rPr>
              <w:t>38</w:t>
            </w:r>
          </w:p>
        </w:tc>
        <w:tc>
          <w:tcPr>
            <w:tcW w:w="4995" w:type="dxa"/>
            <w:tcBorders>
              <w:bottom w:val="single" w:sz="6" w:space="0" w:color="000000"/>
              <w:right w:val="single" w:sz="6" w:space="0" w:color="000000"/>
            </w:tcBorders>
            <w:vAlign w:val="center"/>
          </w:tcPr>
          <w:p w14:paraId="07C05D8C" w14:textId="77777777" w:rsidR="007D706A" w:rsidRDefault="007D706A" w:rsidP="00F70508">
            <w:pPr>
              <w:pStyle w:val="ParagraphStyle11"/>
              <w:rPr>
                <w:rStyle w:val="CharacterStyle11"/>
              </w:rPr>
            </w:pPr>
            <w:r>
              <w:rPr>
                <w:rStyle w:val="CharacterStyle11"/>
              </w:rPr>
              <w:t>Rashodi za donacije, kazne, naknade šteta i kapitalne pomoći</w:t>
            </w:r>
          </w:p>
        </w:tc>
        <w:tc>
          <w:tcPr>
            <w:tcW w:w="1395" w:type="dxa"/>
            <w:tcBorders>
              <w:bottom w:val="single" w:sz="6" w:space="0" w:color="000000"/>
              <w:right w:val="single" w:sz="6" w:space="0" w:color="000000"/>
            </w:tcBorders>
            <w:vAlign w:val="center"/>
          </w:tcPr>
          <w:p w14:paraId="79D17DC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4D324CA" w14:textId="77777777" w:rsidR="007D706A" w:rsidRDefault="007D706A" w:rsidP="00F70508">
            <w:pPr>
              <w:pStyle w:val="ParagraphStyle12"/>
              <w:rPr>
                <w:rStyle w:val="CharacterStyle12"/>
              </w:rPr>
            </w:pPr>
            <w:r>
              <w:rPr>
                <w:rStyle w:val="CharacterStyle12"/>
              </w:rPr>
              <w:t>309.500,00</w:t>
            </w:r>
          </w:p>
        </w:tc>
        <w:tc>
          <w:tcPr>
            <w:tcW w:w="1395" w:type="dxa"/>
            <w:tcBorders>
              <w:bottom w:val="single" w:sz="6" w:space="0" w:color="000000"/>
              <w:right w:val="single" w:sz="6" w:space="0" w:color="000000"/>
            </w:tcBorders>
            <w:vAlign w:val="center"/>
          </w:tcPr>
          <w:p w14:paraId="63374FFE" w14:textId="77777777" w:rsidR="007D706A" w:rsidRDefault="007D706A" w:rsidP="00F70508">
            <w:pPr>
              <w:pStyle w:val="ParagraphStyle12"/>
              <w:rPr>
                <w:rStyle w:val="CharacterStyle12"/>
              </w:rPr>
            </w:pPr>
            <w:r>
              <w:rPr>
                <w:rStyle w:val="CharacterStyle12"/>
              </w:rPr>
              <w:t>238.000,00</w:t>
            </w:r>
          </w:p>
        </w:tc>
        <w:tc>
          <w:tcPr>
            <w:tcW w:w="1395" w:type="dxa"/>
            <w:tcBorders>
              <w:bottom w:val="single" w:sz="6" w:space="0" w:color="000000"/>
              <w:right w:val="single" w:sz="6" w:space="0" w:color="000000"/>
            </w:tcBorders>
            <w:vAlign w:val="center"/>
          </w:tcPr>
          <w:p w14:paraId="5C04B1CB" w14:textId="77777777" w:rsidR="007D706A" w:rsidRDefault="007D706A" w:rsidP="00F70508">
            <w:pPr>
              <w:pStyle w:val="ParagraphStyle12"/>
              <w:rPr>
                <w:rStyle w:val="CharacterStyle12"/>
              </w:rPr>
            </w:pPr>
            <w:r>
              <w:rPr>
                <w:rStyle w:val="CharacterStyle12"/>
              </w:rPr>
              <w:t>280.000,00</w:t>
            </w:r>
          </w:p>
        </w:tc>
        <w:tc>
          <w:tcPr>
            <w:tcW w:w="1395" w:type="dxa"/>
            <w:tcBorders>
              <w:bottom w:val="single" w:sz="6" w:space="0" w:color="000000"/>
              <w:right w:val="single" w:sz="6" w:space="0" w:color="000000"/>
            </w:tcBorders>
            <w:vAlign w:val="center"/>
          </w:tcPr>
          <w:p w14:paraId="3B258F84" w14:textId="77777777" w:rsidR="007D706A" w:rsidRDefault="007D706A" w:rsidP="00F70508">
            <w:pPr>
              <w:pStyle w:val="ParagraphStyle12"/>
              <w:rPr>
                <w:rStyle w:val="CharacterStyle12"/>
              </w:rPr>
            </w:pPr>
            <w:r>
              <w:rPr>
                <w:rStyle w:val="CharacterStyle12"/>
              </w:rPr>
              <w:t>280.000,00</w:t>
            </w:r>
          </w:p>
        </w:tc>
      </w:tr>
      <w:tr w:rsidR="007D706A" w14:paraId="4341184C" w14:textId="77777777" w:rsidTr="00F70508">
        <w:trPr>
          <w:trHeight w:val="405"/>
        </w:trPr>
        <w:tc>
          <w:tcPr>
            <w:tcW w:w="2880" w:type="dxa"/>
            <w:tcBorders>
              <w:left w:val="single" w:sz="6" w:space="0" w:color="000000"/>
              <w:bottom w:val="single" w:sz="6" w:space="0" w:color="000000"/>
              <w:right w:val="single" w:sz="6" w:space="0" w:color="000000"/>
            </w:tcBorders>
            <w:vAlign w:val="center"/>
          </w:tcPr>
          <w:p w14:paraId="26306D22" w14:textId="77777777" w:rsidR="007D706A" w:rsidRDefault="007D706A" w:rsidP="00F70508">
            <w:pPr>
              <w:pStyle w:val="ParagraphStyle4"/>
              <w:rPr>
                <w:rStyle w:val="CharacterStyle4"/>
              </w:rPr>
            </w:pPr>
            <w:r>
              <w:rPr>
                <w:rStyle w:val="CharacterStyle4"/>
              </w:rPr>
              <w:t>Aktivnost A103902</w:t>
            </w:r>
          </w:p>
        </w:tc>
        <w:tc>
          <w:tcPr>
            <w:tcW w:w="4995" w:type="dxa"/>
            <w:tcBorders>
              <w:bottom w:val="single" w:sz="6" w:space="0" w:color="000000"/>
              <w:right w:val="single" w:sz="6" w:space="0" w:color="000000"/>
            </w:tcBorders>
            <w:vAlign w:val="center"/>
          </w:tcPr>
          <w:p w14:paraId="2AD77038" w14:textId="77777777" w:rsidR="007D706A" w:rsidRDefault="007D706A" w:rsidP="00F70508">
            <w:pPr>
              <w:pStyle w:val="ParagraphStyle5"/>
              <w:rPr>
                <w:rStyle w:val="CharacterStyle5"/>
              </w:rPr>
            </w:pPr>
            <w:r>
              <w:rPr>
                <w:rStyle w:val="CharacterStyle5"/>
              </w:rPr>
              <w:t>DECENTRALIZIRANE FUNKCIJE PROTUPOŽARNE ZAŠTITE - OPĆINE</w:t>
            </w:r>
          </w:p>
        </w:tc>
        <w:tc>
          <w:tcPr>
            <w:tcW w:w="1395" w:type="dxa"/>
            <w:tcBorders>
              <w:bottom w:val="single" w:sz="6" w:space="0" w:color="000000"/>
              <w:right w:val="single" w:sz="6" w:space="0" w:color="000000"/>
            </w:tcBorders>
            <w:vAlign w:val="center"/>
          </w:tcPr>
          <w:p w14:paraId="25F8D708"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565E1AB5" w14:textId="77777777" w:rsidR="007D706A" w:rsidRDefault="007D706A" w:rsidP="00F70508">
            <w:pPr>
              <w:pStyle w:val="ParagraphStyle6"/>
              <w:rPr>
                <w:rStyle w:val="CharacterStyle6"/>
              </w:rPr>
            </w:pPr>
            <w:r>
              <w:rPr>
                <w:rStyle w:val="CharacterStyle6"/>
              </w:rPr>
              <w:t>105.706,00</w:t>
            </w:r>
          </w:p>
        </w:tc>
        <w:tc>
          <w:tcPr>
            <w:tcW w:w="1395" w:type="dxa"/>
            <w:tcBorders>
              <w:bottom w:val="single" w:sz="6" w:space="0" w:color="000000"/>
              <w:right w:val="single" w:sz="6" w:space="0" w:color="000000"/>
            </w:tcBorders>
            <w:vAlign w:val="center"/>
          </w:tcPr>
          <w:p w14:paraId="7333728F" w14:textId="77777777" w:rsidR="007D706A" w:rsidRDefault="007D706A" w:rsidP="00F70508">
            <w:pPr>
              <w:pStyle w:val="ParagraphStyle6"/>
              <w:rPr>
                <w:rStyle w:val="CharacterStyle6"/>
              </w:rPr>
            </w:pPr>
            <w:r>
              <w:rPr>
                <w:rStyle w:val="CharacterStyle6"/>
              </w:rPr>
              <w:t>116.333,52</w:t>
            </w:r>
          </w:p>
        </w:tc>
        <w:tc>
          <w:tcPr>
            <w:tcW w:w="1395" w:type="dxa"/>
            <w:tcBorders>
              <w:bottom w:val="single" w:sz="6" w:space="0" w:color="000000"/>
              <w:right w:val="single" w:sz="6" w:space="0" w:color="000000"/>
            </w:tcBorders>
            <w:vAlign w:val="center"/>
          </w:tcPr>
          <w:p w14:paraId="17BECBDE" w14:textId="77777777" w:rsidR="007D706A" w:rsidRDefault="007D706A" w:rsidP="00F70508">
            <w:pPr>
              <w:pStyle w:val="ParagraphStyle6"/>
              <w:rPr>
                <w:rStyle w:val="CharacterStyle6"/>
              </w:rPr>
            </w:pPr>
            <w:r>
              <w:rPr>
                <w:rStyle w:val="CharacterStyle6"/>
              </w:rPr>
              <w:t>119.823,52</w:t>
            </w:r>
          </w:p>
        </w:tc>
        <w:tc>
          <w:tcPr>
            <w:tcW w:w="1395" w:type="dxa"/>
            <w:tcBorders>
              <w:bottom w:val="single" w:sz="6" w:space="0" w:color="000000"/>
              <w:right w:val="single" w:sz="6" w:space="0" w:color="000000"/>
            </w:tcBorders>
            <w:vAlign w:val="center"/>
          </w:tcPr>
          <w:p w14:paraId="0D9FB721" w14:textId="77777777" w:rsidR="007D706A" w:rsidRDefault="007D706A" w:rsidP="00F70508">
            <w:pPr>
              <w:pStyle w:val="ParagraphStyle6"/>
              <w:rPr>
                <w:rStyle w:val="CharacterStyle6"/>
              </w:rPr>
            </w:pPr>
            <w:r>
              <w:rPr>
                <w:rStyle w:val="CharacterStyle6"/>
              </w:rPr>
              <w:t>119.823,52</w:t>
            </w:r>
          </w:p>
        </w:tc>
      </w:tr>
      <w:tr w:rsidR="007D706A" w14:paraId="06CE5FC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34DF500"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50BCCF39"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7666AFD2"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C73FDA1"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8D5EA85" w14:textId="77777777" w:rsidR="007D706A" w:rsidRDefault="007D706A" w:rsidP="00F70508">
            <w:pPr>
              <w:pStyle w:val="ParagraphStyle9"/>
              <w:rPr>
                <w:rStyle w:val="CharacterStyle9"/>
              </w:rPr>
            </w:pPr>
            <w:r>
              <w:rPr>
                <w:rStyle w:val="CharacterStyle9"/>
              </w:rPr>
              <w:t>81.205,18</w:t>
            </w:r>
          </w:p>
        </w:tc>
        <w:tc>
          <w:tcPr>
            <w:tcW w:w="1395" w:type="dxa"/>
            <w:tcBorders>
              <w:bottom w:val="single" w:sz="6" w:space="0" w:color="000000"/>
              <w:right w:val="single" w:sz="6" w:space="0" w:color="000000"/>
            </w:tcBorders>
            <w:vAlign w:val="center"/>
          </w:tcPr>
          <w:p w14:paraId="7192D2C5" w14:textId="77777777" w:rsidR="007D706A" w:rsidRDefault="007D706A" w:rsidP="00F70508">
            <w:pPr>
              <w:pStyle w:val="ParagraphStyle9"/>
              <w:rPr>
                <w:rStyle w:val="CharacterStyle9"/>
              </w:rPr>
            </w:pPr>
            <w:r>
              <w:rPr>
                <w:rStyle w:val="CharacterStyle9"/>
              </w:rPr>
              <w:t>83.641,33</w:t>
            </w:r>
          </w:p>
        </w:tc>
        <w:tc>
          <w:tcPr>
            <w:tcW w:w="1395" w:type="dxa"/>
            <w:tcBorders>
              <w:bottom w:val="single" w:sz="6" w:space="0" w:color="000000"/>
              <w:right w:val="single" w:sz="6" w:space="0" w:color="000000"/>
            </w:tcBorders>
            <w:vAlign w:val="center"/>
          </w:tcPr>
          <w:p w14:paraId="28ACC355" w14:textId="77777777" w:rsidR="007D706A" w:rsidRDefault="007D706A" w:rsidP="00F70508">
            <w:pPr>
              <w:pStyle w:val="ParagraphStyle9"/>
              <w:rPr>
                <w:rStyle w:val="CharacterStyle9"/>
              </w:rPr>
            </w:pPr>
            <w:r>
              <w:rPr>
                <w:rStyle w:val="CharacterStyle9"/>
              </w:rPr>
              <w:t>83.641,33</w:t>
            </w:r>
          </w:p>
        </w:tc>
      </w:tr>
      <w:tr w:rsidR="007D706A" w14:paraId="1BECEE9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63D5592"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6A089AAD"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6722DA7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F246F4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3CE0BBF" w14:textId="77777777" w:rsidR="007D706A" w:rsidRDefault="007D706A" w:rsidP="00F70508">
            <w:pPr>
              <w:pStyle w:val="ParagraphStyle12"/>
              <w:rPr>
                <w:rStyle w:val="CharacterStyle12"/>
              </w:rPr>
            </w:pPr>
            <w:r>
              <w:rPr>
                <w:rStyle w:val="CharacterStyle12"/>
              </w:rPr>
              <w:t>81.205,18</w:t>
            </w:r>
          </w:p>
        </w:tc>
        <w:tc>
          <w:tcPr>
            <w:tcW w:w="1395" w:type="dxa"/>
            <w:tcBorders>
              <w:bottom w:val="single" w:sz="6" w:space="0" w:color="000000"/>
              <w:right w:val="single" w:sz="6" w:space="0" w:color="000000"/>
            </w:tcBorders>
            <w:vAlign w:val="center"/>
          </w:tcPr>
          <w:p w14:paraId="42A5A27C" w14:textId="77777777" w:rsidR="007D706A" w:rsidRDefault="007D706A" w:rsidP="00F70508">
            <w:pPr>
              <w:pStyle w:val="ParagraphStyle12"/>
              <w:rPr>
                <w:rStyle w:val="CharacterStyle12"/>
              </w:rPr>
            </w:pPr>
            <w:r>
              <w:rPr>
                <w:rStyle w:val="CharacterStyle12"/>
              </w:rPr>
              <w:t>83.641,33</w:t>
            </w:r>
          </w:p>
        </w:tc>
        <w:tc>
          <w:tcPr>
            <w:tcW w:w="1395" w:type="dxa"/>
            <w:tcBorders>
              <w:bottom w:val="single" w:sz="6" w:space="0" w:color="000000"/>
              <w:right w:val="single" w:sz="6" w:space="0" w:color="000000"/>
            </w:tcBorders>
            <w:vAlign w:val="center"/>
          </w:tcPr>
          <w:p w14:paraId="675751E0" w14:textId="77777777" w:rsidR="007D706A" w:rsidRDefault="007D706A" w:rsidP="00F70508">
            <w:pPr>
              <w:pStyle w:val="ParagraphStyle12"/>
              <w:rPr>
                <w:rStyle w:val="CharacterStyle12"/>
              </w:rPr>
            </w:pPr>
            <w:r>
              <w:rPr>
                <w:rStyle w:val="CharacterStyle12"/>
              </w:rPr>
              <w:t>83.641,33</w:t>
            </w:r>
          </w:p>
        </w:tc>
      </w:tr>
      <w:tr w:rsidR="007D706A" w14:paraId="1D0C8C9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B8B00FB" w14:textId="77777777" w:rsidR="007D706A" w:rsidRDefault="007D706A" w:rsidP="00F70508">
            <w:pPr>
              <w:pStyle w:val="ParagraphStyle10"/>
              <w:rPr>
                <w:rStyle w:val="CharacterStyle10"/>
              </w:rPr>
            </w:pPr>
            <w:r>
              <w:rPr>
                <w:rStyle w:val="CharacterStyle10"/>
              </w:rPr>
              <w:t>31</w:t>
            </w:r>
          </w:p>
        </w:tc>
        <w:tc>
          <w:tcPr>
            <w:tcW w:w="4995" w:type="dxa"/>
            <w:tcBorders>
              <w:bottom w:val="single" w:sz="6" w:space="0" w:color="000000"/>
              <w:right w:val="single" w:sz="6" w:space="0" w:color="000000"/>
            </w:tcBorders>
            <w:vAlign w:val="center"/>
          </w:tcPr>
          <w:p w14:paraId="4EB1985D" w14:textId="77777777" w:rsidR="007D706A" w:rsidRDefault="007D706A" w:rsidP="00F70508">
            <w:pPr>
              <w:pStyle w:val="ParagraphStyle11"/>
              <w:rPr>
                <w:rStyle w:val="CharacterStyle11"/>
              </w:rPr>
            </w:pPr>
            <w:r>
              <w:rPr>
                <w:rStyle w:val="CharacterStyle11"/>
              </w:rPr>
              <w:t>Rashodi za zaposlene</w:t>
            </w:r>
          </w:p>
        </w:tc>
        <w:tc>
          <w:tcPr>
            <w:tcW w:w="1395" w:type="dxa"/>
            <w:tcBorders>
              <w:bottom w:val="single" w:sz="6" w:space="0" w:color="000000"/>
              <w:right w:val="single" w:sz="6" w:space="0" w:color="000000"/>
            </w:tcBorders>
            <w:vAlign w:val="center"/>
          </w:tcPr>
          <w:p w14:paraId="0E2F194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FEA7FE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23AA8F3" w14:textId="77777777" w:rsidR="007D706A" w:rsidRDefault="007D706A" w:rsidP="00F70508">
            <w:pPr>
              <w:pStyle w:val="ParagraphStyle12"/>
              <w:rPr>
                <w:rStyle w:val="CharacterStyle12"/>
              </w:rPr>
            </w:pPr>
            <w:r>
              <w:rPr>
                <w:rStyle w:val="CharacterStyle12"/>
              </w:rPr>
              <w:t>81.205,18</w:t>
            </w:r>
          </w:p>
        </w:tc>
        <w:tc>
          <w:tcPr>
            <w:tcW w:w="1395" w:type="dxa"/>
            <w:tcBorders>
              <w:bottom w:val="single" w:sz="6" w:space="0" w:color="000000"/>
              <w:right w:val="single" w:sz="6" w:space="0" w:color="000000"/>
            </w:tcBorders>
            <w:vAlign w:val="center"/>
          </w:tcPr>
          <w:p w14:paraId="3F7043CD" w14:textId="77777777" w:rsidR="007D706A" w:rsidRDefault="007D706A" w:rsidP="00F70508">
            <w:pPr>
              <w:pStyle w:val="ParagraphStyle12"/>
              <w:rPr>
                <w:rStyle w:val="CharacterStyle12"/>
              </w:rPr>
            </w:pPr>
            <w:r>
              <w:rPr>
                <w:rStyle w:val="CharacterStyle12"/>
              </w:rPr>
              <w:t>83.641,33</w:t>
            </w:r>
          </w:p>
        </w:tc>
        <w:tc>
          <w:tcPr>
            <w:tcW w:w="1395" w:type="dxa"/>
            <w:tcBorders>
              <w:bottom w:val="single" w:sz="6" w:space="0" w:color="000000"/>
              <w:right w:val="single" w:sz="6" w:space="0" w:color="000000"/>
            </w:tcBorders>
            <w:vAlign w:val="center"/>
          </w:tcPr>
          <w:p w14:paraId="50E5DAED" w14:textId="77777777" w:rsidR="007D706A" w:rsidRDefault="007D706A" w:rsidP="00F70508">
            <w:pPr>
              <w:pStyle w:val="ParagraphStyle12"/>
              <w:rPr>
                <w:rStyle w:val="CharacterStyle12"/>
              </w:rPr>
            </w:pPr>
            <w:r>
              <w:rPr>
                <w:rStyle w:val="CharacterStyle12"/>
              </w:rPr>
              <w:t>83.641,33</w:t>
            </w:r>
          </w:p>
        </w:tc>
      </w:tr>
      <w:tr w:rsidR="007D706A" w14:paraId="1E7F6576"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57961AF" w14:textId="77777777" w:rsidR="007D706A" w:rsidRDefault="007D706A" w:rsidP="00F70508">
            <w:pPr>
              <w:pStyle w:val="ParagraphStyle7"/>
              <w:rPr>
                <w:rStyle w:val="CharacterStyle7"/>
              </w:rPr>
            </w:pPr>
            <w:r>
              <w:rPr>
                <w:rStyle w:val="CharacterStyle7"/>
              </w:rPr>
              <w:t>Izvor financiranja 50</w:t>
            </w:r>
          </w:p>
        </w:tc>
        <w:tc>
          <w:tcPr>
            <w:tcW w:w="4995" w:type="dxa"/>
            <w:tcBorders>
              <w:bottom w:val="single" w:sz="6" w:space="0" w:color="000000"/>
              <w:right w:val="single" w:sz="6" w:space="0" w:color="000000"/>
            </w:tcBorders>
            <w:vAlign w:val="center"/>
          </w:tcPr>
          <w:p w14:paraId="1CA5233C" w14:textId="77777777" w:rsidR="007D706A" w:rsidRDefault="007D706A" w:rsidP="00F70508">
            <w:pPr>
              <w:pStyle w:val="ParagraphStyle8"/>
              <w:rPr>
                <w:rStyle w:val="CharacterStyle8"/>
              </w:rPr>
            </w:pPr>
            <w:r>
              <w:rPr>
                <w:rStyle w:val="CharacterStyle8"/>
              </w:rPr>
              <w:t>Pomoći iz državnog proračuna</w:t>
            </w:r>
          </w:p>
        </w:tc>
        <w:tc>
          <w:tcPr>
            <w:tcW w:w="1395" w:type="dxa"/>
            <w:tcBorders>
              <w:bottom w:val="single" w:sz="6" w:space="0" w:color="000000"/>
              <w:right w:val="single" w:sz="6" w:space="0" w:color="000000"/>
            </w:tcBorders>
            <w:vAlign w:val="center"/>
          </w:tcPr>
          <w:p w14:paraId="0645722B"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1398608" w14:textId="77777777" w:rsidR="007D706A" w:rsidRDefault="007D706A" w:rsidP="00F70508">
            <w:pPr>
              <w:pStyle w:val="ParagraphStyle9"/>
              <w:rPr>
                <w:rStyle w:val="CharacterStyle9"/>
              </w:rPr>
            </w:pPr>
            <w:r>
              <w:rPr>
                <w:rStyle w:val="CharacterStyle9"/>
              </w:rPr>
              <w:t>105.706,00</w:t>
            </w:r>
          </w:p>
        </w:tc>
        <w:tc>
          <w:tcPr>
            <w:tcW w:w="1395" w:type="dxa"/>
            <w:tcBorders>
              <w:bottom w:val="single" w:sz="6" w:space="0" w:color="000000"/>
              <w:right w:val="single" w:sz="6" w:space="0" w:color="000000"/>
            </w:tcBorders>
            <w:vAlign w:val="center"/>
          </w:tcPr>
          <w:p w14:paraId="06D7B368" w14:textId="77777777" w:rsidR="007D706A" w:rsidRDefault="007D706A" w:rsidP="00F70508">
            <w:pPr>
              <w:pStyle w:val="ParagraphStyle9"/>
              <w:rPr>
                <w:rStyle w:val="CharacterStyle9"/>
              </w:rPr>
            </w:pPr>
            <w:r>
              <w:rPr>
                <w:rStyle w:val="CharacterStyle9"/>
              </w:rPr>
              <w:t>35.128,34</w:t>
            </w:r>
          </w:p>
        </w:tc>
        <w:tc>
          <w:tcPr>
            <w:tcW w:w="1395" w:type="dxa"/>
            <w:tcBorders>
              <w:bottom w:val="single" w:sz="6" w:space="0" w:color="000000"/>
              <w:right w:val="single" w:sz="6" w:space="0" w:color="000000"/>
            </w:tcBorders>
            <w:vAlign w:val="center"/>
          </w:tcPr>
          <w:p w14:paraId="1C0A4FBC" w14:textId="77777777" w:rsidR="007D706A" w:rsidRDefault="007D706A" w:rsidP="00F70508">
            <w:pPr>
              <w:pStyle w:val="ParagraphStyle9"/>
              <w:rPr>
                <w:rStyle w:val="CharacterStyle9"/>
              </w:rPr>
            </w:pPr>
            <w:r>
              <w:rPr>
                <w:rStyle w:val="CharacterStyle9"/>
              </w:rPr>
              <w:t>36.182,19</w:t>
            </w:r>
          </w:p>
        </w:tc>
        <w:tc>
          <w:tcPr>
            <w:tcW w:w="1395" w:type="dxa"/>
            <w:tcBorders>
              <w:bottom w:val="single" w:sz="6" w:space="0" w:color="000000"/>
              <w:right w:val="single" w:sz="6" w:space="0" w:color="000000"/>
            </w:tcBorders>
            <w:vAlign w:val="center"/>
          </w:tcPr>
          <w:p w14:paraId="52A1A68E" w14:textId="77777777" w:rsidR="007D706A" w:rsidRDefault="007D706A" w:rsidP="00F70508">
            <w:pPr>
              <w:pStyle w:val="ParagraphStyle9"/>
              <w:rPr>
                <w:rStyle w:val="CharacterStyle9"/>
              </w:rPr>
            </w:pPr>
            <w:r>
              <w:rPr>
                <w:rStyle w:val="CharacterStyle9"/>
              </w:rPr>
              <w:t>36.182,19</w:t>
            </w:r>
          </w:p>
        </w:tc>
      </w:tr>
      <w:tr w:rsidR="007D706A" w14:paraId="69D56CF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8642B79"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55E47EFF"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39E8E5C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6C33D9C" w14:textId="77777777" w:rsidR="007D706A" w:rsidRDefault="007D706A" w:rsidP="00F70508">
            <w:pPr>
              <w:pStyle w:val="ParagraphStyle12"/>
              <w:rPr>
                <w:rStyle w:val="CharacterStyle12"/>
              </w:rPr>
            </w:pPr>
            <w:r>
              <w:rPr>
                <w:rStyle w:val="CharacterStyle12"/>
              </w:rPr>
              <w:t>105.706,00</w:t>
            </w:r>
          </w:p>
        </w:tc>
        <w:tc>
          <w:tcPr>
            <w:tcW w:w="1395" w:type="dxa"/>
            <w:tcBorders>
              <w:bottom w:val="single" w:sz="6" w:space="0" w:color="000000"/>
              <w:right w:val="single" w:sz="6" w:space="0" w:color="000000"/>
            </w:tcBorders>
            <w:vAlign w:val="center"/>
          </w:tcPr>
          <w:p w14:paraId="7B1F665B" w14:textId="77777777" w:rsidR="007D706A" w:rsidRDefault="007D706A" w:rsidP="00F70508">
            <w:pPr>
              <w:pStyle w:val="ParagraphStyle12"/>
              <w:rPr>
                <w:rStyle w:val="CharacterStyle12"/>
              </w:rPr>
            </w:pPr>
            <w:r>
              <w:rPr>
                <w:rStyle w:val="CharacterStyle12"/>
              </w:rPr>
              <w:t>35.128,34</w:t>
            </w:r>
          </w:p>
        </w:tc>
        <w:tc>
          <w:tcPr>
            <w:tcW w:w="1395" w:type="dxa"/>
            <w:tcBorders>
              <w:bottom w:val="single" w:sz="6" w:space="0" w:color="000000"/>
              <w:right w:val="single" w:sz="6" w:space="0" w:color="000000"/>
            </w:tcBorders>
            <w:vAlign w:val="center"/>
          </w:tcPr>
          <w:p w14:paraId="7EA6A558" w14:textId="77777777" w:rsidR="007D706A" w:rsidRDefault="007D706A" w:rsidP="00F70508">
            <w:pPr>
              <w:pStyle w:val="ParagraphStyle12"/>
              <w:rPr>
                <w:rStyle w:val="CharacterStyle12"/>
              </w:rPr>
            </w:pPr>
            <w:r>
              <w:rPr>
                <w:rStyle w:val="CharacterStyle12"/>
              </w:rPr>
              <w:t>36.182,19</w:t>
            </w:r>
          </w:p>
        </w:tc>
        <w:tc>
          <w:tcPr>
            <w:tcW w:w="1395" w:type="dxa"/>
            <w:tcBorders>
              <w:bottom w:val="single" w:sz="6" w:space="0" w:color="000000"/>
              <w:right w:val="single" w:sz="6" w:space="0" w:color="000000"/>
            </w:tcBorders>
            <w:vAlign w:val="center"/>
          </w:tcPr>
          <w:p w14:paraId="5A221D93" w14:textId="77777777" w:rsidR="007D706A" w:rsidRDefault="007D706A" w:rsidP="00F70508">
            <w:pPr>
              <w:pStyle w:val="ParagraphStyle12"/>
              <w:rPr>
                <w:rStyle w:val="CharacterStyle12"/>
              </w:rPr>
            </w:pPr>
            <w:r>
              <w:rPr>
                <w:rStyle w:val="CharacterStyle12"/>
              </w:rPr>
              <w:t>36.182,19</w:t>
            </w:r>
          </w:p>
        </w:tc>
      </w:tr>
      <w:tr w:rsidR="007D706A" w14:paraId="6D85362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BC1198A" w14:textId="77777777" w:rsidR="007D706A" w:rsidRDefault="007D706A" w:rsidP="00F70508">
            <w:pPr>
              <w:pStyle w:val="ParagraphStyle10"/>
              <w:rPr>
                <w:rStyle w:val="CharacterStyle10"/>
              </w:rPr>
            </w:pPr>
            <w:r>
              <w:rPr>
                <w:rStyle w:val="CharacterStyle10"/>
              </w:rPr>
              <w:t>31</w:t>
            </w:r>
          </w:p>
        </w:tc>
        <w:tc>
          <w:tcPr>
            <w:tcW w:w="4995" w:type="dxa"/>
            <w:tcBorders>
              <w:bottom w:val="single" w:sz="6" w:space="0" w:color="000000"/>
              <w:right w:val="single" w:sz="6" w:space="0" w:color="000000"/>
            </w:tcBorders>
            <w:vAlign w:val="center"/>
          </w:tcPr>
          <w:p w14:paraId="79FDA19D" w14:textId="77777777" w:rsidR="007D706A" w:rsidRDefault="007D706A" w:rsidP="00F70508">
            <w:pPr>
              <w:pStyle w:val="ParagraphStyle11"/>
              <w:rPr>
                <w:rStyle w:val="CharacterStyle11"/>
              </w:rPr>
            </w:pPr>
            <w:r>
              <w:rPr>
                <w:rStyle w:val="CharacterStyle11"/>
              </w:rPr>
              <w:t>Rashodi za zaposlene</w:t>
            </w:r>
          </w:p>
        </w:tc>
        <w:tc>
          <w:tcPr>
            <w:tcW w:w="1395" w:type="dxa"/>
            <w:tcBorders>
              <w:bottom w:val="single" w:sz="6" w:space="0" w:color="000000"/>
              <w:right w:val="single" w:sz="6" w:space="0" w:color="000000"/>
            </w:tcBorders>
            <w:vAlign w:val="center"/>
          </w:tcPr>
          <w:p w14:paraId="122E061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AAD469A" w14:textId="77777777" w:rsidR="007D706A" w:rsidRDefault="007D706A" w:rsidP="00F70508">
            <w:pPr>
              <w:pStyle w:val="ParagraphStyle12"/>
              <w:rPr>
                <w:rStyle w:val="CharacterStyle12"/>
              </w:rPr>
            </w:pPr>
            <w:r>
              <w:rPr>
                <w:rStyle w:val="CharacterStyle12"/>
              </w:rPr>
              <w:t>94.498,00</w:t>
            </w:r>
          </w:p>
        </w:tc>
        <w:tc>
          <w:tcPr>
            <w:tcW w:w="1395" w:type="dxa"/>
            <w:tcBorders>
              <w:bottom w:val="single" w:sz="6" w:space="0" w:color="000000"/>
              <w:right w:val="single" w:sz="6" w:space="0" w:color="000000"/>
            </w:tcBorders>
            <w:vAlign w:val="center"/>
          </w:tcPr>
          <w:p w14:paraId="347A4109" w14:textId="77777777" w:rsidR="007D706A" w:rsidRDefault="007D706A" w:rsidP="00F70508">
            <w:pPr>
              <w:pStyle w:val="ParagraphStyle12"/>
              <w:rPr>
                <w:rStyle w:val="CharacterStyle12"/>
              </w:rPr>
            </w:pPr>
            <w:r>
              <w:rPr>
                <w:rStyle w:val="CharacterStyle12"/>
              </w:rPr>
              <w:t>35.128,34</w:t>
            </w:r>
          </w:p>
        </w:tc>
        <w:tc>
          <w:tcPr>
            <w:tcW w:w="1395" w:type="dxa"/>
            <w:tcBorders>
              <w:bottom w:val="single" w:sz="6" w:space="0" w:color="000000"/>
              <w:right w:val="single" w:sz="6" w:space="0" w:color="000000"/>
            </w:tcBorders>
            <w:vAlign w:val="center"/>
          </w:tcPr>
          <w:p w14:paraId="511DCDDC" w14:textId="77777777" w:rsidR="007D706A" w:rsidRDefault="007D706A" w:rsidP="00F70508">
            <w:pPr>
              <w:pStyle w:val="ParagraphStyle12"/>
              <w:rPr>
                <w:rStyle w:val="CharacterStyle12"/>
              </w:rPr>
            </w:pPr>
            <w:r>
              <w:rPr>
                <w:rStyle w:val="CharacterStyle12"/>
              </w:rPr>
              <w:t>36.182,19</w:t>
            </w:r>
          </w:p>
        </w:tc>
        <w:tc>
          <w:tcPr>
            <w:tcW w:w="1395" w:type="dxa"/>
            <w:tcBorders>
              <w:bottom w:val="single" w:sz="6" w:space="0" w:color="000000"/>
              <w:right w:val="single" w:sz="6" w:space="0" w:color="000000"/>
            </w:tcBorders>
            <w:vAlign w:val="center"/>
          </w:tcPr>
          <w:p w14:paraId="7F6F57B8" w14:textId="77777777" w:rsidR="007D706A" w:rsidRDefault="007D706A" w:rsidP="00F70508">
            <w:pPr>
              <w:pStyle w:val="ParagraphStyle12"/>
              <w:rPr>
                <w:rStyle w:val="CharacterStyle12"/>
              </w:rPr>
            </w:pPr>
            <w:r>
              <w:rPr>
                <w:rStyle w:val="CharacterStyle12"/>
              </w:rPr>
              <w:t>36.182,19</w:t>
            </w:r>
          </w:p>
        </w:tc>
      </w:tr>
      <w:tr w:rsidR="007D706A" w14:paraId="312B1916"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A7AC624"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43101C6F"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5C1FA17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4835071" w14:textId="77777777" w:rsidR="007D706A" w:rsidRDefault="007D706A" w:rsidP="00F70508">
            <w:pPr>
              <w:pStyle w:val="ParagraphStyle12"/>
              <w:rPr>
                <w:rStyle w:val="CharacterStyle12"/>
              </w:rPr>
            </w:pPr>
            <w:r>
              <w:rPr>
                <w:rStyle w:val="CharacterStyle12"/>
              </w:rPr>
              <w:t>11.208,00</w:t>
            </w:r>
          </w:p>
        </w:tc>
        <w:tc>
          <w:tcPr>
            <w:tcW w:w="1395" w:type="dxa"/>
            <w:tcBorders>
              <w:bottom w:val="single" w:sz="6" w:space="0" w:color="000000"/>
              <w:right w:val="single" w:sz="6" w:space="0" w:color="000000"/>
            </w:tcBorders>
            <w:vAlign w:val="center"/>
          </w:tcPr>
          <w:p w14:paraId="7CB1C79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B42726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F2A9F38" w14:textId="77777777" w:rsidR="007D706A" w:rsidRDefault="007D706A" w:rsidP="00F70508">
            <w:pPr>
              <w:pStyle w:val="ParagraphStyle12"/>
              <w:rPr>
                <w:rStyle w:val="CharacterStyle12"/>
              </w:rPr>
            </w:pPr>
            <w:r>
              <w:rPr>
                <w:rStyle w:val="CharacterStyle12"/>
              </w:rPr>
              <w:t>0,00</w:t>
            </w:r>
          </w:p>
        </w:tc>
      </w:tr>
      <w:tr w:rsidR="007D706A" w14:paraId="0778CE41" w14:textId="77777777" w:rsidTr="00F70508">
        <w:trPr>
          <w:trHeight w:val="420"/>
        </w:trPr>
        <w:tc>
          <w:tcPr>
            <w:tcW w:w="2880" w:type="dxa"/>
            <w:tcBorders>
              <w:left w:val="single" w:sz="6" w:space="0" w:color="000000"/>
              <w:bottom w:val="single" w:sz="6" w:space="0" w:color="000000"/>
              <w:right w:val="single" w:sz="6" w:space="0" w:color="000000"/>
            </w:tcBorders>
            <w:vAlign w:val="center"/>
          </w:tcPr>
          <w:p w14:paraId="5D6E307D" w14:textId="77777777" w:rsidR="007D706A" w:rsidRDefault="007D706A" w:rsidP="00F70508">
            <w:pPr>
              <w:pStyle w:val="ParagraphStyle4"/>
              <w:rPr>
                <w:rStyle w:val="CharacterStyle4"/>
              </w:rPr>
            </w:pPr>
            <w:r>
              <w:rPr>
                <w:rStyle w:val="CharacterStyle4"/>
              </w:rPr>
              <w:t>Aktivnost A103903</w:t>
            </w:r>
          </w:p>
        </w:tc>
        <w:tc>
          <w:tcPr>
            <w:tcW w:w="4995" w:type="dxa"/>
            <w:tcBorders>
              <w:bottom w:val="single" w:sz="6" w:space="0" w:color="000000"/>
              <w:right w:val="single" w:sz="6" w:space="0" w:color="000000"/>
            </w:tcBorders>
            <w:vAlign w:val="center"/>
          </w:tcPr>
          <w:p w14:paraId="674720E5" w14:textId="77777777" w:rsidR="007D706A" w:rsidRDefault="007D706A" w:rsidP="00F70508">
            <w:pPr>
              <w:pStyle w:val="ParagraphStyle5"/>
              <w:rPr>
                <w:rStyle w:val="CharacterStyle5"/>
              </w:rPr>
            </w:pPr>
            <w:r>
              <w:rPr>
                <w:rStyle w:val="CharacterStyle5"/>
              </w:rPr>
              <w:t>DECENTRALIZIRANE FUNKCIJE PROTUPOŽARNE ZAŠTITE - GRAD</w:t>
            </w:r>
          </w:p>
        </w:tc>
        <w:tc>
          <w:tcPr>
            <w:tcW w:w="1395" w:type="dxa"/>
            <w:tcBorders>
              <w:bottom w:val="single" w:sz="6" w:space="0" w:color="000000"/>
              <w:right w:val="single" w:sz="6" w:space="0" w:color="000000"/>
            </w:tcBorders>
            <w:vAlign w:val="center"/>
          </w:tcPr>
          <w:p w14:paraId="2EC5EA34"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79B68DC6" w14:textId="77777777" w:rsidR="007D706A" w:rsidRDefault="007D706A" w:rsidP="00F70508">
            <w:pPr>
              <w:pStyle w:val="ParagraphStyle6"/>
              <w:rPr>
                <w:rStyle w:val="CharacterStyle6"/>
              </w:rPr>
            </w:pPr>
            <w:r>
              <w:rPr>
                <w:rStyle w:val="CharacterStyle6"/>
              </w:rPr>
              <w:t>413.733,00</w:t>
            </w:r>
          </w:p>
        </w:tc>
        <w:tc>
          <w:tcPr>
            <w:tcW w:w="1395" w:type="dxa"/>
            <w:tcBorders>
              <w:bottom w:val="single" w:sz="6" w:space="0" w:color="000000"/>
              <w:right w:val="single" w:sz="6" w:space="0" w:color="000000"/>
            </w:tcBorders>
            <w:vAlign w:val="center"/>
          </w:tcPr>
          <w:p w14:paraId="6B69F0AB" w14:textId="77777777" w:rsidR="007D706A" w:rsidRDefault="007D706A" w:rsidP="00F70508">
            <w:pPr>
              <w:pStyle w:val="ParagraphStyle6"/>
              <w:rPr>
                <w:rStyle w:val="CharacterStyle6"/>
              </w:rPr>
            </w:pPr>
            <w:r>
              <w:rPr>
                <w:rStyle w:val="CharacterStyle6"/>
              </w:rPr>
              <w:t>455.329,95</w:t>
            </w:r>
          </w:p>
        </w:tc>
        <w:tc>
          <w:tcPr>
            <w:tcW w:w="1395" w:type="dxa"/>
            <w:tcBorders>
              <w:bottom w:val="single" w:sz="6" w:space="0" w:color="000000"/>
              <w:right w:val="single" w:sz="6" w:space="0" w:color="000000"/>
            </w:tcBorders>
            <w:vAlign w:val="center"/>
          </w:tcPr>
          <w:p w14:paraId="5A42C72E" w14:textId="77777777" w:rsidR="007D706A" w:rsidRDefault="007D706A" w:rsidP="00F70508">
            <w:pPr>
              <w:pStyle w:val="ParagraphStyle6"/>
              <w:rPr>
                <w:rStyle w:val="CharacterStyle6"/>
              </w:rPr>
            </w:pPr>
            <w:r>
              <w:rPr>
                <w:rStyle w:val="CharacterStyle6"/>
              </w:rPr>
              <w:t>468.989,85</w:t>
            </w:r>
          </w:p>
        </w:tc>
        <w:tc>
          <w:tcPr>
            <w:tcW w:w="1395" w:type="dxa"/>
            <w:tcBorders>
              <w:bottom w:val="single" w:sz="6" w:space="0" w:color="000000"/>
              <w:right w:val="single" w:sz="6" w:space="0" w:color="000000"/>
            </w:tcBorders>
            <w:vAlign w:val="center"/>
          </w:tcPr>
          <w:p w14:paraId="4EE021AD" w14:textId="77777777" w:rsidR="007D706A" w:rsidRDefault="007D706A" w:rsidP="00F70508">
            <w:pPr>
              <w:pStyle w:val="ParagraphStyle6"/>
              <w:rPr>
                <w:rStyle w:val="CharacterStyle6"/>
              </w:rPr>
            </w:pPr>
            <w:r>
              <w:rPr>
                <w:rStyle w:val="CharacterStyle6"/>
              </w:rPr>
              <w:t>468.959,85</w:t>
            </w:r>
          </w:p>
        </w:tc>
      </w:tr>
      <w:tr w:rsidR="007D706A" w14:paraId="4974E79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08D5660"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093774A6"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2F82BAA1"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53E806A"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9D138C1" w14:textId="77777777" w:rsidR="007D706A" w:rsidRDefault="007D706A" w:rsidP="00F70508">
            <w:pPr>
              <w:pStyle w:val="ParagraphStyle9"/>
              <w:rPr>
                <w:rStyle w:val="CharacterStyle9"/>
              </w:rPr>
            </w:pPr>
            <w:r>
              <w:rPr>
                <w:rStyle w:val="CharacterStyle9"/>
              </w:rPr>
              <w:t>194.069,25</w:t>
            </w:r>
          </w:p>
        </w:tc>
        <w:tc>
          <w:tcPr>
            <w:tcW w:w="1395" w:type="dxa"/>
            <w:tcBorders>
              <w:bottom w:val="single" w:sz="6" w:space="0" w:color="000000"/>
              <w:right w:val="single" w:sz="6" w:space="0" w:color="000000"/>
            </w:tcBorders>
            <w:vAlign w:val="center"/>
          </w:tcPr>
          <w:p w14:paraId="3A7AFA36" w14:textId="77777777" w:rsidR="007D706A" w:rsidRDefault="007D706A" w:rsidP="00F70508">
            <w:pPr>
              <w:pStyle w:val="ParagraphStyle9"/>
              <w:rPr>
                <w:rStyle w:val="CharacterStyle9"/>
              </w:rPr>
            </w:pPr>
            <w:r>
              <w:rPr>
                <w:rStyle w:val="CharacterStyle9"/>
              </w:rPr>
              <w:t>199.891,33</w:t>
            </w:r>
          </w:p>
        </w:tc>
        <w:tc>
          <w:tcPr>
            <w:tcW w:w="1395" w:type="dxa"/>
            <w:tcBorders>
              <w:bottom w:val="single" w:sz="6" w:space="0" w:color="000000"/>
              <w:right w:val="single" w:sz="6" w:space="0" w:color="000000"/>
            </w:tcBorders>
            <w:vAlign w:val="center"/>
          </w:tcPr>
          <w:p w14:paraId="1ADDC901" w14:textId="77777777" w:rsidR="007D706A" w:rsidRDefault="007D706A" w:rsidP="00F70508">
            <w:pPr>
              <w:pStyle w:val="ParagraphStyle9"/>
              <w:rPr>
                <w:rStyle w:val="CharacterStyle9"/>
              </w:rPr>
            </w:pPr>
            <w:r>
              <w:rPr>
                <w:rStyle w:val="CharacterStyle9"/>
              </w:rPr>
              <w:t>199.891,33</w:t>
            </w:r>
          </w:p>
        </w:tc>
      </w:tr>
      <w:tr w:rsidR="007D706A" w14:paraId="60C457F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4E600A6"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26B3A3E4"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54A3358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4492B6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612BA1A" w14:textId="77777777" w:rsidR="007D706A" w:rsidRDefault="007D706A" w:rsidP="00F70508">
            <w:pPr>
              <w:pStyle w:val="ParagraphStyle12"/>
              <w:rPr>
                <w:rStyle w:val="CharacterStyle12"/>
              </w:rPr>
            </w:pPr>
            <w:r>
              <w:rPr>
                <w:rStyle w:val="CharacterStyle12"/>
              </w:rPr>
              <w:t>194.069,25</w:t>
            </w:r>
          </w:p>
        </w:tc>
        <w:tc>
          <w:tcPr>
            <w:tcW w:w="1395" w:type="dxa"/>
            <w:tcBorders>
              <w:bottom w:val="single" w:sz="6" w:space="0" w:color="000000"/>
              <w:right w:val="single" w:sz="6" w:space="0" w:color="000000"/>
            </w:tcBorders>
            <w:vAlign w:val="center"/>
          </w:tcPr>
          <w:p w14:paraId="277A4D51" w14:textId="77777777" w:rsidR="007D706A" w:rsidRDefault="007D706A" w:rsidP="00F70508">
            <w:pPr>
              <w:pStyle w:val="ParagraphStyle12"/>
              <w:rPr>
                <w:rStyle w:val="CharacterStyle12"/>
              </w:rPr>
            </w:pPr>
            <w:r>
              <w:rPr>
                <w:rStyle w:val="CharacterStyle12"/>
              </w:rPr>
              <w:t>199.891,33</w:t>
            </w:r>
          </w:p>
        </w:tc>
        <w:tc>
          <w:tcPr>
            <w:tcW w:w="1395" w:type="dxa"/>
            <w:tcBorders>
              <w:bottom w:val="single" w:sz="6" w:space="0" w:color="000000"/>
              <w:right w:val="single" w:sz="6" w:space="0" w:color="000000"/>
            </w:tcBorders>
            <w:vAlign w:val="center"/>
          </w:tcPr>
          <w:p w14:paraId="19F4D60C" w14:textId="77777777" w:rsidR="007D706A" w:rsidRDefault="007D706A" w:rsidP="00F70508">
            <w:pPr>
              <w:pStyle w:val="ParagraphStyle12"/>
              <w:rPr>
                <w:rStyle w:val="CharacterStyle12"/>
              </w:rPr>
            </w:pPr>
            <w:r>
              <w:rPr>
                <w:rStyle w:val="CharacterStyle12"/>
              </w:rPr>
              <w:t>199.891,33</w:t>
            </w:r>
          </w:p>
        </w:tc>
      </w:tr>
      <w:tr w:rsidR="007D706A" w14:paraId="7DAD7F7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7703F47" w14:textId="77777777" w:rsidR="007D706A" w:rsidRDefault="007D706A" w:rsidP="00F70508">
            <w:pPr>
              <w:pStyle w:val="ParagraphStyle10"/>
              <w:rPr>
                <w:rStyle w:val="CharacterStyle10"/>
              </w:rPr>
            </w:pPr>
            <w:r>
              <w:rPr>
                <w:rStyle w:val="CharacterStyle10"/>
              </w:rPr>
              <w:t>31</w:t>
            </w:r>
          </w:p>
        </w:tc>
        <w:tc>
          <w:tcPr>
            <w:tcW w:w="4995" w:type="dxa"/>
            <w:tcBorders>
              <w:bottom w:val="single" w:sz="6" w:space="0" w:color="000000"/>
              <w:right w:val="single" w:sz="6" w:space="0" w:color="000000"/>
            </w:tcBorders>
            <w:vAlign w:val="center"/>
          </w:tcPr>
          <w:p w14:paraId="583873BD" w14:textId="77777777" w:rsidR="007D706A" w:rsidRDefault="007D706A" w:rsidP="00F70508">
            <w:pPr>
              <w:pStyle w:val="ParagraphStyle11"/>
              <w:rPr>
                <w:rStyle w:val="CharacterStyle11"/>
              </w:rPr>
            </w:pPr>
            <w:r>
              <w:rPr>
                <w:rStyle w:val="CharacterStyle11"/>
              </w:rPr>
              <w:t>Rashodi za zaposlene</w:t>
            </w:r>
          </w:p>
        </w:tc>
        <w:tc>
          <w:tcPr>
            <w:tcW w:w="1395" w:type="dxa"/>
            <w:tcBorders>
              <w:bottom w:val="single" w:sz="6" w:space="0" w:color="000000"/>
              <w:right w:val="single" w:sz="6" w:space="0" w:color="000000"/>
            </w:tcBorders>
            <w:vAlign w:val="center"/>
          </w:tcPr>
          <w:p w14:paraId="08BCF78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471803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14F9279" w14:textId="77777777" w:rsidR="007D706A" w:rsidRDefault="007D706A" w:rsidP="00F70508">
            <w:pPr>
              <w:pStyle w:val="ParagraphStyle12"/>
              <w:rPr>
                <w:rStyle w:val="CharacterStyle12"/>
              </w:rPr>
            </w:pPr>
            <w:r>
              <w:rPr>
                <w:rStyle w:val="CharacterStyle12"/>
              </w:rPr>
              <w:t>185.861,25</w:t>
            </w:r>
          </w:p>
        </w:tc>
        <w:tc>
          <w:tcPr>
            <w:tcW w:w="1395" w:type="dxa"/>
            <w:tcBorders>
              <w:bottom w:val="single" w:sz="6" w:space="0" w:color="000000"/>
              <w:right w:val="single" w:sz="6" w:space="0" w:color="000000"/>
            </w:tcBorders>
            <w:vAlign w:val="center"/>
          </w:tcPr>
          <w:p w14:paraId="04B2E80E" w14:textId="77777777" w:rsidR="007D706A" w:rsidRDefault="007D706A" w:rsidP="00F70508">
            <w:pPr>
              <w:pStyle w:val="ParagraphStyle12"/>
              <w:rPr>
                <w:rStyle w:val="CharacterStyle12"/>
              </w:rPr>
            </w:pPr>
            <w:r>
              <w:rPr>
                <w:rStyle w:val="CharacterStyle12"/>
              </w:rPr>
              <w:t>191.437,09</w:t>
            </w:r>
          </w:p>
        </w:tc>
        <w:tc>
          <w:tcPr>
            <w:tcW w:w="1395" w:type="dxa"/>
            <w:tcBorders>
              <w:bottom w:val="single" w:sz="6" w:space="0" w:color="000000"/>
              <w:right w:val="single" w:sz="6" w:space="0" w:color="000000"/>
            </w:tcBorders>
            <w:vAlign w:val="center"/>
          </w:tcPr>
          <w:p w14:paraId="5E7D081F" w14:textId="77777777" w:rsidR="007D706A" w:rsidRDefault="007D706A" w:rsidP="00F70508">
            <w:pPr>
              <w:pStyle w:val="ParagraphStyle12"/>
              <w:rPr>
                <w:rStyle w:val="CharacterStyle12"/>
              </w:rPr>
            </w:pPr>
            <w:r>
              <w:rPr>
                <w:rStyle w:val="CharacterStyle12"/>
              </w:rPr>
              <w:t>191.437,09</w:t>
            </w:r>
          </w:p>
        </w:tc>
      </w:tr>
      <w:tr w:rsidR="007D706A" w14:paraId="3B66B6F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3FF5817"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75E320D3"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256F40E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818C5E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96C809D" w14:textId="77777777" w:rsidR="007D706A" w:rsidRDefault="007D706A" w:rsidP="00F70508">
            <w:pPr>
              <w:pStyle w:val="ParagraphStyle12"/>
              <w:rPr>
                <w:rStyle w:val="CharacterStyle12"/>
              </w:rPr>
            </w:pPr>
            <w:r>
              <w:rPr>
                <w:rStyle w:val="CharacterStyle12"/>
              </w:rPr>
              <w:t>8.208,00</w:t>
            </w:r>
          </w:p>
        </w:tc>
        <w:tc>
          <w:tcPr>
            <w:tcW w:w="1395" w:type="dxa"/>
            <w:tcBorders>
              <w:bottom w:val="single" w:sz="6" w:space="0" w:color="000000"/>
              <w:right w:val="single" w:sz="6" w:space="0" w:color="000000"/>
            </w:tcBorders>
            <w:vAlign w:val="center"/>
          </w:tcPr>
          <w:p w14:paraId="428ED722" w14:textId="77777777" w:rsidR="007D706A" w:rsidRDefault="007D706A" w:rsidP="00F70508">
            <w:pPr>
              <w:pStyle w:val="ParagraphStyle12"/>
              <w:rPr>
                <w:rStyle w:val="CharacterStyle12"/>
              </w:rPr>
            </w:pPr>
            <w:r>
              <w:rPr>
                <w:rStyle w:val="CharacterStyle12"/>
              </w:rPr>
              <w:t>8.454,24</w:t>
            </w:r>
          </w:p>
        </w:tc>
        <w:tc>
          <w:tcPr>
            <w:tcW w:w="1395" w:type="dxa"/>
            <w:tcBorders>
              <w:bottom w:val="single" w:sz="6" w:space="0" w:color="000000"/>
              <w:right w:val="single" w:sz="6" w:space="0" w:color="000000"/>
            </w:tcBorders>
            <w:vAlign w:val="center"/>
          </w:tcPr>
          <w:p w14:paraId="7CE013DB" w14:textId="77777777" w:rsidR="007D706A" w:rsidRDefault="007D706A" w:rsidP="00F70508">
            <w:pPr>
              <w:pStyle w:val="ParagraphStyle12"/>
              <w:rPr>
                <w:rStyle w:val="CharacterStyle12"/>
              </w:rPr>
            </w:pPr>
            <w:r>
              <w:rPr>
                <w:rStyle w:val="CharacterStyle12"/>
              </w:rPr>
              <w:t>8.454,24</w:t>
            </w:r>
          </w:p>
        </w:tc>
      </w:tr>
      <w:tr w:rsidR="007D706A" w14:paraId="617B26A6"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E85E5B0" w14:textId="77777777" w:rsidR="007D706A" w:rsidRDefault="007D706A" w:rsidP="00F70508">
            <w:pPr>
              <w:pStyle w:val="ParagraphStyle7"/>
              <w:rPr>
                <w:rStyle w:val="CharacterStyle7"/>
              </w:rPr>
            </w:pPr>
            <w:r>
              <w:rPr>
                <w:rStyle w:val="CharacterStyle7"/>
              </w:rPr>
              <w:t>Izvor financiranja 50</w:t>
            </w:r>
          </w:p>
        </w:tc>
        <w:tc>
          <w:tcPr>
            <w:tcW w:w="4995" w:type="dxa"/>
            <w:tcBorders>
              <w:bottom w:val="single" w:sz="6" w:space="0" w:color="000000"/>
              <w:right w:val="single" w:sz="6" w:space="0" w:color="000000"/>
            </w:tcBorders>
            <w:vAlign w:val="center"/>
          </w:tcPr>
          <w:p w14:paraId="21C9877A" w14:textId="77777777" w:rsidR="007D706A" w:rsidRDefault="007D706A" w:rsidP="00F70508">
            <w:pPr>
              <w:pStyle w:val="ParagraphStyle8"/>
              <w:rPr>
                <w:rStyle w:val="CharacterStyle8"/>
              </w:rPr>
            </w:pPr>
            <w:r>
              <w:rPr>
                <w:rStyle w:val="CharacterStyle8"/>
              </w:rPr>
              <w:t>Pomoći iz državnog proračuna</w:t>
            </w:r>
          </w:p>
        </w:tc>
        <w:tc>
          <w:tcPr>
            <w:tcW w:w="1395" w:type="dxa"/>
            <w:tcBorders>
              <w:bottom w:val="single" w:sz="6" w:space="0" w:color="000000"/>
              <w:right w:val="single" w:sz="6" w:space="0" w:color="000000"/>
            </w:tcBorders>
            <w:vAlign w:val="center"/>
          </w:tcPr>
          <w:p w14:paraId="4B5F1495"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9A579FD" w14:textId="77777777" w:rsidR="007D706A" w:rsidRDefault="007D706A" w:rsidP="00F70508">
            <w:pPr>
              <w:pStyle w:val="ParagraphStyle9"/>
              <w:rPr>
                <w:rStyle w:val="CharacterStyle9"/>
              </w:rPr>
            </w:pPr>
            <w:r>
              <w:rPr>
                <w:rStyle w:val="CharacterStyle9"/>
              </w:rPr>
              <w:t>413.733,00</w:t>
            </w:r>
          </w:p>
        </w:tc>
        <w:tc>
          <w:tcPr>
            <w:tcW w:w="1395" w:type="dxa"/>
            <w:tcBorders>
              <w:bottom w:val="single" w:sz="6" w:space="0" w:color="000000"/>
              <w:right w:val="single" w:sz="6" w:space="0" w:color="000000"/>
            </w:tcBorders>
            <w:vAlign w:val="center"/>
          </w:tcPr>
          <w:p w14:paraId="7C459AED" w14:textId="77777777" w:rsidR="007D706A" w:rsidRDefault="007D706A" w:rsidP="00F70508">
            <w:pPr>
              <w:pStyle w:val="ParagraphStyle9"/>
              <w:rPr>
                <w:rStyle w:val="CharacterStyle9"/>
              </w:rPr>
            </w:pPr>
            <w:r>
              <w:rPr>
                <w:rStyle w:val="CharacterStyle9"/>
              </w:rPr>
              <w:t>261.260,70</w:t>
            </w:r>
          </w:p>
        </w:tc>
        <w:tc>
          <w:tcPr>
            <w:tcW w:w="1395" w:type="dxa"/>
            <w:tcBorders>
              <w:bottom w:val="single" w:sz="6" w:space="0" w:color="000000"/>
              <w:right w:val="single" w:sz="6" w:space="0" w:color="000000"/>
            </w:tcBorders>
            <w:vAlign w:val="center"/>
          </w:tcPr>
          <w:p w14:paraId="155562E5" w14:textId="77777777" w:rsidR="007D706A" w:rsidRDefault="007D706A" w:rsidP="00F70508">
            <w:pPr>
              <w:pStyle w:val="ParagraphStyle9"/>
              <w:rPr>
                <w:rStyle w:val="CharacterStyle9"/>
              </w:rPr>
            </w:pPr>
            <w:r>
              <w:rPr>
                <w:rStyle w:val="CharacterStyle9"/>
              </w:rPr>
              <w:t>269.098,52</w:t>
            </w:r>
          </w:p>
        </w:tc>
        <w:tc>
          <w:tcPr>
            <w:tcW w:w="1395" w:type="dxa"/>
            <w:tcBorders>
              <w:bottom w:val="single" w:sz="6" w:space="0" w:color="000000"/>
              <w:right w:val="single" w:sz="6" w:space="0" w:color="000000"/>
            </w:tcBorders>
            <w:vAlign w:val="center"/>
          </w:tcPr>
          <w:p w14:paraId="07BFBB25" w14:textId="77777777" w:rsidR="007D706A" w:rsidRDefault="007D706A" w:rsidP="00F70508">
            <w:pPr>
              <w:pStyle w:val="ParagraphStyle9"/>
              <w:rPr>
                <w:rStyle w:val="CharacterStyle9"/>
              </w:rPr>
            </w:pPr>
            <w:r>
              <w:rPr>
                <w:rStyle w:val="CharacterStyle9"/>
              </w:rPr>
              <w:t>269.068,52</w:t>
            </w:r>
          </w:p>
        </w:tc>
      </w:tr>
      <w:tr w:rsidR="007D706A" w14:paraId="4A0744B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C868E96"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6118F9FD"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163B558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D4CBDC2" w14:textId="77777777" w:rsidR="007D706A" w:rsidRDefault="007D706A" w:rsidP="00F70508">
            <w:pPr>
              <w:pStyle w:val="ParagraphStyle12"/>
              <w:rPr>
                <w:rStyle w:val="CharacterStyle12"/>
              </w:rPr>
            </w:pPr>
            <w:r>
              <w:rPr>
                <w:rStyle w:val="CharacterStyle12"/>
              </w:rPr>
              <w:t>413.733,00</w:t>
            </w:r>
          </w:p>
        </w:tc>
        <w:tc>
          <w:tcPr>
            <w:tcW w:w="1395" w:type="dxa"/>
            <w:tcBorders>
              <w:bottom w:val="single" w:sz="6" w:space="0" w:color="000000"/>
              <w:right w:val="single" w:sz="6" w:space="0" w:color="000000"/>
            </w:tcBorders>
            <w:vAlign w:val="center"/>
          </w:tcPr>
          <w:p w14:paraId="0418B1A4" w14:textId="77777777" w:rsidR="007D706A" w:rsidRDefault="007D706A" w:rsidP="00F70508">
            <w:pPr>
              <w:pStyle w:val="ParagraphStyle12"/>
              <w:rPr>
                <w:rStyle w:val="CharacterStyle12"/>
              </w:rPr>
            </w:pPr>
            <w:r>
              <w:rPr>
                <w:rStyle w:val="CharacterStyle12"/>
              </w:rPr>
              <w:t>261.260,70</w:t>
            </w:r>
          </w:p>
        </w:tc>
        <w:tc>
          <w:tcPr>
            <w:tcW w:w="1395" w:type="dxa"/>
            <w:tcBorders>
              <w:bottom w:val="single" w:sz="6" w:space="0" w:color="000000"/>
              <w:right w:val="single" w:sz="6" w:space="0" w:color="000000"/>
            </w:tcBorders>
            <w:vAlign w:val="center"/>
          </w:tcPr>
          <w:p w14:paraId="4263A54A" w14:textId="77777777" w:rsidR="007D706A" w:rsidRDefault="007D706A" w:rsidP="00F70508">
            <w:pPr>
              <w:pStyle w:val="ParagraphStyle12"/>
              <w:rPr>
                <w:rStyle w:val="CharacterStyle12"/>
              </w:rPr>
            </w:pPr>
            <w:r>
              <w:rPr>
                <w:rStyle w:val="CharacterStyle12"/>
              </w:rPr>
              <w:t>269.098,52</w:t>
            </w:r>
          </w:p>
        </w:tc>
        <w:tc>
          <w:tcPr>
            <w:tcW w:w="1395" w:type="dxa"/>
            <w:tcBorders>
              <w:bottom w:val="single" w:sz="6" w:space="0" w:color="000000"/>
              <w:right w:val="single" w:sz="6" w:space="0" w:color="000000"/>
            </w:tcBorders>
            <w:vAlign w:val="center"/>
          </w:tcPr>
          <w:p w14:paraId="03C8D104" w14:textId="77777777" w:rsidR="007D706A" w:rsidRDefault="007D706A" w:rsidP="00F70508">
            <w:pPr>
              <w:pStyle w:val="ParagraphStyle12"/>
              <w:rPr>
                <w:rStyle w:val="CharacterStyle12"/>
              </w:rPr>
            </w:pPr>
            <w:r>
              <w:rPr>
                <w:rStyle w:val="CharacterStyle12"/>
              </w:rPr>
              <w:t>269.068,52</w:t>
            </w:r>
          </w:p>
        </w:tc>
      </w:tr>
      <w:tr w:rsidR="007D706A" w14:paraId="3F7645F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3E41E83" w14:textId="77777777" w:rsidR="007D706A" w:rsidRDefault="007D706A" w:rsidP="00F70508">
            <w:pPr>
              <w:pStyle w:val="ParagraphStyle10"/>
              <w:rPr>
                <w:rStyle w:val="CharacterStyle10"/>
              </w:rPr>
            </w:pPr>
            <w:r>
              <w:rPr>
                <w:rStyle w:val="CharacterStyle10"/>
              </w:rPr>
              <w:t>31</w:t>
            </w:r>
          </w:p>
        </w:tc>
        <w:tc>
          <w:tcPr>
            <w:tcW w:w="4995" w:type="dxa"/>
            <w:tcBorders>
              <w:bottom w:val="single" w:sz="6" w:space="0" w:color="000000"/>
              <w:right w:val="single" w:sz="6" w:space="0" w:color="000000"/>
            </w:tcBorders>
            <w:vAlign w:val="center"/>
          </w:tcPr>
          <w:p w14:paraId="31734EFF" w14:textId="77777777" w:rsidR="007D706A" w:rsidRDefault="007D706A" w:rsidP="00F70508">
            <w:pPr>
              <w:pStyle w:val="ParagraphStyle11"/>
              <w:rPr>
                <w:rStyle w:val="CharacterStyle11"/>
              </w:rPr>
            </w:pPr>
            <w:r>
              <w:rPr>
                <w:rStyle w:val="CharacterStyle11"/>
              </w:rPr>
              <w:t>Rashodi za zaposlene</w:t>
            </w:r>
          </w:p>
        </w:tc>
        <w:tc>
          <w:tcPr>
            <w:tcW w:w="1395" w:type="dxa"/>
            <w:tcBorders>
              <w:bottom w:val="single" w:sz="6" w:space="0" w:color="000000"/>
              <w:right w:val="single" w:sz="6" w:space="0" w:color="000000"/>
            </w:tcBorders>
            <w:vAlign w:val="center"/>
          </w:tcPr>
          <w:p w14:paraId="2FAA6A7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7C28124" w14:textId="77777777" w:rsidR="007D706A" w:rsidRDefault="007D706A" w:rsidP="00F70508">
            <w:pPr>
              <w:pStyle w:val="ParagraphStyle12"/>
              <w:rPr>
                <w:rStyle w:val="CharacterStyle12"/>
              </w:rPr>
            </w:pPr>
            <w:r>
              <w:rPr>
                <w:rStyle w:val="CharacterStyle12"/>
              </w:rPr>
              <w:t>366.628,00</w:t>
            </w:r>
          </w:p>
        </w:tc>
        <w:tc>
          <w:tcPr>
            <w:tcW w:w="1395" w:type="dxa"/>
            <w:tcBorders>
              <w:bottom w:val="single" w:sz="6" w:space="0" w:color="000000"/>
              <w:right w:val="single" w:sz="6" w:space="0" w:color="000000"/>
            </w:tcBorders>
            <w:vAlign w:val="center"/>
          </w:tcPr>
          <w:p w14:paraId="3BE100DE" w14:textId="77777777" w:rsidR="007D706A" w:rsidRDefault="007D706A" w:rsidP="00F70508">
            <w:pPr>
              <w:pStyle w:val="ParagraphStyle12"/>
              <w:rPr>
                <w:rStyle w:val="CharacterStyle12"/>
              </w:rPr>
            </w:pPr>
            <w:r>
              <w:rPr>
                <w:rStyle w:val="CharacterStyle12"/>
              </w:rPr>
              <w:t>215.255,70</w:t>
            </w:r>
          </w:p>
        </w:tc>
        <w:tc>
          <w:tcPr>
            <w:tcW w:w="1395" w:type="dxa"/>
            <w:tcBorders>
              <w:bottom w:val="single" w:sz="6" w:space="0" w:color="000000"/>
              <w:right w:val="single" w:sz="6" w:space="0" w:color="000000"/>
            </w:tcBorders>
            <w:vAlign w:val="center"/>
          </w:tcPr>
          <w:p w14:paraId="41EB26BB" w14:textId="77777777" w:rsidR="007D706A" w:rsidRDefault="007D706A" w:rsidP="00F70508">
            <w:pPr>
              <w:pStyle w:val="ParagraphStyle12"/>
              <w:rPr>
                <w:rStyle w:val="CharacterStyle12"/>
              </w:rPr>
            </w:pPr>
            <w:r>
              <w:rPr>
                <w:rStyle w:val="CharacterStyle12"/>
              </w:rPr>
              <w:t>221.713,37</w:t>
            </w:r>
          </w:p>
        </w:tc>
        <w:tc>
          <w:tcPr>
            <w:tcW w:w="1395" w:type="dxa"/>
            <w:tcBorders>
              <w:bottom w:val="single" w:sz="6" w:space="0" w:color="000000"/>
              <w:right w:val="single" w:sz="6" w:space="0" w:color="000000"/>
            </w:tcBorders>
            <w:vAlign w:val="center"/>
          </w:tcPr>
          <w:p w14:paraId="7539A4DA" w14:textId="77777777" w:rsidR="007D706A" w:rsidRDefault="007D706A" w:rsidP="00F70508">
            <w:pPr>
              <w:pStyle w:val="ParagraphStyle12"/>
              <w:rPr>
                <w:rStyle w:val="CharacterStyle12"/>
              </w:rPr>
            </w:pPr>
            <w:r>
              <w:rPr>
                <w:rStyle w:val="CharacterStyle12"/>
              </w:rPr>
              <w:t>221.713,37</w:t>
            </w:r>
          </w:p>
        </w:tc>
      </w:tr>
      <w:tr w:rsidR="007D706A" w14:paraId="1AA1C89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767F26C"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29CBE836"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0E98245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DB673A4" w14:textId="77777777" w:rsidR="007D706A" w:rsidRDefault="007D706A" w:rsidP="00F70508">
            <w:pPr>
              <w:pStyle w:val="ParagraphStyle12"/>
              <w:rPr>
                <w:rStyle w:val="CharacterStyle12"/>
              </w:rPr>
            </w:pPr>
            <w:r>
              <w:rPr>
                <w:rStyle w:val="CharacterStyle12"/>
              </w:rPr>
              <w:t>46.405,00</w:t>
            </w:r>
          </w:p>
        </w:tc>
        <w:tc>
          <w:tcPr>
            <w:tcW w:w="1395" w:type="dxa"/>
            <w:tcBorders>
              <w:bottom w:val="single" w:sz="6" w:space="0" w:color="000000"/>
              <w:right w:val="single" w:sz="6" w:space="0" w:color="000000"/>
            </w:tcBorders>
            <w:vAlign w:val="center"/>
          </w:tcPr>
          <w:p w14:paraId="5B7F6592" w14:textId="77777777" w:rsidR="007D706A" w:rsidRDefault="007D706A" w:rsidP="00F70508">
            <w:pPr>
              <w:pStyle w:val="ParagraphStyle12"/>
              <w:rPr>
                <w:rStyle w:val="CharacterStyle12"/>
              </w:rPr>
            </w:pPr>
            <w:r>
              <w:rPr>
                <w:rStyle w:val="CharacterStyle12"/>
              </w:rPr>
              <w:t>45.205,00</w:t>
            </w:r>
          </w:p>
        </w:tc>
        <w:tc>
          <w:tcPr>
            <w:tcW w:w="1395" w:type="dxa"/>
            <w:tcBorders>
              <w:bottom w:val="single" w:sz="6" w:space="0" w:color="000000"/>
              <w:right w:val="single" w:sz="6" w:space="0" w:color="000000"/>
            </w:tcBorders>
            <w:vAlign w:val="center"/>
          </w:tcPr>
          <w:p w14:paraId="416869C8" w14:textId="77777777" w:rsidR="007D706A" w:rsidRDefault="007D706A" w:rsidP="00F70508">
            <w:pPr>
              <w:pStyle w:val="ParagraphStyle12"/>
              <w:rPr>
                <w:rStyle w:val="CharacterStyle12"/>
              </w:rPr>
            </w:pPr>
            <w:r>
              <w:rPr>
                <w:rStyle w:val="CharacterStyle12"/>
              </w:rPr>
              <w:t>46.561,15</w:t>
            </w:r>
          </w:p>
        </w:tc>
        <w:tc>
          <w:tcPr>
            <w:tcW w:w="1395" w:type="dxa"/>
            <w:tcBorders>
              <w:bottom w:val="single" w:sz="6" w:space="0" w:color="000000"/>
              <w:right w:val="single" w:sz="6" w:space="0" w:color="000000"/>
            </w:tcBorders>
            <w:vAlign w:val="center"/>
          </w:tcPr>
          <w:p w14:paraId="5DAEEC08" w14:textId="77777777" w:rsidR="007D706A" w:rsidRDefault="007D706A" w:rsidP="00F70508">
            <w:pPr>
              <w:pStyle w:val="ParagraphStyle12"/>
              <w:rPr>
                <w:rStyle w:val="CharacterStyle12"/>
              </w:rPr>
            </w:pPr>
            <w:r>
              <w:rPr>
                <w:rStyle w:val="CharacterStyle12"/>
              </w:rPr>
              <w:t>46.531,15</w:t>
            </w:r>
          </w:p>
        </w:tc>
      </w:tr>
      <w:tr w:rsidR="007D706A" w14:paraId="69D860F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B995951" w14:textId="77777777" w:rsidR="007D706A" w:rsidRDefault="007D706A" w:rsidP="00F70508">
            <w:pPr>
              <w:pStyle w:val="ParagraphStyle10"/>
              <w:rPr>
                <w:rStyle w:val="CharacterStyle10"/>
              </w:rPr>
            </w:pPr>
            <w:r>
              <w:rPr>
                <w:rStyle w:val="CharacterStyle10"/>
              </w:rPr>
              <w:t>34</w:t>
            </w:r>
          </w:p>
        </w:tc>
        <w:tc>
          <w:tcPr>
            <w:tcW w:w="4995" w:type="dxa"/>
            <w:tcBorders>
              <w:bottom w:val="single" w:sz="6" w:space="0" w:color="000000"/>
              <w:right w:val="single" w:sz="6" w:space="0" w:color="000000"/>
            </w:tcBorders>
            <w:vAlign w:val="center"/>
          </w:tcPr>
          <w:p w14:paraId="55045A0E" w14:textId="77777777" w:rsidR="007D706A" w:rsidRDefault="007D706A" w:rsidP="00F70508">
            <w:pPr>
              <w:pStyle w:val="ParagraphStyle11"/>
              <w:rPr>
                <w:rStyle w:val="CharacterStyle11"/>
              </w:rPr>
            </w:pPr>
            <w:r>
              <w:rPr>
                <w:rStyle w:val="CharacterStyle11"/>
              </w:rPr>
              <w:t>Financijski rashodi</w:t>
            </w:r>
          </w:p>
        </w:tc>
        <w:tc>
          <w:tcPr>
            <w:tcW w:w="1395" w:type="dxa"/>
            <w:tcBorders>
              <w:bottom w:val="single" w:sz="6" w:space="0" w:color="000000"/>
              <w:right w:val="single" w:sz="6" w:space="0" w:color="000000"/>
            </w:tcBorders>
            <w:vAlign w:val="center"/>
          </w:tcPr>
          <w:p w14:paraId="22FFBEE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84C5CE5" w14:textId="77777777" w:rsidR="007D706A" w:rsidRDefault="007D706A" w:rsidP="00F70508">
            <w:pPr>
              <w:pStyle w:val="ParagraphStyle12"/>
              <w:rPr>
                <w:rStyle w:val="CharacterStyle12"/>
              </w:rPr>
            </w:pPr>
            <w:r>
              <w:rPr>
                <w:rStyle w:val="CharacterStyle12"/>
              </w:rPr>
              <w:t>700,00</w:t>
            </w:r>
          </w:p>
        </w:tc>
        <w:tc>
          <w:tcPr>
            <w:tcW w:w="1395" w:type="dxa"/>
            <w:tcBorders>
              <w:bottom w:val="single" w:sz="6" w:space="0" w:color="000000"/>
              <w:right w:val="single" w:sz="6" w:space="0" w:color="000000"/>
            </w:tcBorders>
            <w:vAlign w:val="center"/>
          </w:tcPr>
          <w:p w14:paraId="34948C04" w14:textId="77777777" w:rsidR="007D706A" w:rsidRDefault="007D706A" w:rsidP="00F70508">
            <w:pPr>
              <w:pStyle w:val="ParagraphStyle12"/>
              <w:rPr>
                <w:rStyle w:val="CharacterStyle12"/>
              </w:rPr>
            </w:pPr>
            <w:r>
              <w:rPr>
                <w:rStyle w:val="CharacterStyle12"/>
              </w:rPr>
              <w:t>800,00</w:t>
            </w:r>
          </w:p>
        </w:tc>
        <w:tc>
          <w:tcPr>
            <w:tcW w:w="1395" w:type="dxa"/>
            <w:tcBorders>
              <w:bottom w:val="single" w:sz="6" w:space="0" w:color="000000"/>
              <w:right w:val="single" w:sz="6" w:space="0" w:color="000000"/>
            </w:tcBorders>
            <w:vAlign w:val="center"/>
          </w:tcPr>
          <w:p w14:paraId="41CC5297" w14:textId="77777777" w:rsidR="007D706A" w:rsidRDefault="007D706A" w:rsidP="00F70508">
            <w:pPr>
              <w:pStyle w:val="ParagraphStyle12"/>
              <w:rPr>
                <w:rStyle w:val="CharacterStyle12"/>
              </w:rPr>
            </w:pPr>
            <w:r>
              <w:rPr>
                <w:rStyle w:val="CharacterStyle12"/>
              </w:rPr>
              <w:t>824,00</w:t>
            </w:r>
          </w:p>
        </w:tc>
        <w:tc>
          <w:tcPr>
            <w:tcW w:w="1395" w:type="dxa"/>
            <w:tcBorders>
              <w:bottom w:val="single" w:sz="6" w:space="0" w:color="000000"/>
              <w:right w:val="single" w:sz="6" w:space="0" w:color="000000"/>
            </w:tcBorders>
            <w:vAlign w:val="center"/>
          </w:tcPr>
          <w:p w14:paraId="56893C3A" w14:textId="77777777" w:rsidR="007D706A" w:rsidRDefault="007D706A" w:rsidP="00F70508">
            <w:pPr>
              <w:pStyle w:val="ParagraphStyle12"/>
              <w:rPr>
                <w:rStyle w:val="CharacterStyle12"/>
              </w:rPr>
            </w:pPr>
            <w:r>
              <w:rPr>
                <w:rStyle w:val="CharacterStyle12"/>
              </w:rPr>
              <w:t>824,00</w:t>
            </w:r>
          </w:p>
        </w:tc>
      </w:tr>
      <w:tr w:rsidR="007D706A" w14:paraId="370F4DD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D0C28FD" w14:textId="77777777" w:rsidR="007D706A" w:rsidRDefault="007D706A" w:rsidP="00F70508">
            <w:pPr>
              <w:pStyle w:val="ParagraphStyle4"/>
              <w:rPr>
                <w:rStyle w:val="CharacterStyle4"/>
              </w:rPr>
            </w:pPr>
            <w:r>
              <w:rPr>
                <w:rStyle w:val="CharacterStyle4"/>
              </w:rPr>
              <w:t>Aktivnost A103904</w:t>
            </w:r>
          </w:p>
        </w:tc>
        <w:tc>
          <w:tcPr>
            <w:tcW w:w="4995" w:type="dxa"/>
            <w:tcBorders>
              <w:bottom w:val="single" w:sz="6" w:space="0" w:color="000000"/>
              <w:right w:val="single" w:sz="6" w:space="0" w:color="000000"/>
            </w:tcBorders>
            <w:vAlign w:val="center"/>
          </w:tcPr>
          <w:p w14:paraId="468D3C2A" w14:textId="77777777" w:rsidR="007D706A" w:rsidRDefault="007D706A" w:rsidP="00F70508">
            <w:pPr>
              <w:pStyle w:val="ParagraphStyle5"/>
              <w:rPr>
                <w:rStyle w:val="CharacterStyle5"/>
              </w:rPr>
            </w:pPr>
            <w:r>
              <w:rPr>
                <w:rStyle w:val="CharacterStyle5"/>
              </w:rPr>
              <w:t>DODATNI STANDARDI PROTUPOŽARNE ZAŠTITE - POSTROJBA</w:t>
            </w:r>
          </w:p>
        </w:tc>
        <w:tc>
          <w:tcPr>
            <w:tcW w:w="1395" w:type="dxa"/>
            <w:tcBorders>
              <w:bottom w:val="single" w:sz="6" w:space="0" w:color="000000"/>
              <w:right w:val="single" w:sz="6" w:space="0" w:color="000000"/>
            </w:tcBorders>
            <w:vAlign w:val="center"/>
          </w:tcPr>
          <w:p w14:paraId="3349F153"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36BBBD5E" w14:textId="77777777" w:rsidR="007D706A" w:rsidRDefault="007D706A" w:rsidP="00F70508">
            <w:pPr>
              <w:pStyle w:val="ParagraphStyle6"/>
              <w:rPr>
                <w:rStyle w:val="CharacterStyle6"/>
              </w:rPr>
            </w:pPr>
            <w:r>
              <w:rPr>
                <w:rStyle w:val="CharacterStyle6"/>
              </w:rPr>
              <w:t>1.625.907,18</w:t>
            </w:r>
          </w:p>
        </w:tc>
        <w:tc>
          <w:tcPr>
            <w:tcW w:w="1395" w:type="dxa"/>
            <w:tcBorders>
              <w:bottom w:val="single" w:sz="6" w:space="0" w:color="000000"/>
              <w:right w:val="single" w:sz="6" w:space="0" w:color="000000"/>
            </w:tcBorders>
            <w:vAlign w:val="center"/>
          </w:tcPr>
          <w:p w14:paraId="5B5C8C2C" w14:textId="77777777" w:rsidR="007D706A" w:rsidRDefault="007D706A" w:rsidP="00F70508">
            <w:pPr>
              <w:pStyle w:val="ParagraphStyle6"/>
              <w:rPr>
                <w:rStyle w:val="CharacterStyle6"/>
              </w:rPr>
            </w:pPr>
            <w:r>
              <w:rPr>
                <w:rStyle w:val="CharacterStyle6"/>
              </w:rPr>
              <w:t>1.661.451,66</w:t>
            </w:r>
          </w:p>
        </w:tc>
        <w:tc>
          <w:tcPr>
            <w:tcW w:w="1395" w:type="dxa"/>
            <w:tcBorders>
              <w:bottom w:val="single" w:sz="6" w:space="0" w:color="000000"/>
              <w:right w:val="single" w:sz="6" w:space="0" w:color="000000"/>
            </w:tcBorders>
            <w:vAlign w:val="center"/>
          </w:tcPr>
          <w:p w14:paraId="087A69B3" w14:textId="77777777" w:rsidR="007D706A" w:rsidRDefault="007D706A" w:rsidP="00F70508">
            <w:pPr>
              <w:pStyle w:val="ParagraphStyle6"/>
              <w:rPr>
                <w:rStyle w:val="CharacterStyle6"/>
              </w:rPr>
            </w:pPr>
            <w:r>
              <w:rPr>
                <w:rStyle w:val="CharacterStyle6"/>
              </w:rPr>
              <w:t>1.706.592,00</w:t>
            </w:r>
          </w:p>
        </w:tc>
        <w:tc>
          <w:tcPr>
            <w:tcW w:w="1395" w:type="dxa"/>
            <w:tcBorders>
              <w:bottom w:val="single" w:sz="6" w:space="0" w:color="000000"/>
              <w:right w:val="single" w:sz="6" w:space="0" w:color="000000"/>
            </w:tcBorders>
            <w:vAlign w:val="center"/>
          </w:tcPr>
          <w:p w14:paraId="5B35B937" w14:textId="77777777" w:rsidR="007D706A" w:rsidRDefault="007D706A" w:rsidP="00F70508">
            <w:pPr>
              <w:pStyle w:val="ParagraphStyle6"/>
              <w:rPr>
                <w:rStyle w:val="CharacterStyle6"/>
              </w:rPr>
            </w:pPr>
            <w:r>
              <w:rPr>
                <w:rStyle w:val="CharacterStyle6"/>
              </w:rPr>
              <w:t>1.731.121,00</w:t>
            </w:r>
          </w:p>
        </w:tc>
      </w:tr>
      <w:tr w:rsidR="007D706A" w14:paraId="6F91D5D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12B2426"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4F16B23A"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34C02E8B"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BC64B4F" w14:textId="77777777" w:rsidR="007D706A" w:rsidRDefault="007D706A" w:rsidP="00F70508">
            <w:pPr>
              <w:pStyle w:val="ParagraphStyle9"/>
              <w:rPr>
                <w:rStyle w:val="CharacterStyle9"/>
              </w:rPr>
            </w:pPr>
            <w:r>
              <w:rPr>
                <w:rStyle w:val="CharacterStyle9"/>
              </w:rPr>
              <w:t>1.270.236,16</w:t>
            </w:r>
          </w:p>
        </w:tc>
        <w:tc>
          <w:tcPr>
            <w:tcW w:w="1395" w:type="dxa"/>
            <w:tcBorders>
              <w:bottom w:val="single" w:sz="6" w:space="0" w:color="000000"/>
              <w:right w:val="single" w:sz="6" w:space="0" w:color="000000"/>
            </w:tcBorders>
            <w:vAlign w:val="center"/>
          </w:tcPr>
          <w:p w14:paraId="1143F41D" w14:textId="77777777" w:rsidR="007D706A" w:rsidRDefault="007D706A" w:rsidP="00F70508">
            <w:pPr>
              <w:pStyle w:val="ParagraphStyle9"/>
              <w:rPr>
                <w:rStyle w:val="CharacterStyle9"/>
              </w:rPr>
            </w:pPr>
            <w:r>
              <w:rPr>
                <w:rStyle w:val="CharacterStyle9"/>
              </w:rPr>
              <w:t>1.309.806,66</w:t>
            </w:r>
          </w:p>
        </w:tc>
        <w:tc>
          <w:tcPr>
            <w:tcW w:w="1395" w:type="dxa"/>
            <w:tcBorders>
              <w:bottom w:val="single" w:sz="6" w:space="0" w:color="000000"/>
              <w:right w:val="single" w:sz="6" w:space="0" w:color="000000"/>
            </w:tcBorders>
            <w:vAlign w:val="center"/>
          </w:tcPr>
          <w:p w14:paraId="76F8AAEA" w14:textId="77777777" w:rsidR="007D706A" w:rsidRDefault="007D706A" w:rsidP="00F70508">
            <w:pPr>
              <w:pStyle w:val="ParagraphStyle9"/>
              <w:rPr>
                <w:rStyle w:val="CharacterStyle9"/>
              </w:rPr>
            </w:pPr>
            <w:r>
              <w:rPr>
                <w:rStyle w:val="CharacterStyle9"/>
              </w:rPr>
              <w:t>1.344.592,00</w:t>
            </w:r>
          </w:p>
        </w:tc>
        <w:tc>
          <w:tcPr>
            <w:tcW w:w="1395" w:type="dxa"/>
            <w:tcBorders>
              <w:bottom w:val="single" w:sz="6" w:space="0" w:color="000000"/>
              <w:right w:val="single" w:sz="6" w:space="0" w:color="000000"/>
            </w:tcBorders>
            <w:vAlign w:val="center"/>
          </w:tcPr>
          <w:p w14:paraId="3CC1BD8E" w14:textId="77777777" w:rsidR="007D706A" w:rsidRDefault="007D706A" w:rsidP="00F70508">
            <w:pPr>
              <w:pStyle w:val="ParagraphStyle9"/>
              <w:rPr>
                <w:rStyle w:val="CharacterStyle9"/>
              </w:rPr>
            </w:pPr>
            <w:r>
              <w:rPr>
                <w:rStyle w:val="CharacterStyle9"/>
              </w:rPr>
              <w:t>1.363.121,00</w:t>
            </w:r>
          </w:p>
        </w:tc>
      </w:tr>
      <w:tr w:rsidR="007D706A" w14:paraId="1BC0DC6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8C4759D"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33E0D4FD"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5357B64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6F9208D" w14:textId="77777777" w:rsidR="007D706A" w:rsidRDefault="007D706A" w:rsidP="00F70508">
            <w:pPr>
              <w:pStyle w:val="ParagraphStyle12"/>
              <w:rPr>
                <w:rStyle w:val="CharacterStyle12"/>
              </w:rPr>
            </w:pPr>
            <w:r>
              <w:rPr>
                <w:rStyle w:val="CharacterStyle12"/>
              </w:rPr>
              <w:t>1.270.236,16</w:t>
            </w:r>
          </w:p>
        </w:tc>
        <w:tc>
          <w:tcPr>
            <w:tcW w:w="1395" w:type="dxa"/>
            <w:tcBorders>
              <w:bottom w:val="single" w:sz="6" w:space="0" w:color="000000"/>
              <w:right w:val="single" w:sz="6" w:space="0" w:color="000000"/>
            </w:tcBorders>
            <w:vAlign w:val="center"/>
          </w:tcPr>
          <w:p w14:paraId="7E62C219" w14:textId="77777777" w:rsidR="007D706A" w:rsidRDefault="007D706A" w:rsidP="00F70508">
            <w:pPr>
              <w:pStyle w:val="ParagraphStyle12"/>
              <w:rPr>
                <w:rStyle w:val="CharacterStyle12"/>
              </w:rPr>
            </w:pPr>
            <w:r>
              <w:rPr>
                <w:rStyle w:val="CharacterStyle12"/>
              </w:rPr>
              <w:t>1.309.806,66</w:t>
            </w:r>
          </w:p>
        </w:tc>
        <w:tc>
          <w:tcPr>
            <w:tcW w:w="1395" w:type="dxa"/>
            <w:tcBorders>
              <w:bottom w:val="single" w:sz="6" w:space="0" w:color="000000"/>
              <w:right w:val="single" w:sz="6" w:space="0" w:color="000000"/>
            </w:tcBorders>
            <w:vAlign w:val="center"/>
          </w:tcPr>
          <w:p w14:paraId="2DBD231B" w14:textId="77777777" w:rsidR="007D706A" w:rsidRDefault="007D706A" w:rsidP="00F70508">
            <w:pPr>
              <w:pStyle w:val="ParagraphStyle12"/>
              <w:rPr>
                <w:rStyle w:val="CharacterStyle12"/>
              </w:rPr>
            </w:pPr>
            <w:r>
              <w:rPr>
                <w:rStyle w:val="CharacterStyle12"/>
              </w:rPr>
              <w:t>1.344.592,00</w:t>
            </w:r>
          </w:p>
        </w:tc>
        <w:tc>
          <w:tcPr>
            <w:tcW w:w="1395" w:type="dxa"/>
            <w:tcBorders>
              <w:bottom w:val="single" w:sz="6" w:space="0" w:color="000000"/>
              <w:right w:val="single" w:sz="6" w:space="0" w:color="000000"/>
            </w:tcBorders>
            <w:vAlign w:val="center"/>
          </w:tcPr>
          <w:p w14:paraId="4BF89D8C" w14:textId="77777777" w:rsidR="007D706A" w:rsidRDefault="007D706A" w:rsidP="00F70508">
            <w:pPr>
              <w:pStyle w:val="ParagraphStyle12"/>
              <w:rPr>
                <w:rStyle w:val="CharacterStyle12"/>
              </w:rPr>
            </w:pPr>
            <w:r>
              <w:rPr>
                <w:rStyle w:val="CharacterStyle12"/>
              </w:rPr>
              <w:t>1.363.121,00</w:t>
            </w:r>
          </w:p>
        </w:tc>
      </w:tr>
      <w:tr w:rsidR="007D706A" w14:paraId="460D97D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0D50FE6" w14:textId="77777777" w:rsidR="007D706A" w:rsidRDefault="007D706A" w:rsidP="00F70508">
            <w:pPr>
              <w:pStyle w:val="ParagraphStyle10"/>
              <w:rPr>
                <w:rStyle w:val="CharacterStyle10"/>
              </w:rPr>
            </w:pPr>
            <w:r>
              <w:rPr>
                <w:rStyle w:val="CharacterStyle10"/>
              </w:rPr>
              <w:t>31</w:t>
            </w:r>
          </w:p>
        </w:tc>
        <w:tc>
          <w:tcPr>
            <w:tcW w:w="4995" w:type="dxa"/>
            <w:tcBorders>
              <w:bottom w:val="single" w:sz="6" w:space="0" w:color="000000"/>
              <w:right w:val="single" w:sz="6" w:space="0" w:color="000000"/>
            </w:tcBorders>
            <w:vAlign w:val="center"/>
          </w:tcPr>
          <w:p w14:paraId="18CFBD47" w14:textId="77777777" w:rsidR="007D706A" w:rsidRDefault="007D706A" w:rsidP="00F70508">
            <w:pPr>
              <w:pStyle w:val="ParagraphStyle11"/>
              <w:rPr>
                <w:rStyle w:val="CharacterStyle11"/>
              </w:rPr>
            </w:pPr>
            <w:r>
              <w:rPr>
                <w:rStyle w:val="CharacterStyle11"/>
              </w:rPr>
              <w:t>Rashodi za zaposlene</w:t>
            </w:r>
          </w:p>
        </w:tc>
        <w:tc>
          <w:tcPr>
            <w:tcW w:w="1395" w:type="dxa"/>
            <w:tcBorders>
              <w:bottom w:val="single" w:sz="6" w:space="0" w:color="000000"/>
              <w:right w:val="single" w:sz="6" w:space="0" w:color="000000"/>
            </w:tcBorders>
            <w:vAlign w:val="center"/>
          </w:tcPr>
          <w:p w14:paraId="749D14A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92E0590" w14:textId="77777777" w:rsidR="007D706A" w:rsidRDefault="007D706A" w:rsidP="00F70508">
            <w:pPr>
              <w:pStyle w:val="ParagraphStyle12"/>
              <w:rPr>
                <w:rStyle w:val="CharacterStyle12"/>
              </w:rPr>
            </w:pPr>
            <w:r>
              <w:rPr>
                <w:rStyle w:val="CharacterStyle12"/>
              </w:rPr>
              <w:t>1.049.117,77</w:t>
            </w:r>
          </w:p>
        </w:tc>
        <w:tc>
          <w:tcPr>
            <w:tcW w:w="1395" w:type="dxa"/>
            <w:tcBorders>
              <w:bottom w:val="single" w:sz="6" w:space="0" w:color="000000"/>
              <w:right w:val="single" w:sz="6" w:space="0" w:color="000000"/>
            </w:tcBorders>
            <w:vAlign w:val="center"/>
          </w:tcPr>
          <w:p w14:paraId="05983677" w14:textId="77777777" w:rsidR="007D706A" w:rsidRDefault="007D706A" w:rsidP="00F70508">
            <w:pPr>
              <w:pStyle w:val="ParagraphStyle12"/>
              <w:rPr>
                <w:rStyle w:val="CharacterStyle12"/>
              </w:rPr>
            </w:pPr>
            <w:r>
              <w:rPr>
                <w:rStyle w:val="CharacterStyle12"/>
              </w:rPr>
              <w:t>1.120.414,00</w:t>
            </w:r>
          </w:p>
        </w:tc>
        <w:tc>
          <w:tcPr>
            <w:tcW w:w="1395" w:type="dxa"/>
            <w:tcBorders>
              <w:bottom w:val="single" w:sz="6" w:space="0" w:color="000000"/>
              <w:right w:val="single" w:sz="6" w:space="0" w:color="000000"/>
            </w:tcBorders>
            <w:vAlign w:val="center"/>
          </w:tcPr>
          <w:p w14:paraId="3B6E1BD8" w14:textId="77777777" w:rsidR="007D706A" w:rsidRDefault="007D706A" w:rsidP="00F70508">
            <w:pPr>
              <w:pStyle w:val="ParagraphStyle12"/>
              <w:rPr>
                <w:rStyle w:val="CharacterStyle12"/>
              </w:rPr>
            </w:pPr>
            <w:r>
              <w:rPr>
                <w:rStyle w:val="CharacterStyle12"/>
              </w:rPr>
              <w:t>1.125.000,00</w:t>
            </w:r>
          </w:p>
        </w:tc>
        <w:tc>
          <w:tcPr>
            <w:tcW w:w="1395" w:type="dxa"/>
            <w:tcBorders>
              <w:bottom w:val="single" w:sz="6" w:space="0" w:color="000000"/>
              <w:right w:val="single" w:sz="6" w:space="0" w:color="000000"/>
            </w:tcBorders>
            <w:vAlign w:val="center"/>
          </w:tcPr>
          <w:p w14:paraId="0A2EF22E" w14:textId="77777777" w:rsidR="007D706A" w:rsidRDefault="007D706A" w:rsidP="00F70508">
            <w:pPr>
              <w:pStyle w:val="ParagraphStyle12"/>
              <w:rPr>
                <w:rStyle w:val="CharacterStyle12"/>
              </w:rPr>
            </w:pPr>
            <w:r>
              <w:rPr>
                <w:rStyle w:val="CharacterStyle12"/>
              </w:rPr>
              <w:t>1.135.000,00</w:t>
            </w:r>
          </w:p>
        </w:tc>
      </w:tr>
      <w:tr w:rsidR="007D706A" w14:paraId="75F1902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286F7BD"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5EDABEF6"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08DCD12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A500987" w14:textId="77777777" w:rsidR="007D706A" w:rsidRDefault="007D706A" w:rsidP="00F70508">
            <w:pPr>
              <w:pStyle w:val="ParagraphStyle12"/>
              <w:rPr>
                <w:rStyle w:val="CharacterStyle12"/>
              </w:rPr>
            </w:pPr>
            <w:r>
              <w:rPr>
                <w:rStyle w:val="CharacterStyle12"/>
              </w:rPr>
              <w:t>221.118,39</w:t>
            </w:r>
          </w:p>
        </w:tc>
        <w:tc>
          <w:tcPr>
            <w:tcW w:w="1395" w:type="dxa"/>
            <w:tcBorders>
              <w:bottom w:val="single" w:sz="6" w:space="0" w:color="000000"/>
              <w:right w:val="single" w:sz="6" w:space="0" w:color="000000"/>
            </w:tcBorders>
            <w:vAlign w:val="center"/>
          </w:tcPr>
          <w:p w14:paraId="0B8A4368" w14:textId="77777777" w:rsidR="007D706A" w:rsidRDefault="007D706A" w:rsidP="00F70508">
            <w:pPr>
              <w:pStyle w:val="ParagraphStyle12"/>
              <w:rPr>
                <w:rStyle w:val="CharacterStyle12"/>
              </w:rPr>
            </w:pPr>
            <w:r>
              <w:rPr>
                <w:rStyle w:val="CharacterStyle12"/>
              </w:rPr>
              <w:t>189.392,66</w:t>
            </w:r>
          </w:p>
        </w:tc>
        <w:tc>
          <w:tcPr>
            <w:tcW w:w="1395" w:type="dxa"/>
            <w:tcBorders>
              <w:bottom w:val="single" w:sz="6" w:space="0" w:color="000000"/>
              <w:right w:val="single" w:sz="6" w:space="0" w:color="000000"/>
            </w:tcBorders>
            <w:vAlign w:val="center"/>
          </w:tcPr>
          <w:p w14:paraId="5248AB92" w14:textId="77777777" w:rsidR="007D706A" w:rsidRDefault="007D706A" w:rsidP="00F70508">
            <w:pPr>
              <w:pStyle w:val="ParagraphStyle12"/>
              <w:rPr>
                <w:rStyle w:val="CharacterStyle12"/>
              </w:rPr>
            </w:pPr>
            <w:r>
              <w:rPr>
                <w:rStyle w:val="CharacterStyle12"/>
              </w:rPr>
              <w:t>219.592,00</w:t>
            </w:r>
          </w:p>
        </w:tc>
        <w:tc>
          <w:tcPr>
            <w:tcW w:w="1395" w:type="dxa"/>
            <w:tcBorders>
              <w:bottom w:val="single" w:sz="6" w:space="0" w:color="000000"/>
              <w:right w:val="single" w:sz="6" w:space="0" w:color="000000"/>
            </w:tcBorders>
            <w:vAlign w:val="center"/>
          </w:tcPr>
          <w:p w14:paraId="48EAE21F" w14:textId="77777777" w:rsidR="007D706A" w:rsidRDefault="007D706A" w:rsidP="00F70508">
            <w:pPr>
              <w:pStyle w:val="ParagraphStyle12"/>
              <w:rPr>
                <w:rStyle w:val="CharacterStyle12"/>
              </w:rPr>
            </w:pPr>
            <w:r>
              <w:rPr>
                <w:rStyle w:val="CharacterStyle12"/>
              </w:rPr>
              <w:t>228.121,00</w:t>
            </w:r>
          </w:p>
        </w:tc>
      </w:tr>
      <w:tr w:rsidR="007D706A" w14:paraId="7C1CCBD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F353B82" w14:textId="77777777" w:rsidR="007D706A" w:rsidRDefault="007D706A" w:rsidP="00F70508">
            <w:pPr>
              <w:pStyle w:val="ParagraphStyle7"/>
              <w:rPr>
                <w:rStyle w:val="CharacterStyle7"/>
              </w:rPr>
            </w:pPr>
            <w:r>
              <w:rPr>
                <w:rStyle w:val="CharacterStyle7"/>
              </w:rPr>
              <w:t>Izvor financiranja 31</w:t>
            </w:r>
          </w:p>
        </w:tc>
        <w:tc>
          <w:tcPr>
            <w:tcW w:w="4995" w:type="dxa"/>
            <w:tcBorders>
              <w:bottom w:val="single" w:sz="6" w:space="0" w:color="000000"/>
              <w:right w:val="single" w:sz="6" w:space="0" w:color="000000"/>
            </w:tcBorders>
            <w:vAlign w:val="center"/>
          </w:tcPr>
          <w:p w14:paraId="4838BB60" w14:textId="77777777" w:rsidR="007D706A" w:rsidRDefault="007D706A" w:rsidP="00F70508">
            <w:pPr>
              <w:pStyle w:val="ParagraphStyle8"/>
              <w:rPr>
                <w:rStyle w:val="CharacterStyle8"/>
              </w:rPr>
            </w:pPr>
            <w:r>
              <w:rPr>
                <w:rStyle w:val="CharacterStyle8"/>
              </w:rPr>
              <w:t>Vlastiti prihodi</w:t>
            </w:r>
          </w:p>
        </w:tc>
        <w:tc>
          <w:tcPr>
            <w:tcW w:w="1395" w:type="dxa"/>
            <w:tcBorders>
              <w:bottom w:val="single" w:sz="6" w:space="0" w:color="000000"/>
              <w:right w:val="single" w:sz="6" w:space="0" w:color="000000"/>
            </w:tcBorders>
            <w:vAlign w:val="center"/>
          </w:tcPr>
          <w:p w14:paraId="437920D9"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8EE0FE8" w14:textId="77777777" w:rsidR="007D706A" w:rsidRDefault="007D706A" w:rsidP="00F70508">
            <w:pPr>
              <w:pStyle w:val="ParagraphStyle9"/>
              <w:rPr>
                <w:rStyle w:val="CharacterStyle9"/>
              </w:rPr>
            </w:pPr>
            <w:r>
              <w:rPr>
                <w:rStyle w:val="CharacterStyle9"/>
              </w:rPr>
              <w:t>17.000,00</w:t>
            </w:r>
          </w:p>
        </w:tc>
        <w:tc>
          <w:tcPr>
            <w:tcW w:w="1395" w:type="dxa"/>
            <w:tcBorders>
              <w:bottom w:val="single" w:sz="6" w:space="0" w:color="000000"/>
              <w:right w:val="single" w:sz="6" w:space="0" w:color="000000"/>
            </w:tcBorders>
            <w:vAlign w:val="center"/>
          </w:tcPr>
          <w:p w14:paraId="7FE50068" w14:textId="77777777" w:rsidR="007D706A" w:rsidRDefault="007D706A" w:rsidP="00F70508">
            <w:pPr>
              <w:pStyle w:val="ParagraphStyle9"/>
              <w:rPr>
                <w:rStyle w:val="CharacterStyle9"/>
              </w:rPr>
            </w:pPr>
            <w:r>
              <w:rPr>
                <w:rStyle w:val="CharacterStyle9"/>
              </w:rPr>
              <w:t>17.000,00</w:t>
            </w:r>
          </w:p>
        </w:tc>
        <w:tc>
          <w:tcPr>
            <w:tcW w:w="1395" w:type="dxa"/>
            <w:tcBorders>
              <w:bottom w:val="single" w:sz="6" w:space="0" w:color="000000"/>
              <w:right w:val="single" w:sz="6" w:space="0" w:color="000000"/>
            </w:tcBorders>
            <w:vAlign w:val="center"/>
          </w:tcPr>
          <w:p w14:paraId="0F4DA0C7" w14:textId="77777777" w:rsidR="007D706A" w:rsidRDefault="007D706A" w:rsidP="00F70508">
            <w:pPr>
              <w:pStyle w:val="ParagraphStyle9"/>
              <w:rPr>
                <w:rStyle w:val="CharacterStyle9"/>
              </w:rPr>
            </w:pPr>
            <w:r>
              <w:rPr>
                <w:rStyle w:val="CharacterStyle9"/>
              </w:rPr>
              <w:t>17.000,00</w:t>
            </w:r>
          </w:p>
        </w:tc>
        <w:tc>
          <w:tcPr>
            <w:tcW w:w="1395" w:type="dxa"/>
            <w:tcBorders>
              <w:bottom w:val="single" w:sz="6" w:space="0" w:color="000000"/>
              <w:right w:val="single" w:sz="6" w:space="0" w:color="000000"/>
            </w:tcBorders>
            <w:vAlign w:val="center"/>
          </w:tcPr>
          <w:p w14:paraId="301DA3AC" w14:textId="77777777" w:rsidR="007D706A" w:rsidRDefault="007D706A" w:rsidP="00F70508">
            <w:pPr>
              <w:pStyle w:val="ParagraphStyle9"/>
              <w:rPr>
                <w:rStyle w:val="CharacterStyle9"/>
              </w:rPr>
            </w:pPr>
            <w:r>
              <w:rPr>
                <w:rStyle w:val="CharacterStyle9"/>
              </w:rPr>
              <w:t>17.000,00</w:t>
            </w:r>
          </w:p>
        </w:tc>
      </w:tr>
      <w:tr w:rsidR="007D706A" w14:paraId="754DBAF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7C5909C"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71499AD8"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2FC6392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28B10D6" w14:textId="77777777" w:rsidR="007D706A" w:rsidRDefault="007D706A" w:rsidP="00F70508">
            <w:pPr>
              <w:pStyle w:val="ParagraphStyle12"/>
              <w:rPr>
                <w:rStyle w:val="CharacterStyle12"/>
              </w:rPr>
            </w:pPr>
            <w:r>
              <w:rPr>
                <w:rStyle w:val="CharacterStyle12"/>
              </w:rPr>
              <w:t>17.000,00</w:t>
            </w:r>
          </w:p>
        </w:tc>
        <w:tc>
          <w:tcPr>
            <w:tcW w:w="1395" w:type="dxa"/>
            <w:tcBorders>
              <w:bottom w:val="single" w:sz="6" w:space="0" w:color="000000"/>
              <w:right w:val="single" w:sz="6" w:space="0" w:color="000000"/>
            </w:tcBorders>
            <w:vAlign w:val="center"/>
          </w:tcPr>
          <w:p w14:paraId="0C11DE20" w14:textId="77777777" w:rsidR="007D706A" w:rsidRDefault="007D706A" w:rsidP="00F70508">
            <w:pPr>
              <w:pStyle w:val="ParagraphStyle12"/>
              <w:rPr>
                <w:rStyle w:val="CharacterStyle12"/>
              </w:rPr>
            </w:pPr>
            <w:r>
              <w:rPr>
                <w:rStyle w:val="CharacterStyle12"/>
              </w:rPr>
              <w:t>17.000,00</w:t>
            </w:r>
          </w:p>
        </w:tc>
        <w:tc>
          <w:tcPr>
            <w:tcW w:w="1395" w:type="dxa"/>
            <w:tcBorders>
              <w:bottom w:val="single" w:sz="6" w:space="0" w:color="000000"/>
              <w:right w:val="single" w:sz="6" w:space="0" w:color="000000"/>
            </w:tcBorders>
            <w:vAlign w:val="center"/>
          </w:tcPr>
          <w:p w14:paraId="2483392F" w14:textId="77777777" w:rsidR="007D706A" w:rsidRDefault="007D706A" w:rsidP="00F70508">
            <w:pPr>
              <w:pStyle w:val="ParagraphStyle12"/>
              <w:rPr>
                <w:rStyle w:val="CharacterStyle12"/>
              </w:rPr>
            </w:pPr>
            <w:r>
              <w:rPr>
                <w:rStyle w:val="CharacterStyle12"/>
              </w:rPr>
              <w:t>17.000,00</w:t>
            </w:r>
          </w:p>
        </w:tc>
        <w:tc>
          <w:tcPr>
            <w:tcW w:w="1395" w:type="dxa"/>
            <w:tcBorders>
              <w:bottom w:val="single" w:sz="6" w:space="0" w:color="000000"/>
              <w:right w:val="single" w:sz="6" w:space="0" w:color="000000"/>
            </w:tcBorders>
            <w:vAlign w:val="center"/>
          </w:tcPr>
          <w:p w14:paraId="59358575" w14:textId="77777777" w:rsidR="007D706A" w:rsidRDefault="007D706A" w:rsidP="00F70508">
            <w:pPr>
              <w:pStyle w:val="ParagraphStyle12"/>
              <w:rPr>
                <w:rStyle w:val="CharacterStyle12"/>
              </w:rPr>
            </w:pPr>
            <w:r>
              <w:rPr>
                <w:rStyle w:val="CharacterStyle12"/>
              </w:rPr>
              <w:t>17.000,00</w:t>
            </w:r>
          </w:p>
        </w:tc>
      </w:tr>
      <w:tr w:rsidR="007D706A" w14:paraId="79D65E2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20B3B73"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43F485D1"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16BE710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301F12E" w14:textId="77777777" w:rsidR="007D706A" w:rsidRDefault="007D706A" w:rsidP="00F70508">
            <w:pPr>
              <w:pStyle w:val="ParagraphStyle12"/>
              <w:rPr>
                <w:rStyle w:val="CharacterStyle12"/>
              </w:rPr>
            </w:pPr>
            <w:r>
              <w:rPr>
                <w:rStyle w:val="CharacterStyle12"/>
              </w:rPr>
              <w:t>17.000,00</w:t>
            </w:r>
          </w:p>
        </w:tc>
        <w:tc>
          <w:tcPr>
            <w:tcW w:w="1395" w:type="dxa"/>
            <w:tcBorders>
              <w:bottom w:val="single" w:sz="6" w:space="0" w:color="000000"/>
              <w:right w:val="single" w:sz="6" w:space="0" w:color="000000"/>
            </w:tcBorders>
            <w:vAlign w:val="center"/>
          </w:tcPr>
          <w:p w14:paraId="1C8E45EF" w14:textId="77777777" w:rsidR="007D706A" w:rsidRDefault="007D706A" w:rsidP="00F70508">
            <w:pPr>
              <w:pStyle w:val="ParagraphStyle12"/>
              <w:rPr>
                <w:rStyle w:val="CharacterStyle12"/>
              </w:rPr>
            </w:pPr>
            <w:r>
              <w:rPr>
                <w:rStyle w:val="CharacterStyle12"/>
              </w:rPr>
              <w:t>17.000,00</w:t>
            </w:r>
          </w:p>
        </w:tc>
        <w:tc>
          <w:tcPr>
            <w:tcW w:w="1395" w:type="dxa"/>
            <w:tcBorders>
              <w:bottom w:val="single" w:sz="6" w:space="0" w:color="000000"/>
              <w:right w:val="single" w:sz="6" w:space="0" w:color="000000"/>
            </w:tcBorders>
            <w:vAlign w:val="center"/>
          </w:tcPr>
          <w:p w14:paraId="191D9B99" w14:textId="77777777" w:rsidR="007D706A" w:rsidRDefault="007D706A" w:rsidP="00F70508">
            <w:pPr>
              <w:pStyle w:val="ParagraphStyle12"/>
              <w:rPr>
                <w:rStyle w:val="CharacterStyle12"/>
              </w:rPr>
            </w:pPr>
            <w:r>
              <w:rPr>
                <w:rStyle w:val="CharacterStyle12"/>
              </w:rPr>
              <w:t>17.000,00</w:t>
            </w:r>
          </w:p>
        </w:tc>
        <w:tc>
          <w:tcPr>
            <w:tcW w:w="1395" w:type="dxa"/>
            <w:tcBorders>
              <w:bottom w:val="single" w:sz="6" w:space="0" w:color="000000"/>
              <w:right w:val="single" w:sz="6" w:space="0" w:color="000000"/>
            </w:tcBorders>
            <w:vAlign w:val="center"/>
          </w:tcPr>
          <w:p w14:paraId="1FE6F1C9" w14:textId="77777777" w:rsidR="007D706A" w:rsidRDefault="007D706A" w:rsidP="00F70508">
            <w:pPr>
              <w:pStyle w:val="ParagraphStyle12"/>
              <w:rPr>
                <w:rStyle w:val="CharacterStyle12"/>
              </w:rPr>
            </w:pPr>
            <w:r>
              <w:rPr>
                <w:rStyle w:val="CharacterStyle12"/>
              </w:rPr>
              <w:t>17.000,00</w:t>
            </w:r>
          </w:p>
        </w:tc>
      </w:tr>
      <w:tr w:rsidR="007D706A" w14:paraId="4C0ED2E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FE69F23" w14:textId="77777777" w:rsidR="007D706A" w:rsidRDefault="007D706A" w:rsidP="00F70508">
            <w:pPr>
              <w:pStyle w:val="ParagraphStyle7"/>
              <w:rPr>
                <w:rStyle w:val="CharacterStyle7"/>
              </w:rPr>
            </w:pPr>
            <w:r>
              <w:rPr>
                <w:rStyle w:val="CharacterStyle7"/>
              </w:rPr>
              <w:t>Izvor financiranja 5</w:t>
            </w:r>
          </w:p>
        </w:tc>
        <w:tc>
          <w:tcPr>
            <w:tcW w:w="4995" w:type="dxa"/>
            <w:tcBorders>
              <w:bottom w:val="single" w:sz="6" w:space="0" w:color="000000"/>
              <w:right w:val="single" w:sz="6" w:space="0" w:color="000000"/>
            </w:tcBorders>
            <w:vAlign w:val="center"/>
          </w:tcPr>
          <w:p w14:paraId="3D73D88F" w14:textId="77777777" w:rsidR="007D706A" w:rsidRDefault="007D706A" w:rsidP="00F70508">
            <w:pPr>
              <w:pStyle w:val="ParagraphStyle8"/>
              <w:rPr>
                <w:rStyle w:val="CharacterStyle8"/>
              </w:rPr>
            </w:pPr>
            <w:r>
              <w:rPr>
                <w:rStyle w:val="CharacterStyle8"/>
              </w:rPr>
              <w:t>POMOĆI</w:t>
            </w:r>
          </w:p>
        </w:tc>
        <w:tc>
          <w:tcPr>
            <w:tcW w:w="1395" w:type="dxa"/>
            <w:tcBorders>
              <w:bottom w:val="single" w:sz="6" w:space="0" w:color="000000"/>
              <w:right w:val="single" w:sz="6" w:space="0" w:color="000000"/>
            </w:tcBorders>
            <w:vAlign w:val="center"/>
          </w:tcPr>
          <w:p w14:paraId="2047AD6F"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8D539BD"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714ED44" w14:textId="77777777" w:rsidR="007D706A" w:rsidRDefault="007D706A" w:rsidP="00F70508">
            <w:pPr>
              <w:pStyle w:val="ParagraphStyle9"/>
              <w:rPr>
                <w:rStyle w:val="CharacterStyle9"/>
              </w:rPr>
            </w:pPr>
            <w:r>
              <w:rPr>
                <w:rStyle w:val="CharacterStyle9"/>
              </w:rPr>
              <w:t>334.645,00</w:t>
            </w:r>
          </w:p>
        </w:tc>
        <w:tc>
          <w:tcPr>
            <w:tcW w:w="1395" w:type="dxa"/>
            <w:tcBorders>
              <w:bottom w:val="single" w:sz="6" w:space="0" w:color="000000"/>
              <w:right w:val="single" w:sz="6" w:space="0" w:color="000000"/>
            </w:tcBorders>
            <w:vAlign w:val="center"/>
          </w:tcPr>
          <w:p w14:paraId="68DF08DE" w14:textId="77777777" w:rsidR="007D706A" w:rsidRDefault="007D706A" w:rsidP="00F70508">
            <w:pPr>
              <w:pStyle w:val="ParagraphStyle9"/>
              <w:rPr>
                <w:rStyle w:val="CharacterStyle9"/>
              </w:rPr>
            </w:pPr>
            <w:r>
              <w:rPr>
                <w:rStyle w:val="CharacterStyle9"/>
              </w:rPr>
              <w:t>345.000,00</w:t>
            </w:r>
          </w:p>
        </w:tc>
        <w:tc>
          <w:tcPr>
            <w:tcW w:w="1395" w:type="dxa"/>
            <w:tcBorders>
              <w:bottom w:val="single" w:sz="6" w:space="0" w:color="000000"/>
              <w:right w:val="single" w:sz="6" w:space="0" w:color="000000"/>
            </w:tcBorders>
            <w:vAlign w:val="center"/>
          </w:tcPr>
          <w:p w14:paraId="4F640B35" w14:textId="77777777" w:rsidR="007D706A" w:rsidRDefault="007D706A" w:rsidP="00F70508">
            <w:pPr>
              <w:pStyle w:val="ParagraphStyle9"/>
              <w:rPr>
                <w:rStyle w:val="CharacterStyle9"/>
              </w:rPr>
            </w:pPr>
            <w:r>
              <w:rPr>
                <w:rStyle w:val="CharacterStyle9"/>
              </w:rPr>
              <w:t>351.000,00</w:t>
            </w:r>
          </w:p>
        </w:tc>
      </w:tr>
      <w:tr w:rsidR="007D706A" w14:paraId="6B6C4CA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FBEFD21"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0D01C0D2"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174EE61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8DD19B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52FEE12" w14:textId="77777777" w:rsidR="007D706A" w:rsidRDefault="007D706A" w:rsidP="00F70508">
            <w:pPr>
              <w:pStyle w:val="ParagraphStyle12"/>
              <w:rPr>
                <w:rStyle w:val="CharacterStyle12"/>
              </w:rPr>
            </w:pPr>
            <w:r>
              <w:rPr>
                <w:rStyle w:val="CharacterStyle12"/>
              </w:rPr>
              <w:t>334.645,00</w:t>
            </w:r>
          </w:p>
        </w:tc>
        <w:tc>
          <w:tcPr>
            <w:tcW w:w="1395" w:type="dxa"/>
            <w:tcBorders>
              <w:bottom w:val="single" w:sz="6" w:space="0" w:color="000000"/>
              <w:right w:val="single" w:sz="6" w:space="0" w:color="000000"/>
            </w:tcBorders>
            <w:vAlign w:val="center"/>
          </w:tcPr>
          <w:p w14:paraId="7ACD2704" w14:textId="77777777" w:rsidR="007D706A" w:rsidRDefault="007D706A" w:rsidP="00F70508">
            <w:pPr>
              <w:pStyle w:val="ParagraphStyle12"/>
              <w:rPr>
                <w:rStyle w:val="CharacterStyle12"/>
              </w:rPr>
            </w:pPr>
            <w:r>
              <w:rPr>
                <w:rStyle w:val="CharacterStyle12"/>
              </w:rPr>
              <w:t>345.000,00</w:t>
            </w:r>
          </w:p>
        </w:tc>
        <w:tc>
          <w:tcPr>
            <w:tcW w:w="1395" w:type="dxa"/>
            <w:tcBorders>
              <w:bottom w:val="single" w:sz="6" w:space="0" w:color="000000"/>
              <w:right w:val="single" w:sz="6" w:space="0" w:color="000000"/>
            </w:tcBorders>
            <w:vAlign w:val="center"/>
          </w:tcPr>
          <w:p w14:paraId="2B5EB5AC" w14:textId="77777777" w:rsidR="007D706A" w:rsidRDefault="007D706A" w:rsidP="00F70508">
            <w:pPr>
              <w:pStyle w:val="ParagraphStyle12"/>
              <w:rPr>
                <w:rStyle w:val="CharacterStyle12"/>
              </w:rPr>
            </w:pPr>
            <w:r>
              <w:rPr>
                <w:rStyle w:val="CharacterStyle12"/>
              </w:rPr>
              <w:t>351.000,00</w:t>
            </w:r>
          </w:p>
        </w:tc>
      </w:tr>
      <w:tr w:rsidR="007D706A" w14:paraId="042EC1B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4C52285" w14:textId="77777777" w:rsidR="007D706A" w:rsidRDefault="007D706A" w:rsidP="00F70508">
            <w:pPr>
              <w:pStyle w:val="ParagraphStyle10"/>
              <w:rPr>
                <w:rStyle w:val="CharacterStyle10"/>
              </w:rPr>
            </w:pPr>
            <w:r>
              <w:rPr>
                <w:rStyle w:val="CharacterStyle10"/>
              </w:rPr>
              <w:t>31</w:t>
            </w:r>
          </w:p>
        </w:tc>
        <w:tc>
          <w:tcPr>
            <w:tcW w:w="4995" w:type="dxa"/>
            <w:tcBorders>
              <w:bottom w:val="single" w:sz="6" w:space="0" w:color="000000"/>
              <w:right w:val="single" w:sz="6" w:space="0" w:color="000000"/>
            </w:tcBorders>
            <w:vAlign w:val="center"/>
          </w:tcPr>
          <w:p w14:paraId="09CA145F" w14:textId="77777777" w:rsidR="007D706A" w:rsidRDefault="007D706A" w:rsidP="00F70508">
            <w:pPr>
              <w:pStyle w:val="ParagraphStyle11"/>
              <w:rPr>
                <w:rStyle w:val="CharacterStyle11"/>
              </w:rPr>
            </w:pPr>
            <w:r>
              <w:rPr>
                <w:rStyle w:val="CharacterStyle11"/>
              </w:rPr>
              <w:t>Rashodi za zaposlene</w:t>
            </w:r>
          </w:p>
        </w:tc>
        <w:tc>
          <w:tcPr>
            <w:tcW w:w="1395" w:type="dxa"/>
            <w:tcBorders>
              <w:bottom w:val="single" w:sz="6" w:space="0" w:color="000000"/>
              <w:right w:val="single" w:sz="6" w:space="0" w:color="000000"/>
            </w:tcBorders>
            <w:vAlign w:val="center"/>
          </w:tcPr>
          <w:p w14:paraId="287C420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1FCCA6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9ED8113" w14:textId="77777777" w:rsidR="007D706A" w:rsidRDefault="007D706A" w:rsidP="00F70508">
            <w:pPr>
              <w:pStyle w:val="ParagraphStyle12"/>
              <w:rPr>
                <w:rStyle w:val="CharacterStyle12"/>
              </w:rPr>
            </w:pPr>
            <w:r>
              <w:rPr>
                <w:rStyle w:val="CharacterStyle12"/>
              </w:rPr>
              <w:t>286.257,00</w:t>
            </w:r>
          </w:p>
        </w:tc>
        <w:tc>
          <w:tcPr>
            <w:tcW w:w="1395" w:type="dxa"/>
            <w:tcBorders>
              <w:bottom w:val="single" w:sz="6" w:space="0" w:color="000000"/>
              <w:right w:val="single" w:sz="6" w:space="0" w:color="000000"/>
            </w:tcBorders>
            <w:vAlign w:val="center"/>
          </w:tcPr>
          <w:p w14:paraId="477D7D75" w14:textId="77777777" w:rsidR="007D706A" w:rsidRDefault="007D706A" w:rsidP="00F70508">
            <w:pPr>
              <w:pStyle w:val="ParagraphStyle12"/>
              <w:rPr>
                <w:rStyle w:val="CharacterStyle12"/>
              </w:rPr>
            </w:pPr>
            <w:r>
              <w:rPr>
                <w:rStyle w:val="CharacterStyle12"/>
              </w:rPr>
              <w:t>295.000,00</w:t>
            </w:r>
          </w:p>
        </w:tc>
        <w:tc>
          <w:tcPr>
            <w:tcW w:w="1395" w:type="dxa"/>
            <w:tcBorders>
              <w:bottom w:val="single" w:sz="6" w:space="0" w:color="000000"/>
              <w:right w:val="single" w:sz="6" w:space="0" w:color="000000"/>
            </w:tcBorders>
            <w:vAlign w:val="center"/>
          </w:tcPr>
          <w:p w14:paraId="3442DD40" w14:textId="77777777" w:rsidR="007D706A" w:rsidRDefault="007D706A" w:rsidP="00F70508">
            <w:pPr>
              <w:pStyle w:val="ParagraphStyle12"/>
              <w:rPr>
                <w:rStyle w:val="CharacterStyle12"/>
              </w:rPr>
            </w:pPr>
            <w:r>
              <w:rPr>
                <w:rStyle w:val="CharacterStyle12"/>
              </w:rPr>
              <w:t>300.000,00</w:t>
            </w:r>
          </w:p>
        </w:tc>
      </w:tr>
      <w:tr w:rsidR="007D706A" w14:paraId="2C73C44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0CB08D7"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581ED4C7"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31D5CAB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1CF4C1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8A7C8C1" w14:textId="77777777" w:rsidR="007D706A" w:rsidRDefault="007D706A" w:rsidP="00F70508">
            <w:pPr>
              <w:pStyle w:val="ParagraphStyle12"/>
              <w:rPr>
                <w:rStyle w:val="CharacterStyle12"/>
              </w:rPr>
            </w:pPr>
            <w:r>
              <w:rPr>
                <w:rStyle w:val="CharacterStyle12"/>
              </w:rPr>
              <w:t>48.388,00</w:t>
            </w:r>
          </w:p>
        </w:tc>
        <w:tc>
          <w:tcPr>
            <w:tcW w:w="1395" w:type="dxa"/>
            <w:tcBorders>
              <w:bottom w:val="single" w:sz="6" w:space="0" w:color="000000"/>
              <w:right w:val="single" w:sz="6" w:space="0" w:color="000000"/>
            </w:tcBorders>
            <w:vAlign w:val="center"/>
          </w:tcPr>
          <w:p w14:paraId="17CD7440" w14:textId="77777777" w:rsidR="007D706A" w:rsidRDefault="007D706A" w:rsidP="00F70508">
            <w:pPr>
              <w:pStyle w:val="ParagraphStyle12"/>
              <w:rPr>
                <w:rStyle w:val="CharacterStyle12"/>
              </w:rPr>
            </w:pPr>
            <w:r>
              <w:rPr>
                <w:rStyle w:val="CharacterStyle12"/>
              </w:rPr>
              <w:t>50.000,00</w:t>
            </w:r>
          </w:p>
        </w:tc>
        <w:tc>
          <w:tcPr>
            <w:tcW w:w="1395" w:type="dxa"/>
            <w:tcBorders>
              <w:bottom w:val="single" w:sz="6" w:space="0" w:color="000000"/>
              <w:right w:val="single" w:sz="6" w:space="0" w:color="000000"/>
            </w:tcBorders>
            <w:vAlign w:val="center"/>
          </w:tcPr>
          <w:p w14:paraId="3FF17073" w14:textId="77777777" w:rsidR="007D706A" w:rsidRDefault="007D706A" w:rsidP="00F70508">
            <w:pPr>
              <w:pStyle w:val="ParagraphStyle12"/>
              <w:rPr>
                <w:rStyle w:val="CharacterStyle12"/>
              </w:rPr>
            </w:pPr>
            <w:r>
              <w:rPr>
                <w:rStyle w:val="CharacterStyle12"/>
              </w:rPr>
              <w:t>51.000,00</w:t>
            </w:r>
          </w:p>
        </w:tc>
      </w:tr>
      <w:tr w:rsidR="007D706A" w14:paraId="00044EB6"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03D5265" w14:textId="77777777" w:rsidR="007D706A" w:rsidRDefault="007D706A" w:rsidP="00F70508">
            <w:pPr>
              <w:pStyle w:val="ParagraphStyle7"/>
              <w:rPr>
                <w:rStyle w:val="CharacterStyle7"/>
              </w:rPr>
            </w:pPr>
            <w:r>
              <w:rPr>
                <w:rStyle w:val="CharacterStyle7"/>
              </w:rPr>
              <w:t>Izvor financiranja 53</w:t>
            </w:r>
          </w:p>
        </w:tc>
        <w:tc>
          <w:tcPr>
            <w:tcW w:w="4995" w:type="dxa"/>
            <w:tcBorders>
              <w:bottom w:val="single" w:sz="6" w:space="0" w:color="000000"/>
              <w:right w:val="single" w:sz="6" w:space="0" w:color="000000"/>
            </w:tcBorders>
            <w:vAlign w:val="center"/>
          </w:tcPr>
          <w:p w14:paraId="7B8EE9E5" w14:textId="77777777" w:rsidR="007D706A" w:rsidRDefault="007D706A" w:rsidP="00F70508">
            <w:pPr>
              <w:pStyle w:val="ParagraphStyle8"/>
              <w:rPr>
                <w:rStyle w:val="CharacterStyle8"/>
              </w:rPr>
            </w:pPr>
            <w:r>
              <w:rPr>
                <w:rStyle w:val="CharacterStyle8"/>
              </w:rPr>
              <w:t>Proračuni, drugi nivoi - za posebne i / ili ugovorene namjene</w:t>
            </w:r>
          </w:p>
        </w:tc>
        <w:tc>
          <w:tcPr>
            <w:tcW w:w="1395" w:type="dxa"/>
            <w:tcBorders>
              <w:bottom w:val="single" w:sz="6" w:space="0" w:color="000000"/>
              <w:right w:val="single" w:sz="6" w:space="0" w:color="000000"/>
            </w:tcBorders>
            <w:vAlign w:val="center"/>
          </w:tcPr>
          <w:p w14:paraId="34AFE41D"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ACEF1FE" w14:textId="77777777" w:rsidR="007D706A" w:rsidRDefault="007D706A" w:rsidP="00F70508">
            <w:pPr>
              <w:pStyle w:val="ParagraphStyle9"/>
              <w:rPr>
                <w:rStyle w:val="CharacterStyle9"/>
              </w:rPr>
            </w:pPr>
            <w:r>
              <w:rPr>
                <w:rStyle w:val="CharacterStyle9"/>
              </w:rPr>
              <w:t>324.536,09</w:t>
            </w:r>
          </w:p>
        </w:tc>
        <w:tc>
          <w:tcPr>
            <w:tcW w:w="1395" w:type="dxa"/>
            <w:tcBorders>
              <w:bottom w:val="single" w:sz="6" w:space="0" w:color="000000"/>
              <w:right w:val="single" w:sz="6" w:space="0" w:color="000000"/>
            </w:tcBorders>
            <w:vAlign w:val="center"/>
          </w:tcPr>
          <w:p w14:paraId="502685B9"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0E4EBFC"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93E2453" w14:textId="77777777" w:rsidR="007D706A" w:rsidRDefault="007D706A" w:rsidP="00F70508">
            <w:pPr>
              <w:pStyle w:val="ParagraphStyle9"/>
              <w:rPr>
                <w:rStyle w:val="CharacterStyle9"/>
              </w:rPr>
            </w:pPr>
            <w:r>
              <w:rPr>
                <w:rStyle w:val="CharacterStyle9"/>
              </w:rPr>
              <w:t>0,00</w:t>
            </w:r>
          </w:p>
        </w:tc>
      </w:tr>
      <w:tr w:rsidR="007D706A" w14:paraId="774B2BD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04C4554"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490C7D9C"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7F3BA60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E5E65DE" w14:textId="77777777" w:rsidR="007D706A" w:rsidRDefault="007D706A" w:rsidP="00F70508">
            <w:pPr>
              <w:pStyle w:val="ParagraphStyle12"/>
              <w:rPr>
                <w:rStyle w:val="CharacterStyle12"/>
              </w:rPr>
            </w:pPr>
            <w:r>
              <w:rPr>
                <w:rStyle w:val="CharacterStyle12"/>
              </w:rPr>
              <w:t>324.536,09</w:t>
            </w:r>
          </w:p>
        </w:tc>
        <w:tc>
          <w:tcPr>
            <w:tcW w:w="1395" w:type="dxa"/>
            <w:tcBorders>
              <w:bottom w:val="single" w:sz="6" w:space="0" w:color="000000"/>
              <w:right w:val="single" w:sz="6" w:space="0" w:color="000000"/>
            </w:tcBorders>
            <w:vAlign w:val="center"/>
          </w:tcPr>
          <w:p w14:paraId="7676B60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3316C0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A0B1C57" w14:textId="77777777" w:rsidR="007D706A" w:rsidRDefault="007D706A" w:rsidP="00F70508">
            <w:pPr>
              <w:pStyle w:val="ParagraphStyle12"/>
              <w:rPr>
                <w:rStyle w:val="CharacterStyle12"/>
              </w:rPr>
            </w:pPr>
            <w:r>
              <w:rPr>
                <w:rStyle w:val="CharacterStyle12"/>
              </w:rPr>
              <w:t>0,00</w:t>
            </w:r>
          </w:p>
        </w:tc>
      </w:tr>
      <w:tr w:rsidR="007D706A" w14:paraId="0286A0A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9DDC913" w14:textId="77777777" w:rsidR="007D706A" w:rsidRDefault="007D706A" w:rsidP="00F70508">
            <w:pPr>
              <w:pStyle w:val="ParagraphStyle10"/>
              <w:rPr>
                <w:rStyle w:val="CharacterStyle10"/>
              </w:rPr>
            </w:pPr>
            <w:r>
              <w:rPr>
                <w:rStyle w:val="CharacterStyle10"/>
              </w:rPr>
              <w:t>31</w:t>
            </w:r>
          </w:p>
        </w:tc>
        <w:tc>
          <w:tcPr>
            <w:tcW w:w="4995" w:type="dxa"/>
            <w:tcBorders>
              <w:bottom w:val="single" w:sz="6" w:space="0" w:color="000000"/>
              <w:right w:val="single" w:sz="6" w:space="0" w:color="000000"/>
            </w:tcBorders>
            <w:vAlign w:val="center"/>
          </w:tcPr>
          <w:p w14:paraId="6C779C04" w14:textId="77777777" w:rsidR="007D706A" w:rsidRDefault="007D706A" w:rsidP="00F70508">
            <w:pPr>
              <w:pStyle w:val="ParagraphStyle11"/>
              <w:rPr>
                <w:rStyle w:val="CharacterStyle11"/>
              </w:rPr>
            </w:pPr>
            <w:r>
              <w:rPr>
                <w:rStyle w:val="CharacterStyle11"/>
              </w:rPr>
              <w:t>Rashodi za zaposlene</w:t>
            </w:r>
          </w:p>
        </w:tc>
        <w:tc>
          <w:tcPr>
            <w:tcW w:w="1395" w:type="dxa"/>
            <w:tcBorders>
              <w:bottom w:val="single" w:sz="6" w:space="0" w:color="000000"/>
              <w:right w:val="single" w:sz="6" w:space="0" w:color="000000"/>
            </w:tcBorders>
            <w:vAlign w:val="center"/>
          </w:tcPr>
          <w:p w14:paraId="43A9358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D780B82" w14:textId="77777777" w:rsidR="007D706A" w:rsidRDefault="007D706A" w:rsidP="00F70508">
            <w:pPr>
              <w:pStyle w:val="ParagraphStyle12"/>
              <w:rPr>
                <w:rStyle w:val="CharacterStyle12"/>
              </w:rPr>
            </w:pPr>
            <w:r>
              <w:rPr>
                <w:rStyle w:val="CharacterStyle12"/>
              </w:rPr>
              <w:t>268.041,93</w:t>
            </w:r>
          </w:p>
        </w:tc>
        <w:tc>
          <w:tcPr>
            <w:tcW w:w="1395" w:type="dxa"/>
            <w:tcBorders>
              <w:bottom w:val="single" w:sz="6" w:space="0" w:color="000000"/>
              <w:right w:val="single" w:sz="6" w:space="0" w:color="000000"/>
            </w:tcBorders>
            <w:vAlign w:val="center"/>
          </w:tcPr>
          <w:p w14:paraId="115E574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B477C4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077E485" w14:textId="77777777" w:rsidR="007D706A" w:rsidRDefault="007D706A" w:rsidP="00F70508">
            <w:pPr>
              <w:pStyle w:val="ParagraphStyle12"/>
              <w:rPr>
                <w:rStyle w:val="CharacterStyle12"/>
              </w:rPr>
            </w:pPr>
            <w:r>
              <w:rPr>
                <w:rStyle w:val="CharacterStyle12"/>
              </w:rPr>
              <w:t>0,00</w:t>
            </w:r>
          </w:p>
        </w:tc>
      </w:tr>
      <w:tr w:rsidR="007D706A" w14:paraId="5D00452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1CDF473"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552781B9"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67A86B8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332A7C9" w14:textId="77777777" w:rsidR="007D706A" w:rsidRDefault="007D706A" w:rsidP="00F70508">
            <w:pPr>
              <w:pStyle w:val="ParagraphStyle12"/>
              <w:rPr>
                <w:rStyle w:val="CharacterStyle12"/>
              </w:rPr>
            </w:pPr>
            <w:r>
              <w:rPr>
                <w:rStyle w:val="CharacterStyle12"/>
              </w:rPr>
              <w:t>56.494,16</w:t>
            </w:r>
          </w:p>
        </w:tc>
        <w:tc>
          <w:tcPr>
            <w:tcW w:w="1395" w:type="dxa"/>
            <w:tcBorders>
              <w:bottom w:val="single" w:sz="6" w:space="0" w:color="000000"/>
              <w:right w:val="single" w:sz="6" w:space="0" w:color="000000"/>
            </w:tcBorders>
            <w:vAlign w:val="center"/>
          </w:tcPr>
          <w:p w14:paraId="095BA04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B2006C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6B1C5DB" w14:textId="77777777" w:rsidR="007D706A" w:rsidRDefault="007D706A" w:rsidP="00F70508">
            <w:pPr>
              <w:pStyle w:val="ParagraphStyle12"/>
              <w:rPr>
                <w:rStyle w:val="CharacterStyle12"/>
              </w:rPr>
            </w:pPr>
            <w:r>
              <w:rPr>
                <w:rStyle w:val="CharacterStyle12"/>
              </w:rPr>
              <w:t>0,00</w:t>
            </w:r>
          </w:p>
        </w:tc>
      </w:tr>
      <w:tr w:rsidR="007D706A" w14:paraId="0E0C07E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E6A3798" w14:textId="77777777" w:rsidR="007D706A" w:rsidRDefault="007D706A" w:rsidP="00F70508">
            <w:pPr>
              <w:pStyle w:val="ParagraphStyle7"/>
              <w:rPr>
                <w:rStyle w:val="CharacterStyle7"/>
              </w:rPr>
            </w:pPr>
            <w:r>
              <w:rPr>
                <w:rStyle w:val="CharacterStyle7"/>
              </w:rPr>
              <w:t>Izvor financiranja 82</w:t>
            </w:r>
          </w:p>
        </w:tc>
        <w:tc>
          <w:tcPr>
            <w:tcW w:w="4995" w:type="dxa"/>
            <w:tcBorders>
              <w:bottom w:val="single" w:sz="6" w:space="0" w:color="000000"/>
              <w:right w:val="single" w:sz="6" w:space="0" w:color="000000"/>
            </w:tcBorders>
            <w:vAlign w:val="center"/>
          </w:tcPr>
          <w:p w14:paraId="7BE3AC2A" w14:textId="77777777" w:rsidR="007D706A" w:rsidRDefault="007D706A" w:rsidP="00F70508">
            <w:pPr>
              <w:pStyle w:val="ParagraphStyle8"/>
              <w:rPr>
                <w:rStyle w:val="CharacterStyle8"/>
              </w:rPr>
            </w:pPr>
            <w:r>
              <w:rPr>
                <w:rStyle w:val="CharacterStyle8"/>
              </w:rPr>
              <w:t>Preneseni viškovi iz ranijih godina</w:t>
            </w:r>
          </w:p>
        </w:tc>
        <w:tc>
          <w:tcPr>
            <w:tcW w:w="1395" w:type="dxa"/>
            <w:tcBorders>
              <w:bottom w:val="single" w:sz="6" w:space="0" w:color="000000"/>
              <w:right w:val="single" w:sz="6" w:space="0" w:color="000000"/>
            </w:tcBorders>
            <w:vAlign w:val="center"/>
          </w:tcPr>
          <w:p w14:paraId="6850C177"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D1AD5F5" w14:textId="77777777" w:rsidR="007D706A" w:rsidRDefault="007D706A" w:rsidP="00F70508">
            <w:pPr>
              <w:pStyle w:val="ParagraphStyle9"/>
              <w:rPr>
                <w:rStyle w:val="CharacterStyle9"/>
              </w:rPr>
            </w:pPr>
            <w:r>
              <w:rPr>
                <w:rStyle w:val="CharacterStyle9"/>
              </w:rPr>
              <w:t>14.134,93</w:t>
            </w:r>
          </w:p>
        </w:tc>
        <w:tc>
          <w:tcPr>
            <w:tcW w:w="1395" w:type="dxa"/>
            <w:tcBorders>
              <w:bottom w:val="single" w:sz="6" w:space="0" w:color="000000"/>
              <w:right w:val="single" w:sz="6" w:space="0" w:color="000000"/>
            </w:tcBorders>
            <w:vAlign w:val="center"/>
          </w:tcPr>
          <w:p w14:paraId="098F0F25"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044AAB9"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5566275" w14:textId="77777777" w:rsidR="007D706A" w:rsidRDefault="007D706A" w:rsidP="00F70508">
            <w:pPr>
              <w:pStyle w:val="ParagraphStyle9"/>
              <w:rPr>
                <w:rStyle w:val="CharacterStyle9"/>
              </w:rPr>
            </w:pPr>
            <w:r>
              <w:rPr>
                <w:rStyle w:val="CharacterStyle9"/>
              </w:rPr>
              <w:t>0,00</w:t>
            </w:r>
          </w:p>
        </w:tc>
      </w:tr>
      <w:tr w:rsidR="007D706A" w14:paraId="6AD80C9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E9739CC"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0A913901"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0044927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1B29991" w14:textId="77777777" w:rsidR="007D706A" w:rsidRDefault="007D706A" w:rsidP="00F70508">
            <w:pPr>
              <w:pStyle w:val="ParagraphStyle12"/>
              <w:rPr>
                <w:rStyle w:val="CharacterStyle12"/>
              </w:rPr>
            </w:pPr>
            <w:r>
              <w:rPr>
                <w:rStyle w:val="CharacterStyle12"/>
              </w:rPr>
              <w:t>14.134,93</w:t>
            </w:r>
          </w:p>
        </w:tc>
        <w:tc>
          <w:tcPr>
            <w:tcW w:w="1395" w:type="dxa"/>
            <w:tcBorders>
              <w:bottom w:val="single" w:sz="6" w:space="0" w:color="000000"/>
              <w:right w:val="single" w:sz="6" w:space="0" w:color="000000"/>
            </w:tcBorders>
            <w:vAlign w:val="center"/>
          </w:tcPr>
          <w:p w14:paraId="1BBA497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4A015E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C75B61C" w14:textId="77777777" w:rsidR="007D706A" w:rsidRDefault="007D706A" w:rsidP="00F70508">
            <w:pPr>
              <w:pStyle w:val="ParagraphStyle12"/>
              <w:rPr>
                <w:rStyle w:val="CharacterStyle12"/>
              </w:rPr>
            </w:pPr>
            <w:r>
              <w:rPr>
                <w:rStyle w:val="CharacterStyle12"/>
              </w:rPr>
              <w:t>0,00</w:t>
            </w:r>
          </w:p>
        </w:tc>
      </w:tr>
      <w:tr w:rsidR="007D706A" w14:paraId="7E324A7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D66D995"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6DB63145"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018D25E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EF479F8" w14:textId="77777777" w:rsidR="007D706A" w:rsidRDefault="007D706A" w:rsidP="00F70508">
            <w:pPr>
              <w:pStyle w:val="ParagraphStyle12"/>
              <w:rPr>
                <w:rStyle w:val="CharacterStyle12"/>
              </w:rPr>
            </w:pPr>
            <w:r>
              <w:rPr>
                <w:rStyle w:val="CharacterStyle12"/>
              </w:rPr>
              <w:t>14.134,93</w:t>
            </w:r>
          </w:p>
        </w:tc>
        <w:tc>
          <w:tcPr>
            <w:tcW w:w="1395" w:type="dxa"/>
            <w:tcBorders>
              <w:bottom w:val="single" w:sz="6" w:space="0" w:color="000000"/>
              <w:right w:val="single" w:sz="6" w:space="0" w:color="000000"/>
            </w:tcBorders>
            <w:vAlign w:val="center"/>
          </w:tcPr>
          <w:p w14:paraId="23F7F18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9F932C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81EBC7F" w14:textId="77777777" w:rsidR="007D706A" w:rsidRDefault="007D706A" w:rsidP="00F70508">
            <w:pPr>
              <w:pStyle w:val="ParagraphStyle12"/>
              <w:rPr>
                <w:rStyle w:val="CharacterStyle12"/>
              </w:rPr>
            </w:pPr>
            <w:r>
              <w:rPr>
                <w:rStyle w:val="CharacterStyle12"/>
              </w:rPr>
              <w:t>0,00</w:t>
            </w:r>
          </w:p>
        </w:tc>
      </w:tr>
      <w:tr w:rsidR="007D706A" w14:paraId="045D3A2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A5EF059" w14:textId="77777777" w:rsidR="007D706A" w:rsidRDefault="007D706A" w:rsidP="00F70508">
            <w:pPr>
              <w:pStyle w:val="ParagraphStyle4"/>
              <w:rPr>
                <w:rStyle w:val="CharacterStyle4"/>
              </w:rPr>
            </w:pPr>
            <w:r>
              <w:rPr>
                <w:rStyle w:val="CharacterStyle4"/>
              </w:rPr>
              <w:t>Aktivnost A103905</w:t>
            </w:r>
          </w:p>
        </w:tc>
        <w:tc>
          <w:tcPr>
            <w:tcW w:w="4995" w:type="dxa"/>
            <w:tcBorders>
              <w:bottom w:val="single" w:sz="6" w:space="0" w:color="000000"/>
              <w:right w:val="single" w:sz="6" w:space="0" w:color="000000"/>
            </w:tcBorders>
            <w:vAlign w:val="center"/>
          </w:tcPr>
          <w:p w14:paraId="573766C3" w14:textId="77777777" w:rsidR="007D706A" w:rsidRDefault="007D706A" w:rsidP="00F70508">
            <w:pPr>
              <w:pStyle w:val="ParagraphStyle5"/>
              <w:rPr>
                <w:rStyle w:val="CharacterStyle5"/>
              </w:rPr>
            </w:pPr>
            <w:r>
              <w:rPr>
                <w:rStyle w:val="CharacterStyle5"/>
              </w:rPr>
              <w:t>SEZONSKI VATROGASCI</w:t>
            </w:r>
          </w:p>
        </w:tc>
        <w:tc>
          <w:tcPr>
            <w:tcW w:w="1395" w:type="dxa"/>
            <w:tcBorders>
              <w:bottom w:val="single" w:sz="6" w:space="0" w:color="000000"/>
              <w:right w:val="single" w:sz="6" w:space="0" w:color="000000"/>
            </w:tcBorders>
            <w:vAlign w:val="center"/>
          </w:tcPr>
          <w:p w14:paraId="036E3E48"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3757F1CD" w14:textId="77777777" w:rsidR="007D706A" w:rsidRDefault="007D706A" w:rsidP="00F70508">
            <w:pPr>
              <w:pStyle w:val="ParagraphStyle6"/>
              <w:rPr>
                <w:rStyle w:val="CharacterStyle6"/>
              </w:rPr>
            </w:pPr>
            <w:r>
              <w:rPr>
                <w:rStyle w:val="CharacterStyle6"/>
              </w:rPr>
              <w:t>25.649,00</w:t>
            </w:r>
          </w:p>
        </w:tc>
        <w:tc>
          <w:tcPr>
            <w:tcW w:w="1395" w:type="dxa"/>
            <w:tcBorders>
              <w:bottom w:val="single" w:sz="6" w:space="0" w:color="000000"/>
              <w:right w:val="single" w:sz="6" w:space="0" w:color="000000"/>
            </w:tcBorders>
            <w:vAlign w:val="center"/>
          </w:tcPr>
          <w:p w14:paraId="43E40E4E" w14:textId="77777777" w:rsidR="007D706A" w:rsidRDefault="007D706A" w:rsidP="00F70508">
            <w:pPr>
              <w:pStyle w:val="ParagraphStyle6"/>
              <w:rPr>
                <w:rStyle w:val="CharacterStyle6"/>
              </w:rPr>
            </w:pPr>
            <w:r>
              <w:rPr>
                <w:rStyle w:val="CharacterStyle6"/>
              </w:rPr>
              <w:t>63.179,00</w:t>
            </w:r>
          </w:p>
        </w:tc>
        <w:tc>
          <w:tcPr>
            <w:tcW w:w="1395" w:type="dxa"/>
            <w:tcBorders>
              <w:bottom w:val="single" w:sz="6" w:space="0" w:color="000000"/>
              <w:right w:val="single" w:sz="6" w:space="0" w:color="000000"/>
            </w:tcBorders>
            <w:vAlign w:val="center"/>
          </w:tcPr>
          <w:p w14:paraId="1F058F18" w14:textId="77777777" w:rsidR="007D706A" w:rsidRDefault="007D706A" w:rsidP="00F70508">
            <w:pPr>
              <w:pStyle w:val="ParagraphStyle6"/>
              <w:rPr>
                <w:rStyle w:val="CharacterStyle6"/>
              </w:rPr>
            </w:pPr>
            <w:r>
              <w:rPr>
                <w:rStyle w:val="CharacterStyle6"/>
              </w:rPr>
              <w:t>63.179,00</w:t>
            </w:r>
          </w:p>
        </w:tc>
        <w:tc>
          <w:tcPr>
            <w:tcW w:w="1395" w:type="dxa"/>
            <w:tcBorders>
              <w:bottom w:val="single" w:sz="6" w:space="0" w:color="000000"/>
              <w:right w:val="single" w:sz="6" w:space="0" w:color="000000"/>
            </w:tcBorders>
            <w:vAlign w:val="center"/>
          </w:tcPr>
          <w:p w14:paraId="334F4D82" w14:textId="77777777" w:rsidR="007D706A" w:rsidRDefault="007D706A" w:rsidP="00F70508">
            <w:pPr>
              <w:pStyle w:val="ParagraphStyle6"/>
              <w:rPr>
                <w:rStyle w:val="CharacterStyle6"/>
              </w:rPr>
            </w:pPr>
            <w:r>
              <w:rPr>
                <w:rStyle w:val="CharacterStyle6"/>
              </w:rPr>
              <w:t>63.179,00</w:t>
            </w:r>
          </w:p>
        </w:tc>
      </w:tr>
      <w:tr w:rsidR="007D706A" w14:paraId="48F96EE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78C1641"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243E5E4F"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07B4B400"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A6A196D" w14:textId="77777777" w:rsidR="007D706A" w:rsidRDefault="007D706A" w:rsidP="00F70508">
            <w:pPr>
              <w:pStyle w:val="ParagraphStyle9"/>
              <w:rPr>
                <w:rStyle w:val="CharacterStyle9"/>
              </w:rPr>
            </w:pPr>
            <w:r>
              <w:rPr>
                <w:rStyle w:val="CharacterStyle9"/>
              </w:rPr>
              <w:t>3.957,00</w:t>
            </w:r>
          </w:p>
        </w:tc>
        <w:tc>
          <w:tcPr>
            <w:tcW w:w="1395" w:type="dxa"/>
            <w:tcBorders>
              <w:bottom w:val="single" w:sz="6" w:space="0" w:color="000000"/>
              <w:right w:val="single" w:sz="6" w:space="0" w:color="000000"/>
            </w:tcBorders>
            <w:vAlign w:val="center"/>
          </w:tcPr>
          <w:p w14:paraId="135E31A2" w14:textId="77777777" w:rsidR="007D706A" w:rsidRDefault="007D706A" w:rsidP="00F70508">
            <w:pPr>
              <w:pStyle w:val="ParagraphStyle9"/>
              <w:rPr>
                <w:rStyle w:val="CharacterStyle9"/>
              </w:rPr>
            </w:pPr>
            <w:r>
              <w:rPr>
                <w:rStyle w:val="CharacterStyle9"/>
              </w:rPr>
              <w:t>4.779,00</w:t>
            </w:r>
          </w:p>
        </w:tc>
        <w:tc>
          <w:tcPr>
            <w:tcW w:w="1395" w:type="dxa"/>
            <w:tcBorders>
              <w:bottom w:val="single" w:sz="6" w:space="0" w:color="000000"/>
              <w:right w:val="single" w:sz="6" w:space="0" w:color="000000"/>
            </w:tcBorders>
            <w:vAlign w:val="center"/>
          </w:tcPr>
          <w:p w14:paraId="1FA2CED3" w14:textId="77777777" w:rsidR="007D706A" w:rsidRDefault="007D706A" w:rsidP="00F70508">
            <w:pPr>
              <w:pStyle w:val="ParagraphStyle9"/>
              <w:rPr>
                <w:rStyle w:val="CharacterStyle9"/>
              </w:rPr>
            </w:pPr>
            <w:r>
              <w:rPr>
                <w:rStyle w:val="CharacterStyle9"/>
              </w:rPr>
              <w:t>4.779,00</w:t>
            </w:r>
          </w:p>
        </w:tc>
        <w:tc>
          <w:tcPr>
            <w:tcW w:w="1395" w:type="dxa"/>
            <w:tcBorders>
              <w:bottom w:val="single" w:sz="6" w:space="0" w:color="000000"/>
              <w:right w:val="single" w:sz="6" w:space="0" w:color="000000"/>
            </w:tcBorders>
            <w:vAlign w:val="center"/>
          </w:tcPr>
          <w:p w14:paraId="43E52641" w14:textId="77777777" w:rsidR="007D706A" w:rsidRDefault="007D706A" w:rsidP="00F70508">
            <w:pPr>
              <w:pStyle w:val="ParagraphStyle9"/>
              <w:rPr>
                <w:rStyle w:val="CharacterStyle9"/>
              </w:rPr>
            </w:pPr>
            <w:r>
              <w:rPr>
                <w:rStyle w:val="CharacterStyle9"/>
              </w:rPr>
              <w:t>4.779,00</w:t>
            </w:r>
          </w:p>
        </w:tc>
      </w:tr>
      <w:tr w:rsidR="007D706A" w14:paraId="1CCC3BA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4201485"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7DBFF72C"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487A506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76BCF0C" w14:textId="77777777" w:rsidR="007D706A" w:rsidRDefault="007D706A" w:rsidP="00F70508">
            <w:pPr>
              <w:pStyle w:val="ParagraphStyle12"/>
              <w:rPr>
                <w:rStyle w:val="CharacterStyle12"/>
              </w:rPr>
            </w:pPr>
            <w:r>
              <w:rPr>
                <w:rStyle w:val="CharacterStyle12"/>
              </w:rPr>
              <w:t>3.957,00</w:t>
            </w:r>
          </w:p>
        </w:tc>
        <w:tc>
          <w:tcPr>
            <w:tcW w:w="1395" w:type="dxa"/>
            <w:tcBorders>
              <w:bottom w:val="single" w:sz="6" w:space="0" w:color="000000"/>
              <w:right w:val="single" w:sz="6" w:space="0" w:color="000000"/>
            </w:tcBorders>
            <w:vAlign w:val="center"/>
          </w:tcPr>
          <w:p w14:paraId="1DF2BF5A" w14:textId="77777777" w:rsidR="007D706A" w:rsidRDefault="007D706A" w:rsidP="00F70508">
            <w:pPr>
              <w:pStyle w:val="ParagraphStyle12"/>
              <w:rPr>
                <w:rStyle w:val="CharacterStyle12"/>
              </w:rPr>
            </w:pPr>
            <w:r>
              <w:rPr>
                <w:rStyle w:val="CharacterStyle12"/>
              </w:rPr>
              <w:t>4.779,00</w:t>
            </w:r>
          </w:p>
        </w:tc>
        <w:tc>
          <w:tcPr>
            <w:tcW w:w="1395" w:type="dxa"/>
            <w:tcBorders>
              <w:bottom w:val="single" w:sz="6" w:space="0" w:color="000000"/>
              <w:right w:val="single" w:sz="6" w:space="0" w:color="000000"/>
            </w:tcBorders>
            <w:vAlign w:val="center"/>
          </w:tcPr>
          <w:p w14:paraId="04A397D2" w14:textId="77777777" w:rsidR="007D706A" w:rsidRDefault="007D706A" w:rsidP="00F70508">
            <w:pPr>
              <w:pStyle w:val="ParagraphStyle12"/>
              <w:rPr>
                <w:rStyle w:val="CharacterStyle12"/>
              </w:rPr>
            </w:pPr>
            <w:r>
              <w:rPr>
                <w:rStyle w:val="CharacterStyle12"/>
              </w:rPr>
              <w:t>4.779,00</w:t>
            </w:r>
          </w:p>
        </w:tc>
        <w:tc>
          <w:tcPr>
            <w:tcW w:w="1395" w:type="dxa"/>
            <w:tcBorders>
              <w:bottom w:val="single" w:sz="6" w:space="0" w:color="000000"/>
              <w:right w:val="single" w:sz="6" w:space="0" w:color="000000"/>
            </w:tcBorders>
            <w:vAlign w:val="center"/>
          </w:tcPr>
          <w:p w14:paraId="130408A4" w14:textId="77777777" w:rsidR="007D706A" w:rsidRDefault="007D706A" w:rsidP="00F70508">
            <w:pPr>
              <w:pStyle w:val="ParagraphStyle12"/>
              <w:rPr>
                <w:rStyle w:val="CharacterStyle12"/>
              </w:rPr>
            </w:pPr>
            <w:r>
              <w:rPr>
                <w:rStyle w:val="CharacterStyle12"/>
              </w:rPr>
              <w:t>4.779,00</w:t>
            </w:r>
          </w:p>
        </w:tc>
      </w:tr>
      <w:tr w:rsidR="007D706A" w14:paraId="5CFCFA4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218E807"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708A527F"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058BB8F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C42B11E" w14:textId="77777777" w:rsidR="007D706A" w:rsidRDefault="007D706A" w:rsidP="00F70508">
            <w:pPr>
              <w:pStyle w:val="ParagraphStyle12"/>
              <w:rPr>
                <w:rStyle w:val="CharacterStyle12"/>
              </w:rPr>
            </w:pPr>
            <w:r>
              <w:rPr>
                <w:rStyle w:val="CharacterStyle12"/>
              </w:rPr>
              <w:t>3.957,00</w:t>
            </w:r>
          </w:p>
        </w:tc>
        <w:tc>
          <w:tcPr>
            <w:tcW w:w="1395" w:type="dxa"/>
            <w:tcBorders>
              <w:bottom w:val="single" w:sz="6" w:space="0" w:color="000000"/>
              <w:right w:val="single" w:sz="6" w:space="0" w:color="000000"/>
            </w:tcBorders>
            <w:vAlign w:val="center"/>
          </w:tcPr>
          <w:p w14:paraId="0591B540" w14:textId="77777777" w:rsidR="007D706A" w:rsidRDefault="007D706A" w:rsidP="00F70508">
            <w:pPr>
              <w:pStyle w:val="ParagraphStyle12"/>
              <w:rPr>
                <w:rStyle w:val="CharacterStyle12"/>
              </w:rPr>
            </w:pPr>
            <w:r>
              <w:rPr>
                <w:rStyle w:val="CharacterStyle12"/>
              </w:rPr>
              <w:t>4.779,00</w:t>
            </w:r>
          </w:p>
        </w:tc>
        <w:tc>
          <w:tcPr>
            <w:tcW w:w="1395" w:type="dxa"/>
            <w:tcBorders>
              <w:bottom w:val="single" w:sz="6" w:space="0" w:color="000000"/>
              <w:right w:val="single" w:sz="6" w:space="0" w:color="000000"/>
            </w:tcBorders>
            <w:vAlign w:val="center"/>
          </w:tcPr>
          <w:p w14:paraId="41E31A90" w14:textId="77777777" w:rsidR="007D706A" w:rsidRDefault="007D706A" w:rsidP="00F70508">
            <w:pPr>
              <w:pStyle w:val="ParagraphStyle12"/>
              <w:rPr>
                <w:rStyle w:val="CharacterStyle12"/>
              </w:rPr>
            </w:pPr>
            <w:r>
              <w:rPr>
                <w:rStyle w:val="CharacterStyle12"/>
              </w:rPr>
              <w:t>4.779,00</w:t>
            </w:r>
          </w:p>
        </w:tc>
        <w:tc>
          <w:tcPr>
            <w:tcW w:w="1395" w:type="dxa"/>
            <w:tcBorders>
              <w:bottom w:val="single" w:sz="6" w:space="0" w:color="000000"/>
              <w:right w:val="single" w:sz="6" w:space="0" w:color="000000"/>
            </w:tcBorders>
            <w:vAlign w:val="center"/>
          </w:tcPr>
          <w:p w14:paraId="407ED6A3" w14:textId="77777777" w:rsidR="007D706A" w:rsidRDefault="007D706A" w:rsidP="00F70508">
            <w:pPr>
              <w:pStyle w:val="ParagraphStyle12"/>
              <w:rPr>
                <w:rStyle w:val="CharacterStyle12"/>
              </w:rPr>
            </w:pPr>
            <w:r>
              <w:rPr>
                <w:rStyle w:val="CharacterStyle12"/>
              </w:rPr>
              <w:t>4.779,00</w:t>
            </w:r>
          </w:p>
        </w:tc>
      </w:tr>
      <w:tr w:rsidR="007D706A" w14:paraId="6D7781F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019CE61" w14:textId="77777777" w:rsidR="007D706A" w:rsidRDefault="007D706A" w:rsidP="00F70508">
            <w:pPr>
              <w:pStyle w:val="ParagraphStyle7"/>
              <w:rPr>
                <w:rStyle w:val="CharacterStyle7"/>
              </w:rPr>
            </w:pPr>
            <w:r>
              <w:rPr>
                <w:rStyle w:val="CharacterStyle7"/>
              </w:rPr>
              <w:t>Izvor financiranja 31</w:t>
            </w:r>
          </w:p>
        </w:tc>
        <w:tc>
          <w:tcPr>
            <w:tcW w:w="4995" w:type="dxa"/>
            <w:tcBorders>
              <w:bottom w:val="single" w:sz="6" w:space="0" w:color="000000"/>
              <w:right w:val="single" w:sz="6" w:space="0" w:color="000000"/>
            </w:tcBorders>
            <w:vAlign w:val="center"/>
          </w:tcPr>
          <w:p w14:paraId="290F4A9D" w14:textId="77777777" w:rsidR="007D706A" w:rsidRDefault="007D706A" w:rsidP="00F70508">
            <w:pPr>
              <w:pStyle w:val="ParagraphStyle8"/>
              <w:rPr>
                <w:rStyle w:val="CharacterStyle8"/>
              </w:rPr>
            </w:pPr>
            <w:r>
              <w:rPr>
                <w:rStyle w:val="CharacterStyle8"/>
              </w:rPr>
              <w:t>Vlastiti prihodi</w:t>
            </w:r>
          </w:p>
        </w:tc>
        <w:tc>
          <w:tcPr>
            <w:tcW w:w="1395" w:type="dxa"/>
            <w:tcBorders>
              <w:bottom w:val="single" w:sz="6" w:space="0" w:color="000000"/>
              <w:right w:val="single" w:sz="6" w:space="0" w:color="000000"/>
            </w:tcBorders>
            <w:vAlign w:val="center"/>
          </w:tcPr>
          <w:p w14:paraId="4AAE27C0"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637CBDE" w14:textId="77777777" w:rsidR="007D706A" w:rsidRDefault="007D706A" w:rsidP="00F70508">
            <w:pPr>
              <w:pStyle w:val="ParagraphStyle9"/>
              <w:rPr>
                <w:rStyle w:val="CharacterStyle9"/>
              </w:rPr>
            </w:pPr>
            <w:r>
              <w:rPr>
                <w:rStyle w:val="CharacterStyle9"/>
              </w:rPr>
              <w:t>1.195,00</w:t>
            </w:r>
          </w:p>
        </w:tc>
        <w:tc>
          <w:tcPr>
            <w:tcW w:w="1395" w:type="dxa"/>
            <w:tcBorders>
              <w:bottom w:val="single" w:sz="6" w:space="0" w:color="000000"/>
              <w:right w:val="single" w:sz="6" w:space="0" w:color="000000"/>
            </w:tcBorders>
            <w:vAlign w:val="center"/>
          </w:tcPr>
          <w:p w14:paraId="7594B253" w14:textId="77777777" w:rsidR="007D706A" w:rsidRDefault="007D706A" w:rsidP="00F70508">
            <w:pPr>
              <w:pStyle w:val="ParagraphStyle9"/>
              <w:rPr>
                <w:rStyle w:val="CharacterStyle9"/>
              </w:rPr>
            </w:pPr>
            <w:r>
              <w:rPr>
                <w:rStyle w:val="CharacterStyle9"/>
              </w:rPr>
              <w:t>5.000,00</w:t>
            </w:r>
          </w:p>
        </w:tc>
        <w:tc>
          <w:tcPr>
            <w:tcW w:w="1395" w:type="dxa"/>
            <w:tcBorders>
              <w:bottom w:val="single" w:sz="6" w:space="0" w:color="000000"/>
              <w:right w:val="single" w:sz="6" w:space="0" w:color="000000"/>
            </w:tcBorders>
            <w:vAlign w:val="center"/>
          </w:tcPr>
          <w:p w14:paraId="648A2092" w14:textId="77777777" w:rsidR="007D706A" w:rsidRDefault="007D706A" w:rsidP="00F70508">
            <w:pPr>
              <w:pStyle w:val="ParagraphStyle9"/>
              <w:rPr>
                <w:rStyle w:val="CharacterStyle9"/>
              </w:rPr>
            </w:pPr>
            <w:r>
              <w:rPr>
                <w:rStyle w:val="CharacterStyle9"/>
              </w:rPr>
              <w:t>5.000,00</w:t>
            </w:r>
          </w:p>
        </w:tc>
        <w:tc>
          <w:tcPr>
            <w:tcW w:w="1395" w:type="dxa"/>
            <w:tcBorders>
              <w:bottom w:val="single" w:sz="6" w:space="0" w:color="000000"/>
              <w:right w:val="single" w:sz="6" w:space="0" w:color="000000"/>
            </w:tcBorders>
            <w:vAlign w:val="center"/>
          </w:tcPr>
          <w:p w14:paraId="22107C26" w14:textId="77777777" w:rsidR="007D706A" w:rsidRDefault="007D706A" w:rsidP="00F70508">
            <w:pPr>
              <w:pStyle w:val="ParagraphStyle9"/>
              <w:rPr>
                <w:rStyle w:val="CharacterStyle9"/>
              </w:rPr>
            </w:pPr>
            <w:r>
              <w:rPr>
                <w:rStyle w:val="CharacterStyle9"/>
              </w:rPr>
              <w:t>5.000,00</w:t>
            </w:r>
          </w:p>
        </w:tc>
      </w:tr>
      <w:tr w:rsidR="007D706A" w14:paraId="5BC6AFC6"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CC2ABFE"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734CE418"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67D76F1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ECDC7A8" w14:textId="77777777" w:rsidR="007D706A" w:rsidRDefault="007D706A" w:rsidP="00F70508">
            <w:pPr>
              <w:pStyle w:val="ParagraphStyle12"/>
              <w:rPr>
                <w:rStyle w:val="CharacterStyle12"/>
              </w:rPr>
            </w:pPr>
            <w:r>
              <w:rPr>
                <w:rStyle w:val="CharacterStyle12"/>
              </w:rPr>
              <w:t>1.195,00</w:t>
            </w:r>
          </w:p>
        </w:tc>
        <w:tc>
          <w:tcPr>
            <w:tcW w:w="1395" w:type="dxa"/>
            <w:tcBorders>
              <w:bottom w:val="single" w:sz="6" w:space="0" w:color="000000"/>
              <w:right w:val="single" w:sz="6" w:space="0" w:color="000000"/>
            </w:tcBorders>
            <w:vAlign w:val="center"/>
          </w:tcPr>
          <w:p w14:paraId="47714D00" w14:textId="77777777" w:rsidR="007D706A" w:rsidRDefault="007D706A" w:rsidP="00F70508">
            <w:pPr>
              <w:pStyle w:val="ParagraphStyle12"/>
              <w:rPr>
                <w:rStyle w:val="CharacterStyle12"/>
              </w:rPr>
            </w:pPr>
            <w:r>
              <w:rPr>
                <w:rStyle w:val="CharacterStyle12"/>
              </w:rPr>
              <w:t>5.000,00</w:t>
            </w:r>
          </w:p>
        </w:tc>
        <w:tc>
          <w:tcPr>
            <w:tcW w:w="1395" w:type="dxa"/>
            <w:tcBorders>
              <w:bottom w:val="single" w:sz="6" w:space="0" w:color="000000"/>
              <w:right w:val="single" w:sz="6" w:space="0" w:color="000000"/>
            </w:tcBorders>
            <w:vAlign w:val="center"/>
          </w:tcPr>
          <w:p w14:paraId="60A3D217" w14:textId="77777777" w:rsidR="007D706A" w:rsidRDefault="007D706A" w:rsidP="00F70508">
            <w:pPr>
              <w:pStyle w:val="ParagraphStyle12"/>
              <w:rPr>
                <w:rStyle w:val="CharacterStyle12"/>
              </w:rPr>
            </w:pPr>
            <w:r>
              <w:rPr>
                <w:rStyle w:val="CharacterStyle12"/>
              </w:rPr>
              <w:t>5.000,00</w:t>
            </w:r>
          </w:p>
        </w:tc>
        <w:tc>
          <w:tcPr>
            <w:tcW w:w="1395" w:type="dxa"/>
            <w:tcBorders>
              <w:bottom w:val="single" w:sz="6" w:space="0" w:color="000000"/>
              <w:right w:val="single" w:sz="6" w:space="0" w:color="000000"/>
            </w:tcBorders>
            <w:vAlign w:val="center"/>
          </w:tcPr>
          <w:p w14:paraId="07BF9513" w14:textId="77777777" w:rsidR="007D706A" w:rsidRDefault="007D706A" w:rsidP="00F70508">
            <w:pPr>
              <w:pStyle w:val="ParagraphStyle12"/>
              <w:rPr>
                <w:rStyle w:val="CharacterStyle12"/>
              </w:rPr>
            </w:pPr>
            <w:r>
              <w:rPr>
                <w:rStyle w:val="CharacterStyle12"/>
              </w:rPr>
              <w:t>5.000,00</w:t>
            </w:r>
          </w:p>
        </w:tc>
      </w:tr>
      <w:tr w:rsidR="007D706A" w14:paraId="2203A2D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0522FC5"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1BFF878A"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34FF6D0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607AD91" w14:textId="77777777" w:rsidR="007D706A" w:rsidRDefault="007D706A" w:rsidP="00F70508">
            <w:pPr>
              <w:pStyle w:val="ParagraphStyle12"/>
              <w:rPr>
                <w:rStyle w:val="CharacterStyle12"/>
              </w:rPr>
            </w:pPr>
            <w:r>
              <w:rPr>
                <w:rStyle w:val="CharacterStyle12"/>
              </w:rPr>
              <w:t>1.195,00</w:t>
            </w:r>
          </w:p>
        </w:tc>
        <w:tc>
          <w:tcPr>
            <w:tcW w:w="1395" w:type="dxa"/>
            <w:tcBorders>
              <w:bottom w:val="single" w:sz="6" w:space="0" w:color="000000"/>
              <w:right w:val="single" w:sz="6" w:space="0" w:color="000000"/>
            </w:tcBorders>
            <w:vAlign w:val="center"/>
          </w:tcPr>
          <w:p w14:paraId="2F9A7AB4" w14:textId="77777777" w:rsidR="007D706A" w:rsidRDefault="007D706A" w:rsidP="00F70508">
            <w:pPr>
              <w:pStyle w:val="ParagraphStyle12"/>
              <w:rPr>
                <w:rStyle w:val="CharacterStyle12"/>
              </w:rPr>
            </w:pPr>
            <w:r>
              <w:rPr>
                <w:rStyle w:val="CharacterStyle12"/>
              </w:rPr>
              <w:t>5.000,00</w:t>
            </w:r>
          </w:p>
        </w:tc>
        <w:tc>
          <w:tcPr>
            <w:tcW w:w="1395" w:type="dxa"/>
            <w:tcBorders>
              <w:bottom w:val="single" w:sz="6" w:space="0" w:color="000000"/>
              <w:right w:val="single" w:sz="6" w:space="0" w:color="000000"/>
            </w:tcBorders>
            <w:vAlign w:val="center"/>
          </w:tcPr>
          <w:p w14:paraId="54621BDD" w14:textId="77777777" w:rsidR="007D706A" w:rsidRDefault="007D706A" w:rsidP="00F70508">
            <w:pPr>
              <w:pStyle w:val="ParagraphStyle12"/>
              <w:rPr>
                <w:rStyle w:val="CharacterStyle12"/>
              </w:rPr>
            </w:pPr>
            <w:r>
              <w:rPr>
                <w:rStyle w:val="CharacterStyle12"/>
              </w:rPr>
              <w:t>5.000,00</w:t>
            </w:r>
          </w:p>
        </w:tc>
        <w:tc>
          <w:tcPr>
            <w:tcW w:w="1395" w:type="dxa"/>
            <w:tcBorders>
              <w:bottom w:val="single" w:sz="6" w:space="0" w:color="000000"/>
              <w:right w:val="single" w:sz="6" w:space="0" w:color="000000"/>
            </w:tcBorders>
            <w:vAlign w:val="center"/>
          </w:tcPr>
          <w:p w14:paraId="52D3CA45" w14:textId="77777777" w:rsidR="007D706A" w:rsidRDefault="007D706A" w:rsidP="00F70508">
            <w:pPr>
              <w:pStyle w:val="ParagraphStyle12"/>
              <w:rPr>
                <w:rStyle w:val="CharacterStyle12"/>
              </w:rPr>
            </w:pPr>
            <w:r>
              <w:rPr>
                <w:rStyle w:val="CharacterStyle12"/>
              </w:rPr>
              <w:t>5.000,00</w:t>
            </w:r>
          </w:p>
        </w:tc>
      </w:tr>
      <w:tr w:rsidR="007D706A" w14:paraId="014E264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08BE469" w14:textId="77777777" w:rsidR="007D706A" w:rsidRDefault="007D706A" w:rsidP="00F70508">
            <w:pPr>
              <w:pStyle w:val="ParagraphStyle7"/>
              <w:rPr>
                <w:rStyle w:val="CharacterStyle7"/>
              </w:rPr>
            </w:pPr>
            <w:r>
              <w:rPr>
                <w:rStyle w:val="CharacterStyle7"/>
              </w:rPr>
              <w:t>Izvor financiranja 5</w:t>
            </w:r>
          </w:p>
        </w:tc>
        <w:tc>
          <w:tcPr>
            <w:tcW w:w="4995" w:type="dxa"/>
            <w:tcBorders>
              <w:bottom w:val="single" w:sz="6" w:space="0" w:color="000000"/>
              <w:right w:val="single" w:sz="6" w:space="0" w:color="000000"/>
            </w:tcBorders>
            <w:vAlign w:val="center"/>
          </w:tcPr>
          <w:p w14:paraId="11C647BF" w14:textId="77777777" w:rsidR="007D706A" w:rsidRDefault="007D706A" w:rsidP="00F70508">
            <w:pPr>
              <w:pStyle w:val="ParagraphStyle8"/>
              <w:rPr>
                <w:rStyle w:val="CharacterStyle8"/>
              </w:rPr>
            </w:pPr>
            <w:r>
              <w:rPr>
                <w:rStyle w:val="CharacterStyle8"/>
              </w:rPr>
              <w:t>POMOĆI</w:t>
            </w:r>
          </w:p>
        </w:tc>
        <w:tc>
          <w:tcPr>
            <w:tcW w:w="1395" w:type="dxa"/>
            <w:tcBorders>
              <w:bottom w:val="single" w:sz="6" w:space="0" w:color="000000"/>
              <w:right w:val="single" w:sz="6" w:space="0" w:color="000000"/>
            </w:tcBorders>
            <w:vAlign w:val="center"/>
          </w:tcPr>
          <w:p w14:paraId="7EBB1551"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A2DD333"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B0C3D0A" w14:textId="77777777" w:rsidR="007D706A" w:rsidRDefault="007D706A" w:rsidP="00F70508">
            <w:pPr>
              <w:pStyle w:val="ParagraphStyle9"/>
              <w:rPr>
                <w:rStyle w:val="CharacterStyle9"/>
              </w:rPr>
            </w:pPr>
            <w:r>
              <w:rPr>
                <w:rStyle w:val="CharacterStyle9"/>
              </w:rPr>
              <w:t>40.000,00</w:t>
            </w:r>
          </w:p>
        </w:tc>
        <w:tc>
          <w:tcPr>
            <w:tcW w:w="1395" w:type="dxa"/>
            <w:tcBorders>
              <w:bottom w:val="single" w:sz="6" w:space="0" w:color="000000"/>
              <w:right w:val="single" w:sz="6" w:space="0" w:color="000000"/>
            </w:tcBorders>
            <w:vAlign w:val="center"/>
          </w:tcPr>
          <w:p w14:paraId="1F8EAFF5" w14:textId="77777777" w:rsidR="007D706A" w:rsidRDefault="007D706A" w:rsidP="00F70508">
            <w:pPr>
              <w:pStyle w:val="ParagraphStyle9"/>
              <w:rPr>
                <w:rStyle w:val="CharacterStyle9"/>
              </w:rPr>
            </w:pPr>
            <w:r>
              <w:rPr>
                <w:rStyle w:val="CharacterStyle9"/>
              </w:rPr>
              <w:t>40.000,00</w:t>
            </w:r>
          </w:p>
        </w:tc>
        <w:tc>
          <w:tcPr>
            <w:tcW w:w="1395" w:type="dxa"/>
            <w:tcBorders>
              <w:bottom w:val="single" w:sz="6" w:space="0" w:color="000000"/>
              <w:right w:val="single" w:sz="6" w:space="0" w:color="000000"/>
            </w:tcBorders>
            <w:vAlign w:val="center"/>
          </w:tcPr>
          <w:p w14:paraId="4000FF47" w14:textId="77777777" w:rsidR="007D706A" w:rsidRDefault="007D706A" w:rsidP="00F70508">
            <w:pPr>
              <w:pStyle w:val="ParagraphStyle9"/>
              <w:rPr>
                <w:rStyle w:val="CharacterStyle9"/>
              </w:rPr>
            </w:pPr>
            <w:r>
              <w:rPr>
                <w:rStyle w:val="CharacterStyle9"/>
              </w:rPr>
              <w:t>40.000,00</w:t>
            </w:r>
          </w:p>
        </w:tc>
      </w:tr>
      <w:tr w:rsidR="007D706A" w14:paraId="31E0D6F8"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E1E4ED3"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5BC2CBDE"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5B13F97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85675D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7F2AB1F" w14:textId="77777777" w:rsidR="007D706A" w:rsidRDefault="007D706A" w:rsidP="00F70508">
            <w:pPr>
              <w:pStyle w:val="ParagraphStyle12"/>
              <w:rPr>
                <w:rStyle w:val="CharacterStyle12"/>
              </w:rPr>
            </w:pPr>
            <w:r>
              <w:rPr>
                <w:rStyle w:val="CharacterStyle12"/>
              </w:rPr>
              <w:t>40.000,00</w:t>
            </w:r>
          </w:p>
        </w:tc>
        <w:tc>
          <w:tcPr>
            <w:tcW w:w="1395" w:type="dxa"/>
            <w:tcBorders>
              <w:bottom w:val="single" w:sz="6" w:space="0" w:color="000000"/>
              <w:right w:val="single" w:sz="6" w:space="0" w:color="000000"/>
            </w:tcBorders>
            <w:vAlign w:val="center"/>
          </w:tcPr>
          <w:p w14:paraId="539B6FB8" w14:textId="77777777" w:rsidR="007D706A" w:rsidRDefault="007D706A" w:rsidP="00F70508">
            <w:pPr>
              <w:pStyle w:val="ParagraphStyle12"/>
              <w:rPr>
                <w:rStyle w:val="CharacterStyle12"/>
              </w:rPr>
            </w:pPr>
            <w:r>
              <w:rPr>
                <w:rStyle w:val="CharacterStyle12"/>
              </w:rPr>
              <w:t>40.000,00</w:t>
            </w:r>
          </w:p>
        </w:tc>
        <w:tc>
          <w:tcPr>
            <w:tcW w:w="1395" w:type="dxa"/>
            <w:tcBorders>
              <w:bottom w:val="single" w:sz="6" w:space="0" w:color="000000"/>
              <w:right w:val="single" w:sz="6" w:space="0" w:color="000000"/>
            </w:tcBorders>
            <w:vAlign w:val="center"/>
          </w:tcPr>
          <w:p w14:paraId="0D19CD2C" w14:textId="77777777" w:rsidR="007D706A" w:rsidRDefault="007D706A" w:rsidP="00F70508">
            <w:pPr>
              <w:pStyle w:val="ParagraphStyle12"/>
              <w:rPr>
                <w:rStyle w:val="CharacterStyle12"/>
              </w:rPr>
            </w:pPr>
            <w:r>
              <w:rPr>
                <w:rStyle w:val="CharacterStyle12"/>
              </w:rPr>
              <w:t>40.000,00</w:t>
            </w:r>
          </w:p>
        </w:tc>
      </w:tr>
      <w:tr w:rsidR="007D706A" w14:paraId="0AD19AB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9A3B499"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38541684"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0CF0A3F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6CFF92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3970C23" w14:textId="77777777" w:rsidR="007D706A" w:rsidRDefault="007D706A" w:rsidP="00F70508">
            <w:pPr>
              <w:pStyle w:val="ParagraphStyle12"/>
              <w:rPr>
                <w:rStyle w:val="CharacterStyle12"/>
              </w:rPr>
            </w:pPr>
            <w:r>
              <w:rPr>
                <w:rStyle w:val="CharacterStyle12"/>
              </w:rPr>
              <w:t>40.000,00</w:t>
            </w:r>
          </w:p>
        </w:tc>
        <w:tc>
          <w:tcPr>
            <w:tcW w:w="1395" w:type="dxa"/>
            <w:tcBorders>
              <w:bottom w:val="single" w:sz="6" w:space="0" w:color="000000"/>
              <w:right w:val="single" w:sz="6" w:space="0" w:color="000000"/>
            </w:tcBorders>
            <w:vAlign w:val="center"/>
          </w:tcPr>
          <w:p w14:paraId="04B97DED" w14:textId="77777777" w:rsidR="007D706A" w:rsidRDefault="007D706A" w:rsidP="00F70508">
            <w:pPr>
              <w:pStyle w:val="ParagraphStyle12"/>
              <w:rPr>
                <w:rStyle w:val="CharacterStyle12"/>
              </w:rPr>
            </w:pPr>
            <w:r>
              <w:rPr>
                <w:rStyle w:val="CharacterStyle12"/>
              </w:rPr>
              <w:t>40.000,00</w:t>
            </w:r>
          </w:p>
        </w:tc>
        <w:tc>
          <w:tcPr>
            <w:tcW w:w="1395" w:type="dxa"/>
            <w:tcBorders>
              <w:bottom w:val="single" w:sz="6" w:space="0" w:color="000000"/>
              <w:right w:val="single" w:sz="6" w:space="0" w:color="000000"/>
            </w:tcBorders>
            <w:vAlign w:val="center"/>
          </w:tcPr>
          <w:p w14:paraId="5B208D17" w14:textId="77777777" w:rsidR="007D706A" w:rsidRDefault="007D706A" w:rsidP="00F70508">
            <w:pPr>
              <w:pStyle w:val="ParagraphStyle12"/>
              <w:rPr>
                <w:rStyle w:val="CharacterStyle12"/>
              </w:rPr>
            </w:pPr>
            <w:r>
              <w:rPr>
                <w:rStyle w:val="CharacterStyle12"/>
              </w:rPr>
              <w:t>40.000,00</w:t>
            </w:r>
          </w:p>
        </w:tc>
      </w:tr>
      <w:tr w:rsidR="007D706A" w14:paraId="375A303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6289BB9" w14:textId="77777777" w:rsidR="007D706A" w:rsidRDefault="007D706A" w:rsidP="00F70508">
            <w:pPr>
              <w:pStyle w:val="ParagraphStyle7"/>
              <w:rPr>
                <w:rStyle w:val="CharacterStyle7"/>
              </w:rPr>
            </w:pPr>
            <w:r>
              <w:rPr>
                <w:rStyle w:val="CharacterStyle7"/>
              </w:rPr>
              <w:t>Izvor financiranja 53</w:t>
            </w:r>
          </w:p>
        </w:tc>
        <w:tc>
          <w:tcPr>
            <w:tcW w:w="4995" w:type="dxa"/>
            <w:tcBorders>
              <w:bottom w:val="single" w:sz="6" w:space="0" w:color="000000"/>
              <w:right w:val="single" w:sz="6" w:space="0" w:color="000000"/>
            </w:tcBorders>
            <w:vAlign w:val="center"/>
          </w:tcPr>
          <w:p w14:paraId="7EEAC1C0" w14:textId="77777777" w:rsidR="007D706A" w:rsidRDefault="007D706A" w:rsidP="00F70508">
            <w:pPr>
              <w:pStyle w:val="ParagraphStyle8"/>
              <w:rPr>
                <w:rStyle w:val="CharacterStyle8"/>
              </w:rPr>
            </w:pPr>
            <w:r>
              <w:rPr>
                <w:rStyle w:val="CharacterStyle8"/>
              </w:rPr>
              <w:t>Proračuni, drugi nivoi - za posebne i / ili ugovorene namjene</w:t>
            </w:r>
          </w:p>
        </w:tc>
        <w:tc>
          <w:tcPr>
            <w:tcW w:w="1395" w:type="dxa"/>
            <w:tcBorders>
              <w:bottom w:val="single" w:sz="6" w:space="0" w:color="000000"/>
              <w:right w:val="single" w:sz="6" w:space="0" w:color="000000"/>
            </w:tcBorders>
            <w:vAlign w:val="center"/>
          </w:tcPr>
          <w:p w14:paraId="0F17CFC6"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F8A9D7F" w14:textId="77777777" w:rsidR="007D706A" w:rsidRDefault="007D706A" w:rsidP="00F70508">
            <w:pPr>
              <w:pStyle w:val="ParagraphStyle9"/>
              <w:rPr>
                <w:rStyle w:val="CharacterStyle9"/>
              </w:rPr>
            </w:pPr>
            <w:r>
              <w:rPr>
                <w:rStyle w:val="CharacterStyle9"/>
              </w:rPr>
              <w:t>10.497,00</w:t>
            </w:r>
          </w:p>
        </w:tc>
        <w:tc>
          <w:tcPr>
            <w:tcW w:w="1395" w:type="dxa"/>
            <w:tcBorders>
              <w:bottom w:val="single" w:sz="6" w:space="0" w:color="000000"/>
              <w:right w:val="single" w:sz="6" w:space="0" w:color="000000"/>
            </w:tcBorders>
            <w:vAlign w:val="center"/>
          </w:tcPr>
          <w:p w14:paraId="23C8DE51"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C058059"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A19B5A4" w14:textId="77777777" w:rsidR="007D706A" w:rsidRDefault="007D706A" w:rsidP="00F70508">
            <w:pPr>
              <w:pStyle w:val="ParagraphStyle9"/>
              <w:rPr>
                <w:rStyle w:val="CharacterStyle9"/>
              </w:rPr>
            </w:pPr>
            <w:r>
              <w:rPr>
                <w:rStyle w:val="CharacterStyle9"/>
              </w:rPr>
              <w:t>0,00</w:t>
            </w:r>
          </w:p>
        </w:tc>
      </w:tr>
      <w:tr w:rsidR="007D706A" w14:paraId="39211912"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9F88D71"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6F56EB42"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748C408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39571E9" w14:textId="77777777" w:rsidR="007D706A" w:rsidRDefault="007D706A" w:rsidP="00F70508">
            <w:pPr>
              <w:pStyle w:val="ParagraphStyle12"/>
              <w:rPr>
                <w:rStyle w:val="CharacterStyle12"/>
              </w:rPr>
            </w:pPr>
            <w:r>
              <w:rPr>
                <w:rStyle w:val="CharacterStyle12"/>
              </w:rPr>
              <w:t>10.497,00</w:t>
            </w:r>
          </w:p>
        </w:tc>
        <w:tc>
          <w:tcPr>
            <w:tcW w:w="1395" w:type="dxa"/>
            <w:tcBorders>
              <w:bottom w:val="single" w:sz="6" w:space="0" w:color="000000"/>
              <w:right w:val="single" w:sz="6" w:space="0" w:color="000000"/>
            </w:tcBorders>
            <w:vAlign w:val="center"/>
          </w:tcPr>
          <w:p w14:paraId="573FC7E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4E4644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8E7A13B" w14:textId="77777777" w:rsidR="007D706A" w:rsidRDefault="007D706A" w:rsidP="00F70508">
            <w:pPr>
              <w:pStyle w:val="ParagraphStyle12"/>
              <w:rPr>
                <w:rStyle w:val="CharacterStyle12"/>
              </w:rPr>
            </w:pPr>
            <w:r>
              <w:rPr>
                <w:rStyle w:val="CharacterStyle12"/>
              </w:rPr>
              <w:t>0,00</w:t>
            </w:r>
          </w:p>
        </w:tc>
      </w:tr>
      <w:tr w:rsidR="007D706A" w14:paraId="7C97E5B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5CB89B3"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2C6E80C7"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264F299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5FB2A6C" w14:textId="77777777" w:rsidR="007D706A" w:rsidRDefault="007D706A" w:rsidP="00F70508">
            <w:pPr>
              <w:pStyle w:val="ParagraphStyle12"/>
              <w:rPr>
                <w:rStyle w:val="CharacterStyle12"/>
              </w:rPr>
            </w:pPr>
            <w:r>
              <w:rPr>
                <w:rStyle w:val="CharacterStyle12"/>
              </w:rPr>
              <w:t>10.497,00</w:t>
            </w:r>
          </w:p>
        </w:tc>
        <w:tc>
          <w:tcPr>
            <w:tcW w:w="1395" w:type="dxa"/>
            <w:tcBorders>
              <w:bottom w:val="single" w:sz="6" w:space="0" w:color="000000"/>
              <w:right w:val="single" w:sz="6" w:space="0" w:color="000000"/>
            </w:tcBorders>
            <w:vAlign w:val="center"/>
          </w:tcPr>
          <w:p w14:paraId="4F973D4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817015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59C69E9" w14:textId="77777777" w:rsidR="007D706A" w:rsidRDefault="007D706A" w:rsidP="00F70508">
            <w:pPr>
              <w:pStyle w:val="ParagraphStyle12"/>
              <w:rPr>
                <w:rStyle w:val="CharacterStyle12"/>
              </w:rPr>
            </w:pPr>
            <w:r>
              <w:rPr>
                <w:rStyle w:val="CharacterStyle12"/>
              </w:rPr>
              <w:t>0,00</w:t>
            </w:r>
          </w:p>
        </w:tc>
      </w:tr>
      <w:tr w:rsidR="007D706A" w14:paraId="648C598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A55522F" w14:textId="77777777" w:rsidR="007D706A" w:rsidRDefault="007D706A" w:rsidP="00F70508">
            <w:pPr>
              <w:pStyle w:val="ParagraphStyle7"/>
              <w:rPr>
                <w:rStyle w:val="CharacterStyle7"/>
              </w:rPr>
            </w:pPr>
            <w:r>
              <w:rPr>
                <w:rStyle w:val="CharacterStyle7"/>
              </w:rPr>
              <w:t>Izvor financiranja 61</w:t>
            </w:r>
          </w:p>
        </w:tc>
        <w:tc>
          <w:tcPr>
            <w:tcW w:w="4995" w:type="dxa"/>
            <w:tcBorders>
              <w:bottom w:val="single" w:sz="6" w:space="0" w:color="000000"/>
              <w:right w:val="single" w:sz="6" w:space="0" w:color="000000"/>
            </w:tcBorders>
            <w:vAlign w:val="center"/>
          </w:tcPr>
          <w:p w14:paraId="663EBCB3" w14:textId="77777777" w:rsidR="007D706A" w:rsidRDefault="007D706A" w:rsidP="00F70508">
            <w:pPr>
              <w:pStyle w:val="ParagraphStyle8"/>
              <w:rPr>
                <w:rStyle w:val="CharacterStyle8"/>
              </w:rPr>
            </w:pPr>
            <w:r>
              <w:rPr>
                <w:rStyle w:val="CharacterStyle8"/>
              </w:rPr>
              <w:t>Donacije</w:t>
            </w:r>
          </w:p>
        </w:tc>
        <w:tc>
          <w:tcPr>
            <w:tcW w:w="1395" w:type="dxa"/>
            <w:tcBorders>
              <w:bottom w:val="single" w:sz="6" w:space="0" w:color="000000"/>
              <w:right w:val="single" w:sz="6" w:space="0" w:color="000000"/>
            </w:tcBorders>
            <w:vAlign w:val="center"/>
          </w:tcPr>
          <w:p w14:paraId="0FDA00E3"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960C07C" w14:textId="77777777" w:rsidR="007D706A" w:rsidRDefault="007D706A" w:rsidP="00F70508">
            <w:pPr>
              <w:pStyle w:val="ParagraphStyle9"/>
              <w:rPr>
                <w:rStyle w:val="CharacterStyle9"/>
              </w:rPr>
            </w:pPr>
            <w:r>
              <w:rPr>
                <w:rStyle w:val="CharacterStyle9"/>
              </w:rPr>
              <w:t>10.000,00</w:t>
            </w:r>
          </w:p>
        </w:tc>
        <w:tc>
          <w:tcPr>
            <w:tcW w:w="1395" w:type="dxa"/>
            <w:tcBorders>
              <w:bottom w:val="single" w:sz="6" w:space="0" w:color="000000"/>
              <w:right w:val="single" w:sz="6" w:space="0" w:color="000000"/>
            </w:tcBorders>
            <w:vAlign w:val="center"/>
          </w:tcPr>
          <w:p w14:paraId="4FC51B7B" w14:textId="77777777" w:rsidR="007D706A" w:rsidRDefault="007D706A" w:rsidP="00F70508">
            <w:pPr>
              <w:pStyle w:val="ParagraphStyle9"/>
              <w:rPr>
                <w:rStyle w:val="CharacterStyle9"/>
              </w:rPr>
            </w:pPr>
            <w:r>
              <w:rPr>
                <w:rStyle w:val="CharacterStyle9"/>
              </w:rPr>
              <w:t>13.400,00</w:t>
            </w:r>
          </w:p>
        </w:tc>
        <w:tc>
          <w:tcPr>
            <w:tcW w:w="1395" w:type="dxa"/>
            <w:tcBorders>
              <w:bottom w:val="single" w:sz="6" w:space="0" w:color="000000"/>
              <w:right w:val="single" w:sz="6" w:space="0" w:color="000000"/>
            </w:tcBorders>
            <w:vAlign w:val="center"/>
          </w:tcPr>
          <w:p w14:paraId="57BC0DA2" w14:textId="77777777" w:rsidR="007D706A" w:rsidRDefault="007D706A" w:rsidP="00F70508">
            <w:pPr>
              <w:pStyle w:val="ParagraphStyle9"/>
              <w:rPr>
                <w:rStyle w:val="CharacterStyle9"/>
              </w:rPr>
            </w:pPr>
            <w:r>
              <w:rPr>
                <w:rStyle w:val="CharacterStyle9"/>
              </w:rPr>
              <w:t>13.400,00</w:t>
            </w:r>
          </w:p>
        </w:tc>
        <w:tc>
          <w:tcPr>
            <w:tcW w:w="1395" w:type="dxa"/>
            <w:tcBorders>
              <w:bottom w:val="single" w:sz="6" w:space="0" w:color="000000"/>
              <w:right w:val="single" w:sz="6" w:space="0" w:color="000000"/>
            </w:tcBorders>
            <w:vAlign w:val="center"/>
          </w:tcPr>
          <w:p w14:paraId="6463D26C" w14:textId="77777777" w:rsidR="007D706A" w:rsidRDefault="007D706A" w:rsidP="00F70508">
            <w:pPr>
              <w:pStyle w:val="ParagraphStyle9"/>
              <w:rPr>
                <w:rStyle w:val="CharacterStyle9"/>
              </w:rPr>
            </w:pPr>
            <w:r>
              <w:rPr>
                <w:rStyle w:val="CharacterStyle9"/>
              </w:rPr>
              <w:t>13.400,00</w:t>
            </w:r>
          </w:p>
        </w:tc>
      </w:tr>
      <w:tr w:rsidR="007D706A" w14:paraId="369980E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7530673"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472B6064"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661DA47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A3BFFD1" w14:textId="77777777" w:rsidR="007D706A" w:rsidRDefault="007D706A" w:rsidP="00F70508">
            <w:pPr>
              <w:pStyle w:val="ParagraphStyle12"/>
              <w:rPr>
                <w:rStyle w:val="CharacterStyle12"/>
              </w:rPr>
            </w:pPr>
            <w:r>
              <w:rPr>
                <w:rStyle w:val="CharacterStyle12"/>
              </w:rPr>
              <w:t>10.000,00</w:t>
            </w:r>
          </w:p>
        </w:tc>
        <w:tc>
          <w:tcPr>
            <w:tcW w:w="1395" w:type="dxa"/>
            <w:tcBorders>
              <w:bottom w:val="single" w:sz="6" w:space="0" w:color="000000"/>
              <w:right w:val="single" w:sz="6" w:space="0" w:color="000000"/>
            </w:tcBorders>
            <w:vAlign w:val="center"/>
          </w:tcPr>
          <w:p w14:paraId="0AD1B571" w14:textId="77777777" w:rsidR="007D706A" w:rsidRDefault="007D706A" w:rsidP="00F70508">
            <w:pPr>
              <w:pStyle w:val="ParagraphStyle12"/>
              <w:rPr>
                <w:rStyle w:val="CharacterStyle12"/>
              </w:rPr>
            </w:pPr>
            <w:r>
              <w:rPr>
                <w:rStyle w:val="CharacterStyle12"/>
              </w:rPr>
              <w:t>13.400,00</w:t>
            </w:r>
          </w:p>
        </w:tc>
        <w:tc>
          <w:tcPr>
            <w:tcW w:w="1395" w:type="dxa"/>
            <w:tcBorders>
              <w:bottom w:val="single" w:sz="6" w:space="0" w:color="000000"/>
              <w:right w:val="single" w:sz="6" w:space="0" w:color="000000"/>
            </w:tcBorders>
            <w:vAlign w:val="center"/>
          </w:tcPr>
          <w:p w14:paraId="2A2A7297" w14:textId="77777777" w:rsidR="007D706A" w:rsidRDefault="007D706A" w:rsidP="00F70508">
            <w:pPr>
              <w:pStyle w:val="ParagraphStyle12"/>
              <w:rPr>
                <w:rStyle w:val="CharacterStyle12"/>
              </w:rPr>
            </w:pPr>
            <w:r>
              <w:rPr>
                <w:rStyle w:val="CharacterStyle12"/>
              </w:rPr>
              <w:t>13.400,00</w:t>
            </w:r>
          </w:p>
        </w:tc>
        <w:tc>
          <w:tcPr>
            <w:tcW w:w="1395" w:type="dxa"/>
            <w:tcBorders>
              <w:bottom w:val="single" w:sz="6" w:space="0" w:color="000000"/>
              <w:right w:val="single" w:sz="6" w:space="0" w:color="000000"/>
            </w:tcBorders>
            <w:vAlign w:val="center"/>
          </w:tcPr>
          <w:p w14:paraId="397AC9B9" w14:textId="77777777" w:rsidR="007D706A" w:rsidRDefault="007D706A" w:rsidP="00F70508">
            <w:pPr>
              <w:pStyle w:val="ParagraphStyle12"/>
              <w:rPr>
                <w:rStyle w:val="CharacterStyle12"/>
              </w:rPr>
            </w:pPr>
            <w:r>
              <w:rPr>
                <w:rStyle w:val="CharacterStyle12"/>
              </w:rPr>
              <w:t>13.400,00</w:t>
            </w:r>
          </w:p>
        </w:tc>
      </w:tr>
      <w:tr w:rsidR="007D706A" w14:paraId="44F8247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9F29DFE"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2BA3FA15"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4CBDC52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7424F7A" w14:textId="77777777" w:rsidR="007D706A" w:rsidRDefault="007D706A" w:rsidP="00F70508">
            <w:pPr>
              <w:pStyle w:val="ParagraphStyle12"/>
              <w:rPr>
                <w:rStyle w:val="CharacterStyle12"/>
              </w:rPr>
            </w:pPr>
            <w:r>
              <w:rPr>
                <w:rStyle w:val="CharacterStyle12"/>
              </w:rPr>
              <w:t>10.000,00</w:t>
            </w:r>
          </w:p>
        </w:tc>
        <w:tc>
          <w:tcPr>
            <w:tcW w:w="1395" w:type="dxa"/>
            <w:tcBorders>
              <w:bottom w:val="single" w:sz="6" w:space="0" w:color="000000"/>
              <w:right w:val="single" w:sz="6" w:space="0" w:color="000000"/>
            </w:tcBorders>
            <w:vAlign w:val="center"/>
          </w:tcPr>
          <w:p w14:paraId="35EFC606" w14:textId="77777777" w:rsidR="007D706A" w:rsidRDefault="007D706A" w:rsidP="00F70508">
            <w:pPr>
              <w:pStyle w:val="ParagraphStyle12"/>
              <w:rPr>
                <w:rStyle w:val="CharacterStyle12"/>
              </w:rPr>
            </w:pPr>
            <w:r>
              <w:rPr>
                <w:rStyle w:val="CharacterStyle12"/>
              </w:rPr>
              <w:t>13.400,00</w:t>
            </w:r>
          </w:p>
        </w:tc>
        <w:tc>
          <w:tcPr>
            <w:tcW w:w="1395" w:type="dxa"/>
            <w:tcBorders>
              <w:bottom w:val="single" w:sz="6" w:space="0" w:color="000000"/>
              <w:right w:val="single" w:sz="6" w:space="0" w:color="000000"/>
            </w:tcBorders>
            <w:vAlign w:val="center"/>
          </w:tcPr>
          <w:p w14:paraId="4A8CB1B1" w14:textId="77777777" w:rsidR="007D706A" w:rsidRDefault="007D706A" w:rsidP="00F70508">
            <w:pPr>
              <w:pStyle w:val="ParagraphStyle12"/>
              <w:rPr>
                <w:rStyle w:val="CharacterStyle12"/>
              </w:rPr>
            </w:pPr>
            <w:r>
              <w:rPr>
                <w:rStyle w:val="CharacterStyle12"/>
              </w:rPr>
              <w:t>13.400,00</w:t>
            </w:r>
          </w:p>
        </w:tc>
        <w:tc>
          <w:tcPr>
            <w:tcW w:w="1395" w:type="dxa"/>
            <w:tcBorders>
              <w:bottom w:val="single" w:sz="6" w:space="0" w:color="000000"/>
              <w:right w:val="single" w:sz="6" w:space="0" w:color="000000"/>
            </w:tcBorders>
            <w:vAlign w:val="center"/>
          </w:tcPr>
          <w:p w14:paraId="1289A128" w14:textId="77777777" w:rsidR="007D706A" w:rsidRDefault="007D706A" w:rsidP="00F70508">
            <w:pPr>
              <w:pStyle w:val="ParagraphStyle12"/>
              <w:rPr>
                <w:rStyle w:val="CharacterStyle12"/>
              </w:rPr>
            </w:pPr>
            <w:r>
              <w:rPr>
                <w:rStyle w:val="CharacterStyle12"/>
              </w:rPr>
              <w:t>13.400,00</w:t>
            </w:r>
          </w:p>
        </w:tc>
      </w:tr>
      <w:tr w:rsidR="007D706A" w14:paraId="6051733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E9AE3A1" w14:textId="77777777" w:rsidR="007D706A" w:rsidRDefault="007D706A" w:rsidP="00F70508">
            <w:pPr>
              <w:pStyle w:val="ParagraphStyle4"/>
              <w:rPr>
                <w:rStyle w:val="CharacterStyle4"/>
              </w:rPr>
            </w:pPr>
            <w:r>
              <w:rPr>
                <w:rStyle w:val="CharacterStyle4"/>
              </w:rPr>
              <w:t>Kapitalni projekt K103901</w:t>
            </w:r>
          </w:p>
        </w:tc>
        <w:tc>
          <w:tcPr>
            <w:tcW w:w="4995" w:type="dxa"/>
            <w:tcBorders>
              <w:bottom w:val="single" w:sz="6" w:space="0" w:color="000000"/>
              <w:right w:val="single" w:sz="6" w:space="0" w:color="000000"/>
            </w:tcBorders>
            <w:vAlign w:val="center"/>
          </w:tcPr>
          <w:p w14:paraId="171B9CDD" w14:textId="77777777" w:rsidR="007D706A" w:rsidRDefault="007D706A" w:rsidP="00F70508">
            <w:pPr>
              <w:pStyle w:val="ParagraphStyle5"/>
              <w:rPr>
                <w:rStyle w:val="CharacterStyle5"/>
              </w:rPr>
            </w:pPr>
            <w:r>
              <w:rPr>
                <w:rStyle w:val="CharacterStyle5"/>
              </w:rPr>
              <w:t>OPREMANJE POSTROJBE</w:t>
            </w:r>
          </w:p>
        </w:tc>
        <w:tc>
          <w:tcPr>
            <w:tcW w:w="1395" w:type="dxa"/>
            <w:tcBorders>
              <w:bottom w:val="single" w:sz="6" w:space="0" w:color="000000"/>
              <w:right w:val="single" w:sz="6" w:space="0" w:color="000000"/>
            </w:tcBorders>
            <w:vAlign w:val="center"/>
          </w:tcPr>
          <w:p w14:paraId="195D8A0D"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3485DE4E" w14:textId="77777777" w:rsidR="007D706A" w:rsidRDefault="007D706A" w:rsidP="00F70508">
            <w:pPr>
              <w:pStyle w:val="ParagraphStyle6"/>
              <w:rPr>
                <w:rStyle w:val="CharacterStyle6"/>
              </w:rPr>
            </w:pPr>
            <w:r>
              <w:rPr>
                <w:rStyle w:val="CharacterStyle6"/>
              </w:rPr>
              <w:t>86.052,82</w:t>
            </w:r>
          </w:p>
        </w:tc>
        <w:tc>
          <w:tcPr>
            <w:tcW w:w="1395" w:type="dxa"/>
            <w:tcBorders>
              <w:bottom w:val="single" w:sz="6" w:space="0" w:color="000000"/>
              <w:right w:val="single" w:sz="6" w:space="0" w:color="000000"/>
            </w:tcBorders>
            <w:vAlign w:val="center"/>
          </w:tcPr>
          <w:p w14:paraId="0EAE180D" w14:textId="77777777" w:rsidR="007D706A" w:rsidRDefault="007D706A" w:rsidP="00F70508">
            <w:pPr>
              <w:pStyle w:val="ParagraphStyle6"/>
              <w:rPr>
                <w:rStyle w:val="CharacterStyle6"/>
              </w:rPr>
            </w:pPr>
            <w:r>
              <w:rPr>
                <w:rStyle w:val="CharacterStyle6"/>
              </w:rPr>
              <w:t>71.473,00</w:t>
            </w:r>
          </w:p>
        </w:tc>
        <w:tc>
          <w:tcPr>
            <w:tcW w:w="1395" w:type="dxa"/>
            <w:tcBorders>
              <w:bottom w:val="single" w:sz="6" w:space="0" w:color="000000"/>
              <w:right w:val="single" w:sz="6" w:space="0" w:color="000000"/>
            </w:tcBorders>
            <w:vAlign w:val="center"/>
          </w:tcPr>
          <w:p w14:paraId="47DD69AA" w14:textId="77777777" w:rsidR="007D706A" w:rsidRDefault="007D706A" w:rsidP="00F70508">
            <w:pPr>
              <w:pStyle w:val="ParagraphStyle6"/>
              <w:rPr>
                <w:rStyle w:val="CharacterStyle6"/>
              </w:rPr>
            </w:pPr>
            <w:r>
              <w:rPr>
                <w:rStyle w:val="CharacterStyle6"/>
              </w:rPr>
              <w:t>56.921,00</w:t>
            </w:r>
          </w:p>
        </w:tc>
        <w:tc>
          <w:tcPr>
            <w:tcW w:w="1395" w:type="dxa"/>
            <w:tcBorders>
              <w:bottom w:val="single" w:sz="6" w:space="0" w:color="000000"/>
              <w:right w:val="single" w:sz="6" w:space="0" w:color="000000"/>
            </w:tcBorders>
            <w:vAlign w:val="center"/>
          </w:tcPr>
          <w:p w14:paraId="142B686A" w14:textId="77777777" w:rsidR="007D706A" w:rsidRDefault="007D706A" w:rsidP="00F70508">
            <w:pPr>
              <w:pStyle w:val="ParagraphStyle6"/>
              <w:rPr>
                <w:rStyle w:val="CharacterStyle6"/>
              </w:rPr>
            </w:pPr>
            <w:r>
              <w:rPr>
                <w:rStyle w:val="CharacterStyle6"/>
              </w:rPr>
              <w:t>57.021,00</w:t>
            </w:r>
          </w:p>
        </w:tc>
      </w:tr>
      <w:tr w:rsidR="007D706A" w14:paraId="4E72601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FBCD99F"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7AF572CA"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35419AE8"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0E082EF" w14:textId="77777777" w:rsidR="007D706A" w:rsidRDefault="007D706A" w:rsidP="00F70508">
            <w:pPr>
              <w:pStyle w:val="ParagraphStyle9"/>
              <w:rPr>
                <w:rStyle w:val="CharacterStyle9"/>
              </w:rPr>
            </w:pPr>
            <w:r>
              <w:rPr>
                <w:rStyle w:val="CharacterStyle9"/>
              </w:rPr>
              <w:t>24.094,13</w:t>
            </w:r>
          </w:p>
        </w:tc>
        <w:tc>
          <w:tcPr>
            <w:tcW w:w="1395" w:type="dxa"/>
            <w:tcBorders>
              <w:bottom w:val="single" w:sz="6" w:space="0" w:color="000000"/>
              <w:right w:val="single" w:sz="6" w:space="0" w:color="000000"/>
            </w:tcBorders>
            <w:vAlign w:val="center"/>
          </w:tcPr>
          <w:p w14:paraId="300BDDB2" w14:textId="77777777" w:rsidR="007D706A" w:rsidRDefault="007D706A" w:rsidP="00F70508">
            <w:pPr>
              <w:pStyle w:val="ParagraphStyle9"/>
              <w:rPr>
                <w:rStyle w:val="CharacterStyle9"/>
              </w:rPr>
            </w:pPr>
            <w:r>
              <w:rPr>
                <w:rStyle w:val="CharacterStyle9"/>
              </w:rPr>
              <w:t>42.193,00</w:t>
            </w:r>
          </w:p>
        </w:tc>
        <w:tc>
          <w:tcPr>
            <w:tcW w:w="1395" w:type="dxa"/>
            <w:tcBorders>
              <w:bottom w:val="single" w:sz="6" w:space="0" w:color="000000"/>
              <w:right w:val="single" w:sz="6" w:space="0" w:color="000000"/>
            </w:tcBorders>
            <w:vAlign w:val="center"/>
          </w:tcPr>
          <w:p w14:paraId="5244CB75" w14:textId="77777777" w:rsidR="007D706A" w:rsidRDefault="007D706A" w:rsidP="00F70508">
            <w:pPr>
              <w:pStyle w:val="ParagraphStyle9"/>
              <w:rPr>
                <w:rStyle w:val="CharacterStyle9"/>
              </w:rPr>
            </w:pPr>
            <w:r>
              <w:rPr>
                <w:rStyle w:val="CharacterStyle9"/>
              </w:rPr>
              <w:t>46.921,00</w:t>
            </w:r>
          </w:p>
        </w:tc>
        <w:tc>
          <w:tcPr>
            <w:tcW w:w="1395" w:type="dxa"/>
            <w:tcBorders>
              <w:bottom w:val="single" w:sz="6" w:space="0" w:color="000000"/>
              <w:right w:val="single" w:sz="6" w:space="0" w:color="000000"/>
            </w:tcBorders>
            <w:vAlign w:val="center"/>
          </w:tcPr>
          <w:p w14:paraId="343E2085" w14:textId="77777777" w:rsidR="007D706A" w:rsidRDefault="007D706A" w:rsidP="00F70508">
            <w:pPr>
              <w:pStyle w:val="ParagraphStyle9"/>
              <w:rPr>
                <w:rStyle w:val="CharacterStyle9"/>
              </w:rPr>
            </w:pPr>
            <w:r>
              <w:rPr>
                <w:rStyle w:val="CharacterStyle9"/>
              </w:rPr>
              <w:t>46.021,00</w:t>
            </w:r>
          </w:p>
        </w:tc>
      </w:tr>
      <w:tr w:rsidR="007D706A" w14:paraId="1297136B"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4DC262C"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5CB13016"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148EAE7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0C89381" w14:textId="77777777" w:rsidR="007D706A" w:rsidRDefault="007D706A" w:rsidP="00F70508">
            <w:pPr>
              <w:pStyle w:val="ParagraphStyle12"/>
              <w:rPr>
                <w:rStyle w:val="CharacterStyle12"/>
              </w:rPr>
            </w:pPr>
            <w:r>
              <w:rPr>
                <w:rStyle w:val="CharacterStyle12"/>
              </w:rPr>
              <w:t>24.094,13</w:t>
            </w:r>
          </w:p>
        </w:tc>
        <w:tc>
          <w:tcPr>
            <w:tcW w:w="1395" w:type="dxa"/>
            <w:tcBorders>
              <w:bottom w:val="single" w:sz="6" w:space="0" w:color="000000"/>
              <w:right w:val="single" w:sz="6" w:space="0" w:color="000000"/>
            </w:tcBorders>
            <w:vAlign w:val="center"/>
          </w:tcPr>
          <w:p w14:paraId="69CF8823" w14:textId="77777777" w:rsidR="007D706A" w:rsidRDefault="007D706A" w:rsidP="00F70508">
            <w:pPr>
              <w:pStyle w:val="ParagraphStyle12"/>
              <w:rPr>
                <w:rStyle w:val="CharacterStyle12"/>
              </w:rPr>
            </w:pPr>
            <w:r>
              <w:rPr>
                <w:rStyle w:val="CharacterStyle12"/>
              </w:rPr>
              <w:t>42.193,00</w:t>
            </w:r>
          </w:p>
        </w:tc>
        <w:tc>
          <w:tcPr>
            <w:tcW w:w="1395" w:type="dxa"/>
            <w:tcBorders>
              <w:bottom w:val="single" w:sz="6" w:space="0" w:color="000000"/>
              <w:right w:val="single" w:sz="6" w:space="0" w:color="000000"/>
            </w:tcBorders>
            <w:vAlign w:val="center"/>
          </w:tcPr>
          <w:p w14:paraId="59A6A378" w14:textId="77777777" w:rsidR="007D706A" w:rsidRDefault="007D706A" w:rsidP="00F70508">
            <w:pPr>
              <w:pStyle w:val="ParagraphStyle12"/>
              <w:rPr>
                <w:rStyle w:val="CharacterStyle12"/>
              </w:rPr>
            </w:pPr>
            <w:r>
              <w:rPr>
                <w:rStyle w:val="CharacterStyle12"/>
              </w:rPr>
              <w:t>46.921,00</w:t>
            </w:r>
          </w:p>
        </w:tc>
        <w:tc>
          <w:tcPr>
            <w:tcW w:w="1395" w:type="dxa"/>
            <w:tcBorders>
              <w:bottom w:val="single" w:sz="6" w:space="0" w:color="000000"/>
              <w:right w:val="single" w:sz="6" w:space="0" w:color="000000"/>
            </w:tcBorders>
            <w:vAlign w:val="center"/>
          </w:tcPr>
          <w:p w14:paraId="68DA1CFD" w14:textId="77777777" w:rsidR="007D706A" w:rsidRDefault="007D706A" w:rsidP="00F70508">
            <w:pPr>
              <w:pStyle w:val="ParagraphStyle12"/>
              <w:rPr>
                <w:rStyle w:val="CharacterStyle12"/>
              </w:rPr>
            </w:pPr>
            <w:r>
              <w:rPr>
                <w:rStyle w:val="CharacterStyle12"/>
              </w:rPr>
              <w:t>46.021,00</w:t>
            </w:r>
          </w:p>
        </w:tc>
      </w:tr>
      <w:tr w:rsidR="007D706A" w14:paraId="5FBCD3F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8D0ACDD" w14:textId="77777777" w:rsidR="007D706A" w:rsidRDefault="007D706A" w:rsidP="00F70508">
            <w:pPr>
              <w:pStyle w:val="ParagraphStyle10"/>
              <w:rPr>
                <w:rStyle w:val="CharacterStyle10"/>
              </w:rPr>
            </w:pPr>
            <w:r>
              <w:rPr>
                <w:rStyle w:val="CharacterStyle10"/>
              </w:rPr>
              <w:t>42</w:t>
            </w:r>
          </w:p>
        </w:tc>
        <w:tc>
          <w:tcPr>
            <w:tcW w:w="4995" w:type="dxa"/>
            <w:tcBorders>
              <w:bottom w:val="single" w:sz="6" w:space="0" w:color="000000"/>
              <w:right w:val="single" w:sz="6" w:space="0" w:color="000000"/>
            </w:tcBorders>
            <w:vAlign w:val="center"/>
          </w:tcPr>
          <w:p w14:paraId="08846E95"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5B930AD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314BE17" w14:textId="77777777" w:rsidR="007D706A" w:rsidRDefault="007D706A" w:rsidP="00F70508">
            <w:pPr>
              <w:pStyle w:val="ParagraphStyle12"/>
              <w:rPr>
                <w:rStyle w:val="CharacterStyle12"/>
              </w:rPr>
            </w:pPr>
            <w:r>
              <w:rPr>
                <w:rStyle w:val="CharacterStyle12"/>
              </w:rPr>
              <w:t>24.094,13</w:t>
            </w:r>
          </w:p>
        </w:tc>
        <w:tc>
          <w:tcPr>
            <w:tcW w:w="1395" w:type="dxa"/>
            <w:tcBorders>
              <w:bottom w:val="single" w:sz="6" w:space="0" w:color="000000"/>
              <w:right w:val="single" w:sz="6" w:space="0" w:color="000000"/>
            </w:tcBorders>
            <w:vAlign w:val="center"/>
          </w:tcPr>
          <w:p w14:paraId="3DCD5139" w14:textId="77777777" w:rsidR="007D706A" w:rsidRDefault="007D706A" w:rsidP="00F70508">
            <w:pPr>
              <w:pStyle w:val="ParagraphStyle12"/>
              <w:rPr>
                <w:rStyle w:val="CharacterStyle12"/>
              </w:rPr>
            </w:pPr>
            <w:r>
              <w:rPr>
                <w:rStyle w:val="CharacterStyle12"/>
              </w:rPr>
              <w:t>42.193,00</w:t>
            </w:r>
          </w:p>
        </w:tc>
        <w:tc>
          <w:tcPr>
            <w:tcW w:w="1395" w:type="dxa"/>
            <w:tcBorders>
              <w:bottom w:val="single" w:sz="6" w:space="0" w:color="000000"/>
              <w:right w:val="single" w:sz="6" w:space="0" w:color="000000"/>
            </w:tcBorders>
            <w:vAlign w:val="center"/>
          </w:tcPr>
          <w:p w14:paraId="08B1BB85" w14:textId="77777777" w:rsidR="007D706A" w:rsidRDefault="007D706A" w:rsidP="00F70508">
            <w:pPr>
              <w:pStyle w:val="ParagraphStyle12"/>
              <w:rPr>
                <w:rStyle w:val="CharacterStyle12"/>
              </w:rPr>
            </w:pPr>
            <w:r>
              <w:rPr>
                <w:rStyle w:val="CharacterStyle12"/>
              </w:rPr>
              <w:t>46.921,00</w:t>
            </w:r>
          </w:p>
        </w:tc>
        <w:tc>
          <w:tcPr>
            <w:tcW w:w="1395" w:type="dxa"/>
            <w:tcBorders>
              <w:bottom w:val="single" w:sz="6" w:space="0" w:color="000000"/>
              <w:right w:val="single" w:sz="6" w:space="0" w:color="000000"/>
            </w:tcBorders>
            <w:vAlign w:val="center"/>
          </w:tcPr>
          <w:p w14:paraId="25739F8E" w14:textId="77777777" w:rsidR="007D706A" w:rsidRDefault="007D706A" w:rsidP="00F70508">
            <w:pPr>
              <w:pStyle w:val="ParagraphStyle12"/>
              <w:rPr>
                <w:rStyle w:val="CharacterStyle12"/>
              </w:rPr>
            </w:pPr>
            <w:r>
              <w:rPr>
                <w:rStyle w:val="CharacterStyle12"/>
              </w:rPr>
              <w:t>46.021,00</w:t>
            </w:r>
          </w:p>
        </w:tc>
      </w:tr>
      <w:tr w:rsidR="007D706A" w14:paraId="31A4C953"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A1B97B8" w14:textId="77777777" w:rsidR="007D706A" w:rsidRDefault="007D706A" w:rsidP="00F70508">
            <w:pPr>
              <w:pStyle w:val="ParagraphStyle7"/>
              <w:rPr>
                <w:rStyle w:val="CharacterStyle7"/>
              </w:rPr>
            </w:pPr>
            <w:r>
              <w:rPr>
                <w:rStyle w:val="CharacterStyle7"/>
              </w:rPr>
              <w:t>Izvor financiranja 31</w:t>
            </w:r>
          </w:p>
        </w:tc>
        <w:tc>
          <w:tcPr>
            <w:tcW w:w="4995" w:type="dxa"/>
            <w:tcBorders>
              <w:bottom w:val="single" w:sz="6" w:space="0" w:color="000000"/>
              <w:right w:val="single" w:sz="6" w:space="0" w:color="000000"/>
            </w:tcBorders>
            <w:vAlign w:val="center"/>
          </w:tcPr>
          <w:p w14:paraId="3F985F83" w14:textId="77777777" w:rsidR="007D706A" w:rsidRDefault="007D706A" w:rsidP="00F70508">
            <w:pPr>
              <w:pStyle w:val="ParagraphStyle8"/>
              <w:rPr>
                <w:rStyle w:val="CharacterStyle8"/>
              </w:rPr>
            </w:pPr>
            <w:r>
              <w:rPr>
                <w:rStyle w:val="CharacterStyle8"/>
              </w:rPr>
              <w:t>Vlastiti prihodi</w:t>
            </w:r>
          </w:p>
        </w:tc>
        <w:tc>
          <w:tcPr>
            <w:tcW w:w="1395" w:type="dxa"/>
            <w:tcBorders>
              <w:bottom w:val="single" w:sz="6" w:space="0" w:color="000000"/>
              <w:right w:val="single" w:sz="6" w:space="0" w:color="000000"/>
            </w:tcBorders>
            <w:vAlign w:val="center"/>
          </w:tcPr>
          <w:p w14:paraId="5394ED1F"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3599183" w14:textId="77777777" w:rsidR="007D706A" w:rsidRDefault="007D706A" w:rsidP="00F70508">
            <w:pPr>
              <w:pStyle w:val="ParagraphStyle9"/>
              <w:rPr>
                <w:rStyle w:val="CharacterStyle9"/>
              </w:rPr>
            </w:pPr>
            <w:r>
              <w:rPr>
                <w:rStyle w:val="CharacterStyle9"/>
              </w:rPr>
              <w:t>17.655,00</w:t>
            </w:r>
          </w:p>
        </w:tc>
        <w:tc>
          <w:tcPr>
            <w:tcW w:w="1395" w:type="dxa"/>
            <w:tcBorders>
              <w:bottom w:val="single" w:sz="6" w:space="0" w:color="000000"/>
              <w:right w:val="single" w:sz="6" w:space="0" w:color="000000"/>
            </w:tcBorders>
            <w:vAlign w:val="center"/>
          </w:tcPr>
          <w:p w14:paraId="6E2FFA7F" w14:textId="77777777" w:rsidR="007D706A" w:rsidRDefault="007D706A" w:rsidP="00F70508">
            <w:pPr>
              <w:pStyle w:val="ParagraphStyle9"/>
              <w:rPr>
                <w:rStyle w:val="CharacterStyle9"/>
              </w:rPr>
            </w:pPr>
            <w:r>
              <w:rPr>
                <w:rStyle w:val="CharacterStyle9"/>
              </w:rPr>
              <w:t>18.500,00</w:t>
            </w:r>
          </w:p>
        </w:tc>
        <w:tc>
          <w:tcPr>
            <w:tcW w:w="1395" w:type="dxa"/>
            <w:tcBorders>
              <w:bottom w:val="single" w:sz="6" w:space="0" w:color="000000"/>
              <w:right w:val="single" w:sz="6" w:space="0" w:color="000000"/>
            </w:tcBorders>
            <w:vAlign w:val="center"/>
          </w:tcPr>
          <w:p w14:paraId="41A9C4E9" w14:textId="77777777" w:rsidR="007D706A" w:rsidRDefault="007D706A" w:rsidP="00F70508">
            <w:pPr>
              <w:pStyle w:val="ParagraphStyle9"/>
              <w:rPr>
                <w:rStyle w:val="CharacterStyle9"/>
              </w:rPr>
            </w:pPr>
            <w:r>
              <w:rPr>
                <w:rStyle w:val="CharacterStyle9"/>
              </w:rPr>
              <w:t>10.000,00</w:t>
            </w:r>
          </w:p>
        </w:tc>
        <w:tc>
          <w:tcPr>
            <w:tcW w:w="1395" w:type="dxa"/>
            <w:tcBorders>
              <w:bottom w:val="single" w:sz="6" w:space="0" w:color="000000"/>
              <w:right w:val="single" w:sz="6" w:space="0" w:color="000000"/>
            </w:tcBorders>
            <w:vAlign w:val="center"/>
          </w:tcPr>
          <w:p w14:paraId="28F3F257" w14:textId="77777777" w:rsidR="007D706A" w:rsidRDefault="007D706A" w:rsidP="00F70508">
            <w:pPr>
              <w:pStyle w:val="ParagraphStyle9"/>
              <w:rPr>
                <w:rStyle w:val="CharacterStyle9"/>
              </w:rPr>
            </w:pPr>
            <w:r>
              <w:rPr>
                <w:rStyle w:val="CharacterStyle9"/>
              </w:rPr>
              <w:t>11.000,00</w:t>
            </w:r>
          </w:p>
        </w:tc>
      </w:tr>
      <w:tr w:rsidR="007D706A" w14:paraId="32B4CA3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9CC4734"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4CD44565"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067713A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13AA17A" w14:textId="77777777" w:rsidR="007D706A" w:rsidRDefault="007D706A" w:rsidP="00F70508">
            <w:pPr>
              <w:pStyle w:val="ParagraphStyle12"/>
              <w:rPr>
                <w:rStyle w:val="CharacterStyle12"/>
              </w:rPr>
            </w:pPr>
            <w:r>
              <w:rPr>
                <w:rStyle w:val="CharacterStyle12"/>
              </w:rPr>
              <w:t>17.655,00</w:t>
            </w:r>
          </w:p>
        </w:tc>
        <w:tc>
          <w:tcPr>
            <w:tcW w:w="1395" w:type="dxa"/>
            <w:tcBorders>
              <w:bottom w:val="single" w:sz="6" w:space="0" w:color="000000"/>
              <w:right w:val="single" w:sz="6" w:space="0" w:color="000000"/>
            </w:tcBorders>
            <w:vAlign w:val="center"/>
          </w:tcPr>
          <w:p w14:paraId="61517FB0" w14:textId="77777777" w:rsidR="007D706A" w:rsidRDefault="007D706A" w:rsidP="00F70508">
            <w:pPr>
              <w:pStyle w:val="ParagraphStyle12"/>
              <w:rPr>
                <w:rStyle w:val="CharacterStyle12"/>
              </w:rPr>
            </w:pPr>
            <w:r>
              <w:rPr>
                <w:rStyle w:val="CharacterStyle12"/>
              </w:rPr>
              <w:t>18.500,00</w:t>
            </w:r>
          </w:p>
        </w:tc>
        <w:tc>
          <w:tcPr>
            <w:tcW w:w="1395" w:type="dxa"/>
            <w:tcBorders>
              <w:bottom w:val="single" w:sz="6" w:space="0" w:color="000000"/>
              <w:right w:val="single" w:sz="6" w:space="0" w:color="000000"/>
            </w:tcBorders>
            <w:vAlign w:val="center"/>
          </w:tcPr>
          <w:p w14:paraId="0E9C6FE3" w14:textId="77777777" w:rsidR="007D706A" w:rsidRDefault="007D706A" w:rsidP="00F70508">
            <w:pPr>
              <w:pStyle w:val="ParagraphStyle12"/>
              <w:rPr>
                <w:rStyle w:val="CharacterStyle12"/>
              </w:rPr>
            </w:pPr>
            <w:r>
              <w:rPr>
                <w:rStyle w:val="CharacterStyle12"/>
              </w:rPr>
              <w:t>10.000,00</w:t>
            </w:r>
          </w:p>
        </w:tc>
        <w:tc>
          <w:tcPr>
            <w:tcW w:w="1395" w:type="dxa"/>
            <w:tcBorders>
              <w:bottom w:val="single" w:sz="6" w:space="0" w:color="000000"/>
              <w:right w:val="single" w:sz="6" w:space="0" w:color="000000"/>
            </w:tcBorders>
            <w:vAlign w:val="center"/>
          </w:tcPr>
          <w:p w14:paraId="227D0EFD" w14:textId="77777777" w:rsidR="007D706A" w:rsidRDefault="007D706A" w:rsidP="00F70508">
            <w:pPr>
              <w:pStyle w:val="ParagraphStyle12"/>
              <w:rPr>
                <w:rStyle w:val="CharacterStyle12"/>
              </w:rPr>
            </w:pPr>
            <w:r>
              <w:rPr>
                <w:rStyle w:val="CharacterStyle12"/>
              </w:rPr>
              <w:t>11.000,00</w:t>
            </w:r>
          </w:p>
        </w:tc>
      </w:tr>
      <w:tr w:rsidR="007D706A" w14:paraId="2A23E60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CBF6731" w14:textId="77777777" w:rsidR="007D706A" w:rsidRDefault="007D706A" w:rsidP="00F70508">
            <w:pPr>
              <w:pStyle w:val="ParagraphStyle10"/>
              <w:rPr>
                <w:rStyle w:val="CharacterStyle10"/>
              </w:rPr>
            </w:pPr>
            <w:r>
              <w:rPr>
                <w:rStyle w:val="CharacterStyle10"/>
              </w:rPr>
              <w:t>42</w:t>
            </w:r>
          </w:p>
        </w:tc>
        <w:tc>
          <w:tcPr>
            <w:tcW w:w="4995" w:type="dxa"/>
            <w:tcBorders>
              <w:bottom w:val="single" w:sz="6" w:space="0" w:color="000000"/>
              <w:right w:val="single" w:sz="6" w:space="0" w:color="000000"/>
            </w:tcBorders>
            <w:vAlign w:val="center"/>
          </w:tcPr>
          <w:p w14:paraId="35E6A542"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6C5EA26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5882F12" w14:textId="77777777" w:rsidR="007D706A" w:rsidRDefault="007D706A" w:rsidP="00F70508">
            <w:pPr>
              <w:pStyle w:val="ParagraphStyle12"/>
              <w:rPr>
                <w:rStyle w:val="CharacterStyle12"/>
              </w:rPr>
            </w:pPr>
            <w:r>
              <w:rPr>
                <w:rStyle w:val="CharacterStyle12"/>
              </w:rPr>
              <w:t>17.655,00</w:t>
            </w:r>
          </w:p>
        </w:tc>
        <w:tc>
          <w:tcPr>
            <w:tcW w:w="1395" w:type="dxa"/>
            <w:tcBorders>
              <w:bottom w:val="single" w:sz="6" w:space="0" w:color="000000"/>
              <w:right w:val="single" w:sz="6" w:space="0" w:color="000000"/>
            </w:tcBorders>
            <w:vAlign w:val="center"/>
          </w:tcPr>
          <w:p w14:paraId="5482721F" w14:textId="77777777" w:rsidR="007D706A" w:rsidRDefault="007D706A" w:rsidP="00F70508">
            <w:pPr>
              <w:pStyle w:val="ParagraphStyle12"/>
              <w:rPr>
                <w:rStyle w:val="CharacterStyle12"/>
              </w:rPr>
            </w:pPr>
            <w:r>
              <w:rPr>
                <w:rStyle w:val="CharacterStyle12"/>
              </w:rPr>
              <w:t>18.500,00</w:t>
            </w:r>
          </w:p>
        </w:tc>
        <w:tc>
          <w:tcPr>
            <w:tcW w:w="1395" w:type="dxa"/>
            <w:tcBorders>
              <w:bottom w:val="single" w:sz="6" w:space="0" w:color="000000"/>
              <w:right w:val="single" w:sz="6" w:space="0" w:color="000000"/>
            </w:tcBorders>
            <w:vAlign w:val="center"/>
          </w:tcPr>
          <w:p w14:paraId="2B60EC06" w14:textId="77777777" w:rsidR="007D706A" w:rsidRDefault="007D706A" w:rsidP="00F70508">
            <w:pPr>
              <w:pStyle w:val="ParagraphStyle12"/>
              <w:rPr>
                <w:rStyle w:val="CharacterStyle12"/>
              </w:rPr>
            </w:pPr>
            <w:r>
              <w:rPr>
                <w:rStyle w:val="CharacterStyle12"/>
              </w:rPr>
              <w:t>10.000,00</w:t>
            </w:r>
          </w:p>
        </w:tc>
        <w:tc>
          <w:tcPr>
            <w:tcW w:w="1395" w:type="dxa"/>
            <w:tcBorders>
              <w:bottom w:val="single" w:sz="6" w:space="0" w:color="000000"/>
              <w:right w:val="single" w:sz="6" w:space="0" w:color="000000"/>
            </w:tcBorders>
            <w:vAlign w:val="center"/>
          </w:tcPr>
          <w:p w14:paraId="404B7713" w14:textId="77777777" w:rsidR="007D706A" w:rsidRDefault="007D706A" w:rsidP="00F70508">
            <w:pPr>
              <w:pStyle w:val="ParagraphStyle12"/>
              <w:rPr>
                <w:rStyle w:val="CharacterStyle12"/>
              </w:rPr>
            </w:pPr>
            <w:r>
              <w:rPr>
                <w:rStyle w:val="CharacterStyle12"/>
              </w:rPr>
              <w:t>11.000,00</w:t>
            </w:r>
          </w:p>
        </w:tc>
      </w:tr>
      <w:tr w:rsidR="007D706A" w14:paraId="1AEEE37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E3C5104" w14:textId="77777777" w:rsidR="007D706A" w:rsidRDefault="007D706A" w:rsidP="00F70508">
            <w:pPr>
              <w:pStyle w:val="ParagraphStyle7"/>
              <w:rPr>
                <w:rStyle w:val="CharacterStyle7"/>
              </w:rPr>
            </w:pPr>
            <w:r>
              <w:rPr>
                <w:rStyle w:val="CharacterStyle7"/>
              </w:rPr>
              <w:t>Izvor financiranja 5</w:t>
            </w:r>
          </w:p>
        </w:tc>
        <w:tc>
          <w:tcPr>
            <w:tcW w:w="4995" w:type="dxa"/>
            <w:tcBorders>
              <w:bottom w:val="single" w:sz="6" w:space="0" w:color="000000"/>
              <w:right w:val="single" w:sz="6" w:space="0" w:color="000000"/>
            </w:tcBorders>
            <w:vAlign w:val="center"/>
          </w:tcPr>
          <w:p w14:paraId="2AFCE251" w14:textId="77777777" w:rsidR="007D706A" w:rsidRDefault="007D706A" w:rsidP="00F70508">
            <w:pPr>
              <w:pStyle w:val="ParagraphStyle8"/>
              <w:rPr>
                <w:rStyle w:val="CharacterStyle8"/>
              </w:rPr>
            </w:pPr>
            <w:r>
              <w:rPr>
                <w:rStyle w:val="CharacterStyle8"/>
              </w:rPr>
              <w:t>POMOĆI</w:t>
            </w:r>
          </w:p>
        </w:tc>
        <w:tc>
          <w:tcPr>
            <w:tcW w:w="1395" w:type="dxa"/>
            <w:tcBorders>
              <w:bottom w:val="single" w:sz="6" w:space="0" w:color="000000"/>
              <w:right w:val="single" w:sz="6" w:space="0" w:color="000000"/>
            </w:tcBorders>
            <w:vAlign w:val="center"/>
          </w:tcPr>
          <w:p w14:paraId="42830B6D"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85A31CF"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735AA89" w14:textId="77777777" w:rsidR="007D706A" w:rsidRDefault="007D706A" w:rsidP="00F70508">
            <w:pPr>
              <w:pStyle w:val="ParagraphStyle9"/>
              <w:rPr>
                <w:rStyle w:val="CharacterStyle9"/>
              </w:rPr>
            </w:pPr>
            <w:r>
              <w:rPr>
                <w:rStyle w:val="CharacterStyle9"/>
              </w:rPr>
              <w:t>10.780,00</w:t>
            </w:r>
          </w:p>
        </w:tc>
        <w:tc>
          <w:tcPr>
            <w:tcW w:w="1395" w:type="dxa"/>
            <w:tcBorders>
              <w:bottom w:val="single" w:sz="6" w:space="0" w:color="000000"/>
              <w:right w:val="single" w:sz="6" w:space="0" w:color="000000"/>
            </w:tcBorders>
            <w:vAlign w:val="center"/>
          </w:tcPr>
          <w:p w14:paraId="60DC4FE4"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EF1BD0F" w14:textId="77777777" w:rsidR="007D706A" w:rsidRDefault="007D706A" w:rsidP="00F70508">
            <w:pPr>
              <w:pStyle w:val="ParagraphStyle9"/>
              <w:rPr>
                <w:rStyle w:val="CharacterStyle9"/>
              </w:rPr>
            </w:pPr>
            <w:r>
              <w:rPr>
                <w:rStyle w:val="CharacterStyle9"/>
              </w:rPr>
              <w:t>0,00</w:t>
            </w:r>
          </w:p>
        </w:tc>
      </w:tr>
      <w:tr w:rsidR="007D706A" w14:paraId="195D3E9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999C969"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7BD0B847"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113A74A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A9A0410"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19A81AC" w14:textId="77777777" w:rsidR="007D706A" w:rsidRDefault="007D706A" w:rsidP="00F70508">
            <w:pPr>
              <w:pStyle w:val="ParagraphStyle12"/>
              <w:rPr>
                <w:rStyle w:val="CharacterStyle12"/>
              </w:rPr>
            </w:pPr>
            <w:r>
              <w:rPr>
                <w:rStyle w:val="CharacterStyle12"/>
              </w:rPr>
              <w:t>10.780,00</w:t>
            </w:r>
          </w:p>
        </w:tc>
        <w:tc>
          <w:tcPr>
            <w:tcW w:w="1395" w:type="dxa"/>
            <w:tcBorders>
              <w:bottom w:val="single" w:sz="6" w:space="0" w:color="000000"/>
              <w:right w:val="single" w:sz="6" w:space="0" w:color="000000"/>
            </w:tcBorders>
            <w:vAlign w:val="center"/>
          </w:tcPr>
          <w:p w14:paraId="2F6D959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A1100ED" w14:textId="77777777" w:rsidR="007D706A" w:rsidRDefault="007D706A" w:rsidP="00F70508">
            <w:pPr>
              <w:pStyle w:val="ParagraphStyle12"/>
              <w:rPr>
                <w:rStyle w:val="CharacterStyle12"/>
              </w:rPr>
            </w:pPr>
            <w:r>
              <w:rPr>
                <w:rStyle w:val="CharacterStyle12"/>
              </w:rPr>
              <w:t>0,00</w:t>
            </w:r>
          </w:p>
        </w:tc>
      </w:tr>
      <w:tr w:rsidR="007D706A" w14:paraId="19C900B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93807EB" w14:textId="77777777" w:rsidR="007D706A" w:rsidRDefault="007D706A" w:rsidP="00F70508">
            <w:pPr>
              <w:pStyle w:val="ParagraphStyle10"/>
              <w:rPr>
                <w:rStyle w:val="CharacterStyle10"/>
              </w:rPr>
            </w:pPr>
            <w:r>
              <w:rPr>
                <w:rStyle w:val="CharacterStyle10"/>
              </w:rPr>
              <w:t>42</w:t>
            </w:r>
          </w:p>
        </w:tc>
        <w:tc>
          <w:tcPr>
            <w:tcW w:w="4995" w:type="dxa"/>
            <w:tcBorders>
              <w:bottom w:val="single" w:sz="6" w:space="0" w:color="000000"/>
              <w:right w:val="single" w:sz="6" w:space="0" w:color="000000"/>
            </w:tcBorders>
            <w:vAlign w:val="center"/>
          </w:tcPr>
          <w:p w14:paraId="65949803"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10989C8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9B9E76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BEEED4C" w14:textId="77777777" w:rsidR="007D706A" w:rsidRDefault="007D706A" w:rsidP="00F70508">
            <w:pPr>
              <w:pStyle w:val="ParagraphStyle12"/>
              <w:rPr>
                <w:rStyle w:val="CharacterStyle12"/>
              </w:rPr>
            </w:pPr>
            <w:r>
              <w:rPr>
                <w:rStyle w:val="CharacterStyle12"/>
              </w:rPr>
              <w:t>10.780,00</w:t>
            </w:r>
          </w:p>
        </w:tc>
        <w:tc>
          <w:tcPr>
            <w:tcW w:w="1395" w:type="dxa"/>
            <w:tcBorders>
              <w:bottom w:val="single" w:sz="6" w:space="0" w:color="000000"/>
              <w:right w:val="single" w:sz="6" w:space="0" w:color="000000"/>
            </w:tcBorders>
            <w:vAlign w:val="center"/>
          </w:tcPr>
          <w:p w14:paraId="1812741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6FD9850" w14:textId="77777777" w:rsidR="007D706A" w:rsidRDefault="007D706A" w:rsidP="00F70508">
            <w:pPr>
              <w:pStyle w:val="ParagraphStyle12"/>
              <w:rPr>
                <w:rStyle w:val="CharacterStyle12"/>
              </w:rPr>
            </w:pPr>
            <w:r>
              <w:rPr>
                <w:rStyle w:val="CharacterStyle12"/>
              </w:rPr>
              <w:t>0,00</w:t>
            </w:r>
          </w:p>
        </w:tc>
      </w:tr>
      <w:tr w:rsidR="007D706A" w14:paraId="74C963E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F2E3E08" w14:textId="77777777" w:rsidR="007D706A" w:rsidRDefault="007D706A" w:rsidP="00F70508">
            <w:pPr>
              <w:pStyle w:val="ParagraphStyle7"/>
              <w:rPr>
                <w:rStyle w:val="CharacterStyle7"/>
              </w:rPr>
            </w:pPr>
            <w:r>
              <w:rPr>
                <w:rStyle w:val="CharacterStyle7"/>
              </w:rPr>
              <w:t>Izvor financiranja 53</w:t>
            </w:r>
          </w:p>
        </w:tc>
        <w:tc>
          <w:tcPr>
            <w:tcW w:w="4995" w:type="dxa"/>
            <w:tcBorders>
              <w:bottom w:val="single" w:sz="6" w:space="0" w:color="000000"/>
              <w:right w:val="single" w:sz="6" w:space="0" w:color="000000"/>
            </w:tcBorders>
            <w:vAlign w:val="center"/>
          </w:tcPr>
          <w:p w14:paraId="3C0E9DE9" w14:textId="77777777" w:rsidR="007D706A" w:rsidRDefault="007D706A" w:rsidP="00F70508">
            <w:pPr>
              <w:pStyle w:val="ParagraphStyle8"/>
              <w:rPr>
                <w:rStyle w:val="CharacterStyle8"/>
              </w:rPr>
            </w:pPr>
            <w:r>
              <w:rPr>
                <w:rStyle w:val="CharacterStyle8"/>
              </w:rPr>
              <w:t>Proračuni, drugi nivoi - za posebne i / ili ugovorene namjene</w:t>
            </w:r>
          </w:p>
        </w:tc>
        <w:tc>
          <w:tcPr>
            <w:tcW w:w="1395" w:type="dxa"/>
            <w:tcBorders>
              <w:bottom w:val="single" w:sz="6" w:space="0" w:color="000000"/>
              <w:right w:val="single" w:sz="6" w:space="0" w:color="000000"/>
            </w:tcBorders>
            <w:vAlign w:val="center"/>
          </w:tcPr>
          <w:p w14:paraId="17CCC7CB"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619698D" w14:textId="77777777" w:rsidR="007D706A" w:rsidRDefault="007D706A" w:rsidP="00F70508">
            <w:pPr>
              <w:pStyle w:val="ParagraphStyle9"/>
              <w:rPr>
                <w:rStyle w:val="CharacterStyle9"/>
              </w:rPr>
            </w:pPr>
            <w:r>
              <w:rPr>
                <w:rStyle w:val="CharacterStyle9"/>
              </w:rPr>
              <w:t>6.155,87</w:t>
            </w:r>
          </w:p>
        </w:tc>
        <w:tc>
          <w:tcPr>
            <w:tcW w:w="1395" w:type="dxa"/>
            <w:tcBorders>
              <w:bottom w:val="single" w:sz="6" w:space="0" w:color="000000"/>
              <w:right w:val="single" w:sz="6" w:space="0" w:color="000000"/>
            </w:tcBorders>
            <w:vAlign w:val="center"/>
          </w:tcPr>
          <w:p w14:paraId="37F2FF8B"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0424F9E"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AF504E4" w14:textId="77777777" w:rsidR="007D706A" w:rsidRDefault="007D706A" w:rsidP="00F70508">
            <w:pPr>
              <w:pStyle w:val="ParagraphStyle9"/>
              <w:rPr>
                <w:rStyle w:val="CharacterStyle9"/>
              </w:rPr>
            </w:pPr>
            <w:r>
              <w:rPr>
                <w:rStyle w:val="CharacterStyle9"/>
              </w:rPr>
              <w:t>0,00</w:t>
            </w:r>
          </w:p>
        </w:tc>
      </w:tr>
      <w:tr w:rsidR="007D706A" w14:paraId="5231409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D0ADBFE"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54A681A7"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12C8D08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CF5150D" w14:textId="77777777" w:rsidR="007D706A" w:rsidRDefault="007D706A" w:rsidP="00F70508">
            <w:pPr>
              <w:pStyle w:val="ParagraphStyle12"/>
              <w:rPr>
                <w:rStyle w:val="CharacterStyle12"/>
              </w:rPr>
            </w:pPr>
            <w:r>
              <w:rPr>
                <w:rStyle w:val="CharacterStyle12"/>
              </w:rPr>
              <w:t>6.155,87</w:t>
            </w:r>
          </w:p>
        </w:tc>
        <w:tc>
          <w:tcPr>
            <w:tcW w:w="1395" w:type="dxa"/>
            <w:tcBorders>
              <w:bottom w:val="single" w:sz="6" w:space="0" w:color="000000"/>
              <w:right w:val="single" w:sz="6" w:space="0" w:color="000000"/>
            </w:tcBorders>
            <w:vAlign w:val="center"/>
          </w:tcPr>
          <w:p w14:paraId="2135622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80412A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F4C038E" w14:textId="77777777" w:rsidR="007D706A" w:rsidRDefault="007D706A" w:rsidP="00F70508">
            <w:pPr>
              <w:pStyle w:val="ParagraphStyle12"/>
              <w:rPr>
                <w:rStyle w:val="CharacterStyle12"/>
              </w:rPr>
            </w:pPr>
            <w:r>
              <w:rPr>
                <w:rStyle w:val="CharacterStyle12"/>
              </w:rPr>
              <w:t>0,00</w:t>
            </w:r>
          </w:p>
        </w:tc>
      </w:tr>
      <w:tr w:rsidR="007D706A" w14:paraId="5713D0A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687D12C" w14:textId="77777777" w:rsidR="007D706A" w:rsidRDefault="007D706A" w:rsidP="00F70508">
            <w:pPr>
              <w:pStyle w:val="ParagraphStyle10"/>
              <w:rPr>
                <w:rStyle w:val="CharacterStyle10"/>
              </w:rPr>
            </w:pPr>
            <w:r>
              <w:rPr>
                <w:rStyle w:val="CharacterStyle10"/>
              </w:rPr>
              <w:t>42</w:t>
            </w:r>
          </w:p>
        </w:tc>
        <w:tc>
          <w:tcPr>
            <w:tcW w:w="4995" w:type="dxa"/>
            <w:tcBorders>
              <w:bottom w:val="single" w:sz="6" w:space="0" w:color="000000"/>
              <w:right w:val="single" w:sz="6" w:space="0" w:color="000000"/>
            </w:tcBorders>
            <w:vAlign w:val="center"/>
          </w:tcPr>
          <w:p w14:paraId="63706989"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6A8DA3D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6D2EDE8" w14:textId="77777777" w:rsidR="007D706A" w:rsidRDefault="007D706A" w:rsidP="00F70508">
            <w:pPr>
              <w:pStyle w:val="ParagraphStyle12"/>
              <w:rPr>
                <w:rStyle w:val="CharacterStyle12"/>
              </w:rPr>
            </w:pPr>
            <w:r>
              <w:rPr>
                <w:rStyle w:val="CharacterStyle12"/>
              </w:rPr>
              <w:t>6.155,87</w:t>
            </w:r>
          </w:p>
        </w:tc>
        <w:tc>
          <w:tcPr>
            <w:tcW w:w="1395" w:type="dxa"/>
            <w:tcBorders>
              <w:bottom w:val="single" w:sz="6" w:space="0" w:color="000000"/>
              <w:right w:val="single" w:sz="6" w:space="0" w:color="000000"/>
            </w:tcBorders>
            <w:vAlign w:val="center"/>
          </w:tcPr>
          <w:p w14:paraId="74FDBAB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4F0EBB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990121D" w14:textId="77777777" w:rsidR="007D706A" w:rsidRDefault="007D706A" w:rsidP="00F70508">
            <w:pPr>
              <w:pStyle w:val="ParagraphStyle12"/>
              <w:rPr>
                <w:rStyle w:val="CharacterStyle12"/>
              </w:rPr>
            </w:pPr>
            <w:r>
              <w:rPr>
                <w:rStyle w:val="CharacterStyle12"/>
              </w:rPr>
              <w:t>0,00</w:t>
            </w:r>
          </w:p>
        </w:tc>
      </w:tr>
      <w:tr w:rsidR="007D706A" w14:paraId="46BD576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2E397D80" w14:textId="77777777" w:rsidR="007D706A" w:rsidRDefault="007D706A" w:rsidP="00F70508">
            <w:pPr>
              <w:pStyle w:val="ParagraphStyle7"/>
              <w:rPr>
                <w:rStyle w:val="CharacterStyle7"/>
              </w:rPr>
            </w:pPr>
            <w:r>
              <w:rPr>
                <w:rStyle w:val="CharacterStyle7"/>
              </w:rPr>
              <w:t>Izvor financiranja 61</w:t>
            </w:r>
          </w:p>
        </w:tc>
        <w:tc>
          <w:tcPr>
            <w:tcW w:w="4995" w:type="dxa"/>
            <w:tcBorders>
              <w:bottom w:val="single" w:sz="6" w:space="0" w:color="000000"/>
              <w:right w:val="single" w:sz="6" w:space="0" w:color="000000"/>
            </w:tcBorders>
            <w:vAlign w:val="center"/>
          </w:tcPr>
          <w:p w14:paraId="6E906C9E" w14:textId="77777777" w:rsidR="007D706A" w:rsidRDefault="007D706A" w:rsidP="00F70508">
            <w:pPr>
              <w:pStyle w:val="ParagraphStyle8"/>
              <w:rPr>
                <w:rStyle w:val="CharacterStyle8"/>
              </w:rPr>
            </w:pPr>
            <w:r>
              <w:rPr>
                <w:rStyle w:val="CharacterStyle8"/>
              </w:rPr>
              <w:t>Donacije</w:t>
            </w:r>
          </w:p>
        </w:tc>
        <w:tc>
          <w:tcPr>
            <w:tcW w:w="1395" w:type="dxa"/>
            <w:tcBorders>
              <w:bottom w:val="single" w:sz="6" w:space="0" w:color="000000"/>
              <w:right w:val="single" w:sz="6" w:space="0" w:color="000000"/>
            </w:tcBorders>
            <w:vAlign w:val="center"/>
          </w:tcPr>
          <w:p w14:paraId="35A3D06D"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687FB625" w14:textId="77777777" w:rsidR="007D706A" w:rsidRDefault="007D706A" w:rsidP="00F70508">
            <w:pPr>
              <w:pStyle w:val="ParagraphStyle9"/>
              <w:rPr>
                <w:rStyle w:val="CharacterStyle9"/>
              </w:rPr>
            </w:pPr>
            <w:r>
              <w:rPr>
                <w:rStyle w:val="CharacterStyle9"/>
              </w:rPr>
              <w:t>30.000,00</w:t>
            </w:r>
          </w:p>
        </w:tc>
        <w:tc>
          <w:tcPr>
            <w:tcW w:w="1395" w:type="dxa"/>
            <w:tcBorders>
              <w:bottom w:val="single" w:sz="6" w:space="0" w:color="000000"/>
              <w:right w:val="single" w:sz="6" w:space="0" w:color="000000"/>
            </w:tcBorders>
            <w:vAlign w:val="center"/>
          </w:tcPr>
          <w:p w14:paraId="067B8D66"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4CEC415E"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E949FA6" w14:textId="77777777" w:rsidR="007D706A" w:rsidRDefault="007D706A" w:rsidP="00F70508">
            <w:pPr>
              <w:pStyle w:val="ParagraphStyle9"/>
              <w:rPr>
                <w:rStyle w:val="CharacterStyle9"/>
              </w:rPr>
            </w:pPr>
            <w:r>
              <w:rPr>
                <w:rStyle w:val="CharacterStyle9"/>
              </w:rPr>
              <w:t>0,00</w:t>
            </w:r>
          </w:p>
        </w:tc>
      </w:tr>
      <w:tr w:rsidR="007D706A" w14:paraId="52C92675"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8CE074B"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42FAA708"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24E6AF2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40D95AEE" w14:textId="77777777" w:rsidR="007D706A" w:rsidRDefault="007D706A" w:rsidP="00F70508">
            <w:pPr>
              <w:pStyle w:val="ParagraphStyle12"/>
              <w:rPr>
                <w:rStyle w:val="CharacterStyle12"/>
              </w:rPr>
            </w:pPr>
            <w:r>
              <w:rPr>
                <w:rStyle w:val="CharacterStyle12"/>
              </w:rPr>
              <w:t>30.000,00</w:t>
            </w:r>
          </w:p>
        </w:tc>
        <w:tc>
          <w:tcPr>
            <w:tcW w:w="1395" w:type="dxa"/>
            <w:tcBorders>
              <w:bottom w:val="single" w:sz="6" w:space="0" w:color="000000"/>
              <w:right w:val="single" w:sz="6" w:space="0" w:color="000000"/>
            </w:tcBorders>
            <w:vAlign w:val="center"/>
          </w:tcPr>
          <w:p w14:paraId="6D824369"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961030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9BD6B45" w14:textId="77777777" w:rsidR="007D706A" w:rsidRDefault="007D706A" w:rsidP="00F70508">
            <w:pPr>
              <w:pStyle w:val="ParagraphStyle12"/>
              <w:rPr>
                <w:rStyle w:val="CharacterStyle12"/>
              </w:rPr>
            </w:pPr>
            <w:r>
              <w:rPr>
                <w:rStyle w:val="CharacterStyle12"/>
              </w:rPr>
              <w:t>0,00</w:t>
            </w:r>
          </w:p>
        </w:tc>
      </w:tr>
      <w:tr w:rsidR="007D706A" w14:paraId="68CBC21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9D54208" w14:textId="77777777" w:rsidR="007D706A" w:rsidRDefault="007D706A" w:rsidP="00F70508">
            <w:pPr>
              <w:pStyle w:val="ParagraphStyle10"/>
              <w:rPr>
                <w:rStyle w:val="CharacterStyle10"/>
              </w:rPr>
            </w:pPr>
            <w:r>
              <w:rPr>
                <w:rStyle w:val="CharacterStyle10"/>
              </w:rPr>
              <w:t>42</w:t>
            </w:r>
          </w:p>
        </w:tc>
        <w:tc>
          <w:tcPr>
            <w:tcW w:w="4995" w:type="dxa"/>
            <w:tcBorders>
              <w:bottom w:val="single" w:sz="6" w:space="0" w:color="000000"/>
              <w:right w:val="single" w:sz="6" w:space="0" w:color="000000"/>
            </w:tcBorders>
            <w:vAlign w:val="center"/>
          </w:tcPr>
          <w:p w14:paraId="5552D31E"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657A182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7FDDD2D" w14:textId="77777777" w:rsidR="007D706A" w:rsidRDefault="007D706A" w:rsidP="00F70508">
            <w:pPr>
              <w:pStyle w:val="ParagraphStyle12"/>
              <w:rPr>
                <w:rStyle w:val="CharacterStyle12"/>
              </w:rPr>
            </w:pPr>
            <w:r>
              <w:rPr>
                <w:rStyle w:val="CharacterStyle12"/>
              </w:rPr>
              <w:t>30.000,00</w:t>
            </w:r>
          </w:p>
        </w:tc>
        <w:tc>
          <w:tcPr>
            <w:tcW w:w="1395" w:type="dxa"/>
            <w:tcBorders>
              <w:bottom w:val="single" w:sz="6" w:space="0" w:color="000000"/>
              <w:right w:val="single" w:sz="6" w:space="0" w:color="000000"/>
            </w:tcBorders>
            <w:vAlign w:val="center"/>
          </w:tcPr>
          <w:p w14:paraId="011AB9A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950046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DC5654C" w14:textId="77777777" w:rsidR="007D706A" w:rsidRDefault="007D706A" w:rsidP="00F70508">
            <w:pPr>
              <w:pStyle w:val="ParagraphStyle12"/>
              <w:rPr>
                <w:rStyle w:val="CharacterStyle12"/>
              </w:rPr>
            </w:pPr>
            <w:r>
              <w:rPr>
                <w:rStyle w:val="CharacterStyle12"/>
              </w:rPr>
              <w:t>0,00</w:t>
            </w:r>
          </w:p>
        </w:tc>
      </w:tr>
      <w:tr w:rsidR="007D706A" w14:paraId="1422C67D"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BE1D002" w14:textId="77777777" w:rsidR="007D706A" w:rsidRDefault="007D706A" w:rsidP="00F70508">
            <w:pPr>
              <w:pStyle w:val="ParagraphStyle7"/>
              <w:rPr>
                <w:rStyle w:val="CharacterStyle7"/>
              </w:rPr>
            </w:pPr>
            <w:r>
              <w:rPr>
                <w:rStyle w:val="CharacterStyle7"/>
              </w:rPr>
              <w:t>Izvor financiranja 82</w:t>
            </w:r>
          </w:p>
        </w:tc>
        <w:tc>
          <w:tcPr>
            <w:tcW w:w="4995" w:type="dxa"/>
            <w:tcBorders>
              <w:bottom w:val="single" w:sz="6" w:space="0" w:color="000000"/>
              <w:right w:val="single" w:sz="6" w:space="0" w:color="000000"/>
            </w:tcBorders>
            <w:vAlign w:val="center"/>
          </w:tcPr>
          <w:p w14:paraId="50F5CCE5" w14:textId="77777777" w:rsidR="007D706A" w:rsidRDefault="007D706A" w:rsidP="00F70508">
            <w:pPr>
              <w:pStyle w:val="ParagraphStyle8"/>
              <w:rPr>
                <w:rStyle w:val="CharacterStyle8"/>
              </w:rPr>
            </w:pPr>
            <w:r>
              <w:rPr>
                <w:rStyle w:val="CharacterStyle8"/>
              </w:rPr>
              <w:t>Preneseni viškovi iz ranijih godina</w:t>
            </w:r>
          </w:p>
        </w:tc>
        <w:tc>
          <w:tcPr>
            <w:tcW w:w="1395" w:type="dxa"/>
            <w:tcBorders>
              <w:bottom w:val="single" w:sz="6" w:space="0" w:color="000000"/>
              <w:right w:val="single" w:sz="6" w:space="0" w:color="000000"/>
            </w:tcBorders>
            <w:vAlign w:val="center"/>
          </w:tcPr>
          <w:p w14:paraId="00C243E3"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37B31503" w14:textId="77777777" w:rsidR="007D706A" w:rsidRDefault="007D706A" w:rsidP="00F70508">
            <w:pPr>
              <w:pStyle w:val="ParagraphStyle9"/>
              <w:rPr>
                <w:rStyle w:val="CharacterStyle9"/>
              </w:rPr>
            </w:pPr>
            <w:r>
              <w:rPr>
                <w:rStyle w:val="CharacterStyle9"/>
              </w:rPr>
              <w:t>8.147,82</w:t>
            </w:r>
          </w:p>
        </w:tc>
        <w:tc>
          <w:tcPr>
            <w:tcW w:w="1395" w:type="dxa"/>
            <w:tcBorders>
              <w:bottom w:val="single" w:sz="6" w:space="0" w:color="000000"/>
              <w:right w:val="single" w:sz="6" w:space="0" w:color="000000"/>
            </w:tcBorders>
            <w:vAlign w:val="center"/>
          </w:tcPr>
          <w:p w14:paraId="6C39DABF"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289C1B5"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9D8FB04" w14:textId="77777777" w:rsidR="007D706A" w:rsidRDefault="007D706A" w:rsidP="00F70508">
            <w:pPr>
              <w:pStyle w:val="ParagraphStyle9"/>
              <w:rPr>
                <w:rStyle w:val="CharacterStyle9"/>
              </w:rPr>
            </w:pPr>
            <w:r>
              <w:rPr>
                <w:rStyle w:val="CharacterStyle9"/>
              </w:rPr>
              <w:t>0,00</w:t>
            </w:r>
          </w:p>
        </w:tc>
      </w:tr>
      <w:tr w:rsidR="007D706A" w14:paraId="0CD5C48F"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5256189"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561B7A1E"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7728B753"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700DD09A" w14:textId="77777777" w:rsidR="007D706A" w:rsidRDefault="007D706A" w:rsidP="00F70508">
            <w:pPr>
              <w:pStyle w:val="ParagraphStyle12"/>
              <w:rPr>
                <w:rStyle w:val="CharacterStyle12"/>
              </w:rPr>
            </w:pPr>
            <w:r>
              <w:rPr>
                <w:rStyle w:val="CharacterStyle12"/>
              </w:rPr>
              <w:t>8.147,82</w:t>
            </w:r>
          </w:p>
        </w:tc>
        <w:tc>
          <w:tcPr>
            <w:tcW w:w="1395" w:type="dxa"/>
            <w:tcBorders>
              <w:bottom w:val="single" w:sz="6" w:space="0" w:color="000000"/>
              <w:right w:val="single" w:sz="6" w:space="0" w:color="000000"/>
            </w:tcBorders>
            <w:vAlign w:val="center"/>
          </w:tcPr>
          <w:p w14:paraId="5D08A20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F3D9B2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976C7A4" w14:textId="77777777" w:rsidR="007D706A" w:rsidRDefault="007D706A" w:rsidP="00F70508">
            <w:pPr>
              <w:pStyle w:val="ParagraphStyle12"/>
              <w:rPr>
                <w:rStyle w:val="CharacterStyle12"/>
              </w:rPr>
            </w:pPr>
            <w:r>
              <w:rPr>
                <w:rStyle w:val="CharacterStyle12"/>
              </w:rPr>
              <w:t>0,00</w:t>
            </w:r>
          </w:p>
        </w:tc>
      </w:tr>
      <w:tr w:rsidR="007D706A" w14:paraId="1970B5E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7FE25D97" w14:textId="77777777" w:rsidR="007D706A" w:rsidRDefault="007D706A" w:rsidP="00F70508">
            <w:pPr>
              <w:pStyle w:val="ParagraphStyle10"/>
              <w:rPr>
                <w:rStyle w:val="CharacterStyle10"/>
              </w:rPr>
            </w:pPr>
            <w:r>
              <w:rPr>
                <w:rStyle w:val="CharacterStyle10"/>
              </w:rPr>
              <w:t>42</w:t>
            </w:r>
          </w:p>
        </w:tc>
        <w:tc>
          <w:tcPr>
            <w:tcW w:w="4995" w:type="dxa"/>
            <w:tcBorders>
              <w:bottom w:val="single" w:sz="6" w:space="0" w:color="000000"/>
              <w:right w:val="single" w:sz="6" w:space="0" w:color="000000"/>
            </w:tcBorders>
            <w:vAlign w:val="center"/>
          </w:tcPr>
          <w:p w14:paraId="2A2D5A2D"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28E92E9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4AE14B4" w14:textId="77777777" w:rsidR="007D706A" w:rsidRDefault="007D706A" w:rsidP="00F70508">
            <w:pPr>
              <w:pStyle w:val="ParagraphStyle12"/>
              <w:rPr>
                <w:rStyle w:val="CharacterStyle12"/>
              </w:rPr>
            </w:pPr>
            <w:r>
              <w:rPr>
                <w:rStyle w:val="CharacterStyle12"/>
              </w:rPr>
              <w:t>8.147,82</w:t>
            </w:r>
          </w:p>
        </w:tc>
        <w:tc>
          <w:tcPr>
            <w:tcW w:w="1395" w:type="dxa"/>
            <w:tcBorders>
              <w:bottom w:val="single" w:sz="6" w:space="0" w:color="000000"/>
              <w:right w:val="single" w:sz="6" w:space="0" w:color="000000"/>
            </w:tcBorders>
            <w:vAlign w:val="center"/>
          </w:tcPr>
          <w:p w14:paraId="755D04C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C8DE3EC"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A6D9818" w14:textId="77777777" w:rsidR="007D706A" w:rsidRDefault="007D706A" w:rsidP="00F70508">
            <w:pPr>
              <w:pStyle w:val="ParagraphStyle12"/>
              <w:rPr>
                <w:rStyle w:val="CharacterStyle12"/>
              </w:rPr>
            </w:pPr>
            <w:r>
              <w:rPr>
                <w:rStyle w:val="CharacterStyle12"/>
              </w:rPr>
              <w:t>0,00</w:t>
            </w:r>
          </w:p>
        </w:tc>
      </w:tr>
      <w:tr w:rsidR="007D706A" w14:paraId="79513BD4"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13FE0E19" w14:textId="77777777" w:rsidR="007D706A" w:rsidRDefault="007D706A" w:rsidP="00F70508">
            <w:pPr>
              <w:pStyle w:val="ParagraphStyle4"/>
              <w:rPr>
                <w:rStyle w:val="CharacterStyle4"/>
              </w:rPr>
            </w:pPr>
            <w:r>
              <w:rPr>
                <w:rStyle w:val="CharacterStyle4"/>
              </w:rPr>
              <w:t>Kapitalni projekt K103902</w:t>
            </w:r>
          </w:p>
        </w:tc>
        <w:tc>
          <w:tcPr>
            <w:tcW w:w="4995" w:type="dxa"/>
            <w:tcBorders>
              <w:bottom w:val="single" w:sz="6" w:space="0" w:color="000000"/>
              <w:right w:val="single" w:sz="6" w:space="0" w:color="000000"/>
            </w:tcBorders>
            <w:vAlign w:val="center"/>
          </w:tcPr>
          <w:p w14:paraId="146F7FA5" w14:textId="77777777" w:rsidR="007D706A" w:rsidRDefault="007D706A" w:rsidP="00F70508">
            <w:pPr>
              <w:pStyle w:val="ParagraphStyle5"/>
              <w:rPr>
                <w:rStyle w:val="CharacterStyle5"/>
              </w:rPr>
            </w:pPr>
            <w:r>
              <w:rPr>
                <w:rStyle w:val="CharacterStyle5"/>
              </w:rPr>
              <w:t>SUFINANCIRANI TROŠKOVI ODRŽAVANJA I NABAVE OPREME</w:t>
            </w:r>
          </w:p>
        </w:tc>
        <w:tc>
          <w:tcPr>
            <w:tcW w:w="1395" w:type="dxa"/>
            <w:tcBorders>
              <w:bottom w:val="single" w:sz="6" w:space="0" w:color="000000"/>
              <w:right w:val="single" w:sz="6" w:space="0" w:color="000000"/>
            </w:tcBorders>
            <w:vAlign w:val="center"/>
          </w:tcPr>
          <w:p w14:paraId="14809704" w14:textId="77777777" w:rsidR="007D706A" w:rsidRDefault="007D706A" w:rsidP="00F70508">
            <w:pPr>
              <w:pStyle w:val="ParagraphStyle6"/>
              <w:rPr>
                <w:rStyle w:val="CharacterStyle6"/>
              </w:rPr>
            </w:pPr>
            <w:r>
              <w:rPr>
                <w:rStyle w:val="CharacterStyle6"/>
              </w:rPr>
              <w:t>0,00</w:t>
            </w:r>
          </w:p>
        </w:tc>
        <w:tc>
          <w:tcPr>
            <w:tcW w:w="1395" w:type="dxa"/>
            <w:tcBorders>
              <w:bottom w:val="single" w:sz="6" w:space="0" w:color="000000"/>
              <w:right w:val="single" w:sz="6" w:space="0" w:color="000000"/>
            </w:tcBorders>
            <w:vAlign w:val="center"/>
          </w:tcPr>
          <w:p w14:paraId="242E1F2A" w14:textId="77777777" w:rsidR="007D706A" w:rsidRDefault="007D706A" w:rsidP="00F70508">
            <w:pPr>
              <w:pStyle w:val="ParagraphStyle6"/>
              <w:rPr>
                <w:rStyle w:val="CharacterStyle6"/>
              </w:rPr>
            </w:pPr>
            <w:r>
              <w:rPr>
                <w:rStyle w:val="CharacterStyle6"/>
              </w:rPr>
              <w:t>13.272,00</w:t>
            </w:r>
          </w:p>
        </w:tc>
        <w:tc>
          <w:tcPr>
            <w:tcW w:w="1395" w:type="dxa"/>
            <w:tcBorders>
              <w:bottom w:val="single" w:sz="6" w:space="0" w:color="000000"/>
              <w:right w:val="single" w:sz="6" w:space="0" w:color="000000"/>
            </w:tcBorders>
            <w:vAlign w:val="center"/>
          </w:tcPr>
          <w:p w14:paraId="186E5644" w14:textId="77777777" w:rsidR="007D706A" w:rsidRDefault="007D706A" w:rsidP="00F70508">
            <w:pPr>
              <w:pStyle w:val="ParagraphStyle6"/>
              <w:rPr>
                <w:rStyle w:val="CharacterStyle6"/>
              </w:rPr>
            </w:pPr>
            <w:r>
              <w:rPr>
                <w:rStyle w:val="CharacterStyle6"/>
              </w:rPr>
              <w:t>13.272,00</w:t>
            </w:r>
          </w:p>
        </w:tc>
        <w:tc>
          <w:tcPr>
            <w:tcW w:w="1395" w:type="dxa"/>
            <w:tcBorders>
              <w:bottom w:val="single" w:sz="6" w:space="0" w:color="000000"/>
              <w:right w:val="single" w:sz="6" w:space="0" w:color="000000"/>
            </w:tcBorders>
            <w:vAlign w:val="center"/>
          </w:tcPr>
          <w:p w14:paraId="5BF03788" w14:textId="77777777" w:rsidR="007D706A" w:rsidRDefault="007D706A" w:rsidP="00F70508">
            <w:pPr>
              <w:pStyle w:val="ParagraphStyle6"/>
              <w:rPr>
                <w:rStyle w:val="CharacterStyle6"/>
              </w:rPr>
            </w:pPr>
            <w:r>
              <w:rPr>
                <w:rStyle w:val="CharacterStyle6"/>
              </w:rPr>
              <w:t>13.272,00</w:t>
            </w:r>
          </w:p>
        </w:tc>
        <w:tc>
          <w:tcPr>
            <w:tcW w:w="1395" w:type="dxa"/>
            <w:tcBorders>
              <w:bottom w:val="single" w:sz="6" w:space="0" w:color="000000"/>
              <w:right w:val="single" w:sz="6" w:space="0" w:color="000000"/>
            </w:tcBorders>
            <w:vAlign w:val="center"/>
          </w:tcPr>
          <w:p w14:paraId="298F4B87" w14:textId="77777777" w:rsidR="007D706A" w:rsidRDefault="007D706A" w:rsidP="00F70508">
            <w:pPr>
              <w:pStyle w:val="ParagraphStyle6"/>
              <w:rPr>
                <w:rStyle w:val="CharacterStyle6"/>
              </w:rPr>
            </w:pPr>
            <w:r>
              <w:rPr>
                <w:rStyle w:val="CharacterStyle6"/>
              </w:rPr>
              <w:t>13.272,00</w:t>
            </w:r>
          </w:p>
        </w:tc>
      </w:tr>
      <w:tr w:rsidR="007D706A" w14:paraId="4F21D09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C71204A" w14:textId="77777777" w:rsidR="007D706A" w:rsidRDefault="007D706A" w:rsidP="00F70508">
            <w:pPr>
              <w:pStyle w:val="ParagraphStyle7"/>
              <w:rPr>
                <w:rStyle w:val="CharacterStyle7"/>
              </w:rPr>
            </w:pPr>
            <w:r>
              <w:rPr>
                <w:rStyle w:val="CharacterStyle7"/>
              </w:rPr>
              <w:t>Izvor financiranja 11</w:t>
            </w:r>
          </w:p>
        </w:tc>
        <w:tc>
          <w:tcPr>
            <w:tcW w:w="4995" w:type="dxa"/>
            <w:tcBorders>
              <w:bottom w:val="single" w:sz="6" w:space="0" w:color="000000"/>
              <w:right w:val="single" w:sz="6" w:space="0" w:color="000000"/>
            </w:tcBorders>
            <w:vAlign w:val="center"/>
          </w:tcPr>
          <w:p w14:paraId="5AF07C7D" w14:textId="77777777" w:rsidR="007D706A" w:rsidRDefault="007D706A" w:rsidP="00F70508">
            <w:pPr>
              <w:pStyle w:val="ParagraphStyle8"/>
              <w:rPr>
                <w:rStyle w:val="CharacterStyle8"/>
              </w:rPr>
            </w:pPr>
            <w:r>
              <w:rPr>
                <w:rStyle w:val="CharacterStyle8"/>
              </w:rPr>
              <w:t>Opći prihodi i primici</w:t>
            </w:r>
          </w:p>
        </w:tc>
        <w:tc>
          <w:tcPr>
            <w:tcW w:w="1395" w:type="dxa"/>
            <w:tcBorders>
              <w:bottom w:val="single" w:sz="6" w:space="0" w:color="000000"/>
              <w:right w:val="single" w:sz="6" w:space="0" w:color="000000"/>
            </w:tcBorders>
            <w:vAlign w:val="center"/>
          </w:tcPr>
          <w:p w14:paraId="56E4BDCC"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205214A7"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07EF0078" w14:textId="77777777" w:rsidR="007D706A" w:rsidRDefault="007D706A" w:rsidP="00F70508">
            <w:pPr>
              <w:pStyle w:val="ParagraphStyle9"/>
              <w:rPr>
                <w:rStyle w:val="CharacterStyle9"/>
              </w:rPr>
            </w:pPr>
            <w:r>
              <w:rPr>
                <w:rStyle w:val="CharacterStyle9"/>
              </w:rPr>
              <w:t>13.272,00</w:t>
            </w:r>
          </w:p>
        </w:tc>
        <w:tc>
          <w:tcPr>
            <w:tcW w:w="1395" w:type="dxa"/>
            <w:tcBorders>
              <w:bottom w:val="single" w:sz="6" w:space="0" w:color="000000"/>
              <w:right w:val="single" w:sz="6" w:space="0" w:color="000000"/>
            </w:tcBorders>
            <w:vAlign w:val="center"/>
          </w:tcPr>
          <w:p w14:paraId="76F1BF1A" w14:textId="77777777" w:rsidR="007D706A" w:rsidRDefault="007D706A" w:rsidP="00F70508">
            <w:pPr>
              <w:pStyle w:val="ParagraphStyle9"/>
              <w:rPr>
                <w:rStyle w:val="CharacterStyle9"/>
              </w:rPr>
            </w:pPr>
            <w:r>
              <w:rPr>
                <w:rStyle w:val="CharacterStyle9"/>
              </w:rPr>
              <w:t>13.272,00</w:t>
            </w:r>
          </w:p>
        </w:tc>
        <w:tc>
          <w:tcPr>
            <w:tcW w:w="1395" w:type="dxa"/>
            <w:tcBorders>
              <w:bottom w:val="single" w:sz="6" w:space="0" w:color="000000"/>
              <w:right w:val="single" w:sz="6" w:space="0" w:color="000000"/>
            </w:tcBorders>
            <w:vAlign w:val="center"/>
          </w:tcPr>
          <w:p w14:paraId="333D3B89" w14:textId="77777777" w:rsidR="007D706A" w:rsidRDefault="007D706A" w:rsidP="00F70508">
            <w:pPr>
              <w:pStyle w:val="ParagraphStyle9"/>
              <w:rPr>
                <w:rStyle w:val="CharacterStyle9"/>
              </w:rPr>
            </w:pPr>
            <w:r>
              <w:rPr>
                <w:rStyle w:val="CharacterStyle9"/>
              </w:rPr>
              <w:t>13.272,00</w:t>
            </w:r>
          </w:p>
        </w:tc>
      </w:tr>
      <w:tr w:rsidR="007D706A" w14:paraId="248E9689"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5F4CC258"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1EC8835C"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0D642EA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75E620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AE4A56D" w14:textId="77777777" w:rsidR="007D706A" w:rsidRDefault="007D706A" w:rsidP="00F70508">
            <w:pPr>
              <w:pStyle w:val="ParagraphStyle12"/>
              <w:rPr>
                <w:rStyle w:val="CharacterStyle12"/>
              </w:rPr>
            </w:pPr>
            <w:r>
              <w:rPr>
                <w:rStyle w:val="CharacterStyle12"/>
              </w:rPr>
              <w:t>5.309,00</w:t>
            </w:r>
          </w:p>
        </w:tc>
        <w:tc>
          <w:tcPr>
            <w:tcW w:w="1395" w:type="dxa"/>
            <w:tcBorders>
              <w:bottom w:val="single" w:sz="6" w:space="0" w:color="000000"/>
              <w:right w:val="single" w:sz="6" w:space="0" w:color="000000"/>
            </w:tcBorders>
            <w:vAlign w:val="center"/>
          </w:tcPr>
          <w:p w14:paraId="10AB277C" w14:textId="77777777" w:rsidR="007D706A" w:rsidRDefault="007D706A" w:rsidP="00F70508">
            <w:pPr>
              <w:pStyle w:val="ParagraphStyle12"/>
              <w:rPr>
                <w:rStyle w:val="CharacterStyle12"/>
              </w:rPr>
            </w:pPr>
            <w:r>
              <w:rPr>
                <w:rStyle w:val="CharacterStyle12"/>
              </w:rPr>
              <w:t>5.309,00</w:t>
            </w:r>
          </w:p>
        </w:tc>
        <w:tc>
          <w:tcPr>
            <w:tcW w:w="1395" w:type="dxa"/>
            <w:tcBorders>
              <w:bottom w:val="single" w:sz="6" w:space="0" w:color="000000"/>
              <w:right w:val="single" w:sz="6" w:space="0" w:color="000000"/>
            </w:tcBorders>
            <w:vAlign w:val="center"/>
          </w:tcPr>
          <w:p w14:paraId="11166E35" w14:textId="77777777" w:rsidR="007D706A" w:rsidRDefault="007D706A" w:rsidP="00F70508">
            <w:pPr>
              <w:pStyle w:val="ParagraphStyle12"/>
              <w:rPr>
                <w:rStyle w:val="CharacterStyle12"/>
              </w:rPr>
            </w:pPr>
            <w:r>
              <w:rPr>
                <w:rStyle w:val="CharacterStyle12"/>
              </w:rPr>
              <w:t>5.309,00</w:t>
            </w:r>
          </w:p>
        </w:tc>
      </w:tr>
      <w:tr w:rsidR="007D706A" w14:paraId="59F8975A"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0D31D0DA"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4B25EED2"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0947CDE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2B2C1B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EBDE55E" w14:textId="77777777" w:rsidR="007D706A" w:rsidRDefault="007D706A" w:rsidP="00F70508">
            <w:pPr>
              <w:pStyle w:val="ParagraphStyle12"/>
              <w:rPr>
                <w:rStyle w:val="CharacterStyle12"/>
              </w:rPr>
            </w:pPr>
            <w:r>
              <w:rPr>
                <w:rStyle w:val="CharacterStyle12"/>
              </w:rPr>
              <w:t>5.309,00</w:t>
            </w:r>
          </w:p>
        </w:tc>
        <w:tc>
          <w:tcPr>
            <w:tcW w:w="1395" w:type="dxa"/>
            <w:tcBorders>
              <w:bottom w:val="single" w:sz="6" w:space="0" w:color="000000"/>
              <w:right w:val="single" w:sz="6" w:space="0" w:color="000000"/>
            </w:tcBorders>
            <w:vAlign w:val="center"/>
          </w:tcPr>
          <w:p w14:paraId="16150BDC" w14:textId="77777777" w:rsidR="007D706A" w:rsidRDefault="007D706A" w:rsidP="00F70508">
            <w:pPr>
              <w:pStyle w:val="ParagraphStyle12"/>
              <w:rPr>
                <w:rStyle w:val="CharacterStyle12"/>
              </w:rPr>
            </w:pPr>
            <w:r>
              <w:rPr>
                <w:rStyle w:val="CharacterStyle12"/>
              </w:rPr>
              <w:t>5.309,00</w:t>
            </w:r>
          </w:p>
        </w:tc>
        <w:tc>
          <w:tcPr>
            <w:tcW w:w="1395" w:type="dxa"/>
            <w:tcBorders>
              <w:bottom w:val="single" w:sz="6" w:space="0" w:color="000000"/>
              <w:right w:val="single" w:sz="6" w:space="0" w:color="000000"/>
            </w:tcBorders>
            <w:vAlign w:val="center"/>
          </w:tcPr>
          <w:p w14:paraId="4074C00D" w14:textId="77777777" w:rsidR="007D706A" w:rsidRDefault="007D706A" w:rsidP="00F70508">
            <w:pPr>
              <w:pStyle w:val="ParagraphStyle12"/>
              <w:rPr>
                <w:rStyle w:val="CharacterStyle12"/>
              </w:rPr>
            </w:pPr>
            <w:r>
              <w:rPr>
                <w:rStyle w:val="CharacterStyle12"/>
              </w:rPr>
              <w:t>5.309,00</w:t>
            </w:r>
          </w:p>
        </w:tc>
      </w:tr>
      <w:tr w:rsidR="007D706A" w14:paraId="3C4604E1"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0D32F5D"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30CCCA31"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3B75979D"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9462566"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31578D9" w14:textId="77777777" w:rsidR="007D706A" w:rsidRDefault="007D706A" w:rsidP="00F70508">
            <w:pPr>
              <w:pStyle w:val="ParagraphStyle12"/>
              <w:rPr>
                <w:rStyle w:val="CharacterStyle12"/>
              </w:rPr>
            </w:pPr>
            <w:r>
              <w:rPr>
                <w:rStyle w:val="CharacterStyle12"/>
              </w:rPr>
              <w:t>7.963,00</w:t>
            </w:r>
          </w:p>
        </w:tc>
        <w:tc>
          <w:tcPr>
            <w:tcW w:w="1395" w:type="dxa"/>
            <w:tcBorders>
              <w:bottom w:val="single" w:sz="6" w:space="0" w:color="000000"/>
              <w:right w:val="single" w:sz="6" w:space="0" w:color="000000"/>
            </w:tcBorders>
            <w:vAlign w:val="center"/>
          </w:tcPr>
          <w:p w14:paraId="69C9D88C" w14:textId="77777777" w:rsidR="007D706A" w:rsidRDefault="007D706A" w:rsidP="00F70508">
            <w:pPr>
              <w:pStyle w:val="ParagraphStyle12"/>
              <w:rPr>
                <w:rStyle w:val="CharacterStyle12"/>
              </w:rPr>
            </w:pPr>
            <w:r>
              <w:rPr>
                <w:rStyle w:val="CharacterStyle12"/>
              </w:rPr>
              <w:t>7.963,00</w:t>
            </w:r>
          </w:p>
        </w:tc>
        <w:tc>
          <w:tcPr>
            <w:tcW w:w="1395" w:type="dxa"/>
            <w:tcBorders>
              <w:bottom w:val="single" w:sz="6" w:space="0" w:color="000000"/>
              <w:right w:val="single" w:sz="6" w:space="0" w:color="000000"/>
            </w:tcBorders>
            <w:vAlign w:val="center"/>
          </w:tcPr>
          <w:p w14:paraId="7F856A25" w14:textId="77777777" w:rsidR="007D706A" w:rsidRDefault="007D706A" w:rsidP="00F70508">
            <w:pPr>
              <w:pStyle w:val="ParagraphStyle12"/>
              <w:rPr>
                <w:rStyle w:val="CharacterStyle12"/>
              </w:rPr>
            </w:pPr>
            <w:r>
              <w:rPr>
                <w:rStyle w:val="CharacterStyle12"/>
              </w:rPr>
              <w:t>7.963,00</w:t>
            </w:r>
          </w:p>
        </w:tc>
      </w:tr>
      <w:tr w:rsidR="007D706A" w14:paraId="22165CF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6535F3E4" w14:textId="77777777" w:rsidR="007D706A" w:rsidRDefault="007D706A" w:rsidP="00F70508">
            <w:pPr>
              <w:pStyle w:val="ParagraphStyle10"/>
              <w:rPr>
                <w:rStyle w:val="CharacterStyle10"/>
              </w:rPr>
            </w:pPr>
            <w:r>
              <w:rPr>
                <w:rStyle w:val="CharacterStyle10"/>
              </w:rPr>
              <w:t>42</w:t>
            </w:r>
          </w:p>
        </w:tc>
        <w:tc>
          <w:tcPr>
            <w:tcW w:w="4995" w:type="dxa"/>
            <w:tcBorders>
              <w:bottom w:val="single" w:sz="6" w:space="0" w:color="000000"/>
              <w:right w:val="single" w:sz="6" w:space="0" w:color="000000"/>
            </w:tcBorders>
            <w:vAlign w:val="center"/>
          </w:tcPr>
          <w:p w14:paraId="61DA6EF5"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13DF93E2"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033907A4"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DE6DD72" w14:textId="77777777" w:rsidR="007D706A" w:rsidRDefault="007D706A" w:rsidP="00F70508">
            <w:pPr>
              <w:pStyle w:val="ParagraphStyle12"/>
              <w:rPr>
                <w:rStyle w:val="CharacterStyle12"/>
              </w:rPr>
            </w:pPr>
            <w:r>
              <w:rPr>
                <w:rStyle w:val="CharacterStyle12"/>
              </w:rPr>
              <w:t>7.963,00</w:t>
            </w:r>
          </w:p>
        </w:tc>
        <w:tc>
          <w:tcPr>
            <w:tcW w:w="1395" w:type="dxa"/>
            <w:tcBorders>
              <w:bottom w:val="single" w:sz="6" w:space="0" w:color="000000"/>
              <w:right w:val="single" w:sz="6" w:space="0" w:color="000000"/>
            </w:tcBorders>
            <w:vAlign w:val="center"/>
          </w:tcPr>
          <w:p w14:paraId="5CCA211A" w14:textId="77777777" w:rsidR="007D706A" w:rsidRDefault="007D706A" w:rsidP="00F70508">
            <w:pPr>
              <w:pStyle w:val="ParagraphStyle12"/>
              <w:rPr>
                <w:rStyle w:val="CharacterStyle12"/>
              </w:rPr>
            </w:pPr>
            <w:r>
              <w:rPr>
                <w:rStyle w:val="CharacterStyle12"/>
              </w:rPr>
              <w:t>7.963,00</w:t>
            </w:r>
          </w:p>
        </w:tc>
        <w:tc>
          <w:tcPr>
            <w:tcW w:w="1395" w:type="dxa"/>
            <w:tcBorders>
              <w:bottom w:val="single" w:sz="6" w:space="0" w:color="000000"/>
              <w:right w:val="single" w:sz="6" w:space="0" w:color="000000"/>
            </w:tcBorders>
            <w:vAlign w:val="center"/>
          </w:tcPr>
          <w:p w14:paraId="5164C640" w14:textId="77777777" w:rsidR="007D706A" w:rsidRDefault="007D706A" w:rsidP="00F70508">
            <w:pPr>
              <w:pStyle w:val="ParagraphStyle12"/>
              <w:rPr>
                <w:rStyle w:val="CharacterStyle12"/>
              </w:rPr>
            </w:pPr>
            <w:r>
              <w:rPr>
                <w:rStyle w:val="CharacterStyle12"/>
              </w:rPr>
              <w:t>7.963,00</w:t>
            </w:r>
          </w:p>
        </w:tc>
      </w:tr>
      <w:tr w:rsidR="007D706A" w14:paraId="6C2DD78C"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4EFA4AA6" w14:textId="77777777" w:rsidR="007D706A" w:rsidRDefault="007D706A" w:rsidP="00F70508">
            <w:pPr>
              <w:pStyle w:val="ParagraphStyle7"/>
              <w:rPr>
                <w:rStyle w:val="CharacterStyle7"/>
              </w:rPr>
            </w:pPr>
            <w:r>
              <w:rPr>
                <w:rStyle w:val="CharacterStyle7"/>
              </w:rPr>
              <w:t>Izvor financiranja 53</w:t>
            </w:r>
          </w:p>
        </w:tc>
        <w:tc>
          <w:tcPr>
            <w:tcW w:w="4995" w:type="dxa"/>
            <w:tcBorders>
              <w:bottom w:val="single" w:sz="6" w:space="0" w:color="000000"/>
              <w:right w:val="single" w:sz="6" w:space="0" w:color="000000"/>
            </w:tcBorders>
            <w:vAlign w:val="center"/>
          </w:tcPr>
          <w:p w14:paraId="730E9BFE" w14:textId="77777777" w:rsidR="007D706A" w:rsidRDefault="007D706A" w:rsidP="00F70508">
            <w:pPr>
              <w:pStyle w:val="ParagraphStyle8"/>
              <w:rPr>
                <w:rStyle w:val="CharacterStyle8"/>
              </w:rPr>
            </w:pPr>
            <w:r>
              <w:rPr>
                <w:rStyle w:val="CharacterStyle8"/>
              </w:rPr>
              <w:t>Proračuni, drugi nivoi - za posebne i / ili ugovorene namjene</w:t>
            </w:r>
          </w:p>
        </w:tc>
        <w:tc>
          <w:tcPr>
            <w:tcW w:w="1395" w:type="dxa"/>
            <w:tcBorders>
              <w:bottom w:val="single" w:sz="6" w:space="0" w:color="000000"/>
              <w:right w:val="single" w:sz="6" w:space="0" w:color="000000"/>
            </w:tcBorders>
            <w:vAlign w:val="center"/>
          </w:tcPr>
          <w:p w14:paraId="12834960"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51A2A324" w14:textId="77777777" w:rsidR="007D706A" w:rsidRDefault="007D706A" w:rsidP="00F70508">
            <w:pPr>
              <w:pStyle w:val="ParagraphStyle9"/>
              <w:rPr>
                <w:rStyle w:val="CharacterStyle9"/>
              </w:rPr>
            </w:pPr>
            <w:r>
              <w:rPr>
                <w:rStyle w:val="CharacterStyle9"/>
              </w:rPr>
              <w:t>13.272,00</w:t>
            </w:r>
          </w:p>
        </w:tc>
        <w:tc>
          <w:tcPr>
            <w:tcW w:w="1395" w:type="dxa"/>
            <w:tcBorders>
              <w:bottom w:val="single" w:sz="6" w:space="0" w:color="000000"/>
              <w:right w:val="single" w:sz="6" w:space="0" w:color="000000"/>
            </w:tcBorders>
            <w:vAlign w:val="center"/>
          </w:tcPr>
          <w:p w14:paraId="67598FEA"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71F2FD2A" w14:textId="77777777" w:rsidR="007D706A" w:rsidRDefault="007D706A" w:rsidP="00F70508">
            <w:pPr>
              <w:pStyle w:val="ParagraphStyle9"/>
              <w:rPr>
                <w:rStyle w:val="CharacterStyle9"/>
              </w:rPr>
            </w:pPr>
            <w:r>
              <w:rPr>
                <w:rStyle w:val="CharacterStyle9"/>
              </w:rPr>
              <w:t>0,00</w:t>
            </w:r>
          </w:p>
        </w:tc>
        <w:tc>
          <w:tcPr>
            <w:tcW w:w="1395" w:type="dxa"/>
            <w:tcBorders>
              <w:bottom w:val="single" w:sz="6" w:space="0" w:color="000000"/>
              <w:right w:val="single" w:sz="6" w:space="0" w:color="000000"/>
            </w:tcBorders>
            <w:vAlign w:val="center"/>
          </w:tcPr>
          <w:p w14:paraId="11E72973" w14:textId="77777777" w:rsidR="007D706A" w:rsidRDefault="007D706A" w:rsidP="00F70508">
            <w:pPr>
              <w:pStyle w:val="ParagraphStyle9"/>
              <w:rPr>
                <w:rStyle w:val="CharacterStyle9"/>
              </w:rPr>
            </w:pPr>
            <w:r>
              <w:rPr>
                <w:rStyle w:val="CharacterStyle9"/>
              </w:rPr>
              <w:t>0,00</w:t>
            </w:r>
          </w:p>
        </w:tc>
      </w:tr>
      <w:tr w:rsidR="007D706A" w14:paraId="71AE18B7"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5B30D99" w14:textId="77777777" w:rsidR="007D706A" w:rsidRDefault="007D706A" w:rsidP="00F70508">
            <w:pPr>
              <w:pStyle w:val="ParagraphStyle10"/>
              <w:rPr>
                <w:rStyle w:val="CharacterStyle10"/>
              </w:rPr>
            </w:pPr>
            <w:r>
              <w:rPr>
                <w:rStyle w:val="CharacterStyle10"/>
              </w:rPr>
              <w:t>3</w:t>
            </w:r>
          </w:p>
        </w:tc>
        <w:tc>
          <w:tcPr>
            <w:tcW w:w="4995" w:type="dxa"/>
            <w:tcBorders>
              <w:bottom w:val="single" w:sz="6" w:space="0" w:color="000000"/>
              <w:right w:val="single" w:sz="6" w:space="0" w:color="000000"/>
            </w:tcBorders>
            <w:vAlign w:val="center"/>
          </w:tcPr>
          <w:p w14:paraId="311D6440" w14:textId="77777777" w:rsidR="007D706A" w:rsidRDefault="007D706A" w:rsidP="00F70508">
            <w:pPr>
              <w:pStyle w:val="ParagraphStyle11"/>
              <w:rPr>
                <w:rStyle w:val="CharacterStyle11"/>
              </w:rPr>
            </w:pPr>
            <w:r>
              <w:rPr>
                <w:rStyle w:val="CharacterStyle11"/>
              </w:rPr>
              <w:t>Rashodi poslovanja</w:t>
            </w:r>
          </w:p>
        </w:tc>
        <w:tc>
          <w:tcPr>
            <w:tcW w:w="1395" w:type="dxa"/>
            <w:tcBorders>
              <w:bottom w:val="single" w:sz="6" w:space="0" w:color="000000"/>
              <w:right w:val="single" w:sz="6" w:space="0" w:color="000000"/>
            </w:tcBorders>
            <w:vAlign w:val="center"/>
          </w:tcPr>
          <w:p w14:paraId="4F9BB18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2F696C9" w14:textId="77777777" w:rsidR="007D706A" w:rsidRDefault="007D706A" w:rsidP="00F70508">
            <w:pPr>
              <w:pStyle w:val="ParagraphStyle12"/>
              <w:rPr>
                <w:rStyle w:val="CharacterStyle12"/>
              </w:rPr>
            </w:pPr>
            <w:r>
              <w:rPr>
                <w:rStyle w:val="CharacterStyle12"/>
              </w:rPr>
              <w:t>5.309,00</w:t>
            </w:r>
          </w:p>
        </w:tc>
        <w:tc>
          <w:tcPr>
            <w:tcW w:w="1395" w:type="dxa"/>
            <w:tcBorders>
              <w:bottom w:val="single" w:sz="6" w:space="0" w:color="000000"/>
              <w:right w:val="single" w:sz="6" w:space="0" w:color="000000"/>
            </w:tcBorders>
            <w:vAlign w:val="center"/>
          </w:tcPr>
          <w:p w14:paraId="6903517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F594821"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F30E42A" w14:textId="77777777" w:rsidR="007D706A" w:rsidRDefault="007D706A" w:rsidP="00F70508">
            <w:pPr>
              <w:pStyle w:val="ParagraphStyle12"/>
              <w:rPr>
                <w:rStyle w:val="CharacterStyle12"/>
              </w:rPr>
            </w:pPr>
            <w:r>
              <w:rPr>
                <w:rStyle w:val="CharacterStyle12"/>
              </w:rPr>
              <w:t>0,00</w:t>
            </w:r>
          </w:p>
        </w:tc>
      </w:tr>
      <w:tr w:rsidR="007D706A" w14:paraId="007553D6"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EF70F2E" w14:textId="77777777" w:rsidR="007D706A" w:rsidRDefault="007D706A" w:rsidP="00F70508">
            <w:pPr>
              <w:pStyle w:val="ParagraphStyle10"/>
              <w:rPr>
                <w:rStyle w:val="CharacterStyle10"/>
              </w:rPr>
            </w:pPr>
            <w:r>
              <w:rPr>
                <w:rStyle w:val="CharacterStyle10"/>
              </w:rPr>
              <w:t>32</w:t>
            </w:r>
          </w:p>
        </w:tc>
        <w:tc>
          <w:tcPr>
            <w:tcW w:w="4995" w:type="dxa"/>
            <w:tcBorders>
              <w:bottom w:val="single" w:sz="6" w:space="0" w:color="000000"/>
              <w:right w:val="single" w:sz="6" w:space="0" w:color="000000"/>
            </w:tcBorders>
            <w:vAlign w:val="center"/>
          </w:tcPr>
          <w:p w14:paraId="270E245D" w14:textId="77777777" w:rsidR="007D706A" w:rsidRDefault="007D706A" w:rsidP="00F70508">
            <w:pPr>
              <w:pStyle w:val="ParagraphStyle11"/>
              <w:rPr>
                <w:rStyle w:val="CharacterStyle11"/>
              </w:rPr>
            </w:pPr>
            <w:r>
              <w:rPr>
                <w:rStyle w:val="CharacterStyle11"/>
              </w:rPr>
              <w:t>Materijalni rashodi</w:t>
            </w:r>
          </w:p>
        </w:tc>
        <w:tc>
          <w:tcPr>
            <w:tcW w:w="1395" w:type="dxa"/>
            <w:tcBorders>
              <w:bottom w:val="single" w:sz="6" w:space="0" w:color="000000"/>
              <w:right w:val="single" w:sz="6" w:space="0" w:color="000000"/>
            </w:tcBorders>
            <w:vAlign w:val="center"/>
          </w:tcPr>
          <w:p w14:paraId="6495D6A7"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358C0D3" w14:textId="77777777" w:rsidR="007D706A" w:rsidRDefault="007D706A" w:rsidP="00F70508">
            <w:pPr>
              <w:pStyle w:val="ParagraphStyle12"/>
              <w:rPr>
                <w:rStyle w:val="CharacterStyle12"/>
              </w:rPr>
            </w:pPr>
            <w:r>
              <w:rPr>
                <w:rStyle w:val="CharacterStyle12"/>
              </w:rPr>
              <w:t>5.309,00</w:t>
            </w:r>
          </w:p>
        </w:tc>
        <w:tc>
          <w:tcPr>
            <w:tcW w:w="1395" w:type="dxa"/>
            <w:tcBorders>
              <w:bottom w:val="single" w:sz="6" w:space="0" w:color="000000"/>
              <w:right w:val="single" w:sz="6" w:space="0" w:color="000000"/>
            </w:tcBorders>
            <w:vAlign w:val="center"/>
          </w:tcPr>
          <w:p w14:paraId="5EEA37A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5A666CDE"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66B6102" w14:textId="77777777" w:rsidR="007D706A" w:rsidRDefault="007D706A" w:rsidP="00F70508">
            <w:pPr>
              <w:pStyle w:val="ParagraphStyle12"/>
              <w:rPr>
                <w:rStyle w:val="CharacterStyle12"/>
              </w:rPr>
            </w:pPr>
            <w:r>
              <w:rPr>
                <w:rStyle w:val="CharacterStyle12"/>
              </w:rPr>
              <w:t>0,00</w:t>
            </w:r>
          </w:p>
        </w:tc>
      </w:tr>
      <w:tr w:rsidR="007D706A" w14:paraId="1F0C7F50"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01DDE82" w14:textId="77777777" w:rsidR="007D706A" w:rsidRDefault="007D706A" w:rsidP="00F70508">
            <w:pPr>
              <w:pStyle w:val="ParagraphStyle10"/>
              <w:rPr>
                <w:rStyle w:val="CharacterStyle10"/>
              </w:rPr>
            </w:pPr>
            <w:r>
              <w:rPr>
                <w:rStyle w:val="CharacterStyle10"/>
              </w:rPr>
              <w:t>4</w:t>
            </w:r>
          </w:p>
        </w:tc>
        <w:tc>
          <w:tcPr>
            <w:tcW w:w="4995" w:type="dxa"/>
            <w:tcBorders>
              <w:bottom w:val="single" w:sz="6" w:space="0" w:color="000000"/>
              <w:right w:val="single" w:sz="6" w:space="0" w:color="000000"/>
            </w:tcBorders>
            <w:vAlign w:val="center"/>
          </w:tcPr>
          <w:p w14:paraId="04EDE9B0" w14:textId="77777777" w:rsidR="007D706A" w:rsidRDefault="007D706A" w:rsidP="00F70508">
            <w:pPr>
              <w:pStyle w:val="ParagraphStyle11"/>
              <w:rPr>
                <w:rStyle w:val="CharacterStyle11"/>
              </w:rPr>
            </w:pPr>
            <w:r>
              <w:rPr>
                <w:rStyle w:val="CharacterStyle11"/>
              </w:rPr>
              <w:t>Rashodi za nabavu nefinancijske imovine</w:t>
            </w:r>
          </w:p>
        </w:tc>
        <w:tc>
          <w:tcPr>
            <w:tcW w:w="1395" w:type="dxa"/>
            <w:tcBorders>
              <w:bottom w:val="single" w:sz="6" w:space="0" w:color="000000"/>
              <w:right w:val="single" w:sz="6" w:space="0" w:color="000000"/>
            </w:tcBorders>
            <w:vAlign w:val="center"/>
          </w:tcPr>
          <w:p w14:paraId="362AB65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FA27FBD" w14:textId="77777777" w:rsidR="007D706A" w:rsidRDefault="007D706A" w:rsidP="00F70508">
            <w:pPr>
              <w:pStyle w:val="ParagraphStyle12"/>
              <w:rPr>
                <w:rStyle w:val="CharacterStyle12"/>
              </w:rPr>
            </w:pPr>
            <w:r>
              <w:rPr>
                <w:rStyle w:val="CharacterStyle12"/>
              </w:rPr>
              <w:t>7.963,00</w:t>
            </w:r>
          </w:p>
        </w:tc>
        <w:tc>
          <w:tcPr>
            <w:tcW w:w="1395" w:type="dxa"/>
            <w:tcBorders>
              <w:bottom w:val="single" w:sz="6" w:space="0" w:color="000000"/>
              <w:right w:val="single" w:sz="6" w:space="0" w:color="000000"/>
            </w:tcBorders>
            <w:vAlign w:val="center"/>
          </w:tcPr>
          <w:p w14:paraId="380B3A25"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1C27808"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3C839589" w14:textId="77777777" w:rsidR="007D706A" w:rsidRDefault="007D706A" w:rsidP="00F70508">
            <w:pPr>
              <w:pStyle w:val="ParagraphStyle12"/>
              <w:rPr>
                <w:rStyle w:val="CharacterStyle12"/>
              </w:rPr>
            </w:pPr>
            <w:r>
              <w:rPr>
                <w:rStyle w:val="CharacterStyle12"/>
              </w:rPr>
              <w:t>0,00</w:t>
            </w:r>
          </w:p>
        </w:tc>
      </w:tr>
      <w:tr w:rsidR="007D706A" w14:paraId="1F61096E" w14:textId="77777777" w:rsidTr="00F70508">
        <w:trPr>
          <w:trHeight w:val="360"/>
        </w:trPr>
        <w:tc>
          <w:tcPr>
            <w:tcW w:w="2880" w:type="dxa"/>
            <w:tcBorders>
              <w:left w:val="single" w:sz="6" w:space="0" w:color="000000"/>
              <w:bottom w:val="single" w:sz="6" w:space="0" w:color="000000"/>
              <w:right w:val="single" w:sz="6" w:space="0" w:color="000000"/>
            </w:tcBorders>
            <w:vAlign w:val="center"/>
          </w:tcPr>
          <w:p w14:paraId="3D7CF209" w14:textId="77777777" w:rsidR="007D706A" w:rsidRDefault="007D706A" w:rsidP="00F70508">
            <w:pPr>
              <w:pStyle w:val="ParagraphStyle10"/>
              <w:rPr>
                <w:rStyle w:val="CharacterStyle10"/>
              </w:rPr>
            </w:pPr>
            <w:r>
              <w:rPr>
                <w:rStyle w:val="CharacterStyle10"/>
              </w:rPr>
              <w:t>42</w:t>
            </w:r>
          </w:p>
        </w:tc>
        <w:tc>
          <w:tcPr>
            <w:tcW w:w="4995" w:type="dxa"/>
            <w:tcBorders>
              <w:bottom w:val="single" w:sz="6" w:space="0" w:color="000000"/>
              <w:right w:val="single" w:sz="6" w:space="0" w:color="000000"/>
            </w:tcBorders>
            <w:vAlign w:val="center"/>
          </w:tcPr>
          <w:p w14:paraId="7D5E122A" w14:textId="77777777" w:rsidR="007D706A" w:rsidRDefault="007D706A" w:rsidP="00F70508">
            <w:pPr>
              <w:pStyle w:val="ParagraphStyle11"/>
              <w:rPr>
                <w:rStyle w:val="CharacterStyle11"/>
              </w:rPr>
            </w:pPr>
            <w:r>
              <w:rPr>
                <w:rStyle w:val="CharacterStyle11"/>
              </w:rPr>
              <w:t>Rashodi za nabavu proizvedene dugotrajne imovine</w:t>
            </w:r>
          </w:p>
        </w:tc>
        <w:tc>
          <w:tcPr>
            <w:tcW w:w="1395" w:type="dxa"/>
            <w:tcBorders>
              <w:bottom w:val="single" w:sz="6" w:space="0" w:color="000000"/>
              <w:right w:val="single" w:sz="6" w:space="0" w:color="000000"/>
            </w:tcBorders>
            <w:vAlign w:val="center"/>
          </w:tcPr>
          <w:p w14:paraId="1CEBDFBA"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1FF2AFD3" w14:textId="77777777" w:rsidR="007D706A" w:rsidRDefault="007D706A" w:rsidP="00F70508">
            <w:pPr>
              <w:pStyle w:val="ParagraphStyle12"/>
              <w:rPr>
                <w:rStyle w:val="CharacterStyle12"/>
              </w:rPr>
            </w:pPr>
            <w:r>
              <w:rPr>
                <w:rStyle w:val="CharacterStyle12"/>
              </w:rPr>
              <w:t>7.963,00</w:t>
            </w:r>
          </w:p>
        </w:tc>
        <w:tc>
          <w:tcPr>
            <w:tcW w:w="1395" w:type="dxa"/>
            <w:tcBorders>
              <w:bottom w:val="single" w:sz="6" w:space="0" w:color="000000"/>
              <w:right w:val="single" w:sz="6" w:space="0" w:color="000000"/>
            </w:tcBorders>
            <w:vAlign w:val="center"/>
          </w:tcPr>
          <w:p w14:paraId="3C4FEF8B"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61A582AF" w14:textId="77777777" w:rsidR="007D706A" w:rsidRDefault="007D706A" w:rsidP="00F70508">
            <w:pPr>
              <w:pStyle w:val="ParagraphStyle12"/>
              <w:rPr>
                <w:rStyle w:val="CharacterStyle12"/>
              </w:rPr>
            </w:pPr>
            <w:r>
              <w:rPr>
                <w:rStyle w:val="CharacterStyle12"/>
              </w:rPr>
              <w:t>0,00</w:t>
            </w:r>
          </w:p>
        </w:tc>
        <w:tc>
          <w:tcPr>
            <w:tcW w:w="1395" w:type="dxa"/>
            <w:tcBorders>
              <w:bottom w:val="single" w:sz="6" w:space="0" w:color="000000"/>
              <w:right w:val="single" w:sz="6" w:space="0" w:color="000000"/>
            </w:tcBorders>
            <w:vAlign w:val="center"/>
          </w:tcPr>
          <w:p w14:paraId="25934F97" w14:textId="77777777" w:rsidR="007D706A" w:rsidRDefault="007D706A" w:rsidP="00F70508">
            <w:pPr>
              <w:pStyle w:val="ParagraphStyle12"/>
              <w:rPr>
                <w:rStyle w:val="CharacterStyle12"/>
              </w:rPr>
            </w:pPr>
            <w:r>
              <w:rPr>
                <w:rStyle w:val="CharacterStyle12"/>
              </w:rPr>
              <w:t>0,00</w:t>
            </w:r>
          </w:p>
        </w:tc>
      </w:tr>
    </w:tbl>
    <w:p w14:paraId="68B395ED" w14:textId="77777777" w:rsidR="007D706A" w:rsidRDefault="007D706A" w:rsidP="007D706A"/>
    <w:p w14:paraId="4C8BA48D" w14:textId="77777777" w:rsidR="00005474" w:rsidRDefault="00005474" w:rsidP="00107D76">
      <w:pPr>
        <w:widowControl w:val="0"/>
        <w:autoSpaceDE w:val="0"/>
        <w:autoSpaceDN w:val="0"/>
        <w:spacing w:before="65"/>
        <w:ind w:left="377" w:right="95"/>
        <w:jc w:val="center"/>
        <w:rPr>
          <w:rFonts w:ascii="Arial" w:eastAsia="Microsoft Sans Serif" w:hAnsi="Arial" w:cs="Microsoft Sans Serif"/>
          <w:b/>
          <w:sz w:val="24"/>
          <w:szCs w:val="22"/>
          <w:lang w:val="bs-Latn" w:eastAsia="en-US"/>
        </w:rPr>
        <w:sectPr w:rsidR="00005474">
          <w:pgSz w:w="16833" w:h="11908" w:orient="landscape"/>
          <w:pgMar w:top="850" w:right="850" w:bottom="850" w:left="1133" w:header="0" w:footer="0" w:gutter="0"/>
          <w:cols w:space="720"/>
          <w:formProt w:val="0"/>
        </w:sectPr>
      </w:pPr>
    </w:p>
    <w:p w14:paraId="24348DF1" w14:textId="77777777" w:rsidR="00107D76" w:rsidRPr="006E7060" w:rsidRDefault="00107D76" w:rsidP="00107D76">
      <w:pPr>
        <w:widowControl w:val="0"/>
        <w:autoSpaceDE w:val="0"/>
        <w:autoSpaceDN w:val="0"/>
        <w:spacing w:before="65"/>
        <w:ind w:left="377" w:right="95"/>
        <w:jc w:val="center"/>
        <w:rPr>
          <w:rFonts w:ascii="Arial" w:eastAsia="Microsoft Sans Serif" w:hAnsi="Arial" w:cs="Arial"/>
          <w:b/>
          <w:spacing w:val="-5"/>
          <w:sz w:val="24"/>
          <w:szCs w:val="22"/>
          <w:lang w:val="bs-Latn" w:eastAsia="en-US"/>
        </w:rPr>
      </w:pPr>
      <w:r w:rsidRPr="006E7060">
        <w:rPr>
          <w:rFonts w:ascii="Arial" w:eastAsia="Microsoft Sans Serif" w:hAnsi="Arial" w:cs="Arial"/>
          <w:b/>
          <w:sz w:val="24"/>
          <w:szCs w:val="22"/>
          <w:lang w:val="bs-Latn" w:eastAsia="en-US"/>
        </w:rPr>
        <w:t>Članak</w:t>
      </w:r>
      <w:r w:rsidR="00E541EE">
        <w:rPr>
          <w:rFonts w:ascii="Arial" w:eastAsia="Microsoft Sans Serif" w:hAnsi="Arial" w:cs="Arial"/>
          <w:b/>
          <w:spacing w:val="-5"/>
          <w:sz w:val="24"/>
          <w:szCs w:val="22"/>
          <w:lang w:val="bs-Latn" w:eastAsia="en-US"/>
        </w:rPr>
        <w:t xml:space="preserve"> 3</w:t>
      </w:r>
      <w:r w:rsidRPr="006E7060">
        <w:rPr>
          <w:rFonts w:ascii="Arial" w:eastAsia="Microsoft Sans Serif" w:hAnsi="Arial" w:cs="Arial"/>
          <w:b/>
          <w:spacing w:val="-5"/>
          <w:sz w:val="24"/>
          <w:szCs w:val="22"/>
          <w:lang w:val="bs-Latn" w:eastAsia="en-US"/>
        </w:rPr>
        <w:t>.</w:t>
      </w:r>
    </w:p>
    <w:p w14:paraId="0F360C6D" w14:textId="77777777" w:rsidR="00EA7817" w:rsidRPr="006E7060" w:rsidRDefault="00EA7817" w:rsidP="00107D76">
      <w:pPr>
        <w:widowControl w:val="0"/>
        <w:autoSpaceDE w:val="0"/>
        <w:autoSpaceDN w:val="0"/>
        <w:spacing w:before="65"/>
        <w:ind w:left="377" w:right="95"/>
        <w:jc w:val="center"/>
        <w:rPr>
          <w:rFonts w:ascii="Arial" w:eastAsia="Microsoft Sans Serif" w:hAnsi="Arial" w:cs="Arial"/>
          <w:b/>
          <w:sz w:val="24"/>
          <w:szCs w:val="22"/>
          <w:lang w:val="bs-Latn" w:eastAsia="en-US"/>
        </w:rPr>
      </w:pPr>
    </w:p>
    <w:p w14:paraId="27877C14" w14:textId="77777777" w:rsidR="00107D76" w:rsidRPr="006E7060" w:rsidRDefault="00107D76" w:rsidP="00107D76">
      <w:pPr>
        <w:widowControl w:val="0"/>
        <w:autoSpaceDE w:val="0"/>
        <w:autoSpaceDN w:val="0"/>
        <w:spacing w:before="4" w:line="244" w:lineRule="auto"/>
        <w:ind w:left="566"/>
        <w:rPr>
          <w:rFonts w:ascii="Arial" w:eastAsia="Microsoft Sans Serif" w:hAnsi="Arial" w:cs="Arial"/>
          <w:sz w:val="24"/>
          <w:szCs w:val="24"/>
          <w:lang w:val="bs-Latn" w:eastAsia="en-US"/>
        </w:rPr>
      </w:pPr>
      <w:r w:rsidRPr="006E7060">
        <w:rPr>
          <w:rFonts w:ascii="Arial" w:eastAsia="Microsoft Sans Serif" w:hAnsi="Arial" w:cs="Arial"/>
          <w:sz w:val="24"/>
          <w:szCs w:val="24"/>
          <w:lang w:val="bs-Latn" w:eastAsia="en-US"/>
        </w:rPr>
        <w:t>Ovaj Proračun stupa na snagu osmoga dana</w:t>
      </w:r>
      <w:r w:rsidRPr="006E7060">
        <w:rPr>
          <w:rFonts w:ascii="Arial" w:eastAsia="Microsoft Sans Serif" w:hAnsi="Arial" w:cs="Arial"/>
          <w:spacing w:val="-1"/>
          <w:sz w:val="24"/>
          <w:szCs w:val="24"/>
          <w:lang w:val="bs-Latn" w:eastAsia="en-US"/>
        </w:rPr>
        <w:t xml:space="preserve"> </w:t>
      </w:r>
      <w:r w:rsidRPr="006E7060">
        <w:rPr>
          <w:rFonts w:ascii="Arial" w:eastAsia="Microsoft Sans Serif" w:hAnsi="Arial" w:cs="Arial"/>
          <w:sz w:val="24"/>
          <w:szCs w:val="24"/>
          <w:lang w:val="bs-Latn" w:eastAsia="en-US"/>
        </w:rPr>
        <w:t>od dana objave u “Službenom glasniku“ Grada Rovinja-Rovigno, a primjenjuje se od 1. siječnja 2026. godine.</w:t>
      </w:r>
    </w:p>
    <w:p w14:paraId="13AFD3E0" w14:textId="77777777" w:rsidR="00107D76" w:rsidRPr="006E7060" w:rsidRDefault="00107D76" w:rsidP="00107D76">
      <w:pPr>
        <w:widowControl w:val="0"/>
        <w:autoSpaceDE w:val="0"/>
        <w:autoSpaceDN w:val="0"/>
        <w:rPr>
          <w:rFonts w:ascii="Arial" w:eastAsia="Microsoft Sans Serif" w:hAnsi="Arial" w:cs="Arial"/>
          <w:sz w:val="24"/>
          <w:szCs w:val="24"/>
          <w:lang w:val="bs-Latn" w:eastAsia="en-US"/>
        </w:rPr>
      </w:pPr>
    </w:p>
    <w:p w14:paraId="5B5FEC39" w14:textId="77777777" w:rsidR="00107D76" w:rsidRPr="006E7060" w:rsidRDefault="00107D76" w:rsidP="00107D76">
      <w:pPr>
        <w:widowControl w:val="0"/>
        <w:autoSpaceDE w:val="0"/>
        <w:autoSpaceDN w:val="0"/>
        <w:rPr>
          <w:rFonts w:ascii="Arial" w:eastAsia="Microsoft Sans Serif" w:hAnsi="Arial" w:cs="Arial"/>
          <w:sz w:val="24"/>
          <w:szCs w:val="24"/>
          <w:lang w:val="bs-Latn" w:eastAsia="en-US"/>
        </w:rPr>
      </w:pPr>
    </w:p>
    <w:p w14:paraId="09F63B39" w14:textId="77777777" w:rsidR="00107D76" w:rsidRPr="006E7060" w:rsidRDefault="00107D76" w:rsidP="00107D76">
      <w:pPr>
        <w:widowControl w:val="0"/>
        <w:autoSpaceDE w:val="0"/>
        <w:autoSpaceDN w:val="0"/>
        <w:rPr>
          <w:rFonts w:ascii="Arial" w:eastAsia="Microsoft Sans Serif" w:hAnsi="Arial" w:cs="Arial"/>
          <w:sz w:val="24"/>
          <w:szCs w:val="24"/>
          <w:lang w:val="bs-Latn" w:eastAsia="en-US"/>
        </w:rPr>
      </w:pPr>
    </w:p>
    <w:p w14:paraId="464ABE7E" w14:textId="77777777" w:rsidR="00107D76" w:rsidRPr="006E7060" w:rsidRDefault="00107D76" w:rsidP="00107D76">
      <w:pPr>
        <w:widowControl w:val="0"/>
        <w:autoSpaceDE w:val="0"/>
        <w:autoSpaceDN w:val="0"/>
        <w:rPr>
          <w:rFonts w:ascii="Arial" w:eastAsia="Microsoft Sans Serif" w:hAnsi="Arial" w:cs="Arial"/>
          <w:sz w:val="24"/>
          <w:szCs w:val="24"/>
          <w:lang w:val="bs-Latn" w:eastAsia="en-US"/>
        </w:rPr>
      </w:pPr>
    </w:p>
    <w:p w14:paraId="3C7AB7DF" w14:textId="77777777" w:rsidR="00107D76" w:rsidRPr="006E7060" w:rsidRDefault="00107D76" w:rsidP="00107D76">
      <w:pPr>
        <w:widowControl w:val="0"/>
        <w:autoSpaceDE w:val="0"/>
        <w:autoSpaceDN w:val="0"/>
        <w:rPr>
          <w:rFonts w:ascii="Arial" w:eastAsia="Microsoft Sans Serif" w:hAnsi="Arial" w:cs="Arial"/>
          <w:sz w:val="24"/>
          <w:szCs w:val="24"/>
          <w:lang w:val="bs-Latn" w:eastAsia="en-US"/>
        </w:rPr>
      </w:pPr>
    </w:p>
    <w:p w14:paraId="4AECC685" w14:textId="77777777" w:rsidR="00107D76" w:rsidRPr="006E7060" w:rsidRDefault="00107D76" w:rsidP="00107D76">
      <w:pPr>
        <w:widowControl w:val="0"/>
        <w:autoSpaceDE w:val="0"/>
        <w:autoSpaceDN w:val="0"/>
        <w:spacing w:before="24"/>
        <w:rPr>
          <w:rFonts w:ascii="Arial" w:eastAsia="Microsoft Sans Serif" w:hAnsi="Arial" w:cs="Arial"/>
          <w:sz w:val="24"/>
          <w:szCs w:val="24"/>
          <w:lang w:val="bs-Latn" w:eastAsia="en-US"/>
        </w:rPr>
      </w:pPr>
    </w:p>
    <w:p w14:paraId="7888B45B" w14:textId="77777777" w:rsidR="00107D76" w:rsidRPr="006E7060" w:rsidRDefault="00107D76" w:rsidP="00107D76">
      <w:pPr>
        <w:widowControl w:val="0"/>
        <w:tabs>
          <w:tab w:val="left" w:pos="7318"/>
        </w:tabs>
        <w:autoSpaceDE w:val="0"/>
        <w:autoSpaceDN w:val="0"/>
        <w:ind w:left="566"/>
        <w:rPr>
          <w:rFonts w:ascii="Arial" w:eastAsia="Microsoft Sans Serif" w:hAnsi="Arial" w:cs="Arial"/>
          <w:sz w:val="24"/>
          <w:szCs w:val="24"/>
          <w:lang w:val="bs-Latn" w:eastAsia="en-US"/>
        </w:rPr>
      </w:pPr>
      <w:r w:rsidRPr="006E7060">
        <w:rPr>
          <w:rFonts w:ascii="Arial" w:eastAsia="Microsoft Sans Serif" w:hAnsi="Arial" w:cs="Arial"/>
          <w:spacing w:val="-2"/>
          <w:sz w:val="24"/>
          <w:szCs w:val="24"/>
          <w:lang w:val="bs-Latn" w:eastAsia="en-US"/>
        </w:rPr>
        <w:t>KLASA/CLASSE:</w:t>
      </w:r>
      <w:r w:rsidRPr="006E7060">
        <w:rPr>
          <w:rFonts w:ascii="Arial" w:eastAsia="Microsoft Sans Serif" w:hAnsi="Arial" w:cs="Arial"/>
          <w:spacing w:val="27"/>
          <w:sz w:val="24"/>
          <w:szCs w:val="24"/>
          <w:lang w:val="bs-Latn" w:eastAsia="en-US"/>
        </w:rPr>
        <w:t xml:space="preserve"> </w:t>
      </w:r>
      <w:r w:rsidRPr="006E7060">
        <w:rPr>
          <w:rFonts w:ascii="Arial" w:eastAsia="Microsoft Sans Serif" w:hAnsi="Arial" w:cs="Arial"/>
          <w:spacing w:val="-2"/>
          <w:sz w:val="24"/>
          <w:szCs w:val="24"/>
          <w:lang w:val="bs-Latn" w:eastAsia="en-US"/>
        </w:rPr>
        <w:t>400-06/25-</w:t>
      </w:r>
      <w:r w:rsidR="00E541EE">
        <w:rPr>
          <w:rFonts w:ascii="Arial" w:eastAsia="Microsoft Sans Serif" w:hAnsi="Arial" w:cs="Arial"/>
          <w:spacing w:val="-4"/>
          <w:sz w:val="24"/>
          <w:szCs w:val="24"/>
          <w:lang w:val="bs-Latn" w:eastAsia="en-US"/>
        </w:rPr>
        <w:t>01/11</w:t>
      </w:r>
      <w:r w:rsidRPr="006E7060">
        <w:rPr>
          <w:rFonts w:ascii="Arial" w:eastAsia="Microsoft Sans Serif" w:hAnsi="Arial" w:cs="Arial"/>
          <w:sz w:val="24"/>
          <w:szCs w:val="24"/>
          <w:lang w:val="bs-Latn" w:eastAsia="en-US"/>
        </w:rPr>
        <w:tab/>
      </w:r>
      <w:r w:rsidR="00E541EE">
        <w:rPr>
          <w:rFonts w:ascii="Arial" w:eastAsia="Microsoft Sans Serif" w:hAnsi="Arial" w:cs="Arial"/>
          <w:spacing w:val="-2"/>
          <w:sz w:val="24"/>
          <w:szCs w:val="24"/>
          <w:lang w:val="bs-Latn" w:eastAsia="en-US"/>
        </w:rPr>
        <w:t>Predsjednica</w:t>
      </w:r>
    </w:p>
    <w:p w14:paraId="2F7BF14F" w14:textId="77777777" w:rsidR="00107D76" w:rsidRPr="006E7060" w:rsidRDefault="00107D76" w:rsidP="00107D76">
      <w:pPr>
        <w:widowControl w:val="0"/>
        <w:tabs>
          <w:tab w:val="left" w:pos="7292"/>
        </w:tabs>
        <w:autoSpaceDE w:val="0"/>
        <w:autoSpaceDN w:val="0"/>
        <w:spacing w:before="5"/>
        <w:ind w:left="566"/>
        <w:rPr>
          <w:rFonts w:ascii="Arial" w:eastAsia="Microsoft Sans Serif" w:hAnsi="Arial" w:cs="Arial"/>
          <w:sz w:val="24"/>
          <w:szCs w:val="24"/>
          <w:lang w:val="bs-Latn" w:eastAsia="en-US"/>
        </w:rPr>
      </w:pPr>
      <w:r w:rsidRPr="006E7060">
        <w:rPr>
          <w:rFonts w:ascii="Arial" w:eastAsia="Microsoft Sans Serif" w:hAnsi="Arial" w:cs="Arial"/>
          <w:spacing w:val="-2"/>
          <w:sz w:val="24"/>
          <w:szCs w:val="24"/>
          <w:lang w:val="bs-Latn" w:eastAsia="en-US"/>
        </w:rPr>
        <w:t>URBROJ/NUMPROT:</w:t>
      </w:r>
      <w:r w:rsidRPr="006E7060">
        <w:rPr>
          <w:rFonts w:ascii="Arial" w:eastAsia="Microsoft Sans Serif" w:hAnsi="Arial" w:cs="Arial"/>
          <w:spacing w:val="30"/>
          <w:sz w:val="24"/>
          <w:szCs w:val="24"/>
          <w:lang w:val="bs-Latn" w:eastAsia="en-US"/>
        </w:rPr>
        <w:t xml:space="preserve"> </w:t>
      </w:r>
      <w:r w:rsidRPr="006E7060">
        <w:rPr>
          <w:rFonts w:ascii="Arial" w:eastAsia="Microsoft Sans Serif" w:hAnsi="Arial" w:cs="Arial"/>
          <w:spacing w:val="-2"/>
          <w:sz w:val="24"/>
          <w:szCs w:val="24"/>
          <w:lang w:val="bs-Latn" w:eastAsia="en-US"/>
        </w:rPr>
        <w:t>2163-8-01-</w:t>
      </w:r>
      <w:r w:rsidRPr="006E7060">
        <w:rPr>
          <w:rFonts w:ascii="Arial" w:eastAsia="Microsoft Sans Serif" w:hAnsi="Arial" w:cs="Arial"/>
          <w:spacing w:val="-5"/>
          <w:sz w:val="24"/>
          <w:szCs w:val="24"/>
          <w:lang w:val="bs-Latn" w:eastAsia="en-US"/>
        </w:rPr>
        <w:t>25-</w:t>
      </w:r>
      <w:r w:rsidRPr="006E7060">
        <w:rPr>
          <w:rFonts w:ascii="Arial" w:eastAsia="Microsoft Sans Serif" w:hAnsi="Arial" w:cs="Arial"/>
          <w:sz w:val="24"/>
          <w:szCs w:val="24"/>
          <w:lang w:val="bs-Latn" w:eastAsia="en-US"/>
        </w:rPr>
        <w:tab/>
      </w:r>
      <w:r w:rsidRPr="006E7060">
        <w:rPr>
          <w:rFonts w:ascii="Arial" w:eastAsia="Microsoft Sans Serif" w:hAnsi="Arial" w:cs="Arial"/>
          <w:spacing w:val="-2"/>
          <w:sz w:val="24"/>
          <w:szCs w:val="24"/>
          <w:lang w:val="bs-Latn" w:eastAsia="en-US"/>
        </w:rPr>
        <w:t>Gradskog</w:t>
      </w:r>
      <w:r w:rsidRPr="006E7060">
        <w:rPr>
          <w:rFonts w:ascii="Arial" w:eastAsia="Microsoft Sans Serif" w:hAnsi="Arial" w:cs="Arial"/>
          <w:spacing w:val="-3"/>
          <w:sz w:val="24"/>
          <w:szCs w:val="24"/>
          <w:lang w:val="bs-Latn" w:eastAsia="en-US"/>
        </w:rPr>
        <w:t xml:space="preserve"> </w:t>
      </w:r>
      <w:r w:rsidRPr="006E7060">
        <w:rPr>
          <w:rFonts w:ascii="Arial" w:eastAsia="Microsoft Sans Serif" w:hAnsi="Arial" w:cs="Arial"/>
          <w:spacing w:val="-2"/>
          <w:sz w:val="24"/>
          <w:szCs w:val="24"/>
          <w:lang w:val="bs-Latn" w:eastAsia="en-US"/>
        </w:rPr>
        <w:t>vijeća</w:t>
      </w:r>
    </w:p>
    <w:p w14:paraId="40E52D0E" w14:textId="77777777" w:rsidR="00107D76" w:rsidRDefault="00107D76" w:rsidP="00107D76">
      <w:pPr>
        <w:widowControl w:val="0"/>
        <w:tabs>
          <w:tab w:val="left" w:pos="3730"/>
          <w:tab w:val="left" w:pos="7330"/>
        </w:tabs>
        <w:autoSpaceDE w:val="0"/>
        <w:autoSpaceDN w:val="0"/>
        <w:spacing w:before="4"/>
        <w:ind w:left="566"/>
        <w:rPr>
          <w:rFonts w:ascii="Arial" w:eastAsia="Microsoft Sans Serif" w:hAnsi="Arial" w:cs="Arial"/>
          <w:sz w:val="24"/>
          <w:szCs w:val="24"/>
          <w:lang w:val="bs-Latn" w:eastAsia="en-US"/>
        </w:rPr>
      </w:pPr>
      <w:r w:rsidRPr="006E7060">
        <w:rPr>
          <w:rFonts w:ascii="Arial" w:eastAsia="Microsoft Sans Serif" w:hAnsi="Arial" w:cs="Arial"/>
          <w:spacing w:val="-4"/>
          <w:sz w:val="24"/>
          <w:szCs w:val="24"/>
          <w:lang w:val="bs-Latn" w:eastAsia="en-US"/>
        </w:rPr>
        <w:t>Rovinj-</w:t>
      </w:r>
      <w:r w:rsidRPr="006E7060">
        <w:rPr>
          <w:rFonts w:ascii="Arial" w:eastAsia="Microsoft Sans Serif" w:hAnsi="Arial" w:cs="Arial"/>
          <w:spacing w:val="-2"/>
          <w:sz w:val="24"/>
          <w:szCs w:val="24"/>
          <w:lang w:val="bs-Latn" w:eastAsia="en-US"/>
        </w:rPr>
        <w:t>Rovigno,</w:t>
      </w:r>
      <w:r w:rsidRPr="006E7060">
        <w:rPr>
          <w:rFonts w:ascii="Arial" w:eastAsia="Microsoft Sans Serif" w:hAnsi="Arial" w:cs="Arial"/>
          <w:sz w:val="24"/>
          <w:szCs w:val="24"/>
          <w:lang w:val="bs-Latn" w:eastAsia="en-US"/>
        </w:rPr>
        <w:tab/>
      </w:r>
      <w:r w:rsidRPr="006E7060">
        <w:rPr>
          <w:rFonts w:ascii="Arial" w:eastAsia="Microsoft Sans Serif" w:hAnsi="Arial" w:cs="Arial"/>
          <w:spacing w:val="-4"/>
          <w:sz w:val="24"/>
          <w:szCs w:val="24"/>
          <w:lang w:val="bs-Latn" w:eastAsia="en-US"/>
        </w:rPr>
        <w:t>2025.</w:t>
      </w:r>
      <w:r w:rsidR="00E541EE">
        <w:rPr>
          <w:rFonts w:ascii="Arial" w:eastAsia="Microsoft Sans Serif" w:hAnsi="Arial" w:cs="Arial"/>
          <w:sz w:val="24"/>
          <w:szCs w:val="24"/>
          <w:lang w:val="bs-Latn" w:eastAsia="en-US"/>
        </w:rPr>
        <w:tab/>
        <w:t>Tea Batel</w:t>
      </w:r>
    </w:p>
    <w:p w14:paraId="32FE4542" w14:textId="77777777" w:rsidR="00E541EE" w:rsidRDefault="00E541EE" w:rsidP="00107D76">
      <w:pPr>
        <w:widowControl w:val="0"/>
        <w:tabs>
          <w:tab w:val="left" w:pos="3730"/>
          <w:tab w:val="left" w:pos="7330"/>
        </w:tabs>
        <w:autoSpaceDE w:val="0"/>
        <w:autoSpaceDN w:val="0"/>
        <w:spacing w:before="4"/>
        <w:ind w:left="566"/>
        <w:rPr>
          <w:rFonts w:ascii="Arial" w:eastAsia="Microsoft Sans Serif" w:hAnsi="Arial" w:cs="Arial"/>
          <w:sz w:val="24"/>
          <w:szCs w:val="24"/>
          <w:lang w:val="bs-Latn" w:eastAsia="en-US"/>
        </w:rPr>
      </w:pPr>
    </w:p>
    <w:p w14:paraId="5FB3C047" w14:textId="77777777" w:rsidR="00E541EE" w:rsidRDefault="00E541EE" w:rsidP="00107D76">
      <w:pPr>
        <w:widowControl w:val="0"/>
        <w:tabs>
          <w:tab w:val="left" w:pos="3730"/>
          <w:tab w:val="left" w:pos="7330"/>
        </w:tabs>
        <w:autoSpaceDE w:val="0"/>
        <w:autoSpaceDN w:val="0"/>
        <w:spacing w:before="4"/>
        <w:ind w:left="566"/>
        <w:rPr>
          <w:rFonts w:ascii="Arial" w:eastAsia="Microsoft Sans Serif" w:hAnsi="Arial" w:cs="Arial"/>
          <w:sz w:val="24"/>
          <w:szCs w:val="24"/>
          <w:lang w:val="bs-Latn" w:eastAsia="en-US"/>
        </w:rPr>
      </w:pPr>
    </w:p>
    <w:p w14:paraId="0DE452B1" w14:textId="77777777" w:rsidR="00E541EE" w:rsidRDefault="00E541EE" w:rsidP="00107D76">
      <w:pPr>
        <w:widowControl w:val="0"/>
        <w:tabs>
          <w:tab w:val="left" w:pos="3730"/>
          <w:tab w:val="left" w:pos="7330"/>
        </w:tabs>
        <w:autoSpaceDE w:val="0"/>
        <w:autoSpaceDN w:val="0"/>
        <w:spacing w:before="4"/>
        <w:ind w:left="566"/>
        <w:rPr>
          <w:rFonts w:ascii="Arial" w:eastAsia="Microsoft Sans Serif" w:hAnsi="Arial" w:cs="Arial"/>
          <w:sz w:val="24"/>
          <w:szCs w:val="24"/>
          <w:lang w:val="bs-Latn" w:eastAsia="en-US"/>
        </w:rPr>
      </w:pPr>
    </w:p>
    <w:p w14:paraId="0B44FD30" w14:textId="77777777" w:rsidR="00E541EE" w:rsidRDefault="00E541EE" w:rsidP="00107D76">
      <w:pPr>
        <w:widowControl w:val="0"/>
        <w:tabs>
          <w:tab w:val="left" w:pos="3730"/>
          <w:tab w:val="left" w:pos="7330"/>
        </w:tabs>
        <w:autoSpaceDE w:val="0"/>
        <w:autoSpaceDN w:val="0"/>
        <w:spacing w:before="4"/>
        <w:ind w:left="566"/>
        <w:rPr>
          <w:rFonts w:ascii="Arial" w:eastAsia="Microsoft Sans Serif" w:hAnsi="Arial" w:cs="Arial"/>
          <w:sz w:val="24"/>
          <w:szCs w:val="24"/>
          <w:lang w:val="bs-Latn" w:eastAsia="en-US"/>
        </w:rPr>
      </w:pPr>
    </w:p>
    <w:p w14:paraId="70B1C658" w14:textId="77777777" w:rsidR="00E541EE" w:rsidRDefault="00E541EE" w:rsidP="00107D76">
      <w:pPr>
        <w:widowControl w:val="0"/>
        <w:tabs>
          <w:tab w:val="left" w:pos="3730"/>
          <w:tab w:val="left" w:pos="7330"/>
        </w:tabs>
        <w:autoSpaceDE w:val="0"/>
        <w:autoSpaceDN w:val="0"/>
        <w:spacing w:before="4"/>
        <w:ind w:left="566"/>
        <w:rPr>
          <w:rFonts w:ascii="Arial" w:eastAsia="Microsoft Sans Serif" w:hAnsi="Arial" w:cs="Arial"/>
          <w:sz w:val="24"/>
          <w:szCs w:val="24"/>
          <w:lang w:val="bs-Latn" w:eastAsia="en-US"/>
        </w:rPr>
      </w:pPr>
    </w:p>
    <w:p w14:paraId="6F1308BD" w14:textId="77777777" w:rsidR="00E541EE" w:rsidRDefault="00E541EE" w:rsidP="00107D76">
      <w:pPr>
        <w:widowControl w:val="0"/>
        <w:tabs>
          <w:tab w:val="left" w:pos="3730"/>
          <w:tab w:val="left" w:pos="7330"/>
        </w:tabs>
        <w:autoSpaceDE w:val="0"/>
        <w:autoSpaceDN w:val="0"/>
        <w:spacing w:before="4"/>
        <w:ind w:left="566"/>
        <w:rPr>
          <w:rFonts w:ascii="Arial" w:eastAsia="Microsoft Sans Serif" w:hAnsi="Arial" w:cs="Arial"/>
          <w:sz w:val="24"/>
          <w:szCs w:val="24"/>
          <w:lang w:val="bs-Latn" w:eastAsia="en-US"/>
        </w:rPr>
      </w:pPr>
    </w:p>
    <w:p w14:paraId="484334B8" w14:textId="77777777" w:rsidR="00E541EE" w:rsidRDefault="00E541EE" w:rsidP="00107D76">
      <w:pPr>
        <w:widowControl w:val="0"/>
        <w:tabs>
          <w:tab w:val="left" w:pos="3730"/>
          <w:tab w:val="left" w:pos="7330"/>
        </w:tabs>
        <w:autoSpaceDE w:val="0"/>
        <w:autoSpaceDN w:val="0"/>
        <w:spacing w:before="4"/>
        <w:ind w:left="566"/>
        <w:rPr>
          <w:rFonts w:ascii="Arial" w:eastAsia="Microsoft Sans Serif" w:hAnsi="Arial" w:cs="Arial"/>
          <w:sz w:val="24"/>
          <w:szCs w:val="24"/>
          <w:lang w:val="bs-Latn" w:eastAsia="en-US"/>
        </w:rPr>
      </w:pPr>
    </w:p>
    <w:p w14:paraId="554A4CA3" w14:textId="77777777" w:rsidR="00E541EE" w:rsidRDefault="00E541EE" w:rsidP="00107D76">
      <w:pPr>
        <w:widowControl w:val="0"/>
        <w:tabs>
          <w:tab w:val="left" w:pos="3730"/>
          <w:tab w:val="left" w:pos="7330"/>
        </w:tabs>
        <w:autoSpaceDE w:val="0"/>
        <w:autoSpaceDN w:val="0"/>
        <w:spacing w:before="4"/>
        <w:ind w:left="566"/>
        <w:rPr>
          <w:rFonts w:ascii="Arial" w:eastAsia="Microsoft Sans Serif" w:hAnsi="Arial" w:cs="Arial"/>
          <w:sz w:val="24"/>
          <w:szCs w:val="24"/>
          <w:lang w:val="bs-Latn" w:eastAsia="en-US"/>
        </w:rPr>
      </w:pPr>
    </w:p>
    <w:p w14:paraId="1E6AE23B" w14:textId="77777777" w:rsidR="00E541EE" w:rsidRDefault="00E541EE" w:rsidP="00107D76">
      <w:pPr>
        <w:widowControl w:val="0"/>
        <w:tabs>
          <w:tab w:val="left" w:pos="3730"/>
          <w:tab w:val="left" w:pos="7330"/>
        </w:tabs>
        <w:autoSpaceDE w:val="0"/>
        <w:autoSpaceDN w:val="0"/>
        <w:spacing w:before="4"/>
        <w:ind w:left="566"/>
        <w:rPr>
          <w:rFonts w:ascii="Arial" w:eastAsia="Microsoft Sans Serif" w:hAnsi="Arial" w:cs="Arial"/>
          <w:sz w:val="24"/>
          <w:szCs w:val="24"/>
          <w:lang w:val="bs-Latn" w:eastAsia="en-US"/>
        </w:rPr>
      </w:pPr>
    </w:p>
    <w:p w14:paraId="0575C32F" w14:textId="77777777" w:rsidR="00E541EE" w:rsidRDefault="00E541EE" w:rsidP="00107D76">
      <w:pPr>
        <w:widowControl w:val="0"/>
        <w:tabs>
          <w:tab w:val="left" w:pos="3730"/>
          <w:tab w:val="left" w:pos="7330"/>
        </w:tabs>
        <w:autoSpaceDE w:val="0"/>
        <w:autoSpaceDN w:val="0"/>
        <w:spacing w:before="4"/>
        <w:ind w:left="566"/>
        <w:rPr>
          <w:rFonts w:ascii="Arial" w:eastAsia="Microsoft Sans Serif" w:hAnsi="Arial" w:cs="Arial"/>
          <w:sz w:val="24"/>
          <w:szCs w:val="24"/>
          <w:lang w:val="bs-Latn" w:eastAsia="en-US"/>
        </w:rPr>
      </w:pPr>
    </w:p>
    <w:p w14:paraId="11CD9C12" w14:textId="77777777" w:rsidR="00E541EE" w:rsidRDefault="00E541EE" w:rsidP="00107D76">
      <w:pPr>
        <w:widowControl w:val="0"/>
        <w:tabs>
          <w:tab w:val="left" w:pos="3730"/>
          <w:tab w:val="left" w:pos="7330"/>
        </w:tabs>
        <w:autoSpaceDE w:val="0"/>
        <w:autoSpaceDN w:val="0"/>
        <w:spacing w:before="4"/>
        <w:ind w:left="566"/>
        <w:rPr>
          <w:rFonts w:ascii="Arial" w:eastAsia="Microsoft Sans Serif" w:hAnsi="Arial" w:cs="Arial"/>
          <w:sz w:val="24"/>
          <w:szCs w:val="24"/>
          <w:lang w:val="bs-Latn" w:eastAsia="en-US"/>
        </w:rPr>
      </w:pPr>
    </w:p>
    <w:p w14:paraId="17E928A5" w14:textId="77777777" w:rsidR="00E541EE" w:rsidRDefault="00E541EE" w:rsidP="00107D76">
      <w:pPr>
        <w:widowControl w:val="0"/>
        <w:tabs>
          <w:tab w:val="left" w:pos="3730"/>
          <w:tab w:val="left" w:pos="7330"/>
        </w:tabs>
        <w:autoSpaceDE w:val="0"/>
        <w:autoSpaceDN w:val="0"/>
        <w:spacing w:before="4"/>
        <w:ind w:left="566"/>
        <w:rPr>
          <w:rFonts w:ascii="Arial" w:eastAsia="Microsoft Sans Serif" w:hAnsi="Arial" w:cs="Arial"/>
          <w:sz w:val="24"/>
          <w:szCs w:val="24"/>
          <w:lang w:val="bs-Latn" w:eastAsia="en-US"/>
        </w:rPr>
      </w:pPr>
    </w:p>
    <w:p w14:paraId="66C90E11" w14:textId="77777777" w:rsidR="00E541EE" w:rsidRDefault="00E541EE" w:rsidP="00107D76">
      <w:pPr>
        <w:widowControl w:val="0"/>
        <w:tabs>
          <w:tab w:val="left" w:pos="3730"/>
          <w:tab w:val="left" w:pos="7330"/>
        </w:tabs>
        <w:autoSpaceDE w:val="0"/>
        <w:autoSpaceDN w:val="0"/>
        <w:spacing w:before="4"/>
        <w:ind w:left="566"/>
        <w:rPr>
          <w:rFonts w:ascii="Arial" w:eastAsia="Microsoft Sans Serif" w:hAnsi="Arial" w:cs="Arial"/>
          <w:sz w:val="24"/>
          <w:szCs w:val="24"/>
          <w:lang w:val="bs-Latn" w:eastAsia="en-US"/>
        </w:rPr>
      </w:pPr>
    </w:p>
    <w:p w14:paraId="4A2D90FF" w14:textId="77777777" w:rsidR="00E541EE" w:rsidRDefault="00E541EE" w:rsidP="00107D76">
      <w:pPr>
        <w:widowControl w:val="0"/>
        <w:tabs>
          <w:tab w:val="left" w:pos="3730"/>
          <w:tab w:val="left" w:pos="7330"/>
        </w:tabs>
        <w:autoSpaceDE w:val="0"/>
        <w:autoSpaceDN w:val="0"/>
        <w:spacing w:before="4"/>
        <w:ind w:left="566"/>
        <w:rPr>
          <w:rFonts w:ascii="Arial" w:eastAsia="Microsoft Sans Serif" w:hAnsi="Arial" w:cs="Arial"/>
          <w:sz w:val="24"/>
          <w:szCs w:val="24"/>
          <w:lang w:val="bs-Latn" w:eastAsia="en-US"/>
        </w:rPr>
      </w:pPr>
    </w:p>
    <w:p w14:paraId="512052EA" w14:textId="77777777" w:rsidR="00E541EE" w:rsidRDefault="00E541EE" w:rsidP="00107D76">
      <w:pPr>
        <w:widowControl w:val="0"/>
        <w:tabs>
          <w:tab w:val="left" w:pos="3730"/>
          <w:tab w:val="left" w:pos="7330"/>
        </w:tabs>
        <w:autoSpaceDE w:val="0"/>
        <w:autoSpaceDN w:val="0"/>
        <w:spacing w:before="4"/>
        <w:ind w:left="566"/>
        <w:rPr>
          <w:rFonts w:ascii="Arial" w:eastAsia="Microsoft Sans Serif" w:hAnsi="Arial" w:cs="Arial"/>
          <w:sz w:val="24"/>
          <w:szCs w:val="24"/>
          <w:lang w:val="bs-Latn" w:eastAsia="en-US"/>
        </w:rPr>
      </w:pPr>
    </w:p>
    <w:p w14:paraId="6019B166" w14:textId="77777777" w:rsidR="00E541EE" w:rsidRDefault="00E541EE" w:rsidP="00107D76">
      <w:pPr>
        <w:widowControl w:val="0"/>
        <w:tabs>
          <w:tab w:val="left" w:pos="3730"/>
          <w:tab w:val="left" w:pos="7330"/>
        </w:tabs>
        <w:autoSpaceDE w:val="0"/>
        <w:autoSpaceDN w:val="0"/>
        <w:spacing w:before="4"/>
        <w:ind w:left="566"/>
        <w:rPr>
          <w:rFonts w:ascii="Arial" w:eastAsia="Microsoft Sans Serif" w:hAnsi="Arial" w:cs="Arial"/>
          <w:sz w:val="24"/>
          <w:szCs w:val="24"/>
          <w:lang w:val="bs-Latn" w:eastAsia="en-US"/>
        </w:rPr>
      </w:pPr>
    </w:p>
    <w:p w14:paraId="54B78074" w14:textId="77777777" w:rsidR="00E541EE" w:rsidRDefault="00E541EE" w:rsidP="00107D76">
      <w:pPr>
        <w:widowControl w:val="0"/>
        <w:tabs>
          <w:tab w:val="left" w:pos="3730"/>
          <w:tab w:val="left" w:pos="7330"/>
        </w:tabs>
        <w:autoSpaceDE w:val="0"/>
        <w:autoSpaceDN w:val="0"/>
        <w:spacing w:before="4"/>
        <w:ind w:left="566"/>
        <w:rPr>
          <w:rFonts w:ascii="Arial" w:eastAsia="Microsoft Sans Serif" w:hAnsi="Arial" w:cs="Arial"/>
          <w:sz w:val="24"/>
          <w:szCs w:val="24"/>
          <w:lang w:val="bs-Latn" w:eastAsia="en-US"/>
        </w:rPr>
      </w:pPr>
    </w:p>
    <w:p w14:paraId="1EC7B949" w14:textId="77777777" w:rsidR="00E541EE" w:rsidRDefault="00E541EE" w:rsidP="00107D76">
      <w:pPr>
        <w:widowControl w:val="0"/>
        <w:tabs>
          <w:tab w:val="left" w:pos="3730"/>
          <w:tab w:val="left" w:pos="7330"/>
        </w:tabs>
        <w:autoSpaceDE w:val="0"/>
        <w:autoSpaceDN w:val="0"/>
        <w:spacing w:before="4"/>
        <w:ind w:left="566"/>
        <w:rPr>
          <w:rFonts w:ascii="Arial" w:eastAsia="Microsoft Sans Serif" w:hAnsi="Arial" w:cs="Arial"/>
          <w:sz w:val="24"/>
          <w:szCs w:val="24"/>
          <w:lang w:val="bs-Latn" w:eastAsia="en-US"/>
        </w:rPr>
      </w:pPr>
    </w:p>
    <w:p w14:paraId="6F1BE282" w14:textId="77777777" w:rsidR="00E541EE" w:rsidRDefault="00E541EE" w:rsidP="00107D76">
      <w:pPr>
        <w:widowControl w:val="0"/>
        <w:tabs>
          <w:tab w:val="left" w:pos="3730"/>
          <w:tab w:val="left" w:pos="7330"/>
        </w:tabs>
        <w:autoSpaceDE w:val="0"/>
        <w:autoSpaceDN w:val="0"/>
        <w:spacing w:before="4"/>
        <w:ind w:left="566"/>
        <w:rPr>
          <w:rFonts w:ascii="Arial" w:eastAsia="Microsoft Sans Serif" w:hAnsi="Arial" w:cs="Arial"/>
          <w:sz w:val="24"/>
          <w:szCs w:val="24"/>
          <w:lang w:val="bs-Latn" w:eastAsia="en-US"/>
        </w:rPr>
      </w:pPr>
    </w:p>
    <w:p w14:paraId="1BCD8FE3" w14:textId="77777777" w:rsidR="00E541EE" w:rsidRDefault="00E541EE" w:rsidP="00107D76">
      <w:pPr>
        <w:widowControl w:val="0"/>
        <w:tabs>
          <w:tab w:val="left" w:pos="3730"/>
          <w:tab w:val="left" w:pos="7330"/>
        </w:tabs>
        <w:autoSpaceDE w:val="0"/>
        <w:autoSpaceDN w:val="0"/>
        <w:spacing w:before="4"/>
        <w:ind w:left="566"/>
        <w:rPr>
          <w:rFonts w:ascii="Arial" w:eastAsia="Microsoft Sans Serif" w:hAnsi="Arial" w:cs="Arial"/>
          <w:sz w:val="24"/>
          <w:szCs w:val="24"/>
          <w:lang w:val="bs-Latn" w:eastAsia="en-US"/>
        </w:rPr>
      </w:pPr>
    </w:p>
    <w:p w14:paraId="3815B847" w14:textId="77777777" w:rsidR="00E541EE" w:rsidRDefault="00E541EE" w:rsidP="00107D76">
      <w:pPr>
        <w:widowControl w:val="0"/>
        <w:tabs>
          <w:tab w:val="left" w:pos="3730"/>
          <w:tab w:val="left" w:pos="7330"/>
        </w:tabs>
        <w:autoSpaceDE w:val="0"/>
        <w:autoSpaceDN w:val="0"/>
        <w:spacing w:before="4"/>
        <w:ind w:left="566"/>
        <w:rPr>
          <w:rFonts w:ascii="Arial" w:eastAsia="Microsoft Sans Serif" w:hAnsi="Arial" w:cs="Arial"/>
          <w:sz w:val="24"/>
          <w:szCs w:val="24"/>
          <w:lang w:val="bs-Latn" w:eastAsia="en-US"/>
        </w:rPr>
      </w:pPr>
    </w:p>
    <w:p w14:paraId="344B5A34" w14:textId="77777777" w:rsidR="00E541EE" w:rsidRDefault="00E541EE" w:rsidP="00107D76">
      <w:pPr>
        <w:widowControl w:val="0"/>
        <w:tabs>
          <w:tab w:val="left" w:pos="3730"/>
          <w:tab w:val="left" w:pos="7330"/>
        </w:tabs>
        <w:autoSpaceDE w:val="0"/>
        <w:autoSpaceDN w:val="0"/>
        <w:spacing w:before="4"/>
        <w:ind w:left="566"/>
        <w:rPr>
          <w:rFonts w:ascii="Arial" w:eastAsia="Microsoft Sans Serif" w:hAnsi="Arial" w:cs="Arial"/>
          <w:sz w:val="24"/>
          <w:szCs w:val="24"/>
          <w:lang w:val="bs-Latn" w:eastAsia="en-US"/>
        </w:rPr>
      </w:pPr>
    </w:p>
    <w:p w14:paraId="49D051A2" w14:textId="77777777" w:rsidR="00E541EE" w:rsidRDefault="00E541EE" w:rsidP="00107D76">
      <w:pPr>
        <w:widowControl w:val="0"/>
        <w:tabs>
          <w:tab w:val="left" w:pos="3730"/>
          <w:tab w:val="left" w:pos="7330"/>
        </w:tabs>
        <w:autoSpaceDE w:val="0"/>
        <w:autoSpaceDN w:val="0"/>
        <w:spacing w:before="4"/>
        <w:ind w:left="566"/>
        <w:rPr>
          <w:rFonts w:ascii="Arial" w:eastAsia="Microsoft Sans Serif" w:hAnsi="Arial" w:cs="Arial"/>
          <w:sz w:val="24"/>
          <w:szCs w:val="24"/>
          <w:lang w:val="bs-Latn" w:eastAsia="en-US"/>
        </w:rPr>
      </w:pPr>
    </w:p>
    <w:p w14:paraId="57D89E66" w14:textId="77777777" w:rsidR="00E541EE" w:rsidRDefault="00E541EE" w:rsidP="00107D76">
      <w:pPr>
        <w:widowControl w:val="0"/>
        <w:tabs>
          <w:tab w:val="left" w:pos="3730"/>
          <w:tab w:val="left" w:pos="7330"/>
        </w:tabs>
        <w:autoSpaceDE w:val="0"/>
        <w:autoSpaceDN w:val="0"/>
        <w:spacing w:before="4"/>
        <w:ind w:left="566"/>
        <w:rPr>
          <w:rFonts w:ascii="Arial" w:eastAsia="Microsoft Sans Serif" w:hAnsi="Arial" w:cs="Arial"/>
          <w:sz w:val="24"/>
          <w:szCs w:val="24"/>
          <w:lang w:val="bs-Latn" w:eastAsia="en-US"/>
        </w:rPr>
      </w:pPr>
    </w:p>
    <w:p w14:paraId="2C419422" w14:textId="77777777" w:rsidR="00E541EE" w:rsidRDefault="00E541EE" w:rsidP="00107D76">
      <w:pPr>
        <w:widowControl w:val="0"/>
        <w:tabs>
          <w:tab w:val="left" w:pos="3730"/>
          <w:tab w:val="left" w:pos="7330"/>
        </w:tabs>
        <w:autoSpaceDE w:val="0"/>
        <w:autoSpaceDN w:val="0"/>
        <w:spacing w:before="4"/>
        <w:ind w:left="566"/>
        <w:rPr>
          <w:rFonts w:ascii="Arial" w:eastAsia="Microsoft Sans Serif" w:hAnsi="Arial" w:cs="Arial"/>
          <w:sz w:val="24"/>
          <w:szCs w:val="24"/>
          <w:lang w:val="bs-Latn" w:eastAsia="en-US"/>
        </w:rPr>
      </w:pPr>
    </w:p>
    <w:p w14:paraId="6ADCB776" w14:textId="77777777" w:rsidR="00E541EE" w:rsidRDefault="00E541EE" w:rsidP="00107D76">
      <w:pPr>
        <w:widowControl w:val="0"/>
        <w:tabs>
          <w:tab w:val="left" w:pos="3730"/>
          <w:tab w:val="left" w:pos="7330"/>
        </w:tabs>
        <w:autoSpaceDE w:val="0"/>
        <w:autoSpaceDN w:val="0"/>
        <w:spacing w:before="4"/>
        <w:ind w:left="566"/>
        <w:rPr>
          <w:rFonts w:ascii="Arial" w:eastAsia="Microsoft Sans Serif" w:hAnsi="Arial" w:cs="Arial"/>
          <w:sz w:val="24"/>
          <w:szCs w:val="24"/>
          <w:lang w:val="bs-Latn" w:eastAsia="en-US"/>
        </w:rPr>
      </w:pPr>
    </w:p>
    <w:p w14:paraId="30772546" w14:textId="77777777" w:rsidR="00E541EE" w:rsidRDefault="00E541EE" w:rsidP="00107D76">
      <w:pPr>
        <w:widowControl w:val="0"/>
        <w:tabs>
          <w:tab w:val="left" w:pos="3730"/>
          <w:tab w:val="left" w:pos="7330"/>
        </w:tabs>
        <w:autoSpaceDE w:val="0"/>
        <w:autoSpaceDN w:val="0"/>
        <w:spacing w:before="4"/>
        <w:ind w:left="566"/>
        <w:rPr>
          <w:rFonts w:ascii="Arial" w:eastAsia="Microsoft Sans Serif" w:hAnsi="Arial" w:cs="Arial"/>
          <w:sz w:val="24"/>
          <w:szCs w:val="24"/>
          <w:lang w:val="bs-Latn" w:eastAsia="en-US"/>
        </w:rPr>
      </w:pPr>
    </w:p>
    <w:p w14:paraId="65DDCE90" w14:textId="77777777" w:rsidR="00E541EE" w:rsidRDefault="00E541EE" w:rsidP="00107D76">
      <w:pPr>
        <w:widowControl w:val="0"/>
        <w:tabs>
          <w:tab w:val="left" w:pos="3730"/>
          <w:tab w:val="left" w:pos="7330"/>
        </w:tabs>
        <w:autoSpaceDE w:val="0"/>
        <w:autoSpaceDN w:val="0"/>
        <w:spacing w:before="4"/>
        <w:ind w:left="566"/>
        <w:rPr>
          <w:rFonts w:ascii="Arial" w:eastAsia="Microsoft Sans Serif" w:hAnsi="Arial" w:cs="Arial"/>
          <w:sz w:val="24"/>
          <w:szCs w:val="24"/>
          <w:lang w:val="bs-Latn" w:eastAsia="en-US"/>
        </w:rPr>
      </w:pPr>
    </w:p>
    <w:p w14:paraId="094A45E1" w14:textId="77777777" w:rsidR="00E541EE" w:rsidRDefault="00E541EE" w:rsidP="00107D76">
      <w:pPr>
        <w:widowControl w:val="0"/>
        <w:tabs>
          <w:tab w:val="left" w:pos="3730"/>
          <w:tab w:val="left" w:pos="7330"/>
        </w:tabs>
        <w:autoSpaceDE w:val="0"/>
        <w:autoSpaceDN w:val="0"/>
        <w:spacing w:before="4"/>
        <w:ind w:left="566"/>
        <w:rPr>
          <w:rFonts w:ascii="Arial" w:eastAsia="Microsoft Sans Serif" w:hAnsi="Arial" w:cs="Arial"/>
          <w:sz w:val="24"/>
          <w:szCs w:val="24"/>
          <w:lang w:val="bs-Latn" w:eastAsia="en-US"/>
        </w:rPr>
      </w:pPr>
    </w:p>
    <w:p w14:paraId="01677ADF" w14:textId="77777777" w:rsidR="00E541EE" w:rsidRDefault="00E541EE" w:rsidP="00107D76">
      <w:pPr>
        <w:widowControl w:val="0"/>
        <w:tabs>
          <w:tab w:val="left" w:pos="3730"/>
          <w:tab w:val="left" w:pos="7330"/>
        </w:tabs>
        <w:autoSpaceDE w:val="0"/>
        <w:autoSpaceDN w:val="0"/>
        <w:spacing w:before="4"/>
        <w:ind w:left="566"/>
        <w:rPr>
          <w:rFonts w:ascii="Arial" w:eastAsia="Microsoft Sans Serif" w:hAnsi="Arial" w:cs="Arial"/>
          <w:sz w:val="24"/>
          <w:szCs w:val="24"/>
          <w:lang w:val="bs-Latn" w:eastAsia="en-US"/>
        </w:rPr>
      </w:pPr>
    </w:p>
    <w:p w14:paraId="79E15DFA" w14:textId="77777777" w:rsidR="00E541EE" w:rsidRDefault="00E541EE" w:rsidP="00107D76">
      <w:pPr>
        <w:widowControl w:val="0"/>
        <w:tabs>
          <w:tab w:val="left" w:pos="3730"/>
          <w:tab w:val="left" w:pos="7330"/>
        </w:tabs>
        <w:autoSpaceDE w:val="0"/>
        <w:autoSpaceDN w:val="0"/>
        <w:spacing w:before="4"/>
        <w:ind w:left="566"/>
        <w:rPr>
          <w:rFonts w:ascii="Arial" w:eastAsia="Microsoft Sans Serif" w:hAnsi="Arial" w:cs="Arial"/>
          <w:sz w:val="24"/>
          <w:szCs w:val="24"/>
          <w:lang w:val="bs-Latn" w:eastAsia="en-US"/>
        </w:rPr>
      </w:pPr>
    </w:p>
    <w:p w14:paraId="55DF3D07" w14:textId="77777777" w:rsidR="00E541EE" w:rsidRDefault="00E541EE" w:rsidP="00107D76">
      <w:pPr>
        <w:widowControl w:val="0"/>
        <w:tabs>
          <w:tab w:val="left" w:pos="3730"/>
          <w:tab w:val="left" w:pos="7330"/>
        </w:tabs>
        <w:autoSpaceDE w:val="0"/>
        <w:autoSpaceDN w:val="0"/>
        <w:spacing w:before="4"/>
        <w:ind w:left="566"/>
        <w:rPr>
          <w:rFonts w:ascii="Arial" w:eastAsia="Microsoft Sans Serif" w:hAnsi="Arial" w:cs="Arial"/>
          <w:sz w:val="24"/>
          <w:szCs w:val="24"/>
          <w:lang w:val="bs-Latn" w:eastAsia="en-US"/>
        </w:rPr>
      </w:pPr>
    </w:p>
    <w:p w14:paraId="703508A3" w14:textId="77777777" w:rsidR="00E541EE" w:rsidRDefault="00E541EE" w:rsidP="00107D76">
      <w:pPr>
        <w:widowControl w:val="0"/>
        <w:tabs>
          <w:tab w:val="left" w:pos="3730"/>
          <w:tab w:val="left" w:pos="7330"/>
        </w:tabs>
        <w:autoSpaceDE w:val="0"/>
        <w:autoSpaceDN w:val="0"/>
        <w:spacing w:before="4"/>
        <w:ind w:left="566"/>
        <w:rPr>
          <w:rFonts w:ascii="Arial" w:eastAsia="Microsoft Sans Serif" w:hAnsi="Arial" w:cs="Arial"/>
          <w:sz w:val="24"/>
          <w:szCs w:val="24"/>
          <w:lang w:val="bs-Latn" w:eastAsia="en-US"/>
        </w:rPr>
      </w:pPr>
    </w:p>
    <w:p w14:paraId="3D993FEA" w14:textId="77777777" w:rsidR="00E541EE" w:rsidRDefault="00E541EE" w:rsidP="00107D76">
      <w:pPr>
        <w:widowControl w:val="0"/>
        <w:tabs>
          <w:tab w:val="left" w:pos="3730"/>
          <w:tab w:val="left" w:pos="7330"/>
        </w:tabs>
        <w:autoSpaceDE w:val="0"/>
        <w:autoSpaceDN w:val="0"/>
        <w:spacing w:before="4"/>
        <w:ind w:left="566"/>
        <w:rPr>
          <w:rFonts w:ascii="Arial" w:eastAsia="Microsoft Sans Serif" w:hAnsi="Arial" w:cs="Arial"/>
          <w:sz w:val="24"/>
          <w:szCs w:val="24"/>
          <w:lang w:val="bs-Latn" w:eastAsia="en-US"/>
        </w:rPr>
      </w:pPr>
    </w:p>
    <w:p w14:paraId="3B35C0A9" w14:textId="77777777" w:rsidR="00E541EE" w:rsidRDefault="00E541EE" w:rsidP="00107D76">
      <w:pPr>
        <w:widowControl w:val="0"/>
        <w:tabs>
          <w:tab w:val="left" w:pos="3730"/>
          <w:tab w:val="left" w:pos="7330"/>
        </w:tabs>
        <w:autoSpaceDE w:val="0"/>
        <w:autoSpaceDN w:val="0"/>
        <w:spacing w:before="4"/>
        <w:ind w:left="566"/>
        <w:rPr>
          <w:rFonts w:ascii="Arial" w:eastAsia="Microsoft Sans Serif" w:hAnsi="Arial" w:cs="Arial"/>
          <w:sz w:val="24"/>
          <w:szCs w:val="24"/>
          <w:lang w:val="bs-Latn" w:eastAsia="en-US"/>
        </w:rPr>
      </w:pPr>
    </w:p>
    <w:p w14:paraId="182CE645" w14:textId="77777777" w:rsidR="00E541EE" w:rsidRDefault="00E541EE" w:rsidP="00107D76">
      <w:pPr>
        <w:widowControl w:val="0"/>
        <w:tabs>
          <w:tab w:val="left" w:pos="3730"/>
          <w:tab w:val="left" w:pos="7330"/>
        </w:tabs>
        <w:autoSpaceDE w:val="0"/>
        <w:autoSpaceDN w:val="0"/>
        <w:spacing w:before="4"/>
        <w:ind w:left="566"/>
        <w:rPr>
          <w:rFonts w:ascii="Arial" w:eastAsia="Microsoft Sans Serif" w:hAnsi="Arial" w:cs="Arial"/>
          <w:sz w:val="24"/>
          <w:szCs w:val="24"/>
          <w:lang w:val="bs-Latn" w:eastAsia="en-US"/>
        </w:rPr>
      </w:pPr>
    </w:p>
    <w:p w14:paraId="0D8A9480" w14:textId="77777777" w:rsidR="00E541EE" w:rsidRDefault="00E541EE" w:rsidP="00107D76">
      <w:pPr>
        <w:widowControl w:val="0"/>
        <w:tabs>
          <w:tab w:val="left" w:pos="3730"/>
          <w:tab w:val="left" w:pos="7330"/>
        </w:tabs>
        <w:autoSpaceDE w:val="0"/>
        <w:autoSpaceDN w:val="0"/>
        <w:spacing w:before="4"/>
        <w:ind w:left="566"/>
        <w:rPr>
          <w:rFonts w:ascii="Arial" w:eastAsia="Microsoft Sans Serif" w:hAnsi="Arial" w:cs="Arial"/>
          <w:sz w:val="24"/>
          <w:szCs w:val="24"/>
          <w:lang w:val="bs-Latn" w:eastAsia="en-US"/>
        </w:rPr>
      </w:pPr>
    </w:p>
    <w:p w14:paraId="186FA527" w14:textId="77777777" w:rsidR="00E541EE" w:rsidRDefault="00E541EE" w:rsidP="00107D76">
      <w:pPr>
        <w:widowControl w:val="0"/>
        <w:tabs>
          <w:tab w:val="left" w:pos="3730"/>
          <w:tab w:val="left" w:pos="7330"/>
        </w:tabs>
        <w:autoSpaceDE w:val="0"/>
        <w:autoSpaceDN w:val="0"/>
        <w:spacing w:before="4"/>
        <w:ind w:left="566"/>
        <w:rPr>
          <w:rFonts w:ascii="Arial" w:eastAsia="Microsoft Sans Serif" w:hAnsi="Arial" w:cs="Arial"/>
          <w:sz w:val="24"/>
          <w:szCs w:val="24"/>
          <w:lang w:val="bs-Latn" w:eastAsia="en-US"/>
        </w:rPr>
      </w:pPr>
    </w:p>
    <w:p w14:paraId="0E1F9AEB" w14:textId="77777777" w:rsidR="00E541EE" w:rsidRDefault="00E541EE" w:rsidP="00107D76">
      <w:pPr>
        <w:widowControl w:val="0"/>
        <w:tabs>
          <w:tab w:val="left" w:pos="3730"/>
          <w:tab w:val="left" w:pos="7330"/>
        </w:tabs>
        <w:autoSpaceDE w:val="0"/>
        <w:autoSpaceDN w:val="0"/>
        <w:spacing w:before="4"/>
        <w:ind w:left="566"/>
        <w:rPr>
          <w:rFonts w:ascii="Arial" w:eastAsia="Microsoft Sans Serif" w:hAnsi="Arial" w:cs="Arial"/>
          <w:sz w:val="24"/>
          <w:szCs w:val="24"/>
          <w:lang w:val="bs-Latn" w:eastAsia="en-US"/>
        </w:rPr>
      </w:pPr>
    </w:p>
    <w:p w14:paraId="6D86E35D" w14:textId="77777777" w:rsidR="00E541EE" w:rsidRDefault="00E541EE" w:rsidP="00E541EE">
      <w:pPr>
        <w:ind w:left="57"/>
        <w:contextualSpacing/>
        <w:jc w:val="center"/>
        <w:rPr>
          <w:rFonts w:ascii="Arial" w:hAnsi="Arial" w:cs="Arial"/>
          <w:b/>
          <w:sz w:val="24"/>
          <w:szCs w:val="24"/>
        </w:rPr>
      </w:pPr>
      <w:bookmarkStart w:id="0" w:name="_Hlk213939506"/>
      <w:r>
        <w:rPr>
          <w:rFonts w:ascii="Arial" w:hAnsi="Arial" w:cs="Arial"/>
          <w:b/>
          <w:sz w:val="24"/>
          <w:szCs w:val="24"/>
        </w:rPr>
        <w:t>O</w:t>
      </w:r>
      <w:r w:rsidRPr="00A4478D">
        <w:rPr>
          <w:rFonts w:ascii="Arial" w:hAnsi="Arial" w:cs="Arial"/>
          <w:b/>
          <w:sz w:val="24"/>
          <w:szCs w:val="24"/>
        </w:rPr>
        <w:t xml:space="preserve">brazloženje uz </w:t>
      </w:r>
    </w:p>
    <w:p w14:paraId="6ACD5740" w14:textId="77777777" w:rsidR="00E541EE" w:rsidRDefault="00E541EE" w:rsidP="00E541EE">
      <w:pPr>
        <w:ind w:left="57"/>
        <w:contextualSpacing/>
        <w:jc w:val="center"/>
        <w:rPr>
          <w:rFonts w:ascii="Arial" w:eastAsia="Times New Roman" w:hAnsi="Arial" w:cs="Arial"/>
          <w:b/>
          <w:sz w:val="24"/>
          <w:szCs w:val="24"/>
        </w:rPr>
      </w:pPr>
      <w:r>
        <w:rPr>
          <w:rFonts w:ascii="Arial" w:eastAsia="Times New Roman" w:hAnsi="Arial" w:cs="Arial"/>
          <w:b/>
          <w:sz w:val="24"/>
          <w:szCs w:val="24"/>
        </w:rPr>
        <w:t>konačni Prijedlog</w:t>
      </w:r>
      <w:r w:rsidRPr="00A4478D">
        <w:rPr>
          <w:rFonts w:ascii="Arial" w:eastAsia="Times New Roman" w:hAnsi="Arial" w:cs="Arial"/>
          <w:b/>
          <w:sz w:val="24"/>
          <w:szCs w:val="24"/>
        </w:rPr>
        <w:t xml:space="preserve"> Proračuna Grada Rovinja-Rovigno za 202</w:t>
      </w:r>
      <w:r>
        <w:rPr>
          <w:rFonts w:ascii="Arial" w:eastAsia="Times New Roman" w:hAnsi="Arial" w:cs="Arial"/>
          <w:b/>
          <w:sz w:val="24"/>
          <w:szCs w:val="24"/>
        </w:rPr>
        <w:t>6</w:t>
      </w:r>
      <w:r w:rsidRPr="00A4478D">
        <w:rPr>
          <w:rFonts w:ascii="Arial" w:eastAsia="Times New Roman" w:hAnsi="Arial" w:cs="Arial"/>
          <w:b/>
          <w:sz w:val="24"/>
          <w:szCs w:val="24"/>
        </w:rPr>
        <w:t xml:space="preserve">. </w:t>
      </w:r>
    </w:p>
    <w:p w14:paraId="629924D0" w14:textId="77777777" w:rsidR="00E541EE" w:rsidRPr="00A4478D" w:rsidRDefault="00E541EE" w:rsidP="00E541EE">
      <w:pPr>
        <w:ind w:left="57"/>
        <w:contextualSpacing/>
        <w:jc w:val="center"/>
        <w:rPr>
          <w:rFonts w:ascii="Arial" w:hAnsi="Arial" w:cs="Arial"/>
          <w:b/>
          <w:sz w:val="24"/>
          <w:szCs w:val="24"/>
        </w:rPr>
      </w:pPr>
      <w:r w:rsidRPr="00A4478D">
        <w:rPr>
          <w:rFonts w:ascii="Arial" w:eastAsia="Times New Roman" w:hAnsi="Arial" w:cs="Arial"/>
          <w:b/>
          <w:sz w:val="24"/>
          <w:szCs w:val="24"/>
        </w:rPr>
        <w:t>i projekcije za 202</w:t>
      </w:r>
      <w:r>
        <w:rPr>
          <w:rFonts w:ascii="Arial" w:eastAsia="Times New Roman" w:hAnsi="Arial" w:cs="Arial"/>
          <w:b/>
          <w:sz w:val="24"/>
          <w:szCs w:val="24"/>
        </w:rPr>
        <w:t>7</w:t>
      </w:r>
      <w:r w:rsidRPr="00A4478D">
        <w:rPr>
          <w:rFonts w:ascii="Arial" w:eastAsia="Times New Roman" w:hAnsi="Arial" w:cs="Arial"/>
          <w:b/>
          <w:sz w:val="24"/>
          <w:szCs w:val="24"/>
        </w:rPr>
        <w:t>. i 202</w:t>
      </w:r>
      <w:r>
        <w:rPr>
          <w:rFonts w:ascii="Arial" w:eastAsia="Times New Roman" w:hAnsi="Arial" w:cs="Arial"/>
          <w:b/>
          <w:sz w:val="24"/>
          <w:szCs w:val="24"/>
        </w:rPr>
        <w:t>8</w:t>
      </w:r>
      <w:r w:rsidRPr="00A4478D">
        <w:rPr>
          <w:rFonts w:ascii="Arial" w:eastAsia="Times New Roman" w:hAnsi="Arial" w:cs="Arial"/>
          <w:b/>
          <w:sz w:val="24"/>
          <w:szCs w:val="24"/>
        </w:rPr>
        <w:t xml:space="preserve">. godinu </w:t>
      </w:r>
      <w:r>
        <w:rPr>
          <w:rFonts w:ascii="Arial" w:eastAsia="Times New Roman" w:hAnsi="Arial" w:cs="Arial"/>
          <w:b/>
          <w:sz w:val="24"/>
          <w:szCs w:val="24"/>
        </w:rPr>
        <w:t>u drugom čitanju</w:t>
      </w:r>
    </w:p>
    <w:p w14:paraId="2826356D" w14:textId="77777777" w:rsidR="00E541EE" w:rsidRPr="00A4478D" w:rsidRDefault="00E541EE" w:rsidP="00E541EE">
      <w:pPr>
        <w:jc w:val="both"/>
        <w:rPr>
          <w:sz w:val="28"/>
          <w:szCs w:val="28"/>
        </w:rPr>
      </w:pPr>
    </w:p>
    <w:p w14:paraId="5CDC65B8" w14:textId="77777777" w:rsidR="00E541EE" w:rsidRPr="00A4478D" w:rsidRDefault="00E541EE" w:rsidP="00E541EE">
      <w:pPr>
        <w:pStyle w:val="Odlomakpopisa"/>
        <w:numPr>
          <w:ilvl w:val="0"/>
          <w:numId w:val="11"/>
        </w:numPr>
        <w:jc w:val="both"/>
        <w:rPr>
          <w:b/>
          <w:i/>
          <w:lang w:val="hr-HR"/>
        </w:rPr>
      </w:pPr>
      <w:r w:rsidRPr="00A4478D">
        <w:rPr>
          <w:b/>
          <w:i/>
          <w:lang w:val="hr-HR"/>
        </w:rPr>
        <w:t>PRAVNA OSNOVA</w:t>
      </w:r>
    </w:p>
    <w:p w14:paraId="0E373CDB" w14:textId="77777777" w:rsidR="00E541EE" w:rsidRPr="00A4478D" w:rsidRDefault="00E541EE" w:rsidP="00E541EE">
      <w:pPr>
        <w:pStyle w:val="Odlomakpopisa"/>
        <w:jc w:val="both"/>
        <w:rPr>
          <w:b/>
          <w:i/>
          <w:lang w:val="hr-HR"/>
        </w:rPr>
      </w:pPr>
    </w:p>
    <w:p w14:paraId="78265E72" w14:textId="77777777" w:rsidR="00E541EE" w:rsidRPr="00221E9A" w:rsidRDefault="00E541EE" w:rsidP="00E541EE">
      <w:pPr>
        <w:pStyle w:val="Odlomakpopisa"/>
        <w:numPr>
          <w:ilvl w:val="0"/>
          <w:numId w:val="3"/>
        </w:numPr>
        <w:jc w:val="both"/>
        <w:rPr>
          <w:lang w:val="hr-HR"/>
        </w:rPr>
      </w:pPr>
      <w:r w:rsidRPr="00221E9A">
        <w:rPr>
          <w:lang w:val="hr-HR"/>
        </w:rPr>
        <w:t>članak 42. Zakona o proračunu (</w:t>
      </w:r>
      <w:r>
        <w:rPr>
          <w:lang w:val="hr-HR"/>
        </w:rPr>
        <w:t>„</w:t>
      </w:r>
      <w:r w:rsidRPr="00221E9A">
        <w:rPr>
          <w:rFonts w:eastAsia="Arial"/>
          <w:lang w:val="hr-HR"/>
        </w:rPr>
        <w:t>Narodne novine</w:t>
      </w:r>
      <w:r>
        <w:rPr>
          <w:rFonts w:eastAsia="Arial"/>
          <w:lang w:val="hr-HR"/>
        </w:rPr>
        <w:t>“</w:t>
      </w:r>
      <w:r w:rsidRPr="00221E9A">
        <w:rPr>
          <w:rFonts w:eastAsia="Arial"/>
          <w:lang w:val="hr-HR"/>
        </w:rPr>
        <w:t xml:space="preserve">, </w:t>
      </w:r>
      <w:r w:rsidRPr="00221E9A">
        <w:rPr>
          <w:lang w:val="hr-HR"/>
        </w:rPr>
        <w:t>br. 144/21</w:t>
      </w:r>
      <w:r>
        <w:rPr>
          <w:lang w:val="hr-HR"/>
        </w:rPr>
        <w:t>.</w:t>
      </w:r>
      <w:r w:rsidRPr="00221E9A">
        <w:rPr>
          <w:lang w:val="hr-HR"/>
        </w:rPr>
        <w:t>)</w:t>
      </w:r>
    </w:p>
    <w:p w14:paraId="730220CA" w14:textId="77777777" w:rsidR="00E541EE" w:rsidRPr="00E542BE" w:rsidRDefault="00E541EE" w:rsidP="00E541EE">
      <w:pPr>
        <w:pStyle w:val="Odlomakpopisa"/>
        <w:numPr>
          <w:ilvl w:val="0"/>
          <w:numId w:val="3"/>
        </w:numPr>
        <w:jc w:val="both"/>
        <w:rPr>
          <w:lang w:val="hr-HR"/>
        </w:rPr>
      </w:pPr>
      <w:r w:rsidRPr="00221E9A">
        <w:rPr>
          <w:color w:val="000000"/>
          <w:spacing w:val="3"/>
          <w:lang w:val="hr-HR"/>
        </w:rPr>
        <w:t>Pravilnik o planiranju u sustavu proračuna (</w:t>
      </w:r>
      <w:r>
        <w:rPr>
          <w:color w:val="000000"/>
          <w:spacing w:val="3"/>
          <w:lang w:val="hr-HR"/>
        </w:rPr>
        <w:t>„</w:t>
      </w:r>
      <w:r w:rsidRPr="00221E9A">
        <w:rPr>
          <w:rFonts w:eastAsia="Arial"/>
          <w:lang w:val="hr-HR"/>
        </w:rPr>
        <w:t>Narodne novine</w:t>
      </w:r>
      <w:r>
        <w:rPr>
          <w:rFonts w:eastAsia="Arial"/>
          <w:lang w:val="hr-HR"/>
        </w:rPr>
        <w:t>“</w:t>
      </w:r>
      <w:r w:rsidRPr="00221E9A">
        <w:rPr>
          <w:color w:val="000000"/>
          <w:spacing w:val="3"/>
          <w:lang w:val="hr-HR"/>
        </w:rPr>
        <w:t>, br. 1/24</w:t>
      </w:r>
      <w:r>
        <w:rPr>
          <w:color w:val="000000"/>
          <w:spacing w:val="3"/>
          <w:lang w:val="hr-HR"/>
        </w:rPr>
        <w:t>.</w:t>
      </w:r>
      <w:r w:rsidRPr="00221E9A">
        <w:rPr>
          <w:color w:val="000000"/>
          <w:spacing w:val="3"/>
          <w:lang w:val="hr-HR"/>
        </w:rPr>
        <w:t>)</w:t>
      </w:r>
    </w:p>
    <w:p w14:paraId="33B0DC72" w14:textId="77777777" w:rsidR="00E541EE" w:rsidRPr="00E542BE" w:rsidRDefault="00E541EE" w:rsidP="00E541EE">
      <w:pPr>
        <w:pStyle w:val="Odlomakpopisa"/>
        <w:numPr>
          <w:ilvl w:val="0"/>
          <w:numId w:val="3"/>
        </w:numPr>
        <w:jc w:val="both"/>
        <w:rPr>
          <w:lang w:val="hr-HR"/>
        </w:rPr>
      </w:pPr>
      <w:r>
        <w:rPr>
          <w:color w:val="000000"/>
          <w:spacing w:val="3"/>
          <w:lang w:val="hr-HR"/>
        </w:rPr>
        <w:t>Pravilnik o proračunskom računovodstvu i Računskom planu („Narodne novine“, br.158/23. i 154/24.)</w:t>
      </w:r>
    </w:p>
    <w:p w14:paraId="2305CD05" w14:textId="77777777" w:rsidR="00E541EE" w:rsidRPr="00E542BE" w:rsidRDefault="00E541EE" w:rsidP="00E541EE">
      <w:pPr>
        <w:pStyle w:val="Odlomakpopisa"/>
        <w:numPr>
          <w:ilvl w:val="0"/>
          <w:numId w:val="3"/>
        </w:numPr>
        <w:jc w:val="both"/>
        <w:rPr>
          <w:lang w:val="hr-HR"/>
        </w:rPr>
      </w:pPr>
      <w:r>
        <w:rPr>
          <w:color w:val="000000"/>
          <w:spacing w:val="3"/>
          <w:lang w:val="hr-HR"/>
        </w:rPr>
        <w:t>Pravilnik o proračunskim klasifikacijama („Narodne novine“, br.4/24. i 122/25.)</w:t>
      </w:r>
    </w:p>
    <w:p w14:paraId="3096F6DC" w14:textId="77777777" w:rsidR="00E541EE" w:rsidRPr="00221E9A" w:rsidRDefault="00E541EE" w:rsidP="00E541EE">
      <w:pPr>
        <w:pStyle w:val="Odlomakpopisa"/>
        <w:numPr>
          <w:ilvl w:val="0"/>
          <w:numId w:val="3"/>
        </w:numPr>
        <w:jc w:val="both"/>
        <w:rPr>
          <w:lang w:val="hr-HR"/>
        </w:rPr>
      </w:pPr>
      <w:r>
        <w:rPr>
          <w:color w:val="000000"/>
          <w:spacing w:val="3"/>
          <w:lang w:val="hr-HR"/>
        </w:rPr>
        <w:t>Pravilnik o korištenju sredstava Europske unije („Narodne novine“, br. 44/24.)</w:t>
      </w:r>
    </w:p>
    <w:p w14:paraId="2A8918AF" w14:textId="77777777" w:rsidR="00E541EE" w:rsidRPr="00221E9A" w:rsidRDefault="00E541EE" w:rsidP="00E541EE">
      <w:pPr>
        <w:pStyle w:val="Odlomakpopisa"/>
        <w:numPr>
          <w:ilvl w:val="0"/>
          <w:numId w:val="3"/>
        </w:numPr>
        <w:jc w:val="both"/>
        <w:rPr>
          <w:lang w:val="hr-HR"/>
        </w:rPr>
      </w:pPr>
      <w:r w:rsidRPr="00221E9A">
        <w:rPr>
          <w:lang w:val="hr-HR"/>
        </w:rPr>
        <w:t>članak 68. Statuta Grada Rovinja-Rovigno („Službeni glasnik“ Grada Rovinja-Rovigno, br. 3/18</w:t>
      </w:r>
      <w:r>
        <w:rPr>
          <w:lang w:val="hr-HR"/>
        </w:rPr>
        <w:t xml:space="preserve">., </w:t>
      </w:r>
      <w:r w:rsidRPr="00221E9A">
        <w:rPr>
          <w:lang w:val="hr-HR"/>
        </w:rPr>
        <w:t>5/18</w:t>
      </w:r>
      <w:r>
        <w:rPr>
          <w:lang w:val="hr-HR"/>
        </w:rPr>
        <w:t xml:space="preserve">., </w:t>
      </w:r>
      <w:r w:rsidRPr="00221E9A">
        <w:rPr>
          <w:lang w:val="hr-HR"/>
        </w:rPr>
        <w:t>2/21</w:t>
      </w:r>
      <w:r>
        <w:rPr>
          <w:lang w:val="hr-HR"/>
        </w:rPr>
        <w:t>, 4/25, 5/25. – pročišćeni tekst).</w:t>
      </w:r>
    </w:p>
    <w:p w14:paraId="6884C558" w14:textId="77777777" w:rsidR="00E541EE" w:rsidRPr="00221E9A" w:rsidRDefault="00E541EE" w:rsidP="00E541EE">
      <w:pPr>
        <w:jc w:val="both"/>
      </w:pPr>
    </w:p>
    <w:p w14:paraId="48939DA8" w14:textId="77777777" w:rsidR="00E541EE" w:rsidRDefault="00E541EE" w:rsidP="00E541EE">
      <w:pPr>
        <w:pStyle w:val="Odlomakpopisa"/>
        <w:numPr>
          <w:ilvl w:val="0"/>
          <w:numId w:val="11"/>
        </w:numPr>
        <w:jc w:val="both"/>
        <w:rPr>
          <w:b/>
          <w:i/>
          <w:lang w:val="hr-HR"/>
        </w:rPr>
      </w:pPr>
      <w:r w:rsidRPr="00E4223C">
        <w:rPr>
          <w:b/>
          <w:i/>
          <w:lang w:val="hr-HR"/>
        </w:rPr>
        <w:t>TEMELJNA PITANJA I OCJENA STANJA</w:t>
      </w:r>
    </w:p>
    <w:p w14:paraId="621403F4" w14:textId="77777777" w:rsidR="00E541EE" w:rsidRPr="004A6288" w:rsidRDefault="00E541EE" w:rsidP="00E541EE">
      <w:pPr>
        <w:pStyle w:val="Odlomakpopisa"/>
        <w:jc w:val="both"/>
        <w:rPr>
          <w:b/>
          <w:i/>
          <w:lang w:val="hr-HR"/>
        </w:rPr>
      </w:pPr>
    </w:p>
    <w:p w14:paraId="34E8A43F" w14:textId="77777777" w:rsidR="00E541EE" w:rsidRDefault="00E541EE" w:rsidP="00E541EE">
      <w:pPr>
        <w:ind w:firstLine="708"/>
        <w:jc w:val="both"/>
        <w:rPr>
          <w:rFonts w:ascii="Arial" w:hAnsi="Arial" w:cs="Arial"/>
          <w:sz w:val="24"/>
          <w:szCs w:val="24"/>
        </w:rPr>
      </w:pPr>
      <w:r w:rsidRPr="00F17500">
        <w:rPr>
          <w:rFonts w:ascii="Arial" w:hAnsi="Arial" w:cs="Arial"/>
          <w:sz w:val="24"/>
          <w:szCs w:val="24"/>
        </w:rPr>
        <w:t>Temelj za izradu Proraču</w:t>
      </w:r>
      <w:r>
        <w:rPr>
          <w:rFonts w:ascii="Arial" w:hAnsi="Arial" w:cs="Arial"/>
          <w:sz w:val="24"/>
          <w:szCs w:val="24"/>
        </w:rPr>
        <w:t>na Grada Rovinja-Rovigno za 2026. i projekcije za 2027. i 2028</w:t>
      </w:r>
      <w:r w:rsidRPr="00F17500">
        <w:rPr>
          <w:rFonts w:ascii="Arial" w:hAnsi="Arial" w:cs="Arial"/>
          <w:sz w:val="24"/>
          <w:szCs w:val="24"/>
        </w:rPr>
        <w:t>. godinu je Zakon o proračunu (</w:t>
      </w:r>
      <w:r>
        <w:rPr>
          <w:rFonts w:ascii="Arial" w:hAnsi="Arial" w:cs="Arial"/>
          <w:sz w:val="24"/>
          <w:szCs w:val="24"/>
        </w:rPr>
        <w:t>„</w:t>
      </w:r>
      <w:r w:rsidRPr="00F17500">
        <w:rPr>
          <w:rFonts w:ascii="Arial" w:eastAsia="Arial" w:hAnsi="Arial" w:cs="Arial"/>
          <w:sz w:val="24"/>
          <w:szCs w:val="24"/>
        </w:rPr>
        <w:t>Narodne novine</w:t>
      </w:r>
      <w:r>
        <w:rPr>
          <w:rFonts w:ascii="Arial" w:eastAsia="Arial" w:hAnsi="Arial" w:cs="Arial"/>
          <w:sz w:val="24"/>
          <w:szCs w:val="24"/>
        </w:rPr>
        <w:t>“</w:t>
      </w:r>
      <w:r w:rsidRPr="00F17500">
        <w:rPr>
          <w:rFonts w:ascii="Arial" w:eastAsia="Arial" w:hAnsi="Arial" w:cs="Arial"/>
          <w:sz w:val="24"/>
          <w:szCs w:val="24"/>
        </w:rPr>
        <w:t xml:space="preserve">, </w:t>
      </w:r>
      <w:r w:rsidRPr="00F17500">
        <w:rPr>
          <w:rFonts w:ascii="Arial" w:hAnsi="Arial" w:cs="Arial"/>
          <w:sz w:val="24"/>
          <w:szCs w:val="24"/>
        </w:rPr>
        <w:t>br. 144/21</w:t>
      </w:r>
      <w:r>
        <w:rPr>
          <w:rFonts w:ascii="Arial" w:hAnsi="Arial" w:cs="Arial"/>
          <w:sz w:val="24"/>
          <w:szCs w:val="24"/>
        </w:rPr>
        <w:t>.</w:t>
      </w:r>
      <w:r w:rsidRPr="00F17500">
        <w:rPr>
          <w:rFonts w:ascii="Arial" w:hAnsi="Arial" w:cs="Arial"/>
          <w:sz w:val="24"/>
          <w:szCs w:val="24"/>
        </w:rPr>
        <w:t xml:space="preserve">) u daljnjem tekstu: Zakon, odnosno članak 42. Zakona na osnovi kojeg je predstavničko tijelo obvezno na prijedlog izvršnog tijela do kraja tekuće godine donijeti proračun za iduću proračunsku godinu. </w:t>
      </w:r>
    </w:p>
    <w:p w14:paraId="5BF1E159" w14:textId="77777777" w:rsidR="00E541EE" w:rsidRDefault="00E541EE" w:rsidP="00E541EE">
      <w:pPr>
        <w:ind w:firstLine="708"/>
        <w:jc w:val="both"/>
        <w:rPr>
          <w:rFonts w:ascii="Arial" w:hAnsi="Arial" w:cs="Arial"/>
          <w:sz w:val="24"/>
          <w:szCs w:val="24"/>
        </w:rPr>
      </w:pPr>
    </w:p>
    <w:p w14:paraId="695EF2B7" w14:textId="77777777" w:rsidR="00E541EE" w:rsidRPr="005D5C9D" w:rsidRDefault="00E541EE" w:rsidP="00E541EE">
      <w:pPr>
        <w:ind w:firstLine="360"/>
        <w:jc w:val="both"/>
        <w:rPr>
          <w:rFonts w:ascii="Arial" w:hAnsi="Arial" w:cs="Arial"/>
          <w:sz w:val="24"/>
          <w:szCs w:val="24"/>
        </w:rPr>
      </w:pPr>
      <w:r w:rsidRPr="005D5C9D">
        <w:rPr>
          <w:rFonts w:ascii="Arial" w:hAnsi="Arial" w:cs="Arial"/>
          <w:sz w:val="24"/>
          <w:szCs w:val="24"/>
        </w:rPr>
        <w:t xml:space="preserve">Osim </w:t>
      </w:r>
      <w:r>
        <w:rPr>
          <w:rFonts w:ascii="Arial" w:hAnsi="Arial" w:cs="Arial"/>
          <w:sz w:val="24"/>
          <w:szCs w:val="24"/>
        </w:rPr>
        <w:t>Z</w:t>
      </w:r>
      <w:r w:rsidRPr="005D5C9D">
        <w:rPr>
          <w:rFonts w:ascii="Arial" w:hAnsi="Arial" w:cs="Arial"/>
          <w:sz w:val="24"/>
          <w:szCs w:val="24"/>
        </w:rPr>
        <w:t xml:space="preserve">akona o Proračunu pri izradi Proračuna temelj čini i </w:t>
      </w:r>
      <w:r w:rsidRPr="005D5C9D">
        <w:rPr>
          <w:rFonts w:ascii="Arial" w:hAnsi="Arial" w:cs="Arial"/>
          <w:spacing w:val="3"/>
          <w:sz w:val="24"/>
          <w:szCs w:val="24"/>
        </w:rPr>
        <w:t>Pravilnik o planiranju u sustavu proračuna (</w:t>
      </w:r>
      <w:r w:rsidRPr="005D5C9D">
        <w:rPr>
          <w:rFonts w:ascii="Arial" w:hAnsi="Arial" w:cs="Arial"/>
          <w:sz w:val="24"/>
          <w:szCs w:val="24"/>
        </w:rPr>
        <w:t>„</w:t>
      </w:r>
      <w:r w:rsidRPr="005D5C9D">
        <w:rPr>
          <w:rFonts w:ascii="Arial" w:eastAsia="Arial" w:hAnsi="Arial" w:cs="Arial"/>
          <w:sz w:val="24"/>
          <w:szCs w:val="24"/>
        </w:rPr>
        <w:t>Narodne novine“</w:t>
      </w:r>
      <w:r w:rsidRPr="005D5C9D">
        <w:rPr>
          <w:rFonts w:ascii="Arial" w:hAnsi="Arial" w:cs="Arial"/>
          <w:spacing w:val="3"/>
          <w:sz w:val="24"/>
          <w:szCs w:val="24"/>
        </w:rPr>
        <w:t>, br. 1/24</w:t>
      </w:r>
      <w:r>
        <w:rPr>
          <w:rFonts w:ascii="Arial" w:hAnsi="Arial" w:cs="Arial"/>
          <w:spacing w:val="3"/>
          <w:sz w:val="24"/>
          <w:szCs w:val="24"/>
        </w:rPr>
        <w:t>.</w:t>
      </w:r>
      <w:r w:rsidRPr="005D5C9D">
        <w:rPr>
          <w:rFonts w:ascii="Arial" w:hAnsi="Arial" w:cs="Arial"/>
          <w:spacing w:val="3"/>
          <w:sz w:val="24"/>
          <w:szCs w:val="24"/>
        </w:rPr>
        <w:t>)</w:t>
      </w:r>
      <w:r w:rsidRPr="005D5C9D">
        <w:rPr>
          <w:rFonts w:ascii="Arial" w:hAnsi="Arial" w:cs="Arial"/>
          <w:sz w:val="24"/>
          <w:szCs w:val="24"/>
        </w:rPr>
        <w:t xml:space="preserve"> kojim se propisuje način primjene modificiranog novčanog načela, odnosno modificiranog obračunskog načela u postupku planiranja i izvršavanja proračuna i financijskog plana, izgled i sadržaj proračuna i financijskog plana, rebalansa proračuna i financijskog plana, njihova dostava i objava te uvjeti i pravila preraspodjele sredstava proračuna. </w:t>
      </w:r>
    </w:p>
    <w:p w14:paraId="7A923915" w14:textId="77777777" w:rsidR="00E541EE" w:rsidRPr="0090492B" w:rsidRDefault="00E541EE" w:rsidP="00E541EE">
      <w:pPr>
        <w:pStyle w:val="Odlomakpopisa"/>
        <w:ind w:left="0" w:firstLine="360"/>
        <w:jc w:val="both"/>
        <w:rPr>
          <w:color w:val="000000"/>
          <w:spacing w:val="3"/>
          <w:lang w:val="hr-HR"/>
        </w:rPr>
      </w:pPr>
    </w:p>
    <w:p w14:paraId="56A4DC54" w14:textId="77777777" w:rsidR="00E541EE" w:rsidRPr="00E542BE" w:rsidRDefault="00E541EE" w:rsidP="00E541EE">
      <w:pPr>
        <w:pStyle w:val="Odlomakpopisa"/>
        <w:ind w:left="0" w:firstLine="360"/>
        <w:jc w:val="both"/>
        <w:rPr>
          <w:lang w:val="hr-HR"/>
        </w:rPr>
      </w:pPr>
      <w:r w:rsidRPr="005D5C9D">
        <w:rPr>
          <w:color w:val="000000"/>
          <w:spacing w:val="3"/>
          <w:lang w:val="pl-PL"/>
        </w:rPr>
        <w:t>U planiranju proračuna i financijskih planova za 2026. i projekcija za 2027. i 2028. koristi se</w:t>
      </w:r>
      <w:r>
        <w:rPr>
          <w:color w:val="000000"/>
          <w:spacing w:val="3"/>
          <w:lang w:val="pl-PL"/>
        </w:rPr>
        <w:t xml:space="preserve"> </w:t>
      </w:r>
      <w:r w:rsidRPr="005D5C9D">
        <w:rPr>
          <w:color w:val="000000"/>
          <w:spacing w:val="3"/>
          <w:lang w:val="pl-PL"/>
        </w:rPr>
        <w:t>ekonomska klasifikacija propisana Pravilnikom o proračunskom računovodstvu i Računskom</w:t>
      </w:r>
      <w:r>
        <w:rPr>
          <w:color w:val="000000"/>
          <w:spacing w:val="3"/>
          <w:lang w:val="pl-PL"/>
        </w:rPr>
        <w:t xml:space="preserve"> </w:t>
      </w:r>
      <w:r w:rsidRPr="005D5C9D">
        <w:rPr>
          <w:color w:val="000000"/>
          <w:spacing w:val="3"/>
          <w:lang w:val="pl-PL"/>
        </w:rPr>
        <w:t>planu</w:t>
      </w:r>
      <w:r>
        <w:rPr>
          <w:color w:val="000000"/>
          <w:spacing w:val="3"/>
          <w:lang w:val="pl-PL"/>
        </w:rPr>
        <w:t>, te je u</w:t>
      </w:r>
      <w:r w:rsidRPr="005D5C9D">
        <w:rPr>
          <w:color w:val="000000"/>
          <w:spacing w:val="3"/>
          <w:lang w:val="pl-PL"/>
        </w:rPr>
        <w:t xml:space="preserve"> Uputama za izradu proračuna jedinica lokalne i područne (regionalne) samouprave</w:t>
      </w:r>
      <w:r>
        <w:rPr>
          <w:color w:val="000000"/>
          <w:spacing w:val="3"/>
          <w:lang w:val="pl-PL"/>
        </w:rPr>
        <w:t xml:space="preserve"> </w:t>
      </w:r>
      <w:r w:rsidRPr="005D5C9D">
        <w:rPr>
          <w:color w:val="000000"/>
          <w:spacing w:val="3"/>
          <w:lang w:val="pl-PL"/>
        </w:rPr>
        <w:t>za razdoblje 202</w:t>
      </w:r>
      <w:r>
        <w:rPr>
          <w:color w:val="000000"/>
          <w:spacing w:val="3"/>
          <w:lang w:val="pl-PL"/>
        </w:rPr>
        <w:t>6</w:t>
      </w:r>
      <w:r w:rsidRPr="005D5C9D">
        <w:rPr>
          <w:color w:val="000000"/>
          <w:spacing w:val="3"/>
          <w:lang w:val="pl-PL"/>
        </w:rPr>
        <w:t>. - 202</w:t>
      </w:r>
      <w:r>
        <w:rPr>
          <w:color w:val="000000"/>
          <w:spacing w:val="3"/>
          <w:lang w:val="pl-PL"/>
        </w:rPr>
        <w:t>8</w:t>
      </w:r>
      <w:r w:rsidRPr="005D5C9D">
        <w:rPr>
          <w:color w:val="000000"/>
          <w:spacing w:val="3"/>
          <w:lang w:val="pl-PL"/>
        </w:rPr>
        <w:t>. dan detaljan prikaz izmjena računskog plana za potrebe procesa</w:t>
      </w:r>
      <w:r>
        <w:rPr>
          <w:color w:val="000000"/>
          <w:spacing w:val="3"/>
          <w:lang w:val="pl-PL"/>
        </w:rPr>
        <w:t xml:space="preserve"> </w:t>
      </w:r>
      <w:r w:rsidRPr="005D5C9D">
        <w:rPr>
          <w:color w:val="000000"/>
          <w:spacing w:val="3"/>
          <w:lang w:val="hr-HR"/>
        </w:rPr>
        <w:t>izrade proračuna i financijskih planova za razdoblje 202</w:t>
      </w:r>
      <w:r>
        <w:rPr>
          <w:color w:val="000000"/>
          <w:spacing w:val="3"/>
          <w:lang w:val="hr-HR"/>
        </w:rPr>
        <w:t>6</w:t>
      </w:r>
      <w:r w:rsidRPr="005D5C9D">
        <w:rPr>
          <w:color w:val="000000"/>
          <w:spacing w:val="3"/>
          <w:lang w:val="hr-HR"/>
        </w:rPr>
        <w:t>.- 202</w:t>
      </w:r>
      <w:r>
        <w:rPr>
          <w:color w:val="000000"/>
          <w:spacing w:val="3"/>
          <w:lang w:val="hr-HR"/>
        </w:rPr>
        <w:t>8</w:t>
      </w:r>
      <w:r w:rsidRPr="005D5C9D">
        <w:rPr>
          <w:color w:val="000000"/>
          <w:spacing w:val="3"/>
          <w:lang w:val="hr-HR"/>
        </w:rPr>
        <w:t>. u odnosu na do tada važeći</w:t>
      </w:r>
      <w:r>
        <w:rPr>
          <w:color w:val="000000"/>
          <w:spacing w:val="3"/>
          <w:lang w:val="hr-HR"/>
        </w:rPr>
        <w:t xml:space="preserve"> Pravilnik o proračunskom računovodstvu i Računskom planu („Narodne novine“, br. 158/23 i 154/24.).</w:t>
      </w:r>
    </w:p>
    <w:p w14:paraId="0DA56C8B" w14:textId="77777777" w:rsidR="00E541EE" w:rsidRPr="00190B33" w:rsidRDefault="00E541EE" w:rsidP="00E541EE">
      <w:pPr>
        <w:pStyle w:val="Odlomakpopisa"/>
        <w:ind w:left="0" w:firstLine="360"/>
        <w:jc w:val="both"/>
        <w:rPr>
          <w:spacing w:val="3"/>
          <w:lang w:val="hr-HR"/>
        </w:rPr>
      </w:pPr>
    </w:p>
    <w:p w14:paraId="1E41C4CC" w14:textId="77777777" w:rsidR="00E541EE" w:rsidRPr="00190B33" w:rsidRDefault="00E541EE" w:rsidP="00E541EE">
      <w:pPr>
        <w:pStyle w:val="Odlomakpopisa"/>
        <w:ind w:left="0" w:firstLine="360"/>
        <w:jc w:val="both"/>
        <w:rPr>
          <w:lang w:val="hr-HR"/>
        </w:rPr>
      </w:pPr>
      <w:r w:rsidRPr="00190B33">
        <w:rPr>
          <w:spacing w:val="3"/>
          <w:lang w:val="hr-HR"/>
        </w:rPr>
        <w:t>Ujedno, za razdoblje 2025. - 2027. u primjeni je Pravilnik o korištenju sredstava Europske unije (</w:t>
      </w:r>
      <w:r>
        <w:rPr>
          <w:spacing w:val="3"/>
          <w:lang w:val="hr-HR"/>
        </w:rPr>
        <w:t>„</w:t>
      </w:r>
      <w:r w:rsidRPr="00190B33">
        <w:rPr>
          <w:spacing w:val="3"/>
          <w:lang w:val="hr-HR"/>
        </w:rPr>
        <w:t>Narodne novine</w:t>
      </w:r>
      <w:r>
        <w:rPr>
          <w:spacing w:val="3"/>
          <w:lang w:val="hr-HR"/>
        </w:rPr>
        <w:t>“</w:t>
      </w:r>
      <w:r w:rsidRPr="00190B33">
        <w:rPr>
          <w:spacing w:val="3"/>
          <w:lang w:val="hr-HR"/>
        </w:rPr>
        <w:t>, br. 44/24.) koji propisuje način planiranja i izvršavanja sredstava Europske unije, povrat sredstava i evidentiranje i izvještavanje o sredstvima Europske unije u Republici Hrvatskoj.</w:t>
      </w:r>
    </w:p>
    <w:p w14:paraId="5C2797B4" w14:textId="77777777" w:rsidR="00E541EE" w:rsidRPr="00190B33" w:rsidRDefault="00E541EE" w:rsidP="00E541EE">
      <w:pPr>
        <w:ind w:firstLine="708"/>
        <w:jc w:val="both"/>
        <w:rPr>
          <w:rFonts w:ascii="Arial" w:hAnsi="Arial" w:cs="Arial"/>
          <w:sz w:val="24"/>
          <w:szCs w:val="24"/>
        </w:rPr>
      </w:pPr>
    </w:p>
    <w:p w14:paraId="75F3CD2C" w14:textId="77777777" w:rsidR="00E541EE" w:rsidRPr="00190B33" w:rsidRDefault="00E541EE" w:rsidP="00E541EE">
      <w:pPr>
        <w:ind w:firstLine="360"/>
        <w:jc w:val="both"/>
        <w:rPr>
          <w:rFonts w:ascii="Arial" w:hAnsi="Arial" w:cs="Arial"/>
          <w:sz w:val="24"/>
          <w:szCs w:val="24"/>
        </w:rPr>
      </w:pPr>
      <w:r w:rsidRPr="00190B33">
        <w:rPr>
          <w:rFonts w:ascii="Arial" w:hAnsi="Arial" w:cs="Arial"/>
          <w:sz w:val="24"/>
          <w:szCs w:val="24"/>
        </w:rPr>
        <w:t>Jedinice lokalne i područne (regionalne) samouprave i proračunski i izvanproračunski korisnici istih obvezni su izrađivati proračune i financijske planove u skladu s odredbama Zakona o proračunu i prethodno navedenim podzakonskim aktima te se pridržavati i Upute za izradu proračuna jedinica lokalne i područne (regionalne) samouprave za razdoblje 2026. - 2028. donesene od strane Ministarstva financija u listopadu 2025. godine.</w:t>
      </w:r>
    </w:p>
    <w:p w14:paraId="251309B2" w14:textId="77777777" w:rsidR="00E541EE" w:rsidRPr="00F17500" w:rsidRDefault="00E541EE" w:rsidP="00E541EE">
      <w:pPr>
        <w:jc w:val="both"/>
        <w:rPr>
          <w:rFonts w:ascii="Arial" w:hAnsi="Arial" w:cs="Arial"/>
          <w:sz w:val="24"/>
          <w:szCs w:val="24"/>
        </w:rPr>
      </w:pPr>
    </w:p>
    <w:p w14:paraId="6667BD1D" w14:textId="77777777" w:rsidR="00E541EE" w:rsidRDefault="00E541EE" w:rsidP="00E541EE">
      <w:pPr>
        <w:tabs>
          <w:tab w:val="left" w:pos="709"/>
        </w:tabs>
        <w:autoSpaceDE w:val="0"/>
        <w:autoSpaceDN w:val="0"/>
        <w:adjustRightInd w:val="0"/>
        <w:jc w:val="both"/>
        <w:rPr>
          <w:rFonts w:ascii="Arial" w:hAnsi="Arial" w:cs="Arial"/>
          <w:noProof/>
          <w:sz w:val="24"/>
          <w:szCs w:val="24"/>
        </w:rPr>
      </w:pPr>
      <w:r>
        <w:rPr>
          <w:rFonts w:ascii="Arial" w:hAnsi="Arial" w:cs="Arial"/>
          <w:noProof/>
          <w:sz w:val="24"/>
          <w:szCs w:val="24"/>
        </w:rPr>
        <w:tab/>
        <w:t>Na donošenje ovogodišnje Upute u listopadu 2025.</w:t>
      </w:r>
      <w:r w:rsidRPr="00732824">
        <w:rPr>
          <w:rFonts w:ascii="Arial" w:hAnsi="Arial" w:cs="Arial"/>
          <w:noProof/>
          <w:sz w:val="24"/>
          <w:szCs w:val="24"/>
        </w:rPr>
        <w:t xml:space="preserve"> </w:t>
      </w:r>
      <w:r>
        <w:rPr>
          <w:rFonts w:ascii="Arial" w:hAnsi="Arial" w:cs="Arial"/>
          <w:noProof/>
          <w:sz w:val="24"/>
          <w:szCs w:val="24"/>
        </w:rPr>
        <w:t xml:space="preserve">godine </w:t>
      </w:r>
      <w:r w:rsidRPr="00732824">
        <w:rPr>
          <w:rFonts w:ascii="Arial" w:hAnsi="Arial" w:cs="Arial"/>
          <w:noProof/>
          <w:sz w:val="24"/>
          <w:szCs w:val="24"/>
        </w:rPr>
        <w:t>utjecal</w:t>
      </w:r>
      <w:r>
        <w:rPr>
          <w:rFonts w:ascii="Arial" w:hAnsi="Arial" w:cs="Arial"/>
          <w:noProof/>
          <w:sz w:val="24"/>
          <w:szCs w:val="24"/>
        </w:rPr>
        <w:t>o</w:t>
      </w:r>
      <w:r w:rsidRPr="00732824">
        <w:rPr>
          <w:rFonts w:ascii="Arial" w:hAnsi="Arial" w:cs="Arial"/>
          <w:noProof/>
          <w:sz w:val="24"/>
          <w:szCs w:val="24"/>
        </w:rPr>
        <w:t xml:space="preserve"> je donošenje odluka Vijeća Europske</w:t>
      </w:r>
      <w:r>
        <w:rPr>
          <w:rFonts w:ascii="Arial" w:hAnsi="Arial" w:cs="Arial"/>
          <w:noProof/>
          <w:sz w:val="24"/>
          <w:szCs w:val="24"/>
        </w:rPr>
        <w:t xml:space="preserve"> </w:t>
      </w:r>
      <w:r w:rsidRPr="00732824">
        <w:rPr>
          <w:rFonts w:ascii="Arial" w:hAnsi="Arial" w:cs="Arial"/>
          <w:noProof/>
          <w:sz w:val="24"/>
          <w:szCs w:val="24"/>
        </w:rPr>
        <w:t>unije vezan</w:t>
      </w:r>
      <w:r>
        <w:rPr>
          <w:rFonts w:ascii="Arial" w:hAnsi="Arial" w:cs="Arial"/>
          <w:noProof/>
          <w:sz w:val="24"/>
          <w:szCs w:val="24"/>
        </w:rPr>
        <w:t>ih</w:t>
      </w:r>
      <w:r w:rsidRPr="00732824">
        <w:rPr>
          <w:rFonts w:ascii="Arial" w:hAnsi="Arial" w:cs="Arial"/>
          <w:noProof/>
          <w:sz w:val="24"/>
          <w:szCs w:val="24"/>
        </w:rPr>
        <w:t xml:space="preserve"> uz revidiranje prioriteta kohezijske politike. Naime, Vijeće Europske unije </w:t>
      </w:r>
      <w:r>
        <w:rPr>
          <w:rFonts w:ascii="Arial" w:hAnsi="Arial" w:cs="Arial"/>
          <w:noProof/>
          <w:sz w:val="24"/>
          <w:szCs w:val="24"/>
        </w:rPr>
        <w:t xml:space="preserve">dana </w:t>
      </w:r>
      <w:r w:rsidRPr="00732824">
        <w:rPr>
          <w:rFonts w:ascii="Arial" w:hAnsi="Arial" w:cs="Arial"/>
          <w:noProof/>
          <w:sz w:val="24"/>
          <w:szCs w:val="24"/>
        </w:rPr>
        <w:t>18.</w:t>
      </w:r>
      <w:r>
        <w:rPr>
          <w:rFonts w:ascii="Arial" w:hAnsi="Arial" w:cs="Arial"/>
          <w:noProof/>
          <w:sz w:val="24"/>
          <w:szCs w:val="24"/>
        </w:rPr>
        <w:t xml:space="preserve"> </w:t>
      </w:r>
      <w:r w:rsidRPr="00732824">
        <w:rPr>
          <w:rFonts w:ascii="Arial" w:hAnsi="Arial" w:cs="Arial"/>
          <w:noProof/>
          <w:sz w:val="24"/>
          <w:szCs w:val="24"/>
        </w:rPr>
        <w:t>rujna 2025. odobrilo je promjene propisa koji reguliraju kohezijsku politiku kako bi se olakšalo</w:t>
      </w:r>
      <w:r>
        <w:rPr>
          <w:rFonts w:ascii="Arial" w:hAnsi="Arial" w:cs="Arial"/>
          <w:noProof/>
          <w:sz w:val="24"/>
          <w:szCs w:val="24"/>
        </w:rPr>
        <w:t xml:space="preserve"> </w:t>
      </w:r>
      <w:r w:rsidRPr="00732824">
        <w:rPr>
          <w:rFonts w:ascii="Arial" w:hAnsi="Arial" w:cs="Arial"/>
          <w:noProof/>
          <w:sz w:val="24"/>
          <w:szCs w:val="24"/>
        </w:rPr>
        <w:t>preusmjeravanje tih sredstava u nove prioritete, posebice u obranu, sigurnost, civilnu zaštitu,</w:t>
      </w:r>
      <w:r>
        <w:rPr>
          <w:rFonts w:ascii="Arial" w:hAnsi="Arial" w:cs="Arial"/>
          <w:noProof/>
          <w:sz w:val="24"/>
          <w:szCs w:val="24"/>
        </w:rPr>
        <w:t xml:space="preserve"> </w:t>
      </w:r>
      <w:r w:rsidRPr="00732824">
        <w:rPr>
          <w:rFonts w:ascii="Arial" w:hAnsi="Arial" w:cs="Arial"/>
          <w:noProof/>
          <w:sz w:val="24"/>
          <w:szCs w:val="24"/>
        </w:rPr>
        <w:t>održivo upravljanje vodama, pristupačno stanovanje, konkurentnost i dekarbonizaciju te</w:t>
      </w:r>
      <w:r>
        <w:rPr>
          <w:rFonts w:ascii="Arial" w:hAnsi="Arial" w:cs="Arial"/>
          <w:noProof/>
          <w:sz w:val="24"/>
          <w:szCs w:val="24"/>
        </w:rPr>
        <w:t xml:space="preserve"> </w:t>
      </w:r>
      <w:r w:rsidRPr="00732824">
        <w:rPr>
          <w:rFonts w:ascii="Arial" w:hAnsi="Arial" w:cs="Arial"/>
          <w:noProof/>
          <w:sz w:val="24"/>
          <w:szCs w:val="24"/>
        </w:rPr>
        <w:t>energetsku tranziciju. Promjene obuhvaćaju uredbe o Europskom fondu za regionalni razvoj</w:t>
      </w:r>
      <w:r>
        <w:rPr>
          <w:rFonts w:ascii="Arial" w:hAnsi="Arial" w:cs="Arial"/>
          <w:noProof/>
          <w:sz w:val="24"/>
          <w:szCs w:val="24"/>
        </w:rPr>
        <w:t xml:space="preserve"> </w:t>
      </w:r>
      <w:r w:rsidRPr="00732824">
        <w:rPr>
          <w:rFonts w:ascii="Arial" w:hAnsi="Arial" w:cs="Arial"/>
          <w:noProof/>
          <w:sz w:val="24"/>
          <w:szCs w:val="24"/>
        </w:rPr>
        <w:t>(EFRR) i Kohezijskom fondu te o Fondu za pravednu tranziciju (FPT) i Uredbu o Europskom</w:t>
      </w:r>
      <w:r>
        <w:rPr>
          <w:rFonts w:ascii="Arial" w:hAnsi="Arial" w:cs="Arial"/>
          <w:noProof/>
          <w:sz w:val="24"/>
          <w:szCs w:val="24"/>
        </w:rPr>
        <w:t xml:space="preserve"> </w:t>
      </w:r>
      <w:r w:rsidRPr="00732824">
        <w:rPr>
          <w:rFonts w:ascii="Arial" w:hAnsi="Arial" w:cs="Arial"/>
          <w:noProof/>
          <w:sz w:val="24"/>
          <w:szCs w:val="24"/>
        </w:rPr>
        <w:t>socijalnom fondu plus (ESF+). Slijedom navedenog, poseban naglasak kod izrade proračuna za</w:t>
      </w:r>
      <w:r>
        <w:rPr>
          <w:rFonts w:ascii="Arial" w:hAnsi="Arial" w:cs="Arial"/>
          <w:noProof/>
          <w:sz w:val="24"/>
          <w:szCs w:val="24"/>
        </w:rPr>
        <w:t xml:space="preserve"> </w:t>
      </w:r>
      <w:r w:rsidRPr="00732824">
        <w:rPr>
          <w:rFonts w:ascii="Arial" w:hAnsi="Arial" w:cs="Arial"/>
          <w:noProof/>
          <w:sz w:val="24"/>
          <w:szCs w:val="24"/>
        </w:rPr>
        <w:t xml:space="preserve">razdoblje 2026. </w:t>
      </w:r>
      <w:r>
        <w:rPr>
          <w:rFonts w:ascii="Arial" w:hAnsi="Arial" w:cs="Arial"/>
          <w:noProof/>
          <w:sz w:val="24"/>
          <w:szCs w:val="24"/>
        </w:rPr>
        <w:t>-</w:t>
      </w:r>
      <w:r w:rsidRPr="00732824">
        <w:rPr>
          <w:rFonts w:ascii="Arial" w:hAnsi="Arial" w:cs="Arial"/>
          <w:noProof/>
          <w:sz w:val="24"/>
          <w:szCs w:val="24"/>
        </w:rPr>
        <w:t xml:space="preserve"> 2028. stavlja se upravo na preusmjeravanje financiranja provedbe projekata</w:t>
      </w:r>
      <w:r>
        <w:rPr>
          <w:rFonts w:ascii="Arial" w:hAnsi="Arial" w:cs="Arial"/>
          <w:noProof/>
          <w:sz w:val="24"/>
          <w:szCs w:val="24"/>
        </w:rPr>
        <w:t xml:space="preserve"> </w:t>
      </w:r>
      <w:r w:rsidRPr="00732824">
        <w:rPr>
          <w:rFonts w:ascii="Arial" w:hAnsi="Arial" w:cs="Arial"/>
          <w:noProof/>
          <w:sz w:val="24"/>
          <w:szCs w:val="24"/>
        </w:rPr>
        <w:t>sa nacionalnih izvora na EU bespovratne izvore financiranja.</w:t>
      </w:r>
    </w:p>
    <w:p w14:paraId="34CEFE5E" w14:textId="77777777" w:rsidR="00E541EE" w:rsidRDefault="00E541EE" w:rsidP="00E541EE">
      <w:pPr>
        <w:tabs>
          <w:tab w:val="left" w:pos="709"/>
        </w:tabs>
        <w:autoSpaceDE w:val="0"/>
        <w:autoSpaceDN w:val="0"/>
        <w:adjustRightInd w:val="0"/>
        <w:jc w:val="both"/>
        <w:rPr>
          <w:rFonts w:ascii="Arial" w:hAnsi="Arial" w:cs="Arial"/>
          <w:noProof/>
          <w:sz w:val="24"/>
          <w:szCs w:val="24"/>
        </w:rPr>
      </w:pPr>
    </w:p>
    <w:p w14:paraId="04012728" w14:textId="77777777" w:rsidR="00E541EE" w:rsidRPr="004D1DCE" w:rsidRDefault="00E541EE" w:rsidP="00E541EE">
      <w:pPr>
        <w:spacing w:after="160" w:line="259" w:lineRule="auto"/>
        <w:ind w:firstLine="708"/>
        <w:jc w:val="both"/>
        <w:rPr>
          <w:rFonts w:ascii="Arial" w:hAnsi="Arial" w:cs="Arial"/>
          <w:sz w:val="24"/>
          <w:szCs w:val="24"/>
        </w:rPr>
      </w:pPr>
      <w:r w:rsidRPr="004D1DCE">
        <w:rPr>
          <w:rFonts w:ascii="Arial" w:hAnsi="Arial" w:cs="Arial"/>
          <w:sz w:val="24"/>
          <w:szCs w:val="24"/>
        </w:rPr>
        <w:t>Prema usvojenom Nacrtu proračunskog plana Republike Hrvatske za 2026. godinu, Vlada je predvidjela da bi gospodarski rast u 2026. trebao iznositi 2,7 posto, inflacija 2,8 posto, a proračunski manjak 2,9 posto BDP-a, uz nastavak pada javnog duga na 56 posto BDP-a.</w:t>
      </w:r>
      <w:r>
        <w:rPr>
          <w:rFonts w:ascii="Arial" w:hAnsi="Arial" w:cs="Arial"/>
          <w:sz w:val="24"/>
          <w:szCs w:val="24"/>
        </w:rPr>
        <w:t xml:space="preserve"> </w:t>
      </w:r>
      <w:r w:rsidRPr="004D1DCE">
        <w:rPr>
          <w:rFonts w:ascii="Arial" w:hAnsi="Arial" w:cs="Arial"/>
          <w:sz w:val="24"/>
          <w:szCs w:val="24"/>
        </w:rPr>
        <w:t xml:space="preserve">Što se tiče komponenti gospodarskog rasta, on </w:t>
      </w:r>
      <w:r>
        <w:rPr>
          <w:rFonts w:ascii="Arial" w:hAnsi="Arial" w:cs="Arial"/>
          <w:sz w:val="24"/>
          <w:szCs w:val="24"/>
        </w:rPr>
        <w:t>je u</w:t>
      </w:r>
      <w:r w:rsidRPr="004D1DCE">
        <w:rPr>
          <w:rFonts w:ascii="Arial" w:hAnsi="Arial" w:cs="Arial"/>
          <w:sz w:val="24"/>
          <w:szCs w:val="24"/>
        </w:rPr>
        <w:t>temeljen prije svega, na doprinosu domaće potražnje, prvenstveno osobne potrošnje, ali i državne potrošnje i bruto investicija u fiksni kapital.</w:t>
      </w:r>
      <w:r>
        <w:rPr>
          <w:rFonts w:ascii="Arial" w:hAnsi="Arial" w:cs="Arial"/>
          <w:sz w:val="24"/>
          <w:szCs w:val="24"/>
        </w:rPr>
        <w:t xml:space="preserve"> </w:t>
      </w:r>
      <w:r w:rsidRPr="004D1DCE">
        <w:rPr>
          <w:rFonts w:ascii="Arial" w:hAnsi="Arial" w:cs="Arial"/>
          <w:sz w:val="24"/>
          <w:szCs w:val="24"/>
        </w:rPr>
        <w:t>Realni rast BDP-a u 2026. bit će ostvaren isključivo pod utjecajem domaće potražnje, dok će doprinos inozemne neto potražnje ostati negativan, iako znatno slabiji nego u 2025., a doprinos promjena zaliha bit će neutralan. </w:t>
      </w:r>
    </w:p>
    <w:p w14:paraId="3B47D630" w14:textId="77777777" w:rsidR="00E541EE" w:rsidRDefault="00E541EE" w:rsidP="00E541EE">
      <w:pPr>
        <w:spacing w:after="160" w:line="259" w:lineRule="auto"/>
        <w:ind w:firstLine="708"/>
        <w:jc w:val="both"/>
        <w:rPr>
          <w:rFonts w:ascii="Arial" w:hAnsi="Arial" w:cs="Arial"/>
          <w:sz w:val="24"/>
          <w:szCs w:val="24"/>
        </w:rPr>
      </w:pPr>
      <w:r w:rsidRPr="00935550">
        <w:rPr>
          <w:rFonts w:ascii="Arial" w:hAnsi="Arial" w:cs="Arial"/>
          <w:sz w:val="24"/>
          <w:szCs w:val="24"/>
        </w:rPr>
        <w:t xml:space="preserve">Što se tiče </w:t>
      </w:r>
      <w:r w:rsidRPr="004D1DCE">
        <w:rPr>
          <w:rFonts w:ascii="Arial" w:hAnsi="Arial" w:cs="Arial"/>
          <w:sz w:val="24"/>
          <w:szCs w:val="24"/>
        </w:rPr>
        <w:t>stop</w:t>
      </w:r>
      <w:r w:rsidRPr="00935550">
        <w:rPr>
          <w:rFonts w:ascii="Arial" w:hAnsi="Arial" w:cs="Arial"/>
          <w:sz w:val="24"/>
          <w:szCs w:val="24"/>
        </w:rPr>
        <w:t>e</w:t>
      </w:r>
      <w:r w:rsidRPr="004D1DCE">
        <w:rPr>
          <w:rFonts w:ascii="Arial" w:hAnsi="Arial" w:cs="Arial"/>
          <w:sz w:val="24"/>
          <w:szCs w:val="24"/>
        </w:rPr>
        <w:t xml:space="preserve"> nezaposlenosti kretat će se otprilike na razini od oko pet posto, a nominalni rast bruto plaća zaposlenih u pravnim osobama usporit će s 10,4 posto ove godine na 5,8 posto u sljedećoj godini, iako će i </w:t>
      </w:r>
      <w:r w:rsidRPr="00935550">
        <w:rPr>
          <w:rFonts w:ascii="Arial" w:hAnsi="Arial" w:cs="Arial"/>
          <w:sz w:val="24"/>
          <w:szCs w:val="24"/>
        </w:rPr>
        <w:t xml:space="preserve">je i </w:t>
      </w:r>
      <w:r w:rsidRPr="004D1DCE">
        <w:rPr>
          <w:rFonts w:ascii="Arial" w:hAnsi="Arial" w:cs="Arial"/>
          <w:sz w:val="24"/>
          <w:szCs w:val="24"/>
        </w:rPr>
        <w:t>dalje karakterizirati relativno snažna dinamika velikim dijelom uslijed manjkova na tržištu rada.</w:t>
      </w:r>
      <w:r w:rsidRPr="00935550">
        <w:rPr>
          <w:rFonts w:ascii="Arial" w:hAnsi="Arial" w:cs="Arial"/>
          <w:sz w:val="24"/>
          <w:szCs w:val="24"/>
        </w:rPr>
        <w:t xml:space="preserve"> </w:t>
      </w:r>
      <w:r w:rsidRPr="004D1DCE">
        <w:rPr>
          <w:rFonts w:ascii="Arial" w:hAnsi="Arial" w:cs="Arial"/>
          <w:sz w:val="24"/>
          <w:szCs w:val="24"/>
        </w:rPr>
        <w:t>Inflacija bi trebala usporiti, i to s 3,7 posto u 2025. na 2,8 posto u 2026. godini.</w:t>
      </w:r>
      <w:r w:rsidRPr="00935550">
        <w:rPr>
          <w:rFonts w:ascii="Arial" w:hAnsi="Arial" w:cs="Arial"/>
          <w:sz w:val="24"/>
          <w:szCs w:val="24"/>
        </w:rPr>
        <w:t xml:space="preserve"> </w:t>
      </w:r>
      <w:r w:rsidRPr="004D1DCE">
        <w:rPr>
          <w:rFonts w:ascii="Arial" w:hAnsi="Arial" w:cs="Arial"/>
          <w:sz w:val="24"/>
          <w:szCs w:val="24"/>
        </w:rPr>
        <w:t>Što se tiče fiskalnog okvira, naveo je kako će 2026. godinu obilježiti kretanje prihoda u skladu s projiciranim gospodarskim rastom, dok će rashodna strana biti određena osiguravanjem adekvatnog standarda građana, posebice ranjivih slojeva, te poticanjem okružja za zasnivanje obitelji i kvalitetu života.</w:t>
      </w:r>
    </w:p>
    <w:p w14:paraId="4DF0D32B" w14:textId="77777777" w:rsidR="00E541EE" w:rsidRPr="004D1DCE" w:rsidRDefault="00E541EE" w:rsidP="00E541EE">
      <w:pPr>
        <w:spacing w:after="160" w:line="259" w:lineRule="auto"/>
        <w:ind w:firstLine="708"/>
        <w:jc w:val="both"/>
        <w:rPr>
          <w:rFonts w:ascii="Arial" w:hAnsi="Arial" w:cs="Arial"/>
          <w:sz w:val="24"/>
          <w:szCs w:val="24"/>
        </w:rPr>
      </w:pPr>
      <w:r w:rsidRPr="00935550">
        <w:rPr>
          <w:rFonts w:ascii="Arial" w:hAnsi="Arial" w:cs="Arial"/>
          <w:sz w:val="24"/>
          <w:szCs w:val="24"/>
        </w:rPr>
        <w:t>Inflacija bi u 2025. u prosjeku mogla biti nešto veća u odnosu na 2024., zbog rasta cijena energije i hrane, a temeljna bi se inflacija mogla nastaviti usporavati. U 2026. se očekuje usporavanje rasta cijena s obzirom na nižu inflaciju svih glavnih komponenata. </w:t>
      </w:r>
    </w:p>
    <w:p w14:paraId="2AE1E965" w14:textId="77777777" w:rsidR="00E541EE" w:rsidRPr="00E541EE" w:rsidRDefault="00E541EE" w:rsidP="00E541EE">
      <w:pPr>
        <w:spacing w:after="160" w:line="259" w:lineRule="auto"/>
        <w:ind w:firstLine="708"/>
        <w:jc w:val="both"/>
        <w:rPr>
          <w:rFonts w:ascii="Arial" w:hAnsi="Arial" w:cs="Arial"/>
          <w:sz w:val="24"/>
          <w:szCs w:val="24"/>
        </w:rPr>
      </w:pPr>
      <w:r w:rsidRPr="004D1DCE">
        <w:rPr>
          <w:rFonts w:ascii="Arial" w:hAnsi="Arial" w:cs="Arial"/>
          <w:sz w:val="24"/>
          <w:szCs w:val="24"/>
        </w:rPr>
        <w:t>Vlada očekuje da će investicijska dinamika u</w:t>
      </w:r>
      <w:r>
        <w:rPr>
          <w:rFonts w:ascii="Arial" w:hAnsi="Arial" w:cs="Arial"/>
          <w:sz w:val="24"/>
          <w:szCs w:val="24"/>
        </w:rPr>
        <w:t xml:space="preserve"> </w:t>
      </w:r>
      <w:r w:rsidRPr="004D1DCE">
        <w:rPr>
          <w:rFonts w:ascii="Arial" w:hAnsi="Arial" w:cs="Arial"/>
          <w:sz w:val="24"/>
          <w:szCs w:val="24"/>
        </w:rPr>
        <w:t>znatnoj mjeri biti poduprta europskim sredstvima kao i do sada, poglavito iz mehanizma za oporavak i otpornost, ali isto tako i sredstvima višegodišnjeg financijskog okvira 2021.</w:t>
      </w:r>
      <w:r>
        <w:rPr>
          <w:rFonts w:ascii="Arial" w:hAnsi="Arial" w:cs="Arial"/>
          <w:sz w:val="24"/>
          <w:szCs w:val="24"/>
        </w:rPr>
        <w:t xml:space="preserve"> -</w:t>
      </w:r>
      <w:r w:rsidRPr="004D1DCE">
        <w:rPr>
          <w:rFonts w:ascii="Arial" w:hAnsi="Arial" w:cs="Arial"/>
          <w:sz w:val="24"/>
          <w:szCs w:val="24"/>
        </w:rPr>
        <w:t> </w:t>
      </w:r>
      <w:r>
        <w:rPr>
          <w:rFonts w:ascii="Arial" w:hAnsi="Arial" w:cs="Arial"/>
          <w:sz w:val="24"/>
          <w:szCs w:val="24"/>
        </w:rPr>
        <w:t xml:space="preserve"> </w:t>
      </w:r>
      <w:r w:rsidRPr="004D1DCE">
        <w:rPr>
          <w:rFonts w:ascii="Arial" w:hAnsi="Arial" w:cs="Arial"/>
          <w:sz w:val="24"/>
          <w:szCs w:val="24"/>
        </w:rPr>
        <w:t>2027. Riječ je o ulaganjima u obrazovnu, zdravstvenu infrastrukturu, isto tako i u prometnu i komunalnu infrastrukturu, te općenito u energetiku, energetske projekte i projekte vezane uz digitalizaciju.</w:t>
      </w:r>
    </w:p>
    <w:p w14:paraId="37C39A30" w14:textId="77777777" w:rsidR="00E541EE" w:rsidRPr="00494167" w:rsidRDefault="00E541EE" w:rsidP="00E541EE">
      <w:pPr>
        <w:spacing w:after="160" w:line="259" w:lineRule="auto"/>
        <w:ind w:left="-284" w:right="-142" w:firstLine="284"/>
        <w:jc w:val="both"/>
        <w:rPr>
          <w:rFonts w:ascii="Arial" w:hAnsi="Arial" w:cs="Arial"/>
          <w:b/>
          <w:bCs/>
          <w:sz w:val="24"/>
          <w:szCs w:val="24"/>
        </w:rPr>
      </w:pPr>
      <w:r w:rsidRPr="00494167">
        <w:rPr>
          <w:rFonts w:ascii="Arial" w:hAnsi="Arial" w:cs="Arial"/>
          <w:b/>
          <w:bCs/>
          <w:sz w:val="24"/>
          <w:szCs w:val="24"/>
        </w:rPr>
        <w:t>Tablica makroekonomskih pokazatelja za Hrvatsku</w:t>
      </w:r>
    </w:p>
    <w:tbl>
      <w:tblPr>
        <w:tblW w:w="5005" w:type="pct"/>
        <w:tblInd w:w="-5" w:type="dxa"/>
        <w:tblLook w:val="04A0" w:firstRow="1" w:lastRow="0" w:firstColumn="1" w:lastColumn="0" w:noHBand="0" w:noVBand="1"/>
      </w:tblPr>
      <w:tblGrid>
        <w:gridCol w:w="4842"/>
        <w:gridCol w:w="808"/>
        <w:gridCol w:w="926"/>
        <w:gridCol w:w="917"/>
        <w:gridCol w:w="834"/>
        <w:gridCol w:w="937"/>
        <w:gridCol w:w="1101"/>
      </w:tblGrid>
      <w:tr w:rsidR="00E541EE" w:rsidRPr="00AE6ACF" w14:paraId="4362DA14" w14:textId="77777777" w:rsidTr="00E541EE">
        <w:trPr>
          <w:trHeight w:val="835"/>
        </w:trPr>
        <w:tc>
          <w:tcPr>
            <w:tcW w:w="2336" w:type="pct"/>
            <w:tcBorders>
              <w:top w:val="single" w:sz="4" w:space="0" w:color="auto"/>
              <w:left w:val="single" w:sz="4" w:space="0" w:color="auto"/>
              <w:bottom w:val="nil"/>
              <w:right w:val="nil"/>
            </w:tcBorders>
            <w:shd w:val="clear" w:color="auto" w:fill="D6E1F2"/>
            <w:noWrap/>
            <w:vAlign w:val="bottom"/>
            <w:hideMark/>
          </w:tcPr>
          <w:p w14:paraId="65FEFCC0" w14:textId="77777777" w:rsidR="00E541EE" w:rsidRPr="006D3994" w:rsidRDefault="00E541EE" w:rsidP="00A84BB5">
            <w:pPr>
              <w:rPr>
                <w:rFonts w:ascii="Arial" w:eastAsia="Times New Roman" w:hAnsi="Arial" w:cs="Arial"/>
                <w:b/>
                <w:bCs/>
                <w:sz w:val="20"/>
              </w:rPr>
            </w:pPr>
            <w:r w:rsidRPr="006D3994">
              <w:rPr>
                <w:rFonts w:ascii="Arial" w:eastAsia="Times New Roman" w:hAnsi="Arial" w:cs="Arial"/>
                <w:b/>
                <w:bCs/>
                <w:sz w:val="20"/>
              </w:rPr>
              <w:t> </w:t>
            </w:r>
          </w:p>
        </w:tc>
        <w:tc>
          <w:tcPr>
            <w:tcW w:w="837" w:type="pct"/>
            <w:gridSpan w:val="2"/>
            <w:tcBorders>
              <w:top w:val="single" w:sz="4" w:space="0" w:color="auto"/>
              <w:left w:val="single" w:sz="4" w:space="0" w:color="auto"/>
              <w:bottom w:val="double" w:sz="6" w:space="0" w:color="auto"/>
              <w:right w:val="single" w:sz="4" w:space="0" w:color="000000"/>
            </w:tcBorders>
            <w:shd w:val="clear" w:color="auto" w:fill="D6E1F2"/>
            <w:vAlign w:val="center"/>
            <w:hideMark/>
          </w:tcPr>
          <w:p w14:paraId="02333F60" w14:textId="77777777" w:rsidR="00E541EE" w:rsidRPr="006D3994" w:rsidRDefault="00E541EE" w:rsidP="00A84BB5">
            <w:pPr>
              <w:jc w:val="center"/>
              <w:rPr>
                <w:rFonts w:ascii="Arial" w:eastAsia="Times New Roman" w:hAnsi="Arial" w:cs="Arial"/>
                <w:b/>
                <w:bCs/>
                <w:sz w:val="20"/>
              </w:rPr>
            </w:pPr>
            <w:r w:rsidRPr="006D3994">
              <w:rPr>
                <w:rFonts w:ascii="Arial" w:eastAsia="Times New Roman" w:hAnsi="Arial" w:cs="Arial"/>
                <w:b/>
                <w:bCs/>
                <w:sz w:val="20"/>
              </w:rPr>
              <w:t>Ostvarenje</w:t>
            </w:r>
          </w:p>
        </w:tc>
        <w:tc>
          <w:tcPr>
            <w:tcW w:w="844" w:type="pct"/>
            <w:gridSpan w:val="2"/>
            <w:tcBorders>
              <w:top w:val="single" w:sz="4" w:space="0" w:color="auto"/>
              <w:left w:val="nil"/>
              <w:bottom w:val="double" w:sz="6" w:space="0" w:color="auto"/>
              <w:right w:val="single" w:sz="4" w:space="0" w:color="000000"/>
            </w:tcBorders>
            <w:shd w:val="clear" w:color="auto" w:fill="D6E1F2"/>
            <w:vAlign w:val="center"/>
            <w:hideMark/>
          </w:tcPr>
          <w:p w14:paraId="0312EF64" w14:textId="77777777" w:rsidR="00E541EE" w:rsidRPr="006D3994" w:rsidRDefault="00E541EE" w:rsidP="00A84BB5">
            <w:pPr>
              <w:jc w:val="center"/>
              <w:rPr>
                <w:rFonts w:ascii="Arial" w:eastAsia="Times New Roman" w:hAnsi="Arial" w:cs="Arial"/>
                <w:b/>
                <w:bCs/>
                <w:sz w:val="20"/>
              </w:rPr>
            </w:pPr>
            <w:r w:rsidRPr="006D3994">
              <w:rPr>
                <w:rFonts w:ascii="Arial" w:eastAsia="Times New Roman" w:hAnsi="Arial" w:cs="Arial"/>
                <w:b/>
                <w:bCs/>
                <w:sz w:val="20"/>
              </w:rPr>
              <w:t>Aktualna projekcija</w:t>
            </w:r>
          </w:p>
        </w:tc>
        <w:tc>
          <w:tcPr>
            <w:tcW w:w="983" w:type="pct"/>
            <w:gridSpan w:val="2"/>
            <w:tcBorders>
              <w:top w:val="single" w:sz="4" w:space="0" w:color="auto"/>
              <w:left w:val="nil"/>
              <w:bottom w:val="double" w:sz="6" w:space="0" w:color="auto"/>
              <w:right w:val="single" w:sz="4" w:space="0" w:color="000000"/>
            </w:tcBorders>
            <w:shd w:val="clear" w:color="auto" w:fill="D6E1F2"/>
            <w:vAlign w:val="center"/>
            <w:hideMark/>
          </w:tcPr>
          <w:p w14:paraId="08767493" w14:textId="77777777" w:rsidR="00E541EE" w:rsidRPr="006D3994" w:rsidRDefault="00E541EE" w:rsidP="00A84BB5">
            <w:pPr>
              <w:jc w:val="center"/>
              <w:rPr>
                <w:rFonts w:ascii="Arial" w:eastAsia="Times New Roman" w:hAnsi="Arial" w:cs="Arial"/>
                <w:b/>
                <w:bCs/>
                <w:sz w:val="20"/>
              </w:rPr>
            </w:pPr>
            <w:r w:rsidRPr="006D3994">
              <w:rPr>
                <w:rFonts w:ascii="Arial" w:eastAsia="Times New Roman" w:hAnsi="Arial" w:cs="Arial"/>
                <w:b/>
                <w:bCs/>
                <w:sz w:val="20"/>
              </w:rPr>
              <w:t>Odstupanja od prethodne projekcije (p. b.)</w:t>
            </w:r>
          </w:p>
        </w:tc>
      </w:tr>
      <w:tr w:rsidR="00E541EE" w:rsidRPr="00AE6ACF" w14:paraId="2BAC5147" w14:textId="77777777" w:rsidTr="00E541EE">
        <w:trPr>
          <w:trHeight w:val="315"/>
        </w:trPr>
        <w:tc>
          <w:tcPr>
            <w:tcW w:w="2336" w:type="pct"/>
            <w:tcBorders>
              <w:top w:val="double" w:sz="6" w:space="0" w:color="auto"/>
              <w:left w:val="single" w:sz="4" w:space="0" w:color="auto"/>
              <w:bottom w:val="single" w:sz="4" w:space="0" w:color="auto"/>
              <w:right w:val="nil"/>
            </w:tcBorders>
            <w:shd w:val="clear" w:color="auto" w:fill="D6E1F2"/>
            <w:noWrap/>
            <w:vAlign w:val="bottom"/>
            <w:hideMark/>
          </w:tcPr>
          <w:p w14:paraId="425509B3" w14:textId="77777777" w:rsidR="00E541EE" w:rsidRPr="006D3994" w:rsidRDefault="00E541EE" w:rsidP="00A84BB5">
            <w:pPr>
              <w:rPr>
                <w:rFonts w:ascii="Arial" w:eastAsia="Times New Roman" w:hAnsi="Arial" w:cs="Arial"/>
                <w:b/>
                <w:bCs/>
                <w:sz w:val="20"/>
              </w:rPr>
            </w:pPr>
            <w:r w:rsidRPr="006D3994">
              <w:rPr>
                <w:rFonts w:ascii="Arial" w:eastAsia="Times New Roman" w:hAnsi="Arial" w:cs="Arial"/>
                <w:b/>
                <w:bCs/>
                <w:sz w:val="20"/>
              </w:rPr>
              <w:t> </w:t>
            </w:r>
          </w:p>
        </w:tc>
        <w:tc>
          <w:tcPr>
            <w:tcW w:w="390" w:type="pct"/>
            <w:tcBorders>
              <w:top w:val="nil"/>
              <w:left w:val="single" w:sz="4" w:space="0" w:color="auto"/>
              <w:bottom w:val="single" w:sz="4" w:space="0" w:color="auto"/>
              <w:right w:val="nil"/>
            </w:tcBorders>
            <w:shd w:val="clear" w:color="auto" w:fill="D6E1F2"/>
            <w:noWrap/>
            <w:vAlign w:val="bottom"/>
            <w:hideMark/>
          </w:tcPr>
          <w:p w14:paraId="5361F6E3" w14:textId="77777777" w:rsidR="00E541EE" w:rsidRPr="006D3994" w:rsidRDefault="00E541EE" w:rsidP="00A84BB5">
            <w:pPr>
              <w:jc w:val="center"/>
              <w:rPr>
                <w:rFonts w:ascii="Arial" w:eastAsia="Times New Roman" w:hAnsi="Arial" w:cs="Arial"/>
                <w:b/>
                <w:bCs/>
                <w:sz w:val="20"/>
              </w:rPr>
            </w:pPr>
            <w:r w:rsidRPr="006D3994">
              <w:rPr>
                <w:rFonts w:ascii="Arial" w:eastAsia="Times New Roman" w:hAnsi="Arial" w:cs="Arial"/>
                <w:b/>
                <w:bCs/>
                <w:sz w:val="20"/>
              </w:rPr>
              <w:t>2023.</w:t>
            </w:r>
          </w:p>
        </w:tc>
        <w:tc>
          <w:tcPr>
            <w:tcW w:w="446" w:type="pct"/>
            <w:tcBorders>
              <w:top w:val="nil"/>
              <w:left w:val="single" w:sz="4" w:space="0" w:color="auto"/>
              <w:bottom w:val="single" w:sz="4" w:space="0" w:color="auto"/>
              <w:right w:val="nil"/>
            </w:tcBorders>
            <w:shd w:val="clear" w:color="auto" w:fill="D6E1F2"/>
            <w:noWrap/>
            <w:vAlign w:val="bottom"/>
            <w:hideMark/>
          </w:tcPr>
          <w:p w14:paraId="70493AA7" w14:textId="77777777" w:rsidR="00E541EE" w:rsidRPr="006D3994" w:rsidRDefault="00E541EE" w:rsidP="00A84BB5">
            <w:pPr>
              <w:jc w:val="center"/>
              <w:rPr>
                <w:rFonts w:ascii="Arial" w:eastAsia="Times New Roman" w:hAnsi="Arial" w:cs="Arial"/>
                <w:b/>
                <w:bCs/>
                <w:sz w:val="20"/>
              </w:rPr>
            </w:pPr>
            <w:r w:rsidRPr="006D3994">
              <w:rPr>
                <w:rFonts w:ascii="Arial" w:eastAsia="Times New Roman" w:hAnsi="Arial" w:cs="Arial"/>
                <w:b/>
                <w:bCs/>
                <w:sz w:val="20"/>
              </w:rPr>
              <w:t>2024.</w:t>
            </w:r>
          </w:p>
        </w:tc>
        <w:tc>
          <w:tcPr>
            <w:tcW w:w="442" w:type="pct"/>
            <w:tcBorders>
              <w:top w:val="nil"/>
              <w:left w:val="single" w:sz="4" w:space="0" w:color="auto"/>
              <w:bottom w:val="single" w:sz="4" w:space="0" w:color="auto"/>
              <w:right w:val="single" w:sz="4" w:space="0" w:color="auto"/>
            </w:tcBorders>
            <w:shd w:val="clear" w:color="auto" w:fill="D6E1F2"/>
            <w:noWrap/>
            <w:vAlign w:val="bottom"/>
            <w:hideMark/>
          </w:tcPr>
          <w:p w14:paraId="445C10DA" w14:textId="77777777" w:rsidR="00E541EE" w:rsidRPr="006D3994" w:rsidRDefault="00E541EE" w:rsidP="00A84BB5">
            <w:pPr>
              <w:jc w:val="center"/>
              <w:rPr>
                <w:rFonts w:ascii="Arial" w:eastAsia="Times New Roman" w:hAnsi="Arial" w:cs="Arial"/>
                <w:b/>
                <w:bCs/>
                <w:sz w:val="20"/>
              </w:rPr>
            </w:pPr>
            <w:r w:rsidRPr="006D3994">
              <w:rPr>
                <w:rFonts w:ascii="Arial" w:eastAsia="Times New Roman" w:hAnsi="Arial" w:cs="Arial"/>
                <w:b/>
                <w:bCs/>
                <w:sz w:val="20"/>
              </w:rPr>
              <w:t>2025.</w:t>
            </w:r>
          </w:p>
        </w:tc>
        <w:tc>
          <w:tcPr>
            <w:tcW w:w="402" w:type="pct"/>
            <w:tcBorders>
              <w:top w:val="nil"/>
              <w:left w:val="nil"/>
              <w:bottom w:val="single" w:sz="4" w:space="0" w:color="auto"/>
              <w:right w:val="single" w:sz="4" w:space="0" w:color="auto"/>
            </w:tcBorders>
            <w:shd w:val="clear" w:color="auto" w:fill="D6E1F2"/>
            <w:noWrap/>
            <w:vAlign w:val="bottom"/>
            <w:hideMark/>
          </w:tcPr>
          <w:p w14:paraId="1AFF6286" w14:textId="77777777" w:rsidR="00E541EE" w:rsidRPr="006D3994" w:rsidRDefault="00E541EE" w:rsidP="00A84BB5">
            <w:pPr>
              <w:jc w:val="center"/>
              <w:rPr>
                <w:rFonts w:ascii="Arial" w:eastAsia="Times New Roman" w:hAnsi="Arial" w:cs="Arial"/>
                <w:b/>
                <w:bCs/>
                <w:sz w:val="20"/>
              </w:rPr>
            </w:pPr>
            <w:r w:rsidRPr="006D3994">
              <w:rPr>
                <w:rFonts w:ascii="Arial" w:eastAsia="Times New Roman" w:hAnsi="Arial" w:cs="Arial"/>
                <w:b/>
                <w:bCs/>
                <w:sz w:val="20"/>
              </w:rPr>
              <w:t>2026.</w:t>
            </w:r>
          </w:p>
        </w:tc>
        <w:tc>
          <w:tcPr>
            <w:tcW w:w="452" w:type="pct"/>
            <w:tcBorders>
              <w:top w:val="nil"/>
              <w:left w:val="nil"/>
              <w:bottom w:val="single" w:sz="4" w:space="0" w:color="auto"/>
              <w:right w:val="single" w:sz="4" w:space="0" w:color="auto"/>
            </w:tcBorders>
            <w:shd w:val="clear" w:color="auto" w:fill="D6E1F2"/>
            <w:noWrap/>
            <w:vAlign w:val="bottom"/>
            <w:hideMark/>
          </w:tcPr>
          <w:p w14:paraId="527374A9" w14:textId="77777777" w:rsidR="00E541EE" w:rsidRPr="006D3994" w:rsidRDefault="00E541EE" w:rsidP="00A84BB5">
            <w:pPr>
              <w:jc w:val="center"/>
              <w:rPr>
                <w:rFonts w:ascii="Arial" w:eastAsia="Times New Roman" w:hAnsi="Arial" w:cs="Arial"/>
                <w:b/>
                <w:bCs/>
                <w:sz w:val="20"/>
              </w:rPr>
            </w:pPr>
            <w:r w:rsidRPr="006D3994">
              <w:rPr>
                <w:rFonts w:ascii="Arial" w:eastAsia="Times New Roman" w:hAnsi="Arial" w:cs="Arial"/>
                <w:b/>
                <w:bCs/>
                <w:sz w:val="20"/>
              </w:rPr>
              <w:t>2025.</w:t>
            </w:r>
          </w:p>
        </w:tc>
        <w:tc>
          <w:tcPr>
            <w:tcW w:w="532" w:type="pct"/>
            <w:tcBorders>
              <w:top w:val="nil"/>
              <w:left w:val="nil"/>
              <w:bottom w:val="single" w:sz="4" w:space="0" w:color="auto"/>
              <w:right w:val="single" w:sz="4" w:space="0" w:color="auto"/>
            </w:tcBorders>
            <w:shd w:val="clear" w:color="auto" w:fill="D6E1F2"/>
            <w:noWrap/>
            <w:vAlign w:val="bottom"/>
            <w:hideMark/>
          </w:tcPr>
          <w:p w14:paraId="324F6A43" w14:textId="77777777" w:rsidR="00E541EE" w:rsidRPr="006D3994" w:rsidRDefault="00E541EE" w:rsidP="00A84BB5">
            <w:pPr>
              <w:jc w:val="center"/>
              <w:rPr>
                <w:rFonts w:ascii="Arial" w:eastAsia="Times New Roman" w:hAnsi="Arial" w:cs="Arial"/>
                <w:b/>
                <w:bCs/>
                <w:sz w:val="20"/>
              </w:rPr>
            </w:pPr>
            <w:r w:rsidRPr="006D3994">
              <w:rPr>
                <w:rFonts w:ascii="Arial" w:eastAsia="Times New Roman" w:hAnsi="Arial" w:cs="Arial"/>
                <w:b/>
                <w:bCs/>
                <w:sz w:val="20"/>
              </w:rPr>
              <w:t>2026.</w:t>
            </w:r>
          </w:p>
        </w:tc>
      </w:tr>
      <w:tr w:rsidR="00E541EE" w:rsidRPr="00AE6ACF" w14:paraId="666D65C2" w14:textId="77777777" w:rsidTr="00E541EE">
        <w:trPr>
          <w:trHeight w:val="300"/>
        </w:trPr>
        <w:tc>
          <w:tcPr>
            <w:tcW w:w="2336" w:type="pct"/>
            <w:tcBorders>
              <w:top w:val="nil"/>
              <w:left w:val="single" w:sz="4" w:space="0" w:color="auto"/>
              <w:bottom w:val="nil"/>
              <w:right w:val="nil"/>
            </w:tcBorders>
            <w:shd w:val="clear" w:color="000000" w:fill="FFFFFF"/>
            <w:noWrap/>
            <w:vAlign w:val="bottom"/>
            <w:hideMark/>
          </w:tcPr>
          <w:p w14:paraId="0CB6C878" w14:textId="77777777" w:rsidR="00E541EE" w:rsidRPr="006D3994" w:rsidRDefault="00E541EE" w:rsidP="00A84BB5">
            <w:pPr>
              <w:rPr>
                <w:rFonts w:ascii="Arial" w:eastAsia="Times New Roman" w:hAnsi="Arial" w:cs="Arial"/>
                <w:sz w:val="20"/>
              </w:rPr>
            </w:pPr>
            <w:r w:rsidRPr="006D3994">
              <w:rPr>
                <w:rFonts w:ascii="Arial" w:eastAsia="Times New Roman" w:hAnsi="Arial" w:cs="Arial"/>
                <w:sz w:val="20"/>
              </w:rPr>
              <w:t> </w:t>
            </w:r>
          </w:p>
        </w:tc>
        <w:tc>
          <w:tcPr>
            <w:tcW w:w="390" w:type="pct"/>
            <w:tcBorders>
              <w:top w:val="nil"/>
              <w:left w:val="single" w:sz="4" w:space="0" w:color="auto"/>
              <w:bottom w:val="nil"/>
              <w:right w:val="nil"/>
            </w:tcBorders>
            <w:shd w:val="clear" w:color="000000" w:fill="FFFFFF"/>
            <w:noWrap/>
            <w:vAlign w:val="bottom"/>
            <w:hideMark/>
          </w:tcPr>
          <w:p w14:paraId="5B35557F" w14:textId="77777777" w:rsidR="00E541EE" w:rsidRPr="006D3994" w:rsidRDefault="00E541EE" w:rsidP="00A84BB5">
            <w:pPr>
              <w:rPr>
                <w:rFonts w:ascii="Arial" w:eastAsia="Times New Roman" w:hAnsi="Arial" w:cs="Arial"/>
                <w:sz w:val="20"/>
              </w:rPr>
            </w:pPr>
            <w:r w:rsidRPr="006D3994">
              <w:rPr>
                <w:rFonts w:ascii="Arial" w:eastAsia="Times New Roman" w:hAnsi="Arial" w:cs="Arial"/>
                <w:sz w:val="20"/>
              </w:rPr>
              <w:t> </w:t>
            </w:r>
          </w:p>
        </w:tc>
        <w:tc>
          <w:tcPr>
            <w:tcW w:w="446" w:type="pct"/>
            <w:tcBorders>
              <w:top w:val="nil"/>
              <w:left w:val="single" w:sz="4" w:space="0" w:color="auto"/>
              <w:bottom w:val="nil"/>
              <w:right w:val="nil"/>
            </w:tcBorders>
            <w:shd w:val="clear" w:color="000000" w:fill="FFFFFF"/>
            <w:noWrap/>
            <w:vAlign w:val="bottom"/>
            <w:hideMark/>
          </w:tcPr>
          <w:p w14:paraId="281DC1EE" w14:textId="77777777" w:rsidR="00E541EE" w:rsidRPr="006D3994" w:rsidRDefault="00E541EE" w:rsidP="00A84BB5">
            <w:pPr>
              <w:rPr>
                <w:rFonts w:ascii="Arial" w:eastAsia="Times New Roman" w:hAnsi="Arial" w:cs="Arial"/>
                <w:sz w:val="20"/>
              </w:rPr>
            </w:pPr>
            <w:r w:rsidRPr="006D3994">
              <w:rPr>
                <w:rFonts w:ascii="Arial" w:eastAsia="Times New Roman" w:hAnsi="Arial" w:cs="Arial"/>
                <w:sz w:val="20"/>
              </w:rPr>
              <w:t> </w:t>
            </w:r>
          </w:p>
        </w:tc>
        <w:tc>
          <w:tcPr>
            <w:tcW w:w="442" w:type="pct"/>
            <w:tcBorders>
              <w:top w:val="nil"/>
              <w:left w:val="single" w:sz="4" w:space="0" w:color="auto"/>
              <w:bottom w:val="nil"/>
              <w:right w:val="single" w:sz="4" w:space="0" w:color="auto"/>
            </w:tcBorders>
            <w:shd w:val="clear" w:color="000000" w:fill="FFFFFF"/>
            <w:noWrap/>
            <w:vAlign w:val="bottom"/>
            <w:hideMark/>
          </w:tcPr>
          <w:p w14:paraId="18A5844E" w14:textId="77777777" w:rsidR="00E541EE" w:rsidRPr="006D3994" w:rsidRDefault="00E541EE" w:rsidP="00A84BB5">
            <w:pPr>
              <w:rPr>
                <w:rFonts w:ascii="Arial" w:eastAsia="Times New Roman" w:hAnsi="Arial" w:cs="Arial"/>
                <w:sz w:val="20"/>
              </w:rPr>
            </w:pPr>
            <w:r w:rsidRPr="006D3994">
              <w:rPr>
                <w:rFonts w:ascii="Arial" w:eastAsia="Times New Roman" w:hAnsi="Arial" w:cs="Arial"/>
                <w:sz w:val="20"/>
              </w:rPr>
              <w:t> </w:t>
            </w:r>
          </w:p>
        </w:tc>
        <w:tc>
          <w:tcPr>
            <w:tcW w:w="402" w:type="pct"/>
            <w:tcBorders>
              <w:top w:val="nil"/>
              <w:left w:val="nil"/>
              <w:bottom w:val="nil"/>
              <w:right w:val="single" w:sz="4" w:space="0" w:color="auto"/>
            </w:tcBorders>
            <w:shd w:val="clear" w:color="000000" w:fill="FFFFFF"/>
            <w:noWrap/>
            <w:vAlign w:val="bottom"/>
            <w:hideMark/>
          </w:tcPr>
          <w:p w14:paraId="20D16AB2" w14:textId="77777777" w:rsidR="00E541EE" w:rsidRPr="006D3994" w:rsidRDefault="00E541EE" w:rsidP="00A84BB5">
            <w:pPr>
              <w:rPr>
                <w:rFonts w:ascii="Arial" w:eastAsia="Times New Roman" w:hAnsi="Arial" w:cs="Arial"/>
                <w:sz w:val="20"/>
              </w:rPr>
            </w:pPr>
            <w:r w:rsidRPr="006D3994">
              <w:rPr>
                <w:rFonts w:ascii="Arial" w:eastAsia="Times New Roman" w:hAnsi="Arial" w:cs="Arial"/>
                <w:sz w:val="20"/>
              </w:rPr>
              <w:t> </w:t>
            </w:r>
          </w:p>
        </w:tc>
        <w:tc>
          <w:tcPr>
            <w:tcW w:w="452" w:type="pct"/>
            <w:tcBorders>
              <w:top w:val="nil"/>
              <w:left w:val="nil"/>
              <w:bottom w:val="nil"/>
              <w:right w:val="single" w:sz="4" w:space="0" w:color="auto"/>
            </w:tcBorders>
            <w:shd w:val="clear" w:color="000000" w:fill="FFFFFF"/>
            <w:noWrap/>
            <w:vAlign w:val="bottom"/>
            <w:hideMark/>
          </w:tcPr>
          <w:p w14:paraId="1CF6F7A6" w14:textId="77777777" w:rsidR="00E541EE" w:rsidRPr="006D3994" w:rsidRDefault="00E541EE" w:rsidP="00A84BB5">
            <w:pPr>
              <w:rPr>
                <w:rFonts w:ascii="Arial" w:eastAsia="Times New Roman" w:hAnsi="Arial" w:cs="Arial"/>
                <w:i/>
                <w:iCs/>
                <w:sz w:val="20"/>
              </w:rPr>
            </w:pPr>
            <w:r w:rsidRPr="006D3994">
              <w:rPr>
                <w:rFonts w:ascii="Arial" w:eastAsia="Times New Roman" w:hAnsi="Arial" w:cs="Arial"/>
                <w:i/>
                <w:iCs/>
                <w:sz w:val="20"/>
              </w:rPr>
              <w:t> </w:t>
            </w:r>
          </w:p>
        </w:tc>
        <w:tc>
          <w:tcPr>
            <w:tcW w:w="532" w:type="pct"/>
            <w:tcBorders>
              <w:top w:val="nil"/>
              <w:left w:val="nil"/>
              <w:bottom w:val="nil"/>
              <w:right w:val="single" w:sz="4" w:space="0" w:color="auto"/>
            </w:tcBorders>
            <w:shd w:val="clear" w:color="000000" w:fill="FFFFFF"/>
            <w:noWrap/>
            <w:vAlign w:val="bottom"/>
            <w:hideMark/>
          </w:tcPr>
          <w:p w14:paraId="49874BA2" w14:textId="77777777" w:rsidR="00E541EE" w:rsidRPr="006D3994" w:rsidRDefault="00E541EE" w:rsidP="00A84BB5">
            <w:pPr>
              <w:rPr>
                <w:rFonts w:ascii="Arial" w:eastAsia="Times New Roman" w:hAnsi="Arial" w:cs="Arial"/>
                <w:i/>
                <w:iCs/>
                <w:sz w:val="20"/>
              </w:rPr>
            </w:pPr>
            <w:r w:rsidRPr="006D3994">
              <w:rPr>
                <w:rFonts w:ascii="Arial" w:eastAsia="Times New Roman" w:hAnsi="Arial" w:cs="Arial"/>
                <w:i/>
                <w:iCs/>
                <w:sz w:val="20"/>
              </w:rPr>
              <w:t> </w:t>
            </w:r>
          </w:p>
        </w:tc>
      </w:tr>
      <w:tr w:rsidR="00E541EE" w:rsidRPr="00AE6ACF" w14:paraId="0A7F005E" w14:textId="77777777" w:rsidTr="00E541EE">
        <w:trPr>
          <w:trHeight w:val="300"/>
        </w:trPr>
        <w:tc>
          <w:tcPr>
            <w:tcW w:w="2336" w:type="pct"/>
            <w:tcBorders>
              <w:top w:val="nil"/>
              <w:left w:val="single" w:sz="4" w:space="0" w:color="auto"/>
              <w:bottom w:val="nil"/>
              <w:right w:val="nil"/>
            </w:tcBorders>
            <w:shd w:val="clear" w:color="000000" w:fill="FFFFFF"/>
            <w:noWrap/>
            <w:vAlign w:val="bottom"/>
            <w:hideMark/>
          </w:tcPr>
          <w:p w14:paraId="0DE5B080" w14:textId="77777777" w:rsidR="00E541EE" w:rsidRPr="006D3994" w:rsidRDefault="00E541EE" w:rsidP="00A84BB5">
            <w:pPr>
              <w:rPr>
                <w:rFonts w:ascii="Arial" w:eastAsia="Times New Roman" w:hAnsi="Arial" w:cs="Arial"/>
                <w:b/>
                <w:bCs/>
                <w:sz w:val="20"/>
              </w:rPr>
            </w:pPr>
            <w:r>
              <w:rPr>
                <w:rFonts w:ascii="Arial" w:eastAsia="Times New Roman" w:hAnsi="Arial" w:cs="Arial"/>
                <w:b/>
                <w:bCs/>
                <w:sz w:val="20"/>
              </w:rPr>
              <w:t>C</w:t>
            </w:r>
            <w:r w:rsidRPr="006D3994">
              <w:rPr>
                <w:rFonts w:ascii="Arial" w:eastAsia="Times New Roman" w:hAnsi="Arial" w:cs="Arial"/>
                <w:b/>
                <w:bCs/>
                <w:sz w:val="20"/>
              </w:rPr>
              <w:t>ijene</w:t>
            </w:r>
          </w:p>
        </w:tc>
        <w:tc>
          <w:tcPr>
            <w:tcW w:w="390" w:type="pct"/>
            <w:tcBorders>
              <w:top w:val="nil"/>
              <w:left w:val="single" w:sz="4" w:space="0" w:color="auto"/>
              <w:bottom w:val="nil"/>
              <w:right w:val="nil"/>
            </w:tcBorders>
            <w:shd w:val="clear" w:color="000000" w:fill="FFFFFF"/>
            <w:noWrap/>
            <w:vAlign w:val="bottom"/>
            <w:hideMark/>
          </w:tcPr>
          <w:p w14:paraId="3FB0DCFE" w14:textId="77777777" w:rsidR="00E541EE" w:rsidRPr="006D3994" w:rsidRDefault="00E541EE" w:rsidP="00A84BB5">
            <w:pPr>
              <w:rPr>
                <w:rFonts w:ascii="Arial" w:eastAsia="Times New Roman" w:hAnsi="Arial" w:cs="Arial"/>
                <w:sz w:val="20"/>
              </w:rPr>
            </w:pPr>
            <w:r w:rsidRPr="006D3994">
              <w:rPr>
                <w:rFonts w:ascii="Arial" w:eastAsia="Times New Roman" w:hAnsi="Arial" w:cs="Arial"/>
                <w:sz w:val="20"/>
              </w:rPr>
              <w:t> </w:t>
            </w:r>
          </w:p>
        </w:tc>
        <w:tc>
          <w:tcPr>
            <w:tcW w:w="446" w:type="pct"/>
            <w:tcBorders>
              <w:top w:val="nil"/>
              <w:left w:val="single" w:sz="4" w:space="0" w:color="auto"/>
              <w:bottom w:val="nil"/>
              <w:right w:val="nil"/>
            </w:tcBorders>
            <w:shd w:val="clear" w:color="000000" w:fill="FFFFFF"/>
            <w:noWrap/>
            <w:vAlign w:val="bottom"/>
            <w:hideMark/>
          </w:tcPr>
          <w:p w14:paraId="7F1AC27A" w14:textId="77777777" w:rsidR="00E541EE" w:rsidRPr="006D3994" w:rsidRDefault="00E541EE" w:rsidP="00A84BB5">
            <w:pPr>
              <w:rPr>
                <w:rFonts w:ascii="Arial" w:eastAsia="Times New Roman" w:hAnsi="Arial" w:cs="Arial"/>
                <w:sz w:val="20"/>
              </w:rPr>
            </w:pPr>
            <w:r w:rsidRPr="006D3994">
              <w:rPr>
                <w:rFonts w:ascii="Arial" w:eastAsia="Times New Roman" w:hAnsi="Arial" w:cs="Arial"/>
                <w:sz w:val="20"/>
              </w:rPr>
              <w:t> </w:t>
            </w:r>
          </w:p>
        </w:tc>
        <w:tc>
          <w:tcPr>
            <w:tcW w:w="442" w:type="pct"/>
            <w:tcBorders>
              <w:top w:val="nil"/>
              <w:left w:val="single" w:sz="4" w:space="0" w:color="auto"/>
              <w:bottom w:val="nil"/>
              <w:right w:val="single" w:sz="4" w:space="0" w:color="auto"/>
            </w:tcBorders>
            <w:shd w:val="clear" w:color="000000" w:fill="FFFFFF"/>
            <w:noWrap/>
            <w:vAlign w:val="bottom"/>
            <w:hideMark/>
          </w:tcPr>
          <w:p w14:paraId="40A3CA17" w14:textId="77777777" w:rsidR="00E541EE" w:rsidRPr="006D3994" w:rsidRDefault="00E541EE" w:rsidP="00A84BB5">
            <w:pPr>
              <w:rPr>
                <w:rFonts w:ascii="Arial" w:eastAsia="Times New Roman" w:hAnsi="Arial" w:cs="Arial"/>
                <w:sz w:val="20"/>
              </w:rPr>
            </w:pPr>
            <w:r w:rsidRPr="006D3994">
              <w:rPr>
                <w:rFonts w:ascii="Arial" w:eastAsia="Times New Roman" w:hAnsi="Arial" w:cs="Arial"/>
                <w:sz w:val="20"/>
              </w:rPr>
              <w:t> </w:t>
            </w:r>
          </w:p>
        </w:tc>
        <w:tc>
          <w:tcPr>
            <w:tcW w:w="402" w:type="pct"/>
            <w:tcBorders>
              <w:top w:val="nil"/>
              <w:left w:val="nil"/>
              <w:bottom w:val="nil"/>
              <w:right w:val="single" w:sz="4" w:space="0" w:color="auto"/>
            </w:tcBorders>
            <w:shd w:val="clear" w:color="000000" w:fill="FFFFFF"/>
            <w:noWrap/>
            <w:vAlign w:val="bottom"/>
            <w:hideMark/>
          </w:tcPr>
          <w:p w14:paraId="668CB34A" w14:textId="77777777" w:rsidR="00E541EE" w:rsidRPr="006D3994" w:rsidRDefault="00E541EE" w:rsidP="00A84BB5">
            <w:pPr>
              <w:rPr>
                <w:rFonts w:ascii="Arial" w:eastAsia="Times New Roman" w:hAnsi="Arial" w:cs="Arial"/>
                <w:sz w:val="20"/>
              </w:rPr>
            </w:pPr>
            <w:r w:rsidRPr="006D3994">
              <w:rPr>
                <w:rFonts w:ascii="Arial" w:eastAsia="Times New Roman" w:hAnsi="Arial" w:cs="Arial"/>
                <w:sz w:val="20"/>
              </w:rPr>
              <w:t> </w:t>
            </w:r>
          </w:p>
        </w:tc>
        <w:tc>
          <w:tcPr>
            <w:tcW w:w="452" w:type="pct"/>
            <w:tcBorders>
              <w:top w:val="nil"/>
              <w:left w:val="nil"/>
              <w:bottom w:val="nil"/>
              <w:right w:val="single" w:sz="4" w:space="0" w:color="auto"/>
            </w:tcBorders>
            <w:shd w:val="clear" w:color="000000" w:fill="FFFFFF"/>
            <w:noWrap/>
            <w:vAlign w:val="bottom"/>
            <w:hideMark/>
          </w:tcPr>
          <w:p w14:paraId="3EC6FD0B" w14:textId="77777777" w:rsidR="00E541EE" w:rsidRPr="006D3994" w:rsidRDefault="00E541EE" w:rsidP="00A84BB5">
            <w:pPr>
              <w:rPr>
                <w:rFonts w:ascii="Arial" w:eastAsia="Times New Roman" w:hAnsi="Arial" w:cs="Arial"/>
                <w:i/>
                <w:iCs/>
                <w:sz w:val="20"/>
              </w:rPr>
            </w:pPr>
            <w:r w:rsidRPr="006D3994">
              <w:rPr>
                <w:rFonts w:ascii="Arial" w:eastAsia="Times New Roman" w:hAnsi="Arial" w:cs="Arial"/>
                <w:i/>
                <w:iCs/>
                <w:sz w:val="20"/>
              </w:rPr>
              <w:t> </w:t>
            </w:r>
          </w:p>
        </w:tc>
        <w:tc>
          <w:tcPr>
            <w:tcW w:w="532" w:type="pct"/>
            <w:tcBorders>
              <w:top w:val="nil"/>
              <w:left w:val="nil"/>
              <w:bottom w:val="nil"/>
              <w:right w:val="single" w:sz="4" w:space="0" w:color="auto"/>
            </w:tcBorders>
            <w:shd w:val="clear" w:color="000000" w:fill="FFFFFF"/>
            <w:noWrap/>
            <w:vAlign w:val="bottom"/>
            <w:hideMark/>
          </w:tcPr>
          <w:p w14:paraId="72E65CB2" w14:textId="77777777" w:rsidR="00E541EE" w:rsidRPr="006D3994" w:rsidRDefault="00E541EE" w:rsidP="00A84BB5">
            <w:pPr>
              <w:rPr>
                <w:rFonts w:ascii="Arial" w:eastAsia="Times New Roman" w:hAnsi="Arial" w:cs="Arial"/>
                <w:i/>
                <w:iCs/>
                <w:sz w:val="20"/>
              </w:rPr>
            </w:pPr>
            <w:r w:rsidRPr="006D3994">
              <w:rPr>
                <w:rFonts w:ascii="Arial" w:eastAsia="Times New Roman" w:hAnsi="Arial" w:cs="Arial"/>
                <w:i/>
                <w:iCs/>
                <w:sz w:val="20"/>
              </w:rPr>
              <w:t> </w:t>
            </w:r>
          </w:p>
        </w:tc>
      </w:tr>
      <w:tr w:rsidR="00E541EE" w:rsidRPr="00AE6ACF" w14:paraId="341A0786" w14:textId="77777777" w:rsidTr="00E541EE">
        <w:trPr>
          <w:trHeight w:val="300"/>
        </w:trPr>
        <w:tc>
          <w:tcPr>
            <w:tcW w:w="2336" w:type="pct"/>
            <w:tcBorders>
              <w:top w:val="nil"/>
              <w:left w:val="single" w:sz="4" w:space="0" w:color="auto"/>
              <w:bottom w:val="nil"/>
              <w:right w:val="nil"/>
            </w:tcBorders>
            <w:shd w:val="clear" w:color="000000" w:fill="FFFFFF"/>
            <w:noWrap/>
            <w:vAlign w:val="bottom"/>
            <w:hideMark/>
          </w:tcPr>
          <w:p w14:paraId="453DD89C" w14:textId="77777777" w:rsidR="00E541EE" w:rsidRPr="006D3994" w:rsidRDefault="00E541EE" w:rsidP="00A84BB5">
            <w:pPr>
              <w:rPr>
                <w:rFonts w:ascii="Arial" w:eastAsia="Times New Roman" w:hAnsi="Arial" w:cs="Arial"/>
                <w:i/>
                <w:iCs/>
                <w:sz w:val="20"/>
              </w:rPr>
            </w:pPr>
            <w:r w:rsidRPr="006D3994">
              <w:rPr>
                <w:rFonts w:ascii="Arial" w:eastAsia="Times New Roman" w:hAnsi="Arial" w:cs="Arial"/>
                <w:i/>
                <w:iCs/>
                <w:sz w:val="20"/>
              </w:rPr>
              <w:t>(stope promjene, %)</w:t>
            </w:r>
          </w:p>
        </w:tc>
        <w:tc>
          <w:tcPr>
            <w:tcW w:w="390" w:type="pct"/>
            <w:tcBorders>
              <w:top w:val="nil"/>
              <w:left w:val="single" w:sz="4" w:space="0" w:color="auto"/>
              <w:bottom w:val="nil"/>
              <w:right w:val="nil"/>
            </w:tcBorders>
            <w:shd w:val="clear" w:color="000000" w:fill="FFFFFF"/>
            <w:noWrap/>
            <w:vAlign w:val="bottom"/>
            <w:hideMark/>
          </w:tcPr>
          <w:p w14:paraId="70ABB6EE" w14:textId="77777777" w:rsidR="00E541EE" w:rsidRPr="006D3994" w:rsidRDefault="00E541EE" w:rsidP="00A84BB5">
            <w:pPr>
              <w:rPr>
                <w:rFonts w:ascii="Arial" w:eastAsia="Times New Roman" w:hAnsi="Arial" w:cs="Arial"/>
                <w:sz w:val="20"/>
              </w:rPr>
            </w:pPr>
            <w:r w:rsidRPr="006D3994">
              <w:rPr>
                <w:rFonts w:ascii="Arial" w:eastAsia="Times New Roman" w:hAnsi="Arial" w:cs="Arial"/>
                <w:sz w:val="20"/>
              </w:rPr>
              <w:t> </w:t>
            </w:r>
          </w:p>
        </w:tc>
        <w:tc>
          <w:tcPr>
            <w:tcW w:w="446" w:type="pct"/>
            <w:tcBorders>
              <w:top w:val="nil"/>
              <w:left w:val="single" w:sz="4" w:space="0" w:color="auto"/>
              <w:bottom w:val="nil"/>
              <w:right w:val="nil"/>
            </w:tcBorders>
            <w:shd w:val="clear" w:color="000000" w:fill="FFFFFF"/>
            <w:noWrap/>
            <w:vAlign w:val="bottom"/>
            <w:hideMark/>
          </w:tcPr>
          <w:p w14:paraId="0695B5A3" w14:textId="77777777" w:rsidR="00E541EE" w:rsidRPr="006D3994" w:rsidRDefault="00E541EE" w:rsidP="00A84BB5">
            <w:pPr>
              <w:rPr>
                <w:rFonts w:ascii="Arial" w:eastAsia="Times New Roman" w:hAnsi="Arial" w:cs="Arial"/>
                <w:sz w:val="20"/>
              </w:rPr>
            </w:pPr>
            <w:r w:rsidRPr="006D3994">
              <w:rPr>
                <w:rFonts w:ascii="Arial" w:eastAsia="Times New Roman" w:hAnsi="Arial" w:cs="Arial"/>
                <w:sz w:val="20"/>
              </w:rPr>
              <w:t> </w:t>
            </w:r>
          </w:p>
        </w:tc>
        <w:tc>
          <w:tcPr>
            <w:tcW w:w="442" w:type="pct"/>
            <w:tcBorders>
              <w:top w:val="nil"/>
              <w:left w:val="single" w:sz="4" w:space="0" w:color="auto"/>
              <w:bottom w:val="nil"/>
              <w:right w:val="single" w:sz="4" w:space="0" w:color="auto"/>
            </w:tcBorders>
            <w:shd w:val="clear" w:color="000000" w:fill="FFFFFF"/>
            <w:noWrap/>
            <w:vAlign w:val="bottom"/>
            <w:hideMark/>
          </w:tcPr>
          <w:p w14:paraId="3865D45B" w14:textId="77777777" w:rsidR="00E541EE" w:rsidRPr="006D3994" w:rsidRDefault="00E541EE" w:rsidP="00A84BB5">
            <w:pPr>
              <w:rPr>
                <w:rFonts w:ascii="Arial" w:eastAsia="Times New Roman" w:hAnsi="Arial" w:cs="Arial"/>
                <w:sz w:val="20"/>
              </w:rPr>
            </w:pPr>
            <w:r w:rsidRPr="006D3994">
              <w:rPr>
                <w:rFonts w:ascii="Arial" w:eastAsia="Times New Roman" w:hAnsi="Arial" w:cs="Arial"/>
                <w:sz w:val="20"/>
              </w:rPr>
              <w:t> </w:t>
            </w:r>
          </w:p>
        </w:tc>
        <w:tc>
          <w:tcPr>
            <w:tcW w:w="402" w:type="pct"/>
            <w:tcBorders>
              <w:top w:val="nil"/>
              <w:left w:val="nil"/>
              <w:bottom w:val="nil"/>
              <w:right w:val="single" w:sz="4" w:space="0" w:color="auto"/>
            </w:tcBorders>
            <w:shd w:val="clear" w:color="000000" w:fill="FFFFFF"/>
            <w:noWrap/>
            <w:vAlign w:val="bottom"/>
            <w:hideMark/>
          </w:tcPr>
          <w:p w14:paraId="35906BFE" w14:textId="77777777" w:rsidR="00E541EE" w:rsidRPr="006D3994" w:rsidRDefault="00E541EE" w:rsidP="00A84BB5">
            <w:pPr>
              <w:rPr>
                <w:rFonts w:ascii="Arial" w:eastAsia="Times New Roman" w:hAnsi="Arial" w:cs="Arial"/>
                <w:sz w:val="20"/>
              </w:rPr>
            </w:pPr>
            <w:r w:rsidRPr="006D3994">
              <w:rPr>
                <w:rFonts w:ascii="Arial" w:eastAsia="Times New Roman" w:hAnsi="Arial" w:cs="Arial"/>
                <w:sz w:val="20"/>
              </w:rPr>
              <w:t> </w:t>
            </w:r>
          </w:p>
        </w:tc>
        <w:tc>
          <w:tcPr>
            <w:tcW w:w="452" w:type="pct"/>
            <w:tcBorders>
              <w:top w:val="nil"/>
              <w:left w:val="nil"/>
              <w:bottom w:val="nil"/>
              <w:right w:val="single" w:sz="4" w:space="0" w:color="auto"/>
            </w:tcBorders>
            <w:shd w:val="clear" w:color="000000" w:fill="FFFFFF"/>
            <w:noWrap/>
            <w:vAlign w:val="bottom"/>
            <w:hideMark/>
          </w:tcPr>
          <w:p w14:paraId="008BCD50" w14:textId="77777777" w:rsidR="00E541EE" w:rsidRPr="006D3994" w:rsidRDefault="00E541EE" w:rsidP="00A84BB5">
            <w:pPr>
              <w:rPr>
                <w:rFonts w:ascii="Arial" w:eastAsia="Times New Roman" w:hAnsi="Arial" w:cs="Arial"/>
                <w:i/>
                <w:iCs/>
                <w:sz w:val="20"/>
              </w:rPr>
            </w:pPr>
            <w:r w:rsidRPr="006D3994">
              <w:rPr>
                <w:rFonts w:ascii="Arial" w:eastAsia="Times New Roman" w:hAnsi="Arial" w:cs="Arial"/>
                <w:i/>
                <w:iCs/>
                <w:sz w:val="20"/>
              </w:rPr>
              <w:t> </w:t>
            </w:r>
          </w:p>
        </w:tc>
        <w:tc>
          <w:tcPr>
            <w:tcW w:w="532" w:type="pct"/>
            <w:tcBorders>
              <w:top w:val="nil"/>
              <w:left w:val="nil"/>
              <w:bottom w:val="nil"/>
              <w:right w:val="single" w:sz="4" w:space="0" w:color="auto"/>
            </w:tcBorders>
            <w:shd w:val="clear" w:color="000000" w:fill="FFFFFF"/>
            <w:noWrap/>
            <w:vAlign w:val="bottom"/>
            <w:hideMark/>
          </w:tcPr>
          <w:p w14:paraId="0E5027F8" w14:textId="77777777" w:rsidR="00E541EE" w:rsidRPr="006D3994" w:rsidRDefault="00E541EE" w:rsidP="00A84BB5">
            <w:pPr>
              <w:rPr>
                <w:rFonts w:ascii="Arial" w:eastAsia="Times New Roman" w:hAnsi="Arial" w:cs="Arial"/>
                <w:i/>
                <w:iCs/>
                <w:sz w:val="20"/>
              </w:rPr>
            </w:pPr>
            <w:r w:rsidRPr="006D3994">
              <w:rPr>
                <w:rFonts w:ascii="Arial" w:eastAsia="Times New Roman" w:hAnsi="Arial" w:cs="Arial"/>
                <w:i/>
                <w:iCs/>
                <w:sz w:val="20"/>
              </w:rPr>
              <w:t> </w:t>
            </w:r>
          </w:p>
        </w:tc>
      </w:tr>
      <w:tr w:rsidR="00E541EE" w:rsidRPr="00AE6ACF" w14:paraId="636C1839" w14:textId="77777777" w:rsidTr="00E541EE">
        <w:trPr>
          <w:trHeight w:val="300"/>
        </w:trPr>
        <w:tc>
          <w:tcPr>
            <w:tcW w:w="2336" w:type="pct"/>
            <w:tcBorders>
              <w:top w:val="nil"/>
              <w:left w:val="single" w:sz="4" w:space="0" w:color="auto"/>
              <w:bottom w:val="nil"/>
              <w:right w:val="nil"/>
            </w:tcBorders>
            <w:shd w:val="clear" w:color="000000" w:fill="FFFFFF"/>
            <w:noWrap/>
            <w:vAlign w:val="bottom"/>
            <w:hideMark/>
          </w:tcPr>
          <w:p w14:paraId="659F6805" w14:textId="77777777" w:rsidR="00E541EE" w:rsidRPr="006D3994" w:rsidRDefault="00E541EE" w:rsidP="00A84BB5">
            <w:pPr>
              <w:rPr>
                <w:rFonts w:ascii="Arial" w:eastAsia="Times New Roman" w:hAnsi="Arial" w:cs="Arial"/>
                <w:color w:val="000000"/>
                <w:sz w:val="20"/>
              </w:rPr>
            </w:pPr>
            <w:r w:rsidRPr="006D3994">
              <w:rPr>
                <w:rFonts w:ascii="Arial" w:eastAsia="Times New Roman" w:hAnsi="Arial" w:cs="Arial"/>
                <w:color w:val="000000"/>
                <w:sz w:val="20"/>
              </w:rPr>
              <w:t>HIPC</w:t>
            </w:r>
          </w:p>
        </w:tc>
        <w:tc>
          <w:tcPr>
            <w:tcW w:w="390" w:type="pct"/>
            <w:tcBorders>
              <w:top w:val="nil"/>
              <w:left w:val="single" w:sz="4" w:space="0" w:color="auto"/>
              <w:bottom w:val="nil"/>
              <w:right w:val="single" w:sz="4" w:space="0" w:color="auto"/>
            </w:tcBorders>
            <w:shd w:val="clear" w:color="000000" w:fill="FFFFFF"/>
            <w:noWrap/>
            <w:vAlign w:val="bottom"/>
            <w:hideMark/>
          </w:tcPr>
          <w:p w14:paraId="2F668330" w14:textId="77777777" w:rsidR="00E541EE" w:rsidRPr="006D3994" w:rsidRDefault="00E541EE" w:rsidP="00A84BB5">
            <w:pPr>
              <w:jc w:val="center"/>
              <w:rPr>
                <w:rFonts w:ascii="Arial" w:eastAsia="Times New Roman" w:hAnsi="Arial" w:cs="Arial"/>
                <w:sz w:val="20"/>
              </w:rPr>
            </w:pPr>
            <w:r w:rsidRPr="006D3994">
              <w:rPr>
                <w:rFonts w:ascii="Arial" w:eastAsia="Times New Roman" w:hAnsi="Arial" w:cs="Arial"/>
                <w:sz w:val="20"/>
              </w:rPr>
              <w:t>8,4</w:t>
            </w:r>
          </w:p>
        </w:tc>
        <w:tc>
          <w:tcPr>
            <w:tcW w:w="446" w:type="pct"/>
            <w:tcBorders>
              <w:top w:val="nil"/>
              <w:left w:val="nil"/>
              <w:bottom w:val="nil"/>
              <w:right w:val="nil"/>
            </w:tcBorders>
            <w:shd w:val="clear" w:color="000000" w:fill="FFFFFF"/>
            <w:noWrap/>
            <w:vAlign w:val="bottom"/>
            <w:hideMark/>
          </w:tcPr>
          <w:p w14:paraId="0AC391DF" w14:textId="77777777" w:rsidR="00E541EE" w:rsidRPr="006D3994" w:rsidRDefault="00E541EE" w:rsidP="00A84BB5">
            <w:pPr>
              <w:jc w:val="center"/>
              <w:rPr>
                <w:rFonts w:ascii="Arial" w:eastAsia="Times New Roman" w:hAnsi="Arial" w:cs="Arial"/>
                <w:color w:val="000000"/>
                <w:sz w:val="20"/>
              </w:rPr>
            </w:pPr>
            <w:r w:rsidRPr="006D3994">
              <w:rPr>
                <w:rFonts w:ascii="Arial" w:eastAsia="Times New Roman" w:hAnsi="Arial" w:cs="Arial"/>
                <w:color w:val="000000"/>
                <w:sz w:val="20"/>
              </w:rPr>
              <w:t>4,0</w:t>
            </w:r>
          </w:p>
        </w:tc>
        <w:tc>
          <w:tcPr>
            <w:tcW w:w="442" w:type="pct"/>
            <w:tcBorders>
              <w:top w:val="nil"/>
              <w:left w:val="single" w:sz="4" w:space="0" w:color="auto"/>
              <w:bottom w:val="nil"/>
              <w:right w:val="single" w:sz="4" w:space="0" w:color="auto"/>
            </w:tcBorders>
            <w:shd w:val="clear" w:color="000000" w:fill="FFFFFF"/>
            <w:noWrap/>
            <w:vAlign w:val="bottom"/>
            <w:hideMark/>
          </w:tcPr>
          <w:p w14:paraId="0BBFCBCA" w14:textId="77777777" w:rsidR="00E541EE" w:rsidRPr="006D3994" w:rsidRDefault="00E541EE" w:rsidP="00A84BB5">
            <w:pPr>
              <w:jc w:val="center"/>
              <w:rPr>
                <w:rFonts w:ascii="Arial" w:eastAsia="Times New Roman" w:hAnsi="Arial" w:cs="Arial"/>
                <w:color w:val="FF0000"/>
                <w:sz w:val="20"/>
              </w:rPr>
            </w:pPr>
            <w:r w:rsidRPr="006D3994">
              <w:rPr>
                <w:rFonts w:ascii="Arial" w:eastAsia="Times New Roman" w:hAnsi="Arial" w:cs="Arial"/>
                <w:color w:val="FF0000"/>
                <w:sz w:val="20"/>
              </w:rPr>
              <w:t>4,2</w:t>
            </w:r>
          </w:p>
        </w:tc>
        <w:tc>
          <w:tcPr>
            <w:tcW w:w="402" w:type="pct"/>
            <w:tcBorders>
              <w:top w:val="nil"/>
              <w:left w:val="nil"/>
              <w:bottom w:val="nil"/>
              <w:right w:val="single" w:sz="4" w:space="0" w:color="auto"/>
            </w:tcBorders>
            <w:shd w:val="clear" w:color="000000" w:fill="FFFFFF"/>
            <w:noWrap/>
            <w:vAlign w:val="bottom"/>
            <w:hideMark/>
          </w:tcPr>
          <w:p w14:paraId="57F9CB90" w14:textId="77777777" w:rsidR="00E541EE" w:rsidRPr="006D3994" w:rsidRDefault="00E541EE" w:rsidP="00A84BB5">
            <w:pPr>
              <w:jc w:val="center"/>
              <w:rPr>
                <w:rFonts w:ascii="Arial" w:eastAsia="Times New Roman" w:hAnsi="Arial" w:cs="Arial"/>
                <w:color w:val="FF0000"/>
                <w:sz w:val="20"/>
              </w:rPr>
            </w:pPr>
            <w:r w:rsidRPr="006D3994">
              <w:rPr>
                <w:rFonts w:ascii="Arial" w:eastAsia="Times New Roman" w:hAnsi="Arial" w:cs="Arial"/>
                <w:color w:val="FF0000"/>
                <w:sz w:val="20"/>
              </w:rPr>
              <w:t>2,8</w:t>
            </w:r>
          </w:p>
        </w:tc>
        <w:tc>
          <w:tcPr>
            <w:tcW w:w="452" w:type="pct"/>
            <w:tcBorders>
              <w:top w:val="nil"/>
              <w:left w:val="nil"/>
              <w:bottom w:val="nil"/>
              <w:right w:val="single" w:sz="4" w:space="0" w:color="auto"/>
            </w:tcBorders>
            <w:shd w:val="clear" w:color="000000" w:fill="FFFFFF"/>
            <w:noWrap/>
            <w:vAlign w:val="bottom"/>
            <w:hideMark/>
          </w:tcPr>
          <w:p w14:paraId="25034295" w14:textId="77777777" w:rsidR="00E541EE" w:rsidRPr="006D3994" w:rsidRDefault="00E541EE" w:rsidP="00A84BB5">
            <w:pPr>
              <w:jc w:val="center"/>
              <w:rPr>
                <w:rFonts w:ascii="Arial" w:eastAsia="Times New Roman" w:hAnsi="Arial" w:cs="Arial"/>
                <w:i/>
                <w:iCs/>
                <w:sz w:val="20"/>
              </w:rPr>
            </w:pPr>
            <w:r w:rsidRPr="006D3994">
              <w:rPr>
                <w:rFonts w:ascii="Arial" w:eastAsia="Times New Roman" w:hAnsi="Arial" w:cs="Arial"/>
                <w:i/>
                <w:iCs/>
                <w:sz w:val="20"/>
              </w:rPr>
              <w:t>0,6</w:t>
            </w:r>
          </w:p>
        </w:tc>
        <w:tc>
          <w:tcPr>
            <w:tcW w:w="532" w:type="pct"/>
            <w:tcBorders>
              <w:top w:val="nil"/>
              <w:left w:val="nil"/>
              <w:bottom w:val="nil"/>
              <w:right w:val="single" w:sz="4" w:space="0" w:color="auto"/>
            </w:tcBorders>
            <w:shd w:val="clear" w:color="000000" w:fill="FFFFFF"/>
            <w:noWrap/>
            <w:vAlign w:val="bottom"/>
            <w:hideMark/>
          </w:tcPr>
          <w:p w14:paraId="091E1DDB" w14:textId="77777777" w:rsidR="00E541EE" w:rsidRPr="006D3994" w:rsidRDefault="00E541EE" w:rsidP="00A84BB5">
            <w:pPr>
              <w:jc w:val="center"/>
              <w:rPr>
                <w:rFonts w:ascii="Arial" w:eastAsia="Times New Roman" w:hAnsi="Arial" w:cs="Arial"/>
                <w:i/>
                <w:iCs/>
                <w:sz w:val="20"/>
              </w:rPr>
            </w:pPr>
            <w:r w:rsidRPr="006D3994">
              <w:rPr>
                <w:rFonts w:ascii="Arial" w:eastAsia="Times New Roman" w:hAnsi="Arial" w:cs="Arial"/>
                <w:i/>
                <w:iCs/>
                <w:sz w:val="20"/>
              </w:rPr>
              <w:t>0,3</w:t>
            </w:r>
          </w:p>
        </w:tc>
      </w:tr>
      <w:tr w:rsidR="00E541EE" w:rsidRPr="00AE6ACF" w14:paraId="0D9E94CC" w14:textId="77777777" w:rsidTr="00E541EE">
        <w:trPr>
          <w:trHeight w:val="300"/>
        </w:trPr>
        <w:tc>
          <w:tcPr>
            <w:tcW w:w="2336" w:type="pct"/>
            <w:tcBorders>
              <w:top w:val="nil"/>
              <w:left w:val="single" w:sz="4" w:space="0" w:color="auto"/>
              <w:bottom w:val="nil"/>
              <w:right w:val="nil"/>
            </w:tcBorders>
            <w:shd w:val="clear" w:color="000000" w:fill="FFFFFF"/>
            <w:noWrap/>
            <w:vAlign w:val="bottom"/>
            <w:hideMark/>
          </w:tcPr>
          <w:p w14:paraId="44EA2F5A" w14:textId="77777777" w:rsidR="00E541EE" w:rsidRPr="006D3994" w:rsidRDefault="00E541EE" w:rsidP="00A84BB5">
            <w:pPr>
              <w:rPr>
                <w:rFonts w:ascii="Arial" w:eastAsia="Times New Roman" w:hAnsi="Arial" w:cs="Arial"/>
                <w:sz w:val="20"/>
              </w:rPr>
            </w:pPr>
            <w:r w:rsidRPr="006D3994">
              <w:rPr>
                <w:rFonts w:ascii="Arial" w:eastAsia="Times New Roman" w:hAnsi="Arial" w:cs="Arial"/>
                <w:sz w:val="20"/>
              </w:rPr>
              <w:t>HIPC isključujući hranu i energiju</w:t>
            </w:r>
          </w:p>
        </w:tc>
        <w:tc>
          <w:tcPr>
            <w:tcW w:w="390" w:type="pct"/>
            <w:tcBorders>
              <w:top w:val="nil"/>
              <w:left w:val="single" w:sz="4" w:space="0" w:color="auto"/>
              <w:bottom w:val="nil"/>
              <w:right w:val="single" w:sz="4" w:space="0" w:color="auto"/>
            </w:tcBorders>
            <w:shd w:val="clear" w:color="000000" w:fill="FFFFFF"/>
            <w:noWrap/>
            <w:vAlign w:val="bottom"/>
            <w:hideMark/>
          </w:tcPr>
          <w:p w14:paraId="67277811" w14:textId="77777777" w:rsidR="00E541EE" w:rsidRPr="006D3994" w:rsidRDefault="00E541EE" w:rsidP="00A84BB5">
            <w:pPr>
              <w:jc w:val="center"/>
              <w:rPr>
                <w:rFonts w:ascii="Arial" w:eastAsia="Times New Roman" w:hAnsi="Arial" w:cs="Arial"/>
                <w:sz w:val="20"/>
              </w:rPr>
            </w:pPr>
            <w:r w:rsidRPr="006D3994">
              <w:rPr>
                <w:rFonts w:ascii="Arial" w:eastAsia="Times New Roman" w:hAnsi="Arial" w:cs="Arial"/>
                <w:sz w:val="20"/>
              </w:rPr>
              <w:t>8,8</w:t>
            </w:r>
          </w:p>
        </w:tc>
        <w:tc>
          <w:tcPr>
            <w:tcW w:w="446" w:type="pct"/>
            <w:tcBorders>
              <w:top w:val="nil"/>
              <w:left w:val="nil"/>
              <w:bottom w:val="nil"/>
              <w:right w:val="nil"/>
            </w:tcBorders>
            <w:shd w:val="clear" w:color="000000" w:fill="FFFFFF"/>
            <w:noWrap/>
            <w:vAlign w:val="bottom"/>
            <w:hideMark/>
          </w:tcPr>
          <w:p w14:paraId="70362559" w14:textId="77777777" w:rsidR="00E541EE" w:rsidRPr="006D3994" w:rsidRDefault="00E541EE" w:rsidP="00A84BB5">
            <w:pPr>
              <w:jc w:val="center"/>
              <w:rPr>
                <w:rFonts w:ascii="Arial" w:eastAsia="Times New Roman" w:hAnsi="Arial" w:cs="Arial"/>
                <w:color w:val="000000"/>
                <w:sz w:val="20"/>
              </w:rPr>
            </w:pPr>
            <w:r w:rsidRPr="006D3994">
              <w:rPr>
                <w:rFonts w:ascii="Arial" w:eastAsia="Times New Roman" w:hAnsi="Arial" w:cs="Arial"/>
                <w:color w:val="000000"/>
                <w:sz w:val="20"/>
              </w:rPr>
              <w:t>4,8</w:t>
            </w:r>
          </w:p>
        </w:tc>
        <w:tc>
          <w:tcPr>
            <w:tcW w:w="442" w:type="pct"/>
            <w:tcBorders>
              <w:top w:val="nil"/>
              <w:left w:val="single" w:sz="4" w:space="0" w:color="auto"/>
              <w:bottom w:val="nil"/>
              <w:right w:val="single" w:sz="4" w:space="0" w:color="auto"/>
            </w:tcBorders>
            <w:shd w:val="clear" w:color="000000" w:fill="FFFFFF"/>
            <w:noWrap/>
            <w:vAlign w:val="bottom"/>
            <w:hideMark/>
          </w:tcPr>
          <w:p w14:paraId="6843CD3A" w14:textId="77777777" w:rsidR="00E541EE" w:rsidRPr="006D3994" w:rsidRDefault="00E541EE" w:rsidP="00A84BB5">
            <w:pPr>
              <w:jc w:val="center"/>
              <w:rPr>
                <w:rFonts w:ascii="Arial" w:eastAsia="Times New Roman" w:hAnsi="Arial" w:cs="Arial"/>
                <w:color w:val="FF0000"/>
                <w:sz w:val="20"/>
              </w:rPr>
            </w:pPr>
            <w:r w:rsidRPr="006D3994">
              <w:rPr>
                <w:rFonts w:ascii="Arial" w:eastAsia="Times New Roman" w:hAnsi="Arial" w:cs="Arial"/>
                <w:color w:val="FF0000"/>
                <w:sz w:val="20"/>
              </w:rPr>
              <w:t>3,8</w:t>
            </w:r>
          </w:p>
        </w:tc>
        <w:tc>
          <w:tcPr>
            <w:tcW w:w="402" w:type="pct"/>
            <w:tcBorders>
              <w:top w:val="nil"/>
              <w:left w:val="nil"/>
              <w:bottom w:val="nil"/>
              <w:right w:val="single" w:sz="4" w:space="0" w:color="auto"/>
            </w:tcBorders>
            <w:shd w:val="clear" w:color="000000" w:fill="FFFFFF"/>
            <w:noWrap/>
            <w:vAlign w:val="bottom"/>
            <w:hideMark/>
          </w:tcPr>
          <w:p w14:paraId="0C251AB1" w14:textId="77777777" w:rsidR="00E541EE" w:rsidRPr="006D3994" w:rsidRDefault="00E541EE" w:rsidP="00A84BB5">
            <w:pPr>
              <w:jc w:val="center"/>
              <w:rPr>
                <w:rFonts w:ascii="Arial" w:eastAsia="Times New Roman" w:hAnsi="Arial" w:cs="Arial"/>
                <w:color w:val="FF0000"/>
                <w:sz w:val="20"/>
              </w:rPr>
            </w:pPr>
            <w:r w:rsidRPr="006D3994">
              <w:rPr>
                <w:rFonts w:ascii="Arial" w:eastAsia="Times New Roman" w:hAnsi="Arial" w:cs="Arial"/>
                <w:color w:val="FF0000"/>
                <w:sz w:val="20"/>
              </w:rPr>
              <w:t>2,6</w:t>
            </w:r>
          </w:p>
        </w:tc>
        <w:tc>
          <w:tcPr>
            <w:tcW w:w="452" w:type="pct"/>
            <w:tcBorders>
              <w:top w:val="nil"/>
              <w:left w:val="nil"/>
              <w:bottom w:val="nil"/>
              <w:right w:val="single" w:sz="4" w:space="0" w:color="auto"/>
            </w:tcBorders>
            <w:shd w:val="clear" w:color="000000" w:fill="FFFFFF"/>
            <w:noWrap/>
            <w:vAlign w:val="bottom"/>
            <w:hideMark/>
          </w:tcPr>
          <w:p w14:paraId="067DAC01" w14:textId="77777777" w:rsidR="00E541EE" w:rsidRPr="006D3994" w:rsidRDefault="00E541EE" w:rsidP="00A84BB5">
            <w:pPr>
              <w:jc w:val="center"/>
              <w:rPr>
                <w:rFonts w:ascii="Arial" w:eastAsia="Times New Roman" w:hAnsi="Arial" w:cs="Arial"/>
                <w:i/>
                <w:iCs/>
                <w:sz w:val="20"/>
              </w:rPr>
            </w:pPr>
            <w:r w:rsidRPr="006D3994">
              <w:rPr>
                <w:rFonts w:ascii="Arial" w:eastAsia="Times New Roman" w:hAnsi="Arial" w:cs="Arial"/>
                <w:i/>
                <w:iCs/>
                <w:sz w:val="20"/>
              </w:rPr>
              <w:t>0,2</w:t>
            </w:r>
          </w:p>
        </w:tc>
        <w:tc>
          <w:tcPr>
            <w:tcW w:w="532" w:type="pct"/>
            <w:tcBorders>
              <w:top w:val="nil"/>
              <w:left w:val="nil"/>
              <w:bottom w:val="nil"/>
              <w:right w:val="single" w:sz="4" w:space="0" w:color="auto"/>
            </w:tcBorders>
            <w:shd w:val="clear" w:color="000000" w:fill="FFFFFF"/>
            <w:noWrap/>
            <w:vAlign w:val="bottom"/>
            <w:hideMark/>
          </w:tcPr>
          <w:p w14:paraId="1E3C6294" w14:textId="77777777" w:rsidR="00E541EE" w:rsidRPr="006D3994" w:rsidRDefault="00E541EE" w:rsidP="00A84BB5">
            <w:pPr>
              <w:jc w:val="center"/>
              <w:rPr>
                <w:rFonts w:ascii="Arial" w:eastAsia="Times New Roman" w:hAnsi="Arial" w:cs="Arial"/>
                <w:i/>
                <w:iCs/>
                <w:sz w:val="20"/>
              </w:rPr>
            </w:pPr>
            <w:r w:rsidRPr="006D3994">
              <w:rPr>
                <w:rFonts w:ascii="Arial" w:eastAsia="Times New Roman" w:hAnsi="Arial" w:cs="Arial"/>
                <w:i/>
                <w:iCs/>
                <w:sz w:val="20"/>
              </w:rPr>
              <w:t>-0,2</w:t>
            </w:r>
          </w:p>
        </w:tc>
      </w:tr>
      <w:tr w:rsidR="00E541EE" w:rsidRPr="00AE6ACF" w14:paraId="04FEAF7B" w14:textId="77777777" w:rsidTr="00E541EE">
        <w:trPr>
          <w:trHeight w:val="300"/>
        </w:trPr>
        <w:tc>
          <w:tcPr>
            <w:tcW w:w="2336" w:type="pct"/>
            <w:tcBorders>
              <w:top w:val="nil"/>
              <w:left w:val="single" w:sz="4" w:space="0" w:color="auto"/>
              <w:bottom w:val="nil"/>
              <w:right w:val="nil"/>
            </w:tcBorders>
            <w:shd w:val="clear" w:color="000000" w:fill="FFFFFF"/>
            <w:noWrap/>
            <w:vAlign w:val="bottom"/>
            <w:hideMark/>
          </w:tcPr>
          <w:p w14:paraId="17BEFF19" w14:textId="77777777" w:rsidR="00E541EE" w:rsidRPr="006D3994" w:rsidRDefault="00E541EE" w:rsidP="00A84BB5">
            <w:pPr>
              <w:rPr>
                <w:rFonts w:ascii="Arial" w:eastAsia="Times New Roman" w:hAnsi="Arial" w:cs="Arial"/>
                <w:color w:val="000000"/>
                <w:sz w:val="20"/>
              </w:rPr>
            </w:pPr>
            <w:r w:rsidRPr="006D3994">
              <w:rPr>
                <w:rFonts w:ascii="Arial" w:eastAsia="Times New Roman" w:hAnsi="Arial" w:cs="Arial"/>
                <w:color w:val="000000"/>
                <w:sz w:val="20"/>
              </w:rPr>
              <w:t>HIPC hrana</w:t>
            </w:r>
          </w:p>
        </w:tc>
        <w:tc>
          <w:tcPr>
            <w:tcW w:w="390" w:type="pct"/>
            <w:tcBorders>
              <w:top w:val="nil"/>
              <w:left w:val="single" w:sz="4" w:space="0" w:color="auto"/>
              <w:bottom w:val="nil"/>
              <w:right w:val="single" w:sz="4" w:space="0" w:color="auto"/>
            </w:tcBorders>
            <w:shd w:val="clear" w:color="000000" w:fill="FFFFFF"/>
            <w:noWrap/>
            <w:vAlign w:val="bottom"/>
            <w:hideMark/>
          </w:tcPr>
          <w:p w14:paraId="154D2346" w14:textId="77777777" w:rsidR="00E541EE" w:rsidRPr="006D3994" w:rsidRDefault="00E541EE" w:rsidP="00A84BB5">
            <w:pPr>
              <w:jc w:val="center"/>
              <w:rPr>
                <w:rFonts w:ascii="Arial" w:eastAsia="Times New Roman" w:hAnsi="Arial" w:cs="Arial"/>
                <w:sz w:val="20"/>
              </w:rPr>
            </w:pPr>
            <w:r w:rsidRPr="006D3994">
              <w:rPr>
                <w:rFonts w:ascii="Arial" w:eastAsia="Times New Roman" w:hAnsi="Arial" w:cs="Arial"/>
                <w:sz w:val="20"/>
              </w:rPr>
              <w:t>11,5</w:t>
            </w:r>
          </w:p>
        </w:tc>
        <w:tc>
          <w:tcPr>
            <w:tcW w:w="446" w:type="pct"/>
            <w:tcBorders>
              <w:top w:val="nil"/>
              <w:left w:val="nil"/>
              <w:bottom w:val="nil"/>
              <w:right w:val="nil"/>
            </w:tcBorders>
            <w:shd w:val="clear" w:color="000000" w:fill="FFFFFF"/>
            <w:noWrap/>
            <w:vAlign w:val="bottom"/>
            <w:hideMark/>
          </w:tcPr>
          <w:p w14:paraId="4B4EE8F4" w14:textId="77777777" w:rsidR="00E541EE" w:rsidRPr="006D3994" w:rsidRDefault="00E541EE" w:rsidP="00A84BB5">
            <w:pPr>
              <w:jc w:val="center"/>
              <w:rPr>
                <w:rFonts w:ascii="Arial" w:eastAsia="Times New Roman" w:hAnsi="Arial" w:cs="Arial"/>
                <w:color w:val="000000"/>
                <w:sz w:val="20"/>
              </w:rPr>
            </w:pPr>
            <w:r w:rsidRPr="006D3994">
              <w:rPr>
                <w:rFonts w:ascii="Arial" w:eastAsia="Times New Roman" w:hAnsi="Arial" w:cs="Arial"/>
                <w:color w:val="000000"/>
                <w:sz w:val="20"/>
              </w:rPr>
              <w:t>4,4</w:t>
            </w:r>
          </w:p>
        </w:tc>
        <w:tc>
          <w:tcPr>
            <w:tcW w:w="442" w:type="pct"/>
            <w:tcBorders>
              <w:top w:val="nil"/>
              <w:left w:val="single" w:sz="4" w:space="0" w:color="auto"/>
              <w:bottom w:val="nil"/>
              <w:right w:val="single" w:sz="4" w:space="0" w:color="auto"/>
            </w:tcBorders>
            <w:shd w:val="clear" w:color="000000" w:fill="FFFFFF"/>
            <w:noWrap/>
            <w:vAlign w:val="bottom"/>
            <w:hideMark/>
          </w:tcPr>
          <w:p w14:paraId="2D4BBF25" w14:textId="77777777" w:rsidR="00E541EE" w:rsidRPr="006D3994" w:rsidRDefault="00E541EE" w:rsidP="00A84BB5">
            <w:pPr>
              <w:jc w:val="center"/>
              <w:rPr>
                <w:rFonts w:ascii="Arial" w:eastAsia="Times New Roman" w:hAnsi="Arial" w:cs="Arial"/>
                <w:color w:val="FF0000"/>
                <w:sz w:val="20"/>
              </w:rPr>
            </w:pPr>
            <w:r w:rsidRPr="006D3994">
              <w:rPr>
                <w:rFonts w:ascii="Arial" w:eastAsia="Times New Roman" w:hAnsi="Arial" w:cs="Arial"/>
                <w:color w:val="FF0000"/>
                <w:sz w:val="20"/>
              </w:rPr>
              <w:t>5,6</w:t>
            </w:r>
          </w:p>
        </w:tc>
        <w:tc>
          <w:tcPr>
            <w:tcW w:w="402" w:type="pct"/>
            <w:tcBorders>
              <w:top w:val="nil"/>
              <w:left w:val="nil"/>
              <w:bottom w:val="nil"/>
              <w:right w:val="single" w:sz="4" w:space="0" w:color="auto"/>
            </w:tcBorders>
            <w:shd w:val="clear" w:color="000000" w:fill="FFFFFF"/>
            <w:noWrap/>
            <w:vAlign w:val="bottom"/>
            <w:hideMark/>
          </w:tcPr>
          <w:p w14:paraId="4DF0B480" w14:textId="77777777" w:rsidR="00E541EE" w:rsidRPr="006D3994" w:rsidRDefault="00E541EE" w:rsidP="00A84BB5">
            <w:pPr>
              <w:jc w:val="center"/>
              <w:rPr>
                <w:rFonts w:ascii="Arial" w:eastAsia="Times New Roman" w:hAnsi="Arial" w:cs="Arial"/>
                <w:color w:val="FF0000"/>
                <w:sz w:val="20"/>
              </w:rPr>
            </w:pPr>
            <w:r w:rsidRPr="006D3994">
              <w:rPr>
                <w:rFonts w:ascii="Arial" w:eastAsia="Times New Roman" w:hAnsi="Arial" w:cs="Arial"/>
                <w:color w:val="FF0000"/>
                <w:sz w:val="20"/>
              </w:rPr>
              <w:t>4,1</w:t>
            </w:r>
          </w:p>
        </w:tc>
        <w:tc>
          <w:tcPr>
            <w:tcW w:w="452" w:type="pct"/>
            <w:tcBorders>
              <w:top w:val="nil"/>
              <w:left w:val="nil"/>
              <w:bottom w:val="nil"/>
              <w:right w:val="single" w:sz="4" w:space="0" w:color="auto"/>
            </w:tcBorders>
            <w:shd w:val="clear" w:color="000000" w:fill="FFFFFF"/>
            <w:noWrap/>
            <w:vAlign w:val="bottom"/>
            <w:hideMark/>
          </w:tcPr>
          <w:p w14:paraId="264965F9" w14:textId="77777777" w:rsidR="00E541EE" w:rsidRPr="006D3994" w:rsidRDefault="00E541EE" w:rsidP="00A84BB5">
            <w:pPr>
              <w:jc w:val="center"/>
              <w:rPr>
                <w:rFonts w:ascii="Arial" w:eastAsia="Times New Roman" w:hAnsi="Arial" w:cs="Arial"/>
                <w:i/>
                <w:iCs/>
                <w:sz w:val="20"/>
              </w:rPr>
            </w:pPr>
            <w:r w:rsidRPr="006D3994">
              <w:rPr>
                <w:rFonts w:ascii="Arial" w:eastAsia="Times New Roman" w:hAnsi="Arial" w:cs="Arial"/>
                <w:i/>
                <w:iCs/>
                <w:sz w:val="20"/>
              </w:rPr>
              <w:t>1,6</w:t>
            </w:r>
          </w:p>
        </w:tc>
        <w:tc>
          <w:tcPr>
            <w:tcW w:w="532" w:type="pct"/>
            <w:tcBorders>
              <w:top w:val="nil"/>
              <w:left w:val="nil"/>
              <w:bottom w:val="nil"/>
              <w:right w:val="single" w:sz="4" w:space="0" w:color="auto"/>
            </w:tcBorders>
            <w:shd w:val="clear" w:color="000000" w:fill="FFFFFF"/>
            <w:noWrap/>
            <w:vAlign w:val="bottom"/>
            <w:hideMark/>
          </w:tcPr>
          <w:p w14:paraId="68D9C245" w14:textId="77777777" w:rsidR="00E541EE" w:rsidRPr="006D3994" w:rsidRDefault="00E541EE" w:rsidP="00A84BB5">
            <w:pPr>
              <w:jc w:val="center"/>
              <w:rPr>
                <w:rFonts w:ascii="Arial" w:eastAsia="Times New Roman" w:hAnsi="Arial" w:cs="Arial"/>
                <w:i/>
                <w:iCs/>
                <w:sz w:val="20"/>
              </w:rPr>
            </w:pPr>
            <w:r w:rsidRPr="006D3994">
              <w:rPr>
                <w:rFonts w:ascii="Arial" w:eastAsia="Times New Roman" w:hAnsi="Arial" w:cs="Arial"/>
                <w:i/>
                <w:iCs/>
                <w:sz w:val="20"/>
              </w:rPr>
              <w:t>1,8</w:t>
            </w:r>
          </w:p>
        </w:tc>
      </w:tr>
      <w:tr w:rsidR="00E541EE" w:rsidRPr="00AE6ACF" w14:paraId="4332C200" w14:textId="77777777" w:rsidTr="00E541EE">
        <w:trPr>
          <w:trHeight w:val="300"/>
        </w:trPr>
        <w:tc>
          <w:tcPr>
            <w:tcW w:w="2336" w:type="pct"/>
            <w:tcBorders>
              <w:top w:val="nil"/>
              <w:left w:val="single" w:sz="4" w:space="0" w:color="auto"/>
              <w:bottom w:val="nil"/>
              <w:right w:val="nil"/>
            </w:tcBorders>
            <w:shd w:val="clear" w:color="000000" w:fill="FFFFFF"/>
            <w:noWrap/>
            <w:vAlign w:val="bottom"/>
            <w:hideMark/>
          </w:tcPr>
          <w:p w14:paraId="399EB011" w14:textId="77777777" w:rsidR="00E541EE" w:rsidRPr="006D3994" w:rsidRDefault="00E541EE" w:rsidP="00A84BB5">
            <w:pPr>
              <w:rPr>
                <w:rFonts w:ascii="Arial" w:eastAsia="Times New Roman" w:hAnsi="Arial" w:cs="Arial"/>
                <w:sz w:val="20"/>
              </w:rPr>
            </w:pPr>
            <w:r w:rsidRPr="006D3994">
              <w:rPr>
                <w:rFonts w:ascii="Arial" w:eastAsia="Times New Roman" w:hAnsi="Arial" w:cs="Arial"/>
                <w:sz w:val="20"/>
              </w:rPr>
              <w:t>HIPC energija</w:t>
            </w:r>
          </w:p>
        </w:tc>
        <w:tc>
          <w:tcPr>
            <w:tcW w:w="390" w:type="pct"/>
            <w:tcBorders>
              <w:top w:val="nil"/>
              <w:left w:val="single" w:sz="4" w:space="0" w:color="auto"/>
              <w:bottom w:val="nil"/>
              <w:right w:val="single" w:sz="4" w:space="0" w:color="auto"/>
            </w:tcBorders>
            <w:shd w:val="clear" w:color="000000" w:fill="FFFFFF"/>
            <w:noWrap/>
            <w:vAlign w:val="bottom"/>
            <w:hideMark/>
          </w:tcPr>
          <w:p w14:paraId="17D5405D" w14:textId="77777777" w:rsidR="00E541EE" w:rsidRPr="006D3994" w:rsidRDefault="00E541EE" w:rsidP="00A84BB5">
            <w:pPr>
              <w:jc w:val="center"/>
              <w:rPr>
                <w:rFonts w:ascii="Arial" w:eastAsia="Times New Roman" w:hAnsi="Arial" w:cs="Arial"/>
                <w:sz w:val="20"/>
              </w:rPr>
            </w:pPr>
            <w:r w:rsidRPr="006D3994">
              <w:rPr>
                <w:rFonts w:ascii="Arial" w:eastAsia="Times New Roman" w:hAnsi="Arial" w:cs="Arial"/>
                <w:sz w:val="20"/>
              </w:rPr>
              <w:t>0,0</w:t>
            </w:r>
          </w:p>
        </w:tc>
        <w:tc>
          <w:tcPr>
            <w:tcW w:w="446" w:type="pct"/>
            <w:tcBorders>
              <w:top w:val="nil"/>
              <w:left w:val="nil"/>
              <w:bottom w:val="nil"/>
              <w:right w:val="nil"/>
            </w:tcBorders>
            <w:shd w:val="clear" w:color="000000" w:fill="FFFFFF"/>
            <w:noWrap/>
            <w:vAlign w:val="bottom"/>
            <w:hideMark/>
          </w:tcPr>
          <w:p w14:paraId="6B12EE7F" w14:textId="77777777" w:rsidR="00E541EE" w:rsidRPr="006D3994" w:rsidRDefault="00E541EE" w:rsidP="00A84BB5">
            <w:pPr>
              <w:jc w:val="center"/>
              <w:rPr>
                <w:rFonts w:ascii="Arial" w:eastAsia="Times New Roman" w:hAnsi="Arial" w:cs="Arial"/>
                <w:color w:val="000000"/>
                <w:sz w:val="20"/>
              </w:rPr>
            </w:pPr>
            <w:r w:rsidRPr="006D3994">
              <w:rPr>
                <w:rFonts w:ascii="Arial" w:eastAsia="Times New Roman" w:hAnsi="Arial" w:cs="Arial"/>
                <w:color w:val="000000"/>
                <w:sz w:val="20"/>
              </w:rPr>
              <w:t>-0,3</w:t>
            </w:r>
          </w:p>
        </w:tc>
        <w:tc>
          <w:tcPr>
            <w:tcW w:w="442" w:type="pct"/>
            <w:tcBorders>
              <w:top w:val="nil"/>
              <w:left w:val="single" w:sz="4" w:space="0" w:color="auto"/>
              <w:bottom w:val="nil"/>
              <w:right w:val="single" w:sz="4" w:space="0" w:color="auto"/>
            </w:tcBorders>
            <w:shd w:val="clear" w:color="000000" w:fill="FFFFFF"/>
            <w:noWrap/>
            <w:vAlign w:val="bottom"/>
            <w:hideMark/>
          </w:tcPr>
          <w:p w14:paraId="50547F9D" w14:textId="77777777" w:rsidR="00E541EE" w:rsidRPr="006D3994" w:rsidRDefault="00E541EE" w:rsidP="00A84BB5">
            <w:pPr>
              <w:jc w:val="center"/>
              <w:rPr>
                <w:rFonts w:ascii="Arial" w:eastAsia="Times New Roman" w:hAnsi="Arial" w:cs="Arial"/>
                <w:color w:val="FF0000"/>
                <w:sz w:val="20"/>
              </w:rPr>
            </w:pPr>
            <w:r w:rsidRPr="006D3994">
              <w:rPr>
                <w:rFonts w:ascii="Arial" w:eastAsia="Times New Roman" w:hAnsi="Arial" w:cs="Arial"/>
                <w:color w:val="FF0000"/>
                <w:sz w:val="20"/>
              </w:rPr>
              <w:t>2,9</w:t>
            </w:r>
          </w:p>
        </w:tc>
        <w:tc>
          <w:tcPr>
            <w:tcW w:w="402" w:type="pct"/>
            <w:tcBorders>
              <w:top w:val="nil"/>
              <w:left w:val="nil"/>
              <w:bottom w:val="nil"/>
              <w:right w:val="single" w:sz="4" w:space="0" w:color="auto"/>
            </w:tcBorders>
            <w:shd w:val="clear" w:color="000000" w:fill="FFFFFF"/>
            <w:noWrap/>
            <w:vAlign w:val="bottom"/>
            <w:hideMark/>
          </w:tcPr>
          <w:p w14:paraId="54B07F14" w14:textId="77777777" w:rsidR="00E541EE" w:rsidRPr="006D3994" w:rsidRDefault="00E541EE" w:rsidP="00A84BB5">
            <w:pPr>
              <w:jc w:val="center"/>
              <w:rPr>
                <w:rFonts w:ascii="Arial" w:eastAsia="Times New Roman" w:hAnsi="Arial" w:cs="Arial"/>
                <w:color w:val="FF0000"/>
                <w:sz w:val="20"/>
              </w:rPr>
            </w:pPr>
            <w:r w:rsidRPr="006D3994">
              <w:rPr>
                <w:rFonts w:ascii="Arial" w:eastAsia="Times New Roman" w:hAnsi="Arial" w:cs="Arial"/>
                <w:color w:val="FF0000"/>
                <w:sz w:val="20"/>
              </w:rPr>
              <w:t>0,8</w:t>
            </w:r>
          </w:p>
        </w:tc>
        <w:tc>
          <w:tcPr>
            <w:tcW w:w="452" w:type="pct"/>
            <w:tcBorders>
              <w:top w:val="nil"/>
              <w:left w:val="nil"/>
              <w:bottom w:val="nil"/>
              <w:right w:val="single" w:sz="4" w:space="0" w:color="auto"/>
            </w:tcBorders>
            <w:shd w:val="clear" w:color="000000" w:fill="FFFFFF"/>
            <w:noWrap/>
            <w:vAlign w:val="bottom"/>
            <w:hideMark/>
          </w:tcPr>
          <w:p w14:paraId="12080254" w14:textId="77777777" w:rsidR="00E541EE" w:rsidRPr="006D3994" w:rsidRDefault="00E541EE" w:rsidP="00A84BB5">
            <w:pPr>
              <w:jc w:val="center"/>
              <w:rPr>
                <w:rFonts w:ascii="Arial" w:eastAsia="Times New Roman" w:hAnsi="Arial" w:cs="Arial"/>
                <w:i/>
                <w:iCs/>
                <w:sz w:val="20"/>
              </w:rPr>
            </w:pPr>
            <w:r w:rsidRPr="006D3994">
              <w:rPr>
                <w:rFonts w:ascii="Arial" w:eastAsia="Times New Roman" w:hAnsi="Arial" w:cs="Arial"/>
                <w:i/>
                <w:iCs/>
                <w:sz w:val="20"/>
              </w:rPr>
              <w:t>0,0</w:t>
            </w:r>
          </w:p>
        </w:tc>
        <w:tc>
          <w:tcPr>
            <w:tcW w:w="532" w:type="pct"/>
            <w:tcBorders>
              <w:top w:val="nil"/>
              <w:left w:val="nil"/>
              <w:bottom w:val="nil"/>
              <w:right w:val="single" w:sz="4" w:space="0" w:color="auto"/>
            </w:tcBorders>
            <w:shd w:val="clear" w:color="000000" w:fill="FFFFFF"/>
            <w:noWrap/>
            <w:vAlign w:val="bottom"/>
            <w:hideMark/>
          </w:tcPr>
          <w:p w14:paraId="584DFEBF" w14:textId="77777777" w:rsidR="00E541EE" w:rsidRPr="006D3994" w:rsidRDefault="00E541EE" w:rsidP="00A84BB5">
            <w:pPr>
              <w:jc w:val="center"/>
              <w:rPr>
                <w:rFonts w:ascii="Arial" w:eastAsia="Times New Roman" w:hAnsi="Arial" w:cs="Arial"/>
                <w:i/>
                <w:iCs/>
                <w:sz w:val="20"/>
              </w:rPr>
            </w:pPr>
            <w:r w:rsidRPr="006D3994">
              <w:rPr>
                <w:rFonts w:ascii="Arial" w:eastAsia="Times New Roman" w:hAnsi="Arial" w:cs="Arial"/>
                <w:i/>
                <w:iCs/>
                <w:sz w:val="20"/>
              </w:rPr>
              <w:t>-1,5</w:t>
            </w:r>
          </w:p>
        </w:tc>
      </w:tr>
      <w:tr w:rsidR="00E541EE" w:rsidRPr="00AE6ACF" w14:paraId="08E5456D" w14:textId="77777777" w:rsidTr="00E541EE">
        <w:trPr>
          <w:trHeight w:val="300"/>
        </w:trPr>
        <w:tc>
          <w:tcPr>
            <w:tcW w:w="2336" w:type="pct"/>
            <w:tcBorders>
              <w:top w:val="nil"/>
              <w:left w:val="single" w:sz="4" w:space="0" w:color="auto"/>
              <w:bottom w:val="nil"/>
              <w:right w:val="nil"/>
            </w:tcBorders>
            <w:shd w:val="clear" w:color="000000" w:fill="FFFFFF"/>
            <w:noWrap/>
            <w:vAlign w:val="bottom"/>
            <w:hideMark/>
          </w:tcPr>
          <w:p w14:paraId="0D4940F6" w14:textId="77777777" w:rsidR="00E541EE" w:rsidRPr="006D3994" w:rsidRDefault="00E541EE" w:rsidP="00A84BB5">
            <w:pPr>
              <w:rPr>
                <w:rFonts w:ascii="Arial" w:eastAsia="Times New Roman" w:hAnsi="Arial" w:cs="Arial"/>
                <w:sz w:val="20"/>
              </w:rPr>
            </w:pPr>
            <w:r w:rsidRPr="006D3994">
              <w:rPr>
                <w:rFonts w:ascii="Arial" w:eastAsia="Times New Roman" w:hAnsi="Arial" w:cs="Arial"/>
                <w:sz w:val="20"/>
              </w:rPr>
              <w:t>IPC</w:t>
            </w:r>
          </w:p>
        </w:tc>
        <w:tc>
          <w:tcPr>
            <w:tcW w:w="390" w:type="pct"/>
            <w:tcBorders>
              <w:top w:val="nil"/>
              <w:left w:val="single" w:sz="4" w:space="0" w:color="auto"/>
              <w:bottom w:val="nil"/>
              <w:right w:val="single" w:sz="4" w:space="0" w:color="auto"/>
            </w:tcBorders>
            <w:shd w:val="clear" w:color="000000" w:fill="FFFFFF"/>
            <w:noWrap/>
            <w:vAlign w:val="bottom"/>
            <w:hideMark/>
          </w:tcPr>
          <w:p w14:paraId="4E4DD15E" w14:textId="77777777" w:rsidR="00E541EE" w:rsidRPr="006D3994" w:rsidRDefault="00E541EE" w:rsidP="00A84BB5">
            <w:pPr>
              <w:jc w:val="center"/>
              <w:rPr>
                <w:rFonts w:ascii="Arial" w:eastAsia="Times New Roman" w:hAnsi="Arial" w:cs="Arial"/>
                <w:sz w:val="20"/>
              </w:rPr>
            </w:pPr>
            <w:r w:rsidRPr="006D3994">
              <w:rPr>
                <w:rFonts w:ascii="Arial" w:eastAsia="Times New Roman" w:hAnsi="Arial" w:cs="Arial"/>
                <w:sz w:val="20"/>
              </w:rPr>
              <w:t>8,0</w:t>
            </w:r>
          </w:p>
        </w:tc>
        <w:tc>
          <w:tcPr>
            <w:tcW w:w="446" w:type="pct"/>
            <w:tcBorders>
              <w:top w:val="nil"/>
              <w:left w:val="nil"/>
              <w:bottom w:val="nil"/>
              <w:right w:val="nil"/>
            </w:tcBorders>
            <w:shd w:val="clear" w:color="000000" w:fill="FFFFFF"/>
            <w:noWrap/>
            <w:vAlign w:val="bottom"/>
            <w:hideMark/>
          </w:tcPr>
          <w:p w14:paraId="1A65DF3D" w14:textId="77777777" w:rsidR="00E541EE" w:rsidRPr="006D3994" w:rsidRDefault="00E541EE" w:rsidP="00A84BB5">
            <w:pPr>
              <w:jc w:val="center"/>
              <w:rPr>
                <w:rFonts w:ascii="Arial" w:eastAsia="Times New Roman" w:hAnsi="Arial" w:cs="Arial"/>
                <w:color w:val="000000"/>
                <w:sz w:val="20"/>
              </w:rPr>
            </w:pPr>
            <w:r w:rsidRPr="006D3994">
              <w:rPr>
                <w:rFonts w:ascii="Arial" w:eastAsia="Times New Roman" w:hAnsi="Arial" w:cs="Arial"/>
                <w:color w:val="000000"/>
                <w:sz w:val="20"/>
              </w:rPr>
              <w:t>3,0</w:t>
            </w:r>
          </w:p>
        </w:tc>
        <w:tc>
          <w:tcPr>
            <w:tcW w:w="442" w:type="pct"/>
            <w:tcBorders>
              <w:top w:val="nil"/>
              <w:left w:val="single" w:sz="4" w:space="0" w:color="auto"/>
              <w:bottom w:val="nil"/>
              <w:right w:val="single" w:sz="4" w:space="0" w:color="auto"/>
            </w:tcBorders>
            <w:shd w:val="clear" w:color="000000" w:fill="FFFFFF"/>
            <w:noWrap/>
            <w:vAlign w:val="bottom"/>
            <w:hideMark/>
          </w:tcPr>
          <w:p w14:paraId="5131E3B4" w14:textId="77777777" w:rsidR="00E541EE" w:rsidRPr="006D3994" w:rsidRDefault="00E541EE" w:rsidP="00A84BB5">
            <w:pPr>
              <w:jc w:val="center"/>
              <w:rPr>
                <w:rFonts w:ascii="Arial" w:eastAsia="Times New Roman" w:hAnsi="Arial" w:cs="Arial"/>
                <w:color w:val="FF0000"/>
                <w:sz w:val="20"/>
              </w:rPr>
            </w:pPr>
            <w:r w:rsidRPr="006D3994">
              <w:rPr>
                <w:rFonts w:ascii="Arial" w:eastAsia="Times New Roman" w:hAnsi="Arial" w:cs="Arial"/>
                <w:color w:val="FF0000"/>
                <w:sz w:val="20"/>
              </w:rPr>
              <w:t>3,6</w:t>
            </w:r>
          </w:p>
        </w:tc>
        <w:tc>
          <w:tcPr>
            <w:tcW w:w="402" w:type="pct"/>
            <w:tcBorders>
              <w:top w:val="nil"/>
              <w:left w:val="nil"/>
              <w:bottom w:val="nil"/>
              <w:right w:val="single" w:sz="4" w:space="0" w:color="auto"/>
            </w:tcBorders>
            <w:shd w:val="clear" w:color="000000" w:fill="FFFFFF"/>
            <w:noWrap/>
            <w:vAlign w:val="bottom"/>
            <w:hideMark/>
          </w:tcPr>
          <w:p w14:paraId="01F9413E" w14:textId="77777777" w:rsidR="00E541EE" w:rsidRPr="006D3994" w:rsidRDefault="00E541EE" w:rsidP="00A84BB5">
            <w:pPr>
              <w:jc w:val="center"/>
              <w:rPr>
                <w:rFonts w:ascii="Arial" w:eastAsia="Times New Roman" w:hAnsi="Arial" w:cs="Arial"/>
                <w:color w:val="FF0000"/>
                <w:sz w:val="20"/>
              </w:rPr>
            </w:pPr>
            <w:r w:rsidRPr="006D3994">
              <w:rPr>
                <w:rFonts w:ascii="Arial" w:eastAsia="Times New Roman" w:hAnsi="Arial" w:cs="Arial"/>
                <w:color w:val="FF0000"/>
                <w:sz w:val="20"/>
              </w:rPr>
              <w:t>2,6</w:t>
            </w:r>
          </w:p>
        </w:tc>
        <w:tc>
          <w:tcPr>
            <w:tcW w:w="452" w:type="pct"/>
            <w:tcBorders>
              <w:top w:val="nil"/>
              <w:left w:val="nil"/>
              <w:bottom w:val="nil"/>
              <w:right w:val="single" w:sz="4" w:space="0" w:color="auto"/>
            </w:tcBorders>
            <w:shd w:val="clear" w:color="000000" w:fill="FFFFFF"/>
            <w:noWrap/>
            <w:vAlign w:val="bottom"/>
            <w:hideMark/>
          </w:tcPr>
          <w:p w14:paraId="52489AA0" w14:textId="77777777" w:rsidR="00E541EE" w:rsidRPr="006D3994" w:rsidRDefault="00E541EE" w:rsidP="00A84BB5">
            <w:pPr>
              <w:jc w:val="center"/>
              <w:rPr>
                <w:rFonts w:ascii="Arial" w:eastAsia="Times New Roman" w:hAnsi="Arial" w:cs="Arial"/>
                <w:i/>
                <w:iCs/>
                <w:sz w:val="20"/>
              </w:rPr>
            </w:pPr>
            <w:r w:rsidRPr="006D3994">
              <w:rPr>
                <w:rFonts w:ascii="Arial" w:eastAsia="Times New Roman" w:hAnsi="Arial" w:cs="Arial"/>
                <w:i/>
                <w:iCs/>
                <w:sz w:val="20"/>
              </w:rPr>
              <w:t>0,7</w:t>
            </w:r>
          </w:p>
        </w:tc>
        <w:tc>
          <w:tcPr>
            <w:tcW w:w="532" w:type="pct"/>
            <w:tcBorders>
              <w:top w:val="nil"/>
              <w:left w:val="nil"/>
              <w:bottom w:val="nil"/>
              <w:right w:val="single" w:sz="4" w:space="0" w:color="auto"/>
            </w:tcBorders>
            <w:shd w:val="clear" w:color="000000" w:fill="FFFFFF"/>
            <w:noWrap/>
            <w:vAlign w:val="bottom"/>
            <w:hideMark/>
          </w:tcPr>
          <w:p w14:paraId="4660C152" w14:textId="77777777" w:rsidR="00E541EE" w:rsidRPr="006D3994" w:rsidRDefault="00E541EE" w:rsidP="00A84BB5">
            <w:pPr>
              <w:jc w:val="center"/>
              <w:rPr>
                <w:rFonts w:ascii="Arial" w:eastAsia="Times New Roman" w:hAnsi="Arial" w:cs="Arial"/>
                <w:i/>
                <w:iCs/>
                <w:sz w:val="20"/>
              </w:rPr>
            </w:pPr>
            <w:r w:rsidRPr="006D3994">
              <w:rPr>
                <w:rFonts w:ascii="Arial" w:eastAsia="Times New Roman" w:hAnsi="Arial" w:cs="Arial"/>
                <w:i/>
                <w:iCs/>
                <w:sz w:val="20"/>
              </w:rPr>
              <w:t>0,4</w:t>
            </w:r>
          </w:p>
        </w:tc>
      </w:tr>
      <w:tr w:rsidR="00E541EE" w:rsidRPr="00AE6ACF" w14:paraId="7B8EA3D6" w14:textId="77777777" w:rsidTr="00E541EE">
        <w:trPr>
          <w:trHeight w:val="300"/>
        </w:trPr>
        <w:tc>
          <w:tcPr>
            <w:tcW w:w="2336" w:type="pct"/>
            <w:tcBorders>
              <w:top w:val="nil"/>
              <w:left w:val="single" w:sz="4" w:space="0" w:color="auto"/>
              <w:bottom w:val="nil"/>
              <w:right w:val="nil"/>
            </w:tcBorders>
            <w:shd w:val="clear" w:color="000000" w:fill="FFFFFF"/>
            <w:noWrap/>
            <w:vAlign w:val="bottom"/>
            <w:hideMark/>
          </w:tcPr>
          <w:p w14:paraId="5EA529E2" w14:textId="77777777" w:rsidR="00E541EE" w:rsidRPr="006D3994" w:rsidRDefault="00E541EE" w:rsidP="00A84BB5">
            <w:pPr>
              <w:rPr>
                <w:rFonts w:ascii="Arial" w:eastAsia="Times New Roman" w:hAnsi="Arial" w:cs="Arial"/>
                <w:sz w:val="20"/>
              </w:rPr>
            </w:pPr>
            <w:r w:rsidRPr="006D3994">
              <w:rPr>
                <w:rFonts w:ascii="Arial" w:eastAsia="Times New Roman" w:hAnsi="Arial" w:cs="Arial"/>
                <w:sz w:val="20"/>
              </w:rPr>
              <w:t> </w:t>
            </w:r>
          </w:p>
        </w:tc>
        <w:tc>
          <w:tcPr>
            <w:tcW w:w="390" w:type="pct"/>
            <w:tcBorders>
              <w:top w:val="nil"/>
              <w:left w:val="single" w:sz="4" w:space="0" w:color="auto"/>
              <w:bottom w:val="nil"/>
              <w:right w:val="single" w:sz="4" w:space="0" w:color="auto"/>
            </w:tcBorders>
            <w:shd w:val="clear" w:color="000000" w:fill="FFFFFF"/>
            <w:noWrap/>
            <w:vAlign w:val="bottom"/>
            <w:hideMark/>
          </w:tcPr>
          <w:p w14:paraId="0144A14A" w14:textId="77777777" w:rsidR="00E541EE" w:rsidRPr="006D3994" w:rsidRDefault="00E541EE" w:rsidP="00A84BB5">
            <w:pPr>
              <w:jc w:val="center"/>
              <w:rPr>
                <w:rFonts w:ascii="Arial" w:eastAsia="Times New Roman" w:hAnsi="Arial" w:cs="Arial"/>
                <w:sz w:val="20"/>
              </w:rPr>
            </w:pPr>
            <w:r w:rsidRPr="006D3994">
              <w:rPr>
                <w:rFonts w:ascii="Arial" w:eastAsia="Times New Roman" w:hAnsi="Arial" w:cs="Arial"/>
                <w:sz w:val="20"/>
              </w:rPr>
              <w:t> </w:t>
            </w:r>
          </w:p>
        </w:tc>
        <w:tc>
          <w:tcPr>
            <w:tcW w:w="446" w:type="pct"/>
            <w:tcBorders>
              <w:top w:val="nil"/>
              <w:left w:val="nil"/>
              <w:bottom w:val="nil"/>
              <w:right w:val="nil"/>
            </w:tcBorders>
            <w:shd w:val="clear" w:color="000000" w:fill="FFFFFF"/>
            <w:noWrap/>
            <w:vAlign w:val="bottom"/>
            <w:hideMark/>
          </w:tcPr>
          <w:p w14:paraId="40EC53B9" w14:textId="77777777" w:rsidR="00E541EE" w:rsidRPr="006D3994" w:rsidRDefault="00E541EE" w:rsidP="00A84BB5">
            <w:pPr>
              <w:jc w:val="center"/>
              <w:rPr>
                <w:rFonts w:ascii="Arial" w:eastAsia="Times New Roman" w:hAnsi="Arial" w:cs="Arial"/>
                <w:sz w:val="20"/>
              </w:rPr>
            </w:pPr>
            <w:r w:rsidRPr="006D3994">
              <w:rPr>
                <w:rFonts w:ascii="Arial" w:eastAsia="Times New Roman" w:hAnsi="Arial" w:cs="Arial"/>
                <w:sz w:val="20"/>
              </w:rPr>
              <w:t> </w:t>
            </w:r>
          </w:p>
        </w:tc>
        <w:tc>
          <w:tcPr>
            <w:tcW w:w="442" w:type="pct"/>
            <w:tcBorders>
              <w:top w:val="nil"/>
              <w:left w:val="single" w:sz="4" w:space="0" w:color="auto"/>
              <w:bottom w:val="nil"/>
              <w:right w:val="single" w:sz="4" w:space="0" w:color="auto"/>
            </w:tcBorders>
            <w:shd w:val="clear" w:color="000000" w:fill="FFFFFF"/>
            <w:noWrap/>
            <w:vAlign w:val="bottom"/>
            <w:hideMark/>
          </w:tcPr>
          <w:p w14:paraId="4554B0C2" w14:textId="77777777" w:rsidR="00E541EE" w:rsidRPr="006D3994" w:rsidRDefault="00E541EE" w:rsidP="00A84BB5">
            <w:pPr>
              <w:jc w:val="center"/>
              <w:rPr>
                <w:rFonts w:ascii="Arial" w:eastAsia="Times New Roman" w:hAnsi="Arial" w:cs="Arial"/>
                <w:sz w:val="20"/>
              </w:rPr>
            </w:pPr>
            <w:r w:rsidRPr="006D3994">
              <w:rPr>
                <w:rFonts w:ascii="Arial" w:eastAsia="Times New Roman" w:hAnsi="Arial" w:cs="Arial"/>
                <w:sz w:val="20"/>
              </w:rPr>
              <w:t> </w:t>
            </w:r>
          </w:p>
        </w:tc>
        <w:tc>
          <w:tcPr>
            <w:tcW w:w="402" w:type="pct"/>
            <w:tcBorders>
              <w:top w:val="nil"/>
              <w:left w:val="nil"/>
              <w:bottom w:val="nil"/>
              <w:right w:val="single" w:sz="4" w:space="0" w:color="auto"/>
            </w:tcBorders>
            <w:shd w:val="clear" w:color="000000" w:fill="FFFFFF"/>
            <w:noWrap/>
            <w:vAlign w:val="bottom"/>
            <w:hideMark/>
          </w:tcPr>
          <w:p w14:paraId="5D0DCB88" w14:textId="77777777" w:rsidR="00E541EE" w:rsidRPr="006D3994" w:rsidRDefault="00E541EE" w:rsidP="00A84BB5">
            <w:pPr>
              <w:jc w:val="center"/>
              <w:rPr>
                <w:rFonts w:ascii="Arial" w:eastAsia="Times New Roman" w:hAnsi="Arial" w:cs="Arial"/>
                <w:sz w:val="20"/>
              </w:rPr>
            </w:pPr>
            <w:r w:rsidRPr="006D3994">
              <w:rPr>
                <w:rFonts w:ascii="Arial" w:eastAsia="Times New Roman" w:hAnsi="Arial" w:cs="Arial"/>
                <w:sz w:val="20"/>
              </w:rPr>
              <w:t> </w:t>
            </w:r>
          </w:p>
        </w:tc>
        <w:tc>
          <w:tcPr>
            <w:tcW w:w="452" w:type="pct"/>
            <w:tcBorders>
              <w:top w:val="nil"/>
              <w:left w:val="nil"/>
              <w:bottom w:val="nil"/>
              <w:right w:val="single" w:sz="4" w:space="0" w:color="auto"/>
            </w:tcBorders>
            <w:shd w:val="clear" w:color="000000" w:fill="FFFFFF"/>
            <w:noWrap/>
            <w:vAlign w:val="bottom"/>
            <w:hideMark/>
          </w:tcPr>
          <w:p w14:paraId="7545FE10" w14:textId="77777777" w:rsidR="00E541EE" w:rsidRPr="006D3994" w:rsidRDefault="00E541EE" w:rsidP="00A84BB5">
            <w:pPr>
              <w:jc w:val="center"/>
              <w:rPr>
                <w:rFonts w:ascii="Arial" w:eastAsia="Times New Roman" w:hAnsi="Arial" w:cs="Arial"/>
                <w:i/>
                <w:iCs/>
                <w:sz w:val="20"/>
              </w:rPr>
            </w:pPr>
            <w:r w:rsidRPr="006D3994">
              <w:rPr>
                <w:rFonts w:ascii="Arial" w:eastAsia="Times New Roman" w:hAnsi="Arial" w:cs="Arial"/>
                <w:i/>
                <w:iCs/>
                <w:sz w:val="20"/>
              </w:rPr>
              <w:t> </w:t>
            </w:r>
          </w:p>
        </w:tc>
        <w:tc>
          <w:tcPr>
            <w:tcW w:w="532" w:type="pct"/>
            <w:tcBorders>
              <w:top w:val="nil"/>
              <w:left w:val="nil"/>
              <w:bottom w:val="nil"/>
              <w:right w:val="single" w:sz="4" w:space="0" w:color="auto"/>
            </w:tcBorders>
            <w:shd w:val="clear" w:color="000000" w:fill="FFFFFF"/>
            <w:noWrap/>
            <w:vAlign w:val="bottom"/>
            <w:hideMark/>
          </w:tcPr>
          <w:p w14:paraId="1930ADF7" w14:textId="77777777" w:rsidR="00E541EE" w:rsidRPr="006D3994" w:rsidRDefault="00E541EE" w:rsidP="00A84BB5">
            <w:pPr>
              <w:jc w:val="center"/>
              <w:rPr>
                <w:rFonts w:ascii="Arial" w:eastAsia="Times New Roman" w:hAnsi="Arial" w:cs="Arial"/>
                <w:i/>
                <w:iCs/>
                <w:sz w:val="20"/>
              </w:rPr>
            </w:pPr>
            <w:r w:rsidRPr="006D3994">
              <w:rPr>
                <w:rFonts w:ascii="Arial" w:eastAsia="Times New Roman" w:hAnsi="Arial" w:cs="Arial"/>
                <w:i/>
                <w:iCs/>
                <w:sz w:val="20"/>
              </w:rPr>
              <w:t> </w:t>
            </w:r>
          </w:p>
        </w:tc>
      </w:tr>
      <w:tr w:rsidR="00E541EE" w:rsidRPr="00AE6ACF" w14:paraId="68E05CC9" w14:textId="77777777" w:rsidTr="00E541EE">
        <w:trPr>
          <w:trHeight w:val="300"/>
        </w:trPr>
        <w:tc>
          <w:tcPr>
            <w:tcW w:w="2336" w:type="pct"/>
            <w:tcBorders>
              <w:top w:val="nil"/>
              <w:left w:val="single" w:sz="4" w:space="0" w:color="auto"/>
              <w:bottom w:val="nil"/>
              <w:right w:val="nil"/>
            </w:tcBorders>
            <w:shd w:val="clear" w:color="000000" w:fill="FFFFFF"/>
            <w:noWrap/>
            <w:vAlign w:val="bottom"/>
            <w:hideMark/>
          </w:tcPr>
          <w:p w14:paraId="2A30310B" w14:textId="77777777" w:rsidR="00E541EE" w:rsidRPr="006D3994" w:rsidRDefault="00E541EE" w:rsidP="00A84BB5">
            <w:pPr>
              <w:rPr>
                <w:rFonts w:ascii="Arial" w:eastAsia="Times New Roman" w:hAnsi="Arial" w:cs="Arial"/>
                <w:b/>
                <w:bCs/>
                <w:sz w:val="20"/>
              </w:rPr>
            </w:pPr>
            <w:r w:rsidRPr="006D3994">
              <w:rPr>
                <w:rFonts w:ascii="Arial" w:eastAsia="Times New Roman" w:hAnsi="Arial" w:cs="Arial"/>
                <w:b/>
                <w:bCs/>
                <w:sz w:val="20"/>
              </w:rPr>
              <w:t>Gospodarska aktivnost</w:t>
            </w:r>
          </w:p>
        </w:tc>
        <w:tc>
          <w:tcPr>
            <w:tcW w:w="390" w:type="pct"/>
            <w:tcBorders>
              <w:top w:val="nil"/>
              <w:left w:val="single" w:sz="4" w:space="0" w:color="auto"/>
              <w:bottom w:val="nil"/>
              <w:right w:val="single" w:sz="4" w:space="0" w:color="auto"/>
            </w:tcBorders>
            <w:shd w:val="clear" w:color="000000" w:fill="FFFFFF"/>
            <w:noWrap/>
            <w:vAlign w:val="bottom"/>
            <w:hideMark/>
          </w:tcPr>
          <w:p w14:paraId="15D646D8" w14:textId="77777777" w:rsidR="00E541EE" w:rsidRPr="006D3994" w:rsidRDefault="00E541EE" w:rsidP="00A84BB5">
            <w:pPr>
              <w:jc w:val="center"/>
              <w:rPr>
                <w:rFonts w:ascii="Arial" w:eastAsia="Times New Roman" w:hAnsi="Arial" w:cs="Arial"/>
                <w:sz w:val="20"/>
              </w:rPr>
            </w:pPr>
            <w:r w:rsidRPr="006D3994">
              <w:rPr>
                <w:rFonts w:ascii="Arial" w:eastAsia="Times New Roman" w:hAnsi="Arial" w:cs="Arial"/>
                <w:sz w:val="20"/>
              </w:rPr>
              <w:t> </w:t>
            </w:r>
          </w:p>
        </w:tc>
        <w:tc>
          <w:tcPr>
            <w:tcW w:w="446" w:type="pct"/>
            <w:tcBorders>
              <w:top w:val="nil"/>
              <w:left w:val="nil"/>
              <w:bottom w:val="nil"/>
              <w:right w:val="nil"/>
            </w:tcBorders>
            <w:shd w:val="clear" w:color="000000" w:fill="FFFFFF"/>
            <w:noWrap/>
            <w:vAlign w:val="bottom"/>
            <w:hideMark/>
          </w:tcPr>
          <w:p w14:paraId="586889C2" w14:textId="77777777" w:rsidR="00E541EE" w:rsidRPr="006D3994" w:rsidRDefault="00E541EE" w:rsidP="00A84BB5">
            <w:pPr>
              <w:jc w:val="center"/>
              <w:rPr>
                <w:rFonts w:ascii="Arial" w:eastAsia="Times New Roman" w:hAnsi="Arial" w:cs="Arial"/>
                <w:sz w:val="20"/>
              </w:rPr>
            </w:pPr>
            <w:r w:rsidRPr="006D3994">
              <w:rPr>
                <w:rFonts w:ascii="Arial" w:eastAsia="Times New Roman" w:hAnsi="Arial" w:cs="Arial"/>
                <w:sz w:val="20"/>
              </w:rPr>
              <w:t> </w:t>
            </w:r>
          </w:p>
        </w:tc>
        <w:tc>
          <w:tcPr>
            <w:tcW w:w="442" w:type="pct"/>
            <w:tcBorders>
              <w:top w:val="nil"/>
              <w:left w:val="single" w:sz="4" w:space="0" w:color="auto"/>
              <w:bottom w:val="nil"/>
              <w:right w:val="single" w:sz="4" w:space="0" w:color="auto"/>
            </w:tcBorders>
            <w:shd w:val="clear" w:color="000000" w:fill="FFFFFF"/>
            <w:noWrap/>
            <w:vAlign w:val="bottom"/>
            <w:hideMark/>
          </w:tcPr>
          <w:p w14:paraId="3D79C7A5" w14:textId="77777777" w:rsidR="00E541EE" w:rsidRPr="006D3994" w:rsidRDefault="00E541EE" w:rsidP="00A84BB5">
            <w:pPr>
              <w:jc w:val="center"/>
              <w:rPr>
                <w:rFonts w:ascii="Arial" w:eastAsia="Times New Roman" w:hAnsi="Arial" w:cs="Arial"/>
                <w:sz w:val="20"/>
              </w:rPr>
            </w:pPr>
            <w:r w:rsidRPr="006D3994">
              <w:rPr>
                <w:rFonts w:ascii="Arial" w:eastAsia="Times New Roman" w:hAnsi="Arial" w:cs="Arial"/>
                <w:sz w:val="20"/>
              </w:rPr>
              <w:t> </w:t>
            </w:r>
          </w:p>
        </w:tc>
        <w:tc>
          <w:tcPr>
            <w:tcW w:w="402" w:type="pct"/>
            <w:tcBorders>
              <w:top w:val="nil"/>
              <w:left w:val="nil"/>
              <w:bottom w:val="nil"/>
              <w:right w:val="single" w:sz="4" w:space="0" w:color="auto"/>
            </w:tcBorders>
            <w:shd w:val="clear" w:color="000000" w:fill="FFFFFF"/>
            <w:noWrap/>
            <w:vAlign w:val="bottom"/>
            <w:hideMark/>
          </w:tcPr>
          <w:p w14:paraId="03ECDB90" w14:textId="77777777" w:rsidR="00E541EE" w:rsidRPr="006D3994" w:rsidRDefault="00E541EE" w:rsidP="00A84BB5">
            <w:pPr>
              <w:jc w:val="center"/>
              <w:rPr>
                <w:rFonts w:ascii="Arial" w:eastAsia="Times New Roman" w:hAnsi="Arial" w:cs="Arial"/>
                <w:sz w:val="20"/>
              </w:rPr>
            </w:pPr>
            <w:r w:rsidRPr="006D3994">
              <w:rPr>
                <w:rFonts w:ascii="Arial" w:eastAsia="Times New Roman" w:hAnsi="Arial" w:cs="Arial"/>
                <w:sz w:val="20"/>
              </w:rPr>
              <w:t> </w:t>
            </w:r>
          </w:p>
        </w:tc>
        <w:tc>
          <w:tcPr>
            <w:tcW w:w="452" w:type="pct"/>
            <w:tcBorders>
              <w:top w:val="nil"/>
              <w:left w:val="nil"/>
              <w:bottom w:val="nil"/>
              <w:right w:val="single" w:sz="4" w:space="0" w:color="auto"/>
            </w:tcBorders>
            <w:shd w:val="clear" w:color="000000" w:fill="FFFFFF"/>
            <w:noWrap/>
            <w:vAlign w:val="bottom"/>
            <w:hideMark/>
          </w:tcPr>
          <w:p w14:paraId="30AFD5E4" w14:textId="77777777" w:rsidR="00E541EE" w:rsidRPr="006D3994" w:rsidRDefault="00E541EE" w:rsidP="00A84BB5">
            <w:pPr>
              <w:jc w:val="center"/>
              <w:rPr>
                <w:rFonts w:ascii="Arial" w:eastAsia="Times New Roman" w:hAnsi="Arial" w:cs="Arial"/>
                <w:i/>
                <w:iCs/>
                <w:sz w:val="20"/>
              </w:rPr>
            </w:pPr>
            <w:r w:rsidRPr="006D3994">
              <w:rPr>
                <w:rFonts w:ascii="Arial" w:eastAsia="Times New Roman" w:hAnsi="Arial" w:cs="Arial"/>
                <w:i/>
                <w:iCs/>
                <w:sz w:val="20"/>
              </w:rPr>
              <w:t> </w:t>
            </w:r>
          </w:p>
        </w:tc>
        <w:tc>
          <w:tcPr>
            <w:tcW w:w="532" w:type="pct"/>
            <w:tcBorders>
              <w:top w:val="nil"/>
              <w:left w:val="nil"/>
              <w:bottom w:val="nil"/>
              <w:right w:val="single" w:sz="4" w:space="0" w:color="auto"/>
            </w:tcBorders>
            <w:shd w:val="clear" w:color="000000" w:fill="FFFFFF"/>
            <w:noWrap/>
            <w:vAlign w:val="bottom"/>
            <w:hideMark/>
          </w:tcPr>
          <w:p w14:paraId="64AD569B" w14:textId="77777777" w:rsidR="00E541EE" w:rsidRPr="006D3994" w:rsidRDefault="00E541EE" w:rsidP="00A84BB5">
            <w:pPr>
              <w:jc w:val="center"/>
              <w:rPr>
                <w:rFonts w:ascii="Arial" w:eastAsia="Times New Roman" w:hAnsi="Arial" w:cs="Arial"/>
                <w:i/>
                <w:iCs/>
                <w:sz w:val="20"/>
              </w:rPr>
            </w:pPr>
            <w:r w:rsidRPr="006D3994">
              <w:rPr>
                <w:rFonts w:ascii="Arial" w:eastAsia="Times New Roman" w:hAnsi="Arial" w:cs="Arial"/>
                <w:i/>
                <w:iCs/>
                <w:sz w:val="20"/>
              </w:rPr>
              <w:t> </w:t>
            </w:r>
          </w:p>
        </w:tc>
      </w:tr>
      <w:tr w:rsidR="00E541EE" w:rsidRPr="00AE6ACF" w14:paraId="51FB6378" w14:textId="77777777" w:rsidTr="00E541EE">
        <w:trPr>
          <w:trHeight w:val="330"/>
        </w:trPr>
        <w:tc>
          <w:tcPr>
            <w:tcW w:w="2336" w:type="pct"/>
            <w:tcBorders>
              <w:top w:val="nil"/>
              <w:left w:val="single" w:sz="4" w:space="0" w:color="auto"/>
              <w:bottom w:val="nil"/>
              <w:right w:val="nil"/>
            </w:tcBorders>
            <w:shd w:val="clear" w:color="000000" w:fill="FFFFFF"/>
            <w:vAlign w:val="bottom"/>
            <w:hideMark/>
          </w:tcPr>
          <w:p w14:paraId="02547B1E" w14:textId="77777777" w:rsidR="00E541EE" w:rsidRPr="006D3994" w:rsidRDefault="00E541EE" w:rsidP="00A84BB5">
            <w:pPr>
              <w:rPr>
                <w:rFonts w:ascii="Arial" w:eastAsia="Times New Roman" w:hAnsi="Arial" w:cs="Arial"/>
                <w:i/>
                <w:iCs/>
                <w:color w:val="000000"/>
                <w:sz w:val="20"/>
              </w:rPr>
            </w:pPr>
            <w:r w:rsidRPr="006D3994">
              <w:rPr>
                <w:rFonts w:ascii="Arial" w:eastAsia="Times New Roman" w:hAnsi="Arial" w:cs="Arial"/>
                <w:i/>
                <w:iCs/>
                <w:color w:val="000000"/>
                <w:sz w:val="20"/>
              </w:rPr>
              <w:t xml:space="preserve">(realne stope promjene, %) </w:t>
            </w:r>
          </w:p>
        </w:tc>
        <w:tc>
          <w:tcPr>
            <w:tcW w:w="390" w:type="pct"/>
            <w:tcBorders>
              <w:top w:val="nil"/>
              <w:left w:val="single" w:sz="4" w:space="0" w:color="auto"/>
              <w:bottom w:val="nil"/>
              <w:right w:val="single" w:sz="4" w:space="0" w:color="auto"/>
            </w:tcBorders>
            <w:shd w:val="clear" w:color="000000" w:fill="FFFFFF"/>
            <w:noWrap/>
            <w:vAlign w:val="bottom"/>
            <w:hideMark/>
          </w:tcPr>
          <w:p w14:paraId="7E03D72E" w14:textId="77777777" w:rsidR="00E541EE" w:rsidRPr="006D3994" w:rsidRDefault="00E541EE" w:rsidP="00A84BB5">
            <w:pPr>
              <w:jc w:val="center"/>
              <w:rPr>
                <w:rFonts w:ascii="Arial" w:eastAsia="Times New Roman" w:hAnsi="Arial" w:cs="Arial"/>
                <w:sz w:val="20"/>
              </w:rPr>
            </w:pPr>
            <w:r w:rsidRPr="006D3994">
              <w:rPr>
                <w:rFonts w:ascii="Arial" w:eastAsia="Times New Roman" w:hAnsi="Arial" w:cs="Arial"/>
                <w:sz w:val="20"/>
              </w:rPr>
              <w:t> </w:t>
            </w:r>
          </w:p>
        </w:tc>
        <w:tc>
          <w:tcPr>
            <w:tcW w:w="446" w:type="pct"/>
            <w:tcBorders>
              <w:top w:val="nil"/>
              <w:left w:val="nil"/>
              <w:bottom w:val="nil"/>
              <w:right w:val="nil"/>
            </w:tcBorders>
            <w:shd w:val="clear" w:color="000000" w:fill="FFFFFF"/>
            <w:noWrap/>
            <w:vAlign w:val="bottom"/>
            <w:hideMark/>
          </w:tcPr>
          <w:p w14:paraId="74630322" w14:textId="77777777" w:rsidR="00E541EE" w:rsidRPr="006D3994" w:rsidRDefault="00E541EE" w:rsidP="00A84BB5">
            <w:pPr>
              <w:jc w:val="center"/>
              <w:rPr>
                <w:rFonts w:ascii="Arial" w:eastAsia="Times New Roman" w:hAnsi="Arial" w:cs="Arial"/>
                <w:sz w:val="20"/>
              </w:rPr>
            </w:pPr>
            <w:r w:rsidRPr="006D3994">
              <w:rPr>
                <w:rFonts w:ascii="Arial" w:eastAsia="Times New Roman" w:hAnsi="Arial" w:cs="Arial"/>
                <w:sz w:val="20"/>
              </w:rPr>
              <w:t> </w:t>
            </w:r>
          </w:p>
        </w:tc>
        <w:tc>
          <w:tcPr>
            <w:tcW w:w="442" w:type="pct"/>
            <w:tcBorders>
              <w:top w:val="nil"/>
              <w:left w:val="single" w:sz="4" w:space="0" w:color="auto"/>
              <w:bottom w:val="nil"/>
              <w:right w:val="single" w:sz="4" w:space="0" w:color="auto"/>
            </w:tcBorders>
            <w:shd w:val="clear" w:color="000000" w:fill="FFFFFF"/>
            <w:noWrap/>
            <w:vAlign w:val="bottom"/>
            <w:hideMark/>
          </w:tcPr>
          <w:p w14:paraId="157C3733" w14:textId="77777777" w:rsidR="00E541EE" w:rsidRPr="006D3994" w:rsidRDefault="00E541EE" w:rsidP="00A84BB5">
            <w:pPr>
              <w:jc w:val="center"/>
              <w:rPr>
                <w:rFonts w:ascii="Arial" w:eastAsia="Times New Roman" w:hAnsi="Arial" w:cs="Arial"/>
                <w:sz w:val="20"/>
              </w:rPr>
            </w:pPr>
            <w:r w:rsidRPr="006D3994">
              <w:rPr>
                <w:rFonts w:ascii="Arial" w:eastAsia="Times New Roman" w:hAnsi="Arial" w:cs="Arial"/>
                <w:sz w:val="20"/>
              </w:rPr>
              <w:t> </w:t>
            </w:r>
          </w:p>
        </w:tc>
        <w:tc>
          <w:tcPr>
            <w:tcW w:w="402" w:type="pct"/>
            <w:tcBorders>
              <w:top w:val="nil"/>
              <w:left w:val="nil"/>
              <w:bottom w:val="nil"/>
              <w:right w:val="single" w:sz="4" w:space="0" w:color="auto"/>
            </w:tcBorders>
            <w:shd w:val="clear" w:color="000000" w:fill="FFFFFF"/>
            <w:noWrap/>
            <w:vAlign w:val="bottom"/>
            <w:hideMark/>
          </w:tcPr>
          <w:p w14:paraId="595E5F24" w14:textId="77777777" w:rsidR="00E541EE" w:rsidRPr="006D3994" w:rsidRDefault="00E541EE" w:rsidP="00A84BB5">
            <w:pPr>
              <w:jc w:val="center"/>
              <w:rPr>
                <w:rFonts w:ascii="Arial" w:eastAsia="Times New Roman" w:hAnsi="Arial" w:cs="Arial"/>
                <w:sz w:val="20"/>
              </w:rPr>
            </w:pPr>
            <w:r w:rsidRPr="006D3994">
              <w:rPr>
                <w:rFonts w:ascii="Arial" w:eastAsia="Times New Roman" w:hAnsi="Arial" w:cs="Arial"/>
                <w:sz w:val="20"/>
              </w:rPr>
              <w:t> </w:t>
            </w:r>
          </w:p>
        </w:tc>
        <w:tc>
          <w:tcPr>
            <w:tcW w:w="452" w:type="pct"/>
            <w:tcBorders>
              <w:top w:val="nil"/>
              <w:left w:val="nil"/>
              <w:bottom w:val="nil"/>
              <w:right w:val="single" w:sz="4" w:space="0" w:color="auto"/>
            </w:tcBorders>
            <w:shd w:val="clear" w:color="000000" w:fill="FFFFFF"/>
            <w:noWrap/>
            <w:vAlign w:val="bottom"/>
            <w:hideMark/>
          </w:tcPr>
          <w:p w14:paraId="1474CA16" w14:textId="77777777" w:rsidR="00E541EE" w:rsidRPr="006D3994" w:rsidRDefault="00E541EE" w:rsidP="00A84BB5">
            <w:pPr>
              <w:jc w:val="center"/>
              <w:rPr>
                <w:rFonts w:ascii="Arial" w:eastAsia="Times New Roman" w:hAnsi="Arial" w:cs="Arial"/>
                <w:i/>
                <w:iCs/>
                <w:sz w:val="20"/>
              </w:rPr>
            </w:pPr>
            <w:r w:rsidRPr="006D3994">
              <w:rPr>
                <w:rFonts w:ascii="Arial" w:eastAsia="Times New Roman" w:hAnsi="Arial" w:cs="Arial"/>
                <w:i/>
                <w:iCs/>
                <w:sz w:val="20"/>
              </w:rPr>
              <w:t> </w:t>
            </w:r>
          </w:p>
        </w:tc>
        <w:tc>
          <w:tcPr>
            <w:tcW w:w="532" w:type="pct"/>
            <w:tcBorders>
              <w:top w:val="nil"/>
              <w:left w:val="nil"/>
              <w:bottom w:val="nil"/>
              <w:right w:val="single" w:sz="4" w:space="0" w:color="auto"/>
            </w:tcBorders>
            <w:shd w:val="clear" w:color="000000" w:fill="FFFFFF"/>
            <w:noWrap/>
            <w:vAlign w:val="bottom"/>
            <w:hideMark/>
          </w:tcPr>
          <w:p w14:paraId="5F7977F2" w14:textId="77777777" w:rsidR="00E541EE" w:rsidRPr="006D3994" w:rsidRDefault="00E541EE" w:rsidP="00A84BB5">
            <w:pPr>
              <w:jc w:val="center"/>
              <w:rPr>
                <w:rFonts w:ascii="Arial" w:eastAsia="Times New Roman" w:hAnsi="Arial" w:cs="Arial"/>
                <w:i/>
                <w:iCs/>
                <w:sz w:val="20"/>
              </w:rPr>
            </w:pPr>
            <w:r w:rsidRPr="006D3994">
              <w:rPr>
                <w:rFonts w:ascii="Arial" w:eastAsia="Times New Roman" w:hAnsi="Arial" w:cs="Arial"/>
                <w:i/>
                <w:iCs/>
                <w:sz w:val="20"/>
              </w:rPr>
              <w:t> </w:t>
            </w:r>
          </w:p>
        </w:tc>
      </w:tr>
      <w:tr w:rsidR="00E541EE" w:rsidRPr="00AE6ACF" w14:paraId="544434C8" w14:textId="77777777" w:rsidTr="00E541EE">
        <w:trPr>
          <w:trHeight w:val="300"/>
        </w:trPr>
        <w:tc>
          <w:tcPr>
            <w:tcW w:w="2336" w:type="pct"/>
            <w:tcBorders>
              <w:top w:val="nil"/>
              <w:left w:val="single" w:sz="4" w:space="0" w:color="auto"/>
              <w:bottom w:val="nil"/>
              <w:right w:val="nil"/>
            </w:tcBorders>
            <w:shd w:val="clear" w:color="000000" w:fill="FFFFFF"/>
            <w:noWrap/>
            <w:vAlign w:val="bottom"/>
            <w:hideMark/>
          </w:tcPr>
          <w:p w14:paraId="3423C34B" w14:textId="77777777" w:rsidR="00E541EE" w:rsidRPr="006D3994" w:rsidRDefault="00E541EE" w:rsidP="00A84BB5">
            <w:pPr>
              <w:rPr>
                <w:rFonts w:ascii="Arial" w:eastAsia="Times New Roman" w:hAnsi="Arial" w:cs="Arial"/>
                <w:sz w:val="20"/>
              </w:rPr>
            </w:pPr>
            <w:r w:rsidRPr="006D3994">
              <w:rPr>
                <w:rFonts w:ascii="Arial" w:eastAsia="Times New Roman" w:hAnsi="Arial" w:cs="Arial"/>
                <w:sz w:val="20"/>
              </w:rPr>
              <w:t>Realni BDP</w:t>
            </w:r>
          </w:p>
        </w:tc>
        <w:tc>
          <w:tcPr>
            <w:tcW w:w="390" w:type="pct"/>
            <w:tcBorders>
              <w:top w:val="nil"/>
              <w:left w:val="single" w:sz="4" w:space="0" w:color="auto"/>
              <w:bottom w:val="nil"/>
              <w:right w:val="single" w:sz="4" w:space="0" w:color="auto"/>
            </w:tcBorders>
            <w:shd w:val="clear" w:color="000000" w:fill="FFFFFF"/>
            <w:noWrap/>
            <w:vAlign w:val="bottom"/>
            <w:hideMark/>
          </w:tcPr>
          <w:p w14:paraId="5B07DFC6" w14:textId="77777777" w:rsidR="00E541EE" w:rsidRPr="006D3994" w:rsidRDefault="00E541EE" w:rsidP="00A84BB5">
            <w:pPr>
              <w:jc w:val="center"/>
              <w:rPr>
                <w:rFonts w:ascii="Arial" w:eastAsia="Times New Roman" w:hAnsi="Arial" w:cs="Arial"/>
                <w:sz w:val="20"/>
              </w:rPr>
            </w:pPr>
            <w:r w:rsidRPr="006D3994">
              <w:rPr>
                <w:rFonts w:ascii="Arial" w:eastAsia="Times New Roman" w:hAnsi="Arial" w:cs="Arial"/>
                <w:sz w:val="20"/>
              </w:rPr>
              <w:t>3,3</w:t>
            </w:r>
          </w:p>
        </w:tc>
        <w:tc>
          <w:tcPr>
            <w:tcW w:w="446" w:type="pct"/>
            <w:tcBorders>
              <w:top w:val="nil"/>
              <w:left w:val="nil"/>
              <w:bottom w:val="nil"/>
              <w:right w:val="nil"/>
            </w:tcBorders>
            <w:shd w:val="clear" w:color="000000" w:fill="FFFFFF"/>
            <w:noWrap/>
            <w:vAlign w:val="bottom"/>
            <w:hideMark/>
          </w:tcPr>
          <w:p w14:paraId="58208C5D" w14:textId="77777777" w:rsidR="00E541EE" w:rsidRPr="006D3994" w:rsidRDefault="00E541EE" w:rsidP="00A84BB5">
            <w:pPr>
              <w:jc w:val="center"/>
              <w:rPr>
                <w:rFonts w:ascii="Arial" w:eastAsia="Times New Roman" w:hAnsi="Arial" w:cs="Arial"/>
                <w:color w:val="000000"/>
                <w:sz w:val="20"/>
              </w:rPr>
            </w:pPr>
            <w:r w:rsidRPr="006D3994">
              <w:rPr>
                <w:rFonts w:ascii="Arial" w:eastAsia="Times New Roman" w:hAnsi="Arial" w:cs="Arial"/>
                <w:color w:val="000000"/>
                <w:sz w:val="20"/>
              </w:rPr>
              <w:t>3,9</w:t>
            </w:r>
          </w:p>
        </w:tc>
        <w:tc>
          <w:tcPr>
            <w:tcW w:w="442" w:type="pct"/>
            <w:tcBorders>
              <w:top w:val="nil"/>
              <w:left w:val="single" w:sz="4" w:space="0" w:color="auto"/>
              <w:bottom w:val="nil"/>
              <w:right w:val="single" w:sz="4" w:space="0" w:color="auto"/>
            </w:tcBorders>
            <w:shd w:val="clear" w:color="000000" w:fill="FFFFFF"/>
            <w:noWrap/>
            <w:vAlign w:val="bottom"/>
            <w:hideMark/>
          </w:tcPr>
          <w:p w14:paraId="73B5B907" w14:textId="77777777" w:rsidR="00E541EE" w:rsidRPr="006D3994" w:rsidRDefault="00E541EE" w:rsidP="00A84BB5">
            <w:pPr>
              <w:jc w:val="center"/>
              <w:rPr>
                <w:rFonts w:ascii="Arial" w:eastAsia="Times New Roman" w:hAnsi="Arial" w:cs="Arial"/>
                <w:color w:val="FF0000"/>
                <w:sz w:val="20"/>
              </w:rPr>
            </w:pPr>
            <w:r w:rsidRPr="006D3994">
              <w:rPr>
                <w:rFonts w:ascii="Arial" w:eastAsia="Times New Roman" w:hAnsi="Arial" w:cs="Arial"/>
                <w:color w:val="FF0000"/>
                <w:sz w:val="20"/>
              </w:rPr>
              <w:t>3,2</w:t>
            </w:r>
          </w:p>
        </w:tc>
        <w:tc>
          <w:tcPr>
            <w:tcW w:w="402" w:type="pct"/>
            <w:tcBorders>
              <w:top w:val="nil"/>
              <w:left w:val="nil"/>
              <w:bottom w:val="nil"/>
              <w:right w:val="single" w:sz="4" w:space="0" w:color="auto"/>
            </w:tcBorders>
            <w:shd w:val="clear" w:color="000000" w:fill="FFFFFF"/>
            <w:noWrap/>
            <w:vAlign w:val="bottom"/>
            <w:hideMark/>
          </w:tcPr>
          <w:p w14:paraId="1D883B4E" w14:textId="77777777" w:rsidR="00E541EE" w:rsidRPr="006D3994" w:rsidRDefault="00E541EE" w:rsidP="00A84BB5">
            <w:pPr>
              <w:jc w:val="center"/>
              <w:rPr>
                <w:rFonts w:ascii="Arial" w:eastAsia="Times New Roman" w:hAnsi="Arial" w:cs="Arial"/>
                <w:color w:val="FF0000"/>
                <w:sz w:val="20"/>
              </w:rPr>
            </w:pPr>
            <w:r w:rsidRPr="006D3994">
              <w:rPr>
                <w:rFonts w:ascii="Arial" w:eastAsia="Times New Roman" w:hAnsi="Arial" w:cs="Arial"/>
                <w:color w:val="FF0000"/>
                <w:sz w:val="20"/>
              </w:rPr>
              <w:t>2,9</w:t>
            </w:r>
          </w:p>
        </w:tc>
        <w:tc>
          <w:tcPr>
            <w:tcW w:w="452" w:type="pct"/>
            <w:tcBorders>
              <w:top w:val="nil"/>
              <w:left w:val="nil"/>
              <w:bottom w:val="nil"/>
              <w:right w:val="single" w:sz="4" w:space="0" w:color="auto"/>
            </w:tcBorders>
            <w:shd w:val="clear" w:color="000000" w:fill="FFFFFF"/>
            <w:noWrap/>
            <w:vAlign w:val="bottom"/>
            <w:hideMark/>
          </w:tcPr>
          <w:p w14:paraId="0E57D942" w14:textId="77777777" w:rsidR="00E541EE" w:rsidRPr="006D3994" w:rsidRDefault="00E541EE" w:rsidP="00A84BB5">
            <w:pPr>
              <w:jc w:val="center"/>
              <w:rPr>
                <w:rFonts w:ascii="Arial" w:eastAsia="Times New Roman" w:hAnsi="Arial" w:cs="Arial"/>
                <w:i/>
                <w:iCs/>
                <w:sz w:val="20"/>
              </w:rPr>
            </w:pPr>
            <w:r w:rsidRPr="006D3994">
              <w:rPr>
                <w:rFonts w:ascii="Arial" w:eastAsia="Times New Roman" w:hAnsi="Arial" w:cs="Arial"/>
                <w:i/>
                <w:iCs/>
                <w:sz w:val="20"/>
              </w:rPr>
              <w:t>-0,1</w:t>
            </w:r>
          </w:p>
        </w:tc>
        <w:tc>
          <w:tcPr>
            <w:tcW w:w="532" w:type="pct"/>
            <w:tcBorders>
              <w:top w:val="nil"/>
              <w:left w:val="nil"/>
              <w:bottom w:val="nil"/>
              <w:right w:val="single" w:sz="4" w:space="0" w:color="auto"/>
            </w:tcBorders>
            <w:shd w:val="clear" w:color="000000" w:fill="FFFFFF"/>
            <w:noWrap/>
            <w:vAlign w:val="bottom"/>
            <w:hideMark/>
          </w:tcPr>
          <w:p w14:paraId="5B367C1C" w14:textId="77777777" w:rsidR="00E541EE" w:rsidRPr="006D3994" w:rsidRDefault="00E541EE" w:rsidP="00A84BB5">
            <w:pPr>
              <w:jc w:val="center"/>
              <w:rPr>
                <w:rFonts w:ascii="Arial" w:eastAsia="Times New Roman" w:hAnsi="Arial" w:cs="Arial"/>
                <w:i/>
                <w:iCs/>
                <w:sz w:val="20"/>
              </w:rPr>
            </w:pPr>
            <w:r w:rsidRPr="006D3994">
              <w:rPr>
                <w:rFonts w:ascii="Arial" w:eastAsia="Times New Roman" w:hAnsi="Arial" w:cs="Arial"/>
                <w:i/>
                <w:iCs/>
                <w:sz w:val="20"/>
              </w:rPr>
              <w:t>0,0</w:t>
            </w:r>
          </w:p>
        </w:tc>
      </w:tr>
      <w:tr w:rsidR="00E541EE" w:rsidRPr="00AE6ACF" w14:paraId="228418AE" w14:textId="77777777" w:rsidTr="00E541EE">
        <w:trPr>
          <w:trHeight w:val="300"/>
        </w:trPr>
        <w:tc>
          <w:tcPr>
            <w:tcW w:w="2336" w:type="pct"/>
            <w:tcBorders>
              <w:top w:val="nil"/>
              <w:left w:val="single" w:sz="4" w:space="0" w:color="auto"/>
              <w:bottom w:val="nil"/>
              <w:right w:val="nil"/>
            </w:tcBorders>
            <w:shd w:val="clear" w:color="000000" w:fill="FFFFFF"/>
            <w:noWrap/>
            <w:vAlign w:val="bottom"/>
            <w:hideMark/>
          </w:tcPr>
          <w:p w14:paraId="57A9CB19" w14:textId="77777777" w:rsidR="00E541EE" w:rsidRPr="006D3994" w:rsidRDefault="00E541EE" w:rsidP="00A84BB5">
            <w:pPr>
              <w:rPr>
                <w:rFonts w:ascii="Arial" w:eastAsia="Times New Roman" w:hAnsi="Arial" w:cs="Arial"/>
                <w:sz w:val="20"/>
              </w:rPr>
            </w:pPr>
            <w:r w:rsidRPr="006D3994">
              <w:rPr>
                <w:rFonts w:ascii="Arial" w:eastAsia="Times New Roman" w:hAnsi="Arial" w:cs="Arial"/>
                <w:sz w:val="20"/>
              </w:rPr>
              <w:t>Osobna potrošnja</w:t>
            </w:r>
          </w:p>
        </w:tc>
        <w:tc>
          <w:tcPr>
            <w:tcW w:w="390" w:type="pct"/>
            <w:tcBorders>
              <w:top w:val="nil"/>
              <w:left w:val="single" w:sz="4" w:space="0" w:color="auto"/>
              <w:bottom w:val="nil"/>
              <w:right w:val="single" w:sz="4" w:space="0" w:color="auto"/>
            </w:tcBorders>
            <w:shd w:val="clear" w:color="000000" w:fill="FFFFFF"/>
            <w:noWrap/>
            <w:vAlign w:val="bottom"/>
            <w:hideMark/>
          </w:tcPr>
          <w:p w14:paraId="27E1743F" w14:textId="77777777" w:rsidR="00E541EE" w:rsidRPr="006D3994" w:rsidRDefault="00E541EE" w:rsidP="00A84BB5">
            <w:pPr>
              <w:jc w:val="center"/>
              <w:rPr>
                <w:rFonts w:ascii="Arial" w:eastAsia="Times New Roman" w:hAnsi="Arial" w:cs="Arial"/>
                <w:sz w:val="20"/>
              </w:rPr>
            </w:pPr>
            <w:r w:rsidRPr="006D3994">
              <w:rPr>
                <w:rFonts w:ascii="Arial" w:eastAsia="Times New Roman" w:hAnsi="Arial" w:cs="Arial"/>
                <w:sz w:val="20"/>
              </w:rPr>
              <w:t>3,2</w:t>
            </w:r>
          </w:p>
        </w:tc>
        <w:tc>
          <w:tcPr>
            <w:tcW w:w="446" w:type="pct"/>
            <w:tcBorders>
              <w:top w:val="nil"/>
              <w:left w:val="nil"/>
              <w:bottom w:val="nil"/>
              <w:right w:val="nil"/>
            </w:tcBorders>
            <w:shd w:val="clear" w:color="000000" w:fill="FFFFFF"/>
            <w:noWrap/>
            <w:vAlign w:val="bottom"/>
            <w:hideMark/>
          </w:tcPr>
          <w:p w14:paraId="0F355986" w14:textId="77777777" w:rsidR="00E541EE" w:rsidRPr="006D3994" w:rsidRDefault="00E541EE" w:rsidP="00A84BB5">
            <w:pPr>
              <w:jc w:val="center"/>
              <w:rPr>
                <w:rFonts w:ascii="Arial" w:eastAsia="Times New Roman" w:hAnsi="Arial" w:cs="Arial"/>
                <w:color w:val="000000"/>
                <w:sz w:val="20"/>
              </w:rPr>
            </w:pPr>
            <w:r w:rsidRPr="006D3994">
              <w:rPr>
                <w:rFonts w:ascii="Arial" w:eastAsia="Times New Roman" w:hAnsi="Arial" w:cs="Arial"/>
                <w:color w:val="000000"/>
                <w:sz w:val="20"/>
              </w:rPr>
              <w:t>5,8</w:t>
            </w:r>
          </w:p>
        </w:tc>
        <w:tc>
          <w:tcPr>
            <w:tcW w:w="442" w:type="pct"/>
            <w:tcBorders>
              <w:top w:val="nil"/>
              <w:left w:val="single" w:sz="4" w:space="0" w:color="auto"/>
              <w:bottom w:val="nil"/>
              <w:right w:val="single" w:sz="4" w:space="0" w:color="auto"/>
            </w:tcBorders>
            <w:shd w:val="clear" w:color="000000" w:fill="FFFFFF"/>
            <w:noWrap/>
            <w:vAlign w:val="bottom"/>
            <w:hideMark/>
          </w:tcPr>
          <w:p w14:paraId="0CB82BD8" w14:textId="77777777" w:rsidR="00E541EE" w:rsidRPr="006D3994" w:rsidRDefault="00E541EE" w:rsidP="00A84BB5">
            <w:pPr>
              <w:jc w:val="center"/>
              <w:rPr>
                <w:rFonts w:ascii="Arial" w:eastAsia="Times New Roman" w:hAnsi="Arial" w:cs="Arial"/>
                <w:color w:val="FF0000"/>
                <w:sz w:val="20"/>
              </w:rPr>
            </w:pPr>
            <w:r w:rsidRPr="006D3994">
              <w:rPr>
                <w:rFonts w:ascii="Arial" w:eastAsia="Times New Roman" w:hAnsi="Arial" w:cs="Arial"/>
                <w:color w:val="FF0000"/>
                <w:sz w:val="20"/>
              </w:rPr>
              <w:t>4,4</w:t>
            </w:r>
          </w:p>
        </w:tc>
        <w:tc>
          <w:tcPr>
            <w:tcW w:w="402" w:type="pct"/>
            <w:tcBorders>
              <w:top w:val="nil"/>
              <w:left w:val="nil"/>
              <w:bottom w:val="nil"/>
              <w:right w:val="single" w:sz="4" w:space="0" w:color="auto"/>
            </w:tcBorders>
            <w:shd w:val="clear" w:color="000000" w:fill="FFFFFF"/>
            <w:noWrap/>
            <w:vAlign w:val="bottom"/>
            <w:hideMark/>
          </w:tcPr>
          <w:p w14:paraId="1076BFDC" w14:textId="77777777" w:rsidR="00E541EE" w:rsidRPr="006D3994" w:rsidRDefault="00E541EE" w:rsidP="00A84BB5">
            <w:pPr>
              <w:jc w:val="center"/>
              <w:rPr>
                <w:rFonts w:ascii="Arial" w:eastAsia="Times New Roman" w:hAnsi="Arial" w:cs="Arial"/>
                <w:color w:val="FF0000"/>
                <w:sz w:val="20"/>
              </w:rPr>
            </w:pPr>
            <w:r w:rsidRPr="006D3994">
              <w:rPr>
                <w:rFonts w:ascii="Arial" w:eastAsia="Times New Roman" w:hAnsi="Arial" w:cs="Arial"/>
                <w:color w:val="FF0000"/>
                <w:sz w:val="20"/>
              </w:rPr>
              <w:t>4,2</w:t>
            </w:r>
          </w:p>
        </w:tc>
        <w:tc>
          <w:tcPr>
            <w:tcW w:w="452" w:type="pct"/>
            <w:tcBorders>
              <w:top w:val="nil"/>
              <w:left w:val="nil"/>
              <w:bottom w:val="nil"/>
              <w:right w:val="single" w:sz="4" w:space="0" w:color="auto"/>
            </w:tcBorders>
            <w:shd w:val="clear" w:color="000000" w:fill="FFFFFF"/>
            <w:noWrap/>
            <w:vAlign w:val="bottom"/>
            <w:hideMark/>
          </w:tcPr>
          <w:p w14:paraId="36AB0BDA" w14:textId="77777777" w:rsidR="00E541EE" w:rsidRPr="006D3994" w:rsidRDefault="00E541EE" w:rsidP="00A84BB5">
            <w:pPr>
              <w:jc w:val="center"/>
              <w:rPr>
                <w:rFonts w:ascii="Arial" w:eastAsia="Times New Roman" w:hAnsi="Arial" w:cs="Arial"/>
                <w:i/>
                <w:iCs/>
                <w:sz w:val="20"/>
              </w:rPr>
            </w:pPr>
            <w:r w:rsidRPr="006D3994">
              <w:rPr>
                <w:rFonts w:ascii="Arial" w:eastAsia="Times New Roman" w:hAnsi="Arial" w:cs="Arial"/>
                <w:i/>
                <w:iCs/>
                <w:sz w:val="20"/>
              </w:rPr>
              <w:t>-0,5</w:t>
            </w:r>
          </w:p>
        </w:tc>
        <w:tc>
          <w:tcPr>
            <w:tcW w:w="532" w:type="pct"/>
            <w:tcBorders>
              <w:top w:val="nil"/>
              <w:left w:val="nil"/>
              <w:bottom w:val="nil"/>
              <w:right w:val="single" w:sz="4" w:space="0" w:color="auto"/>
            </w:tcBorders>
            <w:shd w:val="clear" w:color="000000" w:fill="FFFFFF"/>
            <w:noWrap/>
            <w:vAlign w:val="bottom"/>
            <w:hideMark/>
          </w:tcPr>
          <w:p w14:paraId="5AF2751F" w14:textId="77777777" w:rsidR="00E541EE" w:rsidRPr="006D3994" w:rsidRDefault="00E541EE" w:rsidP="00A84BB5">
            <w:pPr>
              <w:jc w:val="center"/>
              <w:rPr>
                <w:rFonts w:ascii="Arial" w:eastAsia="Times New Roman" w:hAnsi="Arial" w:cs="Arial"/>
                <w:i/>
                <w:iCs/>
                <w:sz w:val="20"/>
              </w:rPr>
            </w:pPr>
            <w:r w:rsidRPr="006D3994">
              <w:rPr>
                <w:rFonts w:ascii="Arial" w:eastAsia="Times New Roman" w:hAnsi="Arial" w:cs="Arial"/>
                <w:i/>
                <w:iCs/>
                <w:sz w:val="20"/>
              </w:rPr>
              <w:t>0,1</w:t>
            </w:r>
          </w:p>
        </w:tc>
      </w:tr>
      <w:tr w:rsidR="00E541EE" w:rsidRPr="00AE6ACF" w14:paraId="69353276" w14:textId="77777777" w:rsidTr="00E541EE">
        <w:trPr>
          <w:trHeight w:val="300"/>
        </w:trPr>
        <w:tc>
          <w:tcPr>
            <w:tcW w:w="2336" w:type="pct"/>
            <w:tcBorders>
              <w:top w:val="nil"/>
              <w:left w:val="single" w:sz="4" w:space="0" w:color="auto"/>
              <w:bottom w:val="nil"/>
              <w:right w:val="nil"/>
            </w:tcBorders>
            <w:shd w:val="clear" w:color="000000" w:fill="FFFFFF"/>
            <w:noWrap/>
            <w:vAlign w:val="bottom"/>
            <w:hideMark/>
          </w:tcPr>
          <w:p w14:paraId="40B38CB3" w14:textId="77777777" w:rsidR="00E541EE" w:rsidRPr="006D3994" w:rsidRDefault="00E541EE" w:rsidP="00A84BB5">
            <w:pPr>
              <w:rPr>
                <w:rFonts w:ascii="Arial" w:eastAsia="Times New Roman" w:hAnsi="Arial" w:cs="Arial"/>
                <w:sz w:val="20"/>
              </w:rPr>
            </w:pPr>
            <w:r w:rsidRPr="006D3994">
              <w:rPr>
                <w:rFonts w:ascii="Arial" w:eastAsia="Times New Roman" w:hAnsi="Arial" w:cs="Arial"/>
                <w:sz w:val="20"/>
              </w:rPr>
              <w:t>Državna potrošnja</w:t>
            </w:r>
          </w:p>
        </w:tc>
        <w:tc>
          <w:tcPr>
            <w:tcW w:w="390" w:type="pct"/>
            <w:tcBorders>
              <w:top w:val="nil"/>
              <w:left w:val="single" w:sz="4" w:space="0" w:color="auto"/>
              <w:bottom w:val="nil"/>
              <w:right w:val="single" w:sz="4" w:space="0" w:color="auto"/>
            </w:tcBorders>
            <w:shd w:val="clear" w:color="000000" w:fill="FFFFFF"/>
            <w:noWrap/>
            <w:vAlign w:val="bottom"/>
            <w:hideMark/>
          </w:tcPr>
          <w:p w14:paraId="43297F6D" w14:textId="77777777" w:rsidR="00E541EE" w:rsidRPr="006D3994" w:rsidRDefault="00E541EE" w:rsidP="00A84BB5">
            <w:pPr>
              <w:jc w:val="center"/>
              <w:rPr>
                <w:rFonts w:ascii="Arial" w:eastAsia="Times New Roman" w:hAnsi="Arial" w:cs="Arial"/>
                <w:sz w:val="20"/>
              </w:rPr>
            </w:pPr>
            <w:r w:rsidRPr="006D3994">
              <w:rPr>
                <w:rFonts w:ascii="Arial" w:eastAsia="Times New Roman" w:hAnsi="Arial" w:cs="Arial"/>
                <w:sz w:val="20"/>
              </w:rPr>
              <w:t>7,1</w:t>
            </w:r>
          </w:p>
        </w:tc>
        <w:tc>
          <w:tcPr>
            <w:tcW w:w="446" w:type="pct"/>
            <w:tcBorders>
              <w:top w:val="nil"/>
              <w:left w:val="nil"/>
              <w:bottom w:val="nil"/>
              <w:right w:val="nil"/>
            </w:tcBorders>
            <w:shd w:val="clear" w:color="000000" w:fill="FFFFFF"/>
            <w:noWrap/>
            <w:vAlign w:val="bottom"/>
            <w:hideMark/>
          </w:tcPr>
          <w:p w14:paraId="2A0A4E9E" w14:textId="77777777" w:rsidR="00E541EE" w:rsidRPr="006D3994" w:rsidRDefault="00E541EE" w:rsidP="00A84BB5">
            <w:pPr>
              <w:jc w:val="center"/>
              <w:rPr>
                <w:rFonts w:ascii="Arial" w:eastAsia="Times New Roman" w:hAnsi="Arial" w:cs="Arial"/>
                <w:color w:val="000000"/>
                <w:sz w:val="20"/>
              </w:rPr>
            </w:pPr>
            <w:r w:rsidRPr="006D3994">
              <w:rPr>
                <w:rFonts w:ascii="Arial" w:eastAsia="Times New Roman" w:hAnsi="Arial" w:cs="Arial"/>
                <w:color w:val="000000"/>
                <w:sz w:val="20"/>
              </w:rPr>
              <w:t>7,0</w:t>
            </w:r>
          </w:p>
        </w:tc>
        <w:tc>
          <w:tcPr>
            <w:tcW w:w="442" w:type="pct"/>
            <w:tcBorders>
              <w:top w:val="nil"/>
              <w:left w:val="single" w:sz="4" w:space="0" w:color="auto"/>
              <w:bottom w:val="nil"/>
              <w:right w:val="single" w:sz="4" w:space="0" w:color="auto"/>
            </w:tcBorders>
            <w:shd w:val="clear" w:color="000000" w:fill="FFFFFF"/>
            <w:noWrap/>
            <w:vAlign w:val="bottom"/>
            <w:hideMark/>
          </w:tcPr>
          <w:p w14:paraId="6876CAF4" w14:textId="77777777" w:rsidR="00E541EE" w:rsidRPr="006D3994" w:rsidRDefault="00E541EE" w:rsidP="00A84BB5">
            <w:pPr>
              <w:jc w:val="center"/>
              <w:rPr>
                <w:rFonts w:ascii="Arial" w:eastAsia="Times New Roman" w:hAnsi="Arial" w:cs="Arial"/>
                <w:color w:val="FF0000"/>
                <w:sz w:val="20"/>
              </w:rPr>
            </w:pPr>
            <w:r w:rsidRPr="006D3994">
              <w:rPr>
                <w:rFonts w:ascii="Arial" w:eastAsia="Times New Roman" w:hAnsi="Arial" w:cs="Arial"/>
                <w:color w:val="FF0000"/>
                <w:sz w:val="20"/>
              </w:rPr>
              <w:t>4,3</w:t>
            </w:r>
          </w:p>
        </w:tc>
        <w:tc>
          <w:tcPr>
            <w:tcW w:w="402" w:type="pct"/>
            <w:tcBorders>
              <w:top w:val="nil"/>
              <w:left w:val="nil"/>
              <w:bottom w:val="nil"/>
              <w:right w:val="single" w:sz="4" w:space="0" w:color="auto"/>
            </w:tcBorders>
            <w:shd w:val="clear" w:color="000000" w:fill="FFFFFF"/>
            <w:noWrap/>
            <w:vAlign w:val="bottom"/>
            <w:hideMark/>
          </w:tcPr>
          <w:p w14:paraId="3054DE64" w14:textId="77777777" w:rsidR="00E541EE" w:rsidRPr="006D3994" w:rsidRDefault="00E541EE" w:rsidP="00A84BB5">
            <w:pPr>
              <w:jc w:val="center"/>
              <w:rPr>
                <w:rFonts w:ascii="Arial" w:eastAsia="Times New Roman" w:hAnsi="Arial" w:cs="Arial"/>
                <w:color w:val="FF0000"/>
                <w:sz w:val="20"/>
              </w:rPr>
            </w:pPr>
            <w:r w:rsidRPr="006D3994">
              <w:rPr>
                <w:rFonts w:ascii="Arial" w:eastAsia="Times New Roman" w:hAnsi="Arial" w:cs="Arial"/>
                <w:color w:val="FF0000"/>
                <w:sz w:val="20"/>
              </w:rPr>
              <w:t>2,7</w:t>
            </w:r>
          </w:p>
        </w:tc>
        <w:tc>
          <w:tcPr>
            <w:tcW w:w="452" w:type="pct"/>
            <w:tcBorders>
              <w:top w:val="nil"/>
              <w:left w:val="nil"/>
              <w:bottom w:val="nil"/>
              <w:right w:val="single" w:sz="4" w:space="0" w:color="auto"/>
            </w:tcBorders>
            <w:shd w:val="clear" w:color="000000" w:fill="FFFFFF"/>
            <w:noWrap/>
            <w:vAlign w:val="bottom"/>
            <w:hideMark/>
          </w:tcPr>
          <w:p w14:paraId="42E45D72" w14:textId="77777777" w:rsidR="00E541EE" w:rsidRPr="006D3994" w:rsidRDefault="00E541EE" w:rsidP="00A84BB5">
            <w:pPr>
              <w:jc w:val="center"/>
              <w:rPr>
                <w:rFonts w:ascii="Arial" w:eastAsia="Times New Roman" w:hAnsi="Arial" w:cs="Arial"/>
                <w:i/>
                <w:iCs/>
                <w:sz w:val="20"/>
              </w:rPr>
            </w:pPr>
            <w:r w:rsidRPr="006D3994">
              <w:rPr>
                <w:rFonts w:ascii="Arial" w:eastAsia="Times New Roman" w:hAnsi="Arial" w:cs="Arial"/>
                <w:i/>
                <w:iCs/>
                <w:sz w:val="20"/>
              </w:rPr>
              <w:t>-0,6</w:t>
            </w:r>
          </w:p>
        </w:tc>
        <w:tc>
          <w:tcPr>
            <w:tcW w:w="532" w:type="pct"/>
            <w:tcBorders>
              <w:top w:val="nil"/>
              <w:left w:val="nil"/>
              <w:bottom w:val="nil"/>
              <w:right w:val="single" w:sz="4" w:space="0" w:color="auto"/>
            </w:tcBorders>
            <w:shd w:val="clear" w:color="000000" w:fill="FFFFFF"/>
            <w:noWrap/>
            <w:vAlign w:val="bottom"/>
            <w:hideMark/>
          </w:tcPr>
          <w:p w14:paraId="4DE1C451" w14:textId="77777777" w:rsidR="00E541EE" w:rsidRPr="006D3994" w:rsidRDefault="00E541EE" w:rsidP="00A84BB5">
            <w:pPr>
              <w:jc w:val="center"/>
              <w:rPr>
                <w:rFonts w:ascii="Arial" w:eastAsia="Times New Roman" w:hAnsi="Arial" w:cs="Arial"/>
                <w:i/>
                <w:iCs/>
                <w:sz w:val="20"/>
              </w:rPr>
            </w:pPr>
            <w:r w:rsidRPr="006D3994">
              <w:rPr>
                <w:rFonts w:ascii="Arial" w:eastAsia="Times New Roman" w:hAnsi="Arial" w:cs="Arial"/>
                <w:i/>
                <w:iCs/>
                <w:sz w:val="20"/>
              </w:rPr>
              <w:t>0,0</w:t>
            </w:r>
          </w:p>
        </w:tc>
      </w:tr>
      <w:tr w:rsidR="00E541EE" w:rsidRPr="00AE6ACF" w14:paraId="61F5FC60" w14:textId="77777777" w:rsidTr="00E541EE">
        <w:trPr>
          <w:trHeight w:val="300"/>
        </w:trPr>
        <w:tc>
          <w:tcPr>
            <w:tcW w:w="2336" w:type="pct"/>
            <w:tcBorders>
              <w:top w:val="nil"/>
              <w:left w:val="single" w:sz="4" w:space="0" w:color="auto"/>
              <w:bottom w:val="nil"/>
              <w:right w:val="nil"/>
            </w:tcBorders>
            <w:shd w:val="clear" w:color="000000" w:fill="FFFFFF"/>
            <w:noWrap/>
            <w:vAlign w:val="bottom"/>
            <w:hideMark/>
          </w:tcPr>
          <w:p w14:paraId="38DDCD4E" w14:textId="77777777" w:rsidR="00E541EE" w:rsidRPr="006D3994" w:rsidRDefault="00E541EE" w:rsidP="00A84BB5">
            <w:pPr>
              <w:rPr>
                <w:rFonts w:ascii="Arial" w:eastAsia="Times New Roman" w:hAnsi="Arial" w:cs="Arial"/>
                <w:sz w:val="20"/>
              </w:rPr>
            </w:pPr>
            <w:r w:rsidRPr="006D3994">
              <w:rPr>
                <w:rFonts w:ascii="Arial" w:eastAsia="Times New Roman" w:hAnsi="Arial" w:cs="Arial"/>
                <w:sz w:val="20"/>
              </w:rPr>
              <w:t>Bruto investicije u fiksni kapital</w:t>
            </w:r>
          </w:p>
        </w:tc>
        <w:tc>
          <w:tcPr>
            <w:tcW w:w="390" w:type="pct"/>
            <w:tcBorders>
              <w:top w:val="nil"/>
              <w:left w:val="single" w:sz="4" w:space="0" w:color="auto"/>
              <w:bottom w:val="nil"/>
              <w:right w:val="single" w:sz="4" w:space="0" w:color="auto"/>
            </w:tcBorders>
            <w:shd w:val="clear" w:color="000000" w:fill="FFFFFF"/>
            <w:noWrap/>
            <w:vAlign w:val="bottom"/>
            <w:hideMark/>
          </w:tcPr>
          <w:p w14:paraId="301A0D84" w14:textId="77777777" w:rsidR="00E541EE" w:rsidRPr="006D3994" w:rsidRDefault="00E541EE" w:rsidP="00A84BB5">
            <w:pPr>
              <w:jc w:val="center"/>
              <w:rPr>
                <w:rFonts w:ascii="Arial" w:eastAsia="Times New Roman" w:hAnsi="Arial" w:cs="Arial"/>
                <w:sz w:val="20"/>
              </w:rPr>
            </w:pPr>
            <w:r w:rsidRPr="006D3994">
              <w:rPr>
                <w:rFonts w:ascii="Arial" w:eastAsia="Times New Roman" w:hAnsi="Arial" w:cs="Arial"/>
                <w:sz w:val="20"/>
              </w:rPr>
              <w:t>10,1</w:t>
            </w:r>
          </w:p>
        </w:tc>
        <w:tc>
          <w:tcPr>
            <w:tcW w:w="446" w:type="pct"/>
            <w:tcBorders>
              <w:top w:val="nil"/>
              <w:left w:val="nil"/>
              <w:bottom w:val="nil"/>
              <w:right w:val="nil"/>
            </w:tcBorders>
            <w:shd w:val="clear" w:color="000000" w:fill="FFFFFF"/>
            <w:noWrap/>
            <w:vAlign w:val="bottom"/>
            <w:hideMark/>
          </w:tcPr>
          <w:p w14:paraId="7285552B" w14:textId="77777777" w:rsidR="00E541EE" w:rsidRPr="006D3994" w:rsidRDefault="00E541EE" w:rsidP="00A84BB5">
            <w:pPr>
              <w:jc w:val="center"/>
              <w:rPr>
                <w:rFonts w:ascii="Arial" w:eastAsia="Times New Roman" w:hAnsi="Arial" w:cs="Arial"/>
                <w:color w:val="000000"/>
                <w:sz w:val="20"/>
              </w:rPr>
            </w:pPr>
            <w:r w:rsidRPr="006D3994">
              <w:rPr>
                <w:rFonts w:ascii="Arial" w:eastAsia="Times New Roman" w:hAnsi="Arial" w:cs="Arial"/>
                <w:color w:val="000000"/>
                <w:sz w:val="20"/>
              </w:rPr>
              <w:t>9,9</w:t>
            </w:r>
          </w:p>
        </w:tc>
        <w:tc>
          <w:tcPr>
            <w:tcW w:w="442" w:type="pct"/>
            <w:tcBorders>
              <w:top w:val="nil"/>
              <w:left w:val="single" w:sz="4" w:space="0" w:color="auto"/>
              <w:bottom w:val="nil"/>
              <w:right w:val="single" w:sz="4" w:space="0" w:color="auto"/>
            </w:tcBorders>
            <w:shd w:val="clear" w:color="000000" w:fill="FFFFFF"/>
            <w:noWrap/>
            <w:vAlign w:val="bottom"/>
            <w:hideMark/>
          </w:tcPr>
          <w:p w14:paraId="0021591F" w14:textId="77777777" w:rsidR="00E541EE" w:rsidRPr="006D3994" w:rsidRDefault="00E541EE" w:rsidP="00A84BB5">
            <w:pPr>
              <w:jc w:val="center"/>
              <w:rPr>
                <w:rFonts w:ascii="Arial" w:eastAsia="Times New Roman" w:hAnsi="Arial" w:cs="Arial"/>
                <w:color w:val="FF0000"/>
                <w:sz w:val="20"/>
              </w:rPr>
            </w:pPr>
            <w:r w:rsidRPr="006D3994">
              <w:rPr>
                <w:rFonts w:ascii="Arial" w:eastAsia="Times New Roman" w:hAnsi="Arial" w:cs="Arial"/>
                <w:color w:val="FF0000"/>
                <w:sz w:val="20"/>
              </w:rPr>
              <w:t>4,5</w:t>
            </w:r>
          </w:p>
        </w:tc>
        <w:tc>
          <w:tcPr>
            <w:tcW w:w="402" w:type="pct"/>
            <w:tcBorders>
              <w:top w:val="nil"/>
              <w:left w:val="nil"/>
              <w:bottom w:val="nil"/>
              <w:right w:val="single" w:sz="4" w:space="0" w:color="auto"/>
            </w:tcBorders>
            <w:shd w:val="clear" w:color="000000" w:fill="FFFFFF"/>
            <w:noWrap/>
            <w:vAlign w:val="bottom"/>
            <w:hideMark/>
          </w:tcPr>
          <w:p w14:paraId="1A64AF8A" w14:textId="77777777" w:rsidR="00E541EE" w:rsidRPr="006D3994" w:rsidRDefault="00E541EE" w:rsidP="00A84BB5">
            <w:pPr>
              <w:jc w:val="center"/>
              <w:rPr>
                <w:rFonts w:ascii="Arial" w:eastAsia="Times New Roman" w:hAnsi="Arial" w:cs="Arial"/>
                <w:color w:val="FF0000"/>
                <w:sz w:val="20"/>
              </w:rPr>
            </w:pPr>
            <w:r w:rsidRPr="006D3994">
              <w:rPr>
                <w:rFonts w:ascii="Arial" w:eastAsia="Times New Roman" w:hAnsi="Arial" w:cs="Arial"/>
                <w:color w:val="FF0000"/>
                <w:sz w:val="20"/>
              </w:rPr>
              <w:t>3,1</w:t>
            </w:r>
          </w:p>
        </w:tc>
        <w:tc>
          <w:tcPr>
            <w:tcW w:w="452" w:type="pct"/>
            <w:tcBorders>
              <w:top w:val="nil"/>
              <w:left w:val="nil"/>
              <w:bottom w:val="nil"/>
              <w:right w:val="single" w:sz="4" w:space="0" w:color="auto"/>
            </w:tcBorders>
            <w:shd w:val="clear" w:color="000000" w:fill="FFFFFF"/>
            <w:noWrap/>
            <w:vAlign w:val="bottom"/>
            <w:hideMark/>
          </w:tcPr>
          <w:p w14:paraId="23AEFA3B" w14:textId="77777777" w:rsidR="00E541EE" w:rsidRPr="006D3994" w:rsidRDefault="00E541EE" w:rsidP="00A84BB5">
            <w:pPr>
              <w:jc w:val="center"/>
              <w:rPr>
                <w:rFonts w:ascii="Arial" w:eastAsia="Times New Roman" w:hAnsi="Arial" w:cs="Arial"/>
                <w:i/>
                <w:iCs/>
                <w:sz w:val="20"/>
              </w:rPr>
            </w:pPr>
            <w:r w:rsidRPr="006D3994">
              <w:rPr>
                <w:rFonts w:ascii="Arial" w:eastAsia="Times New Roman" w:hAnsi="Arial" w:cs="Arial"/>
                <w:i/>
                <w:iCs/>
                <w:sz w:val="20"/>
              </w:rPr>
              <w:t>0,3</w:t>
            </w:r>
          </w:p>
        </w:tc>
        <w:tc>
          <w:tcPr>
            <w:tcW w:w="532" w:type="pct"/>
            <w:tcBorders>
              <w:top w:val="nil"/>
              <w:left w:val="nil"/>
              <w:bottom w:val="nil"/>
              <w:right w:val="single" w:sz="4" w:space="0" w:color="auto"/>
            </w:tcBorders>
            <w:shd w:val="clear" w:color="000000" w:fill="FFFFFF"/>
            <w:noWrap/>
            <w:vAlign w:val="bottom"/>
            <w:hideMark/>
          </w:tcPr>
          <w:p w14:paraId="0AC27B04" w14:textId="77777777" w:rsidR="00E541EE" w:rsidRPr="006D3994" w:rsidRDefault="00E541EE" w:rsidP="00A84BB5">
            <w:pPr>
              <w:jc w:val="center"/>
              <w:rPr>
                <w:rFonts w:ascii="Arial" w:eastAsia="Times New Roman" w:hAnsi="Arial" w:cs="Arial"/>
                <w:i/>
                <w:iCs/>
                <w:sz w:val="20"/>
              </w:rPr>
            </w:pPr>
            <w:r w:rsidRPr="006D3994">
              <w:rPr>
                <w:rFonts w:ascii="Arial" w:eastAsia="Times New Roman" w:hAnsi="Arial" w:cs="Arial"/>
                <w:i/>
                <w:iCs/>
                <w:sz w:val="20"/>
              </w:rPr>
              <w:t>0,0</w:t>
            </w:r>
          </w:p>
        </w:tc>
      </w:tr>
      <w:tr w:rsidR="00E541EE" w:rsidRPr="00AE6ACF" w14:paraId="103A67E5" w14:textId="77777777" w:rsidTr="00E541EE">
        <w:trPr>
          <w:trHeight w:val="300"/>
        </w:trPr>
        <w:tc>
          <w:tcPr>
            <w:tcW w:w="2336" w:type="pct"/>
            <w:tcBorders>
              <w:top w:val="nil"/>
              <w:left w:val="single" w:sz="4" w:space="0" w:color="auto"/>
              <w:bottom w:val="nil"/>
              <w:right w:val="nil"/>
            </w:tcBorders>
            <w:shd w:val="clear" w:color="000000" w:fill="FFFFFF"/>
            <w:noWrap/>
            <w:vAlign w:val="bottom"/>
            <w:hideMark/>
          </w:tcPr>
          <w:p w14:paraId="34DFEA5C" w14:textId="77777777" w:rsidR="00E541EE" w:rsidRPr="006D3994" w:rsidRDefault="00E541EE" w:rsidP="00A84BB5">
            <w:pPr>
              <w:rPr>
                <w:rFonts w:ascii="Arial" w:eastAsia="Times New Roman" w:hAnsi="Arial" w:cs="Arial"/>
                <w:sz w:val="20"/>
              </w:rPr>
            </w:pPr>
            <w:r w:rsidRPr="006D3994">
              <w:rPr>
                <w:rFonts w:ascii="Arial" w:eastAsia="Times New Roman" w:hAnsi="Arial" w:cs="Arial"/>
                <w:sz w:val="20"/>
              </w:rPr>
              <w:t xml:space="preserve">  Izvoz (robe i usluga)</w:t>
            </w:r>
          </w:p>
        </w:tc>
        <w:tc>
          <w:tcPr>
            <w:tcW w:w="390" w:type="pct"/>
            <w:tcBorders>
              <w:top w:val="nil"/>
              <w:left w:val="single" w:sz="4" w:space="0" w:color="auto"/>
              <w:bottom w:val="nil"/>
              <w:right w:val="single" w:sz="4" w:space="0" w:color="auto"/>
            </w:tcBorders>
            <w:shd w:val="clear" w:color="000000" w:fill="FFFFFF"/>
            <w:noWrap/>
            <w:vAlign w:val="bottom"/>
            <w:hideMark/>
          </w:tcPr>
          <w:p w14:paraId="0D2E8C17" w14:textId="77777777" w:rsidR="00E541EE" w:rsidRPr="006D3994" w:rsidRDefault="00E541EE" w:rsidP="00A84BB5">
            <w:pPr>
              <w:jc w:val="center"/>
              <w:rPr>
                <w:rFonts w:ascii="Arial" w:eastAsia="Times New Roman" w:hAnsi="Arial" w:cs="Arial"/>
                <w:sz w:val="20"/>
              </w:rPr>
            </w:pPr>
            <w:r w:rsidRPr="006D3994">
              <w:rPr>
                <w:rFonts w:ascii="Arial" w:eastAsia="Times New Roman" w:hAnsi="Arial" w:cs="Arial"/>
                <w:sz w:val="20"/>
              </w:rPr>
              <w:t>-2,9</w:t>
            </w:r>
          </w:p>
        </w:tc>
        <w:tc>
          <w:tcPr>
            <w:tcW w:w="446" w:type="pct"/>
            <w:tcBorders>
              <w:top w:val="nil"/>
              <w:left w:val="nil"/>
              <w:bottom w:val="nil"/>
              <w:right w:val="nil"/>
            </w:tcBorders>
            <w:shd w:val="clear" w:color="000000" w:fill="FFFFFF"/>
            <w:noWrap/>
            <w:vAlign w:val="bottom"/>
            <w:hideMark/>
          </w:tcPr>
          <w:p w14:paraId="4DC0F877" w14:textId="77777777" w:rsidR="00E541EE" w:rsidRPr="006D3994" w:rsidRDefault="00E541EE" w:rsidP="00A84BB5">
            <w:pPr>
              <w:jc w:val="center"/>
              <w:rPr>
                <w:rFonts w:ascii="Arial" w:eastAsia="Times New Roman" w:hAnsi="Arial" w:cs="Arial"/>
                <w:color w:val="000000"/>
                <w:sz w:val="20"/>
              </w:rPr>
            </w:pPr>
            <w:r w:rsidRPr="006D3994">
              <w:rPr>
                <w:rFonts w:ascii="Arial" w:eastAsia="Times New Roman" w:hAnsi="Arial" w:cs="Arial"/>
                <w:color w:val="000000"/>
                <w:sz w:val="20"/>
              </w:rPr>
              <w:t>0,9</w:t>
            </w:r>
          </w:p>
        </w:tc>
        <w:tc>
          <w:tcPr>
            <w:tcW w:w="442" w:type="pct"/>
            <w:tcBorders>
              <w:top w:val="nil"/>
              <w:left w:val="single" w:sz="4" w:space="0" w:color="auto"/>
              <w:bottom w:val="nil"/>
              <w:right w:val="single" w:sz="4" w:space="0" w:color="auto"/>
            </w:tcBorders>
            <w:shd w:val="clear" w:color="000000" w:fill="FFFFFF"/>
            <w:noWrap/>
            <w:vAlign w:val="bottom"/>
            <w:hideMark/>
          </w:tcPr>
          <w:p w14:paraId="7F08CA37" w14:textId="77777777" w:rsidR="00E541EE" w:rsidRPr="006D3994" w:rsidRDefault="00E541EE" w:rsidP="00A84BB5">
            <w:pPr>
              <w:jc w:val="center"/>
              <w:rPr>
                <w:rFonts w:ascii="Arial" w:eastAsia="Times New Roman" w:hAnsi="Arial" w:cs="Arial"/>
                <w:color w:val="FF0000"/>
                <w:sz w:val="20"/>
              </w:rPr>
            </w:pPr>
            <w:r w:rsidRPr="006D3994">
              <w:rPr>
                <w:rFonts w:ascii="Arial" w:eastAsia="Times New Roman" w:hAnsi="Arial" w:cs="Arial"/>
                <w:color w:val="FF0000"/>
                <w:sz w:val="20"/>
              </w:rPr>
              <w:t>1,8</w:t>
            </w:r>
          </w:p>
        </w:tc>
        <w:tc>
          <w:tcPr>
            <w:tcW w:w="402" w:type="pct"/>
            <w:tcBorders>
              <w:top w:val="nil"/>
              <w:left w:val="nil"/>
              <w:bottom w:val="nil"/>
              <w:right w:val="single" w:sz="4" w:space="0" w:color="auto"/>
            </w:tcBorders>
            <w:shd w:val="clear" w:color="000000" w:fill="FFFFFF"/>
            <w:noWrap/>
            <w:vAlign w:val="bottom"/>
            <w:hideMark/>
          </w:tcPr>
          <w:p w14:paraId="0F4289C8" w14:textId="77777777" w:rsidR="00E541EE" w:rsidRPr="006D3994" w:rsidRDefault="00E541EE" w:rsidP="00A84BB5">
            <w:pPr>
              <w:jc w:val="center"/>
              <w:rPr>
                <w:rFonts w:ascii="Arial" w:eastAsia="Times New Roman" w:hAnsi="Arial" w:cs="Arial"/>
                <w:color w:val="FF0000"/>
                <w:sz w:val="20"/>
              </w:rPr>
            </w:pPr>
            <w:r w:rsidRPr="006D3994">
              <w:rPr>
                <w:rFonts w:ascii="Arial" w:eastAsia="Times New Roman" w:hAnsi="Arial" w:cs="Arial"/>
                <w:color w:val="FF0000"/>
                <w:sz w:val="20"/>
              </w:rPr>
              <w:t>1,9</w:t>
            </w:r>
          </w:p>
        </w:tc>
        <w:tc>
          <w:tcPr>
            <w:tcW w:w="452" w:type="pct"/>
            <w:tcBorders>
              <w:top w:val="nil"/>
              <w:left w:val="nil"/>
              <w:bottom w:val="nil"/>
              <w:right w:val="single" w:sz="4" w:space="0" w:color="auto"/>
            </w:tcBorders>
            <w:shd w:val="clear" w:color="000000" w:fill="FFFFFF"/>
            <w:noWrap/>
            <w:vAlign w:val="bottom"/>
            <w:hideMark/>
          </w:tcPr>
          <w:p w14:paraId="06AC836B" w14:textId="77777777" w:rsidR="00E541EE" w:rsidRPr="006D3994" w:rsidRDefault="00E541EE" w:rsidP="00A84BB5">
            <w:pPr>
              <w:jc w:val="center"/>
              <w:rPr>
                <w:rFonts w:ascii="Arial" w:eastAsia="Times New Roman" w:hAnsi="Arial" w:cs="Arial"/>
                <w:i/>
                <w:iCs/>
                <w:sz w:val="20"/>
              </w:rPr>
            </w:pPr>
            <w:r w:rsidRPr="006D3994">
              <w:rPr>
                <w:rFonts w:ascii="Arial" w:eastAsia="Times New Roman" w:hAnsi="Arial" w:cs="Arial"/>
                <w:i/>
                <w:iCs/>
                <w:sz w:val="20"/>
              </w:rPr>
              <w:t>-0,8</w:t>
            </w:r>
          </w:p>
        </w:tc>
        <w:tc>
          <w:tcPr>
            <w:tcW w:w="532" w:type="pct"/>
            <w:tcBorders>
              <w:top w:val="nil"/>
              <w:left w:val="nil"/>
              <w:bottom w:val="nil"/>
              <w:right w:val="single" w:sz="4" w:space="0" w:color="auto"/>
            </w:tcBorders>
            <w:shd w:val="clear" w:color="000000" w:fill="FFFFFF"/>
            <w:noWrap/>
            <w:vAlign w:val="bottom"/>
            <w:hideMark/>
          </w:tcPr>
          <w:p w14:paraId="233A5778" w14:textId="77777777" w:rsidR="00E541EE" w:rsidRPr="006D3994" w:rsidRDefault="00E541EE" w:rsidP="00A84BB5">
            <w:pPr>
              <w:jc w:val="center"/>
              <w:rPr>
                <w:rFonts w:ascii="Arial" w:eastAsia="Times New Roman" w:hAnsi="Arial" w:cs="Arial"/>
                <w:i/>
                <w:iCs/>
                <w:sz w:val="20"/>
              </w:rPr>
            </w:pPr>
            <w:r w:rsidRPr="006D3994">
              <w:rPr>
                <w:rFonts w:ascii="Arial" w:eastAsia="Times New Roman" w:hAnsi="Arial" w:cs="Arial"/>
                <w:i/>
                <w:iCs/>
                <w:sz w:val="20"/>
              </w:rPr>
              <w:t>-0,3</w:t>
            </w:r>
          </w:p>
        </w:tc>
      </w:tr>
      <w:tr w:rsidR="00E541EE" w:rsidRPr="00AE6ACF" w14:paraId="1FE1CD48" w14:textId="77777777" w:rsidTr="00E541EE">
        <w:trPr>
          <w:trHeight w:val="300"/>
        </w:trPr>
        <w:tc>
          <w:tcPr>
            <w:tcW w:w="2336" w:type="pct"/>
            <w:tcBorders>
              <w:top w:val="nil"/>
              <w:left w:val="single" w:sz="4" w:space="0" w:color="auto"/>
              <w:bottom w:val="nil"/>
              <w:right w:val="nil"/>
            </w:tcBorders>
            <w:shd w:val="clear" w:color="000000" w:fill="FFFFFF"/>
            <w:noWrap/>
            <w:vAlign w:val="bottom"/>
            <w:hideMark/>
          </w:tcPr>
          <w:p w14:paraId="2BB072BE" w14:textId="77777777" w:rsidR="00E541EE" w:rsidRPr="006D3994" w:rsidRDefault="00E541EE" w:rsidP="00A84BB5">
            <w:pPr>
              <w:rPr>
                <w:rFonts w:ascii="Arial" w:eastAsia="Times New Roman" w:hAnsi="Arial" w:cs="Arial"/>
                <w:sz w:val="20"/>
              </w:rPr>
            </w:pPr>
            <w:r w:rsidRPr="006D3994">
              <w:rPr>
                <w:rFonts w:ascii="Arial" w:eastAsia="Times New Roman" w:hAnsi="Arial" w:cs="Arial"/>
                <w:sz w:val="20"/>
              </w:rPr>
              <w:t xml:space="preserve">  Uvoz (robe i usluga)</w:t>
            </w:r>
          </w:p>
        </w:tc>
        <w:tc>
          <w:tcPr>
            <w:tcW w:w="390" w:type="pct"/>
            <w:tcBorders>
              <w:top w:val="nil"/>
              <w:left w:val="single" w:sz="4" w:space="0" w:color="auto"/>
              <w:bottom w:val="nil"/>
              <w:right w:val="single" w:sz="4" w:space="0" w:color="auto"/>
            </w:tcBorders>
            <w:shd w:val="clear" w:color="000000" w:fill="FFFFFF"/>
            <w:noWrap/>
            <w:vAlign w:val="bottom"/>
            <w:hideMark/>
          </w:tcPr>
          <w:p w14:paraId="2B2E9F7E" w14:textId="77777777" w:rsidR="00E541EE" w:rsidRPr="006D3994" w:rsidRDefault="00E541EE" w:rsidP="00A84BB5">
            <w:pPr>
              <w:jc w:val="center"/>
              <w:rPr>
                <w:rFonts w:ascii="Arial" w:eastAsia="Times New Roman" w:hAnsi="Arial" w:cs="Arial"/>
                <w:sz w:val="20"/>
              </w:rPr>
            </w:pPr>
            <w:r w:rsidRPr="006D3994">
              <w:rPr>
                <w:rFonts w:ascii="Arial" w:eastAsia="Times New Roman" w:hAnsi="Arial" w:cs="Arial"/>
                <w:sz w:val="20"/>
              </w:rPr>
              <w:t>-5,3</w:t>
            </w:r>
          </w:p>
        </w:tc>
        <w:tc>
          <w:tcPr>
            <w:tcW w:w="446" w:type="pct"/>
            <w:tcBorders>
              <w:top w:val="nil"/>
              <w:left w:val="nil"/>
              <w:bottom w:val="nil"/>
              <w:right w:val="nil"/>
            </w:tcBorders>
            <w:shd w:val="clear" w:color="000000" w:fill="FFFFFF"/>
            <w:noWrap/>
            <w:vAlign w:val="bottom"/>
            <w:hideMark/>
          </w:tcPr>
          <w:p w14:paraId="36A96EA7" w14:textId="77777777" w:rsidR="00E541EE" w:rsidRPr="006D3994" w:rsidRDefault="00E541EE" w:rsidP="00A84BB5">
            <w:pPr>
              <w:jc w:val="center"/>
              <w:rPr>
                <w:rFonts w:ascii="Arial" w:eastAsia="Times New Roman" w:hAnsi="Arial" w:cs="Arial"/>
                <w:color w:val="000000"/>
                <w:sz w:val="20"/>
              </w:rPr>
            </w:pPr>
            <w:r w:rsidRPr="006D3994">
              <w:rPr>
                <w:rFonts w:ascii="Arial" w:eastAsia="Times New Roman" w:hAnsi="Arial" w:cs="Arial"/>
                <w:color w:val="000000"/>
                <w:sz w:val="20"/>
              </w:rPr>
              <w:t>5,3</w:t>
            </w:r>
          </w:p>
        </w:tc>
        <w:tc>
          <w:tcPr>
            <w:tcW w:w="442" w:type="pct"/>
            <w:tcBorders>
              <w:top w:val="nil"/>
              <w:left w:val="single" w:sz="4" w:space="0" w:color="auto"/>
              <w:bottom w:val="nil"/>
              <w:right w:val="single" w:sz="4" w:space="0" w:color="auto"/>
            </w:tcBorders>
            <w:shd w:val="clear" w:color="000000" w:fill="FFFFFF"/>
            <w:noWrap/>
            <w:vAlign w:val="bottom"/>
            <w:hideMark/>
          </w:tcPr>
          <w:p w14:paraId="1D06DA42" w14:textId="77777777" w:rsidR="00E541EE" w:rsidRPr="006D3994" w:rsidRDefault="00E541EE" w:rsidP="00A84BB5">
            <w:pPr>
              <w:jc w:val="center"/>
              <w:rPr>
                <w:rFonts w:ascii="Arial" w:eastAsia="Times New Roman" w:hAnsi="Arial" w:cs="Arial"/>
                <w:color w:val="FF0000"/>
                <w:sz w:val="20"/>
              </w:rPr>
            </w:pPr>
            <w:r w:rsidRPr="006D3994">
              <w:rPr>
                <w:rFonts w:ascii="Arial" w:eastAsia="Times New Roman" w:hAnsi="Arial" w:cs="Arial"/>
                <w:color w:val="FF0000"/>
                <w:sz w:val="20"/>
              </w:rPr>
              <w:t>4,7</w:t>
            </w:r>
          </w:p>
        </w:tc>
        <w:tc>
          <w:tcPr>
            <w:tcW w:w="402" w:type="pct"/>
            <w:tcBorders>
              <w:top w:val="nil"/>
              <w:left w:val="nil"/>
              <w:bottom w:val="nil"/>
              <w:right w:val="single" w:sz="4" w:space="0" w:color="auto"/>
            </w:tcBorders>
            <w:shd w:val="clear" w:color="000000" w:fill="FFFFFF"/>
            <w:noWrap/>
            <w:vAlign w:val="bottom"/>
            <w:hideMark/>
          </w:tcPr>
          <w:p w14:paraId="2AEFC46F" w14:textId="77777777" w:rsidR="00E541EE" w:rsidRPr="006D3994" w:rsidRDefault="00E541EE" w:rsidP="00A84BB5">
            <w:pPr>
              <w:jc w:val="center"/>
              <w:rPr>
                <w:rFonts w:ascii="Arial" w:eastAsia="Times New Roman" w:hAnsi="Arial" w:cs="Arial"/>
                <w:color w:val="FF0000"/>
                <w:sz w:val="20"/>
              </w:rPr>
            </w:pPr>
            <w:r w:rsidRPr="006D3994">
              <w:rPr>
                <w:rFonts w:ascii="Arial" w:eastAsia="Times New Roman" w:hAnsi="Arial" w:cs="Arial"/>
                <w:color w:val="FF0000"/>
                <w:sz w:val="20"/>
              </w:rPr>
              <w:t>3,4</w:t>
            </w:r>
          </w:p>
        </w:tc>
        <w:tc>
          <w:tcPr>
            <w:tcW w:w="452" w:type="pct"/>
            <w:tcBorders>
              <w:top w:val="nil"/>
              <w:left w:val="nil"/>
              <w:bottom w:val="nil"/>
              <w:right w:val="single" w:sz="4" w:space="0" w:color="auto"/>
            </w:tcBorders>
            <w:shd w:val="clear" w:color="000000" w:fill="FFFFFF"/>
            <w:noWrap/>
            <w:vAlign w:val="bottom"/>
            <w:hideMark/>
          </w:tcPr>
          <w:p w14:paraId="4B4FA17A" w14:textId="77777777" w:rsidR="00E541EE" w:rsidRPr="006D3994" w:rsidRDefault="00E541EE" w:rsidP="00A84BB5">
            <w:pPr>
              <w:jc w:val="center"/>
              <w:rPr>
                <w:rFonts w:ascii="Arial" w:eastAsia="Times New Roman" w:hAnsi="Arial" w:cs="Arial"/>
                <w:i/>
                <w:iCs/>
                <w:sz w:val="20"/>
              </w:rPr>
            </w:pPr>
            <w:r w:rsidRPr="006D3994">
              <w:rPr>
                <w:rFonts w:ascii="Arial" w:eastAsia="Times New Roman" w:hAnsi="Arial" w:cs="Arial"/>
                <w:i/>
                <w:iCs/>
                <w:sz w:val="20"/>
              </w:rPr>
              <w:t>-1,0</w:t>
            </w:r>
          </w:p>
        </w:tc>
        <w:tc>
          <w:tcPr>
            <w:tcW w:w="532" w:type="pct"/>
            <w:tcBorders>
              <w:top w:val="nil"/>
              <w:left w:val="nil"/>
              <w:bottom w:val="nil"/>
              <w:right w:val="single" w:sz="4" w:space="0" w:color="auto"/>
            </w:tcBorders>
            <w:shd w:val="clear" w:color="000000" w:fill="FFFFFF"/>
            <w:noWrap/>
            <w:vAlign w:val="bottom"/>
            <w:hideMark/>
          </w:tcPr>
          <w:p w14:paraId="48F2A647" w14:textId="77777777" w:rsidR="00E541EE" w:rsidRPr="006D3994" w:rsidRDefault="00E541EE" w:rsidP="00A84BB5">
            <w:pPr>
              <w:jc w:val="center"/>
              <w:rPr>
                <w:rFonts w:ascii="Arial" w:eastAsia="Times New Roman" w:hAnsi="Arial" w:cs="Arial"/>
                <w:i/>
                <w:iCs/>
                <w:sz w:val="20"/>
              </w:rPr>
            </w:pPr>
            <w:r w:rsidRPr="006D3994">
              <w:rPr>
                <w:rFonts w:ascii="Arial" w:eastAsia="Times New Roman" w:hAnsi="Arial" w:cs="Arial"/>
                <w:i/>
                <w:iCs/>
                <w:sz w:val="20"/>
              </w:rPr>
              <w:t>-0,1</w:t>
            </w:r>
          </w:p>
        </w:tc>
      </w:tr>
      <w:tr w:rsidR="00E541EE" w:rsidRPr="00AE6ACF" w14:paraId="002D24BC" w14:textId="77777777" w:rsidTr="00E541EE">
        <w:trPr>
          <w:trHeight w:val="300"/>
        </w:trPr>
        <w:tc>
          <w:tcPr>
            <w:tcW w:w="2336" w:type="pct"/>
            <w:tcBorders>
              <w:top w:val="nil"/>
              <w:left w:val="single" w:sz="4" w:space="0" w:color="auto"/>
              <w:bottom w:val="nil"/>
              <w:right w:val="nil"/>
            </w:tcBorders>
            <w:shd w:val="clear" w:color="000000" w:fill="FFFFFF"/>
            <w:noWrap/>
            <w:vAlign w:val="bottom"/>
            <w:hideMark/>
          </w:tcPr>
          <w:p w14:paraId="348D14AE" w14:textId="77777777" w:rsidR="00E541EE" w:rsidRPr="006D3994" w:rsidRDefault="00E541EE" w:rsidP="00A84BB5">
            <w:pPr>
              <w:rPr>
                <w:rFonts w:ascii="Arial" w:eastAsia="Times New Roman" w:hAnsi="Arial" w:cs="Arial"/>
                <w:i/>
                <w:iCs/>
                <w:color w:val="000000"/>
                <w:sz w:val="20"/>
              </w:rPr>
            </w:pPr>
            <w:r w:rsidRPr="006D3994">
              <w:rPr>
                <w:rFonts w:ascii="Arial" w:eastAsia="Times New Roman" w:hAnsi="Arial" w:cs="Arial"/>
                <w:i/>
                <w:iCs/>
                <w:color w:val="000000"/>
                <w:sz w:val="20"/>
              </w:rPr>
              <w:t>Doprinos realnom rastu BDP-a (p. b.)</w:t>
            </w:r>
          </w:p>
        </w:tc>
        <w:tc>
          <w:tcPr>
            <w:tcW w:w="390" w:type="pct"/>
            <w:tcBorders>
              <w:top w:val="nil"/>
              <w:left w:val="single" w:sz="4" w:space="0" w:color="auto"/>
              <w:bottom w:val="nil"/>
              <w:right w:val="single" w:sz="4" w:space="0" w:color="auto"/>
            </w:tcBorders>
            <w:shd w:val="clear" w:color="000000" w:fill="FFFFFF"/>
            <w:noWrap/>
            <w:vAlign w:val="bottom"/>
            <w:hideMark/>
          </w:tcPr>
          <w:p w14:paraId="235F22AA" w14:textId="77777777" w:rsidR="00E541EE" w:rsidRPr="006D3994" w:rsidRDefault="00E541EE" w:rsidP="00A84BB5">
            <w:pPr>
              <w:jc w:val="center"/>
              <w:rPr>
                <w:rFonts w:ascii="Arial" w:eastAsia="Times New Roman" w:hAnsi="Arial" w:cs="Arial"/>
                <w:sz w:val="20"/>
              </w:rPr>
            </w:pPr>
            <w:r w:rsidRPr="006D3994">
              <w:rPr>
                <w:rFonts w:ascii="Arial" w:eastAsia="Times New Roman" w:hAnsi="Arial" w:cs="Arial"/>
                <w:sz w:val="20"/>
              </w:rPr>
              <w:t> </w:t>
            </w:r>
          </w:p>
        </w:tc>
        <w:tc>
          <w:tcPr>
            <w:tcW w:w="446" w:type="pct"/>
            <w:tcBorders>
              <w:top w:val="nil"/>
              <w:left w:val="nil"/>
              <w:bottom w:val="nil"/>
              <w:right w:val="nil"/>
            </w:tcBorders>
            <w:shd w:val="clear" w:color="000000" w:fill="FFFFFF"/>
            <w:noWrap/>
            <w:vAlign w:val="bottom"/>
            <w:hideMark/>
          </w:tcPr>
          <w:p w14:paraId="13C1AA3A" w14:textId="77777777" w:rsidR="00E541EE" w:rsidRPr="006D3994" w:rsidRDefault="00E541EE" w:rsidP="00A84BB5">
            <w:pPr>
              <w:jc w:val="center"/>
              <w:rPr>
                <w:rFonts w:ascii="Arial" w:eastAsia="Times New Roman" w:hAnsi="Arial" w:cs="Arial"/>
                <w:sz w:val="20"/>
              </w:rPr>
            </w:pPr>
            <w:r w:rsidRPr="006D3994">
              <w:rPr>
                <w:rFonts w:ascii="Arial" w:eastAsia="Times New Roman" w:hAnsi="Arial" w:cs="Arial"/>
                <w:sz w:val="20"/>
              </w:rPr>
              <w:t> </w:t>
            </w:r>
          </w:p>
        </w:tc>
        <w:tc>
          <w:tcPr>
            <w:tcW w:w="442" w:type="pct"/>
            <w:tcBorders>
              <w:top w:val="nil"/>
              <w:left w:val="single" w:sz="4" w:space="0" w:color="auto"/>
              <w:bottom w:val="nil"/>
              <w:right w:val="single" w:sz="4" w:space="0" w:color="auto"/>
            </w:tcBorders>
            <w:shd w:val="clear" w:color="000000" w:fill="FFFFFF"/>
            <w:noWrap/>
            <w:vAlign w:val="bottom"/>
            <w:hideMark/>
          </w:tcPr>
          <w:p w14:paraId="07AC3E14" w14:textId="77777777" w:rsidR="00E541EE" w:rsidRPr="006D3994" w:rsidRDefault="00E541EE" w:rsidP="00A84BB5">
            <w:pPr>
              <w:jc w:val="center"/>
              <w:rPr>
                <w:rFonts w:ascii="Arial" w:eastAsia="Times New Roman" w:hAnsi="Arial" w:cs="Arial"/>
                <w:sz w:val="20"/>
              </w:rPr>
            </w:pPr>
            <w:r w:rsidRPr="006D3994">
              <w:rPr>
                <w:rFonts w:ascii="Arial" w:eastAsia="Times New Roman" w:hAnsi="Arial" w:cs="Arial"/>
                <w:sz w:val="20"/>
              </w:rPr>
              <w:t> </w:t>
            </w:r>
          </w:p>
        </w:tc>
        <w:tc>
          <w:tcPr>
            <w:tcW w:w="402" w:type="pct"/>
            <w:tcBorders>
              <w:top w:val="nil"/>
              <w:left w:val="nil"/>
              <w:bottom w:val="nil"/>
              <w:right w:val="single" w:sz="4" w:space="0" w:color="auto"/>
            </w:tcBorders>
            <w:shd w:val="clear" w:color="000000" w:fill="FFFFFF"/>
            <w:noWrap/>
            <w:vAlign w:val="bottom"/>
            <w:hideMark/>
          </w:tcPr>
          <w:p w14:paraId="75D631EC" w14:textId="77777777" w:rsidR="00E541EE" w:rsidRPr="006D3994" w:rsidRDefault="00E541EE" w:rsidP="00A84BB5">
            <w:pPr>
              <w:jc w:val="center"/>
              <w:rPr>
                <w:rFonts w:ascii="Arial" w:eastAsia="Times New Roman" w:hAnsi="Arial" w:cs="Arial"/>
                <w:sz w:val="20"/>
              </w:rPr>
            </w:pPr>
            <w:r w:rsidRPr="006D3994">
              <w:rPr>
                <w:rFonts w:ascii="Arial" w:eastAsia="Times New Roman" w:hAnsi="Arial" w:cs="Arial"/>
                <w:sz w:val="20"/>
              </w:rPr>
              <w:t> </w:t>
            </w:r>
          </w:p>
        </w:tc>
        <w:tc>
          <w:tcPr>
            <w:tcW w:w="452" w:type="pct"/>
            <w:tcBorders>
              <w:top w:val="nil"/>
              <w:left w:val="nil"/>
              <w:bottom w:val="nil"/>
              <w:right w:val="single" w:sz="4" w:space="0" w:color="auto"/>
            </w:tcBorders>
            <w:shd w:val="clear" w:color="000000" w:fill="FFFFFF"/>
            <w:noWrap/>
            <w:vAlign w:val="bottom"/>
            <w:hideMark/>
          </w:tcPr>
          <w:p w14:paraId="35460E77" w14:textId="77777777" w:rsidR="00E541EE" w:rsidRPr="006D3994" w:rsidRDefault="00E541EE" w:rsidP="00A84BB5">
            <w:pPr>
              <w:jc w:val="center"/>
              <w:rPr>
                <w:rFonts w:ascii="Arial" w:eastAsia="Times New Roman" w:hAnsi="Arial" w:cs="Arial"/>
                <w:i/>
                <w:iCs/>
                <w:sz w:val="20"/>
              </w:rPr>
            </w:pPr>
            <w:r w:rsidRPr="006D3994">
              <w:rPr>
                <w:rFonts w:ascii="Arial" w:eastAsia="Times New Roman" w:hAnsi="Arial" w:cs="Arial"/>
                <w:i/>
                <w:iCs/>
                <w:sz w:val="20"/>
              </w:rPr>
              <w:t> </w:t>
            </w:r>
          </w:p>
        </w:tc>
        <w:tc>
          <w:tcPr>
            <w:tcW w:w="532" w:type="pct"/>
            <w:tcBorders>
              <w:top w:val="nil"/>
              <w:left w:val="nil"/>
              <w:bottom w:val="nil"/>
              <w:right w:val="single" w:sz="4" w:space="0" w:color="auto"/>
            </w:tcBorders>
            <w:shd w:val="clear" w:color="000000" w:fill="FFFFFF"/>
            <w:noWrap/>
            <w:vAlign w:val="bottom"/>
            <w:hideMark/>
          </w:tcPr>
          <w:p w14:paraId="5BA5BC14" w14:textId="77777777" w:rsidR="00E541EE" w:rsidRPr="006D3994" w:rsidRDefault="00E541EE" w:rsidP="00A84BB5">
            <w:pPr>
              <w:jc w:val="center"/>
              <w:rPr>
                <w:rFonts w:ascii="Arial" w:eastAsia="Times New Roman" w:hAnsi="Arial" w:cs="Arial"/>
                <w:i/>
                <w:iCs/>
                <w:sz w:val="20"/>
              </w:rPr>
            </w:pPr>
            <w:r w:rsidRPr="006D3994">
              <w:rPr>
                <w:rFonts w:ascii="Arial" w:eastAsia="Times New Roman" w:hAnsi="Arial" w:cs="Arial"/>
                <w:i/>
                <w:iCs/>
                <w:sz w:val="20"/>
              </w:rPr>
              <w:t> </w:t>
            </w:r>
          </w:p>
        </w:tc>
      </w:tr>
      <w:tr w:rsidR="00E541EE" w:rsidRPr="00AE6ACF" w14:paraId="20029374" w14:textId="77777777" w:rsidTr="00E541EE">
        <w:trPr>
          <w:trHeight w:val="300"/>
        </w:trPr>
        <w:tc>
          <w:tcPr>
            <w:tcW w:w="2336" w:type="pct"/>
            <w:tcBorders>
              <w:top w:val="nil"/>
              <w:left w:val="single" w:sz="4" w:space="0" w:color="auto"/>
              <w:bottom w:val="nil"/>
              <w:right w:val="nil"/>
            </w:tcBorders>
            <w:shd w:val="clear" w:color="000000" w:fill="FFFFFF"/>
            <w:noWrap/>
            <w:vAlign w:val="bottom"/>
            <w:hideMark/>
          </w:tcPr>
          <w:p w14:paraId="5EE6EF20" w14:textId="77777777" w:rsidR="00E541EE" w:rsidRPr="006D3994" w:rsidRDefault="00E541EE" w:rsidP="00A84BB5">
            <w:pPr>
              <w:rPr>
                <w:rFonts w:ascii="Arial" w:eastAsia="Times New Roman" w:hAnsi="Arial" w:cs="Arial"/>
                <w:sz w:val="20"/>
              </w:rPr>
            </w:pPr>
            <w:r w:rsidRPr="006D3994">
              <w:rPr>
                <w:rFonts w:ascii="Arial" w:eastAsia="Times New Roman" w:hAnsi="Arial" w:cs="Arial"/>
                <w:sz w:val="20"/>
              </w:rPr>
              <w:t xml:space="preserve">  Domaća potražnja (isključujući promjenu zaliha)</w:t>
            </w:r>
          </w:p>
        </w:tc>
        <w:tc>
          <w:tcPr>
            <w:tcW w:w="390" w:type="pct"/>
            <w:tcBorders>
              <w:top w:val="nil"/>
              <w:left w:val="single" w:sz="4" w:space="0" w:color="auto"/>
              <w:bottom w:val="nil"/>
              <w:right w:val="single" w:sz="4" w:space="0" w:color="auto"/>
            </w:tcBorders>
            <w:shd w:val="clear" w:color="000000" w:fill="FFFFFF"/>
            <w:noWrap/>
            <w:vAlign w:val="bottom"/>
            <w:hideMark/>
          </w:tcPr>
          <w:p w14:paraId="5C708C9F" w14:textId="77777777" w:rsidR="00E541EE" w:rsidRPr="006D3994" w:rsidRDefault="00E541EE" w:rsidP="00A84BB5">
            <w:pPr>
              <w:jc w:val="center"/>
              <w:rPr>
                <w:rFonts w:ascii="Arial" w:eastAsia="Times New Roman" w:hAnsi="Arial" w:cs="Arial"/>
                <w:sz w:val="20"/>
              </w:rPr>
            </w:pPr>
            <w:r w:rsidRPr="006D3994">
              <w:rPr>
                <w:rFonts w:ascii="Arial" w:eastAsia="Times New Roman" w:hAnsi="Arial" w:cs="Arial"/>
                <w:sz w:val="20"/>
              </w:rPr>
              <w:t>5,5</w:t>
            </w:r>
          </w:p>
        </w:tc>
        <w:tc>
          <w:tcPr>
            <w:tcW w:w="446" w:type="pct"/>
            <w:tcBorders>
              <w:top w:val="nil"/>
              <w:left w:val="nil"/>
              <w:bottom w:val="nil"/>
              <w:right w:val="nil"/>
            </w:tcBorders>
            <w:shd w:val="clear" w:color="000000" w:fill="FFFFFF"/>
            <w:noWrap/>
            <w:vAlign w:val="bottom"/>
            <w:hideMark/>
          </w:tcPr>
          <w:p w14:paraId="64CF8A7F" w14:textId="77777777" w:rsidR="00E541EE" w:rsidRPr="006D3994" w:rsidRDefault="00E541EE" w:rsidP="00A84BB5">
            <w:pPr>
              <w:jc w:val="center"/>
              <w:rPr>
                <w:rFonts w:ascii="Arial" w:eastAsia="Times New Roman" w:hAnsi="Arial" w:cs="Arial"/>
                <w:color w:val="000000"/>
                <w:sz w:val="20"/>
              </w:rPr>
            </w:pPr>
            <w:r w:rsidRPr="006D3994">
              <w:rPr>
                <w:rFonts w:ascii="Arial" w:eastAsia="Times New Roman" w:hAnsi="Arial" w:cs="Arial"/>
                <w:color w:val="000000"/>
                <w:sz w:val="20"/>
              </w:rPr>
              <w:t>6,9</w:t>
            </w:r>
          </w:p>
        </w:tc>
        <w:tc>
          <w:tcPr>
            <w:tcW w:w="442" w:type="pct"/>
            <w:tcBorders>
              <w:top w:val="nil"/>
              <w:left w:val="single" w:sz="4" w:space="0" w:color="auto"/>
              <w:bottom w:val="nil"/>
              <w:right w:val="single" w:sz="4" w:space="0" w:color="auto"/>
            </w:tcBorders>
            <w:shd w:val="clear" w:color="000000" w:fill="FFFFFF"/>
            <w:noWrap/>
            <w:vAlign w:val="bottom"/>
            <w:hideMark/>
          </w:tcPr>
          <w:p w14:paraId="09012912" w14:textId="77777777" w:rsidR="00E541EE" w:rsidRPr="006D3994" w:rsidRDefault="00E541EE" w:rsidP="00A84BB5">
            <w:pPr>
              <w:jc w:val="center"/>
              <w:rPr>
                <w:rFonts w:ascii="Arial" w:eastAsia="Times New Roman" w:hAnsi="Arial" w:cs="Arial"/>
                <w:color w:val="FF0000"/>
                <w:sz w:val="20"/>
              </w:rPr>
            </w:pPr>
            <w:r w:rsidRPr="006D3994">
              <w:rPr>
                <w:rFonts w:ascii="Arial" w:eastAsia="Times New Roman" w:hAnsi="Arial" w:cs="Arial"/>
                <w:color w:val="FF0000"/>
                <w:sz w:val="20"/>
              </w:rPr>
              <w:t>4,5</w:t>
            </w:r>
          </w:p>
        </w:tc>
        <w:tc>
          <w:tcPr>
            <w:tcW w:w="402" w:type="pct"/>
            <w:tcBorders>
              <w:top w:val="nil"/>
              <w:left w:val="nil"/>
              <w:bottom w:val="nil"/>
              <w:right w:val="single" w:sz="4" w:space="0" w:color="auto"/>
            </w:tcBorders>
            <w:shd w:val="clear" w:color="000000" w:fill="FFFFFF"/>
            <w:noWrap/>
            <w:vAlign w:val="bottom"/>
            <w:hideMark/>
          </w:tcPr>
          <w:p w14:paraId="0C913F7B" w14:textId="77777777" w:rsidR="00E541EE" w:rsidRPr="006D3994" w:rsidRDefault="00E541EE" w:rsidP="00A84BB5">
            <w:pPr>
              <w:jc w:val="center"/>
              <w:rPr>
                <w:rFonts w:ascii="Arial" w:eastAsia="Times New Roman" w:hAnsi="Arial" w:cs="Arial"/>
                <w:color w:val="FF0000"/>
                <w:sz w:val="20"/>
              </w:rPr>
            </w:pPr>
            <w:r w:rsidRPr="006D3994">
              <w:rPr>
                <w:rFonts w:ascii="Arial" w:eastAsia="Times New Roman" w:hAnsi="Arial" w:cs="Arial"/>
                <w:color w:val="FF0000"/>
                <w:sz w:val="20"/>
              </w:rPr>
              <w:t>3,8</w:t>
            </w:r>
          </w:p>
        </w:tc>
        <w:tc>
          <w:tcPr>
            <w:tcW w:w="452" w:type="pct"/>
            <w:tcBorders>
              <w:top w:val="nil"/>
              <w:left w:val="nil"/>
              <w:bottom w:val="nil"/>
              <w:right w:val="single" w:sz="4" w:space="0" w:color="auto"/>
            </w:tcBorders>
            <w:shd w:val="clear" w:color="000000" w:fill="FFFFFF"/>
            <w:noWrap/>
            <w:vAlign w:val="bottom"/>
            <w:hideMark/>
          </w:tcPr>
          <w:p w14:paraId="3B3CFE0B" w14:textId="77777777" w:rsidR="00E541EE" w:rsidRPr="006D3994" w:rsidRDefault="00E541EE" w:rsidP="00A84BB5">
            <w:pPr>
              <w:jc w:val="center"/>
              <w:rPr>
                <w:rFonts w:ascii="Arial" w:eastAsia="Times New Roman" w:hAnsi="Arial" w:cs="Arial"/>
                <w:i/>
                <w:iCs/>
                <w:sz w:val="20"/>
              </w:rPr>
            </w:pPr>
            <w:r w:rsidRPr="006D3994">
              <w:rPr>
                <w:rFonts w:ascii="Arial" w:eastAsia="Times New Roman" w:hAnsi="Arial" w:cs="Arial"/>
                <w:i/>
                <w:iCs/>
                <w:sz w:val="20"/>
              </w:rPr>
              <w:t>-0,3</w:t>
            </w:r>
          </w:p>
        </w:tc>
        <w:tc>
          <w:tcPr>
            <w:tcW w:w="532" w:type="pct"/>
            <w:tcBorders>
              <w:top w:val="nil"/>
              <w:left w:val="nil"/>
              <w:bottom w:val="nil"/>
              <w:right w:val="single" w:sz="4" w:space="0" w:color="auto"/>
            </w:tcBorders>
            <w:shd w:val="clear" w:color="000000" w:fill="FFFFFF"/>
            <w:noWrap/>
            <w:vAlign w:val="bottom"/>
            <w:hideMark/>
          </w:tcPr>
          <w:p w14:paraId="2DEAB3DB" w14:textId="77777777" w:rsidR="00E541EE" w:rsidRPr="006D3994" w:rsidRDefault="00E541EE" w:rsidP="00A84BB5">
            <w:pPr>
              <w:jc w:val="center"/>
              <w:rPr>
                <w:rFonts w:ascii="Arial" w:eastAsia="Times New Roman" w:hAnsi="Arial" w:cs="Arial"/>
                <w:i/>
                <w:iCs/>
                <w:sz w:val="20"/>
              </w:rPr>
            </w:pPr>
            <w:r w:rsidRPr="006D3994">
              <w:rPr>
                <w:rFonts w:ascii="Arial" w:eastAsia="Times New Roman" w:hAnsi="Arial" w:cs="Arial"/>
                <w:i/>
                <w:iCs/>
                <w:sz w:val="20"/>
              </w:rPr>
              <w:t>0,1</w:t>
            </w:r>
          </w:p>
        </w:tc>
      </w:tr>
      <w:tr w:rsidR="00E541EE" w:rsidRPr="00AE6ACF" w14:paraId="67DA4C11" w14:textId="77777777" w:rsidTr="00E541EE">
        <w:trPr>
          <w:trHeight w:val="300"/>
        </w:trPr>
        <w:tc>
          <w:tcPr>
            <w:tcW w:w="2336" w:type="pct"/>
            <w:tcBorders>
              <w:top w:val="nil"/>
              <w:left w:val="single" w:sz="4" w:space="0" w:color="auto"/>
              <w:bottom w:val="nil"/>
              <w:right w:val="nil"/>
            </w:tcBorders>
            <w:shd w:val="clear" w:color="000000" w:fill="FFFFFF"/>
            <w:noWrap/>
            <w:vAlign w:val="bottom"/>
            <w:hideMark/>
          </w:tcPr>
          <w:p w14:paraId="1DDF9A24" w14:textId="77777777" w:rsidR="00E541EE" w:rsidRPr="006D3994" w:rsidRDefault="00E541EE" w:rsidP="00A84BB5">
            <w:pPr>
              <w:rPr>
                <w:rFonts w:ascii="Arial" w:eastAsia="Times New Roman" w:hAnsi="Arial" w:cs="Arial"/>
                <w:sz w:val="20"/>
              </w:rPr>
            </w:pPr>
            <w:r w:rsidRPr="006D3994">
              <w:rPr>
                <w:rFonts w:ascii="Arial" w:eastAsia="Times New Roman" w:hAnsi="Arial" w:cs="Arial"/>
                <w:sz w:val="20"/>
              </w:rPr>
              <w:t xml:space="preserve">  Neto izvoz</w:t>
            </w:r>
          </w:p>
        </w:tc>
        <w:tc>
          <w:tcPr>
            <w:tcW w:w="390" w:type="pct"/>
            <w:tcBorders>
              <w:top w:val="nil"/>
              <w:left w:val="single" w:sz="4" w:space="0" w:color="auto"/>
              <w:bottom w:val="nil"/>
              <w:right w:val="single" w:sz="4" w:space="0" w:color="auto"/>
            </w:tcBorders>
            <w:shd w:val="clear" w:color="000000" w:fill="FFFFFF"/>
            <w:noWrap/>
            <w:vAlign w:val="bottom"/>
            <w:hideMark/>
          </w:tcPr>
          <w:p w14:paraId="2629181E" w14:textId="77777777" w:rsidR="00E541EE" w:rsidRPr="006D3994" w:rsidRDefault="00E541EE" w:rsidP="00A84BB5">
            <w:pPr>
              <w:jc w:val="center"/>
              <w:rPr>
                <w:rFonts w:ascii="Arial" w:eastAsia="Times New Roman" w:hAnsi="Arial" w:cs="Arial"/>
                <w:sz w:val="20"/>
              </w:rPr>
            </w:pPr>
            <w:r w:rsidRPr="006D3994">
              <w:rPr>
                <w:rFonts w:ascii="Arial" w:eastAsia="Times New Roman" w:hAnsi="Arial" w:cs="Arial"/>
                <w:sz w:val="20"/>
              </w:rPr>
              <w:t>1,7</w:t>
            </w:r>
          </w:p>
        </w:tc>
        <w:tc>
          <w:tcPr>
            <w:tcW w:w="446" w:type="pct"/>
            <w:tcBorders>
              <w:top w:val="nil"/>
              <w:left w:val="nil"/>
              <w:bottom w:val="nil"/>
              <w:right w:val="nil"/>
            </w:tcBorders>
            <w:shd w:val="clear" w:color="000000" w:fill="FFFFFF"/>
            <w:noWrap/>
            <w:vAlign w:val="bottom"/>
            <w:hideMark/>
          </w:tcPr>
          <w:p w14:paraId="118F03DA" w14:textId="77777777" w:rsidR="00E541EE" w:rsidRPr="006D3994" w:rsidRDefault="00E541EE" w:rsidP="00A84BB5">
            <w:pPr>
              <w:jc w:val="center"/>
              <w:rPr>
                <w:rFonts w:ascii="Arial" w:eastAsia="Times New Roman" w:hAnsi="Arial" w:cs="Arial"/>
                <w:color w:val="000000"/>
                <w:sz w:val="20"/>
              </w:rPr>
            </w:pPr>
            <w:r w:rsidRPr="006D3994">
              <w:rPr>
                <w:rFonts w:ascii="Arial" w:eastAsia="Times New Roman" w:hAnsi="Arial" w:cs="Arial"/>
                <w:color w:val="000000"/>
                <w:sz w:val="20"/>
              </w:rPr>
              <w:t>-2,5</w:t>
            </w:r>
          </w:p>
        </w:tc>
        <w:tc>
          <w:tcPr>
            <w:tcW w:w="442" w:type="pct"/>
            <w:tcBorders>
              <w:top w:val="nil"/>
              <w:left w:val="single" w:sz="4" w:space="0" w:color="auto"/>
              <w:bottom w:val="nil"/>
              <w:right w:val="single" w:sz="4" w:space="0" w:color="auto"/>
            </w:tcBorders>
            <w:shd w:val="clear" w:color="000000" w:fill="FFFFFF"/>
            <w:noWrap/>
            <w:vAlign w:val="bottom"/>
            <w:hideMark/>
          </w:tcPr>
          <w:p w14:paraId="36938A94" w14:textId="77777777" w:rsidR="00E541EE" w:rsidRPr="006D3994" w:rsidRDefault="00E541EE" w:rsidP="00A84BB5">
            <w:pPr>
              <w:jc w:val="center"/>
              <w:rPr>
                <w:rFonts w:ascii="Arial" w:eastAsia="Times New Roman" w:hAnsi="Arial" w:cs="Arial"/>
                <w:color w:val="FF0000"/>
                <w:sz w:val="20"/>
              </w:rPr>
            </w:pPr>
            <w:r w:rsidRPr="006D3994">
              <w:rPr>
                <w:rFonts w:ascii="Arial" w:eastAsia="Times New Roman" w:hAnsi="Arial" w:cs="Arial"/>
                <w:color w:val="FF0000"/>
                <w:sz w:val="20"/>
              </w:rPr>
              <w:t>-1,6</w:t>
            </w:r>
          </w:p>
        </w:tc>
        <w:tc>
          <w:tcPr>
            <w:tcW w:w="402" w:type="pct"/>
            <w:tcBorders>
              <w:top w:val="nil"/>
              <w:left w:val="nil"/>
              <w:bottom w:val="nil"/>
              <w:right w:val="single" w:sz="4" w:space="0" w:color="auto"/>
            </w:tcBorders>
            <w:shd w:val="clear" w:color="000000" w:fill="FFFFFF"/>
            <w:noWrap/>
            <w:vAlign w:val="bottom"/>
            <w:hideMark/>
          </w:tcPr>
          <w:p w14:paraId="55381513" w14:textId="77777777" w:rsidR="00E541EE" w:rsidRPr="006D3994" w:rsidRDefault="00E541EE" w:rsidP="00A84BB5">
            <w:pPr>
              <w:jc w:val="center"/>
              <w:rPr>
                <w:rFonts w:ascii="Arial" w:eastAsia="Times New Roman" w:hAnsi="Arial" w:cs="Arial"/>
                <w:color w:val="FF0000"/>
                <w:sz w:val="20"/>
              </w:rPr>
            </w:pPr>
            <w:r w:rsidRPr="006D3994">
              <w:rPr>
                <w:rFonts w:ascii="Arial" w:eastAsia="Times New Roman" w:hAnsi="Arial" w:cs="Arial"/>
                <w:color w:val="FF0000"/>
                <w:sz w:val="20"/>
              </w:rPr>
              <w:t>-0,8</w:t>
            </w:r>
          </w:p>
        </w:tc>
        <w:tc>
          <w:tcPr>
            <w:tcW w:w="452" w:type="pct"/>
            <w:tcBorders>
              <w:top w:val="nil"/>
              <w:left w:val="nil"/>
              <w:bottom w:val="nil"/>
              <w:right w:val="single" w:sz="4" w:space="0" w:color="auto"/>
            </w:tcBorders>
            <w:shd w:val="clear" w:color="000000" w:fill="FFFFFF"/>
            <w:noWrap/>
            <w:vAlign w:val="bottom"/>
            <w:hideMark/>
          </w:tcPr>
          <w:p w14:paraId="638D546A" w14:textId="77777777" w:rsidR="00E541EE" w:rsidRPr="006D3994" w:rsidRDefault="00E541EE" w:rsidP="00A84BB5">
            <w:pPr>
              <w:jc w:val="center"/>
              <w:rPr>
                <w:rFonts w:ascii="Arial" w:eastAsia="Times New Roman" w:hAnsi="Arial" w:cs="Arial"/>
                <w:i/>
                <w:iCs/>
                <w:sz w:val="20"/>
              </w:rPr>
            </w:pPr>
            <w:r w:rsidRPr="006D3994">
              <w:rPr>
                <w:rFonts w:ascii="Arial" w:eastAsia="Times New Roman" w:hAnsi="Arial" w:cs="Arial"/>
                <w:i/>
                <w:iCs/>
                <w:sz w:val="20"/>
              </w:rPr>
              <w:t>0,1</w:t>
            </w:r>
          </w:p>
        </w:tc>
        <w:tc>
          <w:tcPr>
            <w:tcW w:w="532" w:type="pct"/>
            <w:tcBorders>
              <w:top w:val="nil"/>
              <w:left w:val="nil"/>
              <w:bottom w:val="nil"/>
              <w:right w:val="single" w:sz="4" w:space="0" w:color="auto"/>
            </w:tcBorders>
            <w:shd w:val="clear" w:color="000000" w:fill="FFFFFF"/>
            <w:noWrap/>
            <w:vAlign w:val="bottom"/>
            <w:hideMark/>
          </w:tcPr>
          <w:p w14:paraId="3FEC5088" w14:textId="77777777" w:rsidR="00E541EE" w:rsidRPr="006D3994" w:rsidRDefault="00E541EE" w:rsidP="00A84BB5">
            <w:pPr>
              <w:jc w:val="center"/>
              <w:rPr>
                <w:rFonts w:ascii="Arial" w:eastAsia="Times New Roman" w:hAnsi="Arial" w:cs="Arial"/>
                <w:i/>
                <w:iCs/>
                <w:sz w:val="20"/>
              </w:rPr>
            </w:pPr>
            <w:r w:rsidRPr="006D3994">
              <w:rPr>
                <w:rFonts w:ascii="Arial" w:eastAsia="Times New Roman" w:hAnsi="Arial" w:cs="Arial"/>
                <w:i/>
                <w:iCs/>
                <w:sz w:val="20"/>
              </w:rPr>
              <w:t>-0,1</w:t>
            </w:r>
          </w:p>
        </w:tc>
      </w:tr>
      <w:tr w:rsidR="00E541EE" w:rsidRPr="00AE6ACF" w14:paraId="31FC88B7" w14:textId="77777777" w:rsidTr="00E541EE">
        <w:trPr>
          <w:trHeight w:val="300"/>
        </w:trPr>
        <w:tc>
          <w:tcPr>
            <w:tcW w:w="2336" w:type="pct"/>
            <w:tcBorders>
              <w:top w:val="nil"/>
              <w:left w:val="single" w:sz="4" w:space="0" w:color="auto"/>
              <w:bottom w:val="nil"/>
              <w:right w:val="nil"/>
            </w:tcBorders>
            <w:shd w:val="clear" w:color="000000" w:fill="FFFFFF"/>
            <w:noWrap/>
            <w:vAlign w:val="bottom"/>
            <w:hideMark/>
          </w:tcPr>
          <w:p w14:paraId="3CA52023" w14:textId="77777777" w:rsidR="00E541EE" w:rsidRPr="006D3994" w:rsidRDefault="00E541EE" w:rsidP="00A84BB5">
            <w:pPr>
              <w:rPr>
                <w:rFonts w:ascii="Arial" w:eastAsia="Times New Roman" w:hAnsi="Arial" w:cs="Arial"/>
                <w:sz w:val="20"/>
              </w:rPr>
            </w:pPr>
            <w:r w:rsidRPr="006D3994">
              <w:rPr>
                <w:rFonts w:ascii="Arial" w:eastAsia="Times New Roman" w:hAnsi="Arial" w:cs="Arial"/>
                <w:sz w:val="20"/>
              </w:rPr>
              <w:t xml:space="preserve">  Promjena zaliha</w:t>
            </w:r>
          </w:p>
        </w:tc>
        <w:tc>
          <w:tcPr>
            <w:tcW w:w="390" w:type="pct"/>
            <w:tcBorders>
              <w:top w:val="nil"/>
              <w:left w:val="single" w:sz="4" w:space="0" w:color="auto"/>
              <w:bottom w:val="nil"/>
              <w:right w:val="single" w:sz="4" w:space="0" w:color="auto"/>
            </w:tcBorders>
            <w:shd w:val="clear" w:color="000000" w:fill="FFFFFF"/>
            <w:noWrap/>
            <w:vAlign w:val="bottom"/>
            <w:hideMark/>
          </w:tcPr>
          <w:p w14:paraId="25CEB123" w14:textId="77777777" w:rsidR="00E541EE" w:rsidRPr="006D3994" w:rsidRDefault="00E541EE" w:rsidP="00A84BB5">
            <w:pPr>
              <w:jc w:val="center"/>
              <w:rPr>
                <w:rFonts w:ascii="Arial" w:eastAsia="Times New Roman" w:hAnsi="Arial" w:cs="Arial"/>
                <w:sz w:val="20"/>
              </w:rPr>
            </w:pPr>
            <w:r w:rsidRPr="006D3994">
              <w:rPr>
                <w:rFonts w:ascii="Arial" w:eastAsia="Times New Roman" w:hAnsi="Arial" w:cs="Arial"/>
                <w:sz w:val="20"/>
              </w:rPr>
              <w:t>-3,9</w:t>
            </w:r>
          </w:p>
        </w:tc>
        <w:tc>
          <w:tcPr>
            <w:tcW w:w="446" w:type="pct"/>
            <w:tcBorders>
              <w:top w:val="nil"/>
              <w:left w:val="nil"/>
              <w:bottom w:val="nil"/>
              <w:right w:val="nil"/>
            </w:tcBorders>
            <w:shd w:val="clear" w:color="000000" w:fill="FFFFFF"/>
            <w:noWrap/>
            <w:vAlign w:val="bottom"/>
            <w:hideMark/>
          </w:tcPr>
          <w:p w14:paraId="056E5E11" w14:textId="77777777" w:rsidR="00E541EE" w:rsidRPr="006D3994" w:rsidRDefault="00E541EE" w:rsidP="00A84BB5">
            <w:pPr>
              <w:jc w:val="center"/>
              <w:rPr>
                <w:rFonts w:ascii="Arial" w:eastAsia="Times New Roman" w:hAnsi="Arial" w:cs="Arial"/>
                <w:color w:val="000000"/>
                <w:sz w:val="20"/>
              </w:rPr>
            </w:pPr>
            <w:r w:rsidRPr="006D3994">
              <w:rPr>
                <w:rFonts w:ascii="Arial" w:eastAsia="Times New Roman" w:hAnsi="Arial" w:cs="Arial"/>
                <w:color w:val="000000"/>
                <w:sz w:val="20"/>
              </w:rPr>
              <w:t>-0,5</w:t>
            </w:r>
          </w:p>
        </w:tc>
        <w:tc>
          <w:tcPr>
            <w:tcW w:w="442" w:type="pct"/>
            <w:tcBorders>
              <w:top w:val="nil"/>
              <w:left w:val="single" w:sz="4" w:space="0" w:color="auto"/>
              <w:bottom w:val="nil"/>
              <w:right w:val="single" w:sz="4" w:space="0" w:color="auto"/>
            </w:tcBorders>
            <w:shd w:val="clear" w:color="000000" w:fill="FFFFFF"/>
            <w:noWrap/>
            <w:vAlign w:val="bottom"/>
            <w:hideMark/>
          </w:tcPr>
          <w:p w14:paraId="761B5730" w14:textId="77777777" w:rsidR="00E541EE" w:rsidRPr="006D3994" w:rsidRDefault="00E541EE" w:rsidP="00A84BB5">
            <w:pPr>
              <w:jc w:val="center"/>
              <w:rPr>
                <w:rFonts w:ascii="Arial" w:eastAsia="Times New Roman" w:hAnsi="Arial" w:cs="Arial"/>
                <w:color w:val="FF0000"/>
                <w:sz w:val="20"/>
              </w:rPr>
            </w:pPr>
            <w:r w:rsidRPr="006D3994">
              <w:rPr>
                <w:rFonts w:ascii="Arial" w:eastAsia="Times New Roman" w:hAnsi="Arial" w:cs="Arial"/>
                <w:color w:val="FF0000"/>
                <w:sz w:val="20"/>
              </w:rPr>
              <w:t>0,2</w:t>
            </w:r>
          </w:p>
        </w:tc>
        <w:tc>
          <w:tcPr>
            <w:tcW w:w="402" w:type="pct"/>
            <w:tcBorders>
              <w:top w:val="nil"/>
              <w:left w:val="nil"/>
              <w:bottom w:val="nil"/>
              <w:right w:val="single" w:sz="4" w:space="0" w:color="auto"/>
            </w:tcBorders>
            <w:shd w:val="clear" w:color="000000" w:fill="FFFFFF"/>
            <w:noWrap/>
            <w:vAlign w:val="bottom"/>
            <w:hideMark/>
          </w:tcPr>
          <w:p w14:paraId="11ECC24E" w14:textId="77777777" w:rsidR="00E541EE" w:rsidRPr="006D3994" w:rsidRDefault="00E541EE" w:rsidP="00A84BB5">
            <w:pPr>
              <w:jc w:val="center"/>
              <w:rPr>
                <w:rFonts w:ascii="Arial" w:eastAsia="Times New Roman" w:hAnsi="Arial" w:cs="Arial"/>
                <w:color w:val="FF0000"/>
                <w:sz w:val="20"/>
              </w:rPr>
            </w:pPr>
            <w:r w:rsidRPr="006D3994">
              <w:rPr>
                <w:rFonts w:ascii="Arial" w:eastAsia="Times New Roman" w:hAnsi="Arial" w:cs="Arial"/>
                <w:color w:val="FF0000"/>
                <w:sz w:val="20"/>
              </w:rPr>
              <w:t>0,0</w:t>
            </w:r>
          </w:p>
        </w:tc>
        <w:tc>
          <w:tcPr>
            <w:tcW w:w="452" w:type="pct"/>
            <w:tcBorders>
              <w:top w:val="nil"/>
              <w:left w:val="nil"/>
              <w:bottom w:val="nil"/>
              <w:right w:val="single" w:sz="4" w:space="0" w:color="auto"/>
            </w:tcBorders>
            <w:shd w:val="clear" w:color="000000" w:fill="FFFFFF"/>
            <w:noWrap/>
            <w:vAlign w:val="bottom"/>
            <w:hideMark/>
          </w:tcPr>
          <w:p w14:paraId="42E6D32C" w14:textId="77777777" w:rsidR="00E541EE" w:rsidRPr="006D3994" w:rsidRDefault="00E541EE" w:rsidP="00A84BB5">
            <w:pPr>
              <w:jc w:val="center"/>
              <w:rPr>
                <w:rFonts w:ascii="Arial" w:eastAsia="Times New Roman" w:hAnsi="Arial" w:cs="Arial"/>
                <w:i/>
                <w:iCs/>
                <w:sz w:val="20"/>
              </w:rPr>
            </w:pPr>
            <w:r w:rsidRPr="006D3994">
              <w:rPr>
                <w:rFonts w:ascii="Arial" w:eastAsia="Times New Roman" w:hAnsi="Arial" w:cs="Arial"/>
                <w:i/>
                <w:iCs/>
                <w:sz w:val="20"/>
              </w:rPr>
              <w:t>0,1</w:t>
            </w:r>
          </w:p>
        </w:tc>
        <w:tc>
          <w:tcPr>
            <w:tcW w:w="532" w:type="pct"/>
            <w:tcBorders>
              <w:top w:val="nil"/>
              <w:left w:val="nil"/>
              <w:bottom w:val="nil"/>
              <w:right w:val="single" w:sz="4" w:space="0" w:color="auto"/>
            </w:tcBorders>
            <w:shd w:val="clear" w:color="000000" w:fill="FFFFFF"/>
            <w:noWrap/>
            <w:vAlign w:val="bottom"/>
            <w:hideMark/>
          </w:tcPr>
          <w:p w14:paraId="2C40189A" w14:textId="77777777" w:rsidR="00E541EE" w:rsidRPr="006D3994" w:rsidRDefault="00E541EE" w:rsidP="00A84BB5">
            <w:pPr>
              <w:jc w:val="center"/>
              <w:rPr>
                <w:rFonts w:ascii="Arial" w:eastAsia="Times New Roman" w:hAnsi="Arial" w:cs="Arial"/>
                <w:i/>
                <w:iCs/>
                <w:sz w:val="20"/>
              </w:rPr>
            </w:pPr>
            <w:r w:rsidRPr="006D3994">
              <w:rPr>
                <w:rFonts w:ascii="Arial" w:eastAsia="Times New Roman" w:hAnsi="Arial" w:cs="Arial"/>
                <w:i/>
                <w:iCs/>
                <w:sz w:val="20"/>
              </w:rPr>
              <w:t>0,0</w:t>
            </w:r>
          </w:p>
        </w:tc>
      </w:tr>
      <w:tr w:rsidR="00E541EE" w:rsidRPr="00AE6ACF" w14:paraId="190D3D73" w14:textId="77777777" w:rsidTr="00E541EE">
        <w:trPr>
          <w:trHeight w:val="300"/>
        </w:trPr>
        <w:tc>
          <w:tcPr>
            <w:tcW w:w="2336" w:type="pct"/>
            <w:tcBorders>
              <w:top w:val="nil"/>
              <w:left w:val="single" w:sz="4" w:space="0" w:color="auto"/>
              <w:bottom w:val="nil"/>
              <w:right w:val="nil"/>
            </w:tcBorders>
            <w:shd w:val="clear" w:color="000000" w:fill="FFFFFF"/>
            <w:noWrap/>
            <w:vAlign w:val="bottom"/>
            <w:hideMark/>
          </w:tcPr>
          <w:p w14:paraId="401593DF" w14:textId="77777777" w:rsidR="00E541EE" w:rsidRPr="006D3994" w:rsidRDefault="00E541EE" w:rsidP="00A84BB5">
            <w:pPr>
              <w:rPr>
                <w:rFonts w:ascii="Arial" w:eastAsia="Times New Roman" w:hAnsi="Arial" w:cs="Arial"/>
                <w:sz w:val="20"/>
              </w:rPr>
            </w:pPr>
            <w:r w:rsidRPr="006D3994">
              <w:rPr>
                <w:rFonts w:ascii="Arial" w:eastAsia="Times New Roman" w:hAnsi="Arial" w:cs="Arial"/>
                <w:sz w:val="20"/>
              </w:rPr>
              <w:t> </w:t>
            </w:r>
          </w:p>
        </w:tc>
        <w:tc>
          <w:tcPr>
            <w:tcW w:w="390" w:type="pct"/>
            <w:tcBorders>
              <w:top w:val="nil"/>
              <w:left w:val="single" w:sz="4" w:space="0" w:color="auto"/>
              <w:bottom w:val="nil"/>
              <w:right w:val="single" w:sz="4" w:space="0" w:color="auto"/>
            </w:tcBorders>
            <w:shd w:val="clear" w:color="000000" w:fill="FFFFFF"/>
            <w:noWrap/>
            <w:vAlign w:val="bottom"/>
            <w:hideMark/>
          </w:tcPr>
          <w:p w14:paraId="16D69F1E" w14:textId="77777777" w:rsidR="00E541EE" w:rsidRPr="006D3994" w:rsidRDefault="00E541EE" w:rsidP="00A84BB5">
            <w:pPr>
              <w:jc w:val="center"/>
              <w:rPr>
                <w:rFonts w:ascii="Arial" w:eastAsia="Times New Roman" w:hAnsi="Arial" w:cs="Arial"/>
                <w:sz w:val="20"/>
              </w:rPr>
            </w:pPr>
            <w:r w:rsidRPr="006D3994">
              <w:rPr>
                <w:rFonts w:ascii="Arial" w:eastAsia="Times New Roman" w:hAnsi="Arial" w:cs="Arial"/>
                <w:sz w:val="20"/>
              </w:rPr>
              <w:t> </w:t>
            </w:r>
          </w:p>
        </w:tc>
        <w:tc>
          <w:tcPr>
            <w:tcW w:w="446" w:type="pct"/>
            <w:tcBorders>
              <w:top w:val="nil"/>
              <w:left w:val="nil"/>
              <w:bottom w:val="nil"/>
              <w:right w:val="nil"/>
            </w:tcBorders>
            <w:shd w:val="clear" w:color="000000" w:fill="FFFFFF"/>
            <w:noWrap/>
            <w:vAlign w:val="bottom"/>
            <w:hideMark/>
          </w:tcPr>
          <w:p w14:paraId="42A2F1DA" w14:textId="77777777" w:rsidR="00E541EE" w:rsidRPr="006D3994" w:rsidRDefault="00E541EE" w:rsidP="00A84BB5">
            <w:pPr>
              <w:jc w:val="center"/>
              <w:rPr>
                <w:rFonts w:ascii="Arial" w:eastAsia="Times New Roman" w:hAnsi="Arial" w:cs="Arial"/>
                <w:color w:val="FF0000"/>
                <w:sz w:val="20"/>
              </w:rPr>
            </w:pPr>
            <w:r w:rsidRPr="006D3994">
              <w:rPr>
                <w:rFonts w:ascii="Arial" w:eastAsia="Times New Roman" w:hAnsi="Arial" w:cs="Arial"/>
                <w:color w:val="FF0000"/>
                <w:sz w:val="20"/>
              </w:rPr>
              <w:t> </w:t>
            </w:r>
          </w:p>
        </w:tc>
        <w:tc>
          <w:tcPr>
            <w:tcW w:w="442" w:type="pct"/>
            <w:tcBorders>
              <w:top w:val="nil"/>
              <w:left w:val="single" w:sz="4" w:space="0" w:color="auto"/>
              <w:bottom w:val="nil"/>
              <w:right w:val="single" w:sz="4" w:space="0" w:color="auto"/>
            </w:tcBorders>
            <w:shd w:val="clear" w:color="000000" w:fill="FFFFFF"/>
            <w:noWrap/>
            <w:vAlign w:val="bottom"/>
            <w:hideMark/>
          </w:tcPr>
          <w:p w14:paraId="00251BA1" w14:textId="77777777" w:rsidR="00E541EE" w:rsidRPr="006D3994" w:rsidRDefault="00E541EE" w:rsidP="00A84BB5">
            <w:pPr>
              <w:jc w:val="center"/>
              <w:rPr>
                <w:rFonts w:ascii="Arial" w:eastAsia="Times New Roman" w:hAnsi="Arial" w:cs="Arial"/>
                <w:color w:val="FF0000"/>
                <w:sz w:val="20"/>
              </w:rPr>
            </w:pPr>
            <w:r w:rsidRPr="006D3994">
              <w:rPr>
                <w:rFonts w:ascii="Arial" w:eastAsia="Times New Roman" w:hAnsi="Arial" w:cs="Arial"/>
                <w:color w:val="FF0000"/>
                <w:sz w:val="20"/>
              </w:rPr>
              <w:t> </w:t>
            </w:r>
          </w:p>
        </w:tc>
        <w:tc>
          <w:tcPr>
            <w:tcW w:w="402" w:type="pct"/>
            <w:tcBorders>
              <w:top w:val="nil"/>
              <w:left w:val="nil"/>
              <w:bottom w:val="nil"/>
              <w:right w:val="single" w:sz="4" w:space="0" w:color="auto"/>
            </w:tcBorders>
            <w:shd w:val="clear" w:color="000000" w:fill="FFFFFF"/>
            <w:noWrap/>
            <w:vAlign w:val="bottom"/>
            <w:hideMark/>
          </w:tcPr>
          <w:p w14:paraId="2AA1A464" w14:textId="77777777" w:rsidR="00E541EE" w:rsidRPr="006D3994" w:rsidRDefault="00E541EE" w:rsidP="00A84BB5">
            <w:pPr>
              <w:jc w:val="center"/>
              <w:rPr>
                <w:rFonts w:ascii="Arial" w:eastAsia="Times New Roman" w:hAnsi="Arial" w:cs="Arial"/>
                <w:color w:val="FF0000"/>
                <w:sz w:val="20"/>
              </w:rPr>
            </w:pPr>
            <w:r w:rsidRPr="006D3994">
              <w:rPr>
                <w:rFonts w:ascii="Arial" w:eastAsia="Times New Roman" w:hAnsi="Arial" w:cs="Arial"/>
                <w:color w:val="FF0000"/>
                <w:sz w:val="20"/>
              </w:rPr>
              <w:t> </w:t>
            </w:r>
          </w:p>
        </w:tc>
        <w:tc>
          <w:tcPr>
            <w:tcW w:w="452" w:type="pct"/>
            <w:tcBorders>
              <w:top w:val="nil"/>
              <w:left w:val="nil"/>
              <w:bottom w:val="nil"/>
              <w:right w:val="single" w:sz="4" w:space="0" w:color="auto"/>
            </w:tcBorders>
            <w:shd w:val="clear" w:color="000000" w:fill="FFFFFF"/>
            <w:noWrap/>
            <w:vAlign w:val="bottom"/>
            <w:hideMark/>
          </w:tcPr>
          <w:p w14:paraId="162C4CF3" w14:textId="77777777" w:rsidR="00E541EE" w:rsidRPr="006D3994" w:rsidRDefault="00E541EE" w:rsidP="00A84BB5">
            <w:pPr>
              <w:jc w:val="center"/>
              <w:rPr>
                <w:rFonts w:ascii="Arial" w:eastAsia="Times New Roman" w:hAnsi="Arial" w:cs="Arial"/>
                <w:i/>
                <w:iCs/>
                <w:sz w:val="20"/>
              </w:rPr>
            </w:pPr>
            <w:r w:rsidRPr="006D3994">
              <w:rPr>
                <w:rFonts w:ascii="Arial" w:eastAsia="Times New Roman" w:hAnsi="Arial" w:cs="Arial"/>
                <w:i/>
                <w:iCs/>
                <w:sz w:val="20"/>
              </w:rPr>
              <w:t> </w:t>
            </w:r>
          </w:p>
        </w:tc>
        <w:tc>
          <w:tcPr>
            <w:tcW w:w="532" w:type="pct"/>
            <w:tcBorders>
              <w:top w:val="nil"/>
              <w:left w:val="nil"/>
              <w:bottom w:val="nil"/>
              <w:right w:val="single" w:sz="4" w:space="0" w:color="auto"/>
            </w:tcBorders>
            <w:shd w:val="clear" w:color="000000" w:fill="FFFFFF"/>
            <w:noWrap/>
            <w:vAlign w:val="bottom"/>
            <w:hideMark/>
          </w:tcPr>
          <w:p w14:paraId="3C90C61E" w14:textId="77777777" w:rsidR="00E541EE" w:rsidRPr="006D3994" w:rsidRDefault="00E541EE" w:rsidP="00A84BB5">
            <w:pPr>
              <w:jc w:val="center"/>
              <w:rPr>
                <w:rFonts w:ascii="Arial" w:eastAsia="Times New Roman" w:hAnsi="Arial" w:cs="Arial"/>
                <w:i/>
                <w:iCs/>
                <w:sz w:val="20"/>
              </w:rPr>
            </w:pPr>
            <w:r w:rsidRPr="006D3994">
              <w:rPr>
                <w:rFonts w:ascii="Arial" w:eastAsia="Times New Roman" w:hAnsi="Arial" w:cs="Arial"/>
                <w:i/>
                <w:iCs/>
                <w:sz w:val="20"/>
              </w:rPr>
              <w:t> </w:t>
            </w:r>
          </w:p>
        </w:tc>
      </w:tr>
      <w:tr w:rsidR="00E541EE" w:rsidRPr="00AE6ACF" w14:paraId="10C96A5C" w14:textId="77777777" w:rsidTr="00E541EE">
        <w:trPr>
          <w:trHeight w:val="300"/>
        </w:trPr>
        <w:tc>
          <w:tcPr>
            <w:tcW w:w="2336" w:type="pct"/>
            <w:tcBorders>
              <w:top w:val="nil"/>
              <w:left w:val="single" w:sz="4" w:space="0" w:color="auto"/>
              <w:bottom w:val="nil"/>
              <w:right w:val="nil"/>
            </w:tcBorders>
            <w:shd w:val="clear" w:color="000000" w:fill="FFFFFF"/>
            <w:noWrap/>
            <w:vAlign w:val="bottom"/>
            <w:hideMark/>
          </w:tcPr>
          <w:p w14:paraId="2BFB225F" w14:textId="77777777" w:rsidR="00E541EE" w:rsidRPr="006D3994" w:rsidRDefault="00E541EE" w:rsidP="00A84BB5">
            <w:pPr>
              <w:rPr>
                <w:rFonts w:ascii="Arial" w:eastAsia="Times New Roman" w:hAnsi="Arial" w:cs="Arial"/>
                <w:b/>
                <w:bCs/>
                <w:sz w:val="20"/>
              </w:rPr>
            </w:pPr>
            <w:r w:rsidRPr="006D3994">
              <w:rPr>
                <w:rFonts w:ascii="Arial" w:eastAsia="Times New Roman" w:hAnsi="Arial" w:cs="Arial"/>
                <w:b/>
                <w:bCs/>
                <w:sz w:val="20"/>
              </w:rPr>
              <w:t>Vanjski sektor</w:t>
            </w:r>
          </w:p>
        </w:tc>
        <w:tc>
          <w:tcPr>
            <w:tcW w:w="390" w:type="pct"/>
            <w:tcBorders>
              <w:top w:val="nil"/>
              <w:left w:val="single" w:sz="4" w:space="0" w:color="auto"/>
              <w:bottom w:val="nil"/>
              <w:right w:val="single" w:sz="4" w:space="0" w:color="auto"/>
            </w:tcBorders>
            <w:shd w:val="clear" w:color="000000" w:fill="FFFFFF"/>
            <w:noWrap/>
            <w:vAlign w:val="bottom"/>
            <w:hideMark/>
          </w:tcPr>
          <w:p w14:paraId="5C6255D3" w14:textId="77777777" w:rsidR="00E541EE" w:rsidRPr="006D3994" w:rsidRDefault="00E541EE" w:rsidP="00A84BB5">
            <w:pPr>
              <w:jc w:val="center"/>
              <w:rPr>
                <w:rFonts w:ascii="Arial" w:eastAsia="Times New Roman" w:hAnsi="Arial" w:cs="Arial"/>
                <w:sz w:val="20"/>
              </w:rPr>
            </w:pPr>
            <w:r w:rsidRPr="006D3994">
              <w:rPr>
                <w:rFonts w:ascii="Arial" w:eastAsia="Times New Roman" w:hAnsi="Arial" w:cs="Arial"/>
                <w:sz w:val="20"/>
              </w:rPr>
              <w:t> </w:t>
            </w:r>
          </w:p>
        </w:tc>
        <w:tc>
          <w:tcPr>
            <w:tcW w:w="446" w:type="pct"/>
            <w:tcBorders>
              <w:top w:val="nil"/>
              <w:left w:val="nil"/>
              <w:bottom w:val="nil"/>
              <w:right w:val="nil"/>
            </w:tcBorders>
            <w:shd w:val="clear" w:color="000000" w:fill="FFFFFF"/>
            <w:noWrap/>
            <w:vAlign w:val="bottom"/>
            <w:hideMark/>
          </w:tcPr>
          <w:p w14:paraId="43836C26" w14:textId="77777777" w:rsidR="00E541EE" w:rsidRPr="006D3994" w:rsidRDefault="00E541EE" w:rsidP="00A84BB5">
            <w:pPr>
              <w:jc w:val="center"/>
              <w:rPr>
                <w:rFonts w:ascii="Arial" w:eastAsia="Times New Roman" w:hAnsi="Arial" w:cs="Arial"/>
                <w:sz w:val="20"/>
              </w:rPr>
            </w:pPr>
            <w:r w:rsidRPr="006D3994">
              <w:rPr>
                <w:rFonts w:ascii="Arial" w:eastAsia="Times New Roman" w:hAnsi="Arial" w:cs="Arial"/>
                <w:sz w:val="20"/>
              </w:rPr>
              <w:t> </w:t>
            </w:r>
          </w:p>
        </w:tc>
        <w:tc>
          <w:tcPr>
            <w:tcW w:w="442" w:type="pct"/>
            <w:tcBorders>
              <w:top w:val="nil"/>
              <w:left w:val="single" w:sz="4" w:space="0" w:color="auto"/>
              <w:bottom w:val="nil"/>
              <w:right w:val="single" w:sz="4" w:space="0" w:color="auto"/>
            </w:tcBorders>
            <w:shd w:val="clear" w:color="000000" w:fill="FFFFFF"/>
            <w:noWrap/>
            <w:vAlign w:val="bottom"/>
            <w:hideMark/>
          </w:tcPr>
          <w:p w14:paraId="23D8C83F" w14:textId="77777777" w:rsidR="00E541EE" w:rsidRPr="006D3994" w:rsidRDefault="00E541EE" w:rsidP="00A84BB5">
            <w:pPr>
              <w:jc w:val="center"/>
              <w:rPr>
                <w:rFonts w:ascii="Arial" w:eastAsia="Times New Roman" w:hAnsi="Arial" w:cs="Arial"/>
                <w:sz w:val="20"/>
              </w:rPr>
            </w:pPr>
            <w:r w:rsidRPr="006D3994">
              <w:rPr>
                <w:rFonts w:ascii="Arial" w:eastAsia="Times New Roman" w:hAnsi="Arial" w:cs="Arial"/>
                <w:sz w:val="20"/>
              </w:rPr>
              <w:t> </w:t>
            </w:r>
          </w:p>
        </w:tc>
        <w:tc>
          <w:tcPr>
            <w:tcW w:w="402" w:type="pct"/>
            <w:tcBorders>
              <w:top w:val="nil"/>
              <w:left w:val="nil"/>
              <w:bottom w:val="nil"/>
              <w:right w:val="single" w:sz="4" w:space="0" w:color="auto"/>
            </w:tcBorders>
            <w:shd w:val="clear" w:color="000000" w:fill="FFFFFF"/>
            <w:noWrap/>
            <w:vAlign w:val="bottom"/>
            <w:hideMark/>
          </w:tcPr>
          <w:p w14:paraId="4E86D594" w14:textId="77777777" w:rsidR="00E541EE" w:rsidRPr="006D3994" w:rsidRDefault="00E541EE" w:rsidP="00A84BB5">
            <w:pPr>
              <w:jc w:val="center"/>
              <w:rPr>
                <w:rFonts w:ascii="Arial" w:eastAsia="Times New Roman" w:hAnsi="Arial" w:cs="Arial"/>
                <w:sz w:val="20"/>
              </w:rPr>
            </w:pPr>
            <w:r w:rsidRPr="006D3994">
              <w:rPr>
                <w:rFonts w:ascii="Arial" w:eastAsia="Times New Roman" w:hAnsi="Arial" w:cs="Arial"/>
                <w:sz w:val="20"/>
              </w:rPr>
              <w:t> </w:t>
            </w:r>
          </w:p>
        </w:tc>
        <w:tc>
          <w:tcPr>
            <w:tcW w:w="452" w:type="pct"/>
            <w:tcBorders>
              <w:top w:val="nil"/>
              <w:left w:val="nil"/>
              <w:bottom w:val="nil"/>
              <w:right w:val="single" w:sz="4" w:space="0" w:color="auto"/>
            </w:tcBorders>
            <w:shd w:val="clear" w:color="000000" w:fill="FFFFFF"/>
            <w:noWrap/>
            <w:vAlign w:val="bottom"/>
            <w:hideMark/>
          </w:tcPr>
          <w:p w14:paraId="25BC6D8D" w14:textId="77777777" w:rsidR="00E541EE" w:rsidRPr="006D3994" w:rsidRDefault="00E541EE" w:rsidP="00A84BB5">
            <w:pPr>
              <w:jc w:val="center"/>
              <w:rPr>
                <w:rFonts w:ascii="Arial" w:eastAsia="Times New Roman" w:hAnsi="Arial" w:cs="Arial"/>
                <w:i/>
                <w:iCs/>
                <w:sz w:val="20"/>
              </w:rPr>
            </w:pPr>
            <w:r w:rsidRPr="006D3994">
              <w:rPr>
                <w:rFonts w:ascii="Arial" w:eastAsia="Times New Roman" w:hAnsi="Arial" w:cs="Arial"/>
                <w:i/>
                <w:iCs/>
                <w:sz w:val="20"/>
              </w:rPr>
              <w:t> </w:t>
            </w:r>
          </w:p>
        </w:tc>
        <w:tc>
          <w:tcPr>
            <w:tcW w:w="532" w:type="pct"/>
            <w:tcBorders>
              <w:top w:val="nil"/>
              <w:left w:val="nil"/>
              <w:bottom w:val="nil"/>
              <w:right w:val="single" w:sz="4" w:space="0" w:color="auto"/>
            </w:tcBorders>
            <w:shd w:val="clear" w:color="000000" w:fill="FFFFFF"/>
            <w:noWrap/>
            <w:vAlign w:val="bottom"/>
            <w:hideMark/>
          </w:tcPr>
          <w:p w14:paraId="48C38B72" w14:textId="77777777" w:rsidR="00E541EE" w:rsidRPr="006D3994" w:rsidRDefault="00E541EE" w:rsidP="00A84BB5">
            <w:pPr>
              <w:jc w:val="center"/>
              <w:rPr>
                <w:rFonts w:ascii="Arial" w:eastAsia="Times New Roman" w:hAnsi="Arial" w:cs="Arial"/>
                <w:i/>
                <w:iCs/>
                <w:sz w:val="20"/>
              </w:rPr>
            </w:pPr>
            <w:r w:rsidRPr="006D3994">
              <w:rPr>
                <w:rFonts w:ascii="Arial" w:eastAsia="Times New Roman" w:hAnsi="Arial" w:cs="Arial"/>
                <w:i/>
                <w:iCs/>
                <w:sz w:val="20"/>
              </w:rPr>
              <w:t> </w:t>
            </w:r>
          </w:p>
        </w:tc>
      </w:tr>
      <w:tr w:rsidR="00E541EE" w:rsidRPr="00AE6ACF" w14:paraId="327A45D1" w14:textId="77777777" w:rsidTr="00E541EE">
        <w:trPr>
          <w:trHeight w:val="300"/>
        </w:trPr>
        <w:tc>
          <w:tcPr>
            <w:tcW w:w="2336" w:type="pct"/>
            <w:tcBorders>
              <w:top w:val="nil"/>
              <w:left w:val="single" w:sz="4" w:space="0" w:color="auto"/>
              <w:bottom w:val="nil"/>
              <w:right w:val="nil"/>
            </w:tcBorders>
            <w:shd w:val="clear" w:color="000000" w:fill="FFFFFF"/>
            <w:noWrap/>
            <w:vAlign w:val="bottom"/>
            <w:hideMark/>
          </w:tcPr>
          <w:p w14:paraId="1A020C03" w14:textId="77777777" w:rsidR="00E541EE" w:rsidRPr="006D3994" w:rsidRDefault="00E541EE" w:rsidP="00A84BB5">
            <w:pPr>
              <w:rPr>
                <w:rFonts w:ascii="Arial" w:eastAsia="Times New Roman" w:hAnsi="Arial" w:cs="Arial"/>
                <w:color w:val="000000"/>
                <w:sz w:val="20"/>
              </w:rPr>
            </w:pPr>
            <w:r w:rsidRPr="006D3994">
              <w:rPr>
                <w:rFonts w:ascii="Arial" w:eastAsia="Times New Roman" w:hAnsi="Arial" w:cs="Arial"/>
                <w:color w:val="000000"/>
                <w:sz w:val="20"/>
              </w:rPr>
              <w:t>Trgovinski saldo robe (% BDP-a)</w:t>
            </w:r>
          </w:p>
        </w:tc>
        <w:tc>
          <w:tcPr>
            <w:tcW w:w="390" w:type="pct"/>
            <w:tcBorders>
              <w:top w:val="nil"/>
              <w:left w:val="single" w:sz="4" w:space="0" w:color="auto"/>
              <w:bottom w:val="nil"/>
              <w:right w:val="single" w:sz="4" w:space="0" w:color="auto"/>
            </w:tcBorders>
            <w:shd w:val="clear" w:color="000000" w:fill="FFFFFF"/>
            <w:noWrap/>
            <w:vAlign w:val="bottom"/>
            <w:hideMark/>
          </w:tcPr>
          <w:p w14:paraId="5B939898" w14:textId="77777777" w:rsidR="00E541EE" w:rsidRPr="006D3994" w:rsidRDefault="00E541EE" w:rsidP="00A84BB5">
            <w:pPr>
              <w:jc w:val="center"/>
              <w:rPr>
                <w:rFonts w:ascii="Arial" w:eastAsia="Times New Roman" w:hAnsi="Arial" w:cs="Arial"/>
                <w:sz w:val="20"/>
              </w:rPr>
            </w:pPr>
            <w:r w:rsidRPr="006D3994">
              <w:rPr>
                <w:rFonts w:ascii="Arial" w:eastAsia="Times New Roman" w:hAnsi="Arial" w:cs="Arial"/>
                <w:sz w:val="20"/>
              </w:rPr>
              <w:t>-22,4</w:t>
            </w:r>
          </w:p>
        </w:tc>
        <w:tc>
          <w:tcPr>
            <w:tcW w:w="446" w:type="pct"/>
            <w:tcBorders>
              <w:top w:val="nil"/>
              <w:left w:val="nil"/>
              <w:bottom w:val="nil"/>
              <w:right w:val="nil"/>
            </w:tcBorders>
            <w:shd w:val="clear" w:color="000000" w:fill="FFFFFF"/>
            <w:noWrap/>
            <w:vAlign w:val="bottom"/>
            <w:hideMark/>
          </w:tcPr>
          <w:p w14:paraId="4851E053" w14:textId="77777777" w:rsidR="00E541EE" w:rsidRPr="006D3994" w:rsidRDefault="00E541EE" w:rsidP="00A84BB5">
            <w:pPr>
              <w:jc w:val="center"/>
              <w:rPr>
                <w:rFonts w:ascii="Arial" w:eastAsia="Times New Roman" w:hAnsi="Arial" w:cs="Arial"/>
                <w:sz w:val="20"/>
              </w:rPr>
            </w:pPr>
            <w:r w:rsidRPr="006D3994">
              <w:rPr>
                <w:rFonts w:ascii="Arial" w:eastAsia="Times New Roman" w:hAnsi="Arial" w:cs="Arial"/>
                <w:sz w:val="20"/>
              </w:rPr>
              <w:t>-21,2</w:t>
            </w:r>
          </w:p>
        </w:tc>
        <w:tc>
          <w:tcPr>
            <w:tcW w:w="442" w:type="pct"/>
            <w:tcBorders>
              <w:top w:val="nil"/>
              <w:left w:val="single" w:sz="4" w:space="0" w:color="auto"/>
              <w:bottom w:val="nil"/>
              <w:right w:val="single" w:sz="4" w:space="0" w:color="auto"/>
            </w:tcBorders>
            <w:shd w:val="clear" w:color="000000" w:fill="FFFFFF"/>
            <w:noWrap/>
            <w:vAlign w:val="bottom"/>
            <w:hideMark/>
          </w:tcPr>
          <w:p w14:paraId="0817B995" w14:textId="77777777" w:rsidR="00E541EE" w:rsidRPr="006D3994" w:rsidRDefault="00E541EE" w:rsidP="00A84BB5">
            <w:pPr>
              <w:jc w:val="center"/>
              <w:rPr>
                <w:rFonts w:ascii="Arial" w:eastAsia="Times New Roman" w:hAnsi="Arial" w:cs="Arial"/>
                <w:color w:val="FF0000"/>
                <w:sz w:val="20"/>
              </w:rPr>
            </w:pPr>
            <w:r w:rsidRPr="006D3994">
              <w:rPr>
                <w:rFonts w:ascii="Arial" w:eastAsia="Times New Roman" w:hAnsi="Arial" w:cs="Arial"/>
                <w:color w:val="FF0000"/>
                <w:sz w:val="20"/>
              </w:rPr>
              <w:t>-20,4</w:t>
            </w:r>
          </w:p>
        </w:tc>
        <w:tc>
          <w:tcPr>
            <w:tcW w:w="402" w:type="pct"/>
            <w:tcBorders>
              <w:top w:val="nil"/>
              <w:left w:val="nil"/>
              <w:bottom w:val="nil"/>
              <w:right w:val="single" w:sz="4" w:space="0" w:color="auto"/>
            </w:tcBorders>
            <w:shd w:val="clear" w:color="000000" w:fill="FFFFFF"/>
            <w:noWrap/>
            <w:vAlign w:val="bottom"/>
            <w:hideMark/>
          </w:tcPr>
          <w:p w14:paraId="11372C0C" w14:textId="77777777" w:rsidR="00E541EE" w:rsidRPr="006D3994" w:rsidRDefault="00E541EE" w:rsidP="00A84BB5">
            <w:pPr>
              <w:jc w:val="center"/>
              <w:rPr>
                <w:rFonts w:ascii="Arial" w:eastAsia="Times New Roman" w:hAnsi="Arial" w:cs="Arial"/>
                <w:color w:val="FF0000"/>
                <w:sz w:val="20"/>
              </w:rPr>
            </w:pPr>
            <w:r w:rsidRPr="006D3994">
              <w:rPr>
                <w:rFonts w:ascii="Arial" w:eastAsia="Times New Roman" w:hAnsi="Arial" w:cs="Arial"/>
                <w:color w:val="FF0000"/>
                <w:sz w:val="20"/>
              </w:rPr>
              <w:t>-20,4</w:t>
            </w:r>
          </w:p>
        </w:tc>
        <w:tc>
          <w:tcPr>
            <w:tcW w:w="452" w:type="pct"/>
            <w:tcBorders>
              <w:top w:val="nil"/>
              <w:left w:val="nil"/>
              <w:bottom w:val="nil"/>
              <w:right w:val="single" w:sz="4" w:space="0" w:color="auto"/>
            </w:tcBorders>
            <w:shd w:val="clear" w:color="000000" w:fill="FFFFFF"/>
            <w:noWrap/>
            <w:vAlign w:val="bottom"/>
            <w:hideMark/>
          </w:tcPr>
          <w:p w14:paraId="0CA19491" w14:textId="77777777" w:rsidR="00E541EE" w:rsidRPr="006D3994" w:rsidRDefault="00E541EE" w:rsidP="00A84BB5">
            <w:pPr>
              <w:jc w:val="center"/>
              <w:rPr>
                <w:rFonts w:ascii="Arial" w:eastAsia="Times New Roman" w:hAnsi="Arial" w:cs="Arial"/>
                <w:i/>
                <w:iCs/>
                <w:sz w:val="20"/>
              </w:rPr>
            </w:pPr>
            <w:r w:rsidRPr="006D3994">
              <w:rPr>
                <w:rFonts w:ascii="Arial" w:eastAsia="Times New Roman" w:hAnsi="Arial" w:cs="Arial"/>
                <w:i/>
                <w:iCs/>
                <w:sz w:val="20"/>
              </w:rPr>
              <w:t>0,6</w:t>
            </w:r>
          </w:p>
        </w:tc>
        <w:tc>
          <w:tcPr>
            <w:tcW w:w="532" w:type="pct"/>
            <w:tcBorders>
              <w:top w:val="nil"/>
              <w:left w:val="nil"/>
              <w:bottom w:val="nil"/>
              <w:right w:val="single" w:sz="4" w:space="0" w:color="auto"/>
            </w:tcBorders>
            <w:shd w:val="clear" w:color="000000" w:fill="FFFFFF"/>
            <w:noWrap/>
            <w:vAlign w:val="bottom"/>
            <w:hideMark/>
          </w:tcPr>
          <w:p w14:paraId="2DCD27BD" w14:textId="77777777" w:rsidR="00E541EE" w:rsidRPr="006D3994" w:rsidRDefault="00E541EE" w:rsidP="00A84BB5">
            <w:pPr>
              <w:jc w:val="center"/>
              <w:rPr>
                <w:rFonts w:ascii="Arial" w:eastAsia="Times New Roman" w:hAnsi="Arial" w:cs="Arial"/>
                <w:i/>
                <w:iCs/>
                <w:sz w:val="20"/>
              </w:rPr>
            </w:pPr>
            <w:r w:rsidRPr="006D3994">
              <w:rPr>
                <w:rFonts w:ascii="Arial" w:eastAsia="Times New Roman" w:hAnsi="Arial" w:cs="Arial"/>
                <w:i/>
                <w:iCs/>
                <w:sz w:val="20"/>
              </w:rPr>
              <w:t>0,6</w:t>
            </w:r>
          </w:p>
        </w:tc>
      </w:tr>
      <w:tr w:rsidR="00E541EE" w:rsidRPr="00AE6ACF" w14:paraId="5FF843EA" w14:textId="77777777" w:rsidTr="00E541EE">
        <w:trPr>
          <w:trHeight w:val="300"/>
        </w:trPr>
        <w:tc>
          <w:tcPr>
            <w:tcW w:w="2336" w:type="pct"/>
            <w:tcBorders>
              <w:top w:val="nil"/>
              <w:left w:val="single" w:sz="4" w:space="0" w:color="auto"/>
              <w:bottom w:val="nil"/>
              <w:right w:val="nil"/>
            </w:tcBorders>
            <w:shd w:val="clear" w:color="000000" w:fill="FFFFFF"/>
            <w:noWrap/>
            <w:vAlign w:val="bottom"/>
            <w:hideMark/>
          </w:tcPr>
          <w:p w14:paraId="17D539B2" w14:textId="77777777" w:rsidR="00E541EE" w:rsidRPr="006D3994" w:rsidRDefault="00E541EE" w:rsidP="00A84BB5">
            <w:pPr>
              <w:rPr>
                <w:rFonts w:ascii="Arial" w:eastAsia="Times New Roman" w:hAnsi="Arial" w:cs="Arial"/>
                <w:color w:val="000000"/>
                <w:sz w:val="20"/>
              </w:rPr>
            </w:pPr>
            <w:r w:rsidRPr="006D3994">
              <w:rPr>
                <w:rFonts w:ascii="Arial" w:eastAsia="Times New Roman" w:hAnsi="Arial" w:cs="Arial"/>
                <w:color w:val="000000"/>
                <w:sz w:val="20"/>
              </w:rPr>
              <w:t>Trgovinski saldo usluga (% BDP-a)</w:t>
            </w:r>
          </w:p>
        </w:tc>
        <w:tc>
          <w:tcPr>
            <w:tcW w:w="390" w:type="pct"/>
            <w:tcBorders>
              <w:top w:val="nil"/>
              <w:left w:val="single" w:sz="4" w:space="0" w:color="auto"/>
              <w:bottom w:val="nil"/>
              <w:right w:val="single" w:sz="4" w:space="0" w:color="auto"/>
            </w:tcBorders>
            <w:shd w:val="clear" w:color="000000" w:fill="FFFFFF"/>
            <w:noWrap/>
            <w:vAlign w:val="bottom"/>
            <w:hideMark/>
          </w:tcPr>
          <w:p w14:paraId="6A13222D" w14:textId="77777777" w:rsidR="00E541EE" w:rsidRPr="006D3994" w:rsidRDefault="00E541EE" w:rsidP="00A84BB5">
            <w:pPr>
              <w:jc w:val="center"/>
              <w:rPr>
                <w:rFonts w:ascii="Arial" w:eastAsia="Times New Roman" w:hAnsi="Arial" w:cs="Arial"/>
                <w:sz w:val="20"/>
              </w:rPr>
            </w:pPr>
            <w:r w:rsidRPr="006D3994">
              <w:rPr>
                <w:rFonts w:ascii="Arial" w:eastAsia="Times New Roman" w:hAnsi="Arial" w:cs="Arial"/>
                <w:sz w:val="20"/>
              </w:rPr>
              <w:t>20,3</w:t>
            </w:r>
          </w:p>
        </w:tc>
        <w:tc>
          <w:tcPr>
            <w:tcW w:w="446" w:type="pct"/>
            <w:tcBorders>
              <w:top w:val="nil"/>
              <w:left w:val="nil"/>
              <w:bottom w:val="nil"/>
              <w:right w:val="nil"/>
            </w:tcBorders>
            <w:shd w:val="clear" w:color="000000" w:fill="FFFFFF"/>
            <w:noWrap/>
            <w:vAlign w:val="bottom"/>
            <w:hideMark/>
          </w:tcPr>
          <w:p w14:paraId="7B13013E" w14:textId="77777777" w:rsidR="00E541EE" w:rsidRPr="006D3994" w:rsidRDefault="00E541EE" w:rsidP="00A84BB5">
            <w:pPr>
              <w:jc w:val="center"/>
              <w:rPr>
                <w:rFonts w:ascii="Arial" w:eastAsia="Times New Roman" w:hAnsi="Arial" w:cs="Arial"/>
                <w:sz w:val="20"/>
              </w:rPr>
            </w:pPr>
            <w:r w:rsidRPr="006D3994">
              <w:rPr>
                <w:rFonts w:ascii="Arial" w:eastAsia="Times New Roman" w:hAnsi="Arial" w:cs="Arial"/>
                <w:sz w:val="20"/>
              </w:rPr>
              <w:t>17,5</w:t>
            </w:r>
          </w:p>
        </w:tc>
        <w:tc>
          <w:tcPr>
            <w:tcW w:w="442" w:type="pct"/>
            <w:tcBorders>
              <w:top w:val="nil"/>
              <w:left w:val="single" w:sz="4" w:space="0" w:color="auto"/>
              <w:bottom w:val="nil"/>
              <w:right w:val="single" w:sz="4" w:space="0" w:color="auto"/>
            </w:tcBorders>
            <w:shd w:val="clear" w:color="000000" w:fill="FFFFFF"/>
            <w:noWrap/>
            <w:vAlign w:val="bottom"/>
            <w:hideMark/>
          </w:tcPr>
          <w:p w14:paraId="2323B31E" w14:textId="77777777" w:rsidR="00E541EE" w:rsidRPr="006D3994" w:rsidRDefault="00E541EE" w:rsidP="00A84BB5">
            <w:pPr>
              <w:jc w:val="center"/>
              <w:rPr>
                <w:rFonts w:ascii="Arial" w:eastAsia="Times New Roman" w:hAnsi="Arial" w:cs="Arial"/>
                <w:color w:val="FF0000"/>
                <w:sz w:val="20"/>
              </w:rPr>
            </w:pPr>
            <w:r w:rsidRPr="006D3994">
              <w:rPr>
                <w:rFonts w:ascii="Arial" w:eastAsia="Times New Roman" w:hAnsi="Arial" w:cs="Arial"/>
                <w:color w:val="FF0000"/>
                <w:sz w:val="20"/>
              </w:rPr>
              <w:t>16,0</w:t>
            </w:r>
          </w:p>
        </w:tc>
        <w:tc>
          <w:tcPr>
            <w:tcW w:w="402" w:type="pct"/>
            <w:tcBorders>
              <w:top w:val="nil"/>
              <w:left w:val="nil"/>
              <w:bottom w:val="nil"/>
              <w:right w:val="single" w:sz="4" w:space="0" w:color="auto"/>
            </w:tcBorders>
            <w:shd w:val="clear" w:color="000000" w:fill="FFFFFF"/>
            <w:noWrap/>
            <w:vAlign w:val="bottom"/>
            <w:hideMark/>
          </w:tcPr>
          <w:p w14:paraId="2B9B48A9" w14:textId="77777777" w:rsidR="00E541EE" w:rsidRPr="006D3994" w:rsidRDefault="00E541EE" w:rsidP="00A84BB5">
            <w:pPr>
              <w:jc w:val="center"/>
              <w:rPr>
                <w:rFonts w:ascii="Arial" w:eastAsia="Times New Roman" w:hAnsi="Arial" w:cs="Arial"/>
                <w:color w:val="FF0000"/>
                <w:sz w:val="20"/>
              </w:rPr>
            </w:pPr>
            <w:r w:rsidRPr="006D3994">
              <w:rPr>
                <w:rFonts w:ascii="Arial" w:eastAsia="Times New Roman" w:hAnsi="Arial" w:cs="Arial"/>
                <w:color w:val="FF0000"/>
                <w:sz w:val="20"/>
              </w:rPr>
              <w:t>15,7</w:t>
            </w:r>
          </w:p>
        </w:tc>
        <w:tc>
          <w:tcPr>
            <w:tcW w:w="452" w:type="pct"/>
            <w:tcBorders>
              <w:top w:val="nil"/>
              <w:left w:val="nil"/>
              <w:bottom w:val="nil"/>
              <w:right w:val="single" w:sz="4" w:space="0" w:color="auto"/>
            </w:tcBorders>
            <w:shd w:val="clear" w:color="000000" w:fill="FFFFFF"/>
            <w:noWrap/>
            <w:vAlign w:val="bottom"/>
            <w:hideMark/>
          </w:tcPr>
          <w:p w14:paraId="7F3F4F29" w14:textId="77777777" w:rsidR="00E541EE" w:rsidRPr="006D3994" w:rsidRDefault="00E541EE" w:rsidP="00A84BB5">
            <w:pPr>
              <w:jc w:val="center"/>
              <w:rPr>
                <w:rFonts w:ascii="Arial" w:eastAsia="Times New Roman" w:hAnsi="Arial" w:cs="Arial"/>
                <w:i/>
                <w:iCs/>
                <w:sz w:val="20"/>
              </w:rPr>
            </w:pPr>
            <w:r w:rsidRPr="006D3994">
              <w:rPr>
                <w:rFonts w:ascii="Arial" w:eastAsia="Times New Roman" w:hAnsi="Arial" w:cs="Arial"/>
                <w:i/>
                <w:iCs/>
                <w:sz w:val="20"/>
              </w:rPr>
              <w:t>-0,6</w:t>
            </w:r>
          </w:p>
        </w:tc>
        <w:tc>
          <w:tcPr>
            <w:tcW w:w="532" w:type="pct"/>
            <w:tcBorders>
              <w:top w:val="nil"/>
              <w:left w:val="nil"/>
              <w:bottom w:val="nil"/>
              <w:right w:val="single" w:sz="4" w:space="0" w:color="auto"/>
            </w:tcBorders>
            <w:shd w:val="clear" w:color="000000" w:fill="FFFFFF"/>
            <w:noWrap/>
            <w:vAlign w:val="bottom"/>
            <w:hideMark/>
          </w:tcPr>
          <w:p w14:paraId="3ACCDAF2" w14:textId="77777777" w:rsidR="00E541EE" w:rsidRPr="006D3994" w:rsidRDefault="00E541EE" w:rsidP="00A84BB5">
            <w:pPr>
              <w:jc w:val="center"/>
              <w:rPr>
                <w:rFonts w:ascii="Arial" w:eastAsia="Times New Roman" w:hAnsi="Arial" w:cs="Arial"/>
                <w:i/>
                <w:iCs/>
                <w:sz w:val="20"/>
              </w:rPr>
            </w:pPr>
            <w:r w:rsidRPr="006D3994">
              <w:rPr>
                <w:rFonts w:ascii="Arial" w:eastAsia="Times New Roman" w:hAnsi="Arial" w:cs="Arial"/>
                <w:i/>
                <w:iCs/>
                <w:sz w:val="20"/>
              </w:rPr>
              <w:t>-0,7</w:t>
            </w:r>
          </w:p>
        </w:tc>
      </w:tr>
      <w:tr w:rsidR="00E541EE" w:rsidRPr="00AE6ACF" w14:paraId="5F8F40F3" w14:textId="77777777" w:rsidTr="00E541EE">
        <w:trPr>
          <w:trHeight w:val="300"/>
        </w:trPr>
        <w:tc>
          <w:tcPr>
            <w:tcW w:w="2336" w:type="pct"/>
            <w:tcBorders>
              <w:top w:val="nil"/>
              <w:left w:val="single" w:sz="4" w:space="0" w:color="auto"/>
              <w:bottom w:val="nil"/>
              <w:right w:val="nil"/>
            </w:tcBorders>
            <w:shd w:val="clear" w:color="000000" w:fill="FFFFFF"/>
            <w:noWrap/>
            <w:vAlign w:val="bottom"/>
            <w:hideMark/>
          </w:tcPr>
          <w:p w14:paraId="52524538" w14:textId="77777777" w:rsidR="00E541EE" w:rsidRPr="006D3994" w:rsidRDefault="00E541EE" w:rsidP="00A84BB5">
            <w:pPr>
              <w:rPr>
                <w:rFonts w:ascii="Arial" w:eastAsia="Times New Roman" w:hAnsi="Arial" w:cs="Arial"/>
                <w:color w:val="000000"/>
                <w:sz w:val="20"/>
              </w:rPr>
            </w:pPr>
            <w:r w:rsidRPr="006D3994">
              <w:rPr>
                <w:rFonts w:ascii="Arial" w:eastAsia="Times New Roman" w:hAnsi="Arial" w:cs="Arial"/>
                <w:color w:val="000000"/>
                <w:sz w:val="20"/>
              </w:rPr>
              <w:t xml:space="preserve">Tekući račun (% BDP-a) </w:t>
            </w:r>
          </w:p>
        </w:tc>
        <w:tc>
          <w:tcPr>
            <w:tcW w:w="390" w:type="pct"/>
            <w:tcBorders>
              <w:top w:val="nil"/>
              <w:left w:val="single" w:sz="4" w:space="0" w:color="auto"/>
              <w:bottom w:val="nil"/>
              <w:right w:val="single" w:sz="4" w:space="0" w:color="auto"/>
            </w:tcBorders>
            <w:shd w:val="clear" w:color="000000" w:fill="FFFFFF"/>
            <w:noWrap/>
            <w:vAlign w:val="bottom"/>
            <w:hideMark/>
          </w:tcPr>
          <w:p w14:paraId="39364DAF" w14:textId="77777777" w:rsidR="00E541EE" w:rsidRPr="006D3994" w:rsidRDefault="00E541EE" w:rsidP="00A84BB5">
            <w:pPr>
              <w:jc w:val="center"/>
              <w:rPr>
                <w:rFonts w:ascii="Arial" w:eastAsia="Times New Roman" w:hAnsi="Arial" w:cs="Arial"/>
                <w:sz w:val="20"/>
              </w:rPr>
            </w:pPr>
            <w:r w:rsidRPr="006D3994">
              <w:rPr>
                <w:rFonts w:ascii="Arial" w:eastAsia="Times New Roman" w:hAnsi="Arial" w:cs="Arial"/>
                <w:sz w:val="20"/>
              </w:rPr>
              <w:t>0,4</w:t>
            </w:r>
          </w:p>
        </w:tc>
        <w:tc>
          <w:tcPr>
            <w:tcW w:w="446" w:type="pct"/>
            <w:tcBorders>
              <w:top w:val="nil"/>
              <w:left w:val="nil"/>
              <w:bottom w:val="nil"/>
              <w:right w:val="nil"/>
            </w:tcBorders>
            <w:shd w:val="clear" w:color="000000" w:fill="FFFFFF"/>
            <w:noWrap/>
            <w:vAlign w:val="bottom"/>
            <w:hideMark/>
          </w:tcPr>
          <w:p w14:paraId="734F1254" w14:textId="77777777" w:rsidR="00E541EE" w:rsidRPr="006D3994" w:rsidRDefault="00E541EE" w:rsidP="00A84BB5">
            <w:pPr>
              <w:jc w:val="center"/>
              <w:rPr>
                <w:rFonts w:ascii="Arial" w:eastAsia="Times New Roman" w:hAnsi="Arial" w:cs="Arial"/>
                <w:sz w:val="20"/>
              </w:rPr>
            </w:pPr>
            <w:r w:rsidRPr="006D3994">
              <w:rPr>
                <w:rFonts w:ascii="Arial" w:eastAsia="Times New Roman" w:hAnsi="Arial" w:cs="Arial"/>
                <w:sz w:val="20"/>
              </w:rPr>
              <w:t>-1,2</w:t>
            </w:r>
          </w:p>
        </w:tc>
        <w:tc>
          <w:tcPr>
            <w:tcW w:w="442" w:type="pct"/>
            <w:tcBorders>
              <w:top w:val="nil"/>
              <w:left w:val="single" w:sz="4" w:space="0" w:color="auto"/>
              <w:bottom w:val="nil"/>
              <w:right w:val="single" w:sz="4" w:space="0" w:color="auto"/>
            </w:tcBorders>
            <w:shd w:val="clear" w:color="000000" w:fill="FFFFFF"/>
            <w:noWrap/>
            <w:vAlign w:val="bottom"/>
            <w:hideMark/>
          </w:tcPr>
          <w:p w14:paraId="3B7F25F7" w14:textId="77777777" w:rsidR="00E541EE" w:rsidRPr="006D3994" w:rsidRDefault="00E541EE" w:rsidP="00A84BB5">
            <w:pPr>
              <w:jc w:val="center"/>
              <w:rPr>
                <w:rFonts w:ascii="Arial" w:eastAsia="Times New Roman" w:hAnsi="Arial" w:cs="Arial"/>
                <w:color w:val="FF0000"/>
                <w:sz w:val="20"/>
              </w:rPr>
            </w:pPr>
            <w:r w:rsidRPr="006D3994">
              <w:rPr>
                <w:rFonts w:ascii="Arial" w:eastAsia="Times New Roman" w:hAnsi="Arial" w:cs="Arial"/>
                <w:color w:val="FF0000"/>
                <w:sz w:val="20"/>
              </w:rPr>
              <w:t>-2,8</w:t>
            </w:r>
          </w:p>
        </w:tc>
        <w:tc>
          <w:tcPr>
            <w:tcW w:w="402" w:type="pct"/>
            <w:tcBorders>
              <w:top w:val="nil"/>
              <w:left w:val="nil"/>
              <w:bottom w:val="nil"/>
              <w:right w:val="single" w:sz="4" w:space="0" w:color="auto"/>
            </w:tcBorders>
            <w:shd w:val="clear" w:color="000000" w:fill="FFFFFF"/>
            <w:noWrap/>
            <w:vAlign w:val="bottom"/>
            <w:hideMark/>
          </w:tcPr>
          <w:p w14:paraId="17E03B8A" w14:textId="77777777" w:rsidR="00E541EE" w:rsidRPr="006D3994" w:rsidRDefault="00E541EE" w:rsidP="00A84BB5">
            <w:pPr>
              <w:jc w:val="center"/>
              <w:rPr>
                <w:rFonts w:ascii="Arial" w:eastAsia="Times New Roman" w:hAnsi="Arial" w:cs="Arial"/>
                <w:color w:val="FF0000"/>
                <w:sz w:val="20"/>
              </w:rPr>
            </w:pPr>
            <w:r w:rsidRPr="006D3994">
              <w:rPr>
                <w:rFonts w:ascii="Arial" w:eastAsia="Times New Roman" w:hAnsi="Arial" w:cs="Arial"/>
                <w:color w:val="FF0000"/>
                <w:sz w:val="20"/>
              </w:rPr>
              <w:t>-3,2</w:t>
            </w:r>
          </w:p>
        </w:tc>
        <w:tc>
          <w:tcPr>
            <w:tcW w:w="452" w:type="pct"/>
            <w:tcBorders>
              <w:top w:val="nil"/>
              <w:left w:val="nil"/>
              <w:bottom w:val="nil"/>
              <w:right w:val="single" w:sz="4" w:space="0" w:color="auto"/>
            </w:tcBorders>
            <w:shd w:val="clear" w:color="000000" w:fill="FFFFFF"/>
            <w:noWrap/>
            <w:vAlign w:val="bottom"/>
            <w:hideMark/>
          </w:tcPr>
          <w:p w14:paraId="1058E990" w14:textId="77777777" w:rsidR="00E541EE" w:rsidRPr="006D3994" w:rsidRDefault="00E541EE" w:rsidP="00A84BB5">
            <w:pPr>
              <w:jc w:val="center"/>
              <w:rPr>
                <w:rFonts w:ascii="Arial" w:eastAsia="Times New Roman" w:hAnsi="Arial" w:cs="Arial"/>
                <w:i/>
                <w:iCs/>
                <w:sz w:val="20"/>
              </w:rPr>
            </w:pPr>
            <w:r w:rsidRPr="006D3994">
              <w:rPr>
                <w:rFonts w:ascii="Arial" w:eastAsia="Times New Roman" w:hAnsi="Arial" w:cs="Arial"/>
                <w:i/>
                <w:iCs/>
                <w:sz w:val="20"/>
              </w:rPr>
              <w:t>0,1</w:t>
            </w:r>
          </w:p>
        </w:tc>
        <w:tc>
          <w:tcPr>
            <w:tcW w:w="532" w:type="pct"/>
            <w:tcBorders>
              <w:top w:val="nil"/>
              <w:left w:val="nil"/>
              <w:bottom w:val="nil"/>
              <w:right w:val="single" w:sz="4" w:space="0" w:color="auto"/>
            </w:tcBorders>
            <w:shd w:val="clear" w:color="000000" w:fill="FFFFFF"/>
            <w:noWrap/>
            <w:vAlign w:val="bottom"/>
            <w:hideMark/>
          </w:tcPr>
          <w:p w14:paraId="3E04F747" w14:textId="77777777" w:rsidR="00E541EE" w:rsidRPr="006D3994" w:rsidRDefault="00E541EE" w:rsidP="00A84BB5">
            <w:pPr>
              <w:jc w:val="center"/>
              <w:rPr>
                <w:rFonts w:ascii="Arial" w:eastAsia="Times New Roman" w:hAnsi="Arial" w:cs="Arial"/>
                <w:i/>
                <w:iCs/>
                <w:sz w:val="20"/>
              </w:rPr>
            </w:pPr>
            <w:r w:rsidRPr="006D3994">
              <w:rPr>
                <w:rFonts w:ascii="Arial" w:eastAsia="Times New Roman" w:hAnsi="Arial" w:cs="Arial"/>
                <w:i/>
                <w:iCs/>
                <w:sz w:val="20"/>
              </w:rPr>
              <w:t>-0,1</w:t>
            </w:r>
          </w:p>
        </w:tc>
      </w:tr>
      <w:tr w:rsidR="00E541EE" w:rsidRPr="00AE6ACF" w14:paraId="3D7FB5DE" w14:textId="77777777" w:rsidTr="00E541EE">
        <w:trPr>
          <w:trHeight w:val="300"/>
        </w:trPr>
        <w:tc>
          <w:tcPr>
            <w:tcW w:w="2336" w:type="pct"/>
            <w:tcBorders>
              <w:top w:val="nil"/>
              <w:left w:val="single" w:sz="4" w:space="0" w:color="auto"/>
              <w:bottom w:val="nil"/>
              <w:right w:val="nil"/>
            </w:tcBorders>
            <w:shd w:val="clear" w:color="000000" w:fill="FFFFFF"/>
            <w:noWrap/>
            <w:vAlign w:val="bottom"/>
            <w:hideMark/>
          </w:tcPr>
          <w:p w14:paraId="15BB822C" w14:textId="77777777" w:rsidR="00E541EE" w:rsidRPr="006D3994" w:rsidRDefault="00E541EE" w:rsidP="00A84BB5">
            <w:pPr>
              <w:rPr>
                <w:rFonts w:ascii="Arial" w:eastAsia="Times New Roman" w:hAnsi="Arial" w:cs="Arial"/>
                <w:color w:val="000000"/>
                <w:sz w:val="20"/>
              </w:rPr>
            </w:pPr>
            <w:r w:rsidRPr="006D3994">
              <w:rPr>
                <w:rFonts w:ascii="Arial" w:eastAsia="Times New Roman" w:hAnsi="Arial" w:cs="Arial"/>
                <w:color w:val="000000"/>
                <w:sz w:val="20"/>
              </w:rPr>
              <w:t xml:space="preserve">Tekući i kapitalni račun (% BDP-a) </w:t>
            </w:r>
          </w:p>
        </w:tc>
        <w:tc>
          <w:tcPr>
            <w:tcW w:w="390" w:type="pct"/>
            <w:tcBorders>
              <w:top w:val="nil"/>
              <w:left w:val="single" w:sz="4" w:space="0" w:color="auto"/>
              <w:bottom w:val="nil"/>
              <w:right w:val="single" w:sz="4" w:space="0" w:color="auto"/>
            </w:tcBorders>
            <w:shd w:val="clear" w:color="000000" w:fill="FFFFFF"/>
            <w:noWrap/>
            <w:vAlign w:val="bottom"/>
            <w:hideMark/>
          </w:tcPr>
          <w:p w14:paraId="557D87EF" w14:textId="77777777" w:rsidR="00E541EE" w:rsidRPr="006D3994" w:rsidRDefault="00E541EE" w:rsidP="00A84BB5">
            <w:pPr>
              <w:jc w:val="center"/>
              <w:rPr>
                <w:rFonts w:ascii="Arial" w:eastAsia="Times New Roman" w:hAnsi="Arial" w:cs="Arial"/>
                <w:sz w:val="20"/>
              </w:rPr>
            </w:pPr>
            <w:r w:rsidRPr="006D3994">
              <w:rPr>
                <w:rFonts w:ascii="Arial" w:eastAsia="Times New Roman" w:hAnsi="Arial" w:cs="Arial"/>
                <w:sz w:val="20"/>
              </w:rPr>
              <w:t>3,3</w:t>
            </w:r>
          </w:p>
        </w:tc>
        <w:tc>
          <w:tcPr>
            <w:tcW w:w="446" w:type="pct"/>
            <w:tcBorders>
              <w:top w:val="nil"/>
              <w:left w:val="nil"/>
              <w:bottom w:val="nil"/>
              <w:right w:val="nil"/>
            </w:tcBorders>
            <w:shd w:val="clear" w:color="000000" w:fill="FFFFFF"/>
            <w:noWrap/>
            <w:vAlign w:val="bottom"/>
            <w:hideMark/>
          </w:tcPr>
          <w:p w14:paraId="4BD4AD45" w14:textId="77777777" w:rsidR="00E541EE" w:rsidRPr="006D3994" w:rsidRDefault="00E541EE" w:rsidP="00A84BB5">
            <w:pPr>
              <w:jc w:val="center"/>
              <w:rPr>
                <w:rFonts w:ascii="Arial" w:eastAsia="Times New Roman" w:hAnsi="Arial" w:cs="Arial"/>
                <w:sz w:val="20"/>
              </w:rPr>
            </w:pPr>
            <w:r w:rsidRPr="006D3994">
              <w:rPr>
                <w:rFonts w:ascii="Arial" w:eastAsia="Times New Roman" w:hAnsi="Arial" w:cs="Arial"/>
                <w:sz w:val="20"/>
              </w:rPr>
              <w:t>0,2</w:t>
            </w:r>
          </w:p>
        </w:tc>
        <w:tc>
          <w:tcPr>
            <w:tcW w:w="442" w:type="pct"/>
            <w:tcBorders>
              <w:top w:val="nil"/>
              <w:left w:val="single" w:sz="4" w:space="0" w:color="auto"/>
              <w:bottom w:val="nil"/>
              <w:right w:val="single" w:sz="4" w:space="0" w:color="auto"/>
            </w:tcBorders>
            <w:shd w:val="clear" w:color="000000" w:fill="FFFFFF"/>
            <w:noWrap/>
            <w:vAlign w:val="bottom"/>
            <w:hideMark/>
          </w:tcPr>
          <w:p w14:paraId="39081AEA" w14:textId="77777777" w:rsidR="00E541EE" w:rsidRPr="006D3994" w:rsidRDefault="00E541EE" w:rsidP="00A84BB5">
            <w:pPr>
              <w:jc w:val="center"/>
              <w:rPr>
                <w:rFonts w:ascii="Arial" w:eastAsia="Times New Roman" w:hAnsi="Arial" w:cs="Arial"/>
                <w:color w:val="FF0000"/>
                <w:sz w:val="20"/>
              </w:rPr>
            </w:pPr>
            <w:r w:rsidRPr="006D3994">
              <w:rPr>
                <w:rFonts w:ascii="Arial" w:eastAsia="Times New Roman" w:hAnsi="Arial" w:cs="Arial"/>
                <w:color w:val="FF0000"/>
                <w:sz w:val="20"/>
              </w:rPr>
              <w:t>-0,4</w:t>
            </w:r>
          </w:p>
        </w:tc>
        <w:tc>
          <w:tcPr>
            <w:tcW w:w="402" w:type="pct"/>
            <w:tcBorders>
              <w:top w:val="nil"/>
              <w:left w:val="nil"/>
              <w:bottom w:val="nil"/>
              <w:right w:val="single" w:sz="4" w:space="0" w:color="auto"/>
            </w:tcBorders>
            <w:shd w:val="clear" w:color="000000" w:fill="FFFFFF"/>
            <w:noWrap/>
            <w:vAlign w:val="bottom"/>
            <w:hideMark/>
          </w:tcPr>
          <w:p w14:paraId="06FD5D9A" w14:textId="77777777" w:rsidR="00E541EE" w:rsidRPr="006D3994" w:rsidRDefault="00E541EE" w:rsidP="00A84BB5">
            <w:pPr>
              <w:jc w:val="center"/>
              <w:rPr>
                <w:rFonts w:ascii="Arial" w:eastAsia="Times New Roman" w:hAnsi="Arial" w:cs="Arial"/>
                <w:color w:val="FF0000"/>
                <w:sz w:val="20"/>
              </w:rPr>
            </w:pPr>
            <w:r w:rsidRPr="006D3994">
              <w:rPr>
                <w:rFonts w:ascii="Arial" w:eastAsia="Times New Roman" w:hAnsi="Arial" w:cs="Arial"/>
                <w:color w:val="FF0000"/>
                <w:sz w:val="20"/>
              </w:rPr>
              <w:t>-0,6</w:t>
            </w:r>
          </w:p>
        </w:tc>
        <w:tc>
          <w:tcPr>
            <w:tcW w:w="452" w:type="pct"/>
            <w:tcBorders>
              <w:top w:val="nil"/>
              <w:left w:val="nil"/>
              <w:bottom w:val="nil"/>
              <w:right w:val="single" w:sz="4" w:space="0" w:color="auto"/>
            </w:tcBorders>
            <w:shd w:val="clear" w:color="000000" w:fill="FFFFFF"/>
            <w:noWrap/>
            <w:vAlign w:val="bottom"/>
            <w:hideMark/>
          </w:tcPr>
          <w:p w14:paraId="40FC8136" w14:textId="77777777" w:rsidR="00E541EE" w:rsidRPr="006D3994" w:rsidRDefault="00E541EE" w:rsidP="00A84BB5">
            <w:pPr>
              <w:jc w:val="center"/>
              <w:rPr>
                <w:rFonts w:ascii="Arial" w:eastAsia="Times New Roman" w:hAnsi="Arial" w:cs="Arial"/>
                <w:i/>
                <w:iCs/>
                <w:sz w:val="20"/>
              </w:rPr>
            </w:pPr>
            <w:r w:rsidRPr="006D3994">
              <w:rPr>
                <w:rFonts w:ascii="Arial" w:eastAsia="Times New Roman" w:hAnsi="Arial" w:cs="Arial"/>
                <w:i/>
                <w:iCs/>
                <w:sz w:val="20"/>
              </w:rPr>
              <w:t>0,1</w:t>
            </w:r>
          </w:p>
        </w:tc>
        <w:tc>
          <w:tcPr>
            <w:tcW w:w="532" w:type="pct"/>
            <w:tcBorders>
              <w:top w:val="nil"/>
              <w:left w:val="nil"/>
              <w:bottom w:val="nil"/>
              <w:right w:val="single" w:sz="4" w:space="0" w:color="auto"/>
            </w:tcBorders>
            <w:shd w:val="clear" w:color="000000" w:fill="FFFFFF"/>
            <w:noWrap/>
            <w:vAlign w:val="bottom"/>
            <w:hideMark/>
          </w:tcPr>
          <w:p w14:paraId="31F5CB29" w14:textId="77777777" w:rsidR="00E541EE" w:rsidRPr="006D3994" w:rsidRDefault="00E541EE" w:rsidP="00A84BB5">
            <w:pPr>
              <w:jc w:val="center"/>
              <w:rPr>
                <w:rFonts w:ascii="Arial" w:eastAsia="Times New Roman" w:hAnsi="Arial" w:cs="Arial"/>
                <w:i/>
                <w:iCs/>
                <w:sz w:val="20"/>
              </w:rPr>
            </w:pPr>
            <w:r w:rsidRPr="006D3994">
              <w:rPr>
                <w:rFonts w:ascii="Arial" w:eastAsia="Times New Roman" w:hAnsi="Arial" w:cs="Arial"/>
                <w:i/>
                <w:iCs/>
                <w:sz w:val="20"/>
              </w:rPr>
              <w:t>-0,1</w:t>
            </w:r>
          </w:p>
        </w:tc>
      </w:tr>
      <w:tr w:rsidR="00E541EE" w:rsidRPr="00AE6ACF" w14:paraId="265A4E42" w14:textId="77777777" w:rsidTr="00E541EE">
        <w:trPr>
          <w:trHeight w:val="300"/>
        </w:trPr>
        <w:tc>
          <w:tcPr>
            <w:tcW w:w="2336" w:type="pct"/>
            <w:tcBorders>
              <w:top w:val="nil"/>
              <w:left w:val="single" w:sz="4" w:space="0" w:color="auto"/>
              <w:bottom w:val="nil"/>
              <w:right w:val="nil"/>
            </w:tcBorders>
            <w:shd w:val="clear" w:color="000000" w:fill="FFFFFF"/>
            <w:noWrap/>
            <w:vAlign w:val="bottom"/>
            <w:hideMark/>
          </w:tcPr>
          <w:p w14:paraId="6770D48C" w14:textId="77777777" w:rsidR="00E541EE" w:rsidRPr="006D3994" w:rsidRDefault="00E541EE" w:rsidP="00A84BB5">
            <w:pPr>
              <w:rPr>
                <w:rFonts w:ascii="Arial" w:eastAsia="Times New Roman" w:hAnsi="Arial" w:cs="Arial"/>
                <w:color w:val="000000"/>
                <w:sz w:val="20"/>
              </w:rPr>
            </w:pPr>
            <w:r w:rsidRPr="006D3994">
              <w:rPr>
                <w:rFonts w:ascii="Arial" w:eastAsia="Times New Roman" w:hAnsi="Arial" w:cs="Arial"/>
                <w:color w:val="000000"/>
                <w:sz w:val="20"/>
              </w:rPr>
              <w:t>Neto korištenja fondova EU-a (% BDP-a)</w:t>
            </w:r>
          </w:p>
        </w:tc>
        <w:tc>
          <w:tcPr>
            <w:tcW w:w="390" w:type="pct"/>
            <w:tcBorders>
              <w:top w:val="nil"/>
              <w:left w:val="single" w:sz="4" w:space="0" w:color="auto"/>
              <w:bottom w:val="nil"/>
              <w:right w:val="single" w:sz="4" w:space="0" w:color="auto"/>
            </w:tcBorders>
            <w:shd w:val="clear" w:color="000000" w:fill="FFFFFF"/>
            <w:noWrap/>
            <w:vAlign w:val="bottom"/>
            <w:hideMark/>
          </w:tcPr>
          <w:p w14:paraId="6E96E2F6" w14:textId="77777777" w:rsidR="00E541EE" w:rsidRPr="006D3994" w:rsidRDefault="00E541EE" w:rsidP="00A84BB5">
            <w:pPr>
              <w:jc w:val="center"/>
              <w:rPr>
                <w:rFonts w:ascii="Arial" w:eastAsia="Times New Roman" w:hAnsi="Arial" w:cs="Arial"/>
                <w:sz w:val="20"/>
              </w:rPr>
            </w:pPr>
            <w:r w:rsidRPr="006D3994">
              <w:rPr>
                <w:rFonts w:ascii="Arial" w:eastAsia="Times New Roman" w:hAnsi="Arial" w:cs="Arial"/>
                <w:sz w:val="20"/>
              </w:rPr>
              <w:t>3,9</w:t>
            </w:r>
          </w:p>
        </w:tc>
        <w:tc>
          <w:tcPr>
            <w:tcW w:w="446" w:type="pct"/>
            <w:tcBorders>
              <w:top w:val="nil"/>
              <w:left w:val="nil"/>
              <w:bottom w:val="nil"/>
              <w:right w:val="nil"/>
            </w:tcBorders>
            <w:shd w:val="clear" w:color="000000" w:fill="FFFFFF"/>
            <w:noWrap/>
            <w:vAlign w:val="bottom"/>
            <w:hideMark/>
          </w:tcPr>
          <w:p w14:paraId="2D8DEAFC" w14:textId="77777777" w:rsidR="00E541EE" w:rsidRPr="006D3994" w:rsidRDefault="00E541EE" w:rsidP="00A84BB5">
            <w:pPr>
              <w:jc w:val="center"/>
              <w:rPr>
                <w:rFonts w:ascii="Arial" w:eastAsia="Times New Roman" w:hAnsi="Arial" w:cs="Arial"/>
                <w:sz w:val="20"/>
              </w:rPr>
            </w:pPr>
            <w:r w:rsidRPr="006D3994">
              <w:rPr>
                <w:rFonts w:ascii="Arial" w:eastAsia="Times New Roman" w:hAnsi="Arial" w:cs="Arial"/>
                <w:sz w:val="20"/>
              </w:rPr>
              <w:t>2,1</w:t>
            </w:r>
          </w:p>
        </w:tc>
        <w:tc>
          <w:tcPr>
            <w:tcW w:w="442" w:type="pct"/>
            <w:tcBorders>
              <w:top w:val="nil"/>
              <w:left w:val="single" w:sz="4" w:space="0" w:color="auto"/>
              <w:bottom w:val="nil"/>
              <w:right w:val="single" w:sz="4" w:space="0" w:color="auto"/>
            </w:tcBorders>
            <w:shd w:val="clear" w:color="000000" w:fill="FFFFFF"/>
            <w:noWrap/>
            <w:vAlign w:val="bottom"/>
            <w:hideMark/>
          </w:tcPr>
          <w:p w14:paraId="387C8383" w14:textId="77777777" w:rsidR="00E541EE" w:rsidRPr="006D3994" w:rsidRDefault="00E541EE" w:rsidP="00A84BB5">
            <w:pPr>
              <w:jc w:val="center"/>
              <w:rPr>
                <w:rFonts w:ascii="Arial" w:eastAsia="Times New Roman" w:hAnsi="Arial" w:cs="Arial"/>
                <w:color w:val="FF0000"/>
                <w:sz w:val="20"/>
              </w:rPr>
            </w:pPr>
            <w:r w:rsidRPr="006D3994">
              <w:rPr>
                <w:rFonts w:ascii="Arial" w:eastAsia="Times New Roman" w:hAnsi="Arial" w:cs="Arial"/>
                <w:color w:val="FF0000"/>
                <w:sz w:val="20"/>
              </w:rPr>
              <w:t>2,9</w:t>
            </w:r>
          </w:p>
        </w:tc>
        <w:tc>
          <w:tcPr>
            <w:tcW w:w="402" w:type="pct"/>
            <w:tcBorders>
              <w:top w:val="nil"/>
              <w:left w:val="nil"/>
              <w:bottom w:val="nil"/>
              <w:right w:val="single" w:sz="4" w:space="0" w:color="auto"/>
            </w:tcBorders>
            <w:shd w:val="clear" w:color="000000" w:fill="FFFFFF"/>
            <w:noWrap/>
            <w:vAlign w:val="bottom"/>
            <w:hideMark/>
          </w:tcPr>
          <w:p w14:paraId="1BCE1AC0" w14:textId="77777777" w:rsidR="00E541EE" w:rsidRPr="006D3994" w:rsidRDefault="00E541EE" w:rsidP="00A84BB5">
            <w:pPr>
              <w:jc w:val="center"/>
              <w:rPr>
                <w:rFonts w:ascii="Arial" w:eastAsia="Times New Roman" w:hAnsi="Arial" w:cs="Arial"/>
                <w:color w:val="FF0000"/>
                <w:sz w:val="20"/>
              </w:rPr>
            </w:pPr>
            <w:r w:rsidRPr="006D3994">
              <w:rPr>
                <w:rFonts w:ascii="Arial" w:eastAsia="Times New Roman" w:hAnsi="Arial" w:cs="Arial"/>
                <w:color w:val="FF0000"/>
                <w:sz w:val="20"/>
              </w:rPr>
              <w:t>3,1</w:t>
            </w:r>
          </w:p>
        </w:tc>
        <w:tc>
          <w:tcPr>
            <w:tcW w:w="452" w:type="pct"/>
            <w:tcBorders>
              <w:top w:val="nil"/>
              <w:left w:val="nil"/>
              <w:bottom w:val="nil"/>
              <w:right w:val="single" w:sz="4" w:space="0" w:color="auto"/>
            </w:tcBorders>
            <w:shd w:val="clear" w:color="000000" w:fill="FFFFFF"/>
            <w:noWrap/>
            <w:vAlign w:val="bottom"/>
            <w:hideMark/>
          </w:tcPr>
          <w:p w14:paraId="4CE4E947" w14:textId="77777777" w:rsidR="00E541EE" w:rsidRPr="006D3994" w:rsidRDefault="00E541EE" w:rsidP="00A84BB5">
            <w:pPr>
              <w:jc w:val="center"/>
              <w:rPr>
                <w:rFonts w:ascii="Arial" w:eastAsia="Times New Roman" w:hAnsi="Arial" w:cs="Arial"/>
                <w:i/>
                <w:iCs/>
                <w:sz w:val="20"/>
              </w:rPr>
            </w:pPr>
            <w:r w:rsidRPr="006D3994">
              <w:rPr>
                <w:rFonts w:ascii="Arial" w:eastAsia="Times New Roman" w:hAnsi="Arial" w:cs="Arial"/>
                <w:i/>
                <w:iCs/>
                <w:sz w:val="20"/>
              </w:rPr>
              <w:t>0,0</w:t>
            </w:r>
          </w:p>
        </w:tc>
        <w:tc>
          <w:tcPr>
            <w:tcW w:w="532" w:type="pct"/>
            <w:tcBorders>
              <w:top w:val="nil"/>
              <w:left w:val="nil"/>
              <w:bottom w:val="nil"/>
              <w:right w:val="single" w:sz="4" w:space="0" w:color="auto"/>
            </w:tcBorders>
            <w:shd w:val="clear" w:color="000000" w:fill="FFFFFF"/>
            <w:noWrap/>
            <w:vAlign w:val="bottom"/>
            <w:hideMark/>
          </w:tcPr>
          <w:p w14:paraId="04D6251C" w14:textId="77777777" w:rsidR="00E541EE" w:rsidRPr="006D3994" w:rsidRDefault="00E541EE" w:rsidP="00A84BB5">
            <w:pPr>
              <w:jc w:val="center"/>
              <w:rPr>
                <w:rFonts w:ascii="Arial" w:eastAsia="Times New Roman" w:hAnsi="Arial" w:cs="Arial"/>
                <w:i/>
                <w:iCs/>
                <w:sz w:val="20"/>
              </w:rPr>
            </w:pPr>
            <w:r w:rsidRPr="006D3994">
              <w:rPr>
                <w:rFonts w:ascii="Arial" w:eastAsia="Times New Roman" w:hAnsi="Arial" w:cs="Arial"/>
                <w:i/>
                <w:iCs/>
                <w:sz w:val="20"/>
              </w:rPr>
              <w:t>0,0</w:t>
            </w:r>
          </w:p>
        </w:tc>
      </w:tr>
      <w:tr w:rsidR="00E541EE" w:rsidRPr="00AE6ACF" w14:paraId="1F6F2361" w14:textId="77777777" w:rsidTr="00E541EE">
        <w:trPr>
          <w:trHeight w:val="300"/>
        </w:trPr>
        <w:tc>
          <w:tcPr>
            <w:tcW w:w="2336" w:type="pct"/>
            <w:tcBorders>
              <w:top w:val="nil"/>
              <w:left w:val="single" w:sz="4" w:space="0" w:color="auto"/>
              <w:bottom w:val="nil"/>
              <w:right w:val="nil"/>
            </w:tcBorders>
            <w:shd w:val="clear" w:color="000000" w:fill="FFFFFF"/>
            <w:noWrap/>
            <w:vAlign w:val="bottom"/>
            <w:hideMark/>
          </w:tcPr>
          <w:p w14:paraId="7178FE75" w14:textId="77777777" w:rsidR="00E541EE" w:rsidRPr="006D3994" w:rsidRDefault="00E541EE" w:rsidP="00A84BB5">
            <w:pPr>
              <w:rPr>
                <w:rFonts w:ascii="Arial" w:eastAsia="Times New Roman" w:hAnsi="Arial" w:cs="Arial"/>
                <w:color w:val="000000"/>
                <w:sz w:val="20"/>
              </w:rPr>
            </w:pPr>
            <w:r w:rsidRPr="006D3994">
              <w:rPr>
                <w:rFonts w:ascii="Arial" w:eastAsia="Times New Roman" w:hAnsi="Arial" w:cs="Arial"/>
                <w:color w:val="000000"/>
                <w:sz w:val="20"/>
              </w:rPr>
              <w:t> </w:t>
            </w:r>
          </w:p>
        </w:tc>
        <w:tc>
          <w:tcPr>
            <w:tcW w:w="390" w:type="pct"/>
            <w:tcBorders>
              <w:top w:val="nil"/>
              <w:left w:val="single" w:sz="4" w:space="0" w:color="auto"/>
              <w:bottom w:val="nil"/>
              <w:right w:val="single" w:sz="4" w:space="0" w:color="auto"/>
            </w:tcBorders>
            <w:shd w:val="clear" w:color="000000" w:fill="FFFFFF"/>
            <w:noWrap/>
            <w:vAlign w:val="bottom"/>
            <w:hideMark/>
          </w:tcPr>
          <w:p w14:paraId="49C6CF75" w14:textId="77777777" w:rsidR="00E541EE" w:rsidRPr="006D3994" w:rsidRDefault="00E541EE" w:rsidP="00A84BB5">
            <w:pPr>
              <w:jc w:val="center"/>
              <w:rPr>
                <w:rFonts w:ascii="Arial" w:eastAsia="Times New Roman" w:hAnsi="Arial" w:cs="Arial"/>
                <w:sz w:val="20"/>
              </w:rPr>
            </w:pPr>
            <w:r w:rsidRPr="006D3994">
              <w:rPr>
                <w:rFonts w:ascii="Arial" w:eastAsia="Times New Roman" w:hAnsi="Arial" w:cs="Arial"/>
                <w:sz w:val="20"/>
              </w:rPr>
              <w:t> </w:t>
            </w:r>
          </w:p>
        </w:tc>
        <w:tc>
          <w:tcPr>
            <w:tcW w:w="446" w:type="pct"/>
            <w:tcBorders>
              <w:top w:val="nil"/>
              <w:left w:val="nil"/>
              <w:bottom w:val="nil"/>
              <w:right w:val="nil"/>
            </w:tcBorders>
            <w:shd w:val="clear" w:color="000000" w:fill="FFFFFF"/>
            <w:noWrap/>
            <w:vAlign w:val="bottom"/>
            <w:hideMark/>
          </w:tcPr>
          <w:p w14:paraId="6B118635" w14:textId="77777777" w:rsidR="00E541EE" w:rsidRPr="006D3994" w:rsidRDefault="00E541EE" w:rsidP="00A84BB5">
            <w:pPr>
              <w:jc w:val="center"/>
              <w:rPr>
                <w:rFonts w:ascii="Arial" w:eastAsia="Times New Roman" w:hAnsi="Arial" w:cs="Arial"/>
                <w:sz w:val="20"/>
              </w:rPr>
            </w:pPr>
            <w:r w:rsidRPr="006D3994">
              <w:rPr>
                <w:rFonts w:ascii="Arial" w:eastAsia="Times New Roman" w:hAnsi="Arial" w:cs="Arial"/>
                <w:sz w:val="20"/>
              </w:rPr>
              <w:t> </w:t>
            </w:r>
          </w:p>
        </w:tc>
        <w:tc>
          <w:tcPr>
            <w:tcW w:w="442" w:type="pct"/>
            <w:tcBorders>
              <w:top w:val="nil"/>
              <w:left w:val="single" w:sz="4" w:space="0" w:color="auto"/>
              <w:bottom w:val="nil"/>
              <w:right w:val="single" w:sz="4" w:space="0" w:color="auto"/>
            </w:tcBorders>
            <w:shd w:val="clear" w:color="000000" w:fill="FFFFFF"/>
            <w:noWrap/>
            <w:vAlign w:val="bottom"/>
            <w:hideMark/>
          </w:tcPr>
          <w:p w14:paraId="1A567CC4" w14:textId="77777777" w:rsidR="00E541EE" w:rsidRPr="006D3994" w:rsidRDefault="00E541EE" w:rsidP="00A84BB5">
            <w:pPr>
              <w:jc w:val="center"/>
              <w:rPr>
                <w:rFonts w:ascii="Arial" w:eastAsia="Times New Roman" w:hAnsi="Arial" w:cs="Arial"/>
                <w:sz w:val="20"/>
              </w:rPr>
            </w:pPr>
            <w:r w:rsidRPr="006D3994">
              <w:rPr>
                <w:rFonts w:ascii="Arial" w:eastAsia="Times New Roman" w:hAnsi="Arial" w:cs="Arial"/>
                <w:sz w:val="20"/>
              </w:rPr>
              <w:t> </w:t>
            </w:r>
          </w:p>
        </w:tc>
        <w:tc>
          <w:tcPr>
            <w:tcW w:w="402" w:type="pct"/>
            <w:tcBorders>
              <w:top w:val="nil"/>
              <w:left w:val="nil"/>
              <w:bottom w:val="nil"/>
              <w:right w:val="single" w:sz="4" w:space="0" w:color="auto"/>
            </w:tcBorders>
            <w:shd w:val="clear" w:color="000000" w:fill="FFFFFF"/>
            <w:noWrap/>
            <w:vAlign w:val="bottom"/>
            <w:hideMark/>
          </w:tcPr>
          <w:p w14:paraId="02FD390F" w14:textId="77777777" w:rsidR="00E541EE" w:rsidRPr="006D3994" w:rsidRDefault="00E541EE" w:rsidP="00A84BB5">
            <w:pPr>
              <w:jc w:val="center"/>
              <w:rPr>
                <w:rFonts w:ascii="Arial" w:eastAsia="Times New Roman" w:hAnsi="Arial" w:cs="Arial"/>
                <w:sz w:val="20"/>
              </w:rPr>
            </w:pPr>
            <w:r w:rsidRPr="006D3994">
              <w:rPr>
                <w:rFonts w:ascii="Arial" w:eastAsia="Times New Roman" w:hAnsi="Arial" w:cs="Arial"/>
                <w:sz w:val="20"/>
              </w:rPr>
              <w:t> </w:t>
            </w:r>
          </w:p>
        </w:tc>
        <w:tc>
          <w:tcPr>
            <w:tcW w:w="452" w:type="pct"/>
            <w:tcBorders>
              <w:top w:val="nil"/>
              <w:left w:val="nil"/>
              <w:bottom w:val="nil"/>
              <w:right w:val="single" w:sz="4" w:space="0" w:color="auto"/>
            </w:tcBorders>
            <w:shd w:val="clear" w:color="000000" w:fill="FFFFFF"/>
            <w:noWrap/>
            <w:vAlign w:val="bottom"/>
            <w:hideMark/>
          </w:tcPr>
          <w:p w14:paraId="47829D5C" w14:textId="77777777" w:rsidR="00E541EE" w:rsidRPr="006D3994" w:rsidRDefault="00E541EE" w:rsidP="00A84BB5">
            <w:pPr>
              <w:jc w:val="center"/>
              <w:rPr>
                <w:rFonts w:ascii="Arial" w:eastAsia="Times New Roman" w:hAnsi="Arial" w:cs="Arial"/>
                <w:i/>
                <w:iCs/>
                <w:sz w:val="20"/>
              </w:rPr>
            </w:pPr>
            <w:r w:rsidRPr="006D3994">
              <w:rPr>
                <w:rFonts w:ascii="Arial" w:eastAsia="Times New Roman" w:hAnsi="Arial" w:cs="Arial"/>
                <w:i/>
                <w:iCs/>
                <w:sz w:val="20"/>
              </w:rPr>
              <w:t> </w:t>
            </w:r>
          </w:p>
        </w:tc>
        <w:tc>
          <w:tcPr>
            <w:tcW w:w="532" w:type="pct"/>
            <w:tcBorders>
              <w:top w:val="nil"/>
              <w:left w:val="nil"/>
              <w:bottom w:val="nil"/>
              <w:right w:val="single" w:sz="4" w:space="0" w:color="auto"/>
            </w:tcBorders>
            <w:shd w:val="clear" w:color="000000" w:fill="FFFFFF"/>
            <w:noWrap/>
            <w:vAlign w:val="bottom"/>
            <w:hideMark/>
          </w:tcPr>
          <w:p w14:paraId="78DBB301" w14:textId="77777777" w:rsidR="00E541EE" w:rsidRPr="006D3994" w:rsidRDefault="00E541EE" w:rsidP="00A84BB5">
            <w:pPr>
              <w:jc w:val="center"/>
              <w:rPr>
                <w:rFonts w:ascii="Arial" w:eastAsia="Times New Roman" w:hAnsi="Arial" w:cs="Arial"/>
                <w:i/>
                <w:iCs/>
                <w:sz w:val="20"/>
              </w:rPr>
            </w:pPr>
            <w:r w:rsidRPr="006D3994">
              <w:rPr>
                <w:rFonts w:ascii="Arial" w:eastAsia="Times New Roman" w:hAnsi="Arial" w:cs="Arial"/>
                <w:i/>
                <w:iCs/>
                <w:sz w:val="20"/>
              </w:rPr>
              <w:t> </w:t>
            </w:r>
          </w:p>
        </w:tc>
      </w:tr>
      <w:tr w:rsidR="00E541EE" w:rsidRPr="00AE6ACF" w14:paraId="418D1CC7" w14:textId="77777777" w:rsidTr="00E541EE">
        <w:trPr>
          <w:trHeight w:val="300"/>
        </w:trPr>
        <w:tc>
          <w:tcPr>
            <w:tcW w:w="2336" w:type="pct"/>
            <w:tcBorders>
              <w:top w:val="nil"/>
              <w:left w:val="single" w:sz="4" w:space="0" w:color="auto"/>
              <w:bottom w:val="nil"/>
              <w:right w:val="nil"/>
            </w:tcBorders>
            <w:shd w:val="clear" w:color="000000" w:fill="FFFFFF"/>
            <w:noWrap/>
            <w:vAlign w:val="bottom"/>
            <w:hideMark/>
          </w:tcPr>
          <w:p w14:paraId="05ACF704" w14:textId="77777777" w:rsidR="00E541EE" w:rsidRPr="006D3994" w:rsidRDefault="00E541EE" w:rsidP="00A84BB5">
            <w:pPr>
              <w:rPr>
                <w:rFonts w:ascii="Arial" w:eastAsia="Times New Roman" w:hAnsi="Arial" w:cs="Arial"/>
                <w:b/>
                <w:bCs/>
                <w:color w:val="000000"/>
                <w:sz w:val="20"/>
              </w:rPr>
            </w:pPr>
            <w:r w:rsidRPr="006D3994">
              <w:rPr>
                <w:rFonts w:ascii="Arial" w:eastAsia="Times New Roman" w:hAnsi="Arial" w:cs="Arial"/>
                <w:b/>
                <w:bCs/>
                <w:color w:val="000000"/>
                <w:sz w:val="20"/>
              </w:rPr>
              <w:t>Tržište rada</w:t>
            </w:r>
          </w:p>
        </w:tc>
        <w:tc>
          <w:tcPr>
            <w:tcW w:w="390" w:type="pct"/>
            <w:tcBorders>
              <w:top w:val="nil"/>
              <w:left w:val="single" w:sz="4" w:space="0" w:color="auto"/>
              <w:bottom w:val="nil"/>
              <w:right w:val="single" w:sz="4" w:space="0" w:color="auto"/>
            </w:tcBorders>
            <w:shd w:val="clear" w:color="000000" w:fill="FFFFFF"/>
            <w:noWrap/>
            <w:vAlign w:val="bottom"/>
            <w:hideMark/>
          </w:tcPr>
          <w:p w14:paraId="578CFF76" w14:textId="77777777" w:rsidR="00E541EE" w:rsidRPr="006D3994" w:rsidRDefault="00E541EE" w:rsidP="00A84BB5">
            <w:pPr>
              <w:jc w:val="center"/>
              <w:rPr>
                <w:rFonts w:ascii="Arial" w:eastAsia="Times New Roman" w:hAnsi="Arial" w:cs="Arial"/>
                <w:sz w:val="20"/>
              </w:rPr>
            </w:pPr>
            <w:r w:rsidRPr="006D3994">
              <w:rPr>
                <w:rFonts w:ascii="Arial" w:eastAsia="Times New Roman" w:hAnsi="Arial" w:cs="Arial"/>
                <w:sz w:val="20"/>
              </w:rPr>
              <w:t> </w:t>
            </w:r>
          </w:p>
        </w:tc>
        <w:tc>
          <w:tcPr>
            <w:tcW w:w="446" w:type="pct"/>
            <w:tcBorders>
              <w:top w:val="nil"/>
              <w:left w:val="nil"/>
              <w:bottom w:val="nil"/>
              <w:right w:val="nil"/>
            </w:tcBorders>
            <w:shd w:val="clear" w:color="000000" w:fill="FFFFFF"/>
            <w:noWrap/>
            <w:vAlign w:val="bottom"/>
            <w:hideMark/>
          </w:tcPr>
          <w:p w14:paraId="573135BF" w14:textId="77777777" w:rsidR="00E541EE" w:rsidRPr="006D3994" w:rsidRDefault="00E541EE" w:rsidP="00A84BB5">
            <w:pPr>
              <w:jc w:val="center"/>
              <w:rPr>
                <w:rFonts w:ascii="Arial" w:eastAsia="Times New Roman" w:hAnsi="Arial" w:cs="Arial"/>
                <w:sz w:val="20"/>
              </w:rPr>
            </w:pPr>
            <w:r w:rsidRPr="006D3994">
              <w:rPr>
                <w:rFonts w:ascii="Arial" w:eastAsia="Times New Roman" w:hAnsi="Arial" w:cs="Arial"/>
                <w:sz w:val="20"/>
              </w:rPr>
              <w:t> </w:t>
            </w:r>
          </w:p>
        </w:tc>
        <w:tc>
          <w:tcPr>
            <w:tcW w:w="442" w:type="pct"/>
            <w:tcBorders>
              <w:top w:val="nil"/>
              <w:left w:val="single" w:sz="4" w:space="0" w:color="auto"/>
              <w:bottom w:val="nil"/>
              <w:right w:val="single" w:sz="4" w:space="0" w:color="auto"/>
            </w:tcBorders>
            <w:shd w:val="clear" w:color="000000" w:fill="FFFFFF"/>
            <w:noWrap/>
            <w:vAlign w:val="bottom"/>
            <w:hideMark/>
          </w:tcPr>
          <w:p w14:paraId="15E7BF19" w14:textId="77777777" w:rsidR="00E541EE" w:rsidRPr="006D3994" w:rsidRDefault="00E541EE" w:rsidP="00A84BB5">
            <w:pPr>
              <w:jc w:val="center"/>
              <w:rPr>
                <w:rFonts w:ascii="Arial" w:eastAsia="Times New Roman" w:hAnsi="Arial" w:cs="Arial"/>
                <w:sz w:val="20"/>
              </w:rPr>
            </w:pPr>
            <w:r w:rsidRPr="006D3994">
              <w:rPr>
                <w:rFonts w:ascii="Arial" w:eastAsia="Times New Roman" w:hAnsi="Arial" w:cs="Arial"/>
                <w:sz w:val="20"/>
              </w:rPr>
              <w:t> </w:t>
            </w:r>
          </w:p>
        </w:tc>
        <w:tc>
          <w:tcPr>
            <w:tcW w:w="402" w:type="pct"/>
            <w:tcBorders>
              <w:top w:val="nil"/>
              <w:left w:val="nil"/>
              <w:bottom w:val="nil"/>
              <w:right w:val="single" w:sz="4" w:space="0" w:color="auto"/>
            </w:tcBorders>
            <w:shd w:val="clear" w:color="000000" w:fill="FFFFFF"/>
            <w:noWrap/>
            <w:vAlign w:val="bottom"/>
            <w:hideMark/>
          </w:tcPr>
          <w:p w14:paraId="769AEC55" w14:textId="77777777" w:rsidR="00E541EE" w:rsidRPr="006D3994" w:rsidRDefault="00E541EE" w:rsidP="00A84BB5">
            <w:pPr>
              <w:jc w:val="center"/>
              <w:rPr>
                <w:rFonts w:ascii="Arial" w:eastAsia="Times New Roman" w:hAnsi="Arial" w:cs="Arial"/>
                <w:sz w:val="20"/>
              </w:rPr>
            </w:pPr>
            <w:r w:rsidRPr="006D3994">
              <w:rPr>
                <w:rFonts w:ascii="Arial" w:eastAsia="Times New Roman" w:hAnsi="Arial" w:cs="Arial"/>
                <w:sz w:val="20"/>
              </w:rPr>
              <w:t> </w:t>
            </w:r>
          </w:p>
        </w:tc>
        <w:tc>
          <w:tcPr>
            <w:tcW w:w="452" w:type="pct"/>
            <w:tcBorders>
              <w:top w:val="nil"/>
              <w:left w:val="nil"/>
              <w:bottom w:val="nil"/>
              <w:right w:val="single" w:sz="4" w:space="0" w:color="auto"/>
            </w:tcBorders>
            <w:shd w:val="clear" w:color="000000" w:fill="FFFFFF"/>
            <w:noWrap/>
            <w:vAlign w:val="bottom"/>
            <w:hideMark/>
          </w:tcPr>
          <w:p w14:paraId="3069794F" w14:textId="77777777" w:rsidR="00E541EE" w:rsidRPr="006D3994" w:rsidRDefault="00E541EE" w:rsidP="00A84BB5">
            <w:pPr>
              <w:jc w:val="center"/>
              <w:rPr>
                <w:rFonts w:ascii="Arial" w:eastAsia="Times New Roman" w:hAnsi="Arial" w:cs="Arial"/>
                <w:i/>
                <w:iCs/>
                <w:sz w:val="20"/>
              </w:rPr>
            </w:pPr>
            <w:r w:rsidRPr="006D3994">
              <w:rPr>
                <w:rFonts w:ascii="Arial" w:eastAsia="Times New Roman" w:hAnsi="Arial" w:cs="Arial"/>
                <w:i/>
                <w:iCs/>
                <w:sz w:val="20"/>
              </w:rPr>
              <w:t> </w:t>
            </w:r>
          </w:p>
        </w:tc>
        <w:tc>
          <w:tcPr>
            <w:tcW w:w="532" w:type="pct"/>
            <w:tcBorders>
              <w:top w:val="nil"/>
              <w:left w:val="nil"/>
              <w:bottom w:val="nil"/>
              <w:right w:val="single" w:sz="4" w:space="0" w:color="auto"/>
            </w:tcBorders>
            <w:shd w:val="clear" w:color="000000" w:fill="FFFFFF"/>
            <w:noWrap/>
            <w:vAlign w:val="bottom"/>
            <w:hideMark/>
          </w:tcPr>
          <w:p w14:paraId="595F8C10" w14:textId="77777777" w:rsidR="00E541EE" w:rsidRPr="006D3994" w:rsidRDefault="00E541EE" w:rsidP="00A84BB5">
            <w:pPr>
              <w:jc w:val="center"/>
              <w:rPr>
                <w:rFonts w:ascii="Arial" w:eastAsia="Times New Roman" w:hAnsi="Arial" w:cs="Arial"/>
                <w:i/>
                <w:iCs/>
                <w:sz w:val="20"/>
              </w:rPr>
            </w:pPr>
            <w:r w:rsidRPr="006D3994">
              <w:rPr>
                <w:rFonts w:ascii="Arial" w:eastAsia="Times New Roman" w:hAnsi="Arial" w:cs="Arial"/>
                <w:i/>
                <w:iCs/>
                <w:sz w:val="20"/>
              </w:rPr>
              <w:t> </w:t>
            </w:r>
          </w:p>
        </w:tc>
      </w:tr>
      <w:tr w:rsidR="00E541EE" w:rsidRPr="00AE6ACF" w14:paraId="7A9E876A" w14:textId="77777777" w:rsidTr="00E541EE">
        <w:trPr>
          <w:trHeight w:val="300"/>
        </w:trPr>
        <w:tc>
          <w:tcPr>
            <w:tcW w:w="2336" w:type="pct"/>
            <w:tcBorders>
              <w:top w:val="nil"/>
              <w:left w:val="single" w:sz="4" w:space="0" w:color="auto"/>
              <w:bottom w:val="nil"/>
              <w:right w:val="nil"/>
            </w:tcBorders>
            <w:noWrap/>
            <w:vAlign w:val="bottom"/>
            <w:hideMark/>
          </w:tcPr>
          <w:p w14:paraId="5D95C566" w14:textId="77777777" w:rsidR="00E541EE" w:rsidRPr="006D3994" w:rsidRDefault="00E541EE" w:rsidP="00A84BB5">
            <w:pPr>
              <w:rPr>
                <w:rFonts w:ascii="Arial" w:eastAsia="Times New Roman" w:hAnsi="Arial" w:cs="Arial"/>
                <w:color w:val="000000"/>
                <w:sz w:val="20"/>
              </w:rPr>
            </w:pPr>
            <w:r w:rsidRPr="006D3994">
              <w:rPr>
                <w:rFonts w:ascii="Arial" w:eastAsia="Times New Roman" w:hAnsi="Arial" w:cs="Arial"/>
                <w:color w:val="000000"/>
                <w:sz w:val="20"/>
              </w:rPr>
              <w:t>Stopa anketne nezaposlenosti (%)</w:t>
            </w:r>
          </w:p>
        </w:tc>
        <w:tc>
          <w:tcPr>
            <w:tcW w:w="390" w:type="pct"/>
            <w:tcBorders>
              <w:top w:val="nil"/>
              <w:left w:val="single" w:sz="4" w:space="0" w:color="auto"/>
              <w:bottom w:val="nil"/>
              <w:right w:val="single" w:sz="4" w:space="0" w:color="auto"/>
            </w:tcBorders>
            <w:shd w:val="clear" w:color="000000" w:fill="FFFFFF"/>
            <w:noWrap/>
            <w:vAlign w:val="bottom"/>
            <w:hideMark/>
          </w:tcPr>
          <w:p w14:paraId="55C2C25B" w14:textId="77777777" w:rsidR="00E541EE" w:rsidRPr="006D3994" w:rsidRDefault="00E541EE" w:rsidP="00A84BB5">
            <w:pPr>
              <w:jc w:val="center"/>
              <w:rPr>
                <w:rFonts w:ascii="Arial" w:eastAsia="Times New Roman" w:hAnsi="Arial" w:cs="Arial"/>
                <w:sz w:val="20"/>
              </w:rPr>
            </w:pPr>
            <w:r w:rsidRPr="006D3994">
              <w:rPr>
                <w:rFonts w:ascii="Arial" w:eastAsia="Times New Roman" w:hAnsi="Arial" w:cs="Arial"/>
                <w:sz w:val="20"/>
              </w:rPr>
              <w:t>6,1</w:t>
            </w:r>
          </w:p>
        </w:tc>
        <w:tc>
          <w:tcPr>
            <w:tcW w:w="446" w:type="pct"/>
            <w:tcBorders>
              <w:top w:val="nil"/>
              <w:left w:val="nil"/>
              <w:bottom w:val="nil"/>
              <w:right w:val="nil"/>
            </w:tcBorders>
            <w:shd w:val="clear" w:color="000000" w:fill="FFFFFF"/>
            <w:noWrap/>
            <w:vAlign w:val="bottom"/>
            <w:hideMark/>
          </w:tcPr>
          <w:p w14:paraId="2BA6F0E8" w14:textId="77777777" w:rsidR="00E541EE" w:rsidRPr="006D3994" w:rsidRDefault="00E541EE" w:rsidP="00A84BB5">
            <w:pPr>
              <w:jc w:val="center"/>
              <w:rPr>
                <w:rFonts w:ascii="Arial" w:eastAsia="Times New Roman" w:hAnsi="Arial" w:cs="Arial"/>
                <w:sz w:val="20"/>
              </w:rPr>
            </w:pPr>
            <w:r w:rsidRPr="006D3994">
              <w:rPr>
                <w:rFonts w:ascii="Arial" w:eastAsia="Times New Roman" w:hAnsi="Arial" w:cs="Arial"/>
                <w:sz w:val="20"/>
              </w:rPr>
              <w:t>5,0</w:t>
            </w:r>
          </w:p>
        </w:tc>
        <w:tc>
          <w:tcPr>
            <w:tcW w:w="442" w:type="pct"/>
            <w:tcBorders>
              <w:top w:val="nil"/>
              <w:left w:val="single" w:sz="4" w:space="0" w:color="auto"/>
              <w:bottom w:val="nil"/>
              <w:right w:val="single" w:sz="4" w:space="0" w:color="auto"/>
            </w:tcBorders>
            <w:shd w:val="clear" w:color="000000" w:fill="FFFFFF"/>
            <w:noWrap/>
            <w:vAlign w:val="bottom"/>
            <w:hideMark/>
          </w:tcPr>
          <w:p w14:paraId="3E74B193" w14:textId="77777777" w:rsidR="00E541EE" w:rsidRPr="006D3994" w:rsidRDefault="00E541EE" w:rsidP="00A84BB5">
            <w:pPr>
              <w:jc w:val="center"/>
              <w:rPr>
                <w:rFonts w:ascii="Arial" w:eastAsia="Times New Roman" w:hAnsi="Arial" w:cs="Arial"/>
                <w:color w:val="FF0000"/>
                <w:sz w:val="20"/>
              </w:rPr>
            </w:pPr>
            <w:r w:rsidRPr="006D3994">
              <w:rPr>
                <w:rFonts w:ascii="Arial" w:eastAsia="Times New Roman" w:hAnsi="Arial" w:cs="Arial"/>
                <w:color w:val="FF0000"/>
                <w:sz w:val="20"/>
              </w:rPr>
              <w:t>4,7</w:t>
            </w:r>
          </w:p>
        </w:tc>
        <w:tc>
          <w:tcPr>
            <w:tcW w:w="402" w:type="pct"/>
            <w:tcBorders>
              <w:top w:val="nil"/>
              <w:left w:val="nil"/>
              <w:bottom w:val="nil"/>
              <w:right w:val="single" w:sz="4" w:space="0" w:color="auto"/>
            </w:tcBorders>
            <w:shd w:val="clear" w:color="000000" w:fill="FFFFFF"/>
            <w:noWrap/>
            <w:vAlign w:val="bottom"/>
            <w:hideMark/>
          </w:tcPr>
          <w:p w14:paraId="1DCD1E36" w14:textId="77777777" w:rsidR="00E541EE" w:rsidRPr="006D3994" w:rsidRDefault="00E541EE" w:rsidP="00A84BB5">
            <w:pPr>
              <w:jc w:val="center"/>
              <w:rPr>
                <w:rFonts w:ascii="Arial" w:eastAsia="Times New Roman" w:hAnsi="Arial" w:cs="Arial"/>
                <w:color w:val="FF0000"/>
                <w:sz w:val="20"/>
              </w:rPr>
            </w:pPr>
            <w:r w:rsidRPr="006D3994">
              <w:rPr>
                <w:rFonts w:ascii="Arial" w:eastAsia="Times New Roman" w:hAnsi="Arial" w:cs="Arial"/>
                <w:color w:val="FF0000"/>
                <w:sz w:val="20"/>
              </w:rPr>
              <w:t>4,5</w:t>
            </w:r>
          </w:p>
        </w:tc>
        <w:tc>
          <w:tcPr>
            <w:tcW w:w="452" w:type="pct"/>
            <w:tcBorders>
              <w:top w:val="nil"/>
              <w:left w:val="nil"/>
              <w:bottom w:val="nil"/>
              <w:right w:val="single" w:sz="4" w:space="0" w:color="auto"/>
            </w:tcBorders>
            <w:shd w:val="clear" w:color="000000" w:fill="FFFFFF"/>
            <w:noWrap/>
            <w:vAlign w:val="bottom"/>
            <w:hideMark/>
          </w:tcPr>
          <w:p w14:paraId="610CADDF" w14:textId="77777777" w:rsidR="00E541EE" w:rsidRPr="006D3994" w:rsidRDefault="00E541EE" w:rsidP="00A84BB5">
            <w:pPr>
              <w:jc w:val="center"/>
              <w:rPr>
                <w:rFonts w:ascii="Arial" w:eastAsia="Times New Roman" w:hAnsi="Arial" w:cs="Arial"/>
                <w:i/>
                <w:iCs/>
                <w:sz w:val="20"/>
              </w:rPr>
            </w:pPr>
            <w:r w:rsidRPr="006D3994">
              <w:rPr>
                <w:rFonts w:ascii="Arial" w:eastAsia="Times New Roman" w:hAnsi="Arial" w:cs="Arial"/>
                <w:i/>
                <w:iCs/>
                <w:sz w:val="20"/>
              </w:rPr>
              <w:t>0,0</w:t>
            </w:r>
          </w:p>
        </w:tc>
        <w:tc>
          <w:tcPr>
            <w:tcW w:w="532" w:type="pct"/>
            <w:tcBorders>
              <w:top w:val="nil"/>
              <w:left w:val="nil"/>
              <w:bottom w:val="nil"/>
              <w:right w:val="single" w:sz="4" w:space="0" w:color="auto"/>
            </w:tcBorders>
            <w:shd w:val="clear" w:color="000000" w:fill="FFFFFF"/>
            <w:noWrap/>
            <w:vAlign w:val="bottom"/>
            <w:hideMark/>
          </w:tcPr>
          <w:p w14:paraId="3E771CF4" w14:textId="77777777" w:rsidR="00E541EE" w:rsidRPr="006D3994" w:rsidRDefault="00E541EE" w:rsidP="00A84BB5">
            <w:pPr>
              <w:jc w:val="center"/>
              <w:rPr>
                <w:rFonts w:ascii="Arial" w:eastAsia="Times New Roman" w:hAnsi="Arial" w:cs="Arial"/>
                <w:i/>
                <w:iCs/>
                <w:sz w:val="20"/>
              </w:rPr>
            </w:pPr>
            <w:r w:rsidRPr="006D3994">
              <w:rPr>
                <w:rFonts w:ascii="Arial" w:eastAsia="Times New Roman" w:hAnsi="Arial" w:cs="Arial"/>
                <w:i/>
                <w:iCs/>
                <w:sz w:val="20"/>
              </w:rPr>
              <w:t>-0,1</w:t>
            </w:r>
          </w:p>
        </w:tc>
      </w:tr>
      <w:tr w:rsidR="00E541EE" w:rsidRPr="00AE6ACF" w14:paraId="6AA68292" w14:textId="77777777" w:rsidTr="00E541EE">
        <w:trPr>
          <w:trHeight w:val="300"/>
        </w:trPr>
        <w:tc>
          <w:tcPr>
            <w:tcW w:w="2336" w:type="pct"/>
            <w:tcBorders>
              <w:top w:val="nil"/>
              <w:left w:val="single" w:sz="4" w:space="0" w:color="auto"/>
              <w:bottom w:val="nil"/>
              <w:right w:val="nil"/>
            </w:tcBorders>
            <w:shd w:val="clear" w:color="000000" w:fill="FFFFFF"/>
            <w:noWrap/>
            <w:vAlign w:val="bottom"/>
            <w:hideMark/>
          </w:tcPr>
          <w:p w14:paraId="2EBDF85A" w14:textId="77777777" w:rsidR="00E541EE" w:rsidRPr="006D3994" w:rsidRDefault="00E541EE" w:rsidP="00A84BB5">
            <w:pPr>
              <w:rPr>
                <w:rFonts w:ascii="Arial" w:eastAsia="Times New Roman" w:hAnsi="Arial" w:cs="Arial"/>
                <w:color w:val="000000"/>
                <w:sz w:val="20"/>
              </w:rPr>
            </w:pPr>
            <w:r w:rsidRPr="006D3994">
              <w:rPr>
                <w:rFonts w:ascii="Arial" w:eastAsia="Times New Roman" w:hAnsi="Arial" w:cs="Arial"/>
                <w:color w:val="000000"/>
                <w:sz w:val="20"/>
              </w:rPr>
              <w:t>Broj zaposlenih (stopa promjene, %)</w:t>
            </w:r>
          </w:p>
        </w:tc>
        <w:tc>
          <w:tcPr>
            <w:tcW w:w="390" w:type="pct"/>
            <w:tcBorders>
              <w:top w:val="nil"/>
              <w:left w:val="single" w:sz="4" w:space="0" w:color="auto"/>
              <w:bottom w:val="nil"/>
              <w:right w:val="single" w:sz="4" w:space="0" w:color="auto"/>
            </w:tcBorders>
            <w:shd w:val="clear" w:color="000000" w:fill="FFFFFF"/>
            <w:noWrap/>
            <w:vAlign w:val="bottom"/>
            <w:hideMark/>
          </w:tcPr>
          <w:p w14:paraId="48ED5E80" w14:textId="77777777" w:rsidR="00E541EE" w:rsidRPr="006D3994" w:rsidRDefault="00E541EE" w:rsidP="00A84BB5">
            <w:pPr>
              <w:jc w:val="center"/>
              <w:rPr>
                <w:rFonts w:ascii="Arial" w:eastAsia="Times New Roman" w:hAnsi="Arial" w:cs="Arial"/>
                <w:sz w:val="20"/>
              </w:rPr>
            </w:pPr>
            <w:r w:rsidRPr="006D3994">
              <w:rPr>
                <w:rFonts w:ascii="Arial" w:eastAsia="Times New Roman" w:hAnsi="Arial" w:cs="Arial"/>
                <w:sz w:val="20"/>
              </w:rPr>
              <w:t>2,5</w:t>
            </w:r>
          </w:p>
        </w:tc>
        <w:tc>
          <w:tcPr>
            <w:tcW w:w="446" w:type="pct"/>
            <w:tcBorders>
              <w:top w:val="nil"/>
              <w:left w:val="nil"/>
              <w:bottom w:val="nil"/>
              <w:right w:val="nil"/>
            </w:tcBorders>
            <w:shd w:val="clear" w:color="000000" w:fill="FFFFFF"/>
            <w:noWrap/>
            <w:vAlign w:val="bottom"/>
            <w:hideMark/>
          </w:tcPr>
          <w:p w14:paraId="554F2B1E" w14:textId="77777777" w:rsidR="00E541EE" w:rsidRPr="006D3994" w:rsidRDefault="00E541EE" w:rsidP="00A84BB5">
            <w:pPr>
              <w:jc w:val="center"/>
              <w:rPr>
                <w:rFonts w:ascii="Arial" w:eastAsia="Times New Roman" w:hAnsi="Arial" w:cs="Arial"/>
                <w:color w:val="000000"/>
                <w:sz w:val="20"/>
              </w:rPr>
            </w:pPr>
            <w:r w:rsidRPr="006D3994">
              <w:rPr>
                <w:rFonts w:ascii="Arial" w:eastAsia="Times New Roman" w:hAnsi="Arial" w:cs="Arial"/>
                <w:color w:val="000000"/>
                <w:sz w:val="20"/>
              </w:rPr>
              <w:t>3,3</w:t>
            </w:r>
          </w:p>
        </w:tc>
        <w:tc>
          <w:tcPr>
            <w:tcW w:w="442" w:type="pct"/>
            <w:tcBorders>
              <w:top w:val="nil"/>
              <w:left w:val="single" w:sz="4" w:space="0" w:color="auto"/>
              <w:bottom w:val="nil"/>
              <w:right w:val="single" w:sz="4" w:space="0" w:color="auto"/>
            </w:tcBorders>
            <w:shd w:val="clear" w:color="000000" w:fill="FFFFFF"/>
            <w:noWrap/>
            <w:vAlign w:val="bottom"/>
            <w:hideMark/>
          </w:tcPr>
          <w:p w14:paraId="5935F6D6" w14:textId="77777777" w:rsidR="00E541EE" w:rsidRPr="006D3994" w:rsidRDefault="00E541EE" w:rsidP="00A84BB5">
            <w:pPr>
              <w:jc w:val="center"/>
              <w:rPr>
                <w:rFonts w:ascii="Arial" w:eastAsia="Times New Roman" w:hAnsi="Arial" w:cs="Arial"/>
                <w:color w:val="FF0000"/>
                <w:sz w:val="20"/>
              </w:rPr>
            </w:pPr>
            <w:r w:rsidRPr="006D3994">
              <w:rPr>
                <w:rFonts w:ascii="Arial" w:eastAsia="Times New Roman" w:hAnsi="Arial" w:cs="Arial"/>
                <w:color w:val="FF0000"/>
                <w:sz w:val="20"/>
              </w:rPr>
              <w:t>2,7</w:t>
            </w:r>
          </w:p>
        </w:tc>
        <w:tc>
          <w:tcPr>
            <w:tcW w:w="402" w:type="pct"/>
            <w:tcBorders>
              <w:top w:val="nil"/>
              <w:left w:val="nil"/>
              <w:bottom w:val="nil"/>
              <w:right w:val="single" w:sz="4" w:space="0" w:color="auto"/>
            </w:tcBorders>
            <w:shd w:val="clear" w:color="000000" w:fill="FFFFFF"/>
            <w:noWrap/>
            <w:vAlign w:val="bottom"/>
            <w:hideMark/>
          </w:tcPr>
          <w:p w14:paraId="064B60E3" w14:textId="77777777" w:rsidR="00E541EE" w:rsidRPr="006D3994" w:rsidRDefault="00E541EE" w:rsidP="00A84BB5">
            <w:pPr>
              <w:jc w:val="center"/>
              <w:rPr>
                <w:rFonts w:ascii="Arial" w:eastAsia="Times New Roman" w:hAnsi="Arial" w:cs="Arial"/>
                <w:color w:val="FF0000"/>
                <w:sz w:val="20"/>
              </w:rPr>
            </w:pPr>
            <w:r w:rsidRPr="006D3994">
              <w:rPr>
                <w:rFonts w:ascii="Arial" w:eastAsia="Times New Roman" w:hAnsi="Arial" w:cs="Arial"/>
                <w:color w:val="FF0000"/>
                <w:sz w:val="20"/>
              </w:rPr>
              <w:t>1,8</w:t>
            </w:r>
          </w:p>
        </w:tc>
        <w:tc>
          <w:tcPr>
            <w:tcW w:w="452" w:type="pct"/>
            <w:tcBorders>
              <w:top w:val="nil"/>
              <w:left w:val="nil"/>
              <w:bottom w:val="nil"/>
              <w:right w:val="single" w:sz="4" w:space="0" w:color="auto"/>
            </w:tcBorders>
            <w:shd w:val="clear" w:color="000000" w:fill="FFFFFF"/>
            <w:noWrap/>
            <w:vAlign w:val="bottom"/>
            <w:hideMark/>
          </w:tcPr>
          <w:p w14:paraId="14D0A295" w14:textId="77777777" w:rsidR="00E541EE" w:rsidRPr="006D3994" w:rsidRDefault="00E541EE" w:rsidP="00A84BB5">
            <w:pPr>
              <w:jc w:val="center"/>
              <w:rPr>
                <w:rFonts w:ascii="Arial" w:eastAsia="Times New Roman" w:hAnsi="Arial" w:cs="Arial"/>
                <w:i/>
                <w:iCs/>
                <w:sz w:val="20"/>
              </w:rPr>
            </w:pPr>
            <w:r w:rsidRPr="006D3994">
              <w:rPr>
                <w:rFonts w:ascii="Arial" w:eastAsia="Times New Roman" w:hAnsi="Arial" w:cs="Arial"/>
                <w:i/>
                <w:iCs/>
                <w:sz w:val="20"/>
              </w:rPr>
              <w:t>-0,1</w:t>
            </w:r>
          </w:p>
        </w:tc>
        <w:tc>
          <w:tcPr>
            <w:tcW w:w="532" w:type="pct"/>
            <w:tcBorders>
              <w:top w:val="nil"/>
              <w:left w:val="nil"/>
              <w:bottom w:val="nil"/>
              <w:right w:val="single" w:sz="4" w:space="0" w:color="auto"/>
            </w:tcBorders>
            <w:shd w:val="clear" w:color="000000" w:fill="FFFFFF"/>
            <w:noWrap/>
            <w:vAlign w:val="bottom"/>
            <w:hideMark/>
          </w:tcPr>
          <w:p w14:paraId="22F9F7DC" w14:textId="77777777" w:rsidR="00E541EE" w:rsidRPr="006D3994" w:rsidRDefault="00E541EE" w:rsidP="00A84BB5">
            <w:pPr>
              <w:jc w:val="center"/>
              <w:rPr>
                <w:rFonts w:ascii="Arial" w:eastAsia="Times New Roman" w:hAnsi="Arial" w:cs="Arial"/>
                <w:i/>
                <w:iCs/>
                <w:sz w:val="20"/>
              </w:rPr>
            </w:pPr>
            <w:r w:rsidRPr="006D3994">
              <w:rPr>
                <w:rFonts w:ascii="Arial" w:eastAsia="Times New Roman" w:hAnsi="Arial" w:cs="Arial"/>
                <w:i/>
                <w:iCs/>
                <w:sz w:val="20"/>
              </w:rPr>
              <w:t>0,0</w:t>
            </w:r>
          </w:p>
        </w:tc>
      </w:tr>
      <w:tr w:rsidR="00E541EE" w:rsidRPr="00AE6ACF" w14:paraId="149178A7" w14:textId="77777777" w:rsidTr="00E541EE">
        <w:trPr>
          <w:trHeight w:val="300"/>
        </w:trPr>
        <w:tc>
          <w:tcPr>
            <w:tcW w:w="2336" w:type="pct"/>
            <w:tcBorders>
              <w:top w:val="nil"/>
              <w:left w:val="single" w:sz="4" w:space="0" w:color="auto"/>
              <w:bottom w:val="nil"/>
              <w:right w:val="nil"/>
            </w:tcBorders>
            <w:shd w:val="clear" w:color="000000" w:fill="FFFFFF"/>
            <w:noWrap/>
            <w:vAlign w:val="bottom"/>
            <w:hideMark/>
          </w:tcPr>
          <w:p w14:paraId="10EBF81A" w14:textId="77777777" w:rsidR="00E541EE" w:rsidRPr="006D3994" w:rsidRDefault="00E541EE" w:rsidP="00A84BB5">
            <w:pPr>
              <w:rPr>
                <w:rFonts w:ascii="Arial" w:eastAsia="Times New Roman" w:hAnsi="Arial" w:cs="Arial"/>
                <w:color w:val="000000"/>
                <w:sz w:val="20"/>
              </w:rPr>
            </w:pPr>
            <w:r w:rsidRPr="006D3994">
              <w:rPr>
                <w:rFonts w:ascii="Arial" w:eastAsia="Times New Roman" w:hAnsi="Arial" w:cs="Arial"/>
                <w:color w:val="000000"/>
                <w:sz w:val="20"/>
              </w:rPr>
              <w:t>Nominalne bruto plaće (stopa promjene, %)</w:t>
            </w:r>
          </w:p>
        </w:tc>
        <w:tc>
          <w:tcPr>
            <w:tcW w:w="390" w:type="pct"/>
            <w:tcBorders>
              <w:top w:val="nil"/>
              <w:left w:val="single" w:sz="4" w:space="0" w:color="auto"/>
              <w:bottom w:val="nil"/>
              <w:right w:val="single" w:sz="4" w:space="0" w:color="auto"/>
            </w:tcBorders>
            <w:shd w:val="clear" w:color="000000" w:fill="FFFFFF"/>
            <w:noWrap/>
            <w:vAlign w:val="bottom"/>
            <w:hideMark/>
          </w:tcPr>
          <w:p w14:paraId="4799C7D9" w14:textId="77777777" w:rsidR="00E541EE" w:rsidRPr="006D3994" w:rsidRDefault="00E541EE" w:rsidP="00A84BB5">
            <w:pPr>
              <w:jc w:val="center"/>
              <w:rPr>
                <w:rFonts w:ascii="Arial" w:eastAsia="Times New Roman" w:hAnsi="Arial" w:cs="Arial"/>
                <w:sz w:val="20"/>
              </w:rPr>
            </w:pPr>
            <w:r w:rsidRPr="006D3994">
              <w:rPr>
                <w:rFonts w:ascii="Arial" w:eastAsia="Times New Roman" w:hAnsi="Arial" w:cs="Arial"/>
                <w:sz w:val="20"/>
              </w:rPr>
              <w:t>14,7</w:t>
            </w:r>
          </w:p>
        </w:tc>
        <w:tc>
          <w:tcPr>
            <w:tcW w:w="446" w:type="pct"/>
            <w:tcBorders>
              <w:top w:val="nil"/>
              <w:left w:val="nil"/>
              <w:bottom w:val="nil"/>
              <w:right w:val="nil"/>
            </w:tcBorders>
            <w:shd w:val="clear" w:color="000000" w:fill="FFFFFF"/>
            <w:noWrap/>
            <w:vAlign w:val="bottom"/>
            <w:hideMark/>
          </w:tcPr>
          <w:p w14:paraId="7194B7D4" w14:textId="77777777" w:rsidR="00E541EE" w:rsidRPr="006D3994" w:rsidRDefault="00E541EE" w:rsidP="00A84BB5">
            <w:pPr>
              <w:jc w:val="center"/>
              <w:rPr>
                <w:rFonts w:ascii="Arial" w:eastAsia="Times New Roman" w:hAnsi="Arial" w:cs="Arial"/>
                <w:color w:val="000000"/>
                <w:sz w:val="20"/>
              </w:rPr>
            </w:pPr>
            <w:r w:rsidRPr="006D3994">
              <w:rPr>
                <w:rFonts w:ascii="Arial" w:eastAsia="Times New Roman" w:hAnsi="Arial" w:cs="Arial"/>
                <w:color w:val="000000"/>
                <w:sz w:val="20"/>
              </w:rPr>
              <w:t>15,0</w:t>
            </w:r>
          </w:p>
        </w:tc>
        <w:tc>
          <w:tcPr>
            <w:tcW w:w="442" w:type="pct"/>
            <w:tcBorders>
              <w:top w:val="nil"/>
              <w:left w:val="single" w:sz="4" w:space="0" w:color="auto"/>
              <w:bottom w:val="nil"/>
              <w:right w:val="single" w:sz="4" w:space="0" w:color="auto"/>
            </w:tcBorders>
            <w:shd w:val="clear" w:color="000000" w:fill="FFFFFF"/>
            <w:noWrap/>
            <w:vAlign w:val="bottom"/>
            <w:hideMark/>
          </w:tcPr>
          <w:p w14:paraId="715D44B6" w14:textId="77777777" w:rsidR="00E541EE" w:rsidRPr="006D3994" w:rsidRDefault="00E541EE" w:rsidP="00A84BB5">
            <w:pPr>
              <w:jc w:val="center"/>
              <w:rPr>
                <w:rFonts w:ascii="Arial" w:eastAsia="Times New Roman" w:hAnsi="Arial" w:cs="Arial"/>
                <w:color w:val="FF0000"/>
                <w:sz w:val="20"/>
              </w:rPr>
            </w:pPr>
            <w:r w:rsidRPr="006D3994">
              <w:rPr>
                <w:rFonts w:ascii="Arial" w:eastAsia="Times New Roman" w:hAnsi="Arial" w:cs="Arial"/>
                <w:color w:val="FF0000"/>
                <w:sz w:val="20"/>
              </w:rPr>
              <w:t>9,7</w:t>
            </w:r>
          </w:p>
        </w:tc>
        <w:tc>
          <w:tcPr>
            <w:tcW w:w="402" w:type="pct"/>
            <w:tcBorders>
              <w:top w:val="nil"/>
              <w:left w:val="nil"/>
              <w:bottom w:val="nil"/>
              <w:right w:val="single" w:sz="4" w:space="0" w:color="auto"/>
            </w:tcBorders>
            <w:shd w:val="clear" w:color="000000" w:fill="FFFFFF"/>
            <w:noWrap/>
            <w:vAlign w:val="bottom"/>
            <w:hideMark/>
          </w:tcPr>
          <w:p w14:paraId="2221EE55" w14:textId="77777777" w:rsidR="00E541EE" w:rsidRPr="006D3994" w:rsidRDefault="00E541EE" w:rsidP="00A84BB5">
            <w:pPr>
              <w:jc w:val="center"/>
              <w:rPr>
                <w:rFonts w:ascii="Arial" w:eastAsia="Times New Roman" w:hAnsi="Arial" w:cs="Arial"/>
                <w:color w:val="FF0000"/>
                <w:sz w:val="20"/>
              </w:rPr>
            </w:pPr>
            <w:r w:rsidRPr="006D3994">
              <w:rPr>
                <w:rFonts w:ascii="Arial" w:eastAsia="Times New Roman" w:hAnsi="Arial" w:cs="Arial"/>
                <w:color w:val="FF0000"/>
                <w:sz w:val="20"/>
              </w:rPr>
              <w:t>5,7</w:t>
            </w:r>
          </w:p>
        </w:tc>
        <w:tc>
          <w:tcPr>
            <w:tcW w:w="452" w:type="pct"/>
            <w:tcBorders>
              <w:top w:val="nil"/>
              <w:left w:val="nil"/>
              <w:bottom w:val="nil"/>
              <w:right w:val="single" w:sz="4" w:space="0" w:color="auto"/>
            </w:tcBorders>
            <w:shd w:val="clear" w:color="000000" w:fill="FFFFFF"/>
            <w:noWrap/>
            <w:vAlign w:val="bottom"/>
            <w:hideMark/>
          </w:tcPr>
          <w:p w14:paraId="0AC1023B" w14:textId="77777777" w:rsidR="00E541EE" w:rsidRPr="006D3994" w:rsidRDefault="00E541EE" w:rsidP="00A84BB5">
            <w:pPr>
              <w:jc w:val="center"/>
              <w:rPr>
                <w:rFonts w:ascii="Arial" w:eastAsia="Times New Roman" w:hAnsi="Arial" w:cs="Arial"/>
                <w:i/>
                <w:iCs/>
                <w:sz w:val="20"/>
              </w:rPr>
            </w:pPr>
            <w:r w:rsidRPr="006D3994">
              <w:rPr>
                <w:rFonts w:ascii="Arial" w:eastAsia="Times New Roman" w:hAnsi="Arial" w:cs="Arial"/>
                <w:i/>
                <w:iCs/>
                <w:sz w:val="20"/>
              </w:rPr>
              <w:t>0,2</w:t>
            </w:r>
          </w:p>
        </w:tc>
        <w:tc>
          <w:tcPr>
            <w:tcW w:w="532" w:type="pct"/>
            <w:tcBorders>
              <w:top w:val="nil"/>
              <w:left w:val="nil"/>
              <w:bottom w:val="nil"/>
              <w:right w:val="single" w:sz="4" w:space="0" w:color="auto"/>
            </w:tcBorders>
            <w:shd w:val="clear" w:color="000000" w:fill="FFFFFF"/>
            <w:noWrap/>
            <w:vAlign w:val="bottom"/>
            <w:hideMark/>
          </w:tcPr>
          <w:p w14:paraId="297F529F" w14:textId="77777777" w:rsidR="00E541EE" w:rsidRPr="006D3994" w:rsidRDefault="00E541EE" w:rsidP="00A84BB5">
            <w:pPr>
              <w:jc w:val="center"/>
              <w:rPr>
                <w:rFonts w:ascii="Arial" w:eastAsia="Times New Roman" w:hAnsi="Arial" w:cs="Arial"/>
                <w:i/>
                <w:iCs/>
                <w:sz w:val="20"/>
              </w:rPr>
            </w:pPr>
            <w:r w:rsidRPr="006D3994">
              <w:rPr>
                <w:rFonts w:ascii="Arial" w:eastAsia="Times New Roman" w:hAnsi="Arial" w:cs="Arial"/>
                <w:i/>
                <w:iCs/>
                <w:sz w:val="20"/>
              </w:rPr>
              <w:t>0,0</w:t>
            </w:r>
          </w:p>
        </w:tc>
      </w:tr>
      <w:tr w:rsidR="00E541EE" w:rsidRPr="00AE6ACF" w14:paraId="2A0F7D99" w14:textId="77777777" w:rsidTr="00E541EE">
        <w:trPr>
          <w:trHeight w:val="300"/>
        </w:trPr>
        <w:tc>
          <w:tcPr>
            <w:tcW w:w="2336" w:type="pct"/>
            <w:tcBorders>
              <w:top w:val="nil"/>
              <w:left w:val="single" w:sz="4" w:space="0" w:color="auto"/>
              <w:bottom w:val="single" w:sz="4" w:space="0" w:color="auto"/>
              <w:right w:val="nil"/>
            </w:tcBorders>
            <w:shd w:val="clear" w:color="000000" w:fill="FFFFFF"/>
            <w:noWrap/>
            <w:vAlign w:val="bottom"/>
            <w:hideMark/>
          </w:tcPr>
          <w:p w14:paraId="2BCE5ECF" w14:textId="77777777" w:rsidR="00E541EE" w:rsidRPr="006D3994" w:rsidRDefault="00E541EE" w:rsidP="00A84BB5">
            <w:pPr>
              <w:rPr>
                <w:rFonts w:ascii="Arial" w:eastAsia="Times New Roman" w:hAnsi="Arial" w:cs="Arial"/>
                <w:color w:val="000000"/>
                <w:sz w:val="20"/>
              </w:rPr>
            </w:pPr>
            <w:r w:rsidRPr="006D3994">
              <w:rPr>
                <w:rFonts w:ascii="Arial" w:eastAsia="Times New Roman" w:hAnsi="Arial" w:cs="Arial"/>
                <w:color w:val="000000"/>
                <w:sz w:val="20"/>
              </w:rPr>
              <w:t>Realne bruto plaće (stopa promjene, %)</w:t>
            </w:r>
          </w:p>
        </w:tc>
        <w:tc>
          <w:tcPr>
            <w:tcW w:w="390" w:type="pct"/>
            <w:tcBorders>
              <w:top w:val="nil"/>
              <w:left w:val="single" w:sz="4" w:space="0" w:color="auto"/>
              <w:bottom w:val="single" w:sz="4" w:space="0" w:color="auto"/>
              <w:right w:val="single" w:sz="4" w:space="0" w:color="auto"/>
            </w:tcBorders>
            <w:shd w:val="clear" w:color="000000" w:fill="FFFFFF"/>
            <w:noWrap/>
            <w:vAlign w:val="bottom"/>
            <w:hideMark/>
          </w:tcPr>
          <w:p w14:paraId="2717F142" w14:textId="77777777" w:rsidR="00E541EE" w:rsidRPr="006D3994" w:rsidRDefault="00E541EE" w:rsidP="00A84BB5">
            <w:pPr>
              <w:jc w:val="center"/>
              <w:rPr>
                <w:rFonts w:ascii="Arial" w:eastAsia="Times New Roman" w:hAnsi="Arial" w:cs="Arial"/>
                <w:sz w:val="20"/>
              </w:rPr>
            </w:pPr>
            <w:r w:rsidRPr="006D3994">
              <w:rPr>
                <w:rFonts w:ascii="Arial" w:eastAsia="Times New Roman" w:hAnsi="Arial" w:cs="Arial"/>
                <w:sz w:val="20"/>
              </w:rPr>
              <w:t>6,2</w:t>
            </w:r>
          </w:p>
        </w:tc>
        <w:tc>
          <w:tcPr>
            <w:tcW w:w="446" w:type="pct"/>
            <w:tcBorders>
              <w:top w:val="nil"/>
              <w:left w:val="nil"/>
              <w:bottom w:val="single" w:sz="4" w:space="0" w:color="auto"/>
              <w:right w:val="nil"/>
            </w:tcBorders>
            <w:shd w:val="clear" w:color="000000" w:fill="FFFFFF"/>
            <w:noWrap/>
            <w:vAlign w:val="bottom"/>
            <w:hideMark/>
          </w:tcPr>
          <w:p w14:paraId="5C8F4472" w14:textId="77777777" w:rsidR="00E541EE" w:rsidRPr="006D3994" w:rsidRDefault="00E541EE" w:rsidP="00A84BB5">
            <w:pPr>
              <w:jc w:val="center"/>
              <w:rPr>
                <w:rFonts w:ascii="Arial" w:eastAsia="Times New Roman" w:hAnsi="Arial" w:cs="Arial"/>
                <w:color w:val="000000"/>
                <w:sz w:val="20"/>
              </w:rPr>
            </w:pPr>
            <w:r w:rsidRPr="006D3994">
              <w:rPr>
                <w:rFonts w:ascii="Arial" w:eastAsia="Times New Roman" w:hAnsi="Arial" w:cs="Arial"/>
                <w:color w:val="000000"/>
                <w:sz w:val="20"/>
              </w:rPr>
              <w:t>11,7</w:t>
            </w:r>
          </w:p>
        </w:tc>
        <w:tc>
          <w:tcPr>
            <w:tcW w:w="442" w:type="pct"/>
            <w:tcBorders>
              <w:top w:val="nil"/>
              <w:left w:val="single" w:sz="4" w:space="0" w:color="auto"/>
              <w:bottom w:val="single" w:sz="4" w:space="0" w:color="auto"/>
              <w:right w:val="single" w:sz="4" w:space="0" w:color="auto"/>
            </w:tcBorders>
            <w:shd w:val="clear" w:color="000000" w:fill="FFFFFF"/>
            <w:noWrap/>
            <w:vAlign w:val="bottom"/>
            <w:hideMark/>
          </w:tcPr>
          <w:p w14:paraId="7F41B096" w14:textId="77777777" w:rsidR="00E541EE" w:rsidRPr="006D3994" w:rsidRDefault="00E541EE" w:rsidP="00A84BB5">
            <w:pPr>
              <w:jc w:val="center"/>
              <w:rPr>
                <w:rFonts w:ascii="Arial" w:eastAsia="Times New Roman" w:hAnsi="Arial" w:cs="Arial"/>
                <w:color w:val="FF0000"/>
                <w:sz w:val="20"/>
              </w:rPr>
            </w:pPr>
            <w:r w:rsidRPr="006D3994">
              <w:rPr>
                <w:rFonts w:ascii="Arial" w:eastAsia="Times New Roman" w:hAnsi="Arial" w:cs="Arial"/>
                <w:color w:val="FF0000"/>
                <w:sz w:val="20"/>
              </w:rPr>
              <w:t>5,9</w:t>
            </w:r>
          </w:p>
        </w:tc>
        <w:tc>
          <w:tcPr>
            <w:tcW w:w="402" w:type="pct"/>
            <w:tcBorders>
              <w:top w:val="nil"/>
              <w:left w:val="nil"/>
              <w:bottom w:val="single" w:sz="4" w:space="0" w:color="auto"/>
              <w:right w:val="single" w:sz="4" w:space="0" w:color="auto"/>
            </w:tcBorders>
            <w:shd w:val="clear" w:color="000000" w:fill="FFFFFF"/>
            <w:noWrap/>
            <w:vAlign w:val="bottom"/>
            <w:hideMark/>
          </w:tcPr>
          <w:p w14:paraId="16206F45" w14:textId="77777777" w:rsidR="00E541EE" w:rsidRPr="006D3994" w:rsidRDefault="00E541EE" w:rsidP="00A84BB5">
            <w:pPr>
              <w:jc w:val="center"/>
              <w:rPr>
                <w:rFonts w:ascii="Arial" w:eastAsia="Times New Roman" w:hAnsi="Arial" w:cs="Arial"/>
                <w:color w:val="FF0000"/>
                <w:sz w:val="20"/>
              </w:rPr>
            </w:pPr>
            <w:r w:rsidRPr="006D3994">
              <w:rPr>
                <w:rFonts w:ascii="Arial" w:eastAsia="Times New Roman" w:hAnsi="Arial" w:cs="Arial"/>
                <w:color w:val="FF0000"/>
                <w:sz w:val="20"/>
              </w:rPr>
              <w:t>3,0</w:t>
            </w:r>
          </w:p>
        </w:tc>
        <w:tc>
          <w:tcPr>
            <w:tcW w:w="452" w:type="pct"/>
            <w:tcBorders>
              <w:top w:val="nil"/>
              <w:left w:val="nil"/>
              <w:bottom w:val="single" w:sz="4" w:space="0" w:color="auto"/>
              <w:right w:val="single" w:sz="4" w:space="0" w:color="auto"/>
            </w:tcBorders>
            <w:shd w:val="clear" w:color="000000" w:fill="FFFFFF"/>
            <w:noWrap/>
            <w:vAlign w:val="bottom"/>
            <w:hideMark/>
          </w:tcPr>
          <w:p w14:paraId="75595872" w14:textId="77777777" w:rsidR="00E541EE" w:rsidRPr="006D3994" w:rsidRDefault="00E541EE" w:rsidP="00A84BB5">
            <w:pPr>
              <w:jc w:val="center"/>
              <w:rPr>
                <w:rFonts w:ascii="Arial" w:eastAsia="Times New Roman" w:hAnsi="Arial" w:cs="Arial"/>
                <w:i/>
                <w:iCs/>
                <w:sz w:val="20"/>
              </w:rPr>
            </w:pPr>
            <w:r w:rsidRPr="006D3994">
              <w:rPr>
                <w:rFonts w:ascii="Arial" w:eastAsia="Times New Roman" w:hAnsi="Arial" w:cs="Arial"/>
                <w:i/>
                <w:iCs/>
                <w:sz w:val="20"/>
              </w:rPr>
              <w:t>-0,5</w:t>
            </w:r>
          </w:p>
        </w:tc>
        <w:tc>
          <w:tcPr>
            <w:tcW w:w="532" w:type="pct"/>
            <w:tcBorders>
              <w:top w:val="nil"/>
              <w:left w:val="nil"/>
              <w:bottom w:val="single" w:sz="4" w:space="0" w:color="auto"/>
              <w:right w:val="single" w:sz="4" w:space="0" w:color="auto"/>
            </w:tcBorders>
            <w:shd w:val="clear" w:color="000000" w:fill="FFFFFF"/>
            <w:noWrap/>
            <w:vAlign w:val="bottom"/>
            <w:hideMark/>
          </w:tcPr>
          <w:p w14:paraId="7FA2F7F5" w14:textId="77777777" w:rsidR="00E541EE" w:rsidRPr="006D3994" w:rsidRDefault="00E541EE" w:rsidP="00A84BB5">
            <w:pPr>
              <w:jc w:val="center"/>
              <w:rPr>
                <w:rFonts w:ascii="Arial" w:eastAsia="Times New Roman" w:hAnsi="Arial" w:cs="Arial"/>
                <w:i/>
                <w:iCs/>
                <w:sz w:val="20"/>
              </w:rPr>
            </w:pPr>
            <w:r w:rsidRPr="006D3994">
              <w:rPr>
                <w:rFonts w:ascii="Arial" w:eastAsia="Times New Roman" w:hAnsi="Arial" w:cs="Arial"/>
                <w:i/>
                <w:iCs/>
                <w:sz w:val="20"/>
              </w:rPr>
              <w:t>-0,4</w:t>
            </w:r>
          </w:p>
        </w:tc>
      </w:tr>
      <w:tr w:rsidR="00E541EE" w:rsidRPr="00AE6ACF" w14:paraId="3DE90D17" w14:textId="77777777" w:rsidTr="00E541EE">
        <w:trPr>
          <w:trHeight w:val="597"/>
        </w:trPr>
        <w:tc>
          <w:tcPr>
            <w:tcW w:w="5000" w:type="pct"/>
            <w:gridSpan w:val="7"/>
            <w:tcBorders>
              <w:top w:val="nil"/>
              <w:left w:val="nil"/>
              <w:bottom w:val="nil"/>
              <w:right w:val="nil"/>
            </w:tcBorders>
            <w:noWrap/>
            <w:vAlign w:val="center"/>
            <w:hideMark/>
          </w:tcPr>
          <w:p w14:paraId="2F521958" w14:textId="77777777" w:rsidR="00E541EE" w:rsidRDefault="00E541EE" w:rsidP="00A84BB5">
            <w:pPr>
              <w:rPr>
                <w:rFonts w:ascii="Arial" w:eastAsia="Times New Roman" w:hAnsi="Arial" w:cs="Arial"/>
                <w:color w:val="000000"/>
                <w:sz w:val="16"/>
                <w:szCs w:val="16"/>
              </w:rPr>
            </w:pPr>
          </w:p>
          <w:p w14:paraId="7BA318BC" w14:textId="77777777" w:rsidR="00E541EE" w:rsidRDefault="00E541EE" w:rsidP="00A84BB5">
            <w:pPr>
              <w:rPr>
                <w:rFonts w:ascii="Arial" w:eastAsia="Times New Roman" w:hAnsi="Arial" w:cs="Arial"/>
                <w:color w:val="000000"/>
                <w:sz w:val="16"/>
                <w:szCs w:val="16"/>
              </w:rPr>
            </w:pPr>
            <w:r w:rsidRPr="00AE6ACF">
              <w:rPr>
                <w:rFonts w:ascii="Arial" w:eastAsia="Times New Roman" w:hAnsi="Arial" w:cs="Arial"/>
                <w:color w:val="000000"/>
                <w:sz w:val="16"/>
                <w:szCs w:val="16"/>
              </w:rPr>
              <w:t>Napomena: Vanjske i tehničke pretpostavke ESB-a zaključene su 18. kolovoza 2025., a makroekonomske projekcije za Hrvatsku 4. rujna 2025.</w:t>
            </w:r>
            <w:r>
              <w:rPr>
                <w:rFonts w:ascii="Arial" w:eastAsia="Times New Roman" w:hAnsi="Arial" w:cs="Arial"/>
                <w:color w:val="000000"/>
                <w:sz w:val="16"/>
                <w:szCs w:val="16"/>
              </w:rPr>
              <w:t xml:space="preserve"> </w:t>
            </w:r>
          </w:p>
          <w:p w14:paraId="3AF8E759" w14:textId="77777777" w:rsidR="00E541EE" w:rsidRDefault="00E541EE" w:rsidP="00A84BB5">
            <w:pPr>
              <w:rPr>
                <w:rFonts w:ascii="Arial" w:eastAsia="Times New Roman" w:hAnsi="Arial" w:cs="Arial"/>
                <w:color w:val="000000"/>
                <w:sz w:val="16"/>
                <w:szCs w:val="16"/>
              </w:rPr>
            </w:pPr>
          </w:p>
          <w:p w14:paraId="79D00F54" w14:textId="77777777" w:rsidR="00E541EE" w:rsidRPr="00AE6ACF" w:rsidRDefault="00E541EE" w:rsidP="00A84BB5">
            <w:pPr>
              <w:rPr>
                <w:rFonts w:ascii="Arial" w:eastAsia="Times New Roman" w:hAnsi="Arial" w:cs="Arial"/>
                <w:color w:val="000000"/>
                <w:sz w:val="16"/>
                <w:szCs w:val="16"/>
              </w:rPr>
            </w:pPr>
            <w:r>
              <w:rPr>
                <w:rFonts w:ascii="Arial" w:eastAsia="Times New Roman" w:hAnsi="Arial" w:cs="Arial"/>
                <w:color w:val="000000"/>
                <w:sz w:val="16"/>
                <w:szCs w:val="16"/>
              </w:rPr>
              <w:t xml:space="preserve">Izvor: Makroekonomske projekcije za Hrvatsku, rujan 2025. </w:t>
            </w:r>
          </w:p>
        </w:tc>
      </w:tr>
    </w:tbl>
    <w:p w14:paraId="30A803B2" w14:textId="77777777" w:rsidR="00E541EE" w:rsidRDefault="00E541EE" w:rsidP="00E541EE">
      <w:pPr>
        <w:tabs>
          <w:tab w:val="left" w:pos="709"/>
        </w:tabs>
        <w:autoSpaceDE w:val="0"/>
        <w:autoSpaceDN w:val="0"/>
        <w:adjustRightInd w:val="0"/>
        <w:jc w:val="both"/>
        <w:rPr>
          <w:rFonts w:ascii="Arial" w:hAnsi="Arial" w:cs="Arial"/>
          <w:noProof/>
          <w:sz w:val="24"/>
          <w:szCs w:val="24"/>
        </w:rPr>
      </w:pPr>
      <w:r w:rsidRPr="005C758D">
        <w:rPr>
          <w:rFonts w:ascii="Arial" w:hAnsi="Arial" w:cs="Arial"/>
          <w:noProof/>
          <w:sz w:val="24"/>
          <w:szCs w:val="24"/>
        </w:rPr>
        <w:tab/>
      </w:r>
    </w:p>
    <w:p w14:paraId="38A2A36C" w14:textId="77777777" w:rsidR="00E541EE" w:rsidRDefault="00E541EE" w:rsidP="00E541EE">
      <w:pPr>
        <w:tabs>
          <w:tab w:val="left" w:pos="709"/>
        </w:tabs>
        <w:autoSpaceDE w:val="0"/>
        <w:autoSpaceDN w:val="0"/>
        <w:adjustRightInd w:val="0"/>
        <w:jc w:val="both"/>
        <w:rPr>
          <w:rFonts w:ascii="Arial" w:eastAsia="Times New Roman" w:hAnsi="Arial" w:cs="Arial"/>
          <w:color w:val="000000"/>
          <w:sz w:val="24"/>
          <w:szCs w:val="24"/>
        </w:rPr>
      </w:pPr>
      <w:r>
        <w:rPr>
          <w:rFonts w:ascii="Arial" w:hAnsi="Arial" w:cs="Arial"/>
          <w:noProof/>
          <w:sz w:val="24"/>
          <w:szCs w:val="24"/>
        </w:rPr>
        <w:tab/>
      </w:r>
      <w:r w:rsidRPr="00C64884">
        <w:rPr>
          <w:rFonts w:ascii="Arial" w:hAnsi="Arial" w:cs="Arial"/>
          <w:noProof/>
          <w:sz w:val="24"/>
          <w:szCs w:val="24"/>
        </w:rPr>
        <w:t>Domaći je turizam također izložen negativnim rizicima, a osim prilagodbe klimatskim i drugim izazovima i jačanje njegove cjenovne konkurentnosti bit će važan preduvjet za nastavak rasta prihoda. Korištenje sredstava iz fondova EU-a moglo bi premašiti tekuća očekivanja, no prisutan je i rizik da se projekti financirani iz tih fondova neće uspjeti realizirati u predviđenim rokovima.</w:t>
      </w:r>
    </w:p>
    <w:p w14:paraId="52644551" w14:textId="77777777" w:rsidR="00E541EE" w:rsidRPr="00AB390A" w:rsidRDefault="00E541EE" w:rsidP="00E541EE">
      <w:pPr>
        <w:shd w:val="clear" w:color="auto" w:fill="FFFFFF"/>
        <w:ind w:firstLine="709"/>
        <w:jc w:val="both"/>
        <w:rPr>
          <w:rFonts w:ascii="Arial" w:eastAsia="Times New Roman" w:hAnsi="Arial" w:cs="Arial"/>
          <w:color w:val="000000"/>
          <w:sz w:val="24"/>
          <w:szCs w:val="24"/>
        </w:rPr>
      </w:pPr>
    </w:p>
    <w:p w14:paraId="6BC42185" w14:textId="77777777" w:rsidR="00E541EE" w:rsidRPr="00B774A6" w:rsidRDefault="00E541EE" w:rsidP="00E541EE">
      <w:pPr>
        <w:ind w:firstLine="708"/>
        <w:jc w:val="both"/>
        <w:rPr>
          <w:rFonts w:ascii="Arial" w:hAnsi="Arial" w:cs="Arial"/>
          <w:color w:val="000000"/>
          <w:spacing w:val="3"/>
          <w:sz w:val="24"/>
          <w:szCs w:val="24"/>
        </w:rPr>
      </w:pPr>
      <w:r w:rsidRPr="00B774A6">
        <w:rPr>
          <w:rFonts w:ascii="Arial" w:hAnsi="Arial" w:cs="Arial"/>
          <w:sz w:val="24"/>
          <w:szCs w:val="24"/>
        </w:rPr>
        <w:t>Prijedlog Proračuna Grada Rovinja-Rovigno za 202</w:t>
      </w:r>
      <w:r>
        <w:rPr>
          <w:rFonts w:ascii="Arial" w:hAnsi="Arial" w:cs="Arial"/>
          <w:sz w:val="24"/>
          <w:szCs w:val="24"/>
        </w:rPr>
        <w:t>6</w:t>
      </w:r>
      <w:r w:rsidRPr="00B774A6">
        <w:rPr>
          <w:rFonts w:ascii="Arial" w:hAnsi="Arial" w:cs="Arial"/>
          <w:sz w:val="24"/>
          <w:szCs w:val="24"/>
        </w:rPr>
        <w:t>. i projekcije za 202</w:t>
      </w:r>
      <w:r>
        <w:rPr>
          <w:rFonts w:ascii="Arial" w:hAnsi="Arial" w:cs="Arial"/>
          <w:sz w:val="24"/>
          <w:szCs w:val="24"/>
        </w:rPr>
        <w:t>7</w:t>
      </w:r>
      <w:r w:rsidRPr="00B774A6">
        <w:rPr>
          <w:rFonts w:ascii="Arial" w:hAnsi="Arial" w:cs="Arial"/>
          <w:sz w:val="24"/>
          <w:szCs w:val="24"/>
        </w:rPr>
        <w:t>. i 202</w:t>
      </w:r>
      <w:r>
        <w:rPr>
          <w:rFonts w:ascii="Arial" w:hAnsi="Arial" w:cs="Arial"/>
          <w:sz w:val="24"/>
          <w:szCs w:val="24"/>
        </w:rPr>
        <w:t>8</w:t>
      </w:r>
      <w:r w:rsidRPr="00B774A6">
        <w:rPr>
          <w:rFonts w:ascii="Arial" w:hAnsi="Arial" w:cs="Arial"/>
          <w:sz w:val="24"/>
          <w:szCs w:val="24"/>
        </w:rPr>
        <w:t>. godinu izrađen je prema metodologiji propisanoj Zakonom o proračunu (</w:t>
      </w:r>
      <w:r>
        <w:rPr>
          <w:rFonts w:ascii="Arial" w:hAnsi="Arial" w:cs="Arial"/>
          <w:sz w:val="24"/>
          <w:szCs w:val="24"/>
        </w:rPr>
        <w:t>„</w:t>
      </w:r>
      <w:r w:rsidRPr="00B774A6">
        <w:rPr>
          <w:rFonts w:ascii="Arial" w:eastAsia="Arial" w:hAnsi="Arial" w:cs="Arial"/>
          <w:sz w:val="24"/>
          <w:szCs w:val="24"/>
        </w:rPr>
        <w:t>Narodne novine</w:t>
      </w:r>
      <w:r>
        <w:rPr>
          <w:rFonts w:ascii="Arial" w:eastAsia="Arial" w:hAnsi="Arial" w:cs="Arial"/>
          <w:sz w:val="24"/>
          <w:szCs w:val="24"/>
        </w:rPr>
        <w:t>“</w:t>
      </w:r>
      <w:r w:rsidRPr="00B774A6">
        <w:rPr>
          <w:rFonts w:ascii="Arial" w:eastAsia="Arial" w:hAnsi="Arial" w:cs="Arial"/>
          <w:sz w:val="24"/>
          <w:szCs w:val="24"/>
        </w:rPr>
        <w:t xml:space="preserve">, </w:t>
      </w:r>
      <w:r w:rsidRPr="00B774A6">
        <w:rPr>
          <w:rFonts w:ascii="Arial" w:hAnsi="Arial" w:cs="Arial"/>
          <w:sz w:val="24"/>
          <w:szCs w:val="24"/>
        </w:rPr>
        <w:t>br. 144/21</w:t>
      </w:r>
      <w:r>
        <w:rPr>
          <w:rFonts w:ascii="Arial" w:hAnsi="Arial" w:cs="Arial"/>
          <w:sz w:val="24"/>
          <w:szCs w:val="24"/>
        </w:rPr>
        <w:t>.</w:t>
      </w:r>
      <w:r w:rsidRPr="00B774A6">
        <w:rPr>
          <w:rFonts w:ascii="Arial" w:hAnsi="Arial" w:cs="Arial"/>
          <w:sz w:val="24"/>
          <w:szCs w:val="24"/>
        </w:rPr>
        <w:t>), Pravilnikom o proračunskim klasifikacijama (</w:t>
      </w:r>
      <w:r>
        <w:rPr>
          <w:rFonts w:ascii="Arial" w:hAnsi="Arial" w:cs="Arial"/>
          <w:sz w:val="24"/>
          <w:szCs w:val="24"/>
        </w:rPr>
        <w:t>„</w:t>
      </w:r>
      <w:r w:rsidRPr="00B774A6">
        <w:rPr>
          <w:rFonts w:ascii="Arial" w:eastAsia="Arial" w:hAnsi="Arial" w:cs="Arial"/>
          <w:sz w:val="24"/>
          <w:szCs w:val="24"/>
        </w:rPr>
        <w:t>Narodne novine</w:t>
      </w:r>
      <w:r w:rsidR="00B62CCF">
        <w:rPr>
          <w:rFonts w:ascii="Arial" w:eastAsia="Arial" w:hAnsi="Arial" w:cs="Arial"/>
          <w:sz w:val="24"/>
          <w:szCs w:val="24"/>
        </w:rPr>
        <w:t>“</w:t>
      </w:r>
      <w:r w:rsidRPr="00B774A6">
        <w:rPr>
          <w:rFonts w:ascii="Arial" w:eastAsia="Arial" w:hAnsi="Arial" w:cs="Arial"/>
          <w:sz w:val="24"/>
          <w:szCs w:val="24"/>
        </w:rPr>
        <w:t>, br. 4/24</w:t>
      </w:r>
      <w:r>
        <w:rPr>
          <w:rFonts w:ascii="Arial" w:eastAsia="Arial" w:hAnsi="Arial" w:cs="Arial"/>
          <w:sz w:val="24"/>
          <w:szCs w:val="24"/>
        </w:rPr>
        <w:t>.</w:t>
      </w:r>
      <w:r w:rsidRPr="00B774A6">
        <w:rPr>
          <w:rFonts w:ascii="Arial" w:eastAsia="Arial" w:hAnsi="Arial" w:cs="Arial"/>
          <w:sz w:val="24"/>
          <w:szCs w:val="24"/>
        </w:rPr>
        <w:t xml:space="preserve"> i 122/25</w:t>
      </w:r>
      <w:r>
        <w:rPr>
          <w:rFonts w:ascii="Arial" w:eastAsia="Arial" w:hAnsi="Arial" w:cs="Arial"/>
          <w:sz w:val="24"/>
          <w:szCs w:val="24"/>
        </w:rPr>
        <w:t>.</w:t>
      </w:r>
      <w:r w:rsidRPr="00B774A6">
        <w:rPr>
          <w:rFonts w:ascii="Arial" w:hAnsi="Arial" w:cs="Arial"/>
          <w:sz w:val="24"/>
          <w:szCs w:val="24"/>
        </w:rPr>
        <w:t>), Pravilnikom o proračunskom računovodstvu i Računskom planu (</w:t>
      </w:r>
      <w:r>
        <w:rPr>
          <w:rFonts w:ascii="Arial" w:hAnsi="Arial" w:cs="Arial"/>
          <w:sz w:val="24"/>
          <w:szCs w:val="24"/>
        </w:rPr>
        <w:t>„</w:t>
      </w:r>
      <w:r w:rsidRPr="00B774A6">
        <w:rPr>
          <w:rFonts w:ascii="Arial" w:eastAsia="Arial" w:hAnsi="Arial" w:cs="Arial"/>
          <w:sz w:val="24"/>
          <w:szCs w:val="24"/>
        </w:rPr>
        <w:t xml:space="preserve">Narodne novine“ </w:t>
      </w:r>
      <w:r w:rsidRPr="00B774A6">
        <w:rPr>
          <w:rFonts w:ascii="Arial" w:hAnsi="Arial" w:cs="Arial"/>
          <w:sz w:val="24"/>
          <w:szCs w:val="24"/>
        </w:rPr>
        <w:t>br.</w:t>
      </w:r>
      <w:r w:rsidRPr="00B774A6">
        <w:rPr>
          <w:rFonts w:ascii="Arial" w:eastAsia="Arial" w:hAnsi="Arial" w:cs="Arial"/>
          <w:sz w:val="24"/>
          <w:szCs w:val="24"/>
        </w:rPr>
        <w:t xml:space="preserve"> 158/23</w:t>
      </w:r>
      <w:r>
        <w:rPr>
          <w:rFonts w:ascii="Arial" w:eastAsia="Arial" w:hAnsi="Arial" w:cs="Arial"/>
          <w:sz w:val="24"/>
          <w:szCs w:val="24"/>
        </w:rPr>
        <w:t>.</w:t>
      </w:r>
      <w:r w:rsidRPr="00B774A6">
        <w:rPr>
          <w:rFonts w:ascii="Arial" w:eastAsia="Arial" w:hAnsi="Arial" w:cs="Arial"/>
          <w:sz w:val="24"/>
          <w:szCs w:val="24"/>
        </w:rPr>
        <w:t xml:space="preserve"> i 154/24</w:t>
      </w:r>
      <w:r>
        <w:rPr>
          <w:rFonts w:ascii="Arial" w:eastAsia="Arial" w:hAnsi="Arial" w:cs="Arial"/>
          <w:sz w:val="24"/>
          <w:szCs w:val="24"/>
        </w:rPr>
        <w:t>.</w:t>
      </w:r>
      <w:r w:rsidRPr="00B774A6">
        <w:rPr>
          <w:rFonts w:ascii="Arial" w:hAnsi="Arial" w:cs="Arial"/>
          <w:sz w:val="24"/>
          <w:szCs w:val="24"/>
        </w:rPr>
        <w:t xml:space="preserve">) te </w:t>
      </w:r>
      <w:r w:rsidRPr="00B774A6">
        <w:rPr>
          <w:rFonts w:ascii="Arial" w:hAnsi="Arial" w:cs="Arial"/>
          <w:color w:val="000000"/>
          <w:spacing w:val="3"/>
          <w:sz w:val="24"/>
          <w:szCs w:val="24"/>
        </w:rPr>
        <w:t>Pravilnikom o planiranju u sustavu proračuna (</w:t>
      </w:r>
      <w:r>
        <w:rPr>
          <w:rFonts w:ascii="Arial" w:hAnsi="Arial" w:cs="Arial"/>
          <w:color w:val="000000"/>
          <w:spacing w:val="3"/>
          <w:sz w:val="24"/>
          <w:szCs w:val="24"/>
        </w:rPr>
        <w:t>„</w:t>
      </w:r>
      <w:r w:rsidRPr="00B774A6">
        <w:rPr>
          <w:rFonts w:ascii="Arial" w:eastAsia="Arial" w:hAnsi="Arial" w:cs="Arial"/>
          <w:sz w:val="24"/>
          <w:szCs w:val="24"/>
        </w:rPr>
        <w:t>Narodne novine</w:t>
      </w:r>
      <w:r>
        <w:rPr>
          <w:rFonts w:ascii="Arial" w:eastAsia="Arial" w:hAnsi="Arial" w:cs="Arial"/>
          <w:sz w:val="24"/>
          <w:szCs w:val="24"/>
        </w:rPr>
        <w:t>“</w:t>
      </w:r>
      <w:r w:rsidRPr="00B774A6">
        <w:rPr>
          <w:rFonts w:ascii="Arial" w:hAnsi="Arial" w:cs="Arial"/>
          <w:color w:val="000000"/>
          <w:spacing w:val="3"/>
          <w:sz w:val="24"/>
          <w:szCs w:val="24"/>
        </w:rPr>
        <w:t>, br. 1/24</w:t>
      </w:r>
      <w:r>
        <w:rPr>
          <w:rFonts w:ascii="Arial" w:hAnsi="Arial" w:cs="Arial"/>
          <w:color w:val="000000"/>
          <w:spacing w:val="3"/>
          <w:sz w:val="24"/>
          <w:szCs w:val="24"/>
        </w:rPr>
        <w:t>.</w:t>
      </w:r>
      <w:r w:rsidRPr="00B774A6">
        <w:rPr>
          <w:rFonts w:ascii="Arial" w:hAnsi="Arial" w:cs="Arial"/>
          <w:color w:val="000000"/>
          <w:spacing w:val="3"/>
          <w:sz w:val="24"/>
          <w:szCs w:val="24"/>
        </w:rPr>
        <w:t>)</w:t>
      </w:r>
    </w:p>
    <w:p w14:paraId="5E46D723" w14:textId="77777777" w:rsidR="00E541EE" w:rsidRPr="00C271A7" w:rsidRDefault="00E541EE" w:rsidP="00E541EE">
      <w:pPr>
        <w:ind w:firstLine="708"/>
        <w:jc w:val="both"/>
        <w:rPr>
          <w:rFonts w:ascii="Arial" w:hAnsi="Arial" w:cs="Arial"/>
          <w:sz w:val="24"/>
          <w:szCs w:val="24"/>
          <w:highlight w:val="yellow"/>
        </w:rPr>
      </w:pPr>
    </w:p>
    <w:p w14:paraId="5EB8423D" w14:textId="77777777" w:rsidR="00E541EE" w:rsidRPr="002D7207" w:rsidRDefault="00E541EE" w:rsidP="00E541EE">
      <w:pPr>
        <w:ind w:firstLine="708"/>
        <w:jc w:val="both"/>
        <w:rPr>
          <w:rFonts w:ascii="Arial" w:hAnsi="Arial" w:cs="Arial"/>
          <w:sz w:val="24"/>
          <w:szCs w:val="24"/>
        </w:rPr>
      </w:pPr>
      <w:r w:rsidRPr="002D7207">
        <w:rPr>
          <w:rFonts w:ascii="Arial" w:hAnsi="Arial" w:cs="Arial"/>
          <w:sz w:val="24"/>
          <w:szCs w:val="24"/>
        </w:rPr>
        <w:t>Prijedlog Proračuna Grada Rovinja-Rovigno za  2026. godinu i projekcije za 2027. i 2028. godinu planiraju se na razini skupine ekonomske klasifikacije (druga razina Računskog plana) sukladno odredbama Zakona o Proračunu.</w:t>
      </w:r>
    </w:p>
    <w:p w14:paraId="5DD206E9" w14:textId="77777777" w:rsidR="00E541EE" w:rsidRPr="002D7207" w:rsidRDefault="00E541EE" w:rsidP="00E541EE">
      <w:pPr>
        <w:ind w:firstLine="708"/>
        <w:jc w:val="both"/>
        <w:rPr>
          <w:rFonts w:ascii="Arial" w:hAnsi="Arial" w:cs="Arial"/>
          <w:sz w:val="24"/>
          <w:szCs w:val="24"/>
        </w:rPr>
      </w:pPr>
    </w:p>
    <w:p w14:paraId="5D5FEFEF" w14:textId="77777777" w:rsidR="00E541EE" w:rsidRPr="002D7207" w:rsidRDefault="00E541EE" w:rsidP="00E541EE">
      <w:pPr>
        <w:ind w:firstLine="708"/>
        <w:jc w:val="both"/>
        <w:rPr>
          <w:rFonts w:ascii="Arial" w:hAnsi="Arial" w:cs="Arial"/>
          <w:sz w:val="24"/>
          <w:szCs w:val="24"/>
        </w:rPr>
      </w:pPr>
      <w:r w:rsidRPr="002D7207">
        <w:rPr>
          <w:rFonts w:ascii="Arial" w:hAnsi="Arial" w:cs="Arial"/>
          <w:sz w:val="24"/>
          <w:szCs w:val="24"/>
        </w:rPr>
        <w:t>Proračun Grada Rovinja-Rovigno sastoji se od općeg i posebnog dijela te obrazloženja. Opći dio Proračuna sastoji se od sažetka Računa prihoda i rashoda, sažetka Računa financiranja, Računa prihoda i rashoda i Računa financiranja.</w:t>
      </w:r>
    </w:p>
    <w:p w14:paraId="4484951E" w14:textId="77777777" w:rsidR="00E541EE" w:rsidRPr="00C271A7" w:rsidRDefault="00E541EE" w:rsidP="00E541EE">
      <w:pPr>
        <w:ind w:firstLine="708"/>
        <w:jc w:val="both"/>
        <w:rPr>
          <w:rFonts w:ascii="Arial" w:hAnsi="Arial" w:cs="Arial"/>
          <w:sz w:val="24"/>
          <w:szCs w:val="24"/>
          <w:highlight w:val="yellow"/>
        </w:rPr>
      </w:pPr>
      <w:r w:rsidRPr="00C271A7">
        <w:rPr>
          <w:rFonts w:ascii="Arial" w:hAnsi="Arial" w:cs="Arial"/>
          <w:sz w:val="24"/>
          <w:szCs w:val="24"/>
          <w:highlight w:val="yellow"/>
        </w:rPr>
        <w:t xml:space="preserve"> </w:t>
      </w:r>
    </w:p>
    <w:p w14:paraId="2D596BF4" w14:textId="77777777" w:rsidR="00E541EE" w:rsidRPr="002D7207" w:rsidRDefault="00E541EE" w:rsidP="00E541EE">
      <w:pPr>
        <w:ind w:firstLine="708"/>
        <w:jc w:val="both"/>
        <w:rPr>
          <w:rFonts w:ascii="Arial" w:hAnsi="Arial" w:cs="Arial"/>
          <w:sz w:val="24"/>
          <w:szCs w:val="24"/>
        </w:rPr>
      </w:pPr>
      <w:r w:rsidRPr="002D7207">
        <w:rPr>
          <w:rFonts w:ascii="Arial" w:hAnsi="Arial" w:cs="Arial"/>
          <w:sz w:val="24"/>
          <w:szCs w:val="24"/>
        </w:rPr>
        <w:t>Sažetak Računa prihoda i rashoda i Računa financiranja proračuna iz članka sadrži prikaz ukupno očekivanih prihoda i primitaka i rashoda i izdataka na razini razreda ekonomske klasifikacije te razliku između očekivanih prihoda i rashoda te primitaka i izdataka.</w:t>
      </w:r>
    </w:p>
    <w:p w14:paraId="5A8F3120" w14:textId="77777777" w:rsidR="00E541EE" w:rsidRPr="00C271A7" w:rsidRDefault="00E541EE" w:rsidP="00E541EE">
      <w:pPr>
        <w:ind w:firstLine="708"/>
        <w:jc w:val="both"/>
        <w:rPr>
          <w:rFonts w:ascii="Arial" w:hAnsi="Arial" w:cs="Arial"/>
          <w:sz w:val="24"/>
          <w:szCs w:val="24"/>
          <w:highlight w:val="yellow"/>
        </w:rPr>
      </w:pPr>
    </w:p>
    <w:p w14:paraId="425C8F63" w14:textId="77777777" w:rsidR="00E541EE" w:rsidRPr="002D7207" w:rsidRDefault="00E541EE" w:rsidP="00E541EE">
      <w:pPr>
        <w:ind w:firstLine="708"/>
        <w:jc w:val="both"/>
        <w:rPr>
          <w:rFonts w:ascii="Arial" w:hAnsi="Arial" w:cs="Arial"/>
          <w:sz w:val="24"/>
          <w:szCs w:val="24"/>
        </w:rPr>
      </w:pPr>
      <w:r w:rsidRPr="002D7207">
        <w:rPr>
          <w:rFonts w:ascii="Arial" w:hAnsi="Arial" w:cs="Arial"/>
          <w:sz w:val="24"/>
          <w:szCs w:val="24"/>
        </w:rPr>
        <w:t>Račun prihoda i rashoda proračuna iz sadrži prikaz ukupno očekivanih prihoda i rashoda iskazanih prema proračunskim klasifikacijama. Prihodi i rashodi na razini razreda i skupine ekonomske klasifikacije, prihodi i rashodi na razini razreda i skupine izvora financiranja i rashodi na razini razreda i skupine funkcijske klasifikacije.</w:t>
      </w:r>
    </w:p>
    <w:p w14:paraId="73F59EFB" w14:textId="77777777" w:rsidR="00E541EE" w:rsidRPr="00C271A7" w:rsidRDefault="00E541EE" w:rsidP="00E541EE">
      <w:pPr>
        <w:ind w:firstLine="708"/>
        <w:jc w:val="both"/>
        <w:rPr>
          <w:rFonts w:ascii="Arial" w:hAnsi="Arial" w:cs="Arial"/>
          <w:sz w:val="24"/>
          <w:szCs w:val="24"/>
          <w:highlight w:val="yellow"/>
        </w:rPr>
      </w:pPr>
    </w:p>
    <w:p w14:paraId="30E0F11B" w14:textId="77777777" w:rsidR="00E541EE" w:rsidRPr="002D7207" w:rsidRDefault="00E541EE" w:rsidP="00E541EE">
      <w:pPr>
        <w:ind w:firstLine="708"/>
        <w:jc w:val="both"/>
        <w:rPr>
          <w:rFonts w:ascii="Arial" w:hAnsi="Arial" w:cs="Arial"/>
          <w:sz w:val="24"/>
          <w:szCs w:val="24"/>
        </w:rPr>
      </w:pPr>
      <w:r w:rsidRPr="002D7207">
        <w:rPr>
          <w:rFonts w:ascii="Arial" w:hAnsi="Arial" w:cs="Arial"/>
          <w:sz w:val="24"/>
          <w:szCs w:val="24"/>
        </w:rPr>
        <w:t>Račun financiranja proračuna sadrži prikaz ukupno očekivanih primitaka i izdataka iskazanih prema proračunskim klasifikacijama. Primici i izdaci na razini razreda i skupine ekonomske klasifikacije i primici i izdaci na razini razreda i skupine izvora financiranja.</w:t>
      </w:r>
    </w:p>
    <w:p w14:paraId="408E5E44" w14:textId="77777777" w:rsidR="00E541EE" w:rsidRPr="00C271A7" w:rsidRDefault="00E541EE" w:rsidP="00E541EE">
      <w:pPr>
        <w:jc w:val="both"/>
        <w:rPr>
          <w:rFonts w:ascii="Arial" w:hAnsi="Arial" w:cs="Arial"/>
          <w:sz w:val="24"/>
          <w:szCs w:val="24"/>
          <w:highlight w:val="yellow"/>
        </w:rPr>
      </w:pPr>
    </w:p>
    <w:p w14:paraId="30C33F28" w14:textId="77777777" w:rsidR="00E541EE" w:rsidRPr="002D7207" w:rsidRDefault="00E541EE" w:rsidP="00E541EE">
      <w:pPr>
        <w:ind w:firstLine="708"/>
        <w:jc w:val="both"/>
        <w:rPr>
          <w:rFonts w:ascii="Arial" w:hAnsi="Arial" w:cs="Arial"/>
          <w:sz w:val="24"/>
          <w:szCs w:val="24"/>
        </w:rPr>
      </w:pPr>
      <w:r w:rsidRPr="002D7207">
        <w:rPr>
          <w:rFonts w:ascii="Arial" w:hAnsi="Arial" w:cs="Arial"/>
          <w:sz w:val="24"/>
          <w:szCs w:val="24"/>
        </w:rPr>
        <w:t>Posebni dio proračuna iz članka 14. stavka 1. ovoga Pravilnika sadrži prikaz ukupno očekivanih rashoda i izdataka prema organizacijskoj klasifikaciji (razdjel, glava, RKP), programskoj klasifikaciji (glavni program, program, aktivnost/projekt), izvorima financiranja (najniža razina) i ekonomskoj klasifikaciji (razina razreda i skupine).</w:t>
      </w:r>
    </w:p>
    <w:p w14:paraId="4D5A9CF3" w14:textId="77777777" w:rsidR="00E541EE" w:rsidRPr="00C271A7" w:rsidRDefault="00E541EE" w:rsidP="00E541EE">
      <w:pPr>
        <w:ind w:firstLine="708"/>
        <w:jc w:val="both"/>
        <w:rPr>
          <w:rFonts w:ascii="Arial" w:hAnsi="Arial" w:cs="Arial"/>
          <w:sz w:val="24"/>
          <w:szCs w:val="24"/>
          <w:highlight w:val="yellow"/>
        </w:rPr>
      </w:pPr>
    </w:p>
    <w:p w14:paraId="2843F1B1" w14:textId="77777777" w:rsidR="00E541EE" w:rsidRPr="002D7207" w:rsidRDefault="00E541EE" w:rsidP="00E541EE">
      <w:pPr>
        <w:ind w:firstLine="708"/>
        <w:jc w:val="both"/>
        <w:rPr>
          <w:rFonts w:ascii="Arial" w:hAnsi="Arial" w:cs="Arial"/>
          <w:sz w:val="24"/>
          <w:szCs w:val="24"/>
        </w:rPr>
      </w:pPr>
      <w:r w:rsidRPr="002D7207">
        <w:rPr>
          <w:rFonts w:ascii="Arial" w:hAnsi="Arial" w:cs="Arial"/>
          <w:sz w:val="24"/>
          <w:szCs w:val="24"/>
        </w:rPr>
        <w:t>Obrazloženje općeg dijela proračuna jedinice lokalne i područne (regionalne) samouprave sadrži obrazloženje prihoda i rashoda, primitaka i izdataka proračuna jedinice lokalne i područne (regionalne) samouprave i prenesenog manjka odnosno viška proračuna jedinice lokalne i područne (regionalne) samouprave.</w:t>
      </w:r>
    </w:p>
    <w:p w14:paraId="519BDDDB" w14:textId="77777777" w:rsidR="00E541EE" w:rsidRPr="002D7207" w:rsidRDefault="00E541EE" w:rsidP="00E541EE">
      <w:pPr>
        <w:ind w:firstLine="708"/>
        <w:jc w:val="both"/>
        <w:rPr>
          <w:rFonts w:ascii="Arial" w:hAnsi="Arial" w:cs="Arial"/>
          <w:sz w:val="24"/>
          <w:szCs w:val="24"/>
        </w:rPr>
      </w:pPr>
    </w:p>
    <w:p w14:paraId="639AEA21" w14:textId="77777777" w:rsidR="00E541EE" w:rsidRDefault="00E541EE" w:rsidP="00E541EE">
      <w:pPr>
        <w:ind w:firstLine="708"/>
        <w:jc w:val="both"/>
        <w:rPr>
          <w:rFonts w:ascii="Arial" w:hAnsi="Arial" w:cs="Arial"/>
          <w:sz w:val="24"/>
          <w:szCs w:val="24"/>
        </w:rPr>
      </w:pPr>
      <w:r w:rsidRPr="002D7207">
        <w:rPr>
          <w:rFonts w:ascii="Arial" w:hAnsi="Arial" w:cs="Arial"/>
          <w:sz w:val="24"/>
          <w:szCs w:val="24"/>
        </w:rPr>
        <w:t>Obrazloženje posebnog dijela proračuna temelji se na obrazloženjima financijskih planova proračunskih korisnika, a sastoji se od obrazloženja programa koje se daje kroz obrazloženje aktivnosti i projekata zajedno s ciljevima i pokazateljima uspješnosti iz akata strateškog planiranja.</w:t>
      </w:r>
    </w:p>
    <w:p w14:paraId="4914F072" w14:textId="77777777" w:rsidR="00E541EE" w:rsidRPr="002D7207" w:rsidRDefault="00E541EE" w:rsidP="00E541EE">
      <w:pPr>
        <w:ind w:firstLine="708"/>
        <w:jc w:val="both"/>
        <w:rPr>
          <w:rFonts w:ascii="Arial" w:hAnsi="Arial" w:cs="Arial"/>
          <w:sz w:val="24"/>
          <w:szCs w:val="24"/>
        </w:rPr>
      </w:pPr>
    </w:p>
    <w:p w14:paraId="435913F0" w14:textId="77777777" w:rsidR="00E541EE" w:rsidRPr="002D7207" w:rsidRDefault="00E541EE" w:rsidP="00E541EE">
      <w:pPr>
        <w:ind w:firstLine="708"/>
        <w:jc w:val="both"/>
        <w:rPr>
          <w:rFonts w:ascii="Arial" w:hAnsi="Arial" w:cs="Arial"/>
          <w:sz w:val="24"/>
          <w:szCs w:val="24"/>
        </w:rPr>
      </w:pPr>
      <w:r w:rsidRPr="002D7207">
        <w:rPr>
          <w:rFonts w:ascii="Arial" w:hAnsi="Arial" w:cs="Arial"/>
          <w:sz w:val="24"/>
          <w:szCs w:val="24"/>
        </w:rPr>
        <w:t>Pravilnik o proračunskim klasifikacijama (</w:t>
      </w:r>
      <w:r>
        <w:rPr>
          <w:rFonts w:ascii="Arial" w:hAnsi="Arial" w:cs="Arial"/>
          <w:sz w:val="24"/>
          <w:szCs w:val="24"/>
        </w:rPr>
        <w:t>„</w:t>
      </w:r>
      <w:r w:rsidRPr="002D7207">
        <w:rPr>
          <w:rFonts w:ascii="Arial" w:eastAsia="Arial" w:hAnsi="Arial" w:cs="Arial"/>
          <w:sz w:val="24"/>
          <w:szCs w:val="24"/>
        </w:rPr>
        <w:t>Narodne novine</w:t>
      </w:r>
      <w:r>
        <w:rPr>
          <w:rFonts w:ascii="Arial" w:eastAsia="Arial" w:hAnsi="Arial" w:cs="Arial"/>
          <w:sz w:val="24"/>
          <w:szCs w:val="24"/>
        </w:rPr>
        <w:t>“</w:t>
      </w:r>
      <w:r w:rsidRPr="002D7207">
        <w:rPr>
          <w:rFonts w:ascii="Arial" w:eastAsia="Arial" w:hAnsi="Arial" w:cs="Arial"/>
          <w:sz w:val="24"/>
          <w:szCs w:val="24"/>
        </w:rPr>
        <w:t xml:space="preserve"> br. </w:t>
      </w:r>
      <w:r>
        <w:rPr>
          <w:rFonts w:ascii="Arial" w:eastAsia="Arial" w:hAnsi="Arial" w:cs="Arial"/>
          <w:sz w:val="24"/>
          <w:szCs w:val="24"/>
        </w:rPr>
        <w:t>4/24.</w:t>
      </w:r>
      <w:r w:rsidRPr="002D7207">
        <w:rPr>
          <w:rFonts w:ascii="Arial" w:eastAsia="Arial" w:hAnsi="Arial" w:cs="Arial"/>
          <w:sz w:val="24"/>
          <w:szCs w:val="24"/>
        </w:rPr>
        <w:t xml:space="preserve"> i </w:t>
      </w:r>
      <w:r>
        <w:rPr>
          <w:rFonts w:ascii="Arial" w:eastAsia="Arial" w:hAnsi="Arial" w:cs="Arial"/>
          <w:sz w:val="24"/>
          <w:szCs w:val="24"/>
        </w:rPr>
        <w:t>22</w:t>
      </w:r>
      <w:r w:rsidRPr="002D7207">
        <w:rPr>
          <w:rFonts w:ascii="Arial" w:eastAsia="Arial" w:hAnsi="Arial" w:cs="Arial"/>
          <w:sz w:val="24"/>
          <w:szCs w:val="24"/>
        </w:rPr>
        <w:t>/2</w:t>
      </w:r>
      <w:r>
        <w:rPr>
          <w:rFonts w:ascii="Arial" w:eastAsia="Arial" w:hAnsi="Arial" w:cs="Arial"/>
          <w:sz w:val="24"/>
          <w:szCs w:val="24"/>
        </w:rPr>
        <w:t>5.</w:t>
      </w:r>
      <w:r w:rsidRPr="002D7207">
        <w:rPr>
          <w:rFonts w:ascii="Arial" w:eastAsia="Arial" w:hAnsi="Arial" w:cs="Arial"/>
          <w:sz w:val="24"/>
          <w:szCs w:val="24"/>
        </w:rPr>
        <w:t>)</w:t>
      </w:r>
      <w:r w:rsidRPr="002D7207">
        <w:rPr>
          <w:rFonts w:ascii="Arial" w:hAnsi="Arial" w:cs="Arial"/>
          <w:sz w:val="24"/>
          <w:szCs w:val="24"/>
        </w:rPr>
        <w:t xml:space="preserve"> propisuje vrste, sadržaj i primjenu proračunskih klasifikacija koje su obvezne za Proračun, a primjenjuj</w:t>
      </w:r>
      <w:r>
        <w:rPr>
          <w:rFonts w:ascii="Arial" w:hAnsi="Arial" w:cs="Arial"/>
          <w:sz w:val="24"/>
          <w:szCs w:val="24"/>
        </w:rPr>
        <w:t>u</w:t>
      </w:r>
      <w:r w:rsidRPr="002D7207">
        <w:rPr>
          <w:rFonts w:ascii="Arial" w:hAnsi="Arial" w:cs="Arial"/>
          <w:sz w:val="24"/>
          <w:szCs w:val="24"/>
        </w:rPr>
        <w:t xml:space="preserve"> se u procesu planiranja</w:t>
      </w:r>
      <w:r>
        <w:rPr>
          <w:rFonts w:ascii="Arial" w:hAnsi="Arial" w:cs="Arial"/>
          <w:sz w:val="24"/>
          <w:szCs w:val="24"/>
        </w:rPr>
        <w:t>.</w:t>
      </w:r>
      <w:r w:rsidRPr="002D7207">
        <w:rPr>
          <w:rFonts w:ascii="Arial" w:hAnsi="Arial" w:cs="Arial"/>
          <w:sz w:val="24"/>
          <w:szCs w:val="24"/>
        </w:rPr>
        <w:t xml:space="preserve"> </w:t>
      </w:r>
    </w:p>
    <w:p w14:paraId="4B5EC5D0" w14:textId="77777777" w:rsidR="00E541EE" w:rsidRDefault="00E541EE" w:rsidP="00E541EE">
      <w:pPr>
        <w:ind w:firstLine="708"/>
        <w:jc w:val="both"/>
        <w:rPr>
          <w:rFonts w:ascii="Arial" w:hAnsi="Arial" w:cs="Arial"/>
          <w:sz w:val="24"/>
          <w:szCs w:val="24"/>
        </w:rPr>
      </w:pPr>
      <w:r w:rsidRPr="002D7207">
        <w:rPr>
          <w:rFonts w:ascii="Arial" w:hAnsi="Arial" w:cs="Arial"/>
          <w:sz w:val="24"/>
          <w:szCs w:val="24"/>
        </w:rPr>
        <w:t>Pravilnikom se također definira okvir kojim se iskazuje i sustavno prate prihodi i primici, te rashodi i izdaci po nositelju, cilju, namjeni, vrsti, lokaciji i izvoru financiranja, te struktura brojčanih oznaka i naziva svake klasifikacije.</w:t>
      </w:r>
    </w:p>
    <w:p w14:paraId="0DD79E6C" w14:textId="77777777" w:rsidR="00E541EE" w:rsidRDefault="00E541EE" w:rsidP="00E541EE">
      <w:pPr>
        <w:ind w:firstLine="708"/>
        <w:jc w:val="both"/>
        <w:rPr>
          <w:rFonts w:ascii="Arial" w:hAnsi="Arial" w:cs="Arial"/>
          <w:sz w:val="24"/>
          <w:szCs w:val="24"/>
        </w:rPr>
      </w:pPr>
    </w:p>
    <w:p w14:paraId="23E55141" w14:textId="77777777" w:rsidR="00E541EE" w:rsidRDefault="00E541EE" w:rsidP="00E541EE">
      <w:pPr>
        <w:ind w:firstLine="708"/>
        <w:jc w:val="both"/>
        <w:rPr>
          <w:rFonts w:ascii="Arial" w:hAnsi="Arial" w:cs="Arial"/>
          <w:noProof/>
          <w:sz w:val="24"/>
          <w:szCs w:val="24"/>
        </w:rPr>
      </w:pPr>
      <w:r w:rsidRPr="00893799">
        <w:rPr>
          <w:rFonts w:ascii="Arial" w:hAnsi="Arial" w:cs="Arial"/>
          <w:noProof/>
          <w:sz w:val="24"/>
          <w:szCs w:val="24"/>
        </w:rPr>
        <w:t>Pravilnikom se propisuje i način primjene modificiranog novčanog načela, odnosno modificiranog obračunskog načela u postupku planiranja i izvršavanja proračuna i financijsko</w:t>
      </w:r>
      <w:r>
        <w:rPr>
          <w:rFonts w:ascii="Arial" w:hAnsi="Arial" w:cs="Arial"/>
          <w:noProof/>
          <w:sz w:val="24"/>
          <w:szCs w:val="24"/>
        </w:rPr>
        <w:t xml:space="preserve"> </w:t>
      </w:r>
      <w:r w:rsidRPr="00893799">
        <w:rPr>
          <w:rFonts w:ascii="Arial" w:hAnsi="Arial" w:cs="Arial"/>
          <w:noProof/>
          <w:sz w:val="24"/>
          <w:szCs w:val="24"/>
        </w:rPr>
        <w:t>plana, izgled i sadržaj proračuna i financijskog plana, rebalansa proračuna i financijskog plana, njihova dostava i objava te uvjeti i pravila preraspodjele sredstava proračuna.</w:t>
      </w:r>
    </w:p>
    <w:p w14:paraId="2F6AF10C" w14:textId="77777777" w:rsidR="00E541EE" w:rsidRDefault="00E541EE" w:rsidP="00E541EE">
      <w:pPr>
        <w:ind w:firstLine="708"/>
        <w:jc w:val="both"/>
        <w:rPr>
          <w:rFonts w:ascii="Arial" w:hAnsi="Arial" w:cs="Arial"/>
          <w:noProof/>
          <w:sz w:val="24"/>
          <w:szCs w:val="24"/>
        </w:rPr>
      </w:pPr>
    </w:p>
    <w:p w14:paraId="34AE294F" w14:textId="77777777" w:rsidR="00E541EE" w:rsidRDefault="00E541EE" w:rsidP="00E541EE">
      <w:pPr>
        <w:ind w:firstLine="708"/>
        <w:jc w:val="both"/>
        <w:rPr>
          <w:rFonts w:ascii="Arial" w:hAnsi="Arial" w:cs="Arial"/>
          <w:noProof/>
          <w:sz w:val="24"/>
          <w:szCs w:val="24"/>
        </w:rPr>
      </w:pPr>
      <w:r>
        <w:rPr>
          <w:rFonts w:ascii="Arial" w:hAnsi="Arial" w:cs="Arial"/>
          <w:noProof/>
          <w:sz w:val="24"/>
          <w:szCs w:val="24"/>
        </w:rPr>
        <w:t xml:space="preserve">Pri izradi proračuna potrebno je pridržavati se temeljnih proračunskih načela zakonitosti, ispravnosti, točnosti i trasparentnosti. Proračun mora biti uravnotežen odnosno ukupni rashodi i izdaci moraju biti jednaki ukupnim prihodima i primicima. </w:t>
      </w:r>
    </w:p>
    <w:p w14:paraId="18738E46" w14:textId="77777777" w:rsidR="00E541EE" w:rsidRDefault="00E541EE" w:rsidP="00E541EE">
      <w:pPr>
        <w:ind w:firstLine="708"/>
        <w:jc w:val="both"/>
        <w:rPr>
          <w:rFonts w:ascii="Arial" w:hAnsi="Arial" w:cs="Arial"/>
          <w:noProof/>
          <w:sz w:val="24"/>
          <w:szCs w:val="24"/>
        </w:rPr>
      </w:pPr>
    </w:p>
    <w:p w14:paraId="2425CD5A" w14:textId="77777777" w:rsidR="00E541EE" w:rsidRDefault="00E541EE" w:rsidP="00E541EE">
      <w:pPr>
        <w:ind w:firstLine="708"/>
        <w:jc w:val="both"/>
        <w:rPr>
          <w:rFonts w:ascii="Arial" w:hAnsi="Arial" w:cs="Arial"/>
          <w:noProof/>
          <w:sz w:val="24"/>
          <w:szCs w:val="24"/>
        </w:rPr>
      </w:pPr>
      <w:r>
        <w:rPr>
          <w:rFonts w:ascii="Arial" w:hAnsi="Arial" w:cs="Arial"/>
          <w:noProof/>
          <w:sz w:val="24"/>
          <w:szCs w:val="24"/>
        </w:rPr>
        <w:t>U proračunu Grada Rovinja-Rovigno uključeni su i planovi svih proračunskih korisnika  izrađenih po programima te usklađeni sa proračunom i važećim posebnim zakonskim propisima, i to slijedećih proračunskih korisnika:</w:t>
      </w:r>
    </w:p>
    <w:p w14:paraId="5943B8D4" w14:textId="77777777" w:rsidR="00E541EE" w:rsidRDefault="00E541EE" w:rsidP="00E541EE">
      <w:pPr>
        <w:ind w:firstLine="708"/>
        <w:jc w:val="both"/>
        <w:rPr>
          <w:rFonts w:ascii="Arial" w:hAnsi="Arial" w:cs="Arial"/>
          <w:noProof/>
          <w:sz w:val="24"/>
          <w:szCs w:val="24"/>
        </w:rPr>
      </w:pPr>
      <w:r>
        <w:rPr>
          <w:rFonts w:ascii="Arial" w:hAnsi="Arial" w:cs="Arial"/>
          <w:noProof/>
          <w:sz w:val="24"/>
          <w:szCs w:val="24"/>
        </w:rPr>
        <w:t xml:space="preserve"> </w:t>
      </w:r>
    </w:p>
    <w:p w14:paraId="161693A1" w14:textId="77777777" w:rsidR="00E541EE" w:rsidRPr="000D7371" w:rsidRDefault="00E541EE" w:rsidP="00E541EE">
      <w:pPr>
        <w:ind w:firstLine="708"/>
        <w:jc w:val="both"/>
        <w:rPr>
          <w:rFonts w:ascii="Arial" w:hAnsi="Arial" w:cs="Arial"/>
          <w:noProof/>
          <w:sz w:val="24"/>
          <w:szCs w:val="24"/>
        </w:rPr>
      </w:pPr>
      <w:r w:rsidRPr="000D7371">
        <w:rPr>
          <w:rFonts w:ascii="Arial" w:hAnsi="Arial" w:cs="Arial"/>
          <w:noProof/>
          <w:sz w:val="24"/>
          <w:szCs w:val="24"/>
        </w:rPr>
        <w:t xml:space="preserve">- Talijanski dječji vrtić Naridola Rovinj-Rovigno </w:t>
      </w:r>
    </w:p>
    <w:p w14:paraId="7B2A4F91" w14:textId="77777777" w:rsidR="00E541EE" w:rsidRPr="000D7371" w:rsidRDefault="00E541EE" w:rsidP="00E541EE">
      <w:pPr>
        <w:ind w:firstLine="708"/>
        <w:jc w:val="both"/>
        <w:rPr>
          <w:rFonts w:ascii="Arial" w:hAnsi="Arial" w:cs="Arial"/>
          <w:noProof/>
          <w:sz w:val="24"/>
          <w:szCs w:val="24"/>
        </w:rPr>
      </w:pPr>
      <w:r w:rsidRPr="000D7371">
        <w:rPr>
          <w:rFonts w:ascii="Arial" w:hAnsi="Arial" w:cs="Arial"/>
          <w:noProof/>
          <w:sz w:val="24"/>
          <w:szCs w:val="24"/>
        </w:rPr>
        <w:t>- Dječji vrtić Neven Rovinj-Rovigno</w:t>
      </w:r>
    </w:p>
    <w:p w14:paraId="213B63D7" w14:textId="77777777" w:rsidR="00E541EE" w:rsidRPr="000D7371" w:rsidRDefault="00E541EE" w:rsidP="00E541EE">
      <w:pPr>
        <w:ind w:firstLine="708"/>
        <w:jc w:val="both"/>
        <w:rPr>
          <w:rFonts w:ascii="Arial" w:hAnsi="Arial" w:cs="Arial"/>
          <w:noProof/>
          <w:sz w:val="24"/>
          <w:szCs w:val="24"/>
        </w:rPr>
      </w:pPr>
      <w:r w:rsidRPr="000D7371">
        <w:rPr>
          <w:rFonts w:ascii="Arial" w:hAnsi="Arial" w:cs="Arial"/>
          <w:noProof/>
          <w:sz w:val="24"/>
          <w:szCs w:val="24"/>
        </w:rPr>
        <w:t>- Talijanska osnovna škola Bernardo Benussi</w:t>
      </w:r>
    </w:p>
    <w:p w14:paraId="7E71F3D0" w14:textId="77777777" w:rsidR="00E541EE" w:rsidRPr="000D7371" w:rsidRDefault="00E541EE" w:rsidP="00E541EE">
      <w:pPr>
        <w:ind w:firstLine="708"/>
        <w:jc w:val="both"/>
        <w:rPr>
          <w:rFonts w:ascii="Arial" w:hAnsi="Arial" w:cs="Arial"/>
          <w:noProof/>
          <w:sz w:val="24"/>
          <w:szCs w:val="24"/>
        </w:rPr>
      </w:pPr>
      <w:r w:rsidRPr="000D7371">
        <w:rPr>
          <w:rFonts w:ascii="Arial" w:hAnsi="Arial" w:cs="Arial"/>
          <w:noProof/>
          <w:sz w:val="24"/>
          <w:szCs w:val="24"/>
        </w:rPr>
        <w:t>- Osnovna škola Vladimir Nazor Rovinj-Rovigno</w:t>
      </w:r>
    </w:p>
    <w:p w14:paraId="74A3620E" w14:textId="77777777" w:rsidR="00E541EE" w:rsidRPr="000D7371" w:rsidRDefault="00E541EE" w:rsidP="00E541EE">
      <w:pPr>
        <w:ind w:firstLine="708"/>
        <w:jc w:val="both"/>
        <w:rPr>
          <w:rFonts w:ascii="Arial" w:hAnsi="Arial" w:cs="Arial"/>
          <w:noProof/>
          <w:sz w:val="24"/>
          <w:szCs w:val="24"/>
        </w:rPr>
      </w:pPr>
      <w:r w:rsidRPr="000D7371">
        <w:rPr>
          <w:rFonts w:ascii="Arial" w:hAnsi="Arial" w:cs="Arial"/>
          <w:noProof/>
          <w:sz w:val="24"/>
          <w:szCs w:val="24"/>
        </w:rPr>
        <w:t xml:space="preserve">- Osnovna škola Jurja Dobrile Rovinj-Rovigno </w:t>
      </w:r>
    </w:p>
    <w:p w14:paraId="3AF597B7" w14:textId="77777777" w:rsidR="00E541EE" w:rsidRPr="000D7371" w:rsidRDefault="00E541EE" w:rsidP="00E541EE">
      <w:pPr>
        <w:ind w:firstLine="708"/>
        <w:jc w:val="both"/>
        <w:rPr>
          <w:rFonts w:ascii="Arial" w:hAnsi="Arial" w:cs="Arial"/>
          <w:noProof/>
          <w:sz w:val="24"/>
          <w:szCs w:val="24"/>
        </w:rPr>
      </w:pPr>
      <w:r w:rsidRPr="000D7371">
        <w:rPr>
          <w:rFonts w:ascii="Arial" w:hAnsi="Arial" w:cs="Arial"/>
          <w:noProof/>
          <w:sz w:val="24"/>
          <w:szCs w:val="24"/>
        </w:rPr>
        <w:t>- Pučko otvoreno učilište Grada Rovinja-Rovigno</w:t>
      </w:r>
    </w:p>
    <w:p w14:paraId="7ACA1F38" w14:textId="77777777" w:rsidR="00E541EE" w:rsidRPr="000D7371" w:rsidRDefault="00E541EE" w:rsidP="00E541EE">
      <w:pPr>
        <w:ind w:firstLine="708"/>
        <w:jc w:val="both"/>
        <w:rPr>
          <w:rFonts w:ascii="Arial" w:hAnsi="Arial" w:cs="Arial"/>
          <w:noProof/>
          <w:sz w:val="24"/>
          <w:szCs w:val="24"/>
        </w:rPr>
      </w:pPr>
      <w:r w:rsidRPr="000D7371">
        <w:rPr>
          <w:rFonts w:ascii="Arial" w:hAnsi="Arial" w:cs="Arial"/>
          <w:noProof/>
          <w:sz w:val="24"/>
          <w:szCs w:val="24"/>
        </w:rPr>
        <w:t>- Muzej Grada Rovinja-Rovigno</w:t>
      </w:r>
    </w:p>
    <w:p w14:paraId="371C9C15" w14:textId="77777777" w:rsidR="00E541EE" w:rsidRPr="000D7371" w:rsidRDefault="00E541EE" w:rsidP="00E541EE">
      <w:pPr>
        <w:ind w:firstLine="708"/>
        <w:jc w:val="both"/>
        <w:rPr>
          <w:rFonts w:ascii="Arial" w:hAnsi="Arial" w:cs="Arial"/>
          <w:noProof/>
          <w:sz w:val="24"/>
          <w:szCs w:val="24"/>
        </w:rPr>
      </w:pPr>
      <w:r w:rsidRPr="000D7371">
        <w:rPr>
          <w:rFonts w:ascii="Arial" w:hAnsi="Arial" w:cs="Arial"/>
          <w:noProof/>
          <w:sz w:val="24"/>
          <w:szCs w:val="24"/>
        </w:rPr>
        <w:t>- Kuća o batani – Casa della batana</w:t>
      </w:r>
    </w:p>
    <w:p w14:paraId="5F9CAB77" w14:textId="77777777" w:rsidR="00E541EE" w:rsidRPr="000D7371" w:rsidRDefault="00E541EE" w:rsidP="00E541EE">
      <w:pPr>
        <w:ind w:firstLine="708"/>
        <w:jc w:val="both"/>
        <w:rPr>
          <w:rFonts w:ascii="Arial" w:hAnsi="Arial" w:cs="Arial"/>
          <w:noProof/>
          <w:sz w:val="24"/>
          <w:szCs w:val="24"/>
        </w:rPr>
      </w:pPr>
      <w:r w:rsidRPr="000D7371">
        <w:rPr>
          <w:rFonts w:ascii="Arial" w:hAnsi="Arial" w:cs="Arial"/>
          <w:noProof/>
          <w:sz w:val="24"/>
          <w:szCs w:val="24"/>
        </w:rPr>
        <w:t>- Gradska knjižnica M.V.Ilirika Rovinj-Rovigno</w:t>
      </w:r>
    </w:p>
    <w:p w14:paraId="186AEC45" w14:textId="77777777" w:rsidR="00E541EE" w:rsidRDefault="00E541EE" w:rsidP="00E541EE">
      <w:pPr>
        <w:ind w:firstLine="708"/>
        <w:jc w:val="both"/>
        <w:rPr>
          <w:rFonts w:ascii="Arial" w:hAnsi="Arial" w:cs="Arial"/>
          <w:noProof/>
          <w:sz w:val="24"/>
          <w:szCs w:val="24"/>
        </w:rPr>
      </w:pPr>
      <w:r w:rsidRPr="000D7371">
        <w:rPr>
          <w:rFonts w:ascii="Arial" w:hAnsi="Arial" w:cs="Arial"/>
          <w:noProof/>
          <w:sz w:val="24"/>
          <w:szCs w:val="24"/>
        </w:rPr>
        <w:t>- Javna vatrogasna postrojba</w:t>
      </w:r>
    </w:p>
    <w:p w14:paraId="58F6C617" w14:textId="77777777" w:rsidR="00E541EE" w:rsidRPr="00E541EE" w:rsidRDefault="00E541EE" w:rsidP="00E541EE">
      <w:pPr>
        <w:ind w:firstLine="708"/>
        <w:jc w:val="both"/>
        <w:rPr>
          <w:rFonts w:ascii="Arial" w:hAnsi="Arial" w:cs="Arial"/>
          <w:noProof/>
          <w:sz w:val="24"/>
          <w:szCs w:val="24"/>
        </w:rPr>
      </w:pPr>
    </w:p>
    <w:p w14:paraId="0E1A54F2" w14:textId="77777777" w:rsidR="00E541EE" w:rsidRPr="004E53F5" w:rsidRDefault="00E541EE" w:rsidP="00E541EE">
      <w:pPr>
        <w:jc w:val="center"/>
        <w:rPr>
          <w:rFonts w:ascii="Arial" w:hAnsi="Arial" w:cs="Arial"/>
          <w:b/>
          <w:i/>
          <w:sz w:val="26"/>
          <w:szCs w:val="26"/>
        </w:rPr>
      </w:pPr>
      <w:r w:rsidRPr="004E53F5">
        <w:rPr>
          <w:rFonts w:ascii="Arial" w:hAnsi="Arial" w:cs="Arial"/>
          <w:b/>
          <w:i/>
          <w:sz w:val="26"/>
          <w:szCs w:val="26"/>
        </w:rPr>
        <w:t xml:space="preserve">OBRAZLOŽENJE OPĆEG DIJELA PRORAČUNA </w:t>
      </w:r>
    </w:p>
    <w:p w14:paraId="233993AB" w14:textId="77777777" w:rsidR="00E541EE" w:rsidRDefault="00E541EE" w:rsidP="00E541EE">
      <w:pPr>
        <w:jc w:val="center"/>
        <w:rPr>
          <w:rFonts w:ascii="Arial" w:hAnsi="Arial" w:cs="Arial"/>
          <w:b/>
          <w:i/>
          <w:sz w:val="26"/>
          <w:szCs w:val="26"/>
        </w:rPr>
      </w:pPr>
      <w:r w:rsidRPr="004E53F5">
        <w:rPr>
          <w:rFonts w:ascii="Arial" w:hAnsi="Arial" w:cs="Arial"/>
          <w:b/>
          <w:i/>
          <w:sz w:val="26"/>
          <w:szCs w:val="26"/>
        </w:rPr>
        <w:t>GRADA ROVINJA-ROVIGNO</w:t>
      </w:r>
    </w:p>
    <w:p w14:paraId="72E2D318" w14:textId="77777777" w:rsidR="00E541EE" w:rsidRDefault="00E541EE" w:rsidP="00E541EE">
      <w:pPr>
        <w:jc w:val="both"/>
        <w:rPr>
          <w:rFonts w:ascii="Arial" w:hAnsi="Arial" w:cs="Arial"/>
          <w:b/>
          <w:i/>
          <w:sz w:val="26"/>
          <w:szCs w:val="26"/>
        </w:rPr>
      </w:pPr>
    </w:p>
    <w:p w14:paraId="02C946F8" w14:textId="77777777" w:rsidR="00E541EE" w:rsidRDefault="00E541EE" w:rsidP="00E541EE">
      <w:pPr>
        <w:jc w:val="both"/>
        <w:rPr>
          <w:rFonts w:ascii="Arial" w:hAnsi="Arial" w:cs="Arial"/>
          <w:b/>
          <w:sz w:val="24"/>
          <w:szCs w:val="24"/>
        </w:rPr>
      </w:pPr>
    </w:p>
    <w:p w14:paraId="7EB44652" w14:textId="77777777" w:rsidR="00E541EE" w:rsidRDefault="00E541EE" w:rsidP="00E541EE">
      <w:pPr>
        <w:jc w:val="both"/>
        <w:rPr>
          <w:rFonts w:ascii="Arial" w:hAnsi="Arial" w:cs="Arial"/>
          <w:b/>
          <w:sz w:val="24"/>
          <w:szCs w:val="24"/>
        </w:rPr>
      </w:pPr>
    </w:p>
    <w:p w14:paraId="64FABAC4" w14:textId="77777777" w:rsidR="00E541EE" w:rsidRDefault="00E541EE" w:rsidP="00E541EE">
      <w:pPr>
        <w:jc w:val="both"/>
        <w:rPr>
          <w:rFonts w:ascii="Arial" w:hAnsi="Arial" w:cs="Arial"/>
          <w:b/>
          <w:sz w:val="24"/>
          <w:szCs w:val="24"/>
        </w:rPr>
      </w:pPr>
    </w:p>
    <w:p w14:paraId="01DBCF3E" w14:textId="77777777" w:rsidR="00E541EE" w:rsidRDefault="00E541EE" w:rsidP="00E541EE">
      <w:pPr>
        <w:jc w:val="both"/>
        <w:rPr>
          <w:rFonts w:ascii="Arial" w:hAnsi="Arial" w:cs="Arial"/>
          <w:b/>
          <w:sz w:val="24"/>
          <w:szCs w:val="24"/>
        </w:rPr>
      </w:pPr>
      <w:r w:rsidRPr="004E53F5">
        <w:rPr>
          <w:rFonts w:ascii="Arial" w:hAnsi="Arial" w:cs="Arial"/>
          <w:b/>
          <w:sz w:val="24"/>
          <w:szCs w:val="24"/>
        </w:rPr>
        <w:t>PRIHODI I PRIMICI</w:t>
      </w:r>
    </w:p>
    <w:p w14:paraId="68AA2F6C" w14:textId="77777777" w:rsidR="00E541EE" w:rsidRDefault="00E541EE" w:rsidP="00E541EE">
      <w:pPr>
        <w:jc w:val="both"/>
        <w:rPr>
          <w:rFonts w:ascii="Arial" w:hAnsi="Arial" w:cs="Arial"/>
          <w:b/>
          <w:sz w:val="24"/>
          <w:szCs w:val="24"/>
        </w:rPr>
      </w:pPr>
    </w:p>
    <w:p w14:paraId="63EA4163" w14:textId="77777777" w:rsidR="00E541EE" w:rsidRPr="004E53F5" w:rsidRDefault="00E541EE" w:rsidP="00E541EE">
      <w:pPr>
        <w:jc w:val="both"/>
        <w:rPr>
          <w:rFonts w:ascii="Arial" w:hAnsi="Arial" w:cs="Arial"/>
          <w:b/>
          <w:sz w:val="24"/>
          <w:szCs w:val="24"/>
        </w:rPr>
      </w:pPr>
    </w:p>
    <w:p w14:paraId="2CDB6D2D" w14:textId="77777777" w:rsidR="00E541EE" w:rsidRDefault="00E541EE" w:rsidP="00E541EE">
      <w:pPr>
        <w:ind w:firstLine="708"/>
        <w:jc w:val="both"/>
        <w:rPr>
          <w:rFonts w:ascii="Arial" w:hAnsi="Arial" w:cs="Arial"/>
          <w:i/>
          <w:sz w:val="24"/>
          <w:szCs w:val="24"/>
        </w:rPr>
      </w:pPr>
      <w:r w:rsidRPr="001E03AF">
        <w:rPr>
          <w:rFonts w:ascii="Arial" w:hAnsi="Arial" w:cs="Arial"/>
          <w:sz w:val="24"/>
          <w:szCs w:val="24"/>
        </w:rPr>
        <w:t>Prihodi i primici planirani su na temelju procjena budućih ostvarenja i usporedbe s prethodnim razdobljima, usklade sa cijenama i inflacijom</w:t>
      </w:r>
      <w:r>
        <w:rPr>
          <w:rFonts w:ascii="Arial" w:hAnsi="Arial" w:cs="Arial"/>
          <w:sz w:val="24"/>
          <w:szCs w:val="24"/>
        </w:rPr>
        <w:t xml:space="preserve"> i financijskim kretanjima na tržištu</w:t>
      </w:r>
      <w:r w:rsidRPr="001E03AF">
        <w:rPr>
          <w:rFonts w:ascii="Arial" w:hAnsi="Arial" w:cs="Arial"/>
          <w:sz w:val="24"/>
          <w:szCs w:val="24"/>
        </w:rPr>
        <w:t>. Prihodi i primici Prijedloga Proračuna Grada Rovinja-Rovigno za 202</w:t>
      </w:r>
      <w:r>
        <w:rPr>
          <w:rFonts w:ascii="Arial" w:hAnsi="Arial" w:cs="Arial"/>
          <w:sz w:val="24"/>
          <w:szCs w:val="24"/>
        </w:rPr>
        <w:t>6</w:t>
      </w:r>
      <w:r w:rsidRPr="001E03AF">
        <w:rPr>
          <w:rFonts w:ascii="Arial" w:hAnsi="Arial" w:cs="Arial"/>
          <w:sz w:val="24"/>
          <w:szCs w:val="24"/>
        </w:rPr>
        <w:t>. godinu planirani su u iznosu od 4</w:t>
      </w:r>
      <w:r>
        <w:rPr>
          <w:rFonts w:ascii="Arial" w:hAnsi="Arial" w:cs="Arial"/>
          <w:sz w:val="24"/>
          <w:szCs w:val="24"/>
        </w:rPr>
        <w:t>5</w:t>
      </w:r>
      <w:r w:rsidRPr="001E03AF">
        <w:rPr>
          <w:rFonts w:ascii="Arial" w:hAnsi="Arial" w:cs="Arial"/>
          <w:sz w:val="24"/>
          <w:szCs w:val="24"/>
        </w:rPr>
        <w:t>.</w:t>
      </w:r>
      <w:r>
        <w:rPr>
          <w:rFonts w:ascii="Arial" w:hAnsi="Arial" w:cs="Arial"/>
          <w:sz w:val="24"/>
          <w:szCs w:val="24"/>
        </w:rPr>
        <w:t>221.136,66</w:t>
      </w:r>
      <w:r w:rsidRPr="001E03AF">
        <w:rPr>
          <w:rFonts w:ascii="Arial" w:hAnsi="Arial" w:cs="Arial"/>
          <w:sz w:val="24"/>
          <w:szCs w:val="24"/>
        </w:rPr>
        <w:t xml:space="preserve"> eura, za 202</w:t>
      </w:r>
      <w:r>
        <w:rPr>
          <w:rFonts w:ascii="Arial" w:hAnsi="Arial" w:cs="Arial"/>
          <w:sz w:val="24"/>
          <w:szCs w:val="24"/>
        </w:rPr>
        <w:t>7</w:t>
      </w:r>
      <w:r w:rsidRPr="001E03AF">
        <w:rPr>
          <w:rFonts w:ascii="Arial" w:hAnsi="Arial" w:cs="Arial"/>
          <w:sz w:val="24"/>
          <w:szCs w:val="24"/>
        </w:rPr>
        <w:t>. godinu projekcije iznose 4</w:t>
      </w:r>
      <w:r>
        <w:rPr>
          <w:rFonts w:ascii="Arial" w:hAnsi="Arial" w:cs="Arial"/>
          <w:sz w:val="24"/>
          <w:szCs w:val="24"/>
        </w:rPr>
        <w:t>6.288.000,00</w:t>
      </w:r>
      <w:r w:rsidRPr="001E03AF">
        <w:rPr>
          <w:rFonts w:ascii="Arial" w:hAnsi="Arial" w:cs="Arial"/>
          <w:sz w:val="24"/>
          <w:szCs w:val="24"/>
        </w:rPr>
        <w:t xml:space="preserve"> eura a za 202</w:t>
      </w:r>
      <w:r>
        <w:rPr>
          <w:rFonts w:ascii="Arial" w:hAnsi="Arial" w:cs="Arial"/>
          <w:sz w:val="24"/>
          <w:szCs w:val="24"/>
        </w:rPr>
        <w:t>8</w:t>
      </w:r>
      <w:r w:rsidRPr="001E03AF">
        <w:rPr>
          <w:rFonts w:ascii="Arial" w:hAnsi="Arial" w:cs="Arial"/>
          <w:sz w:val="24"/>
          <w:szCs w:val="24"/>
        </w:rPr>
        <w:t xml:space="preserve">. godinu </w:t>
      </w:r>
      <w:r>
        <w:rPr>
          <w:rFonts w:ascii="Arial" w:hAnsi="Arial" w:cs="Arial"/>
          <w:sz w:val="24"/>
          <w:szCs w:val="24"/>
        </w:rPr>
        <w:t>40.512.500,00</w:t>
      </w:r>
      <w:r w:rsidRPr="001E03AF">
        <w:rPr>
          <w:rFonts w:ascii="Arial" w:hAnsi="Arial" w:cs="Arial"/>
          <w:sz w:val="24"/>
          <w:szCs w:val="24"/>
        </w:rPr>
        <w:t xml:space="preserve"> eura. Prihodi su raščlanjeni i prikazani u tabeli </w:t>
      </w:r>
      <w:r w:rsidRPr="001E03AF">
        <w:rPr>
          <w:rFonts w:ascii="Arial" w:hAnsi="Arial" w:cs="Arial"/>
          <w:i/>
          <w:sz w:val="24"/>
          <w:szCs w:val="24"/>
        </w:rPr>
        <w:t>Prihodi.</w:t>
      </w:r>
    </w:p>
    <w:p w14:paraId="78F814A3" w14:textId="77777777" w:rsidR="00E541EE" w:rsidRDefault="00E541EE" w:rsidP="00E541EE">
      <w:pPr>
        <w:jc w:val="both"/>
        <w:rPr>
          <w:rFonts w:ascii="Arial" w:hAnsi="Arial" w:cs="Arial"/>
          <w:i/>
          <w:sz w:val="24"/>
          <w:szCs w:val="24"/>
        </w:rPr>
      </w:pPr>
    </w:p>
    <w:p w14:paraId="603CA162" w14:textId="77777777" w:rsidR="00E541EE" w:rsidRDefault="00E541EE" w:rsidP="00E541EE">
      <w:pPr>
        <w:ind w:firstLine="708"/>
        <w:jc w:val="both"/>
        <w:rPr>
          <w:rFonts w:ascii="Arial" w:hAnsi="Arial" w:cs="Arial"/>
          <w:sz w:val="24"/>
          <w:szCs w:val="24"/>
        </w:rPr>
      </w:pPr>
      <w:r w:rsidRPr="00CA3F50">
        <w:rPr>
          <w:rFonts w:ascii="Arial" w:hAnsi="Arial" w:cs="Arial"/>
          <w:sz w:val="24"/>
          <w:szCs w:val="24"/>
        </w:rPr>
        <w:t xml:space="preserve">S ciljem što realnijeg utvrđivanja visine prihoda i primitaka Proračuna Grada </w:t>
      </w:r>
      <w:r>
        <w:rPr>
          <w:rFonts w:ascii="Arial" w:hAnsi="Arial" w:cs="Arial"/>
          <w:sz w:val="24"/>
          <w:szCs w:val="24"/>
        </w:rPr>
        <w:t xml:space="preserve">Rovinja-Rovigno </w:t>
      </w:r>
      <w:r w:rsidRPr="00CA3F50">
        <w:rPr>
          <w:rFonts w:ascii="Arial" w:hAnsi="Arial" w:cs="Arial"/>
          <w:sz w:val="24"/>
          <w:szCs w:val="24"/>
        </w:rPr>
        <w:t>razdoblje od 2026.</w:t>
      </w:r>
      <w:r>
        <w:rPr>
          <w:rFonts w:ascii="Arial" w:hAnsi="Arial" w:cs="Arial"/>
          <w:sz w:val="24"/>
          <w:szCs w:val="24"/>
        </w:rPr>
        <w:t xml:space="preserve"> </w:t>
      </w:r>
      <w:r w:rsidRPr="00CA3F50">
        <w:rPr>
          <w:rFonts w:ascii="Arial" w:hAnsi="Arial" w:cs="Arial"/>
          <w:sz w:val="24"/>
          <w:szCs w:val="24"/>
        </w:rPr>
        <w:t>-</w:t>
      </w:r>
      <w:r>
        <w:rPr>
          <w:rFonts w:ascii="Arial" w:hAnsi="Arial" w:cs="Arial"/>
          <w:sz w:val="24"/>
          <w:szCs w:val="24"/>
        </w:rPr>
        <w:t xml:space="preserve"> </w:t>
      </w:r>
      <w:r w:rsidRPr="00CA3F50">
        <w:rPr>
          <w:rFonts w:ascii="Arial" w:hAnsi="Arial" w:cs="Arial"/>
          <w:sz w:val="24"/>
          <w:szCs w:val="24"/>
        </w:rPr>
        <w:t>2028. godine, Upravni odjel za financije je zatražio od ostalih upravnih odjela i proračunskih korisnika procjenu namjenskih i drugih prihoda za čiju su naplatu odgovorni u okviru svoje nadležnosti.</w:t>
      </w:r>
      <w:r>
        <w:rPr>
          <w:rFonts w:ascii="Arial" w:hAnsi="Arial" w:cs="Arial"/>
          <w:sz w:val="24"/>
          <w:szCs w:val="24"/>
        </w:rPr>
        <w:t xml:space="preserve"> Ostali prihodi i primici procijenjeni su na osnovi </w:t>
      </w:r>
      <w:r w:rsidRPr="00CA3F50">
        <w:rPr>
          <w:rFonts w:ascii="Arial" w:hAnsi="Arial" w:cs="Arial"/>
          <w:sz w:val="24"/>
          <w:szCs w:val="24"/>
        </w:rPr>
        <w:t xml:space="preserve">dostupnih informacija i podataka </w:t>
      </w:r>
      <w:r>
        <w:rPr>
          <w:rFonts w:ascii="Arial" w:hAnsi="Arial" w:cs="Arial"/>
          <w:sz w:val="24"/>
          <w:szCs w:val="24"/>
        </w:rPr>
        <w:t xml:space="preserve">i </w:t>
      </w:r>
      <w:r w:rsidRPr="00CA3F50">
        <w:rPr>
          <w:rFonts w:ascii="Arial" w:hAnsi="Arial" w:cs="Arial"/>
          <w:sz w:val="24"/>
          <w:szCs w:val="24"/>
        </w:rPr>
        <w:t xml:space="preserve">zasnivaju </w:t>
      </w:r>
      <w:r>
        <w:rPr>
          <w:rFonts w:ascii="Arial" w:hAnsi="Arial" w:cs="Arial"/>
          <w:sz w:val="24"/>
          <w:szCs w:val="24"/>
        </w:rPr>
        <w:t xml:space="preserve">se </w:t>
      </w:r>
      <w:r w:rsidRPr="00CA3F50">
        <w:rPr>
          <w:rFonts w:ascii="Arial" w:hAnsi="Arial" w:cs="Arial"/>
          <w:sz w:val="24"/>
          <w:szCs w:val="24"/>
        </w:rPr>
        <w:t>na podaci</w:t>
      </w:r>
      <w:r>
        <w:rPr>
          <w:rFonts w:ascii="Arial" w:hAnsi="Arial" w:cs="Arial"/>
          <w:sz w:val="24"/>
          <w:szCs w:val="24"/>
        </w:rPr>
        <w:t>ma</w:t>
      </w:r>
      <w:r w:rsidRPr="00CA3F50">
        <w:rPr>
          <w:rFonts w:ascii="Arial" w:hAnsi="Arial" w:cs="Arial"/>
          <w:sz w:val="24"/>
          <w:szCs w:val="24"/>
        </w:rPr>
        <w:t xml:space="preserve"> o dosadašnjem ostvarenju prihoda i primitaka</w:t>
      </w:r>
      <w:r>
        <w:rPr>
          <w:rFonts w:ascii="Arial" w:hAnsi="Arial" w:cs="Arial"/>
          <w:sz w:val="24"/>
          <w:szCs w:val="24"/>
        </w:rPr>
        <w:t xml:space="preserve">, </w:t>
      </w:r>
      <w:r w:rsidRPr="00CA3F50">
        <w:rPr>
          <w:rFonts w:ascii="Arial" w:hAnsi="Arial" w:cs="Arial"/>
          <w:sz w:val="24"/>
          <w:szCs w:val="24"/>
        </w:rPr>
        <w:t>važeći</w:t>
      </w:r>
      <w:r>
        <w:rPr>
          <w:rFonts w:ascii="Arial" w:hAnsi="Arial" w:cs="Arial"/>
          <w:sz w:val="24"/>
          <w:szCs w:val="24"/>
        </w:rPr>
        <w:t>m</w:t>
      </w:r>
      <w:r w:rsidRPr="00CA3F50">
        <w:rPr>
          <w:rFonts w:ascii="Arial" w:hAnsi="Arial" w:cs="Arial"/>
          <w:sz w:val="24"/>
          <w:szCs w:val="24"/>
        </w:rPr>
        <w:t xml:space="preserve"> zakonski</w:t>
      </w:r>
      <w:r>
        <w:rPr>
          <w:rFonts w:ascii="Arial" w:hAnsi="Arial" w:cs="Arial"/>
          <w:sz w:val="24"/>
          <w:szCs w:val="24"/>
        </w:rPr>
        <w:t>m</w:t>
      </w:r>
      <w:r w:rsidRPr="00CA3F50">
        <w:rPr>
          <w:rFonts w:ascii="Arial" w:hAnsi="Arial" w:cs="Arial"/>
          <w:sz w:val="24"/>
          <w:szCs w:val="24"/>
        </w:rPr>
        <w:t xml:space="preserve"> propisi</w:t>
      </w:r>
      <w:r>
        <w:rPr>
          <w:rFonts w:ascii="Arial" w:hAnsi="Arial" w:cs="Arial"/>
          <w:sz w:val="24"/>
          <w:szCs w:val="24"/>
        </w:rPr>
        <w:t>ma te O</w:t>
      </w:r>
      <w:r w:rsidRPr="00CA3F50">
        <w:rPr>
          <w:rFonts w:ascii="Arial" w:hAnsi="Arial" w:cs="Arial"/>
          <w:sz w:val="24"/>
          <w:szCs w:val="24"/>
        </w:rPr>
        <w:t>dluk</w:t>
      </w:r>
      <w:r>
        <w:rPr>
          <w:rFonts w:ascii="Arial" w:hAnsi="Arial" w:cs="Arial"/>
          <w:sz w:val="24"/>
          <w:szCs w:val="24"/>
        </w:rPr>
        <w:t>ama</w:t>
      </w:r>
      <w:r w:rsidRPr="00CA3F50">
        <w:rPr>
          <w:rFonts w:ascii="Arial" w:hAnsi="Arial" w:cs="Arial"/>
          <w:sz w:val="24"/>
          <w:szCs w:val="24"/>
        </w:rPr>
        <w:t xml:space="preserve"> Grada, sklopljeni</w:t>
      </w:r>
      <w:r>
        <w:rPr>
          <w:rFonts w:ascii="Arial" w:hAnsi="Arial" w:cs="Arial"/>
          <w:sz w:val="24"/>
          <w:szCs w:val="24"/>
        </w:rPr>
        <w:t>m</w:t>
      </w:r>
      <w:r w:rsidRPr="00CA3F50">
        <w:rPr>
          <w:rFonts w:ascii="Arial" w:hAnsi="Arial" w:cs="Arial"/>
          <w:sz w:val="24"/>
          <w:szCs w:val="24"/>
        </w:rPr>
        <w:t xml:space="preserve"> ugovori</w:t>
      </w:r>
      <w:r>
        <w:rPr>
          <w:rFonts w:ascii="Arial" w:hAnsi="Arial" w:cs="Arial"/>
          <w:sz w:val="24"/>
          <w:szCs w:val="24"/>
        </w:rPr>
        <w:t>ma</w:t>
      </w:r>
      <w:r w:rsidRPr="00CA3F50">
        <w:rPr>
          <w:rFonts w:ascii="Arial" w:hAnsi="Arial" w:cs="Arial"/>
          <w:sz w:val="24"/>
          <w:szCs w:val="24"/>
        </w:rPr>
        <w:t xml:space="preserve"> te ostal</w:t>
      </w:r>
      <w:r>
        <w:rPr>
          <w:rFonts w:ascii="Arial" w:hAnsi="Arial" w:cs="Arial"/>
          <w:sz w:val="24"/>
          <w:szCs w:val="24"/>
        </w:rPr>
        <w:t>im</w:t>
      </w:r>
      <w:r w:rsidRPr="00CA3F50">
        <w:rPr>
          <w:rFonts w:ascii="Arial" w:hAnsi="Arial" w:cs="Arial"/>
          <w:sz w:val="24"/>
          <w:szCs w:val="24"/>
        </w:rPr>
        <w:t xml:space="preserve"> dokumenti</w:t>
      </w:r>
      <w:r>
        <w:rPr>
          <w:rFonts w:ascii="Arial" w:hAnsi="Arial" w:cs="Arial"/>
          <w:sz w:val="24"/>
          <w:szCs w:val="24"/>
        </w:rPr>
        <w:t>ma. P</w:t>
      </w:r>
      <w:r w:rsidRPr="001E03AF">
        <w:rPr>
          <w:rFonts w:ascii="Arial" w:hAnsi="Arial" w:cs="Arial"/>
          <w:sz w:val="24"/>
          <w:szCs w:val="24"/>
        </w:rPr>
        <w:t xml:space="preserve">ovećanje prihoda i primitka </w:t>
      </w:r>
      <w:r>
        <w:rPr>
          <w:rFonts w:ascii="Arial" w:hAnsi="Arial" w:cs="Arial"/>
          <w:sz w:val="24"/>
          <w:szCs w:val="24"/>
        </w:rPr>
        <w:t xml:space="preserve">u odnosu na prošlogodišnje primitke i izdatke. </w:t>
      </w:r>
      <w:r w:rsidRPr="001E03AF">
        <w:rPr>
          <w:rFonts w:ascii="Arial" w:hAnsi="Arial" w:cs="Arial"/>
          <w:sz w:val="24"/>
          <w:szCs w:val="24"/>
        </w:rPr>
        <w:t>posljedica</w:t>
      </w:r>
      <w:r>
        <w:rPr>
          <w:rFonts w:ascii="Arial" w:hAnsi="Arial" w:cs="Arial"/>
          <w:sz w:val="24"/>
          <w:szCs w:val="24"/>
        </w:rPr>
        <w:t xml:space="preserve"> je uglavnom povećanja prihoda po osnovi pomoći iz inozemstva na osnovu EU projekata. </w:t>
      </w:r>
    </w:p>
    <w:p w14:paraId="1108034C" w14:textId="77777777" w:rsidR="00E541EE" w:rsidRDefault="00E541EE" w:rsidP="00E541EE">
      <w:pPr>
        <w:ind w:firstLine="708"/>
        <w:jc w:val="both"/>
        <w:rPr>
          <w:rFonts w:ascii="Arial" w:hAnsi="Arial" w:cs="Arial"/>
          <w:sz w:val="24"/>
          <w:szCs w:val="24"/>
        </w:rPr>
      </w:pPr>
    </w:p>
    <w:p w14:paraId="7B733427" w14:textId="77777777" w:rsidR="00E541EE" w:rsidRDefault="00E541EE" w:rsidP="00E541EE">
      <w:pPr>
        <w:ind w:firstLine="708"/>
        <w:jc w:val="both"/>
        <w:rPr>
          <w:rFonts w:ascii="Arial" w:hAnsi="Arial" w:cs="Arial"/>
          <w:sz w:val="24"/>
          <w:szCs w:val="24"/>
        </w:rPr>
      </w:pPr>
      <w:r w:rsidRPr="00712DB2">
        <w:rPr>
          <w:rFonts w:ascii="Arial" w:hAnsi="Arial" w:cs="Arial"/>
          <w:sz w:val="24"/>
          <w:szCs w:val="24"/>
        </w:rPr>
        <w:t xml:space="preserve">Najavljuju se </w:t>
      </w:r>
      <w:r>
        <w:rPr>
          <w:rFonts w:ascii="Arial" w:hAnsi="Arial" w:cs="Arial"/>
          <w:sz w:val="24"/>
          <w:szCs w:val="24"/>
        </w:rPr>
        <w:t xml:space="preserve">i </w:t>
      </w:r>
      <w:r w:rsidRPr="00712DB2">
        <w:rPr>
          <w:rFonts w:ascii="Arial" w:hAnsi="Arial" w:cs="Arial"/>
          <w:sz w:val="24"/>
          <w:szCs w:val="24"/>
        </w:rPr>
        <w:t>ogromne promjene u sustavu dječjih doplataka i poreznih olakšica</w:t>
      </w:r>
      <w:r>
        <w:rPr>
          <w:rFonts w:ascii="Arial" w:hAnsi="Arial" w:cs="Arial"/>
          <w:sz w:val="24"/>
          <w:szCs w:val="24"/>
        </w:rPr>
        <w:t xml:space="preserve"> što bi tijekom 2026. godine moglo dovesti i do povećanja određenih iznosa </w:t>
      </w:r>
      <w:r w:rsidRPr="00712DB2">
        <w:rPr>
          <w:rFonts w:ascii="Arial" w:hAnsi="Arial" w:cs="Arial"/>
          <w:sz w:val="24"/>
          <w:szCs w:val="24"/>
        </w:rPr>
        <w:t xml:space="preserve"> </w:t>
      </w:r>
      <w:r>
        <w:rPr>
          <w:rFonts w:ascii="Arial" w:hAnsi="Arial" w:cs="Arial"/>
          <w:sz w:val="24"/>
          <w:szCs w:val="24"/>
        </w:rPr>
        <w:t>neoporezivih primitaka.</w:t>
      </w:r>
      <w:r w:rsidRPr="0006618B">
        <w:rPr>
          <w:color w:val="0A0A0A"/>
          <w:sz w:val="26"/>
          <w:szCs w:val="26"/>
        </w:rPr>
        <w:t xml:space="preserve"> </w:t>
      </w:r>
      <w:r>
        <w:rPr>
          <w:rFonts w:ascii="Arial" w:hAnsi="Arial" w:cs="Arial"/>
          <w:sz w:val="24"/>
          <w:szCs w:val="24"/>
        </w:rPr>
        <w:t xml:space="preserve">Navedena porezna reforma predviđena je u </w:t>
      </w:r>
      <w:r w:rsidRPr="003F1ECA">
        <w:rPr>
          <w:rFonts w:ascii="Arial" w:hAnsi="Arial" w:cs="Arial"/>
          <w:sz w:val="24"/>
          <w:szCs w:val="24"/>
        </w:rPr>
        <w:t>Prijedlogu plana zakonodavnih aktivnosti Ministarstva financija za 2026. godinu</w:t>
      </w:r>
      <w:r>
        <w:rPr>
          <w:rFonts w:ascii="Arial" w:hAnsi="Arial" w:cs="Arial"/>
          <w:sz w:val="24"/>
          <w:szCs w:val="24"/>
        </w:rPr>
        <w:t xml:space="preserve"> i to kroz Izmjene i dopune Zakona o porezu na dohodak koje su predviđene za treće tromjesječje 2</w:t>
      </w:r>
      <w:r w:rsidRPr="0006618B">
        <w:rPr>
          <w:rFonts w:ascii="Arial" w:hAnsi="Arial" w:cs="Arial"/>
          <w:sz w:val="24"/>
          <w:szCs w:val="24"/>
        </w:rPr>
        <w:t>026. godine.</w:t>
      </w:r>
      <w:r>
        <w:rPr>
          <w:rFonts w:ascii="Arial" w:hAnsi="Arial" w:cs="Arial"/>
          <w:sz w:val="24"/>
          <w:szCs w:val="24"/>
        </w:rPr>
        <w:t xml:space="preserve"> </w:t>
      </w:r>
    </w:p>
    <w:p w14:paraId="0DA4A931" w14:textId="77777777" w:rsidR="00E541EE" w:rsidRDefault="00E541EE" w:rsidP="00E541EE">
      <w:pPr>
        <w:ind w:firstLine="708"/>
        <w:jc w:val="both"/>
        <w:rPr>
          <w:rFonts w:ascii="Arial" w:hAnsi="Arial" w:cs="Arial"/>
          <w:sz w:val="24"/>
          <w:szCs w:val="24"/>
        </w:rPr>
      </w:pPr>
    </w:p>
    <w:p w14:paraId="00FB7B5F" w14:textId="77777777" w:rsidR="00E541EE" w:rsidRPr="0006618B" w:rsidRDefault="00E541EE" w:rsidP="00E541EE">
      <w:pPr>
        <w:ind w:firstLine="708"/>
        <w:jc w:val="both"/>
        <w:rPr>
          <w:rFonts w:ascii="Arial" w:hAnsi="Arial" w:cs="Arial"/>
          <w:sz w:val="24"/>
          <w:szCs w:val="24"/>
        </w:rPr>
      </w:pPr>
      <w:r w:rsidRPr="0006618B">
        <w:rPr>
          <w:rFonts w:ascii="Arial" w:hAnsi="Arial" w:cs="Arial"/>
          <w:sz w:val="24"/>
          <w:szCs w:val="24"/>
        </w:rPr>
        <w:t>Ključna riječ u službenoj najavi glasi „preispitivanje”, a odnosi se na cijeli spektar poreznih olakšica koje građani i poduzeća</w:t>
      </w:r>
      <w:r>
        <w:rPr>
          <w:rFonts w:ascii="Arial" w:hAnsi="Arial" w:cs="Arial"/>
          <w:sz w:val="24"/>
          <w:szCs w:val="24"/>
        </w:rPr>
        <w:t xml:space="preserve"> k</w:t>
      </w:r>
      <w:r w:rsidRPr="0006618B">
        <w:rPr>
          <w:rFonts w:ascii="Arial" w:hAnsi="Arial" w:cs="Arial"/>
          <w:sz w:val="24"/>
          <w:szCs w:val="24"/>
        </w:rPr>
        <w:t>oriste</w:t>
      </w:r>
      <w:r>
        <w:rPr>
          <w:rFonts w:ascii="Arial" w:hAnsi="Arial" w:cs="Arial"/>
          <w:sz w:val="24"/>
          <w:szCs w:val="24"/>
        </w:rPr>
        <w:t xml:space="preserve">, a u fokusu su </w:t>
      </w:r>
      <w:r w:rsidRPr="0006618B">
        <w:rPr>
          <w:rFonts w:ascii="Arial" w:hAnsi="Arial" w:cs="Arial"/>
          <w:sz w:val="24"/>
          <w:szCs w:val="24"/>
        </w:rPr>
        <w:t>o</w:t>
      </w:r>
      <w:r>
        <w:rPr>
          <w:rFonts w:ascii="Arial" w:hAnsi="Arial" w:cs="Arial"/>
          <w:sz w:val="24"/>
          <w:szCs w:val="24"/>
        </w:rPr>
        <w:t>so</w:t>
      </w:r>
      <w:r w:rsidRPr="0006618B">
        <w:rPr>
          <w:rFonts w:ascii="Arial" w:hAnsi="Arial" w:cs="Arial"/>
          <w:sz w:val="24"/>
          <w:szCs w:val="24"/>
        </w:rPr>
        <w:t>bni odbitci</w:t>
      </w:r>
      <w:r>
        <w:rPr>
          <w:rFonts w:ascii="Arial" w:hAnsi="Arial" w:cs="Arial"/>
          <w:sz w:val="24"/>
          <w:szCs w:val="24"/>
        </w:rPr>
        <w:t>,  o</w:t>
      </w:r>
      <w:r w:rsidRPr="0006618B">
        <w:rPr>
          <w:rFonts w:ascii="Arial" w:hAnsi="Arial" w:cs="Arial"/>
          <w:sz w:val="24"/>
          <w:szCs w:val="24"/>
        </w:rPr>
        <w:t>lakšice</w:t>
      </w:r>
      <w:r>
        <w:rPr>
          <w:rFonts w:ascii="Arial" w:hAnsi="Arial" w:cs="Arial"/>
          <w:sz w:val="24"/>
          <w:szCs w:val="24"/>
        </w:rPr>
        <w:t xml:space="preserve"> </w:t>
      </w:r>
      <w:r w:rsidRPr="0006618B">
        <w:rPr>
          <w:rFonts w:ascii="Arial" w:hAnsi="Arial" w:cs="Arial"/>
          <w:sz w:val="24"/>
          <w:szCs w:val="24"/>
        </w:rPr>
        <w:t>za uzdržavane članove obitelji i</w:t>
      </w:r>
      <w:r>
        <w:rPr>
          <w:rFonts w:ascii="Arial" w:hAnsi="Arial" w:cs="Arial"/>
          <w:sz w:val="24"/>
          <w:szCs w:val="24"/>
        </w:rPr>
        <w:t xml:space="preserve"> d</w:t>
      </w:r>
      <w:r w:rsidRPr="0006618B">
        <w:rPr>
          <w:rFonts w:ascii="Arial" w:hAnsi="Arial" w:cs="Arial"/>
          <w:sz w:val="24"/>
          <w:szCs w:val="24"/>
        </w:rPr>
        <w:t>jecu</w:t>
      </w:r>
      <w:r>
        <w:rPr>
          <w:rFonts w:ascii="Arial" w:hAnsi="Arial" w:cs="Arial"/>
          <w:sz w:val="24"/>
          <w:szCs w:val="24"/>
        </w:rPr>
        <w:t xml:space="preserve">, </w:t>
      </w:r>
      <w:r w:rsidRPr="0006618B">
        <w:rPr>
          <w:rFonts w:ascii="Arial" w:hAnsi="Arial" w:cs="Arial"/>
          <w:sz w:val="24"/>
          <w:szCs w:val="24"/>
        </w:rPr>
        <w:t>porezne povlastice za mlade</w:t>
      </w:r>
      <w:r>
        <w:rPr>
          <w:rFonts w:ascii="Arial" w:hAnsi="Arial" w:cs="Arial"/>
          <w:sz w:val="24"/>
          <w:szCs w:val="24"/>
        </w:rPr>
        <w:t xml:space="preserve">, </w:t>
      </w:r>
      <w:r w:rsidRPr="0006618B">
        <w:rPr>
          <w:rFonts w:ascii="Arial" w:hAnsi="Arial" w:cs="Arial"/>
          <w:sz w:val="24"/>
          <w:szCs w:val="24"/>
        </w:rPr>
        <w:t>donacije i autorski honorari</w:t>
      </w:r>
      <w:r>
        <w:rPr>
          <w:rFonts w:ascii="Arial" w:hAnsi="Arial" w:cs="Arial"/>
          <w:sz w:val="24"/>
          <w:szCs w:val="24"/>
        </w:rPr>
        <w:t xml:space="preserve">, </w:t>
      </w:r>
      <w:r w:rsidRPr="0006618B">
        <w:rPr>
          <w:rFonts w:ascii="Arial" w:hAnsi="Arial" w:cs="Arial"/>
          <w:sz w:val="24"/>
          <w:szCs w:val="24"/>
        </w:rPr>
        <w:t>stambene olakšice i</w:t>
      </w:r>
      <w:r>
        <w:rPr>
          <w:rFonts w:ascii="Arial" w:hAnsi="Arial" w:cs="Arial"/>
          <w:sz w:val="24"/>
          <w:szCs w:val="24"/>
        </w:rPr>
        <w:t xml:space="preserve"> naknade </w:t>
      </w:r>
      <w:r w:rsidRPr="0006618B">
        <w:rPr>
          <w:rFonts w:ascii="Arial" w:hAnsi="Arial" w:cs="Arial"/>
          <w:sz w:val="24"/>
          <w:szCs w:val="24"/>
        </w:rPr>
        <w:t>u naravi</w:t>
      </w:r>
      <w:r>
        <w:rPr>
          <w:rFonts w:ascii="Arial" w:hAnsi="Arial" w:cs="Arial"/>
          <w:sz w:val="24"/>
          <w:szCs w:val="24"/>
        </w:rPr>
        <w:t xml:space="preserve"> uz </w:t>
      </w:r>
      <w:r w:rsidRPr="0006618B">
        <w:rPr>
          <w:rFonts w:ascii="Arial" w:hAnsi="Arial" w:cs="Arial"/>
          <w:sz w:val="24"/>
          <w:szCs w:val="24"/>
        </w:rPr>
        <w:t>cilj „postizanj</w:t>
      </w:r>
      <w:r>
        <w:rPr>
          <w:rFonts w:ascii="Arial" w:hAnsi="Arial" w:cs="Arial"/>
          <w:sz w:val="24"/>
          <w:szCs w:val="24"/>
        </w:rPr>
        <w:t>a</w:t>
      </w:r>
      <w:r w:rsidRPr="0006618B">
        <w:rPr>
          <w:rFonts w:ascii="Arial" w:hAnsi="Arial" w:cs="Arial"/>
          <w:sz w:val="24"/>
          <w:szCs w:val="24"/>
        </w:rPr>
        <w:t xml:space="preserve"> veće jednakosti i pravednosti poreznog sustava”. Iako još nema konkretnih brojki ni prijedloga stopa, signalizira se mogućnost promjena u gotovo svim kategorijama dosadašnjih stimulativnih mjera.</w:t>
      </w:r>
    </w:p>
    <w:p w14:paraId="4AB89253" w14:textId="77777777" w:rsidR="00E541EE" w:rsidRDefault="00E541EE" w:rsidP="00E541EE">
      <w:pPr>
        <w:ind w:firstLine="708"/>
        <w:jc w:val="both"/>
        <w:rPr>
          <w:rFonts w:ascii="Arial" w:hAnsi="Arial" w:cs="Arial"/>
          <w:sz w:val="24"/>
          <w:szCs w:val="24"/>
        </w:rPr>
      </w:pPr>
    </w:p>
    <w:p w14:paraId="25D25771" w14:textId="77777777" w:rsidR="00E541EE" w:rsidRDefault="00E541EE" w:rsidP="00E541EE">
      <w:pPr>
        <w:ind w:firstLine="708"/>
        <w:jc w:val="both"/>
        <w:rPr>
          <w:rFonts w:ascii="Arial" w:hAnsi="Arial" w:cs="Arial"/>
          <w:sz w:val="24"/>
          <w:szCs w:val="24"/>
        </w:rPr>
      </w:pPr>
      <w:r w:rsidRPr="0006618B">
        <w:rPr>
          <w:rFonts w:ascii="Arial" w:hAnsi="Arial" w:cs="Arial"/>
          <w:sz w:val="24"/>
          <w:szCs w:val="24"/>
        </w:rPr>
        <w:t>Zadnje velike korekcije provedene su početkom 2024</w:t>
      </w:r>
      <w:r>
        <w:rPr>
          <w:rFonts w:ascii="Arial" w:hAnsi="Arial" w:cs="Arial"/>
          <w:sz w:val="24"/>
          <w:szCs w:val="24"/>
        </w:rPr>
        <w:t xml:space="preserve"> godine</w:t>
      </w:r>
      <w:r w:rsidRPr="0006618B">
        <w:rPr>
          <w:rFonts w:ascii="Arial" w:hAnsi="Arial" w:cs="Arial"/>
          <w:sz w:val="24"/>
          <w:szCs w:val="24"/>
        </w:rPr>
        <w:t>. Tada je lokalnim jedinicama dano pravo određivanja vlastitih stopa poreza na dohodak, smanjene su stope doprinosa, a proširene olakšice za mlađe od 30 godina.</w:t>
      </w:r>
      <w:r>
        <w:rPr>
          <w:rFonts w:ascii="Arial" w:hAnsi="Arial" w:cs="Arial"/>
          <w:sz w:val="24"/>
          <w:szCs w:val="24"/>
        </w:rPr>
        <w:t xml:space="preserve"> </w:t>
      </w:r>
      <w:r w:rsidRPr="0006618B">
        <w:rPr>
          <w:rFonts w:ascii="Arial" w:hAnsi="Arial" w:cs="Arial"/>
          <w:sz w:val="24"/>
          <w:szCs w:val="24"/>
        </w:rPr>
        <w:t>No već sada je jasno da bi preispitivanje olakšica moglo zahvatiti gotovo sve što se u prijašnjim reformama smatralo pravom ili poticajem, pa se pred Vladom opet otvara teško balansiranje između proračunskih prihoda i porezne pravednosti.</w:t>
      </w:r>
    </w:p>
    <w:p w14:paraId="11714E77" w14:textId="77777777" w:rsidR="00E541EE" w:rsidRDefault="00E541EE" w:rsidP="00E541EE">
      <w:pPr>
        <w:ind w:firstLine="708"/>
        <w:jc w:val="both"/>
        <w:rPr>
          <w:rFonts w:ascii="Arial" w:hAnsi="Arial" w:cs="Arial"/>
          <w:sz w:val="24"/>
          <w:szCs w:val="24"/>
        </w:rPr>
      </w:pPr>
      <w:r>
        <w:rPr>
          <w:rFonts w:ascii="Arial" w:hAnsi="Arial" w:cs="Arial"/>
          <w:sz w:val="24"/>
          <w:szCs w:val="24"/>
        </w:rPr>
        <w:t>Ukupno planirani prihodi po skupinama prikazani su u tabelarnom prikazu koji slijedi.</w:t>
      </w:r>
    </w:p>
    <w:p w14:paraId="42DBD87D" w14:textId="77777777" w:rsidR="00E541EE" w:rsidRDefault="00E541EE" w:rsidP="00E541EE">
      <w:pPr>
        <w:pStyle w:val="Odlomakpopisa"/>
        <w:ind w:left="0"/>
        <w:jc w:val="both"/>
        <w:rPr>
          <w:b/>
          <w:iCs/>
          <w:highlight w:val="green"/>
          <w:lang w:val="hr-HR"/>
        </w:rPr>
      </w:pPr>
    </w:p>
    <w:tbl>
      <w:tblPr>
        <w:tblW w:w="5000" w:type="pct"/>
        <w:jc w:val="center"/>
        <w:tblLook w:val="04A0" w:firstRow="1" w:lastRow="0" w:firstColumn="1" w:lastColumn="0" w:noHBand="0" w:noVBand="1"/>
      </w:tblPr>
      <w:tblGrid>
        <w:gridCol w:w="832"/>
        <w:gridCol w:w="928"/>
        <w:gridCol w:w="2025"/>
        <w:gridCol w:w="1403"/>
        <w:gridCol w:w="1403"/>
        <w:gridCol w:w="1403"/>
        <w:gridCol w:w="1403"/>
        <w:gridCol w:w="799"/>
      </w:tblGrid>
      <w:tr w:rsidR="00E541EE" w:rsidRPr="00AC5BB2" w14:paraId="25F93F99" w14:textId="77777777" w:rsidTr="00A84BB5">
        <w:trPr>
          <w:trHeight w:val="555"/>
          <w:jc w:val="center"/>
        </w:trPr>
        <w:tc>
          <w:tcPr>
            <w:tcW w:w="408"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070D022A" w14:textId="77777777" w:rsidR="00E541EE" w:rsidRPr="00AC5BB2" w:rsidRDefault="00E541EE" w:rsidP="00A84BB5">
            <w:pPr>
              <w:jc w:val="center"/>
              <w:rPr>
                <w:rFonts w:ascii="Arial" w:eastAsia="Times New Roman" w:hAnsi="Arial" w:cs="Arial"/>
                <w:b/>
                <w:bCs/>
                <w:color w:val="000000"/>
                <w:sz w:val="16"/>
                <w:szCs w:val="16"/>
              </w:rPr>
            </w:pPr>
            <w:r w:rsidRPr="00AC5BB2">
              <w:rPr>
                <w:rFonts w:ascii="Arial" w:eastAsia="Times New Roman" w:hAnsi="Arial" w:cs="Arial"/>
                <w:b/>
                <w:bCs/>
                <w:color w:val="000000"/>
                <w:sz w:val="16"/>
                <w:szCs w:val="16"/>
              </w:rPr>
              <w:t>Razred</w:t>
            </w:r>
          </w:p>
        </w:tc>
        <w:tc>
          <w:tcPr>
            <w:tcW w:w="455" w:type="pct"/>
            <w:tcBorders>
              <w:top w:val="single" w:sz="4" w:space="0" w:color="000000"/>
              <w:left w:val="nil"/>
              <w:bottom w:val="single" w:sz="4" w:space="0" w:color="000000"/>
              <w:right w:val="single" w:sz="4" w:space="0" w:color="000000"/>
            </w:tcBorders>
            <w:shd w:val="clear" w:color="auto" w:fill="B4C6E7" w:themeFill="accent1" w:themeFillTint="66"/>
            <w:vAlign w:val="center"/>
            <w:hideMark/>
          </w:tcPr>
          <w:p w14:paraId="1918B511" w14:textId="77777777" w:rsidR="00E541EE" w:rsidRPr="00AC5BB2" w:rsidRDefault="00E541EE" w:rsidP="00A84BB5">
            <w:pPr>
              <w:jc w:val="center"/>
              <w:rPr>
                <w:rFonts w:ascii="Arial" w:eastAsia="Times New Roman" w:hAnsi="Arial" w:cs="Arial"/>
                <w:b/>
                <w:bCs/>
                <w:color w:val="000000"/>
                <w:sz w:val="16"/>
                <w:szCs w:val="16"/>
              </w:rPr>
            </w:pPr>
            <w:r w:rsidRPr="00AC5BB2">
              <w:rPr>
                <w:rFonts w:ascii="Arial" w:eastAsia="Times New Roman" w:hAnsi="Arial" w:cs="Arial"/>
                <w:b/>
                <w:bCs/>
                <w:color w:val="000000"/>
                <w:sz w:val="16"/>
                <w:szCs w:val="16"/>
              </w:rPr>
              <w:t>Skupina</w:t>
            </w:r>
          </w:p>
        </w:tc>
        <w:tc>
          <w:tcPr>
            <w:tcW w:w="993" w:type="pct"/>
            <w:tcBorders>
              <w:top w:val="single" w:sz="4" w:space="0" w:color="000000"/>
              <w:left w:val="nil"/>
              <w:bottom w:val="single" w:sz="4" w:space="0" w:color="000000"/>
              <w:right w:val="single" w:sz="4" w:space="0" w:color="000000"/>
            </w:tcBorders>
            <w:shd w:val="clear" w:color="auto" w:fill="B4C6E7" w:themeFill="accent1" w:themeFillTint="66"/>
            <w:vAlign w:val="center"/>
            <w:hideMark/>
          </w:tcPr>
          <w:p w14:paraId="63E6FC4E" w14:textId="77777777" w:rsidR="00E541EE" w:rsidRPr="00AC5BB2" w:rsidRDefault="00E541EE" w:rsidP="00A84BB5">
            <w:pPr>
              <w:jc w:val="center"/>
              <w:rPr>
                <w:rFonts w:ascii="Arial" w:eastAsia="Times New Roman" w:hAnsi="Arial" w:cs="Arial"/>
                <w:b/>
                <w:bCs/>
                <w:color w:val="000000"/>
                <w:sz w:val="16"/>
                <w:szCs w:val="16"/>
              </w:rPr>
            </w:pPr>
            <w:r w:rsidRPr="00AC5BB2">
              <w:rPr>
                <w:rFonts w:ascii="Arial" w:eastAsia="Times New Roman" w:hAnsi="Arial" w:cs="Arial"/>
                <w:b/>
                <w:bCs/>
                <w:color w:val="000000"/>
                <w:sz w:val="16"/>
                <w:szCs w:val="16"/>
              </w:rPr>
              <w:t>Naziv prihoda</w:t>
            </w:r>
          </w:p>
        </w:tc>
        <w:tc>
          <w:tcPr>
            <w:tcW w:w="688" w:type="pct"/>
            <w:tcBorders>
              <w:top w:val="single" w:sz="4" w:space="0" w:color="000000"/>
              <w:left w:val="nil"/>
              <w:bottom w:val="single" w:sz="4" w:space="0" w:color="000000"/>
              <w:right w:val="single" w:sz="4" w:space="0" w:color="000000"/>
            </w:tcBorders>
            <w:shd w:val="clear" w:color="auto" w:fill="B4C6E7" w:themeFill="accent1" w:themeFillTint="66"/>
            <w:vAlign w:val="center"/>
            <w:hideMark/>
          </w:tcPr>
          <w:p w14:paraId="2F6A1FD8" w14:textId="77777777" w:rsidR="00E541EE" w:rsidRPr="00AC5BB2" w:rsidRDefault="00E541EE" w:rsidP="00A84BB5">
            <w:pPr>
              <w:jc w:val="center"/>
              <w:rPr>
                <w:rFonts w:ascii="Arial" w:eastAsia="Times New Roman" w:hAnsi="Arial" w:cs="Arial"/>
                <w:b/>
                <w:bCs/>
                <w:color w:val="000000"/>
                <w:sz w:val="16"/>
                <w:szCs w:val="16"/>
              </w:rPr>
            </w:pPr>
            <w:r w:rsidRPr="00AC5BB2">
              <w:rPr>
                <w:rFonts w:ascii="Arial" w:eastAsia="Times New Roman" w:hAnsi="Arial" w:cs="Arial"/>
                <w:b/>
                <w:bCs/>
                <w:color w:val="000000"/>
                <w:sz w:val="16"/>
                <w:szCs w:val="16"/>
              </w:rPr>
              <w:t>Tekući plan 2025.</w:t>
            </w:r>
          </w:p>
        </w:tc>
        <w:tc>
          <w:tcPr>
            <w:tcW w:w="688" w:type="pct"/>
            <w:tcBorders>
              <w:top w:val="single" w:sz="4" w:space="0" w:color="000000"/>
              <w:left w:val="nil"/>
              <w:bottom w:val="single" w:sz="4" w:space="0" w:color="000000"/>
              <w:right w:val="single" w:sz="4" w:space="0" w:color="000000"/>
            </w:tcBorders>
            <w:shd w:val="clear" w:color="auto" w:fill="B4C6E7" w:themeFill="accent1" w:themeFillTint="66"/>
            <w:vAlign w:val="center"/>
            <w:hideMark/>
          </w:tcPr>
          <w:p w14:paraId="15545D57" w14:textId="77777777" w:rsidR="00E541EE" w:rsidRPr="00AC5BB2" w:rsidRDefault="00E541EE" w:rsidP="00A84BB5">
            <w:pPr>
              <w:jc w:val="center"/>
              <w:rPr>
                <w:rFonts w:ascii="Arial" w:eastAsia="Times New Roman" w:hAnsi="Arial" w:cs="Arial"/>
                <w:b/>
                <w:bCs/>
                <w:color w:val="000000"/>
                <w:sz w:val="16"/>
                <w:szCs w:val="16"/>
              </w:rPr>
            </w:pPr>
            <w:r w:rsidRPr="00AC5BB2">
              <w:rPr>
                <w:rFonts w:ascii="Arial" w:eastAsia="Times New Roman" w:hAnsi="Arial" w:cs="Arial"/>
                <w:b/>
                <w:bCs/>
                <w:color w:val="000000"/>
                <w:sz w:val="16"/>
                <w:szCs w:val="16"/>
              </w:rPr>
              <w:t>Plan 2026.</w:t>
            </w:r>
          </w:p>
        </w:tc>
        <w:tc>
          <w:tcPr>
            <w:tcW w:w="688" w:type="pct"/>
            <w:tcBorders>
              <w:top w:val="single" w:sz="4" w:space="0" w:color="000000"/>
              <w:left w:val="nil"/>
              <w:bottom w:val="single" w:sz="4" w:space="0" w:color="000000"/>
              <w:right w:val="single" w:sz="4" w:space="0" w:color="000000"/>
            </w:tcBorders>
            <w:shd w:val="clear" w:color="auto" w:fill="B4C6E7" w:themeFill="accent1" w:themeFillTint="66"/>
            <w:vAlign w:val="center"/>
            <w:hideMark/>
          </w:tcPr>
          <w:p w14:paraId="608D8B1A" w14:textId="77777777" w:rsidR="00E541EE" w:rsidRPr="00AC5BB2" w:rsidRDefault="00E541EE" w:rsidP="00A84BB5">
            <w:pPr>
              <w:jc w:val="center"/>
              <w:rPr>
                <w:rFonts w:ascii="Arial" w:eastAsia="Times New Roman" w:hAnsi="Arial" w:cs="Arial"/>
                <w:b/>
                <w:bCs/>
                <w:color w:val="000000"/>
                <w:sz w:val="16"/>
                <w:szCs w:val="16"/>
              </w:rPr>
            </w:pPr>
            <w:r w:rsidRPr="00AC5BB2">
              <w:rPr>
                <w:rFonts w:ascii="Arial" w:eastAsia="Times New Roman" w:hAnsi="Arial" w:cs="Arial"/>
                <w:b/>
                <w:bCs/>
                <w:color w:val="000000"/>
                <w:sz w:val="16"/>
                <w:szCs w:val="16"/>
              </w:rPr>
              <w:t>Projekcija 2027.</w:t>
            </w:r>
          </w:p>
        </w:tc>
        <w:tc>
          <w:tcPr>
            <w:tcW w:w="688" w:type="pct"/>
            <w:tcBorders>
              <w:top w:val="single" w:sz="4" w:space="0" w:color="000000"/>
              <w:left w:val="nil"/>
              <w:bottom w:val="single" w:sz="4" w:space="0" w:color="000000"/>
              <w:right w:val="nil"/>
            </w:tcBorders>
            <w:shd w:val="clear" w:color="auto" w:fill="B4C6E7" w:themeFill="accent1" w:themeFillTint="66"/>
            <w:vAlign w:val="center"/>
            <w:hideMark/>
          </w:tcPr>
          <w:p w14:paraId="311E3CA3" w14:textId="77777777" w:rsidR="00E541EE" w:rsidRPr="00AC5BB2" w:rsidRDefault="00E541EE" w:rsidP="00A84BB5">
            <w:pPr>
              <w:jc w:val="center"/>
              <w:rPr>
                <w:rFonts w:ascii="Arial" w:eastAsia="Times New Roman" w:hAnsi="Arial" w:cs="Arial"/>
                <w:b/>
                <w:bCs/>
                <w:color w:val="000000"/>
                <w:sz w:val="16"/>
                <w:szCs w:val="16"/>
              </w:rPr>
            </w:pPr>
            <w:r w:rsidRPr="00AC5BB2">
              <w:rPr>
                <w:rFonts w:ascii="Arial" w:eastAsia="Times New Roman" w:hAnsi="Arial" w:cs="Arial"/>
                <w:b/>
                <w:bCs/>
                <w:color w:val="000000"/>
                <w:sz w:val="16"/>
                <w:szCs w:val="16"/>
              </w:rPr>
              <w:t>Projekcija 2028.</w:t>
            </w:r>
          </w:p>
        </w:tc>
        <w:tc>
          <w:tcPr>
            <w:tcW w:w="39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hideMark/>
          </w:tcPr>
          <w:p w14:paraId="70090B09" w14:textId="77777777" w:rsidR="00E541EE" w:rsidRPr="00AC5BB2" w:rsidRDefault="00E541EE" w:rsidP="00A84BB5">
            <w:pPr>
              <w:jc w:val="center"/>
              <w:rPr>
                <w:rFonts w:ascii="Arial" w:eastAsia="Times New Roman" w:hAnsi="Arial" w:cs="Arial"/>
                <w:b/>
                <w:bCs/>
                <w:color w:val="000000"/>
                <w:sz w:val="16"/>
                <w:szCs w:val="16"/>
              </w:rPr>
            </w:pPr>
            <w:r w:rsidRPr="00AC5BB2">
              <w:rPr>
                <w:rFonts w:ascii="Arial" w:eastAsia="Times New Roman" w:hAnsi="Arial" w:cs="Arial"/>
                <w:b/>
                <w:bCs/>
                <w:color w:val="000000"/>
                <w:sz w:val="16"/>
                <w:szCs w:val="16"/>
              </w:rPr>
              <w:t>Indeks</w:t>
            </w:r>
          </w:p>
        </w:tc>
      </w:tr>
      <w:tr w:rsidR="00E541EE" w:rsidRPr="00AC5BB2" w14:paraId="341A1427" w14:textId="77777777" w:rsidTr="00A84BB5">
        <w:trPr>
          <w:trHeight w:val="345"/>
          <w:jc w:val="center"/>
        </w:trPr>
        <w:tc>
          <w:tcPr>
            <w:tcW w:w="408" w:type="pct"/>
            <w:tcBorders>
              <w:top w:val="nil"/>
              <w:left w:val="single" w:sz="4" w:space="0" w:color="000000"/>
              <w:bottom w:val="single" w:sz="4" w:space="0" w:color="000000"/>
              <w:right w:val="single" w:sz="4" w:space="0" w:color="000000"/>
            </w:tcBorders>
            <w:shd w:val="clear" w:color="auto" w:fill="B4C6E7" w:themeFill="accent1" w:themeFillTint="66"/>
            <w:vAlign w:val="center"/>
            <w:hideMark/>
          </w:tcPr>
          <w:p w14:paraId="660996A3" w14:textId="77777777" w:rsidR="00E541EE" w:rsidRPr="00AC5BB2" w:rsidRDefault="00E541EE" w:rsidP="00A84BB5">
            <w:pPr>
              <w:rPr>
                <w:rFonts w:ascii="Arial" w:eastAsia="Times New Roman" w:hAnsi="Arial" w:cs="Arial"/>
                <w:b/>
                <w:bCs/>
                <w:color w:val="000000"/>
                <w:sz w:val="16"/>
                <w:szCs w:val="16"/>
              </w:rPr>
            </w:pPr>
            <w:r w:rsidRPr="00AC5BB2">
              <w:rPr>
                <w:rFonts w:ascii="Arial" w:eastAsia="Times New Roman" w:hAnsi="Arial" w:cs="Arial"/>
                <w:b/>
                <w:bCs/>
                <w:color w:val="000000"/>
                <w:sz w:val="16"/>
                <w:szCs w:val="16"/>
              </w:rPr>
              <w:t> </w:t>
            </w:r>
          </w:p>
        </w:tc>
        <w:tc>
          <w:tcPr>
            <w:tcW w:w="455" w:type="pct"/>
            <w:tcBorders>
              <w:top w:val="nil"/>
              <w:left w:val="nil"/>
              <w:bottom w:val="single" w:sz="4" w:space="0" w:color="000000"/>
              <w:right w:val="single" w:sz="4" w:space="0" w:color="000000"/>
            </w:tcBorders>
            <w:shd w:val="clear" w:color="auto" w:fill="B4C6E7" w:themeFill="accent1" w:themeFillTint="66"/>
            <w:vAlign w:val="center"/>
            <w:hideMark/>
          </w:tcPr>
          <w:p w14:paraId="18E4E50D" w14:textId="77777777" w:rsidR="00E541EE" w:rsidRPr="00AC5BB2" w:rsidRDefault="00E541EE" w:rsidP="00A84BB5">
            <w:pPr>
              <w:rPr>
                <w:rFonts w:ascii="Arial" w:eastAsia="Times New Roman" w:hAnsi="Arial" w:cs="Arial"/>
                <w:b/>
                <w:bCs/>
                <w:color w:val="000000"/>
                <w:sz w:val="16"/>
                <w:szCs w:val="16"/>
              </w:rPr>
            </w:pPr>
            <w:r w:rsidRPr="00AC5BB2">
              <w:rPr>
                <w:rFonts w:ascii="Arial" w:eastAsia="Times New Roman" w:hAnsi="Arial" w:cs="Arial"/>
                <w:b/>
                <w:bCs/>
                <w:color w:val="000000"/>
                <w:sz w:val="16"/>
                <w:szCs w:val="16"/>
              </w:rPr>
              <w:t> </w:t>
            </w:r>
          </w:p>
        </w:tc>
        <w:tc>
          <w:tcPr>
            <w:tcW w:w="993" w:type="pct"/>
            <w:tcBorders>
              <w:top w:val="nil"/>
              <w:left w:val="nil"/>
              <w:bottom w:val="single" w:sz="4" w:space="0" w:color="000000"/>
              <w:right w:val="single" w:sz="4" w:space="0" w:color="000000"/>
            </w:tcBorders>
            <w:shd w:val="clear" w:color="auto" w:fill="B4C6E7" w:themeFill="accent1" w:themeFillTint="66"/>
            <w:vAlign w:val="center"/>
            <w:hideMark/>
          </w:tcPr>
          <w:p w14:paraId="2033E48A" w14:textId="77777777" w:rsidR="00E541EE" w:rsidRPr="00AC5BB2" w:rsidRDefault="00E541EE" w:rsidP="00A84BB5">
            <w:pPr>
              <w:rPr>
                <w:rFonts w:ascii="Arial" w:eastAsia="Times New Roman" w:hAnsi="Arial" w:cs="Arial"/>
                <w:b/>
                <w:bCs/>
                <w:color w:val="000000"/>
                <w:sz w:val="16"/>
                <w:szCs w:val="16"/>
              </w:rPr>
            </w:pPr>
            <w:r w:rsidRPr="00AC5BB2">
              <w:rPr>
                <w:rFonts w:ascii="Arial" w:eastAsia="Times New Roman" w:hAnsi="Arial" w:cs="Arial"/>
                <w:b/>
                <w:bCs/>
                <w:color w:val="000000"/>
                <w:sz w:val="16"/>
                <w:szCs w:val="16"/>
              </w:rPr>
              <w:t>UKUPNO PRIHODI</w:t>
            </w:r>
          </w:p>
        </w:tc>
        <w:tc>
          <w:tcPr>
            <w:tcW w:w="688" w:type="pct"/>
            <w:tcBorders>
              <w:top w:val="nil"/>
              <w:left w:val="nil"/>
              <w:bottom w:val="single" w:sz="4" w:space="0" w:color="000000"/>
              <w:right w:val="single" w:sz="4" w:space="0" w:color="000000"/>
            </w:tcBorders>
            <w:shd w:val="clear" w:color="auto" w:fill="B4C6E7" w:themeFill="accent1" w:themeFillTint="66"/>
            <w:vAlign w:val="center"/>
            <w:hideMark/>
          </w:tcPr>
          <w:p w14:paraId="01D33A2F" w14:textId="77777777" w:rsidR="00E541EE" w:rsidRPr="00AC5BB2" w:rsidRDefault="00E541EE" w:rsidP="00A84BB5">
            <w:pPr>
              <w:jc w:val="center"/>
              <w:rPr>
                <w:rFonts w:ascii="Arial" w:eastAsia="Times New Roman" w:hAnsi="Arial" w:cs="Arial"/>
                <w:b/>
                <w:bCs/>
                <w:color w:val="000000"/>
                <w:sz w:val="16"/>
                <w:szCs w:val="16"/>
              </w:rPr>
            </w:pPr>
            <w:r w:rsidRPr="00AC5BB2">
              <w:rPr>
                <w:rFonts w:ascii="Arial" w:eastAsia="Times New Roman" w:hAnsi="Arial" w:cs="Arial"/>
                <w:b/>
                <w:bCs/>
                <w:color w:val="000000"/>
                <w:sz w:val="16"/>
                <w:szCs w:val="16"/>
              </w:rPr>
              <w:t xml:space="preserve">46.063.896,26   </w:t>
            </w:r>
          </w:p>
        </w:tc>
        <w:tc>
          <w:tcPr>
            <w:tcW w:w="688" w:type="pct"/>
            <w:tcBorders>
              <w:top w:val="nil"/>
              <w:left w:val="nil"/>
              <w:bottom w:val="single" w:sz="4" w:space="0" w:color="000000"/>
              <w:right w:val="single" w:sz="4" w:space="0" w:color="000000"/>
            </w:tcBorders>
            <w:shd w:val="clear" w:color="auto" w:fill="B4C6E7" w:themeFill="accent1" w:themeFillTint="66"/>
            <w:vAlign w:val="center"/>
            <w:hideMark/>
          </w:tcPr>
          <w:p w14:paraId="1F6BCB75" w14:textId="77777777" w:rsidR="00E541EE" w:rsidRPr="00AC5BB2" w:rsidRDefault="00E541EE" w:rsidP="00A84BB5">
            <w:pPr>
              <w:jc w:val="center"/>
              <w:rPr>
                <w:rFonts w:ascii="Arial" w:eastAsia="Times New Roman" w:hAnsi="Arial" w:cs="Arial"/>
                <w:b/>
                <w:bCs/>
                <w:color w:val="000000"/>
                <w:sz w:val="16"/>
                <w:szCs w:val="16"/>
              </w:rPr>
            </w:pPr>
            <w:r w:rsidRPr="00AC5BB2">
              <w:rPr>
                <w:rFonts w:ascii="Arial" w:eastAsia="Times New Roman" w:hAnsi="Arial" w:cs="Arial"/>
                <w:b/>
                <w:bCs/>
                <w:color w:val="000000"/>
                <w:sz w:val="16"/>
                <w:szCs w:val="16"/>
              </w:rPr>
              <w:t xml:space="preserve">45.221.136,66   </w:t>
            </w:r>
          </w:p>
        </w:tc>
        <w:tc>
          <w:tcPr>
            <w:tcW w:w="688" w:type="pct"/>
            <w:tcBorders>
              <w:top w:val="nil"/>
              <w:left w:val="nil"/>
              <w:bottom w:val="single" w:sz="4" w:space="0" w:color="000000"/>
              <w:right w:val="single" w:sz="4" w:space="0" w:color="000000"/>
            </w:tcBorders>
            <w:shd w:val="clear" w:color="auto" w:fill="B4C6E7" w:themeFill="accent1" w:themeFillTint="66"/>
            <w:vAlign w:val="center"/>
            <w:hideMark/>
          </w:tcPr>
          <w:p w14:paraId="05690BB2" w14:textId="77777777" w:rsidR="00E541EE" w:rsidRPr="00AC5BB2" w:rsidRDefault="00E541EE" w:rsidP="00A84BB5">
            <w:pPr>
              <w:jc w:val="center"/>
              <w:rPr>
                <w:rFonts w:ascii="Arial" w:eastAsia="Times New Roman" w:hAnsi="Arial" w:cs="Arial"/>
                <w:b/>
                <w:bCs/>
                <w:color w:val="000000"/>
                <w:sz w:val="16"/>
                <w:szCs w:val="16"/>
              </w:rPr>
            </w:pPr>
            <w:r w:rsidRPr="00AC5BB2">
              <w:rPr>
                <w:rFonts w:ascii="Arial" w:eastAsia="Times New Roman" w:hAnsi="Arial" w:cs="Arial"/>
                <w:b/>
                <w:bCs/>
                <w:color w:val="000000"/>
                <w:sz w:val="16"/>
                <w:szCs w:val="16"/>
              </w:rPr>
              <w:t xml:space="preserve">46.288.000,00   </w:t>
            </w:r>
          </w:p>
        </w:tc>
        <w:tc>
          <w:tcPr>
            <w:tcW w:w="688" w:type="pct"/>
            <w:tcBorders>
              <w:top w:val="nil"/>
              <w:left w:val="nil"/>
              <w:bottom w:val="single" w:sz="4" w:space="0" w:color="000000"/>
              <w:right w:val="nil"/>
            </w:tcBorders>
            <w:shd w:val="clear" w:color="auto" w:fill="B4C6E7" w:themeFill="accent1" w:themeFillTint="66"/>
            <w:vAlign w:val="center"/>
            <w:hideMark/>
          </w:tcPr>
          <w:p w14:paraId="29F25B05" w14:textId="77777777" w:rsidR="00E541EE" w:rsidRPr="00AC5BB2" w:rsidRDefault="00E541EE" w:rsidP="00A84BB5">
            <w:pPr>
              <w:jc w:val="center"/>
              <w:rPr>
                <w:rFonts w:ascii="Arial" w:eastAsia="Times New Roman" w:hAnsi="Arial" w:cs="Arial"/>
                <w:b/>
                <w:bCs/>
                <w:color w:val="000000"/>
                <w:sz w:val="16"/>
                <w:szCs w:val="16"/>
              </w:rPr>
            </w:pPr>
            <w:r w:rsidRPr="00AC5BB2">
              <w:rPr>
                <w:rFonts w:ascii="Arial" w:eastAsia="Times New Roman" w:hAnsi="Arial" w:cs="Arial"/>
                <w:b/>
                <w:bCs/>
                <w:color w:val="000000"/>
                <w:sz w:val="16"/>
                <w:szCs w:val="16"/>
              </w:rPr>
              <w:t xml:space="preserve">40.512.500,00   </w:t>
            </w:r>
          </w:p>
        </w:tc>
        <w:tc>
          <w:tcPr>
            <w:tcW w:w="392" w:type="pct"/>
            <w:tcBorders>
              <w:top w:val="nil"/>
              <w:left w:val="single" w:sz="4" w:space="0" w:color="auto"/>
              <w:bottom w:val="single" w:sz="4" w:space="0" w:color="auto"/>
              <w:right w:val="single" w:sz="4" w:space="0" w:color="auto"/>
            </w:tcBorders>
            <w:shd w:val="clear" w:color="auto" w:fill="B4C6E7" w:themeFill="accent1" w:themeFillTint="66"/>
            <w:noWrap/>
            <w:vAlign w:val="center"/>
            <w:hideMark/>
          </w:tcPr>
          <w:p w14:paraId="519AA0DD" w14:textId="77777777" w:rsidR="00E541EE" w:rsidRPr="00AC5BB2" w:rsidRDefault="00E541EE" w:rsidP="00A84BB5">
            <w:pPr>
              <w:jc w:val="right"/>
              <w:rPr>
                <w:rFonts w:ascii="Arial" w:eastAsia="Times New Roman" w:hAnsi="Arial" w:cs="Arial"/>
                <w:color w:val="000000"/>
                <w:sz w:val="16"/>
                <w:szCs w:val="16"/>
              </w:rPr>
            </w:pPr>
            <w:r w:rsidRPr="00AC5BB2">
              <w:rPr>
                <w:rFonts w:ascii="Arial" w:eastAsia="Times New Roman" w:hAnsi="Arial" w:cs="Arial"/>
                <w:color w:val="000000"/>
                <w:sz w:val="16"/>
                <w:szCs w:val="16"/>
              </w:rPr>
              <w:t xml:space="preserve">98,17   </w:t>
            </w:r>
          </w:p>
        </w:tc>
      </w:tr>
      <w:tr w:rsidR="00E541EE" w:rsidRPr="00AC5BB2" w14:paraId="7F4F8CD7" w14:textId="77777777" w:rsidTr="00A84BB5">
        <w:trPr>
          <w:trHeight w:val="360"/>
          <w:jc w:val="center"/>
        </w:trPr>
        <w:tc>
          <w:tcPr>
            <w:tcW w:w="408" w:type="pct"/>
            <w:tcBorders>
              <w:top w:val="nil"/>
              <w:left w:val="single" w:sz="4" w:space="0" w:color="000000"/>
              <w:bottom w:val="single" w:sz="4" w:space="0" w:color="000000"/>
              <w:right w:val="single" w:sz="4" w:space="0" w:color="000000"/>
            </w:tcBorders>
            <w:shd w:val="clear" w:color="auto" w:fill="D6E1F2"/>
            <w:vAlign w:val="center"/>
            <w:hideMark/>
          </w:tcPr>
          <w:p w14:paraId="6783FC26" w14:textId="77777777" w:rsidR="00E541EE" w:rsidRPr="00AC5BB2" w:rsidRDefault="00E541EE" w:rsidP="00A84BB5">
            <w:pPr>
              <w:jc w:val="center"/>
              <w:rPr>
                <w:rFonts w:ascii="Arial" w:eastAsia="Times New Roman" w:hAnsi="Arial" w:cs="Arial"/>
                <w:b/>
                <w:bCs/>
                <w:color w:val="000000"/>
                <w:sz w:val="16"/>
                <w:szCs w:val="16"/>
              </w:rPr>
            </w:pPr>
            <w:r w:rsidRPr="00AC5BB2">
              <w:rPr>
                <w:rFonts w:ascii="Arial" w:eastAsia="Times New Roman" w:hAnsi="Arial" w:cs="Arial"/>
                <w:b/>
                <w:bCs/>
                <w:color w:val="000000"/>
                <w:sz w:val="16"/>
                <w:szCs w:val="16"/>
              </w:rPr>
              <w:t>6</w:t>
            </w:r>
          </w:p>
        </w:tc>
        <w:tc>
          <w:tcPr>
            <w:tcW w:w="455" w:type="pct"/>
            <w:tcBorders>
              <w:top w:val="nil"/>
              <w:left w:val="nil"/>
              <w:bottom w:val="single" w:sz="4" w:space="0" w:color="000000"/>
              <w:right w:val="single" w:sz="4" w:space="0" w:color="000000"/>
            </w:tcBorders>
            <w:shd w:val="clear" w:color="auto" w:fill="D6E1F2"/>
            <w:hideMark/>
          </w:tcPr>
          <w:p w14:paraId="4D6D31CB" w14:textId="77777777" w:rsidR="00E541EE" w:rsidRPr="00AC5BB2" w:rsidRDefault="00E541EE" w:rsidP="00A84BB5">
            <w:pPr>
              <w:jc w:val="center"/>
              <w:rPr>
                <w:rFonts w:ascii="Arial" w:eastAsia="Times New Roman" w:hAnsi="Arial" w:cs="Arial"/>
                <w:color w:val="000000"/>
                <w:sz w:val="18"/>
                <w:szCs w:val="18"/>
              </w:rPr>
            </w:pPr>
            <w:r w:rsidRPr="00AC5BB2">
              <w:rPr>
                <w:rFonts w:ascii="Arial" w:eastAsia="Times New Roman" w:hAnsi="Arial" w:cs="Arial"/>
                <w:color w:val="000000"/>
                <w:sz w:val="18"/>
                <w:szCs w:val="18"/>
              </w:rPr>
              <w:t> </w:t>
            </w:r>
          </w:p>
        </w:tc>
        <w:tc>
          <w:tcPr>
            <w:tcW w:w="993" w:type="pct"/>
            <w:tcBorders>
              <w:top w:val="nil"/>
              <w:left w:val="nil"/>
              <w:bottom w:val="single" w:sz="4" w:space="0" w:color="000000"/>
              <w:right w:val="single" w:sz="4" w:space="0" w:color="000000"/>
            </w:tcBorders>
            <w:shd w:val="clear" w:color="auto" w:fill="D6E1F2"/>
            <w:vAlign w:val="center"/>
            <w:hideMark/>
          </w:tcPr>
          <w:p w14:paraId="711C197A" w14:textId="77777777" w:rsidR="00E541EE" w:rsidRPr="00AC5BB2" w:rsidRDefault="00E541EE" w:rsidP="00A84BB5">
            <w:pPr>
              <w:rPr>
                <w:rFonts w:ascii="Arial" w:eastAsia="Times New Roman" w:hAnsi="Arial" w:cs="Arial"/>
                <w:b/>
                <w:bCs/>
                <w:color w:val="000000"/>
                <w:sz w:val="16"/>
                <w:szCs w:val="16"/>
              </w:rPr>
            </w:pPr>
            <w:r w:rsidRPr="00AC5BB2">
              <w:rPr>
                <w:rFonts w:ascii="Arial" w:eastAsia="Times New Roman" w:hAnsi="Arial" w:cs="Arial"/>
                <w:b/>
                <w:bCs/>
                <w:color w:val="000000"/>
                <w:sz w:val="16"/>
                <w:szCs w:val="16"/>
              </w:rPr>
              <w:t>Prihodi poslovanja</w:t>
            </w:r>
          </w:p>
        </w:tc>
        <w:tc>
          <w:tcPr>
            <w:tcW w:w="688" w:type="pct"/>
            <w:tcBorders>
              <w:top w:val="nil"/>
              <w:left w:val="nil"/>
              <w:bottom w:val="single" w:sz="4" w:space="0" w:color="000000"/>
              <w:right w:val="single" w:sz="4" w:space="0" w:color="000000"/>
            </w:tcBorders>
            <w:shd w:val="clear" w:color="auto" w:fill="D6E1F2"/>
            <w:vAlign w:val="center"/>
            <w:hideMark/>
          </w:tcPr>
          <w:p w14:paraId="5E0A4A44" w14:textId="77777777" w:rsidR="00E541EE" w:rsidRPr="00AC5BB2" w:rsidRDefault="00E541EE" w:rsidP="00A84BB5">
            <w:pPr>
              <w:jc w:val="center"/>
              <w:rPr>
                <w:rFonts w:ascii="Arial" w:eastAsia="Times New Roman" w:hAnsi="Arial" w:cs="Arial"/>
                <w:b/>
                <w:bCs/>
                <w:color w:val="000000"/>
                <w:sz w:val="16"/>
                <w:szCs w:val="16"/>
              </w:rPr>
            </w:pPr>
            <w:r w:rsidRPr="00AC5BB2">
              <w:rPr>
                <w:rFonts w:ascii="Arial" w:eastAsia="Times New Roman" w:hAnsi="Arial" w:cs="Arial"/>
                <w:b/>
                <w:bCs/>
                <w:color w:val="000000"/>
                <w:sz w:val="16"/>
                <w:szCs w:val="16"/>
              </w:rPr>
              <w:t xml:space="preserve">43.814.057,80   </w:t>
            </w:r>
          </w:p>
        </w:tc>
        <w:tc>
          <w:tcPr>
            <w:tcW w:w="688" w:type="pct"/>
            <w:tcBorders>
              <w:top w:val="nil"/>
              <w:left w:val="nil"/>
              <w:bottom w:val="single" w:sz="4" w:space="0" w:color="000000"/>
              <w:right w:val="single" w:sz="4" w:space="0" w:color="000000"/>
            </w:tcBorders>
            <w:shd w:val="clear" w:color="auto" w:fill="D6E1F2"/>
            <w:vAlign w:val="center"/>
            <w:hideMark/>
          </w:tcPr>
          <w:p w14:paraId="4BCFF0BD" w14:textId="77777777" w:rsidR="00E541EE" w:rsidRPr="00AC5BB2" w:rsidRDefault="00E541EE" w:rsidP="00A84BB5">
            <w:pPr>
              <w:jc w:val="center"/>
              <w:rPr>
                <w:rFonts w:ascii="Arial" w:eastAsia="Times New Roman" w:hAnsi="Arial" w:cs="Arial"/>
                <w:b/>
                <w:bCs/>
                <w:color w:val="000000"/>
                <w:sz w:val="16"/>
                <w:szCs w:val="16"/>
              </w:rPr>
            </w:pPr>
            <w:r w:rsidRPr="00AC5BB2">
              <w:rPr>
                <w:rFonts w:ascii="Arial" w:eastAsia="Times New Roman" w:hAnsi="Arial" w:cs="Arial"/>
                <w:b/>
                <w:bCs/>
                <w:color w:val="000000"/>
                <w:sz w:val="16"/>
                <w:szCs w:val="16"/>
              </w:rPr>
              <w:t xml:space="preserve">44.097.183,63   </w:t>
            </w:r>
          </w:p>
        </w:tc>
        <w:tc>
          <w:tcPr>
            <w:tcW w:w="688" w:type="pct"/>
            <w:tcBorders>
              <w:top w:val="nil"/>
              <w:left w:val="nil"/>
              <w:bottom w:val="single" w:sz="4" w:space="0" w:color="000000"/>
              <w:right w:val="single" w:sz="4" w:space="0" w:color="000000"/>
            </w:tcBorders>
            <w:shd w:val="clear" w:color="auto" w:fill="D6E1F2"/>
            <w:vAlign w:val="center"/>
            <w:hideMark/>
          </w:tcPr>
          <w:p w14:paraId="03535AEE" w14:textId="77777777" w:rsidR="00E541EE" w:rsidRPr="00AC5BB2" w:rsidRDefault="00E541EE" w:rsidP="00A84BB5">
            <w:pPr>
              <w:jc w:val="center"/>
              <w:rPr>
                <w:rFonts w:ascii="Arial" w:eastAsia="Times New Roman" w:hAnsi="Arial" w:cs="Arial"/>
                <w:b/>
                <w:bCs/>
                <w:color w:val="000000"/>
                <w:sz w:val="16"/>
                <w:szCs w:val="16"/>
              </w:rPr>
            </w:pPr>
            <w:r w:rsidRPr="00AC5BB2">
              <w:rPr>
                <w:rFonts w:ascii="Arial" w:eastAsia="Times New Roman" w:hAnsi="Arial" w:cs="Arial"/>
                <w:b/>
                <w:bCs/>
                <w:color w:val="000000"/>
                <w:sz w:val="16"/>
                <w:szCs w:val="16"/>
              </w:rPr>
              <w:t xml:space="preserve">41.465.322,97   </w:t>
            </w:r>
          </w:p>
        </w:tc>
        <w:tc>
          <w:tcPr>
            <w:tcW w:w="688" w:type="pct"/>
            <w:tcBorders>
              <w:top w:val="nil"/>
              <w:left w:val="nil"/>
              <w:bottom w:val="single" w:sz="4" w:space="0" w:color="000000"/>
              <w:right w:val="nil"/>
            </w:tcBorders>
            <w:shd w:val="clear" w:color="auto" w:fill="D6E1F2"/>
            <w:vAlign w:val="center"/>
            <w:hideMark/>
          </w:tcPr>
          <w:p w14:paraId="2FD40EE4" w14:textId="77777777" w:rsidR="00E541EE" w:rsidRPr="00AC5BB2" w:rsidRDefault="00E541EE" w:rsidP="00A84BB5">
            <w:pPr>
              <w:jc w:val="center"/>
              <w:rPr>
                <w:rFonts w:ascii="Arial" w:eastAsia="Times New Roman" w:hAnsi="Arial" w:cs="Arial"/>
                <w:b/>
                <w:bCs/>
                <w:color w:val="000000"/>
                <w:sz w:val="16"/>
                <w:szCs w:val="16"/>
              </w:rPr>
            </w:pPr>
            <w:r w:rsidRPr="00AC5BB2">
              <w:rPr>
                <w:rFonts w:ascii="Arial" w:eastAsia="Times New Roman" w:hAnsi="Arial" w:cs="Arial"/>
                <w:b/>
                <w:bCs/>
                <w:color w:val="000000"/>
                <w:sz w:val="16"/>
                <w:szCs w:val="16"/>
              </w:rPr>
              <w:t xml:space="preserve">39.006.822,97   </w:t>
            </w:r>
          </w:p>
        </w:tc>
        <w:tc>
          <w:tcPr>
            <w:tcW w:w="392" w:type="pct"/>
            <w:tcBorders>
              <w:top w:val="nil"/>
              <w:left w:val="single" w:sz="4" w:space="0" w:color="auto"/>
              <w:bottom w:val="single" w:sz="4" w:space="0" w:color="auto"/>
              <w:right w:val="single" w:sz="4" w:space="0" w:color="auto"/>
            </w:tcBorders>
            <w:shd w:val="clear" w:color="auto" w:fill="D6E1F2"/>
            <w:noWrap/>
            <w:vAlign w:val="center"/>
            <w:hideMark/>
          </w:tcPr>
          <w:p w14:paraId="754BFDAB" w14:textId="77777777" w:rsidR="00E541EE" w:rsidRPr="00AC5BB2" w:rsidRDefault="00E541EE" w:rsidP="00A84BB5">
            <w:pPr>
              <w:jc w:val="right"/>
              <w:rPr>
                <w:rFonts w:ascii="Arial" w:eastAsia="Times New Roman" w:hAnsi="Arial" w:cs="Arial"/>
                <w:color w:val="000000"/>
                <w:sz w:val="16"/>
                <w:szCs w:val="16"/>
              </w:rPr>
            </w:pPr>
            <w:r w:rsidRPr="00AC5BB2">
              <w:rPr>
                <w:rFonts w:ascii="Arial" w:eastAsia="Times New Roman" w:hAnsi="Arial" w:cs="Arial"/>
                <w:color w:val="000000"/>
                <w:sz w:val="16"/>
                <w:szCs w:val="16"/>
              </w:rPr>
              <w:t xml:space="preserve">100,65   </w:t>
            </w:r>
          </w:p>
        </w:tc>
      </w:tr>
      <w:tr w:rsidR="00E541EE" w:rsidRPr="00AC5BB2" w14:paraId="7B0E9C16" w14:textId="77777777" w:rsidTr="00A84BB5">
        <w:trPr>
          <w:trHeight w:val="360"/>
          <w:jc w:val="center"/>
        </w:trPr>
        <w:tc>
          <w:tcPr>
            <w:tcW w:w="408" w:type="pct"/>
            <w:tcBorders>
              <w:top w:val="nil"/>
              <w:left w:val="single" w:sz="4" w:space="0" w:color="000000"/>
              <w:bottom w:val="single" w:sz="4" w:space="0" w:color="000000"/>
              <w:right w:val="single" w:sz="4" w:space="0" w:color="000000"/>
            </w:tcBorders>
            <w:vAlign w:val="center"/>
            <w:hideMark/>
          </w:tcPr>
          <w:p w14:paraId="29DB20E6" w14:textId="77777777" w:rsidR="00E541EE" w:rsidRPr="00AC5BB2" w:rsidRDefault="00E541EE" w:rsidP="00A84BB5">
            <w:pPr>
              <w:jc w:val="center"/>
              <w:rPr>
                <w:rFonts w:ascii="Arial" w:eastAsia="Times New Roman" w:hAnsi="Arial" w:cs="Arial"/>
                <w:color w:val="000000"/>
                <w:sz w:val="16"/>
                <w:szCs w:val="16"/>
              </w:rPr>
            </w:pPr>
            <w:r w:rsidRPr="00AC5BB2">
              <w:rPr>
                <w:rFonts w:ascii="Arial" w:eastAsia="Times New Roman" w:hAnsi="Arial" w:cs="Arial"/>
                <w:color w:val="000000"/>
                <w:sz w:val="16"/>
                <w:szCs w:val="16"/>
              </w:rPr>
              <w:t> </w:t>
            </w:r>
          </w:p>
        </w:tc>
        <w:tc>
          <w:tcPr>
            <w:tcW w:w="455" w:type="pct"/>
            <w:tcBorders>
              <w:top w:val="nil"/>
              <w:left w:val="nil"/>
              <w:bottom w:val="single" w:sz="4" w:space="0" w:color="000000"/>
              <w:right w:val="single" w:sz="4" w:space="0" w:color="000000"/>
            </w:tcBorders>
            <w:vAlign w:val="center"/>
            <w:hideMark/>
          </w:tcPr>
          <w:p w14:paraId="5689D6B8" w14:textId="77777777" w:rsidR="00E541EE" w:rsidRPr="00AC5BB2" w:rsidRDefault="00E541EE" w:rsidP="00A84BB5">
            <w:pPr>
              <w:jc w:val="center"/>
              <w:rPr>
                <w:rFonts w:ascii="Arial" w:eastAsia="Times New Roman" w:hAnsi="Arial" w:cs="Arial"/>
                <w:color w:val="000000"/>
                <w:sz w:val="16"/>
                <w:szCs w:val="16"/>
              </w:rPr>
            </w:pPr>
            <w:r w:rsidRPr="00AC5BB2">
              <w:rPr>
                <w:rFonts w:ascii="Arial" w:eastAsia="Times New Roman" w:hAnsi="Arial" w:cs="Arial"/>
                <w:color w:val="000000"/>
                <w:sz w:val="16"/>
                <w:szCs w:val="16"/>
              </w:rPr>
              <w:t>61</w:t>
            </w:r>
          </w:p>
        </w:tc>
        <w:tc>
          <w:tcPr>
            <w:tcW w:w="993" w:type="pct"/>
            <w:tcBorders>
              <w:top w:val="nil"/>
              <w:left w:val="nil"/>
              <w:bottom w:val="single" w:sz="4" w:space="0" w:color="000000"/>
              <w:right w:val="single" w:sz="4" w:space="0" w:color="000000"/>
            </w:tcBorders>
            <w:vAlign w:val="center"/>
            <w:hideMark/>
          </w:tcPr>
          <w:p w14:paraId="00FF2F68" w14:textId="77777777" w:rsidR="00E541EE" w:rsidRPr="00AC5BB2" w:rsidRDefault="00E541EE" w:rsidP="00A84BB5">
            <w:pPr>
              <w:rPr>
                <w:rFonts w:ascii="Arial" w:eastAsia="Times New Roman" w:hAnsi="Arial" w:cs="Arial"/>
                <w:color w:val="000000"/>
                <w:sz w:val="16"/>
                <w:szCs w:val="16"/>
              </w:rPr>
            </w:pPr>
            <w:r w:rsidRPr="00AC5BB2">
              <w:rPr>
                <w:rFonts w:ascii="Arial" w:eastAsia="Times New Roman" w:hAnsi="Arial" w:cs="Arial"/>
                <w:color w:val="000000"/>
                <w:sz w:val="16"/>
                <w:szCs w:val="16"/>
              </w:rPr>
              <w:t>Prihodi od poreza</w:t>
            </w:r>
          </w:p>
        </w:tc>
        <w:tc>
          <w:tcPr>
            <w:tcW w:w="688" w:type="pct"/>
            <w:tcBorders>
              <w:top w:val="nil"/>
              <w:left w:val="nil"/>
              <w:bottom w:val="single" w:sz="4" w:space="0" w:color="000000"/>
              <w:right w:val="single" w:sz="4" w:space="0" w:color="000000"/>
            </w:tcBorders>
            <w:vAlign w:val="center"/>
            <w:hideMark/>
          </w:tcPr>
          <w:p w14:paraId="58CA6519" w14:textId="77777777" w:rsidR="00E541EE" w:rsidRPr="00AC5BB2" w:rsidRDefault="00E541EE" w:rsidP="00A84BB5">
            <w:pPr>
              <w:jc w:val="center"/>
              <w:rPr>
                <w:rFonts w:ascii="Arial" w:eastAsia="Times New Roman" w:hAnsi="Arial" w:cs="Arial"/>
                <w:color w:val="000000"/>
                <w:sz w:val="16"/>
                <w:szCs w:val="16"/>
              </w:rPr>
            </w:pPr>
            <w:r w:rsidRPr="00AC5BB2">
              <w:rPr>
                <w:rFonts w:ascii="Arial" w:eastAsia="Times New Roman" w:hAnsi="Arial" w:cs="Arial"/>
                <w:color w:val="000000"/>
                <w:sz w:val="16"/>
                <w:szCs w:val="16"/>
              </w:rPr>
              <w:t xml:space="preserve">20.317.495,41   </w:t>
            </w:r>
          </w:p>
        </w:tc>
        <w:tc>
          <w:tcPr>
            <w:tcW w:w="688" w:type="pct"/>
            <w:tcBorders>
              <w:top w:val="nil"/>
              <w:left w:val="nil"/>
              <w:bottom w:val="single" w:sz="4" w:space="0" w:color="000000"/>
              <w:right w:val="single" w:sz="4" w:space="0" w:color="000000"/>
            </w:tcBorders>
            <w:vAlign w:val="center"/>
            <w:hideMark/>
          </w:tcPr>
          <w:p w14:paraId="67955263" w14:textId="77777777" w:rsidR="00E541EE" w:rsidRPr="00AC5BB2" w:rsidRDefault="00E541EE" w:rsidP="00A84BB5">
            <w:pPr>
              <w:jc w:val="center"/>
              <w:rPr>
                <w:rFonts w:ascii="Arial" w:eastAsia="Times New Roman" w:hAnsi="Arial" w:cs="Arial"/>
                <w:color w:val="000000"/>
                <w:sz w:val="16"/>
                <w:szCs w:val="16"/>
              </w:rPr>
            </w:pPr>
            <w:r w:rsidRPr="00AC5BB2">
              <w:rPr>
                <w:rFonts w:ascii="Arial" w:eastAsia="Times New Roman" w:hAnsi="Arial" w:cs="Arial"/>
                <w:color w:val="000000"/>
                <w:sz w:val="16"/>
                <w:szCs w:val="16"/>
              </w:rPr>
              <w:t xml:space="preserve">17.794.542,07   </w:t>
            </w:r>
          </w:p>
        </w:tc>
        <w:tc>
          <w:tcPr>
            <w:tcW w:w="688" w:type="pct"/>
            <w:tcBorders>
              <w:top w:val="nil"/>
              <w:left w:val="nil"/>
              <w:bottom w:val="single" w:sz="4" w:space="0" w:color="000000"/>
              <w:right w:val="single" w:sz="4" w:space="0" w:color="000000"/>
            </w:tcBorders>
            <w:vAlign w:val="center"/>
            <w:hideMark/>
          </w:tcPr>
          <w:p w14:paraId="66869141" w14:textId="77777777" w:rsidR="00E541EE" w:rsidRPr="00AC5BB2" w:rsidRDefault="00E541EE" w:rsidP="00A84BB5">
            <w:pPr>
              <w:jc w:val="center"/>
              <w:rPr>
                <w:rFonts w:ascii="Arial" w:eastAsia="Times New Roman" w:hAnsi="Arial" w:cs="Arial"/>
                <w:color w:val="000000"/>
                <w:sz w:val="16"/>
                <w:szCs w:val="16"/>
              </w:rPr>
            </w:pPr>
            <w:r w:rsidRPr="00AC5BB2">
              <w:rPr>
                <w:rFonts w:ascii="Arial" w:eastAsia="Times New Roman" w:hAnsi="Arial" w:cs="Arial"/>
                <w:color w:val="000000"/>
                <w:sz w:val="16"/>
                <w:szCs w:val="16"/>
              </w:rPr>
              <w:t xml:space="preserve">18.847.492,00   </w:t>
            </w:r>
          </w:p>
        </w:tc>
        <w:tc>
          <w:tcPr>
            <w:tcW w:w="688" w:type="pct"/>
            <w:tcBorders>
              <w:top w:val="nil"/>
              <w:left w:val="nil"/>
              <w:bottom w:val="single" w:sz="4" w:space="0" w:color="000000"/>
              <w:right w:val="nil"/>
            </w:tcBorders>
            <w:vAlign w:val="center"/>
            <w:hideMark/>
          </w:tcPr>
          <w:p w14:paraId="537F5D07" w14:textId="77777777" w:rsidR="00E541EE" w:rsidRPr="00AC5BB2" w:rsidRDefault="00E541EE" w:rsidP="00A84BB5">
            <w:pPr>
              <w:jc w:val="center"/>
              <w:rPr>
                <w:rFonts w:ascii="Arial" w:eastAsia="Times New Roman" w:hAnsi="Arial" w:cs="Arial"/>
                <w:color w:val="000000"/>
                <w:sz w:val="16"/>
                <w:szCs w:val="16"/>
              </w:rPr>
            </w:pPr>
            <w:r w:rsidRPr="00AC5BB2">
              <w:rPr>
                <w:rFonts w:ascii="Arial" w:eastAsia="Times New Roman" w:hAnsi="Arial" w:cs="Arial"/>
                <w:color w:val="000000"/>
                <w:sz w:val="16"/>
                <w:szCs w:val="16"/>
              </w:rPr>
              <w:t xml:space="preserve">19.218.431,24   </w:t>
            </w:r>
          </w:p>
        </w:tc>
        <w:tc>
          <w:tcPr>
            <w:tcW w:w="392" w:type="pct"/>
            <w:tcBorders>
              <w:top w:val="nil"/>
              <w:left w:val="single" w:sz="4" w:space="0" w:color="auto"/>
              <w:bottom w:val="single" w:sz="4" w:space="0" w:color="auto"/>
              <w:right w:val="single" w:sz="4" w:space="0" w:color="auto"/>
            </w:tcBorders>
            <w:noWrap/>
            <w:vAlign w:val="center"/>
            <w:hideMark/>
          </w:tcPr>
          <w:p w14:paraId="5820BD64" w14:textId="77777777" w:rsidR="00E541EE" w:rsidRPr="00AC5BB2" w:rsidRDefault="00E541EE" w:rsidP="00A84BB5">
            <w:pPr>
              <w:jc w:val="right"/>
              <w:rPr>
                <w:rFonts w:ascii="Arial" w:eastAsia="Times New Roman" w:hAnsi="Arial" w:cs="Arial"/>
                <w:color w:val="000000"/>
                <w:sz w:val="16"/>
                <w:szCs w:val="16"/>
              </w:rPr>
            </w:pPr>
            <w:r w:rsidRPr="00AC5BB2">
              <w:rPr>
                <w:rFonts w:ascii="Arial" w:eastAsia="Times New Roman" w:hAnsi="Arial" w:cs="Arial"/>
                <w:color w:val="000000"/>
                <w:sz w:val="16"/>
                <w:szCs w:val="16"/>
              </w:rPr>
              <w:t xml:space="preserve">87,58   </w:t>
            </w:r>
          </w:p>
        </w:tc>
      </w:tr>
      <w:tr w:rsidR="00E541EE" w:rsidRPr="00AC5BB2" w14:paraId="59985489" w14:textId="77777777" w:rsidTr="00A84BB5">
        <w:trPr>
          <w:trHeight w:val="736"/>
          <w:jc w:val="center"/>
        </w:trPr>
        <w:tc>
          <w:tcPr>
            <w:tcW w:w="408" w:type="pct"/>
            <w:tcBorders>
              <w:top w:val="nil"/>
              <w:left w:val="single" w:sz="4" w:space="0" w:color="000000"/>
              <w:bottom w:val="single" w:sz="4" w:space="0" w:color="000000"/>
              <w:right w:val="single" w:sz="4" w:space="0" w:color="000000"/>
            </w:tcBorders>
            <w:vAlign w:val="center"/>
            <w:hideMark/>
          </w:tcPr>
          <w:p w14:paraId="7A86F45F" w14:textId="77777777" w:rsidR="00E541EE" w:rsidRPr="00AC5BB2" w:rsidRDefault="00E541EE" w:rsidP="00A84BB5">
            <w:pPr>
              <w:jc w:val="center"/>
              <w:rPr>
                <w:rFonts w:ascii="Arial" w:eastAsia="Times New Roman" w:hAnsi="Arial" w:cs="Arial"/>
                <w:color w:val="000000"/>
                <w:sz w:val="16"/>
                <w:szCs w:val="16"/>
              </w:rPr>
            </w:pPr>
            <w:r w:rsidRPr="00AC5BB2">
              <w:rPr>
                <w:rFonts w:ascii="Arial" w:eastAsia="Times New Roman" w:hAnsi="Arial" w:cs="Arial"/>
                <w:color w:val="000000"/>
                <w:sz w:val="16"/>
                <w:szCs w:val="16"/>
              </w:rPr>
              <w:t> </w:t>
            </w:r>
          </w:p>
        </w:tc>
        <w:tc>
          <w:tcPr>
            <w:tcW w:w="455" w:type="pct"/>
            <w:tcBorders>
              <w:top w:val="nil"/>
              <w:left w:val="nil"/>
              <w:bottom w:val="single" w:sz="4" w:space="0" w:color="000000"/>
              <w:right w:val="single" w:sz="4" w:space="0" w:color="000000"/>
            </w:tcBorders>
            <w:vAlign w:val="center"/>
            <w:hideMark/>
          </w:tcPr>
          <w:p w14:paraId="2659CE6F" w14:textId="77777777" w:rsidR="00E541EE" w:rsidRPr="00AC5BB2" w:rsidRDefault="00E541EE" w:rsidP="00A84BB5">
            <w:pPr>
              <w:jc w:val="center"/>
              <w:rPr>
                <w:rFonts w:ascii="Arial" w:eastAsia="Times New Roman" w:hAnsi="Arial" w:cs="Arial"/>
                <w:color w:val="000000"/>
                <w:sz w:val="16"/>
                <w:szCs w:val="16"/>
              </w:rPr>
            </w:pPr>
            <w:r w:rsidRPr="00AC5BB2">
              <w:rPr>
                <w:rFonts w:ascii="Arial" w:eastAsia="Times New Roman" w:hAnsi="Arial" w:cs="Arial"/>
                <w:color w:val="000000"/>
                <w:sz w:val="16"/>
                <w:szCs w:val="16"/>
              </w:rPr>
              <w:t>63</w:t>
            </w:r>
          </w:p>
        </w:tc>
        <w:tc>
          <w:tcPr>
            <w:tcW w:w="993" w:type="pct"/>
            <w:tcBorders>
              <w:top w:val="nil"/>
              <w:left w:val="nil"/>
              <w:bottom w:val="single" w:sz="4" w:space="0" w:color="000000"/>
              <w:right w:val="single" w:sz="4" w:space="0" w:color="000000"/>
            </w:tcBorders>
            <w:vAlign w:val="center"/>
            <w:hideMark/>
          </w:tcPr>
          <w:p w14:paraId="5E513DC8" w14:textId="77777777" w:rsidR="00E541EE" w:rsidRPr="00AC5BB2" w:rsidRDefault="00E541EE" w:rsidP="00A84BB5">
            <w:pPr>
              <w:rPr>
                <w:rFonts w:ascii="Arial" w:eastAsia="Times New Roman" w:hAnsi="Arial" w:cs="Arial"/>
                <w:color w:val="000000"/>
                <w:sz w:val="16"/>
                <w:szCs w:val="16"/>
              </w:rPr>
            </w:pPr>
            <w:r w:rsidRPr="00AC5BB2">
              <w:rPr>
                <w:rFonts w:ascii="Arial" w:eastAsia="Times New Roman" w:hAnsi="Arial" w:cs="Arial"/>
                <w:color w:val="000000"/>
                <w:sz w:val="16"/>
                <w:szCs w:val="16"/>
              </w:rPr>
              <w:t>Pomoći iz inozemstva i od subjekata unutar općeg proračuna</w:t>
            </w:r>
          </w:p>
        </w:tc>
        <w:tc>
          <w:tcPr>
            <w:tcW w:w="688" w:type="pct"/>
            <w:tcBorders>
              <w:top w:val="nil"/>
              <w:left w:val="nil"/>
              <w:bottom w:val="single" w:sz="4" w:space="0" w:color="000000"/>
              <w:right w:val="single" w:sz="4" w:space="0" w:color="000000"/>
            </w:tcBorders>
            <w:vAlign w:val="center"/>
            <w:hideMark/>
          </w:tcPr>
          <w:p w14:paraId="6DBC0A1B" w14:textId="77777777" w:rsidR="00E541EE" w:rsidRPr="00AC5BB2" w:rsidRDefault="00E541EE" w:rsidP="00A84BB5">
            <w:pPr>
              <w:jc w:val="center"/>
              <w:rPr>
                <w:rFonts w:ascii="Arial" w:eastAsia="Times New Roman" w:hAnsi="Arial" w:cs="Arial"/>
                <w:color w:val="000000"/>
                <w:sz w:val="16"/>
                <w:szCs w:val="16"/>
              </w:rPr>
            </w:pPr>
            <w:r w:rsidRPr="00AC5BB2">
              <w:rPr>
                <w:rFonts w:ascii="Arial" w:eastAsia="Times New Roman" w:hAnsi="Arial" w:cs="Arial"/>
                <w:color w:val="000000"/>
                <w:sz w:val="16"/>
                <w:szCs w:val="16"/>
              </w:rPr>
              <w:t xml:space="preserve">14.777.360,23   </w:t>
            </w:r>
          </w:p>
        </w:tc>
        <w:tc>
          <w:tcPr>
            <w:tcW w:w="688" w:type="pct"/>
            <w:tcBorders>
              <w:top w:val="nil"/>
              <w:left w:val="nil"/>
              <w:bottom w:val="single" w:sz="4" w:space="0" w:color="000000"/>
              <w:right w:val="single" w:sz="4" w:space="0" w:color="000000"/>
            </w:tcBorders>
            <w:vAlign w:val="center"/>
            <w:hideMark/>
          </w:tcPr>
          <w:p w14:paraId="61DC8F97" w14:textId="77777777" w:rsidR="00E541EE" w:rsidRPr="00AC5BB2" w:rsidRDefault="00E541EE" w:rsidP="00A84BB5">
            <w:pPr>
              <w:jc w:val="center"/>
              <w:rPr>
                <w:rFonts w:ascii="Arial" w:eastAsia="Times New Roman" w:hAnsi="Arial" w:cs="Arial"/>
                <w:color w:val="000000"/>
                <w:sz w:val="16"/>
                <w:szCs w:val="16"/>
              </w:rPr>
            </w:pPr>
            <w:r w:rsidRPr="00AC5BB2">
              <w:rPr>
                <w:rFonts w:ascii="Arial" w:eastAsia="Times New Roman" w:hAnsi="Arial" w:cs="Arial"/>
                <w:color w:val="000000"/>
                <w:sz w:val="16"/>
                <w:szCs w:val="16"/>
              </w:rPr>
              <w:t xml:space="preserve">17.850.371,03   </w:t>
            </w:r>
          </w:p>
        </w:tc>
        <w:tc>
          <w:tcPr>
            <w:tcW w:w="688" w:type="pct"/>
            <w:tcBorders>
              <w:top w:val="nil"/>
              <w:left w:val="nil"/>
              <w:bottom w:val="single" w:sz="4" w:space="0" w:color="000000"/>
              <w:right w:val="single" w:sz="4" w:space="0" w:color="000000"/>
            </w:tcBorders>
            <w:vAlign w:val="center"/>
            <w:hideMark/>
          </w:tcPr>
          <w:p w14:paraId="657D6F57" w14:textId="77777777" w:rsidR="00E541EE" w:rsidRPr="00AC5BB2" w:rsidRDefault="00E541EE" w:rsidP="00A84BB5">
            <w:pPr>
              <w:jc w:val="center"/>
              <w:rPr>
                <w:rFonts w:ascii="Arial" w:eastAsia="Times New Roman" w:hAnsi="Arial" w:cs="Arial"/>
                <w:color w:val="000000"/>
                <w:sz w:val="16"/>
                <w:szCs w:val="16"/>
              </w:rPr>
            </w:pPr>
            <w:r w:rsidRPr="00AC5BB2">
              <w:rPr>
                <w:rFonts w:ascii="Arial" w:eastAsia="Times New Roman" w:hAnsi="Arial" w:cs="Arial"/>
                <w:color w:val="000000"/>
                <w:sz w:val="16"/>
                <w:szCs w:val="16"/>
              </w:rPr>
              <w:t xml:space="preserve">12.135.977,16   </w:t>
            </w:r>
          </w:p>
        </w:tc>
        <w:tc>
          <w:tcPr>
            <w:tcW w:w="688" w:type="pct"/>
            <w:tcBorders>
              <w:top w:val="nil"/>
              <w:left w:val="nil"/>
              <w:bottom w:val="single" w:sz="4" w:space="0" w:color="000000"/>
              <w:right w:val="nil"/>
            </w:tcBorders>
            <w:vAlign w:val="center"/>
            <w:hideMark/>
          </w:tcPr>
          <w:p w14:paraId="1825547E" w14:textId="77777777" w:rsidR="00E541EE" w:rsidRPr="00AC5BB2" w:rsidRDefault="00E541EE" w:rsidP="00A84BB5">
            <w:pPr>
              <w:jc w:val="center"/>
              <w:rPr>
                <w:rFonts w:ascii="Arial" w:eastAsia="Times New Roman" w:hAnsi="Arial" w:cs="Arial"/>
                <w:color w:val="000000"/>
                <w:sz w:val="16"/>
                <w:szCs w:val="16"/>
              </w:rPr>
            </w:pPr>
            <w:r w:rsidRPr="00AC5BB2">
              <w:rPr>
                <w:rFonts w:ascii="Arial" w:eastAsia="Times New Roman" w:hAnsi="Arial" w:cs="Arial"/>
                <w:color w:val="000000"/>
                <w:sz w:val="16"/>
                <w:szCs w:val="16"/>
              </w:rPr>
              <w:t xml:space="preserve">10.273.355,51   </w:t>
            </w:r>
          </w:p>
        </w:tc>
        <w:tc>
          <w:tcPr>
            <w:tcW w:w="392" w:type="pct"/>
            <w:tcBorders>
              <w:top w:val="nil"/>
              <w:left w:val="single" w:sz="4" w:space="0" w:color="auto"/>
              <w:bottom w:val="single" w:sz="4" w:space="0" w:color="auto"/>
              <w:right w:val="single" w:sz="4" w:space="0" w:color="auto"/>
            </w:tcBorders>
            <w:noWrap/>
            <w:vAlign w:val="center"/>
            <w:hideMark/>
          </w:tcPr>
          <w:p w14:paraId="6B273139" w14:textId="77777777" w:rsidR="00E541EE" w:rsidRPr="00AC5BB2" w:rsidRDefault="00E541EE" w:rsidP="00A84BB5">
            <w:pPr>
              <w:jc w:val="right"/>
              <w:rPr>
                <w:rFonts w:ascii="Arial" w:eastAsia="Times New Roman" w:hAnsi="Arial" w:cs="Arial"/>
                <w:color w:val="000000"/>
                <w:sz w:val="16"/>
                <w:szCs w:val="16"/>
              </w:rPr>
            </w:pPr>
            <w:r w:rsidRPr="00AC5BB2">
              <w:rPr>
                <w:rFonts w:ascii="Arial" w:eastAsia="Times New Roman" w:hAnsi="Arial" w:cs="Arial"/>
                <w:color w:val="000000"/>
                <w:sz w:val="16"/>
                <w:szCs w:val="16"/>
              </w:rPr>
              <w:t xml:space="preserve">120,80   </w:t>
            </w:r>
          </w:p>
        </w:tc>
      </w:tr>
      <w:tr w:rsidR="00E541EE" w:rsidRPr="00AC5BB2" w14:paraId="381D274D" w14:textId="77777777" w:rsidTr="00A84BB5">
        <w:trPr>
          <w:trHeight w:val="360"/>
          <w:jc w:val="center"/>
        </w:trPr>
        <w:tc>
          <w:tcPr>
            <w:tcW w:w="408" w:type="pct"/>
            <w:tcBorders>
              <w:top w:val="nil"/>
              <w:left w:val="single" w:sz="4" w:space="0" w:color="000000"/>
              <w:bottom w:val="single" w:sz="4" w:space="0" w:color="000000"/>
              <w:right w:val="single" w:sz="4" w:space="0" w:color="000000"/>
            </w:tcBorders>
            <w:vAlign w:val="center"/>
            <w:hideMark/>
          </w:tcPr>
          <w:p w14:paraId="43EFFD49" w14:textId="77777777" w:rsidR="00E541EE" w:rsidRPr="00AC5BB2" w:rsidRDefault="00E541EE" w:rsidP="00A84BB5">
            <w:pPr>
              <w:jc w:val="center"/>
              <w:rPr>
                <w:rFonts w:ascii="Arial" w:eastAsia="Times New Roman" w:hAnsi="Arial" w:cs="Arial"/>
                <w:color w:val="000000"/>
                <w:sz w:val="16"/>
                <w:szCs w:val="16"/>
              </w:rPr>
            </w:pPr>
            <w:r w:rsidRPr="00AC5BB2">
              <w:rPr>
                <w:rFonts w:ascii="Arial" w:eastAsia="Times New Roman" w:hAnsi="Arial" w:cs="Arial"/>
                <w:color w:val="000000"/>
                <w:sz w:val="16"/>
                <w:szCs w:val="16"/>
              </w:rPr>
              <w:t> </w:t>
            </w:r>
          </w:p>
        </w:tc>
        <w:tc>
          <w:tcPr>
            <w:tcW w:w="455" w:type="pct"/>
            <w:tcBorders>
              <w:top w:val="nil"/>
              <w:left w:val="nil"/>
              <w:bottom w:val="single" w:sz="4" w:space="0" w:color="000000"/>
              <w:right w:val="single" w:sz="4" w:space="0" w:color="000000"/>
            </w:tcBorders>
            <w:vAlign w:val="center"/>
            <w:hideMark/>
          </w:tcPr>
          <w:p w14:paraId="68D4BA79" w14:textId="77777777" w:rsidR="00E541EE" w:rsidRPr="00AC5BB2" w:rsidRDefault="00E541EE" w:rsidP="00A84BB5">
            <w:pPr>
              <w:jc w:val="center"/>
              <w:rPr>
                <w:rFonts w:ascii="Arial" w:eastAsia="Times New Roman" w:hAnsi="Arial" w:cs="Arial"/>
                <w:color w:val="000000"/>
                <w:sz w:val="16"/>
                <w:szCs w:val="16"/>
              </w:rPr>
            </w:pPr>
            <w:r w:rsidRPr="00AC5BB2">
              <w:rPr>
                <w:rFonts w:ascii="Arial" w:eastAsia="Times New Roman" w:hAnsi="Arial" w:cs="Arial"/>
                <w:color w:val="000000"/>
                <w:sz w:val="16"/>
                <w:szCs w:val="16"/>
              </w:rPr>
              <w:t>64</w:t>
            </w:r>
          </w:p>
        </w:tc>
        <w:tc>
          <w:tcPr>
            <w:tcW w:w="993" w:type="pct"/>
            <w:tcBorders>
              <w:top w:val="nil"/>
              <w:left w:val="nil"/>
              <w:bottom w:val="single" w:sz="4" w:space="0" w:color="000000"/>
              <w:right w:val="single" w:sz="4" w:space="0" w:color="000000"/>
            </w:tcBorders>
            <w:vAlign w:val="center"/>
            <w:hideMark/>
          </w:tcPr>
          <w:p w14:paraId="4402B5CF" w14:textId="77777777" w:rsidR="00E541EE" w:rsidRPr="00AC5BB2" w:rsidRDefault="00E541EE" w:rsidP="00A84BB5">
            <w:pPr>
              <w:rPr>
                <w:rFonts w:ascii="Arial" w:eastAsia="Times New Roman" w:hAnsi="Arial" w:cs="Arial"/>
                <w:color w:val="000000"/>
                <w:sz w:val="16"/>
                <w:szCs w:val="16"/>
              </w:rPr>
            </w:pPr>
            <w:r w:rsidRPr="00AC5BB2">
              <w:rPr>
                <w:rFonts w:ascii="Arial" w:eastAsia="Times New Roman" w:hAnsi="Arial" w:cs="Arial"/>
                <w:color w:val="000000"/>
                <w:sz w:val="16"/>
                <w:szCs w:val="16"/>
              </w:rPr>
              <w:t>Prihodi od imovine</w:t>
            </w:r>
          </w:p>
        </w:tc>
        <w:tc>
          <w:tcPr>
            <w:tcW w:w="688" w:type="pct"/>
            <w:tcBorders>
              <w:top w:val="nil"/>
              <w:left w:val="nil"/>
              <w:bottom w:val="single" w:sz="4" w:space="0" w:color="000000"/>
              <w:right w:val="single" w:sz="4" w:space="0" w:color="000000"/>
            </w:tcBorders>
            <w:vAlign w:val="center"/>
            <w:hideMark/>
          </w:tcPr>
          <w:p w14:paraId="370597B9" w14:textId="77777777" w:rsidR="00E541EE" w:rsidRPr="00AC5BB2" w:rsidRDefault="00E541EE" w:rsidP="00A84BB5">
            <w:pPr>
              <w:jc w:val="center"/>
              <w:rPr>
                <w:rFonts w:ascii="Arial" w:eastAsia="Times New Roman" w:hAnsi="Arial" w:cs="Arial"/>
                <w:color w:val="000000"/>
                <w:sz w:val="16"/>
                <w:szCs w:val="16"/>
              </w:rPr>
            </w:pPr>
            <w:r w:rsidRPr="00AC5BB2">
              <w:rPr>
                <w:rFonts w:ascii="Arial" w:eastAsia="Times New Roman" w:hAnsi="Arial" w:cs="Arial"/>
                <w:color w:val="000000"/>
                <w:sz w:val="16"/>
                <w:szCs w:val="16"/>
              </w:rPr>
              <w:t xml:space="preserve">1.775.256,72   </w:t>
            </w:r>
          </w:p>
        </w:tc>
        <w:tc>
          <w:tcPr>
            <w:tcW w:w="688" w:type="pct"/>
            <w:tcBorders>
              <w:top w:val="nil"/>
              <w:left w:val="nil"/>
              <w:bottom w:val="single" w:sz="4" w:space="0" w:color="000000"/>
              <w:right w:val="single" w:sz="4" w:space="0" w:color="000000"/>
            </w:tcBorders>
            <w:vAlign w:val="center"/>
            <w:hideMark/>
          </w:tcPr>
          <w:p w14:paraId="6C9A5FA8" w14:textId="77777777" w:rsidR="00E541EE" w:rsidRPr="00AC5BB2" w:rsidRDefault="00E541EE" w:rsidP="00A84BB5">
            <w:pPr>
              <w:jc w:val="center"/>
              <w:rPr>
                <w:rFonts w:ascii="Arial" w:eastAsia="Times New Roman" w:hAnsi="Arial" w:cs="Arial"/>
                <w:color w:val="000000"/>
                <w:sz w:val="16"/>
                <w:szCs w:val="16"/>
              </w:rPr>
            </w:pPr>
            <w:r w:rsidRPr="00AC5BB2">
              <w:rPr>
                <w:rFonts w:ascii="Arial" w:eastAsia="Times New Roman" w:hAnsi="Arial" w:cs="Arial"/>
                <w:color w:val="000000"/>
                <w:sz w:val="16"/>
                <w:szCs w:val="16"/>
              </w:rPr>
              <w:t xml:space="preserve">1.829.702,44   </w:t>
            </w:r>
          </w:p>
        </w:tc>
        <w:tc>
          <w:tcPr>
            <w:tcW w:w="688" w:type="pct"/>
            <w:tcBorders>
              <w:top w:val="nil"/>
              <w:left w:val="nil"/>
              <w:bottom w:val="single" w:sz="4" w:space="0" w:color="000000"/>
              <w:right w:val="single" w:sz="4" w:space="0" w:color="000000"/>
            </w:tcBorders>
            <w:vAlign w:val="center"/>
            <w:hideMark/>
          </w:tcPr>
          <w:p w14:paraId="7954ACDC" w14:textId="77777777" w:rsidR="00E541EE" w:rsidRPr="00AC5BB2" w:rsidRDefault="00E541EE" w:rsidP="00A84BB5">
            <w:pPr>
              <w:jc w:val="center"/>
              <w:rPr>
                <w:rFonts w:ascii="Arial" w:eastAsia="Times New Roman" w:hAnsi="Arial" w:cs="Arial"/>
                <w:color w:val="000000"/>
                <w:sz w:val="16"/>
                <w:szCs w:val="16"/>
              </w:rPr>
            </w:pPr>
            <w:r w:rsidRPr="00AC5BB2">
              <w:rPr>
                <w:rFonts w:ascii="Arial" w:eastAsia="Times New Roman" w:hAnsi="Arial" w:cs="Arial"/>
                <w:color w:val="000000"/>
                <w:sz w:val="16"/>
                <w:szCs w:val="16"/>
              </w:rPr>
              <w:t xml:space="preserve">1.774.431,20   </w:t>
            </w:r>
          </w:p>
        </w:tc>
        <w:tc>
          <w:tcPr>
            <w:tcW w:w="688" w:type="pct"/>
            <w:tcBorders>
              <w:top w:val="nil"/>
              <w:left w:val="nil"/>
              <w:bottom w:val="single" w:sz="4" w:space="0" w:color="000000"/>
              <w:right w:val="nil"/>
            </w:tcBorders>
            <w:vAlign w:val="center"/>
            <w:hideMark/>
          </w:tcPr>
          <w:p w14:paraId="40786570" w14:textId="77777777" w:rsidR="00E541EE" w:rsidRPr="00AC5BB2" w:rsidRDefault="00E541EE" w:rsidP="00A84BB5">
            <w:pPr>
              <w:jc w:val="center"/>
              <w:rPr>
                <w:rFonts w:ascii="Arial" w:eastAsia="Times New Roman" w:hAnsi="Arial" w:cs="Arial"/>
                <w:color w:val="000000"/>
                <w:sz w:val="16"/>
                <w:szCs w:val="16"/>
              </w:rPr>
            </w:pPr>
            <w:r w:rsidRPr="00AC5BB2">
              <w:rPr>
                <w:rFonts w:ascii="Arial" w:eastAsia="Times New Roman" w:hAnsi="Arial" w:cs="Arial"/>
                <w:color w:val="000000"/>
                <w:sz w:val="16"/>
                <w:szCs w:val="16"/>
              </w:rPr>
              <w:t xml:space="preserve">1.879.458,07   </w:t>
            </w:r>
          </w:p>
        </w:tc>
        <w:tc>
          <w:tcPr>
            <w:tcW w:w="392" w:type="pct"/>
            <w:tcBorders>
              <w:top w:val="nil"/>
              <w:left w:val="single" w:sz="4" w:space="0" w:color="auto"/>
              <w:bottom w:val="single" w:sz="4" w:space="0" w:color="auto"/>
              <w:right w:val="single" w:sz="4" w:space="0" w:color="auto"/>
            </w:tcBorders>
            <w:noWrap/>
            <w:vAlign w:val="center"/>
            <w:hideMark/>
          </w:tcPr>
          <w:p w14:paraId="65D85AB8" w14:textId="77777777" w:rsidR="00E541EE" w:rsidRPr="00AC5BB2" w:rsidRDefault="00E541EE" w:rsidP="00A84BB5">
            <w:pPr>
              <w:jc w:val="right"/>
              <w:rPr>
                <w:rFonts w:ascii="Arial" w:eastAsia="Times New Roman" w:hAnsi="Arial" w:cs="Arial"/>
                <w:color w:val="000000"/>
                <w:sz w:val="16"/>
                <w:szCs w:val="16"/>
              </w:rPr>
            </w:pPr>
            <w:r w:rsidRPr="00AC5BB2">
              <w:rPr>
                <w:rFonts w:ascii="Arial" w:eastAsia="Times New Roman" w:hAnsi="Arial" w:cs="Arial"/>
                <w:color w:val="000000"/>
                <w:sz w:val="16"/>
                <w:szCs w:val="16"/>
              </w:rPr>
              <w:t xml:space="preserve">103,07   </w:t>
            </w:r>
          </w:p>
        </w:tc>
      </w:tr>
      <w:tr w:rsidR="00E541EE" w:rsidRPr="00AC5BB2" w14:paraId="49828B18" w14:textId="77777777" w:rsidTr="00A84BB5">
        <w:trPr>
          <w:trHeight w:val="1050"/>
          <w:jc w:val="center"/>
        </w:trPr>
        <w:tc>
          <w:tcPr>
            <w:tcW w:w="408" w:type="pct"/>
            <w:tcBorders>
              <w:top w:val="nil"/>
              <w:left w:val="single" w:sz="4" w:space="0" w:color="000000"/>
              <w:bottom w:val="single" w:sz="4" w:space="0" w:color="000000"/>
              <w:right w:val="single" w:sz="4" w:space="0" w:color="000000"/>
            </w:tcBorders>
            <w:vAlign w:val="center"/>
            <w:hideMark/>
          </w:tcPr>
          <w:p w14:paraId="5179825F" w14:textId="77777777" w:rsidR="00E541EE" w:rsidRPr="00AC5BB2" w:rsidRDefault="00E541EE" w:rsidP="00A84BB5">
            <w:pPr>
              <w:jc w:val="center"/>
              <w:rPr>
                <w:rFonts w:ascii="Arial" w:eastAsia="Times New Roman" w:hAnsi="Arial" w:cs="Arial"/>
                <w:color w:val="000000"/>
                <w:sz w:val="16"/>
                <w:szCs w:val="16"/>
              </w:rPr>
            </w:pPr>
            <w:r w:rsidRPr="00AC5BB2">
              <w:rPr>
                <w:rFonts w:ascii="Arial" w:eastAsia="Times New Roman" w:hAnsi="Arial" w:cs="Arial"/>
                <w:color w:val="000000"/>
                <w:sz w:val="16"/>
                <w:szCs w:val="16"/>
              </w:rPr>
              <w:t> </w:t>
            </w:r>
          </w:p>
        </w:tc>
        <w:tc>
          <w:tcPr>
            <w:tcW w:w="455" w:type="pct"/>
            <w:tcBorders>
              <w:top w:val="nil"/>
              <w:left w:val="nil"/>
              <w:bottom w:val="single" w:sz="4" w:space="0" w:color="000000"/>
              <w:right w:val="single" w:sz="4" w:space="0" w:color="000000"/>
            </w:tcBorders>
            <w:vAlign w:val="center"/>
            <w:hideMark/>
          </w:tcPr>
          <w:p w14:paraId="3D8B68B4" w14:textId="77777777" w:rsidR="00E541EE" w:rsidRPr="00AC5BB2" w:rsidRDefault="00E541EE" w:rsidP="00A84BB5">
            <w:pPr>
              <w:jc w:val="center"/>
              <w:rPr>
                <w:rFonts w:ascii="Arial" w:eastAsia="Times New Roman" w:hAnsi="Arial" w:cs="Arial"/>
                <w:color w:val="000000"/>
                <w:sz w:val="16"/>
                <w:szCs w:val="16"/>
              </w:rPr>
            </w:pPr>
            <w:r w:rsidRPr="00AC5BB2">
              <w:rPr>
                <w:rFonts w:ascii="Arial" w:eastAsia="Times New Roman" w:hAnsi="Arial" w:cs="Arial"/>
                <w:color w:val="000000"/>
                <w:sz w:val="16"/>
                <w:szCs w:val="16"/>
              </w:rPr>
              <w:t>65</w:t>
            </w:r>
          </w:p>
        </w:tc>
        <w:tc>
          <w:tcPr>
            <w:tcW w:w="993" w:type="pct"/>
            <w:tcBorders>
              <w:top w:val="nil"/>
              <w:left w:val="nil"/>
              <w:bottom w:val="single" w:sz="4" w:space="0" w:color="000000"/>
              <w:right w:val="single" w:sz="4" w:space="0" w:color="000000"/>
            </w:tcBorders>
            <w:vAlign w:val="center"/>
            <w:hideMark/>
          </w:tcPr>
          <w:p w14:paraId="283C9457" w14:textId="77777777" w:rsidR="00E541EE" w:rsidRPr="00AC5BB2" w:rsidRDefault="00E541EE" w:rsidP="00A84BB5">
            <w:pPr>
              <w:rPr>
                <w:rFonts w:ascii="Arial" w:eastAsia="Times New Roman" w:hAnsi="Arial" w:cs="Arial"/>
                <w:color w:val="000000"/>
                <w:sz w:val="16"/>
                <w:szCs w:val="16"/>
              </w:rPr>
            </w:pPr>
            <w:r w:rsidRPr="00AC5BB2">
              <w:rPr>
                <w:rFonts w:ascii="Arial" w:eastAsia="Times New Roman" w:hAnsi="Arial" w:cs="Arial"/>
                <w:color w:val="000000"/>
                <w:sz w:val="16"/>
                <w:szCs w:val="16"/>
              </w:rPr>
              <w:t>Prihodi od upravnih i administrativnih pristojbi, pristojbi po posebnim propisima i naknada</w:t>
            </w:r>
          </w:p>
        </w:tc>
        <w:tc>
          <w:tcPr>
            <w:tcW w:w="688" w:type="pct"/>
            <w:tcBorders>
              <w:top w:val="nil"/>
              <w:left w:val="nil"/>
              <w:bottom w:val="single" w:sz="4" w:space="0" w:color="000000"/>
              <w:right w:val="single" w:sz="4" w:space="0" w:color="000000"/>
            </w:tcBorders>
            <w:vAlign w:val="center"/>
            <w:hideMark/>
          </w:tcPr>
          <w:p w14:paraId="37138401" w14:textId="77777777" w:rsidR="00E541EE" w:rsidRPr="00AC5BB2" w:rsidRDefault="00E541EE" w:rsidP="00A84BB5">
            <w:pPr>
              <w:jc w:val="center"/>
              <w:rPr>
                <w:rFonts w:ascii="Arial" w:eastAsia="Times New Roman" w:hAnsi="Arial" w:cs="Arial"/>
                <w:color w:val="000000"/>
                <w:sz w:val="16"/>
                <w:szCs w:val="16"/>
              </w:rPr>
            </w:pPr>
            <w:r w:rsidRPr="00AC5BB2">
              <w:rPr>
                <w:rFonts w:ascii="Arial" w:eastAsia="Times New Roman" w:hAnsi="Arial" w:cs="Arial"/>
                <w:color w:val="000000"/>
                <w:sz w:val="16"/>
                <w:szCs w:val="16"/>
              </w:rPr>
              <w:t xml:space="preserve">6.444.360,46   </w:t>
            </w:r>
          </w:p>
        </w:tc>
        <w:tc>
          <w:tcPr>
            <w:tcW w:w="688" w:type="pct"/>
            <w:tcBorders>
              <w:top w:val="nil"/>
              <w:left w:val="nil"/>
              <w:bottom w:val="single" w:sz="4" w:space="0" w:color="000000"/>
              <w:right w:val="single" w:sz="4" w:space="0" w:color="000000"/>
            </w:tcBorders>
            <w:vAlign w:val="center"/>
            <w:hideMark/>
          </w:tcPr>
          <w:p w14:paraId="02BBEF43" w14:textId="77777777" w:rsidR="00E541EE" w:rsidRPr="00AC5BB2" w:rsidRDefault="00E541EE" w:rsidP="00A84BB5">
            <w:pPr>
              <w:jc w:val="center"/>
              <w:rPr>
                <w:rFonts w:ascii="Arial" w:eastAsia="Times New Roman" w:hAnsi="Arial" w:cs="Arial"/>
                <w:color w:val="000000"/>
                <w:sz w:val="16"/>
                <w:szCs w:val="16"/>
              </w:rPr>
            </w:pPr>
            <w:r w:rsidRPr="00AC5BB2">
              <w:rPr>
                <w:rFonts w:ascii="Arial" w:eastAsia="Times New Roman" w:hAnsi="Arial" w:cs="Arial"/>
                <w:color w:val="000000"/>
                <w:sz w:val="16"/>
                <w:szCs w:val="16"/>
              </w:rPr>
              <w:t xml:space="preserve">6.134.889,83   </w:t>
            </w:r>
          </w:p>
        </w:tc>
        <w:tc>
          <w:tcPr>
            <w:tcW w:w="688" w:type="pct"/>
            <w:tcBorders>
              <w:top w:val="nil"/>
              <w:left w:val="nil"/>
              <w:bottom w:val="single" w:sz="4" w:space="0" w:color="000000"/>
              <w:right w:val="single" w:sz="4" w:space="0" w:color="000000"/>
            </w:tcBorders>
            <w:vAlign w:val="center"/>
            <w:hideMark/>
          </w:tcPr>
          <w:p w14:paraId="7ED68918" w14:textId="77777777" w:rsidR="00E541EE" w:rsidRPr="00AC5BB2" w:rsidRDefault="00E541EE" w:rsidP="00A84BB5">
            <w:pPr>
              <w:jc w:val="center"/>
              <w:rPr>
                <w:rFonts w:ascii="Arial" w:eastAsia="Times New Roman" w:hAnsi="Arial" w:cs="Arial"/>
                <w:color w:val="000000"/>
                <w:sz w:val="16"/>
                <w:szCs w:val="16"/>
              </w:rPr>
            </w:pPr>
            <w:r w:rsidRPr="00AC5BB2">
              <w:rPr>
                <w:rFonts w:ascii="Arial" w:eastAsia="Times New Roman" w:hAnsi="Arial" w:cs="Arial"/>
                <w:color w:val="000000"/>
                <w:sz w:val="16"/>
                <w:szCs w:val="16"/>
              </w:rPr>
              <w:t xml:space="preserve">8.211.535,75   </w:t>
            </w:r>
          </w:p>
        </w:tc>
        <w:tc>
          <w:tcPr>
            <w:tcW w:w="688" w:type="pct"/>
            <w:tcBorders>
              <w:top w:val="nil"/>
              <w:left w:val="nil"/>
              <w:bottom w:val="single" w:sz="4" w:space="0" w:color="000000"/>
              <w:right w:val="nil"/>
            </w:tcBorders>
            <w:vAlign w:val="center"/>
            <w:hideMark/>
          </w:tcPr>
          <w:p w14:paraId="075660ED" w14:textId="77777777" w:rsidR="00E541EE" w:rsidRPr="00AC5BB2" w:rsidRDefault="00E541EE" w:rsidP="00A84BB5">
            <w:pPr>
              <w:jc w:val="center"/>
              <w:rPr>
                <w:rFonts w:ascii="Arial" w:eastAsia="Times New Roman" w:hAnsi="Arial" w:cs="Arial"/>
                <w:color w:val="000000"/>
                <w:sz w:val="16"/>
                <w:szCs w:val="16"/>
              </w:rPr>
            </w:pPr>
            <w:r w:rsidRPr="00AC5BB2">
              <w:rPr>
                <w:rFonts w:ascii="Arial" w:eastAsia="Times New Roman" w:hAnsi="Arial" w:cs="Arial"/>
                <w:color w:val="000000"/>
                <w:sz w:val="16"/>
                <w:szCs w:val="16"/>
              </w:rPr>
              <w:t xml:space="preserve">7.157.150,81   </w:t>
            </w:r>
          </w:p>
        </w:tc>
        <w:tc>
          <w:tcPr>
            <w:tcW w:w="392" w:type="pct"/>
            <w:tcBorders>
              <w:top w:val="nil"/>
              <w:left w:val="single" w:sz="4" w:space="0" w:color="auto"/>
              <w:bottom w:val="single" w:sz="4" w:space="0" w:color="auto"/>
              <w:right w:val="single" w:sz="4" w:space="0" w:color="auto"/>
            </w:tcBorders>
            <w:noWrap/>
            <w:vAlign w:val="center"/>
            <w:hideMark/>
          </w:tcPr>
          <w:p w14:paraId="17D10A3D" w14:textId="77777777" w:rsidR="00E541EE" w:rsidRPr="00AC5BB2" w:rsidRDefault="00E541EE" w:rsidP="00A84BB5">
            <w:pPr>
              <w:jc w:val="right"/>
              <w:rPr>
                <w:rFonts w:ascii="Arial" w:eastAsia="Times New Roman" w:hAnsi="Arial" w:cs="Arial"/>
                <w:color w:val="000000"/>
                <w:sz w:val="16"/>
                <w:szCs w:val="16"/>
              </w:rPr>
            </w:pPr>
            <w:r w:rsidRPr="00AC5BB2">
              <w:rPr>
                <w:rFonts w:ascii="Arial" w:eastAsia="Times New Roman" w:hAnsi="Arial" w:cs="Arial"/>
                <w:color w:val="000000"/>
                <w:sz w:val="16"/>
                <w:szCs w:val="16"/>
              </w:rPr>
              <w:t xml:space="preserve">95,20   </w:t>
            </w:r>
          </w:p>
        </w:tc>
      </w:tr>
      <w:tr w:rsidR="00E541EE" w:rsidRPr="00AC5BB2" w14:paraId="70ACABFA" w14:textId="77777777" w:rsidTr="00A84BB5">
        <w:trPr>
          <w:trHeight w:val="1391"/>
          <w:jc w:val="center"/>
        </w:trPr>
        <w:tc>
          <w:tcPr>
            <w:tcW w:w="408" w:type="pct"/>
            <w:tcBorders>
              <w:top w:val="nil"/>
              <w:left w:val="single" w:sz="4" w:space="0" w:color="000000"/>
              <w:bottom w:val="single" w:sz="4" w:space="0" w:color="000000"/>
              <w:right w:val="single" w:sz="4" w:space="0" w:color="000000"/>
            </w:tcBorders>
            <w:vAlign w:val="center"/>
            <w:hideMark/>
          </w:tcPr>
          <w:p w14:paraId="301EF5C1" w14:textId="77777777" w:rsidR="00E541EE" w:rsidRPr="00AC5BB2" w:rsidRDefault="00E541EE" w:rsidP="00A84BB5">
            <w:pPr>
              <w:jc w:val="center"/>
              <w:rPr>
                <w:rFonts w:ascii="Arial" w:eastAsia="Times New Roman" w:hAnsi="Arial" w:cs="Arial"/>
                <w:color w:val="000000"/>
                <w:sz w:val="16"/>
                <w:szCs w:val="16"/>
              </w:rPr>
            </w:pPr>
            <w:r w:rsidRPr="00AC5BB2">
              <w:rPr>
                <w:rFonts w:ascii="Arial" w:eastAsia="Times New Roman" w:hAnsi="Arial" w:cs="Arial"/>
                <w:color w:val="000000"/>
                <w:sz w:val="16"/>
                <w:szCs w:val="16"/>
              </w:rPr>
              <w:t> </w:t>
            </w:r>
          </w:p>
        </w:tc>
        <w:tc>
          <w:tcPr>
            <w:tcW w:w="455" w:type="pct"/>
            <w:tcBorders>
              <w:top w:val="nil"/>
              <w:left w:val="nil"/>
              <w:bottom w:val="single" w:sz="4" w:space="0" w:color="000000"/>
              <w:right w:val="single" w:sz="4" w:space="0" w:color="000000"/>
            </w:tcBorders>
            <w:vAlign w:val="center"/>
            <w:hideMark/>
          </w:tcPr>
          <w:p w14:paraId="2EC6C561" w14:textId="77777777" w:rsidR="00E541EE" w:rsidRPr="00AC5BB2" w:rsidRDefault="00E541EE" w:rsidP="00A84BB5">
            <w:pPr>
              <w:jc w:val="center"/>
              <w:rPr>
                <w:rFonts w:ascii="Arial" w:eastAsia="Times New Roman" w:hAnsi="Arial" w:cs="Arial"/>
                <w:color w:val="000000"/>
                <w:sz w:val="16"/>
                <w:szCs w:val="16"/>
              </w:rPr>
            </w:pPr>
            <w:r w:rsidRPr="00AC5BB2">
              <w:rPr>
                <w:rFonts w:ascii="Arial" w:eastAsia="Times New Roman" w:hAnsi="Arial" w:cs="Arial"/>
                <w:color w:val="000000"/>
                <w:sz w:val="16"/>
                <w:szCs w:val="16"/>
              </w:rPr>
              <w:t>66</w:t>
            </w:r>
          </w:p>
        </w:tc>
        <w:tc>
          <w:tcPr>
            <w:tcW w:w="993" w:type="pct"/>
            <w:tcBorders>
              <w:top w:val="nil"/>
              <w:left w:val="nil"/>
              <w:bottom w:val="single" w:sz="4" w:space="0" w:color="000000"/>
              <w:right w:val="single" w:sz="4" w:space="0" w:color="000000"/>
            </w:tcBorders>
            <w:vAlign w:val="center"/>
            <w:hideMark/>
          </w:tcPr>
          <w:p w14:paraId="1A8EF308" w14:textId="77777777" w:rsidR="00E541EE" w:rsidRPr="00AC5BB2" w:rsidRDefault="00E541EE" w:rsidP="00A84BB5">
            <w:pPr>
              <w:rPr>
                <w:rFonts w:ascii="Arial" w:eastAsia="Times New Roman" w:hAnsi="Arial" w:cs="Arial"/>
                <w:color w:val="000000"/>
                <w:sz w:val="16"/>
                <w:szCs w:val="16"/>
              </w:rPr>
            </w:pPr>
            <w:r w:rsidRPr="00AC5BB2">
              <w:rPr>
                <w:rFonts w:ascii="Arial" w:eastAsia="Times New Roman" w:hAnsi="Arial" w:cs="Arial"/>
                <w:color w:val="000000"/>
                <w:sz w:val="16"/>
                <w:szCs w:val="16"/>
              </w:rPr>
              <w:t>Prihodi od prodaje proizvoda i robe te pruženih usluga, prihodi od donacija te povrati po protestiranim jamstvima</w:t>
            </w:r>
          </w:p>
        </w:tc>
        <w:tc>
          <w:tcPr>
            <w:tcW w:w="688" w:type="pct"/>
            <w:tcBorders>
              <w:top w:val="nil"/>
              <w:left w:val="nil"/>
              <w:bottom w:val="single" w:sz="4" w:space="0" w:color="000000"/>
              <w:right w:val="single" w:sz="4" w:space="0" w:color="000000"/>
            </w:tcBorders>
            <w:vAlign w:val="center"/>
            <w:hideMark/>
          </w:tcPr>
          <w:p w14:paraId="790E36BF" w14:textId="77777777" w:rsidR="00E541EE" w:rsidRPr="00AC5BB2" w:rsidRDefault="00E541EE" w:rsidP="00A84BB5">
            <w:pPr>
              <w:jc w:val="center"/>
              <w:rPr>
                <w:rFonts w:ascii="Arial" w:eastAsia="Times New Roman" w:hAnsi="Arial" w:cs="Arial"/>
                <w:color w:val="000000"/>
                <w:sz w:val="16"/>
                <w:szCs w:val="16"/>
              </w:rPr>
            </w:pPr>
            <w:r w:rsidRPr="00AC5BB2">
              <w:rPr>
                <w:rFonts w:ascii="Arial" w:eastAsia="Times New Roman" w:hAnsi="Arial" w:cs="Arial"/>
                <w:color w:val="000000"/>
                <w:sz w:val="16"/>
                <w:szCs w:val="16"/>
              </w:rPr>
              <w:t xml:space="preserve">443.850,06   </w:t>
            </w:r>
          </w:p>
        </w:tc>
        <w:tc>
          <w:tcPr>
            <w:tcW w:w="688" w:type="pct"/>
            <w:tcBorders>
              <w:top w:val="nil"/>
              <w:left w:val="nil"/>
              <w:bottom w:val="single" w:sz="4" w:space="0" w:color="000000"/>
              <w:right w:val="single" w:sz="4" w:space="0" w:color="000000"/>
            </w:tcBorders>
            <w:vAlign w:val="center"/>
            <w:hideMark/>
          </w:tcPr>
          <w:p w14:paraId="31572A1C" w14:textId="77777777" w:rsidR="00E541EE" w:rsidRPr="00AC5BB2" w:rsidRDefault="00E541EE" w:rsidP="00A84BB5">
            <w:pPr>
              <w:jc w:val="center"/>
              <w:rPr>
                <w:rFonts w:ascii="Arial" w:eastAsia="Times New Roman" w:hAnsi="Arial" w:cs="Arial"/>
                <w:color w:val="000000"/>
                <w:sz w:val="16"/>
                <w:szCs w:val="16"/>
              </w:rPr>
            </w:pPr>
            <w:r w:rsidRPr="00AC5BB2">
              <w:rPr>
                <w:rFonts w:ascii="Arial" w:eastAsia="Times New Roman" w:hAnsi="Arial" w:cs="Arial"/>
                <w:color w:val="000000"/>
                <w:sz w:val="16"/>
                <w:szCs w:val="16"/>
              </w:rPr>
              <w:t xml:space="preserve">429.977,46   </w:t>
            </w:r>
          </w:p>
        </w:tc>
        <w:tc>
          <w:tcPr>
            <w:tcW w:w="688" w:type="pct"/>
            <w:tcBorders>
              <w:top w:val="nil"/>
              <w:left w:val="nil"/>
              <w:bottom w:val="single" w:sz="4" w:space="0" w:color="000000"/>
              <w:right w:val="single" w:sz="4" w:space="0" w:color="000000"/>
            </w:tcBorders>
            <w:vAlign w:val="center"/>
            <w:hideMark/>
          </w:tcPr>
          <w:p w14:paraId="77F73D39" w14:textId="77777777" w:rsidR="00E541EE" w:rsidRPr="00AC5BB2" w:rsidRDefault="00E541EE" w:rsidP="00A84BB5">
            <w:pPr>
              <w:jc w:val="center"/>
              <w:rPr>
                <w:rFonts w:ascii="Arial" w:eastAsia="Times New Roman" w:hAnsi="Arial" w:cs="Arial"/>
                <w:color w:val="000000"/>
                <w:sz w:val="16"/>
                <w:szCs w:val="16"/>
              </w:rPr>
            </w:pPr>
            <w:r w:rsidRPr="00AC5BB2">
              <w:rPr>
                <w:rFonts w:ascii="Arial" w:eastAsia="Times New Roman" w:hAnsi="Arial" w:cs="Arial"/>
                <w:color w:val="000000"/>
                <w:sz w:val="16"/>
                <w:szCs w:val="16"/>
              </w:rPr>
              <w:t xml:space="preserve">436.986,86   </w:t>
            </w:r>
          </w:p>
        </w:tc>
        <w:tc>
          <w:tcPr>
            <w:tcW w:w="688" w:type="pct"/>
            <w:tcBorders>
              <w:top w:val="nil"/>
              <w:left w:val="nil"/>
              <w:bottom w:val="single" w:sz="4" w:space="0" w:color="000000"/>
              <w:right w:val="nil"/>
            </w:tcBorders>
            <w:vAlign w:val="center"/>
            <w:hideMark/>
          </w:tcPr>
          <w:p w14:paraId="62F4B7BB" w14:textId="77777777" w:rsidR="00E541EE" w:rsidRPr="00AC5BB2" w:rsidRDefault="00E541EE" w:rsidP="00A84BB5">
            <w:pPr>
              <w:jc w:val="center"/>
              <w:rPr>
                <w:rFonts w:ascii="Arial" w:eastAsia="Times New Roman" w:hAnsi="Arial" w:cs="Arial"/>
                <w:color w:val="000000"/>
                <w:sz w:val="16"/>
                <w:szCs w:val="16"/>
              </w:rPr>
            </w:pPr>
            <w:r w:rsidRPr="00AC5BB2">
              <w:rPr>
                <w:rFonts w:ascii="Arial" w:eastAsia="Times New Roman" w:hAnsi="Arial" w:cs="Arial"/>
                <w:color w:val="000000"/>
                <w:sz w:val="16"/>
                <w:szCs w:val="16"/>
              </w:rPr>
              <w:t xml:space="preserve">416.907,34   </w:t>
            </w:r>
          </w:p>
        </w:tc>
        <w:tc>
          <w:tcPr>
            <w:tcW w:w="392" w:type="pct"/>
            <w:tcBorders>
              <w:top w:val="nil"/>
              <w:left w:val="single" w:sz="4" w:space="0" w:color="auto"/>
              <w:bottom w:val="single" w:sz="4" w:space="0" w:color="auto"/>
              <w:right w:val="single" w:sz="4" w:space="0" w:color="auto"/>
            </w:tcBorders>
            <w:noWrap/>
            <w:vAlign w:val="center"/>
            <w:hideMark/>
          </w:tcPr>
          <w:p w14:paraId="61395CDE" w14:textId="77777777" w:rsidR="00E541EE" w:rsidRPr="00AC5BB2" w:rsidRDefault="00E541EE" w:rsidP="00A84BB5">
            <w:pPr>
              <w:jc w:val="right"/>
              <w:rPr>
                <w:rFonts w:ascii="Arial" w:eastAsia="Times New Roman" w:hAnsi="Arial" w:cs="Arial"/>
                <w:color w:val="000000"/>
                <w:sz w:val="16"/>
                <w:szCs w:val="16"/>
              </w:rPr>
            </w:pPr>
            <w:r w:rsidRPr="00AC5BB2">
              <w:rPr>
                <w:rFonts w:ascii="Arial" w:eastAsia="Times New Roman" w:hAnsi="Arial" w:cs="Arial"/>
                <w:color w:val="000000"/>
                <w:sz w:val="16"/>
                <w:szCs w:val="16"/>
              </w:rPr>
              <w:t xml:space="preserve">96,87   </w:t>
            </w:r>
          </w:p>
        </w:tc>
      </w:tr>
      <w:tr w:rsidR="00E541EE" w:rsidRPr="00AC5BB2" w14:paraId="6A5BDC2E" w14:textId="77777777" w:rsidTr="00A84BB5">
        <w:trPr>
          <w:trHeight w:val="432"/>
          <w:jc w:val="center"/>
        </w:trPr>
        <w:tc>
          <w:tcPr>
            <w:tcW w:w="408" w:type="pct"/>
            <w:tcBorders>
              <w:top w:val="nil"/>
              <w:left w:val="single" w:sz="4" w:space="0" w:color="000000"/>
              <w:bottom w:val="single" w:sz="4" w:space="0" w:color="000000"/>
              <w:right w:val="single" w:sz="4" w:space="0" w:color="000000"/>
            </w:tcBorders>
            <w:vAlign w:val="center"/>
            <w:hideMark/>
          </w:tcPr>
          <w:p w14:paraId="2B4E9546" w14:textId="77777777" w:rsidR="00E541EE" w:rsidRPr="00AC5BB2" w:rsidRDefault="00E541EE" w:rsidP="00A84BB5">
            <w:pPr>
              <w:jc w:val="center"/>
              <w:rPr>
                <w:rFonts w:ascii="Arial" w:eastAsia="Times New Roman" w:hAnsi="Arial" w:cs="Arial"/>
                <w:color w:val="000000"/>
                <w:sz w:val="16"/>
                <w:szCs w:val="16"/>
              </w:rPr>
            </w:pPr>
            <w:r w:rsidRPr="00AC5BB2">
              <w:rPr>
                <w:rFonts w:ascii="Arial" w:eastAsia="Times New Roman" w:hAnsi="Arial" w:cs="Arial"/>
                <w:color w:val="000000"/>
                <w:sz w:val="16"/>
                <w:szCs w:val="16"/>
              </w:rPr>
              <w:t> </w:t>
            </w:r>
          </w:p>
        </w:tc>
        <w:tc>
          <w:tcPr>
            <w:tcW w:w="455" w:type="pct"/>
            <w:tcBorders>
              <w:top w:val="nil"/>
              <w:left w:val="nil"/>
              <w:bottom w:val="single" w:sz="4" w:space="0" w:color="000000"/>
              <w:right w:val="single" w:sz="4" w:space="0" w:color="000000"/>
            </w:tcBorders>
            <w:vAlign w:val="center"/>
            <w:hideMark/>
          </w:tcPr>
          <w:p w14:paraId="00C17739" w14:textId="77777777" w:rsidR="00E541EE" w:rsidRPr="00AC5BB2" w:rsidRDefault="00E541EE" w:rsidP="00A84BB5">
            <w:pPr>
              <w:jc w:val="center"/>
              <w:rPr>
                <w:rFonts w:ascii="Arial" w:eastAsia="Times New Roman" w:hAnsi="Arial" w:cs="Arial"/>
                <w:color w:val="000000"/>
                <w:sz w:val="16"/>
                <w:szCs w:val="16"/>
              </w:rPr>
            </w:pPr>
            <w:r w:rsidRPr="00AC5BB2">
              <w:rPr>
                <w:rFonts w:ascii="Arial" w:eastAsia="Times New Roman" w:hAnsi="Arial" w:cs="Arial"/>
                <w:color w:val="000000"/>
                <w:sz w:val="16"/>
                <w:szCs w:val="16"/>
              </w:rPr>
              <w:t>68</w:t>
            </w:r>
          </w:p>
        </w:tc>
        <w:tc>
          <w:tcPr>
            <w:tcW w:w="993" w:type="pct"/>
            <w:tcBorders>
              <w:top w:val="nil"/>
              <w:left w:val="nil"/>
              <w:bottom w:val="single" w:sz="4" w:space="0" w:color="000000"/>
              <w:right w:val="single" w:sz="4" w:space="0" w:color="000000"/>
            </w:tcBorders>
            <w:vAlign w:val="center"/>
            <w:hideMark/>
          </w:tcPr>
          <w:p w14:paraId="1907828D" w14:textId="77777777" w:rsidR="00E541EE" w:rsidRPr="00AC5BB2" w:rsidRDefault="00E541EE" w:rsidP="00A84BB5">
            <w:pPr>
              <w:rPr>
                <w:rFonts w:ascii="Arial" w:eastAsia="Times New Roman" w:hAnsi="Arial" w:cs="Arial"/>
                <w:color w:val="000000"/>
                <w:sz w:val="16"/>
                <w:szCs w:val="16"/>
              </w:rPr>
            </w:pPr>
            <w:r w:rsidRPr="00AC5BB2">
              <w:rPr>
                <w:rFonts w:ascii="Arial" w:eastAsia="Times New Roman" w:hAnsi="Arial" w:cs="Arial"/>
                <w:color w:val="000000"/>
                <w:sz w:val="16"/>
                <w:szCs w:val="16"/>
              </w:rPr>
              <w:t>Kazne, upravne mjere i ostali prihodi</w:t>
            </w:r>
          </w:p>
        </w:tc>
        <w:tc>
          <w:tcPr>
            <w:tcW w:w="688" w:type="pct"/>
            <w:tcBorders>
              <w:top w:val="nil"/>
              <w:left w:val="nil"/>
              <w:bottom w:val="single" w:sz="4" w:space="0" w:color="000000"/>
              <w:right w:val="single" w:sz="4" w:space="0" w:color="000000"/>
            </w:tcBorders>
            <w:vAlign w:val="center"/>
            <w:hideMark/>
          </w:tcPr>
          <w:p w14:paraId="50282195" w14:textId="77777777" w:rsidR="00E541EE" w:rsidRPr="00AC5BB2" w:rsidRDefault="00E541EE" w:rsidP="00A84BB5">
            <w:pPr>
              <w:jc w:val="center"/>
              <w:rPr>
                <w:rFonts w:ascii="Arial" w:eastAsia="Times New Roman" w:hAnsi="Arial" w:cs="Arial"/>
                <w:color w:val="000000"/>
                <w:sz w:val="16"/>
                <w:szCs w:val="16"/>
              </w:rPr>
            </w:pPr>
            <w:r w:rsidRPr="00AC5BB2">
              <w:rPr>
                <w:rFonts w:ascii="Arial" w:eastAsia="Times New Roman" w:hAnsi="Arial" w:cs="Arial"/>
                <w:color w:val="000000"/>
                <w:sz w:val="16"/>
                <w:szCs w:val="16"/>
              </w:rPr>
              <w:t xml:space="preserve">55.734,92   </w:t>
            </w:r>
          </w:p>
        </w:tc>
        <w:tc>
          <w:tcPr>
            <w:tcW w:w="688" w:type="pct"/>
            <w:tcBorders>
              <w:top w:val="nil"/>
              <w:left w:val="nil"/>
              <w:bottom w:val="single" w:sz="4" w:space="0" w:color="000000"/>
              <w:right w:val="single" w:sz="4" w:space="0" w:color="000000"/>
            </w:tcBorders>
            <w:vAlign w:val="center"/>
            <w:hideMark/>
          </w:tcPr>
          <w:p w14:paraId="2E9D259D" w14:textId="77777777" w:rsidR="00E541EE" w:rsidRPr="00AC5BB2" w:rsidRDefault="00E541EE" w:rsidP="00A84BB5">
            <w:pPr>
              <w:jc w:val="center"/>
              <w:rPr>
                <w:rFonts w:ascii="Arial" w:eastAsia="Times New Roman" w:hAnsi="Arial" w:cs="Arial"/>
                <w:color w:val="000000"/>
                <w:sz w:val="16"/>
                <w:szCs w:val="16"/>
              </w:rPr>
            </w:pPr>
            <w:r w:rsidRPr="00AC5BB2">
              <w:rPr>
                <w:rFonts w:ascii="Arial" w:eastAsia="Times New Roman" w:hAnsi="Arial" w:cs="Arial"/>
                <w:color w:val="000000"/>
                <w:sz w:val="16"/>
                <w:szCs w:val="16"/>
              </w:rPr>
              <w:t xml:space="preserve">57.700,80   </w:t>
            </w:r>
          </w:p>
        </w:tc>
        <w:tc>
          <w:tcPr>
            <w:tcW w:w="688" w:type="pct"/>
            <w:tcBorders>
              <w:top w:val="nil"/>
              <w:left w:val="nil"/>
              <w:bottom w:val="single" w:sz="4" w:space="0" w:color="000000"/>
              <w:right w:val="single" w:sz="4" w:space="0" w:color="000000"/>
            </w:tcBorders>
            <w:vAlign w:val="center"/>
            <w:hideMark/>
          </w:tcPr>
          <w:p w14:paraId="5DB8B6F9" w14:textId="77777777" w:rsidR="00E541EE" w:rsidRPr="00AC5BB2" w:rsidRDefault="00E541EE" w:rsidP="00A84BB5">
            <w:pPr>
              <w:jc w:val="center"/>
              <w:rPr>
                <w:rFonts w:ascii="Arial" w:eastAsia="Times New Roman" w:hAnsi="Arial" w:cs="Arial"/>
                <w:color w:val="000000"/>
                <w:sz w:val="16"/>
                <w:szCs w:val="16"/>
              </w:rPr>
            </w:pPr>
            <w:r w:rsidRPr="00AC5BB2">
              <w:rPr>
                <w:rFonts w:ascii="Arial" w:eastAsia="Times New Roman" w:hAnsi="Arial" w:cs="Arial"/>
                <w:color w:val="000000"/>
                <w:sz w:val="16"/>
                <w:szCs w:val="16"/>
              </w:rPr>
              <w:t xml:space="preserve">58.900,00   </w:t>
            </w:r>
          </w:p>
        </w:tc>
        <w:tc>
          <w:tcPr>
            <w:tcW w:w="688" w:type="pct"/>
            <w:tcBorders>
              <w:top w:val="nil"/>
              <w:left w:val="nil"/>
              <w:bottom w:val="single" w:sz="4" w:space="0" w:color="000000"/>
              <w:right w:val="nil"/>
            </w:tcBorders>
            <w:vAlign w:val="center"/>
            <w:hideMark/>
          </w:tcPr>
          <w:p w14:paraId="12505E7A" w14:textId="77777777" w:rsidR="00E541EE" w:rsidRPr="00AC5BB2" w:rsidRDefault="00E541EE" w:rsidP="00A84BB5">
            <w:pPr>
              <w:jc w:val="center"/>
              <w:rPr>
                <w:rFonts w:ascii="Arial" w:eastAsia="Times New Roman" w:hAnsi="Arial" w:cs="Arial"/>
                <w:color w:val="000000"/>
                <w:sz w:val="16"/>
                <w:szCs w:val="16"/>
              </w:rPr>
            </w:pPr>
            <w:r w:rsidRPr="00AC5BB2">
              <w:rPr>
                <w:rFonts w:ascii="Arial" w:eastAsia="Times New Roman" w:hAnsi="Arial" w:cs="Arial"/>
                <w:color w:val="000000"/>
                <w:sz w:val="16"/>
                <w:szCs w:val="16"/>
              </w:rPr>
              <w:t xml:space="preserve">61.520,00   </w:t>
            </w:r>
          </w:p>
        </w:tc>
        <w:tc>
          <w:tcPr>
            <w:tcW w:w="392" w:type="pct"/>
            <w:tcBorders>
              <w:top w:val="nil"/>
              <w:left w:val="single" w:sz="4" w:space="0" w:color="auto"/>
              <w:bottom w:val="single" w:sz="4" w:space="0" w:color="auto"/>
              <w:right w:val="single" w:sz="4" w:space="0" w:color="auto"/>
            </w:tcBorders>
            <w:noWrap/>
            <w:vAlign w:val="center"/>
            <w:hideMark/>
          </w:tcPr>
          <w:p w14:paraId="30453701" w14:textId="77777777" w:rsidR="00E541EE" w:rsidRPr="00AC5BB2" w:rsidRDefault="00E541EE" w:rsidP="00A84BB5">
            <w:pPr>
              <w:jc w:val="right"/>
              <w:rPr>
                <w:rFonts w:ascii="Arial" w:eastAsia="Times New Roman" w:hAnsi="Arial" w:cs="Arial"/>
                <w:color w:val="000000"/>
                <w:sz w:val="16"/>
                <w:szCs w:val="16"/>
              </w:rPr>
            </w:pPr>
            <w:r w:rsidRPr="00AC5BB2">
              <w:rPr>
                <w:rFonts w:ascii="Arial" w:eastAsia="Times New Roman" w:hAnsi="Arial" w:cs="Arial"/>
                <w:color w:val="000000"/>
                <w:sz w:val="16"/>
                <w:szCs w:val="16"/>
              </w:rPr>
              <w:t xml:space="preserve">103,53   </w:t>
            </w:r>
          </w:p>
        </w:tc>
      </w:tr>
      <w:tr w:rsidR="00E541EE" w:rsidRPr="00AC5BB2" w14:paraId="099707C5" w14:textId="77777777" w:rsidTr="00A84BB5">
        <w:trPr>
          <w:trHeight w:val="622"/>
          <w:jc w:val="center"/>
        </w:trPr>
        <w:tc>
          <w:tcPr>
            <w:tcW w:w="408" w:type="pct"/>
            <w:tcBorders>
              <w:top w:val="nil"/>
              <w:left w:val="single" w:sz="4" w:space="0" w:color="000000"/>
              <w:bottom w:val="single" w:sz="4" w:space="0" w:color="000000"/>
              <w:right w:val="single" w:sz="4" w:space="0" w:color="000000"/>
            </w:tcBorders>
            <w:shd w:val="clear" w:color="auto" w:fill="D6E1F2"/>
            <w:vAlign w:val="center"/>
            <w:hideMark/>
          </w:tcPr>
          <w:p w14:paraId="611AC11A" w14:textId="77777777" w:rsidR="00E541EE" w:rsidRPr="00AC5BB2" w:rsidRDefault="00E541EE" w:rsidP="00A84BB5">
            <w:pPr>
              <w:jc w:val="center"/>
              <w:rPr>
                <w:rFonts w:ascii="Arial" w:eastAsia="Times New Roman" w:hAnsi="Arial" w:cs="Arial"/>
                <w:b/>
                <w:bCs/>
                <w:color w:val="000000"/>
                <w:sz w:val="16"/>
                <w:szCs w:val="16"/>
              </w:rPr>
            </w:pPr>
            <w:r w:rsidRPr="00AC5BB2">
              <w:rPr>
                <w:rFonts w:ascii="Arial" w:eastAsia="Times New Roman" w:hAnsi="Arial" w:cs="Arial"/>
                <w:b/>
                <w:bCs/>
                <w:color w:val="000000"/>
                <w:sz w:val="16"/>
                <w:szCs w:val="16"/>
              </w:rPr>
              <w:t>7</w:t>
            </w:r>
          </w:p>
        </w:tc>
        <w:tc>
          <w:tcPr>
            <w:tcW w:w="455" w:type="pct"/>
            <w:tcBorders>
              <w:top w:val="nil"/>
              <w:left w:val="nil"/>
              <w:bottom w:val="single" w:sz="4" w:space="0" w:color="000000"/>
              <w:right w:val="single" w:sz="4" w:space="0" w:color="000000"/>
            </w:tcBorders>
            <w:shd w:val="clear" w:color="auto" w:fill="D6E1F2"/>
            <w:hideMark/>
          </w:tcPr>
          <w:p w14:paraId="5A6EEDF7" w14:textId="77777777" w:rsidR="00E541EE" w:rsidRPr="00AC5BB2" w:rsidRDefault="00E541EE" w:rsidP="00A84BB5">
            <w:pPr>
              <w:jc w:val="center"/>
              <w:rPr>
                <w:rFonts w:ascii="Arial" w:eastAsia="Times New Roman" w:hAnsi="Arial" w:cs="Arial"/>
                <w:color w:val="000000"/>
                <w:sz w:val="18"/>
                <w:szCs w:val="18"/>
              </w:rPr>
            </w:pPr>
            <w:r w:rsidRPr="00AC5BB2">
              <w:rPr>
                <w:rFonts w:ascii="Arial" w:eastAsia="Times New Roman" w:hAnsi="Arial" w:cs="Arial"/>
                <w:color w:val="000000"/>
                <w:sz w:val="18"/>
                <w:szCs w:val="18"/>
              </w:rPr>
              <w:t> </w:t>
            </w:r>
          </w:p>
        </w:tc>
        <w:tc>
          <w:tcPr>
            <w:tcW w:w="993" w:type="pct"/>
            <w:tcBorders>
              <w:top w:val="nil"/>
              <w:left w:val="nil"/>
              <w:bottom w:val="single" w:sz="4" w:space="0" w:color="000000"/>
              <w:right w:val="single" w:sz="4" w:space="0" w:color="000000"/>
            </w:tcBorders>
            <w:shd w:val="clear" w:color="auto" w:fill="D6E1F2"/>
            <w:vAlign w:val="center"/>
            <w:hideMark/>
          </w:tcPr>
          <w:p w14:paraId="6CAC0FAB" w14:textId="77777777" w:rsidR="00E541EE" w:rsidRPr="00AC5BB2" w:rsidRDefault="00E541EE" w:rsidP="00A84BB5">
            <w:pPr>
              <w:rPr>
                <w:rFonts w:ascii="Arial" w:eastAsia="Times New Roman" w:hAnsi="Arial" w:cs="Arial"/>
                <w:b/>
                <w:bCs/>
                <w:color w:val="000000"/>
                <w:sz w:val="16"/>
                <w:szCs w:val="16"/>
              </w:rPr>
            </w:pPr>
            <w:r w:rsidRPr="00AC5BB2">
              <w:rPr>
                <w:rFonts w:ascii="Arial" w:eastAsia="Times New Roman" w:hAnsi="Arial" w:cs="Arial"/>
                <w:b/>
                <w:bCs/>
                <w:color w:val="000000"/>
                <w:sz w:val="16"/>
                <w:szCs w:val="16"/>
              </w:rPr>
              <w:t>Prihodi od prodaje nefinancijske imovine</w:t>
            </w:r>
          </w:p>
        </w:tc>
        <w:tc>
          <w:tcPr>
            <w:tcW w:w="688" w:type="pct"/>
            <w:tcBorders>
              <w:top w:val="nil"/>
              <w:left w:val="nil"/>
              <w:bottom w:val="single" w:sz="4" w:space="0" w:color="000000"/>
              <w:right w:val="single" w:sz="4" w:space="0" w:color="000000"/>
            </w:tcBorders>
            <w:shd w:val="clear" w:color="auto" w:fill="D6E1F2"/>
            <w:vAlign w:val="center"/>
            <w:hideMark/>
          </w:tcPr>
          <w:p w14:paraId="1FE20564" w14:textId="77777777" w:rsidR="00E541EE" w:rsidRPr="00AC5BB2" w:rsidRDefault="00E541EE" w:rsidP="00A84BB5">
            <w:pPr>
              <w:jc w:val="center"/>
              <w:rPr>
                <w:rFonts w:ascii="Arial" w:eastAsia="Times New Roman" w:hAnsi="Arial" w:cs="Arial"/>
                <w:b/>
                <w:bCs/>
                <w:color w:val="000000"/>
                <w:sz w:val="16"/>
                <w:szCs w:val="16"/>
              </w:rPr>
            </w:pPr>
            <w:r w:rsidRPr="00AC5BB2">
              <w:rPr>
                <w:rFonts w:ascii="Arial" w:eastAsia="Times New Roman" w:hAnsi="Arial" w:cs="Arial"/>
                <w:b/>
                <w:bCs/>
                <w:color w:val="000000"/>
                <w:sz w:val="16"/>
                <w:szCs w:val="16"/>
              </w:rPr>
              <w:t xml:space="preserve">2.249.838,46   </w:t>
            </w:r>
          </w:p>
        </w:tc>
        <w:tc>
          <w:tcPr>
            <w:tcW w:w="688" w:type="pct"/>
            <w:tcBorders>
              <w:top w:val="nil"/>
              <w:left w:val="nil"/>
              <w:bottom w:val="single" w:sz="4" w:space="0" w:color="000000"/>
              <w:right w:val="single" w:sz="4" w:space="0" w:color="000000"/>
            </w:tcBorders>
            <w:shd w:val="clear" w:color="auto" w:fill="D6E1F2"/>
            <w:vAlign w:val="center"/>
            <w:hideMark/>
          </w:tcPr>
          <w:p w14:paraId="3CF580F4" w14:textId="77777777" w:rsidR="00E541EE" w:rsidRPr="00AC5BB2" w:rsidRDefault="00E541EE" w:rsidP="00A84BB5">
            <w:pPr>
              <w:jc w:val="center"/>
              <w:rPr>
                <w:rFonts w:ascii="Arial" w:eastAsia="Times New Roman" w:hAnsi="Arial" w:cs="Arial"/>
                <w:b/>
                <w:bCs/>
                <w:color w:val="000000"/>
                <w:sz w:val="16"/>
                <w:szCs w:val="16"/>
              </w:rPr>
            </w:pPr>
            <w:r w:rsidRPr="00AC5BB2">
              <w:rPr>
                <w:rFonts w:ascii="Arial" w:eastAsia="Times New Roman" w:hAnsi="Arial" w:cs="Arial"/>
                <w:b/>
                <w:bCs/>
                <w:color w:val="000000"/>
                <w:sz w:val="16"/>
                <w:szCs w:val="16"/>
              </w:rPr>
              <w:t xml:space="preserve">1.123.953,03   </w:t>
            </w:r>
          </w:p>
        </w:tc>
        <w:tc>
          <w:tcPr>
            <w:tcW w:w="688" w:type="pct"/>
            <w:tcBorders>
              <w:top w:val="nil"/>
              <w:left w:val="nil"/>
              <w:bottom w:val="single" w:sz="4" w:space="0" w:color="000000"/>
              <w:right w:val="single" w:sz="4" w:space="0" w:color="000000"/>
            </w:tcBorders>
            <w:shd w:val="clear" w:color="auto" w:fill="D6E1F2"/>
            <w:vAlign w:val="center"/>
            <w:hideMark/>
          </w:tcPr>
          <w:p w14:paraId="3160F040" w14:textId="77777777" w:rsidR="00E541EE" w:rsidRPr="00AC5BB2" w:rsidRDefault="00E541EE" w:rsidP="00A84BB5">
            <w:pPr>
              <w:jc w:val="center"/>
              <w:rPr>
                <w:rFonts w:ascii="Arial" w:eastAsia="Times New Roman" w:hAnsi="Arial" w:cs="Arial"/>
                <w:b/>
                <w:bCs/>
                <w:color w:val="000000"/>
                <w:sz w:val="16"/>
                <w:szCs w:val="16"/>
              </w:rPr>
            </w:pPr>
            <w:r w:rsidRPr="00AC5BB2">
              <w:rPr>
                <w:rFonts w:ascii="Arial" w:eastAsia="Times New Roman" w:hAnsi="Arial" w:cs="Arial"/>
                <w:b/>
                <w:bCs/>
                <w:color w:val="000000"/>
                <w:sz w:val="16"/>
                <w:szCs w:val="16"/>
              </w:rPr>
              <w:t xml:space="preserve">4.822.677,03   </w:t>
            </w:r>
          </w:p>
        </w:tc>
        <w:tc>
          <w:tcPr>
            <w:tcW w:w="688" w:type="pct"/>
            <w:tcBorders>
              <w:top w:val="nil"/>
              <w:left w:val="nil"/>
              <w:bottom w:val="single" w:sz="4" w:space="0" w:color="000000"/>
              <w:right w:val="nil"/>
            </w:tcBorders>
            <w:shd w:val="clear" w:color="auto" w:fill="D6E1F2"/>
            <w:vAlign w:val="center"/>
            <w:hideMark/>
          </w:tcPr>
          <w:p w14:paraId="6EED9865" w14:textId="77777777" w:rsidR="00E541EE" w:rsidRPr="00AC5BB2" w:rsidRDefault="00E541EE" w:rsidP="00A84BB5">
            <w:pPr>
              <w:jc w:val="center"/>
              <w:rPr>
                <w:rFonts w:ascii="Arial" w:eastAsia="Times New Roman" w:hAnsi="Arial" w:cs="Arial"/>
                <w:b/>
                <w:bCs/>
                <w:color w:val="000000"/>
                <w:sz w:val="16"/>
                <w:szCs w:val="16"/>
              </w:rPr>
            </w:pPr>
            <w:r w:rsidRPr="00AC5BB2">
              <w:rPr>
                <w:rFonts w:ascii="Arial" w:eastAsia="Times New Roman" w:hAnsi="Arial" w:cs="Arial"/>
                <w:b/>
                <w:bCs/>
                <w:color w:val="000000"/>
                <w:sz w:val="16"/>
                <w:szCs w:val="16"/>
              </w:rPr>
              <w:t xml:space="preserve">1.505.677,03   </w:t>
            </w:r>
          </w:p>
        </w:tc>
        <w:tc>
          <w:tcPr>
            <w:tcW w:w="392" w:type="pct"/>
            <w:tcBorders>
              <w:top w:val="nil"/>
              <w:left w:val="single" w:sz="4" w:space="0" w:color="auto"/>
              <w:bottom w:val="single" w:sz="4" w:space="0" w:color="auto"/>
              <w:right w:val="single" w:sz="4" w:space="0" w:color="auto"/>
            </w:tcBorders>
            <w:shd w:val="clear" w:color="auto" w:fill="D6E1F2"/>
            <w:noWrap/>
            <w:vAlign w:val="center"/>
            <w:hideMark/>
          </w:tcPr>
          <w:p w14:paraId="2BFC5008" w14:textId="77777777" w:rsidR="00E541EE" w:rsidRPr="00AC5BB2" w:rsidRDefault="00E541EE" w:rsidP="00A84BB5">
            <w:pPr>
              <w:jc w:val="right"/>
              <w:rPr>
                <w:rFonts w:ascii="Arial" w:eastAsia="Times New Roman" w:hAnsi="Arial" w:cs="Arial"/>
                <w:color w:val="000000"/>
                <w:sz w:val="16"/>
                <w:szCs w:val="16"/>
              </w:rPr>
            </w:pPr>
            <w:r w:rsidRPr="00AC5BB2">
              <w:rPr>
                <w:rFonts w:ascii="Arial" w:eastAsia="Times New Roman" w:hAnsi="Arial" w:cs="Arial"/>
                <w:color w:val="000000"/>
                <w:sz w:val="16"/>
                <w:szCs w:val="16"/>
              </w:rPr>
              <w:t xml:space="preserve">49,96   </w:t>
            </w:r>
          </w:p>
        </w:tc>
      </w:tr>
      <w:tr w:rsidR="00E541EE" w:rsidRPr="00AC5BB2" w14:paraId="4B0EA002" w14:textId="77777777" w:rsidTr="00A84BB5">
        <w:trPr>
          <w:trHeight w:val="618"/>
          <w:jc w:val="center"/>
        </w:trPr>
        <w:tc>
          <w:tcPr>
            <w:tcW w:w="408" w:type="pct"/>
            <w:tcBorders>
              <w:top w:val="nil"/>
              <w:left w:val="single" w:sz="4" w:space="0" w:color="000000"/>
              <w:bottom w:val="single" w:sz="4" w:space="0" w:color="000000"/>
              <w:right w:val="single" w:sz="4" w:space="0" w:color="000000"/>
            </w:tcBorders>
            <w:vAlign w:val="center"/>
            <w:hideMark/>
          </w:tcPr>
          <w:p w14:paraId="0211C146" w14:textId="77777777" w:rsidR="00E541EE" w:rsidRPr="00AC5BB2" w:rsidRDefault="00E541EE" w:rsidP="00A84BB5">
            <w:pPr>
              <w:jc w:val="center"/>
              <w:rPr>
                <w:rFonts w:ascii="Arial" w:eastAsia="Times New Roman" w:hAnsi="Arial" w:cs="Arial"/>
                <w:color w:val="000000"/>
                <w:sz w:val="16"/>
                <w:szCs w:val="16"/>
              </w:rPr>
            </w:pPr>
            <w:r w:rsidRPr="00AC5BB2">
              <w:rPr>
                <w:rFonts w:ascii="Arial" w:eastAsia="Times New Roman" w:hAnsi="Arial" w:cs="Arial"/>
                <w:color w:val="000000"/>
                <w:sz w:val="16"/>
                <w:szCs w:val="16"/>
              </w:rPr>
              <w:t> </w:t>
            </w:r>
          </w:p>
        </w:tc>
        <w:tc>
          <w:tcPr>
            <w:tcW w:w="455" w:type="pct"/>
            <w:tcBorders>
              <w:top w:val="nil"/>
              <w:left w:val="nil"/>
              <w:bottom w:val="single" w:sz="4" w:space="0" w:color="000000"/>
              <w:right w:val="single" w:sz="4" w:space="0" w:color="000000"/>
            </w:tcBorders>
            <w:vAlign w:val="center"/>
            <w:hideMark/>
          </w:tcPr>
          <w:p w14:paraId="7E305073" w14:textId="77777777" w:rsidR="00E541EE" w:rsidRPr="00AC5BB2" w:rsidRDefault="00E541EE" w:rsidP="00A84BB5">
            <w:pPr>
              <w:jc w:val="center"/>
              <w:rPr>
                <w:rFonts w:ascii="Arial" w:eastAsia="Times New Roman" w:hAnsi="Arial" w:cs="Arial"/>
                <w:color w:val="000000"/>
                <w:sz w:val="16"/>
                <w:szCs w:val="16"/>
              </w:rPr>
            </w:pPr>
            <w:r w:rsidRPr="00AC5BB2">
              <w:rPr>
                <w:rFonts w:ascii="Arial" w:eastAsia="Times New Roman" w:hAnsi="Arial" w:cs="Arial"/>
                <w:color w:val="000000"/>
                <w:sz w:val="16"/>
                <w:szCs w:val="16"/>
              </w:rPr>
              <w:t>71</w:t>
            </w:r>
          </w:p>
        </w:tc>
        <w:tc>
          <w:tcPr>
            <w:tcW w:w="993" w:type="pct"/>
            <w:tcBorders>
              <w:top w:val="nil"/>
              <w:left w:val="nil"/>
              <w:bottom w:val="single" w:sz="4" w:space="0" w:color="000000"/>
              <w:right w:val="single" w:sz="4" w:space="0" w:color="000000"/>
            </w:tcBorders>
            <w:vAlign w:val="center"/>
            <w:hideMark/>
          </w:tcPr>
          <w:p w14:paraId="1E8B4A90" w14:textId="77777777" w:rsidR="00E541EE" w:rsidRPr="00AC5BB2" w:rsidRDefault="00E541EE" w:rsidP="00A84BB5">
            <w:pPr>
              <w:rPr>
                <w:rFonts w:ascii="Arial" w:eastAsia="Times New Roman" w:hAnsi="Arial" w:cs="Arial"/>
                <w:color w:val="000000"/>
                <w:sz w:val="16"/>
                <w:szCs w:val="16"/>
              </w:rPr>
            </w:pPr>
            <w:r w:rsidRPr="00AC5BB2">
              <w:rPr>
                <w:rFonts w:ascii="Arial" w:eastAsia="Times New Roman" w:hAnsi="Arial" w:cs="Arial"/>
                <w:color w:val="000000"/>
                <w:sz w:val="16"/>
                <w:szCs w:val="16"/>
              </w:rPr>
              <w:t>Prihodi od prodaje neproizvedene dugotrajne imovine</w:t>
            </w:r>
          </w:p>
        </w:tc>
        <w:tc>
          <w:tcPr>
            <w:tcW w:w="688" w:type="pct"/>
            <w:tcBorders>
              <w:top w:val="nil"/>
              <w:left w:val="nil"/>
              <w:bottom w:val="single" w:sz="4" w:space="0" w:color="000000"/>
              <w:right w:val="single" w:sz="4" w:space="0" w:color="000000"/>
            </w:tcBorders>
            <w:vAlign w:val="center"/>
            <w:hideMark/>
          </w:tcPr>
          <w:p w14:paraId="60B82764" w14:textId="77777777" w:rsidR="00E541EE" w:rsidRPr="00AC5BB2" w:rsidRDefault="00E541EE" w:rsidP="00A84BB5">
            <w:pPr>
              <w:jc w:val="center"/>
              <w:rPr>
                <w:rFonts w:ascii="Arial" w:eastAsia="Times New Roman" w:hAnsi="Arial" w:cs="Arial"/>
                <w:color w:val="000000"/>
                <w:sz w:val="16"/>
                <w:szCs w:val="16"/>
              </w:rPr>
            </w:pPr>
            <w:r w:rsidRPr="00AC5BB2">
              <w:rPr>
                <w:rFonts w:ascii="Arial" w:eastAsia="Times New Roman" w:hAnsi="Arial" w:cs="Arial"/>
                <w:color w:val="000000"/>
                <w:sz w:val="16"/>
                <w:szCs w:val="16"/>
              </w:rPr>
              <w:t xml:space="preserve">1.992.837,96   </w:t>
            </w:r>
          </w:p>
        </w:tc>
        <w:tc>
          <w:tcPr>
            <w:tcW w:w="688" w:type="pct"/>
            <w:tcBorders>
              <w:top w:val="nil"/>
              <w:left w:val="nil"/>
              <w:bottom w:val="single" w:sz="4" w:space="0" w:color="000000"/>
              <w:right w:val="single" w:sz="4" w:space="0" w:color="000000"/>
            </w:tcBorders>
            <w:vAlign w:val="center"/>
            <w:hideMark/>
          </w:tcPr>
          <w:p w14:paraId="13CC0032" w14:textId="77777777" w:rsidR="00E541EE" w:rsidRPr="00AC5BB2" w:rsidRDefault="00E541EE" w:rsidP="00A84BB5">
            <w:pPr>
              <w:jc w:val="center"/>
              <w:rPr>
                <w:rFonts w:ascii="Arial" w:eastAsia="Times New Roman" w:hAnsi="Arial" w:cs="Arial"/>
                <w:color w:val="000000"/>
                <w:sz w:val="16"/>
                <w:szCs w:val="16"/>
              </w:rPr>
            </w:pPr>
            <w:r w:rsidRPr="00AC5BB2">
              <w:rPr>
                <w:rFonts w:ascii="Arial" w:eastAsia="Times New Roman" w:hAnsi="Arial" w:cs="Arial"/>
                <w:color w:val="000000"/>
                <w:sz w:val="16"/>
                <w:szCs w:val="16"/>
              </w:rPr>
              <w:t xml:space="preserve">1.020.953,03   </w:t>
            </w:r>
          </w:p>
        </w:tc>
        <w:tc>
          <w:tcPr>
            <w:tcW w:w="688" w:type="pct"/>
            <w:tcBorders>
              <w:top w:val="nil"/>
              <w:left w:val="nil"/>
              <w:bottom w:val="single" w:sz="4" w:space="0" w:color="000000"/>
              <w:right w:val="single" w:sz="4" w:space="0" w:color="000000"/>
            </w:tcBorders>
            <w:vAlign w:val="center"/>
            <w:hideMark/>
          </w:tcPr>
          <w:p w14:paraId="143041FA" w14:textId="77777777" w:rsidR="00E541EE" w:rsidRPr="00AC5BB2" w:rsidRDefault="00E541EE" w:rsidP="00A84BB5">
            <w:pPr>
              <w:jc w:val="center"/>
              <w:rPr>
                <w:rFonts w:ascii="Arial" w:eastAsia="Times New Roman" w:hAnsi="Arial" w:cs="Arial"/>
                <w:color w:val="000000"/>
                <w:sz w:val="16"/>
                <w:szCs w:val="16"/>
              </w:rPr>
            </w:pPr>
            <w:r w:rsidRPr="00AC5BB2">
              <w:rPr>
                <w:rFonts w:ascii="Arial" w:eastAsia="Times New Roman" w:hAnsi="Arial" w:cs="Arial"/>
                <w:color w:val="000000"/>
                <w:sz w:val="16"/>
                <w:szCs w:val="16"/>
              </w:rPr>
              <w:t xml:space="preserve">4.822.677,03   </w:t>
            </w:r>
          </w:p>
        </w:tc>
        <w:tc>
          <w:tcPr>
            <w:tcW w:w="688" w:type="pct"/>
            <w:tcBorders>
              <w:top w:val="nil"/>
              <w:left w:val="nil"/>
              <w:bottom w:val="single" w:sz="4" w:space="0" w:color="000000"/>
              <w:right w:val="nil"/>
            </w:tcBorders>
            <w:vAlign w:val="center"/>
            <w:hideMark/>
          </w:tcPr>
          <w:p w14:paraId="1A5FD60F" w14:textId="77777777" w:rsidR="00E541EE" w:rsidRPr="00AC5BB2" w:rsidRDefault="00E541EE" w:rsidP="00A84BB5">
            <w:pPr>
              <w:jc w:val="center"/>
              <w:rPr>
                <w:rFonts w:ascii="Arial" w:eastAsia="Times New Roman" w:hAnsi="Arial" w:cs="Arial"/>
                <w:color w:val="000000"/>
                <w:sz w:val="16"/>
                <w:szCs w:val="16"/>
              </w:rPr>
            </w:pPr>
            <w:r w:rsidRPr="00AC5BB2">
              <w:rPr>
                <w:rFonts w:ascii="Arial" w:eastAsia="Times New Roman" w:hAnsi="Arial" w:cs="Arial"/>
                <w:color w:val="000000"/>
                <w:sz w:val="16"/>
                <w:szCs w:val="16"/>
              </w:rPr>
              <w:t xml:space="preserve">1.505.677,03   </w:t>
            </w:r>
          </w:p>
        </w:tc>
        <w:tc>
          <w:tcPr>
            <w:tcW w:w="392" w:type="pct"/>
            <w:tcBorders>
              <w:top w:val="nil"/>
              <w:left w:val="single" w:sz="4" w:space="0" w:color="auto"/>
              <w:bottom w:val="single" w:sz="4" w:space="0" w:color="auto"/>
              <w:right w:val="single" w:sz="4" w:space="0" w:color="auto"/>
            </w:tcBorders>
            <w:noWrap/>
            <w:vAlign w:val="center"/>
            <w:hideMark/>
          </w:tcPr>
          <w:p w14:paraId="69A3C6CD" w14:textId="77777777" w:rsidR="00E541EE" w:rsidRPr="00AC5BB2" w:rsidRDefault="00E541EE" w:rsidP="00A84BB5">
            <w:pPr>
              <w:jc w:val="right"/>
              <w:rPr>
                <w:rFonts w:ascii="Arial" w:eastAsia="Times New Roman" w:hAnsi="Arial" w:cs="Arial"/>
                <w:color w:val="000000"/>
                <w:sz w:val="16"/>
                <w:szCs w:val="16"/>
              </w:rPr>
            </w:pPr>
            <w:r w:rsidRPr="00AC5BB2">
              <w:rPr>
                <w:rFonts w:ascii="Arial" w:eastAsia="Times New Roman" w:hAnsi="Arial" w:cs="Arial"/>
                <w:color w:val="000000"/>
                <w:sz w:val="16"/>
                <w:szCs w:val="16"/>
              </w:rPr>
              <w:t xml:space="preserve">51,23   </w:t>
            </w:r>
          </w:p>
        </w:tc>
      </w:tr>
      <w:tr w:rsidR="00E541EE" w:rsidRPr="00AC5BB2" w14:paraId="08679BD2" w14:textId="77777777" w:rsidTr="00A84BB5">
        <w:trPr>
          <w:trHeight w:val="698"/>
          <w:jc w:val="center"/>
        </w:trPr>
        <w:tc>
          <w:tcPr>
            <w:tcW w:w="408" w:type="pct"/>
            <w:tcBorders>
              <w:top w:val="nil"/>
              <w:left w:val="single" w:sz="4" w:space="0" w:color="000000"/>
              <w:bottom w:val="single" w:sz="4" w:space="0" w:color="000000"/>
              <w:right w:val="single" w:sz="4" w:space="0" w:color="000000"/>
            </w:tcBorders>
            <w:vAlign w:val="center"/>
            <w:hideMark/>
          </w:tcPr>
          <w:p w14:paraId="0B1D3808" w14:textId="77777777" w:rsidR="00E541EE" w:rsidRPr="00AC5BB2" w:rsidRDefault="00E541EE" w:rsidP="00A84BB5">
            <w:pPr>
              <w:jc w:val="center"/>
              <w:rPr>
                <w:rFonts w:ascii="Arial" w:eastAsia="Times New Roman" w:hAnsi="Arial" w:cs="Arial"/>
                <w:color w:val="000000"/>
                <w:sz w:val="16"/>
                <w:szCs w:val="16"/>
              </w:rPr>
            </w:pPr>
            <w:r w:rsidRPr="00AC5BB2">
              <w:rPr>
                <w:rFonts w:ascii="Arial" w:eastAsia="Times New Roman" w:hAnsi="Arial" w:cs="Arial"/>
                <w:color w:val="000000"/>
                <w:sz w:val="16"/>
                <w:szCs w:val="16"/>
              </w:rPr>
              <w:t> </w:t>
            </w:r>
          </w:p>
        </w:tc>
        <w:tc>
          <w:tcPr>
            <w:tcW w:w="455" w:type="pct"/>
            <w:tcBorders>
              <w:top w:val="nil"/>
              <w:left w:val="nil"/>
              <w:bottom w:val="single" w:sz="4" w:space="0" w:color="000000"/>
              <w:right w:val="single" w:sz="4" w:space="0" w:color="000000"/>
            </w:tcBorders>
            <w:vAlign w:val="center"/>
            <w:hideMark/>
          </w:tcPr>
          <w:p w14:paraId="7AFB536F" w14:textId="77777777" w:rsidR="00E541EE" w:rsidRPr="00AC5BB2" w:rsidRDefault="00E541EE" w:rsidP="00A84BB5">
            <w:pPr>
              <w:jc w:val="center"/>
              <w:rPr>
                <w:rFonts w:ascii="Arial" w:eastAsia="Times New Roman" w:hAnsi="Arial" w:cs="Arial"/>
                <w:color w:val="000000"/>
                <w:sz w:val="16"/>
                <w:szCs w:val="16"/>
              </w:rPr>
            </w:pPr>
            <w:r w:rsidRPr="00AC5BB2">
              <w:rPr>
                <w:rFonts w:ascii="Arial" w:eastAsia="Times New Roman" w:hAnsi="Arial" w:cs="Arial"/>
                <w:color w:val="000000"/>
                <w:sz w:val="16"/>
                <w:szCs w:val="16"/>
              </w:rPr>
              <w:t>72</w:t>
            </w:r>
          </w:p>
        </w:tc>
        <w:tc>
          <w:tcPr>
            <w:tcW w:w="993" w:type="pct"/>
            <w:tcBorders>
              <w:top w:val="nil"/>
              <w:left w:val="nil"/>
              <w:bottom w:val="single" w:sz="4" w:space="0" w:color="000000"/>
              <w:right w:val="single" w:sz="4" w:space="0" w:color="000000"/>
            </w:tcBorders>
            <w:vAlign w:val="center"/>
            <w:hideMark/>
          </w:tcPr>
          <w:p w14:paraId="16BCC2F0" w14:textId="77777777" w:rsidR="00E541EE" w:rsidRPr="00AC5BB2" w:rsidRDefault="00E541EE" w:rsidP="00A84BB5">
            <w:pPr>
              <w:rPr>
                <w:rFonts w:ascii="Arial" w:eastAsia="Times New Roman" w:hAnsi="Arial" w:cs="Arial"/>
                <w:color w:val="000000"/>
                <w:sz w:val="16"/>
                <w:szCs w:val="16"/>
              </w:rPr>
            </w:pPr>
            <w:r w:rsidRPr="00AC5BB2">
              <w:rPr>
                <w:rFonts w:ascii="Arial" w:eastAsia="Times New Roman" w:hAnsi="Arial" w:cs="Arial"/>
                <w:color w:val="000000"/>
                <w:sz w:val="16"/>
                <w:szCs w:val="16"/>
              </w:rPr>
              <w:t>Prihodi od prodaje proizvedene dugotrajne imovine</w:t>
            </w:r>
          </w:p>
        </w:tc>
        <w:tc>
          <w:tcPr>
            <w:tcW w:w="688" w:type="pct"/>
            <w:tcBorders>
              <w:top w:val="nil"/>
              <w:left w:val="nil"/>
              <w:bottom w:val="single" w:sz="4" w:space="0" w:color="000000"/>
              <w:right w:val="single" w:sz="4" w:space="0" w:color="000000"/>
            </w:tcBorders>
            <w:vAlign w:val="center"/>
            <w:hideMark/>
          </w:tcPr>
          <w:p w14:paraId="628F1D2B" w14:textId="77777777" w:rsidR="00E541EE" w:rsidRPr="00AC5BB2" w:rsidRDefault="00E541EE" w:rsidP="00A84BB5">
            <w:pPr>
              <w:jc w:val="center"/>
              <w:rPr>
                <w:rFonts w:ascii="Arial" w:eastAsia="Times New Roman" w:hAnsi="Arial" w:cs="Arial"/>
                <w:color w:val="000000"/>
                <w:sz w:val="16"/>
                <w:szCs w:val="16"/>
              </w:rPr>
            </w:pPr>
            <w:r w:rsidRPr="00AC5BB2">
              <w:rPr>
                <w:rFonts w:ascii="Arial" w:eastAsia="Times New Roman" w:hAnsi="Arial" w:cs="Arial"/>
                <w:color w:val="000000"/>
                <w:sz w:val="16"/>
                <w:szCs w:val="16"/>
              </w:rPr>
              <w:t xml:space="preserve">257.000,50   </w:t>
            </w:r>
          </w:p>
        </w:tc>
        <w:tc>
          <w:tcPr>
            <w:tcW w:w="688" w:type="pct"/>
            <w:tcBorders>
              <w:top w:val="nil"/>
              <w:left w:val="nil"/>
              <w:bottom w:val="single" w:sz="4" w:space="0" w:color="000000"/>
              <w:right w:val="single" w:sz="4" w:space="0" w:color="000000"/>
            </w:tcBorders>
            <w:vAlign w:val="center"/>
            <w:hideMark/>
          </w:tcPr>
          <w:p w14:paraId="275EEC5D" w14:textId="77777777" w:rsidR="00E541EE" w:rsidRPr="00AC5BB2" w:rsidRDefault="00E541EE" w:rsidP="00A84BB5">
            <w:pPr>
              <w:jc w:val="center"/>
              <w:rPr>
                <w:rFonts w:ascii="Arial" w:eastAsia="Times New Roman" w:hAnsi="Arial" w:cs="Arial"/>
                <w:color w:val="000000"/>
                <w:sz w:val="16"/>
                <w:szCs w:val="16"/>
              </w:rPr>
            </w:pPr>
            <w:r w:rsidRPr="00AC5BB2">
              <w:rPr>
                <w:rFonts w:ascii="Arial" w:eastAsia="Times New Roman" w:hAnsi="Arial" w:cs="Arial"/>
                <w:color w:val="000000"/>
                <w:sz w:val="16"/>
                <w:szCs w:val="16"/>
              </w:rPr>
              <w:t xml:space="preserve">103.000,00   </w:t>
            </w:r>
          </w:p>
        </w:tc>
        <w:tc>
          <w:tcPr>
            <w:tcW w:w="688" w:type="pct"/>
            <w:tcBorders>
              <w:top w:val="nil"/>
              <w:left w:val="nil"/>
              <w:bottom w:val="single" w:sz="4" w:space="0" w:color="000000"/>
              <w:right w:val="single" w:sz="4" w:space="0" w:color="000000"/>
            </w:tcBorders>
            <w:vAlign w:val="center"/>
            <w:hideMark/>
          </w:tcPr>
          <w:p w14:paraId="7F9E7B48" w14:textId="77777777" w:rsidR="00E541EE" w:rsidRPr="00AC5BB2" w:rsidRDefault="00E541EE" w:rsidP="00A84BB5">
            <w:pPr>
              <w:jc w:val="center"/>
              <w:rPr>
                <w:rFonts w:ascii="Arial" w:eastAsia="Times New Roman" w:hAnsi="Arial" w:cs="Arial"/>
                <w:color w:val="000000"/>
                <w:sz w:val="16"/>
                <w:szCs w:val="16"/>
              </w:rPr>
            </w:pPr>
            <w:r w:rsidRPr="00AC5BB2">
              <w:rPr>
                <w:rFonts w:ascii="Arial" w:eastAsia="Times New Roman" w:hAnsi="Arial" w:cs="Arial"/>
                <w:color w:val="000000"/>
                <w:sz w:val="16"/>
                <w:szCs w:val="16"/>
              </w:rPr>
              <w:t xml:space="preserve">0,00   </w:t>
            </w:r>
          </w:p>
        </w:tc>
        <w:tc>
          <w:tcPr>
            <w:tcW w:w="688" w:type="pct"/>
            <w:tcBorders>
              <w:top w:val="nil"/>
              <w:left w:val="nil"/>
              <w:bottom w:val="single" w:sz="4" w:space="0" w:color="000000"/>
              <w:right w:val="nil"/>
            </w:tcBorders>
            <w:vAlign w:val="center"/>
            <w:hideMark/>
          </w:tcPr>
          <w:p w14:paraId="7DEC6EA4" w14:textId="77777777" w:rsidR="00E541EE" w:rsidRPr="00AC5BB2" w:rsidRDefault="00E541EE" w:rsidP="00A84BB5">
            <w:pPr>
              <w:jc w:val="center"/>
              <w:rPr>
                <w:rFonts w:ascii="Arial" w:eastAsia="Times New Roman" w:hAnsi="Arial" w:cs="Arial"/>
                <w:color w:val="000000"/>
                <w:sz w:val="16"/>
                <w:szCs w:val="16"/>
              </w:rPr>
            </w:pPr>
            <w:r w:rsidRPr="00AC5BB2">
              <w:rPr>
                <w:rFonts w:ascii="Arial" w:eastAsia="Times New Roman" w:hAnsi="Arial" w:cs="Arial"/>
                <w:color w:val="000000"/>
                <w:sz w:val="16"/>
                <w:szCs w:val="16"/>
              </w:rPr>
              <w:t xml:space="preserve">0,00   </w:t>
            </w:r>
          </w:p>
        </w:tc>
        <w:tc>
          <w:tcPr>
            <w:tcW w:w="392" w:type="pct"/>
            <w:tcBorders>
              <w:top w:val="nil"/>
              <w:left w:val="single" w:sz="4" w:space="0" w:color="auto"/>
              <w:bottom w:val="single" w:sz="4" w:space="0" w:color="auto"/>
              <w:right w:val="single" w:sz="4" w:space="0" w:color="auto"/>
            </w:tcBorders>
            <w:noWrap/>
            <w:vAlign w:val="center"/>
            <w:hideMark/>
          </w:tcPr>
          <w:p w14:paraId="725D8296" w14:textId="77777777" w:rsidR="00E541EE" w:rsidRPr="00AC5BB2" w:rsidRDefault="00E541EE" w:rsidP="00A84BB5">
            <w:pPr>
              <w:jc w:val="right"/>
              <w:rPr>
                <w:rFonts w:ascii="Arial" w:eastAsia="Times New Roman" w:hAnsi="Arial" w:cs="Arial"/>
                <w:color w:val="000000"/>
                <w:sz w:val="16"/>
                <w:szCs w:val="16"/>
              </w:rPr>
            </w:pPr>
            <w:r w:rsidRPr="00AC5BB2">
              <w:rPr>
                <w:rFonts w:ascii="Arial" w:eastAsia="Times New Roman" w:hAnsi="Arial" w:cs="Arial"/>
                <w:color w:val="000000"/>
                <w:sz w:val="16"/>
                <w:szCs w:val="16"/>
              </w:rPr>
              <w:t xml:space="preserve">40,08   </w:t>
            </w:r>
          </w:p>
        </w:tc>
      </w:tr>
    </w:tbl>
    <w:p w14:paraId="09D18D5A" w14:textId="77777777" w:rsidR="00E541EE" w:rsidRDefault="00E541EE" w:rsidP="00E541EE">
      <w:pPr>
        <w:pStyle w:val="Odlomakpopisa"/>
        <w:ind w:left="0"/>
        <w:jc w:val="both"/>
        <w:rPr>
          <w:b/>
          <w:iCs/>
          <w:highlight w:val="green"/>
          <w:lang w:val="hr-HR"/>
        </w:rPr>
      </w:pPr>
    </w:p>
    <w:p w14:paraId="472862CD" w14:textId="77777777" w:rsidR="00E541EE" w:rsidRDefault="00E541EE" w:rsidP="00E541EE">
      <w:pPr>
        <w:pStyle w:val="Odlomakpopisa"/>
        <w:ind w:left="0" w:right="-144"/>
        <w:jc w:val="both"/>
        <w:rPr>
          <w:lang w:val="hr-HR"/>
        </w:rPr>
      </w:pPr>
      <w:r w:rsidRPr="00574649">
        <w:rPr>
          <w:b/>
          <w:iCs/>
          <w:lang w:val="hr-HR"/>
        </w:rPr>
        <w:t>Prihodi od poreza</w:t>
      </w:r>
      <w:r w:rsidRPr="00574649">
        <w:rPr>
          <w:lang w:val="hr-HR"/>
        </w:rPr>
        <w:t xml:space="preserve"> (skupina računa 61), obuhvaćaju prihode od poreza  na dohodak, prihode od poreza na imovinu te prihode od poreza na robe i usluge,</w:t>
      </w:r>
      <w:r>
        <w:rPr>
          <w:lang w:val="hr-HR"/>
        </w:rPr>
        <w:t xml:space="preserve"> poreza na kuće za odmor, poreza na korištenja javnih površina, poreza na nekretnine i poreza na promet nekretnina te porez na potrošnju alkoholnih i bezalkoholnih pića, </w:t>
      </w:r>
      <w:r w:rsidRPr="00574649">
        <w:rPr>
          <w:lang w:val="hr-HR"/>
        </w:rPr>
        <w:t xml:space="preserve">a planirani su </w:t>
      </w:r>
      <w:r>
        <w:rPr>
          <w:lang w:val="hr-HR"/>
        </w:rPr>
        <w:t xml:space="preserve">u iznosu od 17.794.542,07 eura i rezultat su realizacije i procjene ostvarenja prihoda do kraja proračunske godine. </w:t>
      </w:r>
    </w:p>
    <w:p w14:paraId="736339A5" w14:textId="77777777" w:rsidR="00E541EE" w:rsidRDefault="00E541EE" w:rsidP="00E541EE">
      <w:pPr>
        <w:contextualSpacing/>
        <w:jc w:val="both"/>
        <w:rPr>
          <w:rFonts w:ascii="Arial" w:eastAsia="Times New Roman" w:hAnsi="Arial" w:cs="Arial"/>
          <w:b/>
          <w:iCs/>
          <w:sz w:val="24"/>
          <w:szCs w:val="24"/>
        </w:rPr>
      </w:pPr>
    </w:p>
    <w:p w14:paraId="40A773B7" w14:textId="77777777" w:rsidR="00E541EE" w:rsidRPr="00574649" w:rsidRDefault="00E541EE" w:rsidP="00E541EE">
      <w:pPr>
        <w:contextualSpacing/>
        <w:jc w:val="both"/>
        <w:rPr>
          <w:rFonts w:ascii="Arial" w:eastAsia="Times New Roman" w:hAnsi="Arial" w:cs="Arial"/>
          <w:sz w:val="24"/>
          <w:szCs w:val="24"/>
        </w:rPr>
      </w:pPr>
      <w:r w:rsidRPr="00574649">
        <w:rPr>
          <w:rFonts w:ascii="Arial" w:eastAsia="Times New Roman" w:hAnsi="Arial" w:cs="Arial"/>
          <w:b/>
          <w:iCs/>
          <w:sz w:val="24"/>
          <w:szCs w:val="24"/>
        </w:rPr>
        <w:t>Pomoći iz inozemstva i od subjekata unutar općeg proračuna</w:t>
      </w:r>
      <w:r w:rsidRPr="00574649">
        <w:rPr>
          <w:rFonts w:ascii="Arial" w:eastAsia="Times New Roman" w:hAnsi="Arial" w:cs="Arial"/>
          <w:b/>
          <w:i/>
          <w:sz w:val="24"/>
          <w:szCs w:val="24"/>
        </w:rPr>
        <w:t xml:space="preserve"> </w:t>
      </w:r>
      <w:r w:rsidRPr="00574649">
        <w:rPr>
          <w:rFonts w:ascii="Arial" w:eastAsia="Times New Roman" w:hAnsi="Arial" w:cs="Arial"/>
          <w:sz w:val="24"/>
          <w:szCs w:val="24"/>
        </w:rPr>
        <w:t>(skupina računa 63), planirane su u iznosu od 17.850.371,03 eura, a obuhvaćaju planirane prihode iz pomoći od međunarodnih organizacija te institucija i tijela EU u iznosu od 4.911,00 eura, pomoći proračunu i izvanproračunskim korisnicima iz drugih proračuna u iznosu od 367.698,08 eura, pomoći od izvanproračunskim korisnika u iznosu od 259.593,00 eura, pomoći izravnanja za decentralizirane funkcije u iznosu od 324.897,01 eura, pomoći proračunskim korisnicima iz nenadležnih proračuna u iznosu od 7.174.852,00 eura te pomoći temeljem prijenosa EU sredstava u iznosu od 9.718.419,94 eura.</w:t>
      </w:r>
    </w:p>
    <w:p w14:paraId="730F0839" w14:textId="77777777" w:rsidR="00E541EE" w:rsidRPr="00574649" w:rsidRDefault="00E541EE" w:rsidP="00E541EE">
      <w:pPr>
        <w:contextualSpacing/>
        <w:jc w:val="both"/>
        <w:rPr>
          <w:rFonts w:ascii="Arial" w:eastAsia="Times New Roman" w:hAnsi="Arial" w:cs="Arial"/>
          <w:sz w:val="24"/>
          <w:szCs w:val="24"/>
        </w:rPr>
      </w:pPr>
    </w:p>
    <w:p w14:paraId="22BB5D42" w14:textId="77777777" w:rsidR="00E541EE" w:rsidRDefault="00E541EE" w:rsidP="00E541EE">
      <w:pPr>
        <w:pStyle w:val="Odlomakpopisa"/>
        <w:ind w:left="0"/>
        <w:jc w:val="both"/>
        <w:rPr>
          <w:lang w:val="hr-HR"/>
        </w:rPr>
      </w:pPr>
      <w:r w:rsidRPr="00574649">
        <w:rPr>
          <w:b/>
          <w:iCs/>
          <w:lang w:val="hr-HR"/>
        </w:rPr>
        <w:t>Prihodi od imovine</w:t>
      </w:r>
      <w:r w:rsidRPr="00574649">
        <w:rPr>
          <w:b/>
          <w:i/>
          <w:lang w:val="hr-HR"/>
        </w:rPr>
        <w:t xml:space="preserve"> </w:t>
      </w:r>
      <w:r w:rsidRPr="00574649">
        <w:rPr>
          <w:lang w:val="hr-HR"/>
        </w:rPr>
        <w:t xml:space="preserve">(skupina računa 64), planirani su u </w:t>
      </w:r>
      <w:r>
        <w:rPr>
          <w:lang w:val="hr-HR"/>
        </w:rPr>
        <w:t xml:space="preserve">ukupnom </w:t>
      </w:r>
      <w:r w:rsidRPr="00574649">
        <w:rPr>
          <w:lang w:val="hr-HR"/>
        </w:rPr>
        <w:t>iznosu od 1.8</w:t>
      </w:r>
      <w:r>
        <w:rPr>
          <w:lang w:val="hr-HR"/>
        </w:rPr>
        <w:t>29</w:t>
      </w:r>
      <w:r w:rsidRPr="00574649">
        <w:rPr>
          <w:lang w:val="hr-HR"/>
        </w:rPr>
        <w:t>.</w:t>
      </w:r>
      <w:r>
        <w:rPr>
          <w:lang w:val="hr-HR"/>
        </w:rPr>
        <w:t>702,44</w:t>
      </w:r>
      <w:r w:rsidRPr="00574649">
        <w:rPr>
          <w:lang w:val="hr-HR"/>
        </w:rPr>
        <w:t xml:space="preserve"> eura</w:t>
      </w:r>
      <w:r>
        <w:rPr>
          <w:lang w:val="hr-HR"/>
        </w:rPr>
        <w:t xml:space="preserve"> i u strukturi se dijele na p</w:t>
      </w:r>
      <w:r w:rsidRPr="00574649">
        <w:rPr>
          <w:lang w:val="hr-HR"/>
        </w:rPr>
        <w:t>rihod</w:t>
      </w:r>
      <w:r>
        <w:rPr>
          <w:lang w:val="hr-HR"/>
        </w:rPr>
        <w:t>e</w:t>
      </w:r>
      <w:r w:rsidRPr="00574649">
        <w:rPr>
          <w:lang w:val="hr-HR"/>
        </w:rPr>
        <w:t xml:space="preserve"> od financijske imovine u iznosu od 110.590,15 eura</w:t>
      </w:r>
      <w:r>
        <w:rPr>
          <w:lang w:val="hr-HR"/>
        </w:rPr>
        <w:t xml:space="preserve"> (641), prihode od nefinancijske imovine u iznosu od 1.716.809,32 eura (642) i prihode od kamata na dane zajmove u iznosu od 2.302,97 eura (643). Što se tiče prihoda od financijske imovine oni se dijele na kamate na oročena sredstva i depozite po viđenju u iznosu od 43.238,50 eura i prihoda po osnovu zateznih kamata u iznosu od 67.351,65 eura koje se obračunavaju tijekom godine na različite gradske prihode (komunalnu naknadu, najam stanova, spomenički rentu, zakupninu, javne površine, komunalni doprinos, porez na nekretnine, porez na potrošnju i sl.).</w:t>
      </w:r>
    </w:p>
    <w:p w14:paraId="08F56BD8" w14:textId="77777777" w:rsidR="00E541EE" w:rsidRDefault="00E541EE" w:rsidP="00E541EE">
      <w:pPr>
        <w:pStyle w:val="Odlomakpopisa"/>
        <w:ind w:left="0" w:firstLine="720"/>
        <w:jc w:val="both"/>
        <w:rPr>
          <w:lang w:val="hr-HR"/>
        </w:rPr>
      </w:pPr>
      <w:r>
        <w:rPr>
          <w:lang w:val="hr-HR"/>
        </w:rPr>
        <w:t>Prihodi od nefinancijske imovine uključuju prihode od naknada za koncesije u iznosu od 78.403,73 eura, prihode od zakupa i iznajmljivanje imovine u iznosu od 1.466.262,38 eura, prihode od naknade za korištenje nefinancijske imovine u iznosu 171.193,21 eura i ostali prihodi od nefinancijske imovine u iznosu od 950,00 eura.</w:t>
      </w:r>
    </w:p>
    <w:p w14:paraId="4A370028" w14:textId="77777777" w:rsidR="00E541EE" w:rsidRDefault="00E541EE" w:rsidP="00E541EE">
      <w:pPr>
        <w:pStyle w:val="Odlomakpopisa"/>
        <w:ind w:left="0" w:firstLine="708"/>
        <w:jc w:val="both"/>
        <w:rPr>
          <w:lang w:val="hr-HR"/>
        </w:rPr>
      </w:pPr>
      <w:r>
        <w:rPr>
          <w:lang w:val="hr-HR"/>
        </w:rPr>
        <w:t>Prihodi od kamata na dane zajmove u cijelosti se odnose na prihode od kamata za prodaju zemljišta odnosno legalizaciju po otplatnom planu na temelju odredaba Odluke o postupku rješavanja imovinsko-pravnih odnosa po ozakonjenju nezakonito izgrađenih građevina na zemljištu u vlasništvu Grada Rovinja-Rovigno.</w:t>
      </w:r>
    </w:p>
    <w:p w14:paraId="3B0DCB55" w14:textId="77777777" w:rsidR="00E541EE" w:rsidRPr="00F15A83" w:rsidRDefault="00E541EE" w:rsidP="00E541EE">
      <w:pPr>
        <w:pStyle w:val="Odlomakpopisa"/>
        <w:ind w:left="0" w:firstLine="708"/>
        <w:jc w:val="both"/>
        <w:rPr>
          <w:lang w:val="hr-HR"/>
        </w:rPr>
      </w:pPr>
      <w:r>
        <w:rPr>
          <w:lang w:val="hr-HR"/>
        </w:rPr>
        <w:t>Najveći udio u prihodima od nefinancijske imovine čine prihodi od zakupa i iznajmljivanja u iznosu od 1.466.262,38 koji se odnose na p</w:t>
      </w:r>
      <w:r w:rsidRPr="00F15A83">
        <w:rPr>
          <w:lang w:val="hr-HR"/>
        </w:rPr>
        <w:t>rihod</w:t>
      </w:r>
      <w:r>
        <w:rPr>
          <w:lang w:val="hr-HR"/>
        </w:rPr>
        <w:t>e</w:t>
      </w:r>
      <w:r w:rsidRPr="00F15A83">
        <w:rPr>
          <w:lang w:val="hr-HR"/>
        </w:rPr>
        <w:t xml:space="preserve"> od </w:t>
      </w:r>
      <w:r>
        <w:rPr>
          <w:lang w:val="hr-HR"/>
        </w:rPr>
        <w:t xml:space="preserve">zakupa poljoprivrednog zemljišta (u vlasništvu grada i u vlasništvu države), prihode od iznajmljivanja stambenih objekata, prihode od zakupa poslovnih objekata </w:t>
      </w:r>
      <w:r w:rsidRPr="00F15A83">
        <w:rPr>
          <w:lang w:val="hr-HR"/>
        </w:rPr>
        <w:t>temeljem sklopljenih ugovora o zakupu poslovnih prostora u vlasništvu Grada Rovinja-Rovigno i naplati potraživanja iz prethodnih razdoblja</w:t>
      </w:r>
      <w:r>
        <w:rPr>
          <w:lang w:val="hr-HR"/>
        </w:rPr>
        <w:t xml:space="preserve"> i ostalih prihoda od zakupa i iznajmljivanja imovine koji se odnose na zakup turističkog zemljišta prema zakonskim propisima. </w:t>
      </w:r>
    </w:p>
    <w:p w14:paraId="1B3E5CB0" w14:textId="77777777" w:rsidR="00E541EE" w:rsidRPr="00574649" w:rsidRDefault="00E541EE" w:rsidP="00E541EE">
      <w:pPr>
        <w:ind w:firstLine="708"/>
        <w:jc w:val="both"/>
        <w:rPr>
          <w:rFonts w:ascii="Arial" w:eastAsia="Times New Roman" w:hAnsi="Arial" w:cs="Arial"/>
          <w:sz w:val="24"/>
          <w:szCs w:val="24"/>
        </w:rPr>
      </w:pPr>
      <w:r>
        <w:rPr>
          <w:rFonts w:ascii="Arial" w:eastAsia="Times New Roman" w:hAnsi="Arial" w:cs="Arial"/>
          <w:sz w:val="24"/>
          <w:szCs w:val="24"/>
        </w:rPr>
        <w:t>Što se tiče prihoda od naknada za korištenje nefinancijske imovine najveći dio otpada na p</w:t>
      </w:r>
      <w:r w:rsidRPr="00574649">
        <w:rPr>
          <w:rFonts w:ascii="Arial" w:eastAsia="Times New Roman" w:hAnsi="Arial" w:cs="Arial"/>
          <w:sz w:val="24"/>
          <w:szCs w:val="24"/>
        </w:rPr>
        <w:t>rihod</w:t>
      </w:r>
      <w:r>
        <w:rPr>
          <w:rFonts w:ascii="Arial" w:eastAsia="Times New Roman" w:hAnsi="Arial" w:cs="Arial"/>
          <w:sz w:val="24"/>
          <w:szCs w:val="24"/>
        </w:rPr>
        <w:t>e</w:t>
      </w:r>
      <w:r w:rsidRPr="00574649">
        <w:rPr>
          <w:rFonts w:ascii="Arial" w:eastAsia="Times New Roman" w:hAnsi="Arial" w:cs="Arial"/>
          <w:sz w:val="24"/>
          <w:szCs w:val="24"/>
        </w:rPr>
        <w:t xml:space="preserve"> od spomeničke rente </w:t>
      </w:r>
      <w:r>
        <w:rPr>
          <w:rFonts w:ascii="Arial" w:eastAsia="Times New Roman" w:hAnsi="Arial" w:cs="Arial"/>
          <w:sz w:val="24"/>
          <w:szCs w:val="24"/>
        </w:rPr>
        <w:t xml:space="preserve">koji su </w:t>
      </w:r>
      <w:r w:rsidRPr="00574649">
        <w:rPr>
          <w:rFonts w:ascii="Arial" w:eastAsia="Times New Roman" w:hAnsi="Arial" w:cs="Arial"/>
          <w:sz w:val="24"/>
          <w:szCs w:val="24"/>
        </w:rPr>
        <w:t>planirani u iznosu od 140.502,00 eura.</w:t>
      </w:r>
    </w:p>
    <w:p w14:paraId="4276997D" w14:textId="77777777" w:rsidR="00E541EE" w:rsidRPr="00574649" w:rsidRDefault="00E541EE" w:rsidP="00E541EE">
      <w:pPr>
        <w:ind w:firstLine="708"/>
        <w:jc w:val="both"/>
        <w:rPr>
          <w:rFonts w:ascii="Arial" w:eastAsia="Times New Roman" w:hAnsi="Arial" w:cs="Arial"/>
          <w:sz w:val="24"/>
          <w:szCs w:val="24"/>
        </w:rPr>
      </w:pPr>
    </w:p>
    <w:p w14:paraId="5AEB2A2C" w14:textId="77777777" w:rsidR="00E541EE" w:rsidRDefault="00E541EE" w:rsidP="00E541EE">
      <w:pPr>
        <w:contextualSpacing/>
        <w:jc w:val="both"/>
        <w:rPr>
          <w:rFonts w:ascii="Arial" w:eastAsia="Times New Roman" w:hAnsi="Arial" w:cs="Arial"/>
          <w:sz w:val="24"/>
          <w:szCs w:val="24"/>
        </w:rPr>
      </w:pPr>
      <w:r w:rsidRPr="00574649">
        <w:rPr>
          <w:rFonts w:ascii="Arial" w:eastAsia="Times New Roman" w:hAnsi="Arial" w:cs="Arial"/>
          <w:b/>
          <w:iCs/>
          <w:sz w:val="24"/>
          <w:szCs w:val="24"/>
        </w:rPr>
        <w:t>Prihodi od upravnih i administrativnih pristojbi, pristojbi po posebnim propisima i naknada</w:t>
      </w:r>
      <w:r w:rsidRPr="00574649">
        <w:rPr>
          <w:rFonts w:ascii="Arial" w:eastAsia="Times New Roman" w:hAnsi="Arial" w:cs="Arial"/>
          <w:b/>
          <w:i/>
          <w:sz w:val="24"/>
          <w:szCs w:val="24"/>
        </w:rPr>
        <w:t xml:space="preserve"> </w:t>
      </w:r>
      <w:r w:rsidRPr="00574649">
        <w:rPr>
          <w:rFonts w:ascii="Arial" w:eastAsia="Times New Roman" w:hAnsi="Arial" w:cs="Arial"/>
          <w:sz w:val="24"/>
          <w:szCs w:val="24"/>
        </w:rPr>
        <w:t>(skupina računa 65), upravne i administrativne pristojbe planirane su u iznosu od 1.352.589,48 eura</w:t>
      </w:r>
      <w:r>
        <w:rPr>
          <w:rFonts w:ascii="Arial" w:eastAsia="Times New Roman" w:hAnsi="Arial" w:cs="Arial"/>
          <w:sz w:val="24"/>
          <w:szCs w:val="24"/>
        </w:rPr>
        <w:t xml:space="preserve"> (651)</w:t>
      </w:r>
      <w:r w:rsidRPr="00574649">
        <w:rPr>
          <w:rFonts w:ascii="Arial" w:eastAsia="Times New Roman" w:hAnsi="Arial" w:cs="Arial"/>
          <w:sz w:val="24"/>
          <w:szCs w:val="24"/>
        </w:rPr>
        <w:t>, prihodi po posebnim propisima u iznosu od 1.109.399,</w:t>
      </w:r>
      <w:r>
        <w:rPr>
          <w:rFonts w:ascii="Arial" w:eastAsia="Times New Roman" w:hAnsi="Arial" w:cs="Arial"/>
          <w:sz w:val="24"/>
          <w:szCs w:val="24"/>
        </w:rPr>
        <w:t>80</w:t>
      </w:r>
      <w:r w:rsidRPr="00574649">
        <w:rPr>
          <w:rFonts w:ascii="Arial" w:eastAsia="Times New Roman" w:hAnsi="Arial" w:cs="Arial"/>
          <w:sz w:val="24"/>
          <w:szCs w:val="24"/>
        </w:rPr>
        <w:t xml:space="preserve"> eura</w:t>
      </w:r>
      <w:r>
        <w:rPr>
          <w:rFonts w:ascii="Arial" w:eastAsia="Times New Roman" w:hAnsi="Arial" w:cs="Arial"/>
          <w:sz w:val="24"/>
          <w:szCs w:val="24"/>
        </w:rPr>
        <w:t xml:space="preserve"> (652)</w:t>
      </w:r>
      <w:r w:rsidRPr="00574649">
        <w:rPr>
          <w:rFonts w:ascii="Arial" w:eastAsia="Times New Roman" w:hAnsi="Arial" w:cs="Arial"/>
          <w:sz w:val="24"/>
          <w:szCs w:val="24"/>
        </w:rPr>
        <w:t xml:space="preserve"> i komunalni doprinosi i naknade</w:t>
      </w:r>
      <w:r>
        <w:rPr>
          <w:rFonts w:ascii="Arial" w:eastAsia="Times New Roman" w:hAnsi="Arial" w:cs="Arial"/>
          <w:sz w:val="24"/>
          <w:szCs w:val="24"/>
        </w:rPr>
        <w:t xml:space="preserve"> (653)</w:t>
      </w:r>
      <w:r w:rsidRPr="00574649">
        <w:rPr>
          <w:rFonts w:ascii="Arial" w:eastAsia="Times New Roman" w:hAnsi="Arial" w:cs="Arial"/>
          <w:sz w:val="24"/>
          <w:szCs w:val="24"/>
        </w:rPr>
        <w:t xml:space="preserve"> u iznosu od 3.672.900,55 eura, što ukupno planirano na ovoj stavci iznosi 6.134.889,</w:t>
      </w:r>
      <w:r>
        <w:rPr>
          <w:rFonts w:ascii="Arial" w:eastAsia="Times New Roman" w:hAnsi="Arial" w:cs="Arial"/>
          <w:sz w:val="24"/>
          <w:szCs w:val="24"/>
        </w:rPr>
        <w:t>8</w:t>
      </w:r>
      <w:r w:rsidRPr="00574649">
        <w:rPr>
          <w:rFonts w:ascii="Arial" w:eastAsia="Times New Roman" w:hAnsi="Arial" w:cs="Arial"/>
          <w:sz w:val="24"/>
          <w:szCs w:val="24"/>
        </w:rPr>
        <w:t>3 eura.</w:t>
      </w:r>
    </w:p>
    <w:p w14:paraId="0ABDCB0E" w14:textId="77777777" w:rsidR="00E541EE" w:rsidRPr="00574649" w:rsidRDefault="00E541EE" w:rsidP="00E541EE">
      <w:pPr>
        <w:ind w:firstLine="720"/>
        <w:contextualSpacing/>
        <w:jc w:val="both"/>
        <w:rPr>
          <w:rFonts w:ascii="Arial" w:eastAsia="Times New Roman" w:hAnsi="Arial" w:cs="Arial"/>
          <w:sz w:val="24"/>
          <w:szCs w:val="24"/>
        </w:rPr>
      </w:pPr>
      <w:r>
        <w:rPr>
          <w:rFonts w:ascii="Arial" w:eastAsia="Times New Roman" w:hAnsi="Arial" w:cs="Arial"/>
          <w:sz w:val="24"/>
          <w:szCs w:val="24"/>
        </w:rPr>
        <w:t xml:space="preserve">Unutar navedene grupe prihoda od upravnih i administrativnih pristojbi najveći udio od 68% otpada na turističku pristojbu u iznosu od 915.607,87 eura, kod prihoda po posebnim propisima to se odnosi na ostale nespomenute prihode odnosno sufinanciranje cijene usluge, participacije i sl., u iznosu 985.534,00 eura te u manjem dijelu na posebne ugovore o sufinanciranju sa Turističkom zajednicom Grada Rovinja-Rovigno povodom dana Grada i za sufinanciranje Spasilačke službe te na ugovore za posebne namjene (naknade za grobna mjesta).      </w:t>
      </w:r>
    </w:p>
    <w:p w14:paraId="2E238F3C" w14:textId="77777777" w:rsidR="00E541EE" w:rsidRPr="00574649" w:rsidRDefault="00E541EE" w:rsidP="00E541EE">
      <w:pPr>
        <w:ind w:firstLine="709"/>
        <w:contextualSpacing/>
        <w:jc w:val="both"/>
        <w:rPr>
          <w:rFonts w:ascii="Arial" w:eastAsia="Times New Roman" w:hAnsi="Arial" w:cs="Arial"/>
          <w:sz w:val="24"/>
          <w:szCs w:val="24"/>
        </w:rPr>
      </w:pPr>
    </w:p>
    <w:p w14:paraId="253ABEA6" w14:textId="77777777" w:rsidR="00E541EE" w:rsidRPr="00574649" w:rsidRDefault="00E541EE" w:rsidP="00E541EE">
      <w:pPr>
        <w:jc w:val="both"/>
        <w:rPr>
          <w:rFonts w:ascii="Arial" w:eastAsia="Times New Roman" w:hAnsi="Arial" w:cs="Arial"/>
          <w:sz w:val="24"/>
          <w:szCs w:val="24"/>
        </w:rPr>
      </w:pPr>
      <w:r w:rsidRPr="00574649">
        <w:rPr>
          <w:rFonts w:ascii="Arial" w:eastAsia="Times New Roman" w:hAnsi="Arial" w:cs="Arial"/>
          <w:b/>
          <w:iCs/>
          <w:sz w:val="24"/>
          <w:szCs w:val="24"/>
        </w:rPr>
        <w:t xml:space="preserve">Prihodi od prodaje proizvoda i robe te pruženih usluga i prihodi od donacija </w:t>
      </w:r>
      <w:r w:rsidRPr="00574649">
        <w:rPr>
          <w:rFonts w:ascii="Arial" w:eastAsia="Times New Roman" w:hAnsi="Arial" w:cs="Arial"/>
          <w:sz w:val="24"/>
          <w:szCs w:val="24"/>
        </w:rPr>
        <w:t xml:space="preserve">(skupina računa 66), planirani su u iznosu od 429.977,46 eura, a odnose se na prihode od prodaje proizvoda i robe te pruženih usluga u iznosu od 285.752,46 eura </w:t>
      </w:r>
      <w:r>
        <w:rPr>
          <w:rFonts w:ascii="Arial" w:eastAsia="Times New Roman" w:hAnsi="Arial" w:cs="Arial"/>
          <w:sz w:val="24"/>
          <w:szCs w:val="24"/>
        </w:rPr>
        <w:t>koji u se u najvećem dijelu odnose na pružene usluge po Ugovoru o plaćanju materijalnih troškova nastalih pri obračunu i naplati naknade za uređenje voda i drugim pitanjima u svezi s obavljanjem poslova obračuna i naplate naknade za uređenje voda sklopljenim sa Hrvatskim vodama u postotku od 10% za pružene usluge u iznosu od 135.150,26 eura. D</w:t>
      </w:r>
      <w:r w:rsidRPr="00574649">
        <w:rPr>
          <w:rFonts w:ascii="Arial" w:eastAsia="Times New Roman" w:hAnsi="Arial" w:cs="Arial"/>
          <w:sz w:val="24"/>
          <w:szCs w:val="24"/>
        </w:rPr>
        <w:t xml:space="preserve">onacije od pravnih i fizičkih osoba izvan općeg proračuna </w:t>
      </w:r>
      <w:r>
        <w:rPr>
          <w:rFonts w:ascii="Arial" w:eastAsia="Times New Roman" w:hAnsi="Arial" w:cs="Arial"/>
          <w:sz w:val="24"/>
          <w:szCs w:val="24"/>
        </w:rPr>
        <w:t xml:space="preserve">planiran je </w:t>
      </w:r>
      <w:r w:rsidRPr="00574649">
        <w:rPr>
          <w:rFonts w:ascii="Arial" w:eastAsia="Times New Roman" w:hAnsi="Arial" w:cs="Arial"/>
          <w:sz w:val="24"/>
          <w:szCs w:val="24"/>
        </w:rPr>
        <w:t>u iznosu od 144.225,00 eura.</w:t>
      </w:r>
    </w:p>
    <w:p w14:paraId="59B0B594" w14:textId="77777777" w:rsidR="00E541EE" w:rsidRPr="00574649" w:rsidRDefault="00E541EE" w:rsidP="00E541EE">
      <w:pPr>
        <w:jc w:val="both"/>
        <w:rPr>
          <w:rFonts w:ascii="Arial" w:eastAsia="Times New Roman" w:hAnsi="Arial" w:cs="Arial"/>
          <w:sz w:val="24"/>
          <w:szCs w:val="24"/>
        </w:rPr>
      </w:pPr>
    </w:p>
    <w:p w14:paraId="6B32CF59" w14:textId="77777777" w:rsidR="00E541EE" w:rsidRPr="00574649" w:rsidRDefault="00E541EE" w:rsidP="00E541EE">
      <w:pPr>
        <w:jc w:val="both"/>
        <w:rPr>
          <w:rFonts w:ascii="Arial" w:eastAsia="Times New Roman" w:hAnsi="Arial" w:cs="Arial"/>
          <w:sz w:val="24"/>
          <w:szCs w:val="24"/>
        </w:rPr>
      </w:pPr>
      <w:r w:rsidRPr="00574649">
        <w:rPr>
          <w:rFonts w:ascii="Arial" w:eastAsia="Times New Roman" w:hAnsi="Arial" w:cs="Arial"/>
          <w:b/>
          <w:iCs/>
          <w:sz w:val="24"/>
          <w:szCs w:val="24"/>
        </w:rPr>
        <w:t>Kazne, upravne mjere i ostali prihodi</w:t>
      </w:r>
      <w:r w:rsidRPr="00574649">
        <w:rPr>
          <w:rFonts w:ascii="Arial" w:eastAsia="Times New Roman" w:hAnsi="Arial" w:cs="Arial"/>
          <w:iCs/>
          <w:sz w:val="24"/>
          <w:szCs w:val="24"/>
        </w:rPr>
        <w:t xml:space="preserve"> </w:t>
      </w:r>
      <w:r w:rsidRPr="00574649">
        <w:rPr>
          <w:rFonts w:ascii="Arial" w:eastAsia="Times New Roman" w:hAnsi="Arial" w:cs="Arial"/>
          <w:sz w:val="24"/>
          <w:szCs w:val="24"/>
        </w:rPr>
        <w:t xml:space="preserve">(skupina računa 68), obuhvaćaju penale, kazne od prometnih i komunalnih redara, gradske kazne za prekršaje i ostale kazne po nalogu Prekršajnog suda, a </w:t>
      </w:r>
      <w:r>
        <w:rPr>
          <w:rFonts w:ascii="Arial" w:eastAsia="Times New Roman" w:hAnsi="Arial" w:cs="Arial"/>
          <w:sz w:val="24"/>
          <w:szCs w:val="24"/>
        </w:rPr>
        <w:t xml:space="preserve">struktura navedenih prihoda </w:t>
      </w:r>
      <w:r w:rsidRPr="00574649">
        <w:rPr>
          <w:rFonts w:ascii="Arial" w:eastAsia="Times New Roman" w:hAnsi="Arial" w:cs="Arial"/>
          <w:sz w:val="24"/>
          <w:szCs w:val="24"/>
        </w:rPr>
        <w:t>planiran</w:t>
      </w:r>
      <w:r>
        <w:rPr>
          <w:rFonts w:ascii="Arial" w:eastAsia="Times New Roman" w:hAnsi="Arial" w:cs="Arial"/>
          <w:sz w:val="24"/>
          <w:szCs w:val="24"/>
        </w:rPr>
        <w:t>a</w:t>
      </w:r>
      <w:r w:rsidRPr="00574649">
        <w:rPr>
          <w:rFonts w:ascii="Arial" w:eastAsia="Times New Roman" w:hAnsi="Arial" w:cs="Arial"/>
          <w:sz w:val="24"/>
          <w:szCs w:val="24"/>
        </w:rPr>
        <w:t xml:space="preserve"> </w:t>
      </w:r>
      <w:r>
        <w:rPr>
          <w:rFonts w:ascii="Arial" w:eastAsia="Times New Roman" w:hAnsi="Arial" w:cs="Arial"/>
          <w:sz w:val="24"/>
          <w:szCs w:val="24"/>
        </w:rPr>
        <w:t>je</w:t>
      </w:r>
      <w:r w:rsidRPr="00574649">
        <w:rPr>
          <w:rFonts w:ascii="Arial" w:eastAsia="Times New Roman" w:hAnsi="Arial" w:cs="Arial"/>
          <w:sz w:val="24"/>
          <w:szCs w:val="24"/>
        </w:rPr>
        <w:t xml:space="preserve"> u iznosu od 57.700,80 eura.</w:t>
      </w:r>
    </w:p>
    <w:p w14:paraId="17496858" w14:textId="77777777" w:rsidR="00E541EE" w:rsidRPr="00574649" w:rsidRDefault="00E541EE" w:rsidP="00E541EE">
      <w:pPr>
        <w:jc w:val="both"/>
        <w:rPr>
          <w:rFonts w:ascii="Arial" w:eastAsia="Times New Roman" w:hAnsi="Arial" w:cs="Arial"/>
          <w:sz w:val="24"/>
          <w:szCs w:val="24"/>
        </w:rPr>
      </w:pPr>
    </w:p>
    <w:p w14:paraId="7634B7BB" w14:textId="77777777" w:rsidR="00E541EE" w:rsidRPr="00574649" w:rsidRDefault="00E541EE" w:rsidP="00E541EE">
      <w:pPr>
        <w:contextualSpacing/>
        <w:jc w:val="both"/>
        <w:rPr>
          <w:rFonts w:ascii="Arial" w:eastAsia="Times New Roman" w:hAnsi="Arial" w:cs="Arial"/>
          <w:sz w:val="24"/>
          <w:szCs w:val="24"/>
        </w:rPr>
      </w:pPr>
      <w:r w:rsidRPr="00574649">
        <w:rPr>
          <w:rFonts w:ascii="Arial" w:eastAsia="Times New Roman" w:hAnsi="Arial" w:cs="Arial"/>
          <w:b/>
          <w:iCs/>
          <w:sz w:val="24"/>
          <w:szCs w:val="24"/>
        </w:rPr>
        <w:t>Prihodi od prodaje nefinancijske imovine</w:t>
      </w:r>
      <w:r w:rsidRPr="00574649">
        <w:rPr>
          <w:rFonts w:ascii="Arial" w:eastAsia="Times New Roman" w:hAnsi="Arial" w:cs="Arial"/>
          <w:sz w:val="24"/>
          <w:szCs w:val="24"/>
        </w:rPr>
        <w:t xml:space="preserve"> (razred 7) planirani su u iznosu od 1.123.953,03 eura, a obuhvaćaju planirane prihode od prodaje neproizvedene dugotrajne imovine u iznosu od 1.020.953,03 eura</w:t>
      </w:r>
      <w:r>
        <w:rPr>
          <w:rFonts w:ascii="Arial" w:eastAsia="Times New Roman" w:hAnsi="Arial" w:cs="Arial"/>
          <w:sz w:val="24"/>
          <w:szCs w:val="24"/>
        </w:rPr>
        <w:t xml:space="preserve"> </w:t>
      </w:r>
      <w:r w:rsidRPr="00574649">
        <w:rPr>
          <w:rFonts w:ascii="Arial" w:eastAsia="Times New Roman" w:hAnsi="Arial" w:cs="Arial"/>
          <w:sz w:val="24"/>
          <w:szCs w:val="24"/>
        </w:rPr>
        <w:t>i planirane prihode od prodaje proizvedene dugotrajne imovine</w:t>
      </w:r>
      <w:r>
        <w:rPr>
          <w:rFonts w:ascii="Arial" w:eastAsia="Times New Roman" w:hAnsi="Arial" w:cs="Arial"/>
          <w:sz w:val="24"/>
          <w:szCs w:val="24"/>
        </w:rPr>
        <w:t xml:space="preserve"> – građevinskih objekata</w:t>
      </w:r>
      <w:r w:rsidRPr="00574649">
        <w:rPr>
          <w:rFonts w:ascii="Arial" w:eastAsia="Times New Roman" w:hAnsi="Arial" w:cs="Arial"/>
          <w:sz w:val="24"/>
          <w:szCs w:val="24"/>
        </w:rPr>
        <w:t xml:space="preserve"> u iznosu od 103.000,00 eura.</w:t>
      </w:r>
    </w:p>
    <w:p w14:paraId="5F7970E0" w14:textId="77777777" w:rsidR="00E541EE" w:rsidRPr="00574649" w:rsidRDefault="00E541EE" w:rsidP="00E541EE">
      <w:pPr>
        <w:contextualSpacing/>
        <w:jc w:val="both"/>
        <w:rPr>
          <w:rFonts w:ascii="Arial" w:hAnsi="Arial" w:cs="Arial"/>
          <w:sz w:val="24"/>
          <w:szCs w:val="24"/>
        </w:rPr>
      </w:pPr>
    </w:p>
    <w:p w14:paraId="50EC2999" w14:textId="77777777" w:rsidR="00E541EE" w:rsidRPr="00574649" w:rsidRDefault="00E541EE" w:rsidP="00E541EE">
      <w:pPr>
        <w:ind w:firstLine="709"/>
        <w:contextualSpacing/>
        <w:jc w:val="both"/>
        <w:rPr>
          <w:rFonts w:ascii="Arial" w:eastAsia="Times New Roman" w:hAnsi="Arial" w:cs="Arial"/>
          <w:sz w:val="24"/>
          <w:szCs w:val="24"/>
        </w:rPr>
      </w:pPr>
      <w:r w:rsidRPr="00574649">
        <w:rPr>
          <w:rFonts w:ascii="Arial" w:eastAsia="Times New Roman" w:hAnsi="Arial" w:cs="Arial"/>
          <w:sz w:val="24"/>
          <w:szCs w:val="24"/>
        </w:rPr>
        <w:t>Prihodi od prodaje neproizvedene dugotrajne imovine planirani su u visini od 1.020.953,03 eura, a čine ih najznačajniji prihodi i to većim dijelom prihodi od prodaje materijalne imovine - prirodnih bogatstava (zemljišta) u visini od 623.076,58 eura i prihodi od prodaje nematerijalne imovine</w:t>
      </w:r>
      <w:r>
        <w:rPr>
          <w:rFonts w:ascii="Arial" w:eastAsia="Times New Roman" w:hAnsi="Arial" w:cs="Arial"/>
          <w:sz w:val="24"/>
          <w:szCs w:val="24"/>
        </w:rPr>
        <w:t xml:space="preserve"> – ostalih prava (dugogodišnji zakup zemljišta) </w:t>
      </w:r>
      <w:r w:rsidRPr="00574649">
        <w:rPr>
          <w:rFonts w:ascii="Arial" w:eastAsia="Times New Roman" w:hAnsi="Arial" w:cs="Arial"/>
          <w:sz w:val="24"/>
          <w:szCs w:val="24"/>
        </w:rPr>
        <w:t xml:space="preserve"> u visini od 397.876,45 eura. </w:t>
      </w:r>
    </w:p>
    <w:p w14:paraId="0F04C5D3" w14:textId="77777777" w:rsidR="00E541EE" w:rsidRPr="00574649" w:rsidRDefault="00E541EE" w:rsidP="00E541EE">
      <w:pPr>
        <w:ind w:firstLine="709"/>
        <w:contextualSpacing/>
        <w:jc w:val="both"/>
        <w:rPr>
          <w:rFonts w:ascii="Arial" w:eastAsia="Times New Roman" w:hAnsi="Arial" w:cs="Arial"/>
          <w:sz w:val="24"/>
          <w:szCs w:val="24"/>
        </w:rPr>
      </w:pPr>
    </w:p>
    <w:p w14:paraId="4525F111" w14:textId="77777777" w:rsidR="00E541EE" w:rsidRDefault="00E541EE" w:rsidP="00E541EE">
      <w:pPr>
        <w:jc w:val="both"/>
        <w:rPr>
          <w:rFonts w:ascii="Arial" w:eastAsia="Times New Roman" w:hAnsi="Arial" w:cs="Arial"/>
          <w:sz w:val="24"/>
          <w:szCs w:val="24"/>
          <w:highlight w:val="yellow"/>
        </w:rPr>
      </w:pPr>
      <w:r>
        <w:rPr>
          <w:noProof/>
          <w14:ligatures w14:val="standardContextual"/>
        </w:rPr>
        <w:drawing>
          <wp:inline distT="0" distB="0" distL="0" distR="0" wp14:anchorId="3A9B101B" wp14:editId="69C5AFA7">
            <wp:extent cx="5895975" cy="2562225"/>
            <wp:effectExtent l="0" t="0" r="9525" b="9525"/>
            <wp:docPr id="445903127" name="Grafikon 1">
              <a:extLst xmlns:a="http://schemas.openxmlformats.org/drawingml/2006/main">
                <a:ext uri="{FF2B5EF4-FFF2-40B4-BE49-F238E27FC236}">
                  <a16:creationId xmlns:a16="http://schemas.microsoft.com/office/drawing/2014/main" id="{EC18C248-5A33-4ABA-D0EA-930DB1672C7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B9DE29B" w14:textId="77777777" w:rsidR="00E541EE" w:rsidRDefault="00E541EE" w:rsidP="00E541EE">
      <w:pPr>
        <w:jc w:val="both"/>
        <w:rPr>
          <w:rFonts w:ascii="Arial" w:eastAsia="Times New Roman" w:hAnsi="Arial" w:cs="Arial"/>
          <w:sz w:val="24"/>
          <w:szCs w:val="24"/>
          <w:highlight w:val="yellow"/>
        </w:rPr>
      </w:pPr>
    </w:p>
    <w:p w14:paraId="530B2E72" w14:textId="77777777" w:rsidR="00E541EE" w:rsidRPr="00A367D1" w:rsidRDefault="00E541EE" w:rsidP="00E541EE">
      <w:pPr>
        <w:ind w:firstLine="708"/>
        <w:jc w:val="both"/>
        <w:rPr>
          <w:rFonts w:ascii="Arial" w:eastAsia="Times New Roman" w:hAnsi="Arial" w:cs="Arial"/>
          <w:sz w:val="24"/>
          <w:szCs w:val="24"/>
        </w:rPr>
      </w:pPr>
      <w:r w:rsidRPr="00E4163E">
        <w:rPr>
          <w:rFonts w:ascii="Arial" w:eastAsia="Times New Roman" w:hAnsi="Arial" w:cs="Arial"/>
          <w:sz w:val="24"/>
          <w:szCs w:val="24"/>
        </w:rPr>
        <w:t>U ukupnim prihodima i primicima koji su planirani u visini od 45.221.136,66</w:t>
      </w:r>
      <w:r w:rsidRPr="00E4163E">
        <w:rPr>
          <w:rFonts w:ascii="Arial" w:hAnsi="Arial" w:cs="Arial"/>
          <w:sz w:val="24"/>
          <w:szCs w:val="24"/>
        </w:rPr>
        <w:t xml:space="preserve"> eura </w:t>
      </w:r>
      <w:r w:rsidRPr="00E4163E">
        <w:rPr>
          <w:rFonts w:ascii="Arial" w:eastAsia="Times New Roman" w:hAnsi="Arial" w:cs="Arial"/>
          <w:sz w:val="24"/>
          <w:szCs w:val="24"/>
        </w:rPr>
        <w:t xml:space="preserve">prihodi od poreza sudjeluju sa 39,35%, pomoći iz inozemstva i od subjekata unutar općeg proračuna 39,47%, prihodi od imovine 4,05%, prihodi od upravnih i administrativnih pristojbi, pristojbi po posebnim propisima i naknada 13,57%, prihodi od prodaje proizvoda i robe te pruženih usluga i prihodi od donacija 0,95%, kazne, upravne mjere i ostali prihodi 0,13%, </w:t>
      </w:r>
      <w:r w:rsidRPr="00E4163E">
        <w:rPr>
          <w:rFonts w:ascii="Arial" w:eastAsia="Times New Roman" w:hAnsi="Arial" w:cs="Arial"/>
          <w:color w:val="000000"/>
          <w:sz w:val="24"/>
          <w:szCs w:val="24"/>
        </w:rPr>
        <w:t>p</w:t>
      </w:r>
      <w:r w:rsidRPr="00AC5BB2">
        <w:rPr>
          <w:rFonts w:ascii="Arial" w:eastAsia="Times New Roman" w:hAnsi="Arial" w:cs="Arial"/>
          <w:color w:val="000000"/>
          <w:sz w:val="24"/>
          <w:szCs w:val="24"/>
        </w:rPr>
        <w:t>rihodi od prodaje neproizvedene dugotrajne imovine</w:t>
      </w:r>
      <w:r w:rsidRPr="00E4163E">
        <w:rPr>
          <w:rFonts w:ascii="Arial" w:eastAsia="Times New Roman" w:hAnsi="Arial" w:cs="Arial"/>
          <w:color w:val="000000"/>
          <w:sz w:val="24"/>
          <w:szCs w:val="24"/>
        </w:rPr>
        <w:t xml:space="preserve"> 2,26% i p</w:t>
      </w:r>
      <w:r w:rsidRPr="00AC5BB2">
        <w:rPr>
          <w:rFonts w:ascii="Arial" w:eastAsia="Times New Roman" w:hAnsi="Arial" w:cs="Arial"/>
          <w:color w:val="000000"/>
          <w:sz w:val="24"/>
          <w:szCs w:val="24"/>
        </w:rPr>
        <w:t>rihodi od prodaje proizvedene dugotrajne imovine</w:t>
      </w:r>
      <w:r w:rsidRPr="00E4163E">
        <w:rPr>
          <w:rFonts w:ascii="Arial" w:eastAsia="Times New Roman" w:hAnsi="Arial" w:cs="Arial"/>
          <w:color w:val="000000"/>
          <w:sz w:val="24"/>
          <w:szCs w:val="24"/>
        </w:rPr>
        <w:t xml:space="preserve"> 0,22%.</w:t>
      </w:r>
    </w:p>
    <w:p w14:paraId="6F01B8F5" w14:textId="77777777" w:rsidR="00E541EE" w:rsidRPr="00E04AD5" w:rsidRDefault="00E541EE" w:rsidP="00E541EE">
      <w:pPr>
        <w:ind w:firstLine="709"/>
        <w:contextualSpacing/>
        <w:jc w:val="both"/>
        <w:rPr>
          <w:rFonts w:ascii="Arial" w:hAnsi="Arial" w:cs="Arial"/>
          <w:sz w:val="24"/>
          <w:szCs w:val="24"/>
        </w:rPr>
      </w:pPr>
      <w:r w:rsidRPr="00E04AD5">
        <w:rPr>
          <w:rFonts w:ascii="Arial" w:hAnsi="Arial" w:cs="Arial"/>
          <w:sz w:val="24"/>
          <w:szCs w:val="24"/>
        </w:rPr>
        <w:t xml:space="preserve">Prema uputama Ministarstva financija, u proračun je potrebno uključiti i višak/manjak iz prethodnih godina. </w:t>
      </w:r>
    </w:p>
    <w:p w14:paraId="30217E46" w14:textId="77777777" w:rsidR="00E541EE" w:rsidRPr="00E04AD5" w:rsidRDefault="00E541EE" w:rsidP="00E541EE">
      <w:pPr>
        <w:ind w:firstLine="709"/>
        <w:contextualSpacing/>
        <w:jc w:val="both"/>
        <w:rPr>
          <w:rFonts w:ascii="Arial" w:hAnsi="Arial" w:cs="Arial"/>
          <w:sz w:val="24"/>
          <w:szCs w:val="24"/>
        </w:rPr>
      </w:pPr>
    </w:p>
    <w:p w14:paraId="0FF6133B" w14:textId="77777777" w:rsidR="00E541EE" w:rsidRDefault="00E541EE" w:rsidP="00E541EE">
      <w:pPr>
        <w:ind w:firstLine="709"/>
        <w:contextualSpacing/>
        <w:jc w:val="both"/>
        <w:rPr>
          <w:rFonts w:ascii="Arial" w:eastAsia="Times New Roman" w:hAnsi="Arial" w:cs="Arial"/>
          <w:color w:val="000000" w:themeColor="text1"/>
          <w:sz w:val="24"/>
          <w:szCs w:val="24"/>
        </w:rPr>
      </w:pPr>
      <w:r w:rsidRPr="007D2D70">
        <w:rPr>
          <w:rFonts w:ascii="Arial" w:eastAsia="Times New Roman" w:hAnsi="Arial" w:cs="Arial"/>
          <w:sz w:val="24"/>
          <w:szCs w:val="24"/>
        </w:rPr>
        <w:t>Od prijenosa viška sredstava iz prethodnih godina u Prijedlogu Proračuna Grada Rovinja-Rovigno za 2026. godinu uključen je iznos od 16.129.363,34</w:t>
      </w:r>
      <w:r w:rsidRPr="007D2D70">
        <w:rPr>
          <w:rFonts w:ascii="Arial" w:hAnsi="Arial" w:cs="Arial"/>
          <w:sz w:val="24"/>
          <w:szCs w:val="24"/>
        </w:rPr>
        <w:t xml:space="preserve"> </w:t>
      </w:r>
      <w:r>
        <w:rPr>
          <w:rFonts w:ascii="Arial" w:hAnsi="Arial" w:cs="Arial"/>
          <w:sz w:val="24"/>
          <w:szCs w:val="24"/>
        </w:rPr>
        <w:t>eura</w:t>
      </w:r>
      <w:r w:rsidRPr="00F0752F">
        <w:rPr>
          <w:rFonts w:ascii="Times New Roman" w:eastAsia="Times New Roman" w:hAnsi="Times New Roman" w:cs="Times New Roman"/>
          <w:color w:val="000000" w:themeColor="text1"/>
          <w:sz w:val="24"/>
          <w:szCs w:val="24"/>
        </w:rPr>
        <w:t xml:space="preserve"> </w:t>
      </w:r>
      <w:r w:rsidRPr="00131E97">
        <w:rPr>
          <w:rFonts w:ascii="Arial" w:eastAsia="Times New Roman" w:hAnsi="Arial" w:cs="Arial"/>
          <w:color w:val="000000" w:themeColor="text1"/>
          <w:sz w:val="24"/>
          <w:szCs w:val="24"/>
        </w:rPr>
        <w:t xml:space="preserve">temeljem procjene neutrošenih sredstava. </w:t>
      </w:r>
    </w:p>
    <w:p w14:paraId="6E4C8311" w14:textId="77777777" w:rsidR="00E541EE" w:rsidRDefault="00E541EE" w:rsidP="00E541EE">
      <w:pPr>
        <w:ind w:firstLine="709"/>
        <w:contextualSpacing/>
        <w:jc w:val="both"/>
        <w:rPr>
          <w:rFonts w:ascii="Arial" w:eastAsia="Times New Roman" w:hAnsi="Arial" w:cs="Arial"/>
          <w:color w:val="000000" w:themeColor="text1"/>
          <w:sz w:val="24"/>
          <w:szCs w:val="24"/>
        </w:rPr>
      </w:pPr>
    </w:p>
    <w:p w14:paraId="084D0BB4" w14:textId="77777777" w:rsidR="00E541EE" w:rsidRPr="00131E97" w:rsidRDefault="00E541EE" w:rsidP="00E541EE">
      <w:pPr>
        <w:ind w:firstLine="709"/>
        <w:jc w:val="both"/>
        <w:rPr>
          <w:rFonts w:ascii="Arial" w:hAnsi="Arial" w:cs="Arial"/>
          <w:sz w:val="24"/>
          <w:szCs w:val="24"/>
          <w:lang w:eastAsia="en-US"/>
        </w:rPr>
      </w:pPr>
      <w:r w:rsidRPr="00131E97">
        <w:rPr>
          <w:rFonts w:ascii="Arial" w:hAnsi="Arial" w:cs="Arial"/>
          <w:sz w:val="24"/>
          <w:szCs w:val="24"/>
          <w:lang w:eastAsia="en-US"/>
        </w:rPr>
        <w:t xml:space="preserve">Planirani višak prihoda ugrađen je u Poseban dio </w:t>
      </w:r>
      <w:r>
        <w:rPr>
          <w:rFonts w:ascii="Arial" w:hAnsi="Arial" w:cs="Arial"/>
          <w:sz w:val="24"/>
          <w:szCs w:val="24"/>
          <w:lang w:eastAsia="en-US"/>
        </w:rPr>
        <w:t>Proračuna Grada Rovinj-Rovigno</w:t>
      </w:r>
      <w:r w:rsidRPr="00131E97">
        <w:rPr>
          <w:rFonts w:ascii="Arial" w:hAnsi="Arial" w:cs="Arial"/>
          <w:sz w:val="24"/>
          <w:szCs w:val="24"/>
          <w:lang w:eastAsia="en-US"/>
        </w:rPr>
        <w:t xml:space="preserve"> za 202</w:t>
      </w:r>
      <w:r>
        <w:rPr>
          <w:rFonts w:ascii="Arial" w:hAnsi="Arial" w:cs="Arial"/>
          <w:sz w:val="24"/>
          <w:szCs w:val="24"/>
          <w:lang w:eastAsia="en-US"/>
        </w:rPr>
        <w:t>6</w:t>
      </w:r>
      <w:r w:rsidRPr="00131E97">
        <w:rPr>
          <w:rFonts w:ascii="Arial" w:hAnsi="Arial" w:cs="Arial"/>
          <w:sz w:val="24"/>
          <w:szCs w:val="24"/>
          <w:lang w:eastAsia="en-US"/>
        </w:rPr>
        <w:t>. godinu kroz aktivnosti i kapitalne i tekuće projekte čija se realizacija planira tijekom proračunske godine.</w:t>
      </w:r>
    </w:p>
    <w:p w14:paraId="0EC6BADB" w14:textId="77777777" w:rsidR="00E541EE" w:rsidRDefault="00E541EE" w:rsidP="00E541EE">
      <w:pPr>
        <w:rPr>
          <w:rFonts w:ascii="Arial" w:hAnsi="Arial" w:cs="Arial"/>
          <w:sz w:val="24"/>
          <w:szCs w:val="24"/>
          <w:lang w:eastAsia="en-US"/>
        </w:rPr>
      </w:pPr>
    </w:p>
    <w:p w14:paraId="78FB1B74" w14:textId="77777777" w:rsidR="00E541EE" w:rsidRPr="00D026F9" w:rsidRDefault="00E541EE" w:rsidP="00E541EE">
      <w:pPr>
        <w:ind w:firstLine="709"/>
        <w:jc w:val="both"/>
        <w:rPr>
          <w:rFonts w:ascii="Arial" w:hAnsi="Arial" w:cs="Arial"/>
          <w:sz w:val="24"/>
          <w:szCs w:val="24"/>
          <w:lang w:eastAsia="en-US"/>
        </w:rPr>
      </w:pPr>
      <w:r w:rsidRPr="00D026F9">
        <w:rPr>
          <w:rFonts w:ascii="Arial" w:eastAsia="Times New Roman" w:hAnsi="Arial" w:cs="Arial"/>
          <w:color w:val="000000" w:themeColor="text1"/>
          <w:sz w:val="24"/>
          <w:szCs w:val="24"/>
        </w:rPr>
        <w:t xml:space="preserve">Nenamjenski višak iz izvora opći prihodi i primici koristit će se za pokriće rashoda redovnog poslovanja Grada i proračunskih korisnika, dok će se višak prihoda iz namjenskih izvora financiranja koristiti za realizaciju kapitalnih projekata, a sve u skladu sa zakonski propisanom namjenom svakog pojedinog izvora financiranja. </w:t>
      </w:r>
    </w:p>
    <w:p w14:paraId="54591E4F" w14:textId="77777777" w:rsidR="00E541EE" w:rsidRPr="00D026F9" w:rsidRDefault="00E541EE" w:rsidP="00E541EE">
      <w:pPr>
        <w:jc w:val="both"/>
        <w:rPr>
          <w:rFonts w:ascii="Arial" w:hAnsi="Arial" w:cs="Arial"/>
          <w:b/>
          <w:sz w:val="24"/>
          <w:szCs w:val="24"/>
        </w:rPr>
      </w:pPr>
    </w:p>
    <w:p w14:paraId="79ECAF90" w14:textId="77777777" w:rsidR="00E541EE" w:rsidRDefault="00E541EE" w:rsidP="00E541EE">
      <w:pPr>
        <w:jc w:val="both"/>
        <w:rPr>
          <w:rFonts w:ascii="Arial" w:hAnsi="Arial" w:cs="Arial"/>
          <w:b/>
          <w:sz w:val="24"/>
          <w:szCs w:val="24"/>
        </w:rPr>
      </w:pPr>
    </w:p>
    <w:p w14:paraId="0818129D" w14:textId="77777777" w:rsidR="00E541EE" w:rsidRPr="00325B77" w:rsidRDefault="00E541EE" w:rsidP="00E541EE">
      <w:pPr>
        <w:jc w:val="both"/>
        <w:rPr>
          <w:rFonts w:ascii="Arial" w:hAnsi="Arial" w:cs="Arial"/>
          <w:b/>
          <w:sz w:val="24"/>
          <w:szCs w:val="24"/>
        </w:rPr>
      </w:pPr>
      <w:r w:rsidRPr="00325B77">
        <w:rPr>
          <w:rFonts w:ascii="Arial" w:hAnsi="Arial" w:cs="Arial"/>
          <w:b/>
          <w:sz w:val="24"/>
          <w:szCs w:val="24"/>
        </w:rPr>
        <w:t>RASHODI I IZDACI</w:t>
      </w:r>
    </w:p>
    <w:p w14:paraId="1E8EC8B6" w14:textId="77777777" w:rsidR="00E541EE" w:rsidRPr="00325B77" w:rsidRDefault="00E541EE" w:rsidP="00E541EE">
      <w:pPr>
        <w:jc w:val="both"/>
        <w:rPr>
          <w:rFonts w:ascii="Arial" w:hAnsi="Arial" w:cs="Arial"/>
          <w:b/>
          <w:sz w:val="24"/>
          <w:szCs w:val="24"/>
        </w:rPr>
      </w:pPr>
    </w:p>
    <w:p w14:paraId="66B6A004" w14:textId="77777777" w:rsidR="00E541EE" w:rsidRDefault="00E541EE" w:rsidP="00E541EE">
      <w:pPr>
        <w:jc w:val="both"/>
        <w:rPr>
          <w:rFonts w:ascii="Arial" w:hAnsi="Arial" w:cs="Arial"/>
          <w:i/>
          <w:sz w:val="24"/>
          <w:szCs w:val="24"/>
        </w:rPr>
      </w:pPr>
      <w:r w:rsidRPr="00325B77">
        <w:rPr>
          <w:rFonts w:ascii="Arial" w:hAnsi="Arial" w:cs="Arial"/>
          <w:b/>
          <w:sz w:val="24"/>
          <w:szCs w:val="24"/>
        </w:rPr>
        <w:tab/>
      </w:r>
      <w:r w:rsidRPr="00325B77">
        <w:rPr>
          <w:rFonts w:ascii="Arial" w:hAnsi="Arial" w:cs="Arial"/>
          <w:sz w:val="24"/>
          <w:szCs w:val="24"/>
        </w:rPr>
        <w:t>Ukupni rashodi Prijedloga Proračuna Grada Rovinja-Rovigno za 202</w:t>
      </w:r>
      <w:r>
        <w:rPr>
          <w:rFonts w:ascii="Arial" w:hAnsi="Arial" w:cs="Arial"/>
          <w:sz w:val="24"/>
          <w:szCs w:val="24"/>
        </w:rPr>
        <w:t>6</w:t>
      </w:r>
      <w:r w:rsidRPr="00325B77">
        <w:rPr>
          <w:rFonts w:ascii="Arial" w:hAnsi="Arial" w:cs="Arial"/>
          <w:sz w:val="24"/>
          <w:szCs w:val="24"/>
        </w:rPr>
        <w:t xml:space="preserve">. godinu planirani su u iznosu od </w:t>
      </w:r>
      <w:r>
        <w:rPr>
          <w:rFonts w:ascii="Arial" w:hAnsi="Arial" w:cs="Arial"/>
          <w:sz w:val="24"/>
          <w:szCs w:val="24"/>
        </w:rPr>
        <w:t>61.300.500,00</w:t>
      </w:r>
      <w:r w:rsidRPr="00325B77">
        <w:rPr>
          <w:rFonts w:ascii="Arial" w:hAnsi="Arial" w:cs="Arial"/>
          <w:sz w:val="24"/>
          <w:szCs w:val="24"/>
        </w:rPr>
        <w:t xml:space="preserve"> eura te projekcije za 202</w:t>
      </w:r>
      <w:r>
        <w:rPr>
          <w:rFonts w:ascii="Arial" w:hAnsi="Arial" w:cs="Arial"/>
          <w:sz w:val="24"/>
          <w:szCs w:val="24"/>
        </w:rPr>
        <w:t>7</w:t>
      </w:r>
      <w:r w:rsidRPr="00325B77">
        <w:rPr>
          <w:rFonts w:ascii="Arial" w:hAnsi="Arial" w:cs="Arial"/>
          <w:sz w:val="24"/>
          <w:szCs w:val="24"/>
        </w:rPr>
        <w:t>. godinu  u iznosu od 4</w:t>
      </w:r>
      <w:r>
        <w:rPr>
          <w:rFonts w:ascii="Arial" w:hAnsi="Arial" w:cs="Arial"/>
          <w:sz w:val="24"/>
          <w:szCs w:val="24"/>
        </w:rPr>
        <w:t>6</w:t>
      </w:r>
      <w:r w:rsidRPr="00325B77">
        <w:rPr>
          <w:rFonts w:ascii="Arial" w:hAnsi="Arial" w:cs="Arial"/>
          <w:sz w:val="24"/>
          <w:szCs w:val="24"/>
        </w:rPr>
        <w:t>.</w:t>
      </w:r>
      <w:r>
        <w:rPr>
          <w:rFonts w:ascii="Arial" w:hAnsi="Arial" w:cs="Arial"/>
          <w:sz w:val="24"/>
          <w:szCs w:val="24"/>
        </w:rPr>
        <w:t>238.000,00</w:t>
      </w:r>
      <w:r w:rsidRPr="00325B77">
        <w:rPr>
          <w:rFonts w:ascii="Arial" w:hAnsi="Arial" w:cs="Arial"/>
          <w:sz w:val="24"/>
          <w:szCs w:val="24"/>
        </w:rPr>
        <w:t xml:space="preserve"> eura i za 202</w:t>
      </w:r>
      <w:r>
        <w:rPr>
          <w:rFonts w:ascii="Arial" w:hAnsi="Arial" w:cs="Arial"/>
          <w:sz w:val="24"/>
          <w:szCs w:val="24"/>
        </w:rPr>
        <w:t>8</w:t>
      </w:r>
      <w:r w:rsidRPr="00325B77">
        <w:rPr>
          <w:rFonts w:ascii="Arial" w:hAnsi="Arial" w:cs="Arial"/>
          <w:sz w:val="24"/>
          <w:szCs w:val="24"/>
        </w:rPr>
        <w:t xml:space="preserve">. godinu </w:t>
      </w:r>
      <w:r>
        <w:rPr>
          <w:rFonts w:ascii="Arial" w:hAnsi="Arial" w:cs="Arial"/>
          <w:sz w:val="24"/>
          <w:szCs w:val="24"/>
        </w:rPr>
        <w:t>40</w:t>
      </w:r>
      <w:r w:rsidRPr="00325B77">
        <w:rPr>
          <w:rFonts w:ascii="Arial" w:hAnsi="Arial" w:cs="Arial"/>
          <w:sz w:val="24"/>
          <w:szCs w:val="24"/>
        </w:rPr>
        <w:t>.</w:t>
      </w:r>
      <w:r>
        <w:rPr>
          <w:rFonts w:ascii="Arial" w:hAnsi="Arial" w:cs="Arial"/>
          <w:sz w:val="24"/>
          <w:szCs w:val="24"/>
        </w:rPr>
        <w:t>462.500,00</w:t>
      </w:r>
      <w:r w:rsidRPr="00325B77">
        <w:rPr>
          <w:rFonts w:ascii="Arial" w:hAnsi="Arial" w:cs="Arial"/>
          <w:sz w:val="24"/>
          <w:szCs w:val="24"/>
        </w:rPr>
        <w:t xml:space="preserve"> eura, a prikazani su u tabeli </w:t>
      </w:r>
      <w:r w:rsidRPr="00325B77">
        <w:rPr>
          <w:rFonts w:ascii="Arial" w:hAnsi="Arial" w:cs="Arial"/>
          <w:i/>
          <w:sz w:val="24"/>
          <w:szCs w:val="24"/>
        </w:rPr>
        <w:t>Rashodi.</w:t>
      </w:r>
    </w:p>
    <w:p w14:paraId="0725B89C" w14:textId="77777777" w:rsidR="00E541EE" w:rsidRDefault="00E541EE" w:rsidP="00E541EE">
      <w:pPr>
        <w:jc w:val="both"/>
        <w:rPr>
          <w:rFonts w:ascii="Arial" w:hAnsi="Arial" w:cs="Arial"/>
          <w:i/>
          <w:sz w:val="24"/>
          <w:szCs w:val="24"/>
        </w:rPr>
      </w:pPr>
    </w:p>
    <w:tbl>
      <w:tblPr>
        <w:tblW w:w="5000" w:type="pct"/>
        <w:tblLook w:val="04A0" w:firstRow="1" w:lastRow="0" w:firstColumn="1" w:lastColumn="0" w:noHBand="0" w:noVBand="1"/>
      </w:tblPr>
      <w:tblGrid>
        <w:gridCol w:w="847"/>
        <w:gridCol w:w="947"/>
        <w:gridCol w:w="1974"/>
        <w:gridCol w:w="1399"/>
        <w:gridCol w:w="1415"/>
        <w:gridCol w:w="1399"/>
        <w:gridCol w:w="1399"/>
        <w:gridCol w:w="816"/>
      </w:tblGrid>
      <w:tr w:rsidR="009E3961" w:rsidRPr="003623E3" w14:paraId="3BF88D0D" w14:textId="77777777" w:rsidTr="00A84BB5">
        <w:trPr>
          <w:trHeight w:val="570"/>
        </w:trPr>
        <w:tc>
          <w:tcPr>
            <w:tcW w:w="415"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4D27F583" w14:textId="77777777" w:rsidR="00E541EE" w:rsidRPr="003623E3" w:rsidRDefault="00E541EE" w:rsidP="00A84BB5">
            <w:pPr>
              <w:jc w:val="center"/>
              <w:rPr>
                <w:rFonts w:ascii="Arial" w:eastAsia="Times New Roman" w:hAnsi="Arial" w:cs="Arial"/>
                <w:b/>
                <w:bCs/>
                <w:color w:val="000000"/>
                <w:sz w:val="16"/>
                <w:szCs w:val="16"/>
              </w:rPr>
            </w:pPr>
            <w:r w:rsidRPr="003623E3">
              <w:rPr>
                <w:rFonts w:ascii="Arial" w:eastAsia="Times New Roman" w:hAnsi="Arial" w:cs="Arial"/>
                <w:b/>
                <w:bCs/>
                <w:color w:val="000000"/>
                <w:sz w:val="16"/>
                <w:szCs w:val="16"/>
              </w:rPr>
              <w:t>Razred</w:t>
            </w:r>
          </w:p>
        </w:tc>
        <w:tc>
          <w:tcPr>
            <w:tcW w:w="464" w:type="pct"/>
            <w:tcBorders>
              <w:top w:val="single" w:sz="4" w:space="0" w:color="000000"/>
              <w:left w:val="nil"/>
              <w:bottom w:val="single" w:sz="4" w:space="0" w:color="000000"/>
              <w:right w:val="single" w:sz="4" w:space="0" w:color="000000"/>
            </w:tcBorders>
            <w:shd w:val="clear" w:color="auto" w:fill="B4C6E7" w:themeFill="accent1" w:themeFillTint="66"/>
            <w:vAlign w:val="center"/>
            <w:hideMark/>
          </w:tcPr>
          <w:p w14:paraId="11028F50" w14:textId="77777777" w:rsidR="00E541EE" w:rsidRPr="003623E3" w:rsidRDefault="00E541EE" w:rsidP="00A84BB5">
            <w:pPr>
              <w:jc w:val="center"/>
              <w:rPr>
                <w:rFonts w:ascii="Arial" w:eastAsia="Times New Roman" w:hAnsi="Arial" w:cs="Arial"/>
                <w:b/>
                <w:bCs/>
                <w:color w:val="000000"/>
                <w:sz w:val="16"/>
                <w:szCs w:val="16"/>
              </w:rPr>
            </w:pPr>
            <w:r w:rsidRPr="003623E3">
              <w:rPr>
                <w:rFonts w:ascii="Arial" w:eastAsia="Times New Roman" w:hAnsi="Arial" w:cs="Arial"/>
                <w:b/>
                <w:bCs/>
                <w:color w:val="000000"/>
                <w:sz w:val="16"/>
                <w:szCs w:val="16"/>
              </w:rPr>
              <w:t>Skupina</w:t>
            </w:r>
          </w:p>
        </w:tc>
        <w:tc>
          <w:tcPr>
            <w:tcW w:w="968" w:type="pct"/>
            <w:tcBorders>
              <w:top w:val="single" w:sz="4" w:space="0" w:color="000000"/>
              <w:left w:val="nil"/>
              <w:bottom w:val="single" w:sz="4" w:space="0" w:color="000000"/>
              <w:right w:val="single" w:sz="4" w:space="0" w:color="000000"/>
            </w:tcBorders>
            <w:shd w:val="clear" w:color="auto" w:fill="B4C6E7" w:themeFill="accent1" w:themeFillTint="66"/>
            <w:vAlign w:val="center"/>
            <w:hideMark/>
          </w:tcPr>
          <w:p w14:paraId="2A40B90B" w14:textId="77777777" w:rsidR="00E541EE" w:rsidRPr="003623E3" w:rsidRDefault="00E541EE" w:rsidP="00A84BB5">
            <w:pPr>
              <w:jc w:val="center"/>
              <w:rPr>
                <w:rFonts w:ascii="Arial" w:eastAsia="Times New Roman" w:hAnsi="Arial" w:cs="Arial"/>
                <w:b/>
                <w:bCs/>
                <w:color w:val="000000"/>
                <w:sz w:val="16"/>
                <w:szCs w:val="16"/>
              </w:rPr>
            </w:pPr>
            <w:r w:rsidRPr="003623E3">
              <w:rPr>
                <w:rFonts w:ascii="Arial" w:eastAsia="Times New Roman" w:hAnsi="Arial" w:cs="Arial"/>
                <w:b/>
                <w:bCs/>
                <w:color w:val="000000"/>
                <w:sz w:val="16"/>
                <w:szCs w:val="16"/>
              </w:rPr>
              <w:t>Naziv rashoda</w:t>
            </w:r>
          </w:p>
        </w:tc>
        <w:tc>
          <w:tcPr>
            <w:tcW w:w="686" w:type="pct"/>
            <w:tcBorders>
              <w:top w:val="single" w:sz="4" w:space="0" w:color="000000"/>
              <w:left w:val="nil"/>
              <w:bottom w:val="single" w:sz="4" w:space="0" w:color="000000"/>
              <w:right w:val="single" w:sz="4" w:space="0" w:color="000000"/>
            </w:tcBorders>
            <w:shd w:val="clear" w:color="auto" w:fill="B4C6E7" w:themeFill="accent1" w:themeFillTint="66"/>
            <w:vAlign w:val="center"/>
            <w:hideMark/>
          </w:tcPr>
          <w:p w14:paraId="1007B1B1" w14:textId="77777777" w:rsidR="00E541EE" w:rsidRPr="003623E3" w:rsidRDefault="00E541EE" w:rsidP="00A84BB5">
            <w:pPr>
              <w:jc w:val="center"/>
              <w:rPr>
                <w:rFonts w:ascii="Arial" w:eastAsia="Times New Roman" w:hAnsi="Arial" w:cs="Arial"/>
                <w:b/>
                <w:bCs/>
                <w:color w:val="000000"/>
                <w:sz w:val="16"/>
                <w:szCs w:val="16"/>
              </w:rPr>
            </w:pPr>
            <w:r w:rsidRPr="003623E3">
              <w:rPr>
                <w:rFonts w:ascii="Arial" w:eastAsia="Times New Roman" w:hAnsi="Arial" w:cs="Arial"/>
                <w:b/>
                <w:bCs/>
                <w:color w:val="000000"/>
                <w:sz w:val="16"/>
                <w:szCs w:val="16"/>
              </w:rPr>
              <w:t>Tekući plan 2025.</w:t>
            </w:r>
          </w:p>
        </w:tc>
        <w:tc>
          <w:tcPr>
            <w:tcW w:w="694" w:type="pct"/>
            <w:tcBorders>
              <w:top w:val="single" w:sz="4" w:space="0" w:color="000000"/>
              <w:left w:val="nil"/>
              <w:bottom w:val="single" w:sz="4" w:space="0" w:color="000000"/>
              <w:right w:val="single" w:sz="4" w:space="0" w:color="000000"/>
            </w:tcBorders>
            <w:shd w:val="clear" w:color="auto" w:fill="B4C6E7" w:themeFill="accent1" w:themeFillTint="66"/>
            <w:vAlign w:val="center"/>
            <w:hideMark/>
          </w:tcPr>
          <w:p w14:paraId="12388CD9" w14:textId="77777777" w:rsidR="00E541EE" w:rsidRPr="003623E3" w:rsidRDefault="00E541EE" w:rsidP="00A84BB5">
            <w:pPr>
              <w:jc w:val="center"/>
              <w:rPr>
                <w:rFonts w:ascii="Arial" w:eastAsia="Times New Roman" w:hAnsi="Arial" w:cs="Arial"/>
                <w:b/>
                <w:bCs/>
                <w:color w:val="000000"/>
                <w:sz w:val="16"/>
                <w:szCs w:val="16"/>
              </w:rPr>
            </w:pPr>
            <w:r w:rsidRPr="003623E3">
              <w:rPr>
                <w:rFonts w:ascii="Arial" w:eastAsia="Times New Roman" w:hAnsi="Arial" w:cs="Arial"/>
                <w:b/>
                <w:bCs/>
                <w:color w:val="000000"/>
                <w:sz w:val="16"/>
                <w:szCs w:val="16"/>
              </w:rPr>
              <w:t>Plan 2026.</w:t>
            </w:r>
          </w:p>
        </w:tc>
        <w:tc>
          <w:tcPr>
            <w:tcW w:w="686" w:type="pct"/>
            <w:tcBorders>
              <w:top w:val="single" w:sz="4" w:space="0" w:color="000000"/>
              <w:left w:val="nil"/>
              <w:bottom w:val="single" w:sz="4" w:space="0" w:color="000000"/>
              <w:right w:val="single" w:sz="4" w:space="0" w:color="000000"/>
            </w:tcBorders>
            <w:shd w:val="clear" w:color="auto" w:fill="B4C6E7" w:themeFill="accent1" w:themeFillTint="66"/>
            <w:vAlign w:val="center"/>
            <w:hideMark/>
          </w:tcPr>
          <w:p w14:paraId="1E80277E" w14:textId="77777777" w:rsidR="00E541EE" w:rsidRPr="003623E3" w:rsidRDefault="00E541EE" w:rsidP="00A84BB5">
            <w:pPr>
              <w:jc w:val="center"/>
              <w:rPr>
                <w:rFonts w:ascii="Arial" w:eastAsia="Times New Roman" w:hAnsi="Arial" w:cs="Arial"/>
                <w:b/>
                <w:bCs/>
                <w:color w:val="000000"/>
                <w:sz w:val="16"/>
                <w:szCs w:val="16"/>
              </w:rPr>
            </w:pPr>
            <w:r w:rsidRPr="003623E3">
              <w:rPr>
                <w:rFonts w:ascii="Arial" w:eastAsia="Times New Roman" w:hAnsi="Arial" w:cs="Arial"/>
                <w:b/>
                <w:bCs/>
                <w:color w:val="000000"/>
                <w:sz w:val="16"/>
                <w:szCs w:val="16"/>
              </w:rPr>
              <w:t>Projekcija 2027.</w:t>
            </w:r>
          </w:p>
        </w:tc>
        <w:tc>
          <w:tcPr>
            <w:tcW w:w="686" w:type="pct"/>
            <w:tcBorders>
              <w:top w:val="single" w:sz="4" w:space="0" w:color="000000"/>
              <w:left w:val="nil"/>
              <w:bottom w:val="single" w:sz="4" w:space="0" w:color="000000"/>
              <w:right w:val="single" w:sz="4" w:space="0" w:color="000000"/>
            </w:tcBorders>
            <w:shd w:val="clear" w:color="auto" w:fill="B4C6E7" w:themeFill="accent1" w:themeFillTint="66"/>
            <w:vAlign w:val="center"/>
            <w:hideMark/>
          </w:tcPr>
          <w:p w14:paraId="3577CB44" w14:textId="77777777" w:rsidR="00E541EE" w:rsidRPr="003623E3" w:rsidRDefault="00E541EE" w:rsidP="00A84BB5">
            <w:pPr>
              <w:jc w:val="center"/>
              <w:rPr>
                <w:rFonts w:ascii="Arial" w:eastAsia="Times New Roman" w:hAnsi="Arial" w:cs="Arial"/>
                <w:b/>
                <w:bCs/>
                <w:color w:val="000000"/>
                <w:sz w:val="16"/>
                <w:szCs w:val="16"/>
              </w:rPr>
            </w:pPr>
            <w:r w:rsidRPr="003623E3">
              <w:rPr>
                <w:rFonts w:ascii="Arial" w:eastAsia="Times New Roman" w:hAnsi="Arial" w:cs="Arial"/>
                <w:b/>
                <w:bCs/>
                <w:color w:val="000000"/>
                <w:sz w:val="16"/>
                <w:szCs w:val="16"/>
              </w:rPr>
              <w:t>Projekcija 2028.</w:t>
            </w:r>
          </w:p>
        </w:tc>
        <w:tc>
          <w:tcPr>
            <w:tcW w:w="400" w:type="pct"/>
            <w:tcBorders>
              <w:top w:val="single" w:sz="4" w:space="0" w:color="auto"/>
              <w:left w:val="nil"/>
              <w:bottom w:val="single" w:sz="4" w:space="0" w:color="auto"/>
              <w:right w:val="single" w:sz="4" w:space="0" w:color="auto"/>
            </w:tcBorders>
            <w:shd w:val="clear" w:color="auto" w:fill="B4C6E7" w:themeFill="accent1" w:themeFillTint="66"/>
            <w:noWrap/>
            <w:vAlign w:val="center"/>
            <w:hideMark/>
          </w:tcPr>
          <w:p w14:paraId="4FBDB5E9" w14:textId="77777777" w:rsidR="00E541EE" w:rsidRPr="003623E3" w:rsidRDefault="00E541EE" w:rsidP="00A84BB5">
            <w:pPr>
              <w:jc w:val="center"/>
              <w:rPr>
                <w:rFonts w:ascii="Arial" w:eastAsia="Times New Roman" w:hAnsi="Arial" w:cs="Arial"/>
                <w:b/>
                <w:bCs/>
                <w:color w:val="000000"/>
                <w:sz w:val="16"/>
                <w:szCs w:val="16"/>
              </w:rPr>
            </w:pPr>
            <w:r w:rsidRPr="003623E3">
              <w:rPr>
                <w:rFonts w:ascii="Arial" w:eastAsia="Times New Roman" w:hAnsi="Arial" w:cs="Arial"/>
                <w:b/>
                <w:bCs/>
                <w:color w:val="000000"/>
                <w:sz w:val="16"/>
                <w:szCs w:val="16"/>
              </w:rPr>
              <w:t>Indeks</w:t>
            </w:r>
          </w:p>
        </w:tc>
      </w:tr>
      <w:tr w:rsidR="009E3961" w:rsidRPr="003623E3" w14:paraId="692B1125" w14:textId="77777777" w:rsidTr="00A84BB5">
        <w:trPr>
          <w:trHeight w:val="330"/>
        </w:trPr>
        <w:tc>
          <w:tcPr>
            <w:tcW w:w="415" w:type="pct"/>
            <w:tcBorders>
              <w:top w:val="nil"/>
              <w:left w:val="single" w:sz="4" w:space="0" w:color="000000"/>
              <w:bottom w:val="single" w:sz="4" w:space="0" w:color="000000"/>
              <w:right w:val="single" w:sz="4" w:space="0" w:color="000000"/>
            </w:tcBorders>
            <w:shd w:val="clear" w:color="auto" w:fill="B4C6E7" w:themeFill="accent1" w:themeFillTint="66"/>
            <w:vAlign w:val="center"/>
            <w:hideMark/>
          </w:tcPr>
          <w:p w14:paraId="49480AA8" w14:textId="77777777" w:rsidR="00E541EE" w:rsidRPr="003623E3" w:rsidRDefault="00E541EE" w:rsidP="00A84BB5">
            <w:pPr>
              <w:rPr>
                <w:rFonts w:ascii="Arial" w:eastAsia="Times New Roman" w:hAnsi="Arial" w:cs="Arial"/>
                <w:b/>
                <w:bCs/>
                <w:color w:val="000000"/>
                <w:sz w:val="16"/>
                <w:szCs w:val="16"/>
              </w:rPr>
            </w:pPr>
            <w:r w:rsidRPr="003623E3">
              <w:rPr>
                <w:rFonts w:ascii="Arial" w:eastAsia="Times New Roman" w:hAnsi="Arial" w:cs="Arial"/>
                <w:b/>
                <w:bCs/>
                <w:color w:val="000000"/>
                <w:sz w:val="16"/>
                <w:szCs w:val="16"/>
              </w:rPr>
              <w:t> </w:t>
            </w:r>
          </w:p>
        </w:tc>
        <w:tc>
          <w:tcPr>
            <w:tcW w:w="464" w:type="pct"/>
            <w:tcBorders>
              <w:top w:val="nil"/>
              <w:left w:val="nil"/>
              <w:bottom w:val="single" w:sz="4" w:space="0" w:color="000000"/>
              <w:right w:val="single" w:sz="4" w:space="0" w:color="000000"/>
            </w:tcBorders>
            <w:shd w:val="clear" w:color="auto" w:fill="B4C6E7" w:themeFill="accent1" w:themeFillTint="66"/>
            <w:vAlign w:val="center"/>
            <w:hideMark/>
          </w:tcPr>
          <w:p w14:paraId="6BCDAE30" w14:textId="77777777" w:rsidR="00E541EE" w:rsidRPr="003623E3" w:rsidRDefault="00E541EE" w:rsidP="00A84BB5">
            <w:pPr>
              <w:rPr>
                <w:rFonts w:ascii="Arial" w:eastAsia="Times New Roman" w:hAnsi="Arial" w:cs="Arial"/>
                <w:b/>
                <w:bCs/>
                <w:color w:val="000000"/>
                <w:sz w:val="16"/>
                <w:szCs w:val="16"/>
              </w:rPr>
            </w:pPr>
            <w:r w:rsidRPr="003623E3">
              <w:rPr>
                <w:rFonts w:ascii="Arial" w:eastAsia="Times New Roman" w:hAnsi="Arial" w:cs="Arial"/>
                <w:b/>
                <w:bCs/>
                <w:color w:val="000000"/>
                <w:sz w:val="16"/>
                <w:szCs w:val="16"/>
              </w:rPr>
              <w:t> </w:t>
            </w:r>
          </w:p>
        </w:tc>
        <w:tc>
          <w:tcPr>
            <w:tcW w:w="968" w:type="pct"/>
            <w:tcBorders>
              <w:top w:val="nil"/>
              <w:left w:val="nil"/>
              <w:bottom w:val="single" w:sz="4" w:space="0" w:color="000000"/>
              <w:right w:val="single" w:sz="4" w:space="0" w:color="000000"/>
            </w:tcBorders>
            <w:shd w:val="clear" w:color="auto" w:fill="B4C6E7" w:themeFill="accent1" w:themeFillTint="66"/>
            <w:vAlign w:val="center"/>
            <w:hideMark/>
          </w:tcPr>
          <w:p w14:paraId="4CA05B80" w14:textId="77777777" w:rsidR="00E541EE" w:rsidRPr="003623E3" w:rsidRDefault="00E541EE" w:rsidP="00A84BB5">
            <w:pPr>
              <w:rPr>
                <w:rFonts w:ascii="Arial" w:eastAsia="Times New Roman" w:hAnsi="Arial" w:cs="Arial"/>
                <w:b/>
                <w:bCs/>
                <w:color w:val="000000"/>
                <w:sz w:val="16"/>
                <w:szCs w:val="16"/>
              </w:rPr>
            </w:pPr>
            <w:r w:rsidRPr="003623E3">
              <w:rPr>
                <w:rFonts w:ascii="Arial" w:eastAsia="Times New Roman" w:hAnsi="Arial" w:cs="Arial"/>
                <w:b/>
                <w:bCs/>
                <w:color w:val="000000"/>
                <w:sz w:val="16"/>
                <w:szCs w:val="16"/>
              </w:rPr>
              <w:t>UKUPNO RASHODI</w:t>
            </w:r>
          </w:p>
        </w:tc>
        <w:tc>
          <w:tcPr>
            <w:tcW w:w="686" w:type="pct"/>
            <w:tcBorders>
              <w:top w:val="nil"/>
              <w:left w:val="nil"/>
              <w:bottom w:val="single" w:sz="4" w:space="0" w:color="000000"/>
              <w:right w:val="single" w:sz="4" w:space="0" w:color="000000"/>
            </w:tcBorders>
            <w:shd w:val="clear" w:color="auto" w:fill="B4C6E7" w:themeFill="accent1" w:themeFillTint="66"/>
            <w:vAlign w:val="center"/>
            <w:hideMark/>
          </w:tcPr>
          <w:p w14:paraId="3EE32547" w14:textId="77777777" w:rsidR="00E541EE" w:rsidRPr="003623E3" w:rsidRDefault="00E541EE" w:rsidP="00A84BB5">
            <w:pPr>
              <w:jc w:val="right"/>
              <w:rPr>
                <w:rFonts w:ascii="Arial" w:eastAsia="Times New Roman" w:hAnsi="Arial" w:cs="Arial"/>
                <w:b/>
                <w:bCs/>
                <w:color w:val="000000"/>
                <w:sz w:val="16"/>
                <w:szCs w:val="16"/>
              </w:rPr>
            </w:pPr>
            <w:r w:rsidRPr="003623E3">
              <w:rPr>
                <w:rFonts w:ascii="Arial" w:eastAsia="Times New Roman" w:hAnsi="Arial" w:cs="Arial"/>
                <w:b/>
                <w:bCs/>
                <w:color w:val="000000"/>
                <w:sz w:val="16"/>
                <w:szCs w:val="16"/>
              </w:rPr>
              <w:t>64.342.564,00</w:t>
            </w:r>
          </w:p>
        </w:tc>
        <w:tc>
          <w:tcPr>
            <w:tcW w:w="694" w:type="pct"/>
            <w:tcBorders>
              <w:top w:val="nil"/>
              <w:left w:val="nil"/>
              <w:bottom w:val="single" w:sz="4" w:space="0" w:color="000000"/>
              <w:right w:val="single" w:sz="4" w:space="0" w:color="000000"/>
            </w:tcBorders>
            <w:shd w:val="clear" w:color="auto" w:fill="B4C6E7" w:themeFill="accent1" w:themeFillTint="66"/>
            <w:vAlign w:val="center"/>
            <w:hideMark/>
          </w:tcPr>
          <w:p w14:paraId="2B19DE39" w14:textId="77777777" w:rsidR="00E541EE" w:rsidRPr="003623E3" w:rsidRDefault="00E541EE" w:rsidP="00A84BB5">
            <w:pPr>
              <w:jc w:val="right"/>
              <w:rPr>
                <w:rFonts w:ascii="Arial" w:eastAsia="Times New Roman" w:hAnsi="Arial" w:cs="Arial"/>
                <w:b/>
                <w:bCs/>
                <w:color w:val="000000"/>
                <w:sz w:val="16"/>
                <w:szCs w:val="16"/>
              </w:rPr>
            </w:pPr>
            <w:r w:rsidRPr="003623E3">
              <w:rPr>
                <w:rFonts w:ascii="Arial" w:eastAsia="Times New Roman" w:hAnsi="Arial" w:cs="Arial"/>
                <w:b/>
                <w:bCs/>
                <w:color w:val="000000"/>
                <w:sz w:val="16"/>
                <w:szCs w:val="16"/>
              </w:rPr>
              <w:t>61.300.500,00</w:t>
            </w:r>
          </w:p>
        </w:tc>
        <w:tc>
          <w:tcPr>
            <w:tcW w:w="686" w:type="pct"/>
            <w:tcBorders>
              <w:top w:val="nil"/>
              <w:left w:val="nil"/>
              <w:bottom w:val="single" w:sz="4" w:space="0" w:color="000000"/>
              <w:right w:val="single" w:sz="4" w:space="0" w:color="000000"/>
            </w:tcBorders>
            <w:shd w:val="clear" w:color="auto" w:fill="B4C6E7" w:themeFill="accent1" w:themeFillTint="66"/>
            <w:vAlign w:val="center"/>
            <w:hideMark/>
          </w:tcPr>
          <w:p w14:paraId="1A6F0AD9" w14:textId="77777777" w:rsidR="00E541EE" w:rsidRPr="003623E3" w:rsidRDefault="00E541EE" w:rsidP="00A84BB5">
            <w:pPr>
              <w:jc w:val="right"/>
              <w:rPr>
                <w:rFonts w:ascii="Arial" w:eastAsia="Times New Roman" w:hAnsi="Arial" w:cs="Arial"/>
                <w:b/>
                <w:bCs/>
                <w:color w:val="000000"/>
                <w:sz w:val="16"/>
                <w:szCs w:val="16"/>
              </w:rPr>
            </w:pPr>
            <w:r w:rsidRPr="003623E3">
              <w:rPr>
                <w:rFonts w:ascii="Arial" w:eastAsia="Times New Roman" w:hAnsi="Arial" w:cs="Arial"/>
                <w:b/>
                <w:bCs/>
                <w:color w:val="000000"/>
                <w:sz w:val="16"/>
                <w:szCs w:val="16"/>
              </w:rPr>
              <w:t>46.238.000,00</w:t>
            </w:r>
          </w:p>
        </w:tc>
        <w:tc>
          <w:tcPr>
            <w:tcW w:w="686" w:type="pct"/>
            <w:tcBorders>
              <w:top w:val="nil"/>
              <w:left w:val="nil"/>
              <w:bottom w:val="single" w:sz="4" w:space="0" w:color="000000"/>
              <w:right w:val="single" w:sz="4" w:space="0" w:color="000000"/>
            </w:tcBorders>
            <w:shd w:val="clear" w:color="auto" w:fill="B4C6E7" w:themeFill="accent1" w:themeFillTint="66"/>
            <w:vAlign w:val="center"/>
            <w:hideMark/>
          </w:tcPr>
          <w:p w14:paraId="30FFEE04" w14:textId="77777777" w:rsidR="00E541EE" w:rsidRPr="003623E3" w:rsidRDefault="00E541EE" w:rsidP="00A84BB5">
            <w:pPr>
              <w:jc w:val="right"/>
              <w:rPr>
                <w:rFonts w:ascii="Arial" w:eastAsia="Times New Roman" w:hAnsi="Arial" w:cs="Arial"/>
                <w:b/>
                <w:bCs/>
                <w:color w:val="000000"/>
                <w:sz w:val="16"/>
                <w:szCs w:val="16"/>
              </w:rPr>
            </w:pPr>
            <w:r w:rsidRPr="003623E3">
              <w:rPr>
                <w:rFonts w:ascii="Arial" w:eastAsia="Times New Roman" w:hAnsi="Arial" w:cs="Arial"/>
                <w:b/>
                <w:bCs/>
                <w:color w:val="000000"/>
                <w:sz w:val="16"/>
                <w:szCs w:val="16"/>
              </w:rPr>
              <w:t>40.462.500,00</w:t>
            </w:r>
          </w:p>
        </w:tc>
        <w:tc>
          <w:tcPr>
            <w:tcW w:w="400" w:type="pct"/>
            <w:tcBorders>
              <w:top w:val="nil"/>
              <w:left w:val="nil"/>
              <w:bottom w:val="single" w:sz="4" w:space="0" w:color="auto"/>
              <w:right w:val="single" w:sz="4" w:space="0" w:color="auto"/>
            </w:tcBorders>
            <w:shd w:val="clear" w:color="auto" w:fill="B4C6E7" w:themeFill="accent1" w:themeFillTint="66"/>
            <w:noWrap/>
            <w:vAlign w:val="center"/>
            <w:hideMark/>
          </w:tcPr>
          <w:p w14:paraId="655AD85B" w14:textId="77777777" w:rsidR="00E541EE" w:rsidRPr="003623E3" w:rsidRDefault="00E541EE" w:rsidP="00A84BB5">
            <w:pPr>
              <w:jc w:val="right"/>
              <w:rPr>
                <w:rFonts w:ascii="Arial" w:eastAsia="Times New Roman" w:hAnsi="Arial" w:cs="Arial"/>
                <w:color w:val="000000"/>
                <w:sz w:val="16"/>
                <w:szCs w:val="16"/>
              </w:rPr>
            </w:pPr>
            <w:r w:rsidRPr="003623E3">
              <w:rPr>
                <w:rFonts w:ascii="Arial" w:eastAsia="Times New Roman" w:hAnsi="Arial" w:cs="Arial"/>
                <w:color w:val="000000"/>
                <w:sz w:val="16"/>
                <w:szCs w:val="16"/>
              </w:rPr>
              <w:t xml:space="preserve">95,27   </w:t>
            </w:r>
          </w:p>
        </w:tc>
      </w:tr>
      <w:tr w:rsidR="009E3961" w:rsidRPr="003623E3" w14:paraId="40929836" w14:textId="77777777" w:rsidTr="00A84BB5">
        <w:trPr>
          <w:trHeight w:val="360"/>
        </w:trPr>
        <w:tc>
          <w:tcPr>
            <w:tcW w:w="415" w:type="pct"/>
            <w:tcBorders>
              <w:top w:val="nil"/>
              <w:left w:val="single" w:sz="4" w:space="0" w:color="000000"/>
              <w:bottom w:val="single" w:sz="4" w:space="0" w:color="000000"/>
              <w:right w:val="single" w:sz="4" w:space="0" w:color="000000"/>
            </w:tcBorders>
            <w:shd w:val="clear" w:color="auto" w:fill="D6E1F2"/>
            <w:vAlign w:val="center"/>
            <w:hideMark/>
          </w:tcPr>
          <w:p w14:paraId="343D9C79" w14:textId="77777777" w:rsidR="00E541EE" w:rsidRPr="003623E3" w:rsidRDefault="00E541EE" w:rsidP="00A84BB5">
            <w:pPr>
              <w:jc w:val="center"/>
              <w:rPr>
                <w:rFonts w:ascii="Arial" w:eastAsia="Times New Roman" w:hAnsi="Arial" w:cs="Arial"/>
                <w:b/>
                <w:bCs/>
                <w:color w:val="000000"/>
                <w:sz w:val="16"/>
                <w:szCs w:val="16"/>
              </w:rPr>
            </w:pPr>
            <w:r w:rsidRPr="003623E3">
              <w:rPr>
                <w:rFonts w:ascii="Arial" w:eastAsia="Times New Roman" w:hAnsi="Arial" w:cs="Arial"/>
                <w:b/>
                <w:bCs/>
                <w:color w:val="000000"/>
                <w:sz w:val="16"/>
                <w:szCs w:val="16"/>
              </w:rPr>
              <w:t>3</w:t>
            </w:r>
          </w:p>
        </w:tc>
        <w:tc>
          <w:tcPr>
            <w:tcW w:w="464" w:type="pct"/>
            <w:tcBorders>
              <w:top w:val="nil"/>
              <w:left w:val="nil"/>
              <w:bottom w:val="single" w:sz="4" w:space="0" w:color="000000"/>
              <w:right w:val="single" w:sz="4" w:space="0" w:color="000000"/>
            </w:tcBorders>
            <w:shd w:val="clear" w:color="auto" w:fill="D6E1F2"/>
            <w:hideMark/>
          </w:tcPr>
          <w:p w14:paraId="3AA8943E" w14:textId="77777777" w:rsidR="00E541EE" w:rsidRPr="003623E3" w:rsidRDefault="00E541EE" w:rsidP="00A84BB5">
            <w:pPr>
              <w:rPr>
                <w:rFonts w:ascii="Arial" w:eastAsia="Times New Roman" w:hAnsi="Arial" w:cs="Arial"/>
                <w:color w:val="000000"/>
                <w:sz w:val="18"/>
                <w:szCs w:val="18"/>
              </w:rPr>
            </w:pPr>
            <w:r w:rsidRPr="003623E3">
              <w:rPr>
                <w:rFonts w:ascii="Arial" w:eastAsia="Times New Roman" w:hAnsi="Arial" w:cs="Arial"/>
                <w:color w:val="000000"/>
                <w:sz w:val="18"/>
                <w:szCs w:val="18"/>
              </w:rPr>
              <w:t> </w:t>
            </w:r>
          </w:p>
        </w:tc>
        <w:tc>
          <w:tcPr>
            <w:tcW w:w="968" w:type="pct"/>
            <w:tcBorders>
              <w:top w:val="nil"/>
              <w:left w:val="nil"/>
              <w:bottom w:val="single" w:sz="4" w:space="0" w:color="000000"/>
              <w:right w:val="single" w:sz="4" w:space="0" w:color="000000"/>
            </w:tcBorders>
            <w:shd w:val="clear" w:color="auto" w:fill="D6E1F2"/>
            <w:vAlign w:val="center"/>
            <w:hideMark/>
          </w:tcPr>
          <w:p w14:paraId="704BD088" w14:textId="77777777" w:rsidR="00E541EE" w:rsidRPr="003623E3" w:rsidRDefault="00E541EE" w:rsidP="00A84BB5">
            <w:pPr>
              <w:rPr>
                <w:rFonts w:ascii="Arial" w:eastAsia="Times New Roman" w:hAnsi="Arial" w:cs="Arial"/>
                <w:b/>
                <w:bCs/>
                <w:color w:val="000000"/>
                <w:sz w:val="16"/>
                <w:szCs w:val="16"/>
              </w:rPr>
            </w:pPr>
            <w:r w:rsidRPr="003623E3">
              <w:rPr>
                <w:rFonts w:ascii="Arial" w:eastAsia="Times New Roman" w:hAnsi="Arial" w:cs="Arial"/>
                <w:b/>
                <w:bCs/>
                <w:color w:val="000000"/>
                <w:sz w:val="16"/>
                <w:szCs w:val="16"/>
              </w:rPr>
              <w:t>Rashodi poslovanja</w:t>
            </w:r>
          </w:p>
        </w:tc>
        <w:tc>
          <w:tcPr>
            <w:tcW w:w="686" w:type="pct"/>
            <w:tcBorders>
              <w:top w:val="nil"/>
              <w:left w:val="nil"/>
              <w:bottom w:val="single" w:sz="4" w:space="0" w:color="000000"/>
              <w:right w:val="single" w:sz="4" w:space="0" w:color="000000"/>
            </w:tcBorders>
            <w:shd w:val="clear" w:color="auto" w:fill="D6E1F2"/>
            <w:vAlign w:val="center"/>
            <w:hideMark/>
          </w:tcPr>
          <w:p w14:paraId="278BF296" w14:textId="77777777" w:rsidR="00E541EE" w:rsidRPr="003623E3" w:rsidRDefault="00E541EE" w:rsidP="00A84BB5">
            <w:pPr>
              <w:jc w:val="right"/>
              <w:rPr>
                <w:rFonts w:ascii="Arial" w:eastAsia="Times New Roman" w:hAnsi="Arial" w:cs="Arial"/>
                <w:b/>
                <w:bCs/>
                <w:color w:val="000000"/>
                <w:sz w:val="16"/>
                <w:szCs w:val="16"/>
              </w:rPr>
            </w:pPr>
            <w:r w:rsidRPr="003623E3">
              <w:rPr>
                <w:rFonts w:ascii="Arial" w:eastAsia="Times New Roman" w:hAnsi="Arial" w:cs="Arial"/>
                <w:b/>
                <w:bCs/>
                <w:color w:val="000000"/>
                <w:sz w:val="16"/>
                <w:szCs w:val="16"/>
              </w:rPr>
              <w:t>34.856.919,98</w:t>
            </w:r>
          </w:p>
        </w:tc>
        <w:tc>
          <w:tcPr>
            <w:tcW w:w="694" w:type="pct"/>
            <w:tcBorders>
              <w:top w:val="nil"/>
              <w:left w:val="nil"/>
              <w:bottom w:val="single" w:sz="4" w:space="0" w:color="000000"/>
              <w:right w:val="single" w:sz="4" w:space="0" w:color="000000"/>
            </w:tcBorders>
            <w:shd w:val="clear" w:color="auto" w:fill="D6E1F2"/>
            <w:vAlign w:val="center"/>
            <w:hideMark/>
          </w:tcPr>
          <w:p w14:paraId="3EE61DAA" w14:textId="5B065E20" w:rsidR="00E541EE" w:rsidRPr="003623E3" w:rsidRDefault="00E541EE" w:rsidP="00A84BB5">
            <w:pPr>
              <w:jc w:val="right"/>
              <w:rPr>
                <w:rFonts w:ascii="Arial" w:eastAsia="Times New Roman" w:hAnsi="Arial" w:cs="Arial"/>
                <w:b/>
                <w:bCs/>
                <w:color w:val="000000"/>
                <w:sz w:val="16"/>
                <w:szCs w:val="16"/>
              </w:rPr>
            </w:pPr>
            <w:r w:rsidRPr="003623E3">
              <w:rPr>
                <w:rFonts w:ascii="Arial" w:eastAsia="Times New Roman" w:hAnsi="Arial" w:cs="Arial"/>
                <w:b/>
                <w:bCs/>
                <w:color w:val="000000"/>
                <w:sz w:val="16"/>
                <w:szCs w:val="16"/>
              </w:rPr>
              <w:t>35.</w:t>
            </w:r>
            <w:r w:rsidR="00713F08">
              <w:rPr>
                <w:rFonts w:ascii="Arial" w:eastAsia="Times New Roman" w:hAnsi="Arial" w:cs="Arial"/>
                <w:b/>
                <w:bCs/>
                <w:color w:val="000000"/>
                <w:sz w:val="16"/>
                <w:szCs w:val="16"/>
              </w:rPr>
              <w:t>180,041</w:t>
            </w:r>
            <w:r w:rsidRPr="003623E3">
              <w:rPr>
                <w:rFonts w:ascii="Arial" w:eastAsia="Times New Roman" w:hAnsi="Arial" w:cs="Arial"/>
                <w:b/>
                <w:bCs/>
                <w:color w:val="000000"/>
                <w:sz w:val="16"/>
                <w:szCs w:val="16"/>
              </w:rPr>
              <w:t>,50</w:t>
            </w:r>
          </w:p>
        </w:tc>
        <w:tc>
          <w:tcPr>
            <w:tcW w:w="686" w:type="pct"/>
            <w:tcBorders>
              <w:top w:val="nil"/>
              <w:left w:val="nil"/>
              <w:bottom w:val="single" w:sz="4" w:space="0" w:color="000000"/>
              <w:right w:val="single" w:sz="4" w:space="0" w:color="000000"/>
            </w:tcBorders>
            <w:shd w:val="clear" w:color="auto" w:fill="D6E1F2"/>
            <w:vAlign w:val="center"/>
            <w:hideMark/>
          </w:tcPr>
          <w:p w14:paraId="1D0CCCF0" w14:textId="77777777" w:rsidR="00E541EE" w:rsidRPr="003623E3" w:rsidRDefault="00E541EE" w:rsidP="00A84BB5">
            <w:pPr>
              <w:jc w:val="right"/>
              <w:rPr>
                <w:rFonts w:ascii="Arial" w:eastAsia="Times New Roman" w:hAnsi="Arial" w:cs="Arial"/>
                <w:b/>
                <w:bCs/>
                <w:color w:val="000000"/>
                <w:sz w:val="16"/>
                <w:szCs w:val="16"/>
              </w:rPr>
            </w:pPr>
            <w:r w:rsidRPr="003623E3">
              <w:rPr>
                <w:rFonts w:ascii="Arial" w:eastAsia="Times New Roman" w:hAnsi="Arial" w:cs="Arial"/>
                <w:b/>
                <w:bCs/>
                <w:color w:val="000000"/>
                <w:sz w:val="16"/>
                <w:szCs w:val="16"/>
              </w:rPr>
              <w:t>35.328.863,05</w:t>
            </w:r>
          </w:p>
        </w:tc>
        <w:tc>
          <w:tcPr>
            <w:tcW w:w="686" w:type="pct"/>
            <w:tcBorders>
              <w:top w:val="nil"/>
              <w:left w:val="nil"/>
              <w:bottom w:val="single" w:sz="4" w:space="0" w:color="000000"/>
              <w:right w:val="single" w:sz="4" w:space="0" w:color="000000"/>
            </w:tcBorders>
            <w:shd w:val="clear" w:color="auto" w:fill="D6E1F2"/>
            <w:vAlign w:val="center"/>
            <w:hideMark/>
          </w:tcPr>
          <w:p w14:paraId="0F1EE649" w14:textId="77777777" w:rsidR="00E541EE" w:rsidRPr="003623E3" w:rsidRDefault="00E541EE" w:rsidP="00A84BB5">
            <w:pPr>
              <w:jc w:val="right"/>
              <w:rPr>
                <w:rFonts w:ascii="Arial" w:eastAsia="Times New Roman" w:hAnsi="Arial" w:cs="Arial"/>
                <w:b/>
                <w:bCs/>
                <w:color w:val="000000"/>
                <w:sz w:val="16"/>
                <w:szCs w:val="16"/>
              </w:rPr>
            </w:pPr>
            <w:r w:rsidRPr="003623E3">
              <w:rPr>
                <w:rFonts w:ascii="Arial" w:eastAsia="Times New Roman" w:hAnsi="Arial" w:cs="Arial"/>
                <w:b/>
                <w:bCs/>
                <w:color w:val="000000"/>
                <w:sz w:val="16"/>
                <w:szCs w:val="16"/>
              </w:rPr>
              <w:t>35.250.057,25</w:t>
            </w:r>
          </w:p>
        </w:tc>
        <w:tc>
          <w:tcPr>
            <w:tcW w:w="400" w:type="pct"/>
            <w:tcBorders>
              <w:top w:val="nil"/>
              <w:left w:val="nil"/>
              <w:bottom w:val="single" w:sz="4" w:space="0" w:color="auto"/>
              <w:right w:val="single" w:sz="4" w:space="0" w:color="auto"/>
            </w:tcBorders>
            <w:shd w:val="clear" w:color="auto" w:fill="D6E1F2"/>
            <w:noWrap/>
            <w:vAlign w:val="center"/>
            <w:hideMark/>
          </w:tcPr>
          <w:p w14:paraId="2F7542DB" w14:textId="132082DD" w:rsidR="00E541EE" w:rsidRPr="003623E3" w:rsidRDefault="009E3961" w:rsidP="00A84BB5">
            <w:pPr>
              <w:jc w:val="right"/>
              <w:rPr>
                <w:rFonts w:ascii="Arial" w:eastAsia="Times New Roman" w:hAnsi="Arial" w:cs="Arial"/>
                <w:color w:val="000000"/>
                <w:sz w:val="16"/>
                <w:szCs w:val="16"/>
              </w:rPr>
            </w:pPr>
            <w:r>
              <w:rPr>
                <w:rFonts w:ascii="Arial" w:eastAsia="Times New Roman" w:hAnsi="Arial" w:cs="Arial"/>
                <w:color w:val="000000"/>
                <w:sz w:val="16"/>
                <w:szCs w:val="16"/>
              </w:rPr>
              <w:t>100,93</w:t>
            </w:r>
            <w:r w:rsidR="00E541EE" w:rsidRPr="003623E3">
              <w:rPr>
                <w:rFonts w:ascii="Arial" w:eastAsia="Times New Roman" w:hAnsi="Arial" w:cs="Arial"/>
                <w:color w:val="000000"/>
                <w:sz w:val="16"/>
                <w:szCs w:val="16"/>
              </w:rPr>
              <w:t xml:space="preserve">   </w:t>
            </w:r>
          </w:p>
        </w:tc>
      </w:tr>
      <w:tr w:rsidR="009E3961" w:rsidRPr="003623E3" w14:paraId="774F02D4" w14:textId="77777777" w:rsidTr="00A84BB5">
        <w:trPr>
          <w:trHeight w:val="514"/>
        </w:trPr>
        <w:tc>
          <w:tcPr>
            <w:tcW w:w="415" w:type="pct"/>
            <w:tcBorders>
              <w:top w:val="nil"/>
              <w:left w:val="single" w:sz="4" w:space="0" w:color="000000"/>
              <w:bottom w:val="single" w:sz="4" w:space="0" w:color="000000"/>
              <w:right w:val="single" w:sz="4" w:space="0" w:color="000000"/>
            </w:tcBorders>
            <w:vAlign w:val="center"/>
            <w:hideMark/>
          </w:tcPr>
          <w:p w14:paraId="52E6227D" w14:textId="77777777" w:rsidR="00E541EE" w:rsidRPr="003623E3" w:rsidRDefault="00E541EE" w:rsidP="00A84BB5">
            <w:pPr>
              <w:jc w:val="center"/>
              <w:rPr>
                <w:rFonts w:ascii="Arial" w:eastAsia="Times New Roman" w:hAnsi="Arial" w:cs="Arial"/>
                <w:color w:val="000000"/>
                <w:sz w:val="16"/>
                <w:szCs w:val="16"/>
              </w:rPr>
            </w:pPr>
            <w:r w:rsidRPr="003623E3">
              <w:rPr>
                <w:rFonts w:ascii="Arial" w:eastAsia="Times New Roman" w:hAnsi="Arial" w:cs="Arial"/>
                <w:color w:val="000000"/>
                <w:sz w:val="16"/>
                <w:szCs w:val="16"/>
              </w:rPr>
              <w:t> </w:t>
            </w:r>
          </w:p>
        </w:tc>
        <w:tc>
          <w:tcPr>
            <w:tcW w:w="464" w:type="pct"/>
            <w:tcBorders>
              <w:top w:val="nil"/>
              <w:left w:val="nil"/>
              <w:bottom w:val="single" w:sz="4" w:space="0" w:color="000000"/>
              <w:right w:val="single" w:sz="4" w:space="0" w:color="000000"/>
            </w:tcBorders>
            <w:vAlign w:val="center"/>
            <w:hideMark/>
          </w:tcPr>
          <w:p w14:paraId="61C5EB34" w14:textId="77777777" w:rsidR="00E541EE" w:rsidRPr="003623E3" w:rsidRDefault="00E541EE" w:rsidP="00A84BB5">
            <w:pPr>
              <w:jc w:val="center"/>
              <w:rPr>
                <w:rFonts w:ascii="Arial" w:eastAsia="Times New Roman" w:hAnsi="Arial" w:cs="Arial"/>
                <w:color w:val="000000"/>
                <w:sz w:val="16"/>
                <w:szCs w:val="16"/>
              </w:rPr>
            </w:pPr>
            <w:r w:rsidRPr="003623E3">
              <w:rPr>
                <w:rFonts w:ascii="Arial" w:eastAsia="Times New Roman" w:hAnsi="Arial" w:cs="Arial"/>
                <w:color w:val="000000"/>
                <w:sz w:val="16"/>
                <w:szCs w:val="16"/>
              </w:rPr>
              <w:t>31</w:t>
            </w:r>
          </w:p>
        </w:tc>
        <w:tc>
          <w:tcPr>
            <w:tcW w:w="968" w:type="pct"/>
            <w:tcBorders>
              <w:top w:val="nil"/>
              <w:left w:val="nil"/>
              <w:bottom w:val="single" w:sz="4" w:space="0" w:color="000000"/>
              <w:right w:val="single" w:sz="4" w:space="0" w:color="000000"/>
            </w:tcBorders>
            <w:vAlign w:val="center"/>
            <w:hideMark/>
          </w:tcPr>
          <w:p w14:paraId="00DD02E9" w14:textId="77777777" w:rsidR="00E541EE" w:rsidRPr="003623E3" w:rsidRDefault="00E541EE" w:rsidP="00A84BB5">
            <w:pPr>
              <w:rPr>
                <w:rFonts w:ascii="Arial" w:eastAsia="Times New Roman" w:hAnsi="Arial" w:cs="Arial"/>
                <w:color w:val="000000"/>
                <w:sz w:val="16"/>
                <w:szCs w:val="16"/>
              </w:rPr>
            </w:pPr>
            <w:r w:rsidRPr="003623E3">
              <w:rPr>
                <w:rFonts w:ascii="Arial" w:eastAsia="Times New Roman" w:hAnsi="Arial" w:cs="Arial"/>
                <w:color w:val="000000"/>
                <w:sz w:val="16"/>
                <w:szCs w:val="16"/>
              </w:rPr>
              <w:t>Rashodi za zaposlene</w:t>
            </w:r>
          </w:p>
        </w:tc>
        <w:tc>
          <w:tcPr>
            <w:tcW w:w="686" w:type="pct"/>
            <w:tcBorders>
              <w:top w:val="nil"/>
              <w:left w:val="nil"/>
              <w:bottom w:val="single" w:sz="4" w:space="0" w:color="000000"/>
              <w:right w:val="single" w:sz="4" w:space="0" w:color="000000"/>
            </w:tcBorders>
            <w:vAlign w:val="center"/>
            <w:hideMark/>
          </w:tcPr>
          <w:p w14:paraId="39C55007" w14:textId="77777777" w:rsidR="00E541EE" w:rsidRPr="003623E3" w:rsidRDefault="00E541EE" w:rsidP="00A84BB5">
            <w:pPr>
              <w:jc w:val="right"/>
              <w:rPr>
                <w:rFonts w:ascii="Arial" w:eastAsia="Times New Roman" w:hAnsi="Arial" w:cs="Arial"/>
                <w:color w:val="000000"/>
                <w:sz w:val="16"/>
                <w:szCs w:val="16"/>
              </w:rPr>
            </w:pPr>
            <w:r w:rsidRPr="003623E3">
              <w:rPr>
                <w:rFonts w:ascii="Arial" w:eastAsia="Times New Roman" w:hAnsi="Arial" w:cs="Arial"/>
                <w:color w:val="000000"/>
                <w:sz w:val="16"/>
                <w:szCs w:val="16"/>
              </w:rPr>
              <w:t>17.556.444,42</w:t>
            </w:r>
          </w:p>
        </w:tc>
        <w:tc>
          <w:tcPr>
            <w:tcW w:w="694" w:type="pct"/>
            <w:tcBorders>
              <w:top w:val="nil"/>
              <w:left w:val="nil"/>
              <w:bottom w:val="single" w:sz="4" w:space="0" w:color="000000"/>
              <w:right w:val="single" w:sz="4" w:space="0" w:color="000000"/>
            </w:tcBorders>
            <w:vAlign w:val="center"/>
            <w:hideMark/>
          </w:tcPr>
          <w:p w14:paraId="619BFCE6" w14:textId="77777777" w:rsidR="00E541EE" w:rsidRPr="003623E3" w:rsidRDefault="00E541EE" w:rsidP="00A84BB5">
            <w:pPr>
              <w:jc w:val="right"/>
              <w:rPr>
                <w:rFonts w:ascii="Arial" w:eastAsia="Times New Roman" w:hAnsi="Arial" w:cs="Arial"/>
                <w:color w:val="000000"/>
                <w:sz w:val="16"/>
                <w:szCs w:val="16"/>
              </w:rPr>
            </w:pPr>
            <w:r w:rsidRPr="003623E3">
              <w:rPr>
                <w:rFonts w:ascii="Arial" w:eastAsia="Times New Roman" w:hAnsi="Arial" w:cs="Arial"/>
                <w:color w:val="000000"/>
                <w:sz w:val="16"/>
                <w:szCs w:val="16"/>
              </w:rPr>
              <w:t>17.745.924,66</w:t>
            </w:r>
          </w:p>
        </w:tc>
        <w:tc>
          <w:tcPr>
            <w:tcW w:w="686" w:type="pct"/>
            <w:tcBorders>
              <w:top w:val="nil"/>
              <w:left w:val="nil"/>
              <w:bottom w:val="single" w:sz="4" w:space="0" w:color="000000"/>
              <w:right w:val="single" w:sz="4" w:space="0" w:color="000000"/>
            </w:tcBorders>
            <w:vAlign w:val="center"/>
            <w:hideMark/>
          </w:tcPr>
          <w:p w14:paraId="3841FF7D" w14:textId="77777777" w:rsidR="00E541EE" w:rsidRPr="003623E3" w:rsidRDefault="00E541EE" w:rsidP="00A84BB5">
            <w:pPr>
              <w:jc w:val="right"/>
              <w:rPr>
                <w:rFonts w:ascii="Arial" w:eastAsia="Times New Roman" w:hAnsi="Arial" w:cs="Arial"/>
                <w:color w:val="000000"/>
                <w:sz w:val="16"/>
                <w:szCs w:val="16"/>
              </w:rPr>
            </w:pPr>
            <w:r w:rsidRPr="003623E3">
              <w:rPr>
                <w:rFonts w:ascii="Arial" w:eastAsia="Times New Roman" w:hAnsi="Arial" w:cs="Arial"/>
                <w:color w:val="000000"/>
                <w:sz w:val="16"/>
                <w:szCs w:val="16"/>
              </w:rPr>
              <w:t>18.2</w:t>
            </w:r>
            <w:r>
              <w:rPr>
                <w:rFonts w:ascii="Arial" w:eastAsia="Times New Roman" w:hAnsi="Arial" w:cs="Arial"/>
                <w:color w:val="000000"/>
                <w:sz w:val="16"/>
                <w:szCs w:val="16"/>
              </w:rPr>
              <w:t>48</w:t>
            </w:r>
            <w:r w:rsidRPr="003623E3">
              <w:rPr>
                <w:rFonts w:ascii="Arial" w:eastAsia="Times New Roman" w:hAnsi="Arial" w:cs="Arial"/>
                <w:color w:val="000000"/>
                <w:sz w:val="16"/>
                <w:szCs w:val="16"/>
              </w:rPr>
              <w:t>.717,12</w:t>
            </w:r>
          </w:p>
        </w:tc>
        <w:tc>
          <w:tcPr>
            <w:tcW w:w="686" w:type="pct"/>
            <w:tcBorders>
              <w:top w:val="nil"/>
              <w:left w:val="nil"/>
              <w:bottom w:val="single" w:sz="4" w:space="0" w:color="000000"/>
              <w:right w:val="single" w:sz="4" w:space="0" w:color="000000"/>
            </w:tcBorders>
            <w:vAlign w:val="center"/>
            <w:hideMark/>
          </w:tcPr>
          <w:p w14:paraId="56F32285" w14:textId="77777777" w:rsidR="00E541EE" w:rsidRPr="003623E3" w:rsidRDefault="00E541EE" w:rsidP="00A84BB5">
            <w:pPr>
              <w:jc w:val="right"/>
              <w:rPr>
                <w:rFonts w:ascii="Arial" w:eastAsia="Times New Roman" w:hAnsi="Arial" w:cs="Arial"/>
                <w:color w:val="000000"/>
                <w:sz w:val="16"/>
                <w:szCs w:val="16"/>
              </w:rPr>
            </w:pPr>
            <w:r w:rsidRPr="003623E3">
              <w:rPr>
                <w:rFonts w:ascii="Arial" w:eastAsia="Times New Roman" w:hAnsi="Arial" w:cs="Arial"/>
                <w:color w:val="000000"/>
                <w:sz w:val="16"/>
                <w:szCs w:val="16"/>
              </w:rPr>
              <w:t>18.</w:t>
            </w:r>
            <w:r>
              <w:rPr>
                <w:rFonts w:ascii="Arial" w:eastAsia="Times New Roman" w:hAnsi="Arial" w:cs="Arial"/>
                <w:color w:val="000000"/>
                <w:sz w:val="16"/>
                <w:szCs w:val="16"/>
              </w:rPr>
              <w:t>494</w:t>
            </w:r>
            <w:r w:rsidRPr="003623E3">
              <w:rPr>
                <w:rFonts w:ascii="Arial" w:eastAsia="Times New Roman" w:hAnsi="Arial" w:cs="Arial"/>
                <w:color w:val="000000"/>
                <w:sz w:val="16"/>
                <w:szCs w:val="16"/>
              </w:rPr>
              <w:t>.908,73</w:t>
            </w:r>
          </w:p>
        </w:tc>
        <w:tc>
          <w:tcPr>
            <w:tcW w:w="400" w:type="pct"/>
            <w:tcBorders>
              <w:top w:val="nil"/>
              <w:left w:val="nil"/>
              <w:bottom w:val="single" w:sz="4" w:space="0" w:color="auto"/>
              <w:right w:val="single" w:sz="4" w:space="0" w:color="auto"/>
            </w:tcBorders>
            <w:noWrap/>
            <w:vAlign w:val="center"/>
            <w:hideMark/>
          </w:tcPr>
          <w:p w14:paraId="4880266D" w14:textId="77777777" w:rsidR="00E541EE" w:rsidRPr="003623E3" w:rsidRDefault="00E541EE" w:rsidP="00A84BB5">
            <w:pPr>
              <w:jc w:val="right"/>
              <w:rPr>
                <w:rFonts w:ascii="Arial" w:eastAsia="Times New Roman" w:hAnsi="Arial" w:cs="Arial"/>
                <w:color w:val="000000"/>
                <w:sz w:val="16"/>
                <w:szCs w:val="16"/>
              </w:rPr>
            </w:pPr>
            <w:r w:rsidRPr="003623E3">
              <w:rPr>
                <w:rFonts w:ascii="Arial" w:eastAsia="Times New Roman" w:hAnsi="Arial" w:cs="Arial"/>
                <w:color w:val="000000"/>
                <w:sz w:val="16"/>
                <w:szCs w:val="16"/>
              </w:rPr>
              <w:t xml:space="preserve">101,08   </w:t>
            </w:r>
          </w:p>
        </w:tc>
      </w:tr>
      <w:tr w:rsidR="009E3961" w:rsidRPr="003623E3" w14:paraId="73D89802" w14:textId="77777777" w:rsidTr="00A84BB5">
        <w:trPr>
          <w:trHeight w:val="551"/>
        </w:trPr>
        <w:tc>
          <w:tcPr>
            <w:tcW w:w="415" w:type="pct"/>
            <w:tcBorders>
              <w:top w:val="nil"/>
              <w:left w:val="single" w:sz="4" w:space="0" w:color="000000"/>
              <w:bottom w:val="single" w:sz="4" w:space="0" w:color="000000"/>
              <w:right w:val="single" w:sz="4" w:space="0" w:color="000000"/>
            </w:tcBorders>
            <w:vAlign w:val="center"/>
            <w:hideMark/>
          </w:tcPr>
          <w:p w14:paraId="2D2C7A0D" w14:textId="77777777" w:rsidR="00E541EE" w:rsidRPr="003623E3" w:rsidRDefault="00E541EE" w:rsidP="00A84BB5">
            <w:pPr>
              <w:jc w:val="center"/>
              <w:rPr>
                <w:rFonts w:ascii="Arial" w:eastAsia="Times New Roman" w:hAnsi="Arial" w:cs="Arial"/>
                <w:color w:val="000000"/>
                <w:sz w:val="16"/>
                <w:szCs w:val="16"/>
              </w:rPr>
            </w:pPr>
            <w:r w:rsidRPr="003623E3">
              <w:rPr>
                <w:rFonts w:ascii="Arial" w:eastAsia="Times New Roman" w:hAnsi="Arial" w:cs="Arial"/>
                <w:color w:val="000000"/>
                <w:sz w:val="16"/>
                <w:szCs w:val="16"/>
              </w:rPr>
              <w:t> </w:t>
            </w:r>
          </w:p>
        </w:tc>
        <w:tc>
          <w:tcPr>
            <w:tcW w:w="464" w:type="pct"/>
            <w:tcBorders>
              <w:top w:val="nil"/>
              <w:left w:val="nil"/>
              <w:bottom w:val="single" w:sz="4" w:space="0" w:color="000000"/>
              <w:right w:val="single" w:sz="4" w:space="0" w:color="000000"/>
            </w:tcBorders>
            <w:vAlign w:val="center"/>
            <w:hideMark/>
          </w:tcPr>
          <w:p w14:paraId="1E530217" w14:textId="77777777" w:rsidR="00E541EE" w:rsidRPr="003623E3" w:rsidRDefault="00E541EE" w:rsidP="00A84BB5">
            <w:pPr>
              <w:jc w:val="center"/>
              <w:rPr>
                <w:rFonts w:ascii="Arial" w:eastAsia="Times New Roman" w:hAnsi="Arial" w:cs="Arial"/>
                <w:color w:val="000000"/>
                <w:sz w:val="16"/>
                <w:szCs w:val="16"/>
              </w:rPr>
            </w:pPr>
            <w:r w:rsidRPr="003623E3">
              <w:rPr>
                <w:rFonts w:ascii="Arial" w:eastAsia="Times New Roman" w:hAnsi="Arial" w:cs="Arial"/>
                <w:color w:val="000000"/>
                <w:sz w:val="16"/>
                <w:szCs w:val="16"/>
              </w:rPr>
              <w:t>32</w:t>
            </w:r>
          </w:p>
        </w:tc>
        <w:tc>
          <w:tcPr>
            <w:tcW w:w="968" w:type="pct"/>
            <w:tcBorders>
              <w:top w:val="nil"/>
              <w:left w:val="nil"/>
              <w:bottom w:val="single" w:sz="4" w:space="0" w:color="000000"/>
              <w:right w:val="single" w:sz="4" w:space="0" w:color="000000"/>
            </w:tcBorders>
            <w:vAlign w:val="center"/>
            <w:hideMark/>
          </w:tcPr>
          <w:p w14:paraId="7183FD20" w14:textId="77777777" w:rsidR="00E541EE" w:rsidRPr="003623E3" w:rsidRDefault="00E541EE" w:rsidP="00A84BB5">
            <w:pPr>
              <w:rPr>
                <w:rFonts w:ascii="Arial" w:eastAsia="Times New Roman" w:hAnsi="Arial" w:cs="Arial"/>
                <w:color w:val="000000"/>
                <w:sz w:val="16"/>
                <w:szCs w:val="16"/>
              </w:rPr>
            </w:pPr>
            <w:r w:rsidRPr="003623E3">
              <w:rPr>
                <w:rFonts w:ascii="Arial" w:eastAsia="Times New Roman" w:hAnsi="Arial" w:cs="Arial"/>
                <w:color w:val="000000"/>
                <w:sz w:val="16"/>
                <w:szCs w:val="16"/>
              </w:rPr>
              <w:t>Materijalni rashodi</w:t>
            </w:r>
          </w:p>
        </w:tc>
        <w:tc>
          <w:tcPr>
            <w:tcW w:w="686" w:type="pct"/>
            <w:tcBorders>
              <w:top w:val="nil"/>
              <w:left w:val="nil"/>
              <w:bottom w:val="single" w:sz="4" w:space="0" w:color="000000"/>
              <w:right w:val="single" w:sz="4" w:space="0" w:color="000000"/>
            </w:tcBorders>
            <w:vAlign w:val="center"/>
            <w:hideMark/>
          </w:tcPr>
          <w:p w14:paraId="6F92AD7B" w14:textId="77777777" w:rsidR="00E541EE" w:rsidRPr="003623E3" w:rsidRDefault="00E541EE" w:rsidP="00A84BB5">
            <w:pPr>
              <w:jc w:val="right"/>
              <w:rPr>
                <w:rFonts w:ascii="Arial" w:eastAsia="Times New Roman" w:hAnsi="Arial" w:cs="Arial"/>
                <w:color w:val="000000"/>
                <w:sz w:val="16"/>
                <w:szCs w:val="16"/>
              </w:rPr>
            </w:pPr>
            <w:r w:rsidRPr="003623E3">
              <w:rPr>
                <w:rFonts w:ascii="Arial" w:eastAsia="Times New Roman" w:hAnsi="Arial" w:cs="Arial"/>
                <w:color w:val="000000"/>
                <w:sz w:val="16"/>
                <w:szCs w:val="16"/>
              </w:rPr>
              <w:t>10.589.743,59</w:t>
            </w:r>
          </w:p>
        </w:tc>
        <w:tc>
          <w:tcPr>
            <w:tcW w:w="694" w:type="pct"/>
            <w:tcBorders>
              <w:top w:val="nil"/>
              <w:left w:val="nil"/>
              <w:bottom w:val="single" w:sz="4" w:space="0" w:color="000000"/>
              <w:right w:val="single" w:sz="4" w:space="0" w:color="000000"/>
            </w:tcBorders>
            <w:vAlign w:val="center"/>
            <w:hideMark/>
          </w:tcPr>
          <w:p w14:paraId="6916476F" w14:textId="493814CA" w:rsidR="00E541EE" w:rsidRPr="003623E3" w:rsidRDefault="00713F08" w:rsidP="00A84BB5">
            <w:pPr>
              <w:jc w:val="right"/>
              <w:rPr>
                <w:rFonts w:ascii="Arial" w:eastAsia="Times New Roman" w:hAnsi="Arial" w:cs="Arial"/>
                <w:color w:val="000000"/>
                <w:sz w:val="16"/>
                <w:szCs w:val="16"/>
              </w:rPr>
            </w:pPr>
            <w:r>
              <w:rPr>
                <w:rFonts w:ascii="Arial" w:eastAsia="Times New Roman" w:hAnsi="Arial" w:cs="Arial"/>
                <w:color w:val="000000"/>
                <w:sz w:val="16"/>
                <w:szCs w:val="16"/>
              </w:rPr>
              <w:t>10</w:t>
            </w:r>
            <w:r w:rsidR="00E541EE" w:rsidRPr="003623E3">
              <w:rPr>
                <w:rFonts w:ascii="Arial" w:eastAsia="Times New Roman" w:hAnsi="Arial" w:cs="Arial"/>
                <w:color w:val="000000"/>
                <w:sz w:val="16"/>
                <w:szCs w:val="16"/>
              </w:rPr>
              <w:t>.</w:t>
            </w:r>
            <w:r>
              <w:rPr>
                <w:rFonts w:ascii="Arial" w:eastAsia="Times New Roman" w:hAnsi="Arial" w:cs="Arial"/>
                <w:color w:val="000000"/>
                <w:sz w:val="16"/>
                <w:szCs w:val="16"/>
              </w:rPr>
              <w:t>902.141,54</w:t>
            </w:r>
          </w:p>
        </w:tc>
        <w:tc>
          <w:tcPr>
            <w:tcW w:w="686" w:type="pct"/>
            <w:tcBorders>
              <w:top w:val="nil"/>
              <w:left w:val="nil"/>
              <w:bottom w:val="single" w:sz="4" w:space="0" w:color="000000"/>
              <w:right w:val="single" w:sz="4" w:space="0" w:color="000000"/>
            </w:tcBorders>
            <w:vAlign w:val="center"/>
            <w:hideMark/>
          </w:tcPr>
          <w:p w14:paraId="16BF61FE" w14:textId="77777777" w:rsidR="00E541EE" w:rsidRPr="003623E3" w:rsidRDefault="00E541EE" w:rsidP="00A84BB5">
            <w:pPr>
              <w:jc w:val="right"/>
              <w:rPr>
                <w:rFonts w:ascii="Arial" w:eastAsia="Times New Roman" w:hAnsi="Arial" w:cs="Arial"/>
                <w:color w:val="000000"/>
                <w:sz w:val="16"/>
                <w:szCs w:val="16"/>
              </w:rPr>
            </w:pPr>
            <w:r w:rsidRPr="003623E3">
              <w:rPr>
                <w:rFonts w:ascii="Arial" w:eastAsia="Times New Roman" w:hAnsi="Arial" w:cs="Arial"/>
                <w:color w:val="000000"/>
                <w:sz w:val="16"/>
                <w:szCs w:val="16"/>
              </w:rPr>
              <w:t>10.638.760,67</w:t>
            </w:r>
          </w:p>
        </w:tc>
        <w:tc>
          <w:tcPr>
            <w:tcW w:w="686" w:type="pct"/>
            <w:tcBorders>
              <w:top w:val="nil"/>
              <w:left w:val="nil"/>
              <w:bottom w:val="single" w:sz="4" w:space="0" w:color="000000"/>
              <w:right w:val="single" w:sz="4" w:space="0" w:color="000000"/>
            </w:tcBorders>
            <w:vAlign w:val="center"/>
            <w:hideMark/>
          </w:tcPr>
          <w:p w14:paraId="471EF9A2" w14:textId="77777777" w:rsidR="00E541EE" w:rsidRPr="003623E3" w:rsidRDefault="00E541EE" w:rsidP="00A84BB5">
            <w:pPr>
              <w:jc w:val="right"/>
              <w:rPr>
                <w:rFonts w:ascii="Arial" w:eastAsia="Times New Roman" w:hAnsi="Arial" w:cs="Arial"/>
                <w:color w:val="000000"/>
                <w:sz w:val="16"/>
                <w:szCs w:val="16"/>
              </w:rPr>
            </w:pPr>
            <w:r w:rsidRPr="003623E3">
              <w:rPr>
                <w:rFonts w:ascii="Arial" w:eastAsia="Times New Roman" w:hAnsi="Arial" w:cs="Arial"/>
                <w:color w:val="000000"/>
                <w:sz w:val="16"/>
                <w:szCs w:val="16"/>
              </w:rPr>
              <w:t>10.276.881,71</w:t>
            </w:r>
          </w:p>
        </w:tc>
        <w:tc>
          <w:tcPr>
            <w:tcW w:w="400" w:type="pct"/>
            <w:tcBorders>
              <w:top w:val="nil"/>
              <w:left w:val="nil"/>
              <w:bottom w:val="single" w:sz="4" w:space="0" w:color="auto"/>
              <w:right w:val="single" w:sz="4" w:space="0" w:color="auto"/>
            </w:tcBorders>
            <w:noWrap/>
            <w:vAlign w:val="center"/>
            <w:hideMark/>
          </w:tcPr>
          <w:p w14:paraId="0A5B83B6" w14:textId="7BDD0610" w:rsidR="00E541EE" w:rsidRPr="003623E3" w:rsidRDefault="009E3961" w:rsidP="00A84BB5">
            <w:pPr>
              <w:jc w:val="right"/>
              <w:rPr>
                <w:rFonts w:ascii="Arial" w:eastAsia="Times New Roman" w:hAnsi="Arial" w:cs="Arial"/>
                <w:color w:val="000000"/>
                <w:sz w:val="16"/>
                <w:szCs w:val="16"/>
              </w:rPr>
            </w:pPr>
            <w:r>
              <w:rPr>
                <w:rFonts w:ascii="Arial" w:eastAsia="Times New Roman" w:hAnsi="Arial" w:cs="Arial"/>
                <w:color w:val="000000"/>
                <w:sz w:val="16"/>
                <w:szCs w:val="16"/>
              </w:rPr>
              <w:t>102,95</w:t>
            </w:r>
            <w:r w:rsidR="00E541EE" w:rsidRPr="003623E3">
              <w:rPr>
                <w:rFonts w:ascii="Arial" w:eastAsia="Times New Roman" w:hAnsi="Arial" w:cs="Arial"/>
                <w:color w:val="000000"/>
                <w:sz w:val="16"/>
                <w:szCs w:val="16"/>
              </w:rPr>
              <w:t xml:space="preserve">  </w:t>
            </w:r>
          </w:p>
        </w:tc>
      </w:tr>
      <w:tr w:rsidR="009E3961" w:rsidRPr="003623E3" w14:paraId="04E78F4B" w14:textId="77777777" w:rsidTr="00A84BB5">
        <w:trPr>
          <w:trHeight w:val="559"/>
        </w:trPr>
        <w:tc>
          <w:tcPr>
            <w:tcW w:w="415" w:type="pct"/>
            <w:tcBorders>
              <w:top w:val="nil"/>
              <w:left w:val="single" w:sz="4" w:space="0" w:color="000000"/>
              <w:bottom w:val="single" w:sz="4" w:space="0" w:color="000000"/>
              <w:right w:val="single" w:sz="4" w:space="0" w:color="000000"/>
            </w:tcBorders>
            <w:vAlign w:val="center"/>
            <w:hideMark/>
          </w:tcPr>
          <w:p w14:paraId="574C7C16" w14:textId="77777777" w:rsidR="00E541EE" w:rsidRPr="003623E3" w:rsidRDefault="00E541EE" w:rsidP="00A84BB5">
            <w:pPr>
              <w:jc w:val="center"/>
              <w:rPr>
                <w:rFonts w:ascii="Arial" w:eastAsia="Times New Roman" w:hAnsi="Arial" w:cs="Arial"/>
                <w:color w:val="000000"/>
                <w:sz w:val="16"/>
                <w:szCs w:val="16"/>
              </w:rPr>
            </w:pPr>
            <w:r w:rsidRPr="003623E3">
              <w:rPr>
                <w:rFonts w:ascii="Arial" w:eastAsia="Times New Roman" w:hAnsi="Arial" w:cs="Arial"/>
                <w:color w:val="000000"/>
                <w:sz w:val="16"/>
                <w:szCs w:val="16"/>
              </w:rPr>
              <w:t> </w:t>
            </w:r>
          </w:p>
        </w:tc>
        <w:tc>
          <w:tcPr>
            <w:tcW w:w="464" w:type="pct"/>
            <w:tcBorders>
              <w:top w:val="nil"/>
              <w:left w:val="nil"/>
              <w:bottom w:val="single" w:sz="4" w:space="0" w:color="000000"/>
              <w:right w:val="single" w:sz="4" w:space="0" w:color="000000"/>
            </w:tcBorders>
            <w:vAlign w:val="center"/>
            <w:hideMark/>
          </w:tcPr>
          <w:p w14:paraId="2C413F78" w14:textId="77777777" w:rsidR="00E541EE" w:rsidRPr="003623E3" w:rsidRDefault="00E541EE" w:rsidP="00A84BB5">
            <w:pPr>
              <w:jc w:val="center"/>
              <w:rPr>
                <w:rFonts w:ascii="Arial" w:eastAsia="Times New Roman" w:hAnsi="Arial" w:cs="Arial"/>
                <w:color w:val="000000"/>
                <w:sz w:val="16"/>
                <w:szCs w:val="16"/>
              </w:rPr>
            </w:pPr>
            <w:r w:rsidRPr="003623E3">
              <w:rPr>
                <w:rFonts w:ascii="Arial" w:eastAsia="Times New Roman" w:hAnsi="Arial" w:cs="Arial"/>
                <w:color w:val="000000"/>
                <w:sz w:val="16"/>
                <w:szCs w:val="16"/>
              </w:rPr>
              <w:t>34</w:t>
            </w:r>
          </w:p>
        </w:tc>
        <w:tc>
          <w:tcPr>
            <w:tcW w:w="968" w:type="pct"/>
            <w:tcBorders>
              <w:top w:val="nil"/>
              <w:left w:val="nil"/>
              <w:bottom w:val="single" w:sz="4" w:space="0" w:color="000000"/>
              <w:right w:val="single" w:sz="4" w:space="0" w:color="000000"/>
            </w:tcBorders>
            <w:vAlign w:val="center"/>
            <w:hideMark/>
          </w:tcPr>
          <w:p w14:paraId="5E2CB283" w14:textId="77777777" w:rsidR="00E541EE" w:rsidRPr="003623E3" w:rsidRDefault="00E541EE" w:rsidP="00A84BB5">
            <w:pPr>
              <w:rPr>
                <w:rFonts w:ascii="Arial" w:eastAsia="Times New Roman" w:hAnsi="Arial" w:cs="Arial"/>
                <w:color w:val="000000"/>
                <w:sz w:val="16"/>
                <w:szCs w:val="16"/>
              </w:rPr>
            </w:pPr>
            <w:r w:rsidRPr="003623E3">
              <w:rPr>
                <w:rFonts w:ascii="Arial" w:eastAsia="Times New Roman" w:hAnsi="Arial" w:cs="Arial"/>
                <w:color w:val="000000"/>
                <w:sz w:val="16"/>
                <w:szCs w:val="16"/>
              </w:rPr>
              <w:t>Financijski rashodi</w:t>
            </w:r>
          </w:p>
        </w:tc>
        <w:tc>
          <w:tcPr>
            <w:tcW w:w="686" w:type="pct"/>
            <w:tcBorders>
              <w:top w:val="nil"/>
              <w:left w:val="nil"/>
              <w:bottom w:val="single" w:sz="4" w:space="0" w:color="000000"/>
              <w:right w:val="single" w:sz="4" w:space="0" w:color="000000"/>
            </w:tcBorders>
            <w:vAlign w:val="center"/>
            <w:hideMark/>
          </w:tcPr>
          <w:p w14:paraId="73C93636" w14:textId="77777777" w:rsidR="00E541EE" w:rsidRPr="003623E3" w:rsidRDefault="00E541EE" w:rsidP="00A84BB5">
            <w:pPr>
              <w:jc w:val="right"/>
              <w:rPr>
                <w:rFonts w:ascii="Arial" w:eastAsia="Times New Roman" w:hAnsi="Arial" w:cs="Arial"/>
                <w:color w:val="000000"/>
                <w:sz w:val="16"/>
                <w:szCs w:val="16"/>
              </w:rPr>
            </w:pPr>
            <w:r w:rsidRPr="003623E3">
              <w:rPr>
                <w:rFonts w:ascii="Arial" w:eastAsia="Times New Roman" w:hAnsi="Arial" w:cs="Arial"/>
                <w:color w:val="000000"/>
                <w:sz w:val="16"/>
                <w:szCs w:val="16"/>
              </w:rPr>
              <w:t>87.538,32</w:t>
            </w:r>
          </w:p>
        </w:tc>
        <w:tc>
          <w:tcPr>
            <w:tcW w:w="694" w:type="pct"/>
            <w:tcBorders>
              <w:top w:val="nil"/>
              <w:left w:val="nil"/>
              <w:bottom w:val="single" w:sz="4" w:space="0" w:color="000000"/>
              <w:right w:val="single" w:sz="4" w:space="0" w:color="000000"/>
            </w:tcBorders>
            <w:vAlign w:val="center"/>
            <w:hideMark/>
          </w:tcPr>
          <w:p w14:paraId="0931A1AB" w14:textId="77777777" w:rsidR="00E541EE" w:rsidRPr="003623E3" w:rsidRDefault="00E541EE" w:rsidP="00A84BB5">
            <w:pPr>
              <w:jc w:val="right"/>
              <w:rPr>
                <w:rFonts w:ascii="Arial" w:eastAsia="Times New Roman" w:hAnsi="Arial" w:cs="Arial"/>
                <w:color w:val="000000"/>
                <w:sz w:val="16"/>
                <w:szCs w:val="16"/>
              </w:rPr>
            </w:pPr>
            <w:r w:rsidRPr="003623E3">
              <w:rPr>
                <w:rFonts w:ascii="Arial" w:eastAsia="Times New Roman" w:hAnsi="Arial" w:cs="Arial"/>
                <w:color w:val="000000"/>
                <w:sz w:val="16"/>
                <w:szCs w:val="16"/>
              </w:rPr>
              <w:t>87.873,32</w:t>
            </w:r>
          </w:p>
        </w:tc>
        <w:tc>
          <w:tcPr>
            <w:tcW w:w="686" w:type="pct"/>
            <w:tcBorders>
              <w:top w:val="nil"/>
              <w:left w:val="nil"/>
              <w:bottom w:val="single" w:sz="4" w:space="0" w:color="000000"/>
              <w:right w:val="single" w:sz="4" w:space="0" w:color="000000"/>
            </w:tcBorders>
            <w:vAlign w:val="center"/>
            <w:hideMark/>
          </w:tcPr>
          <w:p w14:paraId="5013CDE6" w14:textId="77777777" w:rsidR="00E541EE" w:rsidRPr="003623E3" w:rsidRDefault="00E541EE" w:rsidP="00A84BB5">
            <w:pPr>
              <w:jc w:val="right"/>
              <w:rPr>
                <w:rFonts w:ascii="Arial" w:eastAsia="Times New Roman" w:hAnsi="Arial" w:cs="Arial"/>
                <w:color w:val="000000"/>
                <w:sz w:val="16"/>
                <w:szCs w:val="16"/>
              </w:rPr>
            </w:pPr>
            <w:r w:rsidRPr="003623E3">
              <w:rPr>
                <w:rFonts w:ascii="Arial" w:eastAsia="Times New Roman" w:hAnsi="Arial" w:cs="Arial"/>
                <w:color w:val="000000"/>
                <w:sz w:val="16"/>
                <w:szCs w:val="16"/>
              </w:rPr>
              <w:t>86.997,27</w:t>
            </w:r>
          </w:p>
        </w:tc>
        <w:tc>
          <w:tcPr>
            <w:tcW w:w="686" w:type="pct"/>
            <w:tcBorders>
              <w:top w:val="nil"/>
              <w:left w:val="nil"/>
              <w:bottom w:val="single" w:sz="4" w:space="0" w:color="000000"/>
              <w:right w:val="single" w:sz="4" w:space="0" w:color="000000"/>
            </w:tcBorders>
            <w:vAlign w:val="center"/>
            <w:hideMark/>
          </w:tcPr>
          <w:p w14:paraId="22CED3E9" w14:textId="77777777" w:rsidR="00E541EE" w:rsidRPr="003623E3" w:rsidRDefault="00E541EE" w:rsidP="00A84BB5">
            <w:pPr>
              <w:jc w:val="right"/>
              <w:rPr>
                <w:rFonts w:ascii="Arial" w:eastAsia="Times New Roman" w:hAnsi="Arial" w:cs="Arial"/>
                <w:color w:val="000000"/>
                <w:sz w:val="16"/>
                <w:szCs w:val="16"/>
              </w:rPr>
            </w:pPr>
            <w:r w:rsidRPr="003623E3">
              <w:rPr>
                <w:rFonts w:ascii="Arial" w:eastAsia="Times New Roman" w:hAnsi="Arial" w:cs="Arial"/>
                <w:color w:val="000000"/>
                <w:sz w:val="16"/>
                <w:szCs w:val="16"/>
              </w:rPr>
              <w:t>87.586,87</w:t>
            </w:r>
          </w:p>
        </w:tc>
        <w:tc>
          <w:tcPr>
            <w:tcW w:w="400" w:type="pct"/>
            <w:tcBorders>
              <w:top w:val="nil"/>
              <w:left w:val="nil"/>
              <w:bottom w:val="single" w:sz="4" w:space="0" w:color="auto"/>
              <w:right w:val="single" w:sz="4" w:space="0" w:color="auto"/>
            </w:tcBorders>
            <w:noWrap/>
            <w:vAlign w:val="center"/>
            <w:hideMark/>
          </w:tcPr>
          <w:p w14:paraId="73A465F0" w14:textId="77777777" w:rsidR="00E541EE" w:rsidRPr="003623E3" w:rsidRDefault="00E541EE" w:rsidP="00A84BB5">
            <w:pPr>
              <w:jc w:val="right"/>
              <w:rPr>
                <w:rFonts w:ascii="Arial" w:eastAsia="Times New Roman" w:hAnsi="Arial" w:cs="Arial"/>
                <w:color w:val="000000"/>
                <w:sz w:val="16"/>
                <w:szCs w:val="16"/>
              </w:rPr>
            </w:pPr>
            <w:r w:rsidRPr="003623E3">
              <w:rPr>
                <w:rFonts w:ascii="Arial" w:eastAsia="Times New Roman" w:hAnsi="Arial" w:cs="Arial"/>
                <w:color w:val="000000"/>
                <w:sz w:val="16"/>
                <w:szCs w:val="16"/>
              </w:rPr>
              <w:t xml:space="preserve">100,38   </w:t>
            </w:r>
          </w:p>
        </w:tc>
      </w:tr>
      <w:tr w:rsidR="009E3961" w:rsidRPr="003623E3" w14:paraId="46489D26" w14:textId="77777777" w:rsidTr="00A84BB5">
        <w:trPr>
          <w:trHeight w:val="425"/>
        </w:trPr>
        <w:tc>
          <w:tcPr>
            <w:tcW w:w="415" w:type="pct"/>
            <w:tcBorders>
              <w:top w:val="nil"/>
              <w:left w:val="single" w:sz="4" w:space="0" w:color="000000"/>
              <w:bottom w:val="single" w:sz="4" w:space="0" w:color="000000"/>
              <w:right w:val="single" w:sz="4" w:space="0" w:color="000000"/>
            </w:tcBorders>
            <w:vAlign w:val="center"/>
            <w:hideMark/>
          </w:tcPr>
          <w:p w14:paraId="4270E153" w14:textId="77777777" w:rsidR="00E541EE" w:rsidRPr="003623E3" w:rsidRDefault="00E541EE" w:rsidP="00A84BB5">
            <w:pPr>
              <w:jc w:val="center"/>
              <w:rPr>
                <w:rFonts w:ascii="Arial" w:eastAsia="Times New Roman" w:hAnsi="Arial" w:cs="Arial"/>
                <w:color w:val="000000"/>
                <w:sz w:val="16"/>
                <w:szCs w:val="16"/>
              </w:rPr>
            </w:pPr>
            <w:r w:rsidRPr="003623E3">
              <w:rPr>
                <w:rFonts w:ascii="Arial" w:eastAsia="Times New Roman" w:hAnsi="Arial" w:cs="Arial"/>
                <w:color w:val="000000"/>
                <w:sz w:val="16"/>
                <w:szCs w:val="16"/>
              </w:rPr>
              <w:t> </w:t>
            </w:r>
          </w:p>
        </w:tc>
        <w:tc>
          <w:tcPr>
            <w:tcW w:w="464" w:type="pct"/>
            <w:tcBorders>
              <w:top w:val="nil"/>
              <w:left w:val="nil"/>
              <w:bottom w:val="single" w:sz="4" w:space="0" w:color="000000"/>
              <w:right w:val="single" w:sz="4" w:space="0" w:color="000000"/>
            </w:tcBorders>
            <w:vAlign w:val="center"/>
            <w:hideMark/>
          </w:tcPr>
          <w:p w14:paraId="7F810604" w14:textId="77777777" w:rsidR="00E541EE" w:rsidRPr="003623E3" w:rsidRDefault="00E541EE" w:rsidP="00A84BB5">
            <w:pPr>
              <w:jc w:val="center"/>
              <w:rPr>
                <w:rFonts w:ascii="Arial" w:eastAsia="Times New Roman" w:hAnsi="Arial" w:cs="Arial"/>
                <w:color w:val="000000"/>
                <w:sz w:val="16"/>
                <w:szCs w:val="16"/>
              </w:rPr>
            </w:pPr>
            <w:r w:rsidRPr="003623E3">
              <w:rPr>
                <w:rFonts w:ascii="Arial" w:eastAsia="Times New Roman" w:hAnsi="Arial" w:cs="Arial"/>
                <w:color w:val="000000"/>
                <w:sz w:val="16"/>
                <w:szCs w:val="16"/>
              </w:rPr>
              <w:t>35</w:t>
            </w:r>
          </w:p>
        </w:tc>
        <w:tc>
          <w:tcPr>
            <w:tcW w:w="968" w:type="pct"/>
            <w:tcBorders>
              <w:top w:val="nil"/>
              <w:left w:val="nil"/>
              <w:bottom w:val="single" w:sz="4" w:space="0" w:color="000000"/>
              <w:right w:val="single" w:sz="4" w:space="0" w:color="000000"/>
            </w:tcBorders>
            <w:vAlign w:val="center"/>
            <w:hideMark/>
          </w:tcPr>
          <w:p w14:paraId="13D0B1A1" w14:textId="77777777" w:rsidR="00E541EE" w:rsidRPr="003623E3" w:rsidRDefault="00E541EE" w:rsidP="00A84BB5">
            <w:pPr>
              <w:rPr>
                <w:rFonts w:ascii="Arial" w:eastAsia="Times New Roman" w:hAnsi="Arial" w:cs="Arial"/>
                <w:color w:val="000000"/>
                <w:sz w:val="16"/>
                <w:szCs w:val="16"/>
              </w:rPr>
            </w:pPr>
            <w:r w:rsidRPr="003623E3">
              <w:rPr>
                <w:rFonts w:ascii="Arial" w:eastAsia="Times New Roman" w:hAnsi="Arial" w:cs="Arial"/>
                <w:color w:val="000000"/>
                <w:sz w:val="16"/>
                <w:szCs w:val="16"/>
              </w:rPr>
              <w:t>Subvencije</w:t>
            </w:r>
          </w:p>
        </w:tc>
        <w:tc>
          <w:tcPr>
            <w:tcW w:w="686" w:type="pct"/>
            <w:tcBorders>
              <w:top w:val="nil"/>
              <w:left w:val="nil"/>
              <w:bottom w:val="single" w:sz="4" w:space="0" w:color="000000"/>
              <w:right w:val="single" w:sz="4" w:space="0" w:color="000000"/>
            </w:tcBorders>
            <w:vAlign w:val="center"/>
            <w:hideMark/>
          </w:tcPr>
          <w:p w14:paraId="483B2FCD" w14:textId="77777777" w:rsidR="00E541EE" w:rsidRPr="003623E3" w:rsidRDefault="00E541EE" w:rsidP="00A84BB5">
            <w:pPr>
              <w:jc w:val="right"/>
              <w:rPr>
                <w:rFonts w:ascii="Arial" w:eastAsia="Times New Roman" w:hAnsi="Arial" w:cs="Arial"/>
                <w:color w:val="000000"/>
                <w:sz w:val="16"/>
                <w:szCs w:val="16"/>
              </w:rPr>
            </w:pPr>
            <w:r w:rsidRPr="003623E3">
              <w:rPr>
                <w:rFonts w:ascii="Arial" w:eastAsia="Times New Roman" w:hAnsi="Arial" w:cs="Arial"/>
                <w:color w:val="000000"/>
                <w:sz w:val="16"/>
                <w:szCs w:val="16"/>
              </w:rPr>
              <w:t>828.201,73</w:t>
            </w:r>
          </w:p>
        </w:tc>
        <w:tc>
          <w:tcPr>
            <w:tcW w:w="694" w:type="pct"/>
            <w:tcBorders>
              <w:top w:val="nil"/>
              <w:left w:val="nil"/>
              <w:bottom w:val="single" w:sz="4" w:space="0" w:color="000000"/>
              <w:right w:val="single" w:sz="4" w:space="0" w:color="000000"/>
            </w:tcBorders>
            <w:vAlign w:val="center"/>
            <w:hideMark/>
          </w:tcPr>
          <w:p w14:paraId="21A59BCC" w14:textId="77777777" w:rsidR="00E541EE" w:rsidRPr="003623E3" w:rsidRDefault="00E541EE" w:rsidP="00A84BB5">
            <w:pPr>
              <w:jc w:val="right"/>
              <w:rPr>
                <w:rFonts w:ascii="Arial" w:eastAsia="Times New Roman" w:hAnsi="Arial" w:cs="Arial"/>
                <w:color w:val="000000"/>
                <w:sz w:val="16"/>
                <w:szCs w:val="16"/>
              </w:rPr>
            </w:pPr>
            <w:r w:rsidRPr="003623E3">
              <w:rPr>
                <w:rFonts w:ascii="Arial" w:eastAsia="Times New Roman" w:hAnsi="Arial" w:cs="Arial"/>
                <w:color w:val="000000"/>
                <w:sz w:val="16"/>
                <w:szCs w:val="16"/>
              </w:rPr>
              <w:t>928.451,73</w:t>
            </w:r>
          </w:p>
        </w:tc>
        <w:tc>
          <w:tcPr>
            <w:tcW w:w="686" w:type="pct"/>
            <w:tcBorders>
              <w:top w:val="nil"/>
              <w:left w:val="nil"/>
              <w:bottom w:val="single" w:sz="4" w:space="0" w:color="000000"/>
              <w:right w:val="single" w:sz="4" w:space="0" w:color="000000"/>
            </w:tcBorders>
            <w:vAlign w:val="center"/>
            <w:hideMark/>
          </w:tcPr>
          <w:p w14:paraId="6956B028" w14:textId="77777777" w:rsidR="00E541EE" w:rsidRPr="003623E3" w:rsidRDefault="00E541EE" w:rsidP="00A84BB5">
            <w:pPr>
              <w:jc w:val="right"/>
              <w:rPr>
                <w:rFonts w:ascii="Arial" w:eastAsia="Times New Roman" w:hAnsi="Arial" w:cs="Arial"/>
                <w:color w:val="000000"/>
                <w:sz w:val="16"/>
                <w:szCs w:val="16"/>
              </w:rPr>
            </w:pPr>
            <w:r w:rsidRPr="003623E3">
              <w:rPr>
                <w:rFonts w:ascii="Arial" w:eastAsia="Times New Roman" w:hAnsi="Arial" w:cs="Arial"/>
                <w:color w:val="000000"/>
                <w:sz w:val="16"/>
                <w:szCs w:val="16"/>
              </w:rPr>
              <w:t>1.021.130,00</w:t>
            </w:r>
          </w:p>
        </w:tc>
        <w:tc>
          <w:tcPr>
            <w:tcW w:w="686" w:type="pct"/>
            <w:tcBorders>
              <w:top w:val="nil"/>
              <w:left w:val="nil"/>
              <w:bottom w:val="single" w:sz="4" w:space="0" w:color="000000"/>
              <w:right w:val="single" w:sz="4" w:space="0" w:color="000000"/>
            </w:tcBorders>
            <w:vAlign w:val="center"/>
            <w:hideMark/>
          </w:tcPr>
          <w:p w14:paraId="3DB0E093" w14:textId="77777777" w:rsidR="00E541EE" w:rsidRPr="003623E3" w:rsidRDefault="00E541EE" w:rsidP="00A84BB5">
            <w:pPr>
              <w:jc w:val="right"/>
              <w:rPr>
                <w:rFonts w:ascii="Arial" w:eastAsia="Times New Roman" w:hAnsi="Arial" w:cs="Arial"/>
                <w:color w:val="000000"/>
                <w:sz w:val="16"/>
                <w:szCs w:val="16"/>
              </w:rPr>
            </w:pPr>
            <w:r w:rsidRPr="003623E3">
              <w:rPr>
                <w:rFonts w:ascii="Arial" w:eastAsia="Times New Roman" w:hAnsi="Arial" w:cs="Arial"/>
                <w:color w:val="000000"/>
                <w:sz w:val="16"/>
                <w:szCs w:val="16"/>
              </w:rPr>
              <w:t>1.046.390,00</w:t>
            </w:r>
          </w:p>
        </w:tc>
        <w:tc>
          <w:tcPr>
            <w:tcW w:w="400" w:type="pct"/>
            <w:tcBorders>
              <w:top w:val="nil"/>
              <w:left w:val="nil"/>
              <w:bottom w:val="single" w:sz="4" w:space="0" w:color="auto"/>
              <w:right w:val="single" w:sz="4" w:space="0" w:color="auto"/>
            </w:tcBorders>
            <w:noWrap/>
            <w:vAlign w:val="center"/>
            <w:hideMark/>
          </w:tcPr>
          <w:p w14:paraId="45A42C69" w14:textId="77777777" w:rsidR="00E541EE" w:rsidRPr="003623E3" w:rsidRDefault="00E541EE" w:rsidP="00A84BB5">
            <w:pPr>
              <w:jc w:val="right"/>
              <w:rPr>
                <w:rFonts w:ascii="Arial" w:eastAsia="Times New Roman" w:hAnsi="Arial" w:cs="Arial"/>
                <w:color w:val="000000"/>
                <w:sz w:val="16"/>
                <w:szCs w:val="16"/>
              </w:rPr>
            </w:pPr>
            <w:r w:rsidRPr="003623E3">
              <w:rPr>
                <w:rFonts w:ascii="Arial" w:eastAsia="Times New Roman" w:hAnsi="Arial" w:cs="Arial"/>
                <w:color w:val="000000"/>
                <w:sz w:val="16"/>
                <w:szCs w:val="16"/>
              </w:rPr>
              <w:t xml:space="preserve">112,10   </w:t>
            </w:r>
          </w:p>
        </w:tc>
      </w:tr>
      <w:tr w:rsidR="009E3961" w:rsidRPr="003623E3" w14:paraId="57498FC3" w14:textId="77777777" w:rsidTr="00A84BB5">
        <w:trPr>
          <w:trHeight w:val="620"/>
        </w:trPr>
        <w:tc>
          <w:tcPr>
            <w:tcW w:w="415" w:type="pct"/>
            <w:tcBorders>
              <w:top w:val="nil"/>
              <w:left w:val="single" w:sz="4" w:space="0" w:color="000000"/>
              <w:bottom w:val="single" w:sz="4" w:space="0" w:color="000000"/>
              <w:right w:val="single" w:sz="4" w:space="0" w:color="000000"/>
            </w:tcBorders>
            <w:vAlign w:val="center"/>
            <w:hideMark/>
          </w:tcPr>
          <w:p w14:paraId="6AC18EF2" w14:textId="77777777" w:rsidR="00E541EE" w:rsidRPr="003623E3" w:rsidRDefault="00E541EE" w:rsidP="00A84BB5">
            <w:pPr>
              <w:jc w:val="center"/>
              <w:rPr>
                <w:rFonts w:ascii="Arial" w:eastAsia="Times New Roman" w:hAnsi="Arial" w:cs="Arial"/>
                <w:color w:val="000000"/>
                <w:sz w:val="16"/>
                <w:szCs w:val="16"/>
              </w:rPr>
            </w:pPr>
            <w:r w:rsidRPr="003623E3">
              <w:rPr>
                <w:rFonts w:ascii="Arial" w:eastAsia="Times New Roman" w:hAnsi="Arial" w:cs="Arial"/>
                <w:color w:val="000000"/>
                <w:sz w:val="16"/>
                <w:szCs w:val="16"/>
              </w:rPr>
              <w:t> </w:t>
            </w:r>
          </w:p>
        </w:tc>
        <w:tc>
          <w:tcPr>
            <w:tcW w:w="464" w:type="pct"/>
            <w:tcBorders>
              <w:top w:val="nil"/>
              <w:left w:val="nil"/>
              <w:bottom w:val="single" w:sz="4" w:space="0" w:color="000000"/>
              <w:right w:val="single" w:sz="4" w:space="0" w:color="000000"/>
            </w:tcBorders>
            <w:vAlign w:val="center"/>
            <w:hideMark/>
          </w:tcPr>
          <w:p w14:paraId="1E95D972" w14:textId="77777777" w:rsidR="00E541EE" w:rsidRPr="003623E3" w:rsidRDefault="00E541EE" w:rsidP="00A84BB5">
            <w:pPr>
              <w:jc w:val="center"/>
              <w:rPr>
                <w:rFonts w:ascii="Arial" w:eastAsia="Times New Roman" w:hAnsi="Arial" w:cs="Arial"/>
                <w:color w:val="000000"/>
                <w:sz w:val="16"/>
                <w:szCs w:val="16"/>
              </w:rPr>
            </w:pPr>
            <w:r w:rsidRPr="003623E3">
              <w:rPr>
                <w:rFonts w:ascii="Arial" w:eastAsia="Times New Roman" w:hAnsi="Arial" w:cs="Arial"/>
                <w:color w:val="000000"/>
                <w:sz w:val="16"/>
                <w:szCs w:val="16"/>
              </w:rPr>
              <w:t>36</w:t>
            </w:r>
          </w:p>
        </w:tc>
        <w:tc>
          <w:tcPr>
            <w:tcW w:w="968" w:type="pct"/>
            <w:tcBorders>
              <w:top w:val="nil"/>
              <w:left w:val="nil"/>
              <w:bottom w:val="single" w:sz="4" w:space="0" w:color="000000"/>
              <w:right w:val="single" w:sz="4" w:space="0" w:color="000000"/>
            </w:tcBorders>
            <w:vAlign w:val="center"/>
            <w:hideMark/>
          </w:tcPr>
          <w:p w14:paraId="75C3A3BB" w14:textId="77777777" w:rsidR="00E541EE" w:rsidRPr="003623E3" w:rsidRDefault="00E541EE" w:rsidP="00A84BB5">
            <w:pPr>
              <w:rPr>
                <w:rFonts w:ascii="Arial" w:eastAsia="Times New Roman" w:hAnsi="Arial" w:cs="Arial"/>
                <w:color w:val="000000"/>
                <w:sz w:val="16"/>
                <w:szCs w:val="16"/>
              </w:rPr>
            </w:pPr>
            <w:r w:rsidRPr="003623E3">
              <w:rPr>
                <w:rFonts w:ascii="Arial" w:eastAsia="Times New Roman" w:hAnsi="Arial" w:cs="Arial"/>
                <w:color w:val="000000"/>
                <w:sz w:val="16"/>
                <w:szCs w:val="16"/>
              </w:rPr>
              <w:t>Pomoći dane u inozemstvo i unutar općeg proračuna</w:t>
            </w:r>
          </w:p>
        </w:tc>
        <w:tc>
          <w:tcPr>
            <w:tcW w:w="686" w:type="pct"/>
            <w:tcBorders>
              <w:top w:val="nil"/>
              <w:left w:val="nil"/>
              <w:bottom w:val="single" w:sz="4" w:space="0" w:color="000000"/>
              <w:right w:val="single" w:sz="4" w:space="0" w:color="000000"/>
            </w:tcBorders>
            <w:vAlign w:val="center"/>
            <w:hideMark/>
          </w:tcPr>
          <w:p w14:paraId="6D6D3B69" w14:textId="77777777" w:rsidR="00E541EE" w:rsidRPr="003623E3" w:rsidRDefault="00E541EE" w:rsidP="00A84BB5">
            <w:pPr>
              <w:jc w:val="right"/>
              <w:rPr>
                <w:rFonts w:ascii="Arial" w:eastAsia="Times New Roman" w:hAnsi="Arial" w:cs="Arial"/>
                <w:color w:val="000000"/>
                <w:sz w:val="16"/>
                <w:szCs w:val="16"/>
              </w:rPr>
            </w:pPr>
            <w:r w:rsidRPr="003623E3">
              <w:rPr>
                <w:rFonts w:ascii="Arial" w:eastAsia="Times New Roman" w:hAnsi="Arial" w:cs="Arial"/>
                <w:color w:val="000000"/>
                <w:sz w:val="16"/>
                <w:szCs w:val="16"/>
              </w:rPr>
              <w:t>1.361.518,04</w:t>
            </w:r>
          </w:p>
        </w:tc>
        <w:tc>
          <w:tcPr>
            <w:tcW w:w="694" w:type="pct"/>
            <w:tcBorders>
              <w:top w:val="nil"/>
              <w:left w:val="nil"/>
              <w:bottom w:val="single" w:sz="4" w:space="0" w:color="000000"/>
              <w:right w:val="single" w:sz="4" w:space="0" w:color="000000"/>
            </w:tcBorders>
            <w:vAlign w:val="center"/>
            <w:hideMark/>
          </w:tcPr>
          <w:p w14:paraId="128D1C5D" w14:textId="77777777" w:rsidR="00E541EE" w:rsidRPr="003623E3" w:rsidRDefault="00E541EE" w:rsidP="00A84BB5">
            <w:pPr>
              <w:jc w:val="right"/>
              <w:rPr>
                <w:rFonts w:ascii="Arial" w:eastAsia="Times New Roman" w:hAnsi="Arial" w:cs="Arial"/>
                <w:color w:val="000000"/>
                <w:sz w:val="16"/>
                <w:szCs w:val="16"/>
              </w:rPr>
            </w:pPr>
            <w:r>
              <w:rPr>
                <w:rFonts w:ascii="Arial" w:eastAsia="Times New Roman" w:hAnsi="Arial" w:cs="Arial"/>
                <w:color w:val="000000"/>
                <w:sz w:val="16"/>
                <w:szCs w:val="16"/>
              </w:rPr>
              <w:t>923</w:t>
            </w:r>
            <w:r w:rsidRPr="003623E3">
              <w:rPr>
                <w:rFonts w:ascii="Arial" w:eastAsia="Times New Roman" w:hAnsi="Arial" w:cs="Arial"/>
                <w:color w:val="000000"/>
                <w:sz w:val="16"/>
                <w:szCs w:val="16"/>
              </w:rPr>
              <w:t>.</w:t>
            </w:r>
            <w:r>
              <w:rPr>
                <w:rFonts w:ascii="Arial" w:eastAsia="Times New Roman" w:hAnsi="Arial" w:cs="Arial"/>
                <w:color w:val="000000"/>
                <w:sz w:val="16"/>
                <w:szCs w:val="16"/>
              </w:rPr>
              <w:t>382,37</w:t>
            </w:r>
          </w:p>
        </w:tc>
        <w:tc>
          <w:tcPr>
            <w:tcW w:w="686" w:type="pct"/>
            <w:tcBorders>
              <w:top w:val="nil"/>
              <w:left w:val="nil"/>
              <w:bottom w:val="single" w:sz="4" w:space="0" w:color="000000"/>
              <w:right w:val="single" w:sz="4" w:space="0" w:color="000000"/>
            </w:tcBorders>
            <w:vAlign w:val="center"/>
            <w:hideMark/>
          </w:tcPr>
          <w:p w14:paraId="4A85E0F2" w14:textId="77777777" w:rsidR="00E541EE" w:rsidRPr="003623E3" w:rsidRDefault="00E541EE" w:rsidP="00A84BB5">
            <w:pPr>
              <w:jc w:val="right"/>
              <w:rPr>
                <w:rFonts w:ascii="Arial" w:eastAsia="Times New Roman" w:hAnsi="Arial" w:cs="Arial"/>
                <w:color w:val="000000"/>
                <w:sz w:val="16"/>
                <w:szCs w:val="16"/>
              </w:rPr>
            </w:pPr>
            <w:r w:rsidRPr="003623E3">
              <w:rPr>
                <w:rFonts w:ascii="Arial" w:eastAsia="Times New Roman" w:hAnsi="Arial" w:cs="Arial"/>
                <w:color w:val="000000"/>
                <w:sz w:val="16"/>
                <w:szCs w:val="16"/>
              </w:rPr>
              <w:t>850.748,00</w:t>
            </w:r>
          </w:p>
        </w:tc>
        <w:tc>
          <w:tcPr>
            <w:tcW w:w="686" w:type="pct"/>
            <w:tcBorders>
              <w:top w:val="nil"/>
              <w:left w:val="nil"/>
              <w:bottom w:val="single" w:sz="4" w:space="0" w:color="000000"/>
              <w:right w:val="single" w:sz="4" w:space="0" w:color="000000"/>
            </w:tcBorders>
            <w:vAlign w:val="center"/>
            <w:hideMark/>
          </w:tcPr>
          <w:p w14:paraId="0D13707F" w14:textId="77777777" w:rsidR="00E541EE" w:rsidRPr="003623E3" w:rsidRDefault="00E541EE" w:rsidP="00A84BB5">
            <w:pPr>
              <w:jc w:val="right"/>
              <w:rPr>
                <w:rFonts w:ascii="Arial" w:eastAsia="Times New Roman" w:hAnsi="Arial" w:cs="Arial"/>
                <w:color w:val="000000"/>
                <w:sz w:val="16"/>
                <w:szCs w:val="16"/>
              </w:rPr>
            </w:pPr>
            <w:r w:rsidRPr="003623E3">
              <w:rPr>
                <w:rFonts w:ascii="Arial" w:eastAsia="Times New Roman" w:hAnsi="Arial" w:cs="Arial"/>
                <w:color w:val="000000"/>
                <w:sz w:val="16"/>
                <w:szCs w:val="16"/>
              </w:rPr>
              <w:t>766.592,00</w:t>
            </w:r>
          </w:p>
        </w:tc>
        <w:tc>
          <w:tcPr>
            <w:tcW w:w="400" w:type="pct"/>
            <w:tcBorders>
              <w:top w:val="nil"/>
              <w:left w:val="nil"/>
              <w:bottom w:val="single" w:sz="4" w:space="0" w:color="auto"/>
              <w:right w:val="single" w:sz="4" w:space="0" w:color="auto"/>
            </w:tcBorders>
            <w:noWrap/>
            <w:vAlign w:val="center"/>
            <w:hideMark/>
          </w:tcPr>
          <w:p w14:paraId="3DCF5DAD" w14:textId="3565F5C7" w:rsidR="00E541EE" w:rsidRPr="003623E3" w:rsidRDefault="009E3961" w:rsidP="00A84BB5">
            <w:pPr>
              <w:jc w:val="right"/>
              <w:rPr>
                <w:rFonts w:ascii="Arial" w:eastAsia="Times New Roman" w:hAnsi="Arial" w:cs="Arial"/>
                <w:color w:val="000000"/>
                <w:sz w:val="16"/>
                <w:szCs w:val="16"/>
              </w:rPr>
            </w:pPr>
            <w:r>
              <w:rPr>
                <w:rFonts w:ascii="Arial" w:eastAsia="Times New Roman" w:hAnsi="Arial" w:cs="Arial"/>
                <w:color w:val="000000"/>
                <w:sz w:val="16"/>
                <w:szCs w:val="16"/>
              </w:rPr>
              <w:t>67,82</w:t>
            </w:r>
            <w:r w:rsidR="00E541EE" w:rsidRPr="003623E3">
              <w:rPr>
                <w:rFonts w:ascii="Arial" w:eastAsia="Times New Roman" w:hAnsi="Arial" w:cs="Arial"/>
                <w:color w:val="000000"/>
                <w:sz w:val="16"/>
                <w:szCs w:val="16"/>
              </w:rPr>
              <w:t xml:space="preserve">   </w:t>
            </w:r>
          </w:p>
        </w:tc>
      </w:tr>
      <w:tr w:rsidR="009E3961" w:rsidRPr="003623E3" w14:paraId="3EC5CA17" w14:textId="77777777" w:rsidTr="00A84BB5">
        <w:trPr>
          <w:trHeight w:val="842"/>
        </w:trPr>
        <w:tc>
          <w:tcPr>
            <w:tcW w:w="415" w:type="pct"/>
            <w:tcBorders>
              <w:top w:val="nil"/>
              <w:left w:val="single" w:sz="4" w:space="0" w:color="000000"/>
              <w:bottom w:val="single" w:sz="4" w:space="0" w:color="000000"/>
              <w:right w:val="single" w:sz="4" w:space="0" w:color="000000"/>
            </w:tcBorders>
            <w:vAlign w:val="center"/>
            <w:hideMark/>
          </w:tcPr>
          <w:p w14:paraId="3C1D047B" w14:textId="77777777" w:rsidR="00E541EE" w:rsidRPr="003623E3" w:rsidRDefault="00E541EE" w:rsidP="00A84BB5">
            <w:pPr>
              <w:jc w:val="center"/>
              <w:rPr>
                <w:rFonts w:ascii="Arial" w:eastAsia="Times New Roman" w:hAnsi="Arial" w:cs="Arial"/>
                <w:color w:val="000000"/>
                <w:sz w:val="16"/>
                <w:szCs w:val="16"/>
              </w:rPr>
            </w:pPr>
            <w:r w:rsidRPr="003623E3">
              <w:rPr>
                <w:rFonts w:ascii="Arial" w:eastAsia="Times New Roman" w:hAnsi="Arial" w:cs="Arial"/>
                <w:color w:val="000000"/>
                <w:sz w:val="16"/>
                <w:szCs w:val="16"/>
              </w:rPr>
              <w:t> </w:t>
            </w:r>
          </w:p>
        </w:tc>
        <w:tc>
          <w:tcPr>
            <w:tcW w:w="464" w:type="pct"/>
            <w:tcBorders>
              <w:top w:val="nil"/>
              <w:left w:val="nil"/>
              <w:bottom w:val="single" w:sz="4" w:space="0" w:color="000000"/>
              <w:right w:val="single" w:sz="4" w:space="0" w:color="000000"/>
            </w:tcBorders>
            <w:vAlign w:val="center"/>
            <w:hideMark/>
          </w:tcPr>
          <w:p w14:paraId="4041B7F4" w14:textId="77777777" w:rsidR="00E541EE" w:rsidRPr="003623E3" w:rsidRDefault="00E541EE" w:rsidP="00A84BB5">
            <w:pPr>
              <w:jc w:val="center"/>
              <w:rPr>
                <w:rFonts w:ascii="Arial" w:eastAsia="Times New Roman" w:hAnsi="Arial" w:cs="Arial"/>
                <w:color w:val="000000"/>
                <w:sz w:val="16"/>
                <w:szCs w:val="16"/>
              </w:rPr>
            </w:pPr>
            <w:r w:rsidRPr="003623E3">
              <w:rPr>
                <w:rFonts w:ascii="Arial" w:eastAsia="Times New Roman" w:hAnsi="Arial" w:cs="Arial"/>
                <w:color w:val="000000"/>
                <w:sz w:val="16"/>
                <w:szCs w:val="16"/>
              </w:rPr>
              <w:t>37</w:t>
            </w:r>
          </w:p>
        </w:tc>
        <w:tc>
          <w:tcPr>
            <w:tcW w:w="968" w:type="pct"/>
            <w:tcBorders>
              <w:top w:val="nil"/>
              <w:left w:val="nil"/>
              <w:bottom w:val="single" w:sz="4" w:space="0" w:color="000000"/>
              <w:right w:val="single" w:sz="4" w:space="0" w:color="000000"/>
            </w:tcBorders>
            <w:vAlign w:val="center"/>
            <w:hideMark/>
          </w:tcPr>
          <w:p w14:paraId="343ADA3E" w14:textId="77777777" w:rsidR="00E541EE" w:rsidRPr="003623E3" w:rsidRDefault="00E541EE" w:rsidP="00A84BB5">
            <w:pPr>
              <w:rPr>
                <w:rFonts w:ascii="Arial" w:eastAsia="Times New Roman" w:hAnsi="Arial" w:cs="Arial"/>
                <w:color w:val="000000"/>
                <w:sz w:val="16"/>
                <w:szCs w:val="16"/>
              </w:rPr>
            </w:pPr>
            <w:r w:rsidRPr="003623E3">
              <w:rPr>
                <w:rFonts w:ascii="Arial" w:eastAsia="Times New Roman" w:hAnsi="Arial" w:cs="Arial"/>
                <w:color w:val="000000"/>
                <w:sz w:val="16"/>
                <w:szCs w:val="16"/>
              </w:rPr>
              <w:t>Naknade građanima i kućanstvima na temelju osiguranja i druge naknade</w:t>
            </w:r>
          </w:p>
        </w:tc>
        <w:tc>
          <w:tcPr>
            <w:tcW w:w="686" w:type="pct"/>
            <w:tcBorders>
              <w:top w:val="nil"/>
              <w:left w:val="nil"/>
              <w:bottom w:val="single" w:sz="4" w:space="0" w:color="000000"/>
              <w:right w:val="single" w:sz="4" w:space="0" w:color="000000"/>
            </w:tcBorders>
            <w:vAlign w:val="center"/>
            <w:hideMark/>
          </w:tcPr>
          <w:p w14:paraId="50D344C1" w14:textId="77777777" w:rsidR="00E541EE" w:rsidRPr="003623E3" w:rsidRDefault="00E541EE" w:rsidP="00A84BB5">
            <w:pPr>
              <w:jc w:val="right"/>
              <w:rPr>
                <w:rFonts w:ascii="Arial" w:eastAsia="Times New Roman" w:hAnsi="Arial" w:cs="Arial"/>
                <w:color w:val="000000"/>
                <w:sz w:val="16"/>
                <w:szCs w:val="16"/>
              </w:rPr>
            </w:pPr>
            <w:r w:rsidRPr="003623E3">
              <w:rPr>
                <w:rFonts w:ascii="Arial" w:eastAsia="Times New Roman" w:hAnsi="Arial" w:cs="Arial"/>
                <w:color w:val="000000"/>
                <w:sz w:val="16"/>
                <w:szCs w:val="16"/>
              </w:rPr>
              <w:t>1.086.750,00</w:t>
            </w:r>
          </w:p>
        </w:tc>
        <w:tc>
          <w:tcPr>
            <w:tcW w:w="694" w:type="pct"/>
            <w:tcBorders>
              <w:top w:val="nil"/>
              <w:left w:val="nil"/>
              <w:bottom w:val="single" w:sz="4" w:space="0" w:color="000000"/>
              <w:right w:val="single" w:sz="4" w:space="0" w:color="000000"/>
            </w:tcBorders>
            <w:vAlign w:val="center"/>
            <w:hideMark/>
          </w:tcPr>
          <w:p w14:paraId="54017DD9" w14:textId="77777777" w:rsidR="00E541EE" w:rsidRPr="003623E3" w:rsidRDefault="00E541EE" w:rsidP="00A84BB5">
            <w:pPr>
              <w:jc w:val="right"/>
              <w:rPr>
                <w:rFonts w:ascii="Arial" w:eastAsia="Times New Roman" w:hAnsi="Arial" w:cs="Arial"/>
                <w:color w:val="000000"/>
                <w:sz w:val="16"/>
                <w:szCs w:val="16"/>
              </w:rPr>
            </w:pPr>
            <w:r w:rsidRPr="003623E3">
              <w:rPr>
                <w:rFonts w:ascii="Arial" w:eastAsia="Times New Roman" w:hAnsi="Arial" w:cs="Arial"/>
                <w:color w:val="000000"/>
                <w:sz w:val="16"/>
                <w:szCs w:val="16"/>
              </w:rPr>
              <w:t>1.</w:t>
            </w:r>
            <w:r>
              <w:rPr>
                <w:rFonts w:ascii="Arial" w:eastAsia="Times New Roman" w:hAnsi="Arial" w:cs="Arial"/>
                <w:color w:val="000000"/>
                <w:sz w:val="16"/>
                <w:szCs w:val="16"/>
              </w:rPr>
              <w:t>219.520,00</w:t>
            </w:r>
          </w:p>
        </w:tc>
        <w:tc>
          <w:tcPr>
            <w:tcW w:w="686" w:type="pct"/>
            <w:tcBorders>
              <w:top w:val="nil"/>
              <w:left w:val="nil"/>
              <w:bottom w:val="single" w:sz="4" w:space="0" w:color="000000"/>
              <w:right w:val="single" w:sz="4" w:space="0" w:color="000000"/>
            </w:tcBorders>
            <w:vAlign w:val="center"/>
            <w:hideMark/>
          </w:tcPr>
          <w:p w14:paraId="5845D096" w14:textId="77777777" w:rsidR="00E541EE" w:rsidRPr="003623E3" w:rsidRDefault="00E541EE" w:rsidP="00A84BB5">
            <w:pPr>
              <w:jc w:val="right"/>
              <w:rPr>
                <w:rFonts w:ascii="Arial" w:eastAsia="Times New Roman" w:hAnsi="Arial" w:cs="Arial"/>
                <w:color w:val="000000"/>
                <w:sz w:val="16"/>
                <w:szCs w:val="16"/>
              </w:rPr>
            </w:pPr>
            <w:r w:rsidRPr="003623E3">
              <w:rPr>
                <w:rFonts w:ascii="Arial" w:eastAsia="Times New Roman" w:hAnsi="Arial" w:cs="Arial"/>
                <w:color w:val="000000"/>
                <w:sz w:val="16"/>
                <w:szCs w:val="16"/>
              </w:rPr>
              <w:t>1.198.836,25</w:t>
            </w:r>
          </w:p>
        </w:tc>
        <w:tc>
          <w:tcPr>
            <w:tcW w:w="686" w:type="pct"/>
            <w:tcBorders>
              <w:top w:val="nil"/>
              <w:left w:val="nil"/>
              <w:bottom w:val="single" w:sz="4" w:space="0" w:color="000000"/>
              <w:right w:val="single" w:sz="4" w:space="0" w:color="000000"/>
            </w:tcBorders>
            <w:vAlign w:val="center"/>
            <w:hideMark/>
          </w:tcPr>
          <w:p w14:paraId="095FF3C5" w14:textId="77777777" w:rsidR="00E541EE" w:rsidRPr="003623E3" w:rsidRDefault="00E541EE" w:rsidP="00A84BB5">
            <w:pPr>
              <w:jc w:val="right"/>
              <w:rPr>
                <w:rFonts w:ascii="Arial" w:eastAsia="Times New Roman" w:hAnsi="Arial" w:cs="Arial"/>
                <w:color w:val="000000"/>
                <w:sz w:val="16"/>
                <w:szCs w:val="16"/>
              </w:rPr>
            </w:pPr>
            <w:r w:rsidRPr="003623E3">
              <w:rPr>
                <w:rFonts w:ascii="Arial" w:eastAsia="Times New Roman" w:hAnsi="Arial" w:cs="Arial"/>
                <w:color w:val="000000"/>
                <w:sz w:val="16"/>
                <w:szCs w:val="16"/>
              </w:rPr>
              <w:t>1.243.497,25</w:t>
            </w:r>
          </w:p>
        </w:tc>
        <w:tc>
          <w:tcPr>
            <w:tcW w:w="400" w:type="pct"/>
            <w:tcBorders>
              <w:top w:val="nil"/>
              <w:left w:val="nil"/>
              <w:bottom w:val="single" w:sz="4" w:space="0" w:color="auto"/>
              <w:right w:val="single" w:sz="4" w:space="0" w:color="auto"/>
            </w:tcBorders>
            <w:noWrap/>
            <w:vAlign w:val="center"/>
            <w:hideMark/>
          </w:tcPr>
          <w:p w14:paraId="411787E9" w14:textId="77777777" w:rsidR="00E541EE" w:rsidRPr="003623E3" w:rsidRDefault="00E541EE" w:rsidP="00A84BB5">
            <w:pPr>
              <w:jc w:val="right"/>
              <w:rPr>
                <w:rFonts w:ascii="Arial" w:eastAsia="Times New Roman" w:hAnsi="Arial" w:cs="Arial"/>
                <w:color w:val="000000"/>
                <w:sz w:val="16"/>
                <w:szCs w:val="16"/>
              </w:rPr>
            </w:pPr>
            <w:r>
              <w:rPr>
                <w:rFonts w:ascii="Arial" w:eastAsia="Times New Roman" w:hAnsi="Arial" w:cs="Arial"/>
                <w:color w:val="000000"/>
                <w:sz w:val="16"/>
                <w:szCs w:val="16"/>
              </w:rPr>
              <w:t>112,22</w:t>
            </w:r>
            <w:r w:rsidRPr="003623E3">
              <w:rPr>
                <w:rFonts w:ascii="Arial" w:eastAsia="Times New Roman" w:hAnsi="Arial" w:cs="Arial"/>
                <w:color w:val="000000"/>
                <w:sz w:val="16"/>
                <w:szCs w:val="16"/>
              </w:rPr>
              <w:t xml:space="preserve">   </w:t>
            </w:r>
          </w:p>
        </w:tc>
      </w:tr>
      <w:tr w:rsidR="009E3961" w:rsidRPr="003623E3" w14:paraId="5C09B070" w14:textId="77777777" w:rsidTr="00A84BB5">
        <w:trPr>
          <w:trHeight w:val="684"/>
        </w:trPr>
        <w:tc>
          <w:tcPr>
            <w:tcW w:w="415" w:type="pct"/>
            <w:tcBorders>
              <w:top w:val="nil"/>
              <w:left w:val="single" w:sz="4" w:space="0" w:color="000000"/>
              <w:bottom w:val="single" w:sz="4" w:space="0" w:color="000000"/>
              <w:right w:val="single" w:sz="4" w:space="0" w:color="000000"/>
            </w:tcBorders>
            <w:vAlign w:val="center"/>
            <w:hideMark/>
          </w:tcPr>
          <w:p w14:paraId="44E6A308" w14:textId="77777777" w:rsidR="00E541EE" w:rsidRPr="003623E3" w:rsidRDefault="00E541EE" w:rsidP="00A84BB5">
            <w:pPr>
              <w:jc w:val="center"/>
              <w:rPr>
                <w:rFonts w:ascii="Arial" w:eastAsia="Times New Roman" w:hAnsi="Arial" w:cs="Arial"/>
                <w:color w:val="000000"/>
                <w:sz w:val="16"/>
                <w:szCs w:val="16"/>
              </w:rPr>
            </w:pPr>
            <w:r w:rsidRPr="003623E3">
              <w:rPr>
                <w:rFonts w:ascii="Arial" w:eastAsia="Times New Roman" w:hAnsi="Arial" w:cs="Arial"/>
                <w:color w:val="000000"/>
                <w:sz w:val="16"/>
                <w:szCs w:val="16"/>
              </w:rPr>
              <w:t> </w:t>
            </w:r>
          </w:p>
        </w:tc>
        <w:tc>
          <w:tcPr>
            <w:tcW w:w="464" w:type="pct"/>
            <w:tcBorders>
              <w:top w:val="nil"/>
              <w:left w:val="nil"/>
              <w:bottom w:val="single" w:sz="4" w:space="0" w:color="000000"/>
              <w:right w:val="single" w:sz="4" w:space="0" w:color="000000"/>
            </w:tcBorders>
            <w:vAlign w:val="center"/>
            <w:hideMark/>
          </w:tcPr>
          <w:p w14:paraId="5F09391B" w14:textId="77777777" w:rsidR="00E541EE" w:rsidRPr="003623E3" w:rsidRDefault="00E541EE" w:rsidP="00A84BB5">
            <w:pPr>
              <w:jc w:val="center"/>
              <w:rPr>
                <w:rFonts w:ascii="Arial" w:eastAsia="Times New Roman" w:hAnsi="Arial" w:cs="Arial"/>
                <w:color w:val="000000"/>
                <w:sz w:val="16"/>
                <w:szCs w:val="16"/>
              </w:rPr>
            </w:pPr>
            <w:r w:rsidRPr="003623E3">
              <w:rPr>
                <w:rFonts w:ascii="Arial" w:eastAsia="Times New Roman" w:hAnsi="Arial" w:cs="Arial"/>
                <w:color w:val="000000"/>
                <w:sz w:val="16"/>
                <w:szCs w:val="16"/>
              </w:rPr>
              <w:t>38</w:t>
            </w:r>
          </w:p>
        </w:tc>
        <w:tc>
          <w:tcPr>
            <w:tcW w:w="968" w:type="pct"/>
            <w:tcBorders>
              <w:top w:val="nil"/>
              <w:left w:val="nil"/>
              <w:bottom w:val="single" w:sz="4" w:space="0" w:color="000000"/>
              <w:right w:val="single" w:sz="4" w:space="0" w:color="000000"/>
            </w:tcBorders>
            <w:vAlign w:val="center"/>
            <w:hideMark/>
          </w:tcPr>
          <w:p w14:paraId="7FE09A6B" w14:textId="77777777" w:rsidR="00E541EE" w:rsidRPr="003623E3" w:rsidRDefault="00E541EE" w:rsidP="00A84BB5">
            <w:pPr>
              <w:rPr>
                <w:rFonts w:ascii="Arial" w:eastAsia="Times New Roman" w:hAnsi="Arial" w:cs="Arial"/>
                <w:color w:val="000000"/>
                <w:sz w:val="16"/>
                <w:szCs w:val="16"/>
              </w:rPr>
            </w:pPr>
            <w:r w:rsidRPr="003623E3">
              <w:rPr>
                <w:rFonts w:ascii="Arial" w:eastAsia="Times New Roman" w:hAnsi="Arial" w:cs="Arial"/>
                <w:color w:val="000000"/>
                <w:sz w:val="16"/>
                <w:szCs w:val="16"/>
              </w:rPr>
              <w:t>Rashodi za donacije, kazne, naknade šteta i kapitalne pomoći</w:t>
            </w:r>
          </w:p>
        </w:tc>
        <w:tc>
          <w:tcPr>
            <w:tcW w:w="686" w:type="pct"/>
            <w:tcBorders>
              <w:top w:val="nil"/>
              <w:left w:val="nil"/>
              <w:bottom w:val="single" w:sz="4" w:space="0" w:color="000000"/>
              <w:right w:val="single" w:sz="4" w:space="0" w:color="000000"/>
            </w:tcBorders>
            <w:vAlign w:val="center"/>
            <w:hideMark/>
          </w:tcPr>
          <w:p w14:paraId="6691045D" w14:textId="77777777" w:rsidR="00E541EE" w:rsidRPr="003623E3" w:rsidRDefault="00E541EE" w:rsidP="00A84BB5">
            <w:pPr>
              <w:jc w:val="right"/>
              <w:rPr>
                <w:rFonts w:ascii="Arial" w:eastAsia="Times New Roman" w:hAnsi="Arial" w:cs="Arial"/>
                <w:color w:val="000000"/>
                <w:sz w:val="16"/>
                <w:szCs w:val="16"/>
              </w:rPr>
            </w:pPr>
            <w:r w:rsidRPr="003623E3">
              <w:rPr>
                <w:rFonts w:ascii="Arial" w:eastAsia="Times New Roman" w:hAnsi="Arial" w:cs="Arial"/>
                <w:color w:val="000000"/>
                <w:sz w:val="16"/>
                <w:szCs w:val="16"/>
              </w:rPr>
              <w:t>3.346.723,88</w:t>
            </w:r>
          </w:p>
        </w:tc>
        <w:tc>
          <w:tcPr>
            <w:tcW w:w="694" w:type="pct"/>
            <w:tcBorders>
              <w:top w:val="nil"/>
              <w:left w:val="nil"/>
              <w:bottom w:val="single" w:sz="4" w:space="0" w:color="000000"/>
              <w:right w:val="single" w:sz="4" w:space="0" w:color="000000"/>
            </w:tcBorders>
            <w:vAlign w:val="center"/>
            <w:hideMark/>
          </w:tcPr>
          <w:p w14:paraId="6461499C" w14:textId="77777777" w:rsidR="00E541EE" w:rsidRPr="003623E3" w:rsidRDefault="00E541EE" w:rsidP="00A84BB5">
            <w:pPr>
              <w:jc w:val="right"/>
              <w:rPr>
                <w:rFonts w:ascii="Arial" w:eastAsia="Times New Roman" w:hAnsi="Arial" w:cs="Arial"/>
                <w:color w:val="000000"/>
                <w:sz w:val="16"/>
                <w:szCs w:val="16"/>
              </w:rPr>
            </w:pPr>
            <w:r w:rsidRPr="003623E3">
              <w:rPr>
                <w:rFonts w:ascii="Arial" w:eastAsia="Times New Roman" w:hAnsi="Arial" w:cs="Arial"/>
                <w:color w:val="000000"/>
                <w:sz w:val="16"/>
                <w:szCs w:val="16"/>
              </w:rPr>
              <w:t>3.3</w:t>
            </w:r>
            <w:r>
              <w:rPr>
                <w:rFonts w:ascii="Arial" w:eastAsia="Times New Roman" w:hAnsi="Arial" w:cs="Arial"/>
                <w:color w:val="000000"/>
                <w:sz w:val="16"/>
                <w:szCs w:val="16"/>
              </w:rPr>
              <w:t>72</w:t>
            </w:r>
            <w:r w:rsidRPr="003623E3">
              <w:rPr>
                <w:rFonts w:ascii="Arial" w:eastAsia="Times New Roman" w:hAnsi="Arial" w:cs="Arial"/>
                <w:color w:val="000000"/>
                <w:sz w:val="16"/>
                <w:szCs w:val="16"/>
              </w:rPr>
              <w:t>.747,88</w:t>
            </w:r>
          </w:p>
        </w:tc>
        <w:tc>
          <w:tcPr>
            <w:tcW w:w="686" w:type="pct"/>
            <w:tcBorders>
              <w:top w:val="nil"/>
              <w:left w:val="nil"/>
              <w:bottom w:val="single" w:sz="4" w:space="0" w:color="000000"/>
              <w:right w:val="single" w:sz="4" w:space="0" w:color="000000"/>
            </w:tcBorders>
            <w:vAlign w:val="center"/>
            <w:hideMark/>
          </w:tcPr>
          <w:p w14:paraId="0351E01C" w14:textId="77777777" w:rsidR="00E541EE" w:rsidRPr="003623E3" w:rsidRDefault="00E541EE" w:rsidP="00A84BB5">
            <w:pPr>
              <w:jc w:val="right"/>
              <w:rPr>
                <w:rFonts w:ascii="Arial" w:eastAsia="Times New Roman" w:hAnsi="Arial" w:cs="Arial"/>
                <w:color w:val="000000"/>
                <w:sz w:val="16"/>
                <w:szCs w:val="16"/>
              </w:rPr>
            </w:pPr>
            <w:r w:rsidRPr="003623E3">
              <w:rPr>
                <w:rFonts w:ascii="Arial" w:eastAsia="Times New Roman" w:hAnsi="Arial" w:cs="Arial"/>
                <w:color w:val="000000"/>
                <w:sz w:val="16"/>
                <w:szCs w:val="16"/>
              </w:rPr>
              <w:t>3.2</w:t>
            </w:r>
            <w:r>
              <w:rPr>
                <w:rFonts w:ascii="Arial" w:eastAsia="Times New Roman" w:hAnsi="Arial" w:cs="Arial"/>
                <w:color w:val="000000"/>
                <w:sz w:val="16"/>
                <w:szCs w:val="16"/>
              </w:rPr>
              <w:t>79</w:t>
            </w:r>
            <w:r w:rsidRPr="003623E3">
              <w:rPr>
                <w:rFonts w:ascii="Arial" w:eastAsia="Times New Roman" w:hAnsi="Arial" w:cs="Arial"/>
                <w:color w:val="000000"/>
                <w:sz w:val="16"/>
                <w:szCs w:val="16"/>
              </w:rPr>
              <w:t>.673,74</w:t>
            </w:r>
          </w:p>
        </w:tc>
        <w:tc>
          <w:tcPr>
            <w:tcW w:w="686" w:type="pct"/>
            <w:tcBorders>
              <w:top w:val="nil"/>
              <w:left w:val="nil"/>
              <w:bottom w:val="single" w:sz="4" w:space="0" w:color="000000"/>
              <w:right w:val="single" w:sz="4" w:space="0" w:color="000000"/>
            </w:tcBorders>
            <w:vAlign w:val="center"/>
            <w:hideMark/>
          </w:tcPr>
          <w:p w14:paraId="770F3E00" w14:textId="77777777" w:rsidR="00E541EE" w:rsidRPr="003623E3" w:rsidRDefault="00E541EE" w:rsidP="00A84BB5">
            <w:pPr>
              <w:jc w:val="right"/>
              <w:rPr>
                <w:rFonts w:ascii="Arial" w:eastAsia="Times New Roman" w:hAnsi="Arial" w:cs="Arial"/>
                <w:color w:val="000000"/>
                <w:sz w:val="16"/>
                <w:szCs w:val="16"/>
              </w:rPr>
            </w:pPr>
            <w:r w:rsidRPr="003623E3">
              <w:rPr>
                <w:rFonts w:ascii="Arial" w:eastAsia="Times New Roman" w:hAnsi="Arial" w:cs="Arial"/>
                <w:color w:val="000000"/>
                <w:sz w:val="16"/>
                <w:szCs w:val="16"/>
              </w:rPr>
              <w:t>3.3</w:t>
            </w:r>
            <w:r>
              <w:rPr>
                <w:rFonts w:ascii="Arial" w:eastAsia="Times New Roman" w:hAnsi="Arial" w:cs="Arial"/>
                <w:color w:val="000000"/>
                <w:sz w:val="16"/>
                <w:szCs w:val="16"/>
              </w:rPr>
              <w:t>34</w:t>
            </w:r>
            <w:r w:rsidRPr="003623E3">
              <w:rPr>
                <w:rFonts w:ascii="Arial" w:eastAsia="Times New Roman" w:hAnsi="Arial" w:cs="Arial"/>
                <w:color w:val="000000"/>
                <w:sz w:val="16"/>
                <w:szCs w:val="16"/>
              </w:rPr>
              <w:t>.200,69</w:t>
            </w:r>
          </w:p>
        </w:tc>
        <w:tc>
          <w:tcPr>
            <w:tcW w:w="400" w:type="pct"/>
            <w:tcBorders>
              <w:top w:val="nil"/>
              <w:left w:val="nil"/>
              <w:bottom w:val="single" w:sz="4" w:space="0" w:color="auto"/>
              <w:right w:val="single" w:sz="4" w:space="0" w:color="auto"/>
            </w:tcBorders>
            <w:noWrap/>
            <w:vAlign w:val="center"/>
            <w:hideMark/>
          </w:tcPr>
          <w:p w14:paraId="1ECA902C" w14:textId="77777777" w:rsidR="00E541EE" w:rsidRPr="003623E3" w:rsidRDefault="00E541EE" w:rsidP="00A84BB5">
            <w:pPr>
              <w:jc w:val="right"/>
              <w:rPr>
                <w:rFonts w:ascii="Arial" w:eastAsia="Times New Roman" w:hAnsi="Arial" w:cs="Arial"/>
                <w:color w:val="000000"/>
                <w:sz w:val="16"/>
                <w:szCs w:val="16"/>
              </w:rPr>
            </w:pPr>
            <w:r w:rsidRPr="003623E3">
              <w:rPr>
                <w:rFonts w:ascii="Arial" w:eastAsia="Times New Roman" w:hAnsi="Arial" w:cs="Arial"/>
                <w:color w:val="000000"/>
                <w:sz w:val="16"/>
                <w:szCs w:val="16"/>
              </w:rPr>
              <w:t>100,</w:t>
            </w:r>
            <w:r>
              <w:rPr>
                <w:rFonts w:ascii="Arial" w:eastAsia="Times New Roman" w:hAnsi="Arial" w:cs="Arial"/>
                <w:color w:val="000000"/>
                <w:sz w:val="16"/>
                <w:szCs w:val="16"/>
              </w:rPr>
              <w:t>78</w:t>
            </w:r>
            <w:r w:rsidRPr="003623E3">
              <w:rPr>
                <w:rFonts w:ascii="Arial" w:eastAsia="Times New Roman" w:hAnsi="Arial" w:cs="Arial"/>
                <w:color w:val="000000"/>
                <w:sz w:val="16"/>
                <w:szCs w:val="16"/>
              </w:rPr>
              <w:t xml:space="preserve">   </w:t>
            </w:r>
          </w:p>
        </w:tc>
      </w:tr>
      <w:tr w:rsidR="009E3961" w:rsidRPr="003623E3" w14:paraId="132BB291" w14:textId="77777777" w:rsidTr="00A84BB5">
        <w:trPr>
          <w:trHeight w:val="708"/>
        </w:trPr>
        <w:tc>
          <w:tcPr>
            <w:tcW w:w="415" w:type="pct"/>
            <w:tcBorders>
              <w:top w:val="nil"/>
              <w:left w:val="single" w:sz="4" w:space="0" w:color="000000"/>
              <w:bottom w:val="single" w:sz="4" w:space="0" w:color="000000"/>
              <w:right w:val="single" w:sz="4" w:space="0" w:color="000000"/>
            </w:tcBorders>
            <w:shd w:val="clear" w:color="auto" w:fill="D6E1F2"/>
            <w:vAlign w:val="center"/>
            <w:hideMark/>
          </w:tcPr>
          <w:p w14:paraId="7AC2AB53" w14:textId="77777777" w:rsidR="00E541EE" w:rsidRPr="003623E3" w:rsidRDefault="00E541EE" w:rsidP="00A84BB5">
            <w:pPr>
              <w:jc w:val="center"/>
              <w:rPr>
                <w:rFonts w:ascii="Arial" w:eastAsia="Times New Roman" w:hAnsi="Arial" w:cs="Arial"/>
                <w:b/>
                <w:bCs/>
                <w:color w:val="000000"/>
                <w:sz w:val="16"/>
                <w:szCs w:val="16"/>
              </w:rPr>
            </w:pPr>
            <w:r w:rsidRPr="003623E3">
              <w:rPr>
                <w:rFonts w:ascii="Arial" w:eastAsia="Times New Roman" w:hAnsi="Arial" w:cs="Arial"/>
                <w:b/>
                <w:bCs/>
                <w:color w:val="000000"/>
                <w:sz w:val="16"/>
                <w:szCs w:val="16"/>
              </w:rPr>
              <w:t>4</w:t>
            </w:r>
          </w:p>
        </w:tc>
        <w:tc>
          <w:tcPr>
            <w:tcW w:w="464" w:type="pct"/>
            <w:tcBorders>
              <w:top w:val="nil"/>
              <w:left w:val="nil"/>
              <w:bottom w:val="single" w:sz="4" w:space="0" w:color="000000"/>
              <w:right w:val="single" w:sz="4" w:space="0" w:color="000000"/>
            </w:tcBorders>
            <w:shd w:val="clear" w:color="auto" w:fill="D6E1F2"/>
            <w:hideMark/>
          </w:tcPr>
          <w:p w14:paraId="19338BE9" w14:textId="77777777" w:rsidR="00E541EE" w:rsidRPr="003623E3" w:rsidRDefault="00E541EE" w:rsidP="00A84BB5">
            <w:pPr>
              <w:jc w:val="center"/>
              <w:rPr>
                <w:rFonts w:ascii="Arial" w:eastAsia="Times New Roman" w:hAnsi="Arial" w:cs="Arial"/>
                <w:color w:val="000000"/>
                <w:sz w:val="18"/>
                <w:szCs w:val="18"/>
              </w:rPr>
            </w:pPr>
            <w:r w:rsidRPr="003623E3">
              <w:rPr>
                <w:rFonts w:ascii="Arial" w:eastAsia="Times New Roman" w:hAnsi="Arial" w:cs="Arial"/>
                <w:color w:val="000000"/>
                <w:sz w:val="18"/>
                <w:szCs w:val="18"/>
              </w:rPr>
              <w:t> </w:t>
            </w:r>
          </w:p>
        </w:tc>
        <w:tc>
          <w:tcPr>
            <w:tcW w:w="968" w:type="pct"/>
            <w:tcBorders>
              <w:top w:val="nil"/>
              <w:left w:val="nil"/>
              <w:bottom w:val="single" w:sz="4" w:space="0" w:color="000000"/>
              <w:right w:val="single" w:sz="4" w:space="0" w:color="000000"/>
            </w:tcBorders>
            <w:shd w:val="clear" w:color="auto" w:fill="D6E1F2"/>
            <w:vAlign w:val="center"/>
            <w:hideMark/>
          </w:tcPr>
          <w:p w14:paraId="698B2DC1" w14:textId="77777777" w:rsidR="00E541EE" w:rsidRPr="003623E3" w:rsidRDefault="00E541EE" w:rsidP="00A84BB5">
            <w:pPr>
              <w:rPr>
                <w:rFonts w:ascii="Arial" w:eastAsia="Times New Roman" w:hAnsi="Arial" w:cs="Arial"/>
                <w:b/>
                <w:bCs/>
                <w:color w:val="000000"/>
                <w:sz w:val="16"/>
                <w:szCs w:val="16"/>
              </w:rPr>
            </w:pPr>
            <w:r w:rsidRPr="003623E3">
              <w:rPr>
                <w:rFonts w:ascii="Arial" w:eastAsia="Times New Roman" w:hAnsi="Arial" w:cs="Arial"/>
                <w:b/>
                <w:bCs/>
                <w:color w:val="000000"/>
                <w:sz w:val="16"/>
                <w:szCs w:val="16"/>
              </w:rPr>
              <w:t>Rashodi za nabavu nefinancijske imovine</w:t>
            </w:r>
          </w:p>
        </w:tc>
        <w:tc>
          <w:tcPr>
            <w:tcW w:w="686" w:type="pct"/>
            <w:tcBorders>
              <w:top w:val="nil"/>
              <w:left w:val="nil"/>
              <w:bottom w:val="single" w:sz="4" w:space="0" w:color="000000"/>
              <w:right w:val="single" w:sz="4" w:space="0" w:color="000000"/>
            </w:tcBorders>
            <w:shd w:val="clear" w:color="auto" w:fill="D6E1F2"/>
            <w:vAlign w:val="center"/>
            <w:hideMark/>
          </w:tcPr>
          <w:p w14:paraId="1B67233A" w14:textId="77777777" w:rsidR="00E541EE" w:rsidRPr="003623E3" w:rsidRDefault="00E541EE" w:rsidP="00A84BB5">
            <w:pPr>
              <w:jc w:val="right"/>
              <w:rPr>
                <w:rFonts w:ascii="Arial" w:eastAsia="Times New Roman" w:hAnsi="Arial" w:cs="Arial"/>
                <w:b/>
                <w:bCs/>
                <w:color w:val="000000"/>
                <w:sz w:val="16"/>
                <w:szCs w:val="16"/>
              </w:rPr>
            </w:pPr>
            <w:r w:rsidRPr="003623E3">
              <w:rPr>
                <w:rFonts w:ascii="Arial" w:eastAsia="Times New Roman" w:hAnsi="Arial" w:cs="Arial"/>
                <w:b/>
                <w:bCs/>
                <w:color w:val="000000"/>
                <w:sz w:val="16"/>
                <w:szCs w:val="16"/>
              </w:rPr>
              <w:t>29.485.644,02</w:t>
            </w:r>
          </w:p>
        </w:tc>
        <w:tc>
          <w:tcPr>
            <w:tcW w:w="694" w:type="pct"/>
            <w:tcBorders>
              <w:top w:val="nil"/>
              <w:left w:val="nil"/>
              <w:bottom w:val="single" w:sz="4" w:space="0" w:color="000000"/>
              <w:right w:val="single" w:sz="4" w:space="0" w:color="000000"/>
            </w:tcBorders>
            <w:shd w:val="clear" w:color="auto" w:fill="D6E1F2"/>
            <w:vAlign w:val="center"/>
            <w:hideMark/>
          </w:tcPr>
          <w:p w14:paraId="5EBF20F0" w14:textId="585BB49D" w:rsidR="00E541EE" w:rsidRPr="003623E3" w:rsidRDefault="00037D26" w:rsidP="00A84BB5">
            <w:pPr>
              <w:jc w:val="right"/>
              <w:rPr>
                <w:rFonts w:ascii="Arial" w:eastAsia="Times New Roman" w:hAnsi="Arial" w:cs="Arial"/>
                <w:b/>
                <w:bCs/>
                <w:color w:val="000000"/>
                <w:sz w:val="16"/>
                <w:szCs w:val="16"/>
              </w:rPr>
            </w:pPr>
            <w:r>
              <w:rPr>
                <w:rFonts w:ascii="Arial" w:eastAsia="Times New Roman" w:hAnsi="Arial" w:cs="Arial"/>
                <w:b/>
                <w:bCs/>
                <w:color w:val="000000"/>
                <w:sz w:val="16"/>
                <w:szCs w:val="16"/>
              </w:rPr>
              <w:t>26</w:t>
            </w:r>
            <w:r w:rsidR="00E541EE" w:rsidRPr="003623E3">
              <w:rPr>
                <w:rFonts w:ascii="Arial" w:eastAsia="Times New Roman" w:hAnsi="Arial" w:cs="Arial"/>
                <w:b/>
                <w:bCs/>
                <w:color w:val="000000"/>
                <w:sz w:val="16"/>
                <w:szCs w:val="16"/>
              </w:rPr>
              <w:t>.</w:t>
            </w:r>
            <w:r>
              <w:rPr>
                <w:rFonts w:ascii="Arial" w:eastAsia="Times New Roman" w:hAnsi="Arial" w:cs="Arial"/>
                <w:b/>
                <w:bCs/>
                <w:color w:val="000000"/>
                <w:sz w:val="16"/>
                <w:szCs w:val="16"/>
              </w:rPr>
              <w:t>120</w:t>
            </w:r>
            <w:r w:rsidR="00E541EE" w:rsidRPr="003623E3">
              <w:rPr>
                <w:rFonts w:ascii="Arial" w:eastAsia="Times New Roman" w:hAnsi="Arial" w:cs="Arial"/>
                <w:b/>
                <w:bCs/>
                <w:color w:val="000000"/>
                <w:sz w:val="16"/>
                <w:szCs w:val="16"/>
              </w:rPr>
              <w:t>.458,50</w:t>
            </w:r>
          </w:p>
        </w:tc>
        <w:tc>
          <w:tcPr>
            <w:tcW w:w="686" w:type="pct"/>
            <w:tcBorders>
              <w:top w:val="nil"/>
              <w:left w:val="nil"/>
              <w:bottom w:val="single" w:sz="4" w:space="0" w:color="000000"/>
              <w:right w:val="single" w:sz="4" w:space="0" w:color="000000"/>
            </w:tcBorders>
            <w:shd w:val="clear" w:color="auto" w:fill="D6E1F2"/>
            <w:vAlign w:val="center"/>
            <w:hideMark/>
          </w:tcPr>
          <w:p w14:paraId="655F9238" w14:textId="77777777" w:rsidR="00E541EE" w:rsidRPr="003623E3" w:rsidRDefault="00E541EE" w:rsidP="00A84BB5">
            <w:pPr>
              <w:jc w:val="right"/>
              <w:rPr>
                <w:rFonts w:ascii="Arial" w:eastAsia="Times New Roman" w:hAnsi="Arial" w:cs="Arial"/>
                <w:b/>
                <w:bCs/>
                <w:color w:val="000000"/>
                <w:sz w:val="16"/>
                <w:szCs w:val="16"/>
              </w:rPr>
            </w:pPr>
            <w:r w:rsidRPr="003623E3">
              <w:rPr>
                <w:rFonts w:ascii="Arial" w:eastAsia="Times New Roman" w:hAnsi="Arial" w:cs="Arial"/>
                <w:b/>
                <w:bCs/>
                <w:color w:val="000000"/>
                <w:sz w:val="16"/>
                <w:szCs w:val="16"/>
              </w:rPr>
              <w:t>10.909.136,95</w:t>
            </w:r>
          </w:p>
        </w:tc>
        <w:tc>
          <w:tcPr>
            <w:tcW w:w="686" w:type="pct"/>
            <w:tcBorders>
              <w:top w:val="nil"/>
              <w:left w:val="nil"/>
              <w:bottom w:val="single" w:sz="4" w:space="0" w:color="000000"/>
              <w:right w:val="single" w:sz="4" w:space="0" w:color="000000"/>
            </w:tcBorders>
            <w:shd w:val="clear" w:color="auto" w:fill="D6E1F2"/>
            <w:vAlign w:val="center"/>
            <w:hideMark/>
          </w:tcPr>
          <w:p w14:paraId="1E7951ED" w14:textId="77777777" w:rsidR="00E541EE" w:rsidRPr="003623E3" w:rsidRDefault="00E541EE" w:rsidP="00A84BB5">
            <w:pPr>
              <w:jc w:val="right"/>
              <w:rPr>
                <w:rFonts w:ascii="Arial" w:eastAsia="Times New Roman" w:hAnsi="Arial" w:cs="Arial"/>
                <w:b/>
                <w:bCs/>
                <w:color w:val="000000"/>
                <w:sz w:val="16"/>
                <w:szCs w:val="16"/>
              </w:rPr>
            </w:pPr>
            <w:r w:rsidRPr="003623E3">
              <w:rPr>
                <w:rFonts w:ascii="Arial" w:eastAsia="Times New Roman" w:hAnsi="Arial" w:cs="Arial"/>
                <w:b/>
                <w:bCs/>
                <w:color w:val="000000"/>
                <w:sz w:val="16"/>
                <w:szCs w:val="16"/>
              </w:rPr>
              <w:t>5.</w:t>
            </w:r>
            <w:r>
              <w:rPr>
                <w:rFonts w:ascii="Arial" w:eastAsia="Times New Roman" w:hAnsi="Arial" w:cs="Arial"/>
                <w:b/>
                <w:bCs/>
                <w:color w:val="000000"/>
                <w:sz w:val="16"/>
                <w:szCs w:val="16"/>
              </w:rPr>
              <w:t>2</w:t>
            </w:r>
            <w:r w:rsidRPr="003623E3">
              <w:rPr>
                <w:rFonts w:ascii="Arial" w:eastAsia="Times New Roman" w:hAnsi="Arial" w:cs="Arial"/>
                <w:b/>
                <w:bCs/>
                <w:color w:val="000000"/>
                <w:sz w:val="16"/>
                <w:szCs w:val="16"/>
              </w:rPr>
              <w:t>12.442,75</w:t>
            </w:r>
          </w:p>
        </w:tc>
        <w:tc>
          <w:tcPr>
            <w:tcW w:w="400" w:type="pct"/>
            <w:tcBorders>
              <w:top w:val="nil"/>
              <w:left w:val="nil"/>
              <w:bottom w:val="single" w:sz="4" w:space="0" w:color="auto"/>
              <w:right w:val="single" w:sz="4" w:space="0" w:color="auto"/>
            </w:tcBorders>
            <w:shd w:val="clear" w:color="auto" w:fill="D6E1F2"/>
            <w:noWrap/>
            <w:vAlign w:val="center"/>
            <w:hideMark/>
          </w:tcPr>
          <w:p w14:paraId="2F48B3EF" w14:textId="7040CA73" w:rsidR="00E541EE" w:rsidRPr="003623E3" w:rsidRDefault="009E3961" w:rsidP="00A84BB5">
            <w:pPr>
              <w:jc w:val="right"/>
              <w:rPr>
                <w:rFonts w:ascii="Arial" w:eastAsia="Times New Roman" w:hAnsi="Arial" w:cs="Arial"/>
                <w:color w:val="000000"/>
                <w:sz w:val="16"/>
                <w:szCs w:val="16"/>
              </w:rPr>
            </w:pPr>
            <w:r>
              <w:rPr>
                <w:rFonts w:ascii="Arial" w:eastAsia="Times New Roman" w:hAnsi="Arial" w:cs="Arial"/>
                <w:color w:val="000000"/>
                <w:sz w:val="16"/>
                <w:szCs w:val="16"/>
              </w:rPr>
              <w:t>88,59</w:t>
            </w:r>
            <w:r w:rsidR="00E541EE" w:rsidRPr="003623E3">
              <w:rPr>
                <w:rFonts w:ascii="Arial" w:eastAsia="Times New Roman" w:hAnsi="Arial" w:cs="Arial"/>
                <w:color w:val="000000"/>
                <w:sz w:val="16"/>
                <w:szCs w:val="16"/>
              </w:rPr>
              <w:t xml:space="preserve">  </w:t>
            </w:r>
          </w:p>
        </w:tc>
      </w:tr>
      <w:tr w:rsidR="009E3961" w:rsidRPr="003623E3" w14:paraId="660C9A76" w14:textId="77777777" w:rsidTr="00A84BB5">
        <w:trPr>
          <w:trHeight w:val="702"/>
        </w:trPr>
        <w:tc>
          <w:tcPr>
            <w:tcW w:w="415" w:type="pct"/>
            <w:tcBorders>
              <w:top w:val="nil"/>
              <w:left w:val="single" w:sz="4" w:space="0" w:color="000000"/>
              <w:bottom w:val="single" w:sz="4" w:space="0" w:color="000000"/>
              <w:right w:val="single" w:sz="4" w:space="0" w:color="000000"/>
            </w:tcBorders>
            <w:vAlign w:val="center"/>
            <w:hideMark/>
          </w:tcPr>
          <w:p w14:paraId="0E6E16E2" w14:textId="77777777" w:rsidR="00E541EE" w:rsidRPr="003623E3" w:rsidRDefault="00E541EE" w:rsidP="00A84BB5">
            <w:pPr>
              <w:rPr>
                <w:rFonts w:ascii="Arial" w:eastAsia="Times New Roman" w:hAnsi="Arial" w:cs="Arial"/>
                <w:color w:val="000000"/>
                <w:sz w:val="16"/>
                <w:szCs w:val="16"/>
              </w:rPr>
            </w:pPr>
            <w:r w:rsidRPr="003623E3">
              <w:rPr>
                <w:rFonts w:ascii="Arial" w:eastAsia="Times New Roman" w:hAnsi="Arial" w:cs="Arial"/>
                <w:color w:val="000000"/>
                <w:sz w:val="16"/>
                <w:szCs w:val="16"/>
              </w:rPr>
              <w:t> </w:t>
            </w:r>
          </w:p>
        </w:tc>
        <w:tc>
          <w:tcPr>
            <w:tcW w:w="464" w:type="pct"/>
            <w:tcBorders>
              <w:top w:val="nil"/>
              <w:left w:val="nil"/>
              <w:bottom w:val="single" w:sz="4" w:space="0" w:color="000000"/>
              <w:right w:val="single" w:sz="4" w:space="0" w:color="000000"/>
            </w:tcBorders>
            <w:vAlign w:val="center"/>
            <w:hideMark/>
          </w:tcPr>
          <w:p w14:paraId="3070840A" w14:textId="77777777" w:rsidR="00E541EE" w:rsidRPr="003623E3" w:rsidRDefault="00E541EE" w:rsidP="00A84BB5">
            <w:pPr>
              <w:jc w:val="center"/>
              <w:rPr>
                <w:rFonts w:ascii="Arial" w:eastAsia="Times New Roman" w:hAnsi="Arial" w:cs="Arial"/>
                <w:color w:val="000000"/>
                <w:sz w:val="16"/>
                <w:szCs w:val="16"/>
              </w:rPr>
            </w:pPr>
            <w:r w:rsidRPr="003623E3">
              <w:rPr>
                <w:rFonts w:ascii="Arial" w:eastAsia="Times New Roman" w:hAnsi="Arial" w:cs="Arial"/>
                <w:color w:val="000000"/>
                <w:sz w:val="16"/>
                <w:szCs w:val="16"/>
              </w:rPr>
              <w:t>41</w:t>
            </w:r>
          </w:p>
        </w:tc>
        <w:tc>
          <w:tcPr>
            <w:tcW w:w="968" w:type="pct"/>
            <w:tcBorders>
              <w:top w:val="nil"/>
              <w:left w:val="nil"/>
              <w:bottom w:val="single" w:sz="4" w:space="0" w:color="000000"/>
              <w:right w:val="single" w:sz="4" w:space="0" w:color="000000"/>
            </w:tcBorders>
            <w:vAlign w:val="center"/>
            <w:hideMark/>
          </w:tcPr>
          <w:p w14:paraId="6786465A" w14:textId="77777777" w:rsidR="00E541EE" w:rsidRPr="003623E3" w:rsidRDefault="00E541EE" w:rsidP="00A84BB5">
            <w:pPr>
              <w:rPr>
                <w:rFonts w:ascii="Arial" w:eastAsia="Times New Roman" w:hAnsi="Arial" w:cs="Arial"/>
                <w:color w:val="000000"/>
                <w:sz w:val="16"/>
                <w:szCs w:val="16"/>
              </w:rPr>
            </w:pPr>
            <w:r w:rsidRPr="003623E3">
              <w:rPr>
                <w:rFonts w:ascii="Arial" w:eastAsia="Times New Roman" w:hAnsi="Arial" w:cs="Arial"/>
                <w:color w:val="000000"/>
                <w:sz w:val="16"/>
                <w:szCs w:val="16"/>
              </w:rPr>
              <w:t>Rashodi za nabavu neproizvedene dugotrajne imovine</w:t>
            </w:r>
          </w:p>
        </w:tc>
        <w:tc>
          <w:tcPr>
            <w:tcW w:w="686" w:type="pct"/>
            <w:tcBorders>
              <w:top w:val="nil"/>
              <w:left w:val="nil"/>
              <w:bottom w:val="single" w:sz="4" w:space="0" w:color="000000"/>
              <w:right w:val="single" w:sz="4" w:space="0" w:color="000000"/>
            </w:tcBorders>
            <w:vAlign w:val="center"/>
            <w:hideMark/>
          </w:tcPr>
          <w:p w14:paraId="2545D8EB" w14:textId="77777777" w:rsidR="00E541EE" w:rsidRPr="003623E3" w:rsidRDefault="00E541EE" w:rsidP="00A84BB5">
            <w:pPr>
              <w:jc w:val="right"/>
              <w:rPr>
                <w:rFonts w:ascii="Arial" w:eastAsia="Times New Roman" w:hAnsi="Arial" w:cs="Arial"/>
                <w:color w:val="000000"/>
                <w:sz w:val="16"/>
                <w:szCs w:val="16"/>
              </w:rPr>
            </w:pPr>
            <w:r w:rsidRPr="003623E3">
              <w:rPr>
                <w:rFonts w:ascii="Arial" w:eastAsia="Times New Roman" w:hAnsi="Arial" w:cs="Arial"/>
                <w:color w:val="000000"/>
                <w:sz w:val="16"/>
                <w:szCs w:val="16"/>
              </w:rPr>
              <w:t>1.586.492,82</w:t>
            </w:r>
          </w:p>
        </w:tc>
        <w:tc>
          <w:tcPr>
            <w:tcW w:w="694" w:type="pct"/>
            <w:tcBorders>
              <w:top w:val="nil"/>
              <w:left w:val="nil"/>
              <w:bottom w:val="single" w:sz="4" w:space="0" w:color="000000"/>
              <w:right w:val="single" w:sz="4" w:space="0" w:color="000000"/>
            </w:tcBorders>
            <w:vAlign w:val="center"/>
            <w:hideMark/>
          </w:tcPr>
          <w:p w14:paraId="039F6A45" w14:textId="77777777" w:rsidR="00E541EE" w:rsidRPr="003623E3" w:rsidRDefault="00E541EE" w:rsidP="00A84BB5">
            <w:pPr>
              <w:jc w:val="right"/>
              <w:rPr>
                <w:rFonts w:ascii="Arial" w:eastAsia="Times New Roman" w:hAnsi="Arial" w:cs="Arial"/>
                <w:color w:val="000000"/>
                <w:sz w:val="16"/>
                <w:szCs w:val="16"/>
              </w:rPr>
            </w:pPr>
            <w:r w:rsidRPr="003623E3">
              <w:rPr>
                <w:rFonts w:ascii="Arial" w:eastAsia="Times New Roman" w:hAnsi="Arial" w:cs="Arial"/>
                <w:color w:val="000000"/>
                <w:sz w:val="16"/>
                <w:szCs w:val="16"/>
              </w:rPr>
              <w:t>1.206.402,82</w:t>
            </w:r>
          </w:p>
        </w:tc>
        <w:tc>
          <w:tcPr>
            <w:tcW w:w="686" w:type="pct"/>
            <w:tcBorders>
              <w:top w:val="nil"/>
              <w:left w:val="nil"/>
              <w:bottom w:val="single" w:sz="4" w:space="0" w:color="000000"/>
              <w:right w:val="single" w:sz="4" w:space="0" w:color="000000"/>
            </w:tcBorders>
            <w:vAlign w:val="center"/>
            <w:hideMark/>
          </w:tcPr>
          <w:p w14:paraId="15BC83B4" w14:textId="77777777" w:rsidR="00E541EE" w:rsidRPr="003623E3" w:rsidRDefault="00E541EE" w:rsidP="00A84BB5">
            <w:pPr>
              <w:jc w:val="right"/>
              <w:rPr>
                <w:rFonts w:ascii="Arial" w:eastAsia="Times New Roman" w:hAnsi="Arial" w:cs="Arial"/>
                <w:color w:val="000000"/>
                <w:sz w:val="16"/>
                <w:szCs w:val="16"/>
              </w:rPr>
            </w:pPr>
            <w:r w:rsidRPr="003623E3">
              <w:rPr>
                <w:rFonts w:ascii="Arial" w:eastAsia="Times New Roman" w:hAnsi="Arial" w:cs="Arial"/>
                <w:color w:val="000000"/>
                <w:sz w:val="16"/>
                <w:szCs w:val="16"/>
              </w:rPr>
              <w:t>1.065.300,09</w:t>
            </w:r>
          </w:p>
        </w:tc>
        <w:tc>
          <w:tcPr>
            <w:tcW w:w="686" w:type="pct"/>
            <w:tcBorders>
              <w:top w:val="nil"/>
              <w:left w:val="nil"/>
              <w:bottom w:val="single" w:sz="4" w:space="0" w:color="000000"/>
              <w:right w:val="single" w:sz="4" w:space="0" w:color="000000"/>
            </w:tcBorders>
            <w:vAlign w:val="center"/>
            <w:hideMark/>
          </w:tcPr>
          <w:p w14:paraId="7C15516D" w14:textId="77777777" w:rsidR="00E541EE" w:rsidRPr="003623E3" w:rsidRDefault="00E541EE" w:rsidP="00A84BB5">
            <w:pPr>
              <w:jc w:val="right"/>
              <w:rPr>
                <w:rFonts w:ascii="Arial" w:eastAsia="Times New Roman" w:hAnsi="Arial" w:cs="Arial"/>
                <w:color w:val="000000"/>
                <w:sz w:val="16"/>
                <w:szCs w:val="16"/>
              </w:rPr>
            </w:pPr>
            <w:r w:rsidRPr="003623E3">
              <w:rPr>
                <w:rFonts w:ascii="Arial" w:eastAsia="Times New Roman" w:hAnsi="Arial" w:cs="Arial"/>
                <w:color w:val="000000"/>
                <w:sz w:val="16"/>
                <w:szCs w:val="16"/>
              </w:rPr>
              <w:t>1.296.800,09</w:t>
            </w:r>
          </w:p>
        </w:tc>
        <w:tc>
          <w:tcPr>
            <w:tcW w:w="400" w:type="pct"/>
            <w:tcBorders>
              <w:top w:val="nil"/>
              <w:left w:val="nil"/>
              <w:bottom w:val="single" w:sz="4" w:space="0" w:color="auto"/>
              <w:right w:val="single" w:sz="4" w:space="0" w:color="auto"/>
            </w:tcBorders>
            <w:noWrap/>
            <w:vAlign w:val="center"/>
            <w:hideMark/>
          </w:tcPr>
          <w:p w14:paraId="58E1B5E9" w14:textId="77777777" w:rsidR="00E541EE" w:rsidRPr="003623E3" w:rsidRDefault="00E541EE" w:rsidP="00A84BB5">
            <w:pPr>
              <w:jc w:val="right"/>
              <w:rPr>
                <w:rFonts w:ascii="Arial" w:eastAsia="Times New Roman" w:hAnsi="Arial" w:cs="Arial"/>
                <w:color w:val="000000"/>
                <w:sz w:val="16"/>
                <w:szCs w:val="16"/>
              </w:rPr>
            </w:pPr>
            <w:r w:rsidRPr="003623E3">
              <w:rPr>
                <w:rFonts w:ascii="Arial" w:eastAsia="Times New Roman" w:hAnsi="Arial" w:cs="Arial"/>
                <w:color w:val="000000"/>
                <w:sz w:val="16"/>
                <w:szCs w:val="16"/>
              </w:rPr>
              <w:t xml:space="preserve">76,04   </w:t>
            </w:r>
          </w:p>
        </w:tc>
      </w:tr>
      <w:tr w:rsidR="009E3961" w:rsidRPr="003623E3" w14:paraId="0D7F313B" w14:textId="77777777" w:rsidTr="00A84BB5">
        <w:trPr>
          <w:trHeight w:val="687"/>
        </w:trPr>
        <w:tc>
          <w:tcPr>
            <w:tcW w:w="415" w:type="pct"/>
            <w:tcBorders>
              <w:top w:val="nil"/>
              <w:left w:val="single" w:sz="4" w:space="0" w:color="000000"/>
              <w:bottom w:val="single" w:sz="4" w:space="0" w:color="000000"/>
              <w:right w:val="single" w:sz="4" w:space="0" w:color="000000"/>
            </w:tcBorders>
            <w:vAlign w:val="center"/>
            <w:hideMark/>
          </w:tcPr>
          <w:p w14:paraId="0C8E9383" w14:textId="77777777" w:rsidR="00E541EE" w:rsidRPr="003623E3" w:rsidRDefault="00E541EE" w:rsidP="00A84BB5">
            <w:pPr>
              <w:rPr>
                <w:rFonts w:ascii="Arial" w:eastAsia="Times New Roman" w:hAnsi="Arial" w:cs="Arial"/>
                <w:color w:val="000000"/>
                <w:sz w:val="16"/>
                <w:szCs w:val="16"/>
              </w:rPr>
            </w:pPr>
            <w:r w:rsidRPr="003623E3">
              <w:rPr>
                <w:rFonts w:ascii="Arial" w:eastAsia="Times New Roman" w:hAnsi="Arial" w:cs="Arial"/>
                <w:color w:val="000000"/>
                <w:sz w:val="16"/>
                <w:szCs w:val="16"/>
              </w:rPr>
              <w:t> </w:t>
            </w:r>
          </w:p>
        </w:tc>
        <w:tc>
          <w:tcPr>
            <w:tcW w:w="464" w:type="pct"/>
            <w:tcBorders>
              <w:top w:val="nil"/>
              <w:left w:val="nil"/>
              <w:bottom w:val="single" w:sz="4" w:space="0" w:color="000000"/>
              <w:right w:val="single" w:sz="4" w:space="0" w:color="000000"/>
            </w:tcBorders>
            <w:vAlign w:val="center"/>
            <w:hideMark/>
          </w:tcPr>
          <w:p w14:paraId="54BDB89E" w14:textId="77777777" w:rsidR="00E541EE" w:rsidRPr="003623E3" w:rsidRDefault="00E541EE" w:rsidP="00A84BB5">
            <w:pPr>
              <w:jc w:val="center"/>
              <w:rPr>
                <w:rFonts w:ascii="Arial" w:eastAsia="Times New Roman" w:hAnsi="Arial" w:cs="Arial"/>
                <w:color w:val="000000"/>
                <w:sz w:val="16"/>
                <w:szCs w:val="16"/>
              </w:rPr>
            </w:pPr>
            <w:r w:rsidRPr="003623E3">
              <w:rPr>
                <w:rFonts w:ascii="Arial" w:eastAsia="Times New Roman" w:hAnsi="Arial" w:cs="Arial"/>
                <w:color w:val="000000"/>
                <w:sz w:val="16"/>
                <w:szCs w:val="16"/>
              </w:rPr>
              <w:t>42</w:t>
            </w:r>
          </w:p>
        </w:tc>
        <w:tc>
          <w:tcPr>
            <w:tcW w:w="968" w:type="pct"/>
            <w:tcBorders>
              <w:top w:val="nil"/>
              <w:left w:val="nil"/>
              <w:bottom w:val="single" w:sz="4" w:space="0" w:color="000000"/>
              <w:right w:val="single" w:sz="4" w:space="0" w:color="000000"/>
            </w:tcBorders>
            <w:vAlign w:val="center"/>
            <w:hideMark/>
          </w:tcPr>
          <w:p w14:paraId="0D606FCD" w14:textId="77777777" w:rsidR="00E541EE" w:rsidRPr="003623E3" w:rsidRDefault="00E541EE" w:rsidP="00A84BB5">
            <w:pPr>
              <w:rPr>
                <w:rFonts w:ascii="Arial" w:eastAsia="Times New Roman" w:hAnsi="Arial" w:cs="Arial"/>
                <w:color w:val="000000"/>
                <w:sz w:val="16"/>
                <w:szCs w:val="16"/>
              </w:rPr>
            </w:pPr>
            <w:r w:rsidRPr="003623E3">
              <w:rPr>
                <w:rFonts w:ascii="Arial" w:eastAsia="Times New Roman" w:hAnsi="Arial" w:cs="Arial"/>
                <w:color w:val="000000"/>
                <w:sz w:val="16"/>
                <w:szCs w:val="16"/>
              </w:rPr>
              <w:t>Rashodi za nabavu proizvedene dugotrajne imovine</w:t>
            </w:r>
          </w:p>
        </w:tc>
        <w:tc>
          <w:tcPr>
            <w:tcW w:w="686" w:type="pct"/>
            <w:tcBorders>
              <w:top w:val="nil"/>
              <w:left w:val="nil"/>
              <w:bottom w:val="single" w:sz="4" w:space="0" w:color="000000"/>
              <w:right w:val="single" w:sz="4" w:space="0" w:color="000000"/>
            </w:tcBorders>
            <w:vAlign w:val="center"/>
            <w:hideMark/>
          </w:tcPr>
          <w:p w14:paraId="47ADBC40" w14:textId="77777777" w:rsidR="00E541EE" w:rsidRPr="003623E3" w:rsidRDefault="00E541EE" w:rsidP="00A84BB5">
            <w:pPr>
              <w:jc w:val="right"/>
              <w:rPr>
                <w:rFonts w:ascii="Arial" w:eastAsia="Times New Roman" w:hAnsi="Arial" w:cs="Arial"/>
                <w:color w:val="000000"/>
                <w:sz w:val="16"/>
                <w:szCs w:val="16"/>
              </w:rPr>
            </w:pPr>
            <w:r w:rsidRPr="003623E3">
              <w:rPr>
                <w:rFonts w:ascii="Arial" w:eastAsia="Times New Roman" w:hAnsi="Arial" w:cs="Arial"/>
                <w:color w:val="000000"/>
                <w:sz w:val="16"/>
                <w:szCs w:val="16"/>
              </w:rPr>
              <w:t>11.192.742,20</w:t>
            </w:r>
          </w:p>
        </w:tc>
        <w:tc>
          <w:tcPr>
            <w:tcW w:w="694" w:type="pct"/>
            <w:tcBorders>
              <w:top w:val="nil"/>
              <w:left w:val="nil"/>
              <w:bottom w:val="single" w:sz="4" w:space="0" w:color="000000"/>
              <w:right w:val="single" w:sz="4" w:space="0" w:color="000000"/>
            </w:tcBorders>
            <w:vAlign w:val="center"/>
            <w:hideMark/>
          </w:tcPr>
          <w:p w14:paraId="6F1BC69A" w14:textId="3850DFB7" w:rsidR="00E541EE" w:rsidRPr="003623E3" w:rsidRDefault="00E541EE" w:rsidP="00A84BB5">
            <w:pPr>
              <w:jc w:val="right"/>
              <w:rPr>
                <w:rFonts w:ascii="Arial" w:eastAsia="Times New Roman" w:hAnsi="Arial" w:cs="Arial"/>
                <w:color w:val="000000"/>
                <w:sz w:val="16"/>
                <w:szCs w:val="16"/>
              </w:rPr>
            </w:pPr>
            <w:r w:rsidRPr="003623E3">
              <w:rPr>
                <w:rFonts w:ascii="Arial" w:eastAsia="Times New Roman" w:hAnsi="Arial" w:cs="Arial"/>
                <w:color w:val="000000"/>
                <w:sz w:val="16"/>
                <w:szCs w:val="16"/>
              </w:rPr>
              <w:t>12.</w:t>
            </w:r>
            <w:r w:rsidR="00037D26">
              <w:rPr>
                <w:rFonts w:ascii="Arial" w:eastAsia="Times New Roman" w:hAnsi="Arial" w:cs="Arial"/>
                <w:color w:val="000000"/>
                <w:sz w:val="16"/>
                <w:szCs w:val="16"/>
              </w:rPr>
              <w:t>797</w:t>
            </w:r>
            <w:r w:rsidRPr="003623E3">
              <w:rPr>
                <w:rFonts w:ascii="Arial" w:eastAsia="Times New Roman" w:hAnsi="Arial" w:cs="Arial"/>
                <w:color w:val="000000"/>
                <w:sz w:val="16"/>
                <w:szCs w:val="16"/>
              </w:rPr>
              <w:t>.</w:t>
            </w:r>
            <w:r w:rsidR="00037D26">
              <w:rPr>
                <w:rFonts w:ascii="Arial" w:eastAsia="Times New Roman" w:hAnsi="Arial" w:cs="Arial"/>
                <w:color w:val="000000"/>
                <w:sz w:val="16"/>
                <w:szCs w:val="16"/>
              </w:rPr>
              <w:t>597</w:t>
            </w:r>
            <w:r w:rsidRPr="003623E3">
              <w:rPr>
                <w:rFonts w:ascii="Arial" w:eastAsia="Times New Roman" w:hAnsi="Arial" w:cs="Arial"/>
                <w:color w:val="000000"/>
                <w:sz w:val="16"/>
                <w:szCs w:val="16"/>
              </w:rPr>
              <w:t>,56</w:t>
            </w:r>
          </w:p>
        </w:tc>
        <w:tc>
          <w:tcPr>
            <w:tcW w:w="686" w:type="pct"/>
            <w:tcBorders>
              <w:top w:val="nil"/>
              <w:left w:val="nil"/>
              <w:bottom w:val="single" w:sz="4" w:space="0" w:color="000000"/>
              <w:right w:val="single" w:sz="4" w:space="0" w:color="000000"/>
            </w:tcBorders>
            <w:vAlign w:val="center"/>
            <w:hideMark/>
          </w:tcPr>
          <w:p w14:paraId="179EFC9B" w14:textId="77777777" w:rsidR="00E541EE" w:rsidRPr="003623E3" w:rsidRDefault="00E541EE" w:rsidP="00A84BB5">
            <w:pPr>
              <w:jc w:val="right"/>
              <w:rPr>
                <w:rFonts w:ascii="Arial" w:eastAsia="Times New Roman" w:hAnsi="Arial" w:cs="Arial"/>
                <w:color w:val="000000"/>
                <w:sz w:val="16"/>
                <w:szCs w:val="16"/>
              </w:rPr>
            </w:pPr>
            <w:r w:rsidRPr="003623E3">
              <w:rPr>
                <w:rFonts w:ascii="Arial" w:eastAsia="Times New Roman" w:hAnsi="Arial" w:cs="Arial"/>
                <w:color w:val="000000"/>
                <w:sz w:val="16"/>
                <w:szCs w:val="16"/>
              </w:rPr>
              <w:t>9.417.836,86</w:t>
            </w:r>
          </w:p>
        </w:tc>
        <w:tc>
          <w:tcPr>
            <w:tcW w:w="686" w:type="pct"/>
            <w:tcBorders>
              <w:top w:val="nil"/>
              <w:left w:val="nil"/>
              <w:bottom w:val="single" w:sz="4" w:space="0" w:color="000000"/>
              <w:right w:val="single" w:sz="4" w:space="0" w:color="000000"/>
            </w:tcBorders>
            <w:vAlign w:val="center"/>
            <w:hideMark/>
          </w:tcPr>
          <w:p w14:paraId="494D871F" w14:textId="77777777" w:rsidR="00E541EE" w:rsidRPr="003623E3" w:rsidRDefault="00E541EE" w:rsidP="00A84BB5">
            <w:pPr>
              <w:jc w:val="right"/>
              <w:rPr>
                <w:rFonts w:ascii="Arial" w:eastAsia="Times New Roman" w:hAnsi="Arial" w:cs="Arial"/>
                <w:color w:val="000000"/>
                <w:sz w:val="16"/>
                <w:szCs w:val="16"/>
              </w:rPr>
            </w:pPr>
            <w:r w:rsidRPr="003623E3">
              <w:rPr>
                <w:rFonts w:ascii="Arial" w:eastAsia="Times New Roman" w:hAnsi="Arial" w:cs="Arial"/>
                <w:color w:val="000000"/>
                <w:sz w:val="16"/>
                <w:szCs w:val="16"/>
              </w:rPr>
              <w:t>3.608.642,66</w:t>
            </w:r>
          </w:p>
        </w:tc>
        <w:tc>
          <w:tcPr>
            <w:tcW w:w="400" w:type="pct"/>
            <w:tcBorders>
              <w:top w:val="nil"/>
              <w:left w:val="nil"/>
              <w:bottom w:val="single" w:sz="4" w:space="0" w:color="auto"/>
              <w:right w:val="single" w:sz="4" w:space="0" w:color="auto"/>
            </w:tcBorders>
            <w:noWrap/>
            <w:vAlign w:val="center"/>
            <w:hideMark/>
          </w:tcPr>
          <w:p w14:paraId="3E458EAC" w14:textId="06B84783" w:rsidR="00E541EE" w:rsidRPr="003623E3" w:rsidRDefault="009E3961" w:rsidP="00A84BB5">
            <w:pPr>
              <w:jc w:val="right"/>
              <w:rPr>
                <w:rFonts w:ascii="Arial" w:eastAsia="Times New Roman" w:hAnsi="Arial" w:cs="Arial"/>
                <w:color w:val="000000"/>
                <w:sz w:val="16"/>
                <w:szCs w:val="16"/>
              </w:rPr>
            </w:pPr>
            <w:r>
              <w:rPr>
                <w:rFonts w:ascii="Arial" w:eastAsia="Times New Roman" w:hAnsi="Arial" w:cs="Arial"/>
                <w:color w:val="000000"/>
                <w:sz w:val="16"/>
                <w:szCs w:val="16"/>
              </w:rPr>
              <w:t>114,34</w:t>
            </w:r>
            <w:r w:rsidR="00E541EE" w:rsidRPr="003623E3">
              <w:rPr>
                <w:rFonts w:ascii="Arial" w:eastAsia="Times New Roman" w:hAnsi="Arial" w:cs="Arial"/>
                <w:color w:val="000000"/>
                <w:sz w:val="16"/>
                <w:szCs w:val="16"/>
              </w:rPr>
              <w:t xml:space="preserve">   </w:t>
            </w:r>
          </w:p>
        </w:tc>
      </w:tr>
      <w:tr w:rsidR="009E3961" w:rsidRPr="003623E3" w14:paraId="55EBD2E0" w14:textId="77777777" w:rsidTr="00A84BB5">
        <w:trPr>
          <w:trHeight w:val="710"/>
        </w:trPr>
        <w:tc>
          <w:tcPr>
            <w:tcW w:w="415" w:type="pct"/>
            <w:tcBorders>
              <w:top w:val="nil"/>
              <w:left w:val="single" w:sz="4" w:space="0" w:color="000000"/>
              <w:bottom w:val="single" w:sz="4" w:space="0" w:color="auto"/>
              <w:right w:val="single" w:sz="4" w:space="0" w:color="000000"/>
            </w:tcBorders>
            <w:vAlign w:val="center"/>
            <w:hideMark/>
          </w:tcPr>
          <w:p w14:paraId="6390689E" w14:textId="77777777" w:rsidR="00E541EE" w:rsidRPr="003623E3" w:rsidRDefault="00E541EE" w:rsidP="00A84BB5">
            <w:pPr>
              <w:rPr>
                <w:rFonts w:ascii="Arial" w:eastAsia="Times New Roman" w:hAnsi="Arial" w:cs="Arial"/>
                <w:color w:val="000000"/>
                <w:sz w:val="16"/>
                <w:szCs w:val="16"/>
              </w:rPr>
            </w:pPr>
            <w:r w:rsidRPr="003623E3">
              <w:rPr>
                <w:rFonts w:ascii="Arial" w:eastAsia="Times New Roman" w:hAnsi="Arial" w:cs="Arial"/>
                <w:color w:val="000000"/>
                <w:sz w:val="16"/>
                <w:szCs w:val="16"/>
              </w:rPr>
              <w:t> </w:t>
            </w:r>
          </w:p>
        </w:tc>
        <w:tc>
          <w:tcPr>
            <w:tcW w:w="464" w:type="pct"/>
            <w:tcBorders>
              <w:top w:val="nil"/>
              <w:left w:val="nil"/>
              <w:bottom w:val="single" w:sz="4" w:space="0" w:color="auto"/>
              <w:right w:val="single" w:sz="4" w:space="0" w:color="000000"/>
            </w:tcBorders>
            <w:vAlign w:val="center"/>
            <w:hideMark/>
          </w:tcPr>
          <w:p w14:paraId="360A5A7A" w14:textId="77777777" w:rsidR="00E541EE" w:rsidRPr="003623E3" w:rsidRDefault="00E541EE" w:rsidP="00A84BB5">
            <w:pPr>
              <w:jc w:val="center"/>
              <w:rPr>
                <w:rFonts w:ascii="Arial" w:eastAsia="Times New Roman" w:hAnsi="Arial" w:cs="Arial"/>
                <w:color w:val="000000"/>
                <w:sz w:val="16"/>
                <w:szCs w:val="16"/>
              </w:rPr>
            </w:pPr>
            <w:r w:rsidRPr="003623E3">
              <w:rPr>
                <w:rFonts w:ascii="Arial" w:eastAsia="Times New Roman" w:hAnsi="Arial" w:cs="Arial"/>
                <w:color w:val="000000"/>
                <w:sz w:val="16"/>
                <w:szCs w:val="16"/>
              </w:rPr>
              <w:t>45</w:t>
            </w:r>
          </w:p>
        </w:tc>
        <w:tc>
          <w:tcPr>
            <w:tcW w:w="968" w:type="pct"/>
            <w:tcBorders>
              <w:top w:val="nil"/>
              <w:left w:val="nil"/>
              <w:bottom w:val="single" w:sz="4" w:space="0" w:color="auto"/>
              <w:right w:val="single" w:sz="4" w:space="0" w:color="000000"/>
            </w:tcBorders>
            <w:vAlign w:val="center"/>
            <w:hideMark/>
          </w:tcPr>
          <w:p w14:paraId="463DD56F" w14:textId="77777777" w:rsidR="00E541EE" w:rsidRPr="003623E3" w:rsidRDefault="00E541EE" w:rsidP="00A84BB5">
            <w:pPr>
              <w:rPr>
                <w:rFonts w:ascii="Arial" w:eastAsia="Times New Roman" w:hAnsi="Arial" w:cs="Arial"/>
                <w:color w:val="000000"/>
                <w:sz w:val="16"/>
                <w:szCs w:val="16"/>
              </w:rPr>
            </w:pPr>
            <w:r w:rsidRPr="003623E3">
              <w:rPr>
                <w:rFonts w:ascii="Arial" w:eastAsia="Times New Roman" w:hAnsi="Arial" w:cs="Arial"/>
                <w:color w:val="000000"/>
                <w:sz w:val="16"/>
                <w:szCs w:val="16"/>
              </w:rPr>
              <w:t>Rashodi za dodatna ulaganja na nefinancijskoj imovini</w:t>
            </w:r>
          </w:p>
        </w:tc>
        <w:tc>
          <w:tcPr>
            <w:tcW w:w="686" w:type="pct"/>
            <w:tcBorders>
              <w:top w:val="nil"/>
              <w:left w:val="nil"/>
              <w:bottom w:val="single" w:sz="4" w:space="0" w:color="auto"/>
              <w:right w:val="single" w:sz="4" w:space="0" w:color="000000"/>
            </w:tcBorders>
            <w:vAlign w:val="center"/>
            <w:hideMark/>
          </w:tcPr>
          <w:p w14:paraId="4D31D85E" w14:textId="77777777" w:rsidR="00E541EE" w:rsidRPr="003623E3" w:rsidRDefault="00E541EE" w:rsidP="00A84BB5">
            <w:pPr>
              <w:jc w:val="right"/>
              <w:rPr>
                <w:rFonts w:ascii="Arial" w:eastAsia="Times New Roman" w:hAnsi="Arial" w:cs="Arial"/>
                <w:color w:val="000000"/>
                <w:sz w:val="16"/>
                <w:szCs w:val="16"/>
              </w:rPr>
            </w:pPr>
            <w:r w:rsidRPr="003623E3">
              <w:rPr>
                <w:rFonts w:ascii="Arial" w:eastAsia="Times New Roman" w:hAnsi="Arial" w:cs="Arial"/>
                <w:color w:val="000000"/>
                <w:sz w:val="16"/>
                <w:szCs w:val="16"/>
              </w:rPr>
              <w:t>16.706.409,00</w:t>
            </w:r>
          </w:p>
        </w:tc>
        <w:tc>
          <w:tcPr>
            <w:tcW w:w="694" w:type="pct"/>
            <w:tcBorders>
              <w:top w:val="nil"/>
              <w:left w:val="nil"/>
              <w:bottom w:val="single" w:sz="4" w:space="0" w:color="auto"/>
              <w:right w:val="single" w:sz="4" w:space="0" w:color="000000"/>
            </w:tcBorders>
            <w:vAlign w:val="center"/>
            <w:hideMark/>
          </w:tcPr>
          <w:p w14:paraId="0C466E36" w14:textId="77777777" w:rsidR="00E541EE" w:rsidRPr="003623E3" w:rsidRDefault="00E541EE" w:rsidP="00A84BB5">
            <w:pPr>
              <w:jc w:val="right"/>
              <w:rPr>
                <w:rFonts w:ascii="Arial" w:eastAsia="Times New Roman" w:hAnsi="Arial" w:cs="Arial"/>
                <w:color w:val="000000"/>
                <w:sz w:val="16"/>
                <w:szCs w:val="16"/>
              </w:rPr>
            </w:pPr>
            <w:r w:rsidRPr="003623E3">
              <w:rPr>
                <w:rFonts w:ascii="Arial" w:eastAsia="Times New Roman" w:hAnsi="Arial" w:cs="Arial"/>
                <w:color w:val="000000"/>
                <w:sz w:val="16"/>
                <w:szCs w:val="16"/>
              </w:rPr>
              <w:t>12.116.458,12</w:t>
            </w:r>
          </w:p>
        </w:tc>
        <w:tc>
          <w:tcPr>
            <w:tcW w:w="686" w:type="pct"/>
            <w:tcBorders>
              <w:top w:val="nil"/>
              <w:left w:val="nil"/>
              <w:bottom w:val="single" w:sz="4" w:space="0" w:color="auto"/>
              <w:right w:val="single" w:sz="4" w:space="0" w:color="000000"/>
            </w:tcBorders>
            <w:vAlign w:val="center"/>
            <w:hideMark/>
          </w:tcPr>
          <w:p w14:paraId="04FEBBDA" w14:textId="77777777" w:rsidR="00E541EE" w:rsidRPr="003623E3" w:rsidRDefault="00E541EE" w:rsidP="00A84BB5">
            <w:pPr>
              <w:jc w:val="right"/>
              <w:rPr>
                <w:rFonts w:ascii="Arial" w:eastAsia="Times New Roman" w:hAnsi="Arial" w:cs="Arial"/>
                <w:color w:val="000000"/>
                <w:sz w:val="16"/>
                <w:szCs w:val="16"/>
              </w:rPr>
            </w:pPr>
            <w:r w:rsidRPr="003623E3">
              <w:rPr>
                <w:rFonts w:ascii="Arial" w:eastAsia="Times New Roman" w:hAnsi="Arial" w:cs="Arial"/>
                <w:color w:val="000000"/>
                <w:sz w:val="16"/>
                <w:szCs w:val="16"/>
              </w:rPr>
              <w:t>426.000,00</w:t>
            </w:r>
          </w:p>
        </w:tc>
        <w:tc>
          <w:tcPr>
            <w:tcW w:w="686" w:type="pct"/>
            <w:tcBorders>
              <w:top w:val="nil"/>
              <w:left w:val="nil"/>
              <w:bottom w:val="single" w:sz="4" w:space="0" w:color="auto"/>
              <w:right w:val="single" w:sz="4" w:space="0" w:color="000000"/>
            </w:tcBorders>
            <w:vAlign w:val="center"/>
            <w:hideMark/>
          </w:tcPr>
          <w:p w14:paraId="3B795072" w14:textId="77777777" w:rsidR="00E541EE" w:rsidRPr="003623E3" w:rsidRDefault="00E541EE" w:rsidP="00A84BB5">
            <w:pPr>
              <w:jc w:val="right"/>
              <w:rPr>
                <w:rFonts w:ascii="Arial" w:eastAsia="Times New Roman" w:hAnsi="Arial" w:cs="Arial"/>
                <w:color w:val="000000"/>
                <w:sz w:val="16"/>
                <w:szCs w:val="16"/>
              </w:rPr>
            </w:pPr>
            <w:r w:rsidRPr="003623E3">
              <w:rPr>
                <w:rFonts w:ascii="Arial" w:eastAsia="Times New Roman" w:hAnsi="Arial" w:cs="Arial"/>
                <w:color w:val="000000"/>
                <w:sz w:val="16"/>
                <w:szCs w:val="16"/>
              </w:rPr>
              <w:t>307.000,00</w:t>
            </w:r>
          </w:p>
        </w:tc>
        <w:tc>
          <w:tcPr>
            <w:tcW w:w="400" w:type="pct"/>
            <w:tcBorders>
              <w:top w:val="nil"/>
              <w:left w:val="nil"/>
              <w:bottom w:val="single" w:sz="4" w:space="0" w:color="auto"/>
              <w:right w:val="single" w:sz="4" w:space="0" w:color="auto"/>
            </w:tcBorders>
            <w:noWrap/>
            <w:vAlign w:val="center"/>
            <w:hideMark/>
          </w:tcPr>
          <w:p w14:paraId="380FEC5F" w14:textId="77777777" w:rsidR="00E541EE" w:rsidRPr="003623E3" w:rsidRDefault="00E541EE" w:rsidP="00A84BB5">
            <w:pPr>
              <w:jc w:val="right"/>
              <w:rPr>
                <w:rFonts w:ascii="Arial" w:eastAsia="Times New Roman" w:hAnsi="Arial" w:cs="Arial"/>
                <w:color w:val="000000"/>
                <w:sz w:val="16"/>
                <w:szCs w:val="16"/>
              </w:rPr>
            </w:pPr>
            <w:r w:rsidRPr="003623E3">
              <w:rPr>
                <w:rFonts w:ascii="Arial" w:eastAsia="Times New Roman" w:hAnsi="Arial" w:cs="Arial"/>
                <w:color w:val="000000"/>
                <w:sz w:val="16"/>
                <w:szCs w:val="16"/>
              </w:rPr>
              <w:t xml:space="preserve">72,53   </w:t>
            </w:r>
          </w:p>
        </w:tc>
      </w:tr>
    </w:tbl>
    <w:p w14:paraId="5305B776" w14:textId="77777777" w:rsidR="00E541EE" w:rsidRPr="00325B77" w:rsidRDefault="00E541EE" w:rsidP="00E541EE">
      <w:pPr>
        <w:jc w:val="both"/>
        <w:rPr>
          <w:rFonts w:ascii="Arial" w:hAnsi="Arial" w:cs="Arial"/>
          <w:i/>
          <w:sz w:val="24"/>
          <w:szCs w:val="24"/>
        </w:rPr>
      </w:pPr>
    </w:p>
    <w:p w14:paraId="1D5C0CC6" w14:textId="10BEACE1" w:rsidR="00E541EE" w:rsidRPr="00C422E2" w:rsidRDefault="00E541EE" w:rsidP="00E541EE">
      <w:pPr>
        <w:jc w:val="both"/>
        <w:rPr>
          <w:rFonts w:ascii="Arial" w:hAnsi="Arial" w:cs="Arial"/>
          <w:sz w:val="24"/>
          <w:szCs w:val="24"/>
        </w:rPr>
      </w:pPr>
      <w:r w:rsidRPr="00C422E2">
        <w:rPr>
          <w:rFonts w:ascii="Arial" w:hAnsi="Arial" w:cs="Arial"/>
          <w:b/>
          <w:sz w:val="24"/>
          <w:szCs w:val="24"/>
        </w:rPr>
        <w:t xml:space="preserve">Rashodi poslovanja </w:t>
      </w:r>
      <w:r w:rsidRPr="00C422E2">
        <w:rPr>
          <w:rFonts w:ascii="Arial" w:hAnsi="Arial" w:cs="Arial"/>
          <w:bCs/>
          <w:sz w:val="24"/>
          <w:szCs w:val="24"/>
        </w:rPr>
        <w:t>planirani su u iznosu od 35.</w:t>
      </w:r>
      <w:r w:rsidR="00037D26">
        <w:rPr>
          <w:rFonts w:ascii="Arial" w:hAnsi="Arial" w:cs="Arial"/>
          <w:bCs/>
          <w:sz w:val="24"/>
          <w:szCs w:val="24"/>
        </w:rPr>
        <w:t>180</w:t>
      </w:r>
      <w:r w:rsidRPr="00C422E2">
        <w:rPr>
          <w:rFonts w:ascii="Arial" w:hAnsi="Arial" w:cs="Arial"/>
          <w:bCs/>
          <w:sz w:val="24"/>
          <w:szCs w:val="24"/>
        </w:rPr>
        <w:t>.041,50 eura</w:t>
      </w:r>
      <w:r w:rsidRPr="00C422E2">
        <w:rPr>
          <w:rFonts w:ascii="Arial" w:hAnsi="Arial" w:cs="Arial"/>
          <w:b/>
          <w:i/>
          <w:sz w:val="24"/>
          <w:szCs w:val="24"/>
        </w:rPr>
        <w:t xml:space="preserve"> </w:t>
      </w:r>
      <w:r w:rsidRPr="00C422E2">
        <w:rPr>
          <w:rFonts w:ascii="Arial" w:hAnsi="Arial" w:cs="Arial"/>
          <w:sz w:val="24"/>
          <w:szCs w:val="24"/>
        </w:rPr>
        <w:t>i čine 57,</w:t>
      </w:r>
      <w:r w:rsidR="00037D26">
        <w:rPr>
          <w:rFonts w:ascii="Arial" w:hAnsi="Arial" w:cs="Arial"/>
          <w:sz w:val="24"/>
          <w:szCs w:val="24"/>
        </w:rPr>
        <w:t>39</w:t>
      </w:r>
      <w:r w:rsidRPr="00C422E2">
        <w:rPr>
          <w:rFonts w:ascii="Arial" w:hAnsi="Arial" w:cs="Arial"/>
          <w:sz w:val="24"/>
          <w:szCs w:val="24"/>
        </w:rPr>
        <w:t>% od ukupno planiranih rashoda za 2026. godinu.</w:t>
      </w:r>
    </w:p>
    <w:p w14:paraId="6F62D8C6" w14:textId="77777777" w:rsidR="00E541EE" w:rsidRPr="00C422E2" w:rsidRDefault="00E541EE" w:rsidP="00E541EE">
      <w:pPr>
        <w:jc w:val="both"/>
        <w:rPr>
          <w:rFonts w:ascii="Arial" w:hAnsi="Arial" w:cs="Arial"/>
          <w:sz w:val="24"/>
          <w:szCs w:val="24"/>
        </w:rPr>
      </w:pPr>
    </w:p>
    <w:p w14:paraId="3E2323C2" w14:textId="77777777" w:rsidR="00E541EE" w:rsidRPr="000D7371" w:rsidRDefault="00E541EE" w:rsidP="00E541EE">
      <w:pPr>
        <w:jc w:val="both"/>
        <w:rPr>
          <w:rFonts w:ascii="Arial" w:hAnsi="Arial" w:cs="Arial"/>
          <w:sz w:val="24"/>
          <w:szCs w:val="24"/>
        </w:rPr>
      </w:pPr>
      <w:r w:rsidRPr="000D7371">
        <w:rPr>
          <w:rFonts w:ascii="Arial" w:hAnsi="Arial" w:cs="Arial"/>
          <w:b/>
          <w:sz w:val="24"/>
          <w:szCs w:val="24"/>
        </w:rPr>
        <w:t xml:space="preserve">Rashodi za zaposlene </w:t>
      </w:r>
      <w:r w:rsidRPr="000D7371">
        <w:rPr>
          <w:rFonts w:ascii="Arial" w:hAnsi="Arial" w:cs="Arial"/>
          <w:bCs/>
          <w:sz w:val="24"/>
          <w:szCs w:val="24"/>
        </w:rPr>
        <w:t>(skupina 31)</w:t>
      </w:r>
      <w:r w:rsidRPr="000D7371">
        <w:rPr>
          <w:rFonts w:ascii="Arial" w:hAnsi="Arial" w:cs="Arial"/>
          <w:sz w:val="24"/>
          <w:szCs w:val="24"/>
        </w:rPr>
        <w:t xml:space="preserve"> planirani su u iznosu od 17.745.924,66 eura. Unutar planiranih sredstava na plaće djelatnika gradske uprave i svih gradskih ustanova tj. proračunskih korisnika rashodi za plaće iznose 14.279.251,89 eura, ostali rashodi za zaposlene planirani su u iznosu od 1.003.908,00 eura, a odnose se na rashode zaposlenih koje ostvaruju temeljem prava po osnovi odredaba Pravilnika o radu za službenike i namještenike zaposlene u gradskoj upravi (regres, nagrade, naknade za slučaj dužeg bolovanja, naknade za smrtni slučaji sl.) Doprinosi na plaću odnosno doprinosi za mirovinsko osiguranje za rad sa povećanim trajanjem i doprinosi za obvezno zdravstveno osiguranje planirani u iznosu od 2.462.764,77 eura.</w:t>
      </w:r>
    </w:p>
    <w:p w14:paraId="651F9ED1" w14:textId="77777777" w:rsidR="00E541EE" w:rsidRPr="000D7371" w:rsidRDefault="00E541EE" w:rsidP="00E541EE">
      <w:pPr>
        <w:jc w:val="both"/>
        <w:rPr>
          <w:rFonts w:ascii="Arial" w:hAnsi="Arial" w:cs="Arial"/>
          <w:sz w:val="24"/>
          <w:szCs w:val="24"/>
        </w:rPr>
      </w:pPr>
    </w:p>
    <w:p w14:paraId="091CB3DC" w14:textId="03A4DB8B" w:rsidR="00E541EE" w:rsidRPr="000D7371" w:rsidRDefault="00E541EE" w:rsidP="00E541EE">
      <w:pPr>
        <w:jc w:val="both"/>
        <w:rPr>
          <w:rFonts w:ascii="Arial" w:hAnsi="Arial" w:cs="Arial"/>
          <w:sz w:val="24"/>
          <w:szCs w:val="24"/>
        </w:rPr>
      </w:pPr>
      <w:r w:rsidRPr="0072444D">
        <w:rPr>
          <w:rFonts w:ascii="Arial" w:hAnsi="Arial" w:cs="Arial"/>
          <w:b/>
          <w:sz w:val="24"/>
          <w:szCs w:val="24"/>
        </w:rPr>
        <w:t xml:space="preserve">Materijalni rashodi </w:t>
      </w:r>
      <w:r w:rsidRPr="0072444D">
        <w:rPr>
          <w:rFonts w:ascii="Arial" w:hAnsi="Arial" w:cs="Arial"/>
          <w:bCs/>
          <w:sz w:val="24"/>
          <w:szCs w:val="24"/>
        </w:rPr>
        <w:t>(skupina 32)</w:t>
      </w:r>
      <w:r w:rsidRPr="0072444D">
        <w:rPr>
          <w:rFonts w:ascii="Arial" w:hAnsi="Arial" w:cs="Arial"/>
          <w:sz w:val="24"/>
          <w:szCs w:val="24"/>
        </w:rPr>
        <w:t xml:space="preserve"> </w:t>
      </w:r>
      <w:r w:rsidRPr="0072444D">
        <w:rPr>
          <w:rFonts w:ascii="Arial" w:hAnsi="Arial" w:cs="Arial"/>
          <w:b/>
          <w:sz w:val="24"/>
          <w:szCs w:val="24"/>
        </w:rPr>
        <w:t xml:space="preserve"> </w:t>
      </w:r>
      <w:r w:rsidRPr="0072444D">
        <w:rPr>
          <w:rFonts w:ascii="Arial" w:hAnsi="Arial" w:cs="Arial"/>
          <w:sz w:val="24"/>
          <w:szCs w:val="24"/>
        </w:rPr>
        <w:t>planirani su u iznosu 1</w:t>
      </w:r>
      <w:r w:rsidR="00037D26" w:rsidRPr="0072444D">
        <w:rPr>
          <w:rFonts w:ascii="Arial" w:hAnsi="Arial" w:cs="Arial"/>
          <w:sz w:val="24"/>
          <w:szCs w:val="24"/>
        </w:rPr>
        <w:t>0</w:t>
      </w:r>
      <w:r w:rsidRPr="0072444D">
        <w:rPr>
          <w:rFonts w:ascii="Arial" w:hAnsi="Arial" w:cs="Arial"/>
          <w:sz w:val="24"/>
          <w:szCs w:val="24"/>
        </w:rPr>
        <w:t>.</w:t>
      </w:r>
      <w:r w:rsidR="00037D26" w:rsidRPr="0072444D">
        <w:rPr>
          <w:rFonts w:ascii="Arial" w:hAnsi="Arial" w:cs="Arial"/>
          <w:sz w:val="24"/>
          <w:szCs w:val="24"/>
        </w:rPr>
        <w:t>902.141</w:t>
      </w:r>
      <w:r w:rsidRPr="0072444D">
        <w:rPr>
          <w:rFonts w:ascii="Arial" w:hAnsi="Arial" w:cs="Arial"/>
          <w:sz w:val="24"/>
          <w:szCs w:val="24"/>
        </w:rPr>
        <w:t>,54 eura te obuhvaćaju zajedničke rashode za funkcioniranje upravnih odjela Grada Rovinja-Rovigno i svih proračunskih korisnika kao i sve troškove raspoređene po svim programima i aktivnostima koji se provode i financiraju iz različitih izvora. Najznačajniji udio imaju rashodi za usluge u iznosu od 7.</w:t>
      </w:r>
      <w:r w:rsidR="0072444D" w:rsidRPr="0072444D">
        <w:rPr>
          <w:rFonts w:ascii="Arial" w:hAnsi="Arial" w:cs="Arial"/>
          <w:sz w:val="24"/>
          <w:szCs w:val="24"/>
        </w:rPr>
        <w:t>627.271,79</w:t>
      </w:r>
      <w:r w:rsidRPr="0072444D">
        <w:rPr>
          <w:rFonts w:ascii="Arial" w:hAnsi="Arial" w:cs="Arial"/>
          <w:sz w:val="24"/>
          <w:szCs w:val="24"/>
        </w:rPr>
        <w:t xml:space="preserve"> eura,  zatim rashodi za materijal i energiju 1.971.568,84 eura, slijede ostali nespomenuti rashodi poslovanja  606.954,17 eura, naknade troškova zaposlenima 623.148,77 eura i naknade troškova osobama izvan radnog odnosa u iznosu od 73.197,97 eura.</w:t>
      </w:r>
    </w:p>
    <w:p w14:paraId="2D2CC308" w14:textId="77777777" w:rsidR="00E541EE" w:rsidRPr="00D9056E" w:rsidRDefault="00E541EE" w:rsidP="00E541EE">
      <w:pPr>
        <w:jc w:val="both"/>
        <w:rPr>
          <w:rFonts w:ascii="Arial" w:hAnsi="Arial" w:cs="Arial"/>
          <w:sz w:val="24"/>
          <w:szCs w:val="24"/>
          <w:highlight w:val="yellow"/>
        </w:rPr>
      </w:pPr>
    </w:p>
    <w:p w14:paraId="2942E805" w14:textId="77777777" w:rsidR="00E541EE" w:rsidRPr="000D7371" w:rsidRDefault="00E541EE" w:rsidP="00E541EE">
      <w:pPr>
        <w:jc w:val="both"/>
        <w:rPr>
          <w:rFonts w:ascii="Arial" w:hAnsi="Arial" w:cs="Arial"/>
          <w:sz w:val="24"/>
          <w:szCs w:val="24"/>
        </w:rPr>
      </w:pPr>
      <w:r w:rsidRPr="000D7371">
        <w:rPr>
          <w:rFonts w:ascii="Arial" w:hAnsi="Arial" w:cs="Arial"/>
          <w:b/>
          <w:sz w:val="24"/>
          <w:szCs w:val="24"/>
        </w:rPr>
        <w:t xml:space="preserve">Financijski rashodi </w:t>
      </w:r>
      <w:r w:rsidRPr="000D7371">
        <w:rPr>
          <w:rFonts w:ascii="Arial" w:hAnsi="Arial" w:cs="Arial"/>
          <w:bCs/>
          <w:sz w:val="24"/>
          <w:szCs w:val="24"/>
        </w:rPr>
        <w:t>(skupina 34)</w:t>
      </w:r>
      <w:r w:rsidRPr="000D7371">
        <w:rPr>
          <w:rFonts w:ascii="Arial" w:hAnsi="Arial" w:cs="Arial"/>
          <w:sz w:val="24"/>
          <w:szCs w:val="24"/>
        </w:rPr>
        <w:t xml:space="preserve">  planirani su u iznosu od 87.873,32 eura, a odnose se na ostale financijske rashode od čega su troškovi usluga banaka i usluga platnog prometa planirani u iznosu od 28.813,74 eura te zatezne kamate iz poslovnih odnosa u visini od 28.661,41 eura. Razliku čine ostali nespomenuti financijski prihodi u iznosu od 30.000,00 eura, a odnose se na nepredviđene situacije uslijed novih sudskih postupaka na teret Grada i koje se ne mogu predvidjeti.  </w:t>
      </w:r>
    </w:p>
    <w:p w14:paraId="06CBC0B1" w14:textId="77777777" w:rsidR="00E541EE" w:rsidRPr="000D7371" w:rsidRDefault="00E541EE" w:rsidP="00E541EE">
      <w:pPr>
        <w:jc w:val="both"/>
        <w:rPr>
          <w:rFonts w:ascii="Arial" w:hAnsi="Arial" w:cs="Arial"/>
          <w:sz w:val="24"/>
          <w:szCs w:val="24"/>
        </w:rPr>
      </w:pPr>
    </w:p>
    <w:p w14:paraId="51ABF49B" w14:textId="77777777" w:rsidR="00E541EE" w:rsidRPr="000D7371" w:rsidRDefault="00E541EE" w:rsidP="00E541EE">
      <w:pPr>
        <w:jc w:val="both"/>
        <w:rPr>
          <w:rFonts w:ascii="Arial" w:hAnsi="Arial" w:cs="Arial"/>
          <w:sz w:val="24"/>
          <w:szCs w:val="24"/>
        </w:rPr>
      </w:pPr>
      <w:r w:rsidRPr="000D7371">
        <w:rPr>
          <w:rFonts w:ascii="Arial" w:hAnsi="Arial" w:cs="Arial"/>
          <w:b/>
          <w:sz w:val="24"/>
          <w:szCs w:val="24"/>
        </w:rPr>
        <w:t xml:space="preserve">Subvencije </w:t>
      </w:r>
      <w:r w:rsidRPr="000D7371">
        <w:rPr>
          <w:rFonts w:ascii="Arial" w:hAnsi="Arial" w:cs="Arial"/>
          <w:bCs/>
          <w:sz w:val="24"/>
          <w:szCs w:val="24"/>
        </w:rPr>
        <w:t>(skupina 35)</w:t>
      </w:r>
      <w:r>
        <w:rPr>
          <w:rFonts w:ascii="Arial" w:hAnsi="Arial" w:cs="Arial"/>
          <w:sz w:val="24"/>
          <w:szCs w:val="24"/>
        </w:rPr>
        <w:t xml:space="preserve">  su planirane u iznosu od 928.451,73</w:t>
      </w:r>
      <w:r w:rsidRPr="000D7371">
        <w:rPr>
          <w:rFonts w:ascii="Arial" w:hAnsi="Arial" w:cs="Arial"/>
          <w:sz w:val="24"/>
          <w:szCs w:val="24"/>
        </w:rPr>
        <w:t xml:space="preserve"> eura  i odnose se na subvencije trgovačkim društvima u javnom sektoru, subvencije trgovačkim društvima,  zadrugama izvan javnog sektora te subvencije poljoprivrednicima i obrtnicima u vidu subvencija trgovačkim društvima u vlasništvu Grada Rovinja-Rovigno, subvencioniranja kamata obrtnicima i poduzećima po ostvarenim kreditima te razne subvencije poljoprivrednicima za infrastrukturu i sl.</w:t>
      </w:r>
    </w:p>
    <w:p w14:paraId="4CD3C1E3" w14:textId="77777777" w:rsidR="00E541EE" w:rsidRPr="000D7371" w:rsidRDefault="00E541EE" w:rsidP="00E541EE">
      <w:pPr>
        <w:jc w:val="both"/>
        <w:rPr>
          <w:rFonts w:ascii="Arial" w:hAnsi="Arial" w:cs="Arial"/>
          <w:sz w:val="24"/>
          <w:szCs w:val="24"/>
        </w:rPr>
      </w:pPr>
    </w:p>
    <w:p w14:paraId="72C20AA9" w14:textId="77777777" w:rsidR="00E541EE" w:rsidRPr="000D7371" w:rsidRDefault="00E541EE" w:rsidP="00E541EE">
      <w:pPr>
        <w:jc w:val="both"/>
        <w:rPr>
          <w:rFonts w:ascii="Arial" w:hAnsi="Arial" w:cs="Arial"/>
          <w:sz w:val="24"/>
          <w:szCs w:val="24"/>
        </w:rPr>
      </w:pPr>
      <w:r w:rsidRPr="000D7371">
        <w:rPr>
          <w:rFonts w:ascii="Arial" w:hAnsi="Arial" w:cs="Arial"/>
          <w:b/>
          <w:sz w:val="24"/>
          <w:szCs w:val="24"/>
        </w:rPr>
        <w:t xml:space="preserve">Pomoći dane u inozemstvo i unutar općeg proračuna </w:t>
      </w:r>
      <w:r w:rsidRPr="000D7371">
        <w:rPr>
          <w:rFonts w:ascii="Arial" w:hAnsi="Arial" w:cs="Arial"/>
          <w:bCs/>
          <w:sz w:val="24"/>
          <w:szCs w:val="24"/>
        </w:rPr>
        <w:t>(skupina 36)</w:t>
      </w:r>
      <w:r w:rsidRPr="000D7371">
        <w:rPr>
          <w:rFonts w:ascii="Arial" w:hAnsi="Arial" w:cs="Arial"/>
          <w:sz w:val="24"/>
          <w:szCs w:val="24"/>
        </w:rPr>
        <w:t xml:space="preserve">  planirane su u iznosu od 923.382,37 eura. Veći dio se odnosi na pomoći dane proračunu Istarske županije kao šta je i pomoć sukladno Ugovoru o organizaciji i sufinanciranju zdravstvene zaštite zbog povećanog broja turista za vrijeme sezone radi hitnih medicinskih stanja te zbrinjavanja i pružanja zdravstvenih usluga u OB Pula i Istarskim domovima zdravlja. U te rashode spadaju i razne pomoći školama i drugim organizacijama prema dostavljenim i odobrenim zahtjevima.    </w:t>
      </w:r>
    </w:p>
    <w:p w14:paraId="191FF680" w14:textId="77777777" w:rsidR="00E541EE" w:rsidRPr="000D7371" w:rsidRDefault="00E541EE" w:rsidP="00E541EE">
      <w:pPr>
        <w:jc w:val="both"/>
        <w:rPr>
          <w:rFonts w:ascii="Arial" w:hAnsi="Arial" w:cs="Arial"/>
          <w:sz w:val="24"/>
          <w:szCs w:val="24"/>
        </w:rPr>
      </w:pPr>
    </w:p>
    <w:p w14:paraId="7A403EC6" w14:textId="77777777" w:rsidR="00E541EE" w:rsidRPr="000D7371" w:rsidRDefault="00E541EE" w:rsidP="00E541EE">
      <w:pPr>
        <w:jc w:val="both"/>
        <w:rPr>
          <w:rFonts w:ascii="Arial" w:hAnsi="Arial" w:cs="Arial"/>
          <w:sz w:val="24"/>
          <w:szCs w:val="24"/>
        </w:rPr>
      </w:pPr>
      <w:r w:rsidRPr="000D7371">
        <w:rPr>
          <w:rFonts w:ascii="Arial" w:hAnsi="Arial" w:cs="Arial"/>
          <w:b/>
          <w:sz w:val="24"/>
          <w:szCs w:val="24"/>
        </w:rPr>
        <w:t>Naknade građanima i kućanstvima temeljem osiguranja i druge naknade</w:t>
      </w:r>
      <w:r w:rsidRPr="000D7371">
        <w:rPr>
          <w:rFonts w:ascii="Arial" w:hAnsi="Arial" w:cs="Arial"/>
          <w:sz w:val="24"/>
          <w:szCs w:val="24"/>
        </w:rPr>
        <w:t xml:space="preserve">  </w:t>
      </w:r>
      <w:r w:rsidRPr="000D7371">
        <w:rPr>
          <w:rFonts w:ascii="Arial" w:hAnsi="Arial" w:cs="Arial"/>
          <w:bCs/>
          <w:sz w:val="24"/>
          <w:szCs w:val="24"/>
        </w:rPr>
        <w:t>(skupina 37)</w:t>
      </w:r>
      <w:r w:rsidRPr="000D7371">
        <w:rPr>
          <w:rFonts w:ascii="Arial" w:hAnsi="Arial" w:cs="Arial"/>
          <w:sz w:val="24"/>
          <w:szCs w:val="24"/>
        </w:rPr>
        <w:t xml:space="preserve"> planirane su u iznosu od 1.219.520,00 eura, a odnose se na isplatu jednokratnih potpora učenicima i studentima, sufinanciranje cijene prijevoza i stanovanja, sufinanciranje cijene boravka djece u jaslicama i vrtićima te ostale naknade u naravi i novcu (jednokratne pomoći, nabavka udžbenika i radnih bilježnica osnovnoškolcima).</w:t>
      </w:r>
    </w:p>
    <w:p w14:paraId="0DB52D91" w14:textId="77777777" w:rsidR="00E541EE" w:rsidRPr="000D7371" w:rsidRDefault="00E541EE" w:rsidP="00E541EE">
      <w:pPr>
        <w:jc w:val="both"/>
        <w:rPr>
          <w:rFonts w:ascii="Arial" w:hAnsi="Arial" w:cs="Arial"/>
          <w:sz w:val="24"/>
          <w:szCs w:val="24"/>
        </w:rPr>
      </w:pPr>
    </w:p>
    <w:p w14:paraId="7AA1BC0F" w14:textId="77777777" w:rsidR="00E541EE" w:rsidRPr="000D7371" w:rsidRDefault="00E541EE" w:rsidP="00E541EE">
      <w:pPr>
        <w:jc w:val="both"/>
        <w:rPr>
          <w:rFonts w:ascii="Arial" w:hAnsi="Arial" w:cs="Arial"/>
          <w:sz w:val="24"/>
          <w:szCs w:val="24"/>
        </w:rPr>
      </w:pPr>
      <w:r w:rsidRPr="000D7371">
        <w:rPr>
          <w:rFonts w:ascii="Arial" w:hAnsi="Arial" w:cs="Arial"/>
          <w:b/>
          <w:sz w:val="24"/>
          <w:szCs w:val="24"/>
        </w:rPr>
        <w:t xml:space="preserve">Rashodi za donacije, kazne, naknadne šteta i kapitalne pomoći </w:t>
      </w:r>
      <w:r w:rsidRPr="000D7371">
        <w:rPr>
          <w:rFonts w:ascii="Arial" w:hAnsi="Arial" w:cs="Arial"/>
          <w:bCs/>
          <w:sz w:val="24"/>
          <w:szCs w:val="24"/>
        </w:rPr>
        <w:t>(skupina 38)</w:t>
      </w:r>
      <w:r w:rsidRPr="000D7371">
        <w:rPr>
          <w:rFonts w:ascii="Arial" w:hAnsi="Arial" w:cs="Arial"/>
          <w:sz w:val="24"/>
          <w:szCs w:val="24"/>
        </w:rPr>
        <w:t xml:space="preserve">  planiraju se u iznosu od 3.372.747,88 eura, iznos od 2.279.918,50 eura odnosi  se na tekuće donacije u novcu koje se dodjeljuju udrugama građana, nacionalnim zajednicama i manjinama, vjerskim zajednicama, političkim strankama, zakladama. Kapitalne donacije planirane su iznosu od 35.000,00 eura, kapitalne pomoći u iznosu od 764.773,00 eura, kazne, penali, naknade štete i ostale izvanredne rashode planirano je 293.056,38 eura.</w:t>
      </w:r>
    </w:p>
    <w:p w14:paraId="29B887FB" w14:textId="77777777" w:rsidR="00E541EE" w:rsidRPr="000D7371" w:rsidRDefault="00E541EE" w:rsidP="00E541EE">
      <w:pPr>
        <w:jc w:val="both"/>
        <w:rPr>
          <w:rFonts w:ascii="Arial" w:hAnsi="Arial" w:cs="Arial"/>
          <w:sz w:val="24"/>
          <w:szCs w:val="24"/>
        </w:rPr>
      </w:pPr>
    </w:p>
    <w:p w14:paraId="27457DD4" w14:textId="35C17F52" w:rsidR="00E541EE" w:rsidRPr="0072444D" w:rsidRDefault="00E541EE" w:rsidP="00E541EE">
      <w:pPr>
        <w:jc w:val="both"/>
        <w:rPr>
          <w:rFonts w:ascii="Arial" w:hAnsi="Arial" w:cs="Arial"/>
          <w:sz w:val="24"/>
          <w:szCs w:val="24"/>
        </w:rPr>
      </w:pPr>
      <w:r w:rsidRPr="0072444D">
        <w:rPr>
          <w:rFonts w:ascii="Arial" w:hAnsi="Arial" w:cs="Arial"/>
          <w:b/>
          <w:sz w:val="24"/>
          <w:szCs w:val="24"/>
        </w:rPr>
        <w:t xml:space="preserve">Rashodi za nabavu nefinancijske imovine </w:t>
      </w:r>
      <w:r w:rsidRPr="0072444D">
        <w:rPr>
          <w:rFonts w:ascii="Arial" w:hAnsi="Arial" w:cs="Arial"/>
          <w:sz w:val="24"/>
          <w:szCs w:val="24"/>
        </w:rPr>
        <w:t>- planirani su u iznosu od 2</w:t>
      </w:r>
      <w:r w:rsidR="00037D26" w:rsidRPr="0072444D">
        <w:rPr>
          <w:rFonts w:ascii="Arial" w:hAnsi="Arial" w:cs="Arial"/>
          <w:sz w:val="24"/>
          <w:szCs w:val="24"/>
        </w:rPr>
        <w:t>6</w:t>
      </w:r>
      <w:r w:rsidRPr="0072444D">
        <w:rPr>
          <w:rFonts w:ascii="Arial" w:hAnsi="Arial" w:cs="Arial"/>
          <w:sz w:val="24"/>
          <w:szCs w:val="24"/>
        </w:rPr>
        <w:t>.</w:t>
      </w:r>
      <w:r w:rsidR="00037D26" w:rsidRPr="0072444D">
        <w:rPr>
          <w:rFonts w:ascii="Arial" w:hAnsi="Arial" w:cs="Arial"/>
          <w:sz w:val="24"/>
          <w:szCs w:val="24"/>
        </w:rPr>
        <w:t>120.</w:t>
      </w:r>
      <w:r w:rsidRPr="0072444D">
        <w:rPr>
          <w:rFonts w:ascii="Arial" w:hAnsi="Arial" w:cs="Arial"/>
          <w:sz w:val="24"/>
          <w:szCs w:val="24"/>
        </w:rPr>
        <w:t>458,50 eura i čine 42,</w:t>
      </w:r>
      <w:r w:rsidR="00037D26" w:rsidRPr="0072444D">
        <w:rPr>
          <w:rFonts w:ascii="Arial" w:hAnsi="Arial" w:cs="Arial"/>
          <w:sz w:val="24"/>
          <w:szCs w:val="24"/>
        </w:rPr>
        <w:t>61</w:t>
      </w:r>
      <w:r w:rsidRPr="0072444D">
        <w:rPr>
          <w:rFonts w:ascii="Arial" w:hAnsi="Arial" w:cs="Arial"/>
          <w:sz w:val="24"/>
          <w:szCs w:val="24"/>
        </w:rPr>
        <w:t>% od ukupno planiranih rashoda za 2026. godinu.</w:t>
      </w:r>
    </w:p>
    <w:p w14:paraId="2FF8F918" w14:textId="77777777" w:rsidR="00E541EE" w:rsidRPr="0072444D" w:rsidRDefault="00E541EE" w:rsidP="00E541EE">
      <w:pPr>
        <w:jc w:val="both"/>
        <w:rPr>
          <w:rFonts w:ascii="Arial" w:hAnsi="Arial" w:cs="Arial"/>
          <w:sz w:val="24"/>
          <w:szCs w:val="24"/>
        </w:rPr>
      </w:pPr>
    </w:p>
    <w:p w14:paraId="7D78E7B4" w14:textId="1281AB24" w:rsidR="00E541EE" w:rsidRPr="0072444D" w:rsidRDefault="00E541EE" w:rsidP="00E541EE">
      <w:pPr>
        <w:jc w:val="both"/>
        <w:rPr>
          <w:rFonts w:ascii="Arial" w:eastAsia="Times New Roman" w:hAnsi="Arial" w:cs="Arial"/>
          <w:sz w:val="24"/>
          <w:szCs w:val="24"/>
        </w:rPr>
      </w:pPr>
      <w:r w:rsidRPr="0072444D">
        <w:rPr>
          <w:rFonts w:ascii="Arial" w:eastAsia="Times New Roman" w:hAnsi="Arial" w:cs="Arial"/>
          <w:b/>
          <w:sz w:val="24"/>
          <w:szCs w:val="24"/>
        </w:rPr>
        <w:t xml:space="preserve">Rashodi za nabavu neproizvedene  dugotrajne </w:t>
      </w:r>
      <w:r w:rsidRPr="0072444D">
        <w:rPr>
          <w:rFonts w:ascii="Arial" w:eastAsia="Times New Roman" w:hAnsi="Arial" w:cs="Arial"/>
          <w:b/>
          <w:bCs/>
          <w:sz w:val="24"/>
          <w:szCs w:val="24"/>
        </w:rPr>
        <w:t>imovine</w:t>
      </w:r>
      <w:r w:rsidRPr="0072444D">
        <w:rPr>
          <w:rFonts w:ascii="Arial" w:eastAsia="Times New Roman" w:hAnsi="Arial" w:cs="Arial"/>
          <w:sz w:val="24"/>
          <w:szCs w:val="24"/>
        </w:rPr>
        <w:t xml:space="preserve"> </w:t>
      </w:r>
      <w:r w:rsidRPr="0072444D">
        <w:rPr>
          <w:rFonts w:ascii="Arial" w:hAnsi="Arial" w:cs="Arial"/>
          <w:bCs/>
          <w:sz w:val="24"/>
          <w:szCs w:val="24"/>
        </w:rPr>
        <w:t>(skupina 41)</w:t>
      </w:r>
      <w:r w:rsidRPr="0072444D">
        <w:rPr>
          <w:rFonts w:ascii="Arial" w:hAnsi="Arial" w:cs="Arial"/>
          <w:sz w:val="24"/>
          <w:szCs w:val="24"/>
        </w:rPr>
        <w:t xml:space="preserve">  </w:t>
      </w:r>
      <w:r w:rsidRPr="0072444D">
        <w:rPr>
          <w:rFonts w:ascii="Arial" w:eastAsia="Times New Roman" w:hAnsi="Arial" w:cs="Arial"/>
          <w:sz w:val="24"/>
          <w:szCs w:val="24"/>
        </w:rPr>
        <w:t xml:space="preserve">se planiraju u visini od 1.206.402,82 eura, dok se </w:t>
      </w:r>
      <w:r w:rsidRPr="0072444D">
        <w:rPr>
          <w:rFonts w:ascii="Arial" w:eastAsia="Times New Roman" w:hAnsi="Arial" w:cs="Arial"/>
          <w:b/>
          <w:sz w:val="24"/>
          <w:szCs w:val="24"/>
        </w:rPr>
        <w:t>rashodi za nabavu proizvedene dugotrajne</w:t>
      </w:r>
      <w:r w:rsidRPr="0072444D">
        <w:rPr>
          <w:rFonts w:ascii="Arial" w:eastAsia="Times New Roman" w:hAnsi="Arial" w:cs="Arial"/>
          <w:sz w:val="24"/>
          <w:szCs w:val="24"/>
        </w:rPr>
        <w:t xml:space="preserve"> </w:t>
      </w:r>
      <w:r w:rsidRPr="0072444D">
        <w:rPr>
          <w:rFonts w:ascii="Arial" w:eastAsia="Times New Roman" w:hAnsi="Arial" w:cs="Arial"/>
          <w:b/>
          <w:sz w:val="24"/>
          <w:szCs w:val="24"/>
        </w:rPr>
        <w:t xml:space="preserve">imovine </w:t>
      </w:r>
      <w:r w:rsidRPr="0072444D">
        <w:rPr>
          <w:rFonts w:ascii="Arial" w:hAnsi="Arial" w:cs="Arial"/>
          <w:bCs/>
          <w:sz w:val="24"/>
          <w:szCs w:val="24"/>
        </w:rPr>
        <w:t>(skupina 42)</w:t>
      </w:r>
      <w:r w:rsidRPr="0072444D">
        <w:rPr>
          <w:rFonts w:ascii="Arial" w:hAnsi="Arial" w:cs="Arial"/>
          <w:sz w:val="24"/>
          <w:szCs w:val="24"/>
        </w:rPr>
        <w:t xml:space="preserve"> </w:t>
      </w:r>
      <w:r w:rsidRPr="0072444D">
        <w:rPr>
          <w:rFonts w:ascii="Arial" w:eastAsia="Times New Roman" w:hAnsi="Arial" w:cs="Arial"/>
          <w:sz w:val="24"/>
          <w:szCs w:val="24"/>
        </w:rPr>
        <w:t>planiraju u visini od 12.</w:t>
      </w:r>
      <w:r w:rsidR="00D0475D" w:rsidRPr="0072444D">
        <w:rPr>
          <w:rFonts w:ascii="Arial" w:eastAsia="Times New Roman" w:hAnsi="Arial" w:cs="Arial"/>
          <w:sz w:val="24"/>
          <w:szCs w:val="24"/>
        </w:rPr>
        <w:t>797</w:t>
      </w:r>
      <w:r w:rsidRPr="0072444D">
        <w:rPr>
          <w:rFonts w:ascii="Arial" w:eastAsia="Times New Roman" w:hAnsi="Arial" w:cs="Arial"/>
          <w:sz w:val="24"/>
          <w:szCs w:val="24"/>
        </w:rPr>
        <w:t>.597,56 eura i to za kupnju i izgradnju građevinskih objekata, za nabavu postrojenja i opreme, umjetničkih dijela te nematerijalne imovine.</w:t>
      </w:r>
    </w:p>
    <w:p w14:paraId="225DEA5D" w14:textId="77777777" w:rsidR="00E541EE" w:rsidRPr="00D0475D" w:rsidRDefault="00E541EE" w:rsidP="00E541EE">
      <w:pPr>
        <w:jc w:val="both"/>
        <w:rPr>
          <w:rFonts w:ascii="Arial" w:eastAsia="Times New Roman" w:hAnsi="Arial" w:cs="Arial"/>
          <w:sz w:val="24"/>
          <w:szCs w:val="24"/>
          <w:highlight w:val="yellow"/>
        </w:rPr>
      </w:pPr>
    </w:p>
    <w:p w14:paraId="07F4C2F0" w14:textId="77777777" w:rsidR="00E541EE" w:rsidRPr="00E541EE" w:rsidRDefault="00E541EE" w:rsidP="00E541EE">
      <w:pPr>
        <w:jc w:val="both"/>
        <w:rPr>
          <w:rFonts w:ascii="Arial" w:eastAsia="Times New Roman" w:hAnsi="Arial" w:cs="Arial"/>
          <w:sz w:val="24"/>
          <w:szCs w:val="24"/>
        </w:rPr>
      </w:pPr>
      <w:r w:rsidRPr="00F94597">
        <w:rPr>
          <w:rFonts w:ascii="Arial" w:eastAsia="Times New Roman" w:hAnsi="Arial" w:cs="Arial"/>
          <w:b/>
          <w:sz w:val="24"/>
          <w:szCs w:val="24"/>
        </w:rPr>
        <w:t xml:space="preserve">Rashodi za dodatna ulaganja na nefinancijskoj imovini </w:t>
      </w:r>
      <w:r w:rsidRPr="00F94597">
        <w:rPr>
          <w:rFonts w:ascii="Arial" w:hAnsi="Arial" w:cs="Arial"/>
          <w:bCs/>
          <w:sz w:val="24"/>
          <w:szCs w:val="24"/>
        </w:rPr>
        <w:t>(skupina 45)</w:t>
      </w:r>
      <w:r w:rsidRPr="00F94597">
        <w:rPr>
          <w:rFonts w:ascii="Arial" w:hAnsi="Arial" w:cs="Arial"/>
          <w:sz w:val="24"/>
          <w:szCs w:val="24"/>
        </w:rPr>
        <w:t xml:space="preserve">  </w:t>
      </w:r>
      <w:r w:rsidRPr="00F94597">
        <w:rPr>
          <w:rFonts w:ascii="Arial" w:eastAsia="Times New Roman" w:hAnsi="Arial" w:cs="Arial"/>
          <w:sz w:val="24"/>
          <w:szCs w:val="24"/>
        </w:rPr>
        <w:t xml:space="preserve"> planirani su u iznosu 12.116.458,12 eura i odnose se na kapitalno ulaganje.</w:t>
      </w:r>
    </w:p>
    <w:p w14:paraId="53E719CC" w14:textId="77777777" w:rsidR="00E541EE" w:rsidRDefault="00E541EE" w:rsidP="00E541EE">
      <w:pPr>
        <w:jc w:val="both"/>
        <w:rPr>
          <w:rFonts w:ascii="Arial" w:hAnsi="Arial" w:cs="Arial"/>
          <w:b/>
          <w:sz w:val="24"/>
          <w:szCs w:val="24"/>
        </w:rPr>
      </w:pPr>
    </w:p>
    <w:p w14:paraId="63D5922E" w14:textId="77777777" w:rsidR="00E541EE" w:rsidRDefault="00E541EE" w:rsidP="00E541EE">
      <w:pPr>
        <w:jc w:val="both"/>
        <w:rPr>
          <w:rFonts w:ascii="Arial" w:hAnsi="Arial" w:cs="Arial"/>
          <w:b/>
          <w:sz w:val="24"/>
          <w:szCs w:val="24"/>
        </w:rPr>
      </w:pPr>
      <w:r>
        <w:rPr>
          <w:rFonts w:ascii="Arial" w:hAnsi="Arial" w:cs="Arial"/>
          <w:b/>
          <w:sz w:val="24"/>
          <w:szCs w:val="24"/>
        </w:rPr>
        <w:t xml:space="preserve">IZDACI </w:t>
      </w:r>
    </w:p>
    <w:p w14:paraId="1355DE35" w14:textId="77777777" w:rsidR="00E541EE" w:rsidRDefault="00E541EE" w:rsidP="00E541EE">
      <w:pPr>
        <w:jc w:val="both"/>
        <w:rPr>
          <w:rFonts w:ascii="Arial" w:hAnsi="Arial" w:cs="Arial"/>
          <w:b/>
          <w:sz w:val="24"/>
          <w:szCs w:val="24"/>
        </w:rPr>
      </w:pPr>
    </w:p>
    <w:tbl>
      <w:tblPr>
        <w:tblW w:w="9072" w:type="dxa"/>
        <w:tblLook w:val="04A0" w:firstRow="1" w:lastRow="0" w:firstColumn="1" w:lastColumn="0" w:noHBand="0" w:noVBand="1"/>
      </w:tblPr>
      <w:tblGrid>
        <w:gridCol w:w="683"/>
        <w:gridCol w:w="761"/>
        <w:gridCol w:w="3376"/>
        <w:gridCol w:w="1134"/>
        <w:gridCol w:w="1057"/>
        <w:gridCol w:w="980"/>
        <w:gridCol w:w="1081"/>
      </w:tblGrid>
      <w:tr w:rsidR="00E541EE" w:rsidRPr="003D3A69" w14:paraId="38EFA6FC" w14:textId="77777777" w:rsidTr="00A84BB5">
        <w:trPr>
          <w:trHeight w:val="315"/>
        </w:trPr>
        <w:tc>
          <w:tcPr>
            <w:tcW w:w="9072" w:type="dxa"/>
            <w:gridSpan w:val="7"/>
            <w:tcBorders>
              <w:top w:val="nil"/>
              <w:left w:val="nil"/>
              <w:bottom w:val="nil"/>
              <w:right w:val="nil"/>
            </w:tcBorders>
            <w:vAlign w:val="center"/>
            <w:hideMark/>
          </w:tcPr>
          <w:p w14:paraId="603A5585" w14:textId="77777777" w:rsidR="00E541EE" w:rsidRPr="003D3A69" w:rsidRDefault="00E541EE" w:rsidP="00A84BB5">
            <w:pPr>
              <w:jc w:val="center"/>
              <w:rPr>
                <w:rFonts w:ascii="Arial" w:eastAsia="Times New Roman" w:hAnsi="Arial" w:cs="Arial"/>
                <w:b/>
                <w:bCs/>
                <w:color w:val="000000"/>
                <w:sz w:val="20"/>
              </w:rPr>
            </w:pPr>
            <w:r w:rsidRPr="003D3A69">
              <w:rPr>
                <w:rFonts w:ascii="Arial" w:eastAsia="Times New Roman" w:hAnsi="Arial" w:cs="Arial"/>
                <w:b/>
                <w:bCs/>
                <w:color w:val="000000"/>
                <w:sz w:val="20"/>
              </w:rPr>
              <w:t>B. RAČUN FINANCIRANJA</w:t>
            </w:r>
          </w:p>
        </w:tc>
      </w:tr>
      <w:tr w:rsidR="00E541EE" w:rsidRPr="003D3A69" w14:paraId="5E80C150" w14:textId="77777777" w:rsidTr="00A84BB5">
        <w:trPr>
          <w:trHeight w:val="255"/>
        </w:trPr>
        <w:tc>
          <w:tcPr>
            <w:tcW w:w="683" w:type="dxa"/>
            <w:tcBorders>
              <w:top w:val="nil"/>
              <w:left w:val="nil"/>
              <w:bottom w:val="nil"/>
              <w:right w:val="nil"/>
            </w:tcBorders>
            <w:noWrap/>
            <w:vAlign w:val="bottom"/>
            <w:hideMark/>
          </w:tcPr>
          <w:p w14:paraId="5CE5D8F4" w14:textId="77777777" w:rsidR="00E541EE" w:rsidRPr="003D3A69" w:rsidRDefault="00E541EE" w:rsidP="00A84BB5">
            <w:pPr>
              <w:jc w:val="center"/>
              <w:rPr>
                <w:rFonts w:ascii="Arial" w:eastAsia="Times New Roman" w:hAnsi="Arial" w:cs="Arial"/>
                <w:b/>
                <w:bCs/>
                <w:color w:val="000000"/>
                <w:sz w:val="20"/>
              </w:rPr>
            </w:pPr>
          </w:p>
        </w:tc>
        <w:tc>
          <w:tcPr>
            <w:tcW w:w="761" w:type="dxa"/>
            <w:tcBorders>
              <w:top w:val="nil"/>
              <w:left w:val="nil"/>
              <w:bottom w:val="nil"/>
              <w:right w:val="nil"/>
            </w:tcBorders>
            <w:noWrap/>
            <w:vAlign w:val="bottom"/>
            <w:hideMark/>
          </w:tcPr>
          <w:p w14:paraId="78C0E673" w14:textId="77777777" w:rsidR="00E541EE" w:rsidRPr="003D3A69" w:rsidRDefault="00E541EE" w:rsidP="00A84BB5">
            <w:pPr>
              <w:rPr>
                <w:rFonts w:ascii="Times New Roman" w:eastAsia="Times New Roman" w:hAnsi="Times New Roman" w:cs="Times New Roman"/>
                <w:sz w:val="20"/>
              </w:rPr>
            </w:pPr>
          </w:p>
        </w:tc>
        <w:tc>
          <w:tcPr>
            <w:tcW w:w="3376" w:type="dxa"/>
            <w:tcBorders>
              <w:top w:val="nil"/>
              <w:left w:val="nil"/>
              <w:bottom w:val="nil"/>
              <w:right w:val="nil"/>
            </w:tcBorders>
            <w:noWrap/>
            <w:vAlign w:val="bottom"/>
            <w:hideMark/>
          </w:tcPr>
          <w:p w14:paraId="1B55B381" w14:textId="77777777" w:rsidR="00E541EE" w:rsidRPr="003D3A69" w:rsidRDefault="00E541EE" w:rsidP="00A84BB5">
            <w:pPr>
              <w:rPr>
                <w:rFonts w:ascii="Times New Roman" w:eastAsia="Times New Roman" w:hAnsi="Times New Roman" w:cs="Times New Roman"/>
                <w:sz w:val="20"/>
              </w:rPr>
            </w:pPr>
          </w:p>
        </w:tc>
        <w:tc>
          <w:tcPr>
            <w:tcW w:w="1134" w:type="dxa"/>
            <w:tcBorders>
              <w:top w:val="nil"/>
              <w:left w:val="nil"/>
              <w:bottom w:val="nil"/>
              <w:right w:val="nil"/>
            </w:tcBorders>
            <w:noWrap/>
            <w:vAlign w:val="bottom"/>
            <w:hideMark/>
          </w:tcPr>
          <w:p w14:paraId="41D41ABA" w14:textId="77777777" w:rsidR="00E541EE" w:rsidRPr="003D3A69" w:rsidRDefault="00E541EE" w:rsidP="00A84BB5">
            <w:pPr>
              <w:rPr>
                <w:rFonts w:ascii="Times New Roman" w:eastAsia="Times New Roman" w:hAnsi="Times New Roman" w:cs="Times New Roman"/>
                <w:sz w:val="20"/>
              </w:rPr>
            </w:pPr>
          </w:p>
        </w:tc>
        <w:tc>
          <w:tcPr>
            <w:tcW w:w="1057" w:type="dxa"/>
            <w:tcBorders>
              <w:top w:val="nil"/>
              <w:left w:val="nil"/>
              <w:bottom w:val="nil"/>
              <w:right w:val="nil"/>
            </w:tcBorders>
            <w:noWrap/>
            <w:vAlign w:val="bottom"/>
            <w:hideMark/>
          </w:tcPr>
          <w:p w14:paraId="01123AA0" w14:textId="77777777" w:rsidR="00E541EE" w:rsidRPr="003D3A69" w:rsidRDefault="00E541EE" w:rsidP="00A84BB5">
            <w:pPr>
              <w:rPr>
                <w:rFonts w:ascii="Times New Roman" w:eastAsia="Times New Roman" w:hAnsi="Times New Roman" w:cs="Times New Roman"/>
                <w:sz w:val="20"/>
              </w:rPr>
            </w:pPr>
          </w:p>
        </w:tc>
        <w:tc>
          <w:tcPr>
            <w:tcW w:w="980" w:type="dxa"/>
            <w:tcBorders>
              <w:top w:val="nil"/>
              <w:left w:val="nil"/>
              <w:bottom w:val="nil"/>
              <w:right w:val="nil"/>
            </w:tcBorders>
            <w:noWrap/>
            <w:vAlign w:val="bottom"/>
            <w:hideMark/>
          </w:tcPr>
          <w:p w14:paraId="335FB290" w14:textId="77777777" w:rsidR="00E541EE" w:rsidRPr="003D3A69" w:rsidRDefault="00E541EE" w:rsidP="00A84BB5">
            <w:pPr>
              <w:rPr>
                <w:rFonts w:ascii="Times New Roman" w:eastAsia="Times New Roman" w:hAnsi="Times New Roman" w:cs="Times New Roman"/>
                <w:sz w:val="20"/>
              </w:rPr>
            </w:pPr>
          </w:p>
        </w:tc>
        <w:tc>
          <w:tcPr>
            <w:tcW w:w="1081" w:type="dxa"/>
            <w:tcBorders>
              <w:top w:val="nil"/>
              <w:left w:val="nil"/>
              <w:bottom w:val="nil"/>
              <w:right w:val="nil"/>
            </w:tcBorders>
            <w:noWrap/>
            <w:vAlign w:val="bottom"/>
            <w:hideMark/>
          </w:tcPr>
          <w:p w14:paraId="79521F1E" w14:textId="77777777" w:rsidR="00E541EE" w:rsidRPr="003D3A69" w:rsidRDefault="00E541EE" w:rsidP="00A84BB5">
            <w:pPr>
              <w:rPr>
                <w:rFonts w:ascii="Times New Roman" w:eastAsia="Times New Roman" w:hAnsi="Times New Roman" w:cs="Times New Roman"/>
                <w:sz w:val="20"/>
              </w:rPr>
            </w:pPr>
          </w:p>
        </w:tc>
      </w:tr>
      <w:tr w:rsidR="00E541EE" w:rsidRPr="003D3A69" w14:paraId="65C11D3D" w14:textId="77777777" w:rsidTr="00A84BB5">
        <w:trPr>
          <w:trHeight w:val="300"/>
        </w:trPr>
        <w:tc>
          <w:tcPr>
            <w:tcW w:w="9072" w:type="dxa"/>
            <w:gridSpan w:val="7"/>
            <w:tcBorders>
              <w:top w:val="nil"/>
              <w:left w:val="nil"/>
              <w:bottom w:val="nil"/>
              <w:right w:val="nil"/>
            </w:tcBorders>
            <w:vAlign w:val="center"/>
            <w:hideMark/>
          </w:tcPr>
          <w:p w14:paraId="0C850297" w14:textId="77777777" w:rsidR="00E541EE" w:rsidRPr="003D3A69" w:rsidRDefault="00E541EE" w:rsidP="00A84BB5">
            <w:pPr>
              <w:jc w:val="center"/>
              <w:rPr>
                <w:rFonts w:ascii="Arial" w:eastAsia="Times New Roman" w:hAnsi="Arial" w:cs="Arial"/>
                <w:color w:val="000000"/>
                <w:sz w:val="20"/>
              </w:rPr>
            </w:pPr>
            <w:r w:rsidRPr="003D3A69">
              <w:rPr>
                <w:rFonts w:ascii="Arial" w:eastAsia="Times New Roman" w:hAnsi="Arial" w:cs="Arial"/>
                <w:color w:val="000000"/>
                <w:sz w:val="20"/>
              </w:rPr>
              <w:t>B1. RAČUN FINANCIRANJA PREMA EKONOMSKOJ KLASIFIKACIJI</w:t>
            </w:r>
          </w:p>
        </w:tc>
      </w:tr>
      <w:tr w:rsidR="00E541EE" w:rsidRPr="003D3A69" w14:paraId="45C3FDF4" w14:textId="77777777" w:rsidTr="00A84BB5">
        <w:trPr>
          <w:trHeight w:val="195"/>
        </w:trPr>
        <w:tc>
          <w:tcPr>
            <w:tcW w:w="683" w:type="dxa"/>
            <w:tcBorders>
              <w:top w:val="nil"/>
              <w:left w:val="nil"/>
              <w:bottom w:val="nil"/>
              <w:right w:val="nil"/>
            </w:tcBorders>
            <w:noWrap/>
            <w:vAlign w:val="bottom"/>
            <w:hideMark/>
          </w:tcPr>
          <w:p w14:paraId="3C8BAAD1" w14:textId="77777777" w:rsidR="00E541EE" w:rsidRPr="003D3A69" w:rsidRDefault="00E541EE" w:rsidP="00A84BB5">
            <w:pPr>
              <w:jc w:val="center"/>
              <w:rPr>
                <w:rFonts w:ascii="Arial" w:eastAsia="Times New Roman" w:hAnsi="Arial" w:cs="Arial"/>
                <w:color w:val="000000"/>
                <w:sz w:val="20"/>
              </w:rPr>
            </w:pPr>
          </w:p>
        </w:tc>
        <w:tc>
          <w:tcPr>
            <w:tcW w:w="761" w:type="dxa"/>
            <w:tcBorders>
              <w:top w:val="nil"/>
              <w:left w:val="nil"/>
              <w:bottom w:val="nil"/>
              <w:right w:val="nil"/>
            </w:tcBorders>
            <w:noWrap/>
            <w:vAlign w:val="bottom"/>
            <w:hideMark/>
          </w:tcPr>
          <w:p w14:paraId="5524DEDA" w14:textId="77777777" w:rsidR="00E541EE" w:rsidRPr="003D3A69" w:rsidRDefault="00E541EE" w:rsidP="00A84BB5">
            <w:pPr>
              <w:rPr>
                <w:rFonts w:ascii="Times New Roman" w:eastAsia="Times New Roman" w:hAnsi="Times New Roman" w:cs="Times New Roman"/>
                <w:sz w:val="20"/>
              </w:rPr>
            </w:pPr>
          </w:p>
        </w:tc>
        <w:tc>
          <w:tcPr>
            <w:tcW w:w="3376" w:type="dxa"/>
            <w:tcBorders>
              <w:top w:val="nil"/>
              <w:left w:val="nil"/>
              <w:bottom w:val="nil"/>
              <w:right w:val="nil"/>
            </w:tcBorders>
            <w:noWrap/>
            <w:vAlign w:val="bottom"/>
            <w:hideMark/>
          </w:tcPr>
          <w:p w14:paraId="0286439D" w14:textId="77777777" w:rsidR="00E541EE" w:rsidRPr="003D3A69" w:rsidRDefault="00E541EE" w:rsidP="00A84BB5">
            <w:pPr>
              <w:rPr>
                <w:rFonts w:ascii="Times New Roman" w:eastAsia="Times New Roman" w:hAnsi="Times New Roman" w:cs="Times New Roman"/>
                <w:sz w:val="20"/>
              </w:rPr>
            </w:pPr>
          </w:p>
        </w:tc>
        <w:tc>
          <w:tcPr>
            <w:tcW w:w="1134" w:type="dxa"/>
            <w:tcBorders>
              <w:top w:val="nil"/>
              <w:left w:val="nil"/>
              <w:bottom w:val="nil"/>
              <w:right w:val="nil"/>
            </w:tcBorders>
            <w:noWrap/>
            <w:vAlign w:val="bottom"/>
            <w:hideMark/>
          </w:tcPr>
          <w:p w14:paraId="73DC9F85" w14:textId="77777777" w:rsidR="00E541EE" w:rsidRPr="003D3A69" w:rsidRDefault="00E541EE" w:rsidP="00A84BB5">
            <w:pPr>
              <w:rPr>
                <w:rFonts w:ascii="Times New Roman" w:eastAsia="Times New Roman" w:hAnsi="Times New Roman" w:cs="Times New Roman"/>
                <w:sz w:val="20"/>
              </w:rPr>
            </w:pPr>
          </w:p>
        </w:tc>
        <w:tc>
          <w:tcPr>
            <w:tcW w:w="1057" w:type="dxa"/>
            <w:tcBorders>
              <w:top w:val="nil"/>
              <w:left w:val="nil"/>
              <w:bottom w:val="nil"/>
              <w:right w:val="nil"/>
            </w:tcBorders>
            <w:noWrap/>
            <w:vAlign w:val="bottom"/>
            <w:hideMark/>
          </w:tcPr>
          <w:p w14:paraId="71E0A814" w14:textId="77777777" w:rsidR="00E541EE" w:rsidRPr="003D3A69" w:rsidRDefault="00E541EE" w:rsidP="00A84BB5">
            <w:pPr>
              <w:rPr>
                <w:rFonts w:ascii="Times New Roman" w:eastAsia="Times New Roman" w:hAnsi="Times New Roman" w:cs="Times New Roman"/>
                <w:sz w:val="20"/>
              </w:rPr>
            </w:pPr>
          </w:p>
        </w:tc>
        <w:tc>
          <w:tcPr>
            <w:tcW w:w="980" w:type="dxa"/>
            <w:tcBorders>
              <w:top w:val="nil"/>
              <w:left w:val="nil"/>
              <w:bottom w:val="nil"/>
              <w:right w:val="nil"/>
            </w:tcBorders>
            <w:noWrap/>
            <w:vAlign w:val="bottom"/>
            <w:hideMark/>
          </w:tcPr>
          <w:p w14:paraId="529CF449" w14:textId="77777777" w:rsidR="00E541EE" w:rsidRPr="003D3A69" w:rsidRDefault="00E541EE" w:rsidP="00A84BB5">
            <w:pPr>
              <w:rPr>
                <w:rFonts w:ascii="Times New Roman" w:eastAsia="Times New Roman" w:hAnsi="Times New Roman" w:cs="Times New Roman"/>
                <w:sz w:val="20"/>
              </w:rPr>
            </w:pPr>
          </w:p>
        </w:tc>
        <w:tc>
          <w:tcPr>
            <w:tcW w:w="1081" w:type="dxa"/>
            <w:tcBorders>
              <w:top w:val="nil"/>
              <w:left w:val="nil"/>
              <w:bottom w:val="nil"/>
              <w:right w:val="nil"/>
            </w:tcBorders>
            <w:noWrap/>
            <w:vAlign w:val="bottom"/>
            <w:hideMark/>
          </w:tcPr>
          <w:p w14:paraId="6A547972" w14:textId="77777777" w:rsidR="00E541EE" w:rsidRPr="003D3A69" w:rsidRDefault="00E541EE" w:rsidP="00A84BB5">
            <w:pPr>
              <w:rPr>
                <w:rFonts w:ascii="Times New Roman" w:eastAsia="Times New Roman" w:hAnsi="Times New Roman" w:cs="Times New Roman"/>
                <w:sz w:val="20"/>
              </w:rPr>
            </w:pPr>
          </w:p>
        </w:tc>
      </w:tr>
      <w:tr w:rsidR="00E541EE" w:rsidRPr="003D3A69" w14:paraId="74E50E08" w14:textId="77777777" w:rsidTr="00A84BB5">
        <w:trPr>
          <w:trHeight w:val="555"/>
        </w:trPr>
        <w:tc>
          <w:tcPr>
            <w:tcW w:w="683" w:type="dxa"/>
            <w:tcBorders>
              <w:top w:val="single" w:sz="4" w:space="0" w:color="000000"/>
              <w:left w:val="single" w:sz="4" w:space="0" w:color="000000"/>
              <w:bottom w:val="single" w:sz="4" w:space="0" w:color="000000"/>
              <w:right w:val="single" w:sz="4" w:space="0" w:color="000000"/>
            </w:tcBorders>
            <w:shd w:val="clear" w:color="000000" w:fill="DCDCDC"/>
            <w:vAlign w:val="center"/>
            <w:hideMark/>
          </w:tcPr>
          <w:p w14:paraId="0AF256EE" w14:textId="77777777" w:rsidR="00E541EE" w:rsidRPr="003D3A69" w:rsidRDefault="00E541EE" w:rsidP="00A84BB5">
            <w:pPr>
              <w:jc w:val="center"/>
              <w:rPr>
                <w:rFonts w:ascii="Arial" w:eastAsia="Times New Roman" w:hAnsi="Arial" w:cs="Arial"/>
                <w:b/>
                <w:bCs/>
                <w:color w:val="000000"/>
                <w:sz w:val="14"/>
                <w:szCs w:val="14"/>
              </w:rPr>
            </w:pPr>
            <w:r w:rsidRPr="003D3A69">
              <w:rPr>
                <w:rFonts w:ascii="Arial" w:eastAsia="Times New Roman" w:hAnsi="Arial" w:cs="Arial"/>
                <w:b/>
                <w:bCs/>
                <w:color w:val="000000"/>
                <w:sz w:val="14"/>
                <w:szCs w:val="14"/>
              </w:rPr>
              <w:t>Razred</w:t>
            </w:r>
          </w:p>
        </w:tc>
        <w:tc>
          <w:tcPr>
            <w:tcW w:w="761" w:type="dxa"/>
            <w:tcBorders>
              <w:top w:val="single" w:sz="4" w:space="0" w:color="000000"/>
              <w:left w:val="nil"/>
              <w:bottom w:val="single" w:sz="4" w:space="0" w:color="000000"/>
              <w:right w:val="single" w:sz="4" w:space="0" w:color="000000"/>
            </w:tcBorders>
            <w:shd w:val="clear" w:color="000000" w:fill="DCDCDC"/>
            <w:vAlign w:val="center"/>
            <w:hideMark/>
          </w:tcPr>
          <w:p w14:paraId="0DFDA169" w14:textId="77777777" w:rsidR="00E541EE" w:rsidRPr="003D3A69" w:rsidRDefault="00E541EE" w:rsidP="00A84BB5">
            <w:pPr>
              <w:jc w:val="center"/>
              <w:rPr>
                <w:rFonts w:ascii="Arial" w:eastAsia="Times New Roman" w:hAnsi="Arial" w:cs="Arial"/>
                <w:b/>
                <w:bCs/>
                <w:color w:val="000000"/>
                <w:sz w:val="14"/>
                <w:szCs w:val="14"/>
              </w:rPr>
            </w:pPr>
            <w:r w:rsidRPr="003D3A69">
              <w:rPr>
                <w:rFonts w:ascii="Arial" w:eastAsia="Times New Roman" w:hAnsi="Arial" w:cs="Arial"/>
                <w:b/>
                <w:bCs/>
                <w:color w:val="000000"/>
                <w:sz w:val="14"/>
                <w:szCs w:val="14"/>
              </w:rPr>
              <w:t>Skupina</w:t>
            </w:r>
          </w:p>
        </w:tc>
        <w:tc>
          <w:tcPr>
            <w:tcW w:w="3376" w:type="dxa"/>
            <w:tcBorders>
              <w:top w:val="single" w:sz="4" w:space="0" w:color="000000"/>
              <w:left w:val="nil"/>
              <w:bottom w:val="single" w:sz="4" w:space="0" w:color="000000"/>
              <w:right w:val="single" w:sz="4" w:space="0" w:color="000000"/>
            </w:tcBorders>
            <w:shd w:val="clear" w:color="000000" w:fill="DCDCDC"/>
            <w:vAlign w:val="center"/>
            <w:hideMark/>
          </w:tcPr>
          <w:p w14:paraId="5625EE6B" w14:textId="77777777" w:rsidR="00E541EE" w:rsidRPr="003D3A69" w:rsidRDefault="00E541EE" w:rsidP="00A84BB5">
            <w:pPr>
              <w:jc w:val="center"/>
              <w:rPr>
                <w:rFonts w:ascii="Arial" w:eastAsia="Times New Roman" w:hAnsi="Arial" w:cs="Arial"/>
                <w:b/>
                <w:bCs/>
                <w:color w:val="000000"/>
                <w:sz w:val="14"/>
                <w:szCs w:val="14"/>
              </w:rPr>
            </w:pPr>
            <w:r w:rsidRPr="003D3A69">
              <w:rPr>
                <w:rFonts w:ascii="Arial" w:eastAsia="Times New Roman" w:hAnsi="Arial" w:cs="Arial"/>
                <w:b/>
                <w:bCs/>
                <w:color w:val="000000"/>
                <w:sz w:val="14"/>
                <w:szCs w:val="14"/>
              </w:rPr>
              <w:t>Naziv</w:t>
            </w:r>
          </w:p>
        </w:tc>
        <w:tc>
          <w:tcPr>
            <w:tcW w:w="1134" w:type="dxa"/>
            <w:tcBorders>
              <w:top w:val="single" w:sz="4" w:space="0" w:color="000000"/>
              <w:left w:val="nil"/>
              <w:bottom w:val="single" w:sz="4" w:space="0" w:color="000000"/>
              <w:right w:val="single" w:sz="4" w:space="0" w:color="000000"/>
            </w:tcBorders>
            <w:shd w:val="clear" w:color="000000" w:fill="DCDCDC"/>
            <w:vAlign w:val="center"/>
            <w:hideMark/>
          </w:tcPr>
          <w:p w14:paraId="08385E55" w14:textId="77777777" w:rsidR="00E541EE" w:rsidRPr="003D3A69" w:rsidRDefault="00E541EE" w:rsidP="00A84BB5">
            <w:pPr>
              <w:jc w:val="center"/>
              <w:rPr>
                <w:rFonts w:ascii="Arial" w:eastAsia="Times New Roman" w:hAnsi="Arial" w:cs="Arial"/>
                <w:b/>
                <w:bCs/>
                <w:color w:val="000000"/>
                <w:sz w:val="14"/>
                <w:szCs w:val="14"/>
              </w:rPr>
            </w:pPr>
            <w:r w:rsidRPr="003D3A69">
              <w:rPr>
                <w:rFonts w:ascii="Arial" w:eastAsia="Times New Roman" w:hAnsi="Arial" w:cs="Arial"/>
                <w:b/>
                <w:bCs/>
                <w:color w:val="000000"/>
                <w:sz w:val="14"/>
                <w:szCs w:val="14"/>
              </w:rPr>
              <w:t>Tekući plan 2025.</w:t>
            </w:r>
          </w:p>
        </w:tc>
        <w:tc>
          <w:tcPr>
            <w:tcW w:w="1057" w:type="dxa"/>
            <w:tcBorders>
              <w:top w:val="single" w:sz="4" w:space="0" w:color="000000"/>
              <w:left w:val="nil"/>
              <w:bottom w:val="single" w:sz="4" w:space="0" w:color="000000"/>
              <w:right w:val="single" w:sz="4" w:space="0" w:color="000000"/>
            </w:tcBorders>
            <w:shd w:val="clear" w:color="000000" w:fill="DCDCDC"/>
            <w:vAlign w:val="center"/>
            <w:hideMark/>
          </w:tcPr>
          <w:p w14:paraId="7587A616" w14:textId="77777777" w:rsidR="00E541EE" w:rsidRPr="003D3A69" w:rsidRDefault="00E541EE" w:rsidP="00A84BB5">
            <w:pPr>
              <w:jc w:val="center"/>
              <w:rPr>
                <w:rFonts w:ascii="Arial" w:eastAsia="Times New Roman" w:hAnsi="Arial" w:cs="Arial"/>
                <w:b/>
                <w:bCs/>
                <w:color w:val="000000"/>
                <w:sz w:val="14"/>
                <w:szCs w:val="14"/>
              </w:rPr>
            </w:pPr>
            <w:r w:rsidRPr="003D3A69">
              <w:rPr>
                <w:rFonts w:ascii="Arial" w:eastAsia="Times New Roman" w:hAnsi="Arial" w:cs="Arial"/>
                <w:b/>
                <w:bCs/>
                <w:color w:val="000000"/>
                <w:sz w:val="14"/>
                <w:szCs w:val="14"/>
              </w:rPr>
              <w:t>Plan 2026.</w:t>
            </w:r>
          </w:p>
        </w:tc>
        <w:tc>
          <w:tcPr>
            <w:tcW w:w="980" w:type="dxa"/>
            <w:tcBorders>
              <w:top w:val="single" w:sz="4" w:space="0" w:color="000000"/>
              <w:left w:val="nil"/>
              <w:bottom w:val="single" w:sz="4" w:space="0" w:color="000000"/>
              <w:right w:val="single" w:sz="4" w:space="0" w:color="000000"/>
            </w:tcBorders>
            <w:shd w:val="clear" w:color="000000" w:fill="DCDCDC"/>
            <w:vAlign w:val="center"/>
            <w:hideMark/>
          </w:tcPr>
          <w:p w14:paraId="6FFB9792" w14:textId="77777777" w:rsidR="00E541EE" w:rsidRPr="003D3A69" w:rsidRDefault="00E541EE" w:rsidP="00A84BB5">
            <w:pPr>
              <w:jc w:val="center"/>
              <w:rPr>
                <w:rFonts w:ascii="Arial" w:eastAsia="Times New Roman" w:hAnsi="Arial" w:cs="Arial"/>
                <w:b/>
                <w:bCs/>
                <w:color w:val="000000"/>
                <w:sz w:val="14"/>
                <w:szCs w:val="14"/>
              </w:rPr>
            </w:pPr>
            <w:r w:rsidRPr="003D3A69">
              <w:rPr>
                <w:rFonts w:ascii="Arial" w:eastAsia="Times New Roman" w:hAnsi="Arial" w:cs="Arial"/>
                <w:b/>
                <w:bCs/>
                <w:color w:val="000000"/>
                <w:sz w:val="14"/>
                <w:szCs w:val="14"/>
              </w:rPr>
              <w:t>Projekcija 2027.</w:t>
            </w:r>
          </w:p>
        </w:tc>
        <w:tc>
          <w:tcPr>
            <w:tcW w:w="1081" w:type="dxa"/>
            <w:tcBorders>
              <w:top w:val="single" w:sz="4" w:space="0" w:color="000000"/>
              <w:left w:val="nil"/>
              <w:bottom w:val="single" w:sz="4" w:space="0" w:color="000000"/>
              <w:right w:val="single" w:sz="4" w:space="0" w:color="000000"/>
            </w:tcBorders>
            <w:shd w:val="clear" w:color="000000" w:fill="DCDCDC"/>
            <w:vAlign w:val="center"/>
            <w:hideMark/>
          </w:tcPr>
          <w:p w14:paraId="21F2A65D" w14:textId="77777777" w:rsidR="00E541EE" w:rsidRPr="003D3A69" w:rsidRDefault="00E541EE" w:rsidP="00A84BB5">
            <w:pPr>
              <w:jc w:val="center"/>
              <w:rPr>
                <w:rFonts w:ascii="Arial" w:eastAsia="Times New Roman" w:hAnsi="Arial" w:cs="Arial"/>
                <w:b/>
                <w:bCs/>
                <w:color w:val="000000"/>
                <w:sz w:val="14"/>
                <w:szCs w:val="14"/>
              </w:rPr>
            </w:pPr>
            <w:r w:rsidRPr="003D3A69">
              <w:rPr>
                <w:rFonts w:ascii="Arial" w:eastAsia="Times New Roman" w:hAnsi="Arial" w:cs="Arial"/>
                <w:b/>
                <w:bCs/>
                <w:color w:val="000000"/>
                <w:sz w:val="14"/>
                <w:szCs w:val="14"/>
              </w:rPr>
              <w:t>Projekcija 2028.</w:t>
            </w:r>
          </w:p>
        </w:tc>
      </w:tr>
      <w:tr w:rsidR="00E541EE" w:rsidRPr="003D3A69" w14:paraId="1FB08A72" w14:textId="77777777" w:rsidTr="00A84BB5">
        <w:trPr>
          <w:trHeight w:val="510"/>
        </w:trPr>
        <w:tc>
          <w:tcPr>
            <w:tcW w:w="683" w:type="dxa"/>
            <w:tcBorders>
              <w:top w:val="nil"/>
              <w:left w:val="single" w:sz="4" w:space="0" w:color="000000"/>
              <w:bottom w:val="single" w:sz="4" w:space="0" w:color="000000"/>
              <w:right w:val="single" w:sz="4" w:space="0" w:color="000000"/>
            </w:tcBorders>
            <w:vAlign w:val="center"/>
            <w:hideMark/>
          </w:tcPr>
          <w:p w14:paraId="1258375B" w14:textId="77777777" w:rsidR="00E541EE" w:rsidRPr="003D3A69" w:rsidRDefault="00E541EE" w:rsidP="00A84BB5">
            <w:pPr>
              <w:rPr>
                <w:rFonts w:ascii="Arial" w:eastAsia="Times New Roman" w:hAnsi="Arial" w:cs="Arial"/>
                <w:b/>
                <w:bCs/>
                <w:color w:val="000000"/>
                <w:sz w:val="16"/>
                <w:szCs w:val="16"/>
              </w:rPr>
            </w:pPr>
            <w:r w:rsidRPr="003D3A69">
              <w:rPr>
                <w:rFonts w:ascii="Arial" w:eastAsia="Times New Roman" w:hAnsi="Arial" w:cs="Arial"/>
                <w:b/>
                <w:bCs/>
                <w:color w:val="000000"/>
                <w:sz w:val="16"/>
                <w:szCs w:val="16"/>
              </w:rPr>
              <w:t>5</w:t>
            </w:r>
          </w:p>
        </w:tc>
        <w:tc>
          <w:tcPr>
            <w:tcW w:w="761" w:type="dxa"/>
            <w:tcBorders>
              <w:top w:val="nil"/>
              <w:left w:val="nil"/>
              <w:bottom w:val="single" w:sz="4" w:space="0" w:color="000000"/>
              <w:right w:val="single" w:sz="4" w:space="0" w:color="000000"/>
            </w:tcBorders>
            <w:hideMark/>
          </w:tcPr>
          <w:p w14:paraId="5D5047A4" w14:textId="77777777" w:rsidR="00E541EE" w:rsidRPr="003D3A69" w:rsidRDefault="00E541EE" w:rsidP="00A84BB5">
            <w:pPr>
              <w:rPr>
                <w:rFonts w:ascii="Arial" w:eastAsia="Times New Roman" w:hAnsi="Arial" w:cs="Arial"/>
                <w:color w:val="000000"/>
                <w:sz w:val="18"/>
                <w:szCs w:val="18"/>
              </w:rPr>
            </w:pPr>
            <w:r w:rsidRPr="003D3A69">
              <w:rPr>
                <w:rFonts w:ascii="Arial" w:eastAsia="Times New Roman" w:hAnsi="Arial" w:cs="Arial"/>
                <w:color w:val="000000"/>
                <w:sz w:val="18"/>
                <w:szCs w:val="18"/>
              </w:rPr>
              <w:t> </w:t>
            </w:r>
          </w:p>
        </w:tc>
        <w:tc>
          <w:tcPr>
            <w:tcW w:w="3376" w:type="dxa"/>
            <w:tcBorders>
              <w:top w:val="nil"/>
              <w:left w:val="nil"/>
              <w:bottom w:val="single" w:sz="4" w:space="0" w:color="000000"/>
              <w:right w:val="single" w:sz="4" w:space="0" w:color="000000"/>
            </w:tcBorders>
            <w:vAlign w:val="center"/>
            <w:hideMark/>
          </w:tcPr>
          <w:p w14:paraId="6BD95783" w14:textId="77777777" w:rsidR="00E541EE" w:rsidRPr="003D3A69" w:rsidRDefault="00E541EE" w:rsidP="00A84BB5">
            <w:pPr>
              <w:rPr>
                <w:rFonts w:ascii="Arial" w:eastAsia="Times New Roman" w:hAnsi="Arial" w:cs="Arial"/>
                <w:b/>
                <w:bCs/>
                <w:color w:val="000000"/>
                <w:sz w:val="16"/>
                <w:szCs w:val="16"/>
              </w:rPr>
            </w:pPr>
            <w:r w:rsidRPr="003D3A69">
              <w:rPr>
                <w:rFonts w:ascii="Arial" w:eastAsia="Times New Roman" w:hAnsi="Arial" w:cs="Arial"/>
                <w:b/>
                <w:bCs/>
                <w:color w:val="000000"/>
                <w:sz w:val="16"/>
                <w:szCs w:val="16"/>
              </w:rPr>
              <w:t>Izdaci za financijsku imovinu i otplate zajmova</w:t>
            </w:r>
          </w:p>
        </w:tc>
        <w:tc>
          <w:tcPr>
            <w:tcW w:w="1134" w:type="dxa"/>
            <w:tcBorders>
              <w:top w:val="nil"/>
              <w:left w:val="nil"/>
              <w:bottom w:val="single" w:sz="4" w:space="0" w:color="000000"/>
              <w:right w:val="single" w:sz="4" w:space="0" w:color="000000"/>
            </w:tcBorders>
            <w:vAlign w:val="center"/>
            <w:hideMark/>
          </w:tcPr>
          <w:p w14:paraId="0BFF1CE0" w14:textId="77777777" w:rsidR="00E541EE" w:rsidRPr="003D3A69" w:rsidRDefault="00E541EE" w:rsidP="00A84BB5">
            <w:pPr>
              <w:jc w:val="right"/>
              <w:rPr>
                <w:rFonts w:ascii="Arial" w:eastAsia="Times New Roman" w:hAnsi="Arial" w:cs="Arial"/>
                <w:b/>
                <w:bCs/>
                <w:color w:val="000000"/>
                <w:sz w:val="16"/>
                <w:szCs w:val="16"/>
              </w:rPr>
            </w:pPr>
            <w:r w:rsidRPr="003D3A69">
              <w:rPr>
                <w:rFonts w:ascii="Arial" w:eastAsia="Times New Roman" w:hAnsi="Arial" w:cs="Arial"/>
                <w:b/>
                <w:bCs/>
                <w:color w:val="000000"/>
                <w:sz w:val="16"/>
                <w:szCs w:val="16"/>
              </w:rPr>
              <w:t>44.750,00</w:t>
            </w:r>
          </w:p>
        </w:tc>
        <w:tc>
          <w:tcPr>
            <w:tcW w:w="1057" w:type="dxa"/>
            <w:tcBorders>
              <w:top w:val="nil"/>
              <w:left w:val="nil"/>
              <w:bottom w:val="single" w:sz="4" w:space="0" w:color="000000"/>
              <w:right w:val="single" w:sz="4" w:space="0" w:color="000000"/>
            </w:tcBorders>
            <w:vAlign w:val="center"/>
            <w:hideMark/>
          </w:tcPr>
          <w:p w14:paraId="55038096" w14:textId="77777777" w:rsidR="00E541EE" w:rsidRPr="003D3A69" w:rsidRDefault="00E541EE" w:rsidP="00A84BB5">
            <w:pPr>
              <w:jc w:val="right"/>
              <w:rPr>
                <w:rFonts w:ascii="Arial" w:eastAsia="Times New Roman" w:hAnsi="Arial" w:cs="Arial"/>
                <w:b/>
                <w:bCs/>
                <w:color w:val="000000"/>
                <w:sz w:val="16"/>
                <w:szCs w:val="16"/>
              </w:rPr>
            </w:pPr>
            <w:r w:rsidRPr="003D3A69">
              <w:rPr>
                <w:rFonts w:ascii="Arial" w:eastAsia="Times New Roman" w:hAnsi="Arial" w:cs="Arial"/>
                <w:b/>
                <w:bCs/>
                <w:color w:val="000000"/>
                <w:sz w:val="16"/>
                <w:szCs w:val="16"/>
              </w:rPr>
              <w:t>50.000,00</w:t>
            </w:r>
          </w:p>
        </w:tc>
        <w:tc>
          <w:tcPr>
            <w:tcW w:w="980" w:type="dxa"/>
            <w:tcBorders>
              <w:top w:val="nil"/>
              <w:left w:val="nil"/>
              <w:bottom w:val="single" w:sz="4" w:space="0" w:color="000000"/>
              <w:right w:val="single" w:sz="4" w:space="0" w:color="000000"/>
            </w:tcBorders>
            <w:vAlign w:val="center"/>
            <w:hideMark/>
          </w:tcPr>
          <w:p w14:paraId="0268D1B6" w14:textId="77777777" w:rsidR="00E541EE" w:rsidRPr="003D3A69" w:rsidRDefault="00E541EE" w:rsidP="00A84BB5">
            <w:pPr>
              <w:jc w:val="right"/>
              <w:rPr>
                <w:rFonts w:ascii="Arial" w:eastAsia="Times New Roman" w:hAnsi="Arial" w:cs="Arial"/>
                <w:b/>
                <w:bCs/>
                <w:color w:val="000000"/>
                <w:sz w:val="16"/>
                <w:szCs w:val="16"/>
              </w:rPr>
            </w:pPr>
            <w:r w:rsidRPr="003D3A69">
              <w:rPr>
                <w:rFonts w:ascii="Arial" w:eastAsia="Times New Roman" w:hAnsi="Arial" w:cs="Arial"/>
                <w:b/>
                <w:bCs/>
                <w:color w:val="000000"/>
                <w:sz w:val="16"/>
                <w:szCs w:val="16"/>
              </w:rPr>
              <w:t>50.000,00</w:t>
            </w:r>
          </w:p>
        </w:tc>
        <w:tc>
          <w:tcPr>
            <w:tcW w:w="1081" w:type="dxa"/>
            <w:tcBorders>
              <w:top w:val="nil"/>
              <w:left w:val="nil"/>
              <w:bottom w:val="single" w:sz="4" w:space="0" w:color="000000"/>
              <w:right w:val="single" w:sz="4" w:space="0" w:color="000000"/>
            </w:tcBorders>
            <w:vAlign w:val="center"/>
            <w:hideMark/>
          </w:tcPr>
          <w:p w14:paraId="0A41F715" w14:textId="77777777" w:rsidR="00E541EE" w:rsidRPr="003D3A69" w:rsidRDefault="00E541EE" w:rsidP="00A84BB5">
            <w:pPr>
              <w:jc w:val="right"/>
              <w:rPr>
                <w:rFonts w:ascii="Arial" w:eastAsia="Times New Roman" w:hAnsi="Arial" w:cs="Arial"/>
                <w:b/>
                <w:bCs/>
                <w:color w:val="000000"/>
                <w:sz w:val="16"/>
                <w:szCs w:val="16"/>
              </w:rPr>
            </w:pPr>
            <w:r w:rsidRPr="003D3A69">
              <w:rPr>
                <w:rFonts w:ascii="Arial" w:eastAsia="Times New Roman" w:hAnsi="Arial" w:cs="Arial"/>
                <w:b/>
                <w:bCs/>
                <w:color w:val="000000"/>
                <w:sz w:val="16"/>
                <w:szCs w:val="16"/>
              </w:rPr>
              <w:t>50.000,00</w:t>
            </w:r>
          </w:p>
        </w:tc>
      </w:tr>
      <w:tr w:rsidR="00E541EE" w:rsidRPr="003D3A69" w14:paraId="66C899C2" w14:textId="77777777" w:rsidTr="00A84BB5">
        <w:trPr>
          <w:trHeight w:val="555"/>
        </w:trPr>
        <w:tc>
          <w:tcPr>
            <w:tcW w:w="683" w:type="dxa"/>
            <w:tcBorders>
              <w:top w:val="nil"/>
              <w:left w:val="single" w:sz="4" w:space="0" w:color="000000"/>
              <w:bottom w:val="single" w:sz="4" w:space="0" w:color="000000"/>
              <w:right w:val="single" w:sz="4" w:space="0" w:color="000000"/>
            </w:tcBorders>
            <w:vAlign w:val="center"/>
            <w:hideMark/>
          </w:tcPr>
          <w:p w14:paraId="52BBE928" w14:textId="77777777" w:rsidR="00E541EE" w:rsidRPr="003D3A69" w:rsidRDefault="00E541EE" w:rsidP="00A84BB5">
            <w:pPr>
              <w:rPr>
                <w:rFonts w:ascii="Arial" w:eastAsia="Times New Roman" w:hAnsi="Arial" w:cs="Arial"/>
                <w:color w:val="000000"/>
                <w:sz w:val="16"/>
                <w:szCs w:val="16"/>
              </w:rPr>
            </w:pPr>
            <w:r w:rsidRPr="003D3A69">
              <w:rPr>
                <w:rFonts w:ascii="Arial" w:eastAsia="Times New Roman" w:hAnsi="Arial" w:cs="Arial"/>
                <w:color w:val="000000"/>
                <w:sz w:val="16"/>
                <w:szCs w:val="16"/>
              </w:rPr>
              <w:t> </w:t>
            </w:r>
          </w:p>
        </w:tc>
        <w:tc>
          <w:tcPr>
            <w:tcW w:w="761" w:type="dxa"/>
            <w:tcBorders>
              <w:top w:val="nil"/>
              <w:left w:val="nil"/>
              <w:bottom w:val="single" w:sz="4" w:space="0" w:color="000000"/>
              <w:right w:val="single" w:sz="4" w:space="0" w:color="000000"/>
            </w:tcBorders>
            <w:vAlign w:val="center"/>
            <w:hideMark/>
          </w:tcPr>
          <w:p w14:paraId="0DEC8581" w14:textId="77777777" w:rsidR="00E541EE" w:rsidRPr="003D3A69" w:rsidRDefault="00E541EE" w:rsidP="00A84BB5">
            <w:pPr>
              <w:rPr>
                <w:rFonts w:ascii="Arial" w:eastAsia="Times New Roman" w:hAnsi="Arial" w:cs="Arial"/>
                <w:color w:val="000000"/>
                <w:sz w:val="16"/>
                <w:szCs w:val="16"/>
              </w:rPr>
            </w:pPr>
            <w:r w:rsidRPr="003D3A69">
              <w:rPr>
                <w:rFonts w:ascii="Arial" w:eastAsia="Times New Roman" w:hAnsi="Arial" w:cs="Arial"/>
                <w:color w:val="000000"/>
                <w:sz w:val="16"/>
                <w:szCs w:val="16"/>
              </w:rPr>
              <w:t>51</w:t>
            </w:r>
          </w:p>
        </w:tc>
        <w:tc>
          <w:tcPr>
            <w:tcW w:w="3376" w:type="dxa"/>
            <w:tcBorders>
              <w:top w:val="nil"/>
              <w:left w:val="nil"/>
              <w:bottom w:val="single" w:sz="4" w:space="0" w:color="000000"/>
              <w:right w:val="single" w:sz="4" w:space="0" w:color="000000"/>
            </w:tcBorders>
            <w:vAlign w:val="center"/>
            <w:hideMark/>
          </w:tcPr>
          <w:p w14:paraId="45CA591D" w14:textId="77777777" w:rsidR="00E541EE" w:rsidRPr="003D3A69" w:rsidRDefault="00E541EE" w:rsidP="00A84BB5">
            <w:pPr>
              <w:rPr>
                <w:rFonts w:ascii="Arial" w:eastAsia="Times New Roman" w:hAnsi="Arial" w:cs="Arial"/>
                <w:color w:val="000000"/>
                <w:sz w:val="16"/>
                <w:szCs w:val="16"/>
              </w:rPr>
            </w:pPr>
            <w:r w:rsidRPr="003D3A69">
              <w:rPr>
                <w:rFonts w:ascii="Arial" w:eastAsia="Times New Roman" w:hAnsi="Arial" w:cs="Arial"/>
                <w:color w:val="000000"/>
                <w:sz w:val="16"/>
                <w:szCs w:val="16"/>
              </w:rPr>
              <w:t>Izdaci za dane zajmove i jamčevne pologe</w:t>
            </w:r>
          </w:p>
        </w:tc>
        <w:tc>
          <w:tcPr>
            <w:tcW w:w="1134" w:type="dxa"/>
            <w:tcBorders>
              <w:top w:val="nil"/>
              <w:left w:val="nil"/>
              <w:bottom w:val="single" w:sz="4" w:space="0" w:color="000000"/>
              <w:right w:val="single" w:sz="4" w:space="0" w:color="000000"/>
            </w:tcBorders>
            <w:vAlign w:val="center"/>
            <w:hideMark/>
          </w:tcPr>
          <w:p w14:paraId="7EC990A9" w14:textId="77777777" w:rsidR="00E541EE" w:rsidRPr="003D3A69" w:rsidRDefault="00E541EE" w:rsidP="00A84BB5">
            <w:pPr>
              <w:jc w:val="right"/>
              <w:rPr>
                <w:rFonts w:ascii="Arial" w:eastAsia="Times New Roman" w:hAnsi="Arial" w:cs="Arial"/>
                <w:color w:val="000000"/>
                <w:sz w:val="16"/>
                <w:szCs w:val="16"/>
              </w:rPr>
            </w:pPr>
            <w:r w:rsidRPr="003D3A69">
              <w:rPr>
                <w:rFonts w:ascii="Arial" w:eastAsia="Times New Roman" w:hAnsi="Arial" w:cs="Arial"/>
                <w:color w:val="000000"/>
                <w:sz w:val="16"/>
                <w:szCs w:val="16"/>
              </w:rPr>
              <w:t>4.750,00</w:t>
            </w:r>
          </w:p>
        </w:tc>
        <w:tc>
          <w:tcPr>
            <w:tcW w:w="1057" w:type="dxa"/>
            <w:tcBorders>
              <w:top w:val="nil"/>
              <w:left w:val="nil"/>
              <w:bottom w:val="single" w:sz="4" w:space="0" w:color="000000"/>
              <w:right w:val="single" w:sz="4" w:space="0" w:color="000000"/>
            </w:tcBorders>
            <w:vAlign w:val="center"/>
            <w:hideMark/>
          </w:tcPr>
          <w:p w14:paraId="15BFAF83" w14:textId="77777777" w:rsidR="00E541EE" w:rsidRPr="003D3A69" w:rsidRDefault="00E541EE" w:rsidP="00A84BB5">
            <w:pPr>
              <w:jc w:val="right"/>
              <w:rPr>
                <w:rFonts w:ascii="Arial" w:eastAsia="Times New Roman" w:hAnsi="Arial" w:cs="Arial"/>
                <w:color w:val="000000"/>
                <w:sz w:val="16"/>
                <w:szCs w:val="16"/>
              </w:rPr>
            </w:pPr>
            <w:r w:rsidRPr="003D3A69">
              <w:rPr>
                <w:rFonts w:ascii="Arial" w:eastAsia="Times New Roman" w:hAnsi="Arial" w:cs="Arial"/>
                <w:color w:val="000000"/>
                <w:sz w:val="16"/>
                <w:szCs w:val="16"/>
              </w:rPr>
              <w:t>10.000,00</w:t>
            </w:r>
          </w:p>
        </w:tc>
        <w:tc>
          <w:tcPr>
            <w:tcW w:w="980" w:type="dxa"/>
            <w:tcBorders>
              <w:top w:val="nil"/>
              <w:left w:val="nil"/>
              <w:bottom w:val="single" w:sz="4" w:space="0" w:color="000000"/>
              <w:right w:val="single" w:sz="4" w:space="0" w:color="000000"/>
            </w:tcBorders>
            <w:vAlign w:val="center"/>
            <w:hideMark/>
          </w:tcPr>
          <w:p w14:paraId="75BD01D7" w14:textId="77777777" w:rsidR="00E541EE" w:rsidRPr="003D3A69" w:rsidRDefault="00E541EE" w:rsidP="00A84BB5">
            <w:pPr>
              <w:jc w:val="right"/>
              <w:rPr>
                <w:rFonts w:ascii="Arial" w:eastAsia="Times New Roman" w:hAnsi="Arial" w:cs="Arial"/>
                <w:color w:val="000000"/>
                <w:sz w:val="16"/>
                <w:szCs w:val="16"/>
              </w:rPr>
            </w:pPr>
            <w:r w:rsidRPr="003D3A69">
              <w:rPr>
                <w:rFonts w:ascii="Arial" w:eastAsia="Times New Roman" w:hAnsi="Arial" w:cs="Arial"/>
                <w:color w:val="000000"/>
                <w:sz w:val="16"/>
                <w:szCs w:val="16"/>
              </w:rPr>
              <w:t>10.000,00</w:t>
            </w:r>
          </w:p>
        </w:tc>
        <w:tc>
          <w:tcPr>
            <w:tcW w:w="1081" w:type="dxa"/>
            <w:tcBorders>
              <w:top w:val="nil"/>
              <w:left w:val="nil"/>
              <w:bottom w:val="single" w:sz="4" w:space="0" w:color="000000"/>
              <w:right w:val="single" w:sz="4" w:space="0" w:color="000000"/>
            </w:tcBorders>
            <w:vAlign w:val="center"/>
            <w:hideMark/>
          </w:tcPr>
          <w:p w14:paraId="6EFC795B" w14:textId="77777777" w:rsidR="00E541EE" w:rsidRPr="003D3A69" w:rsidRDefault="00E541EE" w:rsidP="00A84BB5">
            <w:pPr>
              <w:jc w:val="right"/>
              <w:rPr>
                <w:rFonts w:ascii="Arial" w:eastAsia="Times New Roman" w:hAnsi="Arial" w:cs="Arial"/>
                <w:color w:val="000000"/>
                <w:sz w:val="16"/>
                <w:szCs w:val="16"/>
              </w:rPr>
            </w:pPr>
            <w:r w:rsidRPr="003D3A69">
              <w:rPr>
                <w:rFonts w:ascii="Arial" w:eastAsia="Times New Roman" w:hAnsi="Arial" w:cs="Arial"/>
                <w:color w:val="000000"/>
                <w:sz w:val="16"/>
                <w:szCs w:val="16"/>
              </w:rPr>
              <w:t>10.000,00</w:t>
            </w:r>
          </w:p>
        </w:tc>
      </w:tr>
      <w:tr w:rsidR="00E541EE" w:rsidRPr="003D3A69" w14:paraId="1147AF72" w14:textId="77777777" w:rsidTr="00A84BB5">
        <w:trPr>
          <w:trHeight w:val="630"/>
        </w:trPr>
        <w:tc>
          <w:tcPr>
            <w:tcW w:w="683" w:type="dxa"/>
            <w:tcBorders>
              <w:top w:val="nil"/>
              <w:left w:val="single" w:sz="4" w:space="0" w:color="000000"/>
              <w:bottom w:val="single" w:sz="4" w:space="0" w:color="000000"/>
              <w:right w:val="single" w:sz="4" w:space="0" w:color="000000"/>
            </w:tcBorders>
            <w:vAlign w:val="center"/>
            <w:hideMark/>
          </w:tcPr>
          <w:p w14:paraId="38BF9180" w14:textId="77777777" w:rsidR="00E541EE" w:rsidRPr="003D3A69" w:rsidRDefault="00E541EE" w:rsidP="00A84BB5">
            <w:pPr>
              <w:rPr>
                <w:rFonts w:ascii="Arial" w:eastAsia="Times New Roman" w:hAnsi="Arial" w:cs="Arial"/>
                <w:color w:val="000000"/>
                <w:sz w:val="16"/>
                <w:szCs w:val="16"/>
              </w:rPr>
            </w:pPr>
            <w:r w:rsidRPr="003D3A69">
              <w:rPr>
                <w:rFonts w:ascii="Arial" w:eastAsia="Times New Roman" w:hAnsi="Arial" w:cs="Arial"/>
                <w:color w:val="000000"/>
                <w:sz w:val="16"/>
                <w:szCs w:val="16"/>
              </w:rPr>
              <w:t> </w:t>
            </w:r>
          </w:p>
        </w:tc>
        <w:tc>
          <w:tcPr>
            <w:tcW w:w="761" w:type="dxa"/>
            <w:tcBorders>
              <w:top w:val="nil"/>
              <w:left w:val="nil"/>
              <w:bottom w:val="single" w:sz="4" w:space="0" w:color="000000"/>
              <w:right w:val="single" w:sz="4" w:space="0" w:color="000000"/>
            </w:tcBorders>
            <w:vAlign w:val="center"/>
            <w:hideMark/>
          </w:tcPr>
          <w:p w14:paraId="283DB62A" w14:textId="77777777" w:rsidR="00E541EE" w:rsidRPr="003D3A69" w:rsidRDefault="00E541EE" w:rsidP="00A84BB5">
            <w:pPr>
              <w:rPr>
                <w:rFonts w:ascii="Arial" w:eastAsia="Times New Roman" w:hAnsi="Arial" w:cs="Arial"/>
                <w:color w:val="000000"/>
                <w:sz w:val="16"/>
                <w:szCs w:val="16"/>
              </w:rPr>
            </w:pPr>
            <w:r w:rsidRPr="003D3A69">
              <w:rPr>
                <w:rFonts w:ascii="Arial" w:eastAsia="Times New Roman" w:hAnsi="Arial" w:cs="Arial"/>
                <w:color w:val="000000"/>
                <w:sz w:val="16"/>
                <w:szCs w:val="16"/>
              </w:rPr>
              <w:t>53</w:t>
            </w:r>
          </w:p>
        </w:tc>
        <w:tc>
          <w:tcPr>
            <w:tcW w:w="3376" w:type="dxa"/>
            <w:tcBorders>
              <w:top w:val="nil"/>
              <w:left w:val="nil"/>
              <w:bottom w:val="single" w:sz="4" w:space="0" w:color="000000"/>
              <w:right w:val="single" w:sz="4" w:space="0" w:color="000000"/>
            </w:tcBorders>
            <w:vAlign w:val="center"/>
            <w:hideMark/>
          </w:tcPr>
          <w:p w14:paraId="62823ADA" w14:textId="77777777" w:rsidR="00E541EE" w:rsidRPr="003D3A69" w:rsidRDefault="00E541EE" w:rsidP="00A84BB5">
            <w:pPr>
              <w:rPr>
                <w:rFonts w:ascii="Arial" w:eastAsia="Times New Roman" w:hAnsi="Arial" w:cs="Arial"/>
                <w:color w:val="000000"/>
                <w:sz w:val="16"/>
                <w:szCs w:val="16"/>
              </w:rPr>
            </w:pPr>
            <w:r w:rsidRPr="003D3A69">
              <w:rPr>
                <w:rFonts w:ascii="Arial" w:eastAsia="Times New Roman" w:hAnsi="Arial" w:cs="Arial"/>
                <w:color w:val="000000"/>
                <w:sz w:val="16"/>
                <w:szCs w:val="16"/>
              </w:rPr>
              <w:t>Izdaci za ulaganja u financijske instrumente - dionice i udjele u glavnici</w:t>
            </w:r>
          </w:p>
        </w:tc>
        <w:tc>
          <w:tcPr>
            <w:tcW w:w="1134" w:type="dxa"/>
            <w:tcBorders>
              <w:top w:val="nil"/>
              <w:left w:val="nil"/>
              <w:bottom w:val="single" w:sz="4" w:space="0" w:color="000000"/>
              <w:right w:val="single" w:sz="4" w:space="0" w:color="000000"/>
            </w:tcBorders>
            <w:vAlign w:val="center"/>
            <w:hideMark/>
          </w:tcPr>
          <w:p w14:paraId="3918B5FB" w14:textId="77777777" w:rsidR="00E541EE" w:rsidRPr="003D3A69" w:rsidRDefault="00E541EE" w:rsidP="00A84BB5">
            <w:pPr>
              <w:jc w:val="right"/>
              <w:rPr>
                <w:rFonts w:ascii="Arial" w:eastAsia="Times New Roman" w:hAnsi="Arial" w:cs="Arial"/>
                <w:color w:val="000000"/>
                <w:sz w:val="16"/>
                <w:szCs w:val="16"/>
              </w:rPr>
            </w:pPr>
            <w:r w:rsidRPr="003D3A69">
              <w:rPr>
                <w:rFonts w:ascii="Arial" w:eastAsia="Times New Roman" w:hAnsi="Arial" w:cs="Arial"/>
                <w:color w:val="000000"/>
                <w:sz w:val="16"/>
                <w:szCs w:val="16"/>
              </w:rPr>
              <w:t>40.000,00</w:t>
            </w:r>
          </w:p>
        </w:tc>
        <w:tc>
          <w:tcPr>
            <w:tcW w:w="1057" w:type="dxa"/>
            <w:tcBorders>
              <w:top w:val="nil"/>
              <w:left w:val="nil"/>
              <w:bottom w:val="single" w:sz="4" w:space="0" w:color="000000"/>
              <w:right w:val="single" w:sz="4" w:space="0" w:color="000000"/>
            </w:tcBorders>
            <w:vAlign w:val="center"/>
            <w:hideMark/>
          </w:tcPr>
          <w:p w14:paraId="040A3089" w14:textId="77777777" w:rsidR="00E541EE" w:rsidRPr="003D3A69" w:rsidRDefault="00E541EE" w:rsidP="00A84BB5">
            <w:pPr>
              <w:jc w:val="right"/>
              <w:rPr>
                <w:rFonts w:ascii="Arial" w:eastAsia="Times New Roman" w:hAnsi="Arial" w:cs="Arial"/>
                <w:color w:val="000000"/>
                <w:sz w:val="16"/>
                <w:szCs w:val="16"/>
              </w:rPr>
            </w:pPr>
            <w:r w:rsidRPr="003D3A69">
              <w:rPr>
                <w:rFonts w:ascii="Arial" w:eastAsia="Times New Roman" w:hAnsi="Arial" w:cs="Arial"/>
                <w:color w:val="000000"/>
                <w:sz w:val="16"/>
                <w:szCs w:val="16"/>
              </w:rPr>
              <w:t>40.000,00</w:t>
            </w:r>
          </w:p>
        </w:tc>
        <w:tc>
          <w:tcPr>
            <w:tcW w:w="980" w:type="dxa"/>
            <w:tcBorders>
              <w:top w:val="nil"/>
              <w:left w:val="nil"/>
              <w:bottom w:val="single" w:sz="4" w:space="0" w:color="000000"/>
              <w:right w:val="single" w:sz="4" w:space="0" w:color="000000"/>
            </w:tcBorders>
            <w:vAlign w:val="center"/>
            <w:hideMark/>
          </w:tcPr>
          <w:p w14:paraId="15F49CC9" w14:textId="77777777" w:rsidR="00E541EE" w:rsidRPr="003D3A69" w:rsidRDefault="00E541EE" w:rsidP="00A84BB5">
            <w:pPr>
              <w:jc w:val="right"/>
              <w:rPr>
                <w:rFonts w:ascii="Arial" w:eastAsia="Times New Roman" w:hAnsi="Arial" w:cs="Arial"/>
                <w:color w:val="000000"/>
                <w:sz w:val="16"/>
                <w:szCs w:val="16"/>
              </w:rPr>
            </w:pPr>
            <w:r w:rsidRPr="003D3A69">
              <w:rPr>
                <w:rFonts w:ascii="Arial" w:eastAsia="Times New Roman" w:hAnsi="Arial" w:cs="Arial"/>
                <w:color w:val="000000"/>
                <w:sz w:val="16"/>
                <w:szCs w:val="16"/>
              </w:rPr>
              <w:t>40.000,00</w:t>
            </w:r>
          </w:p>
        </w:tc>
        <w:tc>
          <w:tcPr>
            <w:tcW w:w="1081" w:type="dxa"/>
            <w:tcBorders>
              <w:top w:val="nil"/>
              <w:left w:val="nil"/>
              <w:bottom w:val="single" w:sz="4" w:space="0" w:color="000000"/>
              <w:right w:val="single" w:sz="4" w:space="0" w:color="000000"/>
            </w:tcBorders>
            <w:vAlign w:val="center"/>
            <w:hideMark/>
          </w:tcPr>
          <w:p w14:paraId="642F9A84" w14:textId="77777777" w:rsidR="00E541EE" w:rsidRPr="003D3A69" w:rsidRDefault="00E541EE" w:rsidP="00A84BB5">
            <w:pPr>
              <w:jc w:val="right"/>
              <w:rPr>
                <w:rFonts w:ascii="Arial" w:eastAsia="Times New Roman" w:hAnsi="Arial" w:cs="Arial"/>
                <w:color w:val="000000"/>
                <w:sz w:val="16"/>
                <w:szCs w:val="16"/>
              </w:rPr>
            </w:pPr>
            <w:r w:rsidRPr="003D3A69">
              <w:rPr>
                <w:rFonts w:ascii="Arial" w:eastAsia="Times New Roman" w:hAnsi="Arial" w:cs="Arial"/>
                <w:color w:val="000000"/>
                <w:sz w:val="16"/>
                <w:szCs w:val="16"/>
              </w:rPr>
              <w:t>40.000,00</w:t>
            </w:r>
          </w:p>
        </w:tc>
      </w:tr>
    </w:tbl>
    <w:p w14:paraId="062254B3" w14:textId="77777777" w:rsidR="00E541EE" w:rsidRDefault="00E541EE" w:rsidP="00E541EE">
      <w:pPr>
        <w:jc w:val="both"/>
        <w:rPr>
          <w:rFonts w:ascii="Arial" w:hAnsi="Arial" w:cs="Arial"/>
          <w:b/>
          <w:sz w:val="24"/>
          <w:szCs w:val="24"/>
        </w:rPr>
      </w:pPr>
    </w:p>
    <w:p w14:paraId="6E1817EA" w14:textId="77777777" w:rsidR="00E541EE" w:rsidRDefault="00E541EE" w:rsidP="00E541EE">
      <w:pPr>
        <w:jc w:val="both"/>
        <w:rPr>
          <w:rFonts w:ascii="Arial" w:hAnsi="Arial" w:cs="Arial"/>
          <w:b/>
          <w:sz w:val="24"/>
          <w:szCs w:val="24"/>
        </w:rPr>
      </w:pPr>
    </w:p>
    <w:p w14:paraId="2D5A5163" w14:textId="77777777" w:rsidR="00E541EE" w:rsidRDefault="00E541EE" w:rsidP="00E541EE">
      <w:pPr>
        <w:jc w:val="both"/>
        <w:rPr>
          <w:rFonts w:ascii="Arial" w:hAnsi="Arial" w:cs="Arial"/>
          <w:sz w:val="24"/>
          <w:szCs w:val="24"/>
        </w:rPr>
      </w:pPr>
      <w:r w:rsidRPr="00F94597">
        <w:rPr>
          <w:rFonts w:ascii="Arial" w:hAnsi="Arial" w:cs="Arial"/>
          <w:b/>
          <w:sz w:val="24"/>
          <w:szCs w:val="24"/>
        </w:rPr>
        <w:t>Izdaci za financijsku imovinu i otplatu zajmova</w:t>
      </w:r>
      <w:r w:rsidRPr="00F94597">
        <w:rPr>
          <w:rFonts w:ascii="Arial" w:hAnsi="Arial" w:cs="Arial"/>
          <w:sz w:val="24"/>
          <w:szCs w:val="24"/>
        </w:rPr>
        <w:t xml:space="preserve"> prikazani su u tabeli </w:t>
      </w:r>
      <w:r w:rsidRPr="00F94597">
        <w:rPr>
          <w:rFonts w:ascii="Arial" w:hAnsi="Arial" w:cs="Arial"/>
          <w:i/>
          <w:sz w:val="24"/>
          <w:szCs w:val="24"/>
        </w:rPr>
        <w:t>Račun financiranja</w:t>
      </w:r>
      <w:r w:rsidRPr="00F94597">
        <w:rPr>
          <w:rFonts w:ascii="Arial" w:hAnsi="Arial" w:cs="Arial"/>
          <w:sz w:val="24"/>
          <w:szCs w:val="24"/>
        </w:rPr>
        <w:t>,</w:t>
      </w:r>
      <w:r w:rsidRPr="00F94597">
        <w:rPr>
          <w:rFonts w:ascii="Arial" w:hAnsi="Arial" w:cs="Arial"/>
          <w:i/>
          <w:sz w:val="24"/>
          <w:szCs w:val="24"/>
        </w:rPr>
        <w:t xml:space="preserve"> </w:t>
      </w:r>
      <w:r w:rsidRPr="00F94597">
        <w:rPr>
          <w:rFonts w:ascii="Arial" w:hAnsi="Arial" w:cs="Arial"/>
          <w:sz w:val="24"/>
          <w:szCs w:val="24"/>
        </w:rPr>
        <w:t>a planirani su u iznosu od 50.000,00 eura za 2026. godinu kao i projekcije za  2027. i 2028. godinu</w:t>
      </w:r>
      <w:r>
        <w:rPr>
          <w:rFonts w:ascii="Arial" w:hAnsi="Arial" w:cs="Arial"/>
          <w:sz w:val="24"/>
          <w:szCs w:val="24"/>
        </w:rPr>
        <w:t xml:space="preserve">, a odnose se na izdatke za jamčevne pologe u tuzemstvu u iznosu od 10.000,00 eura i dionice i udjele u glavnici trgovačkih društava u javnom sektoru u iznosu od 40.000,00 eura koji su namijenjeni za sufinanciranje otplate kredita za  izgradnju ŽOGO Kaštijun. </w:t>
      </w:r>
    </w:p>
    <w:p w14:paraId="7CF113A9" w14:textId="77777777" w:rsidR="00E541EE" w:rsidRDefault="00E541EE" w:rsidP="00E541EE">
      <w:pPr>
        <w:jc w:val="both"/>
        <w:rPr>
          <w:rFonts w:ascii="Arial" w:hAnsi="Arial" w:cs="Arial"/>
          <w:sz w:val="24"/>
          <w:szCs w:val="24"/>
        </w:rPr>
      </w:pPr>
    </w:p>
    <w:p w14:paraId="478C2C49" w14:textId="77777777" w:rsidR="00E541EE" w:rsidRDefault="00E541EE" w:rsidP="00E541EE">
      <w:pPr>
        <w:jc w:val="both"/>
        <w:rPr>
          <w:rFonts w:ascii="Arial" w:hAnsi="Arial" w:cs="Arial"/>
          <w:sz w:val="24"/>
          <w:szCs w:val="24"/>
        </w:rPr>
      </w:pPr>
    </w:p>
    <w:p w14:paraId="678BC9F4" w14:textId="77777777" w:rsidR="00E541EE" w:rsidRPr="00683895" w:rsidRDefault="00E541EE" w:rsidP="00E541EE">
      <w:pPr>
        <w:jc w:val="both"/>
        <w:rPr>
          <w:rFonts w:ascii="Arial" w:hAnsi="Arial" w:cs="Arial"/>
          <w:sz w:val="24"/>
          <w:szCs w:val="24"/>
        </w:rPr>
      </w:pPr>
      <w:r w:rsidRPr="00683895">
        <w:rPr>
          <w:rFonts w:ascii="Arial" w:hAnsi="Arial" w:cs="Arial"/>
          <w:sz w:val="24"/>
          <w:szCs w:val="24"/>
        </w:rPr>
        <w:t xml:space="preserve">Promatrajući rashode kroz </w:t>
      </w:r>
      <w:r w:rsidRPr="00683895">
        <w:rPr>
          <w:rFonts w:ascii="Arial" w:hAnsi="Arial" w:cs="Arial"/>
          <w:b/>
          <w:bCs/>
          <w:sz w:val="24"/>
          <w:szCs w:val="24"/>
        </w:rPr>
        <w:t>izvore financiranja</w:t>
      </w:r>
      <w:r w:rsidRPr="00683895">
        <w:rPr>
          <w:rFonts w:ascii="Arial" w:hAnsi="Arial" w:cs="Arial"/>
          <w:sz w:val="24"/>
          <w:szCs w:val="24"/>
        </w:rPr>
        <w:t xml:space="preserve"> najveći dio u odnosu na ukupne rashode otpada na financiranje iz općih prihoda i primitaka (56,84%), slijedi financiranje iz decentralizacije, ugovorima za posebne namjene, pomoći tijela EU, pomoći iz inozemstva (29,05%), financiranje iz prihoda od posebne namjene (11,45%), financiranje iz prihoda od prodaje nefinancijske imovine (1,83%), financiranje vlastitim prihodima proračunskih korisnika (0,5</w:t>
      </w:r>
      <w:r>
        <w:rPr>
          <w:rFonts w:ascii="Arial" w:hAnsi="Arial" w:cs="Arial"/>
          <w:sz w:val="24"/>
          <w:szCs w:val="24"/>
        </w:rPr>
        <w:t>3</w:t>
      </w:r>
      <w:r w:rsidRPr="00683895">
        <w:rPr>
          <w:rFonts w:ascii="Arial" w:hAnsi="Arial" w:cs="Arial"/>
          <w:sz w:val="24"/>
          <w:szCs w:val="24"/>
        </w:rPr>
        <w:t>%), te na financiranje iz prihoda od donacija (0,30%).</w:t>
      </w:r>
    </w:p>
    <w:p w14:paraId="78CF82E2" w14:textId="77777777" w:rsidR="00E541EE" w:rsidRDefault="00E541EE" w:rsidP="00E541EE">
      <w:pPr>
        <w:jc w:val="both"/>
        <w:rPr>
          <w:rFonts w:ascii="Arial" w:hAnsi="Arial" w:cs="Arial"/>
          <w:sz w:val="24"/>
          <w:szCs w:val="24"/>
          <w:highlight w:val="yellow"/>
        </w:rPr>
      </w:pPr>
      <w:r>
        <w:rPr>
          <w:rFonts w:ascii="Arial" w:hAnsi="Arial" w:cs="Arial"/>
          <w:sz w:val="24"/>
          <w:szCs w:val="24"/>
          <w:highlight w:val="yellow"/>
        </w:rPr>
        <w:t xml:space="preserve"> </w:t>
      </w:r>
    </w:p>
    <w:p w14:paraId="4BDD11DC" w14:textId="77777777" w:rsidR="00E541EE" w:rsidRPr="00656006" w:rsidRDefault="00E541EE" w:rsidP="00E541EE">
      <w:pPr>
        <w:jc w:val="both"/>
        <w:rPr>
          <w:rFonts w:ascii="Arial" w:hAnsi="Arial" w:cs="Arial"/>
          <w:sz w:val="24"/>
          <w:szCs w:val="24"/>
          <w:highlight w:val="yellow"/>
        </w:rPr>
      </w:pPr>
      <w:r>
        <w:rPr>
          <w:noProof/>
          <w14:ligatures w14:val="standardContextual"/>
        </w:rPr>
        <w:drawing>
          <wp:inline distT="0" distB="0" distL="0" distR="0" wp14:anchorId="5FF07D52" wp14:editId="2804A2F5">
            <wp:extent cx="5753100" cy="2162175"/>
            <wp:effectExtent l="0" t="0" r="0" b="9525"/>
            <wp:docPr id="775929332" name="Grafikon 1">
              <a:extLst xmlns:a="http://schemas.openxmlformats.org/drawingml/2006/main">
                <a:ext uri="{FF2B5EF4-FFF2-40B4-BE49-F238E27FC236}">
                  <a16:creationId xmlns:a16="http://schemas.microsoft.com/office/drawing/2014/main" id="{78A6ABF4-98F6-B4BC-8C86-0E3DB5612E4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B030534" w14:textId="77777777" w:rsidR="00E541EE" w:rsidRPr="00656006" w:rsidRDefault="00E541EE" w:rsidP="00E541EE">
      <w:pPr>
        <w:jc w:val="both"/>
        <w:rPr>
          <w:rFonts w:ascii="Arial" w:hAnsi="Arial" w:cs="Arial"/>
          <w:sz w:val="24"/>
          <w:szCs w:val="24"/>
          <w:highlight w:val="yellow"/>
        </w:rPr>
      </w:pPr>
    </w:p>
    <w:p w14:paraId="3DEB8564" w14:textId="77777777" w:rsidR="00E541EE" w:rsidRDefault="00E541EE" w:rsidP="00E541EE">
      <w:pPr>
        <w:jc w:val="both"/>
        <w:rPr>
          <w:rFonts w:ascii="Arial" w:hAnsi="Arial" w:cs="Arial"/>
          <w:sz w:val="24"/>
          <w:szCs w:val="24"/>
        </w:rPr>
      </w:pPr>
    </w:p>
    <w:p w14:paraId="0F691D94" w14:textId="77777777" w:rsidR="00E541EE" w:rsidRDefault="00E541EE" w:rsidP="00E541EE">
      <w:pPr>
        <w:jc w:val="both"/>
        <w:rPr>
          <w:rFonts w:ascii="Arial" w:hAnsi="Arial" w:cs="Arial"/>
          <w:sz w:val="24"/>
          <w:szCs w:val="24"/>
        </w:rPr>
      </w:pPr>
    </w:p>
    <w:p w14:paraId="4EA07ED9" w14:textId="77777777" w:rsidR="00E541EE" w:rsidRPr="004B746E" w:rsidRDefault="00E541EE" w:rsidP="00E541EE">
      <w:pPr>
        <w:rPr>
          <w:rFonts w:ascii="Arial" w:hAnsi="Arial" w:cs="Arial"/>
          <w:b/>
          <w:sz w:val="24"/>
          <w:szCs w:val="24"/>
        </w:rPr>
      </w:pPr>
      <w:r w:rsidRPr="004B746E">
        <w:rPr>
          <w:rFonts w:ascii="Arial" w:hAnsi="Arial" w:cs="Arial"/>
          <w:b/>
          <w:sz w:val="24"/>
          <w:szCs w:val="24"/>
        </w:rPr>
        <w:t>Rashodi po funkcijskoj klasifikaciji</w:t>
      </w:r>
    </w:p>
    <w:p w14:paraId="7E2F1AA1" w14:textId="77777777" w:rsidR="00E541EE" w:rsidRPr="004B746E" w:rsidRDefault="00E541EE" w:rsidP="00E541EE">
      <w:pPr>
        <w:jc w:val="both"/>
        <w:rPr>
          <w:rFonts w:ascii="Arial" w:hAnsi="Arial" w:cs="Arial"/>
          <w:sz w:val="24"/>
          <w:szCs w:val="24"/>
        </w:rPr>
      </w:pPr>
    </w:p>
    <w:p w14:paraId="701D7D7C" w14:textId="4F50EEBE" w:rsidR="00E541EE" w:rsidRPr="004B746E" w:rsidRDefault="00E541EE" w:rsidP="00E541EE">
      <w:pPr>
        <w:jc w:val="both"/>
        <w:rPr>
          <w:rFonts w:ascii="Arial" w:hAnsi="Arial" w:cs="Arial"/>
          <w:sz w:val="24"/>
          <w:szCs w:val="24"/>
        </w:rPr>
      </w:pPr>
      <w:r w:rsidRPr="004B746E">
        <w:rPr>
          <w:rFonts w:ascii="Arial" w:hAnsi="Arial" w:cs="Arial"/>
          <w:sz w:val="24"/>
          <w:szCs w:val="24"/>
        </w:rPr>
        <w:t>Kroz funkcijsku klasifikaciju najveći dio proračunskih sredstava unutar ukupnih rashoda usmjereno je kroz aktivnosti na obrazovanje (</w:t>
      </w:r>
      <w:r w:rsidR="008E4E1E">
        <w:rPr>
          <w:rFonts w:ascii="Arial" w:hAnsi="Arial" w:cs="Arial"/>
          <w:sz w:val="24"/>
          <w:szCs w:val="24"/>
        </w:rPr>
        <w:t>45,34</w:t>
      </w:r>
      <w:r w:rsidRPr="004B746E">
        <w:rPr>
          <w:rFonts w:ascii="Arial" w:hAnsi="Arial" w:cs="Arial"/>
          <w:sz w:val="24"/>
          <w:szCs w:val="24"/>
        </w:rPr>
        <w:t>%), usluge unapređenja stanovanja i zajednice (</w:t>
      </w:r>
      <w:r w:rsidR="008E4E1E">
        <w:rPr>
          <w:rFonts w:ascii="Arial" w:hAnsi="Arial" w:cs="Arial"/>
          <w:sz w:val="24"/>
          <w:szCs w:val="24"/>
        </w:rPr>
        <w:t>17,15</w:t>
      </w:r>
      <w:r w:rsidRPr="004B746E">
        <w:rPr>
          <w:rFonts w:ascii="Arial" w:hAnsi="Arial" w:cs="Arial"/>
          <w:sz w:val="24"/>
          <w:szCs w:val="24"/>
        </w:rPr>
        <w:t>%), opće javne usluge (</w:t>
      </w:r>
      <w:r>
        <w:rPr>
          <w:rFonts w:ascii="Arial" w:hAnsi="Arial" w:cs="Arial"/>
          <w:sz w:val="24"/>
          <w:szCs w:val="24"/>
        </w:rPr>
        <w:t>9,6</w:t>
      </w:r>
      <w:r w:rsidR="008E4E1E">
        <w:rPr>
          <w:rFonts w:ascii="Arial" w:hAnsi="Arial" w:cs="Arial"/>
          <w:sz w:val="24"/>
          <w:szCs w:val="24"/>
        </w:rPr>
        <w:t>9</w:t>
      </w:r>
      <w:r w:rsidRPr="004B746E">
        <w:rPr>
          <w:rFonts w:ascii="Arial" w:hAnsi="Arial" w:cs="Arial"/>
          <w:sz w:val="24"/>
          <w:szCs w:val="24"/>
        </w:rPr>
        <w:t>%</w:t>
      </w:r>
      <w:r>
        <w:rPr>
          <w:rFonts w:ascii="Arial" w:hAnsi="Arial" w:cs="Arial"/>
          <w:sz w:val="24"/>
          <w:szCs w:val="24"/>
        </w:rPr>
        <w:t xml:space="preserve">), </w:t>
      </w:r>
      <w:r w:rsidRPr="004B746E">
        <w:rPr>
          <w:rFonts w:ascii="Arial" w:hAnsi="Arial" w:cs="Arial"/>
          <w:sz w:val="24"/>
          <w:szCs w:val="24"/>
        </w:rPr>
        <w:t>zaštita okoliša (</w:t>
      </w:r>
      <w:r w:rsidR="008E4E1E">
        <w:rPr>
          <w:rFonts w:ascii="Arial" w:hAnsi="Arial" w:cs="Arial"/>
          <w:sz w:val="24"/>
          <w:szCs w:val="24"/>
        </w:rPr>
        <w:t>9,86</w:t>
      </w:r>
      <w:r w:rsidRPr="004B746E">
        <w:rPr>
          <w:rFonts w:ascii="Arial" w:hAnsi="Arial" w:cs="Arial"/>
          <w:sz w:val="24"/>
          <w:szCs w:val="24"/>
        </w:rPr>
        <w:t>%) rekreaciju, kulturu i religiju (</w:t>
      </w:r>
      <w:r>
        <w:rPr>
          <w:rFonts w:ascii="Arial" w:hAnsi="Arial" w:cs="Arial"/>
          <w:sz w:val="24"/>
          <w:szCs w:val="24"/>
        </w:rPr>
        <w:t>9,</w:t>
      </w:r>
      <w:r w:rsidR="008E4E1E">
        <w:rPr>
          <w:rFonts w:ascii="Arial" w:hAnsi="Arial" w:cs="Arial"/>
          <w:sz w:val="24"/>
          <w:szCs w:val="24"/>
        </w:rPr>
        <w:t>71</w:t>
      </w:r>
      <w:r w:rsidRPr="004B746E">
        <w:rPr>
          <w:rFonts w:ascii="Arial" w:hAnsi="Arial" w:cs="Arial"/>
          <w:sz w:val="24"/>
          <w:szCs w:val="24"/>
        </w:rPr>
        <w:t>%)</w:t>
      </w:r>
      <w:r>
        <w:rPr>
          <w:rFonts w:ascii="Arial" w:hAnsi="Arial" w:cs="Arial"/>
          <w:sz w:val="24"/>
          <w:szCs w:val="24"/>
        </w:rPr>
        <w:t xml:space="preserve"> </w:t>
      </w:r>
      <w:r w:rsidRPr="004B746E">
        <w:rPr>
          <w:rFonts w:ascii="Arial" w:hAnsi="Arial" w:cs="Arial"/>
          <w:sz w:val="24"/>
          <w:szCs w:val="24"/>
        </w:rPr>
        <w:t>te na ostalo (</w:t>
      </w:r>
      <w:r>
        <w:rPr>
          <w:rFonts w:ascii="Arial" w:hAnsi="Arial" w:cs="Arial"/>
          <w:sz w:val="24"/>
          <w:szCs w:val="24"/>
        </w:rPr>
        <w:t>8,</w:t>
      </w:r>
      <w:r w:rsidR="008E4E1E">
        <w:rPr>
          <w:rFonts w:ascii="Arial" w:hAnsi="Arial" w:cs="Arial"/>
          <w:sz w:val="24"/>
          <w:szCs w:val="24"/>
        </w:rPr>
        <w:t>25</w:t>
      </w:r>
      <w:r w:rsidRPr="004B746E">
        <w:rPr>
          <w:rFonts w:ascii="Arial" w:hAnsi="Arial" w:cs="Arial"/>
          <w:sz w:val="24"/>
          <w:szCs w:val="24"/>
        </w:rPr>
        <w:t>%).</w:t>
      </w:r>
    </w:p>
    <w:p w14:paraId="3663E693" w14:textId="77777777" w:rsidR="00E541EE" w:rsidRDefault="00E541EE" w:rsidP="00E541EE">
      <w:pPr>
        <w:jc w:val="both"/>
        <w:rPr>
          <w:rFonts w:ascii="Arial" w:hAnsi="Arial" w:cs="Arial"/>
          <w:sz w:val="24"/>
          <w:szCs w:val="24"/>
        </w:rPr>
      </w:pPr>
    </w:p>
    <w:p w14:paraId="319157DD" w14:textId="77777777" w:rsidR="00E541EE" w:rsidRDefault="00E541EE" w:rsidP="00E541EE">
      <w:pPr>
        <w:jc w:val="both"/>
        <w:rPr>
          <w:rFonts w:ascii="Arial" w:hAnsi="Arial" w:cs="Arial"/>
          <w:sz w:val="24"/>
          <w:szCs w:val="24"/>
        </w:rPr>
      </w:pPr>
    </w:p>
    <w:p w14:paraId="2FE4978C" w14:textId="77777777" w:rsidR="00E541EE" w:rsidRDefault="00E541EE" w:rsidP="00E541EE">
      <w:pPr>
        <w:jc w:val="both"/>
        <w:rPr>
          <w:rFonts w:ascii="Arial" w:hAnsi="Arial" w:cs="Arial"/>
          <w:sz w:val="24"/>
          <w:szCs w:val="24"/>
        </w:rPr>
      </w:pPr>
      <w:r>
        <w:rPr>
          <w:noProof/>
        </w:rPr>
        <w:drawing>
          <wp:inline distT="0" distB="0" distL="0" distR="0" wp14:anchorId="54EC679F" wp14:editId="19862459">
            <wp:extent cx="5760720" cy="2524125"/>
            <wp:effectExtent l="0" t="0" r="11430" b="9525"/>
            <wp:docPr id="1422662786" name="Grafikon 1">
              <a:extLst xmlns:a="http://schemas.openxmlformats.org/drawingml/2006/main">
                <a:ext uri="{FF2B5EF4-FFF2-40B4-BE49-F238E27FC236}">
                  <a16:creationId xmlns:a16="http://schemas.microsoft.com/office/drawing/2014/main" id="{802AAF34-FBAD-4F33-3C0D-2B482FCB6BD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F969CAA" w14:textId="77777777" w:rsidR="00E541EE" w:rsidRPr="00681C80" w:rsidRDefault="00E541EE" w:rsidP="00E541EE">
      <w:pPr>
        <w:jc w:val="both"/>
        <w:rPr>
          <w:rFonts w:ascii="Arial" w:hAnsi="Arial" w:cs="Arial"/>
          <w:sz w:val="24"/>
          <w:szCs w:val="24"/>
        </w:rPr>
      </w:pPr>
    </w:p>
    <w:p w14:paraId="0005188D" w14:textId="77777777" w:rsidR="00E541EE" w:rsidRPr="00F52017" w:rsidRDefault="00E541EE" w:rsidP="00E541EE">
      <w:pPr>
        <w:ind w:firstLine="709"/>
        <w:jc w:val="both"/>
        <w:rPr>
          <w:rFonts w:ascii="Arial" w:eastAsia="Times New Roman" w:hAnsi="Arial" w:cs="Arial"/>
          <w:sz w:val="24"/>
          <w:szCs w:val="24"/>
        </w:rPr>
      </w:pPr>
      <w:r w:rsidRPr="00F52017">
        <w:rPr>
          <w:rFonts w:ascii="Arial" w:eastAsia="Times New Roman" w:hAnsi="Arial" w:cs="Arial"/>
          <w:sz w:val="24"/>
          <w:szCs w:val="24"/>
        </w:rPr>
        <w:t>Sukladno Pravilniku o proračunskom računovodstvu i računskom planu proračuna, Naputku o ekonomskoj i funkcijskoj klasifikaciji rashoda/izdataka i prihoda/primitaka, te Uredbi o računovodstvu proračuna, rashodi i izdaci se prikazuju po vrsti troška, a iskazivanje prihoda i primitaka, rashoda i izdataka temelji se na modificiranom načelu nastanka događaja.</w:t>
      </w:r>
    </w:p>
    <w:p w14:paraId="5E8B9730" w14:textId="77777777" w:rsidR="00E541EE" w:rsidRDefault="00E541EE" w:rsidP="00E541EE">
      <w:pPr>
        <w:ind w:firstLine="709"/>
        <w:jc w:val="both"/>
        <w:rPr>
          <w:rFonts w:ascii="Arial" w:hAnsi="Arial" w:cs="Arial"/>
          <w:sz w:val="24"/>
          <w:szCs w:val="24"/>
        </w:rPr>
      </w:pPr>
      <w:r w:rsidRPr="00F52017">
        <w:rPr>
          <w:rFonts w:ascii="Arial" w:eastAsia="Times New Roman" w:hAnsi="Arial" w:cs="Arial"/>
          <w:sz w:val="24"/>
          <w:szCs w:val="24"/>
        </w:rPr>
        <w:t>Prihodi i primici se priznaju kada su naplaćeni, a rashodi i izdaci na temelju nastanka poslovnog događaja u razdoblju na koje se odnose, tj. kada je račun ispostavlje</w:t>
      </w:r>
      <w:r>
        <w:rPr>
          <w:rFonts w:ascii="Arial" w:eastAsia="Times New Roman" w:hAnsi="Arial" w:cs="Arial"/>
          <w:sz w:val="24"/>
          <w:szCs w:val="24"/>
        </w:rPr>
        <w:t xml:space="preserve">n </w:t>
      </w:r>
      <w:r w:rsidRPr="00F52017">
        <w:rPr>
          <w:rFonts w:ascii="Arial" w:eastAsia="Times New Roman" w:hAnsi="Arial" w:cs="Arial"/>
          <w:sz w:val="24"/>
          <w:szCs w:val="24"/>
        </w:rPr>
        <w:t>neovisno od toga kada je plaćen.</w:t>
      </w:r>
      <w:r w:rsidRPr="00F52017">
        <w:rPr>
          <w:rFonts w:ascii="Arial" w:hAnsi="Arial" w:cs="Arial"/>
          <w:sz w:val="24"/>
          <w:szCs w:val="24"/>
        </w:rPr>
        <w:br w:type="page"/>
      </w:r>
    </w:p>
    <w:p w14:paraId="2C33EE99" w14:textId="77777777" w:rsidR="00E541EE" w:rsidRDefault="00E541EE" w:rsidP="00E541EE">
      <w:pPr>
        <w:jc w:val="center"/>
        <w:rPr>
          <w:rFonts w:ascii="Arial" w:hAnsi="Arial" w:cs="Arial"/>
          <w:sz w:val="24"/>
          <w:szCs w:val="24"/>
        </w:rPr>
      </w:pPr>
    </w:p>
    <w:p w14:paraId="5F5522F8" w14:textId="77777777" w:rsidR="00E541EE" w:rsidRPr="007514AA" w:rsidRDefault="00E541EE" w:rsidP="00E541EE">
      <w:pPr>
        <w:jc w:val="center"/>
        <w:rPr>
          <w:rFonts w:ascii="Arial" w:eastAsia="Times New Roman" w:hAnsi="Arial" w:cs="Arial"/>
          <w:sz w:val="24"/>
          <w:szCs w:val="24"/>
        </w:rPr>
      </w:pPr>
      <w:r w:rsidRPr="00A4478D">
        <w:rPr>
          <w:rFonts w:ascii="Arial" w:hAnsi="Arial" w:cs="Arial"/>
          <w:b/>
          <w:i/>
          <w:sz w:val="26"/>
          <w:szCs w:val="26"/>
        </w:rPr>
        <w:t>OBRAZLOŽENJE POSEBNOG DIJELA PRORAČUNA</w:t>
      </w:r>
    </w:p>
    <w:p w14:paraId="602B778E" w14:textId="77777777" w:rsidR="00E541EE" w:rsidRPr="00A4478D" w:rsidRDefault="00E541EE" w:rsidP="00E541EE">
      <w:pPr>
        <w:jc w:val="center"/>
        <w:rPr>
          <w:rFonts w:ascii="Arial" w:hAnsi="Arial" w:cs="Arial"/>
          <w:b/>
          <w:i/>
          <w:sz w:val="26"/>
          <w:szCs w:val="26"/>
        </w:rPr>
      </w:pPr>
      <w:r w:rsidRPr="00A4478D">
        <w:rPr>
          <w:rFonts w:ascii="Arial" w:hAnsi="Arial" w:cs="Arial"/>
          <w:b/>
          <w:i/>
          <w:sz w:val="26"/>
          <w:szCs w:val="26"/>
        </w:rPr>
        <w:t>GRADA ROVINJA-ROVIGNO</w:t>
      </w:r>
    </w:p>
    <w:p w14:paraId="7E967F43" w14:textId="77777777" w:rsidR="00E541EE" w:rsidRDefault="00E541EE" w:rsidP="00E541EE">
      <w:pPr>
        <w:jc w:val="both"/>
        <w:rPr>
          <w:rFonts w:ascii="Arial" w:hAnsi="Arial" w:cs="Arial"/>
          <w:iCs/>
          <w:sz w:val="26"/>
          <w:szCs w:val="26"/>
        </w:rPr>
      </w:pPr>
    </w:p>
    <w:p w14:paraId="6E9D3721" w14:textId="77777777" w:rsidR="00E541EE" w:rsidRDefault="00E541EE" w:rsidP="00E541EE">
      <w:pPr>
        <w:jc w:val="both"/>
        <w:rPr>
          <w:rFonts w:ascii="Arial" w:hAnsi="Arial" w:cs="Arial"/>
          <w:iCs/>
          <w:sz w:val="26"/>
          <w:szCs w:val="26"/>
        </w:rPr>
      </w:pPr>
      <w:r w:rsidRPr="00FA1E07">
        <w:rPr>
          <w:rFonts w:ascii="Arial" w:hAnsi="Arial" w:cs="Arial"/>
          <w:iCs/>
          <w:sz w:val="26"/>
          <w:szCs w:val="26"/>
        </w:rPr>
        <w:t>Obrazloženje posebnog dijela Proračuna temelji se na obrazloženjima financijskih planova proračunskih korisnika i upravnih odjela Grada, a sastoji se od obrazloženja programa koje se daje kroz obrazloženje aktivnosti i projekata zajedno s ciljevima i pokazateljima uspješnosti iz akata strateškog planiranja.</w:t>
      </w:r>
    </w:p>
    <w:p w14:paraId="2058EEB1" w14:textId="77777777" w:rsidR="00E541EE" w:rsidRDefault="00E541EE" w:rsidP="00E541EE">
      <w:pPr>
        <w:jc w:val="both"/>
        <w:rPr>
          <w:rFonts w:ascii="Arial" w:hAnsi="Arial" w:cs="Arial"/>
          <w:iCs/>
          <w:sz w:val="26"/>
          <w:szCs w:val="26"/>
        </w:rPr>
      </w:pPr>
    </w:p>
    <w:p w14:paraId="0EC9BFF7" w14:textId="77777777" w:rsidR="00E541EE" w:rsidRDefault="00E541EE" w:rsidP="00E541EE">
      <w:pPr>
        <w:jc w:val="both"/>
        <w:rPr>
          <w:rFonts w:ascii="Arial" w:hAnsi="Arial" w:cs="Arial"/>
          <w:iCs/>
          <w:sz w:val="26"/>
          <w:szCs w:val="26"/>
        </w:rPr>
      </w:pPr>
    </w:p>
    <w:p w14:paraId="6CD61B07" w14:textId="77777777" w:rsidR="00E541EE" w:rsidRDefault="00E541EE" w:rsidP="00E541EE">
      <w:pPr>
        <w:jc w:val="both"/>
        <w:rPr>
          <w:rFonts w:ascii="Arial" w:hAnsi="Arial" w:cs="Arial"/>
          <w:iCs/>
          <w:sz w:val="26"/>
          <w:szCs w:val="26"/>
        </w:rPr>
      </w:pPr>
    </w:p>
    <w:tbl>
      <w:tblPr>
        <w:tblW w:w="9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4A0" w:firstRow="1" w:lastRow="0" w:firstColumn="1" w:lastColumn="0" w:noHBand="0" w:noVBand="1"/>
      </w:tblPr>
      <w:tblGrid>
        <w:gridCol w:w="1659"/>
        <w:gridCol w:w="4965"/>
        <w:gridCol w:w="2417"/>
      </w:tblGrid>
      <w:tr w:rsidR="00E541EE" w:rsidRPr="003C59F2" w14:paraId="2ED9CE5C" w14:textId="77777777" w:rsidTr="00A84BB5">
        <w:trPr>
          <w:trHeight w:val="564"/>
          <w:jc w:val="center"/>
        </w:trPr>
        <w:tc>
          <w:tcPr>
            <w:tcW w:w="0" w:type="auto"/>
            <w:gridSpan w:val="3"/>
            <w:shd w:val="clear" w:color="auto" w:fill="F2F2F2" w:themeFill="background1" w:themeFillShade="F2"/>
            <w:noWrap/>
            <w:vAlign w:val="center"/>
            <w:hideMark/>
          </w:tcPr>
          <w:p w14:paraId="6CD7D380" w14:textId="77777777" w:rsidR="00E541EE" w:rsidRPr="003C59F2" w:rsidRDefault="00E541EE" w:rsidP="00A84BB5">
            <w:pPr>
              <w:jc w:val="center"/>
              <w:rPr>
                <w:rFonts w:ascii="Arial" w:hAnsi="Arial" w:cs="Arial"/>
                <w:b/>
                <w:bCs/>
              </w:rPr>
            </w:pPr>
            <w:r w:rsidRPr="003C59F2">
              <w:rPr>
                <w:rFonts w:ascii="Arial" w:hAnsi="Arial" w:cs="Arial"/>
                <w:b/>
                <w:bCs/>
              </w:rPr>
              <w:t>POSEBNI DIO  -  Rekapitulacija rashoda i izdataka</w:t>
            </w:r>
          </w:p>
        </w:tc>
      </w:tr>
      <w:tr w:rsidR="00E541EE" w:rsidRPr="003C59F2" w14:paraId="6F6110B1" w14:textId="77777777" w:rsidTr="00A84BB5">
        <w:trPr>
          <w:trHeight w:val="587"/>
          <w:jc w:val="center"/>
        </w:trPr>
        <w:tc>
          <w:tcPr>
            <w:tcW w:w="0" w:type="auto"/>
            <w:shd w:val="clear" w:color="auto" w:fill="F2F2F2" w:themeFill="background1" w:themeFillShade="F2"/>
            <w:noWrap/>
            <w:vAlign w:val="center"/>
            <w:hideMark/>
          </w:tcPr>
          <w:p w14:paraId="74CE78CF" w14:textId="77777777" w:rsidR="00E541EE" w:rsidRPr="003C59F2" w:rsidRDefault="00E541EE" w:rsidP="00A84BB5">
            <w:pPr>
              <w:jc w:val="center"/>
              <w:rPr>
                <w:rFonts w:ascii="Arial" w:hAnsi="Arial" w:cs="Arial"/>
                <w:b/>
                <w:bCs/>
              </w:rPr>
            </w:pPr>
            <w:r w:rsidRPr="003C59F2">
              <w:rPr>
                <w:rFonts w:ascii="Arial" w:hAnsi="Arial" w:cs="Arial"/>
                <w:b/>
                <w:bCs/>
              </w:rPr>
              <w:t>Razdjel</w:t>
            </w:r>
          </w:p>
        </w:tc>
        <w:tc>
          <w:tcPr>
            <w:tcW w:w="0" w:type="auto"/>
            <w:shd w:val="clear" w:color="auto" w:fill="F2F2F2" w:themeFill="background1" w:themeFillShade="F2"/>
            <w:noWrap/>
            <w:vAlign w:val="center"/>
            <w:hideMark/>
          </w:tcPr>
          <w:p w14:paraId="2FFD91CA" w14:textId="77777777" w:rsidR="00E541EE" w:rsidRPr="003C59F2" w:rsidRDefault="00E541EE" w:rsidP="00A84BB5">
            <w:pPr>
              <w:jc w:val="center"/>
              <w:rPr>
                <w:rFonts w:ascii="Arial" w:hAnsi="Arial" w:cs="Arial"/>
                <w:b/>
                <w:bCs/>
              </w:rPr>
            </w:pPr>
          </w:p>
        </w:tc>
        <w:tc>
          <w:tcPr>
            <w:tcW w:w="0" w:type="auto"/>
            <w:shd w:val="clear" w:color="auto" w:fill="F2F2F2" w:themeFill="background1" w:themeFillShade="F2"/>
            <w:noWrap/>
            <w:vAlign w:val="center"/>
            <w:hideMark/>
          </w:tcPr>
          <w:p w14:paraId="2DCEBE23" w14:textId="77777777" w:rsidR="00E541EE" w:rsidRPr="003C59F2" w:rsidRDefault="00E541EE" w:rsidP="00A84BB5">
            <w:pPr>
              <w:jc w:val="center"/>
              <w:rPr>
                <w:rFonts w:ascii="Arial" w:hAnsi="Arial" w:cs="Arial"/>
                <w:b/>
                <w:bCs/>
              </w:rPr>
            </w:pPr>
            <w:r>
              <w:rPr>
                <w:rFonts w:ascii="Arial" w:hAnsi="Arial" w:cs="Arial"/>
                <w:b/>
                <w:bCs/>
              </w:rPr>
              <w:t>Prijedlog</w:t>
            </w:r>
            <w:r w:rsidRPr="003C59F2">
              <w:rPr>
                <w:rFonts w:ascii="Arial" w:hAnsi="Arial" w:cs="Arial"/>
                <w:b/>
                <w:bCs/>
              </w:rPr>
              <w:t xml:space="preserve"> Plana 202</w:t>
            </w:r>
            <w:r>
              <w:rPr>
                <w:rFonts w:ascii="Arial" w:hAnsi="Arial" w:cs="Arial"/>
                <w:b/>
                <w:bCs/>
              </w:rPr>
              <w:t>6</w:t>
            </w:r>
            <w:r w:rsidRPr="003C59F2">
              <w:rPr>
                <w:rFonts w:ascii="Arial" w:hAnsi="Arial" w:cs="Arial"/>
                <w:b/>
                <w:bCs/>
              </w:rPr>
              <w:t>.</w:t>
            </w:r>
          </w:p>
        </w:tc>
      </w:tr>
      <w:tr w:rsidR="00E541EE" w:rsidRPr="003C59F2" w14:paraId="3EE5E6DE" w14:textId="77777777" w:rsidTr="00A84BB5">
        <w:trPr>
          <w:trHeight w:val="1060"/>
          <w:jc w:val="center"/>
        </w:trPr>
        <w:tc>
          <w:tcPr>
            <w:tcW w:w="0" w:type="auto"/>
            <w:shd w:val="clear" w:color="auto" w:fill="F2F2F2" w:themeFill="background1" w:themeFillShade="F2"/>
            <w:noWrap/>
            <w:vAlign w:val="center"/>
            <w:hideMark/>
          </w:tcPr>
          <w:p w14:paraId="79CA372E" w14:textId="77777777" w:rsidR="00E541EE" w:rsidRPr="003C59F2" w:rsidRDefault="00E541EE" w:rsidP="00A84BB5">
            <w:pPr>
              <w:jc w:val="center"/>
              <w:rPr>
                <w:rFonts w:ascii="Arial" w:hAnsi="Arial" w:cs="Arial"/>
                <w:b/>
                <w:bCs/>
              </w:rPr>
            </w:pPr>
            <w:r w:rsidRPr="003C59F2">
              <w:rPr>
                <w:rFonts w:ascii="Arial" w:hAnsi="Arial" w:cs="Arial"/>
                <w:b/>
                <w:bCs/>
              </w:rPr>
              <w:t>RAZDJEL 001</w:t>
            </w:r>
          </w:p>
        </w:tc>
        <w:tc>
          <w:tcPr>
            <w:tcW w:w="0" w:type="auto"/>
            <w:shd w:val="clear" w:color="auto" w:fill="F2F2F2" w:themeFill="background1" w:themeFillShade="F2"/>
            <w:vAlign w:val="center"/>
            <w:hideMark/>
          </w:tcPr>
          <w:p w14:paraId="5DB3DAAB" w14:textId="77777777" w:rsidR="00E541EE" w:rsidRPr="003C59F2" w:rsidRDefault="00E541EE" w:rsidP="00A84BB5">
            <w:pPr>
              <w:jc w:val="center"/>
              <w:rPr>
                <w:rFonts w:ascii="Arial" w:hAnsi="Arial" w:cs="Arial"/>
                <w:b/>
                <w:bCs/>
              </w:rPr>
            </w:pPr>
            <w:r w:rsidRPr="003C59F2">
              <w:rPr>
                <w:rFonts w:ascii="Arial" w:hAnsi="Arial" w:cs="Arial"/>
                <w:b/>
                <w:bCs/>
              </w:rPr>
              <w:t>URED GRADSKOG VIJEĆA I GRADONAČELNIKA</w:t>
            </w:r>
          </w:p>
        </w:tc>
        <w:tc>
          <w:tcPr>
            <w:tcW w:w="0" w:type="auto"/>
            <w:shd w:val="clear" w:color="auto" w:fill="F2F2F2" w:themeFill="background1" w:themeFillShade="F2"/>
            <w:noWrap/>
            <w:vAlign w:val="center"/>
            <w:hideMark/>
          </w:tcPr>
          <w:p w14:paraId="57D8AECE" w14:textId="77777777" w:rsidR="00E541EE" w:rsidRDefault="00E541EE" w:rsidP="00A84BB5">
            <w:pPr>
              <w:jc w:val="center"/>
              <w:rPr>
                <w:rFonts w:ascii="Arial" w:hAnsi="Arial" w:cs="Arial"/>
                <w:b/>
              </w:rPr>
            </w:pPr>
            <w:r w:rsidRPr="003C59F2">
              <w:rPr>
                <w:rFonts w:ascii="Arial" w:hAnsi="Arial" w:cs="Arial"/>
                <w:b/>
              </w:rPr>
              <w:t>1.</w:t>
            </w:r>
            <w:r>
              <w:rPr>
                <w:rFonts w:ascii="Arial" w:hAnsi="Arial" w:cs="Arial"/>
                <w:b/>
              </w:rPr>
              <w:t>859</w:t>
            </w:r>
            <w:r w:rsidRPr="003C59F2">
              <w:rPr>
                <w:rFonts w:ascii="Arial" w:hAnsi="Arial" w:cs="Arial"/>
                <w:b/>
              </w:rPr>
              <w:t>.</w:t>
            </w:r>
            <w:r>
              <w:rPr>
                <w:rFonts w:ascii="Arial" w:hAnsi="Arial" w:cs="Arial"/>
                <w:b/>
              </w:rPr>
              <w:t>155,00</w:t>
            </w:r>
            <w:r w:rsidRPr="003C59F2">
              <w:rPr>
                <w:rFonts w:ascii="Arial" w:hAnsi="Arial" w:cs="Arial"/>
                <w:b/>
              </w:rPr>
              <w:t xml:space="preserve"> EUR</w:t>
            </w:r>
          </w:p>
          <w:p w14:paraId="2EB70920" w14:textId="77777777" w:rsidR="00E541EE" w:rsidRPr="003C59F2" w:rsidRDefault="00E541EE" w:rsidP="00A84BB5">
            <w:pPr>
              <w:jc w:val="center"/>
              <w:rPr>
                <w:rFonts w:ascii="Arial" w:hAnsi="Arial" w:cs="Arial"/>
                <w:b/>
              </w:rPr>
            </w:pPr>
          </w:p>
        </w:tc>
      </w:tr>
      <w:tr w:rsidR="00E541EE" w:rsidRPr="003C59F2" w14:paraId="711ADDA9" w14:textId="77777777" w:rsidTr="00A84BB5">
        <w:trPr>
          <w:trHeight w:val="1273"/>
          <w:jc w:val="center"/>
        </w:trPr>
        <w:tc>
          <w:tcPr>
            <w:tcW w:w="0" w:type="auto"/>
            <w:shd w:val="clear" w:color="auto" w:fill="F2F2F2" w:themeFill="background1" w:themeFillShade="F2"/>
            <w:noWrap/>
            <w:vAlign w:val="center"/>
          </w:tcPr>
          <w:p w14:paraId="14D6AF1D" w14:textId="77777777" w:rsidR="00E541EE" w:rsidRPr="003C59F2" w:rsidRDefault="00E541EE" w:rsidP="00A84BB5">
            <w:pPr>
              <w:jc w:val="center"/>
              <w:rPr>
                <w:rFonts w:ascii="Arial" w:hAnsi="Arial" w:cs="Arial"/>
                <w:b/>
                <w:bCs/>
              </w:rPr>
            </w:pPr>
            <w:r w:rsidRPr="003C59F2">
              <w:rPr>
                <w:rFonts w:ascii="Arial" w:hAnsi="Arial" w:cs="Arial"/>
                <w:b/>
                <w:bCs/>
              </w:rPr>
              <w:t>RAZDJEL 002</w:t>
            </w:r>
          </w:p>
        </w:tc>
        <w:tc>
          <w:tcPr>
            <w:tcW w:w="0" w:type="auto"/>
            <w:shd w:val="clear" w:color="auto" w:fill="F2F2F2" w:themeFill="background1" w:themeFillShade="F2"/>
            <w:vAlign w:val="center"/>
          </w:tcPr>
          <w:p w14:paraId="0B08A48F" w14:textId="77777777" w:rsidR="00E541EE" w:rsidRPr="003C59F2" w:rsidRDefault="00E541EE" w:rsidP="00A84BB5">
            <w:pPr>
              <w:jc w:val="center"/>
              <w:rPr>
                <w:rFonts w:ascii="Arial" w:hAnsi="Arial" w:cs="Arial"/>
                <w:b/>
                <w:bCs/>
              </w:rPr>
            </w:pPr>
            <w:r w:rsidRPr="003C59F2">
              <w:rPr>
                <w:rFonts w:ascii="Arial" w:hAnsi="Arial" w:cs="Arial"/>
                <w:b/>
                <w:bCs/>
              </w:rPr>
              <w:t>UPRAVNI ODJEL ZA FINANCIJE,</w:t>
            </w:r>
          </w:p>
          <w:p w14:paraId="659DBE31" w14:textId="77777777" w:rsidR="00E541EE" w:rsidRPr="003C59F2" w:rsidRDefault="00E541EE" w:rsidP="00A84BB5">
            <w:pPr>
              <w:jc w:val="center"/>
              <w:rPr>
                <w:rFonts w:ascii="Arial" w:hAnsi="Arial" w:cs="Arial"/>
                <w:b/>
                <w:bCs/>
              </w:rPr>
            </w:pPr>
            <w:r w:rsidRPr="003C59F2">
              <w:rPr>
                <w:rFonts w:ascii="Arial" w:hAnsi="Arial" w:cs="Arial"/>
                <w:b/>
                <w:bCs/>
              </w:rPr>
              <w:t>PRORAČUN I NAPLATU PRIHODA</w:t>
            </w:r>
          </w:p>
        </w:tc>
        <w:tc>
          <w:tcPr>
            <w:tcW w:w="0" w:type="auto"/>
            <w:shd w:val="clear" w:color="auto" w:fill="F2F2F2" w:themeFill="background1" w:themeFillShade="F2"/>
            <w:noWrap/>
            <w:vAlign w:val="center"/>
          </w:tcPr>
          <w:p w14:paraId="6F963923" w14:textId="77777777" w:rsidR="00E541EE" w:rsidRPr="003C59F2" w:rsidRDefault="00E541EE" w:rsidP="00A84BB5">
            <w:pPr>
              <w:jc w:val="center"/>
              <w:rPr>
                <w:rFonts w:ascii="Arial" w:hAnsi="Arial" w:cs="Arial"/>
                <w:b/>
              </w:rPr>
            </w:pPr>
            <w:r w:rsidRPr="003C59F2">
              <w:rPr>
                <w:rFonts w:ascii="Arial" w:hAnsi="Arial" w:cs="Arial"/>
                <w:b/>
              </w:rPr>
              <w:t>3.95</w:t>
            </w:r>
            <w:r>
              <w:rPr>
                <w:rFonts w:ascii="Arial" w:hAnsi="Arial" w:cs="Arial"/>
                <w:b/>
              </w:rPr>
              <w:t>0</w:t>
            </w:r>
            <w:r w:rsidRPr="003C59F2">
              <w:rPr>
                <w:rFonts w:ascii="Arial" w:hAnsi="Arial" w:cs="Arial"/>
                <w:b/>
              </w:rPr>
              <w:t>.</w:t>
            </w:r>
            <w:r>
              <w:rPr>
                <w:rFonts w:ascii="Arial" w:hAnsi="Arial" w:cs="Arial"/>
                <w:b/>
              </w:rPr>
              <w:t>935,50</w:t>
            </w:r>
            <w:r w:rsidRPr="003C59F2">
              <w:rPr>
                <w:rFonts w:ascii="Arial" w:hAnsi="Arial" w:cs="Arial"/>
                <w:b/>
              </w:rPr>
              <w:t xml:space="preserve"> EUR</w:t>
            </w:r>
          </w:p>
        </w:tc>
      </w:tr>
      <w:tr w:rsidR="00E541EE" w:rsidRPr="003C59F2" w14:paraId="0E9E2C43" w14:textId="77777777" w:rsidTr="00A84BB5">
        <w:trPr>
          <w:trHeight w:val="1264"/>
          <w:jc w:val="center"/>
        </w:trPr>
        <w:tc>
          <w:tcPr>
            <w:tcW w:w="0" w:type="auto"/>
            <w:shd w:val="clear" w:color="auto" w:fill="F2F2F2" w:themeFill="background1" w:themeFillShade="F2"/>
            <w:noWrap/>
            <w:vAlign w:val="center"/>
            <w:hideMark/>
          </w:tcPr>
          <w:p w14:paraId="2EB6969B" w14:textId="77777777" w:rsidR="00E541EE" w:rsidRPr="003C59F2" w:rsidRDefault="00E541EE" w:rsidP="00A84BB5">
            <w:pPr>
              <w:jc w:val="center"/>
              <w:rPr>
                <w:rFonts w:ascii="Arial" w:hAnsi="Arial" w:cs="Arial"/>
                <w:b/>
                <w:bCs/>
              </w:rPr>
            </w:pPr>
            <w:r w:rsidRPr="003C59F2">
              <w:rPr>
                <w:rFonts w:ascii="Arial" w:hAnsi="Arial" w:cs="Arial"/>
                <w:b/>
                <w:bCs/>
              </w:rPr>
              <w:t>RAZDJEL 003</w:t>
            </w:r>
          </w:p>
        </w:tc>
        <w:tc>
          <w:tcPr>
            <w:tcW w:w="0" w:type="auto"/>
            <w:shd w:val="clear" w:color="auto" w:fill="F2F2F2" w:themeFill="background1" w:themeFillShade="F2"/>
            <w:vAlign w:val="center"/>
            <w:hideMark/>
          </w:tcPr>
          <w:p w14:paraId="2DBC75AD" w14:textId="77777777" w:rsidR="00E541EE" w:rsidRPr="003C59F2" w:rsidRDefault="00E541EE" w:rsidP="00A84BB5">
            <w:pPr>
              <w:jc w:val="center"/>
              <w:rPr>
                <w:rFonts w:ascii="Arial" w:hAnsi="Arial" w:cs="Arial"/>
                <w:b/>
                <w:bCs/>
              </w:rPr>
            </w:pPr>
            <w:r w:rsidRPr="003C59F2">
              <w:rPr>
                <w:rFonts w:ascii="Arial" w:hAnsi="Arial" w:cs="Arial"/>
                <w:b/>
                <w:bCs/>
              </w:rPr>
              <w:t>UPRAVNI ODJEL ZA GOSPODARSTVO, JAVNU NABAVU I EUROPSKE FONDOVE</w:t>
            </w:r>
          </w:p>
        </w:tc>
        <w:tc>
          <w:tcPr>
            <w:tcW w:w="0" w:type="auto"/>
            <w:shd w:val="clear" w:color="auto" w:fill="F2F2F2" w:themeFill="background1" w:themeFillShade="F2"/>
            <w:noWrap/>
            <w:vAlign w:val="center"/>
            <w:hideMark/>
          </w:tcPr>
          <w:p w14:paraId="31FB3E9F" w14:textId="77777777" w:rsidR="00E541EE" w:rsidRPr="003C59F2" w:rsidRDefault="00E541EE" w:rsidP="00A84BB5">
            <w:pPr>
              <w:jc w:val="center"/>
              <w:rPr>
                <w:rFonts w:ascii="Arial" w:hAnsi="Arial" w:cs="Arial"/>
                <w:b/>
              </w:rPr>
            </w:pPr>
            <w:r>
              <w:rPr>
                <w:rFonts w:ascii="Arial" w:hAnsi="Arial" w:cs="Arial"/>
                <w:b/>
              </w:rPr>
              <w:t>4.133.284,50</w:t>
            </w:r>
            <w:r w:rsidRPr="003C59F2">
              <w:rPr>
                <w:rFonts w:ascii="Arial" w:hAnsi="Arial" w:cs="Arial"/>
                <w:b/>
              </w:rPr>
              <w:t xml:space="preserve"> EUR</w:t>
            </w:r>
          </w:p>
        </w:tc>
      </w:tr>
      <w:tr w:rsidR="00E541EE" w:rsidRPr="003C59F2" w14:paraId="5CECF343" w14:textId="77777777" w:rsidTr="00A84BB5">
        <w:trPr>
          <w:trHeight w:val="1112"/>
          <w:jc w:val="center"/>
        </w:trPr>
        <w:tc>
          <w:tcPr>
            <w:tcW w:w="0" w:type="auto"/>
            <w:shd w:val="clear" w:color="auto" w:fill="F2F2F2" w:themeFill="background1" w:themeFillShade="F2"/>
            <w:noWrap/>
            <w:vAlign w:val="center"/>
            <w:hideMark/>
          </w:tcPr>
          <w:p w14:paraId="6514B94A" w14:textId="77777777" w:rsidR="00E541EE" w:rsidRPr="003C59F2" w:rsidRDefault="00E541EE" w:rsidP="00A84BB5">
            <w:pPr>
              <w:jc w:val="center"/>
              <w:rPr>
                <w:rFonts w:ascii="Arial" w:hAnsi="Arial" w:cs="Arial"/>
                <w:b/>
                <w:bCs/>
              </w:rPr>
            </w:pPr>
            <w:r w:rsidRPr="003C59F2">
              <w:rPr>
                <w:rFonts w:ascii="Arial" w:hAnsi="Arial" w:cs="Arial"/>
                <w:b/>
                <w:bCs/>
              </w:rPr>
              <w:t>RAZDJEL 004</w:t>
            </w:r>
          </w:p>
        </w:tc>
        <w:tc>
          <w:tcPr>
            <w:tcW w:w="0" w:type="auto"/>
            <w:shd w:val="clear" w:color="auto" w:fill="F2F2F2" w:themeFill="background1" w:themeFillShade="F2"/>
            <w:vAlign w:val="center"/>
            <w:hideMark/>
          </w:tcPr>
          <w:p w14:paraId="67153980" w14:textId="77777777" w:rsidR="00E541EE" w:rsidRPr="003C59F2" w:rsidRDefault="00E541EE" w:rsidP="00A84BB5">
            <w:pPr>
              <w:jc w:val="center"/>
              <w:rPr>
                <w:rFonts w:ascii="Arial" w:hAnsi="Arial" w:cs="Arial"/>
                <w:b/>
                <w:bCs/>
              </w:rPr>
            </w:pPr>
            <w:r w:rsidRPr="003C59F2">
              <w:rPr>
                <w:rFonts w:ascii="Arial" w:hAnsi="Arial" w:cs="Arial"/>
                <w:b/>
                <w:bCs/>
              </w:rPr>
              <w:t>UPRAVNI ODJEL ZA PROSTORNO PLANIRANJE, ZAŠTITU OKOLIŠA I IZDAVANJE AKATA</w:t>
            </w:r>
          </w:p>
        </w:tc>
        <w:tc>
          <w:tcPr>
            <w:tcW w:w="0" w:type="auto"/>
            <w:shd w:val="clear" w:color="auto" w:fill="F2F2F2" w:themeFill="background1" w:themeFillShade="F2"/>
            <w:noWrap/>
            <w:vAlign w:val="center"/>
            <w:hideMark/>
          </w:tcPr>
          <w:p w14:paraId="344BD9BD" w14:textId="36B80D29" w:rsidR="00E541EE" w:rsidRPr="003C59F2" w:rsidRDefault="001F38D6" w:rsidP="00A84BB5">
            <w:pPr>
              <w:jc w:val="center"/>
              <w:rPr>
                <w:rFonts w:ascii="Arial" w:hAnsi="Arial" w:cs="Arial"/>
                <w:b/>
              </w:rPr>
            </w:pPr>
            <w:r>
              <w:rPr>
                <w:rFonts w:ascii="Arial" w:hAnsi="Arial" w:cs="Arial"/>
                <w:b/>
              </w:rPr>
              <w:t>530</w:t>
            </w:r>
            <w:r w:rsidR="00E541EE">
              <w:rPr>
                <w:rFonts w:ascii="Arial" w:hAnsi="Arial" w:cs="Arial"/>
                <w:b/>
              </w:rPr>
              <w:t>.</w:t>
            </w:r>
            <w:r>
              <w:rPr>
                <w:rFonts w:ascii="Arial" w:hAnsi="Arial" w:cs="Arial"/>
                <w:b/>
              </w:rPr>
              <w:t>0</w:t>
            </w:r>
            <w:r w:rsidR="00E541EE">
              <w:rPr>
                <w:rFonts w:ascii="Arial" w:hAnsi="Arial" w:cs="Arial"/>
                <w:b/>
              </w:rPr>
              <w:t>00,00</w:t>
            </w:r>
            <w:r w:rsidR="00E541EE" w:rsidRPr="003C59F2">
              <w:rPr>
                <w:rFonts w:ascii="Arial" w:hAnsi="Arial" w:cs="Arial"/>
                <w:b/>
              </w:rPr>
              <w:t xml:space="preserve"> EUR</w:t>
            </w:r>
          </w:p>
        </w:tc>
      </w:tr>
      <w:tr w:rsidR="00E541EE" w:rsidRPr="003C59F2" w14:paraId="5E0D3016" w14:textId="77777777" w:rsidTr="00A84BB5">
        <w:trPr>
          <w:trHeight w:val="986"/>
          <w:jc w:val="center"/>
        </w:trPr>
        <w:tc>
          <w:tcPr>
            <w:tcW w:w="0" w:type="auto"/>
            <w:shd w:val="clear" w:color="auto" w:fill="F2F2F2" w:themeFill="background1" w:themeFillShade="F2"/>
            <w:noWrap/>
            <w:vAlign w:val="center"/>
            <w:hideMark/>
          </w:tcPr>
          <w:p w14:paraId="093D35BF" w14:textId="77777777" w:rsidR="00E541EE" w:rsidRPr="003C59F2" w:rsidRDefault="00E541EE" w:rsidP="00A84BB5">
            <w:pPr>
              <w:jc w:val="center"/>
              <w:rPr>
                <w:rFonts w:ascii="Arial" w:hAnsi="Arial" w:cs="Arial"/>
                <w:b/>
                <w:bCs/>
              </w:rPr>
            </w:pPr>
            <w:r w:rsidRPr="003C59F2">
              <w:rPr>
                <w:rFonts w:ascii="Arial" w:hAnsi="Arial" w:cs="Arial"/>
                <w:b/>
                <w:bCs/>
              </w:rPr>
              <w:t>RAZDJEL 005</w:t>
            </w:r>
          </w:p>
        </w:tc>
        <w:tc>
          <w:tcPr>
            <w:tcW w:w="0" w:type="auto"/>
            <w:shd w:val="clear" w:color="auto" w:fill="F2F2F2" w:themeFill="background1" w:themeFillShade="F2"/>
            <w:vAlign w:val="center"/>
            <w:hideMark/>
          </w:tcPr>
          <w:p w14:paraId="0C43A327" w14:textId="77777777" w:rsidR="00E541EE" w:rsidRPr="003C59F2" w:rsidRDefault="00E541EE" w:rsidP="00A84BB5">
            <w:pPr>
              <w:jc w:val="center"/>
              <w:rPr>
                <w:rFonts w:ascii="Arial" w:hAnsi="Arial" w:cs="Arial"/>
                <w:b/>
                <w:bCs/>
              </w:rPr>
            </w:pPr>
            <w:r w:rsidRPr="003C59F2">
              <w:rPr>
                <w:rFonts w:ascii="Arial" w:hAnsi="Arial" w:cs="Arial"/>
                <w:b/>
                <w:bCs/>
              </w:rPr>
              <w:t>UPRAVNI ODJEL ZA UPRAVLJANJE IMOVINOM I GEODETSKE POSLOVE</w:t>
            </w:r>
          </w:p>
        </w:tc>
        <w:tc>
          <w:tcPr>
            <w:tcW w:w="0" w:type="auto"/>
            <w:shd w:val="clear" w:color="auto" w:fill="F2F2F2" w:themeFill="background1" w:themeFillShade="F2"/>
            <w:noWrap/>
            <w:vAlign w:val="center"/>
            <w:hideMark/>
          </w:tcPr>
          <w:p w14:paraId="19D6BC94" w14:textId="51E47521" w:rsidR="00E541EE" w:rsidRPr="003C59F2" w:rsidRDefault="00E541EE" w:rsidP="00A84BB5">
            <w:pPr>
              <w:jc w:val="center"/>
              <w:rPr>
                <w:rFonts w:ascii="Arial" w:hAnsi="Arial" w:cs="Arial"/>
                <w:b/>
              </w:rPr>
            </w:pPr>
            <w:r w:rsidRPr="003C59F2">
              <w:rPr>
                <w:rFonts w:ascii="Arial" w:hAnsi="Arial" w:cs="Arial"/>
                <w:b/>
              </w:rPr>
              <w:t>2.</w:t>
            </w:r>
            <w:r w:rsidR="001F38D6">
              <w:rPr>
                <w:rFonts w:ascii="Arial" w:hAnsi="Arial" w:cs="Arial"/>
                <w:b/>
              </w:rPr>
              <w:t>086</w:t>
            </w:r>
            <w:r w:rsidRPr="003C59F2">
              <w:rPr>
                <w:rFonts w:ascii="Arial" w:hAnsi="Arial" w:cs="Arial"/>
                <w:b/>
              </w:rPr>
              <w:t>.</w:t>
            </w:r>
            <w:r>
              <w:rPr>
                <w:rFonts w:ascii="Arial" w:hAnsi="Arial" w:cs="Arial"/>
                <w:b/>
              </w:rPr>
              <w:t xml:space="preserve">360,00 </w:t>
            </w:r>
            <w:r w:rsidRPr="003C59F2">
              <w:rPr>
                <w:rFonts w:ascii="Arial" w:hAnsi="Arial" w:cs="Arial"/>
                <w:b/>
              </w:rPr>
              <w:t>EUR</w:t>
            </w:r>
          </w:p>
        </w:tc>
      </w:tr>
      <w:tr w:rsidR="00E541EE" w:rsidRPr="003C59F2" w14:paraId="48EA2856" w14:textId="77777777" w:rsidTr="00A84BB5">
        <w:trPr>
          <w:trHeight w:val="986"/>
          <w:jc w:val="center"/>
        </w:trPr>
        <w:tc>
          <w:tcPr>
            <w:tcW w:w="0" w:type="auto"/>
            <w:shd w:val="clear" w:color="auto" w:fill="F2F2F2" w:themeFill="background1" w:themeFillShade="F2"/>
            <w:noWrap/>
            <w:vAlign w:val="center"/>
            <w:hideMark/>
          </w:tcPr>
          <w:p w14:paraId="3AFAB048" w14:textId="77777777" w:rsidR="00E541EE" w:rsidRPr="003C59F2" w:rsidRDefault="00E541EE" w:rsidP="00A84BB5">
            <w:pPr>
              <w:jc w:val="center"/>
              <w:rPr>
                <w:rFonts w:ascii="Arial" w:hAnsi="Arial" w:cs="Arial"/>
                <w:b/>
                <w:bCs/>
              </w:rPr>
            </w:pPr>
            <w:r w:rsidRPr="003C59F2">
              <w:rPr>
                <w:rFonts w:ascii="Arial" w:hAnsi="Arial" w:cs="Arial"/>
                <w:b/>
                <w:bCs/>
              </w:rPr>
              <w:t>RAZDJEL 006</w:t>
            </w:r>
          </w:p>
        </w:tc>
        <w:tc>
          <w:tcPr>
            <w:tcW w:w="0" w:type="auto"/>
            <w:shd w:val="clear" w:color="auto" w:fill="F2F2F2" w:themeFill="background1" w:themeFillShade="F2"/>
            <w:vAlign w:val="center"/>
            <w:hideMark/>
          </w:tcPr>
          <w:p w14:paraId="3E499066" w14:textId="77777777" w:rsidR="00E541EE" w:rsidRPr="003C59F2" w:rsidRDefault="00E541EE" w:rsidP="00A84BB5">
            <w:pPr>
              <w:jc w:val="center"/>
              <w:rPr>
                <w:rFonts w:ascii="Arial" w:hAnsi="Arial" w:cs="Arial"/>
                <w:b/>
                <w:bCs/>
              </w:rPr>
            </w:pPr>
            <w:r w:rsidRPr="003C59F2">
              <w:rPr>
                <w:rFonts w:ascii="Arial" w:hAnsi="Arial" w:cs="Arial"/>
                <w:b/>
                <w:bCs/>
              </w:rPr>
              <w:t>UPRAVNI ODJEL ZA KOMUNALNO GOSPODARSTVO I IZGRADNJU</w:t>
            </w:r>
          </w:p>
        </w:tc>
        <w:tc>
          <w:tcPr>
            <w:tcW w:w="0" w:type="auto"/>
            <w:shd w:val="clear" w:color="auto" w:fill="F2F2F2" w:themeFill="background1" w:themeFillShade="F2"/>
            <w:noWrap/>
            <w:vAlign w:val="center"/>
            <w:hideMark/>
          </w:tcPr>
          <w:p w14:paraId="27357585" w14:textId="6E883FDB" w:rsidR="00E541EE" w:rsidRPr="003C59F2" w:rsidRDefault="00E541EE" w:rsidP="00A84BB5">
            <w:pPr>
              <w:jc w:val="center"/>
              <w:rPr>
                <w:rFonts w:ascii="Arial" w:hAnsi="Arial" w:cs="Arial"/>
                <w:b/>
              </w:rPr>
            </w:pPr>
            <w:r w:rsidRPr="003C59F2">
              <w:rPr>
                <w:rFonts w:ascii="Arial" w:hAnsi="Arial" w:cs="Arial"/>
                <w:b/>
              </w:rPr>
              <w:t>2</w:t>
            </w:r>
            <w:r w:rsidR="001F38D6">
              <w:rPr>
                <w:rFonts w:ascii="Arial" w:hAnsi="Arial" w:cs="Arial"/>
                <w:b/>
              </w:rPr>
              <w:t>4</w:t>
            </w:r>
            <w:r w:rsidRPr="003C59F2">
              <w:rPr>
                <w:rFonts w:ascii="Arial" w:hAnsi="Arial" w:cs="Arial"/>
                <w:b/>
              </w:rPr>
              <w:t>.</w:t>
            </w:r>
            <w:r w:rsidR="001F38D6">
              <w:rPr>
                <w:rFonts w:ascii="Arial" w:hAnsi="Arial" w:cs="Arial"/>
                <w:b/>
              </w:rPr>
              <w:t>072</w:t>
            </w:r>
            <w:r w:rsidRPr="003C59F2">
              <w:rPr>
                <w:rFonts w:ascii="Arial" w:hAnsi="Arial" w:cs="Arial"/>
                <w:b/>
              </w:rPr>
              <w:t>.</w:t>
            </w:r>
            <w:r w:rsidR="001F38D6">
              <w:rPr>
                <w:rFonts w:ascii="Arial" w:hAnsi="Arial" w:cs="Arial"/>
                <w:b/>
              </w:rPr>
              <w:t>835,00</w:t>
            </w:r>
            <w:r w:rsidRPr="003C59F2">
              <w:rPr>
                <w:rFonts w:ascii="Arial" w:hAnsi="Arial" w:cs="Arial"/>
                <w:b/>
              </w:rPr>
              <w:t xml:space="preserve"> EUR</w:t>
            </w:r>
          </w:p>
        </w:tc>
      </w:tr>
      <w:tr w:rsidR="00E541EE" w:rsidRPr="003C59F2" w14:paraId="0CD8A4BD" w14:textId="77777777" w:rsidTr="00A84BB5">
        <w:trPr>
          <w:trHeight w:val="1127"/>
          <w:jc w:val="center"/>
        </w:trPr>
        <w:tc>
          <w:tcPr>
            <w:tcW w:w="0" w:type="auto"/>
            <w:shd w:val="clear" w:color="auto" w:fill="F2F2F2" w:themeFill="background1" w:themeFillShade="F2"/>
            <w:noWrap/>
            <w:vAlign w:val="center"/>
            <w:hideMark/>
          </w:tcPr>
          <w:p w14:paraId="5A1A4DD9" w14:textId="77777777" w:rsidR="00E541EE" w:rsidRPr="003C59F2" w:rsidRDefault="00E541EE" w:rsidP="00A84BB5">
            <w:pPr>
              <w:jc w:val="center"/>
              <w:rPr>
                <w:rFonts w:ascii="Arial" w:hAnsi="Arial" w:cs="Arial"/>
                <w:b/>
                <w:bCs/>
              </w:rPr>
            </w:pPr>
            <w:r w:rsidRPr="003C59F2">
              <w:rPr>
                <w:rFonts w:ascii="Arial" w:hAnsi="Arial" w:cs="Arial"/>
                <w:b/>
                <w:bCs/>
              </w:rPr>
              <w:t>RAZDJEL 007</w:t>
            </w:r>
          </w:p>
        </w:tc>
        <w:tc>
          <w:tcPr>
            <w:tcW w:w="0" w:type="auto"/>
            <w:shd w:val="clear" w:color="auto" w:fill="F2F2F2" w:themeFill="background1" w:themeFillShade="F2"/>
            <w:vAlign w:val="center"/>
            <w:hideMark/>
          </w:tcPr>
          <w:p w14:paraId="3E29592C" w14:textId="77777777" w:rsidR="00E541EE" w:rsidRPr="003C59F2" w:rsidRDefault="00E541EE" w:rsidP="00A84BB5">
            <w:pPr>
              <w:jc w:val="center"/>
              <w:rPr>
                <w:rFonts w:ascii="Arial" w:hAnsi="Arial" w:cs="Arial"/>
                <w:b/>
                <w:bCs/>
              </w:rPr>
            </w:pPr>
            <w:r w:rsidRPr="003C59F2">
              <w:rPr>
                <w:rFonts w:ascii="Arial" w:hAnsi="Arial" w:cs="Arial"/>
                <w:b/>
                <w:bCs/>
              </w:rPr>
              <w:t>UPRAVNI ODJEL ZA DRUŠTVENE DJELATNOSTI</w:t>
            </w:r>
          </w:p>
        </w:tc>
        <w:tc>
          <w:tcPr>
            <w:tcW w:w="0" w:type="auto"/>
            <w:shd w:val="clear" w:color="auto" w:fill="F2F2F2" w:themeFill="background1" w:themeFillShade="F2"/>
            <w:noWrap/>
            <w:vAlign w:val="center"/>
            <w:hideMark/>
          </w:tcPr>
          <w:p w14:paraId="534EB092" w14:textId="77777777" w:rsidR="00E541EE" w:rsidRPr="003C59F2" w:rsidRDefault="00E541EE" w:rsidP="00A84BB5">
            <w:pPr>
              <w:jc w:val="center"/>
              <w:rPr>
                <w:rFonts w:ascii="Arial" w:hAnsi="Arial" w:cs="Arial"/>
                <w:b/>
              </w:rPr>
            </w:pPr>
            <w:r>
              <w:rPr>
                <w:rFonts w:ascii="Arial" w:hAnsi="Arial" w:cs="Arial"/>
                <w:b/>
              </w:rPr>
              <w:t>24</w:t>
            </w:r>
            <w:r w:rsidRPr="003C59F2">
              <w:rPr>
                <w:rFonts w:ascii="Arial" w:hAnsi="Arial" w:cs="Arial"/>
                <w:b/>
              </w:rPr>
              <w:t>.</w:t>
            </w:r>
            <w:r>
              <w:rPr>
                <w:rFonts w:ascii="Arial" w:hAnsi="Arial" w:cs="Arial"/>
                <w:b/>
              </w:rPr>
              <w:t>717</w:t>
            </w:r>
            <w:r w:rsidRPr="003C59F2">
              <w:rPr>
                <w:rFonts w:ascii="Arial" w:hAnsi="Arial" w:cs="Arial"/>
                <w:b/>
              </w:rPr>
              <w:t>.</w:t>
            </w:r>
            <w:r>
              <w:rPr>
                <w:rFonts w:ascii="Arial" w:hAnsi="Arial" w:cs="Arial"/>
                <w:b/>
              </w:rPr>
              <w:t>930</w:t>
            </w:r>
            <w:r w:rsidRPr="003C59F2">
              <w:rPr>
                <w:rFonts w:ascii="Arial" w:hAnsi="Arial" w:cs="Arial"/>
                <w:b/>
              </w:rPr>
              <w:t>,00 EUR</w:t>
            </w:r>
          </w:p>
        </w:tc>
      </w:tr>
      <w:tr w:rsidR="00E541EE" w:rsidRPr="00DD3CFF" w14:paraId="0F163B15" w14:textId="77777777" w:rsidTr="00A84BB5">
        <w:trPr>
          <w:trHeight w:val="825"/>
          <w:jc w:val="center"/>
        </w:trPr>
        <w:tc>
          <w:tcPr>
            <w:tcW w:w="0" w:type="auto"/>
            <w:shd w:val="clear" w:color="auto" w:fill="F2F2F2" w:themeFill="background1" w:themeFillShade="F2"/>
            <w:noWrap/>
            <w:vAlign w:val="center"/>
            <w:hideMark/>
          </w:tcPr>
          <w:p w14:paraId="6E349603" w14:textId="77777777" w:rsidR="00E541EE" w:rsidRPr="003C59F2" w:rsidRDefault="00E541EE" w:rsidP="00A84BB5">
            <w:pPr>
              <w:jc w:val="center"/>
              <w:rPr>
                <w:rFonts w:ascii="Arial" w:hAnsi="Arial" w:cs="Arial"/>
                <w:b/>
                <w:bCs/>
              </w:rPr>
            </w:pPr>
            <w:r w:rsidRPr="003C59F2">
              <w:rPr>
                <w:rFonts w:ascii="Arial" w:hAnsi="Arial" w:cs="Arial"/>
                <w:b/>
                <w:bCs/>
              </w:rPr>
              <w:t>Ukupno</w:t>
            </w:r>
          </w:p>
        </w:tc>
        <w:tc>
          <w:tcPr>
            <w:tcW w:w="0" w:type="auto"/>
            <w:shd w:val="clear" w:color="auto" w:fill="F2F2F2" w:themeFill="background1" w:themeFillShade="F2"/>
            <w:vAlign w:val="center"/>
            <w:hideMark/>
          </w:tcPr>
          <w:p w14:paraId="726BE97F" w14:textId="77777777" w:rsidR="00E541EE" w:rsidRPr="003C59F2" w:rsidRDefault="00E541EE" w:rsidP="00A84BB5">
            <w:pPr>
              <w:jc w:val="center"/>
              <w:rPr>
                <w:rFonts w:ascii="Arial" w:hAnsi="Arial" w:cs="Arial"/>
                <w:b/>
                <w:bCs/>
              </w:rPr>
            </w:pPr>
          </w:p>
        </w:tc>
        <w:tc>
          <w:tcPr>
            <w:tcW w:w="0" w:type="auto"/>
            <w:shd w:val="clear" w:color="auto" w:fill="F2F2F2" w:themeFill="background1" w:themeFillShade="F2"/>
            <w:noWrap/>
            <w:vAlign w:val="center"/>
            <w:hideMark/>
          </w:tcPr>
          <w:p w14:paraId="30E9A972" w14:textId="77777777" w:rsidR="00E541EE" w:rsidRPr="00DD3CFF" w:rsidRDefault="00E541EE" w:rsidP="00A84BB5">
            <w:pPr>
              <w:jc w:val="center"/>
              <w:rPr>
                <w:rFonts w:ascii="Arial" w:hAnsi="Arial" w:cs="Arial"/>
                <w:b/>
              </w:rPr>
            </w:pPr>
            <w:r>
              <w:rPr>
                <w:rFonts w:ascii="Arial" w:hAnsi="Arial" w:cs="Arial"/>
                <w:b/>
              </w:rPr>
              <w:t>61</w:t>
            </w:r>
            <w:r w:rsidRPr="003C59F2">
              <w:rPr>
                <w:rFonts w:ascii="Arial" w:hAnsi="Arial" w:cs="Arial"/>
                <w:b/>
              </w:rPr>
              <w:t>.</w:t>
            </w:r>
            <w:r>
              <w:rPr>
                <w:rFonts w:ascii="Arial" w:hAnsi="Arial" w:cs="Arial"/>
                <w:b/>
              </w:rPr>
              <w:t>350</w:t>
            </w:r>
            <w:r w:rsidRPr="003C59F2">
              <w:rPr>
                <w:rFonts w:ascii="Arial" w:hAnsi="Arial" w:cs="Arial"/>
                <w:b/>
              </w:rPr>
              <w:t>.</w:t>
            </w:r>
            <w:r>
              <w:rPr>
                <w:rFonts w:ascii="Arial" w:hAnsi="Arial" w:cs="Arial"/>
                <w:b/>
              </w:rPr>
              <w:t>500</w:t>
            </w:r>
            <w:r w:rsidRPr="003C59F2">
              <w:rPr>
                <w:rFonts w:ascii="Arial" w:hAnsi="Arial" w:cs="Arial"/>
                <w:b/>
              </w:rPr>
              <w:t>,00 EUR</w:t>
            </w:r>
          </w:p>
        </w:tc>
      </w:tr>
    </w:tbl>
    <w:p w14:paraId="62E53EBD" w14:textId="77777777" w:rsidR="00E541EE" w:rsidRDefault="00E541EE" w:rsidP="00E541EE"/>
    <w:p w14:paraId="0FA4B5A6" w14:textId="77777777" w:rsidR="00E541EE" w:rsidRDefault="00E541EE" w:rsidP="00E541EE"/>
    <w:p w14:paraId="3CD964BE" w14:textId="77777777" w:rsidR="00E541EE" w:rsidRDefault="00E541EE" w:rsidP="00E541EE"/>
    <w:p w14:paraId="7AFA92C7" w14:textId="77777777" w:rsidR="00E541EE" w:rsidRDefault="00E541EE" w:rsidP="00E541EE"/>
    <w:p w14:paraId="79DDE09D" w14:textId="77777777" w:rsidR="00E541EE" w:rsidRDefault="00E541EE" w:rsidP="00E541EE"/>
    <w:p w14:paraId="4FFEDED8" w14:textId="77777777" w:rsidR="00E541EE" w:rsidRDefault="00E541EE" w:rsidP="00E541EE"/>
    <w:bookmarkEnd w:id="0"/>
    <w:p w14:paraId="7FB7EF63" w14:textId="77777777" w:rsidR="00E541EE" w:rsidRPr="00190B33" w:rsidRDefault="00E541EE" w:rsidP="00E541EE">
      <w:pPr>
        <w:pBdr>
          <w:top w:val="single" w:sz="4" w:space="1" w:color="auto"/>
          <w:left w:val="single" w:sz="4" w:space="4" w:color="auto"/>
          <w:bottom w:val="single" w:sz="4" w:space="1" w:color="auto"/>
          <w:right w:val="single" w:sz="4" w:space="4" w:color="auto"/>
        </w:pBdr>
        <w:shd w:val="clear" w:color="auto" w:fill="FFCB97"/>
        <w:autoSpaceDE w:val="0"/>
        <w:autoSpaceDN w:val="0"/>
        <w:adjustRightInd w:val="0"/>
        <w:jc w:val="both"/>
        <w:rPr>
          <w:rFonts w:ascii="Arial" w:eastAsia="Times New Roman" w:hAnsi="Arial" w:cs="Arial"/>
          <w:b/>
          <w:sz w:val="24"/>
          <w:szCs w:val="24"/>
        </w:rPr>
      </w:pPr>
      <w:r w:rsidRPr="00190B33">
        <w:rPr>
          <w:rFonts w:ascii="Arial" w:eastAsia="Times New Roman" w:hAnsi="Arial" w:cs="Arial"/>
          <w:b/>
          <w:sz w:val="24"/>
          <w:szCs w:val="24"/>
        </w:rPr>
        <w:t xml:space="preserve">RAZDJEL 001: URED GRADSKOG VIJEĆA I GRADONAČELNIKA </w:t>
      </w:r>
    </w:p>
    <w:p w14:paraId="4E67B0E2" w14:textId="77777777" w:rsidR="00E541EE" w:rsidRPr="00190B33" w:rsidRDefault="00E541EE" w:rsidP="00E541EE">
      <w:pPr>
        <w:pBdr>
          <w:top w:val="single" w:sz="4" w:space="1" w:color="auto"/>
          <w:left w:val="single" w:sz="4" w:space="4" w:color="auto"/>
          <w:bottom w:val="single" w:sz="4" w:space="1" w:color="auto"/>
          <w:right w:val="single" w:sz="4" w:space="4" w:color="auto"/>
        </w:pBdr>
        <w:shd w:val="clear" w:color="auto" w:fill="FFCB97"/>
        <w:autoSpaceDE w:val="0"/>
        <w:autoSpaceDN w:val="0"/>
        <w:adjustRightInd w:val="0"/>
        <w:jc w:val="both"/>
        <w:rPr>
          <w:rFonts w:ascii="Arial" w:eastAsia="Times New Roman" w:hAnsi="Arial" w:cs="Arial"/>
          <w:b/>
          <w:sz w:val="24"/>
          <w:szCs w:val="24"/>
        </w:rPr>
      </w:pPr>
      <w:r w:rsidRPr="00190B33">
        <w:rPr>
          <w:rFonts w:ascii="Arial" w:eastAsia="Times New Roman" w:hAnsi="Arial" w:cs="Arial"/>
          <w:b/>
          <w:sz w:val="24"/>
          <w:szCs w:val="24"/>
        </w:rPr>
        <w:t>= 1.</w:t>
      </w:r>
      <w:r>
        <w:rPr>
          <w:rFonts w:ascii="Arial" w:eastAsia="Times New Roman" w:hAnsi="Arial" w:cs="Arial"/>
          <w:b/>
          <w:sz w:val="24"/>
          <w:szCs w:val="24"/>
        </w:rPr>
        <w:t>859</w:t>
      </w:r>
      <w:r w:rsidRPr="00190B33">
        <w:rPr>
          <w:rFonts w:ascii="Arial" w:eastAsia="Times New Roman" w:hAnsi="Arial" w:cs="Arial"/>
          <w:b/>
          <w:sz w:val="24"/>
          <w:szCs w:val="24"/>
        </w:rPr>
        <w:t>.155,00 EUR</w:t>
      </w:r>
    </w:p>
    <w:p w14:paraId="7AF9BB1E" w14:textId="77777777" w:rsidR="00E541EE" w:rsidRPr="00190B33" w:rsidRDefault="00E541EE" w:rsidP="00E541EE">
      <w:pPr>
        <w:jc w:val="both"/>
        <w:rPr>
          <w:rFonts w:ascii="Arial" w:eastAsia="Times New Roman" w:hAnsi="Arial" w:cs="Arial"/>
          <w:sz w:val="24"/>
          <w:szCs w:val="24"/>
        </w:rPr>
      </w:pPr>
    </w:p>
    <w:p w14:paraId="598C791D" w14:textId="77777777" w:rsidR="00E541EE" w:rsidRPr="00190B33" w:rsidRDefault="00E541EE" w:rsidP="00E541EE">
      <w:pPr>
        <w:pBdr>
          <w:top w:val="single" w:sz="4" w:space="1" w:color="auto"/>
          <w:left w:val="single" w:sz="4" w:space="4" w:color="auto"/>
          <w:bottom w:val="single" w:sz="4" w:space="1" w:color="auto"/>
          <w:right w:val="single" w:sz="4" w:space="4" w:color="auto"/>
        </w:pBdr>
        <w:shd w:val="clear" w:color="auto" w:fill="B1EDA0"/>
        <w:jc w:val="both"/>
        <w:rPr>
          <w:rFonts w:ascii="Arial" w:eastAsia="Times New Roman" w:hAnsi="Arial" w:cs="Arial"/>
          <w:b/>
          <w:sz w:val="24"/>
          <w:szCs w:val="24"/>
        </w:rPr>
      </w:pPr>
      <w:r w:rsidRPr="00190B33">
        <w:rPr>
          <w:rFonts w:ascii="Arial" w:eastAsia="Times New Roman" w:hAnsi="Arial" w:cs="Arial"/>
          <w:b/>
          <w:color w:val="000000"/>
          <w:sz w:val="24"/>
          <w:szCs w:val="24"/>
        </w:rPr>
        <w:t xml:space="preserve">GLAVA 00101: </w:t>
      </w:r>
      <w:r w:rsidRPr="00190B33">
        <w:rPr>
          <w:rFonts w:ascii="Arial" w:eastAsia="Times New Roman" w:hAnsi="Arial" w:cs="Arial"/>
          <w:b/>
          <w:sz w:val="24"/>
          <w:szCs w:val="24"/>
        </w:rPr>
        <w:t>GRADSKO VIJEĆE = 258.532,00 EUR</w:t>
      </w:r>
    </w:p>
    <w:p w14:paraId="7D0F3A41" w14:textId="77777777" w:rsidR="00E541EE" w:rsidRPr="00190B33" w:rsidRDefault="00E541EE" w:rsidP="00E541EE">
      <w:pPr>
        <w:autoSpaceDE w:val="0"/>
        <w:autoSpaceDN w:val="0"/>
        <w:adjustRightInd w:val="0"/>
        <w:jc w:val="both"/>
        <w:rPr>
          <w:rFonts w:ascii="Arial" w:eastAsia="Times New Roman" w:hAnsi="Arial" w:cs="Arial"/>
          <w:sz w:val="24"/>
          <w:szCs w:val="24"/>
        </w:rPr>
      </w:pPr>
    </w:p>
    <w:p w14:paraId="4C3ABEF5" w14:textId="77777777" w:rsidR="00E541EE" w:rsidRPr="00190B33" w:rsidRDefault="00E541EE" w:rsidP="00E541EE">
      <w:pPr>
        <w:pBdr>
          <w:top w:val="single" w:sz="4" w:space="1" w:color="auto"/>
          <w:left w:val="single" w:sz="4" w:space="4" w:color="auto"/>
          <w:bottom w:val="single" w:sz="4" w:space="1" w:color="auto"/>
          <w:right w:val="single" w:sz="4" w:space="4" w:color="auto"/>
        </w:pBdr>
        <w:shd w:val="clear" w:color="auto" w:fill="FFFF80"/>
        <w:jc w:val="both"/>
        <w:rPr>
          <w:rFonts w:ascii="Arial" w:eastAsia="Times New Roman" w:hAnsi="Arial" w:cs="Arial"/>
          <w:b/>
          <w:sz w:val="24"/>
          <w:szCs w:val="24"/>
        </w:rPr>
      </w:pPr>
      <w:r w:rsidRPr="00190B33">
        <w:rPr>
          <w:rFonts w:ascii="Arial" w:eastAsia="Times New Roman" w:hAnsi="Arial" w:cs="Arial"/>
          <w:b/>
          <w:sz w:val="24"/>
          <w:szCs w:val="24"/>
        </w:rPr>
        <w:t>Program 1001: Mjere i aktivnosti iz djelokruga predstavničkog tijela = 204.912,00 EUR</w:t>
      </w:r>
    </w:p>
    <w:p w14:paraId="04BC93DA" w14:textId="77777777" w:rsidR="00E541EE" w:rsidRPr="00190B33" w:rsidRDefault="00E541EE" w:rsidP="00E541EE">
      <w:pPr>
        <w:autoSpaceDE w:val="0"/>
        <w:autoSpaceDN w:val="0"/>
        <w:adjustRightInd w:val="0"/>
        <w:jc w:val="both"/>
        <w:rPr>
          <w:rFonts w:ascii="Arial" w:eastAsia="Times New Roman" w:hAnsi="Arial" w:cs="Arial"/>
          <w:sz w:val="24"/>
          <w:szCs w:val="24"/>
        </w:rPr>
      </w:pPr>
    </w:p>
    <w:p w14:paraId="5180B350" w14:textId="77777777" w:rsidR="00E541EE" w:rsidRPr="00190B33" w:rsidRDefault="00E541EE" w:rsidP="00E541EE">
      <w:pPr>
        <w:pBdr>
          <w:top w:val="single" w:sz="4" w:space="1" w:color="auto"/>
          <w:left w:val="single" w:sz="4" w:space="4" w:color="auto"/>
          <w:bottom w:val="single" w:sz="4" w:space="1" w:color="auto"/>
          <w:right w:val="single" w:sz="4" w:space="4" w:color="auto"/>
        </w:pBdr>
        <w:shd w:val="clear" w:color="auto" w:fill="E9E9E9"/>
        <w:ind w:right="-1"/>
        <w:rPr>
          <w:rFonts w:ascii="Arial" w:eastAsia="Times New Roman" w:hAnsi="Arial" w:cs="Arial"/>
          <w:b/>
          <w:sz w:val="24"/>
          <w:szCs w:val="24"/>
        </w:rPr>
      </w:pPr>
      <w:r w:rsidRPr="00190B33">
        <w:rPr>
          <w:rFonts w:ascii="Arial" w:eastAsia="Times New Roman" w:hAnsi="Arial" w:cs="Arial"/>
          <w:b/>
          <w:sz w:val="24"/>
          <w:szCs w:val="24"/>
        </w:rPr>
        <w:t>A 100101: Sjednice Gradskog vijeća i naknade predstavničkim i radnim tijelima</w:t>
      </w:r>
    </w:p>
    <w:p w14:paraId="516BE8D7" w14:textId="77777777" w:rsidR="00E541EE" w:rsidRPr="00190B33" w:rsidRDefault="00E541EE" w:rsidP="00E541EE">
      <w:pPr>
        <w:pBdr>
          <w:top w:val="single" w:sz="4" w:space="1" w:color="auto"/>
          <w:left w:val="single" w:sz="4" w:space="4" w:color="auto"/>
          <w:bottom w:val="single" w:sz="4" w:space="1" w:color="auto"/>
          <w:right w:val="single" w:sz="4" w:space="4" w:color="auto"/>
        </w:pBdr>
        <w:shd w:val="clear" w:color="auto" w:fill="E9E9E9"/>
        <w:ind w:right="-1"/>
        <w:rPr>
          <w:rFonts w:ascii="Arial" w:eastAsia="Times New Roman" w:hAnsi="Arial" w:cs="Arial"/>
          <w:b/>
          <w:sz w:val="24"/>
          <w:szCs w:val="24"/>
        </w:rPr>
      </w:pPr>
      <w:r w:rsidRPr="00190B33">
        <w:rPr>
          <w:rFonts w:ascii="Arial" w:eastAsia="Times New Roman" w:hAnsi="Arial" w:cs="Arial"/>
          <w:b/>
          <w:sz w:val="24"/>
          <w:szCs w:val="24"/>
        </w:rPr>
        <w:t>= 95.255,50 EUR</w:t>
      </w:r>
    </w:p>
    <w:p w14:paraId="33D065B6" w14:textId="77777777" w:rsidR="00E541EE" w:rsidRPr="00190B33" w:rsidRDefault="00E541EE" w:rsidP="00E541EE">
      <w:pPr>
        <w:jc w:val="both"/>
        <w:rPr>
          <w:rFonts w:ascii="Arial" w:eastAsia="Times New Roman" w:hAnsi="Arial" w:cs="Arial"/>
          <w:sz w:val="24"/>
          <w:szCs w:val="24"/>
        </w:rPr>
      </w:pPr>
      <w:r w:rsidRPr="00190B33">
        <w:rPr>
          <w:rFonts w:ascii="Arial" w:eastAsia="Times New Roman" w:hAnsi="Arial" w:cs="Arial"/>
          <w:b/>
          <w:sz w:val="24"/>
          <w:szCs w:val="24"/>
        </w:rPr>
        <w:t>Zakonska osnova:</w:t>
      </w:r>
      <w:r w:rsidRPr="00190B33">
        <w:rPr>
          <w:rFonts w:ascii="Arial" w:eastAsia="Times New Roman" w:hAnsi="Arial" w:cs="Arial"/>
          <w:sz w:val="24"/>
          <w:szCs w:val="24"/>
        </w:rPr>
        <w:t xml:space="preserve"> Zakon o lokalnoj i područnoj (regionalnoj) samoupravi, Zakon o lokalnim izborima. </w:t>
      </w:r>
    </w:p>
    <w:p w14:paraId="5CDAB648" w14:textId="77777777" w:rsidR="00E541EE" w:rsidRPr="00190B33" w:rsidRDefault="00E541EE" w:rsidP="00E541EE">
      <w:pPr>
        <w:jc w:val="both"/>
        <w:rPr>
          <w:rFonts w:ascii="Arial" w:eastAsia="Times New Roman" w:hAnsi="Arial" w:cs="Arial"/>
          <w:sz w:val="24"/>
          <w:szCs w:val="24"/>
        </w:rPr>
      </w:pPr>
      <w:r w:rsidRPr="00190B33">
        <w:rPr>
          <w:rFonts w:ascii="Arial" w:eastAsia="Times New Roman" w:hAnsi="Arial" w:cs="Arial"/>
          <w:b/>
          <w:sz w:val="24"/>
          <w:szCs w:val="24"/>
        </w:rPr>
        <w:t>Opis:</w:t>
      </w:r>
      <w:r w:rsidRPr="00190B33">
        <w:rPr>
          <w:rFonts w:ascii="Arial" w:eastAsia="Times New Roman" w:hAnsi="Arial" w:cs="Arial"/>
          <w:sz w:val="24"/>
          <w:szCs w:val="24"/>
        </w:rPr>
        <w:t xml:space="preserve"> ovim sredstvima financira se naknada za rad vijećnika, članova radnih tijela Gradskog vijeća, kao i sredstva za ostale rashode, a za potrebe rada Gradskog vijeća.</w:t>
      </w:r>
    </w:p>
    <w:p w14:paraId="4D8FC6B7" w14:textId="77777777" w:rsidR="00E541EE" w:rsidRPr="00190B33" w:rsidRDefault="00E541EE" w:rsidP="00E541EE">
      <w:pPr>
        <w:jc w:val="both"/>
        <w:rPr>
          <w:rFonts w:ascii="Arial" w:eastAsia="Times New Roman" w:hAnsi="Arial" w:cs="Arial"/>
          <w:sz w:val="24"/>
          <w:szCs w:val="24"/>
        </w:rPr>
      </w:pPr>
      <w:r w:rsidRPr="00190B33">
        <w:rPr>
          <w:rFonts w:ascii="Arial" w:eastAsia="Times New Roman" w:hAnsi="Arial" w:cs="Arial"/>
          <w:b/>
          <w:sz w:val="24"/>
          <w:szCs w:val="24"/>
        </w:rPr>
        <w:t>Opći cilj:</w:t>
      </w:r>
      <w:r w:rsidRPr="00190B33">
        <w:rPr>
          <w:rFonts w:ascii="Arial" w:eastAsia="Times New Roman" w:hAnsi="Arial" w:cs="Arial"/>
          <w:sz w:val="24"/>
          <w:szCs w:val="24"/>
        </w:rPr>
        <w:t xml:space="preserve"> financiranje djelatnosti predstavničke vlasti.</w:t>
      </w:r>
    </w:p>
    <w:p w14:paraId="1FC73D2A" w14:textId="77777777" w:rsidR="00E541EE" w:rsidRPr="00190B33" w:rsidRDefault="00E541EE" w:rsidP="00E541EE">
      <w:pPr>
        <w:jc w:val="both"/>
        <w:rPr>
          <w:rFonts w:ascii="Arial" w:eastAsia="Times New Roman" w:hAnsi="Arial" w:cs="Arial"/>
          <w:sz w:val="24"/>
          <w:szCs w:val="24"/>
        </w:rPr>
      </w:pPr>
      <w:r w:rsidRPr="00190B33">
        <w:rPr>
          <w:rFonts w:ascii="Arial" w:eastAsia="Times New Roman" w:hAnsi="Arial" w:cs="Arial"/>
          <w:b/>
          <w:sz w:val="24"/>
          <w:szCs w:val="24"/>
        </w:rPr>
        <w:t>Pokazatelj uspješnosti:</w:t>
      </w:r>
      <w:r w:rsidRPr="00190B33">
        <w:rPr>
          <w:rFonts w:ascii="Arial" w:eastAsia="Times New Roman" w:hAnsi="Arial" w:cs="Arial"/>
          <w:sz w:val="24"/>
          <w:szCs w:val="24"/>
        </w:rPr>
        <w:t xml:space="preserve"> broj donesenih akata u usporedbi sa Planom rada Gradskoga vijeća i u odnosu na zakonske obaveze jedinice lokalne samouprave.</w:t>
      </w:r>
    </w:p>
    <w:p w14:paraId="39823033" w14:textId="77777777" w:rsidR="00E541EE" w:rsidRPr="00190B33" w:rsidRDefault="00E541EE" w:rsidP="00E541EE">
      <w:pPr>
        <w:jc w:val="both"/>
        <w:rPr>
          <w:rFonts w:ascii="Arial" w:eastAsia="Times New Roman" w:hAnsi="Arial" w:cs="Arial"/>
          <w:sz w:val="24"/>
          <w:szCs w:val="24"/>
        </w:rPr>
      </w:pPr>
    </w:p>
    <w:p w14:paraId="527FFA5B" w14:textId="77777777" w:rsidR="00E541EE" w:rsidRPr="00190B33" w:rsidRDefault="00E541EE" w:rsidP="00E541EE">
      <w:pPr>
        <w:pBdr>
          <w:top w:val="single" w:sz="4" w:space="1" w:color="auto"/>
          <w:left w:val="single" w:sz="4" w:space="4" w:color="auto"/>
          <w:bottom w:val="single" w:sz="4" w:space="1" w:color="auto"/>
          <w:right w:val="single" w:sz="4" w:space="4" w:color="auto"/>
        </w:pBdr>
        <w:shd w:val="clear" w:color="auto" w:fill="E9E9E9"/>
        <w:tabs>
          <w:tab w:val="left" w:pos="6952"/>
        </w:tabs>
        <w:jc w:val="both"/>
        <w:rPr>
          <w:rFonts w:ascii="Arial" w:eastAsia="Times New Roman" w:hAnsi="Arial" w:cs="Arial"/>
          <w:color w:val="FF0000"/>
          <w:sz w:val="24"/>
          <w:szCs w:val="24"/>
        </w:rPr>
      </w:pPr>
      <w:r w:rsidRPr="00190B33">
        <w:rPr>
          <w:rFonts w:ascii="Arial" w:eastAsia="Times New Roman" w:hAnsi="Arial" w:cs="Arial"/>
          <w:b/>
          <w:sz w:val="24"/>
          <w:szCs w:val="24"/>
          <w:shd w:val="clear" w:color="auto" w:fill="E9E9E9"/>
        </w:rPr>
        <w:t xml:space="preserve">A 100105: Odnosi s inozemstvom = 35.000,00 EUR </w:t>
      </w:r>
    </w:p>
    <w:p w14:paraId="12B44922" w14:textId="77777777" w:rsidR="00E541EE" w:rsidRPr="003B439E" w:rsidRDefault="00E541EE" w:rsidP="00E541EE">
      <w:pPr>
        <w:jc w:val="both"/>
        <w:rPr>
          <w:rFonts w:ascii="Arial" w:eastAsia="Times New Roman" w:hAnsi="Arial" w:cs="Arial"/>
          <w:sz w:val="24"/>
          <w:szCs w:val="24"/>
        </w:rPr>
      </w:pPr>
      <w:r w:rsidRPr="003B439E">
        <w:rPr>
          <w:rFonts w:ascii="Arial" w:eastAsia="Times New Roman" w:hAnsi="Arial" w:cs="Arial"/>
          <w:b/>
          <w:sz w:val="24"/>
          <w:szCs w:val="24"/>
        </w:rPr>
        <w:t>Zakonska osnova:</w:t>
      </w:r>
      <w:r w:rsidRPr="003B439E">
        <w:rPr>
          <w:rFonts w:ascii="Arial" w:eastAsia="Times New Roman" w:hAnsi="Arial" w:cs="Arial"/>
          <w:sz w:val="24"/>
          <w:szCs w:val="24"/>
        </w:rPr>
        <w:t xml:space="preserve"> Zakon o lokalnoj, područnoj (regionalnoj) samoupravi, deklaracije o bratimljenjima i odluke o pristupanjima međunarodnim udrugama gradova.</w:t>
      </w:r>
    </w:p>
    <w:p w14:paraId="29664930" w14:textId="77777777" w:rsidR="00E541EE" w:rsidRPr="003B439E" w:rsidRDefault="00E541EE" w:rsidP="00E541EE">
      <w:pPr>
        <w:jc w:val="both"/>
        <w:rPr>
          <w:rFonts w:ascii="Arial" w:eastAsia="Times New Roman" w:hAnsi="Arial" w:cs="Arial"/>
          <w:sz w:val="24"/>
          <w:szCs w:val="24"/>
        </w:rPr>
      </w:pPr>
      <w:r w:rsidRPr="003B439E">
        <w:rPr>
          <w:rFonts w:ascii="Arial" w:eastAsia="Times New Roman" w:hAnsi="Arial" w:cs="Arial"/>
          <w:b/>
          <w:sz w:val="24"/>
          <w:szCs w:val="24"/>
        </w:rPr>
        <w:t>Opis:</w:t>
      </w:r>
      <w:r w:rsidRPr="003B439E">
        <w:rPr>
          <w:rFonts w:ascii="Arial" w:eastAsia="Times New Roman" w:hAnsi="Arial" w:cs="Arial"/>
          <w:sz w:val="24"/>
          <w:szCs w:val="24"/>
        </w:rPr>
        <w:t xml:space="preserve"> ova sredstva su namijenjena financiranju godišnjih susreta i razmjena sa bratimljenim gradovima, za sudjelovanje u radu Udruge bratimljenih gradova EU The Douzelage,  kao i za suradnju sa gradovima prijateljima. U 2026. godini planiraju se održati uobičajene aktivnosti kao što su „Artist in Residence“ odnosno kulturna razmjena sa gradom Salzburgom, sudjelovanje na „Pferdemarktu“ u Leonbergu (središnja godišnja svečanost Grada Leonberga) te Generalnoj skupštini udruge The Douzelage u Marsaskali (Malta). Po ustaljenoj praksi, u 2026. godini bi se trebali održati „Dani Rovinja u Leonbergu“, kada grupe naših građana sudjeluju u kulturnom programu istih (zborovi, limena glazba ili drugi, ovisno o programu kojeg predlože domaćini), no novi gradonačelnik Leonberga stupa na dužnost u prosincu 2025. godine i tek će se nakon toga moći dogovarati aktivnosti sa tim bratimljenim gradom.</w:t>
      </w:r>
    </w:p>
    <w:p w14:paraId="541273E1" w14:textId="77777777" w:rsidR="00E541EE" w:rsidRPr="003B439E" w:rsidRDefault="00E541EE" w:rsidP="00E541EE">
      <w:pPr>
        <w:jc w:val="both"/>
        <w:rPr>
          <w:rFonts w:ascii="Arial" w:eastAsia="Times New Roman" w:hAnsi="Arial" w:cs="Arial"/>
          <w:sz w:val="24"/>
          <w:szCs w:val="24"/>
        </w:rPr>
      </w:pPr>
      <w:r w:rsidRPr="003B439E">
        <w:rPr>
          <w:rFonts w:ascii="Arial" w:eastAsia="Times New Roman" w:hAnsi="Arial" w:cs="Arial"/>
          <w:b/>
          <w:sz w:val="24"/>
          <w:szCs w:val="24"/>
        </w:rPr>
        <w:t>Opći cilj:</w:t>
      </w:r>
      <w:r w:rsidRPr="003B439E">
        <w:rPr>
          <w:rFonts w:ascii="Arial" w:eastAsia="Times New Roman" w:hAnsi="Arial" w:cs="Arial"/>
          <w:sz w:val="24"/>
          <w:szCs w:val="24"/>
        </w:rPr>
        <w:t xml:space="preserve"> omogućavanje međugradske i međunarodne suradnje.</w:t>
      </w:r>
    </w:p>
    <w:p w14:paraId="62F4567A" w14:textId="77777777" w:rsidR="00E541EE" w:rsidRPr="003B439E" w:rsidRDefault="00E541EE" w:rsidP="00E541EE">
      <w:pPr>
        <w:jc w:val="both"/>
        <w:rPr>
          <w:rFonts w:ascii="Arial" w:eastAsia="Times New Roman" w:hAnsi="Arial" w:cs="Arial"/>
          <w:sz w:val="24"/>
          <w:szCs w:val="24"/>
        </w:rPr>
      </w:pPr>
      <w:r w:rsidRPr="003B439E">
        <w:rPr>
          <w:rFonts w:ascii="Arial" w:eastAsia="Times New Roman" w:hAnsi="Arial" w:cs="Arial"/>
          <w:b/>
          <w:sz w:val="24"/>
          <w:szCs w:val="24"/>
        </w:rPr>
        <w:t>Pokazatelj uspješnosti:</w:t>
      </w:r>
      <w:r w:rsidRPr="003B439E">
        <w:rPr>
          <w:rFonts w:ascii="Arial" w:eastAsia="Times New Roman" w:hAnsi="Arial" w:cs="Arial"/>
          <w:sz w:val="24"/>
          <w:szCs w:val="24"/>
        </w:rPr>
        <w:t xml:space="preserve"> sudjelovanje i organizacija tradicionalnih susreta bratimljenih gradova, kao i održavanje suradnje sa udruženjima gradova.</w:t>
      </w:r>
    </w:p>
    <w:p w14:paraId="52A67B0F" w14:textId="77777777" w:rsidR="00E541EE" w:rsidRPr="00190B33" w:rsidRDefault="00E541EE" w:rsidP="00E541EE">
      <w:pPr>
        <w:jc w:val="both"/>
        <w:rPr>
          <w:rFonts w:ascii="Arial" w:eastAsia="Times New Roman" w:hAnsi="Arial" w:cs="Arial"/>
          <w:sz w:val="24"/>
          <w:szCs w:val="24"/>
        </w:rPr>
      </w:pPr>
    </w:p>
    <w:p w14:paraId="57CBC823" w14:textId="77777777" w:rsidR="00E541EE" w:rsidRPr="00190B33"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sz w:val="24"/>
          <w:szCs w:val="24"/>
        </w:rPr>
      </w:pPr>
      <w:r w:rsidRPr="00190B33">
        <w:rPr>
          <w:rFonts w:ascii="Arial" w:eastAsia="Times New Roman" w:hAnsi="Arial" w:cs="Arial"/>
          <w:b/>
          <w:sz w:val="24"/>
          <w:szCs w:val="24"/>
        </w:rPr>
        <w:t>A 100104: Financiranje političkih stranaka = 74.656,50 EUR</w:t>
      </w:r>
    </w:p>
    <w:p w14:paraId="3FC9D0D0" w14:textId="77777777" w:rsidR="00E541EE" w:rsidRPr="00190B33" w:rsidRDefault="00E541EE" w:rsidP="00E541EE">
      <w:pPr>
        <w:jc w:val="both"/>
        <w:rPr>
          <w:rFonts w:ascii="Arial" w:eastAsia="Times New Roman" w:hAnsi="Arial" w:cs="Arial"/>
          <w:sz w:val="24"/>
          <w:szCs w:val="24"/>
        </w:rPr>
      </w:pPr>
      <w:r w:rsidRPr="00190B33">
        <w:rPr>
          <w:rFonts w:ascii="Arial" w:eastAsia="Times New Roman" w:hAnsi="Arial" w:cs="Arial"/>
          <w:b/>
          <w:sz w:val="24"/>
          <w:szCs w:val="24"/>
        </w:rPr>
        <w:t>Zakonska osnova:</w:t>
      </w:r>
      <w:r w:rsidRPr="00190B33">
        <w:rPr>
          <w:rFonts w:ascii="Arial" w:eastAsia="Times New Roman" w:hAnsi="Arial" w:cs="Arial"/>
          <w:sz w:val="24"/>
          <w:szCs w:val="24"/>
        </w:rPr>
        <w:t xml:space="preserve"> Zakon o financiranju političkih aktivnosti, izborne promidžbe i referenduma.</w:t>
      </w:r>
    </w:p>
    <w:p w14:paraId="3C5C9D32" w14:textId="77777777" w:rsidR="00E541EE" w:rsidRPr="00190B33" w:rsidRDefault="00E541EE" w:rsidP="00E541EE">
      <w:pPr>
        <w:jc w:val="both"/>
        <w:rPr>
          <w:rFonts w:ascii="Arial" w:eastAsia="Times New Roman" w:hAnsi="Arial" w:cs="Arial"/>
          <w:strike/>
          <w:sz w:val="24"/>
          <w:szCs w:val="24"/>
        </w:rPr>
      </w:pPr>
      <w:r w:rsidRPr="00190B33">
        <w:rPr>
          <w:rFonts w:ascii="Arial" w:eastAsia="Times New Roman" w:hAnsi="Arial" w:cs="Arial"/>
          <w:b/>
          <w:sz w:val="24"/>
          <w:szCs w:val="24"/>
        </w:rPr>
        <w:t>Opis:</w:t>
      </w:r>
      <w:r w:rsidRPr="00190B33">
        <w:rPr>
          <w:rFonts w:ascii="Arial" w:eastAsia="Times New Roman" w:hAnsi="Arial" w:cs="Arial"/>
          <w:sz w:val="24"/>
          <w:szCs w:val="24"/>
        </w:rPr>
        <w:t xml:space="preserve"> sukladno Zakonu o financiranju političkih aktivnosti, izborne promidžbe i referenduma osiguravaju se sredstva za rad političkim strankama, uvažavajući njihovu razmjernu zastupljenost u Gradskom vijeću.</w:t>
      </w:r>
    </w:p>
    <w:p w14:paraId="480754A4" w14:textId="77777777" w:rsidR="00E541EE" w:rsidRPr="00190B33" w:rsidRDefault="00E541EE" w:rsidP="00E541EE">
      <w:pPr>
        <w:jc w:val="both"/>
        <w:rPr>
          <w:rFonts w:ascii="Arial" w:eastAsia="Times New Roman" w:hAnsi="Arial" w:cs="Arial"/>
          <w:strike/>
          <w:sz w:val="24"/>
          <w:szCs w:val="24"/>
        </w:rPr>
      </w:pPr>
      <w:r w:rsidRPr="00190B33">
        <w:rPr>
          <w:rFonts w:ascii="Arial" w:eastAsia="Times New Roman" w:hAnsi="Arial" w:cs="Arial"/>
          <w:b/>
          <w:sz w:val="24"/>
          <w:szCs w:val="24"/>
        </w:rPr>
        <w:t>Opći cilj:</w:t>
      </w:r>
      <w:r w:rsidRPr="00190B33">
        <w:rPr>
          <w:rFonts w:ascii="Arial" w:eastAsia="Times New Roman" w:hAnsi="Arial" w:cs="Arial"/>
          <w:sz w:val="24"/>
          <w:szCs w:val="24"/>
        </w:rPr>
        <w:t xml:space="preserve"> omogućavanje višestranačkog političkog djelovanja.</w:t>
      </w:r>
    </w:p>
    <w:p w14:paraId="5C46EA5F" w14:textId="77777777" w:rsidR="00E541EE" w:rsidRPr="00190B33" w:rsidRDefault="00E541EE" w:rsidP="00E541EE">
      <w:pPr>
        <w:jc w:val="both"/>
        <w:rPr>
          <w:rFonts w:ascii="Arial" w:eastAsia="Times New Roman" w:hAnsi="Arial" w:cs="Arial"/>
          <w:sz w:val="24"/>
          <w:szCs w:val="24"/>
        </w:rPr>
      </w:pPr>
      <w:r w:rsidRPr="00190B33">
        <w:rPr>
          <w:rFonts w:ascii="Arial" w:eastAsia="Times New Roman" w:hAnsi="Arial" w:cs="Arial"/>
          <w:b/>
          <w:sz w:val="24"/>
          <w:szCs w:val="24"/>
        </w:rPr>
        <w:t>Pokazatelj uspješnosti:</w:t>
      </w:r>
      <w:r w:rsidRPr="00190B33">
        <w:rPr>
          <w:rFonts w:ascii="Arial" w:eastAsia="Times New Roman" w:hAnsi="Arial" w:cs="Arial"/>
          <w:sz w:val="24"/>
          <w:szCs w:val="24"/>
        </w:rPr>
        <w:t xml:space="preserve"> pravovremena doznaka sredstava političkim strankama zastupljenima u Gradskom vijeću, kako bi im se pružili temelji za rad i ostvarivanje njihovih programa i ciljeva.</w:t>
      </w:r>
    </w:p>
    <w:p w14:paraId="279A33B4" w14:textId="77777777" w:rsidR="00E541EE" w:rsidRPr="00190B33" w:rsidRDefault="00E541EE" w:rsidP="00E541EE">
      <w:pPr>
        <w:jc w:val="both"/>
        <w:rPr>
          <w:rFonts w:ascii="Arial" w:eastAsia="Times New Roman" w:hAnsi="Arial" w:cs="Arial"/>
          <w:sz w:val="24"/>
          <w:szCs w:val="24"/>
        </w:rPr>
      </w:pPr>
    </w:p>
    <w:p w14:paraId="61BE3729" w14:textId="77777777" w:rsidR="00E541EE" w:rsidRPr="00190B33" w:rsidRDefault="00E541EE" w:rsidP="00E541EE">
      <w:pPr>
        <w:pBdr>
          <w:top w:val="single" w:sz="4" w:space="1" w:color="auto"/>
          <w:left w:val="single" w:sz="4" w:space="4" w:color="auto"/>
          <w:bottom w:val="single" w:sz="4" w:space="1" w:color="auto"/>
          <w:right w:val="single" w:sz="4" w:space="4" w:color="auto"/>
        </w:pBdr>
        <w:shd w:val="clear" w:color="auto" w:fill="FFFF80"/>
        <w:jc w:val="both"/>
        <w:rPr>
          <w:rFonts w:ascii="Arial" w:eastAsia="Times New Roman" w:hAnsi="Arial" w:cs="Arial"/>
          <w:b/>
          <w:sz w:val="24"/>
          <w:szCs w:val="24"/>
        </w:rPr>
      </w:pPr>
      <w:r w:rsidRPr="00190B33">
        <w:rPr>
          <w:rFonts w:ascii="Arial" w:eastAsia="Times New Roman" w:hAnsi="Arial" w:cs="Arial"/>
          <w:b/>
          <w:sz w:val="24"/>
          <w:szCs w:val="24"/>
        </w:rPr>
        <w:t>Program 1045: Financiranje mjesne samouprave = 49.020,00 EUR</w:t>
      </w:r>
    </w:p>
    <w:p w14:paraId="595717A1" w14:textId="77777777" w:rsidR="00E541EE" w:rsidRPr="00190B33" w:rsidRDefault="00E541EE" w:rsidP="00E541EE">
      <w:pPr>
        <w:jc w:val="both"/>
        <w:rPr>
          <w:rFonts w:ascii="Arial" w:eastAsia="Times New Roman" w:hAnsi="Arial" w:cs="Arial"/>
          <w:b/>
          <w:sz w:val="24"/>
          <w:szCs w:val="24"/>
        </w:rPr>
      </w:pPr>
    </w:p>
    <w:p w14:paraId="7D325F5D" w14:textId="77777777" w:rsidR="00E541EE" w:rsidRPr="00190B33"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sz w:val="24"/>
          <w:szCs w:val="24"/>
        </w:rPr>
      </w:pPr>
      <w:r w:rsidRPr="00190B33">
        <w:rPr>
          <w:rFonts w:ascii="Arial" w:eastAsia="Times New Roman" w:hAnsi="Arial" w:cs="Arial"/>
          <w:b/>
          <w:sz w:val="24"/>
          <w:szCs w:val="24"/>
        </w:rPr>
        <w:t>A 104501: Financiranje mjesnih odbora = 49.020,00 EUR</w:t>
      </w:r>
    </w:p>
    <w:p w14:paraId="108177DC" w14:textId="77777777" w:rsidR="00E541EE" w:rsidRDefault="00E541EE" w:rsidP="00E541EE">
      <w:pPr>
        <w:jc w:val="both"/>
        <w:rPr>
          <w:rFonts w:ascii="Arial" w:eastAsia="Times New Roman" w:hAnsi="Arial" w:cs="Arial"/>
          <w:b/>
          <w:sz w:val="24"/>
          <w:szCs w:val="24"/>
        </w:rPr>
      </w:pPr>
    </w:p>
    <w:p w14:paraId="51DFFD2D" w14:textId="77777777" w:rsidR="00E541EE" w:rsidRPr="00190B33" w:rsidRDefault="00E541EE" w:rsidP="00E541EE">
      <w:pPr>
        <w:jc w:val="both"/>
        <w:rPr>
          <w:rFonts w:ascii="Arial" w:eastAsia="Times New Roman" w:hAnsi="Arial" w:cs="Arial"/>
          <w:sz w:val="24"/>
          <w:szCs w:val="24"/>
        </w:rPr>
      </w:pPr>
      <w:r w:rsidRPr="00190B33">
        <w:rPr>
          <w:rFonts w:ascii="Arial" w:eastAsia="Times New Roman" w:hAnsi="Arial" w:cs="Arial"/>
          <w:b/>
          <w:sz w:val="24"/>
          <w:szCs w:val="24"/>
        </w:rPr>
        <w:t>Zakonska osnova:</w:t>
      </w:r>
      <w:r w:rsidRPr="00190B33">
        <w:rPr>
          <w:rFonts w:ascii="Arial" w:eastAsia="Times New Roman" w:hAnsi="Arial" w:cs="Arial"/>
          <w:sz w:val="24"/>
          <w:szCs w:val="24"/>
        </w:rPr>
        <w:t xml:space="preserve"> Zakon o lokalnoj i područnoj (regionalnoj) samoupravi, Statut Grada Rovinja-Rovigno i Odluka o osnivanju Mjesnog odbora Rovinjsko Selo.</w:t>
      </w:r>
    </w:p>
    <w:p w14:paraId="1900816A" w14:textId="77777777" w:rsidR="00E541EE" w:rsidRPr="00190B33" w:rsidRDefault="00E541EE" w:rsidP="00E541EE">
      <w:pPr>
        <w:jc w:val="both"/>
        <w:rPr>
          <w:rFonts w:ascii="Arial" w:eastAsia="Times New Roman" w:hAnsi="Arial" w:cs="Arial"/>
          <w:sz w:val="24"/>
          <w:szCs w:val="24"/>
        </w:rPr>
      </w:pPr>
      <w:r w:rsidRPr="00190B33">
        <w:rPr>
          <w:rFonts w:ascii="Arial" w:eastAsia="Times New Roman" w:hAnsi="Arial" w:cs="Arial"/>
          <w:b/>
          <w:sz w:val="24"/>
          <w:szCs w:val="24"/>
        </w:rPr>
        <w:t xml:space="preserve">Opis: </w:t>
      </w:r>
      <w:r w:rsidRPr="00190B33">
        <w:rPr>
          <w:rFonts w:ascii="Arial" w:eastAsia="Times New Roman" w:hAnsi="Arial" w:cs="Arial"/>
          <w:sz w:val="24"/>
          <w:szCs w:val="24"/>
        </w:rPr>
        <w:t>ova sredstva osiguravaju se za aktivnosti, programe i materijalne rashode poslovanja Vijeća mjesnog odbora. U 2026. godini osigurano je više sredstava nego prethodnih godina, obzirom da si Vijeće Mjesnog odbora Rovinjsko Selo preuzima organizaciju proslave Antonje</w:t>
      </w:r>
      <w:r>
        <w:rPr>
          <w:rFonts w:ascii="Arial" w:eastAsia="Times New Roman" w:hAnsi="Arial" w:cs="Arial"/>
          <w:sz w:val="24"/>
          <w:szCs w:val="24"/>
        </w:rPr>
        <w:t xml:space="preserve">, središnje proslave Sela u sklopu koje se organizira Smotra vina, maslinovog ulja i supe, </w:t>
      </w:r>
      <w:r w:rsidRPr="00190B33">
        <w:rPr>
          <w:rFonts w:ascii="Arial" w:eastAsia="Times New Roman" w:hAnsi="Arial" w:cs="Arial"/>
          <w:sz w:val="24"/>
          <w:szCs w:val="24"/>
        </w:rPr>
        <w:t xml:space="preserve">u siječnju 2026. godine, nakon uspješnog iskustva u 2025. godini. </w:t>
      </w:r>
    </w:p>
    <w:p w14:paraId="43717FB9" w14:textId="77777777" w:rsidR="00E541EE" w:rsidRPr="00190B33" w:rsidRDefault="00E541EE" w:rsidP="00E541EE">
      <w:pPr>
        <w:jc w:val="both"/>
        <w:rPr>
          <w:rFonts w:ascii="Arial" w:eastAsia="Times New Roman" w:hAnsi="Arial" w:cs="Arial"/>
          <w:sz w:val="24"/>
          <w:szCs w:val="24"/>
        </w:rPr>
      </w:pPr>
      <w:r w:rsidRPr="00190B33">
        <w:rPr>
          <w:rFonts w:ascii="Arial" w:eastAsia="Times New Roman" w:hAnsi="Arial" w:cs="Arial"/>
          <w:b/>
          <w:sz w:val="24"/>
          <w:szCs w:val="24"/>
        </w:rPr>
        <w:t>Opći cilj:</w:t>
      </w:r>
      <w:r w:rsidRPr="00190B33">
        <w:rPr>
          <w:rFonts w:ascii="Arial" w:eastAsia="Times New Roman" w:hAnsi="Arial" w:cs="Arial"/>
          <w:sz w:val="24"/>
          <w:szCs w:val="24"/>
        </w:rPr>
        <w:t xml:space="preserve"> implementacija mjesne samouprave.</w:t>
      </w:r>
    </w:p>
    <w:p w14:paraId="743DA93B" w14:textId="77777777" w:rsidR="00E541EE" w:rsidRPr="00190B33" w:rsidRDefault="00E541EE" w:rsidP="00E541EE">
      <w:pPr>
        <w:jc w:val="both"/>
        <w:rPr>
          <w:rFonts w:ascii="Arial" w:eastAsia="Times New Roman" w:hAnsi="Arial" w:cs="Arial"/>
          <w:sz w:val="24"/>
          <w:szCs w:val="24"/>
        </w:rPr>
      </w:pPr>
      <w:r w:rsidRPr="00190B33">
        <w:rPr>
          <w:rFonts w:ascii="Arial" w:eastAsia="Times New Roman" w:hAnsi="Arial" w:cs="Arial"/>
          <w:b/>
          <w:sz w:val="24"/>
          <w:szCs w:val="24"/>
        </w:rPr>
        <w:t>Pokazatelj uspješnosti:</w:t>
      </w:r>
      <w:r w:rsidRPr="00190B33">
        <w:rPr>
          <w:rFonts w:ascii="Arial" w:eastAsia="Times New Roman" w:hAnsi="Arial" w:cs="Arial"/>
          <w:sz w:val="24"/>
          <w:szCs w:val="24"/>
        </w:rPr>
        <w:t xml:space="preserve"> provedba programa i aktivnosti Mjesnog odbora Rovinjsko Selo.</w:t>
      </w:r>
    </w:p>
    <w:p w14:paraId="7C923224" w14:textId="77777777" w:rsidR="00E541EE" w:rsidRPr="00190B33" w:rsidRDefault="00E541EE" w:rsidP="00E541EE">
      <w:pPr>
        <w:jc w:val="both"/>
        <w:rPr>
          <w:rFonts w:ascii="Arial" w:eastAsia="Times New Roman" w:hAnsi="Arial" w:cs="Arial"/>
          <w:sz w:val="24"/>
          <w:szCs w:val="24"/>
        </w:rPr>
      </w:pPr>
    </w:p>
    <w:p w14:paraId="0F9A9D12" w14:textId="77777777" w:rsidR="00E541EE" w:rsidRPr="00190B33" w:rsidRDefault="00E541EE" w:rsidP="00E541EE">
      <w:pPr>
        <w:pBdr>
          <w:top w:val="single" w:sz="4" w:space="1" w:color="auto"/>
          <w:left w:val="single" w:sz="4" w:space="4" w:color="auto"/>
          <w:bottom w:val="single" w:sz="4" w:space="1" w:color="auto"/>
          <w:right w:val="single" w:sz="4" w:space="4" w:color="auto"/>
        </w:pBdr>
        <w:shd w:val="clear" w:color="auto" w:fill="FFFF80"/>
        <w:jc w:val="both"/>
        <w:rPr>
          <w:rFonts w:ascii="Arial" w:eastAsia="Times New Roman" w:hAnsi="Arial" w:cs="Arial"/>
          <w:b/>
          <w:sz w:val="24"/>
          <w:szCs w:val="24"/>
        </w:rPr>
      </w:pPr>
      <w:r w:rsidRPr="00190B33">
        <w:rPr>
          <w:rFonts w:ascii="Arial" w:eastAsia="Times New Roman" w:hAnsi="Arial" w:cs="Arial"/>
          <w:b/>
          <w:sz w:val="24"/>
          <w:szCs w:val="24"/>
        </w:rPr>
        <w:t>Program 1044: Savjet mladih Grada Rovinja-Rovigno = 4.600,00 EUR</w:t>
      </w:r>
    </w:p>
    <w:p w14:paraId="3988771C" w14:textId="77777777" w:rsidR="00E541EE" w:rsidRPr="00190B33" w:rsidRDefault="00E541EE" w:rsidP="00E541EE">
      <w:pPr>
        <w:jc w:val="both"/>
        <w:rPr>
          <w:rFonts w:ascii="Arial" w:eastAsia="Times New Roman" w:hAnsi="Arial" w:cs="Arial"/>
          <w:b/>
          <w:sz w:val="24"/>
          <w:szCs w:val="24"/>
        </w:rPr>
      </w:pPr>
    </w:p>
    <w:p w14:paraId="434E3028" w14:textId="77777777" w:rsidR="00E541EE" w:rsidRPr="00190B33"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sz w:val="24"/>
          <w:szCs w:val="24"/>
        </w:rPr>
      </w:pPr>
      <w:r w:rsidRPr="00190B33">
        <w:rPr>
          <w:rFonts w:ascii="Arial" w:eastAsia="Times New Roman" w:hAnsi="Arial" w:cs="Arial"/>
          <w:b/>
          <w:sz w:val="24"/>
          <w:szCs w:val="24"/>
        </w:rPr>
        <w:t>A 104401: Djelatnost Savjeta mladih Grada Rovinja-Rovigno = 4.600,00 EUR</w:t>
      </w:r>
    </w:p>
    <w:p w14:paraId="299A5735" w14:textId="77777777" w:rsidR="00E541EE" w:rsidRPr="00190B33" w:rsidRDefault="00E541EE" w:rsidP="00E541EE">
      <w:pPr>
        <w:jc w:val="both"/>
        <w:rPr>
          <w:rFonts w:ascii="Arial" w:eastAsia="Times New Roman" w:hAnsi="Arial" w:cs="Arial"/>
          <w:sz w:val="24"/>
          <w:szCs w:val="24"/>
        </w:rPr>
      </w:pPr>
      <w:r w:rsidRPr="00190B33">
        <w:rPr>
          <w:rFonts w:ascii="Arial" w:eastAsia="Times New Roman" w:hAnsi="Arial" w:cs="Arial"/>
          <w:b/>
          <w:sz w:val="24"/>
          <w:szCs w:val="24"/>
        </w:rPr>
        <w:t>Zakonska osnova:</w:t>
      </w:r>
      <w:r w:rsidRPr="00190B33">
        <w:rPr>
          <w:rFonts w:ascii="Arial" w:eastAsia="Times New Roman" w:hAnsi="Arial" w:cs="Arial"/>
          <w:sz w:val="24"/>
          <w:szCs w:val="24"/>
        </w:rPr>
        <w:t xml:space="preserve"> Zakon o savjetima mladih i Odluka o osnivanju Savjeta mladih Grada Rovinja-Rovigno.</w:t>
      </w:r>
    </w:p>
    <w:p w14:paraId="21105C94" w14:textId="77777777" w:rsidR="00E541EE" w:rsidRPr="00190B33" w:rsidRDefault="00E541EE" w:rsidP="00E541EE">
      <w:pPr>
        <w:jc w:val="both"/>
        <w:rPr>
          <w:rFonts w:ascii="Arial" w:eastAsia="Times New Roman" w:hAnsi="Arial" w:cs="Arial"/>
          <w:sz w:val="24"/>
          <w:szCs w:val="24"/>
        </w:rPr>
      </w:pPr>
      <w:r w:rsidRPr="00190B33">
        <w:rPr>
          <w:rFonts w:ascii="Arial" w:eastAsia="Times New Roman" w:hAnsi="Arial" w:cs="Arial"/>
          <w:b/>
          <w:sz w:val="24"/>
          <w:szCs w:val="24"/>
        </w:rPr>
        <w:t xml:space="preserve">Opis: </w:t>
      </w:r>
      <w:r w:rsidRPr="00190B33">
        <w:rPr>
          <w:rFonts w:ascii="Arial" w:eastAsia="Times New Roman" w:hAnsi="Arial" w:cs="Arial"/>
          <w:sz w:val="24"/>
          <w:szCs w:val="24"/>
        </w:rPr>
        <w:t>ova sredstva osiguravaju se za aktivnosti Savjeta mladih našega grada. Predviđena sredstva su istovjetna onima iz prethodne godine jer je novi saziv Savjeta mladih izabran koncem 2025. godite te im tek predstoji usvajanje Programa rada za 2026. godinu.</w:t>
      </w:r>
    </w:p>
    <w:p w14:paraId="0BBC68D2" w14:textId="77777777" w:rsidR="00E541EE" w:rsidRPr="00190B33" w:rsidRDefault="00E541EE" w:rsidP="00E541EE">
      <w:pPr>
        <w:jc w:val="both"/>
        <w:rPr>
          <w:rFonts w:ascii="Arial" w:eastAsia="Times New Roman" w:hAnsi="Arial" w:cs="Arial"/>
          <w:sz w:val="24"/>
          <w:szCs w:val="24"/>
        </w:rPr>
      </w:pPr>
      <w:r w:rsidRPr="00190B33">
        <w:rPr>
          <w:rFonts w:ascii="Arial" w:eastAsia="Times New Roman" w:hAnsi="Arial" w:cs="Arial"/>
          <w:b/>
          <w:sz w:val="24"/>
          <w:szCs w:val="24"/>
        </w:rPr>
        <w:t>Opći cilj:</w:t>
      </w:r>
      <w:r w:rsidRPr="00190B33">
        <w:rPr>
          <w:rFonts w:ascii="Arial" w:eastAsia="Times New Roman" w:hAnsi="Arial" w:cs="Arial"/>
          <w:sz w:val="24"/>
          <w:szCs w:val="24"/>
        </w:rPr>
        <w:t xml:space="preserve"> zadovoljavanje potreba građana dobne skupine od 15 do 30 godina starosti.</w:t>
      </w:r>
    </w:p>
    <w:p w14:paraId="560DE59A" w14:textId="77777777" w:rsidR="00E541EE" w:rsidRPr="00190B33" w:rsidRDefault="00E541EE" w:rsidP="00E541EE">
      <w:pPr>
        <w:jc w:val="both"/>
        <w:rPr>
          <w:rFonts w:ascii="Arial" w:eastAsia="Times New Roman" w:hAnsi="Arial" w:cs="Arial"/>
          <w:sz w:val="24"/>
          <w:szCs w:val="24"/>
        </w:rPr>
      </w:pPr>
      <w:r w:rsidRPr="00190B33">
        <w:rPr>
          <w:rFonts w:ascii="Arial" w:eastAsia="Times New Roman" w:hAnsi="Arial" w:cs="Arial"/>
          <w:b/>
          <w:sz w:val="24"/>
          <w:szCs w:val="24"/>
        </w:rPr>
        <w:t>Pokazatelj uspješnosti:</w:t>
      </w:r>
      <w:r w:rsidRPr="00190B33">
        <w:rPr>
          <w:rFonts w:ascii="Arial" w:eastAsia="Times New Roman" w:hAnsi="Arial" w:cs="Arial"/>
          <w:sz w:val="24"/>
          <w:szCs w:val="24"/>
        </w:rPr>
        <w:t xml:space="preserve"> provedba programa i aktivnosti Savjeta mladih Grada Rovinja-Rovigno.</w:t>
      </w:r>
    </w:p>
    <w:p w14:paraId="6E2E3051" w14:textId="77777777" w:rsidR="00E541EE" w:rsidRPr="00190B33" w:rsidRDefault="00E541EE" w:rsidP="00E541EE">
      <w:pPr>
        <w:jc w:val="both"/>
        <w:rPr>
          <w:rFonts w:ascii="Arial" w:eastAsia="Times New Roman" w:hAnsi="Arial" w:cs="Arial"/>
          <w:sz w:val="24"/>
          <w:szCs w:val="24"/>
        </w:rPr>
      </w:pPr>
    </w:p>
    <w:p w14:paraId="7D00786D" w14:textId="77777777" w:rsidR="00E541EE" w:rsidRPr="00190B33" w:rsidRDefault="00E541EE" w:rsidP="00E541EE">
      <w:pPr>
        <w:pBdr>
          <w:top w:val="single" w:sz="4" w:space="1" w:color="auto"/>
          <w:left w:val="single" w:sz="4" w:space="4" w:color="auto"/>
          <w:bottom w:val="single" w:sz="4" w:space="1" w:color="auto"/>
          <w:right w:val="single" w:sz="4" w:space="4" w:color="auto"/>
        </w:pBdr>
        <w:shd w:val="clear" w:color="auto" w:fill="B1EDA0"/>
        <w:jc w:val="both"/>
        <w:rPr>
          <w:rFonts w:ascii="Arial" w:eastAsia="Times New Roman" w:hAnsi="Arial" w:cs="Arial"/>
          <w:b/>
          <w:sz w:val="24"/>
          <w:szCs w:val="24"/>
        </w:rPr>
      </w:pPr>
      <w:r w:rsidRPr="00190B33">
        <w:rPr>
          <w:rFonts w:ascii="Arial" w:eastAsia="Times New Roman" w:hAnsi="Arial" w:cs="Arial"/>
          <w:b/>
          <w:sz w:val="24"/>
          <w:szCs w:val="24"/>
        </w:rPr>
        <w:t>GLAVA 00102: GRADONAČELNIK = 344.230,00 EUR</w:t>
      </w:r>
    </w:p>
    <w:p w14:paraId="1618E81C" w14:textId="77777777" w:rsidR="00E541EE" w:rsidRPr="00190B33" w:rsidRDefault="00E541EE" w:rsidP="00E541EE">
      <w:pPr>
        <w:jc w:val="both"/>
        <w:rPr>
          <w:rFonts w:ascii="Arial" w:eastAsia="Times New Roman" w:hAnsi="Arial" w:cs="Arial"/>
          <w:sz w:val="24"/>
          <w:szCs w:val="24"/>
        </w:rPr>
      </w:pPr>
    </w:p>
    <w:p w14:paraId="548D2D0C" w14:textId="77777777" w:rsidR="00E541EE" w:rsidRPr="00190B33" w:rsidRDefault="00E541EE" w:rsidP="00E541EE">
      <w:pPr>
        <w:pBdr>
          <w:top w:val="single" w:sz="4" w:space="1" w:color="auto"/>
          <w:left w:val="single" w:sz="4" w:space="4" w:color="auto"/>
          <w:bottom w:val="single" w:sz="4" w:space="1" w:color="auto"/>
          <w:right w:val="single" w:sz="4" w:space="4" w:color="auto"/>
        </w:pBdr>
        <w:shd w:val="clear" w:color="auto" w:fill="FFFF80"/>
        <w:jc w:val="both"/>
        <w:rPr>
          <w:rFonts w:ascii="Arial" w:eastAsia="Times New Roman" w:hAnsi="Arial" w:cs="Arial"/>
          <w:b/>
          <w:sz w:val="24"/>
          <w:szCs w:val="24"/>
        </w:rPr>
      </w:pPr>
      <w:r w:rsidRPr="00190B33">
        <w:rPr>
          <w:rFonts w:ascii="Arial" w:eastAsia="Times New Roman" w:hAnsi="Arial" w:cs="Arial"/>
          <w:b/>
          <w:sz w:val="24"/>
          <w:szCs w:val="24"/>
        </w:rPr>
        <w:t>Program 1002: Mjere i aktivnosti iz djelokruga izvršnog tijela = 344.230,00 EUR</w:t>
      </w:r>
    </w:p>
    <w:p w14:paraId="47060C03" w14:textId="77777777" w:rsidR="00E541EE" w:rsidRPr="00190B33" w:rsidRDefault="00E541EE" w:rsidP="00E541EE">
      <w:pPr>
        <w:jc w:val="both"/>
        <w:rPr>
          <w:rFonts w:ascii="Arial" w:eastAsia="Times New Roman" w:hAnsi="Arial" w:cs="Arial"/>
          <w:color w:val="FF0000"/>
          <w:sz w:val="24"/>
          <w:szCs w:val="24"/>
        </w:rPr>
      </w:pPr>
    </w:p>
    <w:p w14:paraId="4E07A315" w14:textId="77777777" w:rsidR="00E541EE" w:rsidRPr="00190B33"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sz w:val="24"/>
          <w:szCs w:val="24"/>
        </w:rPr>
      </w:pPr>
      <w:r w:rsidRPr="00190B33">
        <w:rPr>
          <w:rFonts w:ascii="Arial" w:eastAsia="Times New Roman" w:hAnsi="Arial" w:cs="Arial"/>
          <w:b/>
          <w:sz w:val="24"/>
          <w:szCs w:val="24"/>
        </w:rPr>
        <w:t>A 100201: Protokol i promidžba = 204.427,00 EUR</w:t>
      </w:r>
    </w:p>
    <w:p w14:paraId="16084E39" w14:textId="77777777" w:rsidR="00E541EE" w:rsidRPr="00190B33" w:rsidRDefault="00E541EE" w:rsidP="00E541EE">
      <w:pPr>
        <w:jc w:val="both"/>
        <w:rPr>
          <w:rFonts w:ascii="Arial" w:eastAsia="Times New Roman" w:hAnsi="Arial" w:cs="Arial"/>
          <w:sz w:val="24"/>
          <w:szCs w:val="24"/>
        </w:rPr>
      </w:pPr>
      <w:r w:rsidRPr="00190B33">
        <w:rPr>
          <w:rFonts w:ascii="Arial" w:eastAsia="Times New Roman" w:hAnsi="Arial" w:cs="Arial"/>
          <w:b/>
          <w:sz w:val="24"/>
          <w:szCs w:val="24"/>
        </w:rPr>
        <w:t>Zakonska osnova:</w:t>
      </w:r>
      <w:r w:rsidRPr="00190B33">
        <w:rPr>
          <w:rFonts w:ascii="Arial" w:eastAsia="Times New Roman" w:hAnsi="Arial" w:cs="Arial"/>
          <w:sz w:val="24"/>
          <w:szCs w:val="24"/>
        </w:rPr>
        <w:t xml:space="preserve"> Zakon o lokalnoj i područnoj (regionalnoj) samoupravi, Statut Grada Rovinja-Rovigno. </w:t>
      </w:r>
    </w:p>
    <w:p w14:paraId="57ADA245" w14:textId="77777777" w:rsidR="00E541EE" w:rsidRPr="00190B33" w:rsidRDefault="00E541EE" w:rsidP="00E541EE">
      <w:pPr>
        <w:jc w:val="both"/>
        <w:rPr>
          <w:rFonts w:ascii="Arial" w:eastAsia="Times New Roman" w:hAnsi="Arial" w:cs="Arial"/>
          <w:sz w:val="24"/>
          <w:szCs w:val="24"/>
        </w:rPr>
      </w:pPr>
      <w:r w:rsidRPr="00190B33">
        <w:rPr>
          <w:rFonts w:ascii="Arial" w:eastAsia="Times New Roman" w:hAnsi="Arial" w:cs="Arial"/>
          <w:b/>
          <w:sz w:val="24"/>
          <w:szCs w:val="24"/>
        </w:rPr>
        <w:t>Opis:</w:t>
      </w:r>
      <w:r w:rsidRPr="00190B33">
        <w:rPr>
          <w:rFonts w:ascii="Arial" w:eastAsia="Times New Roman" w:hAnsi="Arial" w:cs="Arial"/>
          <w:sz w:val="24"/>
          <w:szCs w:val="24"/>
        </w:rPr>
        <w:t xml:space="preserve"> sredstva za protokol i promidžbu gradonačelnika namijenjena su za promociju Grada Rovinja-Rovigno i njegovih razvojnih mogućnosti. Protokolarne aktivnosti gradonačelnika odvijaju se kako prema unaprijed poznatim događanjima tako i za događanja koja su od interesa za Grad Rovinj-Rovigno, a koja nisu unaprijed poznata. Kroz ovaj program odvija se suradnja sa medijima kako bi građani bili informirani o aktivnostima i projektima koji se financiraju iz proračuna te se omogućava kontinuirano praćenje rada gradonačelnika, Gradskog vijeća i gradske uprave, ustanova i trgovačkih društava čiji je osnivač Grad Rovinj-Rovigno, što doprinosi transparentnosti rada navedenih tijela. </w:t>
      </w:r>
    </w:p>
    <w:p w14:paraId="3B37086F" w14:textId="77777777" w:rsidR="00E541EE" w:rsidRPr="00190B33" w:rsidRDefault="00E541EE" w:rsidP="00E541EE">
      <w:pPr>
        <w:jc w:val="both"/>
        <w:rPr>
          <w:rFonts w:ascii="Arial" w:eastAsia="Times New Roman" w:hAnsi="Arial" w:cs="Arial"/>
          <w:sz w:val="24"/>
          <w:szCs w:val="24"/>
        </w:rPr>
      </w:pPr>
      <w:r w:rsidRPr="00190B33">
        <w:rPr>
          <w:rFonts w:ascii="Arial" w:eastAsia="Times New Roman" w:hAnsi="Arial" w:cs="Arial"/>
          <w:b/>
          <w:sz w:val="24"/>
          <w:szCs w:val="24"/>
        </w:rPr>
        <w:t xml:space="preserve">Opći cilj: </w:t>
      </w:r>
      <w:r w:rsidRPr="003B439E">
        <w:rPr>
          <w:rFonts w:ascii="Arial" w:eastAsia="Times New Roman" w:hAnsi="Arial" w:cs="Arial"/>
          <w:bCs/>
          <w:sz w:val="24"/>
          <w:szCs w:val="24"/>
        </w:rPr>
        <w:t>promocija Grada,</w:t>
      </w:r>
      <w:r>
        <w:rPr>
          <w:rFonts w:ascii="Arial" w:eastAsia="Times New Roman" w:hAnsi="Arial" w:cs="Arial"/>
          <w:b/>
          <w:sz w:val="24"/>
          <w:szCs w:val="24"/>
        </w:rPr>
        <w:t xml:space="preserve"> </w:t>
      </w:r>
      <w:r w:rsidRPr="00190B33">
        <w:rPr>
          <w:rFonts w:ascii="Arial" w:eastAsia="Times New Roman" w:hAnsi="Arial" w:cs="Arial"/>
          <w:sz w:val="24"/>
          <w:szCs w:val="24"/>
        </w:rPr>
        <w:t>omogućavanje transparentnosti rada gradske vlasti te primjereno odvijanje protokolarnih aktivnosti.</w:t>
      </w:r>
    </w:p>
    <w:p w14:paraId="494B5C38" w14:textId="77777777" w:rsidR="00E541EE" w:rsidRPr="00190B33" w:rsidRDefault="00E541EE" w:rsidP="00E541EE">
      <w:pPr>
        <w:jc w:val="both"/>
        <w:rPr>
          <w:rFonts w:ascii="Arial" w:eastAsia="Times New Roman" w:hAnsi="Arial" w:cs="Arial"/>
          <w:sz w:val="24"/>
          <w:szCs w:val="24"/>
        </w:rPr>
      </w:pPr>
      <w:r w:rsidRPr="00190B33">
        <w:rPr>
          <w:rFonts w:ascii="Arial" w:eastAsia="Times New Roman" w:hAnsi="Arial" w:cs="Arial"/>
          <w:b/>
          <w:sz w:val="24"/>
          <w:szCs w:val="24"/>
        </w:rPr>
        <w:t>Pokazatelj uspješnosti:</w:t>
      </w:r>
      <w:r w:rsidRPr="00190B33">
        <w:rPr>
          <w:rFonts w:ascii="Arial" w:eastAsia="Times New Roman" w:hAnsi="Arial" w:cs="Arial"/>
          <w:sz w:val="24"/>
          <w:szCs w:val="24"/>
        </w:rPr>
        <w:t xml:space="preserve"> primjereno izvršene protokolarne obaveze, doprinos promociji Grada Rovinja-Rovigno, njegove kulturno-povijesne baštine i tradicije te primjereno i pravovremeno informirani građani o svim segmentima djelovanja lokalnog javnog sektora. </w:t>
      </w:r>
    </w:p>
    <w:p w14:paraId="6B1DBEA3" w14:textId="77777777" w:rsidR="00E541EE" w:rsidRPr="00190B33" w:rsidRDefault="00E541EE" w:rsidP="00E541EE">
      <w:pPr>
        <w:jc w:val="both"/>
        <w:rPr>
          <w:rFonts w:ascii="Arial" w:eastAsia="Times New Roman" w:hAnsi="Arial" w:cs="Arial"/>
          <w:color w:val="FF0000"/>
          <w:sz w:val="24"/>
          <w:szCs w:val="24"/>
        </w:rPr>
      </w:pPr>
    </w:p>
    <w:p w14:paraId="6F275B70" w14:textId="77777777" w:rsidR="00E541EE" w:rsidRPr="00190B33"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sz w:val="24"/>
          <w:szCs w:val="24"/>
        </w:rPr>
      </w:pPr>
      <w:r w:rsidRPr="00190B33">
        <w:rPr>
          <w:rFonts w:ascii="Arial" w:eastAsia="Times New Roman" w:hAnsi="Arial" w:cs="Arial"/>
          <w:b/>
          <w:sz w:val="24"/>
          <w:szCs w:val="24"/>
        </w:rPr>
        <w:t>A 100202: Obilježavanje značajnijih datuma = 54.985,00 EUR</w:t>
      </w:r>
    </w:p>
    <w:p w14:paraId="53EBCB00" w14:textId="77777777" w:rsidR="00E541EE" w:rsidRPr="00190B33" w:rsidRDefault="00E541EE" w:rsidP="00E541EE">
      <w:pPr>
        <w:jc w:val="both"/>
        <w:rPr>
          <w:rFonts w:ascii="Arial" w:eastAsia="Times New Roman" w:hAnsi="Arial" w:cs="Arial"/>
          <w:sz w:val="24"/>
          <w:szCs w:val="24"/>
        </w:rPr>
      </w:pPr>
      <w:r w:rsidRPr="00190B33">
        <w:rPr>
          <w:rFonts w:ascii="Arial" w:eastAsia="Times New Roman" w:hAnsi="Arial" w:cs="Arial"/>
          <w:b/>
          <w:sz w:val="24"/>
          <w:szCs w:val="24"/>
        </w:rPr>
        <w:t>Zakonska osnova:</w:t>
      </w:r>
      <w:r w:rsidRPr="00190B33">
        <w:rPr>
          <w:rFonts w:ascii="Arial" w:eastAsia="Times New Roman" w:hAnsi="Arial" w:cs="Arial"/>
          <w:sz w:val="24"/>
          <w:szCs w:val="24"/>
        </w:rPr>
        <w:t xml:space="preserve"> Zakon o lokalnoj i područnoj (regionalnoj) samoupravi, Statut Grada Rovinja-Rovigno. </w:t>
      </w:r>
    </w:p>
    <w:p w14:paraId="17D7ADD2" w14:textId="77777777" w:rsidR="00E541EE" w:rsidRPr="00190B33" w:rsidRDefault="00E541EE" w:rsidP="00E541EE">
      <w:pPr>
        <w:jc w:val="both"/>
        <w:rPr>
          <w:rFonts w:ascii="Arial" w:eastAsia="Times New Roman" w:hAnsi="Arial" w:cs="Arial"/>
          <w:sz w:val="24"/>
          <w:szCs w:val="24"/>
        </w:rPr>
      </w:pPr>
      <w:r w:rsidRPr="00190B33">
        <w:rPr>
          <w:rFonts w:ascii="Arial" w:eastAsia="Times New Roman" w:hAnsi="Arial" w:cs="Arial"/>
          <w:b/>
          <w:sz w:val="24"/>
          <w:szCs w:val="24"/>
        </w:rPr>
        <w:t xml:space="preserve">Opis: </w:t>
      </w:r>
      <w:r w:rsidRPr="00190B33">
        <w:rPr>
          <w:rFonts w:ascii="Arial" w:eastAsia="Times New Roman" w:hAnsi="Arial" w:cs="Arial"/>
          <w:sz w:val="24"/>
          <w:szCs w:val="24"/>
        </w:rPr>
        <w:t xml:space="preserve">obilježavanje značajnijih datuma obuhvaća poslove i aktivnosti vezane za prigodno obilježavanje državnih blagdana i značajnijih datuma iz povijesti grada te druge gradske manifestacije koje imaju za cilj kulturnu promidžbu grada. </w:t>
      </w:r>
    </w:p>
    <w:p w14:paraId="48341D91" w14:textId="77777777" w:rsidR="00E541EE" w:rsidRPr="00190B33" w:rsidRDefault="00E541EE" w:rsidP="00E541EE">
      <w:pPr>
        <w:jc w:val="both"/>
        <w:rPr>
          <w:rFonts w:ascii="Arial" w:eastAsia="Times New Roman" w:hAnsi="Arial" w:cs="Arial"/>
          <w:sz w:val="24"/>
          <w:szCs w:val="24"/>
        </w:rPr>
      </w:pPr>
      <w:r w:rsidRPr="00190B33">
        <w:rPr>
          <w:rFonts w:ascii="Arial" w:eastAsia="Times New Roman" w:hAnsi="Arial" w:cs="Arial"/>
          <w:b/>
          <w:sz w:val="24"/>
          <w:szCs w:val="24"/>
        </w:rPr>
        <w:t xml:space="preserve">Opći cilj: </w:t>
      </w:r>
      <w:r w:rsidRPr="00190B33">
        <w:rPr>
          <w:rFonts w:ascii="Arial" w:eastAsia="Times New Roman" w:hAnsi="Arial" w:cs="Arial"/>
          <w:sz w:val="24"/>
          <w:szCs w:val="24"/>
        </w:rPr>
        <w:t>dostojanstveno obilježavanje protokolarnih događanja.</w:t>
      </w:r>
    </w:p>
    <w:p w14:paraId="125F1A12" w14:textId="77777777" w:rsidR="00E541EE" w:rsidRPr="00190B33" w:rsidRDefault="00E541EE" w:rsidP="00E541EE">
      <w:pPr>
        <w:jc w:val="both"/>
        <w:rPr>
          <w:rFonts w:ascii="Arial" w:eastAsia="Times New Roman" w:hAnsi="Arial" w:cs="Arial"/>
          <w:sz w:val="24"/>
          <w:szCs w:val="24"/>
        </w:rPr>
      </w:pPr>
      <w:r w:rsidRPr="00190B33">
        <w:rPr>
          <w:rFonts w:ascii="Arial" w:eastAsia="Times New Roman" w:hAnsi="Arial" w:cs="Arial"/>
          <w:b/>
          <w:sz w:val="24"/>
          <w:szCs w:val="24"/>
        </w:rPr>
        <w:t>Pokazatelj uspješnosti:</w:t>
      </w:r>
      <w:r w:rsidRPr="00190B33">
        <w:rPr>
          <w:rFonts w:ascii="Arial" w:eastAsia="Times New Roman" w:hAnsi="Arial" w:cs="Arial"/>
          <w:sz w:val="24"/>
          <w:szCs w:val="24"/>
        </w:rPr>
        <w:t xml:space="preserve"> primjereno obilježavanje svih važnih datuma i uspješno protokolarno provođenje manifestacija značajnih za rovinjsku lokalnu zajednicu, kao i obilježavanja državnih praznika i blagdana.</w:t>
      </w:r>
    </w:p>
    <w:p w14:paraId="6577E892" w14:textId="77777777" w:rsidR="00E541EE" w:rsidRPr="00190B33" w:rsidRDefault="00E541EE" w:rsidP="00E541EE">
      <w:pPr>
        <w:jc w:val="both"/>
        <w:rPr>
          <w:rFonts w:ascii="Arial" w:eastAsia="Times New Roman" w:hAnsi="Arial" w:cs="Arial"/>
          <w:color w:val="FF0000"/>
          <w:sz w:val="24"/>
          <w:szCs w:val="24"/>
        </w:rPr>
      </w:pPr>
    </w:p>
    <w:p w14:paraId="4422268B" w14:textId="77777777" w:rsidR="00E541EE" w:rsidRPr="00190B33"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sz w:val="24"/>
          <w:szCs w:val="24"/>
        </w:rPr>
      </w:pPr>
      <w:r w:rsidRPr="00190B33">
        <w:rPr>
          <w:rFonts w:ascii="Arial" w:eastAsia="Times New Roman" w:hAnsi="Arial" w:cs="Arial"/>
          <w:b/>
          <w:sz w:val="24"/>
          <w:szCs w:val="24"/>
        </w:rPr>
        <w:t>A 100204: Proračunska zaliha = 26.545,00 EUR</w:t>
      </w:r>
    </w:p>
    <w:p w14:paraId="6D2D85D9" w14:textId="77777777" w:rsidR="00E541EE" w:rsidRPr="00190B33" w:rsidRDefault="00E541EE" w:rsidP="00E541EE">
      <w:pPr>
        <w:jc w:val="both"/>
        <w:rPr>
          <w:rFonts w:ascii="Arial" w:eastAsia="Times New Roman" w:hAnsi="Arial" w:cs="Arial"/>
          <w:sz w:val="24"/>
          <w:szCs w:val="24"/>
        </w:rPr>
      </w:pPr>
      <w:r w:rsidRPr="00190B33">
        <w:rPr>
          <w:rFonts w:ascii="Arial" w:eastAsia="Times New Roman" w:hAnsi="Arial" w:cs="Arial"/>
          <w:b/>
          <w:sz w:val="24"/>
          <w:szCs w:val="24"/>
        </w:rPr>
        <w:t>Zakonska osnova:</w:t>
      </w:r>
      <w:r w:rsidRPr="00190B33">
        <w:rPr>
          <w:rFonts w:ascii="Arial" w:eastAsia="Times New Roman" w:hAnsi="Arial" w:cs="Arial"/>
          <w:sz w:val="24"/>
          <w:szCs w:val="24"/>
        </w:rPr>
        <w:t xml:space="preserve"> Zakon o proračunu.</w:t>
      </w:r>
    </w:p>
    <w:p w14:paraId="0674D07E" w14:textId="77777777" w:rsidR="00E541EE" w:rsidRPr="00190B33" w:rsidRDefault="00E541EE" w:rsidP="00E541EE">
      <w:pPr>
        <w:jc w:val="both"/>
        <w:rPr>
          <w:rFonts w:ascii="Arial" w:eastAsia="Times New Roman" w:hAnsi="Arial" w:cs="Arial"/>
          <w:sz w:val="24"/>
          <w:szCs w:val="24"/>
        </w:rPr>
      </w:pPr>
      <w:r w:rsidRPr="00190B33">
        <w:rPr>
          <w:rFonts w:ascii="Arial" w:eastAsia="Times New Roman" w:hAnsi="Arial" w:cs="Arial"/>
          <w:b/>
          <w:sz w:val="24"/>
          <w:szCs w:val="24"/>
        </w:rPr>
        <w:t>Opis:</w:t>
      </w:r>
      <w:r w:rsidRPr="00190B33">
        <w:rPr>
          <w:rFonts w:ascii="Arial" w:eastAsia="Times New Roman" w:hAnsi="Arial" w:cs="Arial"/>
          <w:sz w:val="24"/>
          <w:szCs w:val="24"/>
        </w:rPr>
        <w:t xml:space="preserve"> Zakonom o proračunu utvrđena je obaveza osiguranja sredstava za nepredviđene namjene.</w:t>
      </w:r>
    </w:p>
    <w:p w14:paraId="4A6F3296" w14:textId="77777777" w:rsidR="00E541EE" w:rsidRPr="00190B33" w:rsidRDefault="00E541EE" w:rsidP="00E541EE">
      <w:pPr>
        <w:jc w:val="both"/>
        <w:rPr>
          <w:rFonts w:ascii="Arial" w:eastAsia="Times New Roman" w:hAnsi="Arial" w:cs="Arial"/>
          <w:sz w:val="24"/>
          <w:szCs w:val="24"/>
        </w:rPr>
      </w:pPr>
      <w:r w:rsidRPr="00190B33">
        <w:rPr>
          <w:rFonts w:ascii="Arial" w:eastAsia="Times New Roman" w:hAnsi="Arial" w:cs="Arial"/>
          <w:b/>
          <w:sz w:val="24"/>
          <w:szCs w:val="24"/>
        </w:rPr>
        <w:t xml:space="preserve">Opći cilj: </w:t>
      </w:r>
      <w:r w:rsidRPr="00190B33">
        <w:rPr>
          <w:rFonts w:ascii="Arial" w:eastAsia="Times New Roman" w:hAnsi="Arial" w:cs="Arial"/>
          <w:sz w:val="24"/>
          <w:szCs w:val="24"/>
        </w:rPr>
        <w:t>zadovoljavanje zakonske obaveze.</w:t>
      </w:r>
    </w:p>
    <w:p w14:paraId="26F482E7" w14:textId="77777777" w:rsidR="00E541EE" w:rsidRPr="00190B33" w:rsidRDefault="00E541EE" w:rsidP="00E541EE">
      <w:pPr>
        <w:jc w:val="both"/>
        <w:rPr>
          <w:rFonts w:ascii="Arial" w:eastAsia="Times New Roman" w:hAnsi="Arial" w:cs="Arial"/>
          <w:sz w:val="24"/>
          <w:szCs w:val="24"/>
        </w:rPr>
      </w:pPr>
      <w:r w:rsidRPr="00190B33">
        <w:rPr>
          <w:rFonts w:ascii="Arial" w:eastAsia="Times New Roman" w:hAnsi="Arial" w:cs="Arial"/>
          <w:b/>
          <w:sz w:val="24"/>
          <w:szCs w:val="24"/>
        </w:rPr>
        <w:t>Pokazatelj uspješnosti:</w:t>
      </w:r>
      <w:r w:rsidRPr="00190B33">
        <w:rPr>
          <w:rFonts w:ascii="Arial" w:eastAsia="Times New Roman" w:hAnsi="Arial" w:cs="Arial"/>
          <w:sz w:val="24"/>
          <w:szCs w:val="24"/>
        </w:rPr>
        <w:t xml:space="preserve"> pravovremeno osiguranje sredstava u svrhu zadovoljavanja posebnih potreba u slučaju otklanjanja posljedica elementarnih nepogoda, epidemija, ekoloških nesreća i slično.</w:t>
      </w:r>
    </w:p>
    <w:p w14:paraId="0D4EACAA" w14:textId="77777777" w:rsidR="00E541EE" w:rsidRPr="00190B33" w:rsidRDefault="00E541EE" w:rsidP="00E541EE">
      <w:pPr>
        <w:jc w:val="both"/>
        <w:rPr>
          <w:rFonts w:ascii="Arial" w:eastAsia="Times New Roman" w:hAnsi="Arial" w:cs="Arial"/>
          <w:sz w:val="24"/>
          <w:szCs w:val="24"/>
        </w:rPr>
      </w:pPr>
    </w:p>
    <w:p w14:paraId="1E42B9F2" w14:textId="77777777" w:rsidR="00E541EE" w:rsidRPr="00190B33"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sz w:val="24"/>
          <w:szCs w:val="24"/>
        </w:rPr>
      </w:pPr>
      <w:r w:rsidRPr="00190B33">
        <w:rPr>
          <w:rFonts w:ascii="Arial" w:eastAsia="Times New Roman" w:hAnsi="Arial" w:cs="Arial"/>
          <w:b/>
          <w:sz w:val="24"/>
          <w:szCs w:val="24"/>
        </w:rPr>
        <w:t>A 100205: Jamstvena pričuva = 13.273,00 EUR</w:t>
      </w:r>
    </w:p>
    <w:p w14:paraId="00E437A2" w14:textId="77777777" w:rsidR="00E541EE" w:rsidRPr="00190B33" w:rsidRDefault="00E541EE" w:rsidP="00E541EE">
      <w:pPr>
        <w:jc w:val="both"/>
        <w:rPr>
          <w:rFonts w:ascii="Arial" w:hAnsi="Arial" w:cs="Arial"/>
          <w:sz w:val="24"/>
          <w:szCs w:val="24"/>
        </w:rPr>
      </w:pPr>
      <w:r w:rsidRPr="00190B33">
        <w:rPr>
          <w:rFonts w:ascii="Arial" w:hAnsi="Arial" w:cs="Arial"/>
          <w:b/>
          <w:bCs/>
          <w:sz w:val="24"/>
          <w:szCs w:val="24"/>
        </w:rPr>
        <w:t>Zakonska osnova:</w:t>
      </w:r>
      <w:r w:rsidRPr="00190B33">
        <w:rPr>
          <w:rFonts w:ascii="Arial" w:hAnsi="Arial" w:cs="Arial"/>
          <w:sz w:val="24"/>
          <w:szCs w:val="24"/>
        </w:rPr>
        <w:t xml:space="preserve"> Zakon o proračunu.</w:t>
      </w:r>
    </w:p>
    <w:p w14:paraId="4E36F69A" w14:textId="77777777" w:rsidR="00E541EE" w:rsidRPr="00190B33" w:rsidRDefault="00E541EE" w:rsidP="00E541EE">
      <w:pPr>
        <w:jc w:val="both"/>
        <w:rPr>
          <w:rFonts w:ascii="Arial" w:hAnsi="Arial" w:cs="Arial"/>
          <w:sz w:val="24"/>
          <w:szCs w:val="24"/>
        </w:rPr>
      </w:pPr>
      <w:r w:rsidRPr="00190B33">
        <w:rPr>
          <w:rFonts w:ascii="Arial" w:hAnsi="Arial" w:cs="Arial"/>
          <w:b/>
          <w:bCs/>
          <w:sz w:val="24"/>
          <w:szCs w:val="24"/>
        </w:rPr>
        <w:t>Opis:</w:t>
      </w:r>
      <w:r w:rsidRPr="00190B33">
        <w:rPr>
          <w:rFonts w:ascii="Arial" w:hAnsi="Arial" w:cs="Arial"/>
          <w:sz w:val="24"/>
          <w:szCs w:val="24"/>
        </w:rPr>
        <w:t xml:space="preserve"> navedena aktivnost u Proračunu odnosi se na jamstvenu pričuvu u slučaju protestiranja jamstva, a u svezi izdane suglasnosti prema trgovačkom društvu Valbruna Sport d.o.o. Rovinj-Rovigno.</w:t>
      </w:r>
    </w:p>
    <w:p w14:paraId="2D9F46FE" w14:textId="77777777" w:rsidR="00E541EE" w:rsidRPr="00190B33" w:rsidRDefault="00E541EE" w:rsidP="00E541EE">
      <w:pPr>
        <w:jc w:val="both"/>
        <w:rPr>
          <w:rFonts w:ascii="Arial" w:hAnsi="Arial" w:cs="Arial"/>
          <w:sz w:val="24"/>
          <w:szCs w:val="24"/>
        </w:rPr>
      </w:pPr>
      <w:r w:rsidRPr="00190B33">
        <w:rPr>
          <w:rFonts w:ascii="Arial" w:hAnsi="Arial" w:cs="Arial"/>
          <w:b/>
          <w:sz w:val="24"/>
          <w:szCs w:val="24"/>
        </w:rPr>
        <w:t>Opći cilj</w:t>
      </w:r>
      <w:r w:rsidRPr="00190B33">
        <w:rPr>
          <w:rFonts w:ascii="Arial" w:hAnsi="Arial" w:cs="Arial"/>
          <w:sz w:val="24"/>
          <w:szCs w:val="24"/>
        </w:rPr>
        <w:t>: zadovoljavanje zakonske obaveze.</w:t>
      </w:r>
    </w:p>
    <w:p w14:paraId="5273436E" w14:textId="77777777" w:rsidR="00E541EE" w:rsidRPr="00190B33" w:rsidRDefault="00E541EE" w:rsidP="00E541EE">
      <w:pPr>
        <w:jc w:val="both"/>
        <w:rPr>
          <w:rFonts w:ascii="Arial" w:hAnsi="Arial" w:cs="Arial"/>
          <w:sz w:val="24"/>
          <w:szCs w:val="24"/>
        </w:rPr>
      </w:pPr>
      <w:r w:rsidRPr="00190B33">
        <w:rPr>
          <w:rFonts w:ascii="Arial" w:hAnsi="Arial" w:cs="Arial"/>
          <w:b/>
          <w:bCs/>
          <w:sz w:val="24"/>
          <w:szCs w:val="24"/>
        </w:rPr>
        <w:t>Pokazatelj uspješnosti:</w:t>
      </w:r>
      <w:r w:rsidRPr="00190B33">
        <w:rPr>
          <w:rFonts w:ascii="Arial" w:hAnsi="Arial" w:cs="Arial"/>
          <w:sz w:val="24"/>
          <w:szCs w:val="24"/>
        </w:rPr>
        <w:t xml:space="preserve"> osiguranje sredstava u slučaju protestiranja jamstva.</w:t>
      </w:r>
    </w:p>
    <w:p w14:paraId="2AEEC5E7" w14:textId="77777777" w:rsidR="00E541EE" w:rsidRPr="00190B33" w:rsidRDefault="00E541EE" w:rsidP="00E541EE">
      <w:pPr>
        <w:jc w:val="both"/>
        <w:rPr>
          <w:rFonts w:ascii="Arial" w:eastAsia="Times New Roman" w:hAnsi="Arial" w:cs="Arial"/>
          <w:b/>
          <w:sz w:val="24"/>
          <w:szCs w:val="24"/>
        </w:rPr>
      </w:pPr>
    </w:p>
    <w:p w14:paraId="252AFAD3" w14:textId="77777777" w:rsidR="00E541EE" w:rsidRPr="00190B33"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sz w:val="24"/>
          <w:szCs w:val="24"/>
        </w:rPr>
      </w:pPr>
      <w:r w:rsidRPr="00190B33">
        <w:rPr>
          <w:rFonts w:ascii="Arial" w:eastAsia="Times New Roman" w:hAnsi="Arial" w:cs="Arial"/>
          <w:b/>
          <w:sz w:val="24"/>
          <w:szCs w:val="24"/>
        </w:rPr>
        <w:t>T 100201: Program očuvanja rovinjske kulturno-povijesne baštine-dvojezičnost u zajednici = 45.000,00 EUR</w:t>
      </w:r>
    </w:p>
    <w:p w14:paraId="7CE52433" w14:textId="77777777" w:rsidR="00E541EE" w:rsidRPr="00190B33" w:rsidRDefault="00E541EE" w:rsidP="00E541EE">
      <w:pPr>
        <w:jc w:val="both"/>
        <w:rPr>
          <w:rFonts w:ascii="Arial" w:eastAsia="Times New Roman" w:hAnsi="Arial" w:cs="Arial"/>
          <w:sz w:val="24"/>
          <w:szCs w:val="24"/>
        </w:rPr>
      </w:pPr>
      <w:r w:rsidRPr="00190B33">
        <w:rPr>
          <w:rFonts w:ascii="Arial" w:eastAsia="Times New Roman" w:hAnsi="Arial" w:cs="Arial"/>
          <w:b/>
          <w:sz w:val="24"/>
          <w:szCs w:val="24"/>
        </w:rPr>
        <w:t>Zakonska osnova:</w:t>
      </w:r>
      <w:r w:rsidRPr="00190B33">
        <w:rPr>
          <w:rFonts w:ascii="Arial" w:eastAsia="Times New Roman" w:hAnsi="Arial" w:cs="Arial"/>
          <w:sz w:val="24"/>
          <w:szCs w:val="24"/>
        </w:rPr>
        <w:t xml:space="preserve"> Zakon o lokalnoj i područnoj (regionalnoj) samoupravi, Zakon o zaštiti i očuvanju kulturne baštine, Statut Grada Rovinja-Rovigno. </w:t>
      </w:r>
    </w:p>
    <w:p w14:paraId="7DAAB787" w14:textId="77777777" w:rsidR="00E541EE" w:rsidRPr="00190B33" w:rsidRDefault="00E541EE" w:rsidP="00E541EE">
      <w:pPr>
        <w:jc w:val="both"/>
        <w:rPr>
          <w:rFonts w:ascii="Arial" w:eastAsia="Times New Roman" w:hAnsi="Arial" w:cs="Arial"/>
          <w:sz w:val="24"/>
          <w:szCs w:val="24"/>
        </w:rPr>
      </w:pPr>
      <w:r w:rsidRPr="00190B33">
        <w:rPr>
          <w:rFonts w:ascii="Arial" w:eastAsia="Times New Roman" w:hAnsi="Arial" w:cs="Arial"/>
          <w:b/>
          <w:sz w:val="24"/>
          <w:szCs w:val="24"/>
        </w:rPr>
        <w:t xml:space="preserve">Opis: </w:t>
      </w:r>
      <w:r w:rsidRPr="00190B33">
        <w:rPr>
          <w:rFonts w:ascii="Arial" w:eastAsia="Times New Roman" w:hAnsi="Arial" w:cs="Arial"/>
          <w:sz w:val="24"/>
          <w:szCs w:val="24"/>
        </w:rPr>
        <w:t xml:space="preserve">u 2026. godini planiran je tisak  „Priručnika rovinjskog dijalekta“ autorice prof. Marie Sciolis, tisak knjige Bernarda Benussija „Dokumentirana povijest Rovinja“ na hrvatskom i sufinanciranje tiska iste na talijanskom jeziku te provesti druge aktivnosti očuvanja memorije o rovinjskoj kulturno-povijesnoj baštini.  </w:t>
      </w:r>
    </w:p>
    <w:p w14:paraId="194FB1C1" w14:textId="77777777" w:rsidR="00E541EE" w:rsidRPr="00190B33" w:rsidRDefault="00E541EE" w:rsidP="00E541EE">
      <w:pPr>
        <w:jc w:val="both"/>
        <w:rPr>
          <w:rFonts w:ascii="Arial" w:eastAsia="Times New Roman" w:hAnsi="Arial" w:cs="Arial"/>
          <w:sz w:val="24"/>
          <w:szCs w:val="24"/>
        </w:rPr>
      </w:pPr>
      <w:r w:rsidRPr="00190B33">
        <w:rPr>
          <w:rFonts w:ascii="Arial" w:eastAsia="Times New Roman" w:hAnsi="Arial" w:cs="Arial"/>
          <w:b/>
          <w:sz w:val="24"/>
          <w:szCs w:val="24"/>
        </w:rPr>
        <w:t xml:space="preserve">Opći cilj: </w:t>
      </w:r>
      <w:r w:rsidRPr="00190B33">
        <w:rPr>
          <w:rFonts w:ascii="Arial" w:eastAsia="Times New Roman" w:hAnsi="Arial" w:cs="Arial"/>
          <w:sz w:val="24"/>
          <w:szCs w:val="24"/>
        </w:rPr>
        <w:t>očuvanje memorije i znanja o rovinjskoj kulturno-povijesnoj baštini.</w:t>
      </w:r>
    </w:p>
    <w:p w14:paraId="2162E865" w14:textId="77777777" w:rsidR="00E541EE" w:rsidRPr="00190B33" w:rsidRDefault="00E541EE" w:rsidP="00E541EE">
      <w:pPr>
        <w:jc w:val="both"/>
        <w:rPr>
          <w:rFonts w:ascii="Arial" w:eastAsia="Times New Roman" w:hAnsi="Arial" w:cs="Arial"/>
          <w:sz w:val="24"/>
          <w:szCs w:val="24"/>
        </w:rPr>
      </w:pPr>
      <w:r w:rsidRPr="00190B33">
        <w:rPr>
          <w:rFonts w:ascii="Arial" w:eastAsia="Times New Roman" w:hAnsi="Arial" w:cs="Arial"/>
          <w:b/>
          <w:sz w:val="24"/>
          <w:szCs w:val="24"/>
        </w:rPr>
        <w:t>Pokazatelj uspješnosti:</w:t>
      </w:r>
      <w:r w:rsidRPr="00190B33">
        <w:rPr>
          <w:rFonts w:ascii="Arial" w:eastAsia="Times New Roman" w:hAnsi="Arial" w:cs="Arial"/>
          <w:sz w:val="24"/>
          <w:szCs w:val="24"/>
        </w:rPr>
        <w:t xml:space="preserve"> tiskan „Priručnik rovinjskog dijalekta“ i knjiga „Dokumentirana povijest Rovinja“.</w:t>
      </w:r>
    </w:p>
    <w:p w14:paraId="6A7A35C4" w14:textId="77777777" w:rsidR="00E541EE" w:rsidRPr="00190B33" w:rsidRDefault="00E541EE" w:rsidP="00E541EE">
      <w:pPr>
        <w:jc w:val="both"/>
        <w:rPr>
          <w:rFonts w:ascii="Arial" w:eastAsia="Times New Roman" w:hAnsi="Arial" w:cs="Arial"/>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066"/>
        <w:gridCol w:w="914"/>
        <w:gridCol w:w="1142"/>
        <w:gridCol w:w="1217"/>
        <w:gridCol w:w="989"/>
        <w:gridCol w:w="1064"/>
        <w:gridCol w:w="1064"/>
        <w:gridCol w:w="761"/>
        <w:gridCol w:w="608"/>
        <w:gridCol w:w="608"/>
        <w:gridCol w:w="763"/>
      </w:tblGrid>
      <w:tr w:rsidR="00E541EE" w14:paraId="7F9DC2BB" w14:textId="77777777" w:rsidTr="00A84BB5">
        <w:trPr>
          <w:trHeight w:val="638"/>
        </w:trPr>
        <w:tc>
          <w:tcPr>
            <w:tcW w:w="523" w:type="pct"/>
            <w:vMerge w:val="restart"/>
            <w:tcBorders>
              <w:top w:val="single" w:sz="4" w:space="0" w:color="auto"/>
            </w:tcBorders>
            <w:vAlign w:val="center"/>
          </w:tcPr>
          <w:p w14:paraId="6D6DA08E" w14:textId="77777777" w:rsidR="00E541EE" w:rsidRPr="00E11721" w:rsidRDefault="00E541EE" w:rsidP="00A84BB5">
            <w:pPr>
              <w:pStyle w:val="TableParagraph"/>
              <w:spacing w:before="49"/>
              <w:ind w:left="44" w:right="35"/>
              <w:jc w:val="center"/>
              <w:rPr>
                <w:b/>
                <w:sz w:val="15"/>
                <w:szCs w:val="15"/>
              </w:rPr>
            </w:pPr>
            <w:r w:rsidRPr="00E11721">
              <w:rPr>
                <w:b/>
                <w:sz w:val="15"/>
                <w:szCs w:val="15"/>
              </w:rPr>
              <w:t>Doprinos</w:t>
            </w:r>
            <w:r w:rsidRPr="00E11721">
              <w:rPr>
                <w:b/>
                <w:spacing w:val="-34"/>
                <w:sz w:val="15"/>
                <w:szCs w:val="15"/>
              </w:rPr>
              <w:t xml:space="preserve"> </w:t>
            </w:r>
            <w:r w:rsidRPr="00E11721">
              <w:rPr>
                <w:b/>
                <w:sz w:val="15"/>
                <w:szCs w:val="15"/>
              </w:rPr>
              <w:t>provedbi</w:t>
            </w:r>
          </w:p>
          <w:p w14:paraId="21B54732" w14:textId="77777777" w:rsidR="00E541EE" w:rsidRPr="00E11721" w:rsidRDefault="00E541EE" w:rsidP="00A84BB5">
            <w:pPr>
              <w:pStyle w:val="TableParagraph"/>
              <w:spacing w:line="194" w:lineRule="exact"/>
              <w:ind w:left="44" w:right="35"/>
              <w:jc w:val="center"/>
              <w:rPr>
                <w:b/>
                <w:sz w:val="15"/>
                <w:szCs w:val="15"/>
              </w:rPr>
            </w:pPr>
            <w:r w:rsidRPr="00E11721">
              <w:rPr>
                <w:b/>
                <w:sz w:val="15"/>
                <w:szCs w:val="15"/>
              </w:rPr>
              <w:t>nadređenog</w:t>
            </w:r>
          </w:p>
          <w:p w14:paraId="42791A50" w14:textId="77777777" w:rsidR="00E541EE" w:rsidRPr="00E11721" w:rsidRDefault="00E541EE" w:rsidP="00A84BB5">
            <w:pPr>
              <w:pStyle w:val="TableParagraph"/>
              <w:spacing w:before="49"/>
              <w:ind w:left="44" w:right="35"/>
              <w:jc w:val="center"/>
              <w:rPr>
                <w:b/>
                <w:sz w:val="15"/>
                <w:szCs w:val="15"/>
              </w:rPr>
            </w:pPr>
            <w:r w:rsidRPr="00E11721">
              <w:rPr>
                <w:b/>
                <w:sz w:val="15"/>
                <w:szCs w:val="15"/>
              </w:rPr>
              <w:t>akta</w:t>
            </w:r>
            <w:r w:rsidRPr="00E11721">
              <w:rPr>
                <w:b/>
                <w:spacing w:val="1"/>
                <w:sz w:val="15"/>
                <w:szCs w:val="15"/>
              </w:rPr>
              <w:t xml:space="preserve"> </w:t>
            </w:r>
            <w:r w:rsidRPr="00E11721">
              <w:rPr>
                <w:b/>
                <w:sz w:val="15"/>
                <w:szCs w:val="15"/>
              </w:rPr>
              <w:t>strateškog</w:t>
            </w:r>
            <w:r w:rsidRPr="00E11721">
              <w:rPr>
                <w:b/>
                <w:spacing w:val="-34"/>
                <w:sz w:val="15"/>
                <w:szCs w:val="15"/>
              </w:rPr>
              <w:t xml:space="preserve"> </w:t>
            </w:r>
            <w:r w:rsidRPr="00E11721">
              <w:rPr>
                <w:b/>
                <w:sz w:val="15"/>
                <w:szCs w:val="15"/>
              </w:rPr>
              <w:t>planiranja</w:t>
            </w:r>
          </w:p>
        </w:tc>
        <w:tc>
          <w:tcPr>
            <w:tcW w:w="448" w:type="pct"/>
            <w:vMerge w:val="restart"/>
            <w:vAlign w:val="center"/>
          </w:tcPr>
          <w:p w14:paraId="3AF33E0A" w14:textId="77777777" w:rsidR="00E541EE" w:rsidRPr="00E11721" w:rsidRDefault="00E541EE" w:rsidP="00A84BB5">
            <w:pPr>
              <w:pStyle w:val="TableParagraph"/>
              <w:spacing w:line="195" w:lineRule="exact"/>
              <w:ind w:left="44" w:right="35"/>
              <w:jc w:val="center"/>
              <w:rPr>
                <w:b/>
                <w:sz w:val="15"/>
                <w:szCs w:val="15"/>
              </w:rPr>
            </w:pPr>
            <w:r w:rsidRPr="00E11721">
              <w:rPr>
                <w:b/>
                <w:sz w:val="15"/>
                <w:szCs w:val="15"/>
              </w:rPr>
              <w:t>Naziv</w:t>
            </w:r>
            <w:r w:rsidRPr="00E11721">
              <w:rPr>
                <w:b/>
                <w:spacing w:val="-3"/>
                <w:sz w:val="15"/>
                <w:szCs w:val="15"/>
              </w:rPr>
              <w:t xml:space="preserve"> </w:t>
            </w:r>
            <w:r w:rsidRPr="00E11721">
              <w:rPr>
                <w:b/>
                <w:sz w:val="15"/>
                <w:szCs w:val="15"/>
              </w:rPr>
              <w:t>cilja nadređenog</w:t>
            </w:r>
            <w:r w:rsidRPr="00E11721">
              <w:rPr>
                <w:b/>
                <w:spacing w:val="1"/>
                <w:sz w:val="15"/>
                <w:szCs w:val="15"/>
              </w:rPr>
              <w:t xml:space="preserve"> </w:t>
            </w:r>
            <w:r w:rsidRPr="00E11721">
              <w:rPr>
                <w:b/>
                <w:spacing w:val="-1"/>
                <w:sz w:val="15"/>
                <w:szCs w:val="15"/>
              </w:rPr>
              <w:t>akta</w:t>
            </w:r>
            <w:r w:rsidRPr="00E11721">
              <w:rPr>
                <w:b/>
                <w:spacing w:val="-2"/>
                <w:sz w:val="15"/>
                <w:szCs w:val="15"/>
              </w:rPr>
              <w:t xml:space="preserve"> </w:t>
            </w:r>
            <w:r w:rsidRPr="00E11721">
              <w:rPr>
                <w:b/>
                <w:spacing w:val="-1"/>
                <w:sz w:val="15"/>
                <w:szCs w:val="15"/>
              </w:rPr>
              <w:t xml:space="preserve">strateškog </w:t>
            </w:r>
            <w:r w:rsidRPr="00E11721">
              <w:rPr>
                <w:b/>
                <w:sz w:val="15"/>
                <w:szCs w:val="15"/>
              </w:rPr>
              <w:t>planiranja</w:t>
            </w:r>
          </w:p>
        </w:tc>
        <w:tc>
          <w:tcPr>
            <w:tcW w:w="560" w:type="pct"/>
            <w:vMerge w:val="restart"/>
            <w:vAlign w:val="center"/>
          </w:tcPr>
          <w:p w14:paraId="209FCA58" w14:textId="77777777" w:rsidR="00E541EE" w:rsidRPr="00E11721" w:rsidRDefault="00E541EE" w:rsidP="00A84BB5">
            <w:pPr>
              <w:pStyle w:val="TableParagraph"/>
              <w:ind w:left="125" w:right="114"/>
              <w:jc w:val="center"/>
              <w:rPr>
                <w:b/>
                <w:sz w:val="15"/>
                <w:szCs w:val="15"/>
              </w:rPr>
            </w:pPr>
            <w:r w:rsidRPr="00E11721">
              <w:rPr>
                <w:b/>
                <w:spacing w:val="-1"/>
                <w:sz w:val="15"/>
                <w:szCs w:val="15"/>
              </w:rPr>
              <w:t xml:space="preserve">Program </w:t>
            </w:r>
            <w:r w:rsidRPr="00E11721">
              <w:rPr>
                <w:b/>
                <w:sz w:val="15"/>
                <w:szCs w:val="15"/>
              </w:rPr>
              <w:t>u</w:t>
            </w:r>
            <w:r w:rsidRPr="00E11721">
              <w:rPr>
                <w:b/>
                <w:spacing w:val="-34"/>
                <w:sz w:val="15"/>
                <w:szCs w:val="15"/>
              </w:rPr>
              <w:t xml:space="preserve"> </w:t>
            </w:r>
            <w:r w:rsidRPr="00E11721">
              <w:rPr>
                <w:b/>
                <w:sz w:val="15"/>
                <w:szCs w:val="15"/>
              </w:rPr>
              <w:t xml:space="preserve">proračunu </w:t>
            </w:r>
            <w:r w:rsidRPr="00E11721">
              <w:rPr>
                <w:b/>
                <w:spacing w:val="-34"/>
                <w:sz w:val="15"/>
                <w:szCs w:val="15"/>
              </w:rPr>
              <w:t xml:space="preserve"> </w:t>
            </w:r>
            <w:r w:rsidRPr="00E11721">
              <w:rPr>
                <w:b/>
                <w:sz w:val="15"/>
                <w:szCs w:val="15"/>
              </w:rPr>
              <w:t>JLS</w:t>
            </w:r>
          </w:p>
        </w:tc>
        <w:tc>
          <w:tcPr>
            <w:tcW w:w="597" w:type="pct"/>
            <w:vMerge w:val="restart"/>
            <w:vAlign w:val="center"/>
          </w:tcPr>
          <w:p w14:paraId="2D225B1A" w14:textId="77777777" w:rsidR="00E541EE" w:rsidRPr="00E11721" w:rsidRDefault="00E541EE" w:rsidP="00A84BB5">
            <w:pPr>
              <w:pStyle w:val="TableParagraph"/>
              <w:ind w:left="179"/>
              <w:jc w:val="center"/>
              <w:rPr>
                <w:b/>
                <w:sz w:val="15"/>
                <w:szCs w:val="15"/>
              </w:rPr>
            </w:pPr>
            <w:r w:rsidRPr="00E11721">
              <w:rPr>
                <w:b/>
                <w:sz w:val="15"/>
                <w:szCs w:val="15"/>
              </w:rPr>
              <w:t>Naziv</w:t>
            </w:r>
            <w:r w:rsidRPr="00E11721">
              <w:rPr>
                <w:b/>
                <w:spacing w:val="-2"/>
                <w:sz w:val="15"/>
                <w:szCs w:val="15"/>
              </w:rPr>
              <w:t xml:space="preserve"> </w:t>
            </w:r>
            <w:r w:rsidRPr="00E11721">
              <w:rPr>
                <w:b/>
                <w:sz w:val="15"/>
                <w:szCs w:val="15"/>
              </w:rPr>
              <w:t>mjere</w:t>
            </w:r>
          </w:p>
        </w:tc>
        <w:tc>
          <w:tcPr>
            <w:tcW w:w="485" w:type="pct"/>
            <w:vMerge w:val="restart"/>
            <w:vAlign w:val="center"/>
          </w:tcPr>
          <w:p w14:paraId="1A0DB2B7" w14:textId="77777777" w:rsidR="00E541EE" w:rsidRPr="00E11721" w:rsidRDefault="00E541EE" w:rsidP="00A84BB5">
            <w:pPr>
              <w:pStyle w:val="TableParagraph"/>
              <w:ind w:left="70" w:right="60"/>
              <w:jc w:val="center"/>
              <w:rPr>
                <w:b/>
                <w:sz w:val="15"/>
                <w:szCs w:val="15"/>
              </w:rPr>
            </w:pPr>
            <w:r w:rsidRPr="00E11721">
              <w:rPr>
                <w:b/>
                <w:sz w:val="15"/>
                <w:szCs w:val="15"/>
              </w:rPr>
              <w:t>Procijenjeni</w:t>
            </w:r>
            <w:r w:rsidRPr="00E11721">
              <w:rPr>
                <w:b/>
                <w:spacing w:val="-34"/>
                <w:sz w:val="15"/>
                <w:szCs w:val="15"/>
              </w:rPr>
              <w:t xml:space="preserve"> </w:t>
            </w:r>
            <w:r w:rsidRPr="00E11721">
              <w:rPr>
                <w:b/>
                <w:sz w:val="15"/>
                <w:szCs w:val="15"/>
              </w:rPr>
              <w:t>trošak</w:t>
            </w:r>
            <w:r w:rsidRPr="00E11721">
              <w:rPr>
                <w:b/>
                <w:spacing w:val="1"/>
                <w:sz w:val="15"/>
                <w:szCs w:val="15"/>
              </w:rPr>
              <w:t xml:space="preserve"> </w:t>
            </w:r>
            <w:r w:rsidRPr="00E11721">
              <w:rPr>
                <w:b/>
                <w:sz w:val="15"/>
                <w:szCs w:val="15"/>
              </w:rPr>
              <w:t>provedbe</w:t>
            </w:r>
            <w:r w:rsidRPr="00E11721">
              <w:rPr>
                <w:b/>
                <w:spacing w:val="1"/>
                <w:sz w:val="15"/>
                <w:szCs w:val="15"/>
              </w:rPr>
              <w:t xml:space="preserve"> </w:t>
            </w:r>
            <w:r w:rsidRPr="00E11721">
              <w:rPr>
                <w:b/>
                <w:sz w:val="15"/>
                <w:szCs w:val="15"/>
              </w:rPr>
              <w:t>mjere 2026.</w:t>
            </w:r>
          </w:p>
          <w:p w14:paraId="1A8DC7C9" w14:textId="77777777" w:rsidR="00E541EE" w:rsidRPr="00E11721" w:rsidRDefault="00E541EE" w:rsidP="00A84BB5">
            <w:pPr>
              <w:pStyle w:val="TableParagraph"/>
              <w:spacing w:before="2"/>
              <w:ind w:left="70" w:right="58"/>
              <w:jc w:val="center"/>
              <w:rPr>
                <w:b/>
                <w:sz w:val="15"/>
                <w:szCs w:val="15"/>
              </w:rPr>
            </w:pPr>
            <w:r w:rsidRPr="00E11721">
              <w:rPr>
                <w:b/>
                <w:sz w:val="15"/>
                <w:szCs w:val="15"/>
              </w:rPr>
              <w:t>(u EUR)</w:t>
            </w:r>
          </w:p>
        </w:tc>
        <w:tc>
          <w:tcPr>
            <w:tcW w:w="522" w:type="pct"/>
            <w:vMerge w:val="restart"/>
            <w:vAlign w:val="center"/>
          </w:tcPr>
          <w:p w14:paraId="4C36316D" w14:textId="77777777" w:rsidR="00E541EE" w:rsidRPr="00E11721" w:rsidRDefault="00E541EE" w:rsidP="00A84BB5">
            <w:pPr>
              <w:pStyle w:val="TableParagraph"/>
              <w:jc w:val="center"/>
              <w:rPr>
                <w:b/>
                <w:sz w:val="15"/>
                <w:szCs w:val="15"/>
              </w:rPr>
            </w:pPr>
            <w:r w:rsidRPr="00E11721">
              <w:rPr>
                <w:b/>
                <w:sz w:val="15"/>
                <w:szCs w:val="15"/>
              </w:rPr>
              <w:t>Ključne</w:t>
            </w:r>
          </w:p>
          <w:p w14:paraId="56130068" w14:textId="77777777" w:rsidR="00E541EE" w:rsidRPr="00E11721" w:rsidRDefault="00E541EE" w:rsidP="00A84BB5">
            <w:pPr>
              <w:pStyle w:val="TableParagraph"/>
              <w:spacing w:before="1"/>
              <w:jc w:val="center"/>
              <w:rPr>
                <w:b/>
                <w:sz w:val="15"/>
                <w:szCs w:val="15"/>
              </w:rPr>
            </w:pPr>
            <w:r w:rsidRPr="00E11721">
              <w:rPr>
                <w:b/>
                <w:sz w:val="15"/>
                <w:szCs w:val="15"/>
              </w:rPr>
              <w:t>aktivnosti</w:t>
            </w:r>
          </w:p>
        </w:tc>
        <w:tc>
          <w:tcPr>
            <w:tcW w:w="522" w:type="pct"/>
            <w:vMerge w:val="restart"/>
            <w:vAlign w:val="center"/>
          </w:tcPr>
          <w:p w14:paraId="32037F82" w14:textId="77777777" w:rsidR="00E541EE" w:rsidRPr="00E11721" w:rsidRDefault="00E541EE" w:rsidP="00A84BB5">
            <w:pPr>
              <w:pStyle w:val="TableParagraph"/>
              <w:ind w:left="174" w:right="97" w:hanging="44"/>
              <w:jc w:val="center"/>
              <w:rPr>
                <w:b/>
                <w:sz w:val="15"/>
                <w:szCs w:val="15"/>
              </w:rPr>
            </w:pPr>
            <w:r w:rsidRPr="00E11721">
              <w:rPr>
                <w:b/>
                <w:sz w:val="15"/>
                <w:szCs w:val="15"/>
              </w:rPr>
              <w:t>Pokazatelj</w:t>
            </w:r>
          </w:p>
          <w:p w14:paraId="4B3F5D04" w14:textId="77777777" w:rsidR="00E541EE" w:rsidRPr="00E11721" w:rsidRDefault="00E541EE" w:rsidP="00A84BB5">
            <w:pPr>
              <w:pStyle w:val="TableParagraph"/>
              <w:ind w:left="174" w:right="97" w:hanging="44"/>
              <w:jc w:val="center"/>
              <w:rPr>
                <w:b/>
                <w:sz w:val="15"/>
                <w:szCs w:val="15"/>
              </w:rPr>
            </w:pPr>
            <w:r w:rsidRPr="00E11721">
              <w:rPr>
                <w:b/>
                <w:sz w:val="15"/>
                <w:szCs w:val="15"/>
              </w:rPr>
              <w:t>rezultata</w:t>
            </w:r>
          </w:p>
        </w:tc>
        <w:tc>
          <w:tcPr>
            <w:tcW w:w="373" w:type="pct"/>
            <w:vMerge w:val="restart"/>
            <w:vAlign w:val="center"/>
          </w:tcPr>
          <w:p w14:paraId="58E04488" w14:textId="77777777" w:rsidR="00E541EE" w:rsidRPr="00E11721" w:rsidRDefault="00E541EE" w:rsidP="00A84BB5">
            <w:pPr>
              <w:pStyle w:val="TableParagraph"/>
              <w:ind w:left="44" w:right="32"/>
              <w:jc w:val="center"/>
              <w:rPr>
                <w:b/>
                <w:sz w:val="15"/>
                <w:szCs w:val="15"/>
              </w:rPr>
            </w:pPr>
            <w:r w:rsidRPr="00E11721">
              <w:rPr>
                <w:b/>
                <w:sz w:val="15"/>
                <w:szCs w:val="15"/>
              </w:rPr>
              <w:t>Početna</w:t>
            </w:r>
            <w:r w:rsidRPr="00E11721">
              <w:rPr>
                <w:b/>
                <w:spacing w:val="1"/>
                <w:sz w:val="15"/>
                <w:szCs w:val="15"/>
              </w:rPr>
              <w:t xml:space="preserve"> </w:t>
            </w:r>
            <w:r w:rsidRPr="00E11721">
              <w:rPr>
                <w:b/>
                <w:sz w:val="15"/>
                <w:szCs w:val="15"/>
              </w:rPr>
              <w:t>vrijednost 2025.</w:t>
            </w:r>
          </w:p>
        </w:tc>
        <w:tc>
          <w:tcPr>
            <w:tcW w:w="970" w:type="pct"/>
            <w:gridSpan w:val="3"/>
            <w:vAlign w:val="center"/>
          </w:tcPr>
          <w:p w14:paraId="2EB20CB2" w14:textId="77777777" w:rsidR="00E541EE" w:rsidRPr="00E11721" w:rsidRDefault="00E541EE" w:rsidP="00A84BB5">
            <w:pPr>
              <w:pStyle w:val="TableParagraph"/>
              <w:ind w:left="70" w:right="56"/>
              <w:jc w:val="center"/>
              <w:rPr>
                <w:b/>
                <w:sz w:val="15"/>
                <w:szCs w:val="15"/>
              </w:rPr>
            </w:pPr>
            <w:r w:rsidRPr="00E11721">
              <w:rPr>
                <w:b/>
                <w:sz w:val="15"/>
                <w:szCs w:val="15"/>
              </w:rPr>
              <w:t>Ciljna</w:t>
            </w:r>
            <w:r w:rsidRPr="00E11721">
              <w:rPr>
                <w:b/>
                <w:spacing w:val="1"/>
                <w:sz w:val="15"/>
                <w:szCs w:val="15"/>
              </w:rPr>
              <w:t xml:space="preserve"> </w:t>
            </w:r>
            <w:r w:rsidRPr="00E11721">
              <w:rPr>
                <w:b/>
                <w:sz w:val="15"/>
                <w:szCs w:val="15"/>
              </w:rPr>
              <w:t>vrijednost</w:t>
            </w:r>
          </w:p>
        </w:tc>
      </w:tr>
      <w:tr w:rsidR="00E541EE" w14:paraId="5BBD1D8A" w14:textId="77777777" w:rsidTr="00A84BB5">
        <w:trPr>
          <w:trHeight w:val="637"/>
        </w:trPr>
        <w:tc>
          <w:tcPr>
            <w:tcW w:w="523" w:type="pct"/>
            <w:vMerge/>
            <w:tcBorders>
              <w:bottom w:val="single" w:sz="4" w:space="0" w:color="auto"/>
            </w:tcBorders>
          </w:tcPr>
          <w:p w14:paraId="6244775E" w14:textId="77777777" w:rsidR="00E541EE" w:rsidRPr="00E11721" w:rsidRDefault="00E541EE" w:rsidP="00A84BB5">
            <w:pPr>
              <w:pStyle w:val="TableParagraph"/>
              <w:spacing w:before="49"/>
              <w:ind w:left="44" w:right="35"/>
              <w:jc w:val="center"/>
              <w:rPr>
                <w:b/>
                <w:sz w:val="15"/>
                <w:szCs w:val="15"/>
              </w:rPr>
            </w:pPr>
          </w:p>
        </w:tc>
        <w:tc>
          <w:tcPr>
            <w:tcW w:w="448" w:type="pct"/>
            <w:vMerge/>
          </w:tcPr>
          <w:p w14:paraId="77A43FAA" w14:textId="77777777" w:rsidR="00E541EE" w:rsidRPr="00E11721" w:rsidRDefault="00E541EE" w:rsidP="00A84BB5">
            <w:pPr>
              <w:pStyle w:val="TableParagraph"/>
              <w:spacing w:line="195" w:lineRule="exact"/>
              <w:ind w:left="44" w:right="35"/>
              <w:jc w:val="center"/>
              <w:rPr>
                <w:b/>
                <w:sz w:val="15"/>
                <w:szCs w:val="15"/>
              </w:rPr>
            </w:pPr>
          </w:p>
        </w:tc>
        <w:tc>
          <w:tcPr>
            <w:tcW w:w="560" w:type="pct"/>
            <w:vMerge/>
            <w:vAlign w:val="center"/>
          </w:tcPr>
          <w:p w14:paraId="732B59E3" w14:textId="77777777" w:rsidR="00E541EE" w:rsidRPr="00E11721" w:rsidRDefault="00E541EE" w:rsidP="00A84BB5">
            <w:pPr>
              <w:pStyle w:val="TableParagraph"/>
              <w:ind w:left="125" w:right="114"/>
              <w:jc w:val="center"/>
              <w:rPr>
                <w:b/>
                <w:spacing w:val="-1"/>
                <w:sz w:val="15"/>
                <w:szCs w:val="15"/>
              </w:rPr>
            </w:pPr>
          </w:p>
        </w:tc>
        <w:tc>
          <w:tcPr>
            <w:tcW w:w="597" w:type="pct"/>
            <w:vMerge/>
            <w:vAlign w:val="center"/>
          </w:tcPr>
          <w:p w14:paraId="6124407D" w14:textId="77777777" w:rsidR="00E541EE" w:rsidRPr="00E11721" w:rsidRDefault="00E541EE" w:rsidP="00A84BB5">
            <w:pPr>
              <w:pStyle w:val="TableParagraph"/>
              <w:ind w:left="179"/>
              <w:jc w:val="center"/>
              <w:rPr>
                <w:b/>
                <w:sz w:val="15"/>
                <w:szCs w:val="15"/>
              </w:rPr>
            </w:pPr>
          </w:p>
        </w:tc>
        <w:tc>
          <w:tcPr>
            <w:tcW w:w="485" w:type="pct"/>
            <w:vMerge/>
            <w:vAlign w:val="center"/>
          </w:tcPr>
          <w:p w14:paraId="46CAF252" w14:textId="77777777" w:rsidR="00E541EE" w:rsidRPr="00E11721" w:rsidRDefault="00E541EE" w:rsidP="00A84BB5">
            <w:pPr>
              <w:pStyle w:val="TableParagraph"/>
              <w:ind w:left="70" w:right="60"/>
              <w:jc w:val="center"/>
              <w:rPr>
                <w:b/>
                <w:sz w:val="15"/>
                <w:szCs w:val="15"/>
              </w:rPr>
            </w:pPr>
          </w:p>
        </w:tc>
        <w:tc>
          <w:tcPr>
            <w:tcW w:w="522" w:type="pct"/>
            <w:vMerge/>
            <w:vAlign w:val="center"/>
          </w:tcPr>
          <w:p w14:paraId="72BF17BE" w14:textId="77777777" w:rsidR="00E541EE" w:rsidRPr="00E11721" w:rsidRDefault="00E541EE" w:rsidP="00A84BB5">
            <w:pPr>
              <w:pStyle w:val="TableParagraph"/>
              <w:ind w:left="311"/>
              <w:jc w:val="center"/>
              <w:rPr>
                <w:b/>
                <w:sz w:val="15"/>
                <w:szCs w:val="15"/>
              </w:rPr>
            </w:pPr>
          </w:p>
        </w:tc>
        <w:tc>
          <w:tcPr>
            <w:tcW w:w="522" w:type="pct"/>
            <w:vMerge/>
            <w:vAlign w:val="center"/>
          </w:tcPr>
          <w:p w14:paraId="27FEB9B4" w14:textId="77777777" w:rsidR="00E541EE" w:rsidRPr="00E11721" w:rsidRDefault="00E541EE" w:rsidP="00A84BB5">
            <w:pPr>
              <w:pStyle w:val="TableParagraph"/>
              <w:ind w:left="174" w:right="97" w:hanging="44"/>
              <w:jc w:val="center"/>
              <w:rPr>
                <w:b/>
                <w:sz w:val="15"/>
                <w:szCs w:val="15"/>
              </w:rPr>
            </w:pPr>
          </w:p>
        </w:tc>
        <w:tc>
          <w:tcPr>
            <w:tcW w:w="373" w:type="pct"/>
            <w:vMerge/>
            <w:vAlign w:val="center"/>
          </w:tcPr>
          <w:p w14:paraId="7226F498" w14:textId="77777777" w:rsidR="00E541EE" w:rsidRPr="00E11721" w:rsidRDefault="00E541EE" w:rsidP="00A84BB5">
            <w:pPr>
              <w:pStyle w:val="TableParagraph"/>
              <w:ind w:left="44" w:right="32"/>
              <w:jc w:val="center"/>
              <w:rPr>
                <w:b/>
                <w:sz w:val="15"/>
                <w:szCs w:val="15"/>
              </w:rPr>
            </w:pPr>
          </w:p>
        </w:tc>
        <w:tc>
          <w:tcPr>
            <w:tcW w:w="298" w:type="pct"/>
            <w:vAlign w:val="center"/>
          </w:tcPr>
          <w:p w14:paraId="5B8272FD" w14:textId="77777777" w:rsidR="00E541EE" w:rsidRPr="00E11721" w:rsidRDefault="00E541EE" w:rsidP="00A84BB5">
            <w:pPr>
              <w:pStyle w:val="TableParagraph"/>
              <w:ind w:left="87" w:right="70"/>
              <w:jc w:val="center"/>
              <w:rPr>
                <w:b/>
                <w:sz w:val="15"/>
                <w:szCs w:val="15"/>
              </w:rPr>
            </w:pPr>
            <w:r w:rsidRPr="00E11721">
              <w:rPr>
                <w:b/>
                <w:sz w:val="15"/>
                <w:szCs w:val="15"/>
              </w:rPr>
              <w:t>za 2026.</w:t>
            </w:r>
          </w:p>
        </w:tc>
        <w:tc>
          <w:tcPr>
            <w:tcW w:w="298" w:type="pct"/>
            <w:vAlign w:val="center"/>
          </w:tcPr>
          <w:p w14:paraId="368232D8" w14:textId="77777777" w:rsidR="00E541EE" w:rsidRPr="00E11721" w:rsidRDefault="00E541EE" w:rsidP="00A84BB5">
            <w:pPr>
              <w:pStyle w:val="TableParagraph"/>
              <w:ind w:left="75" w:right="61"/>
              <w:jc w:val="center"/>
              <w:rPr>
                <w:b/>
                <w:sz w:val="15"/>
                <w:szCs w:val="15"/>
              </w:rPr>
            </w:pPr>
            <w:r w:rsidRPr="00E11721">
              <w:rPr>
                <w:b/>
                <w:sz w:val="15"/>
                <w:szCs w:val="15"/>
              </w:rPr>
              <w:t>za</w:t>
            </w:r>
          </w:p>
          <w:p w14:paraId="3BE567A1" w14:textId="77777777" w:rsidR="00E541EE" w:rsidRPr="00E11721" w:rsidRDefault="00E541EE" w:rsidP="00A84BB5">
            <w:pPr>
              <w:pStyle w:val="TableParagraph"/>
              <w:ind w:left="75" w:right="61"/>
              <w:jc w:val="center"/>
              <w:rPr>
                <w:b/>
                <w:sz w:val="15"/>
                <w:szCs w:val="15"/>
              </w:rPr>
            </w:pPr>
            <w:r w:rsidRPr="00E11721">
              <w:rPr>
                <w:b/>
                <w:sz w:val="15"/>
                <w:szCs w:val="15"/>
              </w:rPr>
              <w:t>2027.</w:t>
            </w:r>
          </w:p>
        </w:tc>
        <w:tc>
          <w:tcPr>
            <w:tcW w:w="373" w:type="pct"/>
            <w:vAlign w:val="center"/>
          </w:tcPr>
          <w:p w14:paraId="6AC55930" w14:textId="77777777" w:rsidR="00E541EE" w:rsidRPr="00E11721" w:rsidRDefault="00E541EE" w:rsidP="00A84BB5">
            <w:pPr>
              <w:pStyle w:val="TableParagraph"/>
              <w:ind w:left="70" w:right="56"/>
              <w:jc w:val="center"/>
              <w:rPr>
                <w:b/>
                <w:sz w:val="15"/>
                <w:szCs w:val="15"/>
              </w:rPr>
            </w:pPr>
            <w:r w:rsidRPr="00E11721">
              <w:rPr>
                <w:b/>
                <w:sz w:val="15"/>
                <w:szCs w:val="15"/>
              </w:rPr>
              <w:t>za</w:t>
            </w:r>
          </w:p>
          <w:p w14:paraId="2FFB6E24" w14:textId="77777777" w:rsidR="00E541EE" w:rsidRPr="00E11721" w:rsidRDefault="00E541EE" w:rsidP="00A84BB5">
            <w:pPr>
              <w:pStyle w:val="TableParagraph"/>
              <w:ind w:left="70" w:right="56"/>
              <w:jc w:val="center"/>
              <w:rPr>
                <w:b/>
                <w:sz w:val="15"/>
                <w:szCs w:val="15"/>
              </w:rPr>
            </w:pPr>
            <w:r w:rsidRPr="00E11721">
              <w:rPr>
                <w:b/>
                <w:sz w:val="15"/>
                <w:szCs w:val="15"/>
              </w:rPr>
              <w:t>2028.</w:t>
            </w:r>
          </w:p>
        </w:tc>
      </w:tr>
      <w:tr w:rsidR="00E541EE" w14:paraId="51FE0DB1" w14:textId="77777777" w:rsidTr="00A84BB5">
        <w:trPr>
          <w:trHeight w:val="1276"/>
        </w:trPr>
        <w:tc>
          <w:tcPr>
            <w:tcW w:w="523" w:type="pct"/>
            <w:tcBorders>
              <w:top w:val="single" w:sz="4" w:space="0" w:color="auto"/>
            </w:tcBorders>
            <w:vAlign w:val="center"/>
          </w:tcPr>
          <w:p w14:paraId="01231566" w14:textId="77777777" w:rsidR="00E541EE" w:rsidRPr="00C002A5" w:rsidRDefault="00E541EE" w:rsidP="00A84BB5">
            <w:pPr>
              <w:pStyle w:val="TableParagraph"/>
              <w:spacing w:before="49"/>
              <w:ind w:left="44" w:right="35"/>
              <w:jc w:val="center"/>
              <w:rPr>
                <w:b/>
                <w:sz w:val="14"/>
                <w:szCs w:val="14"/>
              </w:rPr>
            </w:pPr>
            <w:r w:rsidRPr="00C002A5">
              <w:rPr>
                <w:b/>
                <w:sz w:val="14"/>
                <w:szCs w:val="14"/>
              </w:rPr>
              <w:t>Provedbeni program Grada Rovinja-Rovigno za razdoblje 2025.-2029. godine</w:t>
            </w:r>
          </w:p>
        </w:tc>
        <w:tc>
          <w:tcPr>
            <w:tcW w:w="448" w:type="pct"/>
            <w:vAlign w:val="center"/>
          </w:tcPr>
          <w:p w14:paraId="39F88A80" w14:textId="77777777" w:rsidR="00E541EE" w:rsidRPr="00C002A5" w:rsidRDefault="00E541EE" w:rsidP="00A84BB5">
            <w:pPr>
              <w:pStyle w:val="TableParagraph"/>
              <w:ind w:left="28" w:right="19" w:firstLine="2"/>
              <w:jc w:val="center"/>
              <w:rPr>
                <w:sz w:val="14"/>
                <w:szCs w:val="14"/>
              </w:rPr>
            </w:pPr>
            <w:r w:rsidRPr="00C002A5">
              <w:rPr>
                <w:sz w:val="14"/>
                <w:szCs w:val="14"/>
              </w:rPr>
              <w:t>4.2. Razvoj kulturnog sektora, te jačanje kulturnog identiteta, baštine i tradicije</w:t>
            </w:r>
          </w:p>
          <w:p w14:paraId="0EE61CEE" w14:textId="77777777" w:rsidR="00E541EE" w:rsidRPr="00C002A5" w:rsidRDefault="00E541EE" w:rsidP="00A84BB5">
            <w:pPr>
              <w:pStyle w:val="TableParagraph"/>
              <w:ind w:left="28" w:right="19" w:firstLine="2"/>
              <w:jc w:val="center"/>
              <w:rPr>
                <w:color w:val="FF0000"/>
                <w:sz w:val="14"/>
                <w:szCs w:val="14"/>
              </w:rPr>
            </w:pPr>
          </w:p>
        </w:tc>
        <w:tc>
          <w:tcPr>
            <w:tcW w:w="560" w:type="pct"/>
            <w:shd w:val="clear" w:color="auto" w:fill="FFF1CC"/>
            <w:vAlign w:val="center"/>
          </w:tcPr>
          <w:p w14:paraId="2CF09FE4" w14:textId="77777777" w:rsidR="00E541EE" w:rsidRDefault="00E541EE" w:rsidP="00A84BB5">
            <w:pPr>
              <w:pStyle w:val="TableParagraph"/>
              <w:jc w:val="center"/>
              <w:rPr>
                <w:sz w:val="14"/>
                <w:szCs w:val="14"/>
              </w:rPr>
            </w:pPr>
            <w:r w:rsidRPr="00C002A5">
              <w:rPr>
                <w:sz w:val="14"/>
                <w:szCs w:val="14"/>
              </w:rPr>
              <w:t xml:space="preserve">P 1002: </w:t>
            </w:r>
          </w:p>
          <w:p w14:paraId="2632C7F8" w14:textId="77777777" w:rsidR="00E541EE" w:rsidRPr="00C002A5" w:rsidRDefault="00E541EE" w:rsidP="00A84BB5">
            <w:pPr>
              <w:pStyle w:val="TableParagraph"/>
              <w:jc w:val="center"/>
              <w:rPr>
                <w:sz w:val="14"/>
                <w:szCs w:val="14"/>
              </w:rPr>
            </w:pPr>
            <w:r w:rsidRPr="00C002A5">
              <w:rPr>
                <w:sz w:val="14"/>
                <w:szCs w:val="14"/>
              </w:rPr>
              <w:t>MJERE I AKTIVNOSTI IZ DJELOKRUGA IZVRŠNOG TIJELA</w:t>
            </w:r>
          </w:p>
          <w:p w14:paraId="052E3C48" w14:textId="77777777" w:rsidR="00E541EE" w:rsidRPr="00C002A5" w:rsidRDefault="00E541EE" w:rsidP="00A84BB5">
            <w:pPr>
              <w:pStyle w:val="TableParagraph"/>
              <w:ind w:left="74" w:right="63" w:hanging="4"/>
              <w:jc w:val="center"/>
              <w:rPr>
                <w:color w:val="FF0000"/>
                <w:sz w:val="14"/>
                <w:szCs w:val="14"/>
              </w:rPr>
            </w:pPr>
          </w:p>
        </w:tc>
        <w:tc>
          <w:tcPr>
            <w:tcW w:w="597" w:type="pct"/>
            <w:vAlign w:val="center"/>
          </w:tcPr>
          <w:p w14:paraId="59CB38B2" w14:textId="77777777" w:rsidR="00E541EE" w:rsidRPr="00C002A5" w:rsidRDefault="00E541EE" w:rsidP="00A84BB5">
            <w:pPr>
              <w:pStyle w:val="TableParagraph"/>
              <w:spacing w:before="7"/>
              <w:jc w:val="center"/>
              <w:rPr>
                <w:sz w:val="14"/>
                <w:szCs w:val="14"/>
              </w:rPr>
            </w:pPr>
            <w:r w:rsidRPr="00C002A5">
              <w:rPr>
                <w:sz w:val="14"/>
                <w:szCs w:val="14"/>
              </w:rPr>
              <w:t>Očuvanje nematerijalne baštine, obnova materijalne baštine te njihova valorizacija i prezentacija</w:t>
            </w:r>
          </w:p>
          <w:p w14:paraId="644AFAC0" w14:textId="77777777" w:rsidR="00E541EE" w:rsidRPr="00C002A5" w:rsidRDefault="00E541EE" w:rsidP="00A84BB5">
            <w:pPr>
              <w:pStyle w:val="TableParagraph"/>
              <w:ind w:left="29" w:right="11" w:firstLine="9"/>
              <w:jc w:val="center"/>
              <w:rPr>
                <w:color w:val="FF0000"/>
                <w:sz w:val="14"/>
                <w:szCs w:val="14"/>
              </w:rPr>
            </w:pPr>
          </w:p>
        </w:tc>
        <w:tc>
          <w:tcPr>
            <w:tcW w:w="485" w:type="pct"/>
            <w:shd w:val="clear" w:color="auto" w:fill="FFF1CC"/>
            <w:vAlign w:val="center"/>
          </w:tcPr>
          <w:p w14:paraId="2B827BC8" w14:textId="77777777" w:rsidR="00E541EE" w:rsidRPr="00C002A5" w:rsidRDefault="00E541EE" w:rsidP="00A84BB5">
            <w:pPr>
              <w:pStyle w:val="TableParagraph"/>
              <w:jc w:val="center"/>
              <w:rPr>
                <w:sz w:val="14"/>
                <w:szCs w:val="14"/>
              </w:rPr>
            </w:pPr>
          </w:p>
          <w:p w14:paraId="47D36DF0" w14:textId="77777777" w:rsidR="00E541EE" w:rsidRPr="00C002A5" w:rsidRDefault="00E541EE" w:rsidP="00A84BB5">
            <w:pPr>
              <w:pStyle w:val="TableParagraph"/>
              <w:jc w:val="center"/>
              <w:rPr>
                <w:sz w:val="14"/>
                <w:szCs w:val="14"/>
              </w:rPr>
            </w:pPr>
            <w:r w:rsidRPr="00C002A5">
              <w:rPr>
                <w:sz w:val="14"/>
                <w:szCs w:val="14"/>
              </w:rPr>
              <w:t>45.000,00</w:t>
            </w:r>
          </w:p>
          <w:p w14:paraId="152D7891" w14:textId="77777777" w:rsidR="00E541EE" w:rsidRPr="00C002A5" w:rsidRDefault="00E541EE" w:rsidP="00A84BB5">
            <w:pPr>
              <w:pStyle w:val="TableParagraph"/>
              <w:jc w:val="center"/>
              <w:rPr>
                <w:sz w:val="14"/>
                <w:szCs w:val="14"/>
              </w:rPr>
            </w:pPr>
          </w:p>
          <w:p w14:paraId="0C770721" w14:textId="77777777" w:rsidR="00E541EE" w:rsidRPr="00C002A5" w:rsidRDefault="00E541EE" w:rsidP="00A84BB5">
            <w:pPr>
              <w:pStyle w:val="TableParagraph"/>
              <w:ind w:left="142"/>
              <w:jc w:val="center"/>
              <w:rPr>
                <w:color w:val="FF0000"/>
                <w:sz w:val="14"/>
                <w:szCs w:val="14"/>
              </w:rPr>
            </w:pPr>
          </w:p>
        </w:tc>
        <w:tc>
          <w:tcPr>
            <w:tcW w:w="522" w:type="pct"/>
            <w:vAlign w:val="center"/>
          </w:tcPr>
          <w:p w14:paraId="4D593628" w14:textId="77777777" w:rsidR="00E541EE" w:rsidRPr="00C002A5" w:rsidRDefault="00E541EE" w:rsidP="00A84BB5">
            <w:pPr>
              <w:jc w:val="center"/>
              <w:rPr>
                <w:sz w:val="14"/>
                <w:szCs w:val="14"/>
              </w:rPr>
            </w:pPr>
          </w:p>
          <w:p w14:paraId="727F8D12" w14:textId="77777777" w:rsidR="00E541EE" w:rsidRPr="00C002A5" w:rsidRDefault="00E541EE" w:rsidP="00A84BB5">
            <w:pPr>
              <w:jc w:val="center"/>
              <w:rPr>
                <w:sz w:val="14"/>
                <w:szCs w:val="14"/>
              </w:rPr>
            </w:pPr>
            <w:r w:rsidRPr="00C002A5">
              <w:rPr>
                <w:sz w:val="14"/>
                <w:szCs w:val="14"/>
              </w:rPr>
              <w:t>33.3. Ulaganja u očuvanje memorije, tradicije i kulturno-povijesne baštine</w:t>
            </w:r>
          </w:p>
        </w:tc>
        <w:tc>
          <w:tcPr>
            <w:tcW w:w="522" w:type="pct"/>
            <w:shd w:val="clear" w:color="auto" w:fill="FFF1CC"/>
            <w:vAlign w:val="center"/>
          </w:tcPr>
          <w:p w14:paraId="2253E500" w14:textId="77777777" w:rsidR="00E541EE" w:rsidRPr="00C002A5" w:rsidRDefault="00E541EE" w:rsidP="00A84BB5">
            <w:pPr>
              <w:jc w:val="center"/>
              <w:rPr>
                <w:sz w:val="14"/>
                <w:szCs w:val="14"/>
              </w:rPr>
            </w:pPr>
            <w:r w:rsidRPr="00C002A5">
              <w:rPr>
                <w:sz w:val="14"/>
                <w:szCs w:val="14"/>
              </w:rPr>
              <w:t>Broj prevedenih, sastavljenih i tiskanih edicija o rovinjskoj memoriji, tradiciji i kulturno-povijesnoj baštini</w:t>
            </w:r>
          </w:p>
        </w:tc>
        <w:tc>
          <w:tcPr>
            <w:tcW w:w="373" w:type="pct"/>
            <w:vAlign w:val="center"/>
          </w:tcPr>
          <w:p w14:paraId="0784F56A" w14:textId="77777777" w:rsidR="00E541EE" w:rsidRPr="00C002A5" w:rsidRDefault="00E541EE" w:rsidP="00A84BB5">
            <w:pPr>
              <w:jc w:val="center"/>
              <w:rPr>
                <w:sz w:val="14"/>
                <w:szCs w:val="14"/>
              </w:rPr>
            </w:pPr>
            <w:r w:rsidRPr="00C002A5">
              <w:rPr>
                <w:sz w:val="14"/>
                <w:szCs w:val="14"/>
              </w:rPr>
              <w:t>1</w:t>
            </w:r>
          </w:p>
        </w:tc>
        <w:tc>
          <w:tcPr>
            <w:tcW w:w="298" w:type="pct"/>
            <w:vAlign w:val="center"/>
          </w:tcPr>
          <w:p w14:paraId="12C790C5" w14:textId="77777777" w:rsidR="00E541EE" w:rsidRPr="00C002A5" w:rsidRDefault="00E541EE" w:rsidP="00A84BB5">
            <w:pPr>
              <w:jc w:val="center"/>
              <w:rPr>
                <w:sz w:val="14"/>
                <w:szCs w:val="14"/>
              </w:rPr>
            </w:pPr>
            <w:r w:rsidRPr="00C002A5">
              <w:rPr>
                <w:sz w:val="14"/>
                <w:szCs w:val="14"/>
              </w:rPr>
              <w:t>2</w:t>
            </w:r>
          </w:p>
        </w:tc>
        <w:tc>
          <w:tcPr>
            <w:tcW w:w="298" w:type="pct"/>
            <w:vAlign w:val="center"/>
          </w:tcPr>
          <w:p w14:paraId="0D097DF5" w14:textId="77777777" w:rsidR="00E541EE" w:rsidRPr="00C002A5" w:rsidRDefault="00E541EE" w:rsidP="00A84BB5">
            <w:pPr>
              <w:jc w:val="center"/>
              <w:rPr>
                <w:sz w:val="14"/>
                <w:szCs w:val="14"/>
              </w:rPr>
            </w:pPr>
            <w:r w:rsidRPr="00C002A5">
              <w:rPr>
                <w:sz w:val="14"/>
                <w:szCs w:val="14"/>
              </w:rPr>
              <w:t>3</w:t>
            </w:r>
          </w:p>
        </w:tc>
        <w:tc>
          <w:tcPr>
            <w:tcW w:w="373" w:type="pct"/>
            <w:vAlign w:val="center"/>
          </w:tcPr>
          <w:p w14:paraId="4031CFCF" w14:textId="77777777" w:rsidR="00E541EE" w:rsidRPr="00C002A5" w:rsidRDefault="00E541EE" w:rsidP="00A84BB5">
            <w:pPr>
              <w:jc w:val="center"/>
              <w:rPr>
                <w:sz w:val="14"/>
                <w:szCs w:val="14"/>
              </w:rPr>
            </w:pPr>
            <w:r w:rsidRPr="00C002A5">
              <w:rPr>
                <w:sz w:val="14"/>
                <w:szCs w:val="14"/>
              </w:rPr>
              <w:t>4</w:t>
            </w:r>
          </w:p>
        </w:tc>
      </w:tr>
    </w:tbl>
    <w:p w14:paraId="1A6022CF" w14:textId="77777777" w:rsidR="00E541EE" w:rsidRDefault="00E541EE" w:rsidP="00E541EE">
      <w:pPr>
        <w:jc w:val="both"/>
        <w:rPr>
          <w:rFonts w:ascii="Arial" w:eastAsia="Times New Roman" w:hAnsi="Arial" w:cs="Arial"/>
        </w:rPr>
      </w:pPr>
    </w:p>
    <w:p w14:paraId="75241B10" w14:textId="77777777" w:rsidR="00E541EE" w:rsidRDefault="00E541EE" w:rsidP="00E541EE">
      <w:pPr>
        <w:jc w:val="both"/>
        <w:rPr>
          <w:rFonts w:ascii="Arial" w:eastAsia="Times New Roman" w:hAnsi="Arial" w:cs="Arial"/>
        </w:rPr>
      </w:pPr>
    </w:p>
    <w:p w14:paraId="052F3A0A" w14:textId="77777777" w:rsidR="00E541EE" w:rsidRPr="00190B33" w:rsidRDefault="00E541EE" w:rsidP="00E541EE">
      <w:pPr>
        <w:pBdr>
          <w:top w:val="single" w:sz="4" w:space="1" w:color="auto"/>
          <w:left w:val="single" w:sz="4" w:space="4" w:color="auto"/>
          <w:bottom w:val="single" w:sz="4" w:space="1" w:color="auto"/>
          <w:right w:val="single" w:sz="4" w:space="4" w:color="auto"/>
        </w:pBdr>
        <w:shd w:val="clear" w:color="auto" w:fill="B1EDA0"/>
        <w:jc w:val="both"/>
        <w:rPr>
          <w:rFonts w:ascii="Arial" w:eastAsia="Times New Roman" w:hAnsi="Arial" w:cs="Arial"/>
          <w:b/>
          <w:sz w:val="24"/>
          <w:szCs w:val="24"/>
        </w:rPr>
      </w:pPr>
      <w:r w:rsidRPr="00190B33">
        <w:rPr>
          <w:rFonts w:ascii="Arial" w:eastAsia="Times New Roman" w:hAnsi="Arial" w:cs="Arial"/>
          <w:b/>
          <w:sz w:val="24"/>
          <w:szCs w:val="24"/>
        </w:rPr>
        <w:t xml:space="preserve">GLAVA 00103: URED GRADSKOG VIJEĆA I GRADONAČELNIKA </w:t>
      </w:r>
    </w:p>
    <w:p w14:paraId="7FD2439B" w14:textId="77777777" w:rsidR="00E541EE" w:rsidRPr="00190B33" w:rsidRDefault="00E541EE" w:rsidP="00E541EE">
      <w:pPr>
        <w:pBdr>
          <w:top w:val="single" w:sz="4" w:space="1" w:color="auto"/>
          <w:left w:val="single" w:sz="4" w:space="4" w:color="auto"/>
          <w:bottom w:val="single" w:sz="4" w:space="1" w:color="auto"/>
          <w:right w:val="single" w:sz="4" w:space="4" w:color="auto"/>
        </w:pBdr>
        <w:shd w:val="clear" w:color="auto" w:fill="B1EDA0"/>
        <w:jc w:val="both"/>
        <w:rPr>
          <w:rFonts w:ascii="Arial" w:eastAsia="Times New Roman" w:hAnsi="Arial" w:cs="Arial"/>
          <w:b/>
          <w:sz w:val="24"/>
          <w:szCs w:val="24"/>
        </w:rPr>
      </w:pPr>
      <w:r w:rsidRPr="00190B33">
        <w:rPr>
          <w:rFonts w:ascii="Arial" w:eastAsia="Times New Roman" w:hAnsi="Arial" w:cs="Arial"/>
          <w:b/>
          <w:sz w:val="24"/>
          <w:szCs w:val="24"/>
        </w:rPr>
        <w:t>= 1.</w:t>
      </w:r>
      <w:r>
        <w:rPr>
          <w:rFonts w:ascii="Arial" w:eastAsia="Times New Roman" w:hAnsi="Arial" w:cs="Arial"/>
          <w:b/>
          <w:sz w:val="24"/>
          <w:szCs w:val="24"/>
        </w:rPr>
        <w:t>248.4</w:t>
      </w:r>
      <w:r w:rsidRPr="00190B33">
        <w:rPr>
          <w:rFonts w:ascii="Arial" w:eastAsia="Times New Roman" w:hAnsi="Arial" w:cs="Arial"/>
          <w:b/>
          <w:sz w:val="24"/>
          <w:szCs w:val="24"/>
        </w:rPr>
        <w:t>58,00 EUR</w:t>
      </w:r>
    </w:p>
    <w:p w14:paraId="4078976E" w14:textId="77777777" w:rsidR="00E541EE" w:rsidRPr="00190B33" w:rsidRDefault="00E541EE" w:rsidP="00E541EE">
      <w:pPr>
        <w:jc w:val="both"/>
        <w:rPr>
          <w:rFonts w:ascii="Arial" w:eastAsia="Times New Roman" w:hAnsi="Arial" w:cs="Arial"/>
          <w:sz w:val="24"/>
          <w:szCs w:val="24"/>
        </w:rPr>
      </w:pPr>
    </w:p>
    <w:p w14:paraId="6D563631" w14:textId="777AB1BF" w:rsidR="00E541EE" w:rsidRPr="00190B33" w:rsidRDefault="00E541EE" w:rsidP="00E541EE">
      <w:pPr>
        <w:pBdr>
          <w:top w:val="single" w:sz="4" w:space="1" w:color="auto"/>
          <w:left w:val="single" w:sz="4" w:space="4" w:color="auto"/>
          <w:bottom w:val="single" w:sz="4" w:space="1" w:color="auto"/>
          <w:right w:val="single" w:sz="4" w:space="4" w:color="auto"/>
        </w:pBdr>
        <w:shd w:val="clear" w:color="auto" w:fill="FFFF80"/>
        <w:jc w:val="both"/>
        <w:rPr>
          <w:rFonts w:ascii="Arial" w:eastAsia="Times New Roman" w:hAnsi="Arial" w:cs="Arial"/>
          <w:b/>
          <w:sz w:val="24"/>
          <w:szCs w:val="24"/>
        </w:rPr>
      </w:pPr>
      <w:r w:rsidRPr="00190B33">
        <w:rPr>
          <w:rFonts w:ascii="Arial" w:eastAsia="Times New Roman" w:hAnsi="Arial" w:cs="Arial"/>
          <w:b/>
          <w:sz w:val="24"/>
          <w:szCs w:val="24"/>
        </w:rPr>
        <w:t>Program 1003: Mjere i aktivnosti iz djelokruga upravnog tijela = 1.2</w:t>
      </w:r>
      <w:r w:rsidR="001F38D6">
        <w:rPr>
          <w:rFonts w:ascii="Arial" w:eastAsia="Times New Roman" w:hAnsi="Arial" w:cs="Arial"/>
          <w:b/>
          <w:sz w:val="24"/>
          <w:szCs w:val="24"/>
        </w:rPr>
        <w:t>20</w:t>
      </w:r>
      <w:r w:rsidRPr="00190B33">
        <w:rPr>
          <w:rFonts w:ascii="Arial" w:eastAsia="Times New Roman" w:hAnsi="Arial" w:cs="Arial"/>
          <w:b/>
          <w:sz w:val="24"/>
          <w:szCs w:val="24"/>
        </w:rPr>
        <w:t>.</w:t>
      </w:r>
      <w:r w:rsidR="001F38D6">
        <w:rPr>
          <w:rFonts w:ascii="Arial" w:eastAsia="Times New Roman" w:hAnsi="Arial" w:cs="Arial"/>
          <w:b/>
          <w:sz w:val="24"/>
          <w:szCs w:val="24"/>
        </w:rPr>
        <w:t>493</w:t>
      </w:r>
      <w:r w:rsidRPr="00190B33">
        <w:rPr>
          <w:rFonts w:ascii="Arial" w:eastAsia="Times New Roman" w:hAnsi="Arial" w:cs="Arial"/>
          <w:b/>
          <w:sz w:val="24"/>
          <w:szCs w:val="24"/>
        </w:rPr>
        <w:t>,00 EUR</w:t>
      </w:r>
    </w:p>
    <w:p w14:paraId="1F69F0D6" w14:textId="77777777" w:rsidR="00E541EE" w:rsidRDefault="00E541EE" w:rsidP="00E541EE">
      <w:pPr>
        <w:jc w:val="both"/>
        <w:rPr>
          <w:rFonts w:ascii="Arial" w:eastAsia="Times New Roman" w:hAnsi="Arial" w:cs="Aria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057"/>
        <w:gridCol w:w="1054"/>
        <w:gridCol w:w="1207"/>
        <w:gridCol w:w="1034"/>
        <w:gridCol w:w="879"/>
        <w:gridCol w:w="1207"/>
        <w:gridCol w:w="1132"/>
        <w:gridCol w:w="828"/>
        <w:gridCol w:w="598"/>
        <w:gridCol w:w="599"/>
        <w:gridCol w:w="601"/>
      </w:tblGrid>
      <w:tr w:rsidR="00E541EE" w:rsidRPr="00C002A5" w14:paraId="7DA35204" w14:textId="77777777" w:rsidTr="00A84BB5">
        <w:trPr>
          <w:trHeight w:val="638"/>
        </w:trPr>
        <w:tc>
          <w:tcPr>
            <w:tcW w:w="523" w:type="pct"/>
            <w:vMerge w:val="restart"/>
            <w:tcBorders>
              <w:top w:val="single" w:sz="4" w:space="0" w:color="auto"/>
            </w:tcBorders>
            <w:vAlign w:val="center"/>
          </w:tcPr>
          <w:p w14:paraId="3E48FF1C" w14:textId="77777777" w:rsidR="00E541EE" w:rsidRPr="00E11721" w:rsidRDefault="00E541EE" w:rsidP="00A84BB5">
            <w:pPr>
              <w:pStyle w:val="TableParagraph"/>
              <w:spacing w:before="49"/>
              <w:ind w:left="44" w:right="35"/>
              <w:jc w:val="center"/>
              <w:rPr>
                <w:rFonts w:asciiTheme="minorHAnsi" w:hAnsiTheme="minorHAnsi" w:cstheme="minorHAnsi"/>
                <w:b/>
                <w:sz w:val="15"/>
                <w:szCs w:val="15"/>
              </w:rPr>
            </w:pPr>
            <w:r w:rsidRPr="00E11721">
              <w:rPr>
                <w:rFonts w:asciiTheme="minorHAnsi" w:hAnsiTheme="minorHAnsi" w:cstheme="minorHAnsi"/>
                <w:b/>
                <w:sz w:val="15"/>
                <w:szCs w:val="15"/>
              </w:rPr>
              <w:t>Doprinos</w:t>
            </w:r>
            <w:r w:rsidRPr="00E11721">
              <w:rPr>
                <w:rFonts w:asciiTheme="minorHAnsi" w:hAnsiTheme="minorHAnsi" w:cstheme="minorHAnsi"/>
                <w:b/>
                <w:spacing w:val="-34"/>
                <w:sz w:val="15"/>
                <w:szCs w:val="15"/>
              </w:rPr>
              <w:t xml:space="preserve"> </w:t>
            </w:r>
            <w:r w:rsidRPr="00E11721">
              <w:rPr>
                <w:rFonts w:asciiTheme="minorHAnsi" w:hAnsiTheme="minorHAnsi" w:cstheme="minorHAnsi"/>
                <w:b/>
                <w:sz w:val="15"/>
                <w:szCs w:val="15"/>
              </w:rPr>
              <w:t>provedbi</w:t>
            </w:r>
          </w:p>
          <w:p w14:paraId="116FA5F3" w14:textId="77777777" w:rsidR="00E541EE" w:rsidRPr="00E11721" w:rsidRDefault="00E541EE" w:rsidP="00A84BB5">
            <w:pPr>
              <w:pStyle w:val="TableParagraph"/>
              <w:spacing w:line="194" w:lineRule="exact"/>
              <w:ind w:left="44" w:right="35"/>
              <w:jc w:val="center"/>
              <w:rPr>
                <w:rFonts w:asciiTheme="minorHAnsi" w:hAnsiTheme="minorHAnsi" w:cstheme="minorHAnsi"/>
                <w:b/>
                <w:sz w:val="15"/>
                <w:szCs w:val="15"/>
              </w:rPr>
            </w:pPr>
            <w:r w:rsidRPr="00E11721">
              <w:rPr>
                <w:rFonts w:asciiTheme="minorHAnsi" w:hAnsiTheme="minorHAnsi" w:cstheme="minorHAnsi"/>
                <w:b/>
                <w:sz w:val="15"/>
                <w:szCs w:val="15"/>
              </w:rPr>
              <w:t>nadređenog</w:t>
            </w:r>
          </w:p>
          <w:p w14:paraId="033E076A" w14:textId="77777777" w:rsidR="00E541EE" w:rsidRPr="00E11721" w:rsidRDefault="00E541EE" w:rsidP="00A84BB5">
            <w:pPr>
              <w:pStyle w:val="TableParagraph"/>
              <w:spacing w:before="49"/>
              <w:ind w:left="44" w:right="35"/>
              <w:jc w:val="center"/>
              <w:rPr>
                <w:rFonts w:asciiTheme="minorHAnsi" w:hAnsiTheme="minorHAnsi" w:cstheme="minorHAnsi"/>
                <w:b/>
                <w:sz w:val="15"/>
                <w:szCs w:val="15"/>
              </w:rPr>
            </w:pPr>
            <w:r w:rsidRPr="00E11721">
              <w:rPr>
                <w:rFonts w:asciiTheme="minorHAnsi" w:hAnsiTheme="minorHAnsi" w:cstheme="minorHAnsi"/>
                <w:b/>
                <w:sz w:val="15"/>
                <w:szCs w:val="15"/>
              </w:rPr>
              <w:t>akta</w:t>
            </w:r>
            <w:r w:rsidRPr="00E11721">
              <w:rPr>
                <w:rFonts w:asciiTheme="minorHAnsi" w:hAnsiTheme="minorHAnsi" w:cstheme="minorHAnsi"/>
                <w:b/>
                <w:spacing w:val="1"/>
                <w:sz w:val="15"/>
                <w:szCs w:val="15"/>
              </w:rPr>
              <w:t xml:space="preserve"> </w:t>
            </w:r>
            <w:r w:rsidRPr="00E11721">
              <w:rPr>
                <w:rFonts w:asciiTheme="minorHAnsi" w:hAnsiTheme="minorHAnsi" w:cstheme="minorHAnsi"/>
                <w:b/>
                <w:sz w:val="15"/>
                <w:szCs w:val="15"/>
              </w:rPr>
              <w:t>strateškog</w:t>
            </w:r>
            <w:r w:rsidRPr="00E11721">
              <w:rPr>
                <w:rFonts w:asciiTheme="minorHAnsi" w:hAnsiTheme="minorHAnsi" w:cstheme="minorHAnsi"/>
                <w:b/>
                <w:spacing w:val="-34"/>
                <w:sz w:val="15"/>
                <w:szCs w:val="15"/>
              </w:rPr>
              <w:t xml:space="preserve"> </w:t>
            </w:r>
            <w:r w:rsidRPr="00E11721">
              <w:rPr>
                <w:rFonts w:asciiTheme="minorHAnsi" w:hAnsiTheme="minorHAnsi" w:cstheme="minorHAnsi"/>
                <w:b/>
                <w:sz w:val="15"/>
                <w:szCs w:val="15"/>
              </w:rPr>
              <w:t>planiranja</w:t>
            </w:r>
          </w:p>
        </w:tc>
        <w:tc>
          <w:tcPr>
            <w:tcW w:w="522" w:type="pct"/>
            <w:vMerge w:val="restart"/>
            <w:vAlign w:val="center"/>
          </w:tcPr>
          <w:p w14:paraId="7DAF2075" w14:textId="77777777" w:rsidR="00E541EE" w:rsidRPr="00E11721" w:rsidRDefault="00E541EE" w:rsidP="00A84BB5">
            <w:pPr>
              <w:pStyle w:val="TableParagraph"/>
              <w:spacing w:line="195" w:lineRule="exact"/>
              <w:ind w:left="44" w:right="35"/>
              <w:jc w:val="center"/>
              <w:rPr>
                <w:rFonts w:asciiTheme="minorHAnsi" w:hAnsiTheme="minorHAnsi" w:cstheme="minorHAnsi"/>
                <w:b/>
                <w:sz w:val="15"/>
                <w:szCs w:val="15"/>
              </w:rPr>
            </w:pPr>
            <w:r w:rsidRPr="00E11721">
              <w:rPr>
                <w:rFonts w:asciiTheme="minorHAnsi" w:hAnsiTheme="minorHAnsi" w:cstheme="minorHAnsi"/>
                <w:b/>
                <w:sz w:val="15"/>
                <w:szCs w:val="15"/>
              </w:rPr>
              <w:t>Naziv</w:t>
            </w:r>
            <w:r w:rsidRPr="00E11721">
              <w:rPr>
                <w:rFonts w:asciiTheme="minorHAnsi" w:hAnsiTheme="minorHAnsi" w:cstheme="minorHAnsi"/>
                <w:b/>
                <w:spacing w:val="-3"/>
                <w:sz w:val="15"/>
                <w:szCs w:val="15"/>
              </w:rPr>
              <w:t xml:space="preserve"> </w:t>
            </w:r>
            <w:r w:rsidRPr="00E11721">
              <w:rPr>
                <w:rFonts w:asciiTheme="minorHAnsi" w:hAnsiTheme="minorHAnsi" w:cstheme="minorHAnsi"/>
                <w:b/>
                <w:sz w:val="15"/>
                <w:szCs w:val="15"/>
              </w:rPr>
              <w:t>cilja nadređenog</w:t>
            </w:r>
            <w:r w:rsidRPr="00E11721">
              <w:rPr>
                <w:rFonts w:asciiTheme="minorHAnsi" w:hAnsiTheme="minorHAnsi" w:cstheme="minorHAnsi"/>
                <w:b/>
                <w:spacing w:val="1"/>
                <w:sz w:val="15"/>
                <w:szCs w:val="15"/>
              </w:rPr>
              <w:t xml:space="preserve"> </w:t>
            </w:r>
            <w:r w:rsidRPr="00E11721">
              <w:rPr>
                <w:rFonts w:asciiTheme="minorHAnsi" w:hAnsiTheme="minorHAnsi" w:cstheme="minorHAnsi"/>
                <w:b/>
                <w:spacing w:val="-1"/>
                <w:sz w:val="15"/>
                <w:szCs w:val="15"/>
              </w:rPr>
              <w:t>akta</w:t>
            </w:r>
            <w:r w:rsidRPr="00E11721">
              <w:rPr>
                <w:rFonts w:asciiTheme="minorHAnsi" w:hAnsiTheme="minorHAnsi" w:cstheme="minorHAnsi"/>
                <w:b/>
                <w:spacing w:val="-2"/>
                <w:sz w:val="15"/>
                <w:szCs w:val="15"/>
              </w:rPr>
              <w:t xml:space="preserve"> </w:t>
            </w:r>
            <w:r w:rsidRPr="00E11721">
              <w:rPr>
                <w:rFonts w:asciiTheme="minorHAnsi" w:hAnsiTheme="minorHAnsi" w:cstheme="minorHAnsi"/>
                <w:b/>
                <w:spacing w:val="-1"/>
                <w:sz w:val="15"/>
                <w:szCs w:val="15"/>
              </w:rPr>
              <w:t xml:space="preserve">strateškog </w:t>
            </w:r>
            <w:r w:rsidRPr="00E11721">
              <w:rPr>
                <w:rFonts w:asciiTheme="minorHAnsi" w:hAnsiTheme="minorHAnsi" w:cstheme="minorHAnsi"/>
                <w:b/>
                <w:sz w:val="15"/>
                <w:szCs w:val="15"/>
              </w:rPr>
              <w:t>planiranja</w:t>
            </w:r>
          </w:p>
        </w:tc>
        <w:tc>
          <w:tcPr>
            <w:tcW w:w="597" w:type="pct"/>
            <w:vMerge w:val="restart"/>
            <w:vAlign w:val="center"/>
          </w:tcPr>
          <w:p w14:paraId="427D1620" w14:textId="77777777" w:rsidR="00E541EE" w:rsidRPr="00E11721" w:rsidRDefault="00E541EE" w:rsidP="00A84BB5">
            <w:pPr>
              <w:pStyle w:val="TableParagraph"/>
              <w:ind w:left="125" w:right="114"/>
              <w:jc w:val="center"/>
              <w:rPr>
                <w:rFonts w:asciiTheme="minorHAnsi" w:hAnsiTheme="minorHAnsi" w:cstheme="minorHAnsi"/>
                <w:b/>
                <w:sz w:val="15"/>
                <w:szCs w:val="15"/>
              </w:rPr>
            </w:pPr>
            <w:r w:rsidRPr="00E11721">
              <w:rPr>
                <w:rFonts w:asciiTheme="minorHAnsi" w:hAnsiTheme="minorHAnsi" w:cstheme="minorHAnsi"/>
                <w:b/>
                <w:spacing w:val="-1"/>
                <w:sz w:val="15"/>
                <w:szCs w:val="15"/>
              </w:rPr>
              <w:t xml:space="preserve">Program </w:t>
            </w:r>
            <w:r w:rsidRPr="00E11721">
              <w:rPr>
                <w:rFonts w:asciiTheme="minorHAnsi" w:hAnsiTheme="minorHAnsi" w:cstheme="minorHAnsi"/>
                <w:b/>
                <w:sz w:val="15"/>
                <w:szCs w:val="15"/>
              </w:rPr>
              <w:t>u</w:t>
            </w:r>
            <w:r w:rsidRPr="00E11721">
              <w:rPr>
                <w:rFonts w:asciiTheme="minorHAnsi" w:hAnsiTheme="minorHAnsi" w:cstheme="minorHAnsi"/>
                <w:b/>
                <w:spacing w:val="-34"/>
                <w:sz w:val="15"/>
                <w:szCs w:val="15"/>
              </w:rPr>
              <w:t xml:space="preserve"> </w:t>
            </w:r>
            <w:r w:rsidRPr="00E11721">
              <w:rPr>
                <w:rFonts w:asciiTheme="minorHAnsi" w:hAnsiTheme="minorHAnsi" w:cstheme="minorHAnsi"/>
                <w:b/>
                <w:sz w:val="15"/>
                <w:szCs w:val="15"/>
              </w:rPr>
              <w:t xml:space="preserve">proračunu </w:t>
            </w:r>
            <w:r w:rsidRPr="00E11721">
              <w:rPr>
                <w:rFonts w:asciiTheme="minorHAnsi" w:hAnsiTheme="minorHAnsi" w:cstheme="minorHAnsi"/>
                <w:b/>
                <w:spacing w:val="-34"/>
                <w:sz w:val="15"/>
                <w:szCs w:val="15"/>
              </w:rPr>
              <w:t xml:space="preserve"> </w:t>
            </w:r>
            <w:r w:rsidRPr="00E11721">
              <w:rPr>
                <w:rFonts w:asciiTheme="minorHAnsi" w:hAnsiTheme="minorHAnsi" w:cstheme="minorHAnsi"/>
                <w:b/>
                <w:sz w:val="15"/>
                <w:szCs w:val="15"/>
              </w:rPr>
              <w:t>JLS</w:t>
            </w:r>
          </w:p>
        </w:tc>
        <w:tc>
          <w:tcPr>
            <w:tcW w:w="512" w:type="pct"/>
            <w:vMerge w:val="restart"/>
            <w:vAlign w:val="center"/>
          </w:tcPr>
          <w:p w14:paraId="53C6B080" w14:textId="77777777" w:rsidR="00E541EE" w:rsidRPr="00E11721" w:rsidRDefault="00E541EE" w:rsidP="00A84BB5">
            <w:pPr>
              <w:pStyle w:val="TableParagraph"/>
              <w:ind w:left="179"/>
              <w:rPr>
                <w:rFonts w:asciiTheme="minorHAnsi" w:hAnsiTheme="minorHAnsi" w:cstheme="minorHAnsi"/>
                <w:b/>
                <w:sz w:val="15"/>
                <w:szCs w:val="15"/>
              </w:rPr>
            </w:pPr>
            <w:r w:rsidRPr="00E11721">
              <w:rPr>
                <w:rFonts w:asciiTheme="minorHAnsi" w:hAnsiTheme="minorHAnsi" w:cstheme="minorHAnsi"/>
                <w:b/>
                <w:sz w:val="15"/>
                <w:szCs w:val="15"/>
              </w:rPr>
              <w:t>Naziv</w:t>
            </w:r>
            <w:r w:rsidRPr="00E11721">
              <w:rPr>
                <w:rFonts w:asciiTheme="minorHAnsi" w:hAnsiTheme="minorHAnsi" w:cstheme="minorHAnsi"/>
                <w:b/>
                <w:spacing w:val="-2"/>
                <w:sz w:val="15"/>
                <w:szCs w:val="15"/>
              </w:rPr>
              <w:t xml:space="preserve"> </w:t>
            </w:r>
            <w:r w:rsidRPr="00E11721">
              <w:rPr>
                <w:rFonts w:asciiTheme="minorHAnsi" w:hAnsiTheme="minorHAnsi" w:cstheme="minorHAnsi"/>
                <w:b/>
                <w:sz w:val="15"/>
                <w:szCs w:val="15"/>
              </w:rPr>
              <w:t>mjere</w:t>
            </w:r>
          </w:p>
        </w:tc>
        <w:tc>
          <w:tcPr>
            <w:tcW w:w="383" w:type="pct"/>
            <w:vMerge w:val="restart"/>
            <w:vAlign w:val="center"/>
          </w:tcPr>
          <w:p w14:paraId="086E0767" w14:textId="77777777" w:rsidR="00E541EE" w:rsidRPr="00E11721" w:rsidRDefault="00E541EE" w:rsidP="00A84BB5">
            <w:pPr>
              <w:pStyle w:val="TableParagraph"/>
              <w:ind w:left="70" w:right="60"/>
              <w:jc w:val="center"/>
              <w:rPr>
                <w:rFonts w:asciiTheme="minorHAnsi" w:hAnsiTheme="minorHAnsi" w:cstheme="minorHAnsi"/>
                <w:b/>
                <w:sz w:val="15"/>
                <w:szCs w:val="15"/>
              </w:rPr>
            </w:pPr>
            <w:r w:rsidRPr="00E11721">
              <w:rPr>
                <w:rFonts w:asciiTheme="minorHAnsi" w:hAnsiTheme="minorHAnsi" w:cstheme="minorHAnsi"/>
                <w:b/>
                <w:sz w:val="15"/>
                <w:szCs w:val="15"/>
              </w:rPr>
              <w:t>Procijenjeni</w:t>
            </w:r>
            <w:r w:rsidRPr="00E11721">
              <w:rPr>
                <w:rFonts w:asciiTheme="minorHAnsi" w:hAnsiTheme="minorHAnsi" w:cstheme="minorHAnsi"/>
                <w:b/>
                <w:spacing w:val="-34"/>
                <w:sz w:val="15"/>
                <w:szCs w:val="15"/>
              </w:rPr>
              <w:t xml:space="preserve"> </w:t>
            </w:r>
            <w:r w:rsidRPr="00E11721">
              <w:rPr>
                <w:rFonts w:asciiTheme="minorHAnsi" w:hAnsiTheme="minorHAnsi" w:cstheme="minorHAnsi"/>
                <w:b/>
                <w:sz w:val="15"/>
                <w:szCs w:val="15"/>
              </w:rPr>
              <w:t>trošak</w:t>
            </w:r>
            <w:r w:rsidRPr="00E11721">
              <w:rPr>
                <w:rFonts w:asciiTheme="minorHAnsi" w:hAnsiTheme="minorHAnsi" w:cstheme="minorHAnsi"/>
                <w:b/>
                <w:spacing w:val="1"/>
                <w:sz w:val="15"/>
                <w:szCs w:val="15"/>
              </w:rPr>
              <w:t xml:space="preserve"> </w:t>
            </w:r>
            <w:r w:rsidRPr="00E11721">
              <w:rPr>
                <w:rFonts w:asciiTheme="minorHAnsi" w:hAnsiTheme="minorHAnsi" w:cstheme="minorHAnsi"/>
                <w:b/>
                <w:sz w:val="15"/>
                <w:szCs w:val="15"/>
              </w:rPr>
              <w:t>provedbe</w:t>
            </w:r>
            <w:r w:rsidRPr="00E11721">
              <w:rPr>
                <w:rFonts w:asciiTheme="minorHAnsi" w:hAnsiTheme="minorHAnsi" w:cstheme="minorHAnsi"/>
                <w:b/>
                <w:spacing w:val="1"/>
                <w:sz w:val="15"/>
                <w:szCs w:val="15"/>
              </w:rPr>
              <w:t xml:space="preserve"> </w:t>
            </w:r>
            <w:r w:rsidRPr="00E11721">
              <w:rPr>
                <w:rFonts w:asciiTheme="minorHAnsi" w:hAnsiTheme="minorHAnsi" w:cstheme="minorHAnsi"/>
                <w:b/>
                <w:sz w:val="15"/>
                <w:szCs w:val="15"/>
              </w:rPr>
              <w:t>mjere 2026.</w:t>
            </w:r>
          </w:p>
          <w:p w14:paraId="001EB949" w14:textId="77777777" w:rsidR="00E541EE" w:rsidRPr="00E11721" w:rsidRDefault="00E541EE" w:rsidP="00A84BB5">
            <w:pPr>
              <w:pStyle w:val="TableParagraph"/>
              <w:spacing w:before="2"/>
              <w:ind w:left="70" w:right="58"/>
              <w:jc w:val="center"/>
              <w:rPr>
                <w:rFonts w:asciiTheme="minorHAnsi" w:hAnsiTheme="minorHAnsi" w:cstheme="minorHAnsi"/>
                <w:b/>
                <w:sz w:val="15"/>
                <w:szCs w:val="15"/>
              </w:rPr>
            </w:pPr>
            <w:r w:rsidRPr="00E11721">
              <w:rPr>
                <w:rFonts w:asciiTheme="minorHAnsi" w:hAnsiTheme="minorHAnsi" w:cstheme="minorHAnsi"/>
                <w:b/>
                <w:sz w:val="15"/>
                <w:szCs w:val="15"/>
              </w:rPr>
              <w:t>(u EUR)</w:t>
            </w:r>
          </w:p>
        </w:tc>
        <w:tc>
          <w:tcPr>
            <w:tcW w:w="597" w:type="pct"/>
            <w:vMerge w:val="restart"/>
            <w:vAlign w:val="center"/>
          </w:tcPr>
          <w:p w14:paraId="35B6E835" w14:textId="77777777" w:rsidR="00E541EE" w:rsidRPr="00E11721" w:rsidRDefault="00E541EE" w:rsidP="00A84BB5">
            <w:pPr>
              <w:pStyle w:val="TableParagraph"/>
              <w:ind w:left="311"/>
              <w:rPr>
                <w:rFonts w:asciiTheme="minorHAnsi" w:hAnsiTheme="minorHAnsi" w:cstheme="minorHAnsi"/>
                <w:b/>
                <w:sz w:val="15"/>
                <w:szCs w:val="15"/>
              </w:rPr>
            </w:pPr>
            <w:r w:rsidRPr="00E11721">
              <w:rPr>
                <w:rFonts w:asciiTheme="minorHAnsi" w:hAnsiTheme="minorHAnsi" w:cstheme="minorHAnsi"/>
                <w:b/>
                <w:sz w:val="15"/>
                <w:szCs w:val="15"/>
              </w:rPr>
              <w:t>Ključne</w:t>
            </w:r>
          </w:p>
          <w:p w14:paraId="44F7060F" w14:textId="77777777" w:rsidR="00E541EE" w:rsidRPr="00E11721" w:rsidRDefault="00E541EE" w:rsidP="00A84BB5">
            <w:pPr>
              <w:pStyle w:val="TableParagraph"/>
              <w:spacing w:before="1"/>
              <w:rPr>
                <w:rFonts w:asciiTheme="minorHAnsi" w:hAnsiTheme="minorHAnsi" w:cstheme="minorHAnsi"/>
                <w:b/>
                <w:sz w:val="15"/>
                <w:szCs w:val="15"/>
              </w:rPr>
            </w:pPr>
            <w:r w:rsidRPr="00E11721">
              <w:rPr>
                <w:rFonts w:asciiTheme="minorHAnsi" w:hAnsiTheme="minorHAnsi" w:cstheme="minorHAnsi"/>
                <w:b/>
                <w:sz w:val="15"/>
                <w:szCs w:val="15"/>
              </w:rPr>
              <w:t xml:space="preserve">     aktivnosti</w:t>
            </w:r>
          </w:p>
        </w:tc>
        <w:tc>
          <w:tcPr>
            <w:tcW w:w="560" w:type="pct"/>
            <w:vMerge w:val="restart"/>
            <w:vAlign w:val="center"/>
          </w:tcPr>
          <w:p w14:paraId="53B03647" w14:textId="77777777" w:rsidR="00E541EE" w:rsidRPr="00E11721" w:rsidRDefault="00E541EE" w:rsidP="00A84BB5">
            <w:pPr>
              <w:pStyle w:val="TableParagraph"/>
              <w:ind w:left="174" w:right="97" w:hanging="44"/>
              <w:jc w:val="center"/>
              <w:rPr>
                <w:rFonts w:asciiTheme="minorHAnsi" w:hAnsiTheme="minorHAnsi" w:cstheme="minorHAnsi"/>
                <w:b/>
                <w:sz w:val="15"/>
                <w:szCs w:val="15"/>
              </w:rPr>
            </w:pPr>
            <w:r w:rsidRPr="00E11721">
              <w:rPr>
                <w:rFonts w:asciiTheme="minorHAnsi" w:hAnsiTheme="minorHAnsi" w:cstheme="minorHAnsi"/>
                <w:b/>
                <w:sz w:val="15"/>
                <w:szCs w:val="15"/>
              </w:rPr>
              <w:t>Pokazatelj</w:t>
            </w:r>
            <w:r w:rsidRPr="00E11721">
              <w:rPr>
                <w:rFonts w:asciiTheme="minorHAnsi" w:hAnsiTheme="minorHAnsi" w:cstheme="minorHAnsi"/>
                <w:b/>
                <w:spacing w:val="-34"/>
                <w:sz w:val="15"/>
                <w:szCs w:val="15"/>
              </w:rPr>
              <w:t xml:space="preserve"> </w:t>
            </w:r>
            <w:r w:rsidRPr="00E11721">
              <w:rPr>
                <w:rFonts w:asciiTheme="minorHAnsi" w:hAnsiTheme="minorHAnsi" w:cstheme="minorHAnsi"/>
                <w:b/>
                <w:sz w:val="15"/>
                <w:szCs w:val="15"/>
              </w:rPr>
              <w:t>rezultata</w:t>
            </w:r>
          </w:p>
        </w:tc>
        <w:tc>
          <w:tcPr>
            <w:tcW w:w="411" w:type="pct"/>
            <w:vMerge w:val="restart"/>
            <w:vAlign w:val="center"/>
          </w:tcPr>
          <w:p w14:paraId="2A1F30EA" w14:textId="77777777" w:rsidR="00E541EE" w:rsidRPr="00E11721" w:rsidRDefault="00E541EE" w:rsidP="00A84BB5">
            <w:pPr>
              <w:pStyle w:val="TableParagraph"/>
              <w:ind w:left="44" w:right="32"/>
              <w:jc w:val="center"/>
              <w:rPr>
                <w:rFonts w:asciiTheme="minorHAnsi" w:hAnsiTheme="minorHAnsi" w:cstheme="minorHAnsi"/>
                <w:b/>
                <w:sz w:val="15"/>
                <w:szCs w:val="15"/>
              </w:rPr>
            </w:pPr>
            <w:r w:rsidRPr="00E11721">
              <w:rPr>
                <w:rFonts w:asciiTheme="minorHAnsi" w:hAnsiTheme="minorHAnsi" w:cstheme="minorHAnsi"/>
                <w:b/>
                <w:sz w:val="15"/>
                <w:szCs w:val="15"/>
              </w:rPr>
              <w:t>Početna</w:t>
            </w:r>
            <w:r w:rsidRPr="00E11721">
              <w:rPr>
                <w:rFonts w:asciiTheme="minorHAnsi" w:hAnsiTheme="minorHAnsi" w:cstheme="minorHAnsi"/>
                <w:b/>
                <w:spacing w:val="1"/>
                <w:sz w:val="15"/>
                <w:szCs w:val="15"/>
              </w:rPr>
              <w:t xml:space="preserve"> </w:t>
            </w:r>
            <w:r w:rsidRPr="00E11721">
              <w:rPr>
                <w:rFonts w:asciiTheme="minorHAnsi" w:hAnsiTheme="minorHAnsi" w:cstheme="minorHAnsi"/>
                <w:b/>
                <w:sz w:val="15"/>
                <w:szCs w:val="15"/>
              </w:rPr>
              <w:t>vrijednost 2025.</w:t>
            </w:r>
            <w:r w:rsidRPr="00E11721">
              <w:rPr>
                <w:rFonts w:asciiTheme="minorHAnsi" w:hAnsiTheme="minorHAnsi" w:cstheme="minorHAnsi"/>
                <w:b/>
                <w:spacing w:val="-34"/>
                <w:sz w:val="15"/>
                <w:szCs w:val="15"/>
              </w:rPr>
              <w:t xml:space="preserve"> </w:t>
            </w:r>
          </w:p>
        </w:tc>
        <w:tc>
          <w:tcPr>
            <w:tcW w:w="895" w:type="pct"/>
            <w:gridSpan w:val="3"/>
            <w:vAlign w:val="center"/>
          </w:tcPr>
          <w:p w14:paraId="09A442CC" w14:textId="77777777" w:rsidR="00E541EE" w:rsidRPr="00E11721" w:rsidRDefault="00E541EE" w:rsidP="00A84BB5">
            <w:pPr>
              <w:pStyle w:val="TableParagraph"/>
              <w:ind w:left="70" w:right="56"/>
              <w:jc w:val="center"/>
              <w:rPr>
                <w:rFonts w:asciiTheme="minorHAnsi" w:hAnsiTheme="minorHAnsi" w:cstheme="minorHAnsi"/>
                <w:b/>
                <w:sz w:val="15"/>
                <w:szCs w:val="15"/>
              </w:rPr>
            </w:pPr>
            <w:r w:rsidRPr="00E11721">
              <w:rPr>
                <w:rFonts w:asciiTheme="minorHAnsi" w:hAnsiTheme="minorHAnsi" w:cstheme="minorHAnsi"/>
                <w:b/>
                <w:sz w:val="15"/>
                <w:szCs w:val="15"/>
              </w:rPr>
              <w:t>Ciljna</w:t>
            </w:r>
            <w:r w:rsidRPr="00E11721">
              <w:rPr>
                <w:rFonts w:asciiTheme="minorHAnsi" w:hAnsiTheme="minorHAnsi" w:cstheme="minorHAnsi"/>
                <w:b/>
                <w:spacing w:val="1"/>
                <w:sz w:val="15"/>
                <w:szCs w:val="15"/>
              </w:rPr>
              <w:t xml:space="preserve"> </w:t>
            </w:r>
            <w:r w:rsidRPr="00E11721">
              <w:rPr>
                <w:rFonts w:asciiTheme="minorHAnsi" w:hAnsiTheme="minorHAnsi" w:cstheme="minorHAnsi"/>
                <w:b/>
                <w:sz w:val="15"/>
                <w:szCs w:val="15"/>
              </w:rPr>
              <w:t>vrijednost</w:t>
            </w:r>
            <w:r w:rsidRPr="00E11721">
              <w:rPr>
                <w:rFonts w:asciiTheme="minorHAnsi" w:hAnsiTheme="minorHAnsi" w:cstheme="minorHAnsi"/>
                <w:b/>
                <w:spacing w:val="-34"/>
                <w:sz w:val="15"/>
                <w:szCs w:val="15"/>
              </w:rPr>
              <w:t xml:space="preserve"> </w:t>
            </w:r>
          </w:p>
        </w:tc>
      </w:tr>
      <w:tr w:rsidR="00E541EE" w:rsidRPr="00C002A5" w14:paraId="25ACFEC8" w14:textId="77777777" w:rsidTr="00A84BB5">
        <w:trPr>
          <w:trHeight w:val="637"/>
        </w:trPr>
        <w:tc>
          <w:tcPr>
            <w:tcW w:w="523" w:type="pct"/>
            <w:vMerge/>
            <w:tcBorders>
              <w:bottom w:val="single" w:sz="4" w:space="0" w:color="auto"/>
            </w:tcBorders>
          </w:tcPr>
          <w:p w14:paraId="7D8E4F59" w14:textId="77777777" w:rsidR="00E541EE" w:rsidRPr="00E11721" w:rsidRDefault="00E541EE" w:rsidP="00A84BB5">
            <w:pPr>
              <w:pStyle w:val="TableParagraph"/>
              <w:spacing w:before="49"/>
              <w:ind w:left="44" w:right="35"/>
              <w:jc w:val="center"/>
              <w:rPr>
                <w:rFonts w:asciiTheme="minorHAnsi" w:hAnsiTheme="minorHAnsi" w:cstheme="minorHAnsi"/>
                <w:b/>
                <w:sz w:val="15"/>
                <w:szCs w:val="15"/>
              </w:rPr>
            </w:pPr>
          </w:p>
        </w:tc>
        <w:tc>
          <w:tcPr>
            <w:tcW w:w="522" w:type="pct"/>
            <w:vMerge/>
          </w:tcPr>
          <w:p w14:paraId="5786F8C0" w14:textId="77777777" w:rsidR="00E541EE" w:rsidRPr="00E11721" w:rsidRDefault="00E541EE" w:rsidP="00A84BB5">
            <w:pPr>
              <w:pStyle w:val="TableParagraph"/>
              <w:spacing w:line="195" w:lineRule="exact"/>
              <w:ind w:left="44" w:right="35"/>
              <w:jc w:val="center"/>
              <w:rPr>
                <w:rFonts w:asciiTheme="minorHAnsi" w:hAnsiTheme="minorHAnsi" w:cstheme="minorHAnsi"/>
                <w:b/>
                <w:sz w:val="15"/>
                <w:szCs w:val="15"/>
              </w:rPr>
            </w:pPr>
          </w:p>
        </w:tc>
        <w:tc>
          <w:tcPr>
            <w:tcW w:w="597" w:type="pct"/>
            <w:vMerge/>
            <w:vAlign w:val="center"/>
          </w:tcPr>
          <w:p w14:paraId="7001BB7C" w14:textId="77777777" w:rsidR="00E541EE" w:rsidRPr="00E11721" w:rsidRDefault="00E541EE" w:rsidP="00A84BB5">
            <w:pPr>
              <w:pStyle w:val="TableParagraph"/>
              <w:ind w:left="125" w:right="114"/>
              <w:jc w:val="center"/>
              <w:rPr>
                <w:rFonts w:asciiTheme="minorHAnsi" w:hAnsiTheme="minorHAnsi" w:cstheme="minorHAnsi"/>
                <w:b/>
                <w:spacing w:val="-1"/>
                <w:sz w:val="15"/>
                <w:szCs w:val="15"/>
              </w:rPr>
            </w:pPr>
          </w:p>
        </w:tc>
        <w:tc>
          <w:tcPr>
            <w:tcW w:w="512" w:type="pct"/>
            <w:vMerge/>
            <w:vAlign w:val="center"/>
          </w:tcPr>
          <w:p w14:paraId="0D8266CE" w14:textId="77777777" w:rsidR="00E541EE" w:rsidRPr="00E11721" w:rsidRDefault="00E541EE" w:rsidP="00A84BB5">
            <w:pPr>
              <w:pStyle w:val="TableParagraph"/>
              <w:ind w:left="179"/>
              <w:jc w:val="center"/>
              <w:rPr>
                <w:rFonts w:asciiTheme="minorHAnsi" w:hAnsiTheme="minorHAnsi" w:cstheme="minorHAnsi"/>
                <w:b/>
                <w:sz w:val="15"/>
                <w:szCs w:val="15"/>
              </w:rPr>
            </w:pPr>
          </w:p>
        </w:tc>
        <w:tc>
          <w:tcPr>
            <w:tcW w:w="383" w:type="pct"/>
            <w:vMerge/>
            <w:vAlign w:val="center"/>
          </w:tcPr>
          <w:p w14:paraId="5EAEAFE5" w14:textId="77777777" w:rsidR="00E541EE" w:rsidRPr="00E11721" w:rsidRDefault="00E541EE" w:rsidP="00A84BB5">
            <w:pPr>
              <w:pStyle w:val="TableParagraph"/>
              <w:ind w:left="70" w:right="60"/>
              <w:jc w:val="center"/>
              <w:rPr>
                <w:rFonts w:asciiTheme="minorHAnsi" w:hAnsiTheme="minorHAnsi" w:cstheme="minorHAnsi"/>
                <w:b/>
                <w:sz w:val="15"/>
                <w:szCs w:val="15"/>
              </w:rPr>
            </w:pPr>
          </w:p>
        </w:tc>
        <w:tc>
          <w:tcPr>
            <w:tcW w:w="597" w:type="pct"/>
            <w:vMerge/>
            <w:vAlign w:val="center"/>
          </w:tcPr>
          <w:p w14:paraId="6E9ED3D5" w14:textId="77777777" w:rsidR="00E541EE" w:rsidRPr="00E11721" w:rsidRDefault="00E541EE" w:rsidP="00A84BB5">
            <w:pPr>
              <w:pStyle w:val="TableParagraph"/>
              <w:ind w:left="311"/>
              <w:jc w:val="center"/>
              <w:rPr>
                <w:rFonts w:asciiTheme="minorHAnsi" w:hAnsiTheme="minorHAnsi" w:cstheme="minorHAnsi"/>
                <w:b/>
                <w:sz w:val="15"/>
                <w:szCs w:val="15"/>
              </w:rPr>
            </w:pPr>
          </w:p>
        </w:tc>
        <w:tc>
          <w:tcPr>
            <w:tcW w:w="560" w:type="pct"/>
            <w:vMerge/>
            <w:vAlign w:val="center"/>
          </w:tcPr>
          <w:p w14:paraId="5E3184F1" w14:textId="77777777" w:rsidR="00E541EE" w:rsidRPr="00E11721" w:rsidRDefault="00E541EE" w:rsidP="00A84BB5">
            <w:pPr>
              <w:pStyle w:val="TableParagraph"/>
              <w:ind w:left="174" w:right="97" w:hanging="44"/>
              <w:jc w:val="center"/>
              <w:rPr>
                <w:rFonts w:asciiTheme="minorHAnsi" w:hAnsiTheme="minorHAnsi" w:cstheme="minorHAnsi"/>
                <w:b/>
                <w:sz w:val="15"/>
                <w:szCs w:val="15"/>
              </w:rPr>
            </w:pPr>
          </w:p>
        </w:tc>
        <w:tc>
          <w:tcPr>
            <w:tcW w:w="411" w:type="pct"/>
            <w:vMerge/>
            <w:vAlign w:val="center"/>
          </w:tcPr>
          <w:p w14:paraId="2CC6076A" w14:textId="77777777" w:rsidR="00E541EE" w:rsidRPr="00E11721" w:rsidRDefault="00E541EE" w:rsidP="00A84BB5">
            <w:pPr>
              <w:pStyle w:val="TableParagraph"/>
              <w:ind w:left="44" w:right="32"/>
              <w:jc w:val="center"/>
              <w:rPr>
                <w:rFonts w:asciiTheme="minorHAnsi" w:hAnsiTheme="minorHAnsi" w:cstheme="minorHAnsi"/>
                <w:b/>
                <w:sz w:val="15"/>
                <w:szCs w:val="15"/>
              </w:rPr>
            </w:pPr>
          </w:p>
        </w:tc>
        <w:tc>
          <w:tcPr>
            <w:tcW w:w="298" w:type="pct"/>
            <w:vAlign w:val="center"/>
          </w:tcPr>
          <w:p w14:paraId="44173CA2" w14:textId="77777777" w:rsidR="00E541EE" w:rsidRPr="00E11721" w:rsidRDefault="00E541EE" w:rsidP="00A84BB5">
            <w:pPr>
              <w:pStyle w:val="TableParagraph"/>
              <w:ind w:left="87" w:right="70"/>
              <w:jc w:val="center"/>
              <w:rPr>
                <w:rFonts w:asciiTheme="minorHAnsi" w:hAnsiTheme="minorHAnsi" w:cstheme="minorHAnsi"/>
                <w:b/>
                <w:sz w:val="15"/>
                <w:szCs w:val="15"/>
              </w:rPr>
            </w:pPr>
            <w:r w:rsidRPr="00E11721">
              <w:rPr>
                <w:rFonts w:asciiTheme="minorHAnsi" w:hAnsiTheme="minorHAnsi" w:cstheme="minorHAnsi"/>
                <w:b/>
                <w:sz w:val="15"/>
                <w:szCs w:val="15"/>
              </w:rPr>
              <w:t>za 2026.</w:t>
            </w:r>
          </w:p>
        </w:tc>
        <w:tc>
          <w:tcPr>
            <w:tcW w:w="298" w:type="pct"/>
            <w:vAlign w:val="center"/>
          </w:tcPr>
          <w:p w14:paraId="4A7DE57F" w14:textId="77777777" w:rsidR="00E541EE" w:rsidRPr="00E11721" w:rsidRDefault="00E541EE" w:rsidP="00A84BB5">
            <w:pPr>
              <w:pStyle w:val="TableParagraph"/>
              <w:ind w:left="75" w:right="61"/>
              <w:jc w:val="center"/>
              <w:rPr>
                <w:rFonts w:asciiTheme="minorHAnsi" w:hAnsiTheme="minorHAnsi" w:cstheme="minorHAnsi"/>
                <w:b/>
                <w:sz w:val="15"/>
                <w:szCs w:val="15"/>
              </w:rPr>
            </w:pPr>
            <w:r w:rsidRPr="00E11721">
              <w:rPr>
                <w:rFonts w:asciiTheme="minorHAnsi" w:hAnsiTheme="minorHAnsi" w:cstheme="minorHAnsi"/>
                <w:b/>
                <w:sz w:val="15"/>
                <w:szCs w:val="15"/>
              </w:rPr>
              <w:t>za</w:t>
            </w:r>
          </w:p>
          <w:p w14:paraId="5ADA2063" w14:textId="77777777" w:rsidR="00E541EE" w:rsidRPr="00E11721" w:rsidRDefault="00E541EE" w:rsidP="00A84BB5">
            <w:pPr>
              <w:pStyle w:val="TableParagraph"/>
              <w:ind w:left="75" w:right="61"/>
              <w:jc w:val="center"/>
              <w:rPr>
                <w:rFonts w:asciiTheme="minorHAnsi" w:hAnsiTheme="minorHAnsi" w:cstheme="minorHAnsi"/>
                <w:b/>
                <w:sz w:val="15"/>
                <w:szCs w:val="15"/>
              </w:rPr>
            </w:pPr>
            <w:r w:rsidRPr="00E11721">
              <w:rPr>
                <w:rFonts w:asciiTheme="minorHAnsi" w:hAnsiTheme="minorHAnsi" w:cstheme="minorHAnsi"/>
                <w:b/>
                <w:sz w:val="15"/>
                <w:szCs w:val="15"/>
              </w:rPr>
              <w:t>2027.</w:t>
            </w:r>
          </w:p>
        </w:tc>
        <w:tc>
          <w:tcPr>
            <w:tcW w:w="299" w:type="pct"/>
            <w:vAlign w:val="center"/>
          </w:tcPr>
          <w:p w14:paraId="7D195B57" w14:textId="77777777" w:rsidR="00E541EE" w:rsidRPr="00E11721" w:rsidRDefault="00E541EE" w:rsidP="00A84BB5">
            <w:pPr>
              <w:pStyle w:val="TableParagraph"/>
              <w:ind w:left="70" w:right="56"/>
              <w:jc w:val="center"/>
              <w:rPr>
                <w:rFonts w:asciiTheme="minorHAnsi" w:hAnsiTheme="minorHAnsi" w:cstheme="minorHAnsi"/>
                <w:b/>
                <w:sz w:val="15"/>
                <w:szCs w:val="15"/>
              </w:rPr>
            </w:pPr>
            <w:r w:rsidRPr="00E11721">
              <w:rPr>
                <w:rFonts w:asciiTheme="minorHAnsi" w:hAnsiTheme="minorHAnsi" w:cstheme="minorHAnsi"/>
                <w:b/>
                <w:sz w:val="15"/>
                <w:szCs w:val="15"/>
              </w:rPr>
              <w:t>za</w:t>
            </w:r>
          </w:p>
          <w:p w14:paraId="50D20F97" w14:textId="77777777" w:rsidR="00E541EE" w:rsidRPr="00E11721" w:rsidRDefault="00E541EE" w:rsidP="00A84BB5">
            <w:pPr>
              <w:pStyle w:val="TableParagraph"/>
              <w:ind w:left="70" w:right="56"/>
              <w:jc w:val="center"/>
              <w:rPr>
                <w:rFonts w:asciiTheme="minorHAnsi" w:hAnsiTheme="minorHAnsi" w:cstheme="minorHAnsi"/>
                <w:b/>
                <w:sz w:val="15"/>
                <w:szCs w:val="15"/>
              </w:rPr>
            </w:pPr>
            <w:r w:rsidRPr="00E11721">
              <w:rPr>
                <w:rFonts w:asciiTheme="minorHAnsi" w:hAnsiTheme="minorHAnsi" w:cstheme="minorHAnsi"/>
                <w:b/>
                <w:sz w:val="15"/>
                <w:szCs w:val="15"/>
              </w:rPr>
              <w:t>2028.</w:t>
            </w:r>
          </w:p>
        </w:tc>
      </w:tr>
      <w:tr w:rsidR="00E541EE" w:rsidRPr="00C002A5" w14:paraId="2EE5145C" w14:textId="77777777" w:rsidTr="00A84BB5">
        <w:trPr>
          <w:trHeight w:val="699"/>
        </w:trPr>
        <w:tc>
          <w:tcPr>
            <w:tcW w:w="523" w:type="pct"/>
            <w:vMerge w:val="restart"/>
            <w:tcBorders>
              <w:top w:val="single" w:sz="4" w:space="0" w:color="auto"/>
            </w:tcBorders>
            <w:vAlign w:val="center"/>
          </w:tcPr>
          <w:p w14:paraId="78B6F9D9" w14:textId="77777777" w:rsidR="00E541EE" w:rsidRPr="00C002A5" w:rsidRDefault="00E541EE" w:rsidP="00A84BB5">
            <w:pPr>
              <w:pStyle w:val="TableParagraph"/>
              <w:spacing w:before="49"/>
              <w:ind w:left="44" w:right="35"/>
              <w:jc w:val="center"/>
              <w:rPr>
                <w:rFonts w:asciiTheme="minorHAnsi" w:hAnsiTheme="minorHAnsi" w:cstheme="minorHAnsi"/>
                <w:b/>
                <w:sz w:val="14"/>
                <w:szCs w:val="14"/>
              </w:rPr>
            </w:pPr>
            <w:r w:rsidRPr="00C002A5">
              <w:rPr>
                <w:rFonts w:asciiTheme="minorHAnsi" w:hAnsiTheme="minorHAnsi" w:cstheme="minorHAnsi"/>
                <w:b/>
                <w:sz w:val="14"/>
                <w:szCs w:val="14"/>
              </w:rPr>
              <w:t>Provedbeni program Grada Rovinja-Rovigno za razdoblje 2025.-2029. godine</w:t>
            </w:r>
          </w:p>
        </w:tc>
        <w:tc>
          <w:tcPr>
            <w:tcW w:w="522" w:type="pct"/>
            <w:vMerge w:val="restart"/>
            <w:vAlign w:val="center"/>
          </w:tcPr>
          <w:p w14:paraId="1E9BE6B5" w14:textId="77777777" w:rsidR="00E541EE" w:rsidRPr="00C002A5" w:rsidRDefault="00E541EE" w:rsidP="00A84BB5">
            <w:pPr>
              <w:pStyle w:val="TableParagraph"/>
              <w:ind w:left="28" w:right="19" w:firstLine="2"/>
              <w:jc w:val="center"/>
              <w:rPr>
                <w:rFonts w:asciiTheme="minorHAnsi" w:hAnsiTheme="minorHAnsi" w:cstheme="minorHAnsi"/>
                <w:sz w:val="14"/>
                <w:szCs w:val="14"/>
              </w:rPr>
            </w:pPr>
            <w:r w:rsidRPr="00C002A5">
              <w:rPr>
                <w:rFonts w:asciiTheme="minorHAnsi" w:hAnsiTheme="minorHAnsi" w:cstheme="minorHAnsi"/>
                <w:sz w:val="14"/>
                <w:szCs w:val="14"/>
              </w:rPr>
              <w:t>2.4. Učinkovito upravljanje regionalnim razvojem</w:t>
            </w:r>
          </w:p>
          <w:p w14:paraId="5DEE5E62" w14:textId="77777777" w:rsidR="00E541EE" w:rsidRPr="00C002A5" w:rsidRDefault="00E541EE" w:rsidP="00A84BB5">
            <w:pPr>
              <w:pStyle w:val="TableParagraph"/>
              <w:ind w:left="28" w:right="19" w:firstLine="2"/>
              <w:jc w:val="center"/>
              <w:rPr>
                <w:rFonts w:asciiTheme="minorHAnsi" w:hAnsiTheme="minorHAnsi" w:cstheme="minorHAnsi"/>
                <w:sz w:val="14"/>
                <w:szCs w:val="14"/>
              </w:rPr>
            </w:pPr>
          </w:p>
          <w:p w14:paraId="1CA7AB06" w14:textId="77777777" w:rsidR="00E541EE" w:rsidRPr="00C002A5" w:rsidRDefault="00E541EE" w:rsidP="00A84BB5">
            <w:pPr>
              <w:pStyle w:val="TableParagraph"/>
              <w:ind w:left="28" w:right="19" w:firstLine="2"/>
              <w:jc w:val="center"/>
              <w:rPr>
                <w:rFonts w:asciiTheme="minorHAnsi" w:hAnsiTheme="minorHAnsi" w:cstheme="minorHAnsi"/>
                <w:sz w:val="14"/>
                <w:szCs w:val="14"/>
              </w:rPr>
            </w:pPr>
          </w:p>
          <w:p w14:paraId="6758BB5A" w14:textId="77777777" w:rsidR="00E541EE" w:rsidRPr="00C002A5" w:rsidRDefault="00E541EE" w:rsidP="00A84BB5">
            <w:pPr>
              <w:pStyle w:val="TableParagraph"/>
              <w:ind w:left="28" w:right="19" w:firstLine="2"/>
              <w:jc w:val="center"/>
              <w:rPr>
                <w:rFonts w:asciiTheme="minorHAnsi" w:hAnsiTheme="minorHAnsi" w:cstheme="minorHAnsi"/>
                <w:sz w:val="14"/>
                <w:szCs w:val="14"/>
              </w:rPr>
            </w:pPr>
          </w:p>
          <w:p w14:paraId="5218520C" w14:textId="77777777" w:rsidR="00E541EE" w:rsidRPr="00C002A5" w:rsidRDefault="00E541EE" w:rsidP="00A84BB5">
            <w:pPr>
              <w:pStyle w:val="TableParagraph"/>
              <w:ind w:left="28" w:right="19" w:firstLine="2"/>
              <w:jc w:val="center"/>
              <w:rPr>
                <w:rFonts w:asciiTheme="minorHAnsi" w:hAnsiTheme="minorHAnsi" w:cstheme="minorHAnsi"/>
                <w:color w:val="FF0000"/>
                <w:sz w:val="14"/>
                <w:szCs w:val="14"/>
              </w:rPr>
            </w:pPr>
          </w:p>
        </w:tc>
        <w:tc>
          <w:tcPr>
            <w:tcW w:w="597" w:type="pct"/>
            <w:vMerge w:val="restart"/>
            <w:shd w:val="clear" w:color="auto" w:fill="FFF1CC"/>
            <w:vAlign w:val="center"/>
          </w:tcPr>
          <w:p w14:paraId="0A1074D9" w14:textId="77777777" w:rsidR="00E541EE" w:rsidRPr="00C002A5" w:rsidRDefault="00E541EE" w:rsidP="00A84BB5">
            <w:pPr>
              <w:pStyle w:val="TableParagraph"/>
              <w:jc w:val="center"/>
              <w:rPr>
                <w:rFonts w:asciiTheme="minorHAnsi" w:hAnsiTheme="minorHAnsi" w:cstheme="minorHAnsi"/>
                <w:sz w:val="14"/>
                <w:szCs w:val="14"/>
              </w:rPr>
            </w:pPr>
            <w:r w:rsidRPr="00C002A5">
              <w:rPr>
                <w:rFonts w:asciiTheme="minorHAnsi" w:hAnsiTheme="minorHAnsi" w:cstheme="minorHAnsi"/>
                <w:sz w:val="14"/>
                <w:szCs w:val="14"/>
              </w:rPr>
              <w:t>P1003 MJERE I AKTIVNOSTI IZ DJELOKRUGA UPRAVNOG TIJELA, P1050 DIGITALIZACIJA POSLOVANJA GRADSKE UPRAVE</w:t>
            </w:r>
          </w:p>
          <w:p w14:paraId="345F5E2F" w14:textId="77777777" w:rsidR="00E541EE" w:rsidRPr="00C002A5" w:rsidRDefault="00E541EE" w:rsidP="00A84BB5">
            <w:pPr>
              <w:pStyle w:val="TableParagraph"/>
              <w:jc w:val="center"/>
              <w:rPr>
                <w:rFonts w:asciiTheme="minorHAnsi" w:hAnsiTheme="minorHAnsi" w:cstheme="minorHAnsi"/>
                <w:sz w:val="14"/>
                <w:szCs w:val="14"/>
              </w:rPr>
            </w:pPr>
          </w:p>
          <w:p w14:paraId="49ACF123" w14:textId="77777777" w:rsidR="00E541EE" w:rsidRPr="00C002A5" w:rsidRDefault="00E541EE" w:rsidP="00A84BB5">
            <w:pPr>
              <w:pStyle w:val="TableParagraph"/>
              <w:jc w:val="center"/>
              <w:rPr>
                <w:rFonts w:asciiTheme="minorHAnsi" w:hAnsiTheme="minorHAnsi" w:cstheme="minorHAnsi"/>
                <w:sz w:val="14"/>
                <w:szCs w:val="14"/>
              </w:rPr>
            </w:pPr>
          </w:p>
          <w:p w14:paraId="0AABB12C" w14:textId="77777777" w:rsidR="00E541EE" w:rsidRPr="00C002A5" w:rsidRDefault="00E541EE" w:rsidP="00A84BB5">
            <w:pPr>
              <w:pStyle w:val="TableParagraph"/>
              <w:jc w:val="center"/>
              <w:rPr>
                <w:rFonts w:asciiTheme="minorHAnsi" w:hAnsiTheme="minorHAnsi" w:cstheme="minorHAnsi"/>
                <w:sz w:val="14"/>
                <w:szCs w:val="14"/>
              </w:rPr>
            </w:pPr>
          </w:p>
          <w:p w14:paraId="77B89636" w14:textId="77777777" w:rsidR="00E541EE" w:rsidRPr="00C002A5" w:rsidRDefault="00E541EE" w:rsidP="00A84BB5">
            <w:pPr>
              <w:pStyle w:val="TableParagraph"/>
              <w:ind w:left="74" w:right="63" w:hanging="4"/>
              <w:jc w:val="center"/>
              <w:rPr>
                <w:rFonts w:asciiTheme="minorHAnsi" w:hAnsiTheme="minorHAnsi" w:cstheme="minorHAnsi"/>
                <w:color w:val="FF0000"/>
                <w:sz w:val="14"/>
                <w:szCs w:val="14"/>
              </w:rPr>
            </w:pPr>
          </w:p>
        </w:tc>
        <w:tc>
          <w:tcPr>
            <w:tcW w:w="512" w:type="pct"/>
            <w:vMerge w:val="restart"/>
            <w:vAlign w:val="center"/>
          </w:tcPr>
          <w:p w14:paraId="7F677C6A" w14:textId="77777777" w:rsidR="00E541EE" w:rsidRDefault="00E541EE" w:rsidP="00A84BB5">
            <w:pPr>
              <w:pStyle w:val="TableParagraph"/>
              <w:spacing w:before="7"/>
              <w:jc w:val="center"/>
              <w:rPr>
                <w:rFonts w:asciiTheme="minorHAnsi" w:hAnsiTheme="minorHAnsi" w:cstheme="minorHAnsi"/>
                <w:sz w:val="14"/>
                <w:szCs w:val="14"/>
              </w:rPr>
            </w:pPr>
          </w:p>
          <w:p w14:paraId="401CF6CD" w14:textId="77777777" w:rsidR="00E541EE" w:rsidRPr="00C002A5" w:rsidRDefault="00E541EE" w:rsidP="00A84BB5">
            <w:pPr>
              <w:pStyle w:val="TableParagraph"/>
              <w:spacing w:before="7"/>
              <w:jc w:val="center"/>
              <w:rPr>
                <w:rFonts w:asciiTheme="minorHAnsi" w:hAnsiTheme="minorHAnsi" w:cstheme="minorHAnsi"/>
                <w:sz w:val="14"/>
                <w:szCs w:val="14"/>
              </w:rPr>
            </w:pPr>
            <w:r w:rsidRPr="00C002A5">
              <w:rPr>
                <w:rFonts w:asciiTheme="minorHAnsi" w:hAnsiTheme="minorHAnsi" w:cstheme="minorHAnsi"/>
                <w:sz w:val="14"/>
                <w:szCs w:val="14"/>
              </w:rPr>
              <w:t>Stvaranje pametne uprave</w:t>
            </w:r>
          </w:p>
          <w:p w14:paraId="3234FFE6" w14:textId="77777777" w:rsidR="00E541EE" w:rsidRPr="00C002A5" w:rsidRDefault="00E541EE" w:rsidP="00A84BB5">
            <w:pPr>
              <w:pStyle w:val="TableParagraph"/>
              <w:spacing w:before="7"/>
              <w:jc w:val="center"/>
              <w:rPr>
                <w:rFonts w:asciiTheme="minorHAnsi" w:hAnsiTheme="minorHAnsi" w:cstheme="minorHAnsi"/>
                <w:sz w:val="14"/>
                <w:szCs w:val="14"/>
              </w:rPr>
            </w:pPr>
          </w:p>
          <w:p w14:paraId="3649E3D6" w14:textId="77777777" w:rsidR="00E541EE" w:rsidRPr="00C002A5" w:rsidRDefault="00E541EE" w:rsidP="00A84BB5">
            <w:pPr>
              <w:pStyle w:val="TableParagraph"/>
              <w:spacing w:before="7"/>
              <w:jc w:val="center"/>
              <w:rPr>
                <w:rFonts w:asciiTheme="minorHAnsi" w:hAnsiTheme="minorHAnsi" w:cstheme="minorHAnsi"/>
                <w:sz w:val="14"/>
                <w:szCs w:val="14"/>
              </w:rPr>
            </w:pPr>
          </w:p>
          <w:p w14:paraId="4BB654F2" w14:textId="77777777" w:rsidR="00E541EE" w:rsidRPr="00C002A5" w:rsidRDefault="00E541EE" w:rsidP="00A84BB5">
            <w:pPr>
              <w:pStyle w:val="TableParagraph"/>
              <w:spacing w:before="7"/>
              <w:jc w:val="center"/>
              <w:rPr>
                <w:rFonts w:asciiTheme="minorHAnsi" w:hAnsiTheme="minorHAnsi" w:cstheme="minorHAnsi"/>
                <w:sz w:val="14"/>
                <w:szCs w:val="14"/>
              </w:rPr>
            </w:pPr>
          </w:p>
          <w:p w14:paraId="2CE59757" w14:textId="77777777" w:rsidR="00E541EE" w:rsidRPr="00C002A5" w:rsidRDefault="00E541EE" w:rsidP="00A84BB5">
            <w:pPr>
              <w:pStyle w:val="TableParagraph"/>
              <w:spacing w:before="7"/>
              <w:jc w:val="center"/>
              <w:rPr>
                <w:rFonts w:asciiTheme="minorHAnsi" w:hAnsiTheme="minorHAnsi" w:cstheme="minorHAnsi"/>
                <w:sz w:val="14"/>
                <w:szCs w:val="14"/>
              </w:rPr>
            </w:pPr>
          </w:p>
          <w:p w14:paraId="7EEBACC2" w14:textId="77777777" w:rsidR="00E541EE" w:rsidRPr="00C002A5" w:rsidRDefault="00E541EE" w:rsidP="00A84BB5">
            <w:pPr>
              <w:pStyle w:val="TableParagraph"/>
              <w:spacing w:before="7"/>
              <w:jc w:val="center"/>
              <w:rPr>
                <w:rFonts w:asciiTheme="minorHAnsi" w:hAnsiTheme="minorHAnsi" w:cstheme="minorHAnsi"/>
                <w:sz w:val="14"/>
                <w:szCs w:val="14"/>
              </w:rPr>
            </w:pPr>
          </w:p>
          <w:p w14:paraId="324F8B9C" w14:textId="77777777" w:rsidR="00E541EE" w:rsidRPr="00C002A5" w:rsidRDefault="00E541EE" w:rsidP="00A84BB5">
            <w:pPr>
              <w:pStyle w:val="TableParagraph"/>
              <w:spacing w:before="7"/>
              <w:jc w:val="center"/>
              <w:rPr>
                <w:rFonts w:asciiTheme="minorHAnsi" w:hAnsiTheme="minorHAnsi" w:cstheme="minorHAnsi"/>
                <w:sz w:val="14"/>
                <w:szCs w:val="14"/>
              </w:rPr>
            </w:pPr>
          </w:p>
          <w:p w14:paraId="30ABA056" w14:textId="77777777" w:rsidR="00E541EE" w:rsidRPr="00C002A5" w:rsidRDefault="00E541EE" w:rsidP="00A84BB5">
            <w:pPr>
              <w:pStyle w:val="TableParagraph"/>
              <w:ind w:left="29" w:right="11" w:firstLine="9"/>
              <w:jc w:val="center"/>
              <w:rPr>
                <w:rFonts w:asciiTheme="minorHAnsi" w:hAnsiTheme="minorHAnsi" w:cstheme="minorHAnsi"/>
                <w:color w:val="FF0000"/>
                <w:sz w:val="14"/>
                <w:szCs w:val="14"/>
              </w:rPr>
            </w:pPr>
          </w:p>
        </w:tc>
        <w:tc>
          <w:tcPr>
            <w:tcW w:w="383" w:type="pct"/>
            <w:vMerge w:val="restart"/>
            <w:shd w:val="clear" w:color="auto" w:fill="FFF1CC"/>
            <w:vAlign w:val="center"/>
          </w:tcPr>
          <w:p w14:paraId="4332D3B7" w14:textId="77777777" w:rsidR="00E541EE" w:rsidRPr="00C002A5" w:rsidRDefault="00E541EE" w:rsidP="00A84BB5">
            <w:pPr>
              <w:pStyle w:val="TableParagraph"/>
              <w:jc w:val="center"/>
              <w:rPr>
                <w:rFonts w:asciiTheme="minorHAnsi" w:hAnsiTheme="minorHAnsi" w:cstheme="minorHAnsi"/>
                <w:sz w:val="14"/>
                <w:szCs w:val="14"/>
              </w:rPr>
            </w:pPr>
          </w:p>
          <w:p w14:paraId="0FF0F078" w14:textId="77777777" w:rsidR="00E541EE" w:rsidRPr="00C002A5" w:rsidRDefault="00E541EE" w:rsidP="00A84BB5">
            <w:pPr>
              <w:pStyle w:val="TableParagraph"/>
              <w:jc w:val="center"/>
              <w:rPr>
                <w:rFonts w:asciiTheme="minorHAnsi" w:hAnsiTheme="minorHAnsi" w:cstheme="minorHAnsi"/>
                <w:sz w:val="14"/>
                <w:szCs w:val="14"/>
              </w:rPr>
            </w:pPr>
            <w:r w:rsidRPr="00C002A5">
              <w:rPr>
                <w:rFonts w:asciiTheme="minorHAnsi" w:hAnsiTheme="minorHAnsi" w:cstheme="minorHAnsi"/>
                <w:sz w:val="14"/>
                <w:szCs w:val="14"/>
              </w:rPr>
              <w:t>1.296.493,00</w:t>
            </w:r>
          </w:p>
          <w:p w14:paraId="2945EF08" w14:textId="77777777" w:rsidR="00E541EE" w:rsidRPr="00C002A5" w:rsidRDefault="00E541EE" w:rsidP="00A84BB5">
            <w:pPr>
              <w:pStyle w:val="TableParagraph"/>
              <w:jc w:val="center"/>
              <w:rPr>
                <w:rFonts w:asciiTheme="minorHAnsi" w:hAnsiTheme="minorHAnsi" w:cstheme="minorHAnsi"/>
                <w:sz w:val="14"/>
                <w:szCs w:val="14"/>
              </w:rPr>
            </w:pPr>
          </w:p>
          <w:p w14:paraId="7AEFCBA9" w14:textId="77777777" w:rsidR="00E541EE" w:rsidRPr="00C002A5" w:rsidRDefault="00E541EE" w:rsidP="00A84BB5">
            <w:pPr>
              <w:pStyle w:val="TableParagraph"/>
              <w:ind w:left="142"/>
              <w:jc w:val="center"/>
              <w:rPr>
                <w:rFonts w:asciiTheme="minorHAnsi" w:hAnsiTheme="minorHAnsi" w:cstheme="minorHAnsi"/>
                <w:color w:val="FF0000"/>
                <w:sz w:val="14"/>
                <w:szCs w:val="14"/>
              </w:rPr>
            </w:pPr>
          </w:p>
        </w:tc>
        <w:tc>
          <w:tcPr>
            <w:tcW w:w="597" w:type="pct"/>
            <w:vMerge w:val="restart"/>
            <w:vAlign w:val="center"/>
          </w:tcPr>
          <w:p w14:paraId="5C6516B7" w14:textId="77777777" w:rsidR="00E541EE" w:rsidRPr="00C002A5" w:rsidRDefault="00E541EE" w:rsidP="00A84BB5">
            <w:pPr>
              <w:jc w:val="center"/>
              <w:rPr>
                <w:rFonts w:cstheme="minorHAnsi"/>
                <w:sz w:val="14"/>
                <w:szCs w:val="14"/>
              </w:rPr>
            </w:pPr>
          </w:p>
          <w:p w14:paraId="2D25624B" w14:textId="77777777" w:rsidR="00E541EE" w:rsidRPr="00C002A5" w:rsidRDefault="00E541EE" w:rsidP="00A84BB5">
            <w:pPr>
              <w:jc w:val="center"/>
              <w:rPr>
                <w:rFonts w:cstheme="minorHAnsi"/>
                <w:sz w:val="14"/>
                <w:szCs w:val="14"/>
              </w:rPr>
            </w:pPr>
            <w:r w:rsidRPr="00C002A5">
              <w:rPr>
                <w:rFonts w:cstheme="minorHAnsi"/>
                <w:sz w:val="14"/>
                <w:szCs w:val="14"/>
              </w:rPr>
              <w:t>A1003 01 RAD UPRAVNOG TIJELA;</w:t>
            </w:r>
          </w:p>
          <w:p w14:paraId="0E389BBC" w14:textId="77777777" w:rsidR="00E541EE" w:rsidRDefault="00E541EE" w:rsidP="00A84BB5">
            <w:pPr>
              <w:jc w:val="center"/>
              <w:rPr>
                <w:rFonts w:cstheme="minorHAnsi"/>
                <w:sz w:val="14"/>
                <w:szCs w:val="14"/>
              </w:rPr>
            </w:pPr>
          </w:p>
          <w:p w14:paraId="2CBB2F86" w14:textId="77777777" w:rsidR="00E541EE" w:rsidRPr="00C002A5" w:rsidRDefault="00E541EE" w:rsidP="00A84BB5">
            <w:pPr>
              <w:jc w:val="center"/>
              <w:rPr>
                <w:rFonts w:cstheme="minorHAnsi"/>
                <w:sz w:val="14"/>
                <w:szCs w:val="14"/>
              </w:rPr>
            </w:pPr>
            <w:r w:rsidRPr="00C002A5">
              <w:rPr>
                <w:rFonts w:cstheme="minorHAnsi"/>
                <w:sz w:val="14"/>
                <w:szCs w:val="14"/>
              </w:rPr>
              <w:t>K 100301 NABAVA OPREME ZA POTREBE GRADSKE UPRAVE</w:t>
            </w:r>
          </w:p>
          <w:p w14:paraId="241AF24F" w14:textId="77777777" w:rsidR="00E541EE" w:rsidRDefault="00E541EE" w:rsidP="00A84BB5">
            <w:pPr>
              <w:jc w:val="center"/>
              <w:rPr>
                <w:rFonts w:cstheme="minorHAnsi"/>
                <w:sz w:val="14"/>
                <w:szCs w:val="14"/>
              </w:rPr>
            </w:pPr>
          </w:p>
          <w:p w14:paraId="38CE973E" w14:textId="77777777" w:rsidR="00E541EE" w:rsidRDefault="00E541EE" w:rsidP="00A84BB5">
            <w:pPr>
              <w:jc w:val="center"/>
              <w:rPr>
                <w:rFonts w:cstheme="minorHAnsi"/>
                <w:sz w:val="14"/>
                <w:szCs w:val="14"/>
              </w:rPr>
            </w:pPr>
          </w:p>
          <w:p w14:paraId="688CF77E" w14:textId="77777777" w:rsidR="00E541EE" w:rsidRDefault="00E541EE" w:rsidP="00A84BB5">
            <w:pPr>
              <w:jc w:val="center"/>
              <w:rPr>
                <w:rFonts w:cstheme="minorHAnsi"/>
                <w:sz w:val="14"/>
                <w:szCs w:val="14"/>
              </w:rPr>
            </w:pPr>
          </w:p>
          <w:p w14:paraId="02FF920A" w14:textId="77777777" w:rsidR="00E541EE" w:rsidRPr="00C002A5" w:rsidRDefault="00E541EE" w:rsidP="00A84BB5">
            <w:pPr>
              <w:jc w:val="center"/>
              <w:rPr>
                <w:rFonts w:cstheme="minorHAnsi"/>
                <w:sz w:val="14"/>
                <w:szCs w:val="14"/>
              </w:rPr>
            </w:pPr>
            <w:r w:rsidRPr="00C002A5">
              <w:rPr>
                <w:rFonts w:cstheme="minorHAnsi"/>
                <w:sz w:val="14"/>
                <w:szCs w:val="14"/>
              </w:rPr>
              <w:t>T105002: Projekt „Rovinj-Rovigno Direct“</w:t>
            </w:r>
          </w:p>
        </w:tc>
        <w:tc>
          <w:tcPr>
            <w:tcW w:w="560" w:type="pct"/>
            <w:shd w:val="clear" w:color="auto" w:fill="FFF1CC"/>
            <w:vAlign w:val="center"/>
          </w:tcPr>
          <w:p w14:paraId="21924760" w14:textId="77777777" w:rsidR="00E541EE" w:rsidRPr="00C002A5" w:rsidRDefault="00E541EE" w:rsidP="00A84BB5">
            <w:pPr>
              <w:jc w:val="center"/>
              <w:rPr>
                <w:rFonts w:cstheme="minorHAnsi"/>
                <w:sz w:val="14"/>
                <w:szCs w:val="14"/>
              </w:rPr>
            </w:pPr>
            <w:r w:rsidRPr="00C002A5">
              <w:rPr>
                <w:rFonts w:cstheme="minorHAnsi"/>
                <w:sz w:val="14"/>
                <w:szCs w:val="14"/>
              </w:rPr>
              <w:t>Broj izdanih rješenja - godišnje</w:t>
            </w:r>
          </w:p>
        </w:tc>
        <w:tc>
          <w:tcPr>
            <w:tcW w:w="411" w:type="pct"/>
            <w:vAlign w:val="center"/>
          </w:tcPr>
          <w:p w14:paraId="03C8FB22" w14:textId="77777777" w:rsidR="00E541EE" w:rsidRPr="00C002A5" w:rsidRDefault="00E541EE" w:rsidP="00A84BB5">
            <w:pPr>
              <w:jc w:val="center"/>
              <w:rPr>
                <w:rFonts w:cstheme="minorHAnsi"/>
                <w:sz w:val="14"/>
                <w:szCs w:val="14"/>
              </w:rPr>
            </w:pPr>
            <w:r w:rsidRPr="00C002A5">
              <w:rPr>
                <w:rFonts w:cstheme="minorHAnsi"/>
                <w:sz w:val="14"/>
                <w:szCs w:val="14"/>
              </w:rPr>
              <w:t>13.500</w:t>
            </w:r>
          </w:p>
        </w:tc>
        <w:tc>
          <w:tcPr>
            <w:tcW w:w="298" w:type="pct"/>
            <w:vAlign w:val="center"/>
          </w:tcPr>
          <w:p w14:paraId="5056F5E2" w14:textId="77777777" w:rsidR="00E541EE" w:rsidRPr="00C002A5" w:rsidRDefault="00E541EE" w:rsidP="00A84BB5">
            <w:pPr>
              <w:jc w:val="center"/>
              <w:rPr>
                <w:rFonts w:cstheme="minorHAnsi"/>
                <w:sz w:val="14"/>
                <w:szCs w:val="14"/>
              </w:rPr>
            </w:pPr>
            <w:r w:rsidRPr="00C002A5">
              <w:rPr>
                <w:rFonts w:cstheme="minorHAnsi"/>
                <w:sz w:val="14"/>
                <w:szCs w:val="14"/>
              </w:rPr>
              <w:t>13.700</w:t>
            </w:r>
          </w:p>
        </w:tc>
        <w:tc>
          <w:tcPr>
            <w:tcW w:w="298" w:type="pct"/>
            <w:vAlign w:val="center"/>
          </w:tcPr>
          <w:p w14:paraId="3323B139" w14:textId="77777777" w:rsidR="00E541EE" w:rsidRPr="00C002A5" w:rsidRDefault="00E541EE" w:rsidP="00A84BB5">
            <w:pPr>
              <w:jc w:val="center"/>
              <w:rPr>
                <w:rFonts w:cstheme="minorHAnsi"/>
                <w:sz w:val="14"/>
                <w:szCs w:val="14"/>
              </w:rPr>
            </w:pPr>
            <w:r w:rsidRPr="00C002A5">
              <w:rPr>
                <w:rFonts w:cstheme="minorHAnsi"/>
                <w:sz w:val="14"/>
                <w:szCs w:val="14"/>
              </w:rPr>
              <w:t>13.800</w:t>
            </w:r>
          </w:p>
        </w:tc>
        <w:tc>
          <w:tcPr>
            <w:tcW w:w="299" w:type="pct"/>
            <w:vAlign w:val="center"/>
          </w:tcPr>
          <w:p w14:paraId="7B52B48A" w14:textId="77777777" w:rsidR="00E541EE" w:rsidRPr="00C002A5" w:rsidRDefault="00E541EE" w:rsidP="00A84BB5">
            <w:pPr>
              <w:jc w:val="center"/>
              <w:rPr>
                <w:rFonts w:cstheme="minorHAnsi"/>
                <w:sz w:val="14"/>
                <w:szCs w:val="14"/>
              </w:rPr>
            </w:pPr>
            <w:r w:rsidRPr="00C002A5">
              <w:rPr>
                <w:rFonts w:cstheme="minorHAnsi"/>
                <w:sz w:val="14"/>
                <w:szCs w:val="14"/>
              </w:rPr>
              <w:t>13.900</w:t>
            </w:r>
          </w:p>
        </w:tc>
      </w:tr>
      <w:tr w:rsidR="00E541EE" w:rsidRPr="00C002A5" w14:paraId="4302D8B9" w14:textId="77777777" w:rsidTr="00A84BB5">
        <w:trPr>
          <w:trHeight w:val="1276"/>
        </w:trPr>
        <w:tc>
          <w:tcPr>
            <w:tcW w:w="523" w:type="pct"/>
            <w:vMerge/>
            <w:tcBorders>
              <w:top w:val="single" w:sz="4" w:space="0" w:color="auto"/>
            </w:tcBorders>
            <w:vAlign w:val="center"/>
          </w:tcPr>
          <w:p w14:paraId="254ADB93" w14:textId="77777777" w:rsidR="00E541EE" w:rsidRPr="00C002A5" w:rsidRDefault="00E541EE" w:rsidP="00A84BB5">
            <w:pPr>
              <w:pStyle w:val="TableParagraph"/>
              <w:spacing w:before="49"/>
              <w:ind w:left="44" w:right="35"/>
              <w:jc w:val="center"/>
              <w:rPr>
                <w:rFonts w:asciiTheme="minorHAnsi" w:hAnsiTheme="minorHAnsi" w:cstheme="minorHAnsi"/>
                <w:b/>
                <w:sz w:val="14"/>
                <w:szCs w:val="14"/>
              </w:rPr>
            </w:pPr>
          </w:p>
        </w:tc>
        <w:tc>
          <w:tcPr>
            <w:tcW w:w="522" w:type="pct"/>
            <w:vMerge/>
            <w:vAlign w:val="center"/>
          </w:tcPr>
          <w:p w14:paraId="43D65B30" w14:textId="77777777" w:rsidR="00E541EE" w:rsidRPr="00C002A5" w:rsidRDefault="00E541EE" w:rsidP="00A84BB5">
            <w:pPr>
              <w:pStyle w:val="TableParagraph"/>
              <w:ind w:left="28" w:right="19" w:firstLine="2"/>
              <w:jc w:val="center"/>
              <w:rPr>
                <w:rFonts w:asciiTheme="minorHAnsi" w:hAnsiTheme="minorHAnsi" w:cstheme="minorHAnsi"/>
                <w:sz w:val="14"/>
                <w:szCs w:val="14"/>
              </w:rPr>
            </w:pPr>
          </w:p>
        </w:tc>
        <w:tc>
          <w:tcPr>
            <w:tcW w:w="597" w:type="pct"/>
            <w:vMerge/>
            <w:shd w:val="clear" w:color="auto" w:fill="FFF1CC"/>
            <w:vAlign w:val="center"/>
          </w:tcPr>
          <w:p w14:paraId="1175108A" w14:textId="77777777" w:rsidR="00E541EE" w:rsidRPr="00C002A5" w:rsidRDefault="00E541EE" w:rsidP="00A84BB5">
            <w:pPr>
              <w:pStyle w:val="TableParagraph"/>
              <w:rPr>
                <w:rFonts w:asciiTheme="minorHAnsi" w:hAnsiTheme="minorHAnsi" w:cstheme="minorHAnsi"/>
                <w:sz w:val="14"/>
                <w:szCs w:val="14"/>
              </w:rPr>
            </w:pPr>
          </w:p>
        </w:tc>
        <w:tc>
          <w:tcPr>
            <w:tcW w:w="512" w:type="pct"/>
            <w:vMerge/>
            <w:vAlign w:val="center"/>
          </w:tcPr>
          <w:p w14:paraId="53083847" w14:textId="77777777" w:rsidR="00E541EE" w:rsidRPr="00C002A5" w:rsidRDefault="00E541EE" w:rsidP="00A84BB5">
            <w:pPr>
              <w:pStyle w:val="TableParagraph"/>
              <w:spacing w:before="7"/>
              <w:rPr>
                <w:rFonts w:asciiTheme="minorHAnsi" w:hAnsiTheme="minorHAnsi" w:cstheme="minorHAnsi"/>
                <w:sz w:val="14"/>
                <w:szCs w:val="14"/>
              </w:rPr>
            </w:pPr>
          </w:p>
        </w:tc>
        <w:tc>
          <w:tcPr>
            <w:tcW w:w="383" w:type="pct"/>
            <w:vMerge/>
            <w:shd w:val="clear" w:color="auto" w:fill="FFF1CC"/>
            <w:vAlign w:val="center"/>
          </w:tcPr>
          <w:p w14:paraId="7D63D3D5" w14:textId="77777777" w:rsidR="00E541EE" w:rsidRPr="00C002A5" w:rsidRDefault="00E541EE" w:rsidP="00A84BB5">
            <w:pPr>
              <w:pStyle w:val="TableParagraph"/>
              <w:jc w:val="center"/>
              <w:rPr>
                <w:rFonts w:asciiTheme="minorHAnsi" w:hAnsiTheme="minorHAnsi" w:cstheme="minorHAnsi"/>
                <w:sz w:val="14"/>
                <w:szCs w:val="14"/>
              </w:rPr>
            </w:pPr>
          </w:p>
        </w:tc>
        <w:tc>
          <w:tcPr>
            <w:tcW w:w="597" w:type="pct"/>
            <w:vMerge/>
            <w:vAlign w:val="center"/>
          </w:tcPr>
          <w:p w14:paraId="79C27CA0" w14:textId="77777777" w:rsidR="00E541EE" w:rsidRPr="00C002A5" w:rsidRDefault="00E541EE" w:rsidP="00A84BB5">
            <w:pPr>
              <w:rPr>
                <w:rFonts w:cstheme="minorHAnsi"/>
                <w:sz w:val="14"/>
                <w:szCs w:val="14"/>
              </w:rPr>
            </w:pPr>
          </w:p>
        </w:tc>
        <w:tc>
          <w:tcPr>
            <w:tcW w:w="560" w:type="pct"/>
            <w:shd w:val="clear" w:color="auto" w:fill="FFF1CC"/>
            <w:vAlign w:val="center"/>
          </w:tcPr>
          <w:p w14:paraId="3533F5D8" w14:textId="77777777" w:rsidR="00E541EE" w:rsidRPr="00C002A5" w:rsidRDefault="00E541EE" w:rsidP="00A84BB5">
            <w:pPr>
              <w:jc w:val="center"/>
              <w:rPr>
                <w:rFonts w:cstheme="minorHAnsi"/>
                <w:sz w:val="14"/>
                <w:szCs w:val="14"/>
              </w:rPr>
            </w:pPr>
            <w:r w:rsidRPr="00C002A5">
              <w:rPr>
                <w:rFonts w:cstheme="minorHAnsi"/>
                <w:sz w:val="14"/>
                <w:szCs w:val="14"/>
              </w:rPr>
              <w:t>Broj novih strateških akata</w:t>
            </w:r>
          </w:p>
        </w:tc>
        <w:tc>
          <w:tcPr>
            <w:tcW w:w="411" w:type="pct"/>
            <w:vAlign w:val="center"/>
          </w:tcPr>
          <w:p w14:paraId="256B32B7" w14:textId="77777777" w:rsidR="00E541EE" w:rsidRPr="00C002A5" w:rsidRDefault="00E541EE" w:rsidP="00A84BB5">
            <w:pPr>
              <w:jc w:val="center"/>
              <w:rPr>
                <w:rFonts w:cstheme="minorHAnsi"/>
                <w:sz w:val="14"/>
                <w:szCs w:val="14"/>
              </w:rPr>
            </w:pPr>
            <w:r w:rsidRPr="00C002A5">
              <w:rPr>
                <w:rFonts w:cstheme="minorHAnsi"/>
                <w:sz w:val="14"/>
                <w:szCs w:val="14"/>
              </w:rPr>
              <w:t>6</w:t>
            </w:r>
          </w:p>
        </w:tc>
        <w:tc>
          <w:tcPr>
            <w:tcW w:w="298" w:type="pct"/>
            <w:vAlign w:val="center"/>
          </w:tcPr>
          <w:p w14:paraId="1C8568C1" w14:textId="77777777" w:rsidR="00E541EE" w:rsidRPr="00C002A5" w:rsidRDefault="00E541EE" w:rsidP="00A84BB5">
            <w:pPr>
              <w:jc w:val="center"/>
              <w:rPr>
                <w:rFonts w:cstheme="minorHAnsi"/>
                <w:sz w:val="14"/>
                <w:szCs w:val="14"/>
              </w:rPr>
            </w:pPr>
            <w:r w:rsidRPr="00C002A5">
              <w:rPr>
                <w:rFonts w:cstheme="minorHAnsi"/>
                <w:sz w:val="14"/>
                <w:szCs w:val="14"/>
              </w:rPr>
              <w:t>7</w:t>
            </w:r>
          </w:p>
        </w:tc>
        <w:tc>
          <w:tcPr>
            <w:tcW w:w="298" w:type="pct"/>
            <w:vAlign w:val="center"/>
          </w:tcPr>
          <w:p w14:paraId="45107886" w14:textId="77777777" w:rsidR="00E541EE" w:rsidRPr="00C002A5" w:rsidRDefault="00E541EE" w:rsidP="00A84BB5">
            <w:pPr>
              <w:jc w:val="center"/>
              <w:rPr>
                <w:rFonts w:cstheme="minorHAnsi"/>
                <w:sz w:val="14"/>
                <w:szCs w:val="14"/>
              </w:rPr>
            </w:pPr>
            <w:r w:rsidRPr="00C002A5">
              <w:rPr>
                <w:rFonts w:cstheme="minorHAnsi"/>
                <w:sz w:val="14"/>
                <w:szCs w:val="14"/>
              </w:rPr>
              <w:t>8</w:t>
            </w:r>
          </w:p>
        </w:tc>
        <w:tc>
          <w:tcPr>
            <w:tcW w:w="299" w:type="pct"/>
            <w:vAlign w:val="center"/>
          </w:tcPr>
          <w:p w14:paraId="23EC804D" w14:textId="77777777" w:rsidR="00E541EE" w:rsidRPr="00C002A5" w:rsidRDefault="00E541EE" w:rsidP="00A84BB5">
            <w:pPr>
              <w:jc w:val="center"/>
              <w:rPr>
                <w:rFonts w:cstheme="minorHAnsi"/>
                <w:sz w:val="14"/>
                <w:szCs w:val="14"/>
              </w:rPr>
            </w:pPr>
            <w:r w:rsidRPr="00C002A5">
              <w:rPr>
                <w:rFonts w:cstheme="minorHAnsi"/>
                <w:sz w:val="14"/>
                <w:szCs w:val="14"/>
              </w:rPr>
              <w:t>9</w:t>
            </w:r>
          </w:p>
        </w:tc>
      </w:tr>
      <w:tr w:rsidR="00E541EE" w:rsidRPr="00C002A5" w14:paraId="2B75EDCA" w14:textId="77777777" w:rsidTr="00A84BB5">
        <w:trPr>
          <w:trHeight w:val="1276"/>
        </w:trPr>
        <w:tc>
          <w:tcPr>
            <w:tcW w:w="523" w:type="pct"/>
            <w:vMerge/>
            <w:tcBorders>
              <w:top w:val="single" w:sz="4" w:space="0" w:color="auto"/>
            </w:tcBorders>
            <w:vAlign w:val="center"/>
          </w:tcPr>
          <w:p w14:paraId="5F41075F" w14:textId="77777777" w:rsidR="00E541EE" w:rsidRPr="00C002A5" w:rsidRDefault="00E541EE" w:rsidP="00A84BB5">
            <w:pPr>
              <w:pStyle w:val="TableParagraph"/>
              <w:spacing w:before="49"/>
              <w:ind w:left="44" w:right="35"/>
              <w:jc w:val="center"/>
              <w:rPr>
                <w:rFonts w:asciiTheme="minorHAnsi" w:hAnsiTheme="minorHAnsi" w:cstheme="minorHAnsi"/>
                <w:b/>
                <w:sz w:val="14"/>
                <w:szCs w:val="14"/>
              </w:rPr>
            </w:pPr>
          </w:p>
        </w:tc>
        <w:tc>
          <w:tcPr>
            <w:tcW w:w="522" w:type="pct"/>
            <w:vMerge/>
            <w:vAlign w:val="center"/>
          </w:tcPr>
          <w:p w14:paraId="5CC4C35E" w14:textId="77777777" w:rsidR="00E541EE" w:rsidRPr="00C002A5" w:rsidRDefault="00E541EE" w:rsidP="00A84BB5">
            <w:pPr>
              <w:pStyle w:val="TableParagraph"/>
              <w:ind w:left="28" w:right="19" w:firstLine="2"/>
              <w:jc w:val="center"/>
              <w:rPr>
                <w:rFonts w:asciiTheme="minorHAnsi" w:hAnsiTheme="minorHAnsi" w:cstheme="minorHAnsi"/>
                <w:sz w:val="14"/>
                <w:szCs w:val="14"/>
              </w:rPr>
            </w:pPr>
          </w:p>
        </w:tc>
        <w:tc>
          <w:tcPr>
            <w:tcW w:w="597" w:type="pct"/>
            <w:vMerge/>
            <w:shd w:val="clear" w:color="auto" w:fill="FFF1CC"/>
            <w:vAlign w:val="center"/>
          </w:tcPr>
          <w:p w14:paraId="0387D0A8" w14:textId="77777777" w:rsidR="00E541EE" w:rsidRPr="00C002A5" w:rsidRDefault="00E541EE" w:rsidP="00A84BB5">
            <w:pPr>
              <w:pStyle w:val="TableParagraph"/>
              <w:rPr>
                <w:rFonts w:asciiTheme="minorHAnsi" w:hAnsiTheme="minorHAnsi" w:cstheme="minorHAnsi"/>
                <w:sz w:val="14"/>
                <w:szCs w:val="14"/>
              </w:rPr>
            </w:pPr>
          </w:p>
        </w:tc>
        <w:tc>
          <w:tcPr>
            <w:tcW w:w="512" w:type="pct"/>
            <w:vMerge/>
            <w:vAlign w:val="center"/>
          </w:tcPr>
          <w:p w14:paraId="0C5C78E7" w14:textId="77777777" w:rsidR="00E541EE" w:rsidRPr="00C002A5" w:rsidRDefault="00E541EE" w:rsidP="00A84BB5">
            <w:pPr>
              <w:pStyle w:val="TableParagraph"/>
              <w:spacing w:before="7"/>
              <w:rPr>
                <w:rFonts w:asciiTheme="minorHAnsi" w:hAnsiTheme="minorHAnsi" w:cstheme="minorHAnsi"/>
                <w:sz w:val="14"/>
                <w:szCs w:val="14"/>
              </w:rPr>
            </w:pPr>
          </w:p>
        </w:tc>
        <w:tc>
          <w:tcPr>
            <w:tcW w:w="383" w:type="pct"/>
            <w:vMerge/>
            <w:shd w:val="clear" w:color="auto" w:fill="FFF1CC"/>
            <w:vAlign w:val="center"/>
          </w:tcPr>
          <w:p w14:paraId="5296EE6A" w14:textId="77777777" w:rsidR="00E541EE" w:rsidRPr="00C002A5" w:rsidRDefault="00E541EE" w:rsidP="00A84BB5">
            <w:pPr>
              <w:pStyle w:val="TableParagraph"/>
              <w:jc w:val="center"/>
              <w:rPr>
                <w:rFonts w:asciiTheme="minorHAnsi" w:hAnsiTheme="minorHAnsi" w:cstheme="minorHAnsi"/>
                <w:sz w:val="14"/>
                <w:szCs w:val="14"/>
              </w:rPr>
            </w:pPr>
          </w:p>
        </w:tc>
        <w:tc>
          <w:tcPr>
            <w:tcW w:w="597" w:type="pct"/>
            <w:vMerge/>
            <w:vAlign w:val="center"/>
          </w:tcPr>
          <w:p w14:paraId="034530B4" w14:textId="77777777" w:rsidR="00E541EE" w:rsidRPr="00C002A5" w:rsidRDefault="00E541EE" w:rsidP="00A84BB5">
            <w:pPr>
              <w:rPr>
                <w:rFonts w:cstheme="minorHAnsi"/>
                <w:sz w:val="14"/>
                <w:szCs w:val="14"/>
              </w:rPr>
            </w:pPr>
          </w:p>
        </w:tc>
        <w:tc>
          <w:tcPr>
            <w:tcW w:w="560" w:type="pct"/>
            <w:shd w:val="clear" w:color="auto" w:fill="FFF1CC"/>
            <w:vAlign w:val="center"/>
          </w:tcPr>
          <w:p w14:paraId="106A14DA" w14:textId="77777777" w:rsidR="00E541EE" w:rsidRPr="00C002A5" w:rsidRDefault="00E541EE" w:rsidP="00A84BB5">
            <w:pPr>
              <w:jc w:val="center"/>
              <w:rPr>
                <w:rFonts w:cstheme="minorHAnsi"/>
                <w:sz w:val="14"/>
                <w:szCs w:val="14"/>
              </w:rPr>
            </w:pPr>
            <w:r w:rsidRPr="00C002A5">
              <w:rPr>
                <w:rFonts w:cstheme="minorHAnsi"/>
                <w:sz w:val="14"/>
                <w:szCs w:val="14"/>
              </w:rPr>
              <w:t>Broj zaposlenika koji su sudjelovali u dodatnim edukacijama i stručnim seminarima -godišnje</w:t>
            </w:r>
          </w:p>
        </w:tc>
        <w:tc>
          <w:tcPr>
            <w:tcW w:w="411" w:type="pct"/>
            <w:vAlign w:val="center"/>
          </w:tcPr>
          <w:p w14:paraId="50AEB029" w14:textId="77777777" w:rsidR="00E541EE" w:rsidRPr="00C002A5" w:rsidRDefault="00E541EE" w:rsidP="00A84BB5">
            <w:pPr>
              <w:jc w:val="center"/>
              <w:rPr>
                <w:rFonts w:cstheme="minorHAnsi"/>
                <w:sz w:val="14"/>
                <w:szCs w:val="14"/>
              </w:rPr>
            </w:pPr>
            <w:r w:rsidRPr="00C002A5">
              <w:rPr>
                <w:rFonts w:cstheme="minorHAnsi"/>
                <w:sz w:val="14"/>
                <w:szCs w:val="14"/>
              </w:rPr>
              <w:t>20</w:t>
            </w:r>
          </w:p>
        </w:tc>
        <w:tc>
          <w:tcPr>
            <w:tcW w:w="298" w:type="pct"/>
            <w:vAlign w:val="center"/>
          </w:tcPr>
          <w:p w14:paraId="58A8F1E1" w14:textId="77777777" w:rsidR="00E541EE" w:rsidRPr="00C002A5" w:rsidRDefault="00E541EE" w:rsidP="00A84BB5">
            <w:pPr>
              <w:jc w:val="center"/>
              <w:rPr>
                <w:rFonts w:cstheme="minorHAnsi"/>
                <w:sz w:val="14"/>
                <w:szCs w:val="14"/>
              </w:rPr>
            </w:pPr>
            <w:r w:rsidRPr="00C002A5">
              <w:rPr>
                <w:rFonts w:cstheme="minorHAnsi"/>
                <w:sz w:val="14"/>
                <w:szCs w:val="14"/>
              </w:rPr>
              <w:t>30</w:t>
            </w:r>
          </w:p>
        </w:tc>
        <w:tc>
          <w:tcPr>
            <w:tcW w:w="298" w:type="pct"/>
            <w:vAlign w:val="center"/>
          </w:tcPr>
          <w:p w14:paraId="64542E89" w14:textId="77777777" w:rsidR="00E541EE" w:rsidRPr="00C002A5" w:rsidRDefault="00E541EE" w:rsidP="00A84BB5">
            <w:pPr>
              <w:jc w:val="center"/>
              <w:rPr>
                <w:rFonts w:cstheme="minorHAnsi"/>
                <w:sz w:val="14"/>
                <w:szCs w:val="14"/>
              </w:rPr>
            </w:pPr>
            <w:r w:rsidRPr="00C002A5">
              <w:rPr>
                <w:rFonts w:cstheme="minorHAnsi"/>
                <w:sz w:val="14"/>
                <w:szCs w:val="14"/>
              </w:rPr>
              <w:t>40</w:t>
            </w:r>
          </w:p>
        </w:tc>
        <w:tc>
          <w:tcPr>
            <w:tcW w:w="299" w:type="pct"/>
            <w:vAlign w:val="center"/>
          </w:tcPr>
          <w:p w14:paraId="0C8A29E5" w14:textId="77777777" w:rsidR="00E541EE" w:rsidRPr="00C002A5" w:rsidRDefault="00E541EE" w:rsidP="00A84BB5">
            <w:pPr>
              <w:jc w:val="center"/>
              <w:rPr>
                <w:rFonts w:cstheme="minorHAnsi"/>
                <w:sz w:val="14"/>
                <w:szCs w:val="14"/>
              </w:rPr>
            </w:pPr>
            <w:r w:rsidRPr="00C002A5">
              <w:rPr>
                <w:rFonts w:cstheme="minorHAnsi"/>
                <w:sz w:val="14"/>
                <w:szCs w:val="14"/>
              </w:rPr>
              <w:t>50</w:t>
            </w:r>
          </w:p>
        </w:tc>
      </w:tr>
      <w:tr w:rsidR="00E541EE" w:rsidRPr="00C002A5" w14:paraId="365C322F" w14:textId="77777777" w:rsidTr="00A84BB5">
        <w:trPr>
          <w:trHeight w:val="546"/>
        </w:trPr>
        <w:tc>
          <w:tcPr>
            <w:tcW w:w="523" w:type="pct"/>
            <w:vMerge/>
            <w:tcBorders>
              <w:top w:val="single" w:sz="4" w:space="0" w:color="auto"/>
            </w:tcBorders>
            <w:vAlign w:val="center"/>
          </w:tcPr>
          <w:p w14:paraId="66302FAE" w14:textId="77777777" w:rsidR="00E541EE" w:rsidRPr="00C002A5" w:rsidRDefault="00E541EE" w:rsidP="00A84BB5">
            <w:pPr>
              <w:pStyle w:val="TableParagraph"/>
              <w:spacing w:before="49"/>
              <w:ind w:left="44" w:right="35"/>
              <w:jc w:val="center"/>
              <w:rPr>
                <w:rFonts w:asciiTheme="minorHAnsi" w:hAnsiTheme="minorHAnsi" w:cstheme="minorHAnsi"/>
                <w:b/>
                <w:sz w:val="14"/>
                <w:szCs w:val="14"/>
              </w:rPr>
            </w:pPr>
          </w:p>
        </w:tc>
        <w:tc>
          <w:tcPr>
            <w:tcW w:w="522" w:type="pct"/>
            <w:vMerge/>
            <w:vAlign w:val="center"/>
          </w:tcPr>
          <w:p w14:paraId="61A2031F" w14:textId="77777777" w:rsidR="00E541EE" w:rsidRPr="00C002A5" w:rsidRDefault="00E541EE" w:rsidP="00A84BB5">
            <w:pPr>
              <w:pStyle w:val="TableParagraph"/>
              <w:ind w:left="28" w:right="19" w:firstLine="2"/>
              <w:jc w:val="center"/>
              <w:rPr>
                <w:rFonts w:asciiTheme="minorHAnsi" w:hAnsiTheme="minorHAnsi" w:cstheme="minorHAnsi"/>
                <w:sz w:val="14"/>
                <w:szCs w:val="14"/>
              </w:rPr>
            </w:pPr>
          </w:p>
        </w:tc>
        <w:tc>
          <w:tcPr>
            <w:tcW w:w="597" w:type="pct"/>
            <w:vMerge/>
            <w:shd w:val="clear" w:color="auto" w:fill="FFF1CC"/>
            <w:vAlign w:val="center"/>
          </w:tcPr>
          <w:p w14:paraId="1F5E9F18" w14:textId="77777777" w:rsidR="00E541EE" w:rsidRPr="00C002A5" w:rsidRDefault="00E541EE" w:rsidP="00A84BB5">
            <w:pPr>
              <w:pStyle w:val="TableParagraph"/>
              <w:rPr>
                <w:rFonts w:asciiTheme="minorHAnsi" w:hAnsiTheme="minorHAnsi" w:cstheme="minorHAnsi"/>
                <w:sz w:val="14"/>
                <w:szCs w:val="14"/>
              </w:rPr>
            </w:pPr>
          </w:p>
        </w:tc>
        <w:tc>
          <w:tcPr>
            <w:tcW w:w="512" w:type="pct"/>
            <w:vMerge/>
            <w:vAlign w:val="center"/>
          </w:tcPr>
          <w:p w14:paraId="0C0A259A" w14:textId="77777777" w:rsidR="00E541EE" w:rsidRPr="00C002A5" w:rsidRDefault="00E541EE" w:rsidP="00A84BB5">
            <w:pPr>
              <w:pStyle w:val="TableParagraph"/>
              <w:spacing w:before="7"/>
              <w:rPr>
                <w:rFonts w:asciiTheme="minorHAnsi" w:hAnsiTheme="minorHAnsi" w:cstheme="minorHAnsi"/>
                <w:sz w:val="14"/>
                <w:szCs w:val="14"/>
              </w:rPr>
            </w:pPr>
          </w:p>
        </w:tc>
        <w:tc>
          <w:tcPr>
            <w:tcW w:w="383" w:type="pct"/>
            <w:vMerge/>
            <w:shd w:val="clear" w:color="auto" w:fill="FFF1CC"/>
            <w:vAlign w:val="center"/>
          </w:tcPr>
          <w:p w14:paraId="7C513C2A" w14:textId="77777777" w:rsidR="00E541EE" w:rsidRPr="00C002A5" w:rsidRDefault="00E541EE" w:rsidP="00A84BB5">
            <w:pPr>
              <w:pStyle w:val="TableParagraph"/>
              <w:jc w:val="center"/>
              <w:rPr>
                <w:rFonts w:asciiTheme="minorHAnsi" w:hAnsiTheme="minorHAnsi" w:cstheme="minorHAnsi"/>
                <w:sz w:val="14"/>
                <w:szCs w:val="14"/>
              </w:rPr>
            </w:pPr>
          </w:p>
        </w:tc>
        <w:tc>
          <w:tcPr>
            <w:tcW w:w="597" w:type="pct"/>
            <w:vMerge/>
            <w:vAlign w:val="center"/>
          </w:tcPr>
          <w:p w14:paraId="537E1270" w14:textId="77777777" w:rsidR="00E541EE" w:rsidRPr="00C002A5" w:rsidRDefault="00E541EE" w:rsidP="00A84BB5">
            <w:pPr>
              <w:rPr>
                <w:rFonts w:cstheme="minorHAnsi"/>
                <w:sz w:val="14"/>
                <w:szCs w:val="14"/>
              </w:rPr>
            </w:pPr>
          </w:p>
        </w:tc>
        <w:tc>
          <w:tcPr>
            <w:tcW w:w="560" w:type="pct"/>
            <w:shd w:val="clear" w:color="auto" w:fill="FFF1CC"/>
            <w:vAlign w:val="center"/>
          </w:tcPr>
          <w:p w14:paraId="26964435" w14:textId="77777777" w:rsidR="00E541EE" w:rsidRPr="00C002A5" w:rsidRDefault="00E541EE" w:rsidP="00A84BB5">
            <w:pPr>
              <w:jc w:val="center"/>
              <w:rPr>
                <w:rFonts w:cstheme="minorHAnsi"/>
                <w:sz w:val="14"/>
                <w:szCs w:val="14"/>
              </w:rPr>
            </w:pPr>
            <w:r w:rsidRPr="00C002A5">
              <w:rPr>
                <w:rFonts w:cstheme="minorHAnsi"/>
                <w:sz w:val="14"/>
                <w:szCs w:val="14"/>
              </w:rPr>
              <w:t>Broj digitaliziranih usluga koje pruža JLS</w:t>
            </w:r>
          </w:p>
        </w:tc>
        <w:tc>
          <w:tcPr>
            <w:tcW w:w="411" w:type="pct"/>
            <w:vAlign w:val="center"/>
          </w:tcPr>
          <w:p w14:paraId="6DC35FD8" w14:textId="77777777" w:rsidR="00E541EE" w:rsidRPr="00C002A5" w:rsidRDefault="00E541EE" w:rsidP="00A84BB5">
            <w:pPr>
              <w:jc w:val="center"/>
              <w:rPr>
                <w:rFonts w:cstheme="minorHAnsi"/>
                <w:sz w:val="14"/>
                <w:szCs w:val="14"/>
              </w:rPr>
            </w:pPr>
            <w:r w:rsidRPr="00C002A5">
              <w:rPr>
                <w:rFonts w:cstheme="minorHAnsi"/>
                <w:sz w:val="14"/>
                <w:szCs w:val="14"/>
              </w:rPr>
              <w:t>15</w:t>
            </w:r>
          </w:p>
        </w:tc>
        <w:tc>
          <w:tcPr>
            <w:tcW w:w="298" w:type="pct"/>
            <w:vAlign w:val="center"/>
          </w:tcPr>
          <w:p w14:paraId="7B40E351" w14:textId="77777777" w:rsidR="00E541EE" w:rsidRPr="00C002A5" w:rsidRDefault="00E541EE" w:rsidP="00A84BB5">
            <w:pPr>
              <w:jc w:val="center"/>
              <w:rPr>
                <w:rFonts w:cstheme="minorHAnsi"/>
                <w:sz w:val="14"/>
                <w:szCs w:val="14"/>
              </w:rPr>
            </w:pPr>
            <w:r w:rsidRPr="00C002A5">
              <w:rPr>
                <w:rFonts w:cstheme="minorHAnsi"/>
                <w:sz w:val="14"/>
                <w:szCs w:val="14"/>
              </w:rPr>
              <w:t>17</w:t>
            </w:r>
          </w:p>
        </w:tc>
        <w:tc>
          <w:tcPr>
            <w:tcW w:w="298" w:type="pct"/>
            <w:vAlign w:val="center"/>
          </w:tcPr>
          <w:p w14:paraId="035D9264" w14:textId="77777777" w:rsidR="00E541EE" w:rsidRPr="00C002A5" w:rsidRDefault="00E541EE" w:rsidP="00A84BB5">
            <w:pPr>
              <w:jc w:val="center"/>
              <w:rPr>
                <w:rFonts w:cstheme="minorHAnsi"/>
                <w:sz w:val="14"/>
                <w:szCs w:val="14"/>
              </w:rPr>
            </w:pPr>
            <w:r w:rsidRPr="00C002A5">
              <w:rPr>
                <w:rFonts w:cstheme="minorHAnsi"/>
                <w:sz w:val="14"/>
                <w:szCs w:val="14"/>
              </w:rPr>
              <w:t>19</w:t>
            </w:r>
          </w:p>
        </w:tc>
        <w:tc>
          <w:tcPr>
            <w:tcW w:w="299" w:type="pct"/>
            <w:vAlign w:val="center"/>
          </w:tcPr>
          <w:p w14:paraId="37C5B276" w14:textId="77777777" w:rsidR="00E541EE" w:rsidRPr="00C002A5" w:rsidRDefault="00E541EE" w:rsidP="00A84BB5">
            <w:pPr>
              <w:jc w:val="center"/>
              <w:rPr>
                <w:rFonts w:cstheme="minorHAnsi"/>
                <w:sz w:val="14"/>
                <w:szCs w:val="14"/>
              </w:rPr>
            </w:pPr>
            <w:r w:rsidRPr="00C002A5">
              <w:rPr>
                <w:rFonts w:cstheme="minorHAnsi"/>
                <w:sz w:val="14"/>
                <w:szCs w:val="14"/>
              </w:rPr>
              <w:t>21</w:t>
            </w:r>
          </w:p>
        </w:tc>
      </w:tr>
      <w:tr w:rsidR="00E541EE" w:rsidRPr="00C002A5" w14:paraId="27CBD84A" w14:textId="77777777" w:rsidTr="00A84BB5">
        <w:trPr>
          <w:trHeight w:val="800"/>
        </w:trPr>
        <w:tc>
          <w:tcPr>
            <w:tcW w:w="523" w:type="pct"/>
            <w:vMerge/>
          </w:tcPr>
          <w:p w14:paraId="09FDFC56" w14:textId="77777777" w:rsidR="00E541EE" w:rsidRPr="00C002A5" w:rsidRDefault="00E541EE" w:rsidP="00A84BB5">
            <w:pPr>
              <w:pStyle w:val="TableParagraph"/>
              <w:spacing w:before="49"/>
              <w:ind w:left="44" w:right="35"/>
              <w:jc w:val="center"/>
              <w:rPr>
                <w:rFonts w:asciiTheme="minorHAnsi" w:hAnsiTheme="minorHAnsi" w:cstheme="minorHAnsi"/>
                <w:b/>
                <w:sz w:val="14"/>
                <w:szCs w:val="14"/>
              </w:rPr>
            </w:pPr>
          </w:p>
        </w:tc>
        <w:tc>
          <w:tcPr>
            <w:tcW w:w="522" w:type="pct"/>
            <w:vMerge/>
            <w:vAlign w:val="center"/>
          </w:tcPr>
          <w:p w14:paraId="6FC618C0" w14:textId="77777777" w:rsidR="00E541EE" w:rsidRPr="00C002A5" w:rsidRDefault="00E541EE" w:rsidP="00A84BB5">
            <w:pPr>
              <w:pStyle w:val="TableParagraph"/>
              <w:jc w:val="center"/>
              <w:rPr>
                <w:rFonts w:asciiTheme="minorHAnsi" w:hAnsiTheme="minorHAnsi" w:cstheme="minorHAnsi"/>
                <w:sz w:val="14"/>
                <w:szCs w:val="14"/>
              </w:rPr>
            </w:pPr>
          </w:p>
        </w:tc>
        <w:tc>
          <w:tcPr>
            <w:tcW w:w="597" w:type="pct"/>
            <w:vMerge/>
            <w:shd w:val="clear" w:color="auto" w:fill="FFF1CC"/>
            <w:vAlign w:val="center"/>
          </w:tcPr>
          <w:p w14:paraId="1DB06FB8" w14:textId="77777777" w:rsidR="00E541EE" w:rsidRPr="00C002A5" w:rsidRDefault="00E541EE" w:rsidP="00A84BB5">
            <w:pPr>
              <w:pStyle w:val="TableParagraph"/>
              <w:spacing w:before="7"/>
              <w:rPr>
                <w:rFonts w:asciiTheme="minorHAnsi" w:hAnsiTheme="minorHAnsi" w:cstheme="minorHAnsi"/>
                <w:sz w:val="14"/>
                <w:szCs w:val="14"/>
              </w:rPr>
            </w:pPr>
          </w:p>
        </w:tc>
        <w:tc>
          <w:tcPr>
            <w:tcW w:w="512" w:type="pct"/>
            <w:vMerge/>
            <w:vAlign w:val="center"/>
          </w:tcPr>
          <w:p w14:paraId="14BAA3F6" w14:textId="77777777" w:rsidR="00E541EE" w:rsidRPr="00C002A5" w:rsidRDefault="00E541EE" w:rsidP="00A84BB5">
            <w:pPr>
              <w:pStyle w:val="TableParagraph"/>
              <w:spacing w:before="7"/>
              <w:rPr>
                <w:rFonts w:asciiTheme="minorHAnsi" w:hAnsiTheme="minorHAnsi" w:cstheme="minorHAnsi"/>
                <w:sz w:val="14"/>
                <w:szCs w:val="14"/>
              </w:rPr>
            </w:pPr>
          </w:p>
        </w:tc>
        <w:tc>
          <w:tcPr>
            <w:tcW w:w="383" w:type="pct"/>
            <w:vMerge/>
            <w:shd w:val="clear" w:color="auto" w:fill="FFF1CC"/>
            <w:vAlign w:val="center"/>
          </w:tcPr>
          <w:p w14:paraId="5730DE18" w14:textId="77777777" w:rsidR="00E541EE" w:rsidRPr="00C002A5" w:rsidRDefault="00E541EE" w:rsidP="00A84BB5">
            <w:pPr>
              <w:pStyle w:val="TableParagraph"/>
              <w:rPr>
                <w:rFonts w:asciiTheme="minorHAnsi" w:hAnsiTheme="minorHAnsi" w:cstheme="minorHAnsi"/>
                <w:sz w:val="14"/>
                <w:szCs w:val="14"/>
              </w:rPr>
            </w:pPr>
          </w:p>
        </w:tc>
        <w:tc>
          <w:tcPr>
            <w:tcW w:w="597" w:type="pct"/>
            <w:vMerge/>
            <w:vAlign w:val="center"/>
          </w:tcPr>
          <w:p w14:paraId="08C534BC" w14:textId="77777777" w:rsidR="00E541EE" w:rsidRPr="00C002A5" w:rsidRDefault="00E541EE" w:rsidP="00A84BB5">
            <w:pPr>
              <w:rPr>
                <w:rFonts w:cstheme="minorHAnsi"/>
                <w:sz w:val="14"/>
                <w:szCs w:val="14"/>
              </w:rPr>
            </w:pPr>
          </w:p>
        </w:tc>
        <w:tc>
          <w:tcPr>
            <w:tcW w:w="560" w:type="pct"/>
            <w:shd w:val="clear" w:color="auto" w:fill="FFF1CC"/>
            <w:vAlign w:val="center"/>
          </w:tcPr>
          <w:p w14:paraId="1084C6FF" w14:textId="77777777" w:rsidR="00E541EE" w:rsidRPr="00C002A5" w:rsidRDefault="00E541EE" w:rsidP="00A84BB5">
            <w:pPr>
              <w:jc w:val="center"/>
              <w:rPr>
                <w:rFonts w:cstheme="minorHAnsi"/>
                <w:sz w:val="14"/>
                <w:szCs w:val="14"/>
              </w:rPr>
            </w:pPr>
            <w:r w:rsidRPr="00C002A5">
              <w:rPr>
                <w:rFonts w:cstheme="minorHAnsi"/>
                <w:sz w:val="14"/>
                <w:szCs w:val="14"/>
              </w:rPr>
              <w:t>Broj projekata kojima je odobreno sufinanciranje</w:t>
            </w:r>
          </w:p>
        </w:tc>
        <w:tc>
          <w:tcPr>
            <w:tcW w:w="411" w:type="pct"/>
            <w:vAlign w:val="center"/>
          </w:tcPr>
          <w:p w14:paraId="50D2EF0A" w14:textId="77777777" w:rsidR="00E541EE" w:rsidRPr="00C002A5" w:rsidRDefault="00E541EE" w:rsidP="00A84BB5">
            <w:pPr>
              <w:jc w:val="center"/>
              <w:rPr>
                <w:rFonts w:cstheme="minorHAnsi"/>
                <w:sz w:val="14"/>
                <w:szCs w:val="14"/>
              </w:rPr>
            </w:pPr>
            <w:r w:rsidRPr="00C002A5">
              <w:rPr>
                <w:rFonts w:cstheme="minorHAnsi"/>
                <w:sz w:val="14"/>
                <w:szCs w:val="14"/>
              </w:rPr>
              <w:t>5</w:t>
            </w:r>
          </w:p>
        </w:tc>
        <w:tc>
          <w:tcPr>
            <w:tcW w:w="298" w:type="pct"/>
            <w:vAlign w:val="center"/>
          </w:tcPr>
          <w:p w14:paraId="47293AA2" w14:textId="77777777" w:rsidR="00E541EE" w:rsidRPr="00C002A5" w:rsidRDefault="00E541EE" w:rsidP="00A84BB5">
            <w:pPr>
              <w:jc w:val="center"/>
              <w:rPr>
                <w:rFonts w:cstheme="minorHAnsi"/>
                <w:sz w:val="14"/>
                <w:szCs w:val="14"/>
              </w:rPr>
            </w:pPr>
            <w:r w:rsidRPr="00C002A5">
              <w:rPr>
                <w:rFonts w:cstheme="minorHAnsi"/>
                <w:sz w:val="14"/>
                <w:szCs w:val="14"/>
              </w:rPr>
              <w:t>7</w:t>
            </w:r>
          </w:p>
        </w:tc>
        <w:tc>
          <w:tcPr>
            <w:tcW w:w="298" w:type="pct"/>
            <w:vAlign w:val="center"/>
          </w:tcPr>
          <w:p w14:paraId="13BB3730" w14:textId="77777777" w:rsidR="00E541EE" w:rsidRPr="00C002A5" w:rsidRDefault="00E541EE" w:rsidP="00A84BB5">
            <w:pPr>
              <w:jc w:val="center"/>
              <w:rPr>
                <w:rFonts w:cstheme="minorHAnsi"/>
                <w:sz w:val="14"/>
                <w:szCs w:val="14"/>
              </w:rPr>
            </w:pPr>
            <w:r w:rsidRPr="00C002A5">
              <w:rPr>
                <w:rFonts w:cstheme="minorHAnsi"/>
                <w:sz w:val="14"/>
                <w:szCs w:val="14"/>
              </w:rPr>
              <w:t>8</w:t>
            </w:r>
          </w:p>
        </w:tc>
        <w:tc>
          <w:tcPr>
            <w:tcW w:w="299" w:type="pct"/>
            <w:vAlign w:val="center"/>
          </w:tcPr>
          <w:p w14:paraId="1040FA37" w14:textId="77777777" w:rsidR="00E541EE" w:rsidRPr="00C002A5" w:rsidRDefault="00E541EE" w:rsidP="00A84BB5">
            <w:pPr>
              <w:jc w:val="center"/>
              <w:rPr>
                <w:rFonts w:cstheme="minorHAnsi"/>
                <w:sz w:val="14"/>
                <w:szCs w:val="14"/>
              </w:rPr>
            </w:pPr>
            <w:r w:rsidRPr="00C002A5">
              <w:rPr>
                <w:rFonts w:cstheme="minorHAnsi"/>
                <w:sz w:val="14"/>
                <w:szCs w:val="14"/>
              </w:rPr>
              <w:t>9</w:t>
            </w:r>
          </w:p>
        </w:tc>
      </w:tr>
    </w:tbl>
    <w:p w14:paraId="52354D39" w14:textId="77777777" w:rsidR="00E541EE" w:rsidRPr="0088370F" w:rsidRDefault="00E541EE" w:rsidP="00E541EE">
      <w:pPr>
        <w:jc w:val="both"/>
        <w:rPr>
          <w:rFonts w:ascii="Arial" w:eastAsia="Times New Roman" w:hAnsi="Arial" w:cs="Arial"/>
        </w:rPr>
      </w:pPr>
    </w:p>
    <w:p w14:paraId="61E06257" w14:textId="77777777" w:rsidR="00E541EE" w:rsidRPr="0088370F"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rPr>
      </w:pPr>
      <w:r w:rsidRPr="0088370F">
        <w:rPr>
          <w:rFonts w:ascii="Arial" w:eastAsia="Times New Roman" w:hAnsi="Arial" w:cs="Arial"/>
          <w:b/>
        </w:rPr>
        <w:t xml:space="preserve">A 100301: Rad upravnog tijela = </w:t>
      </w:r>
      <w:r>
        <w:rPr>
          <w:rFonts w:ascii="Arial" w:eastAsia="Times New Roman" w:hAnsi="Arial" w:cs="Arial"/>
          <w:b/>
        </w:rPr>
        <w:t>1.077.868,00</w:t>
      </w:r>
      <w:r w:rsidRPr="0088370F">
        <w:rPr>
          <w:rFonts w:ascii="Arial" w:eastAsia="Times New Roman" w:hAnsi="Arial" w:cs="Arial"/>
          <w:b/>
        </w:rPr>
        <w:t xml:space="preserve"> EUR</w:t>
      </w:r>
    </w:p>
    <w:p w14:paraId="78298D40" w14:textId="77777777" w:rsidR="00E541EE" w:rsidRPr="00190B33" w:rsidRDefault="00E541EE" w:rsidP="00E541EE">
      <w:pPr>
        <w:jc w:val="both"/>
        <w:rPr>
          <w:rFonts w:ascii="Arial" w:eastAsia="Times New Roman" w:hAnsi="Arial" w:cs="Arial"/>
          <w:sz w:val="24"/>
          <w:szCs w:val="24"/>
        </w:rPr>
      </w:pPr>
      <w:r w:rsidRPr="00190B33">
        <w:rPr>
          <w:rFonts w:ascii="Arial" w:eastAsia="Times New Roman" w:hAnsi="Arial" w:cs="Arial"/>
          <w:b/>
          <w:sz w:val="24"/>
          <w:szCs w:val="24"/>
        </w:rPr>
        <w:t>Zakonska osnova:</w:t>
      </w:r>
      <w:r w:rsidRPr="00190B33">
        <w:rPr>
          <w:rFonts w:ascii="Arial" w:eastAsia="Times New Roman" w:hAnsi="Arial" w:cs="Arial"/>
          <w:sz w:val="24"/>
          <w:szCs w:val="24"/>
        </w:rPr>
        <w:t xml:space="preserve"> Zakon o lokalnoj i područnoj (regionalnoj) samoupravi. </w:t>
      </w:r>
    </w:p>
    <w:p w14:paraId="6D1CD4CC" w14:textId="77777777" w:rsidR="00E541EE" w:rsidRPr="00190B33" w:rsidRDefault="00E541EE" w:rsidP="00E541EE">
      <w:pPr>
        <w:jc w:val="both"/>
        <w:rPr>
          <w:rFonts w:ascii="Arial" w:eastAsia="Times New Roman" w:hAnsi="Arial" w:cs="Arial"/>
          <w:sz w:val="24"/>
          <w:szCs w:val="24"/>
        </w:rPr>
      </w:pPr>
      <w:r w:rsidRPr="00190B33">
        <w:rPr>
          <w:rFonts w:ascii="Arial" w:eastAsia="Times New Roman" w:hAnsi="Arial" w:cs="Arial"/>
          <w:b/>
          <w:sz w:val="24"/>
          <w:szCs w:val="24"/>
        </w:rPr>
        <w:t>Opis:</w:t>
      </w:r>
      <w:r w:rsidRPr="00190B33">
        <w:rPr>
          <w:rFonts w:ascii="Arial" w:eastAsia="Times New Roman" w:hAnsi="Arial" w:cs="Arial"/>
          <w:sz w:val="24"/>
          <w:szCs w:val="24"/>
        </w:rPr>
        <w:t xml:space="preserve"> navedeni iznos osigurava redovan rad i poslovanje svih odjela gradske uprave (troškove poslovanja, materijalne troškove, reprezentacije, uredsko poslovanje, redovno održavanje računalne opreme i programa, licence za računalne programe, komunalne usluge, usluge telefona, pošte, prijevoza, energije, polica osiguranja, službenih putovanja, stručnih usavršavanja i slično).</w:t>
      </w:r>
    </w:p>
    <w:p w14:paraId="061C7C64" w14:textId="77777777" w:rsidR="00E541EE" w:rsidRPr="00190B33" w:rsidRDefault="00E541EE" w:rsidP="00E541EE">
      <w:pPr>
        <w:jc w:val="both"/>
        <w:rPr>
          <w:rFonts w:ascii="Arial" w:eastAsia="Times New Roman" w:hAnsi="Arial" w:cs="Arial"/>
          <w:sz w:val="24"/>
          <w:szCs w:val="24"/>
        </w:rPr>
      </w:pPr>
      <w:r w:rsidRPr="00190B33">
        <w:rPr>
          <w:rFonts w:ascii="Arial" w:eastAsia="Times New Roman" w:hAnsi="Arial" w:cs="Arial"/>
          <w:b/>
          <w:sz w:val="24"/>
          <w:szCs w:val="24"/>
        </w:rPr>
        <w:t xml:space="preserve">Opći cilj: </w:t>
      </w:r>
      <w:r w:rsidRPr="00190B33">
        <w:rPr>
          <w:rFonts w:ascii="Arial" w:eastAsia="Times New Roman" w:hAnsi="Arial" w:cs="Arial"/>
          <w:sz w:val="24"/>
          <w:szCs w:val="24"/>
        </w:rPr>
        <w:t>osiguravanje funkcioniranja gradske administracije.</w:t>
      </w:r>
    </w:p>
    <w:p w14:paraId="0DDCB98F" w14:textId="77777777" w:rsidR="00E541EE" w:rsidRPr="00190B33" w:rsidRDefault="00E541EE" w:rsidP="00E541EE">
      <w:pPr>
        <w:jc w:val="both"/>
        <w:rPr>
          <w:rFonts w:ascii="Arial" w:eastAsia="Times New Roman" w:hAnsi="Arial" w:cs="Arial"/>
          <w:sz w:val="24"/>
          <w:szCs w:val="24"/>
        </w:rPr>
      </w:pPr>
      <w:r w:rsidRPr="00190B33">
        <w:rPr>
          <w:rFonts w:ascii="Arial" w:eastAsia="Times New Roman" w:hAnsi="Arial" w:cs="Arial"/>
          <w:b/>
          <w:sz w:val="24"/>
          <w:szCs w:val="24"/>
        </w:rPr>
        <w:t>Pokazatelj uspješnosti:</w:t>
      </w:r>
      <w:r w:rsidRPr="00190B33">
        <w:rPr>
          <w:rFonts w:ascii="Arial" w:eastAsia="Times New Roman" w:hAnsi="Arial" w:cs="Arial"/>
          <w:sz w:val="24"/>
          <w:szCs w:val="24"/>
        </w:rPr>
        <w:t xml:space="preserve"> pravovremeno izvršavanje zadataka iz programa rada gradske uprave, predstavničkog te izvršnog tijela Grada Rovinja-Rovigno.</w:t>
      </w:r>
    </w:p>
    <w:p w14:paraId="67C76363" w14:textId="77777777" w:rsidR="00E541EE" w:rsidRPr="00190B33" w:rsidRDefault="00E541EE" w:rsidP="00E541EE">
      <w:pPr>
        <w:jc w:val="both"/>
        <w:rPr>
          <w:rFonts w:ascii="Arial" w:eastAsia="Times New Roman" w:hAnsi="Arial" w:cs="Arial"/>
          <w:sz w:val="24"/>
          <w:szCs w:val="24"/>
        </w:rPr>
      </w:pPr>
    </w:p>
    <w:p w14:paraId="673CAEE5" w14:textId="77777777" w:rsidR="00E541EE" w:rsidRPr="00190B33"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sz w:val="24"/>
          <w:szCs w:val="24"/>
        </w:rPr>
      </w:pPr>
      <w:r w:rsidRPr="00190B33">
        <w:rPr>
          <w:rFonts w:ascii="Arial" w:eastAsia="Times New Roman" w:hAnsi="Arial" w:cs="Arial"/>
          <w:b/>
          <w:sz w:val="24"/>
          <w:szCs w:val="24"/>
        </w:rPr>
        <w:t>T 100301: Uređenje arhive i arhivske građe = 16.000,00 EUR</w:t>
      </w:r>
    </w:p>
    <w:p w14:paraId="1E0E708B" w14:textId="77777777" w:rsidR="00E541EE" w:rsidRPr="00190B33" w:rsidRDefault="00E541EE" w:rsidP="00E541EE">
      <w:pPr>
        <w:jc w:val="both"/>
        <w:rPr>
          <w:rFonts w:ascii="Arial" w:eastAsia="Times New Roman" w:hAnsi="Arial" w:cs="Arial"/>
          <w:sz w:val="24"/>
          <w:szCs w:val="24"/>
        </w:rPr>
      </w:pPr>
      <w:r w:rsidRPr="00190B33">
        <w:rPr>
          <w:rFonts w:ascii="Arial" w:eastAsia="Times New Roman" w:hAnsi="Arial" w:cs="Arial"/>
          <w:b/>
          <w:bCs/>
          <w:sz w:val="24"/>
          <w:szCs w:val="24"/>
        </w:rPr>
        <w:t>Zakonska osnova:</w:t>
      </w:r>
      <w:r w:rsidRPr="00190B33">
        <w:rPr>
          <w:rFonts w:ascii="Arial" w:eastAsia="Times New Roman" w:hAnsi="Arial" w:cs="Arial"/>
          <w:sz w:val="24"/>
          <w:szCs w:val="24"/>
        </w:rPr>
        <w:t xml:space="preserve"> Zakon o arhivskom gradivu i arhivima, Pravilnik o zaštiti i čuvanju arhivskog i registraturnog gradiva izvan arhiva i Pravilnik o uvjetima smještaja, opreme, zaštite i obrade arhivskog gradiva, broju i strukturi stručnog osoblja u arhivi.</w:t>
      </w:r>
    </w:p>
    <w:p w14:paraId="2B0046CF" w14:textId="77777777" w:rsidR="00E541EE" w:rsidRPr="00190B33" w:rsidRDefault="00E541EE" w:rsidP="00E541EE">
      <w:pPr>
        <w:jc w:val="both"/>
        <w:rPr>
          <w:rFonts w:ascii="Arial" w:eastAsia="Times New Roman" w:hAnsi="Arial" w:cs="Arial"/>
          <w:sz w:val="24"/>
          <w:szCs w:val="24"/>
        </w:rPr>
      </w:pPr>
      <w:r w:rsidRPr="00190B33">
        <w:rPr>
          <w:rFonts w:ascii="Arial" w:eastAsia="Times New Roman" w:hAnsi="Arial" w:cs="Arial"/>
          <w:b/>
          <w:bCs/>
          <w:sz w:val="24"/>
          <w:szCs w:val="24"/>
        </w:rPr>
        <w:t>Opis:</w:t>
      </w:r>
      <w:r w:rsidRPr="00190B33">
        <w:rPr>
          <w:rFonts w:ascii="Arial" w:eastAsia="Times New Roman" w:hAnsi="Arial" w:cs="Arial"/>
          <w:sz w:val="24"/>
          <w:szCs w:val="24"/>
        </w:rPr>
        <w:t xml:space="preserve"> navedeni iznos osigurava se za provođenje propisanih obveza iz područja arhivskog zakonodavstva vezano za čuvanje i zaštitu arhivskog i registraturnog gradiva. U 2026. godini biti će potrebno pregledati i razlučiti cca 50 metara dužnih arhivske građe.</w:t>
      </w:r>
    </w:p>
    <w:p w14:paraId="44A94386" w14:textId="77777777" w:rsidR="00E541EE" w:rsidRPr="00190B33" w:rsidRDefault="00E541EE" w:rsidP="00E541EE">
      <w:pPr>
        <w:jc w:val="both"/>
        <w:rPr>
          <w:rFonts w:ascii="Arial" w:eastAsia="Times New Roman" w:hAnsi="Arial" w:cs="Arial"/>
          <w:sz w:val="24"/>
          <w:szCs w:val="24"/>
        </w:rPr>
      </w:pPr>
      <w:r w:rsidRPr="00190B33">
        <w:rPr>
          <w:rFonts w:ascii="Arial" w:eastAsia="Times New Roman" w:hAnsi="Arial" w:cs="Arial"/>
          <w:b/>
          <w:bCs/>
          <w:sz w:val="24"/>
          <w:szCs w:val="24"/>
        </w:rPr>
        <w:t xml:space="preserve">Opći cilj: </w:t>
      </w:r>
      <w:r w:rsidRPr="00190B33">
        <w:rPr>
          <w:rFonts w:ascii="Arial" w:eastAsia="Times New Roman" w:hAnsi="Arial" w:cs="Arial"/>
          <w:bCs/>
          <w:sz w:val="24"/>
          <w:szCs w:val="24"/>
        </w:rPr>
        <w:t>uredno arhiviranje dokumenata u skladu sa propisima.</w:t>
      </w:r>
    </w:p>
    <w:p w14:paraId="2C903ABB" w14:textId="77777777" w:rsidR="00E541EE" w:rsidRPr="00190B33" w:rsidRDefault="00E541EE" w:rsidP="00E541EE">
      <w:pPr>
        <w:jc w:val="both"/>
        <w:rPr>
          <w:rFonts w:ascii="Arial" w:eastAsia="Times New Roman" w:hAnsi="Arial" w:cs="Arial"/>
          <w:sz w:val="24"/>
          <w:szCs w:val="24"/>
        </w:rPr>
      </w:pPr>
      <w:r w:rsidRPr="00190B33">
        <w:rPr>
          <w:rFonts w:ascii="Arial" w:eastAsia="Times New Roman" w:hAnsi="Arial" w:cs="Arial"/>
          <w:b/>
          <w:sz w:val="24"/>
          <w:szCs w:val="24"/>
        </w:rPr>
        <w:t>Pokazatelj uspješnosti:</w:t>
      </w:r>
      <w:r w:rsidRPr="00190B33">
        <w:rPr>
          <w:rFonts w:ascii="Arial" w:eastAsia="Times New Roman" w:hAnsi="Arial" w:cs="Arial"/>
          <w:sz w:val="24"/>
          <w:szCs w:val="24"/>
        </w:rPr>
        <w:t xml:space="preserve"> uređeni prostori i pravilno pohranjeno arhivsko gradivo gradske uprave.</w:t>
      </w:r>
    </w:p>
    <w:p w14:paraId="3429E39D" w14:textId="77777777" w:rsidR="00E541EE" w:rsidRPr="00190B33" w:rsidRDefault="00E541EE" w:rsidP="00E541EE">
      <w:pPr>
        <w:jc w:val="center"/>
        <w:rPr>
          <w:rFonts w:ascii="Arial" w:eastAsia="Times New Roman" w:hAnsi="Arial" w:cs="Arial"/>
          <w:b/>
          <w:sz w:val="24"/>
          <w:szCs w:val="24"/>
        </w:rPr>
      </w:pPr>
    </w:p>
    <w:p w14:paraId="460DC30B" w14:textId="77777777" w:rsidR="00E541EE" w:rsidRPr="00190B33"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sz w:val="24"/>
          <w:szCs w:val="24"/>
        </w:rPr>
      </w:pPr>
      <w:r w:rsidRPr="00190B33">
        <w:rPr>
          <w:rFonts w:ascii="Arial" w:eastAsia="Times New Roman" w:hAnsi="Arial" w:cs="Arial"/>
          <w:b/>
          <w:sz w:val="24"/>
          <w:szCs w:val="24"/>
        </w:rPr>
        <w:t>K 100301: Nabava opreme za potrebe gradske uprave = 126.625,00 EUR</w:t>
      </w:r>
    </w:p>
    <w:p w14:paraId="19006201" w14:textId="77777777" w:rsidR="00E541EE" w:rsidRPr="00190B33" w:rsidRDefault="00E541EE" w:rsidP="00E541EE">
      <w:pPr>
        <w:jc w:val="both"/>
        <w:rPr>
          <w:rFonts w:ascii="Arial" w:eastAsia="Times New Roman" w:hAnsi="Arial" w:cs="Arial"/>
          <w:sz w:val="24"/>
          <w:szCs w:val="24"/>
        </w:rPr>
      </w:pPr>
      <w:r w:rsidRPr="00190B33">
        <w:rPr>
          <w:rFonts w:ascii="Arial" w:eastAsia="Times New Roman" w:hAnsi="Arial" w:cs="Arial"/>
          <w:b/>
          <w:sz w:val="24"/>
          <w:szCs w:val="24"/>
        </w:rPr>
        <w:t>Zakonska osnova:</w:t>
      </w:r>
      <w:r w:rsidRPr="00190B33">
        <w:rPr>
          <w:rFonts w:ascii="Arial" w:eastAsia="Times New Roman" w:hAnsi="Arial" w:cs="Arial"/>
          <w:sz w:val="24"/>
          <w:szCs w:val="24"/>
        </w:rPr>
        <w:t xml:space="preserve"> Zakon o lokalnoj i područnoj (regionalnoj) samoupravi</w:t>
      </w:r>
    </w:p>
    <w:p w14:paraId="3EBC6E25" w14:textId="77777777" w:rsidR="00E541EE" w:rsidRPr="00190B33" w:rsidRDefault="00E541EE" w:rsidP="00E541EE">
      <w:pPr>
        <w:jc w:val="both"/>
        <w:rPr>
          <w:rFonts w:ascii="Arial" w:eastAsia="Times New Roman" w:hAnsi="Arial" w:cs="Arial"/>
          <w:sz w:val="24"/>
          <w:szCs w:val="24"/>
        </w:rPr>
      </w:pPr>
      <w:r w:rsidRPr="00190B33">
        <w:rPr>
          <w:rFonts w:ascii="Arial" w:eastAsia="Times New Roman" w:hAnsi="Arial" w:cs="Arial"/>
          <w:b/>
          <w:sz w:val="24"/>
          <w:szCs w:val="24"/>
        </w:rPr>
        <w:t>Opis:</w:t>
      </w:r>
      <w:r w:rsidRPr="00190B33">
        <w:rPr>
          <w:rFonts w:ascii="Arial" w:eastAsia="Times New Roman" w:hAnsi="Arial" w:cs="Arial"/>
          <w:sz w:val="24"/>
          <w:szCs w:val="24"/>
        </w:rPr>
        <w:t xml:space="preserve"> navedeni iznos osigurava opremanje svih odjela gradske uprave čime se osigurava njihov nesmetan i redovan rad (nabavku računalne opreme, servera, komunikacijske te uredske opreme, namještaja, opremanje arhive, održavanje i nabave vozila, upravnih zgrada i slično).</w:t>
      </w:r>
    </w:p>
    <w:p w14:paraId="5DDA5A9B" w14:textId="77777777" w:rsidR="00E541EE" w:rsidRPr="00190B33" w:rsidRDefault="00E541EE" w:rsidP="00E541EE">
      <w:pPr>
        <w:jc w:val="both"/>
        <w:rPr>
          <w:rFonts w:ascii="Arial" w:eastAsia="Times New Roman" w:hAnsi="Arial" w:cs="Arial"/>
          <w:sz w:val="24"/>
          <w:szCs w:val="24"/>
        </w:rPr>
      </w:pPr>
      <w:r w:rsidRPr="00190B33">
        <w:rPr>
          <w:rFonts w:ascii="Arial" w:eastAsia="Times New Roman" w:hAnsi="Arial" w:cs="Arial"/>
          <w:b/>
          <w:sz w:val="24"/>
          <w:szCs w:val="24"/>
        </w:rPr>
        <w:t xml:space="preserve">Opći cilj: </w:t>
      </w:r>
      <w:r w:rsidRPr="00190B33">
        <w:rPr>
          <w:rFonts w:ascii="Arial" w:eastAsia="Times New Roman" w:hAnsi="Arial" w:cs="Arial"/>
          <w:sz w:val="24"/>
          <w:szCs w:val="24"/>
        </w:rPr>
        <w:t xml:space="preserve">osiguravanje funkcioniranja gradske administracije. </w:t>
      </w:r>
    </w:p>
    <w:p w14:paraId="1CD2CBFF" w14:textId="77777777" w:rsidR="00E541EE" w:rsidRPr="00190B33" w:rsidRDefault="00E541EE" w:rsidP="00E541EE">
      <w:pPr>
        <w:jc w:val="both"/>
        <w:rPr>
          <w:rFonts w:ascii="Arial" w:eastAsia="Times New Roman" w:hAnsi="Arial" w:cs="Arial"/>
          <w:sz w:val="24"/>
          <w:szCs w:val="24"/>
        </w:rPr>
      </w:pPr>
      <w:r w:rsidRPr="00190B33">
        <w:rPr>
          <w:rFonts w:ascii="Arial" w:eastAsia="Times New Roman" w:hAnsi="Arial" w:cs="Arial"/>
          <w:b/>
          <w:sz w:val="24"/>
          <w:szCs w:val="24"/>
        </w:rPr>
        <w:t>Pokazatelj uspješnosti:</w:t>
      </w:r>
      <w:r w:rsidRPr="00190B33">
        <w:rPr>
          <w:rFonts w:ascii="Arial" w:eastAsia="Times New Roman" w:hAnsi="Arial" w:cs="Arial"/>
          <w:sz w:val="24"/>
          <w:szCs w:val="24"/>
        </w:rPr>
        <w:t xml:space="preserve"> osiguranje primjerenih radnih uvjeta i alata zaposlenicima gradske uprave.</w:t>
      </w:r>
    </w:p>
    <w:p w14:paraId="5DE8A763" w14:textId="77777777" w:rsidR="00E541EE" w:rsidRPr="00190B33" w:rsidRDefault="00E541EE" w:rsidP="00E541EE">
      <w:pPr>
        <w:jc w:val="both"/>
        <w:rPr>
          <w:rFonts w:ascii="Arial" w:eastAsia="Times New Roman" w:hAnsi="Arial" w:cs="Arial"/>
          <w:sz w:val="24"/>
          <w:szCs w:val="24"/>
        </w:rPr>
      </w:pPr>
    </w:p>
    <w:p w14:paraId="416A722F" w14:textId="77777777" w:rsidR="00E541EE" w:rsidRPr="00190B33" w:rsidRDefault="00E541EE" w:rsidP="00E541EE">
      <w:pPr>
        <w:pBdr>
          <w:top w:val="single" w:sz="4" w:space="1" w:color="auto"/>
          <w:left w:val="single" w:sz="4" w:space="4" w:color="auto"/>
          <w:bottom w:val="single" w:sz="4" w:space="1" w:color="auto"/>
          <w:right w:val="single" w:sz="4" w:space="4" w:color="auto"/>
        </w:pBdr>
        <w:shd w:val="clear" w:color="auto" w:fill="FFFF80"/>
        <w:jc w:val="both"/>
        <w:rPr>
          <w:rFonts w:ascii="Arial" w:eastAsia="Times New Roman" w:hAnsi="Arial" w:cs="Arial"/>
          <w:b/>
          <w:sz w:val="24"/>
          <w:szCs w:val="24"/>
        </w:rPr>
      </w:pPr>
      <w:r w:rsidRPr="00190B33">
        <w:rPr>
          <w:rFonts w:ascii="Arial" w:eastAsia="Times New Roman" w:hAnsi="Arial" w:cs="Arial"/>
          <w:b/>
          <w:sz w:val="24"/>
          <w:szCs w:val="24"/>
        </w:rPr>
        <w:t>Program 1050: Digitalizacija poslovanja gradske uprave = 20.000,00 EUR</w:t>
      </w:r>
    </w:p>
    <w:p w14:paraId="2BAB3A29" w14:textId="77777777" w:rsidR="00E541EE" w:rsidRPr="00190B33" w:rsidRDefault="00E541EE" w:rsidP="00E541EE">
      <w:pPr>
        <w:jc w:val="both"/>
        <w:rPr>
          <w:rFonts w:ascii="Arial" w:eastAsia="Times New Roman" w:hAnsi="Arial" w:cs="Arial"/>
          <w:sz w:val="24"/>
          <w:szCs w:val="24"/>
          <w:highlight w:val="yellow"/>
        </w:rPr>
      </w:pPr>
    </w:p>
    <w:p w14:paraId="62E2FC80" w14:textId="77777777" w:rsidR="00E541EE" w:rsidRPr="00190B33"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sz w:val="24"/>
          <w:szCs w:val="24"/>
        </w:rPr>
      </w:pPr>
      <w:r w:rsidRPr="00190B33">
        <w:rPr>
          <w:rFonts w:ascii="Arial" w:eastAsia="Times New Roman" w:hAnsi="Arial" w:cs="Arial"/>
          <w:b/>
          <w:sz w:val="24"/>
          <w:szCs w:val="24"/>
        </w:rPr>
        <w:t>T 105002: Projekt „Rovinj-Rovigno Direct“ = 20.000,00 EUR</w:t>
      </w:r>
    </w:p>
    <w:p w14:paraId="38FDB0E3" w14:textId="77777777" w:rsidR="00E541EE" w:rsidRPr="00190B33" w:rsidRDefault="00E541EE" w:rsidP="00E541EE">
      <w:pPr>
        <w:jc w:val="both"/>
        <w:rPr>
          <w:rFonts w:ascii="Arial" w:eastAsia="Times New Roman" w:hAnsi="Arial" w:cs="Arial"/>
          <w:sz w:val="24"/>
          <w:szCs w:val="24"/>
        </w:rPr>
      </w:pPr>
      <w:r w:rsidRPr="00190B33">
        <w:rPr>
          <w:rFonts w:ascii="Arial" w:eastAsia="Times New Roman" w:hAnsi="Arial" w:cs="Arial"/>
          <w:b/>
          <w:sz w:val="24"/>
          <w:szCs w:val="24"/>
        </w:rPr>
        <w:t>Zakonska osnova:</w:t>
      </w:r>
      <w:r w:rsidRPr="00190B33">
        <w:rPr>
          <w:rFonts w:ascii="Arial" w:eastAsia="Times New Roman" w:hAnsi="Arial" w:cs="Arial"/>
          <w:sz w:val="24"/>
          <w:szCs w:val="24"/>
        </w:rPr>
        <w:t xml:space="preserve"> Zakon o lokalnoj i područnoj (regionalnoj) samoupravi, </w:t>
      </w:r>
      <w:r w:rsidRPr="00190B33">
        <w:rPr>
          <w:rFonts w:ascii="Arial" w:hAnsi="Arial" w:cs="Arial"/>
          <w:sz w:val="24"/>
          <w:szCs w:val="24"/>
        </w:rPr>
        <w:t>Javni poziv Fonda za zaštitu okoliša i energetsku učinkovitost</w:t>
      </w:r>
      <w:r w:rsidRPr="00190B33">
        <w:rPr>
          <w:rFonts w:ascii="Arial" w:eastAsia="Times New Roman" w:hAnsi="Arial" w:cs="Arial"/>
          <w:sz w:val="24"/>
          <w:szCs w:val="24"/>
        </w:rPr>
        <w:t xml:space="preserve"> </w:t>
      </w:r>
      <w:r w:rsidRPr="00190B33">
        <w:rPr>
          <w:rFonts w:ascii="Arial" w:hAnsi="Arial" w:cs="Arial"/>
          <w:sz w:val="24"/>
          <w:szCs w:val="24"/>
        </w:rPr>
        <w:t xml:space="preserve">za poticanje razvoja pametnih i održivih rješenja i usluga. </w:t>
      </w:r>
    </w:p>
    <w:p w14:paraId="7777CE00" w14:textId="77777777" w:rsidR="00E541EE" w:rsidRPr="00190B33" w:rsidRDefault="00E541EE" w:rsidP="00E541EE">
      <w:pPr>
        <w:jc w:val="both"/>
        <w:rPr>
          <w:rFonts w:ascii="Arial" w:hAnsi="Arial" w:cs="Arial"/>
          <w:color w:val="000000"/>
          <w:sz w:val="24"/>
          <w:szCs w:val="24"/>
        </w:rPr>
      </w:pPr>
      <w:r w:rsidRPr="00190B33">
        <w:rPr>
          <w:rFonts w:ascii="Arial" w:eastAsia="Times New Roman" w:hAnsi="Arial" w:cs="Arial"/>
          <w:b/>
          <w:sz w:val="24"/>
          <w:szCs w:val="24"/>
        </w:rPr>
        <w:t>Opis:</w:t>
      </w:r>
      <w:r w:rsidRPr="00190B33">
        <w:rPr>
          <w:rFonts w:ascii="Arial" w:eastAsia="Times New Roman" w:hAnsi="Arial" w:cs="Arial"/>
          <w:sz w:val="24"/>
          <w:szCs w:val="24"/>
        </w:rPr>
        <w:t xml:space="preserve"> </w:t>
      </w:r>
      <w:r w:rsidRPr="00190B33">
        <w:rPr>
          <w:rFonts w:ascii="Arial" w:hAnsi="Arial" w:cs="Arial"/>
          <w:color w:val="000000"/>
          <w:sz w:val="24"/>
          <w:szCs w:val="24"/>
        </w:rPr>
        <w:t xml:space="preserve">Projektom se realizirala digitalna platforma koja omogućava digitalizaciju usluga grada kroz web i mobilnu aplikaciju odnosno omogućava </w:t>
      </w:r>
      <w:r w:rsidRPr="00190B33">
        <w:rPr>
          <w:rFonts w:ascii="Arial" w:hAnsi="Arial" w:cs="Arial"/>
          <w:sz w:val="24"/>
          <w:szCs w:val="24"/>
        </w:rPr>
        <w:t>dvosmjernu komunikaciju između građana i gradske uprave i službi, pregled i plaćanje svih gradskih računa</w:t>
      </w:r>
      <w:r w:rsidRPr="00190B33">
        <w:rPr>
          <w:rFonts w:ascii="Arial" w:hAnsi="Arial" w:cs="Arial"/>
          <w:color w:val="000000"/>
          <w:sz w:val="24"/>
          <w:szCs w:val="24"/>
        </w:rPr>
        <w:t>, uspostava „</w:t>
      </w:r>
      <w:r w:rsidRPr="00190B33">
        <w:rPr>
          <w:rFonts w:ascii="Arial" w:hAnsi="Arial" w:cs="Arial"/>
          <w:sz w:val="24"/>
          <w:szCs w:val="24"/>
        </w:rPr>
        <w:t>Gradske službe za podršku“ (service desk), omogućava unos elektroničkih obrazaca kao formalnih zahtjeva prema gradu, slanje notifikacija građanima, itd. Aplikacija je realizirana tijekom 2024., dok je u 2026. godini predviđeno tek 20.000,00 eura za eventualne nadogradnje ukoliko korištenje aplikacije to bude pokazalo potrebnim</w:t>
      </w:r>
      <w:r>
        <w:rPr>
          <w:rFonts w:ascii="Arial" w:hAnsi="Arial" w:cs="Arial"/>
          <w:sz w:val="24"/>
          <w:szCs w:val="24"/>
        </w:rPr>
        <w:t xml:space="preserve"> te za daljnju promociju iste.</w:t>
      </w:r>
    </w:p>
    <w:p w14:paraId="4A26D886" w14:textId="77777777" w:rsidR="00E541EE" w:rsidRPr="00190B33" w:rsidRDefault="00E541EE" w:rsidP="00E541EE">
      <w:pPr>
        <w:jc w:val="both"/>
        <w:rPr>
          <w:rFonts w:ascii="Arial" w:eastAsia="Times New Roman" w:hAnsi="Arial" w:cs="Arial"/>
          <w:sz w:val="24"/>
          <w:szCs w:val="24"/>
        </w:rPr>
      </w:pPr>
      <w:r w:rsidRPr="00190B33">
        <w:rPr>
          <w:rFonts w:ascii="Arial" w:eastAsia="Times New Roman" w:hAnsi="Arial" w:cs="Arial"/>
          <w:b/>
          <w:sz w:val="24"/>
          <w:szCs w:val="24"/>
        </w:rPr>
        <w:t xml:space="preserve">Opći cilj: </w:t>
      </w:r>
      <w:r w:rsidRPr="00190B33">
        <w:rPr>
          <w:rFonts w:ascii="Arial" w:hAnsi="Arial" w:cs="Arial"/>
          <w:color w:val="000000"/>
          <w:sz w:val="24"/>
          <w:szCs w:val="24"/>
        </w:rPr>
        <w:t>optimizacija i digitalizacija usluga i procesa javne uprave kroz implementaciju digitalne platforme Grada Rovinja-Rovign</w:t>
      </w:r>
      <w:r>
        <w:rPr>
          <w:rFonts w:ascii="Arial" w:hAnsi="Arial" w:cs="Arial"/>
          <w:color w:val="000000"/>
          <w:sz w:val="24"/>
          <w:szCs w:val="24"/>
        </w:rPr>
        <w:t>o.</w:t>
      </w:r>
    </w:p>
    <w:p w14:paraId="4F4D76B4" w14:textId="77777777" w:rsidR="00E541EE" w:rsidRPr="00190B33" w:rsidRDefault="00E541EE" w:rsidP="00E541EE">
      <w:pPr>
        <w:jc w:val="both"/>
        <w:rPr>
          <w:rFonts w:ascii="Arial" w:eastAsia="Times New Roman" w:hAnsi="Arial" w:cs="Arial"/>
          <w:sz w:val="24"/>
          <w:szCs w:val="24"/>
        </w:rPr>
      </w:pPr>
      <w:r w:rsidRPr="00190B33">
        <w:rPr>
          <w:rFonts w:ascii="Arial" w:eastAsia="Times New Roman" w:hAnsi="Arial" w:cs="Arial"/>
          <w:b/>
          <w:sz w:val="24"/>
          <w:szCs w:val="24"/>
        </w:rPr>
        <w:t>Pokazatelj uspješnosti:</w:t>
      </w:r>
      <w:r w:rsidRPr="00190B33">
        <w:rPr>
          <w:rFonts w:ascii="Arial" w:eastAsia="Times New Roman" w:hAnsi="Arial" w:cs="Arial"/>
          <w:sz w:val="24"/>
          <w:szCs w:val="24"/>
        </w:rPr>
        <w:t xml:space="preserve"> razvijena i uspostavljena funkcionalna digitalna platforma</w:t>
      </w:r>
      <w:r>
        <w:rPr>
          <w:rFonts w:ascii="Arial" w:eastAsia="Times New Roman" w:hAnsi="Arial" w:cs="Arial"/>
          <w:sz w:val="24"/>
          <w:szCs w:val="24"/>
        </w:rPr>
        <w:t>.</w:t>
      </w:r>
    </w:p>
    <w:p w14:paraId="69CFB20D" w14:textId="77777777" w:rsidR="00E541EE" w:rsidRPr="00190B33" w:rsidRDefault="00E541EE" w:rsidP="00E541EE">
      <w:pPr>
        <w:pBdr>
          <w:top w:val="single" w:sz="4" w:space="1" w:color="auto"/>
          <w:left w:val="single" w:sz="4" w:space="4" w:color="auto"/>
          <w:bottom w:val="single" w:sz="4" w:space="1" w:color="auto"/>
          <w:right w:val="single" w:sz="4" w:space="4" w:color="auto"/>
        </w:pBdr>
        <w:shd w:val="clear" w:color="auto" w:fill="FFFF80"/>
        <w:jc w:val="both"/>
        <w:rPr>
          <w:rFonts w:ascii="Arial" w:eastAsia="Times New Roman" w:hAnsi="Arial" w:cs="Arial"/>
          <w:sz w:val="24"/>
          <w:szCs w:val="24"/>
        </w:rPr>
      </w:pPr>
      <w:r w:rsidRPr="00190B33">
        <w:rPr>
          <w:rFonts w:ascii="Arial" w:eastAsia="Times New Roman" w:hAnsi="Arial" w:cs="Arial"/>
          <w:b/>
          <w:sz w:val="24"/>
          <w:szCs w:val="24"/>
        </w:rPr>
        <w:t>Program 1041: Sigurnost zajednice = 7.965,00 EUR</w:t>
      </w:r>
    </w:p>
    <w:p w14:paraId="5FEE94AE" w14:textId="77777777" w:rsidR="00E541EE" w:rsidRPr="00190B33" w:rsidRDefault="00E541EE" w:rsidP="00E541EE">
      <w:pPr>
        <w:jc w:val="both"/>
        <w:rPr>
          <w:rFonts w:ascii="Arial" w:eastAsia="Times New Roman" w:hAnsi="Arial" w:cs="Arial"/>
          <w:b/>
          <w:sz w:val="24"/>
          <w:szCs w:val="24"/>
        </w:rPr>
      </w:pPr>
    </w:p>
    <w:p w14:paraId="5ECACFFE" w14:textId="77777777" w:rsidR="00E541EE" w:rsidRPr="00190B33" w:rsidRDefault="00E541EE" w:rsidP="00E541EE">
      <w:pPr>
        <w:pBdr>
          <w:top w:val="single" w:sz="4" w:space="1" w:color="auto"/>
          <w:left w:val="single" w:sz="4" w:space="4" w:color="auto"/>
          <w:bottom w:val="single" w:sz="4" w:space="0" w:color="auto"/>
          <w:right w:val="single" w:sz="4" w:space="4" w:color="auto"/>
        </w:pBdr>
        <w:shd w:val="clear" w:color="auto" w:fill="E9E9E9"/>
        <w:jc w:val="both"/>
        <w:rPr>
          <w:rFonts w:ascii="Arial" w:eastAsia="Times New Roman" w:hAnsi="Arial" w:cs="Arial"/>
          <w:b/>
          <w:sz w:val="24"/>
          <w:szCs w:val="24"/>
        </w:rPr>
      </w:pPr>
      <w:r w:rsidRPr="00190B33">
        <w:rPr>
          <w:rFonts w:ascii="Arial" w:eastAsia="Times New Roman" w:hAnsi="Arial" w:cs="Arial"/>
          <w:b/>
          <w:sz w:val="24"/>
          <w:szCs w:val="24"/>
        </w:rPr>
        <w:t>T 104101: MUP RH = 7.965,00 EUR</w:t>
      </w:r>
    </w:p>
    <w:p w14:paraId="259A3BFC" w14:textId="77777777" w:rsidR="00E541EE" w:rsidRPr="00190B33" w:rsidRDefault="00E541EE" w:rsidP="00E541EE">
      <w:pPr>
        <w:jc w:val="both"/>
        <w:rPr>
          <w:rFonts w:ascii="Arial" w:eastAsia="Times New Roman" w:hAnsi="Arial" w:cs="Arial"/>
          <w:sz w:val="24"/>
          <w:szCs w:val="24"/>
        </w:rPr>
      </w:pPr>
      <w:r w:rsidRPr="00190B33">
        <w:rPr>
          <w:rFonts w:ascii="Arial" w:eastAsia="Times New Roman" w:hAnsi="Arial" w:cs="Arial"/>
          <w:b/>
          <w:sz w:val="24"/>
          <w:szCs w:val="24"/>
        </w:rPr>
        <w:t>Zakonska osnova:</w:t>
      </w:r>
      <w:r w:rsidRPr="00190B33">
        <w:rPr>
          <w:rFonts w:ascii="Arial" w:eastAsia="Times New Roman" w:hAnsi="Arial" w:cs="Arial"/>
          <w:sz w:val="24"/>
          <w:szCs w:val="24"/>
        </w:rPr>
        <w:t xml:space="preserve"> Zakon o lokalnoj i područnoj (regionalnoj) samoupravi.</w:t>
      </w:r>
    </w:p>
    <w:p w14:paraId="28FBFDED" w14:textId="77777777" w:rsidR="00E541EE" w:rsidRPr="00190B33" w:rsidRDefault="00E541EE" w:rsidP="00E541EE">
      <w:pPr>
        <w:jc w:val="both"/>
        <w:rPr>
          <w:rFonts w:ascii="Arial" w:eastAsia="Times New Roman" w:hAnsi="Arial" w:cs="Arial"/>
          <w:sz w:val="24"/>
          <w:szCs w:val="24"/>
        </w:rPr>
      </w:pPr>
      <w:r w:rsidRPr="00190B33">
        <w:rPr>
          <w:rFonts w:ascii="Arial" w:eastAsia="Times New Roman" w:hAnsi="Arial" w:cs="Arial"/>
          <w:b/>
          <w:sz w:val="24"/>
          <w:szCs w:val="24"/>
        </w:rPr>
        <w:t xml:space="preserve">Opis: </w:t>
      </w:r>
      <w:r w:rsidRPr="00190B33">
        <w:rPr>
          <w:rFonts w:ascii="Arial" w:eastAsia="Times New Roman" w:hAnsi="Arial" w:cs="Arial"/>
          <w:sz w:val="24"/>
          <w:szCs w:val="24"/>
        </w:rPr>
        <w:t>ovim se sredstvima sufinancira smještaj policajaca koji budu povućeni iz raznih dijelova Hrvatske na ispomoć u naš grad zbog potrebe dodatnog osiguranja sigurnosti turista i građana tijekom špice turističke sezone.</w:t>
      </w:r>
    </w:p>
    <w:p w14:paraId="66493C98" w14:textId="77777777" w:rsidR="00E541EE" w:rsidRPr="00190B33" w:rsidRDefault="00E541EE" w:rsidP="00E541EE">
      <w:pPr>
        <w:jc w:val="both"/>
        <w:rPr>
          <w:rFonts w:ascii="Arial" w:eastAsia="Times New Roman" w:hAnsi="Arial" w:cs="Arial"/>
          <w:sz w:val="24"/>
          <w:szCs w:val="24"/>
        </w:rPr>
      </w:pPr>
      <w:r w:rsidRPr="00190B33">
        <w:rPr>
          <w:rFonts w:ascii="Arial" w:eastAsia="Times New Roman" w:hAnsi="Arial" w:cs="Arial"/>
          <w:b/>
          <w:sz w:val="24"/>
          <w:szCs w:val="24"/>
        </w:rPr>
        <w:t xml:space="preserve">Opći cilj: </w:t>
      </w:r>
      <w:r w:rsidRPr="00190B33">
        <w:rPr>
          <w:rFonts w:ascii="Arial" w:eastAsia="Times New Roman" w:hAnsi="Arial" w:cs="Arial"/>
          <w:sz w:val="24"/>
          <w:szCs w:val="24"/>
        </w:rPr>
        <w:t>osiguravanje veće sigurnosti građana i turista.</w:t>
      </w:r>
    </w:p>
    <w:p w14:paraId="22A688B5" w14:textId="77777777" w:rsidR="00E541EE" w:rsidRPr="00190B33" w:rsidRDefault="00E541EE" w:rsidP="00E541EE">
      <w:pPr>
        <w:jc w:val="both"/>
        <w:rPr>
          <w:rFonts w:ascii="Arial" w:eastAsia="Times New Roman" w:hAnsi="Arial" w:cs="Arial"/>
          <w:sz w:val="24"/>
          <w:szCs w:val="24"/>
        </w:rPr>
      </w:pPr>
      <w:r w:rsidRPr="00190B33">
        <w:rPr>
          <w:rFonts w:ascii="Arial" w:eastAsia="Times New Roman" w:hAnsi="Arial" w:cs="Arial"/>
          <w:b/>
          <w:sz w:val="24"/>
          <w:szCs w:val="24"/>
        </w:rPr>
        <w:t>Pokazatelj uspješnosti:</w:t>
      </w:r>
      <w:r w:rsidRPr="00190B33">
        <w:rPr>
          <w:rFonts w:ascii="Arial" w:eastAsia="Times New Roman" w:hAnsi="Arial" w:cs="Arial"/>
          <w:sz w:val="24"/>
          <w:szCs w:val="24"/>
        </w:rPr>
        <w:t xml:space="preserve"> veći broj policajaca koji brinu o sigurnosti zajednice tijekom turističke sezone. </w:t>
      </w:r>
    </w:p>
    <w:p w14:paraId="69D75A66" w14:textId="77777777" w:rsidR="00E541EE" w:rsidRPr="00190B33" w:rsidRDefault="00E541EE" w:rsidP="00E541EE">
      <w:pPr>
        <w:jc w:val="both"/>
        <w:rPr>
          <w:rFonts w:ascii="Arial" w:eastAsia="Times New Roman" w:hAnsi="Arial" w:cs="Arial"/>
          <w:sz w:val="24"/>
          <w:szCs w:val="24"/>
        </w:rPr>
      </w:pPr>
    </w:p>
    <w:p w14:paraId="05B3E24F" w14:textId="77777777" w:rsidR="00E541EE" w:rsidRPr="00190B33" w:rsidRDefault="00E541EE" w:rsidP="00E541EE">
      <w:pPr>
        <w:pBdr>
          <w:top w:val="single" w:sz="4" w:space="1" w:color="auto"/>
          <w:left w:val="single" w:sz="4" w:space="4" w:color="auto"/>
          <w:bottom w:val="single" w:sz="4" w:space="1" w:color="auto"/>
          <w:right w:val="single" w:sz="4" w:space="4" w:color="auto"/>
        </w:pBdr>
        <w:shd w:val="clear" w:color="auto" w:fill="B1EDA0"/>
        <w:jc w:val="both"/>
        <w:rPr>
          <w:rFonts w:ascii="Arial" w:eastAsia="Times New Roman" w:hAnsi="Arial" w:cs="Arial"/>
          <w:b/>
          <w:sz w:val="24"/>
          <w:szCs w:val="24"/>
        </w:rPr>
      </w:pPr>
      <w:r w:rsidRPr="00190B33">
        <w:rPr>
          <w:rFonts w:ascii="Arial" w:eastAsia="Times New Roman" w:hAnsi="Arial" w:cs="Arial"/>
          <w:b/>
          <w:sz w:val="24"/>
          <w:szCs w:val="24"/>
        </w:rPr>
        <w:t>GLAVA 00104: VIJEĆA NACIONALNIH MANJINA = 7.935,00 EUR</w:t>
      </w:r>
    </w:p>
    <w:p w14:paraId="60FDAFB6" w14:textId="77777777" w:rsidR="00E541EE" w:rsidRPr="00190B33" w:rsidRDefault="00E541EE" w:rsidP="00E541EE">
      <w:pPr>
        <w:jc w:val="both"/>
        <w:rPr>
          <w:rFonts w:ascii="Arial" w:eastAsia="Times New Roman" w:hAnsi="Arial" w:cs="Arial"/>
          <w:sz w:val="24"/>
          <w:szCs w:val="24"/>
        </w:rPr>
      </w:pPr>
    </w:p>
    <w:p w14:paraId="7F4AD01A" w14:textId="77777777" w:rsidR="00E541EE" w:rsidRDefault="00E541EE" w:rsidP="00E541EE">
      <w:pPr>
        <w:pBdr>
          <w:top w:val="single" w:sz="4" w:space="1" w:color="auto"/>
          <w:left w:val="single" w:sz="4" w:space="4" w:color="auto"/>
          <w:bottom w:val="single" w:sz="4" w:space="1" w:color="auto"/>
          <w:right w:val="single" w:sz="4" w:space="4" w:color="auto"/>
        </w:pBdr>
        <w:shd w:val="clear" w:color="auto" w:fill="FFFF80"/>
        <w:jc w:val="both"/>
        <w:rPr>
          <w:rFonts w:ascii="Arial" w:eastAsia="Times New Roman" w:hAnsi="Arial" w:cs="Arial"/>
          <w:b/>
          <w:sz w:val="24"/>
          <w:szCs w:val="24"/>
        </w:rPr>
      </w:pPr>
      <w:r w:rsidRPr="00190B33">
        <w:rPr>
          <w:rFonts w:ascii="Arial" w:eastAsia="Times New Roman" w:hAnsi="Arial" w:cs="Arial"/>
          <w:b/>
          <w:sz w:val="24"/>
          <w:szCs w:val="24"/>
        </w:rPr>
        <w:t>Program 1046: Financiranje redovne djelatnosti nacionalnih manjina</w:t>
      </w:r>
    </w:p>
    <w:p w14:paraId="741E605D" w14:textId="77777777" w:rsidR="00E541EE" w:rsidRPr="00190B33" w:rsidRDefault="00E541EE" w:rsidP="00E541EE">
      <w:pPr>
        <w:pBdr>
          <w:top w:val="single" w:sz="4" w:space="1" w:color="auto"/>
          <w:left w:val="single" w:sz="4" w:space="4" w:color="auto"/>
          <w:bottom w:val="single" w:sz="4" w:space="1" w:color="auto"/>
          <w:right w:val="single" w:sz="4" w:space="4" w:color="auto"/>
        </w:pBdr>
        <w:shd w:val="clear" w:color="auto" w:fill="FFFF80"/>
        <w:jc w:val="both"/>
        <w:rPr>
          <w:rFonts w:ascii="Arial" w:eastAsia="Times New Roman" w:hAnsi="Arial" w:cs="Arial"/>
          <w:b/>
          <w:sz w:val="24"/>
          <w:szCs w:val="24"/>
        </w:rPr>
      </w:pPr>
      <w:r w:rsidRPr="00190B33">
        <w:rPr>
          <w:rFonts w:ascii="Arial" w:eastAsia="Times New Roman" w:hAnsi="Arial" w:cs="Arial"/>
          <w:b/>
          <w:sz w:val="24"/>
          <w:szCs w:val="24"/>
        </w:rPr>
        <w:t xml:space="preserve"> = 7.935,00 EUR</w:t>
      </w:r>
    </w:p>
    <w:p w14:paraId="4C63D7C8" w14:textId="77777777" w:rsidR="00E541EE" w:rsidRDefault="00E541EE" w:rsidP="00E541EE">
      <w:pPr>
        <w:jc w:val="both"/>
        <w:rPr>
          <w:rFonts w:ascii="Arial" w:hAnsi="Arial" w:cs="Arial"/>
          <w:b/>
          <w:sz w:val="24"/>
          <w:szCs w:val="24"/>
        </w:rPr>
      </w:pPr>
    </w:p>
    <w:p w14:paraId="2D59E135" w14:textId="77777777" w:rsidR="00E541EE" w:rsidRPr="00B7377A"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sz w:val="24"/>
          <w:szCs w:val="24"/>
        </w:rPr>
      </w:pPr>
      <w:r w:rsidRPr="00B7377A">
        <w:rPr>
          <w:rFonts w:ascii="Arial" w:eastAsia="Times New Roman" w:hAnsi="Arial" w:cs="Arial"/>
          <w:b/>
          <w:sz w:val="24"/>
          <w:szCs w:val="24"/>
        </w:rPr>
        <w:t>A 104601: Djelatnost nacionalnih manjina = 7.935,00 EUR</w:t>
      </w:r>
    </w:p>
    <w:p w14:paraId="6C218804" w14:textId="77777777" w:rsidR="00E541EE" w:rsidRPr="00190B33" w:rsidRDefault="00E541EE" w:rsidP="00E541EE">
      <w:pPr>
        <w:jc w:val="both"/>
        <w:rPr>
          <w:rFonts w:ascii="Arial" w:hAnsi="Arial" w:cs="Arial"/>
          <w:b/>
          <w:sz w:val="24"/>
          <w:szCs w:val="24"/>
        </w:rPr>
      </w:pPr>
    </w:p>
    <w:p w14:paraId="5D6BF285" w14:textId="77777777" w:rsidR="00E541EE" w:rsidRPr="00190B33" w:rsidRDefault="00E541EE" w:rsidP="00E541EE">
      <w:pPr>
        <w:pBdr>
          <w:top w:val="single" w:sz="4" w:space="1" w:color="auto"/>
          <w:left w:val="single" w:sz="4" w:space="4" w:color="auto"/>
          <w:bottom w:val="single" w:sz="4" w:space="1" w:color="auto"/>
          <w:right w:val="single" w:sz="4" w:space="4" w:color="auto"/>
        </w:pBdr>
        <w:shd w:val="clear" w:color="auto" w:fill="FFD5EA"/>
        <w:jc w:val="both"/>
        <w:rPr>
          <w:rFonts w:ascii="Arial" w:hAnsi="Arial" w:cs="Arial"/>
          <w:b/>
          <w:sz w:val="24"/>
          <w:szCs w:val="24"/>
        </w:rPr>
      </w:pPr>
      <w:r w:rsidRPr="00190B33">
        <w:rPr>
          <w:rFonts w:ascii="Arial" w:hAnsi="Arial" w:cs="Arial"/>
          <w:b/>
          <w:sz w:val="24"/>
          <w:szCs w:val="24"/>
        </w:rPr>
        <w:t>Korisnik: Albanska nacionalna manjina Grada Rovinja-Rovigno = 2.645,00 EUR</w:t>
      </w:r>
    </w:p>
    <w:p w14:paraId="1143B5E8" w14:textId="77777777" w:rsidR="00E541EE" w:rsidRPr="00190B33" w:rsidRDefault="00E541EE" w:rsidP="00E541EE">
      <w:pPr>
        <w:jc w:val="both"/>
        <w:rPr>
          <w:rFonts w:ascii="Arial" w:hAnsi="Arial" w:cs="Arial"/>
          <w:b/>
          <w:sz w:val="24"/>
          <w:szCs w:val="24"/>
        </w:rPr>
      </w:pPr>
    </w:p>
    <w:p w14:paraId="6DA633BC" w14:textId="77777777" w:rsidR="00E541EE" w:rsidRPr="00190B33" w:rsidRDefault="00E541EE" w:rsidP="00E541EE">
      <w:pPr>
        <w:pBdr>
          <w:top w:val="single" w:sz="4" w:space="1" w:color="auto"/>
          <w:left w:val="single" w:sz="4" w:space="4" w:color="auto"/>
          <w:bottom w:val="single" w:sz="4" w:space="1" w:color="auto"/>
          <w:right w:val="single" w:sz="4" w:space="4" w:color="auto"/>
        </w:pBdr>
        <w:shd w:val="clear" w:color="auto" w:fill="FFD5EA"/>
        <w:rPr>
          <w:rFonts w:ascii="Arial" w:hAnsi="Arial" w:cs="Arial"/>
          <w:b/>
          <w:sz w:val="24"/>
          <w:szCs w:val="24"/>
        </w:rPr>
      </w:pPr>
      <w:r w:rsidRPr="00190B33">
        <w:rPr>
          <w:rFonts w:ascii="Arial" w:hAnsi="Arial" w:cs="Arial"/>
          <w:b/>
          <w:sz w:val="24"/>
          <w:szCs w:val="24"/>
        </w:rPr>
        <w:t xml:space="preserve">Korisnik: Srpska nacionalna manjina Grada Rovinja-Rovigno = 2.645,00 EUR                                             </w:t>
      </w:r>
    </w:p>
    <w:p w14:paraId="1C1BA4D1" w14:textId="77777777" w:rsidR="00E541EE" w:rsidRPr="00190B33" w:rsidRDefault="00E541EE" w:rsidP="00E541EE">
      <w:pPr>
        <w:jc w:val="both"/>
        <w:rPr>
          <w:rFonts w:ascii="Arial" w:hAnsi="Arial" w:cs="Arial"/>
          <w:b/>
          <w:sz w:val="24"/>
          <w:szCs w:val="24"/>
        </w:rPr>
      </w:pPr>
    </w:p>
    <w:p w14:paraId="6B8EA098" w14:textId="77777777" w:rsidR="00E541EE" w:rsidRPr="00190B33" w:rsidRDefault="00E541EE" w:rsidP="00E541EE">
      <w:pPr>
        <w:pBdr>
          <w:top w:val="single" w:sz="4" w:space="1" w:color="auto"/>
          <w:left w:val="single" w:sz="4" w:space="4" w:color="auto"/>
          <w:bottom w:val="single" w:sz="4" w:space="1" w:color="auto"/>
          <w:right w:val="single" w:sz="4" w:space="4" w:color="auto"/>
        </w:pBdr>
        <w:shd w:val="clear" w:color="auto" w:fill="FFD5EA"/>
        <w:rPr>
          <w:rFonts w:ascii="Arial" w:hAnsi="Arial" w:cs="Arial"/>
          <w:b/>
          <w:sz w:val="24"/>
          <w:szCs w:val="24"/>
        </w:rPr>
      </w:pPr>
      <w:r w:rsidRPr="00190B33">
        <w:rPr>
          <w:rFonts w:ascii="Arial" w:hAnsi="Arial" w:cs="Arial"/>
          <w:b/>
          <w:sz w:val="24"/>
          <w:szCs w:val="24"/>
        </w:rPr>
        <w:t xml:space="preserve">Korisnik: Talijanska nacionalna manjina Grada Rovinja-Rovigno= 2.645,00 EUR                                                                                              </w:t>
      </w:r>
    </w:p>
    <w:p w14:paraId="59B3C9AC" w14:textId="77777777" w:rsidR="00E541EE" w:rsidRPr="00190B33" w:rsidRDefault="00E541EE" w:rsidP="00E541EE">
      <w:pPr>
        <w:jc w:val="both"/>
        <w:rPr>
          <w:rFonts w:ascii="Arial" w:eastAsia="Times New Roman" w:hAnsi="Arial" w:cs="Arial"/>
          <w:sz w:val="24"/>
          <w:szCs w:val="24"/>
        </w:rPr>
      </w:pPr>
      <w:r w:rsidRPr="00190B33">
        <w:rPr>
          <w:rFonts w:ascii="Arial" w:eastAsia="Times New Roman" w:hAnsi="Arial" w:cs="Arial"/>
          <w:b/>
          <w:sz w:val="24"/>
          <w:szCs w:val="24"/>
        </w:rPr>
        <w:t xml:space="preserve">Zakonska osnova: </w:t>
      </w:r>
      <w:r w:rsidRPr="00190B33">
        <w:rPr>
          <w:rFonts w:ascii="Arial" w:eastAsia="Times New Roman" w:hAnsi="Arial" w:cs="Arial"/>
          <w:sz w:val="24"/>
          <w:szCs w:val="24"/>
        </w:rPr>
        <w:t>Ustavni zakon o pravima nacionalnih manjina.</w:t>
      </w:r>
    </w:p>
    <w:p w14:paraId="614CBF66" w14:textId="77777777" w:rsidR="00E541EE" w:rsidRPr="00190B33" w:rsidRDefault="00E541EE" w:rsidP="00E541EE">
      <w:pPr>
        <w:jc w:val="both"/>
        <w:rPr>
          <w:rFonts w:ascii="Arial" w:eastAsia="Times New Roman" w:hAnsi="Arial" w:cs="Arial"/>
          <w:sz w:val="24"/>
          <w:szCs w:val="24"/>
        </w:rPr>
      </w:pPr>
      <w:r w:rsidRPr="00190B33">
        <w:rPr>
          <w:rFonts w:ascii="Arial" w:eastAsia="Times New Roman" w:hAnsi="Arial" w:cs="Arial"/>
          <w:b/>
          <w:sz w:val="24"/>
          <w:szCs w:val="24"/>
        </w:rPr>
        <w:t xml:space="preserve">Opis: </w:t>
      </w:r>
      <w:r w:rsidRPr="00190B33">
        <w:rPr>
          <w:rFonts w:ascii="Arial" w:eastAsia="Times New Roman" w:hAnsi="Arial" w:cs="Arial"/>
          <w:sz w:val="24"/>
          <w:szCs w:val="24"/>
        </w:rPr>
        <w:t>sukladno Ustavnom zakonu o pravima nacionalnih manjina, navedena sredstva se koriste za materijalne rashode poslovanja vijeća nacionalnih manjina.</w:t>
      </w:r>
    </w:p>
    <w:p w14:paraId="585785D1" w14:textId="77777777" w:rsidR="00E541EE" w:rsidRPr="00190B33" w:rsidRDefault="00E541EE" w:rsidP="00E541EE">
      <w:pPr>
        <w:jc w:val="both"/>
        <w:rPr>
          <w:rFonts w:ascii="Arial" w:eastAsia="Times New Roman" w:hAnsi="Arial" w:cs="Arial"/>
          <w:sz w:val="24"/>
          <w:szCs w:val="24"/>
        </w:rPr>
      </w:pPr>
      <w:r w:rsidRPr="00190B33">
        <w:rPr>
          <w:rFonts w:ascii="Arial" w:eastAsia="Times New Roman" w:hAnsi="Arial" w:cs="Arial"/>
          <w:b/>
          <w:sz w:val="24"/>
          <w:szCs w:val="24"/>
        </w:rPr>
        <w:t xml:space="preserve">Opći cilj: </w:t>
      </w:r>
      <w:r w:rsidRPr="00190B33">
        <w:rPr>
          <w:rFonts w:ascii="Arial" w:eastAsia="Times New Roman" w:hAnsi="Arial" w:cs="Arial"/>
          <w:sz w:val="24"/>
          <w:szCs w:val="24"/>
        </w:rPr>
        <w:t>osiguravanje ustavnih prava nacionalnih manjina.</w:t>
      </w:r>
    </w:p>
    <w:p w14:paraId="30B593FE" w14:textId="77777777" w:rsidR="00E541EE" w:rsidRPr="00190B33" w:rsidRDefault="00E541EE" w:rsidP="00E541EE">
      <w:pPr>
        <w:jc w:val="both"/>
        <w:rPr>
          <w:rFonts w:ascii="Arial" w:eastAsia="Times New Roman" w:hAnsi="Arial" w:cs="Arial"/>
          <w:sz w:val="24"/>
          <w:szCs w:val="24"/>
        </w:rPr>
      </w:pPr>
      <w:r w:rsidRPr="00190B33">
        <w:rPr>
          <w:rFonts w:ascii="Arial" w:eastAsia="Times New Roman" w:hAnsi="Arial" w:cs="Arial"/>
          <w:b/>
          <w:sz w:val="24"/>
          <w:szCs w:val="24"/>
        </w:rPr>
        <w:t>Pokazatelj uspješnosti:</w:t>
      </w:r>
      <w:r w:rsidRPr="00190B33">
        <w:rPr>
          <w:rFonts w:ascii="Arial" w:eastAsia="Times New Roman" w:hAnsi="Arial" w:cs="Arial"/>
          <w:sz w:val="24"/>
          <w:szCs w:val="24"/>
        </w:rPr>
        <w:t xml:space="preserve"> ostvarenje prava nacionalnih manjina.</w:t>
      </w:r>
    </w:p>
    <w:p w14:paraId="40FB54C9" w14:textId="77777777" w:rsidR="00E541EE" w:rsidRPr="00190B33" w:rsidRDefault="00E541EE" w:rsidP="00E541EE">
      <w:pPr>
        <w:jc w:val="both"/>
        <w:rPr>
          <w:rFonts w:ascii="Arial" w:eastAsia="Times New Roman" w:hAnsi="Arial" w:cs="Arial"/>
          <w:sz w:val="24"/>
          <w:szCs w:val="24"/>
        </w:rPr>
      </w:pPr>
    </w:p>
    <w:p w14:paraId="04F070E0" w14:textId="77777777" w:rsidR="00E541EE" w:rsidRPr="0071493D" w:rsidRDefault="00E541EE" w:rsidP="00E541EE">
      <w:pPr>
        <w:pBdr>
          <w:top w:val="single" w:sz="4" w:space="1" w:color="auto"/>
          <w:left w:val="single" w:sz="4" w:space="4" w:color="auto"/>
          <w:bottom w:val="single" w:sz="4" w:space="1" w:color="auto"/>
          <w:right w:val="single" w:sz="4" w:space="4" w:color="auto"/>
        </w:pBdr>
        <w:shd w:val="clear" w:color="auto" w:fill="FFCB97"/>
        <w:jc w:val="both"/>
        <w:rPr>
          <w:rFonts w:ascii="Arial" w:hAnsi="Arial" w:cs="Arial"/>
          <w:b/>
          <w:bCs/>
          <w:sz w:val="24"/>
          <w:szCs w:val="24"/>
        </w:rPr>
      </w:pPr>
      <w:r w:rsidRPr="0071493D">
        <w:rPr>
          <w:rFonts w:ascii="Arial" w:hAnsi="Arial" w:cs="Arial"/>
          <w:b/>
          <w:bCs/>
          <w:sz w:val="24"/>
          <w:szCs w:val="24"/>
        </w:rPr>
        <w:t xml:space="preserve">RAZDJEL 002: UPRAVNI ODJEL ZA FINANCIJE, PRORAČUN I NAPLATU PRIHODA = </w:t>
      </w:r>
      <w:r>
        <w:rPr>
          <w:rFonts w:ascii="Arial" w:hAnsi="Arial" w:cs="Arial"/>
          <w:b/>
          <w:bCs/>
          <w:sz w:val="24"/>
          <w:szCs w:val="24"/>
        </w:rPr>
        <w:t>3.950.935,50</w:t>
      </w:r>
      <w:r w:rsidRPr="0071493D">
        <w:rPr>
          <w:rFonts w:ascii="Arial" w:hAnsi="Arial" w:cs="Arial"/>
          <w:b/>
          <w:bCs/>
          <w:sz w:val="24"/>
          <w:szCs w:val="24"/>
        </w:rPr>
        <w:t xml:space="preserve"> EUR</w:t>
      </w:r>
    </w:p>
    <w:p w14:paraId="1726EA4A" w14:textId="77777777" w:rsidR="00E541EE" w:rsidRPr="0071493D" w:rsidRDefault="00E541EE" w:rsidP="00E541EE">
      <w:pPr>
        <w:jc w:val="both"/>
        <w:rPr>
          <w:rFonts w:ascii="Arial" w:hAnsi="Arial" w:cs="Arial"/>
          <w:sz w:val="24"/>
          <w:szCs w:val="24"/>
        </w:rPr>
      </w:pPr>
    </w:p>
    <w:p w14:paraId="4AF6D31A" w14:textId="77777777" w:rsidR="00E541EE" w:rsidRPr="0071493D" w:rsidRDefault="00E541EE" w:rsidP="00E541EE">
      <w:pPr>
        <w:pBdr>
          <w:top w:val="single" w:sz="4" w:space="1" w:color="auto"/>
          <w:left w:val="single" w:sz="4" w:space="4" w:color="auto"/>
          <w:bottom w:val="single" w:sz="4" w:space="1" w:color="auto"/>
          <w:right w:val="single" w:sz="4" w:space="4" w:color="auto"/>
        </w:pBdr>
        <w:shd w:val="clear" w:color="auto" w:fill="B1EDA0"/>
        <w:jc w:val="both"/>
        <w:rPr>
          <w:rFonts w:ascii="Arial" w:hAnsi="Arial" w:cs="Arial"/>
          <w:b/>
          <w:sz w:val="24"/>
          <w:szCs w:val="24"/>
        </w:rPr>
      </w:pPr>
      <w:r w:rsidRPr="0071493D">
        <w:rPr>
          <w:rFonts w:ascii="Arial" w:hAnsi="Arial" w:cs="Arial"/>
          <w:b/>
          <w:sz w:val="24"/>
          <w:szCs w:val="24"/>
        </w:rPr>
        <w:t xml:space="preserve">GLAVA 00201: UPRAVNI ODJEL ZA FINANCIJE, PRORAČUN I NAPLATU PRIHODA = </w:t>
      </w:r>
      <w:r>
        <w:rPr>
          <w:rFonts w:ascii="Arial" w:hAnsi="Arial" w:cs="Arial"/>
          <w:b/>
          <w:sz w:val="24"/>
          <w:szCs w:val="24"/>
        </w:rPr>
        <w:t>3.950.935,50</w:t>
      </w:r>
      <w:r w:rsidRPr="0071493D">
        <w:rPr>
          <w:rFonts w:ascii="Arial" w:hAnsi="Arial" w:cs="Arial"/>
          <w:b/>
          <w:bCs/>
          <w:sz w:val="24"/>
          <w:szCs w:val="24"/>
        </w:rPr>
        <w:t xml:space="preserve"> </w:t>
      </w:r>
      <w:r w:rsidRPr="0071493D">
        <w:rPr>
          <w:rFonts w:ascii="Arial" w:hAnsi="Arial" w:cs="Arial"/>
          <w:b/>
          <w:sz w:val="24"/>
          <w:szCs w:val="24"/>
        </w:rPr>
        <w:t xml:space="preserve"> EUR</w:t>
      </w:r>
    </w:p>
    <w:p w14:paraId="7A0D6B73" w14:textId="77777777" w:rsidR="00E541EE" w:rsidRDefault="00E541EE" w:rsidP="00E541EE">
      <w:pPr>
        <w:jc w:val="both"/>
        <w:rPr>
          <w:rFonts w:ascii="Arial" w:hAnsi="Arial" w:cs="Arial"/>
          <w:b/>
          <w:sz w:val="24"/>
          <w:szCs w:val="24"/>
        </w:rPr>
      </w:pPr>
      <w:r w:rsidRPr="0071493D">
        <w:rPr>
          <w:rFonts w:ascii="Arial" w:hAnsi="Arial" w:cs="Arial"/>
          <w:b/>
          <w:sz w:val="24"/>
          <w:szCs w:val="24"/>
        </w:rPr>
        <w:t xml:space="preserve">            </w:t>
      </w:r>
    </w:p>
    <w:p w14:paraId="6FE02744" w14:textId="77777777" w:rsidR="00E541EE" w:rsidRPr="0071493D" w:rsidRDefault="00E541EE" w:rsidP="00E541EE">
      <w:pPr>
        <w:pBdr>
          <w:top w:val="single" w:sz="4" w:space="1" w:color="4472C4" w:themeColor="accent1"/>
          <w:left w:val="single" w:sz="4" w:space="0" w:color="4472C4" w:themeColor="accent1"/>
          <w:bottom w:val="single" w:sz="4" w:space="1" w:color="4472C4" w:themeColor="accent1"/>
          <w:right w:val="single" w:sz="4" w:space="4" w:color="4472C4" w:themeColor="accent1"/>
        </w:pBdr>
        <w:shd w:val="clear" w:color="auto" w:fill="FFFF80"/>
        <w:jc w:val="both"/>
        <w:rPr>
          <w:rFonts w:ascii="Arial" w:hAnsi="Arial" w:cs="Arial"/>
          <w:b/>
          <w:bCs/>
          <w:sz w:val="24"/>
          <w:szCs w:val="24"/>
        </w:rPr>
      </w:pPr>
      <w:r w:rsidRPr="0071493D">
        <w:rPr>
          <w:rFonts w:ascii="Arial" w:hAnsi="Arial" w:cs="Arial"/>
          <w:b/>
          <w:bCs/>
          <w:sz w:val="24"/>
          <w:szCs w:val="24"/>
        </w:rPr>
        <w:t>Program 1004: Servisiranje javnog duga Grada = 5</w:t>
      </w:r>
      <w:r>
        <w:rPr>
          <w:rFonts w:ascii="Arial" w:hAnsi="Arial" w:cs="Arial"/>
          <w:b/>
          <w:bCs/>
          <w:sz w:val="24"/>
          <w:szCs w:val="24"/>
        </w:rPr>
        <w:t>40</w:t>
      </w:r>
      <w:r w:rsidRPr="0071493D">
        <w:rPr>
          <w:rFonts w:ascii="Arial" w:hAnsi="Arial" w:cs="Arial"/>
          <w:b/>
          <w:bCs/>
          <w:sz w:val="24"/>
          <w:szCs w:val="24"/>
        </w:rPr>
        <w:t>.000,00 EUR</w:t>
      </w:r>
    </w:p>
    <w:p w14:paraId="054F4BBA" w14:textId="77777777" w:rsidR="00E541EE" w:rsidRPr="0071493D" w:rsidRDefault="00E541EE" w:rsidP="00E541EE">
      <w:pPr>
        <w:tabs>
          <w:tab w:val="right" w:pos="0"/>
          <w:tab w:val="center" w:pos="4703"/>
          <w:tab w:val="right" w:pos="9406"/>
        </w:tabs>
        <w:jc w:val="both"/>
        <w:rPr>
          <w:rFonts w:ascii="Arial" w:hAnsi="Arial" w:cs="Arial"/>
          <w:sz w:val="24"/>
          <w:szCs w:val="24"/>
        </w:rPr>
      </w:pPr>
    </w:p>
    <w:p w14:paraId="4E18C0F6" w14:textId="77777777" w:rsidR="00E541EE" w:rsidRPr="0071493D"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hAnsi="Arial" w:cs="Arial"/>
          <w:b/>
          <w:bCs/>
          <w:sz w:val="24"/>
          <w:szCs w:val="24"/>
        </w:rPr>
      </w:pPr>
      <w:r w:rsidRPr="0071493D">
        <w:rPr>
          <w:rFonts w:ascii="Arial" w:hAnsi="Arial" w:cs="Arial"/>
          <w:b/>
          <w:bCs/>
          <w:sz w:val="24"/>
          <w:szCs w:val="24"/>
        </w:rPr>
        <w:t>A 100408: Otplata kredita MB 2917 uzetog putem Valbruna Sport d.o.o. Rovinj-Rovigno = 5</w:t>
      </w:r>
      <w:r>
        <w:rPr>
          <w:rFonts w:ascii="Arial" w:hAnsi="Arial" w:cs="Arial"/>
          <w:b/>
          <w:bCs/>
          <w:sz w:val="24"/>
          <w:szCs w:val="24"/>
        </w:rPr>
        <w:t>40</w:t>
      </w:r>
      <w:r w:rsidRPr="0071493D">
        <w:rPr>
          <w:rFonts w:ascii="Arial" w:hAnsi="Arial" w:cs="Arial"/>
          <w:b/>
          <w:bCs/>
          <w:sz w:val="24"/>
          <w:szCs w:val="24"/>
        </w:rPr>
        <w:t>.000,00 EUR</w:t>
      </w:r>
    </w:p>
    <w:p w14:paraId="26AF8585" w14:textId="77777777" w:rsidR="00E541EE" w:rsidRPr="007A5132" w:rsidRDefault="00E541EE" w:rsidP="00E541EE">
      <w:pPr>
        <w:jc w:val="both"/>
        <w:rPr>
          <w:rFonts w:ascii="Arial" w:hAnsi="Arial" w:cs="Arial"/>
          <w:sz w:val="24"/>
          <w:szCs w:val="24"/>
        </w:rPr>
      </w:pPr>
      <w:r w:rsidRPr="0071493D">
        <w:rPr>
          <w:rFonts w:ascii="Arial" w:hAnsi="Arial" w:cs="Arial"/>
          <w:b/>
          <w:sz w:val="24"/>
          <w:szCs w:val="24"/>
        </w:rPr>
        <w:t>Zakonska os</w:t>
      </w:r>
      <w:r w:rsidRPr="007A5132">
        <w:rPr>
          <w:rFonts w:ascii="Arial" w:hAnsi="Arial" w:cs="Arial"/>
          <w:b/>
          <w:sz w:val="24"/>
          <w:szCs w:val="24"/>
        </w:rPr>
        <w:t xml:space="preserve">nova: </w:t>
      </w:r>
      <w:r w:rsidRPr="007A5132">
        <w:rPr>
          <w:rFonts w:ascii="Arial" w:hAnsi="Arial" w:cs="Arial"/>
          <w:sz w:val="24"/>
          <w:szCs w:val="24"/>
        </w:rPr>
        <w:t xml:space="preserve">Zakon o proračunu, Opći porezni zakon, Zakon o lokalnoj i područnoj (regionalnoj) samoupravi, Zakon o financiranju jedinica lokalne i područne (regionalne) samouprave, Zakon o fiskalnoj odgovornosti, Odluka o izvršavanju Proračuna Grada Rovinja-Rovigno, Suglasnost Ministarstva financija, Odluka o davanju jamstva za zaduživanje trgovačkom društvu Valbruna Sport d.o.o. Rovinj-Rovigno. </w:t>
      </w:r>
    </w:p>
    <w:p w14:paraId="36A2053A" w14:textId="77777777" w:rsidR="00E541EE" w:rsidRPr="007A5132" w:rsidRDefault="00E541EE" w:rsidP="00E541EE">
      <w:pPr>
        <w:jc w:val="both"/>
        <w:rPr>
          <w:rFonts w:ascii="Arial" w:hAnsi="Arial" w:cs="Arial"/>
          <w:sz w:val="24"/>
          <w:szCs w:val="24"/>
        </w:rPr>
      </w:pPr>
      <w:r w:rsidRPr="007A5132">
        <w:rPr>
          <w:rFonts w:ascii="Arial" w:hAnsi="Arial" w:cs="Arial"/>
          <w:b/>
          <w:sz w:val="24"/>
          <w:szCs w:val="24"/>
        </w:rPr>
        <w:t xml:space="preserve">Opis: </w:t>
      </w:r>
      <w:r w:rsidRPr="007A5132">
        <w:rPr>
          <w:rFonts w:ascii="Arial" w:hAnsi="Arial" w:cs="Arial"/>
          <w:sz w:val="24"/>
          <w:szCs w:val="24"/>
        </w:rPr>
        <w:t>kroz ovu aktivnost osigurana su sredstva za financiranje izgradnje sportsko-lječilišnog bazenskog kompleksa (gradski bazen) u sklopu Specijalne bolnice za ortopediju i rehabilitaciju „Martin Horvat“ Rovinj-Rovigno.</w:t>
      </w:r>
    </w:p>
    <w:p w14:paraId="00AF479C" w14:textId="77777777" w:rsidR="00E541EE" w:rsidRPr="007A5132" w:rsidRDefault="00E541EE" w:rsidP="00E541EE">
      <w:pPr>
        <w:jc w:val="both"/>
        <w:rPr>
          <w:rFonts w:ascii="Arial" w:hAnsi="Arial" w:cs="Arial"/>
          <w:color w:val="FF0000"/>
          <w:sz w:val="24"/>
          <w:szCs w:val="24"/>
        </w:rPr>
      </w:pPr>
      <w:r w:rsidRPr="007A5132">
        <w:rPr>
          <w:rFonts w:ascii="Arial" w:hAnsi="Arial" w:cs="Arial"/>
          <w:sz w:val="24"/>
          <w:szCs w:val="24"/>
        </w:rPr>
        <w:t>Planirano je ukupno  5</w:t>
      </w:r>
      <w:r>
        <w:rPr>
          <w:rFonts w:ascii="Arial" w:hAnsi="Arial" w:cs="Arial"/>
          <w:sz w:val="24"/>
          <w:szCs w:val="24"/>
        </w:rPr>
        <w:t>4</w:t>
      </w:r>
      <w:r w:rsidRPr="007A5132">
        <w:rPr>
          <w:rFonts w:ascii="Arial" w:hAnsi="Arial" w:cs="Arial"/>
          <w:sz w:val="24"/>
          <w:szCs w:val="24"/>
        </w:rPr>
        <w:t xml:space="preserve">0.000,00 eura, što je iznos za otplatu 4. anuiteta kredita za sportsko-lječilišni bazenski kompleks (gradski bazen) u sklopu Specijalne bolnice za ortopediju i rehabilitaciju „Martin Horvat“ Rovinj-Rovigno, a koji će biti realiziran od strane Valbruna Sport d.o.o. Rovinj-Rovigno. </w:t>
      </w:r>
    </w:p>
    <w:p w14:paraId="5F5ACE5D" w14:textId="77777777" w:rsidR="00E541EE" w:rsidRPr="007A5132" w:rsidRDefault="00E541EE" w:rsidP="00E541EE">
      <w:pPr>
        <w:jc w:val="both"/>
        <w:rPr>
          <w:rFonts w:ascii="Arial" w:hAnsi="Arial" w:cs="Arial"/>
          <w:b/>
          <w:sz w:val="24"/>
          <w:szCs w:val="24"/>
        </w:rPr>
      </w:pPr>
      <w:r w:rsidRPr="007A5132">
        <w:rPr>
          <w:rFonts w:ascii="Arial" w:hAnsi="Arial" w:cs="Arial"/>
          <w:b/>
          <w:sz w:val="24"/>
          <w:szCs w:val="24"/>
        </w:rPr>
        <w:t>Opći cilj:</w:t>
      </w:r>
      <w:r w:rsidRPr="007A5132">
        <w:rPr>
          <w:rFonts w:ascii="Arial" w:hAnsi="Arial" w:cs="Arial"/>
          <w:sz w:val="24"/>
          <w:szCs w:val="24"/>
        </w:rPr>
        <w:t xml:space="preserve"> osiguravanje sredstava u skladu s Odlukom o davanju jamstva za zaduženje trgovačkom društvu Valbruna Sport d.o.o. Rovinj-Rovigno.</w:t>
      </w:r>
    </w:p>
    <w:p w14:paraId="39ABA373" w14:textId="77777777" w:rsidR="00E541EE" w:rsidRDefault="00E541EE" w:rsidP="00E541EE">
      <w:pPr>
        <w:tabs>
          <w:tab w:val="right" w:pos="0"/>
          <w:tab w:val="center" w:pos="4703"/>
          <w:tab w:val="right" w:pos="9406"/>
        </w:tabs>
        <w:jc w:val="both"/>
        <w:rPr>
          <w:rFonts w:ascii="Arial" w:hAnsi="Arial" w:cs="Arial"/>
          <w:sz w:val="24"/>
          <w:szCs w:val="24"/>
        </w:rPr>
      </w:pPr>
      <w:r w:rsidRPr="007A5132">
        <w:rPr>
          <w:rFonts w:ascii="Arial" w:hAnsi="Arial" w:cs="Arial"/>
          <w:b/>
          <w:sz w:val="24"/>
          <w:szCs w:val="24"/>
        </w:rPr>
        <w:t xml:space="preserve">Pokazatelj uspješnosti: </w:t>
      </w:r>
      <w:r w:rsidRPr="007A5132">
        <w:rPr>
          <w:rFonts w:ascii="Arial" w:hAnsi="Arial" w:cs="Arial"/>
          <w:sz w:val="24"/>
          <w:szCs w:val="24"/>
        </w:rPr>
        <w:t>pravovremena otplata kredita od strane trgovačkog društva Valbruna Sport d.o.o. Rovinj-Rovigno.</w:t>
      </w:r>
    </w:p>
    <w:p w14:paraId="08AA33AB" w14:textId="77777777" w:rsidR="00E541EE" w:rsidRDefault="00E541EE" w:rsidP="00E541EE">
      <w:pPr>
        <w:tabs>
          <w:tab w:val="right" w:pos="0"/>
          <w:tab w:val="center" w:pos="4703"/>
          <w:tab w:val="right" w:pos="9406"/>
        </w:tabs>
        <w:jc w:val="both"/>
        <w:rPr>
          <w:rFonts w:ascii="Arial" w:hAnsi="Arial" w:cs="Arial"/>
          <w:sz w:val="24"/>
          <w:szCs w:val="24"/>
        </w:rPr>
      </w:pPr>
    </w:p>
    <w:p w14:paraId="048CE624" w14:textId="77777777" w:rsidR="00E541EE" w:rsidRPr="0071493D" w:rsidRDefault="00E541EE" w:rsidP="00E541EE">
      <w:pPr>
        <w:pBdr>
          <w:top w:val="single" w:sz="4" w:space="1" w:color="auto"/>
          <w:left w:val="single" w:sz="4" w:space="4" w:color="auto"/>
          <w:bottom w:val="single" w:sz="4" w:space="1" w:color="auto"/>
          <w:right w:val="single" w:sz="4" w:space="0" w:color="auto"/>
        </w:pBdr>
        <w:shd w:val="clear" w:color="auto" w:fill="FFFF80"/>
        <w:jc w:val="both"/>
        <w:rPr>
          <w:rFonts w:ascii="Arial" w:hAnsi="Arial" w:cs="Arial"/>
          <w:b/>
          <w:bCs/>
          <w:sz w:val="24"/>
          <w:szCs w:val="24"/>
        </w:rPr>
      </w:pPr>
      <w:r w:rsidRPr="0071493D">
        <w:rPr>
          <w:rFonts w:ascii="Arial" w:hAnsi="Arial" w:cs="Arial"/>
          <w:b/>
          <w:bCs/>
          <w:sz w:val="24"/>
          <w:szCs w:val="24"/>
        </w:rPr>
        <w:t xml:space="preserve">Program 1005: Razvoj gradske riznice = </w:t>
      </w:r>
      <w:r>
        <w:rPr>
          <w:rFonts w:ascii="Arial" w:hAnsi="Arial" w:cs="Arial"/>
          <w:b/>
          <w:bCs/>
          <w:sz w:val="24"/>
          <w:szCs w:val="24"/>
        </w:rPr>
        <w:t>22.998</w:t>
      </w:r>
      <w:r w:rsidRPr="0071493D">
        <w:rPr>
          <w:rFonts w:ascii="Arial" w:hAnsi="Arial" w:cs="Arial"/>
          <w:b/>
          <w:bCs/>
          <w:sz w:val="24"/>
          <w:szCs w:val="24"/>
        </w:rPr>
        <w:t>,00 EUR</w:t>
      </w:r>
    </w:p>
    <w:p w14:paraId="2C659D57" w14:textId="77777777" w:rsidR="00E541EE" w:rsidRPr="0071493D" w:rsidRDefault="00E541EE" w:rsidP="00E541EE">
      <w:pPr>
        <w:jc w:val="both"/>
        <w:rPr>
          <w:rFonts w:ascii="Arial" w:hAnsi="Arial" w:cs="Arial"/>
          <w:sz w:val="24"/>
          <w:szCs w:val="24"/>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129"/>
        <w:gridCol w:w="1122"/>
        <w:gridCol w:w="1099"/>
        <w:gridCol w:w="1044"/>
        <w:gridCol w:w="1105"/>
        <w:gridCol w:w="979"/>
        <w:gridCol w:w="1077"/>
        <w:gridCol w:w="899"/>
        <w:gridCol w:w="600"/>
        <w:gridCol w:w="577"/>
        <w:gridCol w:w="565"/>
      </w:tblGrid>
      <w:tr w:rsidR="00E541EE" w:rsidRPr="0048131F" w14:paraId="6FFE3B9E" w14:textId="77777777" w:rsidTr="00A84BB5">
        <w:trPr>
          <w:trHeight w:val="638"/>
          <w:jc w:val="center"/>
        </w:trPr>
        <w:tc>
          <w:tcPr>
            <w:tcW w:w="554" w:type="pct"/>
            <w:vMerge w:val="restart"/>
            <w:tcBorders>
              <w:top w:val="single" w:sz="4" w:space="0" w:color="auto"/>
              <w:left w:val="single" w:sz="4" w:space="0" w:color="000000"/>
              <w:bottom w:val="single" w:sz="4" w:space="0" w:color="auto"/>
              <w:right w:val="single" w:sz="4" w:space="0" w:color="000000"/>
            </w:tcBorders>
            <w:vAlign w:val="center"/>
            <w:hideMark/>
          </w:tcPr>
          <w:p w14:paraId="5151D72A" w14:textId="77777777" w:rsidR="00E541EE" w:rsidRPr="005A1EB1" w:rsidRDefault="00E541EE" w:rsidP="00A84BB5">
            <w:pPr>
              <w:pStyle w:val="TableParagraph"/>
              <w:ind w:left="44" w:right="35"/>
              <w:jc w:val="center"/>
              <w:rPr>
                <w:rFonts w:asciiTheme="minorHAnsi" w:hAnsiTheme="minorHAnsi" w:cstheme="minorHAnsi"/>
                <w:b/>
                <w:sz w:val="15"/>
                <w:szCs w:val="15"/>
              </w:rPr>
            </w:pPr>
            <w:bookmarkStart w:id="1" w:name="_Hlk214008864"/>
            <w:r w:rsidRPr="005A1EB1">
              <w:rPr>
                <w:rFonts w:asciiTheme="minorHAnsi" w:hAnsiTheme="minorHAnsi" w:cstheme="minorHAnsi"/>
                <w:b/>
                <w:sz w:val="15"/>
                <w:szCs w:val="15"/>
              </w:rPr>
              <w:t>Doprinos</w:t>
            </w:r>
            <w:r w:rsidRPr="005A1EB1">
              <w:rPr>
                <w:rFonts w:asciiTheme="minorHAnsi" w:hAnsiTheme="minorHAnsi" w:cstheme="minorHAnsi"/>
                <w:b/>
                <w:spacing w:val="-34"/>
                <w:sz w:val="15"/>
                <w:szCs w:val="15"/>
              </w:rPr>
              <w:t xml:space="preserve"> </w:t>
            </w:r>
            <w:r w:rsidRPr="005A1EB1">
              <w:rPr>
                <w:rFonts w:asciiTheme="minorHAnsi" w:hAnsiTheme="minorHAnsi" w:cstheme="minorHAnsi"/>
                <w:b/>
                <w:sz w:val="15"/>
                <w:szCs w:val="15"/>
              </w:rPr>
              <w:t>provedbi</w:t>
            </w:r>
          </w:p>
          <w:p w14:paraId="4BB847D0" w14:textId="77777777" w:rsidR="00E541EE" w:rsidRPr="005A1EB1" w:rsidRDefault="00E541EE" w:rsidP="00A84BB5">
            <w:pPr>
              <w:pStyle w:val="TableParagraph"/>
              <w:ind w:left="44" w:right="35"/>
              <w:jc w:val="center"/>
              <w:rPr>
                <w:rFonts w:asciiTheme="minorHAnsi" w:hAnsiTheme="minorHAnsi" w:cstheme="minorHAnsi"/>
                <w:b/>
                <w:sz w:val="15"/>
                <w:szCs w:val="15"/>
              </w:rPr>
            </w:pPr>
            <w:r w:rsidRPr="005A1EB1">
              <w:rPr>
                <w:rFonts w:asciiTheme="minorHAnsi" w:hAnsiTheme="minorHAnsi" w:cstheme="minorHAnsi"/>
                <w:b/>
                <w:sz w:val="15"/>
                <w:szCs w:val="15"/>
              </w:rPr>
              <w:t>nadređenog</w:t>
            </w:r>
          </w:p>
          <w:p w14:paraId="77A7E36E" w14:textId="77777777" w:rsidR="00E541EE" w:rsidRPr="005A1EB1" w:rsidRDefault="00E541EE" w:rsidP="00A84BB5">
            <w:pPr>
              <w:pStyle w:val="TableParagraph"/>
              <w:ind w:left="44" w:right="35"/>
              <w:jc w:val="center"/>
              <w:rPr>
                <w:rFonts w:asciiTheme="minorHAnsi" w:hAnsiTheme="minorHAnsi" w:cstheme="minorHAnsi"/>
                <w:b/>
                <w:sz w:val="15"/>
                <w:szCs w:val="15"/>
              </w:rPr>
            </w:pPr>
            <w:r w:rsidRPr="005A1EB1">
              <w:rPr>
                <w:rFonts w:asciiTheme="minorHAnsi" w:hAnsiTheme="minorHAnsi" w:cstheme="minorHAnsi"/>
                <w:b/>
                <w:sz w:val="15"/>
                <w:szCs w:val="15"/>
              </w:rPr>
              <w:t>akta</w:t>
            </w:r>
            <w:r w:rsidRPr="005A1EB1">
              <w:rPr>
                <w:rFonts w:asciiTheme="minorHAnsi" w:hAnsiTheme="minorHAnsi" w:cstheme="minorHAnsi"/>
                <w:b/>
                <w:spacing w:val="1"/>
                <w:sz w:val="15"/>
                <w:szCs w:val="15"/>
              </w:rPr>
              <w:t xml:space="preserve"> </w:t>
            </w:r>
            <w:r w:rsidRPr="005A1EB1">
              <w:rPr>
                <w:rFonts w:asciiTheme="minorHAnsi" w:hAnsiTheme="minorHAnsi" w:cstheme="minorHAnsi"/>
                <w:b/>
                <w:sz w:val="15"/>
                <w:szCs w:val="15"/>
              </w:rPr>
              <w:t>strateškog</w:t>
            </w:r>
            <w:r w:rsidRPr="005A1EB1">
              <w:rPr>
                <w:rFonts w:asciiTheme="minorHAnsi" w:hAnsiTheme="minorHAnsi" w:cstheme="minorHAnsi"/>
                <w:b/>
                <w:spacing w:val="-34"/>
                <w:sz w:val="15"/>
                <w:szCs w:val="15"/>
              </w:rPr>
              <w:t xml:space="preserve"> </w:t>
            </w:r>
            <w:r w:rsidRPr="005A1EB1">
              <w:rPr>
                <w:rFonts w:asciiTheme="minorHAnsi" w:hAnsiTheme="minorHAnsi" w:cstheme="minorHAnsi"/>
                <w:b/>
                <w:sz w:val="15"/>
                <w:szCs w:val="15"/>
              </w:rPr>
              <w:t>planiranja</w:t>
            </w:r>
          </w:p>
        </w:tc>
        <w:tc>
          <w:tcPr>
            <w:tcW w:w="550" w:type="pct"/>
            <w:vMerge w:val="restart"/>
            <w:tcBorders>
              <w:top w:val="single" w:sz="4" w:space="0" w:color="000000"/>
              <w:left w:val="single" w:sz="4" w:space="0" w:color="000000"/>
              <w:bottom w:val="single" w:sz="4" w:space="0" w:color="000000"/>
              <w:right w:val="single" w:sz="4" w:space="0" w:color="000000"/>
            </w:tcBorders>
            <w:vAlign w:val="center"/>
            <w:hideMark/>
          </w:tcPr>
          <w:p w14:paraId="7ECCF03D" w14:textId="77777777" w:rsidR="00E541EE" w:rsidRPr="005A1EB1" w:rsidRDefault="00E541EE" w:rsidP="00A84BB5">
            <w:pPr>
              <w:pStyle w:val="TableParagraph"/>
              <w:ind w:left="44" w:right="35"/>
              <w:jc w:val="center"/>
              <w:rPr>
                <w:rFonts w:asciiTheme="minorHAnsi" w:hAnsiTheme="minorHAnsi" w:cstheme="minorHAnsi"/>
                <w:b/>
                <w:sz w:val="15"/>
                <w:szCs w:val="15"/>
              </w:rPr>
            </w:pPr>
            <w:r w:rsidRPr="005A1EB1">
              <w:rPr>
                <w:rFonts w:asciiTheme="minorHAnsi" w:hAnsiTheme="minorHAnsi" w:cstheme="minorHAnsi"/>
                <w:b/>
                <w:sz w:val="15"/>
                <w:szCs w:val="15"/>
              </w:rPr>
              <w:t>Naziv</w:t>
            </w:r>
            <w:r w:rsidRPr="005A1EB1">
              <w:rPr>
                <w:rFonts w:asciiTheme="minorHAnsi" w:hAnsiTheme="minorHAnsi" w:cstheme="minorHAnsi"/>
                <w:b/>
                <w:spacing w:val="-3"/>
                <w:sz w:val="15"/>
                <w:szCs w:val="15"/>
              </w:rPr>
              <w:t xml:space="preserve"> </w:t>
            </w:r>
            <w:r w:rsidRPr="005A1EB1">
              <w:rPr>
                <w:rFonts w:asciiTheme="minorHAnsi" w:hAnsiTheme="minorHAnsi" w:cstheme="minorHAnsi"/>
                <w:b/>
                <w:sz w:val="15"/>
                <w:szCs w:val="15"/>
              </w:rPr>
              <w:t>cilja nadređenog</w:t>
            </w:r>
            <w:r w:rsidRPr="005A1EB1">
              <w:rPr>
                <w:rFonts w:asciiTheme="minorHAnsi" w:hAnsiTheme="minorHAnsi" w:cstheme="minorHAnsi"/>
                <w:b/>
                <w:spacing w:val="1"/>
                <w:sz w:val="15"/>
                <w:szCs w:val="15"/>
              </w:rPr>
              <w:t xml:space="preserve"> </w:t>
            </w:r>
            <w:r w:rsidRPr="005A1EB1">
              <w:rPr>
                <w:rFonts w:asciiTheme="minorHAnsi" w:hAnsiTheme="minorHAnsi" w:cstheme="minorHAnsi"/>
                <w:b/>
                <w:spacing w:val="-1"/>
                <w:sz w:val="15"/>
                <w:szCs w:val="15"/>
              </w:rPr>
              <w:t>akta</w:t>
            </w:r>
            <w:r w:rsidRPr="005A1EB1">
              <w:rPr>
                <w:rFonts w:asciiTheme="minorHAnsi" w:hAnsiTheme="minorHAnsi" w:cstheme="minorHAnsi"/>
                <w:b/>
                <w:spacing w:val="-2"/>
                <w:sz w:val="15"/>
                <w:szCs w:val="15"/>
              </w:rPr>
              <w:t xml:space="preserve"> </w:t>
            </w:r>
            <w:r w:rsidRPr="005A1EB1">
              <w:rPr>
                <w:rFonts w:asciiTheme="minorHAnsi" w:hAnsiTheme="minorHAnsi" w:cstheme="minorHAnsi"/>
                <w:b/>
                <w:spacing w:val="-1"/>
                <w:sz w:val="15"/>
                <w:szCs w:val="15"/>
              </w:rPr>
              <w:t xml:space="preserve">strateškog </w:t>
            </w:r>
            <w:r w:rsidRPr="005A1EB1">
              <w:rPr>
                <w:rFonts w:asciiTheme="minorHAnsi" w:hAnsiTheme="minorHAnsi" w:cstheme="minorHAnsi"/>
                <w:b/>
                <w:sz w:val="15"/>
                <w:szCs w:val="15"/>
              </w:rPr>
              <w:t>planiranja</w:t>
            </w:r>
          </w:p>
        </w:tc>
        <w:tc>
          <w:tcPr>
            <w:tcW w:w="539" w:type="pct"/>
            <w:vMerge w:val="restart"/>
            <w:tcBorders>
              <w:top w:val="single" w:sz="4" w:space="0" w:color="000000"/>
              <w:left w:val="single" w:sz="4" w:space="0" w:color="000000"/>
              <w:bottom w:val="single" w:sz="4" w:space="0" w:color="000000"/>
              <w:right w:val="single" w:sz="4" w:space="0" w:color="000000"/>
            </w:tcBorders>
            <w:vAlign w:val="center"/>
            <w:hideMark/>
          </w:tcPr>
          <w:p w14:paraId="172948FA" w14:textId="77777777" w:rsidR="00E541EE" w:rsidRPr="005A1EB1" w:rsidRDefault="00E541EE" w:rsidP="00A84BB5">
            <w:pPr>
              <w:pStyle w:val="TableParagraph"/>
              <w:ind w:left="125" w:right="114"/>
              <w:jc w:val="center"/>
              <w:rPr>
                <w:rFonts w:asciiTheme="minorHAnsi" w:hAnsiTheme="minorHAnsi" w:cstheme="minorHAnsi"/>
                <w:b/>
                <w:sz w:val="15"/>
                <w:szCs w:val="15"/>
              </w:rPr>
            </w:pPr>
            <w:r w:rsidRPr="005A1EB1">
              <w:rPr>
                <w:rFonts w:asciiTheme="minorHAnsi" w:hAnsiTheme="minorHAnsi" w:cstheme="minorHAnsi"/>
                <w:b/>
                <w:spacing w:val="-1"/>
                <w:sz w:val="15"/>
                <w:szCs w:val="15"/>
              </w:rPr>
              <w:t xml:space="preserve">Program </w:t>
            </w:r>
            <w:r w:rsidRPr="005A1EB1">
              <w:rPr>
                <w:rFonts w:asciiTheme="minorHAnsi" w:hAnsiTheme="minorHAnsi" w:cstheme="minorHAnsi"/>
                <w:b/>
                <w:sz w:val="15"/>
                <w:szCs w:val="15"/>
              </w:rPr>
              <w:t>u</w:t>
            </w:r>
            <w:r w:rsidRPr="005A1EB1">
              <w:rPr>
                <w:rFonts w:asciiTheme="minorHAnsi" w:hAnsiTheme="minorHAnsi" w:cstheme="minorHAnsi"/>
                <w:b/>
                <w:spacing w:val="-34"/>
                <w:sz w:val="15"/>
                <w:szCs w:val="15"/>
              </w:rPr>
              <w:t xml:space="preserve"> </w:t>
            </w:r>
            <w:r w:rsidRPr="005A1EB1">
              <w:rPr>
                <w:rFonts w:asciiTheme="minorHAnsi" w:hAnsiTheme="minorHAnsi" w:cstheme="minorHAnsi"/>
                <w:b/>
                <w:sz w:val="15"/>
                <w:szCs w:val="15"/>
              </w:rPr>
              <w:t xml:space="preserve">proračunu </w:t>
            </w:r>
            <w:r w:rsidRPr="005A1EB1">
              <w:rPr>
                <w:rFonts w:asciiTheme="minorHAnsi" w:hAnsiTheme="minorHAnsi" w:cstheme="minorHAnsi"/>
                <w:b/>
                <w:spacing w:val="-34"/>
                <w:sz w:val="15"/>
                <w:szCs w:val="15"/>
              </w:rPr>
              <w:t xml:space="preserve"> </w:t>
            </w:r>
            <w:r w:rsidRPr="005A1EB1">
              <w:rPr>
                <w:rFonts w:asciiTheme="minorHAnsi" w:hAnsiTheme="minorHAnsi" w:cstheme="minorHAnsi"/>
                <w:b/>
                <w:sz w:val="15"/>
                <w:szCs w:val="15"/>
              </w:rPr>
              <w:t>JLS</w:t>
            </w:r>
          </w:p>
        </w:tc>
        <w:tc>
          <w:tcPr>
            <w:tcW w:w="512" w:type="pct"/>
            <w:vMerge w:val="restart"/>
            <w:tcBorders>
              <w:top w:val="single" w:sz="4" w:space="0" w:color="000000"/>
              <w:left w:val="single" w:sz="4" w:space="0" w:color="000000"/>
              <w:bottom w:val="single" w:sz="4" w:space="0" w:color="000000"/>
              <w:right w:val="single" w:sz="4" w:space="0" w:color="000000"/>
            </w:tcBorders>
            <w:vAlign w:val="center"/>
            <w:hideMark/>
          </w:tcPr>
          <w:p w14:paraId="25E15931" w14:textId="77777777" w:rsidR="00E541EE" w:rsidRPr="005A1EB1" w:rsidRDefault="00E541EE" w:rsidP="00A84BB5">
            <w:pPr>
              <w:pStyle w:val="TableParagraph"/>
              <w:jc w:val="center"/>
              <w:rPr>
                <w:rFonts w:asciiTheme="minorHAnsi" w:hAnsiTheme="minorHAnsi" w:cstheme="minorHAnsi"/>
                <w:b/>
                <w:sz w:val="15"/>
                <w:szCs w:val="15"/>
              </w:rPr>
            </w:pPr>
            <w:r w:rsidRPr="005A1EB1">
              <w:rPr>
                <w:rFonts w:asciiTheme="minorHAnsi" w:hAnsiTheme="minorHAnsi" w:cstheme="minorHAnsi"/>
                <w:b/>
                <w:sz w:val="15"/>
                <w:szCs w:val="15"/>
              </w:rPr>
              <w:t>Naziv</w:t>
            </w:r>
            <w:r w:rsidRPr="005A1EB1">
              <w:rPr>
                <w:rFonts w:asciiTheme="minorHAnsi" w:hAnsiTheme="minorHAnsi" w:cstheme="minorHAnsi"/>
                <w:b/>
                <w:spacing w:val="-2"/>
                <w:sz w:val="15"/>
                <w:szCs w:val="15"/>
              </w:rPr>
              <w:t xml:space="preserve"> </w:t>
            </w:r>
            <w:r w:rsidRPr="005A1EB1">
              <w:rPr>
                <w:rFonts w:asciiTheme="minorHAnsi" w:hAnsiTheme="minorHAnsi" w:cstheme="minorHAnsi"/>
                <w:b/>
                <w:sz w:val="15"/>
                <w:szCs w:val="15"/>
              </w:rPr>
              <w:t>mjere</w:t>
            </w:r>
          </w:p>
        </w:tc>
        <w:tc>
          <w:tcPr>
            <w:tcW w:w="542" w:type="pct"/>
            <w:vMerge w:val="restart"/>
            <w:tcBorders>
              <w:top w:val="single" w:sz="4" w:space="0" w:color="000000"/>
              <w:left w:val="single" w:sz="4" w:space="0" w:color="000000"/>
              <w:bottom w:val="single" w:sz="4" w:space="0" w:color="000000"/>
              <w:right w:val="single" w:sz="4" w:space="0" w:color="000000"/>
            </w:tcBorders>
            <w:vAlign w:val="center"/>
            <w:hideMark/>
          </w:tcPr>
          <w:p w14:paraId="51277362" w14:textId="77777777" w:rsidR="00E541EE" w:rsidRPr="005A1EB1" w:rsidRDefault="00E541EE" w:rsidP="00A84BB5">
            <w:pPr>
              <w:pStyle w:val="TableParagraph"/>
              <w:ind w:left="70" w:right="60"/>
              <w:jc w:val="center"/>
              <w:rPr>
                <w:rFonts w:asciiTheme="minorHAnsi" w:hAnsiTheme="minorHAnsi" w:cstheme="minorHAnsi"/>
                <w:b/>
                <w:sz w:val="15"/>
                <w:szCs w:val="15"/>
              </w:rPr>
            </w:pPr>
            <w:r w:rsidRPr="005A1EB1">
              <w:rPr>
                <w:rFonts w:asciiTheme="minorHAnsi" w:hAnsiTheme="minorHAnsi" w:cstheme="minorHAnsi"/>
                <w:b/>
                <w:sz w:val="15"/>
                <w:szCs w:val="15"/>
              </w:rPr>
              <w:t>Procijenjeni</w:t>
            </w:r>
            <w:r w:rsidRPr="005A1EB1">
              <w:rPr>
                <w:rFonts w:asciiTheme="minorHAnsi" w:hAnsiTheme="minorHAnsi" w:cstheme="minorHAnsi"/>
                <w:b/>
                <w:spacing w:val="-34"/>
                <w:sz w:val="15"/>
                <w:szCs w:val="15"/>
              </w:rPr>
              <w:t xml:space="preserve"> </w:t>
            </w:r>
            <w:r w:rsidRPr="005A1EB1">
              <w:rPr>
                <w:rFonts w:asciiTheme="minorHAnsi" w:hAnsiTheme="minorHAnsi" w:cstheme="minorHAnsi"/>
                <w:b/>
                <w:sz w:val="15"/>
                <w:szCs w:val="15"/>
              </w:rPr>
              <w:t>trošak</w:t>
            </w:r>
            <w:r w:rsidRPr="005A1EB1">
              <w:rPr>
                <w:rFonts w:asciiTheme="minorHAnsi" w:hAnsiTheme="minorHAnsi" w:cstheme="minorHAnsi"/>
                <w:b/>
                <w:spacing w:val="1"/>
                <w:sz w:val="15"/>
                <w:szCs w:val="15"/>
              </w:rPr>
              <w:t xml:space="preserve"> </w:t>
            </w:r>
            <w:r w:rsidRPr="005A1EB1">
              <w:rPr>
                <w:rFonts w:asciiTheme="minorHAnsi" w:hAnsiTheme="minorHAnsi" w:cstheme="minorHAnsi"/>
                <w:b/>
                <w:sz w:val="15"/>
                <w:szCs w:val="15"/>
              </w:rPr>
              <w:t>provedbe</w:t>
            </w:r>
            <w:r w:rsidRPr="005A1EB1">
              <w:rPr>
                <w:rFonts w:asciiTheme="minorHAnsi" w:hAnsiTheme="minorHAnsi" w:cstheme="minorHAnsi"/>
                <w:b/>
                <w:spacing w:val="1"/>
                <w:sz w:val="15"/>
                <w:szCs w:val="15"/>
              </w:rPr>
              <w:t xml:space="preserve"> </w:t>
            </w:r>
            <w:r w:rsidRPr="005A1EB1">
              <w:rPr>
                <w:rFonts w:asciiTheme="minorHAnsi" w:hAnsiTheme="minorHAnsi" w:cstheme="minorHAnsi"/>
                <w:b/>
                <w:sz w:val="15"/>
                <w:szCs w:val="15"/>
              </w:rPr>
              <w:t>mjere 202</w:t>
            </w:r>
            <w:r>
              <w:rPr>
                <w:rFonts w:asciiTheme="minorHAnsi" w:hAnsiTheme="minorHAnsi" w:cstheme="minorHAnsi"/>
                <w:b/>
                <w:sz w:val="15"/>
                <w:szCs w:val="15"/>
              </w:rPr>
              <w:t>5</w:t>
            </w:r>
            <w:r w:rsidRPr="005A1EB1">
              <w:rPr>
                <w:rFonts w:asciiTheme="minorHAnsi" w:hAnsiTheme="minorHAnsi" w:cstheme="minorHAnsi"/>
                <w:b/>
                <w:sz w:val="15"/>
                <w:szCs w:val="15"/>
              </w:rPr>
              <w:t>.</w:t>
            </w:r>
          </w:p>
          <w:p w14:paraId="7182547C" w14:textId="77777777" w:rsidR="00E541EE" w:rsidRPr="005A1EB1" w:rsidRDefault="00E541EE" w:rsidP="00A84BB5">
            <w:pPr>
              <w:pStyle w:val="TableParagraph"/>
              <w:ind w:left="70" w:right="58"/>
              <w:jc w:val="center"/>
              <w:rPr>
                <w:rFonts w:asciiTheme="minorHAnsi" w:hAnsiTheme="minorHAnsi" w:cstheme="minorHAnsi"/>
                <w:b/>
                <w:sz w:val="15"/>
                <w:szCs w:val="15"/>
              </w:rPr>
            </w:pPr>
            <w:r w:rsidRPr="005A1EB1">
              <w:rPr>
                <w:rFonts w:asciiTheme="minorHAnsi" w:hAnsiTheme="minorHAnsi" w:cstheme="minorHAnsi"/>
                <w:b/>
                <w:sz w:val="15"/>
                <w:szCs w:val="15"/>
              </w:rPr>
              <w:t>(u EUR)</w:t>
            </w:r>
          </w:p>
        </w:tc>
        <w:tc>
          <w:tcPr>
            <w:tcW w:w="480" w:type="pct"/>
            <w:vMerge w:val="restart"/>
            <w:tcBorders>
              <w:top w:val="single" w:sz="4" w:space="0" w:color="000000"/>
              <w:left w:val="single" w:sz="4" w:space="0" w:color="000000"/>
              <w:bottom w:val="single" w:sz="4" w:space="0" w:color="000000"/>
              <w:right w:val="single" w:sz="4" w:space="0" w:color="000000"/>
            </w:tcBorders>
            <w:vAlign w:val="center"/>
            <w:hideMark/>
          </w:tcPr>
          <w:p w14:paraId="2FF009BE" w14:textId="77777777" w:rsidR="00E541EE" w:rsidRPr="005A1EB1" w:rsidRDefault="00E541EE" w:rsidP="00A84BB5">
            <w:pPr>
              <w:pStyle w:val="TableParagraph"/>
              <w:jc w:val="center"/>
              <w:rPr>
                <w:rFonts w:asciiTheme="minorHAnsi" w:hAnsiTheme="minorHAnsi" w:cstheme="minorHAnsi"/>
                <w:b/>
                <w:sz w:val="15"/>
                <w:szCs w:val="15"/>
              </w:rPr>
            </w:pPr>
            <w:r w:rsidRPr="005A1EB1">
              <w:rPr>
                <w:rFonts w:asciiTheme="minorHAnsi" w:hAnsiTheme="minorHAnsi" w:cstheme="minorHAnsi"/>
                <w:b/>
                <w:sz w:val="15"/>
                <w:szCs w:val="15"/>
              </w:rPr>
              <w:t>Ključne</w:t>
            </w:r>
          </w:p>
          <w:p w14:paraId="26B278B2" w14:textId="77777777" w:rsidR="00E541EE" w:rsidRPr="005A1EB1" w:rsidRDefault="00E541EE" w:rsidP="00A84BB5">
            <w:pPr>
              <w:pStyle w:val="TableParagraph"/>
              <w:jc w:val="center"/>
              <w:rPr>
                <w:rFonts w:asciiTheme="minorHAnsi" w:hAnsiTheme="minorHAnsi" w:cstheme="minorHAnsi"/>
                <w:b/>
                <w:sz w:val="15"/>
                <w:szCs w:val="15"/>
              </w:rPr>
            </w:pPr>
            <w:r w:rsidRPr="005A1EB1">
              <w:rPr>
                <w:rFonts w:asciiTheme="minorHAnsi" w:hAnsiTheme="minorHAnsi" w:cstheme="minorHAnsi"/>
                <w:b/>
                <w:sz w:val="15"/>
                <w:szCs w:val="15"/>
              </w:rPr>
              <w:t>aktivnosti</w:t>
            </w:r>
          </w:p>
        </w:tc>
        <w:tc>
          <w:tcPr>
            <w:tcW w:w="528" w:type="pct"/>
            <w:vMerge w:val="restart"/>
            <w:tcBorders>
              <w:top w:val="single" w:sz="4" w:space="0" w:color="000000"/>
              <w:left w:val="single" w:sz="4" w:space="0" w:color="000000"/>
              <w:bottom w:val="single" w:sz="4" w:space="0" w:color="000000"/>
              <w:right w:val="single" w:sz="4" w:space="0" w:color="000000"/>
            </w:tcBorders>
            <w:vAlign w:val="center"/>
            <w:hideMark/>
          </w:tcPr>
          <w:p w14:paraId="27CD00C2" w14:textId="77777777" w:rsidR="00E541EE" w:rsidRPr="005A1EB1" w:rsidRDefault="00E541EE" w:rsidP="00A84BB5">
            <w:pPr>
              <w:pStyle w:val="TableParagraph"/>
              <w:ind w:left="174" w:right="97" w:hanging="44"/>
              <w:jc w:val="center"/>
              <w:rPr>
                <w:rFonts w:asciiTheme="minorHAnsi" w:hAnsiTheme="minorHAnsi" w:cstheme="minorHAnsi"/>
                <w:b/>
                <w:sz w:val="15"/>
                <w:szCs w:val="15"/>
              </w:rPr>
            </w:pPr>
            <w:r w:rsidRPr="005A1EB1">
              <w:rPr>
                <w:rFonts w:asciiTheme="minorHAnsi" w:hAnsiTheme="minorHAnsi" w:cstheme="minorHAnsi"/>
                <w:b/>
                <w:sz w:val="15"/>
                <w:szCs w:val="15"/>
              </w:rPr>
              <w:t>Pokazatelj</w:t>
            </w:r>
            <w:r w:rsidRPr="005A1EB1">
              <w:rPr>
                <w:rFonts w:asciiTheme="minorHAnsi" w:hAnsiTheme="minorHAnsi" w:cstheme="minorHAnsi"/>
                <w:b/>
                <w:spacing w:val="-34"/>
                <w:sz w:val="15"/>
                <w:szCs w:val="15"/>
              </w:rPr>
              <w:t xml:space="preserve"> </w:t>
            </w:r>
            <w:r w:rsidRPr="005A1EB1">
              <w:rPr>
                <w:rFonts w:asciiTheme="minorHAnsi" w:hAnsiTheme="minorHAnsi" w:cstheme="minorHAnsi"/>
                <w:b/>
                <w:sz w:val="15"/>
                <w:szCs w:val="15"/>
              </w:rPr>
              <w:t>rezultata</w:t>
            </w:r>
          </w:p>
        </w:tc>
        <w:tc>
          <w:tcPr>
            <w:tcW w:w="441" w:type="pct"/>
            <w:vMerge w:val="restart"/>
            <w:tcBorders>
              <w:top w:val="single" w:sz="4" w:space="0" w:color="000000"/>
              <w:left w:val="single" w:sz="4" w:space="0" w:color="000000"/>
              <w:bottom w:val="single" w:sz="4" w:space="0" w:color="000000"/>
              <w:right w:val="single" w:sz="4" w:space="0" w:color="000000"/>
            </w:tcBorders>
            <w:vAlign w:val="center"/>
            <w:hideMark/>
          </w:tcPr>
          <w:p w14:paraId="7EA2DFE0" w14:textId="77777777" w:rsidR="00E541EE" w:rsidRPr="005A1EB1" w:rsidRDefault="00E541EE" w:rsidP="00A84BB5">
            <w:pPr>
              <w:pStyle w:val="TableParagraph"/>
              <w:ind w:left="44" w:right="32"/>
              <w:jc w:val="center"/>
              <w:rPr>
                <w:rFonts w:asciiTheme="minorHAnsi" w:hAnsiTheme="minorHAnsi" w:cstheme="minorHAnsi"/>
                <w:b/>
                <w:sz w:val="15"/>
                <w:szCs w:val="15"/>
              </w:rPr>
            </w:pPr>
            <w:r w:rsidRPr="005A1EB1">
              <w:rPr>
                <w:rFonts w:asciiTheme="minorHAnsi" w:hAnsiTheme="minorHAnsi" w:cstheme="minorHAnsi"/>
                <w:b/>
                <w:sz w:val="15"/>
                <w:szCs w:val="15"/>
              </w:rPr>
              <w:t>Početna</w:t>
            </w:r>
            <w:r w:rsidRPr="005A1EB1">
              <w:rPr>
                <w:rFonts w:asciiTheme="minorHAnsi" w:hAnsiTheme="minorHAnsi" w:cstheme="minorHAnsi"/>
                <w:b/>
                <w:spacing w:val="1"/>
                <w:sz w:val="15"/>
                <w:szCs w:val="15"/>
              </w:rPr>
              <w:t xml:space="preserve"> </w:t>
            </w:r>
            <w:r w:rsidRPr="005A1EB1">
              <w:rPr>
                <w:rFonts w:asciiTheme="minorHAnsi" w:hAnsiTheme="minorHAnsi" w:cstheme="minorHAnsi"/>
                <w:b/>
                <w:sz w:val="15"/>
                <w:szCs w:val="15"/>
              </w:rPr>
              <w:t>vrijednost 202</w:t>
            </w:r>
            <w:r>
              <w:rPr>
                <w:rFonts w:asciiTheme="minorHAnsi" w:hAnsiTheme="minorHAnsi" w:cstheme="minorHAnsi"/>
                <w:b/>
                <w:sz w:val="15"/>
                <w:szCs w:val="15"/>
              </w:rPr>
              <w:t>5</w:t>
            </w:r>
            <w:r w:rsidRPr="005A1EB1">
              <w:rPr>
                <w:rFonts w:asciiTheme="minorHAnsi" w:hAnsiTheme="minorHAnsi" w:cstheme="minorHAnsi"/>
                <w:b/>
                <w:sz w:val="15"/>
                <w:szCs w:val="15"/>
              </w:rPr>
              <w:t>.</w:t>
            </w:r>
          </w:p>
        </w:tc>
        <w:tc>
          <w:tcPr>
            <w:tcW w:w="854" w:type="pct"/>
            <w:gridSpan w:val="3"/>
            <w:tcBorders>
              <w:top w:val="single" w:sz="4" w:space="0" w:color="000000"/>
              <w:left w:val="single" w:sz="4" w:space="0" w:color="000000"/>
              <w:bottom w:val="single" w:sz="4" w:space="0" w:color="000000"/>
              <w:right w:val="single" w:sz="4" w:space="0" w:color="000000"/>
            </w:tcBorders>
            <w:vAlign w:val="center"/>
            <w:hideMark/>
          </w:tcPr>
          <w:p w14:paraId="49738691" w14:textId="77777777" w:rsidR="00E541EE" w:rsidRPr="005A1EB1" w:rsidRDefault="00E541EE" w:rsidP="00A84BB5">
            <w:pPr>
              <w:pStyle w:val="TableParagraph"/>
              <w:ind w:left="70" w:right="56"/>
              <w:jc w:val="center"/>
              <w:rPr>
                <w:rFonts w:asciiTheme="minorHAnsi" w:hAnsiTheme="minorHAnsi" w:cstheme="minorHAnsi"/>
                <w:b/>
                <w:sz w:val="15"/>
                <w:szCs w:val="15"/>
              </w:rPr>
            </w:pPr>
            <w:r w:rsidRPr="005A1EB1">
              <w:rPr>
                <w:rFonts w:asciiTheme="minorHAnsi" w:hAnsiTheme="minorHAnsi" w:cstheme="minorHAnsi"/>
                <w:b/>
                <w:sz w:val="15"/>
                <w:szCs w:val="15"/>
              </w:rPr>
              <w:t>Ciljna</w:t>
            </w:r>
            <w:r w:rsidRPr="005A1EB1">
              <w:rPr>
                <w:rFonts w:asciiTheme="minorHAnsi" w:hAnsiTheme="minorHAnsi" w:cstheme="minorHAnsi"/>
                <w:b/>
                <w:spacing w:val="1"/>
                <w:sz w:val="15"/>
                <w:szCs w:val="15"/>
              </w:rPr>
              <w:t xml:space="preserve"> </w:t>
            </w:r>
            <w:r w:rsidRPr="005A1EB1">
              <w:rPr>
                <w:rFonts w:asciiTheme="minorHAnsi" w:hAnsiTheme="minorHAnsi" w:cstheme="minorHAnsi"/>
                <w:b/>
                <w:sz w:val="15"/>
                <w:szCs w:val="15"/>
              </w:rPr>
              <w:t>vrijednost</w:t>
            </w:r>
          </w:p>
        </w:tc>
      </w:tr>
      <w:tr w:rsidR="00E541EE" w:rsidRPr="0048131F" w14:paraId="0323315E" w14:textId="77777777" w:rsidTr="00A84BB5">
        <w:trPr>
          <w:trHeight w:val="637"/>
          <w:jc w:val="center"/>
        </w:trPr>
        <w:tc>
          <w:tcPr>
            <w:tcW w:w="554" w:type="pct"/>
            <w:vMerge/>
            <w:tcBorders>
              <w:top w:val="single" w:sz="4" w:space="0" w:color="auto"/>
              <w:left w:val="single" w:sz="4" w:space="0" w:color="000000"/>
              <w:bottom w:val="single" w:sz="4" w:space="0" w:color="auto"/>
              <w:right w:val="single" w:sz="4" w:space="0" w:color="000000"/>
            </w:tcBorders>
            <w:vAlign w:val="center"/>
            <w:hideMark/>
          </w:tcPr>
          <w:p w14:paraId="07421F87" w14:textId="77777777" w:rsidR="00E541EE" w:rsidRPr="005A1EB1" w:rsidRDefault="00E541EE" w:rsidP="00A84BB5">
            <w:pPr>
              <w:jc w:val="center"/>
              <w:rPr>
                <w:rFonts w:cstheme="minorHAnsi"/>
                <w:b/>
                <w:sz w:val="15"/>
                <w:szCs w:val="15"/>
              </w:rPr>
            </w:pPr>
          </w:p>
        </w:tc>
        <w:tc>
          <w:tcPr>
            <w:tcW w:w="550" w:type="pct"/>
            <w:vMerge/>
            <w:tcBorders>
              <w:top w:val="single" w:sz="4" w:space="0" w:color="000000"/>
              <w:left w:val="single" w:sz="4" w:space="0" w:color="000000"/>
              <w:bottom w:val="single" w:sz="4" w:space="0" w:color="000000"/>
              <w:right w:val="single" w:sz="4" w:space="0" w:color="000000"/>
            </w:tcBorders>
            <w:vAlign w:val="center"/>
            <w:hideMark/>
          </w:tcPr>
          <w:p w14:paraId="0EC02CBA" w14:textId="77777777" w:rsidR="00E541EE" w:rsidRPr="005A1EB1" w:rsidRDefault="00E541EE" w:rsidP="00A84BB5">
            <w:pPr>
              <w:jc w:val="center"/>
              <w:rPr>
                <w:rFonts w:cstheme="minorHAnsi"/>
                <w:b/>
                <w:sz w:val="15"/>
                <w:szCs w:val="15"/>
              </w:rPr>
            </w:pPr>
          </w:p>
        </w:tc>
        <w:tc>
          <w:tcPr>
            <w:tcW w:w="539" w:type="pct"/>
            <w:vMerge/>
            <w:tcBorders>
              <w:top w:val="single" w:sz="4" w:space="0" w:color="000000"/>
              <w:left w:val="single" w:sz="4" w:space="0" w:color="000000"/>
              <w:bottom w:val="single" w:sz="4" w:space="0" w:color="000000"/>
              <w:right w:val="single" w:sz="4" w:space="0" w:color="000000"/>
            </w:tcBorders>
            <w:vAlign w:val="center"/>
            <w:hideMark/>
          </w:tcPr>
          <w:p w14:paraId="7D809543" w14:textId="77777777" w:rsidR="00E541EE" w:rsidRPr="005A1EB1" w:rsidRDefault="00E541EE" w:rsidP="00A84BB5">
            <w:pPr>
              <w:jc w:val="center"/>
              <w:rPr>
                <w:rFonts w:cstheme="minorHAnsi"/>
                <w:b/>
                <w:sz w:val="15"/>
                <w:szCs w:val="15"/>
              </w:rPr>
            </w:pPr>
          </w:p>
        </w:tc>
        <w:tc>
          <w:tcPr>
            <w:tcW w:w="512" w:type="pct"/>
            <w:vMerge/>
            <w:tcBorders>
              <w:top w:val="single" w:sz="4" w:space="0" w:color="000000"/>
              <w:left w:val="single" w:sz="4" w:space="0" w:color="000000"/>
              <w:bottom w:val="single" w:sz="4" w:space="0" w:color="000000"/>
              <w:right w:val="single" w:sz="4" w:space="0" w:color="000000"/>
            </w:tcBorders>
            <w:vAlign w:val="center"/>
            <w:hideMark/>
          </w:tcPr>
          <w:p w14:paraId="48EB264C" w14:textId="77777777" w:rsidR="00E541EE" w:rsidRPr="005A1EB1" w:rsidRDefault="00E541EE" w:rsidP="00A84BB5">
            <w:pPr>
              <w:jc w:val="center"/>
              <w:rPr>
                <w:rFonts w:cstheme="minorHAnsi"/>
                <w:b/>
                <w:sz w:val="15"/>
                <w:szCs w:val="15"/>
              </w:rPr>
            </w:pPr>
          </w:p>
        </w:tc>
        <w:tc>
          <w:tcPr>
            <w:tcW w:w="542" w:type="pct"/>
            <w:vMerge/>
            <w:tcBorders>
              <w:top w:val="single" w:sz="4" w:space="0" w:color="000000"/>
              <w:left w:val="single" w:sz="4" w:space="0" w:color="000000"/>
              <w:bottom w:val="single" w:sz="4" w:space="0" w:color="000000"/>
              <w:right w:val="single" w:sz="4" w:space="0" w:color="000000"/>
            </w:tcBorders>
            <w:vAlign w:val="center"/>
            <w:hideMark/>
          </w:tcPr>
          <w:p w14:paraId="00290E4D" w14:textId="77777777" w:rsidR="00E541EE" w:rsidRPr="005A1EB1" w:rsidRDefault="00E541EE" w:rsidP="00A84BB5">
            <w:pPr>
              <w:jc w:val="center"/>
              <w:rPr>
                <w:rFonts w:cstheme="minorHAnsi"/>
                <w:b/>
                <w:sz w:val="15"/>
                <w:szCs w:val="15"/>
              </w:rPr>
            </w:pPr>
          </w:p>
        </w:tc>
        <w:tc>
          <w:tcPr>
            <w:tcW w:w="480" w:type="pct"/>
            <w:vMerge/>
            <w:tcBorders>
              <w:top w:val="single" w:sz="4" w:space="0" w:color="000000"/>
              <w:left w:val="single" w:sz="4" w:space="0" w:color="000000"/>
              <w:bottom w:val="single" w:sz="4" w:space="0" w:color="000000"/>
              <w:right w:val="single" w:sz="4" w:space="0" w:color="000000"/>
            </w:tcBorders>
            <w:vAlign w:val="center"/>
            <w:hideMark/>
          </w:tcPr>
          <w:p w14:paraId="42164789" w14:textId="77777777" w:rsidR="00E541EE" w:rsidRPr="005A1EB1" w:rsidRDefault="00E541EE" w:rsidP="00A84BB5">
            <w:pPr>
              <w:jc w:val="center"/>
              <w:rPr>
                <w:rFonts w:cstheme="minorHAnsi"/>
                <w:b/>
                <w:sz w:val="15"/>
                <w:szCs w:val="15"/>
              </w:rPr>
            </w:pPr>
          </w:p>
        </w:tc>
        <w:tc>
          <w:tcPr>
            <w:tcW w:w="528" w:type="pct"/>
            <w:vMerge/>
            <w:tcBorders>
              <w:top w:val="single" w:sz="4" w:space="0" w:color="000000"/>
              <w:left w:val="single" w:sz="4" w:space="0" w:color="000000"/>
              <w:bottom w:val="single" w:sz="4" w:space="0" w:color="000000"/>
              <w:right w:val="single" w:sz="4" w:space="0" w:color="000000"/>
            </w:tcBorders>
            <w:vAlign w:val="center"/>
            <w:hideMark/>
          </w:tcPr>
          <w:p w14:paraId="6BC32903" w14:textId="77777777" w:rsidR="00E541EE" w:rsidRPr="005A1EB1" w:rsidRDefault="00E541EE" w:rsidP="00A84BB5">
            <w:pPr>
              <w:jc w:val="center"/>
              <w:rPr>
                <w:rFonts w:cstheme="minorHAnsi"/>
                <w:b/>
                <w:sz w:val="15"/>
                <w:szCs w:val="15"/>
              </w:rPr>
            </w:pPr>
          </w:p>
        </w:tc>
        <w:tc>
          <w:tcPr>
            <w:tcW w:w="441" w:type="pct"/>
            <w:vMerge/>
            <w:tcBorders>
              <w:top w:val="single" w:sz="4" w:space="0" w:color="000000"/>
              <w:left w:val="single" w:sz="4" w:space="0" w:color="000000"/>
              <w:bottom w:val="single" w:sz="4" w:space="0" w:color="000000"/>
              <w:right w:val="single" w:sz="4" w:space="0" w:color="000000"/>
            </w:tcBorders>
            <w:vAlign w:val="center"/>
            <w:hideMark/>
          </w:tcPr>
          <w:p w14:paraId="390942F0" w14:textId="77777777" w:rsidR="00E541EE" w:rsidRPr="005A1EB1" w:rsidRDefault="00E541EE" w:rsidP="00A84BB5">
            <w:pPr>
              <w:jc w:val="center"/>
              <w:rPr>
                <w:rFonts w:cstheme="minorHAnsi"/>
                <w:b/>
                <w:sz w:val="15"/>
                <w:szCs w:val="15"/>
              </w:rPr>
            </w:pPr>
          </w:p>
        </w:tc>
        <w:tc>
          <w:tcPr>
            <w:tcW w:w="294" w:type="pct"/>
            <w:tcBorders>
              <w:top w:val="single" w:sz="4" w:space="0" w:color="000000"/>
              <w:left w:val="single" w:sz="4" w:space="0" w:color="000000"/>
              <w:bottom w:val="single" w:sz="4" w:space="0" w:color="000000"/>
              <w:right w:val="single" w:sz="4" w:space="0" w:color="000000"/>
            </w:tcBorders>
            <w:vAlign w:val="center"/>
            <w:hideMark/>
          </w:tcPr>
          <w:p w14:paraId="3359CBED" w14:textId="77777777" w:rsidR="00E541EE" w:rsidRPr="005A1EB1" w:rsidRDefault="00E541EE" w:rsidP="00A84BB5">
            <w:pPr>
              <w:pStyle w:val="TableParagraph"/>
              <w:ind w:left="87" w:right="70"/>
              <w:jc w:val="center"/>
              <w:rPr>
                <w:rFonts w:asciiTheme="minorHAnsi" w:hAnsiTheme="minorHAnsi" w:cstheme="minorHAnsi"/>
                <w:b/>
                <w:sz w:val="15"/>
                <w:szCs w:val="15"/>
              </w:rPr>
            </w:pPr>
            <w:r w:rsidRPr="005A1EB1">
              <w:rPr>
                <w:rFonts w:asciiTheme="minorHAnsi" w:hAnsiTheme="minorHAnsi" w:cstheme="minorHAnsi"/>
                <w:b/>
                <w:sz w:val="15"/>
                <w:szCs w:val="15"/>
              </w:rPr>
              <w:t>za 202</w:t>
            </w:r>
            <w:r>
              <w:rPr>
                <w:rFonts w:asciiTheme="minorHAnsi" w:hAnsiTheme="minorHAnsi" w:cstheme="minorHAnsi"/>
                <w:b/>
                <w:sz w:val="15"/>
                <w:szCs w:val="15"/>
              </w:rPr>
              <w:t>6</w:t>
            </w:r>
            <w:r w:rsidRPr="005A1EB1">
              <w:rPr>
                <w:rFonts w:asciiTheme="minorHAnsi" w:hAnsiTheme="minorHAnsi" w:cstheme="minorHAnsi"/>
                <w:b/>
                <w:sz w:val="15"/>
                <w:szCs w:val="15"/>
              </w:rPr>
              <w:t>.</w:t>
            </w:r>
          </w:p>
        </w:tc>
        <w:tc>
          <w:tcPr>
            <w:tcW w:w="283" w:type="pct"/>
            <w:tcBorders>
              <w:top w:val="single" w:sz="4" w:space="0" w:color="000000"/>
              <w:left w:val="single" w:sz="4" w:space="0" w:color="000000"/>
              <w:bottom w:val="single" w:sz="4" w:space="0" w:color="000000"/>
              <w:right w:val="single" w:sz="4" w:space="0" w:color="000000"/>
            </w:tcBorders>
            <w:vAlign w:val="center"/>
            <w:hideMark/>
          </w:tcPr>
          <w:p w14:paraId="16F11BAA" w14:textId="77777777" w:rsidR="00E541EE" w:rsidRPr="005A1EB1" w:rsidRDefault="00E541EE" w:rsidP="00A84BB5">
            <w:pPr>
              <w:pStyle w:val="TableParagraph"/>
              <w:ind w:left="75" w:right="61"/>
              <w:jc w:val="center"/>
              <w:rPr>
                <w:rFonts w:asciiTheme="minorHAnsi" w:hAnsiTheme="minorHAnsi" w:cstheme="minorHAnsi"/>
                <w:b/>
                <w:sz w:val="15"/>
                <w:szCs w:val="15"/>
              </w:rPr>
            </w:pPr>
            <w:r w:rsidRPr="005A1EB1">
              <w:rPr>
                <w:rFonts w:asciiTheme="minorHAnsi" w:hAnsiTheme="minorHAnsi" w:cstheme="minorHAnsi"/>
                <w:b/>
                <w:sz w:val="15"/>
                <w:szCs w:val="15"/>
              </w:rPr>
              <w:t>za</w:t>
            </w:r>
          </w:p>
          <w:p w14:paraId="3ABF170F" w14:textId="77777777" w:rsidR="00E541EE" w:rsidRPr="005A1EB1" w:rsidRDefault="00E541EE" w:rsidP="00A84BB5">
            <w:pPr>
              <w:pStyle w:val="TableParagraph"/>
              <w:ind w:left="75" w:right="61"/>
              <w:jc w:val="center"/>
              <w:rPr>
                <w:rFonts w:asciiTheme="minorHAnsi" w:hAnsiTheme="minorHAnsi" w:cstheme="minorHAnsi"/>
                <w:b/>
                <w:sz w:val="15"/>
                <w:szCs w:val="15"/>
              </w:rPr>
            </w:pPr>
            <w:r w:rsidRPr="005A1EB1">
              <w:rPr>
                <w:rFonts w:asciiTheme="minorHAnsi" w:hAnsiTheme="minorHAnsi" w:cstheme="minorHAnsi"/>
                <w:b/>
                <w:sz w:val="15"/>
                <w:szCs w:val="15"/>
              </w:rPr>
              <w:t>202</w:t>
            </w:r>
            <w:r>
              <w:rPr>
                <w:rFonts w:asciiTheme="minorHAnsi" w:hAnsiTheme="minorHAnsi" w:cstheme="minorHAnsi"/>
                <w:b/>
                <w:sz w:val="15"/>
                <w:szCs w:val="15"/>
              </w:rPr>
              <w:t>7</w:t>
            </w:r>
            <w:r w:rsidRPr="005A1EB1">
              <w:rPr>
                <w:rFonts w:asciiTheme="minorHAnsi" w:hAnsiTheme="minorHAnsi" w:cstheme="minorHAnsi"/>
                <w:b/>
                <w:sz w:val="15"/>
                <w:szCs w:val="15"/>
              </w:rPr>
              <w:t>.</w:t>
            </w:r>
          </w:p>
        </w:tc>
        <w:tc>
          <w:tcPr>
            <w:tcW w:w="277" w:type="pct"/>
            <w:tcBorders>
              <w:top w:val="single" w:sz="4" w:space="0" w:color="000000"/>
              <w:left w:val="single" w:sz="4" w:space="0" w:color="000000"/>
              <w:bottom w:val="single" w:sz="4" w:space="0" w:color="000000"/>
              <w:right w:val="single" w:sz="4" w:space="0" w:color="000000"/>
            </w:tcBorders>
            <w:vAlign w:val="center"/>
            <w:hideMark/>
          </w:tcPr>
          <w:p w14:paraId="4FE46D2B" w14:textId="77777777" w:rsidR="00E541EE" w:rsidRPr="005A1EB1" w:rsidRDefault="00E541EE" w:rsidP="00A84BB5">
            <w:pPr>
              <w:pStyle w:val="TableParagraph"/>
              <w:ind w:left="70" w:right="56"/>
              <w:jc w:val="center"/>
              <w:rPr>
                <w:rFonts w:asciiTheme="minorHAnsi" w:hAnsiTheme="minorHAnsi" w:cstheme="minorHAnsi"/>
                <w:b/>
                <w:sz w:val="15"/>
                <w:szCs w:val="15"/>
              </w:rPr>
            </w:pPr>
            <w:r w:rsidRPr="005A1EB1">
              <w:rPr>
                <w:rFonts w:asciiTheme="minorHAnsi" w:hAnsiTheme="minorHAnsi" w:cstheme="minorHAnsi"/>
                <w:b/>
                <w:sz w:val="15"/>
                <w:szCs w:val="15"/>
              </w:rPr>
              <w:t>za</w:t>
            </w:r>
          </w:p>
          <w:p w14:paraId="093CF8D8" w14:textId="77777777" w:rsidR="00E541EE" w:rsidRPr="005A1EB1" w:rsidRDefault="00E541EE" w:rsidP="00A84BB5">
            <w:pPr>
              <w:pStyle w:val="TableParagraph"/>
              <w:ind w:left="70" w:right="56"/>
              <w:jc w:val="center"/>
              <w:rPr>
                <w:rFonts w:asciiTheme="minorHAnsi" w:hAnsiTheme="minorHAnsi" w:cstheme="minorHAnsi"/>
                <w:b/>
                <w:sz w:val="15"/>
                <w:szCs w:val="15"/>
              </w:rPr>
            </w:pPr>
            <w:r w:rsidRPr="005A1EB1">
              <w:rPr>
                <w:rFonts w:asciiTheme="minorHAnsi" w:hAnsiTheme="minorHAnsi" w:cstheme="minorHAnsi"/>
                <w:b/>
                <w:sz w:val="15"/>
                <w:szCs w:val="15"/>
              </w:rPr>
              <w:t>202</w:t>
            </w:r>
            <w:r>
              <w:rPr>
                <w:rFonts w:asciiTheme="minorHAnsi" w:hAnsiTheme="minorHAnsi" w:cstheme="minorHAnsi"/>
                <w:b/>
                <w:sz w:val="15"/>
                <w:szCs w:val="15"/>
              </w:rPr>
              <w:t>8</w:t>
            </w:r>
            <w:r w:rsidRPr="005A1EB1">
              <w:rPr>
                <w:rFonts w:asciiTheme="minorHAnsi" w:hAnsiTheme="minorHAnsi" w:cstheme="minorHAnsi"/>
                <w:b/>
                <w:sz w:val="15"/>
                <w:szCs w:val="15"/>
              </w:rPr>
              <w:t>.</w:t>
            </w:r>
          </w:p>
        </w:tc>
      </w:tr>
      <w:tr w:rsidR="00E541EE" w:rsidRPr="0048131F" w14:paraId="26BB5919" w14:textId="77777777" w:rsidTr="00A84BB5">
        <w:trPr>
          <w:trHeight w:val="1531"/>
          <w:jc w:val="center"/>
        </w:trPr>
        <w:tc>
          <w:tcPr>
            <w:tcW w:w="554" w:type="pct"/>
            <w:tcBorders>
              <w:top w:val="single" w:sz="4" w:space="0" w:color="auto"/>
              <w:left w:val="single" w:sz="4" w:space="0" w:color="000000"/>
              <w:bottom w:val="single" w:sz="4" w:space="0" w:color="000000"/>
              <w:right w:val="single" w:sz="4" w:space="0" w:color="000000"/>
            </w:tcBorders>
            <w:vAlign w:val="center"/>
            <w:hideMark/>
          </w:tcPr>
          <w:p w14:paraId="78298DC8" w14:textId="77777777" w:rsidR="00E541EE" w:rsidRPr="00CD771C" w:rsidRDefault="00E541EE" w:rsidP="00A84BB5">
            <w:pPr>
              <w:pStyle w:val="TableParagraph"/>
              <w:ind w:left="44" w:right="35"/>
              <w:jc w:val="center"/>
              <w:rPr>
                <w:rFonts w:asciiTheme="minorHAnsi" w:hAnsiTheme="minorHAnsi" w:cstheme="minorHAnsi"/>
                <w:bCs/>
                <w:sz w:val="14"/>
                <w:szCs w:val="14"/>
              </w:rPr>
            </w:pPr>
            <w:r w:rsidRPr="00CD771C">
              <w:rPr>
                <w:rFonts w:asciiTheme="minorHAnsi" w:hAnsiTheme="minorHAnsi" w:cstheme="minorHAnsi"/>
                <w:bCs/>
                <w:sz w:val="14"/>
                <w:szCs w:val="14"/>
              </w:rPr>
              <w:t>Provedbeni program Grada Rovinja-Rovigno za razdoblje 202</w:t>
            </w:r>
            <w:r>
              <w:rPr>
                <w:rFonts w:asciiTheme="minorHAnsi" w:hAnsiTheme="minorHAnsi" w:cstheme="minorHAnsi"/>
                <w:bCs/>
                <w:sz w:val="14"/>
                <w:szCs w:val="14"/>
              </w:rPr>
              <w:t>5</w:t>
            </w:r>
            <w:r w:rsidRPr="00CD771C">
              <w:rPr>
                <w:rFonts w:asciiTheme="minorHAnsi" w:hAnsiTheme="minorHAnsi" w:cstheme="minorHAnsi"/>
                <w:bCs/>
                <w:sz w:val="14"/>
                <w:szCs w:val="14"/>
              </w:rPr>
              <w:t>.-202</w:t>
            </w:r>
            <w:r>
              <w:rPr>
                <w:rFonts w:asciiTheme="minorHAnsi" w:hAnsiTheme="minorHAnsi" w:cstheme="minorHAnsi"/>
                <w:bCs/>
                <w:sz w:val="14"/>
                <w:szCs w:val="14"/>
              </w:rPr>
              <w:t>9</w:t>
            </w:r>
            <w:r w:rsidRPr="00CD771C">
              <w:rPr>
                <w:rFonts w:asciiTheme="minorHAnsi" w:hAnsiTheme="minorHAnsi" w:cstheme="minorHAnsi"/>
                <w:bCs/>
                <w:sz w:val="14"/>
                <w:szCs w:val="14"/>
              </w:rPr>
              <w:t>. godine</w:t>
            </w:r>
          </w:p>
        </w:tc>
        <w:tc>
          <w:tcPr>
            <w:tcW w:w="550" w:type="pct"/>
            <w:tcBorders>
              <w:top w:val="single" w:sz="4" w:space="0" w:color="000000"/>
              <w:left w:val="single" w:sz="4" w:space="0" w:color="000000"/>
              <w:bottom w:val="single" w:sz="4" w:space="0" w:color="000000"/>
              <w:right w:val="single" w:sz="4" w:space="0" w:color="000000"/>
            </w:tcBorders>
            <w:vAlign w:val="center"/>
          </w:tcPr>
          <w:p w14:paraId="6D31190F" w14:textId="77777777" w:rsidR="00E541EE" w:rsidRPr="0048131F" w:rsidRDefault="00E541EE" w:rsidP="00A84BB5">
            <w:pPr>
              <w:pStyle w:val="TableParagraph"/>
              <w:ind w:left="28" w:right="19" w:firstLine="2"/>
              <w:jc w:val="center"/>
              <w:rPr>
                <w:rFonts w:asciiTheme="minorHAnsi" w:hAnsiTheme="minorHAnsi" w:cstheme="minorHAnsi"/>
                <w:sz w:val="14"/>
                <w:szCs w:val="14"/>
              </w:rPr>
            </w:pPr>
            <w:r w:rsidRPr="0048131F">
              <w:rPr>
                <w:rFonts w:asciiTheme="minorHAnsi" w:hAnsiTheme="minorHAnsi" w:cstheme="minorHAnsi"/>
                <w:sz w:val="14"/>
                <w:szCs w:val="14"/>
              </w:rPr>
              <w:t>RS3. ZELENA I DIGITALNA TRANZICIJA</w:t>
            </w:r>
          </w:p>
          <w:p w14:paraId="0F9B387B" w14:textId="77777777" w:rsidR="00E541EE" w:rsidRPr="0048131F" w:rsidRDefault="00E541EE" w:rsidP="00A84BB5">
            <w:pPr>
              <w:pStyle w:val="TableParagraph"/>
              <w:ind w:left="28" w:right="19" w:firstLine="2"/>
              <w:jc w:val="center"/>
              <w:rPr>
                <w:rFonts w:asciiTheme="minorHAnsi" w:hAnsiTheme="minorHAnsi" w:cstheme="minorHAnsi"/>
                <w:sz w:val="14"/>
                <w:szCs w:val="14"/>
              </w:rPr>
            </w:pPr>
            <w:r w:rsidRPr="0048131F">
              <w:rPr>
                <w:rFonts w:asciiTheme="minorHAnsi" w:hAnsiTheme="minorHAnsi" w:cstheme="minorHAnsi"/>
                <w:sz w:val="14"/>
                <w:szCs w:val="14"/>
              </w:rPr>
              <w:t>SC11.Digitalna tranzicija društva i gospodarstva</w:t>
            </w:r>
          </w:p>
        </w:tc>
        <w:tc>
          <w:tcPr>
            <w:tcW w:w="539" w:type="pct"/>
            <w:tcBorders>
              <w:top w:val="single" w:sz="4" w:space="0" w:color="000000"/>
              <w:left w:val="single" w:sz="4" w:space="0" w:color="000000"/>
              <w:bottom w:val="single" w:sz="4" w:space="0" w:color="000000"/>
              <w:right w:val="single" w:sz="4" w:space="0" w:color="000000"/>
            </w:tcBorders>
            <w:shd w:val="clear" w:color="auto" w:fill="FFF1CC"/>
            <w:vAlign w:val="center"/>
          </w:tcPr>
          <w:p w14:paraId="50D28D0A" w14:textId="77777777" w:rsidR="00E541EE" w:rsidRDefault="00E541EE" w:rsidP="00A84BB5">
            <w:pPr>
              <w:pStyle w:val="TableParagraph"/>
              <w:jc w:val="center"/>
              <w:rPr>
                <w:rFonts w:asciiTheme="minorHAnsi" w:hAnsiTheme="minorHAnsi" w:cstheme="minorHAnsi"/>
                <w:sz w:val="14"/>
                <w:szCs w:val="14"/>
              </w:rPr>
            </w:pPr>
            <w:r w:rsidRPr="0048131F">
              <w:rPr>
                <w:rFonts w:asciiTheme="minorHAnsi" w:hAnsiTheme="minorHAnsi" w:cstheme="minorHAnsi"/>
                <w:sz w:val="14"/>
                <w:szCs w:val="14"/>
              </w:rPr>
              <w:t xml:space="preserve">P-1005 </w:t>
            </w:r>
          </w:p>
          <w:p w14:paraId="3879A7FA" w14:textId="77777777" w:rsidR="00E541EE" w:rsidRPr="0048131F" w:rsidRDefault="00E541EE" w:rsidP="00A84BB5">
            <w:pPr>
              <w:pStyle w:val="TableParagraph"/>
              <w:jc w:val="center"/>
              <w:rPr>
                <w:rFonts w:asciiTheme="minorHAnsi" w:hAnsiTheme="minorHAnsi" w:cstheme="minorHAnsi"/>
                <w:sz w:val="14"/>
                <w:szCs w:val="14"/>
              </w:rPr>
            </w:pPr>
            <w:r w:rsidRPr="0048131F">
              <w:rPr>
                <w:rFonts w:asciiTheme="minorHAnsi" w:hAnsiTheme="minorHAnsi" w:cstheme="minorHAnsi"/>
                <w:sz w:val="14"/>
                <w:szCs w:val="14"/>
              </w:rPr>
              <w:t>Program:</w:t>
            </w:r>
          </w:p>
          <w:p w14:paraId="2E2DF884" w14:textId="77777777" w:rsidR="00E541EE" w:rsidRPr="0048131F" w:rsidRDefault="00E541EE" w:rsidP="00A84BB5">
            <w:pPr>
              <w:pStyle w:val="TableParagraph"/>
              <w:jc w:val="center"/>
              <w:rPr>
                <w:rFonts w:asciiTheme="minorHAnsi" w:hAnsiTheme="minorHAnsi" w:cstheme="minorHAnsi"/>
                <w:sz w:val="14"/>
                <w:szCs w:val="14"/>
              </w:rPr>
            </w:pPr>
            <w:r w:rsidRPr="0048131F">
              <w:rPr>
                <w:rFonts w:asciiTheme="minorHAnsi" w:hAnsiTheme="minorHAnsi" w:cstheme="minorHAnsi"/>
                <w:sz w:val="14"/>
                <w:szCs w:val="14"/>
              </w:rPr>
              <w:t>Digitalizacija poslovanje gradske uprave</w:t>
            </w:r>
          </w:p>
          <w:p w14:paraId="34A39980" w14:textId="77777777" w:rsidR="00E541EE" w:rsidRPr="0048131F" w:rsidRDefault="00E541EE" w:rsidP="00A84BB5">
            <w:pPr>
              <w:pStyle w:val="TableParagraph"/>
              <w:ind w:left="74" w:right="63" w:hanging="4"/>
              <w:jc w:val="center"/>
              <w:rPr>
                <w:rFonts w:asciiTheme="minorHAnsi" w:hAnsiTheme="minorHAnsi" w:cstheme="minorHAnsi"/>
                <w:sz w:val="14"/>
                <w:szCs w:val="14"/>
              </w:rPr>
            </w:pPr>
          </w:p>
        </w:tc>
        <w:tc>
          <w:tcPr>
            <w:tcW w:w="512" w:type="pct"/>
            <w:tcBorders>
              <w:top w:val="single" w:sz="4" w:space="0" w:color="000000"/>
              <w:left w:val="single" w:sz="4" w:space="0" w:color="000000"/>
              <w:bottom w:val="single" w:sz="4" w:space="0" w:color="000000"/>
              <w:right w:val="single" w:sz="4" w:space="0" w:color="000000"/>
            </w:tcBorders>
            <w:vAlign w:val="center"/>
          </w:tcPr>
          <w:p w14:paraId="03448A29" w14:textId="77777777" w:rsidR="00E541EE" w:rsidRPr="0048131F" w:rsidRDefault="00E541EE" w:rsidP="00A84BB5">
            <w:pPr>
              <w:pStyle w:val="TableParagraph"/>
              <w:jc w:val="center"/>
              <w:rPr>
                <w:rFonts w:asciiTheme="minorHAnsi" w:hAnsiTheme="minorHAnsi" w:cstheme="minorHAnsi"/>
                <w:sz w:val="14"/>
                <w:szCs w:val="14"/>
              </w:rPr>
            </w:pPr>
            <w:r w:rsidRPr="0048131F">
              <w:rPr>
                <w:rFonts w:asciiTheme="minorHAnsi" w:hAnsiTheme="minorHAnsi" w:cstheme="minorHAnsi"/>
                <w:sz w:val="14"/>
                <w:szCs w:val="14"/>
              </w:rPr>
              <w:t>13. Lokalna uprava i administracija</w:t>
            </w:r>
          </w:p>
          <w:p w14:paraId="77750562" w14:textId="77777777" w:rsidR="00E541EE" w:rsidRPr="0048131F" w:rsidRDefault="00E541EE" w:rsidP="00A84BB5">
            <w:pPr>
              <w:pStyle w:val="TableParagraph"/>
              <w:ind w:left="29" w:right="11" w:firstLine="9"/>
              <w:jc w:val="center"/>
              <w:rPr>
                <w:rFonts w:asciiTheme="minorHAnsi" w:hAnsiTheme="minorHAnsi" w:cstheme="minorHAnsi"/>
                <w:sz w:val="14"/>
                <w:szCs w:val="14"/>
              </w:rPr>
            </w:pPr>
          </w:p>
        </w:tc>
        <w:tc>
          <w:tcPr>
            <w:tcW w:w="542" w:type="pct"/>
            <w:tcBorders>
              <w:top w:val="single" w:sz="4" w:space="0" w:color="000000"/>
              <w:left w:val="single" w:sz="4" w:space="0" w:color="000000"/>
              <w:bottom w:val="single" w:sz="4" w:space="0" w:color="000000"/>
              <w:right w:val="single" w:sz="4" w:space="0" w:color="000000"/>
            </w:tcBorders>
            <w:shd w:val="clear" w:color="auto" w:fill="FFF1CC"/>
            <w:vAlign w:val="center"/>
          </w:tcPr>
          <w:p w14:paraId="5F5C6D2C" w14:textId="77777777" w:rsidR="00E541EE" w:rsidRPr="0048131F" w:rsidRDefault="00E541EE" w:rsidP="00A84BB5">
            <w:pPr>
              <w:pStyle w:val="TableParagraph"/>
              <w:jc w:val="center"/>
              <w:rPr>
                <w:rFonts w:asciiTheme="minorHAnsi" w:hAnsiTheme="minorHAnsi" w:cstheme="minorHAnsi"/>
                <w:sz w:val="14"/>
                <w:szCs w:val="14"/>
              </w:rPr>
            </w:pPr>
            <w:r w:rsidRPr="0048131F">
              <w:rPr>
                <w:rFonts w:asciiTheme="minorHAnsi" w:hAnsiTheme="minorHAnsi" w:cstheme="minorHAnsi"/>
                <w:sz w:val="14"/>
                <w:szCs w:val="14"/>
              </w:rPr>
              <w:t>22.998,00</w:t>
            </w:r>
          </w:p>
          <w:p w14:paraId="77D52964" w14:textId="77777777" w:rsidR="00E541EE" w:rsidRPr="0048131F" w:rsidRDefault="00E541EE" w:rsidP="00A84BB5">
            <w:pPr>
              <w:pStyle w:val="TableParagraph"/>
              <w:ind w:left="142"/>
              <w:jc w:val="center"/>
              <w:rPr>
                <w:rFonts w:asciiTheme="minorHAnsi" w:hAnsiTheme="minorHAnsi" w:cstheme="minorHAnsi"/>
                <w:sz w:val="14"/>
                <w:szCs w:val="14"/>
              </w:rPr>
            </w:pPr>
          </w:p>
        </w:tc>
        <w:tc>
          <w:tcPr>
            <w:tcW w:w="480" w:type="pct"/>
            <w:tcBorders>
              <w:top w:val="single" w:sz="4" w:space="0" w:color="000000"/>
              <w:left w:val="single" w:sz="4" w:space="0" w:color="000000"/>
              <w:bottom w:val="single" w:sz="4" w:space="0" w:color="000000"/>
              <w:right w:val="single" w:sz="4" w:space="0" w:color="000000"/>
            </w:tcBorders>
            <w:vAlign w:val="center"/>
          </w:tcPr>
          <w:p w14:paraId="47A1DD8F" w14:textId="77777777" w:rsidR="00E541EE" w:rsidRPr="0048131F" w:rsidRDefault="00E541EE" w:rsidP="00A84BB5">
            <w:pPr>
              <w:jc w:val="center"/>
              <w:rPr>
                <w:rFonts w:cstheme="minorHAnsi"/>
                <w:sz w:val="14"/>
                <w:szCs w:val="14"/>
              </w:rPr>
            </w:pPr>
            <w:r w:rsidRPr="0048131F">
              <w:rPr>
                <w:rFonts w:cstheme="minorHAnsi"/>
                <w:sz w:val="14"/>
                <w:szCs w:val="14"/>
              </w:rPr>
              <w:t>A 100501:</w:t>
            </w:r>
          </w:p>
          <w:p w14:paraId="27BD9716" w14:textId="77777777" w:rsidR="00E541EE" w:rsidRPr="0048131F" w:rsidRDefault="00E541EE" w:rsidP="00A84BB5">
            <w:pPr>
              <w:jc w:val="center"/>
              <w:rPr>
                <w:rFonts w:cstheme="minorHAnsi"/>
                <w:sz w:val="14"/>
                <w:szCs w:val="14"/>
              </w:rPr>
            </w:pPr>
            <w:r w:rsidRPr="0048131F">
              <w:rPr>
                <w:rFonts w:cstheme="minorHAnsi"/>
                <w:sz w:val="14"/>
                <w:szCs w:val="14"/>
              </w:rPr>
              <w:t>Informatičko povezivanje proračunskih korisnika</w:t>
            </w:r>
          </w:p>
        </w:tc>
        <w:tc>
          <w:tcPr>
            <w:tcW w:w="528" w:type="pct"/>
            <w:tcBorders>
              <w:top w:val="single" w:sz="4" w:space="0" w:color="000000"/>
              <w:left w:val="single" w:sz="4" w:space="0" w:color="000000"/>
              <w:bottom w:val="single" w:sz="4" w:space="0" w:color="000000"/>
              <w:right w:val="single" w:sz="4" w:space="0" w:color="auto"/>
            </w:tcBorders>
            <w:shd w:val="clear" w:color="auto" w:fill="FFF1CC"/>
            <w:vAlign w:val="center"/>
            <w:hideMark/>
          </w:tcPr>
          <w:p w14:paraId="2F59DC31" w14:textId="77777777" w:rsidR="00E541EE" w:rsidRPr="0048131F" w:rsidRDefault="00E541EE" w:rsidP="00A84BB5">
            <w:pPr>
              <w:jc w:val="center"/>
              <w:rPr>
                <w:rFonts w:cstheme="minorHAnsi"/>
                <w:sz w:val="14"/>
                <w:szCs w:val="14"/>
              </w:rPr>
            </w:pPr>
            <w:r w:rsidRPr="0048131F">
              <w:rPr>
                <w:rFonts w:cstheme="minorHAnsi"/>
                <w:sz w:val="14"/>
                <w:szCs w:val="14"/>
              </w:rPr>
              <w:t>Broj digitaliziranih usluga koje pruža JLS</w:t>
            </w:r>
          </w:p>
        </w:tc>
        <w:tc>
          <w:tcPr>
            <w:tcW w:w="441" w:type="pct"/>
            <w:tcBorders>
              <w:top w:val="single" w:sz="4" w:space="0" w:color="000000"/>
              <w:left w:val="single" w:sz="4" w:space="0" w:color="auto"/>
              <w:bottom w:val="single" w:sz="4" w:space="0" w:color="000000"/>
              <w:right w:val="single" w:sz="4" w:space="0" w:color="000000"/>
            </w:tcBorders>
            <w:vAlign w:val="center"/>
            <w:hideMark/>
          </w:tcPr>
          <w:p w14:paraId="25611C4B" w14:textId="77777777" w:rsidR="00E541EE" w:rsidRPr="0048131F" w:rsidRDefault="00E541EE" w:rsidP="00A84BB5">
            <w:pPr>
              <w:jc w:val="center"/>
              <w:rPr>
                <w:rFonts w:cstheme="minorHAnsi"/>
                <w:sz w:val="14"/>
                <w:szCs w:val="14"/>
              </w:rPr>
            </w:pPr>
            <w:r w:rsidRPr="0048131F">
              <w:rPr>
                <w:rFonts w:cstheme="minorHAnsi"/>
                <w:sz w:val="14"/>
                <w:szCs w:val="14"/>
              </w:rPr>
              <w:t>7</w:t>
            </w:r>
          </w:p>
        </w:tc>
        <w:tc>
          <w:tcPr>
            <w:tcW w:w="294" w:type="pct"/>
            <w:tcBorders>
              <w:top w:val="single" w:sz="4" w:space="0" w:color="000000"/>
              <w:left w:val="single" w:sz="4" w:space="0" w:color="000000"/>
              <w:bottom w:val="single" w:sz="4" w:space="0" w:color="000000"/>
              <w:right w:val="single" w:sz="4" w:space="0" w:color="000000"/>
            </w:tcBorders>
            <w:vAlign w:val="center"/>
            <w:hideMark/>
          </w:tcPr>
          <w:p w14:paraId="19873095" w14:textId="77777777" w:rsidR="00E541EE" w:rsidRPr="0048131F" w:rsidRDefault="00E541EE" w:rsidP="00A84BB5">
            <w:pPr>
              <w:jc w:val="center"/>
              <w:rPr>
                <w:rFonts w:cstheme="minorHAnsi"/>
                <w:sz w:val="14"/>
                <w:szCs w:val="14"/>
              </w:rPr>
            </w:pPr>
            <w:r>
              <w:rPr>
                <w:rFonts w:cstheme="minorHAnsi"/>
                <w:sz w:val="14"/>
                <w:szCs w:val="14"/>
              </w:rPr>
              <w:t>10</w:t>
            </w:r>
          </w:p>
        </w:tc>
        <w:tc>
          <w:tcPr>
            <w:tcW w:w="283" w:type="pct"/>
            <w:tcBorders>
              <w:top w:val="single" w:sz="4" w:space="0" w:color="000000"/>
              <w:left w:val="single" w:sz="4" w:space="0" w:color="000000"/>
              <w:bottom w:val="single" w:sz="4" w:space="0" w:color="000000"/>
              <w:right w:val="single" w:sz="4" w:space="0" w:color="000000"/>
            </w:tcBorders>
            <w:vAlign w:val="center"/>
            <w:hideMark/>
          </w:tcPr>
          <w:p w14:paraId="725F749B" w14:textId="77777777" w:rsidR="00E541EE" w:rsidRPr="0048131F" w:rsidRDefault="00E541EE" w:rsidP="00A84BB5">
            <w:pPr>
              <w:jc w:val="center"/>
              <w:rPr>
                <w:rFonts w:cstheme="minorHAnsi"/>
                <w:sz w:val="14"/>
                <w:szCs w:val="14"/>
              </w:rPr>
            </w:pPr>
            <w:r>
              <w:rPr>
                <w:rFonts w:cstheme="minorHAnsi"/>
                <w:sz w:val="14"/>
                <w:szCs w:val="14"/>
              </w:rPr>
              <w:t>12</w:t>
            </w:r>
          </w:p>
        </w:tc>
        <w:tc>
          <w:tcPr>
            <w:tcW w:w="277" w:type="pct"/>
            <w:tcBorders>
              <w:top w:val="single" w:sz="4" w:space="0" w:color="000000"/>
              <w:left w:val="single" w:sz="4" w:space="0" w:color="000000"/>
              <w:bottom w:val="single" w:sz="4" w:space="0" w:color="000000"/>
              <w:right w:val="single" w:sz="4" w:space="0" w:color="000000"/>
            </w:tcBorders>
            <w:vAlign w:val="center"/>
            <w:hideMark/>
          </w:tcPr>
          <w:p w14:paraId="53094C27" w14:textId="77777777" w:rsidR="00E541EE" w:rsidRPr="0048131F" w:rsidRDefault="00E541EE" w:rsidP="00A84BB5">
            <w:pPr>
              <w:jc w:val="center"/>
              <w:rPr>
                <w:rFonts w:cstheme="minorHAnsi"/>
                <w:sz w:val="14"/>
                <w:szCs w:val="14"/>
              </w:rPr>
            </w:pPr>
            <w:r>
              <w:rPr>
                <w:rFonts w:cstheme="minorHAnsi"/>
                <w:sz w:val="14"/>
                <w:szCs w:val="14"/>
              </w:rPr>
              <w:t>15</w:t>
            </w:r>
          </w:p>
        </w:tc>
      </w:tr>
      <w:bookmarkEnd w:id="1"/>
    </w:tbl>
    <w:p w14:paraId="7C55E141" w14:textId="77777777" w:rsidR="00E541EE" w:rsidRPr="00926566" w:rsidRDefault="00E541EE" w:rsidP="00E541EE">
      <w:pPr>
        <w:jc w:val="both"/>
        <w:rPr>
          <w:rFonts w:ascii="Arial" w:hAnsi="Arial" w:cs="Arial"/>
        </w:rPr>
      </w:pPr>
    </w:p>
    <w:p w14:paraId="05AF7E44" w14:textId="77777777" w:rsidR="00E541EE" w:rsidRPr="0071493D"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hAnsi="Arial" w:cs="Arial"/>
          <w:b/>
          <w:bCs/>
          <w:sz w:val="24"/>
          <w:szCs w:val="24"/>
        </w:rPr>
      </w:pPr>
      <w:r w:rsidRPr="0071493D">
        <w:rPr>
          <w:rFonts w:ascii="Arial" w:hAnsi="Arial" w:cs="Arial"/>
          <w:b/>
          <w:bCs/>
          <w:sz w:val="24"/>
          <w:szCs w:val="24"/>
        </w:rPr>
        <w:t xml:space="preserve">A 100501: Informatičko povezivanje proračunskih korisnika = </w:t>
      </w:r>
      <w:r>
        <w:rPr>
          <w:rFonts w:ascii="Arial" w:hAnsi="Arial" w:cs="Arial"/>
          <w:b/>
          <w:bCs/>
          <w:sz w:val="24"/>
          <w:szCs w:val="24"/>
        </w:rPr>
        <w:t>22.998,00</w:t>
      </w:r>
      <w:r w:rsidRPr="0071493D">
        <w:rPr>
          <w:rFonts w:ascii="Arial" w:hAnsi="Arial" w:cs="Arial"/>
          <w:b/>
          <w:bCs/>
          <w:sz w:val="24"/>
          <w:szCs w:val="24"/>
        </w:rPr>
        <w:t xml:space="preserve"> EUR</w:t>
      </w:r>
    </w:p>
    <w:p w14:paraId="388BAFB9" w14:textId="77777777" w:rsidR="00E541EE" w:rsidRPr="0080294D" w:rsidRDefault="00E541EE" w:rsidP="00E541EE">
      <w:pPr>
        <w:jc w:val="both"/>
        <w:rPr>
          <w:rFonts w:ascii="Arial" w:hAnsi="Arial" w:cs="Arial"/>
          <w:sz w:val="24"/>
          <w:szCs w:val="24"/>
        </w:rPr>
      </w:pPr>
      <w:r w:rsidRPr="0071493D">
        <w:rPr>
          <w:rFonts w:ascii="Arial" w:hAnsi="Arial" w:cs="Arial"/>
          <w:b/>
          <w:sz w:val="24"/>
          <w:szCs w:val="24"/>
        </w:rPr>
        <w:t xml:space="preserve">Zakonska osnova: </w:t>
      </w:r>
      <w:r w:rsidRPr="0080294D">
        <w:rPr>
          <w:rFonts w:ascii="Arial" w:hAnsi="Arial" w:cs="Arial"/>
          <w:sz w:val="24"/>
          <w:szCs w:val="24"/>
        </w:rPr>
        <w:t>Zakon o proračunu, Opći porezni zakon, Zakon o lokalnoj i područnoj regionalnoj) samoupravi, Zakon o financiranju jedinica lokalne i područne (regionalne) samouprave.</w:t>
      </w:r>
    </w:p>
    <w:p w14:paraId="61E12ED0" w14:textId="77777777" w:rsidR="00E541EE" w:rsidRPr="0080294D" w:rsidRDefault="00E541EE" w:rsidP="00E541EE">
      <w:pPr>
        <w:jc w:val="both"/>
        <w:rPr>
          <w:rFonts w:ascii="Arial" w:hAnsi="Arial" w:cs="Arial"/>
          <w:sz w:val="24"/>
          <w:szCs w:val="24"/>
        </w:rPr>
      </w:pPr>
      <w:r w:rsidRPr="0080294D">
        <w:rPr>
          <w:rFonts w:ascii="Arial" w:hAnsi="Arial" w:cs="Arial"/>
          <w:b/>
          <w:sz w:val="24"/>
          <w:szCs w:val="24"/>
        </w:rPr>
        <w:t xml:space="preserve">Opis: </w:t>
      </w:r>
      <w:r w:rsidRPr="0080294D">
        <w:rPr>
          <w:rFonts w:ascii="Arial" w:hAnsi="Arial" w:cs="Arial"/>
          <w:sz w:val="24"/>
          <w:szCs w:val="24"/>
        </w:rPr>
        <w:t xml:space="preserve">planirani iznos određen je sukladno iskazanim potrebama i dinamici uvođenja te sada iznosi </w:t>
      </w:r>
      <w:r>
        <w:rPr>
          <w:rFonts w:ascii="Arial" w:hAnsi="Arial" w:cs="Arial"/>
          <w:sz w:val="24"/>
          <w:szCs w:val="24"/>
        </w:rPr>
        <w:t>22.998</w:t>
      </w:r>
      <w:r w:rsidRPr="0080294D">
        <w:rPr>
          <w:rFonts w:ascii="Arial" w:hAnsi="Arial" w:cs="Arial"/>
          <w:sz w:val="24"/>
          <w:szCs w:val="24"/>
        </w:rPr>
        <w:t>,00 eura.</w:t>
      </w:r>
    </w:p>
    <w:p w14:paraId="16CDBCE7" w14:textId="77777777" w:rsidR="00E541EE" w:rsidRPr="0080294D" w:rsidRDefault="00E541EE" w:rsidP="00E541EE">
      <w:pPr>
        <w:jc w:val="both"/>
        <w:rPr>
          <w:rFonts w:ascii="Arial" w:hAnsi="Arial" w:cs="Arial"/>
          <w:sz w:val="24"/>
          <w:szCs w:val="24"/>
        </w:rPr>
      </w:pPr>
      <w:r w:rsidRPr="0080294D">
        <w:rPr>
          <w:rFonts w:ascii="Arial" w:hAnsi="Arial" w:cs="Arial"/>
          <w:b/>
          <w:sz w:val="24"/>
          <w:szCs w:val="24"/>
        </w:rPr>
        <w:t xml:space="preserve">Opći cilj: </w:t>
      </w:r>
      <w:r w:rsidRPr="0080294D">
        <w:rPr>
          <w:rFonts w:ascii="Arial" w:hAnsi="Arial" w:cs="Arial"/>
          <w:sz w:val="24"/>
          <w:szCs w:val="24"/>
        </w:rPr>
        <w:t>nakon proveden</w:t>
      </w:r>
      <w:r>
        <w:rPr>
          <w:rFonts w:ascii="Arial" w:hAnsi="Arial" w:cs="Arial"/>
          <w:sz w:val="24"/>
          <w:szCs w:val="24"/>
        </w:rPr>
        <w:t>ih</w:t>
      </w:r>
      <w:r w:rsidRPr="0080294D">
        <w:rPr>
          <w:rFonts w:ascii="Arial" w:hAnsi="Arial" w:cs="Arial"/>
          <w:sz w:val="24"/>
          <w:szCs w:val="24"/>
        </w:rPr>
        <w:t xml:space="preserve"> pripremnih radnji </w:t>
      </w:r>
      <w:r>
        <w:rPr>
          <w:rFonts w:ascii="Arial" w:hAnsi="Arial" w:cs="Arial"/>
          <w:sz w:val="24"/>
          <w:szCs w:val="24"/>
        </w:rPr>
        <w:t xml:space="preserve">sa početkom 2026. godine uvodi se </w:t>
      </w:r>
      <w:r w:rsidRPr="0080294D">
        <w:rPr>
          <w:rFonts w:ascii="Arial" w:hAnsi="Arial" w:cs="Arial"/>
          <w:sz w:val="24"/>
          <w:szCs w:val="24"/>
        </w:rPr>
        <w:t xml:space="preserve">sustav gradske riznice, odnosno </w:t>
      </w:r>
      <w:r>
        <w:rPr>
          <w:rFonts w:ascii="Arial" w:hAnsi="Arial" w:cs="Arial"/>
          <w:sz w:val="24"/>
          <w:szCs w:val="24"/>
        </w:rPr>
        <w:t xml:space="preserve">svi se proračunski </w:t>
      </w:r>
      <w:r w:rsidRPr="0080294D">
        <w:rPr>
          <w:rFonts w:ascii="Arial" w:hAnsi="Arial" w:cs="Arial"/>
          <w:sz w:val="24"/>
          <w:szCs w:val="24"/>
        </w:rPr>
        <w:t>korisni</w:t>
      </w:r>
      <w:r>
        <w:rPr>
          <w:rFonts w:ascii="Arial" w:hAnsi="Arial" w:cs="Arial"/>
          <w:sz w:val="24"/>
          <w:szCs w:val="24"/>
        </w:rPr>
        <w:t>ci</w:t>
      </w:r>
      <w:r w:rsidRPr="0080294D">
        <w:rPr>
          <w:rFonts w:ascii="Arial" w:hAnsi="Arial" w:cs="Arial"/>
          <w:sz w:val="24"/>
          <w:szCs w:val="24"/>
        </w:rPr>
        <w:t xml:space="preserve"> </w:t>
      </w:r>
      <w:r>
        <w:rPr>
          <w:rFonts w:ascii="Arial" w:hAnsi="Arial" w:cs="Arial"/>
          <w:sz w:val="24"/>
          <w:szCs w:val="24"/>
        </w:rPr>
        <w:t xml:space="preserve">povezuju </w:t>
      </w:r>
      <w:r w:rsidRPr="0080294D">
        <w:rPr>
          <w:rFonts w:ascii="Arial" w:hAnsi="Arial" w:cs="Arial"/>
          <w:sz w:val="24"/>
          <w:szCs w:val="24"/>
        </w:rPr>
        <w:t>u jedinstvenu cjelinu</w:t>
      </w:r>
      <w:r>
        <w:rPr>
          <w:rFonts w:ascii="Arial" w:hAnsi="Arial" w:cs="Arial"/>
          <w:sz w:val="24"/>
          <w:szCs w:val="24"/>
        </w:rPr>
        <w:t xml:space="preserve"> i na poslovanje putem jedinstvenog računa</w:t>
      </w:r>
      <w:r w:rsidRPr="0080294D">
        <w:rPr>
          <w:rFonts w:ascii="Arial" w:hAnsi="Arial" w:cs="Arial"/>
          <w:sz w:val="24"/>
          <w:szCs w:val="24"/>
        </w:rPr>
        <w:t>.</w:t>
      </w:r>
    </w:p>
    <w:p w14:paraId="6DD4AD80" w14:textId="77777777" w:rsidR="00E541EE" w:rsidRPr="0080294D" w:rsidRDefault="00E541EE" w:rsidP="00E541EE">
      <w:pPr>
        <w:jc w:val="both"/>
        <w:rPr>
          <w:rFonts w:ascii="Arial" w:hAnsi="Arial" w:cs="Arial"/>
          <w:sz w:val="24"/>
          <w:szCs w:val="24"/>
        </w:rPr>
      </w:pPr>
      <w:r w:rsidRPr="0080294D">
        <w:rPr>
          <w:rFonts w:ascii="Arial" w:hAnsi="Arial" w:cs="Arial"/>
          <w:b/>
          <w:sz w:val="24"/>
          <w:szCs w:val="24"/>
        </w:rPr>
        <w:t xml:space="preserve">Pokazatelj uspješnosti: </w:t>
      </w:r>
      <w:r w:rsidRPr="0080294D">
        <w:rPr>
          <w:rFonts w:ascii="Arial" w:hAnsi="Arial" w:cs="Arial"/>
          <w:sz w:val="24"/>
          <w:szCs w:val="24"/>
        </w:rPr>
        <w:t xml:space="preserve">realizacija </w:t>
      </w:r>
      <w:r>
        <w:rPr>
          <w:rFonts w:ascii="Arial" w:hAnsi="Arial" w:cs="Arial"/>
          <w:sz w:val="24"/>
          <w:szCs w:val="24"/>
        </w:rPr>
        <w:t xml:space="preserve">uvođenja sustava gradske riznice u zakonskom roku i </w:t>
      </w:r>
      <w:r w:rsidRPr="0080294D">
        <w:rPr>
          <w:rFonts w:ascii="Arial" w:hAnsi="Arial" w:cs="Arial"/>
          <w:sz w:val="24"/>
          <w:szCs w:val="24"/>
        </w:rPr>
        <w:t>povezivanja proračunskih korisnika putem jednog jedinstvenog računa</w:t>
      </w:r>
      <w:r>
        <w:rPr>
          <w:rFonts w:ascii="Arial" w:hAnsi="Arial" w:cs="Arial"/>
          <w:sz w:val="24"/>
          <w:szCs w:val="24"/>
        </w:rPr>
        <w:t>.</w:t>
      </w:r>
      <w:r w:rsidRPr="0080294D">
        <w:rPr>
          <w:rFonts w:ascii="Arial" w:hAnsi="Arial" w:cs="Arial"/>
          <w:sz w:val="24"/>
          <w:szCs w:val="24"/>
        </w:rPr>
        <w:t xml:space="preserve">     </w:t>
      </w:r>
    </w:p>
    <w:p w14:paraId="13110190" w14:textId="77777777" w:rsidR="00E541EE" w:rsidRPr="0071493D" w:rsidRDefault="00E541EE" w:rsidP="00E541EE">
      <w:pPr>
        <w:jc w:val="both"/>
        <w:rPr>
          <w:rFonts w:ascii="Arial" w:hAnsi="Arial" w:cs="Arial"/>
          <w:b/>
          <w:sz w:val="24"/>
          <w:szCs w:val="24"/>
        </w:rPr>
      </w:pPr>
    </w:p>
    <w:p w14:paraId="0E75A0BF" w14:textId="77777777" w:rsidR="00E541EE" w:rsidRDefault="00E541EE" w:rsidP="00E541EE">
      <w:pPr>
        <w:pBdr>
          <w:top w:val="single" w:sz="4" w:space="1" w:color="auto"/>
          <w:left w:val="single" w:sz="4" w:space="4" w:color="auto"/>
          <w:bottom w:val="single" w:sz="4" w:space="1" w:color="auto"/>
          <w:right w:val="single" w:sz="4" w:space="2" w:color="auto"/>
        </w:pBdr>
        <w:shd w:val="clear" w:color="auto" w:fill="FFFF80"/>
        <w:jc w:val="both"/>
        <w:rPr>
          <w:rFonts w:ascii="Arial" w:hAnsi="Arial" w:cs="Arial"/>
          <w:b/>
          <w:bCs/>
          <w:sz w:val="24"/>
          <w:szCs w:val="24"/>
        </w:rPr>
      </w:pPr>
      <w:r w:rsidRPr="0071493D">
        <w:rPr>
          <w:rFonts w:ascii="Arial" w:hAnsi="Arial" w:cs="Arial"/>
          <w:b/>
          <w:bCs/>
          <w:sz w:val="24"/>
          <w:szCs w:val="24"/>
        </w:rPr>
        <w:t xml:space="preserve">Program 1003: Mjere i aktivnosti iz djelokruga upravnog tijela </w:t>
      </w:r>
    </w:p>
    <w:p w14:paraId="51A4720A" w14:textId="77777777" w:rsidR="00E541EE" w:rsidRPr="0071493D" w:rsidRDefault="00E541EE" w:rsidP="00E541EE">
      <w:pPr>
        <w:pBdr>
          <w:top w:val="single" w:sz="4" w:space="1" w:color="auto"/>
          <w:left w:val="single" w:sz="4" w:space="4" w:color="auto"/>
          <w:bottom w:val="single" w:sz="4" w:space="1" w:color="auto"/>
          <w:right w:val="single" w:sz="4" w:space="2" w:color="auto"/>
        </w:pBdr>
        <w:shd w:val="clear" w:color="auto" w:fill="FFFF80"/>
        <w:jc w:val="both"/>
        <w:rPr>
          <w:rFonts w:ascii="Arial" w:hAnsi="Arial" w:cs="Arial"/>
          <w:b/>
          <w:bCs/>
          <w:sz w:val="24"/>
          <w:szCs w:val="24"/>
        </w:rPr>
      </w:pPr>
      <w:r w:rsidRPr="0071493D">
        <w:rPr>
          <w:rFonts w:ascii="Arial" w:hAnsi="Arial" w:cs="Arial"/>
          <w:b/>
          <w:bCs/>
          <w:sz w:val="24"/>
          <w:szCs w:val="24"/>
        </w:rPr>
        <w:t xml:space="preserve">= </w:t>
      </w:r>
      <w:r>
        <w:rPr>
          <w:rFonts w:ascii="Arial" w:hAnsi="Arial" w:cs="Arial"/>
          <w:b/>
          <w:bCs/>
          <w:sz w:val="24"/>
          <w:szCs w:val="24"/>
        </w:rPr>
        <w:t>3.387.937,50</w:t>
      </w:r>
      <w:r w:rsidRPr="0071493D">
        <w:rPr>
          <w:rFonts w:ascii="Arial" w:hAnsi="Arial" w:cs="Arial"/>
          <w:b/>
          <w:bCs/>
          <w:sz w:val="24"/>
          <w:szCs w:val="24"/>
        </w:rPr>
        <w:t xml:space="preserve"> EUR</w:t>
      </w:r>
    </w:p>
    <w:p w14:paraId="2CB7BB62" w14:textId="77777777" w:rsidR="00E541EE" w:rsidRPr="0071493D" w:rsidRDefault="00E541EE" w:rsidP="00E541EE">
      <w:pPr>
        <w:jc w:val="both"/>
        <w:rPr>
          <w:rFonts w:ascii="Arial" w:hAnsi="Arial" w:cs="Arial"/>
          <w:sz w:val="24"/>
          <w:szCs w:val="24"/>
        </w:rPr>
      </w:pPr>
    </w:p>
    <w:p w14:paraId="1F9C5899" w14:textId="77777777" w:rsidR="00E541EE" w:rsidRPr="0071493D"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hAnsi="Arial" w:cs="Arial"/>
          <w:b/>
          <w:bCs/>
          <w:sz w:val="24"/>
          <w:szCs w:val="24"/>
        </w:rPr>
      </w:pPr>
      <w:r w:rsidRPr="0071493D">
        <w:rPr>
          <w:rFonts w:ascii="Arial" w:hAnsi="Arial" w:cs="Arial"/>
          <w:b/>
          <w:bCs/>
          <w:sz w:val="24"/>
          <w:szCs w:val="24"/>
        </w:rPr>
        <w:t xml:space="preserve">A 100302: Administrativno, tehničko i stručno osoblje gradske uprave </w:t>
      </w:r>
    </w:p>
    <w:p w14:paraId="4BFFAFB0" w14:textId="77777777" w:rsidR="00E541EE" w:rsidRPr="0071493D"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hAnsi="Arial" w:cs="Arial"/>
          <w:b/>
          <w:bCs/>
          <w:sz w:val="24"/>
          <w:szCs w:val="24"/>
        </w:rPr>
      </w:pPr>
      <w:r w:rsidRPr="0071493D">
        <w:rPr>
          <w:rFonts w:ascii="Arial" w:hAnsi="Arial" w:cs="Arial"/>
          <w:b/>
          <w:bCs/>
          <w:sz w:val="24"/>
          <w:szCs w:val="24"/>
        </w:rPr>
        <w:t xml:space="preserve">= </w:t>
      </w:r>
      <w:r>
        <w:rPr>
          <w:rFonts w:ascii="Arial" w:hAnsi="Arial" w:cs="Arial"/>
          <w:b/>
          <w:bCs/>
          <w:sz w:val="24"/>
          <w:szCs w:val="24"/>
        </w:rPr>
        <w:t>3.387.937,50</w:t>
      </w:r>
      <w:r w:rsidRPr="0071493D">
        <w:rPr>
          <w:rFonts w:ascii="Arial" w:hAnsi="Arial" w:cs="Arial"/>
          <w:b/>
          <w:bCs/>
          <w:sz w:val="24"/>
          <w:szCs w:val="24"/>
        </w:rPr>
        <w:t xml:space="preserve"> EUR</w:t>
      </w:r>
    </w:p>
    <w:p w14:paraId="2B03BF11" w14:textId="77777777" w:rsidR="00E541EE" w:rsidRPr="007A5132" w:rsidRDefault="00E541EE" w:rsidP="00E541EE">
      <w:pPr>
        <w:jc w:val="both"/>
        <w:rPr>
          <w:rFonts w:ascii="Arial" w:hAnsi="Arial" w:cs="Arial"/>
          <w:sz w:val="24"/>
          <w:szCs w:val="24"/>
        </w:rPr>
      </w:pPr>
      <w:r w:rsidRPr="0071493D">
        <w:rPr>
          <w:rFonts w:ascii="Arial" w:hAnsi="Arial" w:cs="Arial"/>
          <w:b/>
          <w:sz w:val="24"/>
          <w:szCs w:val="24"/>
        </w:rPr>
        <w:t xml:space="preserve">Zakonska </w:t>
      </w:r>
      <w:r w:rsidRPr="007A5132">
        <w:rPr>
          <w:rFonts w:ascii="Arial" w:hAnsi="Arial" w:cs="Arial"/>
          <w:b/>
          <w:sz w:val="24"/>
          <w:szCs w:val="24"/>
        </w:rPr>
        <w:t xml:space="preserve">osnova: </w:t>
      </w:r>
      <w:r w:rsidRPr="007A5132">
        <w:rPr>
          <w:rFonts w:ascii="Arial" w:hAnsi="Arial" w:cs="Arial"/>
          <w:sz w:val="24"/>
          <w:szCs w:val="24"/>
        </w:rPr>
        <w:t xml:space="preserve">Zakon o proračunu, Opći porezni zakon, Zakon o lokalnoj i područnoj (regionalnoj) samoupravi, Zakon o financiranju jedinica lokalne i područne (regionalne) samouprave, Zakon o porezu na dohodak, Zakon o fiskalnoj odgovornosti, Odluka o izvršavanju Proračuna Grada Rovinja-Rovigno. </w:t>
      </w:r>
    </w:p>
    <w:p w14:paraId="49C5B7A2" w14:textId="77777777" w:rsidR="00E541EE" w:rsidRPr="007A5132" w:rsidRDefault="00E541EE" w:rsidP="00E541EE">
      <w:pPr>
        <w:jc w:val="both"/>
        <w:rPr>
          <w:rFonts w:ascii="Arial" w:hAnsi="Arial" w:cs="Arial"/>
          <w:color w:val="FF0000"/>
          <w:sz w:val="24"/>
          <w:szCs w:val="24"/>
        </w:rPr>
      </w:pPr>
      <w:r w:rsidRPr="007A5132">
        <w:rPr>
          <w:rFonts w:ascii="Arial" w:hAnsi="Arial" w:cs="Arial"/>
          <w:b/>
          <w:sz w:val="24"/>
          <w:szCs w:val="24"/>
        </w:rPr>
        <w:t>O</w:t>
      </w:r>
      <w:r w:rsidRPr="00BA378D">
        <w:rPr>
          <w:rFonts w:ascii="Arial" w:hAnsi="Arial" w:cs="Arial"/>
          <w:b/>
          <w:sz w:val="24"/>
          <w:szCs w:val="24"/>
        </w:rPr>
        <w:t xml:space="preserve">pis: </w:t>
      </w:r>
      <w:r w:rsidRPr="00BA378D">
        <w:rPr>
          <w:rFonts w:ascii="Arial" w:hAnsi="Arial" w:cs="Arial"/>
          <w:sz w:val="24"/>
          <w:szCs w:val="24"/>
        </w:rPr>
        <w:t>u ovoj aktivnosti planirana su sredstva namijenjena plaćama i naknadama 78 (</w:t>
      </w:r>
      <w:r>
        <w:rPr>
          <w:rFonts w:ascii="Arial" w:hAnsi="Arial" w:cs="Arial"/>
          <w:sz w:val="24"/>
          <w:szCs w:val="24"/>
        </w:rPr>
        <w:t>sedamdeset osam</w:t>
      </w:r>
      <w:r w:rsidRPr="00BA378D">
        <w:rPr>
          <w:rFonts w:ascii="Arial" w:hAnsi="Arial" w:cs="Arial"/>
          <w:sz w:val="24"/>
          <w:szCs w:val="24"/>
        </w:rPr>
        <w:t xml:space="preserve">) zaposlenih u gradskoj upravi, od čega sedamdeset pet službenika i namještenika, </w:t>
      </w:r>
      <w:r>
        <w:rPr>
          <w:rFonts w:ascii="Arial" w:hAnsi="Arial" w:cs="Arial"/>
          <w:sz w:val="24"/>
          <w:szCs w:val="24"/>
        </w:rPr>
        <w:t>jednog</w:t>
      </w:r>
      <w:r w:rsidRPr="00BA378D">
        <w:rPr>
          <w:rFonts w:ascii="Arial" w:hAnsi="Arial" w:cs="Arial"/>
          <w:sz w:val="24"/>
          <w:szCs w:val="24"/>
        </w:rPr>
        <w:t xml:space="preserve"> vježbenika i dva dužnosnika.</w:t>
      </w:r>
    </w:p>
    <w:p w14:paraId="41228E21" w14:textId="77777777" w:rsidR="00E541EE" w:rsidRPr="007A5132" w:rsidRDefault="00E541EE" w:rsidP="00E541EE">
      <w:pPr>
        <w:jc w:val="both"/>
        <w:rPr>
          <w:rFonts w:ascii="Arial" w:hAnsi="Arial" w:cs="Arial"/>
          <w:b/>
          <w:sz w:val="24"/>
          <w:szCs w:val="24"/>
        </w:rPr>
      </w:pPr>
      <w:r w:rsidRPr="007A5132">
        <w:rPr>
          <w:rFonts w:ascii="Arial" w:hAnsi="Arial" w:cs="Arial"/>
          <w:b/>
          <w:sz w:val="24"/>
          <w:szCs w:val="24"/>
        </w:rPr>
        <w:t>Opći cilj:</w:t>
      </w:r>
      <w:r w:rsidRPr="007A5132">
        <w:rPr>
          <w:rFonts w:ascii="Arial" w:hAnsi="Arial" w:cs="Arial"/>
          <w:sz w:val="24"/>
          <w:szCs w:val="24"/>
        </w:rPr>
        <w:t xml:space="preserve"> nesmetano funkcioniranje upravnih tijela Grada Rovinja-Rovigno. </w:t>
      </w:r>
    </w:p>
    <w:p w14:paraId="65B35E61" w14:textId="77777777" w:rsidR="00E541EE" w:rsidRDefault="00E541EE" w:rsidP="00E541EE">
      <w:pPr>
        <w:tabs>
          <w:tab w:val="right" w:pos="0"/>
          <w:tab w:val="center" w:pos="4703"/>
          <w:tab w:val="right" w:pos="9406"/>
        </w:tabs>
        <w:jc w:val="both"/>
        <w:rPr>
          <w:rFonts w:ascii="Arial" w:hAnsi="Arial" w:cs="Arial"/>
          <w:sz w:val="24"/>
          <w:szCs w:val="24"/>
        </w:rPr>
      </w:pPr>
      <w:r w:rsidRPr="007A5132">
        <w:rPr>
          <w:rFonts w:ascii="Arial" w:hAnsi="Arial" w:cs="Arial"/>
          <w:b/>
          <w:sz w:val="24"/>
          <w:szCs w:val="24"/>
        </w:rPr>
        <w:t xml:space="preserve">Pokazatelj uspješnosti: </w:t>
      </w:r>
      <w:r w:rsidRPr="007A5132">
        <w:rPr>
          <w:rFonts w:ascii="Arial" w:hAnsi="Arial" w:cs="Arial"/>
          <w:sz w:val="24"/>
          <w:szCs w:val="24"/>
        </w:rPr>
        <w:t>ostvareni uvjeti za normalno funkcioniranje upravnih tijela Grada Rovinja-Rovigno.</w:t>
      </w:r>
    </w:p>
    <w:p w14:paraId="2D3899A3" w14:textId="77777777" w:rsidR="00E541EE" w:rsidRDefault="00E541EE" w:rsidP="00E541EE">
      <w:pPr>
        <w:tabs>
          <w:tab w:val="right" w:pos="0"/>
          <w:tab w:val="center" w:pos="4703"/>
          <w:tab w:val="right" w:pos="9406"/>
        </w:tabs>
        <w:jc w:val="both"/>
        <w:rPr>
          <w:rFonts w:ascii="Arial" w:hAnsi="Arial" w:cs="Arial"/>
          <w:sz w:val="24"/>
          <w:szCs w:val="24"/>
        </w:rPr>
      </w:pPr>
    </w:p>
    <w:p w14:paraId="6F6AD95B" w14:textId="77777777" w:rsidR="00E541EE" w:rsidRPr="00571B11" w:rsidRDefault="00E541EE" w:rsidP="00E541EE">
      <w:pPr>
        <w:pBdr>
          <w:top w:val="single" w:sz="4" w:space="1" w:color="auto"/>
          <w:left w:val="single" w:sz="4" w:space="4" w:color="auto"/>
          <w:bottom w:val="single" w:sz="4" w:space="1" w:color="auto"/>
          <w:right w:val="single" w:sz="4" w:space="4" w:color="auto"/>
        </w:pBdr>
        <w:shd w:val="clear" w:color="auto" w:fill="FFCB97"/>
        <w:jc w:val="both"/>
        <w:rPr>
          <w:rFonts w:ascii="Arial" w:eastAsia="Times New Roman" w:hAnsi="Arial" w:cs="Arial"/>
          <w:b/>
          <w:sz w:val="24"/>
          <w:szCs w:val="24"/>
        </w:rPr>
      </w:pPr>
      <w:r>
        <w:rPr>
          <w:rFonts w:ascii="Arial" w:eastAsia="Times New Roman" w:hAnsi="Arial" w:cs="Arial"/>
          <w:b/>
          <w:sz w:val="24"/>
          <w:szCs w:val="24"/>
        </w:rPr>
        <w:t xml:space="preserve">RAZDJEL 003: UPRAVNI ODJEL ZA GOSPODARSTVO, JAVNU NABAVU I EUROPSKE FONDOVE </w:t>
      </w:r>
      <w:r w:rsidRPr="00571B11">
        <w:rPr>
          <w:rFonts w:ascii="Arial" w:eastAsia="Times New Roman" w:hAnsi="Arial" w:cs="Arial"/>
          <w:b/>
          <w:sz w:val="24"/>
          <w:szCs w:val="24"/>
        </w:rPr>
        <w:t xml:space="preserve">= </w:t>
      </w:r>
      <w:r>
        <w:rPr>
          <w:rFonts w:ascii="Arial" w:eastAsia="Times New Roman" w:hAnsi="Arial" w:cs="Arial"/>
          <w:b/>
          <w:sz w:val="24"/>
          <w:szCs w:val="24"/>
        </w:rPr>
        <w:t>4.133.284,50</w:t>
      </w:r>
      <w:r w:rsidRPr="00065D8C">
        <w:rPr>
          <w:rFonts w:ascii="Arial" w:eastAsia="Times New Roman" w:hAnsi="Arial" w:cs="Arial"/>
          <w:b/>
          <w:sz w:val="24"/>
          <w:szCs w:val="24"/>
        </w:rPr>
        <w:t xml:space="preserve"> </w:t>
      </w:r>
      <w:r>
        <w:rPr>
          <w:rFonts w:ascii="Arial" w:eastAsia="Times New Roman" w:hAnsi="Arial" w:cs="Arial"/>
          <w:b/>
          <w:sz w:val="24"/>
          <w:szCs w:val="24"/>
        </w:rPr>
        <w:t>EUR</w:t>
      </w:r>
    </w:p>
    <w:p w14:paraId="71215B69" w14:textId="77777777" w:rsidR="00E541EE" w:rsidRPr="00571B11" w:rsidRDefault="00E541EE" w:rsidP="00E541EE">
      <w:pPr>
        <w:jc w:val="both"/>
        <w:rPr>
          <w:rFonts w:ascii="Arial" w:eastAsia="Times New Roman" w:hAnsi="Arial" w:cs="Arial"/>
          <w:b/>
          <w:sz w:val="24"/>
          <w:szCs w:val="24"/>
        </w:rPr>
      </w:pPr>
    </w:p>
    <w:p w14:paraId="27BCC5F4" w14:textId="77777777" w:rsidR="00E541EE" w:rsidRPr="00065D8C" w:rsidRDefault="00E541EE" w:rsidP="00E541EE">
      <w:pPr>
        <w:pBdr>
          <w:top w:val="single" w:sz="4" w:space="1" w:color="auto"/>
          <w:left w:val="single" w:sz="4" w:space="4" w:color="auto"/>
          <w:bottom w:val="single" w:sz="4" w:space="1" w:color="auto"/>
          <w:right w:val="single" w:sz="4" w:space="4" w:color="auto"/>
        </w:pBdr>
        <w:shd w:val="clear" w:color="auto" w:fill="B1EDA0"/>
        <w:jc w:val="both"/>
        <w:rPr>
          <w:rFonts w:ascii="Arial" w:eastAsia="Times New Roman" w:hAnsi="Arial" w:cs="Arial"/>
          <w:b/>
          <w:sz w:val="24"/>
          <w:szCs w:val="24"/>
        </w:rPr>
      </w:pPr>
      <w:r w:rsidRPr="00571B11">
        <w:rPr>
          <w:rFonts w:ascii="Arial" w:eastAsia="Times New Roman" w:hAnsi="Arial" w:cs="Arial"/>
          <w:b/>
          <w:sz w:val="24"/>
          <w:szCs w:val="24"/>
        </w:rPr>
        <w:t>GLAVA 00301:</w:t>
      </w:r>
      <w:r>
        <w:rPr>
          <w:rFonts w:ascii="Arial" w:eastAsia="Times New Roman" w:hAnsi="Arial" w:cs="Arial"/>
          <w:b/>
          <w:sz w:val="24"/>
          <w:szCs w:val="24"/>
        </w:rPr>
        <w:t xml:space="preserve"> </w:t>
      </w:r>
      <w:r w:rsidRPr="00571B11">
        <w:rPr>
          <w:rFonts w:ascii="Arial" w:eastAsia="Times New Roman" w:hAnsi="Arial" w:cs="Arial"/>
          <w:b/>
          <w:sz w:val="24"/>
          <w:szCs w:val="24"/>
        </w:rPr>
        <w:t xml:space="preserve">UPRAVNI ODJEL ZA GOSPODARSTVO JAVNU NABAVU I EUROPSKE FONDOVE = </w:t>
      </w:r>
      <w:r>
        <w:rPr>
          <w:rFonts w:ascii="Arial" w:eastAsia="Times New Roman" w:hAnsi="Arial" w:cs="Arial"/>
          <w:b/>
          <w:sz w:val="24"/>
          <w:szCs w:val="24"/>
        </w:rPr>
        <w:t>4.133.284,50</w:t>
      </w:r>
      <w:r w:rsidRPr="00065D8C">
        <w:rPr>
          <w:rFonts w:ascii="Arial" w:eastAsia="Times New Roman" w:hAnsi="Arial" w:cs="Arial"/>
          <w:b/>
          <w:sz w:val="24"/>
          <w:szCs w:val="24"/>
        </w:rPr>
        <w:t xml:space="preserve"> </w:t>
      </w:r>
      <w:r>
        <w:rPr>
          <w:rFonts w:ascii="Arial" w:eastAsia="Times New Roman" w:hAnsi="Arial" w:cs="Arial"/>
          <w:b/>
          <w:sz w:val="24"/>
          <w:szCs w:val="24"/>
        </w:rPr>
        <w:t>EUR</w:t>
      </w:r>
    </w:p>
    <w:p w14:paraId="1002F065" w14:textId="77777777" w:rsidR="00E541EE" w:rsidRPr="00571B11" w:rsidRDefault="00E541EE" w:rsidP="00E541EE">
      <w:pPr>
        <w:jc w:val="both"/>
        <w:rPr>
          <w:rFonts w:ascii="Arial" w:eastAsia="Times New Roman" w:hAnsi="Arial" w:cs="Arial"/>
          <w:sz w:val="24"/>
          <w:szCs w:val="24"/>
        </w:rPr>
      </w:pPr>
    </w:p>
    <w:p w14:paraId="5BCD027F" w14:textId="77777777" w:rsidR="00E541EE" w:rsidRPr="00065D8C" w:rsidRDefault="00E541EE" w:rsidP="00E541EE">
      <w:pPr>
        <w:pBdr>
          <w:top w:val="single" w:sz="4" w:space="1" w:color="auto"/>
          <w:left w:val="single" w:sz="4" w:space="4" w:color="auto"/>
          <w:bottom w:val="single" w:sz="4" w:space="1" w:color="auto"/>
          <w:right w:val="single" w:sz="4" w:space="4" w:color="auto"/>
        </w:pBdr>
        <w:shd w:val="clear" w:color="auto" w:fill="FFFF80"/>
        <w:jc w:val="both"/>
        <w:rPr>
          <w:rFonts w:ascii="Arial" w:eastAsia="Times New Roman" w:hAnsi="Arial" w:cs="Arial"/>
          <w:b/>
          <w:bCs/>
          <w:sz w:val="24"/>
          <w:szCs w:val="24"/>
        </w:rPr>
      </w:pPr>
      <w:r w:rsidRPr="00A63350">
        <w:rPr>
          <w:rFonts w:ascii="Arial" w:eastAsia="Times New Roman" w:hAnsi="Arial" w:cs="Arial"/>
          <w:b/>
          <w:bCs/>
          <w:sz w:val="24"/>
          <w:szCs w:val="24"/>
        </w:rPr>
        <w:t xml:space="preserve">Program 1006: </w:t>
      </w:r>
      <w:r w:rsidRPr="00571B11">
        <w:rPr>
          <w:rFonts w:ascii="Arial" w:eastAsia="Times New Roman" w:hAnsi="Arial" w:cs="Arial"/>
          <w:b/>
          <w:bCs/>
          <w:sz w:val="24"/>
          <w:szCs w:val="24"/>
        </w:rPr>
        <w:t xml:space="preserve">Poticanje razvoja gospodarstva = </w:t>
      </w:r>
      <w:r>
        <w:rPr>
          <w:rFonts w:ascii="Arial" w:eastAsia="Times New Roman" w:hAnsi="Arial" w:cs="Arial"/>
          <w:b/>
          <w:bCs/>
          <w:sz w:val="24"/>
          <w:szCs w:val="24"/>
        </w:rPr>
        <w:t>186.455,00 EUR</w:t>
      </w:r>
    </w:p>
    <w:p w14:paraId="62E597A1" w14:textId="77777777" w:rsidR="00E541EE" w:rsidRDefault="00E541EE" w:rsidP="00E541EE">
      <w:pPr>
        <w:jc w:val="both"/>
        <w:rPr>
          <w:rFonts w:ascii="Arial" w:eastAsia="Times New Roman" w:hAnsi="Arial" w:cs="Arial"/>
          <w:b/>
          <w:bCs/>
          <w:sz w:val="24"/>
          <w:szCs w:val="24"/>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80"/>
        <w:gridCol w:w="963"/>
        <w:gridCol w:w="1054"/>
        <w:gridCol w:w="971"/>
        <w:gridCol w:w="920"/>
        <w:gridCol w:w="1173"/>
        <w:gridCol w:w="1321"/>
        <w:gridCol w:w="834"/>
        <w:gridCol w:w="651"/>
        <w:gridCol w:w="691"/>
        <w:gridCol w:w="738"/>
      </w:tblGrid>
      <w:tr w:rsidR="00E541EE" w:rsidRPr="007B39CE" w14:paraId="784ADB1F" w14:textId="77777777" w:rsidTr="00A84BB5">
        <w:trPr>
          <w:cantSplit/>
          <w:trHeight w:val="638"/>
          <w:jc w:val="center"/>
        </w:trPr>
        <w:tc>
          <w:tcPr>
            <w:tcW w:w="432" w:type="pct"/>
            <w:vMerge w:val="restart"/>
            <w:vAlign w:val="center"/>
          </w:tcPr>
          <w:p w14:paraId="1CF6DEFF" w14:textId="77777777" w:rsidR="00E541EE" w:rsidRPr="00E11721" w:rsidRDefault="00E541EE" w:rsidP="00A84BB5">
            <w:pPr>
              <w:pStyle w:val="TableParagraph"/>
              <w:spacing w:before="49"/>
              <w:ind w:left="44" w:right="35"/>
              <w:jc w:val="center"/>
              <w:rPr>
                <w:rFonts w:asciiTheme="minorHAnsi" w:hAnsiTheme="minorHAnsi" w:cstheme="minorHAnsi"/>
                <w:b/>
                <w:sz w:val="15"/>
                <w:szCs w:val="15"/>
              </w:rPr>
            </w:pPr>
            <w:r w:rsidRPr="00E11721">
              <w:rPr>
                <w:rFonts w:asciiTheme="minorHAnsi" w:hAnsiTheme="minorHAnsi" w:cstheme="minorHAnsi"/>
                <w:b/>
                <w:sz w:val="15"/>
                <w:szCs w:val="15"/>
              </w:rPr>
              <w:t>Doprinos</w:t>
            </w:r>
            <w:r w:rsidRPr="00E11721">
              <w:rPr>
                <w:rFonts w:asciiTheme="minorHAnsi" w:hAnsiTheme="minorHAnsi" w:cstheme="minorHAnsi"/>
                <w:b/>
                <w:spacing w:val="-34"/>
                <w:sz w:val="15"/>
                <w:szCs w:val="15"/>
              </w:rPr>
              <w:t xml:space="preserve"> </w:t>
            </w:r>
            <w:r w:rsidRPr="00E11721">
              <w:rPr>
                <w:rFonts w:asciiTheme="minorHAnsi" w:hAnsiTheme="minorHAnsi" w:cstheme="minorHAnsi"/>
                <w:b/>
                <w:sz w:val="15"/>
                <w:szCs w:val="15"/>
              </w:rPr>
              <w:t>provedbi</w:t>
            </w:r>
          </w:p>
          <w:p w14:paraId="45D59881" w14:textId="77777777" w:rsidR="00E541EE" w:rsidRPr="00E11721" w:rsidRDefault="00E541EE" w:rsidP="00A84BB5">
            <w:pPr>
              <w:pStyle w:val="TableParagraph"/>
              <w:spacing w:line="194" w:lineRule="exact"/>
              <w:ind w:left="44" w:right="35"/>
              <w:jc w:val="center"/>
              <w:rPr>
                <w:rFonts w:asciiTheme="minorHAnsi" w:hAnsiTheme="minorHAnsi" w:cstheme="minorHAnsi"/>
                <w:b/>
                <w:sz w:val="15"/>
                <w:szCs w:val="15"/>
              </w:rPr>
            </w:pPr>
            <w:r w:rsidRPr="00E11721">
              <w:rPr>
                <w:rFonts w:asciiTheme="minorHAnsi" w:hAnsiTheme="minorHAnsi" w:cstheme="minorHAnsi"/>
                <w:b/>
                <w:sz w:val="15"/>
                <w:szCs w:val="15"/>
              </w:rPr>
              <w:t>nadređenog</w:t>
            </w:r>
          </w:p>
          <w:p w14:paraId="2E486BB9" w14:textId="77777777" w:rsidR="00E541EE" w:rsidRPr="00E11721" w:rsidRDefault="00E541EE" w:rsidP="00A84BB5">
            <w:pPr>
              <w:pStyle w:val="TableParagraph"/>
              <w:spacing w:line="195" w:lineRule="exact"/>
              <w:ind w:left="44" w:right="35"/>
              <w:jc w:val="center"/>
              <w:rPr>
                <w:rFonts w:asciiTheme="minorHAnsi" w:hAnsiTheme="minorHAnsi" w:cstheme="minorHAnsi"/>
                <w:b/>
                <w:sz w:val="15"/>
                <w:szCs w:val="15"/>
              </w:rPr>
            </w:pPr>
            <w:r w:rsidRPr="00E11721">
              <w:rPr>
                <w:rFonts w:asciiTheme="minorHAnsi" w:hAnsiTheme="minorHAnsi" w:cstheme="minorHAnsi"/>
                <w:b/>
                <w:sz w:val="15"/>
                <w:szCs w:val="15"/>
              </w:rPr>
              <w:t>akta</w:t>
            </w:r>
            <w:r w:rsidRPr="00E11721">
              <w:rPr>
                <w:rFonts w:asciiTheme="minorHAnsi" w:hAnsiTheme="minorHAnsi" w:cstheme="minorHAnsi"/>
                <w:b/>
                <w:spacing w:val="1"/>
                <w:sz w:val="15"/>
                <w:szCs w:val="15"/>
              </w:rPr>
              <w:t xml:space="preserve"> </w:t>
            </w:r>
            <w:r w:rsidRPr="00E11721">
              <w:rPr>
                <w:rFonts w:asciiTheme="minorHAnsi" w:hAnsiTheme="minorHAnsi" w:cstheme="minorHAnsi"/>
                <w:b/>
                <w:sz w:val="15"/>
                <w:szCs w:val="15"/>
              </w:rPr>
              <w:t>strateškog</w:t>
            </w:r>
            <w:r w:rsidRPr="00E11721">
              <w:rPr>
                <w:rFonts w:asciiTheme="minorHAnsi" w:hAnsiTheme="minorHAnsi" w:cstheme="minorHAnsi"/>
                <w:b/>
                <w:spacing w:val="-34"/>
                <w:sz w:val="15"/>
                <w:szCs w:val="15"/>
              </w:rPr>
              <w:t xml:space="preserve"> </w:t>
            </w:r>
            <w:r w:rsidRPr="00E11721">
              <w:rPr>
                <w:rFonts w:asciiTheme="minorHAnsi" w:hAnsiTheme="minorHAnsi" w:cstheme="minorHAnsi"/>
                <w:b/>
                <w:sz w:val="15"/>
                <w:szCs w:val="15"/>
              </w:rPr>
              <w:t>planiranja</w:t>
            </w:r>
          </w:p>
        </w:tc>
        <w:tc>
          <w:tcPr>
            <w:tcW w:w="472" w:type="pct"/>
            <w:vMerge w:val="restart"/>
            <w:vAlign w:val="center"/>
          </w:tcPr>
          <w:p w14:paraId="2B597066" w14:textId="77777777" w:rsidR="00E541EE" w:rsidRPr="00E11721" w:rsidRDefault="00E541EE" w:rsidP="00A84BB5">
            <w:pPr>
              <w:pStyle w:val="TableParagraph"/>
              <w:spacing w:line="195" w:lineRule="exact"/>
              <w:ind w:left="44" w:right="35"/>
              <w:jc w:val="center"/>
              <w:rPr>
                <w:rFonts w:asciiTheme="minorHAnsi" w:hAnsiTheme="minorHAnsi" w:cstheme="minorHAnsi"/>
                <w:b/>
                <w:sz w:val="15"/>
                <w:szCs w:val="15"/>
              </w:rPr>
            </w:pPr>
            <w:r w:rsidRPr="00E11721">
              <w:rPr>
                <w:rFonts w:asciiTheme="minorHAnsi" w:hAnsiTheme="minorHAnsi" w:cstheme="minorHAnsi"/>
                <w:b/>
                <w:sz w:val="15"/>
                <w:szCs w:val="15"/>
              </w:rPr>
              <w:t>Naziv</w:t>
            </w:r>
            <w:r w:rsidRPr="00E11721">
              <w:rPr>
                <w:rFonts w:asciiTheme="minorHAnsi" w:hAnsiTheme="minorHAnsi" w:cstheme="minorHAnsi"/>
                <w:b/>
                <w:spacing w:val="-3"/>
                <w:sz w:val="15"/>
                <w:szCs w:val="15"/>
              </w:rPr>
              <w:t xml:space="preserve"> </w:t>
            </w:r>
            <w:r w:rsidRPr="00E11721">
              <w:rPr>
                <w:rFonts w:asciiTheme="minorHAnsi" w:hAnsiTheme="minorHAnsi" w:cstheme="minorHAnsi"/>
                <w:b/>
                <w:sz w:val="15"/>
                <w:szCs w:val="15"/>
              </w:rPr>
              <w:t>cilja nadređenog</w:t>
            </w:r>
            <w:r w:rsidRPr="00E11721">
              <w:rPr>
                <w:rFonts w:asciiTheme="minorHAnsi" w:hAnsiTheme="minorHAnsi" w:cstheme="minorHAnsi"/>
                <w:b/>
                <w:spacing w:val="1"/>
                <w:sz w:val="15"/>
                <w:szCs w:val="15"/>
              </w:rPr>
              <w:t xml:space="preserve"> </w:t>
            </w:r>
            <w:r w:rsidRPr="00E11721">
              <w:rPr>
                <w:rFonts w:asciiTheme="minorHAnsi" w:hAnsiTheme="minorHAnsi" w:cstheme="minorHAnsi"/>
                <w:b/>
                <w:spacing w:val="-1"/>
                <w:sz w:val="15"/>
                <w:szCs w:val="15"/>
              </w:rPr>
              <w:t>akta</w:t>
            </w:r>
            <w:r w:rsidRPr="00E11721">
              <w:rPr>
                <w:rFonts w:asciiTheme="minorHAnsi" w:hAnsiTheme="minorHAnsi" w:cstheme="minorHAnsi"/>
                <w:b/>
                <w:spacing w:val="-2"/>
                <w:sz w:val="15"/>
                <w:szCs w:val="15"/>
              </w:rPr>
              <w:t xml:space="preserve"> </w:t>
            </w:r>
            <w:r w:rsidRPr="00E11721">
              <w:rPr>
                <w:rFonts w:asciiTheme="minorHAnsi" w:hAnsiTheme="minorHAnsi" w:cstheme="minorHAnsi"/>
                <w:b/>
                <w:spacing w:val="-1"/>
                <w:sz w:val="15"/>
                <w:szCs w:val="15"/>
              </w:rPr>
              <w:t xml:space="preserve">strateškog </w:t>
            </w:r>
            <w:r w:rsidRPr="00E11721">
              <w:rPr>
                <w:rFonts w:asciiTheme="minorHAnsi" w:hAnsiTheme="minorHAnsi" w:cstheme="minorHAnsi"/>
                <w:b/>
                <w:sz w:val="15"/>
                <w:szCs w:val="15"/>
              </w:rPr>
              <w:t>planiranja</w:t>
            </w:r>
          </w:p>
        </w:tc>
        <w:tc>
          <w:tcPr>
            <w:tcW w:w="517" w:type="pct"/>
            <w:vMerge w:val="restart"/>
            <w:vAlign w:val="center"/>
          </w:tcPr>
          <w:p w14:paraId="2139CAE1" w14:textId="77777777" w:rsidR="00E541EE" w:rsidRPr="00E11721" w:rsidRDefault="00E541EE" w:rsidP="00A84BB5">
            <w:pPr>
              <w:pStyle w:val="TableParagraph"/>
              <w:ind w:left="125" w:right="114"/>
              <w:jc w:val="center"/>
              <w:rPr>
                <w:rFonts w:asciiTheme="minorHAnsi" w:hAnsiTheme="minorHAnsi" w:cstheme="minorHAnsi"/>
                <w:b/>
                <w:sz w:val="15"/>
                <w:szCs w:val="15"/>
              </w:rPr>
            </w:pPr>
            <w:r w:rsidRPr="00E11721">
              <w:rPr>
                <w:rFonts w:asciiTheme="minorHAnsi" w:hAnsiTheme="minorHAnsi" w:cstheme="minorHAnsi"/>
                <w:b/>
                <w:spacing w:val="-1"/>
                <w:sz w:val="15"/>
                <w:szCs w:val="15"/>
              </w:rPr>
              <w:t xml:space="preserve">Program </w:t>
            </w:r>
            <w:r w:rsidRPr="00E11721">
              <w:rPr>
                <w:rFonts w:asciiTheme="minorHAnsi" w:hAnsiTheme="minorHAnsi" w:cstheme="minorHAnsi"/>
                <w:b/>
                <w:sz w:val="15"/>
                <w:szCs w:val="15"/>
              </w:rPr>
              <w:t>u</w:t>
            </w:r>
            <w:r w:rsidRPr="00E11721">
              <w:rPr>
                <w:rFonts w:asciiTheme="minorHAnsi" w:hAnsiTheme="minorHAnsi" w:cstheme="minorHAnsi"/>
                <w:b/>
                <w:spacing w:val="-34"/>
                <w:sz w:val="15"/>
                <w:szCs w:val="15"/>
              </w:rPr>
              <w:t xml:space="preserve"> </w:t>
            </w:r>
            <w:r w:rsidRPr="00E11721">
              <w:rPr>
                <w:rFonts w:asciiTheme="minorHAnsi" w:hAnsiTheme="minorHAnsi" w:cstheme="minorHAnsi"/>
                <w:b/>
                <w:sz w:val="15"/>
                <w:szCs w:val="15"/>
              </w:rPr>
              <w:t xml:space="preserve">proračunu </w:t>
            </w:r>
            <w:r w:rsidRPr="00E11721">
              <w:rPr>
                <w:rFonts w:asciiTheme="minorHAnsi" w:hAnsiTheme="minorHAnsi" w:cstheme="minorHAnsi"/>
                <w:b/>
                <w:spacing w:val="-34"/>
                <w:sz w:val="15"/>
                <w:szCs w:val="15"/>
              </w:rPr>
              <w:t xml:space="preserve"> </w:t>
            </w:r>
            <w:r w:rsidRPr="00E11721">
              <w:rPr>
                <w:rFonts w:asciiTheme="minorHAnsi" w:hAnsiTheme="minorHAnsi" w:cstheme="minorHAnsi"/>
                <w:b/>
                <w:sz w:val="15"/>
                <w:szCs w:val="15"/>
              </w:rPr>
              <w:t>JLS</w:t>
            </w:r>
          </w:p>
        </w:tc>
        <w:tc>
          <w:tcPr>
            <w:tcW w:w="476" w:type="pct"/>
            <w:vMerge w:val="restart"/>
            <w:vAlign w:val="center"/>
          </w:tcPr>
          <w:p w14:paraId="4128DAB4" w14:textId="77777777" w:rsidR="00E541EE" w:rsidRPr="00E11721" w:rsidRDefault="00E541EE" w:rsidP="00A84BB5">
            <w:pPr>
              <w:pStyle w:val="TableParagraph"/>
              <w:jc w:val="center"/>
              <w:rPr>
                <w:rFonts w:asciiTheme="minorHAnsi" w:hAnsiTheme="minorHAnsi" w:cstheme="minorHAnsi"/>
                <w:b/>
                <w:sz w:val="15"/>
                <w:szCs w:val="15"/>
              </w:rPr>
            </w:pPr>
            <w:r w:rsidRPr="00E11721">
              <w:rPr>
                <w:rFonts w:asciiTheme="minorHAnsi" w:hAnsiTheme="minorHAnsi" w:cstheme="minorHAnsi"/>
                <w:b/>
                <w:sz w:val="15"/>
                <w:szCs w:val="15"/>
              </w:rPr>
              <w:t>Naziv</w:t>
            </w:r>
            <w:r w:rsidRPr="00E11721">
              <w:rPr>
                <w:rFonts w:asciiTheme="minorHAnsi" w:hAnsiTheme="minorHAnsi" w:cstheme="minorHAnsi"/>
                <w:b/>
                <w:spacing w:val="-2"/>
                <w:sz w:val="15"/>
                <w:szCs w:val="15"/>
              </w:rPr>
              <w:t xml:space="preserve"> </w:t>
            </w:r>
            <w:r w:rsidRPr="00E11721">
              <w:rPr>
                <w:rFonts w:asciiTheme="minorHAnsi" w:hAnsiTheme="minorHAnsi" w:cstheme="minorHAnsi"/>
                <w:b/>
                <w:sz w:val="15"/>
                <w:szCs w:val="15"/>
              </w:rPr>
              <w:t>mjere</w:t>
            </w:r>
          </w:p>
        </w:tc>
        <w:tc>
          <w:tcPr>
            <w:tcW w:w="451" w:type="pct"/>
            <w:vMerge w:val="restart"/>
            <w:vAlign w:val="center"/>
          </w:tcPr>
          <w:p w14:paraId="575AF15F" w14:textId="77777777" w:rsidR="00E541EE" w:rsidRPr="00E11721" w:rsidRDefault="00E541EE" w:rsidP="00A84BB5">
            <w:pPr>
              <w:pStyle w:val="TableParagraph"/>
              <w:ind w:left="70" w:right="60"/>
              <w:jc w:val="center"/>
              <w:rPr>
                <w:rFonts w:asciiTheme="minorHAnsi" w:hAnsiTheme="minorHAnsi" w:cstheme="minorHAnsi"/>
                <w:b/>
                <w:sz w:val="15"/>
                <w:szCs w:val="15"/>
              </w:rPr>
            </w:pPr>
            <w:r w:rsidRPr="00E11721">
              <w:rPr>
                <w:rFonts w:asciiTheme="minorHAnsi" w:hAnsiTheme="minorHAnsi" w:cstheme="minorHAnsi"/>
                <w:b/>
                <w:sz w:val="15"/>
                <w:szCs w:val="15"/>
              </w:rPr>
              <w:t>Procijenjeni</w:t>
            </w:r>
            <w:r w:rsidRPr="00E11721">
              <w:rPr>
                <w:rFonts w:asciiTheme="minorHAnsi" w:hAnsiTheme="minorHAnsi" w:cstheme="minorHAnsi"/>
                <w:b/>
                <w:spacing w:val="-34"/>
                <w:sz w:val="15"/>
                <w:szCs w:val="15"/>
              </w:rPr>
              <w:t xml:space="preserve"> </w:t>
            </w:r>
            <w:r w:rsidRPr="00E11721">
              <w:rPr>
                <w:rFonts w:asciiTheme="minorHAnsi" w:hAnsiTheme="minorHAnsi" w:cstheme="minorHAnsi"/>
                <w:b/>
                <w:sz w:val="15"/>
                <w:szCs w:val="15"/>
              </w:rPr>
              <w:t>trošak</w:t>
            </w:r>
            <w:r w:rsidRPr="00E11721">
              <w:rPr>
                <w:rFonts w:asciiTheme="minorHAnsi" w:hAnsiTheme="minorHAnsi" w:cstheme="minorHAnsi"/>
                <w:b/>
                <w:spacing w:val="1"/>
                <w:sz w:val="15"/>
                <w:szCs w:val="15"/>
              </w:rPr>
              <w:t xml:space="preserve"> </w:t>
            </w:r>
            <w:r w:rsidRPr="00E11721">
              <w:rPr>
                <w:rFonts w:asciiTheme="minorHAnsi" w:hAnsiTheme="minorHAnsi" w:cstheme="minorHAnsi"/>
                <w:b/>
                <w:sz w:val="15"/>
                <w:szCs w:val="15"/>
              </w:rPr>
              <w:t>provedbe</w:t>
            </w:r>
            <w:r w:rsidRPr="00E11721">
              <w:rPr>
                <w:rFonts w:asciiTheme="minorHAnsi" w:hAnsiTheme="minorHAnsi" w:cstheme="minorHAnsi"/>
                <w:b/>
                <w:spacing w:val="1"/>
                <w:sz w:val="15"/>
                <w:szCs w:val="15"/>
              </w:rPr>
              <w:t xml:space="preserve"> </w:t>
            </w:r>
            <w:r w:rsidRPr="00E11721">
              <w:rPr>
                <w:rFonts w:asciiTheme="minorHAnsi" w:hAnsiTheme="minorHAnsi" w:cstheme="minorHAnsi"/>
                <w:b/>
                <w:sz w:val="15"/>
                <w:szCs w:val="15"/>
              </w:rPr>
              <w:t>mjere 2025.</w:t>
            </w:r>
          </w:p>
          <w:p w14:paraId="56EABC60" w14:textId="77777777" w:rsidR="00E541EE" w:rsidRPr="00E11721" w:rsidRDefault="00E541EE" w:rsidP="00A84BB5">
            <w:pPr>
              <w:pStyle w:val="TableParagraph"/>
              <w:spacing w:before="2"/>
              <w:ind w:left="70" w:right="58"/>
              <w:jc w:val="center"/>
              <w:rPr>
                <w:rFonts w:asciiTheme="minorHAnsi" w:hAnsiTheme="minorHAnsi" w:cstheme="minorHAnsi"/>
                <w:b/>
                <w:sz w:val="15"/>
                <w:szCs w:val="15"/>
              </w:rPr>
            </w:pPr>
            <w:r w:rsidRPr="00E11721">
              <w:rPr>
                <w:rFonts w:asciiTheme="minorHAnsi" w:hAnsiTheme="minorHAnsi" w:cstheme="minorHAnsi"/>
                <w:b/>
                <w:sz w:val="15"/>
                <w:szCs w:val="15"/>
              </w:rPr>
              <w:t>(u EUR)</w:t>
            </w:r>
          </w:p>
        </w:tc>
        <w:tc>
          <w:tcPr>
            <w:tcW w:w="575" w:type="pct"/>
            <w:vMerge w:val="restart"/>
            <w:vAlign w:val="center"/>
          </w:tcPr>
          <w:p w14:paraId="06499A2D" w14:textId="77777777" w:rsidR="00E541EE" w:rsidRPr="00E11721" w:rsidRDefault="00E541EE" w:rsidP="00A84BB5">
            <w:pPr>
              <w:pStyle w:val="TableParagraph"/>
              <w:jc w:val="center"/>
              <w:rPr>
                <w:rFonts w:asciiTheme="minorHAnsi" w:hAnsiTheme="minorHAnsi" w:cstheme="minorHAnsi"/>
                <w:b/>
                <w:sz w:val="15"/>
                <w:szCs w:val="15"/>
              </w:rPr>
            </w:pPr>
            <w:r w:rsidRPr="00E11721">
              <w:rPr>
                <w:rFonts w:asciiTheme="minorHAnsi" w:hAnsiTheme="minorHAnsi" w:cstheme="minorHAnsi"/>
                <w:b/>
                <w:sz w:val="15"/>
                <w:szCs w:val="15"/>
              </w:rPr>
              <w:t>Ključne</w:t>
            </w:r>
          </w:p>
          <w:p w14:paraId="50AC6805" w14:textId="77777777" w:rsidR="00E541EE" w:rsidRPr="00E11721" w:rsidRDefault="00E541EE" w:rsidP="00A84BB5">
            <w:pPr>
              <w:pStyle w:val="TableParagraph"/>
              <w:spacing w:before="1"/>
              <w:jc w:val="center"/>
              <w:rPr>
                <w:rFonts w:asciiTheme="minorHAnsi" w:hAnsiTheme="minorHAnsi" w:cstheme="minorHAnsi"/>
                <w:b/>
                <w:sz w:val="15"/>
                <w:szCs w:val="15"/>
              </w:rPr>
            </w:pPr>
            <w:r w:rsidRPr="00E11721">
              <w:rPr>
                <w:rFonts w:asciiTheme="minorHAnsi" w:hAnsiTheme="minorHAnsi" w:cstheme="minorHAnsi"/>
                <w:b/>
                <w:sz w:val="15"/>
                <w:szCs w:val="15"/>
              </w:rPr>
              <w:t>aktivnosti</w:t>
            </w:r>
          </w:p>
        </w:tc>
        <w:tc>
          <w:tcPr>
            <w:tcW w:w="648" w:type="pct"/>
            <w:vMerge w:val="restart"/>
            <w:vAlign w:val="center"/>
          </w:tcPr>
          <w:p w14:paraId="011F6016" w14:textId="77777777" w:rsidR="00E541EE" w:rsidRPr="00E11721" w:rsidRDefault="00E541EE" w:rsidP="00A84BB5">
            <w:pPr>
              <w:pStyle w:val="TableParagraph"/>
              <w:ind w:left="174" w:right="97" w:hanging="44"/>
              <w:jc w:val="center"/>
              <w:rPr>
                <w:rFonts w:asciiTheme="minorHAnsi" w:hAnsiTheme="minorHAnsi" w:cstheme="minorHAnsi"/>
                <w:b/>
                <w:sz w:val="15"/>
                <w:szCs w:val="15"/>
              </w:rPr>
            </w:pPr>
            <w:r w:rsidRPr="00E11721">
              <w:rPr>
                <w:rFonts w:asciiTheme="minorHAnsi" w:hAnsiTheme="minorHAnsi" w:cstheme="minorHAnsi"/>
                <w:b/>
                <w:sz w:val="15"/>
                <w:szCs w:val="15"/>
              </w:rPr>
              <w:t>Pokazatelj</w:t>
            </w:r>
            <w:r w:rsidRPr="00E11721">
              <w:rPr>
                <w:rFonts w:asciiTheme="minorHAnsi" w:hAnsiTheme="minorHAnsi" w:cstheme="minorHAnsi"/>
                <w:b/>
                <w:spacing w:val="-34"/>
                <w:sz w:val="15"/>
                <w:szCs w:val="15"/>
              </w:rPr>
              <w:t xml:space="preserve"> </w:t>
            </w:r>
            <w:r w:rsidRPr="00E11721">
              <w:rPr>
                <w:rFonts w:asciiTheme="minorHAnsi" w:hAnsiTheme="minorHAnsi" w:cstheme="minorHAnsi"/>
                <w:b/>
                <w:sz w:val="15"/>
                <w:szCs w:val="15"/>
              </w:rPr>
              <w:t>rezultata</w:t>
            </w:r>
          </w:p>
        </w:tc>
        <w:tc>
          <w:tcPr>
            <w:tcW w:w="409" w:type="pct"/>
            <w:vMerge w:val="restart"/>
            <w:vAlign w:val="center"/>
          </w:tcPr>
          <w:p w14:paraId="2BB5DE6C" w14:textId="77777777" w:rsidR="00E541EE" w:rsidRPr="00E11721" w:rsidRDefault="00E541EE" w:rsidP="00A84BB5">
            <w:pPr>
              <w:pStyle w:val="TableParagraph"/>
              <w:ind w:left="44" w:right="32"/>
              <w:jc w:val="center"/>
              <w:rPr>
                <w:rFonts w:asciiTheme="minorHAnsi" w:hAnsiTheme="minorHAnsi" w:cstheme="minorHAnsi"/>
                <w:b/>
                <w:sz w:val="15"/>
                <w:szCs w:val="15"/>
              </w:rPr>
            </w:pPr>
            <w:r w:rsidRPr="00E11721">
              <w:rPr>
                <w:rFonts w:asciiTheme="minorHAnsi" w:hAnsiTheme="minorHAnsi" w:cstheme="minorHAnsi"/>
                <w:b/>
                <w:sz w:val="15"/>
                <w:szCs w:val="15"/>
              </w:rPr>
              <w:t>Početna</w:t>
            </w:r>
            <w:r w:rsidRPr="00E11721">
              <w:rPr>
                <w:rFonts w:asciiTheme="minorHAnsi" w:hAnsiTheme="minorHAnsi" w:cstheme="minorHAnsi"/>
                <w:b/>
                <w:spacing w:val="1"/>
                <w:sz w:val="15"/>
                <w:szCs w:val="15"/>
              </w:rPr>
              <w:t xml:space="preserve"> </w:t>
            </w:r>
            <w:r w:rsidRPr="00E11721">
              <w:rPr>
                <w:rFonts w:asciiTheme="minorHAnsi" w:hAnsiTheme="minorHAnsi" w:cstheme="minorHAnsi"/>
                <w:b/>
                <w:sz w:val="15"/>
                <w:szCs w:val="15"/>
              </w:rPr>
              <w:t>vrijednost 2025.</w:t>
            </w:r>
          </w:p>
        </w:tc>
        <w:tc>
          <w:tcPr>
            <w:tcW w:w="1020" w:type="pct"/>
            <w:gridSpan w:val="3"/>
            <w:vAlign w:val="center"/>
          </w:tcPr>
          <w:p w14:paraId="7B229213" w14:textId="77777777" w:rsidR="00E541EE" w:rsidRPr="00E11721" w:rsidRDefault="00E541EE" w:rsidP="00A84BB5">
            <w:pPr>
              <w:pStyle w:val="TableParagraph"/>
              <w:ind w:left="70" w:right="56"/>
              <w:jc w:val="center"/>
              <w:rPr>
                <w:rFonts w:asciiTheme="minorHAnsi" w:hAnsiTheme="minorHAnsi" w:cstheme="minorHAnsi"/>
                <w:b/>
                <w:sz w:val="15"/>
                <w:szCs w:val="15"/>
              </w:rPr>
            </w:pPr>
            <w:r w:rsidRPr="00E11721">
              <w:rPr>
                <w:rFonts w:asciiTheme="minorHAnsi" w:hAnsiTheme="minorHAnsi" w:cstheme="minorHAnsi"/>
                <w:b/>
                <w:sz w:val="15"/>
                <w:szCs w:val="15"/>
              </w:rPr>
              <w:t>Ciljna</w:t>
            </w:r>
            <w:r w:rsidRPr="00E11721">
              <w:rPr>
                <w:rFonts w:asciiTheme="minorHAnsi" w:hAnsiTheme="minorHAnsi" w:cstheme="minorHAnsi"/>
                <w:b/>
                <w:spacing w:val="1"/>
                <w:sz w:val="15"/>
                <w:szCs w:val="15"/>
              </w:rPr>
              <w:t xml:space="preserve"> </w:t>
            </w:r>
            <w:r w:rsidRPr="00E11721">
              <w:rPr>
                <w:rFonts w:asciiTheme="minorHAnsi" w:hAnsiTheme="minorHAnsi" w:cstheme="minorHAnsi"/>
                <w:b/>
                <w:sz w:val="15"/>
                <w:szCs w:val="15"/>
              </w:rPr>
              <w:t>vrijednost</w:t>
            </w:r>
          </w:p>
        </w:tc>
      </w:tr>
      <w:tr w:rsidR="00E541EE" w:rsidRPr="007B39CE" w14:paraId="6B67D20A" w14:textId="77777777" w:rsidTr="00A84BB5">
        <w:trPr>
          <w:cantSplit/>
          <w:trHeight w:val="637"/>
          <w:jc w:val="center"/>
        </w:trPr>
        <w:tc>
          <w:tcPr>
            <w:tcW w:w="432" w:type="pct"/>
            <w:vMerge/>
            <w:vAlign w:val="center"/>
          </w:tcPr>
          <w:p w14:paraId="6AC5325D" w14:textId="77777777" w:rsidR="00E541EE" w:rsidRPr="00E11721" w:rsidRDefault="00E541EE" w:rsidP="00A84BB5">
            <w:pPr>
              <w:pStyle w:val="TableParagraph"/>
              <w:spacing w:line="195" w:lineRule="exact"/>
              <w:ind w:left="44" w:right="35"/>
              <w:jc w:val="center"/>
              <w:rPr>
                <w:rFonts w:asciiTheme="minorHAnsi" w:hAnsiTheme="minorHAnsi" w:cstheme="minorHAnsi"/>
                <w:b/>
                <w:sz w:val="15"/>
                <w:szCs w:val="15"/>
              </w:rPr>
            </w:pPr>
          </w:p>
        </w:tc>
        <w:tc>
          <w:tcPr>
            <w:tcW w:w="472" w:type="pct"/>
            <w:vMerge/>
            <w:vAlign w:val="center"/>
          </w:tcPr>
          <w:p w14:paraId="2A2A0E9A" w14:textId="77777777" w:rsidR="00E541EE" w:rsidRPr="00E11721" w:rsidRDefault="00E541EE" w:rsidP="00A84BB5">
            <w:pPr>
              <w:pStyle w:val="TableParagraph"/>
              <w:spacing w:line="195" w:lineRule="exact"/>
              <w:ind w:left="44" w:right="35"/>
              <w:jc w:val="center"/>
              <w:rPr>
                <w:rFonts w:asciiTheme="minorHAnsi" w:hAnsiTheme="minorHAnsi" w:cstheme="minorHAnsi"/>
                <w:b/>
                <w:sz w:val="15"/>
                <w:szCs w:val="15"/>
              </w:rPr>
            </w:pPr>
          </w:p>
        </w:tc>
        <w:tc>
          <w:tcPr>
            <w:tcW w:w="517" w:type="pct"/>
            <w:vMerge/>
            <w:vAlign w:val="center"/>
          </w:tcPr>
          <w:p w14:paraId="2A7EE451" w14:textId="77777777" w:rsidR="00E541EE" w:rsidRPr="00E11721" w:rsidRDefault="00E541EE" w:rsidP="00A84BB5">
            <w:pPr>
              <w:pStyle w:val="TableParagraph"/>
              <w:ind w:left="125" w:right="114"/>
              <w:jc w:val="center"/>
              <w:rPr>
                <w:rFonts w:asciiTheme="minorHAnsi" w:hAnsiTheme="minorHAnsi" w:cstheme="minorHAnsi"/>
                <w:b/>
                <w:spacing w:val="-1"/>
                <w:sz w:val="15"/>
                <w:szCs w:val="15"/>
              </w:rPr>
            </w:pPr>
          </w:p>
        </w:tc>
        <w:tc>
          <w:tcPr>
            <w:tcW w:w="476" w:type="pct"/>
            <w:vMerge/>
            <w:vAlign w:val="center"/>
          </w:tcPr>
          <w:p w14:paraId="6109BE02" w14:textId="77777777" w:rsidR="00E541EE" w:rsidRPr="00E11721" w:rsidRDefault="00E541EE" w:rsidP="00A84BB5">
            <w:pPr>
              <w:pStyle w:val="TableParagraph"/>
              <w:jc w:val="center"/>
              <w:rPr>
                <w:rFonts w:asciiTheme="minorHAnsi" w:hAnsiTheme="minorHAnsi" w:cstheme="minorHAnsi"/>
                <w:b/>
                <w:sz w:val="15"/>
                <w:szCs w:val="15"/>
              </w:rPr>
            </w:pPr>
          </w:p>
        </w:tc>
        <w:tc>
          <w:tcPr>
            <w:tcW w:w="451" w:type="pct"/>
            <w:vMerge/>
            <w:vAlign w:val="center"/>
          </w:tcPr>
          <w:p w14:paraId="4DCB309C" w14:textId="77777777" w:rsidR="00E541EE" w:rsidRPr="00E11721" w:rsidRDefault="00E541EE" w:rsidP="00A84BB5">
            <w:pPr>
              <w:pStyle w:val="TableParagraph"/>
              <w:ind w:left="70" w:right="60"/>
              <w:jc w:val="center"/>
              <w:rPr>
                <w:rFonts w:asciiTheme="minorHAnsi" w:hAnsiTheme="minorHAnsi" w:cstheme="minorHAnsi"/>
                <w:b/>
                <w:sz w:val="15"/>
                <w:szCs w:val="15"/>
              </w:rPr>
            </w:pPr>
          </w:p>
        </w:tc>
        <w:tc>
          <w:tcPr>
            <w:tcW w:w="575" w:type="pct"/>
            <w:vMerge/>
            <w:vAlign w:val="center"/>
          </w:tcPr>
          <w:p w14:paraId="0714C15E" w14:textId="77777777" w:rsidR="00E541EE" w:rsidRPr="00E11721" w:rsidRDefault="00E541EE" w:rsidP="00A84BB5">
            <w:pPr>
              <w:pStyle w:val="TableParagraph"/>
              <w:jc w:val="center"/>
              <w:rPr>
                <w:rFonts w:asciiTheme="minorHAnsi" w:hAnsiTheme="minorHAnsi" w:cstheme="minorHAnsi"/>
                <w:b/>
                <w:sz w:val="15"/>
                <w:szCs w:val="15"/>
              </w:rPr>
            </w:pPr>
          </w:p>
        </w:tc>
        <w:tc>
          <w:tcPr>
            <w:tcW w:w="648" w:type="pct"/>
            <w:vMerge/>
            <w:vAlign w:val="center"/>
          </w:tcPr>
          <w:p w14:paraId="424AEDD1" w14:textId="77777777" w:rsidR="00E541EE" w:rsidRPr="00E11721" w:rsidRDefault="00E541EE" w:rsidP="00A84BB5">
            <w:pPr>
              <w:pStyle w:val="TableParagraph"/>
              <w:ind w:left="174" w:right="97" w:hanging="44"/>
              <w:jc w:val="center"/>
              <w:rPr>
                <w:rFonts w:asciiTheme="minorHAnsi" w:hAnsiTheme="minorHAnsi" w:cstheme="minorHAnsi"/>
                <w:b/>
                <w:sz w:val="15"/>
                <w:szCs w:val="15"/>
              </w:rPr>
            </w:pPr>
          </w:p>
        </w:tc>
        <w:tc>
          <w:tcPr>
            <w:tcW w:w="409" w:type="pct"/>
            <w:vMerge/>
            <w:vAlign w:val="center"/>
          </w:tcPr>
          <w:p w14:paraId="4F924D62" w14:textId="77777777" w:rsidR="00E541EE" w:rsidRPr="00E11721" w:rsidRDefault="00E541EE" w:rsidP="00A84BB5">
            <w:pPr>
              <w:pStyle w:val="TableParagraph"/>
              <w:ind w:left="44" w:right="32"/>
              <w:jc w:val="center"/>
              <w:rPr>
                <w:rFonts w:asciiTheme="minorHAnsi" w:hAnsiTheme="minorHAnsi" w:cstheme="minorHAnsi"/>
                <w:b/>
                <w:sz w:val="15"/>
                <w:szCs w:val="15"/>
              </w:rPr>
            </w:pPr>
          </w:p>
        </w:tc>
        <w:tc>
          <w:tcPr>
            <w:tcW w:w="319" w:type="pct"/>
            <w:vAlign w:val="center"/>
          </w:tcPr>
          <w:p w14:paraId="3AAF7601" w14:textId="77777777" w:rsidR="00E541EE" w:rsidRPr="00E11721" w:rsidRDefault="00E541EE" w:rsidP="00A84BB5">
            <w:pPr>
              <w:pStyle w:val="TableParagraph"/>
              <w:ind w:left="87" w:right="70"/>
              <w:jc w:val="center"/>
              <w:rPr>
                <w:rFonts w:asciiTheme="minorHAnsi" w:hAnsiTheme="minorHAnsi" w:cstheme="minorHAnsi"/>
                <w:b/>
                <w:sz w:val="15"/>
                <w:szCs w:val="15"/>
              </w:rPr>
            </w:pPr>
            <w:r w:rsidRPr="00E11721">
              <w:rPr>
                <w:rFonts w:asciiTheme="minorHAnsi" w:hAnsiTheme="minorHAnsi" w:cstheme="minorHAnsi"/>
                <w:b/>
                <w:sz w:val="15"/>
                <w:szCs w:val="15"/>
              </w:rPr>
              <w:t>za 2026.</w:t>
            </w:r>
          </w:p>
        </w:tc>
        <w:tc>
          <w:tcPr>
            <w:tcW w:w="339" w:type="pct"/>
            <w:vAlign w:val="center"/>
          </w:tcPr>
          <w:p w14:paraId="784ED030" w14:textId="77777777" w:rsidR="00E541EE" w:rsidRPr="00E11721" w:rsidRDefault="00E541EE" w:rsidP="00A84BB5">
            <w:pPr>
              <w:pStyle w:val="TableParagraph"/>
              <w:ind w:left="75" w:right="61"/>
              <w:jc w:val="center"/>
              <w:rPr>
                <w:rFonts w:asciiTheme="minorHAnsi" w:hAnsiTheme="minorHAnsi" w:cstheme="minorHAnsi"/>
                <w:b/>
                <w:sz w:val="15"/>
                <w:szCs w:val="15"/>
              </w:rPr>
            </w:pPr>
            <w:r w:rsidRPr="00E11721">
              <w:rPr>
                <w:rFonts w:asciiTheme="minorHAnsi" w:hAnsiTheme="minorHAnsi" w:cstheme="minorHAnsi"/>
                <w:b/>
                <w:sz w:val="15"/>
                <w:szCs w:val="15"/>
              </w:rPr>
              <w:t>za</w:t>
            </w:r>
          </w:p>
          <w:p w14:paraId="0295BAC0" w14:textId="77777777" w:rsidR="00E541EE" w:rsidRPr="00E11721" w:rsidRDefault="00E541EE" w:rsidP="00A84BB5">
            <w:pPr>
              <w:pStyle w:val="TableParagraph"/>
              <w:ind w:left="75" w:right="61"/>
              <w:jc w:val="center"/>
              <w:rPr>
                <w:rFonts w:asciiTheme="minorHAnsi" w:hAnsiTheme="minorHAnsi" w:cstheme="minorHAnsi"/>
                <w:b/>
                <w:sz w:val="15"/>
                <w:szCs w:val="15"/>
              </w:rPr>
            </w:pPr>
            <w:r w:rsidRPr="00E11721">
              <w:rPr>
                <w:rFonts w:asciiTheme="minorHAnsi" w:hAnsiTheme="minorHAnsi" w:cstheme="minorHAnsi"/>
                <w:b/>
                <w:sz w:val="15"/>
                <w:szCs w:val="15"/>
              </w:rPr>
              <w:t>2027.</w:t>
            </w:r>
          </w:p>
        </w:tc>
        <w:tc>
          <w:tcPr>
            <w:tcW w:w="362" w:type="pct"/>
            <w:vAlign w:val="center"/>
          </w:tcPr>
          <w:p w14:paraId="452A0E39" w14:textId="77777777" w:rsidR="00E541EE" w:rsidRPr="00E11721" w:rsidRDefault="00E541EE" w:rsidP="00A84BB5">
            <w:pPr>
              <w:pStyle w:val="TableParagraph"/>
              <w:ind w:left="70" w:right="56"/>
              <w:jc w:val="center"/>
              <w:rPr>
                <w:rFonts w:asciiTheme="minorHAnsi" w:hAnsiTheme="minorHAnsi" w:cstheme="minorHAnsi"/>
                <w:b/>
                <w:sz w:val="15"/>
                <w:szCs w:val="15"/>
              </w:rPr>
            </w:pPr>
            <w:r w:rsidRPr="00E11721">
              <w:rPr>
                <w:rFonts w:asciiTheme="minorHAnsi" w:hAnsiTheme="minorHAnsi" w:cstheme="minorHAnsi"/>
                <w:b/>
                <w:sz w:val="15"/>
                <w:szCs w:val="15"/>
              </w:rPr>
              <w:t>za</w:t>
            </w:r>
          </w:p>
          <w:p w14:paraId="79707C91" w14:textId="77777777" w:rsidR="00E541EE" w:rsidRPr="00E11721" w:rsidRDefault="00E541EE" w:rsidP="00A84BB5">
            <w:pPr>
              <w:pStyle w:val="TableParagraph"/>
              <w:ind w:left="70" w:right="56"/>
              <w:jc w:val="center"/>
              <w:rPr>
                <w:rFonts w:asciiTheme="minorHAnsi" w:hAnsiTheme="minorHAnsi" w:cstheme="minorHAnsi"/>
                <w:b/>
                <w:sz w:val="15"/>
                <w:szCs w:val="15"/>
              </w:rPr>
            </w:pPr>
            <w:r w:rsidRPr="00E11721">
              <w:rPr>
                <w:rFonts w:asciiTheme="minorHAnsi" w:hAnsiTheme="minorHAnsi" w:cstheme="minorHAnsi"/>
                <w:b/>
                <w:sz w:val="15"/>
                <w:szCs w:val="15"/>
              </w:rPr>
              <w:t>2028.</w:t>
            </w:r>
          </w:p>
        </w:tc>
      </w:tr>
      <w:tr w:rsidR="00E541EE" w:rsidRPr="007B39CE" w14:paraId="3117E956" w14:textId="77777777" w:rsidTr="00A84BB5">
        <w:trPr>
          <w:cantSplit/>
          <w:trHeight w:val="2834"/>
          <w:jc w:val="center"/>
        </w:trPr>
        <w:tc>
          <w:tcPr>
            <w:tcW w:w="432" w:type="pct"/>
            <w:tcBorders>
              <w:bottom w:val="single" w:sz="4" w:space="0" w:color="000000"/>
            </w:tcBorders>
            <w:vAlign w:val="center"/>
          </w:tcPr>
          <w:p w14:paraId="08F1C425" w14:textId="77777777" w:rsidR="00E541EE" w:rsidRPr="007B39CE" w:rsidRDefault="00E541EE" w:rsidP="00A84BB5">
            <w:pPr>
              <w:pStyle w:val="TableParagraph"/>
              <w:jc w:val="center"/>
              <w:rPr>
                <w:rFonts w:asciiTheme="minorHAnsi" w:hAnsiTheme="minorHAnsi" w:cstheme="minorHAnsi"/>
                <w:sz w:val="14"/>
                <w:szCs w:val="14"/>
              </w:rPr>
            </w:pPr>
            <w:r w:rsidRPr="007B39CE">
              <w:rPr>
                <w:rFonts w:asciiTheme="minorHAnsi" w:hAnsiTheme="minorHAnsi" w:cstheme="minorHAnsi"/>
                <w:sz w:val="14"/>
                <w:szCs w:val="14"/>
              </w:rPr>
              <w:t>Provedbeni program Grada Rovinja-Rovigno za razdoblje 2025.-2029. godine</w:t>
            </w:r>
          </w:p>
        </w:tc>
        <w:tc>
          <w:tcPr>
            <w:tcW w:w="472" w:type="pct"/>
            <w:tcBorders>
              <w:bottom w:val="single" w:sz="4" w:space="0" w:color="000000"/>
            </w:tcBorders>
            <w:vAlign w:val="center"/>
          </w:tcPr>
          <w:p w14:paraId="3DFE7251" w14:textId="77777777" w:rsidR="00E541EE" w:rsidRPr="007B39CE" w:rsidRDefault="00E541EE" w:rsidP="00A84BB5">
            <w:pPr>
              <w:pStyle w:val="TableParagraph"/>
              <w:jc w:val="center"/>
              <w:rPr>
                <w:rFonts w:asciiTheme="minorHAnsi" w:hAnsiTheme="minorHAnsi" w:cstheme="minorHAnsi"/>
                <w:sz w:val="14"/>
                <w:szCs w:val="14"/>
              </w:rPr>
            </w:pPr>
            <w:r w:rsidRPr="007B39CE">
              <w:rPr>
                <w:rFonts w:asciiTheme="minorHAnsi" w:hAnsiTheme="minorHAnsi" w:cstheme="minorHAnsi"/>
                <w:sz w:val="14"/>
                <w:szCs w:val="14"/>
              </w:rPr>
              <w:t>SC 3.2.</w:t>
            </w:r>
          </w:p>
          <w:p w14:paraId="65747413" w14:textId="77777777" w:rsidR="00E541EE" w:rsidRPr="007B39CE" w:rsidRDefault="00E541EE" w:rsidP="00A84BB5">
            <w:pPr>
              <w:pStyle w:val="TableParagraph"/>
              <w:ind w:left="28" w:right="19" w:firstLine="2"/>
              <w:jc w:val="center"/>
              <w:rPr>
                <w:rFonts w:asciiTheme="minorHAnsi" w:hAnsiTheme="minorHAnsi" w:cstheme="minorHAnsi"/>
                <w:sz w:val="14"/>
                <w:szCs w:val="14"/>
              </w:rPr>
            </w:pPr>
            <w:r w:rsidRPr="007B39CE">
              <w:rPr>
                <w:rFonts w:asciiTheme="minorHAnsi" w:hAnsiTheme="minorHAnsi" w:cstheme="minorHAnsi"/>
                <w:sz w:val="14"/>
                <w:szCs w:val="14"/>
              </w:rPr>
              <w:t>Poduzetništvo temeljeno na</w:t>
            </w:r>
          </w:p>
          <w:p w14:paraId="3F95F743" w14:textId="77777777" w:rsidR="00E541EE" w:rsidRPr="007B39CE" w:rsidRDefault="00E541EE" w:rsidP="00A84BB5">
            <w:pPr>
              <w:pStyle w:val="TableParagraph"/>
              <w:ind w:left="28" w:right="19" w:firstLine="2"/>
              <w:jc w:val="center"/>
              <w:rPr>
                <w:rFonts w:asciiTheme="minorHAnsi" w:hAnsiTheme="minorHAnsi" w:cstheme="minorHAnsi"/>
                <w:sz w:val="14"/>
                <w:szCs w:val="14"/>
              </w:rPr>
            </w:pPr>
            <w:r w:rsidRPr="007B39CE">
              <w:rPr>
                <w:rFonts w:asciiTheme="minorHAnsi" w:hAnsiTheme="minorHAnsi" w:cstheme="minorHAnsi"/>
                <w:sz w:val="14"/>
                <w:szCs w:val="14"/>
              </w:rPr>
              <w:t>istraživanju i inovacijama</w:t>
            </w:r>
          </w:p>
          <w:p w14:paraId="773B9091" w14:textId="77777777" w:rsidR="00E541EE" w:rsidRPr="007B39CE" w:rsidRDefault="00E541EE" w:rsidP="00A84BB5">
            <w:pPr>
              <w:pStyle w:val="TableParagraph"/>
              <w:ind w:left="28" w:right="19" w:firstLine="2"/>
              <w:jc w:val="center"/>
              <w:rPr>
                <w:rFonts w:asciiTheme="minorHAnsi" w:hAnsiTheme="minorHAnsi" w:cstheme="minorHAnsi"/>
                <w:sz w:val="14"/>
                <w:szCs w:val="14"/>
              </w:rPr>
            </w:pPr>
          </w:p>
          <w:p w14:paraId="4325F29A" w14:textId="77777777" w:rsidR="00E541EE" w:rsidRPr="007B39CE" w:rsidRDefault="00E541EE" w:rsidP="00A84BB5">
            <w:pPr>
              <w:pStyle w:val="TableParagraph"/>
              <w:ind w:left="28" w:right="19" w:firstLine="2"/>
              <w:jc w:val="center"/>
              <w:rPr>
                <w:rFonts w:asciiTheme="minorHAnsi" w:hAnsiTheme="minorHAnsi" w:cstheme="minorHAnsi"/>
                <w:sz w:val="14"/>
                <w:szCs w:val="14"/>
              </w:rPr>
            </w:pPr>
            <w:r w:rsidRPr="007B39CE">
              <w:rPr>
                <w:rFonts w:asciiTheme="minorHAnsi" w:hAnsiTheme="minorHAnsi" w:cstheme="minorHAnsi"/>
                <w:sz w:val="14"/>
                <w:szCs w:val="14"/>
              </w:rPr>
              <w:t>SC 3.3.  Održivi turizam temeljen na kvaliteti</w:t>
            </w:r>
          </w:p>
          <w:p w14:paraId="21D8D564" w14:textId="77777777" w:rsidR="00E541EE" w:rsidRPr="007B39CE" w:rsidRDefault="00E541EE" w:rsidP="00A84BB5">
            <w:pPr>
              <w:pStyle w:val="TableParagraph"/>
              <w:jc w:val="center"/>
              <w:rPr>
                <w:rFonts w:asciiTheme="minorHAnsi" w:hAnsiTheme="minorHAnsi" w:cstheme="minorHAnsi"/>
                <w:sz w:val="14"/>
                <w:szCs w:val="14"/>
              </w:rPr>
            </w:pPr>
            <w:r w:rsidRPr="007B39CE">
              <w:rPr>
                <w:rFonts w:asciiTheme="minorHAnsi" w:hAnsiTheme="minorHAnsi" w:cstheme="minorHAnsi"/>
                <w:sz w:val="14"/>
                <w:szCs w:val="14"/>
              </w:rPr>
              <w:t>usluge i autentičnim sadržajima</w:t>
            </w:r>
          </w:p>
        </w:tc>
        <w:tc>
          <w:tcPr>
            <w:tcW w:w="517" w:type="pct"/>
            <w:tcBorders>
              <w:bottom w:val="single" w:sz="4" w:space="0" w:color="000000"/>
            </w:tcBorders>
            <w:shd w:val="clear" w:color="auto" w:fill="FFF1CC"/>
            <w:vAlign w:val="center"/>
          </w:tcPr>
          <w:p w14:paraId="167F0FD5" w14:textId="77777777" w:rsidR="00E541EE" w:rsidRPr="007B39CE" w:rsidRDefault="00E541EE" w:rsidP="00A84BB5">
            <w:pPr>
              <w:pStyle w:val="TableParagraph"/>
              <w:ind w:left="74" w:right="63" w:hanging="4"/>
              <w:jc w:val="center"/>
              <w:rPr>
                <w:rFonts w:asciiTheme="minorHAnsi" w:hAnsiTheme="minorHAnsi" w:cstheme="minorHAnsi"/>
                <w:sz w:val="14"/>
                <w:szCs w:val="14"/>
              </w:rPr>
            </w:pPr>
            <w:r w:rsidRPr="007B39CE">
              <w:rPr>
                <w:rFonts w:asciiTheme="minorHAnsi" w:hAnsiTheme="minorHAnsi" w:cstheme="minorHAnsi"/>
                <w:sz w:val="14"/>
                <w:szCs w:val="14"/>
              </w:rPr>
              <w:t>P-1006 Poticanje razvoja gospodarstva</w:t>
            </w:r>
          </w:p>
        </w:tc>
        <w:tc>
          <w:tcPr>
            <w:tcW w:w="476" w:type="pct"/>
            <w:tcBorders>
              <w:bottom w:val="single" w:sz="4" w:space="0" w:color="000000"/>
            </w:tcBorders>
            <w:vAlign w:val="center"/>
          </w:tcPr>
          <w:p w14:paraId="238F2231" w14:textId="77777777" w:rsidR="00E541EE" w:rsidRPr="007B39CE" w:rsidRDefault="00E541EE" w:rsidP="00A84BB5">
            <w:pPr>
              <w:pStyle w:val="TableParagraph"/>
              <w:ind w:right="11" w:firstLine="9"/>
              <w:jc w:val="center"/>
              <w:rPr>
                <w:rFonts w:asciiTheme="minorHAnsi" w:hAnsiTheme="minorHAnsi" w:cstheme="minorHAnsi"/>
                <w:sz w:val="14"/>
                <w:szCs w:val="14"/>
              </w:rPr>
            </w:pPr>
            <w:r w:rsidRPr="007B39CE">
              <w:rPr>
                <w:rFonts w:asciiTheme="minorHAnsi" w:hAnsiTheme="minorHAnsi" w:cstheme="minorHAnsi"/>
                <w:sz w:val="14"/>
                <w:szCs w:val="14"/>
              </w:rPr>
              <w:t>26. Poticanje ulaganja u istraživanje i razvoj te nove tehnologije u ključnim sektorima istarskog</w:t>
            </w:r>
          </w:p>
          <w:p w14:paraId="451F740A" w14:textId="77777777" w:rsidR="00E541EE" w:rsidRPr="007B39CE" w:rsidRDefault="00E541EE" w:rsidP="00A84BB5">
            <w:pPr>
              <w:pStyle w:val="TableParagraph"/>
              <w:ind w:right="11" w:firstLine="9"/>
              <w:jc w:val="center"/>
              <w:rPr>
                <w:rFonts w:asciiTheme="minorHAnsi" w:hAnsiTheme="minorHAnsi" w:cstheme="minorHAnsi"/>
                <w:sz w:val="14"/>
                <w:szCs w:val="14"/>
              </w:rPr>
            </w:pPr>
            <w:r w:rsidRPr="007B39CE">
              <w:rPr>
                <w:rFonts w:asciiTheme="minorHAnsi" w:hAnsiTheme="minorHAnsi" w:cstheme="minorHAnsi"/>
                <w:sz w:val="14"/>
                <w:szCs w:val="14"/>
              </w:rPr>
              <w:t>gospodarstva</w:t>
            </w:r>
          </w:p>
          <w:p w14:paraId="62B36CFC" w14:textId="77777777" w:rsidR="00E541EE" w:rsidRPr="007B39CE" w:rsidRDefault="00E541EE" w:rsidP="00A84BB5">
            <w:pPr>
              <w:pStyle w:val="TableParagraph"/>
              <w:ind w:right="11" w:firstLine="9"/>
              <w:jc w:val="center"/>
              <w:rPr>
                <w:rFonts w:asciiTheme="minorHAnsi" w:hAnsiTheme="minorHAnsi" w:cstheme="minorHAnsi"/>
                <w:sz w:val="14"/>
                <w:szCs w:val="14"/>
              </w:rPr>
            </w:pPr>
          </w:p>
        </w:tc>
        <w:tc>
          <w:tcPr>
            <w:tcW w:w="451" w:type="pct"/>
            <w:tcBorders>
              <w:bottom w:val="single" w:sz="4" w:space="0" w:color="000000"/>
            </w:tcBorders>
            <w:shd w:val="clear" w:color="auto" w:fill="FFF1CC"/>
            <w:vAlign w:val="center"/>
          </w:tcPr>
          <w:p w14:paraId="1868F915" w14:textId="77777777" w:rsidR="00E541EE" w:rsidRPr="007B39CE" w:rsidRDefault="00E541EE" w:rsidP="00A84BB5">
            <w:pPr>
              <w:pStyle w:val="TableParagraph"/>
              <w:ind w:left="142"/>
              <w:jc w:val="center"/>
              <w:rPr>
                <w:rFonts w:asciiTheme="minorHAnsi" w:hAnsiTheme="minorHAnsi" w:cstheme="minorHAnsi"/>
                <w:sz w:val="14"/>
                <w:szCs w:val="14"/>
              </w:rPr>
            </w:pPr>
            <w:r w:rsidRPr="007B39CE">
              <w:rPr>
                <w:rFonts w:asciiTheme="minorHAnsi" w:hAnsiTheme="minorHAnsi" w:cstheme="minorHAnsi"/>
                <w:sz w:val="14"/>
                <w:szCs w:val="14"/>
              </w:rPr>
              <w:t>186.455,00</w:t>
            </w:r>
          </w:p>
          <w:p w14:paraId="0E2865EF" w14:textId="77777777" w:rsidR="00E541EE" w:rsidRPr="007B39CE" w:rsidRDefault="00E541EE" w:rsidP="00A84BB5">
            <w:pPr>
              <w:pStyle w:val="TableParagraph"/>
              <w:ind w:left="142"/>
              <w:jc w:val="center"/>
              <w:rPr>
                <w:rFonts w:asciiTheme="minorHAnsi" w:hAnsiTheme="minorHAnsi" w:cstheme="minorHAnsi"/>
                <w:sz w:val="14"/>
                <w:szCs w:val="14"/>
              </w:rPr>
            </w:pPr>
          </w:p>
        </w:tc>
        <w:tc>
          <w:tcPr>
            <w:tcW w:w="575" w:type="pct"/>
            <w:vAlign w:val="center"/>
          </w:tcPr>
          <w:p w14:paraId="3EDB4A5B" w14:textId="77777777" w:rsidR="00E541EE" w:rsidRDefault="00E541EE" w:rsidP="00A84BB5">
            <w:pPr>
              <w:widowControl w:val="0"/>
              <w:jc w:val="center"/>
              <w:rPr>
                <w:rFonts w:cstheme="minorHAnsi"/>
                <w:sz w:val="14"/>
                <w:szCs w:val="14"/>
              </w:rPr>
            </w:pPr>
            <w:r w:rsidRPr="007B39CE">
              <w:rPr>
                <w:rFonts w:cstheme="minorHAnsi"/>
                <w:sz w:val="14"/>
                <w:szCs w:val="14"/>
              </w:rPr>
              <w:t>A100601:</w:t>
            </w:r>
          </w:p>
          <w:p w14:paraId="7DC0584D" w14:textId="77777777" w:rsidR="00E541EE" w:rsidRDefault="00E541EE" w:rsidP="00A84BB5">
            <w:pPr>
              <w:widowControl w:val="0"/>
              <w:jc w:val="center"/>
              <w:rPr>
                <w:rFonts w:cstheme="minorHAnsi"/>
                <w:sz w:val="14"/>
                <w:szCs w:val="14"/>
              </w:rPr>
            </w:pPr>
            <w:r w:rsidRPr="007B39CE">
              <w:rPr>
                <w:rFonts w:cstheme="minorHAnsi"/>
                <w:sz w:val="14"/>
                <w:szCs w:val="14"/>
              </w:rPr>
              <w:t>Razvojni programi</w:t>
            </w:r>
          </w:p>
          <w:p w14:paraId="57087A9B" w14:textId="77777777" w:rsidR="00E541EE" w:rsidRPr="007B39CE" w:rsidRDefault="00E541EE" w:rsidP="00A84BB5">
            <w:pPr>
              <w:widowControl w:val="0"/>
              <w:jc w:val="center"/>
              <w:rPr>
                <w:rFonts w:cstheme="minorHAnsi"/>
                <w:sz w:val="14"/>
                <w:szCs w:val="14"/>
              </w:rPr>
            </w:pPr>
          </w:p>
          <w:p w14:paraId="7B54773A" w14:textId="77777777" w:rsidR="00E541EE" w:rsidRDefault="00E541EE" w:rsidP="00A84BB5">
            <w:pPr>
              <w:widowControl w:val="0"/>
              <w:jc w:val="center"/>
              <w:rPr>
                <w:rFonts w:cstheme="minorHAnsi"/>
                <w:sz w:val="14"/>
                <w:szCs w:val="14"/>
              </w:rPr>
            </w:pPr>
            <w:r w:rsidRPr="007B39CE">
              <w:rPr>
                <w:rFonts w:cstheme="minorHAnsi"/>
                <w:sz w:val="14"/>
                <w:szCs w:val="14"/>
              </w:rPr>
              <w:t>A100602:</w:t>
            </w:r>
          </w:p>
          <w:p w14:paraId="726EF3FD" w14:textId="77777777" w:rsidR="00E541EE" w:rsidRPr="007B39CE" w:rsidRDefault="00E541EE" w:rsidP="00A84BB5">
            <w:pPr>
              <w:widowControl w:val="0"/>
              <w:jc w:val="center"/>
              <w:rPr>
                <w:rFonts w:cstheme="minorHAnsi"/>
                <w:sz w:val="14"/>
                <w:szCs w:val="14"/>
              </w:rPr>
            </w:pPr>
            <w:r w:rsidRPr="007B39CE">
              <w:rPr>
                <w:rFonts w:cstheme="minorHAnsi"/>
                <w:sz w:val="14"/>
                <w:szCs w:val="14"/>
              </w:rPr>
              <w:t>Poticanje razvoja poduzetništva</w:t>
            </w:r>
          </w:p>
        </w:tc>
        <w:tc>
          <w:tcPr>
            <w:tcW w:w="648" w:type="pct"/>
            <w:tcBorders>
              <w:bottom w:val="single" w:sz="4" w:space="0" w:color="000000"/>
            </w:tcBorders>
            <w:shd w:val="clear" w:color="auto" w:fill="FFF1CC"/>
            <w:vAlign w:val="center"/>
          </w:tcPr>
          <w:p w14:paraId="25931DEF" w14:textId="77777777" w:rsidR="00E541EE" w:rsidRPr="007B39CE" w:rsidRDefault="00E541EE" w:rsidP="00A84BB5">
            <w:pPr>
              <w:widowControl w:val="0"/>
              <w:contextualSpacing/>
              <w:jc w:val="center"/>
              <w:rPr>
                <w:rFonts w:cstheme="minorHAnsi"/>
                <w:sz w:val="14"/>
                <w:szCs w:val="14"/>
              </w:rPr>
            </w:pPr>
            <w:r w:rsidRPr="007B39CE">
              <w:rPr>
                <w:rFonts w:cstheme="minorHAnsi"/>
                <w:sz w:val="14"/>
                <w:szCs w:val="14"/>
              </w:rPr>
              <w:t>broj poduzeća koji posluju u poduzetničkoj zoni</w:t>
            </w:r>
          </w:p>
          <w:p w14:paraId="17F01864" w14:textId="77777777" w:rsidR="00E541EE" w:rsidRPr="007B39CE" w:rsidRDefault="00E541EE" w:rsidP="00A84BB5">
            <w:pPr>
              <w:widowControl w:val="0"/>
              <w:contextualSpacing/>
              <w:jc w:val="center"/>
              <w:rPr>
                <w:rFonts w:cstheme="minorHAnsi"/>
                <w:sz w:val="14"/>
                <w:szCs w:val="14"/>
              </w:rPr>
            </w:pPr>
          </w:p>
        </w:tc>
        <w:tc>
          <w:tcPr>
            <w:tcW w:w="409" w:type="pct"/>
            <w:tcBorders>
              <w:bottom w:val="single" w:sz="4" w:space="0" w:color="000000"/>
            </w:tcBorders>
            <w:vAlign w:val="center"/>
          </w:tcPr>
          <w:p w14:paraId="70E48180" w14:textId="77777777" w:rsidR="00E541EE" w:rsidRPr="007B39CE" w:rsidRDefault="00E541EE" w:rsidP="00A84BB5">
            <w:pPr>
              <w:widowControl w:val="0"/>
              <w:contextualSpacing/>
              <w:jc w:val="center"/>
              <w:rPr>
                <w:rFonts w:cstheme="minorHAnsi"/>
                <w:sz w:val="14"/>
                <w:szCs w:val="14"/>
              </w:rPr>
            </w:pPr>
            <w:r w:rsidRPr="007B39CE">
              <w:rPr>
                <w:rFonts w:cstheme="minorHAnsi"/>
                <w:sz w:val="14"/>
                <w:szCs w:val="14"/>
              </w:rPr>
              <w:t>32</w:t>
            </w:r>
          </w:p>
        </w:tc>
        <w:tc>
          <w:tcPr>
            <w:tcW w:w="319" w:type="pct"/>
            <w:tcBorders>
              <w:bottom w:val="single" w:sz="4" w:space="0" w:color="000000"/>
            </w:tcBorders>
            <w:vAlign w:val="center"/>
          </w:tcPr>
          <w:p w14:paraId="09490F27" w14:textId="77777777" w:rsidR="00E541EE" w:rsidRPr="007B39CE" w:rsidRDefault="00E541EE" w:rsidP="00A84BB5">
            <w:pPr>
              <w:widowControl w:val="0"/>
              <w:contextualSpacing/>
              <w:jc w:val="center"/>
              <w:rPr>
                <w:rFonts w:cstheme="minorHAnsi"/>
                <w:sz w:val="14"/>
                <w:szCs w:val="14"/>
              </w:rPr>
            </w:pPr>
            <w:r w:rsidRPr="007B39CE">
              <w:rPr>
                <w:rFonts w:cstheme="minorHAnsi"/>
                <w:sz w:val="14"/>
                <w:szCs w:val="14"/>
              </w:rPr>
              <w:t>33</w:t>
            </w:r>
          </w:p>
        </w:tc>
        <w:tc>
          <w:tcPr>
            <w:tcW w:w="339" w:type="pct"/>
            <w:tcBorders>
              <w:bottom w:val="single" w:sz="4" w:space="0" w:color="000000"/>
            </w:tcBorders>
            <w:vAlign w:val="center"/>
          </w:tcPr>
          <w:p w14:paraId="52D70430" w14:textId="77777777" w:rsidR="00E541EE" w:rsidRPr="007B39CE" w:rsidRDefault="00E541EE" w:rsidP="00A84BB5">
            <w:pPr>
              <w:widowControl w:val="0"/>
              <w:contextualSpacing/>
              <w:jc w:val="center"/>
              <w:rPr>
                <w:rFonts w:cstheme="minorHAnsi"/>
                <w:sz w:val="14"/>
                <w:szCs w:val="14"/>
              </w:rPr>
            </w:pPr>
            <w:r w:rsidRPr="007B39CE">
              <w:rPr>
                <w:rFonts w:cstheme="minorHAnsi"/>
                <w:sz w:val="14"/>
                <w:szCs w:val="14"/>
              </w:rPr>
              <w:t>35</w:t>
            </w:r>
          </w:p>
        </w:tc>
        <w:tc>
          <w:tcPr>
            <w:tcW w:w="362" w:type="pct"/>
            <w:tcBorders>
              <w:bottom w:val="single" w:sz="4" w:space="0" w:color="000000"/>
            </w:tcBorders>
            <w:vAlign w:val="center"/>
          </w:tcPr>
          <w:p w14:paraId="1DC8880C" w14:textId="77777777" w:rsidR="00E541EE" w:rsidRPr="007B39CE" w:rsidRDefault="00E541EE" w:rsidP="00A84BB5">
            <w:pPr>
              <w:widowControl w:val="0"/>
              <w:contextualSpacing/>
              <w:jc w:val="center"/>
              <w:rPr>
                <w:rFonts w:cstheme="minorHAnsi"/>
                <w:sz w:val="14"/>
                <w:szCs w:val="14"/>
              </w:rPr>
            </w:pPr>
            <w:r w:rsidRPr="007B39CE">
              <w:rPr>
                <w:rFonts w:cstheme="minorHAnsi"/>
                <w:sz w:val="14"/>
                <w:szCs w:val="14"/>
              </w:rPr>
              <w:t>36</w:t>
            </w:r>
          </w:p>
        </w:tc>
      </w:tr>
      <w:tr w:rsidR="00E541EE" w:rsidRPr="007B39CE" w14:paraId="46AA431A" w14:textId="77777777" w:rsidTr="00A84BB5">
        <w:trPr>
          <w:cantSplit/>
          <w:trHeight w:val="5235"/>
          <w:jc w:val="center"/>
        </w:trPr>
        <w:tc>
          <w:tcPr>
            <w:tcW w:w="432" w:type="pct"/>
            <w:tcBorders>
              <w:bottom w:val="single" w:sz="4" w:space="0" w:color="000000"/>
            </w:tcBorders>
            <w:vAlign w:val="center"/>
          </w:tcPr>
          <w:p w14:paraId="7D5F4BD3" w14:textId="77777777" w:rsidR="00E541EE" w:rsidRPr="007B39CE" w:rsidRDefault="00E541EE" w:rsidP="00A84BB5">
            <w:pPr>
              <w:pStyle w:val="TableParagraph"/>
              <w:jc w:val="center"/>
              <w:rPr>
                <w:rFonts w:asciiTheme="minorHAnsi" w:hAnsiTheme="minorHAnsi" w:cstheme="minorHAnsi"/>
                <w:color w:val="EE0000"/>
                <w:sz w:val="14"/>
                <w:szCs w:val="14"/>
              </w:rPr>
            </w:pPr>
          </w:p>
        </w:tc>
        <w:tc>
          <w:tcPr>
            <w:tcW w:w="472" w:type="pct"/>
            <w:tcBorders>
              <w:bottom w:val="single" w:sz="4" w:space="0" w:color="000000"/>
            </w:tcBorders>
            <w:vAlign w:val="center"/>
          </w:tcPr>
          <w:p w14:paraId="4BECD7B6" w14:textId="77777777" w:rsidR="00E541EE" w:rsidRPr="007B39CE" w:rsidRDefault="00E541EE" w:rsidP="00A84BB5">
            <w:pPr>
              <w:pStyle w:val="TableParagraph"/>
              <w:ind w:left="28" w:right="19" w:firstLine="2"/>
              <w:jc w:val="center"/>
              <w:rPr>
                <w:rFonts w:asciiTheme="minorHAnsi" w:hAnsiTheme="minorHAnsi" w:cstheme="minorHAnsi"/>
                <w:sz w:val="14"/>
                <w:szCs w:val="14"/>
              </w:rPr>
            </w:pPr>
          </w:p>
        </w:tc>
        <w:tc>
          <w:tcPr>
            <w:tcW w:w="517" w:type="pct"/>
            <w:tcBorders>
              <w:bottom w:val="single" w:sz="4" w:space="0" w:color="000000"/>
            </w:tcBorders>
            <w:shd w:val="clear" w:color="auto" w:fill="FFF1CC"/>
            <w:vAlign w:val="center"/>
          </w:tcPr>
          <w:p w14:paraId="581C36E9" w14:textId="77777777" w:rsidR="00E541EE" w:rsidRPr="007B39CE" w:rsidRDefault="00E541EE" w:rsidP="00A84BB5">
            <w:pPr>
              <w:pStyle w:val="TableParagraph"/>
              <w:ind w:left="74" w:right="63" w:hanging="4"/>
              <w:jc w:val="center"/>
              <w:rPr>
                <w:rFonts w:asciiTheme="minorHAnsi" w:hAnsiTheme="minorHAnsi" w:cstheme="minorHAnsi"/>
                <w:sz w:val="14"/>
                <w:szCs w:val="14"/>
              </w:rPr>
            </w:pPr>
          </w:p>
        </w:tc>
        <w:tc>
          <w:tcPr>
            <w:tcW w:w="476" w:type="pct"/>
            <w:tcBorders>
              <w:bottom w:val="single" w:sz="4" w:space="0" w:color="000000"/>
            </w:tcBorders>
            <w:vAlign w:val="center"/>
          </w:tcPr>
          <w:p w14:paraId="4D7361A9" w14:textId="77777777" w:rsidR="00E541EE" w:rsidRPr="007B39CE" w:rsidRDefault="00E541EE" w:rsidP="00A84BB5">
            <w:pPr>
              <w:pStyle w:val="TableParagraph"/>
              <w:ind w:right="11" w:firstLine="9"/>
              <w:jc w:val="center"/>
              <w:rPr>
                <w:rFonts w:asciiTheme="minorHAnsi" w:hAnsiTheme="minorHAnsi" w:cstheme="minorHAnsi"/>
                <w:sz w:val="14"/>
                <w:szCs w:val="14"/>
              </w:rPr>
            </w:pPr>
            <w:r w:rsidRPr="007B39CE">
              <w:rPr>
                <w:rFonts w:asciiTheme="minorHAnsi" w:hAnsiTheme="minorHAnsi" w:cstheme="minorHAnsi"/>
                <w:sz w:val="14"/>
                <w:szCs w:val="14"/>
              </w:rPr>
              <w:t>28. Unapređenje poduzetničkog okruženja kao temelja za sigurno i otporno gospodarstvo</w:t>
            </w:r>
          </w:p>
          <w:p w14:paraId="5E766224" w14:textId="77777777" w:rsidR="00E541EE" w:rsidRPr="007B39CE" w:rsidRDefault="00E541EE" w:rsidP="00A84BB5">
            <w:pPr>
              <w:pStyle w:val="TableParagraph"/>
              <w:ind w:right="11" w:firstLine="9"/>
              <w:jc w:val="center"/>
              <w:rPr>
                <w:rFonts w:asciiTheme="minorHAnsi" w:hAnsiTheme="minorHAnsi" w:cstheme="minorHAnsi"/>
                <w:sz w:val="14"/>
                <w:szCs w:val="14"/>
              </w:rPr>
            </w:pPr>
          </w:p>
          <w:p w14:paraId="7E9FDF6F" w14:textId="77777777" w:rsidR="00E541EE" w:rsidRPr="007B39CE" w:rsidRDefault="00E541EE" w:rsidP="00A84BB5">
            <w:pPr>
              <w:pStyle w:val="TableParagraph"/>
              <w:ind w:right="11" w:firstLine="9"/>
              <w:jc w:val="center"/>
              <w:rPr>
                <w:rFonts w:asciiTheme="minorHAnsi" w:hAnsiTheme="minorHAnsi" w:cstheme="minorHAnsi"/>
                <w:color w:val="EE0000"/>
                <w:sz w:val="14"/>
                <w:szCs w:val="14"/>
              </w:rPr>
            </w:pPr>
            <w:r w:rsidRPr="007B39CE">
              <w:rPr>
                <w:rFonts w:asciiTheme="minorHAnsi" w:hAnsiTheme="minorHAnsi" w:cstheme="minorHAnsi"/>
                <w:sz w:val="14"/>
                <w:szCs w:val="14"/>
              </w:rPr>
              <w:t>29. Valorizacija i promocija Istre kao vrhunske turističke destinacije</w:t>
            </w:r>
          </w:p>
        </w:tc>
        <w:tc>
          <w:tcPr>
            <w:tcW w:w="451" w:type="pct"/>
            <w:tcBorders>
              <w:bottom w:val="single" w:sz="4" w:space="0" w:color="000000"/>
            </w:tcBorders>
            <w:shd w:val="clear" w:color="auto" w:fill="FFF1CC"/>
            <w:vAlign w:val="center"/>
          </w:tcPr>
          <w:p w14:paraId="564B95CA" w14:textId="77777777" w:rsidR="00E541EE" w:rsidRPr="007B39CE" w:rsidRDefault="00E541EE" w:rsidP="00A84BB5">
            <w:pPr>
              <w:pStyle w:val="TableParagraph"/>
              <w:jc w:val="center"/>
              <w:rPr>
                <w:rFonts w:asciiTheme="minorHAnsi" w:hAnsiTheme="minorHAnsi" w:cstheme="minorHAnsi"/>
                <w:color w:val="EE0000"/>
                <w:sz w:val="14"/>
                <w:szCs w:val="14"/>
              </w:rPr>
            </w:pPr>
          </w:p>
        </w:tc>
        <w:tc>
          <w:tcPr>
            <w:tcW w:w="575" w:type="pct"/>
            <w:vAlign w:val="center"/>
          </w:tcPr>
          <w:p w14:paraId="2CBE58F3" w14:textId="77777777" w:rsidR="00E541EE" w:rsidRDefault="00E541EE" w:rsidP="00A84BB5">
            <w:pPr>
              <w:widowControl w:val="0"/>
              <w:jc w:val="center"/>
              <w:rPr>
                <w:rFonts w:cstheme="minorHAnsi"/>
                <w:sz w:val="14"/>
                <w:szCs w:val="14"/>
              </w:rPr>
            </w:pPr>
            <w:r w:rsidRPr="007B39CE">
              <w:rPr>
                <w:rFonts w:cstheme="minorHAnsi"/>
                <w:sz w:val="14"/>
                <w:szCs w:val="14"/>
              </w:rPr>
              <w:t>A100603: Subvencije kamatne stope poduzetničkih kredita</w:t>
            </w:r>
          </w:p>
          <w:p w14:paraId="1D6731B4" w14:textId="77777777" w:rsidR="00E541EE" w:rsidRDefault="00E541EE" w:rsidP="00A84BB5">
            <w:pPr>
              <w:widowControl w:val="0"/>
              <w:jc w:val="center"/>
              <w:rPr>
                <w:rFonts w:cstheme="minorHAnsi"/>
                <w:sz w:val="14"/>
                <w:szCs w:val="14"/>
              </w:rPr>
            </w:pPr>
            <w:r w:rsidRPr="007B39CE">
              <w:rPr>
                <w:rFonts w:cstheme="minorHAnsi"/>
                <w:sz w:val="14"/>
                <w:szCs w:val="14"/>
              </w:rPr>
              <w:t xml:space="preserve">A100604: </w:t>
            </w:r>
          </w:p>
          <w:p w14:paraId="1AEA8E8D" w14:textId="77777777" w:rsidR="00E541EE" w:rsidRDefault="00E541EE" w:rsidP="00A84BB5">
            <w:pPr>
              <w:widowControl w:val="0"/>
              <w:jc w:val="center"/>
              <w:rPr>
                <w:rFonts w:cstheme="minorHAnsi"/>
                <w:sz w:val="14"/>
                <w:szCs w:val="14"/>
              </w:rPr>
            </w:pPr>
            <w:r w:rsidRPr="007B39CE">
              <w:rPr>
                <w:rFonts w:cstheme="minorHAnsi"/>
                <w:sz w:val="14"/>
                <w:szCs w:val="14"/>
              </w:rPr>
              <w:t>Poticaji i pomoći obrtnicima i malim poduzetnicima</w:t>
            </w:r>
          </w:p>
          <w:p w14:paraId="336B67A1" w14:textId="77777777" w:rsidR="00E541EE" w:rsidRDefault="00E541EE" w:rsidP="00A84BB5">
            <w:pPr>
              <w:widowControl w:val="0"/>
              <w:jc w:val="center"/>
              <w:rPr>
                <w:rFonts w:cstheme="minorHAnsi"/>
                <w:sz w:val="14"/>
                <w:szCs w:val="14"/>
              </w:rPr>
            </w:pPr>
          </w:p>
          <w:p w14:paraId="3A734C01" w14:textId="77777777" w:rsidR="00E541EE" w:rsidRDefault="00E541EE" w:rsidP="00A84BB5">
            <w:pPr>
              <w:widowControl w:val="0"/>
              <w:jc w:val="center"/>
              <w:rPr>
                <w:rFonts w:cstheme="minorHAnsi"/>
                <w:sz w:val="14"/>
                <w:szCs w:val="14"/>
              </w:rPr>
            </w:pPr>
            <w:r w:rsidRPr="007B39CE">
              <w:rPr>
                <w:rFonts w:cstheme="minorHAnsi"/>
                <w:sz w:val="14"/>
                <w:szCs w:val="14"/>
              </w:rPr>
              <w:t xml:space="preserve">A100605: Poduzetnički inkubator i coworking </w:t>
            </w:r>
          </w:p>
          <w:p w14:paraId="743784E6" w14:textId="77777777" w:rsidR="00E541EE" w:rsidRDefault="00E541EE" w:rsidP="00A84BB5">
            <w:pPr>
              <w:widowControl w:val="0"/>
              <w:jc w:val="center"/>
              <w:rPr>
                <w:rFonts w:cstheme="minorHAnsi"/>
                <w:sz w:val="14"/>
                <w:szCs w:val="14"/>
              </w:rPr>
            </w:pPr>
            <w:r w:rsidRPr="007B39CE">
              <w:rPr>
                <w:rFonts w:cstheme="minorHAnsi"/>
                <w:sz w:val="14"/>
                <w:szCs w:val="14"/>
              </w:rPr>
              <w:t>A100606: Programi pripreme i praćenja turističke sezone</w:t>
            </w:r>
          </w:p>
          <w:p w14:paraId="10F250C9" w14:textId="77777777" w:rsidR="00E541EE" w:rsidRDefault="00E541EE" w:rsidP="00A84BB5">
            <w:pPr>
              <w:widowControl w:val="0"/>
              <w:jc w:val="center"/>
              <w:rPr>
                <w:rFonts w:cstheme="minorHAnsi"/>
                <w:sz w:val="14"/>
                <w:szCs w:val="14"/>
              </w:rPr>
            </w:pPr>
            <w:r w:rsidRPr="007B39CE">
              <w:rPr>
                <w:rFonts w:cstheme="minorHAnsi"/>
                <w:sz w:val="14"/>
                <w:szCs w:val="14"/>
              </w:rPr>
              <w:t>A100607: Spasilačka služba u turističkoj sezoni</w:t>
            </w:r>
          </w:p>
          <w:p w14:paraId="3B11F1C8" w14:textId="77777777" w:rsidR="00E541EE" w:rsidRDefault="00E541EE" w:rsidP="00A84BB5">
            <w:pPr>
              <w:widowControl w:val="0"/>
              <w:jc w:val="center"/>
              <w:rPr>
                <w:rFonts w:cstheme="minorHAnsi"/>
                <w:sz w:val="14"/>
                <w:szCs w:val="14"/>
              </w:rPr>
            </w:pPr>
            <w:r w:rsidRPr="007B39CE">
              <w:rPr>
                <w:rFonts w:cstheme="minorHAnsi"/>
                <w:sz w:val="14"/>
                <w:szCs w:val="14"/>
              </w:rPr>
              <w:t>T100601: Sufinanciranje Lokalne akcijske grupe Južne Istre</w:t>
            </w:r>
          </w:p>
          <w:p w14:paraId="3A75596D" w14:textId="77777777" w:rsidR="00E541EE" w:rsidRPr="007B39CE" w:rsidRDefault="00E541EE" w:rsidP="00A84BB5">
            <w:pPr>
              <w:widowControl w:val="0"/>
              <w:jc w:val="center"/>
              <w:rPr>
                <w:rFonts w:cstheme="minorHAnsi"/>
                <w:color w:val="EE0000"/>
                <w:sz w:val="14"/>
                <w:szCs w:val="14"/>
              </w:rPr>
            </w:pPr>
            <w:r w:rsidRPr="007B39CE">
              <w:rPr>
                <w:rFonts w:cstheme="minorHAnsi"/>
                <w:sz w:val="14"/>
                <w:szCs w:val="14"/>
              </w:rPr>
              <w:t>A100602: sufinanciranje Lokalne akcijske grupe u ribarstvu (LAGUR) ISTARSKA BATANA</w:t>
            </w:r>
          </w:p>
        </w:tc>
        <w:tc>
          <w:tcPr>
            <w:tcW w:w="648" w:type="pct"/>
            <w:tcBorders>
              <w:bottom w:val="single" w:sz="4" w:space="0" w:color="000000"/>
            </w:tcBorders>
            <w:shd w:val="clear" w:color="auto" w:fill="FFF1CC"/>
            <w:vAlign w:val="center"/>
          </w:tcPr>
          <w:p w14:paraId="42F48749" w14:textId="77777777" w:rsidR="00E541EE" w:rsidRPr="007B39CE" w:rsidRDefault="00E541EE" w:rsidP="00A84BB5">
            <w:pPr>
              <w:widowControl w:val="0"/>
              <w:contextualSpacing/>
              <w:jc w:val="center"/>
              <w:rPr>
                <w:rFonts w:cstheme="minorHAnsi"/>
                <w:sz w:val="14"/>
                <w:szCs w:val="14"/>
              </w:rPr>
            </w:pPr>
            <w:r w:rsidRPr="007B39CE">
              <w:rPr>
                <w:rFonts w:cstheme="minorHAnsi"/>
                <w:sz w:val="14"/>
                <w:szCs w:val="14"/>
              </w:rPr>
              <w:t>ukupan broj nezaposlenih</w:t>
            </w:r>
          </w:p>
          <w:p w14:paraId="39F6C972" w14:textId="77777777" w:rsidR="00E541EE" w:rsidRPr="007B39CE" w:rsidRDefault="00E541EE" w:rsidP="00A84BB5">
            <w:pPr>
              <w:widowControl w:val="0"/>
              <w:contextualSpacing/>
              <w:jc w:val="center"/>
              <w:rPr>
                <w:rFonts w:cstheme="minorHAnsi"/>
                <w:sz w:val="14"/>
                <w:szCs w:val="14"/>
              </w:rPr>
            </w:pPr>
          </w:p>
          <w:p w14:paraId="4B9AF0A8" w14:textId="77777777" w:rsidR="00E541EE" w:rsidRPr="007B39CE" w:rsidRDefault="00E541EE" w:rsidP="00A84BB5">
            <w:pPr>
              <w:widowControl w:val="0"/>
              <w:contextualSpacing/>
              <w:jc w:val="center"/>
              <w:rPr>
                <w:rFonts w:cstheme="minorHAnsi"/>
                <w:sz w:val="14"/>
                <w:szCs w:val="14"/>
              </w:rPr>
            </w:pPr>
          </w:p>
          <w:p w14:paraId="120F397F" w14:textId="77777777" w:rsidR="00E541EE" w:rsidRPr="007B39CE" w:rsidRDefault="00E541EE" w:rsidP="00A84BB5">
            <w:pPr>
              <w:widowControl w:val="0"/>
              <w:contextualSpacing/>
              <w:jc w:val="center"/>
              <w:rPr>
                <w:rFonts w:cstheme="minorHAnsi"/>
                <w:sz w:val="14"/>
                <w:szCs w:val="14"/>
              </w:rPr>
            </w:pPr>
            <w:r w:rsidRPr="007B39CE">
              <w:rPr>
                <w:rFonts w:cstheme="minorHAnsi"/>
                <w:sz w:val="14"/>
                <w:szCs w:val="14"/>
              </w:rPr>
              <w:t>ukupan broj poduzetnika</w:t>
            </w:r>
          </w:p>
          <w:p w14:paraId="6D1D7628" w14:textId="77777777" w:rsidR="00E541EE" w:rsidRPr="007B39CE" w:rsidRDefault="00E541EE" w:rsidP="00A84BB5">
            <w:pPr>
              <w:widowControl w:val="0"/>
              <w:contextualSpacing/>
              <w:jc w:val="center"/>
              <w:rPr>
                <w:rFonts w:cstheme="minorHAnsi"/>
                <w:sz w:val="14"/>
                <w:szCs w:val="14"/>
              </w:rPr>
            </w:pPr>
          </w:p>
          <w:p w14:paraId="1E4ABF24" w14:textId="77777777" w:rsidR="00E541EE" w:rsidRPr="007B39CE" w:rsidRDefault="00E541EE" w:rsidP="00A84BB5">
            <w:pPr>
              <w:widowControl w:val="0"/>
              <w:contextualSpacing/>
              <w:jc w:val="center"/>
              <w:rPr>
                <w:rFonts w:cstheme="minorHAnsi"/>
                <w:sz w:val="14"/>
                <w:szCs w:val="14"/>
              </w:rPr>
            </w:pPr>
          </w:p>
          <w:p w14:paraId="34937D0E" w14:textId="77777777" w:rsidR="00E541EE" w:rsidRPr="007B39CE" w:rsidRDefault="00E541EE" w:rsidP="00A84BB5">
            <w:pPr>
              <w:widowControl w:val="0"/>
              <w:contextualSpacing/>
              <w:jc w:val="center"/>
              <w:rPr>
                <w:rFonts w:cstheme="minorHAnsi"/>
                <w:sz w:val="14"/>
                <w:szCs w:val="14"/>
              </w:rPr>
            </w:pPr>
            <w:r w:rsidRPr="007B39CE">
              <w:rPr>
                <w:rFonts w:cstheme="minorHAnsi"/>
                <w:sz w:val="14"/>
                <w:szCs w:val="14"/>
              </w:rPr>
              <w:t>ukupan broj obrtnika</w:t>
            </w:r>
          </w:p>
          <w:p w14:paraId="193145AD" w14:textId="77777777" w:rsidR="00E541EE" w:rsidRPr="007B39CE" w:rsidRDefault="00E541EE" w:rsidP="00A84BB5">
            <w:pPr>
              <w:widowControl w:val="0"/>
              <w:contextualSpacing/>
              <w:jc w:val="center"/>
              <w:rPr>
                <w:rFonts w:cstheme="minorHAnsi"/>
                <w:sz w:val="14"/>
                <w:szCs w:val="14"/>
              </w:rPr>
            </w:pPr>
          </w:p>
          <w:p w14:paraId="124AAB2F" w14:textId="77777777" w:rsidR="00E541EE" w:rsidRPr="007B39CE" w:rsidRDefault="00E541EE" w:rsidP="00A84BB5">
            <w:pPr>
              <w:widowControl w:val="0"/>
              <w:contextualSpacing/>
              <w:jc w:val="center"/>
              <w:rPr>
                <w:rFonts w:cstheme="minorHAnsi"/>
                <w:sz w:val="14"/>
                <w:szCs w:val="14"/>
              </w:rPr>
            </w:pPr>
          </w:p>
          <w:p w14:paraId="5595D96E" w14:textId="77777777" w:rsidR="00E541EE" w:rsidRPr="007B39CE" w:rsidRDefault="00E541EE" w:rsidP="00A84BB5">
            <w:pPr>
              <w:widowControl w:val="0"/>
              <w:contextualSpacing/>
              <w:jc w:val="center"/>
              <w:rPr>
                <w:rFonts w:cstheme="minorHAnsi"/>
                <w:sz w:val="14"/>
                <w:szCs w:val="14"/>
              </w:rPr>
            </w:pPr>
            <w:r w:rsidRPr="007B39CE">
              <w:rPr>
                <w:rFonts w:cstheme="minorHAnsi"/>
                <w:sz w:val="14"/>
                <w:szCs w:val="14"/>
              </w:rPr>
              <w:t>Broj korisnika subvencija kamatnih stopa</w:t>
            </w:r>
          </w:p>
          <w:p w14:paraId="70C32301" w14:textId="77777777" w:rsidR="00E541EE" w:rsidRPr="007B39CE" w:rsidRDefault="00E541EE" w:rsidP="00A84BB5">
            <w:pPr>
              <w:widowControl w:val="0"/>
              <w:contextualSpacing/>
              <w:jc w:val="center"/>
              <w:rPr>
                <w:rFonts w:cstheme="minorHAnsi"/>
                <w:sz w:val="14"/>
                <w:szCs w:val="14"/>
              </w:rPr>
            </w:pPr>
          </w:p>
          <w:p w14:paraId="0922D999" w14:textId="77777777" w:rsidR="00E541EE" w:rsidRPr="007B39CE" w:rsidRDefault="00E541EE" w:rsidP="00A84BB5">
            <w:pPr>
              <w:widowControl w:val="0"/>
              <w:contextualSpacing/>
              <w:jc w:val="center"/>
              <w:rPr>
                <w:rFonts w:cstheme="minorHAnsi"/>
                <w:sz w:val="14"/>
                <w:szCs w:val="14"/>
              </w:rPr>
            </w:pPr>
            <w:r w:rsidRPr="007B39CE">
              <w:rPr>
                <w:rFonts w:cstheme="minorHAnsi"/>
                <w:sz w:val="14"/>
                <w:szCs w:val="14"/>
              </w:rPr>
              <w:t>broj dodijeljenih potpora poduzetnicima i obrtnicima</w:t>
            </w:r>
          </w:p>
          <w:p w14:paraId="19027C5B" w14:textId="77777777" w:rsidR="00E541EE" w:rsidRPr="007B39CE" w:rsidRDefault="00E541EE" w:rsidP="00A84BB5">
            <w:pPr>
              <w:widowControl w:val="0"/>
              <w:contextualSpacing/>
              <w:jc w:val="center"/>
              <w:rPr>
                <w:rFonts w:cstheme="minorHAnsi"/>
                <w:sz w:val="14"/>
                <w:szCs w:val="14"/>
              </w:rPr>
            </w:pPr>
          </w:p>
          <w:p w14:paraId="0F696443" w14:textId="77777777" w:rsidR="00E541EE" w:rsidRPr="007B39CE" w:rsidRDefault="00E541EE" w:rsidP="00A84BB5">
            <w:pPr>
              <w:widowControl w:val="0"/>
              <w:contextualSpacing/>
              <w:jc w:val="center"/>
              <w:rPr>
                <w:rFonts w:cstheme="minorHAnsi"/>
                <w:sz w:val="14"/>
                <w:szCs w:val="14"/>
              </w:rPr>
            </w:pPr>
          </w:p>
          <w:p w14:paraId="59381077" w14:textId="77777777" w:rsidR="00E541EE" w:rsidRPr="007B39CE" w:rsidRDefault="00E541EE" w:rsidP="00A84BB5">
            <w:pPr>
              <w:widowControl w:val="0"/>
              <w:contextualSpacing/>
              <w:jc w:val="center"/>
              <w:rPr>
                <w:rFonts w:cstheme="minorHAnsi"/>
                <w:sz w:val="14"/>
                <w:szCs w:val="14"/>
              </w:rPr>
            </w:pPr>
            <w:r w:rsidRPr="007B39CE">
              <w:rPr>
                <w:rFonts w:cstheme="minorHAnsi"/>
                <w:sz w:val="14"/>
                <w:szCs w:val="14"/>
              </w:rPr>
              <w:t>Broj poduzetničkih inkubatora</w:t>
            </w:r>
          </w:p>
          <w:p w14:paraId="56DC92ED" w14:textId="77777777" w:rsidR="00E541EE" w:rsidRPr="007B39CE" w:rsidRDefault="00E541EE" w:rsidP="00A84BB5">
            <w:pPr>
              <w:widowControl w:val="0"/>
              <w:contextualSpacing/>
              <w:jc w:val="center"/>
              <w:rPr>
                <w:rFonts w:cstheme="minorHAnsi"/>
                <w:sz w:val="14"/>
                <w:szCs w:val="14"/>
              </w:rPr>
            </w:pPr>
          </w:p>
          <w:p w14:paraId="66FD64F0" w14:textId="77777777" w:rsidR="00E541EE" w:rsidRPr="007B39CE" w:rsidRDefault="00E541EE" w:rsidP="00A84BB5">
            <w:pPr>
              <w:widowControl w:val="0"/>
              <w:contextualSpacing/>
              <w:jc w:val="center"/>
              <w:rPr>
                <w:rFonts w:cstheme="minorHAnsi"/>
                <w:sz w:val="14"/>
                <w:szCs w:val="14"/>
              </w:rPr>
            </w:pPr>
          </w:p>
          <w:p w14:paraId="22163909" w14:textId="77777777" w:rsidR="00E541EE" w:rsidRPr="007B39CE" w:rsidRDefault="00E541EE" w:rsidP="00A84BB5">
            <w:pPr>
              <w:widowControl w:val="0"/>
              <w:contextualSpacing/>
              <w:jc w:val="center"/>
              <w:rPr>
                <w:rFonts w:cstheme="minorHAnsi"/>
                <w:color w:val="EE0000"/>
                <w:sz w:val="14"/>
                <w:szCs w:val="14"/>
              </w:rPr>
            </w:pPr>
            <w:r w:rsidRPr="007B39CE">
              <w:rPr>
                <w:rFonts w:cstheme="minorHAnsi"/>
                <w:sz w:val="14"/>
                <w:szCs w:val="14"/>
              </w:rPr>
              <w:t>Broj coworking prostora</w:t>
            </w:r>
          </w:p>
        </w:tc>
        <w:tc>
          <w:tcPr>
            <w:tcW w:w="409" w:type="pct"/>
            <w:tcBorders>
              <w:bottom w:val="single" w:sz="4" w:space="0" w:color="000000"/>
            </w:tcBorders>
            <w:vAlign w:val="center"/>
          </w:tcPr>
          <w:p w14:paraId="4996CCAF" w14:textId="77777777" w:rsidR="00E541EE" w:rsidRPr="007B39CE" w:rsidRDefault="00E541EE" w:rsidP="00A84BB5">
            <w:pPr>
              <w:widowControl w:val="0"/>
              <w:contextualSpacing/>
              <w:jc w:val="center"/>
              <w:rPr>
                <w:rFonts w:cstheme="minorHAnsi"/>
                <w:sz w:val="14"/>
                <w:szCs w:val="14"/>
              </w:rPr>
            </w:pPr>
          </w:p>
          <w:p w14:paraId="39373B2D" w14:textId="77777777" w:rsidR="00E541EE" w:rsidRPr="007B39CE" w:rsidRDefault="00E541EE" w:rsidP="00A84BB5">
            <w:pPr>
              <w:widowControl w:val="0"/>
              <w:contextualSpacing/>
              <w:jc w:val="center"/>
              <w:rPr>
                <w:rFonts w:cstheme="minorHAnsi"/>
                <w:sz w:val="14"/>
                <w:szCs w:val="14"/>
              </w:rPr>
            </w:pPr>
            <w:r w:rsidRPr="007B39CE">
              <w:rPr>
                <w:rFonts w:cstheme="minorHAnsi"/>
                <w:sz w:val="14"/>
                <w:szCs w:val="14"/>
              </w:rPr>
              <w:t>32</w:t>
            </w:r>
          </w:p>
          <w:p w14:paraId="16E612E1" w14:textId="77777777" w:rsidR="00E541EE" w:rsidRPr="007B39CE" w:rsidRDefault="00E541EE" w:rsidP="00A84BB5">
            <w:pPr>
              <w:widowControl w:val="0"/>
              <w:contextualSpacing/>
              <w:jc w:val="center"/>
              <w:rPr>
                <w:rFonts w:cstheme="minorHAnsi"/>
                <w:sz w:val="14"/>
                <w:szCs w:val="14"/>
              </w:rPr>
            </w:pPr>
          </w:p>
          <w:p w14:paraId="136EF9F0" w14:textId="77777777" w:rsidR="00E541EE" w:rsidRPr="007B39CE" w:rsidRDefault="00E541EE" w:rsidP="00A84BB5">
            <w:pPr>
              <w:widowControl w:val="0"/>
              <w:contextualSpacing/>
              <w:jc w:val="center"/>
              <w:rPr>
                <w:rFonts w:cstheme="minorHAnsi"/>
                <w:sz w:val="14"/>
                <w:szCs w:val="14"/>
              </w:rPr>
            </w:pPr>
          </w:p>
          <w:p w14:paraId="23772882" w14:textId="77777777" w:rsidR="00E541EE" w:rsidRPr="007B39CE" w:rsidRDefault="00E541EE" w:rsidP="00A84BB5">
            <w:pPr>
              <w:widowControl w:val="0"/>
              <w:contextualSpacing/>
              <w:jc w:val="center"/>
              <w:rPr>
                <w:rFonts w:cstheme="minorHAnsi"/>
                <w:sz w:val="14"/>
                <w:szCs w:val="14"/>
              </w:rPr>
            </w:pPr>
          </w:p>
          <w:p w14:paraId="2D59BF2C" w14:textId="77777777" w:rsidR="00E541EE" w:rsidRPr="007B39CE" w:rsidRDefault="00E541EE" w:rsidP="00A84BB5">
            <w:pPr>
              <w:widowControl w:val="0"/>
              <w:contextualSpacing/>
              <w:jc w:val="center"/>
              <w:rPr>
                <w:rFonts w:cstheme="minorHAnsi"/>
                <w:sz w:val="14"/>
                <w:szCs w:val="14"/>
              </w:rPr>
            </w:pPr>
            <w:r w:rsidRPr="007B39CE">
              <w:rPr>
                <w:rFonts w:cstheme="minorHAnsi"/>
                <w:sz w:val="14"/>
                <w:szCs w:val="14"/>
              </w:rPr>
              <w:t>153</w:t>
            </w:r>
          </w:p>
          <w:p w14:paraId="6707BA72" w14:textId="77777777" w:rsidR="00E541EE" w:rsidRPr="007B39CE" w:rsidRDefault="00E541EE" w:rsidP="00A84BB5">
            <w:pPr>
              <w:widowControl w:val="0"/>
              <w:contextualSpacing/>
              <w:jc w:val="center"/>
              <w:rPr>
                <w:rFonts w:cstheme="minorHAnsi"/>
                <w:sz w:val="14"/>
                <w:szCs w:val="14"/>
              </w:rPr>
            </w:pPr>
          </w:p>
          <w:p w14:paraId="2E88A1D9" w14:textId="77777777" w:rsidR="00E541EE" w:rsidRPr="007B39CE" w:rsidRDefault="00E541EE" w:rsidP="00A84BB5">
            <w:pPr>
              <w:widowControl w:val="0"/>
              <w:contextualSpacing/>
              <w:jc w:val="center"/>
              <w:rPr>
                <w:rFonts w:cstheme="minorHAnsi"/>
                <w:sz w:val="14"/>
                <w:szCs w:val="14"/>
              </w:rPr>
            </w:pPr>
          </w:p>
          <w:p w14:paraId="4AB5D407" w14:textId="77777777" w:rsidR="00E541EE" w:rsidRPr="007B39CE" w:rsidRDefault="00E541EE" w:rsidP="00A84BB5">
            <w:pPr>
              <w:widowControl w:val="0"/>
              <w:contextualSpacing/>
              <w:jc w:val="center"/>
              <w:rPr>
                <w:rFonts w:cstheme="minorHAnsi"/>
                <w:sz w:val="14"/>
                <w:szCs w:val="14"/>
              </w:rPr>
            </w:pPr>
          </w:p>
          <w:p w14:paraId="3C93F459" w14:textId="77777777" w:rsidR="00E541EE" w:rsidRPr="007B39CE" w:rsidRDefault="00E541EE" w:rsidP="00A84BB5">
            <w:pPr>
              <w:widowControl w:val="0"/>
              <w:contextualSpacing/>
              <w:jc w:val="center"/>
              <w:rPr>
                <w:rFonts w:cstheme="minorHAnsi"/>
                <w:sz w:val="14"/>
                <w:szCs w:val="14"/>
              </w:rPr>
            </w:pPr>
            <w:r w:rsidRPr="007B39CE">
              <w:rPr>
                <w:rFonts w:cstheme="minorHAnsi"/>
                <w:sz w:val="14"/>
                <w:szCs w:val="14"/>
              </w:rPr>
              <w:t>954</w:t>
            </w:r>
          </w:p>
          <w:p w14:paraId="1311D213" w14:textId="77777777" w:rsidR="00E541EE" w:rsidRPr="007B39CE" w:rsidRDefault="00E541EE" w:rsidP="00A84BB5">
            <w:pPr>
              <w:widowControl w:val="0"/>
              <w:contextualSpacing/>
              <w:jc w:val="center"/>
              <w:rPr>
                <w:rFonts w:cstheme="minorHAnsi"/>
                <w:sz w:val="14"/>
                <w:szCs w:val="14"/>
              </w:rPr>
            </w:pPr>
          </w:p>
          <w:p w14:paraId="2DB4F147" w14:textId="77777777" w:rsidR="00E541EE" w:rsidRPr="007B39CE" w:rsidRDefault="00E541EE" w:rsidP="00A84BB5">
            <w:pPr>
              <w:widowControl w:val="0"/>
              <w:contextualSpacing/>
              <w:jc w:val="center"/>
              <w:rPr>
                <w:rFonts w:cstheme="minorHAnsi"/>
                <w:sz w:val="14"/>
                <w:szCs w:val="14"/>
              </w:rPr>
            </w:pPr>
          </w:p>
          <w:p w14:paraId="11990A7C" w14:textId="77777777" w:rsidR="00E541EE" w:rsidRPr="007B39CE" w:rsidRDefault="00E541EE" w:rsidP="00A84BB5">
            <w:pPr>
              <w:widowControl w:val="0"/>
              <w:contextualSpacing/>
              <w:jc w:val="center"/>
              <w:rPr>
                <w:rFonts w:cstheme="minorHAnsi"/>
                <w:sz w:val="14"/>
                <w:szCs w:val="14"/>
              </w:rPr>
            </w:pPr>
          </w:p>
          <w:p w14:paraId="3733FAC8" w14:textId="77777777" w:rsidR="00E541EE" w:rsidRPr="007B39CE" w:rsidRDefault="00E541EE" w:rsidP="00A84BB5">
            <w:pPr>
              <w:widowControl w:val="0"/>
              <w:contextualSpacing/>
              <w:jc w:val="center"/>
              <w:rPr>
                <w:rFonts w:cstheme="minorHAnsi"/>
                <w:sz w:val="14"/>
                <w:szCs w:val="14"/>
              </w:rPr>
            </w:pPr>
            <w:r w:rsidRPr="007B39CE">
              <w:rPr>
                <w:rFonts w:cstheme="minorHAnsi"/>
                <w:sz w:val="14"/>
                <w:szCs w:val="14"/>
              </w:rPr>
              <w:t>733</w:t>
            </w:r>
          </w:p>
          <w:p w14:paraId="6028AC49" w14:textId="77777777" w:rsidR="00E541EE" w:rsidRPr="007B39CE" w:rsidRDefault="00E541EE" w:rsidP="00A84BB5">
            <w:pPr>
              <w:widowControl w:val="0"/>
              <w:contextualSpacing/>
              <w:jc w:val="center"/>
              <w:rPr>
                <w:rFonts w:cstheme="minorHAnsi"/>
                <w:sz w:val="14"/>
                <w:szCs w:val="14"/>
              </w:rPr>
            </w:pPr>
          </w:p>
          <w:p w14:paraId="1366605D" w14:textId="77777777" w:rsidR="00E541EE" w:rsidRPr="007B39CE" w:rsidRDefault="00E541EE" w:rsidP="00A84BB5">
            <w:pPr>
              <w:widowControl w:val="0"/>
              <w:contextualSpacing/>
              <w:jc w:val="center"/>
              <w:rPr>
                <w:rFonts w:cstheme="minorHAnsi"/>
                <w:sz w:val="14"/>
                <w:szCs w:val="14"/>
              </w:rPr>
            </w:pPr>
          </w:p>
          <w:p w14:paraId="598B7C37" w14:textId="77777777" w:rsidR="00E541EE" w:rsidRPr="007B39CE" w:rsidRDefault="00E541EE" w:rsidP="00A84BB5">
            <w:pPr>
              <w:widowControl w:val="0"/>
              <w:contextualSpacing/>
              <w:jc w:val="center"/>
              <w:rPr>
                <w:rFonts w:cstheme="minorHAnsi"/>
                <w:sz w:val="14"/>
                <w:szCs w:val="14"/>
              </w:rPr>
            </w:pPr>
          </w:p>
          <w:p w14:paraId="57293F2B" w14:textId="77777777" w:rsidR="00E541EE" w:rsidRPr="007B39CE" w:rsidRDefault="00E541EE" w:rsidP="00A84BB5">
            <w:pPr>
              <w:widowControl w:val="0"/>
              <w:contextualSpacing/>
              <w:jc w:val="center"/>
              <w:rPr>
                <w:rFonts w:cstheme="minorHAnsi"/>
                <w:sz w:val="14"/>
                <w:szCs w:val="14"/>
              </w:rPr>
            </w:pPr>
            <w:r w:rsidRPr="007B39CE">
              <w:rPr>
                <w:rFonts w:cstheme="minorHAnsi"/>
                <w:sz w:val="14"/>
                <w:szCs w:val="14"/>
              </w:rPr>
              <w:t>37</w:t>
            </w:r>
          </w:p>
          <w:p w14:paraId="646931C1" w14:textId="77777777" w:rsidR="00E541EE" w:rsidRPr="007B39CE" w:rsidRDefault="00E541EE" w:rsidP="00A84BB5">
            <w:pPr>
              <w:widowControl w:val="0"/>
              <w:contextualSpacing/>
              <w:jc w:val="center"/>
              <w:rPr>
                <w:rFonts w:cstheme="minorHAnsi"/>
                <w:sz w:val="14"/>
                <w:szCs w:val="14"/>
              </w:rPr>
            </w:pPr>
          </w:p>
          <w:p w14:paraId="32A6B0DA" w14:textId="77777777" w:rsidR="00E541EE" w:rsidRPr="007B39CE" w:rsidRDefault="00E541EE" w:rsidP="00A84BB5">
            <w:pPr>
              <w:widowControl w:val="0"/>
              <w:contextualSpacing/>
              <w:jc w:val="center"/>
              <w:rPr>
                <w:rFonts w:cstheme="minorHAnsi"/>
                <w:sz w:val="14"/>
                <w:szCs w:val="14"/>
              </w:rPr>
            </w:pPr>
          </w:p>
          <w:p w14:paraId="3FDB58B6" w14:textId="77777777" w:rsidR="00E541EE" w:rsidRPr="007B39CE" w:rsidRDefault="00E541EE" w:rsidP="00A84BB5">
            <w:pPr>
              <w:widowControl w:val="0"/>
              <w:contextualSpacing/>
              <w:jc w:val="center"/>
              <w:rPr>
                <w:rFonts w:cstheme="minorHAnsi"/>
                <w:sz w:val="14"/>
                <w:szCs w:val="14"/>
              </w:rPr>
            </w:pPr>
          </w:p>
          <w:p w14:paraId="5CE71CD3" w14:textId="77777777" w:rsidR="00E541EE" w:rsidRPr="007B39CE" w:rsidRDefault="00E541EE" w:rsidP="00A84BB5">
            <w:pPr>
              <w:widowControl w:val="0"/>
              <w:contextualSpacing/>
              <w:jc w:val="center"/>
              <w:rPr>
                <w:rFonts w:cstheme="minorHAnsi"/>
                <w:sz w:val="14"/>
                <w:szCs w:val="14"/>
              </w:rPr>
            </w:pPr>
            <w:r w:rsidRPr="007B39CE">
              <w:rPr>
                <w:rFonts w:cstheme="minorHAnsi"/>
                <w:sz w:val="14"/>
                <w:szCs w:val="14"/>
              </w:rPr>
              <w:t>0</w:t>
            </w:r>
          </w:p>
          <w:p w14:paraId="2949BB45" w14:textId="77777777" w:rsidR="00E541EE" w:rsidRPr="007B39CE" w:rsidRDefault="00E541EE" w:rsidP="00A84BB5">
            <w:pPr>
              <w:widowControl w:val="0"/>
              <w:contextualSpacing/>
              <w:jc w:val="center"/>
              <w:rPr>
                <w:rFonts w:cstheme="minorHAnsi"/>
                <w:sz w:val="14"/>
                <w:szCs w:val="14"/>
              </w:rPr>
            </w:pPr>
          </w:p>
          <w:p w14:paraId="0CA22022" w14:textId="77777777" w:rsidR="00E541EE" w:rsidRPr="007B39CE" w:rsidRDefault="00E541EE" w:rsidP="00A84BB5">
            <w:pPr>
              <w:widowControl w:val="0"/>
              <w:contextualSpacing/>
              <w:jc w:val="center"/>
              <w:rPr>
                <w:rFonts w:cstheme="minorHAnsi"/>
                <w:sz w:val="14"/>
                <w:szCs w:val="14"/>
              </w:rPr>
            </w:pPr>
          </w:p>
          <w:p w14:paraId="42B77891" w14:textId="77777777" w:rsidR="00E541EE" w:rsidRPr="007B39CE" w:rsidRDefault="00E541EE" w:rsidP="00A84BB5">
            <w:pPr>
              <w:widowControl w:val="0"/>
              <w:contextualSpacing/>
              <w:jc w:val="center"/>
              <w:rPr>
                <w:rFonts w:cstheme="minorHAnsi"/>
                <w:sz w:val="14"/>
                <w:szCs w:val="14"/>
              </w:rPr>
            </w:pPr>
          </w:p>
          <w:p w14:paraId="13991FB5" w14:textId="77777777" w:rsidR="00E541EE" w:rsidRPr="007B39CE" w:rsidRDefault="00E541EE" w:rsidP="00A84BB5">
            <w:pPr>
              <w:widowControl w:val="0"/>
              <w:contextualSpacing/>
              <w:jc w:val="center"/>
              <w:rPr>
                <w:rFonts w:cstheme="minorHAnsi"/>
                <w:sz w:val="14"/>
                <w:szCs w:val="14"/>
              </w:rPr>
            </w:pPr>
            <w:r w:rsidRPr="007B39CE">
              <w:rPr>
                <w:rFonts w:cstheme="minorHAnsi"/>
                <w:sz w:val="14"/>
                <w:szCs w:val="14"/>
              </w:rPr>
              <w:t>1</w:t>
            </w:r>
          </w:p>
          <w:p w14:paraId="74620BBD" w14:textId="77777777" w:rsidR="00E541EE" w:rsidRPr="007B39CE" w:rsidRDefault="00E541EE" w:rsidP="00A84BB5">
            <w:pPr>
              <w:widowControl w:val="0"/>
              <w:contextualSpacing/>
              <w:jc w:val="center"/>
              <w:rPr>
                <w:rFonts w:cstheme="minorHAnsi"/>
                <w:sz w:val="14"/>
                <w:szCs w:val="14"/>
              </w:rPr>
            </w:pPr>
          </w:p>
          <w:p w14:paraId="70693935" w14:textId="77777777" w:rsidR="00E541EE" w:rsidRPr="007B39CE" w:rsidRDefault="00E541EE" w:rsidP="00A84BB5">
            <w:pPr>
              <w:widowControl w:val="0"/>
              <w:contextualSpacing/>
              <w:jc w:val="center"/>
              <w:rPr>
                <w:rFonts w:cstheme="minorHAnsi"/>
                <w:sz w:val="14"/>
                <w:szCs w:val="14"/>
              </w:rPr>
            </w:pPr>
          </w:p>
          <w:p w14:paraId="0FC4A7A9" w14:textId="77777777" w:rsidR="00E541EE" w:rsidRPr="007B39CE" w:rsidRDefault="00E541EE" w:rsidP="00A84BB5">
            <w:pPr>
              <w:widowControl w:val="0"/>
              <w:contextualSpacing/>
              <w:jc w:val="center"/>
              <w:rPr>
                <w:rFonts w:cstheme="minorHAnsi"/>
                <w:sz w:val="14"/>
                <w:szCs w:val="14"/>
              </w:rPr>
            </w:pPr>
          </w:p>
          <w:p w14:paraId="0660A62F" w14:textId="77777777" w:rsidR="00E541EE" w:rsidRPr="007B39CE" w:rsidRDefault="00E541EE" w:rsidP="00A84BB5">
            <w:pPr>
              <w:widowControl w:val="0"/>
              <w:contextualSpacing/>
              <w:jc w:val="center"/>
              <w:rPr>
                <w:rFonts w:cstheme="minorHAnsi"/>
                <w:sz w:val="14"/>
                <w:szCs w:val="14"/>
              </w:rPr>
            </w:pPr>
            <w:r w:rsidRPr="007B39CE">
              <w:rPr>
                <w:rFonts w:cstheme="minorHAnsi"/>
                <w:sz w:val="14"/>
                <w:szCs w:val="14"/>
              </w:rPr>
              <w:t>1</w:t>
            </w:r>
          </w:p>
          <w:p w14:paraId="44D41DDC" w14:textId="77777777" w:rsidR="00E541EE" w:rsidRPr="007B39CE" w:rsidRDefault="00E541EE" w:rsidP="00A84BB5">
            <w:pPr>
              <w:widowControl w:val="0"/>
              <w:jc w:val="center"/>
              <w:rPr>
                <w:rFonts w:cstheme="minorHAnsi"/>
                <w:sz w:val="14"/>
                <w:szCs w:val="14"/>
              </w:rPr>
            </w:pPr>
          </w:p>
        </w:tc>
        <w:tc>
          <w:tcPr>
            <w:tcW w:w="319" w:type="pct"/>
            <w:tcBorders>
              <w:bottom w:val="single" w:sz="4" w:space="0" w:color="000000"/>
            </w:tcBorders>
            <w:vAlign w:val="center"/>
          </w:tcPr>
          <w:p w14:paraId="188A5106" w14:textId="77777777" w:rsidR="00E541EE" w:rsidRPr="007B39CE" w:rsidRDefault="00E541EE" w:rsidP="00A84BB5">
            <w:pPr>
              <w:widowControl w:val="0"/>
              <w:contextualSpacing/>
              <w:jc w:val="center"/>
              <w:rPr>
                <w:rFonts w:cstheme="minorHAnsi"/>
                <w:sz w:val="14"/>
                <w:szCs w:val="14"/>
              </w:rPr>
            </w:pPr>
          </w:p>
          <w:p w14:paraId="0D530D54" w14:textId="77777777" w:rsidR="00E541EE" w:rsidRPr="007B39CE" w:rsidRDefault="00E541EE" w:rsidP="00A84BB5">
            <w:pPr>
              <w:widowControl w:val="0"/>
              <w:contextualSpacing/>
              <w:jc w:val="center"/>
              <w:rPr>
                <w:rFonts w:cstheme="minorHAnsi"/>
                <w:sz w:val="14"/>
                <w:szCs w:val="14"/>
              </w:rPr>
            </w:pPr>
            <w:r w:rsidRPr="007B39CE">
              <w:rPr>
                <w:rFonts w:cstheme="minorHAnsi"/>
                <w:sz w:val="14"/>
                <w:szCs w:val="14"/>
              </w:rPr>
              <w:t>33</w:t>
            </w:r>
          </w:p>
          <w:p w14:paraId="46330131" w14:textId="77777777" w:rsidR="00E541EE" w:rsidRPr="007B39CE" w:rsidRDefault="00E541EE" w:rsidP="00A84BB5">
            <w:pPr>
              <w:widowControl w:val="0"/>
              <w:contextualSpacing/>
              <w:jc w:val="center"/>
              <w:rPr>
                <w:rFonts w:cstheme="minorHAnsi"/>
                <w:sz w:val="14"/>
                <w:szCs w:val="14"/>
              </w:rPr>
            </w:pPr>
          </w:p>
          <w:p w14:paraId="2DC19F0D" w14:textId="77777777" w:rsidR="00E541EE" w:rsidRPr="007B39CE" w:rsidRDefault="00E541EE" w:rsidP="00A84BB5">
            <w:pPr>
              <w:widowControl w:val="0"/>
              <w:contextualSpacing/>
              <w:jc w:val="center"/>
              <w:rPr>
                <w:rFonts w:cstheme="minorHAnsi"/>
                <w:sz w:val="14"/>
                <w:szCs w:val="14"/>
              </w:rPr>
            </w:pPr>
          </w:p>
          <w:p w14:paraId="77FF7EED" w14:textId="77777777" w:rsidR="00E541EE" w:rsidRPr="007B39CE" w:rsidRDefault="00E541EE" w:rsidP="00A84BB5">
            <w:pPr>
              <w:widowControl w:val="0"/>
              <w:contextualSpacing/>
              <w:jc w:val="center"/>
              <w:rPr>
                <w:rFonts w:cstheme="minorHAnsi"/>
                <w:sz w:val="14"/>
                <w:szCs w:val="14"/>
              </w:rPr>
            </w:pPr>
          </w:p>
          <w:p w14:paraId="1FB535B2" w14:textId="77777777" w:rsidR="00E541EE" w:rsidRPr="007B39CE" w:rsidRDefault="00E541EE" w:rsidP="00A84BB5">
            <w:pPr>
              <w:widowControl w:val="0"/>
              <w:contextualSpacing/>
              <w:jc w:val="center"/>
              <w:rPr>
                <w:rFonts w:cstheme="minorHAnsi"/>
                <w:sz w:val="14"/>
                <w:szCs w:val="14"/>
              </w:rPr>
            </w:pPr>
            <w:r w:rsidRPr="007B39CE">
              <w:rPr>
                <w:rFonts w:cstheme="minorHAnsi"/>
                <w:sz w:val="14"/>
                <w:szCs w:val="14"/>
              </w:rPr>
              <w:t>150</w:t>
            </w:r>
          </w:p>
          <w:p w14:paraId="05D9C137" w14:textId="77777777" w:rsidR="00E541EE" w:rsidRPr="007B39CE" w:rsidRDefault="00E541EE" w:rsidP="00A84BB5">
            <w:pPr>
              <w:widowControl w:val="0"/>
              <w:contextualSpacing/>
              <w:jc w:val="center"/>
              <w:rPr>
                <w:rFonts w:cstheme="minorHAnsi"/>
                <w:sz w:val="14"/>
                <w:szCs w:val="14"/>
              </w:rPr>
            </w:pPr>
          </w:p>
          <w:p w14:paraId="0DD5FC67" w14:textId="77777777" w:rsidR="00E541EE" w:rsidRPr="007B39CE" w:rsidRDefault="00E541EE" w:rsidP="00A84BB5">
            <w:pPr>
              <w:widowControl w:val="0"/>
              <w:contextualSpacing/>
              <w:jc w:val="center"/>
              <w:rPr>
                <w:rFonts w:cstheme="minorHAnsi"/>
                <w:sz w:val="14"/>
                <w:szCs w:val="14"/>
              </w:rPr>
            </w:pPr>
          </w:p>
          <w:p w14:paraId="6540AF57" w14:textId="77777777" w:rsidR="00E541EE" w:rsidRPr="007B39CE" w:rsidRDefault="00E541EE" w:rsidP="00A84BB5">
            <w:pPr>
              <w:widowControl w:val="0"/>
              <w:contextualSpacing/>
              <w:jc w:val="center"/>
              <w:rPr>
                <w:rFonts w:cstheme="minorHAnsi"/>
                <w:sz w:val="14"/>
                <w:szCs w:val="14"/>
              </w:rPr>
            </w:pPr>
          </w:p>
          <w:p w14:paraId="7D939815" w14:textId="77777777" w:rsidR="00E541EE" w:rsidRPr="007B39CE" w:rsidRDefault="00E541EE" w:rsidP="00A84BB5">
            <w:pPr>
              <w:widowControl w:val="0"/>
              <w:contextualSpacing/>
              <w:jc w:val="center"/>
              <w:rPr>
                <w:rFonts w:cstheme="minorHAnsi"/>
                <w:sz w:val="14"/>
                <w:szCs w:val="14"/>
              </w:rPr>
            </w:pPr>
            <w:r w:rsidRPr="007B39CE">
              <w:rPr>
                <w:rFonts w:cstheme="minorHAnsi"/>
                <w:sz w:val="14"/>
                <w:szCs w:val="14"/>
              </w:rPr>
              <w:t>960</w:t>
            </w:r>
          </w:p>
          <w:p w14:paraId="223E6B05" w14:textId="77777777" w:rsidR="00E541EE" w:rsidRPr="007B39CE" w:rsidRDefault="00E541EE" w:rsidP="00A84BB5">
            <w:pPr>
              <w:widowControl w:val="0"/>
              <w:contextualSpacing/>
              <w:jc w:val="center"/>
              <w:rPr>
                <w:rFonts w:cstheme="minorHAnsi"/>
                <w:sz w:val="14"/>
                <w:szCs w:val="14"/>
              </w:rPr>
            </w:pPr>
          </w:p>
          <w:p w14:paraId="4F9C6F5D" w14:textId="77777777" w:rsidR="00E541EE" w:rsidRPr="007B39CE" w:rsidRDefault="00E541EE" w:rsidP="00A84BB5">
            <w:pPr>
              <w:widowControl w:val="0"/>
              <w:contextualSpacing/>
              <w:jc w:val="center"/>
              <w:rPr>
                <w:rFonts w:cstheme="minorHAnsi"/>
                <w:sz w:val="14"/>
                <w:szCs w:val="14"/>
              </w:rPr>
            </w:pPr>
          </w:p>
          <w:p w14:paraId="3F6926BD" w14:textId="77777777" w:rsidR="00E541EE" w:rsidRPr="007B39CE" w:rsidRDefault="00E541EE" w:rsidP="00A84BB5">
            <w:pPr>
              <w:widowControl w:val="0"/>
              <w:contextualSpacing/>
              <w:jc w:val="center"/>
              <w:rPr>
                <w:rFonts w:cstheme="minorHAnsi"/>
                <w:sz w:val="14"/>
                <w:szCs w:val="14"/>
              </w:rPr>
            </w:pPr>
          </w:p>
          <w:p w14:paraId="40000657" w14:textId="77777777" w:rsidR="00E541EE" w:rsidRPr="007B39CE" w:rsidRDefault="00E541EE" w:rsidP="00A84BB5">
            <w:pPr>
              <w:widowControl w:val="0"/>
              <w:contextualSpacing/>
              <w:jc w:val="center"/>
              <w:rPr>
                <w:rFonts w:cstheme="minorHAnsi"/>
                <w:sz w:val="14"/>
                <w:szCs w:val="14"/>
              </w:rPr>
            </w:pPr>
            <w:r w:rsidRPr="007B39CE">
              <w:rPr>
                <w:rFonts w:cstheme="minorHAnsi"/>
                <w:sz w:val="14"/>
                <w:szCs w:val="14"/>
              </w:rPr>
              <w:t>740</w:t>
            </w:r>
          </w:p>
          <w:p w14:paraId="5BFFFDBD" w14:textId="77777777" w:rsidR="00E541EE" w:rsidRPr="007B39CE" w:rsidRDefault="00E541EE" w:rsidP="00A84BB5">
            <w:pPr>
              <w:widowControl w:val="0"/>
              <w:contextualSpacing/>
              <w:jc w:val="center"/>
              <w:rPr>
                <w:rFonts w:cstheme="minorHAnsi"/>
                <w:sz w:val="14"/>
                <w:szCs w:val="14"/>
              </w:rPr>
            </w:pPr>
          </w:p>
          <w:p w14:paraId="06B6161A" w14:textId="77777777" w:rsidR="00E541EE" w:rsidRPr="007B39CE" w:rsidRDefault="00E541EE" w:rsidP="00A84BB5">
            <w:pPr>
              <w:widowControl w:val="0"/>
              <w:contextualSpacing/>
              <w:jc w:val="center"/>
              <w:rPr>
                <w:rFonts w:cstheme="minorHAnsi"/>
                <w:sz w:val="14"/>
                <w:szCs w:val="14"/>
              </w:rPr>
            </w:pPr>
          </w:p>
          <w:p w14:paraId="127AA024" w14:textId="77777777" w:rsidR="00E541EE" w:rsidRPr="007B39CE" w:rsidRDefault="00E541EE" w:rsidP="00A84BB5">
            <w:pPr>
              <w:widowControl w:val="0"/>
              <w:contextualSpacing/>
              <w:jc w:val="center"/>
              <w:rPr>
                <w:rFonts w:cstheme="minorHAnsi"/>
                <w:sz w:val="14"/>
                <w:szCs w:val="14"/>
              </w:rPr>
            </w:pPr>
          </w:p>
          <w:p w14:paraId="055E3D81" w14:textId="77777777" w:rsidR="00E541EE" w:rsidRPr="007B39CE" w:rsidRDefault="00E541EE" w:rsidP="00A84BB5">
            <w:pPr>
              <w:widowControl w:val="0"/>
              <w:contextualSpacing/>
              <w:jc w:val="center"/>
              <w:rPr>
                <w:rFonts w:cstheme="minorHAnsi"/>
                <w:sz w:val="14"/>
                <w:szCs w:val="14"/>
              </w:rPr>
            </w:pPr>
            <w:r w:rsidRPr="007B39CE">
              <w:rPr>
                <w:rFonts w:cstheme="minorHAnsi"/>
                <w:sz w:val="14"/>
                <w:szCs w:val="14"/>
              </w:rPr>
              <w:t>40</w:t>
            </w:r>
          </w:p>
          <w:p w14:paraId="0B6A28BA" w14:textId="77777777" w:rsidR="00E541EE" w:rsidRPr="007B39CE" w:rsidRDefault="00E541EE" w:rsidP="00A84BB5">
            <w:pPr>
              <w:widowControl w:val="0"/>
              <w:contextualSpacing/>
              <w:jc w:val="center"/>
              <w:rPr>
                <w:rFonts w:cstheme="minorHAnsi"/>
                <w:sz w:val="14"/>
                <w:szCs w:val="14"/>
              </w:rPr>
            </w:pPr>
          </w:p>
          <w:p w14:paraId="02A91727" w14:textId="77777777" w:rsidR="00E541EE" w:rsidRPr="007B39CE" w:rsidRDefault="00E541EE" w:rsidP="00A84BB5">
            <w:pPr>
              <w:widowControl w:val="0"/>
              <w:contextualSpacing/>
              <w:jc w:val="center"/>
              <w:rPr>
                <w:rFonts w:cstheme="minorHAnsi"/>
                <w:sz w:val="14"/>
                <w:szCs w:val="14"/>
              </w:rPr>
            </w:pPr>
          </w:p>
          <w:p w14:paraId="2BE9F3C2" w14:textId="77777777" w:rsidR="00E541EE" w:rsidRPr="007B39CE" w:rsidRDefault="00E541EE" w:rsidP="00A84BB5">
            <w:pPr>
              <w:widowControl w:val="0"/>
              <w:contextualSpacing/>
              <w:jc w:val="center"/>
              <w:rPr>
                <w:rFonts w:cstheme="minorHAnsi"/>
                <w:sz w:val="14"/>
                <w:szCs w:val="14"/>
              </w:rPr>
            </w:pPr>
          </w:p>
          <w:p w14:paraId="493922FC" w14:textId="77777777" w:rsidR="00E541EE" w:rsidRPr="007B39CE" w:rsidRDefault="00E541EE" w:rsidP="00A84BB5">
            <w:pPr>
              <w:widowControl w:val="0"/>
              <w:contextualSpacing/>
              <w:jc w:val="center"/>
              <w:rPr>
                <w:rFonts w:cstheme="minorHAnsi"/>
                <w:sz w:val="14"/>
                <w:szCs w:val="14"/>
              </w:rPr>
            </w:pPr>
            <w:r w:rsidRPr="007B39CE">
              <w:rPr>
                <w:rFonts w:cstheme="minorHAnsi"/>
                <w:sz w:val="14"/>
                <w:szCs w:val="14"/>
              </w:rPr>
              <w:t>3</w:t>
            </w:r>
          </w:p>
          <w:p w14:paraId="2FFFEF4C" w14:textId="77777777" w:rsidR="00E541EE" w:rsidRPr="007B39CE" w:rsidRDefault="00E541EE" w:rsidP="00A84BB5">
            <w:pPr>
              <w:widowControl w:val="0"/>
              <w:contextualSpacing/>
              <w:jc w:val="center"/>
              <w:rPr>
                <w:rFonts w:cstheme="minorHAnsi"/>
                <w:sz w:val="14"/>
                <w:szCs w:val="14"/>
              </w:rPr>
            </w:pPr>
          </w:p>
          <w:p w14:paraId="088BF09C" w14:textId="77777777" w:rsidR="00E541EE" w:rsidRPr="007B39CE" w:rsidRDefault="00E541EE" w:rsidP="00A84BB5">
            <w:pPr>
              <w:widowControl w:val="0"/>
              <w:contextualSpacing/>
              <w:jc w:val="center"/>
              <w:rPr>
                <w:rFonts w:cstheme="minorHAnsi"/>
                <w:sz w:val="14"/>
                <w:szCs w:val="14"/>
              </w:rPr>
            </w:pPr>
          </w:p>
          <w:p w14:paraId="7B9A3469" w14:textId="77777777" w:rsidR="00E541EE" w:rsidRPr="007B39CE" w:rsidRDefault="00E541EE" w:rsidP="00A84BB5">
            <w:pPr>
              <w:widowControl w:val="0"/>
              <w:contextualSpacing/>
              <w:jc w:val="center"/>
              <w:rPr>
                <w:rFonts w:cstheme="minorHAnsi"/>
                <w:sz w:val="14"/>
                <w:szCs w:val="14"/>
              </w:rPr>
            </w:pPr>
          </w:p>
          <w:p w14:paraId="65D992A2" w14:textId="77777777" w:rsidR="00E541EE" w:rsidRPr="007B39CE" w:rsidRDefault="00E541EE" w:rsidP="00A84BB5">
            <w:pPr>
              <w:widowControl w:val="0"/>
              <w:contextualSpacing/>
              <w:jc w:val="center"/>
              <w:rPr>
                <w:rFonts w:cstheme="minorHAnsi"/>
                <w:sz w:val="14"/>
                <w:szCs w:val="14"/>
              </w:rPr>
            </w:pPr>
            <w:r w:rsidRPr="007B39CE">
              <w:rPr>
                <w:rFonts w:cstheme="minorHAnsi"/>
                <w:sz w:val="14"/>
                <w:szCs w:val="14"/>
              </w:rPr>
              <w:t>1</w:t>
            </w:r>
          </w:p>
          <w:p w14:paraId="66DB3FAB" w14:textId="77777777" w:rsidR="00E541EE" w:rsidRPr="007B39CE" w:rsidRDefault="00E541EE" w:rsidP="00A84BB5">
            <w:pPr>
              <w:widowControl w:val="0"/>
              <w:contextualSpacing/>
              <w:jc w:val="center"/>
              <w:rPr>
                <w:rFonts w:cstheme="minorHAnsi"/>
                <w:sz w:val="14"/>
                <w:szCs w:val="14"/>
              </w:rPr>
            </w:pPr>
          </w:p>
          <w:p w14:paraId="042675C4" w14:textId="77777777" w:rsidR="00E541EE" w:rsidRPr="007B39CE" w:rsidRDefault="00E541EE" w:rsidP="00A84BB5">
            <w:pPr>
              <w:widowControl w:val="0"/>
              <w:contextualSpacing/>
              <w:jc w:val="center"/>
              <w:rPr>
                <w:rFonts w:cstheme="minorHAnsi"/>
                <w:sz w:val="14"/>
                <w:szCs w:val="14"/>
              </w:rPr>
            </w:pPr>
          </w:p>
          <w:p w14:paraId="5280903B" w14:textId="77777777" w:rsidR="00E541EE" w:rsidRPr="007B39CE" w:rsidRDefault="00E541EE" w:rsidP="00A84BB5">
            <w:pPr>
              <w:widowControl w:val="0"/>
              <w:contextualSpacing/>
              <w:jc w:val="center"/>
              <w:rPr>
                <w:rFonts w:cstheme="minorHAnsi"/>
                <w:sz w:val="14"/>
                <w:szCs w:val="14"/>
              </w:rPr>
            </w:pPr>
          </w:p>
          <w:p w14:paraId="292A11D5" w14:textId="77777777" w:rsidR="00E541EE" w:rsidRPr="007B39CE" w:rsidRDefault="00E541EE" w:rsidP="00A84BB5">
            <w:pPr>
              <w:widowControl w:val="0"/>
              <w:contextualSpacing/>
              <w:jc w:val="center"/>
              <w:rPr>
                <w:rFonts w:cstheme="minorHAnsi"/>
                <w:sz w:val="14"/>
                <w:szCs w:val="14"/>
              </w:rPr>
            </w:pPr>
            <w:r w:rsidRPr="007B39CE">
              <w:rPr>
                <w:rFonts w:cstheme="minorHAnsi"/>
                <w:sz w:val="14"/>
                <w:szCs w:val="14"/>
              </w:rPr>
              <w:t>2</w:t>
            </w:r>
          </w:p>
          <w:p w14:paraId="4DFAEF85" w14:textId="77777777" w:rsidR="00E541EE" w:rsidRPr="007B39CE" w:rsidRDefault="00E541EE" w:rsidP="00A84BB5">
            <w:pPr>
              <w:widowControl w:val="0"/>
              <w:jc w:val="center"/>
              <w:rPr>
                <w:rFonts w:cstheme="minorHAnsi"/>
                <w:sz w:val="14"/>
                <w:szCs w:val="14"/>
              </w:rPr>
            </w:pPr>
          </w:p>
        </w:tc>
        <w:tc>
          <w:tcPr>
            <w:tcW w:w="339" w:type="pct"/>
            <w:tcBorders>
              <w:bottom w:val="single" w:sz="4" w:space="0" w:color="000000"/>
            </w:tcBorders>
            <w:vAlign w:val="center"/>
          </w:tcPr>
          <w:p w14:paraId="2EC3A4AC" w14:textId="77777777" w:rsidR="00E541EE" w:rsidRPr="007B39CE" w:rsidRDefault="00E541EE" w:rsidP="00A84BB5">
            <w:pPr>
              <w:widowControl w:val="0"/>
              <w:contextualSpacing/>
              <w:jc w:val="center"/>
              <w:rPr>
                <w:rFonts w:cstheme="minorHAnsi"/>
                <w:sz w:val="14"/>
                <w:szCs w:val="14"/>
              </w:rPr>
            </w:pPr>
          </w:p>
          <w:p w14:paraId="22912EC8" w14:textId="77777777" w:rsidR="00E541EE" w:rsidRPr="007B39CE" w:rsidRDefault="00E541EE" w:rsidP="00A84BB5">
            <w:pPr>
              <w:widowControl w:val="0"/>
              <w:contextualSpacing/>
              <w:jc w:val="center"/>
              <w:rPr>
                <w:rFonts w:cstheme="minorHAnsi"/>
                <w:sz w:val="14"/>
                <w:szCs w:val="14"/>
              </w:rPr>
            </w:pPr>
            <w:r w:rsidRPr="007B39CE">
              <w:rPr>
                <w:rFonts w:cstheme="minorHAnsi"/>
                <w:sz w:val="14"/>
                <w:szCs w:val="14"/>
              </w:rPr>
              <w:t>35</w:t>
            </w:r>
          </w:p>
          <w:p w14:paraId="36BC6F65" w14:textId="77777777" w:rsidR="00E541EE" w:rsidRPr="007B39CE" w:rsidRDefault="00E541EE" w:rsidP="00A84BB5">
            <w:pPr>
              <w:widowControl w:val="0"/>
              <w:contextualSpacing/>
              <w:jc w:val="center"/>
              <w:rPr>
                <w:rFonts w:cstheme="minorHAnsi"/>
                <w:sz w:val="14"/>
                <w:szCs w:val="14"/>
              </w:rPr>
            </w:pPr>
          </w:p>
          <w:p w14:paraId="760A4D21" w14:textId="77777777" w:rsidR="00E541EE" w:rsidRPr="007B39CE" w:rsidRDefault="00E541EE" w:rsidP="00A84BB5">
            <w:pPr>
              <w:widowControl w:val="0"/>
              <w:contextualSpacing/>
              <w:jc w:val="center"/>
              <w:rPr>
                <w:rFonts w:cstheme="minorHAnsi"/>
                <w:sz w:val="14"/>
                <w:szCs w:val="14"/>
              </w:rPr>
            </w:pPr>
          </w:p>
          <w:p w14:paraId="043DEA38" w14:textId="77777777" w:rsidR="00E541EE" w:rsidRPr="007B39CE" w:rsidRDefault="00E541EE" w:rsidP="00A84BB5">
            <w:pPr>
              <w:widowControl w:val="0"/>
              <w:contextualSpacing/>
              <w:jc w:val="center"/>
              <w:rPr>
                <w:rFonts w:cstheme="minorHAnsi"/>
                <w:sz w:val="14"/>
                <w:szCs w:val="14"/>
              </w:rPr>
            </w:pPr>
          </w:p>
          <w:p w14:paraId="564F2A4D" w14:textId="77777777" w:rsidR="00E541EE" w:rsidRPr="007B39CE" w:rsidRDefault="00E541EE" w:rsidP="00A84BB5">
            <w:pPr>
              <w:widowControl w:val="0"/>
              <w:contextualSpacing/>
              <w:jc w:val="center"/>
              <w:rPr>
                <w:rFonts w:cstheme="minorHAnsi"/>
                <w:sz w:val="14"/>
                <w:szCs w:val="14"/>
              </w:rPr>
            </w:pPr>
            <w:r w:rsidRPr="007B39CE">
              <w:rPr>
                <w:rFonts w:cstheme="minorHAnsi"/>
                <w:sz w:val="14"/>
                <w:szCs w:val="14"/>
              </w:rPr>
              <w:t>145</w:t>
            </w:r>
          </w:p>
          <w:p w14:paraId="3616C283" w14:textId="77777777" w:rsidR="00E541EE" w:rsidRPr="007B39CE" w:rsidRDefault="00E541EE" w:rsidP="00A84BB5">
            <w:pPr>
              <w:widowControl w:val="0"/>
              <w:contextualSpacing/>
              <w:jc w:val="center"/>
              <w:rPr>
                <w:rFonts w:cstheme="minorHAnsi"/>
                <w:sz w:val="14"/>
                <w:szCs w:val="14"/>
              </w:rPr>
            </w:pPr>
          </w:p>
          <w:p w14:paraId="2230DCB4" w14:textId="77777777" w:rsidR="00E541EE" w:rsidRPr="007B39CE" w:rsidRDefault="00E541EE" w:rsidP="00A84BB5">
            <w:pPr>
              <w:widowControl w:val="0"/>
              <w:contextualSpacing/>
              <w:jc w:val="center"/>
              <w:rPr>
                <w:rFonts w:cstheme="minorHAnsi"/>
                <w:sz w:val="14"/>
                <w:szCs w:val="14"/>
              </w:rPr>
            </w:pPr>
          </w:p>
          <w:p w14:paraId="478FB94F" w14:textId="77777777" w:rsidR="00E541EE" w:rsidRPr="007B39CE" w:rsidRDefault="00E541EE" w:rsidP="00A84BB5">
            <w:pPr>
              <w:widowControl w:val="0"/>
              <w:contextualSpacing/>
              <w:jc w:val="center"/>
              <w:rPr>
                <w:rFonts w:cstheme="minorHAnsi"/>
                <w:sz w:val="14"/>
                <w:szCs w:val="14"/>
              </w:rPr>
            </w:pPr>
          </w:p>
          <w:p w14:paraId="6FC4F652" w14:textId="77777777" w:rsidR="00E541EE" w:rsidRPr="007B39CE" w:rsidRDefault="00E541EE" w:rsidP="00A84BB5">
            <w:pPr>
              <w:widowControl w:val="0"/>
              <w:contextualSpacing/>
              <w:jc w:val="center"/>
              <w:rPr>
                <w:rFonts w:cstheme="minorHAnsi"/>
                <w:sz w:val="14"/>
                <w:szCs w:val="14"/>
              </w:rPr>
            </w:pPr>
            <w:r w:rsidRPr="007B39CE">
              <w:rPr>
                <w:rFonts w:cstheme="minorHAnsi"/>
                <w:sz w:val="14"/>
                <w:szCs w:val="14"/>
              </w:rPr>
              <w:t>965</w:t>
            </w:r>
          </w:p>
          <w:p w14:paraId="722A93D5" w14:textId="77777777" w:rsidR="00E541EE" w:rsidRPr="007B39CE" w:rsidRDefault="00E541EE" w:rsidP="00A84BB5">
            <w:pPr>
              <w:widowControl w:val="0"/>
              <w:contextualSpacing/>
              <w:jc w:val="center"/>
              <w:rPr>
                <w:rFonts w:cstheme="minorHAnsi"/>
                <w:sz w:val="14"/>
                <w:szCs w:val="14"/>
              </w:rPr>
            </w:pPr>
          </w:p>
          <w:p w14:paraId="66764FE2" w14:textId="77777777" w:rsidR="00E541EE" w:rsidRPr="007B39CE" w:rsidRDefault="00E541EE" w:rsidP="00A84BB5">
            <w:pPr>
              <w:widowControl w:val="0"/>
              <w:contextualSpacing/>
              <w:jc w:val="center"/>
              <w:rPr>
                <w:rFonts w:cstheme="minorHAnsi"/>
                <w:sz w:val="14"/>
                <w:szCs w:val="14"/>
              </w:rPr>
            </w:pPr>
          </w:p>
          <w:p w14:paraId="63E37488" w14:textId="77777777" w:rsidR="00E541EE" w:rsidRPr="007B39CE" w:rsidRDefault="00E541EE" w:rsidP="00A84BB5">
            <w:pPr>
              <w:widowControl w:val="0"/>
              <w:contextualSpacing/>
              <w:jc w:val="center"/>
              <w:rPr>
                <w:rFonts w:cstheme="minorHAnsi"/>
                <w:sz w:val="14"/>
                <w:szCs w:val="14"/>
              </w:rPr>
            </w:pPr>
          </w:p>
          <w:p w14:paraId="27FA60AC" w14:textId="77777777" w:rsidR="00E541EE" w:rsidRPr="007B39CE" w:rsidRDefault="00E541EE" w:rsidP="00A84BB5">
            <w:pPr>
              <w:widowControl w:val="0"/>
              <w:contextualSpacing/>
              <w:jc w:val="center"/>
              <w:rPr>
                <w:rFonts w:cstheme="minorHAnsi"/>
                <w:sz w:val="14"/>
                <w:szCs w:val="14"/>
              </w:rPr>
            </w:pPr>
            <w:r w:rsidRPr="007B39CE">
              <w:rPr>
                <w:rFonts w:cstheme="minorHAnsi"/>
                <w:sz w:val="14"/>
                <w:szCs w:val="14"/>
              </w:rPr>
              <w:t>750</w:t>
            </w:r>
          </w:p>
          <w:p w14:paraId="4B5B631A" w14:textId="77777777" w:rsidR="00E541EE" w:rsidRPr="007B39CE" w:rsidRDefault="00E541EE" w:rsidP="00A84BB5">
            <w:pPr>
              <w:widowControl w:val="0"/>
              <w:contextualSpacing/>
              <w:jc w:val="center"/>
              <w:rPr>
                <w:rFonts w:cstheme="minorHAnsi"/>
                <w:sz w:val="14"/>
                <w:szCs w:val="14"/>
              </w:rPr>
            </w:pPr>
          </w:p>
          <w:p w14:paraId="0BF5B444" w14:textId="77777777" w:rsidR="00E541EE" w:rsidRPr="007B39CE" w:rsidRDefault="00E541EE" w:rsidP="00A84BB5">
            <w:pPr>
              <w:widowControl w:val="0"/>
              <w:contextualSpacing/>
              <w:jc w:val="center"/>
              <w:rPr>
                <w:rFonts w:cstheme="minorHAnsi"/>
                <w:sz w:val="14"/>
                <w:szCs w:val="14"/>
              </w:rPr>
            </w:pPr>
          </w:p>
          <w:p w14:paraId="6C1143AE" w14:textId="77777777" w:rsidR="00E541EE" w:rsidRPr="007B39CE" w:rsidRDefault="00E541EE" w:rsidP="00A84BB5">
            <w:pPr>
              <w:widowControl w:val="0"/>
              <w:contextualSpacing/>
              <w:jc w:val="center"/>
              <w:rPr>
                <w:rFonts w:cstheme="minorHAnsi"/>
                <w:sz w:val="14"/>
                <w:szCs w:val="14"/>
              </w:rPr>
            </w:pPr>
          </w:p>
          <w:p w14:paraId="6D5E6624" w14:textId="77777777" w:rsidR="00E541EE" w:rsidRPr="007B39CE" w:rsidRDefault="00E541EE" w:rsidP="00A84BB5">
            <w:pPr>
              <w:widowControl w:val="0"/>
              <w:contextualSpacing/>
              <w:jc w:val="center"/>
              <w:rPr>
                <w:rFonts w:cstheme="minorHAnsi"/>
                <w:sz w:val="14"/>
                <w:szCs w:val="14"/>
              </w:rPr>
            </w:pPr>
            <w:r w:rsidRPr="007B39CE">
              <w:rPr>
                <w:rFonts w:cstheme="minorHAnsi"/>
                <w:sz w:val="14"/>
                <w:szCs w:val="14"/>
              </w:rPr>
              <w:t>42</w:t>
            </w:r>
          </w:p>
          <w:p w14:paraId="59815DB3" w14:textId="77777777" w:rsidR="00E541EE" w:rsidRPr="007B39CE" w:rsidRDefault="00E541EE" w:rsidP="00A84BB5">
            <w:pPr>
              <w:widowControl w:val="0"/>
              <w:contextualSpacing/>
              <w:jc w:val="center"/>
              <w:rPr>
                <w:rFonts w:cstheme="minorHAnsi"/>
                <w:sz w:val="14"/>
                <w:szCs w:val="14"/>
              </w:rPr>
            </w:pPr>
          </w:p>
          <w:p w14:paraId="52F48826" w14:textId="77777777" w:rsidR="00E541EE" w:rsidRPr="007B39CE" w:rsidRDefault="00E541EE" w:rsidP="00A84BB5">
            <w:pPr>
              <w:widowControl w:val="0"/>
              <w:contextualSpacing/>
              <w:jc w:val="center"/>
              <w:rPr>
                <w:rFonts w:cstheme="minorHAnsi"/>
                <w:sz w:val="14"/>
                <w:szCs w:val="14"/>
              </w:rPr>
            </w:pPr>
          </w:p>
          <w:p w14:paraId="0A17F7C5" w14:textId="77777777" w:rsidR="00E541EE" w:rsidRPr="007B39CE" w:rsidRDefault="00E541EE" w:rsidP="00A84BB5">
            <w:pPr>
              <w:widowControl w:val="0"/>
              <w:contextualSpacing/>
              <w:jc w:val="center"/>
              <w:rPr>
                <w:rFonts w:cstheme="minorHAnsi"/>
                <w:sz w:val="14"/>
                <w:szCs w:val="14"/>
              </w:rPr>
            </w:pPr>
          </w:p>
          <w:p w14:paraId="5488EB80" w14:textId="77777777" w:rsidR="00E541EE" w:rsidRPr="007B39CE" w:rsidRDefault="00E541EE" w:rsidP="00A84BB5">
            <w:pPr>
              <w:widowControl w:val="0"/>
              <w:contextualSpacing/>
              <w:jc w:val="center"/>
              <w:rPr>
                <w:rFonts w:cstheme="minorHAnsi"/>
                <w:sz w:val="14"/>
                <w:szCs w:val="14"/>
              </w:rPr>
            </w:pPr>
            <w:r w:rsidRPr="007B39CE">
              <w:rPr>
                <w:rFonts w:cstheme="minorHAnsi"/>
                <w:sz w:val="14"/>
                <w:szCs w:val="14"/>
              </w:rPr>
              <w:t>5</w:t>
            </w:r>
          </w:p>
          <w:p w14:paraId="23BF6A6A" w14:textId="77777777" w:rsidR="00E541EE" w:rsidRPr="007B39CE" w:rsidRDefault="00E541EE" w:rsidP="00A84BB5">
            <w:pPr>
              <w:widowControl w:val="0"/>
              <w:contextualSpacing/>
              <w:jc w:val="center"/>
              <w:rPr>
                <w:rFonts w:cstheme="minorHAnsi"/>
                <w:sz w:val="14"/>
                <w:szCs w:val="14"/>
              </w:rPr>
            </w:pPr>
          </w:p>
          <w:p w14:paraId="016220FB" w14:textId="77777777" w:rsidR="00E541EE" w:rsidRPr="007B39CE" w:rsidRDefault="00E541EE" w:rsidP="00A84BB5">
            <w:pPr>
              <w:widowControl w:val="0"/>
              <w:contextualSpacing/>
              <w:jc w:val="center"/>
              <w:rPr>
                <w:rFonts w:cstheme="minorHAnsi"/>
                <w:sz w:val="14"/>
                <w:szCs w:val="14"/>
              </w:rPr>
            </w:pPr>
          </w:p>
          <w:p w14:paraId="2C97E0B3" w14:textId="77777777" w:rsidR="00E541EE" w:rsidRPr="007B39CE" w:rsidRDefault="00E541EE" w:rsidP="00A84BB5">
            <w:pPr>
              <w:widowControl w:val="0"/>
              <w:contextualSpacing/>
              <w:jc w:val="center"/>
              <w:rPr>
                <w:rFonts w:cstheme="minorHAnsi"/>
                <w:sz w:val="14"/>
                <w:szCs w:val="14"/>
              </w:rPr>
            </w:pPr>
          </w:p>
          <w:p w14:paraId="5994109D" w14:textId="77777777" w:rsidR="00E541EE" w:rsidRPr="007B39CE" w:rsidRDefault="00E541EE" w:rsidP="00A84BB5">
            <w:pPr>
              <w:widowControl w:val="0"/>
              <w:contextualSpacing/>
              <w:jc w:val="center"/>
              <w:rPr>
                <w:rFonts w:cstheme="minorHAnsi"/>
                <w:sz w:val="14"/>
                <w:szCs w:val="14"/>
              </w:rPr>
            </w:pPr>
            <w:r w:rsidRPr="007B39CE">
              <w:rPr>
                <w:rFonts w:cstheme="minorHAnsi"/>
                <w:sz w:val="14"/>
                <w:szCs w:val="14"/>
              </w:rPr>
              <w:t>1</w:t>
            </w:r>
          </w:p>
          <w:p w14:paraId="204E375C" w14:textId="77777777" w:rsidR="00E541EE" w:rsidRPr="007B39CE" w:rsidRDefault="00E541EE" w:rsidP="00A84BB5">
            <w:pPr>
              <w:widowControl w:val="0"/>
              <w:contextualSpacing/>
              <w:jc w:val="center"/>
              <w:rPr>
                <w:rFonts w:cstheme="minorHAnsi"/>
                <w:sz w:val="14"/>
                <w:szCs w:val="14"/>
              </w:rPr>
            </w:pPr>
          </w:p>
          <w:p w14:paraId="73AE77D2" w14:textId="77777777" w:rsidR="00E541EE" w:rsidRPr="007B39CE" w:rsidRDefault="00E541EE" w:rsidP="00A84BB5">
            <w:pPr>
              <w:widowControl w:val="0"/>
              <w:contextualSpacing/>
              <w:jc w:val="center"/>
              <w:rPr>
                <w:rFonts w:cstheme="minorHAnsi"/>
                <w:sz w:val="14"/>
                <w:szCs w:val="14"/>
              </w:rPr>
            </w:pPr>
          </w:p>
          <w:p w14:paraId="0737A45C" w14:textId="77777777" w:rsidR="00E541EE" w:rsidRPr="007B39CE" w:rsidRDefault="00E541EE" w:rsidP="00A84BB5">
            <w:pPr>
              <w:widowControl w:val="0"/>
              <w:contextualSpacing/>
              <w:jc w:val="center"/>
              <w:rPr>
                <w:rFonts w:cstheme="minorHAnsi"/>
                <w:sz w:val="14"/>
                <w:szCs w:val="14"/>
              </w:rPr>
            </w:pPr>
          </w:p>
          <w:p w14:paraId="7CA914A4" w14:textId="77777777" w:rsidR="00E541EE" w:rsidRPr="007B39CE" w:rsidRDefault="00E541EE" w:rsidP="00A84BB5">
            <w:pPr>
              <w:widowControl w:val="0"/>
              <w:contextualSpacing/>
              <w:jc w:val="center"/>
              <w:rPr>
                <w:rFonts w:cstheme="minorHAnsi"/>
                <w:sz w:val="14"/>
                <w:szCs w:val="14"/>
              </w:rPr>
            </w:pPr>
            <w:r w:rsidRPr="007B39CE">
              <w:rPr>
                <w:rFonts w:cstheme="minorHAnsi"/>
                <w:sz w:val="14"/>
                <w:szCs w:val="14"/>
              </w:rPr>
              <w:t>2</w:t>
            </w:r>
          </w:p>
          <w:p w14:paraId="7D89D2C2" w14:textId="77777777" w:rsidR="00E541EE" w:rsidRPr="007B39CE" w:rsidRDefault="00E541EE" w:rsidP="00A84BB5">
            <w:pPr>
              <w:widowControl w:val="0"/>
              <w:jc w:val="center"/>
              <w:rPr>
                <w:rFonts w:cstheme="minorHAnsi"/>
                <w:sz w:val="14"/>
                <w:szCs w:val="14"/>
              </w:rPr>
            </w:pPr>
          </w:p>
        </w:tc>
        <w:tc>
          <w:tcPr>
            <w:tcW w:w="362" w:type="pct"/>
            <w:tcBorders>
              <w:bottom w:val="single" w:sz="4" w:space="0" w:color="000000"/>
            </w:tcBorders>
            <w:vAlign w:val="center"/>
          </w:tcPr>
          <w:p w14:paraId="2B674DFF" w14:textId="77777777" w:rsidR="00E541EE" w:rsidRPr="007B39CE" w:rsidRDefault="00E541EE" w:rsidP="00A84BB5">
            <w:pPr>
              <w:widowControl w:val="0"/>
              <w:contextualSpacing/>
              <w:jc w:val="center"/>
              <w:rPr>
                <w:rFonts w:cstheme="minorHAnsi"/>
                <w:sz w:val="14"/>
                <w:szCs w:val="14"/>
              </w:rPr>
            </w:pPr>
          </w:p>
          <w:p w14:paraId="3527EA4E" w14:textId="77777777" w:rsidR="00E541EE" w:rsidRPr="007B39CE" w:rsidRDefault="00E541EE" w:rsidP="00A84BB5">
            <w:pPr>
              <w:widowControl w:val="0"/>
              <w:contextualSpacing/>
              <w:jc w:val="center"/>
              <w:rPr>
                <w:rFonts w:cstheme="minorHAnsi"/>
                <w:sz w:val="14"/>
                <w:szCs w:val="14"/>
              </w:rPr>
            </w:pPr>
            <w:r w:rsidRPr="007B39CE">
              <w:rPr>
                <w:rFonts w:cstheme="minorHAnsi"/>
                <w:sz w:val="14"/>
                <w:szCs w:val="14"/>
              </w:rPr>
              <w:t>36</w:t>
            </w:r>
          </w:p>
          <w:p w14:paraId="575494CA" w14:textId="77777777" w:rsidR="00E541EE" w:rsidRPr="007B39CE" w:rsidRDefault="00E541EE" w:rsidP="00A84BB5">
            <w:pPr>
              <w:widowControl w:val="0"/>
              <w:contextualSpacing/>
              <w:jc w:val="center"/>
              <w:rPr>
                <w:rFonts w:cstheme="minorHAnsi"/>
                <w:sz w:val="14"/>
                <w:szCs w:val="14"/>
              </w:rPr>
            </w:pPr>
          </w:p>
          <w:p w14:paraId="62DCFD25" w14:textId="77777777" w:rsidR="00E541EE" w:rsidRPr="007B39CE" w:rsidRDefault="00E541EE" w:rsidP="00A84BB5">
            <w:pPr>
              <w:widowControl w:val="0"/>
              <w:contextualSpacing/>
              <w:jc w:val="center"/>
              <w:rPr>
                <w:rFonts w:cstheme="minorHAnsi"/>
                <w:sz w:val="14"/>
                <w:szCs w:val="14"/>
              </w:rPr>
            </w:pPr>
          </w:p>
          <w:p w14:paraId="52E866A2" w14:textId="77777777" w:rsidR="00E541EE" w:rsidRPr="007B39CE" w:rsidRDefault="00E541EE" w:rsidP="00A84BB5">
            <w:pPr>
              <w:widowControl w:val="0"/>
              <w:contextualSpacing/>
              <w:jc w:val="center"/>
              <w:rPr>
                <w:rFonts w:cstheme="minorHAnsi"/>
                <w:sz w:val="14"/>
                <w:szCs w:val="14"/>
              </w:rPr>
            </w:pPr>
          </w:p>
          <w:p w14:paraId="38B627CC" w14:textId="77777777" w:rsidR="00E541EE" w:rsidRPr="007B39CE" w:rsidRDefault="00E541EE" w:rsidP="00A84BB5">
            <w:pPr>
              <w:widowControl w:val="0"/>
              <w:contextualSpacing/>
              <w:jc w:val="center"/>
              <w:rPr>
                <w:rFonts w:cstheme="minorHAnsi"/>
                <w:sz w:val="14"/>
                <w:szCs w:val="14"/>
              </w:rPr>
            </w:pPr>
            <w:r w:rsidRPr="007B39CE">
              <w:rPr>
                <w:rFonts w:cstheme="minorHAnsi"/>
                <w:sz w:val="14"/>
                <w:szCs w:val="14"/>
              </w:rPr>
              <w:t>140</w:t>
            </w:r>
          </w:p>
          <w:p w14:paraId="3F2199DF" w14:textId="77777777" w:rsidR="00E541EE" w:rsidRPr="007B39CE" w:rsidRDefault="00E541EE" w:rsidP="00A84BB5">
            <w:pPr>
              <w:widowControl w:val="0"/>
              <w:contextualSpacing/>
              <w:jc w:val="center"/>
              <w:rPr>
                <w:rFonts w:cstheme="minorHAnsi"/>
                <w:sz w:val="14"/>
                <w:szCs w:val="14"/>
              </w:rPr>
            </w:pPr>
          </w:p>
          <w:p w14:paraId="0718D4E9" w14:textId="77777777" w:rsidR="00E541EE" w:rsidRPr="007B39CE" w:rsidRDefault="00E541EE" w:rsidP="00A84BB5">
            <w:pPr>
              <w:widowControl w:val="0"/>
              <w:contextualSpacing/>
              <w:jc w:val="center"/>
              <w:rPr>
                <w:rFonts w:cstheme="minorHAnsi"/>
                <w:sz w:val="14"/>
                <w:szCs w:val="14"/>
              </w:rPr>
            </w:pPr>
          </w:p>
          <w:p w14:paraId="5EAC9A67" w14:textId="77777777" w:rsidR="00E541EE" w:rsidRPr="007B39CE" w:rsidRDefault="00E541EE" w:rsidP="00A84BB5">
            <w:pPr>
              <w:widowControl w:val="0"/>
              <w:contextualSpacing/>
              <w:jc w:val="center"/>
              <w:rPr>
                <w:rFonts w:cstheme="minorHAnsi"/>
                <w:sz w:val="14"/>
                <w:szCs w:val="14"/>
              </w:rPr>
            </w:pPr>
          </w:p>
          <w:p w14:paraId="1EAC3E42" w14:textId="77777777" w:rsidR="00E541EE" w:rsidRPr="007B39CE" w:rsidRDefault="00E541EE" w:rsidP="00A84BB5">
            <w:pPr>
              <w:widowControl w:val="0"/>
              <w:contextualSpacing/>
              <w:jc w:val="center"/>
              <w:rPr>
                <w:rFonts w:cstheme="minorHAnsi"/>
                <w:sz w:val="14"/>
                <w:szCs w:val="14"/>
              </w:rPr>
            </w:pPr>
            <w:r w:rsidRPr="007B39CE">
              <w:rPr>
                <w:rFonts w:cstheme="minorHAnsi"/>
                <w:sz w:val="14"/>
                <w:szCs w:val="14"/>
              </w:rPr>
              <w:t>970</w:t>
            </w:r>
          </w:p>
          <w:p w14:paraId="50DD1F7A" w14:textId="77777777" w:rsidR="00E541EE" w:rsidRPr="007B39CE" w:rsidRDefault="00E541EE" w:rsidP="00A84BB5">
            <w:pPr>
              <w:widowControl w:val="0"/>
              <w:contextualSpacing/>
              <w:jc w:val="center"/>
              <w:rPr>
                <w:rFonts w:cstheme="minorHAnsi"/>
                <w:sz w:val="14"/>
                <w:szCs w:val="14"/>
              </w:rPr>
            </w:pPr>
          </w:p>
          <w:p w14:paraId="4E0D5952" w14:textId="77777777" w:rsidR="00E541EE" w:rsidRPr="007B39CE" w:rsidRDefault="00E541EE" w:rsidP="00A84BB5">
            <w:pPr>
              <w:widowControl w:val="0"/>
              <w:contextualSpacing/>
              <w:jc w:val="center"/>
              <w:rPr>
                <w:rFonts w:cstheme="minorHAnsi"/>
                <w:sz w:val="14"/>
                <w:szCs w:val="14"/>
              </w:rPr>
            </w:pPr>
          </w:p>
          <w:p w14:paraId="71287BFF" w14:textId="77777777" w:rsidR="00E541EE" w:rsidRPr="007B39CE" w:rsidRDefault="00E541EE" w:rsidP="00A84BB5">
            <w:pPr>
              <w:widowControl w:val="0"/>
              <w:contextualSpacing/>
              <w:jc w:val="center"/>
              <w:rPr>
                <w:rFonts w:cstheme="minorHAnsi"/>
                <w:sz w:val="14"/>
                <w:szCs w:val="14"/>
              </w:rPr>
            </w:pPr>
          </w:p>
          <w:p w14:paraId="3929E457" w14:textId="77777777" w:rsidR="00E541EE" w:rsidRPr="007B39CE" w:rsidRDefault="00E541EE" w:rsidP="00A84BB5">
            <w:pPr>
              <w:widowControl w:val="0"/>
              <w:contextualSpacing/>
              <w:jc w:val="center"/>
              <w:rPr>
                <w:rFonts w:cstheme="minorHAnsi"/>
                <w:sz w:val="14"/>
                <w:szCs w:val="14"/>
              </w:rPr>
            </w:pPr>
            <w:r w:rsidRPr="007B39CE">
              <w:rPr>
                <w:rFonts w:cstheme="minorHAnsi"/>
                <w:sz w:val="14"/>
                <w:szCs w:val="14"/>
              </w:rPr>
              <w:t>765</w:t>
            </w:r>
          </w:p>
          <w:p w14:paraId="1729BD71" w14:textId="77777777" w:rsidR="00E541EE" w:rsidRPr="007B39CE" w:rsidRDefault="00E541EE" w:rsidP="00A84BB5">
            <w:pPr>
              <w:widowControl w:val="0"/>
              <w:contextualSpacing/>
              <w:jc w:val="center"/>
              <w:rPr>
                <w:rFonts w:cstheme="minorHAnsi"/>
                <w:sz w:val="14"/>
                <w:szCs w:val="14"/>
              </w:rPr>
            </w:pPr>
          </w:p>
          <w:p w14:paraId="375557BE" w14:textId="77777777" w:rsidR="00E541EE" w:rsidRPr="007B39CE" w:rsidRDefault="00E541EE" w:rsidP="00A84BB5">
            <w:pPr>
              <w:widowControl w:val="0"/>
              <w:contextualSpacing/>
              <w:jc w:val="center"/>
              <w:rPr>
                <w:rFonts w:cstheme="minorHAnsi"/>
                <w:sz w:val="14"/>
                <w:szCs w:val="14"/>
              </w:rPr>
            </w:pPr>
          </w:p>
          <w:p w14:paraId="6013D6A2" w14:textId="77777777" w:rsidR="00E541EE" w:rsidRPr="007B39CE" w:rsidRDefault="00E541EE" w:rsidP="00A84BB5">
            <w:pPr>
              <w:widowControl w:val="0"/>
              <w:contextualSpacing/>
              <w:jc w:val="center"/>
              <w:rPr>
                <w:rFonts w:cstheme="minorHAnsi"/>
                <w:sz w:val="14"/>
                <w:szCs w:val="14"/>
              </w:rPr>
            </w:pPr>
          </w:p>
          <w:p w14:paraId="741DF10C" w14:textId="77777777" w:rsidR="00E541EE" w:rsidRPr="007B39CE" w:rsidRDefault="00E541EE" w:rsidP="00A84BB5">
            <w:pPr>
              <w:widowControl w:val="0"/>
              <w:contextualSpacing/>
              <w:jc w:val="center"/>
              <w:rPr>
                <w:rFonts w:cstheme="minorHAnsi"/>
                <w:sz w:val="14"/>
                <w:szCs w:val="14"/>
              </w:rPr>
            </w:pPr>
            <w:r w:rsidRPr="007B39CE">
              <w:rPr>
                <w:rFonts w:cstheme="minorHAnsi"/>
                <w:sz w:val="14"/>
                <w:szCs w:val="14"/>
              </w:rPr>
              <w:t>42</w:t>
            </w:r>
          </w:p>
          <w:p w14:paraId="3BB53E4A" w14:textId="77777777" w:rsidR="00E541EE" w:rsidRPr="007B39CE" w:rsidRDefault="00E541EE" w:rsidP="00A84BB5">
            <w:pPr>
              <w:widowControl w:val="0"/>
              <w:contextualSpacing/>
              <w:jc w:val="center"/>
              <w:rPr>
                <w:rFonts w:cstheme="minorHAnsi"/>
                <w:sz w:val="14"/>
                <w:szCs w:val="14"/>
              </w:rPr>
            </w:pPr>
          </w:p>
          <w:p w14:paraId="33236A23" w14:textId="77777777" w:rsidR="00E541EE" w:rsidRPr="007B39CE" w:rsidRDefault="00E541EE" w:rsidP="00A84BB5">
            <w:pPr>
              <w:widowControl w:val="0"/>
              <w:contextualSpacing/>
              <w:jc w:val="center"/>
              <w:rPr>
                <w:rFonts w:cstheme="minorHAnsi"/>
                <w:sz w:val="14"/>
                <w:szCs w:val="14"/>
              </w:rPr>
            </w:pPr>
          </w:p>
          <w:p w14:paraId="70AB7E9A" w14:textId="77777777" w:rsidR="00E541EE" w:rsidRPr="007B39CE" w:rsidRDefault="00E541EE" w:rsidP="00A84BB5">
            <w:pPr>
              <w:widowControl w:val="0"/>
              <w:contextualSpacing/>
              <w:jc w:val="center"/>
              <w:rPr>
                <w:rFonts w:cstheme="minorHAnsi"/>
                <w:sz w:val="14"/>
                <w:szCs w:val="14"/>
              </w:rPr>
            </w:pPr>
          </w:p>
          <w:p w14:paraId="7E24DB7E" w14:textId="77777777" w:rsidR="00E541EE" w:rsidRPr="007B39CE" w:rsidRDefault="00E541EE" w:rsidP="00A84BB5">
            <w:pPr>
              <w:widowControl w:val="0"/>
              <w:contextualSpacing/>
              <w:jc w:val="center"/>
              <w:rPr>
                <w:rFonts w:cstheme="minorHAnsi"/>
                <w:sz w:val="14"/>
                <w:szCs w:val="14"/>
              </w:rPr>
            </w:pPr>
            <w:r w:rsidRPr="007B39CE">
              <w:rPr>
                <w:rFonts w:cstheme="minorHAnsi"/>
                <w:sz w:val="14"/>
                <w:szCs w:val="14"/>
              </w:rPr>
              <w:t>5</w:t>
            </w:r>
          </w:p>
          <w:p w14:paraId="67057339" w14:textId="77777777" w:rsidR="00E541EE" w:rsidRPr="007B39CE" w:rsidRDefault="00E541EE" w:rsidP="00A84BB5">
            <w:pPr>
              <w:widowControl w:val="0"/>
              <w:contextualSpacing/>
              <w:jc w:val="center"/>
              <w:rPr>
                <w:rFonts w:cstheme="minorHAnsi"/>
                <w:sz w:val="14"/>
                <w:szCs w:val="14"/>
              </w:rPr>
            </w:pPr>
          </w:p>
          <w:p w14:paraId="572234B0" w14:textId="77777777" w:rsidR="00E541EE" w:rsidRPr="007B39CE" w:rsidRDefault="00E541EE" w:rsidP="00A84BB5">
            <w:pPr>
              <w:widowControl w:val="0"/>
              <w:contextualSpacing/>
              <w:jc w:val="center"/>
              <w:rPr>
                <w:rFonts w:cstheme="minorHAnsi"/>
                <w:sz w:val="14"/>
                <w:szCs w:val="14"/>
              </w:rPr>
            </w:pPr>
          </w:p>
          <w:p w14:paraId="564C1BC1" w14:textId="77777777" w:rsidR="00E541EE" w:rsidRPr="007B39CE" w:rsidRDefault="00E541EE" w:rsidP="00A84BB5">
            <w:pPr>
              <w:widowControl w:val="0"/>
              <w:contextualSpacing/>
              <w:jc w:val="center"/>
              <w:rPr>
                <w:rFonts w:cstheme="minorHAnsi"/>
                <w:sz w:val="14"/>
                <w:szCs w:val="14"/>
              </w:rPr>
            </w:pPr>
          </w:p>
          <w:p w14:paraId="40D19075" w14:textId="77777777" w:rsidR="00E541EE" w:rsidRPr="007B39CE" w:rsidRDefault="00E541EE" w:rsidP="00A84BB5">
            <w:pPr>
              <w:widowControl w:val="0"/>
              <w:contextualSpacing/>
              <w:jc w:val="center"/>
              <w:rPr>
                <w:rFonts w:cstheme="minorHAnsi"/>
                <w:sz w:val="14"/>
                <w:szCs w:val="14"/>
              </w:rPr>
            </w:pPr>
            <w:r w:rsidRPr="007B39CE">
              <w:rPr>
                <w:rFonts w:cstheme="minorHAnsi"/>
                <w:sz w:val="14"/>
                <w:szCs w:val="14"/>
              </w:rPr>
              <w:t>1</w:t>
            </w:r>
          </w:p>
          <w:p w14:paraId="429FAE12" w14:textId="77777777" w:rsidR="00E541EE" w:rsidRPr="007B39CE" w:rsidRDefault="00E541EE" w:rsidP="00A84BB5">
            <w:pPr>
              <w:widowControl w:val="0"/>
              <w:contextualSpacing/>
              <w:jc w:val="center"/>
              <w:rPr>
                <w:rFonts w:cstheme="minorHAnsi"/>
                <w:sz w:val="14"/>
                <w:szCs w:val="14"/>
              </w:rPr>
            </w:pPr>
          </w:p>
          <w:p w14:paraId="02E5D304" w14:textId="77777777" w:rsidR="00E541EE" w:rsidRPr="007B39CE" w:rsidRDefault="00E541EE" w:rsidP="00A84BB5">
            <w:pPr>
              <w:widowControl w:val="0"/>
              <w:contextualSpacing/>
              <w:jc w:val="center"/>
              <w:rPr>
                <w:rFonts w:cstheme="minorHAnsi"/>
                <w:sz w:val="14"/>
                <w:szCs w:val="14"/>
              </w:rPr>
            </w:pPr>
          </w:p>
          <w:p w14:paraId="45DCF833" w14:textId="77777777" w:rsidR="00E541EE" w:rsidRPr="007B39CE" w:rsidRDefault="00E541EE" w:rsidP="00A84BB5">
            <w:pPr>
              <w:widowControl w:val="0"/>
              <w:contextualSpacing/>
              <w:jc w:val="center"/>
              <w:rPr>
                <w:rFonts w:cstheme="minorHAnsi"/>
                <w:sz w:val="14"/>
                <w:szCs w:val="14"/>
              </w:rPr>
            </w:pPr>
          </w:p>
          <w:p w14:paraId="492A9BC3" w14:textId="77777777" w:rsidR="00E541EE" w:rsidRPr="007B39CE" w:rsidRDefault="00E541EE" w:rsidP="00A84BB5">
            <w:pPr>
              <w:widowControl w:val="0"/>
              <w:contextualSpacing/>
              <w:jc w:val="center"/>
              <w:rPr>
                <w:rFonts w:cstheme="minorHAnsi"/>
                <w:sz w:val="14"/>
                <w:szCs w:val="14"/>
              </w:rPr>
            </w:pPr>
            <w:r w:rsidRPr="007B39CE">
              <w:rPr>
                <w:rFonts w:cstheme="minorHAnsi"/>
                <w:sz w:val="14"/>
                <w:szCs w:val="14"/>
              </w:rPr>
              <w:t>2</w:t>
            </w:r>
          </w:p>
          <w:p w14:paraId="02A67384" w14:textId="77777777" w:rsidR="00E541EE" w:rsidRPr="007B39CE" w:rsidRDefault="00E541EE" w:rsidP="00A84BB5">
            <w:pPr>
              <w:widowControl w:val="0"/>
              <w:jc w:val="center"/>
              <w:rPr>
                <w:rFonts w:cstheme="minorHAnsi"/>
                <w:sz w:val="14"/>
                <w:szCs w:val="14"/>
              </w:rPr>
            </w:pPr>
          </w:p>
        </w:tc>
      </w:tr>
    </w:tbl>
    <w:p w14:paraId="0CDD267A" w14:textId="77777777" w:rsidR="00E541EE" w:rsidRDefault="00E541EE" w:rsidP="00E541EE">
      <w:pPr>
        <w:jc w:val="both"/>
        <w:rPr>
          <w:rFonts w:ascii="Arial" w:eastAsia="Times New Roman" w:hAnsi="Arial" w:cs="Arial"/>
          <w:b/>
          <w:bCs/>
          <w:sz w:val="24"/>
          <w:szCs w:val="24"/>
        </w:rPr>
      </w:pPr>
    </w:p>
    <w:p w14:paraId="1B19BB43" w14:textId="77777777" w:rsidR="00E541EE"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Pr>
          <w:rFonts w:ascii="Arial" w:eastAsia="Times New Roman" w:hAnsi="Arial" w:cs="Arial"/>
          <w:b/>
          <w:bCs/>
          <w:sz w:val="24"/>
          <w:szCs w:val="24"/>
        </w:rPr>
        <w:t>A 100601: Razvojni programi = 62</w:t>
      </w:r>
      <w:r w:rsidRPr="00065D8C">
        <w:rPr>
          <w:rFonts w:ascii="Arial" w:eastAsia="Times New Roman" w:hAnsi="Arial" w:cs="Arial"/>
          <w:b/>
          <w:bCs/>
          <w:sz w:val="24"/>
          <w:szCs w:val="24"/>
        </w:rPr>
        <w:t>.50</w:t>
      </w:r>
      <w:r>
        <w:rPr>
          <w:rFonts w:ascii="Arial" w:eastAsia="Times New Roman" w:hAnsi="Arial" w:cs="Arial"/>
          <w:b/>
          <w:bCs/>
          <w:sz w:val="24"/>
          <w:szCs w:val="24"/>
        </w:rPr>
        <w:t>0,00 EUR</w:t>
      </w:r>
    </w:p>
    <w:p w14:paraId="4531C1DF" w14:textId="77777777" w:rsidR="00E541EE" w:rsidRPr="002A395B" w:rsidRDefault="00E541EE" w:rsidP="00E541EE">
      <w:pPr>
        <w:jc w:val="both"/>
        <w:rPr>
          <w:rFonts w:ascii="Arial" w:eastAsia="Times New Roman" w:hAnsi="Arial" w:cs="Arial"/>
          <w:bCs/>
          <w:sz w:val="24"/>
          <w:szCs w:val="24"/>
        </w:rPr>
      </w:pPr>
      <w:r w:rsidRPr="002A395B">
        <w:rPr>
          <w:rFonts w:ascii="Arial" w:eastAsia="Times New Roman" w:hAnsi="Arial" w:cs="Arial"/>
          <w:b/>
          <w:bCs/>
          <w:sz w:val="24"/>
          <w:szCs w:val="24"/>
        </w:rPr>
        <w:t>Zakonska osnova:</w:t>
      </w:r>
      <w:r w:rsidRPr="002A395B">
        <w:rPr>
          <w:rFonts w:ascii="Arial" w:eastAsia="Times New Roman" w:hAnsi="Arial" w:cs="Arial"/>
          <w:bCs/>
          <w:sz w:val="24"/>
          <w:szCs w:val="24"/>
        </w:rPr>
        <w:t xml:space="preserve"> Zakon o poticanju razvoja malog gospodarstva; Zakon o poticanju investicija i unapređenju investicijskog okruženja.</w:t>
      </w:r>
    </w:p>
    <w:p w14:paraId="20E75B42" w14:textId="77777777" w:rsidR="00E541EE" w:rsidRDefault="00E541EE" w:rsidP="00E541EE">
      <w:pPr>
        <w:jc w:val="both"/>
        <w:rPr>
          <w:rFonts w:ascii="Arial" w:eastAsia="Times New Roman" w:hAnsi="Arial" w:cs="Arial"/>
          <w:bCs/>
          <w:sz w:val="24"/>
          <w:szCs w:val="24"/>
        </w:rPr>
      </w:pPr>
      <w:r>
        <w:rPr>
          <w:rFonts w:ascii="Arial" w:eastAsia="Times New Roman" w:hAnsi="Arial" w:cs="Arial"/>
          <w:b/>
          <w:bCs/>
          <w:sz w:val="24"/>
          <w:szCs w:val="24"/>
        </w:rPr>
        <w:t>Opis:</w:t>
      </w:r>
      <w:r>
        <w:rPr>
          <w:rFonts w:ascii="Arial" w:eastAsia="Times New Roman" w:hAnsi="Arial" w:cs="Arial"/>
          <w:bCs/>
          <w:sz w:val="24"/>
          <w:szCs w:val="24"/>
        </w:rPr>
        <w:t xml:space="preserve"> sredstva u iznosu od 62.500,00 eura namijenjena su za financiranje analiza i studija odnosno potrebnu dokumentaciju za kandidiranje gradskih projekata na vanjske izvore financiranja (natječaji za EU fondove i natječaje raspisanih od strane Ministarstava).</w:t>
      </w:r>
    </w:p>
    <w:p w14:paraId="66A4C53F" w14:textId="77777777" w:rsidR="00E541EE" w:rsidRDefault="00E541EE" w:rsidP="00E541EE">
      <w:pPr>
        <w:jc w:val="both"/>
        <w:rPr>
          <w:rFonts w:ascii="Arial" w:eastAsia="Times New Roman" w:hAnsi="Arial" w:cs="Arial"/>
          <w:bCs/>
          <w:sz w:val="24"/>
          <w:szCs w:val="24"/>
        </w:rPr>
      </w:pPr>
      <w:r w:rsidRPr="006240C9">
        <w:rPr>
          <w:rFonts w:ascii="Arial" w:eastAsia="Times New Roman" w:hAnsi="Arial" w:cs="Arial"/>
          <w:b/>
          <w:bCs/>
          <w:sz w:val="24"/>
          <w:szCs w:val="24"/>
        </w:rPr>
        <w:t>Opći cilj:</w:t>
      </w:r>
      <w:r>
        <w:rPr>
          <w:rFonts w:ascii="Arial" w:eastAsia="Times New Roman" w:hAnsi="Arial" w:cs="Arial"/>
          <w:bCs/>
          <w:sz w:val="24"/>
          <w:szCs w:val="24"/>
        </w:rPr>
        <w:t xml:space="preserve"> ova aktivnost predviđa razvoj i pripremu projektne dokumentacije potrebne za kandidaturu i promociju projekata koji će se kandidirati na fondove EU i nacionalne natječaje.</w:t>
      </w:r>
    </w:p>
    <w:p w14:paraId="5A2FECA9" w14:textId="77777777" w:rsidR="00E541EE" w:rsidRDefault="00E541EE" w:rsidP="00E541EE">
      <w:pPr>
        <w:jc w:val="both"/>
        <w:rPr>
          <w:rFonts w:ascii="Arial" w:eastAsia="Times New Roman" w:hAnsi="Arial" w:cs="Arial"/>
          <w:bCs/>
          <w:sz w:val="24"/>
          <w:szCs w:val="24"/>
        </w:rPr>
      </w:pPr>
      <w:r>
        <w:rPr>
          <w:rFonts w:ascii="Arial" w:eastAsia="Times New Roman" w:hAnsi="Arial" w:cs="Arial"/>
          <w:b/>
          <w:bCs/>
          <w:sz w:val="24"/>
          <w:szCs w:val="24"/>
        </w:rPr>
        <w:t>Pokazatelj uspješnosti:</w:t>
      </w:r>
      <w:r>
        <w:rPr>
          <w:rFonts w:ascii="Arial" w:eastAsia="Times New Roman" w:hAnsi="Arial" w:cs="Arial"/>
          <w:bCs/>
          <w:sz w:val="24"/>
          <w:szCs w:val="24"/>
        </w:rPr>
        <w:t xml:space="preserve"> prijavljeni projekti na natječaje.</w:t>
      </w:r>
    </w:p>
    <w:p w14:paraId="7B96E303" w14:textId="77777777" w:rsidR="00E541EE" w:rsidRDefault="00E541EE" w:rsidP="00E541EE">
      <w:pPr>
        <w:jc w:val="both"/>
        <w:rPr>
          <w:rFonts w:ascii="Arial" w:eastAsia="Times New Roman" w:hAnsi="Arial" w:cs="Arial"/>
          <w:bCs/>
          <w:sz w:val="24"/>
          <w:szCs w:val="24"/>
        </w:rPr>
      </w:pPr>
    </w:p>
    <w:p w14:paraId="668FDF33" w14:textId="77777777" w:rsidR="00E541EE"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Pr>
          <w:rFonts w:ascii="Arial" w:eastAsia="Times New Roman" w:hAnsi="Arial" w:cs="Arial"/>
          <w:b/>
          <w:bCs/>
          <w:sz w:val="24"/>
          <w:szCs w:val="24"/>
        </w:rPr>
        <w:t>A 100602: Poticanje razvoja poduzetništva = 6.650,00 EUR</w:t>
      </w:r>
    </w:p>
    <w:p w14:paraId="3872A422" w14:textId="77777777" w:rsidR="00E541EE" w:rsidRPr="004B41E1" w:rsidRDefault="00E541EE" w:rsidP="00E541EE">
      <w:pPr>
        <w:jc w:val="both"/>
        <w:rPr>
          <w:rFonts w:ascii="Arial" w:eastAsia="Times New Roman" w:hAnsi="Arial" w:cs="Arial"/>
          <w:bCs/>
          <w:color w:val="EE0000"/>
          <w:sz w:val="24"/>
          <w:szCs w:val="24"/>
        </w:rPr>
      </w:pPr>
      <w:r w:rsidRPr="002A395B">
        <w:rPr>
          <w:rFonts w:ascii="Arial" w:eastAsia="Times New Roman" w:hAnsi="Arial" w:cs="Arial"/>
          <w:b/>
          <w:bCs/>
          <w:sz w:val="24"/>
          <w:szCs w:val="24"/>
        </w:rPr>
        <w:t>Zakonska osnova:</w:t>
      </w:r>
      <w:r w:rsidRPr="002A395B">
        <w:rPr>
          <w:rFonts w:ascii="Arial" w:eastAsia="Times New Roman" w:hAnsi="Arial" w:cs="Arial"/>
          <w:bCs/>
          <w:sz w:val="24"/>
          <w:szCs w:val="24"/>
        </w:rPr>
        <w:t xml:space="preserve"> Zakon o poticanju razvoja malog gospodarstva</w:t>
      </w:r>
      <w:r>
        <w:rPr>
          <w:rFonts w:ascii="Arial" w:eastAsia="Times New Roman" w:hAnsi="Arial" w:cs="Arial"/>
          <w:bCs/>
          <w:sz w:val="24"/>
          <w:szCs w:val="24"/>
        </w:rPr>
        <w:t>,</w:t>
      </w:r>
      <w:r w:rsidRPr="002A395B">
        <w:rPr>
          <w:rFonts w:ascii="Arial" w:eastAsia="Times New Roman" w:hAnsi="Arial" w:cs="Arial"/>
          <w:bCs/>
          <w:sz w:val="24"/>
          <w:szCs w:val="24"/>
        </w:rPr>
        <w:t xml:space="preserve"> Zakon o poticanju investicija i unapređenju investicijskog okruženja</w:t>
      </w:r>
      <w:r>
        <w:rPr>
          <w:rFonts w:ascii="Arial" w:eastAsia="Times New Roman" w:hAnsi="Arial" w:cs="Arial"/>
          <w:bCs/>
          <w:sz w:val="24"/>
          <w:szCs w:val="24"/>
        </w:rPr>
        <w:t xml:space="preserve">, </w:t>
      </w:r>
      <w:r w:rsidRPr="002A395B">
        <w:rPr>
          <w:rFonts w:ascii="Arial" w:eastAsia="Times New Roman" w:hAnsi="Arial" w:cs="Arial"/>
          <w:bCs/>
          <w:sz w:val="24"/>
          <w:szCs w:val="24"/>
        </w:rPr>
        <w:t>Program poticanja razvoja poduzetništva</w:t>
      </w:r>
      <w:r>
        <w:rPr>
          <w:rFonts w:ascii="Arial" w:eastAsia="Times New Roman" w:hAnsi="Arial" w:cs="Arial"/>
          <w:bCs/>
          <w:sz w:val="24"/>
          <w:szCs w:val="24"/>
        </w:rPr>
        <w:t>,</w:t>
      </w:r>
      <w:r w:rsidRPr="002A395B">
        <w:rPr>
          <w:rFonts w:ascii="Arial" w:eastAsia="Times New Roman" w:hAnsi="Arial" w:cs="Arial"/>
          <w:bCs/>
          <w:sz w:val="24"/>
          <w:szCs w:val="24"/>
        </w:rPr>
        <w:t xml:space="preserve"> </w:t>
      </w:r>
      <w:r w:rsidRPr="00F225F0">
        <w:rPr>
          <w:rFonts w:ascii="Arial" w:eastAsia="Times New Roman" w:hAnsi="Arial" w:cs="Arial"/>
          <w:bCs/>
          <w:sz w:val="24"/>
          <w:szCs w:val="24"/>
        </w:rPr>
        <w:t>Uredba Komisije (EU) 2023/2831 od 13. prosinca 2023. o primjeni članaka 107. i 108. Ugovora o funkcioniranju Europske unije na de minimis potpore (Službeni list Europske unije, L 2023/2831, 15.12.2023.).</w:t>
      </w:r>
    </w:p>
    <w:p w14:paraId="210F88D1" w14:textId="77777777" w:rsidR="00E541EE" w:rsidRPr="00571B11" w:rsidRDefault="00E541EE" w:rsidP="00E541EE">
      <w:pPr>
        <w:jc w:val="both"/>
        <w:rPr>
          <w:rFonts w:ascii="Arial" w:eastAsia="Times New Roman" w:hAnsi="Arial" w:cs="Arial"/>
          <w:bCs/>
          <w:sz w:val="24"/>
          <w:szCs w:val="24"/>
        </w:rPr>
      </w:pPr>
      <w:r w:rsidRPr="009129F3">
        <w:rPr>
          <w:rFonts w:ascii="Arial" w:eastAsia="Times New Roman" w:hAnsi="Arial" w:cs="Arial"/>
          <w:b/>
          <w:bCs/>
          <w:sz w:val="24"/>
          <w:szCs w:val="24"/>
        </w:rPr>
        <w:t>Opis:</w:t>
      </w:r>
      <w:r>
        <w:rPr>
          <w:rFonts w:ascii="Arial" w:eastAsia="Times New Roman" w:hAnsi="Arial" w:cs="Arial"/>
          <w:bCs/>
          <w:sz w:val="24"/>
          <w:szCs w:val="24"/>
        </w:rPr>
        <w:t xml:space="preserve"> planirani rashodi u iznosu od 6.650,00 eura odnose se na potpore tvrtkama i obrtima, sukladno Programu poticanja razvoja poduzetništva za 2026. godinu. </w:t>
      </w:r>
      <w:r w:rsidRPr="00571B11">
        <w:rPr>
          <w:rFonts w:ascii="Arial" w:eastAsia="Times New Roman" w:hAnsi="Arial" w:cs="Arial"/>
          <w:bCs/>
          <w:sz w:val="24"/>
          <w:szCs w:val="24"/>
        </w:rPr>
        <w:t>Provedbom ovih mjera nastoji se jačati malo i srednje poduzetništvo sa ciljem očuvanja poslovanja, zadržavanje postojećih i otvaranje novih radnih mjesta subjekata malog gospodarstva.</w:t>
      </w:r>
    </w:p>
    <w:p w14:paraId="6C0072F2" w14:textId="77777777" w:rsidR="00E541EE" w:rsidRDefault="00E541EE" w:rsidP="00E541EE">
      <w:pPr>
        <w:jc w:val="both"/>
        <w:rPr>
          <w:rFonts w:ascii="Arial" w:eastAsia="Times New Roman" w:hAnsi="Arial" w:cs="Arial"/>
          <w:bCs/>
          <w:sz w:val="24"/>
          <w:szCs w:val="24"/>
        </w:rPr>
      </w:pPr>
      <w:r>
        <w:rPr>
          <w:rFonts w:ascii="Arial" w:eastAsia="Times New Roman" w:hAnsi="Arial" w:cs="Arial"/>
          <w:b/>
          <w:bCs/>
          <w:sz w:val="24"/>
          <w:szCs w:val="24"/>
        </w:rPr>
        <w:t>Opći cilj:</w:t>
      </w:r>
      <w:r>
        <w:rPr>
          <w:rFonts w:ascii="Arial" w:eastAsia="Times New Roman" w:hAnsi="Arial" w:cs="Arial"/>
          <w:bCs/>
          <w:sz w:val="24"/>
          <w:szCs w:val="24"/>
        </w:rPr>
        <w:t xml:space="preserve"> poticanje razvoja gospodarstva i praćenje poduzetničkih aktivnosti.</w:t>
      </w:r>
    </w:p>
    <w:p w14:paraId="68469084" w14:textId="77777777" w:rsidR="00E541EE" w:rsidRDefault="00E541EE" w:rsidP="00E541EE">
      <w:pPr>
        <w:autoSpaceDE w:val="0"/>
        <w:autoSpaceDN w:val="0"/>
        <w:adjustRightInd w:val="0"/>
        <w:jc w:val="both"/>
        <w:rPr>
          <w:rFonts w:ascii="Arial" w:eastAsia="Times New Roman" w:hAnsi="Arial" w:cs="Arial"/>
          <w:sz w:val="24"/>
          <w:szCs w:val="24"/>
        </w:rPr>
      </w:pPr>
      <w:r>
        <w:rPr>
          <w:rFonts w:ascii="Arial" w:eastAsia="Times New Roman" w:hAnsi="Arial" w:cs="Arial"/>
          <w:b/>
          <w:sz w:val="24"/>
          <w:szCs w:val="24"/>
        </w:rPr>
        <w:t>Pokazatelj uspješnosti:</w:t>
      </w:r>
      <w:r>
        <w:rPr>
          <w:rFonts w:ascii="Arial" w:eastAsia="Times New Roman" w:hAnsi="Arial" w:cs="Arial"/>
          <w:sz w:val="24"/>
          <w:szCs w:val="24"/>
        </w:rPr>
        <w:t xml:space="preserve"> dodijeljene potpore u planiranom razdoblju. </w:t>
      </w:r>
    </w:p>
    <w:p w14:paraId="762319A7" w14:textId="77777777" w:rsidR="00E541EE" w:rsidRDefault="00E541EE" w:rsidP="00E541EE">
      <w:pPr>
        <w:jc w:val="both"/>
        <w:rPr>
          <w:rFonts w:ascii="Arial" w:eastAsia="Times New Roman" w:hAnsi="Arial" w:cs="Arial"/>
          <w:bCs/>
          <w:sz w:val="24"/>
          <w:szCs w:val="24"/>
        </w:rPr>
      </w:pPr>
    </w:p>
    <w:p w14:paraId="3B9C059E" w14:textId="77777777" w:rsidR="00E541EE"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Pr>
          <w:rFonts w:ascii="Arial" w:eastAsia="Times New Roman" w:hAnsi="Arial" w:cs="Arial"/>
          <w:b/>
          <w:bCs/>
          <w:sz w:val="24"/>
          <w:szCs w:val="24"/>
        </w:rPr>
        <w:t>A 100603: Subvencije kamatne stope poduzetničkih kredita</w:t>
      </w:r>
      <w:r w:rsidRPr="000855E6">
        <w:rPr>
          <w:rFonts w:ascii="Arial" w:eastAsia="Times New Roman" w:hAnsi="Arial" w:cs="Arial"/>
          <w:b/>
          <w:bCs/>
          <w:sz w:val="24"/>
          <w:szCs w:val="24"/>
        </w:rPr>
        <w:t xml:space="preserve"> </w:t>
      </w:r>
      <w:r>
        <w:rPr>
          <w:rFonts w:ascii="Arial" w:eastAsia="Times New Roman" w:hAnsi="Arial" w:cs="Arial"/>
          <w:b/>
          <w:bCs/>
          <w:sz w:val="24"/>
          <w:szCs w:val="24"/>
        </w:rPr>
        <w:t xml:space="preserve">= </w:t>
      </w:r>
      <w:r w:rsidRPr="00065D8C">
        <w:rPr>
          <w:rFonts w:ascii="Arial" w:eastAsia="Times New Roman" w:hAnsi="Arial" w:cs="Arial"/>
          <w:b/>
          <w:bCs/>
          <w:sz w:val="24"/>
          <w:szCs w:val="24"/>
        </w:rPr>
        <w:t xml:space="preserve">33.200,00 </w:t>
      </w:r>
      <w:r>
        <w:rPr>
          <w:rFonts w:ascii="Arial" w:eastAsia="Times New Roman" w:hAnsi="Arial" w:cs="Arial"/>
          <w:b/>
          <w:bCs/>
          <w:sz w:val="24"/>
          <w:szCs w:val="24"/>
        </w:rPr>
        <w:t>EUR</w:t>
      </w:r>
    </w:p>
    <w:p w14:paraId="6B90523E" w14:textId="77777777" w:rsidR="00E541EE" w:rsidRPr="00A254D3" w:rsidRDefault="00E541EE" w:rsidP="00E541EE">
      <w:pPr>
        <w:jc w:val="both"/>
        <w:rPr>
          <w:rFonts w:ascii="Arial" w:eastAsia="Times New Roman" w:hAnsi="Arial" w:cs="Arial"/>
          <w:bCs/>
          <w:sz w:val="24"/>
          <w:szCs w:val="24"/>
        </w:rPr>
      </w:pPr>
      <w:r w:rsidRPr="00A254D3">
        <w:rPr>
          <w:rFonts w:ascii="Arial" w:eastAsia="Times New Roman" w:hAnsi="Arial" w:cs="Arial"/>
          <w:b/>
          <w:bCs/>
          <w:sz w:val="24"/>
          <w:szCs w:val="24"/>
        </w:rPr>
        <w:t>Zakonska osnova</w:t>
      </w:r>
      <w:r w:rsidRPr="00A254D3">
        <w:rPr>
          <w:rFonts w:ascii="Arial" w:eastAsia="Times New Roman" w:hAnsi="Arial" w:cs="Arial"/>
          <w:bCs/>
          <w:sz w:val="24"/>
          <w:szCs w:val="24"/>
        </w:rPr>
        <w:t>: Program kreditiranja poduzetnika i obrtnika u Gradu Rovinj-Rovigno, Program kreditiranja poduzetnika „Poduzetnik Istarska županija 2025.“, Uredba Komisije (EU) 2023/2831, od 13. prosinca 2023. o primjeni članaka 107. i 108. Ugovora o funkcioniranju Europske unije na de minimis potpore (Službeni list Europske unije, L 2023/2831, 15.12.2023.)</w:t>
      </w:r>
    </w:p>
    <w:p w14:paraId="1AAFF82E" w14:textId="77777777" w:rsidR="00E541EE" w:rsidRPr="00A254D3" w:rsidRDefault="00E541EE" w:rsidP="00E541EE">
      <w:pPr>
        <w:jc w:val="both"/>
        <w:rPr>
          <w:rFonts w:ascii="Arial" w:eastAsia="Times New Roman" w:hAnsi="Arial" w:cs="Arial"/>
          <w:bCs/>
          <w:sz w:val="24"/>
          <w:szCs w:val="24"/>
        </w:rPr>
      </w:pPr>
      <w:r w:rsidRPr="00A254D3">
        <w:rPr>
          <w:rFonts w:ascii="Arial" w:eastAsia="Times New Roman" w:hAnsi="Arial" w:cs="Arial"/>
          <w:b/>
          <w:bCs/>
          <w:sz w:val="24"/>
          <w:szCs w:val="24"/>
        </w:rPr>
        <w:t>Opis:</w:t>
      </w:r>
      <w:r w:rsidRPr="00A254D3">
        <w:rPr>
          <w:rFonts w:ascii="Arial" w:eastAsia="Times New Roman" w:hAnsi="Arial" w:cs="Arial"/>
          <w:bCs/>
          <w:sz w:val="24"/>
          <w:szCs w:val="24"/>
        </w:rPr>
        <w:t xml:space="preserve"> </w:t>
      </w:r>
      <w:r>
        <w:rPr>
          <w:rFonts w:ascii="Arial" w:eastAsia="Times New Roman" w:hAnsi="Arial" w:cs="Arial"/>
          <w:bCs/>
          <w:sz w:val="24"/>
          <w:szCs w:val="24"/>
        </w:rPr>
        <w:t>r</w:t>
      </w:r>
      <w:r w:rsidRPr="00A254D3">
        <w:rPr>
          <w:rFonts w:ascii="Arial" w:eastAsia="Times New Roman" w:hAnsi="Arial" w:cs="Arial"/>
          <w:bCs/>
          <w:sz w:val="24"/>
          <w:szCs w:val="24"/>
        </w:rPr>
        <w:t>ashodi za izvršenje ove aktivnosti planirani su u iznosu od 33.200,00 EUR za sufinanciranje kamata poduzetnicima koji su realizirali kredite kroz Program kreditiranja poduzetnika u Gradu Rovinj-Rovigno.</w:t>
      </w:r>
    </w:p>
    <w:p w14:paraId="6BD0C6AA" w14:textId="77777777" w:rsidR="00E541EE" w:rsidRPr="00A254D3" w:rsidRDefault="00E541EE" w:rsidP="00E541EE">
      <w:pPr>
        <w:autoSpaceDE w:val="0"/>
        <w:autoSpaceDN w:val="0"/>
        <w:adjustRightInd w:val="0"/>
        <w:ind w:hanging="12"/>
        <w:jc w:val="both"/>
        <w:rPr>
          <w:rFonts w:ascii="Arial" w:eastAsia="Times New Roman" w:hAnsi="Arial" w:cs="Arial"/>
          <w:sz w:val="24"/>
          <w:szCs w:val="24"/>
        </w:rPr>
      </w:pPr>
      <w:r w:rsidRPr="00A254D3">
        <w:rPr>
          <w:rFonts w:ascii="Arial" w:eastAsia="Times New Roman" w:hAnsi="Arial" w:cs="Arial"/>
          <w:sz w:val="24"/>
          <w:szCs w:val="24"/>
        </w:rPr>
        <w:t>Sukladno Programu kreditiranja poduzetnika i obrtnika Grada Rovinja-Rovigno i Ugovora o poslovnoj suradnji o kreditiranju poduzetnika i obrtnika u Gradu Rovinj-Rovigno između Grada, Privredne banke Zagreb d.d. (PBZ d.d.) i Istarske kreditne banke Umag d.d. (IKB d.d.) stvoren je Fond Programa u iznosu od cca. 1.990 milijuna eura. Vrijednost Programa je u povoljnijim kreditnim naknadama i kamatnim stopama uz subvencioniranje istih. Sukladno Programu kreditiranja poduzetnika i obrtnika „Poduzetnik Istarska županija 2025.“, u suradnji Istarskom Razvojnom Agencijom IDA d.o.o. i Hrvatskom bankom za obnovu i razvitak, subvencionira se dio kamatne stope na poduzetničke kredite. Posebna mjera uključuje subvenciju kamatne stope na odobrene poduzetničke kredite temeljem programa HBOR-a za Poduzetništvo mladih, žena i početnika i ostalih posebnih segmenata.</w:t>
      </w:r>
    </w:p>
    <w:p w14:paraId="43624C50" w14:textId="77777777" w:rsidR="00E541EE" w:rsidRDefault="00E541EE" w:rsidP="00E541EE">
      <w:pPr>
        <w:autoSpaceDE w:val="0"/>
        <w:autoSpaceDN w:val="0"/>
        <w:adjustRightInd w:val="0"/>
        <w:ind w:hanging="12"/>
        <w:jc w:val="both"/>
        <w:rPr>
          <w:rFonts w:ascii="Arial" w:eastAsia="Times New Roman" w:hAnsi="Arial" w:cs="Arial"/>
          <w:sz w:val="24"/>
          <w:szCs w:val="24"/>
        </w:rPr>
      </w:pPr>
      <w:r>
        <w:rPr>
          <w:rFonts w:ascii="Arial" w:eastAsia="Times New Roman" w:hAnsi="Arial" w:cs="Arial"/>
          <w:b/>
          <w:sz w:val="24"/>
          <w:szCs w:val="24"/>
        </w:rPr>
        <w:t>Opći cilj:</w:t>
      </w:r>
      <w:r>
        <w:rPr>
          <w:rFonts w:ascii="Arial" w:eastAsia="Times New Roman" w:hAnsi="Arial" w:cs="Arial"/>
          <w:sz w:val="24"/>
          <w:szCs w:val="24"/>
        </w:rPr>
        <w:t xml:space="preserve"> poticati razvoj gospodarstva kroz kreditne programe u suradnji s poslovnim bankama, na način da se kroz subvencije kamata omogući lakši i jeftiniji pristup izvorima financiranja. Poduzetnicima, obrtnicima i zadrugama ponuđene su povoljnije kamatne stope ovisno o vrsti ulaganja, te je predviđeno gradsko subvencioniranje u stopama od 1% ili 2%.</w:t>
      </w:r>
    </w:p>
    <w:p w14:paraId="2D1669E9" w14:textId="77777777" w:rsidR="00E541EE" w:rsidRDefault="00E541EE" w:rsidP="00E541EE">
      <w:pPr>
        <w:ind w:hanging="12"/>
        <w:jc w:val="both"/>
        <w:rPr>
          <w:rFonts w:ascii="Arial" w:eastAsia="Times New Roman" w:hAnsi="Arial" w:cs="Arial"/>
          <w:bCs/>
          <w:sz w:val="24"/>
          <w:szCs w:val="24"/>
        </w:rPr>
      </w:pPr>
      <w:r>
        <w:rPr>
          <w:rFonts w:ascii="Arial" w:eastAsia="Times New Roman" w:hAnsi="Arial" w:cs="Arial"/>
          <w:b/>
          <w:sz w:val="24"/>
          <w:szCs w:val="24"/>
        </w:rPr>
        <w:t xml:space="preserve">Pokazatelj uspješnosti: </w:t>
      </w:r>
      <w:r>
        <w:rPr>
          <w:rFonts w:ascii="Arial" w:eastAsia="Times New Roman" w:hAnsi="Arial" w:cs="Arial"/>
          <w:sz w:val="24"/>
          <w:szCs w:val="24"/>
        </w:rPr>
        <w:t>broj</w:t>
      </w:r>
      <w:r>
        <w:rPr>
          <w:rFonts w:ascii="Arial" w:eastAsia="Times New Roman" w:hAnsi="Arial" w:cs="Arial"/>
          <w:b/>
          <w:sz w:val="24"/>
          <w:szCs w:val="24"/>
        </w:rPr>
        <w:t xml:space="preserve"> </w:t>
      </w:r>
      <w:r>
        <w:rPr>
          <w:rFonts w:ascii="Arial" w:eastAsia="Times New Roman" w:hAnsi="Arial" w:cs="Arial"/>
          <w:sz w:val="24"/>
          <w:szCs w:val="24"/>
        </w:rPr>
        <w:t>subvencioniranih korisnika poduzetničkih kredita.</w:t>
      </w:r>
    </w:p>
    <w:p w14:paraId="4FE9E91C" w14:textId="77777777" w:rsidR="00E541EE" w:rsidRDefault="00E541EE" w:rsidP="00E541EE">
      <w:pPr>
        <w:jc w:val="both"/>
        <w:rPr>
          <w:rFonts w:ascii="Arial" w:eastAsia="Times New Roman" w:hAnsi="Arial" w:cs="Arial"/>
          <w:bCs/>
          <w:sz w:val="24"/>
          <w:szCs w:val="24"/>
        </w:rPr>
      </w:pPr>
    </w:p>
    <w:p w14:paraId="5BA0AC5D" w14:textId="77777777" w:rsidR="00E541EE"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Pr>
          <w:rFonts w:ascii="Arial" w:eastAsia="Times New Roman" w:hAnsi="Arial" w:cs="Arial"/>
          <w:b/>
          <w:bCs/>
          <w:sz w:val="24"/>
          <w:szCs w:val="24"/>
        </w:rPr>
        <w:t xml:space="preserve">A 100604: Poticaji i pomoći obrtnicima i malim poduzetnicima </w:t>
      </w:r>
      <w:r w:rsidRPr="00571B11">
        <w:rPr>
          <w:rFonts w:ascii="Arial" w:eastAsia="Times New Roman" w:hAnsi="Arial" w:cs="Arial"/>
          <w:b/>
          <w:bCs/>
          <w:sz w:val="24"/>
          <w:szCs w:val="24"/>
        </w:rPr>
        <w:t xml:space="preserve">= </w:t>
      </w:r>
      <w:r>
        <w:rPr>
          <w:rFonts w:ascii="Arial" w:eastAsia="Times New Roman" w:hAnsi="Arial" w:cs="Arial"/>
          <w:b/>
          <w:bCs/>
          <w:sz w:val="24"/>
          <w:szCs w:val="24"/>
        </w:rPr>
        <w:t>13.000</w:t>
      </w:r>
      <w:r w:rsidRPr="00065D8C">
        <w:rPr>
          <w:rFonts w:ascii="Arial" w:eastAsia="Times New Roman" w:hAnsi="Arial" w:cs="Arial"/>
          <w:b/>
          <w:bCs/>
          <w:sz w:val="24"/>
          <w:szCs w:val="24"/>
        </w:rPr>
        <w:t xml:space="preserve">,00 </w:t>
      </w:r>
      <w:r>
        <w:rPr>
          <w:rFonts w:ascii="Arial" w:eastAsia="Times New Roman" w:hAnsi="Arial" w:cs="Arial"/>
          <w:b/>
          <w:bCs/>
          <w:sz w:val="24"/>
          <w:szCs w:val="24"/>
        </w:rPr>
        <w:t>EUR</w:t>
      </w:r>
    </w:p>
    <w:p w14:paraId="3E0159C8" w14:textId="77777777" w:rsidR="00E541EE" w:rsidRPr="00342736" w:rsidRDefault="00E541EE" w:rsidP="00E541EE">
      <w:pPr>
        <w:pStyle w:val="Default"/>
        <w:jc w:val="both"/>
        <w:rPr>
          <w:rFonts w:ascii="Arial" w:eastAsia="Times New Roman" w:hAnsi="Arial" w:cs="Arial"/>
          <w:bCs/>
          <w:color w:val="auto"/>
        </w:rPr>
      </w:pPr>
      <w:r w:rsidRPr="002A395B">
        <w:rPr>
          <w:rFonts w:ascii="Arial" w:eastAsia="Times New Roman" w:hAnsi="Arial" w:cs="Arial"/>
          <w:b/>
          <w:bCs/>
        </w:rPr>
        <w:t>Zakonska osnova:</w:t>
      </w:r>
      <w:r w:rsidRPr="002A395B">
        <w:rPr>
          <w:rFonts w:ascii="Arial" w:eastAsia="Times New Roman" w:hAnsi="Arial" w:cs="Arial"/>
          <w:bCs/>
        </w:rPr>
        <w:t xml:space="preserve"> Zakon o poticanju razvoja malog gospodarstva</w:t>
      </w:r>
      <w:r>
        <w:rPr>
          <w:rFonts w:ascii="Arial" w:eastAsia="Times New Roman" w:hAnsi="Arial" w:cs="Arial"/>
          <w:bCs/>
        </w:rPr>
        <w:t>,</w:t>
      </w:r>
      <w:r w:rsidRPr="002A395B">
        <w:rPr>
          <w:rFonts w:ascii="Arial" w:eastAsia="Times New Roman" w:hAnsi="Arial" w:cs="Arial"/>
          <w:bCs/>
        </w:rPr>
        <w:t xml:space="preserve"> Zakon o</w:t>
      </w:r>
      <w:r>
        <w:rPr>
          <w:rFonts w:ascii="Arial" w:eastAsia="Times New Roman" w:hAnsi="Arial" w:cs="Arial"/>
          <w:bCs/>
        </w:rPr>
        <w:t xml:space="preserve"> </w:t>
      </w:r>
      <w:r w:rsidRPr="002A395B">
        <w:rPr>
          <w:rFonts w:ascii="Arial" w:eastAsia="Times New Roman" w:hAnsi="Arial" w:cs="Arial"/>
          <w:bCs/>
        </w:rPr>
        <w:t xml:space="preserve">poticanju investicija i </w:t>
      </w:r>
      <w:r w:rsidRPr="00571B11">
        <w:rPr>
          <w:rFonts w:ascii="Arial" w:eastAsia="Times New Roman" w:hAnsi="Arial" w:cs="Arial"/>
          <w:bCs/>
          <w:color w:val="auto"/>
        </w:rPr>
        <w:t>unapređenju investicijskog okruženja,</w:t>
      </w:r>
      <w:r>
        <w:rPr>
          <w:rFonts w:ascii="Arial" w:eastAsia="Times New Roman" w:hAnsi="Arial" w:cs="Arial"/>
          <w:bCs/>
          <w:color w:val="auto"/>
        </w:rPr>
        <w:t xml:space="preserve"> </w:t>
      </w:r>
      <w:r w:rsidRPr="00342736">
        <w:rPr>
          <w:rFonts w:ascii="Arial" w:eastAsia="Times New Roman" w:hAnsi="Arial" w:cs="Arial"/>
          <w:bCs/>
          <w:color w:val="auto"/>
        </w:rPr>
        <w:t>Ugovor o donaciji financijskih sredstva između Grada Rovinja-Rovigno i Udruženja obrtnika Rovinj</w:t>
      </w:r>
      <w:r w:rsidRPr="00571B11">
        <w:rPr>
          <w:rFonts w:ascii="Arial" w:eastAsia="Times New Roman" w:hAnsi="Arial" w:cs="Arial"/>
          <w:bCs/>
          <w:color w:val="auto"/>
        </w:rPr>
        <w:t>.</w:t>
      </w:r>
    </w:p>
    <w:p w14:paraId="54DE1A02" w14:textId="77777777" w:rsidR="00E541EE" w:rsidRPr="00571B11" w:rsidRDefault="00E541EE" w:rsidP="00E541EE">
      <w:pPr>
        <w:jc w:val="both"/>
        <w:rPr>
          <w:rFonts w:ascii="Arial" w:eastAsia="Times New Roman" w:hAnsi="Arial" w:cs="Arial"/>
          <w:sz w:val="24"/>
          <w:szCs w:val="24"/>
        </w:rPr>
      </w:pPr>
      <w:r w:rsidRPr="00571B11">
        <w:rPr>
          <w:rFonts w:ascii="Arial" w:eastAsia="Times New Roman" w:hAnsi="Arial" w:cs="Arial"/>
          <w:b/>
          <w:sz w:val="24"/>
          <w:szCs w:val="24"/>
        </w:rPr>
        <w:t>Opis:</w:t>
      </w:r>
      <w:r w:rsidRPr="00571B11">
        <w:rPr>
          <w:rFonts w:ascii="Arial" w:eastAsia="Times New Roman" w:hAnsi="Arial" w:cs="Arial"/>
          <w:sz w:val="24"/>
          <w:szCs w:val="24"/>
        </w:rPr>
        <w:t xml:space="preserve"> </w:t>
      </w:r>
      <w:r>
        <w:rPr>
          <w:rFonts w:ascii="Arial" w:eastAsia="Times New Roman" w:hAnsi="Arial" w:cs="Arial"/>
          <w:sz w:val="24"/>
          <w:szCs w:val="24"/>
        </w:rPr>
        <w:t>k</w:t>
      </w:r>
      <w:r w:rsidRPr="00571B11">
        <w:rPr>
          <w:rFonts w:ascii="Arial" w:eastAsia="Times New Roman" w:hAnsi="Arial" w:cs="Arial"/>
          <w:sz w:val="24"/>
          <w:szCs w:val="24"/>
        </w:rPr>
        <w:t xml:space="preserve">ako bi se i nadalje pružila financijska podrška i pomoć obrtnicima i malim poduzetnicima, osiguravaju se sredstva u iznosu </w:t>
      </w:r>
      <w:r w:rsidRPr="00BD3EEE">
        <w:rPr>
          <w:rFonts w:ascii="Arial" w:eastAsia="Times New Roman" w:hAnsi="Arial" w:cs="Arial"/>
          <w:sz w:val="24"/>
          <w:szCs w:val="24"/>
        </w:rPr>
        <w:t xml:space="preserve">od </w:t>
      </w:r>
      <w:r>
        <w:rPr>
          <w:rFonts w:ascii="Arial" w:eastAsia="Times New Roman" w:hAnsi="Arial" w:cs="Arial"/>
          <w:sz w:val="24"/>
          <w:szCs w:val="24"/>
        </w:rPr>
        <w:t>13.000,00 eura</w:t>
      </w:r>
      <w:r w:rsidRPr="00571B11">
        <w:rPr>
          <w:rFonts w:ascii="Arial" w:eastAsia="Times New Roman" w:hAnsi="Arial" w:cs="Arial"/>
          <w:sz w:val="24"/>
          <w:szCs w:val="24"/>
        </w:rPr>
        <w:t>, koja će biti dodijeljena sukladno kriterijima određenim od strane radnog tijela sačinjenog od predstavnika Grada i Udruženja obrtnika Rovinj.</w:t>
      </w:r>
    </w:p>
    <w:p w14:paraId="67989C16" w14:textId="77777777" w:rsidR="00E541EE" w:rsidRDefault="00E541EE" w:rsidP="00E541EE">
      <w:pPr>
        <w:autoSpaceDE w:val="0"/>
        <w:autoSpaceDN w:val="0"/>
        <w:adjustRightInd w:val="0"/>
        <w:jc w:val="both"/>
        <w:rPr>
          <w:rFonts w:ascii="Arial" w:eastAsia="Times New Roman" w:hAnsi="Arial" w:cs="Arial"/>
          <w:sz w:val="24"/>
          <w:szCs w:val="24"/>
        </w:rPr>
      </w:pPr>
      <w:r>
        <w:rPr>
          <w:rFonts w:ascii="Arial" w:eastAsia="Times New Roman" w:hAnsi="Arial" w:cs="Arial"/>
          <w:b/>
          <w:bCs/>
          <w:sz w:val="24"/>
          <w:szCs w:val="24"/>
        </w:rPr>
        <w:t xml:space="preserve">Opći cilj: </w:t>
      </w:r>
      <w:r>
        <w:rPr>
          <w:rFonts w:ascii="Arial" w:eastAsia="Times New Roman" w:hAnsi="Arial" w:cs="Arial"/>
          <w:sz w:val="24"/>
          <w:szCs w:val="24"/>
        </w:rPr>
        <w:t>potaknuti nova zapošljavanja, razvoj gospodarstva, poboljšanje poslovne i ulagačke klime.</w:t>
      </w:r>
    </w:p>
    <w:p w14:paraId="64A8DE44" w14:textId="77777777" w:rsidR="00E541EE" w:rsidRDefault="00E541EE" w:rsidP="00E541EE">
      <w:pPr>
        <w:autoSpaceDE w:val="0"/>
        <w:autoSpaceDN w:val="0"/>
        <w:adjustRightInd w:val="0"/>
        <w:jc w:val="both"/>
        <w:rPr>
          <w:rFonts w:ascii="Arial" w:eastAsia="Times New Roman" w:hAnsi="Arial" w:cs="Arial"/>
          <w:sz w:val="24"/>
          <w:szCs w:val="24"/>
        </w:rPr>
      </w:pPr>
      <w:r>
        <w:rPr>
          <w:rFonts w:ascii="Arial" w:eastAsia="Times New Roman" w:hAnsi="Arial" w:cs="Arial"/>
          <w:b/>
          <w:sz w:val="24"/>
          <w:szCs w:val="24"/>
        </w:rPr>
        <w:t xml:space="preserve">Pokazatelj uspješnosti:  </w:t>
      </w:r>
      <w:r>
        <w:rPr>
          <w:rFonts w:ascii="Arial" w:eastAsia="Times New Roman" w:hAnsi="Arial" w:cs="Arial"/>
          <w:sz w:val="24"/>
          <w:szCs w:val="24"/>
        </w:rPr>
        <w:t>broj odobrenih potpora i rezultati provedbe istih.</w:t>
      </w:r>
    </w:p>
    <w:p w14:paraId="3D63D495" w14:textId="77777777" w:rsidR="00E541EE" w:rsidRDefault="00E541EE" w:rsidP="00E541EE">
      <w:pPr>
        <w:autoSpaceDE w:val="0"/>
        <w:autoSpaceDN w:val="0"/>
        <w:adjustRightInd w:val="0"/>
        <w:jc w:val="both"/>
        <w:rPr>
          <w:rFonts w:ascii="Arial" w:eastAsia="Times New Roman" w:hAnsi="Arial" w:cs="Arial"/>
          <w:sz w:val="24"/>
          <w:szCs w:val="24"/>
        </w:rPr>
      </w:pPr>
    </w:p>
    <w:p w14:paraId="39DF37F7" w14:textId="77777777" w:rsidR="00E541EE"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Pr>
          <w:rFonts w:ascii="Arial" w:eastAsia="Times New Roman" w:hAnsi="Arial" w:cs="Arial"/>
          <w:b/>
          <w:bCs/>
          <w:sz w:val="24"/>
          <w:szCs w:val="24"/>
        </w:rPr>
        <w:t>A 100605: Poduzetnički inkubator i coworking = 9.950,00 EUR</w:t>
      </w:r>
    </w:p>
    <w:p w14:paraId="4372BE6B" w14:textId="77777777" w:rsidR="00E541EE" w:rsidRDefault="00E541EE" w:rsidP="00E541EE">
      <w:pPr>
        <w:jc w:val="both"/>
        <w:rPr>
          <w:rFonts w:ascii="Arial" w:eastAsia="Times New Roman" w:hAnsi="Arial" w:cs="Arial"/>
          <w:b/>
          <w:sz w:val="24"/>
          <w:szCs w:val="24"/>
        </w:rPr>
      </w:pPr>
      <w:r w:rsidRPr="002A395B">
        <w:rPr>
          <w:rFonts w:ascii="Arial" w:eastAsia="Times New Roman" w:hAnsi="Arial" w:cs="Arial"/>
          <w:b/>
          <w:bCs/>
          <w:sz w:val="24"/>
          <w:szCs w:val="24"/>
        </w:rPr>
        <w:t>Zakonska osnova:</w:t>
      </w:r>
      <w:r w:rsidRPr="002A395B">
        <w:rPr>
          <w:rFonts w:ascii="Arial" w:eastAsia="Times New Roman" w:hAnsi="Arial" w:cs="Arial"/>
          <w:bCs/>
          <w:sz w:val="24"/>
          <w:szCs w:val="24"/>
        </w:rPr>
        <w:t xml:space="preserve"> Zakon o poticanju razvoja malog gospodarstva</w:t>
      </w:r>
      <w:r>
        <w:rPr>
          <w:rFonts w:ascii="Arial" w:eastAsia="Times New Roman" w:hAnsi="Arial" w:cs="Arial"/>
          <w:bCs/>
          <w:sz w:val="24"/>
          <w:szCs w:val="24"/>
        </w:rPr>
        <w:t>,</w:t>
      </w:r>
      <w:r w:rsidRPr="002A395B">
        <w:rPr>
          <w:rFonts w:ascii="Arial" w:eastAsia="Times New Roman" w:hAnsi="Arial" w:cs="Arial"/>
          <w:bCs/>
          <w:sz w:val="24"/>
          <w:szCs w:val="24"/>
        </w:rPr>
        <w:t xml:space="preserve"> Zakon o poticanju investicija i unapređenju investicijskog okruženja</w:t>
      </w:r>
      <w:r>
        <w:rPr>
          <w:rFonts w:ascii="Arial" w:eastAsia="Times New Roman" w:hAnsi="Arial" w:cs="Arial"/>
          <w:bCs/>
          <w:sz w:val="24"/>
          <w:szCs w:val="24"/>
        </w:rPr>
        <w:t>, Sporazum o suradnji sa Rubini d.o.o. Rovinj.</w:t>
      </w:r>
    </w:p>
    <w:p w14:paraId="23FFF7D9" w14:textId="77777777" w:rsidR="00E541EE" w:rsidRDefault="00E541EE" w:rsidP="00E541EE">
      <w:pPr>
        <w:suppressAutoHyphens/>
        <w:autoSpaceDN w:val="0"/>
        <w:jc w:val="both"/>
        <w:textAlignment w:val="baseline"/>
        <w:rPr>
          <w:rFonts w:ascii="Arial" w:eastAsia="Times New Roman" w:hAnsi="Arial" w:cs="Arial"/>
          <w:sz w:val="24"/>
          <w:szCs w:val="24"/>
        </w:rPr>
      </w:pPr>
      <w:r w:rsidRPr="00CE7AB1">
        <w:rPr>
          <w:rFonts w:ascii="Arial" w:eastAsia="Times New Roman" w:hAnsi="Arial" w:cs="Arial"/>
          <w:b/>
          <w:sz w:val="24"/>
          <w:szCs w:val="24"/>
        </w:rPr>
        <w:t>Opis:</w:t>
      </w:r>
      <w:r>
        <w:rPr>
          <w:rFonts w:ascii="Arial" w:eastAsia="Times New Roman" w:hAnsi="Arial" w:cs="Arial"/>
          <w:sz w:val="24"/>
          <w:szCs w:val="24"/>
        </w:rPr>
        <w:t xml:space="preserve"> sredstva u iznosu od 9.950,00 eura se odnose na administrativno-stručno praćenje rada poduzetničkog inkubatora i coworking prostora. Troškovi su namijenjeni za materijalne i ostale troškove poduzetničkog inkubatora i rad coworkinga.</w:t>
      </w:r>
    </w:p>
    <w:p w14:paraId="2DD405AB" w14:textId="77777777" w:rsidR="00E541EE" w:rsidRDefault="00E541EE" w:rsidP="00E541EE">
      <w:pPr>
        <w:autoSpaceDE w:val="0"/>
        <w:autoSpaceDN w:val="0"/>
        <w:adjustRightInd w:val="0"/>
        <w:jc w:val="both"/>
        <w:rPr>
          <w:rFonts w:ascii="Arial" w:eastAsia="Times New Roman" w:hAnsi="Arial" w:cs="Arial"/>
          <w:sz w:val="24"/>
          <w:szCs w:val="24"/>
        </w:rPr>
      </w:pPr>
      <w:r>
        <w:rPr>
          <w:rFonts w:ascii="Arial" w:eastAsia="Times New Roman" w:hAnsi="Arial" w:cs="Arial"/>
          <w:b/>
          <w:bCs/>
          <w:sz w:val="24"/>
          <w:szCs w:val="24"/>
        </w:rPr>
        <w:t>Opći cilj:</w:t>
      </w:r>
      <w:r>
        <w:rPr>
          <w:rFonts w:ascii="Arial" w:eastAsia="Times New Roman" w:hAnsi="Arial" w:cs="Arial"/>
          <w:bCs/>
          <w:sz w:val="24"/>
          <w:szCs w:val="24"/>
        </w:rPr>
        <w:t xml:space="preserve"> o</w:t>
      </w:r>
      <w:r>
        <w:rPr>
          <w:rFonts w:ascii="Arial" w:eastAsia="Times New Roman" w:hAnsi="Arial" w:cs="Arial"/>
          <w:sz w:val="24"/>
          <w:szCs w:val="24"/>
        </w:rPr>
        <w:t>mogućiti administrativno-stručnu i infrastrukturnu pomoć gospodarskim subjektima početnicima u cilju smanjivanja početnih troškova poslovanja i pružanja stručne pomoći.</w:t>
      </w:r>
    </w:p>
    <w:p w14:paraId="39EA2FB0" w14:textId="77777777" w:rsidR="00E541EE" w:rsidRDefault="00E541EE" w:rsidP="00E541EE">
      <w:pPr>
        <w:jc w:val="both"/>
        <w:rPr>
          <w:rFonts w:ascii="Arial" w:eastAsia="Times New Roman" w:hAnsi="Arial" w:cs="Arial"/>
          <w:sz w:val="24"/>
          <w:szCs w:val="24"/>
        </w:rPr>
      </w:pPr>
      <w:r>
        <w:rPr>
          <w:rFonts w:ascii="Arial" w:eastAsia="Times New Roman" w:hAnsi="Arial" w:cs="Arial"/>
          <w:b/>
          <w:sz w:val="24"/>
          <w:szCs w:val="24"/>
        </w:rPr>
        <w:t xml:space="preserve">Pokazatelj uspješnosti: </w:t>
      </w:r>
      <w:r>
        <w:rPr>
          <w:rFonts w:ascii="Arial" w:eastAsia="Times New Roman" w:hAnsi="Arial" w:cs="Arial"/>
          <w:sz w:val="24"/>
          <w:szCs w:val="24"/>
        </w:rPr>
        <w:t>broj korisnika prostora Poduzetničkog inkubatora i coworkinga.</w:t>
      </w:r>
    </w:p>
    <w:p w14:paraId="6834401D" w14:textId="77777777" w:rsidR="00E541EE" w:rsidRDefault="00E541EE" w:rsidP="00E541EE">
      <w:pPr>
        <w:jc w:val="both"/>
        <w:rPr>
          <w:rFonts w:ascii="Arial" w:eastAsia="Times New Roman" w:hAnsi="Arial" w:cs="Arial"/>
          <w:bCs/>
          <w:sz w:val="24"/>
          <w:szCs w:val="24"/>
        </w:rPr>
      </w:pPr>
    </w:p>
    <w:p w14:paraId="378C75D2" w14:textId="77777777" w:rsidR="00E541EE" w:rsidRPr="00065D8C"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Pr>
          <w:rFonts w:ascii="Arial" w:eastAsia="Times New Roman" w:hAnsi="Arial" w:cs="Arial"/>
          <w:b/>
          <w:bCs/>
          <w:sz w:val="24"/>
          <w:szCs w:val="24"/>
        </w:rPr>
        <w:t>A 100606: Programi pripreme i praćenja turističke sezone = 25.65</w:t>
      </w:r>
      <w:r w:rsidRPr="00065D8C">
        <w:rPr>
          <w:rFonts w:ascii="Arial" w:eastAsia="Times New Roman" w:hAnsi="Arial" w:cs="Arial"/>
          <w:b/>
          <w:bCs/>
          <w:sz w:val="24"/>
          <w:szCs w:val="24"/>
        </w:rPr>
        <w:t xml:space="preserve">0,00 </w:t>
      </w:r>
      <w:r>
        <w:rPr>
          <w:rFonts w:ascii="Arial" w:eastAsia="Times New Roman" w:hAnsi="Arial" w:cs="Arial"/>
          <w:b/>
          <w:bCs/>
          <w:sz w:val="24"/>
          <w:szCs w:val="24"/>
        </w:rPr>
        <w:t>EUR</w:t>
      </w:r>
    </w:p>
    <w:p w14:paraId="2290D89A" w14:textId="77777777" w:rsidR="00E541EE" w:rsidRPr="005F3C80" w:rsidRDefault="00E541EE" w:rsidP="00E541EE">
      <w:pPr>
        <w:pStyle w:val="Naslov1"/>
        <w:spacing w:before="0" w:line="240" w:lineRule="auto"/>
        <w:rPr>
          <w:rFonts w:ascii="Arial" w:hAnsi="Arial" w:cs="Arial"/>
          <w:b w:val="0"/>
          <w:bCs w:val="0"/>
          <w:color w:val="auto"/>
          <w:sz w:val="24"/>
          <w:szCs w:val="24"/>
          <w:lang w:eastAsia="hr-HR"/>
        </w:rPr>
      </w:pPr>
      <w:r w:rsidRPr="007379B3">
        <w:rPr>
          <w:rFonts w:ascii="Arial" w:hAnsi="Arial" w:cs="Arial"/>
          <w:bCs w:val="0"/>
          <w:color w:val="auto"/>
          <w:sz w:val="24"/>
          <w:szCs w:val="24"/>
          <w:lang w:eastAsia="hr-HR"/>
        </w:rPr>
        <w:t>Zakonska osnova</w:t>
      </w:r>
      <w:r w:rsidRPr="005F3C80">
        <w:rPr>
          <w:rFonts w:ascii="Arial" w:hAnsi="Arial" w:cs="Arial"/>
          <w:bCs w:val="0"/>
          <w:color w:val="auto"/>
          <w:sz w:val="24"/>
          <w:szCs w:val="24"/>
          <w:lang w:eastAsia="hr-HR"/>
        </w:rPr>
        <w:t>:</w:t>
      </w:r>
      <w:r w:rsidRPr="005F3C80">
        <w:rPr>
          <w:rFonts w:ascii="Arial" w:hAnsi="Arial" w:cs="Arial"/>
          <w:b w:val="0"/>
          <w:bCs w:val="0"/>
          <w:color w:val="auto"/>
          <w:sz w:val="24"/>
          <w:szCs w:val="24"/>
          <w:lang w:eastAsia="hr-HR"/>
        </w:rPr>
        <w:t xml:space="preserve"> Sporazum o suradnji sa organizatorima.</w:t>
      </w:r>
    </w:p>
    <w:p w14:paraId="29D24139" w14:textId="77777777" w:rsidR="00E541EE" w:rsidRDefault="00E541EE" w:rsidP="00E541EE">
      <w:pPr>
        <w:jc w:val="both"/>
        <w:rPr>
          <w:rFonts w:ascii="Arial" w:eastAsia="Times New Roman" w:hAnsi="Arial" w:cs="Arial"/>
          <w:sz w:val="24"/>
          <w:szCs w:val="24"/>
        </w:rPr>
      </w:pPr>
      <w:r w:rsidRPr="005F3C80">
        <w:rPr>
          <w:rFonts w:ascii="Arial" w:eastAsia="Times New Roman" w:hAnsi="Arial" w:cs="Arial"/>
          <w:b/>
          <w:sz w:val="24"/>
          <w:szCs w:val="24"/>
        </w:rPr>
        <w:t>Opis:</w:t>
      </w:r>
      <w:r w:rsidRPr="005F3C80">
        <w:rPr>
          <w:rFonts w:ascii="Arial" w:eastAsia="Times New Roman" w:hAnsi="Arial" w:cs="Arial"/>
          <w:sz w:val="24"/>
          <w:szCs w:val="24"/>
        </w:rPr>
        <w:t xml:space="preserve"> </w:t>
      </w:r>
      <w:r>
        <w:rPr>
          <w:rFonts w:ascii="Arial" w:eastAsia="Times New Roman" w:hAnsi="Arial" w:cs="Arial"/>
          <w:sz w:val="24"/>
          <w:szCs w:val="24"/>
        </w:rPr>
        <w:t>s</w:t>
      </w:r>
      <w:r w:rsidRPr="005F3C80">
        <w:rPr>
          <w:rFonts w:ascii="Arial" w:eastAsia="Times New Roman" w:hAnsi="Arial" w:cs="Arial"/>
          <w:sz w:val="24"/>
          <w:szCs w:val="24"/>
        </w:rPr>
        <w:t xml:space="preserve">redstva u iznosu od </w:t>
      </w:r>
      <w:r>
        <w:rPr>
          <w:rFonts w:ascii="Arial" w:eastAsia="Times New Roman" w:hAnsi="Arial" w:cs="Arial"/>
          <w:sz w:val="24"/>
          <w:szCs w:val="24"/>
        </w:rPr>
        <w:t>25.650,00 eura</w:t>
      </w:r>
      <w:r w:rsidRPr="005F3C80">
        <w:rPr>
          <w:rFonts w:ascii="Arial" w:eastAsia="Times New Roman" w:hAnsi="Arial" w:cs="Arial"/>
          <w:sz w:val="24"/>
          <w:szCs w:val="24"/>
        </w:rPr>
        <w:t xml:space="preserve"> osigurana su za financijsko praćenje ljetnih manifestacija</w:t>
      </w:r>
      <w:r>
        <w:rPr>
          <w:rFonts w:ascii="Arial" w:eastAsia="Times New Roman" w:hAnsi="Arial" w:cs="Arial"/>
          <w:sz w:val="24"/>
          <w:szCs w:val="24"/>
        </w:rPr>
        <w:t>.</w:t>
      </w:r>
    </w:p>
    <w:p w14:paraId="021CE0CE" w14:textId="77777777" w:rsidR="00E541EE" w:rsidRDefault="00E541EE" w:rsidP="00E541EE">
      <w:pPr>
        <w:ind w:hanging="12"/>
        <w:jc w:val="both"/>
        <w:rPr>
          <w:rFonts w:ascii="Arial" w:eastAsia="Times New Roman" w:hAnsi="Arial" w:cs="Arial"/>
          <w:bCs/>
          <w:sz w:val="24"/>
          <w:szCs w:val="24"/>
        </w:rPr>
      </w:pPr>
      <w:r>
        <w:rPr>
          <w:rFonts w:ascii="Arial" w:eastAsia="Times New Roman" w:hAnsi="Arial" w:cs="Arial"/>
          <w:b/>
          <w:bCs/>
          <w:sz w:val="24"/>
          <w:szCs w:val="24"/>
        </w:rPr>
        <w:t>Opći cilj:</w:t>
      </w:r>
      <w:r>
        <w:rPr>
          <w:rFonts w:ascii="Arial" w:eastAsia="Times New Roman" w:hAnsi="Arial" w:cs="Arial"/>
          <w:bCs/>
          <w:sz w:val="24"/>
          <w:szCs w:val="24"/>
        </w:rPr>
        <w:t xml:space="preserve"> Razviti i unaprijediti kulturnu i turističku ponudu grada.</w:t>
      </w:r>
    </w:p>
    <w:p w14:paraId="28E9020C" w14:textId="77777777" w:rsidR="00E541EE" w:rsidRDefault="00E541EE" w:rsidP="00E541EE">
      <w:pPr>
        <w:ind w:hanging="12"/>
        <w:jc w:val="both"/>
        <w:rPr>
          <w:rFonts w:ascii="Arial" w:eastAsia="Times New Roman" w:hAnsi="Arial" w:cs="Arial"/>
          <w:bCs/>
          <w:sz w:val="24"/>
          <w:szCs w:val="24"/>
        </w:rPr>
      </w:pPr>
      <w:r>
        <w:rPr>
          <w:rFonts w:ascii="Arial" w:eastAsia="Times New Roman" w:hAnsi="Arial" w:cs="Arial"/>
          <w:b/>
          <w:bCs/>
          <w:sz w:val="24"/>
          <w:szCs w:val="24"/>
        </w:rPr>
        <w:t>Pokazatelj uspješnosti:</w:t>
      </w:r>
      <w:r>
        <w:rPr>
          <w:rFonts w:ascii="Arial" w:eastAsia="Times New Roman" w:hAnsi="Arial" w:cs="Arial"/>
          <w:bCs/>
          <w:sz w:val="24"/>
          <w:szCs w:val="24"/>
        </w:rPr>
        <w:t xml:space="preserve"> Sufinancirane ljetnih manifestacija.</w:t>
      </w:r>
    </w:p>
    <w:p w14:paraId="0E005D95" w14:textId="77777777" w:rsidR="00E541EE" w:rsidRDefault="00E541EE" w:rsidP="00E541EE">
      <w:pPr>
        <w:ind w:hanging="12"/>
        <w:jc w:val="both"/>
        <w:rPr>
          <w:rFonts w:ascii="Arial" w:eastAsia="Times New Roman" w:hAnsi="Arial" w:cs="Arial"/>
          <w:bCs/>
          <w:sz w:val="24"/>
          <w:szCs w:val="24"/>
        </w:rPr>
      </w:pPr>
    </w:p>
    <w:p w14:paraId="3F12D1BB" w14:textId="77777777" w:rsidR="00E541EE"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Pr>
          <w:rFonts w:ascii="Arial" w:eastAsia="Times New Roman" w:hAnsi="Arial" w:cs="Arial"/>
          <w:b/>
          <w:bCs/>
          <w:sz w:val="24"/>
          <w:szCs w:val="24"/>
        </w:rPr>
        <w:t xml:space="preserve">A 100607: Spasilačka služba u turističkoj sezoni = </w:t>
      </w:r>
      <w:r w:rsidRPr="00A977FA">
        <w:rPr>
          <w:rFonts w:ascii="Arial" w:eastAsia="Times New Roman" w:hAnsi="Arial" w:cs="Arial"/>
          <w:b/>
          <w:bCs/>
          <w:sz w:val="24"/>
          <w:szCs w:val="24"/>
        </w:rPr>
        <w:t xml:space="preserve">26.150,00 </w:t>
      </w:r>
      <w:r>
        <w:rPr>
          <w:rFonts w:ascii="Arial" w:eastAsia="Times New Roman" w:hAnsi="Arial" w:cs="Arial"/>
          <w:b/>
          <w:bCs/>
          <w:sz w:val="24"/>
          <w:szCs w:val="24"/>
        </w:rPr>
        <w:t xml:space="preserve">EUR </w:t>
      </w:r>
    </w:p>
    <w:p w14:paraId="5004BA0A" w14:textId="77777777" w:rsidR="00E541EE" w:rsidRDefault="00E541EE" w:rsidP="00E541EE">
      <w:pPr>
        <w:jc w:val="both"/>
        <w:rPr>
          <w:rFonts w:ascii="Arial" w:eastAsia="Times New Roman" w:hAnsi="Arial" w:cs="Arial"/>
          <w:sz w:val="24"/>
          <w:szCs w:val="24"/>
        </w:rPr>
      </w:pPr>
      <w:r w:rsidRPr="003B13FE">
        <w:rPr>
          <w:rFonts w:ascii="Arial" w:eastAsia="Times New Roman" w:hAnsi="Arial" w:cs="Arial"/>
          <w:b/>
          <w:bCs/>
          <w:sz w:val="24"/>
          <w:szCs w:val="24"/>
        </w:rPr>
        <w:t>Opis:</w:t>
      </w:r>
      <w:r>
        <w:rPr>
          <w:rFonts w:ascii="Arial" w:eastAsia="Times New Roman" w:hAnsi="Arial" w:cs="Arial"/>
          <w:sz w:val="24"/>
          <w:szCs w:val="24"/>
        </w:rPr>
        <w:t xml:space="preserve"> sredstava su namijenjena za organizaciju rada spasilačke službe na rovinjskim plažama, za što se namjerava utrošiti 26.150,00 eura.</w:t>
      </w:r>
    </w:p>
    <w:p w14:paraId="6061F9EE" w14:textId="77777777" w:rsidR="00E541EE" w:rsidRDefault="00E541EE" w:rsidP="00E541EE">
      <w:pPr>
        <w:jc w:val="both"/>
        <w:rPr>
          <w:rFonts w:ascii="Arial" w:eastAsia="Times New Roman" w:hAnsi="Arial" w:cs="Arial"/>
          <w:b/>
          <w:bCs/>
          <w:sz w:val="24"/>
          <w:szCs w:val="24"/>
        </w:rPr>
      </w:pPr>
      <w:r>
        <w:rPr>
          <w:rFonts w:ascii="Arial" w:eastAsia="Times New Roman" w:hAnsi="Arial" w:cs="Arial"/>
          <w:b/>
          <w:bCs/>
          <w:sz w:val="24"/>
          <w:szCs w:val="24"/>
        </w:rPr>
        <w:t xml:space="preserve">Opći cilj: </w:t>
      </w:r>
      <w:r>
        <w:rPr>
          <w:rFonts w:ascii="Arial" w:eastAsia="Times New Roman" w:hAnsi="Arial" w:cs="Arial"/>
          <w:bCs/>
          <w:sz w:val="24"/>
          <w:szCs w:val="24"/>
        </w:rPr>
        <w:t xml:space="preserve">osiguravanje sigurnosti posjetitelja i kupača </w:t>
      </w:r>
      <w:r w:rsidRPr="00F225F0">
        <w:rPr>
          <w:rFonts w:ascii="Arial" w:eastAsia="Times New Roman" w:hAnsi="Arial" w:cs="Arial"/>
          <w:bCs/>
          <w:sz w:val="24"/>
          <w:szCs w:val="24"/>
        </w:rPr>
        <w:t xml:space="preserve">na 3 (tri) gradske </w:t>
      </w:r>
      <w:r>
        <w:rPr>
          <w:rFonts w:ascii="Arial" w:eastAsia="Times New Roman" w:hAnsi="Arial" w:cs="Arial"/>
          <w:bCs/>
          <w:sz w:val="24"/>
          <w:szCs w:val="24"/>
        </w:rPr>
        <w:t>plaže.</w:t>
      </w:r>
    </w:p>
    <w:p w14:paraId="29BE19AC" w14:textId="77777777" w:rsidR="00E541EE" w:rsidRDefault="00E541EE" w:rsidP="00E541EE">
      <w:pPr>
        <w:jc w:val="both"/>
        <w:rPr>
          <w:rFonts w:ascii="Arial" w:eastAsia="Times New Roman" w:hAnsi="Arial" w:cs="Arial"/>
          <w:bCs/>
          <w:sz w:val="24"/>
          <w:szCs w:val="24"/>
        </w:rPr>
      </w:pPr>
      <w:r>
        <w:rPr>
          <w:rFonts w:ascii="Arial" w:eastAsia="Times New Roman" w:hAnsi="Arial" w:cs="Arial"/>
          <w:b/>
          <w:bCs/>
          <w:sz w:val="24"/>
          <w:szCs w:val="24"/>
        </w:rPr>
        <w:t>Pokazatelj uspješnosti:</w:t>
      </w:r>
      <w:r>
        <w:rPr>
          <w:rFonts w:ascii="Arial" w:eastAsia="Times New Roman" w:hAnsi="Arial" w:cs="Arial"/>
          <w:bCs/>
          <w:sz w:val="24"/>
          <w:szCs w:val="24"/>
        </w:rPr>
        <w:t xml:space="preserve"> plaže sa organiziranim radom spasilačke službe.</w:t>
      </w:r>
    </w:p>
    <w:p w14:paraId="7CEB98C6" w14:textId="77777777" w:rsidR="00E541EE" w:rsidRDefault="00E541EE" w:rsidP="00E541EE">
      <w:pPr>
        <w:jc w:val="both"/>
        <w:rPr>
          <w:rFonts w:ascii="Arial" w:eastAsia="Times New Roman" w:hAnsi="Arial" w:cs="Arial"/>
          <w:b/>
          <w:bCs/>
          <w:sz w:val="24"/>
          <w:szCs w:val="24"/>
        </w:rPr>
      </w:pPr>
    </w:p>
    <w:p w14:paraId="7550D418" w14:textId="77777777" w:rsidR="00E541EE"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Pr>
          <w:rFonts w:ascii="Arial" w:eastAsia="Times New Roman" w:hAnsi="Arial" w:cs="Arial"/>
          <w:b/>
          <w:bCs/>
          <w:sz w:val="24"/>
          <w:szCs w:val="24"/>
        </w:rPr>
        <w:t>T 100601: Sufinanciranje Lokalne akcijske grupe Južne Istre = 2.655,00 EUR</w:t>
      </w:r>
    </w:p>
    <w:p w14:paraId="38E599C6" w14:textId="77777777" w:rsidR="00E541EE" w:rsidRPr="00F225F0" w:rsidRDefault="00E541EE" w:rsidP="00E541EE">
      <w:pPr>
        <w:pStyle w:val="Naslov5"/>
        <w:spacing w:before="0"/>
        <w:textAlignment w:val="baseline"/>
        <w:rPr>
          <w:rFonts w:ascii="Arial" w:hAnsi="Arial" w:cs="Arial"/>
          <w:bCs/>
          <w:color w:val="auto"/>
          <w:sz w:val="24"/>
          <w:szCs w:val="24"/>
          <w:lang w:eastAsia="hr-HR"/>
        </w:rPr>
      </w:pPr>
      <w:r w:rsidRPr="007379B3">
        <w:rPr>
          <w:rFonts w:ascii="Arial" w:hAnsi="Arial" w:cs="Arial"/>
          <w:b/>
          <w:bCs/>
          <w:color w:val="auto"/>
          <w:sz w:val="24"/>
          <w:szCs w:val="24"/>
          <w:lang w:eastAsia="hr-HR"/>
        </w:rPr>
        <w:t xml:space="preserve">Zakonska osnova: </w:t>
      </w:r>
      <w:r w:rsidRPr="00F225F0">
        <w:rPr>
          <w:rFonts w:ascii="Arial" w:hAnsi="Arial" w:cs="Arial"/>
          <w:bCs/>
          <w:color w:val="auto"/>
          <w:sz w:val="24"/>
          <w:szCs w:val="24"/>
          <w:lang w:eastAsia="hr-HR"/>
        </w:rPr>
        <w:t>Lokalna razvojna strategija LAG-a "Južna Istra" 2023.-2027.</w:t>
      </w:r>
    </w:p>
    <w:p w14:paraId="5B4920E9" w14:textId="77777777" w:rsidR="00E541EE" w:rsidRDefault="00E541EE" w:rsidP="00E541EE">
      <w:pPr>
        <w:jc w:val="both"/>
        <w:rPr>
          <w:rFonts w:ascii="Arial" w:eastAsia="Times New Roman" w:hAnsi="Arial" w:cs="Arial"/>
          <w:sz w:val="24"/>
          <w:szCs w:val="24"/>
        </w:rPr>
      </w:pPr>
      <w:r w:rsidRPr="00CE7AB1">
        <w:rPr>
          <w:rFonts w:ascii="Arial" w:eastAsia="Times New Roman" w:hAnsi="Arial" w:cs="Arial"/>
          <w:b/>
          <w:sz w:val="24"/>
          <w:szCs w:val="24"/>
        </w:rPr>
        <w:t>Opis:</w:t>
      </w:r>
      <w:r>
        <w:rPr>
          <w:rFonts w:ascii="Arial" w:eastAsia="Times New Roman" w:hAnsi="Arial" w:cs="Arial"/>
          <w:sz w:val="24"/>
          <w:szCs w:val="24"/>
        </w:rPr>
        <w:t xml:space="preserve"> Grad sudjeluje u radu Lokalne akcijske grupe „Južne Istre” (LAG) sa iznosom od 2.655,00 eura. Svrha LAG-a je pružanje potpore udrugama, poduzetnicima i ostalim subjektima u ruralnim područjima kako bi ocijenili potencijal svojeg područja, te da se potakne provedba integriranih i kvalitetnih strategija održivog razvoja. </w:t>
      </w:r>
    </w:p>
    <w:p w14:paraId="1F807EA3" w14:textId="77777777" w:rsidR="00E541EE" w:rsidRDefault="00E541EE" w:rsidP="00E541EE">
      <w:pPr>
        <w:shd w:val="clear" w:color="auto" w:fill="FFFFFF"/>
        <w:jc w:val="both"/>
        <w:rPr>
          <w:rFonts w:ascii="Arial" w:eastAsia="Times New Roman" w:hAnsi="Arial" w:cs="Arial"/>
          <w:sz w:val="24"/>
          <w:szCs w:val="24"/>
        </w:rPr>
      </w:pPr>
      <w:r>
        <w:rPr>
          <w:rFonts w:ascii="Arial" w:eastAsia="Times New Roman" w:hAnsi="Arial" w:cs="Arial"/>
          <w:b/>
          <w:sz w:val="24"/>
          <w:szCs w:val="24"/>
        </w:rPr>
        <w:t>Opći cilj:</w:t>
      </w:r>
      <w:r>
        <w:rPr>
          <w:rFonts w:ascii="Arial" w:eastAsia="Times New Roman" w:hAnsi="Arial" w:cs="Arial"/>
          <w:sz w:val="24"/>
          <w:szCs w:val="24"/>
        </w:rPr>
        <w:t xml:space="preserve"> Promicanje ruralnog razvoja putem lokalnih inicijativa i partnerstava, poboljšanje ruralnih životnih i radnih uvjeta, diversifikacija gospodarskih aktivnosti, osiguravanje protoka informacija i transfera znanja za napredak u razvoju ruralnog gospodarstva i lokalne zajednice, razvijanje sinergije i umrežavanja između svih subjekata kojima je u interesu doprinijeti razvoju ruralnih područja, iskorištavanje i razvijanje postojećih potencijala za ruralni razvoj, jačanje financijskih i ljudskih kapaciteta za provedbu projekata ruralnog razvoja, pripreme LAG područja za korištenje strukturnih i ostalih fondova EU, briga o infrastrukturnom, ekološko-socijalnom, kulturnom, gospodarskom i svakom drugom razvoju u širem području.</w:t>
      </w:r>
    </w:p>
    <w:p w14:paraId="1F86ED96" w14:textId="77777777" w:rsidR="00E541EE" w:rsidRDefault="00E541EE" w:rsidP="00E541EE">
      <w:pPr>
        <w:tabs>
          <w:tab w:val="right" w:pos="0"/>
        </w:tabs>
        <w:jc w:val="both"/>
        <w:rPr>
          <w:rFonts w:ascii="Arial" w:eastAsia="Times New Roman" w:hAnsi="Arial" w:cs="Arial"/>
          <w:sz w:val="24"/>
          <w:szCs w:val="24"/>
        </w:rPr>
      </w:pPr>
      <w:r>
        <w:rPr>
          <w:rFonts w:ascii="Arial" w:eastAsia="Times New Roman" w:hAnsi="Arial" w:cs="Arial"/>
          <w:b/>
          <w:sz w:val="24"/>
          <w:szCs w:val="24"/>
        </w:rPr>
        <w:t xml:space="preserve">Pokazatelj uspješnosti:  </w:t>
      </w:r>
      <w:r>
        <w:rPr>
          <w:rFonts w:ascii="Arial" w:eastAsia="Times New Roman" w:hAnsi="Arial" w:cs="Arial"/>
          <w:sz w:val="24"/>
          <w:szCs w:val="24"/>
        </w:rPr>
        <w:t>Realizacija planiranih aktivnosti u zadanom roku.</w:t>
      </w:r>
    </w:p>
    <w:p w14:paraId="16555A14" w14:textId="77777777" w:rsidR="00E541EE" w:rsidRDefault="00E541EE" w:rsidP="00E541EE">
      <w:pPr>
        <w:tabs>
          <w:tab w:val="right" w:pos="0"/>
        </w:tabs>
        <w:jc w:val="both"/>
        <w:rPr>
          <w:rFonts w:ascii="Arial" w:eastAsia="Times New Roman" w:hAnsi="Arial" w:cs="Arial"/>
          <w:sz w:val="24"/>
          <w:szCs w:val="24"/>
        </w:rPr>
      </w:pPr>
    </w:p>
    <w:p w14:paraId="636D68C9" w14:textId="77777777" w:rsidR="00E541EE"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Pr>
          <w:rFonts w:ascii="Arial" w:eastAsia="Times New Roman" w:hAnsi="Arial" w:cs="Arial"/>
          <w:b/>
          <w:bCs/>
          <w:sz w:val="24"/>
          <w:szCs w:val="24"/>
        </w:rPr>
        <w:t>T 100602: Sufinanciranje Lokalne akcijske grupe u ribarstvu (LAGUR) Istarska batana = 6.700,00 EUR</w:t>
      </w:r>
    </w:p>
    <w:p w14:paraId="7759D7B5" w14:textId="77777777" w:rsidR="00E541EE" w:rsidRPr="007379B3" w:rsidRDefault="00E541EE" w:rsidP="00E541EE">
      <w:pPr>
        <w:jc w:val="both"/>
        <w:rPr>
          <w:rFonts w:ascii="Arial" w:eastAsia="Times New Roman" w:hAnsi="Arial" w:cs="Arial"/>
          <w:bCs/>
          <w:sz w:val="24"/>
          <w:szCs w:val="24"/>
        </w:rPr>
      </w:pPr>
      <w:r w:rsidRPr="007379B3">
        <w:rPr>
          <w:rFonts w:ascii="Arial" w:eastAsia="Times New Roman" w:hAnsi="Arial" w:cs="Arial"/>
          <w:b/>
          <w:bCs/>
          <w:sz w:val="24"/>
          <w:szCs w:val="24"/>
        </w:rPr>
        <w:t xml:space="preserve">Zakonska osnova: </w:t>
      </w:r>
      <w:r w:rsidRPr="007379B3">
        <w:rPr>
          <w:rFonts w:ascii="Arial" w:eastAsia="Times New Roman" w:hAnsi="Arial" w:cs="Arial"/>
          <w:bCs/>
          <w:sz w:val="24"/>
          <w:szCs w:val="24"/>
        </w:rPr>
        <w:t>Lokalna</w:t>
      </w:r>
      <w:r>
        <w:rPr>
          <w:rFonts w:ascii="Arial" w:eastAsia="Times New Roman" w:hAnsi="Arial" w:cs="Arial"/>
          <w:bCs/>
          <w:sz w:val="24"/>
          <w:szCs w:val="24"/>
        </w:rPr>
        <w:t xml:space="preserve"> </w:t>
      </w:r>
      <w:r w:rsidRPr="007379B3">
        <w:rPr>
          <w:rFonts w:ascii="Arial" w:eastAsia="Times New Roman" w:hAnsi="Arial" w:cs="Arial"/>
          <w:bCs/>
          <w:sz w:val="24"/>
          <w:szCs w:val="24"/>
        </w:rPr>
        <w:t>razvojna strategija u ribarstvu FLAG-a „Istarska batana“</w:t>
      </w:r>
      <w:r>
        <w:rPr>
          <w:rFonts w:ascii="Arial" w:eastAsia="Times New Roman" w:hAnsi="Arial" w:cs="Arial"/>
          <w:bCs/>
          <w:sz w:val="24"/>
          <w:szCs w:val="24"/>
        </w:rPr>
        <w:t xml:space="preserve"> 2021.-2027.</w:t>
      </w:r>
    </w:p>
    <w:p w14:paraId="4CB54226" w14:textId="77777777" w:rsidR="00E541EE" w:rsidRDefault="00E541EE" w:rsidP="00E541EE">
      <w:pPr>
        <w:jc w:val="both"/>
        <w:rPr>
          <w:rFonts w:ascii="Arial" w:eastAsia="Times New Roman" w:hAnsi="Arial" w:cs="Arial"/>
          <w:bCs/>
          <w:sz w:val="24"/>
          <w:szCs w:val="24"/>
          <w:shd w:val="clear" w:color="auto" w:fill="FFFFFF"/>
        </w:rPr>
      </w:pPr>
      <w:r w:rsidRPr="005E549C">
        <w:rPr>
          <w:rFonts w:ascii="Arial" w:eastAsia="Times New Roman" w:hAnsi="Arial" w:cs="Arial"/>
          <w:b/>
          <w:bCs/>
          <w:sz w:val="24"/>
          <w:szCs w:val="24"/>
        </w:rPr>
        <w:t>Opis:</w:t>
      </w:r>
      <w:r>
        <w:rPr>
          <w:rFonts w:ascii="Arial" w:eastAsia="Times New Roman" w:hAnsi="Arial" w:cs="Arial"/>
          <w:bCs/>
          <w:sz w:val="24"/>
          <w:szCs w:val="24"/>
        </w:rPr>
        <w:t xml:space="preserve"> Lokalna akcijska grupa u ribarstvu „Istarska batana“ (LAGUR) osnovana je u veljači 2016. godine i</w:t>
      </w:r>
      <w:r>
        <w:rPr>
          <w:rFonts w:ascii="Arial" w:eastAsia="Times New Roman" w:hAnsi="Arial" w:cs="Arial"/>
          <w:bCs/>
          <w:sz w:val="24"/>
          <w:szCs w:val="24"/>
          <w:shd w:val="clear" w:color="auto" w:fill="FFFFFF"/>
        </w:rPr>
        <w:t xml:space="preserve"> predstavlja poseban oblik lokalne akcijske grupe, koja je specijalizirana za područje ribarstva i akvakulture te ostalim povezanim djelatnostima. Z</w:t>
      </w:r>
      <w:r>
        <w:rPr>
          <w:rFonts w:ascii="Arial" w:eastAsia="Times New Roman" w:hAnsi="Arial" w:cs="Arial"/>
          <w:bCs/>
          <w:sz w:val="24"/>
          <w:szCs w:val="24"/>
        </w:rPr>
        <w:t>a financiranje aktivnosti LAGUR-a</w:t>
      </w:r>
      <w:r>
        <w:rPr>
          <w:rFonts w:ascii="Arial" w:eastAsia="Times New Roman" w:hAnsi="Arial" w:cs="Arial"/>
          <w:bCs/>
          <w:sz w:val="24"/>
          <w:szCs w:val="24"/>
          <w:shd w:val="clear" w:color="auto" w:fill="FFFFFF"/>
        </w:rPr>
        <w:t xml:space="preserve"> planira se izdvojiti iznos od 6.700,00 </w:t>
      </w:r>
      <w:r>
        <w:rPr>
          <w:rFonts w:ascii="Arial" w:eastAsia="Times New Roman" w:hAnsi="Arial" w:cs="Arial"/>
          <w:sz w:val="24"/>
          <w:szCs w:val="24"/>
        </w:rPr>
        <w:t>EUR</w:t>
      </w:r>
      <w:r>
        <w:rPr>
          <w:rFonts w:ascii="Arial" w:eastAsia="Times New Roman" w:hAnsi="Arial" w:cs="Arial"/>
          <w:bCs/>
          <w:sz w:val="24"/>
          <w:szCs w:val="24"/>
          <w:shd w:val="clear" w:color="auto" w:fill="FFFFFF"/>
        </w:rPr>
        <w:t>.</w:t>
      </w:r>
    </w:p>
    <w:p w14:paraId="60B78E55" w14:textId="77777777" w:rsidR="00E541EE" w:rsidRDefault="00E541EE" w:rsidP="00E541EE">
      <w:pPr>
        <w:jc w:val="both"/>
        <w:rPr>
          <w:rFonts w:ascii="Arial" w:eastAsia="Times New Roman" w:hAnsi="Arial" w:cs="Arial"/>
          <w:bCs/>
          <w:color w:val="000000"/>
          <w:sz w:val="24"/>
          <w:szCs w:val="24"/>
          <w:shd w:val="clear" w:color="auto" w:fill="FFFFFF"/>
        </w:rPr>
      </w:pPr>
      <w:r>
        <w:rPr>
          <w:rFonts w:ascii="Arial" w:eastAsia="Times New Roman" w:hAnsi="Arial" w:cs="Arial"/>
          <w:bCs/>
          <w:color w:val="000000"/>
          <w:sz w:val="24"/>
          <w:szCs w:val="24"/>
          <w:shd w:val="clear" w:color="auto" w:fill="FFFFFF"/>
        </w:rPr>
        <w:t>LAGUR djeluje na području Grada Rovinja-Rovigno, Grada Vodnjana, Općine Bale, Općine Barban, Općine Fažana, Općine Kanfanar, Općine Ližnjan, Općine Marčana, Općine Medulin i Općine Svetvinčenat.</w:t>
      </w:r>
    </w:p>
    <w:p w14:paraId="7CDC4D9C" w14:textId="77777777" w:rsidR="00E541EE" w:rsidRDefault="00E541EE" w:rsidP="00E541EE">
      <w:pPr>
        <w:jc w:val="both"/>
        <w:rPr>
          <w:rFonts w:ascii="Arial" w:eastAsia="Times New Roman" w:hAnsi="Arial" w:cs="Arial"/>
          <w:b/>
          <w:bCs/>
          <w:sz w:val="24"/>
          <w:szCs w:val="24"/>
        </w:rPr>
      </w:pPr>
      <w:r>
        <w:rPr>
          <w:rFonts w:ascii="Arial" w:eastAsia="Times New Roman" w:hAnsi="Arial" w:cs="Arial"/>
          <w:b/>
          <w:bCs/>
          <w:sz w:val="24"/>
          <w:szCs w:val="24"/>
        </w:rPr>
        <w:t xml:space="preserve">Opći cilj: </w:t>
      </w:r>
      <w:r>
        <w:rPr>
          <w:rFonts w:ascii="Arial" w:eastAsia="Times New Roman" w:hAnsi="Arial" w:cs="Arial"/>
          <w:sz w:val="24"/>
          <w:szCs w:val="24"/>
          <w:shd w:val="clear" w:color="auto" w:fill="FFFFFF"/>
        </w:rPr>
        <w:t>povećanje zaposlenosti i teritorijalne kohezije putem promicanja gospodarskog rasta i društvene uključenosti, pružanja podrške zapošljavanju i mobilnosti radne snage u obalnim i kontinentalnih zajednicama koje ovise o ribolovu i akvakulturi, diversifikaciji aktivnosti u ribarstvu, doprinosu zaštiti i dodavanju vrijednosti ribljim proizvodima putem jedinstvenih znanja, kulture i tradicije, povećanja broja radnih mjesta u ribarstvu unutar svojih zajednica, osiguranja protoka informacija za napredak u razvoju ribarskog gospodarstva i lokalne zajednice u svrhu poticanja održivog razvoja, ostvarivanja zajedničkih interesa svih razvojnih dionika ribarstvenog područja, te dugoročno ostvarivanje održivog razvoja područja LAGUR-a.</w:t>
      </w:r>
    </w:p>
    <w:p w14:paraId="2A9A47BE" w14:textId="77777777" w:rsidR="00E541EE" w:rsidRDefault="00E541EE" w:rsidP="00E541EE">
      <w:pPr>
        <w:tabs>
          <w:tab w:val="right" w:pos="0"/>
        </w:tabs>
        <w:jc w:val="both"/>
        <w:rPr>
          <w:rFonts w:ascii="Arial" w:eastAsia="Times New Roman" w:hAnsi="Arial" w:cs="Arial"/>
          <w:sz w:val="24"/>
          <w:szCs w:val="24"/>
        </w:rPr>
      </w:pPr>
      <w:r>
        <w:rPr>
          <w:rFonts w:ascii="Arial" w:eastAsia="Times New Roman" w:hAnsi="Arial" w:cs="Arial"/>
          <w:b/>
          <w:sz w:val="24"/>
          <w:szCs w:val="24"/>
        </w:rPr>
        <w:t xml:space="preserve">Pokazatelj uspješnosti:  </w:t>
      </w:r>
      <w:r>
        <w:rPr>
          <w:rFonts w:ascii="Arial" w:eastAsia="Times New Roman" w:hAnsi="Arial" w:cs="Arial"/>
          <w:sz w:val="24"/>
          <w:szCs w:val="24"/>
        </w:rPr>
        <w:t>Realizacija planiranih aktivnosti u zadanom roku.</w:t>
      </w:r>
    </w:p>
    <w:p w14:paraId="7BBF176A" w14:textId="77777777" w:rsidR="00E541EE" w:rsidRDefault="00E541EE" w:rsidP="00E541EE">
      <w:pPr>
        <w:tabs>
          <w:tab w:val="right" w:pos="0"/>
        </w:tabs>
        <w:jc w:val="both"/>
        <w:rPr>
          <w:rFonts w:ascii="Arial" w:eastAsia="Times New Roman" w:hAnsi="Arial" w:cs="Arial"/>
          <w:sz w:val="24"/>
          <w:szCs w:val="24"/>
        </w:rPr>
      </w:pPr>
    </w:p>
    <w:p w14:paraId="6CF24414" w14:textId="77777777" w:rsidR="00E541EE" w:rsidRDefault="00E541EE" w:rsidP="00E541EE">
      <w:pPr>
        <w:jc w:val="both"/>
        <w:rPr>
          <w:rFonts w:ascii="Arial" w:eastAsia="Times New Roman" w:hAnsi="Arial" w:cs="Arial"/>
          <w:sz w:val="24"/>
          <w:szCs w:val="24"/>
        </w:rPr>
      </w:pPr>
    </w:p>
    <w:p w14:paraId="252A95CC" w14:textId="77777777" w:rsidR="00E541EE" w:rsidRDefault="00E541EE" w:rsidP="00E541E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80"/>
        <w:jc w:val="both"/>
        <w:rPr>
          <w:rFonts w:ascii="Arial" w:eastAsia="Times New Roman" w:hAnsi="Arial" w:cs="Arial"/>
          <w:b/>
          <w:bCs/>
          <w:sz w:val="24"/>
          <w:szCs w:val="24"/>
        </w:rPr>
      </w:pPr>
      <w:r w:rsidRPr="000855E6">
        <w:rPr>
          <w:rFonts w:ascii="Arial" w:eastAsia="Times New Roman" w:hAnsi="Arial" w:cs="Arial"/>
          <w:b/>
          <w:bCs/>
          <w:sz w:val="24"/>
          <w:szCs w:val="24"/>
        </w:rPr>
        <w:t xml:space="preserve">Program 1008: </w:t>
      </w:r>
      <w:r>
        <w:rPr>
          <w:rFonts w:ascii="Arial" w:eastAsia="Times New Roman" w:hAnsi="Arial" w:cs="Arial"/>
          <w:b/>
          <w:bCs/>
          <w:sz w:val="24"/>
          <w:szCs w:val="24"/>
        </w:rPr>
        <w:t xml:space="preserve">Poticanje razvoja poljoprivrede </w:t>
      </w:r>
      <w:r w:rsidRPr="00342736">
        <w:rPr>
          <w:rFonts w:ascii="Arial" w:eastAsia="Times New Roman" w:hAnsi="Arial" w:cs="Arial"/>
          <w:b/>
          <w:bCs/>
          <w:sz w:val="24"/>
          <w:szCs w:val="24"/>
        </w:rPr>
        <w:t xml:space="preserve">= </w:t>
      </w:r>
      <w:r>
        <w:rPr>
          <w:rFonts w:ascii="Arial" w:eastAsia="Times New Roman" w:hAnsi="Arial" w:cs="Arial"/>
          <w:b/>
          <w:bCs/>
          <w:sz w:val="24"/>
          <w:szCs w:val="24"/>
        </w:rPr>
        <w:t>58</w:t>
      </w:r>
      <w:r w:rsidRPr="00A977FA">
        <w:rPr>
          <w:rFonts w:ascii="Arial" w:eastAsia="Times New Roman" w:hAnsi="Arial" w:cs="Arial"/>
          <w:b/>
          <w:bCs/>
          <w:sz w:val="24"/>
          <w:szCs w:val="24"/>
        </w:rPr>
        <w:t>.</w:t>
      </w:r>
      <w:r>
        <w:rPr>
          <w:rFonts w:ascii="Arial" w:eastAsia="Times New Roman" w:hAnsi="Arial" w:cs="Arial"/>
          <w:b/>
          <w:bCs/>
          <w:sz w:val="24"/>
          <w:szCs w:val="24"/>
        </w:rPr>
        <w:t>180,00 EUR</w:t>
      </w:r>
    </w:p>
    <w:p w14:paraId="6DC1878D" w14:textId="77777777" w:rsidR="00E541EE" w:rsidRDefault="00E541EE" w:rsidP="00E541EE">
      <w:pPr>
        <w:jc w:val="both"/>
        <w:rPr>
          <w:rFonts w:ascii="Arial" w:eastAsia="Times New Roman" w:hAnsi="Arial" w:cs="Arial"/>
          <w:sz w:val="24"/>
          <w:szCs w:val="24"/>
        </w:rPr>
      </w:pPr>
    </w:p>
    <w:tbl>
      <w:tblPr>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9"/>
        <w:gridCol w:w="992"/>
        <w:gridCol w:w="1134"/>
        <w:gridCol w:w="992"/>
        <w:gridCol w:w="851"/>
        <w:gridCol w:w="850"/>
        <w:gridCol w:w="992"/>
        <w:gridCol w:w="993"/>
        <w:gridCol w:w="561"/>
        <w:gridCol w:w="709"/>
        <w:gridCol w:w="708"/>
      </w:tblGrid>
      <w:tr w:rsidR="00E541EE" w14:paraId="2971EC1C" w14:textId="77777777" w:rsidTr="00F24148">
        <w:trPr>
          <w:trHeight w:val="638"/>
          <w:jc w:val="center"/>
        </w:trPr>
        <w:tc>
          <w:tcPr>
            <w:tcW w:w="1419" w:type="dxa"/>
            <w:vMerge w:val="restart"/>
            <w:vAlign w:val="center"/>
          </w:tcPr>
          <w:p w14:paraId="347A2143" w14:textId="77777777" w:rsidR="00E541EE" w:rsidRPr="00E11721" w:rsidRDefault="00E541EE" w:rsidP="00A84BB5">
            <w:pPr>
              <w:pStyle w:val="TableParagraph"/>
              <w:spacing w:before="49"/>
              <w:ind w:left="44" w:right="35"/>
              <w:jc w:val="center"/>
              <w:rPr>
                <w:rFonts w:ascii="Arial" w:hAnsi="Arial" w:cs="Arial"/>
                <w:b/>
                <w:sz w:val="15"/>
                <w:szCs w:val="15"/>
              </w:rPr>
            </w:pPr>
            <w:r w:rsidRPr="00E11721">
              <w:rPr>
                <w:rFonts w:ascii="Arial" w:hAnsi="Arial" w:cs="Arial"/>
                <w:b/>
                <w:sz w:val="15"/>
                <w:szCs w:val="15"/>
              </w:rPr>
              <w:t>Doprinos</w:t>
            </w:r>
            <w:r w:rsidRPr="00E11721">
              <w:rPr>
                <w:rFonts w:ascii="Arial" w:hAnsi="Arial" w:cs="Arial"/>
                <w:b/>
                <w:spacing w:val="-34"/>
                <w:sz w:val="15"/>
                <w:szCs w:val="15"/>
              </w:rPr>
              <w:t xml:space="preserve"> </w:t>
            </w:r>
            <w:r w:rsidRPr="00E11721">
              <w:rPr>
                <w:rFonts w:ascii="Arial" w:hAnsi="Arial" w:cs="Arial"/>
                <w:b/>
                <w:sz w:val="15"/>
                <w:szCs w:val="15"/>
              </w:rPr>
              <w:t>provedbi</w:t>
            </w:r>
          </w:p>
          <w:p w14:paraId="4C5AD6B0" w14:textId="77777777" w:rsidR="00E541EE" w:rsidRPr="00E11721" w:rsidRDefault="00E541EE" w:rsidP="00A84BB5">
            <w:pPr>
              <w:pStyle w:val="TableParagraph"/>
              <w:spacing w:line="194" w:lineRule="exact"/>
              <w:ind w:left="44" w:right="35"/>
              <w:jc w:val="center"/>
              <w:rPr>
                <w:rFonts w:ascii="Arial" w:hAnsi="Arial" w:cs="Arial"/>
                <w:b/>
                <w:sz w:val="15"/>
                <w:szCs w:val="15"/>
              </w:rPr>
            </w:pPr>
            <w:r w:rsidRPr="00E11721">
              <w:rPr>
                <w:rFonts w:ascii="Arial" w:hAnsi="Arial" w:cs="Arial"/>
                <w:b/>
                <w:sz w:val="15"/>
                <w:szCs w:val="15"/>
              </w:rPr>
              <w:t>nadređenog</w:t>
            </w:r>
          </w:p>
          <w:p w14:paraId="53EB057D" w14:textId="77777777" w:rsidR="00E541EE" w:rsidRPr="00E11721" w:rsidRDefault="00E541EE" w:rsidP="00A84BB5">
            <w:pPr>
              <w:pStyle w:val="TableParagraph"/>
              <w:spacing w:line="195" w:lineRule="exact"/>
              <w:ind w:left="44" w:right="35"/>
              <w:jc w:val="center"/>
              <w:rPr>
                <w:rFonts w:ascii="Arial" w:hAnsi="Arial" w:cs="Arial"/>
                <w:b/>
                <w:sz w:val="15"/>
                <w:szCs w:val="15"/>
              </w:rPr>
            </w:pPr>
            <w:r w:rsidRPr="00E11721">
              <w:rPr>
                <w:rFonts w:ascii="Arial" w:hAnsi="Arial" w:cs="Arial"/>
                <w:b/>
                <w:sz w:val="15"/>
                <w:szCs w:val="15"/>
              </w:rPr>
              <w:t>akta</w:t>
            </w:r>
            <w:r w:rsidRPr="00E11721">
              <w:rPr>
                <w:rFonts w:ascii="Arial" w:hAnsi="Arial" w:cs="Arial"/>
                <w:b/>
                <w:spacing w:val="1"/>
                <w:sz w:val="15"/>
                <w:szCs w:val="15"/>
              </w:rPr>
              <w:t xml:space="preserve"> </w:t>
            </w:r>
            <w:r w:rsidRPr="00E11721">
              <w:rPr>
                <w:rFonts w:ascii="Arial" w:hAnsi="Arial" w:cs="Arial"/>
                <w:b/>
                <w:sz w:val="15"/>
                <w:szCs w:val="15"/>
              </w:rPr>
              <w:t>strateškog</w:t>
            </w:r>
            <w:r w:rsidRPr="00E11721">
              <w:rPr>
                <w:rFonts w:ascii="Arial" w:hAnsi="Arial" w:cs="Arial"/>
                <w:b/>
                <w:spacing w:val="-34"/>
                <w:sz w:val="15"/>
                <w:szCs w:val="15"/>
              </w:rPr>
              <w:t xml:space="preserve"> </w:t>
            </w:r>
            <w:r w:rsidRPr="00E11721">
              <w:rPr>
                <w:rFonts w:ascii="Arial" w:hAnsi="Arial" w:cs="Arial"/>
                <w:b/>
                <w:sz w:val="15"/>
                <w:szCs w:val="15"/>
              </w:rPr>
              <w:t>planiranja</w:t>
            </w:r>
          </w:p>
        </w:tc>
        <w:tc>
          <w:tcPr>
            <w:tcW w:w="992" w:type="dxa"/>
            <w:vMerge w:val="restart"/>
            <w:vAlign w:val="center"/>
          </w:tcPr>
          <w:p w14:paraId="7A3E674C" w14:textId="77777777" w:rsidR="00E541EE" w:rsidRPr="00E11721" w:rsidRDefault="00E541EE" w:rsidP="00A84BB5">
            <w:pPr>
              <w:pStyle w:val="TableParagraph"/>
              <w:spacing w:line="195" w:lineRule="exact"/>
              <w:ind w:left="44" w:right="35"/>
              <w:jc w:val="center"/>
              <w:rPr>
                <w:rFonts w:ascii="Arial" w:hAnsi="Arial" w:cs="Arial"/>
                <w:b/>
                <w:sz w:val="15"/>
                <w:szCs w:val="15"/>
              </w:rPr>
            </w:pPr>
            <w:r w:rsidRPr="00E11721">
              <w:rPr>
                <w:rFonts w:ascii="Arial" w:hAnsi="Arial" w:cs="Arial"/>
                <w:b/>
                <w:sz w:val="15"/>
                <w:szCs w:val="15"/>
              </w:rPr>
              <w:t>Naziv</w:t>
            </w:r>
            <w:r w:rsidRPr="00E11721">
              <w:rPr>
                <w:rFonts w:ascii="Arial" w:hAnsi="Arial" w:cs="Arial"/>
                <w:b/>
                <w:spacing w:val="-3"/>
                <w:sz w:val="15"/>
                <w:szCs w:val="15"/>
              </w:rPr>
              <w:t xml:space="preserve"> </w:t>
            </w:r>
            <w:r w:rsidRPr="00E11721">
              <w:rPr>
                <w:rFonts w:ascii="Arial" w:hAnsi="Arial" w:cs="Arial"/>
                <w:b/>
                <w:sz w:val="15"/>
                <w:szCs w:val="15"/>
              </w:rPr>
              <w:t>cilja nadređenog</w:t>
            </w:r>
            <w:r w:rsidRPr="00E11721">
              <w:rPr>
                <w:rFonts w:ascii="Arial" w:hAnsi="Arial" w:cs="Arial"/>
                <w:b/>
                <w:spacing w:val="1"/>
                <w:sz w:val="15"/>
                <w:szCs w:val="15"/>
              </w:rPr>
              <w:t xml:space="preserve"> </w:t>
            </w:r>
            <w:r w:rsidRPr="00E11721">
              <w:rPr>
                <w:rFonts w:ascii="Arial" w:hAnsi="Arial" w:cs="Arial"/>
                <w:b/>
                <w:spacing w:val="-1"/>
                <w:sz w:val="15"/>
                <w:szCs w:val="15"/>
              </w:rPr>
              <w:t>akta</w:t>
            </w:r>
            <w:r w:rsidRPr="00E11721">
              <w:rPr>
                <w:rFonts w:ascii="Arial" w:hAnsi="Arial" w:cs="Arial"/>
                <w:b/>
                <w:spacing w:val="-2"/>
                <w:sz w:val="15"/>
                <w:szCs w:val="15"/>
              </w:rPr>
              <w:t xml:space="preserve"> </w:t>
            </w:r>
            <w:r w:rsidRPr="00E11721">
              <w:rPr>
                <w:rFonts w:ascii="Arial" w:hAnsi="Arial" w:cs="Arial"/>
                <w:b/>
                <w:spacing w:val="-1"/>
                <w:sz w:val="15"/>
                <w:szCs w:val="15"/>
              </w:rPr>
              <w:t xml:space="preserve">strateškog </w:t>
            </w:r>
            <w:r w:rsidRPr="00E11721">
              <w:rPr>
                <w:rFonts w:ascii="Arial" w:hAnsi="Arial" w:cs="Arial"/>
                <w:b/>
                <w:sz w:val="15"/>
                <w:szCs w:val="15"/>
              </w:rPr>
              <w:t>planiranja</w:t>
            </w:r>
          </w:p>
        </w:tc>
        <w:tc>
          <w:tcPr>
            <w:tcW w:w="1134" w:type="dxa"/>
            <w:vMerge w:val="restart"/>
            <w:vAlign w:val="center"/>
          </w:tcPr>
          <w:p w14:paraId="470DB51C" w14:textId="77777777" w:rsidR="00E541EE" w:rsidRPr="00E11721" w:rsidRDefault="00E541EE" w:rsidP="00A84BB5">
            <w:pPr>
              <w:pStyle w:val="TableParagraph"/>
              <w:ind w:left="125" w:right="114"/>
              <w:jc w:val="center"/>
              <w:rPr>
                <w:rFonts w:ascii="Arial" w:hAnsi="Arial" w:cs="Arial"/>
                <w:b/>
                <w:sz w:val="15"/>
                <w:szCs w:val="15"/>
              </w:rPr>
            </w:pPr>
            <w:r w:rsidRPr="00E11721">
              <w:rPr>
                <w:rFonts w:ascii="Arial" w:hAnsi="Arial" w:cs="Arial"/>
                <w:b/>
                <w:spacing w:val="-1"/>
                <w:sz w:val="15"/>
                <w:szCs w:val="15"/>
              </w:rPr>
              <w:t xml:space="preserve">Program </w:t>
            </w:r>
            <w:r w:rsidRPr="00E11721">
              <w:rPr>
                <w:rFonts w:ascii="Arial" w:hAnsi="Arial" w:cs="Arial"/>
                <w:b/>
                <w:sz w:val="15"/>
                <w:szCs w:val="15"/>
              </w:rPr>
              <w:t>u</w:t>
            </w:r>
            <w:r w:rsidRPr="00E11721">
              <w:rPr>
                <w:rFonts w:ascii="Arial" w:hAnsi="Arial" w:cs="Arial"/>
                <w:b/>
                <w:spacing w:val="-34"/>
                <w:sz w:val="15"/>
                <w:szCs w:val="15"/>
              </w:rPr>
              <w:t xml:space="preserve"> </w:t>
            </w:r>
            <w:r w:rsidRPr="00E11721">
              <w:rPr>
                <w:rFonts w:ascii="Arial" w:hAnsi="Arial" w:cs="Arial"/>
                <w:b/>
                <w:sz w:val="15"/>
                <w:szCs w:val="15"/>
              </w:rPr>
              <w:t xml:space="preserve">proračunu </w:t>
            </w:r>
            <w:r w:rsidRPr="00E11721">
              <w:rPr>
                <w:rFonts w:ascii="Arial" w:hAnsi="Arial" w:cs="Arial"/>
                <w:b/>
                <w:spacing w:val="-34"/>
                <w:sz w:val="15"/>
                <w:szCs w:val="15"/>
              </w:rPr>
              <w:t xml:space="preserve"> </w:t>
            </w:r>
            <w:r w:rsidRPr="00E11721">
              <w:rPr>
                <w:rFonts w:ascii="Arial" w:hAnsi="Arial" w:cs="Arial"/>
                <w:b/>
                <w:sz w:val="15"/>
                <w:szCs w:val="15"/>
              </w:rPr>
              <w:t>JLS</w:t>
            </w:r>
          </w:p>
        </w:tc>
        <w:tc>
          <w:tcPr>
            <w:tcW w:w="992" w:type="dxa"/>
            <w:vMerge w:val="restart"/>
            <w:vAlign w:val="center"/>
          </w:tcPr>
          <w:p w14:paraId="73E9DF97" w14:textId="77777777" w:rsidR="00E541EE" w:rsidRDefault="00E541EE" w:rsidP="00A84BB5">
            <w:pPr>
              <w:pStyle w:val="TableParagraph"/>
              <w:jc w:val="center"/>
              <w:rPr>
                <w:rFonts w:ascii="Arial" w:hAnsi="Arial" w:cs="Arial"/>
                <w:b/>
                <w:spacing w:val="-2"/>
                <w:sz w:val="15"/>
                <w:szCs w:val="15"/>
              </w:rPr>
            </w:pPr>
            <w:r w:rsidRPr="00E11721">
              <w:rPr>
                <w:rFonts w:ascii="Arial" w:hAnsi="Arial" w:cs="Arial"/>
                <w:b/>
                <w:sz w:val="15"/>
                <w:szCs w:val="15"/>
              </w:rPr>
              <w:t>Naziv</w:t>
            </w:r>
            <w:r w:rsidRPr="00E11721">
              <w:rPr>
                <w:rFonts w:ascii="Arial" w:hAnsi="Arial" w:cs="Arial"/>
                <w:b/>
                <w:spacing w:val="-2"/>
                <w:sz w:val="15"/>
                <w:szCs w:val="15"/>
              </w:rPr>
              <w:t xml:space="preserve"> </w:t>
            </w:r>
          </w:p>
          <w:p w14:paraId="6E339DB0" w14:textId="77777777" w:rsidR="00E541EE" w:rsidRPr="00E11721" w:rsidRDefault="00E541EE" w:rsidP="00A84BB5">
            <w:pPr>
              <w:pStyle w:val="TableParagraph"/>
              <w:jc w:val="center"/>
              <w:rPr>
                <w:rFonts w:ascii="Arial" w:hAnsi="Arial" w:cs="Arial"/>
                <w:b/>
                <w:sz w:val="15"/>
                <w:szCs w:val="15"/>
              </w:rPr>
            </w:pPr>
            <w:r w:rsidRPr="00E11721">
              <w:rPr>
                <w:rFonts w:ascii="Arial" w:hAnsi="Arial" w:cs="Arial"/>
                <w:b/>
                <w:sz w:val="15"/>
                <w:szCs w:val="15"/>
              </w:rPr>
              <w:t>mjere</w:t>
            </w:r>
          </w:p>
        </w:tc>
        <w:tc>
          <w:tcPr>
            <w:tcW w:w="851" w:type="dxa"/>
            <w:vMerge w:val="restart"/>
            <w:vAlign w:val="center"/>
          </w:tcPr>
          <w:p w14:paraId="4D355043" w14:textId="77777777" w:rsidR="00E541EE" w:rsidRPr="00E11721" w:rsidRDefault="00E541EE" w:rsidP="00A84BB5">
            <w:pPr>
              <w:pStyle w:val="TableParagraph"/>
              <w:ind w:left="70" w:right="60"/>
              <w:jc w:val="center"/>
              <w:rPr>
                <w:rFonts w:ascii="Arial" w:hAnsi="Arial" w:cs="Arial"/>
                <w:b/>
                <w:sz w:val="15"/>
                <w:szCs w:val="15"/>
              </w:rPr>
            </w:pPr>
            <w:r w:rsidRPr="00E11721">
              <w:rPr>
                <w:rFonts w:ascii="Arial" w:hAnsi="Arial" w:cs="Arial"/>
                <w:b/>
                <w:sz w:val="15"/>
                <w:szCs w:val="15"/>
              </w:rPr>
              <w:t>Procijenjeni</w:t>
            </w:r>
            <w:r w:rsidRPr="00E11721">
              <w:rPr>
                <w:rFonts w:ascii="Arial" w:hAnsi="Arial" w:cs="Arial"/>
                <w:b/>
                <w:spacing w:val="-34"/>
                <w:sz w:val="15"/>
                <w:szCs w:val="15"/>
              </w:rPr>
              <w:t xml:space="preserve"> </w:t>
            </w:r>
            <w:r w:rsidRPr="00E11721">
              <w:rPr>
                <w:rFonts w:ascii="Arial" w:hAnsi="Arial" w:cs="Arial"/>
                <w:b/>
                <w:sz w:val="15"/>
                <w:szCs w:val="15"/>
              </w:rPr>
              <w:t>trošak</w:t>
            </w:r>
            <w:r w:rsidRPr="00E11721">
              <w:rPr>
                <w:rFonts w:ascii="Arial" w:hAnsi="Arial" w:cs="Arial"/>
                <w:b/>
                <w:spacing w:val="1"/>
                <w:sz w:val="15"/>
                <w:szCs w:val="15"/>
              </w:rPr>
              <w:t xml:space="preserve"> </w:t>
            </w:r>
            <w:r w:rsidRPr="00E11721">
              <w:rPr>
                <w:rFonts w:ascii="Arial" w:hAnsi="Arial" w:cs="Arial"/>
                <w:b/>
                <w:sz w:val="15"/>
                <w:szCs w:val="15"/>
              </w:rPr>
              <w:t>provedbe</w:t>
            </w:r>
            <w:r w:rsidRPr="00E11721">
              <w:rPr>
                <w:rFonts w:ascii="Arial" w:hAnsi="Arial" w:cs="Arial"/>
                <w:b/>
                <w:spacing w:val="1"/>
                <w:sz w:val="15"/>
                <w:szCs w:val="15"/>
              </w:rPr>
              <w:t xml:space="preserve"> </w:t>
            </w:r>
            <w:r w:rsidRPr="00E11721">
              <w:rPr>
                <w:rFonts w:ascii="Arial" w:hAnsi="Arial" w:cs="Arial"/>
                <w:b/>
                <w:sz w:val="15"/>
                <w:szCs w:val="15"/>
              </w:rPr>
              <w:t>mjere 2025.</w:t>
            </w:r>
          </w:p>
          <w:p w14:paraId="115506C4" w14:textId="77777777" w:rsidR="00E541EE" w:rsidRPr="00E11721" w:rsidRDefault="00E541EE" w:rsidP="00A84BB5">
            <w:pPr>
              <w:pStyle w:val="TableParagraph"/>
              <w:spacing w:before="2"/>
              <w:ind w:left="70" w:right="58"/>
              <w:jc w:val="center"/>
              <w:rPr>
                <w:rFonts w:ascii="Arial" w:hAnsi="Arial" w:cs="Arial"/>
                <w:b/>
                <w:sz w:val="15"/>
                <w:szCs w:val="15"/>
              </w:rPr>
            </w:pPr>
            <w:r w:rsidRPr="00E11721">
              <w:rPr>
                <w:rFonts w:ascii="Arial" w:hAnsi="Arial" w:cs="Arial"/>
                <w:b/>
                <w:sz w:val="15"/>
                <w:szCs w:val="15"/>
              </w:rPr>
              <w:t>(u EUR)</w:t>
            </w:r>
          </w:p>
        </w:tc>
        <w:tc>
          <w:tcPr>
            <w:tcW w:w="850" w:type="dxa"/>
            <w:vMerge w:val="restart"/>
            <w:vAlign w:val="center"/>
          </w:tcPr>
          <w:p w14:paraId="05F13A50" w14:textId="77777777" w:rsidR="00E541EE" w:rsidRPr="00E11721" w:rsidRDefault="00E541EE" w:rsidP="00A84BB5">
            <w:pPr>
              <w:pStyle w:val="TableParagraph"/>
              <w:jc w:val="center"/>
              <w:rPr>
                <w:rFonts w:ascii="Arial" w:hAnsi="Arial" w:cs="Arial"/>
                <w:b/>
                <w:sz w:val="15"/>
                <w:szCs w:val="15"/>
              </w:rPr>
            </w:pPr>
            <w:r w:rsidRPr="00E11721">
              <w:rPr>
                <w:rFonts w:ascii="Arial" w:hAnsi="Arial" w:cs="Arial"/>
                <w:b/>
                <w:sz w:val="15"/>
                <w:szCs w:val="15"/>
              </w:rPr>
              <w:t>Ključne</w:t>
            </w:r>
          </w:p>
          <w:p w14:paraId="1256CFE1" w14:textId="77777777" w:rsidR="00E541EE" w:rsidRPr="00E11721" w:rsidRDefault="00E541EE" w:rsidP="00A84BB5">
            <w:pPr>
              <w:pStyle w:val="TableParagraph"/>
              <w:spacing w:before="1"/>
              <w:jc w:val="center"/>
              <w:rPr>
                <w:rFonts w:ascii="Arial" w:hAnsi="Arial" w:cs="Arial"/>
                <w:b/>
                <w:sz w:val="15"/>
                <w:szCs w:val="15"/>
              </w:rPr>
            </w:pPr>
            <w:r w:rsidRPr="00E11721">
              <w:rPr>
                <w:rFonts w:ascii="Arial" w:hAnsi="Arial" w:cs="Arial"/>
                <w:b/>
                <w:sz w:val="15"/>
                <w:szCs w:val="15"/>
              </w:rPr>
              <w:t>aktivnosti</w:t>
            </w:r>
          </w:p>
        </w:tc>
        <w:tc>
          <w:tcPr>
            <w:tcW w:w="992" w:type="dxa"/>
            <w:vMerge w:val="restart"/>
            <w:vAlign w:val="center"/>
          </w:tcPr>
          <w:p w14:paraId="2771A2C9" w14:textId="77777777" w:rsidR="00E541EE" w:rsidRPr="00E11721" w:rsidRDefault="00E541EE" w:rsidP="00A84BB5">
            <w:pPr>
              <w:pStyle w:val="TableParagraph"/>
              <w:ind w:left="174" w:right="97" w:hanging="44"/>
              <w:jc w:val="center"/>
              <w:rPr>
                <w:b/>
                <w:sz w:val="15"/>
                <w:szCs w:val="15"/>
              </w:rPr>
            </w:pPr>
            <w:r w:rsidRPr="00E11721">
              <w:rPr>
                <w:b/>
                <w:sz w:val="15"/>
                <w:szCs w:val="15"/>
              </w:rPr>
              <w:t>Pokazatelj</w:t>
            </w:r>
            <w:r w:rsidRPr="00E11721">
              <w:rPr>
                <w:b/>
                <w:spacing w:val="-34"/>
                <w:sz w:val="15"/>
                <w:szCs w:val="15"/>
              </w:rPr>
              <w:t xml:space="preserve"> </w:t>
            </w:r>
            <w:r w:rsidRPr="00E11721">
              <w:rPr>
                <w:b/>
                <w:sz w:val="15"/>
                <w:szCs w:val="15"/>
              </w:rPr>
              <w:t>rezultata</w:t>
            </w:r>
          </w:p>
        </w:tc>
        <w:tc>
          <w:tcPr>
            <w:tcW w:w="993" w:type="dxa"/>
            <w:vMerge w:val="restart"/>
            <w:vAlign w:val="center"/>
          </w:tcPr>
          <w:p w14:paraId="4D7ECDC3" w14:textId="77777777" w:rsidR="00E541EE" w:rsidRDefault="00E541EE" w:rsidP="00A84BB5">
            <w:pPr>
              <w:pStyle w:val="TableParagraph"/>
              <w:ind w:left="44" w:right="32"/>
              <w:jc w:val="center"/>
              <w:rPr>
                <w:b/>
                <w:sz w:val="15"/>
                <w:szCs w:val="15"/>
              </w:rPr>
            </w:pPr>
            <w:r w:rsidRPr="00E11721">
              <w:rPr>
                <w:b/>
                <w:sz w:val="15"/>
                <w:szCs w:val="15"/>
              </w:rPr>
              <w:t>Početna</w:t>
            </w:r>
            <w:r w:rsidRPr="00E11721">
              <w:rPr>
                <w:b/>
                <w:spacing w:val="1"/>
                <w:sz w:val="15"/>
                <w:szCs w:val="15"/>
              </w:rPr>
              <w:t xml:space="preserve"> </w:t>
            </w:r>
            <w:r w:rsidRPr="00E11721">
              <w:rPr>
                <w:b/>
                <w:sz w:val="15"/>
                <w:szCs w:val="15"/>
              </w:rPr>
              <w:t xml:space="preserve">vrijednost </w:t>
            </w:r>
          </w:p>
          <w:p w14:paraId="14A89C64" w14:textId="77777777" w:rsidR="00E541EE" w:rsidRPr="00E11721" w:rsidRDefault="00E541EE" w:rsidP="00A84BB5">
            <w:pPr>
              <w:pStyle w:val="TableParagraph"/>
              <w:ind w:left="44" w:right="32"/>
              <w:jc w:val="center"/>
              <w:rPr>
                <w:b/>
                <w:sz w:val="15"/>
                <w:szCs w:val="15"/>
              </w:rPr>
            </w:pPr>
            <w:r w:rsidRPr="00E11721">
              <w:rPr>
                <w:b/>
                <w:sz w:val="15"/>
                <w:szCs w:val="15"/>
              </w:rPr>
              <w:t>2025.</w:t>
            </w:r>
          </w:p>
        </w:tc>
        <w:tc>
          <w:tcPr>
            <w:tcW w:w="1978" w:type="dxa"/>
            <w:gridSpan w:val="3"/>
            <w:vAlign w:val="center"/>
          </w:tcPr>
          <w:p w14:paraId="2384670C" w14:textId="77777777" w:rsidR="00E541EE" w:rsidRPr="00E11721" w:rsidRDefault="00E541EE" w:rsidP="00A84BB5">
            <w:pPr>
              <w:pStyle w:val="TableParagraph"/>
              <w:ind w:left="70" w:right="56"/>
              <w:jc w:val="center"/>
              <w:rPr>
                <w:b/>
                <w:sz w:val="15"/>
                <w:szCs w:val="15"/>
              </w:rPr>
            </w:pPr>
            <w:r w:rsidRPr="00E11721">
              <w:rPr>
                <w:b/>
                <w:sz w:val="15"/>
                <w:szCs w:val="15"/>
              </w:rPr>
              <w:t>Ciljna</w:t>
            </w:r>
            <w:r w:rsidRPr="00E11721">
              <w:rPr>
                <w:b/>
                <w:spacing w:val="1"/>
                <w:sz w:val="15"/>
                <w:szCs w:val="15"/>
              </w:rPr>
              <w:t xml:space="preserve"> </w:t>
            </w:r>
            <w:r w:rsidRPr="00E11721">
              <w:rPr>
                <w:b/>
                <w:sz w:val="15"/>
                <w:szCs w:val="15"/>
              </w:rPr>
              <w:t>vrijednost</w:t>
            </w:r>
          </w:p>
        </w:tc>
      </w:tr>
      <w:tr w:rsidR="00E541EE" w14:paraId="2F7A2991" w14:textId="77777777" w:rsidTr="00F24148">
        <w:trPr>
          <w:trHeight w:val="637"/>
          <w:jc w:val="center"/>
        </w:trPr>
        <w:tc>
          <w:tcPr>
            <w:tcW w:w="1419" w:type="dxa"/>
            <w:vMerge/>
          </w:tcPr>
          <w:p w14:paraId="127BC338" w14:textId="77777777" w:rsidR="00E541EE" w:rsidRPr="00E11721" w:rsidRDefault="00E541EE" w:rsidP="00A84BB5">
            <w:pPr>
              <w:pStyle w:val="TableParagraph"/>
              <w:spacing w:line="195" w:lineRule="exact"/>
              <w:ind w:left="44" w:right="35"/>
              <w:jc w:val="center"/>
              <w:rPr>
                <w:rFonts w:ascii="Arial" w:hAnsi="Arial" w:cs="Arial"/>
                <w:b/>
                <w:sz w:val="15"/>
                <w:szCs w:val="15"/>
              </w:rPr>
            </w:pPr>
          </w:p>
        </w:tc>
        <w:tc>
          <w:tcPr>
            <w:tcW w:w="992" w:type="dxa"/>
            <w:vMerge/>
          </w:tcPr>
          <w:p w14:paraId="30FCF50A" w14:textId="77777777" w:rsidR="00E541EE" w:rsidRPr="00E11721" w:rsidRDefault="00E541EE" w:rsidP="00A84BB5">
            <w:pPr>
              <w:pStyle w:val="TableParagraph"/>
              <w:spacing w:line="195" w:lineRule="exact"/>
              <w:ind w:left="44" w:right="35"/>
              <w:jc w:val="center"/>
              <w:rPr>
                <w:rFonts w:ascii="Arial" w:hAnsi="Arial" w:cs="Arial"/>
                <w:b/>
                <w:sz w:val="15"/>
                <w:szCs w:val="15"/>
              </w:rPr>
            </w:pPr>
          </w:p>
        </w:tc>
        <w:tc>
          <w:tcPr>
            <w:tcW w:w="1134" w:type="dxa"/>
            <w:vMerge/>
            <w:tcBorders>
              <w:bottom w:val="single" w:sz="4" w:space="0" w:color="000000"/>
            </w:tcBorders>
            <w:vAlign w:val="center"/>
          </w:tcPr>
          <w:p w14:paraId="73515539" w14:textId="77777777" w:rsidR="00E541EE" w:rsidRPr="00E11721" w:rsidRDefault="00E541EE" w:rsidP="00A84BB5">
            <w:pPr>
              <w:pStyle w:val="TableParagraph"/>
              <w:ind w:left="125" w:right="114"/>
              <w:jc w:val="center"/>
              <w:rPr>
                <w:rFonts w:ascii="Arial" w:hAnsi="Arial" w:cs="Arial"/>
                <w:b/>
                <w:spacing w:val="-1"/>
                <w:sz w:val="15"/>
                <w:szCs w:val="15"/>
              </w:rPr>
            </w:pPr>
          </w:p>
        </w:tc>
        <w:tc>
          <w:tcPr>
            <w:tcW w:w="992" w:type="dxa"/>
            <w:vMerge/>
            <w:tcBorders>
              <w:bottom w:val="single" w:sz="4" w:space="0" w:color="000000"/>
            </w:tcBorders>
            <w:vAlign w:val="center"/>
          </w:tcPr>
          <w:p w14:paraId="123F6EAF" w14:textId="77777777" w:rsidR="00E541EE" w:rsidRPr="00E11721" w:rsidRDefault="00E541EE" w:rsidP="00A84BB5">
            <w:pPr>
              <w:pStyle w:val="TableParagraph"/>
              <w:jc w:val="center"/>
              <w:rPr>
                <w:rFonts w:ascii="Arial" w:hAnsi="Arial" w:cs="Arial"/>
                <w:b/>
                <w:sz w:val="15"/>
                <w:szCs w:val="15"/>
              </w:rPr>
            </w:pPr>
          </w:p>
        </w:tc>
        <w:tc>
          <w:tcPr>
            <w:tcW w:w="851" w:type="dxa"/>
            <w:vMerge/>
            <w:tcBorders>
              <w:bottom w:val="single" w:sz="4" w:space="0" w:color="000000"/>
            </w:tcBorders>
            <w:vAlign w:val="center"/>
          </w:tcPr>
          <w:p w14:paraId="2685F688" w14:textId="77777777" w:rsidR="00E541EE" w:rsidRPr="00E11721" w:rsidRDefault="00E541EE" w:rsidP="00A84BB5">
            <w:pPr>
              <w:pStyle w:val="TableParagraph"/>
              <w:ind w:left="70" w:right="60"/>
              <w:jc w:val="center"/>
              <w:rPr>
                <w:rFonts w:ascii="Arial" w:hAnsi="Arial" w:cs="Arial"/>
                <w:b/>
                <w:sz w:val="15"/>
                <w:szCs w:val="15"/>
              </w:rPr>
            </w:pPr>
          </w:p>
        </w:tc>
        <w:tc>
          <w:tcPr>
            <w:tcW w:w="850" w:type="dxa"/>
            <w:vMerge/>
            <w:tcBorders>
              <w:bottom w:val="single" w:sz="4" w:space="0" w:color="000000"/>
            </w:tcBorders>
            <w:vAlign w:val="center"/>
          </w:tcPr>
          <w:p w14:paraId="7C4F99C4" w14:textId="77777777" w:rsidR="00E541EE" w:rsidRPr="00E11721" w:rsidRDefault="00E541EE" w:rsidP="00A84BB5">
            <w:pPr>
              <w:pStyle w:val="TableParagraph"/>
              <w:jc w:val="center"/>
              <w:rPr>
                <w:rFonts w:ascii="Arial" w:hAnsi="Arial" w:cs="Arial"/>
                <w:b/>
                <w:sz w:val="15"/>
                <w:szCs w:val="15"/>
              </w:rPr>
            </w:pPr>
          </w:p>
        </w:tc>
        <w:tc>
          <w:tcPr>
            <w:tcW w:w="992" w:type="dxa"/>
            <w:vMerge/>
            <w:tcBorders>
              <w:bottom w:val="single" w:sz="4" w:space="0" w:color="000000"/>
            </w:tcBorders>
            <w:vAlign w:val="center"/>
          </w:tcPr>
          <w:p w14:paraId="14CAF6A8" w14:textId="77777777" w:rsidR="00E541EE" w:rsidRPr="00E11721" w:rsidRDefault="00E541EE" w:rsidP="00A84BB5">
            <w:pPr>
              <w:pStyle w:val="TableParagraph"/>
              <w:ind w:left="174" w:right="97" w:hanging="44"/>
              <w:jc w:val="center"/>
              <w:rPr>
                <w:b/>
                <w:sz w:val="15"/>
                <w:szCs w:val="15"/>
              </w:rPr>
            </w:pPr>
          </w:p>
        </w:tc>
        <w:tc>
          <w:tcPr>
            <w:tcW w:w="993" w:type="dxa"/>
            <w:vMerge/>
            <w:tcBorders>
              <w:bottom w:val="single" w:sz="4" w:space="0" w:color="000000"/>
            </w:tcBorders>
            <w:vAlign w:val="center"/>
          </w:tcPr>
          <w:p w14:paraId="496547A6" w14:textId="77777777" w:rsidR="00E541EE" w:rsidRPr="00E11721" w:rsidRDefault="00E541EE" w:rsidP="00A84BB5">
            <w:pPr>
              <w:pStyle w:val="TableParagraph"/>
              <w:ind w:left="44" w:right="32"/>
              <w:jc w:val="center"/>
              <w:rPr>
                <w:b/>
                <w:sz w:val="15"/>
                <w:szCs w:val="15"/>
              </w:rPr>
            </w:pPr>
          </w:p>
        </w:tc>
        <w:tc>
          <w:tcPr>
            <w:tcW w:w="561" w:type="dxa"/>
            <w:vAlign w:val="center"/>
          </w:tcPr>
          <w:p w14:paraId="4D7A831F" w14:textId="77777777" w:rsidR="00E541EE" w:rsidRPr="00E11721" w:rsidRDefault="00E541EE" w:rsidP="00A84BB5">
            <w:pPr>
              <w:pStyle w:val="TableParagraph"/>
              <w:ind w:left="87" w:right="70"/>
              <w:jc w:val="center"/>
              <w:rPr>
                <w:b/>
                <w:sz w:val="15"/>
                <w:szCs w:val="15"/>
              </w:rPr>
            </w:pPr>
            <w:r w:rsidRPr="00E11721">
              <w:rPr>
                <w:b/>
                <w:sz w:val="15"/>
                <w:szCs w:val="15"/>
              </w:rPr>
              <w:t>za 2026.</w:t>
            </w:r>
          </w:p>
        </w:tc>
        <w:tc>
          <w:tcPr>
            <w:tcW w:w="709" w:type="dxa"/>
            <w:vAlign w:val="center"/>
          </w:tcPr>
          <w:p w14:paraId="7005119A" w14:textId="77777777" w:rsidR="00E541EE" w:rsidRPr="00E11721" w:rsidRDefault="00E541EE" w:rsidP="00A84BB5">
            <w:pPr>
              <w:pStyle w:val="TableParagraph"/>
              <w:ind w:left="75" w:right="61"/>
              <w:jc w:val="center"/>
              <w:rPr>
                <w:b/>
                <w:sz w:val="15"/>
                <w:szCs w:val="15"/>
              </w:rPr>
            </w:pPr>
            <w:r w:rsidRPr="00E11721">
              <w:rPr>
                <w:b/>
                <w:sz w:val="15"/>
                <w:szCs w:val="15"/>
              </w:rPr>
              <w:t>za</w:t>
            </w:r>
          </w:p>
          <w:p w14:paraId="0D813CE1" w14:textId="77777777" w:rsidR="00E541EE" w:rsidRPr="00E11721" w:rsidRDefault="00E541EE" w:rsidP="00A84BB5">
            <w:pPr>
              <w:pStyle w:val="TableParagraph"/>
              <w:ind w:left="75" w:right="61"/>
              <w:jc w:val="center"/>
              <w:rPr>
                <w:b/>
                <w:sz w:val="15"/>
                <w:szCs w:val="15"/>
              </w:rPr>
            </w:pPr>
            <w:r w:rsidRPr="00E11721">
              <w:rPr>
                <w:b/>
                <w:sz w:val="15"/>
                <w:szCs w:val="15"/>
              </w:rPr>
              <w:t>2027.</w:t>
            </w:r>
          </w:p>
        </w:tc>
        <w:tc>
          <w:tcPr>
            <w:tcW w:w="708" w:type="dxa"/>
            <w:vAlign w:val="center"/>
          </w:tcPr>
          <w:p w14:paraId="32094800" w14:textId="77777777" w:rsidR="00E541EE" w:rsidRPr="00E11721" w:rsidRDefault="00E541EE" w:rsidP="00A84BB5">
            <w:pPr>
              <w:pStyle w:val="TableParagraph"/>
              <w:ind w:left="70" w:right="56"/>
              <w:jc w:val="center"/>
              <w:rPr>
                <w:b/>
                <w:sz w:val="15"/>
                <w:szCs w:val="15"/>
              </w:rPr>
            </w:pPr>
            <w:r w:rsidRPr="00E11721">
              <w:rPr>
                <w:b/>
                <w:sz w:val="15"/>
                <w:szCs w:val="15"/>
              </w:rPr>
              <w:t>za</w:t>
            </w:r>
          </w:p>
          <w:p w14:paraId="291BEDAF" w14:textId="77777777" w:rsidR="00E541EE" w:rsidRPr="00E11721" w:rsidRDefault="00E541EE" w:rsidP="00A84BB5">
            <w:pPr>
              <w:pStyle w:val="TableParagraph"/>
              <w:ind w:left="70" w:right="56"/>
              <w:jc w:val="center"/>
              <w:rPr>
                <w:b/>
                <w:sz w:val="15"/>
                <w:szCs w:val="15"/>
              </w:rPr>
            </w:pPr>
            <w:r w:rsidRPr="00E11721">
              <w:rPr>
                <w:b/>
                <w:sz w:val="15"/>
                <w:szCs w:val="15"/>
              </w:rPr>
              <w:t>2028.</w:t>
            </w:r>
          </w:p>
        </w:tc>
      </w:tr>
      <w:tr w:rsidR="00E541EE" w14:paraId="2A42D95E" w14:textId="77777777" w:rsidTr="00F24148">
        <w:trPr>
          <w:trHeight w:val="624"/>
          <w:jc w:val="center"/>
        </w:trPr>
        <w:tc>
          <w:tcPr>
            <w:tcW w:w="1419" w:type="dxa"/>
            <w:vMerge w:val="restart"/>
            <w:vAlign w:val="center"/>
          </w:tcPr>
          <w:p w14:paraId="7C997517" w14:textId="77777777" w:rsidR="00E541EE" w:rsidRPr="00E11721" w:rsidRDefault="00E541EE" w:rsidP="00A84BB5">
            <w:pPr>
              <w:pStyle w:val="TableParagraph"/>
              <w:jc w:val="center"/>
              <w:rPr>
                <w:rFonts w:asciiTheme="minorHAnsi" w:hAnsiTheme="minorHAnsi" w:cstheme="minorHAnsi"/>
                <w:color w:val="EE0000"/>
                <w:sz w:val="15"/>
                <w:szCs w:val="15"/>
              </w:rPr>
            </w:pPr>
            <w:r w:rsidRPr="00E11721">
              <w:rPr>
                <w:rFonts w:asciiTheme="minorHAnsi" w:hAnsiTheme="minorHAnsi" w:cstheme="minorHAnsi"/>
                <w:sz w:val="15"/>
                <w:szCs w:val="15"/>
              </w:rPr>
              <w:t>Provedbeni program Grada Rovinja-Rovigno za razdoblje 2025.-2029. godine</w:t>
            </w:r>
          </w:p>
        </w:tc>
        <w:tc>
          <w:tcPr>
            <w:tcW w:w="992" w:type="dxa"/>
            <w:vMerge w:val="restart"/>
            <w:vAlign w:val="center"/>
          </w:tcPr>
          <w:p w14:paraId="262DF642" w14:textId="77777777" w:rsidR="00E541EE" w:rsidRDefault="00E541EE" w:rsidP="00A84BB5">
            <w:pPr>
              <w:pStyle w:val="TableParagraph"/>
              <w:ind w:left="28" w:right="19" w:firstLine="2"/>
              <w:jc w:val="center"/>
              <w:rPr>
                <w:rFonts w:asciiTheme="minorHAnsi" w:hAnsiTheme="minorHAnsi" w:cstheme="minorHAnsi"/>
                <w:sz w:val="15"/>
                <w:szCs w:val="15"/>
              </w:rPr>
            </w:pPr>
            <w:r w:rsidRPr="00E11721">
              <w:rPr>
                <w:rFonts w:asciiTheme="minorHAnsi" w:hAnsiTheme="minorHAnsi" w:cstheme="minorHAnsi"/>
                <w:sz w:val="15"/>
                <w:szCs w:val="15"/>
              </w:rPr>
              <w:t>SC. 3.4.</w:t>
            </w:r>
          </w:p>
          <w:p w14:paraId="4C4D020A" w14:textId="77777777" w:rsidR="00E541EE" w:rsidRPr="00E11721" w:rsidRDefault="00E541EE" w:rsidP="00A84BB5">
            <w:pPr>
              <w:pStyle w:val="TableParagraph"/>
              <w:ind w:left="28" w:right="19" w:firstLine="2"/>
              <w:jc w:val="center"/>
              <w:rPr>
                <w:rFonts w:asciiTheme="minorHAnsi" w:hAnsiTheme="minorHAnsi" w:cstheme="minorHAnsi"/>
                <w:sz w:val="15"/>
                <w:szCs w:val="15"/>
              </w:rPr>
            </w:pPr>
            <w:r w:rsidRPr="00E11721">
              <w:rPr>
                <w:rFonts w:asciiTheme="minorHAnsi" w:hAnsiTheme="minorHAnsi" w:cstheme="minorHAnsi"/>
                <w:sz w:val="15"/>
                <w:szCs w:val="15"/>
              </w:rPr>
              <w:t xml:space="preserve">  Razvoj održive i konkurentne</w:t>
            </w:r>
          </w:p>
          <w:p w14:paraId="41541F16" w14:textId="77777777" w:rsidR="00E541EE" w:rsidRPr="00E11721" w:rsidRDefault="00E541EE" w:rsidP="00A84BB5">
            <w:pPr>
              <w:pStyle w:val="TableParagraph"/>
              <w:ind w:left="28" w:right="19" w:firstLine="2"/>
              <w:jc w:val="center"/>
              <w:rPr>
                <w:rFonts w:asciiTheme="minorHAnsi" w:hAnsiTheme="minorHAnsi" w:cstheme="minorHAnsi"/>
                <w:sz w:val="15"/>
                <w:szCs w:val="15"/>
              </w:rPr>
            </w:pPr>
            <w:r w:rsidRPr="00E11721">
              <w:rPr>
                <w:rFonts w:asciiTheme="minorHAnsi" w:hAnsiTheme="minorHAnsi" w:cstheme="minorHAnsi"/>
                <w:sz w:val="15"/>
                <w:szCs w:val="15"/>
              </w:rPr>
              <w:t>poljoprivrede, šumarstva, lovstva, ribarstva,</w:t>
            </w:r>
          </w:p>
          <w:p w14:paraId="53396695" w14:textId="77777777" w:rsidR="00E541EE" w:rsidRPr="00E11721" w:rsidRDefault="00E541EE" w:rsidP="00A84BB5">
            <w:pPr>
              <w:pStyle w:val="TableParagraph"/>
              <w:ind w:left="28" w:right="19" w:firstLine="2"/>
              <w:jc w:val="center"/>
              <w:rPr>
                <w:rFonts w:asciiTheme="minorHAnsi" w:hAnsiTheme="minorHAnsi" w:cstheme="minorHAnsi"/>
                <w:sz w:val="15"/>
                <w:szCs w:val="15"/>
              </w:rPr>
            </w:pPr>
            <w:r w:rsidRPr="00E11721">
              <w:rPr>
                <w:rFonts w:asciiTheme="minorHAnsi" w:hAnsiTheme="minorHAnsi" w:cstheme="minorHAnsi"/>
                <w:sz w:val="15"/>
                <w:szCs w:val="15"/>
              </w:rPr>
              <w:t>akvakulture i vodnog gospodarstva</w:t>
            </w:r>
          </w:p>
        </w:tc>
        <w:tc>
          <w:tcPr>
            <w:tcW w:w="1134" w:type="dxa"/>
            <w:vMerge w:val="restart"/>
            <w:tcBorders>
              <w:bottom w:val="single" w:sz="4" w:space="0" w:color="auto"/>
            </w:tcBorders>
            <w:shd w:val="clear" w:color="auto" w:fill="FFF1CC"/>
            <w:vAlign w:val="center"/>
          </w:tcPr>
          <w:p w14:paraId="5C2148EE" w14:textId="77777777" w:rsidR="00E541EE" w:rsidRPr="00E11721" w:rsidRDefault="00E541EE" w:rsidP="00A84BB5">
            <w:pPr>
              <w:pStyle w:val="TableParagraph"/>
              <w:ind w:left="74" w:right="63" w:hanging="4"/>
              <w:jc w:val="center"/>
              <w:rPr>
                <w:rFonts w:asciiTheme="minorHAnsi" w:hAnsiTheme="minorHAnsi" w:cstheme="minorHAnsi"/>
                <w:sz w:val="15"/>
                <w:szCs w:val="15"/>
              </w:rPr>
            </w:pPr>
            <w:r w:rsidRPr="00E11721">
              <w:rPr>
                <w:rFonts w:asciiTheme="minorHAnsi" w:hAnsiTheme="minorHAnsi" w:cstheme="minorHAnsi"/>
                <w:sz w:val="15"/>
                <w:szCs w:val="15"/>
              </w:rPr>
              <w:t>P-1008 Poticanje razvoja poljoprivrede</w:t>
            </w:r>
          </w:p>
        </w:tc>
        <w:tc>
          <w:tcPr>
            <w:tcW w:w="992" w:type="dxa"/>
            <w:vMerge w:val="restart"/>
            <w:tcBorders>
              <w:bottom w:val="single" w:sz="4" w:space="0" w:color="auto"/>
            </w:tcBorders>
            <w:vAlign w:val="center"/>
          </w:tcPr>
          <w:p w14:paraId="03F7B465" w14:textId="77777777" w:rsidR="00E541EE" w:rsidRPr="00E11721" w:rsidRDefault="00E541EE" w:rsidP="00A84BB5">
            <w:pPr>
              <w:pStyle w:val="TableParagraph"/>
              <w:ind w:right="11" w:firstLine="9"/>
              <w:jc w:val="center"/>
              <w:rPr>
                <w:rFonts w:asciiTheme="minorHAnsi" w:hAnsiTheme="minorHAnsi" w:cstheme="minorHAnsi"/>
                <w:color w:val="EE0000"/>
                <w:sz w:val="15"/>
                <w:szCs w:val="15"/>
              </w:rPr>
            </w:pPr>
            <w:r w:rsidRPr="00E11721">
              <w:rPr>
                <w:rFonts w:asciiTheme="minorHAnsi" w:hAnsiTheme="minorHAnsi" w:cstheme="minorHAnsi"/>
                <w:sz w:val="15"/>
                <w:szCs w:val="15"/>
              </w:rPr>
              <w:t>30. Poticanje razvoja poljoprivrede i sustava javnog navodnjavanja</w:t>
            </w:r>
          </w:p>
        </w:tc>
        <w:tc>
          <w:tcPr>
            <w:tcW w:w="851" w:type="dxa"/>
            <w:vMerge w:val="restart"/>
            <w:tcBorders>
              <w:bottom w:val="single" w:sz="4" w:space="0" w:color="auto"/>
            </w:tcBorders>
            <w:shd w:val="clear" w:color="auto" w:fill="FFF1CC"/>
            <w:vAlign w:val="center"/>
          </w:tcPr>
          <w:p w14:paraId="50D049AD" w14:textId="77777777" w:rsidR="00E541EE" w:rsidRPr="00E11721" w:rsidRDefault="00E541EE" w:rsidP="00A84BB5">
            <w:pPr>
              <w:pStyle w:val="TableParagraph"/>
              <w:jc w:val="center"/>
              <w:rPr>
                <w:rFonts w:asciiTheme="minorHAnsi" w:hAnsiTheme="minorHAnsi" w:cstheme="minorHAnsi"/>
                <w:color w:val="EE0000"/>
                <w:sz w:val="15"/>
                <w:szCs w:val="15"/>
              </w:rPr>
            </w:pPr>
            <w:r w:rsidRPr="00E11721">
              <w:rPr>
                <w:rFonts w:asciiTheme="minorHAnsi" w:hAnsiTheme="minorHAnsi" w:cstheme="minorHAnsi"/>
                <w:sz w:val="15"/>
                <w:szCs w:val="15"/>
              </w:rPr>
              <w:t>58.180,00</w:t>
            </w:r>
          </w:p>
        </w:tc>
        <w:tc>
          <w:tcPr>
            <w:tcW w:w="850" w:type="dxa"/>
            <w:tcBorders>
              <w:bottom w:val="single" w:sz="4" w:space="0" w:color="auto"/>
            </w:tcBorders>
            <w:vAlign w:val="center"/>
          </w:tcPr>
          <w:p w14:paraId="61A75A85" w14:textId="77777777" w:rsidR="00E541EE" w:rsidRPr="00E11721" w:rsidRDefault="00E541EE" w:rsidP="00A84BB5">
            <w:pPr>
              <w:jc w:val="center"/>
              <w:rPr>
                <w:rFonts w:cstheme="minorHAnsi"/>
                <w:color w:val="EE0000"/>
                <w:sz w:val="15"/>
                <w:szCs w:val="15"/>
              </w:rPr>
            </w:pPr>
            <w:r w:rsidRPr="00E11721">
              <w:rPr>
                <w:rFonts w:cstheme="minorHAnsi"/>
                <w:sz w:val="15"/>
                <w:szCs w:val="15"/>
              </w:rPr>
              <w:t>A 100802: Programi udruga u agraru</w:t>
            </w:r>
          </w:p>
        </w:tc>
        <w:tc>
          <w:tcPr>
            <w:tcW w:w="992" w:type="dxa"/>
            <w:vMerge w:val="restart"/>
            <w:tcBorders>
              <w:bottom w:val="single" w:sz="4" w:space="0" w:color="auto"/>
            </w:tcBorders>
            <w:shd w:val="clear" w:color="auto" w:fill="FFF1CC"/>
            <w:vAlign w:val="center"/>
          </w:tcPr>
          <w:p w14:paraId="6C489700" w14:textId="77777777" w:rsidR="00E541EE" w:rsidRPr="00E11721" w:rsidRDefault="00E541EE" w:rsidP="00A84BB5">
            <w:pPr>
              <w:jc w:val="center"/>
              <w:rPr>
                <w:rFonts w:cstheme="minorHAnsi"/>
                <w:sz w:val="15"/>
                <w:szCs w:val="15"/>
              </w:rPr>
            </w:pPr>
            <w:r w:rsidRPr="00E11721">
              <w:rPr>
                <w:rFonts w:cstheme="minorHAnsi"/>
                <w:sz w:val="15"/>
                <w:szCs w:val="15"/>
              </w:rPr>
              <w:t>Ukupan broj poljoprivre</w:t>
            </w:r>
            <w:r>
              <w:rPr>
                <w:rFonts w:cstheme="minorHAnsi"/>
                <w:sz w:val="15"/>
                <w:szCs w:val="15"/>
              </w:rPr>
              <w:t>-</w:t>
            </w:r>
            <w:r w:rsidRPr="00E11721">
              <w:rPr>
                <w:rFonts w:cstheme="minorHAnsi"/>
                <w:sz w:val="15"/>
                <w:szCs w:val="15"/>
              </w:rPr>
              <w:t>dnika</w:t>
            </w:r>
          </w:p>
          <w:p w14:paraId="37D5D06A" w14:textId="77777777" w:rsidR="00E541EE" w:rsidRPr="00E11721" w:rsidRDefault="00E541EE" w:rsidP="00A84BB5">
            <w:pPr>
              <w:jc w:val="center"/>
              <w:rPr>
                <w:rFonts w:cstheme="minorHAnsi"/>
                <w:sz w:val="15"/>
                <w:szCs w:val="15"/>
              </w:rPr>
            </w:pPr>
          </w:p>
          <w:p w14:paraId="20A93E43" w14:textId="77777777" w:rsidR="00E541EE" w:rsidRPr="00E11721" w:rsidRDefault="00E541EE" w:rsidP="00A84BB5">
            <w:pPr>
              <w:jc w:val="center"/>
              <w:rPr>
                <w:rFonts w:cstheme="minorHAnsi"/>
                <w:sz w:val="15"/>
                <w:szCs w:val="15"/>
              </w:rPr>
            </w:pPr>
          </w:p>
          <w:p w14:paraId="17C65C52" w14:textId="77777777" w:rsidR="00E541EE" w:rsidRPr="00E11721" w:rsidRDefault="00E541EE" w:rsidP="00A84BB5">
            <w:pPr>
              <w:jc w:val="center"/>
              <w:rPr>
                <w:rFonts w:cstheme="minorHAnsi"/>
                <w:sz w:val="15"/>
                <w:szCs w:val="15"/>
              </w:rPr>
            </w:pPr>
          </w:p>
          <w:p w14:paraId="2FD0704F" w14:textId="77777777" w:rsidR="00E541EE" w:rsidRPr="00E11721" w:rsidRDefault="00E541EE" w:rsidP="00A84BB5">
            <w:pPr>
              <w:jc w:val="center"/>
              <w:rPr>
                <w:rFonts w:cstheme="minorHAnsi"/>
                <w:sz w:val="15"/>
                <w:szCs w:val="15"/>
              </w:rPr>
            </w:pPr>
          </w:p>
          <w:p w14:paraId="6A715B37" w14:textId="77777777" w:rsidR="00E541EE" w:rsidRPr="00E11721" w:rsidRDefault="00E541EE" w:rsidP="00A84BB5">
            <w:pPr>
              <w:jc w:val="center"/>
              <w:rPr>
                <w:rFonts w:cstheme="minorHAnsi"/>
                <w:sz w:val="15"/>
                <w:szCs w:val="15"/>
              </w:rPr>
            </w:pPr>
          </w:p>
          <w:p w14:paraId="19C548FD" w14:textId="77777777" w:rsidR="00E541EE" w:rsidRPr="00E11721" w:rsidRDefault="00E541EE" w:rsidP="00A84BB5">
            <w:pPr>
              <w:jc w:val="center"/>
              <w:rPr>
                <w:rFonts w:cstheme="minorHAnsi"/>
                <w:sz w:val="15"/>
                <w:szCs w:val="15"/>
              </w:rPr>
            </w:pPr>
            <w:r w:rsidRPr="00E11721">
              <w:rPr>
                <w:rFonts w:cstheme="minorHAnsi"/>
                <w:sz w:val="15"/>
                <w:szCs w:val="15"/>
              </w:rPr>
              <w:t>Broj</w:t>
            </w:r>
          </w:p>
          <w:p w14:paraId="408DDCFD" w14:textId="77777777" w:rsidR="00E541EE" w:rsidRPr="00E11721" w:rsidRDefault="00E541EE" w:rsidP="00A84BB5">
            <w:pPr>
              <w:jc w:val="center"/>
              <w:rPr>
                <w:rFonts w:cstheme="minorHAnsi"/>
                <w:sz w:val="15"/>
                <w:szCs w:val="15"/>
              </w:rPr>
            </w:pPr>
            <w:r w:rsidRPr="00E11721">
              <w:rPr>
                <w:rFonts w:cstheme="minorHAnsi"/>
                <w:sz w:val="15"/>
                <w:szCs w:val="15"/>
              </w:rPr>
              <w:t>dodijeljenih potpora poljoprivre</w:t>
            </w:r>
            <w:r>
              <w:rPr>
                <w:rFonts w:cstheme="minorHAnsi"/>
                <w:sz w:val="15"/>
                <w:szCs w:val="15"/>
              </w:rPr>
              <w:t>-</w:t>
            </w:r>
            <w:r w:rsidRPr="00E11721">
              <w:rPr>
                <w:rFonts w:cstheme="minorHAnsi"/>
                <w:sz w:val="15"/>
                <w:szCs w:val="15"/>
              </w:rPr>
              <w:t>dnicima</w:t>
            </w:r>
          </w:p>
          <w:p w14:paraId="1D63AFE7" w14:textId="77777777" w:rsidR="00E541EE" w:rsidRPr="00E11721" w:rsidRDefault="00E541EE" w:rsidP="00A84BB5">
            <w:pPr>
              <w:jc w:val="center"/>
              <w:rPr>
                <w:rFonts w:cstheme="minorHAnsi"/>
                <w:sz w:val="15"/>
                <w:szCs w:val="15"/>
              </w:rPr>
            </w:pPr>
          </w:p>
          <w:p w14:paraId="145FEA2B" w14:textId="77777777" w:rsidR="00E541EE" w:rsidRPr="00E11721" w:rsidRDefault="00E541EE" w:rsidP="00A84BB5">
            <w:pPr>
              <w:jc w:val="center"/>
              <w:rPr>
                <w:rFonts w:cstheme="minorHAnsi"/>
                <w:sz w:val="15"/>
                <w:szCs w:val="15"/>
              </w:rPr>
            </w:pPr>
          </w:p>
          <w:p w14:paraId="3EA71E68" w14:textId="77777777" w:rsidR="00E541EE" w:rsidRPr="00E11721" w:rsidRDefault="00E541EE" w:rsidP="00A84BB5">
            <w:pPr>
              <w:jc w:val="center"/>
              <w:rPr>
                <w:rFonts w:cstheme="minorHAnsi"/>
                <w:sz w:val="15"/>
                <w:szCs w:val="15"/>
              </w:rPr>
            </w:pPr>
          </w:p>
          <w:p w14:paraId="2C464AC2" w14:textId="77777777" w:rsidR="00E541EE" w:rsidRPr="00E11721" w:rsidRDefault="00E541EE" w:rsidP="00A84BB5">
            <w:pPr>
              <w:jc w:val="center"/>
              <w:rPr>
                <w:rFonts w:cstheme="minorHAnsi"/>
                <w:sz w:val="15"/>
                <w:szCs w:val="15"/>
              </w:rPr>
            </w:pPr>
          </w:p>
          <w:p w14:paraId="1FAEB930" w14:textId="77777777" w:rsidR="00E541EE" w:rsidRPr="00E11721" w:rsidRDefault="00E541EE" w:rsidP="00A84BB5">
            <w:pPr>
              <w:jc w:val="center"/>
              <w:rPr>
                <w:rFonts w:cstheme="minorHAnsi"/>
                <w:sz w:val="15"/>
                <w:szCs w:val="15"/>
              </w:rPr>
            </w:pPr>
          </w:p>
          <w:p w14:paraId="0D032F92" w14:textId="77777777" w:rsidR="00E541EE" w:rsidRPr="00E11721" w:rsidRDefault="00E541EE" w:rsidP="00A84BB5">
            <w:pPr>
              <w:jc w:val="center"/>
              <w:rPr>
                <w:rFonts w:cstheme="minorHAnsi"/>
                <w:sz w:val="15"/>
                <w:szCs w:val="15"/>
              </w:rPr>
            </w:pPr>
          </w:p>
          <w:p w14:paraId="4E44B24E" w14:textId="77777777" w:rsidR="00E541EE" w:rsidRPr="00E11721" w:rsidRDefault="00E541EE" w:rsidP="00A84BB5">
            <w:pPr>
              <w:jc w:val="center"/>
              <w:rPr>
                <w:rFonts w:cstheme="minorHAnsi"/>
                <w:sz w:val="15"/>
                <w:szCs w:val="15"/>
              </w:rPr>
            </w:pPr>
            <w:r w:rsidRPr="00E11721">
              <w:rPr>
                <w:rFonts w:cstheme="minorHAnsi"/>
                <w:sz w:val="15"/>
                <w:szCs w:val="15"/>
              </w:rPr>
              <w:t>Broj poljoprivrednih manifestacija</w:t>
            </w:r>
          </w:p>
        </w:tc>
        <w:tc>
          <w:tcPr>
            <w:tcW w:w="993" w:type="dxa"/>
            <w:vMerge w:val="restart"/>
            <w:tcBorders>
              <w:bottom w:val="single" w:sz="4" w:space="0" w:color="auto"/>
            </w:tcBorders>
            <w:vAlign w:val="center"/>
          </w:tcPr>
          <w:p w14:paraId="3C793201" w14:textId="77777777" w:rsidR="00E541EE" w:rsidRPr="00E11721" w:rsidRDefault="00E541EE" w:rsidP="00A84BB5">
            <w:pPr>
              <w:jc w:val="center"/>
              <w:rPr>
                <w:rFonts w:cstheme="minorHAnsi"/>
                <w:sz w:val="15"/>
                <w:szCs w:val="15"/>
              </w:rPr>
            </w:pPr>
            <w:r w:rsidRPr="00E11721">
              <w:rPr>
                <w:rFonts w:cstheme="minorHAnsi"/>
                <w:sz w:val="15"/>
                <w:szCs w:val="15"/>
              </w:rPr>
              <w:t>443</w:t>
            </w:r>
          </w:p>
          <w:p w14:paraId="108017C6" w14:textId="77777777" w:rsidR="00E541EE" w:rsidRPr="00E11721" w:rsidRDefault="00E541EE" w:rsidP="00A84BB5">
            <w:pPr>
              <w:jc w:val="center"/>
              <w:rPr>
                <w:rFonts w:cstheme="minorHAnsi"/>
                <w:sz w:val="15"/>
                <w:szCs w:val="15"/>
              </w:rPr>
            </w:pPr>
          </w:p>
          <w:p w14:paraId="1D1CBE61" w14:textId="77777777" w:rsidR="00E541EE" w:rsidRPr="00E11721" w:rsidRDefault="00E541EE" w:rsidP="00A84BB5">
            <w:pPr>
              <w:jc w:val="center"/>
              <w:rPr>
                <w:rFonts w:cstheme="minorHAnsi"/>
                <w:sz w:val="15"/>
                <w:szCs w:val="15"/>
              </w:rPr>
            </w:pPr>
          </w:p>
          <w:p w14:paraId="72C05299" w14:textId="77777777" w:rsidR="00E541EE" w:rsidRPr="00E11721" w:rsidRDefault="00E541EE" w:rsidP="00A84BB5">
            <w:pPr>
              <w:jc w:val="center"/>
              <w:rPr>
                <w:rFonts w:cstheme="minorHAnsi"/>
                <w:sz w:val="15"/>
                <w:szCs w:val="15"/>
              </w:rPr>
            </w:pPr>
          </w:p>
          <w:p w14:paraId="572D9CBC" w14:textId="77777777" w:rsidR="00E541EE" w:rsidRPr="00E11721" w:rsidRDefault="00E541EE" w:rsidP="00A84BB5">
            <w:pPr>
              <w:jc w:val="center"/>
              <w:rPr>
                <w:rFonts w:cstheme="minorHAnsi"/>
                <w:sz w:val="15"/>
                <w:szCs w:val="15"/>
              </w:rPr>
            </w:pPr>
            <w:r w:rsidRPr="00E11721">
              <w:rPr>
                <w:rFonts w:cstheme="minorHAnsi"/>
                <w:sz w:val="15"/>
                <w:szCs w:val="15"/>
              </w:rPr>
              <w:t>12</w:t>
            </w:r>
          </w:p>
          <w:p w14:paraId="0BE2BA88" w14:textId="77777777" w:rsidR="00E541EE" w:rsidRPr="00E11721" w:rsidRDefault="00E541EE" w:rsidP="00A84BB5">
            <w:pPr>
              <w:jc w:val="center"/>
              <w:rPr>
                <w:rFonts w:cstheme="minorHAnsi"/>
                <w:sz w:val="15"/>
                <w:szCs w:val="15"/>
              </w:rPr>
            </w:pPr>
          </w:p>
          <w:p w14:paraId="141AABE8" w14:textId="77777777" w:rsidR="00E541EE" w:rsidRPr="00E11721" w:rsidRDefault="00E541EE" w:rsidP="00A84BB5">
            <w:pPr>
              <w:jc w:val="center"/>
              <w:rPr>
                <w:rFonts w:cstheme="minorHAnsi"/>
                <w:sz w:val="15"/>
                <w:szCs w:val="15"/>
              </w:rPr>
            </w:pPr>
          </w:p>
          <w:p w14:paraId="5E41951B" w14:textId="77777777" w:rsidR="00E541EE" w:rsidRPr="00E11721" w:rsidRDefault="00E541EE" w:rsidP="00A84BB5">
            <w:pPr>
              <w:jc w:val="center"/>
              <w:rPr>
                <w:rFonts w:cstheme="minorHAnsi"/>
                <w:sz w:val="15"/>
                <w:szCs w:val="15"/>
              </w:rPr>
            </w:pPr>
          </w:p>
          <w:p w14:paraId="150224FF" w14:textId="77777777" w:rsidR="00E541EE" w:rsidRPr="00E11721" w:rsidRDefault="00E541EE" w:rsidP="00A84BB5">
            <w:pPr>
              <w:jc w:val="center"/>
              <w:rPr>
                <w:rFonts w:cstheme="minorHAnsi"/>
                <w:sz w:val="15"/>
                <w:szCs w:val="15"/>
              </w:rPr>
            </w:pPr>
          </w:p>
          <w:p w14:paraId="0E520B9A" w14:textId="77777777" w:rsidR="00E541EE" w:rsidRPr="00E11721" w:rsidRDefault="00E541EE" w:rsidP="00A84BB5">
            <w:pPr>
              <w:jc w:val="center"/>
              <w:rPr>
                <w:rFonts w:cstheme="minorHAnsi"/>
                <w:sz w:val="15"/>
                <w:szCs w:val="15"/>
              </w:rPr>
            </w:pPr>
            <w:r w:rsidRPr="00E11721">
              <w:rPr>
                <w:rFonts w:cstheme="minorHAnsi"/>
                <w:sz w:val="15"/>
                <w:szCs w:val="15"/>
              </w:rPr>
              <w:t>3</w:t>
            </w:r>
          </w:p>
          <w:p w14:paraId="7C93D8ED" w14:textId="77777777" w:rsidR="00E541EE" w:rsidRPr="00E11721" w:rsidRDefault="00E541EE" w:rsidP="00A84BB5">
            <w:pPr>
              <w:contextualSpacing/>
              <w:jc w:val="center"/>
              <w:rPr>
                <w:rFonts w:cstheme="minorHAnsi"/>
                <w:sz w:val="15"/>
                <w:szCs w:val="15"/>
              </w:rPr>
            </w:pPr>
          </w:p>
        </w:tc>
        <w:tc>
          <w:tcPr>
            <w:tcW w:w="561" w:type="dxa"/>
            <w:vMerge w:val="restart"/>
            <w:vAlign w:val="center"/>
          </w:tcPr>
          <w:p w14:paraId="4EF5EEF6" w14:textId="77777777" w:rsidR="00E541EE" w:rsidRPr="00E11721" w:rsidRDefault="00E541EE" w:rsidP="00A84BB5">
            <w:pPr>
              <w:jc w:val="center"/>
              <w:rPr>
                <w:rFonts w:cstheme="minorHAnsi"/>
                <w:sz w:val="15"/>
                <w:szCs w:val="15"/>
              </w:rPr>
            </w:pPr>
            <w:r w:rsidRPr="00E11721">
              <w:rPr>
                <w:rFonts w:cstheme="minorHAnsi"/>
                <w:sz w:val="15"/>
                <w:szCs w:val="15"/>
              </w:rPr>
              <w:t>448</w:t>
            </w:r>
          </w:p>
          <w:p w14:paraId="4BDD3EBD" w14:textId="77777777" w:rsidR="00E541EE" w:rsidRPr="00E11721" w:rsidRDefault="00E541EE" w:rsidP="00A84BB5">
            <w:pPr>
              <w:jc w:val="center"/>
              <w:rPr>
                <w:rFonts w:cstheme="minorHAnsi"/>
                <w:sz w:val="15"/>
                <w:szCs w:val="15"/>
              </w:rPr>
            </w:pPr>
          </w:p>
          <w:p w14:paraId="01BCBDAB" w14:textId="77777777" w:rsidR="00E541EE" w:rsidRPr="00E11721" w:rsidRDefault="00E541EE" w:rsidP="00A84BB5">
            <w:pPr>
              <w:jc w:val="center"/>
              <w:rPr>
                <w:rFonts w:cstheme="minorHAnsi"/>
                <w:sz w:val="15"/>
                <w:szCs w:val="15"/>
              </w:rPr>
            </w:pPr>
          </w:p>
          <w:p w14:paraId="40C4F6E7" w14:textId="77777777" w:rsidR="00E541EE" w:rsidRPr="00E11721" w:rsidRDefault="00E541EE" w:rsidP="00A84BB5">
            <w:pPr>
              <w:jc w:val="center"/>
              <w:rPr>
                <w:rFonts w:cstheme="minorHAnsi"/>
                <w:sz w:val="15"/>
                <w:szCs w:val="15"/>
              </w:rPr>
            </w:pPr>
          </w:p>
          <w:p w14:paraId="5F40D515" w14:textId="77777777" w:rsidR="00E541EE" w:rsidRPr="00E11721" w:rsidRDefault="00E541EE" w:rsidP="00A84BB5">
            <w:pPr>
              <w:jc w:val="center"/>
              <w:rPr>
                <w:rFonts w:cstheme="minorHAnsi"/>
                <w:sz w:val="15"/>
                <w:szCs w:val="15"/>
              </w:rPr>
            </w:pPr>
            <w:r w:rsidRPr="00E11721">
              <w:rPr>
                <w:rFonts w:cstheme="minorHAnsi"/>
                <w:sz w:val="15"/>
                <w:szCs w:val="15"/>
              </w:rPr>
              <w:t>12</w:t>
            </w:r>
          </w:p>
          <w:p w14:paraId="553B7D50" w14:textId="77777777" w:rsidR="00E541EE" w:rsidRPr="00E11721" w:rsidRDefault="00E541EE" w:rsidP="00A84BB5">
            <w:pPr>
              <w:jc w:val="center"/>
              <w:rPr>
                <w:rFonts w:cstheme="minorHAnsi"/>
                <w:sz w:val="15"/>
                <w:szCs w:val="15"/>
              </w:rPr>
            </w:pPr>
          </w:p>
          <w:p w14:paraId="66435B79" w14:textId="77777777" w:rsidR="00E541EE" w:rsidRPr="00E11721" w:rsidRDefault="00E541EE" w:rsidP="00A84BB5">
            <w:pPr>
              <w:jc w:val="center"/>
              <w:rPr>
                <w:rFonts w:cstheme="minorHAnsi"/>
                <w:sz w:val="15"/>
                <w:szCs w:val="15"/>
              </w:rPr>
            </w:pPr>
          </w:p>
          <w:p w14:paraId="41192300" w14:textId="77777777" w:rsidR="00E541EE" w:rsidRPr="00E11721" w:rsidRDefault="00E541EE" w:rsidP="00A84BB5">
            <w:pPr>
              <w:jc w:val="center"/>
              <w:rPr>
                <w:rFonts w:cstheme="minorHAnsi"/>
                <w:sz w:val="15"/>
                <w:szCs w:val="15"/>
              </w:rPr>
            </w:pPr>
          </w:p>
          <w:p w14:paraId="7C607C01" w14:textId="77777777" w:rsidR="00E541EE" w:rsidRPr="00E11721" w:rsidRDefault="00E541EE" w:rsidP="00A84BB5">
            <w:pPr>
              <w:jc w:val="center"/>
              <w:rPr>
                <w:rFonts w:cstheme="minorHAnsi"/>
                <w:sz w:val="15"/>
                <w:szCs w:val="15"/>
              </w:rPr>
            </w:pPr>
          </w:p>
          <w:p w14:paraId="1C823DBB" w14:textId="77777777" w:rsidR="00E541EE" w:rsidRPr="00E11721" w:rsidRDefault="00E541EE" w:rsidP="00A84BB5">
            <w:pPr>
              <w:jc w:val="center"/>
              <w:rPr>
                <w:rFonts w:cstheme="minorHAnsi"/>
                <w:sz w:val="15"/>
                <w:szCs w:val="15"/>
              </w:rPr>
            </w:pPr>
            <w:r w:rsidRPr="00E11721">
              <w:rPr>
                <w:rFonts w:cstheme="minorHAnsi"/>
                <w:sz w:val="15"/>
                <w:szCs w:val="15"/>
              </w:rPr>
              <w:t>3</w:t>
            </w:r>
          </w:p>
          <w:p w14:paraId="4B870314" w14:textId="77777777" w:rsidR="00E541EE" w:rsidRPr="00E11721" w:rsidRDefault="00E541EE" w:rsidP="00A84BB5">
            <w:pPr>
              <w:contextualSpacing/>
              <w:jc w:val="center"/>
              <w:rPr>
                <w:rFonts w:cstheme="minorHAnsi"/>
                <w:sz w:val="15"/>
                <w:szCs w:val="15"/>
              </w:rPr>
            </w:pPr>
          </w:p>
        </w:tc>
        <w:tc>
          <w:tcPr>
            <w:tcW w:w="709" w:type="dxa"/>
            <w:vMerge w:val="restart"/>
            <w:vAlign w:val="center"/>
          </w:tcPr>
          <w:p w14:paraId="158DEF6F" w14:textId="77777777" w:rsidR="00E541EE" w:rsidRPr="00E11721" w:rsidRDefault="00E541EE" w:rsidP="00A84BB5">
            <w:pPr>
              <w:jc w:val="center"/>
              <w:rPr>
                <w:rFonts w:cstheme="minorHAnsi"/>
                <w:sz w:val="15"/>
                <w:szCs w:val="15"/>
              </w:rPr>
            </w:pPr>
            <w:r w:rsidRPr="00E11721">
              <w:rPr>
                <w:rFonts w:cstheme="minorHAnsi"/>
                <w:sz w:val="15"/>
                <w:szCs w:val="15"/>
              </w:rPr>
              <w:t>452</w:t>
            </w:r>
          </w:p>
          <w:p w14:paraId="01272EA6" w14:textId="77777777" w:rsidR="00E541EE" w:rsidRPr="00E11721" w:rsidRDefault="00E541EE" w:rsidP="00A84BB5">
            <w:pPr>
              <w:jc w:val="center"/>
              <w:rPr>
                <w:rFonts w:cstheme="minorHAnsi"/>
                <w:sz w:val="15"/>
                <w:szCs w:val="15"/>
              </w:rPr>
            </w:pPr>
          </w:p>
          <w:p w14:paraId="5735480E" w14:textId="77777777" w:rsidR="00E541EE" w:rsidRPr="00E11721" w:rsidRDefault="00E541EE" w:rsidP="00A84BB5">
            <w:pPr>
              <w:jc w:val="center"/>
              <w:rPr>
                <w:rFonts w:cstheme="minorHAnsi"/>
                <w:sz w:val="15"/>
                <w:szCs w:val="15"/>
              </w:rPr>
            </w:pPr>
          </w:p>
          <w:p w14:paraId="321A324E" w14:textId="77777777" w:rsidR="00E541EE" w:rsidRPr="00E11721" w:rsidRDefault="00E541EE" w:rsidP="00A84BB5">
            <w:pPr>
              <w:jc w:val="center"/>
              <w:rPr>
                <w:rFonts w:cstheme="minorHAnsi"/>
                <w:sz w:val="15"/>
                <w:szCs w:val="15"/>
              </w:rPr>
            </w:pPr>
          </w:p>
          <w:p w14:paraId="3208AAE3" w14:textId="77777777" w:rsidR="00E541EE" w:rsidRPr="00E11721" w:rsidRDefault="00E541EE" w:rsidP="00A84BB5">
            <w:pPr>
              <w:jc w:val="center"/>
              <w:rPr>
                <w:rFonts w:cstheme="minorHAnsi"/>
                <w:sz w:val="15"/>
                <w:szCs w:val="15"/>
              </w:rPr>
            </w:pPr>
            <w:r w:rsidRPr="00E11721">
              <w:rPr>
                <w:rFonts w:cstheme="minorHAnsi"/>
                <w:sz w:val="15"/>
                <w:szCs w:val="15"/>
              </w:rPr>
              <w:t>14</w:t>
            </w:r>
          </w:p>
          <w:p w14:paraId="1190840F" w14:textId="77777777" w:rsidR="00E541EE" w:rsidRPr="00E11721" w:rsidRDefault="00E541EE" w:rsidP="00A84BB5">
            <w:pPr>
              <w:jc w:val="center"/>
              <w:rPr>
                <w:rFonts w:cstheme="minorHAnsi"/>
                <w:sz w:val="15"/>
                <w:szCs w:val="15"/>
              </w:rPr>
            </w:pPr>
          </w:p>
          <w:p w14:paraId="7026F2C3" w14:textId="77777777" w:rsidR="00E541EE" w:rsidRPr="00E11721" w:rsidRDefault="00E541EE" w:rsidP="00A84BB5">
            <w:pPr>
              <w:jc w:val="center"/>
              <w:rPr>
                <w:rFonts w:cstheme="minorHAnsi"/>
                <w:sz w:val="15"/>
                <w:szCs w:val="15"/>
              </w:rPr>
            </w:pPr>
          </w:p>
          <w:p w14:paraId="213C0F57" w14:textId="77777777" w:rsidR="00E541EE" w:rsidRPr="00E11721" w:rsidRDefault="00E541EE" w:rsidP="00A84BB5">
            <w:pPr>
              <w:jc w:val="center"/>
              <w:rPr>
                <w:rFonts w:cstheme="minorHAnsi"/>
                <w:sz w:val="15"/>
                <w:szCs w:val="15"/>
              </w:rPr>
            </w:pPr>
          </w:p>
          <w:p w14:paraId="182530AF" w14:textId="77777777" w:rsidR="00E541EE" w:rsidRPr="00E11721" w:rsidRDefault="00E541EE" w:rsidP="00A84BB5">
            <w:pPr>
              <w:jc w:val="center"/>
              <w:rPr>
                <w:rFonts w:cstheme="minorHAnsi"/>
                <w:sz w:val="15"/>
                <w:szCs w:val="15"/>
              </w:rPr>
            </w:pPr>
          </w:p>
          <w:p w14:paraId="65C96644" w14:textId="77777777" w:rsidR="00E541EE" w:rsidRPr="00E11721" w:rsidRDefault="00E541EE" w:rsidP="00A84BB5">
            <w:pPr>
              <w:jc w:val="center"/>
              <w:rPr>
                <w:rFonts w:cstheme="minorHAnsi"/>
                <w:sz w:val="15"/>
                <w:szCs w:val="15"/>
              </w:rPr>
            </w:pPr>
            <w:r w:rsidRPr="00E11721">
              <w:rPr>
                <w:rFonts w:cstheme="minorHAnsi"/>
                <w:sz w:val="15"/>
                <w:szCs w:val="15"/>
              </w:rPr>
              <w:t>3</w:t>
            </w:r>
          </w:p>
          <w:p w14:paraId="7A651D7C" w14:textId="77777777" w:rsidR="00E541EE" w:rsidRPr="00E11721" w:rsidRDefault="00E541EE" w:rsidP="00A84BB5">
            <w:pPr>
              <w:contextualSpacing/>
              <w:jc w:val="center"/>
              <w:rPr>
                <w:rFonts w:cstheme="minorHAnsi"/>
                <w:sz w:val="15"/>
                <w:szCs w:val="15"/>
              </w:rPr>
            </w:pPr>
          </w:p>
        </w:tc>
        <w:tc>
          <w:tcPr>
            <w:tcW w:w="708" w:type="dxa"/>
            <w:vMerge w:val="restart"/>
            <w:vAlign w:val="center"/>
          </w:tcPr>
          <w:p w14:paraId="142915A3" w14:textId="77777777" w:rsidR="00E541EE" w:rsidRPr="00E11721" w:rsidRDefault="00E541EE" w:rsidP="00A84BB5">
            <w:pPr>
              <w:jc w:val="center"/>
              <w:rPr>
                <w:rFonts w:cstheme="minorHAnsi"/>
                <w:sz w:val="15"/>
                <w:szCs w:val="15"/>
              </w:rPr>
            </w:pPr>
            <w:r w:rsidRPr="00E11721">
              <w:rPr>
                <w:rFonts w:cstheme="minorHAnsi"/>
                <w:sz w:val="15"/>
                <w:szCs w:val="15"/>
              </w:rPr>
              <w:t>455</w:t>
            </w:r>
          </w:p>
          <w:p w14:paraId="072FBDCC" w14:textId="77777777" w:rsidR="00E541EE" w:rsidRPr="00E11721" w:rsidRDefault="00E541EE" w:rsidP="00A84BB5">
            <w:pPr>
              <w:jc w:val="center"/>
              <w:rPr>
                <w:rFonts w:cstheme="minorHAnsi"/>
                <w:sz w:val="15"/>
                <w:szCs w:val="15"/>
              </w:rPr>
            </w:pPr>
          </w:p>
          <w:p w14:paraId="4D90FBB2" w14:textId="77777777" w:rsidR="00E541EE" w:rsidRPr="00E11721" w:rsidRDefault="00E541EE" w:rsidP="00A84BB5">
            <w:pPr>
              <w:jc w:val="center"/>
              <w:rPr>
                <w:rFonts w:cstheme="minorHAnsi"/>
                <w:sz w:val="15"/>
                <w:szCs w:val="15"/>
              </w:rPr>
            </w:pPr>
          </w:p>
          <w:p w14:paraId="4E14CB88" w14:textId="77777777" w:rsidR="00E541EE" w:rsidRPr="00E11721" w:rsidRDefault="00E541EE" w:rsidP="00A84BB5">
            <w:pPr>
              <w:jc w:val="center"/>
              <w:rPr>
                <w:rFonts w:cstheme="minorHAnsi"/>
                <w:sz w:val="15"/>
                <w:szCs w:val="15"/>
              </w:rPr>
            </w:pPr>
          </w:p>
          <w:p w14:paraId="0ED10184" w14:textId="77777777" w:rsidR="00E541EE" w:rsidRPr="00E11721" w:rsidRDefault="00E541EE" w:rsidP="00A84BB5">
            <w:pPr>
              <w:jc w:val="center"/>
              <w:rPr>
                <w:rFonts w:cstheme="minorHAnsi"/>
                <w:sz w:val="15"/>
                <w:szCs w:val="15"/>
              </w:rPr>
            </w:pPr>
            <w:r w:rsidRPr="00E11721">
              <w:rPr>
                <w:rFonts w:cstheme="minorHAnsi"/>
                <w:sz w:val="15"/>
                <w:szCs w:val="15"/>
              </w:rPr>
              <w:t>16</w:t>
            </w:r>
          </w:p>
          <w:p w14:paraId="0333E805" w14:textId="77777777" w:rsidR="00E541EE" w:rsidRPr="00E11721" w:rsidRDefault="00E541EE" w:rsidP="00A84BB5">
            <w:pPr>
              <w:jc w:val="center"/>
              <w:rPr>
                <w:rFonts w:cstheme="minorHAnsi"/>
                <w:sz w:val="15"/>
                <w:szCs w:val="15"/>
              </w:rPr>
            </w:pPr>
          </w:p>
          <w:p w14:paraId="7958AABB" w14:textId="77777777" w:rsidR="00E541EE" w:rsidRPr="00E11721" w:rsidRDefault="00E541EE" w:rsidP="00A84BB5">
            <w:pPr>
              <w:jc w:val="center"/>
              <w:rPr>
                <w:rFonts w:cstheme="minorHAnsi"/>
                <w:sz w:val="15"/>
                <w:szCs w:val="15"/>
              </w:rPr>
            </w:pPr>
          </w:p>
          <w:p w14:paraId="599ABA80" w14:textId="77777777" w:rsidR="00E541EE" w:rsidRPr="00E11721" w:rsidRDefault="00E541EE" w:rsidP="00A84BB5">
            <w:pPr>
              <w:jc w:val="center"/>
              <w:rPr>
                <w:rFonts w:cstheme="minorHAnsi"/>
                <w:sz w:val="15"/>
                <w:szCs w:val="15"/>
              </w:rPr>
            </w:pPr>
          </w:p>
          <w:p w14:paraId="1FF1A6EE" w14:textId="77777777" w:rsidR="00E541EE" w:rsidRPr="00E11721" w:rsidRDefault="00E541EE" w:rsidP="00A84BB5">
            <w:pPr>
              <w:jc w:val="center"/>
              <w:rPr>
                <w:rFonts w:cstheme="minorHAnsi"/>
                <w:sz w:val="15"/>
                <w:szCs w:val="15"/>
              </w:rPr>
            </w:pPr>
          </w:p>
          <w:p w14:paraId="149DB78E" w14:textId="77777777" w:rsidR="00E541EE" w:rsidRPr="00E11721" w:rsidRDefault="00E541EE" w:rsidP="00A84BB5">
            <w:pPr>
              <w:jc w:val="center"/>
              <w:rPr>
                <w:rFonts w:cstheme="minorHAnsi"/>
                <w:sz w:val="15"/>
                <w:szCs w:val="15"/>
              </w:rPr>
            </w:pPr>
            <w:r w:rsidRPr="00E11721">
              <w:rPr>
                <w:rFonts w:cstheme="minorHAnsi"/>
                <w:sz w:val="15"/>
                <w:szCs w:val="15"/>
              </w:rPr>
              <w:t>3</w:t>
            </w:r>
          </w:p>
          <w:p w14:paraId="019773D1" w14:textId="77777777" w:rsidR="00E541EE" w:rsidRPr="00E11721" w:rsidRDefault="00E541EE" w:rsidP="00A84BB5">
            <w:pPr>
              <w:contextualSpacing/>
              <w:jc w:val="center"/>
              <w:rPr>
                <w:rFonts w:cstheme="minorHAnsi"/>
                <w:sz w:val="15"/>
                <w:szCs w:val="15"/>
              </w:rPr>
            </w:pPr>
          </w:p>
        </w:tc>
      </w:tr>
      <w:tr w:rsidR="00E541EE" w14:paraId="446BAF94" w14:textId="77777777" w:rsidTr="00F24148">
        <w:trPr>
          <w:trHeight w:val="852"/>
          <w:jc w:val="center"/>
        </w:trPr>
        <w:tc>
          <w:tcPr>
            <w:tcW w:w="1419" w:type="dxa"/>
            <w:vMerge/>
            <w:tcBorders>
              <w:bottom w:val="single" w:sz="4" w:space="0" w:color="000000"/>
            </w:tcBorders>
          </w:tcPr>
          <w:p w14:paraId="6199A6B7" w14:textId="77777777" w:rsidR="00E541EE" w:rsidRPr="00545D15" w:rsidRDefault="00E541EE" w:rsidP="00A84BB5">
            <w:pPr>
              <w:pStyle w:val="TableParagraph"/>
              <w:jc w:val="center"/>
              <w:rPr>
                <w:rFonts w:ascii="Arial" w:hAnsi="Arial" w:cs="Arial"/>
                <w:sz w:val="14"/>
                <w:szCs w:val="14"/>
              </w:rPr>
            </w:pPr>
          </w:p>
        </w:tc>
        <w:tc>
          <w:tcPr>
            <w:tcW w:w="992" w:type="dxa"/>
            <w:vMerge/>
            <w:tcBorders>
              <w:bottom w:val="single" w:sz="4" w:space="0" w:color="000000"/>
            </w:tcBorders>
            <w:vAlign w:val="center"/>
          </w:tcPr>
          <w:p w14:paraId="5E9DAF54" w14:textId="77777777" w:rsidR="00E541EE" w:rsidRPr="00545D15" w:rsidRDefault="00E541EE" w:rsidP="00A84BB5">
            <w:pPr>
              <w:pStyle w:val="TableParagraph"/>
              <w:ind w:left="28" w:right="19" w:firstLine="2"/>
              <w:jc w:val="center"/>
              <w:rPr>
                <w:rFonts w:ascii="Arial" w:hAnsi="Arial" w:cs="Arial"/>
                <w:color w:val="EE0000"/>
                <w:sz w:val="14"/>
                <w:szCs w:val="14"/>
              </w:rPr>
            </w:pPr>
          </w:p>
        </w:tc>
        <w:tc>
          <w:tcPr>
            <w:tcW w:w="1134" w:type="dxa"/>
            <w:vMerge/>
            <w:tcBorders>
              <w:top w:val="single" w:sz="4" w:space="0" w:color="auto"/>
              <w:bottom w:val="single" w:sz="4" w:space="0" w:color="000000"/>
            </w:tcBorders>
            <w:shd w:val="clear" w:color="auto" w:fill="FFF1CC"/>
            <w:vAlign w:val="center"/>
          </w:tcPr>
          <w:p w14:paraId="625C20CD" w14:textId="77777777" w:rsidR="00E541EE" w:rsidRPr="00545D15" w:rsidRDefault="00E541EE" w:rsidP="00A84BB5">
            <w:pPr>
              <w:pStyle w:val="TableParagraph"/>
              <w:spacing w:before="7"/>
              <w:rPr>
                <w:rFonts w:ascii="Arial" w:hAnsi="Arial" w:cs="Arial"/>
                <w:color w:val="EE0000"/>
                <w:sz w:val="14"/>
                <w:szCs w:val="14"/>
              </w:rPr>
            </w:pPr>
          </w:p>
        </w:tc>
        <w:tc>
          <w:tcPr>
            <w:tcW w:w="992" w:type="dxa"/>
            <w:vMerge/>
            <w:tcBorders>
              <w:top w:val="single" w:sz="4" w:space="0" w:color="auto"/>
              <w:bottom w:val="single" w:sz="4" w:space="0" w:color="000000"/>
            </w:tcBorders>
            <w:vAlign w:val="center"/>
          </w:tcPr>
          <w:p w14:paraId="036338E9" w14:textId="77777777" w:rsidR="00E541EE" w:rsidRPr="00545D15" w:rsidRDefault="00E541EE" w:rsidP="00A84BB5">
            <w:pPr>
              <w:pStyle w:val="TableParagraph"/>
              <w:ind w:right="11" w:firstLine="9"/>
              <w:rPr>
                <w:rFonts w:ascii="Arial" w:hAnsi="Arial" w:cs="Arial"/>
                <w:color w:val="EE0000"/>
                <w:sz w:val="14"/>
                <w:szCs w:val="14"/>
              </w:rPr>
            </w:pPr>
          </w:p>
        </w:tc>
        <w:tc>
          <w:tcPr>
            <w:tcW w:w="851" w:type="dxa"/>
            <w:vMerge/>
            <w:tcBorders>
              <w:top w:val="single" w:sz="4" w:space="0" w:color="auto"/>
              <w:bottom w:val="single" w:sz="4" w:space="0" w:color="000000"/>
            </w:tcBorders>
            <w:shd w:val="clear" w:color="auto" w:fill="FFF1CC"/>
            <w:vAlign w:val="center"/>
          </w:tcPr>
          <w:p w14:paraId="108AED5B" w14:textId="77777777" w:rsidR="00E541EE" w:rsidRPr="00545D15" w:rsidRDefault="00E541EE" w:rsidP="00A84BB5">
            <w:pPr>
              <w:pStyle w:val="TableParagraph"/>
              <w:rPr>
                <w:rFonts w:ascii="Arial" w:hAnsi="Arial" w:cs="Arial"/>
                <w:color w:val="EE0000"/>
                <w:sz w:val="14"/>
                <w:szCs w:val="14"/>
              </w:rPr>
            </w:pPr>
          </w:p>
        </w:tc>
        <w:tc>
          <w:tcPr>
            <w:tcW w:w="850" w:type="dxa"/>
            <w:tcBorders>
              <w:top w:val="single" w:sz="4" w:space="0" w:color="auto"/>
              <w:bottom w:val="single" w:sz="4" w:space="0" w:color="FFFFFF" w:themeColor="background1"/>
            </w:tcBorders>
            <w:vAlign w:val="center"/>
          </w:tcPr>
          <w:p w14:paraId="3CC08411" w14:textId="77777777" w:rsidR="00E541EE" w:rsidRDefault="00E541EE" w:rsidP="00A84BB5">
            <w:pPr>
              <w:contextualSpacing/>
              <w:jc w:val="center"/>
              <w:rPr>
                <w:rFonts w:ascii="Arial" w:hAnsi="Arial" w:cs="Arial"/>
                <w:sz w:val="14"/>
                <w:szCs w:val="14"/>
              </w:rPr>
            </w:pPr>
            <w:r w:rsidRPr="00545D15">
              <w:rPr>
                <w:rFonts w:ascii="Arial" w:hAnsi="Arial" w:cs="Arial"/>
                <w:sz w:val="14"/>
                <w:szCs w:val="14"/>
              </w:rPr>
              <w:t>A 100804:</w:t>
            </w:r>
          </w:p>
          <w:p w14:paraId="40974902" w14:textId="77777777" w:rsidR="00E541EE" w:rsidRPr="00545D15" w:rsidRDefault="00E541EE" w:rsidP="00A84BB5">
            <w:pPr>
              <w:contextualSpacing/>
              <w:jc w:val="center"/>
              <w:rPr>
                <w:rFonts w:ascii="Arial" w:hAnsi="Arial" w:cs="Arial"/>
                <w:sz w:val="14"/>
                <w:szCs w:val="14"/>
              </w:rPr>
            </w:pPr>
            <w:r w:rsidRPr="00545D15">
              <w:rPr>
                <w:rFonts w:ascii="Arial" w:hAnsi="Arial" w:cs="Arial"/>
                <w:sz w:val="14"/>
                <w:szCs w:val="14"/>
              </w:rPr>
              <w:t>Ostale poticajne mjere u poljoprivredi</w:t>
            </w:r>
          </w:p>
        </w:tc>
        <w:tc>
          <w:tcPr>
            <w:tcW w:w="992" w:type="dxa"/>
            <w:vMerge/>
            <w:tcBorders>
              <w:top w:val="single" w:sz="4" w:space="0" w:color="auto"/>
              <w:bottom w:val="single" w:sz="4" w:space="0" w:color="000000"/>
            </w:tcBorders>
            <w:shd w:val="clear" w:color="auto" w:fill="FFF1CC"/>
            <w:vAlign w:val="center"/>
          </w:tcPr>
          <w:p w14:paraId="06D89A7C" w14:textId="77777777" w:rsidR="00E541EE" w:rsidRPr="004261C2" w:rsidRDefault="00E541EE" w:rsidP="00A84BB5">
            <w:pPr>
              <w:contextualSpacing/>
              <w:jc w:val="center"/>
              <w:rPr>
                <w:color w:val="EE0000"/>
                <w:sz w:val="16"/>
              </w:rPr>
            </w:pPr>
          </w:p>
        </w:tc>
        <w:tc>
          <w:tcPr>
            <w:tcW w:w="993" w:type="dxa"/>
            <w:vMerge/>
            <w:tcBorders>
              <w:top w:val="single" w:sz="4" w:space="0" w:color="auto"/>
              <w:bottom w:val="single" w:sz="4" w:space="0" w:color="000000"/>
            </w:tcBorders>
            <w:vAlign w:val="center"/>
          </w:tcPr>
          <w:p w14:paraId="3EAB48D6" w14:textId="77777777" w:rsidR="00E541EE" w:rsidRPr="004261C2" w:rsidRDefault="00E541EE" w:rsidP="00A84BB5">
            <w:pPr>
              <w:contextualSpacing/>
              <w:jc w:val="center"/>
              <w:rPr>
                <w:color w:val="EE0000"/>
                <w:sz w:val="16"/>
              </w:rPr>
            </w:pPr>
          </w:p>
        </w:tc>
        <w:tc>
          <w:tcPr>
            <w:tcW w:w="561" w:type="dxa"/>
            <w:vMerge/>
            <w:vAlign w:val="center"/>
          </w:tcPr>
          <w:p w14:paraId="4C15FFA6" w14:textId="77777777" w:rsidR="00E541EE" w:rsidRPr="004261C2" w:rsidRDefault="00E541EE" w:rsidP="00A84BB5">
            <w:pPr>
              <w:contextualSpacing/>
              <w:jc w:val="center"/>
              <w:rPr>
                <w:color w:val="EE0000"/>
                <w:sz w:val="16"/>
              </w:rPr>
            </w:pPr>
          </w:p>
        </w:tc>
        <w:tc>
          <w:tcPr>
            <w:tcW w:w="709" w:type="dxa"/>
            <w:vMerge/>
            <w:vAlign w:val="center"/>
          </w:tcPr>
          <w:p w14:paraId="02FD6F35" w14:textId="77777777" w:rsidR="00E541EE" w:rsidRPr="004261C2" w:rsidRDefault="00E541EE" w:rsidP="00A84BB5">
            <w:pPr>
              <w:contextualSpacing/>
              <w:jc w:val="center"/>
              <w:rPr>
                <w:color w:val="EE0000"/>
                <w:sz w:val="16"/>
              </w:rPr>
            </w:pPr>
          </w:p>
        </w:tc>
        <w:tc>
          <w:tcPr>
            <w:tcW w:w="708" w:type="dxa"/>
            <w:vMerge/>
            <w:vAlign w:val="center"/>
          </w:tcPr>
          <w:p w14:paraId="4F9FE6F2" w14:textId="77777777" w:rsidR="00E541EE" w:rsidRPr="004261C2" w:rsidRDefault="00E541EE" w:rsidP="00A84BB5">
            <w:pPr>
              <w:contextualSpacing/>
              <w:jc w:val="center"/>
              <w:rPr>
                <w:color w:val="EE0000"/>
                <w:sz w:val="16"/>
              </w:rPr>
            </w:pPr>
          </w:p>
        </w:tc>
      </w:tr>
      <w:tr w:rsidR="00E541EE" w14:paraId="6BC0C6F3" w14:textId="77777777" w:rsidTr="00F24148">
        <w:trPr>
          <w:trHeight w:val="800"/>
          <w:jc w:val="center"/>
        </w:trPr>
        <w:tc>
          <w:tcPr>
            <w:tcW w:w="1419" w:type="dxa"/>
            <w:vMerge/>
          </w:tcPr>
          <w:p w14:paraId="723B8D31" w14:textId="77777777" w:rsidR="00E541EE" w:rsidRPr="00545D15" w:rsidRDefault="00E541EE" w:rsidP="00A84BB5">
            <w:pPr>
              <w:pStyle w:val="TableParagraph"/>
              <w:jc w:val="center"/>
              <w:rPr>
                <w:rFonts w:ascii="Arial" w:hAnsi="Arial" w:cs="Arial"/>
                <w:color w:val="EE0000"/>
                <w:sz w:val="14"/>
                <w:szCs w:val="14"/>
              </w:rPr>
            </w:pPr>
          </w:p>
        </w:tc>
        <w:tc>
          <w:tcPr>
            <w:tcW w:w="992" w:type="dxa"/>
            <w:vMerge/>
            <w:vAlign w:val="center"/>
          </w:tcPr>
          <w:p w14:paraId="71A47521" w14:textId="77777777" w:rsidR="00E541EE" w:rsidRPr="00545D15" w:rsidRDefault="00E541EE" w:rsidP="00A84BB5">
            <w:pPr>
              <w:pStyle w:val="TableParagraph"/>
              <w:jc w:val="center"/>
              <w:rPr>
                <w:rFonts w:ascii="Arial" w:hAnsi="Arial" w:cs="Arial"/>
                <w:color w:val="EE0000"/>
                <w:sz w:val="14"/>
                <w:szCs w:val="14"/>
              </w:rPr>
            </w:pPr>
          </w:p>
        </w:tc>
        <w:tc>
          <w:tcPr>
            <w:tcW w:w="1134" w:type="dxa"/>
            <w:vMerge/>
            <w:shd w:val="clear" w:color="auto" w:fill="FFF1CC"/>
            <w:vAlign w:val="center"/>
          </w:tcPr>
          <w:p w14:paraId="4D2E5538" w14:textId="77777777" w:rsidR="00E541EE" w:rsidRPr="00545D15" w:rsidRDefault="00E541EE" w:rsidP="00A84BB5">
            <w:pPr>
              <w:pStyle w:val="TableParagraph"/>
              <w:spacing w:before="7"/>
              <w:rPr>
                <w:rFonts w:ascii="Arial" w:hAnsi="Arial" w:cs="Arial"/>
                <w:color w:val="EE0000"/>
                <w:sz w:val="14"/>
                <w:szCs w:val="14"/>
              </w:rPr>
            </w:pPr>
          </w:p>
        </w:tc>
        <w:tc>
          <w:tcPr>
            <w:tcW w:w="992" w:type="dxa"/>
            <w:vMerge/>
            <w:vAlign w:val="center"/>
          </w:tcPr>
          <w:p w14:paraId="05882448" w14:textId="77777777" w:rsidR="00E541EE" w:rsidRPr="00545D15" w:rsidRDefault="00E541EE" w:rsidP="00A84BB5">
            <w:pPr>
              <w:pStyle w:val="TableParagraph"/>
              <w:spacing w:before="7"/>
              <w:rPr>
                <w:rFonts w:ascii="Arial" w:hAnsi="Arial" w:cs="Arial"/>
                <w:color w:val="EE0000"/>
                <w:sz w:val="14"/>
                <w:szCs w:val="14"/>
              </w:rPr>
            </w:pPr>
          </w:p>
        </w:tc>
        <w:tc>
          <w:tcPr>
            <w:tcW w:w="851" w:type="dxa"/>
            <w:vMerge/>
            <w:shd w:val="clear" w:color="auto" w:fill="FFF1CC"/>
            <w:vAlign w:val="center"/>
          </w:tcPr>
          <w:p w14:paraId="52E496F3" w14:textId="77777777" w:rsidR="00E541EE" w:rsidRPr="00545D15" w:rsidRDefault="00E541EE" w:rsidP="00A84BB5">
            <w:pPr>
              <w:pStyle w:val="TableParagraph"/>
              <w:rPr>
                <w:rFonts w:ascii="Arial" w:hAnsi="Arial" w:cs="Arial"/>
                <w:color w:val="EE0000"/>
                <w:sz w:val="14"/>
                <w:szCs w:val="14"/>
              </w:rPr>
            </w:pPr>
          </w:p>
        </w:tc>
        <w:tc>
          <w:tcPr>
            <w:tcW w:w="850" w:type="dxa"/>
            <w:tcBorders>
              <w:top w:val="single" w:sz="4" w:space="0" w:color="FFFFFF" w:themeColor="background1"/>
              <w:bottom w:val="single" w:sz="4" w:space="0" w:color="FFFFFF" w:themeColor="background1"/>
            </w:tcBorders>
            <w:vAlign w:val="center"/>
          </w:tcPr>
          <w:p w14:paraId="267FDC58" w14:textId="77777777" w:rsidR="00E541EE" w:rsidRPr="00545D15" w:rsidRDefault="00E541EE" w:rsidP="00A84BB5">
            <w:pPr>
              <w:contextualSpacing/>
              <w:jc w:val="center"/>
              <w:rPr>
                <w:rFonts w:ascii="Arial" w:hAnsi="Arial" w:cs="Arial"/>
                <w:sz w:val="14"/>
                <w:szCs w:val="14"/>
              </w:rPr>
            </w:pPr>
            <w:r w:rsidRPr="00545D15">
              <w:rPr>
                <w:rFonts w:ascii="Arial" w:hAnsi="Arial" w:cs="Arial"/>
                <w:sz w:val="14"/>
                <w:szCs w:val="14"/>
              </w:rPr>
              <w:t>A100805: Participacija u fondu za razvoj poljoprivrede i agroturizma Istre</w:t>
            </w:r>
          </w:p>
          <w:p w14:paraId="1234DD4F" w14:textId="77777777" w:rsidR="00E541EE" w:rsidRPr="00545D15" w:rsidRDefault="00E541EE" w:rsidP="00A84BB5">
            <w:pPr>
              <w:contextualSpacing/>
              <w:jc w:val="center"/>
              <w:rPr>
                <w:rFonts w:ascii="Arial" w:hAnsi="Arial" w:cs="Arial"/>
                <w:sz w:val="14"/>
                <w:szCs w:val="14"/>
              </w:rPr>
            </w:pPr>
          </w:p>
        </w:tc>
        <w:tc>
          <w:tcPr>
            <w:tcW w:w="992" w:type="dxa"/>
            <w:vMerge/>
            <w:shd w:val="clear" w:color="auto" w:fill="FFF1CC"/>
            <w:vAlign w:val="center"/>
          </w:tcPr>
          <w:p w14:paraId="111AE22A" w14:textId="77777777" w:rsidR="00E541EE" w:rsidRPr="00066E0B" w:rsidRDefault="00E541EE" w:rsidP="00A84BB5">
            <w:pPr>
              <w:contextualSpacing/>
              <w:jc w:val="center"/>
              <w:rPr>
                <w:sz w:val="16"/>
              </w:rPr>
            </w:pPr>
          </w:p>
        </w:tc>
        <w:tc>
          <w:tcPr>
            <w:tcW w:w="993" w:type="dxa"/>
            <w:vMerge/>
            <w:vAlign w:val="center"/>
          </w:tcPr>
          <w:p w14:paraId="4F631D27" w14:textId="77777777" w:rsidR="00E541EE" w:rsidRPr="00066E0B" w:rsidRDefault="00E541EE" w:rsidP="00A84BB5">
            <w:pPr>
              <w:contextualSpacing/>
              <w:jc w:val="center"/>
              <w:rPr>
                <w:sz w:val="16"/>
              </w:rPr>
            </w:pPr>
          </w:p>
        </w:tc>
        <w:tc>
          <w:tcPr>
            <w:tcW w:w="561" w:type="dxa"/>
            <w:vMerge/>
            <w:vAlign w:val="center"/>
          </w:tcPr>
          <w:p w14:paraId="28624E57" w14:textId="77777777" w:rsidR="00E541EE" w:rsidRPr="00066E0B" w:rsidRDefault="00E541EE" w:rsidP="00A84BB5">
            <w:pPr>
              <w:contextualSpacing/>
              <w:jc w:val="center"/>
              <w:rPr>
                <w:sz w:val="16"/>
              </w:rPr>
            </w:pPr>
          </w:p>
        </w:tc>
        <w:tc>
          <w:tcPr>
            <w:tcW w:w="709" w:type="dxa"/>
            <w:vMerge/>
            <w:vAlign w:val="center"/>
          </w:tcPr>
          <w:p w14:paraId="5E642C08" w14:textId="77777777" w:rsidR="00E541EE" w:rsidRPr="00066E0B" w:rsidRDefault="00E541EE" w:rsidP="00A84BB5">
            <w:pPr>
              <w:contextualSpacing/>
              <w:jc w:val="center"/>
              <w:rPr>
                <w:sz w:val="16"/>
              </w:rPr>
            </w:pPr>
          </w:p>
        </w:tc>
        <w:tc>
          <w:tcPr>
            <w:tcW w:w="708" w:type="dxa"/>
            <w:vMerge/>
            <w:vAlign w:val="center"/>
          </w:tcPr>
          <w:p w14:paraId="43FA133C" w14:textId="77777777" w:rsidR="00E541EE" w:rsidRPr="00066E0B" w:rsidRDefault="00E541EE" w:rsidP="00A84BB5">
            <w:pPr>
              <w:contextualSpacing/>
              <w:jc w:val="center"/>
              <w:rPr>
                <w:sz w:val="16"/>
              </w:rPr>
            </w:pPr>
          </w:p>
        </w:tc>
      </w:tr>
      <w:tr w:rsidR="00E541EE" w14:paraId="22C6F517" w14:textId="77777777" w:rsidTr="00F24148">
        <w:trPr>
          <w:trHeight w:val="800"/>
          <w:jc w:val="center"/>
        </w:trPr>
        <w:tc>
          <w:tcPr>
            <w:tcW w:w="1419" w:type="dxa"/>
            <w:vMerge/>
          </w:tcPr>
          <w:p w14:paraId="5D9D5688" w14:textId="77777777" w:rsidR="00E541EE" w:rsidRPr="00545D15" w:rsidRDefault="00E541EE" w:rsidP="00A84BB5">
            <w:pPr>
              <w:pStyle w:val="TableParagraph"/>
              <w:jc w:val="center"/>
              <w:rPr>
                <w:rFonts w:ascii="Arial" w:hAnsi="Arial" w:cs="Arial"/>
                <w:color w:val="EE0000"/>
                <w:sz w:val="14"/>
                <w:szCs w:val="14"/>
              </w:rPr>
            </w:pPr>
          </w:p>
        </w:tc>
        <w:tc>
          <w:tcPr>
            <w:tcW w:w="992" w:type="dxa"/>
            <w:vMerge/>
            <w:vAlign w:val="center"/>
          </w:tcPr>
          <w:p w14:paraId="780D7BCA" w14:textId="77777777" w:rsidR="00E541EE" w:rsidRPr="00545D15" w:rsidRDefault="00E541EE" w:rsidP="00A84BB5">
            <w:pPr>
              <w:pStyle w:val="TableParagraph"/>
              <w:jc w:val="center"/>
              <w:rPr>
                <w:rFonts w:ascii="Arial" w:hAnsi="Arial" w:cs="Arial"/>
                <w:color w:val="EE0000"/>
                <w:sz w:val="14"/>
                <w:szCs w:val="14"/>
              </w:rPr>
            </w:pPr>
          </w:p>
        </w:tc>
        <w:tc>
          <w:tcPr>
            <w:tcW w:w="1134" w:type="dxa"/>
            <w:vMerge/>
            <w:shd w:val="clear" w:color="auto" w:fill="FFF1CC"/>
            <w:vAlign w:val="center"/>
          </w:tcPr>
          <w:p w14:paraId="3852F32A" w14:textId="77777777" w:rsidR="00E541EE" w:rsidRPr="00545D15" w:rsidRDefault="00E541EE" w:rsidP="00A84BB5">
            <w:pPr>
              <w:pStyle w:val="TableParagraph"/>
              <w:spacing w:before="7"/>
              <w:rPr>
                <w:rFonts w:ascii="Arial" w:hAnsi="Arial" w:cs="Arial"/>
                <w:color w:val="EE0000"/>
                <w:sz w:val="14"/>
                <w:szCs w:val="14"/>
              </w:rPr>
            </w:pPr>
          </w:p>
        </w:tc>
        <w:tc>
          <w:tcPr>
            <w:tcW w:w="992" w:type="dxa"/>
            <w:vMerge/>
            <w:vAlign w:val="center"/>
          </w:tcPr>
          <w:p w14:paraId="6147529F" w14:textId="77777777" w:rsidR="00E541EE" w:rsidRPr="00545D15" w:rsidRDefault="00E541EE" w:rsidP="00A84BB5">
            <w:pPr>
              <w:pStyle w:val="TableParagraph"/>
              <w:spacing w:before="7"/>
              <w:rPr>
                <w:rFonts w:ascii="Arial" w:hAnsi="Arial" w:cs="Arial"/>
                <w:color w:val="EE0000"/>
                <w:sz w:val="14"/>
                <w:szCs w:val="14"/>
              </w:rPr>
            </w:pPr>
          </w:p>
        </w:tc>
        <w:tc>
          <w:tcPr>
            <w:tcW w:w="851" w:type="dxa"/>
            <w:vMerge/>
            <w:shd w:val="clear" w:color="auto" w:fill="FFF1CC"/>
            <w:vAlign w:val="center"/>
          </w:tcPr>
          <w:p w14:paraId="083978BA" w14:textId="77777777" w:rsidR="00E541EE" w:rsidRPr="00545D15" w:rsidRDefault="00E541EE" w:rsidP="00A84BB5">
            <w:pPr>
              <w:pStyle w:val="TableParagraph"/>
              <w:rPr>
                <w:rFonts w:ascii="Arial" w:hAnsi="Arial" w:cs="Arial"/>
                <w:color w:val="EE0000"/>
                <w:sz w:val="14"/>
                <w:szCs w:val="14"/>
              </w:rPr>
            </w:pPr>
          </w:p>
        </w:tc>
        <w:tc>
          <w:tcPr>
            <w:tcW w:w="850" w:type="dxa"/>
            <w:tcBorders>
              <w:top w:val="single" w:sz="4" w:space="0" w:color="FFFFFF" w:themeColor="background1"/>
              <w:bottom w:val="single" w:sz="4" w:space="0" w:color="FFFFFF" w:themeColor="background1"/>
            </w:tcBorders>
            <w:vAlign w:val="center"/>
          </w:tcPr>
          <w:p w14:paraId="1FD93EAE" w14:textId="77777777" w:rsidR="00E541EE" w:rsidRPr="00545D15" w:rsidRDefault="00E541EE" w:rsidP="00A84BB5">
            <w:pPr>
              <w:contextualSpacing/>
              <w:jc w:val="center"/>
              <w:rPr>
                <w:rFonts w:ascii="Arial" w:hAnsi="Arial" w:cs="Arial"/>
                <w:sz w:val="14"/>
                <w:szCs w:val="14"/>
              </w:rPr>
            </w:pPr>
            <w:r w:rsidRPr="00545D15">
              <w:rPr>
                <w:rFonts w:ascii="Arial" w:hAnsi="Arial" w:cs="Arial"/>
                <w:sz w:val="14"/>
                <w:szCs w:val="14"/>
              </w:rPr>
              <w:t>A100806: Proslava sv. Antuna Opata u Rovinjskom Selu</w:t>
            </w:r>
          </w:p>
        </w:tc>
        <w:tc>
          <w:tcPr>
            <w:tcW w:w="992" w:type="dxa"/>
            <w:vMerge/>
            <w:shd w:val="clear" w:color="auto" w:fill="FFF1CC"/>
            <w:vAlign w:val="center"/>
          </w:tcPr>
          <w:p w14:paraId="6C465B25" w14:textId="77777777" w:rsidR="00E541EE" w:rsidRPr="00066E0B" w:rsidRDefault="00E541EE" w:rsidP="00A84BB5">
            <w:pPr>
              <w:contextualSpacing/>
              <w:jc w:val="center"/>
              <w:rPr>
                <w:sz w:val="16"/>
              </w:rPr>
            </w:pPr>
          </w:p>
        </w:tc>
        <w:tc>
          <w:tcPr>
            <w:tcW w:w="993" w:type="dxa"/>
            <w:vMerge/>
            <w:vAlign w:val="center"/>
          </w:tcPr>
          <w:p w14:paraId="622394A6" w14:textId="77777777" w:rsidR="00E541EE" w:rsidRPr="00066E0B" w:rsidRDefault="00E541EE" w:rsidP="00A84BB5">
            <w:pPr>
              <w:contextualSpacing/>
              <w:jc w:val="center"/>
              <w:rPr>
                <w:sz w:val="16"/>
              </w:rPr>
            </w:pPr>
          </w:p>
        </w:tc>
        <w:tc>
          <w:tcPr>
            <w:tcW w:w="561" w:type="dxa"/>
            <w:vMerge/>
            <w:vAlign w:val="center"/>
          </w:tcPr>
          <w:p w14:paraId="0A0A880A" w14:textId="77777777" w:rsidR="00E541EE" w:rsidRPr="00066E0B" w:rsidRDefault="00E541EE" w:rsidP="00A84BB5">
            <w:pPr>
              <w:contextualSpacing/>
              <w:jc w:val="center"/>
              <w:rPr>
                <w:sz w:val="16"/>
              </w:rPr>
            </w:pPr>
          </w:p>
        </w:tc>
        <w:tc>
          <w:tcPr>
            <w:tcW w:w="709" w:type="dxa"/>
            <w:vMerge/>
            <w:vAlign w:val="center"/>
          </w:tcPr>
          <w:p w14:paraId="5111920B" w14:textId="77777777" w:rsidR="00E541EE" w:rsidRPr="00066E0B" w:rsidRDefault="00E541EE" w:rsidP="00A84BB5">
            <w:pPr>
              <w:contextualSpacing/>
              <w:jc w:val="center"/>
              <w:rPr>
                <w:sz w:val="16"/>
              </w:rPr>
            </w:pPr>
          </w:p>
        </w:tc>
        <w:tc>
          <w:tcPr>
            <w:tcW w:w="708" w:type="dxa"/>
            <w:vMerge/>
            <w:vAlign w:val="center"/>
          </w:tcPr>
          <w:p w14:paraId="2A1C827E" w14:textId="77777777" w:rsidR="00E541EE" w:rsidRPr="00066E0B" w:rsidRDefault="00E541EE" w:rsidP="00A84BB5">
            <w:pPr>
              <w:contextualSpacing/>
              <w:jc w:val="center"/>
              <w:rPr>
                <w:sz w:val="16"/>
              </w:rPr>
            </w:pPr>
          </w:p>
        </w:tc>
      </w:tr>
      <w:tr w:rsidR="00E541EE" w14:paraId="1A51BBCB" w14:textId="77777777" w:rsidTr="00F24148">
        <w:trPr>
          <w:trHeight w:val="800"/>
          <w:jc w:val="center"/>
        </w:trPr>
        <w:tc>
          <w:tcPr>
            <w:tcW w:w="1419" w:type="dxa"/>
            <w:vMerge/>
          </w:tcPr>
          <w:p w14:paraId="45B53A9D" w14:textId="77777777" w:rsidR="00E541EE" w:rsidRPr="00545D15" w:rsidRDefault="00E541EE" w:rsidP="00A84BB5">
            <w:pPr>
              <w:pStyle w:val="TableParagraph"/>
              <w:jc w:val="center"/>
              <w:rPr>
                <w:rFonts w:ascii="Arial" w:hAnsi="Arial" w:cs="Arial"/>
                <w:color w:val="EE0000"/>
                <w:sz w:val="14"/>
                <w:szCs w:val="14"/>
              </w:rPr>
            </w:pPr>
          </w:p>
        </w:tc>
        <w:tc>
          <w:tcPr>
            <w:tcW w:w="992" w:type="dxa"/>
            <w:vMerge/>
            <w:vAlign w:val="center"/>
          </w:tcPr>
          <w:p w14:paraId="549668E8" w14:textId="77777777" w:rsidR="00E541EE" w:rsidRPr="00545D15" w:rsidRDefault="00E541EE" w:rsidP="00A84BB5">
            <w:pPr>
              <w:pStyle w:val="TableParagraph"/>
              <w:jc w:val="center"/>
              <w:rPr>
                <w:rFonts w:ascii="Arial" w:hAnsi="Arial" w:cs="Arial"/>
                <w:color w:val="EE0000"/>
                <w:sz w:val="14"/>
                <w:szCs w:val="14"/>
              </w:rPr>
            </w:pPr>
          </w:p>
        </w:tc>
        <w:tc>
          <w:tcPr>
            <w:tcW w:w="1134" w:type="dxa"/>
            <w:vMerge/>
            <w:shd w:val="clear" w:color="auto" w:fill="FFF1CC"/>
            <w:vAlign w:val="center"/>
          </w:tcPr>
          <w:p w14:paraId="29437E40" w14:textId="77777777" w:rsidR="00E541EE" w:rsidRPr="00545D15" w:rsidRDefault="00E541EE" w:rsidP="00A84BB5">
            <w:pPr>
              <w:pStyle w:val="TableParagraph"/>
              <w:spacing w:before="7"/>
              <w:rPr>
                <w:rFonts w:ascii="Arial" w:hAnsi="Arial" w:cs="Arial"/>
                <w:color w:val="EE0000"/>
                <w:sz w:val="14"/>
                <w:szCs w:val="14"/>
              </w:rPr>
            </w:pPr>
          </w:p>
        </w:tc>
        <w:tc>
          <w:tcPr>
            <w:tcW w:w="992" w:type="dxa"/>
            <w:vMerge/>
            <w:vAlign w:val="center"/>
          </w:tcPr>
          <w:p w14:paraId="1D4F1B4B" w14:textId="77777777" w:rsidR="00E541EE" w:rsidRPr="00545D15" w:rsidRDefault="00E541EE" w:rsidP="00A84BB5">
            <w:pPr>
              <w:pStyle w:val="TableParagraph"/>
              <w:spacing w:before="7"/>
              <w:rPr>
                <w:rFonts w:ascii="Arial" w:hAnsi="Arial" w:cs="Arial"/>
                <w:color w:val="EE0000"/>
                <w:sz w:val="14"/>
                <w:szCs w:val="14"/>
              </w:rPr>
            </w:pPr>
          </w:p>
        </w:tc>
        <w:tc>
          <w:tcPr>
            <w:tcW w:w="851" w:type="dxa"/>
            <w:vMerge/>
            <w:shd w:val="clear" w:color="auto" w:fill="FFF1CC"/>
            <w:vAlign w:val="center"/>
          </w:tcPr>
          <w:p w14:paraId="7ED6CF01" w14:textId="77777777" w:rsidR="00E541EE" w:rsidRPr="00545D15" w:rsidRDefault="00E541EE" w:rsidP="00A84BB5">
            <w:pPr>
              <w:pStyle w:val="TableParagraph"/>
              <w:rPr>
                <w:rFonts w:ascii="Arial" w:hAnsi="Arial" w:cs="Arial"/>
                <w:color w:val="EE0000"/>
                <w:sz w:val="14"/>
                <w:szCs w:val="14"/>
              </w:rPr>
            </w:pPr>
          </w:p>
        </w:tc>
        <w:tc>
          <w:tcPr>
            <w:tcW w:w="850" w:type="dxa"/>
            <w:tcBorders>
              <w:top w:val="single" w:sz="4" w:space="0" w:color="FFFFFF" w:themeColor="background1"/>
              <w:bottom w:val="single" w:sz="4" w:space="0" w:color="auto"/>
            </w:tcBorders>
            <w:vAlign w:val="center"/>
          </w:tcPr>
          <w:p w14:paraId="11D05380" w14:textId="77777777" w:rsidR="00E541EE" w:rsidRPr="00545D15" w:rsidRDefault="00E541EE" w:rsidP="00A84BB5">
            <w:pPr>
              <w:contextualSpacing/>
              <w:jc w:val="center"/>
              <w:rPr>
                <w:rFonts w:ascii="Arial" w:hAnsi="Arial" w:cs="Arial"/>
                <w:sz w:val="14"/>
                <w:szCs w:val="14"/>
              </w:rPr>
            </w:pPr>
            <w:r w:rsidRPr="00545D15">
              <w:rPr>
                <w:rFonts w:ascii="Arial" w:hAnsi="Arial" w:cs="Arial"/>
                <w:sz w:val="14"/>
                <w:szCs w:val="14"/>
              </w:rPr>
              <w:t>A100807: Rovinjski festival vina</w:t>
            </w:r>
          </w:p>
        </w:tc>
        <w:tc>
          <w:tcPr>
            <w:tcW w:w="992" w:type="dxa"/>
            <w:vMerge/>
            <w:shd w:val="clear" w:color="auto" w:fill="FFF1CC"/>
            <w:vAlign w:val="center"/>
          </w:tcPr>
          <w:p w14:paraId="00200BFA" w14:textId="77777777" w:rsidR="00E541EE" w:rsidRPr="00066E0B" w:rsidRDefault="00E541EE" w:rsidP="00A84BB5">
            <w:pPr>
              <w:contextualSpacing/>
              <w:jc w:val="center"/>
              <w:rPr>
                <w:sz w:val="16"/>
              </w:rPr>
            </w:pPr>
          </w:p>
        </w:tc>
        <w:tc>
          <w:tcPr>
            <w:tcW w:w="993" w:type="dxa"/>
            <w:vMerge/>
            <w:vAlign w:val="center"/>
          </w:tcPr>
          <w:p w14:paraId="68782B51" w14:textId="77777777" w:rsidR="00E541EE" w:rsidRPr="00066E0B" w:rsidRDefault="00E541EE" w:rsidP="00A84BB5">
            <w:pPr>
              <w:contextualSpacing/>
              <w:jc w:val="center"/>
              <w:rPr>
                <w:sz w:val="16"/>
              </w:rPr>
            </w:pPr>
          </w:p>
        </w:tc>
        <w:tc>
          <w:tcPr>
            <w:tcW w:w="561" w:type="dxa"/>
            <w:vMerge/>
            <w:vAlign w:val="center"/>
          </w:tcPr>
          <w:p w14:paraId="6522B6CA" w14:textId="77777777" w:rsidR="00E541EE" w:rsidRPr="00066E0B" w:rsidRDefault="00E541EE" w:rsidP="00A84BB5">
            <w:pPr>
              <w:contextualSpacing/>
              <w:jc w:val="center"/>
              <w:rPr>
                <w:sz w:val="16"/>
              </w:rPr>
            </w:pPr>
          </w:p>
        </w:tc>
        <w:tc>
          <w:tcPr>
            <w:tcW w:w="709" w:type="dxa"/>
            <w:vMerge/>
            <w:vAlign w:val="center"/>
          </w:tcPr>
          <w:p w14:paraId="7FCB4EFA" w14:textId="77777777" w:rsidR="00E541EE" w:rsidRPr="00066E0B" w:rsidRDefault="00E541EE" w:rsidP="00A84BB5">
            <w:pPr>
              <w:contextualSpacing/>
              <w:jc w:val="center"/>
              <w:rPr>
                <w:sz w:val="16"/>
              </w:rPr>
            </w:pPr>
          </w:p>
        </w:tc>
        <w:tc>
          <w:tcPr>
            <w:tcW w:w="708" w:type="dxa"/>
            <w:vMerge/>
            <w:vAlign w:val="center"/>
          </w:tcPr>
          <w:p w14:paraId="35A1C6BB" w14:textId="77777777" w:rsidR="00E541EE" w:rsidRPr="00066E0B" w:rsidRDefault="00E541EE" w:rsidP="00A84BB5">
            <w:pPr>
              <w:contextualSpacing/>
              <w:jc w:val="center"/>
              <w:rPr>
                <w:sz w:val="16"/>
              </w:rPr>
            </w:pPr>
          </w:p>
        </w:tc>
      </w:tr>
      <w:tr w:rsidR="00E541EE" w14:paraId="652CCEBC" w14:textId="77777777" w:rsidTr="00F24148">
        <w:trPr>
          <w:trHeight w:val="800"/>
          <w:jc w:val="center"/>
        </w:trPr>
        <w:tc>
          <w:tcPr>
            <w:tcW w:w="1419" w:type="dxa"/>
            <w:vMerge/>
          </w:tcPr>
          <w:p w14:paraId="4C9E15A4" w14:textId="77777777" w:rsidR="00E541EE" w:rsidRPr="00545D15" w:rsidRDefault="00E541EE" w:rsidP="00A84BB5">
            <w:pPr>
              <w:pStyle w:val="TableParagraph"/>
              <w:jc w:val="center"/>
              <w:rPr>
                <w:rFonts w:ascii="Arial" w:hAnsi="Arial" w:cs="Arial"/>
                <w:color w:val="EE0000"/>
                <w:sz w:val="14"/>
                <w:szCs w:val="14"/>
              </w:rPr>
            </w:pPr>
          </w:p>
        </w:tc>
        <w:tc>
          <w:tcPr>
            <w:tcW w:w="992" w:type="dxa"/>
            <w:vMerge/>
            <w:vAlign w:val="center"/>
          </w:tcPr>
          <w:p w14:paraId="67B10593" w14:textId="77777777" w:rsidR="00E541EE" w:rsidRPr="00545D15" w:rsidRDefault="00E541EE" w:rsidP="00A84BB5">
            <w:pPr>
              <w:pStyle w:val="TableParagraph"/>
              <w:jc w:val="center"/>
              <w:rPr>
                <w:rFonts w:ascii="Arial" w:hAnsi="Arial" w:cs="Arial"/>
                <w:color w:val="EE0000"/>
                <w:sz w:val="14"/>
                <w:szCs w:val="14"/>
              </w:rPr>
            </w:pPr>
          </w:p>
        </w:tc>
        <w:tc>
          <w:tcPr>
            <w:tcW w:w="1134" w:type="dxa"/>
            <w:vMerge/>
            <w:shd w:val="clear" w:color="auto" w:fill="FFF1CC"/>
            <w:vAlign w:val="center"/>
          </w:tcPr>
          <w:p w14:paraId="0D2FBFCF" w14:textId="77777777" w:rsidR="00E541EE" w:rsidRPr="00545D15" w:rsidRDefault="00E541EE" w:rsidP="00A84BB5">
            <w:pPr>
              <w:pStyle w:val="TableParagraph"/>
              <w:spacing w:before="7"/>
              <w:rPr>
                <w:rFonts w:ascii="Arial" w:hAnsi="Arial" w:cs="Arial"/>
                <w:color w:val="EE0000"/>
                <w:sz w:val="14"/>
                <w:szCs w:val="14"/>
              </w:rPr>
            </w:pPr>
          </w:p>
        </w:tc>
        <w:tc>
          <w:tcPr>
            <w:tcW w:w="992" w:type="dxa"/>
            <w:vMerge/>
            <w:vAlign w:val="center"/>
          </w:tcPr>
          <w:p w14:paraId="7BDE0EC9" w14:textId="77777777" w:rsidR="00E541EE" w:rsidRPr="00545D15" w:rsidRDefault="00E541EE" w:rsidP="00A84BB5">
            <w:pPr>
              <w:pStyle w:val="TableParagraph"/>
              <w:spacing w:before="7"/>
              <w:rPr>
                <w:rFonts w:ascii="Arial" w:hAnsi="Arial" w:cs="Arial"/>
                <w:color w:val="EE0000"/>
                <w:sz w:val="14"/>
                <w:szCs w:val="14"/>
              </w:rPr>
            </w:pPr>
          </w:p>
        </w:tc>
        <w:tc>
          <w:tcPr>
            <w:tcW w:w="851" w:type="dxa"/>
            <w:vMerge/>
            <w:shd w:val="clear" w:color="auto" w:fill="FFF1CC"/>
            <w:vAlign w:val="center"/>
          </w:tcPr>
          <w:p w14:paraId="10EA23C4" w14:textId="77777777" w:rsidR="00E541EE" w:rsidRPr="00545D15" w:rsidRDefault="00E541EE" w:rsidP="00A84BB5">
            <w:pPr>
              <w:pStyle w:val="TableParagraph"/>
              <w:rPr>
                <w:rFonts w:ascii="Arial" w:hAnsi="Arial" w:cs="Arial"/>
                <w:color w:val="EE0000"/>
                <w:sz w:val="14"/>
                <w:szCs w:val="14"/>
              </w:rPr>
            </w:pPr>
          </w:p>
        </w:tc>
        <w:tc>
          <w:tcPr>
            <w:tcW w:w="850" w:type="dxa"/>
            <w:tcBorders>
              <w:top w:val="single" w:sz="4" w:space="0" w:color="auto"/>
              <w:bottom w:val="single" w:sz="4" w:space="0" w:color="FFFFFF" w:themeColor="background1"/>
            </w:tcBorders>
            <w:vAlign w:val="center"/>
          </w:tcPr>
          <w:p w14:paraId="016ADBAA" w14:textId="77777777" w:rsidR="00E541EE" w:rsidRPr="00545D15" w:rsidRDefault="00E541EE" w:rsidP="00A84BB5">
            <w:pPr>
              <w:contextualSpacing/>
              <w:rPr>
                <w:rFonts w:ascii="Arial" w:hAnsi="Arial" w:cs="Arial"/>
                <w:sz w:val="14"/>
                <w:szCs w:val="14"/>
              </w:rPr>
            </w:pPr>
            <w:r w:rsidRPr="00545D15">
              <w:rPr>
                <w:rFonts w:ascii="Arial" w:hAnsi="Arial" w:cs="Arial"/>
                <w:sz w:val="14"/>
                <w:szCs w:val="14"/>
              </w:rPr>
              <w:t>A100808: Rovinjski festival supe</w:t>
            </w:r>
          </w:p>
        </w:tc>
        <w:tc>
          <w:tcPr>
            <w:tcW w:w="992" w:type="dxa"/>
            <w:vMerge/>
            <w:shd w:val="clear" w:color="auto" w:fill="FFF1CC"/>
            <w:vAlign w:val="center"/>
          </w:tcPr>
          <w:p w14:paraId="7B79CAD7" w14:textId="77777777" w:rsidR="00E541EE" w:rsidRPr="00066E0B" w:rsidRDefault="00E541EE" w:rsidP="00A84BB5">
            <w:pPr>
              <w:contextualSpacing/>
              <w:jc w:val="center"/>
              <w:rPr>
                <w:sz w:val="16"/>
              </w:rPr>
            </w:pPr>
          </w:p>
        </w:tc>
        <w:tc>
          <w:tcPr>
            <w:tcW w:w="993" w:type="dxa"/>
            <w:vMerge/>
            <w:vAlign w:val="center"/>
          </w:tcPr>
          <w:p w14:paraId="0A67A241" w14:textId="77777777" w:rsidR="00E541EE" w:rsidRPr="00066E0B" w:rsidRDefault="00E541EE" w:rsidP="00A84BB5">
            <w:pPr>
              <w:contextualSpacing/>
              <w:jc w:val="center"/>
              <w:rPr>
                <w:sz w:val="16"/>
              </w:rPr>
            </w:pPr>
          </w:p>
        </w:tc>
        <w:tc>
          <w:tcPr>
            <w:tcW w:w="561" w:type="dxa"/>
            <w:vMerge/>
            <w:vAlign w:val="center"/>
          </w:tcPr>
          <w:p w14:paraId="44C85847" w14:textId="77777777" w:rsidR="00E541EE" w:rsidRPr="00066E0B" w:rsidRDefault="00E541EE" w:rsidP="00A84BB5">
            <w:pPr>
              <w:contextualSpacing/>
              <w:jc w:val="center"/>
              <w:rPr>
                <w:sz w:val="16"/>
              </w:rPr>
            </w:pPr>
          </w:p>
        </w:tc>
        <w:tc>
          <w:tcPr>
            <w:tcW w:w="709" w:type="dxa"/>
            <w:vMerge/>
            <w:vAlign w:val="center"/>
          </w:tcPr>
          <w:p w14:paraId="54EF6C44" w14:textId="77777777" w:rsidR="00E541EE" w:rsidRPr="00066E0B" w:rsidRDefault="00E541EE" w:rsidP="00A84BB5">
            <w:pPr>
              <w:contextualSpacing/>
              <w:jc w:val="center"/>
              <w:rPr>
                <w:sz w:val="16"/>
              </w:rPr>
            </w:pPr>
          </w:p>
        </w:tc>
        <w:tc>
          <w:tcPr>
            <w:tcW w:w="708" w:type="dxa"/>
            <w:vMerge/>
            <w:vAlign w:val="center"/>
          </w:tcPr>
          <w:p w14:paraId="001949B2" w14:textId="77777777" w:rsidR="00E541EE" w:rsidRPr="00066E0B" w:rsidRDefault="00E541EE" w:rsidP="00A84BB5">
            <w:pPr>
              <w:contextualSpacing/>
              <w:jc w:val="center"/>
              <w:rPr>
                <w:sz w:val="16"/>
              </w:rPr>
            </w:pPr>
          </w:p>
        </w:tc>
      </w:tr>
      <w:tr w:rsidR="00E541EE" w14:paraId="7FD9EC64" w14:textId="77777777" w:rsidTr="00F24148">
        <w:trPr>
          <w:trHeight w:val="800"/>
          <w:jc w:val="center"/>
        </w:trPr>
        <w:tc>
          <w:tcPr>
            <w:tcW w:w="1419" w:type="dxa"/>
            <w:vMerge/>
          </w:tcPr>
          <w:p w14:paraId="0303EE6D" w14:textId="77777777" w:rsidR="00E541EE" w:rsidRPr="00545D15" w:rsidRDefault="00E541EE" w:rsidP="00A84BB5">
            <w:pPr>
              <w:pStyle w:val="TableParagraph"/>
              <w:jc w:val="center"/>
              <w:rPr>
                <w:rFonts w:ascii="Arial" w:hAnsi="Arial" w:cs="Arial"/>
                <w:color w:val="EE0000"/>
                <w:sz w:val="14"/>
                <w:szCs w:val="14"/>
              </w:rPr>
            </w:pPr>
          </w:p>
        </w:tc>
        <w:tc>
          <w:tcPr>
            <w:tcW w:w="992" w:type="dxa"/>
            <w:vMerge/>
            <w:vAlign w:val="center"/>
          </w:tcPr>
          <w:p w14:paraId="48DE6A78" w14:textId="77777777" w:rsidR="00E541EE" w:rsidRPr="00545D15" w:rsidRDefault="00E541EE" w:rsidP="00A84BB5">
            <w:pPr>
              <w:pStyle w:val="TableParagraph"/>
              <w:jc w:val="center"/>
              <w:rPr>
                <w:rFonts w:ascii="Arial" w:hAnsi="Arial" w:cs="Arial"/>
                <w:color w:val="EE0000"/>
                <w:sz w:val="14"/>
                <w:szCs w:val="14"/>
              </w:rPr>
            </w:pPr>
          </w:p>
        </w:tc>
        <w:tc>
          <w:tcPr>
            <w:tcW w:w="1134" w:type="dxa"/>
            <w:vMerge/>
            <w:shd w:val="clear" w:color="auto" w:fill="FFF1CC"/>
            <w:vAlign w:val="center"/>
          </w:tcPr>
          <w:p w14:paraId="17A75125" w14:textId="77777777" w:rsidR="00E541EE" w:rsidRPr="00545D15" w:rsidRDefault="00E541EE" w:rsidP="00A84BB5">
            <w:pPr>
              <w:pStyle w:val="TableParagraph"/>
              <w:spacing w:before="7"/>
              <w:rPr>
                <w:rFonts w:ascii="Arial" w:hAnsi="Arial" w:cs="Arial"/>
                <w:color w:val="EE0000"/>
                <w:sz w:val="14"/>
                <w:szCs w:val="14"/>
              </w:rPr>
            </w:pPr>
          </w:p>
        </w:tc>
        <w:tc>
          <w:tcPr>
            <w:tcW w:w="992" w:type="dxa"/>
            <w:vMerge/>
            <w:vAlign w:val="center"/>
          </w:tcPr>
          <w:p w14:paraId="08E0B0DE" w14:textId="77777777" w:rsidR="00E541EE" w:rsidRPr="00545D15" w:rsidRDefault="00E541EE" w:rsidP="00A84BB5">
            <w:pPr>
              <w:pStyle w:val="TableParagraph"/>
              <w:spacing w:before="7"/>
              <w:rPr>
                <w:rFonts w:ascii="Arial" w:hAnsi="Arial" w:cs="Arial"/>
                <w:color w:val="EE0000"/>
                <w:sz w:val="14"/>
                <w:szCs w:val="14"/>
              </w:rPr>
            </w:pPr>
          </w:p>
        </w:tc>
        <w:tc>
          <w:tcPr>
            <w:tcW w:w="851" w:type="dxa"/>
            <w:vMerge/>
            <w:shd w:val="clear" w:color="auto" w:fill="FFF1CC"/>
            <w:vAlign w:val="center"/>
          </w:tcPr>
          <w:p w14:paraId="2EEDDF82" w14:textId="77777777" w:rsidR="00E541EE" w:rsidRPr="00545D15" w:rsidRDefault="00E541EE" w:rsidP="00A84BB5">
            <w:pPr>
              <w:pStyle w:val="TableParagraph"/>
              <w:rPr>
                <w:rFonts w:ascii="Arial" w:hAnsi="Arial" w:cs="Arial"/>
                <w:color w:val="EE0000"/>
                <w:sz w:val="14"/>
                <w:szCs w:val="14"/>
              </w:rPr>
            </w:pPr>
          </w:p>
        </w:tc>
        <w:tc>
          <w:tcPr>
            <w:tcW w:w="850" w:type="dxa"/>
            <w:tcBorders>
              <w:top w:val="single" w:sz="4" w:space="0" w:color="FFFFFF" w:themeColor="background1"/>
            </w:tcBorders>
            <w:vAlign w:val="center"/>
          </w:tcPr>
          <w:p w14:paraId="76A4542B" w14:textId="77777777" w:rsidR="00E541EE" w:rsidRPr="00545D15" w:rsidRDefault="00E541EE" w:rsidP="00A84BB5">
            <w:pPr>
              <w:contextualSpacing/>
              <w:rPr>
                <w:rFonts w:ascii="Arial" w:hAnsi="Arial" w:cs="Arial"/>
                <w:sz w:val="14"/>
                <w:szCs w:val="14"/>
              </w:rPr>
            </w:pPr>
            <w:r w:rsidRPr="00545D15">
              <w:rPr>
                <w:rFonts w:ascii="Arial" w:hAnsi="Arial" w:cs="Arial"/>
                <w:sz w:val="14"/>
                <w:szCs w:val="14"/>
              </w:rPr>
              <w:t>T100802 Program očuvanja istarske koze</w:t>
            </w:r>
          </w:p>
        </w:tc>
        <w:tc>
          <w:tcPr>
            <w:tcW w:w="992" w:type="dxa"/>
            <w:vMerge/>
            <w:shd w:val="clear" w:color="auto" w:fill="FFF1CC"/>
            <w:vAlign w:val="center"/>
          </w:tcPr>
          <w:p w14:paraId="193DDC93" w14:textId="77777777" w:rsidR="00E541EE" w:rsidRPr="00066E0B" w:rsidRDefault="00E541EE" w:rsidP="00A84BB5">
            <w:pPr>
              <w:contextualSpacing/>
              <w:jc w:val="center"/>
              <w:rPr>
                <w:sz w:val="16"/>
              </w:rPr>
            </w:pPr>
          </w:p>
        </w:tc>
        <w:tc>
          <w:tcPr>
            <w:tcW w:w="993" w:type="dxa"/>
            <w:vMerge/>
            <w:vAlign w:val="center"/>
          </w:tcPr>
          <w:p w14:paraId="7543BD0E" w14:textId="77777777" w:rsidR="00E541EE" w:rsidRPr="00066E0B" w:rsidRDefault="00E541EE" w:rsidP="00A84BB5">
            <w:pPr>
              <w:contextualSpacing/>
              <w:jc w:val="center"/>
              <w:rPr>
                <w:sz w:val="16"/>
              </w:rPr>
            </w:pPr>
          </w:p>
        </w:tc>
        <w:tc>
          <w:tcPr>
            <w:tcW w:w="561" w:type="dxa"/>
            <w:vMerge/>
            <w:vAlign w:val="center"/>
          </w:tcPr>
          <w:p w14:paraId="42B8B121" w14:textId="77777777" w:rsidR="00E541EE" w:rsidRPr="00066E0B" w:rsidRDefault="00E541EE" w:rsidP="00A84BB5">
            <w:pPr>
              <w:contextualSpacing/>
              <w:jc w:val="center"/>
              <w:rPr>
                <w:sz w:val="16"/>
              </w:rPr>
            </w:pPr>
          </w:p>
        </w:tc>
        <w:tc>
          <w:tcPr>
            <w:tcW w:w="709" w:type="dxa"/>
            <w:vMerge/>
            <w:vAlign w:val="center"/>
          </w:tcPr>
          <w:p w14:paraId="42702052" w14:textId="77777777" w:rsidR="00E541EE" w:rsidRPr="00066E0B" w:rsidRDefault="00E541EE" w:rsidP="00A84BB5">
            <w:pPr>
              <w:contextualSpacing/>
              <w:jc w:val="center"/>
              <w:rPr>
                <w:sz w:val="16"/>
              </w:rPr>
            </w:pPr>
          </w:p>
        </w:tc>
        <w:tc>
          <w:tcPr>
            <w:tcW w:w="708" w:type="dxa"/>
            <w:vMerge/>
            <w:vAlign w:val="center"/>
          </w:tcPr>
          <w:p w14:paraId="6294C1C1" w14:textId="77777777" w:rsidR="00E541EE" w:rsidRPr="00066E0B" w:rsidRDefault="00E541EE" w:rsidP="00A84BB5">
            <w:pPr>
              <w:contextualSpacing/>
              <w:jc w:val="center"/>
              <w:rPr>
                <w:sz w:val="16"/>
              </w:rPr>
            </w:pPr>
          </w:p>
        </w:tc>
      </w:tr>
    </w:tbl>
    <w:p w14:paraId="664EAC04" w14:textId="77777777" w:rsidR="00E541EE" w:rsidRDefault="00E541EE" w:rsidP="00E541EE">
      <w:pPr>
        <w:jc w:val="both"/>
        <w:rPr>
          <w:rFonts w:ascii="Arial" w:eastAsia="Times New Roman" w:hAnsi="Arial" w:cs="Arial"/>
          <w:sz w:val="24"/>
          <w:szCs w:val="24"/>
        </w:rPr>
      </w:pPr>
    </w:p>
    <w:p w14:paraId="732A00AC" w14:textId="77777777" w:rsidR="00E541EE" w:rsidRPr="000855E6" w:rsidRDefault="00E541EE" w:rsidP="00E541E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9E9E9"/>
        <w:jc w:val="both"/>
        <w:rPr>
          <w:rFonts w:ascii="Arial" w:eastAsia="Times New Roman" w:hAnsi="Arial" w:cs="Arial"/>
          <w:b/>
          <w:bCs/>
          <w:sz w:val="24"/>
          <w:szCs w:val="24"/>
        </w:rPr>
      </w:pPr>
      <w:r w:rsidRPr="000855E6">
        <w:rPr>
          <w:rFonts w:ascii="Arial" w:eastAsia="Times New Roman" w:hAnsi="Arial" w:cs="Arial"/>
          <w:b/>
          <w:bCs/>
          <w:sz w:val="24"/>
          <w:szCs w:val="24"/>
        </w:rPr>
        <w:t xml:space="preserve">A 100802: Programi udruga u agraru = </w:t>
      </w:r>
      <w:r>
        <w:rPr>
          <w:rFonts w:ascii="Arial" w:eastAsia="Times New Roman" w:hAnsi="Arial" w:cs="Arial"/>
          <w:b/>
          <w:bCs/>
          <w:sz w:val="24"/>
          <w:szCs w:val="24"/>
        </w:rPr>
        <w:t>25</w:t>
      </w:r>
      <w:r w:rsidRPr="000855E6">
        <w:rPr>
          <w:rFonts w:ascii="Arial" w:eastAsia="Times New Roman" w:hAnsi="Arial" w:cs="Arial"/>
          <w:b/>
          <w:bCs/>
          <w:sz w:val="24"/>
          <w:szCs w:val="24"/>
        </w:rPr>
        <w:t>.0</w:t>
      </w:r>
      <w:r>
        <w:rPr>
          <w:rFonts w:ascii="Arial" w:eastAsia="Times New Roman" w:hAnsi="Arial" w:cs="Arial"/>
          <w:b/>
          <w:bCs/>
          <w:sz w:val="24"/>
          <w:szCs w:val="24"/>
        </w:rPr>
        <w:t>00,00 EUR</w:t>
      </w:r>
    </w:p>
    <w:p w14:paraId="2D68C3EA" w14:textId="77777777" w:rsidR="00E541EE" w:rsidRDefault="00E541EE" w:rsidP="00E541EE">
      <w:pPr>
        <w:jc w:val="both"/>
        <w:rPr>
          <w:rFonts w:ascii="Arial" w:eastAsia="Times New Roman" w:hAnsi="Arial" w:cs="Arial"/>
          <w:bCs/>
          <w:sz w:val="24"/>
          <w:szCs w:val="24"/>
        </w:rPr>
      </w:pPr>
      <w:r>
        <w:rPr>
          <w:rFonts w:ascii="Arial" w:eastAsia="Times New Roman" w:hAnsi="Arial" w:cs="Arial"/>
          <w:b/>
          <w:bCs/>
          <w:sz w:val="24"/>
          <w:szCs w:val="24"/>
        </w:rPr>
        <w:t xml:space="preserve">Zakonska osnova: </w:t>
      </w:r>
      <w:r w:rsidRPr="009D69C2">
        <w:rPr>
          <w:rFonts w:ascii="Arial" w:hAnsi="Arial" w:cs="Arial"/>
          <w:bCs/>
          <w:color w:val="000000"/>
          <w:sz w:val="24"/>
          <w:szCs w:val="24"/>
        </w:rPr>
        <w:t>Zakon o udrugama</w:t>
      </w:r>
      <w:r>
        <w:rPr>
          <w:rFonts w:ascii="Arial" w:hAnsi="Arial" w:cs="Arial"/>
          <w:bCs/>
          <w:color w:val="000000"/>
          <w:sz w:val="24"/>
          <w:szCs w:val="24"/>
        </w:rPr>
        <w:t>,</w:t>
      </w:r>
      <w:r w:rsidRPr="009D69C2">
        <w:rPr>
          <w:rFonts w:ascii="Arial" w:hAnsi="Arial" w:cs="Arial"/>
          <w:bCs/>
          <w:color w:val="000000"/>
          <w:sz w:val="24"/>
          <w:szCs w:val="24"/>
        </w:rPr>
        <w:t xml:space="preserve"> </w:t>
      </w:r>
      <w:r w:rsidRPr="001E0C22">
        <w:rPr>
          <w:rFonts w:ascii="Arial" w:hAnsi="Arial" w:cs="Arial"/>
          <w:bCs/>
          <w:color w:val="000000"/>
          <w:sz w:val="24"/>
          <w:szCs w:val="24"/>
        </w:rPr>
        <w:t>Pravilnik o financiranju programa, projekata i manifestacija koje provode organizacije civilnog društva</w:t>
      </w:r>
      <w:r>
        <w:rPr>
          <w:rFonts w:ascii="Arial" w:eastAsia="Times New Roman" w:hAnsi="Arial" w:cs="Arial"/>
          <w:bCs/>
          <w:sz w:val="24"/>
          <w:szCs w:val="24"/>
        </w:rPr>
        <w:t>, Program potpore poljoprivredi i ruralnom razvoju Grada Rovinja-Rovigno.</w:t>
      </w:r>
    </w:p>
    <w:p w14:paraId="2730C48C" w14:textId="77777777" w:rsidR="00E541EE" w:rsidRDefault="00E541EE" w:rsidP="00E541EE">
      <w:pPr>
        <w:jc w:val="both"/>
        <w:rPr>
          <w:rFonts w:ascii="Arial" w:eastAsia="Times New Roman" w:hAnsi="Arial" w:cs="Arial"/>
          <w:bCs/>
          <w:sz w:val="24"/>
          <w:szCs w:val="24"/>
        </w:rPr>
      </w:pPr>
      <w:r w:rsidRPr="0049543D">
        <w:rPr>
          <w:rFonts w:ascii="Arial" w:eastAsia="Times New Roman" w:hAnsi="Arial" w:cs="Arial"/>
          <w:b/>
          <w:sz w:val="24"/>
          <w:szCs w:val="24"/>
        </w:rPr>
        <w:t>Opis:</w:t>
      </w:r>
      <w:r>
        <w:rPr>
          <w:rFonts w:ascii="Arial" w:eastAsia="Times New Roman" w:hAnsi="Arial" w:cs="Arial"/>
          <w:sz w:val="24"/>
          <w:szCs w:val="24"/>
        </w:rPr>
        <w:t xml:space="preserve"> poticanje razvoja poljoprivrede kao jedne od gospodarskih grana, putem </w:t>
      </w:r>
      <w:r>
        <w:rPr>
          <w:rFonts w:ascii="Arial" w:eastAsia="Times New Roman" w:hAnsi="Arial" w:cs="Arial"/>
          <w:bCs/>
          <w:sz w:val="24"/>
          <w:szCs w:val="24"/>
        </w:rPr>
        <w:t>Program potpore poljoprivredi i ruralnom razvoju Grada Rovinja-Rovigno što uključuje i financiranje udruga u agraru.</w:t>
      </w:r>
    </w:p>
    <w:p w14:paraId="14F0EEDA" w14:textId="77777777" w:rsidR="00E541EE" w:rsidRPr="009D69C2" w:rsidRDefault="00E541EE" w:rsidP="00E541EE">
      <w:pPr>
        <w:jc w:val="both"/>
        <w:rPr>
          <w:rFonts w:ascii="Arial" w:eastAsia="Times New Roman" w:hAnsi="Arial" w:cs="Arial"/>
          <w:sz w:val="24"/>
          <w:szCs w:val="24"/>
        </w:rPr>
      </w:pPr>
      <w:r>
        <w:rPr>
          <w:rFonts w:ascii="Arial" w:eastAsia="Times New Roman" w:hAnsi="Arial" w:cs="Arial"/>
          <w:b/>
          <w:sz w:val="24"/>
          <w:szCs w:val="24"/>
        </w:rPr>
        <w:t xml:space="preserve">Opći cilj: </w:t>
      </w:r>
      <w:r>
        <w:rPr>
          <w:rFonts w:ascii="Arial" w:eastAsia="Times New Roman" w:hAnsi="Arial" w:cs="Arial"/>
          <w:sz w:val="24"/>
          <w:szCs w:val="24"/>
        </w:rPr>
        <w:t>p</w:t>
      </w:r>
      <w:r w:rsidRPr="009D69C2">
        <w:rPr>
          <w:rFonts w:ascii="Arial" w:eastAsia="Times New Roman" w:hAnsi="Arial" w:cs="Arial"/>
          <w:sz w:val="24"/>
          <w:szCs w:val="24"/>
        </w:rPr>
        <w:t>oticati organizacije civilnog društva na osmišljavanje i provedbu aktivnosti i programa s posebnim naglaskom na poljoprivredu.</w:t>
      </w:r>
    </w:p>
    <w:p w14:paraId="7A07D950" w14:textId="77777777" w:rsidR="00E541EE" w:rsidRDefault="00E541EE" w:rsidP="00E541EE">
      <w:pPr>
        <w:jc w:val="both"/>
        <w:rPr>
          <w:rFonts w:ascii="Arial" w:eastAsia="Times New Roman" w:hAnsi="Arial" w:cs="Arial"/>
          <w:sz w:val="24"/>
          <w:szCs w:val="24"/>
        </w:rPr>
      </w:pPr>
      <w:r>
        <w:rPr>
          <w:rFonts w:ascii="Arial" w:eastAsia="Times New Roman" w:hAnsi="Arial" w:cs="Arial"/>
          <w:b/>
          <w:sz w:val="24"/>
          <w:szCs w:val="24"/>
        </w:rPr>
        <w:t xml:space="preserve">Pokazatelj uspješnosti: </w:t>
      </w:r>
      <w:r>
        <w:rPr>
          <w:rFonts w:ascii="Arial" w:eastAsia="Times New Roman" w:hAnsi="Arial" w:cs="Arial"/>
          <w:sz w:val="24"/>
          <w:szCs w:val="24"/>
        </w:rPr>
        <w:t>realizirani programi udruga u agraru.</w:t>
      </w:r>
    </w:p>
    <w:p w14:paraId="1A28D424" w14:textId="77777777" w:rsidR="00E541EE" w:rsidRDefault="00E541EE" w:rsidP="00E541EE">
      <w:pPr>
        <w:jc w:val="both"/>
        <w:rPr>
          <w:rFonts w:ascii="Arial" w:eastAsia="Times New Roman" w:hAnsi="Arial" w:cs="Arial"/>
          <w:sz w:val="24"/>
          <w:szCs w:val="24"/>
        </w:rPr>
      </w:pPr>
    </w:p>
    <w:p w14:paraId="2B5F2925" w14:textId="77777777" w:rsidR="00E541EE" w:rsidRPr="000855E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0855E6">
        <w:rPr>
          <w:rFonts w:ascii="Arial" w:eastAsia="Times New Roman" w:hAnsi="Arial" w:cs="Arial"/>
          <w:b/>
          <w:bCs/>
          <w:sz w:val="24"/>
          <w:szCs w:val="24"/>
        </w:rPr>
        <w:t xml:space="preserve">A 100804: Ostale poticajne mjere u poljoprivredi = </w:t>
      </w:r>
      <w:r>
        <w:rPr>
          <w:rFonts w:ascii="Arial" w:eastAsia="Times New Roman" w:hAnsi="Arial" w:cs="Arial"/>
          <w:b/>
          <w:bCs/>
          <w:sz w:val="24"/>
          <w:szCs w:val="24"/>
        </w:rPr>
        <w:t>11.850,00 EUR</w:t>
      </w:r>
    </w:p>
    <w:p w14:paraId="7CBA2F87" w14:textId="77777777" w:rsidR="00E541EE" w:rsidRDefault="00E541EE" w:rsidP="00E541EE">
      <w:pPr>
        <w:jc w:val="both"/>
        <w:rPr>
          <w:rFonts w:ascii="Arial" w:eastAsia="Times New Roman" w:hAnsi="Arial" w:cs="Arial"/>
          <w:sz w:val="24"/>
          <w:szCs w:val="24"/>
        </w:rPr>
      </w:pPr>
      <w:r>
        <w:rPr>
          <w:rFonts w:ascii="Arial" w:eastAsia="Times New Roman" w:hAnsi="Arial" w:cs="Arial"/>
          <w:b/>
          <w:bCs/>
          <w:sz w:val="24"/>
          <w:szCs w:val="24"/>
        </w:rPr>
        <w:t xml:space="preserve">Zakonska osnova: </w:t>
      </w:r>
      <w:r>
        <w:rPr>
          <w:rFonts w:ascii="Arial" w:eastAsia="Times New Roman" w:hAnsi="Arial" w:cs="Arial"/>
          <w:bCs/>
          <w:sz w:val="24"/>
          <w:szCs w:val="24"/>
        </w:rPr>
        <w:t>Program potpore poljoprivredi i ruralnom razvoju Grada Rovinja-Rovigno.</w:t>
      </w:r>
    </w:p>
    <w:p w14:paraId="0DBE4C00" w14:textId="77777777" w:rsidR="00E541EE" w:rsidRPr="00C312C4" w:rsidRDefault="00E541EE" w:rsidP="00E541EE">
      <w:pPr>
        <w:jc w:val="both"/>
        <w:rPr>
          <w:rFonts w:ascii="Arial" w:eastAsia="Times New Roman" w:hAnsi="Arial" w:cs="Arial"/>
          <w:bCs/>
          <w:sz w:val="24"/>
          <w:szCs w:val="24"/>
        </w:rPr>
      </w:pPr>
      <w:r w:rsidRPr="00C312C4">
        <w:rPr>
          <w:rFonts w:ascii="Arial" w:eastAsia="Times New Roman" w:hAnsi="Arial" w:cs="Arial"/>
          <w:b/>
          <w:sz w:val="24"/>
          <w:szCs w:val="24"/>
        </w:rPr>
        <w:t xml:space="preserve">Opis: </w:t>
      </w:r>
      <w:r>
        <w:rPr>
          <w:rFonts w:ascii="Arial" w:eastAsia="Times New Roman" w:hAnsi="Arial" w:cs="Arial"/>
          <w:bCs/>
          <w:sz w:val="24"/>
          <w:szCs w:val="24"/>
        </w:rPr>
        <w:t>p</w:t>
      </w:r>
      <w:r w:rsidRPr="00C312C4">
        <w:rPr>
          <w:rFonts w:ascii="Arial" w:eastAsia="Times New Roman" w:hAnsi="Arial" w:cs="Arial"/>
          <w:bCs/>
          <w:sz w:val="24"/>
          <w:szCs w:val="24"/>
        </w:rPr>
        <w:t>oticanje razvoja poljoprivrede kao jedne od gospodarskih grana, putem Program potpore poljoprivredi i ruralnom razvoju Grada Rovinja-Rovigno, uključuje između ostalog</w:t>
      </w:r>
      <w:r>
        <w:rPr>
          <w:rFonts w:ascii="Arial" w:eastAsia="Times New Roman" w:hAnsi="Arial" w:cs="Arial"/>
          <w:bCs/>
          <w:sz w:val="24"/>
          <w:szCs w:val="24"/>
        </w:rPr>
        <w:t xml:space="preserve"> </w:t>
      </w:r>
      <w:r w:rsidRPr="00C312C4">
        <w:rPr>
          <w:rFonts w:ascii="Arial" w:eastAsia="Times New Roman" w:hAnsi="Arial" w:cs="Arial"/>
          <w:bCs/>
          <w:sz w:val="24"/>
          <w:szCs w:val="24"/>
        </w:rPr>
        <w:t>subvencionira</w:t>
      </w:r>
      <w:r>
        <w:rPr>
          <w:rFonts w:ascii="Arial" w:eastAsia="Times New Roman" w:hAnsi="Arial" w:cs="Arial"/>
          <w:bCs/>
          <w:sz w:val="24"/>
          <w:szCs w:val="24"/>
        </w:rPr>
        <w:t>nje</w:t>
      </w:r>
      <w:r w:rsidRPr="00C312C4">
        <w:rPr>
          <w:rFonts w:ascii="Arial" w:eastAsia="Times New Roman" w:hAnsi="Arial" w:cs="Arial"/>
          <w:bCs/>
          <w:sz w:val="24"/>
          <w:szCs w:val="24"/>
        </w:rPr>
        <w:t xml:space="preserve"> </w:t>
      </w:r>
      <w:r>
        <w:rPr>
          <w:rFonts w:ascii="Arial" w:eastAsia="Times New Roman" w:hAnsi="Arial" w:cs="Arial"/>
          <w:bCs/>
          <w:sz w:val="24"/>
          <w:szCs w:val="24"/>
        </w:rPr>
        <w:t>nabave pčelarskog pribora,</w:t>
      </w:r>
      <w:r w:rsidRPr="00C312C4">
        <w:rPr>
          <w:rFonts w:ascii="Arial" w:eastAsia="Times New Roman" w:hAnsi="Arial" w:cs="Arial"/>
          <w:bCs/>
          <w:sz w:val="24"/>
          <w:szCs w:val="24"/>
        </w:rPr>
        <w:t xml:space="preserve"> </w:t>
      </w:r>
      <w:r w:rsidRPr="000D253E">
        <w:rPr>
          <w:rFonts w:ascii="Arial" w:eastAsia="Times New Roman" w:hAnsi="Arial" w:cs="Arial"/>
          <w:bCs/>
          <w:sz w:val="24"/>
          <w:szCs w:val="24"/>
        </w:rPr>
        <w:t>osnovn</w:t>
      </w:r>
      <w:r>
        <w:rPr>
          <w:rFonts w:ascii="Arial" w:eastAsia="Times New Roman" w:hAnsi="Arial" w:cs="Arial"/>
          <w:bCs/>
          <w:sz w:val="24"/>
          <w:szCs w:val="24"/>
        </w:rPr>
        <w:t>e</w:t>
      </w:r>
      <w:r w:rsidRPr="000D253E">
        <w:rPr>
          <w:rFonts w:ascii="Arial" w:eastAsia="Times New Roman" w:hAnsi="Arial" w:cs="Arial"/>
          <w:bCs/>
          <w:sz w:val="24"/>
          <w:szCs w:val="24"/>
        </w:rPr>
        <w:t xml:space="preserve"> infrastruktur</w:t>
      </w:r>
      <w:r>
        <w:rPr>
          <w:rFonts w:ascii="Arial" w:eastAsia="Times New Roman" w:hAnsi="Arial" w:cs="Arial"/>
          <w:bCs/>
          <w:sz w:val="24"/>
          <w:szCs w:val="24"/>
        </w:rPr>
        <w:t>e</w:t>
      </w:r>
      <w:r w:rsidRPr="000D253E">
        <w:rPr>
          <w:rFonts w:ascii="Arial" w:eastAsia="Times New Roman" w:hAnsi="Arial" w:cs="Arial"/>
          <w:bCs/>
          <w:sz w:val="24"/>
          <w:szCs w:val="24"/>
        </w:rPr>
        <w:t xml:space="preserve"> u poljoprivredi</w:t>
      </w:r>
      <w:r>
        <w:rPr>
          <w:rFonts w:ascii="Arial" w:eastAsia="Times New Roman" w:hAnsi="Arial" w:cs="Arial"/>
          <w:bCs/>
          <w:sz w:val="24"/>
          <w:szCs w:val="24"/>
        </w:rPr>
        <w:t>, pedoloških analiza zemljišta te edukacije</w:t>
      </w:r>
      <w:r w:rsidRPr="000D253E">
        <w:rPr>
          <w:rFonts w:ascii="Arial" w:eastAsia="Times New Roman" w:hAnsi="Arial" w:cs="Arial"/>
          <w:bCs/>
          <w:sz w:val="24"/>
          <w:szCs w:val="24"/>
        </w:rPr>
        <w:t>.</w:t>
      </w:r>
    </w:p>
    <w:p w14:paraId="58765C83" w14:textId="77777777" w:rsidR="00E541EE" w:rsidRPr="00C312C4" w:rsidRDefault="00E541EE" w:rsidP="00E541EE">
      <w:pPr>
        <w:jc w:val="both"/>
        <w:rPr>
          <w:rFonts w:ascii="Arial" w:eastAsia="Times New Roman" w:hAnsi="Arial" w:cs="Arial"/>
          <w:sz w:val="24"/>
          <w:szCs w:val="24"/>
        </w:rPr>
      </w:pPr>
      <w:r w:rsidRPr="00C312C4">
        <w:rPr>
          <w:rFonts w:ascii="Arial" w:eastAsia="Times New Roman" w:hAnsi="Arial" w:cs="Arial"/>
          <w:b/>
          <w:sz w:val="24"/>
          <w:szCs w:val="24"/>
        </w:rPr>
        <w:t xml:space="preserve">Opći cilj: </w:t>
      </w:r>
      <w:r>
        <w:rPr>
          <w:rFonts w:ascii="Arial" w:eastAsia="Times New Roman" w:hAnsi="Arial" w:cs="Arial"/>
          <w:sz w:val="24"/>
          <w:szCs w:val="24"/>
        </w:rPr>
        <w:t>p</w:t>
      </w:r>
      <w:r w:rsidRPr="00C312C4">
        <w:rPr>
          <w:rFonts w:ascii="Arial" w:eastAsia="Times New Roman" w:hAnsi="Arial" w:cs="Arial"/>
          <w:sz w:val="24"/>
          <w:szCs w:val="24"/>
        </w:rPr>
        <w:t xml:space="preserve">oticanje razvoja poljoprivrede uz raspoložive mjere sufinanciranja.  </w:t>
      </w:r>
    </w:p>
    <w:p w14:paraId="4FC7F67D" w14:textId="77777777" w:rsidR="00E541EE" w:rsidRPr="00C312C4" w:rsidRDefault="00E541EE" w:rsidP="00E541EE">
      <w:pPr>
        <w:jc w:val="both"/>
        <w:rPr>
          <w:rFonts w:ascii="Arial" w:eastAsia="Times New Roman" w:hAnsi="Arial" w:cs="Arial"/>
          <w:sz w:val="24"/>
          <w:szCs w:val="24"/>
        </w:rPr>
      </w:pPr>
      <w:r w:rsidRPr="00C312C4">
        <w:rPr>
          <w:rFonts w:ascii="Arial" w:eastAsia="Times New Roman" w:hAnsi="Arial" w:cs="Arial"/>
          <w:b/>
          <w:sz w:val="24"/>
          <w:szCs w:val="24"/>
        </w:rPr>
        <w:t xml:space="preserve">Pokazatelj uspješnosti: </w:t>
      </w:r>
      <w:r>
        <w:rPr>
          <w:rFonts w:ascii="Arial" w:eastAsia="Times New Roman" w:hAnsi="Arial" w:cs="Arial"/>
          <w:sz w:val="24"/>
          <w:szCs w:val="24"/>
        </w:rPr>
        <w:t>r</w:t>
      </w:r>
      <w:r w:rsidRPr="00C312C4">
        <w:rPr>
          <w:rFonts w:ascii="Arial" w:eastAsia="Times New Roman" w:hAnsi="Arial" w:cs="Arial"/>
          <w:sz w:val="24"/>
          <w:szCs w:val="24"/>
        </w:rPr>
        <w:t>ealizirane potpore i aktivnosti u planiranom razdoblju.</w:t>
      </w:r>
    </w:p>
    <w:p w14:paraId="4547FEA3" w14:textId="77777777" w:rsidR="00E541EE" w:rsidRPr="00C312C4" w:rsidRDefault="00E541EE" w:rsidP="00E541EE">
      <w:pPr>
        <w:jc w:val="both"/>
        <w:rPr>
          <w:rFonts w:ascii="Arial" w:eastAsia="Times New Roman" w:hAnsi="Arial" w:cs="Arial"/>
          <w:b/>
          <w:sz w:val="24"/>
          <w:szCs w:val="24"/>
        </w:rPr>
      </w:pPr>
    </w:p>
    <w:p w14:paraId="76009C43" w14:textId="77777777" w:rsidR="00E541EE"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0855E6">
        <w:rPr>
          <w:rFonts w:ascii="Arial" w:eastAsia="Times New Roman" w:hAnsi="Arial" w:cs="Arial"/>
          <w:b/>
          <w:bCs/>
          <w:sz w:val="24"/>
          <w:szCs w:val="24"/>
        </w:rPr>
        <w:t xml:space="preserve">A 100805: Participacija u Fondu za razvoj poljoprivrede i agroturizma Istre </w:t>
      </w:r>
    </w:p>
    <w:p w14:paraId="1077A982" w14:textId="77777777" w:rsidR="00E541EE" w:rsidRPr="000855E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0855E6">
        <w:rPr>
          <w:rFonts w:ascii="Arial" w:eastAsia="Times New Roman" w:hAnsi="Arial" w:cs="Arial"/>
          <w:b/>
          <w:bCs/>
          <w:sz w:val="24"/>
          <w:szCs w:val="24"/>
        </w:rPr>
        <w:t xml:space="preserve">= </w:t>
      </w:r>
      <w:r>
        <w:rPr>
          <w:rFonts w:ascii="Arial" w:eastAsia="Times New Roman" w:hAnsi="Arial" w:cs="Arial"/>
          <w:b/>
          <w:bCs/>
          <w:sz w:val="24"/>
          <w:szCs w:val="24"/>
        </w:rPr>
        <w:t>1.330,00 EUR</w:t>
      </w:r>
    </w:p>
    <w:p w14:paraId="59AE9ABF" w14:textId="77777777" w:rsidR="00E541EE" w:rsidRPr="002D6359" w:rsidRDefault="00E541EE" w:rsidP="00E541EE">
      <w:pPr>
        <w:jc w:val="both"/>
        <w:rPr>
          <w:rFonts w:ascii="Arial" w:eastAsia="Times New Roman" w:hAnsi="Arial" w:cs="Arial"/>
          <w:bCs/>
          <w:sz w:val="24"/>
          <w:szCs w:val="24"/>
        </w:rPr>
      </w:pPr>
      <w:r>
        <w:rPr>
          <w:rFonts w:ascii="Arial" w:eastAsia="Times New Roman" w:hAnsi="Arial" w:cs="Arial"/>
          <w:b/>
          <w:bCs/>
          <w:sz w:val="24"/>
          <w:szCs w:val="24"/>
        </w:rPr>
        <w:t xml:space="preserve">Zakonska osnova: </w:t>
      </w:r>
      <w:r>
        <w:rPr>
          <w:rFonts w:ascii="Arial" w:eastAsia="Times New Roman" w:hAnsi="Arial" w:cs="Arial"/>
          <w:bCs/>
          <w:sz w:val="24"/>
          <w:szCs w:val="24"/>
        </w:rPr>
        <w:t xml:space="preserve">Program potpore poljoprivredi i ruralnom razvoju Grada Rovinja-Rovigno, </w:t>
      </w:r>
      <w:r w:rsidRPr="002D6359">
        <w:rPr>
          <w:rFonts w:ascii="Arial" w:eastAsia="Times New Roman" w:hAnsi="Arial" w:cs="Arial"/>
          <w:bCs/>
          <w:sz w:val="24"/>
          <w:szCs w:val="24"/>
        </w:rPr>
        <w:t>Ugovor o namjenskom osiguranju sredstava Fonda za razvoj poljoprivrede i agroturizma Istre</w:t>
      </w:r>
      <w:r>
        <w:rPr>
          <w:rFonts w:ascii="Arial" w:eastAsia="Times New Roman" w:hAnsi="Arial" w:cs="Arial"/>
          <w:bCs/>
          <w:sz w:val="24"/>
          <w:szCs w:val="24"/>
        </w:rPr>
        <w:t xml:space="preserve"> i Aneksi ugovora.</w:t>
      </w:r>
    </w:p>
    <w:p w14:paraId="1A7365E9" w14:textId="77777777" w:rsidR="00E541EE" w:rsidRDefault="00E541EE" w:rsidP="00E541EE">
      <w:pPr>
        <w:jc w:val="both"/>
        <w:rPr>
          <w:rFonts w:ascii="Arial" w:eastAsia="Times New Roman" w:hAnsi="Arial" w:cs="Arial"/>
          <w:sz w:val="24"/>
          <w:szCs w:val="24"/>
        </w:rPr>
      </w:pPr>
      <w:r w:rsidRPr="0049543D">
        <w:rPr>
          <w:rFonts w:ascii="Arial" w:eastAsia="Times New Roman" w:hAnsi="Arial" w:cs="Arial"/>
          <w:b/>
          <w:sz w:val="24"/>
          <w:szCs w:val="24"/>
        </w:rPr>
        <w:t>Opis:</w:t>
      </w:r>
      <w:r>
        <w:rPr>
          <w:rFonts w:ascii="Arial" w:eastAsia="Times New Roman" w:hAnsi="Arial" w:cs="Arial"/>
          <w:sz w:val="24"/>
          <w:szCs w:val="24"/>
        </w:rPr>
        <w:t xml:space="preserve"> poticanje razvoja poljoprivrede kao jedne od gospodarskih grana, putem </w:t>
      </w:r>
      <w:r>
        <w:rPr>
          <w:rFonts w:ascii="Arial" w:eastAsia="Times New Roman" w:hAnsi="Arial" w:cs="Arial"/>
          <w:bCs/>
          <w:sz w:val="24"/>
          <w:szCs w:val="24"/>
        </w:rPr>
        <w:t xml:space="preserve">Program potpore poljoprivredi i ruralnom razvoju Grada Rovinja-Rovigno uključuje i </w:t>
      </w:r>
      <w:r>
        <w:rPr>
          <w:rFonts w:ascii="Arial" w:eastAsia="Times New Roman" w:hAnsi="Arial" w:cs="Arial"/>
          <w:sz w:val="24"/>
          <w:szCs w:val="24"/>
        </w:rPr>
        <w:t>sufinanciranjem Posebnog računa Županijskog Fonda za razvoj poljoprivrede i agroturizma Istre» radi odobrenja povoljnih kredita rovinjskim poljoprivrednicima.</w:t>
      </w:r>
    </w:p>
    <w:p w14:paraId="58194AEC" w14:textId="77777777" w:rsidR="00E541EE" w:rsidRDefault="00E541EE" w:rsidP="00E541EE">
      <w:pPr>
        <w:jc w:val="both"/>
        <w:rPr>
          <w:rFonts w:ascii="Arial" w:eastAsia="Times New Roman" w:hAnsi="Arial" w:cs="Arial"/>
          <w:sz w:val="24"/>
          <w:szCs w:val="24"/>
        </w:rPr>
      </w:pPr>
      <w:r>
        <w:rPr>
          <w:rFonts w:ascii="Arial" w:eastAsia="Times New Roman" w:hAnsi="Arial" w:cs="Arial"/>
          <w:b/>
          <w:sz w:val="24"/>
          <w:szCs w:val="24"/>
        </w:rPr>
        <w:t xml:space="preserve">Opći cilj: </w:t>
      </w:r>
      <w:r>
        <w:rPr>
          <w:rFonts w:ascii="Arial" w:eastAsia="Times New Roman" w:hAnsi="Arial" w:cs="Arial"/>
          <w:sz w:val="24"/>
          <w:szCs w:val="24"/>
        </w:rPr>
        <w:t>r</w:t>
      </w:r>
      <w:r w:rsidRPr="002D6359">
        <w:rPr>
          <w:rFonts w:ascii="Arial" w:eastAsia="Times New Roman" w:hAnsi="Arial" w:cs="Arial"/>
          <w:sz w:val="24"/>
          <w:szCs w:val="24"/>
        </w:rPr>
        <w:t>eguliranje uplata namjenskih sredstava zajednici osoba i dobara - Fondu za razvoj poljoprivrede i agroturizma Istre kao i osiguranje budućih u svrhu kreditiranja programa iz područja poljoprivrede, šumarstva, ribarstva, lovstva, lovnog turizma i agroturizma, pod povoljnim uvjetima</w:t>
      </w:r>
      <w:r>
        <w:rPr>
          <w:rFonts w:ascii="Arial" w:eastAsia="Times New Roman" w:hAnsi="Arial" w:cs="Arial"/>
          <w:sz w:val="24"/>
          <w:szCs w:val="24"/>
        </w:rPr>
        <w:t>.</w:t>
      </w:r>
    </w:p>
    <w:p w14:paraId="5D5C312D" w14:textId="77777777" w:rsidR="00E541EE" w:rsidRDefault="00E541EE" w:rsidP="00E541EE">
      <w:pPr>
        <w:jc w:val="both"/>
        <w:rPr>
          <w:rFonts w:ascii="Arial" w:eastAsia="Times New Roman" w:hAnsi="Arial" w:cs="Arial"/>
          <w:sz w:val="24"/>
          <w:szCs w:val="24"/>
        </w:rPr>
      </w:pPr>
      <w:r>
        <w:rPr>
          <w:rFonts w:ascii="Arial" w:eastAsia="Times New Roman" w:hAnsi="Arial" w:cs="Arial"/>
          <w:b/>
          <w:sz w:val="24"/>
          <w:szCs w:val="24"/>
        </w:rPr>
        <w:t xml:space="preserve">Pokazatelj uspješnosti: </w:t>
      </w:r>
      <w:r>
        <w:rPr>
          <w:rFonts w:ascii="Arial" w:eastAsia="Times New Roman" w:hAnsi="Arial" w:cs="Arial"/>
          <w:sz w:val="24"/>
          <w:szCs w:val="24"/>
        </w:rPr>
        <w:t>odobreni krediti rovinjskim poljoprivrednicima.</w:t>
      </w:r>
    </w:p>
    <w:p w14:paraId="34D76556" w14:textId="77777777" w:rsidR="00E541EE" w:rsidRDefault="00E541EE" w:rsidP="00E541EE">
      <w:pPr>
        <w:jc w:val="both"/>
        <w:rPr>
          <w:rFonts w:ascii="Arial" w:eastAsia="Times New Roman" w:hAnsi="Arial" w:cs="Arial"/>
          <w:sz w:val="24"/>
          <w:szCs w:val="24"/>
        </w:rPr>
      </w:pPr>
    </w:p>
    <w:p w14:paraId="465773DA" w14:textId="77777777" w:rsidR="00E541EE"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0855E6">
        <w:rPr>
          <w:rFonts w:ascii="Arial" w:eastAsia="Times New Roman" w:hAnsi="Arial" w:cs="Arial"/>
          <w:b/>
          <w:bCs/>
          <w:sz w:val="24"/>
          <w:szCs w:val="24"/>
        </w:rPr>
        <w:t xml:space="preserve">A 100806: Proslava Sv. Antuna Opata u Rovinjskom Selu - Antonja </w:t>
      </w:r>
    </w:p>
    <w:p w14:paraId="24044358" w14:textId="77777777" w:rsidR="00E541EE" w:rsidRPr="000855E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0855E6">
        <w:rPr>
          <w:rFonts w:ascii="Arial" w:eastAsia="Times New Roman" w:hAnsi="Arial" w:cs="Arial"/>
          <w:b/>
          <w:bCs/>
          <w:sz w:val="24"/>
          <w:szCs w:val="24"/>
        </w:rPr>
        <w:t xml:space="preserve">= 10.000,00 </w:t>
      </w:r>
      <w:r>
        <w:rPr>
          <w:rFonts w:ascii="Arial" w:eastAsia="Times New Roman" w:hAnsi="Arial" w:cs="Arial"/>
          <w:b/>
          <w:bCs/>
          <w:sz w:val="24"/>
          <w:szCs w:val="24"/>
        </w:rPr>
        <w:t>EUR</w:t>
      </w:r>
    </w:p>
    <w:p w14:paraId="529855F1" w14:textId="77777777" w:rsidR="00E541EE" w:rsidRPr="00C312C4" w:rsidRDefault="00E541EE" w:rsidP="00E541EE">
      <w:pPr>
        <w:jc w:val="both"/>
        <w:rPr>
          <w:rFonts w:ascii="Arial" w:eastAsia="Times New Roman" w:hAnsi="Arial" w:cs="Arial"/>
          <w:bCs/>
          <w:sz w:val="24"/>
          <w:szCs w:val="24"/>
        </w:rPr>
      </w:pPr>
      <w:r w:rsidRPr="00C312C4">
        <w:rPr>
          <w:rFonts w:ascii="Arial" w:eastAsia="Times New Roman" w:hAnsi="Arial" w:cs="Arial"/>
          <w:b/>
          <w:bCs/>
          <w:sz w:val="24"/>
          <w:szCs w:val="24"/>
        </w:rPr>
        <w:t xml:space="preserve">Zakonska osnova: </w:t>
      </w:r>
      <w:r w:rsidRPr="00C312C4">
        <w:rPr>
          <w:rFonts w:ascii="Arial" w:hAnsi="Arial" w:cs="Arial"/>
          <w:bCs/>
          <w:color w:val="000000"/>
          <w:sz w:val="24"/>
          <w:szCs w:val="24"/>
        </w:rPr>
        <w:t>Zakon o udrugama, Pravilnik o financiranju programa, projekata i manifestacija koje provode organizacije civilnog društva</w:t>
      </w:r>
      <w:r w:rsidRPr="00C312C4">
        <w:rPr>
          <w:rFonts w:ascii="Arial" w:eastAsia="Times New Roman" w:hAnsi="Arial" w:cs="Arial"/>
          <w:bCs/>
          <w:sz w:val="24"/>
          <w:szCs w:val="24"/>
        </w:rPr>
        <w:t>, Program potpore poljoprivredi i ruralnom razvoju Grada Rovinja-Rovigno.</w:t>
      </w:r>
    </w:p>
    <w:p w14:paraId="3925E9A0" w14:textId="77777777" w:rsidR="00E541EE" w:rsidRPr="00C312C4" w:rsidRDefault="00E541EE" w:rsidP="00E541EE">
      <w:pPr>
        <w:jc w:val="both"/>
        <w:rPr>
          <w:rFonts w:ascii="Arial" w:eastAsia="Times New Roman" w:hAnsi="Arial" w:cs="Arial"/>
          <w:bCs/>
          <w:sz w:val="24"/>
          <w:szCs w:val="24"/>
        </w:rPr>
      </w:pPr>
      <w:r w:rsidRPr="00C312C4">
        <w:rPr>
          <w:rFonts w:ascii="Arial" w:eastAsia="Times New Roman" w:hAnsi="Arial" w:cs="Arial"/>
          <w:b/>
          <w:sz w:val="24"/>
          <w:szCs w:val="24"/>
        </w:rPr>
        <w:t>Opis:</w:t>
      </w:r>
      <w:r w:rsidRPr="00C312C4">
        <w:rPr>
          <w:rFonts w:ascii="Arial" w:eastAsia="Times New Roman" w:hAnsi="Arial" w:cs="Arial"/>
          <w:sz w:val="24"/>
          <w:szCs w:val="24"/>
        </w:rPr>
        <w:t xml:space="preserve"> </w:t>
      </w:r>
      <w:r>
        <w:rPr>
          <w:rFonts w:ascii="Arial" w:eastAsia="Times New Roman" w:hAnsi="Arial" w:cs="Arial"/>
          <w:sz w:val="24"/>
          <w:szCs w:val="24"/>
        </w:rPr>
        <w:t>p</w:t>
      </w:r>
      <w:r w:rsidRPr="00C312C4">
        <w:rPr>
          <w:rFonts w:ascii="Arial" w:eastAsia="Times New Roman" w:hAnsi="Arial" w:cs="Arial"/>
          <w:sz w:val="24"/>
          <w:szCs w:val="24"/>
        </w:rPr>
        <w:t xml:space="preserve">oticanje razvoja poljoprivrede kao jedne od gospodarskih grana, putem </w:t>
      </w:r>
      <w:r w:rsidRPr="00C312C4">
        <w:rPr>
          <w:rFonts w:ascii="Arial" w:eastAsia="Times New Roman" w:hAnsi="Arial" w:cs="Arial"/>
          <w:bCs/>
          <w:sz w:val="24"/>
          <w:szCs w:val="24"/>
        </w:rPr>
        <w:t xml:space="preserve">Program potpore poljoprivredi i ruralnom razvoju Grada Rovinja-Rovigno što uključuje između ostalog </w:t>
      </w:r>
      <w:r w:rsidRPr="00C312C4">
        <w:rPr>
          <w:rFonts w:ascii="Arial" w:eastAsia="Times New Roman" w:hAnsi="Arial" w:cs="Arial"/>
          <w:sz w:val="24"/>
          <w:szCs w:val="24"/>
        </w:rPr>
        <w:t xml:space="preserve">sufinanciranje organizacije programa i manifestacije kao što je </w:t>
      </w:r>
      <w:r w:rsidRPr="00C312C4">
        <w:rPr>
          <w:rFonts w:ascii="Arial" w:eastAsia="Times New Roman" w:hAnsi="Arial" w:cs="Arial"/>
          <w:bCs/>
          <w:i/>
          <w:sz w:val="24"/>
          <w:szCs w:val="24"/>
        </w:rPr>
        <w:t>I</w:t>
      </w:r>
      <w:r>
        <w:rPr>
          <w:rFonts w:ascii="Arial" w:eastAsia="Times New Roman" w:hAnsi="Arial" w:cs="Arial"/>
          <w:i/>
          <w:sz w:val="24"/>
          <w:szCs w:val="24"/>
          <w:shd w:val="clear" w:color="auto" w:fill="FFFFFF"/>
        </w:rPr>
        <w:t>zložba vina i maslinovog ulja r</w:t>
      </w:r>
      <w:r w:rsidRPr="00C312C4">
        <w:rPr>
          <w:rFonts w:ascii="Arial" w:eastAsia="Times New Roman" w:hAnsi="Arial" w:cs="Arial"/>
          <w:i/>
          <w:sz w:val="24"/>
          <w:szCs w:val="24"/>
          <w:shd w:val="clear" w:color="auto" w:fill="FFFFFF"/>
        </w:rPr>
        <w:t>ovinjštine “Antonja“</w:t>
      </w:r>
      <w:r w:rsidRPr="00C312C4">
        <w:rPr>
          <w:rFonts w:ascii="Arial" w:eastAsia="Times New Roman" w:hAnsi="Arial" w:cs="Arial"/>
          <w:sz w:val="24"/>
          <w:szCs w:val="24"/>
          <w:shd w:val="clear" w:color="auto" w:fill="FFFFFF"/>
        </w:rPr>
        <w:t xml:space="preserve"> - na kojoj sudjeluju rovinjski vinari i maslinari</w:t>
      </w:r>
      <w:r>
        <w:rPr>
          <w:rFonts w:ascii="Arial" w:eastAsia="Times New Roman" w:hAnsi="Arial" w:cs="Arial"/>
          <w:sz w:val="24"/>
          <w:szCs w:val="24"/>
          <w:shd w:val="clear" w:color="auto" w:fill="FFFFFF"/>
        </w:rPr>
        <w:t xml:space="preserve"> kojom </w:t>
      </w:r>
      <w:r w:rsidRPr="00C312C4">
        <w:rPr>
          <w:rFonts w:ascii="Arial" w:eastAsia="Times New Roman" w:hAnsi="Arial" w:cs="Arial"/>
          <w:sz w:val="24"/>
          <w:szCs w:val="24"/>
          <w:shd w:val="clear" w:color="auto" w:fill="FFFFFF"/>
        </w:rPr>
        <w:t xml:space="preserve">se daje prilika poljoprivrednicima </w:t>
      </w:r>
      <w:r>
        <w:rPr>
          <w:rFonts w:ascii="Arial" w:eastAsia="Times New Roman" w:hAnsi="Arial" w:cs="Arial"/>
          <w:sz w:val="24"/>
          <w:szCs w:val="24"/>
          <w:shd w:val="clear" w:color="auto" w:fill="FFFFFF"/>
        </w:rPr>
        <w:t>za promociju svojih proizvoda</w:t>
      </w:r>
      <w:r w:rsidRPr="00C312C4">
        <w:rPr>
          <w:rFonts w:ascii="Arial" w:eastAsia="Times New Roman" w:hAnsi="Arial" w:cs="Arial"/>
          <w:sz w:val="24"/>
          <w:szCs w:val="24"/>
          <w:shd w:val="clear" w:color="auto" w:fill="FFFFFF"/>
        </w:rPr>
        <w:t>, a koja se održava povodom proslave Sv. Antuna Opata u Rovinjskom Selu</w:t>
      </w:r>
      <w:r w:rsidRPr="00C312C4">
        <w:rPr>
          <w:rFonts w:ascii="Arial" w:eastAsia="Times New Roman" w:hAnsi="Arial" w:cs="Arial"/>
          <w:bCs/>
          <w:sz w:val="24"/>
          <w:szCs w:val="24"/>
        </w:rPr>
        <w:t>.</w:t>
      </w:r>
    </w:p>
    <w:p w14:paraId="7E806840" w14:textId="77777777" w:rsidR="00E541EE" w:rsidRPr="00C312C4" w:rsidRDefault="00E541EE" w:rsidP="00E541EE">
      <w:pPr>
        <w:jc w:val="both"/>
        <w:rPr>
          <w:rFonts w:ascii="Arial" w:eastAsia="Times New Roman" w:hAnsi="Arial" w:cs="Arial"/>
          <w:sz w:val="24"/>
          <w:szCs w:val="24"/>
        </w:rPr>
      </w:pPr>
      <w:r w:rsidRPr="00C312C4">
        <w:rPr>
          <w:rFonts w:ascii="Arial" w:eastAsia="Times New Roman" w:hAnsi="Arial" w:cs="Arial"/>
          <w:b/>
          <w:sz w:val="24"/>
          <w:szCs w:val="24"/>
        </w:rPr>
        <w:t xml:space="preserve">Opći cilj: </w:t>
      </w:r>
      <w:r>
        <w:rPr>
          <w:rFonts w:ascii="Arial" w:eastAsia="Times New Roman" w:hAnsi="Arial" w:cs="Arial"/>
          <w:sz w:val="24"/>
          <w:szCs w:val="24"/>
        </w:rPr>
        <w:t>p</w:t>
      </w:r>
      <w:r w:rsidRPr="00C312C4">
        <w:rPr>
          <w:rFonts w:ascii="Arial" w:eastAsia="Times New Roman" w:hAnsi="Arial" w:cs="Arial"/>
          <w:sz w:val="24"/>
          <w:szCs w:val="24"/>
        </w:rPr>
        <w:t>oticati organizacije civilnog društva na osmišljavanje i provedbu aktivnosti i programa s posebnim naglaskom na poljoprivredu.</w:t>
      </w:r>
    </w:p>
    <w:p w14:paraId="1F2C6A3F" w14:textId="77777777" w:rsidR="00E541EE" w:rsidRPr="00C312C4" w:rsidRDefault="00E541EE" w:rsidP="00E541EE">
      <w:pPr>
        <w:jc w:val="both"/>
        <w:rPr>
          <w:rFonts w:ascii="Arial" w:eastAsia="Times New Roman" w:hAnsi="Arial" w:cs="Arial"/>
          <w:sz w:val="24"/>
          <w:szCs w:val="24"/>
        </w:rPr>
      </w:pPr>
      <w:r w:rsidRPr="00C312C4">
        <w:rPr>
          <w:rFonts w:ascii="Arial" w:eastAsia="Times New Roman" w:hAnsi="Arial" w:cs="Arial"/>
          <w:sz w:val="24"/>
          <w:szCs w:val="24"/>
        </w:rPr>
        <w:t xml:space="preserve">Poticanje razvoja poljoprivrede uz raspoložive mjere sufinanciranja.  </w:t>
      </w:r>
    </w:p>
    <w:p w14:paraId="05F4A445" w14:textId="77777777" w:rsidR="00E541EE" w:rsidRDefault="00E541EE" w:rsidP="00E541EE">
      <w:pPr>
        <w:jc w:val="both"/>
        <w:rPr>
          <w:rFonts w:ascii="Arial" w:eastAsia="Times New Roman" w:hAnsi="Arial" w:cs="Arial"/>
          <w:sz w:val="24"/>
          <w:szCs w:val="24"/>
        </w:rPr>
      </w:pPr>
      <w:r w:rsidRPr="00C312C4">
        <w:rPr>
          <w:rFonts w:ascii="Arial" w:eastAsia="Times New Roman" w:hAnsi="Arial" w:cs="Arial"/>
          <w:b/>
          <w:sz w:val="24"/>
          <w:szCs w:val="24"/>
        </w:rPr>
        <w:t xml:space="preserve">Pokazatelj uspješnosti: </w:t>
      </w:r>
      <w:r>
        <w:rPr>
          <w:rFonts w:ascii="Arial" w:eastAsia="Times New Roman" w:hAnsi="Arial" w:cs="Arial"/>
          <w:sz w:val="24"/>
          <w:szCs w:val="24"/>
        </w:rPr>
        <w:t>r</w:t>
      </w:r>
      <w:r w:rsidRPr="00C312C4">
        <w:rPr>
          <w:rFonts w:ascii="Arial" w:eastAsia="Times New Roman" w:hAnsi="Arial" w:cs="Arial"/>
          <w:sz w:val="24"/>
          <w:szCs w:val="24"/>
        </w:rPr>
        <w:t>ealizirana manifestacija.</w:t>
      </w:r>
    </w:p>
    <w:p w14:paraId="154E9315" w14:textId="77777777" w:rsidR="00E541EE" w:rsidRDefault="00E541EE" w:rsidP="00E541EE">
      <w:pPr>
        <w:rPr>
          <w:rFonts w:ascii="Arial" w:eastAsia="Times New Roman" w:hAnsi="Arial" w:cs="Arial"/>
          <w:b/>
          <w:sz w:val="24"/>
          <w:szCs w:val="24"/>
        </w:rPr>
      </w:pPr>
    </w:p>
    <w:p w14:paraId="026D3FF5" w14:textId="77777777" w:rsidR="00E541EE" w:rsidRPr="000855E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0855E6">
        <w:rPr>
          <w:rFonts w:ascii="Arial" w:eastAsia="Times New Roman" w:hAnsi="Arial" w:cs="Arial"/>
          <w:b/>
          <w:bCs/>
          <w:sz w:val="24"/>
          <w:szCs w:val="24"/>
        </w:rPr>
        <w:t xml:space="preserve">A 100807: Rovinjski festival vina = 5.000,00 </w:t>
      </w:r>
      <w:r>
        <w:rPr>
          <w:rFonts w:ascii="Arial" w:eastAsia="Times New Roman" w:hAnsi="Arial" w:cs="Arial"/>
          <w:b/>
          <w:bCs/>
          <w:sz w:val="24"/>
          <w:szCs w:val="24"/>
        </w:rPr>
        <w:t>EUR</w:t>
      </w:r>
    </w:p>
    <w:p w14:paraId="343B5DBD" w14:textId="77777777" w:rsidR="00E541EE" w:rsidRDefault="00E541EE" w:rsidP="00E541EE">
      <w:pPr>
        <w:jc w:val="both"/>
        <w:rPr>
          <w:rFonts w:ascii="Arial" w:eastAsia="Times New Roman" w:hAnsi="Arial" w:cs="Arial"/>
          <w:bCs/>
          <w:sz w:val="24"/>
          <w:szCs w:val="24"/>
        </w:rPr>
      </w:pPr>
      <w:r>
        <w:rPr>
          <w:rFonts w:ascii="Arial" w:eastAsia="Times New Roman" w:hAnsi="Arial" w:cs="Arial"/>
          <w:b/>
          <w:bCs/>
          <w:sz w:val="24"/>
          <w:szCs w:val="24"/>
        </w:rPr>
        <w:t xml:space="preserve">Zakonska osnova: </w:t>
      </w:r>
      <w:r w:rsidRPr="009D69C2">
        <w:rPr>
          <w:rFonts w:ascii="Arial" w:hAnsi="Arial" w:cs="Arial"/>
          <w:bCs/>
          <w:color w:val="000000"/>
          <w:sz w:val="24"/>
          <w:szCs w:val="24"/>
        </w:rPr>
        <w:t>Zakon o udrugama</w:t>
      </w:r>
      <w:r>
        <w:rPr>
          <w:rFonts w:ascii="Arial" w:hAnsi="Arial" w:cs="Arial"/>
          <w:bCs/>
          <w:color w:val="000000"/>
          <w:sz w:val="24"/>
          <w:szCs w:val="24"/>
        </w:rPr>
        <w:t>,</w:t>
      </w:r>
      <w:r w:rsidRPr="009D69C2">
        <w:rPr>
          <w:rFonts w:ascii="Arial" w:hAnsi="Arial" w:cs="Arial"/>
          <w:bCs/>
          <w:color w:val="000000"/>
          <w:sz w:val="24"/>
          <w:szCs w:val="24"/>
        </w:rPr>
        <w:t xml:space="preserve"> </w:t>
      </w:r>
      <w:r w:rsidRPr="001E0C22">
        <w:rPr>
          <w:rFonts w:ascii="Arial" w:hAnsi="Arial" w:cs="Arial"/>
          <w:bCs/>
          <w:color w:val="000000"/>
          <w:sz w:val="24"/>
          <w:szCs w:val="24"/>
        </w:rPr>
        <w:t>Pravilnik o financiranju programa, projekata i manifestacija koje provode organizacije civilnog društva</w:t>
      </w:r>
      <w:r>
        <w:rPr>
          <w:rFonts w:ascii="Arial" w:eastAsia="Times New Roman" w:hAnsi="Arial" w:cs="Arial"/>
          <w:bCs/>
          <w:sz w:val="24"/>
          <w:szCs w:val="24"/>
        </w:rPr>
        <w:t>, Program potpore poljoprivredi i ruralnom razvoju Grada Rovinja-Rovigno.</w:t>
      </w:r>
    </w:p>
    <w:p w14:paraId="6487FD4B" w14:textId="77777777" w:rsidR="00E541EE" w:rsidRDefault="00E541EE" w:rsidP="00E541EE">
      <w:pPr>
        <w:jc w:val="both"/>
        <w:rPr>
          <w:rFonts w:ascii="Arial" w:eastAsia="Times New Roman" w:hAnsi="Arial" w:cs="Arial"/>
          <w:sz w:val="24"/>
          <w:szCs w:val="24"/>
          <w:shd w:val="clear" w:color="auto" w:fill="FFFFFF"/>
        </w:rPr>
      </w:pPr>
      <w:r w:rsidRPr="0049543D">
        <w:rPr>
          <w:rFonts w:ascii="Arial" w:eastAsia="Times New Roman" w:hAnsi="Arial" w:cs="Arial"/>
          <w:b/>
          <w:sz w:val="24"/>
          <w:szCs w:val="24"/>
        </w:rPr>
        <w:t>Opis:</w:t>
      </w:r>
      <w:r>
        <w:rPr>
          <w:rFonts w:ascii="Arial" w:eastAsia="Times New Roman" w:hAnsi="Arial" w:cs="Arial"/>
          <w:sz w:val="24"/>
          <w:szCs w:val="24"/>
        </w:rPr>
        <w:t xml:space="preserve"> poticanje razvoja poljoprivrede kao jedne od gospodarskih grana, putem </w:t>
      </w:r>
      <w:r>
        <w:rPr>
          <w:rFonts w:ascii="Arial" w:eastAsia="Times New Roman" w:hAnsi="Arial" w:cs="Arial"/>
          <w:bCs/>
          <w:sz w:val="24"/>
          <w:szCs w:val="24"/>
        </w:rPr>
        <w:t xml:space="preserve">Program potpore poljoprivredi i ruralnom razvoju Grada Rovinja-Rovigno što uključuje između ostalog </w:t>
      </w:r>
      <w:r>
        <w:rPr>
          <w:rFonts w:ascii="Arial" w:eastAsia="Times New Roman" w:hAnsi="Arial" w:cs="Arial"/>
          <w:sz w:val="24"/>
          <w:szCs w:val="24"/>
        </w:rPr>
        <w:t xml:space="preserve">sufinanciranje organizacije programa i manifestacija kao što je </w:t>
      </w:r>
      <w:r>
        <w:rPr>
          <w:rFonts w:ascii="Arial" w:eastAsia="Times New Roman" w:hAnsi="Arial" w:cs="Arial"/>
          <w:i/>
          <w:iCs/>
          <w:sz w:val="24"/>
          <w:szCs w:val="24"/>
          <w:shd w:val="clear" w:color="auto" w:fill="FFFFFF"/>
        </w:rPr>
        <w:t xml:space="preserve">Rovinjski festival vina – </w:t>
      </w:r>
      <w:r>
        <w:rPr>
          <w:rFonts w:ascii="Arial" w:eastAsia="Times New Roman" w:hAnsi="Arial" w:cs="Arial"/>
          <w:sz w:val="24"/>
          <w:szCs w:val="24"/>
          <w:shd w:val="clear" w:color="auto" w:fill="FFFFFF"/>
        </w:rPr>
        <w:t>koja se održava povodom proslave dana Grada, vrlo je dobro posječena manifestacija od strane domaćeg stanovništva i stranih gostiju a na kojem sudjeluju vinari.</w:t>
      </w:r>
    </w:p>
    <w:p w14:paraId="500D0AB9" w14:textId="77777777" w:rsidR="00E541EE" w:rsidRPr="009D69C2" w:rsidRDefault="00E541EE" w:rsidP="00E541EE">
      <w:pPr>
        <w:jc w:val="both"/>
        <w:rPr>
          <w:rFonts w:ascii="Arial" w:eastAsia="Times New Roman" w:hAnsi="Arial" w:cs="Arial"/>
          <w:sz w:val="24"/>
          <w:szCs w:val="24"/>
        </w:rPr>
      </w:pPr>
      <w:r>
        <w:rPr>
          <w:rFonts w:ascii="Arial" w:eastAsia="Times New Roman" w:hAnsi="Arial" w:cs="Arial"/>
          <w:b/>
          <w:sz w:val="24"/>
          <w:szCs w:val="24"/>
        </w:rPr>
        <w:t xml:space="preserve">Opći cilj: </w:t>
      </w:r>
      <w:r>
        <w:rPr>
          <w:rFonts w:ascii="Arial" w:eastAsia="Times New Roman" w:hAnsi="Arial" w:cs="Arial"/>
          <w:sz w:val="24"/>
          <w:szCs w:val="24"/>
        </w:rPr>
        <w:t>p</w:t>
      </w:r>
      <w:r w:rsidRPr="009D69C2">
        <w:rPr>
          <w:rFonts w:ascii="Arial" w:eastAsia="Times New Roman" w:hAnsi="Arial" w:cs="Arial"/>
          <w:sz w:val="24"/>
          <w:szCs w:val="24"/>
        </w:rPr>
        <w:t>oticati organizacije civilnog društva na osmišljavanje i provedbu aktivnosti i programa s posebnim naglaskom na poljoprivredu.</w:t>
      </w:r>
    </w:p>
    <w:p w14:paraId="1F614B4D" w14:textId="77777777" w:rsidR="00E541EE" w:rsidRDefault="00E541EE" w:rsidP="00E541EE">
      <w:pPr>
        <w:jc w:val="both"/>
        <w:rPr>
          <w:rFonts w:ascii="Arial" w:eastAsia="Times New Roman" w:hAnsi="Arial" w:cs="Arial"/>
          <w:sz w:val="24"/>
          <w:szCs w:val="24"/>
        </w:rPr>
      </w:pPr>
      <w:r>
        <w:rPr>
          <w:rFonts w:ascii="Arial" w:eastAsia="Times New Roman" w:hAnsi="Arial" w:cs="Arial"/>
          <w:sz w:val="24"/>
          <w:szCs w:val="24"/>
        </w:rPr>
        <w:t xml:space="preserve">Poticanje razvoja poljoprivrede uz raspoložive mjere sufinanciranja.  </w:t>
      </w:r>
    </w:p>
    <w:p w14:paraId="7292989E" w14:textId="77777777" w:rsidR="00E541EE" w:rsidRDefault="00E541EE" w:rsidP="00E541EE">
      <w:pPr>
        <w:jc w:val="both"/>
        <w:rPr>
          <w:rFonts w:ascii="Arial" w:eastAsia="Times New Roman" w:hAnsi="Arial" w:cs="Arial"/>
          <w:sz w:val="24"/>
          <w:szCs w:val="24"/>
        </w:rPr>
      </w:pPr>
      <w:r>
        <w:rPr>
          <w:rFonts w:ascii="Arial" w:eastAsia="Times New Roman" w:hAnsi="Arial" w:cs="Arial"/>
          <w:b/>
          <w:sz w:val="24"/>
          <w:szCs w:val="24"/>
        </w:rPr>
        <w:t xml:space="preserve">Pokazatelj uspješnosti: </w:t>
      </w:r>
      <w:r>
        <w:rPr>
          <w:rFonts w:ascii="Arial" w:eastAsia="Times New Roman" w:hAnsi="Arial" w:cs="Arial"/>
          <w:sz w:val="24"/>
          <w:szCs w:val="24"/>
        </w:rPr>
        <w:t>realizirana manifestacija.</w:t>
      </w:r>
    </w:p>
    <w:p w14:paraId="7CF5E8D2" w14:textId="77777777" w:rsidR="00E541EE" w:rsidRDefault="00E541EE" w:rsidP="00E541EE">
      <w:pPr>
        <w:jc w:val="both"/>
        <w:rPr>
          <w:rFonts w:ascii="Arial" w:eastAsia="Times New Roman" w:hAnsi="Arial" w:cs="Arial"/>
          <w:sz w:val="24"/>
          <w:szCs w:val="24"/>
        </w:rPr>
      </w:pPr>
    </w:p>
    <w:p w14:paraId="00F1B136" w14:textId="77777777" w:rsidR="00E541EE" w:rsidRPr="00460F4A"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460F4A">
        <w:rPr>
          <w:rFonts w:ascii="Arial" w:eastAsia="Times New Roman" w:hAnsi="Arial" w:cs="Arial"/>
          <w:b/>
          <w:bCs/>
          <w:sz w:val="24"/>
          <w:szCs w:val="24"/>
        </w:rPr>
        <w:t xml:space="preserve">A 100808: Rovinjski festival supe = 4.500,00 </w:t>
      </w:r>
      <w:r>
        <w:rPr>
          <w:rFonts w:ascii="Arial" w:eastAsia="Times New Roman" w:hAnsi="Arial" w:cs="Arial"/>
          <w:b/>
          <w:bCs/>
          <w:sz w:val="24"/>
          <w:szCs w:val="24"/>
        </w:rPr>
        <w:t>EUR</w:t>
      </w:r>
    </w:p>
    <w:p w14:paraId="53280DE7" w14:textId="77777777" w:rsidR="00E541EE" w:rsidRDefault="00E541EE" w:rsidP="00E541EE">
      <w:pPr>
        <w:jc w:val="both"/>
        <w:rPr>
          <w:rFonts w:ascii="Arial" w:eastAsia="Times New Roman" w:hAnsi="Arial" w:cs="Arial"/>
          <w:bCs/>
          <w:sz w:val="24"/>
          <w:szCs w:val="24"/>
        </w:rPr>
      </w:pPr>
      <w:r>
        <w:rPr>
          <w:rFonts w:ascii="Arial" w:eastAsia="Times New Roman" w:hAnsi="Arial" w:cs="Arial"/>
          <w:b/>
          <w:bCs/>
          <w:sz w:val="24"/>
          <w:szCs w:val="24"/>
        </w:rPr>
        <w:t xml:space="preserve">Zakonska osnova: </w:t>
      </w:r>
      <w:r w:rsidRPr="009D69C2">
        <w:rPr>
          <w:rFonts w:ascii="Arial" w:hAnsi="Arial" w:cs="Arial"/>
          <w:bCs/>
          <w:color w:val="000000"/>
          <w:sz w:val="24"/>
          <w:szCs w:val="24"/>
        </w:rPr>
        <w:t>Zakon o udrugama</w:t>
      </w:r>
      <w:r>
        <w:rPr>
          <w:rFonts w:ascii="Arial" w:hAnsi="Arial" w:cs="Arial"/>
          <w:bCs/>
          <w:color w:val="000000"/>
          <w:sz w:val="24"/>
          <w:szCs w:val="24"/>
        </w:rPr>
        <w:t>,</w:t>
      </w:r>
      <w:r w:rsidRPr="009D69C2">
        <w:rPr>
          <w:rFonts w:ascii="Arial" w:hAnsi="Arial" w:cs="Arial"/>
          <w:bCs/>
          <w:color w:val="000000"/>
          <w:sz w:val="24"/>
          <w:szCs w:val="24"/>
        </w:rPr>
        <w:t xml:space="preserve"> </w:t>
      </w:r>
      <w:r w:rsidRPr="001E0C22">
        <w:rPr>
          <w:rFonts w:ascii="Arial" w:hAnsi="Arial" w:cs="Arial"/>
          <w:bCs/>
          <w:color w:val="000000"/>
          <w:sz w:val="24"/>
          <w:szCs w:val="24"/>
        </w:rPr>
        <w:t>Pravilnik o financiranju programa, projekata i manifestacija koje provode organizacije civilnog društva</w:t>
      </w:r>
      <w:r>
        <w:rPr>
          <w:rFonts w:ascii="Arial" w:eastAsia="Times New Roman" w:hAnsi="Arial" w:cs="Arial"/>
          <w:bCs/>
          <w:sz w:val="24"/>
          <w:szCs w:val="24"/>
        </w:rPr>
        <w:t>, Program potpore poljoprivredi i ruralnom razvoju Grada Rovinja-Rovigno.</w:t>
      </w:r>
    </w:p>
    <w:p w14:paraId="42AA33FB" w14:textId="77777777" w:rsidR="00E541EE" w:rsidRDefault="00E541EE" w:rsidP="00E541EE">
      <w:pPr>
        <w:jc w:val="both"/>
      </w:pPr>
      <w:r w:rsidRPr="0049543D">
        <w:rPr>
          <w:rFonts w:ascii="Arial" w:eastAsia="Times New Roman" w:hAnsi="Arial" w:cs="Arial"/>
          <w:b/>
          <w:sz w:val="24"/>
          <w:szCs w:val="24"/>
        </w:rPr>
        <w:t>Opis:</w:t>
      </w:r>
      <w:r>
        <w:rPr>
          <w:rFonts w:ascii="Arial" w:eastAsia="Times New Roman" w:hAnsi="Arial" w:cs="Arial"/>
          <w:sz w:val="24"/>
          <w:szCs w:val="24"/>
        </w:rPr>
        <w:t xml:space="preserve"> poticanje razvoja poljoprivrede kao jedne od gospodarskih grana, putem </w:t>
      </w:r>
      <w:r>
        <w:rPr>
          <w:rFonts w:ascii="Arial" w:eastAsia="Times New Roman" w:hAnsi="Arial" w:cs="Arial"/>
          <w:bCs/>
          <w:sz w:val="24"/>
          <w:szCs w:val="24"/>
        </w:rPr>
        <w:t xml:space="preserve">Program potpore poljoprivredi i ruralnom razvoju Grada Rovinja-Rovigno što uključuje između ostalog </w:t>
      </w:r>
      <w:r>
        <w:rPr>
          <w:rFonts w:ascii="Arial" w:eastAsia="Times New Roman" w:hAnsi="Arial" w:cs="Arial"/>
          <w:sz w:val="24"/>
          <w:szCs w:val="24"/>
        </w:rPr>
        <w:t xml:space="preserve">sufinanciranje organizacije programa i manifestacija kao što je </w:t>
      </w:r>
      <w:r>
        <w:rPr>
          <w:rFonts w:ascii="Arial" w:eastAsia="Times New Roman" w:hAnsi="Arial" w:cs="Arial"/>
          <w:i/>
          <w:iCs/>
          <w:sz w:val="24"/>
          <w:szCs w:val="24"/>
          <w:shd w:val="clear" w:color="auto" w:fill="FFFFFF"/>
        </w:rPr>
        <w:t xml:space="preserve">Rovinjski festival supe – </w:t>
      </w:r>
      <w:r>
        <w:rPr>
          <w:rFonts w:ascii="Arial" w:eastAsia="Times New Roman" w:hAnsi="Arial" w:cs="Arial"/>
          <w:sz w:val="24"/>
          <w:szCs w:val="24"/>
          <w:shd w:val="clear" w:color="auto" w:fill="FFFFFF"/>
        </w:rPr>
        <w:t>koja se održava u Rovinju i koja ima za cilj promovirati supu kao tradicijski specijalitet, za što se očekuje dobra posječenost od strane domaćeg stanovništva i stranih gostiju.</w:t>
      </w:r>
    </w:p>
    <w:p w14:paraId="1698FA0E" w14:textId="77777777" w:rsidR="00E541EE" w:rsidRPr="009D69C2" w:rsidRDefault="00E541EE" w:rsidP="00E541EE">
      <w:pPr>
        <w:jc w:val="both"/>
        <w:rPr>
          <w:rFonts w:ascii="Arial" w:eastAsia="Times New Roman" w:hAnsi="Arial" w:cs="Arial"/>
          <w:sz w:val="24"/>
          <w:szCs w:val="24"/>
        </w:rPr>
      </w:pPr>
      <w:r>
        <w:rPr>
          <w:rFonts w:ascii="Arial" w:eastAsia="Times New Roman" w:hAnsi="Arial" w:cs="Arial"/>
          <w:b/>
          <w:sz w:val="24"/>
          <w:szCs w:val="24"/>
        </w:rPr>
        <w:t xml:space="preserve">Opći cilj: </w:t>
      </w:r>
      <w:r>
        <w:rPr>
          <w:rFonts w:ascii="Arial" w:eastAsia="Times New Roman" w:hAnsi="Arial" w:cs="Arial"/>
          <w:sz w:val="24"/>
          <w:szCs w:val="24"/>
        </w:rPr>
        <w:t>p</w:t>
      </w:r>
      <w:r w:rsidRPr="009D69C2">
        <w:rPr>
          <w:rFonts w:ascii="Arial" w:eastAsia="Times New Roman" w:hAnsi="Arial" w:cs="Arial"/>
          <w:sz w:val="24"/>
          <w:szCs w:val="24"/>
        </w:rPr>
        <w:t>oticati organizacije civilnog društva na osmišljavanje i provedbu aktivnosti i programa s posebnim naglaskom na poljoprivredu.</w:t>
      </w:r>
    </w:p>
    <w:p w14:paraId="05BDA4B6" w14:textId="77777777" w:rsidR="00E541EE" w:rsidRDefault="00E541EE" w:rsidP="00E541EE">
      <w:pPr>
        <w:jc w:val="both"/>
        <w:rPr>
          <w:rFonts w:ascii="Arial" w:eastAsia="Times New Roman" w:hAnsi="Arial" w:cs="Arial"/>
          <w:sz w:val="24"/>
          <w:szCs w:val="24"/>
        </w:rPr>
      </w:pPr>
      <w:r>
        <w:rPr>
          <w:rFonts w:ascii="Arial" w:eastAsia="Times New Roman" w:hAnsi="Arial" w:cs="Arial"/>
          <w:b/>
          <w:sz w:val="24"/>
          <w:szCs w:val="24"/>
        </w:rPr>
        <w:t xml:space="preserve">Pokazatelj uspješnosti: </w:t>
      </w:r>
      <w:r>
        <w:rPr>
          <w:rFonts w:ascii="Arial" w:eastAsia="Times New Roman" w:hAnsi="Arial" w:cs="Arial"/>
          <w:sz w:val="24"/>
          <w:szCs w:val="24"/>
        </w:rPr>
        <w:t>realizirana manifestacija.</w:t>
      </w:r>
    </w:p>
    <w:p w14:paraId="57648161" w14:textId="77777777" w:rsidR="00E541EE" w:rsidRDefault="00E541EE" w:rsidP="00E541EE">
      <w:pPr>
        <w:jc w:val="both"/>
        <w:rPr>
          <w:rFonts w:ascii="Arial" w:eastAsia="Times New Roman" w:hAnsi="Arial" w:cs="Arial"/>
          <w:sz w:val="24"/>
          <w:szCs w:val="24"/>
        </w:rPr>
      </w:pPr>
    </w:p>
    <w:p w14:paraId="45C446F8" w14:textId="77777777" w:rsidR="00E541EE" w:rsidRPr="00460F4A"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Pr>
          <w:rFonts w:ascii="Arial" w:eastAsia="Times New Roman" w:hAnsi="Arial" w:cs="Arial"/>
          <w:b/>
          <w:bCs/>
          <w:sz w:val="24"/>
          <w:szCs w:val="24"/>
        </w:rPr>
        <w:t>T</w:t>
      </w:r>
      <w:r w:rsidRPr="00460F4A">
        <w:rPr>
          <w:rFonts w:ascii="Arial" w:eastAsia="Times New Roman" w:hAnsi="Arial" w:cs="Arial"/>
          <w:b/>
          <w:bCs/>
          <w:sz w:val="24"/>
          <w:szCs w:val="24"/>
        </w:rPr>
        <w:t xml:space="preserve"> 100</w:t>
      </w:r>
      <w:r>
        <w:rPr>
          <w:rFonts w:ascii="Arial" w:eastAsia="Times New Roman" w:hAnsi="Arial" w:cs="Arial"/>
          <w:b/>
          <w:bCs/>
          <w:sz w:val="24"/>
          <w:szCs w:val="24"/>
        </w:rPr>
        <w:t>802</w:t>
      </w:r>
      <w:r w:rsidRPr="00460F4A">
        <w:rPr>
          <w:rFonts w:ascii="Arial" w:eastAsia="Times New Roman" w:hAnsi="Arial" w:cs="Arial"/>
          <w:b/>
          <w:bCs/>
          <w:sz w:val="24"/>
          <w:szCs w:val="24"/>
        </w:rPr>
        <w:t xml:space="preserve">: </w:t>
      </w:r>
      <w:r>
        <w:rPr>
          <w:rFonts w:ascii="Arial" w:eastAsia="Times New Roman" w:hAnsi="Arial" w:cs="Arial"/>
          <w:b/>
          <w:bCs/>
          <w:sz w:val="24"/>
          <w:szCs w:val="24"/>
        </w:rPr>
        <w:t xml:space="preserve">Program očuvanja istarske koze </w:t>
      </w:r>
      <w:r w:rsidRPr="00460F4A">
        <w:rPr>
          <w:rFonts w:ascii="Arial" w:eastAsia="Times New Roman" w:hAnsi="Arial" w:cs="Arial"/>
          <w:b/>
          <w:bCs/>
          <w:sz w:val="24"/>
          <w:szCs w:val="24"/>
        </w:rPr>
        <w:t xml:space="preserve">= 500,00 </w:t>
      </w:r>
      <w:r>
        <w:rPr>
          <w:rFonts w:ascii="Arial" w:eastAsia="Times New Roman" w:hAnsi="Arial" w:cs="Arial"/>
          <w:b/>
          <w:bCs/>
          <w:sz w:val="24"/>
          <w:szCs w:val="24"/>
        </w:rPr>
        <w:t>EUR</w:t>
      </w:r>
    </w:p>
    <w:p w14:paraId="15E3850B" w14:textId="77777777" w:rsidR="00E541EE" w:rsidRDefault="00E541EE" w:rsidP="00E541EE">
      <w:pPr>
        <w:jc w:val="both"/>
        <w:rPr>
          <w:rFonts w:ascii="Arial" w:eastAsia="Times New Roman" w:hAnsi="Arial" w:cs="Arial"/>
          <w:bCs/>
          <w:sz w:val="24"/>
          <w:szCs w:val="24"/>
        </w:rPr>
      </w:pPr>
      <w:r>
        <w:rPr>
          <w:rFonts w:ascii="Arial" w:eastAsia="Times New Roman" w:hAnsi="Arial" w:cs="Arial"/>
          <w:b/>
          <w:bCs/>
          <w:sz w:val="24"/>
          <w:szCs w:val="24"/>
        </w:rPr>
        <w:t xml:space="preserve">Zakonska osnova: </w:t>
      </w:r>
      <w:r>
        <w:rPr>
          <w:rFonts w:ascii="Arial" w:hAnsi="Arial" w:cs="Arial"/>
          <w:bCs/>
          <w:color w:val="000000"/>
          <w:sz w:val="24"/>
          <w:szCs w:val="24"/>
        </w:rPr>
        <w:t>Ugovor o donaciji sa Agencijom za ruralni razvoj Istre d.o.o.</w:t>
      </w:r>
    </w:p>
    <w:p w14:paraId="5473AE84" w14:textId="77777777" w:rsidR="00E541EE" w:rsidRPr="009228D9" w:rsidRDefault="00E541EE" w:rsidP="00E541EE">
      <w:pPr>
        <w:jc w:val="both"/>
        <w:rPr>
          <w:rFonts w:ascii="Arial" w:eastAsia="Times New Roman" w:hAnsi="Arial" w:cs="Arial"/>
          <w:sz w:val="24"/>
          <w:szCs w:val="24"/>
        </w:rPr>
      </w:pPr>
      <w:r w:rsidRPr="0049543D">
        <w:rPr>
          <w:rFonts w:ascii="Arial" w:eastAsia="Times New Roman" w:hAnsi="Arial" w:cs="Arial"/>
          <w:b/>
          <w:sz w:val="24"/>
          <w:szCs w:val="24"/>
        </w:rPr>
        <w:t>Opis:</w:t>
      </w:r>
      <w:r>
        <w:rPr>
          <w:rFonts w:ascii="Arial" w:eastAsia="Times New Roman" w:hAnsi="Arial" w:cs="Arial"/>
          <w:sz w:val="24"/>
          <w:szCs w:val="24"/>
        </w:rPr>
        <w:t xml:space="preserve"> Program očuvanja istarske koze </w:t>
      </w:r>
      <w:r w:rsidRPr="009228D9">
        <w:rPr>
          <w:rFonts w:ascii="Arial" w:eastAsia="Times New Roman" w:hAnsi="Arial" w:cs="Arial"/>
          <w:sz w:val="24"/>
          <w:szCs w:val="24"/>
        </w:rPr>
        <w:t>pridon</w:t>
      </w:r>
      <w:r>
        <w:rPr>
          <w:rFonts w:ascii="Arial" w:eastAsia="Times New Roman" w:hAnsi="Arial" w:cs="Arial"/>
          <w:sz w:val="24"/>
          <w:szCs w:val="24"/>
        </w:rPr>
        <w:t>o</w:t>
      </w:r>
      <w:r w:rsidRPr="009228D9">
        <w:rPr>
          <w:rFonts w:ascii="Arial" w:eastAsia="Times New Roman" w:hAnsi="Arial" w:cs="Arial"/>
          <w:sz w:val="24"/>
          <w:szCs w:val="24"/>
        </w:rPr>
        <w:t>si očuvanju istarske koze kao autohtone pasmine kroz potpomaganje istarskih uzgajivača, na način da pojedinci donacijom postanu počasni “posvojitelji“ svoje jedinke istarske koze ili da postanu „podržavate</w:t>
      </w:r>
      <w:r>
        <w:rPr>
          <w:rFonts w:ascii="Arial" w:eastAsia="Times New Roman" w:hAnsi="Arial" w:cs="Arial"/>
          <w:sz w:val="24"/>
          <w:szCs w:val="24"/>
        </w:rPr>
        <w:t>lji</w:t>
      </w:r>
      <w:r w:rsidRPr="009228D9">
        <w:rPr>
          <w:rFonts w:ascii="Arial" w:eastAsia="Times New Roman" w:hAnsi="Arial" w:cs="Arial"/>
          <w:sz w:val="24"/>
          <w:szCs w:val="24"/>
        </w:rPr>
        <w:t>“ programa. Putem ove inicijative osigurava se ekonomska isplativost uzgoja istarske koze s obzirom na mali broje jedinki i nepostojanje gospodarskog programa</w:t>
      </w:r>
      <w:r>
        <w:rPr>
          <w:rFonts w:ascii="Arial" w:eastAsia="Times New Roman" w:hAnsi="Arial" w:cs="Arial"/>
          <w:sz w:val="24"/>
          <w:szCs w:val="24"/>
        </w:rPr>
        <w:t xml:space="preserve">. </w:t>
      </w:r>
    </w:p>
    <w:p w14:paraId="74FAEEA4" w14:textId="77777777" w:rsidR="00E541EE" w:rsidRPr="009D69C2" w:rsidRDefault="00E541EE" w:rsidP="00E541EE">
      <w:pPr>
        <w:jc w:val="both"/>
        <w:rPr>
          <w:rFonts w:ascii="Arial" w:eastAsia="Times New Roman" w:hAnsi="Arial" w:cs="Arial"/>
          <w:sz w:val="24"/>
          <w:szCs w:val="24"/>
        </w:rPr>
      </w:pPr>
      <w:r>
        <w:rPr>
          <w:rFonts w:ascii="Arial" w:eastAsia="Times New Roman" w:hAnsi="Arial" w:cs="Arial"/>
          <w:b/>
          <w:sz w:val="24"/>
          <w:szCs w:val="24"/>
        </w:rPr>
        <w:t xml:space="preserve">Opći cilj: </w:t>
      </w:r>
      <w:r>
        <w:rPr>
          <w:rFonts w:ascii="Arial" w:eastAsia="Times New Roman" w:hAnsi="Arial" w:cs="Arial"/>
          <w:sz w:val="24"/>
          <w:szCs w:val="24"/>
        </w:rPr>
        <w:t>o</w:t>
      </w:r>
      <w:r w:rsidRPr="009228D9">
        <w:rPr>
          <w:rFonts w:ascii="Arial" w:eastAsia="Times New Roman" w:hAnsi="Arial" w:cs="Arial"/>
          <w:sz w:val="24"/>
          <w:szCs w:val="24"/>
        </w:rPr>
        <w:t>stanak ljudi na selu i povećanje broja uzgajivača uz očuvanje istarske koze kao autohtone pasmine istarskog poluotoka</w:t>
      </w:r>
      <w:r>
        <w:rPr>
          <w:rFonts w:ascii="Arial" w:eastAsia="Times New Roman" w:hAnsi="Arial" w:cs="Arial"/>
          <w:sz w:val="24"/>
          <w:szCs w:val="24"/>
        </w:rPr>
        <w:t xml:space="preserve">, </w:t>
      </w:r>
      <w:r w:rsidRPr="009228D9">
        <w:rPr>
          <w:rFonts w:ascii="Arial" w:eastAsia="Times New Roman" w:hAnsi="Arial" w:cs="Arial"/>
          <w:sz w:val="24"/>
          <w:szCs w:val="24"/>
        </w:rPr>
        <w:t>čime se u konačnici doprinosi očuvanju ruralnog prostora Istre.</w:t>
      </w:r>
    </w:p>
    <w:p w14:paraId="59A210F9" w14:textId="77777777" w:rsidR="00E541EE" w:rsidRDefault="00E541EE" w:rsidP="00E541EE">
      <w:pPr>
        <w:jc w:val="both"/>
        <w:rPr>
          <w:rFonts w:ascii="Arial" w:eastAsia="Times New Roman" w:hAnsi="Arial" w:cs="Arial"/>
          <w:sz w:val="24"/>
          <w:szCs w:val="24"/>
        </w:rPr>
      </w:pPr>
      <w:r>
        <w:rPr>
          <w:rFonts w:ascii="Arial" w:eastAsia="Times New Roman" w:hAnsi="Arial" w:cs="Arial"/>
          <w:b/>
          <w:sz w:val="24"/>
          <w:szCs w:val="24"/>
        </w:rPr>
        <w:t xml:space="preserve">Pokazatelj uspješnosti: </w:t>
      </w:r>
      <w:r>
        <w:rPr>
          <w:rFonts w:ascii="Arial" w:eastAsia="Times New Roman" w:hAnsi="Arial" w:cs="Arial"/>
          <w:sz w:val="24"/>
          <w:szCs w:val="24"/>
        </w:rPr>
        <w:t>realiziran program.</w:t>
      </w:r>
    </w:p>
    <w:p w14:paraId="397202FD" w14:textId="77777777" w:rsidR="00E541EE" w:rsidRDefault="00E541EE" w:rsidP="00E541EE">
      <w:pPr>
        <w:rPr>
          <w:rFonts w:ascii="Arial" w:eastAsia="Times New Roman" w:hAnsi="Arial" w:cs="Arial"/>
          <w:b/>
          <w:sz w:val="24"/>
          <w:szCs w:val="24"/>
        </w:rPr>
      </w:pPr>
    </w:p>
    <w:p w14:paraId="65E97847" w14:textId="77777777" w:rsidR="00E541EE" w:rsidRPr="00A977FA" w:rsidRDefault="00E541EE" w:rsidP="00E541E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80"/>
        <w:jc w:val="both"/>
        <w:rPr>
          <w:rFonts w:ascii="Arial" w:eastAsia="Times New Roman" w:hAnsi="Arial" w:cs="Arial"/>
          <w:b/>
          <w:bCs/>
          <w:sz w:val="24"/>
          <w:szCs w:val="24"/>
        </w:rPr>
      </w:pPr>
      <w:r w:rsidRPr="000855E6">
        <w:rPr>
          <w:rFonts w:ascii="Arial" w:eastAsia="Times New Roman" w:hAnsi="Arial" w:cs="Arial"/>
          <w:b/>
          <w:bCs/>
          <w:sz w:val="24"/>
          <w:szCs w:val="24"/>
        </w:rPr>
        <w:t xml:space="preserve">Program </w:t>
      </w:r>
      <w:r w:rsidRPr="00A977FA">
        <w:rPr>
          <w:rFonts w:ascii="Arial" w:eastAsia="Times New Roman" w:hAnsi="Arial" w:cs="Arial"/>
          <w:b/>
          <w:bCs/>
          <w:sz w:val="24"/>
          <w:szCs w:val="24"/>
        </w:rPr>
        <w:t xml:space="preserve">1009: </w:t>
      </w:r>
      <w:r>
        <w:rPr>
          <w:rFonts w:ascii="Arial" w:eastAsia="Times New Roman" w:hAnsi="Arial" w:cs="Arial"/>
          <w:b/>
          <w:bCs/>
          <w:sz w:val="24"/>
          <w:szCs w:val="24"/>
        </w:rPr>
        <w:t>Zaštita okoliša = 3.888.649,50</w:t>
      </w:r>
      <w:r w:rsidRPr="00A977FA">
        <w:rPr>
          <w:rFonts w:ascii="Arial" w:eastAsia="Times New Roman" w:hAnsi="Arial" w:cs="Arial"/>
          <w:b/>
          <w:bCs/>
          <w:sz w:val="24"/>
          <w:szCs w:val="24"/>
        </w:rPr>
        <w:t xml:space="preserve"> </w:t>
      </w:r>
      <w:r>
        <w:rPr>
          <w:rFonts w:ascii="Arial" w:eastAsia="Times New Roman" w:hAnsi="Arial" w:cs="Arial"/>
          <w:b/>
          <w:bCs/>
          <w:sz w:val="24"/>
          <w:szCs w:val="24"/>
        </w:rPr>
        <w:t xml:space="preserve">EUR </w:t>
      </w:r>
    </w:p>
    <w:p w14:paraId="48B829DD" w14:textId="77777777" w:rsidR="00E541EE" w:rsidRDefault="00E541EE" w:rsidP="00E541EE">
      <w:pPr>
        <w:jc w:val="both"/>
        <w:rPr>
          <w:rFonts w:ascii="Arial" w:eastAsia="Times New Roman" w:hAnsi="Arial" w:cs="Arial"/>
          <w:b/>
          <w:bCs/>
          <w:sz w:val="24"/>
          <w:szCs w:val="24"/>
        </w:rPr>
      </w:pPr>
    </w:p>
    <w:tbl>
      <w:tblPr>
        <w:tblW w:w="103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8"/>
        <w:gridCol w:w="870"/>
        <w:gridCol w:w="1134"/>
        <w:gridCol w:w="879"/>
        <w:gridCol w:w="948"/>
        <w:gridCol w:w="866"/>
        <w:gridCol w:w="992"/>
        <w:gridCol w:w="973"/>
        <w:gridCol w:w="567"/>
        <w:gridCol w:w="567"/>
        <w:gridCol w:w="845"/>
      </w:tblGrid>
      <w:tr w:rsidR="00E541EE" w14:paraId="0F9CC166" w14:textId="77777777" w:rsidTr="00807E36">
        <w:trPr>
          <w:trHeight w:val="638"/>
          <w:jc w:val="center"/>
        </w:trPr>
        <w:tc>
          <w:tcPr>
            <w:tcW w:w="1708" w:type="dxa"/>
            <w:vMerge w:val="restart"/>
            <w:vAlign w:val="center"/>
          </w:tcPr>
          <w:p w14:paraId="5C2AD69B" w14:textId="77777777" w:rsidR="00E541EE" w:rsidRPr="00E11721" w:rsidRDefault="00E541EE" w:rsidP="00A84BB5">
            <w:pPr>
              <w:pStyle w:val="TableParagraph"/>
              <w:spacing w:before="49"/>
              <w:ind w:left="44" w:right="35"/>
              <w:jc w:val="center"/>
              <w:rPr>
                <w:b/>
                <w:sz w:val="15"/>
                <w:szCs w:val="15"/>
              </w:rPr>
            </w:pPr>
            <w:r w:rsidRPr="00E11721">
              <w:rPr>
                <w:b/>
                <w:sz w:val="15"/>
                <w:szCs w:val="15"/>
              </w:rPr>
              <w:t>Doprinos</w:t>
            </w:r>
            <w:r w:rsidRPr="00E11721">
              <w:rPr>
                <w:b/>
                <w:spacing w:val="-34"/>
                <w:sz w:val="15"/>
                <w:szCs w:val="15"/>
              </w:rPr>
              <w:t xml:space="preserve"> </w:t>
            </w:r>
            <w:r w:rsidRPr="00E11721">
              <w:rPr>
                <w:b/>
                <w:sz w:val="15"/>
                <w:szCs w:val="15"/>
              </w:rPr>
              <w:t>provedbi</w:t>
            </w:r>
          </w:p>
          <w:p w14:paraId="7277D18C" w14:textId="77777777" w:rsidR="00E541EE" w:rsidRPr="00E11721" w:rsidRDefault="00E541EE" w:rsidP="00A84BB5">
            <w:pPr>
              <w:pStyle w:val="TableParagraph"/>
              <w:spacing w:line="194" w:lineRule="exact"/>
              <w:ind w:left="44" w:right="35"/>
              <w:jc w:val="center"/>
              <w:rPr>
                <w:b/>
                <w:sz w:val="15"/>
                <w:szCs w:val="15"/>
              </w:rPr>
            </w:pPr>
            <w:r w:rsidRPr="00E11721">
              <w:rPr>
                <w:b/>
                <w:sz w:val="15"/>
                <w:szCs w:val="15"/>
              </w:rPr>
              <w:t>nadređenog</w:t>
            </w:r>
          </w:p>
          <w:p w14:paraId="79AECE82" w14:textId="77777777" w:rsidR="00E541EE" w:rsidRPr="00E11721" w:rsidRDefault="00E541EE" w:rsidP="00A84BB5">
            <w:pPr>
              <w:pStyle w:val="TableParagraph"/>
              <w:spacing w:line="195" w:lineRule="exact"/>
              <w:ind w:left="44" w:right="35"/>
              <w:jc w:val="center"/>
              <w:rPr>
                <w:b/>
                <w:sz w:val="15"/>
                <w:szCs w:val="15"/>
              </w:rPr>
            </w:pPr>
            <w:r w:rsidRPr="00E11721">
              <w:rPr>
                <w:b/>
                <w:sz w:val="15"/>
                <w:szCs w:val="15"/>
              </w:rPr>
              <w:t>akta</w:t>
            </w:r>
            <w:r w:rsidRPr="00E11721">
              <w:rPr>
                <w:b/>
                <w:spacing w:val="1"/>
                <w:sz w:val="15"/>
                <w:szCs w:val="15"/>
              </w:rPr>
              <w:t xml:space="preserve"> </w:t>
            </w:r>
            <w:r w:rsidRPr="00E11721">
              <w:rPr>
                <w:b/>
                <w:sz w:val="15"/>
                <w:szCs w:val="15"/>
              </w:rPr>
              <w:t>strateškog</w:t>
            </w:r>
            <w:r w:rsidRPr="00E11721">
              <w:rPr>
                <w:b/>
                <w:spacing w:val="-34"/>
                <w:sz w:val="15"/>
                <w:szCs w:val="15"/>
              </w:rPr>
              <w:t xml:space="preserve"> </w:t>
            </w:r>
            <w:r w:rsidRPr="00E11721">
              <w:rPr>
                <w:b/>
                <w:sz w:val="15"/>
                <w:szCs w:val="15"/>
              </w:rPr>
              <w:t>planiranja</w:t>
            </w:r>
          </w:p>
        </w:tc>
        <w:tc>
          <w:tcPr>
            <w:tcW w:w="870" w:type="dxa"/>
            <w:vMerge w:val="restart"/>
            <w:vAlign w:val="center"/>
          </w:tcPr>
          <w:p w14:paraId="42354BBC" w14:textId="77777777" w:rsidR="00E541EE" w:rsidRPr="00E11721" w:rsidRDefault="00E541EE" w:rsidP="00A84BB5">
            <w:pPr>
              <w:pStyle w:val="TableParagraph"/>
              <w:spacing w:line="195" w:lineRule="exact"/>
              <w:ind w:left="44" w:right="35"/>
              <w:jc w:val="center"/>
              <w:rPr>
                <w:b/>
                <w:sz w:val="15"/>
                <w:szCs w:val="15"/>
              </w:rPr>
            </w:pPr>
            <w:r w:rsidRPr="00E11721">
              <w:rPr>
                <w:b/>
                <w:sz w:val="15"/>
                <w:szCs w:val="15"/>
              </w:rPr>
              <w:t>Naziv</w:t>
            </w:r>
            <w:r w:rsidRPr="00E11721">
              <w:rPr>
                <w:b/>
                <w:spacing w:val="-3"/>
                <w:sz w:val="15"/>
                <w:szCs w:val="15"/>
              </w:rPr>
              <w:t xml:space="preserve"> </w:t>
            </w:r>
            <w:r w:rsidRPr="00E11721">
              <w:rPr>
                <w:b/>
                <w:sz w:val="15"/>
                <w:szCs w:val="15"/>
              </w:rPr>
              <w:t>cilja nadređenog</w:t>
            </w:r>
            <w:r w:rsidRPr="00E11721">
              <w:rPr>
                <w:b/>
                <w:spacing w:val="1"/>
                <w:sz w:val="15"/>
                <w:szCs w:val="15"/>
              </w:rPr>
              <w:t xml:space="preserve"> </w:t>
            </w:r>
            <w:r w:rsidRPr="00E11721">
              <w:rPr>
                <w:b/>
                <w:spacing w:val="-1"/>
                <w:sz w:val="15"/>
                <w:szCs w:val="15"/>
              </w:rPr>
              <w:t>akta</w:t>
            </w:r>
            <w:r w:rsidRPr="00E11721">
              <w:rPr>
                <w:b/>
                <w:spacing w:val="-2"/>
                <w:sz w:val="15"/>
                <w:szCs w:val="15"/>
              </w:rPr>
              <w:t xml:space="preserve"> </w:t>
            </w:r>
            <w:r w:rsidRPr="00E11721">
              <w:rPr>
                <w:b/>
                <w:spacing w:val="-1"/>
                <w:sz w:val="15"/>
                <w:szCs w:val="15"/>
              </w:rPr>
              <w:t xml:space="preserve">strateškog </w:t>
            </w:r>
            <w:r w:rsidRPr="00E11721">
              <w:rPr>
                <w:b/>
                <w:sz w:val="15"/>
                <w:szCs w:val="15"/>
              </w:rPr>
              <w:t>planiranja</w:t>
            </w:r>
          </w:p>
        </w:tc>
        <w:tc>
          <w:tcPr>
            <w:tcW w:w="1134" w:type="dxa"/>
            <w:vMerge w:val="restart"/>
            <w:vAlign w:val="center"/>
          </w:tcPr>
          <w:p w14:paraId="11A7448A" w14:textId="77777777" w:rsidR="00E541EE" w:rsidRPr="00E11721" w:rsidRDefault="00E541EE" w:rsidP="00A84BB5">
            <w:pPr>
              <w:pStyle w:val="TableParagraph"/>
              <w:ind w:left="125" w:right="114"/>
              <w:jc w:val="center"/>
              <w:rPr>
                <w:b/>
                <w:sz w:val="15"/>
                <w:szCs w:val="15"/>
              </w:rPr>
            </w:pPr>
            <w:r w:rsidRPr="00E11721">
              <w:rPr>
                <w:b/>
                <w:spacing w:val="-1"/>
                <w:sz w:val="15"/>
                <w:szCs w:val="15"/>
              </w:rPr>
              <w:t xml:space="preserve">Program </w:t>
            </w:r>
            <w:r w:rsidRPr="00E11721">
              <w:rPr>
                <w:b/>
                <w:sz w:val="15"/>
                <w:szCs w:val="15"/>
              </w:rPr>
              <w:t>u</w:t>
            </w:r>
            <w:r w:rsidRPr="00E11721">
              <w:rPr>
                <w:b/>
                <w:spacing w:val="-34"/>
                <w:sz w:val="15"/>
                <w:szCs w:val="15"/>
              </w:rPr>
              <w:t xml:space="preserve"> </w:t>
            </w:r>
            <w:r w:rsidRPr="00E11721">
              <w:rPr>
                <w:b/>
                <w:sz w:val="15"/>
                <w:szCs w:val="15"/>
              </w:rPr>
              <w:t xml:space="preserve">proračunu </w:t>
            </w:r>
            <w:r w:rsidRPr="00E11721">
              <w:rPr>
                <w:b/>
                <w:spacing w:val="-34"/>
                <w:sz w:val="15"/>
                <w:szCs w:val="15"/>
              </w:rPr>
              <w:t xml:space="preserve"> </w:t>
            </w:r>
            <w:r w:rsidRPr="00E11721">
              <w:rPr>
                <w:b/>
                <w:sz w:val="15"/>
                <w:szCs w:val="15"/>
              </w:rPr>
              <w:t>JLS</w:t>
            </w:r>
          </w:p>
        </w:tc>
        <w:tc>
          <w:tcPr>
            <w:tcW w:w="879" w:type="dxa"/>
            <w:vMerge w:val="restart"/>
            <w:vAlign w:val="center"/>
          </w:tcPr>
          <w:p w14:paraId="58FD226C" w14:textId="77777777" w:rsidR="00E541EE" w:rsidRPr="00E11721" w:rsidRDefault="00E541EE" w:rsidP="00A84BB5">
            <w:pPr>
              <w:pStyle w:val="TableParagraph"/>
              <w:jc w:val="center"/>
              <w:rPr>
                <w:b/>
                <w:sz w:val="15"/>
                <w:szCs w:val="15"/>
              </w:rPr>
            </w:pPr>
            <w:r w:rsidRPr="00E11721">
              <w:rPr>
                <w:b/>
                <w:sz w:val="15"/>
                <w:szCs w:val="15"/>
              </w:rPr>
              <w:t>Naziv</w:t>
            </w:r>
            <w:r w:rsidRPr="00E11721">
              <w:rPr>
                <w:b/>
                <w:spacing w:val="-2"/>
                <w:sz w:val="15"/>
                <w:szCs w:val="15"/>
              </w:rPr>
              <w:t xml:space="preserve"> </w:t>
            </w:r>
            <w:r w:rsidRPr="00E11721">
              <w:rPr>
                <w:b/>
                <w:sz w:val="15"/>
                <w:szCs w:val="15"/>
              </w:rPr>
              <w:t>mjere</w:t>
            </w:r>
          </w:p>
        </w:tc>
        <w:tc>
          <w:tcPr>
            <w:tcW w:w="948" w:type="dxa"/>
            <w:vMerge w:val="restart"/>
            <w:vAlign w:val="center"/>
          </w:tcPr>
          <w:p w14:paraId="021E5D3C" w14:textId="77777777" w:rsidR="00E541EE" w:rsidRPr="00E11721" w:rsidRDefault="00E541EE" w:rsidP="00A84BB5">
            <w:pPr>
              <w:pStyle w:val="TableParagraph"/>
              <w:jc w:val="center"/>
              <w:rPr>
                <w:b/>
                <w:sz w:val="15"/>
                <w:szCs w:val="15"/>
              </w:rPr>
            </w:pPr>
            <w:r w:rsidRPr="00E11721">
              <w:rPr>
                <w:b/>
                <w:sz w:val="15"/>
                <w:szCs w:val="15"/>
              </w:rPr>
              <w:t>Procijenjeni</w:t>
            </w:r>
            <w:r w:rsidRPr="00E11721">
              <w:rPr>
                <w:b/>
                <w:spacing w:val="-34"/>
                <w:sz w:val="15"/>
                <w:szCs w:val="15"/>
              </w:rPr>
              <w:t xml:space="preserve"> </w:t>
            </w:r>
            <w:r w:rsidRPr="00E11721">
              <w:rPr>
                <w:b/>
                <w:sz w:val="15"/>
                <w:szCs w:val="15"/>
              </w:rPr>
              <w:t>trošak</w:t>
            </w:r>
            <w:r w:rsidRPr="00E11721">
              <w:rPr>
                <w:b/>
                <w:spacing w:val="1"/>
                <w:sz w:val="15"/>
                <w:szCs w:val="15"/>
              </w:rPr>
              <w:t xml:space="preserve"> </w:t>
            </w:r>
            <w:r w:rsidRPr="00E11721">
              <w:rPr>
                <w:b/>
                <w:sz w:val="15"/>
                <w:szCs w:val="15"/>
              </w:rPr>
              <w:t>provedbe</w:t>
            </w:r>
            <w:r w:rsidRPr="00E11721">
              <w:rPr>
                <w:b/>
                <w:spacing w:val="1"/>
                <w:sz w:val="15"/>
                <w:szCs w:val="15"/>
              </w:rPr>
              <w:t xml:space="preserve"> </w:t>
            </w:r>
            <w:r w:rsidRPr="00E11721">
              <w:rPr>
                <w:b/>
                <w:sz w:val="15"/>
                <w:szCs w:val="15"/>
              </w:rPr>
              <w:t>mjere 2025.</w:t>
            </w:r>
          </w:p>
          <w:p w14:paraId="61EB6BA9" w14:textId="77777777" w:rsidR="00E541EE" w:rsidRPr="00E11721" w:rsidRDefault="00E541EE" w:rsidP="00A84BB5">
            <w:pPr>
              <w:pStyle w:val="TableParagraph"/>
              <w:spacing w:before="2"/>
              <w:jc w:val="center"/>
              <w:rPr>
                <w:b/>
                <w:sz w:val="15"/>
                <w:szCs w:val="15"/>
              </w:rPr>
            </w:pPr>
            <w:r w:rsidRPr="00E11721">
              <w:rPr>
                <w:b/>
                <w:sz w:val="15"/>
                <w:szCs w:val="15"/>
              </w:rPr>
              <w:t>(u EUR)</w:t>
            </w:r>
          </w:p>
        </w:tc>
        <w:tc>
          <w:tcPr>
            <w:tcW w:w="866" w:type="dxa"/>
            <w:vMerge w:val="restart"/>
            <w:vAlign w:val="center"/>
          </w:tcPr>
          <w:p w14:paraId="1F8E1A53" w14:textId="77777777" w:rsidR="00E541EE" w:rsidRPr="00E11721" w:rsidRDefault="00E541EE" w:rsidP="00A84BB5">
            <w:pPr>
              <w:pStyle w:val="TableParagraph"/>
              <w:jc w:val="center"/>
              <w:rPr>
                <w:b/>
                <w:sz w:val="15"/>
                <w:szCs w:val="15"/>
              </w:rPr>
            </w:pPr>
            <w:r w:rsidRPr="00E11721">
              <w:rPr>
                <w:b/>
                <w:sz w:val="15"/>
                <w:szCs w:val="15"/>
              </w:rPr>
              <w:t>Ključne</w:t>
            </w:r>
          </w:p>
          <w:p w14:paraId="2994AA29" w14:textId="77777777" w:rsidR="00E541EE" w:rsidRPr="00E11721" w:rsidRDefault="00E541EE" w:rsidP="00A84BB5">
            <w:pPr>
              <w:pStyle w:val="TableParagraph"/>
              <w:spacing w:before="1"/>
              <w:jc w:val="center"/>
              <w:rPr>
                <w:b/>
                <w:sz w:val="15"/>
                <w:szCs w:val="15"/>
              </w:rPr>
            </w:pPr>
            <w:r w:rsidRPr="00E11721">
              <w:rPr>
                <w:b/>
                <w:sz w:val="15"/>
                <w:szCs w:val="15"/>
              </w:rPr>
              <w:t>aktivnosti</w:t>
            </w:r>
          </w:p>
        </w:tc>
        <w:tc>
          <w:tcPr>
            <w:tcW w:w="992" w:type="dxa"/>
            <w:vMerge w:val="restart"/>
            <w:vAlign w:val="center"/>
          </w:tcPr>
          <w:p w14:paraId="4750AFBA" w14:textId="77777777" w:rsidR="00E541EE" w:rsidRPr="00E11721" w:rsidRDefault="00E541EE" w:rsidP="00A84BB5">
            <w:pPr>
              <w:pStyle w:val="TableParagraph"/>
              <w:ind w:left="174" w:right="97" w:hanging="44"/>
              <w:jc w:val="center"/>
              <w:rPr>
                <w:b/>
                <w:sz w:val="15"/>
                <w:szCs w:val="15"/>
              </w:rPr>
            </w:pPr>
            <w:r w:rsidRPr="00E11721">
              <w:rPr>
                <w:b/>
                <w:sz w:val="15"/>
                <w:szCs w:val="15"/>
              </w:rPr>
              <w:t>Pokazatelj</w:t>
            </w:r>
            <w:r w:rsidRPr="00E11721">
              <w:rPr>
                <w:b/>
                <w:spacing w:val="-34"/>
                <w:sz w:val="15"/>
                <w:szCs w:val="15"/>
              </w:rPr>
              <w:t xml:space="preserve"> </w:t>
            </w:r>
            <w:r w:rsidRPr="00E11721">
              <w:rPr>
                <w:b/>
                <w:sz w:val="15"/>
                <w:szCs w:val="15"/>
              </w:rPr>
              <w:t>rezultata</w:t>
            </w:r>
          </w:p>
        </w:tc>
        <w:tc>
          <w:tcPr>
            <w:tcW w:w="973" w:type="dxa"/>
            <w:vMerge w:val="restart"/>
            <w:vAlign w:val="center"/>
          </w:tcPr>
          <w:p w14:paraId="7D723B52" w14:textId="77777777" w:rsidR="00E541EE" w:rsidRPr="00E11721" w:rsidRDefault="00E541EE" w:rsidP="00A84BB5">
            <w:pPr>
              <w:pStyle w:val="TableParagraph"/>
              <w:ind w:left="44" w:right="32"/>
              <w:jc w:val="center"/>
              <w:rPr>
                <w:b/>
                <w:sz w:val="15"/>
                <w:szCs w:val="15"/>
              </w:rPr>
            </w:pPr>
            <w:r w:rsidRPr="00E11721">
              <w:rPr>
                <w:b/>
                <w:sz w:val="15"/>
                <w:szCs w:val="15"/>
              </w:rPr>
              <w:t>Početna</w:t>
            </w:r>
            <w:r w:rsidRPr="00E11721">
              <w:rPr>
                <w:b/>
                <w:spacing w:val="1"/>
                <w:sz w:val="15"/>
                <w:szCs w:val="15"/>
              </w:rPr>
              <w:t xml:space="preserve"> </w:t>
            </w:r>
            <w:r w:rsidRPr="00E11721">
              <w:rPr>
                <w:b/>
                <w:sz w:val="15"/>
                <w:szCs w:val="15"/>
              </w:rPr>
              <w:t>vrijednost 2025.</w:t>
            </w:r>
          </w:p>
        </w:tc>
        <w:tc>
          <w:tcPr>
            <w:tcW w:w="1979" w:type="dxa"/>
            <w:gridSpan w:val="3"/>
            <w:vAlign w:val="center"/>
          </w:tcPr>
          <w:p w14:paraId="225AC74E" w14:textId="77777777" w:rsidR="00E541EE" w:rsidRPr="00E11721" w:rsidRDefault="00E541EE" w:rsidP="00A84BB5">
            <w:pPr>
              <w:pStyle w:val="TableParagraph"/>
              <w:ind w:left="70" w:right="56"/>
              <w:jc w:val="center"/>
              <w:rPr>
                <w:b/>
                <w:sz w:val="15"/>
                <w:szCs w:val="15"/>
              </w:rPr>
            </w:pPr>
            <w:r w:rsidRPr="00E11721">
              <w:rPr>
                <w:b/>
                <w:sz w:val="15"/>
                <w:szCs w:val="15"/>
              </w:rPr>
              <w:t>Ciljna</w:t>
            </w:r>
            <w:r w:rsidRPr="00E11721">
              <w:rPr>
                <w:b/>
                <w:spacing w:val="1"/>
                <w:sz w:val="15"/>
                <w:szCs w:val="15"/>
              </w:rPr>
              <w:t xml:space="preserve"> </w:t>
            </w:r>
            <w:r w:rsidRPr="00E11721">
              <w:rPr>
                <w:b/>
                <w:sz w:val="15"/>
                <w:szCs w:val="15"/>
              </w:rPr>
              <w:t>vrijednost</w:t>
            </w:r>
          </w:p>
        </w:tc>
      </w:tr>
      <w:tr w:rsidR="00E541EE" w14:paraId="3DB583D5" w14:textId="77777777" w:rsidTr="00807E36">
        <w:trPr>
          <w:trHeight w:val="637"/>
          <w:jc w:val="center"/>
        </w:trPr>
        <w:tc>
          <w:tcPr>
            <w:tcW w:w="1708" w:type="dxa"/>
            <w:vMerge/>
            <w:vAlign w:val="center"/>
          </w:tcPr>
          <w:p w14:paraId="0BB4132A" w14:textId="77777777" w:rsidR="00E541EE" w:rsidRPr="00E11721" w:rsidRDefault="00E541EE" w:rsidP="00A84BB5">
            <w:pPr>
              <w:pStyle w:val="TableParagraph"/>
              <w:spacing w:line="195" w:lineRule="exact"/>
              <w:ind w:left="44" w:right="35"/>
              <w:jc w:val="center"/>
              <w:rPr>
                <w:b/>
                <w:sz w:val="15"/>
                <w:szCs w:val="15"/>
              </w:rPr>
            </w:pPr>
          </w:p>
        </w:tc>
        <w:tc>
          <w:tcPr>
            <w:tcW w:w="870" w:type="dxa"/>
            <w:vMerge/>
            <w:vAlign w:val="center"/>
          </w:tcPr>
          <w:p w14:paraId="164FF313" w14:textId="77777777" w:rsidR="00E541EE" w:rsidRPr="00E11721" w:rsidRDefault="00E541EE" w:rsidP="00A84BB5">
            <w:pPr>
              <w:pStyle w:val="TableParagraph"/>
              <w:spacing w:line="195" w:lineRule="exact"/>
              <w:ind w:left="44" w:right="35"/>
              <w:jc w:val="center"/>
              <w:rPr>
                <w:b/>
                <w:sz w:val="15"/>
                <w:szCs w:val="15"/>
              </w:rPr>
            </w:pPr>
          </w:p>
        </w:tc>
        <w:tc>
          <w:tcPr>
            <w:tcW w:w="1134" w:type="dxa"/>
            <w:vMerge/>
            <w:vAlign w:val="center"/>
          </w:tcPr>
          <w:p w14:paraId="142CD7F4" w14:textId="77777777" w:rsidR="00E541EE" w:rsidRPr="00E11721" w:rsidRDefault="00E541EE" w:rsidP="00A84BB5">
            <w:pPr>
              <w:pStyle w:val="TableParagraph"/>
              <w:ind w:left="125" w:right="114"/>
              <w:jc w:val="center"/>
              <w:rPr>
                <w:b/>
                <w:spacing w:val="-1"/>
                <w:sz w:val="15"/>
                <w:szCs w:val="15"/>
              </w:rPr>
            </w:pPr>
          </w:p>
        </w:tc>
        <w:tc>
          <w:tcPr>
            <w:tcW w:w="879" w:type="dxa"/>
            <w:vMerge/>
            <w:vAlign w:val="center"/>
          </w:tcPr>
          <w:p w14:paraId="17655A06" w14:textId="77777777" w:rsidR="00E541EE" w:rsidRPr="00E11721" w:rsidRDefault="00E541EE" w:rsidP="00A84BB5">
            <w:pPr>
              <w:pStyle w:val="TableParagraph"/>
              <w:jc w:val="center"/>
              <w:rPr>
                <w:b/>
                <w:sz w:val="15"/>
                <w:szCs w:val="15"/>
              </w:rPr>
            </w:pPr>
          </w:p>
        </w:tc>
        <w:tc>
          <w:tcPr>
            <w:tcW w:w="948" w:type="dxa"/>
            <w:vMerge/>
            <w:vAlign w:val="center"/>
          </w:tcPr>
          <w:p w14:paraId="263B5C5E" w14:textId="77777777" w:rsidR="00E541EE" w:rsidRPr="00E11721" w:rsidRDefault="00E541EE" w:rsidP="00A84BB5">
            <w:pPr>
              <w:pStyle w:val="TableParagraph"/>
              <w:jc w:val="center"/>
              <w:rPr>
                <w:b/>
                <w:sz w:val="15"/>
                <w:szCs w:val="15"/>
              </w:rPr>
            </w:pPr>
          </w:p>
        </w:tc>
        <w:tc>
          <w:tcPr>
            <w:tcW w:w="866" w:type="dxa"/>
            <w:vMerge/>
            <w:vAlign w:val="center"/>
          </w:tcPr>
          <w:p w14:paraId="4E5340DD" w14:textId="77777777" w:rsidR="00E541EE" w:rsidRPr="00E11721" w:rsidRDefault="00E541EE" w:rsidP="00A84BB5">
            <w:pPr>
              <w:pStyle w:val="TableParagraph"/>
              <w:jc w:val="center"/>
              <w:rPr>
                <w:b/>
                <w:sz w:val="15"/>
                <w:szCs w:val="15"/>
              </w:rPr>
            </w:pPr>
          </w:p>
        </w:tc>
        <w:tc>
          <w:tcPr>
            <w:tcW w:w="992" w:type="dxa"/>
            <w:vMerge/>
            <w:vAlign w:val="center"/>
          </w:tcPr>
          <w:p w14:paraId="6AEC3965" w14:textId="77777777" w:rsidR="00E541EE" w:rsidRPr="00E11721" w:rsidRDefault="00E541EE" w:rsidP="00A84BB5">
            <w:pPr>
              <w:pStyle w:val="TableParagraph"/>
              <w:ind w:left="174" w:right="97" w:hanging="44"/>
              <w:jc w:val="center"/>
              <w:rPr>
                <w:b/>
                <w:sz w:val="15"/>
                <w:szCs w:val="15"/>
              </w:rPr>
            </w:pPr>
          </w:p>
        </w:tc>
        <w:tc>
          <w:tcPr>
            <w:tcW w:w="973" w:type="dxa"/>
            <w:vMerge/>
            <w:vAlign w:val="center"/>
          </w:tcPr>
          <w:p w14:paraId="0362D31A" w14:textId="77777777" w:rsidR="00E541EE" w:rsidRPr="00E11721" w:rsidRDefault="00E541EE" w:rsidP="00A84BB5">
            <w:pPr>
              <w:pStyle w:val="TableParagraph"/>
              <w:ind w:left="44" w:right="32"/>
              <w:jc w:val="center"/>
              <w:rPr>
                <w:b/>
                <w:sz w:val="15"/>
                <w:szCs w:val="15"/>
              </w:rPr>
            </w:pPr>
          </w:p>
        </w:tc>
        <w:tc>
          <w:tcPr>
            <w:tcW w:w="567" w:type="dxa"/>
            <w:vAlign w:val="center"/>
          </w:tcPr>
          <w:p w14:paraId="01494638" w14:textId="77777777" w:rsidR="00E541EE" w:rsidRPr="00E11721" w:rsidRDefault="00E541EE" w:rsidP="00A84BB5">
            <w:pPr>
              <w:pStyle w:val="TableParagraph"/>
              <w:ind w:left="87" w:right="70"/>
              <w:jc w:val="center"/>
              <w:rPr>
                <w:b/>
                <w:sz w:val="15"/>
                <w:szCs w:val="15"/>
              </w:rPr>
            </w:pPr>
            <w:r w:rsidRPr="00E11721">
              <w:rPr>
                <w:b/>
                <w:sz w:val="15"/>
                <w:szCs w:val="15"/>
              </w:rPr>
              <w:t>za 2026.</w:t>
            </w:r>
          </w:p>
        </w:tc>
        <w:tc>
          <w:tcPr>
            <w:tcW w:w="567" w:type="dxa"/>
            <w:vAlign w:val="center"/>
          </w:tcPr>
          <w:p w14:paraId="7317878A" w14:textId="77777777" w:rsidR="00E541EE" w:rsidRPr="00E11721" w:rsidRDefault="00E541EE" w:rsidP="00A84BB5">
            <w:pPr>
              <w:pStyle w:val="TableParagraph"/>
              <w:ind w:left="75" w:right="61"/>
              <w:jc w:val="center"/>
              <w:rPr>
                <w:b/>
                <w:sz w:val="15"/>
                <w:szCs w:val="15"/>
              </w:rPr>
            </w:pPr>
            <w:r w:rsidRPr="00E11721">
              <w:rPr>
                <w:b/>
                <w:sz w:val="15"/>
                <w:szCs w:val="15"/>
              </w:rPr>
              <w:t>za</w:t>
            </w:r>
          </w:p>
          <w:p w14:paraId="68B7B7FC" w14:textId="77777777" w:rsidR="00E541EE" w:rsidRPr="00E11721" w:rsidRDefault="00E541EE" w:rsidP="00A84BB5">
            <w:pPr>
              <w:pStyle w:val="TableParagraph"/>
              <w:ind w:left="75" w:right="61"/>
              <w:jc w:val="center"/>
              <w:rPr>
                <w:b/>
                <w:sz w:val="15"/>
                <w:szCs w:val="15"/>
              </w:rPr>
            </w:pPr>
            <w:r w:rsidRPr="00E11721">
              <w:rPr>
                <w:b/>
                <w:sz w:val="15"/>
                <w:szCs w:val="15"/>
              </w:rPr>
              <w:t>2027.</w:t>
            </w:r>
          </w:p>
        </w:tc>
        <w:tc>
          <w:tcPr>
            <w:tcW w:w="845" w:type="dxa"/>
            <w:vAlign w:val="center"/>
          </w:tcPr>
          <w:p w14:paraId="6B1A37DA" w14:textId="77777777" w:rsidR="00E541EE" w:rsidRPr="00E11721" w:rsidRDefault="00E541EE" w:rsidP="00A84BB5">
            <w:pPr>
              <w:pStyle w:val="TableParagraph"/>
              <w:ind w:left="70" w:right="56"/>
              <w:jc w:val="center"/>
              <w:rPr>
                <w:b/>
                <w:sz w:val="15"/>
                <w:szCs w:val="15"/>
              </w:rPr>
            </w:pPr>
            <w:r w:rsidRPr="00E11721">
              <w:rPr>
                <w:b/>
                <w:sz w:val="15"/>
                <w:szCs w:val="15"/>
              </w:rPr>
              <w:t>za</w:t>
            </w:r>
          </w:p>
          <w:p w14:paraId="67DDA951" w14:textId="77777777" w:rsidR="00E541EE" w:rsidRPr="00E11721" w:rsidRDefault="00E541EE" w:rsidP="00A84BB5">
            <w:pPr>
              <w:pStyle w:val="TableParagraph"/>
              <w:ind w:left="70" w:right="56"/>
              <w:jc w:val="center"/>
              <w:rPr>
                <w:b/>
                <w:sz w:val="15"/>
                <w:szCs w:val="15"/>
              </w:rPr>
            </w:pPr>
            <w:r w:rsidRPr="00E11721">
              <w:rPr>
                <w:b/>
                <w:sz w:val="15"/>
                <w:szCs w:val="15"/>
              </w:rPr>
              <w:t>2028.</w:t>
            </w:r>
          </w:p>
        </w:tc>
      </w:tr>
      <w:tr w:rsidR="00E541EE" w14:paraId="6E47EAD6" w14:textId="77777777" w:rsidTr="00807E36">
        <w:trPr>
          <w:trHeight w:val="4082"/>
          <w:jc w:val="center"/>
        </w:trPr>
        <w:tc>
          <w:tcPr>
            <w:tcW w:w="1708" w:type="dxa"/>
            <w:vAlign w:val="center"/>
          </w:tcPr>
          <w:p w14:paraId="778F626F" w14:textId="77777777" w:rsidR="00E541EE" w:rsidRPr="00545D15" w:rsidRDefault="00E541EE" w:rsidP="00A84BB5">
            <w:pPr>
              <w:pStyle w:val="TableParagraph"/>
              <w:jc w:val="center"/>
              <w:rPr>
                <w:rFonts w:ascii="Arial" w:hAnsi="Arial" w:cs="Arial"/>
                <w:color w:val="FF0000"/>
                <w:sz w:val="14"/>
                <w:szCs w:val="14"/>
              </w:rPr>
            </w:pPr>
            <w:r w:rsidRPr="00545D15">
              <w:rPr>
                <w:rFonts w:ascii="Arial" w:hAnsi="Arial" w:cs="Arial"/>
                <w:sz w:val="14"/>
                <w:szCs w:val="14"/>
              </w:rPr>
              <w:t>Provedbeni program Grada Rovinja-Rovigno za razdoblje 2025.-2029. godine</w:t>
            </w:r>
          </w:p>
        </w:tc>
        <w:tc>
          <w:tcPr>
            <w:tcW w:w="870" w:type="dxa"/>
            <w:vAlign w:val="center"/>
          </w:tcPr>
          <w:p w14:paraId="52C03748" w14:textId="77777777" w:rsidR="00E541EE" w:rsidRPr="00545D15" w:rsidRDefault="00E541EE" w:rsidP="00A84BB5">
            <w:pPr>
              <w:pStyle w:val="TableParagraph"/>
              <w:jc w:val="center"/>
              <w:rPr>
                <w:rFonts w:ascii="Arial" w:hAnsi="Arial" w:cs="Arial"/>
                <w:sz w:val="14"/>
                <w:szCs w:val="14"/>
              </w:rPr>
            </w:pPr>
            <w:r w:rsidRPr="00545D15">
              <w:rPr>
                <w:rFonts w:ascii="Arial" w:hAnsi="Arial" w:cs="Arial"/>
                <w:sz w:val="14"/>
                <w:szCs w:val="14"/>
              </w:rPr>
              <w:t>SC 1.4. Odgovorno upravljanje okolišem i prirodom</w:t>
            </w:r>
          </w:p>
          <w:p w14:paraId="3315A1D8" w14:textId="77777777" w:rsidR="00E541EE" w:rsidRPr="00545D15" w:rsidRDefault="00E541EE" w:rsidP="00A84BB5">
            <w:pPr>
              <w:pStyle w:val="TableParagraph"/>
              <w:ind w:left="28" w:right="19" w:firstLine="2"/>
              <w:jc w:val="center"/>
              <w:rPr>
                <w:rFonts w:ascii="Arial" w:hAnsi="Arial" w:cs="Arial"/>
                <w:sz w:val="14"/>
                <w:szCs w:val="14"/>
              </w:rPr>
            </w:pPr>
          </w:p>
        </w:tc>
        <w:tc>
          <w:tcPr>
            <w:tcW w:w="1134" w:type="dxa"/>
            <w:shd w:val="clear" w:color="auto" w:fill="FFF1CC"/>
            <w:vAlign w:val="center"/>
          </w:tcPr>
          <w:p w14:paraId="5FEEA964" w14:textId="77777777" w:rsidR="00E541EE" w:rsidRPr="00545D15" w:rsidRDefault="00E541EE" w:rsidP="00A84BB5">
            <w:pPr>
              <w:pStyle w:val="TableParagraph"/>
              <w:spacing w:before="7"/>
              <w:jc w:val="center"/>
              <w:rPr>
                <w:rFonts w:ascii="Arial" w:hAnsi="Arial" w:cs="Arial"/>
                <w:sz w:val="14"/>
                <w:szCs w:val="14"/>
              </w:rPr>
            </w:pPr>
          </w:p>
          <w:p w14:paraId="61E55DEF" w14:textId="77777777" w:rsidR="00E541EE" w:rsidRPr="00545D15" w:rsidRDefault="00E541EE" w:rsidP="00A84BB5">
            <w:pPr>
              <w:pStyle w:val="TableParagraph"/>
              <w:ind w:left="74" w:right="63" w:hanging="4"/>
              <w:jc w:val="center"/>
              <w:rPr>
                <w:rFonts w:ascii="Arial" w:hAnsi="Arial" w:cs="Arial"/>
                <w:sz w:val="14"/>
                <w:szCs w:val="14"/>
              </w:rPr>
            </w:pPr>
            <w:r w:rsidRPr="00545D15">
              <w:rPr>
                <w:rFonts w:ascii="Arial" w:hAnsi="Arial" w:cs="Arial"/>
                <w:sz w:val="14"/>
                <w:szCs w:val="14"/>
              </w:rPr>
              <w:t>P-1009 ZAŠTITA OKOLIŠA</w:t>
            </w:r>
          </w:p>
        </w:tc>
        <w:tc>
          <w:tcPr>
            <w:tcW w:w="879" w:type="dxa"/>
            <w:vAlign w:val="center"/>
          </w:tcPr>
          <w:p w14:paraId="37517649" w14:textId="77777777" w:rsidR="00E541EE" w:rsidRPr="00545D15" w:rsidRDefault="00E541EE" w:rsidP="00A84BB5">
            <w:pPr>
              <w:pStyle w:val="TableParagraph"/>
              <w:ind w:right="11" w:firstLine="9"/>
              <w:jc w:val="center"/>
              <w:rPr>
                <w:rFonts w:ascii="Arial" w:hAnsi="Arial" w:cs="Arial"/>
                <w:sz w:val="14"/>
                <w:szCs w:val="14"/>
              </w:rPr>
            </w:pPr>
            <w:r w:rsidRPr="00545D15">
              <w:rPr>
                <w:rFonts w:ascii="Arial" w:hAnsi="Arial" w:cs="Arial"/>
                <w:sz w:val="14"/>
                <w:szCs w:val="14"/>
              </w:rPr>
              <w:t>8. Jačanje zaštite okoliša i prirode, upravljanje zaštićenim dijelovima prirode i ekološke mreže te valorizacija prirodne baštine</w:t>
            </w:r>
          </w:p>
        </w:tc>
        <w:tc>
          <w:tcPr>
            <w:tcW w:w="948" w:type="dxa"/>
            <w:shd w:val="clear" w:color="auto" w:fill="FFF1CC"/>
            <w:vAlign w:val="center"/>
          </w:tcPr>
          <w:p w14:paraId="4B33ADE7" w14:textId="77777777" w:rsidR="00E541EE" w:rsidRPr="00545D15" w:rsidRDefault="00E541EE" w:rsidP="00A84BB5">
            <w:pPr>
              <w:pStyle w:val="TableParagraph"/>
              <w:jc w:val="center"/>
              <w:rPr>
                <w:rFonts w:ascii="Arial" w:hAnsi="Arial" w:cs="Arial"/>
                <w:sz w:val="14"/>
                <w:szCs w:val="14"/>
              </w:rPr>
            </w:pPr>
            <w:r w:rsidRPr="00545D15">
              <w:rPr>
                <w:rFonts w:ascii="Arial" w:hAnsi="Arial" w:cs="Arial"/>
                <w:sz w:val="14"/>
                <w:szCs w:val="14"/>
              </w:rPr>
              <w:t>3.888.649,50</w:t>
            </w:r>
          </w:p>
        </w:tc>
        <w:tc>
          <w:tcPr>
            <w:tcW w:w="866" w:type="dxa"/>
            <w:vAlign w:val="center"/>
          </w:tcPr>
          <w:p w14:paraId="18A35987" w14:textId="77777777" w:rsidR="00E541EE" w:rsidRPr="00545D15" w:rsidRDefault="00E541EE" w:rsidP="00A84BB5">
            <w:pPr>
              <w:jc w:val="center"/>
              <w:rPr>
                <w:rFonts w:ascii="Arial" w:hAnsi="Arial" w:cs="Arial"/>
                <w:sz w:val="14"/>
                <w:szCs w:val="14"/>
              </w:rPr>
            </w:pPr>
            <w:r w:rsidRPr="00545D15">
              <w:rPr>
                <w:rFonts w:ascii="Arial" w:hAnsi="Arial" w:cs="Arial"/>
                <w:sz w:val="14"/>
                <w:szCs w:val="14"/>
              </w:rPr>
              <w:t>A100901: Aktivna zaštita ornitološkog rezervata Palud</w:t>
            </w:r>
            <w:r w:rsidRPr="00545D15">
              <w:rPr>
                <w:rFonts w:ascii="Arial" w:hAnsi="Arial" w:cs="Arial"/>
                <w:sz w:val="14"/>
                <w:szCs w:val="14"/>
              </w:rPr>
              <w:br/>
            </w:r>
            <w:r w:rsidRPr="00545D15">
              <w:rPr>
                <w:rFonts w:ascii="Arial" w:hAnsi="Arial" w:cs="Arial"/>
                <w:sz w:val="14"/>
                <w:szCs w:val="14"/>
              </w:rPr>
              <w:br/>
              <w:t>K100903: Provedba mjera prilagodbe klimatskim promjenama</w:t>
            </w:r>
            <w:r w:rsidRPr="00545D15">
              <w:rPr>
                <w:rFonts w:ascii="Arial" w:hAnsi="Arial" w:cs="Arial"/>
                <w:sz w:val="14"/>
                <w:szCs w:val="14"/>
              </w:rPr>
              <w:br/>
            </w:r>
            <w:r w:rsidRPr="00545D15">
              <w:rPr>
                <w:rFonts w:ascii="Arial" w:hAnsi="Arial" w:cs="Arial"/>
                <w:sz w:val="14"/>
                <w:szCs w:val="14"/>
              </w:rPr>
              <w:br/>
              <w:t>K100904:</w:t>
            </w:r>
            <w:r w:rsidRPr="00545D15">
              <w:rPr>
                <w:rFonts w:ascii="Arial" w:hAnsi="Arial" w:cs="Arial"/>
                <w:sz w:val="14"/>
                <w:szCs w:val="14"/>
              </w:rPr>
              <w:br/>
              <w:t>Projekt H20 Rovinj-Rovigno</w:t>
            </w:r>
          </w:p>
        </w:tc>
        <w:tc>
          <w:tcPr>
            <w:tcW w:w="992" w:type="dxa"/>
            <w:shd w:val="clear" w:color="auto" w:fill="FFF1CC"/>
            <w:vAlign w:val="center"/>
          </w:tcPr>
          <w:p w14:paraId="4DAE4504" w14:textId="77777777" w:rsidR="00E541EE" w:rsidRPr="00545D15" w:rsidRDefault="00E541EE" w:rsidP="00A84BB5">
            <w:pPr>
              <w:jc w:val="center"/>
              <w:rPr>
                <w:rFonts w:ascii="Arial" w:hAnsi="Arial" w:cs="Arial"/>
                <w:sz w:val="14"/>
                <w:szCs w:val="14"/>
              </w:rPr>
            </w:pPr>
          </w:p>
          <w:p w14:paraId="319A9467" w14:textId="77777777" w:rsidR="00E541EE" w:rsidRPr="00545D15" w:rsidRDefault="00E541EE" w:rsidP="00A84BB5">
            <w:pPr>
              <w:jc w:val="center"/>
              <w:rPr>
                <w:rFonts w:ascii="Arial" w:hAnsi="Arial" w:cs="Arial"/>
                <w:sz w:val="14"/>
                <w:szCs w:val="14"/>
              </w:rPr>
            </w:pPr>
          </w:p>
          <w:p w14:paraId="123C071E" w14:textId="77777777" w:rsidR="00E541EE" w:rsidRPr="00545D15" w:rsidRDefault="00E541EE" w:rsidP="00A84BB5">
            <w:pPr>
              <w:jc w:val="center"/>
              <w:rPr>
                <w:rFonts w:ascii="Arial" w:hAnsi="Arial" w:cs="Arial"/>
                <w:sz w:val="14"/>
                <w:szCs w:val="14"/>
              </w:rPr>
            </w:pPr>
            <w:r w:rsidRPr="00545D15">
              <w:rPr>
                <w:rFonts w:ascii="Arial" w:hAnsi="Arial" w:cs="Arial"/>
                <w:sz w:val="14"/>
                <w:szCs w:val="14"/>
              </w:rPr>
              <w:t>Broj zaštićenih područja</w:t>
            </w:r>
          </w:p>
          <w:p w14:paraId="23E9B941" w14:textId="77777777" w:rsidR="00E541EE" w:rsidRPr="00545D15" w:rsidRDefault="00E541EE" w:rsidP="00A84BB5">
            <w:pPr>
              <w:jc w:val="center"/>
              <w:rPr>
                <w:rFonts w:ascii="Arial" w:hAnsi="Arial" w:cs="Arial"/>
                <w:sz w:val="14"/>
                <w:szCs w:val="14"/>
              </w:rPr>
            </w:pPr>
            <w:r w:rsidRPr="00545D15">
              <w:rPr>
                <w:rFonts w:ascii="Arial" w:hAnsi="Arial" w:cs="Arial"/>
                <w:sz w:val="14"/>
                <w:szCs w:val="14"/>
              </w:rPr>
              <w:t xml:space="preserve"> </w:t>
            </w:r>
          </w:p>
          <w:p w14:paraId="5874C4A9" w14:textId="77777777" w:rsidR="00E541EE" w:rsidRPr="00545D15" w:rsidRDefault="00E541EE" w:rsidP="00A84BB5">
            <w:pPr>
              <w:jc w:val="center"/>
              <w:rPr>
                <w:rFonts w:ascii="Arial" w:hAnsi="Arial" w:cs="Arial"/>
                <w:sz w:val="14"/>
                <w:szCs w:val="14"/>
              </w:rPr>
            </w:pPr>
            <w:r w:rsidRPr="00545D15">
              <w:rPr>
                <w:rFonts w:ascii="Arial" w:hAnsi="Arial" w:cs="Arial"/>
                <w:sz w:val="14"/>
                <w:szCs w:val="14"/>
              </w:rPr>
              <w:t>m2 adekvatno uređenih zelenih javnih površina</w:t>
            </w:r>
          </w:p>
          <w:p w14:paraId="12A95D44" w14:textId="77777777" w:rsidR="00E541EE" w:rsidRPr="00545D15" w:rsidRDefault="00E541EE" w:rsidP="00A84BB5">
            <w:pPr>
              <w:jc w:val="center"/>
              <w:rPr>
                <w:rFonts w:ascii="Arial" w:hAnsi="Arial" w:cs="Arial"/>
                <w:sz w:val="14"/>
                <w:szCs w:val="14"/>
              </w:rPr>
            </w:pPr>
          </w:p>
          <w:p w14:paraId="066BB354" w14:textId="77777777" w:rsidR="00E541EE" w:rsidRPr="00545D15" w:rsidRDefault="00E541EE" w:rsidP="00A84BB5">
            <w:pPr>
              <w:jc w:val="center"/>
              <w:rPr>
                <w:rFonts w:ascii="Arial" w:hAnsi="Arial" w:cs="Arial"/>
                <w:sz w:val="14"/>
                <w:szCs w:val="14"/>
              </w:rPr>
            </w:pPr>
          </w:p>
        </w:tc>
        <w:tc>
          <w:tcPr>
            <w:tcW w:w="973" w:type="dxa"/>
            <w:vAlign w:val="center"/>
          </w:tcPr>
          <w:p w14:paraId="6CCB44C7" w14:textId="77777777" w:rsidR="00E541EE" w:rsidRPr="00545D15" w:rsidRDefault="00E541EE" w:rsidP="00A84BB5">
            <w:pPr>
              <w:jc w:val="center"/>
              <w:rPr>
                <w:rFonts w:ascii="Arial" w:hAnsi="Arial" w:cs="Arial"/>
                <w:sz w:val="14"/>
                <w:szCs w:val="14"/>
              </w:rPr>
            </w:pPr>
            <w:r w:rsidRPr="00545D15">
              <w:rPr>
                <w:rFonts w:ascii="Arial" w:hAnsi="Arial" w:cs="Arial"/>
                <w:sz w:val="14"/>
                <w:szCs w:val="14"/>
              </w:rPr>
              <w:t>1</w:t>
            </w:r>
          </w:p>
          <w:p w14:paraId="4D1A6706" w14:textId="77777777" w:rsidR="00E541EE" w:rsidRPr="00545D15" w:rsidRDefault="00E541EE" w:rsidP="00A84BB5">
            <w:pPr>
              <w:jc w:val="center"/>
              <w:rPr>
                <w:rFonts w:ascii="Arial" w:hAnsi="Arial" w:cs="Arial"/>
                <w:sz w:val="14"/>
                <w:szCs w:val="14"/>
              </w:rPr>
            </w:pPr>
          </w:p>
          <w:p w14:paraId="08EF3E34" w14:textId="77777777" w:rsidR="00E541EE" w:rsidRPr="00545D15" w:rsidRDefault="00E541EE" w:rsidP="00A84BB5">
            <w:pPr>
              <w:jc w:val="center"/>
              <w:rPr>
                <w:rFonts w:ascii="Arial" w:hAnsi="Arial" w:cs="Arial"/>
                <w:sz w:val="14"/>
                <w:szCs w:val="14"/>
              </w:rPr>
            </w:pPr>
          </w:p>
          <w:p w14:paraId="5D320F61" w14:textId="77777777" w:rsidR="00E541EE" w:rsidRPr="00545D15" w:rsidRDefault="00E541EE" w:rsidP="00A84BB5">
            <w:pPr>
              <w:jc w:val="center"/>
              <w:rPr>
                <w:rFonts w:ascii="Arial" w:hAnsi="Arial" w:cs="Arial"/>
                <w:sz w:val="14"/>
                <w:szCs w:val="14"/>
              </w:rPr>
            </w:pPr>
            <w:r w:rsidRPr="00545D15">
              <w:rPr>
                <w:rFonts w:ascii="Arial" w:hAnsi="Arial" w:cs="Arial"/>
                <w:sz w:val="14"/>
                <w:szCs w:val="14"/>
              </w:rPr>
              <w:t>900.000</w:t>
            </w:r>
          </w:p>
        </w:tc>
        <w:tc>
          <w:tcPr>
            <w:tcW w:w="567" w:type="dxa"/>
            <w:vAlign w:val="center"/>
          </w:tcPr>
          <w:p w14:paraId="6484E8CF" w14:textId="77777777" w:rsidR="00E541EE" w:rsidRPr="00545D15" w:rsidRDefault="00E541EE" w:rsidP="00A84BB5">
            <w:pPr>
              <w:jc w:val="center"/>
              <w:rPr>
                <w:rFonts w:ascii="Arial" w:hAnsi="Arial" w:cs="Arial"/>
                <w:sz w:val="14"/>
                <w:szCs w:val="14"/>
              </w:rPr>
            </w:pPr>
            <w:r w:rsidRPr="00545D15">
              <w:rPr>
                <w:rFonts w:ascii="Arial" w:hAnsi="Arial" w:cs="Arial"/>
                <w:sz w:val="14"/>
                <w:szCs w:val="14"/>
              </w:rPr>
              <w:t>1</w:t>
            </w:r>
          </w:p>
          <w:p w14:paraId="59E42E9B" w14:textId="77777777" w:rsidR="00E541EE" w:rsidRPr="00545D15" w:rsidRDefault="00E541EE" w:rsidP="00A84BB5">
            <w:pPr>
              <w:jc w:val="center"/>
              <w:rPr>
                <w:rFonts w:ascii="Arial" w:hAnsi="Arial" w:cs="Arial"/>
                <w:sz w:val="14"/>
                <w:szCs w:val="14"/>
              </w:rPr>
            </w:pPr>
          </w:p>
          <w:p w14:paraId="21DCCF3F" w14:textId="77777777" w:rsidR="00E541EE" w:rsidRPr="00545D15" w:rsidRDefault="00E541EE" w:rsidP="00A84BB5">
            <w:pPr>
              <w:jc w:val="center"/>
              <w:rPr>
                <w:rFonts w:ascii="Arial" w:hAnsi="Arial" w:cs="Arial"/>
                <w:sz w:val="14"/>
                <w:szCs w:val="14"/>
              </w:rPr>
            </w:pPr>
          </w:p>
          <w:p w14:paraId="2F075CAF" w14:textId="77777777" w:rsidR="00E541EE" w:rsidRPr="00545D15" w:rsidRDefault="00E541EE" w:rsidP="00A84BB5">
            <w:pPr>
              <w:jc w:val="center"/>
              <w:rPr>
                <w:rFonts w:ascii="Arial" w:hAnsi="Arial" w:cs="Arial"/>
                <w:sz w:val="14"/>
                <w:szCs w:val="14"/>
              </w:rPr>
            </w:pPr>
            <w:r w:rsidRPr="00545D15">
              <w:rPr>
                <w:rFonts w:ascii="Arial" w:hAnsi="Arial" w:cs="Arial"/>
                <w:sz w:val="14"/>
                <w:szCs w:val="14"/>
              </w:rPr>
              <w:t>915.000</w:t>
            </w:r>
          </w:p>
        </w:tc>
        <w:tc>
          <w:tcPr>
            <w:tcW w:w="567" w:type="dxa"/>
            <w:vAlign w:val="center"/>
          </w:tcPr>
          <w:p w14:paraId="487B7346" w14:textId="77777777" w:rsidR="00E541EE" w:rsidRPr="00545D15" w:rsidRDefault="00E541EE" w:rsidP="00A84BB5">
            <w:pPr>
              <w:jc w:val="center"/>
              <w:rPr>
                <w:rFonts w:ascii="Arial" w:hAnsi="Arial" w:cs="Arial"/>
                <w:sz w:val="14"/>
                <w:szCs w:val="14"/>
              </w:rPr>
            </w:pPr>
            <w:r w:rsidRPr="00545D15">
              <w:rPr>
                <w:rFonts w:ascii="Arial" w:hAnsi="Arial" w:cs="Arial"/>
                <w:sz w:val="14"/>
                <w:szCs w:val="14"/>
              </w:rPr>
              <w:t>1</w:t>
            </w:r>
          </w:p>
          <w:p w14:paraId="43022C21" w14:textId="77777777" w:rsidR="00E541EE" w:rsidRPr="00545D15" w:rsidRDefault="00E541EE" w:rsidP="00A84BB5">
            <w:pPr>
              <w:jc w:val="center"/>
              <w:rPr>
                <w:rFonts w:ascii="Arial" w:hAnsi="Arial" w:cs="Arial"/>
                <w:sz w:val="14"/>
                <w:szCs w:val="14"/>
              </w:rPr>
            </w:pPr>
          </w:p>
          <w:p w14:paraId="4563D6D0" w14:textId="77777777" w:rsidR="00E541EE" w:rsidRPr="00545D15" w:rsidRDefault="00E541EE" w:rsidP="00A84BB5">
            <w:pPr>
              <w:jc w:val="center"/>
              <w:rPr>
                <w:rFonts w:ascii="Arial" w:hAnsi="Arial" w:cs="Arial"/>
                <w:sz w:val="14"/>
                <w:szCs w:val="14"/>
              </w:rPr>
            </w:pPr>
          </w:p>
          <w:p w14:paraId="2234C7D3" w14:textId="77777777" w:rsidR="00E541EE" w:rsidRPr="00545D15" w:rsidRDefault="00E541EE" w:rsidP="00A84BB5">
            <w:pPr>
              <w:jc w:val="center"/>
              <w:rPr>
                <w:rFonts w:ascii="Arial" w:hAnsi="Arial" w:cs="Arial"/>
                <w:sz w:val="14"/>
                <w:szCs w:val="14"/>
              </w:rPr>
            </w:pPr>
            <w:r w:rsidRPr="00545D15">
              <w:rPr>
                <w:rFonts w:ascii="Arial" w:hAnsi="Arial" w:cs="Arial"/>
                <w:sz w:val="14"/>
                <w:szCs w:val="14"/>
              </w:rPr>
              <w:t>920.000</w:t>
            </w:r>
          </w:p>
        </w:tc>
        <w:tc>
          <w:tcPr>
            <w:tcW w:w="845" w:type="dxa"/>
            <w:vAlign w:val="center"/>
          </w:tcPr>
          <w:p w14:paraId="5DE2B075" w14:textId="77777777" w:rsidR="00E541EE" w:rsidRPr="00545D15" w:rsidRDefault="00E541EE" w:rsidP="00A84BB5">
            <w:pPr>
              <w:jc w:val="center"/>
              <w:rPr>
                <w:rFonts w:ascii="Arial" w:hAnsi="Arial" w:cs="Arial"/>
                <w:sz w:val="14"/>
                <w:szCs w:val="14"/>
              </w:rPr>
            </w:pPr>
            <w:r w:rsidRPr="00545D15">
              <w:rPr>
                <w:rFonts w:ascii="Arial" w:hAnsi="Arial" w:cs="Arial"/>
                <w:sz w:val="14"/>
                <w:szCs w:val="14"/>
              </w:rPr>
              <w:t>1</w:t>
            </w:r>
          </w:p>
          <w:p w14:paraId="5C986B4B" w14:textId="77777777" w:rsidR="00E541EE" w:rsidRPr="00545D15" w:rsidRDefault="00E541EE" w:rsidP="00A84BB5">
            <w:pPr>
              <w:jc w:val="center"/>
              <w:rPr>
                <w:rFonts w:ascii="Arial" w:hAnsi="Arial" w:cs="Arial"/>
                <w:sz w:val="14"/>
                <w:szCs w:val="14"/>
              </w:rPr>
            </w:pPr>
          </w:p>
          <w:p w14:paraId="5E590093" w14:textId="77777777" w:rsidR="00E541EE" w:rsidRPr="00545D15" w:rsidRDefault="00E541EE" w:rsidP="00A84BB5">
            <w:pPr>
              <w:jc w:val="center"/>
              <w:rPr>
                <w:rFonts w:ascii="Arial" w:hAnsi="Arial" w:cs="Arial"/>
                <w:sz w:val="14"/>
                <w:szCs w:val="14"/>
              </w:rPr>
            </w:pPr>
          </w:p>
          <w:p w14:paraId="1777E990" w14:textId="77777777" w:rsidR="00E541EE" w:rsidRPr="00545D15" w:rsidRDefault="00E541EE" w:rsidP="00A84BB5">
            <w:pPr>
              <w:jc w:val="center"/>
              <w:rPr>
                <w:rFonts w:ascii="Arial" w:hAnsi="Arial" w:cs="Arial"/>
                <w:sz w:val="14"/>
                <w:szCs w:val="14"/>
              </w:rPr>
            </w:pPr>
            <w:r w:rsidRPr="00545D15">
              <w:rPr>
                <w:rFonts w:ascii="Arial" w:hAnsi="Arial" w:cs="Arial"/>
                <w:sz w:val="14"/>
                <w:szCs w:val="14"/>
              </w:rPr>
              <w:t>920.500</w:t>
            </w:r>
          </w:p>
        </w:tc>
      </w:tr>
    </w:tbl>
    <w:p w14:paraId="5809166A" w14:textId="77777777" w:rsidR="00E541EE" w:rsidRDefault="00E541EE" w:rsidP="00E541EE">
      <w:pPr>
        <w:jc w:val="both"/>
        <w:rPr>
          <w:rFonts w:ascii="Arial" w:eastAsia="Times New Roman" w:hAnsi="Arial" w:cs="Arial"/>
          <w:b/>
          <w:bCs/>
          <w:sz w:val="24"/>
          <w:szCs w:val="24"/>
        </w:rPr>
      </w:pPr>
    </w:p>
    <w:p w14:paraId="6FADD851" w14:textId="77777777" w:rsidR="00E541EE"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Pr>
          <w:rFonts w:ascii="Arial" w:eastAsia="Times New Roman" w:hAnsi="Arial" w:cs="Arial"/>
          <w:b/>
          <w:bCs/>
          <w:sz w:val="24"/>
          <w:szCs w:val="24"/>
        </w:rPr>
        <w:t>A 100901: Aktivna zaštita ornitološkog rezervata Palud = 13.300,00 EUR</w:t>
      </w:r>
    </w:p>
    <w:p w14:paraId="7B508645" w14:textId="77777777" w:rsidR="00E541EE" w:rsidRDefault="00E541EE" w:rsidP="00E541EE">
      <w:pPr>
        <w:jc w:val="both"/>
        <w:rPr>
          <w:rFonts w:ascii="Arial" w:eastAsia="Times New Roman" w:hAnsi="Arial" w:cs="Arial"/>
          <w:bCs/>
          <w:sz w:val="24"/>
          <w:szCs w:val="24"/>
        </w:rPr>
      </w:pPr>
      <w:r>
        <w:rPr>
          <w:rFonts w:ascii="Arial" w:eastAsia="Times New Roman" w:hAnsi="Arial" w:cs="Arial"/>
          <w:b/>
          <w:bCs/>
          <w:sz w:val="24"/>
          <w:szCs w:val="24"/>
        </w:rPr>
        <w:t xml:space="preserve">Zakonska osnova: </w:t>
      </w:r>
      <w:r>
        <w:rPr>
          <w:rFonts w:ascii="Arial" w:eastAsia="Times New Roman" w:hAnsi="Arial" w:cs="Arial"/>
          <w:bCs/>
          <w:sz w:val="24"/>
          <w:szCs w:val="24"/>
        </w:rPr>
        <w:t xml:space="preserve">Zakon o zaštiti prirode, Statut Grada Rovinja-Rovigno, </w:t>
      </w:r>
      <w:r w:rsidRPr="0055258D">
        <w:rPr>
          <w:rFonts w:ascii="Arial" w:eastAsia="Times New Roman" w:hAnsi="Arial" w:cs="Arial"/>
          <w:bCs/>
          <w:sz w:val="24"/>
          <w:szCs w:val="24"/>
        </w:rPr>
        <w:t>Ugovor o</w:t>
      </w:r>
      <w:r>
        <w:rPr>
          <w:rFonts w:ascii="Arial" w:eastAsia="Times New Roman" w:hAnsi="Arial" w:cs="Arial"/>
          <w:bCs/>
          <w:sz w:val="24"/>
          <w:szCs w:val="24"/>
        </w:rPr>
        <w:t xml:space="preserve"> </w:t>
      </w:r>
      <w:r w:rsidRPr="0055258D">
        <w:rPr>
          <w:rFonts w:ascii="Arial" w:eastAsia="Times New Roman" w:hAnsi="Arial" w:cs="Arial"/>
          <w:bCs/>
          <w:sz w:val="24"/>
          <w:szCs w:val="24"/>
        </w:rPr>
        <w:t>realizaciji aktivne zaštite na području posebnog ornitološkog rezervata Palud-Palù</w:t>
      </w:r>
      <w:r>
        <w:rPr>
          <w:rFonts w:ascii="Arial" w:eastAsia="Times New Roman" w:hAnsi="Arial" w:cs="Arial"/>
          <w:bCs/>
          <w:sz w:val="24"/>
          <w:szCs w:val="24"/>
        </w:rPr>
        <w:t>.</w:t>
      </w:r>
    </w:p>
    <w:p w14:paraId="5B3C062B" w14:textId="77777777" w:rsidR="00E541EE" w:rsidRPr="00B6524D" w:rsidRDefault="00E541EE" w:rsidP="00E541EE">
      <w:pPr>
        <w:jc w:val="both"/>
        <w:rPr>
          <w:rFonts w:ascii="Arial" w:eastAsia="Times New Roman" w:hAnsi="Arial" w:cs="Arial"/>
          <w:bCs/>
          <w:sz w:val="24"/>
          <w:szCs w:val="24"/>
        </w:rPr>
      </w:pPr>
      <w:r>
        <w:rPr>
          <w:rFonts w:ascii="Arial" w:eastAsia="Times New Roman" w:hAnsi="Arial" w:cs="Arial"/>
          <w:b/>
          <w:bCs/>
          <w:sz w:val="24"/>
          <w:szCs w:val="24"/>
        </w:rPr>
        <w:t xml:space="preserve">Opis: </w:t>
      </w:r>
      <w:r>
        <w:rPr>
          <w:rFonts w:ascii="Arial" w:eastAsia="Times New Roman" w:hAnsi="Arial" w:cs="Arial"/>
          <w:bCs/>
          <w:sz w:val="24"/>
          <w:szCs w:val="24"/>
        </w:rPr>
        <w:t xml:space="preserve">sredstva u iznosu od 13.300,00 eura su namijenjena aktivnostima zaštite, očuvanja i redovnog održavanja </w:t>
      </w:r>
      <w:r>
        <w:rPr>
          <w:rFonts w:ascii="Arial" w:eastAsia="Times New Roman" w:hAnsi="Arial" w:cs="Arial"/>
          <w:sz w:val="24"/>
          <w:szCs w:val="24"/>
        </w:rPr>
        <w:t>ornitološkog rezervata Palud, koje se provode kroz redovite kontrole u suradnji sa JU „Natura Histrica“.</w:t>
      </w:r>
    </w:p>
    <w:p w14:paraId="28C57843" w14:textId="77777777" w:rsidR="00E541EE" w:rsidRDefault="00E541EE" w:rsidP="00E541EE">
      <w:pPr>
        <w:jc w:val="both"/>
        <w:rPr>
          <w:rFonts w:ascii="Arial" w:eastAsia="Times New Roman" w:hAnsi="Arial" w:cs="Arial"/>
          <w:sz w:val="24"/>
          <w:szCs w:val="24"/>
        </w:rPr>
      </w:pPr>
      <w:r>
        <w:rPr>
          <w:rFonts w:ascii="Arial" w:eastAsia="Times New Roman" w:hAnsi="Arial" w:cs="Arial"/>
          <w:b/>
          <w:bCs/>
          <w:sz w:val="24"/>
          <w:szCs w:val="24"/>
        </w:rPr>
        <w:t xml:space="preserve">Opći cilj: </w:t>
      </w:r>
      <w:r>
        <w:rPr>
          <w:rFonts w:ascii="Arial" w:eastAsia="Times New Roman" w:hAnsi="Arial" w:cs="Arial"/>
          <w:sz w:val="24"/>
          <w:szCs w:val="24"/>
        </w:rPr>
        <w:t>zaštita i redovno održavanje ornitološkog rezervata Palud putem aktivnosti javne ustanove za upravljanje zaštićenim dijelovima prirode na području Istarske županije „Natura Histrica“.</w:t>
      </w:r>
    </w:p>
    <w:p w14:paraId="3AA3779C" w14:textId="77777777" w:rsidR="00E541EE" w:rsidRDefault="00E541EE" w:rsidP="00E541EE">
      <w:pPr>
        <w:jc w:val="both"/>
        <w:rPr>
          <w:rFonts w:ascii="Arial" w:eastAsia="Times New Roman" w:hAnsi="Arial" w:cs="Arial"/>
          <w:sz w:val="24"/>
          <w:szCs w:val="24"/>
        </w:rPr>
      </w:pPr>
      <w:r>
        <w:rPr>
          <w:rFonts w:ascii="Arial" w:eastAsia="Times New Roman" w:hAnsi="Arial" w:cs="Arial"/>
          <w:b/>
          <w:sz w:val="24"/>
          <w:szCs w:val="24"/>
        </w:rPr>
        <w:t>Pokazatelj uspješnosti:</w:t>
      </w:r>
      <w:r>
        <w:rPr>
          <w:rFonts w:ascii="Arial" w:eastAsia="Times New Roman" w:hAnsi="Arial" w:cs="Arial"/>
          <w:sz w:val="24"/>
          <w:szCs w:val="24"/>
        </w:rPr>
        <w:t xml:space="preserve"> očuvanje ornitološkog rezervata Palud.</w:t>
      </w:r>
    </w:p>
    <w:p w14:paraId="2C306A46" w14:textId="77777777" w:rsidR="00E541EE"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0855E6">
        <w:rPr>
          <w:rFonts w:ascii="Arial" w:eastAsia="Times New Roman" w:hAnsi="Arial" w:cs="Arial"/>
          <w:b/>
          <w:bCs/>
          <w:sz w:val="24"/>
          <w:szCs w:val="24"/>
        </w:rPr>
        <w:t>K 100903: Provedba mjera prilagodbe klimatskim promjenama</w:t>
      </w:r>
    </w:p>
    <w:p w14:paraId="5869C7A9" w14:textId="77777777" w:rsidR="00E541EE" w:rsidRPr="000855E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0855E6">
        <w:rPr>
          <w:rFonts w:ascii="Arial" w:eastAsia="Times New Roman" w:hAnsi="Arial" w:cs="Arial"/>
          <w:b/>
          <w:bCs/>
          <w:sz w:val="24"/>
          <w:szCs w:val="24"/>
        </w:rPr>
        <w:t xml:space="preserve"> = </w:t>
      </w:r>
      <w:r>
        <w:rPr>
          <w:rFonts w:ascii="Arial" w:eastAsia="Times New Roman" w:hAnsi="Arial" w:cs="Arial"/>
          <w:b/>
          <w:bCs/>
          <w:sz w:val="24"/>
          <w:szCs w:val="24"/>
        </w:rPr>
        <w:t>1.659.250</w:t>
      </w:r>
      <w:r w:rsidRPr="000855E6">
        <w:rPr>
          <w:rFonts w:ascii="Arial" w:eastAsia="Times New Roman" w:hAnsi="Arial" w:cs="Arial"/>
          <w:b/>
          <w:bCs/>
          <w:sz w:val="24"/>
          <w:szCs w:val="24"/>
        </w:rPr>
        <w:t xml:space="preserve">,00 </w:t>
      </w:r>
      <w:r>
        <w:rPr>
          <w:rFonts w:ascii="Arial" w:eastAsia="Times New Roman" w:hAnsi="Arial" w:cs="Arial"/>
          <w:b/>
          <w:bCs/>
          <w:sz w:val="24"/>
          <w:szCs w:val="24"/>
        </w:rPr>
        <w:t>EUR</w:t>
      </w:r>
    </w:p>
    <w:p w14:paraId="6D1D7C21" w14:textId="77777777" w:rsidR="00E541EE" w:rsidRPr="00545D15" w:rsidRDefault="00E541EE" w:rsidP="00E541EE">
      <w:pPr>
        <w:pStyle w:val="Default"/>
        <w:jc w:val="both"/>
        <w:rPr>
          <w:rFonts w:ascii="Arial" w:hAnsi="Arial" w:cs="Arial"/>
          <w:bCs/>
          <w:sz w:val="23"/>
          <w:szCs w:val="23"/>
          <w:lang w:eastAsia="hr-HR"/>
        </w:rPr>
      </w:pPr>
      <w:r w:rsidRPr="00545D15">
        <w:rPr>
          <w:rFonts w:ascii="Arial" w:eastAsia="Times New Roman" w:hAnsi="Arial" w:cs="Arial"/>
          <w:b/>
          <w:bCs/>
        </w:rPr>
        <w:t>Zakonska osnova:</w:t>
      </w:r>
      <w:r w:rsidRPr="00545D15">
        <w:rPr>
          <w:rFonts w:ascii="Arial" w:eastAsia="Times New Roman" w:hAnsi="Arial" w:cs="Arial"/>
          <w:bCs/>
        </w:rPr>
        <w:t xml:space="preserve"> Javni poziv za neposredno sufinanciranje provedbe mjera prilagodbe klimatskim promjenama u svrhu jačanja otpornosti urbanih sredina (JP ZO-9/2023).</w:t>
      </w:r>
    </w:p>
    <w:p w14:paraId="1F2FE0BF" w14:textId="77777777" w:rsidR="00E541EE" w:rsidRPr="00545D15" w:rsidRDefault="00E541EE" w:rsidP="00E541EE">
      <w:pPr>
        <w:pStyle w:val="Default"/>
        <w:jc w:val="both"/>
        <w:rPr>
          <w:rFonts w:ascii="Arial" w:eastAsia="Times New Roman" w:hAnsi="Arial" w:cs="Arial"/>
          <w:bCs/>
          <w:color w:val="auto"/>
        </w:rPr>
      </w:pPr>
      <w:r w:rsidRPr="00545D15">
        <w:rPr>
          <w:rFonts w:ascii="Arial" w:eastAsia="Times New Roman" w:hAnsi="Arial" w:cs="Arial"/>
          <w:b/>
          <w:bCs/>
          <w:color w:val="auto"/>
        </w:rPr>
        <w:t xml:space="preserve">Opis: </w:t>
      </w:r>
      <w:r>
        <w:rPr>
          <w:rFonts w:ascii="Arial" w:eastAsia="Times New Roman" w:hAnsi="Arial" w:cs="Arial"/>
          <w:bCs/>
          <w:color w:val="auto"/>
        </w:rPr>
        <w:t>s</w:t>
      </w:r>
      <w:r w:rsidRPr="00545D15">
        <w:rPr>
          <w:rFonts w:ascii="Arial" w:eastAsia="Times New Roman" w:hAnsi="Arial" w:cs="Arial"/>
          <w:bCs/>
          <w:color w:val="auto"/>
        </w:rPr>
        <w:t xml:space="preserve">redstvima u iznosu od 1.659.250,00 eura nastavit će se provedba mjere prilagodbe definiranih </w:t>
      </w:r>
      <w:r w:rsidRPr="00545D15">
        <w:rPr>
          <w:rFonts w:ascii="Arial" w:eastAsia="Times New Roman" w:hAnsi="Arial" w:cs="Arial"/>
          <w:bCs/>
          <w:i/>
          <w:color w:val="auto"/>
        </w:rPr>
        <w:t>Programom ublažavanja, prilagodbe klimatskim promjenama i zaštite ozonskog sloja</w:t>
      </w:r>
      <w:r w:rsidRPr="00545D15">
        <w:rPr>
          <w:rFonts w:ascii="Arial" w:eastAsia="Times New Roman" w:hAnsi="Arial" w:cs="Arial"/>
          <w:bCs/>
          <w:color w:val="auto"/>
        </w:rPr>
        <w:t xml:space="preserve"> te </w:t>
      </w:r>
      <w:r w:rsidRPr="00545D15">
        <w:rPr>
          <w:rFonts w:ascii="Arial" w:eastAsia="Times New Roman" w:hAnsi="Arial" w:cs="Arial"/>
          <w:bCs/>
          <w:i/>
          <w:color w:val="auto"/>
        </w:rPr>
        <w:t>Akcijskim planom održivog energetskog razvoja i prilagodbe klimatskim promjenama</w:t>
      </w:r>
      <w:r w:rsidRPr="00545D15">
        <w:rPr>
          <w:rFonts w:ascii="Arial" w:eastAsia="Times New Roman" w:hAnsi="Arial" w:cs="Arial"/>
          <w:bCs/>
          <w:color w:val="auto"/>
        </w:rPr>
        <w:t xml:space="preserve"> (</w:t>
      </w:r>
      <w:r w:rsidRPr="00545D15">
        <w:rPr>
          <w:rFonts w:ascii="Arial" w:eastAsia="Times New Roman" w:hAnsi="Arial" w:cs="Arial"/>
          <w:bCs/>
          <w:i/>
          <w:color w:val="auto"/>
        </w:rPr>
        <w:t>SECAP</w:t>
      </w:r>
      <w:r w:rsidRPr="00545D15">
        <w:rPr>
          <w:rFonts w:ascii="Arial" w:eastAsia="Times New Roman" w:hAnsi="Arial" w:cs="Arial"/>
          <w:bCs/>
          <w:color w:val="auto"/>
        </w:rPr>
        <w:t>). Projekt se odnosi na ukupno četiri lokacije, od čega ja sadnja na  tri lokacije završena: ulica Cademia, ulaz u poduzetničku zonu Gripole-Spine`  te u Rovinjskom Selu. Preostaje lokacija Sv. Vid te se planirane aktivnosti odnose na hortikulturno uređenje parka na navedenoj lokaciji i na uređenje i opremanje parka koji se planira realizirati u 2 faze.</w:t>
      </w:r>
    </w:p>
    <w:p w14:paraId="0ACDC273" w14:textId="77777777" w:rsidR="00E541EE" w:rsidRPr="00545D15" w:rsidRDefault="00E541EE" w:rsidP="00E541EE">
      <w:pPr>
        <w:jc w:val="both"/>
        <w:rPr>
          <w:rFonts w:ascii="Arial" w:eastAsia="Times New Roman" w:hAnsi="Arial" w:cs="Arial"/>
          <w:bCs/>
          <w:sz w:val="24"/>
          <w:szCs w:val="24"/>
        </w:rPr>
      </w:pPr>
      <w:r w:rsidRPr="00545D15">
        <w:rPr>
          <w:rFonts w:ascii="Arial" w:eastAsia="Times New Roman" w:hAnsi="Arial" w:cs="Arial"/>
          <w:b/>
          <w:bCs/>
          <w:sz w:val="24"/>
          <w:szCs w:val="24"/>
        </w:rPr>
        <w:t xml:space="preserve">Opći cilj: </w:t>
      </w:r>
      <w:r>
        <w:rPr>
          <w:rFonts w:ascii="Arial" w:eastAsia="Times New Roman" w:hAnsi="Arial" w:cs="Arial"/>
          <w:bCs/>
          <w:sz w:val="24"/>
          <w:szCs w:val="24"/>
        </w:rPr>
        <w:t>p</w:t>
      </w:r>
      <w:r w:rsidRPr="00545D15">
        <w:rPr>
          <w:rFonts w:ascii="Arial" w:eastAsia="Times New Roman" w:hAnsi="Arial" w:cs="Arial"/>
          <w:bCs/>
          <w:sz w:val="24"/>
          <w:szCs w:val="24"/>
        </w:rPr>
        <w:t xml:space="preserve">ovećati otpornost prema klimatskim promjenama te sadnjom stabala i grmlja doprinijeti provedbi </w:t>
      </w:r>
      <w:r w:rsidRPr="00545D15">
        <w:rPr>
          <w:rFonts w:ascii="Arial" w:eastAsia="Times New Roman" w:hAnsi="Arial" w:cs="Arial"/>
          <w:bCs/>
          <w:i/>
          <w:sz w:val="24"/>
          <w:szCs w:val="24"/>
        </w:rPr>
        <w:t>Akcijskog plana Vlade RH o sadnji dodatnih stabala za kompenzaciju emisija automobilskih turističkih posjeta RH do 2030.</w:t>
      </w:r>
    </w:p>
    <w:p w14:paraId="12A97F0F" w14:textId="77777777" w:rsidR="00E541EE" w:rsidRPr="00545D15" w:rsidRDefault="00E541EE" w:rsidP="00E541EE">
      <w:pPr>
        <w:autoSpaceDE w:val="0"/>
        <w:autoSpaceDN w:val="0"/>
        <w:adjustRightInd w:val="0"/>
        <w:jc w:val="both"/>
        <w:rPr>
          <w:rFonts w:ascii="Arial" w:eastAsia="Times New Roman" w:hAnsi="Arial" w:cs="Arial"/>
          <w:sz w:val="24"/>
          <w:szCs w:val="24"/>
        </w:rPr>
      </w:pPr>
      <w:r w:rsidRPr="00545D15">
        <w:rPr>
          <w:rFonts w:ascii="Arial" w:eastAsia="Times New Roman" w:hAnsi="Arial" w:cs="Arial"/>
          <w:b/>
          <w:sz w:val="24"/>
          <w:szCs w:val="24"/>
        </w:rPr>
        <w:t>Pokazatelj uspješnosti:</w:t>
      </w:r>
      <w:r w:rsidRPr="00545D15">
        <w:rPr>
          <w:rFonts w:ascii="Arial" w:eastAsia="Times New Roman" w:hAnsi="Arial" w:cs="Arial"/>
          <w:sz w:val="24"/>
          <w:szCs w:val="24"/>
        </w:rPr>
        <w:t xml:space="preserve"> Odrađene aktivnosti u sklopu projekta.</w:t>
      </w:r>
    </w:p>
    <w:p w14:paraId="0B7C2EA8" w14:textId="77777777" w:rsidR="00E541EE" w:rsidRDefault="00E541EE" w:rsidP="00E541EE">
      <w:pPr>
        <w:autoSpaceDE w:val="0"/>
        <w:autoSpaceDN w:val="0"/>
        <w:adjustRightInd w:val="0"/>
        <w:jc w:val="both"/>
        <w:rPr>
          <w:rFonts w:ascii="Arial" w:eastAsia="Times New Roman" w:hAnsi="Arial" w:cs="Arial"/>
          <w:sz w:val="24"/>
          <w:szCs w:val="24"/>
        </w:rPr>
      </w:pPr>
    </w:p>
    <w:p w14:paraId="36168C18" w14:textId="77777777" w:rsidR="00E541EE" w:rsidRPr="00B2060C"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B2060C">
        <w:rPr>
          <w:rFonts w:ascii="Arial" w:eastAsia="Times New Roman" w:hAnsi="Arial" w:cs="Arial"/>
          <w:b/>
          <w:bCs/>
          <w:sz w:val="24"/>
          <w:szCs w:val="24"/>
        </w:rPr>
        <w:t>K</w:t>
      </w:r>
      <w:r>
        <w:rPr>
          <w:rFonts w:ascii="Arial" w:eastAsia="Times New Roman" w:hAnsi="Arial" w:cs="Arial"/>
          <w:b/>
          <w:bCs/>
          <w:sz w:val="24"/>
          <w:szCs w:val="24"/>
        </w:rPr>
        <w:t>100904</w:t>
      </w:r>
      <w:r w:rsidRPr="00B2060C">
        <w:rPr>
          <w:rFonts w:ascii="Arial" w:eastAsia="Times New Roman" w:hAnsi="Arial" w:cs="Arial"/>
          <w:b/>
          <w:bCs/>
          <w:sz w:val="24"/>
          <w:szCs w:val="24"/>
        </w:rPr>
        <w:t xml:space="preserve">: Projekt H2O Rovinj-Rovigno = </w:t>
      </w:r>
      <w:r>
        <w:rPr>
          <w:rFonts w:ascii="Arial" w:eastAsia="Times New Roman" w:hAnsi="Arial" w:cs="Arial"/>
          <w:b/>
          <w:bCs/>
          <w:sz w:val="24"/>
          <w:szCs w:val="24"/>
        </w:rPr>
        <w:t>2.216.099,50 EUR</w:t>
      </w:r>
    </w:p>
    <w:p w14:paraId="1A093CE1" w14:textId="77777777" w:rsidR="00E541EE" w:rsidRPr="00631232" w:rsidRDefault="00E541EE" w:rsidP="00E541EE">
      <w:pPr>
        <w:autoSpaceDE w:val="0"/>
        <w:autoSpaceDN w:val="0"/>
        <w:adjustRightInd w:val="0"/>
        <w:jc w:val="both"/>
        <w:rPr>
          <w:rFonts w:ascii="Arial" w:eastAsia="Times New Roman" w:hAnsi="Arial" w:cs="Arial"/>
          <w:bCs/>
          <w:color w:val="000000"/>
          <w:sz w:val="24"/>
          <w:szCs w:val="24"/>
        </w:rPr>
      </w:pPr>
      <w:r w:rsidRPr="00631232">
        <w:rPr>
          <w:rFonts w:ascii="Arial" w:hAnsi="Arial" w:cs="Arial"/>
          <w:b/>
          <w:bCs/>
          <w:sz w:val="24"/>
          <w:szCs w:val="24"/>
        </w:rPr>
        <w:t xml:space="preserve">Zakonska osnova: </w:t>
      </w:r>
      <w:r w:rsidRPr="00631232">
        <w:rPr>
          <w:rFonts w:ascii="Arial" w:eastAsia="Times New Roman" w:hAnsi="Arial" w:cs="Arial"/>
          <w:bCs/>
          <w:color w:val="000000"/>
          <w:sz w:val="24"/>
          <w:szCs w:val="24"/>
        </w:rPr>
        <w:t>Poziv na dostavu projektnih prijedloga Pilot projekt razvoja zelene infrastrukture i/ili kružnog gospodarenja prostorom i zgradama (Kod poziva: NPOO.C6.1.R5.02).</w:t>
      </w:r>
    </w:p>
    <w:p w14:paraId="6F713424" w14:textId="77777777" w:rsidR="00E541EE" w:rsidRPr="00631232" w:rsidRDefault="00E541EE" w:rsidP="00E541EE">
      <w:pPr>
        <w:jc w:val="both"/>
        <w:rPr>
          <w:rFonts w:ascii="Arial" w:eastAsia="Times New Roman" w:hAnsi="Arial" w:cs="Arial"/>
          <w:bCs/>
          <w:color w:val="000000"/>
          <w:sz w:val="24"/>
          <w:szCs w:val="24"/>
        </w:rPr>
      </w:pPr>
      <w:r w:rsidRPr="00631232">
        <w:rPr>
          <w:rFonts w:ascii="Arial" w:hAnsi="Arial" w:cs="Arial"/>
          <w:b/>
          <w:bCs/>
          <w:sz w:val="24"/>
          <w:szCs w:val="24"/>
        </w:rPr>
        <w:t xml:space="preserve">Opis: </w:t>
      </w:r>
      <w:r w:rsidRPr="00631232">
        <w:rPr>
          <w:rFonts w:ascii="Arial" w:hAnsi="Arial" w:cs="Arial"/>
          <w:sz w:val="24"/>
          <w:szCs w:val="24"/>
        </w:rPr>
        <w:t xml:space="preserve">Projekt H2O </w:t>
      </w:r>
      <w:r w:rsidRPr="00631232">
        <w:rPr>
          <w:rFonts w:ascii="Arial" w:eastAsia="Times New Roman" w:hAnsi="Arial" w:cs="Arial"/>
          <w:bCs/>
          <w:color w:val="000000"/>
          <w:sz w:val="24"/>
          <w:szCs w:val="24"/>
        </w:rPr>
        <w:t>Rovinj-Rovigno predstavlja integrirani projekt zelene urbane obnove Rovinja kroz implementaciju projektnih sadržaja zelene infrastrukture. Središnju aktivnost predstavlja izgradnja i opremanje tematskog parka H20 na lokaciji Cuvi. Park je tematiziran edukativno-interpretacijskim  sadržajima održivog upravljanja vodom i vodnim resursima. Uz ovaj park kroz projekt će se: urediti skate park u sportsko-rekreacijskoj zoni, urediti portal sa zabavnim sadržajima i outdoor teretana na ulazu u park šumu Punta Corrente, urediti dječje igralište (Valpereri), ozeleniti parkirališta na kojima se stvaraju toplinski otoci, zasaditi stabla i dodatno urediti 4 urbane točke, te urediti zelenu fasadu na jednoj od zgrada javne namjene. Također je predviđena izgradnja zelenog koridora kojim će se funkcionalnije i kvalitetnije integrirati lokacije Cuvi i park šuma Punta Corrente u urbani prostor Rovinja.</w:t>
      </w:r>
    </w:p>
    <w:p w14:paraId="64EA2FF4" w14:textId="77777777" w:rsidR="00E541EE" w:rsidRPr="00631232" w:rsidRDefault="00E541EE" w:rsidP="00E541EE">
      <w:pPr>
        <w:autoSpaceDE w:val="0"/>
        <w:autoSpaceDN w:val="0"/>
        <w:adjustRightInd w:val="0"/>
        <w:jc w:val="both"/>
        <w:rPr>
          <w:rFonts w:ascii="Arial" w:hAnsi="Arial" w:cs="Arial"/>
          <w:sz w:val="24"/>
          <w:szCs w:val="24"/>
        </w:rPr>
      </w:pPr>
      <w:r w:rsidRPr="00631232">
        <w:rPr>
          <w:rFonts w:ascii="Arial" w:hAnsi="Arial" w:cs="Arial"/>
          <w:b/>
          <w:bCs/>
          <w:sz w:val="24"/>
          <w:szCs w:val="24"/>
        </w:rPr>
        <w:t xml:space="preserve">Opći cilj: </w:t>
      </w:r>
      <w:r w:rsidRPr="00631232">
        <w:rPr>
          <w:rFonts w:ascii="Arial" w:hAnsi="Arial" w:cs="Arial"/>
          <w:sz w:val="24"/>
          <w:szCs w:val="24"/>
        </w:rPr>
        <w:t>Projekt H2O Rovinj-Rovigno predstavlja integrirani projekt zelene urbane obnove Rovinja kroz implementaciju projektnih sadržaja zelene infrastrukture. Središnju aktivnost predstavlja izgradnja i opremanje tematskog parka H2</w:t>
      </w:r>
      <w:r>
        <w:rPr>
          <w:rFonts w:ascii="Arial" w:hAnsi="Arial" w:cs="Arial"/>
          <w:sz w:val="24"/>
          <w:szCs w:val="24"/>
        </w:rPr>
        <w:t>O</w:t>
      </w:r>
      <w:r w:rsidRPr="00631232">
        <w:rPr>
          <w:rFonts w:ascii="Arial" w:hAnsi="Arial" w:cs="Arial"/>
          <w:sz w:val="24"/>
          <w:szCs w:val="24"/>
        </w:rPr>
        <w:t xml:space="preserve"> na lokaciji Cuvi. Park je tematiziran edukativno-interpretacijskim  sadržajima održivog upravljanja vodom i vodnim resursima</w:t>
      </w:r>
    </w:p>
    <w:p w14:paraId="073E8C9E" w14:textId="77777777" w:rsidR="00E541EE" w:rsidRDefault="00E541EE" w:rsidP="00E541EE">
      <w:pPr>
        <w:autoSpaceDE w:val="0"/>
        <w:autoSpaceDN w:val="0"/>
        <w:adjustRightInd w:val="0"/>
        <w:jc w:val="both"/>
        <w:rPr>
          <w:rFonts w:ascii="Arial" w:hAnsi="Arial" w:cs="Arial"/>
          <w:sz w:val="24"/>
          <w:szCs w:val="24"/>
        </w:rPr>
      </w:pPr>
      <w:r w:rsidRPr="00631232">
        <w:rPr>
          <w:rFonts w:ascii="Arial" w:hAnsi="Arial" w:cs="Arial"/>
          <w:b/>
          <w:sz w:val="24"/>
          <w:szCs w:val="24"/>
        </w:rPr>
        <w:t>Pokazatelj uspješnosti:</w:t>
      </w:r>
      <w:r w:rsidRPr="00631232">
        <w:rPr>
          <w:rFonts w:ascii="Arial" w:hAnsi="Arial" w:cs="Arial"/>
          <w:sz w:val="24"/>
          <w:szCs w:val="24"/>
        </w:rPr>
        <w:t xml:space="preserve"> </w:t>
      </w:r>
      <w:r>
        <w:rPr>
          <w:rFonts w:ascii="Arial" w:hAnsi="Arial" w:cs="Arial"/>
          <w:sz w:val="24"/>
          <w:szCs w:val="24"/>
        </w:rPr>
        <w:t>o</w:t>
      </w:r>
      <w:r w:rsidRPr="00631232">
        <w:rPr>
          <w:rFonts w:ascii="Arial" w:hAnsi="Arial" w:cs="Arial"/>
          <w:sz w:val="24"/>
          <w:szCs w:val="24"/>
        </w:rPr>
        <w:t>drađene aktivnosti u sklopu projekta.</w:t>
      </w:r>
    </w:p>
    <w:p w14:paraId="05A54F3C" w14:textId="77777777" w:rsidR="00E541EE" w:rsidRDefault="00E541EE" w:rsidP="00E541EE">
      <w:pPr>
        <w:autoSpaceDE w:val="0"/>
        <w:autoSpaceDN w:val="0"/>
        <w:adjustRightInd w:val="0"/>
        <w:jc w:val="both"/>
        <w:rPr>
          <w:rFonts w:ascii="Arial" w:hAnsi="Arial" w:cs="Arial"/>
          <w:sz w:val="24"/>
          <w:szCs w:val="24"/>
        </w:rPr>
      </w:pPr>
    </w:p>
    <w:p w14:paraId="31DD6F5D" w14:textId="77777777" w:rsidR="00E541EE" w:rsidRDefault="00E541EE" w:rsidP="00E541EE">
      <w:pPr>
        <w:autoSpaceDE w:val="0"/>
        <w:autoSpaceDN w:val="0"/>
        <w:adjustRightInd w:val="0"/>
        <w:jc w:val="both"/>
        <w:rPr>
          <w:rFonts w:ascii="Arial" w:hAnsi="Arial" w:cs="Arial"/>
          <w:sz w:val="24"/>
          <w:szCs w:val="24"/>
        </w:rPr>
      </w:pPr>
    </w:p>
    <w:p w14:paraId="17060FF7" w14:textId="77777777" w:rsidR="00E541EE" w:rsidRDefault="00E541EE" w:rsidP="00E541EE">
      <w:pPr>
        <w:autoSpaceDE w:val="0"/>
        <w:autoSpaceDN w:val="0"/>
        <w:adjustRightInd w:val="0"/>
        <w:jc w:val="both"/>
        <w:rPr>
          <w:rFonts w:ascii="Arial" w:hAnsi="Arial" w:cs="Arial"/>
          <w:sz w:val="24"/>
          <w:szCs w:val="24"/>
        </w:rPr>
      </w:pPr>
    </w:p>
    <w:p w14:paraId="5E9F2DA7" w14:textId="207C1402" w:rsidR="00E541EE" w:rsidRPr="00CA1154" w:rsidRDefault="00E541EE" w:rsidP="00E541EE">
      <w:pPr>
        <w:pBdr>
          <w:top w:val="single" w:sz="4" w:space="1" w:color="auto"/>
          <w:left w:val="single" w:sz="4" w:space="4" w:color="auto"/>
          <w:bottom w:val="single" w:sz="4" w:space="0" w:color="auto"/>
          <w:right w:val="single" w:sz="4" w:space="0" w:color="auto"/>
        </w:pBdr>
        <w:shd w:val="clear" w:color="auto" w:fill="FFCB97"/>
        <w:jc w:val="both"/>
        <w:rPr>
          <w:rFonts w:ascii="Arial" w:eastAsia="Times New Roman" w:hAnsi="Arial" w:cs="Arial"/>
          <w:i/>
          <w:sz w:val="24"/>
          <w:szCs w:val="24"/>
        </w:rPr>
      </w:pPr>
      <w:r w:rsidRPr="00CA1154">
        <w:rPr>
          <w:rFonts w:ascii="Arial" w:eastAsia="Times New Roman" w:hAnsi="Arial" w:cs="Arial"/>
          <w:b/>
          <w:sz w:val="24"/>
          <w:szCs w:val="24"/>
        </w:rPr>
        <w:t xml:space="preserve">RAZDJEL 004: UPRAVNI ODJEL ZA PROSTORNO PLANIRANJE, ZAŠTITU OKOLIŠA I IZDAVANJE AKATA </w:t>
      </w:r>
      <w:r w:rsidRPr="00CA1154">
        <w:rPr>
          <w:rFonts w:ascii="Arial" w:eastAsia="Times New Roman" w:hAnsi="Arial" w:cs="Arial"/>
          <w:b/>
          <w:bCs/>
          <w:sz w:val="24"/>
          <w:szCs w:val="24"/>
        </w:rPr>
        <w:t xml:space="preserve">= </w:t>
      </w:r>
      <w:r w:rsidR="001F38D6">
        <w:rPr>
          <w:rFonts w:ascii="Arial" w:eastAsia="Times New Roman" w:hAnsi="Arial" w:cs="Arial"/>
          <w:b/>
          <w:bCs/>
          <w:sz w:val="24"/>
          <w:szCs w:val="24"/>
        </w:rPr>
        <w:t>530</w:t>
      </w:r>
      <w:r w:rsidRPr="00CA1154">
        <w:rPr>
          <w:rFonts w:ascii="Arial" w:eastAsia="Times New Roman" w:hAnsi="Arial" w:cs="Arial"/>
          <w:b/>
          <w:sz w:val="24"/>
          <w:szCs w:val="24"/>
        </w:rPr>
        <w:t>.</w:t>
      </w:r>
      <w:r w:rsidR="001F38D6">
        <w:rPr>
          <w:rFonts w:ascii="Arial" w:eastAsia="Times New Roman" w:hAnsi="Arial" w:cs="Arial"/>
          <w:b/>
          <w:sz w:val="24"/>
          <w:szCs w:val="24"/>
        </w:rPr>
        <w:t>000</w:t>
      </w:r>
      <w:r w:rsidRPr="00CA1154">
        <w:rPr>
          <w:rFonts w:ascii="Arial" w:eastAsia="Times New Roman" w:hAnsi="Arial" w:cs="Arial"/>
          <w:b/>
          <w:sz w:val="24"/>
          <w:szCs w:val="24"/>
        </w:rPr>
        <w:t>,00 EUR</w:t>
      </w:r>
    </w:p>
    <w:p w14:paraId="1BA73EFB" w14:textId="77777777" w:rsidR="00E541EE" w:rsidRPr="00CA1154" w:rsidRDefault="00E541EE" w:rsidP="00E541EE">
      <w:pPr>
        <w:jc w:val="both"/>
        <w:rPr>
          <w:rFonts w:ascii="Arial" w:eastAsia="Times New Roman" w:hAnsi="Arial" w:cs="Arial"/>
          <w:sz w:val="24"/>
          <w:szCs w:val="24"/>
        </w:rPr>
      </w:pPr>
    </w:p>
    <w:p w14:paraId="7A27D874" w14:textId="4EB04075" w:rsidR="00E541EE" w:rsidRPr="00CA1154" w:rsidRDefault="00E541EE" w:rsidP="00E541EE">
      <w:pPr>
        <w:pBdr>
          <w:top w:val="single" w:sz="4" w:space="1" w:color="auto"/>
          <w:left w:val="single" w:sz="4" w:space="4" w:color="auto"/>
          <w:bottom w:val="single" w:sz="4" w:space="2" w:color="auto"/>
          <w:right w:val="single" w:sz="4" w:space="4" w:color="auto"/>
        </w:pBdr>
        <w:shd w:val="clear" w:color="auto" w:fill="B1EDA0"/>
        <w:jc w:val="both"/>
        <w:rPr>
          <w:rFonts w:ascii="Arial" w:eastAsia="Times New Roman" w:hAnsi="Arial" w:cs="Arial"/>
          <w:b/>
          <w:sz w:val="24"/>
          <w:szCs w:val="24"/>
        </w:rPr>
      </w:pPr>
      <w:r w:rsidRPr="00CA1154">
        <w:rPr>
          <w:rFonts w:ascii="Arial" w:eastAsia="Times New Roman" w:hAnsi="Arial" w:cs="Arial"/>
          <w:b/>
          <w:bCs/>
          <w:sz w:val="24"/>
          <w:szCs w:val="24"/>
        </w:rPr>
        <w:t xml:space="preserve">GLAVA 00401: UPRAVNI ODJEL ZA PROSTORNO PLANIRANJE, ZAŠTITU OKOLIŠA I IZDAVANJE AKATA </w:t>
      </w:r>
      <w:r w:rsidRPr="00CA1154">
        <w:rPr>
          <w:rFonts w:ascii="Arial" w:eastAsia="Times New Roman" w:hAnsi="Arial" w:cs="Arial"/>
          <w:b/>
          <w:sz w:val="24"/>
          <w:szCs w:val="24"/>
        </w:rPr>
        <w:t xml:space="preserve">= </w:t>
      </w:r>
      <w:r w:rsidR="00F36433">
        <w:rPr>
          <w:rFonts w:ascii="Arial" w:eastAsia="Times New Roman" w:hAnsi="Arial" w:cs="Arial"/>
          <w:b/>
          <w:sz w:val="24"/>
          <w:szCs w:val="24"/>
        </w:rPr>
        <w:t>530</w:t>
      </w:r>
      <w:r w:rsidRPr="00CA1154">
        <w:rPr>
          <w:rFonts w:ascii="Arial" w:eastAsia="Times New Roman" w:hAnsi="Arial" w:cs="Arial"/>
          <w:b/>
          <w:sz w:val="24"/>
          <w:szCs w:val="24"/>
        </w:rPr>
        <w:t>.</w:t>
      </w:r>
      <w:r w:rsidR="00F36433">
        <w:rPr>
          <w:rFonts w:ascii="Arial" w:eastAsia="Times New Roman" w:hAnsi="Arial" w:cs="Arial"/>
          <w:b/>
          <w:sz w:val="24"/>
          <w:szCs w:val="24"/>
        </w:rPr>
        <w:t>0</w:t>
      </w:r>
      <w:r w:rsidRPr="00CA1154">
        <w:rPr>
          <w:rFonts w:ascii="Arial" w:eastAsia="Times New Roman" w:hAnsi="Arial" w:cs="Arial"/>
          <w:b/>
          <w:sz w:val="24"/>
          <w:szCs w:val="24"/>
        </w:rPr>
        <w:t>00,00 EUR</w:t>
      </w:r>
    </w:p>
    <w:p w14:paraId="65A7DFF6" w14:textId="77777777" w:rsidR="00E541EE" w:rsidRPr="00CA1154" w:rsidRDefault="00E541EE" w:rsidP="00E541EE">
      <w:pPr>
        <w:jc w:val="both"/>
        <w:rPr>
          <w:rFonts w:ascii="Arial" w:eastAsia="Times New Roman" w:hAnsi="Arial" w:cs="Arial"/>
          <w:sz w:val="24"/>
          <w:szCs w:val="24"/>
        </w:rPr>
      </w:pPr>
    </w:p>
    <w:p w14:paraId="7447CA17" w14:textId="7E758563" w:rsidR="00E541EE" w:rsidRPr="00CA1154" w:rsidRDefault="00E541EE" w:rsidP="00E541EE">
      <w:pPr>
        <w:pBdr>
          <w:top w:val="single" w:sz="4" w:space="1" w:color="auto"/>
          <w:left w:val="single" w:sz="4" w:space="4" w:color="auto"/>
          <w:bottom w:val="single" w:sz="4" w:space="1" w:color="auto"/>
          <w:right w:val="single" w:sz="4" w:space="4" w:color="auto"/>
        </w:pBdr>
        <w:shd w:val="clear" w:color="auto" w:fill="FFFF80"/>
        <w:jc w:val="both"/>
        <w:rPr>
          <w:rFonts w:ascii="Arial" w:eastAsia="Times New Roman" w:hAnsi="Arial" w:cs="Arial"/>
          <w:b/>
          <w:bCs/>
          <w:sz w:val="24"/>
          <w:szCs w:val="24"/>
        </w:rPr>
      </w:pPr>
      <w:r w:rsidRPr="00CA1154">
        <w:rPr>
          <w:rFonts w:ascii="Arial" w:eastAsia="Times New Roman" w:hAnsi="Arial" w:cs="Arial"/>
          <w:b/>
          <w:bCs/>
          <w:sz w:val="24"/>
          <w:szCs w:val="24"/>
        </w:rPr>
        <w:t xml:space="preserve">Program 1003: </w:t>
      </w:r>
      <w:r>
        <w:rPr>
          <w:rFonts w:ascii="Arial" w:eastAsia="Times New Roman" w:hAnsi="Arial" w:cs="Arial"/>
          <w:b/>
          <w:bCs/>
          <w:sz w:val="24"/>
          <w:szCs w:val="24"/>
        </w:rPr>
        <w:t xml:space="preserve">Mjere i aktivnosti iz djelokruga upravnog tijela </w:t>
      </w:r>
      <w:r w:rsidRPr="00CA1154">
        <w:rPr>
          <w:rFonts w:ascii="Arial" w:eastAsia="Times New Roman" w:hAnsi="Arial" w:cs="Arial"/>
          <w:b/>
          <w:bCs/>
          <w:sz w:val="24"/>
          <w:szCs w:val="24"/>
        </w:rPr>
        <w:t xml:space="preserve">= </w:t>
      </w:r>
      <w:r w:rsidR="00F36433">
        <w:rPr>
          <w:rFonts w:ascii="Arial" w:eastAsia="Times New Roman" w:hAnsi="Arial" w:cs="Arial"/>
          <w:b/>
          <w:bCs/>
          <w:sz w:val="24"/>
          <w:szCs w:val="24"/>
        </w:rPr>
        <w:t>319</w:t>
      </w:r>
      <w:r w:rsidRPr="00CA1154">
        <w:rPr>
          <w:rFonts w:ascii="Arial" w:eastAsia="Times New Roman" w:hAnsi="Arial" w:cs="Arial"/>
          <w:b/>
          <w:bCs/>
          <w:sz w:val="24"/>
          <w:szCs w:val="24"/>
        </w:rPr>
        <w:t>.</w:t>
      </w:r>
      <w:r w:rsidR="00F36433">
        <w:rPr>
          <w:rFonts w:ascii="Arial" w:eastAsia="Times New Roman" w:hAnsi="Arial" w:cs="Arial"/>
          <w:b/>
          <w:bCs/>
          <w:sz w:val="24"/>
          <w:szCs w:val="24"/>
        </w:rPr>
        <w:t>5</w:t>
      </w:r>
      <w:r w:rsidRPr="00CA1154">
        <w:rPr>
          <w:rFonts w:ascii="Arial" w:eastAsia="Times New Roman" w:hAnsi="Arial" w:cs="Arial"/>
          <w:b/>
          <w:bCs/>
          <w:sz w:val="24"/>
          <w:szCs w:val="24"/>
        </w:rPr>
        <w:t xml:space="preserve">00,00 EUR  </w:t>
      </w:r>
    </w:p>
    <w:p w14:paraId="0120B983" w14:textId="77777777" w:rsidR="00E541EE" w:rsidRDefault="00E541EE" w:rsidP="00E541EE">
      <w:pPr>
        <w:jc w:val="both"/>
        <w:rPr>
          <w:rFonts w:ascii="Arial" w:eastAsia="Times New Roman" w:hAnsi="Arial" w:cs="Arial"/>
          <w:b/>
          <w:bCs/>
          <w:sz w:val="24"/>
          <w:szCs w:val="24"/>
        </w:rPr>
      </w:pPr>
    </w:p>
    <w:tbl>
      <w:tblPr>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9"/>
        <w:gridCol w:w="992"/>
        <w:gridCol w:w="1134"/>
        <w:gridCol w:w="850"/>
        <w:gridCol w:w="851"/>
        <w:gridCol w:w="926"/>
        <w:gridCol w:w="977"/>
        <w:gridCol w:w="926"/>
        <w:gridCol w:w="709"/>
        <w:gridCol w:w="567"/>
        <w:gridCol w:w="850"/>
      </w:tblGrid>
      <w:tr w:rsidR="00E541EE" w:rsidRPr="007606C8" w14:paraId="0AF3EE69" w14:textId="77777777" w:rsidTr="00807E36">
        <w:trPr>
          <w:trHeight w:val="638"/>
          <w:jc w:val="center"/>
        </w:trPr>
        <w:tc>
          <w:tcPr>
            <w:tcW w:w="1419" w:type="dxa"/>
            <w:vMerge w:val="restart"/>
          </w:tcPr>
          <w:p w14:paraId="5F799275" w14:textId="77777777" w:rsidR="00E541EE" w:rsidRPr="00E11721" w:rsidRDefault="00E541EE" w:rsidP="00A84BB5">
            <w:pPr>
              <w:pStyle w:val="TableParagraph"/>
              <w:spacing w:before="49" w:line="276" w:lineRule="auto"/>
              <w:ind w:left="44" w:right="35"/>
              <w:jc w:val="center"/>
              <w:rPr>
                <w:rFonts w:asciiTheme="minorHAnsi" w:hAnsiTheme="minorHAnsi" w:cstheme="minorHAnsi"/>
                <w:b/>
                <w:sz w:val="15"/>
                <w:szCs w:val="15"/>
              </w:rPr>
            </w:pPr>
            <w:r w:rsidRPr="00E11721">
              <w:rPr>
                <w:rFonts w:asciiTheme="minorHAnsi" w:hAnsiTheme="minorHAnsi" w:cstheme="minorHAnsi"/>
                <w:b/>
                <w:sz w:val="15"/>
                <w:szCs w:val="15"/>
              </w:rPr>
              <w:t>Doprinos</w:t>
            </w:r>
            <w:r w:rsidRPr="00E11721">
              <w:rPr>
                <w:rFonts w:asciiTheme="minorHAnsi" w:hAnsiTheme="minorHAnsi" w:cstheme="minorHAnsi"/>
                <w:b/>
                <w:spacing w:val="-34"/>
                <w:sz w:val="15"/>
                <w:szCs w:val="15"/>
              </w:rPr>
              <w:t xml:space="preserve"> </w:t>
            </w:r>
            <w:r w:rsidRPr="00E11721">
              <w:rPr>
                <w:rFonts w:asciiTheme="minorHAnsi" w:hAnsiTheme="minorHAnsi" w:cstheme="minorHAnsi"/>
                <w:b/>
                <w:sz w:val="15"/>
                <w:szCs w:val="15"/>
              </w:rPr>
              <w:t>provedbi</w:t>
            </w:r>
          </w:p>
          <w:p w14:paraId="55F4715D" w14:textId="77777777" w:rsidR="00E541EE" w:rsidRPr="00E11721" w:rsidRDefault="00E541EE" w:rsidP="00A84BB5">
            <w:pPr>
              <w:pStyle w:val="TableParagraph"/>
              <w:spacing w:line="276" w:lineRule="auto"/>
              <w:ind w:left="44" w:right="35"/>
              <w:jc w:val="center"/>
              <w:rPr>
                <w:rFonts w:asciiTheme="minorHAnsi" w:hAnsiTheme="minorHAnsi" w:cstheme="minorHAnsi"/>
                <w:b/>
                <w:sz w:val="15"/>
                <w:szCs w:val="15"/>
              </w:rPr>
            </w:pPr>
            <w:r w:rsidRPr="00E11721">
              <w:rPr>
                <w:rFonts w:asciiTheme="minorHAnsi" w:hAnsiTheme="minorHAnsi" w:cstheme="minorHAnsi"/>
                <w:b/>
                <w:sz w:val="15"/>
                <w:szCs w:val="15"/>
              </w:rPr>
              <w:t>nadređenog</w:t>
            </w:r>
          </w:p>
          <w:p w14:paraId="1DADE071" w14:textId="77777777" w:rsidR="00E541EE" w:rsidRPr="00E11721" w:rsidRDefault="00E541EE" w:rsidP="00A84BB5">
            <w:pPr>
              <w:pStyle w:val="TableParagraph"/>
              <w:spacing w:before="49" w:line="276" w:lineRule="auto"/>
              <w:ind w:left="44" w:right="35"/>
              <w:jc w:val="center"/>
              <w:rPr>
                <w:rFonts w:asciiTheme="minorHAnsi" w:hAnsiTheme="minorHAnsi" w:cstheme="minorHAnsi"/>
                <w:b/>
                <w:sz w:val="15"/>
                <w:szCs w:val="15"/>
              </w:rPr>
            </w:pPr>
            <w:r w:rsidRPr="00E11721">
              <w:rPr>
                <w:rFonts w:asciiTheme="minorHAnsi" w:hAnsiTheme="minorHAnsi" w:cstheme="minorHAnsi"/>
                <w:b/>
                <w:sz w:val="15"/>
                <w:szCs w:val="15"/>
              </w:rPr>
              <w:t>akta</w:t>
            </w:r>
            <w:r w:rsidRPr="00E11721">
              <w:rPr>
                <w:rFonts w:asciiTheme="minorHAnsi" w:hAnsiTheme="minorHAnsi" w:cstheme="minorHAnsi"/>
                <w:b/>
                <w:spacing w:val="1"/>
                <w:sz w:val="15"/>
                <w:szCs w:val="15"/>
              </w:rPr>
              <w:t xml:space="preserve"> </w:t>
            </w:r>
            <w:r w:rsidRPr="00E11721">
              <w:rPr>
                <w:rFonts w:asciiTheme="minorHAnsi" w:hAnsiTheme="minorHAnsi" w:cstheme="minorHAnsi"/>
                <w:b/>
                <w:sz w:val="15"/>
                <w:szCs w:val="15"/>
              </w:rPr>
              <w:t>strateškog</w:t>
            </w:r>
            <w:r w:rsidRPr="00E11721">
              <w:rPr>
                <w:rFonts w:asciiTheme="minorHAnsi" w:hAnsiTheme="minorHAnsi" w:cstheme="minorHAnsi"/>
                <w:b/>
                <w:spacing w:val="-34"/>
                <w:sz w:val="15"/>
                <w:szCs w:val="15"/>
              </w:rPr>
              <w:t xml:space="preserve"> </w:t>
            </w:r>
            <w:r w:rsidRPr="00E11721">
              <w:rPr>
                <w:rFonts w:asciiTheme="minorHAnsi" w:hAnsiTheme="minorHAnsi" w:cstheme="minorHAnsi"/>
                <w:b/>
                <w:sz w:val="15"/>
                <w:szCs w:val="15"/>
              </w:rPr>
              <w:t>planiranja</w:t>
            </w:r>
          </w:p>
        </w:tc>
        <w:tc>
          <w:tcPr>
            <w:tcW w:w="992" w:type="dxa"/>
            <w:vMerge w:val="restart"/>
          </w:tcPr>
          <w:p w14:paraId="328818DB" w14:textId="77777777" w:rsidR="00E541EE" w:rsidRPr="00E11721" w:rsidRDefault="00E541EE" w:rsidP="00A84BB5">
            <w:pPr>
              <w:pStyle w:val="TableParagraph"/>
              <w:spacing w:line="276" w:lineRule="auto"/>
              <w:ind w:left="44" w:right="35"/>
              <w:jc w:val="center"/>
              <w:rPr>
                <w:rFonts w:asciiTheme="minorHAnsi" w:hAnsiTheme="minorHAnsi" w:cstheme="minorHAnsi"/>
                <w:b/>
                <w:sz w:val="15"/>
                <w:szCs w:val="15"/>
              </w:rPr>
            </w:pPr>
          </w:p>
          <w:p w14:paraId="2A2E602D" w14:textId="77777777" w:rsidR="00E541EE" w:rsidRPr="00E11721" w:rsidRDefault="00E541EE" w:rsidP="00A84BB5">
            <w:pPr>
              <w:pStyle w:val="TableParagraph"/>
              <w:spacing w:line="276" w:lineRule="auto"/>
              <w:ind w:left="44" w:right="35"/>
              <w:jc w:val="center"/>
              <w:rPr>
                <w:rFonts w:asciiTheme="minorHAnsi" w:hAnsiTheme="minorHAnsi" w:cstheme="minorHAnsi"/>
                <w:b/>
                <w:sz w:val="15"/>
                <w:szCs w:val="15"/>
              </w:rPr>
            </w:pPr>
            <w:r w:rsidRPr="00E11721">
              <w:rPr>
                <w:rFonts w:asciiTheme="minorHAnsi" w:hAnsiTheme="minorHAnsi" w:cstheme="minorHAnsi"/>
                <w:b/>
                <w:sz w:val="15"/>
                <w:szCs w:val="15"/>
              </w:rPr>
              <w:t>Naziv</w:t>
            </w:r>
            <w:r w:rsidRPr="00E11721">
              <w:rPr>
                <w:rFonts w:asciiTheme="minorHAnsi" w:hAnsiTheme="minorHAnsi" w:cstheme="minorHAnsi"/>
                <w:b/>
                <w:spacing w:val="-3"/>
                <w:sz w:val="15"/>
                <w:szCs w:val="15"/>
              </w:rPr>
              <w:t xml:space="preserve"> </w:t>
            </w:r>
            <w:r w:rsidRPr="00E11721">
              <w:rPr>
                <w:rFonts w:asciiTheme="minorHAnsi" w:hAnsiTheme="minorHAnsi" w:cstheme="minorHAnsi"/>
                <w:b/>
                <w:sz w:val="15"/>
                <w:szCs w:val="15"/>
              </w:rPr>
              <w:t>cilja nadređenog</w:t>
            </w:r>
            <w:r w:rsidRPr="00E11721">
              <w:rPr>
                <w:rFonts w:asciiTheme="minorHAnsi" w:hAnsiTheme="minorHAnsi" w:cstheme="minorHAnsi"/>
                <w:b/>
                <w:spacing w:val="1"/>
                <w:sz w:val="15"/>
                <w:szCs w:val="15"/>
              </w:rPr>
              <w:t xml:space="preserve"> </w:t>
            </w:r>
            <w:r w:rsidRPr="00E11721">
              <w:rPr>
                <w:rFonts w:asciiTheme="minorHAnsi" w:hAnsiTheme="minorHAnsi" w:cstheme="minorHAnsi"/>
                <w:b/>
                <w:spacing w:val="-1"/>
                <w:sz w:val="15"/>
                <w:szCs w:val="15"/>
              </w:rPr>
              <w:t>akta</w:t>
            </w:r>
            <w:r w:rsidRPr="00E11721">
              <w:rPr>
                <w:rFonts w:asciiTheme="minorHAnsi" w:hAnsiTheme="minorHAnsi" w:cstheme="minorHAnsi"/>
                <w:b/>
                <w:spacing w:val="-2"/>
                <w:sz w:val="15"/>
                <w:szCs w:val="15"/>
              </w:rPr>
              <w:t xml:space="preserve"> </w:t>
            </w:r>
            <w:r w:rsidRPr="00E11721">
              <w:rPr>
                <w:rFonts w:asciiTheme="minorHAnsi" w:hAnsiTheme="minorHAnsi" w:cstheme="minorHAnsi"/>
                <w:b/>
                <w:spacing w:val="-1"/>
                <w:sz w:val="15"/>
                <w:szCs w:val="15"/>
              </w:rPr>
              <w:t xml:space="preserve">strateškog </w:t>
            </w:r>
            <w:r w:rsidRPr="00E11721">
              <w:rPr>
                <w:rFonts w:asciiTheme="minorHAnsi" w:hAnsiTheme="minorHAnsi" w:cstheme="minorHAnsi"/>
                <w:b/>
                <w:sz w:val="15"/>
                <w:szCs w:val="15"/>
              </w:rPr>
              <w:t>planiranja</w:t>
            </w:r>
          </w:p>
        </w:tc>
        <w:tc>
          <w:tcPr>
            <w:tcW w:w="1134" w:type="dxa"/>
            <w:vMerge w:val="restart"/>
            <w:vAlign w:val="center"/>
          </w:tcPr>
          <w:p w14:paraId="502C7749" w14:textId="77777777" w:rsidR="00E541EE" w:rsidRPr="00E11721" w:rsidRDefault="00E541EE" w:rsidP="00A84BB5">
            <w:pPr>
              <w:pStyle w:val="TableParagraph"/>
              <w:spacing w:line="276" w:lineRule="auto"/>
              <w:ind w:left="125" w:right="114"/>
              <w:jc w:val="center"/>
              <w:rPr>
                <w:rFonts w:asciiTheme="minorHAnsi" w:hAnsiTheme="minorHAnsi" w:cstheme="minorHAnsi"/>
                <w:b/>
                <w:sz w:val="15"/>
                <w:szCs w:val="15"/>
              </w:rPr>
            </w:pPr>
            <w:r w:rsidRPr="00E11721">
              <w:rPr>
                <w:rFonts w:asciiTheme="minorHAnsi" w:hAnsiTheme="minorHAnsi" w:cstheme="minorHAnsi"/>
                <w:b/>
                <w:spacing w:val="-1"/>
                <w:sz w:val="15"/>
                <w:szCs w:val="15"/>
              </w:rPr>
              <w:t xml:space="preserve">Program </w:t>
            </w:r>
            <w:r w:rsidRPr="00E11721">
              <w:rPr>
                <w:rFonts w:asciiTheme="minorHAnsi" w:hAnsiTheme="minorHAnsi" w:cstheme="minorHAnsi"/>
                <w:b/>
                <w:sz w:val="15"/>
                <w:szCs w:val="15"/>
              </w:rPr>
              <w:t>u</w:t>
            </w:r>
            <w:r w:rsidRPr="00E11721">
              <w:rPr>
                <w:rFonts w:asciiTheme="minorHAnsi" w:hAnsiTheme="minorHAnsi" w:cstheme="minorHAnsi"/>
                <w:b/>
                <w:spacing w:val="-34"/>
                <w:sz w:val="15"/>
                <w:szCs w:val="15"/>
              </w:rPr>
              <w:t xml:space="preserve"> </w:t>
            </w:r>
            <w:r w:rsidRPr="00E11721">
              <w:rPr>
                <w:rFonts w:asciiTheme="minorHAnsi" w:hAnsiTheme="minorHAnsi" w:cstheme="minorHAnsi"/>
                <w:b/>
                <w:sz w:val="15"/>
                <w:szCs w:val="15"/>
              </w:rPr>
              <w:t xml:space="preserve">proračunu </w:t>
            </w:r>
            <w:r w:rsidRPr="00E11721">
              <w:rPr>
                <w:rFonts w:asciiTheme="minorHAnsi" w:hAnsiTheme="minorHAnsi" w:cstheme="minorHAnsi"/>
                <w:b/>
                <w:spacing w:val="-34"/>
                <w:sz w:val="15"/>
                <w:szCs w:val="15"/>
              </w:rPr>
              <w:t xml:space="preserve"> </w:t>
            </w:r>
            <w:r w:rsidRPr="00E11721">
              <w:rPr>
                <w:rFonts w:asciiTheme="minorHAnsi" w:hAnsiTheme="minorHAnsi" w:cstheme="minorHAnsi"/>
                <w:b/>
                <w:sz w:val="15"/>
                <w:szCs w:val="15"/>
              </w:rPr>
              <w:t>JLS</w:t>
            </w:r>
          </w:p>
        </w:tc>
        <w:tc>
          <w:tcPr>
            <w:tcW w:w="850" w:type="dxa"/>
            <w:vMerge w:val="restart"/>
            <w:vAlign w:val="center"/>
          </w:tcPr>
          <w:p w14:paraId="54E91CA9" w14:textId="77777777" w:rsidR="00E541EE" w:rsidRPr="00E11721" w:rsidRDefault="00E541EE" w:rsidP="00A84BB5">
            <w:pPr>
              <w:pStyle w:val="TableParagraph"/>
              <w:spacing w:line="276" w:lineRule="auto"/>
              <w:ind w:left="179"/>
              <w:jc w:val="center"/>
              <w:rPr>
                <w:rFonts w:asciiTheme="minorHAnsi" w:hAnsiTheme="minorHAnsi" w:cstheme="minorHAnsi"/>
                <w:b/>
                <w:sz w:val="15"/>
                <w:szCs w:val="15"/>
              </w:rPr>
            </w:pPr>
            <w:r w:rsidRPr="00E11721">
              <w:rPr>
                <w:rFonts w:asciiTheme="minorHAnsi" w:hAnsiTheme="minorHAnsi" w:cstheme="minorHAnsi"/>
                <w:b/>
                <w:sz w:val="15"/>
                <w:szCs w:val="15"/>
              </w:rPr>
              <w:t>Naziv</w:t>
            </w:r>
            <w:r w:rsidRPr="00E11721">
              <w:rPr>
                <w:rFonts w:asciiTheme="minorHAnsi" w:hAnsiTheme="minorHAnsi" w:cstheme="minorHAnsi"/>
                <w:b/>
                <w:spacing w:val="-2"/>
                <w:sz w:val="15"/>
                <w:szCs w:val="15"/>
              </w:rPr>
              <w:t xml:space="preserve"> </w:t>
            </w:r>
            <w:r w:rsidRPr="00E11721">
              <w:rPr>
                <w:rFonts w:asciiTheme="minorHAnsi" w:hAnsiTheme="minorHAnsi" w:cstheme="minorHAnsi"/>
                <w:b/>
                <w:sz w:val="15"/>
                <w:szCs w:val="15"/>
              </w:rPr>
              <w:t>mjere</w:t>
            </w:r>
          </w:p>
        </w:tc>
        <w:tc>
          <w:tcPr>
            <w:tcW w:w="851" w:type="dxa"/>
            <w:vMerge w:val="restart"/>
            <w:vAlign w:val="center"/>
          </w:tcPr>
          <w:p w14:paraId="0DFD63E0" w14:textId="77777777" w:rsidR="00E541EE" w:rsidRPr="00E11721" w:rsidRDefault="00E541EE" w:rsidP="00A84BB5">
            <w:pPr>
              <w:pStyle w:val="TableParagraph"/>
              <w:spacing w:line="276" w:lineRule="auto"/>
              <w:ind w:left="70" w:right="60"/>
              <w:jc w:val="center"/>
              <w:rPr>
                <w:rFonts w:asciiTheme="minorHAnsi" w:hAnsiTheme="minorHAnsi" w:cstheme="minorHAnsi"/>
                <w:b/>
                <w:sz w:val="15"/>
                <w:szCs w:val="15"/>
              </w:rPr>
            </w:pPr>
            <w:r w:rsidRPr="00E11721">
              <w:rPr>
                <w:rFonts w:asciiTheme="minorHAnsi" w:hAnsiTheme="minorHAnsi" w:cstheme="minorHAnsi"/>
                <w:b/>
                <w:sz w:val="15"/>
                <w:szCs w:val="15"/>
              </w:rPr>
              <w:t>Procijenjeni</w:t>
            </w:r>
            <w:r w:rsidRPr="00E11721">
              <w:rPr>
                <w:rFonts w:asciiTheme="minorHAnsi" w:hAnsiTheme="minorHAnsi" w:cstheme="minorHAnsi"/>
                <w:b/>
                <w:spacing w:val="-34"/>
                <w:sz w:val="15"/>
                <w:szCs w:val="15"/>
              </w:rPr>
              <w:t xml:space="preserve"> </w:t>
            </w:r>
            <w:r w:rsidRPr="00E11721">
              <w:rPr>
                <w:rFonts w:asciiTheme="minorHAnsi" w:hAnsiTheme="minorHAnsi" w:cstheme="minorHAnsi"/>
                <w:b/>
                <w:sz w:val="15"/>
                <w:szCs w:val="15"/>
              </w:rPr>
              <w:t>trošak</w:t>
            </w:r>
            <w:r w:rsidRPr="00E11721">
              <w:rPr>
                <w:rFonts w:asciiTheme="minorHAnsi" w:hAnsiTheme="minorHAnsi" w:cstheme="minorHAnsi"/>
                <w:b/>
                <w:spacing w:val="1"/>
                <w:sz w:val="15"/>
                <w:szCs w:val="15"/>
              </w:rPr>
              <w:t xml:space="preserve"> </w:t>
            </w:r>
            <w:r w:rsidRPr="00E11721">
              <w:rPr>
                <w:rFonts w:asciiTheme="minorHAnsi" w:hAnsiTheme="minorHAnsi" w:cstheme="minorHAnsi"/>
                <w:b/>
                <w:sz w:val="15"/>
                <w:szCs w:val="15"/>
              </w:rPr>
              <w:t>provedbe</w:t>
            </w:r>
            <w:r w:rsidRPr="00E11721">
              <w:rPr>
                <w:rFonts w:asciiTheme="minorHAnsi" w:hAnsiTheme="minorHAnsi" w:cstheme="minorHAnsi"/>
                <w:b/>
                <w:spacing w:val="1"/>
                <w:sz w:val="15"/>
                <w:szCs w:val="15"/>
              </w:rPr>
              <w:t xml:space="preserve"> </w:t>
            </w:r>
            <w:r w:rsidRPr="00E11721">
              <w:rPr>
                <w:rFonts w:asciiTheme="minorHAnsi" w:hAnsiTheme="minorHAnsi" w:cstheme="minorHAnsi"/>
                <w:b/>
                <w:sz w:val="15"/>
                <w:szCs w:val="15"/>
              </w:rPr>
              <w:t>mjere 2026.</w:t>
            </w:r>
          </w:p>
          <w:p w14:paraId="4CED521B" w14:textId="77777777" w:rsidR="00E541EE" w:rsidRPr="00E11721" w:rsidRDefault="00E541EE" w:rsidP="00A84BB5">
            <w:pPr>
              <w:pStyle w:val="TableParagraph"/>
              <w:spacing w:before="2" w:line="276" w:lineRule="auto"/>
              <w:ind w:left="70" w:right="58"/>
              <w:jc w:val="center"/>
              <w:rPr>
                <w:rFonts w:asciiTheme="minorHAnsi" w:hAnsiTheme="minorHAnsi" w:cstheme="minorHAnsi"/>
                <w:b/>
                <w:sz w:val="15"/>
                <w:szCs w:val="15"/>
              </w:rPr>
            </w:pPr>
            <w:r w:rsidRPr="00E11721">
              <w:rPr>
                <w:rFonts w:asciiTheme="minorHAnsi" w:hAnsiTheme="minorHAnsi" w:cstheme="minorHAnsi"/>
                <w:b/>
                <w:sz w:val="15"/>
                <w:szCs w:val="15"/>
              </w:rPr>
              <w:t>(u EUR)</w:t>
            </w:r>
          </w:p>
        </w:tc>
        <w:tc>
          <w:tcPr>
            <w:tcW w:w="926" w:type="dxa"/>
            <w:vMerge w:val="restart"/>
            <w:vAlign w:val="center"/>
          </w:tcPr>
          <w:p w14:paraId="4773A575" w14:textId="77777777" w:rsidR="00E541EE" w:rsidRPr="00E11721" w:rsidRDefault="00E541EE" w:rsidP="00A84BB5">
            <w:pPr>
              <w:pStyle w:val="TableParagraph"/>
              <w:spacing w:line="276" w:lineRule="auto"/>
              <w:ind w:left="311"/>
              <w:rPr>
                <w:rFonts w:asciiTheme="minorHAnsi" w:hAnsiTheme="minorHAnsi" w:cstheme="minorHAnsi"/>
                <w:b/>
                <w:sz w:val="15"/>
                <w:szCs w:val="15"/>
              </w:rPr>
            </w:pPr>
            <w:r w:rsidRPr="00E11721">
              <w:rPr>
                <w:rFonts w:asciiTheme="minorHAnsi" w:hAnsiTheme="minorHAnsi" w:cstheme="minorHAnsi"/>
                <w:b/>
                <w:sz w:val="15"/>
                <w:szCs w:val="15"/>
              </w:rPr>
              <w:t>Ključne</w:t>
            </w:r>
          </w:p>
          <w:p w14:paraId="3A9F5691" w14:textId="77777777" w:rsidR="00E541EE" w:rsidRPr="00E11721" w:rsidRDefault="00E541EE" w:rsidP="00A84BB5">
            <w:pPr>
              <w:pStyle w:val="TableParagraph"/>
              <w:spacing w:before="1" w:line="276" w:lineRule="auto"/>
              <w:ind w:left="227"/>
              <w:rPr>
                <w:rFonts w:asciiTheme="minorHAnsi" w:hAnsiTheme="minorHAnsi" w:cstheme="minorHAnsi"/>
                <w:b/>
                <w:sz w:val="15"/>
                <w:szCs w:val="15"/>
              </w:rPr>
            </w:pPr>
            <w:r w:rsidRPr="00E11721">
              <w:rPr>
                <w:rFonts w:asciiTheme="minorHAnsi" w:hAnsiTheme="minorHAnsi" w:cstheme="minorHAnsi"/>
                <w:b/>
                <w:sz w:val="15"/>
                <w:szCs w:val="15"/>
              </w:rPr>
              <w:t>aktivnosti</w:t>
            </w:r>
          </w:p>
        </w:tc>
        <w:tc>
          <w:tcPr>
            <w:tcW w:w="977" w:type="dxa"/>
            <w:vMerge w:val="restart"/>
            <w:vAlign w:val="center"/>
          </w:tcPr>
          <w:p w14:paraId="0DC8C315" w14:textId="77777777" w:rsidR="00E541EE" w:rsidRPr="00E11721" w:rsidRDefault="00E541EE" w:rsidP="00A84BB5">
            <w:pPr>
              <w:pStyle w:val="TableParagraph"/>
              <w:spacing w:line="276" w:lineRule="auto"/>
              <w:ind w:left="174" w:right="97" w:hanging="44"/>
              <w:rPr>
                <w:rFonts w:asciiTheme="minorHAnsi" w:hAnsiTheme="minorHAnsi" w:cstheme="minorHAnsi"/>
                <w:b/>
                <w:sz w:val="15"/>
                <w:szCs w:val="15"/>
              </w:rPr>
            </w:pPr>
            <w:r w:rsidRPr="00E11721">
              <w:rPr>
                <w:rFonts w:asciiTheme="minorHAnsi" w:hAnsiTheme="minorHAnsi" w:cstheme="minorHAnsi"/>
                <w:b/>
                <w:sz w:val="15"/>
                <w:szCs w:val="15"/>
              </w:rPr>
              <w:t>Pokazatelj</w:t>
            </w:r>
            <w:r w:rsidRPr="00E11721">
              <w:rPr>
                <w:rFonts w:asciiTheme="minorHAnsi" w:hAnsiTheme="minorHAnsi" w:cstheme="minorHAnsi"/>
                <w:b/>
                <w:spacing w:val="-34"/>
                <w:sz w:val="15"/>
                <w:szCs w:val="15"/>
              </w:rPr>
              <w:t xml:space="preserve"> </w:t>
            </w:r>
            <w:r w:rsidRPr="00E11721">
              <w:rPr>
                <w:rFonts w:asciiTheme="minorHAnsi" w:hAnsiTheme="minorHAnsi" w:cstheme="minorHAnsi"/>
                <w:b/>
                <w:sz w:val="15"/>
                <w:szCs w:val="15"/>
              </w:rPr>
              <w:t>rezultata</w:t>
            </w:r>
          </w:p>
        </w:tc>
        <w:tc>
          <w:tcPr>
            <w:tcW w:w="926" w:type="dxa"/>
            <w:vMerge w:val="restart"/>
            <w:vAlign w:val="center"/>
          </w:tcPr>
          <w:p w14:paraId="69F0BE44" w14:textId="77777777" w:rsidR="00E541EE" w:rsidRPr="00E11721" w:rsidRDefault="00E541EE" w:rsidP="00A84BB5">
            <w:pPr>
              <w:pStyle w:val="TableParagraph"/>
              <w:spacing w:line="276" w:lineRule="auto"/>
              <w:ind w:left="44" w:right="32"/>
              <w:jc w:val="center"/>
              <w:rPr>
                <w:rFonts w:asciiTheme="minorHAnsi" w:hAnsiTheme="minorHAnsi" w:cstheme="minorHAnsi"/>
                <w:b/>
                <w:sz w:val="15"/>
                <w:szCs w:val="15"/>
              </w:rPr>
            </w:pPr>
            <w:r w:rsidRPr="00E11721">
              <w:rPr>
                <w:rFonts w:asciiTheme="minorHAnsi" w:hAnsiTheme="minorHAnsi" w:cstheme="minorHAnsi"/>
                <w:b/>
                <w:sz w:val="15"/>
                <w:szCs w:val="15"/>
              </w:rPr>
              <w:t>Početna</w:t>
            </w:r>
            <w:r w:rsidRPr="00E11721">
              <w:rPr>
                <w:rFonts w:asciiTheme="minorHAnsi" w:hAnsiTheme="minorHAnsi" w:cstheme="minorHAnsi"/>
                <w:b/>
                <w:spacing w:val="1"/>
                <w:sz w:val="15"/>
                <w:szCs w:val="15"/>
              </w:rPr>
              <w:t xml:space="preserve"> </w:t>
            </w:r>
            <w:r w:rsidRPr="00E11721">
              <w:rPr>
                <w:rFonts w:asciiTheme="minorHAnsi" w:hAnsiTheme="minorHAnsi" w:cstheme="minorHAnsi"/>
                <w:b/>
                <w:sz w:val="15"/>
                <w:szCs w:val="15"/>
              </w:rPr>
              <w:t>vrijednost 2025.</w:t>
            </w:r>
            <w:r w:rsidRPr="00E11721">
              <w:rPr>
                <w:rFonts w:asciiTheme="minorHAnsi" w:hAnsiTheme="minorHAnsi" w:cstheme="minorHAnsi"/>
                <w:b/>
                <w:spacing w:val="-34"/>
                <w:sz w:val="15"/>
                <w:szCs w:val="15"/>
              </w:rPr>
              <w:t xml:space="preserve"> </w:t>
            </w:r>
          </w:p>
        </w:tc>
        <w:tc>
          <w:tcPr>
            <w:tcW w:w="2126" w:type="dxa"/>
            <w:gridSpan w:val="3"/>
            <w:vAlign w:val="center"/>
          </w:tcPr>
          <w:p w14:paraId="53C01509" w14:textId="77777777" w:rsidR="00E541EE" w:rsidRPr="00E11721" w:rsidRDefault="00E541EE" w:rsidP="00A84BB5">
            <w:pPr>
              <w:pStyle w:val="TableParagraph"/>
              <w:spacing w:line="276" w:lineRule="auto"/>
              <w:ind w:left="70" w:right="56"/>
              <w:jc w:val="center"/>
              <w:rPr>
                <w:rFonts w:asciiTheme="minorHAnsi" w:hAnsiTheme="minorHAnsi" w:cstheme="minorHAnsi"/>
                <w:b/>
                <w:sz w:val="15"/>
                <w:szCs w:val="15"/>
              </w:rPr>
            </w:pPr>
            <w:r w:rsidRPr="00E11721">
              <w:rPr>
                <w:rFonts w:asciiTheme="minorHAnsi" w:hAnsiTheme="minorHAnsi" w:cstheme="minorHAnsi"/>
                <w:b/>
                <w:sz w:val="15"/>
                <w:szCs w:val="15"/>
              </w:rPr>
              <w:t>Ciljna</w:t>
            </w:r>
            <w:r w:rsidRPr="00E11721">
              <w:rPr>
                <w:rFonts w:asciiTheme="minorHAnsi" w:hAnsiTheme="minorHAnsi" w:cstheme="minorHAnsi"/>
                <w:b/>
                <w:spacing w:val="1"/>
                <w:sz w:val="15"/>
                <w:szCs w:val="15"/>
              </w:rPr>
              <w:t xml:space="preserve"> </w:t>
            </w:r>
            <w:r w:rsidRPr="00E11721">
              <w:rPr>
                <w:rFonts w:asciiTheme="minorHAnsi" w:hAnsiTheme="minorHAnsi" w:cstheme="minorHAnsi"/>
                <w:b/>
                <w:sz w:val="15"/>
                <w:szCs w:val="15"/>
              </w:rPr>
              <w:t>vrijednost</w:t>
            </w:r>
            <w:r w:rsidRPr="00E11721">
              <w:rPr>
                <w:rFonts w:asciiTheme="minorHAnsi" w:hAnsiTheme="minorHAnsi" w:cstheme="minorHAnsi"/>
                <w:b/>
                <w:spacing w:val="-34"/>
                <w:sz w:val="15"/>
                <w:szCs w:val="15"/>
              </w:rPr>
              <w:t xml:space="preserve"> </w:t>
            </w:r>
          </w:p>
        </w:tc>
      </w:tr>
      <w:tr w:rsidR="00E541EE" w:rsidRPr="007606C8" w14:paraId="63EA45E6" w14:textId="77777777" w:rsidTr="00807E36">
        <w:trPr>
          <w:trHeight w:val="466"/>
          <w:jc w:val="center"/>
        </w:trPr>
        <w:tc>
          <w:tcPr>
            <w:tcW w:w="1419" w:type="dxa"/>
            <w:vMerge/>
          </w:tcPr>
          <w:p w14:paraId="4B0DFA73" w14:textId="77777777" w:rsidR="00E541EE" w:rsidRPr="00E11721" w:rsidRDefault="00E541EE" w:rsidP="00A84BB5">
            <w:pPr>
              <w:pStyle w:val="TableParagraph"/>
              <w:spacing w:before="49" w:line="276" w:lineRule="auto"/>
              <w:ind w:left="44" w:right="35"/>
              <w:jc w:val="center"/>
              <w:rPr>
                <w:rFonts w:asciiTheme="minorHAnsi" w:hAnsiTheme="minorHAnsi" w:cstheme="minorHAnsi"/>
                <w:b/>
                <w:sz w:val="15"/>
                <w:szCs w:val="15"/>
              </w:rPr>
            </w:pPr>
          </w:p>
        </w:tc>
        <w:tc>
          <w:tcPr>
            <w:tcW w:w="992" w:type="dxa"/>
            <w:vMerge/>
          </w:tcPr>
          <w:p w14:paraId="724DF27A" w14:textId="77777777" w:rsidR="00E541EE" w:rsidRPr="00E11721" w:rsidRDefault="00E541EE" w:rsidP="00A84BB5">
            <w:pPr>
              <w:pStyle w:val="TableParagraph"/>
              <w:spacing w:line="276" w:lineRule="auto"/>
              <w:ind w:left="44" w:right="35"/>
              <w:jc w:val="center"/>
              <w:rPr>
                <w:rFonts w:asciiTheme="minorHAnsi" w:hAnsiTheme="minorHAnsi" w:cstheme="minorHAnsi"/>
                <w:b/>
                <w:sz w:val="15"/>
                <w:szCs w:val="15"/>
              </w:rPr>
            </w:pPr>
          </w:p>
        </w:tc>
        <w:tc>
          <w:tcPr>
            <w:tcW w:w="1134" w:type="dxa"/>
            <w:vMerge/>
            <w:vAlign w:val="center"/>
          </w:tcPr>
          <w:p w14:paraId="335C3752" w14:textId="77777777" w:rsidR="00E541EE" w:rsidRPr="00E11721" w:rsidRDefault="00E541EE" w:rsidP="00A84BB5">
            <w:pPr>
              <w:pStyle w:val="TableParagraph"/>
              <w:spacing w:line="276" w:lineRule="auto"/>
              <w:ind w:left="125" w:right="114"/>
              <w:jc w:val="center"/>
              <w:rPr>
                <w:rFonts w:asciiTheme="minorHAnsi" w:hAnsiTheme="minorHAnsi" w:cstheme="minorHAnsi"/>
                <w:b/>
                <w:spacing w:val="-1"/>
                <w:sz w:val="15"/>
                <w:szCs w:val="15"/>
              </w:rPr>
            </w:pPr>
          </w:p>
        </w:tc>
        <w:tc>
          <w:tcPr>
            <w:tcW w:w="850" w:type="dxa"/>
            <w:vMerge/>
            <w:vAlign w:val="center"/>
          </w:tcPr>
          <w:p w14:paraId="73C30826" w14:textId="77777777" w:rsidR="00E541EE" w:rsidRPr="00E11721" w:rsidRDefault="00E541EE" w:rsidP="00A84BB5">
            <w:pPr>
              <w:pStyle w:val="TableParagraph"/>
              <w:spacing w:line="276" w:lineRule="auto"/>
              <w:ind w:left="179"/>
              <w:jc w:val="center"/>
              <w:rPr>
                <w:rFonts w:asciiTheme="minorHAnsi" w:hAnsiTheme="minorHAnsi" w:cstheme="minorHAnsi"/>
                <w:b/>
                <w:sz w:val="15"/>
                <w:szCs w:val="15"/>
              </w:rPr>
            </w:pPr>
          </w:p>
        </w:tc>
        <w:tc>
          <w:tcPr>
            <w:tcW w:w="851" w:type="dxa"/>
            <w:vMerge/>
            <w:vAlign w:val="center"/>
          </w:tcPr>
          <w:p w14:paraId="1C1C7EF6" w14:textId="77777777" w:rsidR="00E541EE" w:rsidRPr="00E11721" w:rsidRDefault="00E541EE" w:rsidP="00A84BB5">
            <w:pPr>
              <w:pStyle w:val="TableParagraph"/>
              <w:spacing w:line="276" w:lineRule="auto"/>
              <w:ind w:left="70" w:right="60"/>
              <w:jc w:val="center"/>
              <w:rPr>
                <w:rFonts w:asciiTheme="minorHAnsi" w:hAnsiTheme="minorHAnsi" w:cstheme="minorHAnsi"/>
                <w:b/>
                <w:sz w:val="15"/>
                <w:szCs w:val="15"/>
              </w:rPr>
            </w:pPr>
          </w:p>
        </w:tc>
        <w:tc>
          <w:tcPr>
            <w:tcW w:w="926" w:type="dxa"/>
            <w:vMerge/>
            <w:vAlign w:val="center"/>
          </w:tcPr>
          <w:p w14:paraId="0C3F5F3D" w14:textId="77777777" w:rsidR="00E541EE" w:rsidRPr="00E11721" w:rsidRDefault="00E541EE" w:rsidP="00A84BB5">
            <w:pPr>
              <w:pStyle w:val="TableParagraph"/>
              <w:spacing w:line="276" w:lineRule="auto"/>
              <w:ind w:left="311"/>
              <w:jc w:val="center"/>
              <w:rPr>
                <w:rFonts w:asciiTheme="minorHAnsi" w:hAnsiTheme="minorHAnsi" w:cstheme="minorHAnsi"/>
                <w:b/>
                <w:sz w:val="15"/>
                <w:szCs w:val="15"/>
              </w:rPr>
            </w:pPr>
          </w:p>
        </w:tc>
        <w:tc>
          <w:tcPr>
            <w:tcW w:w="977" w:type="dxa"/>
            <w:vMerge/>
            <w:vAlign w:val="center"/>
          </w:tcPr>
          <w:p w14:paraId="76355FA7" w14:textId="77777777" w:rsidR="00E541EE" w:rsidRPr="00E11721" w:rsidRDefault="00E541EE" w:rsidP="00A84BB5">
            <w:pPr>
              <w:pStyle w:val="TableParagraph"/>
              <w:spacing w:line="276" w:lineRule="auto"/>
              <w:ind w:left="174" w:right="97" w:hanging="44"/>
              <w:jc w:val="center"/>
              <w:rPr>
                <w:rFonts w:asciiTheme="minorHAnsi" w:hAnsiTheme="minorHAnsi" w:cstheme="minorHAnsi"/>
                <w:b/>
                <w:sz w:val="15"/>
                <w:szCs w:val="15"/>
              </w:rPr>
            </w:pPr>
          </w:p>
        </w:tc>
        <w:tc>
          <w:tcPr>
            <w:tcW w:w="926" w:type="dxa"/>
            <w:vMerge/>
            <w:vAlign w:val="center"/>
          </w:tcPr>
          <w:p w14:paraId="78A38838" w14:textId="77777777" w:rsidR="00E541EE" w:rsidRPr="00E11721" w:rsidRDefault="00E541EE" w:rsidP="00A84BB5">
            <w:pPr>
              <w:pStyle w:val="TableParagraph"/>
              <w:spacing w:line="276" w:lineRule="auto"/>
              <w:ind w:left="44" w:right="32"/>
              <w:jc w:val="center"/>
              <w:rPr>
                <w:rFonts w:asciiTheme="minorHAnsi" w:hAnsiTheme="minorHAnsi" w:cstheme="minorHAnsi"/>
                <w:b/>
                <w:sz w:val="15"/>
                <w:szCs w:val="15"/>
              </w:rPr>
            </w:pPr>
          </w:p>
        </w:tc>
        <w:tc>
          <w:tcPr>
            <w:tcW w:w="709" w:type="dxa"/>
            <w:vAlign w:val="center"/>
          </w:tcPr>
          <w:p w14:paraId="34ADC49B" w14:textId="77777777" w:rsidR="00E541EE" w:rsidRPr="00E11721" w:rsidRDefault="00E541EE" w:rsidP="00A84BB5">
            <w:pPr>
              <w:pStyle w:val="TableParagraph"/>
              <w:spacing w:line="276" w:lineRule="auto"/>
              <w:ind w:left="87" w:right="70"/>
              <w:jc w:val="center"/>
              <w:rPr>
                <w:rFonts w:asciiTheme="minorHAnsi" w:hAnsiTheme="minorHAnsi" w:cstheme="minorHAnsi"/>
                <w:b/>
                <w:sz w:val="15"/>
                <w:szCs w:val="15"/>
              </w:rPr>
            </w:pPr>
            <w:r w:rsidRPr="00E11721">
              <w:rPr>
                <w:rFonts w:asciiTheme="minorHAnsi" w:hAnsiTheme="minorHAnsi" w:cstheme="minorHAnsi"/>
                <w:b/>
                <w:sz w:val="15"/>
                <w:szCs w:val="15"/>
              </w:rPr>
              <w:t>za 2026.</w:t>
            </w:r>
          </w:p>
        </w:tc>
        <w:tc>
          <w:tcPr>
            <w:tcW w:w="567" w:type="dxa"/>
            <w:vAlign w:val="center"/>
          </w:tcPr>
          <w:p w14:paraId="095C3651" w14:textId="77777777" w:rsidR="00E541EE" w:rsidRPr="00E11721" w:rsidRDefault="00E541EE" w:rsidP="00A84BB5">
            <w:pPr>
              <w:pStyle w:val="TableParagraph"/>
              <w:spacing w:line="276" w:lineRule="auto"/>
              <w:ind w:left="75" w:right="61"/>
              <w:jc w:val="center"/>
              <w:rPr>
                <w:rFonts w:asciiTheme="minorHAnsi" w:hAnsiTheme="minorHAnsi" w:cstheme="minorHAnsi"/>
                <w:b/>
                <w:sz w:val="15"/>
                <w:szCs w:val="15"/>
              </w:rPr>
            </w:pPr>
            <w:r w:rsidRPr="00E11721">
              <w:rPr>
                <w:rFonts w:asciiTheme="minorHAnsi" w:hAnsiTheme="minorHAnsi" w:cstheme="minorHAnsi"/>
                <w:b/>
                <w:sz w:val="15"/>
                <w:szCs w:val="15"/>
              </w:rPr>
              <w:t>za</w:t>
            </w:r>
          </w:p>
          <w:p w14:paraId="319C8A42" w14:textId="77777777" w:rsidR="00E541EE" w:rsidRPr="00E11721" w:rsidRDefault="00E541EE" w:rsidP="00A84BB5">
            <w:pPr>
              <w:pStyle w:val="TableParagraph"/>
              <w:spacing w:line="276" w:lineRule="auto"/>
              <w:ind w:left="75" w:right="61"/>
              <w:jc w:val="center"/>
              <w:rPr>
                <w:rFonts w:asciiTheme="minorHAnsi" w:hAnsiTheme="minorHAnsi" w:cstheme="minorHAnsi"/>
                <w:b/>
                <w:sz w:val="15"/>
                <w:szCs w:val="15"/>
              </w:rPr>
            </w:pPr>
            <w:r w:rsidRPr="00E11721">
              <w:rPr>
                <w:rFonts w:asciiTheme="minorHAnsi" w:hAnsiTheme="minorHAnsi" w:cstheme="minorHAnsi"/>
                <w:b/>
                <w:sz w:val="15"/>
                <w:szCs w:val="15"/>
              </w:rPr>
              <w:t>2027.</w:t>
            </w:r>
          </w:p>
        </w:tc>
        <w:tc>
          <w:tcPr>
            <w:tcW w:w="850" w:type="dxa"/>
            <w:vAlign w:val="center"/>
          </w:tcPr>
          <w:p w14:paraId="5D70CEBB" w14:textId="77777777" w:rsidR="00E541EE" w:rsidRPr="00E11721" w:rsidRDefault="00E541EE" w:rsidP="00A84BB5">
            <w:pPr>
              <w:pStyle w:val="TableParagraph"/>
              <w:spacing w:line="276" w:lineRule="auto"/>
              <w:ind w:left="70" w:right="56"/>
              <w:jc w:val="center"/>
              <w:rPr>
                <w:rFonts w:asciiTheme="minorHAnsi" w:hAnsiTheme="minorHAnsi" w:cstheme="minorHAnsi"/>
                <w:b/>
                <w:sz w:val="15"/>
                <w:szCs w:val="15"/>
              </w:rPr>
            </w:pPr>
            <w:r w:rsidRPr="00E11721">
              <w:rPr>
                <w:rFonts w:asciiTheme="minorHAnsi" w:hAnsiTheme="minorHAnsi" w:cstheme="minorHAnsi"/>
                <w:b/>
                <w:sz w:val="15"/>
                <w:szCs w:val="15"/>
              </w:rPr>
              <w:t>za</w:t>
            </w:r>
          </w:p>
          <w:p w14:paraId="4BB7C415" w14:textId="77777777" w:rsidR="00E541EE" w:rsidRPr="00E11721" w:rsidRDefault="00E541EE" w:rsidP="00A84BB5">
            <w:pPr>
              <w:pStyle w:val="TableParagraph"/>
              <w:spacing w:line="276" w:lineRule="auto"/>
              <w:ind w:left="70" w:right="56"/>
              <w:jc w:val="center"/>
              <w:rPr>
                <w:rFonts w:asciiTheme="minorHAnsi" w:hAnsiTheme="minorHAnsi" w:cstheme="minorHAnsi"/>
                <w:b/>
                <w:sz w:val="15"/>
                <w:szCs w:val="15"/>
              </w:rPr>
            </w:pPr>
            <w:r w:rsidRPr="00E11721">
              <w:rPr>
                <w:rFonts w:asciiTheme="minorHAnsi" w:hAnsiTheme="minorHAnsi" w:cstheme="minorHAnsi"/>
                <w:b/>
                <w:sz w:val="15"/>
                <w:szCs w:val="15"/>
              </w:rPr>
              <w:t>2028.</w:t>
            </w:r>
          </w:p>
        </w:tc>
      </w:tr>
      <w:tr w:rsidR="00E541EE" w:rsidRPr="007606C8" w14:paraId="1FB9000A" w14:textId="77777777" w:rsidTr="00807E36">
        <w:trPr>
          <w:trHeight w:val="500"/>
          <w:jc w:val="center"/>
        </w:trPr>
        <w:tc>
          <w:tcPr>
            <w:tcW w:w="1419" w:type="dxa"/>
            <w:vMerge w:val="restart"/>
            <w:vAlign w:val="center"/>
          </w:tcPr>
          <w:p w14:paraId="2D887474" w14:textId="77777777" w:rsidR="00E541EE" w:rsidRPr="00E11721" w:rsidRDefault="00E541EE" w:rsidP="00A84BB5">
            <w:pPr>
              <w:pStyle w:val="TableParagraph"/>
              <w:spacing w:before="49" w:line="276" w:lineRule="auto"/>
              <w:ind w:left="44" w:right="35"/>
              <w:jc w:val="center"/>
              <w:rPr>
                <w:rFonts w:asciiTheme="minorHAnsi" w:hAnsiTheme="minorHAnsi" w:cstheme="minorHAnsi"/>
                <w:sz w:val="15"/>
                <w:szCs w:val="15"/>
              </w:rPr>
            </w:pPr>
            <w:r w:rsidRPr="00E11721">
              <w:rPr>
                <w:rFonts w:asciiTheme="minorHAnsi" w:hAnsiTheme="minorHAnsi" w:cstheme="minorHAnsi"/>
                <w:sz w:val="15"/>
                <w:szCs w:val="15"/>
              </w:rPr>
              <w:t>Provedbeni program Grada Rovinja-Rovigno za razdoblje 2025</w:t>
            </w:r>
            <w:r>
              <w:rPr>
                <w:rFonts w:asciiTheme="minorHAnsi" w:hAnsiTheme="minorHAnsi" w:cstheme="minorHAnsi"/>
                <w:sz w:val="15"/>
                <w:szCs w:val="15"/>
              </w:rPr>
              <w:t>.</w:t>
            </w:r>
            <w:r w:rsidRPr="00E11721">
              <w:rPr>
                <w:rFonts w:asciiTheme="minorHAnsi" w:hAnsiTheme="minorHAnsi" w:cstheme="minorHAnsi"/>
                <w:sz w:val="15"/>
                <w:szCs w:val="15"/>
              </w:rPr>
              <w:t>-2029. godine</w:t>
            </w:r>
          </w:p>
        </w:tc>
        <w:tc>
          <w:tcPr>
            <w:tcW w:w="992" w:type="dxa"/>
            <w:vMerge w:val="restart"/>
            <w:vAlign w:val="center"/>
          </w:tcPr>
          <w:p w14:paraId="66E84F32" w14:textId="77777777" w:rsidR="00E541EE" w:rsidRPr="00E11721" w:rsidRDefault="00E541EE" w:rsidP="00A84BB5">
            <w:pPr>
              <w:pStyle w:val="TableParagraph"/>
              <w:spacing w:line="276" w:lineRule="auto"/>
              <w:jc w:val="center"/>
              <w:rPr>
                <w:rFonts w:asciiTheme="minorHAnsi" w:hAnsiTheme="minorHAnsi" w:cstheme="minorHAnsi"/>
                <w:sz w:val="15"/>
                <w:szCs w:val="15"/>
              </w:rPr>
            </w:pPr>
            <w:r w:rsidRPr="00E11721">
              <w:rPr>
                <w:rFonts w:asciiTheme="minorHAnsi" w:hAnsiTheme="minorHAnsi" w:cstheme="minorHAnsi"/>
                <w:sz w:val="15"/>
                <w:szCs w:val="15"/>
              </w:rPr>
              <w:t>RS2. JAČANJE OTPORNOSTI NA KRIZE</w:t>
            </w:r>
          </w:p>
          <w:p w14:paraId="79330ED2" w14:textId="77777777" w:rsidR="00E541EE" w:rsidRPr="00E11721" w:rsidRDefault="00E541EE" w:rsidP="00A84BB5">
            <w:pPr>
              <w:pStyle w:val="TableParagraph"/>
              <w:spacing w:line="276" w:lineRule="auto"/>
              <w:jc w:val="center"/>
              <w:rPr>
                <w:rFonts w:asciiTheme="minorHAnsi" w:hAnsiTheme="minorHAnsi" w:cstheme="minorHAnsi"/>
                <w:sz w:val="15"/>
                <w:szCs w:val="15"/>
              </w:rPr>
            </w:pPr>
            <w:r w:rsidRPr="00E11721">
              <w:rPr>
                <w:rFonts w:asciiTheme="minorHAnsi" w:hAnsiTheme="minorHAnsi" w:cstheme="minorHAnsi"/>
                <w:sz w:val="15"/>
                <w:szCs w:val="15"/>
              </w:rPr>
              <w:t>SC6. demografska revitalizacija i bolji položaj obitelji</w:t>
            </w:r>
          </w:p>
          <w:p w14:paraId="36CC9071" w14:textId="77777777" w:rsidR="00E541EE" w:rsidRPr="00E11721" w:rsidRDefault="00E541EE" w:rsidP="00A84BB5">
            <w:pPr>
              <w:pStyle w:val="TableParagraph"/>
              <w:spacing w:line="276" w:lineRule="auto"/>
              <w:jc w:val="center"/>
              <w:rPr>
                <w:rFonts w:asciiTheme="minorHAnsi" w:hAnsiTheme="minorHAnsi" w:cstheme="minorHAnsi"/>
                <w:sz w:val="15"/>
                <w:szCs w:val="15"/>
              </w:rPr>
            </w:pPr>
          </w:p>
          <w:p w14:paraId="60CE0628" w14:textId="77777777" w:rsidR="00E541EE" w:rsidRPr="00E11721" w:rsidRDefault="00E541EE" w:rsidP="00A84BB5">
            <w:pPr>
              <w:pStyle w:val="TableParagraph"/>
              <w:spacing w:line="276" w:lineRule="auto"/>
              <w:jc w:val="center"/>
              <w:rPr>
                <w:rFonts w:asciiTheme="minorHAnsi" w:hAnsiTheme="minorHAnsi" w:cstheme="minorHAnsi"/>
                <w:sz w:val="15"/>
                <w:szCs w:val="15"/>
              </w:rPr>
            </w:pPr>
          </w:p>
          <w:p w14:paraId="5ACF14D5" w14:textId="77777777" w:rsidR="00E541EE" w:rsidRPr="00E11721" w:rsidRDefault="00E541EE" w:rsidP="00A84BB5">
            <w:pPr>
              <w:pStyle w:val="TableParagraph"/>
              <w:spacing w:line="276" w:lineRule="auto"/>
              <w:jc w:val="center"/>
              <w:rPr>
                <w:rFonts w:asciiTheme="minorHAnsi" w:hAnsiTheme="minorHAnsi" w:cstheme="minorHAnsi"/>
                <w:sz w:val="15"/>
                <w:szCs w:val="15"/>
                <w:highlight w:val="yellow"/>
              </w:rPr>
            </w:pPr>
          </w:p>
        </w:tc>
        <w:tc>
          <w:tcPr>
            <w:tcW w:w="1134" w:type="dxa"/>
            <w:vMerge w:val="restart"/>
            <w:shd w:val="clear" w:color="auto" w:fill="FFF1CC"/>
            <w:vAlign w:val="center"/>
          </w:tcPr>
          <w:p w14:paraId="555F0339" w14:textId="77777777" w:rsidR="00E541EE" w:rsidRPr="00E11721" w:rsidRDefault="00E541EE" w:rsidP="00A84BB5">
            <w:pPr>
              <w:pStyle w:val="TableParagraph"/>
              <w:spacing w:before="7" w:line="276" w:lineRule="auto"/>
              <w:jc w:val="center"/>
              <w:rPr>
                <w:rFonts w:asciiTheme="minorHAnsi" w:hAnsiTheme="minorHAnsi" w:cstheme="minorHAnsi"/>
                <w:sz w:val="15"/>
                <w:szCs w:val="15"/>
                <w:highlight w:val="yellow"/>
              </w:rPr>
            </w:pPr>
            <w:r w:rsidRPr="00E11721">
              <w:rPr>
                <w:rFonts w:asciiTheme="minorHAnsi" w:hAnsiTheme="minorHAnsi" w:cstheme="minorHAnsi"/>
                <w:sz w:val="15"/>
                <w:szCs w:val="15"/>
              </w:rPr>
              <w:t xml:space="preserve">P-1010 PROGRAM: IZRADA DOKUMENATA PROSTORNOG UREĐENJA </w:t>
            </w:r>
            <w:r>
              <w:rPr>
                <w:rFonts w:asciiTheme="minorHAnsi" w:hAnsiTheme="minorHAnsi" w:cstheme="minorHAnsi"/>
                <w:sz w:val="15"/>
                <w:szCs w:val="15"/>
              </w:rPr>
              <w:t>-</w:t>
            </w:r>
            <w:r w:rsidRPr="00E11721">
              <w:rPr>
                <w:rFonts w:asciiTheme="minorHAnsi" w:hAnsiTheme="minorHAnsi" w:cstheme="minorHAnsi"/>
                <w:sz w:val="15"/>
                <w:szCs w:val="15"/>
              </w:rPr>
              <w:t>PROSTORNI PLANOVI</w:t>
            </w:r>
          </w:p>
        </w:tc>
        <w:tc>
          <w:tcPr>
            <w:tcW w:w="850" w:type="dxa"/>
            <w:vMerge w:val="restart"/>
            <w:vAlign w:val="center"/>
          </w:tcPr>
          <w:p w14:paraId="390B855D" w14:textId="77777777" w:rsidR="00E541EE" w:rsidRPr="00E11721" w:rsidRDefault="00E541EE" w:rsidP="00A84BB5">
            <w:pPr>
              <w:pStyle w:val="TableParagraph"/>
              <w:spacing w:before="7" w:line="276" w:lineRule="auto"/>
              <w:jc w:val="center"/>
              <w:rPr>
                <w:rFonts w:asciiTheme="minorHAnsi" w:hAnsiTheme="minorHAnsi" w:cstheme="minorHAnsi"/>
                <w:sz w:val="15"/>
                <w:szCs w:val="15"/>
              </w:rPr>
            </w:pPr>
            <w:r w:rsidRPr="00E11721">
              <w:rPr>
                <w:rFonts w:asciiTheme="minorHAnsi" w:hAnsiTheme="minorHAnsi" w:cstheme="minorHAnsi"/>
                <w:sz w:val="15"/>
                <w:szCs w:val="15"/>
              </w:rPr>
              <w:t>Mjera 2. Prostorno i urbanističko planiranje</w:t>
            </w:r>
          </w:p>
          <w:p w14:paraId="0A080A98" w14:textId="77777777" w:rsidR="00E541EE" w:rsidRPr="00E11721" w:rsidRDefault="00E541EE" w:rsidP="00A84BB5">
            <w:pPr>
              <w:pStyle w:val="TableParagraph"/>
              <w:spacing w:before="7" w:line="276" w:lineRule="auto"/>
              <w:jc w:val="center"/>
              <w:rPr>
                <w:rFonts w:asciiTheme="minorHAnsi" w:hAnsiTheme="minorHAnsi" w:cstheme="minorHAnsi"/>
                <w:sz w:val="15"/>
                <w:szCs w:val="15"/>
              </w:rPr>
            </w:pPr>
          </w:p>
          <w:p w14:paraId="718B1978" w14:textId="77777777" w:rsidR="00E541EE" w:rsidRPr="00E11721" w:rsidRDefault="00E541EE" w:rsidP="00A84BB5">
            <w:pPr>
              <w:pStyle w:val="TableParagraph"/>
              <w:spacing w:before="7" w:line="276" w:lineRule="auto"/>
              <w:jc w:val="center"/>
              <w:rPr>
                <w:rFonts w:asciiTheme="minorHAnsi" w:hAnsiTheme="minorHAnsi" w:cstheme="minorHAnsi"/>
                <w:sz w:val="15"/>
                <w:szCs w:val="15"/>
              </w:rPr>
            </w:pPr>
          </w:p>
          <w:p w14:paraId="005D0FE7" w14:textId="77777777" w:rsidR="00E541EE" w:rsidRPr="00E11721" w:rsidRDefault="00E541EE" w:rsidP="00A84BB5">
            <w:pPr>
              <w:pStyle w:val="TableParagraph"/>
              <w:spacing w:before="7" w:line="276" w:lineRule="auto"/>
              <w:jc w:val="center"/>
              <w:rPr>
                <w:rFonts w:asciiTheme="minorHAnsi" w:hAnsiTheme="minorHAnsi" w:cstheme="minorHAnsi"/>
                <w:sz w:val="15"/>
                <w:szCs w:val="15"/>
                <w:highlight w:val="yellow"/>
              </w:rPr>
            </w:pPr>
          </w:p>
        </w:tc>
        <w:tc>
          <w:tcPr>
            <w:tcW w:w="851" w:type="dxa"/>
            <w:vMerge w:val="restart"/>
            <w:shd w:val="clear" w:color="auto" w:fill="FFF1CC"/>
            <w:vAlign w:val="center"/>
          </w:tcPr>
          <w:p w14:paraId="0D37B569" w14:textId="77777777" w:rsidR="00E541EE" w:rsidRPr="00E11721" w:rsidRDefault="00E541EE" w:rsidP="00A84BB5">
            <w:pPr>
              <w:pStyle w:val="TableParagraph"/>
              <w:spacing w:line="276" w:lineRule="auto"/>
              <w:jc w:val="center"/>
              <w:rPr>
                <w:rFonts w:asciiTheme="minorHAnsi" w:hAnsiTheme="minorHAnsi" w:cstheme="minorHAnsi"/>
                <w:sz w:val="15"/>
                <w:szCs w:val="15"/>
                <w:highlight w:val="yellow"/>
              </w:rPr>
            </w:pPr>
            <w:r w:rsidRPr="00E11721">
              <w:rPr>
                <w:rFonts w:asciiTheme="minorHAnsi" w:hAnsiTheme="minorHAnsi" w:cstheme="minorHAnsi"/>
                <w:sz w:val="15"/>
                <w:szCs w:val="15"/>
              </w:rPr>
              <w:t>168.500,00</w:t>
            </w:r>
          </w:p>
        </w:tc>
        <w:tc>
          <w:tcPr>
            <w:tcW w:w="926" w:type="dxa"/>
            <w:vMerge w:val="restart"/>
            <w:vAlign w:val="center"/>
          </w:tcPr>
          <w:p w14:paraId="2D37423B" w14:textId="77777777" w:rsidR="00E541EE" w:rsidRPr="00E11721" w:rsidRDefault="00E541EE" w:rsidP="00A84BB5">
            <w:pPr>
              <w:pStyle w:val="TableParagraph"/>
              <w:spacing w:before="7" w:line="276" w:lineRule="auto"/>
              <w:jc w:val="center"/>
              <w:rPr>
                <w:rFonts w:asciiTheme="minorHAnsi" w:hAnsiTheme="minorHAnsi" w:cstheme="minorHAnsi"/>
                <w:sz w:val="15"/>
                <w:szCs w:val="15"/>
                <w:highlight w:val="yellow"/>
              </w:rPr>
            </w:pPr>
          </w:p>
          <w:p w14:paraId="3BF4A56B" w14:textId="77777777" w:rsidR="00E541EE" w:rsidRPr="002272C7" w:rsidRDefault="00E541EE" w:rsidP="00A84BB5">
            <w:pPr>
              <w:pStyle w:val="TableParagraph"/>
              <w:spacing w:before="7" w:line="276" w:lineRule="auto"/>
              <w:jc w:val="center"/>
              <w:rPr>
                <w:rFonts w:asciiTheme="minorHAnsi" w:hAnsiTheme="minorHAnsi" w:cstheme="minorHAnsi"/>
                <w:sz w:val="14"/>
                <w:szCs w:val="14"/>
              </w:rPr>
            </w:pPr>
            <w:r w:rsidRPr="002272C7">
              <w:rPr>
                <w:rFonts w:asciiTheme="minorHAnsi" w:hAnsiTheme="minorHAnsi" w:cstheme="minorHAnsi"/>
                <w:sz w:val="14"/>
                <w:szCs w:val="14"/>
              </w:rPr>
              <w:t>K 101007: IZMJENA I DOPUNA GUP-A</w:t>
            </w:r>
          </w:p>
          <w:p w14:paraId="337ADC37" w14:textId="77777777" w:rsidR="00E541EE" w:rsidRPr="002272C7" w:rsidRDefault="00E541EE" w:rsidP="00A84BB5">
            <w:pPr>
              <w:pStyle w:val="TableParagraph"/>
              <w:spacing w:before="7" w:line="276" w:lineRule="auto"/>
              <w:jc w:val="center"/>
              <w:rPr>
                <w:rFonts w:asciiTheme="minorHAnsi" w:hAnsiTheme="minorHAnsi" w:cstheme="minorHAnsi"/>
                <w:sz w:val="14"/>
                <w:szCs w:val="14"/>
              </w:rPr>
            </w:pPr>
          </w:p>
          <w:p w14:paraId="0B5F0027" w14:textId="77777777" w:rsidR="00E541EE" w:rsidRPr="002272C7" w:rsidRDefault="00E541EE" w:rsidP="00A84BB5">
            <w:pPr>
              <w:pStyle w:val="TableParagraph"/>
              <w:spacing w:before="7" w:line="276" w:lineRule="auto"/>
              <w:jc w:val="center"/>
              <w:rPr>
                <w:rFonts w:asciiTheme="minorHAnsi" w:hAnsiTheme="minorHAnsi" w:cstheme="minorHAnsi"/>
                <w:sz w:val="14"/>
                <w:szCs w:val="14"/>
              </w:rPr>
            </w:pPr>
            <w:r w:rsidRPr="002272C7">
              <w:rPr>
                <w:rFonts w:asciiTheme="minorHAnsi" w:hAnsiTheme="minorHAnsi" w:cstheme="minorHAnsi"/>
                <w:sz w:val="14"/>
                <w:szCs w:val="14"/>
              </w:rPr>
              <w:t>K 101009:</w:t>
            </w:r>
          </w:p>
          <w:p w14:paraId="5695874C" w14:textId="77777777" w:rsidR="00E541EE" w:rsidRPr="002272C7" w:rsidRDefault="00E541EE" w:rsidP="00A84BB5">
            <w:pPr>
              <w:pStyle w:val="TableParagraph"/>
              <w:spacing w:before="7" w:line="276" w:lineRule="auto"/>
              <w:jc w:val="center"/>
              <w:rPr>
                <w:rFonts w:asciiTheme="minorHAnsi" w:hAnsiTheme="minorHAnsi" w:cstheme="minorHAnsi"/>
                <w:sz w:val="14"/>
                <w:szCs w:val="14"/>
              </w:rPr>
            </w:pPr>
            <w:r w:rsidRPr="002272C7">
              <w:rPr>
                <w:rFonts w:asciiTheme="minorHAnsi" w:hAnsiTheme="minorHAnsi" w:cstheme="minorHAnsi"/>
                <w:sz w:val="14"/>
                <w:szCs w:val="14"/>
              </w:rPr>
              <w:t>UPU Valbruna istok</w:t>
            </w:r>
          </w:p>
          <w:p w14:paraId="4174521D" w14:textId="77777777" w:rsidR="00E541EE" w:rsidRPr="002272C7" w:rsidRDefault="00E541EE" w:rsidP="00A84BB5">
            <w:pPr>
              <w:pStyle w:val="TableParagraph"/>
              <w:spacing w:before="7" w:line="276" w:lineRule="auto"/>
              <w:jc w:val="center"/>
              <w:rPr>
                <w:rFonts w:asciiTheme="minorHAnsi" w:hAnsiTheme="minorHAnsi" w:cstheme="minorHAnsi"/>
                <w:sz w:val="14"/>
                <w:szCs w:val="14"/>
              </w:rPr>
            </w:pPr>
            <w:r w:rsidRPr="002272C7">
              <w:rPr>
                <w:rFonts w:asciiTheme="minorHAnsi" w:hAnsiTheme="minorHAnsi" w:cstheme="minorHAnsi"/>
                <w:sz w:val="14"/>
                <w:szCs w:val="14"/>
              </w:rPr>
              <w:t>UPU Rovinjsko Selo</w:t>
            </w:r>
          </w:p>
          <w:p w14:paraId="267F04C5" w14:textId="77777777" w:rsidR="00E541EE" w:rsidRPr="002272C7" w:rsidRDefault="00E541EE" w:rsidP="00A84BB5">
            <w:pPr>
              <w:pStyle w:val="TableParagraph"/>
              <w:spacing w:before="7" w:line="276" w:lineRule="auto"/>
              <w:jc w:val="center"/>
              <w:rPr>
                <w:rFonts w:asciiTheme="minorHAnsi" w:hAnsiTheme="minorHAnsi" w:cstheme="minorHAnsi"/>
                <w:sz w:val="14"/>
                <w:szCs w:val="14"/>
              </w:rPr>
            </w:pPr>
            <w:r w:rsidRPr="002272C7">
              <w:rPr>
                <w:rFonts w:asciiTheme="minorHAnsi" w:hAnsiTheme="minorHAnsi" w:cstheme="minorHAnsi"/>
                <w:sz w:val="14"/>
                <w:szCs w:val="14"/>
              </w:rPr>
              <w:t xml:space="preserve">UPU Sjeverna luka </w:t>
            </w:r>
            <w:r>
              <w:rPr>
                <w:rFonts w:asciiTheme="minorHAnsi" w:hAnsiTheme="minorHAnsi" w:cstheme="minorHAnsi"/>
                <w:sz w:val="14"/>
                <w:szCs w:val="14"/>
              </w:rPr>
              <w:t>V</w:t>
            </w:r>
            <w:r w:rsidRPr="002272C7">
              <w:rPr>
                <w:rFonts w:asciiTheme="minorHAnsi" w:hAnsiTheme="minorHAnsi" w:cstheme="minorHAnsi"/>
                <w:sz w:val="14"/>
                <w:szCs w:val="14"/>
              </w:rPr>
              <w:t>aldibora</w:t>
            </w:r>
          </w:p>
          <w:p w14:paraId="71E6B20F" w14:textId="77777777" w:rsidR="00E541EE" w:rsidRPr="00E11721" w:rsidRDefault="00E541EE" w:rsidP="00A84BB5">
            <w:pPr>
              <w:pStyle w:val="TableParagraph"/>
              <w:spacing w:before="7" w:line="276" w:lineRule="auto"/>
              <w:jc w:val="center"/>
              <w:rPr>
                <w:rFonts w:asciiTheme="minorHAnsi" w:hAnsiTheme="minorHAnsi" w:cstheme="minorHAnsi"/>
                <w:sz w:val="15"/>
                <w:szCs w:val="15"/>
                <w:highlight w:val="yellow"/>
              </w:rPr>
            </w:pPr>
          </w:p>
        </w:tc>
        <w:tc>
          <w:tcPr>
            <w:tcW w:w="977" w:type="dxa"/>
            <w:shd w:val="clear" w:color="auto" w:fill="FFF1CC"/>
            <w:vAlign w:val="center"/>
          </w:tcPr>
          <w:p w14:paraId="3A49E801" w14:textId="77777777" w:rsidR="00E541EE" w:rsidRPr="00E11721" w:rsidRDefault="00E541EE" w:rsidP="00A84BB5">
            <w:pPr>
              <w:pStyle w:val="TableParagraph"/>
              <w:spacing w:line="276" w:lineRule="auto"/>
              <w:jc w:val="center"/>
              <w:rPr>
                <w:rFonts w:asciiTheme="minorHAnsi" w:hAnsiTheme="minorHAnsi" w:cstheme="minorHAnsi"/>
                <w:sz w:val="15"/>
                <w:szCs w:val="15"/>
                <w:highlight w:val="yellow"/>
              </w:rPr>
            </w:pPr>
            <w:r w:rsidRPr="00E11721">
              <w:rPr>
                <w:rFonts w:asciiTheme="minorHAnsi" w:hAnsiTheme="minorHAnsi" w:cstheme="minorHAnsi"/>
                <w:sz w:val="15"/>
                <w:szCs w:val="15"/>
              </w:rPr>
              <w:t>broj izdanih lokacijskih dozvola</w:t>
            </w:r>
          </w:p>
        </w:tc>
        <w:tc>
          <w:tcPr>
            <w:tcW w:w="926" w:type="dxa"/>
            <w:vAlign w:val="center"/>
          </w:tcPr>
          <w:p w14:paraId="40564043" w14:textId="77777777" w:rsidR="00E541EE" w:rsidRPr="00E11721" w:rsidRDefault="00E541EE" w:rsidP="00A84BB5">
            <w:pPr>
              <w:pStyle w:val="TableParagraph"/>
              <w:spacing w:line="276" w:lineRule="auto"/>
              <w:jc w:val="center"/>
              <w:rPr>
                <w:rFonts w:asciiTheme="minorHAnsi" w:hAnsiTheme="minorHAnsi" w:cstheme="minorHAnsi"/>
                <w:sz w:val="15"/>
                <w:szCs w:val="15"/>
              </w:rPr>
            </w:pPr>
            <w:r w:rsidRPr="00E11721">
              <w:rPr>
                <w:rFonts w:asciiTheme="minorHAnsi" w:hAnsiTheme="minorHAnsi" w:cstheme="minorHAnsi"/>
                <w:sz w:val="15"/>
                <w:szCs w:val="15"/>
              </w:rPr>
              <w:t>6</w:t>
            </w:r>
          </w:p>
        </w:tc>
        <w:tc>
          <w:tcPr>
            <w:tcW w:w="709" w:type="dxa"/>
            <w:vAlign w:val="center"/>
          </w:tcPr>
          <w:p w14:paraId="47EC1245" w14:textId="77777777" w:rsidR="00E541EE" w:rsidRPr="00E11721" w:rsidRDefault="00E541EE" w:rsidP="00A84BB5">
            <w:pPr>
              <w:pStyle w:val="TableParagraph"/>
              <w:spacing w:line="276" w:lineRule="auto"/>
              <w:jc w:val="center"/>
              <w:rPr>
                <w:rFonts w:asciiTheme="minorHAnsi" w:hAnsiTheme="minorHAnsi" w:cstheme="minorHAnsi"/>
                <w:sz w:val="15"/>
                <w:szCs w:val="15"/>
              </w:rPr>
            </w:pPr>
            <w:r w:rsidRPr="00E11721">
              <w:rPr>
                <w:rFonts w:asciiTheme="minorHAnsi" w:hAnsiTheme="minorHAnsi" w:cstheme="minorHAnsi"/>
                <w:sz w:val="15"/>
                <w:szCs w:val="15"/>
              </w:rPr>
              <w:t>6</w:t>
            </w:r>
          </w:p>
        </w:tc>
        <w:tc>
          <w:tcPr>
            <w:tcW w:w="567" w:type="dxa"/>
            <w:vAlign w:val="center"/>
          </w:tcPr>
          <w:p w14:paraId="4685C94B" w14:textId="77777777" w:rsidR="00E541EE" w:rsidRPr="00E11721" w:rsidRDefault="00E541EE" w:rsidP="00A84BB5">
            <w:pPr>
              <w:pStyle w:val="TableParagraph"/>
              <w:spacing w:line="276" w:lineRule="auto"/>
              <w:jc w:val="center"/>
              <w:rPr>
                <w:rFonts w:asciiTheme="minorHAnsi" w:hAnsiTheme="minorHAnsi" w:cstheme="minorHAnsi"/>
                <w:sz w:val="15"/>
                <w:szCs w:val="15"/>
              </w:rPr>
            </w:pPr>
            <w:r w:rsidRPr="00E11721">
              <w:rPr>
                <w:rFonts w:asciiTheme="minorHAnsi" w:hAnsiTheme="minorHAnsi" w:cstheme="minorHAnsi"/>
                <w:sz w:val="15"/>
                <w:szCs w:val="15"/>
              </w:rPr>
              <w:t>6</w:t>
            </w:r>
          </w:p>
        </w:tc>
        <w:tc>
          <w:tcPr>
            <w:tcW w:w="850" w:type="dxa"/>
            <w:vAlign w:val="center"/>
          </w:tcPr>
          <w:p w14:paraId="15880F20" w14:textId="77777777" w:rsidR="00E541EE" w:rsidRPr="00E11721" w:rsidRDefault="00E541EE" w:rsidP="00A84BB5">
            <w:pPr>
              <w:pStyle w:val="TableParagraph"/>
              <w:spacing w:line="276" w:lineRule="auto"/>
              <w:jc w:val="center"/>
              <w:rPr>
                <w:rFonts w:asciiTheme="minorHAnsi" w:hAnsiTheme="minorHAnsi" w:cstheme="minorHAnsi"/>
                <w:sz w:val="15"/>
                <w:szCs w:val="15"/>
              </w:rPr>
            </w:pPr>
            <w:r w:rsidRPr="00E11721">
              <w:rPr>
                <w:rFonts w:asciiTheme="minorHAnsi" w:hAnsiTheme="minorHAnsi" w:cstheme="minorHAnsi"/>
                <w:sz w:val="15"/>
                <w:szCs w:val="15"/>
              </w:rPr>
              <w:t>6</w:t>
            </w:r>
          </w:p>
        </w:tc>
      </w:tr>
      <w:tr w:rsidR="00E541EE" w:rsidRPr="007606C8" w14:paraId="49258431" w14:textId="77777777" w:rsidTr="00807E36">
        <w:trPr>
          <w:trHeight w:val="497"/>
          <w:jc w:val="center"/>
        </w:trPr>
        <w:tc>
          <w:tcPr>
            <w:tcW w:w="1419" w:type="dxa"/>
            <w:vMerge/>
            <w:vAlign w:val="center"/>
          </w:tcPr>
          <w:p w14:paraId="17434911" w14:textId="77777777" w:rsidR="00E541EE" w:rsidRPr="00E11721" w:rsidRDefault="00E541EE" w:rsidP="00A84BB5">
            <w:pPr>
              <w:pStyle w:val="TableParagraph"/>
              <w:spacing w:before="49" w:line="276" w:lineRule="auto"/>
              <w:ind w:left="44" w:right="35"/>
              <w:jc w:val="center"/>
              <w:rPr>
                <w:rFonts w:asciiTheme="minorHAnsi" w:hAnsiTheme="minorHAnsi" w:cstheme="minorHAnsi"/>
                <w:sz w:val="15"/>
                <w:szCs w:val="15"/>
              </w:rPr>
            </w:pPr>
          </w:p>
        </w:tc>
        <w:tc>
          <w:tcPr>
            <w:tcW w:w="992" w:type="dxa"/>
            <w:vMerge/>
            <w:vAlign w:val="center"/>
          </w:tcPr>
          <w:p w14:paraId="0B56C4F4" w14:textId="77777777" w:rsidR="00E541EE" w:rsidRPr="00E11721" w:rsidRDefault="00E541EE" w:rsidP="00A84BB5">
            <w:pPr>
              <w:pStyle w:val="TableParagraph"/>
              <w:spacing w:line="276" w:lineRule="auto"/>
              <w:jc w:val="center"/>
              <w:rPr>
                <w:rFonts w:asciiTheme="minorHAnsi" w:hAnsiTheme="minorHAnsi" w:cstheme="minorHAnsi"/>
                <w:sz w:val="15"/>
                <w:szCs w:val="15"/>
              </w:rPr>
            </w:pPr>
          </w:p>
        </w:tc>
        <w:tc>
          <w:tcPr>
            <w:tcW w:w="1134" w:type="dxa"/>
            <w:vMerge/>
            <w:shd w:val="clear" w:color="auto" w:fill="FFF1CC"/>
            <w:vAlign w:val="center"/>
          </w:tcPr>
          <w:p w14:paraId="1ACE8BD3" w14:textId="77777777" w:rsidR="00E541EE" w:rsidRPr="00E11721" w:rsidRDefault="00E541EE" w:rsidP="00A84BB5">
            <w:pPr>
              <w:pStyle w:val="TableParagraph"/>
              <w:spacing w:before="7" w:line="276" w:lineRule="auto"/>
              <w:jc w:val="center"/>
              <w:rPr>
                <w:rFonts w:asciiTheme="minorHAnsi" w:hAnsiTheme="minorHAnsi" w:cstheme="minorHAnsi"/>
                <w:sz w:val="15"/>
                <w:szCs w:val="15"/>
              </w:rPr>
            </w:pPr>
          </w:p>
        </w:tc>
        <w:tc>
          <w:tcPr>
            <w:tcW w:w="850" w:type="dxa"/>
            <w:vMerge/>
            <w:vAlign w:val="center"/>
          </w:tcPr>
          <w:p w14:paraId="00D6E690" w14:textId="77777777" w:rsidR="00E541EE" w:rsidRPr="00E11721" w:rsidRDefault="00E541EE" w:rsidP="00A84BB5">
            <w:pPr>
              <w:pStyle w:val="TableParagraph"/>
              <w:spacing w:before="7" w:line="276" w:lineRule="auto"/>
              <w:jc w:val="center"/>
              <w:rPr>
                <w:rFonts w:asciiTheme="minorHAnsi" w:hAnsiTheme="minorHAnsi" w:cstheme="minorHAnsi"/>
                <w:sz w:val="15"/>
                <w:szCs w:val="15"/>
              </w:rPr>
            </w:pPr>
          </w:p>
        </w:tc>
        <w:tc>
          <w:tcPr>
            <w:tcW w:w="851" w:type="dxa"/>
            <w:vMerge/>
            <w:shd w:val="clear" w:color="auto" w:fill="FFF1CC"/>
            <w:vAlign w:val="center"/>
          </w:tcPr>
          <w:p w14:paraId="4F57CBAC" w14:textId="77777777" w:rsidR="00E541EE" w:rsidRPr="00E11721" w:rsidRDefault="00E541EE" w:rsidP="00A84BB5">
            <w:pPr>
              <w:pStyle w:val="TableParagraph"/>
              <w:spacing w:line="276" w:lineRule="auto"/>
              <w:jc w:val="center"/>
              <w:rPr>
                <w:rFonts w:asciiTheme="minorHAnsi" w:hAnsiTheme="minorHAnsi" w:cstheme="minorHAnsi"/>
                <w:sz w:val="15"/>
                <w:szCs w:val="15"/>
              </w:rPr>
            </w:pPr>
          </w:p>
        </w:tc>
        <w:tc>
          <w:tcPr>
            <w:tcW w:w="926" w:type="dxa"/>
            <w:vMerge/>
            <w:vAlign w:val="center"/>
          </w:tcPr>
          <w:p w14:paraId="762D6983" w14:textId="77777777" w:rsidR="00E541EE" w:rsidRPr="00E11721" w:rsidRDefault="00E541EE" w:rsidP="00A84BB5">
            <w:pPr>
              <w:pStyle w:val="TableParagraph"/>
              <w:spacing w:before="7" w:line="276" w:lineRule="auto"/>
              <w:jc w:val="center"/>
              <w:rPr>
                <w:rFonts w:asciiTheme="minorHAnsi" w:hAnsiTheme="minorHAnsi" w:cstheme="minorHAnsi"/>
                <w:sz w:val="15"/>
                <w:szCs w:val="15"/>
                <w:highlight w:val="yellow"/>
              </w:rPr>
            </w:pPr>
          </w:p>
        </w:tc>
        <w:tc>
          <w:tcPr>
            <w:tcW w:w="977" w:type="dxa"/>
            <w:shd w:val="clear" w:color="auto" w:fill="FFF1CC"/>
            <w:vAlign w:val="center"/>
          </w:tcPr>
          <w:p w14:paraId="4735BEB3" w14:textId="77777777" w:rsidR="00E541EE" w:rsidRPr="00E11721" w:rsidRDefault="00E541EE" w:rsidP="00A84BB5">
            <w:pPr>
              <w:pStyle w:val="TableParagraph"/>
              <w:spacing w:line="276" w:lineRule="auto"/>
              <w:jc w:val="center"/>
              <w:rPr>
                <w:rFonts w:asciiTheme="minorHAnsi" w:hAnsiTheme="minorHAnsi" w:cstheme="minorHAnsi"/>
                <w:sz w:val="15"/>
                <w:szCs w:val="15"/>
                <w:highlight w:val="yellow"/>
              </w:rPr>
            </w:pPr>
            <w:r w:rsidRPr="00E11721">
              <w:rPr>
                <w:rFonts w:asciiTheme="minorHAnsi" w:hAnsiTheme="minorHAnsi" w:cstheme="minorHAnsi"/>
                <w:sz w:val="15"/>
                <w:szCs w:val="15"/>
              </w:rPr>
              <w:t>broj izdanih građevinskih dozvola</w:t>
            </w:r>
          </w:p>
        </w:tc>
        <w:tc>
          <w:tcPr>
            <w:tcW w:w="926" w:type="dxa"/>
            <w:vAlign w:val="center"/>
          </w:tcPr>
          <w:p w14:paraId="73E1B975" w14:textId="77777777" w:rsidR="00E541EE" w:rsidRPr="00E11721" w:rsidRDefault="00E541EE" w:rsidP="00A84BB5">
            <w:pPr>
              <w:pStyle w:val="TableParagraph"/>
              <w:spacing w:line="276" w:lineRule="auto"/>
              <w:jc w:val="center"/>
              <w:rPr>
                <w:rFonts w:asciiTheme="minorHAnsi" w:hAnsiTheme="minorHAnsi" w:cstheme="minorHAnsi"/>
                <w:sz w:val="15"/>
                <w:szCs w:val="15"/>
              </w:rPr>
            </w:pPr>
            <w:r w:rsidRPr="00E11721">
              <w:rPr>
                <w:rFonts w:asciiTheme="minorHAnsi" w:hAnsiTheme="minorHAnsi" w:cstheme="minorHAnsi"/>
                <w:sz w:val="15"/>
                <w:szCs w:val="15"/>
              </w:rPr>
              <w:t>100</w:t>
            </w:r>
          </w:p>
        </w:tc>
        <w:tc>
          <w:tcPr>
            <w:tcW w:w="709" w:type="dxa"/>
            <w:vAlign w:val="center"/>
          </w:tcPr>
          <w:p w14:paraId="3594B4F1" w14:textId="77777777" w:rsidR="00E541EE" w:rsidRPr="00E11721" w:rsidRDefault="00E541EE" w:rsidP="00A84BB5">
            <w:pPr>
              <w:pStyle w:val="TableParagraph"/>
              <w:spacing w:line="276" w:lineRule="auto"/>
              <w:jc w:val="center"/>
              <w:rPr>
                <w:rFonts w:asciiTheme="minorHAnsi" w:hAnsiTheme="minorHAnsi" w:cstheme="minorHAnsi"/>
                <w:sz w:val="15"/>
                <w:szCs w:val="15"/>
              </w:rPr>
            </w:pPr>
            <w:r w:rsidRPr="00E11721">
              <w:rPr>
                <w:rFonts w:asciiTheme="minorHAnsi" w:hAnsiTheme="minorHAnsi" w:cstheme="minorHAnsi"/>
                <w:sz w:val="15"/>
                <w:szCs w:val="15"/>
              </w:rPr>
              <w:t>130</w:t>
            </w:r>
          </w:p>
        </w:tc>
        <w:tc>
          <w:tcPr>
            <w:tcW w:w="567" w:type="dxa"/>
            <w:vAlign w:val="center"/>
          </w:tcPr>
          <w:p w14:paraId="24EE49B5" w14:textId="77777777" w:rsidR="00E541EE" w:rsidRPr="00E11721" w:rsidRDefault="00E541EE" w:rsidP="00A84BB5">
            <w:pPr>
              <w:pStyle w:val="TableParagraph"/>
              <w:spacing w:line="276" w:lineRule="auto"/>
              <w:jc w:val="center"/>
              <w:rPr>
                <w:rFonts w:asciiTheme="minorHAnsi" w:hAnsiTheme="minorHAnsi" w:cstheme="minorHAnsi"/>
                <w:sz w:val="15"/>
                <w:szCs w:val="15"/>
              </w:rPr>
            </w:pPr>
            <w:r w:rsidRPr="00E11721">
              <w:rPr>
                <w:rFonts w:asciiTheme="minorHAnsi" w:hAnsiTheme="minorHAnsi" w:cstheme="minorHAnsi"/>
                <w:sz w:val="15"/>
                <w:szCs w:val="15"/>
              </w:rPr>
              <w:t>130</w:t>
            </w:r>
          </w:p>
        </w:tc>
        <w:tc>
          <w:tcPr>
            <w:tcW w:w="850" w:type="dxa"/>
            <w:vAlign w:val="center"/>
          </w:tcPr>
          <w:p w14:paraId="648E7B85" w14:textId="77777777" w:rsidR="00E541EE" w:rsidRPr="00E11721" w:rsidRDefault="00E541EE" w:rsidP="00A84BB5">
            <w:pPr>
              <w:pStyle w:val="TableParagraph"/>
              <w:spacing w:line="276" w:lineRule="auto"/>
              <w:jc w:val="center"/>
              <w:rPr>
                <w:rFonts w:asciiTheme="minorHAnsi" w:hAnsiTheme="minorHAnsi" w:cstheme="minorHAnsi"/>
                <w:sz w:val="15"/>
                <w:szCs w:val="15"/>
              </w:rPr>
            </w:pPr>
            <w:r w:rsidRPr="00E11721">
              <w:rPr>
                <w:rFonts w:asciiTheme="minorHAnsi" w:hAnsiTheme="minorHAnsi" w:cstheme="minorHAnsi"/>
                <w:sz w:val="15"/>
                <w:szCs w:val="15"/>
              </w:rPr>
              <w:t>130</w:t>
            </w:r>
          </w:p>
        </w:tc>
      </w:tr>
      <w:tr w:rsidR="00E541EE" w:rsidRPr="007606C8" w14:paraId="43778BCE" w14:textId="77777777" w:rsidTr="00807E36">
        <w:trPr>
          <w:trHeight w:val="497"/>
          <w:jc w:val="center"/>
        </w:trPr>
        <w:tc>
          <w:tcPr>
            <w:tcW w:w="1419" w:type="dxa"/>
            <w:vMerge/>
            <w:vAlign w:val="center"/>
          </w:tcPr>
          <w:p w14:paraId="3F4D34B3" w14:textId="77777777" w:rsidR="00E541EE" w:rsidRPr="00E11721" w:rsidRDefault="00E541EE" w:rsidP="00A84BB5">
            <w:pPr>
              <w:pStyle w:val="TableParagraph"/>
              <w:spacing w:before="49" w:line="276" w:lineRule="auto"/>
              <w:ind w:left="44" w:right="35"/>
              <w:jc w:val="center"/>
              <w:rPr>
                <w:rFonts w:asciiTheme="minorHAnsi" w:hAnsiTheme="minorHAnsi" w:cstheme="minorHAnsi"/>
                <w:sz w:val="15"/>
                <w:szCs w:val="15"/>
              </w:rPr>
            </w:pPr>
          </w:p>
        </w:tc>
        <w:tc>
          <w:tcPr>
            <w:tcW w:w="992" w:type="dxa"/>
            <w:vMerge/>
            <w:vAlign w:val="center"/>
          </w:tcPr>
          <w:p w14:paraId="0FEB9C42" w14:textId="77777777" w:rsidR="00E541EE" w:rsidRPr="00E11721" w:rsidRDefault="00E541EE" w:rsidP="00A84BB5">
            <w:pPr>
              <w:pStyle w:val="TableParagraph"/>
              <w:spacing w:line="276" w:lineRule="auto"/>
              <w:jc w:val="center"/>
              <w:rPr>
                <w:rFonts w:asciiTheme="minorHAnsi" w:hAnsiTheme="minorHAnsi" w:cstheme="minorHAnsi"/>
                <w:sz w:val="15"/>
                <w:szCs w:val="15"/>
              </w:rPr>
            </w:pPr>
          </w:p>
        </w:tc>
        <w:tc>
          <w:tcPr>
            <w:tcW w:w="1134" w:type="dxa"/>
            <w:vMerge/>
            <w:shd w:val="clear" w:color="auto" w:fill="FFF1CC"/>
            <w:vAlign w:val="center"/>
          </w:tcPr>
          <w:p w14:paraId="5CD652A9" w14:textId="77777777" w:rsidR="00E541EE" w:rsidRPr="00E11721" w:rsidRDefault="00E541EE" w:rsidP="00A84BB5">
            <w:pPr>
              <w:pStyle w:val="TableParagraph"/>
              <w:spacing w:before="7" w:line="276" w:lineRule="auto"/>
              <w:jc w:val="center"/>
              <w:rPr>
                <w:rFonts w:asciiTheme="minorHAnsi" w:hAnsiTheme="minorHAnsi" w:cstheme="minorHAnsi"/>
                <w:sz w:val="15"/>
                <w:szCs w:val="15"/>
              </w:rPr>
            </w:pPr>
          </w:p>
        </w:tc>
        <w:tc>
          <w:tcPr>
            <w:tcW w:w="850" w:type="dxa"/>
            <w:vMerge/>
            <w:vAlign w:val="center"/>
          </w:tcPr>
          <w:p w14:paraId="252E1090" w14:textId="77777777" w:rsidR="00E541EE" w:rsidRPr="00E11721" w:rsidRDefault="00E541EE" w:rsidP="00A84BB5">
            <w:pPr>
              <w:pStyle w:val="TableParagraph"/>
              <w:spacing w:before="7" w:line="276" w:lineRule="auto"/>
              <w:jc w:val="center"/>
              <w:rPr>
                <w:rFonts w:asciiTheme="minorHAnsi" w:hAnsiTheme="minorHAnsi" w:cstheme="minorHAnsi"/>
                <w:sz w:val="15"/>
                <w:szCs w:val="15"/>
              </w:rPr>
            </w:pPr>
          </w:p>
        </w:tc>
        <w:tc>
          <w:tcPr>
            <w:tcW w:w="851" w:type="dxa"/>
            <w:vMerge/>
            <w:shd w:val="clear" w:color="auto" w:fill="FFF1CC"/>
            <w:vAlign w:val="center"/>
          </w:tcPr>
          <w:p w14:paraId="733E1EC1" w14:textId="77777777" w:rsidR="00E541EE" w:rsidRPr="00E11721" w:rsidRDefault="00E541EE" w:rsidP="00A84BB5">
            <w:pPr>
              <w:pStyle w:val="TableParagraph"/>
              <w:spacing w:line="276" w:lineRule="auto"/>
              <w:jc w:val="center"/>
              <w:rPr>
                <w:rFonts w:asciiTheme="minorHAnsi" w:hAnsiTheme="minorHAnsi" w:cstheme="minorHAnsi"/>
                <w:sz w:val="15"/>
                <w:szCs w:val="15"/>
              </w:rPr>
            </w:pPr>
          </w:p>
        </w:tc>
        <w:tc>
          <w:tcPr>
            <w:tcW w:w="926" w:type="dxa"/>
            <w:vMerge/>
            <w:vAlign w:val="center"/>
          </w:tcPr>
          <w:p w14:paraId="312EC607" w14:textId="77777777" w:rsidR="00E541EE" w:rsidRPr="00E11721" w:rsidRDefault="00E541EE" w:rsidP="00A84BB5">
            <w:pPr>
              <w:pStyle w:val="TableParagraph"/>
              <w:spacing w:before="7" w:line="276" w:lineRule="auto"/>
              <w:jc w:val="center"/>
              <w:rPr>
                <w:rFonts w:asciiTheme="minorHAnsi" w:hAnsiTheme="minorHAnsi" w:cstheme="minorHAnsi"/>
                <w:sz w:val="15"/>
                <w:szCs w:val="15"/>
                <w:highlight w:val="yellow"/>
              </w:rPr>
            </w:pPr>
          </w:p>
        </w:tc>
        <w:tc>
          <w:tcPr>
            <w:tcW w:w="977" w:type="dxa"/>
            <w:shd w:val="clear" w:color="auto" w:fill="FFF1CC"/>
            <w:vAlign w:val="center"/>
          </w:tcPr>
          <w:p w14:paraId="6A6FD461" w14:textId="77777777" w:rsidR="00E541EE" w:rsidRPr="00E11721" w:rsidRDefault="00E541EE" w:rsidP="00A84BB5">
            <w:pPr>
              <w:pStyle w:val="TableParagraph"/>
              <w:spacing w:line="276" w:lineRule="auto"/>
              <w:jc w:val="center"/>
              <w:rPr>
                <w:rFonts w:asciiTheme="minorHAnsi" w:hAnsiTheme="minorHAnsi" w:cstheme="minorHAnsi"/>
                <w:sz w:val="15"/>
                <w:szCs w:val="15"/>
                <w:highlight w:val="yellow"/>
              </w:rPr>
            </w:pPr>
            <w:r w:rsidRPr="00E11721">
              <w:rPr>
                <w:rFonts w:asciiTheme="minorHAnsi" w:hAnsiTheme="minorHAnsi" w:cstheme="minorHAnsi"/>
                <w:sz w:val="15"/>
                <w:szCs w:val="15"/>
              </w:rPr>
              <w:t>broj izdanih uporabnih dozvola</w:t>
            </w:r>
          </w:p>
        </w:tc>
        <w:tc>
          <w:tcPr>
            <w:tcW w:w="926" w:type="dxa"/>
            <w:vAlign w:val="center"/>
          </w:tcPr>
          <w:p w14:paraId="5F338546" w14:textId="77777777" w:rsidR="00E541EE" w:rsidRPr="00E11721" w:rsidRDefault="00E541EE" w:rsidP="00A84BB5">
            <w:pPr>
              <w:pStyle w:val="TableParagraph"/>
              <w:spacing w:line="276" w:lineRule="auto"/>
              <w:jc w:val="center"/>
              <w:rPr>
                <w:rFonts w:asciiTheme="minorHAnsi" w:hAnsiTheme="minorHAnsi" w:cstheme="minorHAnsi"/>
                <w:sz w:val="15"/>
                <w:szCs w:val="15"/>
              </w:rPr>
            </w:pPr>
            <w:r w:rsidRPr="00E11721">
              <w:rPr>
                <w:rFonts w:asciiTheme="minorHAnsi" w:hAnsiTheme="minorHAnsi" w:cstheme="minorHAnsi"/>
                <w:sz w:val="15"/>
                <w:szCs w:val="15"/>
              </w:rPr>
              <w:t>130</w:t>
            </w:r>
          </w:p>
        </w:tc>
        <w:tc>
          <w:tcPr>
            <w:tcW w:w="709" w:type="dxa"/>
            <w:vAlign w:val="center"/>
          </w:tcPr>
          <w:p w14:paraId="568CA7D1" w14:textId="77777777" w:rsidR="00E541EE" w:rsidRPr="00E11721" w:rsidRDefault="00E541EE" w:rsidP="00A84BB5">
            <w:pPr>
              <w:pStyle w:val="TableParagraph"/>
              <w:spacing w:line="276" w:lineRule="auto"/>
              <w:jc w:val="center"/>
              <w:rPr>
                <w:rFonts w:asciiTheme="minorHAnsi" w:hAnsiTheme="minorHAnsi" w:cstheme="minorHAnsi"/>
                <w:sz w:val="15"/>
                <w:szCs w:val="15"/>
              </w:rPr>
            </w:pPr>
            <w:r w:rsidRPr="00E11721">
              <w:rPr>
                <w:rFonts w:asciiTheme="minorHAnsi" w:hAnsiTheme="minorHAnsi" w:cstheme="minorHAnsi"/>
                <w:sz w:val="15"/>
                <w:szCs w:val="15"/>
              </w:rPr>
              <w:t>170</w:t>
            </w:r>
          </w:p>
        </w:tc>
        <w:tc>
          <w:tcPr>
            <w:tcW w:w="567" w:type="dxa"/>
            <w:vAlign w:val="center"/>
          </w:tcPr>
          <w:p w14:paraId="6D0EF183" w14:textId="77777777" w:rsidR="00E541EE" w:rsidRPr="00E11721" w:rsidRDefault="00E541EE" w:rsidP="00A84BB5">
            <w:pPr>
              <w:pStyle w:val="TableParagraph"/>
              <w:spacing w:line="276" w:lineRule="auto"/>
              <w:jc w:val="center"/>
              <w:rPr>
                <w:rFonts w:asciiTheme="minorHAnsi" w:hAnsiTheme="minorHAnsi" w:cstheme="minorHAnsi"/>
                <w:sz w:val="15"/>
                <w:szCs w:val="15"/>
              </w:rPr>
            </w:pPr>
            <w:r w:rsidRPr="00E11721">
              <w:rPr>
                <w:rFonts w:asciiTheme="minorHAnsi" w:hAnsiTheme="minorHAnsi" w:cstheme="minorHAnsi"/>
                <w:sz w:val="15"/>
                <w:szCs w:val="15"/>
              </w:rPr>
              <w:t>180</w:t>
            </w:r>
          </w:p>
        </w:tc>
        <w:tc>
          <w:tcPr>
            <w:tcW w:w="850" w:type="dxa"/>
            <w:vAlign w:val="center"/>
          </w:tcPr>
          <w:p w14:paraId="715420B4" w14:textId="77777777" w:rsidR="00E541EE" w:rsidRPr="00E11721" w:rsidRDefault="00E541EE" w:rsidP="00A84BB5">
            <w:pPr>
              <w:pStyle w:val="TableParagraph"/>
              <w:spacing w:line="276" w:lineRule="auto"/>
              <w:jc w:val="center"/>
              <w:rPr>
                <w:rFonts w:asciiTheme="minorHAnsi" w:hAnsiTheme="minorHAnsi" w:cstheme="minorHAnsi"/>
                <w:sz w:val="15"/>
                <w:szCs w:val="15"/>
              </w:rPr>
            </w:pPr>
            <w:r w:rsidRPr="00E11721">
              <w:rPr>
                <w:rFonts w:asciiTheme="minorHAnsi" w:hAnsiTheme="minorHAnsi" w:cstheme="minorHAnsi"/>
                <w:sz w:val="15"/>
                <w:szCs w:val="15"/>
              </w:rPr>
              <w:t>180</w:t>
            </w:r>
          </w:p>
        </w:tc>
      </w:tr>
      <w:tr w:rsidR="00E541EE" w:rsidRPr="007606C8" w14:paraId="5CB19E00" w14:textId="77777777" w:rsidTr="00807E36">
        <w:trPr>
          <w:trHeight w:val="497"/>
          <w:jc w:val="center"/>
        </w:trPr>
        <w:tc>
          <w:tcPr>
            <w:tcW w:w="1419" w:type="dxa"/>
            <w:vMerge/>
            <w:tcBorders>
              <w:bottom w:val="single" w:sz="4" w:space="0" w:color="auto"/>
            </w:tcBorders>
            <w:vAlign w:val="center"/>
          </w:tcPr>
          <w:p w14:paraId="5C3B45C3" w14:textId="77777777" w:rsidR="00E541EE" w:rsidRPr="00E11721" w:rsidRDefault="00E541EE" w:rsidP="00A84BB5">
            <w:pPr>
              <w:pStyle w:val="TableParagraph"/>
              <w:spacing w:before="49" w:line="276" w:lineRule="auto"/>
              <w:ind w:left="44" w:right="35"/>
              <w:jc w:val="center"/>
              <w:rPr>
                <w:rFonts w:asciiTheme="minorHAnsi" w:hAnsiTheme="minorHAnsi" w:cstheme="minorHAnsi"/>
                <w:sz w:val="15"/>
                <w:szCs w:val="15"/>
              </w:rPr>
            </w:pPr>
          </w:p>
        </w:tc>
        <w:tc>
          <w:tcPr>
            <w:tcW w:w="992" w:type="dxa"/>
            <w:vMerge/>
            <w:vAlign w:val="center"/>
          </w:tcPr>
          <w:p w14:paraId="68F02134" w14:textId="77777777" w:rsidR="00E541EE" w:rsidRPr="00E11721" w:rsidRDefault="00E541EE" w:rsidP="00A84BB5">
            <w:pPr>
              <w:pStyle w:val="TableParagraph"/>
              <w:spacing w:line="276" w:lineRule="auto"/>
              <w:jc w:val="center"/>
              <w:rPr>
                <w:rFonts w:asciiTheme="minorHAnsi" w:hAnsiTheme="minorHAnsi" w:cstheme="minorHAnsi"/>
                <w:sz w:val="15"/>
                <w:szCs w:val="15"/>
              </w:rPr>
            </w:pPr>
          </w:p>
        </w:tc>
        <w:tc>
          <w:tcPr>
            <w:tcW w:w="1134" w:type="dxa"/>
            <w:vMerge/>
            <w:shd w:val="clear" w:color="auto" w:fill="FFF1CC"/>
            <w:vAlign w:val="center"/>
          </w:tcPr>
          <w:p w14:paraId="5F36C026" w14:textId="77777777" w:rsidR="00E541EE" w:rsidRPr="00E11721" w:rsidRDefault="00E541EE" w:rsidP="00A84BB5">
            <w:pPr>
              <w:pStyle w:val="TableParagraph"/>
              <w:spacing w:before="7" w:line="276" w:lineRule="auto"/>
              <w:jc w:val="center"/>
              <w:rPr>
                <w:rFonts w:asciiTheme="minorHAnsi" w:hAnsiTheme="minorHAnsi" w:cstheme="minorHAnsi"/>
                <w:sz w:val="15"/>
                <w:szCs w:val="15"/>
              </w:rPr>
            </w:pPr>
          </w:p>
        </w:tc>
        <w:tc>
          <w:tcPr>
            <w:tcW w:w="850" w:type="dxa"/>
            <w:vMerge/>
            <w:vAlign w:val="center"/>
          </w:tcPr>
          <w:p w14:paraId="52766019" w14:textId="77777777" w:rsidR="00E541EE" w:rsidRPr="00E11721" w:rsidRDefault="00E541EE" w:rsidP="00A84BB5">
            <w:pPr>
              <w:pStyle w:val="TableParagraph"/>
              <w:spacing w:before="7" w:line="276" w:lineRule="auto"/>
              <w:jc w:val="center"/>
              <w:rPr>
                <w:rFonts w:asciiTheme="minorHAnsi" w:hAnsiTheme="minorHAnsi" w:cstheme="minorHAnsi"/>
                <w:sz w:val="15"/>
                <w:szCs w:val="15"/>
              </w:rPr>
            </w:pPr>
          </w:p>
        </w:tc>
        <w:tc>
          <w:tcPr>
            <w:tcW w:w="851" w:type="dxa"/>
            <w:vMerge/>
            <w:shd w:val="clear" w:color="auto" w:fill="FFF1CC"/>
            <w:vAlign w:val="center"/>
          </w:tcPr>
          <w:p w14:paraId="2251874F" w14:textId="77777777" w:rsidR="00E541EE" w:rsidRPr="00E11721" w:rsidRDefault="00E541EE" w:rsidP="00A84BB5">
            <w:pPr>
              <w:pStyle w:val="TableParagraph"/>
              <w:spacing w:line="276" w:lineRule="auto"/>
              <w:jc w:val="center"/>
              <w:rPr>
                <w:rFonts w:asciiTheme="minorHAnsi" w:hAnsiTheme="minorHAnsi" w:cstheme="minorHAnsi"/>
                <w:sz w:val="15"/>
                <w:szCs w:val="15"/>
              </w:rPr>
            </w:pPr>
          </w:p>
        </w:tc>
        <w:tc>
          <w:tcPr>
            <w:tcW w:w="926" w:type="dxa"/>
            <w:vMerge/>
            <w:vAlign w:val="center"/>
          </w:tcPr>
          <w:p w14:paraId="2CC0AE94" w14:textId="77777777" w:rsidR="00E541EE" w:rsidRPr="00E11721" w:rsidRDefault="00E541EE" w:rsidP="00A84BB5">
            <w:pPr>
              <w:pStyle w:val="TableParagraph"/>
              <w:spacing w:before="7" w:line="276" w:lineRule="auto"/>
              <w:jc w:val="center"/>
              <w:rPr>
                <w:rFonts w:asciiTheme="minorHAnsi" w:hAnsiTheme="minorHAnsi" w:cstheme="minorHAnsi"/>
                <w:sz w:val="15"/>
                <w:szCs w:val="15"/>
                <w:highlight w:val="yellow"/>
              </w:rPr>
            </w:pPr>
          </w:p>
        </w:tc>
        <w:tc>
          <w:tcPr>
            <w:tcW w:w="977" w:type="dxa"/>
            <w:shd w:val="clear" w:color="auto" w:fill="FFF1CC"/>
            <w:vAlign w:val="center"/>
          </w:tcPr>
          <w:p w14:paraId="76F6252D" w14:textId="77777777" w:rsidR="00E541EE" w:rsidRPr="00E11721" w:rsidRDefault="00E541EE" w:rsidP="00A84BB5">
            <w:pPr>
              <w:pStyle w:val="TableParagraph"/>
              <w:spacing w:line="276" w:lineRule="auto"/>
              <w:jc w:val="center"/>
              <w:rPr>
                <w:rFonts w:asciiTheme="minorHAnsi" w:hAnsiTheme="minorHAnsi" w:cstheme="minorHAnsi"/>
                <w:sz w:val="15"/>
                <w:szCs w:val="15"/>
                <w:highlight w:val="yellow"/>
              </w:rPr>
            </w:pPr>
            <w:r w:rsidRPr="00E11721">
              <w:rPr>
                <w:rFonts w:asciiTheme="minorHAnsi" w:hAnsiTheme="minorHAnsi" w:cstheme="minorHAnsi"/>
                <w:sz w:val="15"/>
                <w:szCs w:val="15"/>
              </w:rPr>
              <w:t>pokrivenost područja samoupravne jedinice prostornim planom</w:t>
            </w:r>
          </w:p>
        </w:tc>
        <w:tc>
          <w:tcPr>
            <w:tcW w:w="926" w:type="dxa"/>
            <w:vAlign w:val="center"/>
          </w:tcPr>
          <w:p w14:paraId="5BFD1F24" w14:textId="77777777" w:rsidR="00E541EE" w:rsidRPr="00E11721" w:rsidRDefault="00E541EE" w:rsidP="00A84BB5">
            <w:pPr>
              <w:pStyle w:val="TableParagraph"/>
              <w:spacing w:line="276" w:lineRule="auto"/>
              <w:jc w:val="center"/>
              <w:rPr>
                <w:rFonts w:asciiTheme="minorHAnsi" w:hAnsiTheme="minorHAnsi" w:cstheme="minorHAnsi"/>
                <w:sz w:val="15"/>
                <w:szCs w:val="15"/>
              </w:rPr>
            </w:pPr>
            <w:r w:rsidRPr="00E11721">
              <w:rPr>
                <w:rFonts w:asciiTheme="minorHAnsi" w:hAnsiTheme="minorHAnsi" w:cstheme="minorHAnsi"/>
                <w:sz w:val="15"/>
                <w:szCs w:val="15"/>
              </w:rPr>
              <w:t>1</w:t>
            </w:r>
          </w:p>
        </w:tc>
        <w:tc>
          <w:tcPr>
            <w:tcW w:w="709" w:type="dxa"/>
            <w:vAlign w:val="center"/>
          </w:tcPr>
          <w:p w14:paraId="18A08238" w14:textId="77777777" w:rsidR="00E541EE" w:rsidRPr="00E11721" w:rsidRDefault="00E541EE" w:rsidP="00A84BB5">
            <w:pPr>
              <w:pStyle w:val="TableParagraph"/>
              <w:spacing w:line="276" w:lineRule="auto"/>
              <w:jc w:val="center"/>
              <w:rPr>
                <w:rFonts w:asciiTheme="minorHAnsi" w:hAnsiTheme="minorHAnsi" w:cstheme="minorHAnsi"/>
                <w:sz w:val="15"/>
                <w:szCs w:val="15"/>
              </w:rPr>
            </w:pPr>
            <w:r w:rsidRPr="00E11721">
              <w:rPr>
                <w:rFonts w:asciiTheme="minorHAnsi" w:hAnsiTheme="minorHAnsi" w:cstheme="minorHAnsi"/>
                <w:sz w:val="15"/>
                <w:szCs w:val="15"/>
              </w:rPr>
              <w:t>2</w:t>
            </w:r>
          </w:p>
        </w:tc>
        <w:tc>
          <w:tcPr>
            <w:tcW w:w="567" w:type="dxa"/>
            <w:vAlign w:val="center"/>
          </w:tcPr>
          <w:p w14:paraId="60B06586" w14:textId="77777777" w:rsidR="00E541EE" w:rsidRPr="00E11721" w:rsidRDefault="00E541EE" w:rsidP="00A84BB5">
            <w:pPr>
              <w:pStyle w:val="TableParagraph"/>
              <w:spacing w:line="276" w:lineRule="auto"/>
              <w:jc w:val="center"/>
              <w:rPr>
                <w:rFonts w:asciiTheme="minorHAnsi" w:hAnsiTheme="minorHAnsi" w:cstheme="minorHAnsi"/>
                <w:sz w:val="15"/>
                <w:szCs w:val="15"/>
              </w:rPr>
            </w:pPr>
            <w:r w:rsidRPr="00E11721">
              <w:rPr>
                <w:rFonts w:asciiTheme="minorHAnsi" w:hAnsiTheme="minorHAnsi" w:cstheme="minorHAnsi"/>
                <w:sz w:val="15"/>
                <w:szCs w:val="15"/>
              </w:rPr>
              <w:t>2</w:t>
            </w:r>
          </w:p>
        </w:tc>
        <w:tc>
          <w:tcPr>
            <w:tcW w:w="850" w:type="dxa"/>
            <w:vAlign w:val="center"/>
          </w:tcPr>
          <w:p w14:paraId="6A33B4F2" w14:textId="77777777" w:rsidR="00E541EE" w:rsidRPr="00E11721" w:rsidRDefault="00E541EE" w:rsidP="00A84BB5">
            <w:pPr>
              <w:pStyle w:val="TableParagraph"/>
              <w:spacing w:line="276" w:lineRule="auto"/>
              <w:jc w:val="center"/>
              <w:rPr>
                <w:rFonts w:asciiTheme="minorHAnsi" w:hAnsiTheme="minorHAnsi" w:cstheme="minorHAnsi"/>
                <w:sz w:val="15"/>
                <w:szCs w:val="15"/>
              </w:rPr>
            </w:pPr>
            <w:r w:rsidRPr="00E11721">
              <w:rPr>
                <w:rFonts w:asciiTheme="minorHAnsi" w:hAnsiTheme="minorHAnsi" w:cstheme="minorHAnsi"/>
                <w:sz w:val="15"/>
                <w:szCs w:val="15"/>
              </w:rPr>
              <w:t>2</w:t>
            </w:r>
          </w:p>
        </w:tc>
      </w:tr>
    </w:tbl>
    <w:p w14:paraId="25074A08" w14:textId="77777777" w:rsidR="00E541EE" w:rsidRDefault="00E541EE" w:rsidP="00E541EE">
      <w:pPr>
        <w:jc w:val="both"/>
        <w:rPr>
          <w:rFonts w:ascii="Arial" w:eastAsia="Times New Roman" w:hAnsi="Arial" w:cs="Arial"/>
          <w:b/>
          <w:sz w:val="24"/>
          <w:szCs w:val="24"/>
        </w:rPr>
      </w:pPr>
    </w:p>
    <w:p w14:paraId="23AFDB31" w14:textId="2AFBC36C" w:rsidR="00E541EE" w:rsidRPr="00CA1154"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color w:val="000000" w:themeColor="text1"/>
          <w:sz w:val="24"/>
          <w:szCs w:val="24"/>
        </w:rPr>
      </w:pPr>
      <w:r w:rsidRPr="00CA1154">
        <w:rPr>
          <w:rFonts w:ascii="Arial" w:eastAsia="Times New Roman" w:hAnsi="Arial" w:cs="Arial"/>
          <w:b/>
          <w:bCs/>
          <w:color w:val="000000" w:themeColor="text1"/>
          <w:sz w:val="24"/>
          <w:szCs w:val="24"/>
        </w:rPr>
        <w:t xml:space="preserve">T 100306: </w:t>
      </w:r>
      <w:r>
        <w:rPr>
          <w:rFonts w:ascii="Arial" w:eastAsia="Times New Roman" w:hAnsi="Arial" w:cs="Arial"/>
          <w:b/>
          <w:bCs/>
          <w:color w:val="000000" w:themeColor="text1"/>
          <w:sz w:val="24"/>
          <w:szCs w:val="24"/>
        </w:rPr>
        <w:t>A</w:t>
      </w:r>
      <w:r w:rsidRPr="00CA1154">
        <w:rPr>
          <w:rFonts w:ascii="Arial" w:eastAsia="Times New Roman" w:hAnsi="Arial" w:cs="Arial"/>
          <w:b/>
          <w:bCs/>
          <w:color w:val="000000" w:themeColor="text1"/>
          <w:sz w:val="24"/>
          <w:szCs w:val="24"/>
        </w:rPr>
        <w:t>rhitektonsko-urbanističk</w:t>
      </w:r>
      <w:r>
        <w:rPr>
          <w:rFonts w:ascii="Arial" w:eastAsia="Times New Roman" w:hAnsi="Arial" w:cs="Arial"/>
          <w:b/>
          <w:bCs/>
          <w:color w:val="000000" w:themeColor="text1"/>
          <w:sz w:val="24"/>
          <w:szCs w:val="24"/>
        </w:rPr>
        <w:t>i natječaj – krajobrazno rješenje proširenje groblja u Rovinju</w:t>
      </w:r>
      <w:r w:rsidRPr="00CA1154">
        <w:rPr>
          <w:rFonts w:ascii="Arial" w:eastAsia="Times New Roman" w:hAnsi="Arial" w:cs="Arial"/>
          <w:b/>
          <w:bCs/>
          <w:color w:val="000000" w:themeColor="text1"/>
          <w:sz w:val="24"/>
          <w:szCs w:val="24"/>
        </w:rPr>
        <w:t xml:space="preserve"> = </w:t>
      </w:r>
      <w:r w:rsidR="00F36433">
        <w:rPr>
          <w:rFonts w:ascii="Arial" w:eastAsia="Times New Roman" w:hAnsi="Arial" w:cs="Arial"/>
          <w:b/>
          <w:bCs/>
          <w:color w:val="000000" w:themeColor="text1"/>
          <w:sz w:val="24"/>
          <w:szCs w:val="24"/>
        </w:rPr>
        <w:t>212</w:t>
      </w:r>
      <w:r w:rsidRPr="00CA1154">
        <w:rPr>
          <w:rFonts w:ascii="Arial" w:eastAsia="Times New Roman" w:hAnsi="Arial" w:cs="Arial"/>
          <w:b/>
          <w:bCs/>
          <w:color w:val="000000" w:themeColor="text1"/>
          <w:sz w:val="24"/>
          <w:szCs w:val="24"/>
        </w:rPr>
        <w:t>.</w:t>
      </w:r>
      <w:r w:rsidR="00F36433">
        <w:rPr>
          <w:rFonts w:ascii="Arial" w:eastAsia="Times New Roman" w:hAnsi="Arial" w:cs="Arial"/>
          <w:b/>
          <w:bCs/>
          <w:color w:val="000000" w:themeColor="text1"/>
          <w:sz w:val="24"/>
          <w:szCs w:val="24"/>
        </w:rPr>
        <w:t>5</w:t>
      </w:r>
      <w:r w:rsidRPr="00CA1154">
        <w:rPr>
          <w:rFonts w:ascii="Arial" w:eastAsia="Times New Roman" w:hAnsi="Arial" w:cs="Arial"/>
          <w:b/>
          <w:bCs/>
          <w:color w:val="000000" w:themeColor="text1"/>
          <w:sz w:val="24"/>
          <w:szCs w:val="24"/>
        </w:rPr>
        <w:t>00,00 EUR</w:t>
      </w:r>
    </w:p>
    <w:p w14:paraId="2C78A8D0" w14:textId="77777777" w:rsidR="00E541EE" w:rsidRDefault="00E541EE" w:rsidP="00E541EE">
      <w:pPr>
        <w:jc w:val="both"/>
        <w:rPr>
          <w:rFonts w:ascii="Arial" w:hAnsi="Arial"/>
          <w:bCs/>
          <w:noProof/>
          <w:color w:val="000000" w:themeColor="text1"/>
          <w:sz w:val="24"/>
          <w:szCs w:val="24"/>
        </w:rPr>
      </w:pPr>
      <w:r w:rsidRPr="00CA1154">
        <w:rPr>
          <w:rFonts w:ascii="Arial" w:eastAsia="Times New Roman" w:hAnsi="Arial" w:cs="Arial"/>
          <w:b/>
          <w:color w:val="000000" w:themeColor="text1"/>
          <w:sz w:val="24"/>
          <w:szCs w:val="24"/>
        </w:rPr>
        <w:t>Zakonska osnova</w:t>
      </w:r>
      <w:r w:rsidRPr="00CA1154">
        <w:rPr>
          <w:rFonts w:ascii="Arial" w:eastAsia="Times New Roman" w:hAnsi="Arial" w:cs="Arial"/>
          <w:color w:val="000000" w:themeColor="text1"/>
          <w:sz w:val="24"/>
          <w:szCs w:val="24"/>
        </w:rPr>
        <w:t xml:space="preserve">: Zakon o prostornom uređenju, Pravilnik </w:t>
      </w:r>
      <w:r w:rsidRPr="00CA1154">
        <w:rPr>
          <w:rFonts w:ascii="Arial" w:hAnsi="Arial"/>
          <w:bCs/>
          <w:noProof/>
          <w:color w:val="000000" w:themeColor="text1"/>
          <w:sz w:val="24"/>
          <w:szCs w:val="24"/>
        </w:rPr>
        <w:t>o natječajima s područja arhitekture i urbanizma.</w:t>
      </w:r>
    </w:p>
    <w:p w14:paraId="2BF10E61" w14:textId="77777777" w:rsidR="00E541EE" w:rsidRPr="003B13FE" w:rsidRDefault="00E541EE" w:rsidP="00E541EE">
      <w:pPr>
        <w:jc w:val="both"/>
        <w:rPr>
          <w:rFonts w:ascii="Arial" w:hAnsi="Arial"/>
          <w:bCs/>
          <w:noProof/>
          <w:color w:val="000000" w:themeColor="text1"/>
          <w:sz w:val="24"/>
          <w:szCs w:val="24"/>
        </w:rPr>
      </w:pPr>
      <w:r w:rsidRPr="00CA1154">
        <w:rPr>
          <w:rFonts w:ascii="Arial" w:eastAsia="Times New Roman" w:hAnsi="Arial" w:cs="Arial"/>
          <w:b/>
          <w:color w:val="000000" w:themeColor="text1"/>
          <w:sz w:val="24"/>
          <w:szCs w:val="24"/>
        </w:rPr>
        <w:t xml:space="preserve">Opis: </w:t>
      </w:r>
      <w:r w:rsidRPr="00CA1154">
        <w:rPr>
          <w:rFonts w:ascii="Arial" w:eastAsia="Times New Roman" w:hAnsi="Arial" w:cs="Arial"/>
          <w:bCs/>
          <w:color w:val="000000" w:themeColor="text1"/>
          <w:sz w:val="24"/>
          <w:szCs w:val="24"/>
        </w:rPr>
        <w:t>Za potrebe proširenja postojećeg gradskog groblja u Rovinj, a temeljem članka 55. Zakona o prostornom uređenju planira se provedba Javnog  natječaja za izradu idejnog arhitektonskog-urbanističkog-krajobraznog rješenja. Natječaj je otvoren za širu stručnu javnost</w:t>
      </w:r>
      <w:r w:rsidRPr="00CA1154">
        <w:rPr>
          <w:rFonts w:ascii="Arial" w:eastAsia="Times New Roman" w:hAnsi="Arial" w:cs="Arial"/>
          <w:color w:val="000000" w:themeColor="text1"/>
          <w:sz w:val="24"/>
          <w:szCs w:val="24"/>
        </w:rPr>
        <w:t xml:space="preserve">. Ova sredstva predviđena su za usluge provoditelja Natječaja, nagradni fond, naknade ocjenjivačkom sudu i tehničkoj komisiji i ostali troškovi vezani za provedbu, te ugovaranja tehničke dokumentacije. Tehnička dokumentacija uključuje izradu prostorno planske i projektno tehničke dokumentacije, odnosno izradu UPU, </w:t>
      </w:r>
      <w:r w:rsidRPr="00CA1154">
        <w:rPr>
          <w:rFonts w:ascii="Arial" w:hAnsi="Arial" w:cs="Arial"/>
          <w:color w:val="000000" w:themeColor="text1"/>
          <w:sz w:val="24"/>
          <w:szCs w:val="24"/>
        </w:rPr>
        <w:t>idejni, glavni i izvedbeni projekt s troškovnicima</w:t>
      </w:r>
      <w:r w:rsidRPr="00CA1154">
        <w:rPr>
          <w:rFonts w:ascii="Arial" w:eastAsia="Times New Roman" w:hAnsi="Arial" w:cs="Arial"/>
          <w:color w:val="000000" w:themeColor="text1"/>
          <w:sz w:val="24"/>
          <w:szCs w:val="24"/>
        </w:rPr>
        <w:t>. Natječaj se planira završiti do kraja 2025., nakon čega će se pristupiti pregovaračkom postupku s prvonagrađenim autorom.</w:t>
      </w:r>
    </w:p>
    <w:p w14:paraId="59C15868" w14:textId="77777777" w:rsidR="00E541EE" w:rsidRPr="00CA1154" w:rsidRDefault="00E541EE" w:rsidP="00E541EE">
      <w:pPr>
        <w:jc w:val="both"/>
        <w:rPr>
          <w:rFonts w:ascii="Arial" w:eastAsia="Times New Roman" w:hAnsi="Arial" w:cs="Arial"/>
          <w:b/>
          <w:color w:val="000000" w:themeColor="text1"/>
          <w:sz w:val="24"/>
          <w:szCs w:val="24"/>
        </w:rPr>
      </w:pPr>
      <w:r w:rsidRPr="00CA1154">
        <w:rPr>
          <w:rFonts w:ascii="Arial" w:eastAsia="Times New Roman" w:hAnsi="Arial" w:cs="Arial"/>
          <w:b/>
          <w:color w:val="000000" w:themeColor="text1"/>
          <w:sz w:val="24"/>
          <w:szCs w:val="24"/>
        </w:rPr>
        <w:t>Opći cilj:</w:t>
      </w:r>
      <w:r w:rsidRPr="00CA1154">
        <w:rPr>
          <w:rFonts w:ascii="Arial" w:eastAsia="Times New Roman" w:hAnsi="Arial" w:cs="Arial"/>
          <w:bCs/>
          <w:color w:val="000000" w:themeColor="text1"/>
          <w:sz w:val="24"/>
          <w:szCs w:val="24"/>
        </w:rPr>
        <w:t xml:space="preserve"> kroz ovu aktivnost predviđaju se sredstva za aktivnosti propisane ZPU, ZOG i predmetnim Pravilnikom. </w:t>
      </w:r>
    </w:p>
    <w:p w14:paraId="69697E52" w14:textId="77777777" w:rsidR="00E541EE" w:rsidRDefault="00E541EE" w:rsidP="00E541EE">
      <w:pPr>
        <w:tabs>
          <w:tab w:val="num" w:pos="284"/>
        </w:tabs>
        <w:jc w:val="both"/>
        <w:rPr>
          <w:rFonts w:ascii="Arial" w:eastAsia="Times New Roman" w:hAnsi="Arial" w:cs="Arial"/>
          <w:bCs/>
          <w:iCs/>
          <w:color w:val="000000" w:themeColor="text1"/>
          <w:sz w:val="24"/>
          <w:szCs w:val="24"/>
        </w:rPr>
      </w:pPr>
      <w:r w:rsidRPr="00CA1154">
        <w:rPr>
          <w:rFonts w:ascii="Arial" w:eastAsia="Times New Roman" w:hAnsi="Arial" w:cs="Arial"/>
          <w:b/>
          <w:bCs/>
          <w:iCs/>
          <w:color w:val="000000" w:themeColor="text1"/>
          <w:sz w:val="24"/>
          <w:szCs w:val="24"/>
        </w:rPr>
        <w:t xml:space="preserve">Pokazatelj uspješnosti: </w:t>
      </w:r>
      <w:r w:rsidRPr="00CA1154">
        <w:rPr>
          <w:rFonts w:ascii="Arial" w:eastAsia="Times New Roman" w:hAnsi="Arial" w:cs="Arial"/>
          <w:bCs/>
          <w:iCs/>
          <w:color w:val="000000" w:themeColor="text1"/>
          <w:sz w:val="24"/>
          <w:szCs w:val="24"/>
        </w:rPr>
        <w:t>realizacija planiranih aktivnosti u zadanom roku.</w:t>
      </w:r>
    </w:p>
    <w:p w14:paraId="0F200940" w14:textId="77777777" w:rsidR="00E541EE" w:rsidRPr="00CA1154" w:rsidRDefault="00E541EE" w:rsidP="00E541EE">
      <w:pPr>
        <w:jc w:val="both"/>
        <w:rPr>
          <w:rFonts w:ascii="Arial" w:eastAsia="Times New Roman" w:hAnsi="Arial" w:cs="Arial"/>
          <w:b/>
          <w:color w:val="000000" w:themeColor="text1"/>
          <w:sz w:val="24"/>
          <w:szCs w:val="24"/>
        </w:rPr>
      </w:pPr>
    </w:p>
    <w:p w14:paraId="5B0FA095" w14:textId="77777777" w:rsidR="00E541EE" w:rsidRPr="00CA1154"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color w:val="000000" w:themeColor="text1"/>
          <w:sz w:val="24"/>
          <w:szCs w:val="24"/>
        </w:rPr>
      </w:pPr>
      <w:r w:rsidRPr="00CA1154">
        <w:rPr>
          <w:rFonts w:ascii="Arial" w:eastAsia="Times New Roman" w:hAnsi="Arial" w:cs="Arial"/>
          <w:b/>
          <w:bCs/>
          <w:color w:val="000000" w:themeColor="text1"/>
          <w:sz w:val="24"/>
          <w:szCs w:val="24"/>
        </w:rPr>
        <w:t xml:space="preserve">A 100303: Priprema dokumentacije = 21.000,00 EUR  </w:t>
      </w:r>
    </w:p>
    <w:p w14:paraId="01906726" w14:textId="77777777" w:rsidR="00E541EE" w:rsidRPr="0094501D" w:rsidRDefault="00E541EE" w:rsidP="00E541EE">
      <w:pPr>
        <w:jc w:val="both"/>
        <w:rPr>
          <w:rFonts w:ascii="Arial" w:eastAsia="Times New Roman" w:hAnsi="Arial" w:cs="Arial"/>
          <w:color w:val="000000" w:themeColor="text1"/>
          <w:sz w:val="24"/>
          <w:szCs w:val="24"/>
        </w:rPr>
      </w:pPr>
      <w:r w:rsidRPr="0094501D">
        <w:rPr>
          <w:rFonts w:ascii="Arial" w:eastAsia="Times New Roman" w:hAnsi="Arial" w:cs="Arial"/>
          <w:b/>
          <w:color w:val="000000" w:themeColor="text1"/>
          <w:sz w:val="24"/>
          <w:szCs w:val="24"/>
        </w:rPr>
        <w:t>Zakonska osnova:</w:t>
      </w:r>
      <w:r w:rsidRPr="0094501D">
        <w:rPr>
          <w:rFonts w:ascii="Arial" w:eastAsia="Times New Roman" w:hAnsi="Arial" w:cs="Arial"/>
          <w:color w:val="000000" w:themeColor="text1"/>
          <w:sz w:val="24"/>
          <w:szCs w:val="24"/>
        </w:rPr>
        <w:t xml:space="preserve"> Zakon o prostornom uređenju i Zakon o gradnji.</w:t>
      </w:r>
    </w:p>
    <w:p w14:paraId="1BD1C951" w14:textId="77777777" w:rsidR="00E541EE" w:rsidRPr="0094501D" w:rsidRDefault="00E541EE" w:rsidP="00E541EE">
      <w:pPr>
        <w:jc w:val="both"/>
        <w:rPr>
          <w:rFonts w:ascii="Arial" w:eastAsia="Times New Roman" w:hAnsi="Arial" w:cs="Arial"/>
          <w:color w:val="000000" w:themeColor="text1"/>
          <w:sz w:val="24"/>
          <w:szCs w:val="24"/>
        </w:rPr>
      </w:pPr>
      <w:r w:rsidRPr="0094501D">
        <w:rPr>
          <w:rFonts w:ascii="Arial" w:eastAsia="Times New Roman" w:hAnsi="Arial" w:cs="Arial"/>
          <w:b/>
          <w:color w:val="000000" w:themeColor="text1"/>
          <w:sz w:val="24"/>
          <w:szCs w:val="24"/>
        </w:rPr>
        <w:t>Opis:</w:t>
      </w:r>
      <w:r w:rsidRPr="0094501D">
        <w:rPr>
          <w:rFonts w:ascii="Arial" w:eastAsia="Times New Roman" w:hAnsi="Arial" w:cs="Arial"/>
          <w:color w:val="000000" w:themeColor="text1"/>
          <w:sz w:val="24"/>
          <w:szCs w:val="24"/>
        </w:rPr>
        <w:t xml:space="preserve"> izrada podloga i idejnih projekata, vezanih uz stvarno-pravno raspolaganje nekretnina u vlasništvu Grada Rovinja-Rovigno. </w:t>
      </w:r>
    </w:p>
    <w:p w14:paraId="5A24D7DB" w14:textId="77777777" w:rsidR="00E541EE" w:rsidRPr="0094501D" w:rsidRDefault="00E541EE" w:rsidP="00E541EE">
      <w:pPr>
        <w:jc w:val="both"/>
        <w:rPr>
          <w:rFonts w:ascii="Arial" w:eastAsia="Times New Roman" w:hAnsi="Arial" w:cs="Arial"/>
          <w:b/>
          <w:color w:val="000000" w:themeColor="text1"/>
          <w:sz w:val="24"/>
          <w:szCs w:val="24"/>
        </w:rPr>
      </w:pPr>
      <w:r w:rsidRPr="0094501D">
        <w:rPr>
          <w:rFonts w:ascii="Arial" w:eastAsia="Times New Roman" w:hAnsi="Arial" w:cs="Arial"/>
          <w:b/>
          <w:color w:val="000000" w:themeColor="text1"/>
          <w:sz w:val="24"/>
          <w:szCs w:val="24"/>
        </w:rPr>
        <w:t>Opći cilj:</w:t>
      </w:r>
      <w:r w:rsidRPr="0094501D">
        <w:rPr>
          <w:rFonts w:ascii="Arial" w:eastAsia="Times New Roman" w:hAnsi="Arial" w:cs="Arial"/>
          <w:bCs/>
          <w:color w:val="000000" w:themeColor="text1"/>
          <w:sz w:val="24"/>
          <w:szCs w:val="24"/>
        </w:rPr>
        <w:t xml:space="preserve"> kroz ovu aktivnost predviđaju se sredstva za pripremu dokumentacije.</w:t>
      </w:r>
    </w:p>
    <w:p w14:paraId="5279D113" w14:textId="77777777" w:rsidR="00E541EE" w:rsidRPr="00CA1154" w:rsidRDefault="00E541EE" w:rsidP="00E541EE">
      <w:pPr>
        <w:jc w:val="both"/>
        <w:rPr>
          <w:rFonts w:ascii="Arial" w:eastAsia="Times New Roman" w:hAnsi="Arial" w:cs="Arial"/>
          <w:color w:val="000000" w:themeColor="text1"/>
          <w:sz w:val="24"/>
          <w:szCs w:val="24"/>
        </w:rPr>
      </w:pPr>
      <w:r w:rsidRPr="00CA1154">
        <w:rPr>
          <w:rFonts w:ascii="Arial" w:eastAsia="Times New Roman" w:hAnsi="Arial" w:cs="Arial"/>
          <w:b/>
          <w:color w:val="000000" w:themeColor="text1"/>
          <w:sz w:val="24"/>
          <w:szCs w:val="24"/>
        </w:rPr>
        <w:t>Pokazatelj uspješnosti:</w:t>
      </w:r>
      <w:r w:rsidRPr="00CA1154">
        <w:rPr>
          <w:rFonts w:ascii="Arial" w:eastAsia="Times New Roman" w:hAnsi="Arial" w:cs="Arial"/>
          <w:color w:val="000000" w:themeColor="text1"/>
          <w:sz w:val="24"/>
          <w:szCs w:val="24"/>
        </w:rPr>
        <w:t xml:space="preserve">  realizacija planiranih aktivnosti u zadanom roku.</w:t>
      </w:r>
    </w:p>
    <w:p w14:paraId="2656A643" w14:textId="77777777" w:rsidR="00E541EE" w:rsidRPr="00CA1154" w:rsidRDefault="00E541EE" w:rsidP="00E541EE">
      <w:pPr>
        <w:jc w:val="both"/>
        <w:rPr>
          <w:rFonts w:ascii="Arial" w:eastAsia="Times New Roman" w:hAnsi="Arial" w:cs="Arial"/>
          <w:b/>
          <w:color w:val="000000" w:themeColor="text1"/>
          <w:sz w:val="24"/>
          <w:szCs w:val="24"/>
        </w:rPr>
      </w:pPr>
    </w:p>
    <w:p w14:paraId="65352271" w14:textId="77777777" w:rsidR="00E541EE" w:rsidRPr="00CA1154"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color w:val="000000" w:themeColor="text1"/>
          <w:sz w:val="24"/>
          <w:szCs w:val="24"/>
        </w:rPr>
      </w:pPr>
      <w:r w:rsidRPr="00CA1154">
        <w:rPr>
          <w:rFonts w:ascii="Arial" w:eastAsia="Times New Roman" w:hAnsi="Arial" w:cs="Arial"/>
          <w:b/>
          <w:bCs/>
          <w:color w:val="000000" w:themeColor="text1"/>
          <w:sz w:val="24"/>
          <w:szCs w:val="24"/>
        </w:rPr>
        <w:t>A 100304: Konzultantske usluge = 21.000,00 EUR</w:t>
      </w:r>
    </w:p>
    <w:p w14:paraId="42773B8B" w14:textId="77777777" w:rsidR="00E541EE" w:rsidRPr="00CA1154" w:rsidRDefault="00E541EE" w:rsidP="00E541EE">
      <w:pPr>
        <w:jc w:val="both"/>
        <w:rPr>
          <w:rFonts w:ascii="Arial" w:eastAsia="Times New Roman" w:hAnsi="Arial" w:cs="Arial"/>
          <w:color w:val="000000" w:themeColor="text1"/>
          <w:sz w:val="24"/>
          <w:szCs w:val="24"/>
        </w:rPr>
      </w:pPr>
      <w:r w:rsidRPr="00CA1154">
        <w:rPr>
          <w:rFonts w:ascii="Arial" w:eastAsia="Times New Roman" w:hAnsi="Arial" w:cs="Arial"/>
          <w:b/>
          <w:color w:val="000000" w:themeColor="text1"/>
          <w:sz w:val="24"/>
          <w:szCs w:val="24"/>
        </w:rPr>
        <w:t>Zakonska osnova</w:t>
      </w:r>
      <w:r w:rsidRPr="00CA1154">
        <w:rPr>
          <w:rFonts w:ascii="Arial" w:eastAsia="Times New Roman" w:hAnsi="Arial" w:cs="Arial"/>
          <w:color w:val="000000" w:themeColor="text1"/>
          <w:sz w:val="24"/>
          <w:szCs w:val="24"/>
        </w:rPr>
        <w:t>: Zakon o prostornom uređenju i Zakon o gradnji.</w:t>
      </w:r>
    </w:p>
    <w:p w14:paraId="73340BF3" w14:textId="77777777" w:rsidR="00E541EE" w:rsidRPr="00CA1154" w:rsidRDefault="00E541EE" w:rsidP="00E541EE">
      <w:pPr>
        <w:jc w:val="both"/>
        <w:rPr>
          <w:rFonts w:ascii="Arial" w:eastAsia="Times New Roman" w:hAnsi="Arial" w:cs="Arial"/>
          <w:color w:val="000000" w:themeColor="text1"/>
          <w:sz w:val="24"/>
          <w:szCs w:val="24"/>
        </w:rPr>
      </w:pPr>
      <w:r w:rsidRPr="00CA1154">
        <w:rPr>
          <w:rFonts w:ascii="Arial" w:eastAsia="Times New Roman" w:hAnsi="Arial" w:cs="Arial"/>
          <w:b/>
          <w:color w:val="000000" w:themeColor="text1"/>
          <w:sz w:val="24"/>
          <w:szCs w:val="24"/>
        </w:rPr>
        <w:t xml:space="preserve">Opis: </w:t>
      </w:r>
      <w:r w:rsidRPr="00CA1154">
        <w:rPr>
          <w:rFonts w:ascii="Arial" w:eastAsia="Times New Roman" w:hAnsi="Arial" w:cs="Arial"/>
          <w:color w:val="000000" w:themeColor="text1"/>
          <w:sz w:val="24"/>
          <w:szCs w:val="24"/>
        </w:rPr>
        <w:t xml:space="preserve">izrada projektnih programa i idejnih rješenja, geodetskih podloga vezanih uz ostvarivanje ciljeva postavljenih programom rada. </w:t>
      </w:r>
    </w:p>
    <w:p w14:paraId="2EBB5BEB" w14:textId="77777777" w:rsidR="00E541EE" w:rsidRPr="00CA1154" w:rsidRDefault="00E541EE" w:rsidP="00E541EE">
      <w:pPr>
        <w:jc w:val="both"/>
        <w:rPr>
          <w:rFonts w:ascii="Arial" w:eastAsia="Times New Roman" w:hAnsi="Arial" w:cs="Arial"/>
          <w:b/>
          <w:color w:val="000000" w:themeColor="text1"/>
          <w:sz w:val="24"/>
          <w:szCs w:val="24"/>
        </w:rPr>
      </w:pPr>
      <w:r w:rsidRPr="00CA1154">
        <w:rPr>
          <w:rFonts w:ascii="Arial" w:eastAsia="Times New Roman" w:hAnsi="Arial" w:cs="Arial"/>
          <w:b/>
          <w:color w:val="000000" w:themeColor="text1"/>
          <w:sz w:val="24"/>
          <w:szCs w:val="24"/>
        </w:rPr>
        <w:t>Opći cilj:</w:t>
      </w:r>
      <w:r w:rsidRPr="00CA1154">
        <w:rPr>
          <w:rFonts w:ascii="Arial" w:eastAsia="Times New Roman" w:hAnsi="Arial" w:cs="Arial"/>
          <w:bCs/>
          <w:color w:val="000000" w:themeColor="text1"/>
          <w:sz w:val="24"/>
          <w:szCs w:val="24"/>
        </w:rPr>
        <w:t xml:space="preserve"> kroz ovu aktivnost predviđaju se sredstva za pripremu dokumentacije.</w:t>
      </w:r>
    </w:p>
    <w:p w14:paraId="64C21CE9" w14:textId="77777777" w:rsidR="00E541EE" w:rsidRDefault="00E541EE" w:rsidP="00E541EE">
      <w:pPr>
        <w:tabs>
          <w:tab w:val="num" w:pos="284"/>
        </w:tabs>
        <w:jc w:val="both"/>
        <w:rPr>
          <w:rFonts w:ascii="Arial" w:eastAsia="Times New Roman" w:hAnsi="Arial" w:cs="Arial"/>
          <w:bCs/>
          <w:iCs/>
          <w:color w:val="000000" w:themeColor="text1"/>
          <w:sz w:val="24"/>
          <w:szCs w:val="24"/>
        </w:rPr>
      </w:pPr>
      <w:r w:rsidRPr="00CA1154">
        <w:rPr>
          <w:rFonts w:ascii="Arial" w:eastAsia="Times New Roman" w:hAnsi="Arial" w:cs="Arial"/>
          <w:b/>
          <w:bCs/>
          <w:iCs/>
          <w:color w:val="000000" w:themeColor="text1"/>
          <w:sz w:val="24"/>
          <w:szCs w:val="24"/>
        </w:rPr>
        <w:t xml:space="preserve">Pokazatelj uspješnosti: </w:t>
      </w:r>
      <w:r w:rsidRPr="00CA1154">
        <w:rPr>
          <w:rFonts w:ascii="Arial" w:eastAsia="Times New Roman" w:hAnsi="Arial" w:cs="Arial"/>
          <w:bCs/>
          <w:iCs/>
          <w:color w:val="000000" w:themeColor="text1"/>
          <w:sz w:val="24"/>
          <w:szCs w:val="24"/>
        </w:rPr>
        <w:t>realizacija planiranih aktivnosti u zadanom roku.</w:t>
      </w:r>
    </w:p>
    <w:p w14:paraId="05DC0EFC" w14:textId="77777777" w:rsidR="00E541EE" w:rsidRPr="00CA1154" w:rsidRDefault="00E541EE" w:rsidP="00E541EE">
      <w:pPr>
        <w:jc w:val="both"/>
        <w:rPr>
          <w:rFonts w:ascii="Arial" w:eastAsia="Times New Roman" w:hAnsi="Arial" w:cs="Arial"/>
          <w:b/>
          <w:color w:val="000000" w:themeColor="text1"/>
          <w:sz w:val="24"/>
          <w:szCs w:val="24"/>
        </w:rPr>
      </w:pPr>
    </w:p>
    <w:p w14:paraId="66378215" w14:textId="77777777" w:rsidR="00E541EE" w:rsidRPr="00CA1154"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color w:val="000000" w:themeColor="text1"/>
          <w:sz w:val="24"/>
          <w:szCs w:val="24"/>
        </w:rPr>
      </w:pPr>
      <w:r w:rsidRPr="00CA1154">
        <w:rPr>
          <w:rFonts w:ascii="Arial" w:eastAsia="Times New Roman" w:hAnsi="Arial" w:cs="Arial"/>
          <w:b/>
          <w:bCs/>
          <w:color w:val="000000" w:themeColor="text1"/>
          <w:sz w:val="24"/>
          <w:szCs w:val="24"/>
        </w:rPr>
        <w:t>T 100307: Arhitektonsko-urbanistički natječaj Valdibora = 65.000,00 EUR</w:t>
      </w:r>
    </w:p>
    <w:p w14:paraId="7A8643BB" w14:textId="77777777" w:rsidR="00E541EE" w:rsidRPr="00CA1154" w:rsidRDefault="00E541EE" w:rsidP="00E541EE">
      <w:pPr>
        <w:jc w:val="both"/>
        <w:rPr>
          <w:rFonts w:ascii="Arial" w:hAnsi="Arial"/>
          <w:bCs/>
          <w:noProof/>
          <w:color w:val="000000" w:themeColor="text1"/>
          <w:sz w:val="24"/>
          <w:szCs w:val="24"/>
        </w:rPr>
      </w:pPr>
      <w:r w:rsidRPr="00CA1154">
        <w:rPr>
          <w:rFonts w:ascii="Arial" w:eastAsia="Times New Roman" w:hAnsi="Arial" w:cs="Arial"/>
          <w:b/>
          <w:color w:val="000000" w:themeColor="text1"/>
          <w:sz w:val="24"/>
          <w:szCs w:val="24"/>
        </w:rPr>
        <w:t>Zakonska osnova</w:t>
      </w:r>
      <w:r w:rsidRPr="00CA1154">
        <w:rPr>
          <w:rFonts w:ascii="Arial" w:eastAsia="Times New Roman" w:hAnsi="Arial" w:cs="Arial"/>
          <w:color w:val="000000" w:themeColor="text1"/>
          <w:sz w:val="24"/>
          <w:szCs w:val="24"/>
        </w:rPr>
        <w:t xml:space="preserve">: Zakon o prostornom uređenju, Pravilnik </w:t>
      </w:r>
      <w:r w:rsidRPr="00CA1154">
        <w:rPr>
          <w:rFonts w:ascii="Arial" w:hAnsi="Arial"/>
          <w:bCs/>
          <w:noProof/>
          <w:color w:val="000000" w:themeColor="text1"/>
          <w:sz w:val="24"/>
          <w:szCs w:val="24"/>
        </w:rPr>
        <w:t>o natječajima s područja arhitekture i urbanizma.</w:t>
      </w:r>
    </w:p>
    <w:p w14:paraId="0BE1508D" w14:textId="77777777" w:rsidR="00E541EE" w:rsidRPr="00DB7C33" w:rsidRDefault="00E541EE" w:rsidP="00E541EE">
      <w:pPr>
        <w:jc w:val="both"/>
        <w:rPr>
          <w:rFonts w:ascii="Arial" w:eastAsia="Times New Roman" w:hAnsi="Arial" w:cs="Arial"/>
          <w:bCs/>
          <w:sz w:val="24"/>
          <w:szCs w:val="24"/>
        </w:rPr>
      </w:pPr>
      <w:r w:rsidRPr="00DB7C33">
        <w:rPr>
          <w:rFonts w:ascii="Arial" w:eastAsia="Times New Roman" w:hAnsi="Arial" w:cs="Arial"/>
          <w:b/>
          <w:sz w:val="24"/>
          <w:szCs w:val="24"/>
        </w:rPr>
        <w:t xml:space="preserve">Opis: </w:t>
      </w:r>
      <w:r>
        <w:rPr>
          <w:rFonts w:ascii="Arial" w:eastAsia="Times New Roman" w:hAnsi="Arial" w:cs="Arial"/>
          <w:bCs/>
          <w:sz w:val="24"/>
          <w:szCs w:val="24"/>
        </w:rPr>
        <w:t>z</w:t>
      </w:r>
      <w:r w:rsidRPr="00DB7C33">
        <w:rPr>
          <w:rFonts w:ascii="Arial" w:eastAsia="Times New Roman" w:hAnsi="Arial" w:cs="Arial"/>
          <w:bCs/>
          <w:sz w:val="24"/>
          <w:szCs w:val="24"/>
        </w:rPr>
        <w:t xml:space="preserve">a potrebe izrade UPU za šire područje uvale Valdibora potrebno je izraditi Programsku studiju, koja bi bila stručna podloga za provođenje Natječaja.  </w:t>
      </w:r>
    </w:p>
    <w:p w14:paraId="5DDBEF30" w14:textId="77777777" w:rsidR="00E541EE" w:rsidRPr="00EB4D18" w:rsidRDefault="00E541EE" w:rsidP="00E541EE">
      <w:pPr>
        <w:jc w:val="both"/>
        <w:rPr>
          <w:rFonts w:ascii="Arial" w:eastAsia="Times New Roman" w:hAnsi="Arial" w:cs="Arial"/>
          <w:color w:val="000000" w:themeColor="text1"/>
          <w:sz w:val="24"/>
          <w:szCs w:val="24"/>
        </w:rPr>
      </w:pPr>
      <w:r w:rsidRPr="00DB7C33">
        <w:rPr>
          <w:rFonts w:ascii="Arial" w:eastAsia="Times New Roman" w:hAnsi="Arial" w:cs="Arial"/>
          <w:bCs/>
          <w:sz w:val="24"/>
          <w:szCs w:val="24"/>
        </w:rPr>
        <w:t xml:space="preserve">Temeljem članka 55. Zakona o prostornom uređenju planira se provedba Javnog  natječaja za izradu idejnog arhitektonskog-urbanističkog rješenja. </w:t>
      </w:r>
      <w:r w:rsidRPr="00EB4D18">
        <w:rPr>
          <w:rFonts w:ascii="Arial" w:eastAsia="Times New Roman" w:hAnsi="Arial" w:cs="Arial"/>
          <w:bCs/>
          <w:color w:val="000000" w:themeColor="text1"/>
          <w:sz w:val="24"/>
          <w:szCs w:val="24"/>
        </w:rPr>
        <w:t xml:space="preserve">U 2025. izrađena je Studija razvoja Sjeverne luke Valdibora koja je obradila maritimni dio obuhvata. Za ovu godinu predviđa se izrada Urbanističke studija mogućnosti za kopneni dio obuhvat. Po završetku Studije naručit će se Program UA natječaja. </w:t>
      </w:r>
    </w:p>
    <w:p w14:paraId="5973E698" w14:textId="77777777" w:rsidR="00E541EE" w:rsidRPr="00DB7C33" w:rsidRDefault="00E541EE" w:rsidP="00E541EE">
      <w:pPr>
        <w:jc w:val="both"/>
        <w:rPr>
          <w:rFonts w:ascii="Arial" w:eastAsia="Times New Roman" w:hAnsi="Arial" w:cs="Arial"/>
          <w:b/>
          <w:sz w:val="24"/>
          <w:szCs w:val="24"/>
        </w:rPr>
      </w:pPr>
      <w:r w:rsidRPr="00DB7C33">
        <w:rPr>
          <w:rFonts w:ascii="Arial" w:eastAsia="Times New Roman" w:hAnsi="Arial" w:cs="Arial"/>
          <w:b/>
          <w:sz w:val="24"/>
          <w:szCs w:val="24"/>
        </w:rPr>
        <w:t>Opći cilj:</w:t>
      </w:r>
      <w:r w:rsidRPr="00DB7C33">
        <w:rPr>
          <w:rFonts w:ascii="Arial" w:eastAsia="Times New Roman" w:hAnsi="Arial" w:cs="Arial"/>
          <w:bCs/>
          <w:sz w:val="24"/>
          <w:szCs w:val="24"/>
        </w:rPr>
        <w:t xml:space="preserve"> kroz ovu aktivnost predviđaju se sredstva za </w:t>
      </w:r>
      <w:r>
        <w:rPr>
          <w:rFonts w:ascii="Arial" w:eastAsia="Times New Roman" w:hAnsi="Arial" w:cs="Arial"/>
          <w:bCs/>
          <w:sz w:val="24"/>
          <w:szCs w:val="24"/>
        </w:rPr>
        <w:t xml:space="preserve">izradu Studije i </w:t>
      </w:r>
      <w:r w:rsidRPr="00DB7C33">
        <w:rPr>
          <w:rFonts w:ascii="Arial" w:eastAsia="Times New Roman" w:hAnsi="Arial" w:cs="Arial"/>
          <w:bCs/>
          <w:sz w:val="24"/>
          <w:szCs w:val="24"/>
        </w:rPr>
        <w:t xml:space="preserve">aktivnosti propisane ZPU i predmetnim Pravilnikom. </w:t>
      </w:r>
    </w:p>
    <w:p w14:paraId="4E622D1C" w14:textId="77777777" w:rsidR="00E541EE" w:rsidRPr="00CA1154" w:rsidRDefault="00E541EE" w:rsidP="00E541EE">
      <w:pPr>
        <w:tabs>
          <w:tab w:val="num" w:pos="284"/>
        </w:tabs>
        <w:jc w:val="both"/>
        <w:rPr>
          <w:rFonts w:ascii="Arial" w:eastAsia="Times New Roman" w:hAnsi="Arial" w:cs="Arial"/>
          <w:bCs/>
          <w:iCs/>
          <w:color w:val="000000" w:themeColor="text1"/>
          <w:sz w:val="24"/>
          <w:szCs w:val="24"/>
        </w:rPr>
      </w:pPr>
      <w:r w:rsidRPr="00CA1154">
        <w:rPr>
          <w:rFonts w:ascii="Arial" w:eastAsia="Times New Roman" w:hAnsi="Arial" w:cs="Arial"/>
          <w:b/>
          <w:bCs/>
          <w:iCs/>
          <w:color w:val="000000" w:themeColor="text1"/>
          <w:sz w:val="24"/>
          <w:szCs w:val="24"/>
        </w:rPr>
        <w:t xml:space="preserve">Pokazatelj uspješnosti: </w:t>
      </w:r>
      <w:r w:rsidRPr="00CA1154">
        <w:rPr>
          <w:rFonts w:ascii="Arial" w:eastAsia="Times New Roman" w:hAnsi="Arial" w:cs="Arial"/>
          <w:bCs/>
          <w:iCs/>
          <w:color w:val="000000" w:themeColor="text1"/>
          <w:sz w:val="24"/>
          <w:szCs w:val="24"/>
        </w:rPr>
        <w:t>realizacija planiranih aktivnosti u zadanom roku.</w:t>
      </w:r>
    </w:p>
    <w:p w14:paraId="2769677C" w14:textId="77777777" w:rsidR="00E541EE" w:rsidRPr="00CA1154" w:rsidRDefault="00E541EE" w:rsidP="00E541EE">
      <w:pPr>
        <w:tabs>
          <w:tab w:val="num" w:pos="284"/>
        </w:tabs>
        <w:jc w:val="both"/>
        <w:rPr>
          <w:rFonts w:ascii="Arial" w:eastAsia="Times New Roman" w:hAnsi="Arial" w:cs="Arial"/>
          <w:bCs/>
          <w:iCs/>
          <w:color w:val="000000" w:themeColor="text1"/>
          <w:sz w:val="24"/>
          <w:szCs w:val="24"/>
        </w:rPr>
      </w:pPr>
    </w:p>
    <w:p w14:paraId="11B3D17F" w14:textId="77777777" w:rsidR="00E541EE" w:rsidRDefault="00E541EE" w:rsidP="00E541EE">
      <w:pPr>
        <w:pBdr>
          <w:top w:val="single" w:sz="4" w:space="1" w:color="auto"/>
          <w:left w:val="single" w:sz="4" w:space="4" w:color="auto"/>
          <w:bottom w:val="single" w:sz="4" w:space="1" w:color="auto"/>
          <w:right w:val="single" w:sz="4" w:space="4" w:color="auto"/>
        </w:pBdr>
        <w:shd w:val="clear" w:color="auto" w:fill="FFFF80"/>
        <w:jc w:val="both"/>
        <w:rPr>
          <w:rFonts w:ascii="Arial" w:eastAsia="Times New Roman" w:hAnsi="Arial" w:cs="Arial"/>
          <w:b/>
          <w:bCs/>
          <w:color w:val="000000" w:themeColor="text1"/>
          <w:sz w:val="24"/>
          <w:szCs w:val="24"/>
        </w:rPr>
      </w:pPr>
      <w:r w:rsidRPr="00CA1154">
        <w:rPr>
          <w:rFonts w:ascii="Arial" w:eastAsia="Times New Roman" w:hAnsi="Arial" w:cs="Arial"/>
          <w:b/>
          <w:bCs/>
          <w:color w:val="000000" w:themeColor="text1"/>
          <w:sz w:val="24"/>
          <w:szCs w:val="24"/>
        </w:rPr>
        <w:t>Program 1010: I</w:t>
      </w:r>
      <w:r>
        <w:rPr>
          <w:rFonts w:ascii="Arial" w:eastAsia="Times New Roman" w:hAnsi="Arial" w:cs="Arial"/>
          <w:b/>
          <w:bCs/>
          <w:color w:val="000000" w:themeColor="text1"/>
          <w:sz w:val="24"/>
          <w:szCs w:val="24"/>
        </w:rPr>
        <w:t>zrada dokumenata prostornog uređenja</w:t>
      </w:r>
      <w:r w:rsidRPr="00CA1154">
        <w:rPr>
          <w:rFonts w:ascii="Arial" w:eastAsia="Times New Roman" w:hAnsi="Arial" w:cs="Arial"/>
          <w:b/>
          <w:bCs/>
          <w:color w:val="000000" w:themeColor="text1"/>
          <w:sz w:val="24"/>
          <w:szCs w:val="24"/>
        </w:rPr>
        <w:t xml:space="preserve"> </w:t>
      </w:r>
      <w:r>
        <w:rPr>
          <w:rFonts w:ascii="Arial" w:eastAsia="Times New Roman" w:hAnsi="Arial" w:cs="Arial"/>
          <w:b/>
          <w:bCs/>
          <w:color w:val="000000" w:themeColor="text1"/>
          <w:sz w:val="24"/>
          <w:szCs w:val="24"/>
        </w:rPr>
        <w:t xml:space="preserve">- </w:t>
      </w:r>
      <w:r w:rsidRPr="00CA1154">
        <w:rPr>
          <w:rFonts w:ascii="Arial" w:eastAsia="Times New Roman" w:hAnsi="Arial" w:cs="Arial"/>
          <w:b/>
          <w:bCs/>
          <w:color w:val="000000" w:themeColor="text1"/>
          <w:sz w:val="24"/>
          <w:szCs w:val="24"/>
        </w:rPr>
        <w:t>P</w:t>
      </w:r>
      <w:r>
        <w:rPr>
          <w:rFonts w:ascii="Arial" w:eastAsia="Times New Roman" w:hAnsi="Arial" w:cs="Arial"/>
          <w:b/>
          <w:bCs/>
          <w:color w:val="000000" w:themeColor="text1"/>
          <w:sz w:val="24"/>
          <w:szCs w:val="24"/>
        </w:rPr>
        <w:t>rostorni planovi</w:t>
      </w:r>
      <w:r w:rsidRPr="00CA1154">
        <w:rPr>
          <w:rFonts w:ascii="Arial" w:eastAsia="Times New Roman" w:hAnsi="Arial" w:cs="Arial"/>
          <w:b/>
          <w:bCs/>
          <w:color w:val="000000" w:themeColor="text1"/>
          <w:sz w:val="24"/>
          <w:szCs w:val="24"/>
        </w:rPr>
        <w:t xml:space="preserve"> </w:t>
      </w:r>
    </w:p>
    <w:p w14:paraId="3A78B99F" w14:textId="77777777" w:rsidR="00E541EE" w:rsidRPr="00CA1154" w:rsidRDefault="00E541EE" w:rsidP="00E541EE">
      <w:pPr>
        <w:pBdr>
          <w:top w:val="single" w:sz="4" w:space="1" w:color="auto"/>
          <w:left w:val="single" w:sz="4" w:space="4" w:color="auto"/>
          <w:bottom w:val="single" w:sz="4" w:space="1" w:color="auto"/>
          <w:right w:val="single" w:sz="4" w:space="4" w:color="auto"/>
        </w:pBdr>
        <w:shd w:val="clear" w:color="auto" w:fill="FFFF80"/>
        <w:jc w:val="both"/>
        <w:rPr>
          <w:rFonts w:ascii="Arial" w:eastAsia="Times New Roman" w:hAnsi="Arial" w:cs="Arial"/>
          <w:b/>
          <w:bCs/>
          <w:color w:val="000000" w:themeColor="text1"/>
          <w:sz w:val="24"/>
          <w:szCs w:val="24"/>
        </w:rPr>
      </w:pPr>
      <w:r w:rsidRPr="00CA1154">
        <w:rPr>
          <w:rFonts w:ascii="Arial" w:eastAsia="Times New Roman" w:hAnsi="Arial" w:cs="Arial"/>
          <w:b/>
          <w:bCs/>
          <w:color w:val="000000" w:themeColor="text1"/>
          <w:sz w:val="24"/>
          <w:szCs w:val="24"/>
        </w:rPr>
        <w:t xml:space="preserve">= 141.000,00 EUR </w:t>
      </w:r>
    </w:p>
    <w:p w14:paraId="4475E35A" w14:textId="77777777" w:rsidR="00E541EE" w:rsidRPr="00CA1154" w:rsidRDefault="00E541EE" w:rsidP="00E541EE">
      <w:pPr>
        <w:jc w:val="both"/>
        <w:rPr>
          <w:rFonts w:ascii="Arial" w:eastAsia="Times New Roman" w:hAnsi="Arial" w:cs="Arial"/>
          <w:b/>
          <w:color w:val="000000" w:themeColor="text1"/>
          <w:sz w:val="24"/>
          <w:szCs w:val="24"/>
        </w:rPr>
      </w:pPr>
    </w:p>
    <w:p w14:paraId="799FBE52" w14:textId="77777777" w:rsidR="00E541EE" w:rsidRPr="00DB7C33"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DB7C33">
        <w:rPr>
          <w:rFonts w:ascii="Arial" w:eastAsia="Times New Roman" w:hAnsi="Arial" w:cs="Arial"/>
          <w:b/>
          <w:bCs/>
          <w:sz w:val="24"/>
          <w:szCs w:val="24"/>
        </w:rPr>
        <w:t xml:space="preserve">K 101012: UPU Valbruna istok = </w:t>
      </w:r>
      <w:r>
        <w:rPr>
          <w:rFonts w:ascii="Arial" w:eastAsia="Times New Roman" w:hAnsi="Arial" w:cs="Arial"/>
          <w:b/>
          <w:bCs/>
          <w:sz w:val="24"/>
          <w:szCs w:val="24"/>
        </w:rPr>
        <w:t>33</w:t>
      </w:r>
      <w:r w:rsidRPr="00DB7C33">
        <w:rPr>
          <w:rFonts w:ascii="Arial" w:eastAsia="Times New Roman" w:hAnsi="Arial" w:cs="Arial"/>
          <w:b/>
          <w:bCs/>
          <w:sz w:val="24"/>
          <w:szCs w:val="24"/>
        </w:rPr>
        <w:t>.000,00 EUR</w:t>
      </w:r>
    </w:p>
    <w:p w14:paraId="00554CB3" w14:textId="77777777" w:rsidR="00E541EE" w:rsidRPr="00DB7C33" w:rsidRDefault="00E541EE" w:rsidP="00E541EE">
      <w:pPr>
        <w:jc w:val="both"/>
        <w:rPr>
          <w:rFonts w:ascii="Arial" w:eastAsia="Times New Roman" w:hAnsi="Arial" w:cs="Arial"/>
          <w:sz w:val="24"/>
          <w:szCs w:val="24"/>
        </w:rPr>
      </w:pPr>
      <w:r w:rsidRPr="00DB7C33">
        <w:rPr>
          <w:rFonts w:ascii="Arial" w:eastAsia="Times New Roman" w:hAnsi="Arial" w:cs="Arial"/>
          <w:b/>
          <w:sz w:val="24"/>
          <w:szCs w:val="24"/>
        </w:rPr>
        <w:t>Zakonska osnova</w:t>
      </w:r>
      <w:r w:rsidRPr="00DB7C33">
        <w:rPr>
          <w:rFonts w:ascii="Arial" w:eastAsia="Times New Roman" w:hAnsi="Arial" w:cs="Arial"/>
          <w:sz w:val="24"/>
          <w:szCs w:val="24"/>
        </w:rPr>
        <w:t>: Zakon o prostornom uređenju.</w:t>
      </w:r>
    </w:p>
    <w:p w14:paraId="636C1AB5" w14:textId="77777777" w:rsidR="00E541EE" w:rsidRPr="002D5E99" w:rsidRDefault="00E541EE" w:rsidP="00E541EE">
      <w:pPr>
        <w:jc w:val="both"/>
        <w:rPr>
          <w:rFonts w:ascii="Arial" w:eastAsia="Times New Roman" w:hAnsi="Arial" w:cs="Arial"/>
          <w:sz w:val="24"/>
          <w:szCs w:val="24"/>
        </w:rPr>
      </w:pPr>
      <w:r w:rsidRPr="00EB4D18">
        <w:rPr>
          <w:rFonts w:ascii="Arial" w:eastAsia="Times New Roman" w:hAnsi="Arial" w:cs="Arial"/>
          <w:b/>
          <w:color w:val="000000" w:themeColor="text1"/>
          <w:sz w:val="24"/>
          <w:szCs w:val="24"/>
        </w:rPr>
        <w:t>Opis:</w:t>
      </w:r>
      <w:r>
        <w:rPr>
          <w:rFonts w:ascii="Arial" w:eastAsia="Times New Roman" w:hAnsi="Arial" w:cs="Arial"/>
          <w:b/>
          <w:color w:val="000000" w:themeColor="text1"/>
          <w:sz w:val="24"/>
          <w:szCs w:val="24"/>
        </w:rPr>
        <w:t xml:space="preserve"> </w:t>
      </w:r>
      <w:r>
        <w:rPr>
          <w:rFonts w:ascii="Arial" w:eastAsia="Times New Roman" w:hAnsi="Arial" w:cs="Arial"/>
          <w:bCs/>
          <w:sz w:val="24"/>
          <w:szCs w:val="24"/>
        </w:rPr>
        <w:t>v</w:t>
      </w:r>
      <w:r w:rsidRPr="002D5E99">
        <w:rPr>
          <w:rFonts w:ascii="Arial" w:eastAsia="Times New Roman" w:hAnsi="Arial" w:cs="Arial"/>
          <w:bCs/>
          <w:sz w:val="24"/>
          <w:szCs w:val="24"/>
        </w:rPr>
        <w:t>ažeći UPU Valbruna istok donesen je 2018. godine. Radi izmjena podzakonskih akata po pitanju prometne infrastrukture, te izmjena planova šireg područja (GUP-a i PPUG-a) nakon donošenja Plana, potrebno je izmijeniti postojeći UPU kako bi se uskladio s navedenim promjenama u novom sustavu ePlanovi.</w:t>
      </w:r>
    </w:p>
    <w:p w14:paraId="45498DFD" w14:textId="77777777" w:rsidR="00E541EE" w:rsidRPr="00EB4D18" w:rsidRDefault="00E541EE" w:rsidP="00E541EE">
      <w:pPr>
        <w:jc w:val="both"/>
        <w:rPr>
          <w:rFonts w:ascii="Arial" w:eastAsia="Times New Roman" w:hAnsi="Arial" w:cs="Arial"/>
          <w:iCs/>
          <w:color w:val="000000" w:themeColor="text1"/>
          <w:sz w:val="24"/>
          <w:szCs w:val="24"/>
        </w:rPr>
      </w:pPr>
      <w:r w:rsidRPr="002D5E99">
        <w:rPr>
          <w:rFonts w:ascii="Arial" w:eastAsia="Times New Roman" w:hAnsi="Arial" w:cs="Arial"/>
          <w:sz w:val="24"/>
          <w:szCs w:val="24"/>
        </w:rPr>
        <w:t xml:space="preserve">Sredstva su osigurana za izradu Programa za izradu izmjena </w:t>
      </w:r>
      <w:r w:rsidRPr="00EB4D18">
        <w:rPr>
          <w:rFonts w:ascii="Arial" w:eastAsia="Times New Roman" w:hAnsi="Arial" w:cs="Arial"/>
          <w:color w:val="000000" w:themeColor="text1"/>
          <w:sz w:val="24"/>
          <w:szCs w:val="24"/>
        </w:rPr>
        <w:t>i dopuna UPU-a i sam UPU. Mogućnost izmjene UPU-a propisana je člankom 85. Zakona o prostornom uređenju.</w:t>
      </w:r>
      <w:r>
        <w:rPr>
          <w:rFonts w:ascii="Arial" w:eastAsia="Times New Roman" w:hAnsi="Arial" w:cs="Arial"/>
          <w:color w:val="000000" w:themeColor="text1"/>
          <w:sz w:val="24"/>
          <w:szCs w:val="24"/>
        </w:rPr>
        <w:t xml:space="preserve"> </w:t>
      </w:r>
      <w:r w:rsidRPr="00EB4D18">
        <w:rPr>
          <w:rFonts w:ascii="Arial" w:eastAsia="Times New Roman" w:hAnsi="Arial" w:cs="Arial"/>
          <w:bCs/>
          <w:iCs/>
          <w:color w:val="000000" w:themeColor="text1"/>
          <w:sz w:val="24"/>
          <w:szCs w:val="24"/>
        </w:rPr>
        <w:t xml:space="preserve">Površina zahvata: </w:t>
      </w:r>
      <w:r w:rsidRPr="00EB4D18">
        <w:rPr>
          <w:rFonts w:ascii="Arial" w:eastAsia="Times New Roman" w:hAnsi="Arial" w:cs="Arial"/>
          <w:iCs/>
          <w:color w:val="000000" w:themeColor="text1"/>
          <w:sz w:val="24"/>
          <w:szCs w:val="24"/>
        </w:rPr>
        <w:t>cca  20,50 ha.</w:t>
      </w:r>
    </w:p>
    <w:p w14:paraId="31D8EAEB" w14:textId="77777777" w:rsidR="00E541EE" w:rsidRPr="00EB4D18" w:rsidRDefault="00E541EE" w:rsidP="00E541EE">
      <w:pPr>
        <w:jc w:val="both"/>
        <w:rPr>
          <w:rFonts w:ascii="Arial" w:eastAsia="Times New Roman" w:hAnsi="Arial" w:cs="Arial"/>
          <w:b/>
          <w:color w:val="000000" w:themeColor="text1"/>
          <w:sz w:val="24"/>
          <w:szCs w:val="24"/>
        </w:rPr>
      </w:pPr>
      <w:r w:rsidRPr="00EB4D18">
        <w:rPr>
          <w:rFonts w:ascii="Arial" w:eastAsia="Times New Roman" w:hAnsi="Arial" w:cs="Arial"/>
          <w:b/>
          <w:color w:val="000000" w:themeColor="text1"/>
          <w:sz w:val="24"/>
          <w:szCs w:val="24"/>
        </w:rPr>
        <w:t>Opći cilj:</w:t>
      </w:r>
      <w:r w:rsidRPr="00EB4D18">
        <w:rPr>
          <w:rFonts w:ascii="Arial" w:eastAsia="Times New Roman" w:hAnsi="Arial" w:cs="Arial"/>
          <w:bCs/>
          <w:color w:val="000000" w:themeColor="text1"/>
          <w:sz w:val="24"/>
          <w:szCs w:val="24"/>
        </w:rPr>
        <w:t xml:space="preserve"> kroz ovu aktivnost predviđaju se sredstva za izradu Programa za izradu UPU</w:t>
      </w:r>
      <w:r w:rsidRPr="00EB4D18">
        <w:rPr>
          <w:rFonts w:ascii="Arial" w:eastAsia="Times New Roman" w:hAnsi="Arial" w:cs="Arial"/>
          <w:color w:val="000000" w:themeColor="text1"/>
          <w:sz w:val="24"/>
          <w:szCs w:val="24"/>
        </w:rPr>
        <w:t xml:space="preserve"> Valbruna</w:t>
      </w:r>
      <w:r w:rsidRPr="00EB4D18">
        <w:rPr>
          <w:rFonts w:ascii="Arial" w:eastAsia="Times New Roman" w:hAnsi="Arial" w:cs="Arial"/>
          <w:bCs/>
          <w:color w:val="000000" w:themeColor="text1"/>
          <w:sz w:val="24"/>
          <w:szCs w:val="24"/>
        </w:rPr>
        <w:t xml:space="preserve"> Istok i Izradu UPU-a. </w:t>
      </w:r>
    </w:p>
    <w:p w14:paraId="69B90233" w14:textId="77777777" w:rsidR="00E541EE" w:rsidRDefault="00E541EE" w:rsidP="00E541EE">
      <w:pPr>
        <w:jc w:val="both"/>
        <w:rPr>
          <w:rFonts w:ascii="Arial" w:eastAsia="Times New Roman" w:hAnsi="Arial" w:cs="Arial"/>
          <w:color w:val="000000" w:themeColor="text1"/>
          <w:sz w:val="24"/>
          <w:szCs w:val="24"/>
        </w:rPr>
      </w:pPr>
      <w:r w:rsidRPr="00EB4D18">
        <w:rPr>
          <w:rFonts w:ascii="Arial" w:eastAsia="Times New Roman" w:hAnsi="Arial" w:cs="Arial"/>
          <w:b/>
          <w:color w:val="000000" w:themeColor="text1"/>
          <w:sz w:val="24"/>
          <w:szCs w:val="24"/>
        </w:rPr>
        <w:t>Pokazatelj uspješnosti:</w:t>
      </w:r>
      <w:r w:rsidRPr="00EB4D18">
        <w:rPr>
          <w:rFonts w:ascii="Arial" w:eastAsia="Times New Roman" w:hAnsi="Arial" w:cs="Arial"/>
          <w:color w:val="000000" w:themeColor="text1"/>
          <w:sz w:val="24"/>
          <w:szCs w:val="24"/>
        </w:rPr>
        <w:t xml:space="preserve">  realizacija planiranih aktivnosti u zadanom roku.</w:t>
      </w:r>
    </w:p>
    <w:p w14:paraId="79964DA5" w14:textId="77777777" w:rsidR="00E541EE" w:rsidRPr="00EB4D18" w:rsidRDefault="00E541EE" w:rsidP="00E541EE">
      <w:pPr>
        <w:jc w:val="both"/>
        <w:rPr>
          <w:rFonts w:ascii="Arial" w:eastAsia="Times New Roman" w:hAnsi="Arial" w:cs="Arial"/>
          <w:color w:val="000000" w:themeColor="text1"/>
          <w:sz w:val="24"/>
          <w:szCs w:val="24"/>
        </w:rPr>
      </w:pPr>
    </w:p>
    <w:p w14:paraId="162D9B18" w14:textId="77777777" w:rsidR="00E541EE" w:rsidRPr="00175D01"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175D01">
        <w:rPr>
          <w:rFonts w:ascii="Arial" w:eastAsia="Times New Roman" w:hAnsi="Arial" w:cs="Arial"/>
          <w:b/>
          <w:bCs/>
          <w:sz w:val="24"/>
          <w:szCs w:val="24"/>
        </w:rPr>
        <w:t>K 101007: I</w:t>
      </w:r>
      <w:r>
        <w:rPr>
          <w:rFonts w:ascii="Arial" w:eastAsia="Times New Roman" w:hAnsi="Arial" w:cs="Arial"/>
          <w:b/>
          <w:bCs/>
          <w:sz w:val="24"/>
          <w:szCs w:val="24"/>
        </w:rPr>
        <w:t>zmjena i dopuna GUP-a</w:t>
      </w:r>
      <w:r w:rsidRPr="00175D01">
        <w:rPr>
          <w:rFonts w:ascii="Arial" w:eastAsia="Times New Roman" w:hAnsi="Arial" w:cs="Arial"/>
          <w:b/>
          <w:bCs/>
          <w:sz w:val="24"/>
          <w:szCs w:val="24"/>
        </w:rPr>
        <w:t xml:space="preserve"> = </w:t>
      </w:r>
      <w:r>
        <w:rPr>
          <w:rFonts w:ascii="Arial" w:eastAsia="Times New Roman" w:hAnsi="Arial" w:cs="Arial"/>
          <w:b/>
          <w:bCs/>
          <w:sz w:val="24"/>
          <w:szCs w:val="24"/>
        </w:rPr>
        <w:t>37</w:t>
      </w:r>
      <w:r w:rsidRPr="00DB7C33">
        <w:rPr>
          <w:rFonts w:ascii="Arial" w:eastAsia="Times New Roman" w:hAnsi="Arial" w:cs="Arial"/>
          <w:b/>
          <w:bCs/>
          <w:sz w:val="24"/>
          <w:szCs w:val="24"/>
        </w:rPr>
        <w:t>.</w:t>
      </w:r>
      <w:r>
        <w:rPr>
          <w:rFonts w:ascii="Arial" w:eastAsia="Times New Roman" w:hAnsi="Arial" w:cs="Arial"/>
          <w:b/>
          <w:bCs/>
          <w:sz w:val="24"/>
          <w:szCs w:val="24"/>
        </w:rPr>
        <w:t>5</w:t>
      </w:r>
      <w:r w:rsidRPr="00DB7C33">
        <w:rPr>
          <w:rFonts w:ascii="Arial" w:eastAsia="Times New Roman" w:hAnsi="Arial" w:cs="Arial"/>
          <w:b/>
          <w:bCs/>
          <w:sz w:val="24"/>
          <w:szCs w:val="24"/>
        </w:rPr>
        <w:t>00,00 EUR</w:t>
      </w:r>
    </w:p>
    <w:p w14:paraId="6EA3ADC6" w14:textId="77777777" w:rsidR="00E541EE" w:rsidRPr="00175D01" w:rsidRDefault="00E541EE" w:rsidP="00E541EE">
      <w:pPr>
        <w:jc w:val="both"/>
        <w:rPr>
          <w:rFonts w:ascii="Arial" w:eastAsia="Times New Roman" w:hAnsi="Arial" w:cs="Arial"/>
          <w:sz w:val="24"/>
          <w:szCs w:val="24"/>
        </w:rPr>
      </w:pPr>
      <w:r w:rsidRPr="00175D01">
        <w:rPr>
          <w:rFonts w:ascii="Arial" w:eastAsia="Times New Roman" w:hAnsi="Arial" w:cs="Arial"/>
          <w:b/>
          <w:sz w:val="24"/>
          <w:szCs w:val="24"/>
        </w:rPr>
        <w:t>Zakonska osnova</w:t>
      </w:r>
      <w:r w:rsidRPr="00175D01">
        <w:rPr>
          <w:rFonts w:ascii="Arial" w:eastAsia="Times New Roman" w:hAnsi="Arial" w:cs="Arial"/>
          <w:sz w:val="24"/>
          <w:szCs w:val="24"/>
        </w:rPr>
        <w:t>: Zakon o prostornom uređenju.</w:t>
      </w:r>
    </w:p>
    <w:p w14:paraId="184E7EC4" w14:textId="77777777" w:rsidR="00E541EE" w:rsidRPr="00175D01" w:rsidRDefault="00E541EE" w:rsidP="00E541EE">
      <w:pPr>
        <w:contextualSpacing/>
        <w:jc w:val="both"/>
        <w:rPr>
          <w:rFonts w:ascii="Arial" w:hAnsi="Arial" w:cs="Arial"/>
          <w:sz w:val="24"/>
          <w:szCs w:val="24"/>
        </w:rPr>
      </w:pPr>
      <w:r w:rsidRPr="00175D01">
        <w:rPr>
          <w:rFonts w:ascii="Arial" w:eastAsia="Times New Roman" w:hAnsi="Arial" w:cs="Arial"/>
          <w:b/>
          <w:sz w:val="24"/>
          <w:szCs w:val="24"/>
        </w:rPr>
        <w:t xml:space="preserve">Opis: </w:t>
      </w:r>
      <w:r w:rsidRPr="00175D01">
        <w:rPr>
          <w:rFonts w:ascii="Arial" w:hAnsi="Arial" w:cs="Arial"/>
          <w:sz w:val="24"/>
          <w:szCs w:val="24"/>
        </w:rPr>
        <w:t xml:space="preserve">osnovni razlozi za </w:t>
      </w:r>
      <w:r>
        <w:rPr>
          <w:rFonts w:ascii="Arial" w:hAnsi="Arial" w:cs="Arial"/>
          <w:sz w:val="24"/>
          <w:szCs w:val="24"/>
        </w:rPr>
        <w:t>i</w:t>
      </w:r>
      <w:r w:rsidRPr="00175D01">
        <w:rPr>
          <w:rFonts w:ascii="Arial" w:hAnsi="Arial" w:cs="Arial"/>
          <w:sz w:val="24"/>
          <w:szCs w:val="24"/>
        </w:rPr>
        <w:t>zmjene i dopune GUP-a grada Rovinja-Rovinja su zaštita i očuvanje cjelokupnog prostora građevinskog područja, posebno novih i postojećih zelenih površina, odnosno poticanje održivog razvoja kako već izgrađenih tako i neizgrađenih dijelova.</w:t>
      </w:r>
    </w:p>
    <w:p w14:paraId="1661E62B" w14:textId="77777777" w:rsidR="00E541EE" w:rsidRPr="00175D01" w:rsidRDefault="00E541EE" w:rsidP="00E541EE">
      <w:pPr>
        <w:contextualSpacing/>
        <w:jc w:val="both"/>
        <w:rPr>
          <w:rFonts w:ascii="Arial" w:hAnsi="Arial" w:cs="Arial"/>
          <w:sz w:val="24"/>
          <w:szCs w:val="24"/>
        </w:rPr>
      </w:pPr>
      <w:r>
        <w:rPr>
          <w:rFonts w:ascii="Arial" w:hAnsi="Arial" w:cs="Arial"/>
          <w:sz w:val="24"/>
          <w:szCs w:val="24"/>
        </w:rPr>
        <w:t>S</w:t>
      </w:r>
      <w:r w:rsidRPr="00175D01">
        <w:rPr>
          <w:rFonts w:ascii="Arial" w:hAnsi="Arial" w:cs="Arial"/>
          <w:sz w:val="24"/>
          <w:szCs w:val="24"/>
        </w:rPr>
        <w:t xml:space="preserve"> obzirom na zahvate koji se planiraju ID GUP-a, propisao je provođenje postupka strateške procjene utjecaja na okoliš. Za potrebe postupka strateške procjene </w:t>
      </w:r>
      <w:r>
        <w:rPr>
          <w:rFonts w:ascii="Arial" w:hAnsi="Arial" w:cs="Arial"/>
          <w:sz w:val="24"/>
          <w:szCs w:val="24"/>
        </w:rPr>
        <w:t>izrađuje se</w:t>
      </w:r>
      <w:r w:rsidRPr="00175D01">
        <w:rPr>
          <w:rFonts w:ascii="Arial" w:hAnsi="Arial" w:cs="Arial"/>
          <w:sz w:val="24"/>
          <w:szCs w:val="24"/>
        </w:rPr>
        <w:t xml:space="preserve"> stratešk</w:t>
      </w:r>
      <w:r>
        <w:rPr>
          <w:rFonts w:ascii="Arial" w:hAnsi="Arial" w:cs="Arial"/>
          <w:sz w:val="24"/>
          <w:szCs w:val="24"/>
        </w:rPr>
        <w:t>a</w:t>
      </w:r>
      <w:r w:rsidRPr="00175D01">
        <w:rPr>
          <w:rFonts w:ascii="Arial" w:hAnsi="Arial" w:cs="Arial"/>
          <w:sz w:val="24"/>
          <w:szCs w:val="24"/>
        </w:rPr>
        <w:t xml:space="preserve"> studij</w:t>
      </w:r>
      <w:r>
        <w:rPr>
          <w:rFonts w:ascii="Arial" w:hAnsi="Arial" w:cs="Arial"/>
          <w:sz w:val="24"/>
          <w:szCs w:val="24"/>
        </w:rPr>
        <w:t>a</w:t>
      </w:r>
      <w:r w:rsidRPr="00175D01">
        <w:rPr>
          <w:rFonts w:ascii="Arial" w:hAnsi="Arial" w:cs="Arial"/>
          <w:sz w:val="24"/>
          <w:szCs w:val="24"/>
        </w:rPr>
        <w:t xml:space="preserve"> utjecaja na okoliš izmjena i dopuna GUP-a</w:t>
      </w:r>
      <w:r>
        <w:rPr>
          <w:rFonts w:ascii="Arial" w:hAnsi="Arial" w:cs="Arial"/>
          <w:sz w:val="24"/>
          <w:szCs w:val="24"/>
        </w:rPr>
        <w:t xml:space="preserve">. </w:t>
      </w:r>
      <w:r w:rsidRPr="00175D01">
        <w:rPr>
          <w:rFonts w:ascii="Arial" w:hAnsi="Arial" w:cs="Arial"/>
          <w:sz w:val="24"/>
          <w:szCs w:val="24"/>
        </w:rPr>
        <w:t xml:space="preserve">Studija izrađuje se paralelno s izradom Izmjena i dopuna GUP-a. </w:t>
      </w:r>
      <w:r>
        <w:rPr>
          <w:rFonts w:ascii="Arial" w:hAnsi="Arial" w:cs="Arial"/>
          <w:sz w:val="24"/>
          <w:szCs w:val="24"/>
        </w:rPr>
        <w:t xml:space="preserve">Obje aktivnosti su u toku izrade. </w:t>
      </w:r>
      <w:r w:rsidRPr="00175D01">
        <w:rPr>
          <w:rFonts w:ascii="Arial" w:hAnsi="Arial" w:cs="Arial"/>
          <w:sz w:val="24"/>
          <w:szCs w:val="24"/>
        </w:rPr>
        <w:t xml:space="preserve"> </w:t>
      </w:r>
    </w:p>
    <w:p w14:paraId="44C7C59B" w14:textId="77777777" w:rsidR="00E541EE" w:rsidRPr="00175D01" w:rsidRDefault="00E541EE" w:rsidP="00E541EE">
      <w:pPr>
        <w:jc w:val="both"/>
        <w:rPr>
          <w:rFonts w:ascii="Arial" w:eastAsia="Times New Roman" w:hAnsi="Arial" w:cs="Arial"/>
          <w:b/>
          <w:sz w:val="24"/>
          <w:szCs w:val="24"/>
        </w:rPr>
      </w:pPr>
      <w:r w:rsidRPr="00175D01">
        <w:rPr>
          <w:rFonts w:ascii="Arial" w:eastAsia="Times New Roman" w:hAnsi="Arial" w:cs="Arial"/>
          <w:b/>
          <w:sz w:val="24"/>
          <w:szCs w:val="24"/>
        </w:rPr>
        <w:t>Opći cilj:</w:t>
      </w:r>
      <w:r w:rsidRPr="00175D01">
        <w:rPr>
          <w:rFonts w:ascii="Arial" w:eastAsia="Times New Roman" w:hAnsi="Arial" w:cs="Arial"/>
          <w:bCs/>
          <w:sz w:val="24"/>
          <w:szCs w:val="24"/>
        </w:rPr>
        <w:t xml:space="preserve"> kroz ovu aktivnost predviđaju se sredstva za izradu izmjena i dopuna GUP-a i </w:t>
      </w:r>
      <w:r w:rsidRPr="00175D01">
        <w:rPr>
          <w:rFonts w:ascii="Arial" w:hAnsi="Arial" w:cs="Arial"/>
          <w:sz w:val="24"/>
          <w:szCs w:val="24"/>
        </w:rPr>
        <w:t>stratešku studiju utjecaja na okoliš.</w:t>
      </w:r>
    </w:p>
    <w:p w14:paraId="3EF497D0" w14:textId="77777777" w:rsidR="00E541EE" w:rsidRPr="00175D01" w:rsidRDefault="00E541EE" w:rsidP="00E541EE">
      <w:pPr>
        <w:jc w:val="both"/>
        <w:rPr>
          <w:rFonts w:ascii="Arial" w:eastAsia="Times New Roman" w:hAnsi="Arial" w:cs="Arial"/>
          <w:sz w:val="24"/>
          <w:szCs w:val="24"/>
        </w:rPr>
      </w:pPr>
      <w:r w:rsidRPr="00175D01">
        <w:rPr>
          <w:rFonts w:ascii="Arial" w:eastAsia="Times New Roman" w:hAnsi="Arial" w:cs="Arial"/>
          <w:b/>
          <w:sz w:val="24"/>
          <w:szCs w:val="24"/>
        </w:rPr>
        <w:t>Pokazatelj uspješnosti:</w:t>
      </w:r>
      <w:r w:rsidRPr="00175D01">
        <w:rPr>
          <w:rFonts w:ascii="Arial" w:eastAsia="Times New Roman" w:hAnsi="Arial" w:cs="Arial"/>
          <w:sz w:val="24"/>
          <w:szCs w:val="24"/>
        </w:rPr>
        <w:t xml:space="preserve">  realizacija planiranih aktivnosti u zadanom roku.</w:t>
      </w:r>
    </w:p>
    <w:p w14:paraId="4870CB7F" w14:textId="77777777" w:rsidR="00E541EE" w:rsidRPr="00DB7C33" w:rsidRDefault="00E541EE" w:rsidP="00E541EE">
      <w:pPr>
        <w:jc w:val="both"/>
        <w:rPr>
          <w:rFonts w:ascii="Arial" w:eastAsia="Times New Roman" w:hAnsi="Arial" w:cs="Arial"/>
          <w:sz w:val="24"/>
          <w:szCs w:val="24"/>
        </w:rPr>
      </w:pPr>
    </w:p>
    <w:p w14:paraId="2A3BA52C" w14:textId="77777777" w:rsidR="00E541EE" w:rsidRPr="00DB7C33"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DB7C33">
        <w:rPr>
          <w:rFonts w:ascii="Arial" w:eastAsia="Times New Roman" w:hAnsi="Arial" w:cs="Arial"/>
          <w:b/>
          <w:bCs/>
          <w:sz w:val="24"/>
          <w:szCs w:val="24"/>
        </w:rPr>
        <w:t>K 101013: I</w:t>
      </w:r>
      <w:r>
        <w:rPr>
          <w:rFonts w:ascii="Arial" w:eastAsia="Times New Roman" w:hAnsi="Arial" w:cs="Arial"/>
          <w:b/>
          <w:bCs/>
          <w:sz w:val="24"/>
          <w:szCs w:val="24"/>
        </w:rPr>
        <w:t>zmjena i dopuna UPU Monsena-Valdaliso</w:t>
      </w:r>
      <w:r w:rsidRPr="00DB7C33">
        <w:rPr>
          <w:rFonts w:ascii="Arial" w:eastAsia="Times New Roman" w:hAnsi="Arial" w:cs="Arial"/>
          <w:b/>
          <w:bCs/>
          <w:sz w:val="24"/>
          <w:szCs w:val="24"/>
        </w:rPr>
        <w:t xml:space="preserve"> = 37.500,00 EUR</w:t>
      </w:r>
    </w:p>
    <w:p w14:paraId="4D3C6140" w14:textId="77777777" w:rsidR="00E541EE" w:rsidRPr="00DB7C33" w:rsidRDefault="00E541EE" w:rsidP="00E541EE">
      <w:pPr>
        <w:jc w:val="both"/>
        <w:rPr>
          <w:rFonts w:ascii="Arial" w:eastAsia="Times New Roman" w:hAnsi="Arial" w:cs="Arial"/>
          <w:sz w:val="24"/>
          <w:szCs w:val="24"/>
        </w:rPr>
      </w:pPr>
      <w:r w:rsidRPr="00DB7C33">
        <w:rPr>
          <w:rFonts w:ascii="Arial" w:eastAsia="Times New Roman" w:hAnsi="Arial" w:cs="Arial"/>
          <w:b/>
          <w:sz w:val="24"/>
          <w:szCs w:val="24"/>
        </w:rPr>
        <w:t>Zakonska osnova</w:t>
      </w:r>
      <w:r w:rsidRPr="00DB7C33">
        <w:rPr>
          <w:rFonts w:ascii="Arial" w:eastAsia="Times New Roman" w:hAnsi="Arial" w:cs="Arial"/>
          <w:sz w:val="24"/>
          <w:szCs w:val="24"/>
        </w:rPr>
        <w:t>: Zakon o prostornom uređenju.</w:t>
      </w:r>
    </w:p>
    <w:p w14:paraId="206BAD0B" w14:textId="77777777" w:rsidR="00E541EE" w:rsidRPr="00DB7C33" w:rsidRDefault="00E541EE" w:rsidP="00E541EE">
      <w:pPr>
        <w:contextualSpacing/>
        <w:jc w:val="both"/>
        <w:rPr>
          <w:rFonts w:ascii="Arial" w:hAnsi="Arial" w:cs="Arial"/>
          <w:sz w:val="24"/>
          <w:szCs w:val="24"/>
        </w:rPr>
      </w:pPr>
      <w:r w:rsidRPr="00DB7C33">
        <w:rPr>
          <w:rFonts w:ascii="Arial" w:eastAsia="Times New Roman" w:hAnsi="Arial" w:cs="Arial"/>
          <w:b/>
          <w:sz w:val="24"/>
          <w:szCs w:val="24"/>
        </w:rPr>
        <w:t xml:space="preserve">Opis: </w:t>
      </w:r>
      <w:r w:rsidRPr="00DB7C33">
        <w:rPr>
          <w:rFonts w:ascii="Arial" w:hAnsi="Arial" w:cs="Arial"/>
          <w:sz w:val="24"/>
          <w:szCs w:val="24"/>
        </w:rPr>
        <w:t>Zaprimljena je inicijativa poduzeća Monsena d.o.o. za izradom izmjena i dopuna UPU-a, a sve s</w:t>
      </w:r>
      <w:r w:rsidRPr="00531D8B">
        <w:rPr>
          <w:rFonts w:ascii="Arial" w:eastAsia="Times New Roman" w:hAnsi="Arial" w:cs="Arial"/>
          <w:sz w:val="24"/>
          <w:szCs w:val="24"/>
        </w:rPr>
        <w:t>lijedom Presude Visokog upravnog suda, kojom je ukinuta Odluka o donošenju Izmjena i dopunama Urbanističkog plana uređenja turističke zone Monsena-Valdaliso u Rovinju-Rovigno („Službeni glasnik“ Grada Rovinja-Rovigno broj 9/21)</w:t>
      </w:r>
      <w:r w:rsidRPr="00DB7C33">
        <w:rPr>
          <w:rFonts w:ascii="Arial" w:eastAsia="Times New Roman" w:hAnsi="Arial" w:cs="Arial"/>
          <w:sz w:val="24"/>
          <w:szCs w:val="24"/>
        </w:rPr>
        <w:t xml:space="preserve">. </w:t>
      </w:r>
      <w:r w:rsidRPr="00531D8B">
        <w:rPr>
          <w:rFonts w:ascii="Arial" w:eastAsia="Times New Roman" w:hAnsi="Arial" w:cs="Arial"/>
          <w:sz w:val="24"/>
          <w:szCs w:val="24"/>
        </w:rPr>
        <w:t xml:space="preserve"> </w:t>
      </w:r>
    </w:p>
    <w:p w14:paraId="5DDA3BD6" w14:textId="77777777" w:rsidR="00E541EE" w:rsidRPr="00DB7C33" w:rsidRDefault="00E541EE" w:rsidP="00E541EE">
      <w:pPr>
        <w:jc w:val="both"/>
        <w:rPr>
          <w:rFonts w:ascii="Arial" w:eastAsia="Times New Roman" w:hAnsi="Arial" w:cs="Arial"/>
          <w:bCs/>
          <w:sz w:val="24"/>
          <w:szCs w:val="24"/>
        </w:rPr>
      </w:pPr>
      <w:r w:rsidRPr="00DB7C33">
        <w:rPr>
          <w:rFonts w:ascii="Arial" w:eastAsia="Times New Roman" w:hAnsi="Arial" w:cs="Arial"/>
          <w:b/>
          <w:sz w:val="24"/>
          <w:szCs w:val="24"/>
        </w:rPr>
        <w:t xml:space="preserve">Opći cilj: </w:t>
      </w:r>
      <w:r w:rsidRPr="00DB7C33">
        <w:rPr>
          <w:rFonts w:ascii="Arial" w:eastAsia="Times New Roman" w:hAnsi="Arial" w:cs="Arial"/>
          <w:bCs/>
          <w:sz w:val="24"/>
          <w:szCs w:val="24"/>
        </w:rPr>
        <w:t xml:space="preserve"> kroz ovu aktivnost predviđaju se sredstva za izradu UPU-a, a čiji će iznos osigurati investitori. </w:t>
      </w:r>
    </w:p>
    <w:p w14:paraId="18366D77" w14:textId="77777777" w:rsidR="00E541EE" w:rsidRDefault="00E541EE" w:rsidP="00E541EE">
      <w:pPr>
        <w:jc w:val="both"/>
        <w:rPr>
          <w:rFonts w:ascii="Arial" w:eastAsia="Times New Roman" w:hAnsi="Arial" w:cs="Arial"/>
          <w:sz w:val="24"/>
          <w:szCs w:val="24"/>
        </w:rPr>
      </w:pPr>
      <w:r w:rsidRPr="00DB7C33">
        <w:rPr>
          <w:rFonts w:ascii="Arial" w:eastAsia="Times New Roman" w:hAnsi="Arial" w:cs="Arial"/>
          <w:b/>
          <w:sz w:val="24"/>
          <w:szCs w:val="24"/>
        </w:rPr>
        <w:t>Pokazatelj uspješnosti:</w:t>
      </w:r>
      <w:r w:rsidRPr="00DB7C33">
        <w:rPr>
          <w:rFonts w:ascii="Arial" w:eastAsia="Times New Roman" w:hAnsi="Arial" w:cs="Arial"/>
          <w:sz w:val="24"/>
          <w:szCs w:val="24"/>
        </w:rPr>
        <w:t xml:space="preserve"> realizacija planiranih aktivnosti u zadanom roku.</w:t>
      </w:r>
    </w:p>
    <w:p w14:paraId="7B123735" w14:textId="77777777" w:rsidR="00E541EE" w:rsidRDefault="00E541EE" w:rsidP="00E541EE">
      <w:pPr>
        <w:jc w:val="both"/>
        <w:rPr>
          <w:rFonts w:ascii="Arial" w:eastAsia="Times New Roman" w:hAnsi="Arial" w:cs="Arial"/>
          <w:sz w:val="24"/>
          <w:szCs w:val="24"/>
        </w:rPr>
      </w:pPr>
    </w:p>
    <w:p w14:paraId="04DCE950" w14:textId="77777777" w:rsidR="00E541EE" w:rsidRPr="00CA1154" w:rsidRDefault="00E541EE" w:rsidP="00E541EE">
      <w:pPr>
        <w:pBdr>
          <w:top w:val="single" w:sz="4" w:space="0" w:color="auto"/>
          <w:left w:val="single" w:sz="4" w:space="4" w:color="auto"/>
          <w:bottom w:val="single" w:sz="4" w:space="1" w:color="auto"/>
          <w:right w:val="single" w:sz="4" w:space="4" w:color="auto"/>
        </w:pBdr>
        <w:shd w:val="clear" w:color="auto" w:fill="E9E9E9"/>
        <w:jc w:val="both"/>
        <w:rPr>
          <w:rFonts w:ascii="Arial" w:eastAsia="Times New Roman" w:hAnsi="Arial" w:cs="Arial"/>
          <w:b/>
          <w:bCs/>
          <w:color w:val="000000" w:themeColor="text1"/>
          <w:sz w:val="24"/>
          <w:szCs w:val="24"/>
        </w:rPr>
      </w:pPr>
      <w:r w:rsidRPr="00CA1154">
        <w:rPr>
          <w:rFonts w:ascii="Arial" w:eastAsia="Times New Roman" w:hAnsi="Arial" w:cs="Arial"/>
          <w:b/>
          <w:bCs/>
          <w:color w:val="000000" w:themeColor="text1"/>
          <w:sz w:val="24"/>
          <w:szCs w:val="24"/>
        </w:rPr>
        <w:t>K 101014: UPU Rovinjsko Selo = 33.000,00 EUR</w:t>
      </w:r>
    </w:p>
    <w:p w14:paraId="29EF5BAF" w14:textId="77777777" w:rsidR="00E541EE" w:rsidRPr="00CA1154" w:rsidRDefault="00E541EE" w:rsidP="00E541EE">
      <w:pPr>
        <w:jc w:val="both"/>
        <w:rPr>
          <w:rFonts w:ascii="Arial" w:eastAsia="Times New Roman" w:hAnsi="Arial" w:cs="Arial"/>
          <w:color w:val="000000" w:themeColor="text1"/>
          <w:sz w:val="24"/>
          <w:szCs w:val="24"/>
        </w:rPr>
      </w:pPr>
      <w:r w:rsidRPr="00CA1154">
        <w:rPr>
          <w:rFonts w:ascii="Arial" w:eastAsia="Times New Roman" w:hAnsi="Arial" w:cs="Arial"/>
          <w:b/>
          <w:color w:val="000000" w:themeColor="text1"/>
          <w:sz w:val="24"/>
          <w:szCs w:val="24"/>
        </w:rPr>
        <w:t>Zakonska osnova</w:t>
      </w:r>
      <w:r w:rsidRPr="00CA1154">
        <w:rPr>
          <w:rFonts w:ascii="Arial" w:eastAsia="Times New Roman" w:hAnsi="Arial" w:cs="Arial"/>
          <w:color w:val="000000" w:themeColor="text1"/>
          <w:sz w:val="24"/>
          <w:szCs w:val="24"/>
        </w:rPr>
        <w:t>: Zakon o prostornom uređenju.</w:t>
      </w:r>
    </w:p>
    <w:p w14:paraId="5E9D1633" w14:textId="77777777" w:rsidR="00E541EE" w:rsidRPr="00CA1154" w:rsidRDefault="00E541EE" w:rsidP="00E541EE">
      <w:pPr>
        <w:jc w:val="both"/>
        <w:rPr>
          <w:rFonts w:ascii="Arial" w:eastAsia="Times New Roman" w:hAnsi="Arial" w:cs="Arial"/>
          <w:b/>
          <w:color w:val="000000" w:themeColor="text1"/>
          <w:sz w:val="24"/>
          <w:szCs w:val="24"/>
        </w:rPr>
      </w:pPr>
      <w:r w:rsidRPr="00CA1154">
        <w:rPr>
          <w:rFonts w:ascii="Arial" w:eastAsia="Times New Roman" w:hAnsi="Arial" w:cs="Arial"/>
          <w:b/>
          <w:color w:val="000000" w:themeColor="text1"/>
          <w:sz w:val="24"/>
          <w:szCs w:val="24"/>
        </w:rPr>
        <w:t xml:space="preserve">Opis: </w:t>
      </w:r>
      <w:r w:rsidRPr="00CA1154">
        <w:rPr>
          <w:rFonts w:ascii="Arial" w:hAnsi="Arial" w:cs="Arial"/>
          <w:b/>
          <w:color w:val="000000" w:themeColor="text1"/>
          <w:sz w:val="24"/>
          <w:szCs w:val="24"/>
        </w:rPr>
        <w:tab/>
      </w:r>
      <w:r w:rsidRPr="00CA1154">
        <w:rPr>
          <w:rFonts w:ascii="Arial" w:hAnsi="Arial" w:cs="Arial"/>
          <w:color w:val="000000" w:themeColor="text1"/>
          <w:sz w:val="24"/>
          <w:szCs w:val="24"/>
        </w:rPr>
        <w:t>Obveza izrade UPU-a Rovinjsko Selo definirana je člankom 79. Zakona o prostornom uređenju.</w:t>
      </w:r>
    </w:p>
    <w:p w14:paraId="4B698342" w14:textId="77777777" w:rsidR="00E541EE" w:rsidRPr="00EB4D18" w:rsidRDefault="00E541EE" w:rsidP="00E541EE">
      <w:pPr>
        <w:jc w:val="both"/>
        <w:rPr>
          <w:rFonts w:ascii="Arial" w:hAnsi="Arial" w:cs="Arial"/>
          <w:color w:val="000000" w:themeColor="text1"/>
          <w:sz w:val="24"/>
          <w:szCs w:val="24"/>
        </w:rPr>
      </w:pPr>
      <w:r w:rsidRPr="00CA1154">
        <w:rPr>
          <w:rFonts w:ascii="Arial" w:hAnsi="Arial" w:cs="Arial"/>
          <w:color w:val="000000" w:themeColor="text1"/>
          <w:sz w:val="24"/>
          <w:szCs w:val="24"/>
        </w:rPr>
        <w:t xml:space="preserve">Važeći plan UPU Rovinjsko Selo donesen 2007. godine, sukladno </w:t>
      </w:r>
      <w:r w:rsidRPr="00EB4D18">
        <w:rPr>
          <w:rFonts w:ascii="Arial" w:hAnsi="Arial" w:cs="Arial"/>
          <w:color w:val="000000" w:themeColor="text1"/>
          <w:sz w:val="24"/>
          <w:szCs w:val="24"/>
        </w:rPr>
        <w:t xml:space="preserve">novim propisima vezanih za prostorno planiranje potrebno je izraditi UPU u novom sustavu </w:t>
      </w:r>
      <w:r>
        <w:rPr>
          <w:rFonts w:ascii="Arial" w:hAnsi="Arial" w:cs="Arial"/>
          <w:color w:val="000000" w:themeColor="text1"/>
          <w:sz w:val="24"/>
          <w:szCs w:val="24"/>
        </w:rPr>
        <w:t>eP</w:t>
      </w:r>
      <w:r w:rsidRPr="00EB4D18">
        <w:rPr>
          <w:rFonts w:ascii="Arial" w:hAnsi="Arial" w:cs="Arial"/>
          <w:color w:val="000000" w:themeColor="text1"/>
          <w:sz w:val="24"/>
          <w:szCs w:val="24"/>
        </w:rPr>
        <w:t xml:space="preserve">lanovi. </w:t>
      </w:r>
    </w:p>
    <w:p w14:paraId="29DD67ED" w14:textId="77777777" w:rsidR="00E541EE" w:rsidRDefault="00E541EE" w:rsidP="00E541EE">
      <w:pPr>
        <w:pStyle w:val="Tijeloteksta3"/>
        <w:spacing w:after="0" w:line="240" w:lineRule="auto"/>
        <w:jc w:val="both"/>
        <w:rPr>
          <w:rFonts w:ascii="Arial" w:eastAsia="Times New Roman" w:hAnsi="Arial" w:cs="Arial"/>
          <w:iCs/>
          <w:color w:val="000000" w:themeColor="text1"/>
          <w:sz w:val="24"/>
          <w:szCs w:val="24"/>
        </w:rPr>
      </w:pPr>
      <w:r w:rsidRPr="00F529C0">
        <w:rPr>
          <w:rFonts w:ascii="Arial" w:hAnsi="Arial" w:cs="Arial"/>
          <w:bCs/>
          <w:color w:val="000000" w:themeColor="text1"/>
          <w:sz w:val="24"/>
          <w:szCs w:val="24"/>
        </w:rPr>
        <w:t>Kao nužni preduvjet prije početka izrade potrebno je izraditi sve analize koje su od važnosti za izradu UPU-a, te adekvatne (ažurirane) kartografske osnove, kao podloge za izradu grafičkog dijela UPU-a. Analiza uključuje osnovne prirodne karakteristike prostora, gustoću naseljenosti, izgrađene i neizgrađene površine, izdane akte, opremljenost komunalnom i prometnom infrastrukturom, demografsku strukturu,</w:t>
      </w:r>
      <w:r w:rsidRPr="00F529C0">
        <w:rPr>
          <w:rFonts w:ascii="Arial" w:hAnsi="Arial" w:cs="Arial"/>
          <w:color w:val="000000" w:themeColor="text1"/>
          <w:sz w:val="24"/>
          <w:szCs w:val="24"/>
        </w:rPr>
        <w:t xml:space="preserve"> </w:t>
      </w:r>
      <w:r w:rsidRPr="00F529C0">
        <w:rPr>
          <w:rFonts w:ascii="Arial" w:hAnsi="Arial" w:cs="Arial"/>
          <w:bCs/>
          <w:color w:val="000000" w:themeColor="text1"/>
          <w:sz w:val="24"/>
          <w:szCs w:val="24"/>
        </w:rPr>
        <w:t xml:space="preserve">gospodarsku analizu, te analizu dokumenata prostornog uređenja i ostale relevantne dokumentacije. </w:t>
      </w:r>
      <w:r>
        <w:rPr>
          <w:rFonts w:ascii="Arial" w:hAnsi="Arial" w:cs="Arial"/>
          <w:bCs/>
          <w:color w:val="000000" w:themeColor="text1"/>
          <w:sz w:val="24"/>
          <w:szCs w:val="24"/>
        </w:rPr>
        <w:t xml:space="preserve"> </w:t>
      </w:r>
      <w:r w:rsidRPr="00F529C0">
        <w:rPr>
          <w:rFonts w:ascii="Arial" w:hAnsi="Arial" w:cs="Arial"/>
          <w:bCs/>
          <w:sz w:val="24"/>
          <w:szCs w:val="24"/>
        </w:rPr>
        <w:t xml:space="preserve">Upravni odjel zaprimio je i manji broj zahtjeva stranaka koji se većinom odnosi na promjenu namjene. </w:t>
      </w:r>
      <w:r w:rsidRPr="00F529C0">
        <w:rPr>
          <w:rFonts w:ascii="Arial" w:eastAsia="Times New Roman" w:hAnsi="Arial" w:cs="Arial"/>
          <w:bCs/>
          <w:iCs/>
          <w:color w:val="000000" w:themeColor="text1"/>
          <w:sz w:val="24"/>
          <w:szCs w:val="24"/>
        </w:rPr>
        <w:t xml:space="preserve">Površina zahvata: </w:t>
      </w:r>
      <w:r w:rsidRPr="00F529C0">
        <w:rPr>
          <w:rFonts w:ascii="Arial" w:eastAsia="Times New Roman" w:hAnsi="Arial" w:cs="Arial"/>
          <w:iCs/>
          <w:color w:val="000000" w:themeColor="text1"/>
          <w:sz w:val="24"/>
          <w:szCs w:val="24"/>
        </w:rPr>
        <w:t>cca 107 ha.</w:t>
      </w:r>
    </w:p>
    <w:p w14:paraId="2DE8A69F" w14:textId="77777777" w:rsidR="00E541EE" w:rsidRPr="00175D01" w:rsidRDefault="00E541EE" w:rsidP="00E541EE">
      <w:pPr>
        <w:pStyle w:val="Tijeloteksta3"/>
        <w:spacing w:after="0" w:line="240" w:lineRule="auto"/>
        <w:jc w:val="both"/>
        <w:rPr>
          <w:rFonts w:ascii="Arial" w:eastAsia="Times New Roman" w:hAnsi="Arial" w:cs="Arial"/>
          <w:b/>
          <w:sz w:val="24"/>
          <w:szCs w:val="24"/>
          <w:lang w:eastAsia="hr-HR"/>
        </w:rPr>
      </w:pPr>
      <w:r w:rsidRPr="00175D01">
        <w:rPr>
          <w:rFonts w:ascii="Arial" w:eastAsia="Times New Roman" w:hAnsi="Arial" w:cs="Arial"/>
          <w:b/>
          <w:sz w:val="24"/>
          <w:szCs w:val="24"/>
          <w:lang w:eastAsia="hr-HR"/>
        </w:rPr>
        <w:t>Opći cilj:</w:t>
      </w:r>
      <w:r w:rsidRPr="00175D01">
        <w:rPr>
          <w:rFonts w:ascii="Arial" w:eastAsia="Times New Roman" w:hAnsi="Arial" w:cs="Arial"/>
          <w:bCs/>
          <w:sz w:val="24"/>
          <w:szCs w:val="24"/>
        </w:rPr>
        <w:t xml:space="preserve"> kroz ovu aktivnost predviđaju se sredstva za izradu </w:t>
      </w:r>
      <w:r>
        <w:rPr>
          <w:rFonts w:ascii="Arial" w:eastAsia="Times New Roman" w:hAnsi="Arial" w:cs="Arial"/>
          <w:bCs/>
          <w:sz w:val="24"/>
          <w:szCs w:val="24"/>
        </w:rPr>
        <w:t xml:space="preserve">analize prostora u obuhvatu </w:t>
      </w:r>
      <w:r w:rsidRPr="00175D01">
        <w:rPr>
          <w:rFonts w:ascii="Arial" w:eastAsia="Times New Roman" w:hAnsi="Arial" w:cs="Arial"/>
          <w:bCs/>
          <w:sz w:val="24"/>
          <w:szCs w:val="24"/>
        </w:rPr>
        <w:t>UPU</w:t>
      </w:r>
      <w:r w:rsidRPr="00175D01">
        <w:rPr>
          <w:rFonts w:ascii="Arial" w:eastAsia="Times New Roman" w:hAnsi="Arial" w:cs="Arial"/>
          <w:b/>
          <w:bCs/>
          <w:sz w:val="24"/>
          <w:szCs w:val="24"/>
          <w:lang w:eastAsia="hr-HR"/>
        </w:rPr>
        <w:t xml:space="preserve"> </w:t>
      </w:r>
      <w:r>
        <w:rPr>
          <w:rFonts w:ascii="Arial" w:eastAsia="Times New Roman" w:hAnsi="Arial" w:cs="Arial"/>
          <w:bCs/>
          <w:sz w:val="24"/>
          <w:szCs w:val="24"/>
          <w:lang w:eastAsia="hr-HR"/>
        </w:rPr>
        <w:t>Rovinjsko Selo.</w:t>
      </w:r>
    </w:p>
    <w:p w14:paraId="514CEC17" w14:textId="77777777" w:rsidR="00E541EE" w:rsidRDefault="00E541EE" w:rsidP="00E541EE">
      <w:pPr>
        <w:jc w:val="both"/>
        <w:rPr>
          <w:rFonts w:ascii="Arial" w:eastAsia="Times New Roman" w:hAnsi="Arial" w:cs="Arial"/>
          <w:sz w:val="24"/>
          <w:szCs w:val="24"/>
        </w:rPr>
      </w:pPr>
      <w:r w:rsidRPr="00175D01">
        <w:rPr>
          <w:rFonts w:ascii="Arial" w:eastAsia="Times New Roman" w:hAnsi="Arial" w:cs="Arial"/>
          <w:b/>
          <w:sz w:val="24"/>
          <w:szCs w:val="24"/>
        </w:rPr>
        <w:t>Pokazatelj uspješnosti:</w:t>
      </w:r>
      <w:r w:rsidRPr="00175D01">
        <w:rPr>
          <w:rFonts w:ascii="Arial" w:eastAsia="Times New Roman" w:hAnsi="Arial" w:cs="Arial"/>
          <w:sz w:val="24"/>
          <w:szCs w:val="24"/>
        </w:rPr>
        <w:t xml:space="preserve">  realizacija planiranih aktivnosti u zadanom roku.</w:t>
      </w:r>
    </w:p>
    <w:p w14:paraId="0F0A0F64" w14:textId="77777777" w:rsidR="00E541EE" w:rsidRPr="00175D01" w:rsidRDefault="00E541EE" w:rsidP="00E541EE">
      <w:pPr>
        <w:jc w:val="both"/>
        <w:rPr>
          <w:rFonts w:ascii="Arial" w:eastAsia="Times New Roman" w:hAnsi="Arial" w:cs="Arial"/>
          <w:sz w:val="24"/>
          <w:szCs w:val="24"/>
        </w:rPr>
      </w:pPr>
    </w:p>
    <w:p w14:paraId="0FFD2B6D" w14:textId="77777777" w:rsidR="00E541EE" w:rsidRDefault="00E541EE" w:rsidP="00E541EE">
      <w:pPr>
        <w:jc w:val="both"/>
        <w:rPr>
          <w:rFonts w:ascii="Arial" w:eastAsia="Times New Roman" w:hAnsi="Arial" w:cs="Arial"/>
          <w:sz w:val="24"/>
          <w:szCs w:val="24"/>
        </w:rPr>
      </w:pPr>
    </w:p>
    <w:p w14:paraId="7E779BA2" w14:textId="77777777" w:rsidR="00E541EE" w:rsidRDefault="00E541EE" w:rsidP="00E541EE">
      <w:pPr>
        <w:pBdr>
          <w:top w:val="single" w:sz="4" w:space="1" w:color="auto"/>
          <w:left w:val="single" w:sz="4" w:space="4" w:color="auto"/>
          <w:bottom w:val="single" w:sz="4" w:space="1" w:color="auto"/>
          <w:right w:val="single" w:sz="4" w:space="4" w:color="auto"/>
        </w:pBdr>
        <w:shd w:val="clear" w:color="auto" w:fill="FFFF80"/>
        <w:jc w:val="both"/>
        <w:rPr>
          <w:rFonts w:ascii="Arial" w:eastAsia="Times New Roman" w:hAnsi="Arial" w:cs="Arial"/>
          <w:b/>
          <w:bCs/>
          <w:color w:val="000000" w:themeColor="text1"/>
          <w:sz w:val="24"/>
          <w:szCs w:val="24"/>
        </w:rPr>
      </w:pPr>
      <w:r w:rsidRPr="00CA1154">
        <w:rPr>
          <w:rFonts w:ascii="Arial" w:eastAsia="Times New Roman" w:hAnsi="Arial" w:cs="Arial"/>
          <w:b/>
          <w:bCs/>
          <w:color w:val="000000" w:themeColor="text1"/>
          <w:sz w:val="24"/>
          <w:szCs w:val="24"/>
        </w:rPr>
        <w:t>Program 1011: I</w:t>
      </w:r>
      <w:r>
        <w:rPr>
          <w:rFonts w:ascii="Arial" w:eastAsia="Times New Roman" w:hAnsi="Arial" w:cs="Arial"/>
          <w:b/>
          <w:bCs/>
          <w:color w:val="000000" w:themeColor="text1"/>
          <w:sz w:val="24"/>
          <w:szCs w:val="24"/>
        </w:rPr>
        <w:t>zrada dokumenata prostornog uređenja - Projekti i studije</w:t>
      </w:r>
    </w:p>
    <w:p w14:paraId="4D9A880B" w14:textId="77777777" w:rsidR="00E541EE" w:rsidRPr="00CA1154" w:rsidRDefault="00E541EE" w:rsidP="00E541EE">
      <w:pPr>
        <w:pBdr>
          <w:top w:val="single" w:sz="4" w:space="1" w:color="auto"/>
          <w:left w:val="single" w:sz="4" w:space="4" w:color="auto"/>
          <w:bottom w:val="single" w:sz="4" w:space="1" w:color="auto"/>
          <w:right w:val="single" w:sz="4" w:space="4" w:color="auto"/>
        </w:pBdr>
        <w:shd w:val="clear" w:color="auto" w:fill="FFFF80"/>
        <w:jc w:val="both"/>
        <w:rPr>
          <w:rFonts w:ascii="Arial" w:eastAsia="Times New Roman" w:hAnsi="Arial" w:cs="Arial"/>
          <w:b/>
          <w:bCs/>
          <w:color w:val="000000" w:themeColor="text1"/>
          <w:sz w:val="24"/>
          <w:szCs w:val="24"/>
        </w:rPr>
      </w:pPr>
      <w:r w:rsidRPr="00CA1154">
        <w:rPr>
          <w:rFonts w:ascii="Arial" w:eastAsia="Times New Roman" w:hAnsi="Arial" w:cs="Arial"/>
          <w:b/>
          <w:bCs/>
          <w:color w:val="000000" w:themeColor="text1"/>
          <w:sz w:val="24"/>
          <w:szCs w:val="24"/>
        </w:rPr>
        <w:t xml:space="preserve">= 69.500,00 EUR </w:t>
      </w:r>
    </w:p>
    <w:p w14:paraId="3C61E0F1" w14:textId="77777777" w:rsidR="00E541EE" w:rsidRDefault="00E541EE" w:rsidP="00E541EE">
      <w:pPr>
        <w:jc w:val="both"/>
        <w:rPr>
          <w:rFonts w:ascii="Arial" w:eastAsia="Times New Roman" w:hAnsi="Arial" w:cs="Arial"/>
          <w:iCs/>
          <w:strike/>
          <w:sz w:val="24"/>
          <w:szCs w:val="24"/>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066"/>
        <w:gridCol w:w="1225"/>
        <w:gridCol w:w="1070"/>
        <w:gridCol w:w="896"/>
        <w:gridCol w:w="1062"/>
        <w:gridCol w:w="1062"/>
        <w:gridCol w:w="949"/>
        <w:gridCol w:w="918"/>
        <w:gridCol w:w="763"/>
        <w:gridCol w:w="608"/>
        <w:gridCol w:w="577"/>
      </w:tblGrid>
      <w:tr w:rsidR="00E541EE" w:rsidRPr="00493521" w14:paraId="449FD2C4" w14:textId="77777777" w:rsidTr="00A84BB5">
        <w:trPr>
          <w:trHeight w:val="638"/>
          <w:jc w:val="center"/>
        </w:trPr>
        <w:tc>
          <w:tcPr>
            <w:tcW w:w="528" w:type="pct"/>
            <w:vMerge w:val="restart"/>
          </w:tcPr>
          <w:p w14:paraId="11FF5A51" w14:textId="77777777" w:rsidR="00E541EE" w:rsidRPr="00E11721" w:rsidRDefault="00E541EE" w:rsidP="00A84BB5">
            <w:pPr>
              <w:widowControl w:val="0"/>
              <w:autoSpaceDE w:val="0"/>
              <w:autoSpaceDN w:val="0"/>
              <w:spacing w:before="49"/>
              <w:ind w:left="44" w:right="35"/>
              <w:jc w:val="center"/>
              <w:rPr>
                <w:rFonts w:cstheme="minorHAnsi"/>
                <w:b/>
                <w:sz w:val="15"/>
                <w:szCs w:val="15"/>
              </w:rPr>
            </w:pPr>
            <w:r w:rsidRPr="00E11721">
              <w:rPr>
                <w:rFonts w:cstheme="minorHAnsi"/>
                <w:b/>
                <w:sz w:val="15"/>
                <w:szCs w:val="15"/>
              </w:rPr>
              <w:t>Doprinos</w:t>
            </w:r>
            <w:r w:rsidRPr="00E11721">
              <w:rPr>
                <w:rFonts w:cstheme="minorHAnsi"/>
                <w:b/>
                <w:spacing w:val="-34"/>
                <w:sz w:val="15"/>
                <w:szCs w:val="15"/>
              </w:rPr>
              <w:t xml:space="preserve"> </w:t>
            </w:r>
            <w:r w:rsidRPr="00E11721">
              <w:rPr>
                <w:rFonts w:cstheme="minorHAnsi"/>
                <w:b/>
                <w:sz w:val="15"/>
                <w:szCs w:val="15"/>
              </w:rPr>
              <w:t>provedbi</w:t>
            </w:r>
          </w:p>
          <w:p w14:paraId="0C3883F6" w14:textId="77777777" w:rsidR="00E541EE" w:rsidRPr="00E11721" w:rsidRDefault="00E541EE" w:rsidP="00A84BB5">
            <w:pPr>
              <w:widowControl w:val="0"/>
              <w:autoSpaceDE w:val="0"/>
              <w:autoSpaceDN w:val="0"/>
              <w:ind w:left="44" w:right="35"/>
              <w:jc w:val="center"/>
              <w:rPr>
                <w:rFonts w:cstheme="minorHAnsi"/>
                <w:b/>
                <w:sz w:val="15"/>
                <w:szCs w:val="15"/>
              </w:rPr>
            </w:pPr>
            <w:r w:rsidRPr="00E11721">
              <w:rPr>
                <w:rFonts w:cstheme="minorHAnsi"/>
                <w:b/>
                <w:sz w:val="15"/>
                <w:szCs w:val="15"/>
              </w:rPr>
              <w:t>nadređenog</w:t>
            </w:r>
          </w:p>
          <w:p w14:paraId="6F2B201F" w14:textId="77777777" w:rsidR="00E541EE" w:rsidRPr="00E11721" w:rsidRDefault="00E541EE" w:rsidP="00A84BB5">
            <w:pPr>
              <w:widowControl w:val="0"/>
              <w:autoSpaceDE w:val="0"/>
              <w:autoSpaceDN w:val="0"/>
              <w:spacing w:before="49"/>
              <w:ind w:left="44" w:right="35"/>
              <w:jc w:val="center"/>
              <w:rPr>
                <w:rFonts w:cstheme="minorHAnsi"/>
                <w:b/>
                <w:sz w:val="15"/>
                <w:szCs w:val="15"/>
              </w:rPr>
            </w:pPr>
            <w:r w:rsidRPr="00E11721">
              <w:rPr>
                <w:rFonts w:cstheme="minorHAnsi"/>
                <w:b/>
                <w:sz w:val="15"/>
                <w:szCs w:val="15"/>
              </w:rPr>
              <w:t>akta</w:t>
            </w:r>
            <w:r w:rsidRPr="00E11721">
              <w:rPr>
                <w:rFonts w:cstheme="minorHAnsi"/>
                <w:b/>
                <w:spacing w:val="1"/>
                <w:sz w:val="15"/>
                <w:szCs w:val="15"/>
              </w:rPr>
              <w:t xml:space="preserve"> </w:t>
            </w:r>
            <w:r w:rsidRPr="00E11721">
              <w:rPr>
                <w:rFonts w:cstheme="minorHAnsi"/>
                <w:b/>
                <w:sz w:val="15"/>
                <w:szCs w:val="15"/>
              </w:rPr>
              <w:t>strateškog</w:t>
            </w:r>
            <w:r w:rsidRPr="00E11721">
              <w:rPr>
                <w:rFonts w:cstheme="minorHAnsi"/>
                <w:b/>
                <w:spacing w:val="-34"/>
                <w:sz w:val="15"/>
                <w:szCs w:val="15"/>
              </w:rPr>
              <w:t xml:space="preserve"> </w:t>
            </w:r>
            <w:r w:rsidRPr="00E11721">
              <w:rPr>
                <w:rFonts w:cstheme="minorHAnsi"/>
                <w:b/>
                <w:sz w:val="15"/>
                <w:szCs w:val="15"/>
              </w:rPr>
              <w:t>planiranja</w:t>
            </w:r>
          </w:p>
        </w:tc>
        <w:tc>
          <w:tcPr>
            <w:tcW w:w="606" w:type="pct"/>
            <w:vMerge w:val="restart"/>
          </w:tcPr>
          <w:p w14:paraId="647C4876" w14:textId="77777777" w:rsidR="00E541EE" w:rsidRPr="00E11721" w:rsidRDefault="00E541EE" w:rsidP="00A84BB5">
            <w:pPr>
              <w:widowControl w:val="0"/>
              <w:autoSpaceDE w:val="0"/>
              <w:autoSpaceDN w:val="0"/>
              <w:ind w:left="44" w:right="35"/>
              <w:jc w:val="center"/>
              <w:rPr>
                <w:rFonts w:cstheme="minorHAnsi"/>
                <w:b/>
                <w:sz w:val="15"/>
                <w:szCs w:val="15"/>
              </w:rPr>
            </w:pPr>
            <w:r w:rsidRPr="00E11721">
              <w:rPr>
                <w:rFonts w:cstheme="minorHAnsi"/>
                <w:b/>
                <w:sz w:val="15"/>
                <w:szCs w:val="15"/>
              </w:rPr>
              <w:t>Naziv</w:t>
            </w:r>
            <w:r w:rsidRPr="00E11721">
              <w:rPr>
                <w:rFonts w:cstheme="minorHAnsi"/>
                <w:b/>
                <w:spacing w:val="-3"/>
                <w:sz w:val="15"/>
                <w:szCs w:val="15"/>
              </w:rPr>
              <w:t xml:space="preserve"> </w:t>
            </w:r>
            <w:r w:rsidRPr="00E11721">
              <w:rPr>
                <w:rFonts w:cstheme="minorHAnsi"/>
                <w:b/>
                <w:sz w:val="15"/>
                <w:szCs w:val="15"/>
              </w:rPr>
              <w:t>cilja nadređenog</w:t>
            </w:r>
            <w:r w:rsidRPr="00E11721">
              <w:rPr>
                <w:rFonts w:cstheme="minorHAnsi"/>
                <w:b/>
                <w:spacing w:val="1"/>
                <w:sz w:val="15"/>
                <w:szCs w:val="15"/>
              </w:rPr>
              <w:t xml:space="preserve"> </w:t>
            </w:r>
            <w:r w:rsidRPr="00E11721">
              <w:rPr>
                <w:rFonts w:cstheme="minorHAnsi"/>
                <w:b/>
                <w:spacing w:val="-1"/>
                <w:sz w:val="15"/>
                <w:szCs w:val="15"/>
              </w:rPr>
              <w:t>akta</w:t>
            </w:r>
            <w:r w:rsidRPr="00E11721">
              <w:rPr>
                <w:rFonts w:cstheme="minorHAnsi"/>
                <w:b/>
                <w:spacing w:val="-2"/>
                <w:sz w:val="15"/>
                <w:szCs w:val="15"/>
              </w:rPr>
              <w:t xml:space="preserve"> </w:t>
            </w:r>
            <w:r w:rsidRPr="00E11721">
              <w:rPr>
                <w:rFonts w:cstheme="minorHAnsi"/>
                <w:b/>
                <w:spacing w:val="-1"/>
                <w:sz w:val="15"/>
                <w:szCs w:val="15"/>
              </w:rPr>
              <w:t xml:space="preserve">strateškog </w:t>
            </w:r>
            <w:r w:rsidRPr="00E11721">
              <w:rPr>
                <w:rFonts w:cstheme="minorHAnsi"/>
                <w:b/>
                <w:sz w:val="15"/>
                <w:szCs w:val="15"/>
              </w:rPr>
              <w:t>planiranja</w:t>
            </w:r>
          </w:p>
        </w:tc>
        <w:tc>
          <w:tcPr>
            <w:tcW w:w="530" w:type="pct"/>
            <w:vMerge w:val="restart"/>
            <w:vAlign w:val="center"/>
          </w:tcPr>
          <w:p w14:paraId="0EF4B2CF" w14:textId="77777777" w:rsidR="00E541EE" w:rsidRPr="00E11721" w:rsidRDefault="00E541EE" w:rsidP="00A84BB5">
            <w:pPr>
              <w:widowControl w:val="0"/>
              <w:autoSpaceDE w:val="0"/>
              <w:autoSpaceDN w:val="0"/>
              <w:ind w:left="125" w:right="114"/>
              <w:jc w:val="center"/>
              <w:rPr>
                <w:rFonts w:cstheme="minorHAnsi"/>
                <w:b/>
                <w:sz w:val="15"/>
                <w:szCs w:val="15"/>
              </w:rPr>
            </w:pPr>
            <w:r w:rsidRPr="00E11721">
              <w:rPr>
                <w:rFonts w:cstheme="minorHAnsi"/>
                <w:b/>
                <w:spacing w:val="-1"/>
                <w:sz w:val="15"/>
                <w:szCs w:val="15"/>
              </w:rPr>
              <w:t xml:space="preserve">Program </w:t>
            </w:r>
            <w:r w:rsidRPr="00E11721">
              <w:rPr>
                <w:rFonts w:cstheme="minorHAnsi"/>
                <w:b/>
                <w:sz w:val="15"/>
                <w:szCs w:val="15"/>
              </w:rPr>
              <w:t>u</w:t>
            </w:r>
            <w:r w:rsidRPr="00E11721">
              <w:rPr>
                <w:rFonts w:cstheme="minorHAnsi"/>
                <w:b/>
                <w:spacing w:val="-34"/>
                <w:sz w:val="15"/>
                <w:szCs w:val="15"/>
              </w:rPr>
              <w:t xml:space="preserve"> </w:t>
            </w:r>
            <w:r w:rsidRPr="00E11721">
              <w:rPr>
                <w:rFonts w:cstheme="minorHAnsi"/>
                <w:b/>
                <w:sz w:val="15"/>
                <w:szCs w:val="15"/>
              </w:rPr>
              <w:t xml:space="preserve">proračunu </w:t>
            </w:r>
            <w:r w:rsidRPr="00E11721">
              <w:rPr>
                <w:rFonts w:cstheme="minorHAnsi"/>
                <w:b/>
                <w:spacing w:val="-34"/>
                <w:sz w:val="15"/>
                <w:szCs w:val="15"/>
              </w:rPr>
              <w:t xml:space="preserve"> </w:t>
            </w:r>
            <w:r w:rsidRPr="00E11721">
              <w:rPr>
                <w:rFonts w:cstheme="minorHAnsi"/>
                <w:b/>
                <w:sz w:val="15"/>
                <w:szCs w:val="15"/>
              </w:rPr>
              <w:t>JLS</w:t>
            </w:r>
          </w:p>
        </w:tc>
        <w:tc>
          <w:tcPr>
            <w:tcW w:w="445" w:type="pct"/>
            <w:vMerge w:val="restart"/>
            <w:vAlign w:val="center"/>
          </w:tcPr>
          <w:p w14:paraId="5C7C5DCE" w14:textId="77777777" w:rsidR="00E541EE" w:rsidRPr="00E11721" w:rsidRDefault="00E541EE" w:rsidP="00A84BB5">
            <w:pPr>
              <w:widowControl w:val="0"/>
              <w:autoSpaceDE w:val="0"/>
              <w:autoSpaceDN w:val="0"/>
              <w:ind w:left="179"/>
              <w:rPr>
                <w:rFonts w:cstheme="minorHAnsi"/>
                <w:b/>
                <w:sz w:val="15"/>
                <w:szCs w:val="15"/>
              </w:rPr>
            </w:pPr>
            <w:r w:rsidRPr="00E11721">
              <w:rPr>
                <w:rFonts w:cstheme="minorHAnsi"/>
                <w:b/>
                <w:sz w:val="15"/>
                <w:szCs w:val="15"/>
              </w:rPr>
              <w:t>Naziv</w:t>
            </w:r>
            <w:r w:rsidRPr="00E11721">
              <w:rPr>
                <w:rFonts w:cstheme="minorHAnsi"/>
                <w:b/>
                <w:spacing w:val="-2"/>
                <w:sz w:val="15"/>
                <w:szCs w:val="15"/>
              </w:rPr>
              <w:t xml:space="preserve"> </w:t>
            </w:r>
            <w:r w:rsidRPr="00E11721">
              <w:rPr>
                <w:rFonts w:cstheme="minorHAnsi"/>
                <w:b/>
                <w:sz w:val="15"/>
                <w:szCs w:val="15"/>
              </w:rPr>
              <w:t>mjere</w:t>
            </w:r>
          </w:p>
        </w:tc>
        <w:tc>
          <w:tcPr>
            <w:tcW w:w="526" w:type="pct"/>
            <w:vMerge w:val="restart"/>
            <w:vAlign w:val="center"/>
          </w:tcPr>
          <w:p w14:paraId="2A2780ED" w14:textId="77777777" w:rsidR="00E541EE" w:rsidRPr="00E11721" w:rsidRDefault="00E541EE" w:rsidP="00A84BB5">
            <w:pPr>
              <w:widowControl w:val="0"/>
              <w:autoSpaceDE w:val="0"/>
              <w:autoSpaceDN w:val="0"/>
              <w:ind w:left="70" w:right="60"/>
              <w:jc w:val="center"/>
              <w:rPr>
                <w:rFonts w:cstheme="minorHAnsi"/>
                <w:b/>
                <w:sz w:val="15"/>
                <w:szCs w:val="15"/>
              </w:rPr>
            </w:pPr>
            <w:r w:rsidRPr="00E11721">
              <w:rPr>
                <w:rFonts w:cstheme="minorHAnsi"/>
                <w:b/>
                <w:sz w:val="15"/>
                <w:szCs w:val="15"/>
              </w:rPr>
              <w:t>Procijenjeni</w:t>
            </w:r>
            <w:r w:rsidRPr="00E11721">
              <w:rPr>
                <w:rFonts w:cstheme="minorHAnsi"/>
                <w:b/>
                <w:spacing w:val="-34"/>
                <w:sz w:val="15"/>
                <w:szCs w:val="15"/>
              </w:rPr>
              <w:t xml:space="preserve"> </w:t>
            </w:r>
            <w:r w:rsidRPr="00E11721">
              <w:rPr>
                <w:rFonts w:cstheme="minorHAnsi"/>
                <w:b/>
                <w:sz w:val="15"/>
                <w:szCs w:val="15"/>
              </w:rPr>
              <w:t>trošak</w:t>
            </w:r>
            <w:r w:rsidRPr="00E11721">
              <w:rPr>
                <w:rFonts w:cstheme="minorHAnsi"/>
                <w:b/>
                <w:spacing w:val="1"/>
                <w:sz w:val="15"/>
                <w:szCs w:val="15"/>
              </w:rPr>
              <w:t xml:space="preserve"> </w:t>
            </w:r>
            <w:r w:rsidRPr="00E11721">
              <w:rPr>
                <w:rFonts w:cstheme="minorHAnsi"/>
                <w:b/>
                <w:sz w:val="15"/>
                <w:szCs w:val="15"/>
              </w:rPr>
              <w:t>provedbe</w:t>
            </w:r>
            <w:r w:rsidRPr="00E11721">
              <w:rPr>
                <w:rFonts w:cstheme="minorHAnsi"/>
                <w:b/>
                <w:spacing w:val="1"/>
                <w:sz w:val="15"/>
                <w:szCs w:val="15"/>
              </w:rPr>
              <w:t xml:space="preserve"> </w:t>
            </w:r>
            <w:r w:rsidRPr="00E11721">
              <w:rPr>
                <w:rFonts w:cstheme="minorHAnsi"/>
                <w:b/>
                <w:sz w:val="15"/>
                <w:szCs w:val="15"/>
              </w:rPr>
              <w:t>mjere 2026.</w:t>
            </w:r>
          </w:p>
          <w:p w14:paraId="4889DCD0" w14:textId="77777777" w:rsidR="00E541EE" w:rsidRPr="00E11721" w:rsidRDefault="00E541EE" w:rsidP="00A84BB5">
            <w:pPr>
              <w:widowControl w:val="0"/>
              <w:autoSpaceDE w:val="0"/>
              <w:autoSpaceDN w:val="0"/>
              <w:spacing w:before="2"/>
              <w:ind w:left="70" w:right="58"/>
              <w:jc w:val="center"/>
              <w:rPr>
                <w:rFonts w:cstheme="minorHAnsi"/>
                <w:b/>
                <w:sz w:val="15"/>
                <w:szCs w:val="15"/>
              </w:rPr>
            </w:pPr>
            <w:r w:rsidRPr="00E11721">
              <w:rPr>
                <w:rFonts w:cstheme="minorHAnsi"/>
                <w:b/>
                <w:sz w:val="15"/>
                <w:szCs w:val="15"/>
              </w:rPr>
              <w:t>(u EUR)</w:t>
            </w:r>
          </w:p>
        </w:tc>
        <w:tc>
          <w:tcPr>
            <w:tcW w:w="526" w:type="pct"/>
            <w:vMerge w:val="restart"/>
            <w:vAlign w:val="center"/>
          </w:tcPr>
          <w:p w14:paraId="6BE8F3CC" w14:textId="77777777" w:rsidR="00E541EE" w:rsidRPr="00E11721" w:rsidRDefault="00E541EE" w:rsidP="00A84BB5">
            <w:pPr>
              <w:widowControl w:val="0"/>
              <w:autoSpaceDE w:val="0"/>
              <w:autoSpaceDN w:val="0"/>
              <w:rPr>
                <w:rFonts w:cstheme="minorHAnsi"/>
                <w:b/>
                <w:sz w:val="15"/>
                <w:szCs w:val="15"/>
              </w:rPr>
            </w:pPr>
            <w:r w:rsidRPr="00E11721">
              <w:rPr>
                <w:rFonts w:cstheme="minorHAnsi"/>
                <w:b/>
                <w:sz w:val="15"/>
                <w:szCs w:val="15"/>
              </w:rPr>
              <w:t xml:space="preserve">      Ključne</w:t>
            </w:r>
          </w:p>
          <w:p w14:paraId="62DDC9F3" w14:textId="77777777" w:rsidR="00E541EE" w:rsidRPr="00E11721" w:rsidRDefault="00E541EE" w:rsidP="00A84BB5">
            <w:pPr>
              <w:widowControl w:val="0"/>
              <w:autoSpaceDE w:val="0"/>
              <w:autoSpaceDN w:val="0"/>
              <w:spacing w:before="1"/>
              <w:rPr>
                <w:rFonts w:cstheme="minorHAnsi"/>
                <w:b/>
                <w:sz w:val="15"/>
                <w:szCs w:val="15"/>
              </w:rPr>
            </w:pPr>
            <w:r w:rsidRPr="00E11721">
              <w:rPr>
                <w:rFonts w:cstheme="minorHAnsi"/>
                <w:b/>
                <w:sz w:val="15"/>
                <w:szCs w:val="15"/>
              </w:rPr>
              <w:t xml:space="preserve">    aktivnosti</w:t>
            </w:r>
          </w:p>
        </w:tc>
        <w:tc>
          <w:tcPr>
            <w:tcW w:w="471" w:type="pct"/>
            <w:vMerge w:val="restart"/>
            <w:vAlign w:val="center"/>
          </w:tcPr>
          <w:p w14:paraId="71995E65" w14:textId="77777777" w:rsidR="00E541EE" w:rsidRPr="00E11721" w:rsidRDefault="00E541EE" w:rsidP="00A84BB5">
            <w:pPr>
              <w:widowControl w:val="0"/>
              <w:autoSpaceDE w:val="0"/>
              <w:autoSpaceDN w:val="0"/>
              <w:ind w:right="97"/>
              <w:jc w:val="center"/>
              <w:rPr>
                <w:rFonts w:cstheme="minorHAnsi"/>
                <w:b/>
                <w:spacing w:val="-34"/>
                <w:sz w:val="15"/>
                <w:szCs w:val="15"/>
              </w:rPr>
            </w:pPr>
            <w:r w:rsidRPr="00E11721">
              <w:rPr>
                <w:rFonts w:cstheme="minorHAnsi"/>
                <w:b/>
                <w:sz w:val="15"/>
                <w:szCs w:val="15"/>
              </w:rPr>
              <w:t>Pokazatelj</w:t>
            </w:r>
          </w:p>
          <w:p w14:paraId="23C730D8" w14:textId="77777777" w:rsidR="00E541EE" w:rsidRPr="00E11721" w:rsidRDefault="00E541EE" w:rsidP="00A84BB5">
            <w:pPr>
              <w:widowControl w:val="0"/>
              <w:autoSpaceDE w:val="0"/>
              <w:autoSpaceDN w:val="0"/>
              <w:ind w:right="97"/>
              <w:jc w:val="center"/>
              <w:rPr>
                <w:rFonts w:cstheme="minorHAnsi"/>
                <w:b/>
                <w:sz w:val="15"/>
                <w:szCs w:val="15"/>
              </w:rPr>
            </w:pPr>
            <w:r>
              <w:rPr>
                <w:rFonts w:cstheme="minorHAnsi"/>
                <w:b/>
                <w:spacing w:val="-34"/>
                <w:sz w:val="15"/>
                <w:szCs w:val="15"/>
              </w:rPr>
              <w:t>r</w:t>
            </w:r>
            <w:r w:rsidRPr="00E11721">
              <w:rPr>
                <w:rFonts w:cstheme="minorHAnsi"/>
                <w:b/>
                <w:spacing w:val="-34"/>
                <w:sz w:val="15"/>
                <w:szCs w:val="15"/>
              </w:rPr>
              <w:t>r</w:t>
            </w:r>
            <w:r w:rsidRPr="00E11721">
              <w:rPr>
                <w:rFonts w:cstheme="minorHAnsi"/>
                <w:b/>
                <w:sz w:val="15"/>
                <w:szCs w:val="15"/>
              </w:rPr>
              <w:t>ezultata</w:t>
            </w:r>
          </w:p>
        </w:tc>
        <w:tc>
          <w:tcPr>
            <w:tcW w:w="455" w:type="pct"/>
            <w:vMerge w:val="restart"/>
            <w:vAlign w:val="center"/>
          </w:tcPr>
          <w:p w14:paraId="2BA99487" w14:textId="77777777" w:rsidR="00E541EE" w:rsidRPr="00E11721" w:rsidRDefault="00E541EE" w:rsidP="00A84BB5">
            <w:pPr>
              <w:widowControl w:val="0"/>
              <w:autoSpaceDE w:val="0"/>
              <w:autoSpaceDN w:val="0"/>
              <w:ind w:left="44" w:right="32"/>
              <w:jc w:val="center"/>
              <w:rPr>
                <w:rFonts w:cstheme="minorHAnsi"/>
                <w:b/>
                <w:sz w:val="15"/>
                <w:szCs w:val="15"/>
              </w:rPr>
            </w:pPr>
            <w:r w:rsidRPr="00E11721">
              <w:rPr>
                <w:rFonts w:cstheme="minorHAnsi"/>
                <w:b/>
                <w:sz w:val="15"/>
                <w:szCs w:val="15"/>
              </w:rPr>
              <w:t>Početna</w:t>
            </w:r>
            <w:r w:rsidRPr="00E11721">
              <w:rPr>
                <w:rFonts w:cstheme="minorHAnsi"/>
                <w:b/>
                <w:spacing w:val="1"/>
                <w:sz w:val="15"/>
                <w:szCs w:val="15"/>
              </w:rPr>
              <w:t xml:space="preserve"> </w:t>
            </w:r>
            <w:r w:rsidRPr="00E11721">
              <w:rPr>
                <w:rFonts w:cstheme="minorHAnsi"/>
                <w:b/>
                <w:sz w:val="15"/>
                <w:szCs w:val="15"/>
              </w:rPr>
              <w:t>vrijednost 2025.</w:t>
            </w:r>
          </w:p>
        </w:tc>
        <w:tc>
          <w:tcPr>
            <w:tcW w:w="912" w:type="pct"/>
            <w:gridSpan w:val="3"/>
            <w:vAlign w:val="center"/>
          </w:tcPr>
          <w:p w14:paraId="23B3D284" w14:textId="77777777" w:rsidR="00E541EE" w:rsidRPr="00E11721" w:rsidRDefault="00E541EE" w:rsidP="00A84BB5">
            <w:pPr>
              <w:widowControl w:val="0"/>
              <w:autoSpaceDE w:val="0"/>
              <w:autoSpaceDN w:val="0"/>
              <w:ind w:left="70" w:right="56"/>
              <w:jc w:val="center"/>
              <w:rPr>
                <w:rFonts w:cstheme="minorHAnsi"/>
                <w:b/>
                <w:sz w:val="15"/>
                <w:szCs w:val="15"/>
              </w:rPr>
            </w:pPr>
            <w:r w:rsidRPr="00E11721">
              <w:rPr>
                <w:rFonts w:cstheme="minorHAnsi"/>
                <w:b/>
                <w:sz w:val="15"/>
                <w:szCs w:val="15"/>
              </w:rPr>
              <w:t>Ciljna</w:t>
            </w:r>
            <w:r w:rsidRPr="00E11721">
              <w:rPr>
                <w:rFonts w:cstheme="minorHAnsi"/>
                <w:b/>
                <w:spacing w:val="1"/>
                <w:sz w:val="15"/>
                <w:szCs w:val="15"/>
              </w:rPr>
              <w:t xml:space="preserve"> </w:t>
            </w:r>
            <w:r w:rsidRPr="00E11721">
              <w:rPr>
                <w:rFonts w:cstheme="minorHAnsi"/>
                <w:b/>
                <w:sz w:val="15"/>
                <w:szCs w:val="15"/>
              </w:rPr>
              <w:t>vrijednost</w:t>
            </w:r>
          </w:p>
        </w:tc>
      </w:tr>
      <w:tr w:rsidR="00E541EE" w:rsidRPr="00493521" w14:paraId="0C743487" w14:textId="77777777" w:rsidTr="00A84BB5">
        <w:trPr>
          <w:trHeight w:val="565"/>
          <w:jc w:val="center"/>
        </w:trPr>
        <w:tc>
          <w:tcPr>
            <w:tcW w:w="528" w:type="pct"/>
            <w:vMerge/>
          </w:tcPr>
          <w:p w14:paraId="4265879D" w14:textId="77777777" w:rsidR="00E541EE" w:rsidRPr="00E11721" w:rsidRDefault="00E541EE" w:rsidP="00A84BB5">
            <w:pPr>
              <w:widowControl w:val="0"/>
              <w:autoSpaceDE w:val="0"/>
              <w:autoSpaceDN w:val="0"/>
              <w:spacing w:before="49"/>
              <w:ind w:left="44" w:right="35"/>
              <w:jc w:val="center"/>
              <w:rPr>
                <w:rFonts w:cstheme="minorHAnsi"/>
                <w:b/>
                <w:sz w:val="15"/>
                <w:szCs w:val="15"/>
              </w:rPr>
            </w:pPr>
          </w:p>
        </w:tc>
        <w:tc>
          <w:tcPr>
            <w:tcW w:w="606" w:type="pct"/>
            <w:vMerge/>
          </w:tcPr>
          <w:p w14:paraId="4C1066C7" w14:textId="77777777" w:rsidR="00E541EE" w:rsidRPr="00E11721" w:rsidRDefault="00E541EE" w:rsidP="00A84BB5">
            <w:pPr>
              <w:widowControl w:val="0"/>
              <w:autoSpaceDE w:val="0"/>
              <w:autoSpaceDN w:val="0"/>
              <w:ind w:left="44" w:right="35"/>
              <w:jc w:val="center"/>
              <w:rPr>
                <w:rFonts w:cstheme="minorHAnsi"/>
                <w:b/>
                <w:sz w:val="15"/>
                <w:szCs w:val="15"/>
              </w:rPr>
            </w:pPr>
          </w:p>
        </w:tc>
        <w:tc>
          <w:tcPr>
            <w:tcW w:w="530" w:type="pct"/>
            <w:vMerge/>
            <w:vAlign w:val="center"/>
          </w:tcPr>
          <w:p w14:paraId="2C43CAD8" w14:textId="77777777" w:rsidR="00E541EE" w:rsidRPr="00E11721" w:rsidRDefault="00E541EE" w:rsidP="00A84BB5">
            <w:pPr>
              <w:widowControl w:val="0"/>
              <w:autoSpaceDE w:val="0"/>
              <w:autoSpaceDN w:val="0"/>
              <w:ind w:left="125" w:right="114"/>
              <w:jc w:val="center"/>
              <w:rPr>
                <w:rFonts w:cstheme="minorHAnsi"/>
                <w:b/>
                <w:spacing w:val="-1"/>
                <w:sz w:val="15"/>
                <w:szCs w:val="15"/>
              </w:rPr>
            </w:pPr>
          </w:p>
        </w:tc>
        <w:tc>
          <w:tcPr>
            <w:tcW w:w="445" w:type="pct"/>
            <w:vMerge/>
            <w:vAlign w:val="center"/>
          </w:tcPr>
          <w:p w14:paraId="3FC97F2F" w14:textId="77777777" w:rsidR="00E541EE" w:rsidRPr="00E11721" w:rsidRDefault="00E541EE" w:rsidP="00A84BB5">
            <w:pPr>
              <w:widowControl w:val="0"/>
              <w:autoSpaceDE w:val="0"/>
              <w:autoSpaceDN w:val="0"/>
              <w:ind w:left="179"/>
              <w:jc w:val="center"/>
              <w:rPr>
                <w:rFonts w:cstheme="minorHAnsi"/>
                <w:b/>
                <w:sz w:val="15"/>
                <w:szCs w:val="15"/>
              </w:rPr>
            </w:pPr>
          </w:p>
        </w:tc>
        <w:tc>
          <w:tcPr>
            <w:tcW w:w="526" w:type="pct"/>
            <w:vMerge/>
            <w:vAlign w:val="center"/>
          </w:tcPr>
          <w:p w14:paraId="30210930" w14:textId="77777777" w:rsidR="00E541EE" w:rsidRPr="00E11721" w:rsidRDefault="00E541EE" w:rsidP="00A84BB5">
            <w:pPr>
              <w:widowControl w:val="0"/>
              <w:autoSpaceDE w:val="0"/>
              <w:autoSpaceDN w:val="0"/>
              <w:ind w:left="70" w:right="60"/>
              <w:jc w:val="center"/>
              <w:rPr>
                <w:rFonts w:cstheme="minorHAnsi"/>
                <w:b/>
                <w:sz w:val="15"/>
                <w:szCs w:val="15"/>
              </w:rPr>
            </w:pPr>
          </w:p>
        </w:tc>
        <w:tc>
          <w:tcPr>
            <w:tcW w:w="526" w:type="pct"/>
            <w:vMerge/>
            <w:vAlign w:val="center"/>
          </w:tcPr>
          <w:p w14:paraId="7E6A4B7A" w14:textId="77777777" w:rsidR="00E541EE" w:rsidRPr="00E11721" w:rsidRDefault="00E541EE" w:rsidP="00A84BB5">
            <w:pPr>
              <w:widowControl w:val="0"/>
              <w:autoSpaceDE w:val="0"/>
              <w:autoSpaceDN w:val="0"/>
              <w:ind w:left="311"/>
              <w:jc w:val="center"/>
              <w:rPr>
                <w:rFonts w:cstheme="minorHAnsi"/>
                <w:b/>
                <w:sz w:val="15"/>
                <w:szCs w:val="15"/>
              </w:rPr>
            </w:pPr>
          </w:p>
        </w:tc>
        <w:tc>
          <w:tcPr>
            <w:tcW w:w="471" w:type="pct"/>
            <w:vMerge/>
            <w:vAlign w:val="center"/>
          </w:tcPr>
          <w:p w14:paraId="4EDE8DBE" w14:textId="77777777" w:rsidR="00E541EE" w:rsidRPr="00E11721" w:rsidRDefault="00E541EE" w:rsidP="00A84BB5">
            <w:pPr>
              <w:widowControl w:val="0"/>
              <w:autoSpaceDE w:val="0"/>
              <w:autoSpaceDN w:val="0"/>
              <w:ind w:left="174" w:right="97" w:hanging="44"/>
              <w:jc w:val="center"/>
              <w:rPr>
                <w:rFonts w:cstheme="minorHAnsi"/>
                <w:b/>
                <w:sz w:val="15"/>
                <w:szCs w:val="15"/>
              </w:rPr>
            </w:pPr>
          </w:p>
        </w:tc>
        <w:tc>
          <w:tcPr>
            <w:tcW w:w="455" w:type="pct"/>
            <w:vMerge/>
            <w:vAlign w:val="center"/>
          </w:tcPr>
          <w:p w14:paraId="4AF086C4" w14:textId="77777777" w:rsidR="00E541EE" w:rsidRPr="00E11721" w:rsidRDefault="00E541EE" w:rsidP="00A84BB5">
            <w:pPr>
              <w:widowControl w:val="0"/>
              <w:autoSpaceDE w:val="0"/>
              <w:autoSpaceDN w:val="0"/>
              <w:ind w:left="44" w:right="32"/>
              <w:jc w:val="center"/>
              <w:rPr>
                <w:rFonts w:cstheme="minorHAnsi"/>
                <w:b/>
                <w:sz w:val="15"/>
                <w:szCs w:val="15"/>
              </w:rPr>
            </w:pPr>
          </w:p>
        </w:tc>
        <w:tc>
          <w:tcPr>
            <w:tcW w:w="379" w:type="pct"/>
            <w:vAlign w:val="center"/>
          </w:tcPr>
          <w:p w14:paraId="086EF7C1" w14:textId="77777777" w:rsidR="00E541EE" w:rsidRDefault="00E541EE" w:rsidP="00A84BB5">
            <w:pPr>
              <w:widowControl w:val="0"/>
              <w:autoSpaceDE w:val="0"/>
              <w:autoSpaceDN w:val="0"/>
              <w:ind w:left="87" w:right="70"/>
              <w:jc w:val="center"/>
              <w:rPr>
                <w:rFonts w:cstheme="minorHAnsi"/>
                <w:b/>
                <w:sz w:val="15"/>
                <w:szCs w:val="15"/>
              </w:rPr>
            </w:pPr>
            <w:r>
              <w:rPr>
                <w:rFonts w:cstheme="minorHAnsi"/>
                <w:b/>
                <w:sz w:val="15"/>
                <w:szCs w:val="15"/>
              </w:rPr>
              <w:t>z</w:t>
            </w:r>
            <w:r w:rsidRPr="00E11721">
              <w:rPr>
                <w:rFonts w:cstheme="minorHAnsi"/>
                <w:b/>
                <w:sz w:val="15"/>
                <w:szCs w:val="15"/>
              </w:rPr>
              <w:t>a</w:t>
            </w:r>
          </w:p>
          <w:p w14:paraId="242365D5" w14:textId="77777777" w:rsidR="00E541EE" w:rsidRPr="00E11721" w:rsidRDefault="00E541EE" w:rsidP="00A84BB5">
            <w:pPr>
              <w:widowControl w:val="0"/>
              <w:autoSpaceDE w:val="0"/>
              <w:autoSpaceDN w:val="0"/>
              <w:ind w:left="87" w:right="70"/>
              <w:jc w:val="center"/>
              <w:rPr>
                <w:rFonts w:cstheme="minorHAnsi"/>
                <w:b/>
                <w:sz w:val="15"/>
                <w:szCs w:val="15"/>
              </w:rPr>
            </w:pPr>
            <w:r w:rsidRPr="00E11721">
              <w:rPr>
                <w:rFonts w:cstheme="minorHAnsi"/>
                <w:b/>
                <w:sz w:val="15"/>
                <w:szCs w:val="15"/>
              </w:rPr>
              <w:t xml:space="preserve"> 2026.</w:t>
            </w:r>
          </w:p>
        </w:tc>
        <w:tc>
          <w:tcPr>
            <w:tcW w:w="303" w:type="pct"/>
            <w:vAlign w:val="center"/>
          </w:tcPr>
          <w:p w14:paraId="7D065120" w14:textId="77777777" w:rsidR="00E541EE" w:rsidRPr="00E11721" w:rsidRDefault="00E541EE" w:rsidP="00A84BB5">
            <w:pPr>
              <w:widowControl w:val="0"/>
              <w:autoSpaceDE w:val="0"/>
              <w:autoSpaceDN w:val="0"/>
              <w:ind w:left="75" w:right="61"/>
              <w:jc w:val="center"/>
              <w:rPr>
                <w:rFonts w:cstheme="minorHAnsi"/>
                <w:b/>
                <w:sz w:val="15"/>
                <w:szCs w:val="15"/>
              </w:rPr>
            </w:pPr>
            <w:r w:rsidRPr="00E11721">
              <w:rPr>
                <w:rFonts w:cstheme="minorHAnsi"/>
                <w:b/>
                <w:sz w:val="15"/>
                <w:szCs w:val="15"/>
              </w:rPr>
              <w:t>za</w:t>
            </w:r>
          </w:p>
          <w:p w14:paraId="76633407" w14:textId="77777777" w:rsidR="00E541EE" w:rsidRPr="00E11721" w:rsidRDefault="00E541EE" w:rsidP="00A84BB5">
            <w:pPr>
              <w:widowControl w:val="0"/>
              <w:autoSpaceDE w:val="0"/>
              <w:autoSpaceDN w:val="0"/>
              <w:ind w:left="75" w:right="61"/>
              <w:jc w:val="center"/>
              <w:rPr>
                <w:rFonts w:cstheme="minorHAnsi"/>
                <w:b/>
                <w:sz w:val="15"/>
                <w:szCs w:val="15"/>
              </w:rPr>
            </w:pPr>
            <w:r w:rsidRPr="00E11721">
              <w:rPr>
                <w:rFonts w:cstheme="minorHAnsi"/>
                <w:b/>
                <w:sz w:val="15"/>
                <w:szCs w:val="15"/>
              </w:rPr>
              <w:t>2027.</w:t>
            </w:r>
          </w:p>
        </w:tc>
        <w:tc>
          <w:tcPr>
            <w:tcW w:w="230" w:type="pct"/>
            <w:vAlign w:val="center"/>
          </w:tcPr>
          <w:p w14:paraId="56CFF70A" w14:textId="77777777" w:rsidR="00E541EE" w:rsidRPr="00E11721" w:rsidRDefault="00E541EE" w:rsidP="00A84BB5">
            <w:pPr>
              <w:widowControl w:val="0"/>
              <w:autoSpaceDE w:val="0"/>
              <w:autoSpaceDN w:val="0"/>
              <w:ind w:left="70" w:right="56"/>
              <w:jc w:val="center"/>
              <w:rPr>
                <w:rFonts w:cstheme="minorHAnsi"/>
                <w:b/>
                <w:sz w:val="15"/>
                <w:szCs w:val="15"/>
              </w:rPr>
            </w:pPr>
            <w:r w:rsidRPr="00E11721">
              <w:rPr>
                <w:rFonts w:cstheme="minorHAnsi"/>
                <w:b/>
                <w:sz w:val="15"/>
                <w:szCs w:val="15"/>
              </w:rPr>
              <w:t>za</w:t>
            </w:r>
          </w:p>
          <w:p w14:paraId="03451646" w14:textId="77777777" w:rsidR="00E541EE" w:rsidRPr="00E11721" w:rsidRDefault="00E541EE" w:rsidP="00A84BB5">
            <w:pPr>
              <w:widowControl w:val="0"/>
              <w:autoSpaceDE w:val="0"/>
              <w:autoSpaceDN w:val="0"/>
              <w:ind w:left="70" w:right="56"/>
              <w:jc w:val="center"/>
              <w:rPr>
                <w:rFonts w:cstheme="minorHAnsi"/>
                <w:b/>
                <w:sz w:val="15"/>
                <w:szCs w:val="15"/>
              </w:rPr>
            </w:pPr>
            <w:r w:rsidRPr="00E11721">
              <w:rPr>
                <w:rFonts w:cstheme="minorHAnsi"/>
                <w:b/>
                <w:sz w:val="15"/>
                <w:szCs w:val="15"/>
              </w:rPr>
              <w:t>2028.</w:t>
            </w:r>
          </w:p>
        </w:tc>
      </w:tr>
      <w:tr w:rsidR="00E541EE" w:rsidRPr="003A1050" w14:paraId="4157519E" w14:textId="77777777" w:rsidTr="00A84BB5">
        <w:trPr>
          <w:trHeight w:val="1418"/>
          <w:jc w:val="center"/>
        </w:trPr>
        <w:tc>
          <w:tcPr>
            <w:tcW w:w="528" w:type="pct"/>
            <w:vAlign w:val="center"/>
          </w:tcPr>
          <w:p w14:paraId="610FE241" w14:textId="77777777" w:rsidR="00E541EE" w:rsidRPr="00E11721" w:rsidRDefault="00E541EE" w:rsidP="00A84BB5">
            <w:pPr>
              <w:widowControl w:val="0"/>
              <w:autoSpaceDE w:val="0"/>
              <w:autoSpaceDN w:val="0"/>
              <w:spacing w:before="49"/>
              <w:ind w:left="44" w:right="35"/>
              <w:jc w:val="center"/>
              <w:rPr>
                <w:rFonts w:cstheme="minorHAnsi"/>
                <w:sz w:val="14"/>
                <w:szCs w:val="14"/>
              </w:rPr>
            </w:pPr>
            <w:r w:rsidRPr="00E11721">
              <w:rPr>
                <w:rFonts w:cstheme="minorHAnsi"/>
                <w:sz w:val="14"/>
                <w:szCs w:val="14"/>
              </w:rPr>
              <w:t>Provedbeni program Grada Rovinja-Rovigno za razdoblje 2025</w:t>
            </w:r>
            <w:r>
              <w:rPr>
                <w:rFonts w:cstheme="minorHAnsi"/>
                <w:sz w:val="14"/>
                <w:szCs w:val="14"/>
              </w:rPr>
              <w:t>.</w:t>
            </w:r>
            <w:r w:rsidRPr="00E11721">
              <w:rPr>
                <w:rFonts w:cstheme="minorHAnsi"/>
                <w:sz w:val="14"/>
                <w:szCs w:val="14"/>
              </w:rPr>
              <w:t>.-2029. godine</w:t>
            </w:r>
          </w:p>
        </w:tc>
        <w:tc>
          <w:tcPr>
            <w:tcW w:w="606" w:type="pct"/>
            <w:vAlign w:val="center"/>
          </w:tcPr>
          <w:p w14:paraId="3967C5D3" w14:textId="77777777" w:rsidR="00E541EE" w:rsidRDefault="00E541EE" w:rsidP="00A84BB5">
            <w:pPr>
              <w:widowControl w:val="0"/>
              <w:autoSpaceDE w:val="0"/>
              <w:autoSpaceDN w:val="0"/>
              <w:jc w:val="center"/>
              <w:rPr>
                <w:rFonts w:cstheme="minorHAnsi"/>
                <w:sz w:val="14"/>
                <w:szCs w:val="14"/>
              </w:rPr>
            </w:pPr>
          </w:p>
          <w:p w14:paraId="5D1D019F" w14:textId="77777777" w:rsidR="00E541EE" w:rsidRDefault="00E541EE" w:rsidP="00A84BB5">
            <w:pPr>
              <w:widowControl w:val="0"/>
              <w:autoSpaceDE w:val="0"/>
              <w:autoSpaceDN w:val="0"/>
              <w:jc w:val="center"/>
              <w:rPr>
                <w:rFonts w:cstheme="minorHAnsi"/>
                <w:sz w:val="14"/>
                <w:szCs w:val="14"/>
              </w:rPr>
            </w:pPr>
          </w:p>
          <w:p w14:paraId="3CD42606" w14:textId="77777777" w:rsidR="00E541EE" w:rsidRPr="00E11721" w:rsidRDefault="00E541EE" w:rsidP="00A84BB5">
            <w:pPr>
              <w:widowControl w:val="0"/>
              <w:autoSpaceDE w:val="0"/>
              <w:autoSpaceDN w:val="0"/>
              <w:jc w:val="center"/>
              <w:rPr>
                <w:rFonts w:cstheme="minorHAnsi"/>
                <w:sz w:val="14"/>
                <w:szCs w:val="14"/>
              </w:rPr>
            </w:pPr>
            <w:r w:rsidRPr="00E11721">
              <w:rPr>
                <w:rFonts w:cstheme="minorHAnsi"/>
                <w:sz w:val="14"/>
                <w:szCs w:val="14"/>
              </w:rPr>
              <w:t>RS3. ZELENA I DIGITALNA TRANZICIJA</w:t>
            </w:r>
          </w:p>
          <w:p w14:paraId="31C39849" w14:textId="77777777" w:rsidR="00E541EE" w:rsidRPr="00E11721" w:rsidRDefault="00E541EE" w:rsidP="00A84BB5">
            <w:pPr>
              <w:widowControl w:val="0"/>
              <w:autoSpaceDE w:val="0"/>
              <w:autoSpaceDN w:val="0"/>
              <w:jc w:val="center"/>
              <w:rPr>
                <w:rFonts w:cstheme="minorHAnsi"/>
                <w:sz w:val="14"/>
                <w:szCs w:val="14"/>
              </w:rPr>
            </w:pPr>
            <w:r w:rsidRPr="00E11721">
              <w:rPr>
                <w:rFonts w:cstheme="minorHAnsi"/>
                <w:sz w:val="14"/>
                <w:szCs w:val="14"/>
              </w:rPr>
              <w:t>SC8. Ekološka i energetska tranzicija za klimatsku neutralnost</w:t>
            </w:r>
          </w:p>
          <w:p w14:paraId="37B5F5C5" w14:textId="77777777" w:rsidR="00E541EE" w:rsidRPr="00E11721" w:rsidRDefault="00E541EE" w:rsidP="00A84BB5">
            <w:pPr>
              <w:widowControl w:val="0"/>
              <w:autoSpaceDE w:val="0"/>
              <w:autoSpaceDN w:val="0"/>
              <w:jc w:val="center"/>
              <w:rPr>
                <w:rFonts w:cstheme="minorHAnsi"/>
                <w:sz w:val="14"/>
                <w:szCs w:val="14"/>
                <w:highlight w:val="yellow"/>
              </w:rPr>
            </w:pPr>
          </w:p>
        </w:tc>
        <w:tc>
          <w:tcPr>
            <w:tcW w:w="530" w:type="pct"/>
            <w:shd w:val="clear" w:color="auto" w:fill="FFF1CC"/>
            <w:vAlign w:val="center"/>
          </w:tcPr>
          <w:p w14:paraId="5AA26AD2" w14:textId="77777777" w:rsidR="00E541EE" w:rsidRPr="00EE5FB2" w:rsidRDefault="00E541EE" w:rsidP="00A84BB5">
            <w:pPr>
              <w:widowControl w:val="0"/>
              <w:autoSpaceDE w:val="0"/>
              <w:autoSpaceDN w:val="0"/>
              <w:spacing w:before="7"/>
              <w:jc w:val="center"/>
              <w:rPr>
                <w:rFonts w:cstheme="minorHAnsi"/>
                <w:sz w:val="14"/>
                <w:szCs w:val="14"/>
                <w:highlight w:val="yellow"/>
              </w:rPr>
            </w:pPr>
            <w:r w:rsidRPr="00EE5FB2">
              <w:rPr>
                <w:rFonts w:cstheme="minorHAnsi"/>
                <w:sz w:val="14"/>
                <w:szCs w:val="14"/>
              </w:rPr>
              <w:t>Program 1011: IZRADA DOKUMENATA PROSTORNOG UREĐENJA - PROJEKTI I STUDIJE</w:t>
            </w:r>
          </w:p>
        </w:tc>
        <w:tc>
          <w:tcPr>
            <w:tcW w:w="445" w:type="pct"/>
            <w:vAlign w:val="center"/>
          </w:tcPr>
          <w:p w14:paraId="23E8D57B" w14:textId="77777777" w:rsidR="00E541EE" w:rsidRPr="00E11721" w:rsidRDefault="00E541EE" w:rsidP="00A84BB5">
            <w:pPr>
              <w:jc w:val="center"/>
              <w:rPr>
                <w:rFonts w:cstheme="minorHAnsi"/>
                <w:sz w:val="14"/>
                <w:szCs w:val="14"/>
              </w:rPr>
            </w:pPr>
            <w:r w:rsidRPr="00E11721">
              <w:rPr>
                <w:rFonts w:cstheme="minorHAnsi"/>
                <w:sz w:val="14"/>
                <w:szCs w:val="14"/>
              </w:rPr>
              <w:t>Mjera 9. Zaštita i unaprjeđenje prirodnog okoliša</w:t>
            </w:r>
          </w:p>
          <w:p w14:paraId="36528555" w14:textId="77777777" w:rsidR="00E541EE" w:rsidRPr="00E11721" w:rsidRDefault="00E541EE" w:rsidP="00A84BB5">
            <w:pPr>
              <w:widowControl w:val="0"/>
              <w:autoSpaceDE w:val="0"/>
              <w:autoSpaceDN w:val="0"/>
              <w:spacing w:before="7"/>
              <w:rPr>
                <w:rFonts w:cstheme="minorHAnsi"/>
                <w:sz w:val="14"/>
                <w:szCs w:val="14"/>
              </w:rPr>
            </w:pPr>
          </w:p>
          <w:p w14:paraId="16D1E9D2" w14:textId="77777777" w:rsidR="00E541EE" w:rsidRPr="00E11721" w:rsidRDefault="00E541EE" w:rsidP="00A84BB5">
            <w:pPr>
              <w:widowControl w:val="0"/>
              <w:autoSpaceDE w:val="0"/>
              <w:autoSpaceDN w:val="0"/>
              <w:spacing w:before="7"/>
              <w:rPr>
                <w:rFonts w:cstheme="minorHAnsi"/>
                <w:sz w:val="14"/>
                <w:szCs w:val="14"/>
                <w:highlight w:val="yellow"/>
              </w:rPr>
            </w:pPr>
          </w:p>
        </w:tc>
        <w:tc>
          <w:tcPr>
            <w:tcW w:w="526" w:type="pct"/>
            <w:shd w:val="clear" w:color="auto" w:fill="FFF1CC"/>
            <w:vAlign w:val="center"/>
          </w:tcPr>
          <w:p w14:paraId="0E03CBE6" w14:textId="77777777" w:rsidR="00E541EE" w:rsidRPr="00EE5FB2" w:rsidRDefault="00E541EE" w:rsidP="00A84BB5">
            <w:pPr>
              <w:widowControl w:val="0"/>
              <w:autoSpaceDE w:val="0"/>
              <w:autoSpaceDN w:val="0"/>
              <w:jc w:val="center"/>
              <w:rPr>
                <w:rFonts w:cstheme="minorHAnsi"/>
                <w:sz w:val="14"/>
                <w:szCs w:val="14"/>
                <w:highlight w:val="yellow"/>
              </w:rPr>
            </w:pPr>
            <w:r w:rsidRPr="00EE5FB2">
              <w:rPr>
                <w:rFonts w:cstheme="minorHAnsi"/>
                <w:sz w:val="14"/>
                <w:szCs w:val="14"/>
              </w:rPr>
              <w:t>33.000,00</w:t>
            </w:r>
          </w:p>
        </w:tc>
        <w:tc>
          <w:tcPr>
            <w:tcW w:w="526" w:type="pct"/>
            <w:vAlign w:val="center"/>
          </w:tcPr>
          <w:p w14:paraId="42B1E948" w14:textId="77777777" w:rsidR="00E541EE" w:rsidRPr="00EE5FB2" w:rsidRDefault="00E541EE" w:rsidP="00A84BB5">
            <w:pPr>
              <w:widowControl w:val="0"/>
              <w:autoSpaceDE w:val="0"/>
              <w:autoSpaceDN w:val="0"/>
              <w:spacing w:before="7"/>
              <w:rPr>
                <w:rFonts w:cstheme="minorHAnsi"/>
                <w:sz w:val="14"/>
                <w:szCs w:val="14"/>
                <w:highlight w:val="yellow"/>
              </w:rPr>
            </w:pPr>
          </w:p>
          <w:p w14:paraId="3E4F47DF" w14:textId="77777777" w:rsidR="00E541EE" w:rsidRPr="00EE5FB2" w:rsidRDefault="00E541EE" w:rsidP="00A84BB5">
            <w:pPr>
              <w:widowControl w:val="0"/>
              <w:autoSpaceDE w:val="0"/>
              <w:autoSpaceDN w:val="0"/>
              <w:spacing w:before="7"/>
              <w:jc w:val="center"/>
              <w:rPr>
                <w:rFonts w:eastAsia="Times New Roman" w:cstheme="minorHAnsi"/>
                <w:sz w:val="14"/>
                <w:szCs w:val="14"/>
              </w:rPr>
            </w:pPr>
            <w:r w:rsidRPr="00EE5FB2">
              <w:rPr>
                <w:rFonts w:eastAsia="Times New Roman" w:cstheme="minorHAnsi"/>
                <w:sz w:val="14"/>
                <w:szCs w:val="14"/>
              </w:rPr>
              <w:t>Evidencija</w:t>
            </w:r>
          </w:p>
          <w:p w14:paraId="02851241" w14:textId="77777777" w:rsidR="00E541EE" w:rsidRPr="00EE5FB2" w:rsidRDefault="00E541EE" w:rsidP="00A84BB5">
            <w:pPr>
              <w:widowControl w:val="0"/>
              <w:autoSpaceDE w:val="0"/>
              <w:autoSpaceDN w:val="0"/>
              <w:spacing w:before="7"/>
              <w:jc w:val="center"/>
              <w:rPr>
                <w:rFonts w:cstheme="minorHAnsi"/>
                <w:sz w:val="14"/>
                <w:szCs w:val="14"/>
                <w:highlight w:val="yellow"/>
              </w:rPr>
            </w:pPr>
            <w:r w:rsidRPr="00EE5FB2">
              <w:rPr>
                <w:rFonts w:eastAsia="Times New Roman" w:cstheme="minorHAnsi"/>
                <w:sz w:val="14"/>
                <w:szCs w:val="14"/>
              </w:rPr>
              <w:t>javne zelene infrastrukture</w:t>
            </w:r>
          </w:p>
        </w:tc>
        <w:tc>
          <w:tcPr>
            <w:tcW w:w="471" w:type="pct"/>
            <w:shd w:val="clear" w:color="auto" w:fill="FFF1CC"/>
            <w:vAlign w:val="center"/>
          </w:tcPr>
          <w:p w14:paraId="4619EBBB" w14:textId="77777777" w:rsidR="00E541EE" w:rsidRPr="00E11721" w:rsidRDefault="00E541EE" w:rsidP="00A84BB5">
            <w:pPr>
              <w:widowControl w:val="0"/>
              <w:autoSpaceDE w:val="0"/>
              <w:autoSpaceDN w:val="0"/>
              <w:jc w:val="center"/>
              <w:rPr>
                <w:rFonts w:cstheme="minorHAnsi"/>
                <w:sz w:val="14"/>
                <w:szCs w:val="14"/>
                <w:highlight w:val="yellow"/>
              </w:rPr>
            </w:pPr>
            <w:r w:rsidRPr="00E11721">
              <w:rPr>
                <w:rFonts w:cstheme="minorHAnsi"/>
                <w:sz w:val="14"/>
                <w:szCs w:val="14"/>
              </w:rPr>
              <w:t>izrađena evidencija zelene infrastrukture</w:t>
            </w:r>
          </w:p>
        </w:tc>
        <w:tc>
          <w:tcPr>
            <w:tcW w:w="455" w:type="pct"/>
            <w:vAlign w:val="center"/>
          </w:tcPr>
          <w:p w14:paraId="6B752D8A" w14:textId="77777777" w:rsidR="00E541EE" w:rsidRPr="00E11721" w:rsidRDefault="00E541EE" w:rsidP="00A84BB5">
            <w:pPr>
              <w:widowControl w:val="0"/>
              <w:autoSpaceDE w:val="0"/>
              <w:autoSpaceDN w:val="0"/>
              <w:jc w:val="center"/>
              <w:rPr>
                <w:rFonts w:cstheme="minorHAnsi"/>
                <w:sz w:val="14"/>
                <w:szCs w:val="14"/>
              </w:rPr>
            </w:pPr>
            <w:r w:rsidRPr="00E11721">
              <w:rPr>
                <w:rFonts w:cstheme="minorHAnsi"/>
                <w:sz w:val="14"/>
                <w:szCs w:val="14"/>
              </w:rPr>
              <w:t>33.000,00</w:t>
            </w:r>
          </w:p>
        </w:tc>
        <w:tc>
          <w:tcPr>
            <w:tcW w:w="379" w:type="pct"/>
            <w:vAlign w:val="center"/>
          </w:tcPr>
          <w:p w14:paraId="0960F85A" w14:textId="77777777" w:rsidR="00E541EE" w:rsidRPr="00E11721" w:rsidRDefault="00E541EE" w:rsidP="00A84BB5">
            <w:pPr>
              <w:widowControl w:val="0"/>
              <w:autoSpaceDE w:val="0"/>
              <w:autoSpaceDN w:val="0"/>
              <w:rPr>
                <w:rFonts w:cstheme="minorHAnsi"/>
                <w:sz w:val="14"/>
                <w:szCs w:val="14"/>
              </w:rPr>
            </w:pPr>
            <w:r w:rsidRPr="00E11721">
              <w:rPr>
                <w:rFonts w:eastAsia="Times New Roman" w:cstheme="minorHAnsi"/>
                <w:bCs/>
                <w:sz w:val="14"/>
                <w:szCs w:val="14"/>
              </w:rPr>
              <w:t>33.000,00</w:t>
            </w:r>
          </w:p>
        </w:tc>
        <w:tc>
          <w:tcPr>
            <w:tcW w:w="303" w:type="pct"/>
            <w:vAlign w:val="center"/>
          </w:tcPr>
          <w:p w14:paraId="682459DA" w14:textId="77777777" w:rsidR="00E541EE" w:rsidRPr="00E11721" w:rsidRDefault="00E541EE" w:rsidP="00A84BB5">
            <w:pPr>
              <w:widowControl w:val="0"/>
              <w:autoSpaceDE w:val="0"/>
              <w:autoSpaceDN w:val="0"/>
              <w:rPr>
                <w:rFonts w:cstheme="minorHAnsi"/>
                <w:sz w:val="14"/>
                <w:szCs w:val="14"/>
              </w:rPr>
            </w:pPr>
            <w:r w:rsidRPr="00E11721">
              <w:rPr>
                <w:rFonts w:cstheme="minorHAnsi"/>
                <w:sz w:val="14"/>
                <w:szCs w:val="14"/>
              </w:rPr>
              <w:t>33.000,00</w:t>
            </w:r>
          </w:p>
        </w:tc>
        <w:tc>
          <w:tcPr>
            <w:tcW w:w="230" w:type="pct"/>
            <w:vAlign w:val="center"/>
          </w:tcPr>
          <w:p w14:paraId="5597F322" w14:textId="77777777" w:rsidR="00E541EE" w:rsidRPr="00E11721" w:rsidRDefault="00E541EE" w:rsidP="00A84BB5">
            <w:pPr>
              <w:widowControl w:val="0"/>
              <w:autoSpaceDE w:val="0"/>
              <w:autoSpaceDN w:val="0"/>
              <w:rPr>
                <w:rFonts w:cstheme="minorHAnsi"/>
                <w:sz w:val="14"/>
                <w:szCs w:val="14"/>
              </w:rPr>
            </w:pPr>
            <w:r w:rsidRPr="00E11721">
              <w:rPr>
                <w:rFonts w:cstheme="minorHAnsi"/>
                <w:sz w:val="14"/>
                <w:szCs w:val="14"/>
              </w:rPr>
              <w:t>33.000,00</w:t>
            </w:r>
          </w:p>
        </w:tc>
      </w:tr>
    </w:tbl>
    <w:p w14:paraId="4DE2F450" w14:textId="77777777" w:rsidR="00E541EE" w:rsidRDefault="00E541EE" w:rsidP="00E541EE">
      <w:pPr>
        <w:jc w:val="both"/>
        <w:rPr>
          <w:rFonts w:ascii="Arial" w:eastAsia="Times New Roman" w:hAnsi="Arial" w:cs="Arial"/>
          <w:iCs/>
          <w:sz w:val="24"/>
          <w:szCs w:val="24"/>
        </w:rPr>
      </w:pPr>
    </w:p>
    <w:p w14:paraId="16C379B5" w14:textId="77777777" w:rsidR="00E541EE" w:rsidRPr="00DB7C33"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DB7C33">
        <w:rPr>
          <w:rFonts w:ascii="Arial" w:eastAsia="Times New Roman" w:hAnsi="Arial" w:cs="Arial"/>
          <w:b/>
          <w:bCs/>
          <w:sz w:val="24"/>
          <w:szCs w:val="24"/>
        </w:rPr>
        <w:t>K 101102: Ortofoto plan (DOF) = 1</w:t>
      </w:r>
      <w:r>
        <w:rPr>
          <w:rFonts w:ascii="Arial" w:eastAsia="Times New Roman" w:hAnsi="Arial" w:cs="Arial"/>
          <w:b/>
          <w:bCs/>
          <w:sz w:val="24"/>
          <w:szCs w:val="24"/>
        </w:rPr>
        <w:t>3</w:t>
      </w:r>
      <w:r w:rsidRPr="00DB7C33">
        <w:rPr>
          <w:rFonts w:ascii="Arial" w:eastAsia="Times New Roman" w:hAnsi="Arial" w:cs="Arial"/>
          <w:b/>
          <w:bCs/>
          <w:sz w:val="24"/>
          <w:szCs w:val="24"/>
        </w:rPr>
        <w:t>.</w:t>
      </w:r>
      <w:r>
        <w:rPr>
          <w:rFonts w:ascii="Arial" w:eastAsia="Times New Roman" w:hAnsi="Arial" w:cs="Arial"/>
          <w:b/>
          <w:bCs/>
          <w:sz w:val="24"/>
          <w:szCs w:val="24"/>
        </w:rPr>
        <w:t>00</w:t>
      </w:r>
      <w:r w:rsidRPr="00DB7C33">
        <w:rPr>
          <w:rFonts w:ascii="Arial" w:eastAsia="Times New Roman" w:hAnsi="Arial" w:cs="Arial"/>
          <w:b/>
          <w:bCs/>
          <w:sz w:val="24"/>
          <w:szCs w:val="24"/>
        </w:rPr>
        <w:t>0,00 EUR</w:t>
      </w:r>
    </w:p>
    <w:p w14:paraId="6420C3A8" w14:textId="77777777" w:rsidR="00E541EE" w:rsidRPr="00DB7C33" w:rsidRDefault="00E541EE" w:rsidP="00E541EE">
      <w:pPr>
        <w:jc w:val="both"/>
        <w:rPr>
          <w:rFonts w:ascii="Arial" w:eastAsia="Times New Roman" w:hAnsi="Arial" w:cs="Arial"/>
          <w:sz w:val="24"/>
          <w:szCs w:val="24"/>
        </w:rPr>
      </w:pPr>
      <w:r w:rsidRPr="00DB7C33">
        <w:rPr>
          <w:rFonts w:ascii="Arial" w:eastAsia="Times New Roman" w:hAnsi="Arial" w:cs="Arial"/>
          <w:b/>
          <w:sz w:val="24"/>
          <w:szCs w:val="24"/>
        </w:rPr>
        <w:t>Zakonska osnova:</w:t>
      </w:r>
      <w:r w:rsidRPr="00DB7C33">
        <w:rPr>
          <w:rFonts w:ascii="Arial" w:eastAsia="Times New Roman" w:hAnsi="Arial" w:cs="Arial"/>
          <w:sz w:val="24"/>
          <w:szCs w:val="24"/>
        </w:rPr>
        <w:t xml:space="preserve"> Zakon o prostornom uređenju.</w:t>
      </w:r>
    </w:p>
    <w:p w14:paraId="57FEF8FE" w14:textId="77777777" w:rsidR="00E541EE" w:rsidRPr="00DB7C33" w:rsidRDefault="00E541EE" w:rsidP="00E541EE">
      <w:pPr>
        <w:jc w:val="both"/>
        <w:rPr>
          <w:rFonts w:ascii="Arial" w:eastAsia="Times New Roman" w:hAnsi="Arial" w:cs="Arial"/>
          <w:sz w:val="24"/>
          <w:szCs w:val="24"/>
        </w:rPr>
      </w:pPr>
      <w:r w:rsidRPr="00DB7C33">
        <w:rPr>
          <w:rFonts w:ascii="Arial" w:eastAsia="Times New Roman" w:hAnsi="Arial" w:cs="Arial"/>
          <w:b/>
          <w:sz w:val="24"/>
          <w:szCs w:val="24"/>
        </w:rPr>
        <w:t xml:space="preserve">Opis: </w:t>
      </w:r>
      <w:r w:rsidRPr="00DB7C33">
        <w:rPr>
          <w:rFonts w:ascii="Arial" w:eastAsia="Times New Roman" w:hAnsi="Arial" w:cs="Arial"/>
          <w:sz w:val="24"/>
          <w:szCs w:val="24"/>
        </w:rPr>
        <w:t xml:space="preserve">za potrebe rada Upravnog odijela i GIS portala Grada, Grad Rovinj-Rovigno će naručiti snimku iz zraka u visokoj rezoluciji. Ovakav snimak olakšava rad upravnim tijela, te omogućuje bolju evidenciju prostora, omogućuje bolji uvid stanja u prostoru i kontinuirano praćenje prostorno planskog razvoja. Planira se snimanje </w:t>
      </w:r>
      <w:r>
        <w:rPr>
          <w:rFonts w:ascii="Arial" w:eastAsia="Times New Roman" w:hAnsi="Arial" w:cs="Arial"/>
          <w:sz w:val="24"/>
          <w:szCs w:val="24"/>
        </w:rPr>
        <w:t xml:space="preserve">naselja Rovinj (unutar GUP-a). </w:t>
      </w:r>
      <w:r w:rsidRPr="00DB7C33">
        <w:rPr>
          <w:rFonts w:ascii="Arial" w:eastAsia="Times New Roman" w:hAnsi="Arial" w:cs="Arial"/>
          <w:sz w:val="24"/>
          <w:szCs w:val="24"/>
        </w:rPr>
        <w:t xml:space="preserve"> </w:t>
      </w:r>
    </w:p>
    <w:p w14:paraId="6BA316DE" w14:textId="77777777" w:rsidR="00E541EE" w:rsidRPr="00DB7C33" w:rsidRDefault="00E541EE" w:rsidP="00E541EE">
      <w:pPr>
        <w:jc w:val="both"/>
        <w:rPr>
          <w:rFonts w:ascii="Arial" w:eastAsia="Times New Roman" w:hAnsi="Arial" w:cs="Arial"/>
          <w:sz w:val="24"/>
          <w:szCs w:val="24"/>
        </w:rPr>
      </w:pPr>
      <w:r w:rsidRPr="00DB7C33">
        <w:rPr>
          <w:rFonts w:ascii="Arial" w:eastAsia="Times New Roman" w:hAnsi="Arial" w:cs="Arial"/>
          <w:b/>
          <w:sz w:val="24"/>
          <w:szCs w:val="24"/>
        </w:rPr>
        <w:t>Opći cilj:</w:t>
      </w:r>
      <w:r w:rsidRPr="00DB7C33">
        <w:rPr>
          <w:rFonts w:ascii="Arial" w:eastAsia="Times New Roman" w:hAnsi="Arial" w:cs="Arial"/>
          <w:bCs/>
          <w:sz w:val="24"/>
          <w:szCs w:val="24"/>
        </w:rPr>
        <w:t xml:space="preserve"> kroz ovu aktivnost predviđaju se sredstva za izradu ortofoto snimke za gradski GIS.</w:t>
      </w:r>
    </w:p>
    <w:p w14:paraId="6AB12062" w14:textId="77777777" w:rsidR="00E541EE" w:rsidRDefault="00E541EE" w:rsidP="00E541EE">
      <w:pPr>
        <w:jc w:val="both"/>
        <w:rPr>
          <w:rFonts w:ascii="Arial" w:eastAsia="Times New Roman" w:hAnsi="Arial" w:cs="Arial"/>
          <w:sz w:val="24"/>
          <w:szCs w:val="24"/>
        </w:rPr>
      </w:pPr>
      <w:r w:rsidRPr="00DB7C33">
        <w:rPr>
          <w:rFonts w:ascii="Arial" w:eastAsia="Times New Roman" w:hAnsi="Arial" w:cs="Arial"/>
          <w:b/>
          <w:sz w:val="24"/>
          <w:szCs w:val="24"/>
        </w:rPr>
        <w:t>Pokazatelj uspješnosti:</w:t>
      </w:r>
      <w:r w:rsidRPr="00DB7C33">
        <w:rPr>
          <w:rFonts w:ascii="Arial" w:eastAsia="Times New Roman" w:hAnsi="Arial" w:cs="Arial"/>
          <w:sz w:val="24"/>
          <w:szCs w:val="24"/>
        </w:rPr>
        <w:t xml:space="preserve"> realizacija planiranih aktivnosti u zadanom roku.</w:t>
      </w:r>
    </w:p>
    <w:p w14:paraId="2834326F" w14:textId="77777777" w:rsidR="00E541EE" w:rsidRDefault="00E541EE" w:rsidP="00E541EE">
      <w:pPr>
        <w:jc w:val="both"/>
        <w:rPr>
          <w:rFonts w:ascii="Arial" w:eastAsia="Times New Roman" w:hAnsi="Arial" w:cs="Arial"/>
          <w:sz w:val="24"/>
          <w:szCs w:val="24"/>
        </w:rPr>
      </w:pPr>
    </w:p>
    <w:p w14:paraId="757F9633" w14:textId="77777777" w:rsidR="00E541EE" w:rsidRPr="00DB7C33"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DB7C33">
        <w:rPr>
          <w:rFonts w:ascii="Arial" w:eastAsia="Times New Roman" w:hAnsi="Arial" w:cs="Arial"/>
          <w:b/>
          <w:bCs/>
          <w:sz w:val="24"/>
          <w:szCs w:val="24"/>
        </w:rPr>
        <w:t>K101106: Projektna dokumentacija_prometnice Montepozzo= 23.500,00 EUR</w:t>
      </w:r>
    </w:p>
    <w:p w14:paraId="3AB2267A" w14:textId="77777777" w:rsidR="00E541EE" w:rsidRPr="00DB7C33" w:rsidRDefault="00E541EE" w:rsidP="00E541EE">
      <w:pPr>
        <w:jc w:val="both"/>
        <w:rPr>
          <w:rFonts w:ascii="Arial" w:eastAsia="Times New Roman" w:hAnsi="Arial" w:cs="Arial"/>
          <w:sz w:val="24"/>
          <w:szCs w:val="24"/>
        </w:rPr>
      </w:pPr>
      <w:r w:rsidRPr="00DB7C33">
        <w:rPr>
          <w:rFonts w:ascii="Arial" w:eastAsia="Times New Roman" w:hAnsi="Arial" w:cs="Arial"/>
          <w:b/>
          <w:sz w:val="24"/>
          <w:szCs w:val="24"/>
        </w:rPr>
        <w:t>Zakonska osnova:</w:t>
      </w:r>
      <w:r w:rsidRPr="00DB7C33">
        <w:rPr>
          <w:rFonts w:ascii="Arial" w:eastAsia="Times New Roman" w:hAnsi="Arial" w:cs="Arial"/>
          <w:sz w:val="24"/>
          <w:szCs w:val="24"/>
        </w:rPr>
        <w:t xml:space="preserve"> Statut Grada Rovinja-Rovigno, Zakon o gradnji. </w:t>
      </w:r>
    </w:p>
    <w:p w14:paraId="5F7AEB36" w14:textId="77777777" w:rsidR="00E541EE" w:rsidRDefault="00E541EE" w:rsidP="00E541EE">
      <w:pPr>
        <w:jc w:val="both"/>
        <w:rPr>
          <w:rFonts w:ascii="Arial" w:eastAsia="Times New Roman" w:hAnsi="Arial" w:cs="Arial"/>
          <w:sz w:val="24"/>
          <w:szCs w:val="24"/>
        </w:rPr>
      </w:pPr>
      <w:r w:rsidRPr="00DB7C33">
        <w:rPr>
          <w:rFonts w:ascii="Arial" w:eastAsia="Times New Roman" w:hAnsi="Arial" w:cs="Arial"/>
          <w:b/>
          <w:sz w:val="24"/>
          <w:szCs w:val="24"/>
        </w:rPr>
        <w:t xml:space="preserve">Opis: </w:t>
      </w:r>
      <w:r>
        <w:rPr>
          <w:rFonts w:ascii="Arial" w:eastAsia="Times New Roman" w:hAnsi="Arial" w:cs="Arial"/>
          <w:sz w:val="24"/>
          <w:szCs w:val="24"/>
        </w:rPr>
        <w:t>p</w:t>
      </w:r>
      <w:r w:rsidRPr="00DB7C33">
        <w:rPr>
          <w:rFonts w:ascii="Arial" w:eastAsia="Times New Roman" w:hAnsi="Arial" w:cs="Arial"/>
          <w:sz w:val="24"/>
          <w:szCs w:val="24"/>
        </w:rPr>
        <w:t>lanira se izrada projektne dokumentacije za obuhvat cesta na području naselja Montepozzo. Na predmetnom području planira se izgradnja POS-ovih stanova, za koje je potrebno osigurati uređeni pristup u skladu s prostorno planskim uvjetima. Projektna dokumentacija obuhvaća idejni, glavni izvedbeni projekt ceste u duljini od 314</w:t>
      </w:r>
      <w:r>
        <w:rPr>
          <w:rFonts w:ascii="Arial" w:eastAsia="Times New Roman" w:hAnsi="Arial" w:cs="Arial"/>
          <w:sz w:val="24"/>
          <w:szCs w:val="24"/>
        </w:rPr>
        <w:t xml:space="preserve"> </w:t>
      </w:r>
      <w:r w:rsidRPr="00DB7C33">
        <w:rPr>
          <w:rFonts w:ascii="Arial" w:eastAsia="Times New Roman" w:hAnsi="Arial" w:cs="Arial"/>
          <w:sz w:val="24"/>
          <w:szCs w:val="24"/>
        </w:rPr>
        <w:t>m, odnosno 3.355 m</w:t>
      </w:r>
      <w:r w:rsidRPr="00DB7C33">
        <w:rPr>
          <w:rFonts w:ascii="Arial" w:eastAsia="Times New Roman" w:hAnsi="Arial" w:cs="Arial"/>
          <w:sz w:val="24"/>
          <w:szCs w:val="24"/>
          <w:vertAlign w:val="superscript"/>
        </w:rPr>
        <w:t>2</w:t>
      </w:r>
      <w:r w:rsidRPr="00DB7C33">
        <w:rPr>
          <w:rFonts w:ascii="Arial" w:eastAsia="Times New Roman" w:hAnsi="Arial" w:cs="Arial"/>
          <w:sz w:val="24"/>
          <w:szCs w:val="24"/>
        </w:rPr>
        <w:t xml:space="preserve">. </w:t>
      </w:r>
    </w:p>
    <w:p w14:paraId="099E6F1B" w14:textId="77777777" w:rsidR="00E541EE" w:rsidRPr="00DA4E45" w:rsidRDefault="00E541EE" w:rsidP="00E541EE">
      <w:pPr>
        <w:jc w:val="both"/>
        <w:rPr>
          <w:rFonts w:ascii="Arial" w:eastAsia="Times New Roman" w:hAnsi="Arial" w:cs="Arial"/>
          <w:sz w:val="24"/>
          <w:szCs w:val="24"/>
        </w:rPr>
      </w:pPr>
      <w:r w:rsidRPr="00DB7C33">
        <w:rPr>
          <w:rFonts w:ascii="Arial" w:eastAsia="Times New Roman" w:hAnsi="Arial" w:cs="Arial"/>
          <w:sz w:val="24"/>
          <w:szCs w:val="24"/>
        </w:rPr>
        <w:t xml:space="preserve">Tijekom </w:t>
      </w:r>
      <w:r>
        <w:rPr>
          <w:rFonts w:ascii="Arial" w:eastAsia="Times New Roman" w:hAnsi="Arial" w:cs="Arial"/>
          <w:sz w:val="24"/>
          <w:szCs w:val="24"/>
        </w:rPr>
        <w:t xml:space="preserve">2024. i </w:t>
      </w:r>
      <w:r w:rsidRPr="00DB7C33">
        <w:rPr>
          <w:rFonts w:ascii="Arial" w:eastAsia="Times New Roman" w:hAnsi="Arial" w:cs="Arial"/>
          <w:sz w:val="24"/>
          <w:szCs w:val="24"/>
        </w:rPr>
        <w:t>202</w:t>
      </w:r>
      <w:r>
        <w:rPr>
          <w:rFonts w:ascii="Arial" w:eastAsia="Times New Roman" w:hAnsi="Arial" w:cs="Arial"/>
          <w:sz w:val="24"/>
          <w:szCs w:val="24"/>
        </w:rPr>
        <w:t>5</w:t>
      </w:r>
      <w:r w:rsidRPr="00DB7C33">
        <w:rPr>
          <w:rFonts w:ascii="Arial" w:eastAsia="Times New Roman" w:hAnsi="Arial" w:cs="Arial"/>
          <w:sz w:val="24"/>
          <w:szCs w:val="24"/>
        </w:rPr>
        <w:t xml:space="preserve">. godine rješavani su pravno-imovinski poslovi.  </w:t>
      </w:r>
    </w:p>
    <w:p w14:paraId="5B8A3921" w14:textId="77777777" w:rsidR="00F36433" w:rsidRDefault="00E541EE" w:rsidP="00E541EE">
      <w:pPr>
        <w:jc w:val="both"/>
        <w:rPr>
          <w:rFonts w:ascii="Arial" w:eastAsia="Times New Roman" w:hAnsi="Arial" w:cs="Arial"/>
          <w:sz w:val="24"/>
          <w:szCs w:val="24"/>
        </w:rPr>
      </w:pPr>
      <w:r w:rsidRPr="00DB7C33">
        <w:rPr>
          <w:rFonts w:ascii="Arial" w:eastAsia="Times New Roman" w:hAnsi="Arial" w:cs="Arial"/>
          <w:b/>
          <w:bCs/>
          <w:sz w:val="24"/>
          <w:szCs w:val="24"/>
        </w:rPr>
        <w:t>Opći cilj:</w:t>
      </w:r>
      <w:r w:rsidRPr="00DB7C33">
        <w:rPr>
          <w:rFonts w:ascii="Arial" w:eastAsia="Times New Roman" w:hAnsi="Arial" w:cs="Arial"/>
          <w:sz w:val="24"/>
          <w:szCs w:val="24"/>
        </w:rPr>
        <w:t xml:space="preserve"> kroz ovu aktivnost predviđaju se sredstva za izradu tehničke dokumentacije</w:t>
      </w:r>
    </w:p>
    <w:p w14:paraId="1E191549" w14:textId="60BE9A27" w:rsidR="00E541EE" w:rsidRDefault="00E541EE" w:rsidP="00E541EE">
      <w:pPr>
        <w:jc w:val="both"/>
        <w:rPr>
          <w:rFonts w:ascii="Arial" w:eastAsia="Times New Roman" w:hAnsi="Arial" w:cs="Arial"/>
          <w:sz w:val="24"/>
          <w:szCs w:val="24"/>
        </w:rPr>
      </w:pPr>
      <w:r w:rsidRPr="00DB7C33">
        <w:rPr>
          <w:rFonts w:ascii="Arial" w:eastAsia="Times New Roman" w:hAnsi="Arial" w:cs="Arial"/>
          <w:b/>
          <w:sz w:val="24"/>
          <w:szCs w:val="24"/>
        </w:rPr>
        <w:t>Pokazatelj uspješnosti:</w:t>
      </w:r>
      <w:r w:rsidRPr="00DB7C33">
        <w:rPr>
          <w:rFonts w:ascii="Arial" w:eastAsia="Times New Roman" w:hAnsi="Arial" w:cs="Arial"/>
          <w:sz w:val="24"/>
          <w:szCs w:val="24"/>
        </w:rPr>
        <w:t xml:space="preserve">  realizacija planiranih aktivnosti u zadanom roku.</w:t>
      </w:r>
    </w:p>
    <w:p w14:paraId="43524705" w14:textId="77777777" w:rsidR="00E541EE" w:rsidRDefault="00E541EE" w:rsidP="00E541EE">
      <w:pPr>
        <w:jc w:val="both"/>
        <w:rPr>
          <w:rFonts w:ascii="Arial" w:eastAsia="Times New Roman" w:hAnsi="Arial" w:cs="Arial"/>
          <w:sz w:val="24"/>
          <w:szCs w:val="24"/>
        </w:rPr>
      </w:pPr>
    </w:p>
    <w:p w14:paraId="467B58D1" w14:textId="77777777" w:rsidR="00E541EE" w:rsidRPr="00DB7C33"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DB7C33">
        <w:rPr>
          <w:rFonts w:ascii="Arial" w:eastAsia="Times New Roman" w:hAnsi="Arial" w:cs="Arial"/>
          <w:b/>
          <w:bCs/>
          <w:sz w:val="24"/>
          <w:szCs w:val="24"/>
        </w:rPr>
        <w:t xml:space="preserve">K 101103: Zelena infrastruktura = </w:t>
      </w:r>
      <w:r>
        <w:rPr>
          <w:rFonts w:ascii="Arial" w:eastAsia="Times New Roman" w:hAnsi="Arial" w:cs="Arial"/>
          <w:b/>
          <w:bCs/>
          <w:sz w:val="24"/>
          <w:szCs w:val="24"/>
        </w:rPr>
        <w:t>33</w:t>
      </w:r>
      <w:r w:rsidRPr="00DB7C33">
        <w:rPr>
          <w:rFonts w:ascii="Arial" w:eastAsia="Times New Roman" w:hAnsi="Arial" w:cs="Arial"/>
          <w:b/>
          <w:bCs/>
          <w:sz w:val="24"/>
          <w:szCs w:val="24"/>
        </w:rPr>
        <w:t>.</w:t>
      </w:r>
      <w:r>
        <w:rPr>
          <w:rFonts w:ascii="Arial" w:eastAsia="Times New Roman" w:hAnsi="Arial" w:cs="Arial"/>
          <w:b/>
          <w:bCs/>
          <w:sz w:val="24"/>
          <w:szCs w:val="24"/>
        </w:rPr>
        <w:t>0</w:t>
      </w:r>
      <w:r w:rsidRPr="00DB7C33">
        <w:rPr>
          <w:rFonts w:ascii="Arial" w:eastAsia="Times New Roman" w:hAnsi="Arial" w:cs="Arial"/>
          <w:b/>
          <w:bCs/>
          <w:sz w:val="24"/>
          <w:szCs w:val="24"/>
        </w:rPr>
        <w:t>00,00 EUR</w:t>
      </w:r>
    </w:p>
    <w:p w14:paraId="050B2724" w14:textId="77777777" w:rsidR="00E541EE" w:rsidRPr="00DB7C33" w:rsidRDefault="00E541EE" w:rsidP="00E541EE">
      <w:pPr>
        <w:jc w:val="both"/>
        <w:rPr>
          <w:rFonts w:ascii="Arial" w:eastAsia="Times New Roman" w:hAnsi="Arial" w:cs="Arial"/>
          <w:sz w:val="24"/>
          <w:szCs w:val="24"/>
        </w:rPr>
      </w:pPr>
      <w:r w:rsidRPr="00DB7C33">
        <w:rPr>
          <w:rFonts w:ascii="Arial" w:eastAsia="Times New Roman" w:hAnsi="Arial" w:cs="Arial"/>
          <w:b/>
          <w:sz w:val="24"/>
          <w:szCs w:val="24"/>
        </w:rPr>
        <w:t>Zakonska osnova:</w:t>
      </w:r>
      <w:r w:rsidRPr="00DB7C33">
        <w:rPr>
          <w:rFonts w:ascii="Arial" w:eastAsia="Times New Roman" w:hAnsi="Arial" w:cs="Arial"/>
          <w:sz w:val="24"/>
          <w:szCs w:val="24"/>
        </w:rPr>
        <w:t xml:space="preserve"> Programa razvoja zelene infrastrukture za urbana područja od 2021. do 2030. godine i Strategije razvoja zelene infrastrukture Grada za razdoblje 2022.</w:t>
      </w:r>
      <w:r>
        <w:rPr>
          <w:rFonts w:ascii="Arial" w:eastAsia="Times New Roman" w:hAnsi="Arial" w:cs="Arial"/>
          <w:sz w:val="24"/>
          <w:szCs w:val="24"/>
        </w:rPr>
        <w:t xml:space="preserve"> </w:t>
      </w:r>
      <w:r w:rsidRPr="00DB7C33">
        <w:rPr>
          <w:rFonts w:ascii="Arial" w:eastAsia="Times New Roman" w:hAnsi="Arial" w:cs="Arial"/>
          <w:sz w:val="24"/>
          <w:szCs w:val="24"/>
        </w:rPr>
        <w:t>-</w:t>
      </w:r>
      <w:r>
        <w:rPr>
          <w:rFonts w:ascii="Arial" w:eastAsia="Times New Roman" w:hAnsi="Arial" w:cs="Arial"/>
          <w:sz w:val="24"/>
          <w:szCs w:val="24"/>
        </w:rPr>
        <w:t xml:space="preserve"> </w:t>
      </w:r>
      <w:r w:rsidRPr="00DB7C33">
        <w:rPr>
          <w:rFonts w:ascii="Arial" w:eastAsia="Times New Roman" w:hAnsi="Arial" w:cs="Arial"/>
          <w:sz w:val="24"/>
          <w:szCs w:val="24"/>
        </w:rPr>
        <w:t>2030.</w:t>
      </w:r>
    </w:p>
    <w:p w14:paraId="17E9420F" w14:textId="77777777" w:rsidR="00E541EE" w:rsidRPr="00DB7C33" w:rsidRDefault="00E541EE" w:rsidP="00E541EE">
      <w:pPr>
        <w:jc w:val="both"/>
        <w:rPr>
          <w:rFonts w:ascii="Arial" w:eastAsia="Times New Roman" w:hAnsi="Arial" w:cs="Arial"/>
          <w:sz w:val="24"/>
          <w:szCs w:val="24"/>
        </w:rPr>
      </w:pPr>
      <w:r w:rsidRPr="00DB7C33">
        <w:rPr>
          <w:rFonts w:ascii="Arial" w:eastAsia="Times New Roman" w:hAnsi="Arial" w:cs="Arial"/>
          <w:b/>
          <w:sz w:val="24"/>
          <w:szCs w:val="24"/>
        </w:rPr>
        <w:t xml:space="preserve">Opis: </w:t>
      </w:r>
      <w:r w:rsidRPr="00DB7C33">
        <w:rPr>
          <w:rFonts w:ascii="Arial" w:eastAsia="Times New Roman" w:hAnsi="Arial" w:cs="Arial"/>
          <w:sz w:val="24"/>
          <w:szCs w:val="24"/>
        </w:rPr>
        <w:t>temeljem nacionalnog Programa razvoja zelene infrastrukture za urbana područja od 2021 do 2030. i Europskog zelenog plana, Grad Rovinj usvojio je Studiju zelene infrastrukture.</w:t>
      </w:r>
    </w:p>
    <w:p w14:paraId="6A97F2D8" w14:textId="77777777" w:rsidR="00E541EE" w:rsidRPr="00DB7C33" w:rsidRDefault="00E541EE" w:rsidP="00E541EE">
      <w:pPr>
        <w:jc w:val="both"/>
        <w:rPr>
          <w:rFonts w:ascii="Arial" w:eastAsia="Times New Roman" w:hAnsi="Arial" w:cs="Arial"/>
          <w:sz w:val="24"/>
          <w:szCs w:val="24"/>
        </w:rPr>
      </w:pPr>
      <w:r w:rsidRPr="00DB7C33">
        <w:rPr>
          <w:rFonts w:ascii="Arial" w:eastAsia="Times New Roman" w:hAnsi="Arial" w:cs="Arial"/>
          <w:sz w:val="24"/>
          <w:szCs w:val="24"/>
        </w:rPr>
        <w:t xml:space="preserve">Temeljem usvojene Strategije, razrađivat će se razni  projekti, sukladno smjernicama iz iste. Kao jedan od prvih predlaže se evidencija javne zelene infrastrukture, koja uključuje: izradu GIS podataka zelene infrastrukture određenih kategorija zelenih površina: park-šume, parkovi, drvoredi, travnjaci, zaštićene zelene površine, sportsko rekreacijski površine, dječja igrališta i sl. </w:t>
      </w:r>
    </w:p>
    <w:p w14:paraId="624C278D" w14:textId="77777777" w:rsidR="00E541EE" w:rsidRPr="00DB7C33" w:rsidRDefault="00E541EE" w:rsidP="00E541EE">
      <w:pPr>
        <w:jc w:val="both"/>
        <w:rPr>
          <w:rFonts w:ascii="Arial" w:eastAsia="Times New Roman" w:hAnsi="Arial" w:cs="Arial"/>
          <w:sz w:val="24"/>
          <w:szCs w:val="24"/>
        </w:rPr>
      </w:pPr>
      <w:r w:rsidRPr="00DB7C33">
        <w:rPr>
          <w:rFonts w:ascii="Arial" w:eastAsia="Times New Roman" w:hAnsi="Arial" w:cs="Arial"/>
          <w:b/>
          <w:sz w:val="24"/>
          <w:szCs w:val="24"/>
        </w:rPr>
        <w:t>Opći cilj:</w:t>
      </w:r>
      <w:r w:rsidRPr="00DB7C33">
        <w:rPr>
          <w:rFonts w:ascii="Arial" w:eastAsia="Times New Roman" w:hAnsi="Arial" w:cs="Arial"/>
          <w:bCs/>
          <w:sz w:val="24"/>
          <w:szCs w:val="24"/>
        </w:rPr>
        <w:t xml:space="preserve"> kroz ovu aktivnost predviđaju se sredstva za izradu evidencije zelene infrastrukture. </w:t>
      </w:r>
    </w:p>
    <w:p w14:paraId="1E963952" w14:textId="77777777" w:rsidR="00E541EE" w:rsidRDefault="00E541EE" w:rsidP="00E541EE">
      <w:pPr>
        <w:jc w:val="both"/>
        <w:rPr>
          <w:rFonts w:ascii="Arial" w:eastAsia="Times New Roman" w:hAnsi="Arial" w:cs="Arial"/>
          <w:sz w:val="24"/>
          <w:szCs w:val="24"/>
        </w:rPr>
      </w:pPr>
      <w:r w:rsidRPr="00DB7C33">
        <w:rPr>
          <w:rFonts w:ascii="Arial" w:eastAsia="Times New Roman" w:hAnsi="Arial" w:cs="Arial"/>
          <w:b/>
          <w:sz w:val="24"/>
          <w:szCs w:val="24"/>
        </w:rPr>
        <w:t>Pokazatelj uspješnosti:</w:t>
      </w:r>
      <w:r w:rsidRPr="00DB7C33">
        <w:rPr>
          <w:rFonts w:ascii="Arial" w:eastAsia="Times New Roman" w:hAnsi="Arial" w:cs="Arial"/>
          <w:sz w:val="24"/>
          <w:szCs w:val="24"/>
        </w:rPr>
        <w:t xml:space="preserve">  realizacija planiranih aktivnosti u zadanom roku.</w:t>
      </w:r>
    </w:p>
    <w:p w14:paraId="0421C440" w14:textId="77777777" w:rsidR="00E541EE" w:rsidRPr="00DB7C33" w:rsidRDefault="00E541EE" w:rsidP="00E541EE">
      <w:pPr>
        <w:jc w:val="both"/>
        <w:rPr>
          <w:rFonts w:ascii="Arial" w:eastAsia="Times New Roman" w:hAnsi="Arial" w:cs="Arial"/>
          <w:sz w:val="24"/>
          <w:szCs w:val="24"/>
        </w:rPr>
      </w:pPr>
    </w:p>
    <w:p w14:paraId="1E728D57" w14:textId="77777777" w:rsidR="00E541EE" w:rsidRPr="00DB7C33" w:rsidRDefault="00E541EE" w:rsidP="00E541EE">
      <w:pPr>
        <w:jc w:val="both"/>
        <w:rPr>
          <w:rFonts w:ascii="Arial" w:eastAsia="Times New Roman" w:hAnsi="Arial" w:cs="Arial"/>
          <w:iCs/>
          <w:sz w:val="24"/>
          <w:szCs w:val="24"/>
        </w:rPr>
      </w:pPr>
    </w:p>
    <w:p w14:paraId="2BA4FE06" w14:textId="77777777" w:rsidR="00E541EE" w:rsidRPr="00180D7F" w:rsidRDefault="00E541EE" w:rsidP="00E541EE">
      <w:pPr>
        <w:pBdr>
          <w:top w:val="single" w:sz="4" w:space="1" w:color="auto"/>
          <w:left w:val="single" w:sz="4" w:space="4" w:color="auto"/>
          <w:bottom w:val="single" w:sz="4" w:space="1" w:color="auto"/>
          <w:right w:val="single" w:sz="4" w:space="4" w:color="auto"/>
        </w:pBdr>
        <w:shd w:val="clear" w:color="auto" w:fill="FFCB97"/>
        <w:rPr>
          <w:rFonts w:ascii="Arial" w:eastAsia="Times New Roman" w:hAnsi="Arial" w:cs="Times New Roman"/>
          <w:b/>
          <w:bCs/>
          <w:sz w:val="24"/>
          <w:szCs w:val="24"/>
        </w:rPr>
      </w:pPr>
      <w:r w:rsidRPr="00180D7F">
        <w:rPr>
          <w:rFonts w:ascii="Arial" w:eastAsia="Times New Roman" w:hAnsi="Arial" w:cs="Times New Roman"/>
          <w:b/>
          <w:bCs/>
          <w:sz w:val="24"/>
          <w:szCs w:val="24"/>
        </w:rPr>
        <w:t>RAZDJEL 005: UPRAVNI ODJEL ZA UPRAVLJANJE IMOVINOM I GEODETSKE</w:t>
      </w:r>
    </w:p>
    <w:p w14:paraId="73B20797" w14:textId="46A39128" w:rsidR="00E541EE" w:rsidRPr="00180D7F" w:rsidRDefault="00E541EE" w:rsidP="00E541EE">
      <w:pPr>
        <w:pBdr>
          <w:top w:val="single" w:sz="4" w:space="1" w:color="auto"/>
          <w:left w:val="single" w:sz="4" w:space="4" w:color="auto"/>
          <w:bottom w:val="single" w:sz="4" w:space="1" w:color="auto"/>
          <w:right w:val="single" w:sz="4" w:space="4" w:color="auto"/>
        </w:pBdr>
        <w:shd w:val="clear" w:color="auto" w:fill="FFCB97"/>
        <w:rPr>
          <w:rFonts w:ascii="Arial" w:eastAsia="Times New Roman" w:hAnsi="Arial" w:cs="Times New Roman"/>
          <w:b/>
          <w:bCs/>
          <w:sz w:val="24"/>
          <w:szCs w:val="24"/>
        </w:rPr>
      </w:pPr>
      <w:r w:rsidRPr="00180D7F">
        <w:rPr>
          <w:rFonts w:ascii="Arial" w:eastAsia="Times New Roman" w:hAnsi="Arial" w:cs="Times New Roman"/>
          <w:b/>
          <w:bCs/>
          <w:sz w:val="24"/>
          <w:szCs w:val="24"/>
        </w:rPr>
        <w:t xml:space="preserve">POSLOVE = </w:t>
      </w:r>
      <w:r>
        <w:rPr>
          <w:rFonts w:ascii="Arial" w:eastAsia="Times New Roman" w:hAnsi="Arial" w:cs="Times New Roman"/>
          <w:b/>
          <w:bCs/>
          <w:sz w:val="24"/>
          <w:szCs w:val="24"/>
        </w:rPr>
        <w:t>2.</w:t>
      </w:r>
      <w:r w:rsidR="00F36433">
        <w:rPr>
          <w:rFonts w:ascii="Arial" w:eastAsia="Times New Roman" w:hAnsi="Arial" w:cs="Times New Roman"/>
          <w:b/>
          <w:bCs/>
          <w:sz w:val="24"/>
          <w:szCs w:val="24"/>
        </w:rPr>
        <w:t>086</w:t>
      </w:r>
      <w:r>
        <w:rPr>
          <w:rFonts w:ascii="Arial" w:eastAsia="Times New Roman" w:hAnsi="Arial" w:cs="Times New Roman"/>
          <w:b/>
          <w:bCs/>
          <w:sz w:val="24"/>
          <w:szCs w:val="24"/>
        </w:rPr>
        <w:t>.360,00 EUR</w:t>
      </w:r>
    </w:p>
    <w:p w14:paraId="0FDA1CC7" w14:textId="77777777" w:rsidR="00E541EE" w:rsidRPr="00180D7F" w:rsidRDefault="00E541EE" w:rsidP="00E541EE">
      <w:pPr>
        <w:ind w:left="720" w:hanging="720"/>
        <w:rPr>
          <w:rFonts w:ascii="Arial" w:eastAsia="Times New Roman" w:hAnsi="Arial" w:cs="Arial"/>
          <w:b/>
          <w:sz w:val="24"/>
          <w:szCs w:val="24"/>
        </w:rPr>
      </w:pPr>
    </w:p>
    <w:p w14:paraId="3D8EA794" w14:textId="77777777" w:rsidR="00E541EE" w:rsidRPr="00180D7F" w:rsidRDefault="00E541EE" w:rsidP="00E541EE">
      <w:pPr>
        <w:pBdr>
          <w:top w:val="single" w:sz="4" w:space="1" w:color="auto"/>
          <w:left w:val="single" w:sz="4" w:space="4" w:color="auto"/>
          <w:bottom w:val="single" w:sz="4" w:space="1" w:color="auto"/>
          <w:right w:val="single" w:sz="4" w:space="4" w:color="auto"/>
        </w:pBdr>
        <w:shd w:val="clear" w:color="auto" w:fill="B1EDA0"/>
        <w:ind w:left="720" w:hanging="720"/>
        <w:jc w:val="both"/>
        <w:rPr>
          <w:rFonts w:ascii="Arial" w:eastAsia="Times New Roman" w:hAnsi="Arial" w:cs="Times New Roman"/>
          <w:b/>
          <w:bCs/>
          <w:sz w:val="24"/>
          <w:szCs w:val="24"/>
        </w:rPr>
      </w:pPr>
      <w:r w:rsidRPr="00180D7F">
        <w:rPr>
          <w:rFonts w:ascii="Arial" w:eastAsia="Times New Roman" w:hAnsi="Arial" w:cs="Arial"/>
          <w:b/>
          <w:sz w:val="24"/>
          <w:szCs w:val="24"/>
        </w:rPr>
        <w:t xml:space="preserve">GLAVA 00501: </w:t>
      </w:r>
      <w:r w:rsidRPr="00180D7F">
        <w:rPr>
          <w:rFonts w:ascii="Arial" w:eastAsia="Times New Roman" w:hAnsi="Arial" w:cs="Times New Roman"/>
          <w:b/>
          <w:bCs/>
          <w:sz w:val="24"/>
          <w:szCs w:val="24"/>
        </w:rPr>
        <w:t>UPRAVNI ODJEL ZA UPRAVLJANJE IMOVINOM I GEODETSKE</w:t>
      </w:r>
    </w:p>
    <w:p w14:paraId="24BFB5D4" w14:textId="34BC5826" w:rsidR="00E541EE" w:rsidRPr="00180D7F" w:rsidRDefault="00E541EE" w:rsidP="00E541EE">
      <w:pPr>
        <w:pBdr>
          <w:top w:val="single" w:sz="4" w:space="1" w:color="auto"/>
          <w:left w:val="single" w:sz="4" w:space="4" w:color="auto"/>
          <w:bottom w:val="single" w:sz="4" w:space="1" w:color="auto"/>
          <w:right w:val="single" w:sz="4" w:space="4" w:color="auto"/>
        </w:pBdr>
        <w:shd w:val="clear" w:color="auto" w:fill="B1EDA0"/>
        <w:ind w:left="720" w:hanging="720"/>
        <w:jc w:val="both"/>
        <w:rPr>
          <w:rFonts w:ascii="Arial" w:eastAsia="Times New Roman" w:hAnsi="Arial" w:cs="Times New Roman"/>
          <w:b/>
          <w:bCs/>
          <w:sz w:val="24"/>
          <w:szCs w:val="24"/>
        </w:rPr>
      </w:pPr>
      <w:r w:rsidRPr="00180D7F">
        <w:rPr>
          <w:rFonts w:ascii="Arial" w:eastAsia="Times New Roman" w:hAnsi="Arial" w:cs="Times New Roman"/>
          <w:b/>
          <w:bCs/>
          <w:sz w:val="24"/>
          <w:szCs w:val="24"/>
        </w:rPr>
        <w:t xml:space="preserve">POSLOVE = </w:t>
      </w:r>
      <w:r>
        <w:rPr>
          <w:rFonts w:ascii="Arial" w:eastAsia="Times New Roman" w:hAnsi="Arial" w:cs="Times New Roman"/>
          <w:b/>
          <w:bCs/>
          <w:sz w:val="24"/>
          <w:szCs w:val="24"/>
        </w:rPr>
        <w:t>2.</w:t>
      </w:r>
      <w:r w:rsidR="00F36433">
        <w:rPr>
          <w:rFonts w:ascii="Arial" w:eastAsia="Times New Roman" w:hAnsi="Arial" w:cs="Times New Roman"/>
          <w:b/>
          <w:bCs/>
          <w:sz w:val="24"/>
          <w:szCs w:val="24"/>
        </w:rPr>
        <w:t>086</w:t>
      </w:r>
      <w:r>
        <w:rPr>
          <w:rFonts w:ascii="Arial" w:eastAsia="Times New Roman" w:hAnsi="Arial" w:cs="Times New Roman"/>
          <w:b/>
          <w:bCs/>
          <w:sz w:val="24"/>
          <w:szCs w:val="24"/>
        </w:rPr>
        <w:t>.360,00 EUR</w:t>
      </w:r>
    </w:p>
    <w:p w14:paraId="69AF506B" w14:textId="77777777" w:rsidR="00E541EE" w:rsidRPr="00180D7F" w:rsidRDefault="00E541EE" w:rsidP="00E541EE">
      <w:pPr>
        <w:rPr>
          <w:rFonts w:ascii="Arial" w:eastAsia="Times New Roman" w:hAnsi="Arial" w:cs="Times New Roman"/>
          <w:bCs/>
          <w:sz w:val="24"/>
          <w:szCs w:val="24"/>
        </w:rPr>
      </w:pPr>
      <w:r w:rsidRPr="00180D7F">
        <w:rPr>
          <w:rFonts w:ascii="Arial" w:eastAsia="Times New Roman" w:hAnsi="Arial" w:cs="Arial"/>
          <w:sz w:val="24"/>
          <w:szCs w:val="24"/>
        </w:rPr>
        <w:t xml:space="preserve"> </w:t>
      </w:r>
      <w:r w:rsidRPr="00180D7F">
        <w:rPr>
          <w:rFonts w:ascii="Arial" w:eastAsia="Times New Roman" w:hAnsi="Arial" w:cs="Times New Roman"/>
          <w:bCs/>
          <w:sz w:val="24"/>
          <w:szCs w:val="24"/>
        </w:rPr>
        <w:t xml:space="preserve"> </w:t>
      </w:r>
    </w:p>
    <w:p w14:paraId="05AD00E0" w14:textId="77777777" w:rsidR="00E541EE" w:rsidRPr="00180D7F" w:rsidRDefault="00E541EE" w:rsidP="00E541EE">
      <w:pPr>
        <w:pBdr>
          <w:top w:val="single" w:sz="4" w:space="1" w:color="auto"/>
          <w:left w:val="single" w:sz="4" w:space="4" w:color="auto"/>
          <w:bottom w:val="single" w:sz="4" w:space="1" w:color="auto"/>
          <w:right w:val="single" w:sz="4" w:space="4" w:color="auto"/>
        </w:pBdr>
        <w:shd w:val="clear" w:color="auto" w:fill="FFFF99"/>
        <w:jc w:val="both"/>
        <w:rPr>
          <w:rFonts w:ascii="Arial" w:eastAsia="Times New Roman" w:hAnsi="Arial" w:cs="Arial"/>
          <w:b/>
          <w:sz w:val="24"/>
          <w:szCs w:val="24"/>
        </w:rPr>
      </w:pPr>
      <w:r w:rsidRPr="00180D7F">
        <w:rPr>
          <w:rFonts w:ascii="Arial" w:eastAsia="Times New Roman" w:hAnsi="Arial" w:cs="Arial"/>
          <w:b/>
          <w:sz w:val="24"/>
          <w:szCs w:val="24"/>
        </w:rPr>
        <w:t>P 1016  Program: U</w:t>
      </w:r>
      <w:r>
        <w:rPr>
          <w:rFonts w:ascii="Arial" w:eastAsia="Times New Roman" w:hAnsi="Arial" w:cs="Arial"/>
          <w:b/>
          <w:sz w:val="24"/>
          <w:szCs w:val="24"/>
        </w:rPr>
        <w:t>pravljanje imovinom Grada</w:t>
      </w:r>
      <w:r w:rsidRPr="00180D7F">
        <w:rPr>
          <w:rFonts w:ascii="Arial" w:eastAsia="Times New Roman" w:hAnsi="Arial" w:cs="Arial"/>
          <w:b/>
          <w:sz w:val="24"/>
          <w:szCs w:val="24"/>
        </w:rPr>
        <w:t xml:space="preserve"> = </w:t>
      </w:r>
      <w:r>
        <w:rPr>
          <w:rFonts w:ascii="Arial" w:eastAsia="Times New Roman" w:hAnsi="Arial" w:cs="Arial"/>
          <w:b/>
          <w:sz w:val="24"/>
          <w:szCs w:val="24"/>
        </w:rPr>
        <w:t>721.394,00 EUR</w:t>
      </w:r>
      <w:r w:rsidRPr="00180D7F">
        <w:rPr>
          <w:rFonts w:ascii="Arial" w:eastAsia="Times New Roman" w:hAnsi="Arial" w:cs="Arial"/>
          <w:b/>
          <w:sz w:val="24"/>
          <w:szCs w:val="24"/>
        </w:rPr>
        <w:t xml:space="preserve">  </w:t>
      </w:r>
    </w:p>
    <w:p w14:paraId="59074958" w14:textId="77777777" w:rsidR="00E541EE" w:rsidRDefault="00E541EE" w:rsidP="00E541EE">
      <w:pPr>
        <w:jc w:val="both"/>
        <w:rPr>
          <w:rFonts w:ascii="Arial" w:eastAsia="Times New Roman" w:hAnsi="Arial" w:cs="Arial"/>
          <w:b/>
          <w:sz w:val="24"/>
          <w:szCs w:val="24"/>
        </w:rPr>
      </w:pPr>
    </w:p>
    <w:p w14:paraId="0795A91D" w14:textId="77777777" w:rsidR="00E541EE" w:rsidRPr="00180D7F"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sz w:val="24"/>
          <w:szCs w:val="24"/>
        </w:rPr>
      </w:pPr>
      <w:r w:rsidRPr="00180D7F">
        <w:rPr>
          <w:rFonts w:ascii="Arial" w:eastAsia="Times New Roman" w:hAnsi="Arial" w:cs="Arial"/>
          <w:b/>
          <w:sz w:val="24"/>
          <w:szCs w:val="24"/>
        </w:rPr>
        <w:t xml:space="preserve">T 101601: Konzultantske usluge = </w:t>
      </w:r>
      <w:r w:rsidRPr="002616A1">
        <w:rPr>
          <w:rFonts w:ascii="Arial" w:eastAsia="Times New Roman" w:hAnsi="Arial" w:cs="Arial"/>
          <w:b/>
          <w:sz w:val="24"/>
          <w:szCs w:val="24"/>
        </w:rPr>
        <w:t xml:space="preserve">4.000,00 EUR </w:t>
      </w:r>
    </w:p>
    <w:p w14:paraId="13855F7B" w14:textId="77777777" w:rsidR="00E541EE" w:rsidRPr="00180D7F" w:rsidRDefault="00E541EE" w:rsidP="00E541EE">
      <w:pPr>
        <w:jc w:val="both"/>
        <w:rPr>
          <w:rFonts w:ascii="Arial" w:eastAsia="Times New Roman" w:hAnsi="Arial" w:cs="Arial"/>
          <w:sz w:val="24"/>
          <w:szCs w:val="24"/>
        </w:rPr>
      </w:pPr>
      <w:r w:rsidRPr="00180D7F">
        <w:rPr>
          <w:rFonts w:ascii="Arial" w:eastAsia="Times New Roman" w:hAnsi="Arial" w:cs="Arial"/>
          <w:b/>
          <w:sz w:val="24"/>
          <w:szCs w:val="24"/>
        </w:rPr>
        <w:t>Zakonska osnova</w:t>
      </w:r>
      <w:r w:rsidRPr="00180D7F">
        <w:rPr>
          <w:rFonts w:ascii="Arial" w:eastAsia="Times New Roman" w:hAnsi="Arial" w:cs="Arial"/>
          <w:sz w:val="24"/>
          <w:szCs w:val="24"/>
        </w:rPr>
        <w:t>: Zakon o vlasništvu i drugim stvarnim pravima, Pravilnik o provedbi postupaka jednostavne nabave.</w:t>
      </w:r>
    </w:p>
    <w:p w14:paraId="7EACB005" w14:textId="77777777" w:rsidR="00E541EE" w:rsidRPr="00180D7F" w:rsidRDefault="00E541EE" w:rsidP="00E541EE">
      <w:pPr>
        <w:jc w:val="both"/>
        <w:rPr>
          <w:rFonts w:ascii="Arial" w:eastAsia="Times New Roman" w:hAnsi="Arial" w:cs="Arial"/>
          <w:sz w:val="24"/>
          <w:szCs w:val="24"/>
        </w:rPr>
      </w:pPr>
      <w:r w:rsidRPr="00180D7F">
        <w:rPr>
          <w:rFonts w:ascii="Arial" w:eastAsia="Times New Roman" w:hAnsi="Arial" w:cs="Arial"/>
          <w:b/>
          <w:sz w:val="24"/>
          <w:szCs w:val="24"/>
        </w:rPr>
        <w:t xml:space="preserve">Opis: </w:t>
      </w:r>
      <w:r w:rsidRPr="00180D7F">
        <w:rPr>
          <w:rFonts w:ascii="Arial" w:eastAsia="Times New Roman" w:hAnsi="Arial" w:cs="Arial"/>
          <w:sz w:val="24"/>
          <w:szCs w:val="24"/>
        </w:rPr>
        <w:t>ovim sredstvima financira  se izrada programa i rješenja vezanih uz ostvarivanje ciljeva postavljenih programom rada</w:t>
      </w:r>
      <w:r>
        <w:rPr>
          <w:rFonts w:ascii="Arial" w:eastAsia="Times New Roman" w:hAnsi="Arial" w:cs="Arial"/>
          <w:sz w:val="24"/>
          <w:szCs w:val="24"/>
        </w:rPr>
        <w:t>.</w:t>
      </w:r>
    </w:p>
    <w:p w14:paraId="41E9B4D0" w14:textId="77777777" w:rsidR="00E541EE" w:rsidRPr="00180D7F" w:rsidRDefault="00E541EE" w:rsidP="00E541EE">
      <w:pPr>
        <w:jc w:val="both"/>
        <w:rPr>
          <w:rFonts w:ascii="Arial" w:eastAsia="Times New Roman" w:hAnsi="Arial" w:cs="Arial"/>
          <w:sz w:val="24"/>
          <w:szCs w:val="24"/>
        </w:rPr>
      </w:pPr>
      <w:r w:rsidRPr="00180D7F">
        <w:rPr>
          <w:rFonts w:ascii="Arial" w:eastAsia="Times New Roman" w:hAnsi="Arial" w:cs="Arial"/>
          <w:b/>
          <w:sz w:val="24"/>
          <w:szCs w:val="24"/>
        </w:rPr>
        <w:t>Opći cilj:</w:t>
      </w:r>
      <w:r w:rsidRPr="00180D7F">
        <w:rPr>
          <w:rFonts w:ascii="Arial" w:eastAsia="Times New Roman" w:hAnsi="Arial" w:cs="Arial"/>
          <w:sz w:val="24"/>
          <w:szCs w:val="24"/>
        </w:rPr>
        <w:t xml:space="preserve"> gospodarenje nekretninama u (su)vlasništvu Grada Rovinja.</w:t>
      </w:r>
    </w:p>
    <w:p w14:paraId="3DCA7949" w14:textId="77777777" w:rsidR="00E541EE" w:rsidRPr="00180D7F" w:rsidRDefault="00E541EE" w:rsidP="00E541EE">
      <w:pPr>
        <w:jc w:val="both"/>
        <w:rPr>
          <w:rFonts w:ascii="Arial" w:eastAsia="Times New Roman" w:hAnsi="Arial" w:cs="Arial"/>
          <w:sz w:val="24"/>
          <w:szCs w:val="24"/>
        </w:rPr>
      </w:pPr>
      <w:r w:rsidRPr="00180D7F">
        <w:rPr>
          <w:rFonts w:ascii="Arial" w:eastAsia="Times New Roman" w:hAnsi="Arial" w:cs="Arial"/>
          <w:b/>
          <w:sz w:val="24"/>
          <w:szCs w:val="24"/>
        </w:rPr>
        <w:t>Pokazatelj uspješnosti:</w:t>
      </w:r>
      <w:r w:rsidRPr="00180D7F">
        <w:rPr>
          <w:rFonts w:ascii="Arial" w:eastAsia="Times New Roman" w:hAnsi="Arial" w:cs="Arial"/>
          <w:sz w:val="24"/>
          <w:szCs w:val="24"/>
        </w:rPr>
        <w:t xml:space="preserve"> realizirani planirani akti u zadanom roku.</w:t>
      </w:r>
    </w:p>
    <w:p w14:paraId="1B9BCAAD" w14:textId="77777777" w:rsidR="00E541EE" w:rsidRPr="00180D7F" w:rsidRDefault="00E541EE" w:rsidP="00E541EE">
      <w:pPr>
        <w:jc w:val="both"/>
        <w:rPr>
          <w:rFonts w:ascii="Arial" w:eastAsia="Times New Roman" w:hAnsi="Arial" w:cs="Arial"/>
          <w:b/>
          <w:sz w:val="24"/>
          <w:szCs w:val="24"/>
        </w:rPr>
      </w:pPr>
    </w:p>
    <w:p w14:paraId="42BB0A91" w14:textId="77777777" w:rsidR="00E541EE" w:rsidRPr="00180D7F"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sz w:val="24"/>
          <w:szCs w:val="24"/>
        </w:rPr>
      </w:pPr>
      <w:r w:rsidRPr="00180D7F">
        <w:rPr>
          <w:rFonts w:ascii="Arial" w:eastAsia="Times New Roman" w:hAnsi="Arial" w:cs="Arial"/>
          <w:b/>
          <w:sz w:val="24"/>
          <w:szCs w:val="24"/>
        </w:rPr>
        <w:t xml:space="preserve">A 101601: Parcelacijski elaborati i slične usluge = </w:t>
      </w:r>
      <w:r>
        <w:rPr>
          <w:rFonts w:ascii="Arial" w:eastAsia="Times New Roman" w:hAnsi="Arial" w:cs="Arial"/>
          <w:b/>
          <w:sz w:val="24"/>
          <w:szCs w:val="24"/>
        </w:rPr>
        <w:t>26.550</w:t>
      </w:r>
      <w:r w:rsidRPr="00180D7F">
        <w:rPr>
          <w:rFonts w:ascii="Arial" w:eastAsia="Times New Roman" w:hAnsi="Arial" w:cs="Arial"/>
          <w:b/>
          <w:sz w:val="24"/>
          <w:szCs w:val="24"/>
        </w:rPr>
        <w:t>,</w:t>
      </w:r>
      <w:r>
        <w:rPr>
          <w:rFonts w:ascii="Arial" w:eastAsia="Times New Roman" w:hAnsi="Arial" w:cs="Arial"/>
          <w:b/>
          <w:sz w:val="24"/>
          <w:szCs w:val="24"/>
        </w:rPr>
        <w:t>00 EUR</w:t>
      </w:r>
    </w:p>
    <w:p w14:paraId="1C912D9A" w14:textId="77777777" w:rsidR="00E541EE" w:rsidRPr="00180D7F" w:rsidRDefault="00E541EE" w:rsidP="00E541EE">
      <w:pPr>
        <w:jc w:val="both"/>
        <w:rPr>
          <w:rFonts w:ascii="Arial" w:eastAsia="Times New Roman" w:hAnsi="Arial" w:cs="Arial"/>
          <w:sz w:val="24"/>
          <w:szCs w:val="24"/>
        </w:rPr>
      </w:pPr>
      <w:r w:rsidRPr="00180D7F">
        <w:rPr>
          <w:rFonts w:ascii="Arial" w:eastAsia="Times New Roman" w:hAnsi="Arial" w:cs="Arial"/>
          <w:b/>
          <w:sz w:val="24"/>
          <w:szCs w:val="24"/>
        </w:rPr>
        <w:t>Zakonska osnova</w:t>
      </w:r>
      <w:r w:rsidRPr="00180D7F">
        <w:rPr>
          <w:rFonts w:ascii="Arial" w:eastAsia="Times New Roman" w:hAnsi="Arial" w:cs="Arial"/>
          <w:sz w:val="24"/>
          <w:szCs w:val="24"/>
        </w:rPr>
        <w:t>: Zakon o državnoj izmjeri i katastru nekretnina i provedbeni propisi.</w:t>
      </w:r>
    </w:p>
    <w:p w14:paraId="088F2705" w14:textId="77777777" w:rsidR="00E541EE" w:rsidRPr="00180D7F" w:rsidRDefault="00E541EE" w:rsidP="00E541EE">
      <w:pPr>
        <w:jc w:val="both"/>
        <w:rPr>
          <w:rFonts w:ascii="Arial" w:eastAsia="Times New Roman" w:hAnsi="Arial" w:cs="Arial"/>
          <w:sz w:val="24"/>
          <w:szCs w:val="24"/>
        </w:rPr>
      </w:pPr>
      <w:r w:rsidRPr="00180D7F">
        <w:rPr>
          <w:rFonts w:ascii="Arial" w:eastAsia="Times New Roman" w:hAnsi="Arial" w:cs="Arial"/>
          <w:b/>
          <w:sz w:val="24"/>
          <w:szCs w:val="24"/>
        </w:rPr>
        <w:t xml:space="preserve">Opis: </w:t>
      </w:r>
      <w:r w:rsidRPr="00180D7F">
        <w:rPr>
          <w:rFonts w:ascii="Arial" w:eastAsia="Times New Roman" w:hAnsi="Arial" w:cs="Arial"/>
          <w:sz w:val="24"/>
          <w:szCs w:val="24"/>
        </w:rPr>
        <w:t>ovim sredstvima financira  se izrada parcelacijskih elaborata u postupku rješavanja imovinsko-pravnih odnosa kao osnove za izgradnju objekata komunalne infrastrukture, iskolčenje međa parcela u postupku realizacije objekata planiranih prostornim planovima Grada, odnosno prodaje gradskih parcela sukladno planiranom.</w:t>
      </w:r>
    </w:p>
    <w:p w14:paraId="76D89586" w14:textId="77777777" w:rsidR="00E541EE" w:rsidRPr="00180D7F" w:rsidRDefault="00E541EE" w:rsidP="00E541EE">
      <w:pPr>
        <w:jc w:val="both"/>
        <w:rPr>
          <w:rFonts w:ascii="Arial" w:eastAsia="Times New Roman" w:hAnsi="Arial" w:cs="Arial"/>
          <w:sz w:val="24"/>
          <w:szCs w:val="24"/>
        </w:rPr>
      </w:pPr>
      <w:r w:rsidRPr="00180D7F">
        <w:rPr>
          <w:rFonts w:ascii="Arial" w:eastAsia="Times New Roman" w:hAnsi="Arial" w:cs="Arial"/>
          <w:b/>
          <w:sz w:val="24"/>
          <w:szCs w:val="24"/>
        </w:rPr>
        <w:t>Opći cilj:</w:t>
      </w:r>
      <w:r w:rsidRPr="00180D7F">
        <w:rPr>
          <w:rFonts w:ascii="Arial" w:eastAsia="Times New Roman" w:hAnsi="Arial" w:cs="Arial"/>
          <w:sz w:val="24"/>
          <w:szCs w:val="24"/>
        </w:rPr>
        <w:t xml:space="preserve"> gospodarenje nekretninama u (su)vlasništvu Grada Rovinja.</w:t>
      </w:r>
    </w:p>
    <w:p w14:paraId="6DED240C" w14:textId="77777777" w:rsidR="00E541EE" w:rsidRPr="00180D7F" w:rsidRDefault="00E541EE" w:rsidP="00E541EE">
      <w:pPr>
        <w:jc w:val="both"/>
        <w:rPr>
          <w:rFonts w:ascii="Arial" w:eastAsia="Times New Roman" w:hAnsi="Arial" w:cs="Arial"/>
          <w:sz w:val="24"/>
          <w:szCs w:val="24"/>
        </w:rPr>
      </w:pPr>
      <w:r w:rsidRPr="00180D7F">
        <w:rPr>
          <w:rFonts w:ascii="Arial" w:eastAsia="Times New Roman" w:hAnsi="Arial" w:cs="Arial"/>
          <w:b/>
          <w:sz w:val="24"/>
          <w:szCs w:val="24"/>
        </w:rPr>
        <w:t>Pokazatelj uspješnosti:</w:t>
      </w:r>
      <w:r w:rsidRPr="00180D7F">
        <w:rPr>
          <w:rFonts w:ascii="Arial" w:eastAsia="Times New Roman" w:hAnsi="Arial" w:cs="Arial"/>
          <w:sz w:val="24"/>
          <w:szCs w:val="24"/>
        </w:rPr>
        <w:t xml:space="preserve"> broj izrađenih elaborata.</w:t>
      </w:r>
    </w:p>
    <w:p w14:paraId="3D8CCFA1" w14:textId="77777777" w:rsidR="00E541EE" w:rsidRPr="00180D7F" w:rsidRDefault="00E541EE" w:rsidP="00E541EE">
      <w:pPr>
        <w:jc w:val="both"/>
        <w:rPr>
          <w:rFonts w:ascii="Arial" w:eastAsia="Times New Roman" w:hAnsi="Arial" w:cs="Arial"/>
          <w:sz w:val="24"/>
          <w:szCs w:val="24"/>
        </w:rPr>
      </w:pPr>
    </w:p>
    <w:p w14:paraId="5E062349" w14:textId="77777777" w:rsidR="00E541EE" w:rsidRPr="00180D7F"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sz w:val="24"/>
          <w:szCs w:val="24"/>
        </w:rPr>
      </w:pPr>
      <w:r w:rsidRPr="00180D7F">
        <w:rPr>
          <w:rFonts w:ascii="Arial" w:eastAsia="Times New Roman" w:hAnsi="Arial" w:cs="Arial"/>
          <w:b/>
          <w:sz w:val="24"/>
          <w:szCs w:val="24"/>
        </w:rPr>
        <w:t xml:space="preserve">A 101602: Geodetsko-katastarski poslovi = </w:t>
      </w:r>
      <w:r>
        <w:rPr>
          <w:rFonts w:ascii="Arial" w:eastAsia="Times New Roman" w:hAnsi="Arial" w:cs="Arial"/>
          <w:b/>
          <w:sz w:val="24"/>
          <w:szCs w:val="24"/>
        </w:rPr>
        <w:t>26.550</w:t>
      </w:r>
      <w:r w:rsidRPr="00180D7F">
        <w:rPr>
          <w:rFonts w:ascii="Arial" w:eastAsia="Times New Roman" w:hAnsi="Arial" w:cs="Arial"/>
          <w:b/>
          <w:sz w:val="24"/>
          <w:szCs w:val="24"/>
        </w:rPr>
        <w:t>,</w:t>
      </w:r>
      <w:r>
        <w:rPr>
          <w:rFonts w:ascii="Arial" w:eastAsia="Times New Roman" w:hAnsi="Arial" w:cs="Arial"/>
          <w:b/>
          <w:sz w:val="24"/>
          <w:szCs w:val="24"/>
        </w:rPr>
        <w:t>00 EUR</w:t>
      </w:r>
    </w:p>
    <w:p w14:paraId="2C849285" w14:textId="77777777" w:rsidR="00E541EE" w:rsidRPr="00180D7F" w:rsidRDefault="00E541EE" w:rsidP="00E541EE">
      <w:pPr>
        <w:jc w:val="both"/>
        <w:rPr>
          <w:rFonts w:ascii="Arial" w:eastAsia="Times New Roman" w:hAnsi="Arial" w:cs="Arial"/>
          <w:sz w:val="24"/>
          <w:szCs w:val="24"/>
        </w:rPr>
      </w:pPr>
      <w:r w:rsidRPr="00180D7F">
        <w:rPr>
          <w:rFonts w:ascii="Arial" w:eastAsia="Times New Roman" w:hAnsi="Arial" w:cs="Arial"/>
          <w:b/>
          <w:sz w:val="24"/>
          <w:szCs w:val="24"/>
        </w:rPr>
        <w:t>Zakonska osnova</w:t>
      </w:r>
      <w:r w:rsidRPr="00180D7F">
        <w:rPr>
          <w:rFonts w:ascii="Arial" w:eastAsia="Times New Roman" w:hAnsi="Arial" w:cs="Arial"/>
          <w:sz w:val="24"/>
          <w:szCs w:val="24"/>
        </w:rPr>
        <w:t>: Zakon o državnoj izmjeri i katastru nekretnina i provedbeni propisi</w:t>
      </w:r>
    </w:p>
    <w:p w14:paraId="74F5BA7A" w14:textId="77777777" w:rsidR="00E541EE" w:rsidRPr="00180D7F" w:rsidRDefault="00E541EE" w:rsidP="00E541EE">
      <w:pPr>
        <w:jc w:val="both"/>
        <w:rPr>
          <w:rFonts w:ascii="Arial" w:eastAsia="Times New Roman" w:hAnsi="Arial" w:cs="Arial"/>
          <w:sz w:val="24"/>
          <w:szCs w:val="24"/>
        </w:rPr>
      </w:pPr>
      <w:r w:rsidRPr="00180D7F">
        <w:rPr>
          <w:rFonts w:ascii="Arial" w:eastAsia="Times New Roman" w:hAnsi="Arial" w:cs="Arial"/>
          <w:b/>
          <w:sz w:val="24"/>
          <w:szCs w:val="24"/>
        </w:rPr>
        <w:t xml:space="preserve">Opis: </w:t>
      </w:r>
      <w:r w:rsidRPr="00180D7F">
        <w:rPr>
          <w:rFonts w:ascii="Arial" w:eastAsia="Times New Roman" w:hAnsi="Arial" w:cs="Arial"/>
          <w:sz w:val="24"/>
          <w:szCs w:val="24"/>
        </w:rPr>
        <w:t>ovim sredstvima financira  se izrada geodetskih elaborata za potrebe izvođenja objekata kao što su elaborati iskolčenja, iskolčenja projektiranih elemenata na terenu kao i izrada snimaka izvedenih objekata.</w:t>
      </w:r>
    </w:p>
    <w:p w14:paraId="11FFC313" w14:textId="77777777" w:rsidR="00E541EE" w:rsidRPr="00180D7F" w:rsidRDefault="00E541EE" w:rsidP="00E541EE">
      <w:pPr>
        <w:jc w:val="both"/>
        <w:rPr>
          <w:rFonts w:ascii="Arial" w:eastAsia="Times New Roman" w:hAnsi="Arial" w:cs="Arial"/>
          <w:sz w:val="24"/>
          <w:szCs w:val="24"/>
        </w:rPr>
      </w:pPr>
      <w:r w:rsidRPr="00180D7F">
        <w:rPr>
          <w:rFonts w:ascii="Arial" w:eastAsia="Times New Roman" w:hAnsi="Arial" w:cs="Arial"/>
          <w:b/>
          <w:sz w:val="24"/>
          <w:szCs w:val="24"/>
        </w:rPr>
        <w:t>Opći cilj:</w:t>
      </w:r>
      <w:r w:rsidRPr="00180D7F">
        <w:rPr>
          <w:rFonts w:ascii="Arial" w:eastAsia="Times New Roman" w:hAnsi="Arial" w:cs="Arial"/>
          <w:sz w:val="24"/>
          <w:szCs w:val="24"/>
        </w:rPr>
        <w:t xml:space="preserve"> gospodarenje nekretninama u (su)vlasništvu Grada Rovinja.</w:t>
      </w:r>
    </w:p>
    <w:p w14:paraId="1BEB60FC" w14:textId="77777777" w:rsidR="00E541EE" w:rsidRPr="00180D7F" w:rsidRDefault="00E541EE" w:rsidP="00E541EE">
      <w:pPr>
        <w:jc w:val="both"/>
        <w:rPr>
          <w:rFonts w:ascii="Arial" w:eastAsia="Times New Roman" w:hAnsi="Arial" w:cs="Arial"/>
          <w:sz w:val="24"/>
          <w:szCs w:val="24"/>
        </w:rPr>
      </w:pPr>
      <w:r w:rsidRPr="00180D7F">
        <w:rPr>
          <w:rFonts w:ascii="Arial" w:eastAsia="Times New Roman" w:hAnsi="Arial" w:cs="Arial"/>
          <w:b/>
          <w:sz w:val="24"/>
          <w:szCs w:val="24"/>
        </w:rPr>
        <w:t>Pokazatelj uspješnosti:</w:t>
      </w:r>
      <w:r w:rsidRPr="00180D7F">
        <w:rPr>
          <w:rFonts w:ascii="Arial" w:eastAsia="Times New Roman" w:hAnsi="Arial" w:cs="Arial"/>
          <w:sz w:val="24"/>
          <w:szCs w:val="24"/>
        </w:rPr>
        <w:t xml:space="preserve"> broj izrađenih elaborata.</w:t>
      </w:r>
    </w:p>
    <w:p w14:paraId="2FF4560D" w14:textId="77777777" w:rsidR="00E541EE" w:rsidRPr="00180D7F" w:rsidRDefault="00E541EE" w:rsidP="00E541EE">
      <w:pPr>
        <w:jc w:val="both"/>
        <w:rPr>
          <w:rFonts w:ascii="Arial" w:eastAsia="Times New Roman" w:hAnsi="Arial" w:cs="Arial"/>
          <w:sz w:val="24"/>
          <w:szCs w:val="24"/>
        </w:rPr>
      </w:pPr>
    </w:p>
    <w:p w14:paraId="4B95F488" w14:textId="77777777" w:rsidR="00E541EE" w:rsidRPr="00180D7F"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sz w:val="24"/>
          <w:szCs w:val="24"/>
        </w:rPr>
      </w:pPr>
      <w:r w:rsidRPr="00180D7F">
        <w:rPr>
          <w:rFonts w:ascii="Arial" w:eastAsia="Times New Roman" w:hAnsi="Arial" w:cs="Arial"/>
          <w:b/>
          <w:sz w:val="24"/>
          <w:szCs w:val="24"/>
        </w:rPr>
        <w:t xml:space="preserve">A 101603: Procjene i vještačenja = </w:t>
      </w:r>
      <w:r w:rsidRPr="002616A1">
        <w:rPr>
          <w:rFonts w:ascii="Arial" w:eastAsia="Times New Roman" w:hAnsi="Arial" w:cs="Arial"/>
          <w:b/>
          <w:sz w:val="24"/>
          <w:szCs w:val="24"/>
        </w:rPr>
        <w:t>62.640,00 EUR</w:t>
      </w:r>
    </w:p>
    <w:p w14:paraId="52D2EE01" w14:textId="77777777" w:rsidR="00E541EE" w:rsidRPr="00180D7F" w:rsidRDefault="00E541EE" w:rsidP="00E541EE">
      <w:pPr>
        <w:jc w:val="both"/>
        <w:rPr>
          <w:rFonts w:ascii="Arial" w:eastAsia="Times New Roman" w:hAnsi="Arial" w:cs="Arial"/>
          <w:sz w:val="24"/>
          <w:szCs w:val="24"/>
        </w:rPr>
      </w:pPr>
      <w:r w:rsidRPr="00180D7F">
        <w:rPr>
          <w:rFonts w:ascii="Arial" w:eastAsia="Times New Roman" w:hAnsi="Arial" w:cs="Arial"/>
          <w:b/>
          <w:sz w:val="24"/>
          <w:szCs w:val="24"/>
        </w:rPr>
        <w:t>Zakonska osnova</w:t>
      </w:r>
      <w:r w:rsidRPr="00180D7F">
        <w:rPr>
          <w:rFonts w:ascii="Arial" w:eastAsia="Times New Roman" w:hAnsi="Arial" w:cs="Arial"/>
          <w:sz w:val="24"/>
          <w:szCs w:val="24"/>
        </w:rPr>
        <w:t>: Zakon o vlasništvu i drugim stvarnim pravima, Zakon o lokalnoj i područnoj (regionalnoj) samoupravi i provedbeni propisi.</w:t>
      </w:r>
    </w:p>
    <w:p w14:paraId="01018C16" w14:textId="77777777" w:rsidR="00E541EE" w:rsidRPr="00180D7F" w:rsidRDefault="00E541EE" w:rsidP="00E541EE">
      <w:pPr>
        <w:jc w:val="both"/>
        <w:rPr>
          <w:rFonts w:ascii="Arial" w:eastAsia="Times New Roman" w:hAnsi="Arial" w:cs="Arial"/>
          <w:sz w:val="24"/>
          <w:szCs w:val="24"/>
        </w:rPr>
      </w:pPr>
      <w:r w:rsidRPr="00180D7F">
        <w:rPr>
          <w:rFonts w:ascii="Arial" w:eastAsia="Times New Roman" w:hAnsi="Arial" w:cs="Arial"/>
          <w:b/>
          <w:sz w:val="24"/>
          <w:szCs w:val="24"/>
        </w:rPr>
        <w:t xml:space="preserve">Opis: </w:t>
      </w:r>
      <w:r w:rsidRPr="00180D7F">
        <w:rPr>
          <w:rFonts w:ascii="Arial" w:eastAsia="Times New Roman" w:hAnsi="Arial" w:cs="Arial"/>
          <w:sz w:val="24"/>
          <w:szCs w:val="24"/>
        </w:rPr>
        <w:t>ovim sredstvima financira  se izrada idejnih rješenja, elaborata za etažiranje građevina, izrada elaborata za procjenu vrijednosti nekretnina u vlasništvu Grada, identifikacije nekretnina, izrada energetskih certifikata, vještačenja.</w:t>
      </w:r>
    </w:p>
    <w:p w14:paraId="3367D4CD" w14:textId="77777777" w:rsidR="00E541EE" w:rsidRPr="00180D7F" w:rsidRDefault="00E541EE" w:rsidP="00E541EE">
      <w:pPr>
        <w:jc w:val="both"/>
        <w:rPr>
          <w:rFonts w:ascii="Arial" w:eastAsia="Times New Roman" w:hAnsi="Arial" w:cs="Arial"/>
          <w:sz w:val="24"/>
          <w:szCs w:val="24"/>
        </w:rPr>
      </w:pPr>
      <w:r w:rsidRPr="00180D7F">
        <w:rPr>
          <w:rFonts w:ascii="Arial" w:eastAsia="Times New Roman" w:hAnsi="Arial" w:cs="Arial"/>
          <w:b/>
          <w:sz w:val="24"/>
          <w:szCs w:val="24"/>
        </w:rPr>
        <w:t>Opći cilj:</w:t>
      </w:r>
      <w:r w:rsidRPr="00180D7F">
        <w:rPr>
          <w:rFonts w:ascii="Arial" w:eastAsia="Times New Roman" w:hAnsi="Arial" w:cs="Arial"/>
          <w:sz w:val="24"/>
          <w:szCs w:val="24"/>
        </w:rPr>
        <w:t xml:space="preserve"> gospodarenje nekretninama u (su)vlasništvu Grada Rovinja.</w:t>
      </w:r>
    </w:p>
    <w:p w14:paraId="315B87C7" w14:textId="77777777" w:rsidR="00E541EE" w:rsidRPr="00180D7F" w:rsidRDefault="00E541EE" w:rsidP="00E541EE">
      <w:pPr>
        <w:jc w:val="both"/>
        <w:rPr>
          <w:rFonts w:ascii="Arial" w:eastAsia="Times New Roman" w:hAnsi="Arial" w:cs="Arial"/>
          <w:sz w:val="24"/>
          <w:szCs w:val="24"/>
        </w:rPr>
      </w:pPr>
      <w:r w:rsidRPr="00180D7F">
        <w:rPr>
          <w:rFonts w:ascii="Arial" w:eastAsia="Times New Roman" w:hAnsi="Arial" w:cs="Arial"/>
          <w:b/>
          <w:sz w:val="24"/>
          <w:szCs w:val="24"/>
        </w:rPr>
        <w:t>Pokazatelj uspješnosti:</w:t>
      </w:r>
      <w:r w:rsidRPr="00180D7F">
        <w:rPr>
          <w:rFonts w:ascii="Arial" w:eastAsia="Times New Roman" w:hAnsi="Arial" w:cs="Arial"/>
          <w:sz w:val="24"/>
          <w:szCs w:val="24"/>
        </w:rPr>
        <w:t xml:space="preserve"> broj izrađenih elaborata.</w:t>
      </w:r>
    </w:p>
    <w:p w14:paraId="1F74B154" w14:textId="77777777" w:rsidR="00E541EE" w:rsidRPr="00180D7F" w:rsidRDefault="00E541EE" w:rsidP="00E541EE">
      <w:pPr>
        <w:jc w:val="both"/>
        <w:rPr>
          <w:rFonts w:ascii="Arial" w:eastAsia="Times New Roman" w:hAnsi="Arial" w:cs="Arial"/>
          <w:sz w:val="24"/>
          <w:szCs w:val="24"/>
        </w:rPr>
      </w:pPr>
    </w:p>
    <w:p w14:paraId="5AC39F0B" w14:textId="77777777" w:rsidR="00E541EE" w:rsidRDefault="00E541EE" w:rsidP="00E541EE">
      <w:pPr>
        <w:pBdr>
          <w:top w:val="single" w:sz="4" w:space="1" w:color="auto"/>
          <w:left w:val="single" w:sz="4" w:space="4" w:color="auto"/>
          <w:bottom w:val="single" w:sz="4" w:space="1" w:color="auto"/>
          <w:right w:val="single" w:sz="4" w:space="4" w:color="auto"/>
        </w:pBdr>
        <w:shd w:val="clear" w:color="auto" w:fill="E9E9E9"/>
        <w:rPr>
          <w:rFonts w:ascii="Arial" w:eastAsia="Times New Roman" w:hAnsi="Arial" w:cs="Arial"/>
          <w:b/>
          <w:sz w:val="24"/>
          <w:szCs w:val="24"/>
        </w:rPr>
      </w:pPr>
      <w:r w:rsidRPr="00180D7F">
        <w:rPr>
          <w:rFonts w:ascii="Arial" w:eastAsia="Times New Roman" w:hAnsi="Arial" w:cs="Arial"/>
          <w:b/>
          <w:sz w:val="24"/>
          <w:szCs w:val="24"/>
        </w:rPr>
        <w:t xml:space="preserve">A 101604: Pričuva </w:t>
      </w:r>
      <w:r>
        <w:rPr>
          <w:rFonts w:ascii="Arial" w:eastAsia="Times New Roman" w:hAnsi="Arial" w:cs="Arial"/>
          <w:b/>
          <w:sz w:val="24"/>
          <w:szCs w:val="24"/>
        </w:rPr>
        <w:t xml:space="preserve">i režijski troškovi </w:t>
      </w:r>
      <w:r w:rsidRPr="00180D7F">
        <w:rPr>
          <w:rFonts w:ascii="Arial" w:eastAsia="Times New Roman" w:hAnsi="Arial" w:cs="Arial"/>
          <w:b/>
          <w:sz w:val="24"/>
          <w:szCs w:val="24"/>
        </w:rPr>
        <w:t xml:space="preserve">za </w:t>
      </w:r>
      <w:r>
        <w:rPr>
          <w:rFonts w:ascii="Arial" w:eastAsia="Times New Roman" w:hAnsi="Arial" w:cs="Arial"/>
          <w:b/>
          <w:sz w:val="24"/>
          <w:szCs w:val="24"/>
        </w:rPr>
        <w:t xml:space="preserve">objekte u vlasništvu Grada </w:t>
      </w:r>
    </w:p>
    <w:p w14:paraId="1DB9620C" w14:textId="77777777" w:rsidR="00E541EE" w:rsidRPr="002616A1" w:rsidRDefault="00E541EE" w:rsidP="00E541EE">
      <w:pPr>
        <w:pBdr>
          <w:top w:val="single" w:sz="4" w:space="1" w:color="auto"/>
          <w:left w:val="single" w:sz="4" w:space="4" w:color="auto"/>
          <w:bottom w:val="single" w:sz="4" w:space="1" w:color="auto"/>
          <w:right w:val="single" w:sz="4" w:space="4" w:color="auto"/>
        </w:pBdr>
        <w:shd w:val="clear" w:color="auto" w:fill="E9E9E9"/>
        <w:rPr>
          <w:rFonts w:ascii="Arial" w:eastAsia="Times New Roman" w:hAnsi="Arial" w:cs="Arial"/>
          <w:b/>
          <w:sz w:val="24"/>
          <w:szCs w:val="24"/>
        </w:rPr>
      </w:pPr>
      <w:r>
        <w:rPr>
          <w:rFonts w:ascii="Arial" w:eastAsia="Times New Roman" w:hAnsi="Arial" w:cs="Arial"/>
          <w:b/>
          <w:sz w:val="24"/>
          <w:szCs w:val="24"/>
        </w:rPr>
        <w:t>= 294.870</w:t>
      </w:r>
      <w:r w:rsidRPr="002616A1">
        <w:rPr>
          <w:rFonts w:ascii="Arial" w:eastAsia="Times New Roman" w:hAnsi="Arial" w:cs="Arial"/>
          <w:b/>
          <w:sz w:val="24"/>
          <w:szCs w:val="24"/>
        </w:rPr>
        <w:t>,00 EUR</w:t>
      </w:r>
    </w:p>
    <w:p w14:paraId="6BF31783" w14:textId="77777777" w:rsidR="00E541EE" w:rsidRPr="00180D7F" w:rsidRDefault="00E541EE" w:rsidP="00E541EE">
      <w:pPr>
        <w:jc w:val="both"/>
        <w:rPr>
          <w:rFonts w:ascii="Arial" w:eastAsia="Times New Roman" w:hAnsi="Arial" w:cs="Arial"/>
          <w:sz w:val="24"/>
          <w:szCs w:val="24"/>
        </w:rPr>
      </w:pPr>
      <w:r w:rsidRPr="002616A1">
        <w:rPr>
          <w:rFonts w:ascii="Arial" w:eastAsia="Times New Roman" w:hAnsi="Arial" w:cs="Arial"/>
          <w:b/>
          <w:sz w:val="24"/>
          <w:szCs w:val="24"/>
        </w:rPr>
        <w:t>Zakonska osno</w:t>
      </w:r>
      <w:r w:rsidRPr="00180D7F">
        <w:rPr>
          <w:rFonts w:ascii="Arial" w:eastAsia="Times New Roman" w:hAnsi="Arial" w:cs="Arial"/>
          <w:b/>
          <w:sz w:val="24"/>
          <w:szCs w:val="24"/>
        </w:rPr>
        <w:t>va</w:t>
      </w:r>
      <w:r w:rsidRPr="00180D7F">
        <w:rPr>
          <w:rFonts w:ascii="Arial" w:eastAsia="Times New Roman" w:hAnsi="Arial" w:cs="Arial"/>
          <w:sz w:val="24"/>
          <w:szCs w:val="24"/>
        </w:rPr>
        <w:t>: Zakon o vlasništvu i drugim stvarnim pravima.</w:t>
      </w:r>
    </w:p>
    <w:p w14:paraId="67D9DC6C" w14:textId="77777777" w:rsidR="00E541EE" w:rsidRPr="00180D7F" w:rsidRDefault="00E541EE" w:rsidP="00E541EE">
      <w:pPr>
        <w:jc w:val="both"/>
        <w:rPr>
          <w:rFonts w:ascii="Arial" w:eastAsia="Times New Roman" w:hAnsi="Arial" w:cs="Arial"/>
          <w:sz w:val="24"/>
          <w:szCs w:val="24"/>
        </w:rPr>
      </w:pPr>
      <w:r w:rsidRPr="00180D7F">
        <w:rPr>
          <w:rFonts w:ascii="Arial" w:eastAsia="Times New Roman" w:hAnsi="Arial" w:cs="Arial"/>
          <w:b/>
          <w:sz w:val="24"/>
          <w:szCs w:val="24"/>
        </w:rPr>
        <w:t xml:space="preserve">Opis: </w:t>
      </w:r>
      <w:r w:rsidRPr="00180D7F">
        <w:rPr>
          <w:rFonts w:ascii="Arial" w:eastAsia="Times New Roman" w:hAnsi="Arial" w:cs="Arial"/>
          <w:sz w:val="24"/>
          <w:szCs w:val="24"/>
        </w:rPr>
        <w:t xml:space="preserve">ovim sredstvima financira  se plaćanje mjesečnih računa za pričuvu </w:t>
      </w:r>
      <w:r>
        <w:rPr>
          <w:rFonts w:ascii="Arial" w:eastAsia="Times New Roman" w:hAnsi="Arial" w:cs="Arial"/>
          <w:sz w:val="24"/>
          <w:szCs w:val="24"/>
        </w:rPr>
        <w:t xml:space="preserve">i režijske troškova </w:t>
      </w:r>
      <w:r w:rsidRPr="00180D7F">
        <w:rPr>
          <w:rFonts w:ascii="Arial" w:eastAsia="Times New Roman" w:hAnsi="Arial" w:cs="Arial"/>
          <w:sz w:val="24"/>
          <w:szCs w:val="24"/>
        </w:rPr>
        <w:t>za objekte u (su)vlasništvu Grada.</w:t>
      </w:r>
    </w:p>
    <w:p w14:paraId="2BEA015D" w14:textId="77777777" w:rsidR="00E541EE" w:rsidRPr="00180D7F" w:rsidRDefault="00E541EE" w:rsidP="00E541EE">
      <w:pPr>
        <w:jc w:val="both"/>
        <w:rPr>
          <w:rFonts w:ascii="Arial" w:eastAsia="Times New Roman" w:hAnsi="Arial" w:cs="Arial"/>
          <w:sz w:val="24"/>
          <w:szCs w:val="24"/>
        </w:rPr>
      </w:pPr>
      <w:r w:rsidRPr="00180D7F">
        <w:rPr>
          <w:rFonts w:ascii="Arial" w:eastAsia="Times New Roman" w:hAnsi="Arial" w:cs="Arial"/>
          <w:b/>
          <w:sz w:val="24"/>
          <w:szCs w:val="24"/>
        </w:rPr>
        <w:t>Opći cilj:</w:t>
      </w:r>
      <w:r w:rsidRPr="00180D7F">
        <w:rPr>
          <w:rFonts w:ascii="Arial" w:eastAsia="Times New Roman" w:hAnsi="Arial" w:cs="Arial"/>
          <w:sz w:val="24"/>
          <w:szCs w:val="24"/>
        </w:rPr>
        <w:t xml:space="preserve"> gospodarenje nekretninama u (su)vlasništvu Grada Rovinja.</w:t>
      </w:r>
    </w:p>
    <w:p w14:paraId="4B43165D" w14:textId="77777777" w:rsidR="00E541EE" w:rsidRPr="00180D7F" w:rsidRDefault="00E541EE" w:rsidP="00E541EE">
      <w:pPr>
        <w:jc w:val="both"/>
        <w:rPr>
          <w:rFonts w:ascii="Arial" w:eastAsia="Times New Roman" w:hAnsi="Arial" w:cs="Arial"/>
          <w:sz w:val="24"/>
          <w:szCs w:val="24"/>
        </w:rPr>
      </w:pPr>
      <w:r w:rsidRPr="00180D7F">
        <w:rPr>
          <w:rFonts w:ascii="Arial" w:eastAsia="Times New Roman" w:hAnsi="Arial" w:cs="Arial"/>
          <w:b/>
          <w:sz w:val="24"/>
          <w:szCs w:val="24"/>
        </w:rPr>
        <w:t xml:space="preserve">Pokazatelj uspješnosti: </w:t>
      </w:r>
      <w:r w:rsidRPr="00180D7F">
        <w:rPr>
          <w:rFonts w:ascii="Arial" w:eastAsia="Times New Roman" w:hAnsi="Arial" w:cs="Arial"/>
          <w:sz w:val="24"/>
          <w:szCs w:val="24"/>
        </w:rPr>
        <w:t xml:space="preserve">plaćanje pričuve </w:t>
      </w:r>
      <w:r>
        <w:rPr>
          <w:rFonts w:ascii="Arial" w:eastAsia="Times New Roman" w:hAnsi="Arial" w:cs="Arial"/>
          <w:sz w:val="24"/>
          <w:szCs w:val="24"/>
        </w:rPr>
        <w:t xml:space="preserve">i režijskih troškova </w:t>
      </w:r>
      <w:r w:rsidRPr="00180D7F">
        <w:rPr>
          <w:rFonts w:ascii="Arial" w:eastAsia="Times New Roman" w:hAnsi="Arial" w:cs="Arial"/>
          <w:sz w:val="24"/>
          <w:szCs w:val="24"/>
        </w:rPr>
        <w:t>u roku dospijeća.</w:t>
      </w:r>
    </w:p>
    <w:p w14:paraId="67BDD5DC" w14:textId="77777777" w:rsidR="00E541EE" w:rsidRDefault="00E541EE" w:rsidP="00E541EE">
      <w:pPr>
        <w:jc w:val="both"/>
        <w:rPr>
          <w:rFonts w:ascii="Arial" w:eastAsia="Times New Roman" w:hAnsi="Arial" w:cs="Arial"/>
          <w:b/>
          <w:sz w:val="24"/>
          <w:szCs w:val="24"/>
        </w:rPr>
      </w:pPr>
    </w:p>
    <w:p w14:paraId="78C23E39" w14:textId="77777777" w:rsidR="00E541EE" w:rsidRPr="00180D7F" w:rsidRDefault="00E541EE" w:rsidP="00E541EE">
      <w:pPr>
        <w:jc w:val="both"/>
        <w:rPr>
          <w:rFonts w:ascii="Arial" w:eastAsia="Times New Roman" w:hAnsi="Arial" w:cs="Arial"/>
          <w:b/>
          <w:sz w:val="24"/>
          <w:szCs w:val="24"/>
        </w:rPr>
      </w:pPr>
    </w:p>
    <w:p w14:paraId="4EDA00B9" w14:textId="77777777" w:rsidR="00E541EE" w:rsidRPr="00180D7F"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sz w:val="24"/>
          <w:szCs w:val="24"/>
        </w:rPr>
      </w:pPr>
      <w:r w:rsidRPr="00180D7F">
        <w:rPr>
          <w:rFonts w:ascii="Arial" w:eastAsia="Times New Roman" w:hAnsi="Arial" w:cs="Arial"/>
          <w:b/>
          <w:sz w:val="24"/>
          <w:szCs w:val="24"/>
        </w:rPr>
        <w:t xml:space="preserve">A 101605: Naknada štete za oduzete nekretnine i nekretnine u sporu </w:t>
      </w:r>
    </w:p>
    <w:p w14:paraId="1C5AA854" w14:textId="77777777" w:rsidR="00E541EE" w:rsidRPr="00180D7F"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sz w:val="24"/>
          <w:szCs w:val="24"/>
        </w:rPr>
      </w:pPr>
      <w:r w:rsidRPr="00180D7F">
        <w:rPr>
          <w:rFonts w:ascii="Arial" w:eastAsia="Times New Roman" w:hAnsi="Arial" w:cs="Arial"/>
          <w:b/>
          <w:sz w:val="24"/>
          <w:szCs w:val="24"/>
        </w:rPr>
        <w:t xml:space="preserve">= </w:t>
      </w:r>
      <w:r>
        <w:rPr>
          <w:rFonts w:ascii="Arial" w:eastAsia="Times New Roman" w:hAnsi="Arial" w:cs="Arial"/>
          <w:b/>
          <w:sz w:val="24"/>
          <w:szCs w:val="24"/>
        </w:rPr>
        <w:t>306.784</w:t>
      </w:r>
      <w:r w:rsidRPr="00180D7F">
        <w:rPr>
          <w:rFonts w:ascii="Arial" w:eastAsia="Times New Roman" w:hAnsi="Arial" w:cs="Arial"/>
          <w:b/>
          <w:sz w:val="24"/>
          <w:szCs w:val="24"/>
        </w:rPr>
        <w:t>,</w:t>
      </w:r>
      <w:r>
        <w:rPr>
          <w:rFonts w:ascii="Arial" w:eastAsia="Times New Roman" w:hAnsi="Arial" w:cs="Arial"/>
          <w:b/>
          <w:sz w:val="24"/>
          <w:szCs w:val="24"/>
        </w:rPr>
        <w:t>00 EUR</w:t>
      </w:r>
    </w:p>
    <w:p w14:paraId="5CF8604D" w14:textId="77777777" w:rsidR="00E541EE" w:rsidRPr="00180D7F" w:rsidRDefault="00E541EE" w:rsidP="00E541EE">
      <w:pPr>
        <w:jc w:val="both"/>
        <w:rPr>
          <w:rFonts w:ascii="Arial" w:eastAsia="Times New Roman" w:hAnsi="Arial" w:cs="Arial"/>
          <w:sz w:val="24"/>
          <w:szCs w:val="24"/>
        </w:rPr>
      </w:pPr>
      <w:r w:rsidRPr="00180D7F">
        <w:rPr>
          <w:rFonts w:ascii="Arial" w:eastAsia="Times New Roman" w:hAnsi="Arial" w:cs="Arial"/>
          <w:b/>
          <w:sz w:val="24"/>
          <w:szCs w:val="24"/>
        </w:rPr>
        <w:t>Zakonska osnova</w:t>
      </w:r>
      <w:r w:rsidRPr="00180D7F">
        <w:rPr>
          <w:rFonts w:ascii="Arial" w:eastAsia="Times New Roman" w:hAnsi="Arial" w:cs="Arial"/>
          <w:sz w:val="24"/>
          <w:szCs w:val="24"/>
        </w:rPr>
        <w:t>: Zakon o vlasništvu i drugim stvarnim pravima, Zakon o lokalnoj i područnoj (regionalnoj) samoupravi i provedbeni propisi.</w:t>
      </w:r>
    </w:p>
    <w:p w14:paraId="3F93563F" w14:textId="77777777" w:rsidR="00E541EE" w:rsidRPr="00DA3345" w:rsidRDefault="00E541EE" w:rsidP="00E541EE">
      <w:pPr>
        <w:jc w:val="both"/>
        <w:rPr>
          <w:rFonts w:ascii="Arial" w:eastAsia="Times New Roman" w:hAnsi="Arial" w:cs="Arial"/>
          <w:sz w:val="24"/>
          <w:szCs w:val="24"/>
        </w:rPr>
      </w:pPr>
      <w:r w:rsidRPr="00180D7F">
        <w:rPr>
          <w:rFonts w:ascii="Arial" w:eastAsia="Times New Roman" w:hAnsi="Arial" w:cs="Arial"/>
          <w:b/>
          <w:sz w:val="24"/>
          <w:szCs w:val="24"/>
        </w:rPr>
        <w:t xml:space="preserve">Opis: </w:t>
      </w:r>
      <w:r w:rsidRPr="00180D7F">
        <w:rPr>
          <w:rFonts w:ascii="Arial" w:eastAsia="Times New Roman" w:hAnsi="Arial" w:cs="Arial"/>
          <w:sz w:val="24"/>
          <w:szCs w:val="24"/>
        </w:rPr>
        <w:t>ovim sredstvima financiraju se troškovi proizašli iz sudskih postupaka odnosno naknade š</w:t>
      </w:r>
      <w:r>
        <w:rPr>
          <w:rFonts w:ascii="Arial" w:eastAsia="Times New Roman" w:hAnsi="Arial" w:cs="Arial"/>
          <w:sz w:val="24"/>
          <w:szCs w:val="24"/>
        </w:rPr>
        <w:t>teta pravnim i fizičkim osobama</w:t>
      </w:r>
      <w:r w:rsidRPr="0099682F">
        <w:rPr>
          <w:rFonts w:ascii="Arial" w:eastAsia="Times New Roman" w:hAnsi="Arial" w:cs="Arial"/>
          <w:sz w:val="24"/>
          <w:szCs w:val="24"/>
        </w:rPr>
        <w:t xml:space="preserve"> </w:t>
      </w:r>
      <w:r w:rsidRPr="00DA3345">
        <w:rPr>
          <w:rFonts w:ascii="Arial" w:eastAsia="Times New Roman" w:hAnsi="Arial" w:cs="Arial"/>
          <w:sz w:val="24"/>
          <w:szCs w:val="24"/>
        </w:rPr>
        <w:t>te upravnih postupaka u kojima se utvrđuju naknade za eksproprijaciju.</w:t>
      </w:r>
    </w:p>
    <w:p w14:paraId="1260746C" w14:textId="77777777" w:rsidR="00E541EE" w:rsidRPr="00180D7F" w:rsidRDefault="00E541EE" w:rsidP="00E541EE">
      <w:pPr>
        <w:jc w:val="both"/>
        <w:rPr>
          <w:rFonts w:ascii="Arial" w:eastAsia="Times New Roman" w:hAnsi="Arial" w:cs="Arial"/>
          <w:sz w:val="24"/>
          <w:szCs w:val="24"/>
        </w:rPr>
      </w:pPr>
      <w:r w:rsidRPr="00180D7F">
        <w:rPr>
          <w:rFonts w:ascii="Arial" w:eastAsia="Times New Roman" w:hAnsi="Arial" w:cs="Arial"/>
          <w:b/>
          <w:sz w:val="24"/>
          <w:szCs w:val="24"/>
        </w:rPr>
        <w:t>Opći cilj:</w:t>
      </w:r>
      <w:r w:rsidRPr="00180D7F">
        <w:rPr>
          <w:rFonts w:ascii="Arial" w:eastAsia="Times New Roman" w:hAnsi="Arial" w:cs="Arial"/>
          <w:sz w:val="24"/>
          <w:szCs w:val="24"/>
        </w:rPr>
        <w:t xml:space="preserve"> gospodarenje nekretninama u (su)vlasništvu Grada Rovinja.</w:t>
      </w:r>
    </w:p>
    <w:p w14:paraId="195F1C4B" w14:textId="77777777" w:rsidR="00E541EE" w:rsidRPr="00180D7F" w:rsidRDefault="00E541EE" w:rsidP="00E541EE">
      <w:pPr>
        <w:jc w:val="both"/>
        <w:rPr>
          <w:rFonts w:ascii="Arial" w:eastAsia="Times New Roman" w:hAnsi="Arial" w:cs="Arial"/>
          <w:sz w:val="24"/>
          <w:szCs w:val="24"/>
        </w:rPr>
      </w:pPr>
      <w:r w:rsidRPr="00180D7F">
        <w:rPr>
          <w:rFonts w:ascii="Arial" w:eastAsia="Times New Roman" w:hAnsi="Arial" w:cs="Arial"/>
          <w:b/>
          <w:sz w:val="24"/>
          <w:szCs w:val="24"/>
        </w:rPr>
        <w:t>Pokazatelj uspješnosti:</w:t>
      </w:r>
      <w:r w:rsidRPr="00180D7F">
        <w:rPr>
          <w:rFonts w:ascii="Arial" w:eastAsia="Times New Roman" w:hAnsi="Arial" w:cs="Arial"/>
          <w:sz w:val="24"/>
          <w:szCs w:val="24"/>
        </w:rPr>
        <w:t xml:space="preserve"> plaćanje troškova i naknade šteta u zadanim rokovima.</w:t>
      </w:r>
    </w:p>
    <w:p w14:paraId="70CD208A" w14:textId="77777777" w:rsidR="00E541EE" w:rsidRPr="00180D7F" w:rsidRDefault="00E541EE" w:rsidP="00E541EE">
      <w:pPr>
        <w:jc w:val="both"/>
        <w:rPr>
          <w:rFonts w:ascii="Arial" w:eastAsia="Times New Roman" w:hAnsi="Arial" w:cs="Arial"/>
          <w:sz w:val="24"/>
          <w:szCs w:val="24"/>
        </w:rPr>
      </w:pPr>
    </w:p>
    <w:p w14:paraId="08665049" w14:textId="77777777" w:rsidR="00E541EE" w:rsidRPr="00180D7F" w:rsidRDefault="00E541EE" w:rsidP="00E541EE">
      <w:pPr>
        <w:pBdr>
          <w:top w:val="single" w:sz="4" w:space="1" w:color="auto"/>
          <w:left w:val="single" w:sz="4" w:space="4" w:color="auto"/>
          <w:bottom w:val="single" w:sz="4" w:space="1" w:color="auto"/>
          <w:right w:val="single" w:sz="4" w:space="4" w:color="auto"/>
        </w:pBdr>
        <w:shd w:val="clear" w:color="auto" w:fill="FFFF80"/>
        <w:jc w:val="both"/>
        <w:rPr>
          <w:rFonts w:ascii="Arial" w:eastAsia="Times New Roman" w:hAnsi="Arial" w:cs="Arial"/>
          <w:b/>
          <w:sz w:val="24"/>
          <w:szCs w:val="24"/>
        </w:rPr>
      </w:pPr>
      <w:r w:rsidRPr="00180D7F">
        <w:rPr>
          <w:rFonts w:ascii="Arial" w:eastAsia="Times New Roman" w:hAnsi="Arial" w:cs="Arial"/>
          <w:b/>
          <w:sz w:val="24"/>
          <w:szCs w:val="24"/>
        </w:rPr>
        <w:t>P 1017 Program: R</w:t>
      </w:r>
      <w:r>
        <w:rPr>
          <w:rFonts w:ascii="Arial" w:eastAsia="Times New Roman" w:hAnsi="Arial" w:cs="Arial"/>
          <w:b/>
          <w:sz w:val="24"/>
          <w:szCs w:val="24"/>
        </w:rPr>
        <w:t xml:space="preserve">aspolaganje poljoprivrednim zemljištem = </w:t>
      </w:r>
      <w:r w:rsidRPr="002616A1">
        <w:rPr>
          <w:rFonts w:ascii="Arial" w:eastAsia="Times New Roman" w:hAnsi="Arial" w:cs="Arial"/>
          <w:b/>
          <w:sz w:val="24"/>
          <w:szCs w:val="24"/>
        </w:rPr>
        <w:t>30.000,00 EUR</w:t>
      </w:r>
    </w:p>
    <w:p w14:paraId="5822C7A0" w14:textId="77777777" w:rsidR="00E541EE" w:rsidRPr="00180D7F" w:rsidRDefault="00E541EE" w:rsidP="00E541EE">
      <w:pPr>
        <w:jc w:val="both"/>
        <w:rPr>
          <w:rFonts w:ascii="Arial" w:eastAsia="Times New Roman" w:hAnsi="Arial" w:cs="Arial"/>
          <w:sz w:val="24"/>
          <w:szCs w:val="24"/>
        </w:rPr>
      </w:pPr>
    </w:p>
    <w:p w14:paraId="49512D6D" w14:textId="77777777" w:rsidR="00E541EE" w:rsidRPr="002616A1" w:rsidRDefault="00E541EE" w:rsidP="00E541EE">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eastAsia="Times New Roman" w:hAnsi="Arial" w:cs="Arial"/>
          <w:b/>
          <w:sz w:val="24"/>
          <w:szCs w:val="24"/>
        </w:rPr>
      </w:pPr>
      <w:r w:rsidRPr="00180D7F">
        <w:rPr>
          <w:rFonts w:ascii="Arial" w:eastAsia="Times New Roman" w:hAnsi="Arial" w:cs="Arial"/>
          <w:b/>
          <w:sz w:val="24"/>
          <w:szCs w:val="24"/>
        </w:rPr>
        <w:t>A 101701: P</w:t>
      </w:r>
      <w:r>
        <w:rPr>
          <w:rFonts w:ascii="Arial" w:eastAsia="Times New Roman" w:hAnsi="Arial" w:cs="Arial"/>
          <w:b/>
          <w:sz w:val="24"/>
          <w:szCs w:val="24"/>
        </w:rPr>
        <w:t xml:space="preserve">riprema i provođenje natječaja  za dodjelu poljoprivrednog zemljišta u zakup = </w:t>
      </w:r>
      <w:r w:rsidRPr="002616A1">
        <w:rPr>
          <w:rFonts w:ascii="Arial" w:eastAsia="Times New Roman" w:hAnsi="Arial" w:cs="Arial"/>
          <w:b/>
          <w:sz w:val="24"/>
          <w:szCs w:val="24"/>
        </w:rPr>
        <w:t>30.000,00 EUR</w:t>
      </w:r>
    </w:p>
    <w:p w14:paraId="4A488271" w14:textId="77777777" w:rsidR="00E541EE" w:rsidRPr="00180D7F" w:rsidRDefault="00E541EE" w:rsidP="00E541EE">
      <w:pPr>
        <w:jc w:val="both"/>
        <w:rPr>
          <w:rFonts w:ascii="Arial" w:eastAsia="Times New Roman" w:hAnsi="Arial" w:cs="Arial"/>
          <w:sz w:val="24"/>
          <w:szCs w:val="24"/>
        </w:rPr>
      </w:pPr>
      <w:r w:rsidRPr="00180D7F">
        <w:rPr>
          <w:rFonts w:ascii="Arial" w:eastAsia="Times New Roman" w:hAnsi="Arial" w:cs="Arial"/>
          <w:b/>
          <w:sz w:val="24"/>
          <w:szCs w:val="24"/>
        </w:rPr>
        <w:t>Zakonska osnova:</w:t>
      </w:r>
      <w:r w:rsidRPr="00180D7F">
        <w:rPr>
          <w:rFonts w:ascii="Arial" w:eastAsia="Times New Roman" w:hAnsi="Arial" w:cs="Arial"/>
          <w:sz w:val="24"/>
          <w:szCs w:val="24"/>
        </w:rPr>
        <w:t xml:space="preserve"> Zakon o poljoprivrednom zemljištu i provedbeni propisi, Odluka o davanju u zakup poljoprivrednog zemljišta u vlasništvu Grada Rovinja-Rovigno.</w:t>
      </w:r>
    </w:p>
    <w:p w14:paraId="5AC10CB4" w14:textId="77777777" w:rsidR="00E541EE" w:rsidRPr="00180D7F" w:rsidRDefault="00E541EE" w:rsidP="00E541EE">
      <w:pPr>
        <w:jc w:val="both"/>
        <w:rPr>
          <w:rFonts w:ascii="Arial" w:eastAsia="Times New Roman" w:hAnsi="Arial" w:cs="Arial"/>
          <w:sz w:val="24"/>
          <w:szCs w:val="24"/>
        </w:rPr>
      </w:pPr>
      <w:r w:rsidRPr="00180D7F">
        <w:rPr>
          <w:rFonts w:ascii="Arial" w:eastAsia="Times New Roman" w:hAnsi="Arial" w:cs="Arial"/>
          <w:b/>
          <w:sz w:val="24"/>
          <w:szCs w:val="24"/>
        </w:rPr>
        <w:t>Opis:</w:t>
      </w:r>
      <w:r w:rsidRPr="00180D7F">
        <w:rPr>
          <w:rFonts w:ascii="Arial" w:eastAsia="Times New Roman" w:hAnsi="Arial" w:cs="Arial"/>
          <w:sz w:val="24"/>
          <w:szCs w:val="24"/>
        </w:rPr>
        <w:t xml:space="preserve"> za poslove na pripremi i provođenju natječaja za potrebe dodjele državnog i gradskog poljoprivrednog zemljišta u zakup</w:t>
      </w:r>
      <w:r>
        <w:rPr>
          <w:rFonts w:ascii="Arial" w:eastAsia="Times New Roman" w:hAnsi="Arial" w:cs="Arial"/>
          <w:sz w:val="24"/>
          <w:szCs w:val="24"/>
        </w:rPr>
        <w:t xml:space="preserve"> te za procjene vrijednosti nasada</w:t>
      </w:r>
      <w:r w:rsidRPr="00180D7F">
        <w:rPr>
          <w:rFonts w:ascii="Arial" w:eastAsia="Times New Roman" w:hAnsi="Arial" w:cs="Arial"/>
          <w:sz w:val="24"/>
          <w:szCs w:val="24"/>
        </w:rPr>
        <w:t>.</w:t>
      </w:r>
    </w:p>
    <w:p w14:paraId="3B11458F" w14:textId="77777777" w:rsidR="00E541EE" w:rsidRPr="00180D7F" w:rsidRDefault="00E541EE" w:rsidP="00E541EE">
      <w:pPr>
        <w:jc w:val="both"/>
        <w:rPr>
          <w:rFonts w:ascii="Arial" w:eastAsia="Times New Roman" w:hAnsi="Arial" w:cs="Arial"/>
          <w:sz w:val="24"/>
          <w:szCs w:val="24"/>
        </w:rPr>
      </w:pPr>
      <w:r w:rsidRPr="00180D7F">
        <w:rPr>
          <w:rFonts w:ascii="Arial" w:eastAsia="Times New Roman" w:hAnsi="Arial" w:cs="Arial"/>
          <w:b/>
          <w:sz w:val="24"/>
          <w:szCs w:val="24"/>
        </w:rPr>
        <w:t>Opći cilj:</w:t>
      </w:r>
      <w:r w:rsidRPr="00180D7F">
        <w:rPr>
          <w:rFonts w:ascii="Arial" w:eastAsia="Times New Roman" w:hAnsi="Arial" w:cs="Arial"/>
          <w:sz w:val="24"/>
          <w:szCs w:val="24"/>
        </w:rPr>
        <w:t xml:space="preserve"> davanje u zakup državnog i gradskog poljoprivrednog zemljišta.</w:t>
      </w:r>
    </w:p>
    <w:p w14:paraId="20A65592" w14:textId="77777777" w:rsidR="00E541EE" w:rsidRPr="00180D7F" w:rsidRDefault="00E541EE" w:rsidP="00E541EE">
      <w:pPr>
        <w:jc w:val="both"/>
        <w:rPr>
          <w:rFonts w:ascii="Arial" w:eastAsia="Times New Roman" w:hAnsi="Arial" w:cs="Arial"/>
          <w:sz w:val="24"/>
          <w:szCs w:val="24"/>
        </w:rPr>
      </w:pPr>
      <w:r w:rsidRPr="00180D7F">
        <w:rPr>
          <w:rFonts w:ascii="Arial" w:eastAsia="Times New Roman" w:hAnsi="Arial" w:cs="Arial"/>
          <w:b/>
          <w:sz w:val="24"/>
          <w:szCs w:val="24"/>
        </w:rPr>
        <w:t>Poseban cilj:</w:t>
      </w:r>
      <w:r w:rsidRPr="00180D7F">
        <w:rPr>
          <w:rFonts w:ascii="Arial" w:eastAsia="Times New Roman" w:hAnsi="Arial" w:cs="Arial"/>
          <w:sz w:val="24"/>
          <w:szCs w:val="24"/>
        </w:rPr>
        <w:t xml:space="preserve"> aktiviranje neobrađenog poljoprivrednog zemljišta, zadovoljstvo zakupaca.</w:t>
      </w:r>
    </w:p>
    <w:p w14:paraId="282D749E" w14:textId="77777777" w:rsidR="00E541EE" w:rsidRPr="00180D7F" w:rsidRDefault="00E541EE" w:rsidP="00E541EE">
      <w:pPr>
        <w:jc w:val="both"/>
        <w:rPr>
          <w:rFonts w:ascii="Arial" w:eastAsia="Times New Roman" w:hAnsi="Arial" w:cs="Arial"/>
          <w:sz w:val="24"/>
          <w:szCs w:val="24"/>
        </w:rPr>
      </w:pPr>
      <w:r w:rsidRPr="00180D7F">
        <w:rPr>
          <w:rFonts w:ascii="Arial" w:eastAsia="Times New Roman" w:hAnsi="Arial" w:cs="Arial"/>
          <w:b/>
          <w:sz w:val="24"/>
          <w:szCs w:val="24"/>
        </w:rPr>
        <w:t>Pokazatelj uspješnosti:</w:t>
      </w:r>
      <w:r w:rsidRPr="00180D7F">
        <w:rPr>
          <w:rFonts w:ascii="Arial" w:eastAsia="Times New Roman" w:hAnsi="Arial" w:cs="Arial"/>
          <w:sz w:val="24"/>
          <w:szCs w:val="24"/>
        </w:rPr>
        <w:t xml:space="preserve"> broj sklopljenih ugovora o zakupu za nove poljoprivredne površine.</w:t>
      </w:r>
    </w:p>
    <w:p w14:paraId="72DF9C2D" w14:textId="77777777" w:rsidR="00E541EE" w:rsidRPr="00180D7F" w:rsidRDefault="00E541EE" w:rsidP="00E541EE">
      <w:pPr>
        <w:jc w:val="both"/>
        <w:rPr>
          <w:rFonts w:ascii="Arial" w:eastAsia="Times New Roman" w:hAnsi="Arial" w:cs="Arial"/>
          <w:sz w:val="24"/>
          <w:szCs w:val="24"/>
        </w:rPr>
      </w:pPr>
    </w:p>
    <w:p w14:paraId="07774ED5" w14:textId="77777777" w:rsidR="00E541EE" w:rsidRDefault="00E541EE" w:rsidP="00E541EE">
      <w:pPr>
        <w:pBdr>
          <w:top w:val="single" w:sz="4" w:space="1" w:color="auto"/>
          <w:left w:val="single" w:sz="4" w:space="4" w:color="auto"/>
          <w:bottom w:val="single" w:sz="4" w:space="1" w:color="auto"/>
          <w:right w:val="single" w:sz="4" w:space="4" w:color="auto"/>
        </w:pBdr>
        <w:shd w:val="clear" w:color="auto" w:fill="FFFF80"/>
        <w:jc w:val="both"/>
        <w:rPr>
          <w:rFonts w:ascii="Arial" w:eastAsia="Times New Roman" w:hAnsi="Arial" w:cs="Arial"/>
          <w:b/>
          <w:sz w:val="24"/>
          <w:szCs w:val="24"/>
        </w:rPr>
      </w:pPr>
      <w:r w:rsidRPr="00180D7F">
        <w:rPr>
          <w:rFonts w:ascii="Arial" w:eastAsia="Times New Roman" w:hAnsi="Arial" w:cs="Arial"/>
          <w:b/>
          <w:sz w:val="24"/>
          <w:szCs w:val="24"/>
        </w:rPr>
        <w:t>Program 1018: I</w:t>
      </w:r>
      <w:r>
        <w:rPr>
          <w:rFonts w:ascii="Arial" w:eastAsia="Times New Roman" w:hAnsi="Arial" w:cs="Arial"/>
          <w:b/>
          <w:sz w:val="24"/>
          <w:szCs w:val="24"/>
        </w:rPr>
        <w:t xml:space="preserve">movinski-pravni odnosi vezani za izgradnju i uređenje </w:t>
      </w:r>
    </w:p>
    <w:p w14:paraId="0717E4D3" w14:textId="7C91E759" w:rsidR="00E541EE" w:rsidRPr="00180D7F" w:rsidRDefault="00E541EE" w:rsidP="00E541EE">
      <w:pPr>
        <w:pBdr>
          <w:top w:val="single" w:sz="4" w:space="1" w:color="auto"/>
          <w:left w:val="single" w:sz="4" w:space="4" w:color="auto"/>
          <w:bottom w:val="single" w:sz="4" w:space="1" w:color="auto"/>
          <w:right w:val="single" w:sz="4" w:space="4" w:color="auto"/>
        </w:pBdr>
        <w:shd w:val="clear" w:color="auto" w:fill="FFFF80"/>
        <w:jc w:val="both"/>
        <w:rPr>
          <w:rFonts w:ascii="Arial" w:eastAsia="Times New Roman" w:hAnsi="Arial" w:cs="Arial"/>
          <w:b/>
          <w:sz w:val="24"/>
          <w:szCs w:val="24"/>
        </w:rPr>
      </w:pPr>
      <w:r w:rsidRPr="00180D7F">
        <w:rPr>
          <w:rFonts w:ascii="Arial" w:eastAsia="Times New Roman" w:hAnsi="Arial" w:cs="Arial"/>
          <w:b/>
          <w:sz w:val="24"/>
          <w:szCs w:val="24"/>
        </w:rPr>
        <w:t xml:space="preserve">= </w:t>
      </w:r>
      <w:r>
        <w:rPr>
          <w:rFonts w:ascii="Arial" w:eastAsia="Times New Roman" w:hAnsi="Arial" w:cs="Arial"/>
          <w:b/>
          <w:sz w:val="24"/>
          <w:szCs w:val="24"/>
        </w:rPr>
        <w:t>1.</w:t>
      </w:r>
      <w:r w:rsidR="00F36433">
        <w:rPr>
          <w:rFonts w:ascii="Arial" w:eastAsia="Times New Roman" w:hAnsi="Arial" w:cs="Arial"/>
          <w:b/>
          <w:sz w:val="24"/>
          <w:szCs w:val="24"/>
        </w:rPr>
        <w:t>334.966,00</w:t>
      </w:r>
      <w:r>
        <w:rPr>
          <w:rFonts w:ascii="Arial" w:eastAsia="Times New Roman" w:hAnsi="Arial" w:cs="Arial"/>
          <w:b/>
          <w:sz w:val="24"/>
          <w:szCs w:val="24"/>
        </w:rPr>
        <w:t xml:space="preserve"> EUR</w:t>
      </w:r>
    </w:p>
    <w:p w14:paraId="3AB222E8" w14:textId="77777777" w:rsidR="00E541EE" w:rsidRPr="00180D7F" w:rsidRDefault="00E541EE" w:rsidP="00E541EE">
      <w:pPr>
        <w:jc w:val="both"/>
        <w:rPr>
          <w:rFonts w:ascii="Arial" w:eastAsia="Times New Roman" w:hAnsi="Arial" w:cs="Arial"/>
          <w:sz w:val="24"/>
          <w:szCs w:val="24"/>
        </w:rPr>
      </w:pPr>
    </w:p>
    <w:p w14:paraId="5EF1F738" w14:textId="77777777" w:rsidR="00E541EE" w:rsidRDefault="00E541EE" w:rsidP="00E541EE">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eastAsia="Times New Roman" w:hAnsi="Arial" w:cs="Arial"/>
          <w:b/>
          <w:sz w:val="24"/>
          <w:szCs w:val="24"/>
        </w:rPr>
      </w:pPr>
      <w:r w:rsidRPr="0099682F">
        <w:rPr>
          <w:rFonts w:ascii="Arial" w:eastAsia="Times New Roman" w:hAnsi="Arial" w:cs="Arial"/>
          <w:b/>
          <w:sz w:val="24"/>
          <w:szCs w:val="24"/>
        </w:rPr>
        <w:t>K 101801</w:t>
      </w:r>
      <w:r w:rsidRPr="00180D7F">
        <w:rPr>
          <w:rFonts w:ascii="Arial" w:eastAsia="Times New Roman" w:hAnsi="Arial" w:cs="Arial"/>
          <w:b/>
          <w:sz w:val="24"/>
          <w:szCs w:val="24"/>
        </w:rPr>
        <w:t>: Pribavljanje građevinskog zemljišta za potrebe Grada</w:t>
      </w:r>
      <w:r>
        <w:rPr>
          <w:rFonts w:ascii="Arial" w:eastAsia="Times New Roman" w:hAnsi="Arial" w:cs="Arial"/>
          <w:b/>
          <w:sz w:val="24"/>
          <w:szCs w:val="24"/>
        </w:rPr>
        <w:t xml:space="preserve"> </w:t>
      </w:r>
    </w:p>
    <w:p w14:paraId="03A6107D" w14:textId="77777777" w:rsidR="00E541EE" w:rsidRPr="00180D7F" w:rsidRDefault="00E541EE" w:rsidP="00E541EE">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eastAsia="Times New Roman" w:hAnsi="Arial" w:cs="Arial"/>
          <w:b/>
          <w:sz w:val="24"/>
          <w:szCs w:val="24"/>
        </w:rPr>
      </w:pPr>
      <w:r w:rsidRPr="00180D7F">
        <w:rPr>
          <w:rFonts w:ascii="Arial" w:eastAsia="Times New Roman" w:hAnsi="Arial" w:cs="Arial"/>
          <w:b/>
          <w:sz w:val="24"/>
          <w:szCs w:val="24"/>
        </w:rPr>
        <w:t>=</w:t>
      </w:r>
      <w:r>
        <w:rPr>
          <w:rFonts w:ascii="Arial" w:eastAsia="Times New Roman" w:hAnsi="Arial" w:cs="Arial"/>
          <w:b/>
          <w:sz w:val="24"/>
          <w:szCs w:val="24"/>
        </w:rPr>
        <w:t xml:space="preserve"> 265.450</w:t>
      </w:r>
      <w:r w:rsidRPr="00180D7F">
        <w:rPr>
          <w:rFonts w:ascii="Arial" w:eastAsia="Times New Roman" w:hAnsi="Arial" w:cs="Arial"/>
          <w:b/>
          <w:sz w:val="24"/>
          <w:szCs w:val="24"/>
        </w:rPr>
        <w:t>,</w:t>
      </w:r>
      <w:r>
        <w:rPr>
          <w:rFonts w:ascii="Arial" w:eastAsia="Times New Roman" w:hAnsi="Arial" w:cs="Arial"/>
          <w:b/>
          <w:sz w:val="24"/>
          <w:szCs w:val="24"/>
        </w:rPr>
        <w:t>00 EUR</w:t>
      </w:r>
    </w:p>
    <w:p w14:paraId="14D34987" w14:textId="77777777" w:rsidR="00E541EE" w:rsidRPr="00180D7F" w:rsidRDefault="00E541EE" w:rsidP="00E541EE">
      <w:pPr>
        <w:jc w:val="both"/>
        <w:rPr>
          <w:rFonts w:ascii="Arial" w:eastAsia="Times New Roman" w:hAnsi="Arial" w:cs="Arial"/>
          <w:sz w:val="24"/>
          <w:szCs w:val="24"/>
        </w:rPr>
      </w:pPr>
      <w:r w:rsidRPr="00180D7F">
        <w:rPr>
          <w:rFonts w:ascii="Arial" w:eastAsia="Times New Roman" w:hAnsi="Arial" w:cs="Arial"/>
          <w:b/>
          <w:sz w:val="24"/>
          <w:szCs w:val="24"/>
        </w:rPr>
        <w:t>Zakonska osnova:</w:t>
      </w:r>
      <w:r w:rsidRPr="00180D7F">
        <w:rPr>
          <w:rFonts w:ascii="Arial" w:eastAsia="Times New Roman" w:hAnsi="Arial" w:cs="Arial"/>
          <w:sz w:val="24"/>
          <w:szCs w:val="24"/>
        </w:rPr>
        <w:t xml:space="preserve"> Zakon o vlasništvu i drugim stvarnim pravima, Zakon o izvlaštenju i određivanju naknade.</w:t>
      </w:r>
    </w:p>
    <w:p w14:paraId="08B889C7" w14:textId="77777777" w:rsidR="00E541EE" w:rsidRPr="00180D7F" w:rsidRDefault="00E541EE" w:rsidP="00E541EE">
      <w:pPr>
        <w:jc w:val="both"/>
        <w:rPr>
          <w:rFonts w:ascii="Arial" w:eastAsia="Times New Roman" w:hAnsi="Arial" w:cs="Arial"/>
          <w:sz w:val="24"/>
          <w:szCs w:val="24"/>
        </w:rPr>
      </w:pPr>
      <w:r w:rsidRPr="00180D7F">
        <w:rPr>
          <w:rFonts w:ascii="Arial" w:eastAsia="Times New Roman" w:hAnsi="Arial" w:cs="Arial"/>
          <w:b/>
          <w:sz w:val="24"/>
          <w:szCs w:val="24"/>
        </w:rPr>
        <w:t xml:space="preserve">Opis: </w:t>
      </w:r>
      <w:r w:rsidRPr="00180D7F">
        <w:rPr>
          <w:rFonts w:ascii="Arial" w:eastAsia="Times New Roman" w:hAnsi="Arial" w:cs="Arial"/>
          <w:sz w:val="24"/>
          <w:szCs w:val="24"/>
        </w:rPr>
        <w:t>ovim sredstvima financiraju se otkupi prometnica ili drugih nekretnina od interesa za Grad Rovinj-Rovigno.</w:t>
      </w:r>
    </w:p>
    <w:p w14:paraId="2A8A4095" w14:textId="77777777" w:rsidR="00E541EE" w:rsidRPr="00180D7F" w:rsidRDefault="00E541EE" w:rsidP="00E541EE">
      <w:pPr>
        <w:jc w:val="both"/>
        <w:rPr>
          <w:rFonts w:ascii="Arial" w:eastAsia="Times New Roman" w:hAnsi="Arial" w:cs="Arial"/>
          <w:sz w:val="24"/>
          <w:szCs w:val="24"/>
        </w:rPr>
      </w:pPr>
      <w:r w:rsidRPr="00180D7F">
        <w:rPr>
          <w:rFonts w:ascii="Arial" w:eastAsia="Times New Roman" w:hAnsi="Arial" w:cs="Arial"/>
          <w:b/>
          <w:sz w:val="24"/>
          <w:szCs w:val="24"/>
        </w:rPr>
        <w:t>Opći cilj:</w:t>
      </w:r>
      <w:r w:rsidRPr="00180D7F">
        <w:rPr>
          <w:rFonts w:ascii="Arial" w:eastAsia="Times New Roman" w:hAnsi="Arial" w:cs="Arial"/>
          <w:sz w:val="24"/>
          <w:szCs w:val="24"/>
        </w:rPr>
        <w:t xml:space="preserve"> sporazumno rješavanje imovinsko-pravnih odnosa ili rješavanje imovinsko-pravnih odnosa pred upravnim tijelima Istarske županije u postupcima izvlaštenja.</w:t>
      </w:r>
    </w:p>
    <w:p w14:paraId="14DC4AD4" w14:textId="77777777" w:rsidR="00E541EE" w:rsidRPr="00180D7F" w:rsidRDefault="00E541EE" w:rsidP="00E541EE">
      <w:pPr>
        <w:jc w:val="both"/>
        <w:rPr>
          <w:rFonts w:ascii="Arial" w:eastAsia="Times New Roman" w:hAnsi="Arial" w:cs="Arial"/>
          <w:sz w:val="24"/>
          <w:szCs w:val="24"/>
        </w:rPr>
      </w:pPr>
      <w:r w:rsidRPr="00180D7F">
        <w:rPr>
          <w:rFonts w:ascii="Arial" w:eastAsia="Times New Roman" w:hAnsi="Arial" w:cs="Arial"/>
          <w:sz w:val="24"/>
          <w:szCs w:val="24"/>
        </w:rPr>
        <w:t>Planiraju se nova rješavanja imovinsko-pravnih odnosa za otkup prometnica te je potrebno osigurati isplatu za ugovore sklopljene uz obročno plaćanje.</w:t>
      </w:r>
    </w:p>
    <w:p w14:paraId="622F716B" w14:textId="77777777" w:rsidR="00E541EE" w:rsidRPr="00180D7F" w:rsidRDefault="00E541EE" w:rsidP="00E541EE">
      <w:pPr>
        <w:jc w:val="both"/>
        <w:rPr>
          <w:rFonts w:ascii="Arial" w:eastAsia="Times New Roman" w:hAnsi="Arial" w:cs="Arial"/>
          <w:sz w:val="24"/>
          <w:szCs w:val="24"/>
        </w:rPr>
      </w:pPr>
      <w:r w:rsidRPr="00180D7F">
        <w:rPr>
          <w:rFonts w:ascii="Arial" w:eastAsia="Times New Roman" w:hAnsi="Arial" w:cs="Arial"/>
          <w:b/>
          <w:sz w:val="24"/>
          <w:szCs w:val="24"/>
        </w:rPr>
        <w:t>Poseban cilj:</w:t>
      </w:r>
      <w:r w:rsidRPr="00180D7F">
        <w:rPr>
          <w:rFonts w:ascii="Arial" w:eastAsia="Times New Roman" w:hAnsi="Arial" w:cs="Arial"/>
          <w:sz w:val="24"/>
          <w:szCs w:val="24"/>
        </w:rPr>
        <w:t xml:space="preserve"> realizacija projekata.</w:t>
      </w:r>
    </w:p>
    <w:p w14:paraId="511EFDDF" w14:textId="77777777" w:rsidR="00E541EE" w:rsidRPr="00180D7F" w:rsidRDefault="00E541EE" w:rsidP="00E541EE">
      <w:pPr>
        <w:jc w:val="both"/>
        <w:rPr>
          <w:rFonts w:ascii="Arial" w:eastAsia="Times New Roman" w:hAnsi="Arial" w:cs="Arial"/>
          <w:sz w:val="24"/>
          <w:szCs w:val="24"/>
        </w:rPr>
      </w:pPr>
      <w:r w:rsidRPr="00180D7F">
        <w:rPr>
          <w:rFonts w:ascii="Arial" w:eastAsia="Times New Roman" w:hAnsi="Arial" w:cs="Arial"/>
          <w:b/>
          <w:sz w:val="24"/>
          <w:szCs w:val="24"/>
        </w:rPr>
        <w:t>Pokazatelj uspješnosti:</w:t>
      </w:r>
      <w:r w:rsidRPr="00180D7F">
        <w:rPr>
          <w:rFonts w:ascii="Arial" w:eastAsia="Times New Roman" w:hAnsi="Arial" w:cs="Arial"/>
          <w:sz w:val="24"/>
          <w:szCs w:val="24"/>
        </w:rPr>
        <w:t xml:space="preserve"> broj realiziranih projekata.</w:t>
      </w:r>
    </w:p>
    <w:p w14:paraId="2CFE3259" w14:textId="77777777" w:rsidR="00E541EE" w:rsidRPr="00180D7F" w:rsidRDefault="00E541EE" w:rsidP="00E541EE">
      <w:pPr>
        <w:jc w:val="both"/>
        <w:rPr>
          <w:rFonts w:ascii="Arial" w:eastAsia="Times New Roman" w:hAnsi="Arial" w:cs="Arial"/>
          <w:sz w:val="24"/>
          <w:szCs w:val="24"/>
        </w:rPr>
      </w:pPr>
    </w:p>
    <w:p w14:paraId="2EDE4E1C" w14:textId="77777777" w:rsidR="00E541EE" w:rsidRPr="00180D7F" w:rsidRDefault="00E541EE" w:rsidP="00E541EE">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eastAsia="Times New Roman" w:hAnsi="Arial" w:cs="Arial"/>
          <w:b/>
          <w:sz w:val="24"/>
          <w:szCs w:val="24"/>
        </w:rPr>
      </w:pPr>
      <w:r w:rsidRPr="0099682F">
        <w:rPr>
          <w:rFonts w:ascii="Arial" w:eastAsia="Times New Roman" w:hAnsi="Arial" w:cs="Arial"/>
          <w:b/>
          <w:sz w:val="24"/>
          <w:szCs w:val="24"/>
        </w:rPr>
        <w:t>K1018</w:t>
      </w:r>
      <w:r w:rsidRPr="00180D7F">
        <w:rPr>
          <w:rFonts w:ascii="Arial" w:eastAsia="Times New Roman" w:hAnsi="Arial" w:cs="Arial"/>
          <w:b/>
          <w:sz w:val="24"/>
          <w:szCs w:val="24"/>
        </w:rPr>
        <w:t xml:space="preserve">02: Zamjena zemljišta = </w:t>
      </w:r>
      <w:r>
        <w:rPr>
          <w:rFonts w:ascii="Arial" w:eastAsia="Times New Roman" w:hAnsi="Arial" w:cs="Arial"/>
          <w:b/>
          <w:sz w:val="24"/>
          <w:szCs w:val="24"/>
        </w:rPr>
        <w:t>398.200</w:t>
      </w:r>
      <w:r w:rsidRPr="00180D7F">
        <w:rPr>
          <w:rFonts w:ascii="Arial" w:eastAsia="Times New Roman" w:hAnsi="Arial" w:cs="Arial"/>
          <w:b/>
          <w:sz w:val="24"/>
          <w:szCs w:val="24"/>
        </w:rPr>
        <w:t>,</w:t>
      </w:r>
      <w:r>
        <w:rPr>
          <w:rFonts w:ascii="Arial" w:eastAsia="Times New Roman" w:hAnsi="Arial" w:cs="Arial"/>
          <w:b/>
          <w:sz w:val="24"/>
          <w:szCs w:val="24"/>
        </w:rPr>
        <w:t>00 EUR</w:t>
      </w:r>
    </w:p>
    <w:p w14:paraId="2167507B" w14:textId="77777777" w:rsidR="00E541EE" w:rsidRPr="00180D7F" w:rsidRDefault="00E541EE" w:rsidP="00E541EE">
      <w:pPr>
        <w:jc w:val="both"/>
        <w:rPr>
          <w:rFonts w:ascii="Arial" w:eastAsia="Times New Roman" w:hAnsi="Arial" w:cs="Arial"/>
          <w:sz w:val="24"/>
          <w:szCs w:val="24"/>
        </w:rPr>
      </w:pPr>
      <w:r w:rsidRPr="00180D7F">
        <w:rPr>
          <w:rFonts w:ascii="Arial" w:eastAsia="Times New Roman" w:hAnsi="Arial" w:cs="Arial"/>
          <w:b/>
          <w:sz w:val="24"/>
          <w:szCs w:val="24"/>
        </w:rPr>
        <w:t>Zakonska osnova:</w:t>
      </w:r>
      <w:r w:rsidRPr="00180D7F">
        <w:rPr>
          <w:rFonts w:ascii="Arial" w:eastAsia="Times New Roman" w:hAnsi="Arial" w:cs="Arial"/>
          <w:sz w:val="24"/>
          <w:szCs w:val="24"/>
        </w:rPr>
        <w:t xml:space="preserve"> Zakon o vlasništvu i drugim stvarnim pravima, Zakon o izvlaštenju i određivanju naknade.</w:t>
      </w:r>
    </w:p>
    <w:p w14:paraId="13873D07" w14:textId="77777777" w:rsidR="00E541EE" w:rsidRPr="00180D7F" w:rsidRDefault="00E541EE" w:rsidP="00E541EE">
      <w:pPr>
        <w:jc w:val="both"/>
        <w:rPr>
          <w:rFonts w:ascii="Arial" w:eastAsia="Times New Roman" w:hAnsi="Arial" w:cs="Arial"/>
          <w:sz w:val="24"/>
          <w:szCs w:val="24"/>
        </w:rPr>
      </w:pPr>
      <w:r w:rsidRPr="00180D7F">
        <w:rPr>
          <w:rFonts w:ascii="Arial" w:eastAsia="Times New Roman" w:hAnsi="Arial" w:cs="Arial"/>
          <w:b/>
          <w:sz w:val="24"/>
          <w:szCs w:val="24"/>
        </w:rPr>
        <w:t xml:space="preserve">Opis: </w:t>
      </w:r>
      <w:r w:rsidRPr="00180D7F">
        <w:rPr>
          <w:rFonts w:ascii="Arial" w:eastAsia="Times New Roman" w:hAnsi="Arial" w:cs="Arial"/>
          <w:sz w:val="24"/>
          <w:szCs w:val="24"/>
        </w:rPr>
        <w:t>ovim sredstvima financiraju se zamjene zemljišta u postupcima izvlaštenja prometnica ili drugih nekretnina od interesa za Grad Rovinj-Rovigno.</w:t>
      </w:r>
    </w:p>
    <w:p w14:paraId="463CEDD0" w14:textId="77777777" w:rsidR="00E541EE" w:rsidRPr="00180D7F" w:rsidRDefault="00E541EE" w:rsidP="00E541EE">
      <w:pPr>
        <w:jc w:val="both"/>
        <w:rPr>
          <w:rFonts w:ascii="Arial" w:eastAsia="Times New Roman" w:hAnsi="Arial" w:cs="Arial"/>
          <w:sz w:val="24"/>
          <w:szCs w:val="24"/>
        </w:rPr>
      </w:pPr>
      <w:r w:rsidRPr="00180D7F">
        <w:rPr>
          <w:rFonts w:ascii="Arial" w:eastAsia="Times New Roman" w:hAnsi="Arial" w:cs="Arial"/>
          <w:b/>
          <w:sz w:val="24"/>
          <w:szCs w:val="24"/>
        </w:rPr>
        <w:t>Opći cilj:</w:t>
      </w:r>
      <w:r w:rsidRPr="00180D7F">
        <w:rPr>
          <w:rFonts w:ascii="Arial" w:eastAsia="Times New Roman" w:hAnsi="Arial" w:cs="Arial"/>
          <w:sz w:val="24"/>
          <w:szCs w:val="24"/>
        </w:rPr>
        <w:t xml:space="preserve">  rješavanje imovinsko-pravnih odnosa pred upravnim tijelima Istarske županije u postupcima izvlaštenja.</w:t>
      </w:r>
    </w:p>
    <w:p w14:paraId="2A7C2E37" w14:textId="77777777" w:rsidR="00E541EE" w:rsidRPr="00180D7F" w:rsidRDefault="00E541EE" w:rsidP="00E541EE">
      <w:pPr>
        <w:jc w:val="both"/>
        <w:rPr>
          <w:rFonts w:ascii="Arial" w:eastAsia="Times New Roman" w:hAnsi="Arial" w:cs="Arial"/>
          <w:sz w:val="24"/>
          <w:szCs w:val="24"/>
        </w:rPr>
      </w:pPr>
      <w:r w:rsidRPr="00180D7F">
        <w:rPr>
          <w:rFonts w:ascii="Arial" w:eastAsia="Times New Roman" w:hAnsi="Arial" w:cs="Arial"/>
          <w:b/>
          <w:sz w:val="24"/>
          <w:szCs w:val="24"/>
        </w:rPr>
        <w:t>Poseban cilj:</w:t>
      </w:r>
      <w:r w:rsidRPr="00180D7F">
        <w:rPr>
          <w:rFonts w:ascii="Arial" w:eastAsia="Times New Roman" w:hAnsi="Arial" w:cs="Arial"/>
          <w:sz w:val="24"/>
          <w:szCs w:val="24"/>
        </w:rPr>
        <w:t xml:space="preserve"> realizacija projekata.</w:t>
      </w:r>
    </w:p>
    <w:p w14:paraId="7905ABCD" w14:textId="77777777" w:rsidR="00E541EE" w:rsidRPr="00180D7F" w:rsidRDefault="00E541EE" w:rsidP="00E541EE">
      <w:pPr>
        <w:jc w:val="both"/>
        <w:rPr>
          <w:rFonts w:ascii="Arial" w:eastAsia="Times New Roman" w:hAnsi="Arial" w:cs="Arial"/>
          <w:sz w:val="24"/>
          <w:szCs w:val="24"/>
        </w:rPr>
      </w:pPr>
      <w:r w:rsidRPr="00180D7F">
        <w:rPr>
          <w:rFonts w:ascii="Arial" w:eastAsia="Times New Roman" w:hAnsi="Arial" w:cs="Arial"/>
          <w:b/>
          <w:sz w:val="24"/>
          <w:szCs w:val="24"/>
        </w:rPr>
        <w:t>Pokazatelj uspješnosti:</w:t>
      </w:r>
      <w:r w:rsidRPr="00180D7F">
        <w:rPr>
          <w:rFonts w:ascii="Arial" w:eastAsia="Times New Roman" w:hAnsi="Arial" w:cs="Arial"/>
          <w:sz w:val="24"/>
          <w:szCs w:val="24"/>
        </w:rPr>
        <w:t xml:space="preserve"> broj realiziranih projekata.</w:t>
      </w:r>
    </w:p>
    <w:p w14:paraId="699CBDAC" w14:textId="77777777" w:rsidR="00E541EE" w:rsidRDefault="00E541EE" w:rsidP="00E541EE">
      <w:pPr>
        <w:jc w:val="both"/>
        <w:rPr>
          <w:rFonts w:ascii="Arial" w:eastAsia="Times New Roman" w:hAnsi="Arial" w:cs="Arial"/>
          <w:sz w:val="24"/>
          <w:szCs w:val="24"/>
        </w:rPr>
      </w:pPr>
    </w:p>
    <w:p w14:paraId="3D256665" w14:textId="77777777" w:rsidR="00E541EE" w:rsidRPr="00180D7F" w:rsidRDefault="00E541EE" w:rsidP="00E541EE">
      <w:pPr>
        <w:jc w:val="both"/>
        <w:rPr>
          <w:rFonts w:ascii="Arial" w:eastAsia="Times New Roman" w:hAnsi="Arial" w:cs="Arial"/>
          <w:sz w:val="24"/>
          <w:szCs w:val="24"/>
        </w:rPr>
      </w:pPr>
    </w:p>
    <w:p w14:paraId="5ED614A5" w14:textId="77777777" w:rsidR="00E541EE" w:rsidRDefault="00E541EE" w:rsidP="00E541EE">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Arial" w:eastAsia="Times New Roman" w:hAnsi="Arial" w:cs="Arial"/>
          <w:b/>
          <w:sz w:val="24"/>
          <w:szCs w:val="24"/>
        </w:rPr>
      </w:pPr>
      <w:r w:rsidRPr="0099682F">
        <w:rPr>
          <w:rFonts w:ascii="Arial" w:eastAsia="Times New Roman" w:hAnsi="Arial" w:cs="Arial"/>
          <w:b/>
          <w:sz w:val="24"/>
          <w:szCs w:val="24"/>
        </w:rPr>
        <w:t>K 101803: Rješavanje</w:t>
      </w:r>
      <w:r w:rsidRPr="00180D7F">
        <w:rPr>
          <w:rFonts w:ascii="Arial" w:eastAsia="Times New Roman" w:hAnsi="Arial" w:cs="Arial"/>
          <w:b/>
          <w:sz w:val="24"/>
          <w:szCs w:val="24"/>
        </w:rPr>
        <w:t xml:space="preserve"> imovinsko-pravnih odnosa za nekretnine </w:t>
      </w:r>
    </w:p>
    <w:p w14:paraId="55E2E39E" w14:textId="25AB8A6A" w:rsidR="00E541EE" w:rsidRPr="00180D7F" w:rsidRDefault="00E541EE" w:rsidP="00E541EE">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Arial" w:eastAsia="Times New Roman" w:hAnsi="Arial" w:cs="Arial"/>
          <w:b/>
          <w:sz w:val="24"/>
          <w:szCs w:val="24"/>
        </w:rPr>
      </w:pPr>
      <w:r w:rsidRPr="00180D7F">
        <w:rPr>
          <w:rFonts w:ascii="Arial" w:eastAsia="Times New Roman" w:hAnsi="Arial" w:cs="Arial"/>
          <w:b/>
          <w:sz w:val="24"/>
          <w:szCs w:val="24"/>
        </w:rPr>
        <w:t xml:space="preserve">= </w:t>
      </w:r>
      <w:r w:rsidR="00F36433">
        <w:rPr>
          <w:rFonts w:ascii="Arial" w:eastAsia="Times New Roman" w:hAnsi="Arial" w:cs="Arial"/>
          <w:b/>
          <w:sz w:val="24"/>
          <w:szCs w:val="24"/>
        </w:rPr>
        <w:t>671.316,00</w:t>
      </w:r>
      <w:r>
        <w:rPr>
          <w:rFonts w:ascii="Arial" w:eastAsia="Times New Roman" w:hAnsi="Arial" w:cs="Arial"/>
          <w:b/>
          <w:sz w:val="24"/>
          <w:szCs w:val="24"/>
        </w:rPr>
        <w:t xml:space="preserve"> EUR</w:t>
      </w:r>
    </w:p>
    <w:p w14:paraId="7C4310E4" w14:textId="77777777" w:rsidR="00E541EE" w:rsidRPr="00180D7F" w:rsidRDefault="00E541EE" w:rsidP="00E541EE">
      <w:pPr>
        <w:jc w:val="both"/>
        <w:rPr>
          <w:rFonts w:ascii="Arial" w:eastAsia="Times New Roman" w:hAnsi="Arial" w:cs="Arial"/>
          <w:sz w:val="24"/>
          <w:szCs w:val="24"/>
        </w:rPr>
      </w:pPr>
      <w:r w:rsidRPr="00180D7F">
        <w:rPr>
          <w:rFonts w:ascii="Arial" w:eastAsia="Times New Roman" w:hAnsi="Arial" w:cs="Arial"/>
          <w:b/>
          <w:sz w:val="24"/>
          <w:szCs w:val="24"/>
        </w:rPr>
        <w:t>Zakonska osnova:</w:t>
      </w:r>
      <w:r w:rsidRPr="00180D7F">
        <w:rPr>
          <w:rFonts w:ascii="Arial" w:eastAsia="Times New Roman" w:hAnsi="Arial" w:cs="Arial"/>
          <w:sz w:val="24"/>
          <w:szCs w:val="24"/>
        </w:rPr>
        <w:t xml:space="preserve"> Zakon o vlasništvu i drugim stvarnim pravima, Zakon o izvlaštenju i određivanju naknade.</w:t>
      </w:r>
    </w:p>
    <w:p w14:paraId="33EBFBA2" w14:textId="77777777" w:rsidR="00E541EE" w:rsidRDefault="00E541EE" w:rsidP="00E541EE">
      <w:pPr>
        <w:jc w:val="both"/>
        <w:rPr>
          <w:rFonts w:ascii="Arial" w:hAnsi="Arial" w:cs="Arial"/>
          <w:sz w:val="24"/>
          <w:szCs w:val="24"/>
        </w:rPr>
      </w:pPr>
      <w:r w:rsidRPr="003368AC">
        <w:rPr>
          <w:rFonts w:ascii="Arial" w:eastAsia="Times New Roman" w:hAnsi="Arial" w:cs="Arial"/>
          <w:b/>
          <w:sz w:val="24"/>
          <w:szCs w:val="24"/>
        </w:rPr>
        <w:t xml:space="preserve">Opis: </w:t>
      </w:r>
      <w:r w:rsidRPr="003368AC">
        <w:rPr>
          <w:rFonts w:ascii="Arial" w:eastAsia="Times New Roman" w:hAnsi="Arial" w:cs="Arial"/>
          <w:sz w:val="24"/>
          <w:szCs w:val="24"/>
        </w:rPr>
        <w:t>ovim sredstvima financiraju se otkupi prometnica ili drugih nekretnina od interesa za Grad Rovinj-Rovigno kao što su otkupi i rješavanje imovinsko</w:t>
      </w:r>
      <w:r>
        <w:rPr>
          <w:rFonts w:ascii="Arial" w:eastAsia="Times New Roman" w:hAnsi="Arial" w:cs="Arial"/>
          <w:sz w:val="24"/>
          <w:szCs w:val="24"/>
        </w:rPr>
        <w:t>-</w:t>
      </w:r>
      <w:r w:rsidRPr="003368AC">
        <w:rPr>
          <w:rFonts w:ascii="Arial" w:eastAsia="Times New Roman" w:hAnsi="Arial" w:cs="Arial"/>
          <w:sz w:val="24"/>
          <w:szCs w:val="24"/>
        </w:rPr>
        <w:t>pravnih odnosa za slijedeće dijelove prometnica:</w:t>
      </w:r>
      <w:r w:rsidRPr="003368AC">
        <w:rPr>
          <w:rFonts w:ascii="Arial" w:hAnsi="Arial" w:cs="Arial"/>
          <w:sz w:val="24"/>
          <w:szCs w:val="24"/>
        </w:rPr>
        <w:t xml:space="preserve"> ce</w:t>
      </w:r>
      <w:r>
        <w:rPr>
          <w:rFonts w:ascii="Arial" w:hAnsi="Arial" w:cs="Arial"/>
          <w:sz w:val="24"/>
          <w:szCs w:val="24"/>
        </w:rPr>
        <w:t xml:space="preserve">stovna zaobilaznica D 303-Ž5105 (k.č. 8625/10 i k.č. 8625/11, obje k.o. Rovinj), na području Montepozzo (buduće </w:t>
      </w:r>
      <w:r w:rsidRPr="00990DAC">
        <w:rPr>
          <w:rFonts w:ascii="Arial" w:hAnsi="Arial" w:cs="Arial"/>
          <w:bCs/>
          <w:sz w:val="24"/>
          <w:szCs w:val="24"/>
        </w:rPr>
        <w:t xml:space="preserve">k.č. 2551/8, k.č. 2551/10, k.č. 2551/7, k.č. 2576/2 i k.č. 2582/3, sve k.o. Rovinj), </w:t>
      </w:r>
      <w:r>
        <w:rPr>
          <w:rFonts w:ascii="Arial" w:hAnsi="Arial" w:cs="Arial"/>
          <w:sz w:val="24"/>
          <w:szCs w:val="24"/>
        </w:rPr>
        <w:t>predio Logo u Rovinjskom Selu (k.č. 1330/5, k.č. 1330/6, k.č. 1331/2, k.č. 1331/4, k.č. 1322/2, k.č. 1321/4, k.č. 1321/6, k.č. 1325/12 sve k.o. Rovinjsko Selo), na području ulica G. Dapirana i N. Tommasea (k.č. 9122/137, k.č. 8995/3, k.č. 8995/14, k.č. 8995/15 i k.č. 10655, sve k.o. Rovinj), na području Lacosercio istok (k.č. 8975/26 i k.č. 8975/1 k.o. Rovinj)</w:t>
      </w:r>
      <w:r w:rsidRPr="003368AC">
        <w:rPr>
          <w:rFonts w:ascii="Arial" w:hAnsi="Arial" w:cs="Arial"/>
          <w:sz w:val="24"/>
          <w:szCs w:val="24"/>
        </w:rPr>
        <w:t>.</w:t>
      </w:r>
      <w:r>
        <w:rPr>
          <w:rFonts w:ascii="Arial" w:hAnsi="Arial" w:cs="Arial"/>
          <w:sz w:val="24"/>
          <w:szCs w:val="24"/>
        </w:rPr>
        <w:t xml:space="preserve"> </w:t>
      </w:r>
      <w:r w:rsidRPr="003368AC">
        <w:rPr>
          <w:rFonts w:ascii="Arial" w:hAnsi="Arial" w:cs="Arial"/>
          <w:sz w:val="24"/>
          <w:szCs w:val="24"/>
        </w:rPr>
        <w:t>Također, osigurala bi se obročna isplata temeljem Ugovora o kupoprodaji prometnica u vlasništvu trgovačkog društva Maistra d.d. Rovinj: područje DPU turističke zone Monte Mulini, cesta Monvi-Škaraba te pristupna cesta za Pročistač Cuvi od 25. rujna 2018.</w:t>
      </w:r>
      <w:r>
        <w:rPr>
          <w:rFonts w:ascii="Arial" w:hAnsi="Arial" w:cs="Arial"/>
          <w:sz w:val="24"/>
          <w:szCs w:val="24"/>
        </w:rPr>
        <w:t>godine</w:t>
      </w:r>
      <w:r w:rsidRPr="003368AC">
        <w:rPr>
          <w:rFonts w:ascii="Arial" w:hAnsi="Arial" w:cs="Arial"/>
          <w:sz w:val="24"/>
          <w:szCs w:val="24"/>
        </w:rPr>
        <w:t xml:space="preserve"> te Ugovora o kupoprodaji prometnica u vlasništvu trgovačkog društva Adris grupa d.d. Rovinj: cesta Monvi-Škaraba od 25. rujna 2018</w:t>
      </w:r>
      <w:r>
        <w:rPr>
          <w:rFonts w:ascii="Arial" w:hAnsi="Arial" w:cs="Arial"/>
          <w:sz w:val="24"/>
          <w:szCs w:val="24"/>
        </w:rPr>
        <w:t xml:space="preserve"> godine</w:t>
      </w:r>
      <w:r w:rsidRPr="003368AC">
        <w:rPr>
          <w:rFonts w:ascii="Arial" w:hAnsi="Arial" w:cs="Arial"/>
          <w:sz w:val="24"/>
          <w:szCs w:val="24"/>
        </w:rPr>
        <w:t>.</w:t>
      </w:r>
      <w:r>
        <w:rPr>
          <w:rFonts w:ascii="Arial" w:hAnsi="Arial" w:cs="Arial"/>
          <w:sz w:val="24"/>
          <w:szCs w:val="24"/>
        </w:rPr>
        <w:t xml:space="preserve"> </w:t>
      </w:r>
    </w:p>
    <w:p w14:paraId="7F21329D" w14:textId="77777777" w:rsidR="00E541EE" w:rsidRPr="003368AC" w:rsidRDefault="00E541EE" w:rsidP="00E541EE">
      <w:pPr>
        <w:jc w:val="both"/>
        <w:rPr>
          <w:rFonts w:ascii="Arial" w:eastAsia="Times New Roman" w:hAnsi="Arial" w:cs="Arial"/>
          <w:sz w:val="24"/>
          <w:szCs w:val="24"/>
        </w:rPr>
      </w:pPr>
      <w:r w:rsidRPr="003368AC">
        <w:rPr>
          <w:rFonts w:ascii="Arial" w:eastAsia="Times New Roman" w:hAnsi="Arial" w:cs="Arial"/>
          <w:b/>
          <w:sz w:val="24"/>
          <w:szCs w:val="24"/>
        </w:rPr>
        <w:t>Opći cilj:</w:t>
      </w:r>
      <w:r w:rsidRPr="003368AC">
        <w:rPr>
          <w:rFonts w:ascii="Arial" w:eastAsia="Times New Roman" w:hAnsi="Arial" w:cs="Arial"/>
          <w:sz w:val="24"/>
          <w:szCs w:val="24"/>
        </w:rPr>
        <w:t xml:space="preserve"> sporazumno rješavanje imovinsko-pravnih odnosa ili rješavanje imovinsko-pravnih odnosa pred upravnim tijelima Istarske županije u postupcima izvlaštenja. Planiraju se nova rješavanja imovinsko-pravnih odnosa za otkup prometnica te je potrebno osigurati isplatu za ugovore sklopljene uz obročno plaćanje.</w:t>
      </w:r>
    </w:p>
    <w:p w14:paraId="379FBD27" w14:textId="77777777" w:rsidR="00E541EE" w:rsidRPr="003368AC" w:rsidRDefault="00E541EE" w:rsidP="00E541EE">
      <w:pPr>
        <w:jc w:val="both"/>
        <w:rPr>
          <w:rFonts w:ascii="Arial" w:eastAsia="Times New Roman" w:hAnsi="Arial" w:cs="Arial"/>
          <w:sz w:val="24"/>
          <w:szCs w:val="24"/>
        </w:rPr>
      </w:pPr>
      <w:r w:rsidRPr="003368AC">
        <w:rPr>
          <w:rFonts w:ascii="Arial" w:eastAsia="Times New Roman" w:hAnsi="Arial" w:cs="Arial"/>
          <w:b/>
          <w:sz w:val="24"/>
          <w:szCs w:val="24"/>
        </w:rPr>
        <w:t>Poseban cilj:</w:t>
      </w:r>
      <w:r w:rsidRPr="003368AC">
        <w:rPr>
          <w:rFonts w:ascii="Arial" w:eastAsia="Times New Roman" w:hAnsi="Arial" w:cs="Arial"/>
          <w:sz w:val="24"/>
          <w:szCs w:val="24"/>
        </w:rPr>
        <w:t xml:space="preserve"> realizacija projekata.</w:t>
      </w:r>
    </w:p>
    <w:p w14:paraId="06284E6C" w14:textId="77777777" w:rsidR="00E541EE" w:rsidRDefault="00E541EE" w:rsidP="00E541EE">
      <w:pPr>
        <w:jc w:val="both"/>
        <w:rPr>
          <w:rFonts w:ascii="Arial" w:eastAsia="Times New Roman" w:hAnsi="Arial" w:cs="Arial"/>
          <w:sz w:val="24"/>
          <w:szCs w:val="24"/>
        </w:rPr>
      </w:pPr>
      <w:r w:rsidRPr="003368AC">
        <w:rPr>
          <w:rFonts w:ascii="Arial" w:eastAsia="Times New Roman" w:hAnsi="Arial" w:cs="Arial"/>
          <w:b/>
          <w:sz w:val="24"/>
          <w:szCs w:val="24"/>
        </w:rPr>
        <w:t>Pokazatelj uspješnosti:</w:t>
      </w:r>
      <w:r w:rsidRPr="003368AC">
        <w:rPr>
          <w:rFonts w:ascii="Arial" w:eastAsia="Times New Roman" w:hAnsi="Arial" w:cs="Arial"/>
          <w:sz w:val="24"/>
          <w:szCs w:val="24"/>
        </w:rPr>
        <w:t xml:space="preserve"> broj realiziranih projekata.</w:t>
      </w:r>
    </w:p>
    <w:p w14:paraId="53554320" w14:textId="77777777" w:rsidR="00E541EE" w:rsidRDefault="00E541EE" w:rsidP="00E541EE">
      <w:pPr>
        <w:jc w:val="both"/>
        <w:rPr>
          <w:rFonts w:ascii="Arial" w:eastAsia="Times New Roman" w:hAnsi="Arial" w:cs="Arial"/>
          <w:sz w:val="24"/>
          <w:szCs w:val="24"/>
        </w:rPr>
      </w:pPr>
    </w:p>
    <w:p w14:paraId="08FCFDD1" w14:textId="77777777" w:rsidR="00E541EE" w:rsidRDefault="00E541EE" w:rsidP="00E541EE">
      <w:pPr>
        <w:jc w:val="both"/>
        <w:rPr>
          <w:rFonts w:ascii="Arial" w:eastAsia="Times New Roman" w:hAnsi="Arial" w:cs="Arial"/>
          <w:sz w:val="24"/>
          <w:szCs w:val="24"/>
        </w:rPr>
      </w:pPr>
    </w:p>
    <w:p w14:paraId="6CA1F092" w14:textId="77777777" w:rsidR="00E541EE" w:rsidRPr="003368AC" w:rsidRDefault="00E541EE" w:rsidP="00E541EE">
      <w:pPr>
        <w:jc w:val="both"/>
        <w:rPr>
          <w:rFonts w:ascii="Arial" w:eastAsia="Times New Roman" w:hAnsi="Arial" w:cs="Arial"/>
          <w:sz w:val="24"/>
          <w:szCs w:val="24"/>
        </w:rPr>
      </w:pPr>
    </w:p>
    <w:p w14:paraId="1B971358" w14:textId="77777777" w:rsidR="00E541EE" w:rsidRDefault="00E541EE" w:rsidP="00E541EE">
      <w:pPr>
        <w:jc w:val="both"/>
        <w:rPr>
          <w:rFonts w:ascii="Arial" w:eastAsia="Times New Roman" w:hAnsi="Arial" w:cs="Arial"/>
          <w:sz w:val="24"/>
          <w:szCs w:val="24"/>
        </w:rPr>
      </w:pPr>
    </w:p>
    <w:p w14:paraId="0DCDC5A7" w14:textId="7A27EC6D" w:rsidR="00E541EE" w:rsidRDefault="00E541EE" w:rsidP="00E541EE">
      <w:pPr>
        <w:pBdr>
          <w:top w:val="single" w:sz="4" w:space="0" w:color="auto"/>
          <w:left w:val="single" w:sz="4" w:space="4" w:color="auto"/>
          <w:bottom w:val="single" w:sz="4" w:space="1" w:color="auto"/>
          <w:right w:val="single" w:sz="4" w:space="4" w:color="auto"/>
        </w:pBdr>
        <w:shd w:val="clear" w:color="auto" w:fill="FFCB97"/>
        <w:autoSpaceDE w:val="0"/>
        <w:autoSpaceDN w:val="0"/>
        <w:adjustRightInd w:val="0"/>
        <w:jc w:val="both"/>
        <w:rPr>
          <w:rFonts w:ascii="Arial" w:eastAsia="Times New Roman" w:hAnsi="Arial" w:cs="Arial"/>
          <w:b/>
          <w:bCs/>
          <w:sz w:val="24"/>
        </w:rPr>
      </w:pPr>
      <w:r>
        <w:rPr>
          <w:rFonts w:ascii="Arial" w:eastAsia="Times New Roman" w:hAnsi="Arial" w:cs="Arial"/>
          <w:b/>
          <w:bCs/>
          <w:sz w:val="24"/>
          <w:lang w:val="sl-SI"/>
        </w:rPr>
        <w:t xml:space="preserve">RAZDJEL 006: </w:t>
      </w:r>
      <w:r>
        <w:rPr>
          <w:rFonts w:ascii="Arial" w:eastAsia="Times New Roman" w:hAnsi="Arial" w:cs="Arial"/>
          <w:b/>
          <w:bCs/>
          <w:sz w:val="24"/>
        </w:rPr>
        <w:t xml:space="preserve">UPRAVNI ODJEL ZA KOMUNALNO GOSPODARSTVO I IZGRADNJU  </w:t>
      </w:r>
      <w:r>
        <w:rPr>
          <w:rFonts w:ascii="Arial" w:eastAsia="Times New Roman" w:hAnsi="Arial" w:cs="Arial"/>
          <w:b/>
          <w:bCs/>
          <w:sz w:val="24"/>
          <w:lang w:val="sl-SI"/>
        </w:rPr>
        <w:t>= 2</w:t>
      </w:r>
      <w:r w:rsidR="00F36433">
        <w:rPr>
          <w:rFonts w:ascii="Arial" w:eastAsia="Times New Roman" w:hAnsi="Arial" w:cs="Arial"/>
          <w:b/>
          <w:bCs/>
          <w:sz w:val="24"/>
          <w:lang w:val="sl-SI"/>
        </w:rPr>
        <w:t>4</w:t>
      </w:r>
      <w:r>
        <w:rPr>
          <w:rFonts w:ascii="Arial" w:eastAsia="Times New Roman" w:hAnsi="Arial" w:cs="Arial"/>
          <w:b/>
          <w:bCs/>
          <w:sz w:val="24"/>
          <w:lang w:val="sl-SI"/>
        </w:rPr>
        <w:t>.</w:t>
      </w:r>
      <w:r w:rsidR="00F36433">
        <w:rPr>
          <w:rFonts w:ascii="Arial" w:eastAsia="Times New Roman" w:hAnsi="Arial" w:cs="Arial"/>
          <w:b/>
          <w:bCs/>
          <w:sz w:val="24"/>
          <w:lang w:val="sl-SI"/>
        </w:rPr>
        <w:t>072.835</w:t>
      </w:r>
      <w:r>
        <w:rPr>
          <w:rFonts w:ascii="Arial" w:eastAsia="Times New Roman" w:hAnsi="Arial" w:cs="Arial"/>
          <w:b/>
          <w:bCs/>
          <w:sz w:val="24"/>
          <w:lang w:val="sl-SI"/>
        </w:rPr>
        <w:t>,00 EUR</w:t>
      </w:r>
    </w:p>
    <w:p w14:paraId="2A24515D" w14:textId="77777777" w:rsidR="00E541EE" w:rsidRDefault="00E541EE" w:rsidP="00E541EE">
      <w:pPr>
        <w:autoSpaceDE w:val="0"/>
        <w:autoSpaceDN w:val="0"/>
        <w:adjustRightInd w:val="0"/>
        <w:jc w:val="both"/>
        <w:rPr>
          <w:rFonts w:ascii="Arial" w:eastAsia="Times New Roman" w:hAnsi="Arial" w:cs="Arial"/>
          <w:bCs/>
          <w:sz w:val="24"/>
          <w:lang w:val="sl-SI"/>
        </w:rPr>
      </w:pPr>
    </w:p>
    <w:p w14:paraId="4E523161" w14:textId="45803F55" w:rsidR="00E541EE" w:rsidRDefault="00E541EE" w:rsidP="00E541EE">
      <w:pPr>
        <w:pBdr>
          <w:top w:val="single" w:sz="4" w:space="1" w:color="auto"/>
          <w:left w:val="single" w:sz="4" w:space="4" w:color="auto"/>
          <w:bottom w:val="single" w:sz="4" w:space="1" w:color="auto"/>
          <w:right w:val="single" w:sz="4" w:space="4" w:color="auto"/>
        </w:pBdr>
        <w:shd w:val="clear" w:color="auto" w:fill="B1EDA0"/>
        <w:jc w:val="both"/>
        <w:rPr>
          <w:rFonts w:ascii="Arial" w:eastAsia="Times New Roman" w:hAnsi="Arial" w:cs="Arial"/>
          <w:b/>
          <w:bCs/>
          <w:sz w:val="24"/>
        </w:rPr>
      </w:pPr>
      <w:r>
        <w:rPr>
          <w:rFonts w:ascii="Arial" w:eastAsia="Times New Roman" w:hAnsi="Arial" w:cs="Arial"/>
          <w:b/>
          <w:sz w:val="24"/>
          <w:lang w:val="sl-SI"/>
        </w:rPr>
        <w:t xml:space="preserve">GLAVA 00601: </w:t>
      </w:r>
      <w:r>
        <w:rPr>
          <w:rFonts w:ascii="Arial" w:eastAsia="Times New Roman" w:hAnsi="Arial" w:cs="Arial"/>
          <w:b/>
          <w:bCs/>
          <w:sz w:val="24"/>
        </w:rPr>
        <w:t xml:space="preserve">UPRAVNI ODJEL ZA KOMUNALNO GOSPODARSTVO I IZGRADNJU  </w:t>
      </w:r>
      <w:r>
        <w:rPr>
          <w:rFonts w:ascii="Arial" w:eastAsia="Times New Roman" w:hAnsi="Arial" w:cs="Arial"/>
          <w:b/>
          <w:sz w:val="24"/>
          <w:lang w:val="sl-SI"/>
        </w:rPr>
        <w:t xml:space="preserve">= </w:t>
      </w:r>
      <w:r>
        <w:rPr>
          <w:rFonts w:ascii="Arial" w:eastAsia="Times New Roman" w:hAnsi="Arial" w:cs="Arial"/>
          <w:b/>
          <w:bCs/>
          <w:sz w:val="24"/>
          <w:lang w:val="sl-SI"/>
        </w:rPr>
        <w:t xml:space="preserve"> 2</w:t>
      </w:r>
      <w:r w:rsidR="00F36433">
        <w:rPr>
          <w:rFonts w:ascii="Arial" w:eastAsia="Times New Roman" w:hAnsi="Arial" w:cs="Arial"/>
          <w:b/>
          <w:bCs/>
          <w:sz w:val="24"/>
          <w:lang w:val="sl-SI"/>
        </w:rPr>
        <w:t>4</w:t>
      </w:r>
      <w:r>
        <w:rPr>
          <w:rFonts w:ascii="Arial" w:eastAsia="Times New Roman" w:hAnsi="Arial" w:cs="Arial"/>
          <w:b/>
          <w:bCs/>
          <w:sz w:val="24"/>
          <w:lang w:val="sl-SI"/>
        </w:rPr>
        <w:t>.</w:t>
      </w:r>
      <w:r w:rsidR="00F36433">
        <w:rPr>
          <w:rFonts w:ascii="Arial" w:eastAsia="Times New Roman" w:hAnsi="Arial" w:cs="Arial"/>
          <w:b/>
          <w:bCs/>
          <w:sz w:val="24"/>
          <w:lang w:val="sl-SI"/>
        </w:rPr>
        <w:t>072</w:t>
      </w:r>
      <w:r>
        <w:rPr>
          <w:rFonts w:ascii="Arial" w:eastAsia="Times New Roman" w:hAnsi="Arial" w:cs="Arial"/>
          <w:b/>
          <w:bCs/>
          <w:sz w:val="24"/>
          <w:lang w:val="sl-SI"/>
        </w:rPr>
        <w:t>.</w:t>
      </w:r>
      <w:r w:rsidR="00F36433">
        <w:rPr>
          <w:rFonts w:ascii="Arial" w:eastAsia="Times New Roman" w:hAnsi="Arial" w:cs="Arial"/>
          <w:b/>
          <w:bCs/>
          <w:sz w:val="24"/>
          <w:lang w:val="sl-SI"/>
        </w:rPr>
        <w:t>8</w:t>
      </w:r>
      <w:r>
        <w:rPr>
          <w:rFonts w:ascii="Arial" w:eastAsia="Times New Roman" w:hAnsi="Arial" w:cs="Arial"/>
          <w:b/>
          <w:bCs/>
          <w:sz w:val="24"/>
          <w:lang w:val="sl-SI"/>
        </w:rPr>
        <w:t>35,00   EUR</w:t>
      </w:r>
    </w:p>
    <w:p w14:paraId="423D32DA" w14:textId="77777777" w:rsidR="00E541EE" w:rsidRDefault="00E541EE" w:rsidP="00E541EE">
      <w:pPr>
        <w:jc w:val="both"/>
        <w:rPr>
          <w:rFonts w:ascii="Arial" w:eastAsia="Times New Roman" w:hAnsi="Arial" w:cs="Arial"/>
          <w:sz w:val="24"/>
        </w:rPr>
      </w:pPr>
    </w:p>
    <w:p w14:paraId="40D49C27" w14:textId="77777777" w:rsidR="00E541EE" w:rsidRDefault="00E541EE" w:rsidP="00E541EE">
      <w:pPr>
        <w:pBdr>
          <w:top w:val="single" w:sz="4" w:space="1" w:color="auto"/>
          <w:left w:val="single" w:sz="4" w:space="4" w:color="auto"/>
          <w:bottom w:val="single" w:sz="4" w:space="0" w:color="auto"/>
          <w:right w:val="single" w:sz="4" w:space="4" w:color="auto"/>
        </w:pBdr>
        <w:shd w:val="clear" w:color="auto" w:fill="FFFF80"/>
        <w:jc w:val="both"/>
        <w:rPr>
          <w:rFonts w:ascii="Arial" w:eastAsia="Times New Roman" w:hAnsi="Arial" w:cs="Arial"/>
          <w:b/>
          <w:sz w:val="24"/>
          <w:lang w:val="sl-SI"/>
        </w:rPr>
      </w:pPr>
      <w:r>
        <w:rPr>
          <w:rFonts w:ascii="Arial" w:eastAsia="Times New Roman" w:hAnsi="Arial" w:cs="Arial"/>
          <w:b/>
          <w:sz w:val="24"/>
          <w:lang w:val="sl-SI"/>
        </w:rPr>
        <w:t>Program 1003: Mjere i aktivnosti iz djelokruga upravnog tijela = 26.500,00 EUR</w:t>
      </w:r>
    </w:p>
    <w:p w14:paraId="37775E88" w14:textId="77777777" w:rsidR="00E541EE" w:rsidRDefault="00E541EE" w:rsidP="00E541EE">
      <w:pPr>
        <w:jc w:val="both"/>
        <w:rPr>
          <w:rFonts w:ascii="Arial" w:eastAsia="Times New Roman" w:hAnsi="Arial" w:cs="Arial"/>
          <w:sz w:val="24"/>
        </w:rPr>
      </w:pPr>
    </w:p>
    <w:p w14:paraId="7972637D" w14:textId="77777777" w:rsidR="00E541EE" w:rsidRDefault="00E541EE" w:rsidP="00E541EE">
      <w:pPr>
        <w:pBdr>
          <w:top w:val="single" w:sz="4" w:space="1" w:color="auto"/>
          <w:left w:val="single" w:sz="4" w:space="4" w:color="auto"/>
          <w:bottom w:val="single" w:sz="4" w:space="1" w:color="auto"/>
          <w:right w:val="single" w:sz="4" w:space="4" w:color="auto"/>
        </w:pBdr>
        <w:shd w:val="clear" w:color="auto" w:fill="E9E9E9"/>
        <w:ind w:right="-1"/>
        <w:rPr>
          <w:rFonts w:ascii="Arial" w:eastAsia="Times New Roman" w:hAnsi="Arial" w:cs="Arial"/>
          <w:b/>
          <w:sz w:val="24"/>
          <w:lang w:val="sl-SI"/>
        </w:rPr>
      </w:pPr>
      <w:r>
        <w:rPr>
          <w:rFonts w:ascii="Arial" w:eastAsia="Times New Roman" w:hAnsi="Arial" w:cs="Arial"/>
          <w:b/>
          <w:sz w:val="24"/>
          <w:lang w:val="sl-SI"/>
        </w:rPr>
        <w:t xml:space="preserve">A 10030: </w:t>
      </w:r>
      <w:r>
        <w:rPr>
          <w:rFonts w:ascii="Arial" w:eastAsia="Times New Roman" w:hAnsi="Arial" w:cs="Arial"/>
          <w:b/>
          <w:bCs/>
          <w:sz w:val="24"/>
        </w:rPr>
        <w:t xml:space="preserve">Konzultantske usluge </w:t>
      </w:r>
      <w:r>
        <w:rPr>
          <w:rFonts w:ascii="Arial" w:eastAsia="Times New Roman" w:hAnsi="Arial" w:cs="Arial"/>
          <w:b/>
          <w:sz w:val="24"/>
          <w:lang w:val="sl-SI"/>
        </w:rPr>
        <w:t>= 26.500,00 EUR</w:t>
      </w:r>
    </w:p>
    <w:p w14:paraId="345FBBAE" w14:textId="77777777" w:rsidR="00E541EE" w:rsidRDefault="00E541EE" w:rsidP="00E541EE">
      <w:pPr>
        <w:jc w:val="both"/>
        <w:rPr>
          <w:rFonts w:ascii="Arial" w:eastAsia="Times New Roman" w:hAnsi="Arial" w:cs="Arial"/>
          <w:sz w:val="24"/>
        </w:rPr>
      </w:pPr>
      <w:r>
        <w:rPr>
          <w:rFonts w:ascii="Arial" w:eastAsia="Times New Roman" w:hAnsi="Arial" w:cs="Arial"/>
          <w:b/>
          <w:bCs/>
          <w:sz w:val="24"/>
        </w:rPr>
        <w:t>Zakonska osnova:</w:t>
      </w:r>
      <w:r>
        <w:rPr>
          <w:rFonts w:ascii="Arial" w:eastAsia="Times New Roman" w:hAnsi="Arial" w:cs="Arial"/>
          <w:sz w:val="24"/>
        </w:rPr>
        <w:t xml:space="preserve"> Zakon o lokalnoj i područnoj (regionalnoj) samoupravi, Zakon o prostornom uređenju, Zakon o gradnji, Zakon o vlasništvu i drugim stvarnim pravima, Zakon o energetskoj učinkovitosti, Zakon o zaštiti i očuvanju kulturnih dobara i dr.</w:t>
      </w:r>
    </w:p>
    <w:p w14:paraId="57AFD30F" w14:textId="77777777" w:rsidR="00E541EE" w:rsidRDefault="00E541EE" w:rsidP="00E541EE">
      <w:pPr>
        <w:jc w:val="both"/>
        <w:rPr>
          <w:rFonts w:ascii="Arial" w:eastAsia="Times New Roman" w:hAnsi="Arial" w:cs="Arial"/>
          <w:sz w:val="24"/>
        </w:rPr>
      </w:pPr>
      <w:r>
        <w:rPr>
          <w:rFonts w:ascii="Arial" w:eastAsia="Times New Roman" w:hAnsi="Arial" w:cs="Arial"/>
          <w:b/>
          <w:bCs/>
          <w:sz w:val="24"/>
        </w:rPr>
        <w:t xml:space="preserve">Opis: </w:t>
      </w:r>
      <w:r>
        <w:rPr>
          <w:rFonts w:ascii="Arial" w:eastAsia="Times New Roman" w:hAnsi="Arial" w:cs="Arial"/>
          <w:sz w:val="24"/>
        </w:rPr>
        <w:t xml:space="preserve">ovim sredstvima financira se izrada stručnih podloga, tehničkih rješenja, stručnog nadzora, financijskih analiza i vještačenja vezano za realizaciju aktivnosti na objektima u vlasništvu Grada. </w:t>
      </w:r>
    </w:p>
    <w:p w14:paraId="0F40BFEB" w14:textId="77777777" w:rsidR="00E541EE" w:rsidRDefault="00E541EE" w:rsidP="00E541EE">
      <w:pPr>
        <w:jc w:val="both"/>
        <w:rPr>
          <w:rFonts w:ascii="Arial" w:eastAsia="Times New Roman" w:hAnsi="Arial" w:cs="Arial"/>
          <w:sz w:val="24"/>
        </w:rPr>
      </w:pPr>
      <w:r>
        <w:rPr>
          <w:rFonts w:ascii="Arial" w:eastAsia="Times New Roman" w:hAnsi="Arial" w:cs="Arial"/>
          <w:b/>
          <w:bCs/>
          <w:sz w:val="24"/>
        </w:rPr>
        <w:t>Opći cilj:</w:t>
      </w:r>
      <w:r>
        <w:rPr>
          <w:rFonts w:ascii="Arial" w:eastAsia="Times New Roman" w:hAnsi="Arial" w:cs="Arial"/>
          <w:sz w:val="24"/>
        </w:rPr>
        <w:t xml:space="preserve"> kroz ovu aktivnost predviđa se osigurati pružanje usluga stručnih suradnika vezanih uz pripremu projekata i programa za održavanje i građenje objekata.</w:t>
      </w:r>
    </w:p>
    <w:p w14:paraId="420F4934" w14:textId="77777777" w:rsidR="00E541EE" w:rsidRDefault="00E541EE" w:rsidP="00E541EE">
      <w:pPr>
        <w:jc w:val="both"/>
        <w:rPr>
          <w:rFonts w:ascii="Arial" w:eastAsia="Times New Roman" w:hAnsi="Arial" w:cs="Arial"/>
          <w:sz w:val="24"/>
        </w:rPr>
      </w:pPr>
      <w:r>
        <w:rPr>
          <w:rFonts w:ascii="Arial" w:eastAsia="Times New Roman" w:hAnsi="Arial" w:cs="Arial"/>
          <w:b/>
          <w:bCs/>
          <w:sz w:val="24"/>
        </w:rPr>
        <w:t>Pokazatelj uspješnosti:</w:t>
      </w:r>
      <w:r>
        <w:rPr>
          <w:rFonts w:ascii="Arial" w:eastAsia="Times New Roman" w:hAnsi="Arial" w:cs="Arial"/>
          <w:sz w:val="24"/>
        </w:rPr>
        <w:t xml:space="preserve"> pružene intelektualne usluge za potrebe građenja i održavanja na objektima u vlasništvu/suvlasništvu Grada.</w:t>
      </w:r>
    </w:p>
    <w:p w14:paraId="5F781785" w14:textId="77777777" w:rsidR="00E541EE" w:rsidRDefault="00E541EE" w:rsidP="00E541EE">
      <w:pPr>
        <w:jc w:val="both"/>
        <w:rPr>
          <w:rFonts w:ascii="Arial" w:eastAsia="Times New Roman" w:hAnsi="Arial" w:cs="Arial"/>
          <w:sz w:val="24"/>
        </w:rPr>
      </w:pPr>
    </w:p>
    <w:p w14:paraId="1D2B3C09" w14:textId="77777777" w:rsidR="00E541EE" w:rsidRPr="001F507B" w:rsidRDefault="00E541EE" w:rsidP="00E541EE">
      <w:pPr>
        <w:pBdr>
          <w:top w:val="single" w:sz="4" w:space="1" w:color="auto"/>
          <w:left w:val="single" w:sz="4" w:space="4" w:color="auto"/>
          <w:bottom w:val="single" w:sz="4" w:space="0" w:color="auto"/>
          <w:right w:val="single" w:sz="4" w:space="4" w:color="auto"/>
        </w:pBdr>
        <w:shd w:val="clear" w:color="auto" w:fill="FFFF80"/>
        <w:jc w:val="both"/>
        <w:rPr>
          <w:rFonts w:ascii="Arial" w:eastAsia="Times New Roman" w:hAnsi="Arial" w:cs="Arial"/>
          <w:b/>
          <w:bCs/>
          <w:color w:val="000000" w:themeColor="text1"/>
          <w:sz w:val="24"/>
        </w:rPr>
      </w:pPr>
      <w:r w:rsidRPr="001F507B">
        <w:rPr>
          <w:rFonts w:ascii="Arial" w:eastAsia="Times New Roman" w:hAnsi="Arial" w:cs="Arial"/>
          <w:b/>
          <w:color w:val="000000" w:themeColor="text1"/>
          <w:sz w:val="24"/>
          <w:lang w:val="sl-SI"/>
        </w:rPr>
        <w:t xml:space="preserve">Program 1014: </w:t>
      </w:r>
      <w:r w:rsidRPr="001F507B">
        <w:rPr>
          <w:rFonts w:ascii="Arial" w:eastAsia="Times New Roman" w:hAnsi="Arial" w:cs="Arial"/>
          <w:b/>
          <w:bCs/>
          <w:color w:val="000000" w:themeColor="text1"/>
          <w:sz w:val="24"/>
        </w:rPr>
        <w:t>Građenje objekata = 19.038.180,00 EUR</w:t>
      </w:r>
    </w:p>
    <w:p w14:paraId="1EAADC45" w14:textId="77777777" w:rsidR="00E541EE" w:rsidRDefault="00E541EE" w:rsidP="00E541EE">
      <w:pPr>
        <w:jc w:val="both"/>
        <w:rPr>
          <w:rFonts w:ascii="Arial" w:eastAsia="Times New Roman" w:hAnsi="Arial" w:cs="Arial"/>
          <w:b/>
          <w:bCs/>
          <w:color w:val="2F5496" w:themeColor="accent1" w:themeShade="BF"/>
          <w:sz w:val="24"/>
        </w:rPr>
      </w:pPr>
    </w:p>
    <w:tbl>
      <w:tblPr>
        <w:tblW w:w="5144" w:type="pct"/>
        <w:tblInd w:w="-147" w:type="dxa"/>
        <w:tblLayout w:type="fixed"/>
        <w:tblLook w:val="04A0" w:firstRow="1" w:lastRow="0" w:firstColumn="1" w:lastColumn="0" w:noHBand="0" w:noVBand="1"/>
      </w:tblPr>
      <w:tblGrid>
        <w:gridCol w:w="1115"/>
        <w:gridCol w:w="1116"/>
        <w:gridCol w:w="1276"/>
        <w:gridCol w:w="1118"/>
        <w:gridCol w:w="1276"/>
        <w:gridCol w:w="1273"/>
        <w:gridCol w:w="902"/>
        <w:gridCol w:w="703"/>
        <w:gridCol w:w="631"/>
        <w:gridCol w:w="650"/>
        <w:gridCol w:w="430"/>
      </w:tblGrid>
      <w:tr w:rsidR="00E541EE" w:rsidRPr="00B812D4" w14:paraId="55E06877" w14:textId="77777777" w:rsidTr="00F664F1">
        <w:trPr>
          <w:trHeight w:val="570"/>
        </w:trPr>
        <w:tc>
          <w:tcPr>
            <w:tcW w:w="531" w:type="pct"/>
            <w:vMerge w:val="restart"/>
            <w:tcBorders>
              <w:top w:val="single" w:sz="4" w:space="0" w:color="auto"/>
              <w:left w:val="single" w:sz="4" w:space="0" w:color="auto"/>
              <w:right w:val="single" w:sz="4" w:space="0" w:color="auto"/>
            </w:tcBorders>
            <w:vAlign w:val="center"/>
          </w:tcPr>
          <w:p w14:paraId="1BD102FC" w14:textId="77777777" w:rsidR="00E541EE" w:rsidRPr="00B812D4" w:rsidRDefault="00E541EE" w:rsidP="00A84BB5">
            <w:pPr>
              <w:pStyle w:val="TableParagraph"/>
              <w:ind w:left="44" w:right="35"/>
              <w:jc w:val="center"/>
              <w:rPr>
                <w:rFonts w:ascii="Arial" w:hAnsi="Arial" w:cs="Arial"/>
                <w:b/>
                <w:sz w:val="12"/>
                <w:szCs w:val="12"/>
              </w:rPr>
            </w:pPr>
            <w:r w:rsidRPr="00B812D4">
              <w:rPr>
                <w:rFonts w:ascii="Arial" w:hAnsi="Arial" w:cs="Arial"/>
                <w:b/>
                <w:sz w:val="12"/>
                <w:szCs w:val="12"/>
              </w:rPr>
              <w:t>Doprinos</w:t>
            </w:r>
            <w:r w:rsidRPr="00B812D4">
              <w:rPr>
                <w:rFonts w:ascii="Arial" w:hAnsi="Arial" w:cs="Arial"/>
                <w:b/>
                <w:spacing w:val="-34"/>
                <w:sz w:val="12"/>
                <w:szCs w:val="12"/>
              </w:rPr>
              <w:t xml:space="preserve"> </w:t>
            </w:r>
            <w:r w:rsidRPr="00B812D4">
              <w:rPr>
                <w:rFonts w:ascii="Arial" w:hAnsi="Arial" w:cs="Arial"/>
                <w:b/>
                <w:sz w:val="12"/>
                <w:szCs w:val="12"/>
              </w:rPr>
              <w:t>provedbi</w:t>
            </w:r>
          </w:p>
          <w:p w14:paraId="3C6C2EB3" w14:textId="77777777" w:rsidR="00E541EE" w:rsidRPr="00B812D4" w:rsidRDefault="00E541EE" w:rsidP="00A84BB5">
            <w:pPr>
              <w:pStyle w:val="TableParagraph"/>
              <w:ind w:left="44" w:right="35"/>
              <w:jc w:val="center"/>
              <w:rPr>
                <w:rFonts w:ascii="Arial" w:hAnsi="Arial" w:cs="Arial"/>
                <w:b/>
                <w:sz w:val="12"/>
                <w:szCs w:val="12"/>
              </w:rPr>
            </w:pPr>
            <w:r w:rsidRPr="00B812D4">
              <w:rPr>
                <w:rFonts w:ascii="Arial" w:hAnsi="Arial" w:cs="Arial"/>
                <w:b/>
                <w:sz w:val="12"/>
                <w:szCs w:val="12"/>
              </w:rPr>
              <w:t>nadređenog</w:t>
            </w:r>
          </w:p>
          <w:p w14:paraId="1D4868DD" w14:textId="77777777" w:rsidR="00E541EE" w:rsidRPr="00B812D4" w:rsidRDefault="00E541EE" w:rsidP="00A84BB5">
            <w:pPr>
              <w:jc w:val="center"/>
              <w:rPr>
                <w:rFonts w:ascii="Arial" w:eastAsia="Times New Roman" w:hAnsi="Arial" w:cs="Arial"/>
                <w:b/>
                <w:bCs/>
                <w:sz w:val="12"/>
                <w:szCs w:val="12"/>
              </w:rPr>
            </w:pPr>
            <w:r w:rsidRPr="00B812D4">
              <w:rPr>
                <w:rFonts w:ascii="Arial" w:hAnsi="Arial" w:cs="Arial"/>
                <w:b/>
                <w:sz w:val="12"/>
                <w:szCs w:val="12"/>
              </w:rPr>
              <w:t>akta</w:t>
            </w:r>
            <w:r w:rsidRPr="00B812D4">
              <w:rPr>
                <w:rFonts w:ascii="Arial" w:hAnsi="Arial" w:cs="Arial"/>
                <w:b/>
                <w:spacing w:val="1"/>
                <w:sz w:val="12"/>
                <w:szCs w:val="12"/>
              </w:rPr>
              <w:t xml:space="preserve"> </w:t>
            </w:r>
            <w:r w:rsidRPr="00B812D4">
              <w:rPr>
                <w:rFonts w:ascii="Arial" w:hAnsi="Arial" w:cs="Arial"/>
                <w:b/>
                <w:sz w:val="12"/>
                <w:szCs w:val="12"/>
              </w:rPr>
              <w:t>strateškog</w:t>
            </w:r>
            <w:r w:rsidRPr="00B812D4">
              <w:rPr>
                <w:rFonts w:ascii="Arial" w:hAnsi="Arial" w:cs="Arial"/>
                <w:b/>
                <w:spacing w:val="-34"/>
                <w:sz w:val="12"/>
                <w:szCs w:val="12"/>
              </w:rPr>
              <w:t xml:space="preserve"> </w:t>
            </w:r>
            <w:r w:rsidRPr="00B812D4">
              <w:rPr>
                <w:rFonts w:ascii="Arial" w:hAnsi="Arial" w:cs="Arial"/>
                <w:b/>
                <w:sz w:val="12"/>
                <w:szCs w:val="12"/>
              </w:rPr>
              <w:t>planiranja</w:t>
            </w:r>
          </w:p>
        </w:tc>
        <w:tc>
          <w:tcPr>
            <w:tcW w:w="532" w:type="pct"/>
            <w:vMerge w:val="restart"/>
            <w:tcBorders>
              <w:top w:val="single" w:sz="4" w:space="0" w:color="auto"/>
              <w:left w:val="nil"/>
              <w:right w:val="single" w:sz="4" w:space="0" w:color="auto"/>
            </w:tcBorders>
            <w:vAlign w:val="center"/>
          </w:tcPr>
          <w:p w14:paraId="7DEBA5F9" w14:textId="77777777" w:rsidR="00E541EE" w:rsidRPr="00B812D4" w:rsidRDefault="00E541EE" w:rsidP="00A84BB5">
            <w:pPr>
              <w:jc w:val="center"/>
              <w:rPr>
                <w:rFonts w:ascii="Arial" w:eastAsia="Times New Roman" w:hAnsi="Arial" w:cs="Arial"/>
                <w:b/>
                <w:bCs/>
                <w:sz w:val="12"/>
                <w:szCs w:val="12"/>
              </w:rPr>
            </w:pPr>
            <w:r w:rsidRPr="00B812D4">
              <w:rPr>
                <w:rFonts w:ascii="Arial" w:hAnsi="Arial" w:cs="Arial"/>
                <w:b/>
                <w:sz w:val="12"/>
                <w:szCs w:val="12"/>
              </w:rPr>
              <w:t>Naziv</w:t>
            </w:r>
            <w:r w:rsidRPr="00B812D4">
              <w:rPr>
                <w:rFonts w:ascii="Arial" w:hAnsi="Arial" w:cs="Arial"/>
                <w:b/>
                <w:spacing w:val="-3"/>
                <w:sz w:val="12"/>
                <w:szCs w:val="12"/>
              </w:rPr>
              <w:t xml:space="preserve"> </w:t>
            </w:r>
            <w:r w:rsidRPr="00B812D4">
              <w:rPr>
                <w:rFonts w:ascii="Arial" w:hAnsi="Arial" w:cs="Arial"/>
                <w:b/>
                <w:sz w:val="12"/>
                <w:szCs w:val="12"/>
              </w:rPr>
              <w:t>cilja nadređenog</w:t>
            </w:r>
            <w:r w:rsidRPr="00B812D4">
              <w:rPr>
                <w:rFonts w:ascii="Arial" w:hAnsi="Arial" w:cs="Arial"/>
                <w:b/>
                <w:spacing w:val="1"/>
                <w:sz w:val="12"/>
                <w:szCs w:val="12"/>
              </w:rPr>
              <w:t xml:space="preserve"> </w:t>
            </w:r>
            <w:r w:rsidRPr="00B812D4">
              <w:rPr>
                <w:rFonts w:ascii="Arial" w:hAnsi="Arial" w:cs="Arial"/>
                <w:b/>
                <w:spacing w:val="-1"/>
                <w:sz w:val="12"/>
                <w:szCs w:val="12"/>
              </w:rPr>
              <w:t>akta</w:t>
            </w:r>
            <w:r w:rsidRPr="00B812D4">
              <w:rPr>
                <w:rFonts w:ascii="Arial" w:hAnsi="Arial" w:cs="Arial"/>
                <w:b/>
                <w:spacing w:val="-2"/>
                <w:sz w:val="12"/>
                <w:szCs w:val="12"/>
              </w:rPr>
              <w:t xml:space="preserve"> </w:t>
            </w:r>
            <w:r w:rsidRPr="00B812D4">
              <w:rPr>
                <w:rFonts w:ascii="Arial" w:hAnsi="Arial" w:cs="Arial"/>
                <w:b/>
                <w:spacing w:val="-1"/>
                <w:sz w:val="12"/>
                <w:szCs w:val="12"/>
              </w:rPr>
              <w:t xml:space="preserve">strateškog </w:t>
            </w:r>
            <w:r w:rsidRPr="00B812D4">
              <w:rPr>
                <w:rFonts w:ascii="Arial" w:hAnsi="Arial" w:cs="Arial"/>
                <w:b/>
                <w:sz w:val="12"/>
                <w:szCs w:val="12"/>
              </w:rPr>
              <w:t>planiranja</w:t>
            </w:r>
          </w:p>
        </w:tc>
        <w:tc>
          <w:tcPr>
            <w:tcW w:w="608" w:type="pct"/>
            <w:vMerge w:val="restart"/>
            <w:tcBorders>
              <w:top w:val="single" w:sz="4" w:space="0" w:color="auto"/>
              <w:left w:val="nil"/>
              <w:right w:val="single" w:sz="4" w:space="0" w:color="auto"/>
            </w:tcBorders>
            <w:vAlign w:val="center"/>
          </w:tcPr>
          <w:p w14:paraId="544B2A6E" w14:textId="77777777" w:rsidR="00E541EE" w:rsidRPr="00B812D4" w:rsidRDefault="00E541EE" w:rsidP="00A84BB5">
            <w:pPr>
              <w:jc w:val="center"/>
              <w:rPr>
                <w:rFonts w:ascii="Arial" w:eastAsia="Times New Roman" w:hAnsi="Arial" w:cs="Arial"/>
                <w:b/>
                <w:bCs/>
                <w:sz w:val="12"/>
                <w:szCs w:val="12"/>
              </w:rPr>
            </w:pPr>
            <w:r w:rsidRPr="00B812D4">
              <w:rPr>
                <w:rFonts w:ascii="Arial" w:hAnsi="Arial" w:cs="Arial"/>
                <w:b/>
                <w:spacing w:val="-1"/>
                <w:sz w:val="12"/>
                <w:szCs w:val="12"/>
              </w:rPr>
              <w:t xml:space="preserve">Program </w:t>
            </w:r>
            <w:r w:rsidRPr="00B812D4">
              <w:rPr>
                <w:rFonts w:ascii="Arial" w:hAnsi="Arial" w:cs="Arial"/>
                <w:b/>
                <w:sz w:val="12"/>
                <w:szCs w:val="12"/>
              </w:rPr>
              <w:t>u</w:t>
            </w:r>
            <w:r w:rsidRPr="00B812D4">
              <w:rPr>
                <w:rFonts w:ascii="Arial" w:hAnsi="Arial" w:cs="Arial"/>
                <w:b/>
                <w:spacing w:val="-34"/>
                <w:sz w:val="12"/>
                <w:szCs w:val="12"/>
              </w:rPr>
              <w:t xml:space="preserve"> </w:t>
            </w:r>
            <w:r w:rsidRPr="00B812D4">
              <w:rPr>
                <w:rFonts w:ascii="Arial" w:hAnsi="Arial" w:cs="Arial"/>
                <w:b/>
                <w:sz w:val="12"/>
                <w:szCs w:val="12"/>
              </w:rPr>
              <w:t xml:space="preserve">proračunu </w:t>
            </w:r>
            <w:r w:rsidRPr="00B812D4">
              <w:rPr>
                <w:rFonts w:ascii="Arial" w:hAnsi="Arial" w:cs="Arial"/>
                <w:b/>
                <w:spacing w:val="-34"/>
                <w:sz w:val="12"/>
                <w:szCs w:val="12"/>
              </w:rPr>
              <w:t xml:space="preserve"> </w:t>
            </w:r>
            <w:r w:rsidRPr="00B812D4">
              <w:rPr>
                <w:rFonts w:ascii="Arial" w:hAnsi="Arial" w:cs="Arial"/>
                <w:b/>
                <w:sz w:val="12"/>
                <w:szCs w:val="12"/>
              </w:rPr>
              <w:t>JLS</w:t>
            </w:r>
          </w:p>
        </w:tc>
        <w:tc>
          <w:tcPr>
            <w:tcW w:w="533" w:type="pct"/>
            <w:vMerge w:val="restart"/>
            <w:tcBorders>
              <w:top w:val="single" w:sz="4" w:space="0" w:color="auto"/>
              <w:left w:val="nil"/>
              <w:right w:val="single" w:sz="4" w:space="0" w:color="auto"/>
            </w:tcBorders>
            <w:vAlign w:val="center"/>
          </w:tcPr>
          <w:p w14:paraId="62A7AA3B" w14:textId="77777777" w:rsidR="00E541EE" w:rsidRPr="00B812D4" w:rsidRDefault="00E541EE" w:rsidP="00A84BB5">
            <w:pPr>
              <w:jc w:val="center"/>
              <w:rPr>
                <w:rFonts w:ascii="Arial" w:eastAsia="Times New Roman" w:hAnsi="Arial" w:cs="Arial"/>
                <w:b/>
                <w:bCs/>
                <w:sz w:val="12"/>
                <w:szCs w:val="12"/>
              </w:rPr>
            </w:pPr>
            <w:r w:rsidRPr="00B812D4">
              <w:rPr>
                <w:rFonts w:ascii="Arial" w:hAnsi="Arial" w:cs="Arial"/>
                <w:b/>
                <w:sz w:val="12"/>
                <w:szCs w:val="12"/>
              </w:rPr>
              <w:t>Naziv</w:t>
            </w:r>
            <w:r w:rsidRPr="00B812D4">
              <w:rPr>
                <w:rFonts w:ascii="Arial" w:hAnsi="Arial" w:cs="Arial"/>
                <w:b/>
                <w:spacing w:val="-2"/>
                <w:sz w:val="12"/>
                <w:szCs w:val="12"/>
              </w:rPr>
              <w:t xml:space="preserve"> </w:t>
            </w:r>
            <w:r w:rsidRPr="00B812D4">
              <w:rPr>
                <w:rFonts w:ascii="Arial" w:hAnsi="Arial" w:cs="Arial"/>
                <w:b/>
                <w:sz w:val="12"/>
                <w:szCs w:val="12"/>
              </w:rPr>
              <w:t>mjere</w:t>
            </w:r>
          </w:p>
        </w:tc>
        <w:tc>
          <w:tcPr>
            <w:tcW w:w="608" w:type="pct"/>
            <w:vMerge w:val="restart"/>
            <w:tcBorders>
              <w:top w:val="single" w:sz="4" w:space="0" w:color="auto"/>
              <w:left w:val="nil"/>
              <w:right w:val="single" w:sz="4" w:space="0" w:color="auto"/>
            </w:tcBorders>
            <w:vAlign w:val="center"/>
          </w:tcPr>
          <w:p w14:paraId="553A8554" w14:textId="77777777" w:rsidR="00E541EE" w:rsidRPr="00B812D4" w:rsidRDefault="00E541EE" w:rsidP="00A84BB5">
            <w:pPr>
              <w:pStyle w:val="TableParagraph"/>
              <w:ind w:left="70" w:right="60"/>
              <w:jc w:val="center"/>
              <w:rPr>
                <w:rFonts w:ascii="Arial" w:hAnsi="Arial" w:cs="Arial"/>
                <w:b/>
                <w:sz w:val="12"/>
                <w:szCs w:val="12"/>
              </w:rPr>
            </w:pPr>
            <w:r w:rsidRPr="00B812D4">
              <w:rPr>
                <w:rFonts w:ascii="Arial" w:hAnsi="Arial" w:cs="Arial"/>
                <w:b/>
                <w:sz w:val="12"/>
                <w:szCs w:val="12"/>
              </w:rPr>
              <w:t>Procijenjeni</w:t>
            </w:r>
            <w:r w:rsidRPr="00B812D4">
              <w:rPr>
                <w:rFonts w:ascii="Arial" w:hAnsi="Arial" w:cs="Arial"/>
                <w:b/>
                <w:spacing w:val="-34"/>
                <w:sz w:val="12"/>
                <w:szCs w:val="12"/>
              </w:rPr>
              <w:t xml:space="preserve"> </w:t>
            </w:r>
            <w:r w:rsidRPr="00B812D4">
              <w:rPr>
                <w:rFonts w:ascii="Arial" w:hAnsi="Arial" w:cs="Arial"/>
                <w:b/>
                <w:sz w:val="12"/>
                <w:szCs w:val="12"/>
              </w:rPr>
              <w:t>trošak</w:t>
            </w:r>
            <w:r w:rsidRPr="00B812D4">
              <w:rPr>
                <w:rFonts w:ascii="Arial" w:hAnsi="Arial" w:cs="Arial"/>
                <w:b/>
                <w:spacing w:val="1"/>
                <w:sz w:val="12"/>
                <w:szCs w:val="12"/>
              </w:rPr>
              <w:t xml:space="preserve"> </w:t>
            </w:r>
            <w:r w:rsidRPr="00B812D4">
              <w:rPr>
                <w:rFonts w:ascii="Arial" w:hAnsi="Arial" w:cs="Arial"/>
                <w:b/>
                <w:sz w:val="12"/>
                <w:szCs w:val="12"/>
              </w:rPr>
              <w:t>provedbe</w:t>
            </w:r>
            <w:r w:rsidRPr="00B812D4">
              <w:rPr>
                <w:rFonts w:ascii="Arial" w:hAnsi="Arial" w:cs="Arial"/>
                <w:b/>
                <w:spacing w:val="1"/>
                <w:sz w:val="12"/>
                <w:szCs w:val="12"/>
              </w:rPr>
              <w:t xml:space="preserve"> </w:t>
            </w:r>
            <w:r w:rsidRPr="00B812D4">
              <w:rPr>
                <w:rFonts w:ascii="Arial" w:hAnsi="Arial" w:cs="Arial"/>
                <w:b/>
                <w:sz w:val="12"/>
                <w:szCs w:val="12"/>
              </w:rPr>
              <w:t>mjere 2025.</w:t>
            </w:r>
          </w:p>
          <w:p w14:paraId="4119D6EF" w14:textId="77777777" w:rsidR="00E541EE" w:rsidRPr="00B812D4" w:rsidRDefault="00E541EE" w:rsidP="00A84BB5">
            <w:pPr>
              <w:jc w:val="center"/>
              <w:rPr>
                <w:rFonts w:ascii="Arial" w:eastAsia="Times New Roman" w:hAnsi="Arial" w:cs="Arial"/>
                <w:b/>
                <w:bCs/>
                <w:sz w:val="12"/>
                <w:szCs w:val="12"/>
              </w:rPr>
            </w:pPr>
            <w:r w:rsidRPr="00B812D4">
              <w:rPr>
                <w:rFonts w:ascii="Arial" w:hAnsi="Arial" w:cs="Arial"/>
                <w:b/>
                <w:sz w:val="12"/>
                <w:szCs w:val="12"/>
              </w:rPr>
              <w:t>(u EUR)</w:t>
            </w:r>
          </w:p>
        </w:tc>
        <w:tc>
          <w:tcPr>
            <w:tcW w:w="607" w:type="pct"/>
            <w:vMerge w:val="restart"/>
            <w:tcBorders>
              <w:top w:val="single" w:sz="4" w:space="0" w:color="auto"/>
              <w:left w:val="nil"/>
              <w:right w:val="single" w:sz="4" w:space="0" w:color="auto"/>
            </w:tcBorders>
            <w:vAlign w:val="center"/>
          </w:tcPr>
          <w:p w14:paraId="17576C7D" w14:textId="77777777" w:rsidR="00E541EE" w:rsidRPr="00B812D4" w:rsidRDefault="00E541EE" w:rsidP="00A84BB5">
            <w:pPr>
              <w:pStyle w:val="TableParagraph"/>
              <w:jc w:val="center"/>
              <w:rPr>
                <w:rFonts w:ascii="Arial" w:hAnsi="Arial" w:cs="Arial"/>
                <w:b/>
                <w:sz w:val="12"/>
                <w:szCs w:val="12"/>
              </w:rPr>
            </w:pPr>
            <w:r w:rsidRPr="00B812D4">
              <w:rPr>
                <w:rFonts w:ascii="Arial" w:hAnsi="Arial" w:cs="Arial"/>
                <w:b/>
                <w:sz w:val="12"/>
                <w:szCs w:val="12"/>
              </w:rPr>
              <w:t>Ključne</w:t>
            </w:r>
          </w:p>
          <w:p w14:paraId="0FE9ACD6" w14:textId="77777777" w:rsidR="00E541EE" w:rsidRPr="00B812D4" w:rsidRDefault="00E541EE" w:rsidP="00A84BB5">
            <w:pPr>
              <w:jc w:val="center"/>
              <w:rPr>
                <w:rFonts w:ascii="Arial" w:eastAsia="Times New Roman" w:hAnsi="Arial" w:cs="Arial"/>
                <w:b/>
                <w:bCs/>
                <w:sz w:val="12"/>
                <w:szCs w:val="12"/>
              </w:rPr>
            </w:pPr>
            <w:r w:rsidRPr="00B812D4">
              <w:rPr>
                <w:rFonts w:ascii="Arial" w:hAnsi="Arial" w:cs="Arial"/>
                <w:b/>
                <w:sz w:val="12"/>
                <w:szCs w:val="12"/>
              </w:rPr>
              <w:t>aktivnosti</w:t>
            </w:r>
          </w:p>
        </w:tc>
        <w:tc>
          <w:tcPr>
            <w:tcW w:w="430" w:type="pct"/>
            <w:vMerge w:val="restart"/>
            <w:tcBorders>
              <w:top w:val="single" w:sz="4" w:space="0" w:color="auto"/>
              <w:left w:val="nil"/>
              <w:right w:val="single" w:sz="4" w:space="0" w:color="auto"/>
            </w:tcBorders>
            <w:vAlign w:val="center"/>
          </w:tcPr>
          <w:p w14:paraId="129854C7" w14:textId="77777777" w:rsidR="00E541EE" w:rsidRPr="00B812D4" w:rsidRDefault="00E541EE" w:rsidP="00A84BB5">
            <w:pPr>
              <w:jc w:val="center"/>
              <w:rPr>
                <w:rFonts w:ascii="Arial" w:hAnsi="Arial" w:cs="Arial"/>
                <w:b/>
                <w:sz w:val="12"/>
                <w:szCs w:val="12"/>
              </w:rPr>
            </w:pPr>
            <w:r w:rsidRPr="00B812D4">
              <w:rPr>
                <w:rFonts w:ascii="Arial" w:hAnsi="Arial" w:cs="Arial"/>
                <w:b/>
                <w:sz w:val="12"/>
                <w:szCs w:val="12"/>
              </w:rPr>
              <w:t>Pokazatelj</w:t>
            </w:r>
          </w:p>
          <w:p w14:paraId="78F91142" w14:textId="77777777" w:rsidR="00E541EE" w:rsidRPr="00B812D4" w:rsidRDefault="00E541EE" w:rsidP="00A84BB5">
            <w:pPr>
              <w:jc w:val="center"/>
              <w:rPr>
                <w:rFonts w:ascii="Arial" w:eastAsia="Times New Roman" w:hAnsi="Arial" w:cs="Arial"/>
                <w:b/>
                <w:bCs/>
                <w:sz w:val="12"/>
                <w:szCs w:val="12"/>
              </w:rPr>
            </w:pPr>
            <w:r w:rsidRPr="00B812D4">
              <w:rPr>
                <w:rFonts w:ascii="Arial" w:hAnsi="Arial" w:cs="Arial"/>
                <w:b/>
                <w:sz w:val="12"/>
                <w:szCs w:val="12"/>
              </w:rPr>
              <w:t xml:space="preserve"> </w:t>
            </w:r>
            <w:r w:rsidRPr="00B812D4">
              <w:rPr>
                <w:rFonts w:ascii="Arial" w:hAnsi="Arial" w:cs="Arial"/>
                <w:b/>
                <w:spacing w:val="-34"/>
                <w:sz w:val="12"/>
                <w:szCs w:val="12"/>
              </w:rPr>
              <w:t xml:space="preserve"> </w:t>
            </w:r>
            <w:r w:rsidRPr="00B812D4">
              <w:rPr>
                <w:rFonts w:ascii="Arial" w:hAnsi="Arial" w:cs="Arial"/>
                <w:b/>
                <w:sz w:val="12"/>
                <w:szCs w:val="12"/>
              </w:rPr>
              <w:t>rezultata</w:t>
            </w:r>
          </w:p>
        </w:tc>
        <w:tc>
          <w:tcPr>
            <w:tcW w:w="335" w:type="pct"/>
            <w:vMerge w:val="restart"/>
            <w:tcBorders>
              <w:top w:val="single" w:sz="4" w:space="0" w:color="auto"/>
              <w:left w:val="nil"/>
              <w:right w:val="single" w:sz="4" w:space="0" w:color="auto"/>
            </w:tcBorders>
            <w:vAlign w:val="center"/>
          </w:tcPr>
          <w:p w14:paraId="06180F4F" w14:textId="77777777" w:rsidR="00E541EE" w:rsidRPr="00B812D4" w:rsidRDefault="00E541EE" w:rsidP="00A84BB5">
            <w:pPr>
              <w:jc w:val="center"/>
              <w:rPr>
                <w:rFonts w:ascii="Arial" w:hAnsi="Arial" w:cs="Arial"/>
                <w:b/>
                <w:sz w:val="12"/>
                <w:szCs w:val="12"/>
              </w:rPr>
            </w:pPr>
            <w:r w:rsidRPr="00B812D4">
              <w:rPr>
                <w:rFonts w:ascii="Arial" w:hAnsi="Arial" w:cs="Arial"/>
                <w:b/>
                <w:sz w:val="12"/>
                <w:szCs w:val="12"/>
              </w:rPr>
              <w:t>Početna</w:t>
            </w:r>
            <w:r w:rsidRPr="00B812D4">
              <w:rPr>
                <w:rFonts w:ascii="Arial" w:hAnsi="Arial" w:cs="Arial"/>
                <w:b/>
                <w:spacing w:val="1"/>
                <w:sz w:val="12"/>
                <w:szCs w:val="12"/>
              </w:rPr>
              <w:t xml:space="preserve"> </w:t>
            </w:r>
            <w:r w:rsidRPr="00B812D4">
              <w:rPr>
                <w:rFonts w:ascii="Arial" w:hAnsi="Arial" w:cs="Arial"/>
                <w:b/>
                <w:sz w:val="12"/>
                <w:szCs w:val="12"/>
              </w:rPr>
              <w:t>vrijednost 2025.</w:t>
            </w:r>
          </w:p>
        </w:tc>
        <w:tc>
          <w:tcPr>
            <w:tcW w:w="816" w:type="pct"/>
            <w:gridSpan w:val="3"/>
            <w:tcBorders>
              <w:top w:val="single" w:sz="4" w:space="0" w:color="auto"/>
              <w:left w:val="nil"/>
              <w:bottom w:val="single" w:sz="4" w:space="0" w:color="auto"/>
              <w:right w:val="single" w:sz="4" w:space="0" w:color="auto"/>
            </w:tcBorders>
            <w:vAlign w:val="center"/>
          </w:tcPr>
          <w:p w14:paraId="641006C4" w14:textId="77777777" w:rsidR="00E541EE" w:rsidRPr="00B812D4" w:rsidRDefault="00E541EE" w:rsidP="00A84BB5">
            <w:pPr>
              <w:jc w:val="center"/>
              <w:rPr>
                <w:rFonts w:ascii="Arial" w:hAnsi="Arial" w:cs="Arial"/>
                <w:sz w:val="12"/>
                <w:szCs w:val="12"/>
              </w:rPr>
            </w:pPr>
            <w:r w:rsidRPr="00B812D4">
              <w:rPr>
                <w:rFonts w:ascii="Arial" w:hAnsi="Arial" w:cs="Arial"/>
                <w:b/>
                <w:sz w:val="12"/>
                <w:szCs w:val="12"/>
              </w:rPr>
              <w:t>Ciljna</w:t>
            </w:r>
            <w:r w:rsidRPr="00B812D4">
              <w:rPr>
                <w:rFonts w:ascii="Arial" w:hAnsi="Arial" w:cs="Arial"/>
                <w:b/>
                <w:spacing w:val="1"/>
                <w:sz w:val="12"/>
                <w:szCs w:val="12"/>
              </w:rPr>
              <w:t xml:space="preserve"> </w:t>
            </w:r>
            <w:r w:rsidRPr="00B812D4">
              <w:rPr>
                <w:rFonts w:ascii="Arial" w:hAnsi="Arial" w:cs="Arial"/>
                <w:b/>
                <w:sz w:val="12"/>
                <w:szCs w:val="12"/>
              </w:rPr>
              <w:t>vrijednost</w:t>
            </w:r>
          </w:p>
        </w:tc>
      </w:tr>
      <w:tr w:rsidR="00E541EE" w:rsidRPr="00B812D4" w14:paraId="75415C16" w14:textId="77777777" w:rsidTr="00F664F1">
        <w:trPr>
          <w:trHeight w:val="173"/>
        </w:trPr>
        <w:tc>
          <w:tcPr>
            <w:tcW w:w="531" w:type="pct"/>
            <w:vMerge/>
            <w:tcBorders>
              <w:left w:val="single" w:sz="4" w:space="0" w:color="auto"/>
              <w:bottom w:val="single" w:sz="4" w:space="0" w:color="auto"/>
              <w:right w:val="single" w:sz="4" w:space="0" w:color="auto"/>
            </w:tcBorders>
            <w:vAlign w:val="center"/>
            <w:hideMark/>
          </w:tcPr>
          <w:p w14:paraId="1D148037" w14:textId="77777777" w:rsidR="00E541EE" w:rsidRPr="00B812D4" w:rsidRDefault="00E541EE" w:rsidP="00A84BB5">
            <w:pPr>
              <w:jc w:val="center"/>
              <w:rPr>
                <w:rFonts w:ascii="Arial" w:eastAsia="Times New Roman" w:hAnsi="Arial" w:cs="Arial"/>
                <w:b/>
                <w:bCs/>
                <w:sz w:val="12"/>
                <w:szCs w:val="12"/>
              </w:rPr>
            </w:pPr>
          </w:p>
        </w:tc>
        <w:tc>
          <w:tcPr>
            <w:tcW w:w="532" w:type="pct"/>
            <w:vMerge/>
            <w:tcBorders>
              <w:left w:val="nil"/>
              <w:bottom w:val="single" w:sz="4" w:space="0" w:color="auto"/>
              <w:right w:val="single" w:sz="4" w:space="0" w:color="auto"/>
            </w:tcBorders>
            <w:vAlign w:val="center"/>
            <w:hideMark/>
          </w:tcPr>
          <w:p w14:paraId="36876F6F" w14:textId="77777777" w:rsidR="00E541EE" w:rsidRPr="00B812D4" w:rsidRDefault="00E541EE" w:rsidP="00A84BB5">
            <w:pPr>
              <w:jc w:val="center"/>
              <w:rPr>
                <w:rFonts w:ascii="Arial" w:eastAsia="Times New Roman" w:hAnsi="Arial" w:cs="Arial"/>
                <w:b/>
                <w:bCs/>
                <w:sz w:val="12"/>
                <w:szCs w:val="12"/>
              </w:rPr>
            </w:pPr>
          </w:p>
        </w:tc>
        <w:tc>
          <w:tcPr>
            <w:tcW w:w="608" w:type="pct"/>
            <w:vMerge/>
            <w:tcBorders>
              <w:left w:val="nil"/>
              <w:bottom w:val="single" w:sz="4" w:space="0" w:color="auto"/>
              <w:right w:val="single" w:sz="4" w:space="0" w:color="auto"/>
            </w:tcBorders>
            <w:vAlign w:val="center"/>
            <w:hideMark/>
          </w:tcPr>
          <w:p w14:paraId="04CACAAC" w14:textId="77777777" w:rsidR="00E541EE" w:rsidRPr="00B812D4" w:rsidRDefault="00E541EE" w:rsidP="00A84BB5">
            <w:pPr>
              <w:jc w:val="center"/>
              <w:rPr>
                <w:rFonts w:ascii="Arial" w:eastAsia="Times New Roman" w:hAnsi="Arial" w:cs="Arial"/>
                <w:b/>
                <w:bCs/>
                <w:sz w:val="12"/>
                <w:szCs w:val="12"/>
              </w:rPr>
            </w:pPr>
          </w:p>
        </w:tc>
        <w:tc>
          <w:tcPr>
            <w:tcW w:w="533" w:type="pct"/>
            <w:vMerge/>
            <w:tcBorders>
              <w:left w:val="nil"/>
              <w:bottom w:val="single" w:sz="4" w:space="0" w:color="auto"/>
              <w:right w:val="single" w:sz="4" w:space="0" w:color="auto"/>
            </w:tcBorders>
            <w:vAlign w:val="center"/>
            <w:hideMark/>
          </w:tcPr>
          <w:p w14:paraId="72CDD7B0" w14:textId="77777777" w:rsidR="00E541EE" w:rsidRPr="00B812D4" w:rsidRDefault="00E541EE" w:rsidP="00A84BB5">
            <w:pPr>
              <w:jc w:val="center"/>
              <w:rPr>
                <w:rFonts w:ascii="Arial" w:eastAsia="Times New Roman" w:hAnsi="Arial" w:cs="Arial"/>
                <w:b/>
                <w:bCs/>
                <w:sz w:val="12"/>
                <w:szCs w:val="12"/>
              </w:rPr>
            </w:pPr>
          </w:p>
        </w:tc>
        <w:tc>
          <w:tcPr>
            <w:tcW w:w="608" w:type="pct"/>
            <w:vMerge/>
            <w:tcBorders>
              <w:left w:val="nil"/>
              <w:bottom w:val="single" w:sz="4" w:space="0" w:color="auto"/>
              <w:right w:val="single" w:sz="4" w:space="0" w:color="auto"/>
            </w:tcBorders>
            <w:vAlign w:val="center"/>
            <w:hideMark/>
          </w:tcPr>
          <w:p w14:paraId="5DD86569" w14:textId="77777777" w:rsidR="00E541EE" w:rsidRPr="00B812D4" w:rsidRDefault="00E541EE" w:rsidP="00A84BB5">
            <w:pPr>
              <w:jc w:val="center"/>
              <w:rPr>
                <w:rFonts w:ascii="Arial" w:eastAsia="Times New Roman" w:hAnsi="Arial" w:cs="Arial"/>
                <w:b/>
                <w:bCs/>
                <w:sz w:val="12"/>
                <w:szCs w:val="12"/>
              </w:rPr>
            </w:pPr>
          </w:p>
        </w:tc>
        <w:tc>
          <w:tcPr>
            <w:tcW w:w="607" w:type="pct"/>
            <w:vMerge/>
            <w:tcBorders>
              <w:left w:val="nil"/>
              <w:bottom w:val="single" w:sz="4" w:space="0" w:color="auto"/>
              <w:right w:val="single" w:sz="4" w:space="0" w:color="auto"/>
            </w:tcBorders>
            <w:vAlign w:val="center"/>
            <w:hideMark/>
          </w:tcPr>
          <w:p w14:paraId="51B74B54" w14:textId="77777777" w:rsidR="00E541EE" w:rsidRPr="00B812D4" w:rsidRDefault="00E541EE" w:rsidP="00A84BB5">
            <w:pPr>
              <w:jc w:val="center"/>
              <w:rPr>
                <w:rFonts w:ascii="Arial" w:eastAsia="Times New Roman" w:hAnsi="Arial" w:cs="Arial"/>
                <w:b/>
                <w:bCs/>
                <w:sz w:val="12"/>
                <w:szCs w:val="12"/>
              </w:rPr>
            </w:pPr>
          </w:p>
        </w:tc>
        <w:tc>
          <w:tcPr>
            <w:tcW w:w="430" w:type="pct"/>
            <w:vMerge/>
            <w:tcBorders>
              <w:left w:val="nil"/>
              <w:bottom w:val="single" w:sz="4" w:space="0" w:color="auto"/>
              <w:right w:val="single" w:sz="4" w:space="0" w:color="auto"/>
            </w:tcBorders>
            <w:vAlign w:val="center"/>
            <w:hideMark/>
          </w:tcPr>
          <w:p w14:paraId="7FD1BBB7" w14:textId="77777777" w:rsidR="00E541EE" w:rsidRPr="00B812D4" w:rsidRDefault="00E541EE" w:rsidP="00A84BB5">
            <w:pPr>
              <w:jc w:val="center"/>
              <w:rPr>
                <w:rFonts w:ascii="Arial" w:eastAsia="Times New Roman" w:hAnsi="Arial" w:cs="Arial"/>
                <w:b/>
                <w:bCs/>
                <w:sz w:val="12"/>
                <w:szCs w:val="12"/>
              </w:rPr>
            </w:pPr>
          </w:p>
        </w:tc>
        <w:tc>
          <w:tcPr>
            <w:tcW w:w="335" w:type="pct"/>
            <w:vMerge/>
            <w:tcBorders>
              <w:left w:val="nil"/>
              <w:bottom w:val="single" w:sz="4" w:space="0" w:color="auto"/>
              <w:right w:val="single" w:sz="4" w:space="0" w:color="auto"/>
            </w:tcBorders>
            <w:vAlign w:val="center"/>
            <w:hideMark/>
          </w:tcPr>
          <w:p w14:paraId="2C1B5265" w14:textId="77777777" w:rsidR="00E541EE" w:rsidRPr="00B812D4" w:rsidRDefault="00E541EE" w:rsidP="00A84BB5">
            <w:pPr>
              <w:jc w:val="center"/>
              <w:rPr>
                <w:rFonts w:ascii="Arial" w:eastAsia="Times New Roman" w:hAnsi="Arial" w:cs="Arial"/>
                <w:b/>
                <w:bCs/>
                <w:sz w:val="12"/>
                <w:szCs w:val="12"/>
              </w:rPr>
            </w:pPr>
          </w:p>
        </w:tc>
        <w:tc>
          <w:tcPr>
            <w:tcW w:w="301" w:type="pct"/>
            <w:tcBorders>
              <w:top w:val="single" w:sz="4" w:space="0" w:color="auto"/>
              <w:left w:val="nil"/>
              <w:bottom w:val="single" w:sz="4" w:space="0" w:color="auto"/>
              <w:right w:val="single" w:sz="4" w:space="0" w:color="auto"/>
            </w:tcBorders>
            <w:vAlign w:val="center"/>
            <w:hideMark/>
          </w:tcPr>
          <w:p w14:paraId="2F34AA5C" w14:textId="77777777" w:rsidR="00E541EE" w:rsidRPr="00B812D4" w:rsidRDefault="00E541EE" w:rsidP="00A84BB5">
            <w:pPr>
              <w:jc w:val="center"/>
              <w:rPr>
                <w:rFonts w:ascii="Arial" w:eastAsia="Times New Roman" w:hAnsi="Arial" w:cs="Arial"/>
                <w:b/>
                <w:bCs/>
                <w:sz w:val="12"/>
                <w:szCs w:val="12"/>
              </w:rPr>
            </w:pPr>
            <w:r w:rsidRPr="00B812D4">
              <w:rPr>
                <w:rFonts w:ascii="Arial" w:hAnsi="Arial" w:cs="Arial"/>
                <w:b/>
                <w:sz w:val="12"/>
                <w:szCs w:val="12"/>
              </w:rPr>
              <w:t>za 2026.</w:t>
            </w:r>
          </w:p>
        </w:tc>
        <w:tc>
          <w:tcPr>
            <w:tcW w:w="310" w:type="pct"/>
            <w:tcBorders>
              <w:top w:val="single" w:sz="4" w:space="0" w:color="auto"/>
              <w:left w:val="nil"/>
              <w:bottom w:val="single" w:sz="4" w:space="0" w:color="auto"/>
              <w:right w:val="single" w:sz="4" w:space="0" w:color="auto"/>
            </w:tcBorders>
            <w:vAlign w:val="center"/>
            <w:hideMark/>
          </w:tcPr>
          <w:p w14:paraId="127851B5" w14:textId="77777777" w:rsidR="00E541EE" w:rsidRPr="00B812D4" w:rsidRDefault="00E541EE" w:rsidP="00A84BB5">
            <w:pPr>
              <w:pStyle w:val="TableParagraph"/>
              <w:ind w:left="75" w:right="61"/>
              <w:jc w:val="center"/>
              <w:rPr>
                <w:rFonts w:ascii="Arial" w:hAnsi="Arial" w:cs="Arial"/>
                <w:b/>
                <w:sz w:val="12"/>
                <w:szCs w:val="12"/>
              </w:rPr>
            </w:pPr>
            <w:r w:rsidRPr="00B812D4">
              <w:rPr>
                <w:rFonts w:ascii="Arial" w:hAnsi="Arial" w:cs="Arial"/>
                <w:b/>
                <w:sz w:val="12"/>
                <w:szCs w:val="12"/>
              </w:rPr>
              <w:t>za</w:t>
            </w:r>
          </w:p>
          <w:p w14:paraId="2CE34EC4" w14:textId="77777777" w:rsidR="00E541EE" w:rsidRPr="00B812D4" w:rsidRDefault="00E541EE" w:rsidP="00A84BB5">
            <w:pPr>
              <w:jc w:val="center"/>
              <w:rPr>
                <w:rFonts w:ascii="Arial" w:eastAsia="Times New Roman" w:hAnsi="Arial" w:cs="Arial"/>
                <w:b/>
                <w:bCs/>
                <w:sz w:val="12"/>
                <w:szCs w:val="12"/>
              </w:rPr>
            </w:pPr>
            <w:r w:rsidRPr="00B812D4">
              <w:rPr>
                <w:rFonts w:ascii="Arial" w:hAnsi="Arial" w:cs="Arial"/>
                <w:b/>
                <w:sz w:val="12"/>
                <w:szCs w:val="12"/>
              </w:rPr>
              <w:t>2027.</w:t>
            </w:r>
          </w:p>
        </w:tc>
        <w:tc>
          <w:tcPr>
            <w:tcW w:w="204" w:type="pct"/>
            <w:tcBorders>
              <w:top w:val="single" w:sz="4" w:space="0" w:color="auto"/>
              <w:left w:val="nil"/>
              <w:bottom w:val="single" w:sz="4" w:space="0" w:color="auto"/>
              <w:right w:val="single" w:sz="4" w:space="0" w:color="auto"/>
            </w:tcBorders>
            <w:vAlign w:val="center"/>
            <w:hideMark/>
          </w:tcPr>
          <w:p w14:paraId="27519005" w14:textId="77777777" w:rsidR="00E541EE" w:rsidRPr="00B812D4" w:rsidRDefault="00E541EE" w:rsidP="00A84BB5">
            <w:pPr>
              <w:pStyle w:val="TableParagraph"/>
              <w:ind w:left="70" w:right="56"/>
              <w:jc w:val="center"/>
              <w:rPr>
                <w:rFonts w:ascii="Arial" w:hAnsi="Arial" w:cs="Arial"/>
                <w:b/>
                <w:sz w:val="12"/>
                <w:szCs w:val="12"/>
              </w:rPr>
            </w:pPr>
            <w:r w:rsidRPr="00B812D4">
              <w:rPr>
                <w:rFonts w:ascii="Arial" w:hAnsi="Arial" w:cs="Arial"/>
                <w:b/>
                <w:sz w:val="12"/>
                <w:szCs w:val="12"/>
              </w:rPr>
              <w:t>za</w:t>
            </w:r>
          </w:p>
          <w:p w14:paraId="7F0EC8FC" w14:textId="77777777" w:rsidR="00E541EE" w:rsidRPr="00B812D4" w:rsidRDefault="00E541EE" w:rsidP="00A84BB5">
            <w:pPr>
              <w:jc w:val="center"/>
              <w:rPr>
                <w:rFonts w:ascii="Arial" w:eastAsia="Times New Roman" w:hAnsi="Arial" w:cs="Arial"/>
                <w:b/>
                <w:bCs/>
                <w:sz w:val="12"/>
                <w:szCs w:val="12"/>
              </w:rPr>
            </w:pPr>
            <w:r w:rsidRPr="00B812D4">
              <w:rPr>
                <w:rFonts w:ascii="Arial" w:hAnsi="Arial" w:cs="Arial"/>
                <w:b/>
                <w:sz w:val="12"/>
                <w:szCs w:val="12"/>
              </w:rPr>
              <w:t>2028.</w:t>
            </w:r>
          </w:p>
        </w:tc>
      </w:tr>
      <w:tr w:rsidR="00E541EE" w:rsidRPr="002575AB" w14:paraId="585AA688" w14:textId="77777777" w:rsidTr="00F664F1">
        <w:trPr>
          <w:trHeight w:val="1082"/>
        </w:trPr>
        <w:tc>
          <w:tcPr>
            <w:tcW w:w="531"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776B199" w14:textId="77777777" w:rsidR="00E541EE" w:rsidRPr="002575AB" w:rsidRDefault="00E541EE" w:rsidP="00A84BB5">
            <w:pPr>
              <w:jc w:val="center"/>
              <w:rPr>
                <w:rFonts w:ascii="Arial" w:eastAsia="Times New Roman" w:hAnsi="Arial" w:cs="Arial"/>
                <w:sz w:val="10"/>
                <w:szCs w:val="10"/>
              </w:rPr>
            </w:pPr>
            <w:r w:rsidRPr="002575AB">
              <w:rPr>
                <w:rFonts w:ascii="Arial" w:eastAsia="Times New Roman" w:hAnsi="Arial" w:cs="Arial"/>
                <w:sz w:val="10"/>
                <w:szCs w:val="10"/>
              </w:rPr>
              <w:t>Provedbeni program Grada Rovinja-Rovigno za razdoblje 2025.-2029. godine</w:t>
            </w:r>
          </w:p>
          <w:p w14:paraId="4F88334A" w14:textId="77777777" w:rsidR="00E541EE" w:rsidRPr="002575AB" w:rsidRDefault="00E541EE" w:rsidP="00A84BB5">
            <w:pPr>
              <w:jc w:val="center"/>
              <w:rPr>
                <w:rFonts w:ascii="Arial" w:eastAsia="Times New Roman" w:hAnsi="Arial" w:cs="Arial"/>
                <w:sz w:val="10"/>
                <w:szCs w:val="10"/>
              </w:rPr>
            </w:pPr>
            <w:r w:rsidRPr="002575AB">
              <w:rPr>
                <w:rFonts w:ascii="Arial" w:eastAsia="Times New Roman" w:hAnsi="Arial" w:cs="Arial"/>
                <w:sz w:val="10"/>
                <w:szCs w:val="10"/>
              </w:rPr>
              <w:t> </w:t>
            </w:r>
          </w:p>
        </w:tc>
        <w:tc>
          <w:tcPr>
            <w:tcW w:w="532"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7248FA0" w14:textId="77777777" w:rsidR="00E541EE" w:rsidRPr="002575AB" w:rsidRDefault="00E541EE" w:rsidP="00A84BB5">
            <w:pPr>
              <w:rPr>
                <w:rFonts w:ascii="Arial" w:eastAsia="Times New Roman" w:hAnsi="Arial" w:cs="Arial"/>
                <w:sz w:val="10"/>
                <w:szCs w:val="10"/>
              </w:rPr>
            </w:pPr>
            <w:r w:rsidRPr="002575AB">
              <w:rPr>
                <w:rFonts w:ascii="Arial" w:eastAsia="Times New Roman" w:hAnsi="Arial" w:cs="Arial"/>
                <w:sz w:val="10"/>
                <w:szCs w:val="10"/>
              </w:rPr>
              <w:t>1.2. Održivo prometno i komunikacijsko povezivanje</w:t>
            </w:r>
          </w:p>
        </w:tc>
        <w:tc>
          <w:tcPr>
            <w:tcW w:w="608" w:type="pct"/>
            <w:vMerge w:val="restar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10A6BCA1" w14:textId="77777777" w:rsidR="00E541EE" w:rsidRPr="002575AB" w:rsidRDefault="00E541EE" w:rsidP="00A84BB5">
            <w:pPr>
              <w:rPr>
                <w:rFonts w:ascii="Arial" w:eastAsia="Times New Roman" w:hAnsi="Arial" w:cs="Arial"/>
                <w:sz w:val="10"/>
                <w:szCs w:val="10"/>
              </w:rPr>
            </w:pPr>
            <w:r w:rsidRPr="002575AB">
              <w:rPr>
                <w:rFonts w:ascii="Arial" w:eastAsia="Times New Roman" w:hAnsi="Arial" w:cs="Arial"/>
                <w:sz w:val="10"/>
                <w:szCs w:val="10"/>
              </w:rPr>
              <w:t>P1014 GRAĐENJE OBJEKATA</w:t>
            </w:r>
          </w:p>
        </w:tc>
        <w:tc>
          <w:tcPr>
            <w:tcW w:w="533"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79F153F" w14:textId="77777777" w:rsidR="00E541EE" w:rsidRPr="002575AB" w:rsidRDefault="00E541EE" w:rsidP="00A84BB5">
            <w:pPr>
              <w:rPr>
                <w:rFonts w:ascii="Arial" w:eastAsia="Times New Roman" w:hAnsi="Arial" w:cs="Arial"/>
                <w:sz w:val="10"/>
                <w:szCs w:val="10"/>
              </w:rPr>
            </w:pPr>
            <w:r w:rsidRPr="002575AB">
              <w:rPr>
                <w:rFonts w:ascii="Arial" w:eastAsia="Times New Roman" w:hAnsi="Arial" w:cs="Arial"/>
                <w:sz w:val="10"/>
                <w:szCs w:val="10"/>
              </w:rPr>
              <w:t>Poboljšanje cestovnog prometa i infrastrukture</w:t>
            </w:r>
          </w:p>
        </w:tc>
        <w:tc>
          <w:tcPr>
            <w:tcW w:w="608" w:type="pct"/>
            <w:vMerge w:val="restar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5CFF0AE5" w14:textId="77777777" w:rsidR="00E541EE" w:rsidRPr="002575AB" w:rsidRDefault="00E541EE" w:rsidP="00A84BB5">
            <w:pPr>
              <w:ind w:left="-281" w:right="-20" w:firstLine="281"/>
              <w:jc w:val="right"/>
              <w:rPr>
                <w:rFonts w:ascii="Arial" w:eastAsia="Times New Roman" w:hAnsi="Arial" w:cs="Arial"/>
                <w:sz w:val="10"/>
                <w:szCs w:val="10"/>
              </w:rPr>
            </w:pPr>
            <w:r w:rsidRPr="002575AB">
              <w:rPr>
                <w:rFonts w:ascii="Arial" w:eastAsia="Times New Roman" w:hAnsi="Arial" w:cs="Arial"/>
                <w:sz w:val="10"/>
                <w:szCs w:val="10"/>
              </w:rPr>
              <w:t>1.041.530,00</w:t>
            </w:r>
          </w:p>
        </w:tc>
        <w:tc>
          <w:tcPr>
            <w:tcW w:w="607"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F51DA71" w14:textId="77777777" w:rsidR="00E541EE" w:rsidRPr="002575AB" w:rsidRDefault="00E541EE" w:rsidP="00A84BB5">
            <w:pPr>
              <w:rPr>
                <w:rFonts w:ascii="Arial" w:eastAsia="Times New Roman" w:hAnsi="Arial" w:cs="Arial"/>
                <w:sz w:val="10"/>
                <w:szCs w:val="10"/>
              </w:rPr>
            </w:pPr>
            <w:r w:rsidRPr="002575AB">
              <w:rPr>
                <w:rFonts w:ascii="Arial" w:eastAsia="Times New Roman" w:hAnsi="Arial" w:cs="Arial"/>
                <w:sz w:val="10"/>
                <w:szCs w:val="10"/>
              </w:rPr>
              <w:t xml:space="preserve">K101422 IZGRADNJA PROMETNICE NASELJE SALTERIA  </w:t>
            </w:r>
          </w:p>
          <w:p w14:paraId="4236066E" w14:textId="77777777" w:rsidR="00E541EE" w:rsidRPr="002575AB" w:rsidRDefault="00E541EE" w:rsidP="00A84BB5">
            <w:pPr>
              <w:rPr>
                <w:rFonts w:ascii="Arial" w:eastAsia="Times New Roman" w:hAnsi="Arial" w:cs="Arial"/>
                <w:sz w:val="10"/>
                <w:szCs w:val="10"/>
              </w:rPr>
            </w:pPr>
          </w:p>
          <w:p w14:paraId="2DA17A96" w14:textId="77777777" w:rsidR="00E541EE" w:rsidRPr="002575AB" w:rsidRDefault="00E541EE" w:rsidP="00A84BB5">
            <w:pPr>
              <w:rPr>
                <w:rFonts w:ascii="Arial" w:eastAsia="Times New Roman" w:hAnsi="Arial" w:cs="Arial"/>
                <w:sz w:val="10"/>
                <w:szCs w:val="10"/>
              </w:rPr>
            </w:pPr>
            <w:r w:rsidRPr="002575AB">
              <w:rPr>
                <w:rFonts w:ascii="Arial" w:eastAsia="Times New Roman" w:hAnsi="Arial" w:cs="Arial"/>
                <w:sz w:val="10"/>
                <w:szCs w:val="10"/>
              </w:rPr>
              <w:t>K101468 REKONSTRUKCIJA ULICE G.CARDUCCI</w:t>
            </w:r>
          </w:p>
          <w:p w14:paraId="26E8910E" w14:textId="77777777" w:rsidR="00E541EE" w:rsidRPr="002575AB" w:rsidRDefault="00E541EE" w:rsidP="00A84BB5">
            <w:pPr>
              <w:rPr>
                <w:rFonts w:ascii="Arial" w:eastAsia="Times New Roman" w:hAnsi="Arial" w:cs="Arial"/>
                <w:sz w:val="10"/>
                <w:szCs w:val="10"/>
              </w:rPr>
            </w:pPr>
          </w:p>
          <w:p w14:paraId="43118148" w14:textId="77777777" w:rsidR="00E541EE" w:rsidRPr="002575AB" w:rsidRDefault="00E541EE" w:rsidP="00A84BB5">
            <w:pPr>
              <w:rPr>
                <w:rFonts w:ascii="Arial" w:eastAsia="Times New Roman" w:hAnsi="Arial" w:cs="Arial"/>
                <w:sz w:val="10"/>
                <w:szCs w:val="10"/>
              </w:rPr>
            </w:pPr>
            <w:r w:rsidRPr="002575AB">
              <w:rPr>
                <w:rFonts w:ascii="Arial" w:eastAsia="Times New Roman" w:hAnsi="Arial" w:cs="Arial"/>
                <w:sz w:val="10"/>
                <w:szCs w:val="10"/>
              </w:rPr>
              <w:t xml:space="preserve">K101476 IZGRADNJA PROMETNICE GRIPOLE SPINE_VIII. FAZA K101479 REKONSTRUKCIJA UL.VALSARESI </w:t>
            </w:r>
          </w:p>
          <w:p w14:paraId="11996DAB" w14:textId="77777777" w:rsidR="00E541EE" w:rsidRPr="002575AB" w:rsidRDefault="00E541EE" w:rsidP="00A84BB5">
            <w:pPr>
              <w:rPr>
                <w:rFonts w:ascii="Arial" w:eastAsia="Times New Roman" w:hAnsi="Arial" w:cs="Arial"/>
                <w:sz w:val="10"/>
                <w:szCs w:val="10"/>
              </w:rPr>
            </w:pPr>
          </w:p>
          <w:p w14:paraId="4610E9AD" w14:textId="77777777" w:rsidR="00E541EE" w:rsidRPr="002575AB" w:rsidRDefault="00E541EE" w:rsidP="00A84BB5">
            <w:pPr>
              <w:rPr>
                <w:rFonts w:ascii="Arial" w:eastAsia="Times New Roman" w:hAnsi="Arial" w:cs="Arial"/>
                <w:sz w:val="10"/>
                <w:szCs w:val="10"/>
              </w:rPr>
            </w:pPr>
            <w:r w:rsidRPr="002575AB">
              <w:rPr>
                <w:rFonts w:ascii="Arial" w:eastAsia="Times New Roman" w:hAnsi="Arial" w:cs="Arial"/>
                <w:sz w:val="10"/>
                <w:szCs w:val="10"/>
              </w:rPr>
              <w:t xml:space="preserve">K101484 REKONSTRUKCIJA ROVINJSKE ULICE B </w:t>
            </w:r>
          </w:p>
          <w:p w14:paraId="11E1604D" w14:textId="77777777" w:rsidR="00E541EE" w:rsidRPr="002575AB" w:rsidRDefault="00E541EE" w:rsidP="00A84BB5">
            <w:pPr>
              <w:rPr>
                <w:rFonts w:ascii="Arial" w:eastAsia="Times New Roman" w:hAnsi="Arial" w:cs="Arial"/>
                <w:sz w:val="10"/>
                <w:szCs w:val="10"/>
              </w:rPr>
            </w:pPr>
          </w:p>
          <w:p w14:paraId="0E382445" w14:textId="77777777" w:rsidR="00E541EE" w:rsidRPr="002575AB" w:rsidRDefault="00E541EE" w:rsidP="00A84BB5">
            <w:pPr>
              <w:rPr>
                <w:rFonts w:ascii="Arial" w:eastAsia="Times New Roman" w:hAnsi="Arial" w:cs="Arial"/>
                <w:sz w:val="10"/>
                <w:szCs w:val="10"/>
              </w:rPr>
            </w:pPr>
            <w:r w:rsidRPr="002575AB">
              <w:rPr>
                <w:rFonts w:ascii="Arial" w:eastAsia="Times New Roman" w:hAnsi="Arial" w:cs="Arial"/>
                <w:sz w:val="10"/>
                <w:szCs w:val="10"/>
              </w:rPr>
              <w:t xml:space="preserve">K101436  IZGRADNJA PROMETNICE GRIPOLE SPINE' </w:t>
            </w:r>
          </w:p>
        </w:tc>
        <w:tc>
          <w:tcPr>
            <w:tcW w:w="430" w:type="pct"/>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1AD42AAF" w14:textId="77777777" w:rsidR="00E541EE" w:rsidRPr="002575AB" w:rsidRDefault="00E541EE" w:rsidP="00A84BB5">
            <w:pPr>
              <w:rPr>
                <w:rFonts w:ascii="Arial" w:eastAsia="Times New Roman" w:hAnsi="Arial" w:cs="Arial"/>
                <w:sz w:val="10"/>
                <w:szCs w:val="10"/>
              </w:rPr>
            </w:pPr>
            <w:r w:rsidRPr="002575AB">
              <w:rPr>
                <w:rFonts w:ascii="Arial" w:eastAsia="Times New Roman" w:hAnsi="Arial" w:cs="Arial"/>
                <w:sz w:val="10"/>
                <w:szCs w:val="10"/>
              </w:rPr>
              <w:t>Km novih javnih prometnica</w:t>
            </w:r>
          </w:p>
        </w:tc>
        <w:tc>
          <w:tcPr>
            <w:tcW w:w="335" w:type="pct"/>
            <w:tcBorders>
              <w:top w:val="single" w:sz="4" w:space="0" w:color="auto"/>
              <w:left w:val="nil"/>
              <w:bottom w:val="single" w:sz="4" w:space="0" w:color="auto"/>
              <w:right w:val="single" w:sz="4" w:space="0" w:color="auto"/>
            </w:tcBorders>
            <w:shd w:val="clear" w:color="000000" w:fill="FFFFFF"/>
            <w:vAlign w:val="center"/>
            <w:hideMark/>
          </w:tcPr>
          <w:p w14:paraId="58763737" w14:textId="77777777" w:rsidR="00E541EE" w:rsidRPr="002575AB" w:rsidRDefault="00E541EE" w:rsidP="00A84BB5">
            <w:pPr>
              <w:jc w:val="center"/>
              <w:rPr>
                <w:rFonts w:ascii="Arial" w:eastAsia="Times New Roman" w:hAnsi="Arial" w:cs="Arial"/>
                <w:sz w:val="10"/>
                <w:szCs w:val="10"/>
              </w:rPr>
            </w:pPr>
            <w:r w:rsidRPr="002575AB">
              <w:rPr>
                <w:rFonts w:ascii="Arial" w:eastAsia="Times New Roman" w:hAnsi="Arial" w:cs="Arial"/>
                <w:sz w:val="10"/>
                <w:szCs w:val="10"/>
              </w:rPr>
              <w:t>0,6</w:t>
            </w:r>
          </w:p>
        </w:tc>
        <w:tc>
          <w:tcPr>
            <w:tcW w:w="301" w:type="pct"/>
            <w:tcBorders>
              <w:top w:val="single" w:sz="4" w:space="0" w:color="auto"/>
              <w:left w:val="nil"/>
              <w:bottom w:val="single" w:sz="4" w:space="0" w:color="auto"/>
              <w:right w:val="single" w:sz="4" w:space="0" w:color="auto"/>
            </w:tcBorders>
            <w:shd w:val="clear" w:color="000000" w:fill="FFFFFF"/>
            <w:vAlign w:val="center"/>
            <w:hideMark/>
          </w:tcPr>
          <w:p w14:paraId="4A31294C" w14:textId="77777777" w:rsidR="00E541EE" w:rsidRPr="002575AB" w:rsidRDefault="00E541EE" w:rsidP="00A84BB5">
            <w:pPr>
              <w:jc w:val="center"/>
              <w:rPr>
                <w:rFonts w:ascii="Arial" w:eastAsia="Times New Roman" w:hAnsi="Arial" w:cs="Arial"/>
                <w:sz w:val="10"/>
                <w:szCs w:val="10"/>
              </w:rPr>
            </w:pPr>
            <w:r w:rsidRPr="002575AB">
              <w:rPr>
                <w:rFonts w:ascii="Arial" w:eastAsia="Times New Roman" w:hAnsi="Arial" w:cs="Arial"/>
                <w:sz w:val="10"/>
                <w:szCs w:val="10"/>
              </w:rPr>
              <w:t>1,2</w:t>
            </w:r>
          </w:p>
        </w:tc>
        <w:tc>
          <w:tcPr>
            <w:tcW w:w="310" w:type="pct"/>
            <w:tcBorders>
              <w:top w:val="single" w:sz="4" w:space="0" w:color="auto"/>
              <w:left w:val="nil"/>
              <w:bottom w:val="single" w:sz="4" w:space="0" w:color="auto"/>
              <w:right w:val="single" w:sz="4" w:space="0" w:color="auto"/>
            </w:tcBorders>
            <w:shd w:val="clear" w:color="000000" w:fill="FFFFFF"/>
            <w:vAlign w:val="center"/>
            <w:hideMark/>
          </w:tcPr>
          <w:p w14:paraId="5B0A2D29" w14:textId="77777777" w:rsidR="00E541EE" w:rsidRPr="002575AB" w:rsidRDefault="00E541EE" w:rsidP="00A84BB5">
            <w:pPr>
              <w:jc w:val="center"/>
              <w:rPr>
                <w:rFonts w:ascii="Arial" w:eastAsia="Times New Roman" w:hAnsi="Arial" w:cs="Arial"/>
                <w:sz w:val="10"/>
                <w:szCs w:val="10"/>
              </w:rPr>
            </w:pPr>
            <w:r w:rsidRPr="002575AB">
              <w:rPr>
                <w:rFonts w:ascii="Arial" w:eastAsia="Times New Roman" w:hAnsi="Arial" w:cs="Arial"/>
                <w:sz w:val="10"/>
                <w:szCs w:val="10"/>
              </w:rPr>
              <w:t>1,5</w:t>
            </w:r>
          </w:p>
        </w:tc>
        <w:tc>
          <w:tcPr>
            <w:tcW w:w="204" w:type="pct"/>
            <w:tcBorders>
              <w:top w:val="single" w:sz="4" w:space="0" w:color="auto"/>
              <w:left w:val="nil"/>
              <w:bottom w:val="single" w:sz="4" w:space="0" w:color="auto"/>
              <w:right w:val="single" w:sz="4" w:space="0" w:color="auto"/>
            </w:tcBorders>
            <w:shd w:val="clear" w:color="000000" w:fill="FFFFFF"/>
            <w:vAlign w:val="center"/>
            <w:hideMark/>
          </w:tcPr>
          <w:p w14:paraId="307374F5" w14:textId="77777777" w:rsidR="00E541EE" w:rsidRPr="002575AB" w:rsidRDefault="00E541EE" w:rsidP="00A84BB5">
            <w:pPr>
              <w:jc w:val="center"/>
              <w:rPr>
                <w:rFonts w:ascii="Arial" w:eastAsia="Times New Roman" w:hAnsi="Arial" w:cs="Arial"/>
                <w:sz w:val="10"/>
                <w:szCs w:val="10"/>
              </w:rPr>
            </w:pPr>
            <w:r w:rsidRPr="002575AB">
              <w:rPr>
                <w:rFonts w:ascii="Arial" w:eastAsia="Times New Roman" w:hAnsi="Arial" w:cs="Arial"/>
                <w:sz w:val="10"/>
                <w:szCs w:val="10"/>
              </w:rPr>
              <w:t>1,9</w:t>
            </w:r>
          </w:p>
        </w:tc>
      </w:tr>
      <w:tr w:rsidR="00E541EE" w:rsidRPr="002575AB" w14:paraId="6D68656D" w14:textId="77777777" w:rsidTr="00F664F1">
        <w:trPr>
          <w:trHeight w:val="1599"/>
        </w:trPr>
        <w:tc>
          <w:tcPr>
            <w:tcW w:w="531" w:type="pct"/>
            <w:vMerge/>
            <w:tcBorders>
              <w:top w:val="single" w:sz="4" w:space="0" w:color="auto"/>
              <w:left w:val="single" w:sz="4" w:space="0" w:color="auto"/>
              <w:bottom w:val="single" w:sz="4" w:space="0" w:color="auto"/>
              <w:right w:val="single" w:sz="4" w:space="0" w:color="auto"/>
            </w:tcBorders>
            <w:vAlign w:val="center"/>
            <w:hideMark/>
          </w:tcPr>
          <w:p w14:paraId="28B38CD8" w14:textId="77777777" w:rsidR="00E541EE" w:rsidRPr="002575AB" w:rsidRDefault="00E541EE" w:rsidP="00A84BB5">
            <w:pPr>
              <w:jc w:val="center"/>
              <w:rPr>
                <w:rFonts w:ascii="Arial" w:eastAsia="Times New Roman" w:hAnsi="Arial" w:cs="Arial"/>
                <w:sz w:val="10"/>
                <w:szCs w:val="10"/>
              </w:rPr>
            </w:pPr>
          </w:p>
        </w:tc>
        <w:tc>
          <w:tcPr>
            <w:tcW w:w="532" w:type="pct"/>
            <w:vMerge/>
            <w:tcBorders>
              <w:top w:val="single" w:sz="4" w:space="0" w:color="auto"/>
              <w:left w:val="single" w:sz="4" w:space="0" w:color="auto"/>
              <w:bottom w:val="single" w:sz="4" w:space="0" w:color="auto"/>
              <w:right w:val="single" w:sz="4" w:space="0" w:color="auto"/>
            </w:tcBorders>
            <w:vAlign w:val="center"/>
            <w:hideMark/>
          </w:tcPr>
          <w:p w14:paraId="0B2F015B" w14:textId="77777777" w:rsidR="00E541EE" w:rsidRPr="002575AB" w:rsidRDefault="00E541EE" w:rsidP="00A84BB5">
            <w:pPr>
              <w:rPr>
                <w:rFonts w:ascii="Arial" w:eastAsia="Times New Roman" w:hAnsi="Arial" w:cs="Arial"/>
                <w:sz w:val="10"/>
                <w:szCs w:val="10"/>
              </w:rPr>
            </w:pPr>
          </w:p>
        </w:tc>
        <w:tc>
          <w:tcPr>
            <w:tcW w:w="608" w:type="pct"/>
            <w:vMerge/>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2553AD18" w14:textId="77777777" w:rsidR="00E541EE" w:rsidRPr="002575AB" w:rsidRDefault="00E541EE" w:rsidP="00A84BB5">
            <w:pPr>
              <w:rPr>
                <w:rFonts w:ascii="Arial" w:eastAsia="Times New Roman" w:hAnsi="Arial" w:cs="Arial"/>
                <w:sz w:val="10"/>
                <w:szCs w:val="10"/>
              </w:rPr>
            </w:pPr>
          </w:p>
        </w:tc>
        <w:tc>
          <w:tcPr>
            <w:tcW w:w="533" w:type="pct"/>
            <w:vMerge/>
            <w:tcBorders>
              <w:top w:val="single" w:sz="4" w:space="0" w:color="auto"/>
              <w:left w:val="single" w:sz="4" w:space="0" w:color="auto"/>
              <w:bottom w:val="single" w:sz="4" w:space="0" w:color="auto"/>
              <w:right w:val="single" w:sz="4" w:space="0" w:color="auto"/>
            </w:tcBorders>
            <w:vAlign w:val="center"/>
            <w:hideMark/>
          </w:tcPr>
          <w:p w14:paraId="16242B91" w14:textId="77777777" w:rsidR="00E541EE" w:rsidRPr="002575AB" w:rsidRDefault="00E541EE" w:rsidP="00A84BB5">
            <w:pPr>
              <w:rPr>
                <w:rFonts w:ascii="Arial" w:eastAsia="Times New Roman" w:hAnsi="Arial" w:cs="Arial"/>
                <w:sz w:val="10"/>
                <w:szCs w:val="10"/>
              </w:rPr>
            </w:pPr>
          </w:p>
        </w:tc>
        <w:tc>
          <w:tcPr>
            <w:tcW w:w="608" w:type="pct"/>
            <w:vMerge/>
            <w:tcBorders>
              <w:top w:val="nil"/>
              <w:left w:val="single" w:sz="4" w:space="0" w:color="auto"/>
              <w:bottom w:val="single" w:sz="4" w:space="0" w:color="auto"/>
              <w:right w:val="single" w:sz="4" w:space="0" w:color="auto"/>
            </w:tcBorders>
            <w:shd w:val="clear" w:color="auto" w:fill="FFF2CC" w:themeFill="accent4" w:themeFillTint="33"/>
            <w:vAlign w:val="center"/>
            <w:hideMark/>
          </w:tcPr>
          <w:p w14:paraId="04A815D9" w14:textId="77777777" w:rsidR="00E541EE" w:rsidRPr="002575AB" w:rsidRDefault="00E541EE" w:rsidP="00A84BB5">
            <w:pPr>
              <w:rPr>
                <w:rFonts w:ascii="Arial" w:eastAsia="Times New Roman" w:hAnsi="Arial" w:cs="Arial"/>
                <w:sz w:val="10"/>
                <w:szCs w:val="10"/>
              </w:rPr>
            </w:pPr>
          </w:p>
        </w:tc>
        <w:tc>
          <w:tcPr>
            <w:tcW w:w="607" w:type="pct"/>
            <w:vMerge/>
            <w:tcBorders>
              <w:top w:val="nil"/>
              <w:left w:val="single" w:sz="4" w:space="0" w:color="auto"/>
              <w:bottom w:val="single" w:sz="4" w:space="0" w:color="auto"/>
              <w:right w:val="single" w:sz="4" w:space="0" w:color="auto"/>
            </w:tcBorders>
            <w:vAlign w:val="center"/>
            <w:hideMark/>
          </w:tcPr>
          <w:p w14:paraId="3F5AD3D7" w14:textId="77777777" w:rsidR="00E541EE" w:rsidRPr="002575AB" w:rsidRDefault="00E541EE" w:rsidP="00A84BB5">
            <w:pPr>
              <w:rPr>
                <w:rFonts w:ascii="Arial" w:eastAsia="Times New Roman" w:hAnsi="Arial" w:cs="Arial"/>
                <w:sz w:val="10"/>
                <w:szCs w:val="10"/>
              </w:rPr>
            </w:pPr>
          </w:p>
        </w:tc>
        <w:tc>
          <w:tcPr>
            <w:tcW w:w="430" w:type="pct"/>
            <w:tcBorders>
              <w:top w:val="nil"/>
              <w:left w:val="nil"/>
              <w:bottom w:val="single" w:sz="4" w:space="0" w:color="auto"/>
              <w:right w:val="single" w:sz="4" w:space="0" w:color="auto"/>
            </w:tcBorders>
            <w:shd w:val="clear" w:color="auto" w:fill="FFF2CC" w:themeFill="accent4" w:themeFillTint="33"/>
            <w:vAlign w:val="center"/>
            <w:hideMark/>
          </w:tcPr>
          <w:p w14:paraId="1A7DA6D1" w14:textId="77777777" w:rsidR="00E541EE" w:rsidRPr="002575AB" w:rsidRDefault="00E541EE" w:rsidP="00A84BB5">
            <w:pPr>
              <w:rPr>
                <w:rFonts w:ascii="Arial" w:eastAsia="Times New Roman" w:hAnsi="Arial" w:cs="Arial"/>
                <w:sz w:val="10"/>
                <w:szCs w:val="10"/>
              </w:rPr>
            </w:pPr>
            <w:r w:rsidRPr="002575AB">
              <w:rPr>
                <w:rFonts w:ascii="Arial" w:eastAsia="Times New Roman" w:hAnsi="Arial" w:cs="Arial"/>
                <w:sz w:val="10"/>
                <w:szCs w:val="10"/>
              </w:rPr>
              <w:t>m novoizgrađenih nogostupa</w:t>
            </w:r>
          </w:p>
        </w:tc>
        <w:tc>
          <w:tcPr>
            <w:tcW w:w="335" w:type="pct"/>
            <w:tcBorders>
              <w:top w:val="nil"/>
              <w:left w:val="nil"/>
              <w:bottom w:val="single" w:sz="4" w:space="0" w:color="auto"/>
              <w:right w:val="single" w:sz="4" w:space="0" w:color="auto"/>
            </w:tcBorders>
            <w:shd w:val="clear" w:color="000000" w:fill="FFFFFF"/>
            <w:vAlign w:val="center"/>
            <w:hideMark/>
          </w:tcPr>
          <w:p w14:paraId="61754CE2" w14:textId="77777777" w:rsidR="00E541EE" w:rsidRPr="002575AB" w:rsidRDefault="00E541EE" w:rsidP="00A84BB5">
            <w:pPr>
              <w:jc w:val="center"/>
              <w:rPr>
                <w:rFonts w:ascii="Arial" w:eastAsia="Times New Roman" w:hAnsi="Arial" w:cs="Arial"/>
                <w:sz w:val="10"/>
                <w:szCs w:val="10"/>
              </w:rPr>
            </w:pPr>
            <w:r w:rsidRPr="002575AB">
              <w:rPr>
                <w:rFonts w:ascii="Arial" w:eastAsia="Times New Roman" w:hAnsi="Arial" w:cs="Arial"/>
                <w:sz w:val="10"/>
                <w:szCs w:val="10"/>
              </w:rPr>
              <w:t>350</w:t>
            </w:r>
          </w:p>
        </w:tc>
        <w:tc>
          <w:tcPr>
            <w:tcW w:w="301" w:type="pct"/>
            <w:tcBorders>
              <w:top w:val="nil"/>
              <w:left w:val="nil"/>
              <w:bottom w:val="single" w:sz="4" w:space="0" w:color="auto"/>
              <w:right w:val="single" w:sz="4" w:space="0" w:color="auto"/>
            </w:tcBorders>
            <w:shd w:val="clear" w:color="000000" w:fill="FFFFFF"/>
            <w:vAlign w:val="center"/>
            <w:hideMark/>
          </w:tcPr>
          <w:p w14:paraId="6C135357" w14:textId="77777777" w:rsidR="00E541EE" w:rsidRPr="002575AB" w:rsidRDefault="00E541EE" w:rsidP="00A84BB5">
            <w:pPr>
              <w:jc w:val="center"/>
              <w:rPr>
                <w:rFonts w:ascii="Arial" w:eastAsia="Times New Roman" w:hAnsi="Arial" w:cs="Arial"/>
                <w:sz w:val="10"/>
                <w:szCs w:val="10"/>
              </w:rPr>
            </w:pPr>
            <w:r w:rsidRPr="002575AB">
              <w:rPr>
                <w:rFonts w:ascii="Arial" w:eastAsia="Times New Roman" w:hAnsi="Arial" w:cs="Arial"/>
                <w:sz w:val="10"/>
                <w:szCs w:val="10"/>
              </w:rPr>
              <w:t>450</w:t>
            </w:r>
          </w:p>
        </w:tc>
        <w:tc>
          <w:tcPr>
            <w:tcW w:w="310" w:type="pct"/>
            <w:tcBorders>
              <w:top w:val="single" w:sz="4" w:space="0" w:color="auto"/>
              <w:left w:val="nil"/>
              <w:bottom w:val="single" w:sz="4" w:space="0" w:color="auto"/>
              <w:right w:val="single" w:sz="4" w:space="0" w:color="auto"/>
            </w:tcBorders>
            <w:shd w:val="clear" w:color="000000" w:fill="FFFFFF"/>
            <w:vAlign w:val="center"/>
            <w:hideMark/>
          </w:tcPr>
          <w:p w14:paraId="3C711742" w14:textId="77777777" w:rsidR="00E541EE" w:rsidRPr="002575AB" w:rsidRDefault="00E541EE" w:rsidP="00A84BB5">
            <w:pPr>
              <w:jc w:val="center"/>
              <w:rPr>
                <w:rFonts w:ascii="Arial" w:eastAsia="Times New Roman" w:hAnsi="Arial" w:cs="Arial"/>
                <w:sz w:val="10"/>
                <w:szCs w:val="10"/>
              </w:rPr>
            </w:pPr>
            <w:r w:rsidRPr="002575AB">
              <w:rPr>
                <w:rFonts w:ascii="Arial" w:eastAsia="Times New Roman" w:hAnsi="Arial" w:cs="Arial"/>
                <w:sz w:val="10"/>
                <w:szCs w:val="10"/>
              </w:rPr>
              <w:t>590</w:t>
            </w:r>
          </w:p>
        </w:tc>
        <w:tc>
          <w:tcPr>
            <w:tcW w:w="204" w:type="pct"/>
            <w:tcBorders>
              <w:top w:val="single" w:sz="4" w:space="0" w:color="auto"/>
              <w:left w:val="nil"/>
              <w:bottom w:val="single" w:sz="4" w:space="0" w:color="auto"/>
              <w:right w:val="single" w:sz="4" w:space="0" w:color="auto"/>
            </w:tcBorders>
            <w:shd w:val="clear" w:color="000000" w:fill="FFFFFF"/>
            <w:vAlign w:val="center"/>
            <w:hideMark/>
          </w:tcPr>
          <w:p w14:paraId="5996131F" w14:textId="77777777" w:rsidR="00E541EE" w:rsidRPr="002575AB" w:rsidRDefault="00E541EE" w:rsidP="00A84BB5">
            <w:pPr>
              <w:jc w:val="center"/>
              <w:rPr>
                <w:rFonts w:ascii="Arial" w:eastAsia="Times New Roman" w:hAnsi="Arial" w:cs="Arial"/>
                <w:sz w:val="10"/>
                <w:szCs w:val="10"/>
              </w:rPr>
            </w:pPr>
            <w:r w:rsidRPr="002575AB">
              <w:rPr>
                <w:rFonts w:ascii="Arial" w:eastAsia="Times New Roman" w:hAnsi="Arial" w:cs="Arial"/>
                <w:sz w:val="10"/>
                <w:szCs w:val="10"/>
              </w:rPr>
              <w:t>650</w:t>
            </w:r>
          </w:p>
        </w:tc>
      </w:tr>
      <w:tr w:rsidR="00E541EE" w:rsidRPr="002575AB" w14:paraId="15D5334B" w14:textId="77777777" w:rsidTr="00F664F1">
        <w:trPr>
          <w:trHeight w:val="1998"/>
        </w:trPr>
        <w:tc>
          <w:tcPr>
            <w:tcW w:w="531" w:type="pct"/>
            <w:vMerge/>
            <w:tcBorders>
              <w:top w:val="single" w:sz="4" w:space="0" w:color="auto"/>
              <w:left w:val="single" w:sz="4" w:space="0" w:color="auto"/>
              <w:bottom w:val="single" w:sz="4" w:space="0" w:color="auto"/>
              <w:right w:val="single" w:sz="4" w:space="0" w:color="auto"/>
            </w:tcBorders>
            <w:vAlign w:val="center"/>
            <w:hideMark/>
          </w:tcPr>
          <w:p w14:paraId="5907E648" w14:textId="77777777" w:rsidR="00E541EE" w:rsidRPr="002575AB" w:rsidRDefault="00E541EE" w:rsidP="00A84BB5">
            <w:pPr>
              <w:jc w:val="center"/>
              <w:rPr>
                <w:rFonts w:ascii="Arial" w:eastAsia="Times New Roman" w:hAnsi="Arial" w:cs="Arial"/>
                <w:sz w:val="10"/>
                <w:szCs w:val="10"/>
              </w:rPr>
            </w:pPr>
          </w:p>
        </w:tc>
        <w:tc>
          <w:tcPr>
            <w:tcW w:w="532" w:type="pct"/>
            <w:vMerge/>
            <w:tcBorders>
              <w:top w:val="single" w:sz="4" w:space="0" w:color="auto"/>
              <w:left w:val="single" w:sz="4" w:space="0" w:color="auto"/>
              <w:bottom w:val="single" w:sz="4" w:space="0" w:color="auto"/>
              <w:right w:val="single" w:sz="4" w:space="0" w:color="auto"/>
            </w:tcBorders>
            <w:vAlign w:val="center"/>
            <w:hideMark/>
          </w:tcPr>
          <w:p w14:paraId="1F1A3059" w14:textId="77777777" w:rsidR="00E541EE" w:rsidRPr="002575AB" w:rsidRDefault="00E541EE" w:rsidP="00A84BB5">
            <w:pPr>
              <w:rPr>
                <w:rFonts w:ascii="Arial" w:eastAsia="Times New Roman" w:hAnsi="Arial" w:cs="Arial"/>
                <w:sz w:val="10"/>
                <w:szCs w:val="10"/>
              </w:rPr>
            </w:pPr>
          </w:p>
        </w:tc>
        <w:tc>
          <w:tcPr>
            <w:tcW w:w="608" w:type="pct"/>
            <w:vMerge/>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4ABD9827" w14:textId="77777777" w:rsidR="00E541EE" w:rsidRPr="002575AB" w:rsidRDefault="00E541EE" w:rsidP="00A84BB5">
            <w:pPr>
              <w:rPr>
                <w:rFonts w:ascii="Arial" w:eastAsia="Times New Roman" w:hAnsi="Arial" w:cs="Arial"/>
                <w:sz w:val="10"/>
                <w:szCs w:val="10"/>
              </w:rPr>
            </w:pPr>
          </w:p>
        </w:tc>
        <w:tc>
          <w:tcPr>
            <w:tcW w:w="533" w:type="pct"/>
            <w:vMerge/>
            <w:tcBorders>
              <w:top w:val="single" w:sz="4" w:space="0" w:color="auto"/>
              <w:left w:val="single" w:sz="4" w:space="0" w:color="auto"/>
              <w:bottom w:val="single" w:sz="4" w:space="0" w:color="auto"/>
              <w:right w:val="single" w:sz="4" w:space="0" w:color="auto"/>
            </w:tcBorders>
            <w:vAlign w:val="center"/>
            <w:hideMark/>
          </w:tcPr>
          <w:p w14:paraId="6682F77E" w14:textId="77777777" w:rsidR="00E541EE" w:rsidRPr="002575AB" w:rsidRDefault="00E541EE" w:rsidP="00A84BB5">
            <w:pPr>
              <w:rPr>
                <w:rFonts w:ascii="Arial" w:eastAsia="Times New Roman" w:hAnsi="Arial" w:cs="Arial"/>
                <w:sz w:val="10"/>
                <w:szCs w:val="10"/>
              </w:rPr>
            </w:pPr>
          </w:p>
        </w:tc>
        <w:tc>
          <w:tcPr>
            <w:tcW w:w="608" w:type="pct"/>
            <w:vMerge/>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495D891F" w14:textId="77777777" w:rsidR="00E541EE" w:rsidRPr="002575AB" w:rsidRDefault="00E541EE" w:rsidP="00A84BB5">
            <w:pPr>
              <w:rPr>
                <w:rFonts w:ascii="Arial" w:eastAsia="Times New Roman" w:hAnsi="Arial" w:cs="Arial"/>
                <w:sz w:val="10"/>
                <w:szCs w:val="10"/>
              </w:rPr>
            </w:pPr>
          </w:p>
        </w:tc>
        <w:tc>
          <w:tcPr>
            <w:tcW w:w="607" w:type="pct"/>
            <w:vMerge/>
            <w:tcBorders>
              <w:top w:val="single" w:sz="4" w:space="0" w:color="auto"/>
              <w:left w:val="single" w:sz="4" w:space="0" w:color="auto"/>
              <w:bottom w:val="single" w:sz="4" w:space="0" w:color="auto"/>
              <w:right w:val="single" w:sz="4" w:space="0" w:color="auto"/>
            </w:tcBorders>
            <w:vAlign w:val="center"/>
            <w:hideMark/>
          </w:tcPr>
          <w:p w14:paraId="246236C4" w14:textId="77777777" w:rsidR="00E541EE" w:rsidRPr="002575AB" w:rsidRDefault="00E541EE" w:rsidP="00A84BB5">
            <w:pPr>
              <w:rPr>
                <w:rFonts w:ascii="Arial" w:eastAsia="Times New Roman" w:hAnsi="Arial" w:cs="Arial"/>
                <w:sz w:val="10"/>
                <w:szCs w:val="10"/>
              </w:rPr>
            </w:pPr>
          </w:p>
        </w:tc>
        <w:tc>
          <w:tcPr>
            <w:tcW w:w="430" w:type="pct"/>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66DBC223" w14:textId="77777777" w:rsidR="00E541EE" w:rsidRPr="002575AB" w:rsidRDefault="00E541EE" w:rsidP="00A84BB5">
            <w:pPr>
              <w:rPr>
                <w:rFonts w:ascii="Arial" w:eastAsia="Times New Roman" w:hAnsi="Arial" w:cs="Arial"/>
                <w:sz w:val="10"/>
                <w:szCs w:val="10"/>
              </w:rPr>
            </w:pPr>
            <w:r w:rsidRPr="002575AB">
              <w:rPr>
                <w:rFonts w:ascii="Arial" w:eastAsia="Times New Roman" w:hAnsi="Arial" w:cs="Arial"/>
                <w:sz w:val="10"/>
                <w:szCs w:val="10"/>
              </w:rPr>
              <w:t>km održavanih nerazvrstanih cesta</w:t>
            </w:r>
          </w:p>
        </w:tc>
        <w:tc>
          <w:tcPr>
            <w:tcW w:w="335" w:type="pct"/>
            <w:tcBorders>
              <w:top w:val="single" w:sz="4" w:space="0" w:color="auto"/>
              <w:left w:val="nil"/>
              <w:bottom w:val="single" w:sz="4" w:space="0" w:color="auto"/>
              <w:right w:val="single" w:sz="4" w:space="0" w:color="auto"/>
            </w:tcBorders>
            <w:shd w:val="clear" w:color="000000" w:fill="FFFFFF"/>
            <w:vAlign w:val="center"/>
            <w:hideMark/>
          </w:tcPr>
          <w:p w14:paraId="17B396C1" w14:textId="77777777" w:rsidR="00E541EE" w:rsidRPr="002575AB" w:rsidRDefault="00E541EE" w:rsidP="00A84BB5">
            <w:pPr>
              <w:jc w:val="center"/>
              <w:rPr>
                <w:rFonts w:ascii="Arial" w:eastAsia="Times New Roman" w:hAnsi="Arial" w:cs="Arial"/>
                <w:sz w:val="10"/>
                <w:szCs w:val="10"/>
              </w:rPr>
            </w:pPr>
            <w:r w:rsidRPr="002575AB">
              <w:rPr>
                <w:rFonts w:ascii="Arial" w:eastAsia="Times New Roman" w:hAnsi="Arial" w:cs="Arial"/>
                <w:sz w:val="10"/>
                <w:szCs w:val="10"/>
              </w:rPr>
              <w:t>1,2</w:t>
            </w:r>
          </w:p>
        </w:tc>
        <w:tc>
          <w:tcPr>
            <w:tcW w:w="301" w:type="pct"/>
            <w:tcBorders>
              <w:top w:val="single" w:sz="4" w:space="0" w:color="auto"/>
              <w:left w:val="nil"/>
              <w:bottom w:val="single" w:sz="4" w:space="0" w:color="auto"/>
              <w:right w:val="single" w:sz="4" w:space="0" w:color="auto"/>
            </w:tcBorders>
            <w:shd w:val="clear" w:color="000000" w:fill="FFFFFF"/>
            <w:vAlign w:val="center"/>
            <w:hideMark/>
          </w:tcPr>
          <w:p w14:paraId="5FAB1C04" w14:textId="77777777" w:rsidR="00E541EE" w:rsidRPr="002575AB" w:rsidRDefault="00E541EE" w:rsidP="00A84BB5">
            <w:pPr>
              <w:jc w:val="center"/>
              <w:rPr>
                <w:rFonts w:ascii="Arial" w:eastAsia="Times New Roman" w:hAnsi="Arial" w:cs="Arial"/>
                <w:sz w:val="10"/>
                <w:szCs w:val="10"/>
              </w:rPr>
            </w:pPr>
            <w:r w:rsidRPr="002575AB">
              <w:rPr>
                <w:rFonts w:ascii="Arial" w:eastAsia="Times New Roman" w:hAnsi="Arial" w:cs="Arial"/>
                <w:sz w:val="10"/>
                <w:szCs w:val="10"/>
              </w:rPr>
              <w:t>2</w:t>
            </w:r>
          </w:p>
        </w:tc>
        <w:tc>
          <w:tcPr>
            <w:tcW w:w="310" w:type="pct"/>
            <w:tcBorders>
              <w:top w:val="nil"/>
              <w:left w:val="nil"/>
              <w:bottom w:val="single" w:sz="4" w:space="0" w:color="auto"/>
              <w:right w:val="single" w:sz="4" w:space="0" w:color="auto"/>
            </w:tcBorders>
            <w:shd w:val="clear" w:color="000000" w:fill="FFFFFF"/>
            <w:vAlign w:val="center"/>
            <w:hideMark/>
          </w:tcPr>
          <w:p w14:paraId="425E9E3E" w14:textId="77777777" w:rsidR="00E541EE" w:rsidRPr="002575AB" w:rsidRDefault="00E541EE" w:rsidP="00A84BB5">
            <w:pPr>
              <w:jc w:val="center"/>
              <w:rPr>
                <w:rFonts w:ascii="Arial" w:eastAsia="Times New Roman" w:hAnsi="Arial" w:cs="Arial"/>
                <w:sz w:val="10"/>
                <w:szCs w:val="10"/>
              </w:rPr>
            </w:pPr>
            <w:r w:rsidRPr="002575AB">
              <w:rPr>
                <w:rFonts w:ascii="Arial" w:eastAsia="Times New Roman" w:hAnsi="Arial" w:cs="Arial"/>
                <w:sz w:val="10"/>
                <w:szCs w:val="10"/>
              </w:rPr>
              <w:t>2,8</w:t>
            </w:r>
          </w:p>
        </w:tc>
        <w:tc>
          <w:tcPr>
            <w:tcW w:w="204" w:type="pct"/>
            <w:tcBorders>
              <w:top w:val="nil"/>
              <w:left w:val="nil"/>
              <w:bottom w:val="single" w:sz="4" w:space="0" w:color="auto"/>
              <w:right w:val="single" w:sz="4" w:space="0" w:color="auto"/>
            </w:tcBorders>
            <w:shd w:val="clear" w:color="000000" w:fill="FFFFFF"/>
            <w:vAlign w:val="center"/>
            <w:hideMark/>
          </w:tcPr>
          <w:p w14:paraId="42E993BB" w14:textId="77777777" w:rsidR="00E541EE" w:rsidRPr="002575AB" w:rsidRDefault="00E541EE" w:rsidP="00A84BB5">
            <w:pPr>
              <w:jc w:val="center"/>
              <w:rPr>
                <w:rFonts w:ascii="Arial" w:eastAsia="Times New Roman" w:hAnsi="Arial" w:cs="Arial"/>
                <w:sz w:val="10"/>
                <w:szCs w:val="10"/>
              </w:rPr>
            </w:pPr>
            <w:r w:rsidRPr="002575AB">
              <w:rPr>
                <w:rFonts w:ascii="Arial" w:eastAsia="Times New Roman" w:hAnsi="Arial" w:cs="Arial"/>
                <w:sz w:val="10"/>
                <w:szCs w:val="10"/>
              </w:rPr>
              <w:t>3,5</w:t>
            </w:r>
          </w:p>
        </w:tc>
      </w:tr>
      <w:tr w:rsidR="00E541EE" w:rsidRPr="002575AB" w14:paraId="14B909EE" w14:textId="77777777" w:rsidTr="00F664F1">
        <w:trPr>
          <w:trHeight w:val="2524"/>
        </w:trPr>
        <w:tc>
          <w:tcPr>
            <w:tcW w:w="531" w:type="pct"/>
            <w:vMerge/>
            <w:tcBorders>
              <w:top w:val="single" w:sz="4" w:space="0" w:color="auto"/>
              <w:left w:val="single" w:sz="4" w:space="0" w:color="auto"/>
              <w:bottom w:val="single" w:sz="4" w:space="0" w:color="auto"/>
              <w:right w:val="single" w:sz="4" w:space="0" w:color="auto"/>
            </w:tcBorders>
            <w:vAlign w:val="center"/>
            <w:hideMark/>
          </w:tcPr>
          <w:p w14:paraId="2F1D8D3A" w14:textId="77777777" w:rsidR="00E541EE" w:rsidRPr="002575AB" w:rsidRDefault="00E541EE" w:rsidP="00A84BB5">
            <w:pPr>
              <w:jc w:val="center"/>
              <w:rPr>
                <w:rFonts w:ascii="Arial" w:eastAsia="Times New Roman" w:hAnsi="Arial" w:cs="Arial"/>
                <w:sz w:val="10"/>
                <w:szCs w:val="10"/>
              </w:rPr>
            </w:pPr>
          </w:p>
        </w:tc>
        <w:tc>
          <w:tcPr>
            <w:tcW w:w="532" w:type="pct"/>
            <w:vMerge/>
            <w:tcBorders>
              <w:top w:val="nil"/>
              <w:left w:val="single" w:sz="4" w:space="0" w:color="auto"/>
              <w:bottom w:val="single" w:sz="4" w:space="0" w:color="auto"/>
              <w:right w:val="single" w:sz="4" w:space="0" w:color="auto"/>
            </w:tcBorders>
            <w:vAlign w:val="center"/>
            <w:hideMark/>
          </w:tcPr>
          <w:p w14:paraId="1BBFC0C4" w14:textId="77777777" w:rsidR="00E541EE" w:rsidRPr="002575AB" w:rsidRDefault="00E541EE" w:rsidP="00A84BB5">
            <w:pPr>
              <w:rPr>
                <w:rFonts w:ascii="Arial" w:eastAsia="Times New Roman" w:hAnsi="Arial" w:cs="Arial"/>
                <w:sz w:val="10"/>
                <w:szCs w:val="10"/>
              </w:rPr>
            </w:pPr>
          </w:p>
        </w:tc>
        <w:tc>
          <w:tcPr>
            <w:tcW w:w="608" w:type="pct"/>
            <w:vMerge/>
            <w:tcBorders>
              <w:top w:val="nil"/>
              <w:left w:val="single" w:sz="4" w:space="0" w:color="auto"/>
              <w:bottom w:val="single" w:sz="4" w:space="0" w:color="auto"/>
              <w:right w:val="single" w:sz="4" w:space="0" w:color="auto"/>
            </w:tcBorders>
            <w:shd w:val="clear" w:color="auto" w:fill="FFF2CC" w:themeFill="accent4" w:themeFillTint="33"/>
            <w:vAlign w:val="center"/>
            <w:hideMark/>
          </w:tcPr>
          <w:p w14:paraId="2652D8C0" w14:textId="77777777" w:rsidR="00E541EE" w:rsidRPr="002575AB" w:rsidRDefault="00E541EE" w:rsidP="00A84BB5">
            <w:pPr>
              <w:rPr>
                <w:rFonts w:ascii="Arial" w:eastAsia="Times New Roman" w:hAnsi="Arial" w:cs="Arial"/>
                <w:sz w:val="10"/>
                <w:szCs w:val="10"/>
              </w:rPr>
            </w:pPr>
          </w:p>
        </w:tc>
        <w:tc>
          <w:tcPr>
            <w:tcW w:w="533" w:type="pct"/>
            <w:vMerge/>
            <w:tcBorders>
              <w:top w:val="nil"/>
              <w:left w:val="single" w:sz="4" w:space="0" w:color="auto"/>
              <w:bottom w:val="single" w:sz="4" w:space="0" w:color="auto"/>
              <w:right w:val="single" w:sz="4" w:space="0" w:color="auto"/>
            </w:tcBorders>
            <w:vAlign w:val="center"/>
            <w:hideMark/>
          </w:tcPr>
          <w:p w14:paraId="53520468" w14:textId="77777777" w:rsidR="00E541EE" w:rsidRPr="002575AB" w:rsidRDefault="00E541EE" w:rsidP="00A84BB5">
            <w:pPr>
              <w:rPr>
                <w:rFonts w:ascii="Arial" w:eastAsia="Times New Roman" w:hAnsi="Arial" w:cs="Arial"/>
                <w:sz w:val="10"/>
                <w:szCs w:val="10"/>
              </w:rPr>
            </w:pPr>
          </w:p>
        </w:tc>
        <w:tc>
          <w:tcPr>
            <w:tcW w:w="608" w:type="pct"/>
            <w:vMerge/>
            <w:tcBorders>
              <w:top w:val="nil"/>
              <w:left w:val="single" w:sz="4" w:space="0" w:color="auto"/>
              <w:bottom w:val="single" w:sz="4" w:space="0" w:color="auto"/>
              <w:right w:val="single" w:sz="4" w:space="0" w:color="auto"/>
            </w:tcBorders>
            <w:shd w:val="clear" w:color="auto" w:fill="FFF2CC" w:themeFill="accent4" w:themeFillTint="33"/>
            <w:vAlign w:val="center"/>
            <w:hideMark/>
          </w:tcPr>
          <w:p w14:paraId="0C7FEEA3" w14:textId="77777777" w:rsidR="00E541EE" w:rsidRPr="002575AB" w:rsidRDefault="00E541EE" w:rsidP="00A84BB5">
            <w:pPr>
              <w:rPr>
                <w:rFonts w:ascii="Arial" w:eastAsia="Times New Roman" w:hAnsi="Arial" w:cs="Arial"/>
                <w:sz w:val="10"/>
                <w:szCs w:val="10"/>
              </w:rPr>
            </w:pPr>
          </w:p>
        </w:tc>
        <w:tc>
          <w:tcPr>
            <w:tcW w:w="607" w:type="pct"/>
            <w:vMerge/>
            <w:tcBorders>
              <w:top w:val="nil"/>
              <w:left w:val="single" w:sz="4" w:space="0" w:color="auto"/>
              <w:bottom w:val="single" w:sz="4" w:space="0" w:color="auto"/>
              <w:right w:val="single" w:sz="4" w:space="0" w:color="auto"/>
            </w:tcBorders>
            <w:vAlign w:val="center"/>
            <w:hideMark/>
          </w:tcPr>
          <w:p w14:paraId="22F2A96D" w14:textId="77777777" w:rsidR="00E541EE" w:rsidRPr="002575AB" w:rsidRDefault="00E541EE" w:rsidP="00A84BB5">
            <w:pPr>
              <w:rPr>
                <w:rFonts w:ascii="Arial" w:eastAsia="Times New Roman" w:hAnsi="Arial" w:cs="Arial"/>
                <w:sz w:val="10"/>
                <w:szCs w:val="10"/>
              </w:rPr>
            </w:pPr>
          </w:p>
        </w:tc>
        <w:tc>
          <w:tcPr>
            <w:tcW w:w="430" w:type="pct"/>
            <w:tcBorders>
              <w:top w:val="nil"/>
              <w:left w:val="nil"/>
              <w:bottom w:val="single" w:sz="4" w:space="0" w:color="auto"/>
              <w:right w:val="single" w:sz="4" w:space="0" w:color="auto"/>
            </w:tcBorders>
            <w:shd w:val="clear" w:color="auto" w:fill="FFF2CC" w:themeFill="accent4" w:themeFillTint="33"/>
            <w:vAlign w:val="center"/>
            <w:hideMark/>
          </w:tcPr>
          <w:p w14:paraId="525A75A4" w14:textId="77777777" w:rsidR="00E541EE" w:rsidRPr="002575AB" w:rsidRDefault="00E541EE" w:rsidP="00A84BB5">
            <w:pPr>
              <w:rPr>
                <w:rFonts w:ascii="Arial" w:eastAsia="Times New Roman" w:hAnsi="Arial" w:cs="Arial"/>
                <w:sz w:val="10"/>
                <w:szCs w:val="10"/>
              </w:rPr>
            </w:pPr>
            <w:r w:rsidRPr="002575AB">
              <w:rPr>
                <w:rFonts w:ascii="Arial" w:eastAsia="Times New Roman" w:hAnsi="Arial" w:cs="Arial"/>
                <w:sz w:val="10"/>
                <w:szCs w:val="10"/>
              </w:rPr>
              <w:t>Broj novoizgrađenih parkirališnih mjesta</w:t>
            </w:r>
          </w:p>
        </w:tc>
        <w:tc>
          <w:tcPr>
            <w:tcW w:w="335" w:type="pct"/>
            <w:tcBorders>
              <w:top w:val="nil"/>
              <w:left w:val="nil"/>
              <w:bottom w:val="single" w:sz="4" w:space="0" w:color="auto"/>
              <w:right w:val="single" w:sz="4" w:space="0" w:color="auto"/>
            </w:tcBorders>
            <w:shd w:val="clear" w:color="000000" w:fill="FFFFFF"/>
            <w:vAlign w:val="center"/>
            <w:hideMark/>
          </w:tcPr>
          <w:p w14:paraId="735FF382" w14:textId="77777777" w:rsidR="00E541EE" w:rsidRPr="002575AB" w:rsidRDefault="00E541EE" w:rsidP="00A84BB5">
            <w:pPr>
              <w:jc w:val="center"/>
              <w:rPr>
                <w:rFonts w:ascii="Arial" w:eastAsia="Times New Roman" w:hAnsi="Arial" w:cs="Arial"/>
                <w:sz w:val="10"/>
                <w:szCs w:val="10"/>
              </w:rPr>
            </w:pPr>
            <w:r w:rsidRPr="002575AB">
              <w:rPr>
                <w:rFonts w:ascii="Arial" w:eastAsia="Times New Roman" w:hAnsi="Arial" w:cs="Arial"/>
                <w:sz w:val="10"/>
                <w:szCs w:val="10"/>
              </w:rPr>
              <w:t>12</w:t>
            </w:r>
          </w:p>
        </w:tc>
        <w:tc>
          <w:tcPr>
            <w:tcW w:w="301" w:type="pct"/>
            <w:tcBorders>
              <w:top w:val="nil"/>
              <w:left w:val="nil"/>
              <w:bottom w:val="single" w:sz="4" w:space="0" w:color="auto"/>
              <w:right w:val="single" w:sz="4" w:space="0" w:color="auto"/>
            </w:tcBorders>
            <w:shd w:val="clear" w:color="000000" w:fill="FFFFFF"/>
            <w:vAlign w:val="center"/>
            <w:hideMark/>
          </w:tcPr>
          <w:p w14:paraId="430DC7C0" w14:textId="77777777" w:rsidR="00E541EE" w:rsidRPr="002575AB" w:rsidRDefault="00E541EE" w:rsidP="00A84BB5">
            <w:pPr>
              <w:jc w:val="center"/>
              <w:rPr>
                <w:rFonts w:ascii="Arial" w:eastAsia="Times New Roman" w:hAnsi="Arial" w:cs="Arial"/>
                <w:sz w:val="10"/>
                <w:szCs w:val="10"/>
              </w:rPr>
            </w:pPr>
            <w:r w:rsidRPr="002575AB">
              <w:rPr>
                <w:rFonts w:ascii="Arial" w:eastAsia="Times New Roman" w:hAnsi="Arial" w:cs="Arial"/>
                <w:sz w:val="10"/>
                <w:szCs w:val="10"/>
              </w:rPr>
              <w:t>20</w:t>
            </w:r>
          </w:p>
        </w:tc>
        <w:tc>
          <w:tcPr>
            <w:tcW w:w="310" w:type="pct"/>
            <w:tcBorders>
              <w:top w:val="nil"/>
              <w:left w:val="nil"/>
              <w:bottom w:val="single" w:sz="4" w:space="0" w:color="auto"/>
              <w:right w:val="single" w:sz="4" w:space="0" w:color="auto"/>
            </w:tcBorders>
            <w:shd w:val="clear" w:color="000000" w:fill="FFFFFF"/>
            <w:vAlign w:val="center"/>
            <w:hideMark/>
          </w:tcPr>
          <w:p w14:paraId="02B4DE9B" w14:textId="77777777" w:rsidR="00E541EE" w:rsidRPr="002575AB" w:rsidRDefault="00E541EE" w:rsidP="00A84BB5">
            <w:pPr>
              <w:jc w:val="center"/>
              <w:rPr>
                <w:rFonts w:ascii="Arial" w:eastAsia="Times New Roman" w:hAnsi="Arial" w:cs="Arial"/>
                <w:sz w:val="10"/>
                <w:szCs w:val="10"/>
              </w:rPr>
            </w:pPr>
            <w:r w:rsidRPr="002575AB">
              <w:rPr>
                <w:rFonts w:ascii="Arial" w:eastAsia="Times New Roman" w:hAnsi="Arial" w:cs="Arial"/>
                <w:sz w:val="10"/>
                <w:szCs w:val="10"/>
              </w:rPr>
              <w:t>25</w:t>
            </w:r>
          </w:p>
        </w:tc>
        <w:tc>
          <w:tcPr>
            <w:tcW w:w="204" w:type="pct"/>
            <w:tcBorders>
              <w:top w:val="nil"/>
              <w:left w:val="nil"/>
              <w:bottom w:val="single" w:sz="4" w:space="0" w:color="auto"/>
              <w:right w:val="single" w:sz="4" w:space="0" w:color="auto"/>
            </w:tcBorders>
            <w:shd w:val="clear" w:color="000000" w:fill="FFFFFF"/>
            <w:vAlign w:val="center"/>
            <w:hideMark/>
          </w:tcPr>
          <w:p w14:paraId="6FCC8938" w14:textId="77777777" w:rsidR="00E541EE" w:rsidRPr="002575AB" w:rsidRDefault="00E541EE" w:rsidP="00A84BB5">
            <w:pPr>
              <w:jc w:val="center"/>
              <w:rPr>
                <w:rFonts w:ascii="Arial" w:eastAsia="Times New Roman" w:hAnsi="Arial" w:cs="Arial"/>
                <w:sz w:val="10"/>
                <w:szCs w:val="10"/>
              </w:rPr>
            </w:pPr>
            <w:r w:rsidRPr="002575AB">
              <w:rPr>
                <w:rFonts w:ascii="Arial" w:eastAsia="Times New Roman" w:hAnsi="Arial" w:cs="Arial"/>
                <w:sz w:val="10"/>
                <w:szCs w:val="10"/>
              </w:rPr>
              <w:t>32</w:t>
            </w:r>
          </w:p>
        </w:tc>
      </w:tr>
      <w:tr w:rsidR="00E541EE" w:rsidRPr="002575AB" w14:paraId="5E7B48B7" w14:textId="77777777" w:rsidTr="00F664F1">
        <w:trPr>
          <w:trHeight w:val="1630"/>
        </w:trPr>
        <w:tc>
          <w:tcPr>
            <w:tcW w:w="531" w:type="pct"/>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19BEBF1D" w14:textId="77777777" w:rsidR="00E541EE" w:rsidRPr="002575AB" w:rsidRDefault="00E541EE" w:rsidP="00A84BB5">
            <w:pPr>
              <w:jc w:val="center"/>
              <w:rPr>
                <w:rFonts w:ascii="Arial" w:eastAsia="Times New Roman" w:hAnsi="Arial" w:cs="Arial"/>
                <w:sz w:val="10"/>
                <w:szCs w:val="10"/>
              </w:rPr>
            </w:pPr>
          </w:p>
        </w:tc>
        <w:tc>
          <w:tcPr>
            <w:tcW w:w="532"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5B6723C" w14:textId="77777777" w:rsidR="00E541EE" w:rsidRPr="002575AB" w:rsidRDefault="00E541EE" w:rsidP="00A84BB5">
            <w:pPr>
              <w:rPr>
                <w:rFonts w:ascii="Arial" w:eastAsia="Times New Roman" w:hAnsi="Arial" w:cs="Arial"/>
                <w:sz w:val="10"/>
                <w:szCs w:val="10"/>
              </w:rPr>
            </w:pPr>
            <w:r w:rsidRPr="002575AB">
              <w:rPr>
                <w:rFonts w:ascii="Arial" w:eastAsia="Times New Roman" w:hAnsi="Arial" w:cs="Arial"/>
                <w:sz w:val="10"/>
                <w:szCs w:val="10"/>
              </w:rPr>
              <w:t>1.2. Održivo prometno i komunikacijsko povezivanje</w:t>
            </w:r>
          </w:p>
        </w:tc>
        <w:tc>
          <w:tcPr>
            <w:tcW w:w="608" w:type="pct"/>
            <w:vMerge w:val="restar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03493234" w14:textId="77777777" w:rsidR="00E541EE" w:rsidRPr="002575AB" w:rsidRDefault="00E541EE" w:rsidP="00A84BB5">
            <w:pPr>
              <w:rPr>
                <w:rFonts w:ascii="Arial" w:eastAsia="Times New Roman" w:hAnsi="Arial" w:cs="Arial"/>
                <w:sz w:val="10"/>
                <w:szCs w:val="10"/>
              </w:rPr>
            </w:pPr>
            <w:r w:rsidRPr="002575AB">
              <w:rPr>
                <w:rFonts w:ascii="Arial" w:eastAsia="Times New Roman" w:hAnsi="Arial" w:cs="Arial"/>
                <w:sz w:val="10"/>
                <w:szCs w:val="10"/>
              </w:rPr>
              <w:t>P1014 GRAĐENJE OBJEKATA</w:t>
            </w:r>
          </w:p>
        </w:tc>
        <w:tc>
          <w:tcPr>
            <w:tcW w:w="533"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A17B688" w14:textId="77777777" w:rsidR="00E541EE" w:rsidRPr="002575AB" w:rsidRDefault="00E541EE" w:rsidP="00A84BB5">
            <w:pPr>
              <w:rPr>
                <w:rFonts w:ascii="Arial" w:eastAsia="Times New Roman" w:hAnsi="Arial" w:cs="Arial"/>
                <w:sz w:val="10"/>
                <w:szCs w:val="10"/>
              </w:rPr>
            </w:pPr>
            <w:r w:rsidRPr="002575AB">
              <w:rPr>
                <w:rFonts w:ascii="Arial" w:eastAsia="Times New Roman" w:hAnsi="Arial" w:cs="Arial"/>
                <w:sz w:val="10"/>
                <w:szCs w:val="10"/>
              </w:rPr>
              <w:t>Unaprjeđenje mobilnosti, sigurnosti i održivosti prometnog povezivanja</w:t>
            </w:r>
          </w:p>
        </w:tc>
        <w:tc>
          <w:tcPr>
            <w:tcW w:w="608" w:type="pct"/>
            <w:vMerge w:val="restar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6AC23761" w14:textId="77777777" w:rsidR="00E541EE" w:rsidRPr="002575AB" w:rsidRDefault="00E541EE" w:rsidP="00A84BB5">
            <w:pPr>
              <w:jc w:val="right"/>
              <w:rPr>
                <w:rFonts w:ascii="Arial" w:eastAsia="Times New Roman" w:hAnsi="Arial" w:cs="Arial"/>
                <w:sz w:val="10"/>
                <w:szCs w:val="10"/>
              </w:rPr>
            </w:pPr>
            <w:r w:rsidRPr="002575AB">
              <w:rPr>
                <w:rFonts w:ascii="Arial" w:eastAsia="Times New Roman" w:hAnsi="Arial" w:cs="Arial"/>
                <w:sz w:val="10"/>
                <w:szCs w:val="10"/>
              </w:rPr>
              <w:t>4.402.400,00</w:t>
            </w:r>
          </w:p>
        </w:tc>
        <w:tc>
          <w:tcPr>
            <w:tcW w:w="607" w:type="pct"/>
            <w:vMerge w:val="restart"/>
            <w:tcBorders>
              <w:top w:val="single" w:sz="4" w:space="0" w:color="auto"/>
              <w:left w:val="single" w:sz="4" w:space="0" w:color="auto"/>
              <w:right w:val="single" w:sz="4" w:space="0" w:color="auto"/>
            </w:tcBorders>
            <w:shd w:val="clear" w:color="000000" w:fill="FFFFFF"/>
            <w:vAlign w:val="center"/>
            <w:hideMark/>
          </w:tcPr>
          <w:p w14:paraId="37D36905" w14:textId="77777777" w:rsidR="00E541EE" w:rsidRPr="002575AB" w:rsidRDefault="00E541EE" w:rsidP="00A84BB5">
            <w:pPr>
              <w:rPr>
                <w:rFonts w:ascii="Arial" w:eastAsia="Times New Roman" w:hAnsi="Arial" w:cs="Arial"/>
                <w:sz w:val="10"/>
                <w:szCs w:val="10"/>
              </w:rPr>
            </w:pPr>
            <w:r w:rsidRPr="002575AB">
              <w:rPr>
                <w:rFonts w:ascii="Arial" w:eastAsia="Times New Roman" w:hAnsi="Arial" w:cs="Arial"/>
                <w:sz w:val="10"/>
                <w:szCs w:val="10"/>
              </w:rPr>
              <w:t>K101408 PLAŽA I OBALNA ŠETNICA KARLA LUEGERA III FAZA</w:t>
            </w:r>
          </w:p>
          <w:p w14:paraId="4470A40E" w14:textId="77777777" w:rsidR="00E541EE" w:rsidRPr="002575AB" w:rsidRDefault="00E541EE" w:rsidP="00A84BB5">
            <w:pPr>
              <w:rPr>
                <w:rFonts w:ascii="Arial" w:eastAsia="Times New Roman" w:hAnsi="Arial" w:cs="Arial"/>
                <w:sz w:val="10"/>
                <w:szCs w:val="10"/>
              </w:rPr>
            </w:pPr>
          </w:p>
          <w:p w14:paraId="3052929D" w14:textId="77777777" w:rsidR="00E541EE" w:rsidRPr="002575AB" w:rsidRDefault="00E541EE" w:rsidP="00A84BB5">
            <w:pPr>
              <w:rPr>
                <w:rFonts w:ascii="Arial" w:eastAsia="Times New Roman" w:hAnsi="Arial" w:cs="Arial"/>
                <w:sz w:val="10"/>
                <w:szCs w:val="10"/>
              </w:rPr>
            </w:pPr>
            <w:r w:rsidRPr="002575AB">
              <w:rPr>
                <w:rFonts w:ascii="Arial" w:eastAsia="Times New Roman" w:hAnsi="Arial" w:cs="Arial"/>
                <w:sz w:val="10"/>
                <w:szCs w:val="10"/>
              </w:rPr>
              <w:t xml:space="preserve"> K101467 IZGRADNJA ŠETNICE PUNTA MUCCIA</w:t>
            </w:r>
          </w:p>
          <w:p w14:paraId="6ACF6F98" w14:textId="77777777" w:rsidR="00E541EE" w:rsidRPr="002575AB" w:rsidRDefault="00E541EE" w:rsidP="00A84BB5">
            <w:pPr>
              <w:rPr>
                <w:rFonts w:ascii="Arial" w:eastAsia="Times New Roman" w:hAnsi="Arial" w:cs="Arial"/>
                <w:sz w:val="10"/>
                <w:szCs w:val="10"/>
              </w:rPr>
            </w:pPr>
            <w:r w:rsidRPr="002575AB">
              <w:rPr>
                <w:rFonts w:ascii="Arial" w:eastAsia="Times New Roman" w:hAnsi="Arial" w:cs="Arial"/>
                <w:sz w:val="10"/>
                <w:szCs w:val="10"/>
              </w:rPr>
              <w:t xml:space="preserve">MUCCIA </w:t>
            </w:r>
          </w:p>
          <w:p w14:paraId="32F8FCE7" w14:textId="77777777" w:rsidR="00E541EE" w:rsidRPr="002575AB" w:rsidRDefault="00E541EE" w:rsidP="00A84BB5">
            <w:pPr>
              <w:rPr>
                <w:rFonts w:ascii="Arial" w:eastAsia="Times New Roman" w:hAnsi="Arial" w:cs="Arial"/>
                <w:sz w:val="10"/>
                <w:szCs w:val="10"/>
              </w:rPr>
            </w:pPr>
          </w:p>
          <w:p w14:paraId="150AE5F0" w14:textId="5513F829" w:rsidR="00E541EE" w:rsidRPr="002575AB" w:rsidRDefault="00E541EE" w:rsidP="00A84BB5">
            <w:pPr>
              <w:rPr>
                <w:rFonts w:ascii="Arial" w:eastAsia="Times New Roman" w:hAnsi="Arial" w:cs="Arial"/>
                <w:sz w:val="10"/>
                <w:szCs w:val="10"/>
              </w:rPr>
            </w:pPr>
            <w:r w:rsidRPr="002575AB">
              <w:rPr>
                <w:rFonts w:ascii="Arial" w:eastAsia="Times New Roman" w:hAnsi="Arial" w:cs="Arial"/>
                <w:sz w:val="10"/>
                <w:szCs w:val="10"/>
              </w:rPr>
              <w:t>K101456 IZGRADNJA AUTOBUSNOG KOLODVORA ““</w:t>
            </w:r>
          </w:p>
        </w:tc>
        <w:tc>
          <w:tcPr>
            <w:tcW w:w="430" w:type="pct"/>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5E23EE9E" w14:textId="77777777" w:rsidR="00E541EE" w:rsidRPr="002575AB" w:rsidRDefault="00E541EE" w:rsidP="00A84BB5">
            <w:pPr>
              <w:rPr>
                <w:rFonts w:ascii="Arial" w:eastAsia="Times New Roman" w:hAnsi="Arial" w:cs="Arial"/>
                <w:sz w:val="10"/>
                <w:szCs w:val="10"/>
              </w:rPr>
            </w:pPr>
            <w:r w:rsidRPr="002575AB">
              <w:rPr>
                <w:rFonts w:ascii="Arial" w:eastAsia="Times New Roman" w:hAnsi="Arial" w:cs="Arial"/>
                <w:sz w:val="10"/>
                <w:szCs w:val="10"/>
              </w:rPr>
              <w:t>km novih pješačkih staza</w:t>
            </w:r>
          </w:p>
        </w:tc>
        <w:tc>
          <w:tcPr>
            <w:tcW w:w="335" w:type="pct"/>
            <w:tcBorders>
              <w:top w:val="single" w:sz="4" w:space="0" w:color="auto"/>
              <w:left w:val="nil"/>
              <w:bottom w:val="single" w:sz="4" w:space="0" w:color="auto"/>
              <w:right w:val="single" w:sz="4" w:space="0" w:color="auto"/>
            </w:tcBorders>
            <w:shd w:val="clear" w:color="000000" w:fill="FFFFFF"/>
            <w:vAlign w:val="center"/>
            <w:hideMark/>
          </w:tcPr>
          <w:p w14:paraId="238619B6" w14:textId="77777777" w:rsidR="00E541EE" w:rsidRPr="002575AB" w:rsidRDefault="00E541EE" w:rsidP="00A84BB5">
            <w:pPr>
              <w:jc w:val="center"/>
              <w:rPr>
                <w:rFonts w:ascii="Arial" w:eastAsia="Times New Roman" w:hAnsi="Arial" w:cs="Arial"/>
                <w:sz w:val="10"/>
                <w:szCs w:val="10"/>
              </w:rPr>
            </w:pPr>
            <w:r w:rsidRPr="002575AB">
              <w:rPr>
                <w:rFonts w:ascii="Arial" w:eastAsia="Times New Roman" w:hAnsi="Arial" w:cs="Arial"/>
                <w:sz w:val="10"/>
                <w:szCs w:val="10"/>
              </w:rPr>
              <w:t>0,04</w:t>
            </w:r>
          </w:p>
        </w:tc>
        <w:tc>
          <w:tcPr>
            <w:tcW w:w="301" w:type="pct"/>
            <w:tcBorders>
              <w:top w:val="single" w:sz="4" w:space="0" w:color="auto"/>
              <w:left w:val="nil"/>
              <w:bottom w:val="single" w:sz="4" w:space="0" w:color="auto"/>
              <w:right w:val="single" w:sz="4" w:space="0" w:color="auto"/>
            </w:tcBorders>
            <w:shd w:val="clear" w:color="000000" w:fill="FFFFFF"/>
            <w:vAlign w:val="center"/>
            <w:hideMark/>
          </w:tcPr>
          <w:p w14:paraId="6A952DB0" w14:textId="77777777" w:rsidR="00E541EE" w:rsidRPr="002575AB" w:rsidRDefault="00E541EE" w:rsidP="00A84BB5">
            <w:pPr>
              <w:jc w:val="center"/>
              <w:rPr>
                <w:rFonts w:ascii="Arial" w:eastAsia="Times New Roman" w:hAnsi="Arial" w:cs="Arial"/>
                <w:sz w:val="10"/>
                <w:szCs w:val="10"/>
              </w:rPr>
            </w:pPr>
            <w:r w:rsidRPr="002575AB">
              <w:rPr>
                <w:rFonts w:ascii="Arial" w:eastAsia="Times New Roman" w:hAnsi="Arial" w:cs="Arial"/>
                <w:sz w:val="10"/>
                <w:szCs w:val="10"/>
              </w:rPr>
              <w:t>0,1</w:t>
            </w:r>
          </w:p>
        </w:tc>
        <w:tc>
          <w:tcPr>
            <w:tcW w:w="310" w:type="pct"/>
            <w:tcBorders>
              <w:top w:val="single" w:sz="4" w:space="0" w:color="auto"/>
              <w:left w:val="nil"/>
              <w:bottom w:val="single" w:sz="4" w:space="0" w:color="auto"/>
              <w:right w:val="single" w:sz="4" w:space="0" w:color="auto"/>
            </w:tcBorders>
            <w:shd w:val="clear" w:color="000000" w:fill="FFFFFF"/>
            <w:vAlign w:val="center"/>
            <w:hideMark/>
          </w:tcPr>
          <w:p w14:paraId="78069938" w14:textId="77777777" w:rsidR="00E541EE" w:rsidRPr="002575AB" w:rsidRDefault="00E541EE" w:rsidP="00A84BB5">
            <w:pPr>
              <w:jc w:val="center"/>
              <w:rPr>
                <w:rFonts w:ascii="Arial" w:eastAsia="Times New Roman" w:hAnsi="Arial" w:cs="Arial"/>
                <w:sz w:val="10"/>
                <w:szCs w:val="10"/>
              </w:rPr>
            </w:pPr>
            <w:r w:rsidRPr="002575AB">
              <w:rPr>
                <w:rFonts w:ascii="Arial" w:eastAsia="Times New Roman" w:hAnsi="Arial" w:cs="Arial"/>
                <w:sz w:val="10"/>
                <w:szCs w:val="10"/>
              </w:rPr>
              <w:t>0,15</w:t>
            </w:r>
          </w:p>
        </w:tc>
        <w:tc>
          <w:tcPr>
            <w:tcW w:w="204" w:type="pct"/>
            <w:tcBorders>
              <w:top w:val="single" w:sz="4" w:space="0" w:color="auto"/>
              <w:left w:val="nil"/>
              <w:bottom w:val="single" w:sz="4" w:space="0" w:color="auto"/>
              <w:right w:val="single" w:sz="4" w:space="0" w:color="auto"/>
            </w:tcBorders>
            <w:shd w:val="clear" w:color="000000" w:fill="FFFFFF"/>
            <w:vAlign w:val="center"/>
            <w:hideMark/>
          </w:tcPr>
          <w:p w14:paraId="3030E2D8" w14:textId="77777777" w:rsidR="00E541EE" w:rsidRPr="002575AB" w:rsidRDefault="00E541EE" w:rsidP="00A84BB5">
            <w:pPr>
              <w:jc w:val="center"/>
              <w:rPr>
                <w:rFonts w:ascii="Arial" w:eastAsia="Times New Roman" w:hAnsi="Arial" w:cs="Arial"/>
                <w:sz w:val="10"/>
                <w:szCs w:val="10"/>
              </w:rPr>
            </w:pPr>
            <w:r w:rsidRPr="002575AB">
              <w:rPr>
                <w:rFonts w:ascii="Arial" w:eastAsia="Times New Roman" w:hAnsi="Arial" w:cs="Arial"/>
                <w:sz w:val="10"/>
                <w:szCs w:val="10"/>
              </w:rPr>
              <w:t>0,15</w:t>
            </w:r>
          </w:p>
        </w:tc>
      </w:tr>
      <w:tr w:rsidR="00E541EE" w:rsidRPr="002575AB" w14:paraId="4B37421D" w14:textId="77777777" w:rsidTr="00F664F1">
        <w:trPr>
          <w:trHeight w:val="1440"/>
        </w:trPr>
        <w:tc>
          <w:tcPr>
            <w:tcW w:w="531" w:type="pct"/>
            <w:vMerge/>
            <w:tcBorders>
              <w:top w:val="single" w:sz="4" w:space="0" w:color="auto"/>
              <w:left w:val="single" w:sz="4" w:space="0" w:color="auto"/>
              <w:bottom w:val="single" w:sz="4" w:space="0" w:color="auto"/>
              <w:right w:val="single" w:sz="4" w:space="0" w:color="auto"/>
            </w:tcBorders>
            <w:vAlign w:val="center"/>
            <w:hideMark/>
          </w:tcPr>
          <w:p w14:paraId="3AA182ED" w14:textId="77777777" w:rsidR="00E541EE" w:rsidRPr="002575AB" w:rsidRDefault="00E541EE" w:rsidP="00A84BB5">
            <w:pPr>
              <w:rPr>
                <w:rFonts w:ascii="Arial" w:eastAsia="Times New Roman" w:hAnsi="Arial" w:cs="Arial"/>
                <w:sz w:val="10"/>
                <w:szCs w:val="10"/>
              </w:rPr>
            </w:pPr>
          </w:p>
        </w:tc>
        <w:tc>
          <w:tcPr>
            <w:tcW w:w="532" w:type="pct"/>
            <w:vMerge/>
            <w:tcBorders>
              <w:top w:val="single" w:sz="4" w:space="0" w:color="auto"/>
              <w:left w:val="single" w:sz="4" w:space="0" w:color="auto"/>
              <w:bottom w:val="single" w:sz="4" w:space="0" w:color="auto"/>
              <w:right w:val="single" w:sz="4" w:space="0" w:color="auto"/>
            </w:tcBorders>
            <w:vAlign w:val="center"/>
            <w:hideMark/>
          </w:tcPr>
          <w:p w14:paraId="61288DE5" w14:textId="77777777" w:rsidR="00E541EE" w:rsidRPr="002575AB" w:rsidRDefault="00E541EE" w:rsidP="00A84BB5">
            <w:pPr>
              <w:rPr>
                <w:rFonts w:ascii="Arial" w:eastAsia="Times New Roman" w:hAnsi="Arial" w:cs="Arial"/>
                <w:sz w:val="10"/>
                <w:szCs w:val="10"/>
              </w:rPr>
            </w:pPr>
          </w:p>
        </w:tc>
        <w:tc>
          <w:tcPr>
            <w:tcW w:w="608" w:type="pct"/>
            <w:vMerge/>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6BD87530" w14:textId="77777777" w:rsidR="00E541EE" w:rsidRPr="002575AB" w:rsidRDefault="00E541EE" w:rsidP="00A84BB5">
            <w:pPr>
              <w:rPr>
                <w:rFonts w:ascii="Arial" w:eastAsia="Times New Roman" w:hAnsi="Arial" w:cs="Arial"/>
                <w:sz w:val="10"/>
                <w:szCs w:val="10"/>
              </w:rPr>
            </w:pPr>
          </w:p>
        </w:tc>
        <w:tc>
          <w:tcPr>
            <w:tcW w:w="533" w:type="pct"/>
            <w:vMerge/>
            <w:tcBorders>
              <w:top w:val="single" w:sz="4" w:space="0" w:color="auto"/>
              <w:left w:val="single" w:sz="4" w:space="0" w:color="auto"/>
              <w:bottom w:val="single" w:sz="4" w:space="0" w:color="auto"/>
              <w:right w:val="single" w:sz="4" w:space="0" w:color="auto"/>
            </w:tcBorders>
            <w:vAlign w:val="center"/>
            <w:hideMark/>
          </w:tcPr>
          <w:p w14:paraId="6A149AF6" w14:textId="77777777" w:rsidR="00E541EE" w:rsidRPr="002575AB" w:rsidRDefault="00E541EE" w:rsidP="00A84BB5">
            <w:pPr>
              <w:rPr>
                <w:rFonts w:ascii="Arial" w:eastAsia="Times New Roman" w:hAnsi="Arial" w:cs="Arial"/>
                <w:sz w:val="10"/>
                <w:szCs w:val="10"/>
              </w:rPr>
            </w:pPr>
          </w:p>
        </w:tc>
        <w:tc>
          <w:tcPr>
            <w:tcW w:w="608" w:type="pct"/>
            <w:vMerge/>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3389B831" w14:textId="77777777" w:rsidR="00E541EE" w:rsidRPr="002575AB" w:rsidRDefault="00E541EE" w:rsidP="00A84BB5">
            <w:pPr>
              <w:rPr>
                <w:rFonts w:ascii="Arial" w:eastAsia="Times New Roman" w:hAnsi="Arial" w:cs="Arial"/>
                <w:sz w:val="10"/>
                <w:szCs w:val="10"/>
              </w:rPr>
            </w:pPr>
          </w:p>
        </w:tc>
        <w:tc>
          <w:tcPr>
            <w:tcW w:w="607" w:type="pct"/>
            <w:vMerge/>
            <w:tcBorders>
              <w:top w:val="single" w:sz="4" w:space="0" w:color="auto"/>
              <w:left w:val="single" w:sz="4" w:space="0" w:color="auto"/>
              <w:right w:val="single" w:sz="4" w:space="0" w:color="auto"/>
            </w:tcBorders>
            <w:vAlign w:val="center"/>
            <w:hideMark/>
          </w:tcPr>
          <w:p w14:paraId="456C0E10" w14:textId="77777777" w:rsidR="00E541EE" w:rsidRPr="002575AB" w:rsidRDefault="00E541EE" w:rsidP="00A84BB5">
            <w:pPr>
              <w:rPr>
                <w:rFonts w:ascii="Arial" w:eastAsia="Times New Roman" w:hAnsi="Arial" w:cs="Arial"/>
                <w:sz w:val="10"/>
                <w:szCs w:val="10"/>
              </w:rPr>
            </w:pPr>
          </w:p>
        </w:tc>
        <w:tc>
          <w:tcPr>
            <w:tcW w:w="430" w:type="pct"/>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5D64429E" w14:textId="77777777" w:rsidR="00E541EE" w:rsidRPr="002575AB" w:rsidRDefault="00E541EE" w:rsidP="00A84BB5">
            <w:pPr>
              <w:rPr>
                <w:rFonts w:ascii="Arial" w:eastAsia="Times New Roman" w:hAnsi="Arial" w:cs="Arial"/>
                <w:sz w:val="10"/>
                <w:szCs w:val="10"/>
              </w:rPr>
            </w:pPr>
            <w:r w:rsidRPr="002575AB">
              <w:rPr>
                <w:rFonts w:ascii="Arial" w:eastAsia="Times New Roman" w:hAnsi="Arial" w:cs="Arial"/>
                <w:sz w:val="10"/>
                <w:szCs w:val="10"/>
              </w:rPr>
              <w:t>Broj novoizgrađenih autobusnih stajališta</w:t>
            </w:r>
          </w:p>
        </w:tc>
        <w:tc>
          <w:tcPr>
            <w:tcW w:w="335" w:type="pct"/>
            <w:tcBorders>
              <w:top w:val="single" w:sz="4" w:space="0" w:color="auto"/>
              <w:left w:val="nil"/>
              <w:bottom w:val="single" w:sz="4" w:space="0" w:color="auto"/>
              <w:right w:val="single" w:sz="4" w:space="0" w:color="auto"/>
            </w:tcBorders>
            <w:shd w:val="clear" w:color="000000" w:fill="FFFFFF"/>
            <w:vAlign w:val="center"/>
            <w:hideMark/>
          </w:tcPr>
          <w:p w14:paraId="6A5C9A30" w14:textId="77777777" w:rsidR="00E541EE" w:rsidRPr="002575AB" w:rsidRDefault="00E541EE" w:rsidP="00A84BB5">
            <w:pPr>
              <w:jc w:val="center"/>
              <w:rPr>
                <w:rFonts w:ascii="Arial" w:eastAsia="Times New Roman" w:hAnsi="Arial" w:cs="Arial"/>
                <w:sz w:val="10"/>
                <w:szCs w:val="10"/>
              </w:rPr>
            </w:pPr>
            <w:r w:rsidRPr="002575AB">
              <w:rPr>
                <w:rFonts w:ascii="Arial" w:eastAsia="Times New Roman" w:hAnsi="Arial" w:cs="Arial"/>
                <w:sz w:val="10"/>
                <w:szCs w:val="10"/>
              </w:rPr>
              <w:t>0</w:t>
            </w:r>
          </w:p>
        </w:tc>
        <w:tc>
          <w:tcPr>
            <w:tcW w:w="301" w:type="pct"/>
            <w:tcBorders>
              <w:top w:val="single" w:sz="4" w:space="0" w:color="auto"/>
              <w:left w:val="nil"/>
              <w:bottom w:val="single" w:sz="4" w:space="0" w:color="auto"/>
              <w:right w:val="single" w:sz="4" w:space="0" w:color="auto"/>
            </w:tcBorders>
            <w:shd w:val="clear" w:color="000000" w:fill="FFFFFF"/>
            <w:vAlign w:val="center"/>
            <w:hideMark/>
          </w:tcPr>
          <w:p w14:paraId="7D9407C3" w14:textId="77777777" w:rsidR="00E541EE" w:rsidRPr="002575AB" w:rsidRDefault="00E541EE" w:rsidP="00A84BB5">
            <w:pPr>
              <w:jc w:val="center"/>
              <w:rPr>
                <w:rFonts w:ascii="Arial" w:eastAsia="Times New Roman" w:hAnsi="Arial" w:cs="Arial"/>
                <w:sz w:val="10"/>
                <w:szCs w:val="10"/>
              </w:rPr>
            </w:pPr>
            <w:r w:rsidRPr="002575AB">
              <w:rPr>
                <w:rFonts w:ascii="Arial" w:eastAsia="Times New Roman" w:hAnsi="Arial" w:cs="Arial"/>
                <w:sz w:val="10"/>
                <w:szCs w:val="10"/>
              </w:rPr>
              <w:t>0</w:t>
            </w:r>
          </w:p>
        </w:tc>
        <w:tc>
          <w:tcPr>
            <w:tcW w:w="310" w:type="pct"/>
            <w:tcBorders>
              <w:top w:val="single" w:sz="4" w:space="0" w:color="auto"/>
              <w:left w:val="nil"/>
              <w:bottom w:val="single" w:sz="4" w:space="0" w:color="auto"/>
              <w:right w:val="single" w:sz="4" w:space="0" w:color="auto"/>
            </w:tcBorders>
            <w:shd w:val="clear" w:color="000000" w:fill="FFFFFF"/>
            <w:vAlign w:val="center"/>
            <w:hideMark/>
          </w:tcPr>
          <w:p w14:paraId="32FACC5C" w14:textId="77777777" w:rsidR="00E541EE" w:rsidRPr="002575AB" w:rsidRDefault="00E541EE" w:rsidP="00A84BB5">
            <w:pPr>
              <w:jc w:val="center"/>
              <w:rPr>
                <w:rFonts w:ascii="Arial" w:eastAsia="Times New Roman" w:hAnsi="Arial" w:cs="Arial"/>
                <w:sz w:val="10"/>
                <w:szCs w:val="10"/>
              </w:rPr>
            </w:pPr>
            <w:r w:rsidRPr="002575AB">
              <w:rPr>
                <w:rFonts w:ascii="Arial" w:eastAsia="Times New Roman" w:hAnsi="Arial" w:cs="Arial"/>
                <w:sz w:val="10"/>
                <w:szCs w:val="10"/>
              </w:rPr>
              <w:t>0</w:t>
            </w:r>
          </w:p>
        </w:tc>
        <w:tc>
          <w:tcPr>
            <w:tcW w:w="204" w:type="pct"/>
            <w:tcBorders>
              <w:top w:val="single" w:sz="4" w:space="0" w:color="auto"/>
              <w:left w:val="nil"/>
              <w:bottom w:val="single" w:sz="4" w:space="0" w:color="auto"/>
              <w:right w:val="single" w:sz="4" w:space="0" w:color="auto"/>
            </w:tcBorders>
            <w:shd w:val="clear" w:color="000000" w:fill="FFFFFF"/>
            <w:vAlign w:val="center"/>
            <w:hideMark/>
          </w:tcPr>
          <w:p w14:paraId="5A7EBD76" w14:textId="77777777" w:rsidR="00E541EE" w:rsidRPr="002575AB" w:rsidRDefault="00E541EE" w:rsidP="00A84BB5">
            <w:pPr>
              <w:jc w:val="center"/>
              <w:rPr>
                <w:rFonts w:ascii="Arial" w:eastAsia="Times New Roman" w:hAnsi="Arial" w:cs="Arial"/>
                <w:sz w:val="10"/>
                <w:szCs w:val="10"/>
              </w:rPr>
            </w:pPr>
            <w:r w:rsidRPr="002575AB">
              <w:rPr>
                <w:rFonts w:ascii="Arial" w:eastAsia="Times New Roman" w:hAnsi="Arial" w:cs="Arial"/>
                <w:sz w:val="10"/>
                <w:szCs w:val="10"/>
              </w:rPr>
              <w:t>1</w:t>
            </w:r>
          </w:p>
        </w:tc>
      </w:tr>
      <w:tr w:rsidR="00E541EE" w:rsidRPr="002575AB" w14:paraId="29D1BB3A" w14:textId="77777777" w:rsidTr="00F664F1">
        <w:trPr>
          <w:trHeight w:val="2400"/>
        </w:trPr>
        <w:tc>
          <w:tcPr>
            <w:tcW w:w="531"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1F0421B" w14:textId="77777777" w:rsidR="00E541EE" w:rsidRPr="002575AB" w:rsidRDefault="00E541EE" w:rsidP="00A84BB5">
            <w:pPr>
              <w:jc w:val="center"/>
              <w:rPr>
                <w:rFonts w:ascii="Arial" w:eastAsia="Times New Roman" w:hAnsi="Arial" w:cs="Arial"/>
                <w:sz w:val="10"/>
                <w:szCs w:val="10"/>
              </w:rPr>
            </w:pPr>
            <w:r w:rsidRPr="002575AB">
              <w:rPr>
                <w:rFonts w:ascii="Arial" w:eastAsia="Times New Roman" w:hAnsi="Arial" w:cs="Arial"/>
                <w:sz w:val="10"/>
                <w:szCs w:val="10"/>
              </w:rPr>
              <w:t> </w:t>
            </w:r>
          </w:p>
          <w:p w14:paraId="1924CB0C" w14:textId="77777777" w:rsidR="00E541EE" w:rsidRPr="002575AB" w:rsidRDefault="00E541EE" w:rsidP="00A84BB5">
            <w:pPr>
              <w:rPr>
                <w:rFonts w:ascii="Arial" w:eastAsia="Times New Roman" w:hAnsi="Arial" w:cs="Arial"/>
                <w:sz w:val="10"/>
                <w:szCs w:val="10"/>
              </w:rPr>
            </w:pPr>
          </w:p>
          <w:p w14:paraId="338E388B" w14:textId="77777777" w:rsidR="00E541EE" w:rsidRPr="002575AB" w:rsidRDefault="00E541EE" w:rsidP="00A84BB5">
            <w:pPr>
              <w:rPr>
                <w:rFonts w:ascii="Arial" w:eastAsia="Times New Roman" w:hAnsi="Arial" w:cs="Arial"/>
                <w:sz w:val="10"/>
                <w:szCs w:val="10"/>
              </w:rPr>
            </w:pPr>
          </w:p>
          <w:p w14:paraId="721BF446" w14:textId="77777777" w:rsidR="00E541EE" w:rsidRPr="002575AB" w:rsidRDefault="00E541EE" w:rsidP="00A84BB5">
            <w:pPr>
              <w:rPr>
                <w:rFonts w:ascii="Arial" w:eastAsia="Times New Roman" w:hAnsi="Arial" w:cs="Arial"/>
                <w:sz w:val="10"/>
                <w:szCs w:val="10"/>
              </w:rPr>
            </w:pPr>
            <w:r w:rsidRPr="002575AB">
              <w:rPr>
                <w:rFonts w:ascii="Arial" w:eastAsia="Times New Roman" w:hAnsi="Arial" w:cs="Arial"/>
                <w:sz w:val="10"/>
                <w:szCs w:val="10"/>
              </w:rPr>
              <w:t> </w:t>
            </w:r>
          </w:p>
        </w:tc>
        <w:tc>
          <w:tcPr>
            <w:tcW w:w="53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5772215" w14:textId="77777777" w:rsidR="00E541EE" w:rsidRPr="002575AB" w:rsidRDefault="00E541EE" w:rsidP="00A84BB5">
            <w:pPr>
              <w:rPr>
                <w:rFonts w:ascii="Arial" w:eastAsia="Times New Roman" w:hAnsi="Arial" w:cs="Arial"/>
                <w:sz w:val="10"/>
                <w:szCs w:val="10"/>
              </w:rPr>
            </w:pPr>
            <w:r w:rsidRPr="002575AB">
              <w:rPr>
                <w:rFonts w:ascii="Arial" w:eastAsia="Times New Roman" w:hAnsi="Arial" w:cs="Arial"/>
                <w:sz w:val="10"/>
                <w:szCs w:val="10"/>
              </w:rPr>
              <w:t>2.1. Osiguranje visokih standarda i dostupnosti obrazovanja</w:t>
            </w:r>
          </w:p>
        </w:tc>
        <w:tc>
          <w:tcPr>
            <w:tcW w:w="608"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366354D3" w14:textId="77777777" w:rsidR="00E541EE" w:rsidRPr="002575AB" w:rsidRDefault="00E541EE" w:rsidP="00A84BB5">
            <w:pPr>
              <w:rPr>
                <w:rFonts w:ascii="Arial" w:eastAsia="Times New Roman" w:hAnsi="Arial" w:cs="Arial"/>
                <w:sz w:val="10"/>
                <w:szCs w:val="10"/>
              </w:rPr>
            </w:pPr>
            <w:r w:rsidRPr="002575AB">
              <w:rPr>
                <w:rFonts w:ascii="Arial" w:eastAsia="Times New Roman" w:hAnsi="Arial" w:cs="Arial"/>
                <w:sz w:val="10"/>
                <w:szCs w:val="10"/>
              </w:rPr>
              <w:t>P1014 GRAĐENJE OBJEKATA</w:t>
            </w:r>
          </w:p>
        </w:tc>
        <w:tc>
          <w:tcPr>
            <w:tcW w:w="5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BB9EA49" w14:textId="77777777" w:rsidR="00E541EE" w:rsidRPr="002575AB" w:rsidRDefault="00E541EE" w:rsidP="00A84BB5">
            <w:pPr>
              <w:rPr>
                <w:rFonts w:ascii="Arial" w:eastAsia="Times New Roman" w:hAnsi="Arial" w:cs="Arial"/>
                <w:sz w:val="10"/>
                <w:szCs w:val="10"/>
              </w:rPr>
            </w:pPr>
            <w:r w:rsidRPr="002575AB">
              <w:rPr>
                <w:rFonts w:ascii="Arial" w:eastAsia="Times New Roman" w:hAnsi="Arial" w:cs="Arial"/>
                <w:sz w:val="10"/>
                <w:szCs w:val="10"/>
              </w:rPr>
              <w:t>Izgradnja, rekonstrukcija, dogradnja i opremanje predškolskih ustanova, osnovnih i srednjih škola te</w:t>
            </w:r>
            <w:r w:rsidRPr="002575AB">
              <w:rPr>
                <w:rFonts w:ascii="Arial" w:eastAsia="Times New Roman" w:hAnsi="Arial" w:cs="Arial"/>
                <w:sz w:val="10"/>
                <w:szCs w:val="10"/>
              </w:rPr>
              <w:br/>
              <w:t>učeničkih domova</w:t>
            </w:r>
          </w:p>
        </w:tc>
        <w:tc>
          <w:tcPr>
            <w:tcW w:w="608"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465DBEDF" w14:textId="77777777" w:rsidR="00E541EE" w:rsidRPr="002575AB" w:rsidRDefault="00E541EE" w:rsidP="00A84BB5">
            <w:pPr>
              <w:rPr>
                <w:rFonts w:ascii="Arial" w:eastAsia="Times New Roman" w:hAnsi="Arial" w:cs="Arial"/>
                <w:sz w:val="10"/>
                <w:szCs w:val="10"/>
              </w:rPr>
            </w:pPr>
            <w:r w:rsidRPr="002575AB">
              <w:rPr>
                <w:rFonts w:ascii="Arial" w:eastAsia="Times New Roman" w:hAnsi="Arial" w:cs="Arial"/>
                <w:sz w:val="10"/>
                <w:szCs w:val="10"/>
              </w:rPr>
              <w:t>12.851.000,00</w:t>
            </w:r>
          </w:p>
        </w:tc>
        <w:tc>
          <w:tcPr>
            <w:tcW w:w="607" w:type="pct"/>
            <w:tcBorders>
              <w:left w:val="single" w:sz="4" w:space="0" w:color="auto"/>
              <w:bottom w:val="single" w:sz="4" w:space="0" w:color="auto"/>
              <w:right w:val="single" w:sz="4" w:space="0" w:color="auto"/>
            </w:tcBorders>
            <w:vAlign w:val="center"/>
            <w:hideMark/>
          </w:tcPr>
          <w:p w14:paraId="15704E60" w14:textId="77777777" w:rsidR="00E541EE" w:rsidRPr="002575AB" w:rsidRDefault="00E541EE" w:rsidP="00A84BB5">
            <w:pPr>
              <w:rPr>
                <w:rFonts w:ascii="Arial" w:eastAsia="Times New Roman" w:hAnsi="Arial" w:cs="Arial"/>
                <w:sz w:val="10"/>
                <w:szCs w:val="10"/>
              </w:rPr>
            </w:pPr>
            <w:r w:rsidRPr="002575AB">
              <w:rPr>
                <w:rFonts w:ascii="Arial" w:eastAsia="Times New Roman" w:hAnsi="Arial" w:cs="Arial"/>
                <w:sz w:val="10"/>
                <w:szCs w:val="10"/>
              </w:rPr>
              <w:t xml:space="preserve"> K101453 REKONSTRUKCIJA I DOGRADNJA OSNOVNE ŠKOLE JURJA DOBRILE </w:t>
            </w:r>
          </w:p>
          <w:p w14:paraId="107B78CB" w14:textId="77777777" w:rsidR="00E541EE" w:rsidRPr="002575AB" w:rsidRDefault="00E541EE" w:rsidP="00A84BB5">
            <w:pPr>
              <w:rPr>
                <w:rFonts w:ascii="Arial" w:eastAsia="Times New Roman" w:hAnsi="Arial" w:cs="Arial"/>
                <w:sz w:val="10"/>
                <w:szCs w:val="10"/>
              </w:rPr>
            </w:pPr>
          </w:p>
          <w:p w14:paraId="6BD5B4E6" w14:textId="77777777" w:rsidR="00E541EE" w:rsidRPr="002575AB" w:rsidRDefault="00E541EE" w:rsidP="00A84BB5">
            <w:pPr>
              <w:rPr>
                <w:rFonts w:ascii="Arial" w:eastAsia="Times New Roman" w:hAnsi="Arial" w:cs="Arial"/>
                <w:sz w:val="10"/>
                <w:szCs w:val="10"/>
              </w:rPr>
            </w:pPr>
            <w:r w:rsidRPr="002575AB">
              <w:rPr>
                <w:rFonts w:ascii="Arial" w:eastAsia="Times New Roman" w:hAnsi="Arial" w:cs="Arial"/>
                <w:sz w:val="10"/>
                <w:szCs w:val="10"/>
              </w:rPr>
              <w:t xml:space="preserve">K101469 REKONSTRUKCIJA I DOGRADNJA TALIJANSKE OSNOVNE ŠKOLE, </w:t>
            </w:r>
          </w:p>
          <w:p w14:paraId="0089BB64" w14:textId="77777777" w:rsidR="00E541EE" w:rsidRPr="002575AB" w:rsidRDefault="00E541EE" w:rsidP="00A84BB5">
            <w:pPr>
              <w:rPr>
                <w:rFonts w:ascii="Arial" w:eastAsia="Times New Roman" w:hAnsi="Arial" w:cs="Arial"/>
                <w:sz w:val="10"/>
                <w:szCs w:val="10"/>
              </w:rPr>
            </w:pPr>
          </w:p>
          <w:p w14:paraId="3EE6AB18" w14:textId="77777777" w:rsidR="00E541EE" w:rsidRPr="002575AB" w:rsidRDefault="00E541EE" w:rsidP="00A84BB5">
            <w:pPr>
              <w:rPr>
                <w:rFonts w:ascii="Arial" w:eastAsia="Times New Roman" w:hAnsi="Arial" w:cs="Arial"/>
                <w:sz w:val="10"/>
                <w:szCs w:val="10"/>
              </w:rPr>
            </w:pPr>
            <w:r w:rsidRPr="002575AB">
              <w:rPr>
                <w:rFonts w:ascii="Arial" w:eastAsia="Times New Roman" w:hAnsi="Arial" w:cs="Arial"/>
                <w:sz w:val="10"/>
                <w:szCs w:val="10"/>
              </w:rPr>
              <w:t>K101482 REKONSTRUKCIJA OSNOVNE ŠKOLE V.NAZOR</w:t>
            </w:r>
          </w:p>
        </w:tc>
        <w:tc>
          <w:tcPr>
            <w:tcW w:w="430"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323E814D" w14:textId="77777777" w:rsidR="00E541EE" w:rsidRPr="002575AB" w:rsidRDefault="00E541EE" w:rsidP="00A84BB5">
            <w:pPr>
              <w:rPr>
                <w:rFonts w:ascii="Arial" w:eastAsia="Times New Roman" w:hAnsi="Arial" w:cs="Arial"/>
                <w:sz w:val="10"/>
                <w:szCs w:val="10"/>
              </w:rPr>
            </w:pPr>
            <w:r w:rsidRPr="002575AB">
              <w:rPr>
                <w:rFonts w:ascii="Arial" w:eastAsia="Times New Roman" w:hAnsi="Arial" w:cs="Arial"/>
                <w:sz w:val="10"/>
                <w:szCs w:val="10"/>
              </w:rPr>
              <w:t>Broj rekonstruiranih/adaptiranih objekata odgojno-obrazovnih ustanova</w:t>
            </w:r>
          </w:p>
        </w:tc>
        <w:tc>
          <w:tcPr>
            <w:tcW w:w="3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2F33427" w14:textId="77777777" w:rsidR="00E541EE" w:rsidRPr="002575AB" w:rsidRDefault="00E541EE" w:rsidP="00A84BB5">
            <w:pPr>
              <w:jc w:val="center"/>
              <w:rPr>
                <w:rFonts w:ascii="Arial" w:eastAsia="Times New Roman" w:hAnsi="Arial" w:cs="Arial"/>
                <w:sz w:val="10"/>
                <w:szCs w:val="10"/>
              </w:rPr>
            </w:pPr>
            <w:r w:rsidRPr="002575AB">
              <w:rPr>
                <w:rFonts w:ascii="Arial" w:eastAsia="Times New Roman" w:hAnsi="Arial" w:cs="Arial"/>
                <w:sz w:val="10"/>
                <w:szCs w:val="10"/>
              </w:rPr>
              <w:t>2</w:t>
            </w:r>
          </w:p>
        </w:tc>
        <w:tc>
          <w:tcPr>
            <w:tcW w:w="30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7247317" w14:textId="77777777" w:rsidR="00E541EE" w:rsidRPr="002575AB" w:rsidRDefault="00E541EE" w:rsidP="00A84BB5">
            <w:pPr>
              <w:jc w:val="center"/>
              <w:rPr>
                <w:rFonts w:ascii="Arial" w:eastAsia="Times New Roman" w:hAnsi="Arial" w:cs="Arial"/>
                <w:sz w:val="10"/>
                <w:szCs w:val="10"/>
              </w:rPr>
            </w:pPr>
            <w:r w:rsidRPr="002575AB">
              <w:rPr>
                <w:rFonts w:ascii="Arial" w:eastAsia="Times New Roman" w:hAnsi="Arial" w:cs="Arial"/>
                <w:sz w:val="10"/>
                <w:szCs w:val="10"/>
              </w:rPr>
              <w:t>4</w:t>
            </w:r>
          </w:p>
        </w:tc>
        <w:tc>
          <w:tcPr>
            <w:tcW w:w="31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C6018A9" w14:textId="77777777" w:rsidR="00E541EE" w:rsidRPr="002575AB" w:rsidRDefault="00E541EE" w:rsidP="00A84BB5">
            <w:pPr>
              <w:jc w:val="center"/>
              <w:rPr>
                <w:rFonts w:ascii="Arial" w:eastAsia="Times New Roman" w:hAnsi="Arial" w:cs="Arial"/>
                <w:sz w:val="10"/>
                <w:szCs w:val="10"/>
              </w:rPr>
            </w:pPr>
            <w:r w:rsidRPr="002575AB">
              <w:rPr>
                <w:rFonts w:ascii="Arial" w:eastAsia="Times New Roman" w:hAnsi="Arial" w:cs="Arial"/>
                <w:sz w:val="10"/>
                <w:szCs w:val="10"/>
              </w:rPr>
              <w:t>5</w:t>
            </w:r>
          </w:p>
        </w:tc>
        <w:tc>
          <w:tcPr>
            <w:tcW w:w="20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D9F0D66" w14:textId="77777777" w:rsidR="00E541EE" w:rsidRPr="002575AB" w:rsidRDefault="00E541EE" w:rsidP="00A84BB5">
            <w:pPr>
              <w:jc w:val="center"/>
              <w:rPr>
                <w:rFonts w:ascii="Arial" w:eastAsia="Times New Roman" w:hAnsi="Arial" w:cs="Arial"/>
                <w:sz w:val="10"/>
                <w:szCs w:val="10"/>
              </w:rPr>
            </w:pPr>
            <w:r w:rsidRPr="002575AB">
              <w:rPr>
                <w:rFonts w:ascii="Arial" w:eastAsia="Times New Roman" w:hAnsi="Arial" w:cs="Arial"/>
                <w:sz w:val="10"/>
                <w:szCs w:val="10"/>
              </w:rPr>
              <w:t>5</w:t>
            </w:r>
          </w:p>
        </w:tc>
      </w:tr>
      <w:tr w:rsidR="00E541EE" w:rsidRPr="002575AB" w14:paraId="1FAE686D" w14:textId="77777777" w:rsidTr="00F664F1">
        <w:trPr>
          <w:trHeight w:val="2200"/>
        </w:trPr>
        <w:tc>
          <w:tcPr>
            <w:tcW w:w="531" w:type="pct"/>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6E086A3F" w14:textId="77777777" w:rsidR="00E541EE" w:rsidRPr="002575AB" w:rsidRDefault="00E541EE" w:rsidP="00A84BB5">
            <w:pPr>
              <w:rPr>
                <w:rFonts w:ascii="Arial" w:eastAsia="Times New Roman" w:hAnsi="Arial" w:cs="Arial"/>
                <w:sz w:val="10"/>
                <w:szCs w:val="10"/>
              </w:rPr>
            </w:pPr>
          </w:p>
        </w:tc>
        <w:tc>
          <w:tcPr>
            <w:tcW w:w="53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3E0EC58" w14:textId="77777777" w:rsidR="00E541EE" w:rsidRPr="002575AB" w:rsidRDefault="00E541EE" w:rsidP="00A84BB5">
            <w:pPr>
              <w:rPr>
                <w:rFonts w:ascii="Arial" w:eastAsia="Times New Roman" w:hAnsi="Arial" w:cs="Arial"/>
                <w:sz w:val="10"/>
                <w:szCs w:val="10"/>
              </w:rPr>
            </w:pPr>
            <w:r w:rsidRPr="002575AB">
              <w:rPr>
                <w:rFonts w:ascii="Arial" w:eastAsia="Times New Roman" w:hAnsi="Arial" w:cs="Arial"/>
                <w:sz w:val="10"/>
                <w:szCs w:val="10"/>
              </w:rPr>
              <w:t>4.2. Razvoj kulturnog sektora, te jačanje kulturnog identiteta, baštine i tradicije</w:t>
            </w:r>
          </w:p>
        </w:tc>
        <w:tc>
          <w:tcPr>
            <w:tcW w:w="608"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76D7D6BD" w14:textId="77777777" w:rsidR="00E541EE" w:rsidRPr="002575AB" w:rsidRDefault="00E541EE" w:rsidP="00A84BB5">
            <w:pPr>
              <w:rPr>
                <w:rFonts w:ascii="Arial" w:eastAsia="Times New Roman" w:hAnsi="Arial" w:cs="Arial"/>
                <w:sz w:val="10"/>
                <w:szCs w:val="10"/>
              </w:rPr>
            </w:pPr>
            <w:r w:rsidRPr="002575AB">
              <w:rPr>
                <w:rFonts w:ascii="Arial" w:eastAsia="Times New Roman" w:hAnsi="Arial" w:cs="Arial"/>
                <w:sz w:val="10"/>
                <w:szCs w:val="10"/>
              </w:rPr>
              <w:t>P1014 GRAĐENJE OBJEKATA</w:t>
            </w:r>
          </w:p>
        </w:tc>
        <w:tc>
          <w:tcPr>
            <w:tcW w:w="5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1560AA5" w14:textId="77777777" w:rsidR="00E541EE" w:rsidRPr="002575AB" w:rsidRDefault="00E541EE" w:rsidP="00A84BB5">
            <w:pPr>
              <w:rPr>
                <w:rFonts w:ascii="Arial" w:eastAsia="Times New Roman" w:hAnsi="Arial" w:cs="Arial"/>
                <w:sz w:val="10"/>
                <w:szCs w:val="10"/>
              </w:rPr>
            </w:pPr>
            <w:r w:rsidRPr="002575AB">
              <w:rPr>
                <w:rFonts w:ascii="Arial" w:eastAsia="Times New Roman" w:hAnsi="Arial" w:cs="Arial"/>
                <w:sz w:val="10"/>
                <w:szCs w:val="10"/>
              </w:rPr>
              <w:t>Očuvanje nematerijalne baštine, obnova materijalne baštine te njihova valorizacija i prezentacija</w:t>
            </w:r>
          </w:p>
        </w:tc>
        <w:tc>
          <w:tcPr>
            <w:tcW w:w="608"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6CE32AB0" w14:textId="77777777" w:rsidR="00E541EE" w:rsidRPr="002575AB" w:rsidRDefault="00E541EE" w:rsidP="00A84BB5">
            <w:pPr>
              <w:jc w:val="right"/>
              <w:rPr>
                <w:rFonts w:ascii="Arial" w:eastAsia="Times New Roman" w:hAnsi="Arial" w:cs="Arial"/>
                <w:sz w:val="10"/>
                <w:szCs w:val="10"/>
              </w:rPr>
            </w:pPr>
            <w:r w:rsidRPr="002575AB">
              <w:rPr>
                <w:rFonts w:ascii="Arial" w:eastAsia="Times New Roman" w:hAnsi="Arial" w:cs="Arial"/>
                <w:sz w:val="10"/>
                <w:szCs w:val="10"/>
              </w:rPr>
              <w:t>680.700,00</w:t>
            </w:r>
          </w:p>
        </w:tc>
        <w:tc>
          <w:tcPr>
            <w:tcW w:w="607" w:type="pct"/>
            <w:tcBorders>
              <w:top w:val="single" w:sz="4" w:space="0" w:color="auto"/>
              <w:left w:val="single" w:sz="4" w:space="0" w:color="auto"/>
              <w:bottom w:val="single" w:sz="4" w:space="0" w:color="auto"/>
              <w:right w:val="single" w:sz="4" w:space="0" w:color="auto"/>
            </w:tcBorders>
            <w:vAlign w:val="center"/>
            <w:hideMark/>
          </w:tcPr>
          <w:p w14:paraId="61E99E77" w14:textId="77777777" w:rsidR="00E541EE" w:rsidRPr="002575AB" w:rsidRDefault="00E541EE" w:rsidP="00A84BB5">
            <w:pPr>
              <w:rPr>
                <w:rFonts w:ascii="Arial" w:eastAsia="Times New Roman" w:hAnsi="Arial" w:cs="Arial"/>
                <w:sz w:val="10"/>
                <w:szCs w:val="10"/>
              </w:rPr>
            </w:pPr>
            <w:r w:rsidRPr="002575AB">
              <w:rPr>
                <w:rFonts w:ascii="Arial" w:eastAsia="Times New Roman" w:hAnsi="Arial" w:cs="Arial"/>
                <w:sz w:val="10"/>
                <w:szCs w:val="10"/>
              </w:rPr>
              <w:t xml:space="preserve">K101475 POPLOČENJE - CRKVA SV. EUFEMIJA - V. FAZA </w:t>
            </w:r>
          </w:p>
          <w:p w14:paraId="5A71373C" w14:textId="77777777" w:rsidR="00E541EE" w:rsidRPr="002575AB" w:rsidRDefault="00E541EE" w:rsidP="00A84BB5">
            <w:pPr>
              <w:ind w:right="-110"/>
              <w:rPr>
                <w:rFonts w:ascii="Arial" w:eastAsia="Times New Roman" w:hAnsi="Arial" w:cs="Arial"/>
                <w:sz w:val="10"/>
                <w:szCs w:val="10"/>
              </w:rPr>
            </w:pPr>
          </w:p>
          <w:p w14:paraId="4460EA3D" w14:textId="77777777" w:rsidR="00E541EE" w:rsidRPr="002575AB" w:rsidRDefault="00E541EE" w:rsidP="00A84BB5">
            <w:pPr>
              <w:ind w:right="-110"/>
              <w:rPr>
                <w:rFonts w:ascii="Arial" w:eastAsia="Times New Roman" w:hAnsi="Arial" w:cs="Arial"/>
                <w:sz w:val="10"/>
                <w:szCs w:val="10"/>
              </w:rPr>
            </w:pPr>
          </w:p>
          <w:p w14:paraId="55070026" w14:textId="77777777" w:rsidR="00E541EE" w:rsidRPr="002575AB" w:rsidRDefault="00E541EE" w:rsidP="00A84BB5">
            <w:pPr>
              <w:ind w:right="-110"/>
              <w:rPr>
                <w:rFonts w:ascii="Arial" w:eastAsia="Times New Roman" w:hAnsi="Arial" w:cs="Arial"/>
                <w:sz w:val="10"/>
                <w:szCs w:val="10"/>
              </w:rPr>
            </w:pPr>
            <w:r w:rsidRPr="002575AB">
              <w:rPr>
                <w:rFonts w:ascii="Arial" w:eastAsia="Times New Roman" w:hAnsi="Arial" w:cs="Arial"/>
                <w:sz w:val="10"/>
                <w:szCs w:val="10"/>
              </w:rPr>
              <w:t>K101472 REKONSTRUKCIJA GRAĐEVINE “ŠKVER“</w:t>
            </w:r>
          </w:p>
        </w:tc>
        <w:tc>
          <w:tcPr>
            <w:tcW w:w="430" w:type="pct"/>
            <w:tcBorders>
              <w:top w:val="single" w:sz="4" w:space="0" w:color="auto"/>
              <w:left w:val="nil"/>
              <w:bottom w:val="single" w:sz="4" w:space="0" w:color="auto"/>
              <w:right w:val="single" w:sz="4" w:space="0" w:color="auto"/>
            </w:tcBorders>
            <w:shd w:val="clear" w:color="auto" w:fill="FFF2CC" w:themeFill="accent4" w:themeFillTint="33"/>
            <w:vAlign w:val="center"/>
          </w:tcPr>
          <w:p w14:paraId="089D916B" w14:textId="77777777" w:rsidR="00E541EE" w:rsidRPr="002575AB" w:rsidRDefault="00E541EE" w:rsidP="00A84BB5">
            <w:pPr>
              <w:jc w:val="center"/>
              <w:rPr>
                <w:rFonts w:ascii="Arial" w:eastAsia="Times New Roman" w:hAnsi="Arial" w:cs="Arial"/>
                <w:sz w:val="10"/>
                <w:szCs w:val="10"/>
              </w:rPr>
            </w:pPr>
            <w:r w:rsidRPr="002575AB">
              <w:rPr>
                <w:rFonts w:ascii="Arial" w:eastAsia="Times New Roman" w:hAnsi="Arial" w:cs="Arial"/>
                <w:sz w:val="10"/>
                <w:szCs w:val="10"/>
              </w:rPr>
              <w:t>Broj obnovljenih objekata kulturne baštine/ kulturno-povijesnih spomenika</w:t>
            </w:r>
          </w:p>
        </w:tc>
        <w:tc>
          <w:tcPr>
            <w:tcW w:w="335" w:type="pct"/>
            <w:tcBorders>
              <w:top w:val="single" w:sz="4" w:space="0" w:color="auto"/>
              <w:left w:val="nil"/>
              <w:bottom w:val="single" w:sz="4" w:space="0" w:color="auto"/>
              <w:right w:val="single" w:sz="4" w:space="0" w:color="auto"/>
            </w:tcBorders>
            <w:shd w:val="clear" w:color="000000" w:fill="FFFFFF"/>
            <w:vAlign w:val="center"/>
          </w:tcPr>
          <w:p w14:paraId="1FE060A8" w14:textId="77777777" w:rsidR="00E541EE" w:rsidRPr="002575AB" w:rsidRDefault="00E541EE" w:rsidP="00A84BB5">
            <w:pPr>
              <w:jc w:val="center"/>
              <w:rPr>
                <w:rFonts w:ascii="Arial" w:eastAsia="Times New Roman" w:hAnsi="Arial" w:cs="Arial"/>
                <w:sz w:val="10"/>
                <w:szCs w:val="10"/>
              </w:rPr>
            </w:pPr>
            <w:r w:rsidRPr="002575AB">
              <w:rPr>
                <w:rFonts w:ascii="Arial" w:eastAsia="Times New Roman" w:hAnsi="Arial" w:cs="Arial"/>
                <w:sz w:val="10"/>
                <w:szCs w:val="10"/>
              </w:rPr>
              <w:t>3</w:t>
            </w:r>
          </w:p>
        </w:tc>
        <w:tc>
          <w:tcPr>
            <w:tcW w:w="301" w:type="pct"/>
            <w:tcBorders>
              <w:top w:val="single" w:sz="4" w:space="0" w:color="auto"/>
              <w:left w:val="nil"/>
              <w:bottom w:val="single" w:sz="4" w:space="0" w:color="auto"/>
              <w:right w:val="single" w:sz="4" w:space="0" w:color="auto"/>
            </w:tcBorders>
            <w:shd w:val="clear" w:color="000000" w:fill="FFFFFF"/>
            <w:vAlign w:val="center"/>
          </w:tcPr>
          <w:p w14:paraId="7DE8DC01" w14:textId="77777777" w:rsidR="00E541EE" w:rsidRPr="002575AB" w:rsidRDefault="00E541EE" w:rsidP="00A84BB5">
            <w:pPr>
              <w:jc w:val="center"/>
              <w:rPr>
                <w:rFonts w:ascii="Arial" w:eastAsia="Times New Roman" w:hAnsi="Arial" w:cs="Arial"/>
                <w:sz w:val="10"/>
                <w:szCs w:val="10"/>
              </w:rPr>
            </w:pPr>
            <w:r w:rsidRPr="002575AB">
              <w:rPr>
                <w:rFonts w:ascii="Arial" w:eastAsia="Times New Roman" w:hAnsi="Arial" w:cs="Arial"/>
                <w:sz w:val="10"/>
                <w:szCs w:val="10"/>
              </w:rPr>
              <w:t>4</w:t>
            </w:r>
          </w:p>
        </w:tc>
        <w:tc>
          <w:tcPr>
            <w:tcW w:w="310" w:type="pct"/>
            <w:tcBorders>
              <w:top w:val="single" w:sz="4" w:space="0" w:color="auto"/>
              <w:left w:val="nil"/>
              <w:bottom w:val="single" w:sz="4" w:space="0" w:color="auto"/>
              <w:right w:val="single" w:sz="4" w:space="0" w:color="auto"/>
            </w:tcBorders>
            <w:shd w:val="clear" w:color="000000" w:fill="FFFFFF"/>
            <w:vAlign w:val="center"/>
          </w:tcPr>
          <w:p w14:paraId="694CFD6F" w14:textId="77777777" w:rsidR="00E541EE" w:rsidRPr="002575AB" w:rsidRDefault="00E541EE" w:rsidP="00A84BB5">
            <w:pPr>
              <w:jc w:val="center"/>
              <w:rPr>
                <w:rFonts w:ascii="Arial" w:eastAsia="Times New Roman" w:hAnsi="Arial" w:cs="Arial"/>
                <w:sz w:val="10"/>
                <w:szCs w:val="10"/>
              </w:rPr>
            </w:pPr>
            <w:r w:rsidRPr="002575AB">
              <w:rPr>
                <w:rFonts w:ascii="Arial" w:eastAsia="Times New Roman" w:hAnsi="Arial" w:cs="Arial"/>
                <w:sz w:val="10"/>
                <w:szCs w:val="10"/>
              </w:rPr>
              <w:t>5</w:t>
            </w:r>
          </w:p>
        </w:tc>
        <w:tc>
          <w:tcPr>
            <w:tcW w:w="204" w:type="pct"/>
            <w:tcBorders>
              <w:top w:val="single" w:sz="4" w:space="0" w:color="auto"/>
              <w:left w:val="nil"/>
              <w:bottom w:val="single" w:sz="4" w:space="0" w:color="auto"/>
              <w:right w:val="single" w:sz="4" w:space="0" w:color="auto"/>
            </w:tcBorders>
            <w:shd w:val="clear" w:color="000000" w:fill="FFFFFF"/>
            <w:vAlign w:val="center"/>
          </w:tcPr>
          <w:p w14:paraId="49A37AE4" w14:textId="77777777" w:rsidR="00E541EE" w:rsidRPr="002575AB" w:rsidRDefault="00E541EE" w:rsidP="00A84BB5">
            <w:pPr>
              <w:jc w:val="center"/>
              <w:rPr>
                <w:rFonts w:ascii="Arial" w:eastAsia="Times New Roman" w:hAnsi="Arial" w:cs="Arial"/>
                <w:sz w:val="10"/>
                <w:szCs w:val="10"/>
              </w:rPr>
            </w:pPr>
            <w:r w:rsidRPr="002575AB">
              <w:rPr>
                <w:rFonts w:ascii="Arial" w:eastAsia="Times New Roman" w:hAnsi="Arial" w:cs="Arial"/>
                <w:sz w:val="10"/>
                <w:szCs w:val="10"/>
              </w:rPr>
              <w:t>6</w:t>
            </w:r>
          </w:p>
        </w:tc>
      </w:tr>
    </w:tbl>
    <w:p w14:paraId="00E8F126" w14:textId="77777777" w:rsidR="00E541EE" w:rsidRPr="002575AB" w:rsidRDefault="00E541EE" w:rsidP="00E541EE">
      <w:pPr>
        <w:jc w:val="both"/>
        <w:rPr>
          <w:rFonts w:ascii="Arial" w:eastAsia="Times New Roman" w:hAnsi="Arial" w:cs="Arial"/>
          <w:b/>
          <w:bCs/>
          <w:color w:val="2F5496" w:themeColor="accent1" w:themeShade="BF"/>
          <w:sz w:val="10"/>
          <w:szCs w:val="10"/>
        </w:rPr>
      </w:pPr>
    </w:p>
    <w:p w14:paraId="0377E03A" w14:textId="77777777" w:rsidR="00E541EE" w:rsidRPr="00B812D4" w:rsidRDefault="00E541EE" w:rsidP="00E541EE">
      <w:pPr>
        <w:jc w:val="both"/>
        <w:rPr>
          <w:rFonts w:ascii="Arial" w:eastAsia="Times New Roman" w:hAnsi="Arial" w:cs="Arial"/>
          <w:b/>
          <w:bCs/>
          <w:color w:val="2F5496" w:themeColor="accent1" w:themeShade="BF"/>
          <w:sz w:val="14"/>
          <w:szCs w:val="14"/>
        </w:rPr>
      </w:pPr>
    </w:p>
    <w:p w14:paraId="28E1C500" w14:textId="77777777" w:rsidR="00E541EE" w:rsidRPr="005F5DE2" w:rsidRDefault="00E541EE" w:rsidP="00E541EE">
      <w:pPr>
        <w:pBdr>
          <w:top w:val="single" w:sz="4" w:space="1" w:color="auto"/>
          <w:left w:val="single" w:sz="4" w:space="4" w:color="auto"/>
          <w:bottom w:val="single" w:sz="4" w:space="1" w:color="auto"/>
          <w:right w:val="single" w:sz="4" w:space="4" w:color="auto"/>
        </w:pBdr>
        <w:shd w:val="clear" w:color="auto" w:fill="E9E9E9"/>
        <w:ind w:right="-1"/>
        <w:rPr>
          <w:rFonts w:ascii="Arial" w:eastAsia="Times New Roman" w:hAnsi="Arial" w:cs="Arial"/>
          <w:color w:val="000000" w:themeColor="text1"/>
          <w:sz w:val="24"/>
        </w:rPr>
      </w:pPr>
      <w:r w:rsidRPr="005F5DE2">
        <w:rPr>
          <w:rFonts w:ascii="Arial" w:eastAsia="Times New Roman" w:hAnsi="Arial" w:cs="Arial"/>
          <w:b/>
          <w:bCs/>
          <w:color w:val="000000" w:themeColor="text1"/>
          <w:sz w:val="24"/>
        </w:rPr>
        <w:t xml:space="preserve">K 101408: Plaža i obalna šetnica Karla Luegera </w:t>
      </w:r>
      <w:r>
        <w:rPr>
          <w:rFonts w:ascii="Arial" w:eastAsia="Times New Roman" w:hAnsi="Arial" w:cs="Arial"/>
          <w:b/>
          <w:bCs/>
          <w:color w:val="000000" w:themeColor="text1"/>
          <w:sz w:val="24"/>
        </w:rPr>
        <w:t>-</w:t>
      </w:r>
      <w:r w:rsidRPr="005F5DE2">
        <w:rPr>
          <w:rFonts w:ascii="Arial" w:eastAsia="Times New Roman" w:hAnsi="Arial" w:cs="Arial"/>
          <w:b/>
          <w:bCs/>
          <w:color w:val="000000" w:themeColor="text1"/>
          <w:sz w:val="24"/>
        </w:rPr>
        <w:t xml:space="preserve"> III. faza = 1</w:t>
      </w:r>
      <w:r>
        <w:rPr>
          <w:rFonts w:ascii="Arial" w:eastAsia="Times New Roman" w:hAnsi="Arial" w:cs="Arial"/>
          <w:b/>
          <w:bCs/>
          <w:color w:val="000000" w:themeColor="text1"/>
          <w:sz w:val="24"/>
        </w:rPr>
        <w:t>6</w:t>
      </w:r>
      <w:r w:rsidRPr="005F5DE2">
        <w:rPr>
          <w:rFonts w:ascii="Arial" w:eastAsia="Times New Roman" w:hAnsi="Arial" w:cs="Arial"/>
          <w:b/>
          <w:bCs/>
          <w:color w:val="000000" w:themeColor="text1"/>
          <w:sz w:val="24"/>
        </w:rPr>
        <w:t>7.</w:t>
      </w:r>
      <w:r>
        <w:rPr>
          <w:rFonts w:ascii="Arial" w:eastAsia="Times New Roman" w:hAnsi="Arial" w:cs="Arial"/>
          <w:b/>
          <w:bCs/>
          <w:color w:val="000000" w:themeColor="text1"/>
          <w:sz w:val="24"/>
        </w:rPr>
        <w:t>0</w:t>
      </w:r>
      <w:r w:rsidRPr="005F5DE2">
        <w:rPr>
          <w:rFonts w:ascii="Arial" w:eastAsia="Times New Roman" w:hAnsi="Arial" w:cs="Arial"/>
          <w:b/>
          <w:bCs/>
          <w:color w:val="000000" w:themeColor="text1"/>
          <w:sz w:val="24"/>
        </w:rPr>
        <w:t>00,00 EUR</w:t>
      </w:r>
    </w:p>
    <w:p w14:paraId="784F4B40" w14:textId="77777777" w:rsidR="00E541EE" w:rsidRPr="005F5DE2" w:rsidRDefault="00E541EE" w:rsidP="00E541EE">
      <w:pPr>
        <w:ind w:right="98"/>
        <w:jc w:val="both"/>
        <w:rPr>
          <w:rFonts w:ascii="Arial" w:eastAsia="Times New Roman" w:hAnsi="Arial" w:cs="Arial"/>
          <w:color w:val="000000" w:themeColor="text1"/>
          <w:sz w:val="24"/>
        </w:rPr>
      </w:pPr>
      <w:r w:rsidRPr="005F5DE2">
        <w:rPr>
          <w:rFonts w:ascii="Arial" w:eastAsia="Times New Roman" w:hAnsi="Arial" w:cs="Arial"/>
          <w:b/>
          <w:bCs/>
          <w:color w:val="000000" w:themeColor="text1"/>
          <w:sz w:val="24"/>
        </w:rPr>
        <w:t xml:space="preserve">Zakonska osnova: </w:t>
      </w:r>
      <w:r w:rsidRPr="005F5DE2">
        <w:rPr>
          <w:rFonts w:ascii="Arial" w:eastAsia="Times New Roman" w:hAnsi="Arial" w:cs="Arial"/>
          <w:color w:val="000000" w:themeColor="text1"/>
          <w:sz w:val="24"/>
        </w:rPr>
        <w:t>Zakon o lokalnoj i područnoj (regionalnoj) samoupravi, Zakon o prostornom uređenju, Zakon o gradnji.</w:t>
      </w:r>
    </w:p>
    <w:p w14:paraId="1506C449" w14:textId="77777777" w:rsidR="00E541EE" w:rsidRPr="008C5CA9" w:rsidRDefault="00E541EE" w:rsidP="00E541EE">
      <w:pPr>
        <w:autoSpaceDE w:val="0"/>
        <w:autoSpaceDN w:val="0"/>
        <w:adjustRightInd w:val="0"/>
        <w:jc w:val="both"/>
        <w:rPr>
          <w:rFonts w:ascii="Arial" w:eastAsia="Times New Roman" w:hAnsi="Arial" w:cs="Arial"/>
          <w:color w:val="000000" w:themeColor="text1"/>
          <w:sz w:val="24"/>
        </w:rPr>
      </w:pPr>
      <w:r w:rsidRPr="005F5DE2">
        <w:rPr>
          <w:rFonts w:ascii="Arial" w:eastAsia="Times New Roman" w:hAnsi="Arial" w:cs="Arial"/>
          <w:b/>
          <w:bCs/>
          <w:color w:val="000000" w:themeColor="text1"/>
          <w:sz w:val="24"/>
        </w:rPr>
        <w:t xml:space="preserve">Opis: </w:t>
      </w:r>
      <w:r w:rsidRPr="005F5DE2">
        <w:rPr>
          <w:rFonts w:ascii="Arial" w:eastAsia="Times New Roman" w:hAnsi="Arial" w:cs="Arial"/>
          <w:bCs/>
          <w:color w:val="000000" w:themeColor="text1"/>
          <w:sz w:val="24"/>
        </w:rPr>
        <w:t>o</w:t>
      </w:r>
      <w:r w:rsidRPr="005F5DE2">
        <w:rPr>
          <w:rFonts w:ascii="Arial" w:eastAsia="Times New Roman" w:hAnsi="Arial" w:cs="Arial"/>
          <w:color w:val="000000" w:themeColor="text1"/>
          <w:sz w:val="24"/>
        </w:rPr>
        <w:t>vim sredstvima financira se nastavak i dovrš</w:t>
      </w:r>
      <w:r>
        <w:rPr>
          <w:rFonts w:ascii="Arial" w:eastAsia="Times New Roman" w:hAnsi="Arial" w:cs="Arial"/>
          <w:color w:val="000000" w:themeColor="text1"/>
          <w:sz w:val="24"/>
        </w:rPr>
        <w:t>etak</w:t>
      </w:r>
      <w:r w:rsidRPr="005F5DE2">
        <w:rPr>
          <w:rFonts w:ascii="Arial" w:eastAsia="Times New Roman" w:hAnsi="Arial" w:cs="Arial"/>
          <w:color w:val="000000" w:themeColor="text1"/>
          <w:sz w:val="24"/>
        </w:rPr>
        <w:t xml:space="preserve"> realizacije</w:t>
      </w:r>
      <w:r>
        <w:rPr>
          <w:rFonts w:ascii="Arial" w:eastAsia="Times New Roman" w:hAnsi="Arial" w:cs="Arial"/>
          <w:color w:val="000000" w:themeColor="text1"/>
          <w:sz w:val="24"/>
        </w:rPr>
        <w:t xml:space="preserve"> izgradnje </w:t>
      </w:r>
      <w:r w:rsidRPr="005F5DE2">
        <w:rPr>
          <w:rFonts w:ascii="Arial" w:eastAsia="Times New Roman" w:hAnsi="Arial" w:cs="Arial"/>
          <w:color w:val="000000" w:themeColor="text1"/>
          <w:sz w:val="24"/>
        </w:rPr>
        <w:t>šetnice sa krajobraznim uređenjem</w:t>
      </w:r>
      <w:r>
        <w:rPr>
          <w:rFonts w:ascii="Arial" w:eastAsia="Times New Roman" w:hAnsi="Arial" w:cs="Arial"/>
          <w:color w:val="000000" w:themeColor="text1"/>
          <w:sz w:val="24"/>
        </w:rPr>
        <w:t xml:space="preserve"> suk</w:t>
      </w:r>
      <w:r w:rsidRPr="008C5CA9">
        <w:rPr>
          <w:rFonts w:ascii="Arial" w:eastAsia="Times New Roman" w:hAnsi="Arial" w:cs="Arial"/>
          <w:color w:val="000000" w:themeColor="text1"/>
          <w:sz w:val="24"/>
        </w:rPr>
        <w:t>ladno provedenom postupku javne nabave i Okvirnom sporazumu iz 2025</w:t>
      </w:r>
      <w:r>
        <w:rPr>
          <w:rFonts w:ascii="Arial" w:eastAsia="Times New Roman" w:hAnsi="Arial" w:cs="Arial"/>
          <w:color w:val="000000" w:themeColor="text1"/>
          <w:sz w:val="24"/>
        </w:rPr>
        <w:t xml:space="preserve"> </w:t>
      </w:r>
      <w:r w:rsidRPr="008C5CA9">
        <w:rPr>
          <w:rFonts w:ascii="Arial" w:eastAsia="Times New Roman" w:hAnsi="Arial" w:cs="Arial"/>
          <w:color w:val="000000" w:themeColor="text1"/>
          <w:sz w:val="24"/>
        </w:rPr>
        <w:t>.g</w:t>
      </w:r>
      <w:r>
        <w:rPr>
          <w:rFonts w:ascii="Arial" w:eastAsia="Times New Roman" w:hAnsi="Arial" w:cs="Arial"/>
          <w:color w:val="000000" w:themeColor="text1"/>
          <w:sz w:val="24"/>
        </w:rPr>
        <w:t>odine.</w:t>
      </w:r>
      <w:r w:rsidRPr="008C5CA9">
        <w:rPr>
          <w:rFonts w:ascii="Arial" w:eastAsia="Times New Roman" w:hAnsi="Arial" w:cs="Arial"/>
          <w:color w:val="000000" w:themeColor="text1"/>
          <w:sz w:val="24"/>
        </w:rPr>
        <w:t xml:space="preserve"> Radovi uključuju izgradnju </w:t>
      </w:r>
      <w:r>
        <w:rPr>
          <w:rFonts w:ascii="Arial" w:eastAsia="Times New Roman" w:hAnsi="Arial" w:cs="Arial"/>
          <w:color w:val="000000" w:themeColor="text1"/>
          <w:sz w:val="24"/>
        </w:rPr>
        <w:t xml:space="preserve">ostalih 32 m </w:t>
      </w:r>
      <w:r w:rsidRPr="008C5CA9">
        <w:rPr>
          <w:rFonts w:ascii="Arial" w:eastAsia="Times New Roman" w:hAnsi="Arial" w:cs="Arial"/>
          <w:color w:val="000000" w:themeColor="text1"/>
          <w:sz w:val="24"/>
        </w:rPr>
        <w:t>šetnice do zida „bolnice“, uređenje zelenih površina i izgradnja sustava odvodnje oborinskih voda, te hortikulturno uređenje. S izvođenjem radova početi će se početkom 2026. godine.</w:t>
      </w:r>
    </w:p>
    <w:p w14:paraId="3FA4E149" w14:textId="77777777" w:rsidR="00E541EE" w:rsidRPr="008C5CA9" w:rsidRDefault="00E541EE" w:rsidP="00E541EE">
      <w:pPr>
        <w:autoSpaceDE w:val="0"/>
        <w:autoSpaceDN w:val="0"/>
        <w:adjustRightInd w:val="0"/>
        <w:jc w:val="both"/>
        <w:rPr>
          <w:rFonts w:ascii="Arial" w:eastAsia="Times New Roman" w:hAnsi="Arial" w:cs="Arial"/>
          <w:color w:val="000000" w:themeColor="text1"/>
          <w:sz w:val="24"/>
        </w:rPr>
      </w:pPr>
      <w:r w:rsidRPr="008C5CA9">
        <w:rPr>
          <w:rFonts w:ascii="Arial" w:eastAsia="Times New Roman" w:hAnsi="Arial" w:cs="Arial"/>
          <w:b/>
          <w:bCs/>
          <w:color w:val="000000" w:themeColor="text1"/>
          <w:sz w:val="24"/>
        </w:rPr>
        <w:t>Opći cilj:</w:t>
      </w:r>
      <w:r w:rsidRPr="008C5CA9">
        <w:rPr>
          <w:rFonts w:ascii="Arial" w:eastAsia="Times New Roman" w:hAnsi="Arial" w:cs="Arial"/>
          <w:color w:val="000000" w:themeColor="text1"/>
          <w:sz w:val="24"/>
        </w:rPr>
        <w:t xml:space="preserve"> kroz ovu aktivnost predviđa se dovršetak realizacije uređenja obalne šetnice Karla Luegera </w:t>
      </w:r>
      <w:r>
        <w:rPr>
          <w:rFonts w:ascii="Arial" w:eastAsia="Times New Roman" w:hAnsi="Arial" w:cs="Arial"/>
          <w:color w:val="000000" w:themeColor="text1"/>
          <w:sz w:val="24"/>
        </w:rPr>
        <w:t>-</w:t>
      </w:r>
      <w:r w:rsidRPr="008C5CA9">
        <w:rPr>
          <w:rFonts w:ascii="Arial" w:eastAsia="Times New Roman" w:hAnsi="Arial" w:cs="Arial"/>
          <w:color w:val="000000" w:themeColor="text1"/>
          <w:sz w:val="24"/>
        </w:rPr>
        <w:t xml:space="preserve"> III.</w:t>
      </w:r>
      <w:r>
        <w:rPr>
          <w:rFonts w:ascii="Arial" w:eastAsia="Times New Roman" w:hAnsi="Arial" w:cs="Arial"/>
          <w:color w:val="000000" w:themeColor="text1"/>
          <w:sz w:val="24"/>
        </w:rPr>
        <w:t xml:space="preserve"> </w:t>
      </w:r>
      <w:r w:rsidRPr="008C5CA9">
        <w:rPr>
          <w:rFonts w:ascii="Arial" w:eastAsia="Times New Roman" w:hAnsi="Arial" w:cs="Arial"/>
          <w:color w:val="000000" w:themeColor="text1"/>
          <w:sz w:val="24"/>
        </w:rPr>
        <w:t>faza u prvoj polovici 2026. godine.</w:t>
      </w:r>
    </w:p>
    <w:p w14:paraId="33639346" w14:textId="77777777" w:rsidR="00E541EE" w:rsidRDefault="00E541EE" w:rsidP="00E541EE">
      <w:pPr>
        <w:ind w:right="98"/>
        <w:jc w:val="both"/>
        <w:rPr>
          <w:rFonts w:ascii="Arial" w:eastAsia="Times New Roman" w:hAnsi="Arial" w:cs="Arial"/>
          <w:color w:val="000000" w:themeColor="text1"/>
          <w:sz w:val="24"/>
        </w:rPr>
      </w:pPr>
      <w:r w:rsidRPr="008C5CA9">
        <w:rPr>
          <w:rFonts w:ascii="Arial" w:eastAsia="Times New Roman" w:hAnsi="Arial" w:cs="Arial"/>
          <w:b/>
          <w:bCs/>
          <w:color w:val="000000" w:themeColor="text1"/>
          <w:sz w:val="24"/>
        </w:rPr>
        <w:t>Pokazatelj uspješnosti:</w:t>
      </w:r>
      <w:r w:rsidRPr="008C5CA9">
        <w:rPr>
          <w:rFonts w:ascii="Arial" w:eastAsia="Times New Roman" w:hAnsi="Arial" w:cs="Arial"/>
          <w:color w:val="000000" w:themeColor="text1"/>
          <w:sz w:val="24"/>
        </w:rPr>
        <w:t xml:space="preserve"> izvedeni radovi uređenja plaže i obale šetnice.</w:t>
      </w:r>
    </w:p>
    <w:p w14:paraId="0E15B189" w14:textId="77777777" w:rsidR="00E541EE" w:rsidRDefault="00E541EE" w:rsidP="00E541EE">
      <w:pPr>
        <w:ind w:right="98"/>
        <w:jc w:val="both"/>
        <w:rPr>
          <w:rFonts w:ascii="Arial" w:eastAsia="Times New Roman" w:hAnsi="Arial" w:cs="Arial"/>
          <w:color w:val="000000" w:themeColor="text1"/>
          <w:sz w:val="24"/>
        </w:rPr>
      </w:pPr>
    </w:p>
    <w:p w14:paraId="714884B9" w14:textId="77777777" w:rsidR="00E541EE" w:rsidRPr="00281AC5" w:rsidRDefault="00E541EE" w:rsidP="00E541EE">
      <w:pPr>
        <w:pBdr>
          <w:top w:val="single" w:sz="4" w:space="1" w:color="auto"/>
          <w:left w:val="single" w:sz="4" w:space="4" w:color="auto"/>
          <w:bottom w:val="single" w:sz="4" w:space="1" w:color="auto"/>
          <w:right w:val="single" w:sz="4" w:space="4" w:color="auto"/>
        </w:pBdr>
        <w:shd w:val="clear" w:color="auto" w:fill="E9E9E9"/>
        <w:ind w:right="-1"/>
        <w:rPr>
          <w:rFonts w:ascii="Arial" w:eastAsia="Times New Roman" w:hAnsi="Arial" w:cs="Arial"/>
          <w:color w:val="000000" w:themeColor="text1"/>
          <w:sz w:val="24"/>
          <w:szCs w:val="24"/>
        </w:rPr>
      </w:pPr>
      <w:r w:rsidRPr="00281AC5">
        <w:rPr>
          <w:rFonts w:ascii="Arial" w:eastAsia="Times New Roman" w:hAnsi="Arial" w:cs="Arial"/>
          <w:b/>
          <w:bCs/>
          <w:color w:val="000000" w:themeColor="text1"/>
          <w:sz w:val="24"/>
          <w:szCs w:val="24"/>
        </w:rPr>
        <w:t xml:space="preserve">K 101467: Izgradnja šetnice Punta Muccia </w:t>
      </w:r>
      <w:r w:rsidRPr="00281AC5">
        <w:rPr>
          <w:rFonts w:ascii="Arial" w:eastAsia="Times New Roman" w:hAnsi="Arial" w:cs="Arial"/>
          <w:b/>
          <w:color w:val="000000" w:themeColor="text1"/>
          <w:sz w:val="24"/>
          <w:szCs w:val="24"/>
        </w:rPr>
        <w:t>= 315.400,00 EUR</w:t>
      </w:r>
    </w:p>
    <w:p w14:paraId="061890A4" w14:textId="77777777" w:rsidR="00E541EE" w:rsidRPr="00281AC5" w:rsidRDefault="00E541EE" w:rsidP="00E541EE">
      <w:pPr>
        <w:jc w:val="both"/>
        <w:rPr>
          <w:rFonts w:ascii="Arial" w:eastAsia="Times New Roman" w:hAnsi="Arial" w:cs="Arial"/>
          <w:color w:val="000000" w:themeColor="text1"/>
          <w:sz w:val="24"/>
          <w:szCs w:val="24"/>
        </w:rPr>
      </w:pPr>
      <w:r w:rsidRPr="00281AC5">
        <w:rPr>
          <w:rFonts w:ascii="Arial" w:eastAsia="Times New Roman" w:hAnsi="Arial" w:cs="Arial"/>
          <w:b/>
          <w:bCs/>
          <w:color w:val="000000" w:themeColor="text1"/>
          <w:sz w:val="24"/>
          <w:szCs w:val="24"/>
        </w:rPr>
        <w:t>Zakonska osnova:</w:t>
      </w:r>
      <w:r w:rsidRPr="00281AC5">
        <w:rPr>
          <w:rFonts w:ascii="Arial" w:eastAsia="Times New Roman" w:hAnsi="Arial" w:cs="Arial"/>
          <w:color w:val="000000" w:themeColor="text1"/>
          <w:sz w:val="24"/>
          <w:szCs w:val="24"/>
        </w:rPr>
        <w:t xml:space="preserve"> Zakon o lokalnoj i područnoj (regionalnoj) samoupravi, Zakon o prostornom uređenju, Zakon o gradnji, Zakon o zaštiti i očuvanju kulturnih dobara.</w:t>
      </w:r>
    </w:p>
    <w:p w14:paraId="7771988D" w14:textId="77777777" w:rsidR="00E541EE" w:rsidRPr="00281AC5" w:rsidRDefault="00E541EE" w:rsidP="00E541EE">
      <w:pPr>
        <w:jc w:val="both"/>
        <w:rPr>
          <w:rFonts w:ascii="Arial" w:eastAsia="Times New Roman" w:hAnsi="Arial" w:cs="Arial"/>
          <w:color w:val="000000" w:themeColor="text1"/>
          <w:sz w:val="24"/>
          <w:szCs w:val="24"/>
        </w:rPr>
      </w:pPr>
      <w:r w:rsidRPr="00281AC5">
        <w:rPr>
          <w:rFonts w:ascii="Arial" w:eastAsia="Times New Roman" w:hAnsi="Arial" w:cs="Arial"/>
          <w:b/>
          <w:bCs/>
          <w:color w:val="000000" w:themeColor="text1"/>
          <w:sz w:val="24"/>
          <w:szCs w:val="24"/>
        </w:rPr>
        <w:t xml:space="preserve">Opis: </w:t>
      </w:r>
      <w:r w:rsidRPr="00281AC5">
        <w:rPr>
          <w:rFonts w:ascii="Arial" w:eastAsia="Times New Roman" w:hAnsi="Arial" w:cs="Arial"/>
          <w:bCs/>
          <w:color w:val="000000" w:themeColor="text1"/>
          <w:sz w:val="24"/>
          <w:szCs w:val="24"/>
        </w:rPr>
        <w:t>o</w:t>
      </w:r>
      <w:r w:rsidRPr="00281AC5">
        <w:rPr>
          <w:rFonts w:ascii="Arial" w:eastAsia="Times New Roman" w:hAnsi="Arial" w:cs="Arial"/>
          <w:color w:val="000000" w:themeColor="text1"/>
          <w:sz w:val="24"/>
          <w:szCs w:val="24"/>
        </w:rPr>
        <w:t xml:space="preserve">vim sredstvima financiraju se </w:t>
      </w:r>
      <w:r w:rsidRPr="008401E8">
        <w:rPr>
          <w:rFonts w:ascii="Arial" w:eastAsia="Times New Roman" w:hAnsi="Arial" w:cs="Arial"/>
          <w:color w:val="000000" w:themeColor="text1"/>
          <w:sz w:val="24"/>
          <w:szCs w:val="24"/>
        </w:rPr>
        <w:t xml:space="preserve">radovi nastavka izgradnje šetnice Punta Muccia u parku bolnice, sve prema projektnoj dokumentaciji. Ovim bi se radovima nastavilo uređenje šetnice, a sve kako bi se </w:t>
      </w:r>
      <w:r>
        <w:rPr>
          <w:rFonts w:ascii="Arial" w:eastAsia="Times New Roman" w:hAnsi="Arial" w:cs="Arial"/>
          <w:color w:val="000000" w:themeColor="text1"/>
          <w:sz w:val="24"/>
          <w:szCs w:val="24"/>
        </w:rPr>
        <w:t xml:space="preserve">prostor </w:t>
      </w:r>
      <w:r w:rsidRPr="008401E8">
        <w:rPr>
          <w:rFonts w:ascii="Arial" w:eastAsia="Times New Roman" w:hAnsi="Arial" w:cs="Arial"/>
          <w:color w:val="000000" w:themeColor="text1"/>
          <w:sz w:val="24"/>
          <w:szCs w:val="24"/>
        </w:rPr>
        <w:t>mogao sigurnije koristiti i za osobe s</w:t>
      </w:r>
      <w:r>
        <w:rPr>
          <w:rFonts w:ascii="Arial" w:eastAsia="Times New Roman" w:hAnsi="Arial" w:cs="Arial"/>
          <w:color w:val="000000" w:themeColor="text1"/>
          <w:sz w:val="24"/>
          <w:szCs w:val="24"/>
        </w:rPr>
        <w:t>a smanjenom pokretljivošću</w:t>
      </w:r>
      <w:r w:rsidRPr="008401E8">
        <w:rPr>
          <w:rFonts w:ascii="Arial" w:eastAsia="Times New Roman" w:hAnsi="Arial" w:cs="Arial"/>
          <w:color w:val="000000" w:themeColor="text1"/>
          <w:sz w:val="24"/>
          <w:szCs w:val="24"/>
        </w:rPr>
        <w:t xml:space="preserve">. </w:t>
      </w:r>
      <w:r>
        <w:rPr>
          <w:rFonts w:ascii="Arial" w:eastAsia="Times New Roman" w:hAnsi="Arial" w:cs="Arial"/>
          <w:color w:val="000000" w:themeColor="text1"/>
          <w:sz w:val="24"/>
          <w:szCs w:val="24"/>
        </w:rPr>
        <w:t>U 2026. godini planira se izvesti šetnica u dužini od 435 metara. Potrebno je pristupiti izradi projektne dokumentacije za preostalih cca 250 metara.</w:t>
      </w:r>
    </w:p>
    <w:p w14:paraId="5BF6432B" w14:textId="77777777" w:rsidR="00E541EE" w:rsidRPr="00281AC5" w:rsidRDefault="00E541EE" w:rsidP="00E541EE">
      <w:pPr>
        <w:jc w:val="both"/>
        <w:rPr>
          <w:rFonts w:ascii="Arial" w:eastAsia="Times New Roman" w:hAnsi="Arial" w:cs="Arial"/>
          <w:color w:val="000000" w:themeColor="text1"/>
          <w:sz w:val="24"/>
          <w:szCs w:val="24"/>
        </w:rPr>
      </w:pPr>
      <w:r w:rsidRPr="00281AC5">
        <w:rPr>
          <w:rFonts w:ascii="Arial" w:eastAsia="Times New Roman" w:hAnsi="Arial" w:cs="Arial"/>
          <w:b/>
          <w:bCs/>
          <w:color w:val="000000" w:themeColor="text1"/>
          <w:sz w:val="24"/>
          <w:szCs w:val="24"/>
        </w:rPr>
        <w:t>Opći cilj:</w:t>
      </w:r>
      <w:r w:rsidRPr="00281AC5">
        <w:rPr>
          <w:rFonts w:ascii="Arial" w:eastAsia="Times New Roman" w:hAnsi="Arial" w:cs="Arial"/>
          <w:color w:val="000000" w:themeColor="text1"/>
          <w:sz w:val="24"/>
          <w:szCs w:val="24"/>
        </w:rPr>
        <w:t xml:space="preserve"> kroz ovu aktivnost predviđa se izgraditi šetnic</w:t>
      </w:r>
      <w:r>
        <w:rPr>
          <w:rFonts w:ascii="Arial" w:eastAsia="Times New Roman" w:hAnsi="Arial" w:cs="Arial"/>
          <w:color w:val="000000" w:themeColor="text1"/>
          <w:sz w:val="24"/>
          <w:szCs w:val="24"/>
        </w:rPr>
        <w:t>a</w:t>
      </w:r>
      <w:r w:rsidRPr="00281AC5">
        <w:rPr>
          <w:rFonts w:ascii="Arial" w:eastAsia="Times New Roman" w:hAnsi="Arial" w:cs="Arial"/>
          <w:color w:val="000000" w:themeColor="text1"/>
          <w:sz w:val="24"/>
          <w:szCs w:val="24"/>
        </w:rPr>
        <w:t xml:space="preserve"> Punta Muccia u parku bolnice a sve u </w:t>
      </w:r>
      <w:r w:rsidRPr="00281AC5">
        <w:rPr>
          <w:rFonts w:ascii="Arial" w:hAnsi="Arial" w:cs="Arial"/>
          <w:color w:val="000000" w:themeColor="text1"/>
          <w:sz w:val="24"/>
          <w:szCs w:val="24"/>
          <w:shd w:val="clear" w:color="auto" w:fill="FFFFFF"/>
        </w:rPr>
        <w:t>svrhu ispunjavanja temeljnog zahtjeva za građevinu sigurnosti i pristupačnosti tijekom uporabe, u dijelu pristupačnosti građevinama i osiguranja nesmetanog pristupa, kretanja, boravka i rada osobama s invaliditetom i smanjene pokretljivost.</w:t>
      </w:r>
      <w:r>
        <w:rPr>
          <w:rFonts w:ascii="Arial" w:hAnsi="Arial" w:cs="Arial"/>
          <w:color w:val="000000" w:themeColor="text1"/>
          <w:sz w:val="24"/>
          <w:szCs w:val="24"/>
          <w:shd w:val="clear" w:color="auto" w:fill="FFFFFF"/>
        </w:rPr>
        <w:t xml:space="preserve"> </w:t>
      </w:r>
    </w:p>
    <w:p w14:paraId="117BC2D5" w14:textId="77777777" w:rsidR="00E541EE" w:rsidRDefault="00E541EE" w:rsidP="00E541EE">
      <w:pPr>
        <w:jc w:val="both"/>
        <w:rPr>
          <w:rFonts w:ascii="Arial" w:eastAsia="Times New Roman" w:hAnsi="Arial" w:cs="Arial"/>
          <w:color w:val="000000" w:themeColor="text1"/>
          <w:sz w:val="24"/>
        </w:rPr>
      </w:pPr>
      <w:r w:rsidRPr="00281AC5">
        <w:rPr>
          <w:rFonts w:ascii="Arial" w:eastAsia="Times New Roman" w:hAnsi="Arial" w:cs="Arial"/>
          <w:b/>
          <w:bCs/>
          <w:color w:val="000000" w:themeColor="text1"/>
          <w:sz w:val="24"/>
        </w:rPr>
        <w:t>Pokazatelj uspješnosti:</w:t>
      </w:r>
      <w:r w:rsidRPr="00281AC5">
        <w:rPr>
          <w:rFonts w:ascii="Arial" w:eastAsia="Times New Roman" w:hAnsi="Arial" w:cs="Arial"/>
          <w:color w:val="000000" w:themeColor="text1"/>
          <w:sz w:val="24"/>
        </w:rPr>
        <w:t xml:space="preserve"> izvedeni ugovoreni radovi sukladno ugovorenoj dinamici.</w:t>
      </w:r>
    </w:p>
    <w:p w14:paraId="53EE22AB" w14:textId="77777777" w:rsidR="00E541EE" w:rsidRDefault="00E541EE" w:rsidP="00E541EE">
      <w:pPr>
        <w:jc w:val="both"/>
        <w:rPr>
          <w:rFonts w:ascii="Arial" w:eastAsia="Times New Roman" w:hAnsi="Arial" w:cs="Arial"/>
          <w:b/>
          <w:bCs/>
          <w:color w:val="2F5496" w:themeColor="accent1" w:themeShade="BF"/>
          <w:sz w:val="24"/>
        </w:rPr>
      </w:pPr>
    </w:p>
    <w:p w14:paraId="71B4EA49" w14:textId="77777777" w:rsidR="00E541EE" w:rsidRPr="00281AC5" w:rsidRDefault="00E541EE" w:rsidP="00E541EE">
      <w:pPr>
        <w:pBdr>
          <w:top w:val="single" w:sz="4" w:space="1" w:color="auto"/>
          <w:left w:val="single" w:sz="4" w:space="4" w:color="auto"/>
          <w:bottom w:val="single" w:sz="4" w:space="1" w:color="auto"/>
          <w:right w:val="single" w:sz="4" w:space="4" w:color="auto"/>
        </w:pBdr>
        <w:shd w:val="clear" w:color="auto" w:fill="E9E9E9"/>
        <w:ind w:right="-1"/>
        <w:rPr>
          <w:rFonts w:ascii="Arial" w:eastAsia="Times New Roman" w:hAnsi="Arial" w:cs="Arial"/>
          <w:color w:val="000000" w:themeColor="text1"/>
          <w:sz w:val="24"/>
        </w:rPr>
      </w:pPr>
      <w:r w:rsidRPr="00281AC5">
        <w:rPr>
          <w:rFonts w:ascii="Arial" w:eastAsia="Times New Roman" w:hAnsi="Arial" w:cs="Arial"/>
          <w:b/>
          <w:bCs/>
          <w:color w:val="000000" w:themeColor="text1"/>
          <w:sz w:val="24"/>
        </w:rPr>
        <w:t>K 101422: Izgradnja prometnice naselje Salteria</w:t>
      </w:r>
      <w:r w:rsidRPr="00281AC5">
        <w:rPr>
          <w:rFonts w:ascii="Arial" w:eastAsia="Times New Roman" w:hAnsi="Arial" w:cs="Arial"/>
          <w:b/>
          <w:color w:val="000000" w:themeColor="text1"/>
          <w:sz w:val="24"/>
        </w:rPr>
        <w:t xml:space="preserve"> = 167.000,00 EUR</w:t>
      </w:r>
    </w:p>
    <w:p w14:paraId="448CEF80" w14:textId="77777777" w:rsidR="00E541EE" w:rsidRPr="00281AC5" w:rsidRDefault="00E541EE" w:rsidP="00E541EE">
      <w:pPr>
        <w:jc w:val="both"/>
        <w:rPr>
          <w:rFonts w:ascii="Arial" w:eastAsia="Times New Roman" w:hAnsi="Arial" w:cs="Arial"/>
          <w:color w:val="000000" w:themeColor="text1"/>
          <w:sz w:val="24"/>
        </w:rPr>
      </w:pPr>
      <w:r w:rsidRPr="00281AC5">
        <w:rPr>
          <w:rFonts w:ascii="Arial" w:eastAsia="Times New Roman" w:hAnsi="Arial" w:cs="Arial"/>
          <w:b/>
          <w:bCs/>
          <w:color w:val="000000" w:themeColor="text1"/>
          <w:sz w:val="24"/>
        </w:rPr>
        <w:t>Zakonska osnova:</w:t>
      </w:r>
      <w:r w:rsidRPr="00281AC5">
        <w:rPr>
          <w:rFonts w:ascii="Arial" w:eastAsia="Times New Roman" w:hAnsi="Arial" w:cs="Arial"/>
          <w:color w:val="000000" w:themeColor="text1"/>
          <w:sz w:val="24"/>
        </w:rPr>
        <w:t xml:space="preserve"> Zakon o lokalnoj i područnoj (regionalnoj) samoupravi, Zakon o prostornom uređenju, Zakon o gradnji.</w:t>
      </w:r>
    </w:p>
    <w:p w14:paraId="6DCCDA70" w14:textId="77777777" w:rsidR="00E541EE" w:rsidRPr="00281AC5" w:rsidRDefault="00E541EE" w:rsidP="00E541EE">
      <w:pPr>
        <w:jc w:val="both"/>
        <w:rPr>
          <w:rFonts w:ascii="Arial" w:eastAsia="Times New Roman" w:hAnsi="Arial" w:cs="Arial"/>
          <w:color w:val="000000" w:themeColor="text1"/>
          <w:sz w:val="24"/>
        </w:rPr>
      </w:pPr>
      <w:r w:rsidRPr="00281AC5">
        <w:rPr>
          <w:rFonts w:ascii="Arial" w:eastAsia="Times New Roman" w:hAnsi="Arial" w:cs="Arial"/>
          <w:b/>
          <w:bCs/>
          <w:color w:val="000000" w:themeColor="text1"/>
          <w:sz w:val="24"/>
        </w:rPr>
        <w:t xml:space="preserve">Opis: </w:t>
      </w:r>
      <w:r w:rsidRPr="00281AC5">
        <w:rPr>
          <w:rFonts w:ascii="Arial" w:eastAsia="Times New Roman" w:hAnsi="Arial" w:cs="Arial"/>
          <w:color w:val="000000" w:themeColor="text1"/>
          <w:sz w:val="24"/>
        </w:rPr>
        <w:t>ovim sredstvima financiraju se radovi na izgradnji ceste, oborinske kanalizacije i javne rasvjete sukladno izdanim aktima za građenje. Izgradnja komunalne infrastrukture je preduvjet za funkcionalno i sigurno prometovanje</w:t>
      </w:r>
      <w:r>
        <w:rPr>
          <w:rFonts w:ascii="Arial" w:eastAsia="Times New Roman" w:hAnsi="Arial" w:cs="Arial"/>
          <w:color w:val="000000" w:themeColor="text1"/>
          <w:sz w:val="24"/>
        </w:rPr>
        <w:t xml:space="preserve"> i korištenje prostora</w:t>
      </w:r>
      <w:r w:rsidRPr="00281AC5">
        <w:rPr>
          <w:rFonts w:ascii="Arial" w:eastAsia="Times New Roman" w:hAnsi="Arial" w:cs="Arial"/>
          <w:color w:val="000000" w:themeColor="text1"/>
          <w:sz w:val="24"/>
        </w:rPr>
        <w:t>. U 2026.g. planiran je nastavak radov</w:t>
      </w:r>
      <w:r>
        <w:rPr>
          <w:rFonts w:ascii="Arial" w:eastAsia="Times New Roman" w:hAnsi="Arial" w:cs="Arial"/>
          <w:color w:val="000000" w:themeColor="text1"/>
          <w:sz w:val="24"/>
        </w:rPr>
        <w:t>a</w:t>
      </w:r>
      <w:r w:rsidRPr="00281AC5">
        <w:rPr>
          <w:rFonts w:ascii="Arial" w:eastAsia="Times New Roman" w:hAnsi="Arial" w:cs="Arial"/>
          <w:color w:val="000000" w:themeColor="text1"/>
          <w:sz w:val="24"/>
        </w:rPr>
        <w:t xml:space="preserve"> </w:t>
      </w:r>
      <w:r>
        <w:rPr>
          <w:rFonts w:ascii="Arial" w:eastAsia="Times New Roman" w:hAnsi="Arial" w:cs="Arial"/>
          <w:color w:val="000000" w:themeColor="text1"/>
          <w:sz w:val="24"/>
        </w:rPr>
        <w:t>započete izgradnje dijela komunalne infrastrukture</w:t>
      </w:r>
      <w:r w:rsidRPr="00281AC5">
        <w:rPr>
          <w:rFonts w:ascii="Arial" w:eastAsia="Times New Roman" w:hAnsi="Arial" w:cs="Arial"/>
          <w:color w:val="000000" w:themeColor="text1"/>
          <w:sz w:val="24"/>
        </w:rPr>
        <w:t xml:space="preserve"> u naselju</w:t>
      </w:r>
      <w:r>
        <w:rPr>
          <w:rFonts w:ascii="Arial" w:eastAsia="Times New Roman" w:hAnsi="Arial" w:cs="Arial"/>
          <w:color w:val="000000" w:themeColor="text1"/>
          <w:sz w:val="24"/>
        </w:rPr>
        <w:t xml:space="preserve"> Salteria. </w:t>
      </w:r>
      <w:r>
        <w:rPr>
          <w:rFonts w:ascii="Arial" w:hAnsi="Arial" w:cs="Arial"/>
          <w:color w:val="000000" w:themeColor="text1"/>
          <w:sz w:val="24"/>
          <w:szCs w:val="24"/>
          <w:shd w:val="clear" w:color="auto" w:fill="FFFFFF"/>
        </w:rPr>
        <w:t xml:space="preserve">Područje Salteria sjever ima 4 građevinske dozvole za kompletno uređenje tog dijela naselja. </w:t>
      </w:r>
      <w:r w:rsidRPr="006F787B">
        <w:rPr>
          <w:rFonts w:ascii="Arial" w:hAnsi="Arial" w:cs="Arial"/>
          <w:color w:val="000000" w:themeColor="text1"/>
          <w:sz w:val="24"/>
          <w:szCs w:val="24"/>
          <w:shd w:val="clear" w:color="auto" w:fill="FFFFFF"/>
        </w:rPr>
        <w:t>Radovi u 2026.godini obuhvaćaju široki iskop, izradu nosivog sloja i uređenje bankine. U narednom periodu je potrebno nastaviti s izgradnjom do ishodovanja četiri uporabne dozvole sukladno projektnoj</w:t>
      </w:r>
      <w:r>
        <w:rPr>
          <w:rFonts w:ascii="Arial" w:hAnsi="Arial" w:cs="Arial"/>
          <w:color w:val="000000" w:themeColor="text1"/>
          <w:sz w:val="24"/>
          <w:szCs w:val="24"/>
          <w:shd w:val="clear" w:color="auto" w:fill="FFFFFF"/>
        </w:rPr>
        <w:t xml:space="preserve"> dokumentaciji.</w:t>
      </w:r>
    </w:p>
    <w:p w14:paraId="66E4EBD4" w14:textId="77777777" w:rsidR="00E541EE" w:rsidRPr="00281AC5" w:rsidRDefault="00E541EE" w:rsidP="00E541EE">
      <w:pPr>
        <w:jc w:val="both"/>
        <w:rPr>
          <w:rFonts w:ascii="Arial" w:eastAsia="Times New Roman" w:hAnsi="Arial" w:cs="Arial"/>
          <w:color w:val="000000" w:themeColor="text1"/>
          <w:sz w:val="24"/>
        </w:rPr>
      </w:pPr>
      <w:r w:rsidRPr="00281AC5">
        <w:rPr>
          <w:rFonts w:ascii="Arial" w:eastAsia="Times New Roman" w:hAnsi="Arial" w:cs="Arial"/>
          <w:b/>
          <w:bCs/>
          <w:color w:val="000000" w:themeColor="text1"/>
          <w:sz w:val="24"/>
        </w:rPr>
        <w:t>Opći cilj:</w:t>
      </w:r>
      <w:r w:rsidRPr="00281AC5">
        <w:rPr>
          <w:rFonts w:ascii="Arial" w:eastAsia="Times New Roman" w:hAnsi="Arial" w:cs="Arial"/>
          <w:color w:val="000000" w:themeColor="text1"/>
          <w:sz w:val="24"/>
        </w:rPr>
        <w:t xml:space="preserve"> kroz ovu aktivnost predviđa se nastaviti s radovima izgradnje komunalne infrastrukture, prometnica, javne rasvjete te oborinske odvodnje u dijelu naselju Salteria sjever sukladno izrađenoj projektnoj dokumentaciji i izdanim građevinskim dozvolama.</w:t>
      </w:r>
    </w:p>
    <w:p w14:paraId="773808A4" w14:textId="77777777" w:rsidR="00E541EE" w:rsidRDefault="00E541EE" w:rsidP="00E541EE">
      <w:pPr>
        <w:jc w:val="both"/>
        <w:rPr>
          <w:rFonts w:ascii="Arial" w:eastAsia="Times New Roman" w:hAnsi="Arial" w:cs="Arial"/>
          <w:color w:val="000000" w:themeColor="text1"/>
          <w:sz w:val="24"/>
        </w:rPr>
      </w:pPr>
      <w:r w:rsidRPr="00281AC5">
        <w:rPr>
          <w:rFonts w:ascii="Arial" w:eastAsia="Times New Roman" w:hAnsi="Arial" w:cs="Arial"/>
          <w:b/>
          <w:bCs/>
          <w:color w:val="000000" w:themeColor="text1"/>
          <w:sz w:val="24"/>
        </w:rPr>
        <w:t>Pokazatelj uspješnosti</w:t>
      </w:r>
      <w:r w:rsidRPr="00281AC5">
        <w:rPr>
          <w:rFonts w:ascii="Arial" w:eastAsia="Times New Roman" w:hAnsi="Arial" w:cs="Arial"/>
          <w:color w:val="000000" w:themeColor="text1"/>
          <w:sz w:val="24"/>
        </w:rPr>
        <w:t>: izvedeni radovi sukladno ugovorenoj dinamici.</w:t>
      </w:r>
    </w:p>
    <w:p w14:paraId="3BB0799C" w14:textId="77777777" w:rsidR="00E541EE" w:rsidRPr="00281AC5" w:rsidRDefault="00E541EE" w:rsidP="00E541EE">
      <w:pPr>
        <w:jc w:val="both"/>
        <w:rPr>
          <w:rFonts w:ascii="Arial" w:eastAsia="Times New Roman" w:hAnsi="Arial" w:cs="Arial"/>
          <w:color w:val="000000" w:themeColor="text1"/>
          <w:sz w:val="24"/>
        </w:rPr>
      </w:pPr>
    </w:p>
    <w:p w14:paraId="7C361D3A" w14:textId="77777777" w:rsidR="00E541EE" w:rsidRPr="00281AC5" w:rsidRDefault="00E541EE" w:rsidP="00E541EE">
      <w:pPr>
        <w:pBdr>
          <w:top w:val="single" w:sz="4" w:space="1" w:color="auto"/>
          <w:left w:val="single" w:sz="4" w:space="4" w:color="auto"/>
          <w:bottom w:val="single" w:sz="4" w:space="1" w:color="auto"/>
          <w:right w:val="single" w:sz="4" w:space="4" w:color="auto"/>
        </w:pBdr>
        <w:shd w:val="clear" w:color="auto" w:fill="E9E9E9"/>
        <w:ind w:right="-1"/>
        <w:rPr>
          <w:rFonts w:ascii="Arial" w:eastAsia="Times New Roman" w:hAnsi="Arial" w:cs="Arial"/>
          <w:color w:val="000000" w:themeColor="text1"/>
          <w:sz w:val="24"/>
        </w:rPr>
      </w:pPr>
      <w:r w:rsidRPr="00281AC5">
        <w:rPr>
          <w:rFonts w:ascii="Arial" w:eastAsia="Times New Roman" w:hAnsi="Arial" w:cs="Arial"/>
          <w:b/>
          <w:bCs/>
          <w:color w:val="000000" w:themeColor="text1"/>
          <w:sz w:val="24"/>
        </w:rPr>
        <w:t>K 101436: Izgradnja prometnice Gripole</w:t>
      </w:r>
      <w:r>
        <w:rPr>
          <w:rFonts w:ascii="Arial" w:eastAsia="Times New Roman" w:hAnsi="Arial" w:cs="Arial"/>
          <w:b/>
          <w:bCs/>
          <w:color w:val="000000" w:themeColor="text1"/>
          <w:sz w:val="24"/>
        </w:rPr>
        <w:t xml:space="preserve"> </w:t>
      </w:r>
      <w:r w:rsidRPr="00281AC5">
        <w:rPr>
          <w:rFonts w:ascii="Arial" w:eastAsia="Times New Roman" w:hAnsi="Arial" w:cs="Arial"/>
          <w:b/>
          <w:bCs/>
          <w:color w:val="000000" w:themeColor="text1"/>
          <w:sz w:val="24"/>
        </w:rPr>
        <w:t xml:space="preserve">- Spinè </w:t>
      </w:r>
      <w:r w:rsidRPr="00281AC5">
        <w:rPr>
          <w:rFonts w:ascii="Arial" w:eastAsia="Times New Roman" w:hAnsi="Arial" w:cs="Arial"/>
          <w:b/>
          <w:color w:val="000000" w:themeColor="text1"/>
          <w:sz w:val="24"/>
        </w:rPr>
        <w:t>= 464.530,00 EUR</w:t>
      </w:r>
    </w:p>
    <w:p w14:paraId="430C25D1" w14:textId="77777777" w:rsidR="00E541EE" w:rsidRPr="00281AC5" w:rsidRDefault="00E541EE" w:rsidP="00E541EE">
      <w:pPr>
        <w:jc w:val="both"/>
        <w:rPr>
          <w:rFonts w:ascii="Arial" w:eastAsia="Times New Roman" w:hAnsi="Arial" w:cs="Arial"/>
          <w:color w:val="000000" w:themeColor="text1"/>
          <w:sz w:val="24"/>
        </w:rPr>
      </w:pPr>
      <w:r w:rsidRPr="00281AC5">
        <w:rPr>
          <w:rFonts w:ascii="Arial" w:eastAsia="Times New Roman" w:hAnsi="Arial" w:cs="Arial"/>
          <w:b/>
          <w:bCs/>
          <w:color w:val="000000" w:themeColor="text1"/>
          <w:sz w:val="24"/>
        </w:rPr>
        <w:t>Zakonska osnova:</w:t>
      </w:r>
      <w:r w:rsidRPr="00281AC5">
        <w:rPr>
          <w:rFonts w:ascii="Arial" w:eastAsia="Times New Roman" w:hAnsi="Arial" w:cs="Arial"/>
          <w:color w:val="000000" w:themeColor="text1"/>
          <w:sz w:val="24"/>
        </w:rPr>
        <w:t xml:space="preserve"> Zakon o lokalnoj i područnoj (regionalnoj) samoupravi, Zakon o prostornom uređenju, Zakon o gradnji.</w:t>
      </w:r>
    </w:p>
    <w:p w14:paraId="4413A48F" w14:textId="77777777" w:rsidR="00E541EE" w:rsidRPr="00281AC5" w:rsidRDefault="00E541EE" w:rsidP="00E541EE">
      <w:pPr>
        <w:jc w:val="both"/>
        <w:rPr>
          <w:rFonts w:ascii="Arial" w:eastAsia="Times New Roman" w:hAnsi="Arial" w:cs="Arial"/>
          <w:color w:val="000000" w:themeColor="text1"/>
          <w:sz w:val="24"/>
        </w:rPr>
      </w:pPr>
      <w:r w:rsidRPr="00281AC5">
        <w:rPr>
          <w:rFonts w:ascii="Arial" w:eastAsia="Times New Roman" w:hAnsi="Arial" w:cs="Arial"/>
          <w:b/>
          <w:bCs/>
          <w:color w:val="000000" w:themeColor="text1"/>
          <w:sz w:val="24"/>
        </w:rPr>
        <w:t xml:space="preserve">Opis: </w:t>
      </w:r>
      <w:r w:rsidRPr="00281AC5">
        <w:rPr>
          <w:rFonts w:ascii="Arial" w:eastAsia="Times New Roman" w:hAnsi="Arial" w:cs="Arial"/>
          <w:color w:val="000000" w:themeColor="text1"/>
          <w:sz w:val="24"/>
        </w:rPr>
        <w:t xml:space="preserve">ovim sredstvima financira se izgradnja pristupne ceste, oborinske kanalizacije i javne rasvjete sukladno izdanim aktima za građenje. </w:t>
      </w:r>
    </w:p>
    <w:p w14:paraId="409CCF6D" w14:textId="77777777" w:rsidR="00E541EE" w:rsidRPr="00281AC5" w:rsidRDefault="00E541EE" w:rsidP="00E541EE">
      <w:pPr>
        <w:jc w:val="both"/>
        <w:rPr>
          <w:rFonts w:ascii="Arial" w:eastAsia="Times New Roman" w:hAnsi="Arial" w:cs="Arial"/>
          <w:color w:val="000000" w:themeColor="text1"/>
          <w:sz w:val="24"/>
        </w:rPr>
      </w:pPr>
      <w:r w:rsidRPr="00281AC5">
        <w:rPr>
          <w:rFonts w:ascii="Arial" w:eastAsia="Times New Roman" w:hAnsi="Arial" w:cs="Arial"/>
          <w:b/>
          <w:bCs/>
          <w:color w:val="000000" w:themeColor="text1"/>
          <w:sz w:val="24"/>
        </w:rPr>
        <w:t>Opći cilj:</w:t>
      </w:r>
      <w:r w:rsidRPr="00281AC5">
        <w:rPr>
          <w:rFonts w:ascii="Arial" w:eastAsia="Times New Roman" w:hAnsi="Arial" w:cs="Arial"/>
          <w:color w:val="000000" w:themeColor="text1"/>
          <w:sz w:val="24"/>
        </w:rPr>
        <w:t xml:space="preserve"> kroz ovu aktivnost predviđa se izvesti radove na izgradnji kolničke konstrukcije u gospodarskoj zoni Gripole - Spinè te izgradnja objekata oborinske odvodnje i javne rasvjete sukladno izrađenoj projektnoj dokumentaciji, izdanim građevinskim dozvolama te sporazumu potpisanom sa tvrtkom RETAIL PARK HRVATSKA d.o.o. Zagreb. </w:t>
      </w:r>
    </w:p>
    <w:p w14:paraId="5ACE5B64" w14:textId="77777777" w:rsidR="00E541EE" w:rsidRDefault="00E541EE" w:rsidP="00E541EE">
      <w:pPr>
        <w:jc w:val="both"/>
        <w:rPr>
          <w:rFonts w:ascii="Arial" w:eastAsia="Times New Roman" w:hAnsi="Arial" w:cs="Arial"/>
          <w:color w:val="000000" w:themeColor="text1"/>
          <w:sz w:val="24"/>
        </w:rPr>
      </w:pPr>
      <w:r w:rsidRPr="00025537">
        <w:rPr>
          <w:rFonts w:ascii="Arial" w:eastAsia="Times New Roman" w:hAnsi="Arial" w:cs="Arial"/>
          <w:b/>
          <w:bCs/>
          <w:color w:val="000000" w:themeColor="text1"/>
          <w:sz w:val="24"/>
        </w:rPr>
        <w:t>Pokazatelj uspješnosti</w:t>
      </w:r>
      <w:r w:rsidRPr="00025537">
        <w:rPr>
          <w:rFonts w:ascii="Arial" w:eastAsia="Times New Roman" w:hAnsi="Arial" w:cs="Arial"/>
          <w:color w:val="000000" w:themeColor="text1"/>
          <w:sz w:val="24"/>
        </w:rPr>
        <w:t>: izvedeni radovi sukladno ugovorenoj dinamici.</w:t>
      </w:r>
    </w:p>
    <w:p w14:paraId="39950084" w14:textId="77777777" w:rsidR="00E541EE" w:rsidRDefault="00E541EE" w:rsidP="00E541EE">
      <w:pPr>
        <w:jc w:val="both"/>
        <w:rPr>
          <w:rFonts w:ascii="Arial" w:eastAsia="Times New Roman" w:hAnsi="Arial" w:cs="Arial"/>
          <w:b/>
          <w:bCs/>
          <w:color w:val="2F5496" w:themeColor="accent1" w:themeShade="BF"/>
          <w:sz w:val="24"/>
        </w:rPr>
      </w:pPr>
    </w:p>
    <w:p w14:paraId="2441A517" w14:textId="77777777" w:rsidR="00E541EE" w:rsidRPr="00025537" w:rsidRDefault="00E541EE" w:rsidP="00E541EE">
      <w:pPr>
        <w:jc w:val="both"/>
        <w:rPr>
          <w:rFonts w:ascii="Arial" w:eastAsia="Times New Roman" w:hAnsi="Arial" w:cs="Arial"/>
          <w:color w:val="000000" w:themeColor="text1"/>
          <w:sz w:val="24"/>
        </w:rPr>
      </w:pPr>
    </w:p>
    <w:p w14:paraId="056734BB" w14:textId="77777777" w:rsidR="00E541EE" w:rsidRPr="00025537" w:rsidRDefault="00E541EE" w:rsidP="00E541EE">
      <w:pPr>
        <w:pBdr>
          <w:top w:val="single" w:sz="4" w:space="1" w:color="auto"/>
          <w:left w:val="single" w:sz="4" w:space="4" w:color="auto"/>
          <w:bottom w:val="single" w:sz="4" w:space="1" w:color="auto"/>
          <w:right w:val="single" w:sz="4" w:space="4" w:color="auto"/>
        </w:pBdr>
        <w:shd w:val="clear" w:color="auto" w:fill="E9E9E9"/>
        <w:ind w:right="-1"/>
        <w:rPr>
          <w:rFonts w:ascii="Arial" w:eastAsia="Times New Roman" w:hAnsi="Arial" w:cs="Arial"/>
          <w:color w:val="000000" w:themeColor="text1"/>
          <w:sz w:val="24"/>
        </w:rPr>
      </w:pPr>
      <w:r w:rsidRPr="00025537">
        <w:rPr>
          <w:rFonts w:ascii="Arial" w:eastAsia="Times New Roman" w:hAnsi="Arial" w:cs="Arial"/>
          <w:b/>
          <w:bCs/>
          <w:color w:val="000000" w:themeColor="text1"/>
          <w:sz w:val="24"/>
        </w:rPr>
        <w:t xml:space="preserve">K 101456: Izgradnja autobusnog kolodvora Concetta </w:t>
      </w:r>
      <w:r w:rsidRPr="00025537">
        <w:rPr>
          <w:rFonts w:ascii="Arial" w:eastAsia="Times New Roman" w:hAnsi="Arial" w:cs="Arial"/>
          <w:b/>
          <w:color w:val="000000" w:themeColor="text1"/>
          <w:sz w:val="24"/>
        </w:rPr>
        <w:t>= 3.920.000,00 EUR</w:t>
      </w:r>
    </w:p>
    <w:p w14:paraId="635EA773" w14:textId="77777777" w:rsidR="00E541EE" w:rsidRPr="00025537" w:rsidRDefault="00E541EE" w:rsidP="00E541EE">
      <w:pPr>
        <w:jc w:val="both"/>
        <w:rPr>
          <w:rFonts w:ascii="Arial" w:eastAsia="Times New Roman" w:hAnsi="Arial" w:cs="Arial"/>
          <w:color w:val="000000" w:themeColor="text1"/>
          <w:sz w:val="24"/>
        </w:rPr>
      </w:pPr>
      <w:r w:rsidRPr="00025537">
        <w:rPr>
          <w:rFonts w:ascii="Arial" w:eastAsia="Times New Roman" w:hAnsi="Arial" w:cs="Arial"/>
          <w:b/>
          <w:bCs/>
          <w:color w:val="000000" w:themeColor="text1"/>
          <w:sz w:val="24"/>
        </w:rPr>
        <w:t>Zakonska osnova:</w:t>
      </w:r>
      <w:r w:rsidRPr="00025537">
        <w:rPr>
          <w:rFonts w:ascii="Arial" w:eastAsia="Times New Roman" w:hAnsi="Arial" w:cs="Arial"/>
          <w:color w:val="000000" w:themeColor="text1"/>
          <w:sz w:val="24"/>
        </w:rPr>
        <w:t xml:space="preserve"> </w:t>
      </w:r>
      <w:r w:rsidRPr="00025537">
        <w:rPr>
          <w:rFonts w:ascii="Arial" w:hAnsi="Arial" w:cs="Arial"/>
          <w:color w:val="000000" w:themeColor="text1"/>
          <w:sz w:val="24"/>
        </w:rPr>
        <w:t>Zakon o lokalnoj i područnoj (regionalnoj) samoupravi, Zakon o prostornom uređenju, Zakon o gradnji, Zakon o komunalnom gospodarstvu, Zakon o zaštiti na radu.</w:t>
      </w:r>
    </w:p>
    <w:p w14:paraId="414AC57D" w14:textId="77777777" w:rsidR="00E541EE" w:rsidRPr="00025537" w:rsidRDefault="00E541EE" w:rsidP="00E541EE">
      <w:pPr>
        <w:jc w:val="both"/>
        <w:rPr>
          <w:rFonts w:ascii="Arial" w:eastAsia="Times New Roman" w:hAnsi="Arial" w:cs="Arial"/>
          <w:bCs/>
          <w:color w:val="000000" w:themeColor="text1"/>
          <w:sz w:val="24"/>
        </w:rPr>
      </w:pPr>
      <w:r w:rsidRPr="00025537">
        <w:rPr>
          <w:rFonts w:ascii="Arial" w:eastAsia="Times New Roman" w:hAnsi="Arial" w:cs="Arial"/>
          <w:b/>
          <w:bCs/>
          <w:color w:val="000000" w:themeColor="text1"/>
          <w:sz w:val="24"/>
        </w:rPr>
        <w:t xml:space="preserve">Opis: </w:t>
      </w:r>
      <w:r w:rsidRPr="00025537">
        <w:rPr>
          <w:rFonts w:ascii="Arial" w:hAnsi="Arial" w:cs="Arial"/>
          <w:color w:val="000000" w:themeColor="text1"/>
          <w:sz w:val="24"/>
        </w:rPr>
        <w:t xml:space="preserve">ovim sredstvima financira se </w:t>
      </w:r>
      <w:r w:rsidRPr="00025537">
        <w:rPr>
          <w:rFonts w:ascii="Arial" w:eastAsia="Times New Roman" w:hAnsi="Arial" w:cs="Arial"/>
          <w:bCs/>
          <w:color w:val="000000" w:themeColor="text1"/>
          <w:sz w:val="24"/>
        </w:rPr>
        <w:t>izgradnja autobusnog kolodvora Concetta. Ovim radovima planiran je nastavak izgradnje osnovne zgrade autobusnog kolodvora s peronima, nadstrešnicom, parkirališnim mjestima, a sve temeljem ishođene građevinske dozvole i započete izgradnje u 2025.</w:t>
      </w:r>
      <w:r>
        <w:rPr>
          <w:rFonts w:ascii="Arial" w:eastAsia="Times New Roman" w:hAnsi="Arial" w:cs="Arial"/>
          <w:bCs/>
          <w:color w:val="000000" w:themeColor="text1"/>
          <w:sz w:val="24"/>
        </w:rPr>
        <w:t xml:space="preserve"> </w:t>
      </w:r>
      <w:r w:rsidRPr="00025537">
        <w:rPr>
          <w:rFonts w:ascii="Arial" w:eastAsia="Times New Roman" w:hAnsi="Arial" w:cs="Arial"/>
          <w:bCs/>
          <w:color w:val="000000" w:themeColor="text1"/>
          <w:sz w:val="24"/>
        </w:rPr>
        <w:t>g</w:t>
      </w:r>
      <w:r>
        <w:rPr>
          <w:rFonts w:ascii="Arial" w:eastAsia="Times New Roman" w:hAnsi="Arial" w:cs="Arial"/>
          <w:bCs/>
          <w:color w:val="000000" w:themeColor="text1"/>
          <w:sz w:val="24"/>
        </w:rPr>
        <w:t>odine</w:t>
      </w:r>
      <w:r w:rsidRPr="00025537">
        <w:rPr>
          <w:rFonts w:ascii="Arial" w:eastAsia="Times New Roman" w:hAnsi="Arial" w:cs="Arial"/>
          <w:bCs/>
          <w:color w:val="000000" w:themeColor="text1"/>
          <w:sz w:val="24"/>
        </w:rPr>
        <w:t>.</w:t>
      </w:r>
      <w:r>
        <w:rPr>
          <w:rFonts w:ascii="Arial" w:eastAsia="Times New Roman" w:hAnsi="Arial" w:cs="Arial"/>
          <w:bCs/>
          <w:color w:val="000000" w:themeColor="text1"/>
          <w:sz w:val="24"/>
        </w:rPr>
        <w:t xml:space="preserve"> </w:t>
      </w:r>
      <w:r w:rsidRPr="00244022">
        <w:rPr>
          <w:rFonts w:ascii="Arial" w:eastAsia="Times New Roman" w:hAnsi="Arial" w:cs="Arial"/>
          <w:bCs/>
          <w:color w:val="000000" w:themeColor="text1"/>
          <w:sz w:val="24"/>
        </w:rPr>
        <w:t xml:space="preserve">Osnovna zgrada autobusnog kolodvora sastoji se od: čekaonice i prostora za prodaju karata, sanitarnog čvora i servisne prostorije, caffe bara i pomoćnih prostorija te pripadajuće terase za caffe bar. </w:t>
      </w:r>
      <w:r>
        <w:rPr>
          <w:rFonts w:ascii="Arial" w:eastAsia="Times New Roman" w:hAnsi="Arial" w:cs="Arial"/>
          <w:bCs/>
          <w:color w:val="000000" w:themeColor="text1"/>
          <w:sz w:val="24"/>
        </w:rPr>
        <w:t>Krajem 2026. godine planira se tehnički pregled. Po ishođenoj uporabnoj dozvoli autobusni kolodvor staviti će se u funkciju.</w:t>
      </w:r>
    </w:p>
    <w:p w14:paraId="6C8716A9" w14:textId="77777777" w:rsidR="00E541EE" w:rsidRPr="00025537" w:rsidRDefault="00E541EE" w:rsidP="00E541EE">
      <w:pPr>
        <w:jc w:val="both"/>
        <w:rPr>
          <w:rFonts w:ascii="Arial" w:hAnsi="Arial" w:cs="Arial"/>
          <w:color w:val="000000" w:themeColor="text1"/>
          <w:sz w:val="24"/>
          <w:szCs w:val="24"/>
        </w:rPr>
      </w:pPr>
      <w:r w:rsidRPr="00025537">
        <w:rPr>
          <w:rFonts w:ascii="Arial" w:eastAsia="Times New Roman" w:hAnsi="Arial" w:cs="Arial"/>
          <w:b/>
          <w:bCs/>
          <w:color w:val="000000" w:themeColor="text1"/>
          <w:sz w:val="24"/>
        </w:rPr>
        <w:t>Opći cilj:</w:t>
      </w:r>
      <w:r w:rsidRPr="00025537">
        <w:rPr>
          <w:rFonts w:ascii="Arial" w:eastAsia="Times New Roman" w:hAnsi="Arial" w:cs="Arial"/>
          <w:color w:val="000000" w:themeColor="text1"/>
          <w:sz w:val="24"/>
        </w:rPr>
        <w:t xml:space="preserve"> </w:t>
      </w:r>
      <w:r w:rsidRPr="00025537">
        <w:rPr>
          <w:rFonts w:ascii="Arial" w:hAnsi="Arial" w:cs="Arial"/>
          <w:color w:val="000000" w:themeColor="text1"/>
          <w:sz w:val="24"/>
          <w:szCs w:val="24"/>
        </w:rPr>
        <w:t>kroz ovu aktivnost predviđa se izgradnja autobusnog kolodvora i popratnih sadržaja.</w:t>
      </w:r>
    </w:p>
    <w:p w14:paraId="157D51D3" w14:textId="77777777" w:rsidR="00E541EE" w:rsidRDefault="00E541EE" w:rsidP="00E541EE">
      <w:pPr>
        <w:jc w:val="both"/>
        <w:rPr>
          <w:rFonts w:ascii="Arial" w:eastAsia="Times New Roman" w:hAnsi="Arial" w:cs="Arial"/>
          <w:color w:val="000000" w:themeColor="text1"/>
          <w:sz w:val="24"/>
        </w:rPr>
      </w:pPr>
      <w:r w:rsidRPr="00025537">
        <w:rPr>
          <w:rFonts w:ascii="Arial" w:eastAsia="Times New Roman" w:hAnsi="Arial" w:cs="Arial"/>
          <w:b/>
          <w:bCs/>
          <w:color w:val="000000" w:themeColor="text1"/>
          <w:sz w:val="24"/>
        </w:rPr>
        <w:t>Pokazatelj uspješnosti</w:t>
      </w:r>
      <w:r w:rsidRPr="00025537">
        <w:rPr>
          <w:rFonts w:ascii="Arial" w:eastAsia="Times New Roman" w:hAnsi="Arial" w:cs="Arial"/>
          <w:color w:val="000000" w:themeColor="text1"/>
          <w:sz w:val="24"/>
        </w:rPr>
        <w:t xml:space="preserve">: izvedeni radovi sukladno ugovorenoj dinamici.  </w:t>
      </w:r>
    </w:p>
    <w:p w14:paraId="70FA0F16" w14:textId="77777777" w:rsidR="00220805" w:rsidRPr="00A15FBC" w:rsidRDefault="00220805" w:rsidP="00E541EE">
      <w:pPr>
        <w:jc w:val="both"/>
        <w:rPr>
          <w:rFonts w:ascii="Arial" w:eastAsia="Times New Roman" w:hAnsi="Arial" w:cs="Arial"/>
          <w:color w:val="000000" w:themeColor="text1"/>
          <w:sz w:val="24"/>
        </w:rPr>
      </w:pPr>
    </w:p>
    <w:p w14:paraId="03B8CC05" w14:textId="77777777" w:rsidR="00E541EE" w:rsidRDefault="00E541EE" w:rsidP="00E541EE">
      <w:pPr>
        <w:pBdr>
          <w:top w:val="single" w:sz="4" w:space="1" w:color="auto"/>
          <w:left w:val="single" w:sz="4" w:space="4" w:color="auto"/>
          <w:bottom w:val="single" w:sz="4" w:space="1" w:color="auto"/>
          <w:right w:val="single" w:sz="4" w:space="4" w:color="auto"/>
        </w:pBdr>
        <w:shd w:val="clear" w:color="auto" w:fill="E9E9E9"/>
        <w:ind w:right="-1"/>
        <w:rPr>
          <w:rFonts w:ascii="Arial" w:eastAsia="Times New Roman" w:hAnsi="Arial" w:cs="Arial"/>
          <w:b/>
          <w:color w:val="000000" w:themeColor="text1"/>
          <w:sz w:val="24"/>
        </w:rPr>
      </w:pPr>
      <w:r w:rsidRPr="00025537">
        <w:rPr>
          <w:rFonts w:ascii="Arial" w:eastAsia="Times New Roman" w:hAnsi="Arial" w:cs="Arial"/>
          <w:b/>
          <w:bCs/>
          <w:color w:val="000000" w:themeColor="text1"/>
          <w:sz w:val="24"/>
        </w:rPr>
        <w:t>K 101426: Izgradnja više stambene zgrade za policijske službenike</w:t>
      </w:r>
      <w:r w:rsidRPr="00025537">
        <w:rPr>
          <w:rFonts w:ascii="Arial" w:eastAsia="Times New Roman" w:hAnsi="Arial" w:cs="Arial"/>
          <w:b/>
          <w:color w:val="000000" w:themeColor="text1"/>
          <w:sz w:val="24"/>
        </w:rPr>
        <w:t xml:space="preserve"> </w:t>
      </w:r>
    </w:p>
    <w:p w14:paraId="6377906A" w14:textId="77777777" w:rsidR="00E541EE" w:rsidRPr="00025537" w:rsidRDefault="00E541EE" w:rsidP="00E541EE">
      <w:pPr>
        <w:pBdr>
          <w:top w:val="single" w:sz="4" w:space="1" w:color="auto"/>
          <w:left w:val="single" w:sz="4" w:space="4" w:color="auto"/>
          <w:bottom w:val="single" w:sz="4" w:space="1" w:color="auto"/>
          <w:right w:val="single" w:sz="4" w:space="4" w:color="auto"/>
        </w:pBdr>
        <w:shd w:val="clear" w:color="auto" w:fill="E9E9E9"/>
        <w:ind w:right="-1"/>
        <w:rPr>
          <w:rFonts w:ascii="Arial" w:eastAsia="Times New Roman" w:hAnsi="Arial" w:cs="Arial"/>
          <w:color w:val="000000" w:themeColor="text1"/>
          <w:sz w:val="24"/>
        </w:rPr>
      </w:pPr>
      <w:r w:rsidRPr="00025537">
        <w:rPr>
          <w:rFonts w:ascii="Arial" w:eastAsia="Times New Roman" w:hAnsi="Arial" w:cs="Arial"/>
          <w:b/>
          <w:color w:val="000000" w:themeColor="text1"/>
          <w:sz w:val="24"/>
        </w:rPr>
        <w:t>= 26.550,00 EUR</w:t>
      </w:r>
    </w:p>
    <w:p w14:paraId="7CEC1FFA" w14:textId="77777777" w:rsidR="00E541EE" w:rsidRPr="00025537" w:rsidRDefault="00E541EE" w:rsidP="00E541EE">
      <w:pPr>
        <w:jc w:val="both"/>
        <w:rPr>
          <w:rFonts w:ascii="Arial" w:eastAsia="Times New Roman" w:hAnsi="Arial" w:cs="Arial"/>
          <w:color w:val="000000" w:themeColor="text1"/>
          <w:sz w:val="24"/>
        </w:rPr>
      </w:pPr>
      <w:r w:rsidRPr="00025537">
        <w:rPr>
          <w:rFonts w:ascii="Arial" w:eastAsia="Times New Roman" w:hAnsi="Arial" w:cs="Arial"/>
          <w:b/>
          <w:bCs/>
          <w:color w:val="000000" w:themeColor="text1"/>
          <w:sz w:val="24"/>
        </w:rPr>
        <w:t>Zakonska osnova:</w:t>
      </w:r>
      <w:r w:rsidRPr="00025537">
        <w:rPr>
          <w:rFonts w:ascii="Arial" w:eastAsia="Times New Roman" w:hAnsi="Arial" w:cs="Arial"/>
          <w:color w:val="000000" w:themeColor="text1"/>
          <w:sz w:val="24"/>
        </w:rPr>
        <w:t xml:space="preserve"> Zakon o lokalnoj i područnoj (regionalnoj) samoupravi, Zakon o prostornom uređenju, Zakon o gradnji.</w:t>
      </w:r>
    </w:p>
    <w:p w14:paraId="0993A220" w14:textId="77777777" w:rsidR="00E541EE" w:rsidRPr="00025537" w:rsidRDefault="00E541EE" w:rsidP="00E541EE">
      <w:pPr>
        <w:autoSpaceDE w:val="0"/>
        <w:autoSpaceDN w:val="0"/>
        <w:adjustRightInd w:val="0"/>
        <w:ind w:right="98"/>
        <w:jc w:val="both"/>
        <w:rPr>
          <w:rFonts w:ascii="Arial" w:eastAsia="Times New Roman" w:hAnsi="Arial" w:cs="Arial"/>
          <w:color w:val="000000" w:themeColor="text1"/>
          <w:sz w:val="24"/>
        </w:rPr>
      </w:pPr>
      <w:r w:rsidRPr="00025537">
        <w:rPr>
          <w:rFonts w:ascii="Arial" w:eastAsia="Times New Roman" w:hAnsi="Arial" w:cs="Arial"/>
          <w:b/>
          <w:bCs/>
          <w:color w:val="000000" w:themeColor="text1"/>
          <w:sz w:val="24"/>
        </w:rPr>
        <w:t xml:space="preserve">Opis: </w:t>
      </w:r>
      <w:r w:rsidRPr="00025537">
        <w:rPr>
          <w:rFonts w:ascii="Arial" w:eastAsia="Times New Roman" w:hAnsi="Arial" w:cs="Arial"/>
          <w:color w:val="000000" w:themeColor="text1"/>
          <w:sz w:val="24"/>
        </w:rPr>
        <w:t>ovim sredstvima financiraju se</w:t>
      </w:r>
      <w:r w:rsidRPr="00025537">
        <w:rPr>
          <w:rFonts w:ascii="Arial" w:eastAsia="Times New Roman" w:hAnsi="Arial" w:cs="Arial"/>
          <w:bCs/>
          <w:color w:val="000000" w:themeColor="text1"/>
          <w:sz w:val="24"/>
        </w:rPr>
        <w:t xml:space="preserve"> radovi na uređenju stanova za djelatnike MUP-a, na adresi Zagrebačka 10, sukladno Sporazumu. Početak izvođenja radova planira se skladu sa dinamičkim planom MUP-a. U prizemlju zgrade uredit će se prostor koji će biti za potrebe društvene namjene Grada.</w:t>
      </w:r>
    </w:p>
    <w:p w14:paraId="7FBF531A" w14:textId="77777777" w:rsidR="00E541EE" w:rsidRPr="00025537" w:rsidRDefault="00E541EE" w:rsidP="00E541EE">
      <w:pPr>
        <w:jc w:val="both"/>
        <w:rPr>
          <w:rFonts w:ascii="Arial" w:eastAsia="Times New Roman" w:hAnsi="Arial" w:cs="Arial"/>
          <w:color w:val="000000" w:themeColor="text1"/>
          <w:sz w:val="24"/>
        </w:rPr>
      </w:pPr>
      <w:r w:rsidRPr="00025537">
        <w:rPr>
          <w:rFonts w:ascii="Arial" w:eastAsia="Times New Roman" w:hAnsi="Arial" w:cs="Arial"/>
          <w:b/>
          <w:bCs/>
          <w:color w:val="000000" w:themeColor="text1"/>
          <w:sz w:val="24"/>
        </w:rPr>
        <w:t>Opći cilj:</w:t>
      </w:r>
      <w:r w:rsidRPr="00025537">
        <w:rPr>
          <w:rFonts w:ascii="Arial" w:eastAsia="Times New Roman" w:hAnsi="Arial" w:cs="Arial"/>
          <w:color w:val="000000" w:themeColor="text1"/>
          <w:sz w:val="24"/>
        </w:rPr>
        <w:t xml:space="preserve"> kroz ovu aktivnost predviđa se</w:t>
      </w:r>
      <w:r w:rsidRPr="00025537">
        <w:rPr>
          <w:rFonts w:ascii="Arial" w:eastAsia="Times New Roman" w:hAnsi="Arial" w:cs="Arial"/>
          <w:b/>
          <w:bCs/>
          <w:color w:val="000000" w:themeColor="text1"/>
          <w:sz w:val="24"/>
        </w:rPr>
        <w:t xml:space="preserve"> </w:t>
      </w:r>
      <w:r w:rsidRPr="00025537">
        <w:rPr>
          <w:rFonts w:ascii="Arial" w:eastAsia="Times New Roman" w:hAnsi="Arial" w:cs="Arial"/>
          <w:bCs/>
          <w:color w:val="000000" w:themeColor="text1"/>
          <w:sz w:val="24"/>
        </w:rPr>
        <w:t>sufinanciranje i početak radova na uređenju stanova za djelatnike MUP-a sukladno Sporazumu između</w:t>
      </w:r>
      <w:r>
        <w:rPr>
          <w:rFonts w:ascii="Arial" w:eastAsia="Times New Roman" w:hAnsi="Arial" w:cs="Arial"/>
          <w:bCs/>
          <w:color w:val="000000" w:themeColor="text1"/>
          <w:sz w:val="24"/>
        </w:rPr>
        <w:t xml:space="preserve"> </w:t>
      </w:r>
      <w:r w:rsidRPr="00025537">
        <w:rPr>
          <w:rFonts w:ascii="Arial" w:eastAsia="Times New Roman" w:hAnsi="Arial" w:cs="Arial"/>
          <w:bCs/>
          <w:color w:val="000000" w:themeColor="text1"/>
          <w:sz w:val="24"/>
        </w:rPr>
        <w:t>Istarsk</w:t>
      </w:r>
      <w:r>
        <w:rPr>
          <w:rFonts w:ascii="Arial" w:eastAsia="Times New Roman" w:hAnsi="Arial" w:cs="Arial"/>
          <w:bCs/>
          <w:color w:val="000000" w:themeColor="text1"/>
          <w:sz w:val="24"/>
        </w:rPr>
        <w:t>e</w:t>
      </w:r>
      <w:r w:rsidRPr="00025537">
        <w:rPr>
          <w:rFonts w:ascii="Arial" w:eastAsia="Times New Roman" w:hAnsi="Arial" w:cs="Arial"/>
          <w:bCs/>
          <w:color w:val="000000" w:themeColor="text1"/>
          <w:sz w:val="24"/>
        </w:rPr>
        <w:t xml:space="preserve"> Županije, RH Ministarstva unutarnjih poslova i Grada Rovinj-Rovigno.</w:t>
      </w:r>
      <w:r w:rsidRPr="00025537">
        <w:rPr>
          <w:rFonts w:ascii="Arial" w:eastAsia="Times New Roman" w:hAnsi="Arial" w:cs="Arial"/>
          <w:color w:val="000000" w:themeColor="text1"/>
          <w:sz w:val="24"/>
        </w:rPr>
        <w:t xml:space="preserve"> </w:t>
      </w:r>
    </w:p>
    <w:p w14:paraId="69E41676" w14:textId="77777777" w:rsidR="00E541EE" w:rsidRDefault="00E541EE" w:rsidP="00E541EE">
      <w:pPr>
        <w:jc w:val="both"/>
        <w:rPr>
          <w:rFonts w:ascii="Arial" w:eastAsia="Times New Roman" w:hAnsi="Arial" w:cs="Arial"/>
          <w:color w:val="000000" w:themeColor="text1"/>
          <w:sz w:val="24"/>
        </w:rPr>
      </w:pPr>
      <w:r w:rsidRPr="00025537">
        <w:rPr>
          <w:rFonts w:ascii="Arial" w:eastAsia="Times New Roman" w:hAnsi="Arial" w:cs="Arial"/>
          <w:b/>
          <w:bCs/>
          <w:color w:val="000000" w:themeColor="text1"/>
          <w:sz w:val="24"/>
        </w:rPr>
        <w:t>Pokazatelj uspješnosti:</w:t>
      </w:r>
      <w:r w:rsidRPr="00025537">
        <w:rPr>
          <w:rFonts w:ascii="Arial" w:eastAsia="Times New Roman" w:hAnsi="Arial" w:cs="Arial"/>
          <w:color w:val="000000" w:themeColor="text1"/>
          <w:sz w:val="24"/>
        </w:rPr>
        <w:t xml:space="preserve"> dovršeni radovi na izgradnji više stambene zgrade.</w:t>
      </w:r>
    </w:p>
    <w:p w14:paraId="6E3E9D2F" w14:textId="77777777" w:rsidR="00E541EE" w:rsidRDefault="00E541EE" w:rsidP="00E541EE">
      <w:pPr>
        <w:jc w:val="both"/>
        <w:rPr>
          <w:rFonts w:ascii="Arial" w:eastAsia="Times New Roman" w:hAnsi="Arial" w:cs="Arial"/>
          <w:color w:val="000000" w:themeColor="text1"/>
          <w:sz w:val="24"/>
        </w:rPr>
      </w:pPr>
    </w:p>
    <w:p w14:paraId="7320F8A0" w14:textId="77777777" w:rsidR="00E541EE" w:rsidRDefault="00E541EE" w:rsidP="00E541EE">
      <w:pPr>
        <w:pBdr>
          <w:top w:val="single" w:sz="4" w:space="1" w:color="auto"/>
          <w:left w:val="single" w:sz="4" w:space="4" w:color="auto"/>
          <w:bottom w:val="single" w:sz="4" w:space="1" w:color="auto"/>
          <w:right w:val="single" w:sz="4" w:space="4" w:color="auto"/>
        </w:pBdr>
        <w:shd w:val="clear" w:color="auto" w:fill="E9E9E9"/>
        <w:ind w:right="-1"/>
        <w:rPr>
          <w:rFonts w:ascii="Arial" w:eastAsia="Times New Roman" w:hAnsi="Arial" w:cs="Arial"/>
          <w:b/>
          <w:bCs/>
          <w:color w:val="000000" w:themeColor="text1"/>
          <w:sz w:val="24"/>
        </w:rPr>
      </w:pPr>
      <w:r w:rsidRPr="00025537">
        <w:rPr>
          <w:rFonts w:ascii="Arial" w:eastAsia="Times New Roman" w:hAnsi="Arial" w:cs="Arial"/>
          <w:b/>
          <w:bCs/>
          <w:color w:val="000000" w:themeColor="text1"/>
          <w:sz w:val="24"/>
        </w:rPr>
        <w:t>K 101453: Rekonstrukcija i dogradnja osnovne škole Jurja Dobrile</w:t>
      </w:r>
    </w:p>
    <w:p w14:paraId="52EF0956" w14:textId="77777777" w:rsidR="00E541EE" w:rsidRPr="00025537" w:rsidRDefault="00E541EE" w:rsidP="00E541EE">
      <w:pPr>
        <w:pBdr>
          <w:top w:val="single" w:sz="4" w:space="1" w:color="auto"/>
          <w:left w:val="single" w:sz="4" w:space="4" w:color="auto"/>
          <w:bottom w:val="single" w:sz="4" w:space="1" w:color="auto"/>
          <w:right w:val="single" w:sz="4" w:space="4" w:color="auto"/>
        </w:pBdr>
        <w:shd w:val="clear" w:color="auto" w:fill="E9E9E9"/>
        <w:ind w:right="-1"/>
        <w:rPr>
          <w:rFonts w:ascii="Arial" w:eastAsia="Times New Roman" w:hAnsi="Arial" w:cs="Arial"/>
          <w:color w:val="000000" w:themeColor="text1"/>
          <w:sz w:val="24"/>
        </w:rPr>
      </w:pPr>
      <w:r w:rsidRPr="00025537">
        <w:rPr>
          <w:rFonts w:ascii="Arial" w:eastAsia="Times New Roman" w:hAnsi="Arial" w:cs="Arial"/>
          <w:b/>
          <w:bCs/>
          <w:color w:val="000000" w:themeColor="text1"/>
          <w:sz w:val="24"/>
        </w:rPr>
        <w:t xml:space="preserve"> </w:t>
      </w:r>
      <w:r w:rsidRPr="00025537">
        <w:rPr>
          <w:rFonts w:ascii="Arial" w:eastAsia="Times New Roman" w:hAnsi="Arial" w:cs="Arial"/>
          <w:b/>
          <w:color w:val="000000" w:themeColor="text1"/>
          <w:sz w:val="24"/>
        </w:rPr>
        <w:t xml:space="preserve">= </w:t>
      </w:r>
      <w:r>
        <w:rPr>
          <w:rFonts w:ascii="Arial" w:eastAsia="Times New Roman" w:hAnsi="Arial" w:cs="Arial"/>
          <w:b/>
          <w:color w:val="000000" w:themeColor="text1"/>
          <w:sz w:val="24"/>
        </w:rPr>
        <w:t>11</w:t>
      </w:r>
      <w:r w:rsidRPr="00025537">
        <w:rPr>
          <w:rFonts w:ascii="Arial" w:eastAsia="Times New Roman" w:hAnsi="Arial" w:cs="Arial"/>
          <w:b/>
          <w:color w:val="000000" w:themeColor="text1"/>
          <w:sz w:val="24"/>
        </w:rPr>
        <w:t>.</w:t>
      </w:r>
      <w:r>
        <w:rPr>
          <w:rFonts w:ascii="Arial" w:eastAsia="Times New Roman" w:hAnsi="Arial" w:cs="Arial"/>
          <w:b/>
          <w:color w:val="000000" w:themeColor="text1"/>
          <w:sz w:val="24"/>
        </w:rPr>
        <w:t>261</w:t>
      </w:r>
      <w:r w:rsidRPr="00025537">
        <w:rPr>
          <w:rFonts w:ascii="Arial" w:eastAsia="Times New Roman" w:hAnsi="Arial" w:cs="Arial"/>
          <w:b/>
          <w:color w:val="000000" w:themeColor="text1"/>
          <w:sz w:val="24"/>
        </w:rPr>
        <w:t>.</w:t>
      </w:r>
      <w:r>
        <w:rPr>
          <w:rFonts w:ascii="Arial" w:eastAsia="Times New Roman" w:hAnsi="Arial" w:cs="Arial"/>
          <w:b/>
          <w:color w:val="000000" w:themeColor="text1"/>
          <w:sz w:val="24"/>
        </w:rPr>
        <w:t>000</w:t>
      </w:r>
      <w:r w:rsidRPr="00025537">
        <w:rPr>
          <w:rFonts w:ascii="Arial" w:eastAsia="Times New Roman" w:hAnsi="Arial" w:cs="Arial"/>
          <w:b/>
          <w:color w:val="000000" w:themeColor="text1"/>
          <w:sz w:val="24"/>
        </w:rPr>
        <w:t>,00 EUR</w:t>
      </w:r>
    </w:p>
    <w:p w14:paraId="374601C8" w14:textId="77777777" w:rsidR="00E541EE" w:rsidRPr="00025537" w:rsidRDefault="00E541EE" w:rsidP="00E541EE">
      <w:pPr>
        <w:jc w:val="both"/>
        <w:rPr>
          <w:rFonts w:ascii="Arial" w:eastAsia="Times New Roman" w:hAnsi="Arial" w:cs="Arial"/>
          <w:color w:val="000000" w:themeColor="text1"/>
          <w:sz w:val="24"/>
        </w:rPr>
      </w:pPr>
      <w:r w:rsidRPr="00025537">
        <w:rPr>
          <w:rFonts w:ascii="Arial" w:eastAsia="Times New Roman" w:hAnsi="Arial" w:cs="Arial"/>
          <w:b/>
          <w:bCs/>
          <w:color w:val="000000" w:themeColor="text1"/>
          <w:sz w:val="24"/>
        </w:rPr>
        <w:t>Zakonska osnova:</w:t>
      </w:r>
      <w:r w:rsidRPr="00025537">
        <w:rPr>
          <w:rFonts w:ascii="Arial" w:eastAsia="Times New Roman" w:hAnsi="Arial" w:cs="Arial"/>
          <w:color w:val="000000" w:themeColor="text1"/>
          <w:sz w:val="24"/>
        </w:rPr>
        <w:t xml:space="preserve"> </w:t>
      </w:r>
      <w:r w:rsidRPr="00025537">
        <w:rPr>
          <w:rFonts w:ascii="Arial" w:hAnsi="Arial" w:cs="Arial"/>
          <w:color w:val="000000" w:themeColor="text1"/>
          <w:sz w:val="24"/>
        </w:rPr>
        <w:t>Zakon o lokalnoj i područnoj (regionalnoj) samoupravi, Zakon o prostornom uređenju, Zakon o gradnji, Zakon o komunalnom gospodarstvu, Zakon o zaštiti na radu.</w:t>
      </w:r>
    </w:p>
    <w:p w14:paraId="13BF31D2" w14:textId="5DBF1230" w:rsidR="00E541EE" w:rsidRPr="00244022" w:rsidRDefault="00E541EE" w:rsidP="00E541EE">
      <w:pPr>
        <w:jc w:val="both"/>
        <w:rPr>
          <w:rFonts w:ascii="Arial" w:hAnsi="Arial" w:cs="Arial"/>
          <w:color w:val="000000" w:themeColor="text1"/>
          <w:sz w:val="24"/>
        </w:rPr>
      </w:pPr>
      <w:r w:rsidRPr="00025537">
        <w:rPr>
          <w:rFonts w:ascii="Arial" w:eastAsia="Times New Roman" w:hAnsi="Arial" w:cs="Arial"/>
          <w:b/>
          <w:bCs/>
          <w:color w:val="000000" w:themeColor="text1"/>
          <w:sz w:val="24"/>
        </w:rPr>
        <w:t xml:space="preserve">Opis: </w:t>
      </w:r>
      <w:r w:rsidRPr="00025537">
        <w:rPr>
          <w:rFonts w:ascii="Arial" w:hAnsi="Arial" w:cs="Arial"/>
          <w:color w:val="000000" w:themeColor="text1"/>
          <w:sz w:val="24"/>
        </w:rPr>
        <w:t xml:space="preserve">ovim sredstvima financira se </w:t>
      </w:r>
      <w:r>
        <w:rPr>
          <w:rFonts w:ascii="Arial" w:hAnsi="Arial" w:cs="Arial"/>
          <w:color w:val="000000" w:themeColor="text1"/>
          <w:sz w:val="24"/>
        </w:rPr>
        <w:t>nastavak</w:t>
      </w:r>
      <w:r w:rsidRPr="00025537">
        <w:rPr>
          <w:rFonts w:ascii="Arial" w:hAnsi="Arial" w:cs="Arial"/>
          <w:color w:val="000000" w:themeColor="text1"/>
          <w:sz w:val="24"/>
        </w:rPr>
        <w:t xml:space="preserve"> radova r</w:t>
      </w:r>
      <w:r w:rsidRPr="00025537">
        <w:rPr>
          <w:rFonts w:ascii="Arial" w:eastAsia="Times New Roman" w:hAnsi="Arial" w:cs="Arial"/>
          <w:bCs/>
          <w:color w:val="000000" w:themeColor="text1"/>
          <w:sz w:val="24"/>
        </w:rPr>
        <w:t xml:space="preserve">ekonstrukcije i dogradnje </w:t>
      </w:r>
      <w:r w:rsidRPr="00025537">
        <w:rPr>
          <w:rFonts w:ascii="Arial" w:hAnsi="Arial" w:cs="Arial"/>
          <w:color w:val="000000" w:themeColor="text1"/>
          <w:sz w:val="24"/>
        </w:rPr>
        <w:t>osnovne škole Jurja Dobrile u Rovinju-Rovigno. Dogradnja škole uključuje 10 novih učionica, 8 kabineta, nove sanitarije te uređenje i rekonstrukciju kuhinje.</w:t>
      </w:r>
      <w:r>
        <w:rPr>
          <w:rFonts w:ascii="Arial" w:hAnsi="Arial" w:cs="Arial"/>
          <w:color w:val="000000" w:themeColor="text1"/>
          <w:sz w:val="24"/>
        </w:rPr>
        <w:t xml:space="preserve"> Projektom je predviđena izgradnja sportskih terena i prostora za održavanje nastave na otvorenom i krajobrazno uređenje vanjskih površina. Po okonč</w:t>
      </w:r>
      <w:r w:rsidR="00220805">
        <w:rPr>
          <w:rFonts w:ascii="Arial" w:hAnsi="Arial" w:cs="Arial"/>
          <w:color w:val="000000" w:themeColor="text1"/>
          <w:sz w:val="24"/>
        </w:rPr>
        <w:t>a</w:t>
      </w:r>
      <w:r>
        <w:rPr>
          <w:rFonts w:ascii="Arial" w:hAnsi="Arial" w:cs="Arial"/>
          <w:color w:val="000000" w:themeColor="text1"/>
          <w:sz w:val="24"/>
        </w:rPr>
        <w:t xml:space="preserve">nju radova pristupit će se tehničkom pregledu radi ishođenja uporabne dozvole. Projekt se sufinancira iz mehanizma za oporavak i otpornost za Projekt Rekonstrukcije i dogradnja Osnovne škole Jurja Dobrile, Rovinj- Rovigno potpisan između Ministarstva znanosti i obrazovanja (NT1), Središnje agencije za financiranje i ugovaranje programa i projekata europske unije (PT1) i Grada Rovinja-Rovigno kao nositelja projekta. </w:t>
      </w:r>
      <w:r w:rsidRPr="00244022">
        <w:rPr>
          <w:rFonts w:ascii="Arial" w:hAnsi="Arial" w:cs="Arial"/>
          <w:color w:val="000000" w:themeColor="text1"/>
          <w:sz w:val="24"/>
        </w:rPr>
        <w:t xml:space="preserve">Po završetku radova škola će se opremiti novom opremom za obavljanje nastave u novim prostorima. Obnoviti će se i dio objekta koji nije obuhvaćen rekonstrukcijom i građevinskom dozvolom na način da će se zamijeniti sve dotrajale podne obloge i vanjska stolarija kako bi škola imala u konačnici jedinstven i udoban prostor za boravak djece i djelatnika. </w:t>
      </w:r>
    </w:p>
    <w:p w14:paraId="28E708CD" w14:textId="77777777" w:rsidR="00E541EE" w:rsidRPr="00025537" w:rsidRDefault="00E541EE" w:rsidP="00E541EE">
      <w:pPr>
        <w:jc w:val="both"/>
        <w:rPr>
          <w:rFonts w:ascii="Arial" w:eastAsia="Times New Roman" w:hAnsi="Arial" w:cs="Arial"/>
          <w:color w:val="000000" w:themeColor="text1"/>
          <w:sz w:val="24"/>
        </w:rPr>
      </w:pPr>
      <w:r w:rsidRPr="00025537">
        <w:rPr>
          <w:rFonts w:ascii="Arial" w:eastAsia="Times New Roman" w:hAnsi="Arial" w:cs="Arial"/>
          <w:b/>
          <w:bCs/>
          <w:color w:val="000000" w:themeColor="text1"/>
          <w:sz w:val="24"/>
        </w:rPr>
        <w:t>Opći cilj:</w:t>
      </w:r>
      <w:r w:rsidRPr="00025537">
        <w:rPr>
          <w:rFonts w:ascii="Arial" w:eastAsia="Times New Roman" w:hAnsi="Arial" w:cs="Arial"/>
          <w:color w:val="000000" w:themeColor="text1"/>
          <w:sz w:val="24"/>
        </w:rPr>
        <w:t xml:space="preserve"> </w:t>
      </w:r>
      <w:r w:rsidRPr="00025537">
        <w:rPr>
          <w:rFonts w:ascii="Arial" w:hAnsi="Arial" w:cs="Arial"/>
          <w:color w:val="000000" w:themeColor="text1"/>
          <w:sz w:val="24"/>
          <w:szCs w:val="24"/>
        </w:rPr>
        <w:t xml:space="preserve">kroz ovu aktivnost predviđa </w:t>
      </w:r>
      <w:r>
        <w:rPr>
          <w:rFonts w:ascii="Arial" w:hAnsi="Arial" w:cs="Arial"/>
          <w:color w:val="000000" w:themeColor="text1"/>
          <w:sz w:val="24"/>
          <w:szCs w:val="24"/>
        </w:rPr>
        <w:t>se nastavak radova rekonstrukcije i dogradnje</w:t>
      </w:r>
      <w:r w:rsidRPr="00025537">
        <w:rPr>
          <w:rFonts w:ascii="Arial" w:hAnsi="Arial" w:cs="Arial"/>
          <w:color w:val="000000" w:themeColor="text1"/>
          <w:sz w:val="24"/>
          <w:szCs w:val="24"/>
        </w:rPr>
        <w:t xml:space="preserve"> osnovne škole Jurja Dobrile u Rovinju-Rovigno.</w:t>
      </w:r>
      <w:r>
        <w:rPr>
          <w:rFonts w:ascii="Arial" w:hAnsi="Arial" w:cs="Arial"/>
          <w:color w:val="000000" w:themeColor="text1"/>
          <w:sz w:val="24"/>
          <w:szCs w:val="24"/>
        </w:rPr>
        <w:t xml:space="preserve"> Po okončanju radova objekt će se opremiti adekvatnom opremom za kvalitetno i funkcionalno korištenje.</w:t>
      </w:r>
    </w:p>
    <w:p w14:paraId="42496D33" w14:textId="77777777" w:rsidR="00E541EE" w:rsidRDefault="00E541EE" w:rsidP="00E541EE">
      <w:pPr>
        <w:jc w:val="both"/>
        <w:rPr>
          <w:rFonts w:ascii="Arial" w:eastAsia="Times New Roman" w:hAnsi="Arial" w:cs="Arial"/>
          <w:color w:val="000000" w:themeColor="text1"/>
          <w:sz w:val="24"/>
        </w:rPr>
      </w:pPr>
      <w:r w:rsidRPr="00025537">
        <w:rPr>
          <w:rFonts w:ascii="Arial" w:eastAsia="Times New Roman" w:hAnsi="Arial" w:cs="Arial"/>
          <w:b/>
          <w:bCs/>
          <w:color w:val="000000" w:themeColor="text1"/>
          <w:sz w:val="24"/>
        </w:rPr>
        <w:t>Pokazatelj uspješnosti</w:t>
      </w:r>
      <w:r w:rsidRPr="00025537">
        <w:rPr>
          <w:rFonts w:ascii="Arial" w:eastAsia="Times New Roman" w:hAnsi="Arial" w:cs="Arial"/>
          <w:color w:val="000000" w:themeColor="text1"/>
          <w:sz w:val="24"/>
        </w:rPr>
        <w:t xml:space="preserve">: izvedeni radovi sukladno ugovorenoj dinamici. </w:t>
      </w:r>
    </w:p>
    <w:p w14:paraId="15EF175F" w14:textId="77777777" w:rsidR="00E541EE" w:rsidRDefault="00E541EE" w:rsidP="00E541EE">
      <w:pPr>
        <w:jc w:val="both"/>
        <w:rPr>
          <w:rFonts w:ascii="Arial" w:eastAsia="Times New Roman" w:hAnsi="Arial" w:cs="Arial"/>
          <w:color w:val="000000" w:themeColor="text1"/>
          <w:sz w:val="24"/>
        </w:rPr>
      </w:pPr>
    </w:p>
    <w:p w14:paraId="106042D3" w14:textId="77777777" w:rsidR="00E541EE" w:rsidRDefault="00E541EE" w:rsidP="00E541EE">
      <w:pPr>
        <w:pBdr>
          <w:top w:val="single" w:sz="4" w:space="1" w:color="auto"/>
          <w:left w:val="single" w:sz="4" w:space="4" w:color="auto"/>
          <w:bottom w:val="single" w:sz="4" w:space="1" w:color="auto"/>
          <w:right w:val="single" w:sz="4" w:space="4" w:color="auto"/>
        </w:pBdr>
        <w:shd w:val="clear" w:color="auto" w:fill="E9E9E9"/>
        <w:ind w:right="-1"/>
        <w:rPr>
          <w:rFonts w:ascii="Arial" w:eastAsia="Times New Roman" w:hAnsi="Arial" w:cs="Arial"/>
          <w:b/>
          <w:bCs/>
          <w:color w:val="000000" w:themeColor="text1"/>
          <w:sz w:val="24"/>
        </w:rPr>
      </w:pPr>
      <w:r w:rsidRPr="00025537">
        <w:rPr>
          <w:rFonts w:ascii="Arial" w:eastAsia="Times New Roman" w:hAnsi="Arial" w:cs="Arial"/>
          <w:b/>
          <w:bCs/>
          <w:color w:val="000000" w:themeColor="text1"/>
          <w:sz w:val="24"/>
        </w:rPr>
        <w:t xml:space="preserve">K 101469: Rekonstrukcija i dogradnja talijanske osnovne škole </w:t>
      </w:r>
    </w:p>
    <w:p w14:paraId="57F04BAD" w14:textId="77777777" w:rsidR="00E541EE" w:rsidRPr="00025537" w:rsidRDefault="00E541EE" w:rsidP="00E541EE">
      <w:pPr>
        <w:pBdr>
          <w:top w:val="single" w:sz="4" w:space="1" w:color="auto"/>
          <w:left w:val="single" w:sz="4" w:space="4" w:color="auto"/>
          <w:bottom w:val="single" w:sz="4" w:space="1" w:color="auto"/>
          <w:right w:val="single" w:sz="4" w:space="4" w:color="auto"/>
        </w:pBdr>
        <w:shd w:val="clear" w:color="auto" w:fill="E9E9E9"/>
        <w:ind w:right="-1"/>
        <w:rPr>
          <w:rFonts w:ascii="Arial" w:eastAsia="Times New Roman" w:hAnsi="Arial" w:cs="Arial"/>
          <w:color w:val="000000" w:themeColor="text1"/>
          <w:sz w:val="24"/>
        </w:rPr>
      </w:pPr>
      <w:r w:rsidRPr="00025537">
        <w:rPr>
          <w:rFonts w:ascii="Arial" w:eastAsia="Times New Roman" w:hAnsi="Arial" w:cs="Arial"/>
          <w:b/>
          <w:color w:val="000000" w:themeColor="text1"/>
          <w:sz w:val="24"/>
        </w:rPr>
        <w:t>= 1.520.000,00 EUR</w:t>
      </w:r>
    </w:p>
    <w:p w14:paraId="38942070" w14:textId="77777777" w:rsidR="00E541EE" w:rsidRPr="00025537" w:rsidRDefault="00E541EE" w:rsidP="00E541EE">
      <w:pPr>
        <w:jc w:val="both"/>
        <w:rPr>
          <w:rFonts w:ascii="Arial" w:eastAsia="Times New Roman" w:hAnsi="Arial" w:cs="Arial"/>
          <w:color w:val="000000" w:themeColor="text1"/>
          <w:sz w:val="24"/>
        </w:rPr>
      </w:pPr>
      <w:r w:rsidRPr="00025537">
        <w:rPr>
          <w:rFonts w:ascii="Arial" w:eastAsia="Times New Roman" w:hAnsi="Arial" w:cs="Arial"/>
          <w:b/>
          <w:bCs/>
          <w:color w:val="000000" w:themeColor="text1"/>
          <w:sz w:val="24"/>
        </w:rPr>
        <w:t>Zakonska osnova:</w:t>
      </w:r>
      <w:r w:rsidRPr="00025537">
        <w:rPr>
          <w:rFonts w:ascii="Arial" w:eastAsia="Times New Roman" w:hAnsi="Arial" w:cs="Arial"/>
          <w:color w:val="000000" w:themeColor="text1"/>
          <w:sz w:val="24"/>
        </w:rPr>
        <w:t xml:space="preserve"> </w:t>
      </w:r>
      <w:r w:rsidRPr="00025537">
        <w:rPr>
          <w:rFonts w:ascii="Arial" w:hAnsi="Arial" w:cs="Arial"/>
          <w:color w:val="000000" w:themeColor="text1"/>
          <w:sz w:val="24"/>
        </w:rPr>
        <w:t>Zakon o lokalnoj i područnoj (regionalnoj) samoupravi, Zakon o prostornom uređenju, Zakon o gradnji, Zakon o komunalnom gospodarstvu, Zakon o zaštiti na radu.</w:t>
      </w:r>
    </w:p>
    <w:p w14:paraId="25AD3471" w14:textId="77777777" w:rsidR="00E541EE" w:rsidRDefault="00E541EE" w:rsidP="00E541EE">
      <w:pPr>
        <w:jc w:val="both"/>
        <w:rPr>
          <w:rFonts w:ascii="Arial" w:hAnsi="Arial" w:cs="Arial"/>
          <w:color w:val="000000" w:themeColor="text1"/>
          <w:sz w:val="24"/>
        </w:rPr>
      </w:pPr>
      <w:r w:rsidRPr="00025537">
        <w:rPr>
          <w:rFonts w:ascii="Arial" w:eastAsia="Times New Roman" w:hAnsi="Arial" w:cs="Arial"/>
          <w:b/>
          <w:bCs/>
          <w:color w:val="000000" w:themeColor="text1"/>
          <w:sz w:val="24"/>
        </w:rPr>
        <w:t xml:space="preserve">Opis: </w:t>
      </w:r>
      <w:r w:rsidRPr="00025537">
        <w:rPr>
          <w:rFonts w:ascii="Arial" w:hAnsi="Arial" w:cs="Arial"/>
          <w:color w:val="000000" w:themeColor="text1"/>
          <w:sz w:val="24"/>
        </w:rPr>
        <w:t>ovim sredstvima financira se proširenje sadržaja školske zgrade u cilju implementacije kvalitetne školske nastave. Planirana je dogradnja kojom se osiguravaju</w:t>
      </w:r>
      <w:r>
        <w:rPr>
          <w:rFonts w:ascii="Arial" w:hAnsi="Arial" w:cs="Arial"/>
          <w:color w:val="000000" w:themeColor="text1"/>
          <w:sz w:val="24"/>
        </w:rPr>
        <w:t>/dograđuju</w:t>
      </w:r>
      <w:r w:rsidRPr="00025537">
        <w:rPr>
          <w:rFonts w:ascii="Arial" w:hAnsi="Arial" w:cs="Arial"/>
          <w:color w:val="000000" w:themeColor="text1"/>
          <w:sz w:val="24"/>
        </w:rPr>
        <w:t xml:space="preserve"> dvije dodatne učionice, 2 kabineta, arhiva i spremište. Po provedenom postupku javne nabave započeti će se s </w:t>
      </w:r>
      <w:r>
        <w:rPr>
          <w:rFonts w:ascii="Arial" w:hAnsi="Arial" w:cs="Arial"/>
          <w:color w:val="000000" w:themeColor="text1"/>
          <w:sz w:val="24"/>
        </w:rPr>
        <w:t>predmetnim radovima. Izrađena je projektna dokumentacija i ishođena građevinska dozvola.</w:t>
      </w:r>
    </w:p>
    <w:p w14:paraId="00C19F08" w14:textId="77777777" w:rsidR="00E541EE" w:rsidRPr="00025537" w:rsidRDefault="00E541EE" w:rsidP="00E541EE">
      <w:pPr>
        <w:jc w:val="both"/>
        <w:rPr>
          <w:rFonts w:ascii="Arial" w:eastAsia="Times New Roman" w:hAnsi="Arial" w:cs="Arial"/>
          <w:color w:val="000000" w:themeColor="text1"/>
          <w:sz w:val="24"/>
        </w:rPr>
      </w:pPr>
      <w:r w:rsidRPr="00025537">
        <w:rPr>
          <w:rFonts w:ascii="Arial" w:eastAsia="Times New Roman" w:hAnsi="Arial" w:cs="Arial"/>
          <w:b/>
          <w:bCs/>
          <w:color w:val="000000" w:themeColor="text1"/>
          <w:sz w:val="24"/>
        </w:rPr>
        <w:t>Opći cilj:</w:t>
      </w:r>
      <w:r w:rsidRPr="00025537">
        <w:rPr>
          <w:rFonts w:ascii="Arial" w:eastAsia="Times New Roman" w:hAnsi="Arial" w:cs="Arial"/>
          <w:color w:val="000000" w:themeColor="text1"/>
          <w:sz w:val="24"/>
        </w:rPr>
        <w:t xml:space="preserve"> </w:t>
      </w:r>
      <w:r w:rsidRPr="00CA55B6">
        <w:rPr>
          <w:rFonts w:ascii="Arial" w:hAnsi="Arial" w:cs="Arial"/>
          <w:color w:val="000000" w:themeColor="text1"/>
          <w:sz w:val="24"/>
          <w:szCs w:val="24"/>
        </w:rPr>
        <w:t>kroz ovu aktivnost predviđa se početak radova dogradnje</w:t>
      </w:r>
      <w:r>
        <w:rPr>
          <w:rFonts w:ascii="Arial" w:hAnsi="Arial" w:cs="Arial"/>
          <w:color w:val="000000" w:themeColor="text1"/>
          <w:sz w:val="24"/>
          <w:szCs w:val="24"/>
        </w:rPr>
        <w:t xml:space="preserve"> i povećanje</w:t>
      </w:r>
      <w:r w:rsidRPr="00CA55B6">
        <w:rPr>
          <w:rFonts w:ascii="Arial" w:hAnsi="Arial" w:cs="Arial"/>
          <w:color w:val="000000" w:themeColor="text1"/>
          <w:sz w:val="24"/>
          <w:szCs w:val="24"/>
        </w:rPr>
        <w:t xml:space="preserve"> kapaciteta  talijanske osnovne škole Bernardo Benussi u Rovinju-Rovigno.</w:t>
      </w:r>
      <w:r>
        <w:rPr>
          <w:rFonts w:ascii="Arial" w:hAnsi="Arial" w:cs="Arial"/>
          <w:color w:val="000000" w:themeColor="text1"/>
          <w:sz w:val="24"/>
          <w:szCs w:val="24"/>
        </w:rPr>
        <w:t xml:space="preserve"> Po završetku radova i ishođenoj uporabnoj dozvoli prostor će se oplemeniti novom opremom.</w:t>
      </w:r>
    </w:p>
    <w:p w14:paraId="1EFEB06D" w14:textId="77777777" w:rsidR="00E541EE" w:rsidRPr="00237DBF" w:rsidRDefault="00E541EE" w:rsidP="00E541EE">
      <w:pPr>
        <w:jc w:val="both"/>
        <w:rPr>
          <w:rFonts w:ascii="Arial" w:eastAsia="Times New Roman" w:hAnsi="Arial" w:cs="Arial"/>
          <w:color w:val="000000" w:themeColor="text1"/>
          <w:sz w:val="24"/>
        </w:rPr>
      </w:pPr>
      <w:r w:rsidRPr="00025537">
        <w:rPr>
          <w:rFonts w:ascii="Arial" w:eastAsia="Times New Roman" w:hAnsi="Arial" w:cs="Arial"/>
          <w:b/>
          <w:bCs/>
          <w:color w:val="000000" w:themeColor="text1"/>
          <w:sz w:val="24"/>
        </w:rPr>
        <w:t>Pokazatelj uspješnosti</w:t>
      </w:r>
      <w:r w:rsidRPr="00025537">
        <w:rPr>
          <w:rFonts w:ascii="Arial" w:eastAsia="Times New Roman" w:hAnsi="Arial" w:cs="Arial"/>
          <w:color w:val="000000" w:themeColor="text1"/>
          <w:sz w:val="24"/>
        </w:rPr>
        <w:t xml:space="preserve">: </w:t>
      </w:r>
      <w:r w:rsidRPr="00237DBF">
        <w:rPr>
          <w:rFonts w:ascii="Arial" w:eastAsia="Times New Roman" w:hAnsi="Arial" w:cs="Arial"/>
          <w:color w:val="000000" w:themeColor="text1"/>
          <w:sz w:val="24"/>
        </w:rPr>
        <w:t>izrađena projektna dokumentacija</w:t>
      </w:r>
      <w:r>
        <w:rPr>
          <w:rFonts w:ascii="Arial" w:eastAsia="Times New Roman" w:hAnsi="Arial" w:cs="Arial"/>
          <w:color w:val="000000" w:themeColor="text1"/>
          <w:sz w:val="24"/>
        </w:rPr>
        <w:t xml:space="preserve"> i</w:t>
      </w:r>
      <w:r w:rsidRPr="00237DBF">
        <w:rPr>
          <w:rFonts w:ascii="Arial" w:eastAsia="Times New Roman" w:hAnsi="Arial" w:cs="Arial"/>
          <w:color w:val="000000" w:themeColor="text1"/>
          <w:sz w:val="24"/>
        </w:rPr>
        <w:t xml:space="preserve"> izvedeni radovi sukladno ugovorenoj dinamici. </w:t>
      </w:r>
    </w:p>
    <w:p w14:paraId="2BC31A1F" w14:textId="77777777" w:rsidR="00E541EE" w:rsidRDefault="00E541EE" w:rsidP="00E541EE">
      <w:pPr>
        <w:jc w:val="both"/>
        <w:rPr>
          <w:rFonts w:ascii="Arial" w:hAnsi="Arial" w:cs="Arial"/>
          <w:color w:val="000000" w:themeColor="text1"/>
          <w:sz w:val="24"/>
        </w:rPr>
      </w:pPr>
    </w:p>
    <w:p w14:paraId="76CDD20A" w14:textId="77777777" w:rsidR="00E541EE" w:rsidRPr="005F0E07" w:rsidRDefault="00E541EE" w:rsidP="00E541EE">
      <w:pPr>
        <w:pBdr>
          <w:top w:val="single" w:sz="4" w:space="1" w:color="auto"/>
          <w:left w:val="single" w:sz="4" w:space="4" w:color="auto"/>
          <w:bottom w:val="single" w:sz="4" w:space="1" w:color="auto"/>
          <w:right w:val="single" w:sz="4" w:space="4" w:color="auto"/>
        </w:pBdr>
        <w:shd w:val="clear" w:color="auto" w:fill="E9E9E9"/>
        <w:ind w:right="-1"/>
        <w:rPr>
          <w:rFonts w:ascii="Arial" w:eastAsia="Times New Roman" w:hAnsi="Arial" w:cs="Arial"/>
          <w:color w:val="000000" w:themeColor="text1"/>
          <w:sz w:val="24"/>
        </w:rPr>
      </w:pPr>
      <w:r w:rsidRPr="005F0E07">
        <w:rPr>
          <w:rFonts w:ascii="Arial" w:eastAsia="Times New Roman" w:hAnsi="Arial" w:cs="Arial"/>
          <w:b/>
          <w:bCs/>
          <w:color w:val="000000" w:themeColor="text1"/>
          <w:sz w:val="24"/>
        </w:rPr>
        <w:t xml:space="preserve">K 101466: Rekonstrukcija dvorane Dom Rovinjsko Selo </w:t>
      </w:r>
      <w:r w:rsidRPr="005F0E07">
        <w:rPr>
          <w:rFonts w:ascii="Arial" w:eastAsia="Times New Roman" w:hAnsi="Arial" w:cs="Arial"/>
          <w:b/>
          <w:color w:val="000000" w:themeColor="text1"/>
          <w:sz w:val="24"/>
        </w:rPr>
        <w:t>= 36.000,00 EUR</w:t>
      </w:r>
    </w:p>
    <w:p w14:paraId="50FFC9B9" w14:textId="77777777" w:rsidR="00E541EE" w:rsidRPr="005F0E07" w:rsidRDefault="00E541EE" w:rsidP="00E541EE">
      <w:pPr>
        <w:jc w:val="both"/>
        <w:rPr>
          <w:rFonts w:ascii="Arial" w:eastAsia="Times New Roman" w:hAnsi="Arial" w:cs="Arial"/>
          <w:color w:val="000000" w:themeColor="text1"/>
          <w:sz w:val="24"/>
        </w:rPr>
      </w:pPr>
      <w:r w:rsidRPr="005F0E07">
        <w:rPr>
          <w:rFonts w:ascii="Arial" w:eastAsia="Times New Roman" w:hAnsi="Arial" w:cs="Arial"/>
          <w:b/>
          <w:bCs/>
          <w:color w:val="000000" w:themeColor="text1"/>
          <w:sz w:val="24"/>
        </w:rPr>
        <w:t>Zakonska osnova:</w:t>
      </w:r>
      <w:r w:rsidRPr="005F0E07">
        <w:rPr>
          <w:rFonts w:ascii="Arial" w:eastAsia="Times New Roman" w:hAnsi="Arial" w:cs="Arial"/>
          <w:color w:val="000000" w:themeColor="text1"/>
          <w:sz w:val="24"/>
        </w:rPr>
        <w:t xml:space="preserve"> </w:t>
      </w:r>
      <w:r w:rsidRPr="005F0E07">
        <w:rPr>
          <w:rFonts w:ascii="Arial" w:hAnsi="Arial" w:cs="Arial"/>
          <w:color w:val="000000" w:themeColor="text1"/>
          <w:sz w:val="24"/>
        </w:rPr>
        <w:t>Zakon o lokalnoj i područnoj (regionalnoj) samoupravi, Zakon o prostornom uređenju, Zakon o gradnji, Zakon o komunalnom gospodarstvu, Zakon o zaštiti na radu.</w:t>
      </w:r>
    </w:p>
    <w:p w14:paraId="7FEA98A4" w14:textId="77777777" w:rsidR="00E541EE" w:rsidRPr="005F0E07" w:rsidRDefault="00E541EE" w:rsidP="00E541EE">
      <w:pPr>
        <w:jc w:val="both"/>
        <w:rPr>
          <w:rFonts w:ascii="Arial" w:eastAsia="Times New Roman" w:hAnsi="Arial" w:cs="Arial"/>
          <w:bCs/>
          <w:color w:val="000000" w:themeColor="text1"/>
          <w:sz w:val="24"/>
        </w:rPr>
      </w:pPr>
      <w:r w:rsidRPr="005F0E07">
        <w:rPr>
          <w:rFonts w:ascii="Arial" w:eastAsia="Times New Roman" w:hAnsi="Arial" w:cs="Arial"/>
          <w:b/>
          <w:bCs/>
          <w:color w:val="000000" w:themeColor="text1"/>
          <w:sz w:val="24"/>
        </w:rPr>
        <w:t xml:space="preserve">Opis: </w:t>
      </w:r>
      <w:r w:rsidRPr="005F0E07">
        <w:rPr>
          <w:rFonts w:ascii="Arial" w:eastAsia="Times New Roman" w:hAnsi="Arial" w:cs="Arial"/>
          <w:bCs/>
          <w:color w:val="000000" w:themeColor="text1"/>
          <w:sz w:val="24"/>
        </w:rPr>
        <w:t>programom je planiran</w:t>
      </w:r>
      <w:r>
        <w:rPr>
          <w:rFonts w:ascii="Arial" w:eastAsia="Times New Roman" w:hAnsi="Arial" w:cs="Arial"/>
          <w:bCs/>
          <w:color w:val="000000" w:themeColor="text1"/>
          <w:sz w:val="24"/>
        </w:rPr>
        <w:t>a</w:t>
      </w:r>
      <w:r w:rsidRPr="005F0E07">
        <w:rPr>
          <w:rFonts w:ascii="Arial" w:eastAsia="Times New Roman" w:hAnsi="Arial" w:cs="Arial"/>
          <w:bCs/>
          <w:color w:val="000000" w:themeColor="text1"/>
          <w:sz w:val="24"/>
        </w:rPr>
        <w:t xml:space="preserve"> rekonstrukcija dijela zgrade Doma Rovinjsko Selo. </w:t>
      </w:r>
      <w:r>
        <w:rPr>
          <w:rFonts w:ascii="Arial" w:eastAsia="Times New Roman" w:hAnsi="Arial" w:cs="Arial"/>
          <w:bCs/>
          <w:color w:val="000000" w:themeColor="text1"/>
          <w:sz w:val="24"/>
        </w:rPr>
        <w:t>Prethodnih godina se uredio krov, fasada, dio stolarije i interijer glavne sale.</w:t>
      </w:r>
    </w:p>
    <w:p w14:paraId="65EED4FF" w14:textId="77777777" w:rsidR="00E541EE" w:rsidRPr="005F0E07" w:rsidRDefault="00E541EE" w:rsidP="00E541EE">
      <w:pPr>
        <w:jc w:val="both"/>
        <w:rPr>
          <w:rFonts w:ascii="Arial" w:eastAsia="Times New Roman" w:hAnsi="Arial" w:cs="Arial"/>
          <w:bCs/>
          <w:color w:val="000000" w:themeColor="text1"/>
          <w:sz w:val="24"/>
        </w:rPr>
      </w:pPr>
      <w:r w:rsidRPr="005F0E07">
        <w:rPr>
          <w:rFonts w:ascii="Arial" w:eastAsia="Times New Roman" w:hAnsi="Arial" w:cs="Arial"/>
          <w:b/>
          <w:bCs/>
          <w:color w:val="000000" w:themeColor="text1"/>
          <w:sz w:val="24"/>
        </w:rPr>
        <w:t>Opći cilj:</w:t>
      </w:r>
      <w:r w:rsidRPr="005F0E07">
        <w:rPr>
          <w:rFonts w:ascii="Arial" w:eastAsia="Times New Roman" w:hAnsi="Arial" w:cs="Arial"/>
          <w:color w:val="000000" w:themeColor="text1"/>
          <w:sz w:val="24"/>
        </w:rPr>
        <w:t xml:space="preserve"> </w:t>
      </w:r>
      <w:r w:rsidRPr="005F0E07">
        <w:rPr>
          <w:rFonts w:ascii="Arial" w:hAnsi="Arial" w:cs="Arial"/>
          <w:color w:val="000000" w:themeColor="text1"/>
          <w:sz w:val="24"/>
          <w:szCs w:val="24"/>
        </w:rPr>
        <w:t>kroz ovu aktivnost predviđa se nastavak rekonstrukcije</w:t>
      </w:r>
      <w:r w:rsidRPr="005F0E07">
        <w:rPr>
          <w:rFonts w:ascii="Arial" w:eastAsia="Times New Roman" w:hAnsi="Arial" w:cs="Arial"/>
          <w:bCs/>
          <w:color w:val="000000" w:themeColor="text1"/>
          <w:sz w:val="24"/>
        </w:rPr>
        <w:t xml:space="preserve"> dijela zgrade Dom Rovinjsko Selo, a sve kako bi se dvorana i društvene prostorije doma mogli funkcionalno koristiti. </w:t>
      </w:r>
      <w:r>
        <w:rPr>
          <w:rFonts w:ascii="Arial" w:eastAsia="Times New Roman" w:hAnsi="Arial" w:cs="Arial"/>
          <w:bCs/>
          <w:color w:val="000000" w:themeColor="text1"/>
          <w:sz w:val="24"/>
        </w:rPr>
        <w:t>Uredit će se prostor sanitarnog čvora.</w:t>
      </w:r>
    </w:p>
    <w:p w14:paraId="166E1993" w14:textId="77777777" w:rsidR="00E541EE" w:rsidRPr="005F0E07" w:rsidRDefault="00E541EE" w:rsidP="00E541EE">
      <w:pPr>
        <w:jc w:val="both"/>
        <w:rPr>
          <w:rFonts w:ascii="Arial" w:eastAsia="Times New Roman" w:hAnsi="Arial" w:cs="Arial"/>
          <w:color w:val="000000" w:themeColor="text1"/>
          <w:sz w:val="24"/>
        </w:rPr>
      </w:pPr>
      <w:r w:rsidRPr="005F0E07">
        <w:rPr>
          <w:rFonts w:ascii="Arial" w:eastAsia="Times New Roman" w:hAnsi="Arial" w:cs="Arial"/>
          <w:b/>
          <w:bCs/>
          <w:color w:val="000000" w:themeColor="text1"/>
          <w:sz w:val="24"/>
        </w:rPr>
        <w:t>Pokazatelj uspješnosti</w:t>
      </w:r>
      <w:r w:rsidRPr="005F0E07">
        <w:rPr>
          <w:rFonts w:ascii="Arial" w:eastAsia="Times New Roman" w:hAnsi="Arial" w:cs="Arial"/>
          <w:color w:val="000000" w:themeColor="text1"/>
          <w:sz w:val="24"/>
        </w:rPr>
        <w:t xml:space="preserve">: izvedeni radovi sukladno ugovorenoj dinamici.     </w:t>
      </w:r>
    </w:p>
    <w:p w14:paraId="18D7D533" w14:textId="77777777" w:rsidR="00E541EE" w:rsidRPr="005F0E07" w:rsidRDefault="00E541EE" w:rsidP="00E541EE">
      <w:pPr>
        <w:jc w:val="both"/>
        <w:rPr>
          <w:rFonts w:ascii="Arial" w:eastAsia="Times New Roman" w:hAnsi="Arial" w:cs="Arial"/>
          <w:color w:val="000000" w:themeColor="text1"/>
          <w:sz w:val="24"/>
        </w:rPr>
      </w:pPr>
    </w:p>
    <w:p w14:paraId="2B1AD33B" w14:textId="77777777" w:rsidR="00E541EE" w:rsidRPr="005F0E07" w:rsidRDefault="00E541EE" w:rsidP="00E541EE">
      <w:pPr>
        <w:pBdr>
          <w:top w:val="single" w:sz="4" w:space="1" w:color="auto"/>
          <w:left w:val="single" w:sz="4" w:space="4" w:color="auto"/>
          <w:bottom w:val="single" w:sz="4" w:space="1" w:color="auto"/>
          <w:right w:val="single" w:sz="4" w:space="4" w:color="auto"/>
        </w:pBdr>
        <w:shd w:val="clear" w:color="auto" w:fill="E9E9E9"/>
        <w:ind w:right="-1"/>
        <w:rPr>
          <w:rFonts w:ascii="Arial" w:eastAsia="Times New Roman" w:hAnsi="Arial" w:cs="Arial"/>
          <w:color w:val="000000" w:themeColor="text1"/>
          <w:sz w:val="24"/>
        </w:rPr>
      </w:pPr>
      <w:r w:rsidRPr="005F0E07">
        <w:rPr>
          <w:rFonts w:ascii="Arial" w:eastAsia="Times New Roman" w:hAnsi="Arial" w:cs="Arial"/>
          <w:b/>
          <w:bCs/>
          <w:color w:val="000000" w:themeColor="text1"/>
          <w:sz w:val="24"/>
        </w:rPr>
        <w:t>K 101468: Rekonstrukcija Ulice G.</w:t>
      </w:r>
      <w:r>
        <w:rPr>
          <w:rFonts w:ascii="Arial" w:eastAsia="Times New Roman" w:hAnsi="Arial" w:cs="Arial"/>
          <w:b/>
          <w:bCs/>
          <w:color w:val="000000" w:themeColor="text1"/>
          <w:sz w:val="24"/>
        </w:rPr>
        <w:t xml:space="preserve"> </w:t>
      </w:r>
      <w:r w:rsidRPr="005F0E07">
        <w:rPr>
          <w:rFonts w:ascii="Arial" w:eastAsia="Times New Roman" w:hAnsi="Arial" w:cs="Arial"/>
          <w:b/>
          <w:bCs/>
          <w:color w:val="000000" w:themeColor="text1"/>
          <w:sz w:val="24"/>
        </w:rPr>
        <w:t xml:space="preserve">Carducci </w:t>
      </w:r>
      <w:r w:rsidRPr="005F0E07">
        <w:rPr>
          <w:rFonts w:ascii="Arial" w:eastAsia="Times New Roman" w:hAnsi="Arial" w:cs="Arial"/>
          <w:b/>
          <w:color w:val="000000" w:themeColor="text1"/>
          <w:sz w:val="24"/>
        </w:rPr>
        <w:t>= 145.000,00 EUR</w:t>
      </w:r>
    </w:p>
    <w:p w14:paraId="3F263FC5" w14:textId="77777777" w:rsidR="00E541EE" w:rsidRPr="002D4914" w:rsidRDefault="00E541EE" w:rsidP="00E541EE">
      <w:pPr>
        <w:jc w:val="both"/>
        <w:rPr>
          <w:rFonts w:ascii="Arial" w:eastAsia="Times New Roman" w:hAnsi="Arial" w:cs="Arial"/>
          <w:color w:val="000000" w:themeColor="text1"/>
          <w:sz w:val="24"/>
        </w:rPr>
      </w:pPr>
      <w:r w:rsidRPr="005F0E07">
        <w:rPr>
          <w:rFonts w:ascii="Arial" w:eastAsia="Times New Roman" w:hAnsi="Arial" w:cs="Arial"/>
          <w:b/>
          <w:bCs/>
          <w:color w:val="000000" w:themeColor="text1"/>
          <w:sz w:val="24"/>
        </w:rPr>
        <w:t>Zakon</w:t>
      </w:r>
      <w:r w:rsidRPr="002D4914">
        <w:rPr>
          <w:rFonts w:ascii="Arial" w:eastAsia="Times New Roman" w:hAnsi="Arial" w:cs="Arial"/>
          <w:b/>
          <w:bCs/>
          <w:color w:val="000000" w:themeColor="text1"/>
          <w:sz w:val="24"/>
        </w:rPr>
        <w:t>ska osnova:</w:t>
      </w:r>
      <w:r w:rsidRPr="002D4914">
        <w:rPr>
          <w:rFonts w:ascii="Arial" w:eastAsia="Times New Roman" w:hAnsi="Arial" w:cs="Arial"/>
          <w:color w:val="000000" w:themeColor="text1"/>
          <w:sz w:val="24"/>
        </w:rPr>
        <w:t xml:space="preserve"> </w:t>
      </w:r>
      <w:r w:rsidRPr="002D4914">
        <w:rPr>
          <w:rFonts w:ascii="Arial" w:hAnsi="Arial" w:cs="Arial"/>
          <w:color w:val="000000" w:themeColor="text1"/>
          <w:sz w:val="24"/>
        </w:rPr>
        <w:t>Zakon o lokalnoj i područnoj (regionalnoj) samoupravi, Zakon o prostornom uređenju, Zakon o gradnji,</w:t>
      </w:r>
      <w:r w:rsidRPr="002D4914">
        <w:rPr>
          <w:rFonts w:ascii="Arial" w:eastAsia="Times New Roman" w:hAnsi="Arial" w:cs="Arial"/>
          <w:color w:val="000000" w:themeColor="text1"/>
          <w:sz w:val="24"/>
        </w:rPr>
        <w:t xml:space="preserve"> Zakon o cestama,</w:t>
      </w:r>
      <w:r w:rsidRPr="002D4914">
        <w:rPr>
          <w:rFonts w:ascii="Arial" w:hAnsi="Arial" w:cs="Arial"/>
          <w:color w:val="000000" w:themeColor="text1"/>
          <w:sz w:val="24"/>
        </w:rPr>
        <w:t xml:space="preserve"> Zakon o zaštiti na radu.</w:t>
      </w:r>
    </w:p>
    <w:p w14:paraId="39695164" w14:textId="77777777" w:rsidR="00E541EE" w:rsidRPr="002D4914" w:rsidRDefault="00E541EE" w:rsidP="00E541EE">
      <w:pPr>
        <w:jc w:val="both"/>
        <w:rPr>
          <w:rFonts w:ascii="Arial" w:eastAsia="Times New Roman" w:hAnsi="Arial" w:cs="Arial"/>
          <w:bCs/>
          <w:color w:val="000000" w:themeColor="text1"/>
          <w:sz w:val="24"/>
        </w:rPr>
      </w:pPr>
      <w:r w:rsidRPr="002D4914">
        <w:rPr>
          <w:rFonts w:ascii="Arial" w:eastAsia="Times New Roman" w:hAnsi="Arial" w:cs="Arial"/>
          <w:b/>
          <w:bCs/>
          <w:color w:val="000000" w:themeColor="text1"/>
          <w:sz w:val="24"/>
        </w:rPr>
        <w:t xml:space="preserve">Opis: </w:t>
      </w:r>
      <w:r w:rsidRPr="002D4914">
        <w:rPr>
          <w:rFonts w:ascii="Arial" w:eastAsia="Times New Roman" w:hAnsi="Arial" w:cs="Arial"/>
          <w:bCs/>
          <w:color w:val="000000" w:themeColor="text1"/>
          <w:sz w:val="24"/>
        </w:rPr>
        <w:t xml:space="preserve">programom je planiran nastavak uređenja </w:t>
      </w:r>
      <w:r w:rsidRPr="002D4914">
        <w:rPr>
          <w:rFonts w:ascii="Arial" w:hAnsi="Arial" w:cs="Arial"/>
          <w:color w:val="000000" w:themeColor="text1"/>
          <w:sz w:val="24"/>
        </w:rPr>
        <w:t>r</w:t>
      </w:r>
      <w:r w:rsidRPr="002D4914">
        <w:rPr>
          <w:rFonts w:ascii="Arial" w:eastAsia="Times New Roman" w:hAnsi="Arial" w:cs="Arial"/>
          <w:bCs/>
          <w:color w:val="000000" w:themeColor="text1"/>
          <w:sz w:val="24"/>
        </w:rPr>
        <w:t>ekonstruirane Ulice G.</w:t>
      </w:r>
      <w:r>
        <w:rPr>
          <w:rFonts w:ascii="Arial" w:eastAsia="Times New Roman" w:hAnsi="Arial" w:cs="Arial"/>
          <w:bCs/>
          <w:color w:val="000000" w:themeColor="text1"/>
          <w:sz w:val="24"/>
        </w:rPr>
        <w:t xml:space="preserve"> </w:t>
      </w:r>
      <w:r w:rsidRPr="002D4914">
        <w:rPr>
          <w:rFonts w:ascii="Arial" w:eastAsia="Times New Roman" w:hAnsi="Arial" w:cs="Arial"/>
          <w:bCs/>
          <w:color w:val="000000" w:themeColor="text1"/>
          <w:sz w:val="24"/>
        </w:rPr>
        <w:t>Carducci. Po završetku radova u 2025. godini, tehničkom pregledu i ishodovanju uporabne dozvole planira se ugraditi komunalna oprema (vaze sa zelenilom, klupe, stalci za bicikle itd.)</w:t>
      </w:r>
    </w:p>
    <w:p w14:paraId="18644797" w14:textId="77777777" w:rsidR="00E541EE" w:rsidRPr="002D4914" w:rsidRDefault="00E541EE" w:rsidP="00E541EE">
      <w:pPr>
        <w:jc w:val="both"/>
        <w:rPr>
          <w:rFonts w:ascii="Arial" w:eastAsia="Times New Roman" w:hAnsi="Arial" w:cs="Arial"/>
          <w:color w:val="000000" w:themeColor="text1"/>
          <w:sz w:val="24"/>
        </w:rPr>
      </w:pPr>
      <w:r w:rsidRPr="002D4914">
        <w:rPr>
          <w:rFonts w:ascii="Arial" w:eastAsia="Times New Roman" w:hAnsi="Arial" w:cs="Arial"/>
          <w:b/>
          <w:bCs/>
          <w:color w:val="000000" w:themeColor="text1"/>
          <w:sz w:val="24"/>
        </w:rPr>
        <w:t>Opći cilj:</w:t>
      </w:r>
      <w:r w:rsidRPr="002D4914">
        <w:rPr>
          <w:rFonts w:ascii="Arial" w:eastAsia="Times New Roman" w:hAnsi="Arial" w:cs="Arial"/>
          <w:color w:val="000000" w:themeColor="text1"/>
          <w:sz w:val="24"/>
        </w:rPr>
        <w:t xml:space="preserve"> </w:t>
      </w:r>
      <w:r w:rsidRPr="002D4914">
        <w:rPr>
          <w:rFonts w:ascii="Arial" w:hAnsi="Arial" w:cs="Arial"/>
          <w:color w:val="000000" w:themeColor="text1"/>
          <w:sz w:val="24"/>
          <w:szCs w:val="24"/>
        </w:rPr>
        <w:t xml:space="preserve">kroz ovu aktivnost predviđa se nastavak uređenja </w:t>
      </w:r>
      <w:r w:rsidRPr="002D4914">
        <w:rPr>
          <w:rFonts w:ascii="Arial" w:hAnsi="Arial" w:cs="Arial"/>
          <w:color w:val="000000" w:themeColor="text1"/>
          <w:sz w:val="24"/>
        </w:rPr>
        <w:t>r</w:t>
      </w:r>
      <w:r w:rsidRPr="002D4914">
        <w:rPr>
          <w:rFonts w:ascii="Arial" w:eastAsia="Times New Roman" w:hAnsi="Arial" w:cs="Arial"/>
          <w:bCs/>
          <w:color w:val="000000" w:themeColor="text1"/>
          <w:sz w:val="24"/>
        </w:rPr>
        <w:t>ekonstruirane Ulice G.</w:t>
      </w:r>
      <w:r>
        <w:rPr>
          <w:rFonts w:ascii="Arial" w:eastAsia="Times New Roman" w:hAnsi="Arial" w:cs="Arial"/>
          <w:bCs/>
          <w:color w:val="000000" w:themeColor="text1"/>
          <w:sz w:val="24"/>
        </w:rPr>
        <w:t xml:space="preserve"> </w:t>
      </w:r>
      <w:r w:rsidRPr="002D4914">
        <w:rPr>
          <w:rFonts w:ascii="Arial" w:eastAsia="Times New Roman" w:hAnsi="Arial" w:cs="Arial"/>
          <w:bCs/>
          <w:color w:val="000000" w:themeColor="text1"/>
          <w:sz w:val="24"/>
        </w:rPr>
        <w:t xml:space="preserve">Carducci sa pripadajućom krajobraznim uređenjem sukladno postojećoj projektnoj dokumentaciji.  </w:t>
      </w:r>
      <w:r w:rsidRPr="002D4914">
        <w:rPr>
          <w:rFonts w:ascii="Arial" w:hAnsi="Arial" w:cs="Arial"/>
          <w:color w:val="000000" w:themeColor="text1"/>
          <w:sz w:val="24"/>
          <w:szCs w:val="24"/>
        </w:rPr>
        <w:t xml:space="preserve"> </w:t>
      </w:r>
    </w:p>
    <w:p w14:paraId="5A1B32A9" w14:textId="77777777" w:rsidR="00E541EE" w:rsidRDefault="00E541EE" w:rsidP="00E541EE">
      <w:pPr>
        <w:jc w:val="both"/>
        <w:rPr>
          <w:rFonts w:ascii="Arial" w:eastAsia="Times New Roman" w:hAnsi="Arial" w:cs="Arial"/>
          <w:color w:val="000000" w:themeColor="text1"/>
          <w:sz w:val="24"/>
        </w:rPr>
      </w:pPr>
      <w:r w:rsidRPr="002D4914">
        <w:rPr>
          <w:rFonts w:ascii="Arial" w:eastAsia="Times New Roman" w:hAnsi="Arial" w:cs="Arial"/>
          <w:b/>
          <w:bCs/>
          <w:color w:val="000000" w:themeColor="text1"/>
          <w:sz w:val="24"/>
        </w:rPr>
        <w:t>Pokazatelj uspješnosti</w:t>
      </w:r>
      <w:r w:rsidRPr="002D4914">
        <w:rPr>
          <w:rFonts w:ascii="Arial" w:eastAsia="Times New Roman" w:hAnsi="Arial" w:cs="Arial"/>
          <w:color w:val="000000" w:themeColor="text1"/>
          <w:sz w:val="24"/>
        </w:rPr>
        <w:t>: izvedeni radovi i ugrađena oprema sukladno ugovorenoj dinamici.</w:t>
      </w:r>
      <w:r w:rsidRPr="005F0E07">
        <w:rPr>
          <w:rFonts w:ascii="Arial" w:eastAsia="Times New Roman" w:hAnsi="Arial" w:cs="Arial"/>
          <w:color w:val="000000" w:themeColor="text1"/>
          <w:sz w:val="24"/>
        </w:rPr>
        <w:t xml:space="preserve">   </w:t>
      </w:r>
    </w:p>
    <w:p w14:paraId="6073702F" w14:textId="77777777" w:rsidR="00E541EE" w:rsidRPr="005F0E07" w:rsidRDefault="00E541EE" w:rsidP="00E541EE">
      <w:pPr>
        <w:jc w:val="both"/>
        <w:rPr>
          <w:rFonts w:ascii="Arial" w:eastAsia="Times New Roman" w:hAnsi="Arial" w:cs="Arial"/>
          <w:color w:val="000000" w:themeColor="text1"/>
          <w:sz w:val="24"/>
        </w:rPr>
      </w:pPr>
    </w:p>
    <w:p w14:paraId="47A39F67" w14:textId="77777777" w:rsidR="00E541EE" w:rsidRPr="005F0E07" w:rsidRDefault="00E541EE" w:rsidP="00E541EE">
      <w:pPr>
        <w:pBdr>
          <w:top w:val="single" w:sz="4" w:space="1" w:color="auto"/>
          <w:left w:val="single" w:sz="4" w:space="4" w:color="auto"/>
          <w:bottom w:val="single" w:sz="4" w:space="1" w:color="auto"/>
          <w:right w:val="single" w:sz="4" w:space="4" w:color="auto"/>
        </w:pBdr>
        <w:shd w:val="clear" w:color="auto" w:fill="E9E9E9"/>
        <w:ind w:right="-1"/>
        <w:rPr>
          <w:rFonts w:ascii="Arial" w:eastAsia="Times New Roman" w:hAnsi="Arial" w:cs="Arial"/>
          <w:color w:val="000000" w:themeColor="text1"/>
          <w:sz w:val="24"/>
        </w:rPr>
      </w:pPr>
      <w:r w:rsidRPr="005F0E07">
        <w:rPr>
          <w:rFonts w:ascii="Arial" w:eastAsia="Times New Roman" w:hAnsi="Arial" w:cs="Arial"/>
          <w:b/>
          <w:bCs/>
          <w:color w:val="000000" w:themeColor="text1"/>
          <w:sz w:val="24"/>
        </w:rPr>
        <w:t xml:space="preserve">K 101472: Rekonstrukcija građevine Škver </w:t>
      </w:r>
      <w:r w:rsidRPr="005F0E07">
        <w:rPr>
          <w:rFonts w:ascii="Arial" w:eastAsia="Times New Roman" w:hAnsi="Arial" w:cs="Arial"/>
          <w:b/>
          <w:color w:val="000000" w:themeColor="text1"/>
          <w:sz w:val="24"/>
        </w:rPr>
        <w:t>= 245.500,00 EUR</w:t>
      </w:r>
    </w:p>
    <w:p w14:paraId="6B271492" w14:textId="77777777" w:rsidR="00E541EE" w:rsidRPr="005F0E07" w:rsidRDefault="00E541EE" w:rsidP="00E541EE">
      <w:pPr>
        <w:jc w:val="both"/>
        <w:rPr>
          <w:rFonts w:ascii="Arial" w:eastAsia="Times New Roman" w:hAnsi="Arial" w:cs="Arial"/>
          <w:color w:val="000000" w:themeColor="text1"/>
          <w:sz w:val="24"/>
        </w:rPr>
      </w:pPr>
      <w:r w:rsidRPr="005F0E07">
        <w:rPr>
          <w:rFonts w:ascii="Arial" w:eastAsia="Times New Roman" w:hAnsi="Arial" w:cs="Arial"/>
          <w:b/>
          <w:bCs/>
          <w:color w:val="000000" w:themeColor="text1"/>
          <w:sz w:val="24"/>
        </w:rPr>
        <w:t>Zakonska osnova:</w:t>
      </w:r>
      <w:r w:rsidRPr="005F0E07">
        <w:rPr>
          <w:rFonts w:ascii="Arial" w:eastAsia="Times New Roman" w:hAnsi="Arial" w:cs="Arial"/>
          <w:color w:val="000000" w:themeColor="text1"/>
          <w:sz w:val="24"/>
        </w:rPr>
        <w:t xml:space="preserve"> Zakon o lokalnoj i područnoj (regionalnoj) samoupravi, Zakon o prostornom uređenju, Zakon o gradnji</w:t>
      </w:r>
      <w:r w:rsidRPr="005F0E07">
        <w:rPr>
          <w:rFonts w:ascii="Arial" w:hAnsi="Arial" w:cs="Arial"/>
          <w:color w:val="000000" w:themeColor="text1"/>
          <w:sz w:val="24"/>
        </w:rPr>
        <w:t>, Zakon o zaštiti na radu.</w:t>
      </w:r>
    </w:p>
    <w:p w14:paraId="554D234B" w14:textId="77777777" w:rsidR="00E541EE" w:rsidRPr="005F0E07" w:rsidRDefault="00E541EE" w:rsidP="00E541EE">
      <w:pPr>
        <w:jc w:val="both"/>
        <w:rPr>
          <w:rFonts w:ascii="Arial" w:eastAsia="Times New Roman" w:hAnsi="Arial" w:cs="Arial"/>
          <w:color w:val="000000" w:themeColor="text1"/>
          <w:sz w:val="24"/>
        </w:rPr>
      </w:pPr>
      <w:r w:rsidRPr="005F0E07">
        <w:rPr>
          <w:rFonts w:ascii="Arial" w:eastAsia="Times New Roman" w:hAnsi="Arial" w:cs="Arial"/>
          <w:b/>
          <w:bCs/>
          <w:color w:val="000000" w:themeColor="text1"/>
          <w:sz w:val="24"/>
        </w:rPr>
        <w:t xml:space="preserve">Opis: </w:t>
      </w:r>
      <w:r w:rsidRPr="005F0E07">
        <w:rPr>
          <w:rFonts w:ascii="Arial" w:eastAsia="Times New Roman" w:hAnsi="Arial" w:cs="Arial"/>
          <w:color w:val="000000" w:themeColor="text1"/>
          <w:sz w:val="24"/>
        </w:rPr>
        <w:t>ovim sredstvima</w:t>
      </w:r>
      <w:r>
        <w:rPr>
          <w:rFonts w:ascii="Arial" w:eastAsia="Times New Roman" w:hAnsi="Arial" w:cs="Arial"/>
          <w:color w:val="000000" w:themeColor="text1"/>
          <w:sz w:val="24"/>
        </w:rPr>
        <w:t xml:space="preserve"> nakon provedene javne nabave</w:t>
      </w:r>
      <w:r w:rsidRPr="005F0E07">
        <w:rPr>
          <w:rFonts w:ascii="Arial" w:eastAsia="Times New Roman" w:hAnsi="Arial" w:cs="Arial"/>
          <w:color w:val="000000" w:themeColor="text1"/>
          <w:sz w:val="24"/>
        </w:rPr>
        <w:t xml:space="preserve"> izvodit će se radovi rekonstrukcije dijela zgrade radi funkcionalnosti iste. Radovi uključuju zamjenu krovne konstrukcije i pokrova, nove instalacije, te podne i zidne obloge. Dio objekta </w:t>
      </w:r>
      <w:r>
        <w:rPr>
          <w:rFonts w:ascii="Arial" w:eastAsia="Times New Roman" w:hAnsi="Arial" w:cs="Arial"/>
          <w:color w:val="000000" w:themeColor="text1"/>
          <w:sz w:val="24"/>
        </w:rPr>
        <w:t xml:space="preserve">kroz aktivnosti udruge i ustanove Kuća o batani, </w:t>
      </w:r>
      <w:r w:rsidRPr="005F0E07">
        <w:rPr>
          <w:rFonts w:ascii="Arial" w:eastAsia="Times New Roman" w:hAnsi="Arial" w:cs="Arial"/>
          <w:color w:val="000000" w:themeColor="text1"/>
          <w:sz w:val="24"/>
        </w:rPr>
        <w:t>se planira prezentirati javnosti te sukladno istome funkcionalno opremiti.</w:t>
      </w:r>
      <w:r>
        <w:rPr>
          <w:rFonts w:ascii="Arial" w:eastAsia="Times New Roman" w:hAnsi="Arial" w:cs="Arial"/>
          <w:color w:val="000000" w:themeColor="text1"/>
          <w:sz w:val="24"/>
        </w:rPr>
        <w:t xml:space="preserve"> U 2025. godini izrađena je projektna dokumentacija i ishođena građevinska dozvola.</w:t>
      </w:r>
    </w:p>
    <w:p w14:paraId="0B4FD0A3" w14:textId="77777777" w:rsidR="00E541EE" w:rsidRPr="005F0E07" w:rsidRDefault="00E541EE" w:rsidP="00E541EE">
      <w:pPr>
        <w:jc w:val="both"/>
        <w:rPr>
          <w:rFonts w:ascii="Arial" w:eastAsia="Times New Roman" w:hAnsi="Arial" w:cs="Arial"/>
          <w:color w:val="000000" w:themeColor="text1"/>
          <w:sz w:val="24"/>
        </w:rPr>
      </w:pPr>
      <w:r w:rsidRPr="005F0E07">
        <w:rPr>
          <w:rFonts w:ascii="Arial" w:eastAsia="Times New Roman" w:hAnsi="Arial" w:cs="Arial"/>
          <w:b/>
          <w:bCs/>
          <w:color w:val="000000" w:themeColor="text1"/>
          <w:sz w:val="24"/>
        </w:rPr>
        <w:t>Opći cilj:</w:t>
      </w:r>
      <w:r w:rsidRPr="005F0E07">
        <w:rPr>
          <w:rFonts w:ascii="Arial" w:eastAsia="Times New Roman" w:hAnsi="Arial" w:cs="Arial"/>
          <w:color w:val="000000" w:themeColor="text1"/>
          <w:sz w:val="24"/>
        </w:rPr>
        <w:t xml:space="preserve"> kroz ovu aktivnosti osigurava se kvalitetna uporaba zgrade</w:t>
      </w:r>
      <w:r>
        <w:rPr>
          <w:rFonts w:ascii="Arial" w:eastAsia="Times New Roman" w:hAnsi="Arial" w:cs="Arial"/>
          <w:color w:val="000000" w:themeColor="text1"/>
          <w:sz w:val="24"/>
        </w:rPr>
        <w:t>, ishodovanje uporabne dozvole i prezentacija programa udruge i ustanove</w:t>
      </w:r>
      <w:r w:rsidRPr="005F0E07">
        <w:rPr>
          <w:rFonts w:ascii="Arial" w:eastAsia="Times New Roman" w:hAnsi="Arial" w:cs="Arial"/>
          <w:color w:val="000000" w:themeColor="text1"/>
          <w:sz w:val="24"/>
        </w:rPr>
        <w:t>.</w:t>
      </w:r>
    </w:p>
    <w:p w14:paraId="1003AF45" w14:textId="77777777" w:rsidR="00E541EE" w:rsidRDefault="00E541EE" w:rsidP="00E541EE">
      <w:pPr>
        <w:jc w:val="both"/>
        <w:rPr>
          <w:rFonts w:ascii="Arial" w:eastAsia="Times New Roman" w:hAnsi="Arial" w:cs="Arial"/>
          <w:color w:val="000000" w:themeColor="text1"/>
          <w:sz w:val="24"/>
        </w:rPr>
      </w:pPr>
      <w:r w:rsidRPr="005F0E07">
        <w:rPr>
          <w:rFonts w:ascii="Arial" w:eastAsia="Times New Roman" w:hAnsi="Arial" w:cs="Arial"/>
          <w:b/>
          <w:bCs/>
          <w:color w:val="000000" w:themeColor="text1"/>
          <w:sz w:val="24"/>
        </w:rPr>
        <w:t>Pokazatelj uspješnosti:</w:t>
      </w:r>
      <w:r w:rsidRPr="005F0E07">
        <w:rPr>
          <w:rFonts w:ascii="Arial" w:eastAsia="Times New Roman" w:hAnsi="Arial" w:cs="Arial"/>
          <w:color w:val="000000" w:themeColor="text1"/>
          <w:sz w:val="24"/>
        </w:rPr>
        <w:t xml:space="preserve"> izvedeni radovi sukladno ugovorenoj dinamici.</w:t>
      </w:r>
    </w:p>
    <w:p w14:paraId="7867AA6D" w14:textId="77777777" w:rsidR="00E541EE" w:rsidRDefault="00E541EE" w:rsidP="00E541EE">
      <w:pPr>
        <w:jc w:val="both"/>
        <w:rPr>
          <w:rFonts w:ascii="Arial" w:eastAsia="Times New Roman" w:hAnsi="Arial" w:cs="Arial"/>
          <w:color w:val="000000" w:themeColor="text1"/>
          <w:sz w:val="24"/>
        </w:rPr>
      </w:pPr>
    </w:p>
    <w:p w14:paraId="3C0218ED" w14:textId="2432B95D" w:rsidR="00E541EE" w:rsidRPr="00971E44" w:rsidRDefault="00E541EE" w:rsidP="00E541EE">
      <w:pPr>
        <w:pBdr>
          <w:top w:val="single" w:sz="4" w:space="1" w:color="auto"/>
          <w:left w:val="single" w:sz="4" w:space="4" w:color="auto"/>
          <w:bottom w:val="single" w:sz="4" w:space="1" w:color="auto"/>
          <w:right w:val="single" w:sz="4" w:space="4" w:color="auto"/>
        </w:pBdr>
        <w:shd w:val="clear" w:color="auto" w:fill="E9E9E9"/>
        <w:ind w:right="-1"/>
        <w:rPr>
          <w:rFonts w:ascii="Arial" w:eastAsia="Times New Roman" w:hAnsi="Arial" w:cs="Arial"/>
          <w:sz w:val="24"/>
        </w:rPr>
      </w:pPr>
      <w:r w:rsidRPr="00971E44">
        <w:rPr>
          <w:rFonts w:ascii="Arial" w:eastAsia="Times New Roman" w:hAnsi="Arial" w:cs="Arial"/>
          <w:b/>
          <w:bCs/>
          <w:sz w:val="24"/>
        </w:rPr>
        <w:t>K 101475: Popločenje - crkva sv. Eufemija - V. faza = 435.200,00 EUR</w:t>
      </w:r>
    </w:p>
    <w:p w14:paraId="3783035B" w14:textId="77777777" w:rsidR="00E541EE" w:rsidRPr="00971E44" w:rsidRDefault="00E541EE" w:rsidP="00E541EE">
      <w:pPr>
        <w:ind w:right="98"/>
        <w:jc w:val="both"/>
        <w:rPr>
          <w:rFonts w:ascii="Arial" w:eastAsia="Times New Roman" w:hAnsi="Arial" w:cs="Arial"/>
          <w:color w:val="000000" w:themeColor="text1"/>
          <w:sz w:val="24"/>
        </w:rPr>
      </w:pPr>
      <w:r w:rsidRPr="00971E44">
        <w:rPr>
          <w:rFonts w:ascii="Arial" w:eastAsia="Times New Roman" w:hAnsi="Arial" w:cs="Arial"/>
          <w:b/>
          <w:bCs/>
          <w:color w:val="000000" w:themeColor="text1"/>
          <w:sz w:val="24"/>
        </w:rPr>
        <w:t xml:space="preserve">Zakonska osnova: </w:t>
      </w:r>
      <w:r w:rsidRPr="00971E44">
        <w:rPr>
          <w:rFonts w:ascii="Arial" w:eastAsia="Times New Roman" w:hAnsi="Arial" w:cs="Arial"/>
          <w:color w:val="000000" w:themeColor="text1"/>
          <w:sz w:val="24"/>
        </w:rPr>
        <w:t>Zakon o lokalnoj i područnoj (regionalnoj) samoupravi, Zakon o prostornom uređenju, Zakon o gradnji, Zakon o zaštiti i očuvanju kulturnih dobara.</w:t>
      </w:r>
    </w:p>
    <w:p w14:paraId="382489EF" w14:textId="77777777" w:rsidR="00E541EE" w:rsidRPr="00971E44" w:rsidRDefault="00E541EE" w:rsidP="00E541EE">
      <w:pPr>
        <w:autoSpaceDE w:val="0"/>
        <w:autoSpaceDN w:val="0"/>
        <w:adjustRightInd w:val="0"/>
        <w:jc w:val="both"/>
        <w:rPr>
          <w:rFonts w:ascii="Arial" w:eastAsia="Times New Roman" w:hAnsi="Arial" w:cs="Arial"/>
          <w:color w:val="000000" w:themeColor="text1"/>
          <w:sz w:val="24"/>
        </w:rPr>
      </w:pPr>
      <w:r w:rsidRPr="00971E44">
        <w:rPr>
          <w:rFonts w:ascii="Arial" w:eastAsia="Times New Roman" w:hAnsi="Arial" w:cs="Arial"/>
          <w:b/>
          <w:bCs/>
          <w:color w:val="000000" w:themeColor="text1"/>
          <w:sz w:val="24"/>
        </w:rPr>
        <w:t xml:space="preserve">Opis: </w:t>
      </w:r>
      <w:r w:rsidRPr="00971E44">
        <w:rPr>
          <w:rFonts w:ascii="Arial" w:eastAsia="Times New Roman" w:hAnsi="Arial" w:cs="Arial"/>
          <w:bCs/>
          <w:color w:val="000000" w:themeColor="text1"/>
          <w:sz w:val="24"/>
        </w:rPr>
        <w:t>o</w:t>
      </w:r>
      <w:r w:rsidRPr="00971E44">
        <w:rPr>
          <w:rFonts w:ascii="Arial" w:eastAsia="Times New Roman" w:hAnsi="Arial" w:cs="Arial"/>
          <w:color w:val="000000" w:themeColor="text1"/>
          <w:sz w:val="24"/>
        </w:rPr>
        <w:t xml:space="preserve">vim sredstvima financira se nastavak realizacije radova uređenja trga i okolnog prostora crkve sv. Eufemije. Sukladno građevinskoj dozvoli izvodit će se izgradnja nove javne rasvjete sukladno projektnoj dokumentaciji. </w:t>
      </w:r>
    </w:p>
    <w:p w14:paraId="6CCC616D" w14:textId="77777777" w:rsidR="00E541EE" w:rsidRPr="00971E44" w:rsidRDefault="00E541EE" w:rsidP="00E541EE">
      <w:pPr>
        <w:autoSpaceDE w:val="0"/>
        <w:autoSpaceDN w:val="0"/>
        <w:adjustRightInd w:val="0"/>
        <w:jc w:val="both"/>
        <w:rPr>
          <w:rFonts w:ascii="Arial" w:eastAsia="Times New Roman" w:hAnsi="Arial" w:cs="Arial"/>
          <w:color w:val="000000" w:themeColor="text1"/>
          <w:sz w:val="24"/>
        </w:rPr>
      </w:pPr>
      <w:r w:rsidRPr="00971E44">
        <w:rPr>
          <w:rFonts w:ascii="Arial" w:eastAsia="Times New Roman" w:hAnsi="Arial" w:cs="Arial"/>
          <w:b/>
          <w:bCs/>
          <w:color w:val="000000" w:themeColor="text1"/>
          <w:sz w:val="24"/>
        </w:rPr>
        <w:t>Opći cilj:</w:t>
      </w:r>
      <w:r w:rsidRPr="00971E44">
        <w:rPr>
          <w:rFonts w:ascii="Arial" w:eastAsia="Times New Roman" w:hAnsi="Arial" w:cs="Arial"/>
          <w:color w:val="000000" w:themeColor="text1"/>
          <w:sz w:val="24"/>
        </w:rPr>
        <w:t xml:space="preserve"> kroz ovu aktivnost predviđa se realizacija dijela zahvata parternog uređenja trga i okolnog prostora crkve sv. Eufemije, a koji se odnosi na izgradnju nove javne rasvjete. Prethodnih godina izvodili su se radovi na parternom opločenju trga te se ovim radovima završava uređenje prema projektnoj dokumentaciji kako bi se pristupilo tehničkom pregledu i ishodovanju uporabne dozvole.</w:t>
      </w:r>
    </w:p>
    <w:p w14:paraId="77C27700" w14:textId="77777777" w:rsidR="00E541EE" w:rsidRDefault="00E541EE" w:rsidP="00E541EE">
      <w:pPr>
        <w:ind w:right="98"/>
        <w:jc w:val="both"/>
        <w:rPr>
          <w:rFonts w:ascii="Arial" w:eastAsia="Times New Roman" w:hAnsi="Arial" w:cs="Arial"/>
          <w:color w:val="000000" w:themeColor="text1"/>
          <w:sz w:val="24"/>
        </w:rPr>
      </w:pPr>
      <w:r w:rsidRPr="00971E44">
        <w:rPr>
          <w:rFonts w:ascii="Arial" w:eastAsia="Times New Roman" w:hAnsi="Arial" w:cs="Arial"/>
          <w:b/>
          <w:bCs/>
          <w:color w:val="000000" w:themeColor="text1"/>
          <w:sz w:val="24"/>
        </w:rPr>
        <w:t>Pokazatelj uspješnosti:</w:t>
      </w:r>
      <w:r w:rsidRPr="00971E44">
        <w:rPr>
          <w:rFonts w:ascii="Arial" w:eastAsia="Times New Roman" w:hAnsi="Arial" w:cs="Arial"/>
          <w:color w:val="000000" w:themeColor="text1"/>
          <w:sz w:val="24"/>
        </w:rPr>
        <w:t xml:space="preserve"> izvedeni ugovoreni radovi sukladno ugovorenoj dinamici.</w:t>
      </w:r>
    </w:p>
    <w:p w14:paraId="7A5C241F" w14:textId="77777777" w:rsidR="00E541EE" w:rsidRPr="001F507B" w:rsidRDefault="00E541EE" w:rsidP="00E541EE">
      <w:pPr>
        <w:ind w:right="98"/>
        <w:jc w:val="both"/>
        <w:rPr>
          <w:rFonts w:ascii="Arial" w:eastAsia="Times New Roman" w:hAnsi="Arial" w:cs="Arial"/>
          <w:color w:val="000000" w:themeColor="text1"/>
          <w:sz w:val="24"/>
        </w:rPr>
      </w:pPr>
    </w:p>
    <w:p w14:paraId="3BE2B378" w14:textId="77777777" w:rsidR="00E541EE" w:rsidRPr="00971E44" w:rsidRDefault="00E541EE" w:rsidP="00E541EE">
      <w:pPr>
        <w:pBdr>
          <w:top w:val="single" w:sz="4" w:space="1" w:color="auto"/>
          <w:left w:val="single" w:sz="4" w:space="4" w:color="auto"/>
          <w:bottom w:val="single" w:sz="4" w:space="1" w:color="auto"/>
          <w:right w:val="single" w:sz="4" w:space="4" w:color="auto"/>
        </w:pBdr>
        <w:shd w:val="clear" w:color="auto" w:fill="E9E9E9"/>
        <w:ind w:right="-1"/>
        <w:rPr>
          <w:rFonts w:ascii="Arial" w:eastAsia="Times New Roman" w:hAnsi="Arial" w:cs="Arial"/>
          <w:color w:val="000000" w:themeColor="text1"/>
          <w:sz w:val="24"/>
        </w:rPr>
      </w:pPr>
      <w:r w:rsidRPr="00971E44">
        <w:rPr>
          <w:rFonts w:ascii="Arial" w:eastAsia="Times New Roman" w:hAnsi="Arial" w:cs="Arial"/>
          <w:b/>
          <w:bCs/>
          <w:color w:val="000000" w:themeColor="text1"/>
          <w:sz w:val="24"/>
        </w:rPr>
        <w:t xml:space="preserve">K 101482: Rekonstrukcija Osnovne škole Vladimir Nazor </w:t>
      </w:r>
      <w:r w:rsidRPr="00971E44">
        <w:rPr>
          <w:rFonts w:ascii="Arial" w:eastAsia="Times New Roman" w:hAnsi="Arial" w:cs="Arial"/>
          <w:b/>
          <w:color w:val="000000" w:themeColor="text1"/>
          <w:sz w:val="24"/>
        </w:rPr>
        <w:t>= 70.000,00 EUR</w:t>
      </w:r>
    </w:p>
    <w:p w14:paraId="030BE654" w14:textId="77777777" w:rsidR="00E541EE" w:rsidRPr="00971E44" w:rsidRDefault="00E541EE" w:rsidP="00E541EE">
      <w:pPr>
        <w:jc w:val="both"/>
        <w:rPr>
          <w:rFonts w:ascii="Arial" w:eastAsia="Times New Roman" w:hAnsi="Arial" w:cs="Arial"/>
          <w:color w:val="000000" w:themeColor="text1"/>
          <w:sz w:val="24"/>
        </w:rPr>
      </w:pPr>
      <w:r w:rsidRPr="00971E44">
        <w:rPr>
          <w:rFonts w:ascii="Arial" w:eastAsia="Times New Roman" w:hAnsi="Arial" w:cs="Arial"/>
          <w:b/>
          <w:bCs/>
          <w:color w:val="000000" w:themeColor="text1"/>
          <w:sz w:val="24"/>
        </w:rPr>
        <w:t>Zakonska osnova:</w:t>
      </w:r>
      <w:r w:rsidRPr="00971E44">
        <w:rPr>
          <w:rFonts w:ascii="Arial" w:eastAsia="Times New Roman" w:hAnsi="Arial" w:cs="Arial"/>
          <w:color w:val="000000" w:themeColor="text1"/>
          <w:sz w:val="24"/>
        </w:rPr>
        <w:t xml:space="preserve"> </w:t>
      </w:r>
      <w:r w:rsidRPr="00971E44">
        <w:rPr>
          <w:rFonts w:ascii="Arial" w:hAnsi="Arial" w:cs="Arial"/>
          <w:color w:val="000000" w:themeColor="text1"/>
          <w:sz w:val="24"/>
        </w:rPr>
        <w:t xml:space="preserve">Zakon o lokalnoj i područnoj (regionalnoj) samoupravi, Zakon o gradnji, Zakon o komunalnom gospodarstvu, Zakon o zaštiti na radu, </w:t>
      </w:r>
      <w:r w:rsidRPr="00971E44">
        <w:rPr>
          <w:rFonts w:ascii="Arial" w:eastAsia="Times New Roman" w:hAnsi="Arial" w:cs="Arial"/>
          <w:color w:val="000000" w:themeColor="text1"/>
          <w:sz w:val="24"/>
        </w:rPr>
        <w:t>Zakon o zaštiti i očuvanju kulturnih dobara.</w:t>
      </w:r>
    </w:p>
    <w:p w14:paraId="7A8FCEEC" w14:textId="77777777" w:rsidR="00E541EE" w:rsidRPr="00971E44" w:rsidRDefault="00E541EE" w:rsidP="00E541EE">
      <w:pPr>
        <w:jc w:val="both"/>
        <w:rPr>
          <w:rFonts w:ascii="Arial" w:hAnsi="Arial" w:cs="Arial"/>
          <w:color w:val="000000" w:themeColor="text1"/>
          <w:sz w:val="24"/>
        </w:rPr>
      </w:pPr>
      <w:r w:rsidRPr="00971E44">
        <w:rPr>
          <w:rFonts w:ascii="Arial" w:eastAsia="Times New Roman" w:hAnsi="Arial" w:cs="Arial"/>
          <w:b/>
          <w:bCs/>
          <w:color w:val="000000" w:themeColor="text1"/>
          <w:sz w:val="24"/>
        </w:rPr>
        <w:t xml:space="preserve">Opis: </w:t>
      </w:r>
      <w:r w:rsidRPr="00971E44">
        <w:rPr>
          <w:rFonts w:ascii="Arial" w:hAnsi="Arial" w:cs="Arial"/>
          <w:color w:val="000000" w:themeColor="text1"/>
          <w:sz w:val="24"/>
        </w:rPr>
        <w:t xml:space="preserve">ovim sredstvima planira se rekonstrukcija dijela </w:t>
      </w:r>
      <w:r w:rsidRPr="00971E44">
        <w:rPr>
          <w:rFonts w:ascii="Arial" w:eastAsia="Times New Roman" w:hAnsi="Arial" w:cs="Arial"/>
          <w:color w:val="000000" w:themeColor="text1"/>
          <w:sz w:val="24"/>
        </w:rPr>
        <w:t>Osnovne škole Vladimir Nazor.</w:t>
      </w:r>
      <w:r w:rsidRPr="00971E44">
        <w:rPr>
          <w:rFonts w:ascii="Arial" w:eastAsia="Times New Roman" w:hAnsi="Arial" w:cs="Arial"/>
          <w:b/>
          <w:bCs/>
          <w:color w:val="000000" w:themeColor="text1"/>
          <w:sz w:val="24"/>
        </w:rPr>
        <w:t xml:space="preserve"> </w:t>
      </w:r>
      <w:r w:rsidRPr="00971E44">
        <w:rPr>
          <w:rFonts w:ascii="Arial" w:eastAsia="Times New Roman" w:hAnsi="Arial" w:cs="Arial"/>
          <w:color w:val="000000" w:themeColor="text1"/>
          <w:sz w:val="24"/>
        </w:rPr>
        <w:t>Radi potrebe rekonstrukcije zgrade potrebno je izraditi tehničku dokumentaciju kako bi se povećala energetska učinkovitost zgrade koja se nalazi u kulturno povijesnoj sredini, a kako bi se podigao standard i kvaliteta boravka u školi. Nakon što se izradi projektna dokumentacija te ovisno o sredstvima u narednom periodu pristupalo bi se izvođenju radova. Povećanje učinkovitosti poboljšava toplinsku udobnost, kvalitetu zraka, sigurnost instalacija i ukupne uvjete rada i učenja.</w:t>
      </w:r>
    </w:p>
    <w:p w14:paraId="7A022C98" w14:textId="77777777" w:rsidR="00E541EE" w:rsidRPr="00971E44" w:rsidRDefault="00E541EE" w:rsidP="00E541EE">
      <w:pPr>
        <w:jc w:val="both"/>
        <w:rPr>
          <w:rFonts w:ascii="Arial" w:eastAsia="Times New Roman" w:hAnsi="Arial" w:cs="Arial"/>
          <w:color w:val="000000" w:themeColor="text1"/>
          <w:sz w:val="24"/>
        </w:rPr>
      </w:pPr>
      <w:r w:rsidRPr="00971E44">
        <w:rPr>
          <w:rFonts w:ascii="Arial" w:hAnsi="Arial" w:cs="Arial"/>
          <w:b/>
          <w:bCs/>
          <w:color w:val="000000" w:themeColor="text1"/>
          <w:sz w:val="24"/>
        </w:rPr>
        <w:t>Opći cilj</w:t>
      </w:r>
      <w:r w:rsidRPr="00971E44">
        <w:rPr>
          <w:rFonts w:ascii="Arial" w:hAnsi="Arial" w:cs="Arial"/>
          <w:color w:val="000000" w:themeColor="text1"/>
          <w:sz w:val="24"/>
        </w:rPr>
        <w:t>: kroz ovu aktivnost predviđa se rekonstrukcija i adaptacija, a sve kako bi se školska zgrada očuvala u funkcionalnom stanju ali i prilagodila potrebi suvremenog školskog obrazovanja.</w:t>
      </w:r>
    </w:p>
    <w:p w14:paraId="4075B389" w14:textId="77777777" w:rsidR="00E541EE" w:rsidRDefault="00E541EE" w:rsidP="00E541EE">
      <w:pPr>
        <w:jc w:val="both"/>
        <w:rPr>
          <w:rFonts w:ascii="Arial" w:eastAsia="Times New Roman" w:hAnsi="Arial" w:cs="Arial"/>
          <w:color w:val="000000" w:themeColor="text1"/>
          <w:sz w:val="24"/>
        </w:rPr>
      </w:pPr>
      <w:r w:rsidRPr="00971E44">
        <w:rPr>
          <w:rFonts w:ascii="Arial" w:eastAsia="Times New Roman" w:hAnsi="Arial" w:cs="Arial"/>
          <w:b/>
          <w:bCs/>
          <w:color w:val="000000" w:themeColor="text1"/>
          <w:sz w:val="24"/>
        </w:rPr>
        <w:t>Pokazatelj uspješnosti</w:t>
      </w:r>
      <w:r w:rsidRPr="00971E44">
        <w:rPr>
          <w:rFonts w:ascii="Arial" w:eastAsia="Times New Roman" w:hAnsi="Arial" w:cs="Arial"/>
          <w:color w:val="000000" w:themeColor="text1"/>
          <w:sz w:val="24"/>
        </w:rPr>
        <w:t xml:space="preserve">: izvedena dokumentacija i radovi sukladno ugovorenoj dinamici. </w:t>
      </w:r>
    </w:p>
    <w:p w14:paraId="7E757365" w14:textId="77777777" w:rsidR="00E541EE" w:rsidRDefault="00E541EE" w:rsidP="00E541EE">
      <w:pPr>
        <w:jc w:val="both"/>
        <w:rPr>
          <w:rFonts w:ascii="Arial" w:eastAsia="Times New Roman" w:hAnsi="Arial" w:cs="Arial"/>
          <w:color w:val="000000" w:themeColor="text1"/>
          <w:sz w:val="24"/>
        </w:rPr>
      </w:pPr>
    </w:p>
    <w:p w14:paraId="7AD8E7B8" w14:textId="77777777" w:rsidR="00E541EE" w:rsidRPr="00971E44" w:rsidRDefault="00E541EE" w:rsidP="00E541EE">
      <w:pPr>
        <w:pBdr>
          <w:top w:val="single" w:sz="4" w:space="1" w:color="auto"/>
          <w:left w:val="single" w:sz="4" w:space="4" w:color="auto"/>
          <w:bottom w:val="single" w:sz="4" w:space="1" w:color="auto"/>
          <w:right w:val="single" w:sz="4" w:space="4" w:color="auto"/>
        </w:pBdr>
        <w:shd w:val="clear" w:color="auto" w:fill="E9E9E9"/>
        <w:ind w:right="-1"/>
        <w:rPr>
          <w:rFonts w:ascii="Arial" w:eastAsia="Times New Roman" w:hAnsi="Arial" w:cs="Arial"/>
          <w:color w:val="000000" w:themeColor="text1"/>
          <w:sz w:val="24"/>
        </w:rPr>
      </w:pPr>
      <w:r w:rsidRPr="00971E44">
        <w:rPr>
          <w:rFonts w:ascii="Arial" w:eastAsia="Times New Roman" w:hAnsi="Arial" w:cs="Arial"/>
          <w:b/>
          <w:bCs/>
          <w:color w:val="000000" w:themeColor="text1"/>
          <w:sz w:val="24"/>
        </w:rPr>
        <w:t>K 101476: Izgradnja prometnice Gripole - Spine' VIII. faza</w:t>
      </w:r>
      <w:r w:rsidRPr="00971E44">
        <w:rPr>
          <w:rFonts w:ascii="Arial" w:eastAsia="Times New Roman" w:hAnsi="Arial" w:cs="Arial"/>
          <w:b/>
          <w:color w:val="000000" w:themeColor="text1"/>
          <w:sz w:val="24"/>
        </w:rPr>
        <w:t xml:space="preserve"> = 104.000,00 EUR</w:t>
      </w:r>
    </w:p>
    <w:p w14:paraId="6E3E6BC3" w14:textId="77777777" w:rsidR="00E541EE" w:rsidRPr="00971E44" w:rsidRDefault="00E541EE" w:rsidP="00E541EE">
      <w:pPr>
        <w:jc w:val="both"/>
        <w:rPr>
          <w:rFonts w:ascii="Arial" w:eastAsia="Times New Roman" w:hAnsi="Arial" w:cs="Arial"/>
          <w:color w:val="000000" w:themeColor="text1"/>
          <w:sz w:val="24"/>
        </w:rPr>
      </w:pPr>
      <w:r w:rsidRPr="00971E44">
        <w:rPr>
          <w:rFonts w:ascii="Arial" w:eastAsia="Times New Roman" w:hAnsi="Arial" w:cs="Arial"/>
          <w:b/>
          <w:bCs/>
          <w:color w:val="000000" w:themeColor="text1"/>
          <w:sz w:val="24"/>
        </w:rPr>
        <w:t>Zakonska osnova:</w:t>
      </w:r>
      <w:r w:rsidRPr="00971E44">
        <w:rPr>
          <w:rFonts w:ascii="Arial" w:eastAsia="Times New Roman" w:hAnsi="Arial" w:cs="Arial"/>
          <w:color w:val="000000" w:themeColor="text1"/>
          <w:sz w:val="24"/>
        </w:rPr>
        <w:t xml:space="preserve"> Zakon o lokalnoj i područnoj (regionalnoj) samoupravi, Zakon o prostornom uređenju, Zakon o gradnji.</w:t>
      </w:r>
    </w:p>
    <w:p w14:paraId="6BB903A9" w14:textId="77777777" w:rsidR="00E541EE" w:rsidRPr="00971E44" w:rsidRDefault="00E541EE" w:rsidP="00E541EE">
      <w:pPr>
        <w:jc w:val="both"/>
        <w:rPr>
          <w:rFonts w:ascii="Arial" w:eastAsia="Times New Roman" w:hAnsi="Arial" w:cs="Arial"/>
          <w:color w:val="000000" w:themeColor="text1"/>
          <w:sz w:val="24"/>
        </w:rPr>
      </w:pPr>
      <w:r w:rsidRPr="00971E44">
        <w:rPr>
          <w:rFonts w:ascii="Arial" w:eastAsia="Times New Roman" w:hAnsi="Arial" w:cs="Arial"/>
          <w:b/>
          <w:bCs/>
          <w:color w:val="000000" w:themeColor="text1"/>
          <w:sz w:val="24"/>
        </w:rPr>
        <w:t xml:space="preserve">Opis: </w:t>
      </w:r>
      <w:r w:rsidRPr="00971E44">
        <w:rPr>
          <w:rFonts w:ascii="Arial" w:eastAsia="Times New Roman" w:hAnsi="Arial" w:cs="Arial"/>
          <w:color w:val="000000" w:themeColor="text1"/>
          <w:sz w:val="24"/>
        </w:rPr>
        <w:t>ovim sredstvima financiraju se radovi na izgradnji pristupne ceste, oborinske kanalizacije i javne rasvjete sukladno izdanim aktima za građenje. Nastavak započetih radova radi potrebe kompletiranja izgradnje prometnica, javne rasvjete te oborinske odvodnje u gospodarskoj zoni Gripole - Spinè, obzirom na dinamiku izgradnje poslovnih zgrada u zoni. Izgradnja komunalne infrastrukture je preduvjet za funkcionalno i sigurno prometovanje zonom. Radovi obuhvaćaju izradu nosivog sloja, uređenje nogostupa i bankine, postavljanje rubnjaka u dijelu ceste koja spaja Ulicu Stjepana Herbuta i Josipa Folo.</w:t>
      </w:r>
    </w:p>
    <w:p w14:paraId="33CE52EC" w14:textId="77777777" w:rsidR="00E541EE" w:rsidRPr="00971E44" w:rsidRDefault="00E541EE" w:rsidP="00E541EE">
      <w:pPr>
        <w:jc w:val="both"/>
        <w:rPr>
          <w:rFonts w:ascii="Arial" w:eastAsia="Times New Roman" w:hAnsi="Arial" w:cs="Arial"/>
          <w:color w:val="000000" w:themeColor="text1"/>
          <w:sz w:val="24"/>
        </w:rPr>
      </w:pPr>
      <w:r w:rsidRPr="00971E44">
        <w:rPr>
          <w:rFonts w:ascii="Arial" w:eastAsia="Times New Roman" w:hAnsi="Arial" w:cs="Arial"/>
          <w:b/>
          <w:bCs/>
          <w:color w:val="000000" w:themeColor="text1"/>
          <w:sz w:val="24"/>
        </w:rPr>
        <w:t>Opći cilj:</w:t>
      </w:r>
      <w:r w:rsidRPr="00971E44">
        <w:rPr>
          <w:rFonts w:ascii="Arial" w:eastAsia="Times New Roman" w:hAnsi="Arial" w:cs="Arial"/>
          <w:color w:val="000000" w:themeColor="text1"/>
          <w:sz w:val="24"/>
        </w:rPr>
        <w:t xml:space="preserve"> kroz ovu aktivnost predviđa se nastaviti s radovima izgradnje komunalne infrastrukture, prometnica, javne rasvjete te oborinske odvodnje u gospodarskoj zoni Gripole - Spinè sukladno izrađenoj projektnoj dokumentaciji i izdanim građevinskim dozvolama kako bi svi poslovni subjekti u zoni imali odgovarajuće pristupe i izgrađenu komunalnu infrastrukturu.</w:t>
      </w:r>
    </w:p>
    <w:p w14:paraId="0D4FEA33" w14:textId="77777777" w:rsidR="00E541EE" w:rsidRDefault="00E541EE" w:rsidP="00E541EE">
      <w:pPr>
        <w:jc w:val="both"/>
        <w:rPr>
          <w:rFonts w:ascii="Arial" w:eastAsia="Times New Roman" w:hAnsi="Arial" w:cs="Arial"/>
          <w:color w:val="000000" w:themeColor="text1"/>
          <w:sz w:val="24"/>
        </w:rPr>
      </w:pPr>
      <w:r w:rsidRPr="00971E44">
        <w:rPr>
          <w:rFonts w:ascii="Arial" w:eastAsia="Times New Roman" w:hAnsi="Arial" w:cs="Arial"/>
          <w:b/>
          <w:bCs/>
          <w:color w:val="000000" w:themeColor="text1"/>
          <w:sz w:val="24"/>
        </w:rPr>
        <w:t>Pokazatelj uspješnosti</w:t>
      </w:r>
      <w:r w:rsidRPr="00971E44">
        <w:rPr>
          <w:rFonts w:ascii="Arial" w:eastAsia="Times New Roman" w:hAnsi="Arial" w:cs="Arial"/>
          <w:color w:val="000000" w:themeColor="text1"/>
          <w:sz w:val="24"/>
        </w:rPr>
        <w:t>: izvedeni radovi sukladno ugovorenoj dinamici.</w:t>
      </w:r>
    </w:p>
    <w:p w14:paraId="4DD85E6C" w14:textId="77777777" w:rsidR="00E541EE" w:rsidRDefault="00E541EE" w:rsidP="00E541EE">
      <w:pPr>
        <w:jc w:val="both"/>
        <w:rPr>
          <w:rFonts w:ascii="Arial" w:eastAsia="Times New Roman" w:hAnsi="Arial" w:cs="Arial"/>
          <w:color w:val="000000" w:themeColor="text1"/>
          <w:sz w:val="24"/>
        </w:rPr>
      </w:pPr>
    </w:p>
    <w:p w14:paraId="00AB4269" w14:textId="77777777" w:rsidR="00E541EE" w:rsidRPr="00971E44" w:rsidRDefault="00E541EE" w:rsidP="00E541EE">
      <w:pPr>
        <w:pBdr>
          <w:top w:val="single" w:sz="4" w:space="1" w:color="auto"/>
          <w:left w:val="single" w:sz="4" w:space="4" w:color="auto"/>
          <w:bottom w:val="single" w:sz="4" w:space="1" w:color="auto"/>
          <w:right w:val="single" w:sz="4" w:space="4" w:color="auto"/>
        </w:pBdr>
        <w:shd w:val="clear" w:color="auto" w:fill="E9E9E9"/>
        <w:ind w:right="-1"/>
        <w:rPr>
          <w:rFonts w:ascii="Arial" w:eastAsia="Times New Roman" w:hAnsi="Arial" w:cs="Arial"/>
          <w:color w:val="000000" w:themeColor="text1"/>
          <w:sz w:val="24"/>
        </w:rPr>
      </w:pPr>
      <w:r w:rsidRPr="00971E44">
        <w:rPr>
          <w:rFonts w:ascii="Arial" w:eastAsia="Times New Roman" w:hAnsi="Arial" w:cs="Arial"/>
          <w:b/>
          <w:bCs/>
          <w:color w:val="000000" w:themeColor="text1"/>
          <w:sz w:val="24"/>
        </w:rPr>
        <w:t>K 101479: Rekonstrukcija Ul. Valsaresi</w:t>
      </w:r>
      <w:r w:rsidRPr="00971E44">
        <w:rPr>
          <w:rFonts w:ascii="Arial" w:eastAsia="Times New Roman" w:hAnsi="Arial" w:cs="Arial"/>
          <w:b/>
          <w:color w:val="000000" w:themeColor="text1"/>
          <w:sz w:val="24"/>
        </w:rPr>
        <w:t xml:space="preserve"> = 56.000,00 EUR</w:t>
      </w:r>
    </w:p>
    <w:p w14:paraId="451F5C35" w14:textId="77777777" w:rsidR="00E541EE" w:rsidRPr="00971E44" w:rsidRDefault="00E541EE" w:rsidP="00E541EE">
      <w:pPr>
        <w:jc w:val="both"/>
        <w:rPr>
          <w:rFonts w:ascii="Arial" w:eastAsia="Times New Roman" w:hAnsi="Arial" w:cs="Arial"/>
          <w:color w:val="000000" w:themeColor="text1"/>
          <w:sz w:val="24"/>
        </w:rPr>
      </w:pPr>
      <w:r w:rsidRPr="00971E44">
        <w:rPr>
          <w:rFonts w:ascii="Arial" w:eastAsia="Times New Roman" w:hAnsi="Arial" w:cs="Arial"/>
          <w:b/>
          <w:bCs/>
          <w:color w:val="000000" w:themeColor="text1"/>
          <w:sz w:val="24"/>
        </w:rPr>
        <w:t>Zakonska osnova:</w:t>
      </w:r>
      <w:r w:rsidRPr="00971E44">
        <w:rPr>
          <w:rFonts w:ascii="Arial" w:eastAsia="Times New Roman" w:hAnsi="Arial" w:cs="Arial"/>
          <w:color w:val="000000" w:themeColor="text1"/>
          <w:sz w:val="24"/>
        </w:rPr>
        <w:t xml:space="preserve"> Zakon o lokalnoj i područnoj (regionalnoj) samoupravi, Zakon o prostornom uređenju, Zakon o gradnji.</w:t>
      </w:r>
    </w:p>
    <w:p w14:paraId="5F214195" w14:textId="77777777" w:rsidR="00E541EE" w:rsidRPr="00971E44" w:rsidRDefault="00E541EE" w:rsidP="00E541EE">
      <w:pPr>
        <w:jc w:val="both"/>
        <w:rPr>
          <w:rFonts w:ascii="Arial" w:eastAsia="Times New Roman" w:hAnsi="Arial" w:cs="Arial"/>
          <w:color w:val="000000" w:themeColor="text1"/>
          <w:sz w:val="24"/>
        </w:rPr>
      </w:pPr>
      <w:r w:rsidRPr="00971E44">
        <w:rPr>
          <w:rFonts w:ascii="Arial" w:eastAsia="Times New Roman" w:hAnsi="Arial" w:cs="Arial"/>
          <w:b/>
          <w:bCs/>
          <w:color w:val="000000" w:themeColor="text1"/>
          <w:sz w:val="24"/>
        </w:rPr>
        <w:t xml:space="preserve">Opis: </w:t>
      </w:r>
      <w:r w:rsidRPr="00971E44">
        <w:rPr>
          <w:rFonts w:ascii="Arial" w:eastAsia="Times New Roman" w:hAnsi="Arial" w:cs="Arial"/>
          <w:color w:val="000000" w:themeColor="text1"/>
          <w:sz w:val="24"/>
        </w:rPr>
        <w:t xml:space="preserve">ovim sredstvima financiraju se radovi na rekonstrukciju prometnice Valsaresi sa oborinskom </w:t>
      </w:r>
      <w:r w:rsidRPr="00971E44">
        <w:rPr>
          <w:rFonts w:ascii="Arial" w:eastAsia="Times New Roman" w:hAnsi="Arial" w:cs="Arial"/>
          <w:color w:val="000000" w:themeColor="text1"/>
          <w:sz w:val="24"/>
          <w:szCs w:val="24"/>
        </w:rPr>
        <w:t xml:space="preserve">odvodnjom </w:t>
      </w:r>
      <w:r w:rsidRPr="00971E44">
        <w:rPr>
          <w:rFonts w:ascii="Arial" w:eastAsia="Times New Roman" w:hAnsi="Arial" w:cs="Arial"/>
          <w:color w:val="000000" w:themeColor="text1"/>
          <w:sz w:val="24"/>
        </w:rPr>
        <w:t>i javnom rasvjetom sukladno izdanim aktima za građenje. Izgradnja komunalne infrastrukture je preduvjet za funkcionalno i sigurno prometovanje. Planiraju se pripremni radovi dijela komunalne infrastrukture kako bi se započela rekonstrukcija predmetne ulice sukladno ishođenoj građevinskoj dozvoli. Izgradnjom predmetne prometnice smanjilo bi se prometno opterećenje Ulice Matije Vlačić Ilirik i naselja Salteria, Bolničko naselje i Borik. U narednim godinama ovisno o osiguranim sredstvima če se nastaviti s izgradnjom do ishodovanja uporabne dozvole.</w:t>
      </w:r>
    </w:p>
    <w:p w14:paraId="19DDDEC0" w14:textId="77777777" w:rsidR="00E541EE" w:rsidRPr="00971E44" w:rsidRDefault="00E541EE" w:rsidP="00E541EE">
      <w:pPr>
        <w:jc w:val="both"/>
        <w:rPr>
          <w:rFonts w:ascii="Arial" w:eastAsia="Times New Roman" w:hAnsi="Arial" w:cs="Arial"/>
          <w:color w:val="000000" w:themeColor="text1"/>
          <w:sz w:val="24"/>
        </w:rPr>
      </w:pPr>
      <w:r w:rsidRPr="00971E44">
        <w:rPr>
          <w:rFonts w:ascii="Arial" w:eastAsia="Times New Roman" w:hAnsi="Arial" w:cs="Arial"/>
          <w:b/>
          <w:bCs/>
          <w:color w:val="000000" w:themeColor="text1"/>
          <w:sz w:val="24"/>
        </w:rPr>
        <w:t>Opći cilj:</w:t>
      </w:r>
      <w:r w:rsidRPr="00971E44">
        <w:rPr>
          <w:rFonts w:ascii="Arial" w:eastAsia="Times New Roman" w:hAnsi="Arial" w:cs="Arial"/>
          <w:color w:val="000000" w:themeColor="text1"/>
          <w:sz w:val="24"/>
        </w:rPr>
        <w:t xml:space="preserve"> kroz ovu aktivnost predviđa se započeti sa pripremnim radovima izgradnje komunalne infrastrukture, prometnica, javne rasvjete te oborinske odvodnje sukladno izrađenoj projektnoj dokumentaciji i izdanim građevinskim dozvolama, te bi se s istim nastavilo u narednim godinama ovisno o osiguranim sredstvima.</w:t>
      </w:r>
    </w:p>
    <w:p w14:paraId="6FB73B9F" w14:textId="77777777" w:rsidR="00E541EE" w:rsidRPr="00971E44" w:rsidRDefault="00E541EE" w:rsidP="00E541EE">
      <w:pPr>
        <w:jc w:val="both"/>
        <w:rPr>
          <w:rFonts w:ascii="Arial" w:eastAsia="Times New Roman" w:hAnsi="Arial" w:cs="Arial"/>
          <w:color w:val="000000" w:themeColor="text1"/>
          <w:sz w:val="24"/>
        </w:rPr>
      </w:pPr>
      <w:r w:rsidRPr="00971E44">
        <w:rPr>
          <w:rFonts w:ascii="Arial" w:eastAsia="Times New Roman" w:hAnsi="Arial" w:cs="Arial"/>
          <w:b/>
          <w:bCs/>
          <w:color w:val="000000" w:themeColor="text1"/>
          <w:sz w:val="24"/>
        </w:rPr>
        <w:t>Pokazatelj uspješnosti</w:t>
      </w:r>
      <w:r w:rsidRPr="00971E44">
        <w:rPr>
          <w:rFonts w:ascii="Arial" w:eastAsia="Times New Roman" w:hAnsi="Arial" w:cs="Arial"/>
          <w:color w:val="000000" w:themeColor="text1"/>
          <w:sz w:val="24"/>
        </w:rPr>
        <w:t>: izvedeni radovi sukladno ugovorenoj dinamici.</w:t>
      </w:r>
    </w:p>
    <w:p w14:paraId="637734BA" w14:textId="77777777" w:rsidR="00E541EE" w:rsidRDefault="00E541EE" w:rsidP="00E541EE">
      <w:pPr>
        <w:jc w:val="both"/>
        <w:rPr>
          <w:rFonts w:ascii="Arial" w:eastAsia="Times New Roman" w:hAnsi="Arial" w:cs="Arial"/>
          <w:color w:val="000000" w:themeColor="text1"/>
          <w:sz w:val="24"/>
        </w:rPr>
      </w:pPr>
    </w:p>
    <w:p w14:paraId="6F2EA80C" w14:textId="77777777" w:rsidR="00E541EE" w:rsidRPr="00971E44" w:rsidRDefault="00E541EE" w:rsidP="00E541EE">
      <w:pPr>
        <w:pBdr>
          <w:top w:val="single" w:sz="4" w:space="1" w:color="auto"/>
          <w:left w:val="single" w:sz="4" w:space="4" w:color="auto"/>
          <w:bottom w:val="single" w:sz="4" w:space="1" w:color="auto"/>
          <w:right w:val="single" w:sz="4" w:space="4" w:color="auto"/>
        </w:pBdr>
        <w:shd w:val="clear" w:color="auto" w:fill="E9E9E9"/>
        <w:ind w:right="-1"/>
        <w:rPr>
          <w:rFonts w:ascii="Arial" w:eastAsia="Times New Roman" w:hAnsi="Arial" w:cs="Arial"/>
          <w:color w:val="000000" w:themeColor="text1"/>
          <w:sz w:val="24"/>
        </w:rPr>
      </w:pPr>
      <w:r w:rsidRPr="00971E44">
        <w:rPr>
          <w:rFonts w:ascii="Arial" w:eastAsia="Times New Roman" w:hAnsi="Arial" w:cs="Arial"/>
          <w:b/>
          <w:bCs/>
          <w:color w:val="000000" w:themeColor="text1"/>
          <w:sz w:val="24"/>
        </w:rPr>
        <w:t>K 101479: Rekonstrukcija Rovinjske ulice B</w:t>
      </w:r>
      <w:r w:rsidRPr="00971E44">
        <w:rPr>
          <w:rFonts w:ascii="Arial" w:eastAsia="Times New Roman" w:hAnsi="Arial" w:cs="Arial"/>
          <w:b/>
          <w:color w:val="000000" w:themeColor="text1"/>
          <w:sz w:val="24"/>
        </w:rPr>
        <w:t xml:space="preserve"> = 105.000,00 EUR</w:t>
      </w:r>
    </w:p>
    <w:p w14:paraId="6BF1C473" w14:textId="77777777" w:rsidR="00E541EE" w:rsidRPr="00971E44" w:rsidRDefault="00E541EE" w:rsidP="00E541EE">
      <w:pPr>
        <w:jc w:val="both"/>
        <w:rPr>
          <w:rFonts w:ascii="Arial" w:eastAsia="Times New Roman" w:hAnsi="Arial" w:cs="Arial"/>
          <w:color w:val="000000" w:themeColor="text1"/>
          <w:sz w:val="24"/>
        </w:rPr>
      </w:pPr>
      <w:r w:rsidRPr="00971E44">
        <w:rPr>
          <w:rFonts w:ascii="Arial" w:eastAsia="Times New Roman" w:hAnsi="Arial" w:cs="Arial"/>
          <w:b/>
          <w:bCs/>
          <w:color w:val="000000" w:themeColor="text1"/>
          <w:sz w:val="24"/>
        </w:rPr>
        <w:t>Zakonska osnova:</w:t>
      </w:r>
      <w:r w:rsidRPr="00971E44">
        <w:rPr>
          <w:rFonts w:ascii="Arial" w:eastAsia="Times New Roman" w:hAnsi="Arial" w:cs="Arial"/>
          <w:color w:val="000000" w:themeColor="text1"/>
          <w:sz w:val="24"/>
        </w:rPr>
        <w:t xml:space="preserve"> Zakon o lokalnoj i područnoj (regionalnoj) samoupravi, Zakon o prostornom uređenju, Zakon o gradnji.</w:t>
      </w:r>
    </w:p>
    <w:p w14:paraId="350A65CA" w14:textId="77777777" w:rsidR="00E541EE" w:rsidRPr="00971E44" w:rsidRDefault="00E541EE" w:rsidP="00E541EE">
      <w:pPr>
        <w:jc w:val="both"/>
        <w:rPr>
          <w:rFonts w:ascii="Arial" w:eastAsia="Times New Roman" w:hAnsi="Arial" w:cs="Arial"/>
          <w:color w:val="000000" w:themeColor="text1"/>
          <w:sz w:val="24"/>
        </w:rPr>
      </w:pPr>
      <w:r w:rsidRPr="00971E44">
        <w:rPr>
          <w:rFonts w:ascii="Arial" w:eastAsia="Times New Roman" w:hAnsi="Arial" w:cs="Arial"/>
          <w:b/>
          <w:bCs/>
          <w:color w:val="000000" w:themeColor="text1"/>
          <w:sz w:val="24"/>
        </w:rPr>
        <w:t xml:space="preserve">Opis: </w:t>
      </w:r>
      <w:r w:rsidRPr="00971E44">
        <w:rPr>
          <w:rFonts w:ascii="Arial" w:eastAsia="Times New Roman" w:hAnsi="Arial" w:cs="Arial"/>
          <w:color w:val="000000" w:themeColor="text1"/>
          <w:sz w:val="24"/>
        </w:rPr>
        <w:t xml:space="preserve">ovim projektom predviđeni su radovi na rekonstrukciji Rovinjske ulice (dionica B) sa oborinskom </w:t>
      </w:r>
      <w:r w:rsidRPr="00971E44">
        <w:rPr>
          <w:rFonts w:ascii="Arial" w:eastAsia="Times New Roman" w:hAnsi="Arial" w:cs="Arial"/>
          <w:color w:val="000000" w:themeColor="text1"/>
          <w:sz w:val="24"/>
          <w:szCs w:val="24"/>
        </w:rPr>
        <w:t>odvodnjom</w:t>
      </w:r>
      <w:r w:rsidRPr="00971E44">
        <w:rPr>
          <w:rFonts w:ascii="Arial" w:eastAsia="Times New Roman" w:hAnsi="Arial" w:cs="Arial"/>
          <w:color w:val="000000" w:themeColor="text1"/>
          <w:szCs w:val="18"/>
        </w:rPr>
        <w:t xml:space="preserve"> </w:t>
      </w:r>
      <w:r w:rsidRPr="00971E44">
        <w:rPr>
          <w:rFonts w:ascii="Arial" w:eastAsia="Times New Roman" w:hAnsi="Arial" w:cs="Arial"/>
          <w:color w:val="000000" w:themeColor="text1"/>
          <w:sz w:val="24"/>
        </w:rPr>
        <w:t>i javnom rasvjetom sukladno izdanim aktima za građenje. Izgradnja komunalne infrastrukture je preduvjet za funkcionalno i sigurno prometovanje. Planiraju se pripremni radovi dijela komunalne infrastrukture kako bi se započela rekonstrukcija predmetne ulice sukladno ishođenoj građevinskoj dozvoli. Zahvat predmetne ulice je zapadna dionica postojeće Rovinjske ulice. Radovi se planiraju započeti koncem 2026. godine i nastaviti u narednom periodu ovisno o osiguranim sredstvima. Ukupna dužina dionice B predmetne prometnice je 560 metara. Radovi će se odvijati po cjelinama ovisno o osiguranim sredstvima.</w:t>
      </w:r>
    </w:p>
    <w:p w14:paraId="6AEFD384" w14:textId="77777777" w:rsidR="00E541EE" w:rsidRPr="00971E44" w:rsidRDefault="00E541EE" w:rsidP="00E541EE">
      <w:pPr>
        <w:jc w:val="both"/>
        <w:rPr>
          <w:rFonts w:ascii="Arial" w:eastAsia="Times New Roman" w:hAnsi="Arial" w:cs="Arial"/>
          <w:color w:val="000000" w:themeColor="text1"/>
          <w:sz w:val="24"/>
        </w:rPr>
      </w:pPr>
      <w:r w:rsidRPr="00971E44">
        <w:rPr>
          <w:rFonts w:ascii="Arial" w:eastAsia="Times New Roman" w:hAnsi="Arial" w:cs="Arial"/>
          <w:b/>
          <w:bCs/>
          <w:color w:val="000000" w:themeColor="text1"/>
          <w:sz w:val="24"/>
        </w:rPr>
        <w:t>Opći cilj:</w:t>
      </w:r>
      <w:r w:rsidRPr="00971E44">
        <w:rPr>
          <w:rFonts w:ascii="Arial" w:eastAsia="Times New Roman" w:hAnsi="Arial" w:cs="Arial"/>
          <w:color w:val="000000" w:themeColor="text1"/>
          <w:sz w:val="24"/>
        </w:rPr>
        <w:t xml:space="preserve"> kroz ovu aktivnost predviđa se započeti sa radovima izgradnje komunalne infrastrukture, prometnica, javne rasvjete te oborinske odvodnje sukladno izrađenoj projektnoj dokumentaciji i izdanim aktima za gradnju.</w:t>
      </w:r>
    </w:p>
    <w:p w14:paraId="0D9266B1" w14:textId="77777777" w:rsidR="00E541EE" w:rsidRDefault="00E541EE" w:rsidP="00E541EE">
      <w:pPr>
        <w:jc w:val="both"/>
        <w:rPr>
          <w:rFonts w:ascii="Arial" w:eastAsia="Times New Roman" w:hAnsi="Arial" w:cs="Arial"/>
          <w:color w:val="000000" w:themeColor="text1"/>
          <w:sz w:val="24"/>
        </w:rPr>
      </w:pPr>
      <w:r w:rsidRPr="00971E44">
        <w:rPr>
          <w:rFonts w:ascii="Arial" w:eastAsia="Times New Roman" w:hAnsi="Arial" w:cs="Arial"/>
          <w:b/>
          <w:bCs/>
          <w:color w:val="000000" w:themeColor="text1"/>
          <w:sz w:val="24"/>
        </w:rPr>
        <w:t>Pokazatelj uspješnosti</w:t>
      </w:r>
      <w:r w:rsidRPr="00971E44">
        <w:rPr>
          <w:rFonts w:ascii="Arial" w:eastAsia="Times New Roman" w:hAnsi="Arial" w:cs="Arial"/>
          <w:color w:val="000000" w:themeColor="text1"/>
          <w:sz w:val="24"/>
        </w:rPr>
        <w:t>: izvedeni radovi sukladno ugovorenoj dinamici.</w:t>
      </w:r>
    </w:p>
    <w:p w14:paraId="447A51F8" w14:textId="77777777" w:rsidR="00E541EE" w:rsidRDefault="00E541EE" w:rsidP="00E541EE">
      <w:pPr>
        <w:jc w:val="both"/>
        <w:rPr>
          <w:rFonts w:ascii="Arial" w:eastAsia="Times New Roman" w:hAnsi="Arial" w:cs="Arial"/>
          <w:color w:val="000000" w:themeColor="text1"/>
          <w:sz w:val="24"/>
        </w:rPr>
      </w:pPr>
    </w:p>
    <w:p w14:paraId="55DC1796" w14:textId="77777777" w:rsidR="00E541EE" w:rsidRDefault="00E541EE" w:rsidP="00E541EE">
      <w:pPr>
        <w:pBdr>
          <w:top w:val="single" w:sz="4" w:space="1" w:color="auto"/>
          <w:left w:val="single" w:sz="4" w:space="4" w:color="auto"/>
          <w:bottom w:val="single" w:sz="4" w:space="0" w:color="auto"/>
          <w:right w:val="single" w:sz="4" w:space="4" w:color="auto"/>
        </w:pBdr>
        <w:shd w:val="clear" w:color="auto" w:fill="FFFF80"/>
        <w:jc w:val="both"/>
        <w:rPr>
          <w:rFonts w:ascii="Arial" w:eastAsia="Times New Roman" w:hAnsi="Arial" w:cs="Arial"/>
          <w:b/>
          <w:color w:val="000000" w:themeColor="text1"/>
          <w:sz w:val="24"/>
          <w:szCs w:val="24"/>
        </w:rPr>
      </w:pPr>
      <w:r w:rsidRPr="0052022A">
        <w:rPr>
          <w:rFonts w:ascii="Arial" w:eastAsia="Times New Roman" w:hAnsi="Arial" w:cs="Arial"/>
          <w:b/>
          <w:color w:val="000000" w:themeColor="text1"/>
          <w:sz w:val="24"/>
          <w:szCs w:val="24"/>
        </w:rPr>
        <w:t>Program 1015: Uređenje i izgradnja objekata iz posebnih naknada i donacija</w:t>
      </w:r>
    </w:p>
    <w:p w14:paraId="7781AF8E" w14:textId="77777777" w:rsidR="00E541EE" w:rsidRPr="0052022A" w:rsidRDefault="00E541EE" w:rsidP="00E541EE">
      <w:pPr>
        <w:pBdr>
          <w:top w:val="single" w:sz="4" w:space="1" w:color="auto"/>
          <w:left w:val="single" w:sz="4" w:space="4" w:color="auto"/>
          <w:bottom w:val="single" w:sz="4" w:space="0" w:color="auto"/>
          <w:right w:val="single" w:sz="4" w:space="4" w:color="auto"/>
        </w:pBdr>
        <w:shd w:val="clear" w:color="auto" w:fill="FFFF80"/>
        <w:jc w:val="both"/>
        <w:rPr>
          <w:rFonts w:ascii="Arial" w:eastAsia="Times New Roman" w:hAnsi="Arial" w:cs="Arial"/>
          <w:b/>
          <w:color w:val="000000" w:themeColor="text1"/>
          <w:sz w:val="24"/>
          <w:szCs w:val="24"/>
        </w:rPr>
      </w:pPr>
      <w:r w:rsidRPr="0052022A">
        <w:rPr>
          <w:rFonts w:ascii="Arial" w:eastAsia="Times New Roman" w:hAnsi="Arial" w:cs="Arial"/>
          <w:b/>
          <w:color w:val="000000" w:themeColor="text1"/>
          <w:sz w:val="24"/>
          <w:szCs w:val="24"/>
        </w:rPr>
        <w:t xml:space="preserve"> = 77.000,00 EUR</w:t>
      </w:r>
    </w:p>
    <w:p w14:paraId="4538C12A" w14:textId="77777777" w:rsidR="00E541EE" w:rsidRPr="00B7107E" w:rsidRDefault="00E541EE" w:rsidP="00E541EE">
      <w:pPr>
        <w:jc w:val="both"/>
        <w:rPr>
          <w:rFonts w:ascii="Arial" w:eastAsia="Times New Roman" w:hAnsi="Arial" w:cs="Arial"/>
          <w:b/>
          <w:bCs/>
          <w:color w:val="2F5496" w:themeColor="accent1" w:themeShade="BF"/>
          <w:sz w:val="24"/>
        </w:rPr>
      </w:pPr>
    </w:p>
    <w:p w14:paraId="2D57355C" w14:textId="77777777" w:rsidR="00E541EE" w:rsidRPr="00C36139" w:rsidRDefault="00E541EE" w:rsidP="00E541EE">
      <w:pPr>
        <w:pBdr>
          <w:top w:val="single" w:sz="4" w:space="1" w:color="auto"/>
          <w:left w:val="single" w:sz="4" w:space="4" w:color="auto"/>
          <w:bottom w:val="single" w:sz="4" w:space="1" w:color="auto"/>
          <w:right w:val="single" w:sz="4" w:space="4" w:color="auto"/>
        </w:pBdr>
        <w:shd w:val="clear" w:color="auto" w:fill="E9E9E9"/>
        <w:ind w:right="-1"/>
        <w:rPr>
          <w:rFonts w:ascii="Arial" w:eastAsia="Times New Roman" w:hAnsi="Arial" w:cs="Arial"/>
          <w:color w:val="000000" w:themeColor="text1"/>
          <w:sz w:val="24"/>
        </w:rPr>
      </w:pPr>
      <w:r w:rsidRPr="00FF7757">
        <w:rPr>
          <w:rFonts w:ascii="Arial" w:eastAsia="Times New Roman" w:hAnsi="Arial" w:cs="Arial"/>
          <w:b/>
          <w:bCs/>
          <w:color w:val="000000" w:themeColor="text1"/>
          <w:sz w:val="24"/>
        </w:rPr>
        <w:t>K 101504: Gradsko groblje = 77.000,00 EUR</w:t>
      </w:r>
    </w:p>
    <w:p w14:paraId="05A6E0BE" w14:textId="77777777" w:rsidR="00E541EE" w:rsidRPr="00FF7757" w:rsidRDefault="00E541EE" w:rsidP="00E541EE">
      <w:pPr>
        <w:jc w:val="both"/>
        <w:rPr>
          <w:rFonts w:ascii="Arial" w:eastAsia="Times New Roman" w:hAnsi="Arial" w:cs="Arial"/>
          <w:color w:val="000000" w:themeColor="text1"/>
          <w:sz w:val="24"/>
        </w:rPr>
      </w:pPr>
      <w:r w:rsidRPr="00FF7757">
        <w:rPr>
          <w:rFonts w:ascii="Arial" w:eastAsia="Times New Roman" w:hAnsi="Arial" w:cs="Arial"/>
          <w:b/>
          <w:bCs/>
          <w:color w:val="000000" w:themeColor="text1"/>
          <w:sz w:val="24"/>
        </w:rPr>
        <w:t>Zakonska osnova:</w:t>
      </w:r>
      <w:r w:rsidRPr="00FF7757">
        <w:rPr>
          <w:rFonts w:ascii="Arial" w:eastAsia="Times New Roman" w:hAnsi="Arial" w:cs="Arial"/>
          <w:color w:val="000000" w:themeColor="text1"/>
          <w:sz w:val="24"/>
        </w:rPr>
        <w:t xml:space="preserve"> Zakon o lokalnoj i područnoj (regionalnoj) samoupravi, Zakon o prostornom uređenju, Zakon o gradnji, Zakon o komunalnom gospodarstvu, Zakon o grobljima.</w:t>
      </w:r>
    </w:p>
    <w:p w14:paraId="6E089616" w14:textId="77777777" w:rsidR="00E541EE" w:rsidRPr="00FF7757" w:rsidRDefault="00E541EE" w:rsidP="00E541EE">
      <w:pPr>
        <w:jc w:val="both"/>
        <w:rPr>
          <w:rFonts w:ascii="Arial" w:eastAsia="Times New Roman" w:hAnsi="Arial" w:cs="Arial"/>
          <w:color w:val="000000" w:themeColor="text1"/>
          <w:sz w:val="24"/>
        </w:rPr>
      </w:pPr>
      <w:r w:rsidRPr="00FF7757">
        <w:rPr>
          <w:rFonts w:ascii="Arial" w:eastAsia="Times New Roman" w:hAnsi="Arial" w:cs="Arial"/>
          <w:b/>
          <w:bCs/>
          <w:color w:val="000000" w:themeColor="text1"/>
          <w:sz w:val="24"/>
        </w:rPr>
        <w:t xml:space="preserve">Opis: </w:t>
      </w:r>
      <w:r w:rsidRPr="00FF7757">
        <w:rPr>
          <w:rFonts w:ascii="Arial" w:eastAsia="Times New Roman" w:hAnsi="Arial" w:cs="Arial"/>
          <w:bCs/>
          <w:color w:val="000000" w:themeColor="text1"/>
          <w:sz w:val="24"/>
        </w:rPr>
        <w:t>o</w:t>
      </w:r>
      <w:r w:rsidRPr="00FF7757">
        <w:rPr>
          <w:rFonts w:ascii="Arial" w:eastAsia="Times New Roman" w:hAnsi="Arial" w:cs="Arial"/>
          <w:color w:val="000000" w:themeColor="text1"/>
          <w:sz w:val="24"/>
        </w:rPr>
        <w:t>vim sredstvima financira se izgradnja betonskih okvira zemljanih grobova i sanacija postojećih objekata</w:t>
      </w:r>
      <w:r>
        <w:rPr>
          <w:rFonts w:ascii="Arial" w:eastAsia="Times New Roman" w:hAnsi="Arial" w:cs="Arial"/>
          <w:color w:val="000000" w:themeColor="text1"/>
          <w:sz w:val="24"/>
        </w:rPr>
        <w:t xml:space="preserve"> koji su u funkciji gradskog groblja</w:t>
      </w:r>
      <w:r w:rsidRPr="00FF7757">
        <w:rPr>
          <w:rFonts w:ascii="Arial" w:eastAsia="Times New Roman" w:hAnsi="Arial" w:cs="Arial"/>
          <w:color w:val="000000" w:themeColor="text1"/>
          <w:sz w:val="24"/>
        </w:rPr>
        <w:t>.</w:t>
      </w:r>
    </w:p>
    <w:p w14:paraId="5A72CB9E" w14:textId="77777777" w:rsidR="00E541EE" w:rsidRPr="00FF7757" w:rsidRDefault="00E541EE" w:rsidP="00E541EE">
      <w:pPr>
        <w:jc w:val="both"/>
        <w:rPr>
          <w:rFonts w:ascii="Arial" w:eastAsia="Times New Roman" w:hAnsi="Arial" w:cs="Arial"/>
          <w:color w:val="000000" w:themeColor="text1"/>
          <w:sz w:val="24"/>
        </w:rPr>
      </w:pPr>
      <w:r w:rsidRPr="00FF7757">
        <w:rPr>
          <w:rFonts w:ascii="Arial" w:eastAsia="Times New Roman" w:hAnsi="Arial" w:cs="Arial"/>
          <w:b/>
          <w:bCs/>
          <w:color w:val="000000" w:themeColor="text1"/>
          <w:sz w:val="24"/>
        </w:rPr>
        <w:t>Opći cilj:</w:t>
      </w:r>
      <w:r w:rsidRPr="00FF7757">
        <w:rPr>
          <w:rFonts w:ascii="Arial" w:eastAsia="Times New Roman" w:hAnsi="Arial" w:cs="Arial"/>
          <w:color w:val="000000" w:themeColor="text1"/>
          <w:sz w:val="24"/>
        </w:rPr>
        <w:t xml:space="preserve"> kroz ovu aktivnost predviđa se izvesti radove rekonstrukcije postojećih objekata na gradskom groblju s ciljem očuvanja uporabljivosti istih.</w:t>
      </w:r>
    </w:p>
    <w:p w14:paraId="00FA4F88" w14:textId="77777777" w:rsidR="00E541EE" w:rsidRPr="00B7107E" w:rsidRDefault="00E541EE" w:rsidP="00E541EE">
      <w:pPr>
        <w:jc w:val="both"/>
        <w:rPr>
          <w:rFonts w:ascii="Arial" w:eastAsia="Times New Roman" w:hAnsi="Arial" w:cs="Arial"/>
          <w:color w:val="2F5496" w:themeColor="accent1" w:themeShade="BF"/>
          <w:sz w:val="24"/>
        </w:rPr>
      </w:pPr>
      <w:r w:rsidRPr="00FF7757">
        <w:rPr>
          <w:rFonts w:ascii="Arial" w:eastAsia="Times New Roman" w:hAnsi="Arial" w:cs="Arial"/>
          <w:b/>
          <w:bCs/>
          <w:color w:val="000000" w:themeColor="text1"/>
          <w:sz w:val="24"/>
        </w:rPr>
        <w:t>Pokazatelj uspješnosti:</w:t>
      </w:r>
      <w:r w:rsidRPr="00FF7757">
        <w:rPr>
          <w:rFonts w:ascii="Arial" w:eastAsia="Times New Roman" w:hAnsi="Arial" w:cs="Arial"/>
          <w:color w:val="000000" w:themeColor="text1"/>
          <w:sz w:val="24"/>
        </w:rPr>
        <w:t xml:space="preserve"> izvedeni radovi sanacije i izgradnje</w:t>
      </w:r>
      <w:r w:rsidRPr="00B7107E">
        <w:rPr>
          <w:rFonts w:ascii="Arial" w:eastAsia="Times New Roman" w:hAnsi="Arial" w:cs="Arial"/>
          <w:color w:val="2F5496" w:themeColor="accent1" w:themeShade="BF"/>
          <w:sz w:val="24"/>
        </w:rPr>
        <w:t>.</w:t>
      </w:r>
    </w:p>
    <w:p w14:paraId="1DC9D3CC" w14:textId="77777777" w:rsidR="00E541EE" w:rsidRDefault="00E541EE" w:rsidP="00E541EE">
      <w:pPr>
        <w:jc w:val="both"/>
        <w:rPr>
          <w:rFonts w:ascii="Arial" w:eastAsia="Times New Roman" w:hAnsi="Arial" w:cs="Arial"/>
          <w:color w:val="000000" w:themeColor="text1"/>
          <w:sz w:val="24"/>
        </w:rPr>
      </w:pPr>
    </w:p>
    <w:p w14:paraId="62CF0636" w14:textId="77777777" w:rsidR="00E541EE" w:rsidRPr="002A1648" w:rsidRDefault="00E541EE" w:rsidP="00E541EE">
      <w:pPr>
        <w:pBdr>
          <w:top w:val="single" w:sz="4" w:space="1" w:color="auto"/>
          <w:left w:val="single" w:sz="4" w:space="4" w:color="auto"/>
          <w:bottom w:val="single" w:sz="4" w:space="0" w:color="auto"/>
          <w:right w:val="single" w:sz="4" w:space="4" w:color="auto"/>
        </w:pBdr>
        <w:shd w:val="clear" w:color="auto" w:fill="FFFF80"/>
        <w:jc w:val="both"/>
        <w:rPr>
          <w:rFonts w:ascii="Arial" w:eastAsia="Times New Roman" w:hAnsi="Arial" w:cs="Arial"/>
          <w:b/>
          <w:sz w:val="24"/>
          <w:szCs w:val="24"/>
        </w:rPr>
      </w:pPr>
      <w:r w:rsidRPr="002A1648">
        <w:rPr>
          <w:rFonts w:ascii="Arial" w:eastAsia="Times New Roman" w:hAnsi="Arial" w:cs="Arial"/>
          <w:b/>
          <w:sz w:val="24"/>
          <w:szCs w:val="24"/>
        </w:rPr>
        <w:t xml:space="preserve">Program 1019: Opće potrebe komunalne </w:t>
      </w:r>
      <w:r w:rsidRPr="00800862">
        <w:rPr>
          <w:rFonts w:ascii="Arial" w:eastAsia="Times New Roman" w:hAnsi="Arial" w:cs="Arial"/>
          <w:b/>
          <w:sz w:val="24"/>
          <w:szCs w:val="24"/>
        </w:rPr>
        <w:t>djelatnosti = 37.350,00 EUR</w:t>
      </w:r>
    </w:p>
    <w:p w14:paraId="3B2E2770" w14:textId="77777777" w:rsidR="00E541EE" w:rsidRDefault="00E541EE" w:rsidP="00E541EE">
      <w:pPr>
        <w:jc w:val="both"/>
        <w:rPr>
          <w:rFonts w:ascii="Arial" w:eastAsia="Times New Roman" w:hAnsi="Arial" w:cs="Arial"/>
          <w:sz w:val="24"/>
          <w:szCs w:val="24"/>
        </w:rPr>
      </w:pPr>
    </w:p>
    <w:p w14:paraId="74ABBF5D" w14:textId="77777777" w:rsidR="00E541EE" w:rsidRPr="002A1648" w:rsidRDefault="00E541EE" w:rsidP="00E541EE">
      <w:pPr>
        <w:pBdr>
          <w:top w:val="single" w:sz="4" w:space="1" w:color="auto"/>
          <w:left w:val="single" w:sz="4" w:space="4" w:color="auto"/>
          <w:bottom w:val="single" w:sz="4" w:space="1" w:color="auto"/>
          <w:right w:val="single" w:sz="4" w:space="4" w:color="auto"/>
        </w:pBdr>
        <w:shd w:val="clear" w:color="auto" w:fill="E9E9E9"/>
        <w:ind w:right="-1"/>
        <w:rPr>
          <w:rFonts w:ascii="Arial" w:eastAsia="Times New Roman" w:hAnsi="Arial" w:cs="Arial"/>
          <w:b/>
          <w:sz w:val="24"/>
          <w:szCs w:val="24"/>
        </w:rPr>
      </w:pPr>
      <w:r w:rsidRPr="002A1648">
        <w:rPr>
          <w:rFonts w:ascii="Arial" w:eastAsia="Times New Roman" w:hAnsi="Arial" w:cs="Arial"/>
          <w:b/>
          <w:sz w:val="24"/>
          <w:szCs w:val="24"/>
        </w:rPr>
        <w:t xml:space="preserve">T 101902: Održavanje gradskog sata = </w:t>
      </w:r>
      <w:r>
        <w:rPr>
          <w:rFonts w:ascii="Arial" w:eastAsia="Times New Roman" w:hAnsi="Arial" w:cs="Arial"/>
          <w:b/>
          <w:sz w:val="24"/>
          <w:szCs w:val="24"/>
        </w:rPr>
        <w:t>2</w:t>
      </w:r>
      <w:r w:rsidRPr="002A1648">
        <w:rPr>
          <w:rFonts w:ascii="Arial" w:eastAsia="Times New Roman" w:hAnsi="Arial" w:cs="Arial"/>
          <w:b/>
          <w:sz w:val="24"/>
          <w:szCs w:val="24"/>
        </w:rPr>
        <w:t>.8</w:t>
      </w:r>
      <w:r>
        <w:rPr>
          <w:rFonts w:ascii="Arial" w:eastAsia="Times New Roman" w:hAnsi="Arial" w:cs="Arial"/>
          <w:b/>
          <w:sz w:val="24"/>
          <w:szCs w:val="24"/>
        </w:rPr>
        <w:t>00</w:t>
      </w:r>
      <w:r w:rsidRPr="002A1648">
        <w:rPr>
          <w:rFonts w:ascii="Arial" w:eastAsia="Times New Roman" w:hAnsi="Arial" w:cs="Arial"/>
          <w:b/>
          <w:sz w:val="24"/>
          <w:szCs w:val="24"/>
        </w:rPr>
        <w:t>,00 EUR</w:t>
      </w:r>
    </w:p>
    <w:p w14:paraId="7BD93E27" w14:textId="77777777" w:rsidR="00E541EE" w:rsidRPr="002A1648" w:rsidRDefault="00E541EE" w:rsidP="00E541EE">
      <w:pPr>
        <w:jc w:val="both"/>
        <w:rPr>
          <w:rFonts w:ascii="Arial" w:eastAsia="Times New Roman" w:hAnsi="Arial" w:cs="Arial"/>
          <w:sz w:val="24"/>
          <w:szCs w:val="24"/>
        </w:rPr>
      </w:pPr>
      <w:r w:rsidRPr="002A1648">
        <w:rPr>
          <w:rFonts w:ascii="Arial" w:eastAsia="Times New Roman" w:hAnsi="Arial" w:cs="Arial"/>
          <w:b/>
          <w:sz w:val="24"/>
          <w:szCs w:val="24"/>
        </w:rPr>
        <w:t xml:space="preserve">Zakonska osnova: </w:t>
      </w:r>
      <w:r w:rsidRPr="002A1648">
        <w:rPr>
          <w:rFonts w:ascii="Arial" w:eastAsia="Times New Roman" w:hAnsi="Arial" w:cs="Arial"/>
          <w:sz w:val="24"/>
          <w:szCs w:val="24"/>
        </w:rPr>
        <w:t>Zakon o komunalnom gospodarstvu.</w:t>
      </w:r>
    </w:p>
    <w:p w14:paraId="5832699C" w14:textId="77777777" w:rsidR="00E541EE" w:rsidRPr="002A1648" w:rsidRDefault="00E541EE" w:rsidP="00E541EE">
      <w:pPr>
        <w:jc w:val="both"/>
        <w:rPr>
          <w:rFonts w:ascii="Arial" w:eastAsia="Times New Roman" w:hAnsi="Arial" w:cs="Arial"/>
          <w:sz w:val="24"/>
          <w:szCs w:val="24"/>
        </w:rPr>
      </w:pPr>
      <w:r w:rsidRPr="002A1648">
        <w:rPr>
          <w:rFonts w:ascii="Arial" w:eastAsia="Times New Roman" w:hAnsi="Arial" w:cs="Arial"/>
          <w:b/>
          <w:sz w:val="24"/>
          <w:szCs w:val="24"/>
        </w:rPr>
        <w:t xml:space="preserve">Opis: </w:t>
      </w:r>
      <w:r w:rsidRPr="002A1648">
        <w:rPr>
          <w:rFonts w:ascii="Arial" w:eastAsia="Times New Roman" w:hAnsi="Arial" w:cs="Arial"/>
          <w:sz w:val="24"/>
          <w:szCs w:val="24"/>
        </w:rPr>
        <w:t>održavanje sata tokom cijele godine (navijanje mehanizma).</w:t>
      </w:r>
    </w:p>
    <w:p w14:paraId="210A60DD" w14:textId="77777777" w:rsidR="00E541EE" w:rsidRPr="002A1648" w:rsidRDefault="00E541EE" w:rsidP="00E541EE">
      <w:pPr>
        <w:jc w:val="both"/>
        <w:rPr>
          <w:rFonts w:ascii="Arial" w:eastAsia="Times New Roman" w:hAnsi="Arial" w:cs="Arial"/>
          <w:sz w:val="24"/>
          <w:szCs w:val="24"/>
        </w:rPr>
      </w:pPr>
      <w:r w:rsidRPr="002A1648">
        <w:rPr>
          <w:rFonts w:ascii="Arial" w:eastAsia="Times New Roman" w:hAnsi="Arial" w:cs="Arial"/>
          <w:b/>
          <w:sz w:val="24"/>
          <w:szCs w:val="24"/>
        </w:rPr>
        <w:t xml:space="preserve">Opći cilj: </w:t>
      </w:r>
      <w:r w:rsidRPr="002A1648">
        <w:rPr>
          <w:rFonts w:ascii="Arial" w:eastAsia="Times New Roman" w:hAnsi="Arial" w:cs="Arial"/>
          <w:sz w:val="24"/>
          <w:szCs w:val="24"/>
        </w:rPr>
        <w:t>funkcioniranje gradskog sata tokom cijele godine.</w:t>
      </w:r>
    </w:p>
    <w:p w14:paraId="2632B3F0" w14:textId="77777777" w:rsidR="00E541EE" w:rsidRDefault="00E541EE" w:rsidP="00E541EE">
      <w:pPr>
        <w:jc w:val="both"/>
        <w:rPr>
          <w:rFonts w:ascii="Arial" w:eastAsia="Times New Roman" w:hAnsi="Arial" w:cs="Arial"/>
          <w:sz w:val="24"/>
          <w:szCs w:val="24"/>
        </w:rPr>
      </w:pPr>
      <w:r w:rsidRPr="002A1648">
        <w:rPr>
          <w:rFonts w:ascii="Arial" w:eastAsia="Times New Roman" w:hAnsi="Arial" w:cs="Arial"/>
          <w:b/>
          <w:sz w:val="24"/>
          <w:szCs w:val="24"/>
        </w:rPr>
        <w:t xml:space="preserve">Pokazatelj uspješnosti: </w:t>
      </w:r>
      <w:r w:rsidRPr="002A1648">
        <w:rPr>
          <w:rFonts w:ascii="Arial" w:eastAsia="Times New Roman" w:hAnsi="Arial" w:cs="Arial"/>
          <w:sz w:val="24"/>
          <w:szCs w:val="24"/>
        </w:rPr>
        <w:t>funkcioniranje sata tokom cijele godine.</w:t>
      </w:r>
    </w:p>
    <w:p w14:paraId="022DB3C4" w14:textId="77777777" w:rsidR="00E541EE" w:rsidRDefault="00E541EE" w:rsidP="00E541EE">
      <w:pPr>
        <w:jc w:val="both"/>
        <w:rPr>
          <w:rFonts w:ascii="Arial" w:eastAsia="Times New Roman" w:hAnsi="Arial" w:cs="Arial"/>
          <w:sz w:val="24"/>
          <w:szCs w:val="24"/>
        </w:rPr>
      </w:pPr>
    </w:p>
    <w:p w14:paraId="2E5614CF" w14:textId="77777777" w:rsidR="00E541EE" w:rsidRPr="002A1648" w:rsidRDefault="00E541EE" w:rsidP="00E541EE">
      <w:pPr>
        <w:pBdr>
          <w:top w:val="single" w:sz="4" w:space="1" w:color="auto"/>
          <w:left w:val="single" w:sz="4" w:space="4" w:color="auto"/>
          <w:bottom w:val="single" w:sz="4" w:space="1" w:color="auto"/>
          <w:right w:val="single" w:sz="4" w:space="4" w:color="auto"/>
        </w:pBdr>
        <w:shd w:val="clear" w:color="auto" w:fill="E9E9E9"/>
        <w:ind w:right="-1"/>
        <w:rPr>
          <w:rFonts w:ascii="Arial" w:eastAsia="Times New Roman" w:hAnsi="Arial" w:cs="Arial"/>
          <w:b/>
          <w:sz w:val="24"/>
          <w:szCs w:val="24"/>
        </w:rPr>
      </w:pPr>
      <w:r w:rsidRPr="002A1648">
        <w:rPr>
          <w:rFonts w:ascii="Arial" w:eastAsia="Times New Roman" w:hAnsi="Arial" w:cs="Arial"/>
          <w:b/>
          <w:sz w:val="24"/>
          <w:szCs w:val="24"/>
        </w:rPr>
        <w:t xml:space="preserve">T 101901: Jedinica prometne mladeži = </w:t>
      </w:r>
      <w:r>
        <w:rPr>
          <w:rFonts w:ascii="Arial" w:eastAsia="Times New Roman" w:hAnsi="Arial" w:cs="Arial"/>
          <w:b/>
          <w:sz w:val="24"/>
          <w:szCs w:val="24"/>
        </w:rPr>
        <w:t>7</w:t>
      </w:r>
      <w:r w:rsidRPr="002A1648">
        <w:rPr>
          <w:rFonts w:ascii="Arial" w:eastAsia="Times New Roman" w:hAnsi="Arial" w:cs="Arial"/>
          <w:b/>
          <w:sz w:val="24"/>
          <w:szCs w:val="24"/>
        </w:rPr>
        <w:t>.600,00 EUR</w:t>
      </w:r>
    </w:p>
    <w:p w14:paraId="3769224B" w14:textId="77777777" w:rsidR="00E541EE" w:rsidRPr="002A1648" w:rsidRDefault="00E541EE" w:rsidP="00E541EE">
      <w:pPr>
        <w:jc w:val="both"/>
        <w:rPr>
          <w:rFonts w:ascii="Arial" w:eastAsia="Times New Roman" w:hAnsi="Arial" w:cs="Arial"/>
          <w:b/>
          <w:sz w:val="24"/>
          <w:szCs w:val="24"/>
        </w:rPr>
      </w:pPr>
      <w:r w:rsidRPr="002A1648">
        <w:rPr>
          <w:rFonts w:ascii="Arial" w:eastAsia="Times New Roman" w:hAnsi="Arial" w:cs="Arial"/>
          <w:b/>
          <w:sz w:val="24"/>
          <w:szCs w:val="24"/>
        </w:rPr>
        <w:t>Zakonska osnova:</w:t>
      </w:r>
      <w:r w:rsidRPr="002A1648">
        <w:rPr>
          <w:rFonts w:ascii="Arial" w:eastAsia="Times New Roman" w:hAnsi="Arial" w:cs="Arial"/>
          <w:sz w:val="24"/>
          <w:szCs w:val="24"/>
        </w:rPr>
        <w:t xml:space="preserve"> Zakon o sigurnosti prometa na cestama.</w:t>
      </w:r>
    </w:p>
    <w:p w14:paraId="5755609A" w14:textId="77777777" w:rsidR="00E541EE" w:rsidRPr="002A1648" w:rsidRDefault="00E541EE" w:rsidP="00E541EE">
      <w:pPr>
        <w:jc w:val="both"/>
        <w:rPr>
          <w:rFonts w:ascii="Arial" w:eastAsia="Times New Roman" w:hAnsi="Arial" w:cs="Arial"/>
          <w:sz w:val="24"/>
          <w:szCs w:val="24"/>
        </w:rPr>
      </w:pPr>
      <w:r w:rsidRPr="002A1648">
        <w:rPr>
          <w:rFonts w:ascii="Arial" w:eastAsia="Times New Roman" w:hAnsi="Arial" w:cs="Arial"/>
          <w:b/>
          <w:sz w:val="24"/>
          <w:szCs w:val="24"/>
        </w:rPr>
        <w:t>Opis:</w:t>
      </w:r>
      <w:r w:rsidRPr="002A1648">
        <w:rPr>
          <w:rFonts w:ascii="Arial" w:eastAsia="Times New Roman" w:hAnsi="Arial" w:cs="Arial"/>
          <w:sz w:val="24"/>
          <w:szCs w:val="24"/>
        </w:rPr>
        <w:t xml:space="preserve"> osiguranje sigurnosti prometa na cestama i ostalim javnim površinama za vrijeme pojačanog prometa u turističkoj sezoni. Planira se angažirati jedinicu prometne mladeži.</w:t>
      </w:r>
    </w:p>
    <w:p w14:paraId="0167C71F" w14:textId="77777777" w:rsidR="00E541EE" w:rsidRPr="002A1648" w:rsidRDefault="00E541EE" w:rsidP="00E541EE">
      <w:pPr>
        <w:jc w:val="both"/>
        <w:rPr>
          <w:rFonts w:ascii="Arial" w:eastAsia="Times New Roman" w:hAnsi="Arial" w:cs="Arial"/>
          <w:sz w:val="24"/>
          <w:szCs w:val="24"/>
        </w:rPr>
      </w:pPr>
      <w:r w:rsidRPr="002A1648">
        <w:rPr>
          <w:rFonts w:ascii="Arial" w:eastAsia="Times New Roman" w:hAnsi="Arial" w:cs="Arial"/>
          <w:b/>
          <w:sz w:val="24"/>
          <w:szCs w:val="24"/>
        </w:rPr>
        <w:t xml:space="preserve">Opći cilj: </w:t>
      </w:r>
      <w:r w:rsidRPr="002A1648">
        <w:rPr>
          <w:rFonts w:ascii="Arial" w:eastAsia="Times New Roman" w:hAnsi="Arial" w:cs="Arial"/>
          <w:sz w:val="24"/>
          <w:szCs w:val="24"/>
        </w:rPr>
        <w:t>povećanje sigurnosti prometa na cestama za vrijeme pojačanog prometa u turističkoj sezoni.</w:t>
      </w:r>
    </w:p>
    <w:p w14:paraId="054E9535" w14:textId="77777777" w:rsidR="00E541EE" w:rsidRPr="002A1648" w:rsidRDefault="00E541EE" w:rsidP="00E541EE">
      <w:pPr>
        <w:jc w:val="both"/>
        <w:rPr>
          <w:rFonts w:ascii="Arial" w:eastAsia="Times New Roman" w:hAnsi="Arial" w:cs="Arial"/>
          <w:sz w:val="24"/>
          <w:szCs w:val="24"/>
        </w:rPr>
      </w:pPr>
      <w:r w:rsidRPr="002A1648">
        <w:rPr>
          <w:rFonts w:ascii="Arial" w:eastAsia="Times New Roman" w:hAnsi="Arial" w:cs="Arial"/>
          <w:b/>
          <w:sz w:val="24"/>
          <w:szCs w:val="24"/>
        </w:rPr>
        <w:t xml:space="preserve">Pokazatelj uspješnosti: </w:t>
      </w:r>
      <w:r w:rsidRPr="002A1648">
        <w:rPr>
          <w:rFonts w:ascii="Arial" w:eastAsia="Times New Roman" w:hAnsi="Arial" w:cs="Arial"/>
          <w:sz w:val="24"/>
          <w:szCs w:val="24"/>
        </w:rPr>
        <w:t>angažiranje</w:t>
      </w:r>
      <w:r w:rsidRPr="002A1648">
        <w:rPr>
          <w:rFonts w:ascii="Arial" w:eastAsia="Times New Roman" w:hAnsi="Arial" w:cs="Arial"/>
          <w:b/>
          <w:sz w:val="24"/>
          <w:szCs w:val="24"/>
        </w:rPr>
        <w:t xml:space="preserve"> </w:t>
      </w:r>
      <w:r w:rsidRPr="002A1648">
        <w:rPr>
          <w:rFonts w:ascii="Arial" w:eastAsia="Times New Roman" w:hAnsi="Arial" w:cs="Arial"/>
          <w:sz w:val="24"/>
          <w:szCs w:val="24"/>
        </w:rPr>
        <w:t>prometne mladeži.</w:t>
      </w:r>
    </w:p>
    <w:p w14:paraId="1FF8BB24" w14:textId="77777777" w:rsidR="00E541EE" w:rsidRPr="002A1648" w:rsidRDefault="00E541EE" w:rsidP="00E541EE">
      <w:pPr>
        <w:pBdr>
          <w:top w:val="single" w:sz="4" w:space="1" w:color="auto"/>
          <w:left w:val="single" w:sz="4" w:space="4" w:color="auto"/>
          <w:bottom w:val="single" w:sz="4" w:space="1" w:color="auto"/>
          <w:right w:val="single" w:sz="4" w:space="4" w:color="auto"/>
        </w:pBdr>
        <w:shd w:val="clear" w:color="auto" w:fill="E9E9E9"/>
        <w:ind w:right="-1"/>
        <w:rPr>
          <w:rFonts w:ascii="Arial" w:eastAsia="Times New Roman" w:hAnsi="Arial" w:cs="Arial"/>
          <w:b/>
          <w:sz w:val="24"/>
          <w:szCs w:val="24"/>
        </w:rPr>
      </w:pPr>
      <w:r w:rsidRPr="002A1648">
        <w:rPr>
          <w:rFonts w:ascii="Arial" w:eastAsia="Times New Roman" w:hAnsi="Arial" w:cs="Arial"/>
          <w:b/>
          <w:sz w:val="24"/>
          <w:szCs w:val="24"/>
        </w:rPr>
        <w:t>T 101903: Psihološke barijere na javnim gradskim plažama = 7.550,00 EUR</w:t>
      </w:r>
    </w:p>
    <w:p w14:paraId="24301245" w14:textId="77777777" w:rsidR="00E541EE" w:rsidRPr="002A1648" w:rsidRDefault="00E541EE" w:rsidP="00E541EE">
      <w:pPr>
        <w:jc w:val="both"/>
        <w:rPr>
          <w:rFonts w:ascii="Arial" w:eastAsia="Times New Roman" w:hAnsi="Arial" w:cs="Arial"/>
          <w:b/>
          <w:sz w:val="24"/>
          <w:szCs w:val="24"/>
        </w:rPr>
      </w:pPr>
      <w:r w:rsidRPr="002A1648">
        <w:rPr>
          <w:rFonts w:ascii="Arial" w:eastAsia="Times New Roman" w:hAnsi="Arial" w:cs="Arial"/>
          <w:b/>
          <w:sz w:val="24"/>
          <w:szCs w:val="24"/>
        </w:rPr>
        <w:t xml:space="preserve">Zakonska osnova: </w:t>
      </w:r>
      <w:r w:rsidRPr="002A1648">
        <w:rPr>
          <w:rFonts w:ascii="Arial" w:eastAsia="Times New Roman" w:hAnsi="Arial" w:cs="Arial"/>
          <w:sz w:val="24"/>
          <w:szCs w:val="24"/>
        </w:rPr>
        <w:t>Naredba Lučke kapetanije, Zakon o komunalnom gospodarstvu.</w:t>
      </w:r>
    </w:p>
    <w:p w14:paraId="6339B1C3" w14:textId="77777777" w:rsidR="00E541EE" w:rsidRPr="00244022" w:rsidRDefault="00E541EE" w:rsidP="00E541EE">
      <w:pPr>
        <w:jc w:val="both"/>
        <w:rPr>
          <w:rFonts w:ascii="Arial" w:eastAsia="Times New Roman" w:hAnsi="Arial" w:cs="Arial"/>
          <w:sz w:val="24"/>
          <w:szCs w:val="24"/>
        </w:rPr>
      </w:pPr>
      <w:r w:rsidRPr="002A1648">
        <w:rPr>
          <w:rFonts w:ascii="Arial" w:eastAsia="Times New Roman" w:hAnsi="Arial" w:cs="Arial"/>
          <w:b/>
          <w:sz w:val="24"/>
          <w:szCs w:val="24"/>
        </w:rPr>
        <w:t xml:space="preserve">Opis: </w:t>
      </w:r>
      <w:r w:rsidRPr="002A1648">
        <w:rPr>
          <w:rFonts w:ascii="Arial" w:eastAsia="Times New Roman" w:hAnsi="Arial" w:cs="Arial"/>
          <w:sz w:val="24"/>
          <w:szCs w:val="24"/>
        </w:rPr>
        <w:t>postavljanje, održavanje i uklanjanje psiholoških barijera na gradskim plažama sve sukladno naredbi Lučke kapetanije radi sigurnosti kupača.</w:t>
      </w:r>
      <w:r>
        <w:rPr>
          <w:rFonts w:ascii="Arial" w:eastAsia="Times New Roman" w:hAnsi="Arial" w:cs="Arial"/>
          <w:sz w:val="24"/>
          <w:szCs w:val="24"/>
        </w:rPr>
        <w:t xml:space="preserve"> </w:t>
      </w:r>
      <w:r w:rsidRPr="00244022">
        <w:rPr>
          <w:rFonts w:ascii="Arial" w:eastAsia="Times New Roman" w:hAnsi="Arial" w:cs="Arial"/>
          <w:sz w:val="24"/>
          <w:szCs w:val="24"/>
        </w:rPr>
        <w:t>Barijere se postavljaju na 10 lokacija.</w:t>
      </w:r>
    </w:p>
    <w:p w14:paraId="376577BB" w14:textId="77777777" w:rsidR="00E541EE" w:rsidRPr="002A1648" w:rsidRDefault="00E541EE" w:rsidP="00E541EE">
      <w:pPr>
        <w:jc w:val="both"/>
        <w:rPr>
          <w:rFonts w:ascii="Arial" w:eastAsia="Times New Roman" w:hAnsi="Arial" w:cs="Arial"/>
          <w:sz w:val="24"/>
          <w:szCs w:val="24"/>
        </w:rPr>
      </w:pPr>
      <w:r w:rsidRPr="002A1648">
        <w:rPr>
          <w:rFonts w:ascii="Arial" w:eastAsia="Times New Roman" w:hAnsi="Arial" w:cs="Arial"/>
          <w:b/>
          <w:sz w:val="24"/>
          <w:szCs w:val="24"/>
        </w:rPr>
        <w:t>Opći cilj:</w:t>
      </w:r>
      <w:r w:rsidRPr="002A1648">
        <w:rPr>
          <w:rFonts w:ascii="Times New Roman" w:eastAsia="Times New Roman" w:hAnsi="Times New Roman" w:cs="Times New Roman"/>
          <w:sz w:val="24"/>
          <w:lang w:val="sl-SI"/>
        </w:rPr>
        <w:t xml:space="preserve"> </w:t>
      </w:r>
      <w:r w:rsidRPr="002A1648">
        <w:rPr>
          <w:rFonts w:ascii="Arial" w:eastAsia="Times New Roman" w:hAnsi="Arial" w:cs="Arial"/>
          <w:sz w:val="24"/>
          <w:szCs w:val="24"/>
        </w:rPr>
        <w:t>sigurnost kupača na gradskim plažama.</w:t>
      </w:r>
    </w:p>
    <w:p w14:paraId="4AAF1E5E" w14:textId="77777777" w:rsidR="00E541EE" w:rsidRPr="002A1648" w:rsidRDefault="00E541EE" w:rsidP="00E541EE">
      <w:pPr>
        <w:jc w:val="both"/>
        <w:rPr>
          <w:rFonts w:ascii="Arial" w:eastAsia="Times New Roman" w:hAnsi="Arial" w:cs="Arial"/>
          <w:sz w:val="24"/>
          <w:szCs w:val="24"/>
        </w:rPr>
      </w:pPr>
      <w:r w:rsidRPr="002A1648">
        <w:rPr>
          <w:rFonts w:ascii="Arial" w:eastAsia="Times New Roman" w:hAnsi="Arial" w:cs="Arial"/>
          <w:b/>
          <w:sz w:val="24"/>
          <w:szCs w:val="24"/>
        </w:rPr>
        <w:t xml:space="preserve">Pokazatelj uspješnosti: </w:t>
      </w:r>
      <w:r w:rsidRPr="002A1648">
        <w:rPr>
          <w:rFonts w:ascii="Arial" w:eastAsia="Times New Roman" w:hAnsi="Arial" w:cs="Arial"/>
          <w:sz w:val="24"/>
          <w:szCs w:val="24"/>
        </w:rPr>
        <w:t>izvršenje ugovorenog posla.</w:t>
      </w:r>
    </w:p>
    <w:p w14:paraId="3B2CE965" w14:textId="77777777" w:rsidR="00E541EE" w:rsidRPr="00447D66" w:rsidRDefault="00E541EE" w:rsidP="00E541EE">
      <w:pPr>
        <w:jc w:val="both"/>
        <w:rPr>
          <w:rFonts w:ascii="Arial" w:eastAsia="Times New Roman" w:hAnsi="Arial" w:cs="Arial"/>
          <w:b/>
          <w:color w:val="AEAAAA" w:themeColor="background2" w:themeShade="BF"/>
          <w:sz w:val="24"/>
          <w:szCs w:val="24"/>
        </w:rPr>
      </w:pPr>
    </w:p>
    <w:p w14:paraId="45029B16" w14:textId="77777777" w:rsidR="00E541EE" w:rsidRPr="002A1648" w:rsidRDefault="00E541EE" w:rsidP="00E541EE">
      <w:pPr>
        <w:pBdr>
          <w:top w:val="single" w:sz="4" w:space="1" w:color="auto"/>
          <w:left w:val="single" w:sz="4" w:space="4" w:color="auto"/>
          <w:bottom w:val="single" w:sz="4" w:space="1" w:color="auto"/>
          <w:right w:val="single" w:sz="4" w:space="4" w:color="auto"/>
        </w:pBdr>
        <w:shd w:val="clear" w:color="auto" w:fill="E9E9E9"/>
        <w:ind w:right="-1"/>
        <w:rPr>
          <w:rFonts w:ascii="Arial" w:eastAsia="Times New Roman" w:hAnsi="Arial" w:cs="Arial"/>
          <w:b/>
          <w:sz w:val="24"/>
          <w:szCs w:val="24"/>
        </w:rPr>
      </w:pPr>
      <w:r w:rsidRPr="002A1648">
        <w:rPr>
          <w:rFonts w:ascii="Arial" w:eastAsia="Times New Roman" w:hAnsi="Arial" w:cs="Arial"/>
          <w:b/>
          <w:sz w:val="24"/>
          <w:szCs w:val="24"/>
        </w:rPr>
        <w:t>T 101904: Usluge identifikacije i konzaltinga = 2.550,00 EUR</w:t>
      </w:r>
    </w:p>
    <w:p w14:paraId="10047B34" w14:textId="77777777" w:rsidR="00E541EE" w:rsidRPr="002A1648" w:rsidRDefault="00E541EE" w:rsidP="00E541EE">
      <w:pPr>
        <w:jc w:val="both"/>
        <w:rPr>
          <w:rFonts w:ascii="Arial" w:eastAsia="Times New Roman" w:hAnsi="Arial" w:cs="Arial"/>
          <w:b/>
          <w:sz w:val="24"/>
          <w:szCs w:val="24"/>
        </w:rPr>
      </w:pPr>
      <w:r w:rsidRPr="002A1648">
        <w:rPr>
          <w:rFonts w:ascii="Arial" w:eastAsia="Times New Roman" w:hAnsi="Arial" w:cs="Arial"/>
          <w:b/>
          <w:sz w:val="24"/>
          <w:szCs w:val="24"/>
        </w:rPr>
        <w:t>Zakonska osnova:</w:t>
      </w:r>
      <w:r w:rsidRPr="002A1648">
        <w:rPr>
          <w:rFonts w:ascii="Arial" w:eastAsia="Times New Roman" w:hAnsi="Arial" w:cs="Arial"/>
          <w:sz w:val="24"/>
          <w:szCs w:val="24"/>
        </w:rPr>
        <w:t xml:space="preserve"> Zakon o komunalnom gospodarstvu.</w:t>
      </w:r>
    </w:p>
    <w:p w14:paraId="16F73610" w14:textId="77777777" w:rsidR="00E541EE" w:rsidRPr="002A1648" w:rsidRDefault="00E541EE" w:rsidP="00E541EE">
      <w:pPr>
        <w:jc w:val="both"/>
        <w:rPr>
          <w:rFonts w:ascii="Arial" w:eastAsia="Times New Roman" w:hAnsi="Arial" w:cs="Arial"/>
          <w:sz w:val="24"/>
          <w:szCs w:val="24"/>
        </w:rPr>
      </w:pPr>
      <w:r w:rsidRPr="002A1648">
        <w:rPr>
          <w:rFonts w:ascii="Arial" w:eastAsia="Times New Roman" w:hAnsi="Arial" w:cs="Arial"/>
          <w:b/>
          <w:sz w:val="24"/>
          <w:szCs w:val="24"/>
        </w:rPr>
        <w:t xml:space="preserve">Opis: </w:t>
      </w:r>
      <w:r w:rsidRPr="002A1648">
        <w:rPr>
          <w:rFonts w:ascii="Arial" w:eastAsia="Times New Roman" w:hAnsi="Arial" w:cs="Arial"/>
          <w:sz w:val="24"/>
          <w:szCs w:val="24"/>
        </w:rPr>
        <w:t>usluge konzaltinga, identifikacije parcela i sl. za potrebe rada službe.</w:t>
      </w:r>
    </w:p>
    <w:p w14:paraId="24E1B1D2" w14:textId="77777777" w:rsidR="00E541EE" w:rsidRPr="002A1648" w:rsidRDefault="00E541EE" w:rsidP="00E541EE">
      <w:pPr>
        <w:jc w:val="both"/>
        <w:rPr>
          <w:rFonts w:ascii="Arial" w:eastAsia="Times New Roman" w:hAnsi="Arial" w:cs="Arial"/>
          <w:sz w:val="24"/>
          <w:szCs w:val="24"/>
        </w:rPr>
      </w:pPr>
      <w:r w:rsidRPr="002A1648">
        <w:rPr>
          <w:rFonts w:ascii="Arial" w:eastAsia="Times New Roman" w:hAnsi="Arial" w:cs="Arial"/>
          <w:b/>
          <w:sz w:val="24"/>
          <w:szCs w:val="24"/>
        </w:rPr>
        <w:t xml:space="preserve">Opći cilj: </w:t>
      </w:r>
      <w:r w:rsidRPr="002A1648">
        <w:rPr>
          <w:rFonts w:ascii="Arial" w:eastAsia="Times New Roman" w:hAnsi="Arial" w:cs="Arial"/>
          <w:sz w:val="24"/>
          <w:szCs w:val="24"/>
        </w:rPr>
        <w:t>stručna pomoć pri obavljanju poslova</w:t>
      </w:r>
      <w:r w:rsidRPr="002A1648">
        <w:rPr>
          <w:rFonts w:ascii="Arial" w:eastAsia="Times New Roman" w:hAnsi="Arial" w:cs="Arial"/>
          <w:b/>
          <w:sz w:val="24"/>
          <w:szCs w:val="24"/>
        </w:rPr>
        <w:t>.</w:t>
      </w:r>
    </w:p>
    <w:p w14:paraId="016F8D00" w14:textId="77777777" w:rsidR="00E541EE" w:rsidRDefault="00E541EE" w:rsidP="00E541EE">
      <w:pPr>
        <w:jc w:val="both"/>
        <w:rPr>
          <w:rFonts w:ascii="Arial" w:eastAsia="Times New Roman" w:hAnsi="Arial" w:cs="Arial"/>
          <w:sz w:val="24"/>
          <w:szCs w:val="24"/>
        </w:rPr>
      </w:pPr>
      <w:r w:rsidRPr="002A1648">
        <w:rPr>
          <w:rFonts w:ascii="Arial" w:eastAsia="Times New Roman" w:hAnsi="Arial" w:cs="Arial"/>
          <w:b/>
          <w:sz w:val="24"/>
          <w:szCs w:val="24"/>
        </w:rPr>
        <w:t xml:space="preserve">Pokazatelj uspješnosti: </w:t>
      </w:r>
      <w:r w:rsidRPr="002A1648">
        <w:rPr>
          <w:rFonts w:ascii="Arial" w:eastAsia="Times New Roman" w:hAnsi="Arial" w:cs="Arial"/>
          <w:sz w:val="24"/>
          <w:szCs w:val="24"/>
        </w:rPr>
        <w:t>izvršenje ugovorenih poslova.</w:t>
      </w:r>
    </w:p>
    <w:p w14:paraId="2F80E5F5" w14:textId="77777777" w:rsidR="00E541EE" w:rsidRPr="006D6E95" w:rsidRDefault="00E541EE" w:rsidP="00E541EE">
      <w:pPr>
        <w:jc w:val="both"/>
        <w:rPr>
          <w:rFonts w:ascii="Arial" w:eastAsia="Times New Roman" w:hAnsi="Arial" w:cs="Arial"/>
          <w:b/>
          <w:sz w:val="24"/>
          <w:szCs w:val="24"/>
        </w:rPr>
      </w:pPr>
    </w:p>
    <w:p w14:paraId="7F02C13E" w14:textId="77777777" w:rsidR="00E541EE" w:rsidRPr="002A1648" w:rsidRDefault="00E541EE" w:rsidP="00E541EE">
      <w:pPr>
        <w:pBdr>
          <w:top w:val="single" w:sz="4" w:space="1" w:color="auto"/>
          <w:left w:val="single" w:sz="4" w:space="4" w:color="auto"/>
          <w:bottom w:val="single" w:sz="4" w:space="1" w:color="auto"/>
          <w:right w:val="single" w:sz="4" w:space="4" w:color="auto"/>
        </w:pBdr>
        <w:shd w:val="clear" w:color="auto" w:fill="E9E9E9"/>
        <w:ind w:right="-1"/>
        <w:rPr>
          <w:rFonts w:ascii="Arial" w:eastAsia="Times New Roman" w:hAnsi="Arial" w:cs="Arial"/>
          <w:b/>
          <w:sz w:val="24"/>
          <w:szCs w:val="24"/>
        </w:rPr>
      </w:pPr>
      <w:r w:rsidRPr="002A1648">
        <w:rPr>
          <w:rFonts w:ascii="Arial" w:eastAsia="Times New Roman" w:hAnsi="Arial" w:cs="Arial"/>
          <w:b/>
          <w:sz w:val="24"/>
          <w:szCs w:val="24"/>
        </w:rPr>
        <w:t>T 101905: Učešće u troškovima grobne naknade i ukopa - po posebnim odlukama = 700,00 EUR</w:t>
      </w:r>
    </w:p>
    <w:p w14:paraId="27BC59AE" w14:textId="77777777" w:rsidR="00E541EE" w:rsidRPr="002A1648" w:rsidRDefault="00E541EE" w:rsidP="00E541EE">
      <w:pPr>
        <w:jc w:val="both"/>
        <w:rPr>
          <w:rFonts w:ascii="Arial" w:eastAsia="Times New Roman" w:hAnsi="Arial" w:cs="Arial"/>
          <w:sz w:val="24"/>
          <w:szCs w:val="24"/>
        </w:rPr>
      </w:pPr>
      <w:r w:rsidRPr="002A1648">
        <w:rPr>
          <w:rFonts w:ascii="Arial" w:eastAsia="Times New Roman" w:hAnsi="Arial" w:cs="Arial"/>
          <w:b/>
          <w:sz w:val="24"/>
          <w:szCs w:val="24"/>
        </w:rPr>
        <w:t xml:space="preserve">Zakonska osnova: </w:t>
      </w:r>
      <w:r w:rsidRPr="002A1648">
        <w:rPr>
          <w:rFonts w:ascii="Arial" w:eastAsia="Times New Roman" w:hAnsi="Arial" w:cs="Arial"/>
          <w:sz w:val="24"/>
          <w:szCs w:val="24"/>
        </w:rPr>
        <w:t>Zakon o komunalnom gospodarstvu, Odluka o upravljanju grobljem.</w:t>
      </w:r>
    </w:p>
    <w:p w14:paraId="7FC92486" w14:textId="77777777" w:rsidR="00E541EE" w:rsidRPr="002A1648" w:rsidRDefault="00E541EE" w:rsidP="00E541EE">
      <w:pPr>
        <w:jc w:val="both"/>
        <w:rPr>
          <w:rFonts w:ascii="Arial" w:eastAsia="Times New Roman" w:hAnsi="Arial" w:cs="Arial"/>
          <w:sz w:val="24"/>
          <w:szCs w:val="24"/>
        </w:rPr>
      </w:pPr>
      <w:r w:rsidRPr="002A1648">
        <w:rPr>
          <w:rFonts w:ascii="Arial" w:eastAsia="Times New Roman" w:hAnsi="Arial" w:cs="Arial"/>
          <w:b/>
          <w:sz w:val="24"/>
          <w:szCs w:val="24"/>
        </w:rPr>
        <w:t xml:space="preserve">Opis: </w:t>
      </w:r>
      <w:r w:rsidRPr="002A1648">
        <w:rPr>
          <w:rFonts w:ascii="Arial" w:eastAsia="Times New Roman" w:hAnsi="Arial" w:cs="Arial"/>
          <w:sz w:val="24"/>
          <w:szCs w:val="24"/>
        </w:rPr>
        <w:t>subvencioniranje godišnje grobne naknade i ukopa sukladno gradskoj Odluci o upravljanju grobljem.</w:t>
      </w:r>
    </w:p>
    <w:p w14:paraId="628B3159" w14:textId="77777777" w:rsidR="00E541EE" w:rsidRPr="002A1648" w:rsidRDefault="00E541EE" w:rsidP="00E541EE">
      <w:pPr>
        <w:jc w:val="both"/>
        <w:rPr>
          <w:rFonts w:ascii="Arial" w:eastAsia="Times New Roman" w:hAnsi="Arial" w:cs="Arial"/>
          <w:b/>
          <w:sz w:val="24"/>
          <w:szCs w:val="24"/>
        </w:rPr>
      </w:pPr>
      <w:r w:rsidRPr="002A1648">
        <w:rPr>
          <w:rFonts w:ascii="Arial" w:eastAsia="Times New Roman" w:hAnsi="Arial" w:cs="Arial"/>
          <w:b/>
          <w:sz w:val="24"/>
          <w:szCs w:val="24"/>
        </w:rPr>
        <w:t xml:space="preserve">Opći cilj: </w:t>
      </w:r>
      <w:r w:rsidRPr="002A1648">
        <w:rPr>
          <w:rFonts w:ascii="Arial" w:eastAsia="Times New Roman" w:hAnsi="Arial" w:cs="Arial"/>
          <w:sz w:val="24"/>
          <w:szCs w:val="24"/>
        </w:rPr>
        <w:t>dodatna</w:t>
      </w:r>
      <w:r w:rsidRPr="002A1648">
        <w:rPr>
          <w:rFonts w:ascii="Arial" w:eastAsia="Times New Roman" w:hAnsi="Arial" w:cs="Arial"/>
          <w:b/>
          <w:sz w:val="24"/>
          <w:szCs w:val="24"/>
        </w:rPr>
        <w:t xml:space="preserve"> </w:t>
      </w:r>
      <w:r w:rsidRPr="002A1648">
        <w:rPr>
          <w:rFonts w:ascii="Arial" w:eastAsia="Times New Roman" w:hAnsi="Arial" w:cs="Arial"/>
          <w:sz w:val="24"/>
          <w:szCs w:val="24"/>
        </w:rPr>
        <w:t>pomoć korisnicima socijalne pomoći.</w:t>
      </w:r>
    </w:p>
    <w:p w14:paraId="10F1092A" w14:textId="77777777" w:rsidR="00E541EE" w:rsidRPr="002A1648" w:rsidRDefault="00E541EE" w:rsidP="00E541EE">
      <w:pPr>
        <w:jc w:val="both"/>
        <w:rPr>
          <w:rFonts w:ascii="Arial" w:eastAsia="Times New Roman" w:hAnsi="Arial" w:cs="Arial"/>
          <w:b/>
          <w:sz w:val="24"/>
          <w:szCs w:val="24"/>
        </w:rPr>
      </w:pPr>
      <w:r w:rsidRPr="002A1648">
        <w:rPr>
          <w:rFonts w:ascii="Arial" w:eastAsia="Times New Roman" w:hAnsi="Arial" w:cs="Arial"/>
          <w:b/>
          <w:sz w:val="24"/>
          <w:szCs w:val="24"/>
        </w:rPr>
        <w:t xml:space="preserve">Pokazatelj uspješnosti: </w:t>
      </w:r>
      <w:r w:rsidRPr="002A1648">
        <w:rPr>
          <w:rFonts w:ascii="Arial" w:eastAsia="Times New Roman" w:hAnsi="Arial" w:cs="Arial"/>
          <w:sz w:val="24"/>
          <w:szCs w:val="24"/>
        </w:rPr>
        <w:t>subvencioniranje korisnika.</w:t>
      </w:r>
    </w:p>
    <w:p w14:paraId="09F93DF8" w14:textId="77777777" w:rsidR="00E541EE" w:rsidRPr="00447D66" w:rsidRDefault="00E541EE" w:rsidP="00E541EE">
      <w:pPr>
        <w:jc w:val="both"/>
        <w:rPr>
          <w:rFonts w:ascii="Arial" w:eastAsia="Times New Roman" w:hAnsi="Arial" w:cs="Arial"/>
          <w:color w:val="AEAAAA" w:themeColor="background2" w:themeShade="BF"/>
          <w:sz w:val="24"/>
          <w:szCs w:val="24"/>
        </w:rPr>
      </w:pPr>
    </w:p>
    <w:p w14:paraId="39CAFEED" w14:textId="77777777" w:rsidR="00E541EE" w:rsidRPr="002A1648" w:rsidRDefault="00E541EE" w:rsidP="00E541EE">
      <w:pPr>
        <w:pBdr>
          <w:top w:val="single" w:sz="4" w:space="1" w:color="auto"/>
          <w:left w:val="single" w:sz="4" w:space="4" w:color="auto"/>
          <w:bottom w:val="single" w:sz="4" w:space="1" w:color="auto"/>
          <w:right w:val="single" w:sz="4" w:space="4" w:color="auto"/>
        </w:pBdr>
        <w:shd w:val="clear" w:color="auto" w:fill="E9E9E9"/>
        <w:ind w:right="-1"/>
        <w:rPr>
          <w:rFonts w:ascii="Arial" w:eastAsia="Times New Roman" w:hAnsi="Arial" w:cs="Arial"/>
          <w:b/>
          <w:sz w:val="24"/>
          <w:szCs w:val="24"/>
        </w:rPr>
      </w:pPr>
      <w:r w:rsidRPr="002A1648">
        <w:rPr>
          <w:rFonts w:ascii="Arial" w:eastAsia="Times New Roman" w:hAnsi="Arial" w:cs="Arial"/>
          <w:b/>
          <w:sz w:val="24"/>
          <w:szCs w:val="24"/>
        </w:rPr>
        <w:t>T 101906: Prijevoz pokojnika = 700,00 EUR</w:t>
      </w:r>
    </w:p>
    <w:p w14:paraId="3BA2ADE7" w14:textId="77777777" w:rsidR="00E541EE" w:rsidRPr="002A1648" w:rsidRDefault="00E541EE" w:rsidP="00E541EE">
      <w:pPr>
        <w:jc w:val="both"/>
        <w:rPr>
          <w:rFonts w:ascii="Arial" w:eastAsia="Times New Roman" w:hAnsi="Arial" w:cs="Arial"/>
          <w:sz w:val="24"/>
          <w:szCs w:val="24"/>
        </w:rPr>
      </w:pPr>
      <w:r w:rsidRPr="002A1648">
        <w:rPr>
          <w:rFonts w:ascii="Arial" w:eastAsia="Times New Roman" w:hAnsi="Arial" w:cs="Arial"/>
          <w:b/>
          <w:sz w:val="24"/>
          <w:szCs w:val="24"/>
        </w:rPr>
        <w:t xml:space="preserve">Zakonska osnova: </w:t>
      </w:r>
      <w:r w:rsidRPr="002A1648">
        <w:rPr>
          <w:rFonts w:ascii="Arial" w:eastAsia="Times New Roman" w:hAnsi="Arial" w:cs="Arial"/>
          <w:sz w:val="24"/>
          <w:szCs w:val="24"/>
        </w:rPr>
        <w:t>Zakon o pogrebničkoj djelatnosti.</w:t>
      </w:r>
    </w:p>
    <w:p w14:paraId="6AF64EA8" w14:textId="77777777" w:rsidR="00E541EE" w:rsidRPr="002A1648" w:rsidRDefault="00E541EE" w:rsidP="00E541EE">
      <w:pPr>
        <w:jc w:val="both"/>
        <w:rPr>
          <w:rFonts w:ascii="Arial" w:eastAsia="Times New Roman" w:hAnsi="Arial" w:cs="Arial"/>
          <w:sz w:val="24"/>
          <w:szCs w:val="24"/>
        </w:rPr>
      </w:pPr>
      <w:r w:rsidRPr="002A1648">
        <w:rPr>
          <w:rFonts w:ascii="Arial" w:eastAsia="Times New Roman" w:hAnsi="Arial" w:cs="Arial"/>
          <w:b/>
          <w:sz w:val="24"/>
          <w:szCs w:val="24"/>
        </w:rPr>
        <w:t>Opis:</w:t>
      </w:r>
      <w:r w:rsidRPr="002A1648">
        <w:rPr>
          <w:rFonts w:ascii="Arial" w:eastAsia="Times New Roman" w:hAnsi="Arial" w:cs="Arial"/>
          <w:sz w:val="24"/>
          <w:szCs w:val="24"/>
        </w:rPr>
        <w:t xml:space="preserve"> obavljanje djelatnosti preuzimanja i prijevoza umrle osobe ili posmrtnih ostataka od mjesta smrti na području Grada Rovinja-Rovigno do nadležne patologije ili sudske medicine, za koje nije moguće utvrditi uzrok smrti bez obdukcije.</w:t>
      </w:r>
    </w:p>
    <w:p w14:paraId="063477C6" w14:textId="77777777" w:rsidR="00E541EE" w:rsidRPr="002A1648" w:rsidRDefault="00E541EE" w:rsidP="00E541EE">
      <w:pPr>
        <w:jc w:val="both"/>
        <w:rPr>
          <w:rFonts w:ascii="Arial" w:eastAsia="Times New Roman" w:hAnsi="Arial" w:cs="Arial"/>
          <w:b/>
          <w:sz w:val="24"/>
          <w:szCs w:val="24"/>
        </w:rPr>
      </w:pPr>
      <w:r w:rsidRPr="002A1648">
        <w:rPr>
          <w:rFonts w:ascii="Arial" w:eastAsia="Times New Roman" w:hAnsi="Arial" w:cs="Arial"/>
          <w:b/>
          <w:sz w:val="24"/>
          <w:szCs w:val="24"/>
        </w:rPr>
        <w:t xml:space="preserve">Opći cilj: </w:t>
      </w:r>
      <w:r w:rsidRPr="002A1648">
        <w:rPr>
          <w:rFonts w:ascii="Arial" w:eastAsia="Times New Roman" w:hAnsi="Arial" w:cs="Arial"/>
          <w:sz w:val="24"/>
          <w:szCs w:val="24"/>
        </w:rPr>
        <w:t>osiguranje neophodne usluge prijevoza.</w:t>
      </w:r>
    </w:p>
    <w:p w14:paraId="25E39A68" w14:textId="77777777" w:rsidR="00E541EE" w:rsidRDefault="00E541EE" w:rsidP="00E541EE">
      <w:pPr>
        <w:jc w:val="both"/>
        <w:rPr>
          <w:rFonts w:ascii="Arial" w:eastAsia="Times New Roman" w:hAnsi="Arial" w:cs="Arial"/>
          <w:sz w:val="24"/>
          <w:szCs w:val="24"/>
        </w:rPr>
      </w:pPr>
      <w:r w:rsidRPr="002A1648">
        <w:rPr>
          <w:rFonts w:ascii="Arial" w:eastAsia="Times New Roman" w:hAnsi="Arial" w:cs="Arial"/>
          <w:b/>
          <w:sz w:val="24"/>
          <w:szCs w:val="24"/>
        </w:rPr>
        <w:t xml:space="preserve">Pokazatelj uspješnosti: </w:t>
      </w:r>
      <w:r w:rsidRPr="002A1648">
        <w:rPr>
          <w:rFonts w:ascii="Arial" w:eastAsia="Times New Roman" w:hAnsi="Arial" w:cs="Arial"/>
          <w:sz w:val="24"/>
          <w:szCs w:val="24"/>
        </w:rPr>
        <w:t>obavljanje djelatnosti prijevoza prema potrebama.</w:t>
      </w:r>
    </w:p>
    <w:p w14:paraId="27A75974" w14:textId="77777777" w:rsidR="00E541EE" w:rsidRPr="00A15FBC" w:rsidRDefault="00E541EE" w:rsidP="00E541EE">
      <w:pPr>
        <w:jc w:val="both"/>
        <w:rPr>
          <w:rFonts w:ascii="Arial" w:eastAsia="Times New Roman" w:hAnsi="Arial" w:cs="Arial"/>
          <w:b/>
          <w:sz w:val="24"/>
          <w:szCs w:val="24"/>
        </w:rPr>
      </w:pPr>
    </w:p>
    <w:p w14:paraId="5A1F9087" w14:textId="77777777" w:rsidR="00E541EE" w:rsidRPr="002A1648" w:rsidRDefault="00E541EE" w:rsidP="00E541EE">
      <w:pPr>
        <w:pBdr>
          <w:top w:val="single" w:sz="4" w:space="1" w:color="auto"/>
          <w:left w:val="single" w:sz="4" w:space="4" w:color="auto"/>
          <w:bottom w:val="single" w:sz="4" w:space="1" w:color="auto"/>
          <w:right w:val="single" w:sz="4" w:space="4" w:color="auto"/>
        </w:pBdr>
        <w:shd w:val="clear" w:color="auto" w:fill="E9E9E9"/>
        <w:ind w:right="-1"/>
        <w:rPr>
          <w:rFonts w:ascii="Arial" w:eastAsia="Times New Roman" w:hAnsi="Arial" w:cs="Arial"/>
          <w:b/>
          <w:sz w:val="24"/>
          <w:szCs w:val="24"/>
        </w:rPr>
      </w:pPr>
      <w:r w:rsidRPr="002A1648">
        <w:rPr>
          <w:rFonts w:ascii="Arial" w:eastAsia="Times New Roman" w:hAnsi="Arial" w:cs="Arial"/>
          <w:b/>
          <w:sz w:val="24"/>
          <w:szCs w:val="24"/>
        </w:rPr>
        <w:t xml:space="preserve">T 101907: Praćenje kakvoće mora na plažama = </w:t>
      </w:r>
      <w:r>
        <w:rPr>
          <w:rFonts w:ascii="Arial" w:eastAsia="Times New Roman" w:hAnsi="Arial" w:cs="Arial"/>
          <w:b/>
          <w:sz w:val="24"/>
          <w:szCs w:val="24"/>
        </w:rPr>
        <w:t>11</w:t>
      </w:r>
      <w:r w:rsidRPr="002A1648">
        <w:rPr>
          <w:rFonts w:ascii="Arial" w:eastAsia="Times New Roman" w:hAnsi="Arial" w:cs="Arial"/>
          <w:b/>
          <w:sz w:val="24"/>
          <w:szCs w:val="24"/>
        </w:rPr>
        <w:t>.</w:t>
      </w:r>
      <w:r>
        <w:rPr>
          <w:rFonts w:ascii="Arial" w:eastAsia="Times New Roman" w:hAnsi="Arial" w:cs="Arial"/>
          <w:b/>
          <w:sz w:val="24"/>
          <w:szCs w:val="24"/>
        </w:rPr>
        <w:t>5</w:t>
      </w:r>
      <w:r w:rsidRPr="002A1648">
        <w:rPr>
          <w:rFonts w:ascii="Arial" w:eastAsia="Times New Roman" w:hAnsi="Arial" w:cs="Arial"/>
          <w:b/>
          <w:sz w:val="24"/>
          <w:szCs w:val="24"/>
        </w:rPr>
        <w:t>00,00 EUR</w:t>
      </w:r>
    </w:p>
    <w:p w14:paraId="07F87FA3" w14:textId="77777777" w:rsidR="00E541EE" w:rsidRPr="002A1648" w:rsidRDefault="00E541EE" w:rsidP="00E541EE">
      <w:pPr>
        <w:jc w:val="both"/>
        <w:rPr>
          <w:rFonts w:ascii="Arial" w:eastAsia="Times New Roman" w:hAnsi="Arial" w:cs="Arial"/>
          <w:b/>
          <w:sz w:val="24"/>
          <w:szCs w:val="24"/>
        </w:rPr>
      </w:pPr>
      <w:r w:rsidRPr="002A1648">
        <w:rPr>
          <w:rFonts w:ascii="Arial" w:eastAsia="Times New Roman" w:hAnsi="Arial" w:cs="Arial"/>
          <w:b/>
          <w:sz w:val="24"/>
          <w:szCs w:val="24"/>
        </w:rPr>
        <w:t xml:space="preserve">Zakonska osnova: </w:t>
      </w:r>
      <w:r w:rsidRPr="002A1648">
        <w:rPr>
          <w:rFonts w:ascii="Arial" w:eastAsia="Times New Roman" w:hAnsi="Arial" w:cs="Arial"/>
          <w:sz w:val="24"/>
          <w:szCs w:val="24"/>
        </w:rPr>
        <w:t>Zakon o zaštiti okoliša, Uredbe o kakvoći mora za kupanje.</w:t>
      </w:r>
    </w:p>
    <w:p w14:paraId="6345359A" w14:textId="77777777" w:rsidR="00E541EE" w:rsidRPr="00244022" w:rsidRDefault="00E541EE" w:rsidP="00E541EE">
      <w:pPr>
        <w:jc w:val="both"/>
        <w:rPr>
          <w:rFonts w:ascii="Arial" w:eastAsia="Times New Roman" w:hAnsi="Arial" w:cs="Arial"/>
          <w:sz w:val="24"/>
          <w:szCs w:val="24"/>
        </w:rPr>
      </w:pPr>
      <w:r w:rsidRPr="002A1648">
        <w:rPr>
          <w:rFonts w:ascii="Arial" w:eastAsia="Times New Roman" w:hAnsi="Arial" w:cs="Arial"/>
          <w:b/>
          <w:sz w:val="24"/>
          <w:szCs w:val="24"/>
        </w:rPr>
        <w:t>Opis:</w:t>
      </w:r>
      <w:r w:rsidRPr="002A1648">
        <w:rPr>
          <w:rFonts w:ascii="Arial" w:eastAsia="Times New Roman" w:hAnsi="Arial" w:cs="Arial"/>
          <w:sz w:val="24"/>
          <w:szCs w:val="24"/>
        </w:rPr>
        <w:t xml:space="preserve"> temeljem Uredbe o kakvoći mora za kupanje potrebno je provoditi ispitivanja kakvoće mora za kupanje na plažama sukladno planu Istarske županije. Poslove obavlja ovlaštena osoba, a sastoje se od: uzorkovanja, praćenja drugih značajki kakvoće mora, laboratorijske analize uzoraka, ocjene rezultata dobivenih uzorkovanjem te izrada izvješća i izrada profila mora za kupanje.</w:t>
      </w:r>
      <w:r w:rsidRPr="00244022">
        <w:rPr>
          <w:rFonts w:ascii="Arial" w:eastAsia="Times New Roman" w:hAnsi="Arial" w:cs="Arial"/>
          <w:sz w:val="24"/>
          <w:szCs w:val="24"/>
        </w:rPr>
        <w:t xml:space="preserve"> Ispitivanje se vrši na 13 lokacija.</w:t>
      </w:r>
    </w:p>
    <w:p w14:paraId="71264749" w14:textId="77777777" w:rsidR="00E541EE" w:rsidRPr="002A1648" w:rsidRDefault="00E541EE" w:rsidP="00E541EE">
      <w:pPr>
        <w:jc w:val="both"/>
        <w:rPr>
          <w:rFonts w:ascii="Arial" w:eastAsia="Times New Roman" w:hAnsi="Arial" w:cs="Arial"/>
          <w:sz w:val="24"/>
          <w:szCs w:val="24"/>
        </w:rPr>
      </w:pPr>
    </w:p>
    <w:p w14:paraId="64899C66" w14:textId="77777777" w:rsidR="00E541EE" w:rsidRPr="002A1648" w:rsidRDefault="00E541EE" w:rsidP="00E541EE">
      <w:pPr>
        <w:jc w:val="both"/>
        <w:rPr>
          <w:rFonts w:ascii="Arial" w:eastAsia="Times New Roman" w:hAnsi="Arial" w:cs="Arial"/>
          <w:sz w:val="24"/>
          <w:szCs w:val="24"/>
        </w:rPr>
      </w:pPr>
      <w:r w:rsidRPr="002A1648">
        <w:rPr>
          <w:rFonts w:ascii="Arial" w:eastAsia="Times New Roman" w:hAnsi="Arial" w:cs="Arial"/>
          <w:b/>
          <w:sz w:val="24"/>
          <w:szCs w:val="24"/>
        </w:rPr>
        <w:t xml:space="preserve">Opći cilj: </w:t>
      </w:r>
      <w:r w:rsidRPr="002A1648">
        <w:rPr>
          <w:rFonts w:ascii="Arial" w:eastAsia="Times New Roman" w:hAnsi="Arial" w:cs="Arial"/>
          <w:sz w:val="24"/>
          <w:szCs w:val="24"/>
        </w:rPr>
        <w:t>praćenje i ocjena kakvoće mora za kupanje.</w:t>
      </w:r>
    </w:p>
    <w:p w14:paraId="0E41F004" w14:textId="77777777" w:rsidR="00E541EE" w:rsidRPr="002A1648" w:rsidRDefault="00E541EE" w:rsidP="00E541EE">
      <w:pPr>
        <w:jc w:val="both"/>
        <w:rPr>
          <w:rFonts w:ascii="Arial" w:eastAsia="Times New Roman" w:hAnsi="Arial" w:cs="Arial"/>
          <w:b/>
          <w:sz w:val="24"/>
          <w:szCs w:val="24"/>
        </w:rPr>
      </w:pPr>
      <w:r w:rsidRPr="002A1648">
        <w:rPr>
          <w:rFonts w:ascii="Arial" w:eastAsia="Times New Roman" w:hAnsi="Arial" w:cs="Arial"/>
          <w:b/>
          <w:sz w:val="24"/>
          <w:szCs w:val="24"/>
        </w:rPr>
        <w:t xml:space="preserve">Pokazatelj uspješnosti: </w:t>
      </w:r>
      <w:r w:rsidRPr="002A1648">
        <w:rPr>
          <w:rFonts w:ascii="Arial" w:eastAsia="Times New Roman" w:hAnsi="Arial" w:cs="Arial"/>
          <w:sz w:val="24"/>
          <w:szCs w:val="24"/>
        </w:rPr>
        <w:t>provođenje ispitivanja kakvoće mora za kupanje.</w:t>
      </w:r>
    </w:p>
    <w:p w14:paraId="12A17FB4" w14:textId="77777777" w:rsidR="00E541EE" w:rsidRPr="00447D66" w:rsidRDefault="00E541EE" w:rsidP="00E541EE">
      <w:pPr>
        <w:jc w:val="both"/>
        <w:rPr>
          <w:rFonts w:ascii="Arial" w:eastAsia="Times New Roman" w:hAnsi="Arial" w:cs="Arial"/>
          <w:color w:val="AEAAAA" w:themeColor="background2" w:themeShade="BF"/>
          <w:sz w:val="24"/>
          <w:szCs w:val="24"/>
          <w:highlight w:val="lightGray"/>
        </w:rPr>
      </w:pPr>
    </w:p>
    <w:p w14:paraId="58ACE359" w14:textId="77777777" w:rsidR="00E541EE" w:rsidRPr="002A1648" w:rsidRDefault="00E541EE" w:rsidP="00E541EE">
      <w:pPr>
        <w:pBdr>
          <w:top w:val="single" w:sz="4" w:space="1" w:color="auto"/>
          <w:left w:val="single" w:sz="4" w:space="4" w:color="auto"/>
          <w:bottom w:val="single" w:sz="4" w:space="1" w:color="auto"/>
          <w:right w:val="single" w:sz="4" w:space="4" w:color="auto"/>
        </w:pBdr>
        <w:shd w:val="clear" w:color="auto" w:fill="E9E9E9"/>
        <w:ind w:right="-1"/>
        <w:rPr>
          <w:rFonts w:ascii="Arial" w:eastAsia="Times New Roman" w:hAnsi="Arial" w:cs="Arial"/>
          <w:b/>
          <w:sz w:val="24"/>
          <w:szCs w:val="24"/>
        </w:rPr>
      </w:pPr>
      <w:r w:rsidRPr="002A1648">
        <w:rPr>
          <w:rFonts w:ascii="Arial" w:eastAsia="Times New Roman" w:hAnsi="Arial" w:cs="Arial"/>
          <w:b/>
          <w:sz w:val="24"/>
          <w:szCs w:val="24"/>
        </w:rPr>
        <w:t xml:space="preserve">T 101908: Izvanredne usluge za potrebe rada upravnog odjela = </w:t>
      </w:r>
      <w:r>
        <w:rPr>
          <w:rFonts w:ascii="Arial" w:eastAsia="Times New Roman" w:hAnsi="Arial" w:cs="Arial"/>
          <w:b/>
          <w:sz w:val="24"/>
          <w:szCs w:val="24"/>
        </w:rPr>
        <w:t>2</w:t>
      </w:r>
      <w:r w:rsidRPr="002A1648">
        <w:rPr>
          <w:rFonts w:ascii="Arial" w:eastAsia="Times New Roman" w:hAnsi="Arial" w:cs="Arial"/>
          <w:b/>
          <w:sz w:val="24"/>
          <w:szCs w:val="24"/>
        </w:rPr>
        <w:t>.</w:t>
      </w:r>
      <w:r>
        <w:rPr>
          <w:rFonts w:ascii="Arial" w:eastAsia="Times New Roman" w:hAnsi="Arial" w:cs="Arial"/>
          <w:b/>
          <w:sz w:val="24"/>
          <w:szCs w:val="24"/>
        </w:rPr>
        <w:t>00</w:t>
      </w:r>
      <w:r w:rsidRPr="002A1648">
        <w:rPr>
          <w:rFonts w:ascii="Arial" w:eastAsia="Times New Roman" w:hAnsi="Arial" w:cs="Arial"/>
          <w:b/>
          <w:sz w:val="24"/>
          <w:szCs w:val="24"/>
        </w:rPr>
        <w:t>0,00 EUR</w:t>
      </w:r>
    </w:p>
    <w:p w14:paraId="7B9AA7B1" w14:textId="77777777" w:rsidR="00E541EE" w:rsidRPr="002A1648" w:rsidRDefault="00E541EE" w:rsidP="00E541EE">
      <w:pPr>
        <w:jc w:val="both"/>
        <w:rPr>
          <w:rFonts w:ascii="Arial" w:eastAsia="Times New Roman" w:hAnsi="Arial" w:cs="Arial"/>
          <w:sz w:val="24"/>
          <w:szCs w:val="24"/>
        </w:rPr>
      </w:pPr>
      <w:r w:rsidRPr="002A1648">
        <w:rPr>
          <w:rFonts w:ascii="Arial" w:eastAsia="Times New Roman" w:hAnsi="Arial" w:cs="Arial"/>
          <w:b/>
          <w:sz w:val="24"/>
          <w:szCs w:val="24"/>
        </w:rPr>
        <w:t xml:space="preserve">Zakonska osnova: </w:t>
      </w:r>
      <w:r w:rsidRPr="002A1648">
        <w:rPr>
          <w:rFonts w:ascii="Arial" w:eastAsia="Times New Roman" w:hAnsi="Arial" w:cs="Arial"/>
          <w:sz w:val="24"/>
          <w:szCs w:val="24"/>
        </w:rPr>
        <w:t>Zakon o komunalnom gospodarstvu.</w:t>
      </w:r>
    </w:p>
    <w:p w14:paraId="772033BF" w14:textId="77777777" w:rsidR="00E541EE" w:rsidRPr="002A1648" w:rsidRDefault="00E541EE" w:rsidP="00E541EE">
      <w:pPr>
        <w:jc w:val="both"/>
        <w:rPr>
          <w:rFonts w:ascii="Arial" w:eastAsia="Times New Roman" w:hAnsi="Arial" w:cs="Arial"/>
          <w:sz w:val="24"/>
          <w:szCs w:val="24"/>
        </w:rPr>
      </w:pPr>
      <w:r w:rsidRPr="002A1648">
        <w:rPr>
          <w:rFonts w:ascii="Arial" w:eastAsia="Times New Roman" w:hAnsi="Arial" w:cs="Arial"/>
          <w:b/>
          <w:sz w:val="24"/>
          <w:szCs w:val="24"/>
        </w:rPr>
        <w:t>Opis:</w:t>
      </w:r>
      <w:r w:rsidRPr="002A1648">
        <w:rPr>
          <w:rFonts w:ascii="Arial" w:eastAsia="Times New Roman" w:hAnsi="Arial" w:cs="Arial"/>
          <w:sz w:val="24"/>
          <w:szCs w:val="24"/>
        </w:rPr>
        <w:t xml:space="preserve"> ostale izvanredne usluge za potrebe rada odjela (najam bine, najam wc-a, izrada projekata i idejnih rješenja, priključci električne energije, prijevoz i dr.).</w:t>
      </w:r>
    </w:p>
    <w:p w14:paraId="296E2FBB" w14:textId="77777777" w:rsidR="00E541EE" w:rsidRPr="002A1648" w:rsidRDefault="00E541EE" w:rsidP="00E541EE">
      <w:pPr>
        <w:jc w:val="both"/>
        <w:rPr>
          <w:rFonts w:ascii="Arial" w:eastAsia="Times New Roman" w:hAnsi="Arial" w:cs="Arial"/>
          <w:sz w:val="24"/>
          <w:szCs w:val="24"/>
        </w:rPr>
      </w:pPr>
      <w:r w:rsidRPr="002A1648">
        <w:rPr>
          <w:rFonts w:ascii="Arial" w:eastAsia="Times New Roman" w:hAnsi="Arial" w:cs="Arial"/>
          <w:b/>
          <w:sz w:val="24"/>
          <w:szCs w:val="24"/>
        </w:rPr>
        <w:t xml:space="preserve">Opći cilj: </w:t>
      </w:r>
      <w:r w:rsidRPr="002A1648">
        <w:rPr>
          <w:rFonts w:ascii="Arial" w:eastAsia="Times New Roman" w:hAnsi="Arial" w:cs="Arial"/>
          <w:sz w:val="24"/>
          <w:szCs w:val="24"/>
        </w:rPr>
        <w:t>nabava usluga za kvalitetno izvršenje pojedinačnih zadataka.</w:t>
      </w:r>
    </w:p>
    <w:p w14:paraId="0329F0D4" w14:textId="77777777" w:rsidR="00E541EE" w:rsidRDefault="00E541EE" w:rsidP="00E541EE">
      <w:pPr>
        <w:jc w:val="both"/>
        <w:rPr>
          <w:rFonts w:ascii="Arial" w:eastAsia="Times New Roman" w:hAnsi="Arial" w:cs="Arial"/>
          <w:sz w:val="24"/>
          <w:szCs w:val="24"/>
        </w:rPr>
      </w:pPr>
      <w:r w:rsidRPr="002A1648">
        <w:rPr>
          <w:rFonts w:ascii="Arial" w:eastAsia="Times New Roman" w:hAnsi="Arial" w:cs="Arial"/>
          <w:b/>
          <w:sz w:val="24"/>
          <w:szCs w:val="24"/>
        </w:rPr>
        <w:t>Pokazatelj uspješnosti:</w:t>
      </w:r>
      <w:r w:rsidRPr="002A1648">
        <w:rPr>
          <w:rFonts w:ascii="Arial" w:eastAsia="Times New Roman" w:hAnsi="Arial" w:cs="Arial"/>
          <w:sz w:val="24"/>
          <w:szCs w:val="24"/>
        </w:rPr>
        <w:t xml:space="preserve"> izvršenje ugovorenih poslova.</w:t>
      </w:r>
    </w:p>
    <w:p w14:paraId="1E162FAF" w14:textId="77777777" w:rsidR="00220805" w:rsidRDefault="00220805" w:rsidP="00E541EE">
      <w:pPr>
        <w:jc w:val="both"/>
        <w:rPr>
          <w:rFonts w:ascii="Arial" w:eastAsia="Times New Roman" w:hAnsi="Arial" w:cs="Arial"/>
          <w:sz w:val="24"/>
          <w:szCs w:val="24"/>
        </w:rPr>
      </w:pPr>
    </w:p>
    <w:p w14:paraId="2D7366AD" w14:textId="084B0BD2" w:rsidR="00220805" w:rsidRPr="00220805" w:rsidRDefault="00220805" w:rsidP="00220805">
      <w:pPr>
        <w:pBdr>
          <w:top w:val="single" w:sz="4" w:space="1" w:color="auto"/>
          <w:left w:val="single" w:sz="4" w:space="4" w:color="auto"/>
          <w:bottom w:val="single" w:sz="4" w:space="1" w:color="auto"/>
          <w:right w:val="single" w:sz="4" w:space="4" w:color="auto"/>
        </w:pBdr>
        <w:shd w:val="clear" w:color="auto" w:fill="E9E9E9"/>
        <w:ind w:right="-1"/>
        <w:rPr>
          <w:rFonts w:ascii="Arial" w:eastAsia="Times New Roman" w:hAnsi="Arial" w:cs="Arial"/>
          <w:b/>
          <w:sz w:val="24"/>
          <w:szCs w:val="24"/>
        </w:rPr>
      </w:pPr>
      <w:r w:rsidRPr="00220805">
        <w:rPr>
          <w:rFonts w:ascii="Arial" w:eastAsia="Times New Roman" w:hAnsi="Arial" w:cs="Arial"/>
          <w:b/>
          <w:sz w:val="24"/>
          <w:szCs w:val="24"/>
        </w:rPr>
        <w:t>T 10190</w:t>
      </w:r>
      <w:r>
        <w:rPr>
          <w:rFonts w:ascii="Arial" w:eastAsia="Times New Roman" w:hAnsi="Arial" w:cs="Arial"/>
          <w:b/>
          <w:sz w:val="24"/>
          <w:szCs w:val="24"/>
        </w:rPr>
        <w:t>9</w:t>
      </w:r>
      <w:r w:rsidRPr="00220805">
        <w:rPr>
          <w:rFonts w:ascii="Arial" w:eastAsia="Times New Roman" w:hAnsi="Arial" w:cs="Arial"/>
          <w:b/>
          <w:sz w:val="24"/>
          <w:szCs w:val="24"/>
        </w:rPr>
        <w:t>: Učešće u troškovima sakupljanja i odvoza otpada - po posebnim odlukama = 1.950,00 EUR</w:t>
      </w:r>
    </w:p>
    <w:p w14:paraId="3F36C45A" w14:textId="77777777" w:rsidR="00220805" w:rsidRPr="00220805" w:rsidRDefault="00220805" w:rsidP="00220805">
      <w:pPr>
        <w:jc w:val="both"/>
        <w:rPr>
          <w:rFonts w:ascii="Arial" w:eastAsia="Times New Roman" w:hAnsi="Arial" w:cs="Arial"/>
          <w:sz w:val="24"/>
          <w:szCs w:val="24"/>
        </w:rPr>
      </w:pPr>
      <w:r w:rsidRPr="00220805">
        <w:rPr>
          <w:rFonts w:ascii="Arial" w:eastAsia="Times New Roman" w:hAnsi="Arial" w:cs="Arial"/>
          <w:b/>
          <w:sz w:val="24"/>
          <w:szCs w:val="24"/>
        </w:rPr>
        <w:t xml:space="preserve">Zakonska osnova: </w:t>
      </w:r>
      <w:r w:rsidRPr="00220805">
        <w:rPr>
          <w:rFonts w:ascii="Arial" w:eastAsia="Times New Roman" w:hAnsi="Arial" w:cs="Arial"/>
          <w:sz w:val="24"/>
          <w:szCs w:val="24"/>
        </w:rPr>
        <w:t>Zakon o gospodarenju otpadom</w:t>
      </w:r>
    </w:p>
    <w:p w14:paraId="331791CE" w14:textId="77777777" w:rsidR="00220805" w:rsidRPr="00220805" w:rsidRDefault="00220805" w:rsidP="00220805">
      <w:pPr>
        <w:jc w:val="both"/>
        <w:rPr>
          <w:rFonts w:ascii="Arial" w:eastAsia="Times New Roman" w:hAnsi="Arial" w:cs="Arial"/>
          <w:sz w:val="24"/>
          <w:szCs w:val="24"/>
        </w:rPr>
      </w:pPr>
      <w:r w:rsidRPr="00220805">
        <w:rPr>
          <w:rFonts w:ascii="Arial" w:eastAsia="Times New Roman" w:hAnsi="Arial" w:cs="Arial"/>
          <w:b/>
          <w:sz w:val="24"/>
          <w:szCs w:val="24"/>
        </w:rPr>
        <w:t xml:space="preserve">Opis: </w:t>
      </w:r>
      <w:r w:rsidRPr="00220805">
        <w:rPr>
          <w:rFonts w:ascii="Arial" w:eastAsia="Times New Roman" w:hAnsi="Arial" w:cs="Arial"/>
          <w:sz w:val="24"/>
          <w:szCs w:val="24"/>
        </w:rPr>
        <w:t>subvencioniranje javne usluge za korisnike socijalne skrbi koji sukladno važećim propisima o socijalnoj skrbi odnosno važećoj Odluci o socijalnoj skrbi ostvaruju pravo na naknadu za troškove stanovanja.</w:t>
      </w:r>
    </w:p>
    <w:p w14:paraId="2A414EE6" w14:textId="77777777" w:rsidR="00220805" w:rsidRPr="00220805" w:rsidRDefault="00220805" w:rsidP="00220805">
      <w:pPr>
        <w:jc w:val="both"/>
        <w:rPr>
          <w:rFonts w:ascii="Arial" w:eastAsia="Times New Roman" w:hAnsi="Arial" w:cs="Arial"/>
          <w:b/>
          <w:sz w:val="24"/>
          <w:szCs w:val="24"/>
        </w:rPr>
      </w:pPr>
      <w:r w:rsidRPr="00220805">
        <w:rPr>
          <w:rFonts w:ascii="Arial" w:eastAsia="Times New Roman" w:hAnsi="Arial" w:cs="Arial"/>
          <w:b/>
          <w:sz w:val="24"/>
          <w:szCs w:val="24"/>
        </w:rPr>
        <w:t xml:space="preserve">Opći cilj: </w:t>
      </w:r>
      <w:r w:rsidRPr="00220805">
        <w:rPr>
          <w:rFonts w:ascii="Arial" w:eastAsia="Times New Roman" w:hAnsi="Arial" w:cs="Arial"/>
          <w:sz w:val="24"/>
          <w:szCs w:val="24"/>
        </w:rPr>
        <w:t>dodatna</w:t>
      </w:r>
      <w:r w:rsidRPr="00220805">
        <w:rPr>
          <w:rFonts w:ascii="Arial" w:eastAsia="Times New Roman" w:hAnsi="Arial" w:cs="Arial"/>
          <w:b/>
          <w:sz w:val="24"/>
          <w:szCs w:val="24"/>
        </w:rPr>
        <w:t xml:space="preserve"> </w:t>
      </w:r>
      <w:r w:rsidRPr="00220805">
        <w:rPr>
          <w:rFonts w:ascii="Arial" w:eastAsia="Times New Roman" w:hAnsi="Arial" w:cs="Arial"/>
          <w:sz w:val="24"/>
          <w:szCs w:val="24"/>
        </w:rPr>
        <w:t>pomoć korisnicima socijalne pomoći.</w:t>
      </w:r>
    </w:p>
    <w:p w14:paraId="267C96D6" w14:textId="77777777" w:rsidR="00220805" w:rsidRPr="002A1648" w:rsidRDefault="00220805" w:rsidP="00220805">
      <w:pPr>
        <w:jc w:val="both"/>
        <w:rPr>
          <w:rFonts w:ascii="Arial" w:eastAsia="Times New Roman" w:hAnsi="Arial" w:cs="Arial"/>
          <w:b/>
          <w:sz w:val="24"/>
          <w:szCs w:val="24"/>
        </w:rPr>
      </w:pPr>
      <w:r w:rsidRPr="00220805">
        <w:rPr>
          <w:rFonts w:ascii="Arial" w:eastAsia="Times New Roman" w:hAnsi="Arial" w:cs="Arial"/>
          <w:b/>
          <w:sz w:val="24"/>
          <w:szCs w:val="24"/>
        </w:rPr>
        <w:t xml:space="preserve">Pokazatelj uspješnosti: </w:t>
      </w:r>
      <w:r w:rsidRPr="00220805">
        <w:rPr>
          <w:rFonts w:ascii="Arial" w:eastAsia="Times New Roman" w:hAnsi="Arial" w:cs="Arial"/>
          <w:sz w:val="24"/>
          <w:szCs w:val="24"/>
        </w:rPr>
        <w:t>subvencioniranje svih korisnika koji ostvaruju pravo.</w:t>
      </w:r>
    </w:p>
    <w:p w14:paraId="54F3F10D" w14:textId="77777777" w:rsidR="00220805" w:rsidRPr="002A1648" w:rsidRDefault="00220805" w:rsidP="00E541EE">
      <w:pPr>
        <w:jc w:val="both"/>
        <w:rPr>
          <w:rFonts w:ascii="Arial" w:eastAsia="Times New Roman" w:hAnsi="Arial" w:cs="Arial"/>
          <w:sz w:val="24"/>
          <w:szCs w:val="24"/>
        </w:rPr>
      </w:pPr>
    </w:p>
    <w:p w14:paraId="7B08AAF6" w14:textId="77777777" w:rsidR="00E541EE" w:rsidRPr="00447D66" w:rsidRDefault="00E541EE" w:rsidP="00E541EE">
      <w:pPr>
        <w:jc w:val="both"/>
        <w:rPr>
          <w:rFonts w:ascii="Arial" w:eastAsia="Times New Roman" w:hAnsi="Arial" w:cs="Arial"/>
          <w:color w:val="AEAAAA" w:themeColor="background2" w:themeShade="BF"/>
          <w:sz w:val="24"/>
          <w:szCs w:val="24"/>
          <w:highlight w:val="lightGray"/>
        </w:rPr>
      </w:pPr>
    </w:p>
    <w:p w14:paraId="1693972F" w14:textId="77777777" w:rsidR="00E541EE" w:rsidRPr="002A1648" w:rsidRDefault="00E541EE" w:rsidP="00E541EE">
      <w:pPr>
        <w:pBdr>
          <w:top w:val="single" w:sz="4" w:space="1" w:color="auto"/>
          <w:left w:val="single" w:sz="4" w:space="4" w:color="auto"/>
          <w:bottom w:val="single" w:sz="4" w:space="0" w:color="auto"/>
          <w:right w:val="single" w:sz="4" w:space="4" w:color="auto"/>
        </w:pBdr>
        <w:shd w:val="clear" w:color="auto" w:fill="FFFF80"/>
        <w:jc w:val="both"/>
        <w:rPr>
          <w:rFonts w:ascii="Arial" w:eastAsia="Times New Roman" w:hAnsi="Arial" w:cs="Arial"/>
          <w:b/>
          <w:sz w:val="24"/>
          <w:szCs w:val="24"/>
        </w:rPr>
      </w:pPr>
      <w:r w:rsidRPr="002A1648">
        <w:rPr>
          <w:rFonts w:ascii="Arial" w:eastAsia="Times New Roman" w:hAnsi="Arial" w:cs="Arial"/>
          <w:b/>
          <w:sz w:val="24"/>
          <w:szCs w:val="24"/>
        </w:rPr>
        <w:t xml:space="preserve">Program 1020: Javna rasvjeta = </w:t>
      </w:r>
      <w:r>
        <w:rPr>
          <w:rFonts w:ascii="Arial" w:eastAsia="Times New Roman" w:hAnsi="Arial" w:cs="Arial"/>
          <w:b/>
          <w:sz w:val="24"/>
          <w:szCs w:val="24"/>
        </w:rPr>
        <w:t>435</w:t>
      </w:r>
      <w:r w:rsidRPr="002A1648">
        <w:rPr>
          <w:rFonts w:ascii="Arial" w:eastAsia="Times New Roman" w:hAnsi="Arial" w:cs="Arial"/>
          <w:b/>
          <w:sz w:val="24"/>
          <w:szCs w:val="24"/>
        </w:rPr>
        <w:t>.</w:t>
      </w:r>
      <w:r>
        <w:rPr>
          <w:rFonts w:ascii="Arial" w:eastAsia="Times New Roman" w:hAnsi="Arial" w:cs="Arial"/>
          <w:b/>
          <w:sz w:val="24"/>
          <w:szCs w:val="24"/>
        </w:rPr>
        <w:t>800</w:t>
      </w:r>
      <w:r w:rsidRPr="002A1648">
        <w:rPr>
          <w:rFonts w:ascii="Arial" w:eastAsia="Times New Roman" w:hAnsi="Arial" w:cs="Arial"/>
          <w:b/>
          <w:sz w:val="24"/>
          <w:szCs w:val="24"/>
        </w:rPr>
        <w:t>,00 EUR</w:t>
      </w:r>
    </w:p>
    <w:p w14:paraId="371B9B33" w14:textId="77777777" w:rsidR="00E541EE" w:rsidRDefault="00E541EE" w:rsidP="00E541EE">
      <w:pPr>
        <w:jc w:val="both"/>
        <w:rPr>
          <w:rFonts w:ascii="Arial" w:eastAsia="Times New Roman" w:hAnsi="Arial" w:cs="Arial"/>
          <w:color w:val="FF0000"/>
          <w:sz w:val="24"/>
          <w:szCs w:val="24"/>
        </w:rPr>
      </w:pPr>
    </w:p>
    <w:p w14:paraId="391DC50D" w14:textId="77777777" w:rsidR="00E541EE" w:rsidRPr="002A1648" w:rsidRDefault="00E541EE" w:rsidP="00E541EE">
      <w:pPr>
        <w:pBdr>
          <w:top w:val="single" w:sz="4" w:space="1" w:color="auto"/>
          <w:left w:val="single" w:sz="4" w:space="4" w:color="auto"/>
          <w:bottom w:val="single" w:sz="4" w:space="1" w:color="auto"/>
          <w:right w:val="single" w:sz="4" w:space="4" w:color="auto"/>
        </w:pBdr>
        <w:shd w:val="clear" w:color="auto" w:fill="E9E9E9"/>
        <w:ind w:right="-1"/>
        <w:rPr>
          <w:rFonts w:ascii="Arial" w:eastAsia="Times New Roman" w:hAnsi="Arial" w:cs="Arial"/>
          <w:b/>
          <w:sz w:val="24"/>
          <w:szCs w:val="24"/>
        </w:rPr>
      </w:pPr>
      <w:r w:rsidRPr="002A1648">
        <w:rPr>
          <w:rFonts w:ascii="Arial" w:eastAsia="Times New Roman" w:hAnsi="Arial" w:cs="Arial"/>
          <w:b/>
          <w:sz w:val="24"/>
          <w:szCs w:val="24"/>
        </w:rPr>
        <w:t xml:space="preserve">A 102004: Dekorativna javna rasvjeta  = </w:t>
      </w:r>
      <w:r>
        <w:rPr>
          <w:rFonts w:ascii="Arial" w:eastAsia="Times New Roman" w:hAnsi="Arial" w:cs="Arial"/>
          <w:b/>
          <w:sz w:val="24"/>
          <w:szCs w:val="24"/>
        </w:rPr>
        <w:t>40</w:t>
      </w:r>
      <w:r w:rsidRPr="002A1648">
        <w:rPr>
          <w:rFonts w:ascii="Arial" w:eastAsia="Times New Roman" w:hAnsi="Arial" w:cs="Arial"/>
          <w:b/>
          <w:sz w:val="24"/>
          <w:szCs w:val="24"/>
        </w:rPr>
        <w:t>.</w:t>
      </w:r>
      <w:r>
        <w:rPr>
          <w:rFonts w:ascii="Arial" w:eastAsia="Times New Roman" w:hAnsi="Arial" w:cs="Arial"/>
          <w:b/>
          <w:sz w:val="24"/>
          <w:szCs w:val="24"/>
        </w:rPr>
        <w:t>2</w:t>
      </w:r>
      <w:r w:rsidRPr="002A1648">
        <w:rPr>
          <w:rFonts w:ascii="Arial" w:eastAsia="Times New Roman" w:hAnsi="Arial" w:cs="Arial"/>
          <w:b/>
          <w:sz w:val="24"/>
          <w:szCs w:val="24"/>
        </w:rPr>
        <w:t>50,00 EUR</w:t>
      </w:r>
    </w:p>
    <w:p w14:paraId="461D4F2D" w14:textId="77777777" w:rsidR="00E541EE" w:rsidRPr="002A1648" w:rsidRDefault="00E541EE" w:rsidP="00E541EE">
      <w:pPr>
        <w:jc w:val="both"/>
        <w:rPr>
          <w:rFonts w:ascii="Arial" w:eastAsia="Times New Roman" w:hAnsi="Arial" w:cs="Arial"/>
          <w:sz w:val="24"/>
          <w:szCs w:val="24"/>
        </w:rPr>
      </w:pPr>
      <w:r w:rsidRPr="002A1648">
        <w:rPr>
          <w:rFonts w:ascii="Arial" w:eastAsia="Times New Roman" w:hAnsi="Arial" w:cs="Arial"/>
          <w:b/>
          <w:sz w:val="24"/>
          <w:szCs w:val="24"/>
        </w:rPr>
        <w:t xml:space="preserve">Zakonska osnova: </w:t>
      </w:r>
      <w:r w:rsidRPr="002A1648">
        <w:rPr>
          <w:rFonts w:ascii="Arial" w:eastAsia="Times New Roman" w:hAnsi="Arial" w:cs="Arial"/>
          <w:sz w:val="24"/>
          <w:szCs w:val="24"/>
        </w:rPr>
        <w:t>Zakon o komunalnom gospodarstvu, Odluka o komunalnim djelatnostima.</w:t>
      </w:r>
    </w:p>
    <w:p w14:paraId="6D7347D0" w14:textId="77777777" w:rsidR="00E541EE" w:rsidRPr="00244022" w:rsidRDefault="00E541EE" w:rsidP="00E541EE">
      <w:pPr>
        <w:jc w:val="both"/>
        <w:rPr>
          <w:rFonts w:ascii="Arial" w:eastAsia="Times New Roman" w:hAnsi="Arial" w:cs="Arial"/>
          <w:sz w:val="24"/>
          <w:szCs w:val="24"/>
        </w:rPr>
      </w:pPr>
      <w:r w:rsidRPr="002A1648">
        <w:rPr>
          <w:rFonts w:ascii="Arial" w:eastAsia="Times New Roman" w:hAnsi="Arial" w:cs="Arial"/>
          <w:b/>
          <w:sz w:val="24"/>
          <w:szCs w:val="24"/>
        </w:rPr>
        <w:t xml:space="preserve">Opis: </w:t>
      </w:r>
      <w:r w:rsidRPr="002A1648">
        <w:rPr>
          <w:rFonts w:ascii="Arial" w:eastAsia="Times New Roman" w:hAnsi="Arial" w:cs="Arial"/>
          <w:sz w:val="24"/>
          <w:szCs w:val="24"/>
        </w:rPr>
        <w:t>obavljanje komunalne djelatnosti dekorativne javne rasvjete</w:t>
      </w:r>
      <w:r>
        <w:rPr>
          <w:rFonts w:ascii="Arial" w:eastAsia="Times New Roman" w:hAnsi="Arial" w:cs="Arial"/>
          <w:sz w:val="24"/>
          <w:szCs w:val="24"/>
        </w:rPr>
        <w:t xml:space="preserve">, </w:t>
      </w:r>
      <w:r w:rsidRPr="00244022">
        <w:rPr>
          <w:rFonts w:ascii="Arial" w:eastAsia="Times New Roman" w:hAnsi="Arial" w:cs="Arial"/>
          <w:sz w:val="24"/>
          <w:szCs w:val="24"/>
        </w:rPr>
        <w:t>pregled postojećih dekoracija, popravci, montaža i uključivanje, demontaža.</w:t>
      </w:r>
    </w:p>
    <w:p w14:paraId="7A96E7ED" w14:textId="77777777" w:rsidR="00E541EE" w:rsidRPr="002A1648" w:rsidRDefault="00E541EE" w:rsidP="00E541EE">
      <w:pPr>
        <w:jc w:val="both"/>
        <w:rPr>
          <w:rFonts w:ascii="Arial" w:eastAsia="Times New Roman" w:hAnsi="Arial" w:cs="Arial"/>
          <w:sz w:val="24"/>
          <w:szCs w:val="24"/>
        </w:rPr>
      </w:pPr>
      <w:r w:rsidRPr="002A1648">
        <w:rPr>
          <w:rFonts w:ascii="Arial" w:eastAsia="Times New Roman" w:hAnsi="Arial" w:cs="Arial"/>
          <w:b/>
          <w:sz w:val="24"/>
          <w:szCs w:val="24"/>
        </w:rPr>
        <w:t xml:space="preserve">Opći cilj: </w:t>
      </w:r>
      <w:r w:rsidRPr="002A1648">
        <w:rPr>
          <w:rFonts w:ascii="Arial" w:eastAsia="Times New Roman" w:hAnsi="Arial" w:cs="Arial"/>
          <w:sz w:val="24"/>
          <w:szCs w:val="24"/>
        </w:rPr>
        <w:t>prigodno rasvjetljavanje grada povodom božićno - novogodišnjih blagdana.</w:t>
      </w:r>
    </w:p>
    <w:p w14:paraId="0A4C688F" w14:textId="77777777" w:rsidR="00E541EE" w:rsidRPr="00244022" w:rsidRDefault="00E541EE" w:rsidP="00E541EE">
      <w:pPr>
        <w:jc w:val="both"/>
        <w:rPr>
          <w:rFonts w:ascii="Arial" w:eastAsia="Times New Roman" w:hAnsi="Arial" w:cs="Arial"/>
          <w:sz w:val="24"/>
          <w:szCs w:val="24"/>
        </w:rPr>
      </w:pPr>
      <w:r w:rsidRPr="002A1648">
        <w:rPr>
          <w:rFonts w:ascii="Arial" w:eastAsia="Times New Roman" w:hAnsi="Arial" w:cs="Arial"/>
          <w:b/>
          <w:sz w:val="24"/>
          <w:szCs w:val="24"/>
        </w:rPr>
        <w:t>Pokazatelj uspješnosti:</w:t>
      </w:r>
      <w:r w:rsidRPr="002A1648">
        <w:rPr>
          <w:rFonts w:ascii="Arial" w:eastAsia="Times New Roman" w:hAnsi="Arial" w:cs="Arial"/>
          <w:sz w:val="24"/>
          <w:szCs w:val="24"/>
        </w:rPr>
        <w:t xml:space="preserve"> prigodno ukrašavanje prema planu </w:t>
      </w:r>
      <w:r>
        <w:rPr>
          <w:rFonts w:ascii="Arial" w:eastAsia="Times New Roman" w:hAnsi="Arial" w:cs="Arial"/>
          <w:sz w:val="24"/>
          <w:szCs w:val="24"/>
        </w:rPr>
        <w:t xml:space="preserve">u periodu </w:t>
      </w:r>
      <w:r w:rsidRPr="00244022">
        <w:rPr>
          <w:rFonts w:ascii="Arial" w:eastAsia="Times New Roman" w:hAnsi="Arial" w:cs="Arial"/>
          <w:sz w:val="24"/>
          <w:szCs w:val="24"/>
        </w:rPr>
        <w:t>od 29. studenog tekuće do 10. siječnja sljedeće godine.</w:t>
      </w:r>
    </w:p>
    <w:p w14:paraId="3053FA5C" w14:textId="77777777" w:rsidR="00E541EE" w:rsidRPr="002A1648" w:rsidRDefault="00E541EE" w:rsidP="00E541EE">
      <w:pPr>
        <w:jc w:val="both"/>
        <w:rPr>
          <w:rFonts w:ascii="Arial" w:eastAsia="Times New Roman" w:hAnsi="Arial" w:cs="Arial"/>
          <w:sz w:val="24"/>
          <w:szCs w:val="24"/>
        </w:rPr>
      </w:pPr>
      <w:r w:rsidRPr="002A1648">
        <w:rPr>
          <w:rFonts w:ascii="Arial" w:eastAsia="Times New Roman" w:hAnsi="Arial" w:cs="Arial"/>
          <w:sz w:val="24"/>
          <w:szCs w:val="24"/>
        </w:rPr>
        <w:t xml:space="preserve">najmanje u periodu od 6. prosinca </w:t>
      </w:r>
      <w:r>
        <w:rPr>
          <w:rFonts w:ascii="Arial" w:eastAsia="Times New Roman" w:hAnsi="Arial" w:cs="Arial"/>
          <w:sz w:val="24"/>
          <w:szCs w:val="24"/>
        </w:rPr>
        <w:t>tekuće do</w:t>
      </w:r>
      <w:r w:rsidRPr="002A1648">
        <w:rPr>
          <w:rFonts w:ascii="Arial" w:eastAsia="Times New Roman" w:hAnsi="Arial" w:cs="Arial"/>
          <w:sz w:val="24"/>
          <w:szCs w:val="24"/>
        </w:rPr>
        <w:t xml:space="preserve"> 6. siječnja </w:t>
      </w:r>
      <w:r>
        <w:rPr>
          <w:rFonts w:ascii="Arial" w:eastAsia="Times New Roman" w:hAnsi="Arial" w:cs="Arial"/>
          <w:sz w:val="24"/>
          <w:szCs w:val="24"/>
        </w:rPr>
        <w:t xml:space="preserve">sljedeće </w:t>
      </w:r>
      <w:r w:rsidRPr="002A1648">
        <w:rPr>
          <w:rFonts w:ascii="Arial" w:eastAsia="Times New Roman" w:hAnsi="Arial" w:cs="Arial"/>
          <w:sz w:val="24"/>
          <w:szCs w:val="24"/>
        </w:rPr>
        <w:t>godine.</w:t>
      </w:r>
    </w:p>
    <w:p w14:paraId="20B86F0B" w14:textId="77777777" w:rsidR="00E541EE" w:rsidRDefault="00E541EE" w:rsidP="00E541EE">
      <w:pPr>
        <w:jc w:val="both"/>
        <w:rPr>
          <w:rFonts w:ascii="Arial" w:eastAsia="Times New Roman" w:hAnsi="Arial" w:cs="Arial"/>
          <w:color w:val="FF0000"/>
          <w:sz w:val="24"/>
          <w:szCs w:val="24"/>
        </w:rPr>
      </w:pPr>
    </w:p>
    <w:p w14:paraId="5E88C7BF" w14:textId="77777777" w:rsidR="00E541EE" w:rsidRPr="002A1648" w:rsidRDefault="00E541EE" w:rsidP="00E541EE">
      <w:pPr>
        <w:pBdr>
          <w:top w:val="single" w:sz="4" w:space="1" w:color="auto"/>
          <w:left w:val="single" w:sz="4" w:space="4" w:color="auto"/>
          <w:bottom w:val="single" w:sz="4" w:space="1" w:color="auto"/>
          <w:right w:val="single" w:sz="4" w:space="4" w:color="auto"/>
        </w:pBdr>
        <w:shd w:val="clear" w:color="auto" w:fill="E9E9E9"/>
        <w:ind w:right="-1"/>
        <w:rPr>
          <w:rFonts w:ascii="Arial" w:eastAsia="Times New Roman" w:hAnsi="Arial" w:cs="Arial"/>
          <w:b/>
          <w:sz w:val="24"/>
          <w:szCs w:val="24"/>
        </w:rPr>
      </w:pPr>
      <w:r w:rsidRPr="002A1648">
        <w:rPr>
          <w:rFonts w:ascii="Arial" w:eastAsia="Times New Roman" w:hAnsi="Arial" w:cs="Arial"/>
          <w:b/>
          <w:sz w:val="24"/>
          <w:szCs w:val="24"/>
        </w:rPr>
        <w:t>A 102002: Tekuće održava</w:t>
      </w:r>
      <w:r>
        <w:rPr>
          <w:rFonts w:ascii="Arial" w:eastAsia="Times New Roman" w:hAnsi="Arial" w:cs="Arial"/>
          <w:b/>
          <w:sz w:val="24"/>
          <w:szCs w:val="24"/>
        </w:rPr>
        <w:t>nje objekata javne rasvjete = 50</w:t>
      </w:r>
      <w:r w:rsidRPr="002A1648">
        <w:rPr>
          <w:rFonts w:ascii="Arial" w:eastAsia="Times New Roman" w:hAnsi="Arial" w:cs="Arial"/>
          <w:b/>
          <w:sz w:val="24"/>
          <w:szCs w:val="24"/>
        </w:rPr>
        <w:t>.</w:t>
      </w:r>
      <w:r>
        <w:rPr>
          <w:rFonts w:ascii="Arial" w:eastAsia="Times New Roman" w:hAnsi="Arial" w:cs="Arial"/>
          <w:b/>
          <w:sz w:val="24"/>
          <w:szCs w:val="24"/>
        </w:rPr>
        <w:t>5</w:t>
      </w:r>
      <w:r w:rsidRPr="002A1648">
        <w:rPr>
          <w:rFonts w:ascii="Arial" w:eastAsia="Times New Roman" w:hAnsi="Arial" w:cs="Arial"/>
          <w:b/>
          <w:sz w:val="24"/>
          <w:szCs w:val="24"/>
        </w:rPr>
        <w:t>00,00 EUR</w:t>
      </w:r>
    </w:p>
    <w:p w14:paraId="4063C08E" w14:textId="77777777" w:rsidR="00E541EE" w:rsidRPr="002A1648" w:rsidRDefault="00E541EE" w:rsidP="00E541EE">
      <w:pPr>
        <w:jc w:val="both"/>
        <w:rPr>
          <w:rFonts w:ascii="Arial" w:eastAsia="Times New Roman" w:hAnsi="Arial" w:cs="Arial"/>
          <w:sz w:val="24"/>
          <w:szCs w:val="24"/>
        </w:rPr>
      </w:pPr>
      <w:r w:rsidRPr="002A1648">
        <w:rPr>
          <w:rFonts w:ascii="Arial" w:eastAsia="Times New Roman" w:hAnsi="Arial" w:cs="Arial"/>
          <w:b/>
          <w:sz w:val="24"/>
          <w:szCs w:val="24"/>
        </w:rPr>
        <w:t xml:space="preserve">Zakonska osnova: </w:t>
      </w:r>
      <w:r w:rsidRPr="002A1648">
        <w:rPr>
          <w:rFonts w:ascii="Arial" w:eastAsia="Times New Roman" w:hAnsi="Arial" w:cs="Arial"/>
          <w:sz w:val="24"/>
          <w:szCs w:val="24"/>
        </w:rPr>
        <w:t>Zakon o komunalnom gospodarstvu, Odluka o komunalnim djelatnostima.</w:t>
      </w:r>
    </w:p>
    <w:p w14:paraId="4DDEDD14" w14:textId="77777777" w:rsidR="00E541EE" w:rsidRDefault="00E541EE" w:rsidP="00E541EE">
      <w:pPr>
        <w:jc w:val="both"/>
        <w:rPr>
          <w:rFonts w:ascii="Arial" w:eastAsia="Times New Roman" w:hAnsi="Arial" w:cs="Arial"/>
          <w:sz w:val="24"/>
          <w:szCs w:val="24"/>
        </w:rPr>
      </w:pPr>
      <w:r w:rsidRPr="002A1648">
        <w:rPr>
          <w:rFonts w:ascii="Arial" w:eastAsia="Times New Roman" w:hAnsi="Arial" w:cs="Arial"/>
          <w:b/>
          <w:sz w:val="24"/>
          <w:szCs w:val="24"/>
        </w:rPr>
        <w:t xml:space="preserve">Opis: </w:t>
      </w:r>
      <w:r w:rsidRPr="002A1648">
        <w:rPr>
          <w:rFonts w:ascii="Arial" w:eastAsia="Times New Roman" w:hAnsi="Arial" w:cs="Arial"/>
          <w:sz w:val="24"/>
          <w:szCs w:val="24"/>
        </w:rPr>
        <w:t>obavljanje komunalne djelatnosti javne rasvjete u dijelu tekućeg održavanja (zamjena žarulja, armatura, stupova, farbanje i pranje kandelabra i dr.) na području Grada Rovinja-Rovigno.</w:t>
      </w:r>
      <w:r>
        <w:rPr>
          <w:rFonts w:ascii="Arial" w:eastAsia="Times New Roman" w:hAnsi="Arial" w:cs="Arial"/>
          <w:sz w:val="24"/>
          <w:szCs w:val="24"/>
        </w:rPr>
        <w:t xml:space="preserve"> </w:t>
      </w:r>
      <w:r w:rsidRPr="00244022">
        <w:rPr>
          <w:rFonts w:ascii="Arial" w:eastAsia="Times New Roman" w:hAnsi="Arial" w:cs="Arial"/>
          <w:sz w:val="24"/>
          <w:szCs w:val="24"/>
        </w:rPr>
        <w:t>Redovno održavanje 3180 rasvjetnih tijela.</w:t>
      </w:r>
    </w:p>
    <w:p w14:paraId="79D42BC4" w14:textId="77777777" w:rsidR="00E541EE" w:rsidRPr="00244022" w:rsidRDefault="00E541EE" w:rsidP="00E541EE">
      <w:pPr>
        <w:jc w:val="both"/>
        <w:rPr>
          <w:rFonts w:ascii="Arial" w:eastAsia="Times New Roman" w:hAnsi="Arial" w:cs="Arial"/>
          <w:sz w:val="24"/>
          <w:szCs w:val="24"/>
        </w:rPr>
      </w:pPr>
      <w:r w:rsidRPr="002A1648">
        <w:rPr>
          <w:rFonts w:ascii="Arial" w:eastAsia="Times New Roman" w:hAnsi="Arial" w:cs="Arial"/>
          <w:b/>
          <w:bCs/>
          <w:sz w:val="24"/>
          <w:szCs w:val="24"/>
        </w:rPr>
        <w:t xml:space="preserve">Opći cilj: </w:t>
      </w:r>
      <w:r w:rsidRPr="002A1648">
        <w:rPr>
          <w:rFonts w:ascii="Arial" w:eastAsia="Times New Roman" w:hAnsi="Arial" w:cs="Arial"/>
          <w:bCs/>
          <w:sz w:val="24"/>
          <w:szCs w:val="24"/>
        </w:rPr>
        <w:t>održavanje javne rasvjete radi optimalnog rada sustava i sigurnosti kretanja noću.</w:t>
      </w:r>
    </w:p>
    <w:p w14:paraId="5BA006CC" w14:textId="77777777" w:rsidR="00E541EE" w:rsidRDefault="00E541EE" w:rsidP="00E541EE">
      <w:pPr>
        <w:jc w:val="both"/>
        <w:rPr>
          <w:rFonts w:ascii="Arial" w:eastAsia="Times New Roman" w:hAnsi="Arial" w:cs="Arial"/>
          <w:sz w:val="24"/>
          <w:szCs w:val="24"/>
        </w:rPr>
      </w:pPr>
      <w:r w:rsidRPr="002A1648">
        <w:rPr>
          <w:rFonts w:ascii="Arial" w:eastAsia="Times New Roman" w:hAnsi="Arial" w:cs="Arial"/>
          <w:b/>
          <w:bCs/>
          <w:sz w:val="24"/>
          <w:szCs w:val="24"/>
        </w:rPr>
        <w:t>Pokazatelj uspješnosti:</w:t>
      </w:r>
      <w:r w:rsidRPr="002A1648">
        <w:rPr>
          <w:rFonts w:ascii="Arial" w:eastAsia="Times New Roman" w:hAnsi="Arial" w:cs="Arial"/>
          <w:sz w:val="24"/>
          <w:szCs w:val="24"/>
        </w:rPr>
        <w:t xml:space="preserve"> promptno izvršavanje većine radnih naloga u roku najkasnije 24h od prijave sukladno ugovoru te zadržavanje godišnje vrijednosti održavanja u okvirima ugovorenog iznosa.</w:t>
      </w:r>
    </w:p>
    <w:p w14:paraId="25319F0C" w14:textId="77777777" w:rsidR="00E541EE" w:rsidRDefault="00E541EE" w:rsidP="00E541EE">
      <w:pPr>
        <w:jc w:val="both"/>
        <w:rPr>
          <w:rFonts w:ascii="Arial" w:eastAsia="Times New Roman" w:hAnsi="Arial" w:cs="Arial"/>
          <w:sz w:val="24"/>
          <w:szCs w:val="24"/>
        </w:rPr>
      </w:pPr>
    </w:p>
    <w:p w14:paraId="7BAF4827" w14:textId="77777777" w:rsidR="00E541EE" w:rsidRPr="00D05FDF" w:rsidRDefault="00E541EE" w:rsidP="00E541EE">
      <w:pPr>
        <w:pBdr>
          <w:top w:val="single" w:sz="4" w:space="1" w:color="auto"/>
          <w:left w:val="single" w:sz="4" w:space="4" w:color="auto"/>
          <w:bottom w:val="single" w:sz="4" w:space="1" w:color="auto"/>
          <w:right w:val="single" w:sz="4" w:space="4" w:color="auto"/>
        </w:pBdr>
        <w:shd w:val="clear" w:color="auto" w:fill="E9E9E9"/>
        <w:ind w:right="-1"/>
        <w:rPr>
          <w:rFonts w:ascii="Arial" w:eastAsia="Times New Roman" w:hAnsi="Arial" w:cs="Arial"/>
          <w:b/>
          <w:sz w:val="24"/>
          <w:szCs w:val="24"/>
        </w:rPr>
      </w:pPr>
      <w:r w:rsidRPr="00D05FDF">
        <w:rPr>
          <w:rFonts w:ascii="Arial" w:eastAsia="Times New Roman" w:hAnsi="Arial" w:cs="Arial"/>
          <w:b/>
          <w:sz w:val="24"/>
          <w:szCs w:val="24"/>
        </w:rPr>
        <w:t>A 102001: Potrošnja električne energije  = 340.000,00 EUR</w:t>
      </w:r>
    </w:p>
    <w:p w14:paraId="0E6FF43C" w14:textId="77777777" w:rsidR="00E541EE" w:rsidRPr="002A1648" w:rsidRDefault="00E541EE" w:rsidP="00E541EE">
      <w:pPr>
        <w:jc w:val="both"/>
        <w:rPr>
          <w:rFonts w:ascii="Arial" w:eastAsia="Times New Roman" w:hAnsi="Arial" w:cs="Arial"/>
          <w:sz w:val="24"/>
          <w:szCs w:val="24"/>
        </w:rPr>
      </w:pPr>
      <w:r w:rsidRPr="002A1648">
        <w:rPr>
          <w:rFonts w:ascii="Arial" w:eastAsia="Times New Roman" w:hAnsi="Arial" w:cs="Arial"/>
          <w:b/>
          <w:sz w:val="24"/>
          <w:szCs w:val="24"/>
        </w:rPr>
        <w:t xml:space="preserve">Zakonska osnova: </w:t>
      </w:r>
      <w:r w:rsidRPr="002A1648">
        <w:rPr>
          <w:rFonts w:ascii="Arial" w:eastAsia="Times New Roman" w:hAnsi="Arial" w:cs="Arial"/>
          <w:sz w:val="24"/>
          <w:szCs w:val="24"/>
        </w:rPr>
        <w:t>Zakon o komunalnom gospodarstvu.</w:t>
      </w:r>
    </w:p>
    <w:p w14:paraId="77F96335" w14:textId="77777777" w:rsidR="00E541EE" w:rsidRPr="002A1648" w:rsidRDefault="00E541EE" w:rsidP="00E541EE">
      <w:pPr>
        <w:jc w:val="both"/>
        <w:rPr>
          <w:rFonts w:ascii="Arial" w:eastAsia="Times New Roman" w:hAnsi="Arial" w:cs="Arial"/>
          <w:sz w:val="24"/>
          <w:szCs w:val="24"/>
        </w:rPr>
      </w:pPr>
      <w:r w:rsidRPr="002A1648">
        <w:rPr>
          <w:rFonts w:ascii="Arial" w:eastAsia="Times New Roman" w:hAnsi="Arial" w:cs="Arial"/>
          <w:b/>
          <w:sz w:val="24"/>
          <w:szCs w:val="24"/>
        </w:rPr>
        <w:t>Opis:</w:t>
      </w:r>
      <w:r w:rsidRPr="002A1648">
        <w:rPr>
          <w:rFonts w:ascii="Arial" w:eastAsia="Times New Roman" w:hAnsi="Arial" w:cs="Arial"/>
          <w:sz w:val="24"/>
          <w:szCs w:val="24"/>
        </w:rPr>
        <w:t xml:space="preserve"> električna energija i naknada za distribuciju za javnu rasvjetu (rasvjetljavanje javnih i zelenih površina, dječjih i sportskih igrališta, javnih cesta koje prolaze kroz naselje i ostalih nerazvrstanih cesta).</w:t>
      </w:r>
    </w:p>
    <w:p w14:paraId="355FD80C" w14:textId="77777777" w:rsidR="00E541EE" w:rsidRPr="002A1648" w:rsidRDefault="00E541EE" w:rsidP="00E541EE">
      <w:pPr>
        <w:jc w:val="both"/>
        <w:rPr>
          <w:rFonts w:ascii="Arial" w:eastAsia="Times New Roman" w:hAnsi="Arial" w:cs="Arial"/>
          <w:bCs/>
          <w:sz w:val="24"/>
          <w:szCs w:val="24"/>
        </w:rPr>
      </w:pPr>
      <w:r w:rsidRPr="002A1648">
        <w:rPr>
          <w:rFonts w:ascii="Arial" w:eastAsia="Times New Roman" w:hAnsi="Arial" w:cs="Arial"/>
          <w:b/>
          <w:bCs/>
          <w:sz w:val="24"/>
          <w:szCs w:val="24"/>
        </w:rPr>
        <w:t xml:space="preserve">Opći cilj: </w:t>
      </w:r>
      <w:r w:rsidRPr="002A1648">
        <w:rPr>
          <w:rFonts w:ascii="Arial" w:eastAsia="Times New Roman" w:hAnsi="Arial" w:cs="Arial"/>
          <w:bCs/>
          <w:sz w:val="24"/>
          <w:szCs w:val="24"/>
        </w:rPr>
        <w:t>podmirenje obveza za električnu energiju i energetsku naknadu</w:t>
      </w:r>
      <w:r>
        <w:rPr>
          <w:rFonts w:ascii="Arial" w:eastAsia="Times New Roman" w:hAnsi="Arial" w:cs="Arial"/>
          <w:bCs/>
          <w:sz w:val="24"/>
          <w:szCs w:val="24"/>
        </w:rPr>
        <w:t xml:space="preserve"> za provedenu modernizaciju</w:t>
      </w:r>
      <w:r w:rsidRPr="002A1648">
        <w:rPr>
          <w:rFonts w:ascii="Arial" w:eastAsia="Times New Roman" w:hAnsi="Arial" w:cs="Arial"/>
          <w:bCs/>
          <w:sz w:val="24"/>
          <w:szCs w:val="24"/>
        </w:rPr>
        <w:t>.</w:t>
      </w:r>
    </w:p>
    <w:p w14:paraId="38F01E80" w14:textId="77777777" w:rsidR="00E541EE" w:rsidRDefault="00E541EE" w:rsidP="00E541EE">
      <w:pPr>
        <w:jc w:val="both"/>
        <w:rPr>
          <w:rFonts w:ascii="Arial" w:eastAsia="Times New Roman" w:hAnsi="Arial" w:cs="Arial"/>
          <w:sz w:val="24"/>
          <w:szCs w:val="24"/>
        </w:rPr>
      </w:pPr>
      <w:r w:rsidRPr="002A1648">
        <w:rPr>
          <w:rFonts w:ascii="Arial" w:eastAsia="Times New Roman" w:hAnsi="Arial" w:cs="Arial"/>
          <w:b/>
          <w:bCs/>
          <w:sz w:val="24"/>
          <w:szCs w:val="24"/>
        </w:rPr>
        <w:t>Pokazatelj uspješnosti:</w:t>
      </w:r>
      <w:r w:rsidRPr="002A1648">
        <w:rPr>
          <w:rFonts w:ascii="Arial" w:eastAsia="Times New Roman" w:hAnsi="Arial" w:cs="Arial"/>
          <w:sz w:val="24"/>
          <w:szCs w:val="24"/>
        </w:rPr>
        <w:t xml:space="preserve"> jednaka ili manja potrošnja električne energije u odnosu na prethodno razdoblje.</w:t>
      </w:r>
    </w:p>
    <w:p w14:paraId="6ECEDBAE" w14:textId="77777777" w:rsidR="00E541EE" w:rsidRDefault="00E541EE" w:rsidP="00E541EE">
      <w:pPr>
        <w:jc w:val="both"/>
        <w:rPr>
          <w:rFonts w:ascii="Arial" w:eastAsia="Times New Roman" w:hAnsi="Arial" w:cs="Arial"/>
          <w:sz w:val="24"/>
          <w:szCs w:val="24"/>
        </w:rPr>
      </w:pPr>
    </w:p>
    <w:p w14:paraId="5FAFEB7B" w14:textId="77777777" w:rsidR="00E541EE" w:rsidRPr="002A1648" w:rsidRDefault="00E541EE" w:rsidP="00E541EE">
      <w:pPr>
        <w:pBdr>
          <w:top w:val="single" w:sz="4" w:space="1" w:color="auto"/>
          <w:left w:val="single" w:sz="4" w:space="4" w:color="auto"/>
          <w:bottom w:val="single" w:sz="4" w:space="1" w:color="auto"/>
          <w:right w:val="single" w:sz="4" w:space="4" w:color="auto"/>
        </w:pBdr>
        <w:shd w:val="clear" w:color="auto" w:fill="E9E9E9"/>
        <w:ind w:right="-1"/>
        <w:rPr>
          <w:rFonts w:ascii="Arial" w:eastAsia="Times New Roman" w:hAnsi="Arial" w:cs="Arial"/>
          <w:b/>
          <w:sz w:val="24"/>
          <w:szCs w:val="24"/>
        </w:rPr>
      </w:pPr>
      <w:r w:rsidRPr="002A1648">
        <w:rPr>
          <w:rFonts w:ascii="Arial" w:eastAsia="Times New Roman" w:hAnsi="Arial" w:cs="Arial"/>
          <w:b/>
          <w:sz w:val="24"/>
          <w:szCs w:val="24"/>
        </w:rPr>
        <w:t xml:space="preserve">A 102003: Nadzor održavanja objekata javne rasvjete i energetski pregledi  </w:t>
      </w:r>
    </w:p>
    <w:p w14:paraId="7AE9B8AE" w14:textId="77777777" w:rsidR="00E541EE" w:rsidRPr="002A1648" w:rsidRDefault="00E541EE" w:rsidP="00E541EE">
      <w:pPr>
        <w:pBdr>
          <w:top w:val="single" w:sz="4" w:space="1" w:color="auto"/>
          <w:left w:val="single" w:sz="4" w:space="4" w:color="auto"/>
          <w:bottom w:val="single" w:sz="4" w:space="1" w:color="auto"/>
          <w:right w:val="single" w:sz="4" w:space="4" w:color="auto"/>
        </w:pBdr>
        <w:shd w:val="clear" w:color="auto" w:fill="E9E9E9"/>
        <w:ind w:right="-1"/>
        <w:rPr>
          <w:rFonts w:ascii="Arial" w:eastAsia="Times New Roman" w:hAnsi="Arial" w:cs="Arial"/>
          <w:b/>
          <w:sz w:val="24"/>
          <w:szCs w:val="24"/>
        </w:rPr>
      </w:pPr>
      <w:r w:rsidRPr="002A1648">
        <w:rPr>
          <w:rFonts w:ascii="Arial" w:eastAsia="Times New Roman" w:hAnsi="Arial" w:cs="Arial"/>
          <w:b/>
          <w:sz w:val="24"/>
          <w:szCs w:val="24"/>
        </w:rPr>
        <w:t>= 5.0</w:t>
      </w:r>
      <w:r>
        <w:rPr>
          <w:rFonts w:ascii="Arial" w:eastAsia="Times New Roman" w:hAnsi="Arial" w:cs="Arial"/>
          <w:b/>
          <w:sz w:val="24"/>
          <w:szCs w:val="24"/>
        </w:rPr>
        <w:t>50</w:t>
      </w:r>
      <w:r w:rsidRPr="002A1648">
        <w:rPr>
          <w:rFonts w:ascii="Arial" w:eastAsia="Times New Roman" w:hAnsi="Arial" w:cs="Arial"/>
          <w:b/>
          <w:sz w:val="24"/>
          <w:szCs w:val="24"/>
        </w:rPr>
        <w:t>,00 EUR</w:t>
      </w:r>
    </w:p>
    <w:p w14:paraId="735ED3BC" w14:textId="77777777" w:rsidR="00E541EE" w:rsidRPr="002A1648" w:rsidRDefault="00E541EE" w:rsidP="00E541EE">
      <w:pPr>
        <w:jc w:val="both"/>
        <w:rPr>
          <w:rFonts w:ascii="Arial" w:eastAsia="Times New Roman" w:hAnsi="Arial" w:cs="Arial"/>
          <w:sz w:val="24"/>
          <w:szCs w:val="24"/>
        </w:rPr>
      </w:pPr>
      <w:r w:rsidRPr="002A1648">
        <w:rPr>
          <w:rFonts w:ascii="Arial" w:eastAsia="Times New Roman" w:hAnsi="Arial" w:cs="Arial"/>
          <w:b/>
          <w:sz w:val="24"/>
          <w:szCs w:val="24"/>
        </w:rPr>
        <w:t xml:space="preserve">Zakonska osnova: </w:t>
      </w:r>
      <w:r w:rsidRPr="002A1648">
        <w:rPr>
          <w:rFonts w:ascii="Arial" w:eastAsia="Times New Roman" w:hAnsi="Arial" w:cs="Arial"/>
          <w:sz w:val="24"/>
          <w:szCs w:val="24"/>
        </w:rPr>
        <w:t>Zakon o komunalnom gospodarstvu, Odluka o komunalnim djelatnostima.</w:t>
      </w:r>
    </w:p>
    <w:p w14:paraId="17EDBC20" w14:textId="77777777" w:rsidR="00E541EE" w:rsidRPr="002A1648" w:rsidRDefault="00E541EE" w:rsidP="00E541EE">
      <w:pPr>
        <w:jc w:val="both"/>
        <w:rPr>
          <w:rFonts w:ascii="Arial" w:eastAsia="Times New Roman" w:hAnsi="Arial" w:cs="Arial"/>
          <w:sz w:val="24"/>
          <w:szCs w:val="24"/>
        </w:rPr>
      </w:pPr>
      <w:r w:rsidRPr="002A1648">
        <w:rPr>
          <w:rFonts w:ascii="Arial" w:eastAsia="Times New Roman" w:hAnsi="Arial" w:cs="Arial"/>
          <w:b/>
          <w:sz w:val="24"/>
          <w:szCs w:val="24"/>
        </w:rPr>
        <w:t xml:space="preserve">Opis: </w:t>
      </w:r>
      <w:r w:rsidRPr="002A1648">
        <w:rPr>
          <w:rFonts w:ascii="Arial" w:eastAsia="Times New Roman" w:hAnsi="Arial" w:cs="Arial"/>
          <w:sz w:val="24"/>
          <w:szCs w:val="24"/>
        </w:rPr>
        <w:t>nadzor na održavanju javne rasvjete i održavanje baze podataka javne rasvjete.</w:t>
      </w:r>
    </w:p>
    <w:p w14:paraId="1656CF99" w14:textId="77777777" w:rsidR="00E541EE" w:rsidRPr="002A1648" w:rsidRDefault="00E541EE" w:rsidP="00E541EE">
      <w:pPr>
        <w:jc w:val="both"/>
        <w:rPr>
          <w:rFonts w:ascii="Arial" w:eastAsia="Times New Roman" w:hAnsi="Arial" w:cs="Arial"/>
          <w:b/>
          <w:bCs/>
          <w:sz w:val="24"/>
          <w:szCs w:val="24"/>
        </w:rPr>
      </w:pPr>
      <w:r w:rsidRPr="002A1648">
        <w:rPr>
          <w:rFonts w:ascii="Arial" w:eastAsia="Times New Roman" w:hAnsi="Arial" w:cs="Arial"/>
          <w:b/>
          <w:bCs/>
          <w:sz w:val="24"/>
          <w:szCs w:val="24"/>
        </w:rPr>
        <w:t xml:space="preserve">Opći cilj: </w:t>
      </w:r>
      <w:r w:rsidRPr="002A1648">
        <w:rPr>
          <w:rFonts w:ascii="Arial" w:eastAsia="Times New Roman" w:hAnsi="Arial" w:cs="Arial"/>
          <w:bCs/>
          <w:sz w:val="24"/>
          <w:szCs w:val="24"/>
        </w:rPr>
        <w:t>nadzor nad poslovima održavanja i vođenje baze podataka javne rasvjete kao podloga za energetske preglede i planiranje investicija.</w:t>
      </w:r>
    </w:p>
    <w:p w14:paraId="1B66EE5C" w14:textId="77777777" w:rsidR="00E541EE" w:rsidRDefault="00E541EE" w:rsidP="00E541EE">
      <w:pPr>
        <w:jc w:val="both"/>
        <w:rPr>
          <w:rFonts w:ascii="Arial" w:eastAsia="Times New Roman" w:hAnsi="Arial" w:cs="Arial"/>
          <w:sz w:val="24"/>
          <w:szCs w:val="24"/>
        </w:rPr>
      </w:pPr>
      <w:r w:rsidRPr="002A1648">
        <w:rPr>
          <w:rFonts w:ascii="Arial" w:eastAsia="Times New Roman" w:hAnsi="Arial" w:cs="Arial"/>
          <w:b/>
          <w:bCs/>
          <w:sz w:val="24"/>
          <w:szCs w:val="24"/>
        </w:rPr>
        <w:t>Pokazatelj uspješnosti:</w:t>
      </w:r>
      <w:r w:rsidRPr="002A1648">
        <w:rPr>
          <w:rFonts w:ascii="Arial" w:eastAsia="Times New Roman" w:hAnsi="Arial" w:cs="Arial"/>
          <w:sz w:val="24"/>
          <w:szCs w:val="24"/>
        </w:rPr>
        <w:t xml:space="preserve"> izvršenje nadzora nad svim izdanim radnim nalozima sukladno ugovoru i ažuriranje baze podataka.</w:t>
      </w:r>
    </w:p>
    <w:p w14:paraId="56D307BA" w14:textId="77777777" w:rsidR="00E541EE" w:rsidRDefault="00E541EE" w:rsidP="00E541EE">
      <w:pPr>
        <w:jc w:val="both"/>
        <w:rPr>
          <w:rFonts w:ascii="Arial" w:eastAsia="Times New Roman" w:hAnsi="Arial" w:cs="Arial"/>
          <w:color w:val="AEAAAA" w:themeColor="background2" w:themeShade="BF"/>
          <w:sz w:val="24"/>
          <w:szCs w:val="24"/>
        </w:rPr>
      </w:pPr>
    </w:p>
    <w:p w14:paraId="78DC4F45" w14:textId="273DD767" w:rsidR="00E541EE" w:rsidRPr="000352A6" w:rsidRDefault="00E541EE" w:rsidP="00E541EE">
      <w:pPr>
        <w:pBdr>
          <w:top w:val="single" w:sz="4" w:space="1" w:color="auto"/>
          <w:left w:val="single" w:sz="4" w:space="4" w:color="auto"/>
          <w:bottom w:val="single" w:sz="4" w:space="0" w:color="auto"/>
          <w:right w:val="single" w:sz="4" w:space="0" w:color="auto"/>
        </w:pBdr>
        <w:shd w:val="clear" w:color="auto" w:fill="FFFF80"/>
        <w:jc w:val="both"/>
        <w:rPr>
          <w:rFonts w:ascii="Arial" w:eastAsia="Times New Roman" w:hAnsi="Arial" w:cs="Arial"/>
          <w:b/>
          <w:sz w:val="24"/>
          <w:szCs w:val="24"/>
        </w:rPr>
      </w:pPr>
      <w:r w:rsidRPr="000352A6">
        <w:rPr>
          <w:rFonts w:ascii="Arial" w:eastAsia="Times New Roman" w:hAnsi="Arial" w:cs="Arial"/>
          <w:b/>
          <w:sz w:val="24"/>
          <w:szCs w:val="24"/>
        </w:rPr>
        <w:t>Program 1021: Javne i zelene površine = 1.3</w:t>
      </w:r>
      <w:r>
        <w:rPr>
          <w:rFonts w:ascii="Arial" w:eastAsia="Times New Roman" w:hAnsi="Arial" w:cs="Arial"/>
          <w:b/>
          <w:sz w:val="24"/>
          <w:szCs w:val="24"/>
        </w:rPr>
        <w:t>4</w:t>
      </w:r>
      <w:r w:rsidR="00220805">
        <w:rPr>
          <w:rFonts w:ascii="Arial" w:eastAsia="Times New Roman" w:hAnsi="Arial" w:cs="Arial"/>
          <w:b/>
          <w:sz w:val="24"/>
          <w:szCs w:val="24"/>
        </w:rPr>
        <w:t>9</w:t>
      </w:r>
      <w:r w:rsidRPr="000352A6">
        <w:rPr>
          <w:rFonts w:ascii="Arial" w:eastAsia="Times New Roman" w:hAnsi="Arial" w:cs="Arial"/>
          <w:b/>
          <w:sz w:val="24"/>
          <w:szCs w:val="24"/>
        </w:rPr>
        <w:t>.</w:t>
      </w:r>
      <w:r>
        <w:rPr>
          <w:rFonts w:ascii="Arial" w:eastAsia="Times New Roman" w:hAnsi="Arial" w:cs="Arial"/>
          <w:b/>
          <w:sz w:val="24"/>
          <w:szCs w:val="24"/>
        </w:rPr>
        <w:t>000</w:t>
      </w:r>
      <w:r w:rsidRPr="000352A6">
        <w:rPr>
          <w:rFonts w:ascii="Arial" w:eastAsia="Times New Roman" w:hAnsi="Arial" w:cs="Arial"/>
          <w:b/>
          <w:sz w:val="24"/>
          <w:szCs w:val="24"/>
        </w:rPr>
        <w:t>,</w:t>
      </w:r>
      <w:r>
        <w:rPr>
          <w:rFonts w:ascii="Arial" w:eastAsia="Times New Roman" w:hAnsi="Arial" w:cs="Arial"/>
          <w:b/>
          <w:sz w:val="24"/>
          <w:szCs w:val="24"/>
        </w:rPr>
        <w:t>0</w:t>
      </w:r>
      <w:r w:rsidRPr="000352A6">
        <w:rPr>
          <w:rFonts w:ascii="Arial" w:eastAsia="Times New Roman" w:hAnsi="Arial" w:cs="Arial"/>
          <w:b/>
          <w:sz w:val="24"/>
          <w:szCs w:val="24"/>
        </w:rPr>
        <w:t>0 EUR</w:t>
      </w:r>
    </w:p>
    <w:p w14:paraId="36DA0F11" w14:textId="77777777" w:rsidR="00E541EE" w:rsidRPr="00447D66" w:rsidRDefault="00E541EE" w:rsidP="00E541EE">
      <w:pPr>
        <w:jc w:val="both"/>
        <w:rPr>
          <w:rFonts w:ascii="Arial" w:eastAsia="Times New Roman" w:hAnsi="Arial" w:cs="Arial"/>
          <w:color w:val="AEAAAA" w:themeColor="background2" w:themeShade="BF"/>
          <w:sz w:val="24"/>
          <w:szCs w:val="24"/>
        </w:rPr>
      </w:pPr>
    </w:p>
    <w:tbl>
      <w:tblPr>
        <w:tblW w:w="508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993"/>
        <w:gridCol w:w="1028"/>
        <w:gridCol w:w="1036"/>
        <w:gridCol w:w="997"/>
        <w:gridCol w:w="1026"/>
        <w:gridCol w:w="1100"/>
        <w:gridCol w:w="1017"/>
        <w:gridCol w:w="835"/>
        <w:gridCol w:w="736"/>
        <w:gridCol w:w="671"/>
        <w:gridCol w:w="922"/>
      </w:tblGrid>
      <w:tr w:rsidR="00E541EE" w:rsidRPr="002A1648" w14:paraId="1FD564D0" w14:textId="77777777" w:rsidTr="00A84BB5">
        <w:trPr>
          <w:trHeight w:val="582"/>
        </w:trPr>
        <w:tc>
          <w:tcPr>
            <w:tcW w:w="479" w:type="pct"/>
            <w:vMerge w:val="restart"/>
            <w:vAlign w:val="center"/>
          </w:tcPr>
          <w:p w14:paraId="6680C289" w14:textId="77777777" w:rsidR="00E541EE" w:rsidRPr="005A1EB1" w:rsidRDefault="00E541EE" w:rsidP="00A84BB5">
            <w:pPr>
              <w:pStyle w:val="TableParagraph"/>
              <w:ind w:left="44" w:right="35"/>
              <w:jc w:val="center"/>
              <w:rPr>
                <w:rFonts w:asciiTheme="minorHAnsi" w:hAnsiTheme="minorHAnsi" w:cstheme="minorHAnsi"/>
                <w:b/>
                <w:sz w:val="15"/>
                <w:szCs w:val="15"/>
              </w:rPr>
            </w:pPr>
            <w:r w:rsidRPr="005A1EB1">
              <w:rPr>
                <w:rFonts w:asciiTheme="minorHAnsi" w:hAnsiTheme="minorHAnsi" w:cstheme="minorHAnsi"/>
                <w:b/>
                <w:sz w:val="15"/>
                <w:szCs w:val="15"/>
              </w:rPr>
              <w:t>Doprinos</w:t>
            </w:r>
            <w:r w:rsidRPr="005A1EB1">
              <w:rPr>
                <w:rFonts w:asciiTheme="minorHAnsi" w:hAnsiTheme="minorHAnsi" w:cstheme="minorHAnsi"/>
                <w:b/>
                <w:spacing w:val="-34"/>
                <w:sz w:val="15"/>
                <w:szCs w:val="15"/>
              </w:rPr>
              <w:t xml:space="preserve"> </w:t>
            </w:r>
            <w:r w:rsidRPr="005A1EB1">
              <w:rPr>
                <w:rFonts w:asciiTheme="minorHAnsi" w:hAnsiTheme="minorHAnsi" w:cstheme="minorHAnsi"/>
                <w:b/>
                <w:sz w:val="15"/>
                <w:szCs w:val="15"/>
              </w:rPr>
              <w:t>provedbi</w:t>
            </w:r>
          </w:p>
          <w:p w14:paraId="74B3E6EB" w14:textId="77777777" w:rsidR="00E541EE" w:rsidRPr="005A1EB1" w:rsidRDefault="00E541EE" w:rsidP="00A84BB5">
            <w:pPr>
              <w:pStyle w:val="TableParagraph"/>
              <w:ind w:left="44" w:right="35"/>
              <w:jc w:val="center"/>
              <w:rPr>
                <w:rFonts w:asciiTheme="minorHAnsi" w:hAnsiTheme="minorHAnsi" w:cstheme="minorHAnsi"/>
                <w:b/>
                <w:sz w:val="15"/>
                <w:szCs w:val="15"/>
              </w:rPr>
            </w:pPr>
            <w:r w:rsidRPr="005A1EB1">
              <w:rPr>
                <w:rFonts w:asciiTheme="minorHAnsi" w:hAnsiTheme="minorHAnsi" w:cstheme="minorHAnsi"/>
                <w:b/>
                <w:sz w:val="15"/>
                <w:szCs w:val="15"/>
              </w:rPr>
              <w:t>nadređenog</w:t>
            </w:r>
          </w:p>
          <w:p w14:paraId="34AECDD1" w14:textId="77777777" w:rsidR="00E541EE" w:rsidRPr="002A1648" w:rsidRDefault="00E541EE" w:rsidP="00A84BB5">
            <w:pPr>
              <w:widowControl w:val="0"/>
              <w:autoSpaceDE w:val="0"/>
              <w:autoSpaceDN w:val="0"/>
              <w:spacing w:line="194" w:lineRule="exact"/>
              <w:ind w:left="44" w:right="38"/>
              <w:jc w:val="center"/>
              <w:rPr>
                <w:b/>
                <w:sz w:val="16"/>
                <w:lang w:val="bs-Latn"/>
              </w:rPr>
            </w:pPr>
            <w:r w:rsidRPr="005A1EB1">
              <w:rPr>
                <w:rFonts w:cstheme="minorHAnsi"/>
                <w:b/>
                <w:sz w:val="15"/>
                <w:szCs w:val="15"/>
              </w:rPr>
              <w:t>akta</w:t>
            </w:r>
            <w:r w:rsidRPr="005A1EB1">
              <w:rPr>
                <w:rFonts w:cstheme="minorHAnsi"/>
                <w:b/>
                <w:spacing w:val="1"/>
                <w:sz w:val="15"/>
                <w:szCs w:val="15"/>
              </w:rPr>
              <w:t xml:space="preserve"> </w:t>
            </w:r>
            <w:r w:rsidRPr="005A1EB1">
              <w:rPr>
                <w:rFonts w:cstheme="minorHAnsi"/>
                <w:b/>
                <w:sz w:val="15"/>
                <w:szCs w:val="15"/>
              </w:rPr>
              <w:t>strateškog</w:t>
            </w:r>
            <w:r w:rsidRPr="005A1EB1">
              <w:rPr>
                <w:rFonts w:cstheme="minorHAnsi"/>
                <w:b/>
                <w:spacing w:val="-34"/>
                <w:sz w:val="15"/>
                <w:szCs w:val="15"/>
              </w:rPr>
              <w:t xml:space="preserve"> </w:t>
            </w:r>
            <w:r w:rsidRPr="005A1EB1">
              <w:rPr>
                <w:rFonts w:cstheme="minorHAnsi"/>
                <w:b/>
                <w:sz w:val="15"/>
                <w:szCs w:val="15"/>
              </w:rPr>
              <w:t>planiranja</w:t>
            </w:r>
          </w:p>
        </w:tc>
        <w:tc>
          <w:tcPr>
            <w:tcW w:w="496" w:type="pct"/>
            <w:vMerge w:val="restart"/>
            <w:vAlign w:val="center"/>
          </w:tcPr>
          <w:p w14:paraId="311A9BED" w14:textId="77777777" w:rsidR="00E541EE" w:rsidRPr="002A1648" w:rsidRDefault="00E541EE" w:rsidP="00A84BB5">
            <w:pPr>
              <w:widowControl w:val="0"/>
              <w:autoSpaceDE w:val="0"/>
              <w:autoSpaceDN w:val="0"/>
              <w:spacing w:before="1"/>
              <w:jc w:val="center"/>
              <w:rPr>
                <w:sz w:val="19"/>
                <w:lang w:val="bs-Latn"/>
              </w:rPr>
            </w:pPr>
            <w:r w:rsidRPr="005A1EB1">
              <w:rPr>
                <w:rFonts w:cstheme="minorHAnsi"/>
                <w:b/>
                <w:sz w:val="15"/>
                <w:szCs w:val="15"/>
              </w:rPr>
              <w:t>Naziv</w:t>
            </w:r>
            <w:r w:rsidRPr="005A1EB1">
              <w:rPr>
                <w:rFonts w:cstheme="minorHAnsi"/>
                <w:b/>
                <w:spacing w:val="-3"/>
                <w:sz w:val="15"/>
                <w:szCs w:val="15"/>
              </w:rPr>
              <w:t xml:space="preserve"> </w:t>
            </w:r>
            <w:r w:rsidRPr="005A1EB1">
              <w:rPr>
                <w:rFonts w:cstheme="minorHAnsi"/>
                <w:b/>
                <w:sz w:val="15"/>
                <w:szCs w:val="15"/>
              </w:rPr>
              <w:t>cilja nadređenog</w:t>
            </w:r>
            <w:r w:rsidRPr="005A1EB1">
              <w:rPr>
                <w:rFonts w:cstheme="minorHAnsi"/>
                <w:b/>
                <w:spacing w:val="1"/>
                <w:sz w:val="15"/>
                <w:szCs w:val="15"/>
              </w:rPr>
              <w:t xml:space="preserve"> </w:t>
            </w:r>
            <w:r w:rsidRPr="005A1EB1">
              <w:rPr>
                <w:rFonts w:cstheme="minorHAnsi"/>
                <w:b/>
                <w:spacing w:val="-1"/>
                <w:sz w:val="15"/>
                <w:szCs w:val="15"/>
              </w:rPr>
              <w:t>akta</w:t>
            </w:r>
            <w:r w:rsidRPr="005A1EB1">
              <w:rPr>
                <w:rFonts w:cstheme="minorHAnsi"/>
                <w:b/>
                <w:spacing w:val="-2"/>
                <w:sz w:val="15"/>
                <w:szCs w:val="15"/>
              </w:rPr>
              <w:t xml:space="preserve"> </w:t>
            </w:r>
            <w:r w:rsidRPr="005A1EB1">
              <w:rPr>
                <w:rFonts w:cstheme="minorHAnsi"/>
                <w:b/>
                <w:spacing w:val="-1"/>
                <w:sz w:val="15"/>
                <w:szCs w:val="15"/>
              </w:rPr>
              <w:t xml:space="preserve">strateškog </w:t>
            </w:r>
            <w:r w:rsidRPr="005A1EB1">
              <w:rPr>
                <w:rFonts w:cstheme="minorHAnsi"/>
                <w:b/>
                <w:sz w:val="15"/>
                <w:szCs w:val="15"/>
              </w:rPr>
              <w:t>planiranja</w:t>
            </w:r>
          </w:p>
        </w:tc>
        <w:tc>
          <w:tcPr>
            <w:tcW w:w="500" w:type="pct"/>
            <w:vMerge w:val="restart"/>
            <w:vAlign w:val="center"/>
          </w:tcPr>
          <w:p w14:paraId="64DC9422" w14:textId="77777777" w:rsidR="00E541EE" w:rsidRPr="002A1648" w:rsidRDefault="00E541EE" w:rsidP="00A84BB5">
            <w:pPr>
              <w:widowControl w:val="0"/>
              <w:autoSpaceDE w:val="0"/>
              <w:autoSpaceDN w:val="0"/>
              <w:ind w:left="125" w:right="114"/>
              <w:jc w:val="center"/>
              <w:rPr>
                <w:sz w:val="16"/>
                <w:lang w:val="bs-Latn"/>
              </w:rPr>
            </w:pPr>
            <w:r w:rsidRPr="005A1EB1">
              <w:rPr>
                <w:rFonts w:cstheme="minorHAnsi"/>
                <w:b/>
                <w:spacing w:val="-1"/>
                <w:sz w:val="15"/>
                <w:szCs w:val="15"/>
              </w:rPr>
              <w:t xml:space="preserve">Program </w:t>
            </w:r>
            <w:r w:rsidRPr="005A1EB1">
              <w:rPr>
                <w:rFonts w:cstheme="minorHAnsi"/>
                <w:b/>
                <w:sz w:val="15"/>
                <w:szCs w:val="15"/>
              </w:rPr>
              <w:t>u</w:t>
            </w:r>
            <w:r w:rsidRPr="005A1EB1">
              <w:rPr>
                <w:rFonts w:cstheme="minorHAnsi"/>
                <w:b/>
                <w:spacing w:val="-34"/>
                <w:sz w:val="15"/>
                <w:szCs w:val="15"/>
              </w:rPr>
              <w:t xml:space="preserve"> </w:t>
            </w:r>
            <w:r w:rsidRPr="005A1EB1">
              <w:rPr>
                <w:rFonts w:cstheme="minorHAnsi"/>
                <w:b/>
                <w:sz w:val="15"/>
                <w:szCs w:val="15"/>
              </w:rPr>
              <w:t xml:space="preserve">proračunu </w:t>
            </w:r>
            <w:r w:rsidRPr="005A1EB1">
              <w:rPr>
                <w:rFonts w:cstheme="minorHAnsi"/>
                <w:b/>
                <w:spacing w:val="-34"/>
                <w:sz w:val="15"/>
                <w:szCs w:val="15"/>
              </w:rPr>
              <w:t xml:space="preserve"> </w:t>
            </w:r>
            <w:r w:rsidRPr="005A1EB1">
              <w:rPr>
                <w:rFonts w:cstheme="minorHAnsi"/>
                <w:b/>
                <w:sz w:val="15"/>
                <w:szCs w:val="15"/>
              </w:rPr>
              <w:t>JLS</w:t>
            </w:r>
          </w:p>
        </w:tc>
        <w:tc>
          <w:tcPr>
            <w:tcW w:w="481" w:type="pct"/>
            <w:vMerge w:val="restart"/>
            <w:vAlign w:val="center"/>
          </w:tcPr>
          <w:p w14:paraId="7D2BCFAA" w14:textId="77777777" w:rsidR="00E541EE" w:rsidRPr="002A1648" w:rsidRDefault="00E541EE" w:rsidP="00A84BB5">
            <w:pPr>
              <w:widowControl w:val="0"/>
              <w:autoSpaceDE w:val="0"/>
              <w:autoSpaceDN w:val="0"/>
              <w:ind w:left="179"/>
              <w:jc w:val="center"/>
              <w:rPr>
                <w:sz w:val="16"/>
                <w:lang w:val="bs-Latn"/>
              </w:rPr>
            </w:pPr>
            <w:r w:rsidRPr="005A1EB1">
              <w:rPr>
                <w:rFonts w:cstheme="minorHAnsi"/>
                <w:b/>
                <w:sz w:val="15"/>
                <w:szCs w:val="15"/>
              </w:rPr>
              <w:t>Naziv</w:t>
            </w:r>
            <w:r w:rsidRPr="005A1EB1">
              <w:rPr>
                <w:rFonts w:cstheme="minorHAnsi"/>
                <w:b/>
                <w:spacing w:val="-2"/>
                <w:sz w:val="15"/>
                <w:szCs w:val="15"/>
              </w:rPr>
              <w:t xml:space="preserve"> </w:t>
            </w:r>
            <w:r w:rsidRPr="005A1EB1">
              <w:rPr>
                <w:rFonts w:cstheme="minorHAnsi"/>
                <w:b/>
                <w:sz w:val="15"/>
                <w:szCs w:val="15"/>
              </w:rPr>
              <w:t>mjere</w:t>
            </w:r>
          </w:p>
        </w:tc>
        <w:tc>
          <w:tcPr>
            <w:tcW w:w="495" w:type="pct"/>
            <w:vMerge w:val="restart"/>
            <w:vAlign w:val="center"/>
          </w:tcPr>
          <w:p w14:paraId="14CA9B81" w14:textId="77777777" w:rsidR="00E541EE" w:rsidRPr="005A1EB1" w:rsidRDefault="00E541EE" w:rsidP="00A84BB5">
            <w:pPr>
              <w:pStyle w:val="TableParagraph"/>
              <w:ind w:left="70" w:right="60"/>
              <w:jc w:val="center"/>
              <w:rPr>
                <w:rFonts w:asciiTheme="minorHAnsi" w:hAnsiTheme="minorHAnsi" w:cstheme="minorHAnsi"/>
                <w:b/>
                <w:sz w:val="15"/>
                <w:szCs w:val="15"/>
              </w:rPr>
            </w:pPr>
            <w:r w:rsidRPr="005A1EB1">
              <w:rPr>
                <w:rFonts w:asciiTheme="minorHAnsi" w:hAnsiTheme="minorHAnsi" w:cstheme="minorHAnsi"/>
                <w:b/>
                <w:sz w:val="15"/>
                <w:szCs w:val="15"/>
              </w:rPr>
              <w:t>Procijenjeni</w:t>
            </w:r>
            <w:r w:rsidRPr="005A1EB1">
              <w:rPr>
                <w:rFonts w:asciiTheme="minorHAnsi" w:hAnsiTheme="minorHAnsi" w:cstheme="minorHAnsi"/>
                <w:b/>
                <w:spacing w:val="-34"/>
                <w:sz w:val="15"/>
                <w:szCs w:val="15"/>
              </w:rPr>
              <w:t xml:space="preserve"> </w:t>
            </w:r>
            <w:r w:rsidRPr="005A1EB1">
              <w:rPr>
                <w:rFonts w:asciiTheme="minorHAnsi" w:hAnsiTheme="minorHAnsi" w:cstheme="minorHAnsi"/>
                <w:b/>
                <w:sz w:val="15"/>
                <w:szCs w:val="15"/>
              </w:rPr>
              <w:t>trošak</w:t>
            </w:r>
            <w:r w:rsidRPr="005A1EB1">
              <w:rPr>
                <w:rFonts w:asciiTheme="minorHAnsi" w:hAnsiTheme="minorHAnsi" w:cstheme="minorHAnsi"/>
                <w:b/>
                <w:spacing w:val="1"/>
                <w:sz w:val="15"/>
                <w:szCs w:val="15"/>
              </w:rPr>
              <w:t xml:space="preserve"> </w:t>
            </w:r>
            <w:r w:rsidRPr="005A1EB1">
              <w:rPr>
                <w:rFonts w:asciiTheme="minorHAnsi" w:hAnsiTheme="minorHAnsi" w:cstheme="minorHAnsi"/>
                <w:b/>
                <w:sz w:val="15"/>
                <w:szCs w:val="15"/>
              </w:rPr>
              <w:t>provedbe</w:t>
            </w:r>
            <w:r w:rsidRPr="005A1EB1">
              <w:rPr>
                <w:rFonts w:asciiTheme="minorHAnsi" w:hAnsiTheme="minorHAnsi" w:cstheme="minorHAnsi"/>
                <w:b/>
                <w:spacing w:val="1"/>
                <w:sz w:val="15"/>
                <w:szCs w:val="15"/>
              </w:rPr>
              <w:t xml:space="preserve"> </w:t>
            </w:r>
            <w:r w:rsidRPr="005A1EB1">
              <w:rPr>
                <w:rFonts w:asciiTheme="minorHAnsi" w:hAnsiTheme="minorHAnsi" w:cstheme="minorHAnsi"/>
                <w:b/>
                <w:sz w:val="15"/>
                <w:szCs w:val="15"/>
              </w:rPr>
              <w:t>mjere 202</w:t>
            </w:r>
            <w:r>
              <w:rPr>
                <w:rFonts w:asciiTheme="minorHAnsi" w:hAnsiTheme="minorHAnsi" w:cstheme="minorHAnsi"/>
                <w:b/>
                <w:sz w:val="15"/>
                <w:szCs w:val="15"/>
              </w:rPr>
              <w:t>5</w:t>
            </w:r>
            <w:r w:rsidRPr="005A1EB1">
              <w:rPr>
                <w:rFonts w:asciiTheme="minorHAnsi" w:hAnsiTheme="minorHAnsi" w:cstheme="minorHAnsi"/>
                <w:b/>
                <w:sz w:val="15"/>
                <w:szCs w:val="15"/>
              </w:rPr>
              <w:t>.</w:t>
            </w:r>
          </w:p>
          <w:p w14:paraId="3BBC6953" w14:textId="77777777" w:rsidR="00E541EE" w:rsidRPr="002A1648" w:rsidRDefault="00E541EE" w:rsidP="00A84BB5">
            <w:pPr>
              <w:widowControl w:val="0"/>
              <w:autoSpaceDE w:val="0"/>
              <w:autoSpaceDN w:val="0"/>
              <w:spacing w:before="2"/>
              <w:ind w:left="70" w:right="58"/>
              <w:jc w:val="center"/>
              <w:rPr>
                <w:sz w:val="11"/>
                <w:lang w:val="bs-Latn"/>
              </w:rPr>
            </w:pPr>
            <w:r w:rsidRPr="005A1EB1">
              <w:rPr>
                <w:rFonts w:cstheme="minorHAnsi"/>
                <w:b/>
                <w:sz w:val="15"/>
                <w:szCs w:val="15"/>
              </w:rPr>
              <w:t>(u EUR)</w:t>
            </w:r>
          </w:p>
        </w:tc>
        <w:tc>
          <w:tcPr>
            <w:tcW w:w="531" w:type="pct"/>
            <w:vMerge w:val="restart"/>
            <w:vAlign w:val="center"/>
          </w:tcPr>
          <w:p w14:paraId="4621573D" w14:textId="77777777" w:rsidR="00E541EE" w:rsidRPr="005A1EB1" w:rsidRDefault="00E541EE" w:rsidP="00A84BB5">
            <w:pPr>
              <w:pStyle w:val="TableParagraph"/>
              <w:jc w:val="center"/>
              <w:rPr>
                <w:rFonts w:asciiTheme="minorHAnsi" w:hAnsiTheme="minorHAnsi" w:cstheme="minorHAnsi"/>
                <w:b/>
                <w:sz w:val="15"/>
                <w:szCs w:val="15"/>
              </w:rPr>
            </w:pPr>
            <w:r w:rsidRPr="005A1EB1">
              <w:rPr>
                <w:rFonts w:asciiTheme="minorHAnsi" w:hAnsiTheme="minorHAnsi" w:cstheme="minorHAnsi"/>
                <w:b/>
                <w:sz w:val="15"/>
                <w:szCs w:val="15"/>
              </w:rPr>
              <w:t>Ključne</w:t>
            </w:r>
          </w:p>
          <w:p w14:paraId="081CA0F2" w14:textId="77777777" w:rsidR="00E541EE" w:rsidRPr="002A1648" w:rsidRDefault="00E541EE" w:rsidP="00A84BB5">
            <w:pPr>
              <w:widowControl w:val="0"/>
              <w:autoSpaceDE w:val="0"/>
              <w:autoSpaceDN w:val="0"/>
              <w:spacing w:before="1"/>
              <w:ind w:left="227"/>
              <w:jc w:val="center"/>
              <w:rPr>
                <w:sz w:val="16"/>
                <w:lang w:val="bs-Latn"/>
              </w:rPr>
            </w:pPr>
            <w:r w:rsidRPr="005A1EB1">
              <w:rPr>
                <w:rFonts w:cstheme="minorHAnsi"/>
                <w:b/>
                <w:sz w:val="15"/>
                <w:szCs w:val="15"/>
              </w:rPr>
              <w:t>aktivnosti</w:t>
            </w:r>
          </w:p>
        </w:tc>
        <w:tc>
          <w:tcPr>
            <w:tcW w:w="491" w:type="pct"/>
            <w:vMerge w:val="restart"/>
            <w:vAlign w:val="center"/>
          </w:tcPr>
          <w:p w14:paraId="4D5718F6" w14:textId="77777777" w:rsidR="00E541EE" w:rsidRPr="002A1648" w:rsidRDefault="00E541EE" w:rsidP="00A84BB5">
            <w:pPr>
              <w:widowControl w:val="0"/>
              <w:autoSpaceDE w:val="0"/>
              <w:autoSpaceDN w:val="0"/>
              <w:ind w:left="174" w:right="97" w:hanging="44"/>
              <w:jc w:val="center"/>
              <w:rPr>
                <w:sz w:val="16"/>
                <w:lang w:val="bs-Latn"/>
              </w:rPr>
            </w:pPr>
            <w:r w:rsidRPr="005A1EB1">
              <w:rPr>
                <w:rFonts w:cstheme="minorHAnsi"/>
                <w:b/>
                <w:sz w:val="15"/>
                <w:szCs w:val="15"/>
              </w:rPr>
              <w:t>Pokazatelj</w:t>
            </w:r>
            <w:r w:rsidRPr="005A1EB1">
              <w:rPr>
                <w:rFonts w:cstheme="minorHAnsi"/>
                <w:b/>
                <w:spacing w:val="-34"/>
                <w:sz w:val="15"/>
                <w:szCs w:val="15"/>
              </w:rPr>
              <w:t xml:space="preserve"> </w:t>
            </w:r>
            <w:r w:rsidRPr="005A1EB1">
              <w:rPr>
                <w:rFonts w:cstheme="minorHAnsi"/>
                <w:b/>
                <w:sz w:val="15"/>
                <w:szCs w:val="15"/>
              </w:rPr>
              <w:t>rezultata</w:t>
            </w:r>
          </w:p>
        </w:tc>
        <w:tc>
          <w:tcPr>
            <w:tcW w:w="403" w:type="pct"/>
            <w:vMerge w:val="restart"/>
            <w:vAlign w:val="center"/>
          </w:tcPr>
          <w:p w14:paraId="21658649" w14:textId="77777777" w:rsidR="00E541EE" w:rsidRPr="002A1648" w:rsidRDefault="00E541EE" w:rsidP="00A84BB5">
            <w:pPr>
              <w:widowControl w:val="0"/>
              <w:autoSpaceDE w:val="0"/>
              <w:autoSpaceDN w:val="0"/>
              <w:ind w:left="44" w:right="32"/>
              <w:jc w:val="center"/>
              <w:rPr>
                <w:sz w:val="16"/>
                <w:lang w:val="bs-Latn"/>
              </w:rPr>
            </w:pPr>
            <w:r w:rsidRPr="005A1EB1">
              <w:rPr>
                <w:rFonts w:cstheme="minorHAnsi"/>
                <w:b/>
                <w:sz w:val="15"/>
                <w:szCs w:val="15"/>
              </w:rPr>
              <w:t>Početna</w:t>
            </w:r>
            <w:r w:rsidRPr="005A1EB1">
              <w:rPr>
                <w:rFonts w:cstheme="minorHAnsi"/>
                <w:b/>
                <w:spacing w:val="1"/>
                <w:sz w:val="15"/>
                <w:szCs w:val="15"/>
              </w:rPr>
              <w:t xml:space="preserve"> </w:t>
            </w:r>
            <w:r w:rsidRPr="005A1EB1">
              <w:rPr>
                <w:rFonts w:cstheme="minorHAnsi"/>
                <w:b/>
                <w:sz w:val="15"/>
                <w:szCs w:val="15"/>
              </w:rPr>
              <w:t>vrijednost 202</w:t>
            </w:r>
            <w:r>
              <w:rPr>
                <w:rFonts w:cstheme="minorHAnsi"/>
                <w:b/>
                <w:sz w:val="15"/>
                <w:szCs w:val="15"/>
              </w:rPr>
              <w:t>5</w:t>
            </w:r>
            <w:r w:rsidRPr="005A1EB1">
              <w:rPr>
                <w:rFonts w:cstheme="minorHAnsi"/>
                <w:b/>
                <w:sz w:val="15"/>
                <w:szCs w:val="15"/>
              </w:rPr>
              <w:t>.</w:t>
            </w:r>
          </w:p>
        </w:tc>
        <w:tc>
          <w:tcPr>
            <w:tcW w:w="1124" w:type="pct"/>
            <w:gridSpan w:val="3"/>
            <w:vAlign w:val="center"/>
          </w:tcPr>
          <w:p w14:paraId="4EDD6E18" w14:textId="77777777" w:rsidR="00E541EE" w:rsidRPr="002A1648" w:rsidRDefault="00E541EE" w:rsidP="00A84BB5">
            <w:pPr>
              <w:widowControl w:val="0"/>
              <w:autoSpaceDE w:val="0"/>
              <w:autoSpaceDN w:val="0"/>
              <w:jc w:val="center"/>
              <w:rPr>
                <w:sz w:val="16"/>
                <w:lang w:val="bs-Latn"/>
              </w:rPr>
            </w:pPr>
            <w:r w:rsidRPr="005A1EB1">
              <w:rPr>
                <w:rFonts w:cstheme="minorHAnsi"/>
                <w:b/>
                <w:sz w:val="15"/>
                <w:szCs w:val="15"/>
              </w:rPr>
              <w:t>Ciljna</w:t>
            </w:r>
            <w:r w:rsidRPr="005A1EB1">
              <w:rPr>
                <w:rFonts w:cstheme="minorHAnsi"/>
                <w:b/>
                <w:spacing w:val="1"/>
                <w:sz w:val="15"/>
                <w:szCs w:val="15"/>
              </w:rPr>
              <w:t xml:space="preserve"> </w:t>
            </w:r>
            <w:r w:rsidRPr="005A1EB1">
              <w:rPr>
                <w:rFonts w:cstheme="minorHAnsi"/>
                <w:b/>
                <w:sz w:val="15"/>
                <w:szCs w:val="15"/>
              </w:rPr>
              <w:t>vrijednost</w:t>
            </w:r>
          </w:p>
        </w:tc>
      </w:tr>
      <w:tr w:rsidR="00E541EE" w:rsidRPr="002A1648" w14:paraId="7BE102C3" w14:textId="77777777" w:rsidTr="00A84BB5">
        <w:trPr>
          <w:trHeight w:val="432"/>
        </w:trPr>
        <w:tc>
          <w:tcPr>
            <w:tcW w:w="479" w:type="pct"/>
            <w:vMerge/>
            <w:vAlign w:val="center"/>
          </w:tcPr>
          <w:p w14:paraId="58894E16" w14:textId="77777777" w:rsidR="00E541EE" w:rsidRPr="002A1648" w:rsidRDefault="00E541EE" w:rsidP="00A84BB5">
            <w:pPr>
              <w:widowControl w:val="0"/>
              <w:autoSpaceDE w:val="0"/>
              <w:autoSpaceDN w:val="0"/>
              <w:spacing w:line="194" w:lineRule="exact"/>
              <w:ind w:left="44" w:right="38"/>
              <w:jc w:val="center"/>
              <w:rPr>
                <w:b/>
                <w:sz w:val="16"/>
                <w:lang w:val="bs-Latn"/>
              </w:rPr>
            </w:pPr>
          </w:p>
        </w:tc>
        <w:tc>
          <w:tcPr>
            <w:tcW w:w="496" w:type="pct"/>
            <w:vMerge/>
            <w:vAlign w:val="center"/>
          </w:tcPr>
          <w:p w14:paraId="2685899F" w14:textId="77777777" w:rsidR="00E541EE" w:rsidRPr="002A1648" w:rsidRDefault="00E541EE" w:rsidP="00A84BB5">
            <w:pPr>
              <w:widowControl w:val="0"/>
              <w:autoSpaceDE w:val="0"/>
              <w:autoSpaceDN w:val="0"/>
              <w:spacing w:before="1"/>
              <w:jc w:val="center"/>
              <w:rPr>
                <w:b/>
                <w:sz w:val="16"/>
                <w:lang w:val="bs-Latn"/>
              </w:rPr>
            </w:pPr>
          </w:p>
        </w:tc>
        <w:tc>
          <w:tcPr>
            <w:tcW w:w="500" w:type="pct"/>
            <w:vMerge/>
            <w:vAlign w:val="center"/>
          </w:tcPr>
          <w:p w14:paraId="6BFD5441" w14:textId="77777777" w:rsidR="00E541EE" w:rsidRPr="002A1648" w:rsidRDefault="00E541EE" w:rsidP="00A84BB5">
            <w:pPr>
              <w:widowControl w:val="0"/>
              <w:autoSpaceDE w:val="0"/>
              <w:autoSpaceDN w:val="0"/>
              <w:ind w:left="125" w:right="114"/>
              <w:jc w:val="center"/>
              <w:rPr>
                <w:b/>
                <w:sz w:val="16"/>
                <w:lang w:val="bs-Latn"/>
              </w:rPr>
            </w:pPr>
          </w:p>
        </w:tc>
        <w:tc>
          <w:tcPr>
            <w:tcW w:w="481" w:type="pct"/>
            <w:vMerge/>
            <w:vAlign w:val="center"/>
          </w:tcPr>
          <w:p w14:paraId="709623FE" w14:textId="77777777" w:rsidR="00E541EE" w:rsidRPr="002A1648" w:rsidRDefault="00E541EE" w:rsidP="00A84BB5">
            <w:pPr>
              <w:widowControl w:val="0"/>
              <w:autoSpaceDE w:val="0"/>
              <w:autoSpaceDN w:val="0"/>
              <w:ind w:left="179"/>
              <w:jc w:val="center"/>
              <w:rPr>
                <w:b/>
                <w:sz w:val="16"/>
                <w:lang w:val="bs-Latn"/>
              </w:rPr>
            </w:pPr>
          </w:p>
        </w:tc>
        <w:tc>
          <w:tcPr>
            <w:tcW w:w="495" w:type="pct"/>
            <w:vMerge/>
            <w:vAlign w:val="center"/>
          </w:tcPr>
          <w:p w14:paraId="4AEFB425" w14:textId="77777777" w:rsidR="00E541EE" w:rsidRPr="002A1648" w:rsidRDefault="00E541EE" w:rsidP="00A84BB5">
            <w:pPr>
              <w:widowControl w:val="0"/>
              <w:autoSpaceDE w:val="0"/>
              <w:autoSpaceDN w:val="0"/>
              <w:spacing w:before="2"/>
              <w:ind w:left="70" w:right="58"/>
              <w:jc w:val="center"/>
              <w:rPr>
                <w:b/>
                <w:sz w:val="16"/>
                <w:lang w:val="bs-Latn"/>
              </w:rPr>
            </w:pPr>
          </w:p>
        </w:tc>
        <w:tc>
          <w:tcPr>
            <w:tcW w:w="531" w:type="pct"/>
            <w:vMerge/>
            <w:vAlign w:val="center"/>
          </w:tcPr>
          <w:p w14:paraId="68DEC66E" w14:textId="77777777" w:rsidR="00E541EE" w:rsidRPr="002A1648" w:rsidRDefault="00E541EE" w:rsidP="00A84BB5">
            <w:pPr>
              <w:widowControl w:val="0"/>
              <w:autoSpaceDE w:val="0"/>
              <w:autoSpaceDN w:val="0"/>
              <w:spacing w:before="1"/>
              <w:ind w:left="227"/>
              <w:jc w:val="center"/>
              <w:rPr>
                <w:b/>
                <w:sz w:val="16"/>
                <w:lang w:val="bs-Latn"/>
              </w:rPr>
            </w:pPr>
          </w:p>
        </w:tc>
        <w:tc>
          <w:tcPr>
            <w:tcW w:w="491" w:type="pct"/>
            <w:vMerge/>
            <w:vAlign w:val="center"/>
          </w:tcPr>
          <w:p w14:paraId="456F65BE" w14:textId="77777777" w:rsidR="00E541EE" w:rsidRPr="002A1648" w:rsidRDefault="00E541EE" w:rsidP="00A84BB5">
            <w:pPr>
              <w:widowControl w:val="0"/>
              <w:autoSpaceDE w:val="0"/>
              <w:autoSpaceDN w:val="0"/>
              <w:ind w:left="174" w:right="97" w:hanging="44"/>
              <w:jc w:val="center"/>
              <w:rPr>
                <w:b/>
                <w:sz w:val="16"/>
                <w:lang w:val="bs-Latn"/>
              </w:rPr>
            </w:pPr>
          </w:p>
        </w:tc>
        <w:tc>
          <w:tcPr>
            <w:tcW w:w="403" w:type="pct"/>
            <w:vMerge/>
            <w:vAlign w:val="center"/>
          </w:tcPr>
          <w:p w14:paraId="5D9F068F" w14:textId="77777777" w:rsidR="00E541EE" w:rsidRPr="002A1648" w:rsidRDefault="00E541EE" w:rsidP="00A84BB5">
            <w:pPr>
              <w:widowControl w:val="0"/>
              <w:autoSpaceDE w:val="0"/>
              <w:autoSpaceDN w:val="0"/>
              <w:ind w:left="44" w:right="32"/>
              <w:jc w:val="center"/>
              <w:rPr>
                <w:b/>
                <w:sz w:val="16"/>
                <w:lang w:val="bs-Latn"/>
              </w:rPr>
            </w:pPr>
          </w:p>
        </w:tc>
        <w:tc>
          <w:tcPr>
            <w:tcW w:w="355" w:type="pct"/>
            <w:vAlign w:val="center"/>
          </w:tcPr>
          <w:p w14:paraId="38CB824D" w14:textId="77777777" w:rsidR="00E541EE" w:rsidRDefault="00E541EE" w:rsidP="00A84BB5">
            <w:pPr>
              <w:widowControl w:val="0"/>
              <w:autoSpaceDE w:val="0"/>
              <w:autoSpaceDN w:val="0"/>
              <w:jc w:val="center"/>
              <w:rPr>
                <w:rFonts w:cstheme="minorHAnsi"/>
                <w:b/>
                <w:sz w:val="15"/>
                <w:szCs w:val="15"/>
              </w:rPr>
            </w:pPr>
            <w:r>
              <w:rPr>
                <w:rFonts w:cstheme="minorHAnsi"/>
                <w:b/>
                <w:sz w:val="15"/>
                <w:szCs w:val="15"/>
              </w:rPr>
              <w:t>z</w:t>
            </w:r>
            <w:r w:rsidRPr="005A1EB1">
              <w:rPr>
                <w:rFonts w:cstheme="minorHAnsi"/>
                <w:b/>
                <w:sz w:val="15"/>
                <w:szCs w:val="15"/>
              </w:rPr>
              <w:t>a</w:t>
            </w:r>
          </w:p>
          <w:p w14:paraId="7252A274" w14:textId="77777777" w:rsidR="00E541EE" w:rsidRPr="002A1648" w:rsidRDefault="00E541EE" w:rsidP="00A84BB5">
            <w:pPr>
              <w:widowControl w:val="0"/>
              <w:autoSpaceDE w:val="0"/>
              <w:autoSpaceDN w:val="0"/>
              <w:jc w:val="center"/>
              <w:rPr>
                <w:sz w:val="16"/>
                <w:lang w:val="bs-Latn"/>
              </w:rPr>
            </w:pPr>
            <w:r w:rsidRPr="005A1EB1">
              <w:rPr>
                <w:rFonts w:cstheme="minorHAnsi"/>
                <w:b/>
                <w:sz w:val="15"/>
                <w:szCs w:val="15"/>
              </w:rPr>
              <w:t xml:space="preserve"> 202</w:t>
            </w:r>
            <w:r>
              <w:rPr>
                <w:rFonts w:cstheme="minorHAnsi"/>
                <w:b/>
                <w:sz w:val="15"/>
                <w:szCs w:val="15"/>
              </w:rPr>
              <w:t>6</w:t>
            </w:r>
            <w:r w:rsidRPr="005A1EB1">
              <w:rPr>
                <w:rFonts w:cstheme="minorHAnsi"/>
                <w:b/>
                <w:sz w:val="15"/>
                <w:szCs w:val="15"/>
              </w:rPr>
              <w:t>.</w:t>
            </w:r>
          </w:p>
        </w:tc>
        <w:tc>
          <w:tcPr>
            <w:tcW w:w="324" w:type="pct"/>
            <w:vAlign w:val="center"/>
          </w:tcPr>
          <w:p w14:paraId="672F3E37" w14:textId="77777777" w:rsidR="00E541EE" w:rsidRDefault="00E541EE" w:rsidP="00A84BB5">
            <w:pPr>
              <w:widowControl w:val="0"/>
              <w:autoSpaceDE w:val="0"/>
              <w:autoSpaceDN w:val="0"/>
              <w:ind w:left="75" w:right="61"/>
              <w:jc w:val="center"/>
              <w:rPr>
                <w:rFonts w:cstheme="minorHAnsi"/>
                <w:b/>
                <w:sz w:val="15"/>
                <w:szCs w:val="15"/>
              </w:rPr>
            </w:pPr>
            <w:r>
              <w:rPr>
                <w:rFonts w:cstheme="minorHAnsi"/>
                <w:b/>
                <w:sz w:val="15"/>
                <w:szCs w:val="15"/>
              </w:rPr>
              <w:t>z</w:t>
            </w:r>
            <w:r w:rsidRPr="005A1EB1">
              <w:rPr>
                <w:rFonts w:cstheme="minorHAnsi"/>
                <w:b/>
                <w:sz w:val="15"/>
                <w:szCs w:val="15"/>
              </w:rPr>
              <w:t>a</w:t>
            </w:r>
          </w:p>
          <w:p w14:paraId="1A72AA69" w14:textId="77777777" w:rsidR="00E541EE" w:rsidRPr="002A1648" w:rsidRDefault="00E541EE" w:rsidP="00A84BB5">
            <w:pPr>
              <w:widowControl w:val="0"/>
              <w:autoSpaceDE w:val="0"/>
              <w:autoSpaceDN w:val="0"/>
              <w:ind w:left="75" w:right="61"/>
              <w:jc w:val="center"/>
              <w:rPr>
                <w:b/>
                <w:sz w:val="16"/>
                <w:lang w:val="bs-Latn"/>
              </w:rPr>
            </w:pPr>
            <w:r w:rsidRPr="005A1EB1">
              <w:rPr>
                <w:rFonts w:cstheme="minorHAnsi"/>
                <w:b/>
                <w:sz w:val="15"/>
                <w:szCs w:val="15"/>
              </w:rPr>
              <w:t xml:space="preserve"> 202</w:t>
            </w:r>
            <w:r>
              <w:rPr>
                <w:rFonts w:cstheme="minorHAnsi"/>
                <w:b/>
                <w:sz w:val="15"/>
                <w:szCs w:val="15"/>
              </w:rPr>
              <w:t>7</w:t>
            </w:r>
            <w:r w:rsidRPr="005A1EB1">
              <w:rPr>
                <w:rFonts w:cstheme="minorHAnsi"/>
                <w:b/>
                <w:sz w:val="15"/>
                <w:szCs w:val="15"/>
              </w:rPr>
              <w:t>.</w:t>
            </w:r>
          </w:p>
        </w:tc>
        <w:tc>
          <w:tcPr>
            <w:tcW w:w="446" w:type="pct"/>
            <w:vAlign w:val="center"/>
          </w:tcPr>
          <w:p w14:paraId="3C003D3C" w14:textId="77777777" w:rsidR="00E541EE" w:rsidRDefault="00E541EE" w:rsidP="00A84BB5">
            <w:pPr>
              <w:widowControl w:val="0"/>
              <w:autoSpaceDE w:val="0"/>
              <w:autoSpaceDN w:val="0"/>
              <w:ind w:left="70" w:right="56"/>
              <w:jc w:val="center"/>
              <w:rPr>
                <w:rFonts w:cstheme="minorHAnsi"/>
                <w:b/>
                <w:sz w:val="15"/>
                <w:szCs w:val="15"/>
              </w:rPr>
            </w:pPr>
            <w:r>
              <w:rPr>
                <w:rFonts w:cstheme="minorHAnsi"/>
                <w:b/>
                <w:sz w:val="15"/>
                <w:szCs w:val="15"/>
              </w:rPr>
              <w:t>z</w:t>
            </w:r>
            <w:r w:rsidRPr="005A1EB1">
              <w:rPr>
                <w:rFonts w:cstheme="minorHAnsi"/>
                <w:b/>
                <w:sz w:val="15"/>
                <w:szCs w:val="15"/>
              </w:rPr>
              <w:t>a</w:t>
            </w:r>
          </w:p>
          <w:p w14:paraId="7039FE63" w14:textId="77777777" w:rsidR="00E541EE" w:rsidRPr="002A1648" w:rsidRDefault="00E541EE" w:rsidP="00A84BB5">
            <w:pPr>
              <w:widowControl w:val="0"/>
              <w:autoSpaceDE w:val="0"/>
              <w:autoSpaceDN w:val="0"/>
              <w:ind w:left="70" w:right="56"/>
              <w:jc w:val="center"/>
              <w:rPr>
                <w:b/>
                <w:sz w:val="16"/>
                <w:lang w:val="bs-Latn"/>
              </w:rPr>
            </w:pPr>
            <w:r w:rsidRPr="005A1EB1">
              <w:rPr>
                <w:rFonts w:cstheme="minorHAnsi"/>
                <w:b/>
                <w:sz w:val="15"/>
                <w:szCs w:val="15"/>
              </w:rPr>
              <w:t xml:space="preserve"> 202</w:t>
            </w:r>
            <w:r>
              <w:rPr>
                <w:rFonts w:cstheme="minorHAnsi"/>
                <w:b/>
                <w:sz w:val="15"/>
                <w:szCs w:val="15"/>
              </w:rPr>
              <w:t>8</w:t>
            </w:r>
            <w:r w:rsidRPr="005A1EB1">
              <w:rPr>
                <w:rFonts w:cstheme="minorHAnsi"/>
                <w:b/>
                <w:sz w:val="15"/>
                <w:szCs w:val="15"/>
              </w:rPr>
              <w:t>.</w:t>
            </w:r>
          </w:p>
        </w:tc>
      </w:tr>
      <w:tr w:rsidR="00E541EE" w:rsidRPr="002A1648" w14:paraId="3ED80EAF" w14:textId="77777777" w:rsidTr="00A84BB5">
        <w:trPr>
          <w:trHeight w:val="982"/>
        </w:trPr>
        <w:tc>
          <w:tcPr>
            <w:tcW w:w="479" w:type="pct"/>
            <w:vAlign w:val="center"/>
          </w:tcPr>
          <w:p w14:paraId="0233FB23" w14:textId="77777777" w:rsidR="00E541EE" w:rsidRPr="002A1648" w:rsidRDefault="00E541EE" w:rsidP="00A84BB5">
            <w:pPr>
              <w:widowControl w:val="0"/>
              <w:autoSpaceDE w:val="0"/>
              <w:autoSpaceDN w:val="0"/>
              <w:jc w:val="center"/>
              <w:rPr>
                <w:sz w:val="16"/>
                <w:lang w:val="bs-Latn"/>
              </w:rPr>
            </w:pPr>
          </w:p>
          <w:p w14:paraId="1F3630C7" w14:textId="77777777" w:rsidR="00E541EE" w:rsidRPr="002A1648" w:rsidRDefault="00E541EE" w:rsidP="00A84BB5">
            <w:pPr>
              <w:widowControl w:val="0"/>
              <w:autoSpaceDE w:val="0"/>
              <w:autoSpaceDN w:val="0"/>
              <w:ind w:left="42" w:right="33"/>
              <w:jc w:val="center"/>
              <w:rPr>
                <w:sz w:val="16"/>
                <w:lang w:val="bs-Latn"/>
              </w:rPr>
            </w:pPr>
            <w:r w:rsidRPr="002A1648">
              <w:rPr>
                <w:sz w:val="16"/>
                <w:lang w:val="bs-Latn"/>
              </w:rPr>
              <w:t>Provedbeni program Grada Rovinj-Rovigno 202</w:t>
            </w:r>
            <w:r>
              <w:rPr>
                <w:sz w:val="16"/>
                <w:lang w:val="bs-Latn"/>
              </w:rPr>
              <w:t>5.</w:t>
            </w:r>
            <w:r w:rsidRPr="002A1648">
              <w:rPr>
                <w:sz w:val="16"/>
                <w:lang w:val="bs-Latn"/>
              </w:rPr>
              <w:t>-202</w:t>
            </w:r>
            <w:r>
              <w:rPr>
                <w:sz w:val="16"/>
                <w:lang w:val="bs-Latn"/>
              </w:rPr>
              <w:t>9.</w:t>
            </w:r>
          </w:p>
        </w:tc>
        <w:tc>
          <w:tcPr>
            <w:tcW w:w="496" w:type="pct"/>
            <w:vAlign w:val="center"/>
          </w:tcPr>
          <w:p w14:paraId="7CFA0B92" w14:textId="77777777" w:rsidR="00E541EE" w:rsidRPr="009F2A3C" w:rsidRDefault="00E541EE" w:rsidP="00A84BB5">
            <w:pPr>
              <w:widowControl w:val="0"/>
              <w:autoSpaceDE w:val="0"/>
              <w:autoSpaceDN w:val="0"/>
              <w:ind w:left="28" w:right="19" w:firstLine="2"/>
              <w:jc w:val="center"/>
              <w:rPr>
                <w:sz w:val="16"/>
                <w:lang w:val="bs-Latn"/>
              </w:rPr>
            </w:pPr>
            <w:r w:rsidRPr="009F2A3C">
              <w:rPr>
                <w:sz w:val="16"/>
                <w:lang w:val="bs-Latn"/>
              </w:rPr>
              <w:t>1.</w:t>
            </w:r>
            <w:r>
              <w:rPr>
                <w:sz w:val="16"/>
                <w:lang w:val="bs-Latn"/>
              </w:rPr>
              <w:t xml:space="preserve">1. </w:t>
            </w:r>
            <w:r w:rsidRPr="009F2A3C">
              <w:rPr>
                <w:sz w:val="16"/>
                <w:lang w:val="bs-Latn"/>
              </w:rPr>
              <w:t>Energetska tranzicija i suočavanje s posljedicama klimatskih promjena</w:t>
            </w:r>
          </w:p>
        </w:tc>
        <w:tc>
          <w:tcPr>
            <w:tcW w:w="500" w:type="pct"/>
            <w:shd w:val="clear" w:color="auto" w:fill="FFF1CC"/>
            <w:vAlign w:val="center"/>
          </w:tcPr>
          <w:p w14:paraId="1F9AE99C" w14:textId="77777777" w:rsidR="00E541EE" w:rsidRPr="002A1648" w:rsidRDefault="00E541EE" w:rsidP="00A84BB5">
            <w:pPr>
              <w:widowControl w:val="0"/>
              <w:autoSpaceDE w:val="0"/>
              <w:autoSpaceDN w:val="0"/>
              <w:spacing w:before="7"/>
              <w:jc w:val="center"/>
              <w:rPr>
                <w:sz w:val="15"/>
                <w:lang w:val="bs-Latn"/>
              </w:rPr>
            </w:pPr>
          </w:p>
          <w:p w14:paraId="1500CC08" w14:textId="77777777" w:rsidR="00E541EE" w:rsidRPr="002A1648" w:rsidRDefault="00E541EE" w:rsidP="00A84BB5">
            <w:pPr>
              <w:widowControl w:val="0"/>
              <w:autoSpaceDE w:val="0"/>
              <w:autoSpaceDN w:val="0"/>
              <w:ind w:left="74" w:right="63" w:hanging="4"/>
              <w:jc w:val="center"/>
              <w:rPr>
                <w:sz w:val="16"/>
                <w:lang w:val="bs-Latn"/>
              </w:rPr>
            </w:pPr>
            <w:r w:rsidRPr="002A1648">
              <w:rPr>
                <w:sz w:val="16"/>
                <w:lang w:val="bs-Latn"/>
              </w:rPr>
              <w:t>P</w:t>
            </w:r>
            <w:r>
              <w:rPr>
                <w:sz w:val="16"/>
                <w:lang w:val="bs-Latn"/>
              </w:rPr>
              <w:t xml:space="preserve"> </w:t>
            </w:r>
            <w:r w:rsidRPr="002A1648">
              <w:rPr>
                <w:sz w:val="16"/>
                <w:lang w:val="bs-Latn"/>
              </w:rPr>
              <w:t>1021 JAVNE I ZELENE POVRŠINE</w:t>
            </w:r>
          </w:p>
        </w:tc>
        <w:tc>
          <w:tcPr>
            <w:tcW w:w="481" w:type="pct"/>
            <w:vAlign w:val="center"/>
          </w:tcPr>
          <w:p w14:paraId="5AA017E3" w14:textId="77777777" w:rsidR="00E541EE" w:rsidRPr="002A1648" w:rsidRDefault="00E541EE" w:rsidP="00A84BB5">
            <w:pPr>
              <w:widowControl w:val="0"/>
              <w:autoSpaceDE w:val="0"/>
              <w:autoSpaceDN w:val="0"/>
              <w:spacing w:before="7"/>
              <w:jc w:val="center"/>
              <w:rPr>
                <w:sz w:val="15"/>
                <w:lang w:val="bs-Latn"/>
              </w:rPr>
            </w:pPr>
          </w:p>
          <w:p w14:paraId="4AC13628" w14:textId="77777777" w:rsidR="00E541EE" w:rsidRPr="002A1648" w:rsidRDefault="00E541EE" w:rsidP="00A84BB5">
            <w:pPr>
              <w:widowControl w:val="0"/>
              <w:autoSpaceDE w:val="0"/>
              <w:autoSpaceDN w:val="0"/>
              <w:ind w:left="29" w:right="11" w:firstLine="9"/>
              <w:jc w:val="center"/>
              <w:rPr>
                <w:sz w:val="16"/>
              </w:rPr>
            </w:pPr>
            <w:r>
              <w:rPr>
                <w:sz w:val="16"/>
                <w:lang w:val="bs-Latn"/>
              </w:rPr>
              <w:t>Prilagodba klimatskim promjenama</w:t>
            </w:r>
          </w:p>
        </w:tc>
        <w:tc>
          <w:tcPr>
            <w:tcW w:w="495" w:type="pct"/>
            <w:shd w:val="clear" w:color="auto" w:fill="FFF1CC"/>
            <w:vAlign w:val="center"/>
          </w:tcPr>
          <w:p w14:paraId="71477C70" w14:textId="77777777" w:rsidR="00E541EE" w:rsidRPr="002A1648" w:rsidRDefault="00E541EE" w:rsidP="00A84BB5">
            <w:pPr>
              <w:widowControl w:val="0"/>
              <w:autoSpaceDE w:val="0"/>
              <w:autoSpaceDN w:val="0"/>
              <w:jc w:val="center"/>
              <w:rPr>
                <w:sz w:val="16"/>
                <w:lang w:val="bs-Latn"/>
              </w:rPr>
            </w:pPr>
          </w:p>
          <w:p w14:paraId="5E7DC1B5" w14:textId="77777777" w:rsidR="00E541EE" w:rsidRPr="002A1648" w:rsidRDefault="00E541EE" w:rsidP="00A84BB5">
            <w:pPr>
              <w:widowControl w:val="0"/>
              <w:autoSpaceDE w:val="0"/>
              <w:autoSpaceDN w:val="0"/>
              <w:jc w:val="center"/>
              <w:rPr>
                <w:sz w:val="16"/>
                <w:lang w:val="bs-Latn"/>
              </w:rPr>
            </w:pPr>
          </w:p>
          <w:p w14:paraId="197D21AF" w14:textId="77777777" w:rsidR="00E541EE" w:rsidRPr="000352A6" w:rsidRDefault="00E541EE" w:rsidP="00A84BB5">
            <w:pPr>
              <w:widowControl w:val="0"/>
              <w:autoSpaceDE w:val="0"/>
              <w:autoSpaceDN w:val="0"/>
              <w:spacing w:before="8"/>
              <w:jc w:val="center"/>
              <w:rPr>
                <w:sz w:val="15"/>
                <w:lang w:val="bs-Latn"/>
              </w:rPr>
            </w:pPr>
          </w:p>
          <w:p w14:paraId="708203BF" w14:textId="77777777" w:rsidR="00E541EE" w:rsidRPr="002A1648" w:rsidRDefault="00E541EE" w:rsidP="00A84BB5">
            <w:pPr>
              <w:widowControl w:val="0"/>
              <w:autoSpaceDE w:val="0"/>
              <w:autoSpaceDN w:val="0"/>
              <w:jc w:val="center"/>
              <w:rPr>
                <w:sz w:val="16"/>
                <w:lang w:val="bs-Latn"/>
              </w:rPr>
            </w:pPr>
            <w:r w:rsidRPr="000352A6">
              <w:rPr>
                <w:sz w:val="16"/>
                <w:lang w:val="bs-Latn"/>
              </w:rPr>
              <w:t>5</w:t>
            </w:r>
            <w:r>
              <w:rPr>
                <w:sz w:val="16"/>
                <w:lang w:val="bs-Latn"/>
              </w:rPr>
              <w:t>8</w:t>
            </w:r>
            <w:r w:rsidRPr="000352A6">
              <w:rPr>
                <w:sz w:val="16"/>
                <w:lang w:val="bs-Latn"/>
              </w:rPr>
              <w:t xml:space="preserve">7.000,00 </w:t>
            </w:r>
          </w:p>
        </w:tc>
        <w:tc>
          <w:tcPr>
            <w:tcW w:w="531" w:type="pct"/>
            <w:vAlign w:val="center"/>
          </w:tcPr>
          <w:p w14:paraId="46D6BA09" w14:textId="77777777" w:rsidR="00E541EE" w:rsidRPr="002A1648" w:rsidRDefault="00E541EE" w:rsidP="00A84BB5">
            <w:pPr>
              <w:widowControl w:val="0"/>
              <w:autoSpaceDE w:val="0"/>
              <w:autoSpaceDN w:val="0"/>
              <w:spacing w:before="7"/>
              <w:jc w:val="center"/>
              <w:rPr>
                <w:sz w:val="16"/>
                <w:lang w:val="bs-Latn"/>
              </w:rPr>
            </w:pPr>
          </w:p>
          <w:p w14:paraId="36ABCAA7" w14:textId="77777777" w:rsidR="00E541EE" w:rsidRPr="002A1648" w:rsidRDefault="00E541EE" w:rsidP="00A84BB5">
            <w:pPr>
              <w:widowControl w:val="0"/>
              <w:autoSpaceDE w:val="0"/>
              <w:autoSpaceDN w:val="0"/>
              <w:ind w:right="180"/>
              <w:jc w:val="center"/>
              <w:rPr>
                <w:sz w:val="16"/>
                <w:lang w:val="bs-Latn"/>
              </w:rPr>
            </w:pPr>
            <w:r>
              <w:rPr>
                <w:sz w:val="16"/>
                <w:lang w:val="bs-Latn"/>
              </w:rPr>
              <w:t>A</w:t>
            </w:r>
            <w:r w:rsidRPr="002A1648">
              <w:rPr>
                <w:sz w:val="16"/>
                <w:lang w:val="bs-Latn"/>
              </w:rPr>
              <w:t>102103: Uređenje parkova i zelenih površina</w:t>
            </w:r>
          </w:p>
        </w:tc>
        <w:tc>
          <w:tcPr>
            <w:tcW w:w="491" w:type="pct"/>
            <w:shd w:val="clear" w:color="auto" w:fill="FFF1CC"/>
            <w:vAlign w:val="center"/>
          </w:tcPr>
          <w:p w14:paraId="778A4B45" w14:textId="77777777" w:rsidR="00E541EE" w:rsidRPr="002A1648" w:rsidRDefault="00E541EE" w:rsidP="00A84BB5">
            <w:pPr>
              <w:widowControl w:val="0"/>
              <w:autoSpaceDE w:val="0"/>
              <w:autoSpaceDN w:val="0"/>
              <w:jc w:val="center"/>
              <w:rPr>
                <w:sz w:val="16"/>
                <w:lang w:val="bs-Latn"/>
              </w:rPr>
            </w:pPr>
            <w:r>
              <w:rPr>
                <w:sz w:val="16"/>
                <w:lang w:val="bs-Latn"/>
              </w:rPr>
              <w:t>m</w:t>
            </w:r>
            <w:r w:rsidRPr="002A1648">
              <w:rPr>
                <w:sz w:val="16"/>
                <w:lang w:val="bs-Latn"/>
              </w:rPr>
              <w:t>2 adekvatno uređenih zelenih javnih površina</w:t>
            </w:r>
          </w:p>
        </w:tc>
        <w:tc>
          <w:tcPr>
            <w:tcW w:w="403" w:type="pct"/>
            <w:shd w:val="clear" w:color="auto" w:fill="FFF1CC"/>
            <w:vAlign w:val="center"/>
          </w:tcPr>
          <w:p w14:paraId="0F7697C5" w14:textId="77777777" w:rsidR="00E541EE" w:rsidRPr="002A1648" w:rsidRDefault="00E541EE" w:rsidP="00A84BB5">
            <w:pPr>
              <w:widowControl w:val="0"/>
              <w:autoSpaceDE w:val="0"/>
              <w:autoSpaceDN w:val="0"/>
              <w:jc w:val="center"/>
              <w:rPr>
                <w:sz w:val="16"/>
                <w:lang w:val="bs-Latn"/>
              </w:rPr>
            </w:pPr>
            <w:r>
              <w:rPr>
                <w:sz w:val="16"/>
                <w:lang w:val="bs-Latn"/>
              </w:rPr>
              <w:t>900.000</w:t>
            </w:r>
          </w:p>
        </w:tc>
        <w:tc>
          <w:tcPr>
            <w:tcW w:w="355" w:type="pct"/>
            <w:shd w:val="clear" w:color="auto" w:fill="FFF1CC"/>
          </w:tcPr>
          <w:p w14:paraId="53A9243A" w14:textId="77777777" w:rsidR="00E541EE" w:rsidRDefault="00E541EE" w:rsidP="00A84BB5">
            <w:pPr>
              <w:widowControl w:val="0"/>
              <w:autoSpaceDE w:val="0"/>
              <w:autoSpaceDN w:val="0"/>
              <w:rPr>
                <w:sz w:val="16"/>
              </w:rPr>
            </w:pPr>
          </w:p>
          <w:p w14:paraId="1ADF9FBC" w14:textId="77777777" w:rsidR="00E541EE" w:rsidRDefault="00E541EE" w:rsidP="00A84BB5">
            <w:pPr>
              <w:widowControl w:val="0"/>
              <w:autoSpaceDE w:val="0"/>
              <w:autoSpaceDN w:val="0"/>
              <w:jc w:val="center"/>
              <w:rPr>
                <w:sz w:val="12"/>
                <w:szCs w:val="12"/>
              </w:rPr>
            </w:pPr>
          </w:p>
          <w:p w14:paraId="0FFFC0E6" w14:textId="77777777" w:rsidR="00E541EE" w:rsidRPr="00002D50" w:rsidRDefault="00E541EE" w:rsidP="00A84BB5">
            <w:pPr>
              <w:widowControl w:val="0"/>
              <w:autoSpaceDE w:val="0"/>
              <w:autoSpaceDN w:val="0"/>
              <w:jc w:val="center"/>
              <w:rPr>
                <w:sz w:val="12"/>
                <w:szCs w:val="12"/>
              </w:rPr>
            </w:pPr>
          </w:p>
          <w:p w14:paraId="6197E39C" w14:textId="77777777" w:rsidR="00E541EE" w:rsidRPr="002A1648" w:rsidRDefault="00E541EE" w:rsidP="00A84BB5">
            <w:pPr>
              <w:widowControl w:val="0"/>
              <w:autoSpaceDE w:val="0"/>
              <w:autoSpaceDN w:val="0"/>
              <w:jc w:val="center"/>
              <w:rPr>
                <w:sz w:val="16"/>
              </w:rPr>
            </w:pPr>
            <w:r>
              <w:rPr>
                <w:sz w:val="16"/>
              </w:rPr>
              <w:t>900.100</w:t>
            </w:r>
          </w:p>
        </w:tc>
        <w:tc>
          <w:tcPr>
            <w:tcW w:w="324" w:type="pct"/>
            <w:shd w:val="clear" w:color="auto" w:fill="FFF1CC"/>
            <w:vAlign w:val="center"/>
          </w:tcPr>
          <w:p w14:paraId="1B03D062" w14:textId="77777777" w:rsidR="00E541EE" w:rsidRPr="002A1648" w:rsidRDefault="00E541EE" w:rsidP="00A84BB5">
            <w:pPr>
              <w:widowControl w:val="0"/>
              <w:autoSpaceDE w:val="0"/>
              <w:autoSpaceDN w:val="0"/>
              <w:jc w:val="center"/>
              <w:rPr>
                <w:sz w:val="16"/>
                <w:lang w:val="bs-Latn"/>
              </w:rPr>
            </w:pPr>
            <w:r>
              <w:rPr>
                <w:sz w:val="16"/>
              </w:rPr>
              <w:t>900.200</w:t>
            </w:r>
          </w:p>
        </w:tc>
        <w:tc>
          <w:tcPr>
            <w:tcW w:w="446" w:type="pct"/>
            <w:shd w:val="clear" w:color="auto" w:fill="FFF1CC"/>
            <w:vAlign w:val="center"/>
          </w:tcPr>
          <w:p w14:paraId="7C5E0AFA" w14:textId="77777777" w:rsidR="00E541EE" w:rsidRPr="002A1648" w:rsidRDefault="00E541EE" w:rsidP="00A84BB5">
            <w:pPr>
              <w:widowControl w:val="0"/>
              <w:autoSpaceDE w:val="0"/>
              <w:autoSpaceDN w:val="0"/>
              <w:jc w:val="center"/>
              <w:rPr>
                <w:sz w:val="16"/>
                <w:lang w:val="bs-Latn"/>
              </w:rPr>
            </w:pPr>
            <w:r>
              <w:rPr>
                <w:sz w:val="16"/>
                <w:lang w:val="bs-Latn"/>
              </w:rPr>
              <w:t>900.300</w:t>
            </w:r>
          </w:p>
        </w:tc>
      </w:tr>
    </w:tbl>
    <w:p w14:paraId="01B81EC7" w14:textId="77777777" w:rsidR="00E541EE" w:rsidRPr="00447D66" w:rsidRDefault="00E541EE" w:rsidP="00E541EE">
      <w:pPr>
        <w:jc w:val="both"/>
        <w:rPr>
          <w:rFonts w:ascii="Arial" w:eastAsia="Times New Roman" w:hAnsi="Arial" w:cs="Arial"/>
          <w:color w:val="AEAAAA" w:themeColor="background2" w:themeShade="BF"/>
          <w:sz w:val="24"/>
          <w:szCs w:val="24"/>
        </w:rPr>
      </w:pPr>
    </w:p>
    <w:p w14:paraId="0F816B8C" w14:textId="06093A56" w:rsidR="00E541EE" w:rsidRPr="002A1648" w:rsidRDefault="00E541EE" w:rsidP="00E541EE">
      <w:pPr>
        <w:pBdr>
          <w:top w:val="single" w:sz="4" w:space="1" w:color="auto"/>
          <w:left w:val="single" w:sz="4" w:space="4" w:color="auto"/>
          <w:bottom w:val="single" w:sz="4" w:space="1" w:color="auto"/>
          <w:right w:val="single" w:sz="4" w:space="0" w:color="auto"/>
        </w:pBdr>
        <w:shd w:val="clear" w:color="auto" w:fill="E9E9E9"/>
        <w:ind w:right="-1"/>
        <w:rPr>
          <w:rFonts w:ascii="Arial" w:eastAsia="Times New Roman" w:hAnsi="Arial" w:cs="Arial"/>
          <w:b/>
          <w:sz w:val="24"/>
          <w:szCs w:val="24"/>
        </w:rPr>
      </w:pPr>
      <w:r w:rsidRPr="002A1648">
        <w:rPr>
          <w:rFonts w:ascii="Arial" w:eastAsia="Times New Roman" w:hAnsi="Arial" w:cs="Arial"/>
          <w:b/>
          <w:sz w:val="24"/>
          <w:szCs w:val="24"/>
        </w:rPr>
        <w:t>A 102101: Čišćenje javnih površina = 3</w:t>
      </w:r>
      <w:r>
        <w:rPr>
          <w:rFonts w:ascii="Arial" w:eastAsia="Times New Roman" w:hAnsi="Arial" w:cs="Arial"/>
          <w:b/>
          <w:sz w:val="24"/>
          <w:szCs w:val="24"/>
        </w:rPr>
        <w:t>5</w:t>
      </w:r>
      <w:r w:rsidR="00220805">
        <w:rPr>
          <w:rFonts w:ascii="Arial" w:eastAsia="Times New Roman" w:hAnsi="Arial" w:cs="Arial"/>
          <w:b/>
          <w:sz w:val="24"/>
          <w:szCs w:val="24"/>
        </w:rPr>
        <w:t>0</w:t>
      </w:r>
      <w:r w:rsidRPr="002A1648">
        <w:rPr>
          <w:rFonts w:ascii="Arial" w:eastAsia="Times New Roman" w:hAnsi="Arial" w:cs="Arial"/>
          <w:b/>
          <w:sz w:val="24"/>
          <w:szCs w:val="24"/>
        </w:rPr>
        <w:t>.</w:t>
      </w:r>
      <w:r>
        <w:rPr>
          <w:rFonts w:ascii="Arial" w:eastAsia="Times New Roman" w:hAnsi="Arial" w:cs="Arial"/>
          <w:b/>
          <w:sz w:val="24"/>
          <w:szCs w:val="24"/>
        </w:rPr>
        <w:t>0</w:t>
      </w:r>
      <w:r w:rsidRPr="002A1648">
        <w:rPr>
          <w:rFonts w:ascii="Arial" w:eastAsia="Times New Roman" w:hAnsi="Arial" w:cs="Arial"/>
          <w:b/>
          <w:sz w:val="24"/>
          <w:szCs w:val="24"/>
        </w:rPr>
        <w:t>00,00 EUR</w:t>
      </w:r>
    </w:p>
    <w:p w14:paraId="730796A0" w14:textId="77777777" w:rsidR="00E541EE" w:rsidRPr="002A1648" w:rsidRDefault="00E541EE" w:rsidP="00E541EE">
      <w:pPr>
        <w:jc w:val="both"/>
        <w:rPr>
          <w:rFonts w:ascii="Arial" w:eastAsia="Times New Roman" w:hAnsi="Arial" w:cs="Arial"/>
          <w:sz w:val="24"/>
          <w:szCs w:val="24"/>
        </w:rPr>
      </w:pPr>
      <w:r w:rsidRPr="002A1648">
        <w:rPr>
          <w:rFonts w:ascii="Arial" w:eastAsia="Times New Roman" w:hAnsi="Arial" w:cs="Arial"/>
          <w:b/>
          <w:sz w:val="24"/>
          <w:szCs w:val="24"/>
        </w:rPr>
        <w:t xml:space="preserve">Zakonska osnova: </w:t>
      </w:r>
      <w:r w:rsidRPr="002A1648">
        <w:rPr>
          <w:rFonts w:ascii="Arial" w:eastAsia="Times New Roman" w:hAnsi="Arial" w:cs="Arial"/>
          <w:sz w:val="24"/>
          <w:szCs w:val="24"/>
        </w:rPr>
        <w:t>Zakon o komunalnom gospodarstvu, Odluka o komunalnim djelatnostima.</w:t>
      </w:r>
    </w:p>
    <w:p w14:paraId="052A74E2" w14:textId="77777777" w:rsidR="00E541EE" w:rsidRPr="002A1648" w:rsidRDefault="00E541EE" w:rsidP="00E541EE">
      <w:pPr>
        <w:jc w:val="both"/>
        <w:rPr>
          <w:rFonts w:ascii="Arial" w:eastAsia="Times New Roman" w:hAnsi="Arial" w:cs="Arial"/>
          <w:sz w:val="24"/>
          <w:szCs w:val="24"/>
        </w:rPr>
      </w:pPr>
      <w:r w:rsidRPr="002A1648">
        <w:rPr>
          <w:rFonts w:ascii="Arial" w:eastAsia="Times New Roman" w:hAnsi="Arial" w:cs="Arial"/>
          <w:b/>
          <w:sz w:val="24"/>
          <w:szCs w:val="24"/>
        </w:rPr>
        <w:t xml:space="preserve">Opis: </w:t>
      </w:r>
      <w:r w:rsidRPr="002A1648">
        <w:rPr>
          <w:rFonts w:ascii="Arial" w:eastAsia="Times New Roman" w:hAnsi="Arial" w:cs="Arial"/>
          <w:sz w:val="24"/>
          <w:szCs w:val="24"/>
        </w:rPr>
        <w:t>redovno strojno i ručno čišćenje javnih površina (trgova, pješačkih zona, javnih prometnih površina, nerazvrstanih cesta koje prolaze kroz naselje i dr. javnih površina) vrši se putem Komunalnog servisa kao komunalna djelatnost i obuhvaća:</w:t>
      </w:r>
    </w:p>
    <w:p w14:paraId="48D2C636" w14:textId="77777777" w:rsidR="00E541EE" w:rsidRPr="002A1648" w:rsidRDefault="00E541EE" w:rsidP="00E541EE">
      <w:pPr>
        <w:jc w:val="both"/>
        <w:rPr>
          <w:rFonts w:ascii="Arial" w:eastAsia="Times New Roman" w:hAnsi="Arial" w:cs="Arial"/>
          <w:sz w:val="24"/>
          <w:szCs w:val="24"/>
        </w:rPr>
      </w:pPr>
      <w:r w:rsidRPr="002A1648">
        <w:rPr>
          <w:rFonts w:ascii="Arial" w:eastAsia="Times New Roman" w:hAnsi="Arial" w:cs="Arial"/>
          <w:sz w:val="24"/>
          <w:szCs w:val="24"/>
        </w:rPr>
        <w:t>a) Ručno pometanje centra grada do Centenera - svakodnevno</w:t>
      </w:r>
    </w:p>
    <w:p w14:paraId="590AE3BA" w14:textId="77777777" w:rsidR="00E541EE" w:rsidRPr="002A1648" w:rsidRDefault="00E541EE" w:rsidP="00E541EE">
      <w:pPr>
        <w:jc w:val="both"/>
        <w:rPr>
          <w:rFonts w:ascii="Arial" w:eastAsia="Times New Roman" w:hAnsi="Arial" w:cs="Arial"/>
          <w:sz w:val="24"/>
          <w:szCs w:val="24"/>
        </w:rPr>
      </w:pPr>
      <w:r w:rsidRPr="002A1648">
        <w:rPr>
          <w:rFonts w:ascii="Arial" w:eastAsia="Times New Roman" w:hAnsi="Arial" w:cs="Arial"/>
          <w:sz w:val="24"/>
          <w:szCs w:val="24"/>
        </w:rPr>
        <w:t>- u zimskom periodu - 6 puta tjedno, a nedjeljom i praznikom dežurna služba održava Trg maršala Tita, Obala Pino Budicin, Ulica Carera i Trg na Lokvi,</w:t>
      </w:r>
    </w:p>
    <w:p w14:paraId="11CF35CF" w14:textId="77777777" w:rsidR="00E541EE" w:rsidRPr="002A1648" w:rsidRDefault="00E541EE" w:rsidP="00E541EE">
      <w:pPr>
        <w:jc w:val="both"/>
        <w:rPr>
          <w:rFonts w:ascii="Arial" w:eastAsia="Times New Roman" w:hAnsi="Arial" w:cs="Arial"/>
          <w:sz w:val="24"/>
          <w:szCs w:val="24"/>
        </w:rPr>
      </w:pPr>
      <w:r w:rsidRPr="002A1648">
        <w:rPr>
          <w:rFonts w:ascii="Arial" w:eastAsia="Times New Roman" w:hAnsi="Arial" w:cs="Arial"/>
          <w:sz w:val="24"/>
          <w:szCs w:val="24"/>
        </w:rPr>
        <w:t>- ljeti - svakodnevno čišćenje i strojno pranje 2 puta tjedno, najfrekventniji dio povijesne jezgre čisti se i u popodnevnim satima sa dvije pometačice.</w:t>
      </w:r>
    </w:p>
    <w:p w14:paraId="554FF481" w14:textId="77777777" w:rsidR="00E541EE" w:rsidRPr="002A1648" w:rsidRDefault="00E541EE" w:rsidP="00E541EE">
      <w:pPr>
        <w:jc w:val="both"/>
        <w:rPr>
          <w:rFonts w:ascii="Arial" w:eastAsia="Times New Roman" w:hAnsi="Arial" w:cs="Arial"/>
          <w:sz w:val="24"/>
          <w:szCs w:val="24"/>
        </w:rPr>
      </w:pPr>
      <w:r w:rsidRPr="002A1648">
        <w:rPr>
          <w:rFonts w:ascii="Arial" w:eastAsia="Times New Roman" w:hAnsi="Arial" w:cs="Arial"/>
          <w:sz w:val="24"/>
          <w:szCs w:val="24"/>
        </w:rPr>
        <w:t>b) Strojno pometanje grada sa 2 strojne pometačice obuhvaća pometanje prema terminskom planu u slijedećim granicama;</w:t>
      </w:r>
    </w:p>
    <w:p w14:paraId="7763DC71" w14:textId="77777777" w:rsidR="00E541EE" w:rsidRPr="002A1648" w:rsidRDefault="00E541EE" w:rsidP="00E541EE">
      <w:pPr>
        <w:jc w:val="both"/>
        <w:rPr>
          <w:rFonts w:ascii="Arial" w:eastAsia="Times New Roman" w:hAnsi="Arial" w:cs="Arial"/>
          <w:sz w:val="24"/>
          <w:szCs w:val="24"/>
        </w:rPr>
      </w:pPr>
      <w:r w:rsidRPr="002A1648">
        <w:rPr>
          <w:rFonts w:ascii="Arial" w:eastAsia="Times New Roman" w:hAnsi="Arial" w:cs="Arial"/>
          <w:sz w:val="24"/>
          <w:szCs w:val="24"/>
        </w:rPr>
        <w:t>- svakodnevno: pješačka zona, Giordano Paliaga , Vladimir Nazor, Carducci,</w:t>
      </w:r>
    </w:p>
    <w:p w14:paraId="4D0CC440" w14:textId="77777777" w:rsidR="00E541EE" w:rsidRPr="002A1648" w:rsidRDefault="00E541EE" w:rsidP="00E541EE">
      <w:pPr>
        <w:jc w:val="both"/>
        <w:rPr>
          <w:rFonts w:ascii="Arial" w:eastAsia="Times New Roman" w:hAnsi="Arial" w:cs="Arial"/>
          <w:sz w:val="24"/>
          <w:szCs w:val="24"/>
        </w:rPr>
      </w:pPr>
      <w:r w:rsidRPr="002A1648">
        <w:rPr>
          <w:rFonts w:ascii="Arial" w:eastAsia="Times New Roman" w:hAnsi="Arial" w:cs="Arial"/>
          <w:sz w:val="24"/>
          <w:szCs w:val="24"/>
        </w:rPr>
        <w:t>- jedanput tjedno periferija, prigradska naselja i Rovinjsko Selo po terminskom planu, svaki dan jedno naselje.</w:t>
      </w:r>
    </w:p>
    <w:p w14:paraId="7DD1A5FC" w14:textId="77777777" w:rsidR="00E541EE" w:rsidRPr="002A1648" w:rsidRDefault="00E541EE" w:rsidP="00E541EE">
      <w:pPr>
        <w:jc w:val="both"/>
        <w:rPr>
          <w:rFonts w:ascii="Arial" w:eastAsia="Times New Roman" w:hAnsi="Arial" w:cs="Arial"/>
          <w:sz w:val="24"/>
          <w:szCs w:val="24"/>
        </w:rPr>
      </w:pPr>
      <w:r w:rsidRPr="002A1648">
        <w:rPr>
          <w:rFonts w:ascii="Arial" w:eastAsia="Times New Roman" w:hAnsi="Arial" w:cs="Arial"/>
          <w:sz w:val="24"/>
          <w:szCs w:val="24"/>
        </w:rPr>
        <w:t>U ljetnim mjesecima intenzitet strojnog čišćenja povećava se prema potrebama.</w:t>
      </w:r>
    </w:p>
    <w:p w14:paraId="6ED9B379" w14:textId="77777777" w:rsidR="00E541EE" w:rsidRPr="002A1648" w:rsidRDefault="00E541EE" w:rsidP="00E541EE">
      <w:pPr>
        <w:jc w:val="both"/>
        <w:rPr>
          <w:rFonts w:ascii="Arial" w:eastAsia="Times New Roman" w:hAnsi="Arial" w:cs="Arial"/>
          <w:b/>
          <w:bCs/>
          <w:sz w:val="24"/>
          <w:szCs w:val="24"/>
        </w:rPr>
      </w:pPr>
      <w:r w:rsidRPr="002A1648">
        <w:rPr>
          <w:rFonts w:ascii="Arial" w:eastAsia="Times New Roman" w:hAnsi="Arial" w:cs="Arial"/>
          <w:b/>
          <w:bCs/>
          <w:sz w:val="24"/>
          <w:szCs w:val="24"/>
        </w:rPr>
        <w:t xml:space="preserve">Opći cilj: </w:t>
      </w:r>
      <w:r w:rsidRPr="002A1648">
        <w:rPr>
          <w:rFonts w:ascii="Arial" w:eastAsia="Times New Roman" w:hAnsi="Arial" w:cs="Arial"/>
          <w:bCs/>
          <w:sz w:val="24"/>
          <w:szCs w:val="24"/>
        </w:rPr>
        <w:t>čistoća javnih površina.</w:t>
      </w:r>
    </w:p>
    <w:p w14:paraId="30C71DC6" w14:textId="77777777" w:rsidR="00E541EE" w:rsidRPr="002A1648" w:rsidRDefault="00E541EE" w:rsidP="00E541EE">
      <w:pPr>
        <w:jc w:val="both"/>
        <w:rPr>
          <w:rFonts w:ascii="Arial" w:eastAsia="Times New Roman" w:hAnsi="Arial" w:cs="Arial"/>
          <w:sz w:val="24"/>
          <w:szCs w:val="24"/>
        </w:rPr>
      </w:pPr>
      <w:r w:rsidRPr="002A1648">
        <w:rPr>
          <w:rFonts w:ascii="Arial" w:eastAsia="Times New Roman" w:hAnsi="Arial" w:cs="Arial"/>
          <w:b/>
          <w:bCs/>
          <w:sz w:val="24"/>
          <w:szCs w:val="24"/>
        </w:rPr>
        <w:t>Pokazatelj uspješnosti:</w:t>
      </w:r>
      <w:r w:rsidRPr="002A1648">
        <w:rPr>
          <w:rFonts w:ascii="Arial" w:eastAsia="Times New Roman" w:hAnsi="Arial" w:cs="Arial"/>
          <w:sz w:val="24"/>
          <w:szCs w:val="24"/>
        </w:rPr>
        <w:t xml:space="preserve"> ručno pometanje Rovinja do 99.100 m² i Rovinjskog Sela 4.000 m², strojno čišćenje Rovinja do 246.000 m², Rovinjskog Sela 42.000 m² i Cocaletto 8.500 m², sve prema terminskom planu.</w:t>
      </w:r>
    </w:p>
    <w:p w14:paraId="61CDEF4C" w14:textId="77777777" w:rsidR="00E541EE" w:rsidRPr="00447D66" w:rsidRDefault="00E541EE" w:rsidP="00E541EE">
      <w:pPr>
        <w:jc w:val="both"/>
        <w:rPr>
          <w:rFonts w:ascii="Arial" w:eastAsia="Times New Roman" w:hAnsi="Arial" w:cs="Arial"/>
          <w:color w:val="AEAAAA" w:themeColor="background2" w:themeShade="BF"/>
          <w:sz w:val="24"/>
          <w:szCs w:val="24"/>
        </w:rPr>
      </w:pPr>
    </w:p>
    <w:p w14:paraId="3462238E" w14:textId="77777777" w:rsidR="00E541EE" w:rsidRDefault="00E541EE" w:rsidP="00E541EE">
      <w:pPr>
        <w:pBdr>
          <w:top w:val="single" w:sz="4" w:space="1" w:color="auto"/>
          <w:left w:val="single" w:sz="4" w:space="4" w:color="auto"/>
          <w:bottom w:val="single" w:sz="4" w:space="1" w:color="auto"/>
          <w:right w:val="single" w:sz="4" w:space="4" w:color="auto"/>
        </w:pBdr>
        <w:shd w:val="clear" w:color="auto" w:fill="E9E9E9"/>
        <w:ind w:right="-1"/>
        <w:rPr>
          <w:rFonts w:ascii="Arial" w:eastAsia="Times New Roman" w:hAnsi="Arial" w:cs="Arial"/>
          <w:b/>
          <w:sz w:val="24"/>
          <w:szCs w:val="24"/>
        </w:rPr>
      </w:pPr>
      <w:r w:rsidRPr="002A1648">
        <w:rPr>
          <w:rFonts w:ascii="Arial" w:eastAsia="Times New Roman" w:hAnsi="Arial" w:cs="Arial"/>
          <w:b/>
          <w:sz w:val="24"/>
          <w:szCs w:val="24"/>
        </w:rPr>
        <w:t>A 102102: Odvoz i pražnjenje spremnika na javnim površinama</w:t>
      </w:r>
    </w:p>
    <w:p w14:paraId="33FADC79" w14:textId="77777777" w:rsidR="00E541EE" w:rsidRPr="000352A6" w:rsidRDefault="00E541EE" w:rsidP="00E541EE">
      <w:pPr>
        <w:pBdr>
          <w:top w:val="single" w:sz="4" w:space="1" w:color="auto"/>
          <w:left w:val="single" w:sz="4" w:space="4" w:color="auto"/>
          <w:bottom w:val="single" w:sz="4" w:space="1" w:color="auto"/>
          <w:right w:val="single" w:sz="4" w:space="4" w:color="auto"/>
        </w:pBdr>
        <w:shd w:val="clear" w:color="auto" w:fill="E9E9E9"/>
        <w:ind w:right="-1"/>
        <w:rPr>
          <w:rFonts w:ascii="Arial" w:eastAsia="Times New Roman" w:hAnsi="Arial" w:cs="Arial"/>
          <w:b/>
          <w:sz w:val="24"/>
          <w:szCs w:val="24"/>
        </w:rPr>
      </w:pPr>
      <w:r w:rsidRPr="002A1648">
        <w:rPr>
          <w:rFonts w:ascii="Arial" w:eastAsia="Times New Roman" w:hAnsi="Arial" w:cs="Arial"/>
          <w:b/>
          <w:sz w:val="24"/>
          <w:szCs w:val="24"/>
        </w:rPr>
        <w:t xml:space="preserve"> </w:t>
      </w:r>
      <w:r>
        <w:rPr>
          <w:rFonts w:ascii="Arial" w:eastAsia="Times New Roman" w:hAnsi="Arial" w:cs="Arial"/>
          <w:b/>
          <w:sz w:val="24"/>
          <w:szCs w:val="24"/>
        </w:rPr>
        <w:t>= 215</w:t>
      </w:r>
      <w:r w:rsidRPr="000352A6">
        <w:rPr>
          <w:rFonts w:ascii="Arial" w:eastAsia="Times New Roman" w:hAnsi="Arial" w:cs="Arial"/>
          <w:b/>
          <w:sz w:val="24"/>
          <w:szCs w:val="24"/>
        </w:rPr>
        <w:t>.</w:t>
      </w:r>
      <w:r>
        <w:rPr>
          <w:rFonts w:ascii="Arial" w:eastAsia="Times New Roman" w:hAnsi="Arial" w:cs="Arial"/>
          <w:b/>
          <w:sz w:val="24"/>
          <w:szCs w:val="24"/>
        </w:rPr>
        <w:t>00</w:t>
      </w:r>
      <w:r w:rsidRPr="000352A6">
        <w:rPr>
          <w:rFonts w:ascii="Arial" w:eastAsia="Times New Roman" w:hAnsi="Arial" w:cs="Arial"/>
          <w:b/>
          <w:sz w:val="24"/>
          <w:szCs w:val="24"/>
        </w:rPr>
        <w:t>0,00 EUR</w:t>
      </w:r>
    </w:p>
    <w:p w14:paraId="39E8D849" w14:textId="77777777" w:rsidR="00E541EE" w:rsidRPr="002A1648" w:rsidRDefault="00E541EE" w:rsidP="00E541EE">
      <w:pPr>
        <w:jc w:val="both"/>
        <w:rPr>
          <w:rFonts w:ascii="Arial" w:eastAsia="Times New Roman" w:hAnsi="Arial" w:cs="Arial"/>
          <w:sz w:val="24"/>
          <w:szCs w:val="24"/>
        </w:rPr>
      </w:pPr>
      <w:r w:rsidRPr="002A1648">
        <w:rPr>
          <w:rFonts w:ascii="Arial" w:eastAsia="Times New Roman" w:hAnsi="Arial" w:cs="Arial"/>
          <w:b/>
          <w:sz w:val="24"/>
          <w:szCs w:val="24"/>
        </w:rPr>
        <w:t xml:space="preserve">Zakonska osnova: </w:t>
      </w:r>
      <w:r w:rsidRPr="002A1648">
        <w:rPr>
          <w:rFonts w:ascii="Arial" w:eastAsia="Times New Roman" w:hAnsi="Arial" w:cs="Arial"/>
          <w:sz w:val="24"/>
          <w:szCs w:val="24"/>
        </w:rPr>
        <w:t>Zakon o komunalnom gospodarstvu, Odluka o komunalnim djelatnostima.</w:t>
      </w:r>
    </w:p>
    <w:p w14:paraId="34BE498D" w14:textId="77777777" w:rsidR="00E541EE" w:rsidRPr="002A1648" w:rsidRDefault="00E541EE" w:rsidP="00E541EE">
      <w:pPr>
        <w:jc w:val="both"/>
        <w:rPr>
          <w:rFonts w:ascii="Arial" w:eastAsia="Times New Roman" w:hAnsi="Arial" w:cs="Arial"/>
          <w:sz w:val="24"/>
          <w:szCs w:val="24"/>
        </w:rPr>
      </w:pPr>
      <w:r w:rsidRPr="002A1648">
        <w:rPr>
          <w:rFonts w:ascii="Arial" w:eastAsia="Times New Roman" w:hAnsi="Arial" w:cs="Arial"/>
          <w:b/>
          <w:sz w:val="24"/>
          <w:szCs w:val="24"/>
        </w:rPr>
        <w:t xml:space="preserve">Opis: </w:t>
      </w:r>
      <w:r w:rsidRPr="002A1648">
        <w:rPr>
          <w:rFonts w:ascii="Arial" w:eastAsia="Times New Roman" w:hAnsi="Arial" w:cs="Arial"/>
          <w:sz w:val="24"/>
          <w:szCs w:val="24"/>
        </w:rPr>
        <w:t>redovito sakupljanje otpada iz kanti i košića, te selektivno sakupljanje korisnih kategorija otpada (papir i karton, plastika, staklo).</w:t>
      </w:r>
    </w:p>
    <w:p w14:paraId="031888AF" w14:textId="77777777" w:rsidR="00E541EE" w:rsidRPr="000352A6" w:rsidRDefault="00E541EE" w:rsidP="00E541EE">
      <w:pPr>
        <w:jc w:val="both"/>
        <w:rPr>
          <w:rFonts w:ascii="Arial" w:eastAsia="Times New Roman" w:hAnsi="Arial" w:cs="Arial"/>
          <w:sz w:val="24"/>
          <w:szCs w:val="24"/>
        </w:rPr>
      </w:pPr>
      <w:r w:rsidRPr="000352A6">
        <w:rPr>
          <w:rFonts w:ascii="Arial" w:eastAsia="Times New Roman" w:hAnsi="Arial" w:cs="Arial"/>
          <w:sz w:val="24"/>
          <w:szCs w:val="24"/>
        </w:rPr>
        <w:t>Planiranim sredstvima osigurava se odvoz otpada iz povijesne jezgre grada koji se vrši svakodnevno, a u špici sezone i do 10 puta dnevno sa noćnom smjenom. Komunalni otpad sakuplja se u sezoni pojačano i izvan povijesne jezgre te sa gradskih plaža.</w:t>
      </w:r>
    </w:p>
    <w:p w14:paraId="5F40489C" w14:textId="77777777" w:rsidR="00E541EE" w:rsidRPr="000352A6" w:rsidRDefault="00E541EE" w:rsidP="00E541EE">
      <w:pPr>
        <w:jc w:val="both"/>
        <w:rPr>
          <w:rFonts w:ascii="Arial" w:eastAsia="Times New Roman" w:hAnsi="Arial" w:cs="Arial"/>
          <w:b/>
          <w:bCs/>
          <w:sz w:val="24"/>
          <w:szCs w:val="24"/>
        </w:rPr>
      </w:pPr>
      <w:r w:rsidRPr="000352A6">
        <w:rPr>
          <w:rFonts w:ascii="Arial" w:eastAsia="Times New Roman" w:hAnsi="Arial" w:cs="Arial"/>
          <w:b/>
          <w:bCs/>
          <w:sz w:val="24"/>
          <w:szCs w:val="24"/>
        </w:rPr>
        <w:t xml:space="preserve">Opći cilj: </w:t>
      </w:r>
      <w:r w:rsidRPr="000352A6">
        <w:rPr>
          <w:rFonts w:ascii="Arial" w:eastAsia="Times New Roman" w:hAnsi="Arial" w:cs="Arial"/>
          <w:bCs/>
          <w:sz w:val="24"/>
          <w:szCs w:val="24"/>
        </w:rPr>
        <w:t>čistoća javnih površina.</w:t>
      </w:r>
    </w:p>
    <w:p w14:paraId="402E7ADE" w14:textId="77777777" w:rsidR="00E541EE" w:rsidRPr="002A1648" w:rsidRDefault="00E541EE" w:rsidP="00E541EE">
      <w:pPr>
        <w:jc w:val="both"/>
        <w:rPr>
          <w:rFonts w:ascii="Arial" w:eastAsia="Times New Roman" w:hAnsi="Arial" w:cs="Arial"/>
          <w:sz w:val="24"/>
          <w:szCs w:val="24"/>
        </w:rPr>
      </w:pPr>
      <w:r w:rsidRPr="002A1648">
        <w:rPr>
          <w:rFonts w:ascii="Arial" w:eastAsia="Times New Roman" w:hAnsi="Arial" w:cs="Arial"/>
          <w:b/>
          <w:bCs/>
          <w:sz w:val="24"/>
          <w:szCs w:val="24"/>
        </w:rPr>
        <w:t>Pokazatelj uspješnosti:</w:t>
      </w:r>
      <w:r w:rsidRPr="002A1648">
        <w:rPr>
          <w:rFonts w:ascii="Arial" w:eastAsia="Times New Roman" w:hAnsi="Arial" w:cs="Arial"/>
          <w:sz w:val="24"/>
          <w:szCs w:val="24"/>
        </w:rPr>
        <w:t xml:space="preserve"> odvoz otpada za vrijeme turističke sezone u prosjeku do 5 odvoza otpada iz povijesne jezgre dnevno i rad noćne smjene sa 2 vozila.</w:t>
      </w:r>
    </w:p>
    <w:p w14:paraId="522C5A3C" w14:textId="77777777" w:rsidR="00E541EE" w:rsidRPr="00447D66" w:rsidRDefault="00E541EE" w:rsidP="00E541EE">
      <w:pPr>
        <w:jc w:val="both"/>
        <w:rPr>
          <w:rFonts w:ascii="Arial" w:eastAsia="Times New Roman" w:hAnsi="Arial" w:cs="Arial"/>
          <w:color w:val="AEAAAA" w:themeColor="background2" w:themeShade="BF"/>
          <w:sz w:val="24"/>
          <w:szCs w:val="24"/>
          <w:highlight w:val="lightGray"/>
        </w:rPr>
      </w:pPr>
    </w:p>
    <w:p w14:paraId="0A8E837F" w14:textId="77777777" w:rsidR="00E541EE" w:rsidRPr="000352A6" w:rsidRDefault="00E541EE" w:rsidP="00E541EE">
      <w:pPr>
        <w:pBdr>
          <w:top w:val="single" w:sz="4" w:space="1" w:color="auto"/>
          <w:left w:val="single" w:sz="4" w:space="4" w:color="auto"/>
          <w:bottom w:val="single" w:sz="4" w:space="1" w:color="auto"/>
          <w:right w:val="single" w:sz="4" w:space="4" w:color="auto"/>
        </w:pBdr>
        <w:shd w:val="clear" w:color="auto" w:fill="E9E9E9"/>
        <w:ind w:right="-1"/>
        <w:rPr>
          <w:rFonts w:ascii="Arial" w:eastAsia="Times New Roman" w:hAnsi="Arial" w:cs="Arial"/>
          <w:b/>
          <w:sz w:val="24"/>
          <w:szCs w:val="24"/>
        </w:rPr>
      </w:pPr>
      <w:r w:rsidRPr="000352A6">
        <w:rPr>
          <w:rFonts w:ascii="Arial" w:eastAsia="Times New Roman" w:hAnsi="Arial" w:cs="Arial"/>
          <w:b/>
          <w:sz w:val="24"/>
          <w:szCs w:val="24"/>
        </w:rPr>
        <w:t>A 102103: Uređenje parkova i zelenih površina = 5</w:t>
      </w:r>
      <w:r>
        <w:rPr>
          <w:rFonts w:ascii="Arial" w:eastAsia="Times New Roman" w:hAnsi="Arial" w:cs="Arial"/>
          <w:b/>
          <w:sz w:val="24"/>
          <w:szCs w:val="24"/>
        </w:rPr>
        <w:t>8</w:t>
      </w:r>
      <w:r w:rsidRPr="000352A6">
        <w:rPr>
          <w:rFonts w:ascii="Arial" w:eastAsia="Times New Roman" w:hAnsi="Arial" w:cs="Arial"/>
          <w:b/>
          <w:sz w:val="24"/>
          <w:szCs w:val="24"/>
        </w:rPr>
        <w:t>7.000,00 EUR</w:t>
      </w:r>
    </w:p>
    <w:p w14:paraId="18574E7F" w14:textId="77777777" w:rsidR="00E541EE" w:rsidRPr="002A1648" w:rsidRDefault="00E541EE" w:rsidP="00E541EE">
      <w:pPr>
        <w:jc w:val="both"/>
        <w:rPr>
          <w:rFonts w:ascii="Arial" w:eastAsia="Times New Roman" w:hAnsi="Arial" w:cs="Arial"/>
          <w:sz w:val="24"/>
          <w:szCs w:val="24"/>
        </w:rPr>
      </w:pPr>
      <w:r w:rsidRPr="002A1648">
        <w:rPr>
          <w:rFonts w:ascii="Arial" w:eastAsia="Times New Roman" w:hAnsi="Arial" w:cs="Arial"/>
          <w:b/>
          <w:sz w:val="24"/>
          <w:szCs w:val="24"/>
        </w:rPr>
        <w:t xml:space="preserve">Zakonska osnova: </w:t>
      </w:r>
      <w:r w:rsidRPr="002A1648">
        <w:rPr>
          <w:rFonts w:ascii="Arial" w:eastAsia="Times New Roman" w:hAnsi="Arial" w:cs="Arial"/>
          <w:sz w:val="24"/>
          <w:szCs w:val="24"/>
        </w:rPr>
        <w:t>Zakon o komunalnom gospodarstvu, Odluka o komunalnim djelatnostima.</w:t>
      </w:r>
    </w:p>
    <w:p w14:paraId="686B09D1" w14:textId="77777777" w:rsidR="00E541EE" w:rsidRPr="002A1648" w:rsidRDefault="00E541EE" w:rsidP="00E541EE">
      <w:pPr>
        <w:jc w:val="both"/>
        <w:rPr>
          <w:rFonts w:ascii="Arial" w:eastAsia="Times New Roman" w:hAnsi="Arial" w:cs="Arial"/>
          <w:sz w:val="24"/>
          <w:szCs w:val="24"/>
        </w:rPr>
      </w:pPr>
      <w:r w:rsidRPr="002A1648">
        <w:rPr>
          <w:rFonts w:ascii="Arial" w:eastAsia="Times New Roman" w:hAnsi="Arial" w:cs="Arial"/>
          <w:b/>
          <w:sz w:val="24"/>
          <w:szCs w:val="24"/>
        </w:rPr>
        <w:t xml:space="preserve">Opis: </w:t>
      </w:r>
      <w:r w:rsidRPr="002A1648">
        <w:rPr>
          <w:rFonts w:ascii="Arial" w:eastAsia="Times New Roman" w:hAnsi="Arial" w:cs="Arial"/>
          <w:sz w:val="24"/>
          <w:szCs w:val="24"/>
        </w:rPr>
        <w:t>posebna pažnja usmjeravati će se i dalje na održavanje park šume Punta Corrente te područja Cuvi, uz sanaciju svih putova i rubnjaka, čišćenje grmlja i niskog raslinja te pošumljavanje po potrebi. Veći zahvati sukladno raspoloživim proračunskim sredstvima na uređenju park šume izvoditi će se prema postojećem projektu uređenja park šume kao i prema Studiji valorizacije krajobraznog prostora.</w:t>
      </w:r>
    </w:p>
    <w:p w14:paraId="6D649328" w14:textId="77777777" w:rsidR="00E541EE" w:rsidRPr="002A1648" w:rsidRDefault="00E541EE" w:rsidP="00E541EE">
      <w:pPr>
        <w:jc w:val="both"/>
        <w:rPr>
          <w:rFonts w:ascii="Arial" w:eastAsia="Times New Roman" w:hAnsi="Arial" w:cs="Arial"/>
          <w:sz w:val="24"/>
          <w:szCs w:val="24"/>
        </w:rPr>
      </w:pPr>
      <w:r w:rsidRPr="002A1648">
        <w:rPr>
          <w:rFonts w:ascii="Arial" w:eastAsia="Times New Roman" w:hAnsi="Arial" w:cs="Arial"/>
          <w:sz w:val="24"/>
          <w:szCs w:val="24"/>
        </w:rPr>
        <w:t xml:space="preserve">Radi održavanja postojećeg standarda održavanja i uređenja zelenih površina u gradu i gradskim naseljima Rovinjsko Selo, Cocaletto, Monfiorenzo, Gripole, Borik i Bolničko naselje gdje je potrebno održavanje zelenila u okviru kružnih tokova, okoliša dječjih vrtića, ulazaka u grad i pratećih prometnih objekata) te nove sportsko - rekreacijske zone Valpereri, potrebno je češće i intenzivnije održavanje. </w:t>
      </w:r>
    </w:p>
    <w:p w14:paraId="466E4584" w14:textId="77777777" w:rsidR="00E541EE" w:rsidRPr="002A1648" w:rsidRDefault="00E541EE" w:rsidP="00E541EE">
      <w:pPr>
        <w:jc w:val="both"/>
        <w:rPr>
          <w:rFonts w:ascii="Arial" w:eastAsia="Times New Roman" w:hAnsi="Arial" w:cs="Arial"/>
          <w:sz w:val="24"/>
          <w:szCs w:val="24"/>
        </w:rPr>
      </w:pPr>
      <w:r w:rsidRPr="002A1648">
        <w:rPr>
          <w:rFonts w:ascii="Arial" w:eastAsia="Times New Roman" w:hAnsi="Arial" w:cs="Arial"/>
          <w:sz w:val="24"/>
          <w:szCs w:val="24"/>
        </w:rPr>
        <w:t>Kod uređenja plaža planira se redovno čišćenje plaža u periodu od 15. lipnja do 15. rujna svakodnevno, u predsezoni i posezoni 2-3 puta tjedno, a ostali dio godine po nalogu komunalnog redarstva.</w:t>
      </w:r>
    </w:p>
    <w:p w14:paraId="0F6DA6A8" w14:textId="77777777" w:rsidR="00E541EE" w:rsidRPr="002A1648" w:rsidRDefault="00E541EE" w:rsidP="00E541EE">
      <w:pPr>
        <w:jc w:val="both"/>
        <w:rPr>
          <w:rFonts w:ascii="Arial" w:eastAsia="Times New Roman" w:hAnsi="Arial" w:cs="Arial"/>
          <w:sz w:val="24"/>
          <w:szCs w:val="24"/>
        </w:rPr>
      </w:pPr>
      <w:r w:rsidRPr="002A1648">
        <w:rPr>
          <w:rFonts w:ascii="Arial" w:eastAsia="Times New Roman" w:hAnsi="Arial" w:cs="Arial"/>
          <w:sz w:val="24"/>
          <w:szCs w:val="24"/>
        </w:rPr>
        <w:t>Plan uređenja javnih zelenih površina obuhvaća:</w:t>
      </w:r>
    </w:p>
    <w:p w14:paraId="7C9F3C5E" w14:textId="77777777" w:rsidR="00E541EE" w:rsidRPr="002A1648" w:rsidRDefault="00E541EE" w:rsidP="00E541EE">
      <w:pPr>
        <w:jc w:val="both"/>
        <w:rPr>
          <w:rFonts w:ascii="Arial" w:eastAsia="Times New Roman" w:hAnsi="Arial" w:cs="Arial"/>
          <w:sz w:val="24"/>
          <w:szCs w:val="24"/>
        </w:rPr>
      </w:pPr>
      <w:r w:rsidRPr="002A1648">
        <w:rPr>
          <w:rFonts w:ascii="Arial" w:eastAsia="Times New Roman" w:hAnsi="Arial" w:cs="Arial"/>
          <w:sz w:val="24"/>
          <w:szCs w:val="24"/>
        </w:rPr>
        <w:t>a) redovno održavanje javnih zelenih površina:</w:t>
      </w:r>
    </w:p>
    <w:p w14:paraId="03DBCAFA" w14:textId="77777777" w:rsidR="00E541EE" w:rsidRPr="002A1648" w:rsidRDefault="00E541EE" w:rsidP="00E541EE">
      <w:pPr>
        <w:jc w:val="both"/>
        <w:rPr>
          <w:rFonts w:ascii="Arial" w:eastAsia="Times New Roman" w:hAnsi="Arial" w:cs="Arial"/>
          <w:sz w:val="24"/>
          <w:szCs w:val="24"/>
        </w:rPr>
      </w:pPr>
      <w:r w:rsidRPr="002A1648">
        <w:rPr>
          <w:rFonts w:ascii="Arial" w:eastAsia="Times New Roman" w:hAnsi="Arial" w:cs="Arial"/>
          <w:sz w:val="24"/>
          <w:szCs w:val="24"/>
        </w:rPr>
        <w:t>- košnja trave, uklanjanje suhih grmova, granja, obrezivanje stabala,</w:t>
      </w:r>
    </w:p>
    <w:p w14:paraId="220690CB" w14:textId="77777777" w:rsidR="00E541EE" w:rsidRPr="002A1648" w:rsidRDefault="00E541EE" w:rsidP="00E541EE">
      <w:pPr>
        <w:jc w:val="both"/>
        <w:rPr>
          <w:rFonts w:ascii="Arial" w:eastAsia="Times New Roman" w:hAnsi="Arial" w:cs="Arial"/>
          <w:sz w:val="24"/>
          <w:szCs w:val="24"/>
        </w:rPr>
      </w:pPr>
      <w:r w:rsidRPr="002A1648">
        <w:rPr>
          <w:rFonts w:ascii="Arial" w:eastAsia="Times New Roman" w:hAnsi="Arial" w:cs="Arial"/>
          <w:sz w:val="24"/>
          <w:szCs w:val="24"/>
        </w:rPr>
        <w:t>- obnova zelenila,</w:t>
      </w:r>
    </w:p>
    <w:p w14:paraId="70ED8985" w14:textId="77777777" w:rsidR="00E541EE" w:rsidRPr="002A1648" w:rsidRDefault="00E541EE" w:rsidP="00E541EE">
      <w:pPr>
        <w:jc w:val="both"/>
        <w:rPr>
          <w:rFonts w:ascii="Arial" w:eastAsia="Times New Roman" w:hAnsi="Arial" w:cs="Arial"/>
          <w:sz w:val="24"/>
          <w:szCs w:val="24"/>
        </w:rPr>
      </w:pPr>
      <w:r w:rsidRPr="002A1648">
        <w:rPr>
          <w:rFonts w:ascii="Arial" w:eastAsia="Times New Roman" w:hAnsi="Arial" w:cs="Arial"/>
          <w:sz w:val="24"/>
          <w:szCs w:val="24"/>
        </w:rPr>
        <w:t>b) uređenje i održavanje parkova:</w:t>
      </w:r>
    </w:p>
    <w:p w14:paraId="63C1A1FC" w14:textId="77777777" w:rsidR="00E541EE" w:rsidRPr="002A1648" w:rsidRDefault="00E541EE" w:rsidP="00E541EE">
      <w:pPr>
        <w:jc w:val="both"/>
        <w:rPr>
          <w:rFonts w:ascii="Arial" w:eastAsia="Times New Roman" w:hAnsi="Arial" w:cs="Arial"/>
          <w:sz w:val="24"/>
          <w:szCs w:val="24"/>
        </w:rPr>
      </w:pPr>
      <w:r w:rsidRPr="002A1648">
        <w:rPr>
          <w:rFonts w:ascii="Arial" w:eastAsia="Times New Roman" w:hAnsi="Arial" w:cs="Arial"/>
          <w:sz w:val="24"/>
          <w:szCs w:val="24"/>
        </w:rPr>
        <w:t>- sadnja sezonskog cvijeća i ukrasnog zelenila,</w:t>
      </w:r>
    </w:p>
    <w:p w14:paraId="16702554" w14:textId="77777777" w:rsidR="00E541EE" w:rsidRPr="002A1648" w:rsidRDefault="00E541EE" w:rsidP="00E541EE">
      <w:pPr>
        <w:jc w:val="both"/>
        <w:rPr>
          <w:rFonts w:ascii="Arial" w:eastAsia="Times New Roman" w:hAnsi="Arial" w:cs="Arial"/>
          <w:sz w:val="24"/>
          <w:szCs w:val="24"/>
        </w:rPr>
      </w:pPr>
      <w:r w:rsidRPr="002A1648">
        <w:rPr>
          <w:rFonts w:ascii="Arial" w:eastAsia="Times New Roman" w:hAnsi="Arial" w:cs="Arial"/>
          <w:sz w:val="24"/>
          <w:szCs w:val="24"/>
        </w:rPr>
        <w:t>- redovito zalijevanje, održavanje i obnavljanje postojeće mreže za navodnjavanje,</w:t>
      </w:r>
    </w:p>
    <w:p w14:paraId="6754C6C1" w14:textId="77777777" w:rsidR="00E541EE" w:rsidRPr="002A1648" w:rsidRDefault="00E541EE" w:rsidP="00E541EE">
      <w:pPr>
        <w:jc w:val="both"/>
        <w:rPr>
          <w:rFonts w:ascii="Arial" w:eastAsia="Times New Roman" w:hAnsi="Arial" w:cs="Arial"/>
          <w:sz w:val="24"/>
          <w:szCs w:val="24"/>
        </w:rPr>
      </w:pPr>
      <w:r w:rsidRPr="002A1648">
        <w:rPr>
          <w:rFonts w:ascii="Arial" w:eastAsia="Times New Roman" w:hAnsi="Arial" w:cs="Arial"/>
          <w:sz w:val="24"/>
          <w:szCs w:val="24"/>
        </w:rPr>
        <w:t>- održavanje spremnika za otpatke i klupa u parkovima te na zelenim površinama,</w:t>
      </w:r>
    </w:p>
    <w:p w14:paraId="3A59BFA4" w14:textId="77777777" w:rsidR="00E541EE" w:rsidRPr="002A1648" w:rsidRDefault="00E541EE" w:rsidP="00E541EE">
      <w:pPr>
        <w:jc w:val="both"/>
        <w:rPr>
          <w:rFonts w:ascii="Arial" w:eastAsia="Times New Roman" w:hAnsi="Arial" w:cs="Arial"/>
          <w:sz w:val="24"/>
          <w:szCs w:val="24"/>
        </w:rPr>
      </w:pPr>
      <w:r w:rsidRPr="002A1648">
        <w:rPr>
          <w:rFonts w:ascii="Arial" w:eastAsia="Times New Roman" w:hAnsi="Arial" w:cs="Arial"/>
          <w:sz w:val="24"/>
          <w:szCs w:val="24"/>
        </w:rPr>
        <w:t>c) čišćenje i održavanje plaža:</w:t>
      </w:r>
    </w:p>
    <w:p w14:paraId="2019D524" w14:textId="77777777" w:rsidR="00E541EE" w:rsidRPr="002A1648" w:rsidRDefault="00E541EE" w:rsidP="00E541EE">
      <w:pPr>
        <w:jc w:val="both"/>
        <w:rPr>
          <w:rFonts w:ascii="Arial" w:eastAsia="Times New Roman" w:hAnsi="Arial" w:cs="Arial"/>
          <w:sz w:val="24"/>
          <w:szCs w:val="24"/>
        </w:rPr>
      </w:pPr>
      <w:r w:rsidRPr="002A1648">
        <w:rPr>
          <w:rFonts w:ascii="Arial" w:eastAsia="Times New Roman" w:hAnsi="Arial" w:cs="Arial"/>
          <w:sz w:val="24"/>
          <w:szCs w:val="24"/>
        </w:rPr>
        <w:t>- postava i održavanje koševa za reciklažu na plažama,</w:t>
      </w:r>
    </w:p>
    <w:p w14:paraId="1A128266" w14:textId="77777777" w:rsidR="00E541EE" w:rsidRPr="002A1648" w:rsidRDefault="00E541EE" w:rsidP="00E541EE">
      <w:pPr>
        <w:jc w:val="both"/>
        <w:rPr>
          <w:rFonts w:ascii="Arial" w:eastAsia="Times New Roman" w:hAnsi="Arial" w:cs="Arial"/>
          <w:sz w:val="24"/>
          <w:szCs w:val="24"/>
        </w:rPr>
      </w:pPr>
      <w:r w:rsidRPr="002A1648">
        <w:rPr>
          <w:rFonts w:ascii="Arial" w:eastAsia="Times New Roman" w:hAnsi="Arial" w:cs="Arial"/>
          <w:sz w:val="24"/>
          <w:szCs w:val="24"/>
        </w:rPr>
        <w:t>- redovito pražnjenje koševa,</w:t>
      </w:r>
    </w:p>
    <w:p w14:paraId="53213EFF" w14:textId="77777777" w:rsidR="00E541EE" w:rsidRPr="002A1648" w:rsidRDefault="00E541EE" w:rsidP="00E541EE">
      <w:pPr>
        <w:jc w:val="both"/>
        <w:rPr>
          <w:rFonts w:ascii="Arial" w:eastAsia="Times New Roman" w:hAnsi="Arial" w:cs="Arial"/>
          <w:sz w:val="24"/>
          <w:szCs w:val="24"/>
        </w:rPr>
      </w:pPr>
      <w:r w:rsidRPr="002A1648">
        <w:rPr>
          <w:rFonts w:ascii="Arial" w:eastAsia="Times New Roman" w:hAnsi="Arial" w:cs="Arial"/>
          <w:sz w:val="24"/>
          <w:szCs w:val="24"/>
        </w:rPr>
        <w:t>- čišćenje i održavanje uređenih plaža (Borik, Cuvi, Monsena, Cisterna i plaže na Zlatnom rt - u) osim dijelova danih na korištenje koncesijskim odobrenjem u ljetnom periodu (lipanj-listopad).</w:t>
      </w:r>
    </w:p>
    <w:p w14:paraId="3D7AA277" w14:textId="77777777" w:rsidR="00E541EE" w:rsidRPr="002A1648" w:rsidRDefault="00E541EE" w:rsidP="00E541EE">
      <w:pPr>
        <w:jc w:val="both"/>
        <w:rPr>
          <w:rFonts w:ascii="Arial" w:eastAsia="Times New Roman" w:hAnsi="Arial" w:cs="Arial"/>
          <w:b/>
          <w:bCs/>
          <w:sz w:val="24"/>
          <w:szCs w:val="24"/>
        </w:rPr>
      </w:pPr>
      <w:r w:rsidRPr="002A1648">
        <w:rPr>
          <w:rFonts w:ascii="Arial" w:eastAsia="Times New Roman" w:hAnsi="Arial" w:cs="Arial"/>
          <w:b/>
          <w:bCs/>
          <w:sz w:val="24"/>
          <w:szCs w:val="24"/>
        </w:rPr>
        <w:t xml:space="preserve">Opći cilj: </w:t>
      </w:r>
      <w:r w:rsidRPr="002A1648">
        <w:rPr>
          <w:rFonts w:ascii="Arial" w:eastAsia="Times New Roman" w:hAnsi="Arial" w:cs="Arial"/>
          <w:bCs/>
          <w:sz w:val="24"/>
          <w:szCs w:val="24"/>
        </w:rPr>
        <w:t>zadržati postojeći nivo uređenosti javnih zelenih površina.</w:t>
      </w:r>
    </w:p>
    <w:p w14:paraId="24B7834D" w14:textId="77777777" w:rsidR="00E541EE" w:rsidRPr="002A1648" w:rsidRDefault="00E541EE" w:rsidP="00E541EE">
      <w:pPr>
        <w:jc w:val="both"/>
        <w:rPr>
          <w:rFonts w:ascii="Arial" w:eastAsia="Times New Roman" w:hAnsi="Arial" w:cs="Arial"/>
          <w:sz w:val="24"/>
          <w:szCs w:val="24"/>
        </w:rPr>
      </w:pPr>
      <w:r w:rsidRPr="002A1648">
        <w:rPr>
          <w:rFonts w:ascii="Arial" w:eastAsia="Times New Roman" w:hAnsi="Arial" w:cs="Arial"/>
          <w:b/>
          <w:bCs/>
          <w:sz w:val="24"/>
          <w:szCs w:val="24"/>
        </w:rPr>
        <w:t>Pokazatelj uspješnosti:</w:t>
      </w:r>
      <w:r w:rsidRPr="002A1648">
        <w:rPr>
          <w:rFonts w:ascii="Arial" w:eastAsia="Times New Roman" w:hAnsi="Arial" w:cs="Arial"/>
          <w:sz w:val="24"/>
          <w:szCs w:val="24"/>
        </w:rPr>
        <w:t xml:space="preserve"> održavanje do 900.000 m²  zelenih površina, 3.500 komada drveća, 11.108 grmlja, 12.900 trajnica, 281.000 m²  travnatih površina, 3.200 m živica, 1.485 m gredica cvijeća, osiguranje redovitog uređenja plaža 2-3 puta tjedno.</w:t>
      </w:r>
    </w:p>
    <w:p w14:paraId="2F34F32C" w14:textId="77777777" w:rsidR="00E541EE" w:rsidRPr="00447D66" w:rsidRDefault="00E541EE" w:rsidP="00E541EE">
      <w:pPr>
        <w:jc w:val="both"/>
        <w:rPr>
          <w:rFonts w:ascii="Arial" w:eastAsia="Times New Roman" w:hAnsi="Arial" w:cs="Arial"/>
          <w:color w:val="AEAAAA" w:themeColor="background2" w:themeShade="BF"/>
          <w:sz w:val="24"/>
          <w:szCs w:val="24"/>
          <w:highlight w:val="lightGray"/>
        </w:rPr>
      </w:pPr>
    </w:p>
    <w:p w14:paraId="1D619C6E" w14:textId="77777777" w:rsidR="00E541EE" w:rsidRPr="002A1648" w:rsidRDefault="00E541EE" w:rsidP="00E541EE">
      <w:pPr>
        <w:pBdr>
          <w:top w:val="single" w:sz="4" w:space="1" w:color="auto"/>
          <w:left w:val="single" w:sz="4" w:space="4" w:color="auto"/>
          <w:bottom w:val="single" w:sz="4" w:space="1" w:color="auto"/>
          <w:right w:val="single" w:sz="4" w:space="4" w:color="auto"/>
        </w:pBdr>
        <w:shd w:val="clear" w:color="auto" w:fill="E9E9E9"/>
        <w:ind w:right="-1"/>
        <w:rPr>
          <w:rFonts w:ascii="Arial" w:eastAsia="Times New Roman" w:hAnsi="Arial" w:cs="Arial"/>
          <w:b/>
          <w:sz w:val="24"/>
          <w:szCs w:val="24"/>
        </w:rPr>
      </w:pPr>
      <w:r w:rsidRPr="002A1648">
        <w:rPr>
          <w:rFonts w:ascii="Arial" w:eastAsia="Times New Roman" w:hAnsi="Arial" w:cs="Arial"/>
          <w:b/>
          <w:sz w:val="24"/>
          <w:szCs w:val="24"/>
        </w:rPr>
        <w:t xml:space="preserve">A 102104: Uređenje gradskih groblja = </w:t>
      </w:r>
      <w:r>
        <w:rPr>
          <w:rFonts w:ascii="Arial" w:eastAsia="Times New Roman" w:hAnsi="Arial" w:cs="Arial"/>
          <w:b/>
          <w:sz w:val="24"/>
          <w:szCs w:val="24"/>
        </w:rPr>
        <w:t>30</w:t>
      </w:r>
      <w:r w:rsidRPr="002A1648">
        <w:rPr>
          <w:rFonts w:ascii="Arial" w:eastAsia="Times New Roman" w:hAnsi="Arial" w:cs="Arial"/>
          <w:b/>
          <w:sz w:val="24"/>
          <w:szCs w:val="24"/>
        </w:rPr>
        <w:t>.</w:t>
      </w:r>
      <w:r>
        <w:rPr>
          <w:rFonts w:ascii="Arial" w:eastAsia="Times New Roman" w:hAnsi="Arial" w:cs="Arial"/>
          <w:b/>
          <w:sz w:val="24"/>
          <w:szCs w:val="24"/>
        </w:rPr>
        <w:t>0</w:t>
      </w:r>
      <w:r w:rsidRPr="002A1648">
        <w:rPr>
          <w:rFonts w:ascii="Arial" w:eastAsia="Times New Roman" w:hAnsi="Arial" w:cs="Arial"/>
          <w:b/>
          <w:sz w:val="24"/>
          <w:szCs w:val="24"/>
        </w:rPr>
        <w:t>00,00 EUR</w:t>
      </w:r>
    </w:p>
    <w:p w14:paraId="44BAD957" w14:textId="77777777" w:rsidR="00E541EE" w:rsidRPr="002A1648" w:rsidRDefault="00E541EE" w:rsidP="00E541EE">
      <w:pPr>
        <w:jc w:val="both"/>
        <w:rPr>
          <w:rFonts w:ascii="Arial" w:eastAsia="Times New Roman" w:hAnsi="Arial" w:cs="Arial"/>
          <w:sz w:val="24"/>
          <w:szCs w:val="24"/>
        </w:rPr>
      </w:pPr>
      <w:r w:rsidRPr="002A1648">
        <w:rPr>
          <w:rFonts w:ascii="Arial" w:eastAsia="Times New Roman" w:hAnsi="Arial" w:cs="Arial"/>
          <w:b/>
          <w:sz w:val="24"/>
          <w:szCs w:val="24"/>
        </w:rPr>
        <w:t xml:space="preserve">Zakonska osnova: </w:t>
      </w:r>
      <w:r w:rsidRPr="002A1648">
        <w:rPr>
          <w:rFonts w:ascii="Arial" w:eastAsia="Times New Roman" w:hAnsi="Arial" w:cs="Arial"/>
          <w:sz w:val="24"/>
          <w:szCs w:val="24"/>
        </w:rPr>
        <w:t>Zakon o grobljima, Zakon o komunalnom gospodarstvu, Odluka o komunalnim djelatnostima.</w:t>
      </w:r>
    </w:p>
    <w:p w14:paraId="4F30ACFB" w14:textId="77777777" w:rsidR="00E541EE" w:rsidRPr="002A1648" w:rsidRDefault="00E541EE" w:rsidP="00E541EE">
      <w:pPr>
        <w:jc w:val="both"/>
        <w:rPr>
          <w:rFonts w:ascii="Arial" w:eastAsia="Times New Roman" w:hAnsi="Arial" w:cs="Arial"/>
          <w:sz w:val="24"/>
          <w:szCs w:val="24"/>
        </w:rPr>
      </w:pPr>
      <w:r w:rsidRPr="002A1648">
        <w:rPr>
          <w:rFonts w:ascii="Arial" w:eastAsia="Times New Roman" w:hAnsi="Arial" w:cs="Arial"/>
          <w:b/>
          <w:sz w:val="24"/>
          <w:szCs w:val="24"/>
        </w:rPr>
        <w:t xml:space="preserve">Opis: </w:t>
      </w:r>
      <w:r w:rsidRPr="002A1648">
        <w:rPr>
          <w:rFonts w:ascii="Arial" w:eastAsia="Times New Roman" w:hAnsi="Arial" w:cs="Arial"/>
          <w:sz w:val="24"/>
          <w:szCs w:val="24"/>
        </w:rPr>
        <w:t xml:space="preserve">ova djelatnost uključuje redovno uređenje staza, zelenih površina, oborinske odvodnje i objekata na gradskim grobljima u Rovinju i Rovinjskom Selu kao i uređenje zapuštenih grobova. </w:t>
      </w:r>
    </w:p>
    <w:p w14:paraId="1968F2E0" w14:textId="77777777" w:rsidR="00E541EE" w:rsidRPr="002A1648" w:rsidRDefault="00E541EE" w:rsidP="00E541EE">
      <w:pPr>
        <w:jc w:val="both"/>
        <w:rPr>
          <w:rFonts w:ascii="Arial" w:eastAsia="Times New Roman" w:hAnsi="Arial" w:cs="Arial"/>
          <w:b/>
          <w:bCs/>
          <w:sz w:val="24"/>
          <w:szCs w:val="24"/>
        </w:rPr>
      </w:pPr>
      <w:r w:rsidRPr="002A1648">
        <w:rPr>
          <w:rFonts w:ascii="Arial" w:eastAsia="Times New Roman" w:hAnsi="Arial" w:cs="Arial"/>
          <w:b/>
          <w:bCs/>
          <w:sz w:val="24"/>
          <w:szCs w:val="24"/>
        </w:rPr>
        <w:t xml:space="preserve">Opći cilj: </w:t>
      </w:r>
      <w:r w:rsidRPr="002A1648">
        <w:rPr>
          <w:rFonts w:ascii="Arial" w:eastAsia="Times New Roman" w:hAnsi="Arial" w:cs="Arial"/>
          <w:bCs/>
          <w:sz w:val="24"/>
          <w:szCs w:val="24"/>
        </w:rPr>
        <w:t>uređenost gradskih groblja.</w:t>
      </w:r>
    </w:p>
    <w:p w14:paraId="6A3A3F1C" w14:textId="77777777" w:rsidR="00E541EE" w:rsidRPr="002A1648" w:rsidRDefault="00E541EE" w:rsidP="00E541EE">
      <w:pPr>
        <w:jc w:val="both"/>
        <w:rPr>
          <w:rFonts w:ascii="Arial" w:eastAsia="Times New Roman" w:hAnsi="Arial" w:cs="Arial"/>
          <w:sz w:val="24"/>
          <w:szCs w:val="24"/>
        </w:rPr>
      </w:pPr>
      <w:r w:rsidRPr="002A1648">
        <w:rPr>
          <w:rFonts w:ascii="Arial" w:eastAsia="Times New Roman" w:hAnsi="Arial" w:cs="Arial"/>
          <w:b/>
          <w:bCs/>
          <w:sz w:val="24"/>
          <w:szCs w:val="24"/>
        </w:rPr>
        <w:t>Pokazatelj uspješnosti:</w:t>
      </w:r>
      <w:r w:rsidRPr="002A1648">
        <w:rPr>
          <w:rFonts w:ascii="Arial" w:eastAsia="Times New Roman" w:hAnsi="Arial" w:cs="Arial"/>
          <w:sz w:val="24"/>
          <w:szCs w:val="24"/>
        </w:rPr>
        <w:t xml:space="preserve"> održavanje do 2 km staza na groblju odnosno ukupno do 4.400 m²  površina te do 4.000 različitih grobnih mjesta.</w:t>
      </w:r>
    </w:p>
    <w:p w14:paraId="5793F6CD" w14:textId="77777777" w:rsidR="00E541EE" w:rsidRPr="00447D66" w:rsidRDefault="00E541EE" w:rsidP="00E541EE">
      <w:pPr>
        <w:jc w:val="both"/>
        <w:rPr>
          <w:rFonts w:ascii="Arial" w:eastAsia="Times New Roman" w:hAnsi="Arial" w:cs="Arial"/>
          <w:color w:val="AEAAAA" w:themeColor="background2" w:themeShade="BF"/>
          <w:sz w:val="24"/>
          <w:szCs w:val="24"/>
        </w:rPr>
      </w:pPr>
    </w:p>
    <w:p w14:paraId="62700A4F" w14:textId="77777777" w:rsidR="00E541EE" w:rsidRPr="002A1648" w:rsidRDefault="00E541EE" w:rsidP="00E541EE">
      <w:pPr>
        <w:pBdr>
          <w:top w:val="single" w:sz="4" w:space="1" w:color="auto"/>
          <w:left w:val="single" w:sz="4" w:space="4" w:color="auto"/>
          <w:bottom w:val="single" w:sz="4" w:space="1" w:color="auto"/>
          <w:right w:val="single" w:sz="4" w:space="4" w:color="auto"/>
        </w:pBdr>
        <w:shd w:val="clear" w:color="auto" w:fill="E9E9E9"/>
        <w:ind w:right="-1"/>
        <w:rPr>
          <w:rFonts w:ascii="Arial" w:eastAsia="Times New Roman" w:hAnsi="Arial" w:cs="Arial"/>
          <w:b/>
          <w:sz w:val="24"/>
          <w:szCs w:val="24"/>
        </w:rPr>
      </w:pPr>
      <w:r w:rsidRPr="002A1648">
        <w:rPr>
          <w:rFonts w:ascii="Arial" w:eastAsia="Times New Roman" w:hAnsi="Arial" w:cs="Arial"/>
          <w:b/>
          <w:sz w:val="24"/>
          <w:szCs w:val="24"/>
        </w:rPr>
        <w:t>A 102105: Potrošnja javne vode = 1</w:t>
      </w:r>
      <w:r>
        <w:rPr>
          <w:rFonts w:ascii="Arial" w:eastAsia="Times New Roman" w:hAnsi="Arial" w:cs="Arial"/>
          <w:b/>
          <w:sz w:val="24"/>
          <w:szCs w:val="24"/>
        </w:rPr>
        <w:t>2</w:t>
      </w:r>
      <w:r w:rsidRPr="002A1648">
        <w:rPr>
          <w:rFonts w:ascii="Arial" w:eastAsia="Times New Roman" w:hAnsi="Arial" w:cs="Arial"/>
          <w:b/>
          <w:sz w:val="24"/>
          <w:szCs w:val="24"/>
        </w:rPr>
        <w:t>.</w:t>
      </w:r>
      <w:r>
        <w:rPr>
          <w:rFonts w:ascii="Arial" w:eastAsia="Times New Roman" w:hAnsi="Arial" w:cs="Arial"/>
          <w:b/>
          <w:sz w:val="24"/>
          <w:szCs w:val="24"/>
        </w:rPr>
        <w:t>0</w:t>
      </w:r>
      <w:r w:rsidRPr="002A1648">
        <w:rPr>
          <w:rFonts w:ascii="Arial" w:eastAsia="Times New Roman" w:hAnsi="Arial" w:cs="Arial"/>
          <w:b/>
          <w:sz w:val="24"/>
          <w:szCs w:val="24"/>
        </w:rPr>
        <w:t>00,00 EUR</w:t>
      </w:r>
    </w:p>
    <w:p w14:paraId="7F4871DB" w14:textId="77777777" w:rsidR="00E541EE" w:rsidRPr="002A1648" w:rsidRDefault="00E541EE" w:rsidP="00E541EE">
      <w:pPr>
        <w:jc w:val="both"/>
        <w:rPr>
          <w:rFonts w:ascii="Arial" w:eastAsia="Times New Roman" w:hAnsi="Arial" w:cs="Arial"/>
          <w:sz w:val="24"/>
          <w:szCs w:val="24"/>
        </w:rPr>
      </w:pPr>
      <w:r w:rsidRPr="002A1648">
        <w:rPr>
          <w:rFonts w:ascii="Arial" w:eastAsia="Times New Roman" w:hAnsi="Arial" w:cs="Arial"/>
          <w:b/>
          <w:sz w:val="24"/>
          <w:szCs w:val="24"/>
        </w:rPr>
        <w:t xml:space="preserve">Zakonska osnova: </w:t>
      </w:r>
      <w:r w:rsidRPr="002A1648">
        <w:rPr>
          <w:rFonts w:ascii="Arial" w:eastAsia="Times New Roman" w:hAnsi="Arial" w:cs="Arial"/>
          <w:sz w:val="24"/>
          <w:szCs w:val="24"/>
        </w:rPr>
        <w:t>Zakon o komunalnom gospodarstvu.</w:t>
      </w:r>
    </w:p>
    <w:p w14:paraId="1944D3C0" w14:textId="77777777" w:rsidR="00E541EE" w:rsidRPr="002A1648" w:rsidRDefault="00E541EE" w:rsidP="00E541EE">
      <w:pPr>
        <w:jc w:val="both"/>
        <w:rPr>
          <w:rFonts w:ascii="Arial" w:eastAsia="Times New Roman" w:hAnsi="Arial" w:cs="Arial"/>
          <w:sz w:val="24"/>
          <w:szCs w:val="24"/>
        </w:rPr>
      </w:pPr>
      <w:r w:rsidRPr="002A1648">
        <w:rPr>
          <w:rFonts w:ascii="Arial" w:eastAsia="Times New Roman" w:hAnsi="Arial" w:cs="Arial"/>
          <w:b/>
          <w:sz w:val="24"/>
          <w:szCs w:val="24"/>
        </w:rPr>
        <w:t xml:space="preserve">Opis: </w:t>
      </w:r>
      <w:r w:rsidRPr="002A1648">
        <w:rPr>
          <w:rFonts w:ascii="Arial" w:eastAsia="Times New Roman" w:hAnsi="Arial" w:cs="Arial"/>
          <w:sz w:val="24"/>
          <w:szCs w:val="24"/>
        </w:rPr>
        <w:t xml:space="preserve">sredstva za potrošnju javne vode (javne slavine, javne plaže, gradska fontana i dr.). </w:t>
      </w:r>
    </w:p>
    <w:p w14:paraId="007C2387" w14:textId="77777777" w:rsidR="00E541EE" w:rsidRPr="002A1648" w:rsidRDefault="00E541EE" w:rsidP="00E541EE">
      <w:pPr>
        <w:jc w:val="both"/>
        <w:rPr>
          <w:rFonts w:ascii="Arial" w:eastAsia="Times New Roman" w:hAnsi="Arial" w:cs="Arial"/>
          <w:sz w:val="24"/>
          <w:szCs w:val="24"/>
        </w:rPr>
      </w:pPr>
      <w:r w:rsidRPr="002A1648">
        <w:rPr>
          <w:rFonts w:ascii="Arial" w:eastAsia="Times New Roman" w:hAnsi="Arial" w:cs="Arial"/>
          <w:b/>
          <w:sz w:val="24"/>
          <w:szCs w:val="24"/>
        </w:rPr>
        <w:t xml:space="preserve">Opći cilj: </w:t>
      </w:r>
      <w:r w:rsidRPr="002A1648">
        <w:rPr>
          <w:rFonts w:ascii="Arial" w:eastAsia="Times New Roman" w:hAnsi="Arial" w:cs="Arial"/>
          <w:sz w:val="24"/>
          <w:szCs w:val="24"/>
        </w:rPr>
        <w:t>osiguranje dovoljne količine tehnološke vode za javne potrebe.</w:t>
      </w:r>
    </w:p>
    <w:p w14:paraId="356B9D0E" w14:textId="77777777" w:rsidR="00E541EE" w:rsidRPr="002A1648" w:rsidRDefault="00E541EE" w:rsidP="00E541EE">
      <w:pPr>
        <w:jc w:val="both"/>
        <w:rPr>
          <w:rFonts w:ascii="Arial" w:eastAsia="Times New Roman" w:hAnsi="Arial" w:cs="Arial"/>
          <w:sz w:val="24"/>
          <w:szCs w:val="24"/>
        </w:rPr>
      </w:pPr>
      <w:r w:rsidRPr="002A1648">
        <w:rPr>
          <w:rFonts w:ascii="Arial" w:eastAsia="Times New Roman" w:hAnsi="Arial" w:cs="Arial"/>
          <w:b/>
          <w:sz w:val="24"/>
          <w:szCs w:val="24"/>
        </w:rPr>
        <w:t>Pokazatelj uspješnosti</w:t>
      </w:r>
      <w:r w:rsidRPr="002A1648">
        <w:rPr>
          <w:rFonts w:ascii="Arial" w:eastAsia="Times New Roman" w:hAnsi="Arial" w:cs="Arial"/>
          <w:sz w:val="24"/>
          <w:szCs w:val="24"/>
        </w:rPr>
        <w:t>: jednaka ili manja potrošnja vode za javne potrebe u odnosu na prethodno razdoblje.</w:t>
      </w:r>
    </w:p>
    <w:p w14:paraId="7C74DF9A" w14:textId="77777777" w:rsidR="00E541EE" w:rsidRPr="00447D66" w:rsidRDefault="00E541EE" w:rsidP="00E541EE">
      <w:pPr>
        <w:jc w:val="both"/>
        <w:rPr>
          <w:rFonts w:ascii="Arial" w:eastAsia="Times New Roman" w:hAnsi="Arial" w:cs="Arial"/>
          <w:color w:val="AEAAAA" w:themeColor="background2" w:themeShade="BF"/>
          <w:sz w:val="24"/>
          <w:szCs w:val="24"/>
          <w:highlight w:val="lightGray"/>
        </w:rPr>
      </w:pPr>
    </w:p>
    <w:p w14:paraId="2AB3011F" w14:textId="77777777" w:rsidR="00E541EE" w:rsidRPr="002A1648" w:rsidRDefault="00E541EE" w:rsidP="00E541EE">
      <w:pPr>
        <w:pBdr>
          <w:top w:val="single" w:sz="4" w:space="1" w:color="auto"/>
          <w:left w:val="single" w:sz="4" w:space="4" w:color="auto"/>
          <w:bottom w:val="single" w:sz="4" w:space="1" w:color="auto"/>
          <w:right w:val="single" w:sz="4" w:space="4" w:color="auto"/>
        </w:pBdr>
        <w:shd w:val="clear" w:color="auto" w:fill="E9E9E9"/>
        <w:ind w:right="-1"/>
        <w:rPr>
          <w:rFonts w:ascii="Arial" w:eastAsia="Times New Roman" w:hAnsi="Arial" w:cs="Arial"/>
          <w:b/>
          <w:sz w:val="24"/>
          <w:szCs w:val="24"/>
        </w:rPr>
      </w:pPr>
      <w:r w:rsidRPr="002A1648">
        <w:rPr>
          <w:rFonts w:ascii="Arial" w:eastAsia="Times New Roman" w:hAnsi="Arial" w:cs="Arial"/>
          <w:b/>
          <w:sz w:val="24"/>
          <w:szCs w:val="24"/>
        </w:rPr>
        <w:t xml:space="preserve">A 102106: Izvanredno čišćenje javnih površina i uređenje ostalih nekretnina  </w:t>
      </w:r>
    </w:p>
    <w:p w14:paraId="303EC493" w14:textId="77777777" w:rsidR="00E541EE" w:rsidRPr="002A1648" w:rsidRDefault="00E541EE" w:rsidP="00E541EE">
      <w:pPr>
        <w:pBdr>
          <w:top w:val="single" w:sz="4" w:space="1" w:color="auto"/>
          <w:left w:val="single" w:sz="4" w:space="4" w:color="auto"/>
          <w:bottom w:val="single" w:sz="4" w:space="1" w:color="auto"/>
          <w:right w:val="single" w:sz="4" w:space="4" w:color="auto"/>
        </w:pBdr>
        <w:shd w:val="clear" w:color="auto" w:fill="E9E9E9"/>
        <w:ind w:right="-1"/>
        <w:rPr>
          <w:rFonts w:ascii="Arial" w:eastAsia="Times New Roman" w:hAnsi="Arial" w:cs="Arial"/>
          <w:b/>
          <w:sz w:val="24"/>
          <w:szCs w:val="24"/>
        </w:rPr>
      </w:pPr>
      <w:r w:rsidRPr="002A1648">
        <w:rPr>
          <w:rFonts w:ascii="Arial" w:eastAsia="Times New Roman" w:hAnsi="Arial" w:cs="Arial"/>
          <w:b/>
          <w:sz w:val="24"/>
          <w:szCs w:val="24"/>
        </w:rPr>
        <w:t xml:space="preserve">= </w:t>
      </w:r>
      <w:r>
        <w:rPr>
          <w:rFonts w:ascii="Arial" w:eastAsia="Times New Roman" w:hAnsi="Arial" w:cs="Arial"/>
          <w:b/>
          <w:sz w:val="24"/>
          <w:szCs w:val="24"/>
        </w:rPr>
        <w:t>50</w:t>
      </w:r>
      <w:r w:rsidRPr="002A1648">
        <w:rPr>
          <w:rFonts w:ascii="Arial" w:eastAsia="Times New Roman" w:hAnsi="Arial" w:cs="Arial"/>
          <w:b/>
          <w:sz w:val="24"/>
          <w:szCs w:val="24"/>
        </w:rPr>
        <w:t>.</w:t>
      </w:r>
      <w:r>
        <w:rPr>
          <w:rFonts w:ascii="Arial" w:eastAsia="Times New Roman" w:hAnsi="Arial" w:cs="Arial"/>
          <w:b/>
          <w:sz w:val="24"/>
          <w:szCs w:val="24"/>
        </w:rPr>
        <w:t>000</w:t>
      </w:r>
      <w:r w:rsidRPr="002A1648">
        <w:rPr>
          <w:rFonts w:ascii="Arial" w:eastAsia="Times New Roman" w:hAnsi="Arial" w:cs="Arial"/>
          <w:b/>
          <w:sz w:val="24"/>
          <w:szCs w:val="24"/>
        </w:rPr>
        <w:t>,</w:t>
      </w:r>
      <w:r>
        <w:rPr>
          <w:rFonts w:ascii="Arial" w:eastAsia="Times New Roman" w:hAnsi="Arial" w:cs="Arial"/>
          <w:b/>
          <w:sz w:val="24"/>
          <w:szCs w:val="24"/>
        </w:rPr>
        <w:t>0</w:t>
      </w:r>
      <w:r w:rsidRPr="002A1648">
        <w:rPr>
          <w:rFonts w:ascii="Arial" w:eastAsia="Times New Roman" w:hAnsi="Arial" w:cs="Arial"/>
          <w:b/>
          <w:sz w:val="24"/>
          <w:szCs w:val="24"/>
        </w:rPr>
        <w:t>0 EUR</w:t>
      </w:r>
    </w:p>
    <w:p w14:paraId="73080BB9" w14:textId="77777777" w:rsidR="00E541EE" w:rsidRPr="002A1648" w:rsidRDefault="00E541EE" w:rsidP="00E541EE">
      <w:pPr>
        <w:jc w:val="both"/>
        <w:rPr>
          <w:rFonts w:ascii="Arial" w:eastAsia="Times New Roman" w:hAnsi="Arial" w:cs="Arial"/>
          <w:sz w:val="24"/>
          <w:szCs w:val="24"/>
        </w:rPr>
      </w:pPr>
      <w:r w:rsidRPr="002A1648">
        <w:rPr>
          <w:rFonts w:ascii="Arial" w:eastAsia="Times New Roman" w:hAnsi="Arial" w:cs="Arial"/>
          <w:b/>
          <w:sz w:val="24"/>
          <w:szCs w:val="24"/>
        </w:rPr>
        <w:t xml:space="preserve">Zakonska osnova: </w:t>
      </w:r>
      <w:r w:rsidRPr="002A1648">
        <w:rPr>
          <w:rFonts w:ascii="Arial" w:eastAsia="Times New Roman" w:hAnsi="Arial" w:cs="Arial"/>
          <w:sz w:val="24"/>
          <w:szCs w:val="24"/>
        </w:rPr>
        <w:t>Zakon o komunalnom gospodarstvu, Odluka o komunalnim djelatnostima, Odluka o komunalnom redu.</w:t>
      </w:r>
    </w:p>
    <w:p w14:paraId="16B6AD9F" w14:textId="77777777" w:rsidR="00E541EE" w:rsidRPr="002A1648" w:rsidRDefault="00E541EE" w:rsidP="00E541EE">
      <w:pPr>
        <w:jc w:val="both"/>
        <w:rPr>
          <w:rFonts w:ascii="Arial" w:eastAsia="Times New Roman" w:hAnsi="Arial" w:cs="Arial"/>
          <w:sz w:val="24"/>
          <w:szCs w:val="24"/>
        </w:rPr>
      </w:pPr>
      <w:r w:rsidRPr="002A1648">
        <w:rPr>
          <w:rFonts w:ascii="Arial" w:eastAsia="Times New Roman" w:hAnsi="Arial" w:cs="Arial"/>
          <w:b/>
          <w:sz w:val="24"/>
          <w:szCs w:val="24"/>
        </w:rPr>
        <w:t xml:space="preserve">Opis: </w:t>
      </w:r>
      <w:r w:rsidRPr="002A1648">
        <w:rPr>
          <w:rFonts w:ascii="Arial" w:eastAsia="Times New Roman" w:hAnsi="Arial" w:cs="Arial"/>
          <w:sz w:val="24"/>
          <w:szCs w:val="24"/>
        </w:rPr>
        <w:t>prema nalozima komunalnih redara vrši se pojačano čišćenje, uređenje i pranje javnih površina, odvoz nepropisno odbačenog otpada, uklanjanje grafita, čišćenje gradskih štalica, interventno uklanjanje suhih stabala i druge intervencije na javnim površinama.</w:t>
      </w:r>
      <w:r>
        <w:rPr>
          <w:rFonts w:ascii="Arial" w:eastAsia="Times New Roman" w:hAnsi="Arial" w:cs="Arial"/>
          <w:sz w:val="24"/>
          <w:szCs w:val="24"/>
        </w:rPr>
        <w:t xml:space="preserve"> </w:t>
      </w:r>
      <w:r w:rsidRPr="002A1648">
        <w:rPr>
          <w:rFonts w:ascii="Arial" w:eastAsia="Times New Roman" w:hAnsi="Arial" w:cs="Arial"/>
          <w:sz w:val="24"/>
          <w:szCs w:val="24"/>
        </w:rPr>
        <w:t>Također, prema izvršnim rješenjima izvršava se uklanjanje objekata/naprava bez odobrenja, premještaj vozila i sl. te izvršavanje ostalih interventnih zahvata.</w:t>
      </w:r>
    </w:p>
    <w:p w14:paraId="792F7883" w14:textId="77777777" w:rsidR="00E541EE" w:rsidRPr="002A1648" w:rsidRDefault="00E541EE" w:rsidP="00E541EE">
      <w:pPr>
        <w:jc w:val="both"/>
        <w:rPr>
          <w:rFonts w:ascii="Arial" w:eastAsia="Times New Roman" w:hAnsi="Arial" w:cs="Arial"/>
          <w:sz w:val="24"/>
          <w:szCs w:val="24"/>
        </w:rPr>
      </w:pPr>
      <w:r w:rsidRPr="002A1648">
        <w:rPr>
          <w:rFonts w:ascii="Arial" w:eastAsia="Times New Roman" w:hAnsi="Arial" w:cs="Arial"/>
          <w:b/>
          <w:sz w:val="24"/>
          <w:szCs w:val="24"/>
        </w:rPr>
        <w:t xml:space="preserve">Opći cilj: </w:t>
      </w:r>
      <w:r w:rsidRPr="002A1648">
        <w:rPr>
          <w:rFonts w:ascii="Arial" w:eastAsia="Times New Roman" w:hAnsi="Arial" w:cs="Arial"/>
          <w:sz w:val="24"/>
          <w:szCs w:val="24"/>
        </w:rPr>
        <w:t>nabava usluga i radova za kvalitetno izvršenje pojedinačnih zadataka radi provođenja komunalnog reda.</w:t>
      </w:r>
    </w:p>
    <w:p w14:paraId="2D2F2BEF" w14:textId="77777777" w:rsidR="00E541EE" w:rsidRDefault="00E541EE" w:rsidP="00E541EE">
      <w:pPr>
        <w:jc w:val="both"/>
        <w:rPr>
          <w:rFonts w:ascii="Arial" w:eastAsia="Times New Roman" w:hAnsi="Arial" w:cs="Arial"/>
          <w:sz w:val="24"/>
          <w:szCs w:val="24"/>
        </w:rPr>
      </w:pPr>
      <w:r w:rsidRPr="002A1648">
        <w:rPr>
          <w:rFonts w:ascii="Arial" w:eastAsia="Times New Roman" w:hAnsi="Arial" w:cs="Arial"/>
          <w:b/>
          <w:bCs/>
          <w:sz w:val="24"/>
          <w:szCs w:val="24"/>
        </w:rPr>
        <w:t>Pokazatelj uspješnosti:</w:t>
      </w:r>
      <w:r w:rsidRPr="002A1648">
        <w:rPr>
          <w:rFonts w:ascii="Arial" w:eastAsia="Times New Roman" w:hAnsi="Arial" w:cs="Arial"/>
          <w:sz w:val="24"/>
          <w:szCs w:val="24"/>
        </w:rPr>
        <w:t xml:space="preserve"> promptno postupanje službe po svim interventnim situacijama i izvršenje svih naručenih radova.</w:t>
      </w:r>
    </w:p>
    <w:p w14:paraId="05B52A7F" w14:textId="77777777" w:rsidR="00E541EE" w:rsidRPr="002A1648" w:rsidRDefault="00E541EE" w:rsidP="00E541EE">
      <w:pPr>
        <w:jc w:val="both"/>
        <w:rPr>
          <w:rFonts w:ascii="Arial" w:eastAsia="Times New Roman" w:hAnsi="Arial" w:cs="Arial"/>
          <w:sz w:val="24"/>
          <w:szCs w:val="24"/>
        </w:rPr>
      </w:pPr>
    </w:p>
    <w:p w14:paraId="122C063B" w14:textId="77777777" w:rsidR="00E541EE" w:rsidRPr="000352A6" w:rsidRDefault="00E541EE" w:rsidP="00E541EE">
      <w:pPr>
        <w:pBdr>
          <w:top w:val="single" w:sz="4" w:space="1" w:color="auto"/>
          <w:left w:val="single" w:sz="4" w:space="4" w:color="auto"/>
          <w:bottom w:val="single" w:sz="4" w:space="1" w:color="auto"/>
          <w:right w:val="single" w:sz="4" w:space="4" w:color="auto"/>
        </w:pBdr>
        <w:shd w:val="clear" w:color="auto" w:fill="E9E9E9"/>
        <w:ind w:right="-1"/>
        <w:rPr>
          <w:rFonts w:ascii="Arial" w:eastAsia="Times New Roman" w:hAnsi="Arial" w:cs="Arial"/>
          <w:b/>
          <w:sz w:val="24"/>
          <w:szCs w:val="24"/>
        </w:rPr>
      </w:pPr>
      <w:r w:rsidRPr="000352A6">
        <w:rPr>
          <w:rFonts w:ascii="Arial" w:eastAsia="Times New Roman" w:hAnsi="Arial" w:cs="Arial"/>
          <w:b/>
          <w:sz w:val="24"/>
          <w:szCs w:val="24"/>
        </w:rPr>
        <w:t>A 102107: Prijevoz robe u pješačkoj zoni = 5</w:t>
      </w:r>
      <w:r>
        <w:rPr>
          <w:rFonts w:ascii="Arial" w:eastAsia="Times New Roman" w:hAnsi="Arial" w:cs="Arial"/>
          <w:b/>
          <w:sz w:val="24"/>
          <w:szCs w:val="24"/>
        </w:rPr>
        <w:t>5</w:t>
      </w:r>
      <w:r w:rsidRPr="000352A6">
        <w:rPr>
          <w:rFonts w:ascii="Arial" w:eastAsia="Times New Roman" w:hAnsi="Arial" w:cs="Arial"/>
          <w:b/>
          <w:sz w:val="24"/>
          <w:szCs w:val="24"/>
        </w:rPr>
        <w:t>.0</w:t>
      </w:r>
      <w:r>
        <w:rPr>
          <w:rFonts w:ascii="Arial" w:eastAsia="Times New Roman" w:hAnsi="Arial" w:cs="Arial"/>
          <w:b/>
          <w:sz w:val="24"/>
          <w:szCs w:val="24"/>
        </w:rPr>
        <w:t>0</w:t>
      </w:r>
      <w:r w:rsidRPr="000352A6">
        <w:rPr>
          <w:rFonts w:ascii="Arial" w:eastAsia="Times New Roman" w:hAnsi="Arial" w:cs="Arial"/>
          <w:b/>
          <w:sz w:val="24"/>
          <w:szCs w:val="24"/>
        </w:rPr>
        <w:t>0,00 EUR</w:t>
      </w:r>
    </w:p>
    <w:p w14:paraId="3DF7D2D6" w14:textId="77777777" w:rsidR="00E541EE" w:rsidRPr="0029567F" w:rsidRDefault="00E541EE" w:rsidP="00E541EE">
      <w:pPr>
        <w:jc w:val="both"/>
        <w:rPr>
          <w:rFonts w:ascii="Arial" w:eastAsia="Times New Roman" w:hAnsi="Arial" w:cs="Arial"/>
          <w:sz w:val="24"/>
          <w:szCs w:val="24"/>
        </w:rPr>
      </w:pPr>
      <w:r w:rsidRPr="0029567F">
        <w:rPr>
          <w:rFonts w:ascii="Arial" w:eastAsia="Times New Roman" w:hAnsi="Arial" w:cs="Arial"/>
          <w:b/>
          <w:sz w:val="24"/>
          <w:szCs w:val="24"/>
        </w:rPr>
        <w:t xml:space="preserve">Zakonska osnova: </w:t>
      </w:r>
      <w:r w:rsidRPr="0029567F">
        <w:rPr>
          <w:rFonts w:ascii="Arial" w:eastAsia="Times New Roman" w:hAnsi="Arial" w:cs="Arial"/>
          <w:sz w:val="24"/>
          <w:szCs w:val="24"/>
        </w:rPr>
        <w:t>Zakon o komunalnom gospodarstvu, Odluka o komunalnim djelatnostima.</w:t>
      </w:r>
    </w:p>
    <w:p w14:paraId="67602791" w14:textId="77777777" w:rsidR="00E541EE" w:rsidRDefault="00E541EE" w:rsidP="00E541EE">
      <w:pPr>
        <w:jc w:val="both"/>
        <w:rPr>
          <w:rFonts w:ascii="Arial" w:eastAsia="Times New Roman" w:hAnsi="Arial" w:cs="Arial"/>
          <w:sz w:val="24"/>
          <w:szCs w:val="24"/>
        </w:rPr>
      </w:pPr>
      <w:r w:rsidRPr="0029567F">
        <w:rPr>
          <w:rFonts w:ascii="Arial" w:eastAsia="Times New Roman" w:hAnsi="Arial" w:cs="Arial"/>
          <w:b/>
          <w:sz w:val="24"/>
          <w:szCs w:val="24"/>
        </w:rPr>
        <w:t xml:space="preserve">Opis: </w:t>
      </w:r>
      <w:r w:rsidRPr="0029567F">
        <w:rPr>
          <w:rFonts w:ascii="Arial" w:eastAsia="Times New Roman" w:hAnsi="Arial" w:cs="Arial"/>
          <w:sz w:val="24"/>
          <w:szCs w:val="24"/>
        </w:rPr>
        <w:t xml:space="preserve">posebno dostavno vozilo uvedeno je nakon zatvaranja ulice Carera za promet motornim vozilima, a kako bi građanima bila omogućena dostava. U toku ljetnih mjeseci osigurava se prijevoz </w:t>
      </w:r>
      <w:r w:rsidRPr="000352A6">
        <w:rPr>
          <w:rFonts w:ascii="Arial" w:eastAsia="Times New Roman" w:hAnsi="Arial" w:cs="Arial"/>
          <w:sz w:val="24"/>
          <w:szCs w:val="24"/>
        </w:rPr>
        <w:t xml:space="preserve">sa tri vozila. Većina poslova ove komunalne djelatnosti svodi se na besplatnu dostavu za potrebe </w:t>
      </w:r>
      <w:r w:rsidRPr="0029567F">
        <w:rPr>
          <w:rFonts w:ascii="Arial" w:eastAsia="Times New Roman" w:hAnsi="Arial" w:cs="Arial"/>
          <w:sz w:val="24"/>
          <w:szCs w:val="24"/>
        </w:rPr>
        <w:t xml:space="preserve">stanara ulice Carera. </w:t>
      </w:r>
    </w:p>
    <w:p w14:paraId="6EDADEFB" w14:textId="77777777" w:rsidR="00E541EE" w:rsidRPr="0029567F" w:rsidRDefault="00E541EE" w:rsidP="00E541EE">
      <w:pPr>
        <w:jc w:val="both"/>
        <w:rPr>
          <w:rFonts w:ascii="Arial" w:eastAsia="Times New Roman" w:hAnsi="Arial" w:cs="Arial"/>
          <w:b/>
          <w:sz w:val="24"/>
          <w:szCs w:val="24"/>
        </w:rPr>
      </w:pPr>
      <w:r w:rsidRPr="0029567F">
        <w:rPr>
          <w:rFonts w:ascii="Arial" w:eastAsia="Times New Roman" w:hAnsi="Arial" w:cs="Arial"/>
          <w:b/>
          <w:sz w:val="24"/>
          <w:szCs w:val="24"/>
        </w:rPr>
        <w:t xml:space="preserve">Opći cilj: </w:t>
      </w:r>
      <w:r w:rsidRPr="0029567F">
        <w:rPr>
          <w:rFonts w:ascii="Arial" w:eastAsia="Times New Roman" w:hAnsi="Arial" w:cs="Arial"/>
          <w:sz w:val="24"/>
          <w:szCs w:val="24"/>
        </w:rPr>
        <w:t>osiguranje usluge prijevoza robe u pješačkoj zoni grada radi smanjenja prometovanja.</w:t>
      </w:r>
    </w:p>
    <w:p w14:paraId="5DA9464E" w14:textId="77777777" w:rsidR="00E541EE" w:rsidRPr="000352A6" w:rsidRDefault="00E541EE" w:rsidP="00E541EE">
      <w:pPr>
        <w:jc w:val="both"/>
        <w:rPr>
          <w:rFonts w:ascii="Arial" w:eastAsia="Times New Roman" w:hAnsi="Arial" w:cs="Arial"/>
          <w:sz w:val="24"/>
          <w:szCs w:val="24"/>
        </w:rPr>
      </w:pPr>
      <w:r w:rsidRPr="0029567F">
        <w:rPr>
          <w:rFonts w:ascii="Arial" w:eastAsia="Times New Roman" w:hAnsi="Arial" w:cs="Arial"/>
          <w:b/>
          <w:sz w:val="24"/>
          <w:szCs w:val="24"/>
        </w:rPr>
        <w:t>Pokazatelj uspješnosti:</w:t>
      </w:r>
      <w:r w:rsidRPr="0029567F">
        <w:rPr>
          <w:rFonts w:ascii="Arial" w:eastAsia="Times New Roman" w:hAnsi="Arial" w:cs="Arial"/>
          <w:sz w:val="24"/>
          <w:szCs w:val="24"/>
        </w:rPr>
        <w:t xml:space="preserve"> osiguranje prijevoza za vrijeme turističke sezone do 40 tura u prosjeku </w:t>
      </w:r>
      <w:r w:rsidRPr="000352A6">
        <w:rPr>
          <w:rFonts w:ascii="Arial" w:eastAsia="Times New Roman" w:hAnsi="Arial" w:cs="Arial"/>
          <w:sz w:val="24"/>
          <w:szCs w:val="24"/>
        </w:rPr>
        <w:t>dnevno sa tri vozila, a u zimskom periodu do 5 tura sa jednim vozilom.</w:t>
      </w:r>
    </w:p>
    <w:p w14:paraId="41FB19BE" w14:textId="77777777" w:rsidR="00E541EE" w:rsidRPr="0029567F" w:rsidRDefault="00E541EE" w:rsidP="00E541EE">
      <w:pPr>
        <w:jc w:val="both"/>
        <w:rPr>
          <w:rFonts w:ascii="Arial" w:eastAsia="Times New Roman" w:hAnsi="Arial" w:cs="Arial"/>
          <w:sz w:val="24"/>
          <w:szCs w:val="24"/>
        </w:rPr>
      </w:pPr>
    </w:p>
    <w:p w14:paraId="59176E15" w14:textId="77777777" w:rsidR="00E541EE" w:rsidRDefault="00E541EE" w:rsidP="00E541EE">
      <w:pPr>
        <w:pBdr>
          <w:top w:val="single" w:sz="4" w:space="1" w:color="auto"/>
          <w:left w:val="single" w:sz="4" w:space="4" w:color="auto"/>
          <w:bottom w:val="single" w:sz="4" w:space="1" w:color="auto"/>
          <w:right w:val="single" w:sz="4" w:space="4" w:color="auto"/>
        </w:pBdr>
        <w:shd w:val="clear" w:color="auto" w:fill="E9E9E9"/>
        <w:ind w:right="-1"/>
        <w:jc w:val="both"/>
        <w:rPr>
          <w:rFonts w:ascii="Arial" w:eastAsia="Times New Roman" w:hAnsi="Arial" w:cs="Arial"/>
          <w:b/>
          <w:sz w:val="24"/>
          <w:szCs w:val="24"/>
        </w:rPr>
      </w:pPr>
      <w:r w:rsidRPr="0029567F">
        <w:rPr>
          <w:rFonts w:ascii="Arial" w:eastAsia="Times New Roman" w:hAnsi="Arial" w:cs="Arial"/>
          <w:b/>
          <w:sz w:val="24"/>
          <w:szCs w:val="24"/>
        </w:rPr>
        <w:t xml:space="preserve">A 102110: FZOEU - Poticajna naknada zbog smanjenja količine MKO </w:t>
      </w:r>
    </w:p>
    <w:p w14:paraId="72E6F038" w14:textId="77777777" w:rsidR="00E541EE" w:rsidRPr="000352A6" w:rsidRDefault="00E541EE" w:rsidP="00E541EE">
      <w:pPr>
        <w:pBdr>
          <w:top w:val="single" w:sz="4" w:space="1" w:color="auto"/>
          <w:left w:val="single" w:sz="4" w:space="4" w:color="auto"/>
          <w:bottom w:val="single" w:sz="4" w:space="1" w:color="auto"/>
          <w:right w:val="single" w:sz="4" w:space="4" w:color="auto"/>
        </w:pBdr>
        <w:shd w:val="clear" w:color="auto" w:fill="E9E9E9"/>
        <w:ind w:right="-1"/>
        <w:jc w:val="both"/>
        <w:rPr>
          <w:rFonts w:ascii="Arial" w:eastAsia="Times New Roman" w:hAnsi="Arial" w:cs="Arial"/>
          <w:b/>
          <w:sz w:val="24"/>
          <w:szCs w:val="24"/>
        </w:rPr>
      </w:pPr>
      <w:r w:rsidRPr="000352A6">
        <w:rPr>
          <w:rFonts w:ascii="Arial" w:eastAsia="Times New Roman" w:hAnsi="Arial" w:cs="Arial"/>
          <w:b/>
          <w:sz w:val="24"/>
          <w:szCs w:val="24"/>
        </w:rPr>
        <w:t xml:space="preserve">= </w:t>
      </w:r>
      <w:r>
        <w:rPr>
          <w:rFonts w:ascii="Arial" w:eastAsia="Times New Roman" w:hAnsi="Arial" w:cs="Arial"/>
          <w:b/>
          <w:sz w:val="24"/>
          <w:szCs w:val="24"/>
        </w:rPr>
        <w:t>50</w:t>
      </w:r>
      <w:r w:rsidRPr="000352A6">
        <w:rPr>
          <w:rFonts w:ascii="Arial" w:eastAsia="Times New Roman" w:hAnsi="Arial" w:cs="Arial"/>
          <w:b/>
          <w:sz w:val="24"/>
          <w:szCs w:val="24"/>
        </w:rPr>
        <w:t>.</w:t>
      </w:r>
      <w:r>
        <w:rPr>
          <w:rFonts w:ascii="Arial" w:eastAsia="Times New Roman" w:hAnsi="Arial" w:cs="Arial"/>
          <w:b/>
          <w:sz w:val="24"/>
          <w:szCs w:val="24"/>
        </w:rPr>
        <w:t>00</w:t>
      </w:r>
      <w:r w:rsidRPr="000352A6">
        <w:rPr>
          <w:rFonts w:ascii="Arial" w:eastAsia="Times New Roman" w:hAnsi="Arial" w:cs="Arial"/>
          <w:b/>
          <w:sz w:val="24"/>
          <w:szCs w:val="24"/>
        </w:rPr>
        <w:t>0,00 EUR</w:t>
      </w:r>
    </w:p>
    <w:p w14:paraId="209A9752" w14:textId="77777777" w:rsidR="00E541EE" w:rsidRPr="0029567F" w:rsidRDefault="00E541EE" w:rsidP="00E541EE">
      <w:pPr>
        <w:jc w:val="both"/>
        <w:rPr>
          <w:rFonts w:ascii="Arial" w:eastAsia="Times New Roman" w:hAnsi="Arial" w:cs="Arial"/>
          <w:sz w:val="24"/>
          <w:szCs w:val="24"/>
        </w:rPr>
      </w:pPr>
      <w:r w:rsidRPr="0029567F">
        <w:rPr>
          <w:rFonts w:ascii="Arial" w:eastAsia="Times New Roman" w:hAnsi="Arial" w:cs="Arial"/>
          <w:b/>
          <w:sz w:val="24"/>
          <w:szCs w:val="24"/>
        </w:rPr>
        <w:t xml:space="preserve">Zakonska osnova: </w:t>
      </w:r>
      <w:r w:rsidRPr="0029567F">
        <w:rPr>
          <w:rFonts w:ascii="Arial" w:eastAsia="Times New Roman" w:hAnsi="Arial" w:cs="Arial"/>
          <w:sz w:val="24"/>
          <w:szCs w:val="24"/>
        </w:rPr>
        <w:t>Zakon o održivom gospodarenju otpadom.</w:t>
      </w:r>
    </w:p>
    <w:p w14:paraId="65ABEBBF" w14:textId="77777777" w:rsidR="00E541EE" w:rsidRDefault="00E541EE" w:rsidP="00E541EE">
      <w:pPr>
        <w:jc w:val="both"/>
        <w:rPr>
          <w:rFonts w:ascii="Arial" w:eastAsia="Times New Roman" w:hAnsi="Arial" w:cs="Arial"/>
          <w:sz w:val="24"/>
          <w:szCs w:val="24"/>
        </w:rPr>
      </w:pPr>
      <w:r w:rsidRPr="0029567F">
        <w:rPr>
          <w:rFonts w:ascii="Arial" w:eastAsia="Times New Roman" w:hAnsi="Arial" w:cs="Arial"/>
          <w:b/>
          <w:sz w:val="24"/>
          <w:szCs w:val="24"/>
        </w:rPr>
        <w:t xml:space="preserve">Opis: </w:t>
      </w:r>
      <w:r w:rsidRPr="0029567F">
        <w:rPr>
          <w:rFonts w:ascii="Arial" w:eastAsia="Times New Roman" w:hAnsi="Arial" w:cs="Arial"/>
          <w:sz w:val="24"/>
          <w:szCs w:val="24"/>
        </w:rPr>
        <w:t>sredstv</w:t>
      </w:r>
      <w:r>
        <w:rPr>
          <w:rFonts w:ascii="Arial" w:eastAsia="Times New Roman" w:hAnsi="Arial" w:cs="Arial"/>
          <w:sz w:val="24"/>
          <w:szCs w:val="24"/>
        </w:rPr>
        <w:t xml:space="preserve">a </w:t>
      </w:r>
      <w:r w:rsidRPr="0029567F">
        <w:rPr>
          <w:rFonts w:ascii="Arial" w:eastAsia="Times New Roman" w:hAnsi="Arial" w:cs="Arial"/>
          <w:sz w:val="24"/>
          <w:szCs w:val="24"/>
        </w:rPr>
        <w:t>za plaćanje poticajne naknade za smanjenje količine miješanog komunalnog otpada, a što se utvrđuje Rješenjem FZOEU sukladno Zakonu o održivom gospodarenju otpadom.</w:t>
      </w:r>
    </w:p>
    <w:p w14:paraId="0F7FD8C1" w14:textId="77777777" w:rsidR="00E541EE" w:rsidRPr="0029567F" w:rsidRDefault="00E541EE" w:rsidP="00E541EE">
      <w:pPr>
        <w:jc w:val="both"/>
        <w:rPr>
          <w:rFonts w:ascii="Arial" w:eastAsia="Times New Roman" w:hAnsi="Arial" w:cs="Arial"/>
          <w:b/>
          <w:sz w:val="24"/>
          <w:szCs w:val="24"/>
        </w:rPr>
      </w:pPr>
      <w:r w:rsidRPr="0029567F">
        <w:rPr>
          <w:rFonts w:ascii="Arial" w:eastAsia="Times New Roman" w:hAnsi="Arial" w:cs="Arial"/>
          <w:b/>
          <w:sz w:val="24"/>
          <w:szCs w:val="24"/>
        </w:rPr>
        <w:t xml:space="preserve">Opći cilj: </w:t>
      </w:r>
      <w:r w:rsidRPr="0029567F">
        <w:rPr>
          <w:rFonts w:ascii="Arial" w:eastAsia="Times New Roman" w:hAnsi="Arial" w:cs="Arial"/>
          <w:sz w:val="24"/>
          <w:szCs w:val="24"/>
        </w:rPr>
        <w:t>smanjenje količine MKO u ukupnoj količini prikupljenog otpada.</w:t>
      </w:r>
    </w:p>
    <w:p w14:paraId="36AB19D6" w14:textId="77777777" w:rsidR="00E541EE" w:rsidRPr="0029567F" w:rsidRDefault="00E541EE" w:rsidP="00E541EE">
      <w:pPr>
        <w:jc w:val="both"/>
        <w:rPr>
          <w:rFonts w:ascii="Arial" w:eastAsia="Times New Roman" w:hAnsi="Arial" w:cs="Arial"/>
          <w:b/>
          <w:sz w:val="24"/>
          <w:szCs w:val="24"/>
        </w:rPr>
      </w:pPr>
      <w:r w:rsidRPr="0029567F">
        <w:rPr>
          <w:rFonts w:ascii="Arial" w:eastAsia="Times New Roman" w:hAnsi="Arial" w:cs="Arial"/>
          <w:b/>
          <w:sz w:val="24"/>
          <w:szCs w:val="24"/>
        </w:rPr>
        <w:t xml:space="preserve">Pokazatelj uspješnosti: </w:t>
      </w:r>
      <w:r w:rsidRPr="0029567F">
        <w:rPr>
          <w:rFonts w:ascii="Arial" w:eastAsia="Times New Roman" w:hAnsi="Arial" w:cs="Arial"/>
          <w:sz w:val="24"/>
          <w:szCs w:val="24"/>
        </w:rPr>
        <w:t>manji iznos naknade u odnosu na prethodno razdoblje.</w:t>
      </w:r>
    </w:p>
    <w:p w14:paraId="5D0B09A5" w14:textId="77777777" w:rsidR="00E541EE" w:rsidRPr="00447D66" w:rsidRDefault="00E541EE" w:rsidP="00E541EE">
      <w:pPr>
        <w:jc w:val="both"/>
        <w:rPr>
          <w:rFonts w:ascii="Arial" w:eastAsia="Times New Roman" w:hAnsi="Arial" w:cs="Arial"/>
          <w:color w:val="AEAAAA" w:themeColor="background2" w:themeShade="BF"/>
          <w:sz w:val="24"/>
          <w:szCs w:val="24"/>
        </w:rPr>
      </w:pPr>
    </w:p>
    <w:p w14:paraId="0B7DF628" w14:textId="77777777" w:rsidR="00E541EE" w:rsidRPr="000352A6" w:rsidRDefault="00E541EE" w:rsidP="00E541EE">
      <w:pPr>
        <w:pBdr>
          <w:top w:val="single" w:sz="4" w:space="1" w:color="auto"/>
          <w:left w:val="single" w:sz="4" w:space="4" w:color="auto"/>
          <w:bottom w:val="single" w:sz="4" w:space="0" w:color="auto"/>
          <w:right w:val="single" w:sz="4" w:space="4" w:color="auto"/>
        </w:pBdr>
        <w:shd w:val="clear" w:color="auto" w:fill="FFFF80"/>
        <w:jc w:val="both"/>
        <w:rPr>
          <w:rFonts w:ascii="Arial" w:eastAsia="Times New Roman" w:hAnsi="Arial" w:cs="Arial"/>
          <w:b/>
          <w:sz w:val="24"/>
          <w:szCs w:val="24"/>
        </w:rPr>
      </w:pPr>
      <w:r w:rsidRPr="000352A6">
        <w:rPr>
          <w:rFonts w:ascii="Arial" w:eastAsia="Times New Roman" w:hAnsi="Arial" w:cs="Arial"/>
          <w:b/>
          <w:sz w:val="24"/>
          <w:szCs w:val="24"/>
        </w:rPr>
        <w:t>Program 1022: Nerazvrstane ceste = 54</w:t>
      </w:r>
      <w:r>
        <w:rPr>
          <w:rFonts w:ascii="Arial" w:eastAsia="Times New Roman" w:hAnsi="Arial" w:cs="Arial"/>
          <w:b/>
          <w:sz w:val="24"/>
          <w:szCs w:val="24"/>
        </w:rPr>
        <w:t>5</w:t>
      </w:r>
      <w:r w:rsidRPr="000352A6">
        <w:rPr>
          <w:rFonts w:ascii="Arial" w:eastAsia="Times New Roman" w:hAnsi="Arial" w:cs="Arial"/>
          <w:b/>
          <w:sz w:val="24"/>
          <w:szCs w:val="24"/>
        </w:rPr>
        <w:t>.</w:t>
      </w:r>
      <w:r>
        <w:rPr>
          <w:rFonts w:ascii="Arial" w:eastAsia="Times New Roman" w:hAnsi="Arial" w:cs="Arial"/>
          <w:b/>
          <w:sz w:val="24"/>
          <w:szCs w:val="24"/>
        </w:rPr>
        <w:t>90</w:t>
      </w:r>
      <w:r w:rsidRPr="000352A6">
        <w:rPr>
          <w:rFonts w:ascii="Arial" w:eastAsia="Times New Roman" w:hAnsi="Arial" w:cs="Arial"/>
          <w:b/>
          <w:sz w:val="24"/>
          <w:szCs w:val="24"/>
        </w:rPr>
        <w:t>0,00 EUR</w:t>
      </w:r>
    </w:p>
    <w:p w14:paraId="7A590FA1" w14:textId="77777777" w:rsidR="00E541EE" w:rsidRPr="00447D66" w:rsidRDefault="00E541EE" w:rsidP="00E541EE">
      <w:pPr>
        <w:jc w:val="both"/>
        <w:rPr>
          <w:rFonts w:ascii="Arial" w:eastAsia="Times New Roman" w:hAnsi="Arial" w:cs="Arial"/>
          <w:color w:val="AEAAAA" w:themeColor="background2" w:themeShade="BF"/>
          <w:sz w:val="24"/>
          <w:szCs w:val="24"/>
        </w:rPr>
      </w:pPr>
    </w:p>
    <w:p w14:paraId="45B98F0C" w14:textId="77777777" w:rsidR="00E541EE" w:rsidRPr="0029567F" w:rsidRDefault="00E541EE" w:rsidP="00E541EE">
      <w:pPr>
        <w:pBdr>
          <w:top w:val="single" w:sz="4" w:space="1" w:color="auto"/>
          <w:left w:val="single" w:sz="4" w:space="4" w:color="auto"/>
          <w:bottom w:val="single" w:sz="4" w:space="1" w:color="auto"/>
          <w:right w:val="single" w:sz="4" w:space="4" w:color="auto"/>
        </w:pBdr>
        <w:shd w:val="clear" w:color="auto" w:fill="E9E9E9"/>
        <w:ind w:right="-1"/>
        <w:rPr>
          <w:rFonts w:ascii="Arial" w:eastAsia="Times New Roman" w:hAnsi="Arial" w:cs="Arial"/>
          <w:b/>
          <w:sz w:val="24"/>
          <w:szCs w:val="24"/>
        </w:rPr>
      </w:pPr>
      <w:r w:rsidRPr="0029567F">
        <w:rPr>
          <w:rFonts w:ascii="Arial" w:eastAsia="Times New Roman" w:hAnsi="Arial" w:cs="Arial"/>
          <w:b/>
          <w:sz w:val="24"/>
          <w:szCs w:val="24"/>
        </w:rPr>
        <w:t>A 102201: Održavanje oborinske odvodnje = 2</w:t>
      </w:r>
      <w:r>
        <w:rPr>
          <w:rFonts w:ascii="Arial" w:eastAsia="Times New Roman" w:hAnsi="Arial" w:cs="Arial"/>
          <w:b/>
          <w:sz w:val="24"/>
          <w:szCs w:val="24"/>
        </w:rPr>
        <w:t>4</w:t>
      </w:r>
      <w:r w:rsidRPr="0029567F">
        <w:rPr>
          <w:rFonts w:ascii="Arial" w:eastAsia="Times New Roman" w:hAnsi="Arial" w:cs="Arial"/>
          <w:b/>
          <w:sz w:val="24"/>
          <w:szCs w:val="24"/>
        </w:rPr>
        <w:t>6.400,00 EUR</w:t>
      </w:r>
    </w:p>
    <w:p w14:paraId="7AB18710" w14:textId="77777777" w:rsidR="00E541EE" w:rsidRPr="0029567F" w:rsidRDefault="00E541EE" w:rsidP="00E541EE">
      <w:pPr>
        <w:jc w:val="both"/>
        <w:rPr>
          <w:rFonts w:ascii="Arial" w:eastAsia="Times New Roman" w:hAnsi="Arial" w:cs="Arial"/>
          <w:sz w:val="24"/>
          <w:szCs w:val="24"/>
        </w:rPr>
      </w:pPr>
      <w:r w:rsidRPr="0029567F">
        <w:rPr>
          <w:rFonts w:ascii="Arial" w:eastAsia="Times New Roman" w:hAnsi="Arial" w:cs="Arial"/>
          <w:b/>
          <w:sz w:val="24"/>
          <w:szCs w:val="24"/>
        </w:rPr>
        <w:t xml:space="preserve">Zakonska osnova: </w:t>
      </w:r>
      <w:r w:rsidRPr="0029567F">
        <w:rPr>
          <w:rFonts w:ascii="Arial" w:eastAsia="Times New Roman" w:hAnsi="Arial" w:cs="Arial"/>
          <w:sz w:val="24"/>
          <w:szCs w:val="24"/>
        </w:rPr>
        <w:t>Zakon o komunalnom gospodarstvu, Odluka o komunalnim djelatnostima.</w:t>
      </w:r>
    </w:p>
    <w:p w14:paraId="07976A80" w14:textId="77777777" w:rsidR="00E541EE" w:rsidRPr="0029567F" w:rsidRDefault="00E541EE" w:rsidP="00E541EE">
      <w:pPr>
        <w:jc w:val="both"/>
        <w:rPr>
          <w:rFonts w:ascii="Arial" w:eastAsia="Times New Roman" w:hAnsi="Arial" w:cs="Arial"/>
          <w:sz w:val="24"/>
          <w:szCs w:val="24"/>
        </w:rPr>
      </w:pPr>
      <w:r w:rsidRPr="0029567F">
        <w:rPr>
          <w:rFonts w:ascii="Arial" w:eastAsia="Times New Roman" w:hAnsi="Arial" w:cs="Arial"/>
          <w:b/>
          <w:sz w:val="24"/>
          <w:szCs w:val="24"/>
        </w:rPr>
        <w:t xml:space="preserve">Opis: </w:t>
      </w:r>
      <w:r>
        <w:rPr>
          <w:rFonts w:ascii="Arial" w:eastAsia="Times New Roman" w:hAnsi="Arial" w:cs="Arial"/>
          <w:sz w:val="24"/>
          <w:szCs w:val="24"/>
        </w:rPr>
        <w:t>i</w:t>
      </w:r>
      <w:r w:rsidRPr="0029567F">
        <w:rPr>
          <w:rFonts w:ascii="Arial" w:eastAsia="Times New Roman" w:hAnsi="Arial" w:cs="Arial"/>
          <w:sz w:val="24"/>
          <w:szCs w:val="24"/>
        </w:rPr>
        <w:t>zvoditi će se radovi održavanja objekata oborinske odvodnje na području grada Rovinja-Rovigno što uključuje održavanja objekata unutar povijesne jezgre grada Rovinja, poštujući propisane uvjete konzervatora prilikom sanacije kamenog popločenja, kao i radovi održavanja objekata oborinske odvodnje u preostalom dijelu gradskog područja Rovinja i Rovinjskog Sela.</w:t>
      </w:r>
    </w:p>
    <w:p w14:paraId="56DD6360" w14:textId="77777777" w:rsidR="00E541EE" w:rsidRPr="0029567F" w:rsidRDefault="00E541EE" w:rsidP="00E541EE">
      <w:pPr>
        <w:jc w:val="both"/>
        <w:rPr>
          <w:rFonts w:ascii="Arial" w:eastAsia="Times New Roman" w:hAnsi="Arial" w:cs="Arial"/>
          <w:sz w:val="24"/>
          <w:szCs w:val="24"/>
        </w:rPr>
      </w:pPr>
      <w:r w:rsidRPr="0029567F">
        <w:rPr>
          <w:rFonts w:ascii="Arial" w:eastAsia="Times New Roman" w:hAnsi="Arial" w:cs="Arial"/>
          <w:sz w:val="24"/>
          <w:szCs w:val="24"/>
        </w:rPr>
        <w:t xml:space="preserve">Poslovi su povjereni gradskom društvu Odvodnja Rovinj-Rovigno d.o.o. koje je osposobljeno za rad kako u povijesnoj jezgri jer posjeduje odgovarajuću licencu Ministarstva kulture tako i za održavanje cijelog sustava javne odvodnje grada Rovinja -Rovigno. </w:t>
      </w:r>
    </w:p>
    <w:p w14:paraId="063A4088" w14:textId="77777777" w:rsidR="00E541EE" w:rsidRPr="0029567F" w:rsidRDefault="00E541EE" w:rsidP="00E541EE">
      <w:pPr>
        <w:jc w:val="both"/>
        <w:rPr>
          <w:rFonts w:ascii="Arial" w:eastAsia="Times New Roman" w:hAnsi="Arial" w:cs="Arial"/>
          <w:bCs/>
          <w:sz w:val="24"/>
          <w:szCs w:val="24"/>
        </w:rPr>
      </w:pPr>
      <w:r w:rsidRPr="0029567F">
        <w:rPr>
          <w:rFonts w:ascii="Arial" w:eastAsia="Times New Roman" w:hAnsi="Arial" w:cs="Arial"/>
          <w:b/>
          <w:bCs/>
          <w:sz w:val="24"/>
          <w:szCs w:val="24"/>
        </w:rPr>
        <w:t xml:space="preserve">Opći cilj: </w:t>
      </w:r>
      <w:r w:rsidRPr="0029567F">
        <w:rPr>
          <w:rFonts w:ascii="Arial" w:eastAsia="Times New Roman" w:hAnsi="Arial" w:cs="Arial"/>
          <w:bCs/>
          <w:sz w:val="24"/>
          <w:szCs w:val="24"/>
        </w:rPr>
        <w:t>održavanje sustava javne oborinske odvodnje, ispravan rad gradske fontane.</w:t>
      </w:r>
    </w:p>
    <w:p w14:paraId="03CA4F0B" w14:textId="77777777" w:rsidR="00E541EE" w:rsidRPr="0029567F" w:rsidRDefault="00E541EE" w:rsidP="00E541EE">
      <w:pPr>
        <w:jc w:val="both"/>
        <w:rPr>
          <w:rFonts w:ascii="Arial" w:eastAsia="Times New Roman" w:hAnsi="Arial" w:cs="Arial"/>
          <w:sz w:val="24"/>
          <w:szCs w:val="24"/>
        </w:rPr>
      </w:pPr>
      <w:r w:rsidRPr="0029567F">
        <w:rPr>
          <w:rFonts w:ascii="Arial" w:eastAsia="Times New Roman" w:hAnsi="Arial" w:cs="Arial"/>
          <w:b/>
          <w:bCs/>
          <w:sz w:val="24"/>
          <w:szCs w:val="24"/>
        </w:rPr>
        <w:t>Pokazatelj uspješnosti:</w:t>
      </w:r>
      <w:r w:rsidRPr="0029567F">
        <w:rPr>
          <w:rFonts w:ascii="Arial" w:eastAsia="Times New Roman" w:hAnsi="Arial" w:cs="Arial"/>
          <w:sz w:val="24"/>
          <w:szCs w:val="24"/>
        </w:rPr>
        <w:t xml:space="preserve"> sanacija oborinskih tokova popločenje i povijesne jezgre do 500</w:t>
      </w:r>
      <w:r>
        <w:rPr>
          <w:rFonts w:ascii="Arial" w:eastAsia="Times New Roman" w:hAnsi="Arial" w:cs="Arial"/>
          <w:sz w:val="24"/>
          <w:szCs w:val="24"/>
        </w:rPr>
        <w:t xml:space="preserve"> </w:t>
      </w:r>
      <w:r w:rsidRPr="0029567F">
        <w:rPr>
          <w:rFonts w:ascii="Arial" w:eastAsia="Times New Roman" w:hAnsi="Arial" w:cs="Arial"/>
          <w:sz w:val="24"/>
          <w:szCs w:val="24"/>
        </w:rPr>
        <w:t>m², održavanje i kontrola do 1100 slivnika, održavanje do 5 otvorenih oborinskih kanala, čišćenje gradske fontane minimalno 1 puta tjedno odnosno nadzor i održavanje nakon planirane rekonstrukcije.</w:t>
      </w:r>
    </w:p>
    <w:p w14:paraId="0346FDDD" w14:textId="77777777" w:rsidR="00E541EE" w:rsidRPr="00447D66" w:rsidRDefault="00E541EE" w:rsidP="00E541EE">
      <w:pPr>
        <w:jc w:val="both"/>
        <w:rPr>
          <w:rFonts w:ascii="Arial" w:eastAsia="Times New Roman" w:hAnsi="Arial" w:cs="Arial"/>
          <w:color w:val="AEAAAA" w:themeColor="background2" w:themeShade="BF"/>
          <w:sz w:val="24"/>
          <w:szCs w:val="24"/>
        </w:rPr>
      </w:pPr>
    </w:p>
    <w:p w14:paraId="5585C8D9" w14:textId="77777777" w:rsidR="00E541EE" w:rsidRPr="0029567F" w:rsidRDefault="00E541EE" w:rsidP="00E541EE">
      <w:pPr>
        <w:pBdr>
          <w:top w:val="single" w:sz="4" w:space="1" w:color="auto"/>
          <w:left w:val="single" w:sz="4" w:space="4" w:color="auto"/>
          <w:bottom w:val="single" w:sz="4" w:space="1" w:color="auto"/>
          <w:right w:val="single" w:sz="4" w:space="4" w:color="auto"/>
        </w:pBdr>
        <w:shd w:val="clear" w:color="auto" w:fill="E9E9E9"/>
        <w:ind w:right="-1"/>
        <w:rPr>
          <w:rFonts w:ascii="Arial" w:eastAsia="Times New Roman" w:hAnsi="Arial" w:cs="Arial"/>
          <w:b/>
          <w:sz w:val="24"/>
          <w:szCs w:val="24"/>
        </w:rPr>
      </w:pPr>
      <w:r w:rsidRPr="0029567F">
        <w:rPr>
          <w:rFonts w:ascii="Arial" w:eastAsia="Times New Roman" w:hAnsi="Arial" w:cs="Arial"/>
          <w:b/>
          <w:sz w:val="24"/>
          <w:szCs w:val="24"/>
        </w:rPr>
        <w:t>A 102202: Zimska služba = 2</w:t>
      </w:r>
      <w:r>
        <w:rPr>
          <w:rFonts w:ascii="Arial" w:eastAsia="Times New Roman" w:hAnsi="Arial" w:cs="Arial"/>
          <w:b/>
          <w:sz w:val="24"/>
          <w:szCs w:val="24"/>
        </w:rPr>
        <w:t>2</w:t>
      </w:r>
      <w:r w:rsidRPr="0029567F">
        <w:rPr>
          <w:rFonts w:ascii="Arial" w:eastAsia="Times New Roman" w:hAnsi="Arial" w:cs="Arial"/>
          <w:b/>
          <w:sz w:val="24"/>
          <w:szCs w:val="24"/>
        </w:rPr>
        <w:t>.</w:t>
      </w:r>
      <w:r>
        <w:rPr>
          <w:rFonts w:ascii="Arial" w:eastAsia="Times New Roman" w:hAnsi="Arial" w:cs="Arial"/>
          <w:b/>
          <w:sz w:val="24"/>
          <w:szCs w:val="24"/>
        </w:rPr>
        <w:t>000</w:t>
      </w:r>
      <w:r w:rsidRPr="0029567F">
        <w:rPr>
          <w:rFonts w:ascii="Arial" w:eastAsia="Times New Roman" w:hAnsi="Arial" w:cs="Arial"/>
          <w:b/>
          <w:sz w:val="24"/>
          <w:szCs w:val="24"/>
        </w:rPr>
        <w:t>,00 EUR</w:t>
      </w:r>
    </w:p>
    <w:p w14:paraId="08770434" w14:textId="77777777" w:rsidR="00E541EE" w:rsidRPr="0029567F" w:rsidRDefault="00E541EE" w:rsidP="00E541EE">
      <w:pPr>
        <w:jc w:val="both"/>
        <w:rPr>
          <w:rFonts w:ascii="Arial" w:eastAsia="Times New Roman" w:hAnsi="Arial" w:cs="Arial"/>
          <w:sz w:val="24"/>
          <w:szCs w:val="24"/>
        </w:rPr>
      </w:pPr>
      <w:r w:rsidRPr="0029567F">
        <w:rPr>
          <w:rFonts w:ascii="Arial" w:eastAsia="Times New Roman" w:hAnsi="Arial" w:cs="Arial"/>
          <w:b/>
          <w:sz w:val="24"/>
          <w:szCs w:val="24"/>
        </w:rPr>
        <w:t xml:space="preserve">Zakonska osnova: </w:t>
      </w:r>
      <w:r w:rsidRPr="0029567F">
        <w:rPr>
          <w:rFonts w:ascii="Arial" w:eastAsia="Times New Roman" w:hAnsi="Arial" w:cs="Arial"/>
          <w:sz w:val="24"/>
          <w:szCs w:val="24"/>
        </w:rPr>
        <w:t>Zakon o komunalnom gospodarstvu, Odluka o komunalnim djelatnostima.</w:t>
      </w:r>
    </w:p>
    <w:p w14:paraId="58E9016D" w14:textId="77777777" w:rsidR="00E541EE" w:rsidRPr="0029567F" w:rsidRDefault="00E541EE" w:rsidP="00E541EE">
      <w:pPr>
        <w:jc w:val="both"/>
        <w:rPr>
          <w:rFonts w:ascii="Arial" w:eastAsia="Times New Roman" w:hAnsi="Arial" w:cs="Arial"/>
          <w:sz w:val="24"/>
          <w:szCs w:val="24"/>
        </w:rPr>
      </w:pPr>
      <w:r w:rsidRPr="0029567F">
        <w:rPr>
          <w:rFonts w:ascii="Arial" w:eastAsia="Times New Roman" w:hAnsi="Arial" w:cs="Arial"/>
          <w:b/>
          <w:sz w:val="24"/>
          <w:szCs w:val="24"/>
        </w:rPr>
        <w:t xml:space="preserve">Opis: </w:t>
      </w:r>
      <w:r w:rsidRPr="0029567F">
        <w:rPr>
          <w:rFonts w:ascii="Arial" w:eastAsia="Times New Roman" w:hAnsi="Arial" w:cs="Arial"/>
          <w:sz w:val="24"/>
          <w:szCs w:val="24"/>
        </w:rPr>
        <w:t xml:space="preserve">u zimskom periodu prioritetno se održavaju prometnice u </w:t>
      </w:r>
      <w:r>
        <w:rPr>
          <w:rFonts w:ascii="Arial" w:eastAsia="Times New Roman" w:hAnsi="Arial" w:cs="Arial"/>
          <w:sz w:val="24"/>
          <w:szCs w:val="24"/>
        </w:rPr>
        <w:t>U</w:t>
      </w:r>
      <w:r w:rsidRPr="0029567F">
        <w:rPr>
          <w:rFonts w:ascii="Arial" w:eastAsia="Times New Roman" w:hAnsi="Arial" w:cs="Arial"/>
          <w:sz w:val="24"/>
          <w:szCs w:val="24"/>
        </w:rPr>
        <w:t>licama: V. B. Lorenzetto, Carducci, V. Nazora, Omladinska, Funtana, Zagrebačka, S. Radića, Centener, L. Adamovića, Istarska, Aleja 30. Svibnja, Štanga - Gripole, Concetta i G. Paliaga, glavna ulica u Rovinjskom Selu, a sve prema Operativnom planu rada zimske službe za područje grada.</w:t>
      </w:r>
    </w:p>
    <w:p w14:paraId="7DE897D3" w14:textId="77777777" w:rsidR="00E541EE" w:rsidRPr="0029567F" w:rsidRDefault="00E541EE" w:rsidP="00E541EE">
      <w:pPr>
        <w:jc w:val="both"/>
        <w:rPr>
          <w:rFonts w:ascii="Arial" w:eastAsia="Times New Roman" w:hAnsi="Arial" w:cs="Arial"/>
          <w:b/>
          <w:sz w:val="24"/>
          <w:szCs w:val="24"/>
        </w:rPr>
      </w:pPr>
      <w:r w:rsidRPr="0029567F">
        <w:rPr>
          <w:rFonts w:ascii="Arial" w:eastAsia="Times New Roman" w:hAnsi="Arial" w:cs="Arial"/>
          <w:b/>
          <w:sz w:val="24"/>
          <w:szCs w:val="24"/>
        </w:rPr>
        <w:t>Opći cilj:</w:t>
      </w:r>
      <w:r w:rsidRPr="0029567F">
        <w:rPr>
          <w:rFonts w:ascii="Arial" w:eastAsia="Times New Roman" w:hAnsi="Arial" w:cs="Arial"/>
          <w:sz w:val="24"/>
          <w:szCs w:val="24"/>
        </w:rPr>
        <w:t xml:space="preserve"> sigurnost i prohodnost na prometnicama u zimskim uvjetima.</w:t>
      </w:r>
    </w:p>
    <w:p w14:paraId="5F1562B3" w14:textId="77777777" w:rsidR="00E541EE" w:rsidRPr="0029567F" w:rsidRDefault="00E541EE" w:rsidP="00E541EE">
      <w:pPr>
        <w:jc w:val="both"/>
        <w:rPr>
          <w:rFonts w:ascii="Arial" w:eastAsia="Times New Roman" w:hAnsi="Arial" w:cs="Arial"/>
          <w:sz w:val="24"/>
          <w:szCs w:val="24"/>
        </w:rPr>
      </w:pPr>
      <w:r w:rsidRPr="0029567F">
        <w:rPr>
          <w:rFonts w:ascii="Arial" w:eastAsia="Times New Roman" w:hAnsi="Arial" w:cs="Arial"/>
          <w:b/>
          <w:bCs/>
          <w:sz w:val="24"/>
          <w:szCs w:val="24"/>
        </w:rPr>
        <w:t>Pokazatelj uspješnosti</w:t>
      </w:r>
      <w:r w:rsidRPr="0029567F">
        <w:rPr>
          <w:rFonts w:ascii="Arial" w:eastAsia="Times New Roman" w:hAnsi="Arial" w:cs="Arial"/>
          <w:sz w:val="24"/>
          <w:szCs w:val="24"/>
        </w:rPr>
        <w:t>: osiguranje dežurstva 24 sata, te izvršavanje mjera prema Operativnom planu rada zimske službe.</w:t>
      </w:r>
    </w:p>
    <w:p w14:paraId="52786057" w14:textId="77777777" w:rsidR="00E541EE" w:rsidRPr="00447D66" w:rsidRDefault="00E541EE" w:rsidP="00E541EE">
      <w:pPr>
        <w:jc w:val="both"/>
        <w:rPr>
          <w:rFonts w:ascii="Arial" w:eastAsia="Times New Roman" w:hAnsi="Arial" w:cs="Arial"/>
          <w:color w:val="AEAAAA" w:themeColor="background2" w:themeShade="BF"/>
          <w:sz w:val="24"/>
          <w:szCs w:val="24"/>
        </w:rPr>
      </w:pPr>
    </w:p>
    <w:p w14:paraId="6F14D859" w14:textId="77777777" w:rsidR="00E541EE" w:rsidRPr="0029567F" w:rsidRDefault="00E541EE" w:rsidP="00E541EE">
      <w:pPr>
        <w:pBdr>
          <w:top w:val="single" w:sz="4" w:space="1" w:color="auto"/>
          <w:left w:val="single" w:sz="4" w:space="4" w:color="auto"/>
          <w:bottom w:val="single" w:sz="4" w:space="1" w:color="auto"/>
          <w:right w:val="single" w:sz="4" w:space="4" w:color="auto"/>
        </w:pBdr>
        <w:shd w:val="clear" w:color="auto" w:fill="E9E9E9"/>
        <w:ind w:right="-1"/>
        <w:rPr>
          <w:rFonts w:ascii="Arial" w:eastAsia="Times New Roman" w:hAnsi="Arial" w:cs="Arial"/>
          <w:b/>
          <w:bCs/>
          <w:sz w:val="24"/>
          <w:szCs w:val="24"/>
        </w:rPr>
      </w:pPr>
      <w:r w:rsidRPr="0029567F">
        <w:rPr>
          <w:rFonts w:ascii="Arial" w:eastAsia="Times New Roman" w:hAnsi="Arial" w:cs="Arial"/>
          <w:b/>
          <w:sz w:val="24"/>
          <w:szCs w:val="24"/>
        </w:rPr>
        <w:t>A 102203: Održavanje asfaltnih površina = 34.000,00 EUR</w:t>
      </w:r>
    </w:p>
    <w:p w14:paraId="0DBCBA02" w14:textId="77777777" w:rsidR="00E541EE" w:rsidRPr="0029567F" w:rsidRDefault="00E541EE" w:rsidP="00E541EE">
      <w:pPr>
        <w:jc w:val="both"/>
        <w:rPr>
          <w:rFonts w:ascii="Arial" w:eastAsia="Times New Roman" w:hAnsi="Arial" w:cs="Arial"/>
          <w:sz w:val="24"/>
          <w:szCs w:val="24"/>
        </w:rPr>
      </w:pPr>
      <w:r w:rsidRPr="0029567F">
        <w:rPr>
          <w:rFonts w:ascii="Arial" w:eastAsia="Times New Roman" w:hAnsi="Arial" w:cs="Arial"/>
          <w:b/>
          <w:sz w:val="24"/>
          <w:szCs w:val="24"/>
        </w:rPr>
        <w:t xml:space="preserve">Zakonska osnova: </w:t>
      </w:r>
      <w:r w:rsidRPr="0029567F">
        <w:rPr>
          <w:rFonts w:ascii="Arial" w:eastAsia="Times New Roman" w:hAnsi="Arial" w:cs="Arial"/>
          <w:sz w:val="24"/>
          <w:szCs w:val="24"/>
        </w:rPr>
        <w:t>Zakon o komunalnom gospodarstvu, Odluka o komunalnim djelatnostima.</w:t>
      </w:r>
    </w:p>
    <w:p w14:paraId="1C3892F4" w14:textId="77777777" w:rsidR="00E541EE" w:rsidRPr="0029567F" w:rsidRDefault="00E541EE" w:rsidP="00E541EE">
      <w:pPr>
        <w:jc w:val="both"/>
        <w:rPr>
          <w:rFonts w:ascii="Arial" w:eastAsia="Times New Roman" w:hAnsi="Arial" w:cs="Arial"/>
          <w:sz w:val="24"/>
          <w:szCs w:val="24"/>
        </w:rPr>
      </w:pPr>
      <w:r w:rsidRPr="0029567F">
        <w:rPr>
          <w:rFonts w:ascii="Arial" w:eastAsia="Times New Roman" w:hAnsi="Arial" w:cs="Arial"/>
          <w:b/>
          <w:sz w:val="24"/>
          <w:szCs w:val="24"/>
        </w:rPr>
        <w:t xml:space="preserve">Opis: </w:t>
      </w:r>
      <w:r w:rsidRPr="0029567F">
        <w:rPr>
          <w:rFonts w:ascii="Arial" w:eastAsia="Times New Roman" w:hAnsi="Arial" w:cs="Arial"/>
          <w:sz w:val="24"/>
          <w:szCs w:val="24"/>
        </w:rPr>
        <w:t>uključuje popravke lokalnih oštećenja nerazvrstane ceste (udarnih jama, pojedinačnih i mrežastih pukotina</w:t>
      </w:r>
      <w:r>
        <w:rPr>
          <w:rFonts w:ascii="Arial" w:eastAsia="Times New Roman" w:hAnsi="Arial" w:cs="Arial"/>
          <w:sz w:val="24"/>
          <w:szCs w:val="24"/>
        </w:rPr>
        <w:t xml:space="preserve"> </w:t>
      </w:r>
      <w:r w:rsidRPr="00244022">
        <w:rPr>
          <w:rFonts w:ascii="Arial" w:eastAsia="Times New Roman" w:hAnsi="Arial" w:cs="Arial"/>
          <w:sz w:val="24"/>
          <w:szCs w:val="24"/>
        </w:rPr>
        <w:t>(cca 700 m2),</w:t>
      </w:r>
      <w:r w:rsidRPr="0029567F">
        <w:rPr>
          <w:rFonts w:ascii="Arial" w:eastAsia="Times New Roman" w:hAnsi="Arial" w:cs="Arial"/>
          <w:sz w:val="24"/>
          <w:szCs w:val="24"/>
        </w:rPr>
        <w:t xml:space="preserve"> uzdužnih i poprečnih denivelacija, omekšanog asfaltnog zastora, zaglađenih površina zastora, oštećenih rubova, kamena te nosivog sloja kolničke konstrukcije i posteljice, mjestimične popravke rubnjaka te sanaciju i ugradnju elemenata za savladavanje arhitektonskih barijera). </w:t>
      </w:r>
    </w:p>
    <w:p w14:paraId="416A6545" w14:textId="77777777" w:rsidR="00E541EE" w:rsidRPr="0029567F" w:rsidRDefault="00E541EE" w:rsidP="00E541EE">
      <w:pPr>
        <w:jc w:val="both"/>
        <w:rPr>
          <w:rFonts w:ascii="Arial" w:eastAsia="Times New Roman" w:hAnsi="Arial" w:cs="Arial"/>
          <w:bCs/>
          <w:sz w:val="24"/>
          <w:szCs w:val="24"/>
        </w:rPr>
      </w:pPr>
      <w:r w:rsidRPr="0029567F">
        <w:rPr>
          <w:rFonts w:ascii="Arial" w:eastAsia="Times New Roman" w:hAnsi="Arial" w:cs="Arial"/>
          <w:b/>
          <w:bCs/>
          <w:sz w:val="24"/>
          <w:szCs w:val="24"/>
        </w:rPr>
        <w:t xml:space="preserve">Opći cilj: </w:t>
      </w:r>
      <w:r w:rsidRPr="0029567F">
        <w:rPr>
          <w:rFonts w:ascii="Arial" w:eastAsia="Times New Roman" w:hAnsi="Arial" w:cs="Arial"/>
          <w:bCs/>
          <w:sz w:val="24"/>
          <w:szCs w:val="24"/>
        </w:rPr>
        <w:t>sanacija asfaltnih površina radi osiguranja sigurnosti prometa na cestama.</w:t>
      </w:r>
    </w:p>
    <w:p w14:paraId="29BBDE9C" w14:textId="77777777" w:rsidR="00E541EE" w:rsidRPr="0029567F" w:rsidRDefault="00E541EE" w:rsidP="00E541EE">
      <w:pPr>
        <w:jc w:val="both"/>
        <w:rPr>
          <w:rFonts w:ascii="Arial" w:eastAsia="Times New Roman" w:hAnsi="Arial" w:cs="Arial"/>
          <w:sz w:val="24"/>
          <w:szCs w:val="24"/>
        </w:rPr>
      </w:pPr>
      <w:r w:rsidRPr="0029567F">
        <w:rPr>
          <w:rFonts w:ascii="Arial" w:eastAsia="Times New Roman" w:hAnsi="Arial" w:cs="Arial"/>
          <w:b/>
          <w:bCs/>
          <w:sz w:val="24"/>
          <w:szCs w:val="24"/>
        </w:rPr>
        <w:t>Pokazatelj uspješnosti:</w:t>
      </w:r>
      <w:r w:rsidRPr="0029567F">
        <w:rPr>
          <w:rFonts w:ascii="Arial" w:eastAsia="Times New Roman" w:hAnsi="Arial" w:cs="Arial"/>
          <w:sz w:val="24"/>
          <w:szCs w:val="24"/>
        </w:rPr>
        <w:t xml:space="preserve"> sanacija asfaltnih površina prema izdanim nalozima u ugovorenim rokovima i količinama.</w:t>
      </w:r>
    </w:p>
    <w:p w14:paraId="2757D8A5" w14:textId="77777777" w:rsidR="00E541EE" w:rsidRPr="00447D66" w:rsidRDefault="00E541EE" w:rsidP="00E541EE">
      <w:pPr>
        <w:jc w:val="both"/>
        <w:rPr>
          <w:rFonts w:ascii="Arial" w:eastAsia="Times New Roman" w:hAnsi="Arial" w:cs="Arial"/>
          <w:color w:val="AEAAAA" w:themeColor="background2" w:themeShade="BF"/>
          <w:sz w:val="24"/>
          <w:szCs w:val="24"/>
          <w:highlight w:val="lightGray"/>
        </w:rPr>
      </w:pPr>
    </w:p>
    <w:p w14:paraId="701F00D7" w14:textId="77777777" w:rsidR="00E541EE" w:rsidRPr="0029567F" w:rsidRDefault="00E541EE" w:rsidP="00E541EE">
      <w:pPr>
        <w:pBdr>
          <w:top w:val="single" w:sz="4" w:space="1" w:color="auto"/>
          <w:left w:val="single" w:sz="4" w:space="4" w:color="auto"/>
          <w:bottom w:val="single" w:sz="4" w:space="1" w:color="auto"/>
          <w:right w:val="single" w:sz="4" w:space="4" w:color="auto"/>
        </w:pBdr>
        <w:shd w:val="clear" w:color="auto" w:fill="E9E9E9"/>
        <w:ind w:right="-1"/>
        <w:rPr>
          <w:rFonts w:ascii="Arial" w:eastAsia="Times New Roman" w:hAnsi="Arial" w:cs="Arial"/>
          <w:b/>
          <w:sz w:val="24"/>
          <w:szCs w:val="24"/>
        </w:rPr>
      </w:pPr>
      <w:r w:rsidRPr="0029567F">
        <w:rPr>
          <w:rFonts w:ascii="Arial" w:eastAsia="Times New Roman" w:hAnsi="Arial" w:cs="Arial"/>
          <w:b/>
          <w:sz w:val="24"/>
          <w:szCs w:val="24"/>
        </w:rPr>
        <w:t xml:space="preserve">A 102204: Posipavanje javnih puteva = </w:t>
      </w:r>
      <w:r>
        <w:rPr>
          <w:rFonts w:ascii="Arial" w:eastAsia="Times New Roman" w:hAnsi="Arial" w:cs="Arial"/>
          <w:b/>
          <w:sz w:val="24"/>
          <w:szCs w:val="24"/>
        </w:rPr>
        <w:t>124</w:t>
      </w:r>
      <w:r w:rsidRPr="0029567F">
        <w:rPr>
          <w:rFonts w:ascii="Arial" w:eastAsia="Times New Roman" w:hAnsi="Arial" w:cs="Arial"/>
          <w:b/>
          <w:sz w:val="24"/>
          <w:szCs w:val="24"/>
        </w:rPr>
        <w:t>.</w:t>
      </w:r>
      <w:r>
        <w:rPr>
          <w:rFonts w:ascii="Arial" w:eastAsia="Times New Roman" w:hAnsi="Arial" w:cs="Arial"/>
          <w:b/>
          <w:sz w:val="24"/>
          <w:szCs w:val="24"/>
        </w:rPr>
        <w:t>0</w:t>
      </w:r>
      <w:r w:rsidRPr="0029567F">
        <w:rPr>
          <w:rFonts w:ascii="Arial" w:eastAsia="Times New Roman" w:hAnsi="Arial" w:cs="Arial"/>
          <w:b/>
          <w:sz w:val="24"/>
          <w:szCs w:val="24"/>
        </w:rPr>
        <w:t>00,00 EUR</w:t>
      </w:r>
    </w:p>
    <w:p w14:paraId="70701C35" w14:textId="77777777" w:rsidR="00E541EE" w:rsidRPr="0029567F" w:rsidRDefault="00E541EE" w:rsidP="00E541EE">
      <w:pPr>
        <w:jc w:val="both"/>
        <w:rPr>
          <w:rFonts w:ascii="Arial" w:eastAsia="Times New Roman" w:hAnsi="Arial" w:cs="Arial"/>
          <w:sz w:val="24"/>
          <w:szCs w:val="24"/>
        </w:rPr>
      </w:pPr>
      <w:r w:rsidRPr="0029567F">
        <w:rPr>
          <w:rFonts w:ascii="Arial" w:eastAsia="Times New Roman" w:hAnsi="Arial" w:cs="Arial"/>
          <w:b/>
          <w:sz w:val="24"/>
          <w:szCs w:val="24"/>
        </w:rPr>
        <w:t xml:space="preserve">Zakonska osnova: </w:t>
      </w:r>
      <w:r w:rsidRPr="0029567F">
        <w:rPr>
          <w:rFonts w:ascii="Arial" w:eastAsia="Times New Roman" w:hAnsi="Arial" w:cs="Arial"/>
          <w:sz w:val="24"/>
          <w:szCs w:val="24"/>
        </w:rPr>
        <w:t>Zakon o komunalnom gospodarstvu, Odluka o komunalnim djelatnostima.</w:t>
      </w:r>
    </w:p>
    <w:p w14:paraId="17F710DF" w14:textId="77777777" w:rsidR="00E541EE" w:rsidRPr="00244022" w:rsidRDefault="00E541EE" w:rsidP="00E541EE">
      <w:pPr>
        <w:jc w:val="both"/>
        <w:rPr>
          <w:rFonts w:ascii="Arial" w:eastAsia="Times New Roman" w:hAnsi="Arial" w:cs="Arial"/>
          <w:sz w:val="24"/>
          <w:szCs w:val="24"/>
        </w:rPr>
      </w:pPr>
      <w:r w:rsidRPr="0029567F">
        <w:rPr>
          <w:rFonts w:ascii="Arial" w:eastAsia="Times New Roman" w:hAnsi="Arial" w:cs="Arial"/>
          <w:b/>
          <w:sz w:val="24"/>
          <w:szCs w:val="24"/>
        </w:rPr>
        <w:t xml:space="preserve">Opis: </w:t>
      </w:r>
      <w:r w:rsidRPr="00244022">
        <w:rPr>
          <w:rFonts w:ascii="Arial" w:eastAsia="Times New Roman" w:hAnsi="Arial" w:cs="Arial"/>
          <w:sz w:val="24"/>
          <w:szCs w:val="24"/>
        </w:rPr>
        <w:t>za održavanje nerazvrstanih cesta u dijelu posipavanja javnih puteva - izravnanje jalovinom/tamponom, sanacije udarnih rupa i denivelacija (preko 100 km na širem području grada Rovinja-Rovigno) i dr., a koji se poslovi obavljaju kao komunalna djelatnost. Planira se utrošiti i ugraditi cca 2000 m3 materijala.</w:t>
      </w:r>
    </w:p>
    <w:p w14:paraId="7C4EF8F9" w14:textId="77777777" w:rsidR="00E541EE" w:rsidRPr="0029567F" w:rsidRDefault="00E541EE" w:rsidP="00E541EE">
      <w:pPr>
        <w:jc w:val="both"/>
        <w:rPr>
          <w:rFonts w:ascii="Arial" w:eastAsia="Times New Roman" w:hAnsi="Arial" w:cs="Arial"/>
          <w:bCs/>
          <w:sz w:val="24"/>
          <w:szCs w:val="24"/>
        </w:rPr>
      </w:pPr>
      <w:r w:rsidRPr="0029567F">
        <w:rPr>
          <w:rFonts w:ascii="Arial" w:eastAsia="Times New Roman" w:hAnsi="Arial" w:cs="Arial"/>
          <w:b/>
          <w:bCs/>
          <w:sz w:val="24"/>
          <w:szCs w:val="24"/>
        </w:rPr>
        <w:t xml:space="preserve">Opći cilj: </w:t>
      </w:r>
      <w:r w:rsidRPr="0029567F">
        <w:rPr>
          <w:rFonts w:ascii="Arial" w:eastAsia="Times New Roman" w:hAnsi="Arial" w:cs="Arial"/>
          <w:bCs/>
          <w:sz w:val="24"/>
          <w:szCs w:val="24"/>
        </w:rPr>
        <w:t>prometovanje javnim putevima za potrebe poljoprivrednika i građana koji žive ili rade izvan urbaniziranih područja te osiguranje pristupa udaljenijim javnim plažama.</w:t>
      </w:r>
    </w:p>
    <w:p w14:paraId="7CB270F9" w14:textId="77777777" w:rsidR="00E541EE" w:rsidRPr="0029567F" w:rsidRDefault="00E541EE" w:rsidP="00E541EE">
      <w:pPr>
        <w:jc w:val="both"/>
        <w:rPr>
          <w:rFonts w:ascii="Arial" w:eastAsia="Times New Roman" w:hAnsi="Arial" w:cs="Arial"/>
          <w:sz w:val="24"/>
          <w:szCs w:val="24"/>
        </w:rPr>
      </w:pPr>
      <w:r w:rsidRPr="0029567F">
        <w:rPr>
          <w:rFonts w:ascii="Arial" w:eastAsia="Times New Roman" w:hAnsi="Arial" w:cs="Arial"/>
          <w:b/>
          <w:bCs/>
          <w:sz w:val="24"/>
          <w:szCs w:val="24"/>
        </w:rPr>
        <w:t>Pokazatelj uspješnosti:</w:t>
      </w:r>
      <w:r w:rsidRPr="0029567F">
        <w:rPr>
          <w:rFonts w:ascii="Arial" w:eastAsia="Times New Roman" w:hAnsi="Arial" w:cs="Arial"/>
          <w:sz w:val="24"/>
          <w:szCs w:val="24"/>
        </w:rPr>
        <w:t xml:space="preserve"> održavanje nerazvrstanih cesta prema prioritetima - izdanim nalozima u ugovorenim rokovima i količinama.</w:t>
      </w:r>
    </w:p>
    <w:p w14:paraId="64A4FEDC" w14:textId="77777777" w:rsidR="00E541EE" w:rsidRPr="00447D66" w:rsidRDefault="00E541EE" w:rsidP="00E541EE">
      <w:pPr>
        <w:jc w:val="both"/>
        <w:rPr>
          <w:rFonts w:ascii="Arial" w:eastAsia="Times New Roman" w:hAnsi="Arial" w:cs="Arial"/>
          <w:color w:val="AEAAAA" w:themeColor="background2" w:themeShade="BF"/>
          <w:sz w:val="24"/>
          <w:szCs w:val="24"/>
        </w:rPr>
      </w:pPr>
    </w:p>
    <w:p w14:paraId="28D2283F" w14:textId="77777777" w:rsidR="00E541EE" w:rsidRPr="00A56D8E" w:rsidRDefault="00E541EE" w:rsidP="00E541EE">
      <w:pPr>
        <w:pBdr>
          <w:top w:val="single" w:sz="4" w:space="1" w:color="auto"/>
          <w:left w:val="single" w:sz="4" w:space="4" w:color="auto"/>
          <w:bottom w:val="single" w:sz="4" w:space="1" w:color="auto"/>
          <w:right w:val="single" w:sz="4" w:space="4" w:color="auto"/>
        </w:pBdr>
        <w:shd w:val="clear" w:color="auto" w:fill="E9E9E9"/>
        <w:ind w:right="-1"/>
        <w:rPr>
          <w:rFonts w:ascii="Arial" w:eastAsia="Times New Roman" w:hAnsi="Arial" w:cs="Arial"/>
          <w:b/>
          <w:sz w:val="24"/>
          <w:szCs w:val="24"/>
        </w:rPr>
      </w:pPr>
      <w:r w:rsidRPr="00A56D8E">
        <w:rPr>
          <w:rFonts w:ascii="Arial" w:eastAsia="Times New Roman" w:hAnsi="Arial" w:cs="Arial"/>
          <w:b/>
          <w:sz w:val="24"/>
          <w:szCs w:val="24"/>
        </w:rPr>
        <w:t>A 102205: Košnja  = 2</w:t>
      </w:r>
      <w:r>
        <w:rPr>
          <w:rFonts w:ascii="Arial" w:eastAsia="Times New Roman" w:hAnsi="Arial" w:cs="Arial"/>
          <w:b/>
          <w:sz w:val="24"/>
          <w:szCs w:val="24"/>
        </w:rPr>
        <w:t>7</w:t>
      </w:r>
      <w:r w:rsidRPr="00A56D8E">
        <w:rPr>
          <w:rFonts w:ascii="Arial" w:eastAsia="Times New Roman" w:hAnsi="Arial" w:cs="Arial"/>
          <w:b/>
          <w:sz w:val="24"/>
          <w:szCs w:val="24"/>
        </w:rPr>
        <w:t>.</w:t>
      </w:r>
      <w:r>
        <w:rPr>
          <w:rFonts w:ascii="Arial" w:eastAsia="Times New Roman" w:hAnsi="Arial" w:cs="Arial"/>
          <w:b/>
          <w:sz w:val="24"/>
          <w:szCs w:val="24"/>
        </w:rPr>
        <w:t>000</w:t>
      </w:r>
      <w:r w:rsidRPr="00A56D8E">
        <w:rPr>
          <w:rFonts w:ascii="Arial" w:eastAsia="Times New Roman" w:hAnsi="Arial" w:cs="Arial"/>
          <w:b/>
          <w:sz w:val="24"/>
          <w:szCs w:val="24"/>
        </w:rPr>
        <w:t>,00 EUR</w:t>
      </w:r>
    </w:p>
    <w:p w14:paraId="215EC910" w14:textId="77777777" w:rsidR="00E541EE" w:rsidRPr="00A56D8E" w:rsidRDefault="00E541EE" w:rsidP="00E541EE">
      <w:pPr>
        <w:jc w:val="both"/>
        <w:rPr>
          <w:rFonts w:ascii="Arial" w:eastAsia="Times New Roman" w:hAnsi="Arial" w:cs="Arial"/>
          <w:sz w:val="24"/>
          <w:szCs w:val="24"/>
        </w:rPr>
      </w:pPr>
      <w:r w:rsidRPr="00A56D8E">
        <w:rPr>
          <w:rFonts w:ascii="Arial" w:eastAsia="Times New Roman" w:hAnsi="Arial" w:cs="Arial"/>
          <w:b/>
          <w:sz w:val="24"/>
          <w:szCs w:val="24"/>
        </w:rPr>
        <w:t xml:space="preserve">Zakonska osnova: </w:t>
      </w:r>
      <w:r w:rsidRPr="00A56D8E">
        <w:rPr>
          <w:rFonts w:ascii="Arial" w:eastAsia="Times New Roman" w:hAnsi="Arial" w:cs="Arial"/>
          <w:sz w:val="24"/>
          <w:szCs w:val="24"/>
        </w:rPr>
        <w:t>Zakon o komunalnom gospodarstvu, Odluka o komunalnim djelatnostima.</w:t>
      </w:r>
    </w:p>
    <w:p w14:paraId="4C542BED" w14:textId="77777777" w:rsidR="00E541EE" w:rsidRPr="00A56D8E" w:rsidRDefault="00E541EE" w:rsidP="00E541EE">
      <w:pPr>
        <w:jc w:val="both"/>
        <w:rPr>
          <w:rFonts w:ascii="Arial" w:eastAsia="Times New Roman" w:hAnsi="Arial" w:cs="Arial"/>
          <w:sz w:val="24"/>
          <w:szCs w:val="24"/>
        </w:rPr>
      </w:pPr>
      <w:r w:rsidRPr="00A56D8E">
        <w:rPr>
          <w:rFonts w:ascii="Arial" w:eastAsia="Times New Roman" w:hAnsi="Arial" w:cs="Arial"/>
          <w:b/>
          <w:sz w:val="24"/>
          <w:szCs w:val="24"/>
        </w:rPr>
        <w:t xml:space="preserve">Opis: </w:t>
      </w:r>
      <w:r w:rsidRPr="00A56D8E">
        <w:rPr>
          <w:rFonts w:ascii="Arial" w:eastAsia="Times New Roman" w:hAnsi="Arial" w:cs="Arial"/>
          <w:sz w:val="24"/>
          <w:szCs w:val="24"/>
        </w:rPr>
        <w:t>usluga košnje na nerazvrstanim cestama (preko 90 km u gradu Rovinju-Rovigno i u Rovinjskom Selu). Košnja se vrši kombinirano - strojno i ručno, sa obvezom sakupljanja trave, obrezivanja grmlja i drveća do 3 m visine obostrano. Košnju provodi Komunalni servis d.o.o. Rovinj.</w:t>
      </w:r>
    </w:p>
    <w:p w14:paraId="5425F704" w14:textId="77777777" w:rsidR="00E541EE" w:rsidRPr="00A56D8E" w:rsidRDefault="00E541EE" w:rsidP="00E541EE">
      <w:pPr>
        <w:jc w:val="both"/>
        <w:rPr>
          <w:rFonts w:ascii="Arial" w:eastAsia="Times New Roman" w:hAnsi="Arial" w:cs="Arial"/>
          <w:bCs/>
          <w:sz w:val="24"/>
          <w:szCs w:val="24"/>
        </w:rPr>
      </w:pPr>
      <w:r w:rsidRPr="00A56D8E">
        <w:rPr>
          <w:rFonts w:ascii="Arial" w:eastAsia="Times New Roman" w:hAnsi="Arial" w:cs="Arial"/>
          <w:b/>
          <w:bCs/>
          <w:sz w:val="24"/>
          <w:szCs w:val="24"/>
        </w:rPr>
        <w:t xml:space="preserve">Opći cilj: </w:t>
      </w:r>
      <w:r w:rsidRPr="00A56D8E">
        <w:rPr>
          <w:rFonts w:ascii="Arial" w:eastAsia="Times New Roman" w:hAnsi="Arial" w:cs="Arial"/>
          <w:bCs/>
          <w:sz w:val="24"/>
          <w:szCs w:val="24"/>
        </w:rPr>
        <w:t>prometovanje javnim putevima za potrebe poljoprivrednika i građana koji žive ili rade izvan urbaniziranih područja te osiguranje pristupa udaljenijim javnim plažama.</w:t>
      </w:r>
    </w:p>
    <w:p w14:paraId="4F823F13" w14:textId="77777777" w:rsidR="00E541EE" w:rsidRPr="00A56D8E" w:rsidRDefault="00E541EE" w:rsidP="00E541EE">
      <w:pPr>
        <w:jc w:val="both"/>
        <w:rPr>
          <w:rFonts w:ascii="Arial" w:eastAsia="Times New Roman" w:hAnsi="Arial" w:cs="Arial"/>
          <w:sz w:val="24"/>
          <w:szCs w:val="24"/>
        </w:rPr>
      </w:pPr>
      <w:r w:rsidRPr="00A56D8E">
        <w:rPr>
          <w:rFonts w:ascii="Arial" w:eastAsia="Times New Roman" w:hAnsi="Arial" w:cs="Arial"/>
          <w:b/>
          <w:sz w:val="24"/>
          <w:szCs w:val="24"/>
        </w:rPr>
        <w:t>Pokazatelj uspješnosti:</w:t>
      </w:r>
      <w:r w:rsidRPr="00A56D8E">
        <w:rPr>
          <w:rFonts w:ascii="Arial" w:eastAsia="Times New Roman" w:hAnsi="Arial" w:cs="Arial"/>
          <w:sz w:val="24"/>
          <w:szCs w:val="24"/>
        </w:rPr>
        <w:t xml:space="preserve"> košnja bankina i puteva prema programu u dužini do 32 km prosječno.</w:t>
      </w:r>
    </w:p>
    <w:p w14:paraId="52BAA7F3" w14:textId="77777777" w:rsidR="00E541EE" w:rsidRPr="00447D66" w:rsidRDefault="00E541EE" w:rsidP="00E541EE">
      <w:pPr>
        <w:jc w:val="both"/>
        <w:rPr>
          <w:rFonts w:ascii="Arial" w:eastAsia="Times New Roman" w:hAnsi="Arial" w:cs="Arial"/>
          <w:color w:val="AEAAAA" w:themeColor="background2" w:themeShade="BF"/>
          <w:sz w:val="24"/>
          <w:szCs w:val="24"/>
        </w:rPr>
      </w:pPr>
    </w:p>
    <w:p w14:paraId="5DC9EC45" w14:textId="77777777" w:rsidR="00E541EE" w:rsidRPr="00A56D8E" w:rsidRDefault="00E541EE" w:rsidP="00E541EE">
      <w:pPr>
        <w:pBdr>
          <w:top w:val="single" w:sz="4" w:space="1" w:color="auto"/>
          <w:left w:val="single" w:sz="4" w:space="4" w:color="auto"/>
          <w:bottom w:val="single" w:sz="4" w:space="1" w:color="auto"/>
          <w:right w:val="single" w:sz="4" w:space="4" w:color="auto"/>
        </w:pBdr>
        <w:shd w:val="clear" w:color="auto" w:fill="E9E9E9"/>
        <w:ind w:right="-1"/>
        <w:rPr>
          <w:rFonts w:ascii="Arial" w:eastAsia="Times New Roman" w:hAnsi="Arial" w:cs="Arial"/>
          <w:b/>
          <w:sz w:val="24"/>
          <w:szCs w:val="24"/>
        </w:rPr>
      </w:pPr>
      <w:r w:rsidRPr="00A56D8E">
        <w:rPr>
          <w:rFonts w:ascii="Arial" w:eastAsia="Times New Roman" w:hAnsi="Arial" w:cs="Arial"/>
          <w:b/>
          <w:sz w:val="24"/>
          <w:szCs w:val="24"/>
        </w:rPr>
        <w:t>A 102206</w:t>
      </w:r>
      <w:r>
        <w:rPr>
          <w:rFonts w:ascii="Arial" w:eastAsia="Times New Roman" w:hAnsi="Arial" w:cs="Arial"/>
          <w:b/>
          <w:sz w:val="24"/>
          <w:szCs w:val="24"/>
        </w:rPr>
        <w:t>: Horizontalna signalizacija = 82</w:t>
      </w:r>
      <w:r w:rsidRPr="00A56D8E">
        <w:rPr>
          <w:rFonts w:ascii="Arial" w:eastAsia="Times New Roman" w:hAnsi="Arial" w:cs="Arial"/>
          <w:b/>
          <w:sz w:val="24"/>
          <w:szCs w:val="24"/>
        </w:rPr>
        <w:t>.</w:t>
      </w:r>
      <w:r>
        <w:rPr>
          <w:rFonts w:ascii="Arial" w:eastAsia="Times New Roman" w:hAnsi="Arial" w:cs="Arial"/>
          <w:b/>
          <w:sz w:val="24"/>
          <w:szCs w:val="24"/>
        </w:rPr>
        <w:t>00</w:t>
      </w:r>
      <w:r w:rsidRPr="00A56D8E">
        <w:rPr>
          <w:rFonts w:ascii="Arial" w:eastAsia="Times New Roman" w:hAnsi="Arial" w:cs="Arial"/>
          <w:b/>
          <w:sz w:val="24"/>
          <w:szCs w:val="24"/>
        </w:rPr>
        <w:t>0,00 EUR</w:t>
      </w:r>
    </w:p>
    <w:p w14:paraId="2679E87D" w14:textId="77777777" w:rsidR="00E541EE" w:rsidRPr="00A56D8E" w:rsidRDefault="00E541EE" w:rsidP="00E541EE">
      <w:pPr>
        <w:jc w:val="both"/>
        <w:rPr>
          <w:rFonts w:ascii="Arial" w:eastAsia="Times New Roman" w:hAnsi="Arial" w:cs="Arial"/>
          <w:sz w:val="24"/>
          <w:szCs w:val="24"/>
        </w:rPr>
      </w:pPr>
      <w:r w:rsidRPr="00A56D8E">
        <w:rPr>
          <w:rFonts w:ascii="Arial" w:eastAsia="Times New Roman" w:hAnsi="Arial" w:cs="Arial"/>
          <w:b/>
          <w:sz w:val="24"/>
          <w:szCs w:val="24"/>
        </w:rPr>
        <w:t xml:space="preserve">Zakonska osnova: </w:t>
      </w:r>
      <w:r w:rsidRPr="00A56D8E">
        <w:rPr>
          <w:rFonts w:ascii="Arial" w:eastAsia="Times New Roman" w:hAnsi="Arial" w:cs="Arial"/>
          <w:sz w:val="24"/>
          <w:szCs w:val="24"/>
        </w:rPr>
        <w:t>Zakon o komunalnom gospodarstvu, Odluka o komunalnim djelatnostima.</w:t>
      </w:r>
    </w:p>
    <w:p w14:paraId="2DD8B996" w14:textId="77777777" w:rsidR="00E541EE" w:rsidRPr="00A56D8E" w:rsidRDefault="00E541EE" w:rsidP="00E541EE">
      <w:pPr>
        <w:jc w:val="both"/>
        <w:rPr>
          <w:rFonts w:ascii="Arial" w:eastAsia="Times New Roman" w:hAnsi="Arial" w:cs="Arial"/>
          <w:sz w:val="24"/>
          <w:szCs w:val="24"/>
        </w:rPr>
      </w:pPr>
      <w:r w:rsidRPr="00A56D8E">
        <w:rPr>
          <w:rFonts w:ascii="Arial" w:eastAsia="Times New Roman" w:hAnsi="Arial" w:cs="Arial"/>
          <w:b/>
          <w:sz w:val="24"/>
          <w:szCs w:val="24"/>
        </w:rPr>
        <w:t xml:space="preserve">Opis: </w:t>
      </w:r>
      <w:r w:rsidRPr="00A56D8E">
        <w:rPr>
          <w:rFonts w:ascii="Arial" w:eastAsia="Times New Roman" w:hAnsi="Arial" w:cs="Arial"/>
          <w:sz w:val="24"/>
          <w:szCs w:val="24"/>
        </w:rPr>
        <w:t xml:space="preserve">proljetno i jesenje obilježavanje horizontalne signalizacije (reflektirajuća i plastična masa) na nerazvrstanim cestama, a koji se poslovi obavljaju kao komunalna djelatnost. </w:t>
      </w:r>
    </w:p>
    <w:p w14:paraId="6E546F7A" w14:textId="77777777" w:rsidR="00E541EE" w:rsidRPr="00A56D8E" w:rsidRDefault="00E541EE" w:rsidP="00E541EE">
      <w:pPr>
        <w:jc w:val="both"/>
        <w:rPr>
          <w:rFonts w:ascii="Arial" w:eastAsia="Times New Roman" w:hAnsi="Arial" w:cs="Arial"/>
          <w:b/>
          <w:bCs/>
          <w:sz w:val="24"/>
          <w:szCs w:val="24"/>
        </w:rPr>
      </w:pPr>
      <w:r w:rsidRPr="00A56D8E">
        <w:rPr>
          <w:rFonts w:ascii="Arial" w:eastAsia="Times New Roman" w:hAnsi="Arial" w:cs="Arial"/>
          <w:b/>
          <w:bCs/>
          <w:sz w:val="24"/>
          <w:szCs w:val="24"/>
        </w:rPr>
        <w:t xml:space="preserve">Opći cilj: </w:t>
      </w:r>
      <w:r w:rsidRPr="00A56D8E">
        <w:rPr>
          <w:rFonts w:ascii="Arial" w:eastAsia="Times New Roman" w:hAnsi="Arial" w:cs="Arial"/>
          <w:bCs/>
          <w:sz w:val="24"/>
          <w:szCs w:val="24"/>
        </w:rPr>
        <w:t>sigurnost prometa na cestama kroz adekvatno obilježavanje horizontalne signalizacije.</w:t>
      </w:r>
    </w:p>
    <w:p w14:paraId="3845A02B" w14:textId="77777777" w:rsidR="00E541EE" w:rsidRDefault="00E541EE" w:rsidP="00E541EE">
      <w:pPr>
        <w:jc w:val="both"/>
        <w:rPr>
          <w:rFonts w:ascii="Arial" w:eastAsia="Times New Roman" w:hAnsi="Arial" w:cs="Arial"/>
          <w:sz w:val="24"/>
          <w:szCs w:val="24"/>
        </w:rPr>
      </w:pPr>
      <w:r w:rsidRPr="00A56D8E">
        <w:rPr>
          <w:rFonts w:ascii="Arial" w:eastAsia="Times New Roman" w:hAnsi="Arial" w:cs="Arial"/>
          <w:b/>
          <w:bCs/>
          <w:sz w:val="24"/>
          <w:szCs w:val="24"/>
        </w:rPr>
        <w:t>Pokazatelj uspješnosti:</w:t>
      </w:r>
      <w:r w:rsidRPr="00A56D8E">
        <w:rPr>
          <w:rFonts w:ascii="Arial" w:eastAsia="Times New Roman" w:hAnsi="Arial" w:cs="Arial"/>
          <w:sz w:val="24"/>
          <w:szCs w:val="24"/>
        </w:rPr>
        <w:t xml:space="preserve"> sanacija horizontalne signalizacije prema izdanim nalozima u ugovorenim rokovima i količinama.</w:t>
      </w:r>
    </w:p>
    <w:p w14:paraId="621E6D68" w14:textId="77777777" w:rsidR="00E541EE" w:rsidRDefault="00E541EE" w:rsidP="00E541EE">
      <w:pPr>
        <w:jc w:val="both"/>
        <w:rPr>
          <w:rFonts w:ascii="Arial" w:eastAsia="Times New Roman" w:hAnsi="Arial" w:cs="Arial"/>
          <w:sz w:val="24"/>
          <w:szCs w:val="24"/>
        </w:rPr>
      </w:pPr>
    </w:p>
    <w:p w14:paraId="44581C2D" w14:textId="77777777" w:rsidR="00E541EE" w:rsidRPr="00FB02FC" w:rsidRDefault="00E541EE" w:rsidP="00E541EE">
      <w:pPr>
        <w:pBdr>
          <w:top w:val="single" w:sz="4" w:space="1" w:color="auto"/>
          <w:left w:val="single" w:sz="4" w:space="4" w:color="auto"/>
          <w:bottom w:val="single" w:sz="4" w:space="1" w:color="auto"/>
          <w:right w:val="single" w:sz="4" w:space="4" w:color="auto"/>
        </w:pBdr>
        <w:shd w:val="clear" w:color="auto" w:fill="E9E9E9"/>
        <w:ind w:right="-1"/>
        <w:rPr>
          <w:rFonts w:ascii="Arial" w:eastAsia="Times New Roman" w:hAnsi="Arial" w:cs="Arial"/>
          <w:b/>
          <w:sz w:val="24"/>
          <w:szCs w:val="24"/>
        </w:rPr>
      </w:pPr>
      <w:r w:rsidRPr="00FB02FC">
        <w:rPr>
          <w:rFonts w:ascii="Arial" w:eastAsia="Times New Roman" w:hAnsi="Arial" w:cs="Arial"/>
          <w:b/>
          <w:sz w:val="24"/>
          <w:szCs w:val="24"/>
        </w:rPr>
        <w:t>T 102201: Sanacija opasnih mjesta = 10.500,00 EUR</w:t>
      </w:r>
    </w:p>
    <w:p w14:paraId="033DCBAF" w14:textId="77777777" w:rsidR="00E541EE" w:rsidRPr="00FB02FC" w:rsidRDefault="00E541EE" w:rsidP="00E541EE">
      <w:pPr>
        <w:jc w:val="both"/>
        <w:rPr>
          <w:rFonts w:ascii="Arial" w:eastAsia="Times New Roman" w:hAnsi="Arial" w:cs="Arial"/>
          <w:sz w:val="24"/>
          <w:szCs w:val="24"/>
        </w:rPr>
      </w:pPr>
      <w:r w:rsidRPr="00FB02FC">
        <w:rPr>
          <w:rFonts w:ascii="Arial" w:eastAsia="Times New Roman" w:hAnsi="Arial" w:cs="Arial"/>
          <w:b/>
          <w:sz w:val="24"/>
          <w:szCs w:val="24"/>
        </w:rPr>
        <w:t xml:space="preserve">Zakonska osnova: </w:t>
      </w:r>
      <w:r w:rsidRPr="00FB02FC">
        <w:rPr>
          <w:rFonts w:ascii="Arial" w:eastAsia="Times New Roman" w:hAnsi="Arial" w:cs="Arial"/>
          <w:sz w:val="24"/>
          <w:szCs w:val="24"/>
        </w:rPr>
        <w:t>Zakon o komunalnom gospodarstvu, Zakon o sigurnosti prometa na cestama.</w:t>
      </w:r>
    </w:p>
    <w:p w14:paraId="74BBAA2D" w14:textId="77777777" w:rsidR="00E541EE" w:rsidRPr="00FB02FC" w:rsidRDefault="00E541EE" w:rsidP="00E541EE">
      <w:pPr>
        <w:jc w:val="both"/>
        <w:rPr>
          <w:rFonts w:ascii="Arial" w:eastAsia="Times New Roman" w:hAnsi="Arial" w:cs="Arial"/>
          <w:color w:val="FF0000"/>
          <w:sz w:val="24"/>
          <w:szCs w:val="24"/>
        </w:rPr>
      </w:pPr>
      <w:r w:rsidRPr="00FB02FC">
        <w:rPr>
          <w:rFonts w:ascii="Arial" w:eastAsia="Times New Roman" w:hAnsi="Arial" w:cs="Arial"/>
          <w:b/>
          <w:sz w:val="24"/>
          <w:szCs w:val="24"/>
        </w:rPr>
        <w:t xml:space="preserve">Opis: </w:t>
      </w:r>
      <w:r w:rsidRPr="00FB02FC">
        <w:rPr>
          <w:rFonts w:ascii="Arial" w:eastAsia="Times New Roman" w:hAnsi="Arial" w:cs="Arial"/>
          <w:sz w:val="24"/>
          <w:szCs w:val="24"/>
        </w:rPr>
        <w:t>saniranje opasnih mjesta na nerazvrstanim cestama prema prijedlozima Savjeta za sigurnost prometa, uz eventualnu mogućnost sufinanciranja putem nacionalnog programa sigurnosti prometa na cestama ili sl.</w:t>
      </w:r>
    </w:p>
    <w:p w14:paraId="5E7C63A1" w14:textId="77777777" w:rsidR="00E541EE" w:rsidRPr="00FB02FC" w:rsidRDefault="00E541EE" w:rsidP="00E541EE">
      <w:pPr>
        <w:jc w:val="both"/>
        <w:rPr>
          <w:rFonts w:ascii="Arial" w:eastAsia="Times New Roman" w:hAnsi="Arial" w:cs="Arial"/>
          <w:b/>
          <w:bCs/>
          <w:sz w:val="24"/>
          <w:szCs w:val="24"/>
        </w:rPr>
      </w:pPr>
      <w:r w:rsidRPr="00FB02FC">
        <w:rPr>
          <w:rFonts w:ascii="Arial" w:eastAsia="Times New Roman" w:hAnsi="Arial" w:cs="Arial"/>
          <w:b/>
          <w:bCs/>
          <w:sz w:val="24"/>
          <w:szCs w:val="24"/>
        </w:rPr>
        <w:t xml:space="preserve">Opći cilj: </w:t>
      </w:r>
      <w:r w:rsidRPr="00FB02FC">
        <w:rPr>
          <w:rFonts w:ascii="Arial" w:eastAsia="Times New Roman" w:hAnsi="Arial" w:cs="Arial"/>
          <w:bCs/>
          <w:sz w:val="24"/>
          <w:szCs w:val="24"/>
        </w:rPr>
        <w:t>sigurnost prometa na cestama kroz adekvatno uređenje</w:t>
      </w:r>
    </w:p>
    <w:p w14:paraId="6506FBD1" w14:textId="77777777" w:rsidR="00E541EE" w:rsidRPr="006642EA" w:rsidRDefault="00E541EE" w:rsidP="00E541EE">
      <w:pPr>
        <w:jc w:val="both"/>
        <w:rPr>
          <w:rFonts w:ascii="Arial" w:eastAsia="Times New Roman" w:hAnsi="Arial" w:cs="Arial"/>
          <w:sz w:val="24"/>
          <w:szCs w:val="24"/>
        </w:rPr>
      </w:pPr>
      <w:r w:rsidRPr="00FB02FC">
        <w:rPr>
          <w:rFonts w:ascii="Arial" w:eastAsia="Times New Roman" w:hAnsi="Arial" w:cs="Arial"/>
          <w:b/>
          <w:bCs/>
          <w:sz w:val="24"/>
          <w:szCs w:val="24"/>
        </w:rPr>
        <w:t>Pokazatelj uspješnosti:</w:t>
      </w:r>
      <w:r w:rsidRPr="00FB02FC">
        <w:rPr>
          <w:rFonts w:ascii="Arial" w:eastAsia="Times New Roman" w:hAnsi="Arial" w:cs="Arial"/>
          <w:sz w:val="24"/>
          <w:szCs w:val="24"/>
        </w:rPr>
        <w:t xml:space="preserve"> uspješna sanacija opasnih mjesta</w:t>
      </w:r>
    </w:p>
    <w:p w14:paraId="57F76315" w14:textId="77777777" w:rsidR="00E541EE" w:rsidRPr="00447D66" w:rsidRDefault="00E541EE" w:rsidP="00E541EE">
      <w:pPr>
        <w:jc w:val="both"/>
        <w:rPr>
          <w:rFonts w:ascii="Arial" w:eastAsia="Times New Roman" w:hAnsi="Arial" w:cs="Arial"/>
          <w:color w:val="AEAAAA" w:themeColor="background2" w:themeShade="BF"/>
          <w:sz w:val="24"/>
          <w:szCs w:val="24"/>
        </w:rPr>
      </w:pPr>
    </w:p>
    <w:p w14:paraId="48A0F485" w14:textId="591AE06B" w:rsidR="00E541EE" w:rsidRPr="000352A6" w:rsidRDefault="00E541EE" w:rsidP="00E541EE">
      <w:pPr>
        <w:pBdr>
          <w:top w:val="single" w:sz="4" w:space="1" w:color="auto"/>
          <w:left w:val="single" w:sz="4" w:space="4" w:color="auto"/>
          <w:bottom w:val="single" w:sz="4" w:space="0" w:color="auto"/>
          <w:right w:val="single" w:sz="4" w:space="4" w:color="auto"/>
        </w:pBdr>
        <w:shd w:val="clear" w:color="auto" w:fill="FFFF80"/>
        <w:jc w:val="both"/>
        <w:rPr>
          <w:rFonts w:ascii="Arial" w:eastAsia="Times New Roman" w:hAnsi="Arial" w:cs="Arial"/>
          <w:b/>
          <w:sz w:val="24"/>
          <w:szCs w:val="24"/>
        </w:rPr>
      </w:pPr>
      <w:r w:rsidRPr="000352A6">
        <w:rPr>
          <w:rFonts w:ascii="Arial" w:eastAsia="Times New Roman" w:hAnsi="Arial" w:cs="Arial"/>
          <w:b/>
          <w:sz w:val="24"/>
          <w:szCs w:val="24"/>
        </w:rPr>
        <w:t>Program 1023: Ostale komunalne djelatnosti = 1</w:t>
      </w:r>
      <w:r w:rsidR="00B521A3">
        <w:rPr>
          <w:rFonts w:ascii="Arial" w:eastAsia="Times New Roman" w:hAnsi="Arial" w:cs="Arial"/>
          <w:b/>
          <w:sz w:val="24"/>
          <w:szCs w:val="24"/>
        </w:rPr>
        <w:t>32</w:t>
      </w:r>
      <w:r w:rsidRPr="000352A6">
        <w:rPr>
          <w:rFonts w:ascii="Arial" w:eastAsia="Times New Roman" w:hAnsi="Arial" w:cs="Arial"/>
          <w:b/>
          <w:sz w:val="24"/>
          <w:szCs w:val="24"/>
        </w:rPr>
        <w:t>.</w:t>
      </w:r>
      <w:r w:rsidR="00B521A3">
        <w:rPr>
          <w:rFonts w:ascii="Arial" w:eastAsia="Times New Roman" w:hAnsi="Arial" w:cs="Arial"/>
          <w:b/>
          <w:sz w:val="24"/>
          <w:szCs w:val="24"/>
        </w:rPr>
        <w:t>2</w:t>
      </w:r>
      <w:r>
        <w:rPr>
          <w:rFonts w:ascii="Arial" w:eastAsia="Times New Roman" w:hAnsi="Arial" w:cs="Arial"/>
          <w:b/>
          <w:sz w:val="24"/>
          <w:szCs w:val="24"/>
        </w:rPr>
        <w:t>3</w:t>
      </w:r>
      <w:r w:rsidRPr="000352A6">
        <w:rPr>
          <w:rFonts w:ascii="Arial" w:eastAsia="Times New Roman" w:hAnsi="Arial" w:cs="Arial"/>
          <w:b/>
          <w:sz w:val="24"/>
          <w:szCs w:val="24"/>
        </w:rPr>
        <w:t>0,00 EUR</w:t>
      </w:r>
    </w:p>
    <w:p w14:paraId="61D16EA0" w14:textId="77777777" w:rsidR="00E541EE" w:rsidRPr="00447D66" w:rsidRDefault="00E541EE" w:rsidP="00E541EE">
      <w:pPr>
        <w:jc w:val="both"/>
        <w:rPr>
          <w:rFonts w:ascii="Arial" w:eastAsia="Times New Roman" w:hAnsi="Arial" w:cs="Arial"/>
          <w:color w:val="AEAAAA" w:themeColor="background2" w:themeShade="BF"/>
          <w:sz w:val="24"/>
          <w:szCs w:val="24"/>
        </w:rPr>
      </w:pPr>
    </w:p>
    <w:p w14:paraId="3A8DE7F0" w14:textId="77777777" w:rsidR="00E541EE" w:rsidRPr="00A56D8E" w:rsidRDefault="00E541EE" w:rsidP="00E541EE">
      <w:pPr>
        <w:pBdr>
          <w:top w:val="single" w:sz="4" w:space="1" w:color="auto"/>
          <w:left w:val="single" w:sz="4" w:space="4" w:color="auto"/>
          <w:bottom w:val="single" w:sz="4" w:space="1" w:color="auto"/>
          <w:right w:val="single" w:sz="4" w:space="4" w:color="auto"/>
        </w:pBdr>
        <w:shd w:val="clear" w:color="auto" w:fill="E9E9E9"/>
        <w:ind w:right="-1"/>
        <w:rPr>
          <w:rFonts w:ascii="Arial" w:eastAsia="Times New Roman" w:hAnsi="Arial" w:cs="Arial"/>
          <w:b/>
          <w:sz w:val="24"/>
          <w:szCs w:val="24"/>
        </w:rPr>
      </w:pPr>
      <w:r w:rsidRPr="00A56D8E">
        <w:rPr>
          <w:rFonts w:ascii="Arial" w:eastAsia="Times New Roman" w:hAnsi="Arial" w:cs="Arial"/>
          <w:b/>
          <w:sz w:val="24"/>
          <w:szCs w:val="24"/>
        </w:rPr>
        <w:t>A 102301: Higijeničarska služba = 2</w:t>
      </w:r>
      <w:r>
        <w:rPr>
          <w:rFonts w:ascii="Arial" w:eastAsia="Times New Roman" w:hAnsi="Arial" w:cs="Arial"/>
          <w:b/>
          <w:sz w:val="24"/>
          <w:szCs w:val="24"/>
        </w:rPr>
        <w:t>4.00</w:t>
      </w:r>
      <w:r w:rsidRPr="00A56D8E">
        <w:rPr>
          <w:rFonts w:ascii="Arial" w:eastAsia="Times New Roman" w:hAnsi="Arial" w:cs="Arial"/>
          <w:b/>
          <w:sz w:val="24"/>
          <w:szCs w:val="24"/>
        </w:rPr>
        <w:t>0,00 EUR</w:t>
      </w:r>
    </w:p>
    <w:p w14:paraId="7107A6AB" w14:textId="77777777" w:rsidR="00E541EE" w:rsidRPr="00A56D8E" w:rsidRDefault="00E541EE" w:rsidP="00E541EE">
      <w:pPr>
        <w:jc w:val="both"/>
        <w:rPr>
          <w:rFonts w:ascii="Arial" w:eastAsia="Times New Roman" w:hAnsi="Arial" w:cs="Arial"/>
          <w:sz w:val="24"/>
          <w:szCs w:val="24"/>
        </w:rPr>
      </w:pPr>
      <w:r w:rsidRPr="00A56D8E">
        <w:rPr>
          <w:rFonts w:ascii="Arial" w:eastAsia="Times New Roman" w:hAnsi="Arial" w:cs="Arial"/>
          <w:b/>
          <w:sz w:val="24"/>
          <w:szCs w:val="24"/>
        </w:rPr>
        <w:t xml:space="preserve">Zakonska osnova: </w:t>
      </w:r>
      <w:r w:rsidRPr="00A56D8E">
        <w:rPr>
          <w:rFonts w:ascii="Arial" w:eastAsia="Times New Roman" w:hAnsi="Arial" w:cs="Arial"/>
          <w:sz w:val="24"/>
          <w:szCs w:val="24"/>
        </w:rPr>
        <w:t>Zakon o komunalnom gospodarstvu, Zakon o zaštiti životinja, Odluka o komunalnim djelatnostima, Odluka o uvjetima i načinu držanja kućnih ljubimaca i drugih životinja, načinu kontrole njihova razmnožavanja, uvjetima i načinu držanja vezanih pasa i drugih životinja, te načinu postupanja s napuštenim i izgubljenim životinjama.</w:t>
      </w:r>
    </w:p>
    <w:p w14:paraId="4D91EF12" w14:textId="77777777" w:rsidR="00E541EE" w:rsidRPr="00A56D8E" w:rsidRDefault="00E541EE" w:rsidP="00E541EE">
      <w:pPr>
        <w:jc w:val="both"/>
        <w:rPr>
          <w:rFonts w:ascii="Arial" w:eastAsia="Times New Roman" w:hAnsi="Arial" w:cs="Arial"/>
          <w:sz w:val="24"/>
          <w:szCs w:val="24"/>
        </w:rPr>
      </w:pPr>
      <w:r w:rsidRPr="00A56D8E">
        <w:rPr>
          <w:rFonts w:ascii="Arial" w:eastAsia="Times New Roman" w:hAnsi="Arial" w:cs="Arial"/>
          <w:b/>
          <w:sz w:val="24"/>
          <w:szCs w:val="24"/>
        </w:rPr>
        <w:t xml:space="preserve">Opis: </w:t>
      </w:r>
      <w:r w:rsidRPr="00A56D8E">
        <w:rPr>
          <w:rFonts w:ascii="Arial" w:eastAsia="Times New Roman" w:hAnsi="Arial" w:cs="Arial"/>
          <w:sz w:val="24"/>
          <w:szCs w:val="24"/>
        </w:rPr>
        <w:t xml:space="preserve">hvatanje napuštenih i izgubljenih </w:t>
      </w:r>
      <w:r>
        <w:rPr>
          <w:rFonts w:ascii="Arial" w:eastAsia="Times New Roman" w:hAnsi="Arial" w:cs="Arial"/>
          <w:sz w:val="24"/>
          <w:szCs w:val="24"/>
        </w:rPr>
        <w:t>pasa</w:t>
      </w:r>
      <w:r w:rsidRPr="00A56D8E">
        <w:rPr>
          <w:rFonts w:ascii="Arial" w:eastAsia="Times New Roman" w:hAnsi="Arial" w:cs="Arial"/>
          <w:sz w:val="24"/>
          <w:szCs w:val="24"/>
        </w:rPr>
        <w:t>,</w:t>
      </w:r>
      <w:r>
        <w:rPr>
          <w:rFonts w:ascii="Arial" w:eastAsia="Times New Roman" w:hAnsi="Arial" w:cs="Arial"/>
          <w:sz w:val="24"/>
          <w:szCs w:val="24"/>
        </w:rPr>
        <w:t xml:space="preserve"> te predaja pasa skloništu za životinje</w:t>
      </w:r>
      <w:r w:rsidRPr="00A56D8E">
        <w:rPr>
          <w:rFonts w:ascii="Arial" w:eastAsia="Times New Roman" w:hAnsi="Arial" w:cs="Arial"/>
          <w:sz w:val="24"/>
          <w:szCs w:val="24"/>
        </w:rPr>
        <w:t xml:space="preserve"> i zbrinjavanje nusproizvoda životinjskog podrijetla.</w:t>
      </w:r>
    </w:p>
    <w:p w14:paraId="728D769A" w14:textId="77777777" w:rsidR="00E541EE" w:rsidRPr="00A56D8E" w:rsidRDefault="00E541EE" w:rsidP="00E541EE">
      <w:pPr>
        <w:jc w:val="both"/>
        <w:rPr>
          <w:rFonts w:ascii="Arial" w:eastAsia="Times New Roman" w:hAnsi="Arial" w:cs="Arial"/>
          <w:b/>
          <w:bCs/>
          <w:sz w:val="24"/>
          <w:szCs w:val="24"/>
        </w:rPr>
      </w:pPr>
      <w:r w:rsidRPr="00A56D8E">
        <w:rPr>
          <w:rFonts w:ascii="Arial" w:eastAsia="Times New Roman" w:hAnsi="Arial" w:cs="Arial"/>
          <w:b/>
          <w:bCs/>
          <w:sz w:val="24"/>
          <w:szCs w:val="24"/>
        </w:rPr>
        <w:t xml:space="preserve">Opći cilj: </w:t>
      </w:r>
      <w:r w:rsidRPr="00A56D8E">
        <w:rPr>
          <w:rFonts w:ascii="Arial" w:eastAsia="Times New Roman" w:hAnsi="Arial" w:cs="Arial"/>
          <w:bCs/>
          <w:sz w:val="24"/>
          <w:szCs w:val="24"/>
        </w:rPr>
        <w:t>održavanje komunalnog reda</w:t>
      </w:r>
      <w:r>
        <w:rPr>
          <w:rFonts w:ascii="Arial" w:eastAsia="Times New Roman" w:hAnsi="Arial" w:cs="Arial"/>
          <w:bCs/>
          <w:sz w:val="24"/>
          <w:szCs w:val="24"/>
        </w:rPr>
        <w:t xml:space="preserve"> i briga za dobrobit životinja.</w:t>
      </w:r>
    </w:p>
    <w:p w14:paraId="380BF5D2" w14:textId="77777777" w:rsidR="00E541EE" w:rsidRPr="00A56D8E" w:rsidRDefault="00E541EE" w:rsidP="00E541EE">
      <w:pPr>
        <w:jc w:val="both"/>
        <w:rPr>
          <w:rFonts w:ascii="Arial" w:eastAsia="Times New Roman" w:hAnsi="Arial" w:cs="Arial"/>
          <w:sz w:val="24"/>
          <w:szCs w:val="24"/>
        </w:rPr>
      </w:pPr>
      <w:r w:rsidRPr="00A56D8E">
        <w:rPr>
          <w:rFonts w:ascii="Arial" w:eastAsia="Times New Roman" w:hAnsi="Arial" w:cs="Arial"/>
          <w:b/>
          <w:bCs/>
          <w:sz w:val="24"/>
          <w:szCs w:val="24"/>
        </w:rPr>
        <w:t>Pokazatelj uspješnosti:</w:t>
      </w:r>
      <w:r w:rsidRPr="00A56D8E">
        <w:rPr>
          <w:rFonts w:ascii="Arial" w:eastAsia="Times New Roman" w:hAnsi="Arial" w:cs="Arial"/>
          <w:sz w:val="24"/>
          <w:szCs w:val="24"/>
        </w:rPr>
        <w:t xml:space="preserve"> promptno uklanjanje lešina sa javnih površina (do 800), te hvatanje pasa </w:t>
      </w:r>
      <w:r>
        <w:rPr>
          <w:rFonts w:ascii="Arial" w:eastAsia="Times New Roman" w:hAnsi="Arial" w:cs="Arial"/>
          <w:sz w:val="24"/>
          <w:szCs w:val="24"/>
        </w:rPr>
        <w:t>i slobodno živućih mačaka</w:t>
      </w:r>
      <w:r w:rsidRPr="00A56D8E">
        <w:rPr>
          <w:rFonts w:ascii="Arial" w:eastAsia="Times New Roman" w:hAnsi="Arial" w:cs="Arial"/>
          <w:sz w:val="24"/>
          <w:szCs w:val="24"/>
        </w:rPr>
        <w:t>, izlazak službe na teren po svim prijavama te osiguranje dežurstva 24 sata tijekom sezone.</w:t>
      </w:r>
    </w:p>
    <w:p w14:paraId="3DE24724" w14:textId="77777777" w:rsidR="00E541EE" w:rsidRPr="00447D66" w:rsidRDefault="00E541EE" w:rsidP="00E541EE">
      <w:pPr>
        <w:jc w:val="both"/>
        <w:rPr>
          <w:rFonts w:ascii="Arial" w:eastAsia="Times New Roman" w:hAnsi="Arial" w:cs="Arial"/>
          <w:color w:val="AEAAAA" w:themeColor="background2" w:themeShade="BF"/>
          <w:sz w:val="24"/>
          <w:szCs w:val="24"/>
        </w:rPr>
      </w:pPr>
    </w:p>
    <w:p w14:paraId="2CCFFF5B" w14:textId="77777777" w:rsidR="00E541EE" w:rsidRPr="00A56D8E" w:rsidRDefault="00E541EE" w:rsidP="00E541EE">
      <w:pPr>
        <w:pBdr>
          <w:top w:val="single" w:sz="4" w:space="1" w:color="auto"/>
          <w:left w:val="single" w:sz="4" w:space="4" w:color="auto"/>
          <w:bottom w:val="single" w:sz="4" w:space="1" w:color="auto"/>
          <w:right w:val="single" w:sz="4" w:space="4" w:color="auto"/>
        </w:pBdr>
        <w:shd w:val="clear" w:color="auto" w:fill="E9E9E9"/>
        <w:ind w:right="-1"/>
        <w:rPr>
          <w:rFonts w:ascii="Arial" w:eastAsia="Times New Roman" w:hAnsi="Arial" w:cs="Arial"/>
          <w:b/>
          <w:sz w:val="24"/>
          <w:szCs w:val="24"/>
        </w:rPr>
      </w:pPr>
      <w:r w:rsidRPr="00A56D8E">
        <w:rPr>
          <w:rFonts w:ascii="Arial" w:eastAsia="Times New Roman" w:hAnsi="Arial" w:cs="Arial"/>
          <w:b/>
          <w:sz w:val="24"/>
          <w:szCs w:val="24"/>
        </w:rPr>
        <w:t>A 102302: Čuvanje napuštenih i izgubljenih životinja = 18.</w:t>
      </w:r>
      <w:r>
        <w:rPr>
          <w:rFonts w:ascii="Arial" w:eastAsia="Times New Roman" w:hAnsi="Arial" w:cs="Arial"/>
          <w:b/>
          <w:sz w:val="24"/>
          <w:szCs w:val="24"/>
        </w:rPr>
        <w:t>60</w:t>
      </w:r>
      <w:r w:rsidRPr="00A56D8E">
        <w:rPr>
          <w:rFonts w:ascii="Arial" w:eastAsia="Times New Roman" w:hAnsi="Arial" w:cs="Arial"/>
          <w:b/>
          <w:sz w:val="24"/>
          <w:szCs w:val="24"/>
        </w:rPr>
        <w:t>0,00 EUR</w:t>
      </w:r>
    </w:p>
    <w:p w14:paraId="42840047" w14:textId="77777777" w:rsidR="00E541EE" w:rsidRPr="00A56D8E" w:rsidRDefault="00E541EE" w:rsidP="00E541EE">
      <w:pPr>
        <w:jc w:val="both"/>
        <w:rPr>
          <w:rFonts w:ascii="Arial" w:eastAsia="Times New Roman" w:hAnsi="Arial" w:cs="Arial"/>
          <w:sz w:val="24"/>
          <w:szCs w:val="24"/>
        </w:rPr>
      </w:pPr>
      <w:r w:rsidRPr="00A56D8E">
        <w:rPr>
          <w:rFonts w:ascii="Arial" w:eastAsia="Times New Roman" w:hAnsi="Arial" w:cs="Arial"/>
          <w:b/>
          <w:sz w:val="24"/>
          <w:szCs w:val="24"/>
        </w:rPr>
        <w:t xml:space="preserve">Zakonska osnova: </w:t>
      </w:r>
      <w:r w:rsidRPr="00A56D8E">
        <w:rPr>
          <w:rFonts w:ascii="Arial" w:eastAsia="Times New Roman" w:hAnsi="Arial" w:cs="Arial"/>
          <w:sz w:val="24"/>
          <w:szCs w:val="24"/>
        </w:rPr>
        <w:t>Zakon o komunalnom gospodarstvu, Zakon o zaštiti životinja, Odluka o komunalnim djelatnostima, Odluka o uvjetima i načinu držanja kućnih ljubimaca i drugih životinja, načinu kontrole njihova razmnožavanja, uvjetima i načinu držanja vezanih pasa i drugih životinja, te načinu postupanja s napuštenim i izgubljenim životinjama.</w:t>
      </w:r>
    </w:p>
    <w:p w14:paraId="5D0B82CD" w14:textId="77777777" w:rsidR="00E541EE" w:rsidRPr="00A56D8E" w:rsidRDefault="00E541EE" w:rsidP="00E541EE">
      <w:pPr>
        <w:jc w:val="both"/>
        <w:rPr>
          <w:rFonts w:ascii="Arial" w:eastAsia="Times New Roman" w:hAnsi="Arial" w:cs="Arial"/>
          <w:sz w:val="24"/>
          <w:szCs w:val="24"/>
        </w:rPr>
      </w:pPr>
      <w:r w:rsidRPr="00A56D8E">
        <w:rPr>
          <w:rFonts w:ascii="Arial" w:eastAsia="Times New Roman" w:hAnsi="Arial" w:cs="Arial"/>
          <w:b/>
          <w:sz w:val="24"/>
          <w:szCs w:val="24"/>
        </w:rPr>
        <w:t xml:space="preserve">Opis: </w:t>
      </w:r>
      <w:r w:rsidRPr="00A56D8E">
        <w:rPr>
          <w:rFonts w:ascii="Arial" w:eastAsia="Times New Roman" w:hAnsi="Arial" w:cs="Arial"/>
          <w:sz w:val="24"/>
          <w:szCs w:val="24"/>
        </w:rPr>
        <w:t>usluga čuvanja napuštenih i izgubljenih životinja koje se sa javnih površina dopreme u sklonište za životinje.</w:t>
      </w:r>
    </w:p>
    <w:p w14:paraId="1DA5D89A" w14:textId="77777777" w:rsidR="00E541EE" w:rsidRPr="00A56D8E" w:rsidRDefault="00E541EE" w:rsidP="00E541EE">
      <w:pPr>
        <w:jc w:val="both"/>
        <w:rPr>
          <w:rFonts w:ascii="Arial" w:eastAsia="Times New Roman" w:hAnsi="Arial" w:cs="Arial"/>
          <w:b/>
          <w:bCs/>
          <w:sz w:val="24"/>
          <w:szCs w:val="24"/>
        </w:rPr>
      </w:pPr>
      <w:r w:rsidRPr="00A56D8E">
        <w:rPr>
          <w:rFonts w:ascii="Arial" w:eastAsia="Times New Roman" w:hAnsi="Arial" w:cs="Arial"/>
          <w:b/>
          <w:bCs/>
          <w:sz w:val="24"/>
          <w:szCs w:val="24"/>
        </w:rPr>
        <w:t xml:space="preserve">Opći cilj: </w:t>
      </w:r>
      <w:r w:rsidRPr="00A56D8E">
        <w:rPr>
          <w:rFonts w:ascii="Arial" w:eastAsia="Times New Roman" w:hAnsi="Arial" w:cs="Arial"/>
          <w:bCs/>
          <w:sz w:val="24"/>
          <w:szCs w:val="24"/>
        </w:rPr>
        <w:t>pružanje neophodne skrbi životinjama.</w:t>
      </w:r>
    </w:p>
    <w:p w14:paraId="7E735585" w14:textId="77777777" w:rsidR="00E541EE" w:rsidRPr="00A56D8E" w:rsidRDefault="00E541EE" w:rsidP="00E541EE">
      <w:pPr>
        <w:jc w:val="both"/>
        <w:rPr>
          <w:rFonts w:ascii="Arial" w:eastAsia="Times New Roman" w:hAnsi="Arial" w:cs="Arial"/>
          <w:sz w:val="24"/>
          <w:szCs w:val="24"/>
        </w:rPr>
      </w:pPr>
      <w:r w:rsidRPr="00A56D8E">
        <w:rPr>
          <w:rFonts w:ascii="Arial" w:eastAsia="Times New Roman" w:hAnsi="Arial" w:cs="Arial"/>
          <w:b/>
          <w:bCs/>
          <w:sz w:val="24"/>
          <w:szCs w:val="24"/>
        </w:rPr>
        <w:t>Pokazatelj uspješnosti:</w:t>
      </w:r>
      <w:r w:rsidRPr="00A56D8E">
        <w:rPr>
          <w:rFonts w:ascii="Arial" w:eastAsia="Times New Roman" w:hAnsi="Arial" w:cs="Arial"/>
          <w:sz w:val="24"/>
          <w:szCs w:val="24"/>
        </w:rPr>
        <w:t xml:space="preserve"> osiguranje životnih potreba svim zbrinutim psima bez vlasnika do udomljenja.</w:t>
      </w:r>
    </w:p>
    <w:p w14:paraId="29A4DDC2" w14:textId="77777777" w:rsidR="00E541EE" w:rsidRPr="00447D66" w:rsidRDefault="00E541EE" w:rsidP="00E541EE">
      <w:pPr>
        <w:jc w:val="both"/>
        <w:rPr>
          <w:rFonts w:ascii="Arial" w:eastAsia="Times New Roman" w:hAnsi="Arial" w:cs="Arial"/>
          <w:color w:val="AEAAAA" w:themeColor="background2" w:themeShade="BF"/>
          <w:sz w:val="24"/>
          <w:szCs w:val="24"/>
        </w:rPr>
      </w:pPr>
    </w:p>
    <w:p w14:paraId="34DC1A7E" w14:textId="77777777" w:rsidR="00E541EE" w:rsidRPr="00A56D8E" w:rsidRDefault="00E541EE" w:rsidP="00E541EE">
      <w:pPr>
        <w:pBdr>
          <w:top w:val="single" w:sz="4" w:space="1" w:color="auto"/>
          <w:left w:val="single" w:sz="4" w:space="4" w:color="auto"/>
          <w:bottom w:val="single" w:sz="4" w:space="1" w:color="auto"/>
          <w:right w:val="single" w:sz="4" w:space="4" w:color="auto"/>
        </w:pBdr>
        <w:shd w:val="clear" w:color="auto" w:fill="E9E9E9"/>
        <w:ind w:right="-1"/>
        <w:rPr>
          <w:rFonts w:ascii="Arial" w:eastAsia="Times New Roman" w:hAnsi="Arial" w:cs="Arial"/>
          <w:b/>
          <w:sz w:val="24"/>
          <w:szCs w:val="24"/>
        </w:rPr>
      </w:pPr>
      <w:r w:rsidRPr="00A56D8E">
        <w:rPr>
          <w:rFonts w:ascii="Arial" w:eastAsia="Times New Roman" w:hAnsi="Arial" w:cs="Arial"/>
          <w:b/>
          <w:sz w:val="24"/>
          <w:szCs w:val="24"/>
        </w:rPr>
        <w:t>A 102303: Zaštitarske i redarske usluge = 3</w:t>
      </w:r>
      <w:r>
        <w:rPr>
          <w:rFonts w:ascii="Arial" w:eastAsia="Times New Roman" w:hAnsi="Arial" w:cs="Arial"/>
          <w:b/>
          <w:sz w:val="24"/>
          <w:szCs w:val="24"/>
        </w:rPr>
        <w:t>6</w:t>
      </w:r>
      <w:r w:rsidRPr="00A56D8E">
        <w:rPr>
          <w:rFonts w:ascii="Arial" w:eastAsia="Times New Roman" w:hAnsi="Arial" w:cs="Arial"/>
          <w:b/>
          <w:sz w:val="24"/>
          <w:szCs w:val="24"/>
        </w:rPr>
        <w:t>.000,00 EUR</w:t>
      </w:r>
    </w:p>
    <w:p w14:paraId="7AF12465" w14:textId="77777777" w:rsidR="00E541EE" w:rsidRPr="00A56D8E" w:rsidRDefault="00E541EE" w:rsidP="00E541EE">
      <w:pPr>
        <w:jc w:val="both"/>
        <w:rPr>
          <w:rFonts w:ascii="Arial" w:eastAsia="Times New Roman" w:hAnsi="Arial" w:cs="Arial"/>
          <w:b/>
          <w:sz w:val="24"/>
          <w:szCs w:val="24"/>
        </w:rPr>
      </w:pPr>
      <w:r w:rsidRPr="00A56D8E">
        <w:rPr>
          <w:rFonts w:ascii="Arial" w:eastAsia="Times New Roman" w:hAnsi="Arial" w:cs="Arial"/>
          <w:b/>
          <w:sz w:val="24"/>
          <w:szCs w:val="24"/>
        </w:rPr>
        <w:t xml:space="preserve">Zakonska osnova: </w:t>
      </w:r>
      <w:r w:rsidRPr="00A56D8E">
        <w:rPr>
          <w:rFonts w:ascii="Arial" w:eastAsia="Times New Roman" w:hAnsi="Arial" w:cs="Arial"/>
          <w:sz w:val="24"/>
          <w:szCs w:val="24"/>
        </w:rPr>
        <w:t>Zakon o privatnoj zaštiti.</w:t>
      </w:r>
    </w:p>
    <w:p w14:paraId="100E219E" w14:textId="77777777" w:rsidR="00E541EE" w:rsidRPr="00A56D8E" w:rsidRDefault="00E541EE" w:rsidP="00E541EE">
      <w:pPr>
        <w:jc w:val="both"/>
        <w:rPr>
          <w:rFonts w:ascii="Arial" w:eastAsia="Times New Roman" w:hAnsi="Arial" w:cs="Arial"/>
          <w:sz w:val="24"/>
          <w:szCs w:val="24"/>
        </w:rPr>
      </w:pPr>
      <w:r w:rsidRPr="00A56D8E">
        <w:rPr>
          <w:rFonts w:ascii="Arial" w:eastAsia="Times New Roman" w:hAnsi="Arial" w:cs="Arial"/>
          <w:b/>
          <w:sz w:val="24"/>
          <w:szCs w:val="24"/>
        </w:rPr>
        <w:t xml:space="preserve">Opis: </w:t>
      </w:r>
      <w:r w:rsidRPr="00A56D8E">
        <w:rPr>
          <w:rFonts w:ascii="Arial" w:eastAsia="Times New Roman" w:hAnsi="Arial" w:cs="Arial"/>
          <w:sz w:val="24"/>
          <w:szCs w:val="24"/>
        </w:rPr>
        <w:t>usluge se koriste radi održavanja javnog reda i mira na skupovima, čuvanje javnih površina i gradske imovine, osiguranje manifestacija koje organizira grad i gradske ustanove, te asistenciju prilikom izvršenja naloga komunalnih redara.</w:t>
      </w:r>
    </w:p>
    <w:p w14:paraId="092C65AC" w14:textId="77777777" w:rsidR="00E541EE" w:rsidRPr="00A56D8E" w:rsidRDefault="00E541EE" w:rsidP="00E541EE">
      <w:pPr>
        <w:jc w:val="both"/>
        <w:rPr>
          <w:rFonts w:ascii="Arial" w:eastAsia="Times New Roman" w:hAnsi="Arial" w:cs="Arial"/>
          <w:b/>
          <w:bCs/>
          <w:sz w:val="24"/>
          <w:szCs w:val="24"/>
        </w:rPr>
      </w:pPr>
      <w:r w:rsidRPr="00A56D8E">
        <w:rPr>
          <w:rFonts w:ascii="Arial" w:eastAsia="Times New Roman" w:hAnsi="Arial" w:cs="Arial"/>
          <w:b/>
          <w:bCs/>
          <w:sz w:val="24"/>
          <w:szCs w:val="24"/>
        </w:rPr>
        <w:t xml:space="preserve">Opći cilj: </w:t>
      </w:r>
      <w:r w:rsidRPr="00A56D8E">
        <w:rPr>
          <w:rFonts w:ascii="Arial" w:eastAsia="Times New Roman" w:hAnsi="Arial" w:cs="Arial"/>
          <w:sz w:val="24"/>
          <w:szCs w:val="24"/>
        </w:rPr>
        <w:t>održavanje reda i mira kroz angažman redarskih službi</w:t>
      </w:r>
      <w:r w:rsidRPr="00A56D8E">
        <w:rPr>
          <w:rFonts w:ascii="Arial" w:eastAsia="Times New Roman" w:hAnsi="Arial" w:cs="Arial"/>
          <w:bCs/>
          <w:sz w:val="24"/>
          <w:szCs w:val="24"/>
        </w:rPr>
        <w:t>.</w:t>
      </w:r>
    </w:p>
    <w:p w14:paraId="07451E9A" w14:textId="77777777" w:rsidR="00E541EE" w:rsidRPr="00A56D8E" w:rsidRDefault="00E541EE" w:rsidP="00E541EE">
      <w:pPr>
        <w:jc w:val="both"/>
        <w:rPr>
          <w:rFonts w:ascii="Arial" w:eastAsia="Times New Roman" w:hAnsi="Arial" w:cs="Arial"/>
          <w:sz w:val="24"/>
          <w:szCs w:val="24"/>
        </w:rPr>
      </w:pPr>
      <w:r w:rsidRPr="00A56D8E">
        <w:rPr>
          <w:rFonts w:ascii="Arial" w:eastAsia="Times New Roman" w:hAnsi="Arial" w:cs="Arial"/>
          <w:b/>
          <w:bCs/>
          <w:sz w:val="24"/>
          <w:szCs w:val="24"/>
        </w:rPr>
        <w:t>Pokazatelj uspješnosti:</w:t>
      </w:r>
      <w:r w:rsidRPr="00A56D8E">
        <w:rPr>
          <w:rFonts w:ascii="Arial" w:eastAsia="Times New Roman" w:hAnsi="Arial" w:cs="Arial"/>
          <w:sz w:val="24"/>
          <w:szCs w:val="24"/>
        </w:rPr>
        <w:t xml:space="preserve"> održavanje reda za sve planirane manifestacije i asistencija izvršenja naloga prema ugovorenim potrebama.</w:t>
      </w:r>
    </w:p>
    <w:p w14:paraId="01B3A662" w14:textId="77777777" w:rsidR="00E541EE" w:rsidRPr="00447D66" w:rsidRDefault="00E541EE" w:rsidP="00E541EE">
      <w:pPr>
        <w:jc w:val="both"/>
        <w:rPr>
          <w:rFonts w:ascii="Arial" w:eastAsia="Times New Roman" w:hAnsi="Arial" w:cs="Arial"/>
          <w:color w:val="AEAAAA" w:themeColor="background2" w:themeShade="BF"/>
          <w:sz w:val="24"/>
          <w:szCs w:val="24"/>
        </w:rPr>
      </w:pPr>
    </w:p>
    <w:p w14:paraId="6402A610" w14:textId="77777777" w:rsidR="00E541EE" w:rsidRPr="00A56D8E" w:rsidRDefault="00E541EE" w:rsidP="00E541EE">
      <w:pPr>
        <w:pBdr>
          <w:top w:val="single" w:sz="4" w:space="1" w:color="auto"/>
          <w:left w:val="single" w:sz="4" w:space="4" w:color="auto"/>
          <w:bottom w:val="single" w:sz="4" w:space="1" w:color="auto"/>
          <w:right w:val="single" w:sz="4" w:space="4" w:color="auto"/>
        </w:pBdr>
        <w:shd w:val="clear" w:color="auto" w:fill="E9E9E9"/>
        <w:ind w:right="-1"/>
        <w:rPr>
          <w:rFonts w:ascii="Arial" w:eastAsia="Times New Roman" w:hAnsi="Arial" w:cs="Arial"/>
          <w:b/>
          <w:bCs/>
          <w:sz w:val="24"/>
          <w:szCs w:val="24"/>
        </w:rPr>
      </w:pPr>
      <w:r w:rsidRPr="00A56D8E">
        <w:rPr>
          <w:rFonts w:ascii="Arial" w:eastAsia="Times New Roman" w:hAnsi="Arial" w:cs="Arial"/>
          <w:b/>
          <w:sz w:val="24"/>
          <w:szCs w:val="24"/>
        </w:rPr>
        <w:t>A 102304: Uk</w:t>
      </w:r>
      <w:r>
        <w:rPr>
          <w:rFonts w:ascii="Arial" w:eastAsia="Times New Roman" w:hAnsi="Arial" w:cs="Arial"/>
          <w:b/>
          <w:sz w:val="24"/>
          <w:szCs w:val="24"/>
        </w:rPr>
        <w:t>lanjanje bespravne gradnje = 6.4</w:t>
      </w:r>
      <w:r w:rsidRPr="00A56D8E">
        <w:rPr>
          <w:rFonts w:ascii="Arial" w:eastAsia="Times New Roman" w:hAnsi="Arial" w:cs="Arial"/>
          <w:b/>
          <w:sz w:val="24"/>
          <w:szCs w:val="24"/>
        </w:rPr>
        <w:t>0</w:t>
      </w:r>
      <w:r>
        <w:rPr>
          <w:rFonts w:ascii="Arial" w:eastAsia="Times New Roman" w:hAnsi="Arial" w:cs="Arial"/>
          <w:b/>
          <w:sz w:val="24"/>
          <w:szCs w:val="24"/>
        </w:rPr>
        <w:t>0</w:t>
      </w:r>
      <w:r w:rsidRPr="00A56D8E">
        <w:rPr>
          <w:rFonts w:ascii="Arial" w:eastAsia="Times New Roman" w:hAnsi="Arial" w:cs="Arial"/>
          <w:b/>
          <w:sz w:val="24"/>
          <w:szCs w:val="24"/>
        </w:rPr>
        <w:t>,00 EUR</w:t>
      </w:r>
    </w:p>
    <w:p w14:paraId="54A990F3" w14:textId="77777777" w:rsidR="00E541EE" w:rsidRPr="00A56D8E" w:rsidRDefault="00E541EE" w:rsidP="00E541EE">
      <w:pPr>
        <w:jc w:val="both"/>
        <w:rPr>
          <w:rFonts w:ascii="Arial" w:eastAsia="Times New Roman" w:hAnsi="Arial" w:cs="Arial"/>
          <w:sz w:val="24"/>
          <w:szCs w:val="24"/>
        </w:rPr>
      </w:pPr>
      <w:r w:rsidRPr="00A56D8E">
        <w:rPr>
          <w:rFonts w:ascii="Arial" w:eastAsia="Times New Roman" w:hAnsi="Arial" w:cs="Arial"/>
          <w:b/>
          <w:sz w:val="24"/>
          <w:szCs w:val="24"/>
        </w:rPr>
        <w:t xml:space="preserve">Zakonska osnova: </w:t>
      </w:r>
      <w:r w:rsidRPr="00A56D8E">
        <w:rPr>
          <w:rFonts w:ascii="Arial" w:eastAsia="Times New Roman" w:hAnsi="Arial" w:cs="Arial"/>
          <w:sz w:val="24"/>
          <w:szCs w:val="24"/>
        </w:rPr>
        <w:t>Zakon o građevinskoj inspekciji, Odluka o komunalnom redu.</w:t>
      </w:r>
    </w:p>
    <w:p w14:paraId="082AA2A8" w14:textId="77777777" w:rsidR="00E541EE" w:rsidRPr="00A56D8E" w:rsidRDefault="00E541EE" w:rsidP="00E541EE">
      <w:pPr>
        <w:jc w:val="both"/>
        <w:rPr>
          <w:rFonts w:ascii="Arial" w:eastAsia="Times New Roman" w:hAnsi="Arial" w:cs="Arial"/>
          <w:sz w:val="24"/>
          <w:szCs w:val="24"/>
        </w:rPr>
      </w:pPr>
      <w:r w:rsidRPr="00A56D8E">
        <w:rPr>
          <w:rFonts w:ascii="Arial" w:eastAsia="Times New Roman" w:hAnsi="Arial" w:cs="Arial"/>
          <w:b/>
          <w:sz w:val="24"/>
          <w:szCs w:val="24"/>
        </w:rPr>
        <w:t xml:space="preserve">Opis: </w:t>
      </w:r>
      <w:r w:rsidRPr="00A56D8E">
        <w:rPr>
          <w:rFonts w:ascii="Arial" w:eastAsia="Times New Roman" w:hAnsi="Arial" w:cs="Arial"/>
          <w:sz w:val="24"/>
          <w:szCs w:val="24"/>
        </w:rPr>
        <w:t xml:space="preserve">izvršenje rješenja o uklanjanju bespravno sagrađenih građevina putem treće osobe što uključuje i trošak zbrinjavanja i obrade građevnog otpada. Sukladno Zakonu o građevinskoj inspekciji, moguće je po zahtjevu jedinica lokalne samouprave troškove izvršenja rješenja putem treće osobe namiriti iz proračuna do naplate od izvršenika. </w:t>
      </w:r>
    </w:p>
    <w:p w14:paraId="66AEBB7B" w14:textId="77777777" w:rsidR="00E541EE" w:rsidRPr="00A56D8E" w:rsidRDefault="00E541EE" w:rsidP="00E541EE">
      <w:pPr>
        <w:jc w:val="both"/>
        <w:rPr>
          <w:rFonts w:ascii="Arial" w:eastAsia="Times New Roman" w:hAnsi="Arial" w:cs="Arial"/>
          <w:b/>
          <w:sz w:val="24"/>
          <w:szCs w:val="24"/>
        </w:rPr>
      </w:pPr>
      <w:r w:rsidRPr="00A56D8E">
        <w:rPr>
          <w:rFonts w:ascii="Arial" w:eastAsia="Times New Roman" w:hAnsi="Arial" w:cs="Arial"/>
          <w:b/>
          <w:sz w:val="24"/>
          <w:szCs w:val="24"/>
        </w:rPr>
        <w:t xml:space="preserve">Opći cilj: </w:t>
      </w:r>
      <w:r w:rsidRPr="00A56D8E">
        <w:rPr>
          <w:rFonts w:ascii="Arial" w:eastAsia="Times New Roman" w:hAnsi="Arial" w:cs="Arial"/>
          <w:sz w:val="24"/>
          <w:szCs w:val="24"/>
        </w:rPr>
        <w:t>smanjenje bespravne gradnje.</w:t>
      </w:r>
    </w:p>
    <w:p w14:paraId="585B3D37" w14:textId="77777777" w:rsidR="00E541EE" w:rsidRPr="00A56D8E" w:rsidRDefault="00E541EE" w:rsidP="00E541EE">
      <w:pPr>
        <w:jc w:val="both"/>
        <w:rPr>
          <w:rFonts w:ascii="Arial" w:eastAsia="Times New Roman" w:hAnsi="Arial" w:cs="Arial"/>
          <w:sz w:val="24"/>
          <w:szCs w:val="24"/>
        </w:rPr>
      </w:pPr>
      <w:r w:rsidRPr="00A56D8E">
        <w:rPr>
          <w:rFonts w:ascii="Arial" w:eastAsia="Times New Roman" w:hAnsi="Arial" w:cs="Arial"/>
          <w:b/>
          <w:sz w:val="24"/>
          <w:szCs w:val="24"/>
        </w:rPr>
        <w:t>Pokazatelj uspješnosti:</w:t>
      </w:r>
      <w:r w:rsidRPr="00A56D8E">
        <w:rPr>
          <w:rFonts w:ascii="Arial" w:eastAsia="Times New Roman" w:hAnsi="Arial" w:cs="Arial"/>
          <w:sz w:val="24"/>
          <w:szCs w:val="24"/>
        </w:rPr>
        <w:t xml:space="preserve"> učinkovitije i brže izvršavanje postupaka nadležne građevinske i druge inspekcije u zaštiti prostora od bespravne gradnje.</w:t>
      </w:r>
    </w:p>
    <w:p w14:paraId="3F485786" w14:textId="77777777" w:rsidR="00E541EE" w:rsidRPr="00447D66" w:rsidRDefault="00E541EE" w:rsidP="00E541EE">
      <w:pPr>
        <w:jc w:val="both"/>
        <w:rPr>
          <w:rFonts w:ascii="Arial" w:eastAsia="Times New Roman" w:hAnsi="Arial" w:cs="Arial"/>
          <w:color w:val="AEAAAA" w:themeColor="background2" w:themeShade="BF"/>
          <w:sz w:val="24"/>
          <w:szCs w:val="24"/>
          <w:highlight w:val="lightGray"/>
        </w:rPr>
      </w:pPr>
    </w:p>
    <w:p w14:paraId="555282C6" w14:textId="77777777" w:rsidR="00E541EE" w:rsidRPr="00A56D8E" w:rsidRDefault="00E541EE" w:rsidP="00E541EE">
      <w:pPr>
        <w:pBdr>
          <w:top w:val="single" w:sz="4" w:space="1" w:color="auto"/>
          <w:left w:val="single" w:sz="4" w:space="4" w:color="auto"/>
          <w:bottom w:val="single" w:sz="4" w:space="1" w:color="auto"/>
          <w:right w:val="single" w:sz="4" w:space="4" w:color="auto"/>
        </w:pBdr>
        <w:shd w:val="clear" w:color="auto" w:fill="E9E9E9"/>
        <w:ind w:right="-1"/>
        <w:rPr>
          <w:rFonts w:ascii="Arial" w:eastAsia="Times New Roman" w:hAnsi="Arial" w:cs="Arial"/>
          <w:b/>
          <w:sz w:val="24"/>
          <w:szCs w:val="24"/>
        </w:rPr>
      </w:pPr>
      <w:r w:rsidRPr="00A56D8E">
        <w:rPr>
          <w:rFonts w:ascii="Arial" w:eastAsia="Times New Roman" w:hAnsi="Arial" w:cs="Arial"/>
          <w:b/>
          <w:sz w:val="24"/>
          <w:szCs w:val="24"/>
        </w:rPr>
        <w:t xml:space="preserve">A 102305: Sufinanciranje zamjene pokrova koji sadrže azbest = </w:t>
      </w:r>
      <w:r>
        <w:rPr>
          <w:rFonts w:ascii="Arial" w:eastAsia="Times New Roman" w:hAnsi="Arial" w:cs="Arial"/>
          <w:b/>
          <w:sz w:val="24"/>
          <w:szCs w:val="24"/>
        </w:rPr>
        <w:t>7</w:t>
      </w:r>
      <w:r w:rsidRPr="00A56D8E">
        <w:rPr>
          <w:rFonts w:ascii="Arial" w:eastAsia="Times New Roman" w:hAnsi="Arial" w:cs="Arial"/>
          <w:b/>
          <w:sz w:val="24"/>
          <w:szCs w:val="24"/>
        </w:rPr>
        <w:t>.</w:t>
      </w:r>
      <w:r>
        <w:rPr>
          <w:rFonts w:ascii="Arial" w:eastAsia="Times New Roman" w:hAnsi="Arial" w:cs="Arial"/>
          <w:b/>
          <w:sz w:val="24"/>
          <w:szCs w:val="24"/>
        </w:rPr>
        <w:t>0</w:t>
      </w:r>
      <w:r w:rsidRPr="00A56D8E">
        <w:rPr>
          <w:rFonts w:ascii="Arial" w:eastAsia="Times New Roman" w:hAnsi="Arial" w:cs="Arial"/>
          <w:b/>
          <w:sz w:val="24"/>
          <w:szCs w:val="24"/>
        </w:rPr>
        <w:t>00,00 EUR</w:t>
      </w:r>
    </w:p>
    <w:p w14:paraId="596FD0A0" w14:textId="77777777" w:rsidR="00E541EE" w:rsidRPr="00A56D8E" w:rsidRDefault="00E541EE" w:rsidP="00E541EE">
      <w:pPr>
        <w:jc w:val="both"/>
        <w:rPr>
          <w:rFonts w:ascii="Arial" w:eastAsia="Times New Roman" w:hAnsi="Arial" w:cs="Arial"/>
          <w:b/>
          <w:sz w:val="24"/>
          <w:szCs w:val="24"/>
        </w:rPr>
      </w:pPr>
      <w:r w:rsidRPr="00A56D8E">
        <w:rPr>
          <w:rFonts w:ascii="Arial" w:eastAsia="Times New Roman" w:hAnsi="Arial" w:cs="Arial"/>
          <w:b/>
          <w:sz w:val="24"/>
          <w:szCs w:val="24"/>
        </w:rPr>
        <w:t xml:space="preserve">Zakonska osnova: </w:t>
      </w:r>
      <w:r w:rsidRPr="00A56D8E">
        <w:rPr>
          <w:rFonts w:ascii="Arial" w:eastAsia="Times New Roman" w:hAnsi="Arial" w:cs="Arial"/>
          <w:sz w:val="24"/>
          <w:szCs w:val="24"/>
        </w:rPr>
        <w:t>Zakon o održivom gospodarenju otpadom, Odluka o provedbi projekta zamjene pokrova koji sadrže azbest na području Grada Rovinja-Rovigno.</w:t>
      </w:r>
    </w:p>
    <w:p w14:paraId="31A37D24" w14:textId="77777777" w:rsidR="00E541EE" w:rsidRPr="00A56D8E" w:rsidRDefault="00E541EE" w:rsidP="00E541EE">
      <w:pPr>
        <w:jc w:val="both"/>
        <w:rPr>
          <w:rFonts w:ascii="Arial" w:eastAsia="Times New Roman" w:hAnsi="Arial" w:cs="Arial"/>
          <w:sz w:val="24"/>
          <w:szCs w:val="24"/>
        </w:rPr>
      </w:pPr>
      <w:r w:rsidRPr="00A56D8E">
        <w:rPr>
          <w:rFonts w:ascii="Arial" w:eastAsia="Times New Roman" w:hAnsi="Arial" w:cs="Arial"/>
          <w:b/>
          <w:sz w:val="24"/>
          <w:szCs w:val="24"/>
        </w:rPr>
        <w:t xml:space="preserve">Opis: </w:t>
      </w:r>
      <w:r w:rsidRPr="00A56D8E">
        <w:rPr>
          <w:rFonts w:ascii="Arial" w:eastAsia="Times New Roman" w:hAnsi="Arial" w:cs="Arial"/>
          <w:sz w:val="24"/>
          <w:szCs w:val="24"/>
        </w:rPr>
        <w:t>poticanje odnosno sufinanciranje zamjene pokrova koji sadrže azbest. Radi zašite zdravlja ljudi i smanjenja onečišćenja azbestom, planira se provesti javni poziv/natječaj kojim će se omogućiti građanima da ostvare poticaj prilikom zamjene pokrova koji sadrže azbest. Za ovu aktivnost predviđeno je 3.00</w:t>
      </w:r>
      <w:r>
        <w:rPr>
          <w:rFonts w:ascii="Arial" w:eastAsia="Times New Roman" w:hAnsi="Arial" w:cs="Arial"/>
          <w:sz w:val="24"/>
          <w:szCs w:val="24"/>
        </w:rPr>
        <w:t>0,00 eura. Sredstva u iznosu od 4</w:t>
      </w:r>
      <w:r w:rsidRPr="00A56D8E">
        <w:rPr>
          <w:rFonts w:ascii="Arial" w:eastAsia="Times New Roman" w:hAnsi="Arial" w:cs="Arial"/>
          <w:sz w:val="24"/>
          <w:szCs w:val="24"/>
        </w:rPr>
        <w:t>.</w:t>
      </w:r>
      <w:r>
        <w:rPr>
          <w:rFonts w:ascii="Arial" w:eastAsia="Times New Roman" w:hAnsi="Arial" w:cs="Arial"/>
          <w:sz w:val="24"/>
          <w:szCs w:val="24"/>
        </w:rPr>
        <w:t>0</w:t>
      </w:r>
      <w:r w:rsidRPr="00A56D8E">
        <w:rPr>
          <w:rFonts w:ascii="Arial" w:eastAsia="Times New Roman" w:hAnsi="Arial" w:cs="Arial"/>
          <w:sz w:val="24"/>
          <w:szCs w:val="24"/>
        </w:rPr>
        <w:t xml:space="preserve">00,00 </w:t>
      </w:r>
      <w:r>
        <w:rPr>
          <w:rFonts w:ascii="Arial" w:eastAsia="Times New Roman" w:hAnsi="Arial" w:cs="Arial"/>
          <w:sz w:val="24"/>
          <w:szCs w:val="24"/>
        </w:rPr>
        <w:t>eura</w:t>
      </w:r>
      <w:r w:rsidRPr="00A56D8E">
        <w:rPr>
          <w:rFonts w:ascii="Arial" w:eastAsia="Times New Roman" w:hAnsi="Arial" w:cs="Arial"/>
          <w:sz w:val="24"/>
          <w:szCs w:val="24"/>
        </w:rPr>
        <w:t xml:space="preserve"> namijenjena su za zbrinjavanje građevinskog otpada koji sadrži azbest koji je nastao u kućanstvu a koji se predaje i zbrinjava putem reciklažnog dvorišta sukladno propisima.</w:t>
      </w:r>
    </w:p>
    <w:p w14:paraId="6804A0F2" w14:textId="77777777" w:rsidR="00E541EE" w:rsidRPr="00A56D8E" w:rsidRDefault="00E541EE" w:rsidP="00E541EE">
      <w:pPr>
        <w:jc w:val="both"/>
        <w:rPr>
          <w:rFonts w:ascii="Arial" w:eastAsia="Times New Roman" w:hAnsi="Arial" w:cs="Arial"/>
          <w:bCs/>
          <w:sz w:val="24"/>
          <w:szCs w:val="24"/>
        </w:rPr>
      </w:pPr>
      <w:r w:rsidRPr="00A56D8E">
        <w:rPr>
          <w:rFonts w:ascii="Arial" w:eastAsia="Times New Roman" w:hAnsi="Arial" w:cs="Arial"/>
          <w:b/>
          <w:bCs/>
          <w:sz w:val="24"/>
          <w:szCs w:val="24"/>
        </w:rPr>
        <w:t xml:space="preserve">Opći cilj: </w:t>
      </w:r>
      <w:r w:rsidRPr="00A56D8E">
        <w:rPr>
          <w:rFonts w:ascii="Arial" w:eastAsia="Times New Roman" w:hAnsi="Arial" w:cs="Arial"/>
          <w:bCs/>
          <w:sz w:val="24"/>
          <w:szCs w:val="24"/>
        </w:rPr>
        <w:t>spriječiti i smanjiti onečišćenje azbestom kroz poticaje za zamjenu pokrova koji sadrže azbest, ispunjenje zakonske obaveze.</w:t>
      </w:r>
    </w:p>
    <w:p w14:paraId="149F6013" w14:textId="77777777" w:rsidR="00E541EE" w:rsidRDefault="00E541EE" w:rsidP="00E541EE">
      <w:pPr>
        <w:jc w:val="both"/>
        <w:rPr>
          <w:rFonts w:ascii="Arial" w:eastAsia="Times New Roman" w:hAnsi="Arial" w:cs="Arial"/>
          <w:sz w:val="24"/>
          <w:szCs w:val="24"/>
        </w:rPr>
      </w:pPr>
      <w:r w:rsidRPr="00A56D8E">
        <w:rPr>
          <w:rFonts w:ascii="Arial" w:eastAsia="Times New Roman" w:hAnsi="Arial" w:cs="Arial"/>
          <w:b/>
          <w:bCs/>
          <w:sz w:val="24"/>
          <w:szCs w:val="24"/>
        </w:rPr>
        <w:t>Pokazatelj uspješnosti:</w:t>
      </w:r>
      <w:r w:rsidRPr="00A56D8E">
        <w:rPr>
          <w:rFonts w:ascii="Arial" w:eastAsia="Times New Roman" w:hAnsi="Arial" w:cs="Arial"/>
          <w:sz w:val="24"/>
          <w:szCs w:val="24"/>
        </w:rPr>
        <w:t xml:space="preserve"> zamjena pokrova koji sadrže azbest i podmirenje troškova zbrinjavanja građevinskog otpada koji sadrži azbest.</w:t>
      </w:r>
    </w:p>
    <w:p w14:paraId="41356B8E" w14:textId="77777777" w:rsidR="00E541EE" w:rsidRPr="00EE5FB2" w:rsidRDefault="00E541EE" w:rsidP="00E541EE">
      <w:pPr>
        <w:jc w:val="both"/>
        <w:rPr>
          <w:rFonts w:ascii="Arial" w:eastAsia="Times New Roman" w:hAnsi="Arial" w:cs="Arial"/>
          <w:sz w:val="24"/>
          <w:szCs w:val="24"/>
        </w:rPr>
      </w:pPr>
    </w:p>
    <w:p w14:paraId="396BF855" w14:textId="77777777" w:rsidR="00E541EE" w:rsidRPr="00E14891" w:rsidRDefault="00E541EE" w:rsidP="00E541EE">
      <w:pPr>
        <w:pBdr>
          <w:top w:val="single" w:sz="4" w:space="1" w:color="auto"/>
          <w:left w:val="single" w:sz="4" w:space="4" w:color="auto"/>
          <w:bottom w:val="single" w:sz="4" w:space="1" w:color="auto"/>
          <w:right w:val="single" w:sz="4" w:space="4" w:color="auto"/>
        </w:pBdr>
        <w:shd w:val="clear" w:color="auto" w:fill="E9E9E9"/>
        <w:ind w:right="-1"/>
        <w:rPr>
          <w:rFonts w:ascii="Arial" w:eastAsia="Times New Roman" w:hAnsi="Arial" w:cs="Arial"/>
          <w:b/>
          <w:sz w:val="24"/>
          <w:szCs w:val="24"/>
        </w:rPr>
      </w:pPr>
      <w:r w:rsidRPr="00E14891">
        <w:rPr>
          <w:rFonts w:ascii="Arial" w:eastAsia="Times New Roman" w:hAnsi="Arial" w:cs="Arial"/>
          <w:b/>
          <w:sz w:val="24"/>
          <w:szCs w:val="24"/>
        </w:rPr>
        <w:t>A 102306: Zdravstvena njega napuštenih i izgubljenih životinja = 1</w:t>
      </w:r>
      <w:r>
        <w:rPr>
          <w:rFonts w:ascii="Arial" w:eastAsia="Times New Roman" w:hAnsi="Arial" w:cs="Arial"/>
          <w:b/>
          <w:sz w:val="24"/>
          <w:szCs w:val="24"/>
        </w:rPr>
        <w:t>7</w:t>
      </w:r>
      <w:r w:rsidRPr="00E14891">
        <w:rPr>
          <w:rFonts w:ascii="Arial" w:eastAsia="Times New Roman" w:hAnsi="Arial" w:cs="Arial"/>
          <w:b/>
          <w:sz w:val="24"/>
          <w:szCs w:val="24"/>
        </w:rPr>
        <w:t>.</w:t>
      </w:r>
      <w:r>
        <w:rPr>
          <w:rFonts w:ascii="Arial" w:eastAsia="Times New Roman" w:hAnsi="Arial" w:cs="Arial"/>
          <w:b/>
          <w:sz w:val="24"/>
          <w:szCs w:val="24"/>
        </w:rPr>
        <w:t>0</w:t>
      </w:r>
      <w:r w:rsidRPr="00E14891">
        <w:rPr>
          <w:rFonts w:ascii="Arial" w:eastAsia="Times New Roman" w:hAnsi="Arial" w:cs="Arial"/>
          <w:b/>
          <w:sz w:val="24"/>
          <w:szCs w:val="24"/>
        </w:rPr>
        <w:t>00,00 EUR</w:t>
      </w:r>
    </w:p>
    <w:p w14:paraId="7E22B53C" w14:textId="77777777" w:rsidR="00E541EE" w:rsidRPr="00A56D8E" w:rsidRDefault="00E541EE" w:rsidP="00E541EE">
      <w:pPr>
        <w:jc w:val="both"/>
        <w:rPr>
          <w:rFonts w:ascii="Arial" w:eastAsia="Times New Roman" w:hAnsi="Arial" w:cs="Arial"/>
          <w:sz w:val="24"/>
          <w:szCs w:val="24"/>
        </w:rPr>
      </w:pPr>
      <w:r w:rsidRPr="00A56D8E">
        <w:rPr>
          <w:rFonts w:ascii="Arial" w:eastAsia="Times New Roman" w:hAnsi="Arial" w:cs="Arial"/>
          <w:b/>
          <w:sz w:val="24"/>
          <w:szCs w:val="24"/>
        </w:rPr>
        <w:t xml:space="preserve">Zakonska osnova: </w:t>
      </w:r>
      <w:r w:rsidRPr="00A56D8E">
        <w:rPr>
          <w:rFonts w:ascii="Arial" w:eastAsia="Times New Roman" w:hAnsi="Arial" w:cs="Arial"/>
          <w:sz w:val="24"/>
          <w:szCs w:val="24"/>
        </w:rPr>
        <w:t>Zakon o komunalnom gospodarstvu, Zakon o zaštiti životinja, Odluka o komunalnim djelatnostima, Odluka o uvjetima i načinu držanja kućnih ljubimaca i drugih životinja, načinu kontrole njihova razmnožavanja, uvjetima i načinu držanja vezanih pasa i drugih životinja, te načinu postupanja s napuštenim i izgubljenim životinjama.</w:t>
      </w:r>
    </w:p>
    <w:p w14:paraId="148FAF44" w14:textId="77777777" w:rsidR="00E541EE" w:rsidRPr="00A56D8E" w:rsidRDefault="00E541EE" w:rsidP="00E541EE">
      <w:pPr>
        <w:jc w:val="both"/>
        <w:rPr>
          <w:rFonts w:ascii="Arial" w:eastAsia="Times New Roman" w:hAnsi="Arial" w:cs="Arial"/>
          <w:sz w:val="24"/>
          <w:szCs w:val="24"/>
        </w:rPr>
      </w:pPr>
      <w:r w:rsidRPr="00A56D8E">
        <w:rPr>
          <w:rFonts w:ascii="Arial" w:eastAsia="Times New Roman" w:hAnsi="Arial" w:cs="Arial"/>
          <w:b/>
          <w:sz w:val="24"/>
          <w:szCs w:val="24"/>
        </w:rPr>
        <w:t xml:space="preserve">Opis: </w:t>
      </w:r>
      <w:r w:rsidRPr="00A56D8E">
        <w:rPr>
          <w:rFonts w:ascii="Arial" w:eastAsia="Times New Roman" w:hAnsi="Arial" w:cs="Arial"/>
          <w:sz w:val="24"/>
          <w:szCs w:val="24"/>
        </w:rPr>
        <w:t xml:space="preserve">osigurati veterinarske usluge za životinje koje se zbrinjavaju te sterilizaciju </w:t>
      </w:r>
      <w:r>
        <w:rPr>
          <w:rFonts w:ascii="Arial" w:eastAsia="Times New Roman" w:hAnsi="Arial" w:cs="Arial"/>
          <w:sz w:val="24"/>
          <w:szCs w:val="24"/>
        </w:rPr>
        <w:t xml:space="preserve">slobodno živućih </w:t>
      </w:r>
      <w:r w:rsidRPr="00A56D8E">
        <w:rPr>
          <w:rFonts w:ascii="Arial" w:eastAsia="Times New Roman" w:hAnsi="Arial" w:cs="Arial"/>
          <w:sz w:val="24"/>
          <w:szCs w:val="24"/>
        </w:rPr>
        <w:t>mačaka. Osigurati pružanje minimalne zdravstvene pomoći za divlje životinje koje su zatečene na javnim površinama.</w:t>
      </w:r>
    </w:p>
    <w:p w14:paraId="67438FE7" w14:textId="77777777" w:rsidR="00E541EE" w:rsidRPr="00A56D8E" w:rsidRDefault="00E541EE" w:rsidP="00E541EE">
      <w:pPr>
        <w:jc w:val="both"/>
        <w:rPr>
          <w:rFonts w:ascii="Arial" w:eastAsia="Times New Roman" w:hAnsi="Arial" w:cs="Arial"/>
          <w:b/>
          <w:bCs/>
          <w:sz w:val="24"/>
          <w:szCs w:val="24"/>
        </w:rPr>
      </w:pPr>
      <w:r w:rsidRPr="00A56D8E">
        <w:rPr>
          <w:rFonts w:ascii="Arial" w:eastAsia="Times New Roman" w:hAnsi="Arial" w:cs="Arial"/>
          <w:b/>
          <w:bCs/>
          <w:sz w:val="24"/>
          <w:szCs w:val="24"/>
        </w:rPr>
        <w:t xml:space="preserve">Opći cilj: </w:t>
      </w:r>
      <w:r w:rsidRPr="00A56D8E">
        <w:rPr>
          <w:rFonts w:ascii="Arial" w:eastAsia="Times New Roman" w:hAnsi="Arial" w:cs="Arial"/>
          <w:bCs/>
          <w:sz w:val="24"/>
          <w:szCs w:val="24"/>
        </w:rPr>
        <w:t>osiguranje zdravstvene njege životinja sukladno zakonu, smanjenje populacije slobodno živućih mačaka.</w:t>
      </w:r>
    </w:p>
    <w:p w14:paraId="25F486B5" w14:textId="77777777" w:rsidR="00E541EE" w:rsidRPr="00A56D8E" w:rsidRDefault="00E541EE" w:rsidP="00E541EE">
      <w:pPr>
        <w:jc w:val="both"/>
        <w:rPr>
          <w:rFonts w:ascii="Arial" w:eastAsia="Times New Roman" w:hAnsi="Arial" w:cs="Arial"/>
          <w:sz w:val="24"/>
          <w:szCs w:val="24"/>
        </w:rPr>
      </w:pPr>
      <w:r w:rsidRPr="00A56D8E">
        <w:rPr>
          <w:rFonts w:ascii="Arial" w:eastAsia="Times New Roman" w:hAnsi="Arial" w:cs="Arial"/>
          <w:b/>
          <w:bCs/>
          <w:sz w:val="24"/>
          <w:szCs w:val="24"/>
        </w:rPr>
        <w:t>Pokazatelj uspješnosti:</w:t>
      </w:r>
      <w:r w:rsidRPr="00A56D8E">
        <w:rPr>
          <w:rFonts w:ascii="Arial" w:eastAsia="Times New Roman" w:hAnsi="Arial" w:cs="Arial"/>
          <w:sz w:val="24"/>
          <w:szCs w:val="24"/>
        </w:rPr>
        <w:t xml:space="preserve"> osiguranje zdravstvene zaštite te sterilizacija slobodno živućih mačaka (najmanje </w:t>
      </w:r>
      <w:r>
        <w:rPr>
          <w:rFonts w:ascii="Arial" w:eastAsia="Times New Roman" w:hAnsi="Arial" w:cs="Arial"/>
          <w:sz w:val="24"/>
          <w:szCs w:val="24"/>
        </w:rPr>
        <w:t>250</w:t>
      </w:r>
      <w:r w:rsidRPr="00A56D8E">
        <w:rPr>
          <w:rFonts w:ascii="Arial" w:eastAsia="Times New Roman" w:hAnsi="Arial" w:cs="Arial"/>
          <w:sz w:val="24"/>
          <w:szCs w:val="24"/>
        </w:rPr>
        <w:t>).</w:t>
      </w:r>
    </w:p>
    <w:p w14:paraId="30E095E9" w14:textId="77777777" w:rsidR="00E541EE" w:rsidRPr="00447D66" w:rsidRDefault="00E541EE" w:rsidP="00E541EE">
      <w:pPr>
        <w:jc w:val="both"/>
        <w:rPr>
          <w:rFonts w:ascii="Arial" w:eastAsia="Times New Roman" w:hAnsi="Arial" w:cs="Arial"/>
          <w:color w:val="AEAAAA" w:themeColor="background2" w:themeShade="BF"/>
          <w:sz w:val="24"/>
          <w:szCs w:val="24"/>
        </w:rPr>
      </w:pPr>
    </w:p>
    <w:p w14:paraId="32E3E26A" w14:textId="77777777" w:rsidR="00E541EE" w:rsidRPr="00A56D8E" w:rsidRDefault="00E541EE" w:rsidP="00E541EE">
      <w:pPr>
        <w:pBdr>
          <w:top w:val="single" w:sz="4" w:space="1" w:color="auto"/>
          <w:left w:val="single" w:sz="4" w:space="4" w:color="auto"/>
          <w:bottom w:val="single" w:sz="4" w:space="1" w:color="auto"/>
          <w:right w:val="single" w:sz="4" w:space="4" w:color="auto"/>
        </w:pBdr>
        <w:shd w:val="clear" w:color="auto" w:fill="E9E9E9"/>
        <w:ind w:right="-1"/>
        <w:rPr>
          <w:rFonts w:ascii="Arial" w:eastAsia="Times New Roman" w:hAnsi="Arial" w:cs="Arial"/>
          <w:b/>
          <w:sz w:val="24"/>
          <w:szCs w:val="24"/>
        </w:rPr>
      </w:pPr>
      <w:r w:rsidRPr="00A56D8E">
        <w:rPr>
          <w:rFonts w:ascii="Arial" w:eastAsia="Times New Roman" w:hAnsi="Arial" w:cs="Arial"/>
          <w:b/>
          <w:sz w:val="24"/>
          <w:szCs w:val="24"/>
        </w:rPr>
        <w:t xml:space="preserve">A 102307: Kontrola i suzbijanje galebova klaukavaca = </w:t>
      </w:r>
      <w:r>
        <w:rPr>
          <w:rFonts w:ascii="Arial" w:eastAsia="Times New Roman" w:hAnsi="Arial" w:cs="Arial"/>
          <w:b/>
          <w:sz w:val="24"/>
          <w:szCs w:val="24"/>
        </w:rPr>
        <w:t>7</w:t>
      </w:r>
      <w:r w:rsidRPr="00A56D8E">
        <w:rPr>
          <w:rFonts w:ascii="Arial" w:eastAsia="Times New Roman" w:hAnsi="Arial" w:cs="Arial"/>
          <w:b/>
          <w:sz w:val="24"/>
          <w:szCs w:val="24"/>
        </w:rPr>
        <w:t>.</w:t>
      </w:r>
      <w:r>
        <w:rPr>
          <w:rFonts w:ascii="Arial" w:eastAsia="Times New Roman" w:hAnsi="Arial" w:cs="Arial"/>
          <w:b/>
          <w:sz w:val="24"/>
          <w:szCs w:val="24"/>
        </w:rPr>
        <w:t>2</w:t>
      </w:r>
      <w:r w:rsidRPr="00A56D8E">
        <w:rPr>
          <w:rFonts w:ascii="Arial" w:eastAsia="Times New Roman" w:hAnsi="Arial" w:cs="Arial"/>
          <w:b/>
          <w:sz w:val="24"/>
          <w:szCs w:val="24"/>
        </w:rPr>
        <w:t>30,00 EUR</w:t>
      </w:r>
    </w:p>
    <w:p w14:paraId="6B71BD05" w14:textId="77777777" w:rsidR="00E541EE" w:rsidRPr="00A56D8E" w:rsidRDefault="00E541EE" w:rsidP="00E541EE">
      <w:pPr>
        <w:jc w:val="both"/>
        <w:rPr>
          <w:rFonts w:ascii="Arial" w:eastAsia="Times New Roman" w:hAnsi="Arial" w:cs="Arial"/>
          <w:b/>
          <w:sz w:val="24"/>
          <w:szCs w:val="24"/>
        </w:rPr>
      </w:pPr>
      <w:r w:rsidRPr="00A56D8E">
        <w:rPr>
          <w:rFonts w:ascii="Arial" w:eastAsia="Times New Roman" w:hAnsi="Arial" w:cs="Arial"/>
          <w:b/>
          <w:sz w:val="24"/>
          <w:szCs w:val="24"/>
        </w:rPr>
        <w:t xml:space="preserve">Zakonska osnova: </w:t>
      </w:r>
      <w:r w:rsidRPr="00A56D8E">
        <w:rPr>
          <w:rFonts w:ascii="Arial" w:eastAsia="Times New Roman" w:hAnsi="Arial" w:cs="Arial"/>
          <w:sz w:val="24"/>
          <w:szCs w:val="24"/>
        </w:rPr>
        <w:t>Zakon o zaštiti prirode.</w:t>
      </w:r>
    </w:p>
    <w:p w14:paraId="056D51B8" w14:textId="77777777" w:rsidR="00E541EE" w:rsidRPr="00A56D8E" w:rsidRDefault="00E541EE" w:rsidP="00E541EE">
      <w:pPr>
        <w:jc w:val="both"/>
        <w:rPr>
          <w:rFonts w:ascii="Arial" w:eastAsia="Times New Roman" w:hAnsi="Arial" w:cs="Arial"/>
          <w:sz w:val="24"/>
          <w:szCs w:val="24"/>
        </w:rPr>
      </w:pPr>
      <w:r w:rsidRPr="00A56D8E">
        <w:rPr>
          <w:rFonts w:ascii="Arial" w:eastAsia="Times New Roman" w:hAnsi="Arial" w:cs="Arial"/>
          <w:b/>
          <w:sz w:val="24"/>
          <w:szCs w:val="24"/>
        </w:rPr>
        <w:t xml:space="preserve">Opis: </w:t>
      </w:r>
      <w:r w:rsidRPr="00A56D8E">
        <w:rPr>
          <w:rFonts w:ascii="Arial" w:eastAsia="Times New Roman" w:hAnsi="Arial" w:cs="Arial"/>
          <w:sz w:val="24"/>
          <w:szCs w:val="24"/>
        </w:rPr>
        <w:t>sudjelovanje u projektu „Kontrola i suzbijanje populacije galebova klaukavaca i procjenu rizika prekomjerne populacije za zdravlje ljudi“ (nabava lažnih</w:t>
      </w:r>
      <w:r>
        <w:rPr>
          <w:rFonts w:ascii="Arial" w:eastAsia="Times New Roman" w:hAnsi="Arial" w:cs="Arial"/>
          <w:sz w:val="24"/>
          <w:szCs w:val="24"/>
        </w:rPr>
        <w:t xml:space="preserve"> </w:t>
      </w:r>
      <w:r w:rsidRPr="00A56D8E">
        <w:rPr>
          <w:rFonts w:ascii="Arial" w:eastAsia="Times New Roman" w:hAnsi="Arial" w:cs="Arial"/>
          <w:sz w:val="24"/>
          <w:szCs w:val="24"/>
        </w:rPr>
        <w:t>jaja, evidentiranje gnijezda, analize, informiranje i radionice).</w:t>
      </w:r>
    </w:p>
    <w:p w14:paraId="4DE4BEB5" w14:textId="77777777" w:rsidR="00E541EE" w:rsidRPr="00A56D8E" w:rsidRDefault="00E541EE" w:rsidP="00E541EE">
      <w:pPr>
        <w:jc w:val="both"/>
        <w:rPr>
          <w:rFonts w:ascii="Arial" w:eastAsia="Times New Roman" w:hAnsi="Arial" w:cs="Arial"/>
          <w:sz w:val="24"/>
          <w:szCs w:val="24"/>
        </w:rPr>
      </w:pPr>
      <w:r w:rsidRPr="00A56D8E">
        <w:rPr>
          <w:rFonts w:ascii="Arial" w:eastAsia="Times New Roman" w:hAnsi="Arial" w:cs="Arial"/>
          <w:b/>
          <w:bCs/>
          <w:sz w:val="24"/>
          <w:szCs w:val="24"/>
        </w:rPr>
        <w:t xml:space="preserve">Opći cilj: </w:t>
      </w:r>
      <w:r w:rsidRPr="00A56D8E">
        <w:rPr>
          <w:rFonts w:ascii="Arial" w:eastAsia="Times New Roman" w:hAnsi="Arial" w:cs="Arial"/>
          <w:sz w:val="24"/>
          <w:szCs w:val="24"/>
        </w:rPr>
        <w:t>smanjenje populacije galeba klaukavaca.</w:t>
      </w:r>
    </w:p>
    <w:p w14:paraId="5B750ECD" w14:textId="77777777" w:rsidR="00E541EE" w:rsidRPr="00A56D8E" w:rsidRDefault="00E541EE" w:rsidP="00E541EE">
      <w:pPr>
        <w:jc w:val="both"/>
        <w:rPr>
          <w:rFonts w:ascii="Arial" w:eastAsia="Times New Roman" w:hAnsi="Arial" w:cs="Arial"/>
          <w:sz w:val="24"/>
          <w:szCs w:val="24"/>
        </w:rPr>
      </w:pPr>
      <w:r w:rsidRPr="00A56D8E">
        <w:rPr>
          <w:rFonts w:ascii="Arial" w:eastAsia="Times New Roman" w:hAnsi="Arial" w:cs="Arial"/>
          <w:b/>
          <w:bCs/>
          <w:sz w:val="24"/>
          <w:szCs w:val="24"/>
        </w:rPr>
        <w:t>Pokazatelj uspješnosti:</w:t>
      </w:r>
      <w:r w:rsidRPr="00A56D8E">
        <w:rPr>
          <w:rFonts w:ascii="Arial" w:eastAsia="Times New Roman" w:hAnsi="Arial" w:cs="Arial"/>
          <w:sz w:val="24"/>
          <w:szCs w:val="24"/>
        </w:rPr>
        <w:t xml:space="preserve"> zamjena do 1000 jaja godišnje, informiranje javnosti</w:t>
      </w:r>
      <w:r>
        <w:rPr>
          <w:rFonts w:ascii="Arial" w:eastAsia="Times New Roman" w:hAnsi="Arial" w:cs="Arial"/>
          <w:sz w:val="24"/>
          <w:szCs w:val="24"/>
        </w:rPr>
        <w:t>, radionica za mlade.</w:t>
      </w:r>
    </w:p>
    <w:p w14:paraId="34C5C1A3" w14:textId="77777777" w:rsidR="00E541EE" w:rsidRPr="00447D66" w:rsidRDefault="00E541EE" w:rsidP="00E541EE">
      <w:pPr>
        <w:jc w:val="both"/>
        <w:rPr>
          <w:rFonts w:ascii="Arial" w:eastAsia="Times New Roman" w:hAnsi="Arial" w:cs="Arial"/>
          <w:color w:val="AEAAAA" w:themeColor="background2" w:themeShade="BF"/>
          <w:sz w:val="24"/>
          <w:szCs w:val="24"/>
          <w:highlight w:val="lightGray"/>
        </w:rPr>
      </w:pPr>
    </w:p>
    <w:p w14:paraId="21A26B06" w14:textId="77777777" w:rsidR="00E541EE" w:rsidRPr="00A56D8E" w:rsidRDefault="00E541EE" w:rsidP="00E541EE">
      <w:pPr>
        <w:pBdr>
          <w:top w:val="single" w:sz="4" w:space="1" w:color="auto"/>
          <w:left w:val="single" w:sz="4" w:space="4" w:color="auto"/>
          <w:bottom w:val="single" w:sz="4" w:space="1" w:color="auto"/>
          <w:right w:val="single" w:sz="4" w:space="4" w:color="auto"/>
        </w:pBdr>
        <w:shd w:val="clear" w:color="auto" w:fill="E9E9E9"/>
        <w:ind w:right="-1"/>
        <w:rPr>
          <w:rFonts w:ascii="Arial" w:eastAsia="Times New Roman" w:hAnsi="Arial" w:cs="Arial"/>
          <w:b/>
          <w:sz w:val="24"/>
          <w:szCs w:val="24"/>
        </w:rPr>
      </w:pPr>
      <w:r w:rsidRPr="00A56D8E">
        <w:rPr>
          <w:rFonts w:ascii="Arial" w:eastAsia="Times New Roman" w:hAnsi="Arial" w:cs="Arial"/>
          <w:b/>
          <w:sz w:val="24"/>
          <w:szCs w:val="24"/>
        </w:rPr>
        <w:t>A 102308: Mjere zaštite stanovništva od zaraznih bolesti - preventivne dezinfekcije,</w:t>
      </w:r>
      <w:r>
        <w:rPr>
          <w:rFonts w:ascii="Arial" w:eastAsia="Times New Roman" w:hAnsi="Arial" w:cs="Arial"/>
          <w:b/>
          <w:sz w:val="24"/>
          <w:szCs w:val="24"/>
        </w:rPr>
        <w:t xml:space="preserve"> dezinsekcije i deratizacije = 16</w:t>
      </w:r>
      <w:r w:rsidRPr="00A56D8E">
        <w:rPr>
          <w:rFonts w:ascii="Arial" w:eastAsia="Times New Roman" w:hAnsi="Arial" w:cs="Arial"/>
          <w:b/>
          <w:sz w:val="24"/>
          <w:szCs w:val="24"/>
        </w:rPr>
        <w:t>.</w:t>
      </w:r>
      <w:r>
        <w:rPr>
          <w:rFonts w:ascii="Arial" w:eastAsia="Times New Roman" w:hAnsi="Arial" w:cs="Arial"/>
          <w:b/>
          <w:sz w:val="24"/>
          <w:szCs w:val="24"/>
        </w:rPr>
        <w:t>00</w:t>
      </w:r>
      <w:r w:rsidRPr="00A56D8E">
        <w:rPr>
          <w:rFonts w:ascii="Arial" w:eastAsia="Times New Roman" w:hAnsi="Arial" w:cs="Arial"/>
          <w:b/>
          <w:sz w:val="24"/>
          <w:szCs w:val="24"/>
        </w:rPr>
        <w:t>0,00 EUR</w:t>
      </w:r>
    </w:p>
    <w:p w14:paraId="6EF092BA" w14:textId="77777777" w:rsidR="00E541EE" w:rsidRPr="00A56D8E" w:rsidRDefault="00E541EE" w:rsidP="00E541EE">
      <w:pPr>
        <w:jc w:val="both"/>
        <w:rPr>
          <w:rFonts w:ascii="Arial" w:eastAsia="Times New Roman" w:hAnsi="Arial" w:cs="Arial"/>
          <w:b/>
          <w:sz w:val="24"/>
          <w:szCs w:val="24"/>
        </w:rPr>
      </w:pPr>
      <w:r w:rsidRPr="00A56D8E">
        <w:rPr>
          <w:rFonts w:ascii="Arial" w:eastAsia="Times New Roman" w:hAnsi="Arial" w:cs="Arial"/>
          <w:b/>
          <w:sz w:val="24"/>
          <w:szCs w:val="24"/>
        </w:rPr>
        <w:t>Zakonska osnova:</w:t>
      </w:r>
      <w:r w:rsidRPr="00A56D8E">
        <w:rPr>
          <w:rFonts w:ascii="Arial" w:eastAsia="Times New Roman" w:hAnsi="Arial" w:cs="Arial"/>
          <w:sz w:val="24"/>
          <w:szCs w:val="24"/>
        </w:rPr>
        <w:t xml:space="preserve"> Zakon o zaštiti pučanstva od zaraznih bolesti.</w:t>
      </w:r>
    </w:p>
    <w:p w14:paraId="1E39E9B3" w14:textId="77777777" w:rsidR="00E541EE" w:rsidRPr="00A56D8E" w:rsidRDefault="00E541EE" w:rsidP="00E541EE">
      <w:pPr>
        <w:jc w:val="both"/>
        <w:rPr>
          <w:rFonts w:ascii="Arial" w:eastAsia="Times New Roman" w:hAnsi="Arial" w:cs="Arial"/>
          <w:sz w:val="24"/>
          <w:szCs w:val="24"/>
        </w:rPr>
      </w:pPr>
      <w:r w:rsidRPr="00A56D8E">
        <w:rPr>
          <w:rFonts w:ascii="Arial" w:eastAsia="Times New Roman" w:hAnsi="Arial" w:cs="Arial"/>
          <w:b/>
          <w:sz w:val="24"/>
          <w:szCs w:val="24"/>
        </w:rPr>
        <w:t xml:space="preserve">Opis: </w:t>
      </w:r>
      <w:r w:rsidRPr="00A56D8E">
        <w:rPr>
          <w:rFonts w:ascii="Arial" w:eastAsia="Times New Roman" w:hAnsi="Arial" w:cs="Arial"/>
          <w:sz w:val="24"/>
          <w:szCs w:val="24"/>
        </w:rPr>
        <w:t>provođenje mjera zaštite pučanstva od zaraznih bolesti odnosno provedbe obvezatne preventivne dezinfekcije, dezinsekcije i deratizacije na području Grada.</w:t>
      </w:r>
      <w:r>
        <w:rPr>
          <w:rFonts w:ascii="Arial" w:eastAsia="Times New Roman" w:hAnsi="Arial" w:cs="Arial"/>
          <w:sz w:val="24"/>
          <w:szCs w:val="24"/>
        </w:rPr>
        <w:t xml:space="preserve"> Nadzor na pruženim uslugama te vođenje baze podataka legla komaraca i provedba edukacije građana radi uspješnijeg suzbijanja komaraca.</w:t>
      </w:r>
    </w:p>
    <w:p w14:paraId="2EC742E2" w14:textId="77777777" w:rsidR="00E541EE" w:rsidRPr="00A56D8E" w:rsidRDefault="00E541EE" w:rsidP="00E541EE">
      <w:pPr>
        <w:jc w:val="both"/>
        <w:rPr>
          <w:rFonts w:ascii="Arial" w:eastAsia="Times New Roman" w:hAnsi="Arial" w:cs="Arial"/>
          <w:bCs/>
          <w:sz w:val="24"/>
          <w:szCs w:val="24"/>
        </w:rPr>
      </w:pPr>
      <w:r w:rsidRPr="00A56D8E">
        <w:rPr>
          <w:rFonts w:ascii="Arial" w:eastAsia="Times New Roman" w:hAnsi="Arial" w:cs="Arial"/>
          <w:b/>
          <w:bCs/>
          <w:sz w:val="24"/>
          <w:szCs w:val="24"/>
        </w:rPr>
        <w:t xml:space="preserve">Opći cilj: </w:t>
      </w:r>
      <w:r w:rsidRPr="00A56D8E">
        <w:rPr>
          <w:rFonts w:ascii="Arial" w:eastAsia="Times New Roman" w:hAnsi="Arial" w:cs="Arial"/>
          <w:bCs/>
          <w:sz w:val="24"/>
          <w:szCs w:val="24"/>
        </w:rPr>
        <w:t>preventivna zaštita pučanstva od zaraznih bolesti provedbom mjera DDD.</w:t>
      </w:r>
    </w:p>
    <w:p w14:paraId="2D5D9D30" w14:textId="77777777" w:rsidR="00E541EE" w:rsidRDefault="00E541EE" w:rsidP="00E541EE">
      <w:pPr>
        <w:jc w:val="both"/>
        <w:rPr>
          <w:rFonts w:ascii="Arial" w:eastAsia="Times New Roman" w:hAnsi="Arial" w:cs="Arial"/>
          <w:sz w:val="24"/>
          <w:szCs w:val="24"/>
        </w:rPr>
      </w:pPr>
      <w:r w:rsidRPr="00A56D8E">
        <w:rPr>
          <w:rFonts w:ascii="Arial" w:eastAsia="Times New Roman" w:hAnsi="Arial" w:cs="Arial"/>
          <w:b/>
          <w:bCs/>
          <w:sz w:val="24"/>
          <w:szCs w:val="24"/>
        </w:rPr>
        <w:t>Pokazatelj uspješnosti:</w:t>
      </w:r>
      <w:r w:rsidRPr="00A56D8E">
        <w:rPr>
          <w:rFonts w:ascii="Arial" w:eastAsia="Times New Roman" w:hAnsi="Arial" w:cs="Arial"/>
          <w:sz w:val="24"/>
          <w:szCs w:val="24"/>
        </w:rPr>
        <w:t xml:space="preserve"> izvršenje preventivnih akcija prema operativnom planu i izlazak službe za epidemiologiju po svim zaprimljenim pozivima građana i naloga službi.</w:t>
      </w:r>
      <w:r>
        <w:rPr>
          <w:rFonts w:ascii="Arial" w:eastAsia="Times New Roman" w:hAnsi="Arial" w:cs="Arial"/>
          <w:sz w:val="24"/>
          <w:szCs w:val="24"/>
        </w:rPr>
        <w:t xml:space="preserve"> Vršenje nadzora nad svim uslugama te isporuka baze podataka legla komaraca i edukacija građana.</w:t>
      </w:r>
    </w:p>
    <w:p w14:paraId="7B64000B" w14:textId="77777777" w:rsidR="00E541EE" w:rsidRDefault="00E541EE" w:rsidP="00E541EE">
      <w:pPr>
        <w:jc w:val="both"/>
        <w:rPr>
          <w:rFonts w:ascii="Arial" w:eastAsia="Times New Roman" w:hAnsi="Arial" w:cs="Arial"/>
          <w:sz w:val="24"/>
          <w:szCs w:val="24"/>
        </w:rPr>
      </w:pPr>
    </w:p>
    <w:p w14:paraId="36585616" w14:textId="308D7516" w:rsidR="00E541EE" w:rsidRPr="00954AD2" w:rsidRDefault="00E541EE" w:rsidP="00E541EE">
      <w:pPr>
        <w:pBdr>
          <w:top w:val="single" w:sz="4" w:space="1" w:color="auto"/>
          <w:left w:val="single" w:sz="4" w:space="4" w:color="auto"/>
          <w:bottom w:val="single" w:sz="4" w:space="0" w:color="auto"/>
          <w:right w:val="single" w:sz="4" w:space="4" w:color="auto"/>
        </w:pBdr>
        <w:shd w:val="clear" w:color="auto" w:fill="FFFF80"/>
        <w:jc w:val="both"/>
        <w:rPr>
          <w:rFonts w:ascii="Arial" w:eastAsia="Times New Roman" w:hAnsi="Arial" w:cs="Arial"/>
          <w:b/>
          <w:sz w:val="24"/>
          <w:szCs w:val="24"/>
        </w:rPr>
      </w:pPr>
      <w:r w:rsidRPr="00954AD2">
        <w:rPr>
          <w:rFonts w:ascii="Arial" w:eastAsia="Times New Roman" w:hAnsi="Arial" w:cs="Arial"/>
          <w:b/>
          <w:sz w:val="24"/>
          <w:szCs w:val="24"/>
        </w:rPr>
        <w:t xml:space="preserve">Program 1024: Komunalna oprema = </w:t>
      </w:r>
      <w:r w:rsidR="008E3EC5">
        <w:rPr>
          <w:rFonts w:ascii="Arial" w:eastAsia="Times New Roman" w:hAnsi="Arial" w:cs="Arial"/>
          <w:b/>
          <w:sz w:val="24"/>
          <w:szCs w:val="24"/>
        </w:rPr>
        <w:t>874.750</w:t>
      </w:r>
      <w:r w:rsidRPr="00954AD2">
        <w:rPr>
          <w:rFonts w:ascii="Arial" w:eastAsia="Times New Roman" w:hAnsi="Arial" w:cs="Arial"/>
          <w:b/>
          <w:sz w:val="24"/>
          <w:szCs w:val="24"/>
        </w:rPr>
        <w:t>,00 EUR</w:t>
      </w:r>
    </w:p>
    <w:p w14:paraId="75EB621B" w14:textId="77777777" w:rsidR="00E541EE" w:rsidRDefault="00E541EE" w:rsidP="00E541EE">
      <w:pPr>
        <w:jc w:val="both"/>
        <w:rPr>
          <w:rFonts w:ascii="Arial" w:eastAsia="Times New Roman" w:hAnsi="Arial" w:cs="Arial"/>
          <w:color w:val="AEAAAA" w:themeColor="background2" w:themeShade="BF"/>
          <w:sz w:val="24"/>
          <w:szCs w:val="24"/>
          <w:highlight w:val="lightGray"/>
        </w:rPr>
      </w:pPr>
    </w:p>
    <w:p w14:paraId="621F9706" w14:textId="7B1C3010" w:rsidR="00E541EE" w:rsidRPr="005F42A3" w:rsidRDefault="00E541EE" w:rsidP="00E541EE">
      <w:pPr>
        <w:pBdr>
          <w:top w:val="single" w:sz="4" w:space="1" w:color="auto"/>
          <w:left w:val="single" w:sz="4" w:space="4" w:color="auto"/>
          <w:bottom w:val="single" w:sz="4" w:space="1" w:color="auto"/>
          <w:right w:val="single" w:sz="4" w:space="4" w:color="auto"/>
        </w:pBdr>
        <w:shd w:val="clear" w:color="auto" w:fill="E9E9E9"/>
        <w:ind w:right="-1"/>
        <w:rPr>
          <w:rFonts w:ascii="Arial" w:eastAsia="Times New Roman" w:hAnsi="Arial" w:cs="Arial"/>
          <w:b/>
          <w:sz w:val="24"/>
          <w:szCs w:val="24"/>
        </w:rPr>
      </w:pPr>
      <w:r w:rsidRPr="005F42A3">
        <w:rPr>
          <w:rFonts w:ascii="Arial" w:eastAsia="Times New Roman" w:hAnsi="Arial" w:cs="Arial"/>
          <w:b/>
          <w:sz w:val="24"/>
          <w:szCs w:val="24"/>
        </w:rPr>
        <w:t xml:space="preserve">K102401: Nabava opreme video-nadzora za dječja igrališta = </w:t>
      </w:r>
      <w:r w:rsidR="008E3EC5">
        <w:rPr>
          <w:rFonts w:ascii="Arial" w:eastAsia="Times New Roman" w:hAnsi="Arial" w:cs="Arial"/>
          <w:b/>
          <w:sz w:val="24"/>
          <w:szCs w:val="24"/>
        </w:rPr>
        <w:t>3</w:t>
      </w:r>
      <w:r w:rsidRPr="005F42A3">
        <w:rPr>
          <w:rFonts w:ascii="Arial" w:eastAsia="Times New Roman" w:hAnsi="Arial" w:cs="Arial"/>
          <w:b/>
          <w:sz w:val="24"/>
          <w:szCs w:val="24"/>
        </w:rPr>
        <w:t>.</w:t>
      </w:r>
      <w:r>
        <w:rPr>
          <w:rFonts w:ascii="Arial" w:eastAsia="Times New Roman" w:hAnsi="Arial" w:cs="Arial"/>
          <w:b/>
          <w:sz w:val="24"/>
          <w:szCs w:val="24"/>
        </w:rPr>
        <w:t>2</w:t>
      </w:r>
      <w:r w:rsidRPr="005F42A3">
        <w:rPr>
          <w:rFonts w:ascii="Arial" w:eastAsia="Times New Roman" w:hAnsi="Arial" w:cs="Arial"/>
          <w:b/>
          <w:sz w:val="24"/>
          <w:szCs w:val="24"/>
        </w:rPr>
        <w:t>50,00 EUR</w:t>
      </w:r>
    </w:p>
    <w:p w14:paraId="70F1ACB3" w14:textId="77777777" w:rsidR="00E541EE" w:rsidRPr="005F42A3" w:rsidRDefault="00E541EE" w:rsidP="00E541EE">
      <w:pPr>
        <w:jc w:val="both"/>
        <w:rPr>
          <w:rFonts w:ascii="Arial" w:eastAsia="Times New Roman" w:hAnsi="Arial" w:cs="Arial"/>
          <w:sz w:val="24"/>
          <w:szCs w:val="24"/>
        </w:rPr>
      </w:pPr>
      <w:r w:rsidRPr="005F42A3">
        <w:rPr>
          <w:rFonts w:ascii="Arial" w:eastAsia="Times New Roman" w:hAnsi="Arial" w:cs="Arial"/>
          <w:b/>
          <w:sz w:val="24"/>
          <w:szCs w:val="24"/>
        </w:rPr>
        <w:t xml:space="preserve">Zakonska osnova: </w:t>
      </w:r>
      <w:r w:rsidRPr="005F42A3">
        <w:rPr>
          <w:rFonts w:ascii="Arial" w:eastAsia="Times New Roman" w:hAnsi="Arial" w:cs="Arial"/>
          <w:sz w:val="24"/>
          <w:szCs w:val="24"/>
        </w:rPr>
        <w:t>Zakon o provedbi Opće uredbe o zaštiti podataka, Odluka o komunalnom redu.</w:t>
      </w:r>
    </w:p>
    <w:p w14:paraId="027B41F9" w14:textId="77777777" w:rsidR="00E541EE" w:rsidRPr="00A4377A" w:rsidRDefault="00E541EE" w:rsidP="00E541EE">
      <w:pPr>
        <w:jc w:val="both"/>
        <w:rPr>
          <w:rFonts w:ascii="Arial" w:eastAsia="Times New Roman" w:hAnsi="Arial" w:cs="Arial"/>
          <w:bCs/>
          <w:sz w:val="24"/>
          <w:szCs w:val="24"/>
          <w:lang w:val="it-IT"/>
        </w:rPr>
      </w:pPr>
      <w:r w:rsidRPr="005F42A3">
        <w:rPr>
          <w:rFonts w:ascii="Arial" w:eastAsia="Times New Roman" w:hAnsi="Arial" w:cs="Arial"/>
          <w:b/>
          <w:sz w:val="24"/>
          <w:szCs w:val="24"/>
        </w:rPr>
        <w:t xml:space="preserve">Opis: </w:t>
      </w:r>
      <w:r w:rsidRPr="005F42A3">
        <w:rPr>
          <w:rFonts w:ascii="Arial" w:eastAsia="Times New Roman" w:hAnsi="Arial" w:cs="Arial"/>
          <w:bCs/>
          <w:sz w:val="24"/>
          <w:szCs w:val="24"/>
        </w:rPr>
        <w:t>uspostavljanje sustava za zaštitu objekata na DI video nadzorom.</w:t>
      </w:r>
      <w:r w:rsidRPr="005F42A3">
        <w:rPr>
          <w:rFonts w:ascii="Arial" w:eastAsia="Times New Roman" w:hAnsi="Arial" w:cs="Arial"/>
          <w:bCs/>
          <w:sz w:val="24"/>
          <w:szCs w:val="24"/>
          <w:lang w:val="it-IT"/>
        </w:rPr>
        <w:t xml:space="preserve"> </w:t>
      </w:r>
      <w:r w:rsidRPr="003F3ACF">
        <w:rPr>
          <w:rFonts w:ascii="Arial" w:eastAsia="Times New Roman" w:hAnsi="Arial" w:cs="Arial"/>
          <w:bCs/>
          <w:sz w:val="24"/>
          <w:szCs w:val="24"/>
          <w:lang w:val="it-IT"/>
        </w:rPr>
        <w:t>U 202</w:t>
      </w:r>
      <w:r>
        <w:rPr>
          <w:rFonts w:ascii="Arial" w:eastAsia="Times New Roman" w:hAnsi="Arial" w:cs="Arial"/>
          <w:bCs/>
          <w:sz w:val="24"/>
          <w:szCs w:val="24"/>
          <w:lang w:val="it-IT"/>
        </w:rPr>
        <w:t>6</w:t>
      </w:r>
      <w:r w:rsidRPr="003F3ACF">
        <w:rPr>
          <w:rFonts w:ascii="Arial" w:eastAsia="Times New Roman" w:hAnsi="Arial" w:cs="Arial"/>
          <w:bCs/>
          <w:sz w:val="24"/>
          <w:szCs w:val="24"/>
          <w:lang w:val="it-IT"/>
        </w:rPr>
        <w:t xml:space="preserve">. godini videonadzor </w:t>
      </w:r>
      <w:r w:rsidRPr="00A4377A">
        <w:rPr>
          <w:rFonts w:ascii="Arial" w:eastAsia="Times New Roman" w:hAnsi="Arial" w:cs="Arial"/>
          <w:bCs/>
          <w:sz w:val="24"/>
          <w:szCs w:val="24"/>
          <w:lang w:val="it-IT"/>
        </w:rPr>
        <w:t xml:space="preserve">bi postavili na </w:t>
      </w:r>
      <w:r>
        <w:rPr>
          <w:rFonts w:ascii="Arial" w:eastAsia="Times New Roman" w:hAnsi="Arial" w:cs="Arial"/>
          <w:bCs/>
          <w:sz w:val="24"/>
          <w:szCs w:val="24"/>
          <w:lang w:val="it-IT"/>
        </w:rPr>
        <w:t xml:space="preserve">novo </w:t>
      </w:r>
      <w:r w:rsidRPr="00A4377A">
        <w:rPr>
          <w:rFonts w:ascii="Arial" w:eastAsia="Times New Roman" w:hAnsi="Arial" w:cs="Arial"/>
          <w:bCs/>
          <w:sz w:val="24"/>
          <w:szCs w:val="24"/>
          <w:lang w:val="it-IT"/>
        </w:rPr>
        <w:t xml:space="preserve">dječje igralište u </w:t>
      </w:r>
      <w:r>
        <w:rPr>
          <w:rFonts w:ascii="Arial" w:eastAsia="Times New Roman" w:hAnsi="Arial" w:cs="Arial"/>
          <w:bCs/>
          <w:sz w:val="24"/>
          <w:szCs w:val="24"/>
          <w:lang w:val="it-IT"/>
        </w:rPr>
        <w:t>Ulici</w:t>
      </w:r>
      <w:r w:rsidRPr="00A4377A">
        <w:rPr>
          <w:rFonts w:ascii="Arial" w:eastAsia="Times New Roman" w:hAnsi="Arial" w:cs="Arial"/>
          <w:bCs/>
          <w:sz w:val="24"/>
          <w:szCs w:val="24"/>
          <w:lang w:val="it-IT"/>
        </w:rPr>
        <w:t xml:space="preserve"> P. Kandlera.</w:t>
      </w:r>
    </w:p>
    <w:p w14:paraId="4D9E9325" w14:textId="77777777" w:rsidR="00E541EE" w:rsidRPr="005F42A3" w:rsidRDefault="00E541EE" w:rsidP="00E541EE">
      <w:pPr>
        <w:jc w:val="both"/>
        <w:rPr>
          <w:rFonts w:ascii="Arial" w:eastAsia="Times New Roman" w:hAnsi="Arial" w:cs="Arial"/>
          <w:sz w:val="24"/>
          <w:szCs w:val="24"/>
        </w:rPr>
      </w:pPr>
      <w:r w:rsidRPr="005F42A3">
        <w:rPr>
          <w:rFonts w:ascii="Arial" w:eastAsia="Times New Roman" w:hAnsi="Arial" w:cs="Arial"/>
          <w:b/>
          <w:bCs/>
          <w:sz w:val="24"/>
          <w:szCs w:val="24"/>
        </w:rPr>
        <w:t xml:space="preserve">Opći cilj: </w:t>
      </w:r>
      <w:r w:rsidRPr="005F42A3">
        <w:rPr>
          <w:rFonts w:ascii="Arial" w:eastAsia="Times New Roman" w:hAnsi="Arial" w:cs="Arial"/>
          <w:sz w:val="24"/>
          <w:szCs w:val="24"/>
        </w:rPr>
        <w:t>podizanje razine opće sigurnosti i zaštita imovine.</w:t>
      </w:r>
    </w:p>
    <w:p w14:paraId="577FDA4B" w14:textId="77777777" w:rsidR="00E541EE" w:rsidRDefault="00E541EE" w:rsidP="00E541EE">
      <w:pPr>
        <w:jc w:val="both"/>
        <w:rPr>
          <w:rFonts w:ascii="Arial" w:eastAsia="Times New Roman" w:hAnsi="Arial" w:cs="Arial"/>
          <w:sz w:val="24"/>
          <w:szCs w:val="24"/>
        </w:rPr>
      </w:pPr>
      <w:r w:rsidRPr="005F42A3">
        <w:rPr>
          <w:rFonts w:ascii="Arial" w:eastAsia="Times New Roman" w:hAnsi="Arial" w:cs="Arial"/>
          <w:b/>
          <w:bCs/>
          <w:sz w:val="24"/>
          <w:szCs w:val="24"/>
        </w:rPr>
        <w:t>Pokazatelj uspješnosti:</w:t>
      </w:r>
      <w:r w:rsidRPr="005F42A3">
        <w:rPr>
          <w:rFonts w:ascii="Arial" w:eastAsia="Times New Roman" w:hAnsi="Arial" w:cs="Arial"/>
          <w:sz w:val="24"/>
          <w:szCs w:val="24"/>
        </w:rPr>
        <w:t xml:space="preserve"> nabava i instalacija sustava video nadzora.</w:t>
      </w:r>
    </w:p>
    <w:p w14:paraId="7CDB291E" w14:textId="77777777" w:rsidR="00B521A3" w:rsidRDefault="00B521A3" w:rsidP="00E541EE">
      <w:pPr>
        <w:jc w:val="both"/>
        <w:rPr>
          <w:rFonts w:ascii="Arial" w:eastAsia="Times New Roman" w:hAnsi="Arial" w:cs="Arial"/>
          <w:sz w:val="24"/>
          <w:szCs w:val="24"/>
        </w:rPr>
      </w:pPr>
    </w:p>
    <w:p w14:paraId="0DBE9205" w14:textId="3B51C793" w:rsidR="00B521A3" w:rsidRPr="005F42A3" w:rsidRDefault="00B521A3" w:rsidP="00B521A3">
      <w:pPr>
        <w:pBdr>
          <w:top w:val="single" w:sz="4" w:space="1" w:color="auto"/>
          <w:left w:val="single" w:sz="4" w:space="4" w:color="auto"/>
          <w:bottom w:val="single" w:sz="4" w:space="1" w:color="auto"/>
          <w:right w:val="single" w:sz="4" w:space="4" w:color="auto"/>
        </w:pBdr>
        <w:shd w:val="clear" w:color="auto" w:fill="E9E9E9"/>
        <w:ind w:right="-1"/>
        <w:rPr>
          <w:rFonts w:ascii="Arial" w:eastAsia="Times New Roman" w:hAnsi="Arial" w:cs="Arial"/>
          <w:b/>
          <w:sz w:val="24"/>
          <w:szCs w:val="24"/>
        </w:rPr>
      </w:pPr>
      <w:r w:rsidRPr="005F42A3">
        <w:rPr>
          <w:rFonts w:ascii="Arial" w:eastAsia="Times New Roman" w:hAnsi="Arial" w:cs="Arial"/>
          <w:b/>
          <w:sz w:val="24"/>
          <w:szCs w:val="24"/>
        </w:rPr>
        <w:t>K10240</w:t>
      </w:r>
      <w:r>
        <w:rPr>
          <w:rFonts w:ascii="Arial" w:eastAsia="Times New Roman" w:hAnsi="Arial" w:cs="Arial"/>
          <w:b/>
          <w:sz w:val="24"/>
          <w:szCs w:val="24"/>
        </w:rPr>
        <w:t>2</w:t>
      </w:r>
      <w:r w:rsidRPr="005F42A3">
        <w:rPr>
          <w:rFonts w:ascii="Arial" w:eastAsia="Times New Roman" w:hAnsi="Arial" w:cs="Arial"/>
          <w:b/>
          <w:sz w:val="24"/>
          <w:szCs w:val="24"/>
        </w:rPr>
        <w:t xml:space="preserve">: Nabava </w:t>
      </w:r>
      <w:r>
        <w:rPr>
          <w:rFonts w:ascii="Arial" w:eastAsia="Times New Roman" w:hAnsi="Arial" w:cs="Arial"/>
          <w:b/>
          <w:sz w:val="24"/>
          <w:szCs w:val="24"/>
        </w:rPr>
        <w:t>električnih mini-autobusa za potrebe javnog gradskog linijskog prijevoza</w:t>
      </w:r>
      <w:r w:rsidRPr="005F42A3">
        <w:rPr>
          <w:rFonts w:ascii="Arial" w:eastAsia="Times New Roman" w:hAnsi="Arial" w:cs="Arial"/>
          <w:b/>
          <w:sz w:val="24"/>
          <w:szCs w:val="24"/>
        </w:rPr>
        <w:t xml:space="preserve"> = </w:t>
      </w:r>
      <w:r>
        <w:rPr>
          <w:rFonts w:ascii="Arial" w:eastAsia="Times New Roman" w:hAnsi="Arial" w:cs="Arial"/>
          <w:b/>
          <w:sz w:val="24"/>
          <w:szCs w:val="24"/>
        </w:rPr>
        <w:t>686</w:t>
      </w:r>
      <w:r w:rsidRPr="005F42A3">
        <w:rPr>
          <w:rFonts w:ascii="Arial" w:eastAsia="Times New Roman" w:hAnsi="Arial" w:cs="Arial"/>
          <w:b/>
          <w:sz w:val="24"/>
          <w:szCs w:val="24"/>
        </w:rPr>
        <w:t>.</w:t>
      </w:r>
      <w:r>
        <w:rPr>
          <w:rFonts w:ascii="Arial" w:eastAsia="Times New Roman" w:hAnsi="Arial" w:cs="Arial"/>
          <w:b/>
          <w:sz w:val="24"/>
          <w:szCs w:val="24"/>
        </w:rPr>
        <w:t>000</w:t>
      </w:r>
      <w:r w:rsidRPr="005F42A3">
        <w:rPr>
          <w:rFonts w:ascii="Arial" w:eastAsia="Times New Roman" w:hAnsi="Arial" w:cs="Arial"/>
          <w:b/>
          <w:sz w:val="24"/>
          <w:szCs w:val="24"/>
        </w:rPr>
        <w:t>,00 EUR</w:t>
      </w:r>
    </w:p>
    <w:p w14:paraId="4DDC5EE6" w14:textId="77777777" w:rsidR="007168E2" w:rsidRPr="007168E2" w:rsidRDefault="007168E2" w:rsidP="007168E2">
      <w:pPr>
        <w:jc w:val="both"/>
        <w:rPr>
          <w:rFonts w:ascii="Arial" w:eastAsia="Times New Roman" w:hAnsi="Arial" w:cs="Arial"/>
          <w:b/>
          <w:bCs/>
          <w:sz w:val="24"/>
          <w:szCs w:val="24"/>
        </w:rPr>
      </w:pPr>
      <w:r w:rsidRPr="007168E2">
        <w:rPr>
          <w:rFonts w:ascii="Arial" w:eastAsia="Times New Roman" w:hAnsi="Arial" w:cs="Arial"/>
          <w:b/>
          <w:bCs/>
          <w:sz w:val="24"/>
          <w:szCs w:val="24"/>
        </w:rPr>
        <w:t xml:space="preserve">Zakonska osnova: </w:t>
      </w:r>
      <w:r w:rsidRPr="007168E2">
        <w:rPr>
          <w:rFonts w:ascii="Arial" w:eastAsia="Times New Roman" w:hAnsi="Arial" w:cs="Arial"/>
          <w:bCs/>
          <w:sz w:val="24"/>
          <w:szCs w:val="24"/>
        </w:rPr>
        <w:t>Zakon o javnoj nabavi.</w:t>
      </w:r>
    </w:p>
    <w:p w14:paraId="1A317C1E" w14:textId="77777777" w:rsidR="007168E2" w:rsidRPr="007168E2" w:rsidRDefault="007168E2" w:rsidP="007168E2">
      <w:pPr>
        <w:jc w:val="both"/>
        <w:rPr>
          <w:rFonts w:ascii="Arial" w:eastAsia="Times New Roman" w:hAnsi="Arial" w:cs="Arial"/>
          <w:bCs/>
          <w:sz w:val="24"/>
          <w:szCs w:val="24"/>
        </w:rPr>
      </w:pPr>
      <w:r w:rsidRPr="007168E2">
        <w:rPr>
          <w:rFonts w:ascii="Arial" w:eastAsia="Times New Roman" w:hAnsi="Arial" w:cs="Arial"/>
          <w:b/>
          <w:bCs/>
          <w:sz w:val="24"/>
          <w:szCs w:val="24"/>
        </w:rPr>
        <w:t xml:space="preserve">Opis: </w:t>
      </w:r>
      <w:r w:rsidRPr="007168E2">
        <w:rPr>
          <w:rFonts w:ascii="Arial" w:eastAsia="Times New Roman" w:hAnsi="Arial" w:cs="Arial"/>
          <w:bCs/>
          <w:sz w:val="24"/>
          <w:szCs w:val="24"/>
        </w:rPr>
        <w:t>za nabavu dva električna mini-autobusa za potrebe lokalnog linijskog prijevoza planiran je iznos od 686.000,00 eura.</w:t>
      </w:r>
    </w:p>
    <w:p w14:paraId="77734736" w14:textId="77777777" w:rsidR="007168E2" w:rsidRPr="007168E2" w:rsidRDefault="007168E2" w:rsidP="007168E2">
      <w:pPr>
        <w:jc w:val="both"/>
        <w:rPr>
          <w:rFonts w:ascii="Arial" w:eastAsia="Times New Roman" w:hAnsi="Arial" w:cs="Arial"/>
          <w:bCs/>
          <w:sz w:val="24"/>
          <w:szCs w:val="24"/>
        </w:rPr>
      </w:pPr>
      <w:r w:rsidRPr="007168E2">
        <w:rPr>
          <w:rFonts w:ascii="Arial" w:eastAsia="Times New Roman" w:hAnsi="Arial" w:cs="Arial"/>
          <w:b/>
          <w:bCs/>
          <w:sz w:val="24"/>
          <w:szCs w:val="24"/>
        </w:rPr>
        <w:t xml:space="preserve">Opći cilj: </w:t>
      </w:r>
      <w:r w:rsidRPr="007168E2">
        <w:rPr>
          <w:rFonts w:ascii="Arial" w:eastAsia="Times New Roman" w:hAnsi="Arial" w:cs="Arial"/>
          <w:bCs/>
          <w:sz w:val="24"/>
          <w:szCs w:val="24"/>
        </w:rPr>
        <w:t>uspostava cjelogodišnjeg modernog i ekološkog lokalnog linijskog prijevoza koji će povezivati gradska i prigradska naselja.</w:t>
      </w:r>
    </w:p>
    <w:p w14:paraId="1C7FEB4A" w14:textId="77777777" w:rsidR="007168E2" w:rsidRPr="007168E2" w:rsidRDefault="007168E2" w:rsidP="007168E2">
      <w:pPr>
        <w:jc w:val="both"/>
        <w:rPr>
          <w:rFonts w:ascii="Arial" w:eastAsia="Times New Roman" w:hAnsi="Arial" w:cs="Arial"/>
          <w:bCs/>
          <w:sz w:val="24"/>
          <w:szCs w:val="24"/>
        </w:rPr>
      </w:pPr>
      <w:r w:rsidRPr="007168E2">
        <w:rPr>
          <w:rFonts w:ascii="Arial" w:eastAsia="Times New Roman" w:hAnsi="Arial" w:cs="Arial"/>
          <w:b/>
          <w:bCs/>
          <w:sz w:val="24"/>
          <w:szCs w:val="24"/>
        </w:rPr>
        <w:t>Pokazatelj uspješnosti:</w:t>
      </w:r>
      <w:r w:rsidRPr="007168E2">
        <w:rPr>
          <w:rFonts w:ascii="Arial" w:eastAsia="Times New Roman" w:hAnsi="Arial" w:cs="Arial"/>
          <w:b/>
          <w:sz w:val="24"/>
          <w:szCs w:val="24"/>
        </w:rPr>
        <w:t xml:space="preserve"> </w:t>
      </w:r>
      <w:r w:rsidRPr="007168E2">
        <w:rPr>
          <w:rFonts w:ascii="Arial" w:eastAsia="Times New Roman" w:hAnsi="Arial" w:cs="Arial"/>
          <w:bCs/>
          <w:sz w:val="24"/>
          <w:szCs w:val="24"/>
        </w:rPr>
        <w:t>nabava električnih mini-autobusa.</w:t>
      </w:r>
    </w:p>
    <w:p w14:paraId="72723558" w14:textId="77777777" w:rsidR="007168E2" w:rsidRPr="007168E2" w:rsidRDefault="007168E2" w:rsidP="007168E2">
      <w:pPr>
        <w:jc w:val="both"/>
        <w:rPr>
          <w:rFonts w:ascii="Arial" w:eastAsia="Times New Roman" w:hAnsi="Arial" w:cs="Arial"/>
          <w:b/>
          <w:sz w:val="24"/>
          <w:szCs w:val="24"/>
        </w:rPr>
      </w:pPr>
    </w:p>
    <w:p w14:paraId="49CC0B5B" w14:textId="77777777" w:rsidR="00E541EE" w:rsidRPr="005F42A3" w:rsidRDefault="00E541EE" w:rsidP="00E541EE">
      <w:pPr>
        <w:pBdr>
          <w:top w:val="single" w:sz="4" w:space="1" w:color="auto"/>
          <w:left w:val="single" w:sz="4" w:space="4" w:color="auto"/>
          <w:bottom w:val="single" w:sz="4" w:space="1" w:color="auto"/>
          <w:right w:val="single" w:sz="4" w:space="4" w:color="auto"/>
        </w:pBdr>
        <w:shd w:val="clear" w:color="auto" w:fill="E9E9E9"/>
        <w:ind w:right="-1"/>
        <w:rPr>
          <w:rFonts w:ascii="Arial" w:eastAsia="Times New Roman" w:hAnsi="Arial" w:cs="Arial"/>
          <w:b/>
          <w:sz w:val="24"/>
          <w:szCs w:val="24"/>
        </w:rPr>
      </w:pPr>
      <w:r w:rsidRPr="005F42A3">
        <w:rPr>
          <w:rFonts w:ascii="Arial" w:eastAsia="Times New Roman" w:hAnsi="Arial" w:cs="Arial"/>
          <w:b/>
          <w:sz w:val="24"/>
          <w:szCs w:val="24"/>
        </w:rPr>
        <w:t xml:space="preserve">A 102401: Održavanje komunalne opreme = </w:t>
      </w:r>
      <w:r>
        <w:rPr>
          <w:rFonts w:ascii="Arial" w:eastAsia="Times New Roman" w:hAnsi="Arial" w:cs="Arial"/>
          <w:b/>
          <w:sz w:val="24"/>
          <w:szCs w:val="24"/>
        </w:rPr>
        <w:t>46</w:t>
      </w:r>
      <w:r w:rsidRPr="005F42A3">
        <w:rPr>
          <w:rFonts w:ascii="Arial" w:eastAsia="Times New Roman" w:hAnsi="Arial" w:cs="Arial"/>
          <w:b/>
          <w:sz w:val="24"/>
          <w:szCs w:val="24"/>
        </w:rPr>
        <w:t>.500,00 EUR</w:t>
      </w:r>
    </w:p>
    <w:p w14:paraId="33DC8DBB" w14:textId="77777777" w:rsidR="00E541EE" w:rsidRPr="005F42A3" w:rsidRDefault="00E541EE" w:rsidP="00E541EE">
      <w:pPr>
        <w:jc w:val="both"/>
        <w:rPr>
          <w:rFonts w:ascii="Arial" w:eastAsia="Times New Roman" w:hAnsi="Arial" w:cs="Arial"/>
          <w:sz w:val="24"/>
          <w:szCs w:val="24"/>
        </w:rPr>
      </w:pPr>
      <w:r w:rsidRPr="005F42A3">
        <w:rPr>
          <w:rFonts w:ascii="Arial" w:eastAsia="Times New Roman" w:hAnsi="Arial" w:cs="Arial"/>
          <w:b/>
          <w:sz w:val="24"/>
          <w:szCs w:val="24"/>
        </w:rPr>
        <w:t xml:space="preserve">Zakonska osnova: </w:t>
      </w:r>
      <w:r w:rsidRPr="005F42A3">
        <w:rPr>
          <w:rFonts w:ascii="Arial" w:eastAsia="Times New Roman" w:hAnsi="Arial" w:cs="Arial"/>
          <w:sz w:val="24"/>
          <w:szCs w:val="24"/>
        </w:rPr>
        <w:t>Zakon o komunalnom gospodarstvu, Odluka o komunalnim djelatnostima.</w:t>
      </w:r>
    </w:p>
    <w:p w14:paraId="2F361973" w14:textId="77777777" w:rsidR="00E541EE" w:rsidRPr="005F42A3" w:rsidRDefault="00E541EE" w:rsidP="00E541EE">
      <w:pPr>
        <w:jc w:val="both"/>
        <w:rPr>
          <w:rFonts w:ascii="Arial" w:eastAsia="Times New Roman" w:hAnsi="Arial" w:cs="Arial"/>
          <w:sz w:val="24"/>
          <w:szCs w:val="24"/>
        </w:rPr>
      </w:pPr>
      <w:r w:rsidRPr="005F42A3">
        <w:rPr>
          <w:rFonts w:ascii="Arial" w:eastAsia="Times New Roman" w:hAnsi="Arial" w:cs="Arial"/>
          <w:b/>
          <w:sz w:val="24"/>
          <w:szCs w:val="24"/>
        </w:rPr>
        <w:t xml:space="preserve">Opis: </w:t>
      </w:r>
      <w:r w:rsidRPr="005F42A3">
        <w:rPr>
          <w:rFonts w:ascii="Arial" w:eastAsia="Times New Roman" w:hAnsi="Arial" w:cs="Arial"/>
          <w:sz w:val="24"/>
          <w:szCs w:val="24"/>
        </w:rPr>
        <w:t>usluge tekućeg održavanja - održavanje komunalne opreme (popravci, ličenje, montaža, demontaža i održavanje komunalne opreme; košića, klupa, ograda, sprava dječjih igrališta, stupova i znakova i ostali ugovoreni poslovi) vrši se kao komunalna djelatnost.</w:t>
      </w:r>
    </w:p>
    <w:p w14:paraId="497B1470" w14:textId="77777777" w:rsidR="00E541EE" w:rsidRPr="005F42A3" w:rsidRDefault="00E541EE" w:rsidP="00E541EE">
      <w:pPr>
        <w:jc w:val="both"/>
        <w:rPr>
          <w:rFonts w:ascii="Arial" w:eastAsia="Times New Roman" w:hAnsi="Arial" w:cs="Arial"/>
          <w:b/>
          <w:bCs/>
          <w:sz w:val="24"/>
          <w:szCs w:val="24"/>
        </w:rPr>
      </w:pPr>
      <w:r w:rsidRPr="005F42A3">
        <w:rPr>
          <w:rFonts w:ascii="Arial" w:eastAsia="Times New Roman" w:hAnsi="Arial" w:cs="Arial"/>
          <w:b/>
          <w:bCs/>
          <w:sz w:val="24"/>
          <w:szCs w:val="24"/>
        </w:rPr>
        <w:t xml:space="preserve">Opći cilj: </w:t>
      </w:r>
      <w:r w:rsidRPr="005F42A3">
        <w:rPr>
          <w:rFonts w:ascii="Arial" w:eastAsia="Times New Roman" w:hAnsi="Arial" w:cs="Arial"/>
          <w:bCs/>
          <w:sz w:val="24"/>
          <w:szCs w:val="24"/>
        </w:rPr>
        <w:t>funkcionalna komunalna oprema.</w:t>
      </w:r>
    </w:p>
    <w:p w14:paraId="11CBE75B" w14:textId="77777777" w:rsidR="00E541EE" w:rsidRDefault="00E541EE" w:rsidP="00E541EE">
      <w:pPr>
        <w:jc w:val="both"/>
        <w:rPr>
          <w:rFonts w:ascii="Arial" w:eastAsia="Times New Roman" w:hAnsi="Arial" w:cs="Arial"/>
          <w:sz w:val="24"/>
          <w:szCs w:val="24"/>
        </w:rPr>
      </w:pPr>
      <w:r w:rsidRPr="005F42A3">
        <w:rPr>
          <w:rFonts w:ascii="Arial" w:eastAsia="Times New Roman" w:hAnsi="Arial" w:cs="Arial"/>
          <w:b/>
          <w:bCs/>
          <w:sz w:val="24"/>
          <w:szCs w:val="24"/>
        </w:rPr>
        <w:t>Pokazatelj uspješnosti:</w:t>
      </w:r>
      <w:r w:rsidRPr="005F42A3">
        <w:rPr>
          <w:rFonts w:ascii="Arial" w:eastAsia="Times New Roman" w:hAnsi="Arial" w:cs="Arial"/>
          <w:sz w:val="24"/>
          <w:szCs w:val="24"/>
        </w:rPr>
        <w:t xml:space="preserve"> izvršavanje radnih naloga u ugovorenim rokovima i količinama.</w:t>
      </w:r>
    </w:p>
    <w:p w14:paraId="5677394B" w14:textId="77777777" w:rsidR="00E541EE" w:rsidRPr="005F42A3" w:rsidRDefault="00E541EE" w:rsidP="00E541EE">
      <w:pPr>
        <w:jc w:val="both"/>
        <w:rPr>
          <w:rFonts w:ascii="Arial" w:eastAsia="Times New Roman" w:hAnsi="Arial" w:cs="Arial"/>
          <w:sz w:val="24"/>
          <w:szCs w:val="24"/>
        </w:rPr>
      </w:pPr>
    </w:p>
    <w:p w14:paraId="36DDC4AB" w14:textId="77777777" w:rsidR="00E541EE" w:rsidRPr="005F42A3" w:rsidRDefault="00E541EE" w:rsidP="00E541EE">
      <w:pPr>
        <w:pBdr>
          <w:top w:val="single" w:sz="4" w:space="1" w:color="auto"/>
          <w:left w:val="single" w:sz="4" w:space="4" w:color="auto"/>
          <w:bottom w:val="single" w:sz="4" w:space="1" w:color="auto"/>
          <w:right w:val="single" w:sz="4" w:space="4" w:color="auto"/>
        </w:pBdr>
        <w:shd w:val="clear" w:color="auto" w:fill="E9E9E9"/>
        <w:ind w:right="-1"/>
        <w:rPr>
          <w:rFonts w:ascii="Arial" w:eastAsia="Times New Roman" w:hAnsi="Arial" w:cs="Arial"/>
          <w:b/>
          <w:sz w:val="24"/>
          <w:szCs w:val="24"/>
        </w:rPr>
      </w:pPr>
      <w:r w:rsidRPr="005F42A3">
        <w:rPr>
          <w:rFonts w:ascii="Arial" w:eastAsia="Times New Roman" w:hAnsi="Arial" w:cs="Arial"/>
          <w:b/>
          <w:sz w:val="24"/>
          <w:szCs w:val="24"/>
        </w:rPr>
        <w:t xml:space="preserve">A 102403: Nabava opreme video-nadzora u svezi sigurnosti zajednice </w:t>
      </w:r>
    </w:p>
    <w:p w14:paraId="74CEA677" w14:textId="77777777" w:rsidR="00E541EE" w:rsidRPr="005F42A3" w:rsidRDefault="00E541EE" w:rsidP="00E541EE">
      <w:pPr>
        <w:pBdr>
          <w:top w:val="single" w:sz="4" w:space="1" w:color="auto"/>
          <w:left w:val="single" w:sz="4" w:space="4" w:color="auto"/>
          <w:bottom w:val="single" w:sz="4" w:space="1" w:color="auto"/>
          <w:right w:val="single" w:sz="4" w:space="4" w:color="auto"/>
        </w:pBdr>
        <w:shd w:val="clear" w:color="auto" w:fill="E9E9E9"/>
        <w:ind w:right="-1"/>
        <w:rPr>
          <w:rFonts w:ascii="Arial" w:eastAsia="Times New Roman" w:hAnsi="Arial" w:cs="Arial"/>
          <w:b/>
          <w:sz w:val="24"/>
          <w:szCs w:val="24"/>
        </w:rPr>
      </w:pPr>
      <w:r w:rsidRPr="005F42A3">
        <w:rPr>
          <w:rFonts w:ascii="Arial" w:eastAsia="Times New Roman" w:hAnsi="Arial" w:cs="Arial"/>
          <w:b/>
          <w:sz w:val="24"/>
          <w:szCs w:val="24"/>
        </w:rPr>
        <w:t xml:space="preserve">= </w:t>
      </w:r>
      <w:r>
        <w:rPr>
          <w:rFonts w:ascii="Arial" w:eastAsia="Times New Roman" w:hAnsi="Arial" w:cs="Arial"/>
          <w:b/>
          <w:sz w:val="24"/>
          <w:szCs w:val="24"/>
        </w:rPr>
        <w:t>3</w:t>
      </w:r>
      <w:r w:rsidRPr="005F42A3">
        <w:rPr>
          <w:rFonts w:ascii="Arial" w:eastAsia="Times New Roman" w:hAnsi="Arial" w:cs="Arial"/>
          <w:b/>
          <w:sz w:val="24"/>
          <w:szCs w:val="24"/>
        </w:rPr>
        <w:t>.</w:t>
      </w:r>
      <w:r>
        <w:rPr>
          <w:rFonts w:ascii="Arial" w:eastAsia="Times New Roman" w:hAnsi="Arial" w:cs="Arial"/>
          <w:b/>
          <w:sz w:val="24"/>
          <w:szCs w:val="24"/>
        </w:rPr>
        <w:t>0</w:t>
      </w:r>
      <w:r w:rsidRPr="005F42A3">
        <w:rPr>
          <w:rFonts w:ascii="Arial" w:eastAsia="Times New Roman" w:hAnsi="Arial" w:cs="Arial"/>
          <w:b/>
          <w:sz w:val="24"/>
          <w:szCs w:val="24"/>
        </w:rPr>
        <w:t>00,00 EUR</w:t>
      </w:r>
    </w:p>
    <w:p w14:paraId="36D514F9" w14:textId="77777777" w:rsidR="00E541EE" w:rsidRPr="005F42A3" w:rsidRDefault="00E541EE" w:rsidP="00E541EE">
      <w:pPr>
        <w:jc w:val="both"/>
        <w:rPr>
          <w:rFonts w:ascii="Arial" w:eastAsia="Times New Roman" w:hAnsi="Arial" w:cs="Arial"/>
          <w:sz w:val="24"/>
          <w:szCs w:val="24"/>
        </w:rPr>
      </w:pPr>
      <w:r w:rsidRPr="005F42A3">
        <w:rPr>
          <w:rFonts w:ascii="Arial" w:eastAsia="Times New Roman" w:hAnsi="Arial" w:cs="Arial"/>
          <w:b/>
          <w:sz w:val="24"/>
          <w:szCs w:val="24"/>
        </w:rPr>
        <w:t xml:space="preserve">Zakonska osnova: </w:t>
      </w:r>
      <w:r w:rsidRPr="005F42A3">
        <w:rPr>
          <w:rFonts w:ascii="Arial" w:eastAsia="Times New Roman" w:hAnsi="Arial" w:cs="Arial"/>
          <w:sz w:val="24"/>
          <w:szCs w:val="24"/>
        </w:rPr>
        <w:t>uputa o načinu ostvarivanja prava na sufinanciranje video nadzora ulaza u objekt više stambene zgrade</w:t>
      </w:r>
      <w:r>
        <w:rPr>
          <w:rFonts w:ascii="Arial" w:eastAsia="Times New Roman" w:hAnsi="Arial" w:cs="Arial"/>
          <w:sz w:val="24"/>
          <w:szCs w:val="24"/>
        </w:rPr>
        <w:t>.</w:t>
      </w:r>
    </w:p>
    <w:p w14:paraId="2792641C" w14:textId="77777777" w:rsidR="00E541EE" w:rsidRPr="005F42A3" w:rsidRDefault="00E541EE" w:rsidP="00E541EE">
      <w:pPr>
        <w:jc w:val="both"/>
        <w:rPr>
          <w:rFonts w:ascii="Arial" w:eastAsia="Times New Roman" w:hAnsi="Arial" w:cs="Arial"/>
          <w:bCs/>
          <w:sz w:val="24"/>
          <w:szCs w:val="24"/>
        </w:rPr>
      </w:pPr>
      <w:r w:rsidRPr="005F42A3">
        <w:rPr>
          <w:rFonts w:ascii="Arial" w:eastAsia="Times New Roman" w:hAnsi="Arial" w:cs="Arial"/>
          <w:b/>
          <w:sz w:val="24"/>
          <w:szCs w:val="24"/>
        </w:rPr>
        <w:t>Opis:</w:t>
      </w:r>
      <w:r>
        <w:rPr>
          <w:rFonts w:ascii="Arial" w:eastAsia="Times New Roman" w:hAnsi="Arial" w:cs="Arial"/>
          <w:b/>
          <w:sz w:val="24"/>
          <w:szCs w:val="24"/>
        </w:rPr>
        <w:t xml:space="preserve"> </w:t>
      </w:r>
      <w:r w:rsidRPr="005F42A3">
        <w:rPr>
          <w:rFonts w:ascii="Arial" w:eastAsia="Times New Roman" w:hAnsi="Arial" w:cs="Arial"/>
          <w:bCs/>
          <w:sz w:val="24"/>
          <w:szCs w:val="24"/>
        </w:rPr>
        <w:t>sufinanciranje troškova uspostavljanja sustava za zaštitu objekata video nadzorom više stambenim zgradama putem javnog poziva.</w:t>
      </w:r>
    </w:p>
    <w:p w14:paraId="36173CDF" w14:textId="77777777" w:rsidR="00E541EE" w:rsidRPr="005F42A3" w:rsidRDefault="00E541EE" w:rsidP="00E541EE">
      <w:pPr>
        <w:jc w:val="both"/>
        <w:rPr>
          <w:rFonts w:ascii="Arial" w:eastAsia="Times New Roman" w:hAnsi="Arial" w:cs="Arial"/>
          <w:sz w:val="24"/>
          <w:szCs w:val="24"/>
        </w:rPr>
      </w:pPr>
      <w:r w:rsidRPr="005F42A3">
        <w:rPr>
          <w:rFonts w:ascii="Arial" w:eastAsia="Times New Roman" w:hAnsi="Arial" w:cs="Arial"/>
          <w:b/>
          <w:bCs/>
          <w:sz w:val="24"/>
          <w:szCs w:val="24"/>
        </w:rPr>
        <w:t xml:space="preserve">Opći cilj: </w:t>
      </w:r>
      <w:r w:rsidRPr="005F42A3">
        <w:rPr>
          <w:rFonts w:ascii="Arial" w:eastAsia="Times New Roman" w:hAnsi="Arial" w:cs="Arial"/>
          <w:sz w:val="24"/>
          <w:szCs w:val="24"/>
        </w:rPr>
        <w:t>podizanje razine opće sigurnosti sukladno preporuci PP Rovinj.</w:t>
      </w:r>
    </w:p>
    <w:p w14:paraId="3487016B" w14:textId="77777777" w:rsidR="00E541EE" w:rsidRPr="00B4250E" w:rsidRDefault="00E541EE" w:rsidP="00E541EE">
      <w:pPr>
        <w:jc w:val="both"/>
        <w:rPr>
          <w:rFonts w:ascii="Arial" w:eastAsia="Times New Roman" w:hAnsi="Arial" w:cs="Arial"/>
          <w:sz w:val="24"/>
          <w:szCs w:val="24"/>
        </w:rPr>
      </w:pPr>
      <w:r w:rsidRPr="005F42A3">
        <w:rPr>
          <w:rFonts w:ascii="Arial" w:eastAsia="Times New Roman" w:hAnsi="Arial" w:cs="Arial"/>
          <w:b/>
          <w:bCs/>
          <w:sz w:val="24"/>
          <w:szCs w:val="24"/>
        </w:rPr>
        <w:t>Pokazatelj uspješnosti:</w:t>
      </w:r>
      <w:r w:rsidRPr="005F42A3">
        <w:rPr>
          <w:rFonts w:ascii="Arial" w:eastAsia="Times New Roman" w:hAnsi="Arial" w:cs="Arial"/>
          <w:sz w:val="24"/>
          <w:szCs w:val="24"/>
        </w:rPr>
        <w:t xml:space="preserve"> sufinanciranje opreme u okvirima planiranih sredstava.</w:t>
      </w:r>
    </w:p>
    <w:p w14:paraId="3A4E2782" w14:textId="77777777" w:rsidR="00E541EE" w:rsidRPr="00447D66" w:rsidRDefault="00E541EE" w:rsidP="00E541EE">
      <w:pPr>
        <w:jc w:val="both"/>
        <w:rPr>
          <w:rFonts w:ascii="Arial" w:eastAsia="Times New Roman" w:hAnsi="Arial" w:cs="Arial"/>
          <w:b/>
          <w:bCs/>
          <w:color w:val="AEAAAA" w:themeColor="background2" w:themeShade="BF"/>
          <w:sz w:val="24"/>
          <w:szCs w:val="24"/>
        </w:rPr>
      </w:pPr>
    </w:p>
    <w:p w14:paraId="634E848F" w14:textId="77777777" w:rsidR="00E541EE" w:rsidRPr="0051661D" w:rsidRDefault="00E541EE" w:rsidP="00E541EE">
      <w:pPr>
        <w:pBdr>
          <w:top w:val="single" w:sz="4" w:space="1" w:color="auto"/>
          <w:left w:val="single" w:sz="4" w:space="4" w:color="auto"/>
          <w:bottom w:val="single" w:sz="4" w:space="1" w:color="auto"/>
          <w:right w:val="single" w:sz="4" w:space="4" w:color="auto"/>
        </w:pBdr>
        <w:shd w:val="clear" w:color="auto" w:fill="E9E9E9"/>
        <w:ind w:right="-1"/>
        <w:rPr>
          <w:rFonts w:ascii="Arial" w:eastAsia="Times New Roman" w:hAnsi="Arial" w:cs="Arial"/>
          <w:b/>
          <w:sz w:val="24"/>
          <w:szCs w:val="24"/>
        </w:rPr>
      </w:pPr>
      <w:r w:rsidRPr="0051661D">
        <w:rPr>
          <w:rFonts w:ascii="Arial" w:eastAsia="Times New Roman" w:hAnsi="Arial" w:cs="Arial"/>
          <w:b/>
          <w:sz w:val="24"/>
          <w:szCs w:val="24"/>
        </w:rPr>
        <w:t>A 102402: Nabava opreme za komunalne i slične namjene = 13</w:t>
      </w:r>
      <w:r>
        <w:rPr>
          <w:rFonts w:ascii="Arial" w:eastAsia="Times New Roman" w:hAnsi="Arial" w:cs="Arial"/>
          <w:b/>
          <w:sz w:val="24"/>
          <w:szCs w:val="24"/>
        </w:rPr>
        <w:t>6</w:t>
      </w:r>
      <w:r w:rsidRPr="0051661D">
        <w:rPr>
          <w:rFonts w:ascii="Arial" w:eastAsia="Times New Roman" w:hAnsi="Arial" w:cs="Arial"/>
          <w:b/>
          <w:sz w:val="24"/>
          <w:szCs w:val="24"/>
        </w:rPr>
        <w:t>.</w:t>
      </w:r>
      <w:r>
        <w:rPr>
          <w:rFonts w:ascii="Arial" w:eastAsia="Times New Roman" w:hAnsi="Arial" w:cs="Arial"/>
          <w:b/>
          <w:sz w:val="24"/>
          <w:szCs w:val="24"/>
        </w:rPr>
        <w:t>00</w:t>
      </w:r>
      <w:r w:rsidRPr="0051661D">
        <w:rPr>
          <w:rFonts w:ascii="Arial" w:eastAsia="Times New Roman" w:hAnsi="Arial" w:cs="Arial"/>
          <w:b/>
          <w:sz w:val="24"/>
          <w:szCs w:val="24"/>
        </w:rPr>
        <w:t>0,00 EUR</w:t>
      </w:r>
    </w:p>
    <w:p w14:paraId="56405616" w14:textId="77777777" w:rsidR="00E541EE" w:rsidRPr="005F42A3" w:rsidRDefault="00E541EE" w:rsidP="00E541EE">
      <w:pPr>
        <w:jc w:val="both"/>
        <w:rPr>
          <w:rFonts w:ascii="Arial" w:eastAsia="Times New Roman" w:hAnsi="Arial" w:cs="Arial"/>
          <w:b/>
          <w:sz w:val="24"/>
          <w:szCs w:val="24"/>
        </w:rPr>
      </w:pPr>
      <w:r w:rsidRPr="005F42A3">
        <w:rPr>
          <w:rFonts w:ascii="Arial" w:eastAsia="Times New Roman" w:hAnsi="Arial" w:cs="Arial"/>
          <w:b/>
          <w:sz w:val="24"/>
          <w:szCs w:val="24"/>
        </w:rPr>
        <w:t xml:space="preserve">Zakonska osnova: </w:t>
      </w:r>
      <w:r w:rsidRPr="005F42A3">
        <w:rPr>
          <w:rFonts w:ascii="Arial" w:eastAsia="Times New Roman" w:hAnsi="Arial" w:cs="Arial"/>
          <w:sz w:val="24"/>
          <w:szCs w:val="24"/>
        </w:rPr>
        <w:t>Zakon o javnoj nabavi.</w:t>
      </w:r>
    </w:p>
    <w:p w14:paraId="7D3378A8" w14:textId="77777777" w:rsidR="00E541EE" w:rsidRPr="003B55A9" w:rsidRDefault="00E541EE" w:rsidP="00E541EE">
      <w:pPr>
        <w:jc w:val="both"/>
        <w:rPr>
          <w:rFonts w:ascii="Arial" w:eastAsia="Times New Roman" w:hAnsi="Arial" w:cs="Arial"/>
          <w:sz w:val="24"/>
          <w:szCs w:val="24"/>
        </w:rPr>
      </w:pPr>
      <w:r w:rsidRPr="005F42A3">
        <w:rPr>
          <w:rFonts w:ascii="Arial" w:eastAsia="Times New Roman" w:hAnsi="Arial" w:cs="Arial"/>
          <w:b/>
          <w:sz w:val="24"/>
          <w:szCs w:val="24"/>
        </w:rPr>
        <w:t xml:space="preserve">Opis: </w:t>
      </w:r>
      <w:r w:rsidRPr="005F42A3">
        <w:rPr>
          <w:rFonts w:ascii="Arial" w:eastAsia="Times New Roman" w:hAnsi="Arial" w:cs="Arial"/>
          <w:sz w:val="24"/>
          <w:szCs w:val="24"/>
        </w:rPr>
        <w:t>za</w:t>
      </w:r>
      <w:r w:rsidRPr="005F42A3">
        <w:rPr>
          <w:rFonts w:ascii="Arial" w:eastAsia="Times New Roman" w:hAnsi="Arial" w:cs="Arial"/>
          <w:b/>
          <w:sz w:val="24"/>
          <w:szCs w:val="24"/>
        </w:rPr>
        <w:t xml:space="preserve"> </w:t>
      </w:r>
      <w:r w:rsidRPr="005F42A3">
        <w:rPr>
          <w:rFonts w:ascii="Arial" w:eastAsia="Times New Roman" w:hAnsi="Arial" w:cs="Arial"/>
          <w:sz w:val="24"/>
          <w:szCs w:val="24"/>
        </w:rPr>
        <w:t>nabavu materijala</w:t>
      </w:r>
      <w:r>
        <w:rPr>
          <w:rFonts w:ascii="Arial" w:eastAsia="Times New Roman" w:hAnsi="Arial" w:cs="Arial"/>
          <w:sz w:val="24"/>
          <w:szCs w:val="24"/>
        </w:rPr>
        <w:t xml:space="preserve"> i održavanje</w:t>
      </w:r>
      <w:r w:rsidRPr="005F42A3">
        <w:rPr>
          <w:rFonts w:ascii="Arial" w:eastAsia="Times New Roman" w:hAnsi="Arial" w:cs="Arial"/>
          <w:sz w:val="24"/>
          <w:szCs w:val="24"/>
        </w:rPr>
        <w:t xml:space="preserve"> (table naziva ulica, vertikalna i horizontalna prometna signalizacija i druga opreme za prometnice, razna ne prometna informativna signalizacija) planiran je </w:t>
      </w:r>
      <w:r w:rsidRPr="003B55A9">
        <w:rPr>
          <w:rFonts w:ascii="Arial" w:eastAsia="Times New Roman" w:hAnsi="Arial" w:cs="Arial"/>
          <w:sz w:val="24"/>
          <w:szCs w:val="24"/>
        </w:rPr>
        <w:t xml:space="preserve">iznos od 30.000,00 </w:t>
      </w:r>
      <w:r>
        <w:rPr>
          <w:rFonts w:ascii="Arial" w:eastAsia="Times New Roman" w:hAnsi="Arial" w:cs="Arial"/>
          <w:sz w:val="24"/>
          <w:szCs w:val="24"/>
        </w:rPr>
        <w:t>eura</w:t>
      </w:r>
      <w:r w:rsidRPr="003B55A9">
        <w:rPr>
          <w:rFonts w:ascii="Arial" w:eastAsia="Times New Roman" w:hAnsi="Arial" w:cs="Arial"/>
          <w:sz w:val="24"/>
          <w:szCs w:val="24"/>
        </w:rPr>
        <w:t>.</w:t>
      </w:r>
    </w:p>
    <w:p w14:paraId="3AA8D019" w14:textId="77777777" w:rsidR="00E541EE" w:rsidRPr="003B55A9" w:rsidRDefault="00E541EE" w:rsidP="00E541EE">
      <w:pPr>
        <w:jc w:val="both"/>
        <w:rPr>
          <w:rFonts w:ascii="Arial" w:eastAsia="Times New Roman" w:hAnsi="Arial" w:cs="Arial"/>
          <w:sz w:val="24"/>
          <w:szCs w:val="24"/>
        </w:rPr>
      </w:pPr>
      <w:r w:rsidRPr="003B55A9">
        <w:rPr>
          <w:rFonts w:ascii="Arial" w:eastAsia="Times New Roman" w:hAnsi="Arial" w:cs="Arial"/>
          <w:sz w:val="24"/>
          <w:szCs w:val="24"/>
        </w:rPr>
        <w:t xml:space="preserve">Za nabavu nove komunalne opreme (stupići, klupe, košići i kante, štandovi i sl. naprave, stalci za bicikle, ormarići, nadstrešnice i oprema autobusnih stajališta, dekorativna rasvjetna tijela i ukrasi, sprave za dječja igrališta i dr.) planiran je iznos od 66.000,00 </w:t>
      </w:r>
      <w:r>
        <w:rPr>
          <w:rFonts w:ascii="Arial" w:eastAsia="Times New Roman" w:hAnsi="Arial" w:cs="Arial"/>
          <w:sz w:val="24"/>
          <w:szCs w:val="24"/>
        </w:rPr>
        <w:t>eura</w:t>
      </w:r>
      <w:r w:rsidRPr="003B55A9">
        <w:rPr>
          <w:rFonts w:ascii="Arial" w:eastAsia="Times New Roman" w:hAnsi="Arial" w:cs="Arial"/>
          <w:sz w:val="24"/>
          <w:szCs w:val="24"/>
        </w:rPr>
        <w:t xml:space="preserve">. </w:t>
      </w:r>
    </w:p>
    <w:p w14:paraId="79442DB7" w14:textId="77777777" w:rsidR="00E541EE" w:rsidRPr="0051661D" w:rsidRDefault="00E541EE" w:rsidP="00E541EE">
      <w:pPr>
        <w:jc w:val="both"/>
        <w:rPr>
          <w:rFonts w:ascii="Arial" w:eastAsia="Times New Roman" w:hAnsi="Arial" w:cs="Arial"/>
          <w:sz w:val="24"/>
          <w:szCs w:val="24"/>
        </w:rPr>
      </w:pPr>
      <w:r w:rsidRPr="003B55A9">
        <w:rPr>
          <w:rFonts w:ascii="Arial" w:eastAsia="Times New Roman" w:hAnsi="Arial" w:cs="Arial"/>
          <w:sz w:val="24"/>
          <w:szCs w:val="24"/>
        </w:rPr>
        <w:t xml:space="preserve">Za usluge vezano uz popravke i održavanje opreme u funkcionalnom stanju planirano je 40.000,00 </w:t>
      </w:r>
      <w:r>
        <w:rPr>
          <w:rFonts w:ascii="Arial" w:eastAsia="Times New Roman" w:hAnsi="Arial" w:cs="Arial"/>
          <w:sz w:val="24"/>
          <w:szCs w:val="24"/>
        </w:rPr>
        <w:t>eura</w:t>
      </w:r>
      <w:r w:rsidRPr="003B55A9">
        <w:rPr>
          <w:rFonts w:ascii="Arial" w:eastAsia="Times New Roman" w:hAnsi="Arial" w:cs="Arial"/>
          <w:sz w:val="24"/>
          <w:szCs w:val="24"/>
        </w:rPr>
        <w:t>.</w:t>
      </w:r>
    </w:p>
    <w:p w14:paraId="479AAF21" w14:textId="77777777" w:rsidR="00E541EE" w:rsidRPr="005F42A3" w:rsidRDefault="00E541EE" w:rsidP="00E541EE">
      <w:pPr>
        <w:jc w:val="both"/>
        <w:rPr>
          <w:rFonts w:ascii="Arial" w:eastAsia="Times New Roman" w:hAnsi="Arial" w:cs="Arial"/>
          <w:sz w:val="24"/>
          <w:szCs w:val="24"/>
        </w:rPr>
      </w:pPr>
      <w:r w:rsidRPr="005F42A3">
        <w:rPr>
          <w:rFonts w:ascii="Arial" w:eastAsia="Times New Roman" w:hAnsi="Arial" w:cs="Arial"/>
          <w:sz w:val="24"/>
          <w:szCs w:val="24"/>
        </w:rPr>
        <w:t>Vrsta i količina materijala nabavlja se prema potrebama stanja u prostoru i prilagođavanju standardima opremljenosti posebno kod dopune dječjih igrališta, a za nabavu se provodi odgovarajući postupak javne nabave.</w:t>
      </w:r>
    </w:p>
    <w:p w14:paraId="143D6353" w14:textId="77777777" w:rsidR="00E541EE" w:rsidRPr="005F42A3" w:rsidRDefault="00E541EE" w:rsidP="00E541EE">
      <w:pPr>
        <w:jc w:val="both"/>
        <w:rPr>
          <w:rFonts w:ascii="Arial" w:eastAsia="Times New Roman" w:hAnsi="Arial" w:cs="Arial"/>
          <w:b/>
          <w:bCs/>
          <w:sz w:val="24"/>
          <w:szCs w:val="24"/>
        </w:rPr>
      </w:pPr>
      <w:r w:rsidRPr="005F42A3">
        <w:rPr>
          <w:rFonts w:ascii="Arial" w:eastAsia="Times New Roman" w:hAnsi="Arial" w:cs="Arial"/>
          <w:b/>
          <w:bCs/>
          <w:sz w:val="24"/>
          <w:szCs w:val="24"/>
        </w:rPr>
        <w:t xml:space="preserve">Opći cilj: </w:t>
      </w:r>
      <w:r w:rsidRPr="005F42A3">
        <w:rPr>
          <w:rFonts w:ascii="Arial" w:eastAsia="Times New Roman" w:hAnsi="Arial" w:cs="Arial"/>
          <w:bCs/>
          <w:sz w:val="24"/>
          <w:szCs w:val="24"/>
        </w:rPr>
        <w:t>dopuna potrebne komunalne opreme.</w:t>
      </w:r>
    </w:p>
    <w:p w14:paraId="121834EE" w14:textId="77777777" w:rsidR="00E541EE" w:rsidRPr="005F42A3" w:rsidRDefault="00E541EE" w:rsidP="00E541EE">
      <w:pPr>
        <w:jc w:val="both"/>
        <w:rPr>
          <w:rFonts w:ascii="Arial" w:eastAsia="Times New Roman" w:hAnsi="Arial" w:cs="Arial"/>
          <w:sz w:val="24"/>
          <w:szCs w:val="24"/>
        </w:rPr>
      </w:pPr>
      <w:r w:rsidRPr="005F42A3">
        <w:rPr>
          <w:rFonts w:ascii="Arial" w:eastAsia="Times New Roman" w:hAnsi="Arial" w:cs="Arial"/>
          <w:b/>
          <w:bCs/>
          <w:sz w:val="24"/>
          <w:szCs w:val="24"/>
        </w:rPr>
        <w:t>Pokazatelj uspješnosti:</w:t>
      </w:r>
      <w:r w:rsidRPr="005F42A3">
        <w:rPr>
          <w:rFonts w:ascii="Arial" w:eastAsia="Times New Roman" w:hAnsi="Arial" w:cs="Arial"/>
          <w:sz w:val="24"/>
          <w:szCs w:val="24"/>
        </w:rPr>
        <w:t xml:space="preserve"> nabava i stavljanje opreme u funkciju na javnim površinama grada.</w:t>
      </w:r>
    </w:p>
    <w:p w14:paraId="45B356C4" w14:textId="77777777" w:rsidR="00E541EE" w:rsidRDefault="00E541EE" w:rsidP="00E541EE">
      <w:pPr>
        <w:jc w:val="both"/>
        <w:rPr>
          <w:rFonts w:ascii="Arial" w:eastAsia="Times New Roman" w:hAnsi="Arial" w:cs="Arial"/>
          <w:color w:val="AEAAAA" w:themeColor="background2" w:themeShade="BF"/>
          <w:sz w:val="24"/>
          <w:szCs w:val="24"/>
          <w:highlight w:val="lightGray"/>
        </w:rPr>
      </w:pPr>
    </w:p>
    <w:p w14:paraId="0C1481E9" w14:textId="77777777" w:rsidR="00E541EE" w:rsidRPr="00447D66" w:rsidRDefault="00E541EE" w:rsidP="00E541EE">
      <w:pPr>
        <w:jc w:val="both"/>
        <w:rPr>
          <w:rFonts w:ascii="Arial" w:eastAsia="Times New Roman" w:hAnsi="Arial" w:cs="Arial"/>
          <w:b/>
          <w:bCs/>
          <w:color w:val="AEAAAA" w:themeColor="background2" w:themeShade="BF"/>
          <w:sz w:val="24"/>
          <w:szCs w:val="24"/>
        </w:rPr>
      </w:pPr>
    </w:p>
    <w:p w14:paraId="09C87FEB" w14:textId="77777777" w:rsidR="00E541EE" w:rsidRPr="00625859" w:rsidRDefault="00E541EE" w:rsidP="00E541EE">
      <w:pPr>
        <w:pBdr>
          <w:top w:val="single" w:sz="4" w:space="1" w:color="auto"/>
          <w:left w:val="single" w:sz="4" w:space="4" w:color="auto"/>
          <w:bottom w:val="single" w:sz="4" w:space="0" w:color="auto"/>
          <w:right w:val="single" w:sz="4" w:space="4" w:color="auto"/>
        </w:pBdr>
        <w:shd w:val="clear" w:color="auto" w:fill="FFFF80"/>
        <w:jc w:val="both"/>
        <w:rPr>
          <w:rFonts w:ascii="Arial" w:eastAsia="Times New Roman" w:hAnsi="Arial" w:cs="Arial"/>
          <w:b/>
          <w:sz w:val="24"/>
          <w:szCs w:val="24"/>
        </w:rPr>
      </w:pPr>
      <w:r w:rsidRPr="00625859">
        <w:rPr>
          <w:rFonts w:ascii="Arial" w:eastAsia="Times New Roman" w:hAnsi="Arial" w:cs="Arial"/>
          <w:b/>
          <w:sz w:val="24"/>
          <w:szCs w:val="24"/>
        </w:rPr>
        <w:t>Program 1042: Javne potrebe u zaštiti i očuvanju okoliša = 40.000,00 EUR</w:t>
      </w:r>
    </w:p>
    <w:p w14:paraId="6BE01DA8" w14:textId="77777777" w:rsidR="00E541EE" w:rsidRDefault="00E541EE" w:rsidP="00E541EE">
      <w:pPr>
        <w:jc w:val="both"/>
        <w:rPr>
          <w:rFonts w:ascii="Arial" w:eastAsia="Times New Roman" w:hAnsi="Arial" w:cs="Arial"/>
          <w:color w:val="AEAAAA" w:themeColor="background2" w:themeShade="BF"/>
          <w:sz w:val="24"/>
          <w:szCs w:val="24"/>
        </w:rPr>
      </w:pPr>
    </w:p>
    <w:tbl>
      <w:tblPr>
        <w:tblW w:w="500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43"/>
        <w:gridCol w:w="1096"/>
        <w:gridCol w:w="942"/>
        <w:gridCol w:w="767"/>
        <w:gridCol w:w="934"/>
        <w:gridCol w:w="1081"/>
        <w:gridCol w:w="1357"/>
        <w:gridCol w:w="891"/>
        <w:gridCol w:w="626"/>
        <w:gridCol w:w="751"/>
        <w:gridCol w:w="812"/>
      </w:tblGrid>
      <w:tr w:rsidR="00E541EE" w:rsidRPr="00954AD2" w14:paraId="07167039" w14:textId="77777777" w:rsidTr="00F664F1">
        <w:trPr>
          <w:cantSplit/>
          <w:trHeight w:val="499"/>
        </w:trPr>
        <w:tc>
          <w:tcPr>
            <w:tcW w:w="462" w:type="pct"/>
            <w:vMerge w:val="restart"/>
            <w:vAlign w:val="center"/>
          </w:tcPr>
          <w:p w14:paraId="0FDE9438" w14:textId="77777777" w:rsidR="00E541EE" w:rsidRPr="005A1EB1" w:rsidRDefault="00E541EE" w:rsidP="00A84BB5">
            <w:pPr>
              <w:pStyle w:val="TableParagraph"/>
              <w:ind w:left="44" w:right="35"/>
              <w:jc w:val="center"/>
              <w:rPr>
                <w:rFonts w:asciiTheme="minorHAnsi" w:hAnsiTheme="minorHAnsi" w:cstheme="minorHAnsi"/>
                <w:b/>
                <w:sz w:val="15"/>
                <w:szCs w:val="15"/>
              </w:rPr>
            </w:pPr>
            <w:r w:rsidRPr="005A1EB1">
              <w:rPr>
                <w:rFonts w:asciiTheme="minorHAnsi" w:hAnsiTheme="minorHAnsi" w:cstheme="minorHAnsi"/>
                <w:b/>
                <w:sz w:val="15"/>
                <w:szCs w:val="15"/>
              </w:rPr>
              <w:t>Doprinos</w:t>
            </w:r>
            <w:r w:rsidRPr="005A1EB1">
              <w:rPr>
                <w:rFonts w:asciiTheme="minorHAnsi" w:hAnsiTheme="minorHAnsi" w:cstheme="minorHAnsi"/>
                <w:b/>
                <w:spacing w:val="-34"/>
                <w:sz w:val="15"/>
                <w:szCs w:val="15"/>
              </w:rPr>
              <w:t xml:space="preserve"> </w:t>
            </w:r>
            <w:r w:rsidRPr="005A1EB1">
              <w:rPr>
                <w:rFonts w:asciiTheme="minorHAnsi" w:hAnsiTheme="minorHAnsi" w:cstheme="minorHAnsi"/>
                <w:b/>
                <w:sz w:val="15"/>
                <w:szCs w:val="15"/>
              </w:rPr>
              <w:t>provedbi</w:t>
            </w:r>
          </w:p>
          <w:p w14:paraId="68E8E841" w14:textId="77777777" w:rsidR="00E541EE" w:rsidRPr="005A1EB1" w:rsidRDefault="00E541EE" w:rsidP="00A84BB5">
            <w:pPr>
              <w:pStyle w:val="TableParagraph"/>
              <w:ind w:left="44" w:right="35"/>
              <w:jc w:val="center"/>
              <w:rPr>
                <w:rFonts w:asciiTheme="minorHAnsi" w:hAnsiTheme="minorHAnsi" w:cstheme="minorHAnsi"/>
                <w:b/>
                <w:sz w:val="15"/>
                <w:szCs w:val="15"/>
              </w:rPr>
            </w:pPr>
            <w:r w:rsidRPr="005A1EB1">
              <w:rPr>
                <w:rFonts w:asciiTheme="minorHAnsi" w:hAnsiTheme="minorHAnsi" w:cstheme="minorHAnsi"/>
                <w:b/>
                <w:sz w:val="15"/>
                <w:szCs w:val="15"/>
              </w:rPr>
              <w:t>nadređenog</w:t>
            </w:r>
          </w:p>
          <w:p w14:paraId="4A23037E" w14:textId="77777777" w:rsidR="00E541EE" w:rsidRPr="00954AD2" w:rsidRDefault="00E541EE" w:rsidP="00A84BB5">
            <w:pPr>
              <w:widowControl w:val="0"/>
              <w:autoSpaceDE w:val="0"/>
              <w:autoSpaceDN w:val="0"/>
              <w:spacing w:line="194" w:lineRule="exact"/>
              <w:ind w:left="44" w:right="38"/>
              <w:jc w:val="center"/>
              <w:rPr>
                <w:b/>
                <w:sz w:val="16"/>
                <w:lang w:val="bs-Latn"/>
              </w:rPr>
            </w:pPr>
            <w:r w:rsidRPr="005A1EB1">
              <w:rPr>
                <w:rFonts w:cstheme="minorHAnsi"/>
                <w:b/>
                <w:sz w:val="15"/>
                <w:szCs w:val="15"/>
              </w:rPr>
              <w:t>akta</w:t>
            </w:r>
            <w:r w:rsidRPr="005A1EB1">
              <w:rPr>
                <w:rFonts w:cstheme="minorHAnsi"/>
                <w:b/>
                <w:spacing w:val="1"/>
                <w:sz w:val="15"/>
                <w:szCs w:val="15"/>
              </w:rPr>
              <w:t xml:space="preserve"> </w:t>
            </w:r>
            <w:r w:rsidRPr="005A1EB1">
              <w:rPr>
                <w:rFonts w:cstheme="minorHAnsi"/>
                <w:b/>
                <w:sz w:val="15"/>
                <w:szCs w:val="15"/>
              </w:rPr>
              <w:t>strateškog</w:t>
            </w:r>
            <w:r w:rsidRPr="005A1EB1">
              <w:rPr>
                <w:rFonts w:cstheme="minorHAnsi"/>
                <w:b/>
                <w:spacing w:val="-34"/>
                <w:sz w:val="15"/>
                <w:szCs w:val="15"/>
              </w:rPr>
              <w:t xml:space="preserve"> </w:t>
            </w:r>
            <w:r w:rsidRPr="005A1EB1">
              <w:rPr>
                <w:rFonts w:cstheme="minorHAnsi"/>
                <w:b/>
                <w:sz w:val="15"/>
                <w:szCs w:val="15"/>
              </w:rPr>
              <w:t>planiranja</w:t>
            </w:r>
          </w:p>
        </w:tc>
        <w:tc>
          <w:tcPr>
            <w:tcW w:w="537" w:type="pct"/>
            <w:vMerge w:val="restart"/>
            <w:vAlign w:val="center"/>
          </w:tcPr>
          <w:p w14:paraId="3C49D89B" w14:textId="77777777" w:rsidR="00E541EE" w:rsidRPr="00954AD2" w:rsidRDefault="00E541EE" w:rsidP="00A84BB5">
            <w:pPr>
              <w:widowControl w:val="0"/>
              <w:autoSpaceDE w:val="0"/>
              <w:autoSpaceDN w:val="0"/>
              <w:spacing w:before="1"/>
              <w:jc w:val="center"/>
              <w:rPr>
                <w:sz w:val="19"/>
                <w:lang w:val="bs-Latn"/>
              </w:rPr>
            </w:pPr>
            <w:r w:rsidRPr="005A1EB1">
              <w:rPr>
                <w:rFonts w:cstheme="minorHAnsi"/>
                <w:b/>
                <w:sz w:val="15"/>
                <w:szCs w:val="15"/>
              </w:rPr>
              <w:t>Naziv</w:t>
            </w:r>
            <w:r w:rsidRPr="005A1EB1">
              <w:rPr>
                <w:rFonts w:cstheme="minorHAnsi"/>
                <w:b/>
                <w:spacing w:val="-3"/>
                <w:sz w:val="15"/>
                <w:szCs w:val="15"/>
              </w:rPr>
              <w:t xml:space="preserve"> </w:t>
            </w:r>
            <w:r w:rsidRPr="005A1EB1">
              <w:rPr>
                <w:rFonts w:cstheme="minorHAnsi"/>
                <w:b/>
                <w:sz w:val="15"/>
                <w:szCs w:val="15"/>
              </w:rPr>
              <w:t>cilja nadređenog</w:t>
            </w:r>
            <w:r w:rsidRPr="005A1EB1">
              <w:rPr>
                <w:rFonts w:cstheme="minorHAnsi"/>
                <w:b/>
                <w:spacing w:val="1"/>
                <w:sz w:val="15"/>
                <w:szCs w:val="15"/>
              </w:rPr>
              <w:t xml:space="preserve"> </w:t>
            </w:r>
            <w:r w:rsidRPr="005A1EB1">
              <w:rPr>
                <w:rFonts w:cstheme="minorHAnsi"/>
                <w:b/>
                <w:spacing w:val="-1"/>
                <w:sz w:val="15"/>
                <w:szCs w:val="15"/>
              </w:rPr>
              <w:t>akta</w:t>
            </w:r>
            <w:r w:rsidRPr="005A1EB1">
              <w:rPr>
                <w:rFonts w:cstheme="minorHAnsi"/>
                <w:b/>
                <w:spacing w:val="-2"/>
                <w:sz w:val="15"/>
                <w:szCs w:val="15"/>
              </w:rPr>
              <w:t xml:space="preserve"> </w:t>
            </w:r>
            <w:r w:rsidRPr="005A1EB1">
              <w:rPr>
                <w:rFonts w:cstheme="minorHAnsi"/>
                <w:b/>
                <w:spacing w:val="-1"/>
                <w:sz w:val="15"/>
                <w:szCs w:val="15"/>
              </w:rPr>
              <w:t xml:space="preserve">strateškog </w:t>
            </w:r>
            <w:r w:rsidRPr="005A1EB1">
              <w:rPr>
                <w:rFonts w:cstheme="minorHAnsi"/>
                <w:b/>
                <w:sz w:val="15"/>
                <w:szCs w:val="15"/>
              </w:rPr>
              <w:t>planiranja</w:t>
            </w:r>
          </w:p>
        </w:tc>
        <w:tc>
          <w:tcPr>
            <w:tcW w:w="462" w:type="pct"/>
            <w:vMerge w:val="restart"/>
            <w:vAlign w:val="center"/>
          </w:tcPr>
          <w:p w14:paraId="7807985C" w14:textId="77777777" w:rsidR="00E541EE" w:rsidRPr="00954AD2" w:rsidRDefault="00E541EE" w:rsidP="00A84BB5">
            <w:pPr>
              <w:widowControl w:val="0"/>
              <w:autoSpaceDE w:val="0"/>
              <w:autoSpaceDN w:val="0"/>
              <w:ind w:left="125" w:right="114"/>
              <w:jc w:val="center"/>
              <w:rPr>
                <w:sz w:val="16"/>
                <w:lang w:val="bs-Latn"/>
              </w:rPr>
            </w:pPr>
            <w:r w:rsidRPr="005A1EB1">
              <w:rPr>
                <w:rFonts w:cstheme="minorHAnsi"/>
                <w:b/>
                <w:spacing w:val="-1"/>
                <w:sz w:val="15"/>
                <w:szCs w:val="15"/>
              </w:rPr>
              <w:t xml:space="preserve">Program </w:t>
            </w:r>
            <w:r w:rsidRPr="005A1EB1">
              <w:rPr>
                <w:rFonts w:cstheme="minorHAnsi"/>
                <w:b/>
                <w:sz w:val="15"/>
                <w:szCs w:val="15"/>
              </w:rPr>
              <w:t>u</w:t>
            </w:r>
            <w:r w:rsidRPr="005A1EB1">
              <w:rPr>
                <w:rFonts w:cstheme="minorHAnsi"/>
                <w:b/>
                <w:spacing w:val="-34"/>
                <w:sz w:val="15"/>
                <w:szCs w:val="15"/>
              </w:rPr>
              <w:t xml:space="preserve"> </w:t>
            </w:r>
            <w:r w:rsidRPr="005A1EB1">
              <w:rPr>
                <w:rFonts w:cstheme="minorHAnsi"/>
                <w:b/>
                <w:sz w:val="15"/>
                <w:szCs w:val="15"/>
              </w:rPr>
              <w:t xml:space="preserve">proračunu </w:t>
            </w:r>
            <w:r w:rsidRPr="005A1EB1">
              <w:rPr>
                <w:rFonts w:cstheme="minorHAnsi"/>
                <w:b/>
                <w:spacing w:val="-34"/>
                <w:sz w:val="15"/>
                <w:szCs w:val="15"/>
              </w:rPr>
              <w:t xml:space="preserve"> </w:t>
            </w:r>
            <w:r w:rsidRPr="005A1EB1">
              <w:rPr>
                <w:rFonts w:cstheme="minorHAnsi"/>
                <w:b/>
                <w:sz w:val="15"/>
                <w:szCs w:val="15"/>
              </w:rPr>
              <w:t>JLS</w:t>
            </w:r>
          </w:p>
        </w:tc>
        <w:tc>
          <w:tcPr>
            <w:tcW w:w="376" w:type="pct"/>
            <w:vMerge w:val="restart"/>
            <w:vAlign w:val="center"/>
          </w:tcPr>
          <w:p w14:paraId="566CEA65" w14:textId="77777777" w:rsidR="00E541EE" w:rsidRPr="00954AD2" w:rsidRDefault="00E541EE" w:rsidP="00A84BB5">
            <w:pPr>
              <w:widowControl w:val="0"/>
              <w:autoSpaceDE w:val="0"/>
              <w:autoSpaceDN w:val="0"/>
              <w:ind w:left="179"/>
              <w:rPr>
                <w:sz w:val="16"/>
                <w:lang w:val="bs-Latn"/>
              </w:rPr>
            </w:pPr>
            <w:r w:rsidRPr="005A1EB1">
              <w:rPr>
                <w:rFonts w:cstheme="minorHAnsi"/>
                <w:b/>
                <w:sz w:val="15"/>
                <w:szCs w:val="15"/>
              </w:rPr>
              <w:t>Naziv</w:t>
            </w:r>
            <w:r w:rsidRPr="005A1EB1">
              <w:rPr>
                <w:rFonts w:cstheme="minorHAnsi"/>
                <w:b/>
                <w:spacing w:val="-2"/>
                <w:sz w:val="15"/>
                <w:szCs w:val="15"/>
              </w:rPr>
              <w:t xml:space="preserve"> </w:t>
            </w:r>
            <w:r w:rsidRPr="005A1EB1">
              <w:rPr>
                <w:rFonts w:cstheme="minorHAnsi"/>
                <w:b/>
                <w:sz w:val="15"/>
                <w:szCs w:val="15"/>
              </w:rPr>
              <w:t>mjere</w:t>
            </w:r>
          </w:p>
        </w:tc>
        <w:tc>
          <w:tcPr>
            <w:tcW w:w="458" w:type="pct"/>
            <w:vMerge w:val="restart"/>
            <w:vAlign w:val="center"/>
          </w:tcPr>
          <w:p w14:paraId="2B6910F7" w14:textId="77777777" w:rsidR="00E541EE" w:rsidRPr="005A1EB1" w:rsidRDefault="00E541EE" w:rsidP="00A84BB5">
            <w:pPr>
              <w:pStyle w:val="TableParagraph"/>
              <w:ind w:left="70" w:right="60"/>
              <w:jc w:val="center"/>
              <w:rPr>
                <w:rFonts w:asciiTheme="minorHAnsi" w:hAnsiTheme="minorHAnsi" w:cstheme="minorHAnsi"/>
                <w:b/>
                <w:sz w:val="15"/>
                <w:szCs w:val="15"/>
              </w:rPr>
            </w:pPr>
            <w:r w:rsidRPr="005A1EB1">
              <w:rPr>
                <w:rFonts w:asciiTheme="minorHAnsi" w:hAnsiTheme="minorHAnsi" w:cstheme="minorHAnsi"/>
                <w:b/>
                <w:sz w:val="15"/>
                <w:szCs w:val="15"/>
              </w:rPr>
              <w:t>Procijenjeni</w:t>
            </w:r>
            <w:r w:rsidRPr="005A1EB1">
              <w:rPr>
                <w:rFonts w:asciiTheme="minorHAnsi" w:hAnsiTheme="minorHAnsi" w:cstheme="minorHAnsi"/>
                <w:b/>
                <w:spacing w:val="-34"/>
                <w:sz w:val="15"/>
                <w:szCs w:val="15"/>
              </w:rPr>
              <w:t xml:space="preserve"> </w:t>
            </w:r>
            <w:r w:rsidRPr="005A1EB1">
              <w:rPr>
                <w:rFonts w:asciiTheme="minorHAnsi" w:hAnsiTheme="minorHAnsi" w:cstheme="minorHAnsi"/>
                <w:b/>
                <w:sz w:val="15"/>
                <w:szCs w:val="15"/>
              </w:rPr>
              <w:t>trošak</w:t>
            </w:r>
            <w:r w:rsidRPr="005A1EB1">
              <w:rPr>
                <w:rFonts w:asciiTheme="minorHAnsi" w:hAnsiTheme="minorHAnsi" w:cstheme="minorHAnsi"/>
                <w:b/>
                <w:spacing w:val="1"/>
                <w:sz w:val="15"/>
                <w:szCs w:val="15"/>
              </w:rPr>
              <w:t xml:space="preserve"> </w:t>
            </w:r>
            <w:r w:rsidRPr="005A1EB1">
              <w:rPr>
                <w:rFonts w:asciiTheme="minorHAnsi" w:hAnsiTheme="minorHAnsi" w:cstheme="minorHAnsi"/>
                <w:b/>
                <w:sz w:val="15"/>
                <w:szCs w:val="15"/>
              </w:rPr>
              <w:t>provedbe</w:t>
            </w:r>
            <w:r w:rsidRPr="005A1EB1">
              <w:rPr>
                <w:rFonts w:asciiTheme="minorHAnsi" w:hAnsiTheme="minorHAnsi" w:cstheme="minorHAnsi"/>
                <w:b/>
                <w:spacing w:val="1"/>
                <w:sz w:val="15"/>
                <w:szCs w:val="15"/>
              </w:rPr>
              <w:t xml:space="preserve"> </w:t>
            </w:r>
            <w:r w:rsidRPr="005A1EB1">
              <w:rPr>
                <w:rFonts w:asciiTheme="minorHAnsi" w:hAnsiTheme="minorHAnsi" w:cstheme="minorHAnsi"/>
                <w:b/>
                <w:sz w:val="15"/>
                <w:szCs w:val="15"/>
              </w:rPr>
              <w:t>mjere 202</w:t>
            </w:r>
            <w:r>
              <w:rPr>
                <w:rFonts w:asciiTheme="minorHAnsi" w:hAnsiTheme="minorHAnsi" w:cstheme="minorHAnsi"/>
                <w:b/>
                <w:sz w:val="15"/>
                <w:szCs w:val="15"/>
              </w:rPr>
              <w:t>5</w:t>
            </w:r>
            <w:r w:rsidRPr="005A1EB1">
              <w:rPr>
                <w:rFonts w:asciiTheme="minorHAnsi" w:hAnsiTheme="minorHAnsi" w:cstheme="minorHAnsi"/>
                <w:b/>
                <w:sz w:val="15"/>
                <w:szCs w:val="15"/>
              </w:rPr>
              <w:t>.</w:t>
            </w:r>
          </w:p>
          <w:p w14:paraId="78BC9943" w14:textId="77777777" w:rsidR="00E541EE" w:rsidRPr="00954AD2" w:rsidRDefault="00E541EE" w:rsidP="00A84BB5">
            <w:pPr>
              <w:widowControl w:val="0"/>
              <w:autoSpaceDE w:val="0"/>
              <w:autoSpaceDN w:val="0"/>
              <w:spacing w:before="2"/>
              <w:ind w:left="70" w:right="58"/>
              <w:jc w:val="center"/>
              <w:rPr>
                <w:sz w:val="11"/>
                <w:lang w:val="bs-Latn"/>
              </w:rPr>
            </w:pPr>
            <w:r w:rsidRPr="005A1EB1">
              <w:rPr>
                <w:rFonts w:cstheme="minorHAnsi"/>
                <w:b/>
                <w:sz w:val="15"/>
                <w:szCs w:val="15"/>
              </w:rPr>
              <w:t>(u EUR)</w:t>
            </w:r>
          </w:p>
        </w:tc>
        <w:tc>
          <w:tcPr>
            <w:tcW w:w="530" w:type="pct"/>
            <w:vMerge w:val="restart"/>
            <w:vAlign w:val="center"/>
          </w:tcPr>
          <w:p w14:paraId="76508EC1" w14:textId="77777777" w:rsidR="00E541EE" w:rsidRPr="005A1EB1" w:rsidRDefault="00E541EE" w:rsidP="00A84BB5">
            <w:pPr>
              <w:pStyle w:val="TableParagraph"/>
              <w:jc w:val="center"/>
              <w:rPr>
                <w:rFonts w:asciiTheme="minorHAnsi" w:hAnsiTheme="minorHAnsi" w:cstheme="minorHAnsi"/>
                <w:b/>
                <w:sz w:val="15"/>
                <w:szCs w:val="15"/>
              </w:rPr>
            </w:pPr>
            <w:r w:rsidRPr="005A1EB1">
              <w:rPr>
                <w:rFonts w:asciiTheme="minorHAnsi" w:hAnsiTheme="minorHAnsi" w:cstheme="minorHAnsi"/>
                <w:b/>
                <w:sz w:val="15"/>
                <w:szCs w:val="15"/>
              </w:rPr>
              <w:t>Ključne</w:t>
            </w:r>
          </w:p>
          <w:p w14:paraId="0B818637" w14:textId="77777777" w:rsidR="00E541EE" w:rsidRPr="00954AD2" w:rsidRDefault="00E541EE" w:rsidP="00A84BB5">
            <w:pPr>
              <w:widowControl w:val="0"/>
              <w:autoSpaceDE w:val="0"/>
              <w:autoSpaceDN w:val="0"/>
              <w:spacing w:before="1"/>
              <w:jc w:val="center"/>
              <w:rPr>
                <w:sz w:val="16"/>
                <w:lang w:val="bs-Latn"/>
              </w:rPr>
            </w:pPr>
            <w:r w:rsidRPr="005A1EB1">
              <w:rPr>
                <w:rFonts w:cstheme="minorHAnsi"/>
                <w:b/>
                <w:sz w:val="15"/>
                <w:szCs w:val="15"/>
              </w:rPr>
              <w:t>aktivnosti</w:t>
            </w:r>
          </w:p>
        </w:tc>
        <w:tc>
          <w:tcPr>
            <w:tcW w:w="665" w:type="pct"/>
            <w:vMerge w:val="restart"/>
            <w:vAlign w:val="center"/>
          </w:tcPr>
          <w:p w14:paraId="0306A874" w14:textId="77777777" w:rsidR="00E541EE" w:rsidRPr="00954AD2" w:rsidRDefault="00E541EE" w:rsidP="00A84BB5">
            <w:pPr>
              <w:widowControl w:val="0"/>
              <w:autoSpaceDE w:val="0"/>
              <w:autoSpaceDN w:val="0"/>
              <w:ind w:left="174" w:right="97" w:hanging="44"/>
              <w:jc w:val="center"/>
              <w:rPr>
                <w:sz w:val="16"/>
                <w:lang w:val="bs-Latn"/>
              </w:rPr>
            </w:pPr>
            <w:r w:rsidRPr="005A1EB1">
              <w:rPr>
                <w:rFonts w:cstheme="minorHAnsi"/>
                <w:b/>
                <w:sz w:val="15"/>
                <w:szCs w:val="15"/>
              </w:rPr>
              <w:t>Pokazatelj</w:t>
            </w:r>
            <w:r w:rsidRPr="005A1EB1">
              <w:rPr>
                <w:rFonts w:cstheme="minorHAnsi"/>
                <w:b/>
                <w:spacing w:val="-34"/>
                <w:sz w:val="15"/>
                <w:szCs w:val="15"/>
              </w:rPr>
              <w:t xml:space="preserve"> </w:t>
            </w:r>
            <w:r w:rsidRPr="005A1EB1">
              <w:rPr>
                <w:rFonts w:cstheme="minorHAnsi"/>
                <w:b/>
                <w:sz w:val="15"/>
                <w:szCs w:val="15"/>
              </w:rPr>
              <w:t>rezultata</w:t>
            </w:r>
          </w:p>
        </w:tc>
        <w:tc>
          <w:tcPr>
            <w:tcW w:w="437" w:type="pct"/>
            <w:vMerge w:val="restart"/>
            <w:vAlign w:val="center"/>
          </w:tcPr>
          <w:p w14:paraId="31790DA8" w14:textId="77777777" w:rsidR="00E541EE" w:rsidRPr="00954AD2" w:rsidRDefault="00E541EE" w:rsidP="00A84BB5">
            <w:pPr>
              <w:widowControl w:val="0"/>
              <w:autoSpaceDE w:val="0"/>
              <w:autoSpaceDN w:val="0"/>
              <w:ind w:left="44" w:right="32"/>
              <w:jc w:val="center"/>
              <w:rPr>
                <w:sz w:val="16"/>
                <w:lang w:val="bs-Latn"/>
              </w:rPr>
            </w:pPr>
            <w:r w:rsidRPr="005A1EB1">
              <w:rPr>
                <w:rFonts w:cstheme="minorHAnsi"/>
                <w:b/>
                <w:sz w:val="15"/>
                <w:szCs w:val="15"/>
              </w:rPr>
              <w:t>Početna</w:t>
            </w:r>
            <w:r w:rsidRPr="005A1EB1">
              <w:rPr>
                <w:rFonts w:cstheme="minorHAnsi"/>
                <w:b/>
                <w:spacing w:val="1"/>
                <w:sz w:val="15"/>
                <w:szCs w:val="15"/>
              </w:rPr>
              <w:t xml:space="preserve"> </w:t>
            </w:r>
            <w:r w:rsidRPr="005A1EB1">
              <w:rPr>
                <w:rFonts w:cstheme="minorHAnsi"/>
                <w:b/>
                <w:sz w:val="15"/>
                <w:szCs w:val="15"/>
              </w:rPr>
              <w:t>vrijednost 202</w:t>
            </w:r>
            <w:r>
              <w:rPr>
                <w:rFonts w:cstheme="minorHAnsi"/>
                <w:b/>
                <w:sz w:val="15"/>
                <w:szCs w:val="15"/>
              </w:rPr>
              <w:t>5</w:t>
            </w:r>
            <w:r w:rsidRPr="005A1EB1">
              <w:rPr>
                <w:rFonts w:cstheme="minorHAnsi"/>
                <w:b/>
                <w:sz w:val="15"/>
                <w:szCs w:val="15"/>
              </w:rPr>
              <w:t>.</w:t>
            </w:r>
          </w:p>
        </w:tc>
        <w:tc>
          <w:tcPr>
            <w:tcW w:w="1075" w:type="pct"/>
            <w:gridSpan w:val="3"/>
            <w:vAlign w:val="center"/>
          </w:tcPr>
          <w:p w14:paraId="0C0DC39F" w14:textId="77777777" w:rsidR="00E541EE" w:rsidRPr="00954AD2" w:rsidRDefault="00E541EE" w:rsidP="00A84BB5">
            <w:pPr>
              <w:widowControl w:val="0"/>
              <w:autoSpaceDE w:val="0"/>
              <w:autoSpaceDN w:val="0"/>
              <w:jc w:val="center"/>
              <w:rPr>
                <w:sz w:val="16"/>
                <w:lang w:val="bs-Latn"/>
              </w:rPr>
            </w:pPr>
            <w:r w:rsidRPr="005A1EB1">
              <w:rPr>
                <w:rFonts w:cstheme="minorHAnsi"/>
                <w:b/>
                <w:sz w:val="15"/>
                <w:szCs w:val="15"/>
              </w:rPr>
              <w:t>Ciljna</w:t>
            </w:r>
            <w:r w:rsidRPr="005A1EB1">
              <w:rPr>
                <w:rFonts w:cstheme="minorHAnsi"/>
                <w:b/>
                <w:spacing w:val="1"/>
                <w:sz w:val="15"/>
                <w:szCs w:val="15"/>
              </w:rPr>
              <w:t xml:space="preserve"> </w:t>
            </w:r>
            <w:r w:rsidRPr="005A1EB1">
              <w:rPr>
                <w:rFonts w:cstheme="minorHAnsi"/>
                <w:b/>
                <w:sz w:val="15"/>
                <w:szCs w:val="15"/>
              </w:rPr>
              <w:t>vrijednost</w:t>
            </w:r>
          </w:p>
        </w:tc>
      </w:tr>
      <w:tr w:rsidR="00E541EE" w:rsidRPr="00954AD2" w14:paraId="24A744C0" w14:textId="77777777" w:rsidTr="00F664F1">
        <w:trPr>
          <w:cantSplit/>
          <w:trHeight w:val="451"/>
        </w:trPr>
        <w:tc>
          <w:tcPr>
            <w:tcW w:w="462" w:type="pct"/>
            <w:vMerge/>
            <w:vAlign w:val="center"/>
          </w:tcPr>
          <w:p w14:paraId="02DBFCCC" w14:textId="77777777" w:rsidR="00E541EE" w:rsidRPr="00954AD2" w:rsidRDefault="00E541EE" w:rsidP="00A84BB5">
            <w:pPr>
              <w:widowControl w:val="0"/>
              <w:autoSpaceDE w:val="0"/>
              <w:autoSpaceDN w:val="0"/>
              <w:spacing w:line="194" w:lineRule="exact"/>
              <w:ind w:left="44" w:right="38"/>
              <w:jc w:val="center"/>
              <w:rPr>
                <w:b/>
                <w:sz w:val="16"/>
                <w:lang w:val="bs-Latn"/>
              </w:rPr>
            </w:pPr>
          </w:p>
        </w:tc>
        <w:tc>
          <w:tcPr>
            <w:tcW w:w="537" w:type="pct"/>
            <w:vMerge/>
            <w:vAlign w:val="center"/>
          </w:tcPr>
          <w:p w14:paraId="4C7DD987" w14:textId="77777777" w:rsidR="00E541EE" w:rsidRPr="00954AD2" w:rsidRDefault="00E541EE" w:rsidP="00A84BB5">
            <w:pPr>
              <w:widowControl w:val="0"/>
              <w:autoSpaceDE w:val="0"/>
              <w:autoSpaceDN w:val="0"/>
              <w:spacing w:before="1"/>
              <w:jc w:val="center"/>
              <w:rPr>
                <w:b/>
                <w:sz w:val="16"/>
                <w:lang w:val="bs-Latn"/>
              </w:rPr>
            </w:pPr>
          </w:p>
        </w:tc>
        <w:tc>
          <w:tcPr>
            <w:tcW w:w="462" w:type="pct"/>
            <w:vMerge/>
            <w:vAlign w:val="center"/>
          </w:tcPr>
          <w:p w14:paraId="130EEB76" w14:textId="77777777" w:rsidR="00E541EE" w:rsidRPr="00954AD2" w:rsidRDefault="00E541EE" w:rsidP="00A84BB5">
            <w:pPr>
              <w:widowControl w:val="0"/>
              <w:autoSpaceDE w:val="0"/>
              <w:autoSpaceDN w:val="0"/>
              <w:ind w:left="125" w:right="114"/>
              <w:jc w:val="center"/>
              <w:rPr>
                <w:b/>
                <w:sz w:val="16"/>
                <w:lang w:val="bs-Latn"/>
              </w:rPr>
            </w:pPr>
          </w:p>
        </w:tc>
        <w:tc>
          <w:tcPr>
            <w:tcW w:w="376" w:type="pct"/>
            <w:vMerge/>
            <w:vAlign w:val="center"/>
          </w:tcPr>
          <w:p w14:paraId="3E6BC910" w14:textId="77777777" w:rsidR="00E541EE" w:rsidRPr="00954AD2" w:rsidRDefault="00E541EE" w:rsidP="00A84BB5">
            <w:pPr>
              <w:widowControl w:val="0"/>
              <w:autoSpaceDE w:val="0"/>
              <w:autoSpaceDN w:val="0"/>
              <w:ind w:left="179"/>
              <w:jc w:val="center"/>
              <w:rPr>
                <w:b/>
                <w:sz w:val="16"/>
                <w:lang w:val="bs-Latn"/>
              </w:rPr>
            </w:pPr>
          </w:p>
        </w:tc>
        <w:tc>
          <w:tcPr>
            <w:tcW w:w="458" w:type="pct"/>
            <w:vMerge/>
            <w:vAlign w:val="center"/>
          </w:tcPr>
          <w:p w14:paraId="480D3152" w14:textId="77777777" w:rsidR="00E541EE" w:rsidRPr="00954AD2" w:rsidRDefault="00E541EE" w:rsidP="00A84BB5">
            <w:pPr>
              <w:widowControl w:val="0"/>
              <w:autoSpaceDE w:val="0"/>
              <w:autoSpaceDN w:val="0"/>
              <w:spacing w:before="2"/>
              <w:ind w:left="70" w:right="58"/>
              <w:jc w:val="center"/>
              <w:rPr>
                <w:b/>
                <w:sz w:val="16"/>
                <w:lang w:val="bs-Latn"/>
              </w:rPr>
            </w:pPr>
          </w:p>
        </w:tc>
        <w:tc>
          <w:tcPr>
            <w:tcW w:w="530" w:type="pct"/>
            <w:vMerge/>
            <w:vAlign w:val="center"/>
          </w:tcPr>
          <w:p w14:paraId="3D29EDB5" w14:textId="77777777" w:rsidR="00E541EE" w:rsidRPr="00954AD2" w:rsidRDefault="00E541EE" w:rsidP="00A84BB5">
            <w:pPr>
              <w:widowControl w:val="0"/>
              <w:autoSpaceDE w:val="0"/>
              <w:autoSpaceDN w:val="0"/>
              <w:spacing w:before="1"/>
              <w:ind w:left="227"/>
              <w:jc w:val="center"/>
              <w:rPr>
                <w:b/>
                <w:sz w:val="16"/>
                <w:lang w:val="bs-Latn"/>
              </w:rPr>
            </w:pPr>
          </w:p>
        </w:tc>
        <w:tc>
          <w:tcPr>
            <w:tcW w:w="665" w:type="pct"/>
            <w:vMerge/>
            <w:vAlign w:val="center"/>
          </w:tcPr>
          <w:p w14:paraId="0C910735" w14:textId="77777777" w:rsidR="00E541EE" w:rsidRPr="00954AD2" w:rsidRDefault="00E541EE" w:rsidP="00A84BB5">
            <w:pPr>
              <w:widowControl w:val="0"/>
              <w:autoSpaceDE w:val="0"/>
              <w:autoSpaceDN w:val="0"/>
              <w:ind w:left="174" w:right="97" w:hanging="44"/>
              <w:jc w:val="center"/>
              <w:rPr>
                <w:b/>
                <w:sz w:val="16"/>
                <w:lang w:val="bs-Latn"/>
              </w:rPr>
            </w:pPr>
          </w:p>
        </w:tc>
        <w:tc>
          <w:tcPr>
            <w:tcW w:w="437" w:type="pct"/>
            <w:vMerge/>
            <w:vAlign w:val="center"/>
          </w:tcPr>
          <w:p w14:paraId="32CE368D" w14:textId="77777777" w:rsidR="00E541EE" w:rsidRPr="00954AD2" w:rsidRDefault="00E541EE" w:rsidP="00A84BB5">
            <w:pPr>
              <w:widowControl w:val="0"/>
              <w:autoSpaceDE w:val="0"/>
              <w:autoSpaceDN w:val="0"/>
              <w:ind w:left="44" w:right="32"/>
              <w:jc w:val="center"/>
              <w:rPr>
                <w:b/>
                <w:sz w:val="16"/>
                <w:lang w:val="bs-Latn"/>
              </w:rPr>
            </w:pPr>
          </w:p>
        </w:tc>
        <w:tc>
          <w:tcPr>
            <w:tcW w:w="307" w:type="pct"/>
            <w:vAlign w:val="center"/>
          </w:tcPr>
          <w:p w14:paraId="2C0F7ED7" w14:textId="77777777" w:rsidR="00E541EE" w:rsidRDefault="00E541EE" w:rsidP="00A84BB5">
            <w:pPr>
              <w:widowControl w:val="0"/>
              <w:autoSpaceDE w:val="0"/>
              <w:autoSpaceDN w:val="0"/>
              <w:jc w:val="center"/>
              <w:rPr>
                <w:rFonts w:cstheme="minorHAnsi"/>
                <w:b/>
                <w:sz w:val="15"/>
                <w:szCs w:val="15"/>
              </w:rPr>
            </w:pPr>
            <w:r>
              <w:rPr>
                <w:rFonts w:cstheme="minorHAnsi"/>
                <w:b/>
                <w:sz w:val="15"/>
                <w:szCs w:val="15"/>
              </w:rPr>
              <w:t>z</w:t>
            </w:r>
            <w:r w:rsidRPr="005A1EB1">
              <w:rPr>
                <w:rFonts w:cstheme="minorHAnsi"/>
                <w:b/>
                <w:sz w:val="15"/>
                <w:szCs w:val="15"/>
              </w:rPr>
              <w:t>a</w:t>
            </w:r>
          </w:p>
          <w:p w14:paraId="6981B9BF" w14:textId="77777777" w:rsidR="00E541EE" w:rsidRPr="00954AD2" w:rsidRDefault="00E541EE" w:rsidP="00A84BB5">
            <w:pPr>
              <w:widowControl w:val="0"/>
              <w:autoSpaceDE w:val="0"/>
              <w:autoSpaceDN w:val="0"/>
              <w:jc w:val="center"/>
              <w:rPr>
                <w:sz w:val="16"/>
                <w:lang w:val="bs-Latn"/>
              </w:rPr>
            </w:pPr>
            <w:r w:rsidRPr="005A1EB1">
              <w:rPr>
                <w:rFonts w:cstheme="minorHAnsi"/>
                <w:b/>
                <w:sz w:val="15"/>
                <w:szCs w:val="15"/>
              </w:rPr>
              <w:t>202</w:t>
            </w:r>
            <w:r>
              <w:rPr>
                <w:rFonts w:cstheme="minorHAnsi"/>
                <w:b/>
                <w:sz w:val="15"/>
                <w:szCs w:val="15"/>
              </w:rPr>
              <w:t>6</w:t>
            </w:r>
            <w:r w:rsidRPr="005A1EB1">
              <w:rPr>
                <w:rFonts w:cstheme="minorHAnsi"/>
                <w:b/>
                <w:sz w:val="15"/>
                <w:szCs w:val="15"/>
              </w:rPr>
              <w:t>.</w:t>
            </w:r>
          </w:p>
        </w:tc>
        <w:tc>
          <w:tcPr>
            <w:tcW w:w="368" w:type="pct"/>
            <w:vAlign w:val="center"/>
          </w:tcPr>
          <w:p w14:paraId="30BFC4B5" w14:textId="77777777" w:rsidR="00E541EE" w:rsidRPr="005A1EB1" w:rsidRDefault="00E541EE" w:rsidP="00A84BB5">
            <w:pPr>
              <w:pStyle w:val="TableParagraph"/>
              <w:ind w:left="75" w:right="61"/>
              <w:jc w:val="center"/>
              <w:rPr>
                <w:rFonts w:asciiTheme="minorHAnsi" w:hAnsiTheme="minorHAnsi" w:cstheme="minorHAnsi"/>
                <w:b/>
                <w:sz w:val="15"/>
                <w:szCs w:val="15"/>
              </w:rPr>
            </w:pPr>
            <w:r w:rsidRPr="005A1EB1">
              <w:rPr>
                <w:rFonts w:asciiTheme="minorHAnsi" w:hAnsiTheme="minorHAnsi" w:cstheme="minorHAnsi"/>
                <w:b/>
                <w:sz w:val="15"/>
                <w:szCs w:val="15"/>
              </w:rPr>
              <w:t>za</w:t>
            </w:r>
          </w:p>
          <w:p w14:paraId="47EA11F2" w14:textId="77777777" w:rsidR="00E541EE" w:rsidRPr="00954AD2" w:rsidRDefault="00E541EE" w:rsidP="00A84BB5">
            <w:pPr>
              <w:widowControl w:val="0"/>
              <w:autoSpaceDE w:val="0"/>
              <w:autoSpaceDN w:val="0"/>
              <w:ind w:left="75" w:right="61"/>
              <w:jc w:val="center"/>
              <w:rPr>
                <w:b/>
                <w:sz w:val="16"/>
                <w:lang w:val="bs-Latn"/>
              </w:rPr>
            </w:pPr>
            <w:r w:rsidRPr="005A1EB1">
              <w:rPr>
                <w:rFonts w:cstheme="minorHAnsi"/>
                <w:b/>
                <w:sz w:val="15"/>
                <w:szCs w:val="15"/>
              </w:rPr>
              <w:t>202</w:t>
            </w:r>
            <w:r>
              <w:rPr>
                <w:rFonts w:cstheme="minorHAnsi"/>
                <w:b/>
                <w:sz w:val="15"/>
                <w:szCs w:val="15"/>
              </w:rPr>
              <w:t>7</w:t>
            </w:r>
            <w:r w:rsidRPr="005A1EB1">
              <w:rPr>
                <w:rFonts w:cstheme="minorHAnsi"/>
                <w:b/>
                <w:sz w:val="15"/>
                <w:szCs w:val="15"/>
              </w:rPr>
              <w:t>.</w:t>
            </w:r>
          </w:p>
        </w:tc>
        <w:tc>
          <w:tcPr>
            <w:tcW w:w="400" w:type="pct"/>
            <w:vAlign w:val="center"/>
          </w:tcPr>
          <w:p w14:paraId="79BF419C" w14:textId="77777777" w:rsidR="00E541EE" w:rsidRPr="005A1EB1" w:rsidRDefault="00E541EE" w:rsidP="00A84BB5">
            <w:pPr>
              <w:pStyle w:val="TableParagraph"/>
              <w:ind w:left="70" w:right="56"/>
              <w:jc w:val="center"/>
              <w:rPr>
                <w:rFonts w:asciiTheme="minorHAnsi" w:hAnsiTheme="minorHAnsi" w:cstheme="minorHAnsi"/>
                <w:b/>
                <w:sz w:val="15"/>
                <w:szCs w:val="15"/>
              </w:rPr>
            </w:pPr>
            <w:r w:rsidRPr="005A1EB1">
              <w:rPr>
                <w:rFonts w:asciiTheme="minorHAnsi" w:hAnsiTheme="minorHAnsi" w:cstheme="minorHAnsi"/>
                <w:b/>
                <w:sz w:val="15"/>
                <w:szCs w:val="15"/>
              </w:rPr>
              <w:t>za</w:t>
            </w:r>
          </w:p>
          <w:p w14:paraId="3944EF90" w14:textId="77777777" w:rsidR="00E541EE" w:rsidRPr="00954AD2" w:rsidRDefault="00E541EE" w:rsidP="00A84BB5">
            <w:pPr>
              <w:widowControl w:val="0"/>
              <w:autoSpaceDE w:val="0"/>
              <w:autoSpaceDN w:val="0"/>
              <w:ind w:left="70" w:right="56"/>
              <w:jc w:val="center"/>
              <w:rPr>
                <w:b/>
                <w:sz w:val="16"/>
                <w:lang w:val="bs-Latn"/>
              </w:rPr>
            </w:pPr>
            <w:r w:rsidRPr="005A1EB1">
              <w:rPr>
                <w:rFonts w:cstheme="minorHAnsi"/>
                <w:b/>
                <w:sz w:val="15"/>
                <w:szCs w:val="15"/>
              </w:rPr>
              <w:t>202</w:t>
            </w:r>
            <w:r>
              <w:rPr>
                <w:rFonts w:cstheme="minorHAnsi"/>
                <w:b/>
                <w:sz w:val="15"/>
                <w:szCs w:val="15"/>
              </w:rPr>
              <w:t>8</w:t>
            </w:r>
            <w:r w:rsidRPr="005A1EB1">
              <w:rPr>
                <w:rFonts w:cstheme="minorHAnsi"/>
                <w:b/>
                <w:sz w:val="15"/>
                <w:szCs w:val="15"/>
              </w:rPr>
              <w:t>.</w:t>
            </w:r>
          </w:p>
        </w:tc>
      </w:tr>
      <w:tr w:rsidR="00E541EE" w:rsidRPr="00954AD2" w14:paraId="3348A95E" w14:textId="77777777" w:rsidTr="00F664F1">
        <w:trPr>
          <w:cantSplit/>
          <w:trHeight w:val="959"/>
        </w:trPr>
        <w:tc>
          <w:tcPr>
            <w:tcW w:w="462" w:type="pct"/>
            <w:vMerge w:val="restart"/>
            <w:vAlign w:val="center"/>
          </w:tcPr>
          <w:p w14:paraId="400540A2" w14:textId="77777777" w:rsidR="00E541EE" w:rsidRPr="00954AD2" w:rsidRDefault="00E541EE" w:rsidP="00A84BB5">
            <w:pPr>
              <w:widowControl w:val="0"/>
              <w:autoSpaceDE w:val="0"/>
              <w:autoSpaceDN w:val="0"/>
              <w:jc w:val="center"/>
              <w:rPr>
                <w:sz w:val="16"/>
                <w:lang w:val="bs-Latn"/>
              </w:rPr>
            </w:pPr>
          </w:p>
          <w:p w14:paraId="248D5A40" w14:textId="77777777" w:rsidR="00E541EE" w:rsidRPr="00954AD2" w:rsidRDefault="00E541EE" w:rsidP="00A84BB5">
            <w:pPr>
              <w:widowControl w:val="0"/>
              <w:autoSpaceDE w:val="0"/>
              <w:autoSpaceDN w:val="0"/>
              <w:ind w:left="42" w:right="33" w:firstLine="33"/>
              <w:jc w:val="center"/>
              <w:rPr>
                <w:sz w:val="16"/>
                <w:lang w:val="bs-Latn"/>
              </w:rPr>
            </w:pPr>
            <w:r w:rsidRPr="00954AD2">
              <w:rPr>
                <w:sz w:val="16"/>
                <w:lang w:val="bs-Latn"/>
              </w:rPr>
              <w:t>Provedbeni program Grada Rovinj-Rovigno 202</w:t>
            </w:r>
            <w:r>
              <w:rPr>
                <w:sz w:val="16"/>
                <w:lang w:val="bs-Latn"/>
              </w:rPr>
              <w:t>5.</w:t>
            </w:r>
            <w:r w:rsidRPr="00954AD2">
              <w:rPr>
                <w:sz w:val="16"/>
                <w:lang w:val="bs-Latn"/>
              </w:rPr>
              <w:t>-202</w:t>
            </w:r>
            <w:r>
              <w:rPr>
                <w:sz w:val="16"/>
                <w:lang w:val="bs-Latn"/>
              </w:rPr>
              <w:t>9.</w:t>
            </w:r>
          </w:p>
        </w:tc>
        <w:tc>
          <w:tcPr>
            <w:tcW w:w="537" w:type="pct"/>
            <w:vMerge w:val="restart"/>
            <w:vAlign w:val="center"/>
          </w:tcPr>
          <w:p w14:paraId="5DCC0318" w14:textId="77777777" w:rsidR="00E541EE" w:rsidRDefault="00E541EE" w:rsidP="00A84BB5">
            <w:pPr>
              <w:widowControl w:val="0"/>
              <w:autoSpaceDE w:val="0"/>
              <w:autoSpaceDN w:val="0"/>
              <w:ind w:left="28" w:right="19" w:firstLine="2"/>
              <w:jc w:val="center"/>
              <w:rPr>
                <w:sz w:val="16"/>
                <w:lang w:val="bs-Latn"/>
              </w:rPr>
            </w:pPr>
            <w:r>
              <w:rPr>
                <w:sz w:val="16"/>
                <w:lang w:val="bs-Latn"/>
              </w:rPr>
              <w:t xml:space="preserve">1.5. Jačanje komunalne infrastrukture i usluga (gospodarenje otpadom, vodoopskrba </w:t>
            </w:r>
          </w:p>
          <w:p w14:paraId="769F923F" w14:textId="77777777" w:rsidR="00E541EE" w:rsidRPr="00954AD2" w:rsidRDefault="00E541EE" w:rsidP="00A84BB5">
            <w:pPr>
              <w:widowControl w:val="0"/>
              <w:autoSpaceDE w:val="0"/>
              <w:autoSpaceDN w:val="0"/>
              <w:ind w:left="28" w:right="19" w:firstLine="2"/>
              <w:jc w:val="center"/>
              <w:rPr>
                <w:sz w:val="16"/>
                <w:lang w:val="bs-Latn"/>
              </w:rPr>
            </w:pPr>
            <w:r>
              <w:rPr>
                <w:sz w:val="16"/>
                <w:lang w:val="bs-Latn"/>
              </w:rPr>
              <w:t>i odvodnja)</w:t>
            </w:r>
          </w:p>
        </w:tc>
        <w:tc>
          <w:tcPr>
            <w:tcW w:w="462" w:type="pct"/>
            <w:vMerge w:val="restart"/>
            <w:shd w:val="clear" w:color="auto" w:fill="FFF1CC"/>
            <w:vAlign w:val="center"/>
          </w:tcPr>
          <w:p w14:paraId="62BA759E" w14:textId="77777777" w:rsidR="00E541EE" w:rsidRPr="00954AD2" w:rsidRDefault="00E541EE" w:rsidP="00A84BB5">
            <w:pPr>
              <w:widowControl w:val="0"/>
              <w:autoSpaceDE w:val="0"/>
              <w:autoSpaceDN w:val="0"/>
              <w:spacing w:before="7"/>
              <w:jc w:val="center"/>
              <w:rPr>
                <w:sz w:val="15"/>
                <w:lang w:val="bs-Latn"/>
              </w:rPr>
            </w:pPr>
          </w:p>
          <w:p w14:paraId="263F1C9F" w14:textId="77777777" w:rsidR="00E541EE" w:rsidRPr="00954AD2" w:rsidRDefault="00E541EE" w:rsidP="00A84BB5">
            <w:pPr>
              <w:widowControl w:val="0"/>
              <w:autoSpaceDE w:val="0"/>
              <w:autoSpaceDN w:val="0"/>
              <w:ind w:left="74" w:right="63" w:hanging="4"/>
              <w:jc w:val="center"/>
              <w:rPr>
                <w:sz w:val="16"/>
                <w:lang w:val="bs-Latn"/>
              </w:rPr>
            </w:pPr>
          </w:p>
          <w:p w14:paraId="5E39BAA7" w14:textId="77777777" w:rsidR="00E541EE" w:rsidRPr="00954AD2" w:rsidRDefault="00E541EE" w:rsidP="00A84BB5">
            <w:pPr>
              <w:widowControl w:val="0"/>
              <w:autoSpaceDE w:val="0"/>
              <w:autoSpaceDN w:val="0"/>
              <w:ind w:left="74" w:right="63" w:hanging="4"/>
              <w:jc w:val="center"/>
              <w:rPr>
                <w:sz w:val="16"/>
                <w:lang w:val="bs-Latn"/>
              </w:rPr>
            </w:pPr>
            <w:r>
              <w:rPr>
                <w:sz w:val="16"/>
                <w:lang w:val="bs-Latn"/>
              </w:rPr>
              <w:t xml:space="preserve">P 1042 JAVNE POTREBE U ZAŠTITI I OČUVA-NJU OKOLIŠA </w:t>
            </w:r>
          </w:p>
        </w:tc>
        <w:tc>
          <w:tcPr>
            <w:tcW w:w="376" w:type="pct"/>
            <w:vMerge w:val="restart"/>
            <w:vAlign w:val="center"/>
          </w:tcPr>
          <w:p w14:paraId="67BA9007" w14:textId="77777777" w:rsidR="00E541EE" w:rsidRPr="00954AD2" w:rsidRDefault="00E541EE" w:rsidP="00A84BB5">
            <w:pPr>
              <w:widowControl w:val="0"/>
              <w:autoSpaceDE w:val="0"/>
              <w:autoSpaceDN w:val="0"/>
              <w:ind w:left="29" w:right="11" w:firstLine="9"/>
              <w:jc w:val="center"/>
              <w:rPr>
                <w:sz w:val="16"/>
                <w:lang w:val="bs-Latn"/>
              </w:rPr>
            </w:pPr>
            <w:r>
              <w:rPr>
                <w:sz w:val="15"/>
              </w:rPr>
              <w:t>Održivo gospod-arenje otpadom</w:t>
            </w:r>
          </w:p>
        </w:tc>
        <w:tc>
          <w:tcPr>
            <w:tcW w:w="458" w:type="pct"/>
            <w:vMerge w:val="restart"/>
            <w:shd w:val="clear" w:color="auto" w:fill="FFF1CC"/>
            <w:vAlign w:val="center"/>
          </w:tcPr>
          <w:p w14:paraId="7B3443F1" w14:textId="77777777" w:rsidR="00E541EE" w:rsidRPr="00954AD2" w:rsidRDefault="00E541EE" w:rsidP="00A84BB5">
            <w:pPr>
              <w:widowControl w:val="0"/>
              <w:autoSpaceDE w:val="0"/>
              <w:autoSpaceDN w:val="0"/>
              <w:jc w:val="center"/>
              <w:rPr>
                <w:sz w:val="16"/>
                <w:lang w:val="bs-Latn"/>
              </w:rPr>
            </w:pPr>
          </w:p>
          <w:p w14:paraId="1F1F67DE" w14:textId="77777777" w:rsidR="00E541EE" w:rsidRPr="00954AD2" w:rsidRDefault="00E541EE" w:rsidP="00A84BB5">
            <w:pPr>
              <w:widowControl w:val="0"/>
              <w:autoSpaceDE w:val="0"/>
              <w:autoSpaceDN w:val="0"/>
              <w:rPr>
                <w:sz w:val="16"/>
                <w:lang w:val="bs-Latn"/>
              </w:rPr>
            </w:pPr>
          </w:p>
          <w:p w14:paraId="12E0781B" w14:textId="77777777" w:rsidR="00E541EE" w:rsidRPr="00954AD2" w:rsidRDefault="00E541EE" w:rsidP="00A84BB5">
            <w:pPr>
              <w:widowControl w:val="0"/>
              <w:autoSpaceDE w:val="0"/>
              <w:autoSpaceDN w:val="0"/>
              <w:jc w:val="center"/>
              <w:rPr>
                <w:sz w:val="16"/>
                <w:lang w:val="bs-Latn"/>
              </w:rPr>
            </w:pPr>
            <w:r>
              <w:rPr>
                <w:sz w:val="16"/>
                <w:lang w:val="bs-Latn"/>
              </w:rPr>
              <w:t>40.000</w:t>
            </w:r>
            <w:r w:rsidRPr="00954AD2">
              <w:rPr>
                <w:sz w:val="16"/>
                <w:lang w:val="bs-Latn"/>
              </w:rPr>
              <w:t xml:space="preserve">,00 </w:t>
            </w:r>
          </w:p>
          <w:p w14:paraId="486C7016" w14:textId="77777777" w:rsidR="00E541EE" w:rsidRPr="00954AD2" w:rsidRDefault="00E541EE" w:rsidP="00A84BB5">
            <w:pPr>
              <w:widowControl w:val="0"/>
              <w:autoSpaceDE w:val="0"/>
              <w:autoSpaceDN w:val="0"/>
              <w:jc w:val="center"/>
              <w:rPr>
                <w:sz w:val="16"/>
                <w:lang w:val="bs-Latn"/>
              </w:rPr>
            </w:pPr>
          </w:p>
          <w:p w14:paraId="0314D263" w14:textId="77777777" w:rsidR="00E541EE" w:rsidRPr="00954AD2" w:rsidRDefault="00E541EE" w:rsidP="00A84BB5">
            <w:pPr>
              <w:widowControl w:val="0"/>
              <w:autoSpaceDE w:val="0"/>
              <w:autoSpaceDN w:val="0"/>
              <w:jc w:val="center"/>
              <w:rPr>
                <w:sz w:val="16"/>
                <w:lang w:val="bs-Latn"/>
              </w:rPr>
            </w:pPr>
          </w:p>
        </w:tc>
        <w:tc>
          <w:tcPr>
            <w:tcW w:w="530" w:type="pct"/>
            <w:vMerge w:val="restart"/>
            <w:vAlign w:val="center"/>
          </w:tcPr>
          <w:p w14:paraId="50D7E400" w14:textId="77777777" w:rsidR="00E541EE" w:rsidRPr="00954AD2" w:rsidRDefault="00E541EE" w:rsidP="00A84BB5">
            <w:pPr>
              <w:widowControl w:val="0"/>
              <w:autoSpaceDE w:val="0"/>
              <w:autoSpaceDN w:val="0"/>
              <w:ind w:left="74" w:right="63" w:hanging="4"/>
              <w:jc w:val="center"/>
              <w:rPr>
                <w:rFonts w:asciiTheme="majorHAnsi" w:hAnsiTheme="majorHAnsi" w:cstheme="majorHAnsi"/>
                <w:b/>
                <w:sz w:val="12"/>
                <w:szCs w:val="12"/>
              </w:rPr>
            </w:pPr>
            <w:r>
              <w:rPr>
                <w:sz w:val="16"/>
                <w:lang w:val="bs-Latn"/>
              </w:rPr>
              <w:t xml:space="preserve">A 104201 Sufinanciranje izgradnje ŽCGO Kaštijun </w:t>
            </w:r>
          </w:p>
        </w:tc>
        <w:tc>
          <w:tcPr>
            <w:tcW w:w="665" w:type="pct"/>
            <w:shd w:val="clear" w:color="auto" w:fill="FFF1CC"/>
            <w:vAlign w:val="center"/>
          </w:tcPr>
          <w:p w14:paraId="0552AB26" w14:textId="77777777" w:rsidR="00E541EE" w:rsidRPr="00B559BD" w:rsidRDefault="00E541EE" w:rsidP="00A84BB5">
            <w:pPr>
              <w:jc w:val="center"/>
              <w:rPr>
                <w:rFonts w:cstheme="minorHAnsi"/>
              </w:rPr>
            </w:pPr>
          </w:p>
          <w:tbl>
            <w:tblPr>
              <w:tblW w:w="0" w:type="auto"/>
              <w:tblLayout w:type="fixed"/>
              <w:tblLook w:val="04A0" w:firstRow="1" w:lastRow="0" w:firstColumn="1" w:lastColumn="0" w:noHBand="0" w:noVBand="1"/>
            </w:tblPr>
            <w:tblGrid>
              <w:gridCol w:w="1130"/>
              <w:gridCol w:w="1130"/>
              <w:gridCol w:w="1130"/>
            </w:tblGrid>
            <w:tr w:rsidR="00E541EE" w:rsidRPr="00B559BD" w14:paraId="110BA145" w14:textId="77777777" w:rsidTr="00A84BB5">
              <w:trPr>
                <w:trHeight w:val="145"/>
              </w:trPr>
              <w:tc>
                <w:tcPr>
                  <w:tcW w:w="1130" w:type="dxa"/>
                </w:tcPr>
                <w:p w14:paraId="4F7C7E6F" w14:textId="77777777" w:rsidR="00E541EE" w:rsidRPr="00B559BD" w:rsidRDefault="00E541EE" w:rsidP="00A84BB5">
                  <w:pPr>
                    <w:autoSpaceDE w:val="0"/>
                    <w:autoSpaceDN w:val="0"/>
                    <w:adjustRightInd w:val="0"/>
                    <w:jc w:val="center"/>
                    <w:rPr>
                      <w:rFonts w:cstheme="minorHAnsi"/>
                      <w:sz w:val="12"/>
                      <w:szCs w:val="12"/>
                    </w:rPr>
                  </w:pPr>
                  <w:r w:rsidRPr="00B559BD">
                    <w:rPr>
                      <w:rFonts w:cstheme="minorHAnsi"/>
                      <w:sz w:val="12"/>
                      <w:szCs w:val="12"/>
                    </w:rPr>
                    <w:t>količina odvojeno prikupljenog otpada (t)</w:t>
                  </w:r>
                </w:p>
              </w:tc>
              <w:tc>
                <w:tcPr>
                  <w:tcW w:w="1130" w:type="dxa"/>
                </w:tcPr>
                <w:p w14:paraId="760B59EA" w14:textId="77777777" w:rsidR="00E541EE" w:rsidRPr="00B559BD" w:rsidRDefault="00E541EE" w:rsidP="00A84BB5">
                  <w:pPr>
                    <w:autoSpaceDE w:val="0"/>
                    <w:autoSpaceDN w:val="0"/>
                    <w:adjustRightInd w:val="0"/>
                    <w:jc w:val="center"/>
                    <w:rPr>
                      <w:rFonts w:cstheme="minorHAnsi"/>
                      <w:sz w:val="12"/>
                      <w:szCs w:val="12"/>
                    </w:rPr>
                  </w:pPr>
                </w:p>
              </w:tc>
              <w:tc>
                <w:tcPr>
                  <w:tcW w:w="1130" w:type="dxa"/>
                </w:tcPr>
                <w:p w14:paraId="2C854DEF" w14:textId="77777777" w:rsidR="00E541EE" w:rsidRPr="00B559BD" w:rsidRDefault="00E541EE" w:rsidP="00A84BB5">
                  <w:pPr>
                    <w:autoSpaceDE w:val="0"/>
                    <w:autoSpaceDN w:val="0"/>
                    <w:adjustRightInd w:val="0"/>
                    <w:jc w:val="center"/>
                    <w:rPr>
                      <w:rFonts w:cstheme="minorHAnsi"/>
                      <w:sz w:val="12"/>
                      <w:szCs w:val="12"/>
                    </w:rPr>
                  </w:pPr>
                </w:p>
              </w:tc>
            </w:tr>
          </w:tbl>
          <w:p w14:paraId="06368692" w14:textId="77777777" w:rsidR="00E541EE" w:rsidRPr="00B559BD" w:rsidRDefault="00E541EE" w:rsidP="00A84BB5">
            <w:pPr>
              <w:widowControl w:val="0"/>
              <w:autoSpaceDE w:val="0"/>
              <w:autoSpaceDN w:val="0"/>
              <w:spacing w:before="2"/>
              <w:jc w:val="center"/>
              <w:rPr>
                <w:rFonts w:cstheme="minorHAnsi"/>
                <w:sz w:val="12"/>
                <w:szCs w:val="12"/>
                <w:lang w:val="bs-Latn"/>
              </w:rPr>
            </w:pPr>
          </w:p>
          <w:p w14:paraId="74D552D9" w14:textId="77777777" w:rsidR="00E541EE" w:rsidRPr="00B559BD" w:rsidRDefault="00E541EE" w:rsidP="00A84BB5">
            <w:pPr>
              <w:autoSpaceDE w:val="0"/>
              <w:autoSpaceDN w:val="0"/>
              <w:adjustRightInd w:val="0"/>
              <w:jc w:val="center"/>
              <w:rPr>
                <w:rFonts w:cstheme="minorHAnsi"/>
                <w:sz w:val="12"/>
                <w:szCs w:val="12"/>
                <w:lang w:val="bs-Latn"/>
              </w:rPr>
            </w:pPr>
          </w:p>
        </w:tc>
        <w:tc>
          <w:tcPr>
            <w:tcW w:w="437" w:type="pct"/>
            <w:shd w:val="clear" w:color="auto" w:fill="FFF1CC"/>
            <w:vAlign w:val="center"/>
          </w:tcPr>
          <w:p w14:paraId="36D8376F" w14:textId="77777777" w:rsidR="00E541EE" w:rsidRPr="00B559BD" w:rsidRDefault="00E541EE" w:rsidP="00A84BB5">
            <w:pPr>
              <w:autoSpaceDE w:val="0"/>
              <w:autoSpaceDN w:val="0"/>
              <w:adjustRightInd w:val="0"/>
              <w:jc w:val="center"/>
              <w:rPr>
                <w:rFonts w:cstheme="minorHAnsi"/>
                <w:sz w:val="12"/>
                <w:szCs w:val="12"/>
              </w:rPr>
            </w:pPr>
            <w:r w:rsidRPr="00B559BD">
              <w:rPr>
                <w:rFonts w:cstheme="minorHAnsi"/>
                <w:sz w:val="12"/>
                <w:szCs w:val="12"/>
              </w:rPr>
              <w:t>2.686</w:t>
            </w:r>
          </w:p>
        </w:tc>
        <w:tc>
          <w:tcPr>
            <w:tcW w:w="307" w:type="pct"/>
            <w:shd w:val="clear" w:color="auto" w:fill="FFF1CC"/>
          </w:tcPr>
          <w:p w14:paraId="1FD366AE" w14:textId="77777777" w:rsidR="00E541EE" w:rsidRPr="00B559BD" w:rsidRDefault="00E541EE" w:rsidP="00A84BB5">
            <w:pPr>
              <w:widowControl w:val="0"/>
              <w:autoSpaceDE w:val="0"/>
              <w:autoSpaceDN w:val="0"/>
              <w:jc w:val="center"/>
              <w:rPr>
                <w:rFonts w:cstheme="minorHAnsi"/>
                <w:sz w:val="18"/>
                <w:szCs w:val="18"/>
              </w:rPr>
            </w:pPr>
          </w:p>
          <w:p w14:paraId="0C16F463" w14:textId="77777777" w:rsidR="00E541EE" w:rsidRPr="00B559BD" w:rsidRDefault="00E541EE" w:rsidP="00A84BB5">
            <w:pPr>
              <w:widowControl w:val="0"/>
              <w:autoSpaceDE w:val="0"/>
              <w:autoSpaceDN w:val="0"/>
              <w:jc w:val="center"/>
              <w:rPr>
                <w:rFonts w:cstheme="minorHAnsi"/>
                <w:sz w:val="12"/>
                <w:szCs w:val="12"/>
              </w:rPr>
            </w:pPr>
          </w:p>
          <w:p w14:paraId="67AA1EE7" w14:textId="77777777" w:rsidR="00E541EE" w:rsidRPr="00B559BD" w:rsidRDefault="00E541EE" w:rsidP="00A84BB5">
            <w:pPr>
              <w:widowControl w:val="0"/>
              <w:autoSpaceDE w:val="0"/>
              <w:autoSpaceDN w:val="0"/>
              <w:rPr>
                <w:rFonts w:cstheme="minorHAnsi"/>
                <w:sz w:val="12"/>
                <w:szCs w:val="12"/>
              </w:rPr>
            </w:pPr>
          </w:p>
          <w:p w14:paraId="047072D1" w14:textId="77777777" w:rsidR="00E541EE" w:rsidRPr="00B559BD" w:rsidRDefault="00E541EE" w:rsidP="00A84BB5">
            <w:pPr>
              <w:widowControl w:val="0"/>
              <w:autoSpaceDE w:val="0"/>
              <w:autoSpaceDN w:val="0"/>
              <w:jc w:val="center"/>
              <w:rPr>
                <w:rFonts w:cstheme="minorHAnsi"/>
                <w:sz w:val="12"/>
                <w:szCs w:val="12"/>
              </w:rPr>
            </w:pPr>
            <w:r w:rsidRPr="00B559BD">
              <w:rPr>
                <w:rFonts w:cstheme="minorHAnsi"/>
                <w:sz w:val="12"/>
                <w:szCs w:val="12"/>
              </w:rPr>
              <w:t>4.800</w:t>
            </w:r>
          </w:p>
        </w:tc>
        <w:tc>
          <w:tcPr>
            <w:tcW w:w="368" w:type="pct"/>
            <w:shd w:val="clear" w:color="auto" w:fill="FFF1CC"/>
            <w:vAlign w:val="center"/>
          </w:tcPr>
          <w:p w14:paraId="68F168CE" w14:textId="77777777" w:rsidR="00E541EE" w:rsidRPr="00B559BD" w:rsidRDefault="00E541EE" w:rsidP="00A84BB5">
            <w:pPr>
              <w:widowControl w:val="0"/>
              <w:autoSpaceDE w:val="0"/>
              <w:autoSpaceDN w:val="0"/>
              <w:jc w:val="center"/>
              <w:rPr>
                <w:rFonts w:cstheme="minorHAnsi"/>
                <w:spacing w:val="-1"/>
                <w:sz w:val="12"/>
                <w:szCs w:val="12"/>
              </w:rPr>
            </w:pPr>
            <w:r w:rsidRPr="00B559BD">
              <w:rPr>
                <w:rFonts w:cstheme="minorHAnsi"/>
                <w:sz w:val="12"/>
                <w:szCs w:val="12"/>
              </w:rPr>
              <w:t>7.500</w:t>
            </w:r>
          </w:p>
        </w:tc>
        <w:tc>
          <w:tcPr>
            <w:tcW w:w="400" w:type="pct"/>
            <w:shd w:val="clear" w:color="auto" w:fill="FFF1CC"/>
            <w:vAlign w:val="center"/>
          </w:tcPr>
          <w:p w14:paraId="104E9F79" w14:textId="77777777" w:rsidR="00E541EE" w:rsidRPr="00B559BD" w:rsidRDefault="00E541EE" w:rsidP="00A84BB5">
            <w:pPr>
              <w:autoSpaceDE w:val="0"/>
              <w:autoSpaceDN w:val="0"/>
              <w:adjustRightInd w:val="0"/>
              <w:jc w:val="center"/>
              <w:rPr>
                <w:rFonts w:cstheme="minorHAnsi"/>
                <w:sz w:val="12"/>
                <w:szCs w:val="12"/>
              </w:rPr>
            </w:pPr>
            <w:r w:rsidRPr="00B559BD">
              <w:rPr>
                <w:rFonts w:cstheme="minorHAnsi"/>
                <w:sz w:val="12"/>
                <w:szCs w:val="12"/>
              </w:rPr>
              <w:t>9.980</w:t>
            </w:r>
          </w:p>
        </w:tc>
      </w:tr>
      <w:tr w:rsidR="00E541EE" w:rsidRPr="00954AD2" w14:paraId="40F579C8" w14:textId="77777777" w:rsidTr="00F664F1">
        <w:trPr>
          <w:cantSplit/>
          <w:trHeight w:val="360"/>
        </w:trPr>
        <w:tc>
          <w:tcPr>
            <w:tcW w:w="462" w:type="pct"/>
            <w:vMerge/>
          </w:tcPr>
          <w:p w14:paraId="05964EC6" w14:textId="77777777" w:rsidR="00E541EE" w:rsidRPr="00954AD2" w:rsidRDefault="00E541EE" w:rsidP="00A84BB5">
            <w:pPr>
              <w:widowControl w:val="0"/>
              <w:autoSpaceDE w:val="0"/>
              <w:autoSpaceDN w:val="0"/>
              <w:jc w:val="center"/>
              <w:rPr>
                <w:sz w:val="16"/>
                <w:lang w:val="bs-Latn"/>
              </w:rPr>
            </w:pPr>
          </w:p>
        </w:tc>
        <w:tc>
          <w:tcPr>
            <w:tcW w:w="537" w:type="pct"/>
            <w:vMerge/>
          </w:tcPr>
          <w:p w14:paraId="7258AA50" w14:textId="77777777" w:rsidR="00E541EE" w:rsidRPr="00954AD2" w:rsidRDefault="00E541EE" w:rsidP="00A84BB5">
            <w:pPr>
              <w:widowControl w:val="0"/>
              <w:autoSpaceDE w:val="0"/>
              <w:autoSpaceDN w:val="0"/>
              <w:ind w:left="28" w:right="19" w:firstLine="2"/>
              <w:jc w:val="center"/>
              <w:rPr>
                <w:sz w:val="16"/>
                <w:lang w:val="bs-Latn"/>
              </w:rPr>
            </w:pPr>
          </w:p>
        </w:tc>
        <w:tc>
          <w:tcPr>
            <w:tcW w:w="462" w:type="pct"/>
            <w:vMerge/>
            <w:shd w:val="clear" w:color="auto" w:fill="FFF1CC"/>
          </w:tcPr>
          <w:p w14:paraId="4E8ABB98" w14:textId="77777777" w:rsidR="00E541EE" w:rsidRPr="00954AD2" w:rsidRDefault="00E541EE" w:rsidP="00A84BB5">
            <w:pPr>
              <w:widowControl w:val="0"/>
              <w:autoSpaceDE w:val="0"/>
              <w:autoSpaceDN w:val="0"/>
              <w:spacing w:before="7"/>
              <w:jc w:val="center"/>
              <w:rPr>
                <w:sz w:val="15"/>
                <w:lang w:val="bs-Latn"/>
              </w:rPr>
            </w:pPr>
          </w:p>
        </w:tc>
        <w:tc>
          <w:tcPr>
            <w:tcW w:w="376" w:type="pct"/>
            <w:vMerge/>
          </w:tcPr>
          <w:p w14:paraId="3B4B8BDD" w14:textId="77777777" w:rsidR="00E541EE" w:rsidRPr="00954AD2" w:rsidRDefault="00E541EE" w:rsidP="00A84BB5">
            <w:pPr>
              <w:widowControl w:val="0"/>
              <w:autoSpaceDE w:val="0"/>
              <w:autoSpaceDN w:val="0"/>
              <w:spacing w:before="7"/>
              <w:jc w:val="center"/>
              <w:rPr>
                <w:sz w:val="15"/>
                <w:lang w:val="bs-Latn"/>
              </w:rPr>
            </w:pPr>
          </w:p>
        </w:tc>
        <w:tc>
          <w:tcPr>
            <w:tcW w:w="458" w:type="pct"/>
            <w:vMerge/>
            <w:shd w:val="clear" w:color="auto" w:fill="FFF1CC"/>
          </w:tcPr>
          <w:p w14:paraId="5C41685D" w14:textId="77777777" w:rsidR="00E541EE" w:rsidRPr="00954AD2" w:rsidRDefault="00E541EE" w:rsidP="00A84BB5">
            <w:pPr>
              <w:widowControl w:val="0"/>
              <w:autoSpaceDE w:val="0"/>
              <w:autoSpaceDN w:val="0"/>
              <w:jc w:val="center"/>
              <w:rPr>
                <w:sz w:val="16"/>
                <w:lang w:val="bs-Latn"/>
              </w:rPr>
            </w:pPr>
          </w:p>
        </w:tc>
        <w:tc>
          <w:tcPr>
            <w:tcW w:w="530" w:type="pct"/>
            <w:vMerge/>
          </w:tcPr>
          <w:p w14:paraId="544D91C6" w14:textId="77777777" w:rsidR="00E541EE" w:rsidRPr="00954AD2" w:rsidRDefault="00E541EE" w:rsidP="00A84BB5">
            <w:pPr>
              <w:widowControl w:val="0"/>
              <w:autoSpaceDE w:val="0"/>
              <w:autoSpaceDN w:val="0"/>
              <w:spacing w:before="7"/>
              <w:jc w:val="center"/>
              <w:rPr>
                <w:sz w:val="16"/>
                <w:lang w:val="bs-Latn"/>
              </w:rPr>
            </w:pPr>
          </w:p>
        </w:tc>
        <w:tc>
          <w:tcPr>
            <w:tcW w:w="665" w:type="pct"/>
            <w:shd w:val="clear" w:color="auto" w:fill="FFF1CC"/>
            <w:vAlign w:val="center"/>
          </w:tcPr>
          <w:p w14:paraId="3EDE388A" w14:textId="77777777" w:rsidR="00E541EE" w:rsidRPr="00B559BD" w:rsidRDefault="00E541EE" w:rsidP="00A84BB5">
            <w:pPr>
              <w:widowControl w:val="0"/>
              <w:autoSpaceDE w:val="0"/>
              <w:autoSpaceDN w:val="0"/>
              <w:jc w:val="center"/>
              <w:rPr>
                <w:rFonts w:cstheme="minorHAnsi"/>
                <w:sz w:val="12"/>
                <w:szCs w:val="12"/>
                <w:lang w:val="bs-Latn"/>
              </w:rPr>
            </w:pPr>
            <w:r w:rsidRPr="00B559BD">
              <w:rPr>
                <w:rFonts w:cstheme="minorHAnsi"/>
                <w:sz w:val="12"/>
                <w:szCs w:val="12"/>
              </w:rPr>
              <w:t>Količina miješanog komunalnog otpada (t)</w:t>
            </w:r>
          </w:p>
        </w:tc>
        <w:tc>
          <w:tcPr>
            <w:tcW w:w="437" w:type="pct"/>
            <w:shd w:val="clear" w:color="auto" w:fill="FFF1CC"/>
            <w:vAlign w:val="center"/>
          </w:tcPr>
          <w:p w14:paraId="6E2BD747" w14:textId="77777777" w:rsidR="00E541EE" w:rsidRPr="00B559BD" w:rsidRDefault="00E541EE" w:rsidP="00A84BB5">
            <w:pPr>
              <w:widowControl w:val="0"/>
              <w:autoSpaceDE w:val="0"/>
              <w:autoSpaceDN w:val="0"/>
              <w:jc w:val="center"/>
              <w:rPr>
                <w:rFonts w:cstheme="minorHAnsi"/>
                <w:sz w:val="12"/>
                <w:szCs w:val="12"/>
                <w:lang w:val="bs-Latn"/>
              </w:rPr>
            </w:pPr>
            <w:r w:rsidRPr="00B559BD">
              <w:rPr>
                <w:rFonts w:cstheme="minorHAnsi"/>
                <w:sz w:val="12"/>
                <w:szCs w:val="12"/>
              </w:rPr>
              <w:t>7.413</w:t>
            </w:r>
          </w:p>
        </w:tc>
        <w:tc>
          <w:tcPr>
            <w:tcW w:w="307" w:type="pct"/>
            <w:shd w:val="clear" w:color="auto" w:fill="FFF1CC"/>
          </w:tcPr>
          <w:p w14:paraId="22EEB422" w14:textId="77777777" w:rsidR="00E541EE" w:rsidRPr="00B559BD" w:rsidRDefault="00E541EE" w:rsidP="00A84BB5">
            <w:pPr>
              <w:widowControl w:val="0"/>
              <w:autoSpaceDE w:val="0"/>
              <w:autoSpaceDN w:val="0"/>
              <w:rPr>
                <w:rFonts w:cstheme="minorHAnsi"/>
                <w:sz w:val="12"/>
                <w:szCs w:val="12"/>
              </w:rPr>
            </w:pPr>
          </w:p>
          <w:p w14:paraId="3A814136" w14:textId="77777777" w:rsidR="00E541EE" w:rsidRPr="00B559BD" w:rsidRDefault="00E541EE" w:rsidP="00A84BB5">
            <w:pPr>
              <w:widowControl w:val="0"/>
              <w:autoSpaceDE w:val="0"/>
              <w:autoSpaceDN w:val="0"/>
              <w:jc w:val="center"/>
              <w:rPr>
                <w:rFonts w:cstheme="minorHAnsi"/>
                <w:sz w:val="12"/>
                <w:szCs w:val="12"/>
              </w:rPr>
            </w:pPr>
            <w:r w:rsidRPr="00B559BD">
              <w:rPr>
                <w:rFonts w:cstheme="minorHAnsi"/>
                <w:sz w:val="12"/>
                <w:szCs w:val="12"/>
              </w:rPr>
              <w:t>15.000</w:t>
            </w:r>
          </w:p>
        </w:tc>
        <w:tc>
          <w:tcPr>
            <w:tcW w:w="368" w:type="pct"/>
            <w:shd w:val="clear" w:color="auto" w:fill="FFF1CC"/>
            <w:vAlign w:val="center"/>
          </w:tcPr>
          <w:p w14:paraId="0BAF8BB0" w14:textId="77777777" w:rsidR="00E541EE" w:rsidRPr="00B559BD" w:rsidRDefault="00E541EE" w:rsidP="00A84BB5">
            <w:pPr>
              <w:widowControl w:val="0"/>
              <w:autoSpaceDE w:val="0"/>
              <w:autoSpaceDN w:val="0"/>
              <w:jc w:val="center"/>
              <w:rPr>
                <w:rFonts w:cstheme="minorHAnsi"/>
                <w:sz w:val="12"/>
                <w:szCs w:val="12"/>
              </w:rPr>
            </w:pPr>
            <w:r w:rsidRPr="00B559BD">
              <w:rPr>
                <w:rFonts w:cstheme="minorHAnsi"/>
                <w:sz w:val="12"/>
                <w:szCs w:val="12"/>
              </w:rPr>
              <w:t>22.000</w:t>
            </w:r>
          </w:p>
        </w:tc>
        <w:tc>
          <w:tcPr>
            <w:tcW w:w="400" w:type="pct"/>
            <w:shd w:val="clear" w:color="auto" w:fill="FFF1CC"/>
            <w:vAlign w:val="center"/>
          </w:tcPr>
          <w:p w14:paraId="688E94F5" w14:textId="77777777" w:rsidR="00E541EE" w:rsidRPr="00B559BD" w:rsidRDefault="00E541EE" w:rsidP="00A84BB5">
            <w:pPr>
              <w:widowControl w:val="0"/>
              <w:autoSpaceDE w:val="0"/>
              <w:autoSpaceDN w:val="0"/>
              <w:jc w:val="center"/>
              <w:rPr>
                <w:rFonts w:cstheme="minorHAnsi"/>
                <w:sz w:val="12"/>
                <w:szCs w:val="12"/>
                <w:lang w:val="bs-Latn"/>
              </w:rPr>
            </w:pPr>
            <w:r w:rsidRPr="00B559BD">
              <w:rPr>
                <w:rFonts w:cstheme="minorHAnsi"/>
                <w:sz w:val="12"/>
                <w:szCs w:val="12"/>
              </w:rPr>
              <w:t>28.500</w:t>
            </w:r>
          </w:p>
        </w:tc>
      </w:tr>
    </w:tbl>
    <w:p w14:paraId="244DD463" w14:textId="77777777" w:rsidR="00E541EE" w:rsidRPr="00447D66" w:rsidRDefault="00E541EE" w:rsidP="00E541EE">
      <w:pPr>
        <w:jc w:val="both"/>
        <w:rPr>
          <w:rFonts w:ascii="Arial" w:eastAsia="Times New Roman" w:hAnsi="Arial" w:cs="Arial"/>
          <w:color w:val="AEAAAA" w:themeColor="background2" w:themeShade="BF"/>
          <w:sz w:val="24"/>
          <w:szCs w:val="24"/>
        </w:rPr>
      </w:pPr>
    </w:p>
    <w:p w14:paraId="58D98E90" w14:textId="77777777" w:rsidR="00E541EE" w:rsidRPr="00625859" w:rsidRDefault="00E541EE" w:rsidP="00E541EE">
      <w:pPr>
        <w:pBdr>
          <w:top w:val="single" w:sz="4" w:space="1" w:color="auto"/>
          <w:left w:val="single" w:sz="4" w:space="4" w:color="auto"/>
          <w:bottom w:val="single" w:sz="4" w:space="1" w:color="auto"/>
          <w:right w:val="single" w:sz="4" w:space="4" w:color="auto"/>
        </w:pBdr>
        <w:shd w:val="clear" w:color="auto" w:fill="E9E9E9"/>
        <w:ind w:right="-1"/>
        <w:rPr>
          <w:rFonts w:ascii="Arial" w:eastAsia="Times New Roman" w:hAnsi="Arial" w:cs="Arial"/>
          <w:b/>
          <w:sz w:val="24"/>
          <w:szCs w:val="24"/>
        </w:rPr>
      </w:pPr>
      <w:r w:rsidRPr="00625859">
        <w:rPr>
          <w:rFonts w:ascii="Arial" w:eastAsia="Times New Roman" w:hAnsi="Arial" w:cs="Arial"/>
          <w:b/>
          <w:sz w:val="24"/>
          <w:szCs w:val="24"/>
        </w:rPr>
        <w:t xml:space="preserve">K 104201: Sufinanciranje izgradnje ŽCGO </w:t>
      </w:r>
      <w:r w:rsidRPr="00625859">
        <w:rPr>
          <w:rFonts w:ascii="Arial Narrow" w:eastAsia="Times New Roman" w:hAnsi="Arial Narrow" w:cs="Arial"/>
          <w:b/>
          <w:sz w:val="24"/>
          <w:szCs w:val="24"/>
        </w:rPr>
        <w:t>„</w:t>
      </w:r>
      <w:r w:rsidRPr="00625859">
        <w:rPr>
          <w:rFonts w:ascii="Arial" w:eastAsia="Times New Roman" w:hAnsi="Arial" w:cs="Arial"/>
          <w:b/>
          <w:sz w:val="24"/>
          <w:szCs w:val="24"/>
        </w:rPr>
        <w:t>Kaštijun</w:t>
      </w:r>
      <w:r w:rsidRPr="00625859">
        <w:rPr>
          <w:rFonts w:ascii="Arial Narrow" w:eastAsia="Times New Roman" w:hAnsi="Arial Narrow" w:cs="Arial"/>
          <w:b/>
          <w:sz w:val="24"/>
          <w:szCs w:val="24"/>
        </w:rPr>
        <w:t xml:space="preserve">“ </w:t>
      </w:r>
      <w:r w:rsidRPr="00625859">
        <w:rPr>
          <w:rFonts w:ascii="Arial" w:eastAsia="Times New Roman" w:hAnsi="Arial" w:cs="Arial"/>
          <w:b/>
          <w:sz w:val="24"/>
          <w:szCs w:val="24"/>
        </w:rPr>
        <w:t>= 40.000,00 EUR</w:t>
      </w:r>
    </w:p>
    <w:p w14:paraId="2D3F17C9" w14:textId="77777777" w:rsidR="00E541EE" w:rsidRPr="00625859" w:rsidRDefault="00E541EE" w:rsidP="00E541EE">
      <w:pPr>
        <w:jc w:val="both"/>
        <w:rPr>
          <w:rFonts w:ascii="Arial" w:eastAsia="Times New Roman" w:hAnsi="Arial" w:cs="Arial"/>
          <w:sz w:val="24"/>
          <w:szCs w:val="24"/>
        </w:rPr>
      </w:pPr>
      <w:r w:rsidRPr="00625859">
        <w:rPr>
          <w:rFonts w:ascii="Arial" w:eastAsia="Times New Roman" w:hAnsi="Arial" w:cs="Arial"/>
          <w:b/>
          <w:sz w:val="24"/>
          <w:szCs w:val="24"/>
        </w:rPr>
        <w:t xml:space="preserve">Zakonska osnova: </w:t>
      </w:r>
      <w:r w:rsidRPr="00625859">
        <w:rPr>
          <w:rFonts w:ascii="Arial" w:eastAsia="Times New Roman" w:hAnsi="Arial" w:cs="Arial"/>
          <w:sz w:val="24"/>
          <w:szCs w:val="24"/>
        </w:rPr>
        <w:t>Zakon o održivom gospodarenju otpadom.</w:t>
      </w:r>
    </w:p>
    <w:p w14:paraId="68803BF4" w14:textId="77777777" w:rsidR="00E541EE" w:rsidRPr="00625859" w:rsidRDefault="00E541EE" w:rsidP="00E541EE">
      <w:pPr>
        <w:jc w:val="both"/>
        <w:rPr>
          <w:rFonts w:ascii="Arial" w:eastAsia="Times New Roman" w:hAnsi="Arial" w:cs="Arial"/>
          <w:sz w:val="24"/>
          <w:szCs w:val="24"/>
        </w:rPr>
      </w:pPr>
      <w:r w:rsidRPr="00625859">
        <w:rPr>
          <w:rFonts w:ascii="Arial" w:eastAsia="Times New Roman" w:hAnsi="Arial" w:cs="Arial"/>
          <w:b/>
          <w:sz w:val="24"/>
          <w:szCs w:val="24"/>
        </w:rPr>
        <w:t xml:space="preserve">Opis: </w:t>
      </w:r>
      <w:r w:rsidRPr="00625859">
        <w:rPr>
          <w:rFonts w:ascii="Arial" w:eastAsia="Times New Roman" w:hAnsi="Arial" w:cs="Arial"/>
          <w:sz w:val="24"/>
          <w:szCs w:val="24"/>
        </w:rPr>
        <w:t xml:space="preserve">sukladno sklopljenom Ugovoru o načinu i uvjetima povrata sredstava u proračun Istarske županije za izgradnju ŽCGO „Kaštijun“, potrebno je godišnje planirati iznos od 40.000,00 </w:t>
      </w:r>
      <w:r>
        <w:rPr>
          <w:rFonts w:ascii="Arial" w:eastAsia="Times New Roman" w:hAnsi="Arial" w:cs="Arial"/>
          <w:sz w:val="24"/>
          <w:szCs w:val="24"/>
        </w:rPr>
        <w:t>eura</w:t>
      </w:r>
      <w:r w:rsidRPr="00625859">
        <w:rPr>
          <w:rFonts w:ascii="Arial" w:eastAsia="Times New Roman" w:hAnsi="Arial" w:cs="Arial"/>
          <w:sz w:val="24"/>
          <w:szCs w:val="24"/>
        </w:rPr>
        <w:t xml:space="preserve"> radi otplate kredita odnosno povrata sredstva u Proračun Istarske županije.</w:t>
      </w:r>
    </w:p>
    <w:p w14:paraId="1A88F9DA" w14:textId="77777777" w:rsidR="00E541EE" w:rsidRPr="00625859" w:rsidRDefault="00E541EE" w:rsidP="00E541EE">
      <w:pPr>
        <w:jc w:val="both"/>
        <w:rPr>
          <w:rFonts w:ascii="Arial" w:eastAsia="Times New Roman" w:hAnsi="Arial" w:cs="Arial"/>
          <w:b/>
          <w:bCs/>
          <w:sz w:val="24"/>
          <w:szCs w:val="24"/>
        </w:rPr>
      </w:pPr>
      <w:r w:rsidRPr="00625859">
        <w:rPr>
          <w:rFonts w:ascii="Arial" w:eastAsia="Times New Roman" w:hAnsi="Arial" w:cs="Arial"/>
          <w:b/>
          <w:bCs/>
          <w:sz w:val="24"/>
          <w:szCs w:val="24"/>
        </w:rPr>
        <w:t xml:space="preserve">Opći cilj: </w:t>
      </w:r>
      <w:r w:rsidRPr="00625859">
        <w:rPr>
          <w:rFonts w:ascii="Arial" w:eastAsia="Times New Roman" w:hAnsi="Arial" w:cs="Arial"/>
          <w:bCs/>
          <w:sz w:val="24"/>
          <w:szCs w:val="24"/>
        </w:rPr>
        <w:t>ispunjenje preuzetih obaveza za izgradnju ŽCGO.</w:t>
      </w:r>
    </w:p>
    <w:p w14:paraId="13E5DD7D" w14:textId="77777777" w:rsidR="00E541EE" w:rsidRPr="00625859" w:rsidRDefault="00E541EE" w:rsidP="00E541EE">
      <w:pPr>
        <w:jc w:val="both"/>
        <w:rPr>
          <w:rFonts w:ascii="Arial" w:eastAsia="Times New Roman" w:hAnsi="Arial" w:cs="Arial"/>
          <w:sz w:val="24"/>
          <w:szCs w:val="24"/>
        </w:rPr>
      </w:pPr>
      <w:r w:rsidRPr="00625859">
        <w:rPr>
          <w:rFonts w:ascii="Arial" w:eastAsia="Times New Roman" w:hAnsi="Arial" w:cs="Arial"/>
          <w:b/>
          <w:bCs/>
          <w:sz w:val="24"/>
          <w:szCs w:val="24"/>
        </w:rPr>
        <w:t>Pokazatelj uspješnosti:</w:t>
      </w:r>
      <w:r w:rsidRPr="00625859">
        <w:rPr>
          <w:rFonts w:ascii="Arial" w:eastAsia="Times New Roman" w:hAnsi="Arial" w:cs="Arial"/>
          <w:sz w:val="24"/>
          <w:szCs w:val="24"/>
        </w:rPr>
        <w:t xml:space="preserve"> izvršenje ugovorne obveze u rokovima.</w:t>
      </w:r>
    </w:p>
    <w:p w14:paraId="746ECE36" w14:textId="77777777" w:rsidR="00E541EE" w:rsidRDefault="00E541EE" w:rsidP="00E541EE">
      <w:pPr>
        <w:jc w:val="both"/>
        <w:rPr>
          <w:rFonts w:ascii="Arial" w:eastAsia="Times New Roman" w:hAnsi="Arial" w:cs="Arial"/>
          <w:color w:val="2F5496" w:themeColor="accent1" w:themeShade="BF"/>
          <w:sz w:val="24"/>
        </w:rPr>
      </w:pPr>
    </w:p>
    <w:p w14:paraId="59E9EA99" w14:textId="77777777" w:rsidR="00E541EE" w:rsidRPr="004A05B4" w:rsidRDefault="00E541EE" w:rsidP="00E541EE">
      <w:pPr>
        <w:pBdr>
          <w:top w:val="single" w:sz="4" w:space="1" w:color="auto"/>
          <w:left w:val="single" w:sz="4" w:space="4" w:color="auto"/>
          <w:bottom w:val="single" w:sz="4" w:space="0" w:color="auto"/>
          <w:right w:val="single" w:sz="4" w:space="4" w:color="auto"/>
        </w:pBdr>
        <w:shd w:val="clear" w:color="auto" w:fill="FFFF80"/>
        <w:jc w:val="both"/>
        <w:rPr>
          <w:rFonts w:ascii="Arial" w:eastAsia="Times New Roman" w:hAnsi="Arial" w:cs="Arial"/>
          <w:b/>
          <w:color w:val="000000" w:themeColor="text1"/>
          <w:sz w:val="24"/>
          <w:lang w:val="sl-SI"/>
        </w:rPr>
      </w:pPr>
      <w:r w:rsidRPr="004A05B4">
        <w:rPr>
          <w:rFonts w:ascii="Arial" w:eastAsia="Times New Roman" w:hAnsi="Arial" w:cs="Arial"/>
          <w:b/>
          <w:color w:val="000000" w:themeColor="text1"/>
          <w:sz w:val="24"/>
          <w:lang w:val="sl-SI"/>
        </w:rPr>
        <w:t xml:space="preserve">Program 1012: </w:t>
      </w:r>
      <w:r w:rsidRPr="004A05B4">
        <w:rPr>
          <w:rFonts w:ascii="Arial" w:eastAsia="Times New Roman" w:hAnsi="Arial" w:cs="Arial"/>
          <w:b/>
          <w:bCs/>
          <w:color w:val="000000" w:themeColor="text1"/>
          <w:sz w:val="24"/>
        </w:rPr>
        <w:t xml:space="preserve">Projekti, studije i elaborati za građevinske objekte </w:t>
      </w:r>
    </w:p>
    <w:p w14:paraId="7DD9C885" w14:textId="77777777" w:rsidR="00E541EE" w:rsidRPr="004A05B4" w:rsidRDefault="00E541EE" w:rsidP="00E541EE">
      <w:pPr>
        <w:pBdr>
          <w:top w:val="single" w:sz="4" w:space="1" w:color="auto"/>
          <w:left w:val="single" w:sz="4" w:space="4" w:color="auto"/>
          <w:bottom w:val="single" w:sz="4" w:space="0" w:color="auto"/>
          <w:right w:val="single" w:sz="4" w:space="4" w:color="auto"/>
        </w:pBdr>
        <w:shd w:val="clear" w:color="auto" w:fill="FFFF80"/>
        <w:jc w:val="both"/>
        <w:rPr>
          <w:rFonts w:ascii="Arial" w:eastAsia="Times New Roman" w:hAnsi="Arial" w:cs="Arial"/>
          <w:b/>
          <w:color w:val="000000" w:themeColor="text1"/>
          <w:sz w:val="24"/>
          <w:lang w:val="sl-SI"/>
        </w:rPr>
      </w:pPr>
      <w:r w:rsidRPr="004A05B4">
        <w:rPr>
          <w:rFonts w:ascii="Arial" w:eastAsia="Times New Roman" w:hAnsi="Arial" w:cs="Arial"/>
          <w:b/>
          <w:color w:val="000000" w:themeColor="text1"/>
          <w:sz w:val="24"/>
          <w:lang w:val="sl-SI"/>
        </w:rPr>
        <w:t>= 8</w:t>
      </w:r>
      <w:r>
        <w:rPr>
          <w:rFonts w:ascii="Arial" w:eastAsia="Times New Roman" w:hAnsi="Arial" w:cs="Arial"/>
          <w:b/>
          <w:color w:val="000000" w:themeColor="text1"/>
          <w:sz w:val="24"/>
          <w:lang w:val="sl-SI"/>
        </w:rPr>
        <w:t>5</w:t>
      </w:r>
      <w:r w:rsidRPr="004A05B4">
        <w:rPr>
          <w:rFonts w:ascii="Arial" w:eastAsia="Times New Roman" w:hAnsi="Arial" w:cs="Arial"/>
          <w:b/>
          <w:color w:val="000000" w:themeColor="text1"/>
          <w:sz w:val="24"/>
          <w:lang w:val="sl-SI"/>
        </w:rPr>
        <w:t>.000,00 EUR</w:t>
      </w:r>
    </w:p>
    <w:p w14:paraId="26EE8776" w14:textId="77777777" w:rsidR="00E541EE" w:rsidRPr="004A05B4" w:rsidRDefault="00E541EE" w:rsidP="00E541EE">
      <w:pPr>
        <w:jc w:val="both"/>
        <w:rPr>
          <w:rFonts w:ascii="Arial" w:eastAsia="Times New Roman" w:hAnsi="Arial" w:cs="Arial"/>
          <w:color w:val="000000" w:themeColor="text1"/>
          <w:sz w:val="24"/>
        </w:rPr>
      </w:pPr>
    </w:p>
    <w:p w14:paraId="27CF7822" w14:textId="77777777" w:rsidR="00E541EE" w:rsidRPr="004A05B4" w:rsidRDefault="00E541EE" w:rsidP="00E541EE">
      <w:pPr>
        <w:pBdr>
          <w:top w:val="single" w:sz="4" w:space="1" w:color="auto"/>
          <w:left w:val="single" w:sz="4" w:space="4" w:color="auto"/>
          <w:bottom w:val="single" w:sz="4" w:space="1" w:color="auto"/>
          <w:right w:val="single" w:sz="4" w:space="4" w:color="auto"/>
        </w:pBdr>
        <w:shd w:val="clear" w:color="auto" w:fill="E9E9E9"/>
        <w:ind w:right="-1"/>
        <w:rPr>
          <w:rFonts w:ascii="Arial" w:eastAsia="Times New Roman" w:hAnsi="Arial" w:cs="Arial"/>
          <w:b/>
          <w:color w:val="000000" w:themeColor="text1"/>
          <w:sz w:val="24"/>
          <w:lang w:val="sl-SI"/>
        </w:rPr>
      </w:pPr>
      <w:r w:rsidRPr="004A05B4">
        <w:rPr>
          <w:rFonts w:ascii="Arial" w:eastAsia="Times New Roman" w:hAnsi="Arial" w:cs="Arial"/>
          <w:b/>
          <w:color w:val="000000" w:themeColor="text1"/>
          <w:sz w:val="24"/>
          <w:lang w:val="sl-SI"/>
        </w:rPr>
        <w:t xml:space="preserve">A 101201: </w:t>
      </w:r>
      <w:r w:rsidRPr="004A05B4">
        <w:rPr>
          <w:rFonts w:ascii="Arial" w:eastAsia="Times New Roman" w:hAnsi="Arial" w:cs="Arial"/>
          <w:b/>
          <w:bCs/>
          <w:color w:val="000000" w:themeColor="text1"/>
          <w:sz w:val="24"/>
        </w:rPr>
        <w:t xml:space="preserve">Projekti i studije za građevinske objekte </w:t>
      </w:r>
      <w:r w:rsidRPr="004A05B4">
        <w:rPr>
          <w:rFonts w:ascii="Arial" w:eastAsia="Times New Roman" w:hAnsi="Arial" w:cs="Arial"/>
          <w:b/>
          <w:color w:val="000000" w:themeColor="text1"/>
          <w:sz w:val="24"/>
          <w:lang w:val="sl-SI"/>
        </w:rPr>
        <w:t>= 8</w:t>
      </w:r>
      <w:r>
        <w:rPr>
          <w:rFonts w:ascii="Arial" w:eastAsia="Times New Roman" w:hAnsi="Arial" w:cs="Arial"/>
          <w:b/>
          <w:color w:val="000000" w:themeColor="text1"/>
          <w:sz w:val="24"/>
          <w:lang w:val="sl-SI"/>
        </w:rPr>
        <w:t>5</w:t>
      </w:r>
      <w:r w:rsidRPr="004A05B4">
        <w:rPr>
          <w:rFonts w:ascii="Arial" w:eastAsia="Times New Roman" w:hAnsi="Arial" w:cs="Arial"/>
          <w:b/>
          <w:color w:val="000000" w:themeColor="text1"/>
          <w:sz w:val="24"/>
          <w:lang w:val="sl-SI"/>
        </w:rPr>
        <w:t>.000,00 EUR</w:t>
      </w:r>
    </w:p>
    <w:p w14:paraId="5D408804" w14:textId="77777777" w:rsidR="00E541EE" w:rsidRPr="004A05B4" w:rsidRDefault="00E541EE" w:rsidP="00E541EE">
      <w:pPr>
        <w:jc w:val="both"/>
        <w:rPr>
          <w:rFonts w:ascii="Arial" w:eastAsia="Times New Roman" w:hAnsi="Arial" w:cs="Arial"/>
          <w:color w:val="000000" w:themeColor="text1"/>
          <w:sz w:val="24"/>
        </w:rPr>
      </w:pPr>
      <w:r w:rsidRPr="004A05B4">
        <w:rPr>
          <w:rFonts w:ascii="Arial" w:eastAsia="Times New Roman" w:hAnsi="Arial" w:cs="Arial"/>
          <w:b/>
          <w:bCs/>
          <w:color w:val="000000" w:themeColor="text1"/>
          <w:sz w:val="24"/>
        </w:rPr>
        <w:t>Zakonska osnova:</w:t>
      </w:r>
      <w:r w:rsidRPr="004A05B4">
        <w:rPr>
          <w:rFonts w:ascii="Arial" w:eastAsia="Times New Roman" w:hAnsi="Arial" w:cs="Arial"/>
          <w:color w:val="000000" w:themeColor="text1"/>
          <w:sz w:val="24"/>
        </w:rPr>
        <w:t xml:space="preserve"> Zakon o lokalnoj i područnoj (regionalnoj) samoupravi, Zakon o prostornom uređenju, Zakon o gradnji, Zakon o komunalnom gospodarstvu, Zakon o zaštiti na radu.</w:t>
      </w:r>
    </w:p>
    <w:p w14:paraId="0FAEEF3A" w14:textId="77777777" w:rsidR="00E541EE" w:rsidRPr="004A05B4" w:rsidRDefault="00E541EE" w:rsidP="00E541EE">
      <w:pPr>
        <w:jc w:val="both"/>
        <w:rPr>
          <w:rFonts w:ascii="Arial" w:eastAsia="Times New Roman" w:hAnsi="Arial" w:cs="Arial"/>
          <w:color w:val="000000" w:themeColor="text1"/>
          <w:sz w:val="24"/>
        </w:rPr>
      </w:pPr>
      <w:r w:rsidRPr="004A05B4">
        <w:rPr>
          <w:rFonts w:ascii="Arial" w:eastAsia="Times New Roman" w:hAnsi="Arial" w:cs="Arial"/>
          <w:b/>
          <w:bCs/>
          <w:color w:val="000000" w:themeColor="text1"/>
          <w:sz w:val="24"/>
        </w:rPr>
        <w:t>Opis:</w:t>
      </w:r>
      <w:r w:rsidRPr="004A05B4">
        <w:rPr>
          <w:rFonts w:ascii="Arial" w:eastAsia="Times New Roman" w:hAnsi="Arial" w:cs="Arial"/>
          <w:color w:val="000000" w:themeColor="text1"/>
          <w:sz w:val="24"/>
        </w:rPr>
        <w:t xml:space="preserve"> ovim sredstvima financira se izrada studija, projekata i pripremne dokumentacije sukladno pozitivnim propisima. Sukladno potrebama planiranja, nabave i izvođenja radova izvanrednog održavanja objekata u nadležnosti Grada Rovinja-Rovigno izraditi će se izvedbeni projekti izvođenja radova investicijskog održavanja. Također radi potrebe izvođenja građevinskih radova niskogradnje na javnim prometnicama izraditi će se prometni elaborati te ostala pripremna dokumentacija. </w:t>
      </w:r>
    </w:p>
    <w:p w14:paraId="451C3B84" w14:textId="77777777" w:rsidR="00E541EE" w:rsidRPr="004A05B4" w:rsidRDefault="00E541EE" w:rsidP="00E541EE">
      <w:pPr>
        <w:jc w:val="both"/>
        <w:rPr>
          <w:rFonts w:ascii="Arial" w:eastAsia="Times New Roman" w:hAnsi="Arial" w:cs="Arial"/>
          <w:color w:val="000000" w:themeColor="text1"/>
          <w:sz w:val="24"/>
        </w:rPr>
      </w:pPr>
      <w:r w:rsidRPr="004A05B4">
        <w:rPr>
          <w:rFonts w:ascii="Arial" w:eastAsia="Times New Roman" w:hAnsi="Arial" w:cs="Arial"/>
          <w:color w:val="000000" w:themeColor="text1"/>
          <w:sz w:val="24"/>
          <w:szCs w:val="24"/>
        </w:rPr>
        <w:t xml:space="preserve">Programom je planirana izrada projektne dokumentacije: izrada glavnih projekta za ishođenje građevinskih dozvola te izrada izvedbenih projekata i troškovnika za pripremu javnih nabava i građenje. </w:t>
      </w:r>
    </w:p>
    <w:p w14:paraId="672420AD" w14:textId="77777777" w:rsidR="00E541EE" w:rsidRPr="004A05B4" w:rsidRDefault="00E541EE" w:rsidP="00E541EE">
      <w:pPr>
        <w:jc w:val="both"/>
        <w:rPr>
          <w:rFonts w:ascii="Arial" w:eastAsia="Times New Roman" w:hAnsi="Arial" w:cs="Arial"/>
          <w:color w:val="000000" w:themeColor="text1"/>
          <w:sz w:val="24"/>
        </w:rPr>
      </w:pPr>
      <w:r w:rsidRPr="004A05B4">
        <w:rPr>
          <w:rFonts w:ascii="Arial" w:eastAsia="Times New Roman" w:hAnsi="Arial" w:cs="Arial"/>
          <w:color w:val="000000" w:themeColor="text1"/>
          <w:sz w:val="24"/>
        </w:rPr>
        <w:t>Radi odgovarajućeg i propisnog izvođenja radova izraditi će se Planovi izvođenja radova na privremenim i pokretnim gradilištima.</w:t>
      </w:r>
      <w:r>
        <w:rPr>
          <w:rFonts w:ascii="Arial" w:eastAsia="Times New Roman" w:hAnsi="Arial" w:cs="Arial"/>
          <w:color w:val="000000" w:themeColor="text1"/>
          <w:sz w:val="24"/>
        </w:rPr>
        <w:t xml:space="preserve"> Planirana projektna dokumentacija u 2026. godini: Akcijski plan gradnje i/ili rekonstrukcije vanjske rasvjete, nogostup u Ulici 43. istarske divizije, okoliš i dječje igralište škole u Rovinjskom Selu, školsko igralište Vladimir Nazor, zelenilo Punta Corrente, parter oko crkvice Sv. Trojstva.</w:t>
      </w:r>
    </w:p>
    <w:p w14:paraId="70067200" w14:textId="77777777" w:rsidR="00E541EE" w:rsidRPr="004A05B4" w:rsidRDefault="00E541EE" w:rsidP="00E541EE">
      <w:pPr>
        <w:jc w:val="both"/>
        <w:rPr>
          <w:rFonts w:ascii="Arial" w:eastAsia="Times New Roman" w:hAnsi="Arial" w:cs="Arial"/>
          <w:color w:val="000000" w:themeColor="text1"/>
          <w:sz w:val="24"/>
        </w:rPr>
      </w:pPr>
      <w:r w:rsidRPr="004A05B4">
        <w:rPr>
          <w:rFonts w:ascii="Arial" w:eastAsia="Times New Roman" w:hAnsi="Arial" w:cs="Arial"/>
          <w:b/>
          <w:bCs/>
          <w:color w:val="000000" w:themeColor="text1"/>
          <w:sz w:val="24"/>
        </w:rPr>
        <w:t>Opći cilj:</w:t>
      </w:r>
      <w:r w:rsidRPr="004A05B4">
        <w:rPr>
          <w:rFonts w:ascii="Arial" w:eastAsia="Times New Roman" w:hAnsi="Arial" w:cs="Arial"/>
          <w:color w:val="000000" w:themeColor="text1"/>
          <w:sz w:val="24"/>
        </w:rPr>
        <w:t xml:space="preserve"> kroz ovu aktivnost predviđa se projektnim dokumentacijama omogućiti ishođenje akata za gradnju za potrebe izgradnje objekata komunalne infrastrukture koja je u nadležnosti lokalne samouprave, a to su gradske prometne površine kolnika i nogostupa, parkirališta, objekti za odvodnju oborinskih voda sa javnih površina te objekti javne rasvjete s ciljem daljnje izgradnje prometnica na području Grada Rovinja-Rovigno.  </w:t>
      </w:r>
    </w:p>
    <w:p w14:paraId="42504C15" w14:textId="77777777" w:rsidR="00E541EE" w:rsidRDefault="00E541EE" w:rsidP="00E541EE">
      <w:pPr>
        <w:jc w:val="both"/>
        <w:rPr>
          <w:rFonts w:ascii="Arial" w:eastAsia="Times New Roman" w:hAnsi="Arial" w:cs="Arial"/>
          <w:color w:val="000000" w:themeColor="text1"/>
          <w:sz w:val="24"/>
        </w:rPr>
      </w:pPr>
      <w:r w:rsidRPr="004A05B4">
        <w:rPr>
          <w:rFonts w:ascii="Arial" w:eastAsia="Times New Roman" w:hAnsi="Arial" w:cs="Arial"/>
          <w:b/>
          <w:bCs/>
          <w:color w:val="000000" w:themeColor="text1"/>
          <w:sz w:val="24"/>
        </w:rPr>
        <w:t>Pokazatelj uspješnosti:</w:t>
      </w:r>
      <w:r w:rsidRPr="004A05B4">
        <w:rPr>
          <w:rFonts w:ascii="Arial" w:eastAsia="Times New Roman" w:hAnsi="Arial" w:cs="Arial"/>
          <w:color w:val="000000" w:themeColor="text1"/>
          <w:sz w:val="24"/>
        </w:rPr>
        <w:t xml:space="preserve"> izrađena studija, projekti i dokumentacija sukladno ovom programu uz uvjet ishođenih prethodnih akata i riješenih imovinsko pravnih odnosa.</w:t>
      </w:r>
    </w:p>
    <w:p w14:paraId="1D8392A1" w14:textId="77777777" w:rsidR="00E541EE" w:rsidRPr="006D6E95" w:rsidRDefault="00E541EE" w:rsidP="00E541EE">
      <w:pPr>
        <w:jc w:val="both"/>
        <w:rPr>
          <w:rFonts w:ascii="Arial" w:eastAsia="Times New Roman" w:hAnsi="Arial" w:cs="Arial"/>
          <w:color w:val="000000" w:themeColor="text1"/>
          <w:sz w:val="24"/>
        </w:rPr>
      </w:pPr>
    </w:p>
    <w:p w14:paraId="5B9CEB86" w14:textId="77777777" w:rsidR="00E541EE" w:rsidRPr="004A05B4" w:rsidRDefault="00E541EE" w:rsidP="00E541EE">
      <w:pPr>
        <w:pBdr>
          <w:top w:val="single" w:sz="4" w:space="1" w:color="auto"/>
          <w:left w:val="single" w:sz="4" w:space="4" w:color="auto"/>
          <w:bottom w:val="single" w:sz="4" w:space="0" w:color="auto"/>
          <w:right w:val="single" w:sz="4" w:space="4" w:color="auto"/>
        </w:pBdr>
        <w:shd w:val="clear" w:color="auto" w:fill="FFFF80"/>
        <w:jc w:val="both"/>
        <w:rPr>
          <w:rFonts w:ascii="Arial" w:eastAsia="Times New Roman" w:hAnsi="Arial" w:cs="Arial"/>
          <w:b/>
          <w:color w:val="000000" w:themeColor="text1"/>
          <w:sz w:val="24"/>
          <w:lang w:val="sl-SI"/>
        </w:rPr>
      </w:pPr>
      <w:r w:rsidRPr="004A05B4">
        <w:rPr>
          <w:rFonts w:ascii="Arial" w:eastAsia="Times New Roman" w:hAnsi="Arial" w:cs="Arial"/>
          <w:b/>
          <w:color w:val="000000" w:themeColor="text1"/>
          <w:sz w:val="24"/>
          <w:lang w:val="sl-SI"/>
        </w:rPr>
        <w:t xml:space="preserve">Program 1013: </w:t>
      </w:r>
      <w:r w:rsidRPr="004A05B4">
        <w:rPr>
          <w:rFonts w:ascii="Arial" w:eastAsia="Times New Roman" w:hAnsi="Arial" w:cs="Arial"/>
          <w:b/>
          <w:bCs/>
          <w:color w:val="000000" w:themeColor="text1"/>
          <w:sz w:val="24"/>
        </w:rPr>
        <w:t xml:space="preserve">Investicijsko održavanje objekata </w:t>
      </w:r>
      <w:r w:rsidRPr="004A05B4">
        <w:rPr>
          <w:rFonts w:ascii="Arial" w:eastAsia="Times New Roman" w:hAnsi="Arial" w:cs="Arial"/>
          <w:b/>
          <w:color w:val="000000" w:themeColor="text1"/>
          <w:sz w:val="24"/>
          <w:lang w:val="sl-SI"/>
        </w:rPr>
        <w:t>= 1.229.625,00 EUR</w:t>
      </w:r>
    </w:p>
    <w:p w14:paraId="2E0466FF" w14:textId="77777777" w:rsidR="00E541EE" w:rsidRDefault="00E541EE" w:rsidP="00E541EE">
      <w:pPr>
        <w:jc w:val="both"/>
        <w:rPr>
          <w:rFonts w:ascii="Arial" w:eastAsia="Times New Roman" w:hAnsi="Arial" w:cs="Arial"/>
          <w:sz w:val="24"/>
        </w:rPr>
      </w:pPr>
    </w:p>
    <w:tbl>
      <w:tblPr>
        <w:tblW w:w="5016" w:type="pct"/>
        <w:tblLayout w:type="fixed"/>
        <w:tblLook w:val="04A0" w:firstRow="1" w:lastRow="0" w:firstColumn="1" w:lastColumn="0" w:noHBand="0" w:noVBand="1"/>
      </w:tblPr>
      <w:tblGrid>
        <w:gridCol w:w="1249"/>
        <w:gridCol w:w="1101"/>
        <w:gridCol w:w="1101"/>
        <w:gridCol w:w="784"/>
        <w:gridCol w:w="1099"/>
        <w:gridCol w:w="941"/>
        <w:gridCol w:w="943"/>
        <w:gridCol w:w="957"/>
        <w:gridCol w:w="622"/>
        <w:gridCol w:w="624"/>
        <w:gridCol w:w="808"/>
      </w:tblGrid>
      <w:tr w:rsidR="00E541EE" w:rsidRPr="0017172C" w14:paraId="06E52DBA" w14:textId="77777777" w:rsidTr="00A84BB5">
        <w:trPr>
          <w:trHeight w:val="575"/>
        </w:trPr>
        <w:tc>
          <w:tcPr>
            <w:tcW w:w="611" w:type="pct"/>
            <w:vMerge w:val="restart"/>
            <w:tcBorders>
              <w:top w:val="single" w:sz="4" w:space="0" w:color="auto"/>
              <w:left w:val="single" w:sz="4" w:space="0" w:color="auto"/>
              <w:right w:val="single" w:sz="4" w:space="0" w:color="auto"/>
            </w:tcBorders>
            <w:vAlign w:val="center"/>
            <w:hideMark/>
          </w:tcPr>
          <w:p w14:paraId="79F00D04" w14:textId="77777777" w:rsidR="00E541EE" w:rsidRPr="00E324E5" w:rsidRDefault="00E541EE" w:rsidP="00A84BB5">
            <w:pPr>
              <w:pStyle w:val="TableParagraph"/>
              <w:ind w:left="44" w:right="35"/>
              <w:jc w:val="center"/>
              <w:rPr>
                <w:rFonts w:asciiTheme="minorHAnsi" w:hAnsiTheme="minorHAnsi" w:cstheme="minorHAnsi"/>
                <w:b/>
                <w:sz w:val="15"/>
                <w:szCs w:val="15"/>
              </w:rPr>
            </w:pPr>
            <w:r w:rsidRPr="00E324E5">
              <w:rPr>
                <w:rFonts w:asciiTheme="minorHAnsi" w:hAnsiTheme="minorHAnsi" w:cstheme="minorHAnsi"/>
                <w:b/>
                <w:sz w:val="15"/>
                <w:szCs w:val="15"/>
              </w:rPr>
              <w:t>Doprinos</w:t>
            </w:r>
            <w:r w:rsidRPr="00E324E5">
              <w:rPr>
                <w:rFonts w:asciiTheme="minorHAnsi" w:hAnsiTheme="minorHAnsi" w:cstheme="minorHAnsi"/>
                <w:b/>
                <w:spacing w:val="-34"/>
                <w:sz w:val="15"/>
                <w:szCs w:val="15"/>
              </w:rPr>
              <w:t xml:space="preserve"> </w:t>
            </w:r>
            <w:r w:rsidRPr="00E324E5">
              <w:rPr>
                <w:rFonts w:asciiTheme="minorHAnsi" w:hAnsiTheme="minorHAnsi" w:cstheme="minorHAnsi"/>
                <w:b/>
                <w:sz w:val="15"/>
                <w:szCs w:val="15"/>
              </w:rPr>
              <w:t>provedbi</w:t>
            </w:r>
          </w:p>
          <w:p w14:paraId="09303E21" w14:textId="77777777" w:rsidR="00E541EE" w:rsidRPr="00E324E5" w:rsidRDefault="00E541EE" w:rsidP="00A84BB5">
            <w:pPr>
              <w:pStyle w:val="TableParagraph"/>
              <w:ind w:left="44" w:right="35"/>
              <w:jc w:val="center"/>
              <w:rPr>
                <w:rFonts w:asciiTheme="minorHAnsi" w:hAnsiTheme="minorHAnsi" w:cstheme="minorHAnsi"/>
                <w:b/>
                <w:sz w:val="15"/>
                <w:szCs w:val="15"/>
              </w:rPr>
            </w:pPr>
            <w:r w:rsidRPr="00E324E5">
              <w:rPr>
                <w:rFonts w:asciiTheme="minorHAnsi" w:hAnsiTheme="minorHAnsi" w:cstheme="minorHAnsi"/>
                <w:b/>
                <w:sz w:val="15"/>
                <w:szCs w:val="15"/>
              </w:rPr>
              <w:t>nadređenog</w:t>
            </w:r>
          </w:p>
          <w:p w14:paraId="1ACC2C37" w14:textId="77777777" w:rsidR="00E541EE" w:rsidRPr="00E324E5" w:rsidRDefault="00E541EE" w:rsidP="00A84BB5">
            <w:pPr>
              <w:jc w:val="center"/>
              <w:rPr>
                <w:rFonts w:eastAsia="Times New Roman"/>
                <w:b/>
                <w:bCs/>
                <w:sz w:val="15"/>
                <w:szCs w:val="15"/>
              </w:rPr>
            </w:pPr>
            <w:r w:rsidRPr="00E324E5">
              <w:rPr>
                <w:rFonts w:cstheme="minorHAnsi"/>
                <w:b/>
                <w:sz w:val="15"/>
                <w:szCs w:val="15"/>
              </w:rPr>
              <w:t>akta</w:t>
            </w:r>
            <w:r w:rsidRPr="00E324E5">
              <w:rPr>
                <w:rFonts w:cstheme="minorHAnsi"/>
                <w:b/>
                <w:spacing w:val="1"/>
                <w:sz w:val="15"/>
                <w:szCs w:val="15"/>
              </w:rPr>
              <w:t xml:space="preserve"> </w:t>
            </w:r>
            <w:r w:rsidRPr="00E324E5">
              <w:rPr>
                <w:rFonts w:cstheme="minorHAnsi"/>
                <w:b/>
                <w:sz w:val="15"/>
                <w:szCs w:val="15"/>
              </w:rPr>
              <w:t>strateškog</w:t>
            </w:r>
            <w:r w:rsidRPr="00E324E5">
              <w:rPr>
                <w:rFonts w:cstheme="minorHAnsi"/>
                <w:b/>
                <w:spacing w:val="-34"/>
                <w:sz w:val="15"/>
                <w:szCs w:val="15"/>
              </w:rPr>
              <w:t xml:space="preserve"> </w:t>
            </w:r>
            <w:r w:rsidRPr="00E324E5">
              <w:rPr>
                <w:rFonts w:cstheme="minorHAnsi"/>
                <w:b/>
                <w:sz w:val="15"/>
                <w:szCs w:val="15"/>
              </w:rPr>
              <w:t>planiranja</w:t>
            </w:r>
          </w:p>
        </w:tc>
        <w:tc>
          <w:tcPr>
            <w:tcW w:w="538" w:type="pct"/>
            <w:vMerge w:val="restart"/>
            <w:tcBorders>
              <w:top w:val="single" w:sz="4" w:space="0" w:color="auto"/>
              <w:left w:val="nil"/>
              <w:right w:val="single" w:sz="4" w:space="0" w:color="auto"/>
            </w:tcBorders>
            <w:vAlign w:val="center"/>
            <w:hideMark/>
          </w:tcPr>
          <w:p w14:paraId="25C9049C" w14:textId="77777777" w:rsidR="00E541EE" w:rsidRPr="00E324E5" w:rsidRDefault="00E541EE" w:rsidP="00A84BB5">
            <w:pPr>
              <w:jc w:val="center"/>
              <w:rPr>
                <w:rFonts w:eastAsia="Times New Roman"/>
                <w:b/>
                <w:bCs/>
                <w:sz w:val="15"/>
                <w:szCs w:val="15"/>
              </w:rPr>
            </w:pPr>
            <w:r w:rsidRPr="00E324E5">
              <w:rPr>
                <w:rFonts w:cstheme="minorHAnsi"/>
                <w:b/>
                <w:sz w:val="15"/>
                <w:szCs w:val="15"/>
              </w:rPr>
              <w:t>Naziv</w:t>
            </w:r>
            <w:r w:rsidRPr="00E324E5">
              <w:rPr>
                <w:rFonts w:cstheme="minorHAnsi"/>
                <w:b/>
                <w:spacing w:val="-3"/>
                <w:sz w:val="15"/>
                <w:szCs w:val="15"/>
              </w:rPr>
              <w:t xml:space="preserve"> </w:t>
            </w:r>
            <w:r w:rsidRPr="00E324E5">
              <w:rPr>
                <w:rFonts w:cstheme="minorHAnsi"/>
                <w:b/>
                <w:sz w:val="15"/>
                <w:szCs w:val="15"/>
              </w:rPr>
              <w:t>cilja nadređenog</w:t>
            </w:r>
            <w:r w:rsidRPr="00E324E5">
              <w:rPr>
                <w:rFonts w:cstheme="minorHAnsi"/>
                <w:b/>
                <w:spacing w:val="1"/>
                <w:sz w:val="15"/>
                <w:szCs w:val="15"/>
              </w:rPr>
              <w:t xml:space="preserve"> </w:t>
            </w:r>
            <w:r w:rsidRPr="00E324E5">
              <w:rPr>
                <w:rFonts w:cstheme="minorHAnsi"/>
                <w:b/>
                <w:spacing w:val="-1"/>
                <w:sz w:val="15"/>
                <w:szCs w:val="15"/>
              </w:rPr>
              <w:t>akta</w:t>
            </w:r>
            <w:r w:rsidRPr="00E324E5">
              <w:rPr>
                <w:rFonts w:cstheme="minorHAnsi"/>
                <w:b/>
                <w:spacing w:val="-2"/>
                <w:sz w:val="15"/>
                <w:szCs w:val="15"/>
              </w:rPr>
              <w:t xml:space="preserve"> </w:t>
            </w:r>
            <w:r w:rsidRPr="00E324E5">
              <w:rPr>
                <w:rFonts w:cstheme="minorHAnsi"/>
                <w:b/>
                <w:spacing w:val="-1"/>
                <w:sz w:val="15"/>
                <w:szCs w:val="15"/>
              </w:rPr>
              <w:t xml:space="preserve">strateškog </w:t>
            </w:r>
            <w:r w:rsidRPr="00E324E5">
              <w:rPr>
                <w:rFonts w:cstheme="minorHAnsi"/>
                <w:b/>
                <w:sz w:val="15"/>
                <w:szCs w:val="15"/>
              </w:rPr>
              <w:t>planiranja</w:t>
            </w:r>
          </w:p>
        </w:tc>
        <w:tc>
          <w:tcPr>
            <w:tcW w:w="538" w:type="pct"/>
            <w:vMerge w:val="restart"/>
            <w:tcBorders>
              <w:top w:val="single" w:sz="4" w:space="0" w:color="auto"/>
              <w:left w:val="nil"/>
              <w:right w:val="single" w:sz="4" w:space="0" w:color="auto"/>
            </w:tcBorders>
            <w:vAlign w:val="center"/>
            <w:hideMark/>
          </w:tcPr>
          <w:p w14:paraId="2BC2AB37" w14:textId="77777777" w:rsidR="00E541EE" w:rsidRPr="00E324E5" w:rsidRDefault="00E541EE" w:rsidP="00A84BB5">
            <w:pPr>
              <w:jc w:val="center"/>
              <w:rPr>
                <w:rFonts w:eastAsia="Times New Roman"/>
                <w:b/>
                <w:bCs/>
                <w:sz w:val="15"/>
                <w:szCs w:val="15"/>
              </w:rPr>
            </w:pPr>
            <w:r w:rsidRPr="00E324E5">
              <w:rPr>
                <w:rFonts w:cstheme="minorHAnsi"/>
                <w:b/>
                <w:spacing w:val="-1"/>
                <w:sz w:val="15"/>
                <w:szCs w:val="15"/>
              </w:rPr>
              <w:t xml:space="preserve">Program </w:t>
            </w:r>
            <w:r w:rsidRPr="00E324E5">
              <w:rPr>
                <w:rFonts w:cstheme="minorHAnsi"/>
                <w:b/>
                <w:sz w:val="15"/>
                <w:szCs w:val="15"/>
              </w:rPr>
              <w:t>u</w:t>
            </w:r>
            <w:r w:rsidRPr="00E324E5">
              <w:rPr>
                <w:rFonts w:cstheme="minorHAnsi"/>
                <w:b/>
                <w:spacing w:val="-34"/>
                <w:sz w:val="15"/>
                <w:szCs w:val="15"/>
              </w:rPr>
              <w:t xml:space="preserve"> </w:t>
            </w:r>
            <w:r w:rsidRPr="00E324E5">
              <w:rPr>
                <w:rFonts w:cstheme="minorHAnsi"/>
                <w:b/>
                <w:sz w:val="15"/>
                <w:szCs w:val="15"/>
              </w:rPr>
              <w:t xml:space="preserve">proračunu </w:t>
            </w:r>
            <w:r w:rsidRPr="00E324E5">
              <w:rPr>
                <w:rFonts w:cstheme="minorHAnsi"/>
                <w:b/>
                <w:spacing w:val="-34"/>
                <w:sz w:val="15"/>
                <w:szCs w:val="15"/>
              </w:rPr>
              <w:t xml:space="preserve"> </w:t>
            </w:r>
            <w:r w:rsidRPr="00E324E5">
              <w:rPr>
                <w:rFonts w:cstheme="minorHAnsi"/>
                <w:b/>
                <w:sz w:val="15"/>
                <w:szCs w:val="15"/>
              </w:rPr>
              <w:t>JLS</w:t>
            </w:r>
          </w:p>
        </w:tc>
        <w:tc>
          <w:tcPr>
            <w:tcW w:w="383" w:type="pct"/>
            <w:vMerge w:val="restart"/>
            <w:tcBorders>
              <w:top w:val="single" w:sz="4" w:space="0" w:color="auto"/>
              <w:left w:val="nil"/>
              <w:right w:val="single" w:sz="4" w:space="0" w:color="auto"/>
            </w:tcBorders>
            <w:vAlign w:val="center"/>
            <w:hideMark/>
          </w:tcPr>
          <w:p w14:paraId="662F2EF3" w14:textId="77777777" w:rsidR="00E541EE" w:rsidRPr="00E324E5" w:rsidRDefault="00E541EE" w:rsidP="00A84BB5">
            <w:pPr>
              <w:jc w:val="center"/>
              <w:rPr>
                <w:rFonts w:eastAsia="Times New Roman"/>
                <w:b/>
                <w:bCs/>
                <w:sz w:val="15"/>
                <w:szCs w:val="15"/>
              </w:rPr>
            </w:pPr>
            <w:r w:rsidRPr="00E324E5">
              <w:rPr>
                <w:rFonts w:cstheme="minorHAnsi"/>
                <w:b/>
                <w:sz w:val="15"/>
                <w:szCs w:val="15"/>
              </w:rPr>
              <w:t>Naziv</w:t>
            </w:r>
            <w:r w:rsidRPr="00E324E5">
              <w:rPr>
                <w:rFonts w:cstheme="minorHAnsi"/>
                <w:b/>
                <w:spacing w:val="-2"/>
                <w:sz w:val="15"/>
                <w:szCs w:val="15"/>
              </w:rPr>
              <w:t xml:space="preserve"> </w:t>
            </w:r>
            <w:r w:rsidRPr="00E324E5">
              <w:rPr>
                <w:rFonts w:cstheme="minorHAnsi"/>
                <w:b/>
                <w:sz w:val="15"/>
                <w:szCs w:val="15"/>
              </w:rPr>
              <w:t>mjere</w:t>
            </w:r>
          </w:p>
        </w:tc>
        <w:tc>
          <w:tcPr>
            <w:tcW w:w="537" w:type="pct"/>
            <w:vMerge w:val="restart"/>
            <w:tcBorders>
              <w:top w:val="single" w:sz="4" w:space="0" w:color="auto"/>
              <w:left w:val="nil"/>
              <w:right w:val="single" w:sz="4" w:space="0" w:color="auto"/>
            </w:tcBorders>
            <w:vAlign w:val="center"/>
            <w:hideMark/>
          </w:tcPr>
          <w:p w14:paraId="3B29158A" w14:textId="77777777" w:rsidR="00E541EE" w:rsidRPr="00E324E5" w:rsidRDefault="00E541EE" w:rsidP="00A84BB5">
            <w:pPr>
              <w:pStyle w:val="TableParagraph"/>
              <w:ind w:left="70" w:right="60"/>
              <w:jc w:val="center"/>
              <w:rPr>
                <w:rFonts w:asciiTheme="minorHAnsi" w:hAnsiTheme="minorHAnsi" w:cstheme="minorHAnsi"/>
                <w:b/>
                <w:sz w:val="15"/>
                <w:szCs w:val="15"/>
              </w:rPr>
            </w:pPr>
            <w:r w:rsidRPr="00E324E5">
              <w:rPr>
                <w:rFonts w:asciiTheme="minorHAnsi" w:hAnsiTheme="minorHAnsi" w:cstheme="minorHAnsi"/>
                <w:b/>
                <w:sz w:val="15"/>
                <w:szCs w:val="15"/>
              </w:rPr>
              <w:t>Procijenjeni</w:t>
            </w:r>
            <w:r w:rsidRPr="00E324E5">
              <w:rPr>
                <w:rFonts w:asciiTheme="minorHAnsi" w:hAnsiTheme="minorHAnsi" w:cstheme="minorHAnsi"/>
                <w:b/>
                <w:spacing w:val="-34"/>
                <w:sz w:val="15"/>
                <w:szCs w:val="15"/>
              </w:rPr>
              <w:t xml:space="preserve"> </w:t>
            </w:r>
            <w:r w:rsidRPr="00E324E5">
              <w:rPr>
                <w:rFonts w:asciiTheme="minorHAnsi" w:hAnsiTheme="minorHAnsi" w:cstheme="minorHAnsi"/>
                <w:b/>
                <w:sz w:val="15"/>
                <w:szCs w:val="15"/>
              </w:rPr>
              <w:t>trošak</w:t>
            </w:r>
            <w:r w:rsidRPr="00E324E5">
              <w:rPr>
                <w:rFonts w:asciiTheme="minorHAnsi" w:hAnsiTheme="minorHAnsi" w:cstheme="minorHAnsi"/>
                <w:b/>
                <w:spacing w:val="1"/>
                <w:sz w:val="15"/>
                <w:szCs w:val="15"/>
              </w:rPr>
              <w:t xml:space="preserve"> </w:t>
            </w:r>
            <w:r w:rsidRPr="00E324E5">
              <w:rPr>
                <w:rFonts w:asciiTheme="minorHAnsi" w:hAnsiTheme="minorHAnsi" w:cstheme="minorHAnsi"/>
                <w:b/>
                <w:sz w:val="15"/>
                <w:szCs w:val="15"/>
              </w:rPr>
              <w:t>provedbe</w:t>
            </w:r>
            <w:r w:rsidRPr="00E324E5">
              <w:rPr>
                <w:rFonts w:asciiTheme="minorHAnsi" w:hAnsiTheme="minorHAnsi" w:cstheme="minorHAnsi"/>
                <w:b/>
                <w:spacing w:val="1"/>
                <w:sz w:val="15"/>
                <w:szCs w:val="15"/>
              </w:rPr>
              <w:t xml:space="preserve"> </w:t>
            </w:r>
            <w:r w:rsidRPr="00E324E5">
              <w:rPr>
                <w:rFonts w:asciiTheme="minorHAnsi" w:hAnsiTheme="minorHAnsi" w:cstheme="minorHAnsi"/>
                <w:b/>
                <w:sz w:val="15"/>
                <w:szCs w:val="15"/>
              </w:rPr>
              <w:t>mjere 2025.</w:t>
            </w:r>
          </w:p>
          <w:p w14:paraId="322C333D" w14:textId="77777777" w:rsidR="00E541EE" w:rsidRPr="00E324E5" w:rsidRDefault="00E541EE" w:rsidP="00A84BB5">
            <w:pPr>
              <w:jc w:val="center"/>
              <w:rPr>
                <w:rFonts w:eastAsia="Times New Roman"/>
                <w:b/>
                <w:bCs/>
                <w:sz w:val="15"/>
                <w:szCs w:val="15"/>
              </w:rPr>
            </w:pPr>
            <w:r w:rsidRPr="00E324E5">
              <w:rPr>
                <w:rFonts w:cstheme="minorHAnsi"/>
                <w:b/>
                <w:sz w:val="15"/>
                <w:szCs w:val="15"/>
              </w:rPr>
              <w:t>(u EUR)</w:t>
            </w:r>
          </w:p>
        </w:tc>
        <w:tc>
          <w:tcPr>
            <w:tcW w:w="460" w:type="pct"/>
            <w:vMerge w:val="restart"/>
            <w:tcBorders>
              <w:top w:val="single" w:sz="4" w:space="0" w:color="auto"/>
              <w:left w:val="nil"/>
              <w:right w:val="single" w:sz="4" w:space="0" w:color="auto"/>
            </w:tcBorders>
            <w:vAlign w:val="center"/>
            <w:hideMark/>
          </w:tcPr>
          <w:p w14:paraId="64B67869" w14:textId="77777777" w:rsidR="00E541EE" w:rsidRPr="00E324E5" w:rsidRDefault="00E541EE" w:rsidP="00A84BB5">
            <w:pPr>
              <w:pStyle w:val="TableParagraph"/>
              <w:jc w:val="center"/>
              <w:rPr>
                <w:rFonts w:asciiTheme="minorHAnsi" w:hAnsiTheme="minorHAnsi" w:cstheme="minorHAnsi"/>
                <w:b/>
                <w:sz w:val="15"/>
                <w:szCs w:val="15"/>
              </w:rPr>
            </w:pPr>
            <w:r w:rsidRPr="00E324E5">
              <w:rPr>
                <w:rFonts w:asciiTheme="minorHAnsi" w:hAnsiTheme="minorHAnsi" w:cstheme="minorHAnsi"/>
                <w:b/>
                <w:sz w:val="15"/>
                <w:szCs w:val="15"/>
              </w:rPr>
              <w:t>Ključne</w:t>
            </w:r>
          </w:p>
          <w:p w14:paraId="47363866" w14:textId="77777777" w:rsidR="00E541EE" w:rsidRPr="00E324E5" w:rsidRDefault="00E541EE" w:rsidP="00A84BB5">
            <w:pPr>
              <w:jc w:val="center"/>
              <w:rPr>
                <w:rFonts w:eastAsia="Times New Roman"/>
                <w:b/>
                <w:bCs/>
                <w:sz w:val="15"/>
                <w:szCs w:val="15"/>
              </w:rPr>
            </w:pPr>
            <w:r w:rsidRPr="00E324E5">
              <w:rPr>
                <w:rFonts w:cstheme="minorHAnsi"/>
                <w:b/>
                <w:sz w:val="15"/>
                <w:szCs w:val="15"/>
              </w:rPr>
              <w:t>aktivnosti</w:t>
            </w:r>
          </w:p>
        </w:tc>
        <w:tc>
          <w:tcPr>
            <w:tcW w:w="461" w:type="pct"/>
            <w:vMerge w:val="restart"/>
            <w:tcBorders>
              <w:top w:val="single" w:sz="4" w:space="0" w:color="auto"/>
              <w:left w:val="nil"/>
              <w:right w:val="single" w:sz="4" w:space="0" w:color="auto"/>
            </w:tcBorders>
            <w:vAlign w:val="center"/>
            <w:hideMark/>
          </w:tcPr>
          <w:p w14:paraId="061E7C3F" w14:textId="77777777" w:rsidR="00E541EE" w:rsidRPr="00E324E5" w:rsidRDefault="00E541EE" w:rsidP="00A84BB5">
            <w:pPr>
              <w:ind w:right="-110"/>
              <w:jc w:val="center"/>
              <w:rPr>
                <w:rFonts w:eastAsia="Times New Roman"/>
                <w:b/>
                <w:bCs/>
                <w:sz w:val="15"/>
                <w:szCs w:val="15"/>
              </w:rPr>
            </w:pPr>
            <w:r w:rsidRPr="00E324E5">
              <w:rPr>
                <w:rFonts w:cstheme="minorHAnsi"/>
                <w:b/>
                <w:sz w:val="15"/>
                <w:szCs w:val="15"/>
              </w:rPr>
              <w:t>Pokazate</w:t>
            </w:r>
            <w:r>
              <w:rPr>
                <w:rFonts w:cstheme="minorHAnsi"/>
                <w:b/>
                <w:sz w:val="15"/>
                <w:szCs w:val="15"/>
              </w:rPr>
              <w:t>l</w:t>
            </w:r>
            <w:r w:rsidRPr="00E324E5">
              <w:rPr>
                <w:rFonts w:cstheme="minorHAnsi"/>
                <w:b/>
                <w:sz w:val="15"/>
                <w:szCs w:val="15"/>
              </w:rPr>
              <w:t>j</w:t>
            </w:r>
            <w:r w:rsidRPr="00E324E5">
              <w:rPr>
                <w:rFonts w:cstheme="minorHAnsi"/>
                <w:b/>
                <w:spacing w:val="-34"/>
                <w:sz w:val="15"/>
                <w:szCs w:val="15"/>
              </w:rPr>
              <w:t xml:space="preserve"> </w:t>
            </w:r>
            <w:r w:rsidRPr="00E324E5">
              <w:rPr>
                <w:rFonts w:cstheme="minorHAnsi"/>
                <w:b/>
                <w:sz w:val="15"/>
                <w:szCs w:val="15"/>
              </w:rPr>
              <w:t>rezultata</w:t>
            </w:r>
          </w:p>
        </w:tc>
        <w:tc>
          <w:tcPr>
            <w:tcW w:w="468" w:type="pct"/>
            <w:vMerge w:val="restart"/>
            <w:tcBorders>
              <w:top w:val="single" w:sz="4" w:space="0" w:color="auto"/>
              <w:left w:val="nil"/>
              <w:right w:val="single" w:sz="4" w:space="0" w:color="auto"/>
            </w:tcBorders>
            <w:vAlign w:val="center"/>
            <w:hideMark/>
          </w:tcPr>
          <w:p w14:paraId="5A913289" w14:textId="77777777" w:rsidR="00E541EE" w:rsidRPr="00E324E5" w:rsidRDefault="00E541EE" w:rsidP="00A84BB5">
            <w:pPr>
              <w:jc w:val="center"/>
              <w:rPr>
                <w:rFonts w:eastAsia="Times New Roman"/>
                <w:b/>
                <w:bCs/>
                <w:sz w:val="15"/>
                <w:szCs w:val="15"/>
              </w:rPr>
            </w:pPr>
            <w:r w:rsidRPr="00E324E5">
              <w:rPr>
                <w:rFonts w:cstheme="minorHAnsi"/>
                <w:b/>
                <w:sz w:val="15"/>
                <w:szCs w:val="15"/>
              </w:rPr>
              <w:t>Početna</w:t>
            </w:r>
            <w:r w:rsidRPr="00E324E5">
              <w:rPr>
                <w:rFonts w:cstheme="minorHAnsi"/>
                <w:b/>
                <w:spacing w:val="1"/>
                <w:sz w:val="15"/>
                <w:szCs w:val="15"/>
              </w:rPr>
              <w:t xml:space="preserve"> </w:t>
            </w:r>
            <w:r w:rsidRPr="00E324E5">
              <w:rPr>
                <w:rFonts w:cstheme="minorHAnsi"/>
                <w:b/>
                <w:sz w:val="15"/>
                <w:szCs w:val="15"/>
              </w:rPr>
              <w:t>vrijednost 2025.</w:t>
            </w:r>
          </w:p>
        </w:tc>
        <w:tc>
          <w:tcPr>
            <w:tcW w:w="1003" w:type="pct"/>
            <w:gridSpan w:val="3"/>
            <w:tcBorders>
              <w:top w:val="single" w:sz="4" w:space="0" w:color="auto"/>
              <w:left w:val="single" w:sz="4" w:space="0" w:color="auto"/>
              <w:bottom w:val="single" w:sz="4" w:space="0" w:color="auto"/>
              <w:right w:val="single" w:sz="4" w:space="0" w:color="auto"/>
            </w:tcBorders>
            <w:vAlign w:val="center"/>
          </w:tcPr>
          <w:p w14:paraId="0F4C8DB6" w14:textId="77777777" w:rsidR="00E541EE" w:rsidRPr="00E324E5" w:rsidRDefault="00E541EE" w:rsidP="00A84BB5">
            <w:pPr>
              <w:jc w:val="center"/>
              <w:rPr>
                <w:rFonts w:eastAsia="Times New Roman"/>
                <w:b/>
                <w:bCs/>
                <w:sz w:val="15"/>
                <w:szCs w:val="15"/>
              </w:rPr>
            </w:pPr>
            <w:r w:rsidRPr="00E324E5">
              <w:rPr>
                <w:rFonts w:eastAsia="Times New Roman"/>
                <w:b/>
                <w:bCs/>
                <w:sz w:val="15"/>
                <w:szCs w:val="15"/>
              </w:rPr>
              <w:t>Ciljna vrijednost</w:t>
            </w:r>
          </w:p>
        </w:tc>
      </w:tr>
      <w:tr w:rsidR="00E541EE" w:rsidRPr="0017172C" w14:paraId="3388DF2E" w14:textId="77777777" w:rsidTr="00A84BB5">
        <w:trPr>
          <w:trHeight w:val="137"/>
        </w:trPr>
        <w:tc>
          <w:tcPr>
            <w:tcW w:w="611" w:type="pct"/>
            <w:vMerge/>
            <w:tcBorders>
              <w:left w:val="single" w:sz="4" w:space="0" w:color="auto"/>
              <w:bottom w:val="single" w:sz="4" w:space="0" w:color="auto"/>
              <w:right w:val="single" w:sz="4" w:space="0" w:color="auto"/>
            </w:tcBorders>
            <w:vAlign w:val="center"/>
          </w:tcPr>
          <w:p w14:paraId="2117EB4D" w14:textId="77777777" w:rsidR="00E541EE" w:rsidRPr="00E324E5" w:rsidRDefault="00E541EE" w:rsidP="00A84BB5">
            <w:pPr>
              <w:pStyle w:val="TableParagraph"/>
              <w:ind w:left="44" w:right="35"/>
              <w:jc w:val="center"/>
              <w:rPr>
                <w:rFonts w:asciiTheme="minorHAnsi" w:hAnsiTheme="minorHAnsi" w:cstheme="minorHAnsi"/>
                <w:b/>
                <w:sz w:val="15"/>
                <w:szCs w:val="15"/>
              </w:rPr>
            </w:pPr>
          </w:p>
        </w:tc>
        <w:tc>
          <w:tcPr>
            <w:tcW w:w="538" w:type="pct"/>
            <w:vMerge/>
            <w:tcBorders>
              <w:left w:val="nil"/>
              <w:bottom w:val="single" w:sz="4" w:space="0" w:color="auto"/>
              <w:right w:val="single" w:sz="4" w:space="0" w:color="auto"/>
            </w:tcBorders>
            <w:vAlign w:val="center"/>
          </w:tcPr>
          <w:p w14:paraId="2DAA9B53" w14:textId="77777777" w:rsidR="00E541EE" w:rsidRPr="00E324E5" w:rsidRDefault="00E541EE" w:rsidP="00A84BB5">
            <w:pPr>
              <w:jc w:val="center"/>
              <w:rPr>
                <w:rFonts w:cstheme="minorHAnsi"/>
                <w:b/>
                <w:sz w:val="15"/>
                <w:szCs w:val="15"/>
              </w:rPr>
            </w:pPr>
          </w:p>
        </w:tc>
        <w:tc>
          <w:tcPr>
            <w:tcW w:w="538" w:type="pct"/>
            <w:vMerge/>
            <w:tcBorders>
              <w:left w:val="nil"/>
              <w:bottom w:val="single" w:sz="4" w:space="0" w:color="auto"/>
              <w:right w:val="single" w:sz="4" w:space="0" w:color="auto"/>
            </w:tcBorders>
            <w:vAlign w:val="center"/>
          </w:tcPr>
          <w:p w14:paraId="05159B65" w14:textId="77777777" w:rsidR="00E541EE" w:rsidRPr="00E324E5" w:rsidRDefault="00E541EE" w:rsidP="00A84BB5">
            <w:pPr>
              <w:jc w:val="center"/>
              <w:rPr>
                <w:rFonts w:cstheme="minorHAnsi"/>
                <w:b/>
                <w:spacing w:val="-1"/>
                <w:sz w:val="15"/>
                <w:szCs w:val="15"/>
              </w:rPr>
            </w:pPr>
          </w:p>
        </w:tc>
        <w:tc>
          <w:tcPr>
            <w:tcW w:w="383" w:type="pct"/>
            <w:vMerge/>
            <w:tcBorders>
              <w:left w:val="nil"/>
              <w:bottom w:val="single" w:sz="4" w:space="0" w:color="auto"/>
              <w:right w:val="single" w:sz="4" w:space="0" w:color="auto"/>
            </w:tcBorders>
            <w:vAlign w:val="center"/>
          </w:tcPr>
          <w:p w14:paraId="28F715CF" w14:textId="77777777" w:rsidR="00E541EE" w:rsidRPr="00E324E5" w:rsidRDefault="00E541EE" w:rsidP="00A84BB5">
            <w:pPr>
              <w:jc w:val="center"/>
              <w:rPr>
                <w:rFonts w:cstheme="minorHAnsi"/>
                <w:b/>
                <w:sz w:val="15"/>
                <w:szCs w:val="15"/>
              </w:rPr>
            </w:pPr>
          </w:p>
        </w:tc>
        <w:tc>
          <w:tcPr>
            <w:tcW w:w="537" w:type="pct"/>
            <w:vMerge/>
            <w:tcBorders>
              <w:left w:val="nil"/>
              <w:bottom w:val="single" w:sz="4" w:space="0" w:color="auto"/>
              <w:right w:val="single" w:sz="4" w:space="0" w:color="auto"/>
            </w:tcBorders>
            <w:vAlign w:val="center"/>
          </w:tcPr>
          <w:p w14:paraId="2A0C6ECE" w14:textId="77777777" w:rsidR="00E541EE" w:rsidRPr="00E324E5" w:rsidRDefault="00E541EE" w:rsidP="00A84BB5">
            <w:pPr>
              <w:pStyle w:val="TableParagraph"/>
              <w:ind w:left="70" w:right="60"/>
              <w:jc w:val="center"/>
              <w:rPr>
                <w:rFonts w:asciiTheme="minorHAnsi" w:hAnsiTheme="minorHAnsi" w:cstheme="minorHAnsi"/>
                <w:b/>
                <w:sz w:val="15"/>
                <w:szCs w:val="15"/>
              </w:rPr>
            </w:pPr>
          </w:p>
        </w:tc>
        <w:tc>
          <w:tcPr>
            <w:tcW w:w="460" w:type="pct"/>
            <w:vMerge/>
            <w:tcBorders>
              <w:left w:val="nil"/>
              <w:bottom w:val="single" w:sz="4" w:space="0" w:color="auto"/>
              <w:right w:val="single" w:sz="4" w:space="0" w:color="auto"/>
            </w:tcBorders>
            <w:vAlign w:val="center"/>
          </w:tcPr>
          <w:p w14:paraId="3A03AF0D" w14:textId="77777777" w:rsidR="00E541EE" w:rsidRPr="00E324E5" w:rsidRDefault="00E541EE" w:rsidP="00A84BB5">
            <w:pPr>
              <w:pStyle w:val="TableParagraph"/>
              <w:jc w:val="center"/>
              <w:rPr>
                <w:rFonts w:asciiTheme="minorHAnsi" w:hAnsiTheme="minorHAnsi" w:cstheme="minorHAnsi"/>
                <w:b/>
                <w:sz w:val="15"/>
                <w:szCs w:val="15"/>
              </w:rPr>
            </w:pPr>
          </w:p>
        </w:tc>
        <w:tc>
          <w:tcPr>
            <w:tcW w:w="461" w:type="pct"/>
            <w:vMerge/>
            <w:tcBorders>
              <w:left w:val="nil"/>
              <w:bottom w:val="single" w:sz="4" w:space="0" w:color="auto"/>
              <w:right w:val="single" w:sz="4" w:space="0" w:color="auto"/>
            </w:tcBorders>
            <w:vAlign w:val="center"/>
          </w:tcPr>
          <w:p w14:paraId="3A5F53E0" w14:textId="77777777" w:rsidR="00E541EE" w:rsidRPr="00E324E5" w:rsidRDefault="00E541EE" w:rsidP="00A84BB5">
            <w:pPr>
              <w:jc w:val="center"/>
              <w:rPr>
                <w:rFonts w:cstheme="minorHAnsi"/>
                <w:b/>
                <w:sz w:val="15"/>
                <w:szCs w:val="15"/>
              </w:rPr>
            </w:pPr>
          </w:p>
        </w:tc>
        <w:tc>
          <w:tcPr>
            <w:tcW w:w="468" w:type="pct"/>
            <w:vMerge/>
            <w:tcBorders>
              <w:left w:val="nil"/>
              <w:bottom w:val="single" w:sz="4" w:space="0" w:color="auto"/>
              <w:right w:val="single" w:sz="4" w:space="0" w:color="auto"/>
            </w:tcBorders>
            <w:vAlign w:val="center"/>
          </w:tcPr>
          <w:p w14:paraId="76217D28" w14:textId="77777777" w:rsidR="00E541EE" w:rsidRPr="00E324E5" w:rsidRDefault="00E541EE" w:rsidP="00A84BB5">
            <w:pPr>
              <w:jc w:val="center"/>
              <w:rPr>
                <w:rFonts w:cstheme="minorHAnsi"/>
                <w:b/>
                <w:sz w:val="15"/>
                <w:szCs w:val="15"/>
              </w:rPr>
            </w:pPr>
          </w:p>
        </w:tc>
        <w:tc>
          <w:tcPr>
            <w:tcW w:w="304" w:type="pct"/>
            <w:tcBorders>
              <w:top w:val="single" w:sz="4" w:space="0" w:color="auto"/>
              <w:left w:val="nil"/>
              <w:bottom w:val="single" w:sz="4" w:space="0" w:color="auto"/>
              <w:right w:val="single" w:sz="4" w:space="0" w:color="auto"/>
            </w:tcBorders>
            <w:vAlign w:val="center"/>
          </w:tcPr>
          <w:p w14:paraId="7DCB5DFD" w14:textId="77777777" w:rsidR="00E541EE" w:rsidRPr="00E324E5" w:rsidRDefault="00E541EE" w:rsidP="00A84BB5">
            <w:pPr>
              <w:jc w:val="center"/>
              <w:rPr>
                <w:rFonts w:eastAsia="Times New Roman"/>
                <w:b/>
                <w:bCs/>
                <w:sz w:val="15"/>
                <w:szCs w:val="15"/>
              </w:rPr>
            </w:pPr>
            <w:r w:rsidRPr="00E324E5">
              <w:rPr>
                <w:rFonts w:cstheme="minorHAnsi"/>
                <w:b/>
                <w:sz w:val="15"/>
                <w:szCs w:val="15"/>
              </w:rPr>
              <w:t>za 2026.</w:t>
            </w:r>
          </w:p>
        </w:tc>
        <w:tc>
          <w:tcPr>
            <w:tcW w:w="305" w:type="pct"/>
            <w:tcBorders>
              <w:top w:val="single" w:sz="4" w:space="0" w:color="auto"/>
              <w:left w:val="nil"/>
              <w:bottom w:val="single" w:sz="4" w:space="0" w:color="auto"/>
              <w:right w:val="single" w:sz="4" w:space="0" w:color="auto"/>
            </w:tcBorders>
            <w:vAlign w:val="center"/>
          </w:tcPr>
          <w:p w14:paraId="7DE1B9DA" w14:textId="77777777" w:rsidR="00E541EE" w:rsidRPr="00E324E5" w:rsidRDefault="00E541EE" w:rsidP="00A84BB5">
            <w:pPr>
              <w:jc w:val="center"/>
              <w:rPr>
                <w:rFonts w:eastAsia="Times New Roman"/>
                <w:b/>
                <w:bCs/>
                <w:sz w:val="15"/>
                <w:szCs w:val="15"/>
              </w:rPr>
            </w:pPr>
            <w:r w:rsidRPr="00E324E5">
              <w:rPr>
                <w:rFonts w:cstheme="minorHAnsi"/>
                <w:b/>
                <w:sz w:val="15"/>
                <w:szCs w:val="15"/>
              </w:rPr>
              <w:t>za 2027.</w:t>
            </w:r>
          </w:p>
        </w:tc>
        <w:tc>
          <w:tcPr>
            <w:tcW w:w="395" w:type="pct"/>
            <w:tcBorders>
              <w:top w:val="single" w:sz="4" w:space="0" w:color="auto"/>
              <w:left w:val="nil"/>
              <w:bottom w:val="single" w:sz="4" w:space="0" w:color="auto"/>
              <w:right w:val="single" w:sz="4" w:space="0" w:color="auto"/>
            </w:tcBorders>
            <w:vAlign w:val="center"/>
          </w:tcPr>
          <w:p w14:paraId="57A3E5A4" w14:textId="77777777" w:rsidR="00E541EE" w:rsidRPr="00E324E5" w:rsidRDefault="00E541EE" w:rsidP="00A84BB5">
            <w:pPr>
              <w:jc w:val="center"/>
              <w:rPr>
                <w:rFonts w:cstheme="minorHAnsi"/>
                <w:b/>
                <w:sz w:val="15"/>
                <w:szCs w:val="15"/>
              </w:rPr>
            </w:pPr>
            <w:r w:rsidRPr="00E324E5">
              <w:rPr>
                <w:rFonts w:cstheme="minorHAnsi"/>
                <w:b/>
                <w:sz w:val="15"/>
                <w:szCs w:val="15"/>
              </w:rPr>
              <w:t xml:space="preserve">za </w:t>
            </w:r>
          </w:p>
          <w:p w14:paraId="45ADB1C0" w14:textId="77777777" w:rsidR="00E541EE" w:rsidRPr="00E324E5" w:rsidRDefault="00E541EE" w:rsidP="00A84BB5">
            <w:pPr>
              <w:jc w:val="center"/>
              <w:rPr>
                <w:rFonts w:eastAsia="Times New Roman"/>
                <w:b/>
                <w:bCs/>
                <w:sz w:val="15"/>
                <w:szCs w:val="15"/>
              </w:rPr>
            </w:pPr>
            <w:r w:rsidRPr="00E324E5">
              <w:rPr>
                <w:rFonts w:cstheme="minorHAnsi"/>
                <w:b/>
                <w:sz w:val="15"/>
                <w:szCs w:val="15"/>
              </w:rPr>
              <w:t>2028.</w:t>
            </w:r>
          </w:p>
        </w:tc>
      </w:tr>
      <w:tr w:rsidR="00E541EE" w:rsidRPr="0017172C" w14:paraId="592C49C8" w14:textId="77777777" w:rsidTr="00A84BB5">
        <w:trPr>
          <w:trHeight w:val="615"/>
        </w:trPr>
        <w:tc>
          <w:tcPr>
            <w:tcW w:w="611"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4E6A5AE" w14:textId="77777777" w:rsidR="00E541EE" w:rsidRPr="0017172C" w:rsidRDefault="00E541EE" w:rsidP="00A84BB5">
            <w:pPr>
              <w:jc w:val="center"/>
              <w:rPr>
                <w:rFonts w:ascii="Arial" w:eastAsia="Times New Roman" w:hAnsi="Arial" w:cs="Arial"/>
                <w:sz w:val="12"/>
                <w:szCs w:val="12"/>
              </w:rPr>
            </w:pPr>
            <w:r w:rsidRPr="0017172C">
              <w:rPr>
                <w:rFonts w:ascii="Arial" w:eastAsia="Times New Roman" w:hAnsi="Arial" w:cs="Arial"/>
                <w:sz w:val="12"/>
                <w:szCs w:val="12"/>
              </w:rPr>
              <w:t>Provedbeni program Grada Rovinja-Rovigno za razdoblje 2025.-2029. godine</w:t>
            </w:r>
          </w:p>
        </w:tc>
        <w:tc>
          <w:tcPr>
            <w:tcW w:w="538"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F6EC001" w14:textId="77777777" w:rsidR="00E541EE" w:rsidRPr="0017172C" w:rsidRDefault="00E541EE" w:rsidP="00A84BB5">
            <w:pPr>
              <w:jc w:val="center"/>
              <w:rPr>
                <w:rFonts w:ascii="Arial" w:eastAsia="Times New Roman" w:hAnsi="Arial" w:cs="Arial"/>
                <w:sz w:val="12"/>
                <w:szCs w:val="12"/>
              </w:rPr>
            </w:pPr>
            <w:r w:rsidRPr="0017172C">
              <w:rPr>
                <w:rFonts w:ascii="Arial" w:eastAsia="Times New Roman" w:hAnsi="Arial" w:cs="Arial"/>
                <w:sz w:val="12"/>
                <w:szCs w:val="12"/>
              </w:rPr>
              <w:t>1.2. Održivo prometno i komunikacijsko povezivanje</w:t>
            </w:r>
          </w:p>
        </w:tc>
        <w:tc>
          <w:tcPr>
            <w:tcW w:w="538" w:type="pct"/>
            <w:vMerge w:val="restar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16C8BE42" w14:textId="77777777" w:rsidR="00E541EE" w:rsidRPr="0017172C" w:rsidRDefault="00E541EE" w:rsidP="00A84BB5">
            <w:pPr>
              <w:jc w:val="center"/>
              <w:rPr>
                <w:rFonts w:ascii="Arial" w:eastAsia="Times New Roman" w:hAnsi="Arial" w:cs="Arial"/>
                <w:sz w:val="12"/>
                <w:szCs w:val="12"/>
              </w:rPr>
            </w:pPr>
            <w:r w:rsidRPr="0017172C">
              <w:rPr>
                <w:rFonts w:ascii="Arial" w:eastAsia="Times New Roman" w:hAnsi="Arial" w:cs="Arial"/>
                <w:sz w:val="12"/>
                <w:szCs w:val="12"/>
              </w:rPr>
              <w:t>P1013 INVESTICIJSKO ODRŽAVA</w:t>
            </w:r>
            <w:r>
              <w:rPr>
                <w:rFonts w:ascii="Arial" w:eastAsia="Times New Roman" w:hAnsi="Arial" w:cs="Arial"/>
                <w:sz w:val="12"/>
                <w:szCs w:val="12"/>
              </w:rPr>
              <w:t>-</w:t>
            </w:r>
            <w:r w:rsidRPr="0017172C">
              <w:rPr>
                <w:rFonts w:ascii="Arial" w:eastAsia="Times New Roman" w:hAnsi="Arial" w:cs="Arial"/>
                <w:sz w:val="12"/>
                <w:szCs w:val="12"/>
              </w:rPr>
              <w:t>NJE OBJEKATA</w:t>
            </w:r>
          </w:p>
        </w:tc>
        <w:tc>
          <w:tcPr>
            <w:tcW w:w="383"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E379FED" w14:textId="77777777" w:rsidR="00E541EE" w:rsidRPr="0017172C" w:rsidRDefault="00E541EE" w:rsidP="00A84BB5">
            <w:pPr>
              <w:jc w:val="center"/>
              <w:rPr>
                <w:rFonts w:ascii="Arial" w:eastAsia="Times New Roman" w:hAnsi="Arial" w:cs="Arial"/>
                <w:sz w:val="12"/>
                <w:szCs w:val="12"/>
              </w:rPr>
            </w:pPr>
            <w:r w:rsidRPr="0017172C">
              <w:rPr>
                <w:rFonts w:ascii="Arial" w:eastAsia="Times New Roman" w:hAnsi="Arial" w:cs="Arial"/>
                <w:sz w:val="12"/>
                <w:szCs w:val="12"/>
              </w:rPr>
              <w:t>Poboljšanje cestovnog prometa i infrastrukture</w:t>
            </w:r>
          </w:p>
        </w:tc>
        <w:tc>
          <w:tcPr>
            <w:tcW w:w="537" w:type="pct"/>
            <w:vMerge w:val="restar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26FF188C" w14:textId="77777777" w:rsidR="00E541EE" w:rsidRPr="0017172C" w:rsidRDefault="00E541EE" w:rsidP="00A84BB5">
            <w:pPr>
              <w:ind w:left="-281" w:right="-20" w:firstLine="281"/>
              <w:jc w:val="center"/>
              <w:rPr>
                <w:rFonts w:ascii="Arial" w:eastAsia="Times New Roman" w:hAnsi="Arial" w:cs="Arial"/>
                <w:sz w:val="12"/>
                <w:szCs w:val="12"/>
              </w:rPr>
            </w:pPr>
            <w:r>
              <w:rPr>
                <w:rFonts w:ascii="Arial" w:eastAsia="Times New Roman" w:hAnsi="Arial" w:cs="Arial"/>
                <w:sz w:val="12"/>
                <w:szCs w:val="12"/>
              </w:rPr>
              <w:t>580,000,00</w:t>
            </w:r>
          </w:p>
        </w:tc>
        <w:tc>
          <w:tcPr>
            <w:tcW w:w="460"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35D7759" w14:textId="77777777" w:rsidR="00E541EE" w:rsidRPr="0017172C" w:rsidRDefault="00E541EE" w:rsidP="00A84BB5">
            <w:pPr>
              <w:jc w:val="center"/>
              <w:rPr>
                <w:rFonts w:ascii="Arial" w:eastAsia="Times New Roman" w:hAnsi="Arial" w:cs="Arial"/>
                <w:sz w:val="12"/>
                <w:szCs w:val="12"/>
              </w:rPr>
            </w:pPr>
            <w:r w:rsidRPr="0017172C">
              <w:rPr>
                <w:rFonts w:ascii="Arial" w:eastAsia="Times New Roman" w:hAnsi="Arial" w:cs="Arial"/>
                <w:sz w:val="12"/>
                <w:szCs w:val="12"/>
              </w:rPr>
              <w:t>A101301 INVESTICIJSKO ODRŽAVANJE PROMETNICA I ODVODNJE</w:t>
            </w:r>
          </w:p>
        </w:tc>
        <w:tc>
          <w:tcPr>
            <w:tcW w:w="461" w:type="pct"/>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53B8458E" w14:textId="77777777" w:rsidR="00E541EE" w:rsidRPr="0017172C" w:rsidRDefault="00E541EE" w:rsidP="00A84BB5">
            <w:pPr>
              <w:jc w:val="center"/>
              <w:rPr>
                <w:rFonts w:ascii="Arial" w:eastAsia="Times New Roman" w:hAnsi="Arial" w:cs="Arial"/>
                <w:sz w:val="12"/>
                <w:szCs w:val="12"/>
              </w:rPr>
            </w:pPr>
            <w:r>
              <w:rPr>
                <w:rFonts w:ascii="Arial" w:eastAsia="Times New Roman" w:hAnsi="Arial" w:cs="Arial"/>
                <w:sz w:val="12"/>
                <w:szCs w:val="12"/>
              </w:rPr>
              <w:t>Km novih javnih prometnica</w:t>
            </w:r>
          </w:p>
        </w:tc>
        <w:tc>
          <w:tcPr>
            <w:tcW w:w="468" w:type="pct"/>
            <w:tcBorders>
              <w:top w:val="single" w:sz="4" w:space="0" w:color="auto"/>
              <w:left w:val="nil"/>
              <w:bottom w:val="single" w:sz="4" w:space="0" w:color="auto"/>
              <w:right w:val="single" w:sz="4" w:space="0" w:color="auto"/>
            </w:tcBorders>
            <w:shd w:val="clear" w:color="000000" w:fill="FFFFFF"/>
            <w:vAlign w:val="center"/>
            <w:hideMark/>
          </w:tcPr>
          <w:p w14:paraId="5F514994" w14:textId="77777777" w:rsidR="00E541EE" w:rsidRPr="0017172C" w:rsidRDefault="00E541EE" w:rsidP="00A84BB5">
            <w:pPr>
              <w:jc w:val="center"/>
              <w:rPr>
                <w:rFonts w:ascii="Arial" w:eastAsia="Times New Roman" w:hAnsi="Arial" w:cs="Arial"/>
                <w:sz w:val="12"/>
                <w:szCs w:val="12"/>
              </w:rPr>
            </w:pPr>
            <w:r w:rsidRPr="0017172C">
              <w:rPr>
                <w:rFonts w:ascii="Arial" w:eastAsia="Times New Roman" w:hAnsi="Arial" w:cs="Arial"/>
                <w:sz w:val="12"/>
                <w:szCs w:val="12"/>
              </w:rPr>
              <w:t>0,6</w:t>
            </w:r>
          </w:p>
        </w:tc>
        <w:tc>
          <w:tcPr>
            <w:tcW w:w="304" w:type="pct"/>
            <w:tcBorders>
              <w:top w:val="single" w:sz="4" w:space="0" w:color="auto"/>
              <w:left w:val="nil"/>
              <w:bottom w:val="single" w:sz="4" w:space="0" w:color="auto"/>
              <w:right w:val="single" w:sz="4" w:space="0" w:color="auto"/>
            </w:tcBorders>
            <w:shd w:val="clear" w:color="000000" w:fill="FFFFFF"/>
            <w:vAlign w:val="center"/>
            <w:hideMark/>
          </w:tcPr>
          <w:p w14:paraId="4C80894F" w14:textId="77777777" w:rsidR="00E541EE" w:rsidRPr="0017172C" w:rsidRDefault="00E541EE" w:rsidP="00A84BB5">
            <w:pPr>
              <w:jc w:val="center"/>
              <w:rPr>
                <w:rFonts w:ascii="Arial" w:eastAsia="Times New Roman" w:hAnsi="Arial" w:cs="Arial"/>
                <w:sz w:val="12"/>
                <w:szCs w:val="12"/>
              </w:rPr>
            </w:pPr>
            <w:r w:rsidRPr="0017172C">
              <w:rPr>
                <w:rFonts w:ascii="Arial" w:eastAsia="Times New Roman" w:hAnsi="Arial" w:cs="Arial"/>
                <w:sz w:val="12"/>
                <w:szCs w:val="12"/>
              </w:rPr>
              <w:t>1,2</w:t>
            </w:r>
          </w:p>
        </w:tc>
        <w:tc>
          <w:tcPr>
            <w:tcW w:w="305" w:type="pct"/>
            <w:tcBorders>
              <w:top w:val="single" w:sz="4" w:space="0" w:color="auto"/>
              <w:left w:val="nil"/>
              <w:bottom w:val="single" w:sz="4" w:space="0" w:color="auto"/>
              <w:right w:val="single" w:sz="4" w:space="0" w:color="auto"/>
            </w:tcBorders>
            <w:shd w:val="clear" w:color="000000" w:fill="FFFFFF"/>
            <w:vAlign w:val="center"/>
            <w:hideMark/>
          </w:tcPr>
          <w:p w14:paraId="7A206DAB" w14:textId="77777777" w:rsidR="00E541EE" w:rsidRPr="0017172C" w:rsidRDefault="00E541EE" w:rsidP="00A84BB5">
            <w:pPr>
              <w:jc w:val="center"/>
              <w:rPr>
                <w:rFonts w:ascii="Arial" w:eastAsia="Times New Roman" w:hAnsi="Arial" w:cs="Arial"/>
                <w:sz w:val="12"/>
                <w:szCs w:val="12"/>
              </w:rPr>
            </w:pPr>
            <w:r w:rsidRPr="0017172C">
              <w:rPr>
                <w:rFonts w:ascii="Arial" w:eastAsia="Times New Roman" w:hAnsi="Arial" w:cs="Arial"/>
                <w:sz w:val="12"/>
                <w:szCs w:val="12"/>
              </w:rPr>
              <w:t>1,5</w:t>
            </w:r>
          </w:p>
        </w:tc>
        <w:tc>
          <w:tcPr>
            <w:tcW w:w="395" w:type="pct"/>
            <w:tcBorders>
              <w:top w:val="single" w:sz="4" w:space="0" w:color="auto"/>
              <w:left w:val="nil"/>
              <w:bottom w:val="single" w:sz="4" w:space="0" w:color="auto"/>
              <w:right w:val="single" w:sz="4" w:space="0" w:color="auto"/>
            </w:tcBorders>
            <w:shd w:val="clear" w:color="000000" w:fill="FFFFFF"/>
            <w:vAlign w:val="center"/>
            <w:hideMark/>
          </w:tcPr>
          <w:p w14:paraId="491C2E62" w14:textId="77777777" w:rsidR="00E541EE" w:rsidRPr="0017172C" w:rsidRDefault="00E541EE" w:rsidP="00A84BB5">
            <w:pPr>
              <w:jc w:val="center"/>
              <w:rPr>
                <w:rFonts w:ascii="Arial" w:eastAsia="Times New Roman" w:hAnsi="Arial" w:cs="Arial"/>
                <w:sz w:val="12"/>
                <w:szCs w:val="12"/>
              </w:rPr>
            </w:pPr>
            <w:r w:rsidRPr="0017172C">
              <w:rPr>
                <w:rFonts w:ascii="Arial" w:eastAsia="Times New Roman" w:hAnsi="Arial" w:cs="Arial"/>
                <w:sz w:val="12"/>
                <w:szCs w:val="12"/>
              </w:rPr>
              <w:t>1,9</w:t>
            </w:r>
          </w:p>
        </w:tc>
      </w:tr>
      <w:tr w:rsidR="00E541EE" w:rsidRPr="0017172C" w14:paraId="119EF2D9" w14:textId="77777777" w:rsidTr="00A84BB5">
        <w:trPr>
          <w:trHeight w:val="615"/>
        </w:trPr>
        <w:tc>
          <w:tcPr>
            <w:tcW w:w="611" w:type="pct"/>
            <w:vMerge/>
            <w:tcBorders>
              <w:top w:val="single" w:sz="4" w:space="0" w:color="auto"/>
              <w:left w:val="single" w:sz="4" w:space="0" w:color="auto"/>
              <w:bottom w:val="single" w:sz="4" w:space="0" w:color="auto"/>
              <w:right w:val="single" w:sz="4" w:space="0" w:color="auto"/>
            </w:tcBorders>
            <w:vAlign w:val="center"/>
            <w:hideMark/>
          </w:tcPr>
          <w:p w14:paraId="131751E1" w14:textId="77777777" w:rsidR="00E541EE" w:rsidRPr="0017172C" w:rsidRDefault="00E541EE" w:rsidP="00A84BB5">
            <w:pPr>
              <w:jc w:val="center"/>
              <w:rPr>
                <w:rFonts w:ascii="Arial" w:eastAsia="Times New Roman" w:hAnsi="Arial" w:cs="Arial"/>
                <w:sz w:val="12"/>
                <w:szCs w:val="12"/>
              </w:rPr>
            </w:pPr>
          </w:p>
        </w:tc>
        <w:tc>
          <w:tcPr>
            <w:tcW w:w="538" w:type="pct"/>
            <w:vMerge/>
            <w:tcBorders>
              <w:top w:val="single" w:sz="4" w:space="0" w:color="auto"/>
              <w:left w:val="single" w:sz="4" w:space="0" w:color="auto"/>
              <w:bottom w:val="single" w:sz="4" w:space="0" w:color="auto"/>
              <w:right w:val="single" w:sz="4" w:space="0" w:color="auto"/>
            </w:tcBorders>
            <w:vAlign w:val="center"/>
            <w:hideMark/>
          </w:tcPr>
          <w:p w14:paraId="00ACDE83" w14:textId="77777777" w:rsidR="00E541EE" w:rsidRPr="0017172C" w:rsidRDefault="00E541EE" w:rsidP="00A84BB5">
            <w:pPr>
              <w:jc w:val="center"/>
              <w:rPr>
                <w:rFonts w:ascii="Arial" w:eastAsia="Times New Roman" w:hAnsi="Arial" w:cs="Arial"/>
                <w:sz w:val="12"/>
                <w:szCs w:val="12"/>
              </w:rPr>
            </w:pPr>
          </w:p>
        </w:tc>
        <w:tc>
          <w:tcPr>
            <w:tcW w:w="538" w:type="pct"/>
            <w:vMerge/>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02E0FCCB" w14:textId="77777777" w:rsidR="00E541EE" w:rsidRPr="0017172C" w:rsidRDefault="00E541EE" w:rsidP="00A84BB5">
            <w:pPr>
              <w:jc w:val="center"/>
              <w:rPr>
                <w:rFonts w:ascii="Arial" w:eastAsia="Times New Roman" w:hAnsi="Arial" w:cs="Arial"/>
                <w:sz w:val="12"/>
                <w:szCs w:val="12"/>
              </w:rPr>
            </w:pPr>
          </w:p>
        </w:tc>
        <w:tc>
          <w:tcPr>
            <w:tcW w:w="383" w:type="pct"/>
            <w:vMerge/>
            <w:tcBorders>
              <w:top w:val="single" w:sz="4" w:space="0" w:color="auto"/>
              <w:left w:val="single" w:sz="4" w:space="0" w:color="auto"/>
              <w:bottom w:val="single" w:sz="4" w:space="0" w:color="auto"/>
              <w:right w:val="single" w:sz="4" w:space="0" w:color="auto"/>
            </w:tcBorders>
            <w:vAlign w:val="center"/>
            <w:hideMark/>
          </w:tcPr>
          <w:p w14:paraId="0C4EA9E1" w14:textId="77777777" w:rsidR="00E541EE" w:rsidRPr="0017172C" w:rsidRDefault="00E541EE" w:rsidP="00A84BB5">
            <w:pPr>
              <w:jc w:val="center"/>
              <w:rPr>
                <w:rFonts w:ascii="Arial" w:eastAsia="Times New Roman" w:hAnsi="Arial" w:cs="Arial"/>
                <w:sz w:val="12"/>
                <w:szCs w:val="12"/>
              </w:rPr>
            </w:pPr>
          </w:p>
        </w:tc>
        <w:tc>
          <w:tcPr>
            <w:tcW w:w="537" w:type="pct"/>
            <w:vMerge/>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40D7C935" w14:textId="77777777" w:rsidR="00E541EE" w:rsidRPr="0017172C" w:rsidRDefault="00E541EE" w:rsidP="00A84BB5">
            <w:pPr>
              <w:jc w:val="center"/>
              <w:rPr>
                <w:rFonts w:ascii="Arial" w:eastAsia="Times New Roman" w:hAnsi="Arial" w:cs="Arial"/>
                <w:sz w:val="12"/>
                <w:szCs w:val="12"/>
              </w:rPr>
            </w:pPr>
          </w:p>
        </w:tc>
        <w:tc>
          <w:tcPr>
            <w:tcW w:w="460" w:type="pct"/>
            <w:vMerge/>
            <w:tcBorders>
              <w:top w:val="single" w:sz="4" w:space="0" w:color="auto"/>
              <w:left w:val="single" w:sz="4" w:space="0" w:color="auto"/>
              <w:bottom w:val="single" w:sz="4" w:space="0" w:color="auto"/>
              <w:right w:val="single" w:sz="4" w:space="0" w:color="auto"/>
            </w:tcBorders>
            <w:vAlign w:val="center"/>
            <w:hideMark/>
          </w:tcPr>
          <w:p w14:paraId="314EC4C0" w14:textId="77777777" w:rsidR="00E541EE" w:rsidRPr="0017172C" w:rsidRDefault="00E541EE" w:rsidP="00A84BB5">
            <w:pPr>
              <w:jc w:val="center"/>
              <w:rPr>
                <w:rFonts w:ascii="Arial" w:eastAsia="Times New Roman" w:hAnsi="Arial" w:cs="Arial"/>
                <w:sz w:val="12"/>
                <w:szCs w:val="12"/>
              </w:rPr>
            </w:pPr>
          </w:p>
        </w:tc>
        <w:tc>
          <w:tcPr>
            <w:tcW w:w="461" w:type="pct"/>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35DED9F5" w14:textId="77777777" w:rsidR="00E541EE" w:rsidRPr="0017172C" w:rsidRDefault="00E541EE" w:rsidP="00A84BB5">
            <w:pPr>
              <w:jc w:val="center"/>
              <w:rPr>
                <w:rFonts w:ascii="Arial" w:eastAsia="Times New Roman" w:hAnsi="Arial" w:cs="Arial"/>
                <w:sz w:val="12"/>
                <w:szCs w:val="12"/>
              </w:rPr>
            </w:pPr>
            <w:r w:rsidRPr="0017172C">
              <w:rPr>
                <w:rFonts w:ascii="Arial" w:eastAsia="Times New Roman" w:hAnsi="Arial" w:cs="Arial"/>
                <w:sz w:val="12"/>
                <w:szCs w:val="12"/>
              </w:rPr>
              <w:t>m novoizgrađenih nogostupa</w:t>
            </w:r>
          </w:p>
        </w:tc>
        <w:tc>
          <w:tcPr>
            <w:tcW w:w="468" w:type="pct"/>
            <w:tcBorders>
              <w:top w:val="single" w:sz="4" w:space="0" w:color="auto"/>
              <w:left w:val="nil"/>
              <w:bottom w:val="single" w:sz="4" w:space="0" w:color="auto"/>
              <w:right w:val="single" w:sz="4" w:space="0" w:color="auto"/>
            </w:tcBorders>
            <w:shd w:val="clear" w:color="000000" w:fill="FFFFFF"/>
            <w:vAlign w:val="center"/>
            <w:hideMark/>
          </w:tcPr>
          <w:p w14:paraId="415C6E89" w14:textId="77777777" w:rsidR="00E541EE" w:rsidRPr="0017172C" w:rsidRDefault="00E541EE" w:rsidP="00A84BB5">
            <w:pPr>
              <w:jc w:val="center"/>
              <w:rPr>
                <w:rFonts w:ascii="Arial" w:eastAsia="Times New Roman" w:hAnsi="Arial" w:cs="Arial"/>
                <w:sz w:val="12"/>
                <w:szCs w:val="12"/>
              </w:rPr>
            </w:pPr>
            <w:r w:rsidRPr="0017172C">
              <w:rPr>
                <w:rFonts w:ascii="Arial" w:eastAsia="Times New Roman" w:hAnsi="Arial" w:cs="Arial"/>
                <w:sz w:val="12"/>
                <w:szCs w:val="12"/>
              </w:rPr>
              <w:t>350</w:t>
            </w:r>
          </w:p>
        </w:tc>
        <w:tc>
          <w:tcPr>
            <w:tcW w:w="304" w:type="pct"/>
            <w:tcBorders>
              <w:top w:val="single" w:sz="4" w:space="0" w:color="auto"/>
              <w:left w:val="nil"/>
              <w:bottom w:val="single" w:sz="4" w:space="0" w:color="auto"/>
              <w:right w:val="single" w:sz="4" w:space="0" w:color="auto"/>
            </w:tcBorders>
            <w:shd w:val="clear" w:color="000000" w:fill="FFFFFF"/>
            <w:vAlign w:val="center"/>
            <w:hideMark/>
          </w:tcPr>
          <w:p w14:paraId="12095224" w14:textId="77777777" w:rsidR="00E541EE" w:rsidRPr="0017172C" w:rsidRDefault="00E541EE" w:rsidP="00A84BB5">
            <w:pPr>
              <w:jc w:val="center"/>
              <w:rPr>
                <w:rFonts w:ascii="Arial" w:eastAsia="Times New Roman" w:hAnsi="Arial" w:cs="Arial"/>
                <w:sz w:val="12"/>
                <w:szCs w:val="12"/>
              </w:rPr>
            </w:pPr>
            <w:r w:rsidRPr="0017172C">
              <w:rPr>
                <w:rFonts w:ascii="Arial" w:eastAsia="Times New Roman" w:hAnsi="Arial" w:cs="Arial"/>
                <w:sz w:val="12"/>
                <w:szCs w:val="12"/>
              </w:rPr>
              <w:t>450</w:t>
            </w:r>
          </w:p>
        </w:tc>
        <w:tc>
          <w:tcPr>
            <w:tcW w:w="305" w:type="pct"/>
            <w:tcBorders>
              <w:top w:val="single" w:sz="4" w:space="0" w:color="auto"/>
              <w:left w:val="nil"/>
              <w:bottom w:val="single" w:sz="4" w:space="0" w:color="auto"/>
              <w:right w:val="single" w:sz="4" w:space="0" w:color="auto"/>
            </w:tcBorders>
            <w:shd w:val="clear" w:color="000000" w:fill="FFFFFF"/>
            <w:vAlign w:val="center"/>
            <w:hideMark/>
          </w:tcPr>
          <w:p w14:paraId="0AA0F6CA" w14:textId="77777777" w:rsidR="00E541EE" w:rsidRPr="0017172C" w:rsidRDefault="00E541EE" w:rsidP="00A84BB5">
            <w:pPr>
              <w:jc w:val="center"/>
              <w:rPr>
                <w:rFonts w:ascii="Arial" w:eastAsia="Times New Roman" w:hAnsi="Arial" w:cs="Arial"/>
                <w:sz w:val="12"/>
                <w:szCs w:val="12"/>
              </w:rPr>
            </w:pPr>
            <w:r w:rsidRPr="0017172C">
              <w:rPr>
                <w:rFonts w:ascii="Arial" w:eastAsia="Times New Roman" w:hAnsi="Arial" w:cs="Arial"/>
                <w:sz w:val="12"/>
                <w:szCs w:val="12"/>
              </w:rPr>
              <w:t>590</w:t>
            </w:r>
          </w:p>
        </w:tc>
        <w:tc>
          <w:tcPr>
            <w:tcW w:w="395" w:type="pct"/>
            <w:tcBorders>
              <w:top w:val="single" w:sz="4" w:space="0" w:color="auto"/>
              <w:left w:val="nil"/>
              <w:bottom w:val="single" w:sz="4" w:space="0" w:color="auto"/>
              <w:right w:val="single" w:sz="4" w:space="0" w:color="auto"/>
            </w:tcBorders>
            <w:shd w:val="clear" w:color="000000" w:fill="FFFFFF"/>
            <w:vAlign w:val="center"/>
            <w:hideMark/>
          </w:tcPr>
          <w:p w14:paraId="5C285057" w14:textId="77777777" w:rsidR="00E541EE" w:rsidRPr="0017172C" w:rsidRDefault="00E541EE" w:rsidP="00A84BB5">
            <w:pPr>
              <w:jc w:val="center"/>
              <w:rPr>
                <w:rFonts w:ascii="Arial" w:eastAsia="Times New Roman" w:hAnsi="Arial" w:cs="Arial"/>
                <w:sz w:val="12"/>
                <w:szCs w:val="12"/>
              </w:rPr>
            </w:pPr>
            <w:r w:rsidRPr="0017172C">
              <w:rPr>
                <w:rFonts w:ascii="Arial" w:eastAsia="Times New Roman" w:hAnsi="Arial" w:cs="Arial"/>
                <w:sz w:val="12"/>
                <w:szCs w:val="12"/>
              </w:rPr>
              <w:t>650</w:t>
            </w:r>
          </w:p>
        </w:tc>
      </w:tr>
      <w:tr w:rsidR="00E541EE" w:rsidRPr="0017172C" w14:paraId="2139D6F8" w14:textId="77777777" w:rsidTr="00A84BB5">
        <w:trPr>
          <w:trHeight w:val="615"/>
        </w:trPr>
        <w:tc>
          <w:tcPr>
            <w:tcW w:w="611" w:type="pct"/>
            <w:vMerge/>
            <w:tcBorders>
              <w:top w:val="single" w:sz="4" w:space="0" w:color="auto"/>
              <w:left w:val="single" w:sz="4" w:space="0" w:color="auto"/>
              <w:bottom w:val="single" w:sz="4" w:space="0" w:color="auto"/>
              <w:right w:val="single" w:sz="4" w:space="0" w:color="auto"/>
            </w:tcBorders>
            <w:vAlign w:val="center"/>
            <w:hideMark/>
          </w:tcPr>
          <w:p w14:paraId="19D72F20" w14:textId="77777777" w:rsidR="00E541EE" w:rsidRPr="0017172C" w:rsidRDefault="00E541EE" w:rsidP="00A84BB5">
            <w:pPr>
              <w:jc w:val="center"/>
              <w:rPr>
                <w:rFonts w:ascii="Arial" w:eastAsia="Times New Roman" w:hAnsi="Arial" w:cs="Arial"/>
                <w:sz w:val="12"/>
                <w:szCs w:val="12"/>
              </w:rPr>
            </w:pPr>
          </w:p>
        </w:tc>
        <w:tc>
          <w:tcPr>
            <w:tcW w:w="538" w:type="pct"/>
            <w:vMerge/>
            <w:tcBorders>
              <w:top w:val="single" w:sz="4" w:space="0" w:color="auto"/>
              <w:left w:val="single" w:sz="4" w:space="0" w:color="auto"/>
              <w:bottom w:val="single" w:sz="4" w:space="0" w:color="auto"/>
              <w:right w:val="single" w:sz="4" w:space="0" w:color="auto"/>
            </w:tcBorders>
            <w:vAlign w:val="center"/>
            <w:hideMark/>
          </w:tcPr>
          <w:p w14:paraId="6F378C41" w14:textId="77777777" w:rsidR="00E541EE" w:rsidRPr="0017172C" w:rsidRDefault="00E541EE" w:rsidP="00A84BB5">
            <w:pPr>
              <w:jc w:val="center"/>
              <w:rPr>
                <w:rFonts w:ascii="Arial" w:eastAsia="Times New Roman" w:hAnsi="Arial" w:cs="Arial"/>
                <w:sz w:val="12"/>
                <w:szCs w:val="12"/>
              </w:rPr>
            </w:pPr>
          </w:p>
        </w:tc>
        <w:tc>
          <w:tcPr>
            <w:tcW w:w="538" w:type="pct"/>
            <w:vMerge/>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410C8B34" w14:textId="77777777" w:rsidR="00E541EE" w:rsidRPr="0017172C" w:rsidRDefault="00E541EE" w:rsidP="00A84BB5">
            <w:pPr>
              <w:jc w:val="center"/>
              <w:rPr>
                <w:rFonts w:ascii="Arial" w:eastAsia="Times New Roman" w:hAnsi="Arial" w:cs="Arial"/>
                <w:sz w:val="12"/>
                <w:szCs w:val="12"/>
              </w:rPr>
            </w:pPr>
          </w:p>
        </w:tc>
        <w:tc>
          <w:tcPr>
            <w:tcW w:w="383" w:type="pct"/>
            <w:vMerge/>
            <w:tcBorders>
              <w:top w:val="single" w:sz="4" w:space="0" w:color="auto"/>
              <w:left w:val="single" w:sz="4" w:space="0" w:color="auto"/>
              <w:bottom w:val="single" w:sz="4" w:space="0" w:color="auto"/>
              <w:right w:val="single" w:sz="4" w:space="0" w:color="auto"/>
            </w:tcBorders>
            <w:vAlign w:val="center"/>
            <w:hideMark/>
          </w:tcPr>
          <w:p w14:paraId="194531D2" w14:textId="77777777" w:rsidR="00E541EE" w:rsidRPr="0017172C" w:rsidRDefault="00E541EE" w:rsidP="00A84BB5">
            <w:pPr>
              <w:jc w:val="center"/>
              <w:rPr>
                <w:rFonts w:ascii="Arial" w:eastAsia="Times New Roman" w:hAnsi="Arial" w:cs="Arial"/>
                <w:sz w:val="12"/>
                <w:szCs w:val="12"/>
              </w:rPr>
            </w:pPr>
          </w:p>
        </w:tc>
        <w:tc>
          <w:tcPr>
            <w:tcW w:w="537" w:type="pct"/>
            <w:vMerge/>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0E94F64C" w14:textId="77777777" w:rsidR="00E541EE" w:rsidRPr="0017172C" w:rsidRDefault="00E541EE" w:rsidP="00A84BB5">
            <w:pPr>
              <w:jc w:val="center"/>
              <w:rPr>
                <w:rFonts w:ascii="Arial" w:eastAsia="Times New Roman" w:hAnsi="Arial" w:cs="Arial"/>
                <w:sz w:val="12"/>
                <w:szCs w:val="12"/>
              </w:rPr>
            </w:pPr>
          </w:p>
        </w:tc>
        <w:tc>
          <w:tcPr>
            <w:tcW w:w="460" w:type="pct"/>
            <w:vMerge/>
            <w:tcBorders>
              <w:top w:val="single" w:sz="4" w:space="0" w:color="auto"/>
              <w:left w:val="single" w:sz="4" w:space="0" w:color="auto"/>
              <w:bottom w:val="single" w:sz="4" w:space="0" w:color="auto"/>
              <w:right w:val="single" w:sz="4" w:space="0" w:color="auto"/>
            </w:tcBorders>
            <w:vAlign w:val="center"/>
            <w:hideMark/>
          </w:tcPr>
          <w:p w14:paraId="03B96D26" w14:textId="77777777" w:rsidR="00E541EE" w:rsidRPr="0017172C" w:rsidRDefault="00E541EE" w:rsidP="00A84BB5">
            <w:pPr>
              <w:jc w:val="center"/>
              <w:rPr>
                <w:rFonts w:ascii="Arial" w:eastAsia="Times New Roman" w:hAnsi="Arial" w:cs="Arial"/>
                <w:sz w:val="12"/>
                <w:szCs w:val="12"/>
              </w:rPr>
            </w:pPr>
          </w:p>
        </w:tc>
        <w:tc>
          <w:tcPr>
            <w:tcW w:w="461" w:type="pct"/>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7B9CEC5F" w14:textId="77777777" w:rsidR="00E541EE" w:rsidRPr="0017172C" w:rsidRDefault="00E541EE" w:rsidP="00A84BB5">
            <w:pPr>
              <w:jc w:val="center"/>
              <w:rPr>
                <w:rFonts w:ascii="Arial" w:eastAsia="Times New Roman" w:hAnsi="Arial" w:cs="Arial"/>
                <w:sz w:val="12"/>
                <w:szCs w:val="12"/>
              </w:rPr>
            </w:pPr>
            <w:r w:rsidRPr="0017172C">
              <w:rPr>
                <w:rFonts w:ascii="Arial" w:eastAsia="Times New Roman" w:hAnsi="Arial" w:cs="Arial"/>
                <w:sz w:val="12"/>
                <w:szCs w:val="12"/>
              </w:rPr>
              <w:t>km održavanih nerazvrstanih cesta</w:t>
            </w:r>
          </w:p>
        </w:tc>
        <w:tc>
          <w:tcPr>
            <w:tcW w:w="468" w:type="pct"/>
            <w:tcBorders>
              <w:top w:val="single" w:sz="4" w:space="0" w:color="auto"/>
              <w:left w:val="nil"/>
              <w:bottom w:val="single" w:sz="4" w:space="0" w:color="auto"/>
              <w:right w:val="single" w:sz="4" w:space="0" w:color="auto"/>
            </w:tcBorders>
            <w:shd w:val="clear" w:color="000000" w:fill="FFFFFF"/>
            <w:vAlign w:val="center"/>
            <w:hideMark/>
          </w:tcPr>
          <w:p w14:paraId="4E24E0BD" w14:textId="77777777" w:rsidR="00E541EE" w:rsidRPr="0017172C" w:rsidRDefault="00E541EE" w:rsidP="00A84BB5">
            <w:pPr>
              <w:jc w:val="center"/>
              <w:rPr>
                <w:rFonts w:ascii="Arial" w:eastAsia="Times New Roman" w:hAnsi="Arial" w:cs="Arial"/>
                <w:sz w:val="12"/>
                <w:szCs w:val="12"/>
              </w:rPr>
            </w:pPr>
            <w:r w:rsidRPr="0017172C">
              <w:rPr>
                <w:rFonts w:ascii="Arial" w:eastAsia="Times New Roman" w:hAnsi="Arial" w:cs="Arial"/>
                <w:sz w:val="12"/>
                <w:szCs w:val="12"/>
              </w:rPr>
              <w:t>1,2</w:t>
            </w:r>
          </w:p>
        </w:tc>
        <w:tc>
          <w:tcPr>
            <w:tcW w:w="304" w:type="pct"/>
            <w:tcBorders>
              <w:top w:val="single" w:sz="4" w:space="0" w:color="auto"/>
              <w:left w:val="nil"/>
              <w:bottom w:val="single" w:sz="4" w:space="0" w:color="auto"/>
              <w:right w:val="single" w:sz="4" w:space="0" w:color="auto"/>
            </w:tcBorders>
            <w:shd w:val="clear" w:color="000000" w:fill="FFFFFF"/>
            <w:vAlign w:val="center"/>
            <w:hideMark/>
          </w:tcPr>
          <w:p w14:paraId="77CE7F9C" w14:textId="77777777" w:rsidR="00E541EE" w:rsidRPr="0017172C" w:rsidRDefault="00E541EE" w:rsidP="00A84BB5">
            <w:pPr>
              <w:jc w:val="center"/>
              <w:rPr>
                <w:rFonts w:ascii="Arial" w:eastAsia="Times New Roman" w:hAnsi="Arial" w:cs="Arial"/>
                <w:sz w:val="12"/>
                <w:szCs w:val="12"/>
              </w:rPr>
            </w:pPr>
            <w:r w:rsidRPr="0017172C">
              <w:rPr>
                <w:rFonts w:ascii="Arial" w:eastAsia="Times New Roman" w:hAnsi="Arial" w:cs="Arial"/>
                <w:sz w:val="12"/>
                <w:szCs w:val="12"/>
              </w:rPr>
              <w:t>2</w:t>
            </w:r>
          </w:p>
        </w:tc>
        <w:tc>
          <w:tcPr>
            <w:tcW w:w="305" w:type="pct"/>
            <w:tcBorders>
              <w:top w:val="single" w:sz="4" w:space="0" w:color="auto"/>
              <w:left w:val="nil"/>
              <w:bottom w:val="single" w:sz="4" w:space="0" w:color="auto"/>
              <w:right w:val="single" w:sz="4" w:space="0" w:color="auto"/>
            </w:tcBorders>
            <w:shd w:val="clear" w:color="000000" w:fill="FFFFFF"/>
            <w:vAlign w:val="center"/>
            <w:hideMark/>
          </w:tcPr>
          <w:p w14:paraId="4802726A" w14:textId="77777777" w:rsidR="00E541EE" w:rsidRPr="0017172C" w:rsidRDefault="00E541EE" w:rsidP="00A84BB5">
            <w:pPr>
              <w:jc w:val="center"/>
              <w:rPr>
                <w:rFonts w:ascii="Arial" w:eastAsia="Times New Roman" w:hAnsi="Arial" w:cs="Arial"/>
                <w:sz w:val="12"/>
                <w:szCs w:val="12"/>
              </w:rPr>
            </w:pPr>
            <w:r w:rsidRPr="0017172C">
              <w:rPr>
                <w:rFonts w:ascii="Arial" w:eastAsia="Times New Roman" w:hAnsi="Arial" w:cs="Arial"/>
                <w:sz w:val="12"/>
                <w:szCs w:val="12"/>
              </w:rPr>
              <w:t>2,8</w:t>
            </w:r>
          </w:p>
        </w:tc>
        <w:tc>
          <w:tcPr>
            <w:tcW w:w="395" w:type="pct"/>
            <w:tcBorders>
              <w:top w:val="single" w:sz="4" w:space="0" w:color="auto"/>
              <w:left w:val="nil"/>
              <w:bottom w:val="single" w:sz="4" w:space="0" w:color="auto"/>
              <w:right w:val="single" w:sz="4" w:space="0" w:color="auto"/>
            </w:tcBorders>
            <w:shd w:val="clear" w:color="000000" w:fill="FFFFFF"/>
            <w:vAlign w:val="center"/>
            <w:hideMark/>
          </w:tcPr>
          <w:p w14:paraId="20EC3855" w14:textId="77777777" w:rsidR="00E541EE" w:rsidRPr="0017172C" w:rsidRDefault="00E541EE" w:rsidP="00A84BB5">
            <w:pPr>
              <w:jc w:val="center"/>
              <w:rPr>
                <w:rFonts w:ascii="Arial" w:eastAsia="Times New Roman" w:hAnsi="Arial" w:cs="Arial"/>
                <w:sz w:val="12"/>
                <w:szCs w:val="12"/>
              </w:rPr>
            </w:pPr>
            <w:r w:rsidRPr="0017172C">
              <w:rPr>
                <w:rFonts w:ascii="Arial" w:eastAsia="Times New Roman" w:hAnsi="Arial" w:cs="Arial"/>
                <w:sz w:val="12"/>
                <w:szCs w:val="12"/>
              </w:rPr>
              <w:t>3,5</w:t>
            </w:r>
          </w:p>
        </w:tc>
      </w:tr>
      <w:tr w:rsidR="00E541EE" w:rsidRPr="0017172C" w14:paraId="627E3115" w14:textId="77777777" w:rsidTr="00A84BB5">
        <w:trPr>
          <w:trHeight w:val="975"/>
        </w:trPr>
        <w:tc>
          <w:tcPr>
            <w:tcW w:w="611" w:type="pct"/>
            <w:vMerge/>
            <w:tcBorders>
              <w:top w:val="single" w:sz="4" w:space="0" w:color="auto"/>
              <w:left w:val="single" w:sz="4" w:space="0" w:color="auto"/>
              <w:right w:val="single" w:sz="4" w:space="0" w:color="auto"/>
            </w:tcBorders>
            <w:vAlign w:val="center"/>
            <w:hideMark/>
          </w:tcPr>
          <w:p w14:paraId="42F8A383" w14:textId="77777777" w:rsidR="00E541EE" w:rsidRPr="0017172C" w:rsidRDefault="00E541EE" w:rsidP="00A84BB5">
            <w:pPr>
              <w:jc w:val="center"/>
              <w:rPr>
                <w:rFonts w:ascii="Arial" w:eastAsia="Times New Roman" w:hAnsi="Arial" w:cs="Arial"/>
                <w:sz w:val="12"/>
                <w:szCs w:val="12"/>
              </w:rPr>
            </w:pPr>
          </w:p>
        </w:tc>
        <w:tc>
          <w:tcPr>
            <w:tcW w:w="538" w:type="pct"/>
            <w:vMerge/>
            <w:tcBorders>
              <w:top w:val="single" w:sz="4" w:space="0" w:color="auto"/>
              <w:left w:val="single" w:sz="4" w:space="0" w:color="auto"/>
              <w:bottom w:val="single" w:sz="4" w:space="0" w:color="auto"/>
              <w:right w:val="single" w:sz="4" w:space="0" w:color="auto"/>
            </w:tcBorders>
            <w:vAlign w:val="center"/>
            <w:hideMark/>
          </w:tcPr>
          <w:p w14:paraId="57A5B400" w14:textId="77777777" w:rsidR="00E541EE" w:rsidRPr="0017172C" w:rsidRDefault="00E541EE" w:rsidP="00A84BB5">
            <w:pPr>
              <w:jc w:val="center"/>
              <w:rPr>
                <w:rFonts w:ascii="Arial" w:eastAsia="Times New Roman" w:hAnsi="Arial" w:cs="Arial"/>
                <w:sz w:val="12"/>
                <w:szCs w:val="12"/>
              </w:rPr>
            </w:pPr>
          </w:p>
        </w:tc>
        <w:tc>
          <w:tcPr>
            <w:tcW w:w="538" w:type="pct"/>
            <w:vMerge/>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0AF754EC" w14:textId="77777777" w:rsidR="00E541EE" w:rsidRPr="0017172C" w:rsidRDefault="00E541EE" w:rsidP="00A84BB5">
            <w:pPr>
              <w:jc w:val="center"/>
              <w:rPr>
                <w:rFonts w:ascii="Arial" w:eastAsia="Times New Roman" w:hAnsi="Arial" w:cs="Arial"/>
                <w:sz w:val="12"/>
                <w:szCs w:val="12"/>
              </w:rPr>
            </w:pPr>
          </w:p>
        </w:tc>
        <w:tc>
          <w:tcPr>
            <w:tcW w:w="383" w:type="pct"/>
            <w:vMerge/>
            <w:tcBorders>
              <w:top w:val="single" w:sz="4" w:space="0" w:color="auto"/>
              <w:left w:val="single" w:sz="4" w:space="0" w:color="auto"/>
              <w:bottom w:val="single" w:sz="4" w:space="0" w:color="auto"/>
              <w:right w:val="single" w:sz="4" w:space="0" w:color="auto"/>
            </w:tcBorders>
            <w:vAlign w:val="center"/>
            <w:hideMark/>
          </w:tcPr>
          <w:p w14:paraId="4D818AF2" w14:textId="77777777" w:rsidR="00E541EE" w:rsidRPr="0017172C" w:rsidRDefault="00E541EE" w:rsidP="00A84BB5">
            <w:pPr>
              <w:jc w:val="center"/>
              <w:rPr>
                <w:rFonts w:ascii="Arial" w:eastAsia="Times New Roman" w:hAnsi="Arial" w:cs="Arial"/>
                <w:sz w:val="12"/>
                <w:szCs w:val="12"/>
              </w:rPr>
            </w:pPr>
          </w:p>
        </w:tc>
        <w:tc>
          <w:tcPr>
            <w:tcW w:w="537" w:type="pct"/>
            <w:vMerge/>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7DBC3C01" w14:textId="77777777" w:rsidR="00E541EE" w:rsidRPr="0017172C" w:rsidRDefault="00E541EE" w:rsidP="00A84BB5">
            <w:pPr>
              <w:jc w:val="center"/>
              <w:rPr>
                <w:rFonts w:ascii="Arial" w:eastAsia="Times New Roman" w:hAnsi="Arial" w:cs="Arial"/>
                <w:sz w:val="12"/>
                <w:szCs w:val="12"/>
              </w:rPr>
            </w:pPr>
          </w:p>
        </w:tc>
        <w:tc>
          <w:tcPr>
            <w:tcW w:w="460" w:type="pct"/>
            <w:vMerge/>
            <w:tcBorders>
              <w:top w:val="single" w:sz="4" w:space="0" w:color="auto"/>
              <w:left w:val="single" w:sz="4" w:space="0" w:color="auto"/>
              <w:bottom w:val="single" w:sz="4" w:space="0" w:color="auto"/>
              <w:right w:val="single" w:sz="4" w:space="0" w:color="auto"/>
            </w:tcBorders>
            <w:vAlign w:val="center"/>
            <w:hideMark/>
          </w:tcPr>
          <w:p w14:paraId="3956E741" w14:textId="77777777" w:rsidR="00E541EE" w:rsidRPr="0017172C" w:rsidRDefault="00E541EE" w:rsidP="00A84BB5">
            <w:pPr>
              <w:jc w:val="center"/>
              <w:rPr>
                <w:rFonts w:ascii="Arial" w:eastAsia="Times New Roman" w:hAnsi="Arial" w:cs="Arial"/>
                <w:sz w:val="12"/>
                <w:szCs w:val="12"/>
              </w:rPr>
            </w:pPr>
          </w:p>
        </w:tc>
        <w:tc>
          <w:tcPr>
            <w:tcW w:w="461" w:type="pct"/>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55F269E0" w14:textId="77777777" w:rsidR="00E541EE" w:rsidRPr="0017172C" w:rsidRDefault="00E541EE" w:rsidP="00A84BB5">
            <w:pPr>
              <w:jc w:val="center"/>
              <w:rPr>
                <w:rFonts w:ascii="Arial" w:eastAsia="Times New Roman" w:hAnsi="Arial" w:cs="Arial"/>
                <w:sz w:val="12"/>
                <w:szCs w:val="12"/>
              </w:rPr>
            </w:pPr>
            <w:r w:rsidRPr="0017172C">
              <w:rPr>
                <w:rFonts w:ascii="Arial" w:eastAsia="Times New Roman" w:hAnsi="Arial" w:cs="Arial"/>
                <w:sz w:val="12"/>
                <w:szCs w:val="12"/>
              </w:rPr>
              <w:t>Broj novoizgrađenih parkirališnih mjesta</w:t>
            </w:r>
          </w:p>
        </w:tc>
        <w:tc>
          <w:tcPr>
            <w:tcW w:w="468" w:type="pct"/>
            <w:tcBorders>
              <w:top w:val="single" w:sz="4" w:space="0" w:color="auto"/>
              <w:left w:val="nil"/>
              <w:bottom w:val="single" w:sz="4" w:space="0" w:color="auto"/>
              <w:right w:val="single" w:sz="4" w:space="0" w:color="auto"/>
            </w:tcBorders>
            <w:shd w:val="clear" w:color="000000" w:fill="FFFFFF"/>
            <w:vAlign w:val="center"/>
            <w:hideMark/>
          </w:tcPr>
          <w:p w14:paraId="4FD4983B" w14:textId="77777777" w:rsidR="00E541EE" w:rsidRPr="0017172C" w:rsidRDefault="00E541EE" w:rsidP="00A84BB5">
            <w:pPr>
              <w:jc w:val="center"/>
              <w:rPr>
                <w:rFonts w:ascii="Arial" w:eastAsia="Times New Roman" w:hAnsi="Arial" w:cs="Arial"/>
                <w:sz w:val="12"/>
                <w:szCs w:val="12"/>
              </w:rPr>
            </w:pPr>
            <w:r w:rsidRPr="0017172C">
              <w:rPr>
                <w:rFonts w:ascii="Arial" w:eastAsia="Times New Roman" w:hAnsi="Arial" w:cs="Arial"/>
                <w:sz w:val="12"/>
                <w:szCs w:val="12"/>
              </w:rPr>
              <w:t>12</w:t>
            </w:r>
          </w:p>
        </w:tc>
        <w:tc>
          <w:tcPr>
            <w:tcW w:w="304" w:type="pct"/>
            <w:tcBorders>
              <w:top w:val="single" w:sz="4" w:space="0" w:color="auto"/>
              <w:left w:val="nil"/>
              <w:bottom w:val="single" w:sz="4" w:space="0" w:color="auto"/>
              <w:right w:val="single" w:sz="4" w:space="0" w:color="auto"/>
            </w:tcBorders>
            <w:shd w:val="clear" w:color="000000" w:fill="FFFFFF"/>
            <w:vAlign w:val="center"/>
            <w:hideMark/>
          </w:tcPr>
          <w:p w14:paraId="29E0F1D1" w14:textId="77777777" w:rsidR="00E541EE" w:rsidRPr="0017172C" w:rsidRDefault="00E541EE" w:rsidP="00A84BB5">
            <w:pPr>
              <w:jc w:val="center"/>
              <w:rPr>
                <w:rFonts w:ascii="Arial" w:eastAsia="Times New Roman" w:hAnsi="Arial" w:cs="Arial"/>
                <w:sz w:val="12"/>
                <w:szCs w:val="12"/>
              </w:rPr>
            </w:pPr>
            <w:r w:rsidRPr="0017172C">
              <w:rPr>
                <w:rFonts w:ascii="Arial" w:eastAsia="Times New Roman" w:hAnsi="Arial" w:cs="Arial"/>
                <w:sz w:val="12"/>
                <w:szCs w:val="12"/>
              </w:rPr>
              <w:t>20</w:t>
            </w:r>
          </w:p>
        </w:tc>
        <w:tc>
          <w:tcPr>
            <w:tcW w:w="305" w:type="pct"/>
            <w:tcBorders>
              <w:top w:val="single" w:sz="4" w:space="0" w:color="auto"/>
              <w:left w:val="nil"/>
              <w:bottom w:val="single" w:sz="4" w:space="0" w:color="auto"/>
              <w:right w:val="single" w:sz="4" w:space="0" w:color="auto"/>
            </w:tcBorders>
            <w:shd w:val="clear" w:color="000000" w:fill="FFFFFF"/>
            <w:vAlign w:val="center"/>
            <w:hideMark/>
          </w:tcPr>
          <w:p w14:paraId="35A9A55C" w14:textId="77777777" w:rsidR="00E541EE" w:rsidRPr="0017172C" w:rsidRDefault="00E541EE" w:rsidP="00A84BB5">
            <w:pPr>
              <w:jc w:val="center"/>
              <w:rPr>
                <w:rFonts w:ascii="Arial" w:eastAsia="Times New Roman" w:hAnsi="Arial" w:cs="Arial"/>
                <w:sz w:val="12"/>
                <w:szCs w:val="12"/>
              </w:rPr>
            </w:pPr>
            <w:r w:rsidRPr="0017172C">
              <w:rPr>
                <w:rFonts w:ascii="Arial" w:eastAsia="Times New Roman" w:hAnsi="Arial" w:cs="Arial"/>
                <w:sz w:val="12"/>
                <w:szCs w:val="12"/>
              </w:rPr>
              <w:t>25</w:t>
            </w:r>
          </w:p>
        </w:tc>
        <w:tc>
          <w:tcPr>
            <w:tcW w:w="395" w:type="pct"/>
            <w:tcBorders>
              <w:top w:val="single" w:sz="4" w:space="0" w:color="auto"/>
              <w:left w:val="nil"/>
              <w:bottom w:val="single" w:sz="4" w:space="0" w:color="auto"/>
              <w:right w:val="single" w:sz="4" w:space="0" w:color="auto"/>
            </w:tcBorders>
            <w:shd w:val="clear" w:color="000000" w:fill="FFFFFF"/>
            <w:vAlign w:val="center"/>
            <w:hideMark/>
          </w:tcPr>
          <w:p w14:paraId="48398A5F" w14:textId="77777777" w:rsidR="00E541EE" w:rsidRPr="0017172C" w:rsidRDefault="00E541EE" w:rsidP="00A84BB5">
            <w:pPr>
              <w:jc w:val="center"/>
              <w:rPr>
                <w:rFonts w:ascii="Arial" w:eastAsia="Times New Roman" w:hAnsi="Arial" w:cs="Arial"/>
                <w:sz w:val="12"/>
                <w:szCs w:val="12"/>
              </w:rPr>
            </w:pPr>
            <w:r w:rsidRPr="0017172C">
              <w:rPr>
                <w:rFonts w:ascii="Arial" w:eastAsia="Times New Roman" w:hAnsi="Arial" w:cs="Arial"/>
                <w:sz w:val="12"/>
                <w:szCs w:val="12"/>
              </w:rPr>
              <w:t>32</w:t>
            </w:r>
          </w:p>
        </w:tc>
      </w:tr>
      <w:tr w:rsidR="00E541EE" w:rsidRPr="0017172C" w14:paraId="56D89D0A" w14:textId="77777777" w:rsidTr="00A84BB5">
        <w:trPr>
          <w:trHeight w:val="615"/>
        </w:trPr>
        <w:tc>
          <w:tcPr>
            <w:tcW w:w="611" w:type="pct"/>
            <w:vMerge/>
            <w:tcBorders>
              <w:left w:val="single" w:sz="4" w:space="0" w:color="auto"/>
              <w:right w:val="single" w:sz="4" w:space="0" w:color="auto"/>
            </w:tcBorders>
            <w:shd w:val="clear" w:color="000000" w:fill="FFFFFF"/>
            <w:vAlign w:val="center"/>
            <w:hideMark/>
          </w:tcPr>
          <w:p w14:paraId="1E2DD2EA" w14:textId="77777777" w:rsidR="00E541EE" w:rsidRPr="0017172C" w:rsidRDefault="00E541EE" w:rsidP="00A84BB5">
            <w:pPr>
              <w:jc w:val="center"/>
              <w:rPr>
                <w:rFonts w:ascii="Arial" w:eastAsia="Times New Roman" w:hAnsi="Arial" w:cs="Arial"/>
                <w:sz w:val="12"/>
                <w:szCs w:val="12"/>
              </w:rPr>
            </w:pPr>
          </w:p>
        </w:tc>
        <w:tc>
          <w:tcPr>
            <w:tcW w:w="538" w:type="pct"/>
            <w:vMerge w:val="restart"/>
            <w:tcBorders>
              <w:top w:val="nil"/>
              <w:left w:val="single" w:sz="4" w:space="0" w:color="auto"/>
              <w:bottom w:val="single" w:sz="4" w:space="0" w:color="auto"/>
              <w:right w:val="single" w:sz="4" w:space="0" w:color="auto"/>
            </w:tcBorders>
            <w:shd w:val="clear" w:color="000000" w:fill="FFFFFF"/>
            <w:vAlign w:val="center"/>
            <w:hideMark/>
          </w:tcPr>
          <w:p w14:paraId="5F011E24" w14:textId="77777777" w:rsidR="00E541EE" w:rsidRPr="0017172C" w:rsidRDefault="00E541EE" w:rsidP="00A84BB5">
            <w:pPr>
              <w:jc w:val="center"/>
              <w:rPr>
                <w:rFonts w:ascii="Arial" w:eastAsia="Times New Roman" w:hAnsi="Arial" w:cs="Arial"/>
                <w:sz w:val="12"/>
                <w:szCs w:val="12"/>
              </w:rPr>
            </w:pPr>
            <w:r w:rsidRPr="0017172C">
              <w:rPr>
                <w:rFonts w:ascii="Arial" w:eastAsia="Times New Roman" w:hAnsi="Arial" w:cs="Arial"/>
                <w:sz w:val="12"/>
                <w:szCs w:val="12"/>
              </w:rPr>
              <w:t>1.2. Održivo prometno i komunikacijsko povezivanje</w:t>
            </w:r>
          </w:p>
        </w:tc>
        <w:tc>
          <w:tcPr>
            <w:tcW w:w="538" w:type="pct"/>
            <w:vMerge w:val="restart"/>
            <w:tcBorders>
              <w:top w:val="nil"/>
              <w:left w:val="single" w:sz="4" w:space="0" w:color="auto"/>
              <w:bottom w:val="single" w:sz="4" w:space="0" w:color="auto"/>
              <w:right w:val="single" w:sz="4" w:space="0" w:color="auto"/>
            </w:tcBorders>
            <w:shd w:val="clear" w:color="auto" w:fill="FFF2CC" w:themeFill="accent4" w:themeFillTint="33"/>
            <w:vAlign w:val="center"/>
            <w:hideMark/>
          </w:tcPr>
          <w:p w14:paraId="48EE41B0" w14:textId="77777777" w:rsidR="00E541EE" w:rsidRPr="0017172C" w:rsidRDefault="00E541EE" w:rsidP="00A84BB5">
            <w:pPr>
              <w:jc w:val="center"/>
              <w:rPr>
                <w:rFonts w:ascii="Arial" w:eastAsia="Times New Roman" w:hAnsi="Arial" w:cs="Arial"/>
                <w:sz w:val="12"/>
                <w:szCs w:val="12"/>
              </w:rPr>
            </w:pPr>
            <w:r w:rsidRPr="0017172C">
              <w:rPr>
                <w:rFonts w:ascii="Arial" w:eastAsia="Times New Roman" w:hAnsi="Arial" w:cs="Arial"/>
                <w:sz w:val="12"/>
                <w:szCs w:val="12"/>
              </w:rPr>
              <w:t>P1013 INVESTICIJSKO ODRŽAVA</w:t>
            </w:r>
            <w:r>
              <w:rPr>
                <w:rFonts w:ascii="Arial" w:eastAsia="Times New Roman" w:hAnsi="Arial" w:cs="Arial"/>
                <w:sz w:val="12"/>
                <w:szCs w:val="12"/>
              </w:rPr>
              <w:t>-</w:t>
            </w:r>
            <w:r w:rsidRPr="0017172C">
              <w:rPr>
                <w:rFonts w:ascii="Arial" w:eastAsia="Times New Roman" w:hAnsi="Arial" w:cs="Arial"/>
                <w:sz w:val="12"/>
                <w:szCs w:val="12"/>
              </w:rPr>
              <w:t>NJE OBJEKATA</w:t>
            </w:r>
          </w:p>
        </w:tc>
        <w:tc>
          <w:tcPr>
            <w:tcW w:w="383" w:type="pct"/>
            <w:vMerge w:val="restart"/>
            <w:tcBorders>
              <w:top w:val="nil"/>
              <w:left w:val="single" w:sz="4" w:space="0" w:color="auto"/>
              <w:bottom w:val="single" w:sz="4" w:space="0" w:color="auto"/>
              <w:right w:val="single" w:sz="4" w:space="0" w:color="auto"/>
            </w:tcBorders>
            <w:shd w:val="clear" w:color="000000" w:fill="FFFFFF"/>
            <w:vAlign w:val="center"/>
            <w:hideMark/>
          </w:tcPr>
          <w:p w14:paraId="775AEB61" w14:textId="77777777" w:rsidR="00E541EE" w:rsidRPr="0017172C" w:rsidRDefault="00E541EE" w:rsidP="00A84BB5">
            <w:pPr>
              <w:jc w:val="center"/>
              <w:rPr>
                <w:rFonts w:ascii="Arial" w:eastAsia="Times New Roman" w:hAnsi="Arial" w:cs="Arial"/>
                <w:sz w:val="12"/>
                <w:szCs w:val="12"/>
              </w:rPr>
            </w:pPr>
            <w:r w:rsidRPr="0017172C">
              <w:rPr>
                <w:rFonts w:ascii="Arial" w:eastAsia="Times New Roman" w:hAnsi="Arial" w:cs="Arial"/>
                <w:sz w:val="12"/>
                <w:szCs w:val="12"/>
              </w:rPr>
              <w:t>Razvoj i unapređenje biciklističke prometne infrastrukture</w:t>
            </w:r>
          </w:p>
        </w:tc>
        <w:tc>
          <w:tcPr>
            <w:tcW w:w="537" w:type="pct"/>
            <w:vMerge w:val="restart"/>
            <w:tcBorders>
              <w:top w:val="nil"/>
              <w:left w:val="single" w:sz="4" w:space="0" w:color="auto"/>
              <w:bottom w:val="single" w:sz="4" w:space="0" w:color="auto"/>
              <w:right w:val="single" w:sz="4" w:space="0" w:color="auto"/>
            </w:tcBorders>
            <w:shd w:val="clear" w:color="auto" w:fill="FFF2CC" w:themeFill="accent4" w:themeFillTint="33"/>
            <w:vAlign w:val="center"/>
            <w:hideMark/>
          </w:tcPr>
          <w:p w14:paraId="7604DE66" w14:textId="77777777" w:rsidR="00E541EE" w:rsidRPr="0017172C" w:rsidRDefault="00E541EE" w:rsidP="00A84BB5">
            <w:pPr>
              <w:ind w:right="-79"/>
              <w:jc w:val="center"/>
              <w:rPr>
                <w:rFonts w:ascii="Arial" w:eastAsia="Times New Roman" w:hAnsi="Arial" w:cs="Arial"/>
                <w:sz w:val="12"/>
                <w:szCs w:val="12"/>
              </w:rPr>
            </w:pPr>
            <w:r w:rsidRPr="0017172C">
              <w:rPr>
                <w:rFonts w:ascii="Arial" w:eastAsia="Times New Roman" w:hAnsi="Arial" w:cs="Arial"/>
                <w:sz w:val="12"/>
                <w:szCs w:val="12"/>
              </w:rPr>
              <w:t>169.000,00</w:t>
            </w:r>
          </w:p>
        </w:tc>
        <w:tc>
          <w:tcPr>
            <w:tcW w:w="460" w:type="pct"/>
            <w:vMerge w:val="restart"/>
            <w:tcBorders>
              <w:top w:val="nil"/>
              <w:left w:val="single" w:sz="4" w:space="0" w:color="auto"/>
              <w:bottom w:val="single" w:sz="4" w:space="0" w:color="auto"/>
              <w:right w:val="single" w:sz="4" w:space="0" w:color="auto"/>
            </w:tcBorders>
            <w:shd w:val="clear" w:color="000000" w:fill="FFFFFF"/>
            <w:vAlign w:val="center"/>
            <w:hideMark/>
          </w:tcPr>
          <w:p w14:paraId="33D4DA21" w14:textId="77777777" w:rsidR="00E541EE" w:rsidRPr="0017172C" w:rsidRDefault="00E541EE" w:rsidP="00A84BB5">
            <w:pPr>
              <w:jc w:val="center"/>
              <w:rPr>
                <w:rFonts w:ascii="Arial" w:eastAsia="Times New Roman" w:hAnsi="Arial" w:cs="Arial"/>
                <w:sz w:val="12"/>
                <w:szCs w:val="12"/>
              </w:rPr>
            </w:pPr>
            <w:r w:rsidRPr="0017172C">
              <w:rPr>
                <w:rFonts w:ascii="Arial" w:eastAsia="Times New Roman" w:hAnsi="Arial" w:cs="Arial"/>
                <w:sz w:val="12"/>
                <w:szCs w:val="12"/>
              </w:rPr>
              <w:t>T101306 BICIKLISTI</w:t>
            </w:r>
            <w:r>
              <w:rPr>
                <w:rFonts w:ascii="Arial" w:eastAsia="Times New Roman" w:hAnsi="Arial" w:cs="Arial"/>
                <w:sz w:val="12"/>
                <w:szCs w:val="12"/>
              </w:rPr>
              <w:t>-</w:t>
            </w:r>
            <w:r w:rsidRPr="0017172C">
              <w:rPr>
                <w:rFonts w:ascii="Arial" w:eastAsia="Times New Roman" w:hAnsi="Arial" w:cs="Arial"/>
                <w:sz w:val="12"/>
                <w:szCs w:val="12"/>
              </w:rPr>
              <w:t>ČKA TRAKA MONFIORENZO-GRIPOLE</w:t>
            </w:r>
          </w:p>
        </w:tc>
        <w:tc>
          <w:tcPr>
            <w:tcW w:w="461" w:type="pct"/>
            <w:tcBorders>
              <w:top w:val="nil"/>
              <w:left w:val="nil"/>
              <w:bottom w:val="single" w:sz="4" w:space="0" w:color="auto"/>
              <w:right w:val="single" w:sz="4" w:space="0" w:color="auto"/>
            </w:tcBorders>
            <w:shd w:val="clear" w:color="auto" w:fill="FFF2CC" w:themeFill="accent4" w:themeFillTint="33"/>
            <w:vAlign w:val="center"/>
            <w:hideMark/>
          </w:tcPr>
          <w:p w14:paraId="07C0ED32" w14:textId="77777777" w:rsidR="00E541EE" w:rsidRPr="0017172C" w:rsidRDefault="00E541EE" w:rsidP="00A84BB5">
            <w:pPr>
              <w:jc w:val="center"/>
              <w:rPr>
                <w:rFonts w:ascii="Arial" w:eastAsia="Times New Roman" w:hAnsi="Arial" w:cs="Arial"/>
                <w:sz w:val="12"/>
                <w:szCs w:val="12"/>
              </w:rPr>
            </w:pPr>
            <w:r w:rsidRPr="0017172C">
              <w:rPr>
                <w:rFonts w:ascii="Arial" w:eastAsia="Times New Roman" w:hAnsi="Arial" w:cs="Arial"/>
                <w:sz w:val="12"/>
                <w:szCs w:val="12"/>
              </w:rPr>
              <w:t>km novih biciklističkih staza</w:t>
            </w:r>
          </w:p>
        </w:tc>
        <w:tc>
          <w:tcPr>
            <w:tcW w:w="468" w:type="pct"/>
            <w:tcBorders>
              <w:top w:val="nil"/>
              <w:left w:val="nil"/>
              <w:bottom w:val="single" w:sz="4" w:space="0" w:color="auto"/>
              <w:right w:val="single" w:sz="4" w:space="0" w:color="auto"/>
            </w:tcBorders>
            <w:shd w:val="clear" w:color="000000" w:fill="FFFFFF"/>
            <w:vAlign w:val="center"/>
            <w:hideMark/>
          </w:tcPr>
          <w:p w14:paraId="0F585C67" w14:textId="77777777" w:rsidR="00E541EE" w:rsidRPr="0017172C" w:rsidRDefault="00E541EE" w:rsidP="00A84BB5">
            <w:pPr>
              <w:jc w:val="center"/>
              <w:rPr>
                <w:rFonts w:ascii="Arial" w:eastAsia="Times New Roman" w:hAnsi="Arial" w:cs="Arial"/>
                <w:sz w:val="12"/>
                <w:szCs w:val="12"/>
              </w:rPr>
            </w:pPr>
            <w:r w:rsidRPr="0017172C">
              <w:rPr>
                <w:rFonts w:ascii="Arial" w:eastAsia="Times New Roman" w:hAnsi="Arial" w:cs="Arial"/>
                <w:sz w:val="12"/>
                <w:szCs w:val="12"/>
              </w:rPr>
              <w:t>0</w:t>
            </w:r>
          </w:p>
        </w:tc>
        <w:tc>
          <w:tcPr>
            <w:tcW w:w="304" w:type="pct"/>
            <w:tcBorders>
              <w:top w:val="nil"/>
              <w:left w:val="nil"/>
              <w:bottom w:val="single" w:sz="4" w:space="0" w:color="auto"/>
              <w:right w:val="single" w:sz="4" w:space="0" w:color="auto"/>
            </w:tcBorders>
            <w:shd w:val="clear" w:color="000000" w:fill="FFFFFF"/>
            <w:vAlign w:val="center"/>
            <w:hideMark/>
          </w:tcPr>
          <w:p w14:paraId="4BDD8899" w14:textId="77777777" w:rsidR="00E541EE" w:rsidRPr="0017172C" w:rsidRDefault="00E541EE" w:rsidP="00A84BB5">
            <w:pPr>
              <w:jc w:val="center"/>
              <w:rPr>
                <w:rFonts w:ascii="Arial" w:eastAsia="Times New Roman" w:hAnsi="Arial" w:cs="Arial"/>
                <w:sz w:val="12"/>
                <w:szCs w:val="12"/>
              </w:rPr>
            </w:pPr>
            <w:r w:rsidRPr="0017172C">
              <w:rPr>
                <w:rFonts w:ascii="Arial" w:eastAsia="Times New Roman" w:hAnsi="Arial" w:cs="Arial"/>
                <w:sz w:val="12"/>
                <w:szCs w:val="12"/>
              </w:rPr>
              <w:t>0</w:t>
            </w:r>
          </w:p>
        </w:tc>
        <w:tc>
          <w:tcPr>
            <w:tcW w:w="305" w:type="pct"/>
            <w:tcBorders>
              <w:top w:val="nil"/>
              <w:left w:val="nil"/>
              <w:bottom w:val="single" w:sz="4" w:space="0" w:color="auto"/>
              <w:right w:val="single" w:sz="4" w:space="0" w:color="auto"/>
            </w:tcBorders>
            <w:shd w:val="clear" w:color="000000" w:fill="FFFFFF"/>
            <w:vAlign w:val="center"/>
            <w:hideMark/>
          </w:tcPr>
          <w:p w14:paraId="0CCE43BB" w14:textId="77777777" w:rsidR="00E541EE" w:rsidRPr="0017172C" w:rsidRDefault="00E541EE" w:rsidP="00A84BB5">
            <w:pPr>
              <w:jc w:val="center"/>
              <w:rPr>
                <w:rFonts w:ascii="Arial" w:eastAsia="Times New Roman" w:hAnsi="Arial" w:cs="Arial"/>
                <w:sz w:val="12"/>
                <w:szCs w:val="12"/>
              </w:rPr>
            </w:pPr>
            <w:r w:rsidRPr="0017172C">
              <w:rPr>
                <w:rFonts w:ascii="Arial" w:eastAsia="Times New Roman" w:hAnsi="Arial" w:cs="Arial"/>
                <w:sz w:val="12"/>
                <w:szCs w:val="12"/>
              </w:rPr>
              <w:t>0,2</w:t>
            </w:r>
          </w:p>
        </w:tc>
        <w:tc>
          <w:tcPr>
            <w:tcW w:w="395" w:type="pct"/>
            <w:tcBorders>
              <w:top w:val="nil"/>
              <w:left w:val="nil"/>
              <w:bottom w:val="single" w:sz="4" w:space="0" w:color="auto"/>
              <w:right w:val="single" w:sz="4" w:space="0" w:color="auto"/>
            </w:tcBorders>
            <w:shd w:val="clear" w:color="000000" w:fill="FFFFFF"/>
            <w:vAlign w:val="center"/>
            <w:hideMark/>
          </w:tcPr>
          <w:p w14:paraId="600910DB" w14:textId="77777777" w:rsidR="00E541EE" w:rsidRPr="0017172C" w:rsidRDefault="00E541EE" w:rsidP="00A84BB5">
            <w:pPr>
              <w:jc w:val="center"/>
              <w:rPr>
                <w:rFonts w:ascii="Arial" w:eastAsia="Times New Roman" w:hAnsi="Arial" w:cs="Arial"/>
                <w:sz w:val="12"/>
                <w:szCs w:val="12"/>
              </w:rPr>
            </w:pPr>
            <w:r w:rsidRPr="0017172C">
              <w:rPr>
                <w:rFonts w:ascii="Arial" w:eastAsia="Times New Roman" w:hAnsi="Arial" w:cs="Arial"/>
                <w:sz w:val="12"/>
                <w:szCs w:val="12"/>
              </w:rPr>
              <w:t>0,3</w:t>
            </w:r>
          </w:p>
        </w:tc>
      </w:tr>
      <w:tr w:rsidR="00E541EE" w:rsidRPr="0017172C" w14:paraId="651B0538" w14:textId="77777777" w:rsidTr="00A84BB5">
        <w:trPr>
          <w:trHeight w:val="682"/>
        </w:trPr>
        <w:tc>
          <w:tcPr>
            <w:tcW w:w="611" w:type="pct"/>
            <w:vMerge/>
            <w:tcBorders>
              <w:left w:val="single" w:sz="4" w:space="0" w:color="auto"/>
              <w:right w:val="single" w:sz="4" w:space="0" w:color="auto"/>
            </w:tcBorders>
            <w:vAlign w:val="center"/>
            <w:hideMark/>
          </w:tcPr>
          <w:p w14:paraId="4F0D6FA9" w14:textId="77777777" w:rsidR="00E541EE" w:rsidRPr="0017172C" w:rsidRDefault="00E541EE" w:rsidP="00A84BB5">
            <w:pPr>
              <w:jc w:val="center"/>
              <w:rPr>
                <w:rFonts w:ascii="Arial" w:eastAsia="Times New Roman" w:hAnsi="Arial" w:cs="Arial"/>
                <w:sz w:val="12"/>
                <w:szCs w:val="12"/>
              </w:rPr>
            </w:pPr>
          </w:p>
        </w:tc>
        <w:tc>
          <w:tcPr>
            <w:tcW w:w="538" w:type="pct"/>
            <w:vMerge/>
            <w:tcBorders>
              <w:top w:val="nil"/>
              <w:left w:val="single" w:sz="4" w:space="0" w:color="auto"/>
              <w:bottom w:val="single" w:sz="4" w:space="0" w:color="auto"/>
              <w:right w:val="single" w:sz="4" w:space="0" w:color="auto"/>
            </w:tcBorders>
            <w:vAlign w:val="center"/>
            <w:hideMark/>
          </w:tcPr>
          <w:p w14:paraId="518176DE" w14:textId="77777777" w:rsidR="00E541EE" w:rsidRPr="0017172C" w:rsidRDefault="00E541EE" w:rsidP="00A84BB5">
            <w:pPr>
              <w:jc w:val="center"/>
              <w:rPr>
                <w:rFonts w:ascii="Arial" w:eastAsia="Times New Roman" w:hAnsi="Arial" w:cs="Arial"/>
                <w:sz w:val="12"/>
                <w:szCs w:val="12"/>
              </w:rPr>
            </w:pPr>
          </w:p>
        </w:tc>
        <w:tc>
          <w:tcPr>
            <w:tcW w:w="538" w:type="pct"/>
            <w:vMerge/>
            <w:tcBorders>
              <w:top w:val="nil"/>
              <w:left w:val="single" w:sz="4" w:space="0" w:color="auto"/>
              <w:bottom w:val="single" w:sz="4" w:space="0" w:color="auto"/>
              <w:right w:val="single" w:sz="4" w:space="0" w:color="auto"/>
            </w:tcBorders>
            <w:shd w:val="clear" w:color="auto" w:fill="FFF2CC" w:themeFill="accent4" w:themeFillTint="33"/>
            <w:vAlign w:val="center"/>
            <w:hideMark/>
          </w:tcPr>
          <w:p w14:paraId="6EB9FFA2" w14:textId="77777777" w:rsidR="00E541EE" w:rsidRPr="0017172C" w:rsidRDefault="00E541EE" w:rsidP="00A84BB5">
            <w:pPr>
              <w:jc w:val="center"/>
              <w:rPr>
                <w:rFonts w:ascii="Arial" w:eastAsia="Times New Roman" w:hAnsi="Arial" w:cs="Arial"/>
                <w:sz w:val="12"/>
                <w:szCs w:val="12"/>
              </w:rPr>
            </w:pPr>
          </w:p>
        </w:tc>
        <w:tc>
          <w:tcPr>
            <w:tcW w:w="383" w:type="pct"/>
            <w:vMerge/>
            <w:tcBorders>
              <w:top w:val="nil"/>
              <w:left w:val="single" w:sz="4" w:space="0" w:color="auto"/>
              <w:bottom w:val="single" w:sz="4" w:space="0" w:color="auto"/>
              <w:right w:val="single" w:sz="4" w:space="0" w:color="auto"/>
            </w:tcBorders>
            <w:vAlign w:val="center"/>
            <w:hideMark/>
          </w:tcPr>
          <w:p w14:paraId="7090D3A6" w14:textId="77777777" w:rsidR="00E541EE" w:rsidRPr="0017172C" w:rsidRDefault="00E541EE" w:rsidP="00A84BB5">
            <w:pPr>
              <w:jc w:val="center"/>
              <w:rPr>
                <w:rFonts w:ascii="Arial" w:eastAsia="Times New Roman" w:hAnsi="Arial" w:cs="Arial"/>
                <w:sz w:val="12"/>
                <w:szCs w:val="12"/>
              </w:rPr>
            </w:pPr>
          </w:p>
        </w:tc>
        <w:tc>
          <w:tcPr>
            <w:tcW w:w="537" w:type="pct"/>
            <w:vMerge/>
            <w:tcBorders>
              <w:top w:val="nil"/>
              <w:left w:val="single" w:sz="4" w:space="0" w:color="auto"/>
              <w:bottom w:val="single" w:sz="4" w:space="0" w:color="auto"/>
              <w:right w:val="single" w:sz="4" w:space="0" w:color="auto"/>
            </w:tcBorders>
            <w:shd w:val="clear" w:color="auto" w:fill="FFF2CC" w:themeFill="accent4" w:themeFillTint="33"/>
            <w:vAlign w:val="center"/>
            <w:hideMark/>
          </w:tcPr>
          <w:p w14:paraId="7F14736C" w14:textId="77777777" w:rsidR="00E541EE" w:rsidRPr="0017172C" w:rsidRDefault="00E541EE" w:rsidP="00A84BB5">
            <w:pPr>
              <w:jc w:val="center"/>
              <w:rPr>
                <w:rFonts w:ascii="Arial" w:eastAsia="Times New Roman" w:hAnsi="Arial" w:cs="Arial"/>
                <w:sz w:val="12"/>
                <w:szCs w:val="12"/>
              </w:rPr>
            </w:pPr>
          </w:p>
        </w:tc>
        <w:tc>
          <w:tcPr>
            <w:tcW w:w="460" w:type="pct"/>
            <w:vMerge/>
            <w:tcBorders>
              <w:top w:val="nil"/>
              <w:left w:val="single" w:sz="4" w:space="0" w:color="auto"/>
              <w:bottom w:val="single" w:sz="4" w:space="0" w:color="auto"/>
              <w:right w:val="single" w:sz="4" w:space="0" w:color="auto"/>
            </w:tcBorders>
            <w:vAlign w:val="center"/>
            <w:hideMark/>
          </w:tcPr>
          <w:p w14:paraId="4E9CFAA2" w14:textId="77777777" w:rsidR="00E541EE" w:rsidRPr="0017172C" w:rsidRDefault="00E541EE" w:rsidP="00A84BB5">
            <w:pPr>
              <w:jc w:val="center"/>
              <w:rPr>
                <w:rFonts w:ascii="Arial" w:eastAsia="Times New Roman" w:hAnsi="Arial" w:cs="Arial"/>
                <w:sz w:val="12"/>
                <w:szCs w:val="12"/>
              </w:rPr>
            </w:pPr>
          </w:p>
        </w:tc>
        <w:tc>
          <w:tcPr>
            <w:tcW w:w="461" w:type="pct"/>
            <w:tcBorders>
              <w:top w:val="nil"/>
              <w:left w:val="nil"/>
              <w:bottom w:val="single" w:sz="4" w:space="0" w:color="auto"/>
              <w:right w:val="single" w:sz="4" w:space="0" w:color="auto"/>
            </w:tcBorders>
            <w:shd w:val="clear" w:color="auto" w:fill="FFF2CC" w:themeFill="accent4" w:themeFillTint="33"/>
            <w:vAlign w:val="center"/>
            <w:hideMark/>
          </w:tcPr>
          <w:p w14:paraId="7747F130" w14:textId="77777777" w:rsidR="00E541EE" w:rsidRPr="0017172C" w:rsidRDefault="00E541EE" w:rsidP="00A84BB5">
            <w:pPr>
              <w:jc w:val="center"/>
              <w:rPr>
                <w:rFonts w:ascii="Arial" w:eastAsia="Times New Roman" w:hAnsi="Arial" w:cs="Arial"/>
                <w:sz w:val="12"/>
                <w:szCs w:val="12"/>
              </w:rPr>
            </w:pPr>
            <w:r w:rsidRPr="0017172C">
              <w:rPr>
                <w:rFonts w:ascii="Arial" w:eastAsia="Times New Roman" w:hAnsi="Arial" w:cs="Arial"/>
                <w:sz w:val="12"/>
                <w:szCs w:val="12"/>
              </w:rPr>
              <w:t>km novih biciklističkih traka</w:t>
            </w:r>
          </w:p>
        </w:tc>
        <w:tc>
          <w:tcPr>
            <w:tcW w:w="468" w:type="pct"/>
            <w:tcBorders>
              <w:top w:val="nil"/>
              <w:left w:val="nil"/>
              <w:bottom w:val="single" w:sz="4" w:space="0" w:color="auto"/>
              <w:right w:val="single" w:sz="4" w:space="0" w:color="auto"/>
            </w:tcBorders>
            <w:shd w:val="clear" w:color="000000" w:fill="FFFFFF"/>
            <w:vAlign w:val="center"/>
            <w:hideMark/>
          </w:tcPr>
          <w:p w14:paraId="1DFCC490" w14:textId="77777777" w:rsidR="00E541EE" w:rsidRPr="0017172C" w:rsidRDefault="00E541EE" w:rsidP="00A84BB5">
            <w:pPr>
              <w:jc w:val="center"/>
              <w:rPr>
                <w:rFonts w:ascii="Arial" w:eastAsia="Times New Roman" w:hAnsi="Arial" w:cs="Arial"/>
                <w:sz w:val="12"/>
                <w:szCs w:val="12"/>
              </w:rPr>
            </w:pPr>
            <w:r w:rsidRPr="0017172C">
              <w:rPr>
                <w:rFonts w:ascii="Arial" w:eastAsia="Times New Roman" w:hAnsi="Arial" w:cs="Arial"/>
                <w:sz w:val="12"/>
                <w:szCs w:val="12"/>
              </w:rPr>
              <w:t>0,25</w:t>
            </w:r>
          </w:p>
        </w:tc>
        <w:tc>
          <w:tcPr>
            <w:tcW w:w="304" w:type="pct"/>
            <w:tcBorders>
              <w:top w:val="nil"/>
              <w:left w:val="nil"/>
              <w:bottom w:val="single" w:sz="4" w:space="0" w:color="auto"/>
              <w:right w:val="single" w:sz="4" w:space="0" w:color="auto"/>
            </w:tcBorders>
            <w:shd w:val="clear" w:color="000000" w:fill="FFFFFF"/>
            <w:vAlign w:val="center"/>
            <w:hideMark/>
          </w:tcPr>
          <w:p w14:paraId="050D8130" w14:textId="77777777" w:rsidR="00E541EE" w:rsidRPr="0017172C" w:rsidRDefault="00E541EE" w:rsidP="00A84BB5">
            <w:pPr>
              <w:jc w:val="center"/>
              <w:rPr>
                <w:rFonts w:ascii="Arial" w:eastAsia="Times New Roman" w:hAnsi="Arial" w:cs="Arial"/>
                <w:sz w:val="12"/>
                <w:szCs w:val="12"/>
              </w:rPr>
            </w:pPr>
            <w:r w:rsidRPr="0017172C">
              <w:rPr>
                <w:rFonts w:ascii="Arial" w:eastAsia="Times New Roman" w:hAnsi="Arial" w:cs="Arial"/>
                <w:sz w:val="12"/>
                <w:szCs w:val="12"/>
              </w:rPr>
              <w:t>0,25</w:t>
            </w:r>
          </w:p>
        </w:tc>
        <w:tc>
          <w:tcPr>
            <w:tcW w:w="305" w:type="pct"/>
            <w:tcBorders>
              <w:top w:val="nil"/>
              <w:left w:val="nil"/>
              <w:bottom w:val="single" w:sz="4" w:space="0" w:color="auto"/>
              <w:right w:val="single" w:sz="4" w:space="0" w:color="auto"/>
            </w:tcBorders>
            <w:shd w:val="clear" w:color="000000" w:fill="FFFFFF"/>
            <w:vAlign w:val="center"/>
            <w:hideMark/>
          </w:tcPr>
          <w:p w14:paraId="7221BCBE" w14:textId="77777777" w:rsidR="00E541EE" w:rsidRPr="0017172C" w:rsidRDefault="00E541EE" w:rsidP="00A84BB5">
            <w:pPr>
              <w:jc w:val="center"/>
              <w:rPr>
                <w:rFonts w:ascii="Arial" w:eastAsia="Times New Roman" w:hAnsi="Arial" w:cs="Arial"/>
                <w:sz w:val="12"/>
                <w:szCs w:val="12"/>
              </w:rPr>
            </w:pPr>
            <w:r w:rsidRPr="0017172C">
              <w:rPr>
                <w:rFonts w:ascii="Arial" w:eastAsia="Times New Roman" w:hAnsi="Arial" w:cs="Arial"/>
                <w:sz w:val="12"/>
                <w:szCs w:val="12"/>
              </w:rPr>
              <w:t>0,3</w:t>
            </w:r>
          </w:p>
        </w:tc>
        <w:tc>
          <w:tcPr>
            <w:tcW w:w="395" w:type="pct"/>
            <w:tcBorders>
              <w:top w:val="nil"/>
              <w:left w:val="nil"/>
              <w:bottom w:val="single" w:sz="4" w:space="0" w:color="auto"/>
              <w:right w:val="single" w:sz="4" w:space="0" w:color="auto"/>
            </w:tcBorders>
            <w:shd w:val="clear" w:color="000000" w:fill="FFFFFF"/>
            <w:vAlign w:val="center"/>
            <w:hideMark/>
          </w:tcPr>
          <w:p w14:paraId="1352A89B" w14:textId="77777777" w:rsidR="00E541EE" w:rsidRPr="0017172C" w:rsidRDefault="00E541EE" w:rsidP="00A84BB5">
            <w:pPr>
              <w:jc w:val="center"/>
              <w:rPr>
                <w:rFonts w:ascii="Arial" w:eastAsia="Times New Roman" w:hAnsi="Arial" w:cs="Arial"/>
                <w:sz w:val="12"/>
                <w:szCs w:val="12"/>
              </w:rPr>
            </w:pPr>
            <w:r w:rsidRPr="0017172C">
              <w:rPr>
                <w:rFonts w:ascii="Arial" w:eastAsia="Times New Roman" w:hAnsi="Arial" w:cs="Arial"/>
                <w:sz w:val="12"/>
                <w:szCs w:val="12"/>
              </w:rPr>
              <w:t>0,4</w:t>
            </w:r>
          </w:p>
        </w:tc>
      </w:tr>
      <w:tr w:rsidR="00E541EE" w:rsidRPr="0017172C" w14:paraId="1E397CA9" w14:textId="77777777" w:rsidTr="00A84BB5">
        <w:trPr>
          <w:trHeight w:val="1295"/>
        </w:trPr>
        <w:tc>
          <w:tcPr>
            <w:tcW w:w="611" w:type="pct"/>
            <w:vMerge/>
            <w:tcBorders>
              <w:left w:val="single" w:sz="4" w:space="0" w:color="auto"/>
              <w:right w:val="single" w:sz="4" w:space="0" w:color="auto"/>
            </w:tcBorders>
            <w:shd w:val="clear" w:color="000000" w:fill="FFFFFF"/>
            <w:vAlign w:val="center"/>
            <w:hideMark/>
          </w:tcPr>
          <w:p w14:paraId="58A4170D" w14:textId="77777777" w:rsidR="00E541EE" w:rsidRPr="0017172C" w:rsidRDefault="00E541EE" w:rsidP="00A84BB5">
            <w:pPr>
              <w:jc w:val="center"/>
              <w:rPr>
                <w:rFonts w:ascii="Arial" w:eastAsia="Times New Roman" w:hAnsi="Arial" w:cs="Arial"/>
                <w:sz w:val="12"/>
                <w:szCs w:val="12"/>
              </w:rPr>
            </w:pPr>
          </w:p>
        </w:tc>
        <w:tc>
          <w:tcPr>
            <w:tcW w:w="538" w:type="pct"/>
            <w:tcBorders>
              <w:top w:val="nil"/>
              <w:left w:val="nil"/>
              <w:right w:val="single" w:sz="4" w:space="0" w:color="auto"/>
            </w:tcBorders>
            <w:shd w:val="clear" w:color="000000" w:fill="FFFFFF"/>
            <w:vAlign w:val="center"/>
            <w:hideMark/>
          </w:tcPr>
          <w:p w14:paraId="2A15222B" w14:textId="77777777" w:rsidR="00E541EE" w:rsidRPr="0017172C" w:rsidRDefault="00E541EE" w:rsidP="00A84BB5">
            <w:pPr>
              <w:jc w:val="center"/>
              <w:rPr>
                <w:rFonts w:ascii="Arial" w:eastAsia="Times New Roman" w:hAnsi="Arial" w:cs="Arial"/>
                <w:sz w:val="12"/>
                <w:szCs w:val="12"/>
              </w:rPr>
            </w:pPr>
            <w:r w:rsidRPr="0017172C">
              <w:rPr>
                <w:rFonts w:ascii="Arial" w:eastAsia="Times New Roman" w:hAnsi="Arial" w:cs="Arial"/>
                <w:sz w:val="12"/>
                <w:szCs w:val="12"/>
              </w:rPr>
              <w:t>1.5. Jačanje komunalne infrastrukture i usluga (gospodarenje otpadom,</w:t>
            </w:r>
            <w:r w:rsidRPr="0017172C">
              <w:rPr>
                <w:rFonts w:ascii="Arial" w:eastAsia="Times New Roman" w:hAnsi="Arial" w:cs="Arial"/>
                <w:sz w:val="12"/>
                <w:szCs w:val="12"/>
              </w:rPr>
              <w:br/>
              <w:t>vodoopskrba i odvodnja)</w:t>
            </w:r>
          </w:p>
        </w:tc>
        <w:tc>
          <w:tcPr>
            <w:tcW w:w="538" w:type="pct"/>
            <w:tcBorders>
              <w:top w:val="nil"/>
              <w:left w:val="nil"/>
              <w:right w:val="single" w:sz="4" w:space="0" w:color="auto"/>
            </w:tcBorders>
            <w:shd w:val="clear" w:color="auto" w:fill="FFF2CC" w:themeFill="accent4" w:themeFillTint="33"/>
            <w:vAlign w:val="center"/>
            <w:hideMark/>
          </w:tcPr>
          <w:p w14:paraId="07CC9A4D" w14:textId="77777777" w:rsidR="00E541EE" w:rsidRPr="0017172C" w:rsidRDefault="00E541EE" w:rsidP="00A84BB5">
            <w:pPr>
              <w:jc w:val="center"/>
              <w:rPr>
                <w:rFonts w:ascii="Arial" w:eastAsia="Times New Roman" w:hAnsi="Arial" w:cs="Arial"/>
                <w:sz w:val="12"/>
                <w:szCs w:val="12"/>
              </w:rPr>
            </w:pPr>
            <w:r w:rsidRPr="0017172C">
              <w:rPr>
                <w:rFonts w:ascii="Arial" w:eastAsia="Times New Roman" w:hAnsi="Arial" w:cs="Arial"/>
                <w:sz w:val="12"/>
                <w:szCs w:val="12"/>
              </w:rPr>
              <w:t>P1013 INVESTICIJSKO ODRŽAVANJE OBJEKATA,</w:t>
            </w:r>
          </w:p>
        </w:tc>
        <w:tc>
          <w:tcPr>
            <w:tcW w:w="383" w:type="pct"/>
            <w:tcBorders>
              <w:top w:val="nil"/>
              <w:left w:val="nil"/>
              <w:right w:val="single" w:sz="4" w:space="0" w:color="auto"/>
            </w:tcBorders>
            <w:shd w:val="clear" w:color="000000" w:fill="FFFFFF"/>
            <w:vAlign w:val="center"/>
            <w:hideMark/>
          </w:tcPr>
          <w:p w14:paraId="4F4824CF" w14:textId="77777777" w:rsidR="00E541EE" w:rsidRPr="0017172C" w:rsidRDefault="00E541EE" w:rsidP="00A84BB5">
            <w:pPr>
              <w:jc w:val="center"/>
              <w:rPr>
                <w:rFonts w:ascii="Arial" w:eastAsia="Times New Roman" w:hAnsi="Arial" w:cs="Arial"/>
                <w:sz w:val="12"/>
                <w:szCs w:val="12"/>
              </w:rPr>
            </w:pPr>
            <w:r w:rsidRPr="0017172C">
              <w:rPr>
                <w:rFonts w:ascii="Arial" w:eastAsia="Times New Roman" w:hAnsi="Arial" w:cs="Arial"/>
                <w:sz w:val="12"/>
                <w:szCs w:val="12"/>
              </w:rPr>
              <w:t>Poticanje razvoja energetski učinkovitih sustava javne rasvjete</w:t>
            </w:r>
          </w:p>
        </w:tc>
        <w:tc>
          <w:tcPr>
            <w:tcW w:w="537" w:type="pct"/>
            <w:tcBorders>
              <w:top w:val="nil"/>
              <w:left w:val="nil"/>
              <w:right w:val="single" w:sz="4" w:space="0" w:color="auto"/>
            </w:tcBorders>
            <w:shd w:val="clear" w:color="auto" w:fill="FFF2CC" w:themeFill="accent4" w:themeFillTint="33"/>
            <w:vAlign w:val="center"/>
            <w:hideMark/>
          </w:tcPr>
          <w:p w14:paraId="1DB8F2D1" w14:textId="77777777" w:rsidR="00E541EE" w:rsidRPr="0017172C" w:rsidRDefault="00E541EE" w:rsidP="00A84BB5">
            <w:pPr>
              <w:ind w:right="-79"/>
              <w:jc w:val="center"/>
              <w:rPr>
                <w:rFonts w:ascii="Arial" w:eastAsia="Times New Roman" w:hAnsi="Arial" w:cs="Arial"/>
                <w:sz w:val="12"/>
                <w:szCs w:val="12"/>
              </w:rPr>
            </w:pPr>
            <w:r>
              <w:rPr>
                <w:rFonts w:ascii="Arial" w:eastAsia="Times New Roman" w:hAnsi="Arial" w:cs="Arial"/>
                <w:sz w:val="12"/>
                <w:szCs w:val="12"/>
              </w:rPr>
              <w:t>78</w:t>
            </w:r>
            <w:r w:rsidRPr="0017172C">
              <w:rPr>
                <w:rFonts w:ascii="Arial" w:eastAsia="Times New Roman" w:hAnsi="Arial" w:cs="Arial"/>
                <w:sz w:val="12"/>
                <w:szCs w:val="12"/>
              </w:rPr>
              <w:t>.</w:t>
            </w:r>
            <w:r>
              <w:rPr>
                <w:rFonts w:ascii="Arial" w:eastAsia="Times New Roman" w:hAnsi="Arial" w:cs="Arial"/>
                <w:sz w:val="12"/>
                <w:szCs w:val="12"/>
              </w:rPr>
              <w:t>0</w:t>
            </w:r>
            <w:r w:rsidRPr="0017172C">
              <w:rPr>
                <w:rFonts w:ascii="Arial" w:eastAsia="Times New Roman" w:hAnsi="Arial" w:cs="Arial"/>
                <w:sz w:val="12"/>
                <w:szCs w:val="12"/>
              </w:rPr>
              <w:t>00,00</w:t>
            </w:r>
          </w:p>
        </w:tc>
        <w:tc>
          <w:tcPr>
            <w:tcW w:w="460" w:type="pct"/>
            <w:tcBorders>
              <w:top w:val="nil"/>
              <w:left w:val="nil"/>
              <w:bottom w:val="single" w:sz="4" w:space="0" w:color="auto"/>
              <w:right w:val="single" w:sz="4" w:space="0" w:color="auto"/>
            </w:tcBorders>
            <w:shd w:val="clear" w:color="000000" w:fill="FFFFFF"/>
            <w:vAlign w:val="center"/>
            <w:hideMark/>
          </w:tcPr>
          <w:p w14:paraId="5B47F8B1" w14:textId="77777777" w:rsidR="00E541EE" w:rsidRPr="0017172C" w:rsidRDefault="00E541EE" w:rsidP="00A84BB5">
            <w:pPr>
              <w:jc w:val="center"/>
              <w:rPr>
                <w:rFonts w:ascii="Arial" w:eastAsia="Times New Roman" w:hAnsi="Arial" w:cs="Arial"/>
                <w:sz w:val="12"/>
                <w:szCs w:val="12"/>
              </w:rPr>
            </w:pPr>
            <w:r w:rsidRPr="0017172C">
              <w:rPr>
                <w:rFonts w:ascii="Arial" w:eastAsia="Times New Roman" w:hAnsi="Arial" w:cs="Arial"/>
                <w:sz w:val="12"/>
                <w:szCs w:val="12"/>
              </w:rPr>
              <w:t>A101302-INVESTICIJSKO ODRŽAVANJE OBJEKATA JAVNE RASVJETE</w:t>
            </w:r>
          </w:p>
        </w:tc>
        <w:tc>
          <w:tcPr>
            <w:tcW w:w="461" w:type="pct"/>
            <w:tcBorders>
              <w:top w:val="nil"/>
              <w:left w:val="nil"/>
              <w:bottom w:val="single" w:sz="4" w:space="0" w:color="auto"/>
              <w:right w:val="single" w:sz="4" w:space="0" w:color="auto"/>
            </w:tcBorders>
            <w:shd w:val="clear" w:color="auto" w:fill="FFF2CC" w:themeFill="accent4" w:themeFillTint="33"/>
            <w:vAlign w:val="center"/>
            <w:hideMark/>
          </w:tcPr>
          <w:p w14:paraId="731C840D" w14:textId="77777777" w:rsidR="00E541EE" w:rsidRPr="0017172C" w:rsidRDefault="00E541EE" w:rsidP="00A84BB5">
            <w:pPr>
              <w:jc w:val="center"/>
              <w:rPr>
                <w:rFonts w:ascii="Arial" w:eastAsia="Times New Roman" w:hAnsi="Arial" w:cs="Arial"/>
                <w:sz w:val="12"/>
                <w:szCs w:val="12"/>
              </w:rPr>
            </w:pPr>
            <w:r w:rsidRPr="0017172C">
              <w:rPr>
                <w:rFonts w:ascii="Arial" w:eastAsia="Times New Roman" w:hAnsi="Arial" w:cs="Arial"/>
                <w:sz w:val="12"/>
                <w:szCs w:val="12"/>
              </w:rPr>
              <w:t>Broj novih energetski efikasnih rasvjetnih tijela</w:t>
            </w:r>
          </w:p>
        </w:tc>
        <w:tc>
          <w:tcPr>
            <w:tcW w:w="468" w:type="pct"/>
            <w:tcBorders>
              <w:top w:val="nil"/>
              <w:left w:val="nil"/>
              <w:bottom w:val="single" w:sz="4" w:space="0" w:color="auto"/>
              <w:right w:val="single" w:sz="4" w:space="0" w:color="auto"/>
            </w:tcBorders>
            <w:shd w:val="clear" w:color="000000" w:fill="FFFFFF"/>
            <w:vAlign w:val="center"/>
            <w:hideMark/>
          </w:tcPr>
          <w:p w14:paraId="2802DA30" w14:textId="77777777" w:rsidR="00E541EE" w:rsidRPr="0017172C" w:rsidRDefault="00E541EE" w:rsidP="00A84BB5">
            <w:pPr>
              <w:jc w:val="center"/>
              <w:rPr>
                <w:rFonts w:ascii="Arial" w:eastAsia="Times New Roman" w:hAnsi="Arial" w:cs="Arial"/>
                <w:sz w:val="12"/>
                <w:szCs w:val="12"/>
              </w:rPr>
            </w:pPr>
            <w:r w:rsidRPr="0017172C">
              <w:rPr>
                <w:rFonts w:ascii="Arial" w:eastAsia="Times New Roman" w:hAnsi="Arial" w:cs="Arial"/>
                <w:sz w:val="12"/>
                <w:szCs w:val="12"/>
              </w:rPr>
              <w:t>30</w:t>
            </w:r>
          </w:p>
        </w:tc>
        <w:tc>
          <w:tcPr>
            <w:tcW w:w="304" w:type="pct"/>
            <w:tcBorders>
              <w:top w:val="nil"/>
              <w:left w:val="nil"/>
              <w:bottom w:val="single" w:sz="4" w:space="0" w:color="auto"/>
              <w:right w:val="single" w:sz="4" w:space="0" w:color="auto"/>
            </w:tcBorders>
            <w:shd w:val="clear" w:color="000000" w:fill="FFFFFF"/>
            <w:vAlign w:val="center"/>
            <w:hideMark/>
          </w:tcPr>
          <w:p w14:paraId="107939D5" w14:textId="77777777" w:rsidR="00E541EE" w:rsidRPr="0017172C" w:rsidRDefault="00E541EE" w:rsidP="00A84BB5">
            <w:pPr>
              <w:jc w:val="center"/>
              <w:rPr>
                <w:rFonts w:ascii="Arial" w:eastAsia="Times New Roman" w:hAnsi="Arial" w:cs="Arial"/>
                <w:sz w:val="12"/>
                <w:szCs w:val="12"/>
              </w:rPr>
            </w:pPr>
            <w:r w:rsidRPr="0017172C">
              <w:rPr>
                <w:rFonts w:ascii="Arial" w:eastAsia="Times New Roman" w:hAnsi="Arial" w:cs="Arial"/>
                <w:sz w:val="12"/>
                <w:szCs w:val="12"/>
              </w:rPr>
              <w:t>50</w:t>
            </w:r>
          </w:p>
        </w:tc>
        <w:tc>
          <w:tcPr>
            <w:tcW w:w="305" w:type="pct"/>
            <w:tcBorders>
              <w:top w:val="nil"/>
              <w:left w:val="nil"/>
              <w:bottom w:val="single" w:sz="4" w:space="0" w:color="auto"/>
              <w:right w:val="single" w:sz="4" w:space="0" w:color="auto"/>
            </w:tcBorders>
            <w:shd w:val="clear" w:color="000000" w:fill="FFFFFF"/>
            <w:vAlign w:val="center"/>
            <w:hideMark/>
          </w:tcPr>
          <w:p w14:paraId="15AC646B" w14:textId="77777777" w:rsidR="00E541EE" w:rsidRPr="0017172C" w:rsidRDefault="00E541EE" w:rsidP="00A84BB5">
            <w:pPr>
              <w:jc w:val="center"/>
              <w:rPr>
                <w:rFonts w:ascii="Arial" w:eastAsia="Times New Roman" w:hAnsi="Arial" w:cs="Arial"/>
                <w:sz w:val="12"/>
                <w:szCs w:val="12"/>
              </w:rPr>
            </w:pPr>
            <w:r w:rsidRPr="0017172C">
              <w:rPr>
                <w:rFonts w:ascii="Arial" w:eastAsia="Times New Roman" w:hAnsi="Arial" w:cs="Arial"/>
                <w:sz w:val="12"/>
                <w:szCs w:val="12"/>
              </w:rPr>
              <w:t>70</w:t>
            </w:r>
          </w:p>
        </w:tc>
        <w:tc>
          <w:tcPr>
            <w:tcW w:w="395" w:type="pct"/>
            <w:tcBorders>
              <w:top w:val="nil"/>
              <w:left w:val="nil"/>
              <w:bottom w:val="single" w:sz="4" w:space="0" w:color="auto"/>
              <w:right w:val="single" w:sz="4" w:space="0" w:color="auto"/>
            </w:tcBorders>
            <w:shd w:val="clear" w:color="000000" w:fill="FFFFFF"/>
            <w:vAlign w:val="center"/>
            <w:hideMark/>
          </w:tcPr>
          <w:p w14:paraId="11950DA7" w14:textId="77777777" w:rsidR="00E541EE" w:rsidRPr="0017172C" w:rsidRDefault="00E541EE" w:rsidP="00A84BB5">
            <w:pPr>
              <w:jc w:val="center"/>
              <w:rPr>
                <w:rFonts w:ascii="Arial" w:eastAsia="Times New Roman" w:hAnsi="Arial" w:cs="Arial"/>
                <w:sz w:val="12"/>
                <w:szCs w:val="12"/>
              </w:rPr>
            </w:pPr>
            <w:r w:rsidRPr="0017172C">
              <w:rPr>
                <w:rFonts w:ascii="Arial" w:eastAsia="Times New Roman" w:hAnsi="Arial" w:cs="Arial"/>
                <w:sz w:val="12"/>
                <w:szCs w:val="12"/>
              </w:rPr>
              <w:t>90</w:t>
            </w:r>
          </w:p>
        </w:tc>
      </w:tr>
      <w:tr w:rsidR="00E541EE" w:rsidRPr="0017172C" w14:paraId="1FC8935C" w14:textId="77777777" w:rsidTr="00A84BB5">
        <w:trPr>
          <w:trHeight w:val="1612"/>
        </w:trPr>
        <w:tc>
          <w:tcPr>
            <w:tcW w:w="611" w:type="pct"/>
            <w:vMerge/>
            <w:tcBorders>
              <w:left w:val="single" w:sz="4" w:space="0" w:color="auto"/>
              <w:bottom w:val="single" w:sz="4" w:space="0" w:color="auto"/>
              <w:right w:val="single" w:sz="4" w:space="0" w:color="auto"/>
            </w:tcBorders>
            <w:shd w:val="clear" w:color="000000" w:fill="FFFFFF"/>
            <w:vAlign w:val="center"/>
            <w:hideMark/>
          </w:tcPr>
          <w:p w14:paraId="1E7033B1" w14:textId="77777777" w:rsidR="00E541EE" w:rsidRPr="0017172C" w:rsidRDefault="00E541EE" w:rsidP="00A84BB5">
            <w:pPr>
              <w:jc w:val="center"/>
              <w:rPr>
                <w:rFonts w:ascii="Arial" w:eastAsia="Times New Roman" w:hAnsi="Arial" w:cs="Arial"/>
                <w:sz w:val="12"/>
                <w:szCs w:val="12"/>
              </w:rPr>
            </w:pPr>
          </w:p>
        </w:tc>
        <w:tc>
          <w:tcPr>
            <w:tcW w:w="538" w:type="pct"/>
            <w:tcBorders>
              <w:top w:val="nil"/>
              <w:left w:val="single" w:sz="4" w:space="0" w:color="auto"/>
              <w:bottom w:val="single" w:sz="4" w:space="0" w:color="auto"/>
              <w:right w:val="single" w:sz="4" w:space="0" w:color="auto"/>
            </w:tcBorders>
            <w:shd w:val="clear" w:color="000000" w:fill="FFFFFF"/>
            <w:hideMark/>
          </w:tcPr>
          <w:p w14:paraId="517BCE0A" w14:textId="77777777" w:rsidR="00E541EE" w:rsidRDefault="00E541EE" w:rsidP="00A84BB5">
            <w:pPr>
              <w:rPr>
                <w:rFonts w:ascii="Arial" w:eastAsia="Times New Roman" w:hAnsi="Arial" w:cs="Arial"/>
                <w:sz w:val="12"/>
                <w:szCs w:val="12"/>
              </w:rPr>
            </w:pPr>
          </w:p>
          <w:p w14:paraId="159C2D14" w14:textId="77777777" w:rsidR="00E541EE" w:rsidRDefault="00E541EE" w:rsidP="00A84BB5">
            <w:pPr>
              <w:jc w:val="center"/>
              <w:rPr>
                <w:rFonts w:ascii="Arial" w:eastAsia="Times New Roman" w:hAnsi="Arial" w:cs="Arial"/>
                <w:sz w:val="12"/>
                <w:szCs w:val="12"/>
              </w:rPr>
            </w:pPr>
          </w:p>
          <w:p w14:paraId="237A0AC5" w14:textId="77777777" w:rsidR="00E541EE" w:rsidRDefault="00E541EE" w:rsidP="00A84BB5">
            <w:pPr>
              <w:jc w:val="center"/>
              <w:rPr>
                <w:rFonts w:ascii="Arial" w:eastAsia="Times New Roman" w:hAnsi="Arial" w:cs="Arial"/>
                <w:sz w:val="12"/>
                <w:szCs w:val="12"/>
              </w:rPr>
            </w:pPr>
          </w:p>
          <w:p w14:paraId="1BFBEB61" w14:textId="77777777" w:rsidR="00E541EE" w:rsidRDefault="00E541EE" w:rsidP="00A84BB5">
            <w:pPr>
              <w:jc w:val="center"/>
              <w:rPr>
                <w:rFonts w:ascii="Arial" w:eastAsia="Times New Roman" w:hAnsi="Arial" w:cs="Arial"/>
                <w:sz w:val="12"/>
                <w:szCs w:val="12"/>
              </w:rPr>
            </w:pPr>
          </w:p>
          <w:p w14:paraId="2A81AA7A" w14:textId="77777777" w:rsidR="00E541EE" w:rsidRPr="0017172C" w:rsidRDefault="00E541EE" w:rsidP="00A84BB5">
            <w:pPr>
              <w:jc w:val="center"/>
              <w:rPr>
                <w:rFonts w:ascii="Arial" w:eastAsia="Times New Roman" w:hAnsi="Arial" w:cs="Arial"/>
                <w:sz w:val="12"/>
                <w:szCs w:val="12"/>
              </w:rPr>
            </w:pPr>
            <w:r w:rsidRPr="0017172C">
              <w:rPr>
                <w:rFonts w:ascii="Arial" w:eastAsia="Times New Roman" w:hAnsi="Arial" w:cs="Arial"/>
                <w:sz w:val="12"/>
                <w:szCs w:val="12"/>
              </w:rPr>
              <w:t>4.2. Razvoj kulturnog sektora, te jačanje kulturnog identiteta, baštine i tradicije</w:t>
            </w:r>
          </w:p>
        </w:tc>
        <w:tc>
          <w:tcPr>
            <w:tcW w:w="538" w:type="pct"/>
            <w:tcBorders>
              <w:top w:val="nil"/>
              <w:left w:val="single" w:sz="4" w:space="0" w:color="auto"/>
              <w:bottom w:val="single" w:sz="4" w:space="0" w:color="auto"/>
              <w:right w:val="single" w:sz="4" w:space="0" w:color="auto"/>
            </w:tcBorders>
            <w:shd w:val="clear" w:color="auto" w:fill="FFF2CC" w:themeFill="accent4" w:themeFillTint="33"/>
            <w:vAlign w:val="center"/>
            <w:hideMark/>
          </w:tcPr>
          <w:p w14:paraId="4B75D3AD" w14:textId="77777777" w:rsidR="00E541EE" w:rsidRDefault="00E541EE" w:rsidP="00A84BB5">
            <w:pPr>
              <w:rPr>
                <w:rFonts w:ascii="Arial" w:eastAsia="Times New Roman" w:hAnsi="Arial" w:cs="Arial"/>
                <w:sz w:val="12"/>
                <w:szCs w:val="12"/>
              </w:rPr>
            </w:pPr>
          </w:p>
          <w:p w14:paraId="02466706" w14:textId="77777777" w:rsidR="00E541EE" w:rsidRDefault="00E541EE" w:rsidP="00A84BB5">
            <w:pPr>
              <w:jc w:val="center"/>
              <w:rPr>
                <w:rFonts w:ascii="Arial" w:eastAsia="Times New Roman" w:hAnsi="Arial" w:cs="Arial"/>
                <w:sz w:val="12"/>
                <w:szCs w:val="12"/>
              </w:rPr>
            </w:pPr>
          </w:p>
          <w:p w14:paraId="61EAF61E" w14:textId="77777777" w:rsidR="00E541EE" w:rsidRDefault="00E541EE" w:rsidP="00A84BB5">
            <w:pPr>
              <w:jc w:val="center"/>
              <w:rPr>
                <w:rFonts w:ascii="Arial" w:eastAsia="Times New Roman" w:hAnsi="Arial" w:cs="Arial"/>
                <w:sz w:val="12"/>
                <w:szCs w:val="12"/>
              </w:rPr>
            </w:pPr>
          </w:p>
          <w:p w14:paraId="0DF0CBCC" w14:textId="77777777" w:rsidR="00E541EE" w:rsidRPr="0017172C" w:rsidRDefault="00E541EE" w:rsidP="00A84BB5">
            <w:pPr>
              <w:jc w:val="center"/>
              <w:rPr>
                <w:rFonts w:ascii="Arial" w:eastAsia="Times New Roman" w:hAnsi="Arial" w:cs="Arial"/>
                <w:sz w:val="12"/>
                <w:szCs w:val="12"/>
              </w:rPr>
            </w:pPr>
            <w:r w:rsidRPr="0017172C">
              <w:rPr>
                <w:rFonts w:ascii="Arial" w:eastAsia="Times New Roman" w:hAnsi="Arial" w:cs="Arial"/>
                <w:sz w:val="12"/>
                <w:szCs w:val="12"/>
              </w:rPr>
              <w:t>P1013 INVESTICI</w:t>
            </w:r>
            <w:r>
              <w:rPr>
                <w:rFonts w:ascii="Arial" w:eastAsia="Times New Roman" w:hAnsi="Arial" w:cs="Arial"/>
                <w:sz w:val="12"/>
                <w:szCs w:val="12"/>
              </w:rPr>
              <w:t>-</w:t>
            </w:r>
            <w:r w:rsidRPr="0017172C">
              <w:rPr>
                <w:rFonts w:ascii="Arial" w:eastAsia="Times New Roman" w:hAnsi="Arial" w:cs="Arial"/>
                <w:sz w:val="12"/>
                <w:szCs w:val="12"/>
              </w:rPr>
              <w:t>JSKO ODRŽAVA</w:t>
            </w:r>
            <w:r>
              <w:rPr>
                <w:rFonts w:ascii="Arial" w:eastAsia="Times New Roman" w:hAnsi="Arial" w:cs="Arial"/>
                <w:sz w:val="12"/>
                <w:szCs w:val="12"/>
              </w:rPr>
              <w:t>-</w:t>
            </w:r>
            <w:r w:rsidRPr="0017172C">
              <w:rPr>
                <w:rFonts w:ascii="Arial" w:eastAsia="Times New Roman" w:hAnsi="Arial" w:cs="Arial"/>
                <w:sz w:val="12"/>
                <w:szCs w:val="12"/>
              </w:rPr>
              <w:t>NJE OBJEKATA</w:t>
            </w:r>
          </w:p>
        </w:tc>
        <w:tc>
          <w:tcPr>
            <w:tcW w:w="383" w:type="pct"/>
            <w:tcBorders>
              <w:top w:val="nil"/>
              <w:left w:val="single" w:sz="4" w:space="0" w:color="auto"/>
              <w:bottom w:val="single" w:sz="4" w:space="0" w:color="auto"/>
              <w:right w:val="single" w:sz="4" w:space="0" w:color="auto"/>
            </w:tcBorders>
            <w:shd w:val="clear" w:color="000000" w:fill="FFFFFF"/>
            <w:hideMark/>
          </w:tcPr>
          <w:p w14:paraId="69C714FE" w14:textId="77777777" w:rsidR="00E541EE" w:rsidRDefault="00E541EE" w:rsidP="00A84BB5">
            <w:pPr>
              <w:rPr>
                <w:rFonts w:ascii="Arial" w:eastAsia="Times New Roman" w:hAnsi="Arial" w:cs="Arial"/>
                <w:sz w:val="12"/>
                <w:szCs w:val="12"/>
              </w:rPr>
            </w:pPr>
          </w:p>
          <w:p w14:paraId="157D43D8" w14:textId="77777777" w:rsidR="00E541EE" w:rsidRPr="0017172C" w:rsidRDefault="00E541EE" w:rsidP="00A84BB5">
            <w:pPr>
              <w:jc w:val="center"/>
              <w:rPr>
                <w:rFonts w:ascii="Arial" w:eastAsia="Times New Roman" w:hAnsi="Arial" w:cs="Arial"/>
                <w:sz w:val="12"/>
                <w:szCs w:val="12"/>
              </w:rPr>
            </w:pPr>
            <w:r w:rsidRPr="0017172C">
              <w:rPr>
                <w:rFonts w:ascii="Arial" w:eastAsia="Times New Roman" w:hAnsi="Arial" w:cs="Arial"/>
                <w:sz w:val="12"/>
                <w:szCs w:val="12"/>
              </w:rPr>
              <w:t>Očuvanje nematerijalne baštine, obnova materijalne baštine te njihova valorizacija i prezentacija</w:t>
            </w:r>
          </w:p>
        </w:tc>
        <w:tc>
          <w:tcPr>
            <w:tcW w:w="537" w:type="pct"/>
            <w:tcBorders>
              <w:top w:val="nil"/>
              <w:left w:val="single" w:sz="4" w:space="0" w:color="auto"/>
              <w:bottom w:val="single" w:sz="4" w:space="0" w:color="auto"/>
              <w:right w:val="single" w:sz="4" w:space="0" w:color="auto"/>
            </w:tcBorders>
            <w:shd w:val="clear" w:color="auto" w:fill="FFF2CC" w:themeFill="accent4" w:themeFillTint="33"/>
            <w:hideMark/>
          </w:tcPr>
          <w:p w14:paraId="01A07AB5" w14:textId="77777777" w:rsidR="00E541EE" w:rsidRDefault="00E541EE" w:rsidP="00A84BB5">
            <w:pPr>
              <w:jc w:val="center"/>
              <w:rPr>
                <w:rFonts w:ascii="Arial" w:eastAsia="Times New Roman" w:hAnsi="Arial" w:cs="Arial"/>
                <w:sz w:val="12"/>
                <w:szCs w:val="12"/>
              </w:rPr>
            </w:pPr>
          </w:p>
          <w:p w14:paraId="04901EF1" w14:textId="77777777" w:rsidR="00E541EE" w:rsidRDefault="00E541EE" w:rsidP="00A84BB5">
            <w:pPr>
              <w:jc w:val="center"/>
              <w:rPr>
                <w:rFonts w:ascii="Arial" w:eastAsia="Times New Roman" w:hAnsi="Arial" w:cs="Arial"/>
                <w:sz w:val="12"/>
                <w:szCs w:val="12"/>
              </w:rPr>
            </w:pPr>
          </w:p>
          <w:p w14:paraId="27FFA4F9" w14:textId="77777777" w:rsidR="00E541EE" w:rsidRDefault="00E541EE" w:rsidP="00A84BB5">
            <w:pPr>
              <w:jc w:val="center"/>
              <w:rPr>
                <w:rFonts w:ascii="Arial" w:eastAsia="Times New Roman" w:hAnsi="Arial" w:cs="Arial"/>
                <w:sz w:val="12"/>
                <w:szCs w:val="12"/>
              </w:rPr>
            </w:pPr>
          </w:p>
          <w:p w14:paraId="1568A3E2" w14:textId="77777777" w:rsidR="00E541EE" w:rsidRDefault="00E541EE" w:rsidP="00A84BB5">
            <w:pPr>
              <w:rPr>
                <w:rFonts w:ascii="Arial" w:eastAsia="Times New Roman" w:hAnsi="Arial" w:cs="Arial"/>
                <w:sz w:val="12"/>
                <w:szCs w:val="12"/>
              </w:rPr>
            </w:pPr>
          </w:p>
          <w:p w14:paraId="6A63CADC" w14:textId="77777777" w:rsidR="00E541EE" w:rsidRDefault="00E541EE" w:rsidP="00A84BB5">
            <w:pPr>
              <w:jc w:val="center"/>
              <w:rPr>
                <w:rFonts w:ascii="Arial" w:eastAsia="Times New Roman" w:hAnsi="Arial" w:cs="Arial"/>
                <w:sz w:val="12"/>
                <w:szCs w:val="12"/>
              </w:rPr>
            </w:pPr>
          </w:p>
          <w:p w14:paraId="116A537F" w14:textId="77777777" w:rsidR="00E541EE" w:rsidRDefault="00E541EE" w:rsidP="00A84BB5">
            <w:pPr>
              <w:jc w:val="center"/>
              <w:rPr>
                <w:rFonts w:ascii="Arial" w:eastAsia="Times New Roman" w:hAnsi="Arial" w:cs="Arial"/>
                <w:sz w:val="12"/>
                <w:szCs w:val="12"/>
              </w:rPr>
            </w:pPr>
          </w:p>
          <w:p w14:paraId="3711EAC8" w14:textId="77777777" w:rsidR="00E541EE" w:rsidRDefault="00E541EE" w:rsidP="00A84BB5">
            <w:pPr>
              <w:jc w:val="center"/>
              <w:rPr>
                <w:rFonts w:ascii="Arial" w:eastAsia="Times New Roman" w:hAnsi="Arial" w:cs="Arial"/>
                <w:sz w:val="12"/>
                <w:szCs w:val="12"/>
              </w:rPr>
            </w:pPr>
          </w:p>
          <w:p w14:paraId="4568C49C" w14:textId="77777777" w:rsidR="00E541EE" w:rsidRPr="0017172C" w:rsidRDefault="00E541EE" w:rsidP="00A84BB5">
            <w:pPr>
              <w:jc w:val="center"/>
              <w:rPr>
                <w:rFonts w:ascii="Arial" w:eastAsia="Times New Roman" w:hAnsi="Arial" w:cs="Arial"/>
                <w:sz w:val="12"/>
                <w:szCs w:val="12"/>
              </w:rPr>
            </w:pPr>
            <w:r>
              <w:rPr>
                <w:rFonts w:ascii="Arial" w:eastAsia="Times New Roman" w:hAnsi="Arial" w:cs="Arial"/>
                <w:sz w:val="12"/>
                <w:szCs w:val="12"/>
              </w:rPr>
              <w:t>73.425,00</w:t>
            </w:r>
          </w:p>
        </w:tc>
        <w:tc>
          <w:tcPr>
            <w:tcW w:w="460" w:type="pct"/>
            <w:tcBorders>
              <w:top w:val="nil"/>
              <w:left w:val="single" w:sz="4" w:space="0" w:color="auto"/>
              <w:bottom w:val="single" w:sz="4" w:space="0" w:color="auto"/>
              <w:right w:val="single" w:sz="4" w:space="0" w:color="auto"/>
            </w:tcBorders>
            <w:vAlign w:val="center"/>
            <w:hideMark/>
          </w:tcPr>
          <w:p w14:paraId="5F4B7939" w14:textId="77777777" w:rsidR="00E541EE" w:rsidRDefault="00E541EE" w:rsidP="00A84BB5">
            <w:pPr>
              <w:rPr>
                <w:rFonts w:ascii="Arial" w:eastAsia="Times New Roman" w:hAnsi="Arial" w:cs="Arial"/>
                <w:sz w:val="12"/>
                <w:szCs w:val="12"/>
              </w:rPr>
            </w:pPr>
          </w:p>
          <w:p w14:paraId="6D7676C4" w14:textId="77777777" w:rsidR="00E541EE" w:rsidRPr="0017172C" w:rsidRDefault="00E541EE" w:rsidP="00A84BB5">
            <w:pPr>
              <w:jc w:val="center"/>
              <w:rPr>
                <w:rFonts w:ascii="Arial" w:eastAsia="Times New Roman" w:hAnsi="Arial" w:cs="Arial"/>
                <w:sz w:val="12"/>
                <w:szCs w:val="12"/>
              </w:rPr>
            </w:pPr>
            <w:r w:rsidRPr="0017172C">
              <w:rPr>
                <w:rFonts w:ascii="Arial" w:eastAsia="Times New Roman" w:hAnsi="Arial" w:cs="Arial"/>
                <w:sz w:val="12"/>
                <w:szCs w:val="12"/>
              </w:rPr>
              <w:t>A101306-INVESTICIJSKO ODRŽAVANJE OBJEKATA KULTURNE BAŠTINE</w:t>
            </w:r>
          </w:p>
        </w:tc>
        <w:tc>
          <w:tcPr>
            <w:tcW w:w="461" w:type="pct"/>
            <w:tcBorders>
              <w:top w:val="single" w:sz="4" w:space="0" w:color="auto"/>
              <w:left w:val="nil"/>
              <w:bottom w:val="single" w:sz="4" w:space="0" w:color="auto"/>
              <w:right w:val="single" w:sz="4" w:space="0" w:color="auto"/>
            </w:tcBorders>
            <w:shd w:val="clear" w:color="auto" w:fill="FFF2CC" w:themeFill="accent4" w:themeFillTint="33"/>
            <w:vAlign w:val="center"/>
          </w:tcPr>
          <w:p w14:paraId="74B72F17" w14:textId="77777777" w:rsidR="00E541EE" w:rsidRPr="0017172C" w:rsidRDefault="00E541EE" w:rsidP="00A84BB5">
            <w:pPr>
              <w:jc w:val="center"/>
              <w:rPr>
                <w:rFonts w:ascii="Arial" w:eastAsia="Times New Roman" w:hAnsi="Arial" w:cs="Arial"/>
                <w:sz w:val="12"/>
                <w:szCs w:val="12"/>
              </w:rPr>
            </w:pPr>
            <w:r>
              <w:rPr>
                <w:rFonts w:ascii="Arial" w:eastAsia="Times New Roman" w:hAnsi="Arial" w:cs="Arial"/>
                <w:sz w:val="12"/>
                <w:szCs w:val="12"/>
              </w:rPr>
              <w:t>Broj obnovljenih objekata kulturne baštine/ kulturno-povijesnih spomenika</w:t>
            </w:r>
          </w:p>
        </w:tc>
        <w:tc>
          <w:tcPr>
            <w:tcW w:w="468" w:type="pct"/>
            <w:tcBorders>
              <w:top w:val="single" w:sz="4" w:space="0" w:color="auto"/>
              <w:left w:val="nil"/>
              <w:bottom w:val="single" w:sz="4" w:space="0" w:color="auto"/>
              <w:right w:val="single" w:sz="4" w:space="0" w:color="auto"/>
            </w:tcBorders>
            <w:shd w:val="clear" w:color="000000" w:fill="FFFFFF"/>
            <w:vAlign w:val="center"/>
          </w:tcPr>
          <w:p w14:paraId="32968928" w14:textId="77777777" w:rsidR="00E541EE" w:rsidRPr="0017172C" w:rsidRDefault="00E541EE" w:rsidP="00A84BB5">
            <w:pPr>
              <w:jc w:val="center"/>
              <w:rPr>
                <w:rFonts w:ascii="Arial" w:eastAsia="Times New Roman" w:hAnsi="Arial" w:cs="Arial"/>
                <w:sz w:val="12"/>
                <w:szCs w:val="12"/>
              </w:rPr>
            </w:pPr>
            <w:r>
              <w:rPr>
                <w:rFonts w:ascii="Arial" w:eastAsia="Times New Roman" w:hAnsi="Arial" w:cs="Arial"/>
                <w:sz w:val="12"/>
                <w:szCs w:val="12"/>
              </w:rPr>
              <w:t>3</w:t>
            </w:r>
          </w:p>
        </w:tc>
        <w:tc>
          <w:tcPr>
            <w:tcW w:w="304" w:type="pct"/>
            <w:tcBorders>
              <w:top w:val="single" w:sz="4" w:space="0" w:color="auto"/>
              <w:left w:val="nil"/>
              <w:bottom w:val="single" w:sz="4" w:space="0" w:color="auto"/>
              <w:right w:val="single" w:sz="4" w:space="0" w:color="auto"/>
            </w:tcBorders>
            <w:shd w:val="clear" w:color="000000" w:fill="FFFFFF"/>
            <w:vAlign w:val="center"/>
          </w:tcPr>
          <w:p w14:paraId="54188A7D" w14:textId="77777777" w:rsidR="00E541EE" w:rsidRPr="0017172C" w:rsidRDefault="00E541EE" w:rsidP="00A84BB5">
            <w:pPr>
              <w:jc w:val="center"/>
              <w:rPr>
                <w:rFonts w:ascii="Arial" w:eastAsia="Times New Roman" w:hAnsi="Arial" w:cs="Arial"/>
                <w:sz w:val="12"/>
                <w:szCs w:val="12"/>
              </w:rPr>
            </w:pPr>
            <w:r>
              <w:rPr>
                <w:rFonts w:ascii="Arial" w:eastAsia="Times New Roman" w:hAnsi="Arial" w:cs="Arial"/>
                <w:sz w:val="12"/>
                <w:szCs w:val="12"/>
              </w:rPr>
              <w:t>4</w:t>
            </w:r>
          </w:p>
        </w:tc>
        <w:tc>
          <w:tcPr>
            <w:tcW w:w="305" w:type="pct"/>
            <w:tcBorders>
              <w:top w:val="single" w:sz="4" w:space="0" w:color="auto"/>
              <w:left w:val="nil"/>
              <w:bottom w:val="single" w:sz="4" w:space="0" w:color="auto"/>
              <w:right w:val="single" w:sz="4" w:space="0" w:color="auto"/>
            </w:tcBorders>
            <w:shd w:val="clear" w:color="000000" w:fill="FFFFFF"/>
            <w:vAlign w:val="center"/>
          </w:tcPr>
          <w:p w14:paraId="4C85B7C6" w14:textId="77777777" w:rsidR="00E541EE" w:rsidRPr="0017172C" w:rsidRDefault="00E541EE" w:rsidP="00A84BB5">
            <w:pPr>
              <w:jc w:val="center"/>
              <w:rPr>
                <w:rFonts w:ascii="Arial" w:eastAsia="Times New Roman" w:hAnsi="Arial" w:cs="Arial"/>
                <w:sz w:val="12"/>
                <w:szCs w:val="12"/>
              </w:rPr>
            </w:pPr>
            <w:r>
              <w:rPr>
                <w:rFonts w:ascii="Arial" w:eastAsia="Times New Roman" w:hAnsi="Arial" w:cs="Arial"/>
                <w:sz w:val="12"/>
                <w:szCs w:val="12"/>
              </w:rPr>
              <w:t>5</w:t>
            </w:r>
          </w:p>
        </w:tc>
        <w:tc>
          <w:tcPr>
            <w:tcW w:w="395" w:type="pct"/>
            <w:tcBorders>
              <w:top w:val="single" w:sz="4" w:space="0" w:color="auto"/>
              <w:left w:val="nil"/>
              <w:bottom w:val="single" w:sz="4" w:space="0" w:color="auto"/>
              <w:right w:val="single" w:sz="4" w:space="0" w:color="auto"/>
            </w:tcBorders>
            <w:shd w:val="clear" w:color="000000" w:fill="FFFFFF"/>
            <w:vAlign w:val="center"/>
          </w:tcPr>
          <w:p w14:paraId="40E80304" w14:textId="77777777" w:rsidR="00E541EE" w:rsidRPr="0017172C" w:rsidRDefault="00E541EE" w:rsidP="00A84BB5">
            <w:pPr>
              <w:jc w:val="center"/>
              <w:rPr>
                <w:rFonts w:ascii="Arial" w:eastAsia="Times New Roman" w:hAnsi="Arial" w:cs="Arial"/>
                <w:sz w:val="12"/>
                <w:szCs w:val="12"/>
              </w:rPr>
            </w:pPr>
            <w:r>
              <w:rPr>
                <w:rFonts w:ascii="Arial" w:eastAsia="Times New Roman" w:hAnsi="Arial" w:cs="Arial"/>
                <w:sz w:val="12"/>
                <w:szCs w:val="12"/>
              </w:rPr>
              <w:t>6</w:t>
            </w:r>
          </w:p>
        </w:tc>
      </w:tr>
    </w:tbl>
    <w:p w14:paraId="6CCA0144" w14:textId="77777777" w:rsidR="00E541EE" w:rsidRPr="00852302" w:rsidRDefault="00E541EE" w:rsidP="00E541EE">
      <w:pPr>
        <w:jc w:val="both"/>
        <w:rPr>
          <w:rFonts w:ascii="Arial" w:eastAsia="Times New Roman" w:hAnsi="Arial" w:cs="Arial"/>
          <w:color w:val="000000" w:themeColor="text1"/>
          <w:sz w:val="24"/>
        </w:rPr>
      </w:pPr>
    </w:p>
    <w:p w14:paraId="1C9F8D89" w14:textId="77777777" w:rsidR="00E541EE" w:rsidRPr="00852302" w:rsidRDefault="00E541EE" w:rsidP="00E541EE">
      <w:pPr>
        <w:pBdr>
          <w:top w:val="single" w:sz="4" w:space="1" w:color="auto"/>
          <w:left w:val="single" w:sz="4" w:space="4" w:color="auto"/>
          <w:bottom w:val="single" w:sz="4" w:space="1" w:color="auto"/>
          <w:right w:val="single" w:sz="4" w:space="4" w:color="auto"/>
        </w:pBdr>
        <w:shd w:val="clear" w:color="auto" w:fill="E9E9E9"/>
        <w:ind w:right="-1"/>
        <w:rPr>
          <w:rFonts w:ascii="Arial" w:eastAsia="Times New Roman" w:hAnsi="Arial" w:cs="Arial"/>
          <w:b/>
          <w:color w:val="000000" w:themeColor="text1"/>
          <w:sz w:val="24"/>
          <w:lang w:val="sl-SI"/>
        </w:rPr>
      </w:pPr>
      <w:r w:rsidRPr="00852302">
        <w:rPr>
          <w:rFonts w:ascii="Arial" w:eastAsia="Times New Roman" w:hAnsi="Arial" w:cs="Arial"/>
          <w:b/>
          <w:color w:val="000000" w:themeColor="text1"/>
          <w:sz w:val="24"/>
          <w:lang w:val="sl-SI"/>
        </w:rPr>
        <w:t xml:space="preserve">A 101301: </w:t>
      </w:r>
      <w:r w:rsidRPr="00852302">
        <w:rPr>
          <w:rFonts w:ascii="Arial" w:eastAsia="Times New Roman" w:hAnsi="Arial" w:cs="Arial"/>
          <w:b/>
          <w:bCs/>
          <w:color w:val="000000" w:themeColor="text1"/>
          <w:sz w:val="24"/>
        </w:rPr>
        <w:t xml:space="preserve">Investicijsko održavanje prometnica i odvodnje  </w:t>
      </w:r>
      <w:r w:rsidRPr="00852302">
        <w:rPr>
          <w:rFonts w:ascii="Arial" w:eastAsia="Times New Roman" w:hAnsi="Arial" w:cs="Arial"/>
          <w:b/>
          <w:color w:val="000000" w:themeColor="text1"/>
          <w:sz w:val="24"/>
          <w:lang w:val="sl-SI"/>
        </w:rPr>
        <w:t>= 580.000,00 EUR</w:t>
      </w:r>
    </w:p>
    <w:p w14:paraId="30056FC0" w14:textId="77777777" w:rsidR="00E541EE" w:rsidRPr="00852302" w:rsidRDefault="00E541EE" w:rsidP="00E541EE">
      <w:pPr>
        <w:jc w:val="both"/>
        <w:rPr>
          <w:rFonts w:ascii="Arial" w:eastAsia="Times New Roman" w:hAnsi="Arial" w:cs="Arial"/>
          <w:color w:val="000000" w:themeColor="text1"/>
          <w:sz w:val="24"/>
        </w:rPr>
      </w:pPr>
      <w:r w:rsidRPr="00852302">
        <w:rPr>
          <w:rFonts w:ascii="Arial" w:eastAsia="Times New Roman" w:hAnsi="Arial" w:cs="Arial"/>
          <w:b/>
          <w:bCs/>
          <w:color w:val="000000" w:themeColor="text1"/>
          <w:sz w:val="24"/>
        </w:rPr>
        <w:t>Zakonska osnova:</w:t>
      </w:r>
      <w:r w:rsidRPr="00852302">
        <w:rPr>
          <w:rFonts w:ascii="Arial" w:eastAsia="Times New Roman" w:hAnsi="Arial" w:cs="Arial"/>
          <w:color w:val="000000" w:themeColor="text1"/>
          <w:sz w:val="24"/>
        </w:rPr>
        <w:t xml:space="preserve"> Zakon o lokalnoj i područnoj (regionalnoj) samoupravi, Zakon o prostornom uređenju, Zakon o gradnji, Zakon o komunalnom gospodarstvu, Zakon o cestama, Pravilnik o održavanju cesta.</w:t>
      </w:r>
    </w:p>
    <w:p w14:paraId="5B9CEE51" w14:textId="77777777" w:rsidR="00E541EE" w:rsidRPr="00852302" w:rsidRDefault="00E541EE" w:rsidP="00E541EE">
      <w:pPr>
        <w:jc w:val="both"/>
        <w:rPr>
          <w:rFonts w:ascii="Arial" w:eastAsia="Times New Roman" w:hAnsi="Arial" w:cs="Arial"/>
          <w:color w:val="000000" w:themeColor="text1"/>
          <w:sz w:val="24"/>
        </w:rPr>
      </w:pPr>
      <w:r w:rsidRPr="00852302">
        <w:rPr>
          <w:rFonts w:ascii="Arial" w:eastAsia="Times New Roman" w:hAnsi="Arial" w:cs="Arial"/>
          <w:b/>
          <w:bCs/>
          <w:color w:val="000000" w:themeColor="text1"/>
          <w:sz w:val="24"/>
        </w:rPr>
        <w:t>Opis:</w:t>
      </w:r>
      <w:r w:rsidRPr="00852302">
        <w:rPr>
          <w:rFonts w:ascii="Arial" w:eastAsia="Times New Roman" w:hAnsi="Arial" w:cs="Arial"/>
          <w:color w:val="000000" w:themeColor="text1"/>
          <w:sz w:val="24"/>
        </w:rPr>
        <w:t xml:space="preserve"> ovim sredstvima financira se izvođenje radova investicijskog održavanja prometnica i oborinske odvodnje na području Grada Rovinja-Rovigno prvenstveno radi rješavanja prometnica sa mrežastim oštećenjima većih površina, sanaciju nogostupa</w:t>
      </w:r>
      <w:r>
        <w:rPr>
          <w:rFonts w:ascii="Arial" w:eastAsia="Times New Roman" w:hAnsi="Arial" w:cs="Arial"/>
          <w:color w:val="000000" w:themeColor="text1"/>
          <w:sz w:val="24"/>
        </w:rPr>
        <w:t xml:space="preserve"> </w:t>
      </w:r>
      <w:r w:rsidRPr="00852302">
        <w:rPr>
          <w:rFonts w:ascii="Arial" w:eastAsia="Times New Roman" w:hAnsi="Arial" w:cs="Arial"/>
          <w:color w:val="000000" w:themeColor="text1"/>
          <w:sz w:val="24"/>
        </w:rPr>
        <w:t xml:space="preserve">i radova investicijskog održavanja sustava oborinske odvodnje na području Grada Rovinja-Rovigno. Također radovima investicijskog održavanja uključeni su i svi potrebni radovi postizanja veće i bolje sigurnosti pješaka u prometu uz ugradnju elemenata u svrhu osiguranja nesmetanog pristupa i kretanja osoba s invaliditetom i smanjenom pokretljivosti. </w:t>
      </w:r>
      <w:r>
        <w:rPr>
          <w:rFonts w:ascii="Arial" w:eastAsia="Times New Roman" w:hAnsi="Arial" w:cs="Arial"/>
          <w:color w:val="000000" w:themeColor="text1"/>
          <w:sz w:val="24"/>
        </w:rPr>
        <w:t xml:space="preserve"> Planirani su radovi investicijskog održavanja oborinske odvodnje u ulicama A. Ruđera Boškovića, Kresinskih žrtava, B. Benussi i Mate Balota. Planira se uređenje nogostupa u dijelu Ulice 43. Istarske divizije i razni asfalti na području Rovinjskog Sela, u ulicama Vičani i Rudelići te Madonna di Campo.</w:t>
      </w:r>
    </w:p>
    <w:p w14:paraId="2E6F83E6" w14:textId="77777777" w:rsidR="00E541EE" w:rsidRPr="00852302" w:rsidRDefault="00E541EE" w:rsidP="00E541EE">
      <w:pPr>
        <w:jc w:val="both"/>
        <w:rPr>
          <w:rFonts w:ascii="Arial" w:eastAsia="Times New Roman" w:hAnsi="Arial" w:cs="Arial"/>
          <w:color w:val="000000" w:themeColor="text1"/>
          <w:sz w:val="24"/>
        </w:rPr>
      </w:pPr>
      <w:r w:rsidRPr="00852302">
        <w:rPr>
          <w:rFonts w:ascii="Arial" w:eastAsia="Times New Roman" w:hAnsi="Arial" w:cs="Arial"/>
          <w:b/>
          <w:bCs/>
          <w:color w:val="000000" w:themeColor="text1"/>
          <w:sz w:val="24"/>
        </w:rPr>
        <w:t>Opći cilj:</w:t>
      </w:r>
      <w:r w:rsidRPr="00852302">
        <w:rPr>
          <w:rFonts w:ascii="Arial" w:eastAsia="Times New Roman" w:hAnsi="Arial" w:cs="Arial"/>
          <w:color w:val="000000" w:themeColor="text1"/>
          <w:sz w:val="24"/>
        </w:rPr>
        <w:t xml:space="preserve"> kroz ovu aktivnost predviđa se izvesti radove investicijskog održavanja asfaltnih prometnih površina kolnika, nogostupa, parkirališta i trgova na mjestima smanjene nosivosti ili povećane istrošenosti asfalta. Potrebnim radovima osigurati funkcionalno i sigurno prometovanje prometnicama za kolni i pješački promet na cijelom području grada te popravak i dopuna postojećih objekata odvodnje na javnim prometnim površinama. </w:t>
      </w:r>
    </w:p>
    <w:p w14:paraId="0723ECAB" w14:textId="77777777" w:rsidR="00E541EE" w:rsidRPr="00852302" w:rsidRDefault="00E541EE" w:rsidP="00E541EE">
      <w:pPr>
        <w:jc w:val="both"/>
        <w:rPr>
          <w:rFonts w:ascii="Arial" w:eastAsia="Times New Roman" w:hAnsi="Arial" w:cs="Arial"/>
          <w:color w:val="000000" w:themeColor="text1"/>
          <w:sz w:val="24"/>
        </w:rPr>
      </w:pPr>
      <w:r w:rsidRPr="00852302">
        <w:rPr>
          <w:rFonts w:ascii="Arial" w:eastAsia="Times New Roman" w:hAnsi="Arial" w:cs="Arial"/>
          <w:b/>
          <w:bCs/>
          <w:color w:val="000000" w:themeColor="text1"/>
          <w:sz w:val="24"/>
        </w:rPr>
        <w:t>Pokazatelj uspješnosti:</w:t>
      </w:r>
      <w:r w:rsidRPr="00852302">
        <w:rPr>
          <w:rFonts w:ascii="Arial" w:eastAsia="Times New Roman" w:hAnsi="Arial" w:cs="Arial"/>
          <w:color w:val="000000" w:themeColor="text1"/>
          <w:sz w:val="24"/>
        </w:rPr>
        <w:t xml:space="preserve"> izvedeni planirani radovi.</w:t>
      </w:r>
    </w:p>
    <w:p w14:paraId="083B14FF" w14:textId="77777777" w:rsidR="00E541EE" w:rsidRPr="00852302" w:rsidRDefault="00E541EE" w:rsidP="00E541EE">
      <w:pPr>
        <w:jc w:val="both"/>
        <w:rPr>
          <w:rFonts w:ascii="Arial" w:eastAsia="Times New Roman" w:hAnsi="Arial" w:cs="Arial"/>
          <w:color w:val="000000" w:themeColor="text1"/>
          <w:sz w:val="24"/>
        </w:rPr>
      </w:pPr>
    </w:p>
    <w:p w14:paraId="5DA128F1" w14:textId="77777777" w:rsidR="00E541EE" w:rsidRPr="00852302" w:rsidRDefault="00E541EE" w:rsidP="00E541EE">
      <w:pPr>
        <w:pBdr>
          <w:top w:val="single" w:sz="4" w:space="1" w:color="auto"/>
          <w:left w:val="single" w:sz="4" w:space="4" w:color="auto"/>
          <w:bottom w:val="single" w:sz="4" w:space="1" w:color="auto"/>
          <w:right w:val="single" w:sz="4" w:space="4" w:color="auto"/>
        </w:pBdr>
        <w:shd w:val="clear" w:color="auto" w:fill="E9E9E9"/>
        <w:ind w:right="-1"/>
        <w:rPr>
          <w:rFonts w:ascii="Arial" w:eastAsia="Times New Roman" w:hAnsi="Arial" w:cs="Arial"/>
          <w:b/>
          <w:color w:val="000000" w:themeColor="text1"/>
          <w:sz w:val="24"/>
          <w:lang w:val="sl-SI"/>
        </w:rPr>
      </w:pPr>
      <w:r w:rsidRPr="00852302">
        <w:rPr>
          <w:rFonts w:ascii="Arial" w:eastAsia="Times New Roman" w:hAnsi="Arial" w:cs="Arial"/>
          <w:b/>
          <w:color w:val="000000" w:themeColor="text1"/>
          <w:sz w:val="24"/>
          <w:lang w:val="sl-SI"/>
        </w:rPr>
        <w:t xml:space="preserve">A 101302: </w:t>
      </w:r>
      <w:r w:rsidRPr="00852302">
        <w:rPr>
          <w:rFonts w:ascii="Arial" w:eastAsia="Times New Roman" w:hAnsi="Arial" w:cs="Arial"/>
          <w:b/>
          <w:bCs/>
          <w:color w:val="000000" w:themeColor="text1"/>
          <w:sz w:val="24"/>
        </w:rPr>
        <w:t xml:space="preserve">Investicijsko održavanje objekata javne rasvjete </w:t>
      </w:r>
      <w:r w:rsidRPr="00852302">
        <w:rPr>
          <w:rFonts w:ascii="Arial" w:eastAsia="Times New Roman" w:hAnsi="Arial" w:cs="Arial"/>
          <w:b/>
          <w:color w:val="000000" w:themeColor="text1"/>
          <w:sz w:val="24"/>
          <w:lang w:val="sl-SI"/>
        </w:rPr>
        <w:t>= 78.000,00 EUR</w:t>
      </w:r>
    </w:p>
    <w:p w14:paraId="0AAC8922" w14:textId="77777777" w:rsidR="00E541EE" w:rsidRPr="00852302" w:rsidRDefault="00E541EE" w:rsidP="00E541EE">
      <w:pPr>
        <w:jc w:val="both"/>
        <w:rPr>
          <w:rFonts w:ascii="Arial" w:eastAsia="Times New Roman" w:hAnsi="Arial" w:cs="Arial"/>
          <w:color w:val="000000" w:themeColor="text1"/>
          <w:sz w:val="24"/>
        </w:rPr>
      </w:pPr>
      <w:r w:rsidRPr="00852302">
        <w:rPr>
          <w:rFonts w:ascii="Arial" w:eastAsia="Times New Roman" w:hAnsi="Arial" w:cs="Arial"/>
          <w:b/>
          <w:bCs/>
          <w:color w:val="000000" w:themeColor="text1"/>
          <w:sz w:val="24"/>
        </w:rPr>
        <w:t>Zakonska osnova:</w:t>
      </w:r>
      <w:r w:rsidRPr="00852302">
        <w:rPr>
          <w:rFonts w:ascii="Arial" w:eastAsia="Times New Roman" w:hAnsi="Arial" w:cs="Arial"/>
          <w:color w:val="000000" w:themeColor="text1"/>
          <w:sz w:val="24"/>
        </w:rPr>
        <w:t xml:space="preserve"> Zakon o lokalnoj i područnoj (regionalnoj) samoupravi, Zakon o komunalnom gospodarstvu, Zakon o prostornom uređenju, Zakon o gradnji</w:t>
      </w:r>
    </w:p>
    <w:p w14:paraId="1815A031" w14:textId="77777777" w:rsidR="00E541EE" w:rsidRPr="00852302" w:rsidRDefault="00E541EE" w:rsidP="00E541EE">
      <w:pPr>
        <w:jc w:val="both"/>
        <w:rPr>
          <w:rFonts w:ascii="Arial" w:eastAsia="Times New Roman" w:hAnsi="Arial" w:cs="Arial"/>
          <w:color w:val="000000" w:themeColor="text1"/>
          <w:sz w:val="24"/>
        </w:rPr>
      </w:pPr>
      <w:r w:rsidRPr="00852302">
        <w:rPr>
          <w:rFonts w:ascii="Arial" w:eastAsia="Times New Roman" w:hAnsi="Arial" w:cs="Arial"/>
          <w:b/>
          <w:bCs/>
          <w:color w:val="000000" w:themeColor="text1"/>
          <w:sz w:val="24"/>
        </w:rPr>
        <w:t xml:space="preserve">Opis: </w:t>
      </w:r>
      <w:r w:rsidRPr="00852302">
        <w:rPr>
          <w:rFonts w:ascii="Arial" w:eastAsia="Times New Roman" w:hAnsi="Arial" w:cs="Arial"/>
          <w:color w:val="000000" w:themeColor="text1"/>
          <w:sz w:val="24"/>
        </w:rPr>
        <w:t xml:space="preserve">ovim sredstvima financira se zamjena dotrajalih postojećih rasvjetnih tijela javne rasvjete, stupova, kablova za napajanje, uzemljivača, mjernih ormarića i dr. na području Grada u skladu s tehničkim potrebama i/ili programom energetske učinkovitosti. Obzirom da je dio rasvjete energetski neučinkovit ali i dio rasvjete naročito stupova i rasvjetnih tijela u trošnom stanju nužno je izvoditi radove investicijskog održavanja javne rasvjete kako bi se gradska javna rasvjeta održala u primjerenom funkcionalnom stanju. Planirani su radovi zamjene dotrajalih stupova na dijelu starogradske rive, na </w:t>
      </w:r>
      <w:r>
        <w:rPr>
          <w:rFonts w:ascii="Arial" w:eastAsia="Times New Roman" w:hAnsi="Arial" w:cs="Arial"/>
          <w:color w:val="000000" w:themeColor="text1"/>
          <w:sz w:val="24"/>
        </w:rPr>
        <w:t xml:space="preserve">širem </w:t>
      </w:r>
      <w:r w:rsidRPr="00852302">
        <w:rPr>
          <w:rFonts w:ascii="Arial" w:eastAsia="Times New Roman" w:hAnsi="Arial" w:cs="Arial"/>
          <w:color w:val="000000" w:themeColor="text1"/>
          <w:sz w:val="24"/>
        </w:rPr>
        <w:t>području grada</w:t>
      </w:r>
      <w:r>
        <w:rPr>
          <w:rFonts w:ascii="Arial" w:eastAsia="Times New Roman" w:hAnsi="Arial" w:cs="Arial"/>
          <w:color w:val="000000" w:themeColor="text1"/>
          <w:sz w:val="24"/>
        </w:rPr>
        <w:t xml:space="preserve"> te u ulici S. Pauletića</w:t>
      </w:r>
      <w:r w:rsidRPr="00852302">
        <w:rPr>
          <w:rFonts w:ascii="Arial" w:eastAsia="Times New Roman" w:hAnsi="Arial" w:cs="Arial"/>
          <w:color w:val="000000" w:themeColor="text1"/>
          <w:sz w:val="24"/>
        </w:rPr>
        <w:t xml:space="preserve"> i u Rovinjskom Selu. </w:t>
      </w:r>
    </w:p>
    <w:p w14:paraId="10AF2C2E" w14:textId="77777777" w:rsidR="00E541EE" w:rsidRPr="00852302" w:rsidRDefault="00E541EE" w:rsidP="00E541EE">
      <w:pPr>
        <w:jc w:val="both"/>
        <w:rPr>
          <w:rFonts w:ascii="Arial" w:eastAsia="Times New Roman" w:hAnsi="Arial" w:cs="Arial"/>
          <w:color w:val="000000" w:themeColor="text1"/>
          <w:sz w:val="24"/>
        </w:rPr>
      </w:pPr>
      <w:r w:rsidRPr="00852302">
        <w:rPr>
          <w:rFonts w:ascii="Arial" w:eastAsia="Times New Roman" w:hAnsi="Arial" w:cs="Arial"/>
          <w:b/>
          <w:bCs/>
          <w:color w:val="000000" w:themeColor="text1"/>
          <w:sz w:val="24"/>
        </w:rPr>
        <w:t>Opći cilj:</w:t>
      </w:r>
      <w:r w:rsidRPr="00852302">
        <w:rPr>
          <w:rFonts w:ascii="Arial" w:eastAsia="Times New Roman" w:hAnsi="Arial" w:cs="Arial"/>
          <w:color w:val="000000" w:themeColor="text1"/>
          <w:sz w:val="24"/>
        </w:rPr>
        <w:t xml:space="preserve"> kroz ovu aktivnost predviđa se održavanje objekata javne rasvjete u funkcionalnom stanju kako bi osigurali osvijetljenost javnih površina grada odnosno povećala sigurnost u prometu te zamjena trulih stupova javne rasvjete.</w:t>
      </w:r>
    </w:p>
    <w:p w14:paraId="2B3E92EA" w14:textId="77777777" w:rsidR="00E541EE" w:rsidRPr="00852302" w:rsidRDefault="00E541EE" w:rsidP="00E541EE">
      <w:pPr>
        <w:jc w:val="both"/>
        <w:rPr>
          <w:rFonts w:ascii="Arial" w:eastAsia="Times New Roman" w:hAnsi="Arial" w:cs="Arial"/>
          <w:color w:val="000000" w:themeColor="text1"/>
          <w:sz w:val="24"/>
        </w:rPr>
      </w:pPr>
      <w:r w:rsidRPr="00852302">
        <w:rPr>
          <w:rFonts w:ascii="Arial" w:eastAsia="Times New Roman" w:hAnsi="Arial" w:cs="Arial"/>
          <w:b/>
          <w:bCs/>
          <w:color w:val="000000" w:themeColor="text1"/>
          <w:sz w:val="24"/>
        </w:rPr>
        <w:t>Pokazatelj uspješnosti:</w:t>
      </w:r>
      <w:r w:rsidRPr="00852302">
        <w:rPr>
          <w:rFonts w:ascii="Arial" w:eastAsia="Times New Roman" w:hAnsi="Arial" w:cs="Arial"/>
          <w:color w:val="000000" w:themeColor="text1"/>
          <w:sz w:val="24"/>
        </w:rPr>
        <w:t xml:space="preserve"> izvršena zamjena dotrajalih elemenata rasvjetnih dijelova javne rasvjete.</w:t>
      </w:r>
    </w:p>
    <w:p w14:paraId="1A96E94F" w14:textId="77777777" w:rsidR="00E541EE" w:rsidRPr="00852302" w:rsidRDefault="00E541EE" w:rsidP="00E541EE">
      <w:pPr>
        <w:jc w:val="both"/>
        <w:rPr>
          <w:rFonts w:ascii="Arial" w:eastAsia="Times New Roman" w:hAnsi="Arial" w:cs="Arial"/>
          <w:color w:val="000000" w:themeColor="text1"/>
          <w:sz w:val="24"/>
        </w:rPr>
      </w:pPr>
    </w:p>
    <w:p w14:paraId="2A814E6C" w14:textId="77777777" w:rsidR="00E541EE" w:rsidRDefault="00E541EE" w:rsidP="00E541EE">
      <w:pPr>
        <w:pBdr>
          <w:top w:val="single" w:sz="4" w:space="1" w:color="auto"/>
          <w:left w:val="single" w:sz="4" w:space="4" w:color="auto"/>
          <w:bottom w:val="single" w:sz="4" w:space="1" w:color="auto"/>
          <w:right w:val="single" w:sz="4" w:space="4" w:color="auto"/>
        </w:pBdr>
        <w:shd w:val="clear" w:color="auto" w:fill="E9E9E9"/>
        <w:ind w:right="-1"/>
        <w:rPr>
          <w:rFonts w:ascii="Arial" w:eastAsia="Times New Roman" w:hAnsi="Arial" w:cs="Arial"/>
          <w:b/>
          <w:bCs/>
          <w:color w:val="000000" w:themeColor="text1"/>
          <w:sz w:val="24"/>
        </w:rPr>
      </w:pPr>
      <w:r w:rsidRPr="00852302">
        <w:rPr>
          <w:rFonts w:ascii="Arial" w:eastAsia="Times New Roman" w:hAnsi="Arial" w:cs="Arial"/>
          <w:b/>
          <w:color w:val="000000" w:themeColor="text1"/>
          <w:sz w:val="24"/>
          <w:lang w:val="sl-SI"/>
        </w:rPr>
        <w:t xml:space="preserve">A 101303: </w:t>
      </w:r>
      <w:r w:rsidRPr="00852302">
        <w:rPr>
          <w:rFonts w:ascii="Arial" w:eastAsia="Times New Roman" w:hAnsi="Arial" w:cs="Arial"/>
          <w:b/>
          <w:bCs/>
          <w:color w:val="000000" w:themeColor="text1"/>
          <w:sz w:val="24"/>
        </w:rPr>
        <w:t xml:space="preserve">Investicijsko održavanje objekata društvenih djelatnosti </w:t>
      </w:r>
    </w:p>
    <w:p w14:paraId="3DAA4D17" w14:textId="77777777" w:rsidR="00E541EE" w:rsidRPr="00852302" w:rsidRDefault="00E541EE" w:rsidP="00E541EE">
      <w:pPr>
        <w:pBdr>
          <w:top w:val="single" w:sz="4" w:space="1" w:color="auto"/>
          <w:left w:val="single" w:sz="4" w:space="4" w:color="auto"/>
          <w:bottom w:val="single" w:sz="4" w:space="1" w:color="auto"/>
          <w:right w:val="single" w:sz="4" w:space="4" w:color="auto"/>
        </w:pBdr>
        <w:shd w:val="clear" w:color="auto" w:fill="E9E9E9"/>
        <w:ind w:right="-1"/>
        <w:rPr>
          <w:rFonts w:ascii="Arial" w:eastAsia="Times New Roman" w:hAnsi="Arial" w:cs="Arial"/>
          <w:b/>
          <w:bCs/>
          <w:color w:val="000000" w:themeColor="text1"/>
          <w:sz w:val="24"/>
        </w:rPr>
      </w:pPr>
      <w:r w:rsidRPr="00852302">
        <w:rPr>
          <w:rFonts w:ascii="Arial" w:eastAsia="Times New Roman" w:hAnsi="Arial" w:cs="Arial"/>
          <w:b/>
          <w:color w:val="000000" w:themeColor="text1"/>
          <w:sz w:val="24"/>
          <w:lang w:val="sl-SI"/>
        </w:rPr>
        <w:t>= 233.500,00 EUR</w:t>
      </w:r>
    </w:p>
    <w:p w14:paraId="495C4C9D" w14:textId="77777777" w:rsidR="00E541EE" w:rsidRPr="00852302" w:rsidRDefault="00E541EE" w:rsidP="00E541EE">
      <w:pPr>
        <w:jc w:val="both"/>
        <w:rPr>
          <w:rFonts w:ascii="Arial" w:eastAsia="Times New Roman" w:hAnsi="Arial" w:cs="Arial"/>
          <w:color w:val="000000" w:themeColor="text1"/>
          <w:sz w:val="24"/>
        </w:rPr>
      </w:pPr>
      <w:r w:rsidRPr="00852302">
        <w:rPr>
          <w:rFonts w:ascii="Arial" w:eastAsia="Times New Roman" w:hAnsi="Arial" w:cs="Arial"/>
          <w:b/>
          <w:bCs/>
          <w:color w:val="000000" w:themeColor="text1"/>
          <w:sz w:val="24"/>
        </w:rPr>
        <w:t>Zakonska osnova:</w:t>
      </w:r>
      <w:r w:rsidRPr="00852302">
        <w:rPr>
          <w:rFonts w:ascii="Arial" w:eastAsia="Times New Roman" w:hAnsi="Arial" w:cs="Arial"/>
          <w:color w:val="000000" w:themeColor="text1"/>
          <w:sz w:val="24"/>
        </w:rPr>
        <w:t xml:space="preserve"> Zakon o lokalnoj i područnoj (regionalnoj) samoupravi, Zakon o prostornom uređenju, Zakon o gradnji, Zakon o predškolskom odgoju i naobrazbi, Državni pedagoški standard predškolskog odgoja i obrazovanja</w:t>
      </w:r>
    </w:p>
    <w:p w14:paraId="74F3F408" w14:textId="77777777" w:rsidR="00E541EE" w:rsidRPr="00852302" w:rsidRDefault="00E541EE" w:rsidP="00E541EE">
      <w:pPr>
        <w:autoSpaceDE w:val="0"/>
        <w:autoSpaceDN w:val="0"/>
        <w:adjustRightInd w:val="0"/>
        <w:jc w:val="both"/>
        <w:rPr>
          <w:rFonts w:ascii="Arial" w:eastAsia="Times New Roman" w:hAnsi="Arial" w:cs="Arial"/>
          <w:color w:val="000000" w:themeColor="text1"/>
          <w:sz w:val="24"/>
        </w:rPr>
      </w:pPr>
      <w:r w:rsidRPr="00852302">
        <w:rPr>
          <w:rFonts w:ascii="Arial" w:eastAsia="Times New Roman" w:hAnsi="Arial" w:cs="Arial"/>
          <w:b/>
          <w:bCs/>
          <w:color w:val="000000" w:themeColor="text1"/>
          <w:sz w:val="24"/>
        </w:rPr>
        <w:t xml:space="preserve">Opis: </w:t>
      </w:r>
      <w:r w:rsidRPr="00852302">
        <w:rPr>
          <w:rFonts w:ascii="Arial" w:eastAsia="Times New Roman" w:hAnsi="Arial" w:cs="Arial"/>
          <w:color w:val="000000" w:themeColor="text1"/>
          <w:sz w:val="24"/>
        </w:rPr>
        <w:t xml:space="preserve">ovim sredstvima financiraju se radovi investicijskog održavanja zgrada dječjih vrtića, škola te   sanacije, interventni radovi i uređivanje ostalih objekata društvenih djelatnosti u vlasništvu Grada Rovinja-Rovigno prema potrebi. </w:t>
      </w:r>
      <w:r>
        <w:rPr>
          <w:rFonts w:ascii="Arial" w:eastAsia="Times New Roman" w:hAnsi="Arial" w:cs="Arial"/>
          <w:color w:val="000000" w:themeColor="text1"/>
          <w:sz w:val="24"/>
        </w:rPr>
        <w:t>Planirani su radovi na uređenju prostora za roštilj oko bunkera na šetalištu Obala Nona, radovi investicijskog održavanja dizala u talijanskom dječjem vrtiću Naridola, nova podloga u dijelu prostora JVP, nova obloga zidova na stepeništu kazališta Gandusio.</w:t>
      </w:r>
    </w:p>
    <w:p w14:paraId="4DE5BE4F" w14:textId="77777777" w:rsidR="00E541EE" w:rsidRPr="00852302" w:rsidRDefault="00E541EE" w:rsidP="00E541EE">
      <w:pPr>
        <w:jc w:val="both"/>
        <w:rPr>
          <w:rFonts w:ascii="Arial" w:eastAsia="Times New Roman" w:hAnsi="Arial" w:cs="Arial"/>
          <w:strike/>
          <w:color w:val="000000" w:themeColor="text1"/>
          <w:sz w:val="24"/>
        </w:rPr>
      </w:pPr>
      <w:r w:rsidRPr="00852302">
        <w:rPr>
          <w:rFonts w:ascii="Arial" w:eastAsia="Times New Roman" w:hAnsi="Arial" w:cs="Arial"/>
          <w:b/>
          <w:bCs/>
          <w:color w:val="000000" w:themeColor="text1"/>
          <w:sz w:val="24"/>
        </w:rPr>
        <w:t>Opći cilj:</w:t>
      </w:r>
      <w:r w:rsidRPr="00852302">
        <w:rPr>
          <w:rFonts w:ascii="Arial" w:eastAsia="Times New Roman" w:hAnsi="Arial" w:cs="Arial"/>
          <w:color w:val="000000" w:themeColor="text1"/>
          <w:sz w:val="24"/>
        </w:rPr>
        <w:t xml:space="preserve"> kroz ovu aktivnost predviđa se održavanje školskih, vrtićkih i sportskih objekata, te objekata društvenih ustanova u vlasništvu grada s ciljem sigurne i funkcionalne uporabljivosti. </w:t>
      </w:r>
    </w:p>
    <w:p w14:paraId="01C2A9A8" w14:textId="77777777" w:rsidR="00E541EE" w:rsidRPr="00852302" w:rsidRDefault="00E541EE" w:rsidP="00E541EE">
      <w:pPr>
        <w:jc w:val="both"/>
        <w:rPr>
          <w:rFonts w:ascii="Arial" w:eastAsia="Times New Roman" w:hAnsi="Arial" w:cs="Arial"/>
          <w:color w:val="000000" w:themeColor="text1"/>
          <w:sz w:val="24"/>
        </w:rPr>
      </w:pPr>
      <w:r w:rsidRPr="00852302">
        <w:rPr>
          <w:rFonts w:ascii="Arial" w:eastAsia="Times New Roman" w:hAnsi="Arial" w:cs="Arial"/>
          <w:b/>
          <w:bCs/>
          <w:color w:val="000000" w:themeColor="text1"/>
          <w:sz w:val="24"/>
        </w:rPr>
        <w:t>Pokazatelj uspješnosti:</w:t>
      </w:r>
      <w:r w:rsidRPr="00852302">
        <w:rPr>
          <w:rFonts w:ascii="Arial" w:eastAsia="Times New Roman" w:hAnsi="Arial" w:cs="Arial"/>
          <w:color w:val="000000" w:themeColor="text1"/>
          <w:sz w:val="24"/>
        </w:rPr>
        <w:t xml:space="preserve"> izvedeni planirani i nužni radovi na objektima.</w:t>
      </w:r>
    </w:p>
    <w:p w14:paraId="23F3340D" w14:textId="77777777" w:rsidR="00E541EE" w:rsidRPr="00687991" w:rsidRDefault="00E541EE" w:rsidP="00E541EE">
      <w:pPr>
        <w:jc w:val="both"/>
        <w:rPr>
          <w:rFonts w:ascii="Arial" w:eastAsia="Times New Roman" w:hAnsi="Arial" w:cs="Arial"/>
          <w:color w:val="000000" w:themeColor="text1"/>
          <w:sz w:val="24"/>
        </w:rPr>
      </w:pPr>
    </w:p>
    <w:p w14:paraId="44209C09" w14:textId="77777777" w:rsidR="00E541EE" w:rsidRDefault="00E541EE" w:rsidP="00E541EE">
      <w:pPr>
        <w:pBdr>
          <w:top w:val="single" w:sz="4" w:space="1" w:color="auto"/>
          <w:left w:val="single" w:sz="4" w:space="4" w:color="auto"/>
          <w:bottom w:val="single" w:sz="4" w:space="1" w:color="auto"/>
          <w:right w:val="single" w:sz="4" w:space="4" w:color="auto"/>
        </w:pBdr>
        <w:shd w:val="clear" w:color="auto" w:fill="E9E9E9"/>
        <w:ind w:right="-1"/>
        <w:rPr>
          <w:rFonts w:ascii="Arial" w:eastAsia="Times New Roman" w:hAnsi="Arial" w:cs="Arial"/>
          <w:b/>
          <w:bCs/>
          <w:color w:val="000000" w:themeColor="text1"/>
          <w:sz w:val="24"/>
        </w:rPr>
      </w:pPr>
      <w:r w:rsidRPr="00687991">
        <w:rPr>
          <w:rFonts w:ascii="Arial" w:eastAsia="Times New Roman" w:hAnsi="Arial" w:cs="Arial"/>
          <w:b/>
          <w:color w:val="000000" w:themeColor="text1"/>
          <w:sz w:val="24"/>
          <w:lang w:val="sl-SI"/>
        </w:rPr>
        <w:t xml:space="preserve">A 101304: </w:t>
      </w:r>
      <w:r w:rsidRPr="00687991">
        <w:rPr>
          <w:rFonts w:ascii="Arial" w:eastAsia="Times New Roman" w:hAnsi="Arial" w:cs="Arial"/>
          <w:b/>
          <w:bCs/>
          <w:color w:val="000000" w:themeColor="text1"/>
          <w:sz w:val="24"/>
        </w:rPr>
        <w:t>Investicijsko održavanje poslovnih prostora u vlasništvu Grada</w:t>
      </w:r>
    </w:p>
    <w:p w14:paraId="320ED06C" w14:textId="77777777" w:rsidR="00E541EE" w:rsidRPr="00687991" w:rsidRDefault="00E541EE" w:rsidP="00E541EE">
      <w:pPr>
        <w:pBdr>
          <w:top w:val="single" w:sz="4" w:space="1" w:color="auto"/>
          <w:left w:val="single" w:sz="4" w:space="4" w:color="auto"/>
          <w:bottom w:val="single" w:sz="4" w:space="1" w:color="auto"/>
          <w:right w:val="single" w:sz="4" w:space="4" w:color="auto"/>
        </w:pBdr>
        <w:shd w:val="clear" w:color="auto" w:fill="E9E9E9"/>
        <w:ind w:right="-1"/>
        <w:rPr>
          <w:rFonts w:ascii="Arial" w:eastAsia="Times New Roman" w:hAnsi="Arial" w:cs="Arial"/>
          <w:b/>
          <w:color w:val="000000" w:themeColor="text1"/>
          <w:sz w:val="24"/>
          <w:lang w:val="sl-SI"/>
        </w:rPr>
      </w:pPr>
      <w:r w:rsidRPr="00687991">
        <w:rPr>
          <w:rFonts w:ascii="Arial" w:eastAsia="Times New Roman" w:hAnsi="Arial" w:cs="Arial"/>
          <w:b/>
          <w:bCs/>
          <w:color w:val="000000" w:themeColor="text1"/>
          <w:sz w:val="24"/>
        </w:rPr>
        <w:t xml:space="preserve"> </w:t>
      </w:r>
      <w:r w:rsidRPr="00687991">
        <w:rPr>
          <w:rFonts w:ascii="Arial" w:eastAsia="Times New Roman" w:hAnsi="Arial" w:cs="Arial"/>
          <w:b/>
          <w:color w:val="000000" w:themeColor="text1"/>
          <w:sz w:val="24"/>
          <w:lang w:val="sl-SI"/>
        </w:rPr>
        <w:t>= 62.500,00 EUR</w:t>
      </w:r>
    </w:p>
    <w:p w14:paraId="7D5EA030" w14:textId="77777777" w:rsidR="00E541EE" w:rsidRPr="00687991" w:rsidRDefault="00E541EE" w:rsidP="00E541EE">
      <w:pPr>
        <w:jc w:val="both"/>
        <w:rPr>
          <w:rFonts w:ascii="Arial" w:eastAsia="Times New Roman" w:hAnsi="Arial" w:cs="Arial"/>
          <w:color w:val="000000" w:themeColor="text1"/>
          <w:sz w:val="24"/>
        </w:rPr>
      </w:pPr>
      <w:r w:rsidRPr="00687991">
        <w:rPr>
          <w:rFonts w:ascii="Arial" w:eastAsia="Times New Roman" w:hAnsi="Arial" w:cs="Arial"/>
          <w:b/>
          <w:bCs/>
          <w:color w:val="000000" w:themeColor="text1"/>
          <w:sz w:val="24"/>
        </w:rPr>
        <w:t>Zakonska osnova:</w:t>
      </w:r>
      <w:r w:rsidRPr="00687991">
        <w:rPr>
          <w:rFonts w:ascii="Arial" w:eastAsia="Times New Roman" w:hAnsi="Arial" w:cs="Arial"/>
          <w:color w:val="000000" w:themeColor="text1"/>
          <w:sz w:val="24"/>
        </w:rPr>
        <w:t xml:space="preserve"> Zakon o lokalnoj i područnoj (regionalnoj) samoupravi, Zakon o prostornom uređenju, Zakon o gradnji, Zakon o vlasništvu i drugim stvarnim pravima.</w:t>
      </w:r>
    </w:p>
    <w:p w14:paraId="3234534A" w14:textId="77777777" w:rsidR="00E541EE" w:rsidRPr="00687991" w:rsidRDefault="00E541EE" w:rsidP="00E541EE">
      <w:pPr>
        <w:jc w:val="both"/>
        <w:rPr>
          <w:rFonts w:ascii="Arial" w:eastAsia="Times New Roman" w:hAnsi="Arial" w:cs="Arial"/>
          <w:color w:val="000000" w:themeColor="text1"/>
          <w:sz w:val="24"/>
        </w:rPr>
      </w:pPr>
      <w:r w:rsidRPr="00687991">
        <w:rPr>
          <w:rFonts w:ascii="Arial" w:eastAsia="Times New Roman" w:hAnsi="Arial" w:cs="Arial"/>
          <w:b/>
          <w:bCs/>
          <w:color w:val="000000" w:themeColor="text1"/>
          <w:sz w:val="24"/>
        </w:rPr>
        <w:t xml:space="preserve">Opis: </w:t>
      </w:r>
      <w:r w:rsidRPr="00687991">
        <w:rPr>
          <w:rFonts w:ascii="Arial" w:eastAsia="Times New Roman" w:hAnsi="Arial" w:cs="Arial"/>
          <w:bCs/>
          <w:color w:val="000000" w:themeColor="text1"/>
          <w:sz w:val="24"/>
        </w:rPr>
        <w:t>o</w:t>
      </w:r>
      <w:r w:rsidRPr="00687991">
        <w:rPr>
          <w:rFonts w:ascii="Arial" w:eastAsia="Times New Roman" w:hAnsi="Arial" w:cs="Arial"/>
          <w:color w:val="000000" w:themeColor="text1"/>
          <w:sz w:val="24"/>
        </w:rPr>
        <w:t xml:space="preserve">vim sredstvima financira se sanacija poslovnih prostora i zajedničkih dijelova objekata (krovišta, fasada, stepeništa i dr.) za potrebe funkcionalnog korištenja poslovnih prostora kao i očuvanja vijeka trajanja istih. </w:t>
      </w:r>
      <w:r>
        <w:rPr>
          <w:rFonts w:ascii="Arial" w:eastAsia="Times New Roman" w:hAnsi="Arial" w:cs="Arial"/>
          <w:color w:val="000000" w:themeColor="text1"/>
          <w:sz w:val="24"/>
        </w:rPr>
        <w:t>Nova rasvjetna armatura u zgradi Trg Matteotti 2.</w:t>
      </w:r>
    </w:p>
    <w:p w14:paraId="1C6C0F7B" w14:textId="77777777" w:rsidR="00E541EE" w:rsidRPr="00687991" w:rsidRDefault="00E541EE" w:rsidP="00E541EE">
      <w:pPr>
        <w:jc w:val="both"/>
        <w:rPr>
          <w:rFonts w:ascii="Arial" w:eastAsia="Times New Roman" w:hAnsi="Arial" w:cs="Arial"/>
          <w:color w:val="000000" w:themeColor="text1"/>
          <w:sz w:val="24"/>
        </w:rPr>
      </w:pPr>
      <w:r w:rsidRPr="00687991">
        <w:rPr>
          <w:rFonts w:ascii="Arial" w:eastAsia="Times New Roman" w:hAnsi="Arial" w:cs="Arial"/>
          <w:b/>
          <w:bCs/>
          <w:color w:val="000000" w:themeColor="text1"/>
          <w:sz w:val="24"/>
        </w:rPr>
        <w:t>Opći cilj:</w:t>
      </w:r>
      <w:r w:rsidRPr="00687991">
        <w:rPr>
          <w:rFonts w:ascii="Arial" w:eastAsia="Times New Roman" w:hAnsi="Arial" w:cs="Arial"/>
          <w:color w:val="000000" w:themeColor="text1"/>
          <w:sz w:val="24"/>
        </w:rPr>
        <w:t xml:space="preserve"> kroz ovu aktivnost predviđa se održavati poslovne prostore u vlasništvu Grada i zgrade u kojima se nalaze gradski poslovni prostori s ciljem osiguranja funkcionalne uporabljivosti istih. </w:t>
      </w:r>
    </w:p>
    <w:p w14:paraId="789AB41A" w14:textId="77777777" w:rsidR="00E541EE" w:rsidRPr="00687991" w:rsidRDefault="00E541EE" w:rsidP="00E541EE">
      <w:pPr>
        <w:jc w:val="both"/>
        <w:rPr>
          <w:rFonts w:ascii="Arial" w:eastAsia="Times New Roman" w:hAnsi="Arial" w:cs="Arial"/>
          <w:color w:val="000000" w:themeColor="text1"/>
          <w:sz w:val="24"/>
        </w:rPr>
      </w:pPr>
      <w:r w:rsidRPr="00687991">
        <w:rPr>
          <w:rFonts w:ascii="Arial" w:eastAsia="Times New Roman" w:hAnsi="Arial" w:cs="Arial"/>
          <w:b/>
          <w:bCs/>
          <w:color w:val="000000" w:themeColor="text1"/>
          <w:sz w:val="24"/>
        </w:rPr>
        <w:t xml:space="preserve">Pokazatelj uspješnosti: </w:t>
      </w:r>
      <w:r w:rsidRPr="00687991">
        <w:rPr>
          <w:rFonts w:ascii="Arial" w:eastAsia="Times New Roman" w:hAnsi="Arial" w:cs="Arial"/>
          <w:color w:val="000000" w:themeColor="text1"/>
          <w:sz w:val="24"/>
        </w:rPr>
        <w:t>izvedeni radovi na sanaciji gradskih prostora i zajedničkih dijelova zgrada.</w:t>
      </w:r>
    </w:p>
    <w:p w14:paraId="61FC4227" w14:textId="77777777" w:rsidR="00E541EE" w:rsidRPr="00687991" w:rsidRDefault="00E541EE" w:rsidP="00E541EE">
      <w:pPr>
        <w:jc w:val="both"/>
        <w:rPr>
          <w:rFonts w:ascii="Arial" w:eastAsia="Times New Roman" w:hAnsi="Arial" w:cs="Arial"/>
          <w:color w:val="000000" w:themeColor="text1"/>
          <w:sz w:val="24"/>
        </w:rPr>
      </w:pPr>
    </w:p>
    <w:p w14:paraId="2582C3FC" w14:textId="77777777" w:rsidR="00E541EE" w:rsidRPr="00687991" w:rsidRDefault="00E541EE" w:rsidP="00E541EE">
      <w:pPr>
        <w:pBdr>
          <w:top w:val="single" w:sz="4" w:space="1" w:color="auto"/>
          <w:left w:val="single" w:sz="4" w:space="4" w:color="auto"/>
          <w:bottom w:val="single" w:sz="4" w:space="1" w:color="auto"/>
          <w:right w:val="single" w:sz="4" w:space="4" w:color="auto"/>
        </w:pBdr>
        <w:shd w:val="clear" w:color="auto" w:fill="E9E9E9"/>
        <w:ind w:right="-1"/>
        <w:rPr>
          <w:rFonts w:ascii="Arial" w:eastAsia="Times New Roman" w:hAnsi="Arial" w:cs="Arial"/>
          <w:b/>
          <w:color w:val="000000" w:themeColor="text1"/>
          <w:sz w:val="24"/>
          <w:lang w:val="sl-SI"/>
        </w:rPr>
      </w:pPr>
      <w:r w:rsidRPr="00687991">
        <w:rPr>
          <w:rFonts w:ascii="Arial" w:eastAsia="Times New Roman" w:hAnsi="Arial" w:cs="Arial"/>
          <w:b/>
          <w:color w:val="000000" w:themeColor="text1"/>
          <w:sz w:val="24"/>
          <w:lang w:val="sl-SI"/>
        </w:rPr>
        <w:t xml:space="preserve">A 101305: </w:t>
      </w:r>
      <w:r w:rsidRPr="00687991">
        <w:rPr>
          <w:rFonts w:ascii="Arial" w:eastAsia="Times New Roman" w:hAnsi="Arial" w:cs="Arial"/>
          <w:b/>
          <w:bCs/>
          <w:color w:val="000000" w:themeColor="text1"/>
          <w:sz w:val="24"/>
        </w:rPr>
        <w:t xml:space="preserve">Investicijsko održavanje stanova u vlasništvu grada </w:t>
      </w:r>
      <w:r w:rsidRPr="00687991">
        <w:rPr>
          <w:rFonts w:ascii="Arial" w:eastAsia="Times New Roman" w:hAnsi="Arial" w:cs="Arial"/>
          <w:b/>
          <w:color w:val="000000" w:themeColor="text1"/>
          <w:sz w:val="24"/>
          <w:lang w:val="sl-SI"/>
        </w:rPr>
        <w:t>= 10.700,00 EUR</w:t>
      </w:r>
    </w:p>
    <w:p w14:paraId="24A57104" w14:textId="77777777" w:rsidR="00E541EE" w:rsidRPr="00687991" w:rsidRDefault="00E541EE" w:rsidP="00E541EE">
      <w:pPr>
        <w:jc w:val="both"/>
        <w:rPr>
          <w:rFonts w:ascii="Arial" w:eastAsia="Times New Roman" w:hAnsi="Arial" w:cs="Arial"/>
          <w:color w:val="000000" w:themeColor="text1"/>
          <w:sz w:val="24"/>
        </w:rPr>
      </w:pPr>
      <w:r w:rsidRPr="00687991">
        <w:rPr>
          <w:rFonts w:ascii="Arial" w:eastAsia="Times New Roman" w:hAnsi="Arial" w:cs="Arial"/>
          <w:b/>
          <w:bCs/>
          <w:color w:val="000000" w:themeColor="text1"/>
          <w:sz w:val="24"/>
        </w:rPr>
        <w:t>Zakonska osnova:</w:t>
      </w:r>
      <w:r w:rsidRPr="00687991">
        <w:rPr>
          <w:rFonts w:ascii="Arial" w:eastAsia="Times New Roman" w:hAnsi="Arial" w:cs="Arial"/>
          <w:color w:val="000000" w:themeColor="text1"/>
          <w:sz w:val="24"/>
        </w:rPr>
        <w:t xml:space="preserve"> Zakon o lokalnoj i područnoj (regionalnoj) samoupravi, Zakon o prostornom uređenju, Zakon o gradnji, Zakon o vlasništvu i drugim stvarnim pravima.</w:t>
      </w:r>
    </w:p>
    <w:p w14:paraId="79ED7174" w14:textId="77777777" w:rsidR="00E541EE" w:rsidRPr="00687991" w:rsidRDefault="00E541EE" w:rsidP="00E541EE">
      <w:pPr>
        <w:jc w:val="both"/>
        <w:rPr>
          <w:rFonts w:ascii="Arial" w:eastAsia="Times New Roman" w:hAnsi="Arial" w:cs="Arial"/>
          <w:color w:val="000000" w:themeColor="text1"/>
          <w:sz w:val="24"/>
        </w:rPr>
      </w:pPr>
      <w:r w:rsidRPr="00687991">
        <w:rPr>
          <w:rFonts w:ascii="Arial" w:eastAsia="Times New Roman" w:hAnsi="Arial" w:cs="Arial"/>
          <w:b/>
          <w:bCs/>
          <w:color w:val="000000" w:themeColor="text1"/>
          <w:sz w:val="24"/>
        </w:rPr>
        <w:t xml:space="preserve">Opis: </w:t>
      </w:r>
      <w:r w:rsidRPr="00687991">
        <w:rPr>
          <w:rFonts w:ascii="Arial" w:eastAsia="Times New Roman" w:hAnsi="Arial" w:cs="Arial"/>
          <w:bCs/>
          <w:color w:val="000000" w:themeColor="text1"/>
          <w:sz w:val="24"/>
        </w:rPr>
        <w:t>o</w:t>
      </w:r>
      <w:r w:rsidRPr="00687991">
        <w:rPr>
          <w:rFonts w:ascii="Arial" w:eastAsia="Times New Roman" w:hAnsi="Arial" w:cs="Arial"/>
          <w:color w:val="000000" w:themeColor="text1"/>
          <w:sz w:val="24"/>
        </w:rPr>
        <w:t>vim sredstvima financira se pristupiti sanaciji stambenih prostora i zajedničkih elemenata objekata te izvesti potrebne pripreme i radove investicijskog održavanja zgrade za potrebe funkcionalnog korištenja prostora kao i očuvanja vijeka trajanja istih.</w:t>
      </w:r>
    </w:p>
    <w:p w14:paraId="25266887" w14:textId="77777777" w:rsidR="00E541EE" w:rsidRPr="00687991" w:rsidRDefault="00E541EE" w:rsidP="00E541EE">
      <w:pPr>
        <w:jc w:val="both"/>
        <w:rPr>
          <w:rFonts w:ascii="Arial" w:eastAsia="Times New Roman" w:hAnsi="Arial" w:cs="Arial"/>
          <w:color w:val="000000" w:themeColor="text1"/>
          <w:sz w:val="24"/>
        </w:rPr>
      </w:pPr>
      <w:r w:rsidRPr="00687991">
        <w:rPr>
          <w:rFonts w:ascii="Arial" w:eastAsia="Times New Roman" w:hAnsi="Arial" w:cs="Arial"/>
          <w:b/>
          <w:bCs/>
          <w:color w:val="000000" w:themeColor="text1"/>
          <w:sz w:val="24"/>
        </w:rPr>
        <w:t>Opći cilj:</w:t>
      </w:r>
      <w:r w:rsidRPr="00687991">
        <w:rPr>
          <w:rFonts w:ascii="Arial" w:eastAsia="Times New Roman" w:hAnsi="Arial" w:cs="Arial"/>
          <w:color w:val="000000" w:themeColor="text1"/>
          <w:sz w:val="24"/>
        </w:rPr>
        <w:t xml:space="preserve"> kroz ovu aktivnost predviđa se održati funkcionalnim stambene prostore u vlasništvu grada i zajedničkih dijelova zgrada u kojima se nalaze gradski stanovi s ciljem kvalitetne uporabljivosti istih.</w:t>
      </w:r>
    </w:p>
    <w:p w14:paraId="4D84C069" w14:textId="77777777" w:rsidR="00E541EE" w:rsidRPr="00687991" w:rsidRDefault="00E541EE" w:rsidP="00E541EE">
      <w:pPr>
        <w:jc w:val="both"/>
        <w:rPr>
          <w:rFonts w:ascii="Arial" w:eastAsia="Times New Roman" w:hAnsi="Arial" w:cs="Arial"/>
          <w:color w:val="000000" w:themeColor="text1"/>
          <w:sz w:val="24"/>
        </w:rPr>
      </w:pPr>
      <w:r w:rsidRPr="00687991">
        <w:rPr>
          <w:rFonts w:ascii="Arial" w:eastAsia="Times New Roman" w:hAnsi="Arial" w:cs="Arial"/>
          <w:b/>
          <w:bCs/>
          <w:color w:val="000000" w:themeColor="text1"/>
          <w:sz w:val="24"/>
        </w:rPr>
        <w:t>Pokazatelj uspješnosti:</w:t>
      </w:r>
      <w:r w:rsidRPr="00687991">
        <w:rPr>
          <w:rFonts w:ascii="Arial" w:eastAsia="Times New Roman" w:hAnsi="Arial" w:cs="Arial"/>
          <w:color w:val="000000" w:themeColor="text1"/>
          <w:sz w:val="24"/>
        </w:rPr>
        <w:t xml:space="preserve"> izvedeni radovi na sanaciji gradskih prostora i zajedničkih dijelova zgrada.</w:t>
      </w:r>
    </w:p>
    <w:p w14:paraId="78D64CEA" w14:textId="77777777" w:rsidR="00E541EE" w:rsidRPr="00687991" w:rsidRDefault="00E541EE" w:rsidP="00E541EE">
      <w:pPr>
        <w:jc w:val="both"/>
        <w:rPr>
          <w:rFonts w:ascii="Arial" w:eastAsia="Times New Roman" w:hAnsi="Arial" w:cs="Arial"/>
          <w:color w:val="000000" w:themeColor="text1"/>
          <w:sz w:val="24"/>
        </w:rPr>
      </w:pPr>
    </w:p>
    <w:p w14:paraId="5051A5DE" w14:textId="77777777" w:rsidR="00E541EE" w:rsidRPr="00687991" w:rsidRDefault="00E541EE" w:rsidP="00E541EE">
      <w:pPr>
        <w:pBdr>
          <w:top w:val="single" w:sz="4" w:space="1" w:color="auto"/>
          <w:left w:val="single" w:sz="4" w:space="4" w:color="auto"/>
          <w:bottom w:val="single" w:sz="4" w:space="1" w:color="auto"/>
          <w:right w:val="single" w:sz="4" w:space="4" w:color="auto"/>
        </w:pBdr>
        <w:shd w:val="clear" w:color="auto" w:fill="E9E9E9"/>
        <w:ind w:right="-1"/>
        <w:rPr>
          <w:rFonts w:ascii="Arial" w:eastAsia="Times New Roman" w:hAnsi="Arial" w:cs="Arial"/>
          <w:b/>
          <w:color w:val="000000" w:themeColor="text1"/>
          <w:sz w:val="24"/>
          <w:lang w:val="sl-SI"/>
        </w:rPr>
      </w:pPr>
      <w:r w:rsidRPr="00687991">
        <w:rPr>
          <w:rFonts w:ascii="Arial" w:eastAsia="Times New Roman" w:hAnsi="Arial" w:cs="Arial"/>
          <w:b/>
          <w:color w:val="000000" w:themeColor="text1"/>
          <w:sz w:val="24"/>
          <w:lang w:val="sl-SI"/>
        </w:rPr>
        <w:t xml:space="preserve">A 101306: </w:t>
      </w:r>
      <w:r w:rsidRPr="00687991">
        <w:rPr>
          <w:rFonts w:ascii="Arial" w:eastAsia="Times New Roman" w:hAnsi="Arial" w:cs="Arial"/>
          <w:b/>
          <w:bCs/>
          <w:color w:val="000000" w:themeColor="text1"/>
          <w:sz w:val="24"/>
        </w:rPr>
        <w:t xml:space="preserve">Investicijsko održavanje objekata kulturne baštine </w:t>
      </w:r>
      <w:r w:rsidRPr="00687991">
        <w:rPr>
          <w:rFonts w:ascii="Arial" w:eastAsia="Times New Roman" w:hAnsi="Arial" w:cs="Arial"/>
          <w:b/>
          <w:color w:val="000000" w:themeColor="text1"/>
          <w:sz w:val="24"/>
          <w:lang w:val="sl-SI"/>
        </w:rPr>
        <w:t>= 73</w:t>
      </w:r>
      <w:r>
        <w:rPr>
          <w:rFonts w:ascii="Arial" w:eastAsia="Times New Roman" w:hAnsi="Arial" w:cs="Arial"/>
          <w:b/>
          <w:color w:val="000000" w:themeColor="text1"/>
          <w:sz w:val="24"/>
          <w:lang w:val="sl-SI"/>
        </w:rPr>
        <w:t>.</w:t>
      </w:r>
      <w:r w:rsidRPr="00687991">
        <w:rPr>
          <w:rFonts w:ascii="Arial" w:eastAsia="Times New Roman" w:hAnsi="Arial" w:cs="Arial"/>
          <w:b/>
          <w:color w:val="000000" w:themeColor="text1"/>
          <w:sz w:val="24"/>
          <w:lang w:val="sl-SI"/>
        </w:rPr>
        <w:t>425,00 EUR</w:t>
      </w:r>
    </w:p>
    <w:p w14:paraId="67550F09" w14:textId="77777777" w:rsidR="00E541EE" w:rsidRPr="00687991" w:rsidRDefault="00E541EE" w:rsidP="00E541EE">
      <w:pPr>
        <w:jc w:val="both"/>
        <w:rPr>
          <w:rFonts w:ascii="Arial" w:eastAsia="Times New Roman" w:hAnsi="Arial" w:cs="Arial"/>
          <w:color w:val="000000" w:themeColor="text1"/>
          <w:sz w:val="24"/>
        </w:rPr>
      </w:pPr>
      <w:r w:rsidRPr="00687991">
        <w:rPr>
          <w:rFonts w:ascii="Arial" w:eastAsia="Times New Roman" w:hAnsi="Arial" w:cs="Arial"/>
          <w:b/>
          <w:bCs/>
          <w:color w:val="000000" w:themeColor="text1"/>
          <w:sz w:val="24"/>
        </w:rPr>
        <w:t>Zakonska osnova:</w:t>
      </w:r>
      <w:r w:rsidRPr="00687991">
        <w:rPr>
          <w:rFonts w:ascii="Arial" w:eastAsia="Times New Roman" w:hAnsi="Arial" w:cs="Arial"/>
          <w:color w:val="000000" w:themeColor="text1"/>
          <w:sz w:val="24"/>
        </w:rPr>
        <w:t xml:space="preserve"> Zakon o lokalnoj i područnoj (regionalnoj) samoupravi, Zakon o prostornom uređenju, Zakon o gradnji, Zakon o zaštiti i očuvanju kulturnih dobara.</w:t>
      </w:r>
    </w:p>
    <w:p w14:paraId="452EC0DC" w14:textId="77777777" w:rsidR="00E541EE" w:rsidRPr="00687991" w:rsidRDefault="00E541EE" w:rsidP="00E541EE">
      <w:pPr>
        <w:jc w:val="both"/>
        <w:rPr>
          <w:rFonts w:ascii="Arial" w:eastAsia="Times New Roman" w:hAnsi="Arial" w:cs="Arial"/>
          <w:color w:val="000000" w:themeColor="text1"/>
          <w:sz w:val="24"/>
        </w:rPr>
      </w:pPr>
      <w:r w:rsidRPr="00687991">
        <w:rPr>
          <w:rFonts w:ascii="Arial" w:eastAsia="Times New Roman" w:hAnsi="Arial" w:cs="Arial"/>
          <w:b/>
          <w:bCs/>
          <w:color w:val="000000" w:themeColor="text1"/>
          <w:sz w:val="24"/>
        </w:rPr>
        <w:t xml:space="preserve">Opis: </w:t>
      </w:r>
      <w:r w:rsidRPr="00687991">
        <w:rPr>
          <w:rFonts w:ascii="Arial" w:eastAsia="Times New Roman" w:hAnsi="Arial" w:cs="Arial"/>
          <w:bCs/>
          <w:color w:val="000000" w:themeColor="text1"/>
          <w:sz w:val="24"/>
        </w:rPr>
        <w:t>o</w:t>
      </w:r>
      <w:r w:rsidRPr="00687991">
        <w:rPr>
          <w:rFonts w:ascii="Arial" w:eastAsia="Times New Roman" w:hAnsi="Arial" w:cs="Arial"/>
          <w:color w:val="000000" w:themeColor="text1"/>
          <w:sz w:val="24"/>
        </w:rPr>
        <w:t>vim sredstvima financira se izrada elaborata i studija, projektne dokumentacije te izvođenje radova na objektima kulturne baštine na području Grada Rovinja-Rovigno.</w:t>
      </w:r>
      <w:r>
        <w:rPr>
          <w:rFonts w:ascii="Arial" w:eastAsia="Times New Roman" w:hAnsi="Arial" w:cs="Arial"/>
          <w:color w:val="000000" w:themeColor="text1"/>
          <w:sz w:val="24"/>
        </w:rPr>
        <w:t xml:space="preserve"> P</w:t>
      </w:r>
      <w:r w:rsidRPr="00687991">
        <w:rPr>
          <w:rFonts w:ascii="Arial" w:eastAsia="Times New Roman" w:hAnsi="Arial" w:cs="Arial"/>
          <w:color w:val="000000" w:themeColor="text1"/>
          <w:sz w:val="24"/>
        </w:rPr>
        <w:t>riprem</w:t>
      </w:r>
      <w:r>
        <w:rPr>
          <w:rFonts w:ascii="Arial" w:eastAsia="Times New Roman" w:hAnsi="Arial" w:cs="Arial"/>
          <w:color w:val="000000" w:themeColor="text1"/>
          <w:sz w:val="24"/>
        </w:rPr>
        <w:t xml:space="preserve">a i građevinski </w:t>
      </w:r>
      <w:r w:rsidRPr="00687991">
        <w:rPr>
          <w:rFonts w:ascii="Arial" w:eastAsia="Times New Roman" w:hAnsi="Arial" w:cs="Arial"/>
          <w:color w:val="000000" w:themeColor="text1"/>
          <w:sz w:val="24"/>
        </w:rPr>
        <w:t>radov</w:t>
      </w:r>
      <w:r>
        <w:rPr>
          <w:rFonts w:ascii="Arial" w:eastAsia="Times New Roman" w:hAnsi="Arial" w:cs="Arial"/>
          <w:color w:val="000000" w:themeColor="text1"/>
          <w:sz w:val="24"/>
        </w:rPr>
        <w:t>i</w:t>
      </w:r>
      <w:r w:rsidRPr="00687991">
        <w:rPr>
          <w:rFonts w:ascii="Arial" w:eastAsia="Times New Roman" w:hAnsi="Arial" w:cs="Arial"/>
          <w:color w:val="000000" w:themeColor="text1"/>
          <w:sz w:val="24"/>
        </w:rPr>
        <w:t xml:space="preserve"> investicijskog </w:t>
      </w:r>
      <w:r>
        <w:rPr>
          <w:rFonts w:ascii="Arial" w:eastAsia="Times New Roman" w:hAnsi="Arial" w:cs="Arial"/>
          <w:color w:val="000000" w:themeColor="text1"/>
          <w:sz w:val="24"/>
        </w:rPr>
        <w:t>održavanja</w:t>
      </w:r>
      <w:r w:rsidRPr="00687991">
        <w:rPr>
          <w:rFonts w:ascii="Arial" w:eastAsia="Times New Roman" w:hAnsi="Arial" w:cs="Arial"/>
          <w:color w:val="000000" w:themeColor="text1"/>
          <w:sz w:val="24"/>
        </w:rPr>
        <w:t xml:space="preserve"> za potrebe funkcionalnog korištenja prostora kao i očuvanja vijeka trajanja, a naročito crkava na području Grada Rovinja-Rovigno. </w:t>
      </w:r>
      <w:r>
        <w:rPr>
          <w:rFonts w:ascii="Arial" w:eastAsia="Times New Roman" w:hAnsi="Arial" w:cs="Arial"/>
          <w:color w:val="000000" w:themeColor="text1"/>
          <w:sz w:val="24"/>
        </w:rPr>
        <w:t>Uz sufinanciranje Ministarstva kulture i medija izvoditi će se radovi na crkvi sv. Pelagija starog na k.č.br. 10449/2 k.o. Rovinj, kao nastavak započetih radova u 2025. godini. Ishođena je suglasnost konzervatorskog odjela.</w:t>
      </w:r>
    </w:p>
    <w:p w14:paraId="2DA983AD" w14:textId="77777777" w:rsidR="00E541EE" w:rsidRPr="00687991" w:rsidRDefault="00E541EE" w:rsidP="00E541EE">
      <w:pPr>
        <w:jc w:val="both"/>
        <w:rPr>
          <w:rFonts w:ascii="Arial" w:eastAsia="Times New Roman" w:hAnsi="Arial" w:cs="Arial"/>
          <w:color w:val="000000" w:themeColor="text1"/>
          <w:sz w:val="24"/>
        </w:rPr>
      </w:pPr>
      <w:r w:rsidRPr="00687991">
        <w:rPr>
          <w:rFonts w:ascii="Arial" w:eastAsia="Times New Roman" w:hAnsi="Arial" w:cs="Arial"/>
          <w:b/>
          <w:bCs/>
          <w:color w:val="000000" w:themeColor="text1"/>
          <w:sz w:val="24"/>
        </w:rPr>
        <w:t>Opći cilj:</w:t>
      </w:r>
      <w:r w:rsidRPr="00687991">
        <w:rPr>
          <w:rFonts w:ascii="Arial" w:eastAsia="Times New Roman" w:hAnsi="Arial" w:cs="Arial"/>
          <w:color w:val="000000" w:themeColor="text1"/>
          <w:sz w:val="24"/>
        </w:rPr>
        <w:t xml:space="preserve"> kroz ovu aktivnost predviđa se izvođenje radova na sanaciji na objektima kulturne baštine. </w:t>
      </w:r>
    </w:p>
    <w:p w14:paraId="5B2D4FD3" w14:textId="77777777" w:rsidR="00E541EE" w:rsidRPr="00687991" w:rsidRDefault="00E541EE" w:rsidP="00E541EE">
      <w:pPr>
        <w:jc w:val="both"/>
        <w:rPr>
          <w:rFonts w:ascii="Arial" w:eastAsia="Times New Roman" w:hAnsi="Arial" w:cs="Arial"/>
          <w:color w:val="000000" w:themeColor="text1"/>
          <w:sz w:val="24"/>
        </w:rPr>
      </w:pPr>
      <w:r w:rsidRPr="00687991">
        <w:rPr>
          <w:rFonts w:ascii="Arial" w:eastAsia="Times New Roman" w:hAnsi="Arial" w:cs="Arial"/>
          <w:b/>
          <w:bCs/>
          <w:color w:val="000000" w:themeColor="text1"/>
          <w:sz w:val="24"/>
        </w:rPr>
        <w:t>Pokazatelj uspješnosti:</w:t>
      </w:r>
      <w:r w:rsidRPr="00687991">
        <w:rPr>
          <w:rFonts w:ascii="Arial" w:eastAsia="Times New Roman" w:hAnsi="Arial" w:cs="Arial"/>
          <w:color w:val="000000" w:themeColor="text1"/>
          <w:sz w:val="24"/>
        </w:rPr>
        <w:t xml:space="preserve"> izrađena potrebna dokumentacija i sanacija objekta.  </w:t>
      </w:r>
    </w:p>
    <w:p w14:paraId="745C3288" w14:textId="77777777" w:rsidR="00E541EE" w:rsidRPr="00B7107E" w:rsidRDefault="00E541EE" w:rsidP="00E541EE">
      <w:pPr>
        <w:jc w:val="both"/>
        <w:rPr>
          <w:rFonts w:ascii="Arial" w:eastAsia="Times New Roman" w:hAnsi="Arial" w:cs="Arial"/>
          <w:color w:val="2F5496" w:themeColor="accent1" w:themeShade="BF"/>
          <w:sz w:val="24"/>
        </w:rPr>
      </w:pPr>
    </w:p>
    <w:p w14:paraId="100B864B" w14:textId="77777777" w:rsidR="00E541EE" w:rsidRPr="00687991" w:rsidRDefault="00E541EE" w:rsidP="00E541EE">
      <w:pPr>
        <w:pBdr>
          <w:top w:val="single" w:sz="4" w:space="1" w:color="auto"/>
          <w:left w:val="single" w:sz="4" w:space="4" w:color="auto"/>
          <w:bottom w:val="single" w:sz="4" w:space="1" w:color="auto"/>
          <w:right w:val="single" w:sz="4" w:space="4" w:color="auto"/>
        </w:pBdr>
        <w:shd w:val="clear" w:color="auto" w:fill="E9E9E9"/>
        <w:ind w:right="-1"/>
        <w:rPr>
          <w:rFonts w:ascii="Arial" w:eastAsia="Times New Roman" w:hAnsi="Arial" w:cs="Arial"/>
          <w:color w:val="000000" w:themeColor="text1"/>
          <w:sz w:val="24"/>
        </w:rPr>
      </w:pPr>
      <w:r w:rsidRPr="00687991">
        <w:rPr>
          <w:rFonts w:ascii="Arial" w:eastAsia="Times New Roman" w:hAnsi="Arial" w:cs="Arial"/>
          <w:b/>
          <w:color w:val="000000" w:themeColor="text1"/>
          <w:sz w:val="24"/>
          <w:lang w:val="sl-SI"/>
        </w:rPr>
        <w:t xml:space="preserve">A 101307: </w:t>
      </w:r>
      <w:r w:rsidRPr="00687991">
        <w:rPr>
          <w:rFonts w:ascii="Arial" w:eastAsia="Times New Roman" w:hAnsi="Arial" w:cs="Arial"/>
          <w:b/>
          <w:bCs/>
          <w:color w:val="000000" w:themeColor="text1"/>
          <w:sz w:val="24"/>
        </w:rPr>
        <w:t xml:space="preserve">Uređenje gradskih fasada </w:t>
      </w:r>
      <w:r w:rsidRPr="00687991">
        <w:rPr>
          <w:rFonts w:ascii="Arial" w:eastAsia="Times New Roman" w:hAnsi="Arial" w:cs="Arial"/>
          <w:b/>
          <w:color w:val="000000" w:themeColor="text1"/>
          <w:sz w:val="24"/>
          <w:lang w:val="sl-SI"/>
        </w:rPr>
        <w:t>= 22.500,00 EUR</w:t>
      </w:r>
    </w:p>
    <w:p w14:paraId="252B9A87" w14:textId="77777777" w:rsidR="00E541EE" w:rsidRPr="00687991" w:rsidRDefault="00E541EE" w:rsidP="00E541EE">
      <w:pPr>
        <w:jc w:val="both"/>
        <w:rPr>
          <w:rFonts w:ascii="Arial" w:eastAsia="Times New Roman" w:hAnsi="Arial" w:cs="Arial"/>
          <w:color w:val="000000" w:themeColor="text1"/>
          <w:sz w:val="24"/>
        </w:rPr>
      </w:pPr>
      <w:r w:rsidRPr="00687991">
        <w:rPr>
          <w:rFonts w:ascii="Arial" w:eastAsia="Times New Roman" w:hAnsi="Arial" w:cs="Arial"/>
          <w:b/>
          <w:bCs/>
          <w:color w:val="000000" w:themeColor="text1"/>
          <w:sz w:val="24"/>
        </w:rPr>
        <w:t>Zakonska osnova:</w:t>
      </w:r>
      <w:r w:rsidRPr="00687991">
        <w:rPr>
          <w:rFonts w:ascii="Arial" w:eastAsia="Times New Roman" w:hAnsi="Arial" w:cs="Arial"/>
          <w:color w:val="000000" w:themeColor="text1"/>
          <w:sz w:val="24"/>
        </w:rPr>
        <w:t xml:space="preserve"> Zakon o lokalnoj i područnoj (regionalnoj) samoupravi, Zakon o prostornom uređenju, Zakon o gradnji, Zakon o vlasništvu i drugim stvarnim pravima, Zakon o zaštiti i očuvanju kulturnih dobara.</w:t>
      </w:r>
    </w:p>
    <w:p w14:paraId="14D3F820" w14:textId="77777777" w:rsidR="00E541EE" w:rsidRPr="00687991" w:rsidRDefault="00E541EE" w:rsidP="00E541EE">
      <w:pPr>
        <w:jc w:val="both"/>
        <w:rPr>
          <w:rFonts w:ascii="Arial" w:eastAsia="Times New Roman" w:hAnsi="Arial" w:cs="Arial"/>
          <w:color w:val="000000" w:themeColor="text1"/>
          <w:sz w:val="24"/>
        </w:rPr>
      </w:pPr>
      <w:r w:rsidRPr="00687991">
        <w:rPr>
          <w:rFonts w:ascii="Arial" w:eastAsia="Times New Roman" w:hAnsi="Arial" w:cs="Arial"/>
          <w:b/>
          <w:bCs/>
          <w:color w:val="000000" w:themeColor="text1"/>
          <w:sz w:val="24"/>
        </w:rPr>
        <w:t xml:space="preserve">Opis: </w:t>
      </w:r>
      <w:r w:rsidRPr="00687991">
        <w:rPr>
          <w:rFonts w:ascii="Arial" w:eastAsia="Times New Roman" w:hAnsi="Arial" w:cs="Arial"/>
          <w:bCs/>
          <w:color w:val="000000" w:themeColor="text1"/>
          <w:sz w:val="24"/>
        </w:rPr>
        <w:t>o</w:t>
      </w:r>
      <w:r w:rsidRPr="00687991">
        <w:rPr>
          <w:rFonts w:ascii="Arial" w:eastAsia="Times New Roman" w:hAnsi="Arial" w:cs="Arial"/>
          <w:color w:val="000000" w:themeColor="text1"/>
          <w:sz w:val="24"/>
        </w:rPr>
        <w:t xml:space="preserve">vim sredstvima financira se sanacija gradskih fasada sukladno uvjetima nadležnog konzervatorskog odjela i potrebi same zgrade radi funkcionalnog i estetskog identiteta urbanog prostora. </w:t>
      </w:r>
      <w:r>
        <w:rPr>
          <w:rFonts w:ascii="Arial" w:eastAsia="Times New Roman" w:hAnsi="Arial" w:cs="Arial"/>
          <w:color w:val="000000" w:themeColor="text1"/>
          <w:sz w:val="24"/>
        </w:rPr>
        <w:t>Projekt se nastavlja sukladno dobro prihvaćenoj praksi prethodnih godina.</w:t>
      </w:r>
    </w:p>
    <w:p w14:paraId="22E29741" w14:textId="77777777" w:rsidR="00E541EE" w:rsidRPr="00687991" w:rsidRDefault="00E541EE" w:rsidP="00E541EE">
      <w:pPr>
        <w:jc w:val="both"/>
        <w:rPr>
          <w:rFonts w:ascii="Arial" w:eastAsia="Times New Roman" w:hAnsi="Arial" w:cs="Arial"/>
          <w:color w:val="000000" w:themeColor="text1"/>
          <w:sz w:val="24"/>
        </w:rPr>
      </w:pPr>
      <w:r w:rsidRPr="00687991">
        <w:rPr>
          <w:rFonts w:ascii="Arial" w:eastAsia="Times New Roman" w:hAnsi="Arial" w:cs="Arial"/>
          <w:b/>
          <w:bCs/>
          <w:color w:val="000000" w:themeColor="text1"/>
          <w:sz w:val="24"/>
        </w:rPr>
        <w:t>Opći cilj:</w:t>
      </w:r>
      <w:r w:rsidRPr="00687991">
        <w:rPr>
          <w:rFonts w:ascii="Arial" w:eastAsia="Times New Roman" w:hAnsi="Arial" w:cs="Arial"/>
          <w:color w:val="000000" w:themeColor="text1"/>
          <w:sz w:val="24"/>
        </w:rPr>
        <w:t xml:space="preserve"> kroz ovu aktivnost predviđa se nastavak uređenja gradskih fasada, odnosno urediti gradske fasade u cilju podizanja gradskog identiteta uređenosti povijesne jezgre, ali i s ciljem uporabljivosti gradskih zgrada.</w:t>
      </w:r>
    </w:p>
    <w:p w14:paraId="69D151DB" w14:textId="77777777" w:rsidR="00E541EE" w:rsidRPr="00687991" w:rsidRDefault="00E541EE" w:rsidP="00E541EE">
      <w:pPr>
        <w:jc w:val="both"/>
        <w:rPr>
          <w:rFonts w:ascii="Arial" w:eastAsia="Times New Roman" w:hAnsi="Arial" w:cs="Arial"/>
          <w:color w:val="000000" w:themeColor="text1"/>
          <w:sz w:val="24"/>
        </w:rPr>
      </w:pPr>
      <w:r w:rsidRPr="00687991">
        <w:rPr>
          <w:rFonts w:ascii="Arial" w:eastAsia="Times New Roman" w:hAnsi="Arial" w:cs="Arial"/>
          <w:b/>
          <w:bCs/>
          <w:color w:val="000000" w:themeColor="text1"/>
          <w:sz w:val="24"/>
        </w:rPr>
        <w:t>Pokazatelj uspješnosti:</w:t>
      </w:r>
      <w:r w:rsidRPr="00687991">
        <w:rPr>
          <w:rFonts w:ascii="Arial" w:eastAsia="Times New Roman" w:hAnsi="Arial" w:cs="Arial"/>
          <w:color w:val="000000" w:themeColor="text1"/>
          <w:sz w:val="24"/>
        </w:rPr>
        <w:t xml:space="preserve"> izvedeni radovi na sanaciji gradskih fasada.</w:t>
      </w:r>
    </w:p>
    <w:p w14:paraId="1E3E3612" w14:textId="77777777" w:rsidR="00E541EE" w:rsidRPr="001F507B" w:rsidRDefault="00E541EE" w:rsidP="00E541EE">
      <w:pPr>
        <w:jc w:val="both"/>
        <w:rPr>
          <w:rFonts w:ascii="Arial" w:eastAsia="Times New Roman" w:hAnsi="Arial" w:cs="Arial"/>
          <w:color w:val="000000" w:themeColor="text1"/>
          <w:sz w:val="24"/>
        </w:rPr>
      </w:pPr>
    </w:p>
    <w:p w14:paraId="53AD1F83" w14:textId="77777777" w:rsidR="00E541EE" w:rsidRPr="001F507B" w:rsidRDefault="00E541EE" w:rsidP="00E541EE">
      <w:pPr>
        <w:pBdr>
          <w:top w:val="single" w:sz="4" w:space="1" w:color="auto"/>
          <w:left w:val="single" w:sz="4" w:space="4" w:color="auto"/>
          <w:bottom w:val="single" w:sz="4" w:space="1" w:color="auto"/>
          <w:right w:val="single" w:sz="4" w:space="4" w:color="auto"/>
        </w:pBdr>
        <w:shd w:val="clear" w:color="auto" w:fill="E9E9E9"/>
        <w:ind w:right="-1"/>
        <w:rPr>
          <w:rFonts w:ascii="Arial" w:eastAsia="Times New Roman" w:hAnsi="Arial" w:cs="Arial"/>
          <w:b/>
          <w:color w:val="000000" w:themeColor="text1"/>
          <w:sz w:val="24"/>
          <w:lang w:val="sl-SI"/>
        </w:rPr>
      </w:pPr>
      <w:r w:rsidRPr="001F507B">
        <w:rPr>
          <w:rFonts w:ascii="Arial" w:eastAsia="Times New Roman" w:hAnsi="Arial" w:cs="Arial"/>
          <w:b/>
          <w:color w:val="000000" w:themeColor="text1"/>
          <w:sz w:val="24"/>
          <w:lang w:val="sl-SI"/>
        </w:rPr>
        <w:t xml:space="preserve">T 101306: </w:t>
      </w:r>
      <w:r w:rsidRPr="001F507B">
        <w:rPr>
          <w:rFonts w:ascii="Arial" w:eastAsia="Times New Roman" w:hAnsi="Arial" w:cs="Arial"/>
          <w:b/>
          <w:bCs/>
          <w:color w:val="000000" w:themeColor="text1"/>
          <w:sz w:val="24"/>
        </w:rPr>
        <w:t xml:space="preserve">Biciklistička traka naselje Monfiorenzo-Gripole </w:t>
      </w:r>
      <w:r w:rsidRPr="001F507B">
        <w:rPr>
          <w:rFonts w:ascii="Arial" w:eastAsia="Times New Roman" w:hAnsi="Arial" w:cs="Arial"/>
          <w:b/>
          <w:color w:val="000000" w:themeColor="text1"/>
          <w:sz w:val="24"/>
          <w:lang w:val="sl-SI"/>
        </w:rPr>
        <w:t>= 169.000,00 EUR</w:t>
      </w:r>
    </w:p>
    <w:p w14:paraId="339ECFAA" w14:textId="77777777" w:rsidR="00E541EE" w:rsidRPr="001F507B" w:rsidRDefault="00E541EE" w:rsidP="00E541EE">
      <w:pPr>
        <w:jc w:val="both"/>
        <w:rPr>
          <w:rFonts w:ascii="Arial" w:eastAsia="Times New Roman" w:hAnsi="Arial" w:cs="Arial"/>
          <w:color w:val="000000" w:themeColor="text1"/>
          <w:sz w:val="24"/>
        </w:rPr>
      </w:pPr>
      <w:r w:rsidRPr="001F507B">
        <w:rPr>
          <w:rFonts w:ascii="Arial" w:eastAsia="Times New Roman" w:hAnsi="Arial" w:cs="Arial"/>
          <w:b/>
          <w:bCs/>
          <w:color w:val="000000" w:themeColor="text1"/>
          <w:sz w:val="24"/>
        </w:rPr>
        <w:t>Zakonska osnova:</w:t>
      </w:r>
      <w:r w:rsidRPr="001F507B">
        <w:rPr>
          <w:rFonts w:ascii="Arial" w:eastAsia="Times New Roman" w:hAnsi="Arial" w:cs="Arial"/>
          <w:color w:val="000000" w:themeColor="text1"/>
          <w:sz w:val="24"/>
        </w:rPr>
        <w:t xml:space="preserve"> Zakon o lokalnoj i područnoj (regionalnoj) samoupravi, Zakon o prostornom uređenju, Zakon o gradnji, Zakon o cestama, Pravilnik o biciklističkoj infrastrukturi.</w:t>
      </w:r>
    </w:p>
    <w:p w14:paraId="6E9175E3" w14:textId="77777777" w:rsidR="00E541EE" w:rsidRPr="001F507B" w:rsidRDefault="00E541EE" w:rsidP="00E541EE">
      <w:pPr>
        <w:jc w:val="both"/>
        <w:rPr>
          <w:rFonts w:ascii="Arial" w:eastAsia="Times New Roman" w:hAnsi="Arial" w:cs="Arial"/>
          <w:color w:val="000000" w:themeColor="text1"/>
          <w:sz w:val="24"/>
        </w:rPr>
      </w:pPr>
      <w:r w:rsidRPr="001F507B">
        <w:rPr>
          <w:rFonts w:ascii="Arial" w:eastAsia="Times New Roman" w:hAnsi="Arial" w:cs="Arial"/>
          <w:b/>
          <w:bCs/>
          <w:color w:val="000000" w:themeColor="text1"/>
          <w:sz w:val="24"/>
        </w:rPr>
        <w:t xml:space="preserve">Opis: </w:t>
      </w:r>
      <w:r w:rsidRPr="001F507B">
        <w:rPr>
          <w:rFonts w:ascii="Arial" w:eastAsia="Times New Roman" w:hAnsi="Arial" w:cs="Arial"/>
          <w:color w:val="000000" w:themeColor="text1"/>
          <w:sz w:val="24"/>
        </w:rPr>
        <w:t>ovim sredstvima financira se nastavak radova na izgradnji prigradskih biciklističkih traka, a posebno na kompletiranju</w:t>
      </w:r>
      <w:r>
        <w:rPr>
          <w:rFonts w:ascii="Arial" w:eastAsia="Times New Roman" w:hAnsi="Arial" w:cs="Arial"/>
          <w:color w:val="000000" w:themeColor="text1"/>
          <w:sz w:val="24"/>
        </w:rPr>
        <w:t xml:space="preserve"> </w:t>
      </w:r>
      <w:r w:rsidRPr="001F507B">
        <w:rPr>
          <w:rFonts w:ascii="Arial" w:eastAsia="Times New Roman" w:hAnsi="Arial" w:cs="Arial"/>
          <w:color w:val="000000" w:themeColor="text1"/>
          <w:sz w:val="24"/>
        </w:rPr>
        <w:t>infrastrukture javne rasvjete za sigurnije prometovanje biciklista uz postojeću biciklističku traku sukladno izvedenoj projektnoj dokumentaciji</w:t>
      </w:r>
      <w:r>
        <w:rPr>
          <w:rFonts w:ascii="Arial" w:eastAsia="Times New Roman" w:hAnsi="Arial" w:cs="Arial"/>
          <w:color w:val="000000" w:themeColor="text1"/>
          <w:sz w:val="24"/>
        </w:rPr>
        <w:t xml:space="preserve">. U 2026. godini izgraditi će se javna rasvjeta </w:t>
      </w:r>
      <w:r w:rsidRPr="00E722A6">
        <w:rPr>
          <w:rFonts w:ascii="Arial" w:eastAsia="Times New Roman" w:hAnsi="Arial" w:cs="Arial"/>
          <w:color w:val="000000" w:themeColor="text1"/>
          <w:sz w:val="24"/>
        </w:rPr>
        <w:t>na cca 650 metara</w:t>
      </w:r>
      <w:r>
        <w:rPr>
          <w:rFonts w:ascii="Arial" w:eastAsia="Times New Roman" w:hAnsi="Arial" w:cs="Arial"/>
          <w:color w:val="000000" w:themeColor="text1"/>
          <w:sz w:val="24"/>
        </w:rPr>
        <w:t xml:space="preserve"> biciklističke trake koja je izgrađena u 2025. godini.</w:t>
      </w:r>
    </w:p>
    <w:p w14:paraId="5D646A18" w14:textId="77777777" w:rsidR="00E541EE" w:rsidRPr="001F507B" w:rsidRDefault="00E541EE" w:rsidP="00E541EE">
      <w:pPr>
        <w:jc w:val="both"/>
        <w:rPr>
          <w:rFonts w:ascii="Arial" w:eastAsia="Times New Roman" w:hAnsi="Arial" w:cs="Arial"/>
          <w:color w:val="000000" w:themeColor="text1"/>
          <w:sz w:val="24"/>
        </w:rPr>
      </w:pPr>
      <w:r w:rsidRPr="001F507B">
        <w:rPr>
          <w:rFonts w:ascii="Arial" w:eastAsia="Times New Roman" w:hAnsi="Arial" w:cs="Arial"/>
          <w:b/>
          <w:bCs/>
          <w:color w:val="000000" w:themeColor="text1"/>
          <w:sz w:val="24"/>
        </w:rPr>
        <w:t>Opći cilj:</w:t>
      </w:r>
      <w:r w:rsidRPr="001F507B">
        <w:rPr>
          <w:rFonts w:ascii="Arial" w:eastAsia="Times New Roman" w:hAnsi="Arial" w:cs="Arial"/>
          <w:color w:val="000000" w:themeColor="text1"/>
          <w:sz w:val="24"/>
        </w:rPr>
        <w:t xml:space="preserve"> kroz ovu aktivnost predviđa se nastavak aktivnosti uređenja prve dionice biciklističke trake županijske ceste ŽC 5096 (Štanga-Turnina) s ciljem poboljšanja uvjeta i sigurnosti prometa te proširiti turističku ponudu Grada uređenjem biciklističkih traka. </w:t>
      </w:r>
    </w:p>
    <w:p w14:paraId="7046F275" w14:textId="77777777" w:rsidR="00E541EE" w:rsidRDefault="00E541EE" w:rsidP="00E541EE">
      <w:pPr>
        <w:jc w:val="both"/>
        <w:rPr>
          <w:rFonts w:ascii="Arial" w:eastAsia="Times New Roman" w:hAnsi="Arial" w:cs="Arial"/>
          <w:color w:val="000000" w:themeColor="text1"/>
          <w:sz w:val="24"/>
        </w:rPr>
      </w:pPr>
      <w:r w:rsidRPr="001F507B">
        <w:rPr>
          <w:rFonts w:ascii="Arial" w:eastAsia="Times New Roman" w:hAnsi="Arial" w:cs="Arial"/>
          <w:b/>
          <w:bCs/>
          <w:color w:val="000000" w:themeColor="text1"/>
          <w:sz w:val="24"/>
        </w:rPr>
        <w:t>Pokazatelj uspješnosti:</w:t>
      </w:r>
      <w:r w:rsidRPr="001F507B">
        <w:rPr>
          <w:rFonts w:ascii="Arial" w:eastAsia="Times New Roman" w:hAnsi="Arial" w:cs="Arial"/>
          <w:color w:val="000000" w:themeColor="text1"/>
          <w:sz w:val="24"/>
        </w:rPr>
        <w:t xml:space="preserve"> izvedeni radovi biciklističkih traka i pripadajuće javne rasvjete.</w:t>
      </w:r>
    </w:p>
    <w:p w14:paraId="6CD0673D" w14:textId="77777777" w:rsidR="00E541EE" w:rsidRDefault="00E541EE" w:rsidP="00E541EE">
      <w:pPr>
        <w:jc w:val="both"/>
        <w:rPr>
          <w:rFonts w:ascii="Arial" w:eastAsia="Times New Roman" w:hAnsi="Arial" w:cs="Arial"/>
          <w:sz w:val="24"/>
        </w:rPr>
      </w:pPr>
    </w:p>
    <w:p w14:paraId="12158F5E" w14:textId="77777777" w:rsidR="00E541EE" w:rsidRDefault="00E541EE" w:rsidP="00E541EE">
      <w:pPr>
        <w:pBdr>
          <w:top w:val="single" w:sz="4" w:space="1" w:color="auto"/>
          <w:left w:val="single" w:sz="4" w:space="4" w:color="auto"/>
          <w:bottom w:val="single" w:sz="4" w:space="0" w:color="auto"/>
          <w:right w:val="single" w:sz="4" w:space="4" w:color="auto"/>
        </w:pBdr>
        <w:shd w:val="clear" w:color="auto" w:fill="FFFF80"/>
        <w:jc w:val="both"/>
        <w:rPr>
          <w:rFonts w:ascii="Arial" w:eastAsia="Times New Roman" w:hAnsi="Arial" w:cs="Arial"/>
          <w:b/>
          <w:sz w:val="24"/>
          <w:lang w:val="sl-SI"/>
        </w:rPr>
      </w:pPr>
      <w:r>
        <w:rPr>
          <w:rFonts w:ascii="Arial" w:eastAsia="Times New Roman" w:hAnsi="Arial" w:cs="Arial"/>
          <w:b/>
          <w:sz w:val="24"/>
          <w:lang w:val="sl-SI"/>
        </w:rPr>
        <w:t>Program 1003: Mjere i aktivnosti iz djelokruga upravnog tijela = 201.500,00 EUR</w:t>
      </w:r>
    </w:p>
    <w:p w14:paraId="6029B488" w14:textId="77777777" w:rsidR="00E541EE" w:rsidRDefault="00E541EE" w:rsidP="00E541EE">
      <w:pPr>
        <w:jc w:val="both"/>
        <w:rPr>
          <w:rFonts w:ascii="Arial" w:eastAsia="Times New Roman" w:hAnsi="Arial" w:cs="Arial"/>
          <w:sz w:val="24"/>
          <w:lang w:val="sl-SI"/>
        </w:rPr>
      </w:pPr>
    </w:p>
    <w:tbl>
      <w:tblPr>
        <w:tblW w:w="508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016"/>
        <w:gridCol w:w="1020"/>
        <w:gridCol w:w="1057"/>
        <w:gridCol w:w="932"/>
        <w:gridCol w:w="1046"/>
        <w:gridCol w:w="976"/>
        <w:gridCol w:w="1007"/>
        <w:gridCol w:w="1235"/>
        <w:gridCol w:w="684"/>
        <w:gridCol w:w="752"/>
        <w:gridCol w:w="636"/>
      </w:tblGrid>
      <w:tr w:rsidR="00E541EE" w:rsidRPr="00954AD2" w14:paraId="5FAC1F56" w14:textId="77777777" w:rsidTr="00A84BB5">
        <w:trPr>
          <w:cantSplit/>
          <w:trHeight w:val="597"/>
        </w:trPr>
        <w:tc>
          <w:tcPr>
            <w:tcW w:w="490" w:type="pct"/>
            <w:vMerge w:val="restart"/>
            <w:vAlign w:val="center"/>
          </w:tcPr>
          <w:p w14:paraId="3AFFA5C4" w14:textId="77777777" w:rsidR="00E541EE" w:rsidRPr="00954AD2" w:rsidRDefault="00E541EE" w:rsidP="00A84BB5">
            <w:pPr>
              <w:widowControl w:val="0"/>
              <w:autoSpaceDE w:val="0"/>
              <w:autoSpaceDN w:val="0"/>
              <w:spacing w:before="49"/>
              <w:ind w:left="44" w:right="35"/>
              <w:jc w:val="center"/>
              <w:rPr>
                <w:b/>
                <w:sz w:val="16"/>
                <w:lang w:val="bs-Latn"/>
              </w:rPr>
            </w:pPr>
            <w:r w:rsidRPr="00954AD2">
              <w:rPr>
                <w:b/>
                <w:sz w:val="16"/>
                <w:lang w:val="bs-Latn"/>
              </w:rPr>
              <w:t>Doprinos</w:t>
            </w:r>
            <w:r w:rsidRPr="00954AD2">
              <w:rPr>
                <w:b/>
                <w:spacing w:val="-34"/>
                <w:sz w:val="16"/>
                <w:lang w:val="bs-Latn"/>
              </w:rPr>
              <w:t xml:space="preserve"> </w:t>
            </w:r>
            <w:r w:rsidRPr="00954AD2">
              <w:rPr>
                <w:b/>
                <w:sz w:val="16"/>
                <w:lang w:val="bs-Latn"/>
              </w:rPr>
              <w:t>provedbi</w:t>
            </w:r>
          </w:p>
          <w:p w14:paraId="7C871A4E" w14:textId="77777777" w:rsidR="00E541EE" w:rsidRPr="00954AD2" w:rsidRDefault="00E541EE" w:rsidP="00A84BB5">
            <w:pPr>
              <w:widowControl w:val="0"/>
              <w:autoSpaceDE w:val="0"/>
              <w:autoSpaceDN w:val="0"/>
              <w:spacing w:line="194" w:lineRule="exact"/>
              <w:ind w:left="44" w:right="38"/>
              <w:jc w:val="center"/>
              <w:rPr>
                <w:b/>
                <w:sz w:val="16"/>
                <w:lang w:val="bs-Latn"/>
              </w:rPr>
            </w:pPr>
            <w:r w:rsidRPr="00954AD2">
              <w:rPr>
                <w:b/>
                <w:sz w:val="16"/>
                <w:lang w:val="bs-Latn"/>
              </w:rPr>
              <w:t>nadređenog akta</w:t>
            </w:r>
            <w:r w:rsidRPr="00954AD2">
              <w:rPr>
                <w:b/>
                <w:spacing w:val="1"/>
                <w:sz w:val="16"/>
                <w:lang w:val="bs-Latn"/>
              </w:rPr>
              <w:t xml:space="preserve"> </w:t>
            </w:r>
            <w:r w:rsidRPr="00954AD2">
              <w:rPr>
                <w:b/>
                <w:sz w:val="16"/>
                <w:lang w:val="bs-Latn"/>
              </w:rPr>
              <w:t>strateškog</w:t>
            </w:r>
            <w:r w:rsidRPr="00954AD2">
              <w:rPr>
                <w:b/>
                <w:spacing w:val="-34"/>
                <w:sz w:val="16"/>
                <w:lang w:val="bs-Latn"/>
              </w:rPr>
              <w:t xml:space="preserve"> </w:t>
            </w:r>
            <w:r w:rsidRPr="00954AD2">
              <w:rPr>
                <w:b/>
                <w:sz w:val="16"/>
                <w:lang w:val="bs-Latn"/>
              </w:rPr>
              <w:t>planiranja</w:t>
            </w:r>
          </w:p>
        </w:tc>
        <w:tc>
          <w:tcPr>
            <w:tcW w:w="492" w:type="pct"/>
            <w:vMerge w:val="restart"/>
            <w:vAlign w:val="center"/>
          </w:tcPr>
          <w:p w14:paraId="660914D3" w14:textId="77777777" w:rsidR="00E541EE" w:rsidRPr="00954AD2" w:rsidRDefault="00E541EE" w:rsidP="00A84BB5">
            <w:pPr>
              <w:widowControl w:val="0"/>
              <w:autoSpaceDE w:val="0"/>
              <w:autoSpaceDN w:val="0"/>
              <w:spacing w:line="195" w:lineRule="exact"/>
              <w:rPr>
                <w:b/>
                <w:sz w:val="16"/>
                <w:lang w:val="bs-Latn"/>
              </w:rPr>
            </w:pPr>
            <w:r>
              <w:rPr>
                <w:b/>
                <w:sz w:val="16"/>
                <w:lang w:val="bs-Latn"/>
              </w:rPr>
              <w:t xml:space="preserve">    </w:t>
            </w:r>
            <w:r w:rsidRPr="00954AD2">
              <w:rPr>
                <w:b/>
                <w:sz w:val="16"/>
                <w:lang w:val="bs-Latn"/>
              </w:rPr>
              <w:t>Naziv</w:t>
            </w:r>
            <w:r w:rsidRPr="00954AD2">
              <w:rPr>
                <w:b/>
                <w:spacing w:val="-3"/>
                <w:sz w:val="16"/>
                <w:lang w:val="bs-Latn"/>
              </w:rPr>
              <w:t xml:space="preserve"> </w:t>
            </w:r>
            <w:r w:rsidRPr="00954AD2">
              <w:rPr>
                <w:b/>
                <w:sz w:val="16"/>
                <w:lang w:val="bs-Latn"/>
              </w:rPr>
              <w:t>cilja</w:t>
            </w:r>
          </w:p>
          <w:p w14:paraId="0570D17A" w14:textId="77777777" w:rsidR="00E541EE" w:rsidRPr="00954AD2" w:rsidRDefault="00E541EE" w:rsidP="00A84BB5">
            <w:pPr>
              <w:widowControl w:val="0"/>
              <w:autoSpaceDE w:val="0"/>
              <w:autoSpaceDN w:val="0"/>
              <w:ind w:left="50" w:right="38"/>
              <w:jc w:val="center"/>
              <w:rPr>
                <w:b/>
                <w:sz w:val="16"/>
                <w:lang w:val="bs-Latn"/>
              </w:rPr>
            </w:pPr>
            <w:r w:rsidRPr="00954AD2">
              <w:rPr>
                <w:b/>
                <w:sz w:val="16"/>
                <w:lang w:val="bs-Latn"/>
              </w:rPr>
              <w:t>nadređenog</w:t>
            </w:r>
            <w:r w:rsidRPr="00954AD2">
              <w:rPr>
                <w:b/>
                <w:spacing w:val="1"/>
                <w:sz w:val="16"/>
                <w:lang w:val="bs-Latn"/>
              </w:rPr>
              <w:t xml:space="preserve"> </w:t>
            </w:r>
            <w:r w:rsidRPr="00954AD2">
              <w:rPr>
                <w:b/>
                <w:spacing w:val="-1"/>
                <w:sz w:val="16"/>
                <w:lang w:val="bs-Latn"/>
              </w:rPr>
              <w:t>akta</w:t>
            </w:r>
            <w:r w:rsidRPr="00954AD2">
              <w:rPr>
                <w:b/>
                <w:spacing w:val="-2"/>
                <w:sz w:val="16"/>
                <w:lang w:val="bs-Latn"/>
              </w:rPr>
              <w:t xml:space="preserve"> </w:t>
            </w:r>
            <w:r w:rsidRPr="00954AD2">
              <w:rPr>
                <w:b/>
                <w:spacing w:val="-1"/>
                <w:sz w:val="16"/>
                <w:lang w:val="bs-Latn"/>
              </w:rPr>
              <w:t>strateškog</w:t>
            </w:r>
          </w:p>
          <w:p w14:paraId="5420DB3C" w14:textId="77777777" w:rsidR="00E541EE" w:rsidRPr="00954AD2" w:rsidRDefault="00E541EE" w:rsidP="00A84BB5">
            <w:pPr>
              <w:widowControl w:val="0"/>
              <w:autoSpaceDE w:val="0"/>
              <w:autoSpaceDN w:val="0"/>
              <w:spacing w:before="1"/>
              <w:jc w:val="center"/>
              <w:rPr>
                <w:b/>
                <w:sz w:val="16"/>
                <w:lang w:val="bs-Latn"/>
              </w:rPr>
            </w:pPr>
            <w:r w:rsidRPr="00954AD2">
              <w:rPr>
                <w:b/>
                <w:sz w:val="16"/>
                <w:lang w:val="bs-Latn"/>
              </w:rPr>
              <w:t>planiranja</w:t>
            </w:r>
          </w:p>
        </w:tc>
        <w:tc>
          <w:tcPr>
            <w:tcW w:w="510" w:type="pct"/>
            <w:vMerge w:val="restart"/>
            <w:vAlign w:val="center"/>
          </w:tcPr>
          <w:p w14:paraId="0B876331" w14:textId="77777777" w:rsidR="00E541EE" w:rsidRPr="00954AD2" w:rsidRDefault="00E541EE" w:rsidP="00A84BB5">
            <w:pPr>
              <w:widowControl w:val="0"/>
              <w:autoSpaceDE w:val="0"/>
              <w:autoSpaceDN w:val="0"/>
              <w:rPr>
                <w:sz w:val="12"/>
                <w:lang w:val="bs-Latn"/>
              </w:rPr>
            </w:pPr>
          </w:p>
          <w:p w14:paraId="63F512D5" w14:textId="77777777" w:rsidR="00E541EE" w:rsidRPr="00954AD2" w:rsidRDefault="00E541EE" w:rsidP="00A84BB5">
            <w:pPr>
              <w:widowControl w:val="0"/>
              <w:autoSpaceDE w:val="0"/>
              <w:autoSpaceDN w:val="0"/>
              <w:ind w:left="125" w:right="114"/>
              <w:jc w:val="center"/>
              <w:rPr>
                <w:b/>
                <w:sz w:val="16"/>
                <w:lang w:val="bs-Latn"/>
              </w:rPr>
            </w:pPr>
            <w:r w:rsidRPr="00954AD2">
              <w:rPr>
                <w:b/>
                <w:spacing w:val="-1"/>
                <w:sz w:val="16"/>
                <w:lang w:val="bs-Latn"/>
              </w:rPr>
              <w:t xml:space="preserve">Program </w:t>
            </w:r>
            <w:r w:rsidRPr="00954AD2">
              <w:rPr>
                <w:b/>
                <w:sz w:val="16"/>
                <w:lang w:val="bs-Latn"/>
              </w:rPr>
              <w:t>u</w:t>
            </w:r>
            <w:r w:rsidRPr="00954AD2">
              <w:rPr>
                <w:b/>
                <w:spacing w:val="-34"/>
                <w:sz w:val="16"/>
                <w:lang w:val="bs-Latn"/>
              </w:rPr>
              <w:t xml:space="preserve"> </w:t>
            </w:r>
            <w:r w:rsidRPr="00954AD2">
              <w:rPr>
                <w:b/>
                <w:sz w:val="16"/>
                <w:lang w:val="bs-Latn"/>
              </w:rPr>
              <w:t>proračunu</w:t>
            </w:r>
            <w:r w:rsidRPr="00954AD2">
              <w:rPr>
                <w:b/>
                <w:spacing w:val="-34"/>
                <w:sz w:val="16"/>
                <w:lang w:val="bs-Latn"/>
              </w:rPr>
              <w:t xml:space="preserve"> </w:t>
            </w:r>
            <w:r w:rsidRPr="00954AD2">
              <w:rPr>
                <w:b/>
                <w:sz w:val="16"/>
                <w:lang w:val="bs-Latn"/>
              </w:rPr>
              <w:t>JLS</w:t>
            </w:r>
          </w:p>
        </w:tc>
        <w:tc>
          <w:tcPr>
            <w:tcW w:w="450" w:type="pct"/>
            <w:vMerge w:val="restart"/>
            <w:vAlign w:val="center"/>
          </w:tcPr>
          <w:p w14:paraId="4BE072E2" w14:textId="77777777" w:rsidR="00E541EE" w:rsidRPr="00954AD2" w:rsidRDefault="00E541EE" w:rsidP="00A84BB5">
            <w:pPr>
              <w:widowControl w:val="0"/>
              <w:autoSpaceDE w:val="0"/>
              <w:autoSpaceDN w:val="0"/>
              <w:spacing w:before="11"/>
              <w:rPr>
                <w:sz w:val="11"/>
                <w:lang w:val="bs-Latn"/>
              </w:rPr>
            </w:pPr>
          </w:p>
          <w:p w14:paraId="7CA42B74" w14:textId="77777777" w:rsidR="00E541EE" w:rsidRPr="00954AD2" w:rsidRDefault="00E541EE" w:rsidP="00A84BB5">
            <w:pPr>
              <w:widowControl w:val="0"/>
              <w:autoSpaceDE w:val="0"/>
              <w:autoSpaceDN w:val="0"/>
              <w:ind w:left="179"/>
              <w:rPr>
                <w:b/>
                <w:sz w:val="16"/>
                <w:lang w:val="bs-Latn"/>
              </w:rPr>
            </w:pPr>
            <w:r w:rsidRPr="00954AD2">
              <w:rPr>
                <w:b/>
                <w:sz w:val="16"/>
                <w:lang w:val="bs-Latn"/>
              </w:rPr>
              <w:t>Naziv</w:t>
            </w:r>
            <w:r w:rsidRPr="00954AD2">
              <w:rPr>
                <w:b/>
                <w:spacing w:val="-2"/>
                <w:sz w:val="16"/>
                <w:lang w:val="bs-Latn"/>
              </w:rPr>
              <w:t xml:space="preserve"> </w:t>
            </w:r>
            <w:r w:rsidRPr="00954AD2">
              <w:rPr>
                <w:b/>
                <w:sz w:val="16"/>
                <w:lang w:val="bs-Latn"/>
              </w:rPr>
              <w:t>mjere</w:t>
            </w:r>
          </w:p>
        </w:tc>
        <w:tc>
          <w:tcPr>
            <w:tcW w:w="505" w:type="pct"/>
            <w:vMerge w:val="restart"/>
            <w:vAlign w:val="center"/>
          </w:tcPr>
          <w:p w14:paraId="4123FBCC" w14:textId="77777777" w:rsidR="00E541EE" w:rsidRPr="00954AD2" w:rsidRDefault="00E541EE" w:rsidP="00A84BB5">
            <w:pPr>
              <w:widowControl w:val="0"/>
              <w:autoSpaceDE w:val="0"/>
              <w:autoSpaceDN w:val="0"/>
              <w:spacing w:before="10"/>
              <w:jc w:val="center"/>
              <w:rPr>
                <w:sz w:val="11"/>
                <w:lang w:val="bs-Latn"/>
              </w:rPr>
            </w:pPr>
          </w:p>
          <w:p w14:paraId="1C7FA84A" w14:textId="77777777" w:rsidR="00E541EE" w:rsidRPr="00954AD2" w:rsidRDefault="00E541EE" w:rsidP="00A84BB5">
            <w:pPr>
              <w:widowControl w:val="0"/>
              <w:autoSpaceDE w:val="0"/>
              <w:autoSpaceDN w:val="0"/>
              <w:ind w:left="70" w:right="60"/>
              <w:jc w:val="center"/>
              <w:rPr>
                <w:b/>
                <w:sz w:val="16"/>
                <w:lang w:val="bs-Latn"/>
              </w:rPr>
            </w:pPr>
            <w:r w:rsidRPr="00954AD2">
              <w:rPr>
                <w:b/>
                <w:sz w:val="16"/>
                <w:lang w:val="bs-Latn"/>
              </w:rPr>
              <w:t>Procijenjeni</w:t>
            </w:r>
            <w:r w:rsidRPr="00954AD2">
              <w:rPr>
                <w:b/>
                <w:spacing w:val="-34"/>
                <w:sz w:val="16"/>
                <w:lang w:val="bs-Latn"/>
              </w:rPr>
              <w:t xml:space="preserve"> </w:t>
            </w:r>
            <w:r w:rsidRPr="00954AD2">
              <w:rPr>
                <w:b/>
                <w:sz w:val="16"/>
                <w:lang w:val="bs-Latn"/>
              </w:rPr>
              <w:t>trošak</w:t>
            </w:r>
            <w:r w:rsidRPr="00954AD2">
              <w:rPr>
                <w:b/>
                <w:spacing w:val="1"/>
                <w:sz w:val="16"/>
                <w:lang w:val="bs-Latn"/>
              </w:rPr>
              <w:t xml:space="preserve"> </w:t>
            </w:r>
            <w:r w:rsidRPr="00954AD2">
              <w:rPr>
                <w:b/>
                <w:sz w:val="16"/>
                <w:lang w:val="bs-Latn"/>
              </w:rPr>
              <w:t>provedbe</w:t>
            </w:r>
            <w:r w:rsidRPr="00954AD2">
              <w:rPr>
                <w:b/>
                <w:spacing w:val="1"/>
                <w:sz w:val="16"/>
                <w:lang w:val="bs-Latn"/>
              </w:rPr>
              <w:t xml:space="preserve"> </w:t>
            </w:r>
            <w:r w:rsidRPr="00954AD2">
              <w:rPr>
                <w:b/>
                <w:sz w:val="16"/>
                <w:lang w:val="bs-Latn"/>
              </w:rPr>
              <w:t>mjere</w:t>
            </w:r>
          </w:p>
          <w:p w14:paraId="6867D6ED" w14:textId="77777777" w:rsidR="00E541EE" w:rsidRPr="00954AD2" w:rsidRDefault="00E541EE" w:rsidP="00A84BB5">
            <w:pPr>
              <w:widowControl w:val="0"/>
              <w:autoSpaceDE w:val="0"/>
              <w:autoSpaceDN w:val="0"/>
              <w:spacing w:before="2"/>
              <w:ind w:left="70" w:right="58"/>
              <w:jc w:val="center"/>
              <w:rPr>
                <w:b/>
                <w:sz w:val="16"/>
                <w:lang w:val="bs-Latn"/>
              </w:rPr>
            </w:pPr>
            <w:r w:rsidRPr="00954AD2">
              <w:rPr>
                <w:b/>
                <w:sz w:val="16"/>
                <w:lang w:val="bs-Latn"/>
              </w:rPr>
              <w:t>(u EUR)</w:t>
            </w:r>
          </w:p>
        </w:tc>
        <w:tc>
          <w:tcPr>
            <w:tcW w:w="471" w:type="pct"/>
            <w:vMerge w:val="restart"/>
            <w:vAlign w:val="center"/>
          </w:tcPr>
          <w:p w14:paraId="72AD3D34" w14:textId="77777777" w:rsidR="00E541EE" w:rsidRDefault="00E541EE" w:rsidP="00A84BB5">
            <w:pPr>
              <w:widowControl w:val="0"/>
              <w:autoSpaceDE w:val="0"/>
              <w:autoSpaceDN w:val="0"/>
              <w:jc w:val="center"/>
              <w:rPr>
                <w:b/>
                <w:sz w:val="16"/>
                <w:lang w:val="bs-Latn"/>
              </w:rPr>
            </w:pPr>
            <w:r w:rsidRPr="00954AD2">
              <w:rPr>
                <w:b/>
                <w:sz w:val="16"/>
                <w:lang w:val="bs-Latn"/>
              </w:rPr>
              <w:t>Ključne</w:t>
            </w:r>
          </w:p>
          <w:p w14:paraId="7B11DE6F" w14:textId="77777777" w:rsidR="00E541EE" w:rsidRPr="00954AD2" w:rsidRDefault="00E541EE" w:rsidP="00A84BB5">
            <w:pPr>
              <w:widowControl w:val="0"/>
              <w:autoSpaceDE w:val="0"/>
              <w:autoSpaceDN w:val="0"/>
              <w:jc w:val="center"/>
              <w:rPr>
                <w:b/>
                <w:sz w:val="16"/>
                <w:lang w:val="bs-Latn"/>
              </w:rPr>
            </w:pPr>
            <w:r w:rsidRPr="00954AD2">
              <w:rPr>
                <w:b/>
                <w:sz w:val="16"/>
                <w:lang w:val="bs-Latn"/>
              </w:rPr>
              <w:t>aktivnosti</w:t>
            </w:r>
          </w:p>
        </w:tc>
        <w:tc>
          <w:tcPr>
            <w:tcW w:w="486" w:type="pct"/>
            <w:vMerge w:val="restart"/>
            <w:vAlign w:val="center"/>
          </w:tcPr>
          <w:p w14:paraId="778F53EA" w14:textId="77777777" w:rsidR="00E541EE" w:rsidRPr="00954AD2" w:rsidRDefault="00E541EE" w:rsidP="00A84BB5">
            <w:pPr>
              <w:widowControl w:val="0"/>
              <w:autoSpaceDE w:val="0"/>
              <w:autoSpaceDN w:val="0"/>
              <w:ind w:right="97"/>
              <w:jc w:val="center"/>
              <w:rPr>
                <w:b/>
                <w:spacing w:val="-34"/>
                <w:sz w:val="16"/>
                <w:lang w:val="bs-Latn"/>
              </w:rPr>
            </w:pPr>
            <w:r w:rsidRPr="00954AD2">
              <w:rPr>
                <w:b/>
                <w:sz w:val="16"/>
                <w:lang w:val="bs-Latn"/>
              </w:rPr>
              <w:t>Pokazatelj</w:t>
            </w:r>
          </w:p>
          <w:p w14:paraId="50932122" w14:textId="77777777" w:rsidR="00E541EE" w:rsidRPr="00954AD2" w:rsidRDefault="00E541EE" w:rsidP="00A84BB5">
            <w:pPr>
              <w:widowControl w:val="0"/>
              <w:autoSpaceDE w:val="0"/>
              <w:autoSpaceDN w:val="0"/>
              <w:ind w:right="97"/>
              <w:jc w:val="center"/>
              <w:rPr>
                <w:b/>
                <w:sz w:val="16"/>
                <w:lang w:val="bs-Latn"/>
              </w:rPr>
            </w:pPr>
            <w:r w:rsidRPr="00954AD2">
              <w:rPr>
                <w:b/>
                <w:sz w:val="16"/>
                <w:lang w:val="bs-Latn"/>
              </w:rPr>
              <w:t>rezultata</w:t>
            </w:r>
          </w:p>
        </w:tc>
        <w:tc>
          <w:tcPr>
            <w:tcW w:w="596" w:type="pct"/>
            <w:vMerge w:val="restart"/>
            <w:vAlign w:val="center"/>
          </w:tcPr>
          <w:p w14:paraId="376AE932" w14:textId="77777777" w:rsidR="00E541EE" w:rsidRPr="00954AD2" w:rsidRDefault="00E541EE" w:rsidP="00A84BB5">
            <w:pPr>
              <w:widowControl w:val="0"/>
              <w:autoSpaceDE w:val="0"/>
              <w:autoSpaceDN w:val="0"/>
              <w:rPr>
                <w:sz w:val="12"/>
                <w:lang w:val="bs-Latn"/>
              </w:rPr>
            </w:pPr>
          </w:p>
          <w:p w14:paraId="1B8106D2" w14:textId="77777777" w:rsidR="00E541EE" w:rsidRPr="00954AD2" w:rsidRDefault="00E541EE" w:rsidP="00A84BB5">
            <w:pPr>
              <w:widowControl w:val="0"/>
              <w:autoSpaceDE w:val="0"/>
              <w:autoSpaceDN w:val="0"/>
              <w:ind w:left="44" w:right="32"/>
              <w:jc w:val="center"/>
              <w:rPr>
                <w:b/>
                <w:sz w:val="16"/>
                <w:lang w:val="bs-Latn"/>
              </w:rPr>
            </w:pPr>
            <w:r w:rsidRPr="00954AD2">
              <w:rPr>
                <w:b/>
                <w:sz w:val="16"/>
                <w:lang w:val="bs-Latn"/>
              </w:rPr>
              <w:t>Početna</w:t>
            </w:r>
            <w:r w:rsidRPr="00954AD2">
              <w:rPr>
                <w:b/>
                <w:spacing w:val="1"/>
                <w:sz w:val="16"/>
                <w:lang w:val="bs-Latn"/>
              </w:rPr>
              <w:t xml:space="preserve"> </w:t>
            </w:r>
            <w:r w:rsidRPr="00954AD2">
              <w:rPr>
                <w:b/>
                <w:sz w:val="16"/>
                <w:lang w:val="bs-Latn"/>
              </w:rPr>
              <w:t>vrijednost</w:t>
            </w:r>
            <w:r w:rsidRPr="00954AD2">
              <w:rPr>
                <w:b/>
                <w:spacing w:val="-34"/>
                <w:sz w:val="16"/>
                <w:lang w:val="bs-Latn"/>
              </w:rPr>
              <w:t xml:space="preserve"> </w:t>
            </w:r>
            <w:r w:rsidRPr="00954AD2">
              <w:rPr>
                <w:b/>
                <w:sz w:val="16"/>
                <w:lang w:val="bs-Latn"/>
              </w:rPr>
              <w:t>202</w:t>
            </w:r>
            <w:r>
              <w:rPr>
                <w:b/>
                <w:sz w:val="16"/>
                <w:lang w:val="bs-Latn"/>
              </w:rPr>
              <w:t>5.</w:t>
            </w:r>
          </w:p>
        </w:tc>
        <w:tc>
          <w:tcPr>
            <w:tcW w:w="1000" w:type="pct"/>
            <w:gridSpan w:val="3"/>
            <w:vAlign w:val="center"/>
          </w:tcPr>
          <w:p w14:paraId="3FEF7018" w14:textId="77777777" w:rsidR="00E541EE" w:rsidRPr="00954AD2" w:rsidRDefault="00E541EE" w:rsidP="00A84BB5">
            <w:pPr>
              <w:widowControl w:val="0"/>
              <w:autoSpaceDE w:val="0"/>
              <w:autoSpaceDN w:val="0"/>
              <w:ind w:left="70" w:right="56"/>
              <w:jc w:val="center"/>
              <w:rPr>
                <w:b/>
                <w:sz w:val="16"/>
                <w:lang w:val="bs-Latn"/>
              </w:rPr>
            </w:pPr>
            <w:r w:rsidRPr="005A1EB1">
              <w:rPr>
                <w:rFonts w:cstheme="minorHAnsi"/>
                <w:b/>
                <w:sz w:val="15"/>
                <w:szCs w:val="15"/>
              </w:rPr>
              <w:t>Ciljna</w:t>
            </w:r>
            <w:r w:rsidRPr="005A1EB1">
              <w:rPr>
                <w:rFonts w:cstheme="minorHAnsi"/>
                <w:b/>
                <w:spacing w:val="1"/>
                <w:sz w:val="15"/>
                <w:szCs w:val="15"/>
              </w:rPr>
              <w:t xml:space="preserve"> </w:t>
            </w:r>
            <w:r w:rsidRPr="005A1EB1">
              <w:rPr>
                <w:rFonts w:cstheme="minorHAnsi"/>
                <w:b/>
                <w:sz w:val="15"/>
                <w:szCs w:val="15"/>
              </w:rPr>
              <w:t>vrijednost</w:t>
            </w:r>
          </w:p>
        </w:tc>
      </w:tr>
      <w:tr w:rsidR="00E541EE" w:rsidRPr="00954AD2" w14:paraId="6CF2922B" w14:textId="77777777" w:rsidTr="00A84BB5">
        <w:trPr>
          <w:cantSplit/>
          <w:trHeight w:val="596"/>
        </w:trPr>
        <w:tc>
          <w:tcPr>
            <w:tcW w:w="490" w:type="pct"/>
            <w:vMerge/>
            <w:vAlign w:val="center"/>
          </w:tcPr>
          <w:p w14:paraId="693AFF2E" w14:textId="77777777" w:rsidR="00E541EE" w:rsidRPr="00954AD2" w:rsidRDefault="00E541EE" w:rsidP="00A84BB5">
            <w:pPr>
              <w:widowControl w:val="0"/>
              <w:autoSpaceDE w:val="0"/>
              <w:autoSpaceDN w:val="0"/>
              <w:spacing w:before="49"/>
              <w:ind w:left="44" w:right="35"/>
              <w:jc w:val="center"/>
              <w:rPr>
                <w:b/>
                <w:sz w:val="16"/>
                <w:lang w:val="bs-Latn"/>
              </w:rPr>
            </w:pPr>
          </w:p>
        </w:tc>
        <w:tc>
          <w:tcPr>
            <w:tcW w:w="492" w:type="pct"/>
            <w:vMerge/>
            <w:vAlign w:val="center"/>
          </w:tcPr>
          <w:p w14:paraId="175C78DB" w14:textId="77777777" w:rsidR="00E541EE" w:rsidRPr="00954AD2" w:rsidRDefault="00E541EE" w:rsidP="00A84BB5">
            <w:pPr>
              <w:widowControl w:val="0"/>
              <w:autoSpaceDE w:val="0"/>
              <w:autoSpaceDN w:val="0"/>
              <w:spacing w:before="11"/>
              <w:jc w:val="center"/>
              <w:rPr>
                <w:sz w:val="19"/>
                <w:lang w:val="bs-Latn"/>
              </w:rPr>
            </w:pPr>
          </w:p>
        </w:tc>
        <w:tc>
          <w:tcPr>
            <w:tcW w:w="510" w:type="pct"/>
            <w:vMerge/>
            <w:vAlign w:val="center"/>
          </w:tcPr>
          <w:p w14:paraId="519527AC" w14:textId="77777777" w:rsidR="00E541EE" w:rsidRPr="00954AD2" w:rsidRDefault="00E541EE" w:rsidP="00A84BB5">
            <w:pPr>
              <w:widowControl w:val="0"/>
              <w:autoSpaceDE w:val="0"/>
              <w:autoSpaceDN w:val="0"/>
              <w:jc w:val="center"/>
              <w:rPr>
                <w:sz w:val="16"/>
                <w:lang w:val="bs-Latn"/>
              </w:rPr>
            </w:pPr>
          </w:p>
        </w:tc>
        <w:tc>
          <w:tcPr>
            <w:tcW w:w="450" w:type="pct"/>
            <w:vMerge/>
            <w:vAlign w:val="center"/>
          </w:tcPr>
          <w:p w14:paraId="621FE193" w14:textId="77777777" w:rsidR="00E541EE" w:rsidRPr="00954AD2" w:rsidRDefault="00E541EE" w:rsidP="00A84BB5">
            <w:pPr>
              <w:widowControl w:val="0"/>
              <w:autoSpaceDE w:val="0"/>
              <w:autoSpaceDN w:val="0"/>
              <w:jc w:val="center"/>
              <w:rPr>
                <w:sz w:val="16"/>
                <w:lang w:val="bs-Latn"/>
              </w:rPr>
            </w:pPr>
          </w:p>
        </w:tc>
        <w:tc>
          <w:tcPr>
            <w:tcW w:w="505" w:type="pct"/>
            <w:vMerge/>
            <w:vAlign w:val="center"/>
          </w:tcPr>
          <w:p w14:paraId="7C1DBA69" w14:textId="77777777" w:rsidR="00E541EE" w:rsidRPr="00954AD2" w:rsidRDefault="00E541EE" w:rsidP="00A84BB5">
            <w:pPr>
              <w:widowControl w:val="0"/>
              <w:autoSpaceDE w:val="0"/>
              <w:autoSpaceDN w:val="0"/>
              <w:spacing w:before="10"/>
              <w:jc w:val="center"/>
              <w:rPr>
                <w:sz w:val="11"/>
                <w:lang w:val="bs-Latn"/>
              </w:rPr>
            </w:pPr>
          </w:p>
        </w:tc>
        <w:tc>
          <w:tcPr>
            <w:tcW w:w="471" w:type="pct"/>
            <w:vMerge/>
            <w:vAlign w:val="center"/>
          </w:tcPr>
          <w:p w14:paraId="1B855192" w14:textId="77777777" w:rsidR="00E541EE" w:rsidRPr="00954AD2" w:rsidRDefault="00E541EE" w:rsidP="00A84BB5">
            <w:pPr>
              <w:widowControl w:val="0"/>
              <w:autoSpaceDE w:val="0"/>
              <w:autoSpaceDN w:val="0"/>
              <w:jc w:val="center"/>
              <w:rPr>
                <w:sz w:val="16"/>
                <w:lang w:val="bs-Latn"/>
              </w:rPr>
            </w:pPr>
          </w:p>
        </w:tc>
        <w:tc>
          <w:tcPr>
            <w:tcW w:w="486" w:type="pct"/>
            <w:vMerge/>
            <w:vAlign w:val="center"/>
          </w:tcPr>
          <w:p w14:paraId="64971897" w14:textId="77777777" w:rsidR="00E541EE" w:rsidRPr="00954AD2" w:rsidRDefault="00E541EE" w:rsidP="00A84BB5">
            <w:pPr>
              <w:widowControl w:val="0"/>
              <w:autoSpaceDE w:val="0"/>
              <w:autoSpaceDN w:val="0"/>
              <w:jc w:val="center"/>
              <w:rPr>
                <w:sz w:val="16"/>
                <w:lang w:val="bs-Latn"/>
              </w:rPr>
            </w:pPr>
          </w:p>
        </w:tc>
        <w:tc>
          <w:tcPr>
            <w:tcW w:w="596" w:type="pct"/>
            <w:vMerge/>
            <w:vAlign w:val="center"/>
          </w:tcPr>
          <w:p w14:paraId="13974ECC" w14:textId="77777777" w:rsidR="00E541EE" w:rsidRPr="00954AD2" w:rsidRDefault="00E541EE" w:rsidP="00A84BB5">
            <w:pPr>
              <w:widowControl w:val="0"/>
              <w:autoSpaceDE w:val="0"/>
              <w:autoSpaceDN w:val="0"/>
              <w:jc w:val="center"/>
              <w:rPr>
                <w:sz w:val="16"/>
                <w:lang w:val="bs-Latn"/>
              </w:rPr>
            </w:pPr>
          </w:p>
        </w:tc>
        <w:tc>
          <w:tcPr>
            <w:tcW w:w="330" w:type="pct"/>
            <w:vAlign w:val="center"/>
          </w:tcPr>
          <w:p w14:paraId="2EB697D7" w14:textId="77777777" w:rsidR="00E541EE" w:rsidRDefault="00E541EE" w:rsidP="00A84BB5">
            <w:pPr>
              <w:widowControl w:val="0"/>
              <w:autoSpaceDE w:val="0"/>
              <w:autoSpaceDN w:val="0"/>
              <w:jc w:val="center"/>
              <w:rPr>
                <w:rFonts w:cstheme="minorHAnsi"/>
                <w:b/>
                <w:sz w:val="15"/>
                <w:szCs w:val="15"/>
              </w:rPr>
            </w:pPr>
            <w:r>
              <w:rPr>
                <w:rFonts w:cstheme="minorHAnsi"/>
                <w:b/>
                <w:sz w:val="15"/>
                <w:szCs w:val="15"/>
              </w:rPr>
              <w:t>z</w:t>
            </w:r>
            <w:r w:rsidRPr="005A1EB1">
              <w:rPr>
                <w:rFonts w:cstheme="minorHAnsi"/>
                <w:b/>
                <w:sz w:val="15"/>
                <w:szCs w:val="15"/>
              </w:rPr>
              <w:t>a</w:t>
            </w:r>
          </w:p>
          <w:p w14:paraId="2DEBE1A2" w14:textId="77777777" w:rsidR="00E541EE" w:rsidRPr="00954AD2" w:rsidRDefault="00E541EE" w:rsidP="00A84BB5">
            <w:pPr>
              <w:widowControl w:val="0"/>
              <w:autoSpaceDE w:val="0"/>
              <w:autoSpaceDN w:val="0"/>
              <w:jc w:val="center"/>
              <w:rPr>
                <w:b/>
                <w:sz w:val="16"/>
                <w:lang w:val="bs-Latn"/>
              </w:rPr>
            </w:pPr>
            <w:r w:rsidRPr="005A1EB1">
              <w:rPr>
                <w:rFonts w:cstheme="minorHAnsi"/>
                <w:b/>
                <w:sz w:val="15"/>
                <w:szCs w:val="15"/>
              </w:rPr>
              <w:t xml:space="preserve"> 202</w:t>
            </w:r>
            <w:r>
              <w:rPr>
                <w:rFonts w:cstheme="minorHAnsi"/>
                <w:b/>
                <w:sz w:val="15"/>
                <w:szCs w:val="15"/>
              </w:rPr>
              <w:t>6</w:t>
            </w:r>
            <w:r w:rsidRPr="005A1EB1">
              <w:rPr>
                <w:rFonts w:cstheme="minorHAnsi"/>
                <w:b/>
                <w:sz w:val="15"/>
                <w:szCs w:val="15"/>
              </w:rPr>
              <w:t>.</w:t>
            </w:r>
          </w:p>
        </w:tc>
        <w:tc>
          <w:tcPr>
            <w:tcW w:w="363" w:type="pct"/>
            <w:vAlign w:val="center"/>
          </w:tcPr>
          <w:p w14:paraId="4D3BC51D" w14:textId="77777777" w:rsidR="00E541EE" w:rsidRDefault="00E541EE" w:rsidP="00A84BB5">
            <w:pPr>
              <w:widowControl w:val="0"/>
              <w:autoSpaceDE w:val="0"/>
              <w:autoSpaceDN w:val="0"/>
              <w:jc w:val="center"/>
              <w:rPr>
                <w:rFonts w:cstheme="minorHAnsi"/>
                <w:b/>
                <w:sz w:val="15"/>
                <w:szCs w:val="15"/>
              </w:rPr>
            </w:pPr>
            <w:r w:rsidRPr="005A1EB1">
              <w:rPr>
                <w:rFonts w:cstheme="minorHAnsi"/>
                <w:b/>
                <w:sz w:val="15"/>
                <w:szCs w:val="15"/>
              </w:rPr>
              <w:t xml:space="preserve">za </w:t>
            </w:r>
          </w:p>
          <w:p w14:paraId="0905CB65" w14:textId="77777777" w:rsidR="00E541EE" w:rsidRPr="00954AD2" w:rsidRDefault="00E541EE" w:rsidP="00A84BB5">
            <w:pPr>
              <w:widowControl w:val="0"/>
              <w:autoSpaceDE w:val="0"/>
              <w:autoSpaceDN w:val="0"/>
              <w:jc w:val="center"/>
              <w:rPr>
                <w:b/>
                <w:sz w:val="16"/>
                <w:lang w:val="bs-Latn"/>
              </w:rPr>
            </w:pPr>
            <w:r w:rsidRPr="005A1EB1">
              <w:rPr>
                <w:rFonts w:cstheme="minorHAnsi"/>
                <w:b/>
                <w:sz w:val="15"/>
                <w:szCs w:val="15"/>
              </w:rPr>
              <w:t>202</w:t>
            </w:r>
            <w:r>
              <w:rPr>
                <w:rFonts w:cstheme="minorHAnsi"/>
                <w:b/>
                <w:sz w:val="15"/>
                <w:szCs w:val="15"/>
              </w:rPr>
              <w:t>7</w:t>
            </w:r>
            <w:r w:rsidRPr="005A1EB1">
              <w:rPr>
                <w:rFonts w:cstheme="minorHAnsi"/>
                <w:b/>
                <w:sz w:val="15"/>
                <w:szCs w:val="15"/>
              </w:rPr>
              <w:t>.</w:t>
            </w:r>
          </w:p>
        </w:tc>
        <w:tc>
          <w:tcPr>
            <w:tcW w:w="307" w:type="pct"/>
            <w:vAlign w:val="center"/>
          </w:tcPr>
          <w:p w14:paraId="3E589DB6" w14:textId="77777777" w:rsidR="00E541EE" w:rsidRDefault="00E541EE" w:rsidP="00A84BB5">
            <w:pPr>
              <w:widowControl w:val="0"/>
              <w:autoSpaceDE w:val="0"/>
              <w:autoSpaceDN w:val="0"/>
              <w:jc w:val="center"/>
              <w:rPr>
                <w:rFonts w:cstheme="minorHAnsi"/>
                <w:b/>
                <w:sz w:val="15"/>
                <w:szCs w:val="15"/>
              </w:rPr>
            </w:pPr>
            <w:r>
              <w:rPr>
                <w:rFonts w:cstheme="minorHAnsi"/>
                <w:b/>
                <w:sz w:val="15"/>
                <w:szCs w:val="15"/>
              </w:rPr>
              <w:t>z</w:t>
            </w:r>
            <w:r w:rsidRPr="005A1EB1">
              <w:rPr>
                <w:rFonts w:cstheme="minorHAnsi"/>
                <w:b/>
                <w:sz w:val="15"/>
                <w:szCs w:val="15"/>
              </w:rPr>
              <w:t>a</w:t>
            </w:r>
          </w:p>
          <w:p w14:paraId="68A7158C" w14:textId="77777777" w:rsidR="00E541EE" w:rsidRPr="00954AD2" w:rsidRDefault="00E541EE" w:rsidP="00A84BB5">
            <w:pPr>
              <w:widowControl w:val="0"/>
              <w:autoSpaceDE w:val="0"/>
              <w:autoSpaceDN w:val="0"/>
              <w:jc w:val="center"/>
              <w:rPr>
                <w:b/>
                <w:sz w:val="16"/>
                <w:lang w:val="bs-Latn"/>
              </w:rPr>
            </w:pPr>
            <w:r w:rsidRPr="005A1EB1">
              <w:rPr>
                <w:rFonts w:cstheme="minorHAnsi"/>
                <w:b/>
                <w:sz w:val="15"/>
                <w:szCs w:val="15"/>
              </w:rPr>
              <w:t xml:space="preserve"> 202</w:t>
            </w:r>
            <w:r>
              <w:rPr>
                <w:rFonts w:cstheme="minorHAnsi"/>
                <w:b/>
                <w:sz w:val="15"/>
                <w:szCs w:val="15"/>
              </w:rPr>
              <w:t>8</w:t>
            </w:r>
            <w:r w:rsidRPr="005A1EB1">
              <w:rPr>
                <w:rFonts w:cstheme="minorHAnsi"/>
                <w:b/>
                <w:sz w:val="15"/>
                <w:szCs w:val="15"/>
              </w:rPr>
              <w:t>.</w:t>
            </w:r>
          </w:p>
        </w:tc>
      </w:tr>
      <w:tr w:rsidR="00E541EE" w:rsidRPr="00954AD2" w14:paraId="74685C89" w14:textId="77777777" w:rsidTr="00A84BB5">
        <w:trPr>
          <w:cantSplit/>
          <w:trHeight w:val="2004"/>
        </w:trPr>
        <w:tc>
          <w:tcPr>
            <w:tcW w:w="490" w:type="pct"/>
            <w:vMerge w:val="restart"/>
            <w:vAlign w:val="center"/>
          </w:tcPr>
          <w:p w14:paraId="30DE748E" w14:textId="77777777" w:rsidR="00E541EE" w:rsidRPr="00954AD2" w:rsidRDefault="00E541EE" w:rsidP="00A84BB5">
            <w:pPr>
              <w:widowControl w:val="0"/>
              <w:autoSpaceDE w:val="0"/>
              <w:autoSpaceDN w:val="0"/>
              <w:jc w:val="center"/>
              <w:rPr>
                <w:sz w:val="16"/>
                <w:lang w:val="bs-Latn"/>
              </w:rPr>
            </w:pPr>
          </w:p>
          <w:p w14:paraId="612A4C04" w14:textId="77777777" w:rsidR="00E541EE" w:rsidRPr="00954AD2" w:rsidRDefault="00E541EE" w:rsidP="00A84BB5">
            <w:pPr>
              <w:widowControl w:val="0"/>
              <w:autoSpaceDE w:val="0"/>
              <w:autoSpaceDN w:val="0"/>
              <w:ind w:left="42" w:right="33" w:firstLine="33"/>
              <w:jc w:val="center"/>
              <w:rPr>
                <w:sz w:val="16"/>
                <w:lang w:val="bs-Latn"/>
              </w:rPr>
            </w:pPr>
            <w:r w:rsidRPr="00954AD2">
              <w:rPr>
                <w:sz w:val="16"/>
                <w:lang w:val="bs-Latn"/>
              </w:rPr>
              <w:t>Provedbeni program Grada Rovinj-Rovigno 202</w:t>
            </w:r>
            <w:r>
              <w:rPr>
                <w:sz w:val="16"/>
                <w:lang w:val="bs-Latn"/>
              </w:rPr>
              <w:t>5.</w:t>
            </w:r>
            <w:r w:rsidRPr="00954AD2">
              <w:rPr>
                <w:sz w:val="16"/>
                <w:lang w:val="bs-Latn"/>
              </w:rPr>
              <w:t>-202</w:t>
            </w:r>
            <w:r>
              <w:rPr>
                <w:sz w:val="16"/>
                <w:lang w:val="bs-Latn"/>
              </w:rPr>
              <w:t>9.</w:t>
            </w:r>
          </w:p>
        </w:tc>
        <w:tc>
          <w:tcPr>
            <w:tcW w:w="492" w:type="pct"/>
            <w:vMerge w:val="restart"/>
            <w:vAlign w:val="center"/>
          </w:tcPr>
          <w:p w14:paraId="2EB32CE4" w14:textId="77777777" w:rsidR="00E541EE" w:rsidRPr="002A4BE7" w:rsidRDefault="00E541EE" w:rsidP="00A84BB5">
            <w:pPr>
              <w:widowControl w:val="0"/>
              <w:autoSpaceDE w:val="0"/>
              <w:autoSpaceDN w:val="0"/>
              <w:ind w:right="19"/>
              <w:jc w:val="center"/>
              <w:rPr>
                <w:rFonts w:cstheme="minorHAnsi"/>
                <w:sz w:val="16"/>
                <w:lang w:val="bs-Latn"/>
              </w:rPr>
            </w:pPr>
            <w:r w:rsidRPr="002A4BE7">
              <w:rPr>
                <w:rFonts w:cstheme="minorHAnsi"/>
                <w:sz w:val="16"/>
              </w:rPr>
              <w:t>1.</w:t>
            </w:r>
            <w:r>
              <w:rPr>
                <w:rFonts w:cstheme="minorHAnsi"/>
                <w:sz w:val="16"/>
              </w:rPr>
              <w:t>1. E</w:t>
            </w:r>
            <w:r w:rsidRPr="002A4BE7">
              <w:rPr>
                <w:rFonts w:cstheme="minorHAnsi"/>
                <w:sz w:val="16"/>
              </w:rPr>
              <w:t xml:space="preserve">nergetska tranzicija </w:t>
            </w:r>
            <w:r>
              <w:rPr>
                <w:rFonts w:cstheme="minorHAnsi"/>
                <w:sz w:val="16"/>
              </w:rPr>
              <w:t>i suočavanje s posljedicama klimatskih promjena</w:t>
            </w:r>
          </w:p>
        </w:tc>
        <w:tc>
          <w:tcPr>
            <w:tcW w:w="510" w:type="pct"/>
            <w:vMerge w:val="restart"/>
            <w:shd w:val="clear" w:color="auto" w:fill="FFF1CC"/>
            <w:vAlign w:val="center"/>
          </w:tcPr>
          <w:p w14:paraId="2ACDEED6" w14:textId="77777777" w:rsidR="00E541EE" w:rsidRPr="00954AD2" w:rsidRDefault="00E541EE" w:rsidP="00A84BB5">
            <w:pPr>
              <w:widowControl w:val="0"/>
              <w:autoSpaceDE w:val="0"/>
              <w:autoSpaceDN w:val="0"/>
              <w:spacing w:before="7"/>
              <w:jc w:val="center"/>
              <w:rPr>
                <w:sz w:val="15"/>
                <w:lang w:val="bs-Latn"/>
              </w:rPr>
            </w:pPr>
          </w:p>
          <w:p w14:paraId="39505093" w14:textId="77777777" w:rsidR="00E541EE" w:rsidRPr="00954AD2" w:rsidRDefault="00E541EE" w:rsidP="00A84BB5">
            <w:pPr>
              <w:widowControl w:val="0"/>
              <w:autoSpaceDE w:val="0"/>
              <w:autoSpaceDN w:val="0"/>
              <w:ind w:left="74" w:right="63" w:hanging="4"/>
              <w:jc w:val="center"/>
              <w:rPr>
                <w:sz w:val="16"/>
                <w:lang w:val="bs-Latn"/>
              </w:rPr>
            </w:pPr>
          </w:p>
          <w:p w14:paraId="592FE028" w14:textId="77777777" w:rsidR="00E541EE" w:rsidRDefault="00E541EE" w:rsidP="00A84BB5">
            <w:pPr>
              <w:pStyle w:val="TableParagraph"/>
              <w:spacing w:before="7"/>
              <w:jc w:val="center"/>
              <w:rPr>
                <w:sz w:val="16"/>
              </w:rPr>
            </w:pPr>
            <w:r>
              <w:rPr>
                <w:sz w:val="16"/>
              </w:rPr>
              <w:t>P-1003 MJERE I AKTIVNOSTI IZ DJELOKRUGA UPRAVNOG TIJELA</w:t>
            </w:r>
          </w:p>
          <w:p w14:paraId="1CB746AF" w14:textId="77777777" w:rsidR="00E541EE" w:rsidRPr="00954AD2" w:rsidRDefault="00E541EE" w:rsidP="00A84BB5">
            <w:pPr>
              <w:widowControl w:val="0"/>
              <w:autoSpaceDE w:val="0"/>
              <w:autoSpaceDN w:val="0"/>
              <w:ind w:left="74" w:right="63" w:hanging="4"/>
              <w:jc w:val="center"/>
              <w:rPr>
                <w:sz w:val="16"/>
                <w:lang w:val="bs-Latn"/>
              </w:rPr>
            </w:pPr>
          </w:p>
          <w:p w14:paraId="3E1F6D7C" w14:textId="77777777" w:rsidR="00E541EE" w:rsidRPr="00954AD2" w:rsidRDefault="00E541EE" w:rsidP="00A84BB5">
            <w:pPr>
              <w:widowControl w:val="0"/>
              <w:autoSpaceDE w:val="0"/>
              <w:autoSpaceDN w:val="0"/>
              <w:ind w:left="74" w:right="63" w:hanging="4"/>
              <w:jc w:val="center"/>
              <w:rPr>
                <w:sz w:val="16"/>
                <w:lang w:val="bs-Latn"/>
              </w:rPr>
            </w:pPr>
          </w:p>
        </w:tc>
        <w:tc>
          <w:tcPr>
            <w:tcW w:w="450" w:type="pct"/>
            <w:vMerge w:val="restart"/>
            <w:vAlign w:val="center"/>
          </w:tcPr>
          <w:p w14:paraId="56B7F394" w14:textId="77777777" w:rsidR="00E541EE" w:rsidRPr="00954AD2" w:rsidRDefault="00E541EE" w:rsidP="00A84BB5">
            <w:pPr>
              <w:widowControl w:val="0"/>
              <w:autoSpaceDE w:val="0"/>
              <w:autoSpaceDN w:val="0"/>
              <w:ind w:left="29" w:right="11" w:firstLine="9"/>
              <w:jc w:val="center"/>
              <w:rPr>
                <w:sz w:val="16"/>
                <w:lang w:val="bs-Latn"/>
              </w:rPr>
            </w:pPr>
            <w:r>
              <w:rPr>
                <w:sz w:val="15"/>
              </w:rPr>
              <w:t>Poticanje energetske učinkovitosti i korištenje energije iz OIE</w:t>
            </w:r>
          </w:p>
        </w:tc>
        <w:tc>
          <w:tcPr>
            <w:tcW w:w="505" w:type="pct"/>
            <w:vMerge w:val="restart"/>
            <w:shd w:val="clear" w:color="auto" w:fill="FFF1CC"/>
            <w:vAlign w:val="center"/>
          </w:tcPr>
          <w:p w14:paraId="6A08642F" w14:textId="77777777" w:rsidR="00E541EE" w:rsidRPr="00954AD2" w:rsidRDefault="00E541EE" w:rsidP="00A84BB5">
            <w:pPr>
              <w:widowControl w:val="0"/>
              <w:autoSpaceDE w:val="0"/>
              <w:autoSpaceDN w:val="0"/>
              <w:jc w:val="center"/>
              <w:rPr>
                <w:sz w:val="16"/>
                <w:lang w:val="bs-Latn"/>
              </w:rPr>
            </w:pPr>
          </w:p>
          <w:p w14:paraId="5EF83CBC" w14:textId="77777777" w:rsidR="00E541EE" w:rsidRPr="00954AD2" w:rsidRDefault="00E541EE" w:rsidP="00A84BB5">
            <w:pPr>
              <w:widowControl w:val="0"/>
              <w:autoSpaceDE w:val="0"/>
              <w:autoSpaceDN w:val="0"/>
              <w:jc w:val="center"/>
              <w:rPr>
                <w:sz w:val="16"/>
                <w:lang w:val="bs-Latn"/>
              </w:rPr>
            </w:pPr>
          </w:p>
          <w:p w14:paraId="743ED415" w14:textId="77777777" w:rsidR="00E541EE" w:rsidRPr="00954AD2" w:rsidRDefault="00E541EE" w:rsidP="00A84BB5">
            <w:pPr>
              <w:widowControl w:val="0"/>
              <w:autoSpaceDE w:val="0"/>
              <w:autoSpaceDN w:val="0"/>
              <w:spacing w:before="8"/>
              <w:jc w:val="center"/>
              <w:rPr>
                <w:sz w:val="15"/>
                <w:lang w:val="bs-Latn"/>
              </w:rPr>
            </w:pPr>
          </w:p>
          <w:p w14:paraId="295B1707" w14:textId="77777777" w:rsidR="00E541EE" w:rsidRPr="00954AD2" w:rsidRDefault="00E541EE" w:rsidP="00A84BB5">
            <w:pPr>
              <w:widowControl w:val="0"/>
              <w:autoSpaceDE w:val="0"/>
              <w:autoSpaceDN w:val="0"/>
              <w:jc w:val="center"/>
              <w:rPr>
                <w:sz w:val="16"/>
                <w:lang w:val="bs-Latn"/>
              </w:rPr>
            </w:pPr>
          </w:p>
          <w:p w14:paraId="268F2283" w14:textId="77777777" w:rsidR="00E541EE" w:rsidRPr="00954AD2" w:rsidRDefault="00E541EE" w:rsidP="00A84BB5">
            <w:pPr>
              <w:widowControl w:val="0"/>
              <w:autoSpaceDE w:val="0"/>
              <w:autoSpaceDN w:val="0"/>
              <w:jc w:val="center"/>
              <w:rPr>
                <w:sz w:val="16"/>
                <w:lang w:val="bs-Latn"/>
              </w:rPr>
            </w:pPr>
          </w:p>
          <w:p w14:paraId="5C2BD38E" w14:textId="77777777" w:rsidR="00E541EE" w:rsidRPr="00954AD2" w:rsidRDefault="00E541EE" w:rsidP="00A84BB5">
            <w:pPr>
              <w:widowControl w:val="0"/>
              <w:autoSpaceDE w:val="0"/>
              <w:autoSpaceDN w:val="0"/>
              <w:jc w:val="center"/>
              <w:rPr>
                <w:sz w:val="16"/>
                <w:lang w:val="bs-Latn"/>
              </w:rPr>
            </w:pPr>
            <w:r>
              <w:rPr>
                <w:sz w:val="16"/>
                <w:lang w:val="bs-Latn"/>
              </w:rPr>
              <w:t>31.500</w:t>
            </w:r>
            <w:r w:rsidRPr="00954AD2">
              <w:rPr>
                <w:sz w:val="16"/>
                <w:lang w:val="bs-Latn"/>
              </w:rPr>
              <w:t>,00</w:t>
            </w:r>
          </w:p>
          <w:p w14:paraId="185FD1DE" w14:textId="77777777" w:rsidR="00E541EE" w:rsidRPr="00954AD2" w:rsidRDefault="00E541EE" w:rsidP="00A84BB5">
            <w:pPr>
              <w:widowControl w:val="0"/>
              <w:autoSpaceDE w:val="0"/>
              <w:autoSpaceDN w:val="0"/>
              <w:jc w:val="center"/>
              <w:rPr>
                <w:sz w:val="16"/>
                <w:lang w:val="bs-Latn"/>
              </w:rPr>
            </w:pPr>
          </w:p>
          <w:p w14:paraId="2F02FEFA" w14:textId="77777777" w:rsidR="00E541EE" w:rsidRPr="00954AD2" w:rsidRDefault="00E541EE" w:rsidP="00A84BB5">
            <w:pPr>
              <w:widowControl w:val="0"/>
              <w:autoSpaceDE w:val="0"/>
              <w:autoSpaceDN w:val="0"/>
              <w:jc w:val="center"/>
              <w:rPr>
                <w:sz w:val="16"/>
                <w:lang w:val="bs-Latn"/>
              </w:rPr>
            </w:pPr>
          </w:p>
        </w:tc>
        <w:tc>
          <w:tcPr>
            <w:tcW w:w="471" w:type="pct"/>
            <w:vMerge w:val="restart"/>
            <w:vAlign w:val="center"/>
          </w:tcPr>
          <w:p w14:paraId="20FC81AE" w14:textId="77777777" w:rsidR="00E541EE" w:rsidRPr="00003C3E" w:rsidRDefault="00E541EE" w:rsidP="00A84BB5">
            <w:pPr>
              <w:pStyle w:val="TableParagraph"/>
              <w:spacing w:before="7"/>
              <w:jc w:val="center"/>
              <w:rPr>
                <w:color w:val="000000" w:themeColor="text1"/>
                <w:sz w:val="16"/>
              </w:rPr>
            </w:pPr>
            <w:r w:rsidRPr="00003C3E">
              <w:rPr>
                <w:color w:val="000000" w:themeColor="text1"/>
                <w:sz w:val="16"/>
              </w:rPr>
              <w:t>A 100306 Aktivnost: Program</w:t>
            </w:r>
            <w:r>
              <w:rPr>
                <w:color w:val="000000" w:themeColor="text1"/>
                <w:sz w:val="16"/>
              </w:rPr>
              <w:t>i</w:t>
            </w:r>
            <w:r w:rsidRPr="00003C3E">
              <w:rPr>
                <w:color w:val="000000" w:themeColor="text1"/>
                <w:sz w:val="16"/>
              </w:rPr>
              <w:t xml:space="preserve"> energetske učinkovitosti</w:t>
            </w:r>
          </w:p>
          <w:p w14:paraId="1207C748" w14:textId="77777777" w:rsidR="00E541EE" w:rsidRPr="00954AD2" w:rsidRDefault="00E541EE" w:rsidP="00A84BB5">
            <w:pPr>
              <w:widowControl w:val="0"/>
              <w:autoSpaceDE w:val="0"/>
              <w:autoSpaceDN w:val="0"/>
              <w:ind w:left="198" w:right="180" w:hanging="4"/>
              <w:jc w:val="center"/>
              <w:rPr>
                <w:rFonts w:asciiTheme="majorHAnsi" w:hAnsiTheme="majorHAnsi" w:cstheme="majorHAnsi"/>
                <w:b/>
                <w:sz w:val="12"/>
                <w:szCs w:val="12"/>
              </w:rPr>
            </w:pPr>
          </w:p>
        </w:tc>
        <w:tc>
          <w:tcPr>
            <w:tcW w:w="486" w:type="pct"/>
            <w:shd w:val="clear" w:color="auto" w:fill="FFF1CC"/>
            <w:vAlign w:val="center"/>
          </w:tcPr>
          <w:p w14:paraId="4F74CB2E" w14:textId="77777777" w:rsidR="00E541EE" w:rsidRDefault="00E541EE" w:rsidP="00A84BB5">
            <w:pPr>
              <w:jc w:val="center"/>
              <w:rPr>
                <w:sz w:val="16"/>
              </w:rPr>
            </w:pPr>
          </w:p>
          <w:p w14:paraId="4EA37C20" w14:textId="77777777" w:rsidR="00E541EE" w:rsidRDefault="00E541EE" w:rsidP="00A84BB5">
            <w:pPr>
              <w:jc w:val="center"/>
            </w:pPr>
            <w:r>
              <w:rPr>
                <w:sz w:val="16"/>
              </w:rPr>
              <w:t>Broj javnih i društvenih objekata za koje je izrađen energetski certifikat</w:t>
            </w:r>
          </w:p>
          <w:tbl>
            <w:tblPr>
              <w:tblW w:w="0" w:type="auto"/>
              <w:tblLook w:val="04A0" w:firstRow="1" w:lastRow="0" w:firstColumn="1" w:lastColumn="0" w:noHBand="0" w:noVBand="1"/>
            </w:tblPr>
            <w:tblGrid>
              <w:gridCol w:w="236"/>
            </w:tblGrid>
            <w:tr w:rsidR="00E541EE" w:rsidRPr="00954AD2" w14:paraId="05DC5DAA" w14:textId="77777777" w:rsidTr="00A84BB5">
              <w:trPr>
                <w:trHeight w:val="227"/>
              </w:trPr>
              <w:tc>
                <w:tcPr>
                  <w:tcW w:w="236" w:type="dxa"/>
                </w:tcPr>
                <w:p w14:paraId="70DDBE59" w14:textId="77777777" w:rsidR="00E541EE" w:rsidRPr="00954AD2" w:rsidRDefault="00E541EE" w:rsidP="00A84BB5">
                  <w:pPr>
                    <w:autoSpaceDE w:val="0"/>
                    <w:autoSpaceDN w:val="0"/>
                    <w:adjustRightInd w:val="0"/>
                    <w:jc w:val="center"/>
                    <w:rPr>
                      <w:rFonts w:asciiTheme="majorHAnsi" w:hAnsiTheme="majorHAnsi" w:cstheme="majorHAnsi"/>
                      <w:sz w:val="12"/>
                      <w:szCs w:val="12"/>
                    </w:rPr>
                  </w:pPr>
                </w:p>
              </w:tc>
            </w:tr>
          </w:tbl>
          <w:p w14:paraId="7201E3A6" w14:textId="77777777" w:rsidR="00E541EE" w:rsidRPr="00954AD2" w:rsidRDefault="00E541EE" w:rsidP="00A84BB5">
            <w:pPr>
              <w:widowControl w:val="0"/>
              <w:autoSpaceDE w:val="0"/>
              <w:autoSpaceDN w:val="0"/>
              <w:spacing w:before="2"/>
              <w:jc w:val="center"/>
              <w:rPr>
                <w:rFonts w:asciiTheme="majorHAnsi" w:hAnsiTheme="majorHAnsi" w:cstheme="majorHAnsi"/>
                <w:sz w:val="12"/>
                <w:szCs w:val="12"/>
                <w:lang w:val="bs-Latn"/>
              </w:rPr>
            </w:pPr>
          </w:p>
          <w:p w14:paraId="4D874D8B" w14:textId="77777777" w:rsidR="00E541EE" w:rsidRPr="00954AD2" w:rsidRDefault="00E541EE" w:rsidP="00A84BB5">
            <w:pPr>
              <w:autoSpaceDE w:val="0"/>
              <w:autoSpaceDN w:val="0"/>
              <w:adjustRightInd w:val="0"/>
              <w:jc w:val="center"/>
              <w:rPr>
                <w:rFonts w:asciiTheme="majorHAnsi" w:hAnsiTheme="majorHAnsi" w:cstheme="majorHAnsi"/>
                <w:sz w:val="12"/>
                <w:szCs w:val="12"/>
                <w:lang w:val="bs-Latn"/>
              </w:rPr>
            </w:pPr>
          </w:p>
        </w:tc>
        <w:tc>
          <w:tcPr>
            <w:tcW w:w="596" w:type="pct"/>
            <w:shd w:val="clear" w:color="auto" w:fill="FFF1CC"/>
            <w:vAlign w:val="center"/>
          </w:tcPr>
          <w:p w14:paraId="5AB6993F" w14:textId="77777777" w:rsidR="00E541EE" w:rsidRPr="002A4BE7" w:rsidRDefault="00E541EE" w:rsidP="00A84BB5">
            <w:pPr>
              <w:autoSpaceDE w:val="0"/>
              <w:autoSpaceDN w:val="0"/>
              <w:adjustRightInd w:val="0"/>
              <w:jc w:val="center"/>
              <w:rPr>
                <w:rFonts w:cstheme="minorHAnsi"/>
                <w:sz w:val="16"/>
                <w:szCs w:val="16"/>
              </w:rPr>
            </w:pPr>
            <w:r>
              <w:rPr>
                <w:rFonts w:cstheme="minorHAnsi"/>
                <w:sz w:val="16"/>
                <w:szCs w:val="16"/>
              </w:rPr>
              <w:t>4</w:t>
            </w:r>
          </w:p>
        </w:tc>
        <w:tc>
          <w:tcPr>
            <w:tcW w:w="330" w:type="pct"/>
            <w:shd w:val="clear" w:color="auto" w:fill="FFF1CC"/>
            <w:vAlign w:val="center"/>
          </w:tcPr>
          <w:p w14:paraId="2A21F83B" w14:textId="77777777" w:rsidR="00E541EE" w:rsidRPr="002A4BE7" w:rsidRDefault="00E541EE" w:rsidP="00A84BB5">
            <w:pPr>
              <w:widowControl w:val="0"/>
              <w:autoSpaceDE w:val="0"/>
              <w:autoSpaceDN w:val="0"/>
              <w:jc w:val="center"/>
              <w:rPr>
                <w:rFonts w:cstheme="minorHAnsi"/>
                <w:sz w:val="16"/>
                <w:szCs w:val="16"/>
              </w:rPr>
            </w:pPr>
            <w:r>
              <w:rPr>
                <w:rFonts w:cstheme="minorHAnsi"/>
                <w:sz w:val="16"/>
                <w:szCs w:val="16"/>
              </w:rPr>
              <w:t>4</w:t>
            </w:r>
          </w:p>
        </w:tc>
        <w:tc>
          <w:tcPr>
            <w:tcW w:w="363" w:type="pct"/>
            <w:shd w:val="clear" w:color="auto" w:fill="FFF1CC"/>
            <w:vAlign w:val="center"/>
          </w:tcPr>
          <w:p w14:paraId="743CA9F3" w14:textId="77777777" w:rsidR="00E541EE" w:rsidRPr="002A4BE7" w:rsidRDefault="00E541EE" w:rsidP="00A84BB5">
            <w:pPr>
              <w:widowControl w:val="0"/>
              <w:autoSpaceDE w:val="0"/>
              <w:autoSpaceDN w:val="0"/>
              <w:jc w:val="center"/>
              <w:rPr>
                <w:rFonts w:cstheme="minorHAnsi"/>
                <w:spacing w:val="-1"/>
                <w:sz w:val="16"/>
                <w:szCs w:val="16"/>
              </w:rPr>
            </w:pPr>
            <w:r>
              <w:rPr>
                <w:rFonts w:cstheme="minorHAnsi"/>
                <w:sz w:val="16"/>
                <w:szCs w:val="16"/>
              </w:rPr>
              <w:t>6</w:t>
            </w:r>
          </w:p>
        </w:tc>
        <w:tc>
          <w:tcPr>
            <w:tcW w:w="307" w:type="pct"/>
            <w:shd w:val="clear" w:color="auto" w:fill="FFF1CC"/>
            <w:vAlign w:val="center"/>
          </w:tcPr>
          <w:p w14:paraId="5650CA29" w14:textId="77777777" w:rsidR="00E541EE" w:rsidRPr="002A4BE7" w:rsidRDefault="00E541EE" w:rsidP="00A84BB5">
            <w:pPr>
              <w:autoSpaceDE w:val="0"/>
              <w:autoSpaceDN w:val="0"/>
              <w:adjustRightInd w:val="0"/>
              <w:jc w:val="center"/>
              <w:rPr>
                <w:rFonts w:cstheme="minorHAnsi"/>
                <w:sz w:val="16"/>
                <w:szCs w:val="16"/>
              </w:rPr>
            </w:pPr>
            <w:r>
              <w:rPr>
                <w:rFonts w:cstheme="minorHAnsi"/>
                <w:sz w:val="16"/>
                <w:szCs w:val="16"/>
              </w:rPr>
              <w:t>6</w:t>
            </w:r>
          </w:p>
        </w:tc>
      </w:tr>
      <w:tr w:rsidR="00E541EE" w:rsidRPr="00954AD2" w14:paraId="559D6488" w14:textId="77777777" w:rsidTr="00A84BB5">
        <w:trPr>
          <w:cantSplit/>
          <w:trHeight w:val="360"/>
        </w:trPr>
        <w:tc>
          <w:tcPr>
            <w:tcW w:w="490" w:type="pct"/>
            <w:vMerge/>
            <w:vAlign w:val="center"/>
          </w:tcPr>
          <w:p w14:paraId="62B2E536" w14:textId="77777777" w:rsidR="00E541EE" w:rsidRPr="00954AD2" w:rsidRDefault="00E541EE" w:rsidP="00A84BB5">
            <w:pPr>
              <w:widowControl w:val="0"/>
              <w:autoSpaceDE w:val="0"/>
              <w:autoSpaceDN w:val="0"/>
              <w:jc w:val="center"/>
              <w:rPr>
                <w:sz w:val="16"/>
                <w:lang w:val="bs-Latn"/>
              </w:rPr>
            </w:pPr>
          </w:p>
        </w:tc>
        <w:tc>
          <w:tcPr>
            <w:tcW w:w="492" w:type="pct"/>
            <w:vMerge/>
            <w:vAlign w:val="center"/>
          </w:tcPr>
          <w:p w14:paraId="041022C3" w14:textId="77777777" w:rsidR="00E541EE" w:rsidRPr="00954AD2" w:rsidRDefault="00E541EE" w:rsidP="00A84BB5">
            <w:pPr>
              <w:widowControl w:val="0"/>
              <w:autoSpaceDE w:val="0"/>
              <w:autoSpaceDN w:val="0"/>
              <w:ind w:left="28" w:right="19" w:firstLine="2"/>
              <w:jc w:val="center"/>
              <w:rPr>
                <w:sz w:val="16"/>
                <w:lang w:val="bs-Latn"/>
              </w:rPr>
            </w:pPr>
          </w:p>
        </w:tc>
        <w:tc>
          <w:tcPr>
            <w:tcW w:w="510" w:type="pct"/>
            <w:vMerge/>
            <w:shd w:val="clear" w:color="auto" w:fill="FFF1CC"/>
            <w:vAlign w:val="center"/>
          </w:tcPr>
          <w:p w14:paraId="7A1233A8" w14:textId="77777777" w:rsidR="00E541EE" w:rsidRPr="00954AD2" w:rsidRDefault="00E541EE" w:rsidP="00A84BB5">
            <w:pPr>
              <w:widowControl w:val="0"/>
              <w:autoSpaceDE w:val="0"/>
              <w:autoSpaceDN w:val="0"/>
              <w:spacing w:before="7"/>
              <w:jc w:val="center"/>
              <w:rPr>
                <w:sz w:val="15"/>
                <w:lang w:val="bs-Latn"/>
              </w:rPr>
            </w:pPr>
          </w:p>
        </w:tc>
        <w:tc>
          <w:tcPr>
            <w:tcW w:w="450" w:type="pct"/>
            <w:vMerge/>
            <w:vAlign w:val="center"/>
          </w:tcPr>
          <w:p w14:paraId="2754A34D" w14:textId="77777777" w:rsidR="00E541EE" w:rsidRPr="00954AD2" w:rsidRDefault="00E541EE" w:rsidP="00A84BB5">
            <w:pPr>
              <w:widowControl w:val="0"/>
              <w:autoSpaceDE w:val="0"/>
              <w:autoSpaceDN w:val="0"/>
              <w:spacing w:before="7"/>
              <w:jc w:val="center"/>
              <w:rPr>
                <w:sz w:val="15"/>
                <w:lang w:val="bs-Latn"/>
              </w:rPr>
            </w:pPr>
          </w:p>
        </w:tc>
        <w:tc>
          <w:tcPr>
            <w:tcW w:w="505" w:type="pct"/>
            <w:vMerge/>
            <w:shd w:val="clear" w:color="auto" w:fill="FFF1CC"/>
            <w:vAlign w:val="center"/>
          </w:tcPr>
          <w:p w14:paraId="750990C5" w14:textId="77777777" w:rsidR="00E541EE" w:rsidRPr="00954AD2" w:rsidRDefault="00E541EE" w:rsidP="00A84BB5">
            <w:pPr>
              <w:widowControl w:val="0"/>
              <w:autoSpaceDE w:val="0"/>
              <w:autoSpaceDN w:val="0"/>
              <w:jc w:val="center"/>
              <w:rPr>
                <w:sz w:val="16"/>
                <w:lang w:val="bs-Latn"/>
              </w:rPr>
            </w:pPr>
          </w:p>
        </w:tc>
        <w:tc>
          <w:tcPr>
            <w:tcW w:w="471" w:type="pct"/>
            <w:vMerge/>
            <w:vAlign w:val="center"/>
          </w:tcPr>
          <w:p w14:paraId="0B03C091" w14:textId="77777777" w:rsidR="00E541EE" w:rsidRPr="00954AD2" w:rsidRDefault="00E541EE" w:rsidP="00A84BB5">
            <w:pPr>
              <w:widowControl w:val="0"/>
              <w:autoSpaceDE w:val="0"/>
              <w:autoSpaceDN w:val="0"/>
              <w:spacing w:before="7"/>
              <w:jc w:val="center"/>
              <w:rPr>
                <w:sz w:val="16"/>
                <w:lang w:val="bs-Latn"/>
              </w:rPr>
            </w:pPr>
          </w:p>
        </w:tc>
        <w:tc>
          <w:tcPr>
            <w:tcW w:w="486" w:type="pct"/>
            <w:shd w:val="clear" w:color="auto" w:fill="FFF1CC"/>
            <w:vAlign w:val="center"/>
          </w:tcPr>
          <w:p w14:paraId="29FF3CD7" w14:textId="77777777" w:rsidR="00E541EE" w:rsidRDefault="00E541EE" w:rsidP="00A84BB5">
            <w:pPr>
              <w:jc w:val="center"/>
            </w:pPr>
            <w:r>
              <w:rPr>
                <w:sz w:val="16"/>
              </w:rPr>
              <w:t>Broj poslovnih prostora za koje je izrađen energetski certifikat</w:t>
            </w:r>
          </w:p>
          <w:p w14:paraId="3FCDC67E" w14:textId="77777777" w:rsidR="00E541EE" w:rsidRPr="00954AD2" w:rsidRDefault="00E541EE" w:rsidP="00A84BB5">
            <w:pPr>
              <w:widowControl w:val="0"/>
              <w:autoSpaceDE w:val="0"/>
              <w:autoSpaceDN w:val="0"/>
              <w:jc w:val="center"/>
              <w:rPr>
                <w:rFonts w:asciiTheme="majorHAnsi" w:hAnsiTheme="majorHAnsi" w:cstheme="majorHAnsi"/>
                <w:sz w:val="12"/>
                <w:szCs w:val="12"/>
                <w:lang w:val="bs-Latn"/>
              </w:rPr>
            </w:pPr>
          </w:p>
        </w:tc>
        <w:tc>
          <w:tcPr>
            <w:tcW w:w="596" w:type="pct"/>
            <w:shd w:val="clear" w:color="auto" w:fill="FFF1CC"/>
            <w:vAlign w:val="center"/>
          </w:tcPr>
          <w:p w14:paraId="5444A710" w14:textId="77777777" w:rsidR="00E541EE" w:rsidRPr="002A4BE7" w:rsidRDefault="00E541EE" w:rsidP="00A84BB5">
            <w:pPr>
              <w:widowControl w:val="0"/>
              <w:autoSpaceDE w:val="0"/>
              <w:autoSpaceDN w:val="0"/>
              <w:jc w:val="center"/>
              <w:rPr>
                <w:rFonts w:cstheme="minorHAnsi"/>
                <w:sz w:val="16"/>
                <w:szCs w:val="16"/>
                <w:lang w:val="bs-Latn"/>
              </w:rPr>
            </w:pPr>
            <w:r>
              <w:rPr>
                <w:rFonts w:cstheme="minorHAnsi"/>
                <w:sz w:val="16"/>
                <w:szCs w:val="16"/>
              </w:rPr>
              <w:t>0</w:t>
            </w:r>
          </w:p>
        </w:tc>
        <w:tc>
          <w:tcPr>
            <w:tcW w:w="330" w:type="pct"/>
            <w:shd w:val="clear" w:color="auto" w:fill="FFF1CC"/>
            <w:vAlign w:val="center"/>
          </w:tcPr>
          <w:p w14:paraId="68CA021A" w14:textId="77777777" w:rsidR="00E541EE" w:rsidRDefault="00E541EE" w:rsidP="00A84BB5">
            <w:pPr>
              <w:widowControl w:val="0"/>
              <w:autoSpaceDE w:val="0"/>
              <w:autoSpaceDN w:val="0"/>
              <w:jc w:val="center"/>
              <w:rPr>
                <w:rFonts w:cstheme="minorHAnsi"/>
                <w:sz w:val="16"/>
                <w:szCs w:val="16"/>
              </w:rPr>
            </w:pPr>
          </w:p>
          <w:p w14:paraId="28BF91DD" w14:textId="77777777" w:rsidR="00E541EE" w:rsidRPr="002A4BE7" w:rsidRDefault="00E541EE" w:rsidP="00A84BB5">
            <w:pPr>
              <w:widowControl w:val="0"/>
              <w:autoSpaceDE w:val="0"/>
              <w:autoSpaceDN w:val="0"/>
              <w:jc w:val="center"/>
              <w:rPr>
                <w:rFonts w:cstheme="minorHAnsi"/>
                <w:sz w:val="16"/>
                <w:szCs w:val="16"/>
              </w:rPr>
            </w:pPr>
            <w:r>
              <w:rPr>
                <w:rFonts w:cstheme="minorHAnsi"/>
                <w:sz w:val="16"/>
                <w:szCs w:val="16"/>
              </w:rPr>
              <w:t>63</w:t>
            </w:r>
          </w:p>
        </w:tc>
        <w:tc>
          <w:tcPr>
            <w:tcW w:w="363" w:type="pct"/>
            <w:shd w:val="clear" w:color="auto" w:fill="FFF1CC"/>
            <w:vAlign w:val="center"/>
          </w:tcPr>
          <w:p w14:paraId="584B8CC5" w14:textId="77777777" w:rsidR="00E541EE" w:rsidRPr="002A4BE7" w:rsidRDefault="00E541EE" w:rsidP="00A84BB5">
            <w:pPr>
              <w:widowControl w:val="0"/>
              <w:autoSpaceDE w:val="0"/>
              <w:autoSpaceDN w:val="0"/>
              <w:jc w:val="center"/>
              <w:rPr>
                <w:rFonts w:cstheme="minorHAnsi"/>
                <w:sz w:val="16"/>
                <w:szCs w:val="16"/>
              </w:rPr>
            </w:pPr>
            <w:r>
              <w:rPr>
                <w:rFonts w:cstheme="minorHAnsi"/>
                <w:sz w:val="16"/>
                <w:szCs w:val="16"/>
              </w:rPr>
              <w:t>105</w:t>
            </w:r>
          </w:p>
        </w:tc>
        <w:tc>
          <w:tcPr>
            <w:tcW w:w="307" w:type="pct"/>
            <w:shd w:val="clear" w:color="auto" w:fill="FFF1CC"/>
            <w:vAlign w:val="center"/>
          </w:tcPr>
          <w:p w14:paraId="65645853" w14:textId="77777777" w:rsidR="00E541EE" w:rsidRPr="002A4BE7" w:rsidRDefault="00E541EE" w:rsidP="00A84BB5">
            <w:pPr>
              <w:widowControl w:val="0"/>
              <w:autoSpaceDE w:val="0"/>
              <w:autoSpaceDN w:val="0"/>
              <w:jc w:val="center"/>
              <w:rPr>
                <w:rFonts w:cstheme="minorHAnsi"/>
                <w:sz w:val="16"/>
                <w:szCs w:val="16"/>
                <w:lang w:val="bs-Latn"/>
              </w:rPr>
            </w:pPr>
            <w:r>
              <w:rPr>
                <w:rFonts w:cstheme="minorHAnsi"/>
                <w:sz w:val="16"/>
                <w:szCs w:val="16"/>
              </w:rPr>
              <w:t>155</w:t>
            </w:r>
          </w:p>
        </w:tc>
      </w:tr>
    </w:tbl>
    <w:p w14:paraId="1226A354" w14:textId="77777777" w:rsidR="00E541EE" w:rsidRPr="00B7107E" w:rsidRDefault="00E541EE" w:rsidP="00E541EE">
      <w:pPr>
        <w:jc w:val="both"/>
        <w:rPr>
          <w:rFonts w:ascii="Arial" w:eastAsia="Times New Roman" w:hAnsi="Arial" w:cs="Arial"/>
          <w:sz w:val="24"/>
          <w:lang w:val="sl-SI"/>
        </w:rPr>
      </w:pPr>
    </w:p>
    <w:p w14:paraId="6F5492E6" w14:textId="77777777" w:rsidR="00E541EE" w:rsidRPr="00B7107E" w:rsidRDefault="00E541EE" w:rsidP="00E541EE">
      <w:pPr>
        <w:pBdr>
          <w:top w:val="single" w:sz="4" w:space="1" w:color="auto"/>
          <w:left w:val="single" w:sz="4" w:space="4" w:color="auto"/>
          <w:bottom w:val="single" w:sz="4" w:space="1" w:color="auto"/>
          <w:right w:val="single" w:sz="4" w:space="4" w:color="auto"/>
        </w:pBdr>
        <w:shd w:val="clear" w:color="auto" w:fill="E9E9E9"/>
        <w:ind w:right="-1"/>
        <w:rPr>
          <w:rFonts w:ascii="Arial" w:eastAsia="Times New Roman" w:hAnsi="Arial" w:cs="Arial"/>
          <w:b/>
          <w:color w:val="000000" w:themeColor="text1"/>
          <w:sz w:val="24"/>
          <w:lang w:val="sl-SI"/>
        </w:rPr>
      </w:pPr>
      <w:r w:rsidRPr="00B7107E">
        <w:rPr>
          <w:rFonts w:ascii="Arial" w:eastAsia="Times New Roman" w:hAnsi="Arial" w:cs="Arial"/>
          <w:b/>
          <w:color w:val="000000" w:themeColor="text1"/>
          <w:sz w:val="24"/>
          <w:lang w:val="sl-SI"/>
        </w:rPr>
        <w:t xml:space="preserve">T 100302: </w:t>
      </w:r>
      <w:r w:rsidRPr="00B7107E">
        <w:rPr>
          <w:rFonts w:ascii="Arial" w:eastAsia="Times New Roman" w:hAnsi="Arial" w:cs="Arial"/>
          <w:b/>
          <w:bCs/>
          <w:color w:val="000000" w:themeColor="text1"/>
          <w:sz w:val="24"/>
        </w:rPr>
        <w:t xml:space="preserve">Priprema radova i izvanredne potrebe </w:t>
      </w:r>
      <w:r w:rsidRPr="00B7107E">
        <w:rPr>
          <w:rFonts w:ascii="Arial" w:eastAsia="Times New Roman" w:hAnsi="Arial" w:cs="Arial"/>
          <w:b/>
          <w:color w:val="000000" w:themeColor="text1"/>
          <w:sz w:val="24"/>
          <w:lang w:val="sl-SI"/>
        </w:rPr>
        <w:t>= 85.000,00 EUR</w:t>
      </w:r>
    </w:p>
    <w:p w14:paraId="1A94630A" w14:textId="77777777" w:rsidR="00E541EE" w:rsidRPr="00B7107E" w:rsidRDefault="00E541EE" w:rsidP="00E541EE">
      <w:pPr>
        <w:jc w:val="both"/>
        <w:rPr>
          <w:rFonts w:ascii="Arial" w:eastAsia="Times New Roman" w:hAnsi="Arial" w:cs="Arial"/>
          <w:color w:val="000000" w:themeColor="text1"/>
          <w:sz w:val="24"/>
        </w:rPr>
      </w:pPr>
      <w:r w:rsidRPr="00B7107E">
        <w:rPr>
          <w:rFonts w:ascii="Arial" w:eastAsia="Times New Roman" w:hAnsi="Arial" w:cs="Arial"/>
          <w:b/>
          <w:bCs/>
          <w:color w:val="000000" w:themeColor="text1"/>
          <w:sz w:val="24"/>
        </w:rPr>
        <w:t xml:space="preserve">Zakonska osnova: </w:t>
      </w:r>
      <w:r w:rsidRPr="00B7107E">
        <w:rPr>
          <w:rFonts w:ascii="Arial" w:eastAsia="Times New Roman" w:hAnsi="Arial" w:cs="Arial"/>
          <w:color w:val="000000" w:themeColor="text1"/>
          <w:sz w:val="24"/>
        </w:rPr>
        <w:t>Zakon o lokalnoj i područnoj (regionalnoj) samoupravi, Zakon o prostornom uređenju, Zakon o gradnji, Zakon o vlasništvu i drugim stvarnim pravima, Zakon o energetskoj učinkovitosti, Zakon o zaštiti i očuvanju kulturnih dobara, Zakon o vodama, Zakon o financiranju vodnoga gospodarstva i dr.</w:t>
      </w:r>
    </w:p>
    <w:p w14:paraId="49A8363F" w14:textId="77777777" w:rsidR="00E541EE" w:rsidRPr="00B7107E" w:rsidRDefault="00E541EE" w:rsidP="00E541EE">
      <w:pPr>
        <w:jc w:val="both"/>
        <w:rPr>
          <w:rFonts w:ascii="Arial" w:eastAsia="Times New Roman" w:hAnsi="Arial" w:cs="Arial"/>
          <w:color w:val="000000" w:themeColor="text1"/>
          <w:sz w:val="24"/>
        </w:rPr>
      </w:pPr>
      <w:r w:rsidRPr="00B7107E">
        <w:rPr>
          <w:rFonts w:ascii="Arial" w:eastAsia="Times New Roman" w:hAnsi="Arial" w:cs="Arial"/>
          <w:b/>
          <w:bCs/>
          <w:color w:val="000000" w:themeColor="text1"/>
          <w:sz w:val="24"/>
        </w:rPr>
        <w:t>Opis:</w:t>
      </w:r>
      <w:r w:rsidRPr="00B7107E">
        <w:rPr>
          <w:rFonts w:ascii="Arial" w:eastAsia="Times New Roman" w:hAnsi="Arial" w:cs="Arial"/>
          <w:color w:val="000000" w:themeColor="text1"/>
          <w:sz w:val="24"/>
        </w:rPr>
        <w:t xml:space="preserve"> ovim sredstvima financira se pružanje nepredviđenih ili izvanrednih radova i usluga radova na objektima u vlasništvu Grada te za uplate vodnog doprinosa.</w:t>
      </w:r>
    </w:p>
    <w:p w14:paraId="5535F0E4" w14:textId="77777777" w:rsidR="00E541EE" w:rsidRPr="00B7107E" w:rsidRDefault="00E541EE" w:rsidP="00E541EE">
      <w:pPr>
        <w:jc w:val="both"/>
        <w:rPr>
          <w:rFonts w:ascii="Arial" w:eastAsia="Times New Roman" w:hAnsi="Arial" w:cs="Arial"/>
          <w:color w:val="000000" w:themeColor="text1"/>
          <w:sz w:val="24"/>
        </w:rPr>
      </w:pPr>
      <w:r w:rsidRPr="00B7107E">
        <w:rPr>
          <w:rFonts w:ascii="Arial" w:eastAsia="Times New Roman" w:hAnsi="Arial" w:cs="Arial"/>
          <w:b/>
          <w:bCs/>
          <w:color w:val="000000" w:themeColor="text1"/>
          <w:sz w:val="24"/>
        </w:rPr>
        <w:t>Opći cilj:</w:t>
      </w:r>
      <w:r w:rsidRPr="00B7107E">
        <w:rPr>
          <w:rFonts w:ascii="Arial" w:eastAsia="Times New Roman" w:hAnsi="Arial" w:cs="Arial"/>
          <w:color w:val="000000" w:themeColor="text1"/>
          <w:sz w:val="24"/>
        </w:rPr>
        <w:t xml:space="preserve"> kroz ovu aktivnost predviđa se osigurati mogućnost pripreme radova i intervencije za izvanredne potrebe na gradskim objektima te potrebne prateće aktivnosti odjela.</w:t>
      </w:r>
    </w:p>
    <w:p w14:paraId="11674B26" w14:textId="77777777" w:rsidR="00E541EE" w:rsidRDefault="00E541EE" w:rsidP="00E541EE">
      <w:pPr>
        <w:jc w:val="both"/>
        <w:rPr>
          <w:rFonts w:ascii="Arial" w:eastAsia="Times New Roman" w:hAnsi="Arial" w:cs="Arial"/>
          <w:color w:val="000000" w:themeColor="text1"/>
          <w:sz w:val="24"/>
        </w:rPr>
      </w:pPr>
      <w:r w:rsidRPr="00B7107E">
        <w:rPr>
          <w:rFonts w:ascii="Arial" w:eastAsia="Times New Roman" w:hAnsi="Arial" w:cs="Arial"/>
          <w:b/>
          <w:bCs/>
          <w:color w:val="000000" w:themeColor="text1"/>
          <w:sz w:val="24"/>
        </w:rPr>
        <w:t>Pokazatelj uspješnosti:</w:t>
      </w:r>
      <w:r w:rsidRPr="00B7107E">
        <w:rPr>
          <w:rFonts w:ascii="Arial" w:eastAsia="Times New Roman" w:hAnsi="Arial" w:cs="Arial"/>
          <w:color w:val="000000" w:themeColor="text1"/>
          <w:sz w:val="24"/>
        </w:rPr>
        <w:t xml:space="preserve"> ostvarene interventne usluge i radovi na nekretninama u vlasništvu Grada prema iskazanim potrebama.</w:t>
      </w:r>
    </w:p>
    <w:p w14:paraId="42BAAEFF" w14:textId="77777777" w:rsidR="00E541EE" w:rsidRDefault="00E541EE" w:rsidP="00E541EE">
      <w:pPr>
        <w:jc w:val="both"/>
        <w:rPr>
          <w:rFonts w:ascii="Arial" w:eastAsia="Times New Roman" w:hAnsi="Arial" w:cs="Arial"/>
          <w:color w:val="000000" w:themeColor="text1"/>
          <w:sz w:val="24"/>
        </w:rPr>
      </w:pPr>
    </w:p>
    <w:p w14:paraId="0ED83D56" w14:textId="77777777" w:rsidR="00E541EE" w:rsidRPr="00B7107E" w:rsidRDefault="00E541EE" w:rsidP="00E541EE">
      <w:pPr>
        <w:pBdr>
          <w:top w:val="single" w:sz="4" w:space="1" w:color="auto"/>
          <w:left w:val="single" w:sz="4" w:space="4" w:color="auto"/>
          <w:bottom w:val="single" w:sz="4" w:space="1" w:color="auto"/>
          <w:right w:val="single" w:sz="4" w:space="4" w:color="auto"/>
        </w:pBdr>
        <w:shd w:val="clear" w:color="auto" w:fill="E9E9E9"/>
        <w:ind w:right="-1"/>
        <w:rPr>
          <w:rFonts w:ascii="Arial" w:eastAsia="Times New Roman" w:hAnsi="Arial" w:cs="Arial"/>
          <w:b/>
          <w:color w:val="000000" w:themeColor="text1"/>
          <w:sz w:val="24"/>
          <w:lang w:val="sl-SI"/>
        </w:rPr>
      </w:pPr>
      <w:r w:rsidRPr="00B7107E">
        <w:rPr>
          <w:rFonts w:ascii="Arial" w:eastAsia="Times New Roman" w:hAnsi="Arial" w:cs="Arial"/>
          <w:b/>
          <w:color w:val="000000" w:themeColor="text1"/>
          <w:sz w:val="24"/>
          <w:lang w:val="sl-SI"/>
        </w:rPr>
        <w:t xml:space="preserve">T 100304: </w:t>
      </w:r>
      <w:r w:rsidRPr="00B7107E">
        <w:rPr>
          <w:rFonts w:ascii="Arial" w:eastAsia="Times New Roman" w:hAnsi="Arial" w:cs="Arial"/>
          <w:b/>
          <w:bCs/>
          <w:color w:val="000000" w:themeColor="text1"/>
          <w:sz w:val="24"/>
        </w:rPr>
        <w:t xml:space="preserve">Priključci na komunalnu infrastrukturu </w:t>
      </w:r>
      <w:r w:rsidRPr="00B7107E">
        <w:rPr>
          <w:rFonts w:ascii="Arial" w:eastAsia="Times New Roman" w:hAnsi="Arial" w:cs="Arial"/>
          <w:b/>
          <w:color w:val="000000" w:themeColor="text1"/>
          <w:sz w:val="24"/>
          <w:lang w:val="sl-SI"/>
        </w:rPr>
        <w:t>= 85.000,00 EUR</w:t>
      </w:r>
    </w:p>
    <w:p w14:paraId="18B5D7C6" w14:textId="77777777" w:rsidR="00E541EE" w:rsidRPr="00B7107E" w:rsidRDefault="00E541EE" w:rsidP="00E541EE">
      <w:pPr>
        <w:jc w:val="both"/>
        <w:rPr>
          <w:rFonts w:ascii="Arial" w:eastAsia="Times New Roman" w:hAnsi="Arial" w:cs="Arial"/>
          <w:color w:val="000000" w:themeColor="text1"/>
          <w:sz w:val="24"/>
          <w:szCs w:val="24"/>
        </w:rPr>
      </w:pPr>
      <w:r w:rsidRPr="00B7107E">
        <w:rPr>
          <w:rFonts w:ascii="Arial" w:eastAsia="Times New Roman" w:hAnsi="Arial" w:cs="Arial"/>
          <w:b/>
          <w:bCs/>
          <w:color w:val="000000" w:themeColor="text1"/>
          <w:sz w:val="24"/>
        </w:rPr>
        <w:t>Zakonska osnova:</w:t>
      </w:r>
      <w:r w:rsidRPr="00B7107E">
        <w:rPr>
          <w:rFonts w:ascii="Arial" w:eastAsia="Times New Roman" w:hAnsi="Arial" w:cs="Arial"/>
          <w:color w:val="000000" w:themeColor="text1"/>
          <w:sz w:val="24"/>
        </w:rPr>
        <w:t xml:space="preserve"> Zakon o lokalnoj i područnoj (regionalnoj) samoupravi, Zakon o </w:t>
      </w:r>
      <w:r w:rsidRPr="00B7107E">
        <w:rPr>
          <w:rFonts w:ascii="Arial" w:eastAsia="Times New Roman" w:hAnsi="Arial" w:cs="Arial"/>
          <w:color w:val="000000" w:themeColor="text1"/>
          <w:sz w:val="24"/>
          <w:szCs w:val="24"/>
        </w:rPr>
        <w:t>prostornom uređenju, Zakon o gradnji, Zakon o vodama, Zakon o energiji.</w:t>
      </w:r>
    </w:p>
    <w:p w14:paraId="13237E01" w14:textId="77777777" w:rsidR="00E541EE" w:rsidRPr="00B7107E" w:rsidRDefault="00E541EE" w:rsidP="00E541EE">
      <w:pPr>
        <w:pStyle w:val="Bezproreda"/>
        <w:jc w:val="both"/>
        <w:rPr>
          <w:rFonts w:ascii="Arial" w:hAnsi="Arial" w:cs="Arial"/>
          <w:color w:val="000000" w:themeColor="text1"/>
          <w:sz w:val="24"/>
          <w:szCs w:val="24"/>
          <w:lang w:eastAsia="hr-HR"/>
        </w:rPr>
      </w:pPr>
      <w:r w:rsidRPr="00B7107E">
        <w:rPr>
          <w:rFonts w:ascii="Arial" w:hAnsi="Arial" w:cs="Arial"/>
          <w:b/>
          <w:bCs/>
          <w:color w:val="000000" w:themeColor="text1"/>
          <w:sz w:val="24"/>
          <w:szCs w:val="24"/>
          <w:lang w:eastAsia="hr-HR"/>
        </w:rPr>
        <w:t>Opis:</w:t>
      </w:r>
      <w:r w:rsidRPr="00B7107E">
        <w:rPr>
          <w:rFonts w:ascii="Arial" w:hAnsi="Arial" w:cs="Arial"/>
          <w:color w:val="000000" w:themeColor="text1"/>
          <w:sz w:val="24"/>
          <w:szCs w:val="24"/>
          <w:lang w:eastAsia="hr-HR"/>
        </w:rPr>
        <w:t xml:space="preserve"> ovim sredstvima financira se izrada priključaka sukladno iskazanim potrebama i uvjetima distributera komunalne infrastrukture.</w:t>
      </w:r>
    </w:p>
    <w:p w14:paraId="53A5B33F" w14:textId="77777777" w:rsidR="00E541EE" w:rsidRPr="00B7107E" w:rsidRDefault="00E541EE" w:rsidP="00E541EE">
      <w:pPr>
        <w:pStyle w:val="Bezproreda"/>
        <w:jc w:val="both"/>
        <w:rPr>
          <w:rFonts w:ascii="Arial" w:hAnsi="Arial" w:cs="Arial"/>
          <w:color w:val="000000" w:themeColor="text1"/>
          <w:sz w:val="24"/>
          <w:szCs w:val="24"/>
          <w:lang w:eastAsia="hr-HR"/>
        </w:rPr>
      </w:pPr>
      <w:r w:rsidRPr="00B7107E">
        <w:rPr>
          <w:rFonts w:ascii="Arial" w:hAnsi="Arial" w:cs="Arial"/>
          <w:b/>
          <w:bCs/>
          <w:color w:val="000000" w:themeColor="text1"/>
          <w:sz w:val="24"/>
          <w:szCs w:val="24"/>
          <w:lang w:eastAsia="hr-HR"/>
        </w:rPr>
        <w:t>Opći cilj:</w:t>
      </w:r>
      <w:r w:rsidRPr="00B7107E">
        <w:rPr>
          <w:rFonts w:ascii="Arial" w:hAnsi="Arial" w:cs="Arial"/>
          <w:color w:val="000000" w:themeColor="text1"/>
          <w:sz w:val="24"/>
          <w:szCs w:val="24"/>
          <w:lang w:eastAsia="hr-HR"/>
        </w:rPr>
        <w:t xml:space="preserve"> kroz ovu aktivnost predviđa se osigurati potrebne priključke na komunalnu infrastrukturu, vodu, struju, plin i kanalizacijski priključak za stambene, poslovne i druge prostore u vlasništvu Grada. </w:t>
      </w:r>
    </w:p>
    <w:p w14:paraId="16DA4B49" w14:textId="77777777" w:rsidR="00E541EE" w:rsidRPr="00B7107E" w:rsidRDefault="00E541EE" w:rsidP="00E541EE">
      <w:pPr>
        <w:pStyle w:val="Bezproreda"/>
        <w:jc w:val="both"/>
        <w:rPr>
          <w:rFonts w:ascii="Arial" w:hAnsi="Arial" w:cs="Arial"/>
          <w:color w:val="000000" w:themeColor="text1"/>
          <w:sz w:val="24"/>
          <w:szCs w:val="24"/>
          <w:lang w:eastAsia="hr-HR"/>
        </w:rPr>
      </w:pPr>
      <w:r w:rsidRPr="00B7107E">
        <w:rPr>
          <w:rFonts w:ascii="Arial" w:hAnsi="Arial" w:cs="Arial"/>
          <w:b/>
          <w:bCs/>
          <w:color w:val="000000" w:themeColor="text1"/>
          <w:sz w:val="24"/>
          <w:szCs w:val="24"/>
          <w:lang w:eastAsia="hr-HR"/>
        </w:rPr>
        <w:t>Pokazatelj uspješnosti:</w:t>
      </w:r>
      <w:r w:rsidRPr="00B7107E">
        <w:rPr>
          <w:rFonts w:ascii="Arial" w:hAnsi="Arial" w:cs="Arial"/>
          <w:color w:val="000000" w:themeColor="text1"/>
          <w:sz w:val="24"/>
          <w:szCs w:val="24"/>
          <w:lang w:eastAsia="hr-HR"/>
        </w:rPr>
        <w:t xml:space="preserve"> izvedeni potrebni priključci na komunalnu infrastrukturu, vodu, struju, plin i kanalizacijski priključak za stambene, poslovne i druge prostore u vlasništvu Grada.</w:t>
      </w:r>
    </w:p>
    <w:p w14:paraId="4F86E95D" w14:textId="77777777" w:rsidR="00E541EE" w:rsidRPr="00B7107E" w:rsidRDefault="00E541EE" w:rsidP="00E541EE">
      <w:pPr>
        <w:jc w:val="both"/>
        <w:rPr>
          <w:rFonts w:ascii="Arial" w:eastAsia="Times New Roman" w:hAnsi="Arial" w:cs="Arial"/>
          <w:color w:val="000000" w:themeColor="text1"/>
          <w:sz w:val="24"/>
        </w:rPr>
      </w:pPr>
    </w:p>
    <w:p w14:paraId="05B37752" w14:textId="77777777" w:rsidR="00E541EE" w:rsidRPr="00B7107E" w:rsidRDefault="00E541EE" w:rsidP="00E541EE">
      <w:pPr>
        <w:pBdr>
          <w:top w:val="single" w:sz="4" w:space="1" w:color="auto"/>
          <w:left w:val="single" w:sz="4" w:space="4" w:color="auto"/>
          <w:bottom w:val="single" w:sz="4" w:space="1" w:color="auto"/>
          <w:right w:val="single" w:sz="4" w:space="4" w:color="auto"/>
        </w:pBdr>
        <w:shd w:val="clear" w:color="auto" w:fill="E9E9E9"/>
        <w:ind w:right="-1"/>
        <w:rPr>
          <w:rFonts w:ascii="Arial" w:eastAsia="Times New Roman" w:hAnsi="Arial" w:cs="Arial"/>
          <w:b/>
          <w:color w:val="000000" w:themeColor="text1"/>
          <w:sz w:val="24"/>
          <w:lang w:val="sl-SI"/>
        </w:rPr>
      </w:pPr>
      <w:r w:rsidRPr="00B7107E">
        <w:rPr>
          <w:rFonts w:ascii="Arial" w:eastAsia="Times New Roman" w:hAnsi="Arial" w:cs="Arial"/>
          <w:b/>
          <w:color w:val="000000" w:themeColor="text1"/>
          <w:sz w:val="24"/>
          <w:lang w:val="sl-SI"/>
        </w:rPr>
        <w:t>A 100306: Program energetske učinkovitosti = 31.500,00 EUR</w:t>
      </w:r>
    </w:p>
    <w:p w14:paraId="50F532CB" w14:textId="77777777" w:rsidR="00E541EE" w:rsidRPr="00B7107E" w:rsidRDefault="00E541EE" w:rsidP="00E541EE">
      <w:pPr>
        <w:jc w:val="both"/>
        <w:rPr>
          <w:rFonts w:ascii="Arial" w:eastAsia="Times New Roman" w:hAnsi="Arial" w:cs="Arial"/>
          <w:color w:val="000000" w:themeColor="text1"/>
          <w:sz w:val="24"/>
        </w:rPr>
      </w:pPr>
      <w:r w:rsidRPr="00B7107E">
        <w:rPr>
          <w:rFonts w:ascii="Arial" w:eastAsia="Times New Roman" w:hAnsi="Arial" w:cs="Arial"/>
          <w:b/>
          <w:bCs/>
          <w:color w:val="000000" w:themeColor="text1"/>
          <w:sz w:val="24"/>
        </w:rPr>
        <w:t>Zakonska osnova:</w:t>
      </w:r>
      <w:r w:rsidRPr="00B7107E">
        <w:rPr>
          <w:rFonts w:ascii="Arial" w:eastAsia="Times New Roman" w:hAnsi="Arial" w:cs="Arial"/>
          <w:color w:val="000000" w:themeColor="text1"/>
          <w:sz w:val="24"/>
        </w:rPr>
        <w:t xml:space="preserve"> Zakon o lokalnoj i područnoj (regionalnoj) samoupravi, Zakon o prostornom uređenju, Zakon o gradnji, Zakon o energetskoj učinkovitosti</w:t>
      </w:r>
    </w:p>
    <w:p w14:paraId="69AA83D0" w14:textId="77777777" w:rsidR="00E541EE" w:rsidRPr="00B7107E" w:rsidRDefault="00E541EE" w:rsidP="00E541EE">
      <w:pPr>
        <w:jc w:val="both"/>
        <w:rPr>
          <w:rFonts w:ascii="Arial" w:eastAsia="Times New Roman" w:hAnsi="Arial" w:cs="Arial"/>
          <w:color w:val="000000" w:themeColor="text1"/>
          <w:sz w:val="24"/>
        </w:rPr>
      </w:pPr>
      <w:r w:rsidRPr="00B7107E">
        <w:rPr>
          <w:rFonts w:ascii="Arial" w:eastAsia="Times New Roman" w:hAnsi="Arial" w:cs="Arial"/>
          <w:b/>
          <w:bCs/>
          <w:color w:val="000000" w:themeColor="text1"/>
          <w:sz w:val="24"/>
        </w:rPr>
        <w:t>Opis:</w:t>
      </w:r>
      <w:r w:rsidRPr="00B7107E">
        <w:rPr>
          <w:rFonts w:ascii="Arial" w:eastAsia="Times New Roman" w:hAnsi="Arial" w:cs="Arial"/>
          <w:color w:val="000000" w:themeColor="text1"/>
          <w:sz w:val="24"/>
        </w:rPr>
        <w:t xml:space="preserve"> ovim sredstvima financiraju se mjere vezane za smanjenje utroška energije u objektima u vlasništvu Grada i ekološkog zagađenja prostora te izrada energetskih certifikata.</w:t>
      </w:r>
    </w:p>
    <w:p w14:paraId="4D8FBC3F" w14:textId="77777777" w:rsidR="00E541EE" w:rsidRPr="00B7107E" w:rsidRDefault="00E541EE" w:rsidP="00E541EE">
      <w:pPr>
        <w:jc w:val="both"/>
        <w:rPr>
          <w:rFonts w:ascii="Arial" w:eastAsia="Times New Roman" w:hAnsi="Arial" w:cs="Arial"/>
          <w:color w:val="000000" w:themeColor="text1"/>
          <w:sz w:val="24"/>
        </w:rPr>
      </w:pPr>
      <w:r w:rsidRPr="00B7107E">
        <w:rPr>
          <w:rFonts w:ascii="Arial" w:eastAsia="Times New Roman" w:hAnsi="Arial" w:cs="Arial"/>
          <w:b/>
          <w:bCs/>
          <w:color w:val="000000" w:themeColor="text1"/>
          <w:sz w:val="24"/>
        </w:rPr>
        <w:t>Opći cilj:</w:t>
      </w:r>
      <w:r w:rsidRPr="00B7107E">
        <w:rPr>
          <w:rFonts w:ascii="Arial" w:eastAsia="Times New Roman" w:hAnsi="Arial" w:cs="Arial"/>
          <w:color w:val="000000" w:themeColor="text1"/>
          <w:sz w:val="24"/>
        </w:rPr>
        <w:t xml:space="preserve"> sukladno programu SEAP (Sustainable Energy Action Plan) - Akcijskom planu energetski održivog razvoja Grada Rovinja-Rovigno nastavljamo sa  projektima financiranja ili sufinanciranja radova za povećanje energetske učinkovitosti i/ili obnovljivih izvora energije te javne rasvjete. U okviru osiguranih sredstava iz gradskog Proračuna nastaviti će se s izgradnjom solarne LED rasvjete</w:t>
      </w:r>
      <w:r>
        <w:rPr>
          <w:rFonts w:ascii="Arial" w:eastAsia="Times New Roman" w:hAnsi="Arial" w:cs="Arial"/>
          <w:color w:val="000000" w:themeColor="text1"/>
          <w:sz w:val="24"/>
        </w:rPr>
        <w:t xml:space="preserve"> te</w:t>
      </w:r>
      <w:r w:rsidRPr="00B7107E">
        <w:rPr>
          <w:rFonts w:ascii="Arial" w:eastAsia="Times New Roman" w:hAnsi="Arial" w:cs="Arial"/>
          <w:color w:val="000000" w:themeColor="text1"/>
          <w:sz w:val="24"/>
        </w:rPr>
        <w:t xml:space="preserve"> </w:t>
      </w:r>
      <w:r>
        <w:rPr>
          <w:rFonts w:ascii="Arial" w:eastAsia="Times New Roman" w:hAnsi="Arial" w:cs="Arial"/>
          <w:color w:val="000000" w:themeColor="text1"/>
          <w:sz w:val="24"/>
        </w:rPr>
        <w:t>i</w:t>
      </w:r>
      <w:r w:rsidRPr="00B7107E">
        <w:rPr>
          <w:rFonts w:ascii="Arial" w:eastAsia="Times New Roman" w:hAnsi="Arial" w:cs="Arial"/>
          <w:color w:val="000000" w:themeColor="text1"/>
          <w:sz w:val="24"/>
        </w:rPr>
        <w:t>zrad</w:t>
      </w:r>
      <w:r>
        <w:rPr>
          <w:rFonts w:ascii="Arial" w:eastAsia="Times New Roman" w:hAnsi="Arial" w:cs="Arial"/>
          <w:color w:val="000000" w:themeColor="text1"/>
          <w:sz w:val="24"/>
        </w:rPr>
        <w:t>om</w:t>
      </w:r>
      <w:r w:rsidRPr="00B7107E">
        <w:rPr>
          <w:rFonts w:ascii="Arial" w:eastAsia="Times New Roman" w:hAnsi="Arial" w:cs="Arial"/>
          <w:color w:val="000000" w:themeColor="text1"/>
          <w:sz w:val="24"/>
        </w:rPr>
        <w:t xml:space="preserve"> energetskih certifikata</w:t>
      </w:r>
      <w:r>
        <w:rPr>
          <w:rFonts w:ascii="Arial" w:eastAsia="Times New Roman" w:hAnsi="Arial" w:cs="Arial"/>
          <w:color w:val="000000" w:themeColor="text1"/>
          <w:sz w:val="24"/>
        </w:rPr>
        <w:t xml:space="preserve"> za objekte i prostore u vlasništvu grada. Solarna javna rasvjeta postaviti će se na području prilaza i parkinga Cuvi i nogometnog igrališta Kunfin u Rovinjskom Selu.</w:t>
      </w:r>
    </w:p>
    <w:p w14:paraId="1E359621" w14:textId="77777777" w:rsidR="00E541EE" w:rsidRPr="00B7107E" w:rsidRDefault="00E541EE" w:rsidP="00E541EE">
      <w:pPr>
        <w:jc w:val="both"/>
        <w:rPr>
          <w:rFonts w:ascii="Arial" w:eastAsia="Times New Roman" w:hAnsi="Arial" w:cs="Arial"/>
          <w:color w:val="000000" w:themeColor="text1"/>
          <w:sz w:val="24"/>
        </w:rPr>
      </w:pPr>
      <w:r w:rsidRPr="00B7107E">
        <w:rPr>
          <w:rFonts w:ascii="Arial" w:eastAsia="Times New Roman" w:hAnsi="Arial" w:cs="Arial"/>
          <w:b/>
          <w:bCs/>
          <w:color w:val="000000" w:themeColor="text1"/>
          <w:sz w:val="24"/>
        </w:rPr>
        <w:t>Pokazatelj uspješnosti:</w:t>
      </w:r>
      <w:r w:rsidRPr="00B7107E">
        <w:rPr>
          <w:rFonts w:ascii="Arial" w:eastAsia="Times New Roman" w:hAnsi="Arial" w:cs="Arial"/>
          <w:color w:val="000000" w:themeColor="text1"/>
          <w:sz w:val="24"/>
        </w:rPr>
        <w:t xml:space="preserve"> realizacija programa energetske učinkovitosti.</w:t>
      </w:r>
    </w:p>
    <w:p w14:paraId="08CD3048" w14:textId="77777777" w:rsidR="00E541EE" w:rsidRDefault="00E541EE" w:rsidP="00E541EE">
      <w:pPr>
        <w:rPr>
          <w:rFonts w:ascii="Arial" w:eastAsia="Times New Roman" w:hAnsi="Arial" w:cs="Arial"/>
          <w:sz w:val="24"/>
          <w:szCs w:val="24"/>
        </w:rPr>
      </w:pPr>
    </w:p>
    <w:p w14:paraId="42C1E7CA" w14:textId="77777777" w:rsidR="00E541EE" w:rsidRPr="00AC2206" w:rsidRDefault="00E541EE" w:rsidP="00E541EE">
      <w:pPr>
        <w:pBdr>
          <w:top w:val="single" w:sz="4" w:space="1" w:color="auto"/>
          <w:left w:val="single" w:sz="4" w:space="4" w:color="auto"/>
          <w:bottom w:val="single" w:sz="4" w:space="0" w:color="auto"/>
          <w:right w:val="single" w:sz="4" w:space="4" w:color="auto"/>
        </w:pBdr>
        <w:shd w:val="clear" w:color="auto" w:fill="FFCB97"/>
        <w:rPr>
          <w:rFonts w:ascii="Arial" w:eastAsia="Times New Roman" w:hAnsi="Arial" w:cs="Arial"/>
          <w:b/>
          <w:bCs/>
          <w:sz w:val="24"/>
          <w:szCs w:val="24"/>
        </w:rPr>
      </w:pPr>
      <w:r w:rsidRPr="00AC2206">
        <w:rPr>
          <w:rFonts w:ascii="Arial" w:eastAsia="Times New Roman" w:hAnsi="Arial" w:cs="Arial"/>
          <w:b/>
          <w:bCs/>
          <w:sz w:val="24"/>
          <w:szCs w:val="24"/>
        </w:rPr>
        <w:t xml:space="preserve">Razdjel 007:  UPRAVNI ODJEL ZA DRUŠTVENE DJELATNOSTI </w:t>
      </w:r>
    </w:p>
    <w:p w14:paraId="23E5FB9D" w14:textId="77777777" w:rsidR="00E541EE" w:rsidRPr="00F35F04" w:rsidRDefault="00E541EE" w:rsidP="00E541EE">
      <w:pPr>
        <w:pBdr>
          <w:top w:val="single" w:sz="4" w:space="1" w:color="auto"/>
          <w:left w:val="single" w:sz="4" w:space="4" w:color="auto"/>
          <w:bottom w:val="single" w:sz="4" w:space="0" w:color="auto"/>
          <w:right w:val="single" w:sz="4" w:space="4" w:color="auto"/>
        </w:pBdr>
        <w:shd w:val="clear" w:color="auto" w:fill="FFCB97"/>
        <w:rPr>
          <w:rFonts w:ascii="Arial" w:eastAsia="Times New Roman" w:hAnsi="Arial" w:cs="Arial"/>
          <w:b/>
          <w:bCs/>
          <w:sz w:val="24"/>
          <w:szCs w:val="24"/>
        </w:rPr>
      </w:pPr>
      <w:r w:rsidRPr="00F35F04">
        <w:rPr>
          <w:rFonts w:ascii="Arial" w:eastAsia="Times New Roman" w:hAnsi="Arial" w:cs="Arial"/>
          <w:b/>
          <w:bCs/>
          <w:sz w:val="24"/>
          <w:szCs w:val="24"/>
        </w:rPr>
        <w:t>= 24.</w:t>
      </w:r>
      <w:r>
        <w:rPr>
          <w:rFonts w:ascii="Arial" w:eastAsia="Times New Roman" w:hAnsi="Arial" w:cs="Arial"/>
          <w:b/>
          <w:bCs/>
          <w:sz w:val="24"/>
          <w:szCs w:val="24"/>
        </w:rPr>
        <w:t>717.</w:t>
      </w:r>
      <w:r w:rsidRPr="00F35F04">
        <w:rPr>
          <w:rFonts w:ascii="Arial" w:eastAsia="Times New Roman" w:hAnsi="Arial" w:cs="Arial"/>
          <w:b/>
          <w:bCs/>
          <w:sz w:val="24"/>
          <w:szCs w:val="24"/>
        </w:rPr>
        <w:t>930,00 EUR</w:t>
      </w:r>
    </w:p>
    <w:p w14:paraId="48F27799" w14:textId="77777777" w:rsidR="00E541EE" w:rsidRPr="00AC2206" w:rsidRDefault="00E541EE" w:rsidP="00E541EE">
      <w:pPr>
        <w:jc w:val="both"/>
        <w:rPr>
          <w:rFonts w:ascii="Arial" w:eastAsia="Times New Roman" w:hAnsi="Arial" w:cs="Arial"/>
          <w:strike/>
          <w:sz w:val="24"/>
          <w:szCs w:val="24"/>
        </w:rPr>
      </w:pPr>
    </w:p>
    <w:p w14:paraId="18E2FFF3"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B1EDA0"/>
        <w:rPr>
          <w:rFonts w:ascii="Arial" w:eastAsia="Times New Roman" w:hAnsi="Arial" w:cs="Arial"/>
          <w:b/>
          <w:bCs/>
          <w:sz w:val="24"/>
          <w:szCs w:val="24"/>
        </w:rPr>
      </w:pPr>
      <w:r w:rsidRPr="00AC2206">
        <w:rPr>
          <w:rFonts w:ascii="Arial" w:eastAsia="Times New Roman" w:hAnsi="Arial" w:cs="Arial"/>
          <w:b/>
          <w:bCs/>
          <w:sz w:val="24"/>
          <w:szCs w:val="24"/>
        </w:rPr>
        <w:t xml:space="preserve">Glava 00701:  UPRAVNI ODJEL ZA DRUŠTVENE DJELATNOSTI </w:t>
      </w:r>
    </w:p>
    <w:p w14:paraId="5781DF2C" w14:textId="77777777" w:rsidR="00E541EE" w:rsidRPr="00F35F04" w:rsidRDefault="00E541EE" w:rsidP="00E541EE">
      <w:pPr>
        <w:pBdr>
          <w:top w:val="single" w:sz="4" w:space="1" w:color="auto"/>
          <w:left w:val="single" w:sz="4" w:space="4" w:color="auto"/>
          <w:bottom w:val="single" w:sz="4" w:space="1" w:color="auto"/>
          <w:right w:val="single" w:sz="4" w:space="4" w:color="auto"/>
        </w:pBdr>
        <w:shd w:val="clear" w:color="auto" w:fill="B1EDA0"/>
        <w:rPr>
          <w:rFonts w:ascii="Arial" w:eastAsia="Times New Roman" w:hAnsi="Arial" w:cs="Arial"/>
          <w:b/>
          <w:bCs/>
          <w:sz w:val="24"/>
          <w:szCs w:val="24"/>
        </w:rPr>
      </w:pPr>
      <w:r w:rsidRPr="00F35F04">
        <w:rPr>
          <w:rFonts w:ascii="Arial" w:eastAsia="Times New Roman" w:hAnsi="Arial" w:cs="Arial"/>
          <w:b/>
          <w:bCs/>
          <w:sz w:val="24"/>
          <w:szCs w:val="24"/>
        </w:rPr>
        <w:t>= 5.</w:t>
      </w:r>
      <w:r>
        <w:rPr>
          <w:rFonts w:ascii="Arial" w:eastAsia="Times New Roman" w:hAnsi="Arial" w:cs="Arial"/>
          <w:b/>
          <w:bCs/>
          <w:sz w:val="24"/>
          <w:szCs w:val="24"/>
        </w:rPr>
        <w:t>441</w:t>
      </w:r>
      <w:r w:rsidRPr="00F35F04">
        <w:rPr>
          <w:rFonts w:ascii="Arial" w:eastAsia="Times New Roman" w:hAnsi="Arial" w:cs="Arial"/>
          <w:b/>
          <w:bCs/>
          <w:sz w:val="24"/>
          <w:szCs w:val="24"/>
        </w:rPr>
        <w:t>.864,87 EUR</w:t>
      </w:r>
    </w:p>
    <w:p w14:paraId="2C5B8948" w14:textId="77777777" w:rsidR="00E541EE" w:rsidRPr="00AC2206" w:rsidRDefault="00E541EE" w:rsidP="00E541EE">
      <w:pPr>
        <w:jc w:val="both"/>
        <w:rPr>
          <w:rFonts w:ascii="Arial" w:eastAsia="Times New Roman" w:hAnsi="Arial" w:cs="Arial"/>
          <w:sz w:val="24"/>
          <w:szCs w:val="24"/>
        </w:rPr>
      </w:pPr>
    </w:p>
    <w:p w14:paraId="4EAE5105" w14:textId="77777777" w:rsidR="00E541EE" w:rsidRPr="00AC2206" w:rsidRDefault="00E541EE" w:rsidP="00E541EE">
      <w:pPr>
        <w:pBdr>
          <w:top w:val="single" w:sz="4" w:space="1" w:color="auto"/>
          <w:left w:val="single" w:sz="4" w:space="4" w:color="auto"/>
          <w:bottom w:val="single" w:sz="4" w:space="1" w:color="auto"/>
          <w:right w:val="single" w:sz="4" w:space="12" w:color="auto"/>
        </w:pBdr>
        <w:shd w:val="clear" w:color="auto" w:fill="FFFF80"/>
        <w:ind w:right="142"/>
        <w:rPr>
          <w:rFonts w:ascii="Arial" w:eastAsia="Times New Roman" w:hAnsi="Arial" w:cs="Arial"/>
          <w:b/>
          <w:bCs/>
          <w:sz w:val="24"/>
          <w:szCs w:val="24"/>
        </w:rPr>
      </w:pPr>
      <w:r w:rsidRPr="00AC2206">
        <w:rPr>
          <w:rFonts w:ascii="Arial" w:eastAsia="Times New Roman" w:hAnsi="Arial" w:cs="Arial"/>
          <w:b/>
          <w:bCs/>
          <w:sz w:val="24"/>
          <w:szCs w:val="24"/>
        </w:rPr>
        <w:t>Program 1033: Javne potrebe u zdravstvu = 4</w:t>
      </w:r>
      <w:r>
        <w:rPr>
          <w:rFonts w:ascii="Arial" w:eastAsia="Times New Roman" w:hAnsi="Arial" w:cs="Arial"/>
          <w:b/>
          <w:bCs/>
          <w:sz w:val="24"/>
          <w:szCs w:val="24"/>
        </w:rPr>
        <w:t>77</w:t>
      </w:r>
      <w:r w:rsidRPr="00AC2206">
        <w:rPr>
          <w:rFonts w:ascii="Arial" w:eastAsia="Times New Roman" w:hAnsi="Arial" w:cs="Arial"/>
          <w:b/>
          <w:bCs/>
          <w:sz w:val="24"/>
          <w:szCs w:val="24"/>
        </w:rPr>
        <w:t>.</w:t>
      </w:r>
      <w:r>
        <w:rPr>
          <w:rFonts w:ascii="Arial" w:eastAsia="Times New Roman" w:hAnsi="Arial" w:cs="Arial"/>
          <w:b/>
          <w:bCs/>
          <w:sz w:val="24"/>
          <w:szCs w:val="24"/>
        </w:rPr>
        <w:t>59</w:t>
      </w:r>
      <w:r w:rsidRPr="00AC2206">
        <w:rPr>
          <w:rFonts w:ascii="Arial" w:eastAsia="Times New Roman" w:hAnsi="Arial" w:cs="Arial"/>
          <w:b/>
          <w:bCs/>
          <w:sz w:val="24"/>
          <w:szCs w:val="24"/>
        </w:rPr>
        <w:t>8,00 EUR</w:t>
      </w:r>
    </w:p>
    <w:p w14:paraId="1066F9B2" w14:textId="77777777" w:rsidR="00E541EE" w:rsidRPr="00AC2206" w:rsidRDefault="00E541EE" w:rsidP="00E541EE">
      <w:pPr>
        <w:jc w:val="both"/>
        <w:rPr>
          <w:rFonts w:ascii="Arial" w:eastAsia="Times New Roman" w:hAnsi="Arial" w:cs="Arial"/>
          <w:sz w:val="24"/>
          <w:szCs w:val="24"/>
        </w:rPr>
      </w:pPr>
    </w:p>
    <w:tbl>
      <w:tblPr>
        <w:tblW w:w="508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45"/>
        <w:gridCol w:w="1069"/>
        <w:gridCol w:w="1044"/>
        <w:gridCol w:w="1268"/>
        <w:gridCol w:w="1067"/>
        <w:gridCol w:w="994"/>
        <w:gridCol w:w="1144"/>
        <w:gridCol w:w="864"/>
        <w:gridCol w:w="603"/>
        <w:gridCol w:w="597"/>
        <w:gridCol w:w="764"/>
      </w:tblGrid>
      <w:tr w:rsidR="00E541EE" w:rsidRPr="00AC2206" w14:paraId="4355368B" w14:textId="77777777" w:rsidTr="00A84BB5">
        <w:trPr>
          <w:trHeight w:val="637"/>
        </w:trPr>
        <w:tc>
          <w:tcPr>
            <w:tcW w:w="456" w:type="pct"/>
            <w:vMerge w:val="restart"/>
            <w:tcBorders>
              <w:bottom w:val="single" w:sz="4" w:space="0" w:color="auto"/>
            </w:tcBorders>
            <w:vAlign w:val="center"/>
          </w:tcPr>
          <w:p w14:paraId="5985E313" w14:textId="77777777" w:rsidR="00E541EE" w:rsidRPr="00E719E7" w:rsidRDefault="00E541EE" w:rsidP="00A84BB5">
            <w:pPr>
              <w:widowControl w:val="0"/>
              <w:autoSpaceDE w:val="0"/>
              <w:autoSpaceDN w:val="0"/>
              <w:spacing w:before="49"/>
              <w:jc w:val="center"/>
              <w:rPr>
                <w:rFonts w:ascii="Arial" w:hAnsi="Arial" w:cs="Arial"/>
                <w:b/>
                <w:sz w:val="14"/>
                <w:szCs w:val="14"/>
              </w:rPr>
            </w:pPr>
            <w:r w:rsidRPr="00E719E7">
              <w:rPr>
                <w:rFonts w:ascii="Arial" w:hAnsi="Arial" w:cs="Arial"/>
                <w:b/>
                <w:sz w:val="14"/>
                <w:szCs w:val="14"/>
              </w:rPr>
              <w:t>Doprinos</w:t>
            </w:r>
            <w:r w:rsidRPr="00E719E7">
              <w:rPr>
                <w:rFonts w:ascii="Arial" w:hAnsi="Arial" w:cs="Arial"/>
                <w:b/>
                <w:spacing w:val="-34"/>
                <w:sz w:val="14"/>
                <w:szCs w:val="14"/>
              </w:rPr>
              <w:t xml:space="preserve"> </w:t>
            </w:r>
            <w:r w:rsidRPr="00E719E7">
              <w:rPr>
                <w:rFonts w:ascii="Arial" w:hAnsi="Arial" w:cs="Arial"/>
                <w:b/>
                <w:sz w:val="14"/>
                <w:szCs w:val="14"/>
              </w:rPr>
              <w:t>provedbi</w:t>
            </w:r>
          </w:p>
          <w:p w14:paraId="00653FB3" w14:textId="77777777" w:rsidR="00E541EE" w:rsidRPr="00E719E7" w:rsidRDefault="00E541EE" w:rsidP="00A84BB5">
            <w:pPr>
              <w:widowControl w:val="0"/>
              <w:autoSpaceDE w:val="0"/>
              <w:autoSpaceDN w:val="0"/>
              <w:spacing w:line="194" w:lineRule="exact"/>
              <w:jc w:val="center"/>
              <w:rPr>
                <w:rFonts w:ascii="Arial" w:hAnsi="Arial" w:cs="Arial"/>
                <w:b/>
                <w:sz w:val="14"/>
                <w:szCs w:val="14"/>
              </w:rPr>
            </w:pPr>
            <w:r w:rsidRPr="00E719E7">
              <w:rPr>
                <w:rFonts w:ascii="Arial" w:hAnsi="Arial" w:cs="Arial"/>
                <w:b/>
                <w:sz w:val="14"/>
                <w:szCs w:val="14"/>
              </w:rPr>
              <w:t>nadređenog</w:t>
            </w:r>
          </w:p>
          <w:p w14:paraId="474969CD" w14:textId="77777777" w:rsidR="00E541EE" w:rsidRPr="00E719E7" w:rsidRDefault="00E541EE" w:rsidP="00A84BB5">
            <w:pPr>
              <w:widowControl w:val="0"/>
              <w:autoSpaceDE w:val="0"/>
              <w:autoSpaceDN w:val="0"/>
              <w:spacing w:before="49"/>
              <w:jc w:val="center"/>
              <w:rPr>
                <w:rFonts w:ascii="Arial" w:hAnsi="Arial" w:cs="Arial"/>
                <w:b/>
                <w:sz w:val="14"/>
                <w:szCs w:val="14"/>
              </w:rPr>
            </w:pPr>
            <w:r w:rsidRPr="00E719E7">
              <w:rPr>
                <w:rFonts w:ascii="Arial" w:hAnsi="Arial" w:cs="Arial"/>
                <w:b/>
                <w:sz w:val="14"/>
                <w:szCs w:val="14"/>
              </w:rPr>
              <w:t>akta</w:t>
            </w:r>
            <w:r w:rsidRPr="00E719E7">
              <w:rPr>
                <w:rFonts w:ascii="Arial" w:hAnsi="Arial" w:cs="Arial"/>
                <w:b/>
                <w:spacing w:val="1"/>
                <w:sz w:val="14"/>
                <w:szCs w:val="14"/>
              </w:rPr>
              <w:t xml:space="preserve"> </w:t>
            </w:r>
            <w:r w:rsidRPr="00E719E7">
              <w:rPr>
                <w:rFonts w:ascii="Arial" w:hAnsi="Arial" w:cs="Arial"/>
                <w:b/>
                <w:sz w:val="14"/>
                <w:szCs w:val="14"/>
              </w:rPr>
              <w:t>strateškog</w:t>
            </w:r>
            <w:r w:rsidRPr="00E719E7">
              <w:rPr>
                <w:rFonts w:ascii="Arial" w:hAnsi="Arial" w:cs="Arial"/>
                <w:b/>
                <w:spacing w:val="-34"/>
                <w:sz w:val="14"/>
                <w:szCs w:val="14"/>
              </w:rPr>
              <w:t xml:space="preserve"> </w:t>
            </w:r>
            <w:r w:rsidRPr="00E719E7">
              <w:rPr>
                <w:rFonts w:ascii="Arial" w:hAnsi="Arial" w:cs="Arial"/>
                <w:b/>
                <w:sz w:val="14"/>
                <w:szCs w:val="14"/>
              </w:rPr>
              <w:t>planiranja</w:t>
            </w:r>
          </w:p>
        </w:tc>
        <w:tc>
          <w:tcPr>
            <w:tcW w:w="516" w:type="pct"/>
            <w:vMerge w:val="restart"/>
            <w:tcBorders>
              <w:bottom w:val="single" w:sz="4" w:space="0" w:color="auto"/>
            </w:tcBorders>
            <w:vAlign w:val="center"/>
          </w:tcPr>
          <w:p w14:paraId="666CCB04" w14:textId="77777777" w:rsidR="00E541EE" w:rsidRPr="00E719E7" w:rsidRDefault="00E541EE" w:rsidP="00A84BB5">
            <w:pPr>
              <w:widowControl w:val="0"/>
              <w:autoSpaceDE w:val="0"/>
              <w:autoSpaceDN w:val="0"/>
              <w:spacing w:line="195" w:lineRule="exact"/>
              <w:ind w:left="44" w:right="35"/>
              <w:jc w:val="center"/>
              <w:rPr>
                <w:rFonts w:ascii="Arial" w:hAnsi="Arial" w:cs="Arial"/>
                <w:b/>
                <w:sz w:val="14"/>
                <w:szCs w:val="14"/>
              </w:rPr>
            </w:pPr>
            <w:r w:rsidRPr="00E719E7">
              <w:rPr>
                <w:rFonts w:ascii="Arial" w:hAnsi="Arial" w:cs="Arial"/>
                <w:b/>
                <w:sz w:val="14"/>
                <w:szCs w:val="14"/>
              </w:rPr>
              <w:t>Naziv</w:t>
            </w:r>
            <w:r w:rsidRPr="00E719E7">
              <w:rPr>
                <w:rFonts w:ascii="Arial" w:hAnsi="Arial" w:cs="Arial"/>
                <w:b/>
                <w:spacing w:val="-3"/>
                <w:sz w:val="14"/>
                <w:szCs w:val="14"/>
              </w:rPr>
              <w:t xml:space="preserve"> </w:t>
            </w:r>
            <w:r w:rsidRPr="00E719E7">
              <w:rPr>
                <w:rFonts w:ascii="Arial" w:hAnsi="Arial" w:cs="Arial"/>
                <w:b/>
                <w:sz w:val="14"/>
                <w:szCs w:val="14"/>
              </w:rPr>
              <w:t>cilja nadređenog</w:t>
            </w:r>
            <w:r w:rsidRPr="00E719E7">
              <w:rPr>
                <w:rFonts w:ascii="Arial" w:hAnsi="Arial" w:cs="Arial"/>
                <w:b/>
                <w:spacing w:val="1"/>
                <w:sz w:val="14"/>
                <w:szCs w:val="14"/>
              </w:rPr>
              <w:t xml:space="preserve"> </w:t>
            </w:r>
            <w:r w:rsidRPr="00E719E7">
              <w:rPr>
                <w:rFonts w:ascii="Arial" w:hAnsi="Arial" w:cs="Arial"/>
                <w:b/>
                <w:spacing w:val="-1"/>
                <w:sz w:val="14"/>
                <w:szCs w:val="14"/>
              </w:rPr>
              <w:t>akta</w:t>
            </w:r>
            <w:r w:rsidRPr="00E719E7">
              <w:rPr>
                <w:rFonts w:ascii="Arial" w:hAnsi="Arial" w:cs="Arial"/>
                <w:b/>
                <w:spacing w:val="-2"/>
                <w:sz w:val="14"/>
                <w:szCs w:val="14"/>
              </w:rPr>
              <w:t xml:space="preserve"> </w:t>
            </w:r>
            <w:r w:rsidRPr="00E719E7">
              <w:rPr>
                <w:rFonts w:ascii="Arial" w:hAnsi="Arial" w:cs="Arial"/>
                <w:b/>
                <w:spacing w:val="-1"/>
                <w:sz w:val="14"/>
                <w:szCs w:val="14"/>
              </w:rPr>
              <w:t xml:space="preserve">strateškog </w:t>
            </w:r>
            <w:r w:rsidRPr="00E719E7">
              <w:rPr>
                <w:rFonts w:ascii="Arial" w:hAnsi="Arial" w:cs="Arial"/>
                <w:b/>
                <w:sz w:val="14"/>
                <w:szCs w:val="14"/>
              </w:rPr>
              <w:t>planiranja</w:t>
            </w:r>
          </w:p>
        </w:tc>
        <w:tc>
          <w:tcPr>
            <w:tcW w:w="504" w:type="pct"/>
            <w:vMerge w:val="restart"/>
            <w:tcBorders>
              <w:bottom w:val="single" w:sz="4" w:space="0" w:color="auto"/>
            </w:tcBorders>
            <w:vAlign w:val="center"/>
          </w:tcPr>
          <w:p w14:paraId="76B5561B" w14:textId="77777777" w:rsidR="00E541EE" w:rsidRPr="00E719E7" w:rsidRDefault="00E541EE" w:rsidP="00A84BB5">
            <w:pPr>
              <w:widowControl w:val="0"/>
              <w:autoSpaceDE w:val="0"/>
              <w:autoSpaceDN w:val="0"/>
              <w:ind w:left="125" w:right="114"/>
              <w:jc w:val="center"/>
              <w:rPr>
                <w:rFonts w:ascii="Arial" w:hAnsi="Arial" w:cs="Arial"/>
                <w:b/>
                <w:sz w:val="14"/>
                <w:szCs w:val="14"/>
              </w:rPr>
            </w:pPr>
            <w:r w:rsidRPr="00E719E7">
              <w:rPr>
                <w:rFonts w:ascii="Arial" w:hAnsi="Arial" w:cs="Arial"/>
                <w:b/>
                <w:spacing w:val="-1"/>
                <w:sz w:val="14"/>
                <w:szCs w:val="14"/>
              </w:rPr>
              <w:t xml:space="preserve">Program </w:t>
            </w:r>
            <w:r w:rsidRPr="00E719E7">
              <w:rPr>
                <w:rFonts w:ascii="Arial" w:hAnsi="Arial" w:cs="Arial"/>
                <w:b/>
                <w:sz w:val="14"/>
                <w:szCs w:val="14"/>
              </w:rPr>
              <w:t>u</w:t>
            </w:r>
            <w:r w:rsidRPr="00E719E7">
              <w:rPr>
                <w:rFonts w:ascii="Arial" w:hAnsi="Arial" w:cs="Arial"/>
                <w:b/>
                <w:spacing w:val="-34"/>
                <w:sz w:val="14"/>
                <w:szCs w:val="14"/>
              </w:rPr>
              <w:t xml:space="preserve"> </w:t>
            </w:r>
            <w:r w:rsidRPr="00E719E7">
              <w:rPr>
                <w:rFonts w:ascii="Arial" w:hAnsi="Arial" w:cs="Arial"/>
                <w:b/>
                <w:sz w:val="14"/>
                <w:szCs w:val="14"/>
              </w:rPr>
              <w:t xml:space="preserve">proračunu </w:t>
            </w:r>
            <w:r w:rsidRPr="00E719E7">
              <w:rPr>
                <w:rFonts w:ascii="Arial" w:hAnsi="Arial" w:cs="Arial"/>
                <w:b/>
                <w:spacing w:val="-34"/>
                <w:sz w:val="14"/>
                <w:szCs w:val="14"/>
              </w:rPr>
              <w:t xml:space="preserve"> </w:t>
            </w:r>
            <w:r w:rsidRPr="00E719E7">
              <w:rPr>
                <w:rFonts w:ascii="Arial" w:hAnsi="Arial" w:cs="Arial"/>
                <w:b/>
                <w:sz w:val="14"/>
                <w:szCs w:val="14"/>
              </w:rPr>
              <w:t>JLS</w:t>
            </w:r>
          </w:p>
        </w:tc>
        <w:tc>
          <w:tcPr>
            <w:tcW w:w="612" w:type="pct"/>
            <w:vMerge w:val="restart"/>
            <w:tcBorders>
              <w:bottom w:val="single" w:sz="4" w:space="0" w:color="auto"/>
            </w:tcBorders>
            <w:vAlign w:val="center"/>
          </w:tcPr>
          <w:p w14:paraId="25B53B1A" w14:textId="77777777" w:rsidR="00E541EE" w:rsidRPr="00E719E7" w:rsidRDefault="00E541EE" w:rsidP="00A84BB5">
            <w:pPr>
              <w:widowControl w:val="0"/>
              <w:autoSpaceDE w:val="0"/>
              <w:autoSpaceDN w:val="0"/>
              <w:ind w:left="179"/>
              <w:jc w:val="center"/>
              <w:rPr>
                <w:rFonts w:ascii="Arial" w:hAnsi="Arial" w:cs="Arial"/>
                <w:b/>
                <w:sz w:val="14"/>
                <w:szCs w:val="14"/>
              </w:rPr>
            </w:pPr>
            <w:r w:rsidRPr="00E719E7">
              <w:rPr>
                <w:rFonts w:ascii="Arial" w:hAnsi="Arial" w:cs="Arial"/>
                <w:b/>
                <w:sz w:val="14"/>
                <w:szCs w:val="14"/>
              </w:rPr>
              <w:t>Naziv</w:t>
            </w:r>
            <w:r w:rsidRPr="00E719E7">
              <w:rPr>
                <w:rFonts w:ascii="Arial" w:hAnsi="Arial" w:cs="Arial"/>
                <w:b/>
                <w:spacing w:val="-2"/>
                <w:sz w:val="14"/>
                <w:szCs w:val="14"/>
              </w:rPr>
              <w:t xml:space="preserve"> </w:t>
            </w:r>
            <w:r w:rsidRPr="00E719E7">
              <w:rPr>
                <w:rFonts w:ascii="Arial" w:hAnsi="Arial" w:cs="Arial"/>
                <w:b/>
                <w:sz w:val="14"/>
                <w:szCs w:val="14"/>
              </w:rPr>
              <w:t>mjere</w:t>
            </w:r>
          </w:p>
        </w:tc>
        <w:tc>
          <w:tcPr>
            <w:tcW w:w="515" w:type="pct"/>
            <w:vMerge w:val="restart"/>
            <w:tcBorders>
              <w:bottom w:val="single" w:sz="4" w:space="0" w:color="auto"/>
            </w:tcBorders>
            <w:vAlign w:val="center"/>
          </w:tcPr>
          <w:p w14:paraId="34A92080" w14:textId="77777777" w:rsidR="00E541EE" w:rsidRPr="00E719E7" w:rsidRDefault="00E541EE" w:rsidP="00A84BB5">
            <w:pPr>
              <w:widowControl w:val="0"/>
              <w:autoSpaceDE w:val="0"/>
              <w:autoSpaceDN w:val="0"/>
              <w:ind w:left="70" w:right="60"/>
              <w:jc w:val="center"/>
              <w:rPr>
                <w:rFonts w:ascii="Arial" w:hAnsi="Arial" w:cs="Arial"/>
                <w:b/>
                <w:sz w:val="14"/>
                <w:szCs w:val="14"/>
              </w:rPr>
            </w:pPr>
            <w:r w:rsidRPr="00E719E7">
              <w:rPr>
                <w:rFonts w:ascii="Arial" w:hAnsi="Arial" w:cs="Arial"/>
                <w:b/>
                <w:sz w:val="14"/>
                <w:szCs w:val="14"/>
              </w:rPr>
              <w:t>Procijenjeni</w:t>
            </w:r>
            <w:r w:rsidRPr="00E719E7">
              <w:rPr>
                <w:rFonts w:ascii="Arial" w:hAnsi="Arial" w:cs="Arial"/>
                <w:b/>
                <w:spacing w:val="-34"/>
                <w:sz w:val="14"/>
                <w:szCs w:val="14"/>
              </w:rPr>
              <w:t xml:space="preserve"> </w:t>
            </w:r>
            <w:r w:rsidRPr="00E719E7">
              <w:rPr>
                <w:rFonts w:ascii="Arial" w:hAnsi="Arial" w:cs="Arial"/>
                <w:b/>
                <w:sz w:val="14"/>
                <w:szCs w:val="14"/>
              </w:rPr>
              <w:t>trošak</w:t>
            </w:r>
            <w:r w:rsidRPr="00E719E7">
              <w:rPr>
                <w:rFonts w:ascii="Arial" w:hAnsi="Arial" w:cs="Arial"/>
                <w:b/>
                <w:spacing w:val="1"/>
                <w:sz w:val="14"/>
                <w:szCs w:val="14"/>
              </w:rPr>
              <w:t xml:space="preserve"> </w:t>
            </w:r>
            <w:r w:rsidRPr="00E719E7">
              <w:rPr>
                <w:rFonts w:ascii="Arial" w:hAnsi="Arial" w:cs="Arial"/>
                <w:b/>
                <w:sz w:val="14"/>
                <w:szCs w:val="14"/>
              </w:rPr>
              <w:t>provedbe</w:t>
            </w:r>
            <w:r w:rsidRPr="00E719E7">
              <w:rPr>
                <w:rFonts w:ascii="Arial" w:hAnsi="Arial" w:cs="Arial"/>
                <w:b/>
                <w:spacing w:val="1"/>
                <w:sz w:val="14"/>
                <w:szCs w:val="14"/>
              </w:rPr>
              <w:t xml:space="preserve"> </w:t>
            </w:r>
            <w:r w:rsidRPr="00E719E7">
              <w:rPr>
                <w:rFonts w:ascii="Arial" w:hAnsi="Arial" w:cs="Arial"/>
                <w:b/>
                <w:sz w:val="14"/>
                <w:szCs w:val="14"/>
              </w:rPr>
              <w:t>mjere 2026.</w:t>
            </w:r>
          </w:p>
          <w:p w14:paraId="57508FFC" w14:textId="77777777" w:rsidR="00E541EE" w:rsidRPr="00E719E7" w:rsidRDefault="00E541EE" w:rsidP="00A84BB5">
            <w:pPr>
              <w:widowControl w:val="0"/>
              <w:autoSpaceDE w:val="0"/>
              <w:autoSpaceDN w:val="0"/>
              <w:spacing w:before="2"/>
              <w:ind w:left="70" w:right="58"/>
              <w:jc w:val="center"/>
              <w:rPr>
                <w:rFonts w:ascii="Arial" w:hAnsi="Arial" w:cs="Arial"/>
                <w:b/>
                <w:sz w:val="14"/>
                <w:szCs w:val="14"/>
              </w:rPr>
            </w:pPr>
            <w:r w:rsidRPr="00E719E7">
              <w:rPr>
                <w:rFonts w:ascii="Arial" w:hAnsi="Arial" w:cs="Arial"/>
                <w:b/>
                <w:sz w:val="14"/>
                <w:szCs w:val="14"/>
              </w:rPr>
              <w:t>(u EUR)</w:t>
            </w:r>
          </w:p>
        </w:tc>
        <w:tc>
          <w:tcPr>
            <w:tcW w:w="480" w:type="pct"/>
            <w:vMerge w:val="restart"/>
            <w:tcBorders>
              <w:bottom w:val="single" w:sz="4" w:space="0" w:color="auto"/>
            </w:tcBorders>
            <w:vAlign w:val="center"/>
          </w:tcPr>
          <w:p w14:paraId="48B0AD4F" w14:textId="77777777" w:rsidR="00E541EE" w:rsidRPr="00E719E7" w:rsidRDefault="00E541EE" w:rsidP="00A84BB5">
            <w:pPr>
              <w:widowControl w:val="0"/>
              <w:autoSpaceDE w:val="0"/>
              <w:autoSpaceDN w:val="0"/>
              <w:jc w:val="center"/>
              <w:rPr>
                <w:rFonts w:ascii="Arial" w:hAnsi="Arial" w:cs="Arial"/>
                <w:b/>
                <w:sz w:val="14"/>
                <w:szCs w:val="14"/>
              </w:rPr>
            </w:pPr>
            <w:r w:rsidRPr="00E719E7">
              <w:rPr>
                <w:rFonts w:ascii="Arial" w:hAnsi="Arial" w:cs="Arial"/>
                <w:b/>
                <w:sz w:val="14"/>
                <w:szCs w:val="14"/>
              </w:rPr>
              <w:t>Ključne</w:t>
            </w:r>
          </w:p>
          <w:p w14:paraId="3CF585B8" w14:textId="77777777" w:rsidR="00E541EE" w:rsidRPr="00E719E7" w:rsidRDefault="00E541EE" w:rsidP="00A84BB5">
            <w:pPr>
              <w:widowControl w:val="0"/>
              <w:autoSpaceDE w:val="0"/>
              <w:autoSpaceDN w:val="0"/>
              <w:spacing w:before="1"/>
              <w:jc w:val="center"/>
              <w:rPr>
                <w:rFonts w:ascii="Arial" w:hAnsi="Arial" w:cs="Arial"/>
                <w:b/>
                <w:sz w:val="14"/>
                <w:szCs w:val="14"/>
              </w:rPr>
            </w:pPr>
            <w:r w:rsidRPr="00E719E7">
              <w:rPr>
                <w:rFonts w:ascii="Arial" w:hAnsi="Arial" w:cs="Arial"/>
                <w:b/>
                <w:sz w:val="14"/>
                <w:szCs w:val="14"/>
              </w:rPr>
              <w:t>aktivnosti</w:t>
            </w:r>
          </w:p>
        </w:tc>
        <w:tc>
          <w:tcPr>
            <w:tcW w:w="552" w:type="pct"/>
            <w:vMerge w:val="restart"/>
            <w:tcBorders>
              <w:bottom w:val="single" w:sz="4" w:space="0" w:color="auto"/>
            </w:tcBorders>
            <w:vAlign w:val="center"/>
          </w:tcPr>
          <w:p w14:paraId="3217AB67" w14:textId="77777777" w:rsidR="00E541EE" w:rsidRPr="00E719E7" w:rsidRDefault="00E541EE" w:rsidP="00A84BB5">
            <w:pPr>
              <w:widowControl w:val="0"/>
              <w:autoSpaceDE w:val="0"/>
              <w:autoSpaceDN w:val="0"/>
              <w:ind w:left="62" w:right="97" w:hanging="44"/>
              <w:jc w:val="center"/>
              <w:rPr>
                <w:rFonts w:ascii="Arial" w:hAnsi="Arial" w:cs="Arial"/>
                <w:b/>
                <w:sz w:val="14"/>
                <w:szCs w:val="14"/>
              </w:rPr>
            </w:pPr>
            <w:r w:rsidRPr="00E719E7">
              <w:rPr>
                <w:rFonts w:ascii="Arial" w:hAnsi="Arial" w:cs="Arial"/>
                <w:b/>
                <w:sz w:val="14"/>
                <w:szCs w:val="14"/>
              </w:rPr>
              <w:t>Pokazatelj</w:t>
            </w:r>
            <w:r w:rsidRPr="00E719E7">
              <w:rPr>
                <w:rFonts w:ascii="Arial" w:hAnsi="Arial" w:cs="Arial"/>
                <w:b/>
                <w:spacing w:val="-34"/>
                <w:sz w:val="14"/>
                <w:szCs w:val="14"/>
              </w:rPr>
              <w:t xml:space="preserve"> </w:t>
            </w:r>
            <w:r w:rsidRPr="00E719E7">
              <w:rPr>
                <w:rFonts w:ascii="Arial" w:hAnsi="Arial" w:cs="Arial"/>
                <w:b/>
                <w:sz w:val="14"/>
                <w:szCs w:val="14"/>
              </w:rPr>
              <w:t>rezultata</w:t>
            </w:r>
          </w:p>
        </w:tc>
        <w:tc>
          <w:tcPr>
            <w:tcW w:w="417" w:type="pct"/>
            <w:vMerge w:val="restart"/>
            <w:tcBorders>
              <w:bottom w:val="single" w:sz="4" w:space="0" w:color="auto"/>
            </w:tcBorders>
            <w:vAlign w:val="center"/>
          </w:tcPr>
          <w:p w14:paraId="511753CD" w14:textId="77777777" w:rsidR="00E541EE" w:rsidRPr="00E719E7" w:rsidRDefault="00E541EE" w:rsidP="00A84BB5">
            <w:pPr>
              <w:widowControl w:val="0"/>
              <w:autoSpaceDE w:val="0"/>
              <w:autoSpaceDN w:val="0"/>
              <w:ind w:left="44" w:right="32"/>
              <w:jc w:val="center"/>
              <w:rPr>
                <w:rFonts w:ascii="Arial" w:hAnsi="Arial" w:cs="Arial"/>
                <w:b/>
                <w:sz w:val="14"/>
                <w:szCs w:val="14"/>
              </w:rPr>
            </w:pPr>
            <w:r w:rsidRPr="00E719E7">
              <w:rPr>
                <w:rFonts w:ascii="Arial" w:hAnsi="Arial" w:cs="Arial"/>
                <w:b/>
                <w:sz w:val="14"/>
                <w:szCs w:val="14"/>
              </w:rPr>
              <w:t>Početna</w:t>
            </w:r>
            <w:r w:rsidRPr="00E719E7">
              <w:rPr>
                <w:rFonts w:ascii="Arial" w:hAnsi="Arial" w:cs="Arial"/>
                <w:b/>
                <w:spacing w:val="1"/>
                <w:sz w:val="14"/>
                <w:szCs w:val="14"/>
              </w:rPr>
              <w:t xml:space="preserve"> </w:t>
            </w:r>
            <w:r w:rsidRPr="00E719E7">
              <w:rPr>
                <w:rFonts w:ascii="Arial" w:hAnsi="Arial" w:cs="Arial"/>
                <w:b/>
                <w:sz w:val="14"/>
                <w:szCs w:val="14"/>
              </w:rPr>
              <w:t>vrijednost 2025.</w:t>
            </w:r>
            <w:r w:rsidRPr="00E719E7">
              <w:rPr>
                <w:rFonts w:ascii="Arial" w:hAnsi="Arial" w:cs="Arial"/>
                <w:b/>
                <w:spacing w:val="-34"/>
                <w:sz w:val="14"/>
                <w:szCs w:val="14"/>
              </w:rPr>
              <w:t xml:space="preserve"> </w:t>
            </w:r>
          </w:p>
        </w:tc>
        <w:tc>
          <w:tcPr>
            <w:tcW w:w="948" w:type="pct"/>
            <w:gridSpan w:val="3"/>
            <w:tcBorders>
              <w:bottom w:val="single" w:sz="4" w:space="0" w:color="auto"/>
            </w:tcBorders>
            <w:vAlign w:val="center"/>
          </w:tcPr>
          <w:p w14:paraId="06F6C0F5" w14:textId="77777777" w:rsidR="00E541EE" w:rsidRPr="00E719E7" w:rsidRDefault="00E541EE" w:rsidP="00A84BB5">
            <w:pPr>
              <w:widowControl w:val="0"/>
              <w:autoSpaceDE w:val="0"/>
              <w:autoSpaceDN w:val="0"/>
              <w:ind w:left="70" w:right="56"/>
              <w:jc w:val="center"/>
              <w:rPr>
                <w:rFonts w:ascii="Arial" w:hAnsi="Arial" w:cs="Arial"/>
                <w:b/>
                <w:sz w:val="14"/>
                <w:szCs w:val="14"/>
              </w:rPr>
            </w:pPr>
            <w:r w:rsidRPr="00E719E7">
              <w:rPr>
                <w:rFonts w:ascii="Arial" w:hAnsi="Arial" w:cs="Arial"/>
                <w:b/>
                <w:sz w:val="14"/>
                <w:szCs w:val="14"/>
              </w:rPr>
              <w:t>Ciljna</w:t>
            </w:r>
            <w:r w:rsidRPr="00E719E7">
              <w:rPr>
                <w:rFonts w:ascii="Arial" w:hAnsi="Arial" w:cs="Arial"/>
                <w:b/>
                <w:spacing w:val="1"/>
                <w:sz w:val="14"/>
                <w:szCs w:val="14"/>
              </w:rPr>
              <w:t xml:space="preserve"> </w:t>
            </w:r>
            <w:r w:rsidRPr="00E719E7">
              <w:rPr>
                <w:rFonts w:ascii="Arial" w:hAnsi="Arial" w:cs="Arial"/>
                <w:b/>
                <w:sz w:val="14"/>
                <w:szCs w:val="14"/>
              </w:rPr>
              <w:t>vrijednost</w:t>
            </w:r>
            <w:r w:rsidRPr="00E719E7">
              <w:rPr>
                <w:rFonts w:ascii="Arial" w:hAnsi="Arial" w:cs="Arial"/>
                <w:b/>
                <w:spacing w:val="-34"/>
                <w:sz w:val="14"/>
                <w:szCs w:val="14"/>
              </w:rPr>
              <w:t xml:space="preserve"> </w:t>
            </w:r>
          </w:p>
        </w:tc>
      </w:tr>
      <w:tr w:rsidR="00E541EE" w:rsidRPr="00AC2206" w14:paraId="2B6B67B5" w14:textId="77777777" w:rsidTr="00A84BB5">
        <w:trPr>
          <w:trHeight w:val="636"/>
        </w:trPr>
        <w:tc>
          <w:tcPr>
            <w:tcW w:w="456" w:type="pct"/>
            <w:vMerge/>
            <w:tcBorders>
              <w:top w:val="single" w:sz="4" w:space="0" w:color="auto"/>
              <w:bottom w:val="single" w:sz="4" w:space="0" w:color="auto"/>
            </w:tcBorders>
            <w:vAlign w:val="center"/>
          </w:tcPr>
          <w:p w14:paraId="371A4D89" w14:textId="77777777" w:rsidR="00E541EE" w:rsidRPr="00E719E7" w:rsidRDefault="00E541EE" w:rsidP="00A84BB5">
            <w:pPr>
              <w:widowControl w:val="0"/>
              <w:autoSpaceDE w:val="0"/>
              <w:autoSpaceDN w:val="0"/>
              <w:spacing w:before="49"/>
              <w:jc w:val="center"/>
              <w:rPr>
                <w:rFonts w:ascii="Arial" w:hAnsi="Arial" w:cs="Arial"/>
                <w:b/>
                <w:sz w:val="14"/>
                <w:szCs w:val="14"/>
              </w:rPr>
            </w:pPr>
          </w:p>
        </w:tc>
        <w:tc>
          <w:tcPr>
            <w:tcW w:w="516" w:type="pct"/>
            <w:vMerge/>
            <w:tcBorders>
              <w:top w:val="single" w:sz="4" w:space="0" w:color="auto"/>
              <w:bottom w:val="single" w:sz="4" w:space="0" w:color="auto"/>
            </w:tcBorders>
            <w:vAlign w:val="center"/>
          </w:tcPr>
          <w:p w14:paraId="071D4ED9" w14:textId="77777777" w:rsidR="00E541EE" w:rsidRPr="00E719E7" w:rsidRDefault="00E541EE" w:rsidP="00A84BB5">
            <w:pPr>
              <w:widowControl w:val="0"/>
              <w:autoSpaceDE w:val="0"/>
              <w:autoSpaceDN w:val="0"/>
              <w:spacing w:line="195" w:lineRule="exact"/>
              <w:ind w:left="44" w:right="35"/>
              <w:jc w:val="center"/>
              <w:rPr>
                <w:rFonts w:ascii="Arial" w:hAnsi="Arial" w:cs="Arial"/>
                <w:b/>
                <w:sz w:val="14"/>
                <w:szCs w:val="14"/>
              </w:rPr>
            </w:pPr>
          </w:p>
        </w:tc>
        <w:tc>
          <w:tcPr>
            <w:tcW w:w="504" w:type="pct"/>
            <w:vMerge/>
            <w:tcBorders>
              <w:top w:val="single" w:sz="4" w:space="0" w:color="auto"/>
              <w:bottom w:val="single" w:sz="4" w:space="0" w:color="auto"/>
            </w:tcBorders>
            <w:vAlign w:val="center"/>
          </w:tcPr>
          <w:p w14:paraId="0A6698A7" w14:textId="77777777" w:rsidR="00E541EE" w:rsidRPr="00E719E7" w:rsidRDefault="00E541EE" w:rsidP="00A84BB5">
            <w:pPr>
              <w:widowControl w:val="0"/>
              <w:autoSpaceDE w:val="0"/>
              <w:autoSpaceDN w:val="0"/>
              <w:ind w:left="125" w:right="114"/>
              <w:jc w:val="center"/>
              <w:rPr>
                <w:rFonts w:ascii="Arial" w:hAnsi="Arial" w:cs="Arial"/>
                <w:b/>
                <w:spacing w:val="-1"/>
                <w:sz w:val="14"/>
                <w:szCs w:val="14"/>
              </w:rPr>
            </w:pPr>
          </w:p>
        </w:tc>
        <w:tc>
          <w:tcPr>
            <w:tcW w:w="612" w:type="pct"/>
            <w:vMerge/>
            <w:tcBorders>
              <w:top w:val="single" w:sz="4" w:space="0" w:color="auto"/>
              <w:bottom w:val="single" w:sz="4" w:space="0" w:color="auto"/>
            </w:tcBorders>
            <w:vAlign w:val="center"/>
          </w:tcPr>
          <w:p w14:paraId="1CFAEC87" w14:textId="77777777" w:rsidR="00E541EE" w:rsidRPr="00E719E7" w:rsidRDefault="00E541EE" w:rsidP="00A84BB5">
            <w:pPr>
              <w:widowControl w:val="0"/>
              <w:autoSpaceDE w:val="0"/>
              <w:autoSpaceDN w:val="0"/>
              <w:ind w:left="179"/>
              <w:jc w:val="center"/>
              <w:rPr>
                <w:rFonts w:ascii="Arial" w:hAnsi="Arial" w:cs="Arial"/>
                <w:b/>
                <w:sz w:val="14"/>
                <w:szCs w:val="14"/>
              </w:rPr>
            </w:pPr>
          </w:p>
        </w:tc>
        <w:tc>
          <w:tcPr>
            <w:tcW w:w="515" w:type="pct"/>
            <w:vMerge/>
            <w:tcBorders>
              <w:top w:val="single" w:sz="4" w:space="0" w:color="auto"/>
              <w:bottom w:val="single" w:sz="4" w:space="0" w:color="auto"/>
            </w:tcBorders>
            <w:vAlign w:val="center"/>
          </w:tcPr>
          <w:p w14:paraId="6150B0D0" w14:textId="77777777" w:rsidR="00E541EE" w:rsidRPr="00E719E7" w:rsidRDefault="00E541EE" w:rsidP="00A84BB5">
            <w:pPr>
              <w:widowControl w:val="0"/>
              <w:autoSpaceDE w:val="0"/>
              <w:autoSpaceDN w:val="0"/>
              <w:ind w:left="70" w:right="60"/>
              <w:jc w:val="center"/>
              <w:rPr>
                <w:rFonts w:ascii="Arial" w:hAnsi="Arial" w:cs="Arial"/>
                <w:b/>
                <w:sz w:val="14"/>
                <w:szCs w:val="14"/>
              </w:rPr>
            </w:pPr>
          </w:p>
        </w:tc>
        <w:tc>
          <w:tcPr>
            <w:tcW w:w="480" w:type="pct"/>
            <w:vMerge/>
            <w:tcBorders>
              <w:top w:val="single" w:sz="4" w:space="0" w:color="auto"/>
              <w:bottom w:val="single" w:sz="4" w:space="0" w:color="auto"/>
            </w:tcBorders>
            <w:vAlign w:val="center"/>
          </w:tcPr>
          <w:p w14:paraId="6F9BF71F" w14:textId="77777777" w:rsidR="00E541EE" w:rsidRPr="00E719E7" w:rsidRDefault="00E541EE" w:rsidP="00A84BB5">
            <w:pPr>
              <w:widowControl w:val="0"/>
              <w:autoSpaceDE w:val="0"/>
              <w:autoSpaceDN w:val="0"/>
              <w:ind w:left="311"/>
              <w:jc w:val="center"/>
              <w:rPr>
                <w:rFonts w:ascii="Arial" w:hAnsi="Arial" w:cs="Arial"/>
                <w:b/>
                <w:sz w:val="14"/>
                <w:szCs w:val="14"/>
              </w:rPr>
            </w:pPr>
          </w:p>
        </w:tc>
        <w:tc>
          <w:tcPr>
            <w:tcW w:w="552" w:type="pct"/>
            <w:vMerge/>
            <w:tcBorders>
              <w:top w:val="single" w:sz="4" w:space="0" w:color="auto"/>
              <w:bottom w:val="single" w:sz="4" w:space="0" w:color="auto"/>
            </w:tcBorders>
            <w:vAlign w:val="center"/>
          </w:tcPr>
          <w:p w14:paraId="4D645F1D" w14:textId="77777777" w:rsidR="00E541EE" w:rsidRPr="00E719E7" w:rsidRDefault="00E541EE" w:rsidP="00A84BB5">
            <w:pPr>
              <w:widowControl w:val="0"/>
              <w:autoSpaceDE w:val="0"/>
              <w:autoSpaceDN w:val="0"/>
              <w:ind w:left="174" w:right="97" w:hanging="44"/>
              <w:jc w:val="center"/>
              <w:rPr>
                <w:rFonts w:ascii="Arial" w:hAnsi="Arial" w:cs="Arial"/>
                <w:b/>
                <w:sz w:val="14"/>
                <w:szCs w:val="14"/>
              </w:rPr>
            </w:pPr>
          </w:p>
        </w:tc>
        <w:tc>
          <w:tcPr>
            <w:tcW w:w="417" w:type="pct"/>
            <w:vMerge/>
            <w:tcBorders>
              <w:top w:val="single" w:sz="4" w:space="0" w:color="auto"/>
              <w:bottom w:val="single" w:sz="4" w:space="0" w:color="auto"/>
            </w:tcBorders>
            <w:vAlign w:val="center"/>
          </w:tcPr>
          <w:p w14:paraId="1EA1C94F" w14:textId="77777777" w:rsidR="00E541EE" w:rsidRPr="00E719E7" w:rsidRDefault="00E541EE" w:rsidP="00A84BB5">
            <w:pPr>
              <w:widowControl w:val="0"/>
              <w:autoSpaceDE w:val="0"/>
              <w:autoSpaceDN w:val="0"/>
              <w:ind w:left="44" w:right="32"/>
              <w:jc w:val="center"/>
              <w:rPr>
                <w:rFonts w:ascii="Arial" w:hAnsi="Arial" w:cs="Arial"/>
                <w:b/>
                <w:sz w:val="14"/>
                <w:szCs w:val="14"/>
              </w:rPr>
            </w:pPr>
          </w:p>
        </w:tc>
        <w:tc>
          <w:tcPr>
            <w:tcW w:w="291" w:type="pct"/>
            <w:tcBorders>
              <w:top w:val="single" w:sz="4" w:space="0" w:color="auto"/>
              <w:bottom w:val="single" w:sz="4" w:space="0" w:color="auto"/>
            </w:tcBorders>
            <w:vAlign w:val="center"/>
          </w:tcPr>
          <w:p w14:paraId="3FB49326" w14:textId="77777777" w:rsidR="00E541EE" w:rsidRPr="00E719E7" w:rsidRDefault="00E541EE" w:rsidP="00A84BB5">
            <w:pPr>
              <w:widowControl w:val="0"/>
              <w:autoSpaceDE w:val="0"/>
              <w:autoSpaceDN w:val="0"/>
              <w:ind w:left="87" w:right="70"/>
              <w:jc w:val="center"/>
              <w:rPr>
                <w:rFonts w:ascii="Arial" w:hAnsi="Arial" w:cs="Arial"/>
                <w:b/>
                <w:sz w:val="14"/>
                <w:szCs w:val="14"/>
              </w:rPr>
            </w:pPr>
            <w:r w:rsidRPr="00E719E7">
              <w:rPr>
                <w:rFonts w:ascii="Arial" w:hAnsi="Arial" w:cs="Arial"/>
                <w:b/>
                <w:sz w:val="14"/>
                <w:szCs w:val="14"/>
              </w:rPr>
              <w:t>za 2026.</w:t>
            </w:r>
          </w:p>
        </w:tc>
        <w:tc>
          <w:tcPr>
            <w:tcW w:w="288" w:type="pct"/>
            <w:tcBorders>
              <w:top w:val="single" w:sz="4" w:space="0" w:color="auto"/>
              <w:bottom w:val="single" w:sz="4" w:space="0" w:color="auto"/>
            </w:tcBorders>
            <w:vAlign w:val="center"/>
          </w:tcPr>
          <w:p w14:paraId="0D7DDC2B" w14:textId="77777777" w:rsidR="00E541EE" w:rsidRPr="00E719E7" w:rsidRDefault="00E541EE" w:rsidP="00A84BB5">
            <w:pPr>
              <w:widowControl w:val="0"/>
              <w:autoSpaceDE w:val="0"/>
              <w:autoSpaceDN w:val="0"/>
              <w:ind w:left="75" w:right="61"/>
              <w:jc w:val="center"/>
              <w:rPr>
                <w:rFonts w:ascii="Arial" w:hAnsi="Arial" w:cs="Arial"/>
                <w:b/>
                <w:sz w:val="14"/>
                <w:szCs w:val="14"/>
              </w:rPr>
            </w:pPr>
            <w:r w:rsidRPr="00E719E7">
              <w:rPr>
                <w:rFonts w:ascii="Arial" w:hAnsi="Arial" w:cs="Arial"/>
                <w:b/>
                <w:sz w:val="14"/>
                <w:szCs w:val="14"/>
              </w:rPr>
              <w:t>za</w:t>
            </w:r>
          </w:p>
          <w:p w14:paraId="30741C6A" w14:textId="77777777" w:rsidR="00E541EE" w:rsidRPr="00E719E7" w:rsidRDefault="00E541EE" w:rsidP="00A84BB5">
            <w:pPr>
              <w:widowControl w:val="0"/>
              <w:autoSpaceDE w:val="0"/>
              <w:autoSpaceDN w:val="0"/>
              <w:ind w:left="75" w:right="61"/>
              <w:jc w:val="center"/>
              <w:rPr>
                <w:rFonts w:ascii="Arial" w:hAnsi="Arial" w:cs="Arial"/>
                <w:b/>
                <w:sz w:val="14"/>
                <w:szCs w:val="14"/>
              </w:rPr>
            </w:pPr>
            <w:r w:rsidRPr="00E719E7">
              <w:rPr>
                <w:rFonts w:ascii="Arial" w:hAnsi="Arial" w:cs="Arial"/>
                <w:b/>
                <w:sz w:val="14"/>
                <w:szCs w:val="14"/>
              </w:rPr>
              <w:t>2027.</w:t>
            </w:r>
          </w:p>
        </w:tc>
        <w:tc>
          <w:tcPr>
            <w:tcW w:w="369" w:type="pct"/>
            <w:tcBorders>
              <w:top w:val="single" w:sz="4" w:space="0" w:color="auto"/>
              <w:bottom w:val="single" w:sz="4" w:space="0" w:color="auto"/>
            </w:tcBorders>
            <w:vAlign w:val="center"/>
          </w:tcPr>
          <w:p w14:paraId="7172CA39" w14:textId="77777777" w:rsidR="00E541EE" w:rsidRPr="00E719E7" w:rsidRDefault="00E541EE" w:rsidP="00A84BB5">
            <w:pPr>
              <w:widowControl w:val="0"/>
              <w:autoSpaceDE w:val="0"/>
              <w:autoSpaceDN w:val="0"/>
              <w:ind w:left="70" w:right="56"/>
              <w:jc w:val="center"/>
              <w:rPr>
                <w:rFonts w:ascii="Arial" w:hAnsi="Arial" w:cs="Arial"/>
                <w:b/>
                <w:sz w:val="14"/>
                <w:szCs w:val="14"/>
              </w:rPr>
            </w:pPr>
            <w:r w:rsidRPr="00E719E7">
              <w:rPr>
                <w:rFonts w:ascii="Arial" w:hAnsi="Arial" w:cs="Arial"/>
                <w:b/>
                <w:sz w:val="14"/>
                <w:szCs w:val="14"/>
              </w:rPr>
              <w:t>za</w:t>
            </w:r>
          </w:p>
          <w:p w14:paraId="5BC4E3FE" w14:textId="77777777" w:rsidR="00E541EE" w:rsidRPr="00E719E7" w:rsidRDefault="00E541EE" w:rsidP="00A84BB5">
            <w:pPr>
              <w:widowControl w:val="0"/>
              <w:autoSpaceDE w:val="0"/>
              <w:autoSpaceDN w:val="0"/>
              <w:ind w:left="70" w:right="56"/>
              <w:jc w:val="center"/>
              <w:rPr>
                <w:rFonts w:ascii="Arial" w:hAnsi="Arial" w:cs="Arial"/>
                <w:b/>
                <w:sz w:val="14"/>
                <w:szCs w:val="14"/>
              </w:rPr>
            </w:pPr>
            <w:r w:rsidRPr="00E719E7">
              <w:rPr>
                <w:rFonts w:ascii="Arial" w:hAnsi="Arial" w:cs="Arial"/>
                <w:b/>
                <w:sz w:val="14"/>
                <w:szCs w:val="14"/>
              </w:rPr>
              <w:t>2028.</w:t>
            </w:r>
          </w:p>
        </w:tc>
      </w:tr>
      <w:tr w:rsidR="00E541EE" w:rsidRPr="00AC2206" w14:paraId="3E49B5DF" w14:textId="77777777" w:rsidTr="00A84BB5">
        <w:trPr>
          <w:trHeight w:val="2400"/>
        </w:trPr>
        <w:tc>
          <w:tcPr>
            <w:tcW w:w="456" w:type="pct"/>
            <w:vMerge w:val="restart"/>
            <w:tcBorders>
              <w:top w:val="single" w:sz="4" w:space="0" w:color="auto"/>
              <w:left w:val="single" w:sz="4" w:space="0" w:color="auto"/>
              <w:bottom w:val="single" w:sz="4" w:space="0" w:color="auto"/>
              <w:right w:val="single" w:sz="4" w:space="0" w:color="auto"/>
            </w:tcBorders>
            <w:vAlign w:val="center"/>
          </w:tcPr>
          <w:p w14:paraId="52765BD3" w14:textId="77777777" w:rsidR="00E541EE" w:rsidRPr="00E719E7" w:rsidRDefault="00E541EE" w:rsidP="00A84BB5">
            <w:pPr>
              <w:widowControl w:val="0"/>
              <w:autoSpaceDE w:val="0"/>
              <w:autoSpaceDN w:val="0"/>
              <w:spacing w:before="49"/>
              <w:ind w:left="44" w:right="35"/>
              <w:jc w:val="center"/>
              <w:rPr>
                <w:rFonts w:ascii="Arial" w:hAnsi="Arial" w:cs="Arial"/>
                <w:sz w:val="14"/>
                <w:szCs w:val="14"/>
              </w:rPr>
            </w:pPr>
            <w:r w:rsidRPr="00E719E7">
              <w:rPr>
                <w:rFonts w:ascii="Arial" w:hAnsi="Arial" w:cs="Arial"/>
                <w:sz w:val="14"/>
                <w:szCs w:val="14"/>
              </w:rPr>
              <w:t>Provedbeni program Grada Rovinja-Rovigno za razdoblje 2025</w:t>
            </w:r>
            <w:r>
              <w:rPr>
                <w:rFonts w:ascii="Arial" w:hAnsi="Arial" w:cs="Arial"/>
                <w:sz w:val="14"/>
                <w:szCs w:val="14"/>
              </w:rPr>
              <w:t>.</w:t>
            </w:r>
            <w:r w:rsidRPr="00E719E7">
              <w:rPr>
                <w:rFonts w:ascii="Arial" w:hAnsi="Arial" w:cs="Arial"/>
                <w:sz w:val="14"/>
                <w:szCs w:val="14"/>
              </w:rPr>
              <w:t>-2029. godine</w:t>
            </w:r>
          </w:p>
        </w:tc>
        <w:tc>
          <w:tcPr>
            <w:tcW w:w="516" w:type="pct"/>
            <w:vMerge w:val="restart"/>
            <w:tcBorders>
              <w:top w:val="single" w:sz="4" w:space="0" w:color="auto"/>
              <w:left w:val="single" w:sz="4" w:space="0" w:color="auto"/>
              <w:bottom w:val="single" w:sz="4" w:space="0" w:color="auto"/>
              <w:right w:val="single" w:sz="4" w:space="0" w:color="auto"/>
            </w:tcBorders>
            <w:vAlign w:val="center"/>
          </w:tcPr>
          <w:p w14:paraId="21AD9C06" w14:textId="77777777" w:rsidR="00E541EE" w:rsidRPr="00E719E7" w:rsidRDefault="00E541EE" w:rsidP="00A84BB5">
            <w:pPr>
              <w:widowControl w:val="0"/>
              <w:autoSpaceDE w:val="0"/>
              <w:autoSpaceDN w:val="0"/>
              <w:jc w:val="center"/>
              <w:rPr>
                <w:rFonts w:ascii="Arial" w:hAnsi="Arial" w:cs="Arial"/>
                <w:sz w:val="14"/>
                <w:szCs w:val="14"/>
              </w:rPr>
            </w:pPr>
          </w:p>
          <w:p w14:paraId="1C475B03" w14:textId="77777777" w:rsidR="00E541EE" w:rsidRPr="00E719E7" w:rsidRDefault="00E541EE" w:rsidP="00A84BB5">
            <w:pPr>
              <w:widowControl w:val="0"/>
              <w:autoSpaceDE w:val="0"/>
              <w:autoSpaceDN w:val="0"/>
              <w:ind w:left="28" w:right="19" w:firstLine="2"/>
              <w:jc w:val="center"/>
              <w:rPr>
                <w:rFonts w:ascii="Arial" w:hAnsi="Arial" w:cs="Arial"/>
                <w:sz w:val="14"/>
                <w:szCs w:val="14"/>
                <w:highlight w:val="yellow"/>
              </w:rPr>
            </w:pPr>
            <w:r w:rsidRPr="00E719E7">
              <w:rPr>
                <w:rFonts w:ascii="Arial" w:hAnsi="Arial" w:cs="Arial"/>
                <w:sz w:val="14"/>
                <w:szCs w:val="14"/>
              </w:rPr>
              <w:t>2.2.Vitalno stanovništvo kroz kvalitetnije zdravstvene usluge i sport</w:t>
            </w:r>
          </w:p>
        </w:tc>
        <w:tc>
          <w:tcPr>
            <w:tcW w:w="504" w:type="pct"/>
            <w:vMerge w:val="restart"/>
            <w:tcBorders>
              <w:top w:val="single" w:sz="4" w:space="0" w:color="auto"/>
              <w:left w:val="single" w:sz="4" w:space="0" w:color="auto"/>
              <w:bottom w:val="single" w:sz="4" w:space="0" w:color="auto"/>
              <w:right w:val="single" w:sz="4" w:space="0" w:color="auto"/>
            </w:tcBorders>
            <w:shd w:val="clear" w:color="auto" w:fill="FFF1CC"/>
            <w:vAlign w:val="center"/>
          </w:tcPr>
          <w:p w14:paraId="787B4AD8" w14:textId="77777777" w:rsidR="00E541EE" w:rsidRPr="00E719E7" w:rsidRDefault="00E541EE" w:rsidP="00A84BB5">
            <w:pPr>
              <w:widowControl w:val="0"/>
              <w:autoSpaceDE w:val="0"/>
              <w:autoSpaceDN w:val="0"/>
              <w:spacing w:before="7"/>
              <w:jc w:val="center"/>
              <w:rPr>
                <w:rFonts w:ascii="Arial" w:hAnsi="Arial" w:cs="Arial"/>
                <w:sz w:val="14"/>
                <w:szCs w:val="14"/>
              </w:rPr>
            </w:pPr>
          </w:p>
          <w:p w14:paraId="2CF3289F" w14:textId="77777777" w:rsidR="00E541EE" w:rsidRPr="00E719E7" w:rsidRDefault="00E541EE" w:rsidP="00A84BB5">
            <w:pPr>
              <w:widowControl w:val="0"/>
              <w:autoSpaceDE w:val="0"/>
              <w:autoSpaceDN w:val="0"/>
              <w:ind w:left="74" w:right="63" w:hanging="4"/>
              <w:jc w:val="center"/>
              <w:rPr>
                <w:rFonts w:ascii="Arial" w:hAnsi="Arial" w:cs="Arial"/>
                <w:sz w:val="14"/>
                <w:szCs w:val="14"/>
                <w:highlight w:val="yellow"/>
              </w:rPr>
            </w:pPr>
            <w:r w:rsidRPr="00E719E7">
              <w:rPr>
                <w:rFonts w:ascii="Arial" w:hAnsi="Arial" w:cs="Arial"/>
                <w:sz w:val="14"/>
                <w:szCs w:val="14"/>
              </w:rPr>
              <w:t>P-1033 Program: Javne potrebe u zdravstvu</w:t>
            </w:r>
          </w:p>
        </w:tc>
        <w:tc>
          <w:tcPr>
            <w:tcW w:w="612" w:type="pct"/>
            <w:vMerge w:val="restart"/>
            <w:tcBorders>
              <w:top w:val="single" w:sz="4" w:space="0" w:color="auto"/>
              <w:left w:val="single" w:sz="4" w:space="0" w:color="auto"/>
              <w:bottom w:val="single" w:sz="4" w:space="0" w:color="auto"/>
              <w:right w:val="single" w:sz="4" w:space="0" w:color="auto"/>
            </w:tcBorders>
            <w:vAlign w:val="center"/>
          </w:tcPr>
          <w:p w14:paraId="076A21D3" w14:textId="77777777" w:rsidR="00E541EE" w:rsidRPr="00E719E7" w:rsidRDefault="00E541EE" w:rsidP="00A84BB5">
            <w:pPr>
              <w:widowControl w:val="0"/>
              <w:autoSpaceDE w:val="0"/>
              <w:autoSpaceDN w:val="0"/>
              <w:ind w:left="29" w:right="11" w:firstLine="9"/>
              <w:jc w:val="center"/>
              <w:rPr>
                <w:rFonts w:ascii="Arial" w:hAnsi="Arial" w:cs="Arial"/>
                <w:sz w:val="14"/>
                <w:szCs w:val="14"/>
              </w:rPr>
            </w:pPr>
            <w:r w:rsidRPr="00E719E7">
              <w:rPr>
                <w:rFonts w:ascii="Arial" w:hAnsi="Arial" w:cs="Arial"/>
                <w:sz w:val="14"/>
                <w:szCs w:val="14"/>
              </w:rPr>
              <w:t>18. Osiguravanje suvremenih i ekološki održivih infrastrukturnih kapaciteta za pružanje</w:t>
            </w:r>
          </w:p>
          <w:p w14:paraId="0DA048C3" w14:textId="77777777" w:rsidR="00E541EE" w:rsidRPr="00E719E7" w:rsidRDefault="00E541EE" w:rsidP="00A84BB5">
            <w:pPr>
              <w:widowControl w:val="0"/>
              <w:autoSpaceDE w:val="0"/>
              <w:autoSpaceDN w:val="0"/>
              <w:ind w:left="29" w:right="11" w:firstLine="9"/>
              <w:jc w:val="center"/>
              <w:rPr>
                <w:rFonts w:ascii="Arial" w:hAnsi="Arial" w:cs="Arial"/>
                <w:sz w:val="14"/>
                <w:szCs w:val="14"/>
              </w:rPr>
            </w:pPr>
            <w:r w:rsidRPr="00E719E7">
              <w:rPr>
                <w:rFonts w:ascii="Arial" w:hAnsi="Arial" w:cs="Arial"/>
                <w:sz w:val="14"/>
                <w:szCs w:val="14"/>
              </w:rPr>
              <w:t>zdravstvene zaštite</w:t>
            </w:r>
          </w:p>
          <w:p w14:paraId="591421A7" w14:textId="77777777" w:rsidR="00E541EE" w:rsidRDefault="00E541EE" w:rsidP="00A84BB5">
            <w:pPr>
              <w:widowControl w:val="0"/>
              <w:autoSpaceDE w:val="0"/>
              <w:autoSpaceDN w:val="0"/>
              <w:ind w:left="29" w:right="11" w:firstLine="9"/>
              <w:jc w:val="center"/>
              <w:rPr>
                <w:rFonts w:ascii="Arial" w:hAnsi="Arial" w:cs="Arial"/>
                <w:sz w:val="14"/>
                <w:szCs w:val="14"/>
              </w:rPr>
            </w:pPr>
          </w:p>
          <w:p w14:paraId="745BE213" w14:textId="77777777" w:rsidR="00E541EE" w:rsidRDefault="00E541EE" w:rsidP="00A84BB5">
            <w:pPr>
              <w:widowControl w:val="0"/>
              <w:autoSpaceDE w:val="0"/>
              <w:autoSpaceDN w:val="0"/>
              <w:ind w:left="29" w:right="11" w:firstLine="9"/>
              <w:jc w:val="center"/>
              <w:rPr>
                <w:rFonts w:ascii="Arial" w:hAnsi="Arial" w:cs="Arial"/>
                <w:sz w:val="14"/>
                <w:szCs w:val="14"/>
              </w:rPr>
            </w:pPr>
          </w:p>
          <w:p w14:paraId="03FCEE03" w14:textId="77777777" w:rsidR="00E541EE" w:rsidRDefault="00E541EE" w:rsidP="00A84BB5">
            <w:pPr>
              <w:widowControl w:val="0"/>
              <w:autoSpaceDE w:val="0"/>
              <w:autoSpaceDN w:val="0"/>
              <w:ind w:left="29" w:right="11" w:firstLine="9"/>
              <w:jc w:val="center"/>
              <w:rPr>
                <w:rFonts w:ascii="Arial" w:hAnsi="Arial" w:cs="Arial"/>
                <w:sz w:val="14"/>
                <w:szCs w:val="14"/>
              </w:rPr>
            </w:pPr>
          </w:p>
          <w:p w14:paraId="1943AD5A" w14:textId="77777777" w:rsidR="00E541EE" w:rsidRDefault="00E541EE" w:rsidP="00A84BB5">
            <w:pPr>
              <w:widowControl w:val="0"/>
              <w:autoSpaceDE w:val="0"/>
              <w:autoSpaceDN w:val="0"/>
              <w:ind w:left="29" w:right="11" w:firstLine="9"/>
              <w:jc w:val="center"/>
              <w:rPr>
                <w:rFonts w:ascii="Arial" w:hAnsi="Arial" w:cs="Arial"/>
                <w:sz w:val="14"/>
                <w:szCs w:val="14"/>
              </w:rPr>
            </w:pPr>
          </w:p>
          <w:p w14:paraId="545E1B61" w14:textId="77777777" w:rsidR="00E541EE" w:rsidRDefault="00E541EE" w:rsidP="00A84BB5">
            <w:pPr>
              <w:widowControl w:val="0"/>
              <w:autoSpaceDE w:val="0"/>
              <w:autoSpaceDN w:val="0"/>
              <w:ind w:right="11"/>
              <w:rPr>
                <w:rFonts w:ascii="Arial" w:hAnsi="Arial" w:cs="Arial"/>
                <w:sz w:val="14"/>
                <w:szCs w:val="14"/>
              </w:rPr>
            </w:pPr>
          </w:p>
          <w:p w14:paraId="394D2F3B" w14:textId="77777777" w:rsidR="00E541EE" w:rsidRPr="00E719E7" w:rsidRDefault="00E541EE" w:rsidP="00A84BB5">
            <w:pPr>
              <w:widowControl w:val="0"/>
              <w:autoSpaceDE w:val="0"/>
              <w:autoSpaceDN w:val="0"/>
              <w:ind w:left="29" w:right="11" w:firstLine="9"/>
              <w:jc w:val="center"/>
              <w:rPr>
                <w:rFonts w:ascii="Arial" w:hAnsi="Arial" w:cs="Arial"/>
                <w:sz w:val="14"/>
                <w:szCs w:val="14"/>
              </w:rPr>
            </w:pPr>
          </w:p>
          <w:p w14:paraId="6119BFDA" w14:textId="77777777" w:rsidR="00E541EE" w:rsidRPr="000908A1" w:rsidRDefault="00E541EE" w:rsidP="00A84BB5">
            <w:pPr>
              <w:widowControl w:val="0"/>
              <w:autoSpaceDE w:val="0"/>
              <w:autoSpaceDN w:val="0"/>
              <w:ind w:left="29" w:right="11" w:firstLine="9"/>
              <w:jc w:val="center"/>
              <w:rPr>
                <w:rFonts w:ascii="Arial" w:hAnsi="Arial" w:cs="Arial"/>
                <w:sz w:val="14"/>
                <w:szCs w:val="14"/>
              </w:rPr>
            </w:pPr>
            <w:r w:rsidRPr="00E719E7">
              <w:rPr>
                <w:rFonts w:ascii="Arial" w:hAnsi="Arial" w:cs="Arial"/>
                <w:sz w:val="14"/>
                <w:szCs w:val="14"/>
              </w:rPr>
              <w:t>19. Unaprjeđenje programa prevencije i ranog otkrivanja</w:t>
            </w:r>
          </w:p>
        </w:tc>
        <w:tc>
          <w:tcPr>
            <w:tcW w:w="515" w:type="pct"/>
            <w:vMerge w:val="restart"/>
            <w:tcBorders>
              <w:top w:val="single" w:sz="4" w:space="0" w:color="auto"/>
              <w:left w:val="single" w:sz="4" w:space="0" w:color="auto"/>
              <w:bottom w:val="single" w:sz="4" w:space="0" w:color="auto"/>
              <w:right w:val="single" w:sz="4" w:space="0" w:color="auto"/>
            </w:tcBorders>
            <w:shd w:val="clear" w:color="auto" w:fill="FFF1CC"/>
            <w:vAlign w:val="center"/>
          </w:tcPr>
          <w:p w14:paraId="33E1EABC" w14:textId="77777777" w:rsidR="00E541EE" w:rsidRPr="00E719E7" w:rsidRDefault="00E541EE" w:rsidP="00A84BB5">
            <w:pPr>
              <w:widowControl w:val="0"/>
              <w:autoSpaceDE w:val="0"/>
              <w:autoSpaceDN w:val="0"/>
              <w:jc w:val="center"/>
              <w:rPr>
                <w:rFonts w:ascii="Arial" w:hAnsi="Arial" w:cs="Arial"/>
                <w:sz w:val="14"/>
                <w:szCs w:val="14"/>
              </w:rPr>
            </w:pPr>
          </w:p>
          <w:p w14:paraId="7CF6EE48" w14:textId="77777777" w:rsidR="00E541EE" w:rsidRPr="00E719E7" w:rsidRDefault="00E541EE" w:rsidP="00A84BB5">
            <w:pPr>
              <w:widowControl w:val="0"/>
              <w:autoSpaceDE w:val="0"/>
              <w:autoSpaceDN w:val="0"/>
              <w:jc w:val="center"/>
              <w:rPr>
                <w:rFonts w:ascii="Arial" w:hAnsi="Arial" w:cs="Arial"/>
                <w:sz w:val="14"/>
                <w:szCs w:val="14"/>
              </w:rPr>
            </w:pPr>
          </w:p>
          <w:p w14:paraId="28204502" w14:textId="77777777" w:rsidR="00E541EE" w:rsidRPr="00E719E7" w:rsidRDefault="00E541EE" w:rsidP="00A84BB5">
            <w:pPr>
              <w:widowControl w:val="0"/>
              <w:autoSpaceDE w:val="0"/>
              <w:autoSpaceDN w:val="0"/>
              <w:spacing w:before="8"/>
              <w:jc w:val="center"/>
              <w:rPr>
                <w:rFonts w:ascii="Arial" w:hAnsi="Arial" w:cs="Arial"/>
                <w:sz w:val="14"/>
                <w:szCs w:val="14"/>
              </w:rPr>
            </w:pPr>
          </w:p>
          <w:p w14:paraId="79041326" w14:textId="77777777" w:rsidR="00E541EE" w:rsidRPr="00E719E7" w:rsidRDefault="00E541EE" w:rsidP="00A84BB5">
            <w:pPr>
              <w:widowControl w:val="0"/>
              <w:autoSpaceDE w:val="0"/>
              <w:autoSpaceDN w:val="0"/>
              <w:ind w:left="142"/>
              <w:jc w:val="center"/>
              <w:rPr>
                <w:rFonts w:ascii="Arial" w:hAnsi="Arial" w:cs="Arial"/>
                <w:sz w:val="14"/>
                <w:szCs w:val="14"/>
                <w:highlight w:val="yellow"/>
              </w:rPr>
            </w:pPr>
            <w:r w:rsidRPr="00E719E7">
              <w:rPr>
                <w:rFonts w:ascii="Arial" w:hAnsi="Arial" w:cs="Arial"/>
                <w:sz w:val="14"/>
                <w:szCs w:val="14"/>
              </w:rPr>
              <w:t>4</w:t>
            </w:r>
            <w:r>
              <w:rPr>
                <w:rFonts w:ascii="Arial" w:hAnsi="Arial" w:cs="Arial"/>
                <w:sz w:val="14"/>
                <w:szCs w:val="14"/>
              </w:rPr>
              <w:t>7</w:t>
            </w:r>
            <w:r w:rsidRPr="00E719E7">
              <w:rPr>
                <w:rFonts w:ascii="Arial" w:hAnsi="Arial" w:cs="Arial"/>
                <w:sz w:val="14"/>
                <w:szCs w:val="14"/>
              </w:rPr>
              <w:t>7.598,00</w:t>
            </w:r>
          </w:p>
        </w:tc>
        <w:tc>
          <w:tcPr>
            <w:tcW w:w="480" w:type="pct"/>
            <w:vMerge w:val="restart"/>
            <w:tcBorders>
              <w:top w:val="single" w:sz="4" w:space="0" w:color="auto"/>
              <w:left w:val="single" w:sz="4" w:space="0" w:color="auto"/>
              <w:bottom w:val="single" w:sz="4" w:space="0" w:color="auto"/>
              <w:right w:val="single" w:sz="4" w:space="0" w:color="auto"/>
            </w:tcBorders>
            <w:vAlign w:val="center"/>
          </w:tcPr>
          <w:p w14:paraId="2C5F8634" w14:textId="77777777" w:rsidR="00E541EE" w:rsidRDefault="00E541EE" w:rsidP="00A84BB5">
            <w:pPr>
              <w:jc w:val="center"/>
              <w:rPr>
                <w:rFonts w:ascii="Arial" w:hAnsi="Arial" w:cs="Arial"/>
                <w:sz w:val="14"/>
                <w:szCs w:val="14"/>
              </w:rPr>
            </w:pPr>
          </w:p>
          <w:p w14:paraId="67AC33DB" w14:textId="77777777" w:rsidR="00E541EE" w:rsidRPr="00E719E7" w:rsidRDefault="00E541EE" w:rsidP="00A84BB5">
            <w:pPr>
              <w:jc w:val="center"/>
              <w:rPr>
                <w:rFonts w:ascii="Arial" w:hAnsi="Arial" w:cs="Arial"/>
                <w:sz w:val="14"/>
                <w:szCs w:val="14"/>
              </w:rPr>
            </w:pPr>
            <w:r w:rsidRPr="00E719E7">
              <w:rPr>
                <w:rFonts w:ascii="Arial" w:hAnsi="Arial" w:cs="Arial"/>
                <w:sz w:val="14"/>
                <w:szCs w:val="14"/>
              </w:rPr>
              <w:t>K 103303: Specijalna bolnica za ortopediju i rehabilitaciju Martin Horvat</w:t>
            </w:r>
          </w:p>
          <w:p w14:paraId="544E56E3" w14:textId="77777777" w:rsidR="00E541EE" w:rsidRDefault="00E541EE" w:rsidP="00A84BB5">
            <w:pPr>
              <w:jc w:val="center"/>
              <w:rPr>
                <w:rFonts w:ascii="Arial" w:hAnsi="Arial" w:cs="Arial"/>
                <w:sz w:val="14"/>
                <w:szCs w:val="14"/>
              </w:rPr>
            </w:pPr>
          </w:p>
          <w:p w14:paraId="5C6825BE" w14:textId="77777777" w:rsidR="00E541EE" w:rsidRPr="005372B9" w:rsidRDefault="00E541EE" w:rsidP="00A84BB5">
            <w:pPr>
              <w:jc w:val="center"/>
              <w:rPr>
                <w:rFonts w:ascii="Arial" w:hAnsi="Arial" w:cs="Arial"/>
                <w:sz w:val="14"/>
                <w:szCs w:val="14"/>
              </w:rPr>
            </w:pPr>
            <w:r w:rsidRPr="00E719E7">
              <w:rPr>
                <w:rFonts w:ascii="Arial" w:hAnsi="Arial" w:cs="Arial"/>
                <w:sz w:val="14"/>
                <w:szCs w:val="14"/>
              </w:rPr>
              <w:t>K 103305: Specijalna bolnica za ortopediju i rehabilitaciju Martin Horvat  Dječji odjel</w:t>
            </w:r>
          </w:p>
          <w:p w14:paraId="227CDDB7" w14:textId="77777777" w:rsidR="00E541EE" w:rsidRPr="005372B9" w:rsidRDefault="00E541EE" w:rsidP="00A84BB5">
            <w:pPr>
              <w:jc w:val="center"/>
              <w:rPr>
                <w:rFonts w:ascii="Arial" w:hAnsi="Arial" w:cs="Arial"/>
                <w:sz w:val="14"/>
                <w:szCs w:val="14"/>
              </w:rPr>
            </w:pPr>
            <w:r w:rsidRPr="00E719E7">
              <w:rPr>
                <w:rFonts w:ascii="Arial" w:eastAsia="Times New Roman" w:hAnsi="Arial" w:cs="Arial"/>
                <w:sz w:val="14"/>
                <w:szCs w:val="14"/>
              </w:rPr>
              <w:t>A 103307: Program ranog otkrivanja tumora prostate</w:t>
            </w:r>
          </w:p>
          <w:p w14:paraId="2B527A57" w14:textId="77777777" w:rsidR="00E541EE" w:rsidRDefault="00E541EE" w:rsidP="00A84BB5">
            <w:pPr>
              <w:pBdr>
                <w:left w:val="single" w:sz="4" w:space="4" w:color="auto"/>
                <w:right w:val="single" w:sz="4" w:space="4" w:color="auto"/>
              </w:pBdr>
              <w:jc w:val="center"/>
              <w:rPr>
                <w:rFonts w:ascii="Arial" w:eastAsia="Times New Roman" w:hAnsi="Arial" w:cs="Arial"/>
                <w:sz w:val="14"/>
                <w:szCs w:val="14"/>
              </w:rPr>
            </w:pPr>
          </w:p>
          <w:p w14:paraId="162C32AD" w14:textId="77777777" w:rsidR="00E541EE" w:rsidRPr="00E719E7" w:rsidRDefault="00E541EE" w:rsidP="00A84BB5">
            <w:pPr>
              <w:pBdr>
                <w:left w:val="single" w:sz="4" w:space="4" w:color="auto"/>
                <w:right w:val="single" w:sz="4" w:space="4" w:color="auto"/>
              </w:pBdr>
              <w:jc w:val="center"/>
              <w:rPr>
                <w:rFonts w:ascii="Arial" w:eastAsia="Times New Roman" w:hAnsi="Arial" w:cs="Arial"/>
                <w:sz w:val="14"/>
                <w:szCs w:val="14"/>
              </w:rPr>
            </w:pPr>
            <w:r w:rsidRPr="00E719E7">
              <w:rPr>
                <w:rFonts w:ascii="Arial" w:eastAsia="Times New Roman" w:hAnsi="Arial" w:cs="Arial"/>
                <w:sz w:val="14"/>
                <w:szCs w:val="14"/>
              </w:rPr>
              <w:t>A 103308: Savjetovalište za spolno i reproduktivno zdravlje mladih</w:t>
            </w:r>
          </w:p>
          <w:p w14:paraId="38A0CCDF" w14:textId="77777777" w:rsidR="00E541EE" w:rsidRPr="00E719E7" w:rsidRDefault="00E541EE" w:rsidP="00A84BB5">
            <w:pPr>
              <w:jc w:val="center"/>
              <w:rPr>
                <w:rFonts w:ascii="Arial" w:hAnsi="Arial" w:cs="Arial"/>
                <w:sz w:val="14"/>
                <w:szCs w:val="14"/>
              </w:rPr>
            </w:pPr>
          </w:p>
          <w:p w14:paraId="0BE05F6E" w14:textId="77777777" w:rsidR="00E541EE" w:rsidRPr="00E719E7" w:rsidRDefault="00E541EE" w:rsidP="00A84BB5">
            <w:pPr>
              <w:jc w:val="center"/>
              <w:rPr>
                <w:rFonts w:ascii="Arial" w:hAnsi="Arial" w:cs="Arial"/>
                <w:sz w:val="14"/>
                <w:szCs w:val="14"/>
              </w:rPr>
            </w:pPr>
            <w:r w:rsidRPr="00E719E7">
              <w:rPr>
                <w:rFonts w:ascii="Arial" w:eastAsia="Times New Roman" w:hAnsi="Arial" w:cs="Arial"/>
                <w:sz w:val="14"/>
                <w:szCs w:val="14"/>
              </w:rPr>
              <w:t>A 103312: Sufinanciranje smještaja defic. kadra u zdravstvu</w:t>
            </w:r>
          </w:p>
          <w:p w14:paraId="39B9BF53" w14:textId="77777777" w:rsidR="00E541EE" w:rsidRPr="00E719E7" w:rsidRDefault="00E541EE" w:rsidP="00A84BB5">
            <w:pPr>
              <w:jc w:val="center"/>
              <w:rPr>
                <w:rFonts w:ascii="Arial" w:hAnsi="Arial" w:cs="Arial"/>
                <w:sz w:val="14"/>
                <w:szCs w:val="14"/>
                <w:highlight w:val="yellow"/>
              </w:rPr>
            </w:pPr>
          </w:p>
        </w:tc>
        <w:tc>
          <w:tcPr>
            <w:tcW w:w="552" w:type="pct"/>
            <w:tcBorders>
              <w:top w:val="single" w:sz="4" w:space="0" w:color="auto"/>
              <w:left w:val="single" w:sz="4" w:space="0" w:color="auto"/>
              <w:bottom w:val="single" w:sz="4" w:space="0" w:color="auto"/>
              <w:right w:val="single" w:sz="4" w:space="0" w:color="auto"/>
            </w:tcBorders>
            <w:shd w:val="clear" w:color="auto" w:fill="FFF1CC"/>
            <w:vAlign w:val="center"/>
          </w:tcPr>
          <w:p w14:paraId="25EDAE1E" w14:textId="77777777" w:rsidR="00E541EE" w:rsidRDefault="00E541EE" w:rsidP="00A84BB5">
            <w:pPr>
              <w:jc w:val="center"/>
              <w:rPr>
                <w:rFonts w:ascii="Arial" w:hAnsi="Arial" w:cs="Arial"/>
                <w:sz w:val="14"/>
                <w:szCs w:val="14"/>
              </w:rPr>
            </w:pPr>
          </w:p>
          <w:p w14:paraId="2A3D7C02" w14:textId="77777777" w:rsidR="00E541EE" w:rsidRPr="00E719E7" w:rsidRDefault="00E541EE" w:rsidP="00A84BB5">
            <w:pPr>
              <w:jc w:val="center"/>
              <w:rPr>
                <w:rFonts w:ascii="Arial" w:hAnsi="Arial" w:cs="Arial"/>
                <w:sz w:val="14"/>
                <w:szCs w:val="14"/>
              </w:rPr>
            </w:pPr>
            <w:r w:rsidRPr="00E719E7">
              <w:rPr>
                <w:rFonts w:ascii="Arial" w:hAnsi="Arial" w:cs="Arial"/>
                <w:sz w:val="14"/>
                <w:szCs w:val="14"/>
              </w:rPr>
              <w:t>Broj obnovljenih objekata javno zdravstvenih ustanova</w:t>
            </w:r>
          </w:p>
          <w:p w14:paraId="13CB1AAB" w14:textId="77777777" w:rsidR="00E541EE" w:rsidRPr="00E719E7" w:rsidRDefault="00E541EE" w:rsidP="00A84BB5">
            <w:pPr>
              <w:widowControl w:val="0"/>
              <w:autoSpaceDE w:val="0"/>
              <w:autoSpaceDN w:val="0"/>
              <w:jc w:val="center"/>
              <w:rPr>
                <w:rFonts w:ascii="Arial" w:hAnsi="Arial" w:cs="Arial"/>
                <w:sz w:val="14"/>
                <w:szCs w:val="14"/>
                <w:highlight w:val="yellow"/>
              </w:rPr>
            </w:pPr>
          </w:p>
        </w:tc>
        <w:tc>
          <w:tcPr>
            <w:tcW w:w="4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CABF9A" w14:textId="77777777" w:rsidR="00E541EE" w:rsidRPr="00E719E7" w:rsidRDefault="00E541EE" w:rsidP="00A84BB5">
            <w:pPr>
              <w:jc w:val="center"/>
              <w:rPr>
                <w:rFonts w:ascii="Arial" w:hAnsi="Arial" w:cs="Arial"/>
                <w:sz w:val="14"/>
                <w:szCs w:val="14"/>
                <w:highlight w:val="yellow"/>
              </w:rPr>
            </w:pPr>
            <w:r w:rsidRPr="00E719E7">
              <w:rPr>
                <w:rFonts w:ascii="Arial" w:eastAsia="Times New Roman" w:hAnsi="Arial" w:cs="Arial"/>
                <w:sz w:val="14"/>
                <w:szCs w:val="14"/>
              </w:rPr>
              <w:t>2</w:t>
            </w:r>
          </w:p>
        </w:tc>
        <w:tc>
          <w:tcPr>
            <w:tcW w:w="29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255A9B" w14:textId="77777777" w:rsidR="00E541EE" w:rsidRPr="00E719E7" w:rsidRDefault="00E541EE" w:rsidP="00A84BB5">
            <w:pPr>
              <w:jc w:val="center"/>
              <w:rPr>
                <w:rFonts w:ascii="Arial" w:hAnsi="Arial" w:cs="Arial"/>
                <w:sz w:val="14"/>
                <w:szCs w:val="14"/>
              </w:rPr>
            </w:pPr>
            <w:r w:rsidRPr="00E719E7">
              <w:rPr>
                <w:rFonts w:ascii="Arial" w:eastAsia="Times New Roman" w:hAnsi="Arial" w:cs="Arial"/>
                <w:sz w:val="14"/>
                <w:szCs w:val="14"/>
              </w:rPr>
              <w:t>2</w:t>
            </w:r>
          </w:p>
        </w:tc>
        <w:tc>
          <w:tcPr>
            <w:tcW w:w="2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118FE6" w14:textId="77777777" w:rsidR="00E541EE" w:rsidRPr="00E719E7" w:rsidRDefault="00E541EE" w:rsidP="00A84BB5">
            <w:pPr>
              <w:jc w:val="center"/>
              <w:rPr>
                <w:rFonts w:ascii="Arial" w:hAnsi="Arial" w:cs="Arial"/>
                <w:sz w:val="14"/>
                <w:szCs w:val="14"/>
              </w:rPr>
            </w:pPr>
            <w:r w:rsidRPr="00E719E7">
              <w:rPr>
                <w:rFonts w:ascii="Arial" w:eastAsia="Times New Roman" w:hAnsi="Arial" w:cs="Arial"/>
                <w:sz w:val="14"/>
                <w:szCs w:val="14"/>
              </w:rPr>
              <w:t>2</w:t>
            </w:r>
          </w:p>
        </w:tc>
        <w:tc>
          <w:tcPr>
            <w:tcW w:w="3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CA4F1B" w14:textId="77777777" w:rsidR="00E541EE" w:rsidRPr="00E719E7" w:rsidRDefault="00E541EE" w:rsidP="00A84BB5">
            <w:pPr>
              <w:jc w:val="center"/>
              <w:rPr>
                <w:rFonts w:ascii="Arial" w:hAnsi="Arial" w:cs="Arial"/>
                <w:sz w:val="14"/>
                <w:szCs w:val="14"/>
                <w:highlight w:val="yellow"/>
              </w:rPr>
            </w:pPr>
            <w:r w:rsidRPr="00E719E7">
              <w:rPr>
                <w:rFonts w:ascii="Arial" w:eastAsia="Times New Roman" w:hAnsi="Arial" w:cs="Arial"/>
                <w:sz w:val="14"/>
                <w:szCs w:val="14"/>
              </w:rPr>
              <w:t>2</w:t>
            </w:r>
          </w:p>
        </w:tc>
      </w:tr>
      <w:tr w:rsidR="00E541EE" w:rsidRPr="00AC2206" w14:paraId="7C201652" w14:textId="77777777" w:rsidTr="00A84BB5">
        <w:trPr>
          <w:trHeight w:val="1722"/>
        </w:trPr>
        <w:tc>
          <w:tcPr>
            <w:tcW w:w="456" w:type="pct"/>
            <w:vMerge/>
            <w:tcBorders>
              <w:top w:val="single" w:sz="4" w:space="0" w:color="auto"/>
              <w:left w:val="single" w:sz="4" w:space="0" w:color="auto"/>
              <w:bottom w:val="single" w:sz="4" w:space="0" w:color="auto"/>
              <w:right w:val="single" w:sz="4" w:space="0" w:color="auto"/>
            </w:tcBorders>
            <w:vAlign w:val="center"/>
          </w:tcPr>
          <w:p w14:paraId="2CD2F79E" w14:textId="77777777" w:rsidR="00E541EE" w:rsidRPr="00E719E7" w:rsidRDefault="00E541EE" w:rsidP="00A84BB5">
            <w:pPr>
              <w:widowControl w:val="0"/>
              <w:autoSpaceDE w:val="0"/>
              <w:autoSpaceDN w:val="0"/>
              <w:spacing w:before="49"/>
              <w:ind w:left="44" w:right="35"/>
              <w:jc w:val="center"/>
              <w:rPr>
                <w:rFonts w:ascii="Arial" w:hAnsi="Arial" w:cs="Arial"/>
                <w:sz w:val="14"/>
                <w:szCs w:val="14"/>
              </w:rPr>
            </w:pPr>
          </w:p>
        </w:tc>
        <w:tc>
          <w:tcPr>
            <w:tcW w:w="516" w:type="pct"/>
            <w:vMerge/>
            <w:tcBorders>
              <w:top w:val="single" w:sz="4" w:space="0" w:color="auto"/>
              <w:left w:val="single" w:sz="4" w:space="0" w:color="auto"/>
              <w:bottom w:val="single" w:sz="4" w:space="0" w:color="auto"/>
              <w:right w:val="single" w:sz="4" w:space="0" w:color="auto"/>
            </w:tcBorders>
            <w:vAlign w:val="center"/>
          </w:tcPr>
          <w:p w14:paraId="34722671" w14:textId="77777777" w:rsidR="00E541EE" w:rsidRPr="00E719E7" w:rsidRDefault="00E541EE" w:rsidP="00A84BB5">
            <w:pPr>
              <w:widowControl w:val="0"/>
              <w:autoSpaceDE w:val="0"/>
              <w:autoSpaceDN w:val="0"/>
              <w:jc w:val="center"/>
              <w:rPr>
                <w:rFonts w:ascii="Arial" w:hAnsi="Arial" w:cs="Arial"/>
                <w:color w:val="FF0000"/>
                <w:sz w:val="14"/>
                <w:szCs w:val="14"/>
              </w:rPr>
            </w:pPr>
          </w:p>
        </w:tc>
        <w:tc>
          <w:tcPr>
            <w:tcW w:w="504" w:type="pct"/>
            <w:vMerge/>
            <w:tcBorders>
              <w:top w:val="single" w:sz="4" w:space="0" w:color="auto"/>
              <w:left w:val="single" w:sz="4" w:space="0" w:color="auto"/>
              <w:bottom w:val="single" w:sz="4" w:space="0" w:color="auto"/>
              <w:right w:val="single" w:sz="4" w:space="0" w:color="auto"/>
            </w:tcBorders>
            <w:shd w:val="clear" w:color="auto" w:fill="FFF1CC"/>
            <w:vAlign w:val="center"/>
          </w:tcPr>
          <w:p w14:paraId="1A397FD1" w14:textId="77777777" w:rsidR="00E541EE" w:rsidRPr="00E719E7" w:rsidRDefault="00E541EE" w:rsidP="00A84BB5">
            <w:pPr>
              <w:widowControl w:val="0"/>
              <w:autoSpaceDE w:val="0"/>
              <w:autoSpaceDN w:val="0"/>
              <w:spacing w:before="7"/>
              <w:jc w:val="center"/>
              <w:rPr>
                <w:rFonts w:ascii="Arial" w:hAnsi="Arial" w:cs="Arial"/>
                <w:color w:val="FF0000"/>
                <w:sz w:val="14"/>
                <w:szCs w:val="14"/>
              </w:rPr>
            </w:pPr>
          </w:p>
        </w:tc>
        <w:tc>
          <w:tcPr>
            <w:tcW w:w="612" w:type="pct"/>
            <w:vMerge/>
            <w:tcBorders>
              <w:top w:val="single" w:sz="4" w:space="0" w:color="auto"/>
              <w:left w:val="single" w:sz="4" w:space="0" w:color="auto"/>
              <w:bottom w:val="single" w:sz="4" w:space="0" w:color="auto"/>
              <w:right w:val="single" w:sz="4" w:space="0" w:color="auto"/>
            </w:tcBorders>
            <w:vAlign w:val="center"/>
          </w:tcPr>
          <w:p w14:paraId="2AE92255" w14:textId="77777777" w:rsidR="00E541EE" w:rsidRPr="00E719E7" w:rsidRDefault="00E541EE" w:rsidP="00A84BB5">
            <w:pPr>
              <w:widowControl w:val="0"/>
              <w:autoSpaceDE w:val="0"/>
              <w:autoSpaceDN w:val="0"/>
              <w:spacing w:before="7"/>
              <w:jc w:val="center"/>
              <w:rPr>
                <w:rFonts w:ascii="Arial" w:hAnsi="Arial" w:cs="Arial"/>
                <w:color w:val="FF0000"/>
                <w:sz w:val="14"/>
                <w:szCs w:val="14"/>
              </w:rPr>
            </w:pPr>
          </w:p>
        </w:tc>
        <w:tc>
          <w:tcPr>
            <w:tcW w:w="515" w:type="pct"/>
            <w:vMerge/>
            <w:tcBorders>
              <w:top w:val="single" w:sz="4" w:space="0" w:color="auto"/>
              <w:left w:val="single" w:sz="4" w:space="0" w:color="auto"/>
              <w:bottom w:val="single" w:sz="4" w:space="0" w:color="auto"/>
              <w:right w:val="single" w:sz="4" w:space="0" w:color="auto"/>
            </w:tcBorders>
            <w:shd w:val="clear" w:color="auto" w:fill="FFF1CC"/>
            <w:vAlign w:val="center"/>
          </w:tcPr>
          <w:p w14:paraId="4CD6F391" w14:textId="77777777" w:rsidR="00E541EE" w:rsidRPr="00E719E7" w:rsidRDefault="00E541EE" w:rsidP="00A84BB5">
            <w:pPr>
              <w:widowControl w:val="0"/>
              <w:autoSpaceDE w:val="0"/>
              <w:autoSpaceDN w:val="0"/>
              <w:jc w:val="center"/>
              <w:rPr>
                <w:rFonts w:ascii="Arial" w:hAnsi="Arial" w:cs="Arial"/>
                <w:color w:val="FF0000"/>
                <w:sz w:val="14"/>
                <w:szCs w:val="14"/>
              </w:rPr>
            </w:pPr>
          </w:p>
        </w:tc>
        <w:tc>
          <w:tcPr>
            <w:tcW w:w="480" w:type="pct"/>
            <w:vMerge/>
            <w:tcBorders>
              <w:top w:val="single" w:sz="4" w:space="0" w:color="auto"/>
              <w:left w:val="single" w:sz="4" w:space="0" w:color="auto"/>
              <w:bottom w:val="single" w:sz="4" w:space="0" w:color="auto"/>
              <w:right w:val="single" w:sz="4" w:space="0" w:color="auto"/>
            </w:tcBorders>
            <w:vAlign w:val="center"/>
          </w:tcPr>
          <w:p w14:paraId="6D4ACF99" w14:textId="77777777" w:rsidR="00E541EE" w:rsidRPr="00E719E7" w:rsidRDefault="00E541EE" w:rsidP="00A84BB5">
            <w:pPr>
              <w:jc w:val="center"/>
              <w:rPr>
                <w:rFonts w:ascii="Arial" w:hAnsi="Arial" w:cs="Arial"/>
                <w:color w:val="FF0000"/>
                <w:sz w:val="14"/>
                <w:szCs w:val="14"/>
              </w:rPr>
            </w:pPr>
          </w:p>
        </w:tc>
        <w:tc>
          <w:tcPr>
            <w:tcW w:w="552" w:type="pct"/>
            <w:vMerge w:val="restart"/>
            <w:tcBorders>
              <w:top w:val="single" w:sz="4" w:space="0" w:color="auto"/>
              <w:left w:val="single" w:sz="4" w:space="0" w:color="auto"/>
              <w:bottom w:val="single" w:sz="4" w:space="0" w:color="auto"/>
              <w:right w:val="single" w:sz="4" w:space="0" w:color="auto"/>
            </w:tcBorders>
            <w:shd w:val="clear" w:color="auto" w:fill="FFF1CC"/>
            <w:vAlign w:val="center"/>
          </w:tcPr>
          <w:p w14:paraId="6A0B1D2F" w14:textId="77777777" w:rsidR="00E541EE" w:rsidRDefault="00E541EE" w:rsidP="00A84BB5">
            <w:pPr>
              <w:rPr>
                <w:rFonts w:ascii="Arial" w:hAnsi="Arial" w:cs="Arial"/>
                <w:sz w:val="14"/>
                <w:szCs w:val="14"/>
              </w:rPr>
            </w:pPr>
          </w:p>
          <w:p w14:paraId="476B96F9" w14:textId="77777777" w:rsidR="00E541EE" w:rsidRDefault="00E541EE" w:rsidP="00A84BB5">
            <w:pPr>
              <w:jc w:val="center"/>
              <w:rPr>
                <w:rFonts w:ascii="Arial" w:hAnsi="Arial" w:cs="Arial"/>
                <w:sz w:val="14"/>
                <w:szCs w:val="14"/>
              </w:rPr>
            </w:pPr>
            <w:r w:rsidRPr="00E719E7">
              <w:rPr>
                <w:rFonts w:ascii="Arial" w:hAnsi="Arial" w:cs="Arial"/>
                <w:sz w:val="14"/>
                <w:szCs w:val="14"/>
              </w:rPr>
              <w:t>Broj objekata javnih zdravstvenih ustanova u kojima je poboljšana opremljenost</w:t>
            </w:r>
          </w:p>
          <w:p w14:paraId="058BB4D0" w14:textId="77777777" w:rsidR="00E541EE" w:rsidRDefault="00E541EE" w:rsidP="00A84BB5">
            <w:pPr>
              <w:jc w:val="center"/>
              <w:rPr>
                <w:rFonts w:ascii="Arial" w:hAnsi="Arial" w:cs="Arial"/>
                <w:sz w:val="14"/>
                <w:szCs w:val="14"/>
              </w:rPr>
            </w:pPr>
          </w:p>
          <w:p w14:paraId="5BA447AF" w14:textId="77777777" w:rsidR="00E541EE" w:rsidRDefault="00E541EE" w:rsidP="00A84BB5">
            <w:pPr>
              <w:jc w:val="center"/>
              <w:rPr>
                <w:rFonts w:ascii="Arial" w:hAnsi="Arial" w:cs="Arial"/>
                <w:sz w:val="14"/>
                <w:szCs w:val="14"/>
              </w:rPr>
            </w:pPr>
            <w:r>
              <w:rPr>
                <w:rFonts w:ascii="Arial" w:hAnsi="Arial" w:cs="Arial"/>
                <w:sz w:val="14"/>
                <w:szCs w:val="14"/>
              </w:rPr>
              <w:t>Broj korisnika</w:t>
            </w:r>
          </w:p>
          <w:p w14:paraId="485EE049" w14:textId="77777777" w:rsidR="00E541EE" w:rsidRDefault="00E541EE" w:rsidP="00A84BB5">
            <w:pPr>
              <w:jc w:val="center"/>
              <w:rPr>
                <w:rFonts w:ascii="Arial" w:hAnsi="Arial" w:cs="Arial"/>
                <w:sz w:val="14"/>
                <w:szCs w:val="14"/>
              </w:rPr>
            </w:pPr>
          </w:p>
          <w:p w14:paraId="7ACF36F1" w14:textId="77777777" w:rsidR="00E541EE" w:rsidRDefault="00E541EE" w:rsidP="00A84BB5">
            <w:pPr>
              <w:jc w:val="center"/>
              <w:rPr>
                <w:rFonts w:ascii="Arial" w:hAnsi="Arial" w:cs="Arial"/>
                <w:sz w:val="14"/>
                <w:szCs w:val="14"/>
              </w:rPr>
            </w:pPr>
            <w:r>
              <w:rPr>
                <w:rFonts w:ascii="Arial" w:hAnsi="Arial" w:cs="Arial"/>
                <w:sz w:val="14"/>
                <w:szCs w:val="14"/>
              </w:rPr>
              <w:t>Broj korisnika</w:t>
            </w:r>
          </w:p>
          <w:p w14:paraId="7A7BC75D" w14:textId="77777777" w:rsidR="00E541EE" w:rsidRDefault="00E541EE" w:rsidP="00A84BB5">
            <w:pPr>
              <w:jc w:val="center"/>
              <w:rPr>
                <w:rFonts w:ascii="Arial" w:hAnsi="Arial" w:cs="Arial"/>
                <w:sz w:val="14"/>
                <w:szCs w:val="14"/>
              </w:rPr>
            </w:pPr>
          </w:p>
          <w:p w14:paraId="799C38E3" w14:textId="77777777" w:rsidR="00E541EE" w:rsidRDefault="00E541EE" w:rsidP="00A84BB5">
            <w:pPr>
              <w:rPr>
                <w:rFonts w:ascii="Arial" w:hAnsi="Arial" w:cs="Arial"/>
                <w:sz w:val="14"/>
                <w:szCs w:val="14"/>
              </w:rPr>
            </w:pPr>
          </w:p>
          <w:p w14:paraId="793F5146" w14:textId="77777777" w:rsidR="00E541EE" w:rsidRDefault="00E541EE" w:rsidP="00A84BB5">
            <w:pPr>
              <w:jc w:val="center"/>
              <w:rPr>
                <w:rFonts w:ascii="Arial" w:hAnsi="Arial" w:cs="Arial"/>
                <w:sz w:val="14"/>
                <w:szCs w:val="14"/>
              </w:rPr>
            </w:pPr>
          </w:p>
          <w:p w14:paraId="0D1DF187" w14:textId="77777777" w:rsidR="00E541EE" w:rsidRDefault="00E541EE" w:rsidP="00A84BB5">
            <w:pPr>
              <w:jc w:val="center"/>
              <w:rPr>
                <w:rFonts w:ascii="Arial" w:hAnsi="Arial" w:cs="Arial"/>
                <w:sz w:val="14"/>
                <w:szCs w:val="14"/>
              </w:rPr>
            </w:pPr>
            <w:r w:rsidRPr="00E719E7">
              <w:rPr>
                <w:rFonts w:ascii="Arial" w:hAnsi="Arial" w:cs="Arial"/>
                <w:sz w:val="14"/>
                <w:szCs w:val="14"/>
              </w:rPr>
              <w:t>Broj dodijeljenih potpora za sufinanciranje smještaja med</w:t>
            </w:r>
            <w:r>
              <w:rPr>
                <w:rFonts w:ascii="Arial" w:hAnsi="Arial" w:cs="Arial"/>
                <w:sz w:val="14"/>
                <w:szCs w:val="14"/>
              </w:rPr>
              <w:t>icinskim</w:t>
            </w:r>
          </w:p>
          <w:p w14:paraId="50C78EB3" w14:textId="77777777" w:rsidR="00E541EE" w:rsidRPr="00E719E7" w:rsidRDefault="00E541EE" w:rsidP="00A84BB5">
            <w:pPr>
              <w:jc w:val="center"/>
              <w:rPr>
                <w:rFonts w:ascii="Arial" w:hAnsi="Arial" w:cs="Arial"/>
                <w:sz w:val="14"/>
                <w:szCs w:val="14"/>
              </w:rPr>
            </w:pPr>
            <w:r w:rsidRPr="00E719E7">
              <w:rPr>
                <w:rFonts w:ascii="Arial" w:hAnsi="Arial" w:cs="Arial"/>
                <w:sz w:val="14"/>
                <w:szCs w:val="14"/>
              </w:rPr>
              <w:t>kadrovima</w:t>
            </w:r>
          </w:p>
        </w:tc>
        <w:tc>
          <w:tcPr>
            <w:tcW w:w="4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BA4DE2" w14:textId="77777777" w:rsidR="00E541EE" w:rsidRPr="00E719E7" w:rsidRDefault="00E541EE" w:rsidP="00A84BB5">
            <w:pPr>
              <w:jc w:val="center"/>
              <w:rPr>
                <w:rFonts w:ascii="Arial" w:hAnsi="Arial" w:cs="Arial"/>
                <w:sz w:val="14"/>
                <w:szCs w:val="14"/>
              </w:rPr>
            </w:pPr>
            <w:r w:rsidRPr="00E719E7">
              <w:rPr>
                <w:rFonts w:ascii="Arial" w:hAnsi="Arial" w:cs="Arial"/>
                <w:sz w:val="14"/>
                <w:szCs w:val="14"/>
              </w:rPr>
              <w:t>0</w:t>
            </w:r>
          </w:p>
          <w:p w14:paraId="104A9D50" w14:textId="77777777" w:rsidR="00E541EE" w:rsidRPr="00E719E7" w:rsidRDefault="00E541EE" w:rsidP="00A84BB5">
            <w:pPr>
              <w:jc w:val="center"/>
              <w:rPr>
                <w:rFonts w:ascii="Arial" w:hAnsi="Arial" w:cs="Arial"/>
                <w:sz w:val="14"/>
                <w:szCs w:val="14"/>
              </w:rPr>
            </w:pPr>
          </w:p>
        </w:tc>
        <w:tc>
          <w:tcPr>
            <w:tcW w:w="29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81C11C" w14:textId="77777777" w:rsidR="00E541EE" w:rsidRPr="00E719E7" w:rsidRDefault="00E541EE" w:rsidP="00A84BB5">
            <w:pPr>
              <w:jc w:val="center"/>
              <w:rPr>
                <w:rFonts w:ascii="Arial" w:hAnsi="Arial" w:cs="Arial"/>
                <w:sz w:val="14"/>
                <w:szCs w:val="14"/>
              </w:rPr>
            </w:pPr>
            <w:r w:rsidRPr="00E719E7">
              <w:rPr>
                <w:rFonts w:ascii="Arial" w:hAnsi="Arial" w:cs="Arial"/>
                <w:sz w:val="14"/>
                <w:szCs w:val="14"/>
              </w:rPr>
              <w:t>1</w:t>
            </w:r>
          </w:p>
          <w:p w14:paraId="21DA07BF" w14:textId="77777777" w:rsidR="00E541EE" w:rsidRPr="00E719E7" w:rsidRDefault="00E541EE" w:rsidP="00A84BB5">
            <w:pPr>
              <w:jc w:val="center"/>
              <w:rPr>
                <w:rFonts w:ascii="Arial" w:hAnsi="Arial" w:cs="Arial"/>
                <w:sz w:val="14"/>
                <w:szCs w:val="14"/>
              </w:rPr>
            </w:pPr>
          </w:p>
        </w:tc>
        <w:tc>
          <w:tcPr>
            <w:tcW w:w="2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67E32F" w14:textId="77777777" w:rsidR="00E541EE" w:rsidRPr="00E719E7" w:rsidRDefault="00E541EE" w:rsidP="00A84BB5">
            <w:pPr>
              <w:jc w:val="center"/>
              <w:rPr>
                <w:rFonts w:ascii="Arial" w:eastAsia="Times New Roman" w:hAnsi="Arial" w:cs="Arial"/>
                <w:sz w:val="14"/>
                <w:szCs w:val="14"/>
              </w:rPr>
            </w:pPr>
            <w:r w:rsidRPr="00E719E7">
              <w:rPr>
                <w:rFonts w:ascii="Arial" w:eastAsia="Times New Roman" w:hAnsi="Arial" w:cs="Arial"/>
                <w:sz w:val="14"/>
                <w:szCs w:val="14"/>
              </w:rPr>
              <w:t>1</w:t>
            </w:r>
          </w:p>
          <w:p w14:paraId="60834FC6" w14:textId="77777777" w:rsidR="00E541EE" w:rsidRPr="00E719E7" w:rsidRDefault="00E541EE" w:rsidP="00A84BB5">
            <w:pPr>
              <w:jc w:val="center"/>
              <w:rPr>
                <w:rFonts w:ascii="Arial" w:hAnsi="Arial" w:cs="Arial"/>
                <w:sz w:val="14"/>
                <w:szCs w:val="14"/>
              </w:rPr>
            </w:pPr>
          </w:p>
        </w:tc>
        <w:tc>
          <w:tcPr>
            <w:tcW w:w="3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9846A2" w14:textId="77777777" w:rsidR="00E541EE" w:rsidRPr="00E719E7" w:rsidRDefault="00E541EE" w:rsidP="00A84BB5">
            <w:pPr>
              <w:jc w:val="center"/>
              <w:rPr>
                <w:rFonts w:ascii="Arial" w:eastAsia="Times New Roman" w:hAnsi="Arial" w:cs="Arial"/>
                <w:sz w:val="14"/>
                <w:szCs w:val="14"/>
              </w:rPr>
            </w:pPr>
            <w:r w:rsidRPr="00E719E7">
              <w:rPr>
                <w:rFonts w:ascii="Arial" w:eastAsia="Times New Roman" w:hAnsi="Arial" w:cs="Arial"/>
                <w:sz w:val="14"/>
                <w:szCs w:val="14"/>
              </w:rPr>
              <w:t>2</w:t>
            </w:r>
          </w:p>
          <w:p w14:paraId="74DA774F" w14:textId="77777777" w:rsidR="00E541EE" w:rsidRPr="00E719E7" w:rsidRDefault="00E541EE" w:rsidP="00A84BB5">
            <w:pPr>
              <w:jc w:val="center"/>
              <w:rPr>
                <w:rFonts w:ascii="Arial" w:hAnsi="Arial" w:cs="Arial"/>
                <w:sz w:val="14"/>
                <w:szCs w:val="14"/>
              </w:rPr>
            </w:pPr>
          </w:p>
        </w:tc>
      </w:tr>
      <w:tr w:rsidR="00E541EE" w:rsidRPr="00AC2206" w14:paraId="6C705192" w14:textId="77777777" w:rsidTr="00A84BB5">
        <w:trPr>
          <w:trHeight w:val="652"/>
        </w:trPr>
        <w:tc>
          <w:tcPr>
            <w:tcW w:w="456" w:type="pct"/>
            <w:vMerge/>
            <w:tcBorders>
              <w:top w:val="single" w:sz="4" w:space="0" w:color="auto"/>
              <w:left w:val="single" w:sz="4" w:space="0" w:color="auto"/>
              <w:bottom w:val="single" w:sz="4" w:space="0" w:color="auto"/>
              <w:right w:val="single" w:sz="4" w:space="0" w:color="auto"/>
            </w:tcBorders>
            <w:vAlign w:val="center"/>
          </w:tcPr>
          <w:p w14:paraId="7605351B" w14:textId="77777777" w:rsidR="00E541EE" w:rsidRPr="00E719E7" w:rsidRDefault="00E541EE" w:rsidP="00A84BB5">
            <w:pPr>
              <w:widowControl w:val="0"/>
              <w:autoSpaceDE w:val="0"/>
              <w:autoSpaceDN w:val="0"/>
              <w:spacing w:before="49"/>
              <w:ind w:left="44" w:right="35"/>
              <w:jc w:val="center"/>
              <w:rPr>
                <w:rFonts w:ascii="Arial" w:hAnsi="Arial" w:cs="Arial"/>
                <w:sz w:val="14"/>
                <w:szCs w:val="14"/>
              </w:rPr>
            </w:pPr>
          </w:p>
        </w:tc>
        <w:tc>
          <w:tcPr>
            <w:tcW w:w="516" w:type="pct"/>
            <w:vMerge/>
            <w:tcBorders>
              <w:top w:val="single" w:sz="4" w:space="0" w:color="auto"/>
              <w:left w:val="single" w:sz="4" w:space="0" w:color="auto"/>
              <w:bottom w:val="single" w:sz="4" w:space="0" w:color="auto"/>
              <w:right w:val="single" w:sz="4" w:space="0" w:color="auto"/>
            </w:tcBorders>
            <w:vAlign w:val="center"/>
          </w:tcPr>
          <w:p w14:paraId="40D34D9C" w14:textId="77777777" w:rsidR="00E541EE" w:rsidRPr="00E719E7" w:rsidRDefault="00E541EE" w:rsidP="00A84BB5">
            <w:pPr>
              <w:widowControl w:val="0"/>
              <w:autoSpaceDE w:val="0"/>
              <w:autoSpaceDN w:val="0"/>
              <w:jc w:val="center"/>
              <w:rPr>
                <w:rFonts w:ascii="Arial" w:hAnsi="Arial" w:cs="Arial"/>
                <w:color w:val="FF0000"/>
                <w:sz w:val="14"/>
                <w:szCs w:val="14"/>
              </w:rPr>
            </w:pPr>
          </w:p>
        </w:tc>
        <w:tc>
          <w:tcPr>
            <w:tcW w:w="504" w:type="pct"/>
            <w:vMerge/>
            <w:tcBorders>
              <w:top w:val="single" w:sz="4" w:space="0" w:color="auto"/>
              <w:left w:val="single" w:sz="4" w:space="0" w:color="auto"/>
              <w:bottom w:val="single" w:sz="4" w:space="0" w:color="auto"/>
              <w:right w:val="single" w:sz="4" w:space="0" w:color="auto"/>
            </w:tcBorders>
            <w:shd w:val="clear" w:color="auto" w:fill="FFF1CC"/>
            <w:vAlign w:val="center"/>
          </w:tcPr>
          <w:p w14:paraId="05553CCE" w14:textId="77777777" w:rsidR="00E541EE" w:rsidRPr="00E719E7" w:rsidRDefault="00E541EE" w:rsidP="00A84BB5">
            <w:pPr>
              <w:widowControl w:val="0"/>
              <w:autoSpaceDE w:val="0"/>
              <w:autoSpaceDN w:val="0"/>
              <w:spacing w:before="7"/>
              <w:jc w:val="center"/>
              <w:rPr>
                <w:rFonts w:ascii="Arial" w:hAnsi="Arial" w:cs="Arial"/>
                <w:color w:val="FF0000"/>
                <w:sz w:val="14"/>
                <w:szCs w:val="14"/>
              </w:rPr>
            </w:pPr>
          </w:p>
        </w:tc>
        <w:tc>
          <w:tcPr>
            <w:tcW w:w="612" w:type="pct"/>
            <w:vMerge/>
            <w:tcBorders>
              <w:top w:val="single" w:sz="4" w:space="0" w:color="auto"/>
              <w:left w:val="single" w:sz="4" w:space="0" w:color="auto"/>
              <w:bottom w:val="single" w:sz="4" w:space="0" w:color="auto"/>
              <w:right w:val="single" w:sz="4" w:space="0" w:color="auto"/>
            </w:tcBorders>
            <w:vAlign w:val="center"/>
          </w:tcPr>
          <w:p w14:paraId="320A6A3A" w14:textId="77777777" w:rsidR="00E541EE" w:rsidRPr="00E719E7" w:rsidRDefault="00E541EE" w:rsidP="00A84BB5">
            <w:pPr>
              <w:widowControl w:val="0"/>
              <w:autoSpaceDE w:val="0"/>
              <w:autoSpaceDN w:val="0"/>
              <w:spacing w:before="7"/>
              <w:jc w:val="center"/>
              <w:rPr>
                <w:rFonts w:ascii="Arial" w:hAnsi="Arial" w:cs="Arial"/>
                <w:color w:val="FF0000"/>
                <w:sz w:val="14"/>
                <w:szCs w:val="14"/>
              </w:rPr>
            </w:pPr>
          </w:p>
        </w:tc>
        <w:tc>
          <w:tcPr>
            <w:tcW w:w="515" w:type="pct"/>
            <w:vMerge/>
            <w:tcBorders>
              <w:top w:val="single" w:sz="4" w:space="0" w:color="auto"/>
              <w:left w:val="single" w:sz="4" w:space="0" w:color="auto"/>
              <w:bottom w:val="single" w:sz="4" w:space="0" w:color="auto"/>
              <w:right w:val="single" w:sz="4" w:space="0" w:color="auto"/>
            </w:tcBorders>
            <w:shd w:val="clear" w:color="auto" w:fill="FFF1CC"/>
            <w:vAlign w:val="center"/>
          </w:tcPr>
          <w:p w14:paraId="549A002C" w14:textId="77777777" w:rsidR="00E541EE" w:rsidRPr="00E719E7" w:rsidRDefault="00E541EE" w:rsidP="00A84BB5">
            <w:pPr>
              <w:widowControl w:val="0"/>
              <w:autoSpaceDE w:val="0"/>
              <w:autoSpaceDN w:val="0"/>
              <w:jc w:val="center"/>
              <w:rPr>
                <w:rFonts w:ascii="Arial" w:hAnsi="Arial" w:cs="Arial"/>
                <w:color w:val="FF0000"/>
                <w:sz w:val="14"/>
                <w:szCs w:val="14"/>
              </w:rPr>
            </w:pPr>
          </w:p>
        </w:tc>
        <w:tc>
          <w:tcPr>
            <w:tcW w:w="480" w:type="pct"/>
            <w:vMerge/>
            <w:tcBorders>
              <w:top w:val="single" w:sz="4" w:space="0" w:color="auto"/>
              <w:left w:val="single" w:sz="4" w:space="0" w:color="auto"/>
              <w:bottom w:val="single" w:sz="4" w:space="0" w:color="auto"/>
              <w:right w:val="single" w:sz="4" w:space="0" w:color="auto"/>
            </w:tcBorders>
            <w:vAlign w:val="center"/>
          </w:tcPr>
          <w:p w14:paraId="33056E4E" w14:textId="77777777" w:rsidR="00E541EE" w:rsidRPr="00E719E7" w:rsidRDefault="00E541EE" w:rsidP="00A84BB5">
            <w:pPr>
              <w:jc w:val="center"/>
              <w:rPr>
                <w:rFonts w:ascii="Arial" w:hAnsi="Arial" w:cs="Arial"/>
                <w:color w:val="FF0000"/>
                <w:sz w:val="14"/>
                <w:szCs w:val="14"/>
              </w:rPr>
            </w:pPr>
          </w:p>
        </w:tc>
        <w:tc>
          <w:tcPr>
            <w:tcW w:w="552" w:type="pct"/>
            <w:vMerge/>
            <w:tcBorders>
              <w:top w:val="single" w:sz="4" w:space="0" w:color="auto"/>
              <w:left w:val="single" w:sz="4" w:space="0" w:color="auto"/>
              <w:bottom w:val="single" w:sz="4" w:space="0" w:color="auto"/>
              <w:right w:val="single" w:sz="4" w:space="0" w:color="auto"/>
            </w:tcBorders>
            <w:shd w:val="clear" w:color="auto" w:fill="FFF1CC"/>
            <w:vAlign w:val="center"/>
          </w:tcPr>
          <w:p w14:paraId="72656366" w14:textId="77777777" w:rsidR="00E541EE" w:rsidRPr="00E719E7" w:rsidRDefault="00E541EE" w:rsidP="00A84BB5">
            <w:pPr>
              <w:jc w:val="center"/>
              <w:rPr>
                <w:rFonts w:ascii="Arial" w:hAnsi="Arial" w:cs="Arial"/>
                <w:sz w:val="14"/>
                <w:szCs w:val="14"/>
              </w:rPr>
            </w:pPr>
          </w:p>
        </w:tc>
        <w:tc>
          <w:tcPr>
            <w:tcW w:w="4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A341AE" w14:textId="77777777" w:rsidR="00E541EE" w:rsidRPr="00E719E7" w:rsidRDefault="00E541EE" w:rsidP="00A84BB5">
            <w:pPr>
              <w:jc w:val="center"/>
              <w:rPr>
                <w:rFonts w:ascii="Arial" w:hAnsi="Arial" w:cs="Arial"/>
                <w:sz w:val="14"/>
                <w:szCs w:val="14"/>
              </w:rPr>
            </w:pPr>
          </w:p>
          <w:p w14:paraId="301B9358" w14:textId="77777777" w:rsidR="00E541EE" w:rsidRPr="00E719E7" w:rsidRDefault="00E541EE" w:rsidP="00A84BB5">
            <w:pPr>
              <w:jc w:val="center"/>
              <w:rPr>
                <w:rFonts w:ascii="Arial" w:hAnsi="Arial" w:cs="Arial"/>
                <w:sz w:val="14"/>
                <w:szCs w:val="14"/>
              </w:rPr>
            </w:pPr>
          </w:p>
          <w:p w14:paraId="2CF0565C" w14:textId="77777777" w:rsidR="00E541EE" w:rsidRPr="00E719E7" w:rsidRDefault="00E541EE" w:rsidP="00A84BB5">
            <w:pPr>
              <w:jc w:val="center"/>
              <w:rPr>
                <w:rFonts w:ascii="Arial" w:hAnsi="Arial" w:cs="Arial"/>
                <w:sz w:val="14"/>
                <w:szCs w:val="14"/>
              </w:rPr>
            </w:pPr>
            <w:r w:rsidRPr="00E719E7">
              <w:rPr>
                <w:rFonts w:ascii="Arial" w:hAnsi="Arial" w:cs="Arial"/>
                <w:sz w:val="14"/>
                <w:szCs w:val="14"/>
              </w:rPr>
              <w:t>0</w:t>
            </w:r>
          </w:p>
        </w:tc>
        <w:tc>
          <w:tcPr>
            <w:tcW w:w="29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2DD487" w14:textId="77777777" w:rsidR="00E541EE" w:rsidRPr="00E719E7" w:rsidRDefault="00E541EE" w:rsidP="00A84BB5">
            <w:pPr>
              <w:jc w:val="center"/>
              <w:rPr>
                <w:rFonts w:ascii="Arial" w:hAnsi="Arial" w:cs="Arial"/>
                <w:sz w:val="14"/>
                <w:szCs w:val="14"/>
              </w:rPr>
            </w:pPr>
          </w:p>
          <w:p w14:paraId="483EEEFF" w14:textId="77777777" w:rsidR="00E541EE" w:rsidRPr="00E719E7" w:rsidRDefault="00E541EE" w:rsidP="00A84BB5">
            <w:pPr>
              <w:jc w:val="center"/>
              <w:rPr>
                <w:rFonts w:ascii="Arial" w:hAnsi="Arial" w:cs="Arial"/>
                <w:sz w:val="14"/>
                <w:szCs w:val="14"/>
              </w:rPr>
            </w:pPr>
          </w:p>
          <w:p w14:paraId="31639011" w14:textId="77777777" w:rsidR="00E541EE" w:rsidRPr="00E719E7" w:rsidRDefault="00E541EE" w:rsidP="00A84BB5">
            <w:pPr>
              <w:jc w:val="center"/>
              <w:rPr>
                <w:rFonts w:ascii="Arial" w:hAnsi="Arial" w:cs="Arial"/>
                <w:sz w:val="14"/>
                <w:szCs w:val="14"/>
              </w:rPr>
            </w:pPr>
            <w:r w:rsidRPr="00E719E7">
              <w:rPr>
                <w:rFonts w:ascii="Arial" w:hAnsi="Arial" w:cs="Arial"/>
                <w:sz w:val="14"/>
                <w:szCs w:val="14"/>
              </w:rPr>
              <w:t>20</w:t>
            </w:r>
          </w:p>
        </w:tc>
        <w:tc>
          <w:tcPr>
            <w:tcW w:w="2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9AB770" w14:textId="77777777" w:rsidR="00E541EE" w:rsidRPr="00E719E7" w:rsidRDefault="00E541EE" w:rsidP="00A84BB5">
            <w:pPr>
              <w:jc w:val="center"/>
              <w:rPr>
                <w:rFonts w:ascii="Arial" w:eastAsia="Times New Roman" w:hAnsi="Arial" w:cs="Arial"/>
                <w:sz w:val="14"/>
                <w:szCs w:val="14"/>
              </w:rPr>
            </w:pPr>
          </w:p>
          <w:p w14:paraId="717C26AA" w14:textId="77777777" w:rsidR="00E541EE" w:rsidRPr="00E719E7" w:rsidRDefault="00E541EE" w:rsidP="00A84BB5">
            <w:pPr>
              <w:jc w:val="center"/>
              <w:rPr>
                <w:rFonts w:ascii="Arial" w:eastAsia="Times New Roman" w:hAnsi="Arial" w:cs="Arial"/>
                <w:sz w:val="14"/>
                <w:szCs w:val="14"/>
              </w:rPr>
            </w:pPr>
          </w:p>
          <w:p w14:paraId="42E445F0" w14:textId="77777777" w:rsidR="00E541EE" w:rsidRPr="00E719E7" w:rsidRDefault="00E541EE" w:rsidP="00A84BB5">
            <w:pPr>
              <w:jc w:val="center"/>
              <w:rPr>
                <w:rFonts w:ascii="Arial" w:eastAsia="Times New Roman" w:hAnsi="Arial" w:cs="Arial"/>
                <w:sz w:val="14"/>
                <w:szCs w:val="14"/>
              </w:rPr>
            </w:pPr>
            <w:r w:rsidRPr="00E719E7">
              <w:rPr>
                <w:rFonts w:ascii="Arial" w:eastAsia="Times New Roman" w:hAnsi="Arial" w:cs="Arial"/>
                <w:sz w:val="14"/>
                <w:szCs w:val="14"/>
              </w:rPr>
              <w:t>25</w:t>
            </w:r>
          </w:p>
        </w:tc>
        <w:tc>
          <w:tcPr>
            <w:tcW w:w="3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5BDD88" w14:textId="77777777" w:rsidR="00E541EE" w:rsidRPr="00E719E7" w:rsidRDefault="00E541EE" w:rsidP="00A84BB5">
            <w:pPr>
              <w:jc w:val="center"/>
              <w:rPr>
                <w:rFonts w:ascii="Arial" w:eastAsia="Times New Roman" w:hAnsi="Arial" w:cs="Arial"/>
                <w:sz w:val="14"/>
                <w:szCs w:val="14"/>
              </w:rPr>
            </w:pPr>
          </w:p>
          <w:p w14:paraId="414E7FF9" w14:textId="77777777" w:rsidR="00E541EE" w:rsidRPr="00E719E7" w:rsidRDefault="00E541EE" w:rsidP="00A84BB5">
            <w:pPr>
              <w:jc w:val="center"/>
              <w:rPr>
                <w:rFonts w:ascii="Arial" w:eastAsia="Times New Roman" w:hAnsi="Arial" w:cs="Arial"/>
                <w:sz w:val="14"/>
                <w:szCs w:val="14"/>
              </w:rPr>
            </w:pPr>
          </w:p>
          <w:p w14:paraId="7B905DED" w14:textId="77777777" w:rsidR="00E541EE" w:rsidRPr="00E719E7" w:rsidRDefault="00E541EE" w:rsidP="00A84BB5">
            <w:pPr>
              <w:jc w:val="center"/>
              <w:rPr>
                <w:rFonts w:ascii="Arial" w:eastAsia="Times New Roman" w:hAnsi="Arial" w:cs="Arial"/>
                <w:sz w:val="14"/>
                <w:szCs w:val="14"/>
              </w:rPr>
            </w:pPr>
            <w:r w:rsidRPr="00E719E7">
              <w:rPr>
                <w:rFonts w:ascii="Arial" w:eastAsia="Times New Roman" w:hAnsi="Arial" w:cs="Arial"/>
                <w:sz w:val="14"/>
                <w:szCs w:val="14"/>
              </w:rPr>
              <w:t>30</w:t>
            </w:r>
          </w:p>
        </w:tc>
      </w:tr>
      <w:tr w:rsidR="00E541EE" w:rsidRPr="00AC2206" w14:paraId="5E06B20A" w14:textId="77777777" w:rsidTr="00A84BB5">
        <w:trPr>
          <w:trHeight w:val="210"/>
        </w:trPr>
        <w:tc>
          <w:tcPr>
            <w:tcW w:w="456" w:type="pct"/>
            <w:vMerge/>
            <w:tcBorders>
              <w:top w:val="single" w:sz="4" w:space="0" w:color="auto"/>
              <w:left w:val="single" w:sz="4" w:space="0" w:color="auto"/>
              <w:bottom w:val="single" w:sz="4" w:space="0" w:color="auto"/>
              <w:right w:val="single" w:sz="4" w:space="0" w:color="auto"/>
            </w:tcBorders>
            <w:vAlign w:val="center"/>
          </w:tcPr>
          <w:p w14:paraId="2BF62D46" w14:textId="77777777" w:rsidR="00E541EE" w:rsidRPr="00E719E7" w:rsidRDefault="00E541EE" w:rsidP="00A84BB5">
            <w:pPr>
              <w:widowControl w:val="0"/>
              <w:autoSpaceDE w:val="0"/>
              <w:autoSpaceDN w:val="0"/>
              <w:spacing w:before="49"/>
              <w:ind w:left="44" w:right="35"/>
              <w:jc w:val="center"/>
              <w:rPr>
                <w:rFonts w:ascii="Arial" w:hAnsi="Arial" w:cs="Arial"/>
                <w:sz w:val="14"/>
                <w:szCs w:val="14"/>
              </w:rPr>
            </w:pPr>
          </w:p>
        </w:tc>
        <w:tc>
          <w:tcPr>
            <w:tcW w:w="516" w:type="pct"/>
            <w:vMerge/>
            <w:tcBorders>
              <w:top w:val="single" w:sz="4" w:space="0" w:color="auto"/>
              <w:left w:val="single" w:sz="4" w:space="0" w:color="auto"/>
              <w:bottom w:val="single" w:sz="4" w:space="0" w:color="auto"/>
              <w:right w:val="single" w:sz="4" w:space="0" w:color="auto"/>
            </w:tcBorders>
            <w:vAlign w:val="center"/>
          </w:tcPr>
          <w:p w14:paraId="1E33AB2D" w14:textId="77777777" w:rsidR="00E541EE" w:rsidRPr="00E719E7" w:rsidRDefault="00E541EE" w:rsidP="00A84BB5">
            <w:pPr>
              <w:widowControl w:val="0"/>
              <w:autoSpaceDE w:val="0"/>
              <w:autoSpaceDN w:val="0"/>
              <w:jc w:val="center"/>
              <w:rPr>
                <w:rFonts w:ascii="Arial" w:hAnsi="Arial" w:cs="Arial"/>
                <w:color w:val="FF0000"/>
                <w:sz w:val="14"/>
                <w:szCs w:val="14"/>
              </w:rPr>
            </w:pPr>
          </w:p>
        </w:tc>
        <w:tc>
          <w:tcPr>
            <w:tcW w:w="504" w:type="pct"/>
            <w:vMerge/>
            <w:tcBorders>
              <w:top w:val="single" w:sz="4" w:space="0" w:color="auto"/>
              <w:left w:val="single" w:sz="4" w:space="0" w:color="auto"/>
              <w:bottom w:val="single" w:sz="4" w:space="0" w:color="auto"/>
              <w:right w:val="single" w:sz="4" w:space="0" w:color="auto"/>
            </w:tcBorders>
            <w:shd w:val="clear" w:color="auto" w:fill="FFF1CC"/>
            <w:vAlign w:val="center"/>
          </w:tcPr>
          <w:p w14:paraId="3F3AA188" w14:textId="77777777" w:rsidR="00E541EE" w:rsidRPr="00E719E7" w:rsidRDefault="00E541EE" w:rsidP="00A84BB5">
            <w:pPr>
              <w:widowControl w:val="0"/>
              <w:autoSpaceDE w:val="0"/>
              <w:autoSpaceDN w:val="0"/>
              <w:spacing w:before="7"/>
              <w:jc w:val="center"/>
              <w:rPr>
                <w:rFonts w:ascii="Arial" w:hAnsi="Arial" w:cs="Arial"/>
                <w:color w:val="FF0000"/>
                <w:sz w:val="14"/>
                <w:szCs w:val="14"/>
              </w:rPr>
            </w:pPr>
          </w:p>
        </w:tc>
        <w:tc>
          <w:tcPr>
            <w:tcW w:w="612" w:type="pct"/>
            <w:vMerge/>
            <w:tcBorders>
              <w:top w:val="single" w:sz="4" w:space="0" w:color="auto"/>
              <w:left w:val="single" w:sz="4" w:space="0" w:color="auto"/>
              <w:bottom w:val="single" w:sz="4" w:space="0" w:color="auto"/>
              <w:right w:val="single" w:sz="4" w:space="0" w:color="auto"/>
            </w:tcBorders>
            <w:vAlign w:val="center"/>
          </w:tcPr>
          <w:p w14:paraId="4753C37C" w14:textId="77777777" w:rsidR="00E541EE" w:rsidRPr="00E719E7" w:rsidRDefault="00E541EE" w:rsidP="00A84BB5">
            <w:pPr>
              <w:widowControl w:val="0"/>
              <w:autoSpaceDE w:val="0"/>
              <w:autoSpaceDN w:val="0"/>
              <w:spacing w:before="7"/>
              <w:jc w:val="center"/>
              <w:rPr>
                <w:rFonts w:ascii="Arial" w:hAnsi="Arial" w:cs="Arial"/>
                <w:color w:val="FF0000"/>
                <w:sz w:val="14"/>
                <w:szCs w:val="14"/>
              </w:rPr>
            </w:pPr>
          </w:p>
        </w:tc>
        <w:tc>
          <w:tcPr>
            <w:tcW w:w="515" w:type="pct"/>
            <w:vMerge/>
            <w:tcBorders>
              <w:top w:val="single" w:sz="4" w:space="0" w:color="auto"/>
              <w:left w:val="single" w:sz="4" w:space="0" w:color="auto"/>
              <w:bottom w:val="single" w:sz="4" w:space="0" w:color="auto"/>
              <w:right w:val="single" w:sz="4" w:space="0" w:color="auto"/>
            </w:tcBorders>
            <w:shd w:val="clear" w:color="auto" w:fill="FFF1CC"/>
            <w:vAlign w:val="center"/>
          </w:tcPr>
          <w:p w14:paraId="737F4728" w14:textId="77777777" w:rsidR="00E541EE" w:rsidRPr="00E719E7" w:rsidRDefault="00E541EE" w:rsidP="00A84BB5">
            <w:pPr>
              <w:widowControl w:val="0"/>
              <w:autoSpaceDE w:val="0"/>
              <w:autoSpaceDN w:val="0"/>
              <w:jc w:val="center"/>
              <w:rPr>
                <w:rFonts w:ascii="Arial" w:hAnsi="Arial" w:cs="Arial"/>
                <w:color w:val="FF0000"/>
                <w:sz w:val="14"/>
                <w:szCs w:val="14"/>
              </w:rPr>
            </w:pPr>
          </w:p>
        </w:tc>
        <w:tc>
          <w:tcPr>
            <w:tcW w:w="480" w:type="pct"/>
            <w:vMerge/>
            <w:tcBorders>
              <w:top w:val="single" w:sz="4" w:space="0" w:color="auto"/>
              <w:left w:val="single" w:sz="4" w:space="0" w:color="auto"/>
              <w:bottom w:val="single" w:sz="4" w:space="0" w:color="auto"/>
              <w:right w:val="single" w:sz="4" w:space="0" w:color="auto"/>
            </w:tcBorders>
            <w:vAlign w:val="center"/>
          </w:tcPr>
          <w:p w14:paraId="74D9C4EF" w14:textId="77777777" w:rsidR="00E541EE" w:rsidRPr="00E719E7" w:rsidRDefault="00E541EE" w:rsidP="00A84BB5">
            <w:pPr>
              <w:jc w:val="center"/>
              <w:rPr>
                <w:rFonts w:ascii="Arial" w:hAnsi="Arial" w:cs="Arial"/>
                <w:color w:val="FF0000"/>
                <w:sz w:val="14"/>
                <w:szCs w:val="14"/>
              </w:rPr>
            </w:pPr>
          </w:p>
        </w:tc>
        <w:tc>
          <w:tcPr>
            <w:tcW w:w="552" w:type="pct"/>
            <w:vMerge/>
            <w:tcBorders>
              <w:top w:val="single" w:sz="4" w:space="0" w:color="auto"/>
              <w:left w:val="single" w:sz="4" w:space="0" w:color="auto"/>
              <w:bottom w:val="single" w:sz="4" w:space="0" w:color="auto"/>
              <w:right w:val="single" w:sz="4" w:space="0" w:color="auto"/>
            </w:tcBorders>
            <w:shd w:val="clear" w:color="auto" w:fill="FFF1CC"/>
            <w:vAlign w:val="center"/>
          </w:tcPr>
          <w:p w14:paraId="61650B52" w14:textId="77777777" w:rsidR="00E541EE" w:rsidRPr="00E719E7" w:rsidRDefault="00E541EE" w:rsidP="00A84BB5">
            <w:pPr>
              <w:jc w:val="center"/>
              <w:rPr>
                <w:rFonts w:ascii="Arial" w:hAnsi="Arial" w:cs="Arial"/>
                <w:sz w:val="14"/>
                <w:szCs w:val="14"/>
              </w:rPr>
            </w:pPr>
          </w:p>
        </w:tc>
        <w:tc>
          <w:tcPr>
            <w:tcW w:w="417"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70246C" w14:textId="77777777" w:rsidR="00E541EE" w:rsidRPr="00E719E7" w:rsidRDefault="00E541EE" w:rsidP="00A84BB5">
            <w:pPr>
              <w:jc w:val="center"/>
              <w:rPr>
                <w:rFonts w:ascii="Arial" w:hAnsi="Arial" w:cs="Arial"/>
                <w:sz w:val="14"/>
                <w:szCs w:val="14"/>
              </w:rPr>
            </w:pPr>
          </w:p>
          <w:p w14:paraId="7532490E" w14:textId="77777777" w:rsidR="00E541EE" w:rsidRPr="00E719E7" w:rsidRDefault="00E541EE" w:rsidP="00A84BB5">
            <w:pPr>
              <w:jc w:val="center"/>
              <w:rPr>
                <w:rFonts w:ascii="Arial" w:hAnsi="Arial" w:cs="Arial"/>
                <w:sz w:val="14"/>
                <w:szCs w:val="14"/>
              </w:rPr>
            </w:pPr>
            <w:r w:rsidRPr="00E719E7">
              <w:rPr>
                <w:rFonts w:ascii="Arial" w:hAnsi="Arial" w:cs="Arial"/>
                <w:sz w:val="14"/>
                <w:szCs w:val="14"/>
              </w:rPr>
              <w:t>18</w:t>
            </w:r>
          </w:p>
        </w:tc>
        <w:tc>
          <w:tcPr>
            <w:tcW w:w="291"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2987D0" w14:textId="77777777" w:rsidR="00E541EE" w:rsidRPr="00E719E7" w:rsidRDefault="00E541EE" w:rsidP="00A84BB5">
            <w:pPr>
              <w:jc w:val="center"/>
              <w:rPr>
                <w:rFonts w:ascii="Arial" w:hAnsi="Arial" w:cs="Arial"/>
                <w:sz w:val="14"/>
                <w:szCs w:val="14"/>
              </w:rPr>
            </w:pPr>
          </w:p>
          <w:p w14:paraId="454BF56D" w14:textId="77777777" w:rsidR="00E541EE" w:rsidRPr="00E719E7" w:rsidRDefault="00E541EE" w:rsidP="00A84BB5">
            <w:pPr>
              <w:jc w:val="center"/>
              <w:rPr>
                <w:rFonts w:ascii="Arial" w:hAnsi="Arial" w:cs="Arial"/>
                <w:sz w:val="14"/>
                <w:szCs w:val="14"/>
              </w:rPr>
            </w:pPr>
            <w:r w:rsidRPr="00E719E7">
              <w:rPr>
                <w:rFonts w:ascii="Arial" w:hAnsi="Arial" w:cs="Arial"/>
                <w:sz w:val="14"/>
                <w:szCs w:val="14"/>
              </w:rPr>
              <w:t>20</w:t>
            </w:r>
          </w:p>
        </w:tc>
        <w:tc>
          <w:tcPr>
            <w:tcW w:w="288"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133FA7" w14:textId="77777777" w:rsidR="00E541EE" w:rsidRPr="00E719E7" w:rsidRDefault="00E541EE" w:rsidP="00A84BB5">
            <w:pPr>
              <w:jc w:val="center"/>
              <w:rPr>
                <w:rFonts w:ascii="Arial" w:eastAsia="Times New Roman" w:hAnsi="Arial" w:cs="Arial"/>
                <w:sz w:val="14"/>
                <w:szCs w:val="14"/>
              </w:rPr>
            </w:pPr>
          </w:p>
          <w:p w14:paraId="137D901C" w14:textId="77777777" w:rsidR="00E541EE" w:rsidRPr="00E719E7" w:rsidRDefault="00E541EE" w:rsidP="00A84BB5">
            <w:pPr>
              <w:jc w:val="center"/>
              <w:rPr>
                <w:rFonts w:ascii="Arial" w:eastAsia="Times New Roman" w:hAnsi="Arial" w:cs="Arial"/>
                <w:sz w:val="14"/>
                <w:szCs w:val="14"/>
              </w:rPr>
            </w:pPr>
            <w:r w:rsidRPr="00E719E7">
              <w:rPr>
                <w:rFonts w:ascii="Arial" w:eastAsia="Times New Roman" w:hAnsi="Arial" w:cs="Arial"/>
                <w:sz w:val="14"/>
                <w:szCs w:val="14"/>
              </w:rPr>
              <w:t>25</w:t>
            </w:r>
          </w:p>
        </w:tc>
        <w:tc>
          <w:tcPr>
            <w:tcW w:w="369"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0E3C9D" w14:textId="77777777" w:rsidR="00E541EE" w:rsidRPr="00E719E7" w:rsidRDefault="00E541EE" w:rsidP="00A84BB5">
            <w:pPr>
              <w:jc w:val="center"/>
              <w:rPr>
                <w:rFonts w:ascii="Arial" w:eastAsia="Times New Roman" w:hAnsi="Arial" w:cs="Arial"/>
                <w:sz w:val="14"/>
                <w:szCs w:val="14"/>
              </w:rPr>
            </w:pPr>
          </w:p>
          <w:p w14:paraId="643846F3" w14:textId="77777777" w:rsidR="00E541EE" w:rsidRPr="00E719E7" w:rsidRDefault="00E541EE" w:rsidP="00A84BB5">
            <w:pPr>
              <w:jc w:val="center"/>
              <w:rPr>
                <w:rFonts w:ascii="Arial" w:eastAsia="Times New Roman" w:hAnsi="Arial" w:cs="Arial"/>
                <w:sz w:val="14"/>
                <w:szCs w:val="14"/>
              </w:rPr>
            </w:pPr>
            <w:r w:rsidRPr="00E719E7">
              <w:rPr>
                <w:rFonts w:ascii="Arial" w:eastAsia="Times New Roman" w:hAnsi="Arial" w:cs="Arial"/>
                <w:sz w:val="14"/>
                <w:szCs w:val="14"/>
              </w:rPr>
              <w:t>30</w:t>
            </w:r>
          </w:p>
        </w:tc>
      </w:tr>
      <w:tr w:rsidR="00E541EE" w:rsidRPr="00AC2206" w14:paraId="00B3D5AB" w14:textId="77777777" w:rsidTr="00A84BB5">
        <w:trPr>
          <w:trHeight w:val="210"/>
        </w:trPr>
        <w:tc>
          <w:tcPr>
            <w:tcW w:w="456" w:type="pct"/>
            <w:vMerge/>
            <w:tcBorders>
              <w:top w:val="single" w:sz="4" w:space="0" w:color="auto"/>
              <w:left w:val="single" w:sz="4" w:space="0" w:color="auto"/>
              <w:bottom w:val="single" w:sz="4" w:space="0" w:color="auto"/>
              <w:right w:val="single" w:sz="4" w:space="0" w:color="auto"/>
            </w:tcBorders>
            <w:vAlign w:val="center"/>
          </w:tcPr>
          <w:p w14:paraId="41E91AB3" w14:textId="77777777" w:rsidR="00E541EE" w:rsidRPr="00E719E7" w:rsidRDefault="00E541EE" w:rsidP="00A84BB5">
            <w:pPr>
              <w:widowControl w:val="0"/>
              <w:autoSpaceDE w:val="0"/>
              <w:autoSpaceDN w:val="0"/>
              <w:spacing w:before="49"/>
              <w:ind w:left="44" w:right="35"/>
              <w:jc w:val="center"/>
              <w:rPr>
                <w:rFonts w:ascii="Arial" w:hAnsi="Arial" w:cs="Arial"/>
                <w:sz w:val="14"/>
                <w:szCs w:val="14"/>
              </w:rPr>
            </w:pPr>
          </w:p>
        </w:tc>
        <w:tc>
          <w:tcPr>
            <w:tcW w:w="516" w:type="pct"/>
            <w:vMerge/>
            <w:tcBorders>
              <w:top w:val="single" w:sz="4" w:space="0" w:color="auto"/>
              <w:left w:val="single" w:sz="4" w:space="0" w:color="auto"/>
              <w:bottom w:val="single" w:sz="4" w:space="0" w:color="auto"/>
              <w:right w:val="single" w:sz="4" w:space="0" w:color="auto"/>
            </w:tcBorders>
            <w:vAlign w:val="center"/>
          </w:tcPr>
          <w:p w14:paraId="26B2228A" w14:textId="77777777" w:rsidR="00E541EE" w:rsidRPr="00E719E7" w:rsidRDefault="00E541EE" w:rsidP="00A84BB5">
            <w:pPr>
              <w:widowControl w:val="0"/>
              <w:autoSpaceDE w:val="0"/>
              <w:autoSpaceDN w:val="0"/>
              <w:jc w:val="center"/>
              <w:rPr>
                <w:rFonts w:ascii="Arial" w:hAnsi="Arial" w:cs="Arial"/>
                <w:color w:val="FF0000"/>
                <w:sz w:val="14"/>
                <w:szCs w:val="14"/>
              </w:rPr>
            </w:pPr>
          </w:p>
        </w:tc>
        <w:tc>
          <w:tcPr>
            <w:tcW w:w="504" w:type="pct"/>
            <w:vMerge/>
            <w:tcBorders>
              <w:top w:val="single" w:sz="4" w:space="0" w:color="auto"/>
              <w:left w:val="single" w:sz="4" w:space="0" w:color="auto"/>
              <w:bottom w:val="single" w:sz="4" w:space="0" w:color="auto"/>
              <w:right w:val="single" w:sz="4" w:space="0" w:color="auto"/>
            </w:tcBorders>
            <w:shd w:val="clear" w:color="auto" w:fill="FFF1CC"/>
            <w:vAlign w:val="center"/>
          </w:tcPr>
          <w:p w14:paraId="1AE3D5FC" w14:textId="77777777" w:rsidR="00E541EE" w:rsidRPr="00E719E7" w:rsidRDefault="00E541EE" w:rsidP="00A84BB5">
            <w:pPr>
              <w:widowControl w:val="0"/>
              <w:autoSpaceDE w:val="0"/>
              <w:autoSpaceDN w:val="0"/>
              <w:spacing w:before="7"/>
              <w:jc w:val="center"/>
              <w:rPr>
                <w:rFonts w:ascii="Arial" w:hAnsi="Arial" w:cs="Arial"/>
                <w:color w:val="FF0000"/>
                <w:sz w:val="14"/>
                <w:szCs w:val="14"/>
              </w:rPr>
            </w:pPr>
          </w:p>
        </w:tc>
        <w:tc>
          <w:tcPr>
            <w:tcW w:w="612" w:type="pct"/>
            <w:vMerge w:val="restart"/>
            <w:tcBorders>
              <w:top w:val="single" w:sz="4" w:space="0" w:color="auto"/>
              <w:left w:val="single" w:sz="4" w:space="0" w:color="auto"/>
              <w:bottom w:val="single" w:sz="4" w:space="0" w:color="auto"/>
              <w:right w:val="single" w:sz="4" w:space="0" w:color="auto"/>
            </w:tcBorders>
            <w:vAlign w:val="center"/>
          </w:tcPr>
          <w:p w14:paraId="3194F3D2" w14:textId="77777777" w:rsidR="00E541EE" w:rsidRDefault="00E541EE" w:rsidP="00A84BB5">
            <w:pPr>
              <w:widowControl w:val="0"/>
              <w:autoSpaceDE w:val="0"/>
              <w:autoSpaceDN w:val="0"/>
              <w:ind w:left="29" w:right="11" w:firstLine="9"/>
              <w:jc w:val="center"/>
              <w:rPr>
                <w:rFonts w:ascii="Arial" w:hAnsi="Arial" w:cs="Arial"/>
                <w:sz w:val="14"/>
                <w:szCs w:val="14"/>
              </w:rPr>
            </w:pPr>
          </w:p>
          <w:p w14:paraId="3A5A9FDF" w14:textId="77777777" w:rsidR="00E541EE" w:rsidRDefault="00E541EE" w:rsidP="00A84BB5">
            <w:pPr>
              <w:widowControl w:val="0"/>
              <w:autoSpaceDE w:val="0"/>
              <w:autoSpaceDN w:val="0"/>
              <w:ind w:left="29" w:right="11" w:firstLine="9"/>
              <w:jc w:val="center"/>
              <w:rPr>
                <w:rFonts w:ascii="Arial" w:hAnsi="Arial" w:cs="Arial"/>
                <w:sz w:val="14"/>
                <w:szCs w:val="14"/>
              </w:rPr>
            </w:pPr>
          </w:p>
          <w:p w14:paraId="41B40D05" w14:textId="77777777" w:rsidR="00E541EE" w:rsidRDefault="00E541EE" w:rsidP="00A84BB5">
            <w:pPr>
              <w:widowControl w:val="0"/>
              <w:autoSpaceDE w:val="0"/>
              <w:autoSpaceDN w:val="0"/>
              <w:ind w:left="29" w:right="11" w:firstLine="9"/>
              <w:jc w:val="center"/>
              <w:rPr>
                <w:rFonts w:ascii="Arial" w:hAnsi="Arial" w:cs="Arial"/>
                <w:sz w:val="14"/>
                <w:szCs w:val="14"/>
              </w:rPr>
            </w:pPr>
          </w:p>
          <w:p w14:paraId="33645EF2" w14:textId="77777777" w:rsidR="00E541EE" w:rsidRDefault="00E541EE" w:rsidP="00A84BB5">
            <w:pPr>
              <w:widowControl w:val="0"/>
              <w:autoSpaceDE w:val="0"/>
              <w:autoSpaceDN w:val="0"/>
              <w:ind w:left="29" w:right="11" w:firstLine="9"/>
              <w:jc w:val="center"/>
              <w:rPr>
                <w:rFonts w:ascii="Arial" w:hAnsi="Arial" w:cs="Arial"/>
                <w:sz w:val="14"/>
                <w:szCs w:val="14"/>
              </w:rPr>
            </w:pPr>
          </w:p>
          <w:p w14:paraId="2C9B337F" w14:textId="77777777" w:rsidR="00E541EE" w:rsidRPr="00E719E7" w:rsidRDefault="00E541EE" w:rsidP="00A84BB5">
            <w:pPr>
              <w:widowControl w:val="0"/>
              <w:autoSpaceDE w:val="0"/>
              <w:autoSpaceDN w:val="0"/>
              <w:ind w:left="29" w:right="11" w:firstLine="9"/>
              <w:jc w:val="center"/>
              <w:rPr>
                <w:rFonts w:ascii="Arial" w:hAnsi="Arial" w:cs="Arial"/>
                <w:sz w:val="14"/>
                <w:szCs w:val="14"/>
              </w:rPr>
            </w:pPr>
            <w:r w:rsidRPr="00E719E7">
              <w:rPr>
                <w:rFonts w:ascii="Arial" w:hAnsi="Arial" w:cs="Arial"/>
                <w:sz w:val="14"/>
                <w:szCs w:val="14"/>
              </w:rPr>
              <w:t>17.</w:t>
            </w:r>
          </w:p>
          <w:p w14:paraId="591350D9" w14:textId="77777777" w:rsidR="00E541EE" w:rsidRPr="00E719E7" w:rsidRDefault="00E541EE" w:rsidP="00A84BB5">
            <w:pPr>
              <w:widowControl w:val="0"/>
              <w:autoSpaceDE w:val="0"/>
              <w:autoSpaceDN w:val="0"/>
              <w:ind w:left="29" w:right="11" w:firstLine="9"/>
              <w:jc w:val="center"/>
              <w:rPr>
                <w:rFonts w:ascii="Arial" w:hAnsi="Arial" w:cs="Arial"/>
                <w:sz w:val="14"/>
                <w:szCs w:val="14"/>
              </w:rPr>
            </w:pPr>
            <w:r w:rsidRPr="00E719E7">
              <w:rPr>
                <w:rFonts w:ascii="Arial" w:hAnsi="Arial" w:cs="Arial"/>
                <w:sz w:val="14"/>
                <w:szCs w:val="14"/>
              </w:rPr>
              <w:t>Jačanje ljudskih kapaciteta u zdravstvu</w:t>
            </w:r>
          </w:p>
          <w:p w14:paraId="55117A22" w14:textId="77777777" w:rsidR="00E541EE" w:rsidRPr="00E719E7" w:rsidRDefault="00E541EE" w:rsidP="00A84BB5">
            <w:pPr>
              <w:widowControl w:val="0"/>
              <w:autoSpaceDE w:val="0"/>
              <w:autoSpaceDN w:val="0"/>
              <w:ind w:left="29" w:right="11" w:firstLine="9"/>
              <w:jc w:val="center"/>
              <w:rPr>
                <w:rFonts w:ascii="Arial" w:hAnsi="Arial" w:cs="Arial"/>
                <w:color w:val="FF0000"/>
                <w:sz w:val="14"/>
                <w:szCs w:val="14"/>
              </w:rPr>
            </w:pPr>
          </w:p>
        </w:tc>
        <w:tc>
          <w:tcPr>
            <w:tcW w:w="515" w:type="pct"/>
            <w:vMerge/>
            <w:tcBorders>
              <w:top w:val="single" w:sz="4" w:space="0" w:color="auto"/>
              <w:left w:val="single" w:sz="4" w:space="0" w:color="auto"/>
              <w:bottom w:val="single" w:sz="4" w:space="0" w:color="auto"/>
              <w:right w:val="single" w:sz="4" w:space="0" w:color="auto"/>
            </w:tcBorders>
            <w:shd w:val="clear" w:color="auto" w:fill="FFF1CC"/>
            <w:vAlign w:val="center"/>
          </w:tcPr>
          <w:p w14:paraId="1A875A5F" w14:textId="77777777" w:rsidR="00E541EE" w:rsidRPr="00E719E7" w:rsidRDefault="00E541EE" w:rsidP="00A84BB5">
            <w:pPr>
              <w:widowControl w:val="0"/>
              <w:autoSpaceDE w:val="0"/>
              <w:autoSpaceDN w:val="0"/>
              <w:jc w:val="center"/>
              <w:rPr>
                <w:rFonts w:ascii="Arial" w:hAnsi="Arial" w:cs="Arial"/>
                <w:color w:val="FF0000"/>
                <w:sz w:val="14"/>
                <w:szCs w:val="14"/>
              </w:rPr>
            </w:pPr>
          </w:p>
        </w:tc>
        <w:tc>
          <w:tcPr>
            <w:tcW w:w="480" w:type="pct"/>
            <w:vMerge/>
            <w:tcBorders>
              <w:top w:val="single" w:sz="4" w:space="0" w:color="auto"/>
              <w:left w:val="single" w:sz="4" w:space="0" w:color="auto"/>
              <w:bottom w:val="single" w:sz="4" w:space="0" w:color="auto"/>
              <w:right w:val="single" w:sz="4" w:space="0" w:color="auto"/>
            </w:tcBorders>
            <w:vAlign w:val="center"/>
          </w:tcPr>
          <w:p w14:paraId="55A2B731" w14:textId="77777777" w:rsidR="00E541EE" w:rsidRPr="00E719E7" w:rsidRDefault="00E541EE" w:rsidP="00A84BB5">
            <w:pPr>
              <w:jc w:val="center"/>
              <w:rPr>
                <w:rFonts w:ascii="Arial" w:hAnsi="Arial" w:cs="Arial"/>
                <w:color w:val="FF0000"/>
                <w:sz w:val="14"/>
                <w:szCs w:val="14"/>
              </w:rPr>
            </w:pPr>
          </w:p>
        </w:tc>
        <w:tc>
          <w:tcPr>
            <w:tcW w:w="552" w:type="pct"/>
            <w:vMerge/>
            <w:tcBorders>
              <w:top w:val="single" w:sz="4" w:space="0" w:color="auto"/>
              <w:left w:val="single" w:sz="4" w:space="0" w:color="auto"/>
              <w:bottom w:val="single" w:sz="4" w:space="0" w:color="auto"/>
              <w:right w:val="single" w:sz="4" w:space="0" w:color="auto"/>
            </w:tcBorders>
            <w:shd w:val="clear" w:color="auto" w:fill="FFF1CC"/>
            <w:vAlign w:val="center"/>
          </w:tcPr>
          <w:p w14:paraId="5E5AB3FB" w14:textId="77777777" w:rsidR="00E541EE" w:rsidRPr="00E719E7" w:rsidRDefault="00E541EE" w:rsidP="00A84BB5">
            <w:pPr>
              <w:jc w:val="center"/>
              <w:rPr>
                <w:rFonts w:ascii="Arial" w:hAnsi="Arial" w:cs="Arial"/>
                <w:sz w:val="14"/>
                <w:szCs w:val="14"/>
              </w:rPr>
            </w:pPr>
          </w:p>
        </w:tc>
        <w:tc>
          <w:tcPr>
            <w:tcW w:w="417" w:type="pct"/>
            <w:vMerge/>
            <w:tcBorders>
              <w:top w:val="single" w:sz="4" w:space="0" w:color="auto"/>
              <w:left w:val="single" w:sz="4" w:space="0" w:color="auto"/>
              <w:bottom w:val="single" w:sz="4" w:space="0" w:color="auto"/>
              <w:right w:val="single" w:sz="4" w:space="0" w:color="auto"/>
            </w:tcBorders>
            <w:shd w:val="clear" w:color="auto" w:fill="FFFFFF" w:themeFill="background1"/>
          </w:tcPr>
          <w:p w14:paraId="58B79493" w14:textId="77777777" w:rsidR="00E541EE" w:rsidRPr="00E719E7" w:rsidRDefault="00E541EE" w:rsidP="00A84BB5">
            <w:pPr>
              <w:jc w:val="center"/>
              <w:rPr>
                <w:rFonts w:ascii="Arial" w:hAnsi="Arial" w:cs="Arial"/>
                <w:sz w:val="14"/>
                <w:szCs w:val="14"/>
              </w:rPr>
            </w:pPr>
          </w:p>
        </w:tc>
        <w:tc>
          <w:tcPr>
            <w:tcW w:w="291" w:type="pct"/>
            <w:vMerge/>
            <w:tcBorders>
              <w:top w:val="single" w:sz="4" w:space="0" w:color="auto"/>
              <w:left w:val="single" w:sz="4" w:space="0" w:color="auto"/>
              <w:bottom w:val="single" w:sz="4" w:space="0" w:color="auto"/>
              <w:right w:val="single" w:sz="4" w:space="0" w:color="auto"/>
            </w:tcBorders>
            <w:shd w:val="clear" w:color="auto" w:fill="FFFFFF" w:themeFill="background1"/>
          </w:tcPr>
          <w:p w14:paraId="15CBB6ED" w14:textId="77777777" w:rsidR="00E541EE" w:rsidRPr="00E719E7" w:rsidRDefault="00E541EE" w:rsidP="00A84BB5">
            <w:pPr>
              <w:jc w:val="cente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shd w:val="clear" w:color="auto" w:fill="FFFFFF" w:themeFill="background1"/>
          </w:tcPr>
          <w:p w14:paraId="43356EAD" w14:textId="77777777" w:rsidR="00E541EE" w:rsidRPr="00E719E7" w:rsidRDefault="00E541EE" w:rsidP="00A84BB5">
            <w:pPr>
              <w:jc w:val="center"/>
              <w:rPr>
                <w:rFonts w:ascii="Arial" w:eastAsia="Times New Roman" w:hAnsi="Arial" w:cs="Arial"/>
                <w:sz w:val="14"/>
                <w:szCs w:val="14"/>
              </w:rPr>
            </w:pPr>
          </w:p>
        </w:tc>
        <w:tc>
          <w:tcPr>
            <w:tcW w:w="369" w:type="pct"/>
            <w:vMerge/>
            <w:tcBorders>
              <w:top w:val="single" w:sz="4" w:space="0" w:color="auto"/>
              <w:left w:val="single" w:sz="4" w:space="0" w:color="auto"/>
              <w:bottom w:val="single" w:sz="4" w:space="0" w:color="auto"/>
              <w:right w:val="single" w:sz="4" w:space="0" w:color="auto"/>
            </w:tcBorders>
            <w:shd w:val="clear" w:color="auto" w:fill="FFFFFF" w:themeFill="background1"/>
          </w:tcPr>
          <w:p w14:paraId="73E3AEBF" w14:textId="77777777" w:rsidR="00E541EE" w:rsidRPr="00E719E7" w:rsidRDefault="00E541EE" w:rsidP="00A84BB5">
            <w:pPr>
              <w:jc w:val="center"/>
              <w:rPr>
                <w:rFonts w:ascii="Arial" w:eastAsia="Times New Roman" w:hAnsi="Arial" w:cs="Arial"/>
                <w:sz w:val="14"/>
                <w:szCs w:val="14"/>
              </w:rPr>
            </w:pPr>
          </w:p>
        </w:tc>
      </w:tr>
      <w:tr w:rsidR="00E541EE" w:rsidRPr="00AC2206" w14:paraId="0A37D2D1" w14:textId="77777777" w:rsidTr="00A84BB5">
        <w:trPr>
          <w:trHeight w:val="1190"/>
        </w:trPr>
        <w:tc>
          <w:tcPr>
            <w:tcW w:w="456" w:type="pct"/>
            <w:vMerge/>
            <w:tcBorders>
              <w:top w:val="single" w:sz="4" w:space="0" w:color="auto"/>
              <w:left w:val="single" w:sz="4" w:space="0" w:color="auto"/>
              <w:bottom w:val="single" w:sz="4" w:space="0" w:color="auto"/>
              <w:right w:val="single" w:sz="4" w:space="0" w:color="auto"/>
            </w:tcBorders>
            <w:vAlign w:val="center"/>
          </w:tcPr>
          <w:p w14:paraId="0E18B367" w14:textId="77777777" w:rsidR="00E541EE" w:rsidRPr="00E719E7" w:rsidRDefault="00E541EE" w:rsidP="00A84BB5">
            <w:pPr>
              <w:widowControl w:val="0"/>
              <w:autoSpaceDE w:val="0"/>
              <w:autoSpaceDN w:val="0"/>
              <w:spacing w:before="49"/>
              <w:ind w:left="44" w:right="35"/>
              <w:jc w:val="center"/>
              <w:rPr>
                <w:rFonts w:ascii="Arial" w:hAnsi="Arial" w:cs="Arial"/>
                <w:sz w:val="14"/>
                <w:szCs w:val="14"/>
              </w:rPr>
            </w:pPr>
          </w:p>
        </w:tc>
        <w:tc>
          <w:tcPr>
            <w:tcW w:w="516" w:type="pct"/>
            <w:vMerge/>
            <w:tcBorders>
              <w:top w:val="single" w:sz="4" w:space="0" w:color="auto"/>
              <w:left w:val="single" w:sz="4" w:space="0" w:color="auto"/>
              <w:bottom w:val="single" w:sz="4" w:space="0" w:color="auto"/>
              <w:right w:val="single" w:sz="4" w:space="0" w:color="auto"/>
            </w:tcBorders>
            <w:vAlign w:val="center"/>
          </w:tcPr>
          <w:p w14:paraId="64A72553" w14:textId="77777777" w:rsidR="00E541EE" w:rsidRPr="00E719E7" w:rsidRDefault="00E541EE" w:rsidP="00A84BB5">
            <w:pPr>
              <w:widowControl w:val="0"/>
              <w:autoSpaceDE w:val="0"/>
              <w:autoSpaceDN w:val="0"/>
              <w:jc w:val="center"/>
              <w:rPr>
                <w:rFonts w:ascii="Arial" w:hAnsi="Arial" w:cs="Arial"/>
                <w:color w:val="FF0000"/>
                <w:sz w:val="14"/>
                <w:szCs w:val="14"/>
              </w:rPr>
            </w:pPr>
          </w:p>
        </w:tc>
        <w:tc>
          <w:tcPr>
            <w:tcW w:w="504" w:type="pct"/>
            <w:vMerge/>
            <w:tcBorders>
              <w:top w:val="single" w:sz="4" w:space="0" w:color="auto"/>
              <w:left w:val="single" w:sz="4" w:space="0" w:color="auto"/>
              <w:bottom w:val="single" w:sz="4" w:space="0" w:color="auto"/>
              <w:right w:val="single" w:sz="4" w:space="0" w:color="auto"/>
            </w:tcBorders>
            <w:shd w:val="clear" w:color="auto" w:fill="FFF1CC"/>
            <w:vAlign w:val="center"/>
          </w:tcPr>
          <w:p w14:paraId="7B4FBB40" w14:textId="77777777" w:rsidR="00E541EE" w:rsidRPr="00E719E7" w:rsidRDefault="00E541EE" w:rsidP="00A84BB5">
            <w:pPr>
              <w:widowControl w:val="0"/>
              <w:autoSpaceDE w:val="0"/>
              <w:autoSpaceDN w:val="0"/>
              <w:spacing w:before="7"/>
              <w:jc w:val="center"/>
              <w:rPr>
                <w:rFonts w:ascii="Arial" w:hAnsi="Arial" w:cs="Arial"/>
                <w:color w:val="FF0000"/>
                <w:sz w:val="14"/>
                <w:szCs w:val="14"/>
              </w:rPr>
            </w:pPr>
          </w:p>
        </w:tc>
        <w:tc>
          <w:tcPr>
            <w:tcW w:w="612" w:type="pct"/>
            <w:vMerge/>
            <w:tcBorders>
              <w:top w:val="single" w:sz="4" w:space="0" w:color="auto"/>
              <w:left w:val="single" w:sz="4" w:space="0" w:color="auto"/>
              <w:bottom w:val="single" w:sz="4" w:space="0" w:color="auto"/>
              <w:right w:val="single" w:sz="4" w:space="0" w:color="auto"/>
            </w:tcBorders>
            <w:vAlign w:val="center"/>
          </w:tcPr>
          <w:p w14:paraId="3CCF8388" w14:textId="77777777" w:rsidR="00E541EE" w:rsidRPr="00E719E7" w:rsidRDefault="00E541EE" w:rsidP="00A84BB5">
            <w:pPr>
              <w:widowControl w:val="0"/>
              <w:autoSpaceDE w:val="0"/>
              <w:autoSpaceDN w:val="0"/>
              <w:spacing w:before="7"/>
              <w:jc w:val="center"/>
              <w:rPr>
                <w:rFonts w:ascii="Arial" w:hAnsi="Arial" w:cs="Arial"/>
                <w:color w:val="FF0000"/>
                <w:sz w:val="14"/>
                <w:szCs w:val="14"/>
              </w:rPr>
            </w:pPr>
          </w:p>
        </w:tc>
        <w:tc>
          <w:tcPr>
            <w:tcW w:w="515" w:type="pct"/>
            <w:vMerge/>
            <w:tcBorders>
              <w:top w:val="single" w:sz="4" w:space="0" w:color="auto"/>
              <w:left w:val="single" w:sz="4" w:space="0" w:color="auto"/>
              <w:bottom w:val="single" w:sz="4" w:space="0" w:color="auto"/>
              <w:right w:val="single" w:sz="4" w:space="0" w:color="auto"/>
            </w:tcBorders>
            <w:shd w:val="clear" w:color="auto" w:fill="FFF1CC"/>
            <w:vAlign w:val="center"/>
          </w:tcPr>
          <w:p w14:paraId="7FF5C6DA" w14:textId="77777777" w:rsidR="00E541EE" w:rsidRPr="00E719E7" w:rsidRDefault="00E541EE" w:rsidP="00A84BB5">
            <w:pPr>
              <w:widowControl w:val="0"/>
              <w:autoSpaceDE w:val="0"/>
              <w:autoSpaceDN w:val="0"/>
              <w:jc w:val="center"/>
              <w:rPr>
                <w:rFonts w:ascii="Arial" w:hAnsi="Arial" w:cs="Arial"/>
                <w:color w:val="FF0000"/>
                <w:sz w:val="14"/>
                <w:szCs w:val="14"/>
              </w:rPr>
            </w:pPr>
          </w:p>
        </w:tc>
        <w:tc>
          <w:tcPr>
            <w:tcW w:w="480" w:type="pct"/>
            <w:vMerge/>
            <w:tcBorders>
              <w:top w:val="single" w:sz="4" w:space="0" w:color="auto"/>
              <w:left w:val="single" w:sz="4" w:space="0" w:color="auto"/>
              <w:bottom w:val="single" w:sz="4" w:space="0" w:color="auto"/>
              <w:right w:val="single" w:sz="4" w:space="0" w:color="auto"/>
            </w:tcBorders>
            <w:vAlign w:val="center"/>
          </w:tcPr>
          <w:p w14:paraId="12DAA038" w14:textId="77777777" w:rsidR="00E541EE" w:rsidRPr="00E719E7" w:rsidRDefault="00E541EE" w:rsidP="00A84BB5">
            <w:pPr>
              <w:jc w:val="center"/>
              <w:rPr>
                <w:rFonts w:ascii="Arial" w:hAnsi="Arial" w:cs="Arial"/>
                <w:color w:val="FF0000"/>
                <w:sz w:val="14"/>
                <w:szCs w:val="14"/>
              </w:rPr>
            </w:pPr>
          </w:p>
        </w:tc>
        <w:tc>
          <w:tcPr>
            <w:tcW w:w="552" w:type="pct"/>
            <w:vMerge/>
            <w:tcBorders>
              <w:top w:val="single" w:sz="4" w:space="0" w:color="auto"/>
              <w:left w:val="single" w:sz="4" w:space="0" w:color="auto"/>
              <w:bottom w:val="single" w:sz="4" w:space="0" w:color="auto"/>
              <w:right w:val="single" w:sz="4" w:space="0" w:color="auto"/>
            </w:tcBorders>
            <w:shd w:val="clear" w:color="auto" w:fill="FFF1CC"/>
            <w:vAlign w:val="center"/>
          </w:tcPr>
          <w:p w14:paraId="6841441B" w14:textId="77777777" w:rsidR="00E541EE" w:rsidRPr="00E719E7" w:rsidRDefault="00E541EE" w:rsidP="00A84BB5">
            <w:pPr>
              <w:jc w:val="center"/>
              <w:rPr>
                <w:rFonts w:ascii="Arial" w:hAnsi="Arial" w:cs="Arial"/>
                <w:sz w:val="14"/>
                <w:szCs w:val="14"/>
              </w:rPr>
            </w:pPr>
          </w:p>
        </w:tc>
        <w:tc>
          <w:tcPr>
            <w:tcW w:w="4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DEAFC1" w14:textId="77777777" w:rsidR="00E541EE" w:rsidRPr="00E719E7" w:rsidRDefault="00E541EE" w:rsidP="00A84BB5">
            <w:pPr>
              <w:jc w:val="center"/>
              <w:rPr>
                <w:rFonts w:ascii="Arial" w:hAnsi="Arial" w:cs="Arial"/>
                <w:sz w:val="14"/>
                <w:szCs w:val="14"/>
              </w:rPr>
            </w:pPr>
          </w:p>
          <w:p w14:paraId="3C0940D3" w14:textId="77777777" w:rsidR="00E541EE" w:rsidRPr="00E719E7" w:rsidRDefault="00E541EE" w:rsidP="00A84BB5">
            <w:pPr>
              <w:jc w:val="center"/>
              <w:rPr>
                <w:rFonts w:ascii="Arial" w:hAnsi="Arial" w:cs="Arial"/>
                <w:sz w:val="14"/>
                <w:szCs w:val="14"/>
              </w:rPr>
            </w:pPr>
          </w:p>
          <w:p w14:paraId="4A08C3F5" w14:textId="77777777" w:rsidR="00E541EE" w:rsidRPr="00E719E7" w:rsidRDefault="00E541EE" w:rsidP="00A84BB5">
            <w:pPr>
              <w:jc w:val="center"/>
              <w:rPr>
                <w:rFonts w:ascii="Arial" w:hAnsi="Arial" w:cs="Arial"/>
                <w:sz w:val="14"/>
                <w:szCs w:val="14"/>
              </w:rPr>
            </w:pPr>
            <w:r w:rsidRPr="00E719E7">
              <w:rPr>
                <w:rFonts w:ascii="Arial" w:hAnsi="Arial" w:cs="Arial"/>
                <w:sz w:val="14"/>
                <w:szCs w:val="14"/>
              </w:rPr>
              <w:t>8</w:t>
            </w:r>
          </w:p>
        </w:tc>
        <w:tc>
          <w:tcPr>
            <w:tcW w:w="29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5257A8" w14:textId="77777777" w:rsidR="00E541EE" w:rsidRPr="00E719E7" w:rsidRDefault="00E541EE" w:rsidP="00A84BB5">
            <w:pPr>
              <w:jc w:val="center"/>
              <w:rPr>
                <w:rFonts w:ascii="Arial" w:hAnsi="Arial" w:cs="Arial"/>
                <w:sz w:val="14"/>
                <w:szCs w:val="14"/>
              </w:rPr>
            </w:pPr>
          </w:p>
          <w:p w14:paraId="6AF9B713" w14:textId="77777777" w:rsidR="00E541EE" w:rsidRPr="00E719E7" w:rsidRDefault="00E541EE" w:rsidP="00A84BB5">
            <w:pPr>
              <w:jc w:val="center"/>
              <w:rPr>
                <w:rFonts w:ascii="Arial" w:hAnsi="Arial" w:cs="Arial"/>
                <w:sz w:val="14"/>
                <w:szCs w:val="14"/>
              </w:rPr>
            </w:pPr>
          </w:p>
          <w:p w14:paraId="08F13517" w14:textId="77777777" w:rsidR="00E541EE" w:rsidRPr="00E719E7" w:rsidRDefault="00E541EE" w:rsidP="00A84BB5">
            <w:pPr>
              <w:jc w:val="center"/>
              <w:rPr>
                <w:rFonts w:ascii="Arial" w:hAnsi="Arial" w:cs="Arial"/>
                <w:sz w:val="14"/>
                <w:szCs w:val="14"/>
              </w:rPr>
            </w:pPr>
            <w:r w:rsidRPr="00E719E7">
              <w:rPr>
                <w:rFonts w:ascii="Arial" w:hAnsi="Arial" w:cs="Arial"/>
                <w:sz w:val="14"/>
                <w:szCs w:val="14"/>
              </w:rPr>
              <w:t>10</w:t>
            </w:r>
          </w:p>
        </w:tc>
        <w:tc>
          <w:tcPr>
            <w:tcW w:w="2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8E5719" w14:textId="77777777" w:rsidR="00E541EE" w:rsidRPr="00E719E7" w:rsidRDefault="00E541EE" w:rsidP="00A84BB5">
            <w:pPr>
              <w:jc w:val="center"/>
              <w:rPr>
                <w:rFonts w:ascii="Arial" w:eastAsia="Times New Roman" w:hAnsi="Arial" w:cs="Arial"/>
                <w:sz w:val="14"/>
                <w:szCs w:val="14"/>
              </w:rPr>
            </w:pPr>
          </w:p>
          <w:p w14:paraId="77B02635" w14:textId="77777777" w:rsidR="00E541EE" w:rsidRPr="00E719E7" w:rsidRDefault="00E541EE" w:rsidP="00A84BB5">
            <w:pPr>
              <w:jc w:val="center"/>
              <w:rPr>
                <w:rFonts w:ascii="Arial" w:eastAsia="Times New Roman" w:hAnsi="Arial" w:cs="Arial"/>
                <w:sz w:val="14"/>
                <w:szCs w:val="14"/>
              </w:rPr>
            </w:pPr>
          </w:p>
          <w:p w14:paraId="3BB6AE13" w14:textId="77777777" w:rsidR="00E541EE" w:rsidRPr="00E719E7" w:rsidRDefault="00E541EE" w:rsidP="00A84BB5">
            <w:pPr>
              <w:jc w:val="center"/>
              <w:rPr>
                <w:rFonts w:ascii="Arial" w:eastAsia="Times New Roman" w:hAnsi="Arial" w:cs="Arial"/>
                <w:sz w:val="14"/>
                <w:szCs w:val="14"/>
              </w:rPr>
            </w:pPr>
            <w:r w:rsidRPr="00E719E7">
              <w:rPr>
                <w:rFonts w:ascii="Arial" w:eastAsia="Times New Roman" w:hAnsi="Arial" w:cs="Arial"/>
                <w:sz w:val="14"/>
                <w:szCs w:val="14"/>
              </w:rPr>
              <w:t>10</w:t>
            </w:r>
          </w:p>
        </w:tc>
        <w:tc>
          <w:tcPr>
            <w:tcW w:w="3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40DB41" w14:textId="77777777" w:rsidR="00E541EE" w:rsidRPr="00E719E7" w:rsidRDefault="00E541EE" w:rsidP="00A84BB5">
            <w:pPr>
              <w:jc w:val="center"/>
              <w:rPr>
                <w:rFonts w:ascii="Arial" w:eastAsia="Times New Roman" w:hAnsi="Arial" w:cs="Arial"/>
                <w:sz w:val="14"/>
                <w:szCs w:val="14"/>
              </w:rPr>
            </w:pPr>
          </w:p>
          <w:p w14:paraId="552829F9" w14:textId="77777777" w:rsidR="00E541EE" w:rsidRPr="00E719E7" w:rsidRDefault="00E541EE" w:rsidP="00A84BB5">
            <w:pPr>
              <w:jc w:val="center"/>
              <w:rPr>
                <w:rFonts w:ascii="Arial" w:eastAsia="Times New Roman" w:hAnsi="Arial" w:cs="Arial"/>
                <w:sz w:val="14"/>
                <w:szCs w:val="14"/>
              </w:rPr>
            </w:pPr>
          </w:p>
          <w:p w14:paraId="00DF1BBD" w14:textId="77777777" w:rsidR="00E541EE" w:rsidRPr="00E719E7" w:rsidRDefault="00E541EE" w:rsidP="00A84BB5">
            <w:pPr>
              <w:jc w:val="center"/>
              <w:rPr>
                <w:rFonts w:ascii="Arial" w:eastAsia="Times New Roman" w:hAnsi="Arial" w:cs="Arial"/>
                <w:sz w:val="14"/>
                <w:szCs w:val="14"/>
              </w:rPr>
            </w:pPr>
            <w:r w:rsidRPr="00E719E7">
              <w:rPr>
                <w:rFonts w:ascii="Arial" w:eastAsia="Times New Roman" w:hAnsi="Arial" w:cs="Arial"/>
                <w:sz w:val="14"/>
                <w:szCs w:val="14"/>
              </w:rPr>
              <w:t>10</w:t>
            </w:r>
          </w:p>
        </w:tc>
      </w:tr>
    </w:tbl>
    <w:p w14:paraId="1A9F5566" w14:textId="77777777" w:rsidR="00E541EE" w:rsidRDefault="00E541EE" w:rsidP="00E541EE">
      <w:pPr>
        <w:jc w:val="both"/>
        <w:rPr>
          <w:rFonts w:ascii="Arial" w:eastAsia="Times New Roman" w:hAnsi="Arial" w:cs="Arial"/>
          <w:sz w:val="24"/>
          <w:szCs w:val="24"/>
        </w:rPr>
      </w:pPr>
    </w:p>
    <w:p w14:paraId="6D9BF53E"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AC2206">
        <w:rPr>
          <w:rFonts w:ascii="Arial" w:eastAsia="Times New Roman" w:hAnsi="Arial" w:cs="Arial"/>
          <w:b/>
          <w:bCs/>
          <w:sz w:val="24"/>
          <w:szCs w:val="24"/>
        </w:rPr>
        <w:t>A 103302: Plan zdravstvenih mjera = 1</w:t>
      </w:r>
      <w:r>
        <w:rPr>
          <w:rFonts w:ascii="Arial" w:eastAsia="Times New Roman" w:hAnsi="Arial" w:cs="Arial"/>
          <w:b/>
          <w:bCs/>
          <w:sz w:val="24"/>
          <w:szCs w:val="24"/>
        </w:rPr>
        <w:t>6</w:t>
      </w:r>
      <w:r w:rsidRPr="00AC2206">
        <w:rPr>
          <w:rFonts w:ascii="Arial" w:eastAsia="Times New Roman" w:hAnsi="Arial" w:cs="Arial"/>
          <w:b/>
          <w:bCs/>
          <w:sz w:val="24"/>
          <w:szCs w:val="24"/>
        </w:rPr>
        <w:t>.</w:t>
      </w:r>
      <w:r>
        <w:rPr>
          <w:rFonts w:ascii="Arial" w:eastAsia="Times New Roman" w:hAnsi="Arial" w:cs="Arial"/>
          <w:b/>
          <w:bCs/>
          <w:sz w:val="24"/>
          <w:szCs w:val="24"/>
        </w:rPr>
        <w:t>2</w:t>
      </w:r>
      <w:r w:rsidRPr="00AC2206">
        <w:rPr>
          <w:rFonts w:ascii="Arial" w:eastAsia="Times New Roman" w:hAnsi="Arial" w:cs="Arial"/>
          <w:b/>
          <w:bCs/>
          <w:sz w:val="24"/>
          <w:szCs w:val="24"/>
        </w:rPr>
        <w:t>00,00 EUR</w:t>
      </w:r>
    </w:p>
    <w:p w14:paraId="131C4326" w14:textId="77777777" w:rsidR="00E541EE" w:rsidRPr="00AC2206" w:rsidRDefault="00E541EE" w:rsidP="00E541EE">
      <w:pPr>
        <w:jc w:val="both"/>
        <w:rPr>
          <w:rFonts w:ascii="Arial" w:eastAsia="Times New Roman" w:hAnsi="Arial" w:cs="Arial"/>
          <w:b/>
          <w:sz w:val="24"/>
          <w:szCs w:val="24"/>
        </w:rPr>
      </w:pPr>
      <w:r w:rsidRPr="00AC2206">
        <w:rPr>
          <w:rFonts w:ascii="Arial" w:eastAsia="Times New Roman" w:hAnsi="Arial" w:cs="Arial"/>
          <w:b/>
          <w:bCs/>
          <w:sz w:val="24"/>
          <w:szCs w:val="24"/>
        </w:rPr>
        <w:t>Zakonska osnova:</w:t>
      </w:r>
      <w:r w:rsidRPr="00AC2206">
        <w:rPr>
          <w:rFonts w:ascii="Arial" w:eastAsia="Times New Roman" w:hAnsi="Arial" w:cs="Arial"/>
          <w:sz w:val="24"/>
          <w:szCs w:val="24"/>
        </w:rPr>
        <w:t xml:space="preserve"> Zakon o zdravstvenoj zaštiti, Zakon o lokalnoj i područnoj (regionalnoj) samoupravi, Zakon o hrani, Zakon o higijeni hrane i mikrobiološkim kriterijima za hranu, omogućavanje kvalitetne i zdrave prehrane u ustanovama predškolskog odgoja, kontrola higijenskih uvjeta u predškolskim i školskim ustanovama.</w:t>
      </w:r>
    </w:p>
    <w:p w14:paraId="3E48CF2A"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sz w:val="24"/>
          <w:szCs w:val="24"/>
        </w:rPr>
        <w:t>Opis:</w:t>
      </w:r>
      <w:r w:rsidRPr="00AC2206">
        <w:rPr>
          <w:rFonts w:ascii="Arial" w:eastAsia="Times New Roman" w:hAnsi="Arial" w:cs="Arial"/>
          <w:sz w:val="24"/>
          <w:szCs w:val="24"/>
        </w:rPr>
        <w:t xml:space="preserve"> plan zdravstvenih mjera (nadzor nad sanitarnim, tehničkih i higijenskim uvjetima pripreme hrane, čistoće u kuhinjama, uzorkovanje i analizu obroka) provodi se u predškolskim i školskim ustanovama. </w:t>
      </w:r>
    </w:p>
    <w:p w14:paraId="0A40473E" w14:textId="77777777" w:rsidR="00E541EE" w:rsidRPr="00AC2206" w:rsidRDefault="00E541EE" w:rsidP="00E541EE">
      <w:pPr>
        <w:jc w:val="both"/>
        <w:rPr>
          <w:rFonts w:ascii="Arial" w:eastAsia="Times New Roman" w:hAnsi="Arial" w:cs="Arial"/>
          <w:bCs/>
          <w:sz w:val="24"/>
          <w:szCs w:val="24"/>
        </w:rPr>
      </w:pPr>
      <w:r w:rsidRPr="00AC2206">
        <w:rPr>
          <w:rFonts w:ascii="Arial" w:eastAsia="Times New Roman" w:hAnsi="Arial" w:cs="Arial"/>
          <w:b/>
          <w:bCs/>
          <w:sz w:val="24"/>
          <w:szCs w:val="24"/>
        </w:rPr>
        <w:t xml:space="preserve">Opći cilj: </w:t>
      </w:r>
      <w:r w:rsidRPr="00AC2206">
        <w:rPr>
          <w:rFonts w:ascii="Arial" w:eastAsia="Times New Roman" w:hAnsi="Arial" w:cs="Arial"/>
          <w:bCs/>
          <w:sz w:val="24"/>
          <w:szCs w:val="24"/>
        </w:rPr>
        <w:t>zaštita zdravlja predškolske i školske djece.</w:t>
      </w:r>
    </w:p>
    <w:p w14:paraId="5EF9C5DA" w14:textId="77777777" w:rsidR="00E541EE"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Pokazatelj uspješnosti</w:t>
      </w:r>
      <w:r w:rsidRPr="00AC2206">
        <w:rPr>
          <w:rFonts w:ascii="Arial" w:eastAsia="Times New Roman" w:hAnsi="Arial" w:cs="Arial"/>
          <w:b/>
          <w:sz w:val="24"/>
          <w:szCs w:val="24"/>
        </w:rPr>
        <w:t xml:space="preserve">: </w:t>
      </w:r>
      <w:r w:rsidRPr="00AC2206">
        <w:rPr>
          <w:rFonts w:ascii="Arial" w:eastAsia="Times New Roman" w:hAnsi="Arial" w:cs="Arial"/>
          <w:sz w:val="24"/>
          <w:szCs w:val="24"/>
        </w:rPr>
        <w:t>provedene mjere i praćenje pokazatelja.</w:t>
      </w:r>
    </w:p>
    <w:p w14:paraId="2F281C1B" w14:textId="77777777" w:rsidR="00E541EE" w:rsidRDefault="00E541EE" w:rsidP="00E541EE">
      <w:pPr>
        <w:jc w:val="both"/>
        <w:rPr>
          <w:rFonts w:ascii="Arial" w:eastAsia="Times New Roman" w:hAnsi="Arial" w:cs="Arial"/>
          <w:sz w:val="24"/>
          <w:szCs w:val="24"/>
        </w:rPr>
      </w:pPr>
    </w:p>
    <w:p w14:paraId="30CAFE78" w14:textId="77777777" w:rsidR="00E541EE" w:rsidRPr="00AC2206" w:rsidRDefault="00E541EE" w:rsidP="00E541EE">
      <w:pPr>
        <w:jc w:val="both"/>
        <w:rPr>
          <w:rFonts w:ascii="Arial" w:eastAsia="Times New Roman" w:hAnsi="Arial" w:cs="Arial"/>
          <w:sz w:val="24"/>
          <w:szCs w:val="24"/>
        </w:rPr>
      </w:pPr>
    </w:p>
    <w:p w14:paraId="76910015"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AC2206">
        <w:rPr>
          <w:rFonts w:ascii="Arial" w:eastAsia="Times New Roman" w:hAnsi="Arial" w:cs="Arial"/>
          <w:b/>
          <w:bCs/>
          <w:sz w:val="24"/>
          <w:szCs w:val="24"/>
        </w:rPr>
        <w:t>A 103303: Sufinanciranje Teama hitne medicinske pomoći = 288.628,00 EUR</w:t>
      </w:r>
    </w:p>
    <w:p w14:paraId="33BD1233" w14:textId="77777777" w:rsidR="00E541EE" w:rsidRPr="00AC2206" w:rsidRDefault="00E541EE" w:rsidP="00E541EE">
      <w:pPr>
        <w:jc w:val="both"/>
        <w:rPr>
          <w:rFonts w:ascii="Arial" w:eastAsia="Times New Roman" w:hAnsi="Arial" w:cs="Arial"/>
          <w:b/>
          <w:sz w:val="24"/>
          <w:szCs w:val="24"/>
        </w:rPr>
      </w:pPr>
      <w:r w:rsidRPr="00AC2206">
        <w:rPr>
          <w:rFonts w:ascii="Arial" w:eastAsia="Times New Roman" w:hAnsi="Arial" w:cs="Arial"/>
          <w:b/>
          <w:bCs/>
          <w:sz w:val="24"/>
          <w:szCs w:val="24"/>
        </w:rPr>
        <w:t>Zakonska osnova:</w:t>
      </w:r>
      <w:r w:rsidRPr="00AC2206">
        <w:rPr>
          <w:rFonts w:ascii="Arial" w:eastAsia="Times New Roman" w:hAnsi="Arial" w:cs="Arial"/>
          <w:sz w:val="24"/>
          <w:szCs w:val="24"/>
        </w:rPr>
        <w:t xml:space="preserve"> Zakon o zdravstvenoj zaštiti, Zakon o lokalnoj i područnoj (regionalnoj) samoupravi.</w:t>
      </w:r>
    </w:p>
    <w:p w14:paraId="77701002" w14:textId="77777777" w:rsidR="00E541EE" w:rsidRPr="00AC2206" w:rsidRDefault="00E541EE" w:rsidP="00E541EE">
      <w:pPr>
        <w:jc w:val="both"/>
        <w:rPr>
          <w:rFonts w:ascii="Arial" w:hAnsi="Arial" w:cs="Arial"/>
          <w:sz w:val="24"/>
          <w:szCs w:val="24"/>
        </w:rPr>
      </w:pPr>
      <w:r w:rsidRPr="00AC2206">
        <w:rPr>
          <w:rFonts w:ascii="Arial" w:eastAsia="Times New Roman" w:hAnsi="Arial" w:cs="Arial"/>
          <w:b/>
          <w:sz w:val="24"/>
          <w:szCs w:val="24"/>
        </w:rPr>
        <w:t>Opis:</w:t>
      </w:r>
      <w:r w:rsidRPr="00AC2206">
        <w:rPr>
          <w:rFonts w:ascii="Arial" w:eastAsia="Times New Roman" w:hAnsi="Arial" w:cs="Arial"/>
          <w:sz w:val="24"/>
          <w:szCs w:val="24"/>
        </w:rPr>
        <w:t xml:space="preserve"> </w:t>
      </w:r>
      <w:r w:rsidRPr="00AC2206">
        <w:rPr>
          <w:rFonts w:ascii="Arial" w:hAnsi="Arial" w:cs="Arial"/>
          <w:sz w:val="24"/>
          <w:szCs w:val="24"/>
        </w:rPr>
        <w:t xml:space="preserve">sufinanciranje dijela rashoda hitne medicinske pomoći, odnosno osiguravanje nadstandarda hitne medicine i zdravstvene zaštite tijekom turističke sezone zbog povećanog broja turista. Sukladno novom prijedlogu organizacije i sufinanciranja nadstandarda </w:t>
      </w:r>
      <w:r>
        <w:rPr>
          <w:rFonts w:ascii="Arial" w:hAnsi="Arial" w:cs="Arial"/>
          <w:sz w:val="24"/>
          <w:szCs w:val="24"/>
        </w:rPr>
        <w:t>od</w:t>
      </w:r>
      <w:r w:rsidRPr="00AC2206">
        <w:rPr>
          <w:rFonts w:ascii="Arial" w:hAnsi="Arial" w:cs="Arial"/>
          <w:sz w:val="24"/>
          <w:szCs w:val="24"/>
        </w:rPr>
        <w:t xml:space="preserve"> 202</w:t>
      </w:r>
      <w:r>
        <w:rPr>
          <w:rFonts w:ascii="Arial" w:hAnsi="Arial" w:cs="Arial"/>
          <w:sz w:val="24"/>
          <w:szCs w:val="24"/>
        </w:rPr>
        <w:t>4</w:t>
      </w:r>
      <w:r w:rsidRPr="00AC2206">
        <w:rPr>
          <w:rFonts w:ascii="Arial" w:hAnsi="Arial" w:cs="Arial"/>
          <w:sz w:val="24"/>
          <w:szCs w:val="24"/>
        </w:rPr>
        <w:t>. godini ovi se rashodi financira</w:t>
      </w:r>
      <w:r>
        <w:rPr>
          <w:rFonts w:ascii="Arial" w:hAnsi="Arial" w:cs="Arial"/>
          <w:sz w:val="24"/>
          <w:szCs w:val="24"/>
        </w:rPr>
        <w:t>ju</w:t>
      </w:r>
      <w:r w:rsidRPr="00AC2206">
        <w:rPr>
          <w:rFonts w:ascii="Arial" w:hAnsi="Arial" w:cs="Arial"/>
          <w:sz w:val="24"/>
          <w:szCs w:val="24"/>
        </w:rPr>
        <w:t xml:space="preserve">  iz sredstava turističke pristojbe i to iz 30% sredstava koja se doznačuju JLS na području kojih je osnovana TZ  a koja su namijenjena za poboljšanje uvjeta boravka turista. </w:t>
      </w:r>
    </w:p>
    <w:p w14:paraId="212302A2" w14:textId="77777777" w:rsidR="00E541EE" w:rsidRDefault="00E541EE" w:rsidP="00E541EE">
      <w:pPr>
        <w:jc w:val="both"/>
        <w:rPr>
          <w:rFonts w:ascii="Arial" w:hAnsi="Arial" w:cs="Arial"/>
          <w:sz w:val="24"/>
          <w:szCs w:val="24"/>
        </w:rPr>
      </w:pPr>
      <w:r w:rsidRPr="00AC2206">
        <w:rPr>
          <w:rFonts w:ascii="Arial" w:hAnsi="Arial" w:cs="Arial"/>
          <w:sz w:val="24"/>
          <w:szCs w:val="24"/>
        </w:rPr>
        <w:t>Raspodjela namjenskog financiranja među jedinicama lokalne samouprave vršiti će se prema broju turističkih noćenja za prethodnu godinu</w:t>
      </w:r>
      <w:r>
        <w:rPr>
          <w:rFonts w:ascii="Arial" w:hAnsi="Arial" w:cs="Arial"/>
          <w:sz w:val="24"/>
          <w:szCs w:val="24"/>
        </w:rPr>
        <w:t>.</w:t>
      </w:r>
    </w:p>
    <w:p w14:paraId="5728B586" w14:textId="77777777" w:rsidR="00E541EE" w:rsidRPr="00F12EB9" w:rsidRDefault="00E541EE" w:rsidP="00E541EE">
      <w:pPr>
        <w:jc w:val="both"/>
        <w:rPr>
          <w:rFonts w:ascii="Arial" w:hAnsi="Arial" w:cs="Arial"/>
          <w:sz w:val="24"/>
          <w:szCs w:val="24"/>
        </w:rPr>
      </w:pPr>
      <w:r w:rsidRPr="00F12EB9">
        <w:rPr>
          <w:rFonts w:ascii="Arial" w:hAnsi="Arial" w:cs="Arial"/>
          <w:sz w:val="24"/>
          <w:szCs w:val="24"/>
        </w:rPr>
        <w:t xml:space="preserve">Sufinanciranje nad standarda hitne medicine i zdravstvene zaštite </w:t>
      </w:r>
    </w:p>
    <w:p w14:paraId="4FC8CA1E" w14:textId="77777777" w:rsidR="00E541EE" w:rsidRPr="00F12EB9" w:rsidRDefault="00E541EE" w:rsidP="00E541EE">
      <w:pPr>
        <w:jc w:val="both"/>
        <w:rPr>
          <w:rFonts w:ascii="Arial" w:hAnsi="Arial" w:cs="Arial"/>
          <w:sz w:val="24"/>
          <w:szCs w:val="24"/>
        </w:rPr>
      </w:pPr>
      <w:r w:rsidRPr="00F12EB9">
        <w:rPr>
          <w:rFonts w:ascii="Arial" w:hAnsi="Arial" w:cs="Arial"/>
          <w:sz w:val="24"/>
          <w:szCs w:val="24"/>
        </w:rPr>
        <w:t xml:space="preserve">Sredstva su planirana za organiziranje i financiranje provođenja mjera zdravstvene zaštite za povećani broj korisnika zdravstvene zaštite koje se pružaju turistima u Općoj bolnici Pula i Istarskim domovima zdravlja te za povećan broj timova hitne medicinske službe u Nastavnom zavodu za hitnu medicinu Istarske županije. </w:t>
      </w:r>
    </w:p>
    <w:p w14:paraId="64FEC513" w14:textId="77777777" w:rsidR="00E541EE" w:rsidRPr="00F12EB9" w:rsidRDefault="00E541EE" w:rsidP="00E541EE">
      <w:pPr>
        <w:jc w:val="both"/>
        <w:rPr>
          <w:rFonts w:ascii="Arial" w:hAnsi="Arial" w:cs="Arial"/>
          <w:b/>
          <w:bCs/>
          <w:sz w:val="24"/>
          <w:szCs w:val="24"/>
        </w:rPr>
      </w:pPr>
      <w:r w:rsidRPr="00F12EB9">
        <w:rPr>
          <w:rFonts w:ascii="Arial" w:hAnsi="Arial" w:cs="Arial"/>
          <w:b/>
          <w:bCs/>
          <w:sz w:val="24"/>
          <w:szCs w:val="24"/>
        </w:rPr>
        <w:t>Opća bolnica Pula i Istarski domovi zdravlja</w:t>
      </w:r>
    </w:p>
    <w:p w14:paraId="1CDB647D" w14:textId="77777777" w:rsidR="00E541EE" w:rsidRPr="00F12EB9" w:rsidRDefault="00E541EE" w:rsidP="00E541EE">
      <w:pPr>
        <w:jc w:val="both"/>
        <w:rPr>
          <w:rFonts w:ascii="Arial" w:hAnsi="Arial" w:cs="Arial"/>
          <w:sz w:val="24"/>
          <w:szCs w:val="24"/>
        </w:rPr>
      </w:pPr>
      <w:r w:rsidRPr="00F12EB9">
        <w:rPr>
          <w:rFonts w:ascii="Arial" w:hAnsi="Arial" w:cs="Arial"/>
          <w:sz w:val="24"/>
          <w:szCs w:val="24"/>
        </w:rPr>
        <w:t xml:space="preserve">Uslijed povećanog broja korisnika zdravstvene zaštite koja se pruža turistima u Općoj bolnici Pula u razdoblju od 1.6 do 30.9. nužno je povećati broj zaposlenika i pojačano organizirati rad na Objedinjenom hitnom prijemu i Odjelu pedijatrije, a kako bi se osigurala pravovremena   zdravstvena zaštita turistima, odnosno kako se uslijed preopterećenosti velikim brojem pacijenata, koji nisu uračunati u mrežu zdravstvene zaštite, ne bi umanjila zdravstvena usluga stanovnicima Istarske županije (osiguranicima HZZO). </w:t>
      </w:r>
    </w:p>
    <w:p w14:paraId="27AAC92F" w14:textId="77777777" w:rsidR="00E541EE" w:rsidRPr="00F12EB9" w:rsidRDefault="00E541EE" w:rsidP="00E541EE">
      <w:pPr>
        <w:jc w:val="both"/>
        <w:rPr>
          <w:rFonts w:ascii="Arial" w:hAnsi="Arial" w:cs="Arial"/>
          <w:sz w:val="24"/>
          <w:szCs w:val="24"/>
        </w:rPr>
      </w:pPr>
      <w:r w:rsidRPr="00F12EB9">
        <w:rPr>
          <w:rFonts w:ascii="Arial" w:hAnsi="Arial" w:cs="Arial"/>
          <w:sz w:val="24"/>
          <w:szCs w:val="24"/>
        </w:rPr>
        <w:t>Nad standard za navedene potrebe u Općoj bolnici Pula obuhvaća 1,5 doktora medicine, 3 medicinske sestre/tehničara i 3 administratora. Ukupni rashodi (rashodi za zaposlene i materijalni rashodi) iznose 191.000,00 eura.</w:t>
      </w:r>
    </w:p>
    <w:p w14:paraId="5DF4C546" w14:textId="77777777" w:rsidR="00E541EE" w:rsidRPr="00F12EB9" w:rsidRDefault="00E541EE" w:rsidP="00E541EE">
      <w:pPr>
        <w:jc w:val="both"/>
        <w:rPr>
          <w:rFonts w:ascii="Arial" w:hAnsi="Arial" w:cs="Arial"/>
          <w:sz w:val="24"/>
          <w:szCs w:val="24"/>
        </w:rPr>
      </w:pPr>
      <w:r w:rsidRPr="00F12EB9">
        <w:rPr>
          <w:rFonts w:ascii="Arial" w:hAnsi="Arial" w:cs="Arial"/>
          <w:sz w:val="24"/>
          <w:szCs w:val="24"/>
        </w:rPr>
        <w:t xml:space="preserve">Uslijed povećanog broja korisnika zdravstvene zaštite koja se pruža turistima u Istarskim domovima zdravlja u razdoblju od 1.6 do 31.8. nužno je otvoriti dodatne turističke ambulante, odnosno povećati broj zaposlenika i pojačano organizirati rad u najmanje 5 gradova- Umag, Poreč, Rovinj, Pula i Labin,  a kako bi se osigurala pravovremena   zdravstvena zaštita turistima, odnosno kako bi turisti i sezonski radnici u turizmu dobili odgovarajuću zdravstvenu zaštitu na lokalitetima gdje se u tim mjesecima nalaze u velikom broju i kako ne bi bilo nepotrebnih neželjenih događaja uslijed odgođene zdravstvene zaštite turista, odnosno kako se zbog preopterećenosti velikim brojem pacijenata, koji nisu uračunati u mrežu zdravstvene zaštite, ne bi umanjila zdravstvena usluga stanovnicima Istarske županije (osiguranicima HZZO). </w:t>
      </w:r>
    </w:p>
    <w:p w14:paraId="1240E6EC" w14:textId="77777777" w:rsidR="00E541EE" w:rsidRPr="00F12EB9" w:rsidRDefault="00E541EE" w:rsidP="00E541EE">
      <w:pPr>
        <w:jc w:val="both"/>
        <w:rPr>
          <w:rFonts w:ascii="Arial" w:hAnsi="Arial" w:cs="Arial"/>
          <w:sz w:val="24"/>
          <w:szCs w:val="24"/>
        </w:rPr>
      </w:pPr>
      <w:r w:rsidRPr="00F12EB9">
        <w:rPr>
          <w:rFonts w:ascii="Arial" w:hAnsi="Arial" w:cs="Arial"/>
          <w:sz w:val="24"/>
          <w:szCs w:val="24"/>
        </w:rPr>
        <w:t>Nad standard za navedene potrebe u Istarskim domovima zdravlja obuhvaća 5 doktora medicine, 5 medicinskih sestara/tehničara i 5 administratora. Ukupni rashodi (rashodi za zaposlene i materijalni rashodi) iznose 167.001,00 eura.</w:t>
      </w:r>
    </w:p>
    <w:p w14:paraId="5EE7B311" w14:textId="77777777" w:rsidR="00E541EE" w:rsidRPr="00F12EB9" w:rsidRDefault="00E541EE" w:rsidP="00E541EE">
      <w:pPr>
        <w:jc w:val="both"/>
        <w:rPr>
          <w:rFonts w:ascii="Arial" w:hAnsi="Arial" w:cs="Arial"/>
          <w:sz w:val="24"/>
          <w:szCs w:val="24"/>
        </w:rPr>
      </w:pPr>
      <w:r w:rsidRPr="00F12EB9">
        <w:rPr>
          <w:rFonts w:ascii="Arial" w:hAnsi="Arial" w:cs="Arial"/>
          <w:sz w:val="24"/>
          <w:szCs w:val="24"/>
        </w:rPr>
        <w:t>Izvor financiranja za obje ustanove su jedinice lokalne samouprave (dalje: JLS) iz prihoda od turističke pristojbe (30%) namijenjenih za poboljšanje uvjeta boravka turista, način raspodjele po JLS je broj turističkih noćenja.</w:t>
      </w:r>
    </w:p>
    <w:p w14:paraId="79CD6A04" w14:textId="77777777" w:rsidR="00E541EE" w:rsidRPr="00F12EB9" w:rsidRDefault="00E541EE" w:rsidP="00E541EE">
      <w:pPr>
        <w:jc w:val="both"/>
        <w:rPr>
          <w:rFonts w:ascii="Arial" w:hAnsi="Arial" w:cs="Arial"/>
          <w:b/>
          <w:bCs/>
          <w:sz w:val="24"/>
          <w:szCs w:val="24"/>
        </w:rPr>
      </w:pPr>
      <w:r w:rsidRPr="00F12EB9">
        <w:rPr>
          <w:rFonts w:ascii="Arial" w:hAnsi="Arial" w:cs="Arial"/>
          <w:b/>
          <w:bCs/>
          <w:sz w:val="24"/>
          <w:szCs w:val="24"/>
        </w:rPr>
        <w:t>Nastavni zavod za hitnu medicinu Istarske županije</w:t>
      </w:r>
    </w:p>
    <w:p w14:paraId="5869094C" w14:textId="77777777" w:rsidR="00E541EE" w:rsidRPr="00F12EB9" w:rsidRDefault="00E541EE" w:rsidP="00E541EE">
      <w:pPr>
        <w:jc w:val="both"/>
        <w:rPr>
          <w:rFonts w:ascii="Arial" w:hAnsi="Arial" w:cs="Arial"/>
          <w:sz w:val="24"/>
          <w:szCs w:val="24"/>
        </w:rPr>
      </w:pPr>
      <w:r w:rsidRPr="00F12EB9">
        <w:rPr>
          <w:rFonts w:ascii="Arial" w:hAnsi="Arial" w:cs="Arial"/>
          <w:sz w:val="24"/>
          <w:szCs w:val="24"/>
        </w:rPr>
        <w:t xml:space="preserve">Na području na kojem je zbog tranzita i/ili boravka turista povećan broj korisnika zdravstvene zaštite potrebno je osigurati povećani broj timova hitne medicinske službe u Nastavnom zavodu za hitnu medicinu Istarske županije (dalje: NZHMIŽ) u odnosu na broj timova određenih mrežom hitne medicinske službe za razdoblje od 1.4 do 30.9 kalendarske godine. U tom se razdoblju u Istarskoj županiji zbog boravka velikog broja turista značajno povećava broj stanovnika odnosno korisnika zdravstvene zaštite. Vrijeme početnog zbrinjavanja često je presudno za ishod liječenja te je uslijed boravka velikog broja turista nužno osigurati dodatni broj timova hitne medicinske službe od onoga dobivenog u Mreži hitne medicine. NZHMIŽ je županijska ustanova i za postizanje najboljih rezultata nema podjele terena već djeluje širom Županije po principu prvi raspoloživi tim dolazi do pacijenta. Radi se o minimalnom dodatnom broju timova hitne medicinske službe kako ne bi došlo do nepotrebne ugroze života i zdravlja zbog odgođene zdravstvene zaštite uslijed nedostupnosti tima hitne medicinske službe. Zakonom o turističkoj pristojbi („Narodne novine“ broj 52/19, 32/20 i 42/20) definirano je da se 30% raspoređene turističke pristojbe lokalne turističke zajednice doznačuje općini ili gradu na području kojih je osnovana Turistička zajednica za poboljšanje uvjeta boravka turista.      </w:t>
      </w:r>
    </w:p>
    <w:p w14:paraId="50968D89" w14:textId="77777777" w:rsidR="00E541EE" w:rsidRPr="00F12EB9" w:rsidRDefault="00E541EE" w:rsidP="00E541EE">
      <w:pPr>
        <w:jc w:val="both"/>
        <w:rPr>
          <w:rFonts w:ascii="Arial" w:hAnsi="Arial" w:cs="Arial"/>
          <w:sz w:val="24"/>
          <w:szCs w:val="24"/>
        </w:rPr>
      </w:pPr>
      <w:r w:rsidRPr="00F12EB9">
        <w:rPr>
          <w:rFonts w:ascii="Arial" w:hAnsi="Arial" w:cs="Arial"/>
          <w:sz w:val="24"/>
          <w:szCs w:val="24"/>
        </w:rPr>
        <w:t xml:space="preserve">Nad standard za dodatne timove hitne medicine u NZHMIŽ u razdoblju od 1.4 do 30.9.2026. obuhvaća 11 doktora, 15 medicinskih sestara/tehničara,15  vozača, 24 satna pripravnost medicinske sestre/tehničara. </w:t>
      </w:r>
    </w:p>
    <w:p w14:paraId="3AC0B44F" w14:textId="77777777" w:rsidR="00E541EE" w:rsidRPr="00F12EB9" w:rsidRDefault="00E541EE" w:rsidP="00E541EE">
      <w:pPr>
        <w:jc w:val="both"/>
        <w:rPr>
          <w:rFonts w:ascii="Arial" w:hAnsi="Arial" w:cs="Arial"/>
          <w:sz w:val="24"/>
          <w:szCs w:val="24"/>
        </w:rPr>
      </w:pPr>
      <w:r w:rsidRPr="00F12EB9">
        <w:rPr>
          <w:rFonts w:ascii="Arial" w:hAnsi="Arial" w:cs="Arial"/>
          <w:sz w:val="24"/>
          <w:szCs w:val="24"/>
        </w:rPr>
        <w:t xml:space="preserve">Ukupni rashodi (rashodi za zaposlene, materijalni rashodi i rashodi za nabavu nefinancijske imovine) iznose 1.634.750,00 eura. </w:t>
      </w:r>
    </w:p>
    <w:p w14:paraId="0DD217FD" w14:textId="77777777" w:rsidR="00E541EE" w:rsidRPr="00F12EB9" w:rsidRDefault="00E541EE" w:rsidP="00E541EE">
      <w:pPr>
        <w:jc w:val="both"/>
        <w:rPr>
          <w:rFonts w:ascii="Arial" w:hAnsi="Arial" w:cs="Arial"/>
          <w:sz w:val="24"/>
          <w:szCs w:val="24"/>
        </w:rPr>
      </w:pPr>
      <w:r w:rsidRPr="00F12EB9">
        <w:rPr>
          <w:rFonts w:ascii="Arial" w:hAnsi="Arial" w:cs="Arial"/>
          <w:sz w:val="24"/>
          <w:szCs w:val="24"/>
        </w:rPr>
        <w:t>Izvor financiranja za obje ustanove su jedinice lokalne samouprave (dalje: JLS) iz prihoda od turističke pristojbe (30%) namijenjenih za poboljšanje uvjeta boravka turista, način raspodjele po JLS je broj turističkih noćenja.</w:t>
      </w:r>
    </w:p>
    <w:p w14:paraId="4FEEFDDB" w14:textId="77777777" w:rsidR="00E541EE" w:rsidRPr="00AC2206" w:rsidRDefault="00E541EE" w:rsidP="00E541EE">
      <w:pPr>
        <w:jc w:val="both"/>
        <w:rPr>
          <w:rFonts w:ascii="Arial" w:eastAsia="Times New Roman" w:hAnsi="Arial" w:cs="Arial"/>
          <w:b/>
          <w:bCs/>
          <w:sz w:val="24"/>
          <w:szCs w:val="24"/>
        </w:rPr>
      </w:pPr>
      <w:r w:rsidRPr="00AC2206">
        <w:rPr>
          <w:rFonts w:ascii="Arial" w:eastAsia="Times New Roman" w:hAnsi="Arial" w:cs="Arial"/>
          <w:b/>
          <w:bCs/>
          <w:sz w:val="24"/>
          <w:szCs w:val="24"/>
        </w:rPr>
        <w:t xml:space="preserve">Opći cilj: </w:t>
      </w:r>
      <w:r w:rsidRPr="00AC2206">
        <w:rPr>
          <w:rFonts w:ascii="Arial" w:eastAsia="Times New Roman" w:hAnsi="Arial" w:cs="Arial"/>
          <w:bCs/>
          <w:sz w:val="24"/>
          <w:szCs w:val="24"/>
        </w:rPr>
        <w:t>nad standard hitne medicinske službe  tijekom turističke sezone.</w:t>
      </w:r>
    </w:p>
    <w:p w14:paraId="1E8D9633"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Pokazatelj uspješnosti</w:t>
      </w:r>
      <w:r w:rsidRPr="00AC2206">
        <w:rPr>
          <w:rFonts w:ascii="Arial" w:eastAsia="Times New Roman" w:hAnsi="Arial" w:cs="Arial"/>
          <w:b/>
          <w:sz w:val="24"/>
          <w:szCs w:val="24"/>
        </w:rPr>
        <w:t xml:space="preserve">: </w:t>
      </w:r>
      <w:r w:rsidRPr="00AC2206">
        <w:rPr>
          <w:rFonts w:ascii="Arial" w:eastAsia="Times New Roman" w:hAnsi="Arial" w:cs="Arial"/>
          <w:sz w:val="24"/>
          <w:szCs w:val="24"/>
        </w:rPr>
        <w:t>izvršenje obveza po sklopljenom ugovoru</w:t>
      </w:r>
      <w:r>
        <w:rPr>
          <w:rFonts w:ascii="Arial" w:eastAsia="Times New Roman" w:hAnsi="Arial" w:cs="Arial"/>
          <w:sz w:val="24"/>
          <w:szCs w:val="24"/>
        </w:rPr>
        <w:t>.</w:t>
      </w:r>
    </w:p>
    <w:p w14:paraId="38C7DBA0" w14:textId="77777777" w:rsidR="00E541EE" w:rsidRPr="00AC2206" w:rsidRDefault="00E541EE" w:rsidP="00E541EE">
      <w:pPr>
        <w:jc w:val="both"/>
        <w:rPr>
          <w:rFonts w:ascii="Arial" w:eastAsia="Times New Roman" w:hAnsi="Arial" w:cs="Arial"/>
          <w:sz w:val="24"/>
          <w:szCs w:val="24"/>
        </w:rPr>
      </w:pPr>
    </w:p>
    <w:p w14:paraId="66414C55"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AC2206">
        <w:rPr>
          <w:rFonts w:ascii="Arial" w:eastAsia="Times New Roman" w:hAnsi="Arial" w:cs="Arial"/>
          <w:b/>
          <w:bCs/>
          <w:sz w:val="24"/>
          <w:szCs w:val="24"/>
        </w:rPr>
        <w:t>A 103304: Pomoći osobama s invaliditetom = 700,00 EUR</w:t>
      </w:r>
    </w:p>
    <w:p w14:paraId="721A5675" w14:textId="77777777" w:rsidR="00E541EE" w:rsidRPr="00AC2206" w:rsidRDefault="00E541EE" w:rsidP="00E541EE">
      <w:pPr>
        <w:jc w:val="both"/>
        <w:rPr>
          <w:rFonts w:ascii="Arial" w:eastAsia="Times New Roman" w:hAnsi="Arial" w:cs="Arial"/>
          <w:b/>
          <w:sz w:val="24"/>
          <w:szCs w:val="24"/>
        </w:rPr>
      </w:pPr>
      <w:r w:rsidRPr="00AC2206">
        <w:rPr>
          <w:rFonts w:ascii="Arial" w:eastAsia="Times New Roman" w:hAnsi="Arial" w:cs="Arial"/>
          <w:b/>
          <w:bCs/>
          <w:sz w:val="24"/>
          <w:szCs w:val="24"/>
        </w:rPr>
        <w:t>Zakonska osnova:</w:t>
      </w:r>
      <w:r w:rsidRPr="00AC2206">
        <w:rPr>
          <w:rFonts w:ascii="Arial" w:eastAsia="Times New Roman" w:hAnsi="Arial" w:cs="Arial"/>
          <w:sz w:val="24"/>
          <w:szCs w:val="24"/>
        </w:rPr>
        <w:t xml:space="preserve"> Zakon o lokalnoj i područnoj (regionalnoj) samoupravi.</w:t>
      </w:r>
    </w:p>
    <w:p w14:paraId="7773B0D3"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sz w:val="24"/>
          <w:szCs w:val="24"/>
        </w:rPr>
        <w:t>Opis:</w:t>
      </w:r>
      <w:r w:rsidRPr="00AC2206">
        <w:rPr>
          <w:rFonts w:ascii="Arial" w:eastAsia="Times New Roman" w:hAnsi="Arial" w:cs="Arial"/>
          <w:sz w:val="24"/>
          <w:szCs w:val="24"/>
        </w:rPr>
        <w:t xml:space="preserve"> sredstva su namijenjena za potpore osobama sa invaliditetom.</w:t>
      </w:r>
    </w:p>
    <w:p w14:paraId="2C538544" w14:textId="77777777" w:rsidR="00E541EE" w:rsidRPr="00AC2206" w:rsidRDefault="00E541EE" w:rsidP="00E541EE">
      <w:pPr>
        <w:jc w:val="both"/>
        <w:rPr>
          <w:rFonts w:ascii="Arial" w:eastAsia="Times New Roman" w:hAnsi="Arial" w:cs="Arial"/>
          <w:bCs/>
          <w:sz w:val="24"/>
          <w:szCs w:val="24"/>
        </w:rPr>
      </w:pPr>
      <w:r w:rsidRPr="00AC2206">
        <w:rPr>
          <w:rFonts w:ascii="Arial" w:eastAsia="Times New Roman" w:hAnsi="Arial" w:cs="Arial"/>
          <w:b/>
          <w:bCs/>
          <w:sz w:val="24"/>
          <w:szCs w:val="24"/>
        </w:rPr>
        <w:t xml:space="preserve">Opći cilj: </w:t>
      </w:r>
      <w:r w:rsidRPr="00AC2206">
        <w:rPr>
          <w:rFonts w:ascii="Arial" w:eastAsia="Times New Roman" w:hAnsi="Arial" w:cs="Arial"/>
          <w:bCs/>
          <w:sz w:val="24"/>
          <w:szCs w:val="24"/>
        </w:rPr>
        <w:t>potpore osobama sa invaliditetom.</w:t>
      </w:r>
    </w:p>
    <w:p w14:paraId="1B2C49DD"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Pokazatelj uspješnosti</w:t>
      </w:r>
      <w:r w:rsidRPr="00AC2206">
        <w:rPr>
          <w:rFonts w:ascii="Arial" w:eastAsia="Times New Roman" w:hAnsi="Arial" w:cs="Arial"/>
          <w:b/>
          <w:sz w:val="24"/>
          <w:szCs w:val="24"/>
        </w:rPr>
        <w:t xml:space="preserve">: </w:t>
      </w:r>
      <w:r w:rsidRPr="00AC2206">
        <w:rPr>
          <w:rFonts w:ascii="Arial" w:eastAsia="Times New Roman" w:hAnsi="Arial" w:cs="Arial"/>
          <w:sz w:val="24"/>
          <w:szCs w:val="24"/>
        </w:rPr>
        <w:t>dodijeljene potpore.</w:t>
      </w:r>
    </w:p>
    <w:p w14:paraId="0D1A53B1" w14:textId="77777777" w:rsidR="00E541EE" w:rsidRPr="00AC2206" w:rsidRDefault="00E541EE" w:rsidP="00E541EE">
      <w:pPr>
        <w:jc w:val="both"/>
        <w:rPr>
          <w:rFonts w:ascii="Arial" w:eastAsia="Times New Roman" w:hAnsi="Arial" w:cs="Arial"/>
          <w:sz w:val="24"/>
          <w:szCs w:val="24"/>
        </w:rPr>
      </w:pPr>
    </w:p>
    <w:p w14:paraId="46096DD0"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AC2206">
        <w:rPr>
          <w:rFonts w:ascii="Arial" w:eastAsia="Times New Roman" w:hAnsi="Arial" w:cs="Arial"/>
          <w:b/>
          <w:bCs/>
          <w:sz w:val="24"/>
          <w:szCs w:val="24"/>
        </w:rPr>
        <w:t xml:space="preserve">A 103305: Programi udruga u prevenciji i unapređenju zaštite zdravlja </w:t>
      </w:r>
    </w:p>
    <w:p w14:paraId="72C6AD76"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AC2206">
        <w:rPr>
          <w:rFonts w:ascii="Arial" w:eastAsia="Times New Roman" w:hAnsi="Arial" w:cs="Arial"/>
          <w:b/>
          <w:bCs/>
          <w:sz w:val="24"/>
          <w:szCs w:val="24"/>
        </w:rPr>
        <w:t>= 4.000,00 EUR</w:t>
      </w:r>
    </w:p>
    <w:p w14:paraId="4AF96D18"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Zakonska osnova:</w:t>
      </w:r>
      <w:r w:rsidRPr="00AC2206">
        <w:rPr>
          <w:rFonts w:ascii="Arial" w:eastAsia="Times New Roman" w:hAnsi="Arial" w:cs="Arial"/>
          <w:sz w:val="24"/>
          <w:szCs w:val="24"/>
        </w:rPr>
        <w:t xml:space="preserve"> Zakon o lokalnoj i područnoj (regionalnoj) samoupravi, Zakon o udrugama i Uredba o kriterijima, mjerilima i postupcima financiranja i ugovaranja programa i projekata od interesa za opće dobro koje provode udruge.</w:t>
      </w:r>
    </w:p>
    <w:p w14:paraId="5DDB1AD7"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sz w:val="24"/>
          <w:szCs w:val="24"/>
        </w:rPr>
        <w:t>Opis:</w:t>
      </w:r>
      <w:r w:rsidRPr="00AC2206">
        <w:rPr>
          <w:rFonts w:ascii="Arial" w:eastAsia="Times New Roman" w:hAnsi="Arial" w:cs="Arial"/>
          <w:sz w:val="24"/>
          <w:szCs w:val="24"/>
        </w:rPr>
        <w:t xml:space="preserve"> iz ovih sredstava, na temelju provedenog javnog natječaja dodijeliti će se potpore udrugama koje provode aktivnosti prevencije i unaprjeđenja zaštite zdravlja.</w:t>
      </w:r>
    </w:p>
    <w:p w14:paraId="39A1A43D" w14:textId="77777777" w:rsidR="00E541EE" w:rsidRPr="00AC2206" w:rsidRDefault="00E541EE" w:rsidP="00E541EE">
      <w:pPr>
        <w:jc w:val="both"/>
        <w:rPr>
          <w:rFonts w:ascii="Arial" w:eastAsia="Times New Roman" w:hAnsi="Arial" w:cs="Arial"/>
          <w:b/>
          <w:bCs/>
          <w:sz w:val="24"/>
          <w:szCs w:val="24"/>
        </w:rPr>
      </w:pPr>
      <w:r w:rsidRPr="00AC2206">
        <w:rPr>
          <w:rFonts w:ascii="Arial" w:eastAsia="Times New Roman" w:hAnsi="Arial" w:cs="Arial"/>
          <w:b/>
          <w:bCs/>
          <w:sz w:val="24"/>
          <w:szCs w:val="24"/>
        </w:rPr>
        <w:t xml:space="preserve">Opći cilj: </w:t>
      </w:r>
      <w:r w:rsidRPr="00AC2206">
        <w:rPr>
          <w:rFonts w:ascii="Arial" w:eastAsia="Times New Roman" w:hAnsi="Arial" w:cs="Arial"/>
          <w:bCs/>
          <w:sz w:val="24"/>
          <w:szCs w:val="24"/>
        </w:rPr>
        <w:t>prevencija i unapređenje zaštite zdravlja.</w:t>
      </w:r>
    </w:p>
    <w:p w14:paraId="092694DA"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Pokazatelj uspješnosti</w:t>
      </w:r>
      <w:r w:rsidRPr="00AC2206">
        <w:rPr>
          <w:rFonts w:ascii="Arial" w:eastAsia="Times New Roman" w:hAnsi="Arial" w:cs="Arial"/>
          <w:b/>
          <w:sz w:val="24"/>
          <w:szCs w:val="24"/>
        </w:rPr>
        <w:t xml:space="preserve">: </w:t>
      </w:r>
      <w:r w:rsidRPr="00AC2206">
        <w:rPr>
          <w:rFonts w:ascii="Arial" w:eastAsia="Times New Roman" w:hAnsi="Arial" w:cs="Arial"/>
          <w:sz w:val="24"/>
          <w:szCs w:val="24"/>
        </w:rPr>
        <w:t>dodijeljene potpore i realizirane aktivnosti.</w:t>
      </w:r>
    </w:p>
    <w:p w14:paraId="282916C2" w14:textId="77777777" w:rsidR="00E541EE" w:rsidRPr="00AC2206" w:rsidRDefault="00E541EE" w:rsidP="00E541EE">
      <w:pPr>
        <w:rPr>
          <w:rFonts w:ascii="Arial" w:eastAsia="Times New Roman" w:hAnsi="Arial" w:cs="Arial"/>
          <w:sz w:val="24"/>
          <w:szCs w:val="24"/>
        </w:rPr>
      </w:pPr>
    </w:p>
    <w:p w14:paraId="4B5AE6B8"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rPr>
          <w:rFonts w:ascii="Arial" w:eastAsia="Times New Roman" w:hAnsi="Arial" w:cs="Arial"/>
          <w:b/>
          <w:bCs/>
          <w:sz w:val="24"/>
          <w:szCs w:val="24"/>
        </w:rPr>
      </w:pPr>
      <w:r w:rsidRPr="00AC2206">
        <w:rPr>
          <w:rFonts w:ascii="Arial" w:eastAsia="Times New Roman" w:hAnsi="Arial" w:cs="Arial"/>
          <w:b/>
          <w:bCs/>
          <w:sz w:val="24"/>
          <w:szCs w:val="24"/>
        </w:rPr>
        <w:t>A 103306: Povjerenstvo za ocjenjivanje prijava = 100,00 EUR</w:t>
      </w:r>
    </w:p>
    <w:p w14:paraId="7951FD4D"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Zakonska osnova:</w:t>
      </w:r>
      <w:r w:rsidRPr="00AC2206">
        <w:rPr>
          <w:rFonts w:ascii="Arial" w:eastAsia="Times New Roman" w:hAnsi="Arial" w:cs="Arial"/>
          <w:sz w:val="24"/>
          <w:szCs w:val="24"/>
        </w:rPr>
        <w:t xml:space="preserve"> Zakon o lokalnoj i područnoj (regionalnoj) samoupravi, Zakon o udrugama i Uredba o kriterijima, mjerilima i postupcima financiranja i ugovaranja programa i projekata od interesa za opće dobro koje provode udruge.</w:t>
      </w:r>
    </w:p>
    <w:p w14:paraId="596F78B8"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sz w:val="24"/>
          <w:szCs w:val="24"/>
        </w:rPr>
        <w:t>Opis:</w:t>
      </w:r>
      <w:r w:rsidRPr="00AC2206">
        <w:rPr>
          <w:rFonts w:ascii="Arial" w:eastAsia="Times New Roman" w:hAnsi="Arial" w:cs="Arial"/>
          <w:sz w:val="24"/>
          <w:szCs w:val="24"/>
        </w:rPr>
        <w:t xml:space="preserve"> za potrebe provedbe natječaja potrebno je osigurati sredstva za rad Povjerenstva.</w:t>
      </w:r>
    </w:p>
    <w:p w14:paraId="24770D87" w14:textId="77777777" w:rsidR="00E541EE" w:rsidRPr="00AC2206" w:rsidRDefault="00E541EE" w:rsidP="00E541EE">
      <w:pPr>
        <w:jc w:val="both"/>
        <w:rPr>
          <w:rFonts w:ascii="Arial" w:eastAsia="Times New Roman" w:hAnsi="Arial" w:cs="Arial"/>
          <w:b/>
          <w:bCs/>
          <w:sz w:val="24"/>
          <w:szCs w:val="24"/>
        </w:rPr>
      </w:pPr>
      <w:r w:rsidRPr="00AC2206">
        <w:rPr>
          <w:rFonts w:ascii="Arial" w:eastAsia="Times New Roman" w:hAnsi="Arial" w:cs="Arial"/>
          <w:b/>
          <w:bCs/>
          <w:sz w:val="24"/>
          <w:szCs w:val="24"/>
        </w:rPr>
        <w:t xml:space="preserve">Opći cilj: </w:t>
      </w:r>
      <w:r w:rsidRPr="00AC2206">
        <w:rPr>
          <w:rFonts w:ascii="Arial" w:eastAsia="Times New Roman" w:hAnsi="Arial" w:cs="Arial"/>
          <w:bCs/>
          <w:sz w:val="24"/>
          <w:szCs w:val="24"/>
        </w:rPr>
        <w:t>neovisno kvalitativno ocjenjivanje prijava.</w:t>
      </w:r>
    </w:p>
    <w:p w14:paraId="064EAFFD"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Pokazatelj uspješnosti</w:t>
      </w:r>
      <w:r w:rsidRPr="00AC2206">
        <w:rPr>
          <w:rFonts w:ascii="Arial" w:eastAsia="Times New Roman" w:hAnsi="Arial" w:cs="Arial"/>
          <w:b/>
          <w:sz w:val="24"/>
          <w:szCs w:val="24"/>
        </w:rPr>
        <w:t xml:space="preserve">: </w:t>
      </w:r>
      <w:r w:rsidRPr="00AC2206">
        <w:rPr>
          <w:rFonts w:ascii="Arial" w:eastAsia="Times New Roman" w:hAnsi="Arial" w:cs="Arial"/>
          <w:sz w:val="24"/>
          <w:szCs w:val="24"/>
        </w:rPr>
        <w:t>izvršene obveze prema članovima povjerenstva.</w:t>
      </w:r>
    </w:p>
    <w:p w14:paraId="13C23C61" w14:textId="77777777" w:rsidR="00E541EE" w:rsidRPr="00AC2206" w:rsidRDefault="00E541EE" w:rsidP="00E541EE">
      <w:pPr>
        <w:jc w:val="both"/>
        <w:rPr>
          <w:rFonts w:ascii="Arial" w:eastAsia="Times New Roman" w:hAnsi="Arial" w:cs="Arial"/>
          <w:sz w:val="24"/>
          <w:szCs w:val="24"/>
        </w:rPr>
      </w:pPr>
    </w:p>
    <w:p w14:paraId="1D9302F2" w14:textId="57778CA9"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AC2206">
        <w:rPr>
          <w:rFonts w:ascii="Arial" w:eastAsia="Times New Roman" w:hAnsi="Arial" w:cs="Arial"/>
          <w:b/>
          <w:bCs/>
          <w:sz w:val="24"/>
          <w:szCs w:val="24"/>
        </w:rPr>
        <w:t>A 103307: Program ranog otkrivanja tumora prostate = 3.</w:t>
      </w:r>
      <w:r w:rsidR="00E34B7A">
        <w:rPr>
          <w:rFonts w:ascii="Arial" w:eastAsia="Times New Roman" w:hAnsi="Arial" w:cs="Arial"/>
          <w:b/>
          <w:bCs/>
          <w:sz w:val="24"/>
          <w:szCs w:val="24"/>
        </w:rPr>
        <w:t>0</w:t>
      </w:r>
      <w:r w:rsidRPr="00AC2206">
        <w:rPr>
          <w:rFonts w:ascii="Arial" w:eastAsia="Times New Roman" w:hAnsi="Arial" w:cs="Arial"/>
          <w:b/>
          <w:bCs/>
          <w:sz w:val="24"/>
          <w:szCs w:val="24"/>
        </w:rPr>
        <w:t>00,00 EUR</w:t>
      </w:r>
    </w:p>
    <w:p w14:paraId="2BE4D01D" w14:textId="77777777" w:rsidR="00E541EE" w:rsidRPr="00AC2206" w:rsidRDefault="00E541EE" w:rsidP="00E541EE">
      <w:pPr>
        <w:jc w:val="both"/>
        <w:rPr>
          <w:rFonts w:ascii="Arial" w:eastAsia="Times New Roman" w:hAnsi="Arial" w:cs="Arial"/>
          <w:b/>
          <w:sz w:val="24"/>
          <w:szCs w:val="24"/>
        </w:rPr>
      </w:pPr>
      <w:r w:rsidRPr="00AC2206">
        <w:rPr>
          <w:rFonts w:ascii="Arial" w:eastAsia="Times New Roman" w:hAnsi="Arial" w:cs="Arial"/>
          <w:b/>
          <w:bCs/>
          <w:sz w:val="24"/>
          <w:szCs w:val="24"/>
        </w:rPr>
        <w:t>Zakonska osnova:</w:t>
      </w:r>
      <w:r w:rsidRPr="00AC2206">
        <w:rPr>
          <w:rFonts w:ascii="Arial" w:eastAsia="Times New Roman" w:hAnsi="Arial" w:cs="Arial"/>
          <w:sz w:val="24"/>
          <w:szCs w:val="24"/>
        </w:rPr>
        <w:t xml:space="preserve"> Zakon o lokalnoj i područnoj (regionalnoj) samoupravi</w:t>
      </w:r>
      <w:r w:rsidRPr="00AC2206">
        <w:rPr>
          <w:rFonts w:ascii="Arial" w:eastAsia="Times New Roman" w:hAnsi="Arial" w:cs="Arial"/>
          <w:b/>
          <w:sz w:val="24"/>
          <w:szCs w:val="24"/>
        </w:rPr>
        <w:t>.</w:t>
      </w:r>
    </w:p>
    <w:p w14:paraId="0410A5FB"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sz w:val="24"/>
          <w:szCs w:val="24"/>
        </w:rPr>
        <w:t>Opis:</w:t>
      </w:r>
      <w:r w:rsidRPr="00AC2206">
        <w:rPr>
          <w:rFonts w:ascii="Arial" w:eastAsia="Times New Roman" w:hAnsi="Arial" w:cs="Arial"/>
          <w:sz w:val="24"/>
          <w:szCs w:val="24"/>
        </w:rPr>
        <w:t xml:space="preserve"> u Republici Hrvatskoj svaki dan se otkriju 4 nova (cca 1700 ), a 2 muškarca umru od tumora prostate svaki dan (cca 750). Danas se tumor prostate može uspješno liječiti ukoliko se otkrije na vrijeme.</w:t>
      </w:r>
    </w:p>
    <w:p w14:paraId="0DBC3F91"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sz w:val="24"/>
          <w:szCs w:val="24"/>
        </w:rPr>
        <w:t xml:space="preserve">Programom ranog otkrivanja tumora prostate  bili bi obuhvaćeni </w:t>
      </w:r>
      <w:r w:rsidRPr="00AC2206">
        <w:rPr>
          <w:rFonts w:ascii="Arial" w:eastAsia="Times New Roman" w:hAnsi="Arial" w:cs="Arial"/>
          <w:bCs/>
          <w:sz w:val="24"/>
          <w:szCs w:val="24"/>
        </w:rPr>
        <w:t xml:space="preserve">oni muškarci koji nikada nisu bili na pregledu kod urologa, a istim bi bili obuhvaćeni </w:t>
      </w:r>
      <w:r w:rsidRPr="00AC2206">
        <w:rPr>
          <w:rFonts w:ascii="Arial" w:eastAsia="Times New Roman" w:hAnsi="Arial" w:cs="Arial"/>
          <w:sz w:val="24"/>
          <w:szCs w:val="24"/>
        </w:rPr>
        <w:t xml:space="preserve">muškarci koji su </w:t>
      </w:r>
      <w:r w:rsidRPr="00AC2206">
        <w:rPr>
          <w:rFonts w:ascii="Arial" w:eastAsia="Times New Roman" w:hAnsi="Arial" w:cs="Arial"/>
          <w:bCs/>
          <w:sz w:val="24"/>
          <w:szCs w:val="24"/>
        </w:rPr>
        <w:t>stariji od 50 godina</w:t>
      </w:r>
      <w:r w:rsidRPr="00AC2206">
        <w:rPr>
          <w:rFonts w:ascii="Arial" w:eastAsia="Times New Roman" w:hAnsi="Arial" w:cs="Arial"/>
          <w:sz w:val="24"/>
          <w:szCs w:val="24"/>
        </w:rPr>
        <w:t xml:space="preserve"> kao i za one koji imaju tzv. </w:t>
      </w:r>
      <w:r w:rsidRPr="00AC2206">
        <w:rPr>
          <w:rFonts w:ascii="Arial" w:eastAsia="Times New Roman" w:hAnsi="Arial" w:cs="Arial"/>
          <w:bCs/>
          <w:sz w:val="24"/>
          <w:szCs w:val="24"/>
        </w:rPr>
        <w:t>pozitivnu obiteljsku anamnezu i stariji su od 40 godina</w:t>
      </w:r>
      <w:r w:rsidRPr="00AC2206">
        <w:rPr>
          <w:rFonts w:ascii="Arial" w:eastAsia="Times New Roman" w:hAnsi="Arial" w:cs="Arial"/>
          <w:sz w:val="24"/>
          <w:szCs w:val="24"/>
        </w:rPr>
        <w:t xml:space="preserve"> života, a što je u skladu sa preporukama Europskog urološkog udruženja. Program bi se provodio u suradnji sa Općom bolnicom Pula. Osiguranim sredstvima podmirili bi se troškovi liječnika i medicinske sestre.  </w:t>
      </w:r>
    </w:p>
    <w:p w14:paraId="09DF45B1" w14:textId="77777777" w:rsidR="00E541EE" w:rsidRPr="00AC2206" w:rsidRDefault="00E541EE" w:rsidP="00E541EE">
      <w:pPr>
        <w:jc w:val="both"/>
        <w:rPr>
          <w:rFonts w:ascii="Arial" w:eastAsia="Times New Roman" w:hAnsi="Arial" w:cs="Arial"/>
          <w:b/>
          <w:bCs/>
          <w:sz w:val="24"/>
          <w:szCs w:val="24"/>
        </w:rPr>
      </w:pPr>
      <w:r w:rsidRPr="00AC2206">
        <w:rPr>
          <w:rFonts w:ascii="Arial" w:eastAsia="Times New Roman" w:hAnsi="Arial" w:cs="Arial"/>
          <w:b/>
          <w:bCs/>
          <w:sz w:val="24"/>
          <w:szCs w:val="24"/>
        </w:rPr>
        <w:t xml:space="preserve">Opći cilj: </w:t>
      </w:r>
      <w:r w:rsidRPr="00AC2206">
        <w:rPr>
          <w:rFonts w:ascii="Arial" w:eastAsia="Times New Roman" w:hAnsi="Arial" w:cs="Arial"/>
          <w:bCs/>
          <w:sz w:val="24"/>
          <w:szCs w:val="24"/>
        </w:rPr>
        <w:t>prevencija i zaštita zdravlja.</w:t>
      </w:r>
    </w:p>
    <w:p w14:paraId="55814AA0"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Pokazatelj uspješnosti</w:t>
      </w:r>
      <w:r w:rsidRPr="00AC2206">
        <w:rPr>
          <w:rFonts w:ascii="Arial" w:eastAsia="Times New Roman" w:hAnsi="Arial" w:cs="Arial"/>
          <w:b/>
          <w:sz w:val="24"/>
          <w:szCs w:val="24"/>
        </w:rPr>
        <w:t xml:space="preserve">: </w:t>
      </w:r>
      <w:r w:rsidRPr="00AC2206">
        <w:rPr>
          <w:rFonts w:ascii="Arial" w:eastAsia="Times New Roman" w:hAnsi="Arial" w:cs="Arial"/>
          <w:sz w:val="24"/>
          <w:szCs w:val="24"/>
        </w:rPr>
        <w:t>obavljeni pregledi te praćenje pokazatelja.</w:t>
      </w:r>
    </w:p>
    <w:p w14:paraId="5C18C639" w14:textId="77777777" w:rsidR="00E541EE" w:rsidRPr="00AC2206" w:rsidRDefault="00E541EE" w:rsidP="00E541EE">
      <w:pPr>
        <w:jc w:val="both"/>
        <w:rPr>
          <w:rFonts w:ascii="Arial" w:eastAsia="Times New Roman" w:hAnsi="Arial" w:cs="Arial"/>
          <w:sz w:val="24"/>
          <w:szCs w:val="24"/>
        </w:rPr>
      </w:pPr>
    </w:p>
    <w:p w14:paraId="3D795A57"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AC2206">
        <w:rPr>
          <w:rFonts w:ascii="Arial" w:eastAsia="Times New Roman" w:hAnsi="Arial" w:cs="Arial"/>
          <w:b/>
          <w:bCs/>
          <w:sz w:val="24"/>
          <w:szCs w:val="24"/>
        </w:rPr>
        <w:t xml:space="preserve">A 103308: Savjetovalište za spolno i reproduktivno zdravlje mladih </w:t>
      </w:r>
    </w:p>
    <w:p w14:paraId="738B8914"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AC2206">
        <w:rPr>
          <w:rFonts w:ascii="Arial" w:eastAsia="Times New Roman" w:hAnsi="Arial" w:cs="Arial"/>
          <w:b/>
          <w:bCs/>
          <w:sz w:val="24"/>
          <w:szCs w:val="24"/>
        </w:rPr>
        <w:t>= 2.</w:t>
      </w:r>
      <w:r>
        <w:rPr>
          <w:rFonts w:ascii="Arial" w:eastAsia="Times New Roman" w:hAnsi="Arial" w:cs="Arial"/>
          <w:b/>
          <w:bCs/>
          <w:sz w:val="24"/>
          <w:szCs w:val="24"/>
        </w:rPr>
        <w:t>97</w:t>
      </w:r>
      <w:r w:rsidRPr="00AC2206">
        <w:rPr>
          <w:rFonts w:ascii="Arial" w:eastAsia="Times New Roman" w:hAnsi="Arial" w:cs="Arial"/>
          <w:b/>
          <w:bCs/>
          <w:sz w:val="24"/>
          <w:szCs w:val="24"/>
        </w:rPr>
        <w:t>0,00 EUR</w:t>
      </w:r>
    </w:p>
    <w:p w14:paraId="4B16BD6D" w14:textId="77777777" w:rsidR="00E541EE" w:rsidRPr="00AC2206" w:rsidRDefault="00E541EE" w:rsidP="00E541EE">
      <w:pPr>
        <w:jc w:val="both"/>
        <w:rPr>
          <w:rFonts w:ascii="Arial" w:eastAsia="Times New Roman" w:hAnsi="Arial" w:cs="Arial"/>
          <w:b/>
          <w:sz w:val="24"/>
          <w:szCs w:val="24"/>
        </w:rPr>
      </w:pPr>
      <w:r w:rsidRPr="00AC2206">
        <w:rPr>
          <w:rFonts w:ascii="Arial" w:eastAsia="Times New Roman" w:hAnsi="Arial" w:cs="Arial"/>
          <w:b/>
          <w:bCs/>
          <w:sz w:val="24"/>
          <w:szCs w:val="24"/>
        </w:rPr>
        <w:t>Zakonska osnova:</w:t>
      </w:r>
      <w:r w:rsidRPr="00AC2206">
        <w:rPr>
          <w:rFonts w:ascii="Arial" w:eastAsia="Times New Roman" w:hAnsi="Arial" w:cs="Arial"/>
          <w:sz w:val="24"/>
          <w:szCs w:val="24"/>
        </w:rPr>
        <w:t xml:space="preserve"> Zakon o lokalnoj i područnoj (regionalnoj) samoupravi.</w:t>
      </w:r>
      <w:r w:rsidRPr="00AC2206">
        <w:rPr>
          <w:rFonts w:ascii="Arial" w:eastAsia="Times New Roman" w:hAnsi="Arial" w:cs="Arial"/>
          <w:b/>
          <w:sz w:val="24"/>
          <w:szCs w:val="24"/>
        </w:rPr>
        <w:t xml:space="preserve"> </w:t>
      </w:r>
    </w:p>
    <w:p w14:paraId="426DCD7F"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sz w:val="24"/>
          <w:szCs w:val="24"/>
        </w:rPr>
        <w:t>Opis:</w:t>
      </w:r>
      <w:r w:rsidRPr="00AC2206">
        <w:rPr>
          <w:rFonts w:ascii="Arial" w:eastAsia="Times New Roman" w:hAnsi="Arial" w:cs="Arial"/>
          <w:sz w:val="24"/>
          <w:szCs w:val="24"/>
        </w:rPr>
        <w:t xml:space="preserve"> savjetovališta za spolno zdravlje mladih bi se provodila kao jedna od usluga Zavoda za javno zdravstvo Istarske županije i to u dislociranim savjetovalištima u svim gradovima na području Istre, a po uzoru na odličan model Savjetovališta za prehranu koje vrlo uspješno djeluje diljem Županije. Savjetovalište za spolno zdravlje mladih djelovat će kroz timsku više strukovnu suradnju stručnjaka liječnika specijalista školske medicine u suradnji s psiholozima, epidemiolozima i ostalim stručnjacima. Savjetovalište će provoditi savjetodavnu pomoć i podršku zainteresiranim korisnicima, savjetovanje parova o kontracepciji i spolno prenosivim bolestima, edukativne i promotivne aktivnosti u zajednici te edukaciju ciljanih skupina. Pristup savjetovalištu bit će slobodan za učenike srednjih škola, ali i druge osobe koje nisu u sustavu redovnog školovanja, a usluge bi za korisnike bile besplatne.</w:t>
      </w:r>
    </w:p>
    <w:p w14:paraId="0971653F"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sz w:val="24"/>
          <w:szCs w:val="24"/>
        </w:rPr>
        <w:t>Uz individualan rad sa zainteresiranim korisnicima, te rad u parovima, savjetovalište će provoditi aktivnosti i edukacije s učenicima viših razreda osnovne škole, obrazovnih radnika u istarskim školama, roditeljima, udrugama civilnog društva te ostalom zainteresiranom javnošću, a suradnju će uspostaviti s ginekolozima u primarnoj zdravstvenoj zaštiti te drugim liječnicima obiteljske medicine, jedinicama</w:t>
      </w:r>
      <w:r w:rsidRPr="00AC2206">
        <w:rPr>
          <w:rFonts w:ascii="Times New Roman" w:eastAsia="Times New Roman" w:hAnsi="Times New Roman" w:cs="Times New Roman"/>
          <w:sz w:val="24"/>
          <w:szCs w:val="24"/>
        </w:rPr>
        <w:t xml:space="preserve"> </w:t>
      </w:r>
      <w:r w:rsidRPr="00AC2206">
        <w:rPr>
          <w:rFonts w:ascii="Arial" w:eastAsia="Times New Roman" w:hAnsi="Arial" w:cs="Arial"/>
          <w:sz w:val="24"/>
          <w:szCs w:val="24"/>
        </w:rPr>
        <w:t xml:space="preserve">lokalne samouprave te drugim stručnjacima i predavačima. </w:t>
      </w:r>
    </w:p>
    <w:p w14:paraId="5E45C8C6" w14:textId="77777777" w:rsidR="00E541EE" w:rsidRPr="00AC2206" w:rsidRDefault="00E541EE" w:rsidP="00E541EE">
      <w:pPr>
        <w:jc w:val="both"/>
        <w:rPr>
          <w:rFonts w:ascii="Arial" w:eastAsia="Times New Roman" w:hAnsi="Arial" w:cs="Arial"/>
          <w:b/>
          <w:bCs/>
          <w:sz w:val="24"/>
          <w:szCs w:val="24"/>
        </w:rPr>
      </w:pPr>
      <w:r w:rsidRPr="00AC2206">
        <w:rPr>
          <w:rFonts w:ascii="Arial" w:eastAsia="Times New Roman" w:hAnsi="Arial" w:cs="Arial"/>
          <w:b/>
          <w:bCs/>
          <w:sz w:val="24"/>
          <w:szCs w:val="24"/>
        </w:rPr>
        <w:t xml:space="preserve">Opći cilj: </w:t>
      </w:r>
      <w:r w:rsidRPr="00AC2206">
        <w:rPr>
          <w:rFonts w:ascii="Arial" w:eastAsia="Times New Roman" w:hAnsi="Arial" w:cs="Arial"/>
          <w:bCs/>
          <w:sz w:val="24"/>
          <w:szCs w:val="24"/>
        </w:rPr>
        <w:t>edukacija mladih, prevencija i poboljšanje spolnog zdravlja.</w:t>
      </w:r>
      <w:r w:rsidRPr="00AC2206">
        <w:rPr>
          <w:rFonts w:ascii="Arial" w:eastAsia="Times New Roman" w:hAnsi="Arial" w:cs="Arial"/>
          <w:b/>
          <w:bCs/>
          <w:sz w:val="24"/>
          <w:szCs w:val="24"/>
        </w:rPr>
        <w:t xml:space="preserve"> </w:t>
      </w:r>
    </w:p>
    <w:p w14:paraId="3634382F"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Pokazatelj uspješnosti</w:t>
      </w:r>
      <w:r w:rsidRPr="00AC2206">
        <w:rPr>
          <w:rFonts w:ascii="Arial" w:eastAsia="Times New Roman" w:hAnsi="Arial" w:cs="Arial"/>
          <w:b/>
          <w:sz w:val="24"/>
          <w:szCs w:val="24"/>
        </w:rPr>
        <w:t xml:space="preserve">: </w:t>
      </w:r>
      <w:r w:rsidRPr="00AC2206">
        <w:rPr>
          <w:rFonts w:ascii="Arial" w:eastAsia="Times New Roman" w:hAnsi="Arial" w:cs="Arial"/>
          <w:sz w:val="24"/>
          <w:szCs w:val="24"/>
        </w:rPr>
        <w:t>broj korisnika i praćenje pokazatelja.</w:t>
      </w:r>
    </w:p>
    <w:p w14:paraId="0C5C3E44" w14:textId="77777777" w:rsidR="00E541EE" w:rsidRPr="00AC2206" w:rsidRDefault="00E541EE" w:rsidP="00E541EE">
      <w:pPr>
        <w:jc w:val="both"/>
        <w:rPr>
          <w:rFonts w:ascii="Arial" w:eastAsia="Times New Roman" w:hAnsi="Arial" w:cs="Arial"/>
          <w:sz w:val="24"/>
          <w:szCs w:val="24"/>
        </w:rPr>
      </w:pPr>
    </w:p>
    <w:p w14:paraId="49CD6C5A"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rPr>
          <w:rFonts w:ascii="Arial" w:eastAsia="Times New Roman" w:hAnsi="Arial" w:cs="Arial"/>
          <w:b/>
          <w:bCs/>
          <w:sz w:val="24"/>
          <w:szCs w:val="24"/>
        </w:rPr>
      </w:pPr>
      <w:r w:rsidRPr="00AC2206">
        <w:rPr>
          <w:rFonts w:ascii="Arial" w:eastAsia="Times New Roman" w:hAnsi="Arial" w:cs="Arial"/>
          <w:b/>
          <w:bCs/>
          <w:sz w:val="24"/>
          <w:szCs w:val="24"/>
        </w:rPr>
        <w:t xml:space="preserve">K 103303: Specijalna bolnica za ortopediju i rehabilitaciju </w:t>
      </w:r>
      <w:r>
        <w:rPr>
          <w:rFonts w:ascii="Arial" w:eastAsia="Times New Roman" w:hAnsi="Arial" w:cs="Arial"/>
          <w:b/>
          <w:bCs/>
          <w:sz w:val="24"/>
          <w:szCs w:val="24"/>
        </w:rPr>
        <w:t>„</w:t>
      </w:r>
      <w:r w:rsidRPr="00AC2206">
        <w:rPr>
          <w:rFonts w:ascii="Arial" w:eastAsia="Times New Roman" w:hAnsi="Arial" w:cs="Arial"/>
          <w:b/>
          <w:bCs/>
          <w:sz w:val="24"/>
          <w:szCs w:val="24"/>
        </w:rPr>
        <w:t>Martin Horvat</w:t>
      </w:r>
      <w:r>
        <w:rPr>
          <w:rFonts w:ascii="Arial" w:eastAsia="Times New Roman" w:hAnsi="Arial" w:cs="Arial"/>
          <w:b/>
          <w:bCs/>
          <w:sz w:val="24"/>
          <w:szCs w:val="24"/>
        </w:rPr>
        <w:t xml:space="preserve">“ Rovinj-Rovigno </w:t>
      </w:r>
      <w:r w:rsidRPr="00AC2206">
        <w:rPr>
          <w:rFonts w:ascii="Arial" w:eastAsia="Times New Roman" w:hAnsi="Arial" w:cs="Arial"/>
          <w:b/>
          <w:bCs/>
          <w:sz w:val="24"/>
          <w:szCs w:val="24"/>
        </w:rPr>
        <w:t>=  8</w:t>
      </w:r>
      <w:r>
        <w:rPr>
          <w:rFonts w:ascii="Arial" w:eastAsia="Times New Roman" w:hAnsi="Arial" w:cs="Arial"/>
          <w:b/>
          <w:bCs/>
          <w:sz w:val="24"/>
          <w:szCs w:val="24"/>
        </w:rPr>
        <w:t>1</w:t>
      </w:r>
      <w:r w:rsidRPr="00AC2206">
        <w:rPr>
          <w:rFonts w:ascii="Arial" w:eastAsia="Times New Roman" w:hAnsi="Arial" w:cs="Arial"/>
          <w:b/>
          <w:bCs/>
          <w:sz w:val="24"/>
          <w:szCs w:val="24"/>
        </w:rPr>
        <w:t>.</w:t>
      </w:r>
      <w:r>
        <w:rPr>
          <w:rFonts w:ascii="Arial" w:eastAsia="Times New Roman" w:hAnsi="Arial" w:cs="Arial"/>
          <w:b/>
          <w:bCs/>
          <w:sz w:val="24"/>
          <w:szCs w:val="24"/>
        </w:rPr>
        <w:t>8</w:t>
      </w:r>
      <w:r w:rsidRPr="00AC2206">
        <w:rPr>
          <w:rFonts w:ascii="Arial" w:eastAsia="Times New Roman" w:hAnsi="Arial" w:cs="Arial"/>
          <w:b/>
          <w:bCs/>
          <w:sz w:val="24"/>
          <w:szCs w:val="24"/>
        </w:rPr>
        <w:t>00,00 EUR</w:t>
      </w:r>
    </w:p>
    <w:p w14:paraId="68C294A1"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Zakonska osnova:</w:t>
      </w:r>
      <w:r w:rsidRPr="00AC2206">
        <w:rPr>
          <w:rFonts w:ascii="Arial" w:eastAsia="Times New Roman" w:hAnsi="Arial" w:cs="Arial"/>
          <w:sz w:val="24"/>
          <w:szCs w:val="24"/>
        </w:rPr>
        <w:t xml:space="preserve"> Zakon o lokalnoj i područnoj (regionalnoj) samoupravi.</w:t>
      </w:r>
    </w:p>
    <w:p w14:paraId="0BCCDFD3" w14:textId="77777777" w:rsidR="00E541EE" w:rsidRPr="00AC2206" w:rsidRDefault="00E541EE" w:rsidP="00E541EE">
      <w:pPr>
        <w:jc w:val="both"/>
        <w:rPr>
          <w:rFonts w:ascii="Arial" w:eastAsia="Arial" w:hAnsi="Arial" w:cs="Arial"/>
          <w:sz w:val="24"/>
          <w:szCs w:val="24"/>
        </w:rPr>
      </w:pPr>
      <w:r w:rsidRPr="00AC2206">
        <w:rPr>
          <w:rFonts w:ascii="Arial" w:eastAsia="Times New Roman" w:hAnsi="Arial" w:cs="Arial"/>
          <w:b/>
          <w:sz w:val="24"/>
          <w:szCs w:val="24"/>
        </w:rPr>
        <w:t>Opis:</w:t>
      </w:r>
      <w:r w:rsidRPr="00AC2206">
        <w:rPr>
          <w:rFonts w:ascii="Arial" w:eastAsia="Arial" w:hAnsi="Arial" w:cs="Arial"/>
          <w:sz w:val="24"/>
          <w:szCs w:val="24"/>
        </w:rPr>
        <w:t xml:space="preserve"> Grad Rovinj-Rovigno će zajedno sa Istarskom županijom i Specijalnom bolnicom za ortopediju i rehabilitaciju „Martin Horvat“ sudjelovati u financiranju ulaganja u obnovu i rekonstrukciju objekata bolnice sa ciljem podizanja standarda i kvalitete zdravstvene usluge te time i pružanja pacijentima kvalitetnu zdravstvenu zaštitu. Radi se o operacionalizaciji minimalnog obujma Strategije razvoja bolnice čime bi se adaptirale bolničke zgrade za što se ustanova zadužila. Procjena potrebnih ulaganja iznosi oko 2,5 milijuna </w:t>
      </w:r>
      <w:r>
        <w:rPr>
          <w:rFonts w:ascii="Arial" w:eastAsia="Arial" w:hAnsi="Arial" w:cs="Arial"/>
          <w:sz w:val="24"/>
          <w:szCs w:val="24"/>
        </w:rPr>
        <w:t>eura</w:t>
      </w:r>
      <w:r w:rsidRPr="00AC2206">
        <w:rPr>
          <w:rFonts w:ascii="Arial" w:eastAsia="Arial" w:hAnsi="Arial" w:cs="Arial"/>
          <w:sz w:val="24"/>
          <w:szCs w:val="24"/>
        </w:rPr>
        <w:t xml:space="preserve">, a obzirom na faznost realizacije ustanova je provela procedure izbora najpovoljnijih kreditora. Rok otplate kredita je 15 godina, a Grad bi financirao 1/3 obveze. </w:t>
      </w:r>
    </w:p>
    <w:p w14:paraId="4DB35461" w14:textId="77777777" w:rsidR="00E541EE" w:rsidRPr="00AC2206" w:rsidRDefault="00E541EE" w:rsidP="00E541EE">
      <w:pPr>
        <w:jc w:val="both"/>
        <w:rPr>
          <w:rFonts w:ascii="Arial" w:eastAsia="Times New Roman" w:hAnsi="Arial" w:cs="Arial"/>
          <w:b/>
          <w:bCs/>
          <w:sz w:val="24"/>
          <w:szCs w:val="24"/>
        </w:rPr>
      </w:pPr>
      <w:r w:rsidRPr="00AC2206">
        <w:rPr>
          <w:rFonts w:ascii="Arial" w:eastAsia="Times New Roman" w:hAnsi="Arial" w:cs="Arial"/>
          <w:b/>
          <w:bCs/>
          <w:sz w:val="24"/>
          <w:szCs w:val="24"/>
        </w:rPr>
        <w:t xml:space="preserve">Opći cilj: </w:t>
      </w:r>
      <w:r w:rsidRPr="00AC2206">
        <w:rPr>
          <w:rFonts w:ascii="Arial" w:eastAsia="Times New Roman" w:hAnsi="Arial" w:cs="Arial"/>
          <w:bCs/>
          <w:sz w:val="24"/>
          <w:szCs w:val="24"/>
        </w:rPr>
        <w:t>veća kvaliteta zdravstvenih usluga i viši standard uvjeta rada Bolnice.</w:t>
      </w:r>
    </w:p>
    <w:p w14:paraId="73B8E5F3"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Pokazatelj uspješnosti</w:t>
      </w:r>
      <w:r w:rsidRPr="00AC2206">
        <w:rPr>
          <w:rFonts w:ascii="Arial" w:eastAsia="Times New Roman" w:hAnsi="Arial" w:cs="Arial"/>
          <w:b/>
          <w:sz w:val="24"/>
          <w:szCs w:val="24"/>
        </w:rPr>
        <w:t xml:space="preserve">: </w:t>
      </w:r>
      <w:r w:rsidRPr="00AC2206">
        <w:rPr>
          <w:rFonts w:ascii="Arial" w:eastAsia="Times New Roman" w:hAnsi="Arial" w:cs="Arial"/>
          <w:sz w:val="24"/>
          <w:szCs w:val="24"/>
        </w:rPr>
        <w:t>izvršavanje preuzete obveze.</w:t>
      </w:r>
    </w:p>
    <w:p w14:paraId="175A9DE1" w14:textId="77777777" w:rsidR="00E541EE" w:rsidRPr="00AC2206" w:rsidRDefault="00E541EE" w:rsidP="00E541EE">
      <w:pPr>
        <w:jc w:val="both"/>
        <w:rPr>
          <w:rFonts w:ascii="Arial" w:eastAsia="Times New Roman" w:hAnsi="Arial" w:cs="Arial"/>
          <w:sz w:val="24"/>
          <w:szCs w:val="24"/>
        </w:rPr>
      </w:pPr>
    </w:p>
    <w:p w14:paraId="0A678B4C"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rPr>
          <w:rFonts w:ascii="Arial" w:eastAsia="Times New Roman" w:hAnsi="Arial" w:cs="Arial"/>
          <w:b/>
          <w:bCs/>
          <w:sz w:val="24"/>
          <w:szCs w:val="24"/>
        </w:rPr>
      </w:pPr>
      <w:r w:rsidRPr="00AC2206">
        <w:rPr>
          <w:rFonts w:ascii="Arial" w:eastAsia="Times New Roman" w:hAnsi="Arial" w:cs="Arial"/>
          <w:b/>
          <w:bCs/>
          <w:sz w:val="24"/>
          <w:szCs w:val="24"/>
        </w:rPr>
        <w:t xml:space="preserve">K 103305: Specijalna bolnica za ortopediju i rehabilitaciju </w:t>
      </w:r>
      <w:r>
        <w:rPr>
          <w:rFonts w:ascii="Arial" w:eastAsia="Times New Roman" w:hAnsi="Arial" w:cs="Arial"/>
          <w:b/>
          <w:bCs/>
          <w:sz w:val="24"/>
          <w:szCs w:val="24"/>
        </w:rPr>
        <w:t>„</w:t>
      </w:r>
      <w:r w:rsidRPr="00AC2206">
        <w:rPr>
          <w:rFonts w:ascii="Arial" w:eastAsia="Times New Roman" w:hAnsi="Arial" w:cs="Arial"/>
          <w:b/>
          <w:bCs/>
          <w:sz w:val="24"/>
          <w:szCs w:val="24"/>
        </w:rPr>
        <w:t>Martin Horvat</w:t>
      </w:r>
      <w:r>
        <w:rPr>
          <w:rFonts w:ascii="Arial" w:eastAsia="Times New Roman" w:hAnsi="Arial" w:cs="Arial"/>
          <w:b/>
          <w:bCs/>
          <w:sz w:val="24"/>
          <w:szCs w:val="24"/>
        </w:rPr>
        <w:t>“ Rovinj-Rovigno_D</w:t>
      </w:r>
      <w:r w:rsidRPr="00AC2206">
        <w:rPr>
          <w:rFonts w:ascii="Arial" w:eastAsia="Times New Roman" w:hAnsi="Arial" w:cs="Arial"/>
          <w:b/>
          <w:bCs/>
          <w:sz w:val="24"/>
          <w:szCs w:val="24"/>
        </w:rPr>
        <w:t>ječji odjel =  1</w:t>
      </w:r>
      <w:r>
        <w:rPr>
          <w:rFonts w:ascii="Arial" w:eastAsia="Times New Roman" w:hAnsi="Arial" w:cs="Arial"/>
          <w:b/>
          <w:bCs/>
          <w:sz w:val="24"/>
          <w:szCs w:val="24"/>
        </w:rPr>
        <w:t>8</w:t>
      </w:r>
      <w:r w:rsidRPr="00AC2206">
        <w:rPr>
          <w:rFonts w:ascii="Arial" w:eastAsia="Times New Roman" w:hAnsi="Arial" w:cs="Arial"/>
          <w:b/>
          <w:bCs/>
          <w:sz w:val="24"/>
          <w:szCs w:val="24"/>
        </w:rPr>
        <w:t>.</w:t>
      </w:r>
      <w:r>
        <w:rPr>
          <w:rFonts w:ascii="Arial" w:eastAsia="Times New Roman" w:hAnsi="Arial" w:cs="Arial"/>
          <w:b/>
          <w:bCs/>
          <w:sz w:val="24"/>
          <w:szCs w:val="24"/>
        </w:rPr>
        <w:t>0</w:t>
      </w:r>
      <w:r w:rsidRPr="00AC2206">
        <w:rPr>
          <w:rFonts w:ascii="Arial" w:eastAsia="Times New Roman" w:hAnsi="Arial" w:cs="Arial"/>
          <w:b/>
          <w:bCs/>
          <w:sz w:val="24"/>
          <w:szCs w:val="24"/>
        </w:rPr>
        <w:t>00,00 EUR</w:t>
      </w:r>
    </w:p>
    <w:p w14:paraId="41578BD2"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Zakonska osnova:</w:t>
      </w:r>
      <w:r w:rsidRPr="00AC2206">
        <w:rPr>
          <w:rFonts w:ascii="Arial" w:eastAsia="Times New Roman" w:hAnsi="Arial" w:cs="Arial"/>
          <w:sz w:val="24"/>
          <w:szCs w:val="24"/>
        </w:rPr>
        <w:t xml:space="preserve"> Zakon o lokalnoj i područnoj (regionalnoj) samoupravi.</w:t>
      </w:r>
    </w:p>
    <w:p w14:paraId="569BCD61" w14:textId="77777777" w:rsidR="00E541EE" w:rsidRPr="00AC2206" w:rsidRDefault="00E541EE" w:rsidP="00E541EE">
      <w:pPr>
        <w:autoSpaceDE w:val="0"/>
        <w:autoSpaceDN w:val="0"/>
        <w:jc w:val="both"/>
        <w:rPr>
          <w:rFonts w:ascii="Arial" w:hAnsi="Arial" w:cs="Arial"/>
        </w:rPr>
      </w:pPr>
      <w:r w:rsidRPr="00AC2206">
        <w:rPr>
          <w:rFonts w:ascii="Arial" w:eastAsia="Times New Roman" w:hAnsi="Arial" w:cs="Arial"/>
          <w:b/>
          <w:sz w:val="24"/>
          <w:szCs w:val="24"/>
        </w:rPr>
        <w:t>Opis:</w:t>
      </w:r>
      <w:r w:rsidRPr="00AC2206">
        <w:rPr>
          <w:rFonts w:ascii="Arial" w:eastAsia="Arial" w:hAnsi="Arial" w:cs="Arial"/>
          <w:sz w:val="24"/>
          <w:szCs w:val="24"/>
        </w:rPr>
        <w:t xml:space="preserve"> </w:t>
      </w:r>
      <w:r w:rsidRPr="00AC2206">
        <w:rPr>
          <w:rFonts w:ascii="Arial" w:hAnsi="Arial" w:cs="Arial"/>
          <w:sz w:val="24"/>
          <w:szCs w:val="24"/>
        </w:rPr>
        <w:t xml:space="preserve">Skupština Istarske županije na svojoj sjednici 3. studenog 2022. godine Zaključkom KLASA: 510-06/22-01/1 URBROJ: 216301/3-22-06 prihvatila je prijedlog Sporazuma o sufinanciranju kreditne obaveze za adaptaciju i opremanje Odjela za dječju rehabilitaciju u Specijalnoj bolnici za ortopediju i rehabilitaciju „Martin Horvat“ Rovinj-Rovigno (Službene novine Istarske županije, br. 29/22) u visini od 2.322.649,15 </w:t>
      </w:r>
      <w:r>
        <w:rPr>
          <w:rFonts w:ascii="Arial" w:hAnsi="Arial" w:cs="Arial"/>
          <w:sz w:val="24"/>
          <w:szCs w:val="24"/>
        </w:rPr>
        <w:t>eura</w:t>
      </w:r>
      <w:r w:rsidRPr="00AC2206">
        <w:rPr>
          <w:rFonts w:ascii="Arial" w:hAnsi="Arial" w:cs="Arial"/>
          <w:sz w:val="24"/>
          <w:szCs w:val="24"/>
        </w:rPr>
        <w:t xml:space="preserve">  kao i procijenjenu visinu obveze za otplatu kredita. Sporazumom je predviđeno da sve jedinice lokalne samouprave i Istarska županija preuzmu dio obaveze sufinanciranja kredita. Grad Rovinj-Rovigno u razdoblju od 12 godina prema procijenjenoj vrijednosti ima obvezu sufinanciranja kredita u iznosu od 177.290,54 </w:t>
      </w:r>
      <w:r>
        <w:rPr>
          <w:rFonts w:ascii="Arial" w:hAnsi="Arial" w:cs="Arial"/>
          <w:sz w:val="24"/>
          <w:szCs w:val="24"/>
        </w:rPr>
        <w:t>eura</w:t>
      </w:r>
      <w:r w:rsidRPr="00AC2206">
        <w:rPr>
          <w:rFonts w:ascii="Arial" w:hAnsi="Arial" w:cs="Arial"/>
        </w:rPr>
        <w:t>.</w:t>
      </w:r>
    </w:p>
    <w:p w14:paraId="3222F721" w14:textId="77777777" w:rsidR="00E541EE" w:rsidRPr="00AC2206" w:rsidRDefault="00E541EE" w:rsidP="00E541EE">
      <w:pPr>
        <w:autoSpaceDE w:val="0"/>
        <w:autoSpaceDN w:val="0"/>
        <w:jc w:val="both"/>
        <w:rPr>
          <w:rFonts w:ascii="Arial" w:hAnsi="Arial" w:cs="Arial"/>
        </w:rPr>
      </w:pPr>
      <w:r w:rsidRPr="00AC2206">
        <w:rPr>
          <w:rFonts w:ascii="Arial" w:eastAsia="Times New Roman" w:hAnsi="Arial" w:cs="Arial"/>
          <w:b/>
          <w:bCs/>
          <w:sz w:val="24"/>
          <w:szCs w:val="24"/>
        </w:rPr>
        <w:t xml:space="preserve">Opći cilj: </w:t>
      </w:r>
      <w:r w:rsidRPr="00AC2206">
        <w:rPr>
          <w:rFonts w:ascii="Arial" w:eastAsia="Times New Roman" w:hAnsi="Arial" w:cs="Arial"/>
          <w:bCs/>
          <w:sz w:val="24"/>
          <w:szCs w:val="24"/>
        </w:rPr>
        <w:t>veća kvaliteta zdravstvenih usluga i viši standard uvjeta rada Bolnice.</w:t>
      </w:r>
    </w:p>
    <w:p w14:paraId="026F6E41" w14:textId="77777777" w:rsidR="00E541EE"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Pokazatelj uspješnosti</w:t>
      </w:r>
      <w:r w:rsidRPr="00AC2206">
        <w:rPr>
          <w:rFonts w:ascii="Arial" w:eastAsia="Times New Roman" w:hAnsi="Arial" w:cs="Arial"/>
          <w:b/>
          <w:sz w:val="24"/>
          <w:szCs w:val="24"/>
        </w:rPr>
        <w:t xml:space="preserve">: </w:t>
      </w:r>
      <w:r w:rsidRPr="00AC2206">
        <w:rPr>
          <w:rFonts w:ascii="Arial" w:eastAsia="Times New Roman" w:hAnsi="Arial" w:cs="Arial"/>
          <w:sz w:val="24"/>
          <w:szCs w:val="24"/>
        </w:rPr>
        <w:t>izvršavanje preuzete obveze.</w:t>
      </w:r>
    </w:p>
    <w:p w14:paraId="07E44132" w14:textId="77777777" w:rsidR="00E541EE" w:rsidRPr="00AC2206" w:rsidRDefault="00E541EE" w:rsidP="00E541EE">
      <w:pPr>
        <w:jc w:val="both"/>
        <w:rPr>
          <w:rFonts w:ascii="Arial" w:eastAsia="Times New Roman" w:hAnsi="Arial" w:cs="Arial"/>
          <w:sz w:val="24"/>
          <w:szCs w:val="24"/>
        </w:rPr>
      </w:pPr>
    </w:p>
    <w:p w14:paraId="5AA5D23A"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AC2206">
        <w:rPr>
          <w:rFonts w:ascii="Arial" w:eastAsia="Times New Roman" w:hAnsi="Arial" w:cs="Arial"/>
          <w:b/>
          <w:bCs/>
          <w:sz w:val="24"/>
          <w:szCs w:val="24"/>
        </w:rPr>
        <w:t>A 103309: Tim za ranu intervenciju za djecu sa neurorizičnim teškoćama u razvoju = 6.650,00 EUR</w:t>
      </w:r>
    </w:p>
    <w:p w14:paraId="267ED90F" w14:textId="77777777" w:rsidR="00E541EE" w:rsidRPr="00AC2206" w:rsidRDefault="00E541EE" w:rsidP="00E541EE">
      <w:pPr>
        <w:jc w:val="both"/>
        <w:rPr>
          <w:rFonts w:ascii="Arial" w:eastAsia="Times New Roman" w:hAnsi="Arial" w:cs="Arial"/>
          <w:b/>
          <w:sz w:val="24"/>
          <w:szCs w:val="24"/>
        </w:rPr>
      </w:pPr>
      <w:r w:rsidRPr="00AC2206">
        <w:rPr>
          <w:rFonts w:ascii="Arial" w:eastAsia="Times New Roman" w:hAnsi="Arial" w:cs="Arial"/>
          <w:b/>
          <w:bCs/>
          <w:sz w:val="24"/>
          <w:szCs w:val="24"/>
        </w:rPr>
        <w:t>Zakonska osnova:</w:t>
      </w:r>
      <w:r w:rsidRPr="00AC2206">
        <w:rPr>
          <w:rFonts w:ascii="Arial" w:eastAsia="Times New Roman" w:hAnsi="Arial" w:cs="Arial"/>
          <w:sz w:val="24"/>
          <w:szCs w:val="24"/>
        </w:rPr>
        <w:t xml:space="preserve"> Zakon o lokalnoj i područnoj (regionalnoj) </w:t>
      </w:r>
      <w:r w:rsidRPr="006521EF">
        <w:rPr>
          <w:rFonts w:ascii="Arial" w:eastAsia="Times New Roman" w:hAnsi="Arial" w:cs="Arial"/>
          <w:sz w:val="24"/>
          <w:szCs w:val="24"/>
        </w:rPr>
        <w:t>samoupravi.</w:t>
      </w:r>
    </w:p>
    <w:p w14:paraId="6B59ED29"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sz w:val="24"/>
          <w:szCs w:val="24"/>
        </w:rPr>
        <w:t>Opis:</w:t>
      </w:r>
      <w:r w:rsidRPr="00AC2206">
        <w:rPr>
          <w:rFonts w:ascii="Arial" w:eastAsia="Times New Roman" w:hAnsi="Arial" w:cs="Arial"/>
          <w:sz w:val="24"/>
          <w:szCs w:val="24"/>
        </w:rPr>
        <w:t xml:space="preserve"> u sklopu Specijalne bolnice za ortopediju i rehabilitaciju „Martin Horvat“ Rovinj-Rovigno u tijeku je osnivanje Centra za ranu intervenciju u djetinjstvu čija bi svrha trebala biti pružanje efikasne i sveobuhvatne podrške djeci i obiteljima od njihove najranije dobi. </w:t>
      </w:r>
    </w:p>
    <w:p w14:paraId="73EC407E"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sz w:val="24"/>
          <w:szCs w:val="24"/>
        </w:rPr>
        <w:t xml:space="preserve">Rana intervencija je organizirana i planski provođena rehabilitacija koja obuhvaća pružanje edukacijske, terapijske i savjetodavne usluge djeci s odstupanjima u razvoju, razvojnim čimbenicima rizika i utvrđenim razvojnim teškoćama, kao i njihovim obiteljima, a koja se provodi s ciljem unapređenja djetetova zdravlja kako bi se razvojne smetnje svele na najmanju moguću mjeru, a o čemu se brine stručni tim terapeuta kojeg čini logoped, edukacijski rehabilitator, radni terapeut i psiholog. </w:t>
      </w:r>
    </w:p>
    <w:p w14:paraId="497312B1"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sz w:val="24"/>
          <w:szCs w:val="24"/>
        </w:rPr>
        <w:t>Zbog nedostatka stručnog kadra organiziranog u homogeni tim koji bi djelovao unutar jedne javnozdravstvene ustanove do sada nije bilo moguće ove postupke obaviti preko uputnice HZZO-a na području Istarske županije pa i Primorsko goranske županije. Specijalna bolnica Rovinj-Rovigno je navedeni kadar pronašla i osnovala stručni Tim kojeg čine pedijatar - neonatolog, psiholog, logoped, edukacijski rehabilitator i radni terapeut pod nadzorom specijaliste fizikalne medicine i rehabilitacije, te neuropedijatrijski nadzor Dječje bolnice Srebrnjak, a koji može udovoljiti ovim zahtjevnim uvjetima za rehabilitaciju neurorizične djece.</w:t>
      </w:r>
    </w:p>
    <w:p w14:paraId="5EA0DFF3"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sz w:val="24"/>
          <w:szCs w:val="24"/>
        </w:rPr>
        <w:t>U samom začetku svoga rada Tim ostvaruje izniman interes, što potvrđuje veliki broj prijava, no predviđena financijska sredstva neće biti dostatna za zadovoljenje svih potreba rada Tima te se iz tog razloga osiguravaju sredstva iz gradskog proračuna.</w:t>
      </w:r>
    </w:p>
    <w:p w14:paraId="5CBC4A56" w14:textId="77777777" w:rsidR="00E541EE" w:rsidRPr="00AC2206" w:rsidRDefault="00E541EE" w:rsidP="00E541EE">
      <w:pPr>
        <w:jc w:val="both"/>
        <w:rPr>
          <w:rFonts w:ascii="Arial" w:eastAsia="Times New Roman" w:hAnsi="Arial" w:cs="Arial"/>
          <w:b/>
          <w:bCs/>
          <w:sz w:val="24"/>
          <w:szCs w:val="24"/>
        </w:rPr>
      </w:pPr>
      <w:r w:rsidRPr="00AC2206">
        <w:rPr>
          <w:rFonts w:ascii="Arial" w:eastAsia="Times New Roman" w:hAnsi="Arial" w:cs="Arial"/>
          <w:b/>
          <w:bCs/>
          <w:sz w:val="24"/>
          <w:szCs w:val="24"/>
        </w:rPr>
        <w:t xml:space="preserve">Opći cilj: </w:t>
      </w:r>
      <w:r w:rsidRPr="00AC2206">
        <w:rPr>
          <w:rFonts w:ascii="Arial" w:eastAsia="Times New Roman" w:hAnsi="Arial" w:cs="Arial"/>
          <w:bCs/>
          <w:sz w:val="24"/>
          <w:szCs w:val="24"/>
        </w:rPr>
        <w:t>unapređenje zdravlja djece sa razvojnim teškoćama.</w:t>
      </w:r>
    </w:p>
    <w:p w14:paraId="3E7CB602"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Pokazatelj uspješnosti</w:t>
      </w:r>
      <w:r w:rsidRPr="00AC2206">
        <w:rPr>
          <w:rFonts w:ascii="Arial" w:eastAsia="Times New Roman" w:hAnsi="Arial" w:cs="Arial"/>
          <w:b/>
          <w:sz w:val="24"/>
          <w:szCs w:val="24"/>
        </w:rPr>
        <w:t xml:space="preserve">: </w:t>
      </w:r>
      <w:r w:rsidRPr="00AC2206">
        <w:rPr>
          <w:rFonts w:ascii="Arial" w:eastAsia="Times New Roman" w:hAnsi="Arial" w:cs="Arial"/>
          <w:sz w:val="24"/>
          <w:szCs w:val="24"/>
        </w:rPr>
        <w:t>kontinuirani rad Tima i obuhvat korisnika.</w:t>
      </w:r>
    </w:p>
    <w:p w14:paraId="515F52BA" w14:textId="77777777" w:rsidR="00E541EE" w:rsidRPr="00AC2206" w:rsidRDefault="00E541EE" w:rsidP="00E541EE">
      <w:pPr>
        <w:jc w:val="both"/>
        <w:rPr>
          <w:rFonts w:ascii="Arial" w:eastAsia="Times New Roman" w:hAnsi="Arial" w:cs="Arial"/>
          <w:sz w:val="24"/>
          <w:szCs w:val="24"/>
        </w:rPr>
      </w:pPr>
    </w:p>
    <w:p w14:paraId="50F587E8"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AC2206">
        <w:rPr>
          <w:rFonts w:ascii="Arial" w:eastAsia="Times New Roman" w:hAnsi="Arial" w:cs="Arial"/>
          <w:b/>
          <w:bCs/>
          <w:sz w:val="24"/>
          <w:szCs w:val="24"/>
        </w:rPr>
        <w:t>A 103310: Javnozdravstvena manifestacija „Hoditi i zdravi biti“ = 4.</w:t>
      </w:r>
      <w:r>
        <w:rPr>
          <w:rFonts w:ascii="Arial" w:eastAsia="Times New Roman" w:hAnsi="Arial" w:cs="Arial"/>
          <w:b/>
          <w:bCs/>
          <w:sz w:val="24"/>
          <w:szCs w:val="24"/>
        </w:rPr>
        <w:t>8</w:t>
      </w:r>
      <w:r w:rsidRPr="00AC2206">
        <w:rPr>
          <w:rFonts w:ascii="Arial" w:eastAsia="Times New Roman" w:hAnsi="Arial" w:cs="Arial"/>
          <w:b/>
          <w:bCs/>
          <w:sz w:val="24"/>
          <w:szCs w:val="24"/>
        </w:rPr>
        <w:t>00,00 EUR</w:t>
      </w:r>
    </w:p>
    <w:p w14:paraId="766B9D0E" w14:textId="77777777" w:rsidR="00E541EE" w:rsidRPr="00AC2206" w:rsidRDefault="00E541EE" w:rsidP="00E541EE">
      <w:pPr>
        <w:jc w:val="both"/>
        <w:rPr>
          <w:rFonts w:ascii="Arial" w:eastAsia="Times New Roman" w:hAnsi="Arial" w:cs="Arial"/>
          <w:b/>
          <w:sz w:val="24"/>
          <w:szCs w:val="24"/>
        </w:rPr>
      </w:pPr>
      <w:r w:rsidRPr="00AC2206">
        <w:rPr>
          <w:rFonts w:ascii="Arial" w:eastAsia="Times New Roman" w:hAnsi="Arial" w:cs="Arial"/>
          <w:b/>
          <w:bCs/>
          <w:sz w:val="24"/>
          <w:szCs w:val="24"/>
        </w:rPr>
        <w:t>Zakonska osnova:</w:t>
      </w:r>
      <w:r w:rsidRPr="00AC2206">
        <w:rPr>
          <w:rFonts w:ascii="Arial" w:eastAsia="Times New Roman" w:hAnsi="Arial" w:cs="Arial"/>
          <w:sz w:val="24"/>
          <w:szCs w:val="24"/>
        </w:rPr>
        <w:t xml:space="preserve"> Zakon o lokalnoj i područnoj (regionalnoj) samoupravi</w:t>
      </w:r>
    </w:p>
    <w:p w14:paraId="197510C2"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sz w:val="24"/>
          <w:szCs w:val="24"/>
        </w:rPr>
        <w:t>Opis:</w:t>
      </w:r>
      <w:r w:rsidRPr="00AC2206">
        <w:rPr>
          <w:rFonts w:ascii="Arial" w:eastAsia="Times New Roman" w:hAnsi="Arial" w:cs="Arial"/>
          <w:sz w:val="24"/>
          <w:szCs w:val="24"/>
        </w:rPr>
        <w:t xml:space="preserve"> radi se o javnozdravstvenoj manifestaciji koju organizira Nastavni zavod za javno zdravstvo  u suradnji sa gradovima i pojedinim općinama sa područja istarske županije. Ova manifestacija okuplja veliki broj građana svih dobnih skupina te značajno doprinosi promociji zdravlja i zdravih stilova života.</w:t>
      </w:r>
    </w:p>
    <w:p w14:paraId="3B10A0E4" w14:textId="77777777" w:rsidR="00E541EE" w:rsidRPr="00AC2206" w:rsidRDefault="00E541EE" w:rsidP="00E541EE">
      <w:pPr>
        <w:jc w:val="both"/>
        <w:rPr>
          <w:rFonts w:ascii="Arial" w:eastAsia="Times New Roman" w:hAnsi="Arial" w:cs="Arial"/>
          <w:b/>
          <w:bCs/>
          <w:sz w:val="24"/>
          <w:szCs w:val="24"/>
        </w:rPr>
      </w:pPr>
      <w:r w:rsidRPr="00AC2206">
        <w:rPr>
          <w:rFonts w:ascii="Arial" w:eastAsia="Times New Roman" w:hAnsi="Arial" w:cs="Arial"/>
          <w:b/>
          <w:sz w:val="24"/>
          <w:szCs w:val="24"/>
        </w:rPr>
        <w:t>Opći cilj:</w:t>
      </w:r>
      <w:r w:rsidRPr="00AC2206">
        <w:rPr>
          <w:rFonts w:ascii="Arial" w:eastAsia="Times New Roman" w:hAnsi="Arial" w:cs="Arial"/>
          <w:sz w:val="24"/>
          <w:szCs w:val="24"/>
        </w:rPr>
        <w:t xml:space="preserve"> promocija zdravlja i zdravih životnih stilova</w:t>
      </w:r>
      <w:r>
        <w:rPr>
          <w:rFonts w:ascii="Arial" w:eastAsia="Times New Roman" w:hAnsi="Arial" w:cs="Arial"/>
          <w:sz w:val="24"/>
          <w:szCs w:val="24"/>
        </w:rPr>
        <w:t>.</w:t>
      </w:r>
    </w:p>
    <w:p w14:paraId="07F9306F" w14:textId="77777777" w:rsidR="00E541EE"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Pokazatelj uspješnosti</w:t>
      </w:r>
      <w:r w:rsidRPr="00AC2206">
        <w:rPr>
          <w:rFonts w:ascii="Arial" w:eastAsia="Times New Roman" w:hAnsi="Arial" w:cs="Arial"/>
          <w:b/>
          <w:sz w:val="24"/>
          <w:szCs w:val="24"/>
        </w:rPr>
        <w:t xml:space="preserve">: </w:t>
      </w:r>
      <w:r w:rsidRPr="00AC2206">
        <w:rPr>
          <w:rFonts w:ascii="Arial" w:eastAsia="Times New Roman" w:hAnsi="Arial" w:cs="Arial"/>
          <w:sz w:val="24"/>
          <w:szCs w:val="24"/>
        </w:rPr>
        <w:t xml:space="preserve"> broj sudionika</w:t>
      </w:r>
      <w:r>
        <w:rPr>
          <w:rFonts w:ascii="Arial" w:eastAsia="Times New Roman" w:hAnsi="Arial" w:cs="Arial"/>
          <w:sz w:val="24"/>
          <w:szCs w:val="24"/>
        </w:rPr>
        <w:t>.</w:t>
      </w:r>
    </w:p>
    <w:p w14:paraId="7DC3D17C" w14:textId="77777777" w:rsidR="00E541EE" w:rsidRDefault="00E541EE" w:rsidP="00E541EE">
      <w:pPr>
        <w:jc w:val="both"/>
        <w:rPr>
          <w:rFonts w:ascii="Arial" w:eastAsia="Times New Roman" w:hAnsi="Arial" w:cs="Arial"/>
          <w:sz w:val="24"/>
          <w:szCs w:val="24"/>
        </w:rPr>
      </w:pPr>
    </w:p>
    <w:p w14:paraId="5C4886F8" w14:textId="77777777" w:rsidR="00E541EE" w:rsidRDefault="00E541EE" w:rsidP="00E541EE">
      <w:pPr>
        <w:pBdr>
          <w:top w:val="single" w:sz="4" w:space="1" w:color="auto"/>
          <w:left w:val="single" w:sz="4" w:space="4" w:color="auto"/>
          <w:bottom w:val="single" w:sz="4" w:space="1" w:color="auto"/>
          <w:right w:val="single" w:sz="4" w:space="4" w:color="auto"/>
        </w:pBdr>
        <w:shd w:val="clear" w:color="auto" w:fill="EDEDED" w:themeFill="accent3" w:themeFillTint="33"/>
        <w:jc w:val="both"/>
        <w:rPr>
          <w:rFonts w:ascii="Arial" w:eastAsia="Times New Roman" w:hAnsi="Arial" w:cs="Arial"/>
          <w:b/>
          <w:bCs/>
          <w:sz w:val="24"/>
          <w:szCs w:val="24"/>
        </w:rPr>
      </w:pPr>
      <w:r w:rsidRPr="00AC2206">
        <w:rPr>
          <w:rFonts w:ascii="Arial" w:eastAsia="Times New Roman" w:hAnsi="Arial" w:cs="Arial"/>
          <w:b/>
          <w:bCs/>
          <w:sz w:val="24"/>
          <w:szCs w:val="24"/>
        </w:rPr>
        <w:t>A 103312: Sufinanciranje smještaja defic</w:t>
      </w:r>
      <w:r>
        <w:rPr>
          <w:rFonts w:ascii="Arial" w:eastAsia="Times New Roman" w:hAnsi="Arial" w:cs="Arial"/>
          <w:b/>
          <w:bCs/>
          <w:sz w:val="24"/>
          <w:szCs w:val="24"/>
        </w:rPr>
        <w:t>itarnog</w:t>
      </w:r>
      <w:r w:rsidRPr="00AC2206">
        <w:rPr>
          <w:rFonts w:ascii="Arial" w:eastAsia="Times New Roman" w:hAnsi="Arial" w:cs="Arial"/>
          <w:b/>
          <w:bCs/>
          <w:sz w:val="24"/>
          <w:szCs w:val="24"/>
        </w:rPr>
        <w:t xml:space="preserve"> kadra u zdravstvu </w:t>
      </w:r>
    </w:p>
    <w:p w14:paraId="656EBAEC"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DEDED" w:themeFill="accent3" w:themeFillTint="33"/>
        <w:jc w:val="both"/>
        <w:rPr>
          <w:rFonts w:ascii="Arial" w:eastAsia="Times New Roman" w:hAnsi="Arial" w:cs="Arial"/>
          <w:b/>
          <w:bCs/>
          <w:sz w:val="24"/>
          <w:szCs w:val="24"/>
        </w:rPr>
      </w:pPr>
      <w:r w:rsidRPr="00AC2206">
        <w:rPr>
          <w:rFonts w:ascii="Arial" w:eastAsia="Times New Roman" w:hAnsi="Arial" w:cs="Arial"/>
          <w:b/>
          <w:bCs/>
          <w:sz w:val="24"/>
          <w:szCs w:val="24"/>
        </w:rPr>
        <w:t>= 28.800,00 EUR</w:t>
      </w:r>
    </w:p>
    <w:p w14:paraId="6405DFFA" w14:textId="77777777" w:rsidR="00E541EE" w:rsidRPr="00AC2206" w:rsidRDefault="00E541EE" w:rsidP="00E541EE">
      <w:pPr>
        <w:jc w:val="both"/>
        <w:rPr>
          <w:rFonts w:ascii="Arial" w:hAnsi="Arial" w:cs="Arial"/>
          <w:sz w:val="24"/>
          <w:szCs w:val="24"/>
        </w:rPr>
      </w:pPr>
      <w:r w:rsidRPr="00AC2206">
        <w:rPr>
          <w:rFonts w:ascii="Arial" w:hAnsi="Arial" w:cs="Arial"/>
          <w:b/>
          <w:bCs/>
          <w:sz w:val="24"/>
          <w:szCs w:val="24"/>
        </w:rPr>
        <w:t>Zakonska osnova:</w:t>
      </w:r>
      <w:r w:rsidRPr="00AC2206">
        <w:rPr>
          <w:rFonts w:ascii="Arial" w:hAnsi="Arial" w:cs="Arial"/>
          <w:sz w:val="24"/>
          <w:szCs w:val="24"/>
        </w:rPr>
        <w:t xml:space="preserve"> Zakon o zdravstvenoj zaštiti, Zakon o lokalnoj i područnoj (regionalnoj) samoupravi. </w:t>
      </w:r>
    </w:p>
    <w:p w14:paraId="506E5768" w14:textId="77777777" w:rsidR="00E541EE" w:rsidRPr="00AC2206" w:rsidRDefault="00E541EE" w:rsidP="00E541EE">
      <w:pPr>
        <w:jc w:val="both"/>
        <w:rPr>
          <w:rFonts w:ascii="Arial" w:hAnsi="Arial" w:cs="Arial"/>
          <w:sz w:val="24"/>
          <w:szCs w:val="24"/>
        </w:rPr>
      </w:pPr>
      <w:r w:rsidRPr="00AC2206">
        <w:rPr>
          <w:rFonts w:ascii="Arial" w:hAnsi="Arial" w:cs="Arial"/>
          <w:b/>
          <w:bCs/>
          <w:sz w:val="24"/>
          <w:szCs w:val="24"/>
        </w:rPr>
        <w:t>Opis:</w:t>
      </w:r>
      <w:r w:rsidRPr="00AC2206">
        <w:rPr>
          <w:rFonts w:ascii="Arial" w:hAnsi="Arial" w:cs="Arial"/>
          <w:sz w:val="24"/>
          <w:szCs w:val="24"/>
        </w:rPr>
        <w:t xml:space="preserve"> sufinanciranje dijela rashoda za smještaj deficitarnih kadrova u zdravstvu, a sve sukladno Programu Istarske županije za zadržavanje postojećih i privlačenje novih zdravstvenih djelatnika. </w:t>
      </w:r>
    </w:p>
    <w:p w14:paraId="341C059A" w14:textId="77777777" w:rsidR="00E541EE" w:rsidRPr="00AC2206" w:rsidRDefault="00E541EE" w:rsidP="00E541EE">
      <w:pPr>
        <w:jc w:val="both"/>
        <w:rPr>
          <w:rFonts w:ascii="Arial" w:hAnsi="Arial" w:cs="Arial"/>
          <w:sz w:val="24"/>
          <w:szCs w:val="24"/>
        </w:rPr>
      </w:pPr>
      <w:r w:rsidRPr="00AC2206">
        <w:rPr>
          <w:rFonts w:ascii="Arial" w:hAnsi="Arial" w:cs="Arial"/>
          <w:b/>
          <w:bCs/>
          <w:sz w:val="24"/>
          <w:szCs w:val="24"/>
        </w:rPr>
        <w:t>Opći cilj:</w:t>
      </w:r>
      <w:r w:rsidRPr="00AC2206">
        <w:rPr>
          <w:rFonts w:ascii="Arial" w:hAnsi="Arial" w:cs="Arial"/>
          <w:sz w:val="24"/>
          <w:szCs w:val="24"/>
        </w:rPr>
        <w:t xml:space="preserve"> osiguravanje zdravstvene zaštite stanovnika. </w:t>
      </w:r>
    </w:p>
    <w:p w14:paraId="320FB019" w14:textId="77777777" w:rsidR="00E541EE" w:rsidRDefault="00E541EE" w:rsidP="00E541EE">
      <w:pPr>
        <w:jc w:val="both"/>
        <w:rPr>
          <w:rFonts w:ascii="Arial" w:hAnsi="Arial" w:cs="Arial"/>
          <w:sz w:val="24"/>
          <w:szCs w:val="24"/>
        </w:rPr>
      </w:pPr>
      <w:r w:rsidRPr="00AC2206">
        <w:rPr>
          <w:rFonts w:ascii="Arial" w:hAnsi="Arial" w:cs="Arial"/>
          <w:b/>
          <w:bCs/>
          <w:sz w:val="24"/>
          <w:szCs w:val="24"/>
        </w:rPr>
        <w:t>Pokazatelj uspješnosti</w:t>
      </w:r>
      <w:r w:rsidRPr="00AC2206">
        <w:rPr>
          <w:rFonts w:ascii="Arial" w:hAnsi="Arial" w:cs="Arial"/>
          <w:sz w:val="24"/>
          <w:szCs w:val="24"/>
        </w:rPr>
        <w:t xml:space="preserve">: </w:t>
      </w:r>
      <w:r w:rsidRPr="00214AC0">
        <w:rPr>
          <w:rFonts w:ascii="Arial" w:hAnsi="Arial" w:cs="Arial"/>
          <w:sz w:val="24"/>
          <w:szCs w:val="24"/>
        </w:rPr>
        <w:t>izvršenje obveza po ugovoru sa Istarskom županijom.</w:t>
      </w:r>
    </w:p>
    <w:p w14:paraId="1EE3900B" w14:textId="77777777" w:rsidR="00E541EE" w:rsidRDefault="00E541EE" w:rsidP="00E541EE">
      <w:pPr>
        <w:jc w:val="both"/>
        <w:rPr>
          <w:rFonts w:ascii="Arial" w:hAnsi="Arial" w:cs="Arial"/>
          <w:sz w:val="24"/>
          <w:szCs w:val="24"/>
        </w:rPr>
      </w:pPr>
    </w:p>
    <w:p w14:paraId="1B19AB1F" w14:textId="77777777" w:rsidR="00E541EE" w:rsidRPr="00E83115"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E83115">
        <w:rPr>
          <w:rFonts w:ascii="Arial" w:eastAsia="Times New Roman" w:hAnsi="Arial" w:cs="Arial"/>
          <w:b/>
          <w:bCs/>
          <w:sz w:val="24"/>
          <w:szCs w:val="24"/>
        </w:rPr>
        <w:t>A 1033</w:t>
      </w:r>
      <w:r>
        <w:rPr>
          <w:rFonts w:ascii="Arial" w:eastAsia="Times New Roman" w:hAnsi="Arial" w:cs="Arial"/>
          <w:b/>
          <w:bCs/>
          <w:sz w:val="24"/>
          <w:szCs w:val="24"/>
        </w:rPr>
        <w:t>13</w:t>
      </w:r>
      <w:r w:rsidRPr="00E83115">
        <w:rPr>
          <w:rFonts w:ascii="Arial" w:eastAsia="Times New Roman" w:hAnsi="Arial" w:cs="Arial"/>
          <w:b/>
          <w:bCs/>
          <w:sz w:val="24"/>
          <w:szCs w:val="24"/>
        </w:rPr>
        <w:t xml:space="preserve">: </w:t>
      </w:r>
      <w:r>
        <w:rPr>
          <w:rFonts w:ascii="Arial" w:eastAsia="Times New Roman" w:hAnsi="Arial" w:cs="Arial"/>
          <w:b/>
          <w:bCs/>
          <w:sz w:val="24"/>
          <w:szCs w:val="24"/>
        </w:rPr>
        <w:t>Zlatne godine</w:t>
      </w:r>
      <w:r w:rsidRPr="00E83115">
        <w:rPr>
          <w:rFonts w:ascii="Arial" w:eastAsia="Times New Roman" w:hAnsi="Arial" w:cs="Arial"/>
          <w:b/>
          <w:bCs/>
          <w:sz w:val="24"/>
          <w:szCs w:val="24"/>
        </w:rPr>
        <w:t xml:space="preserve"> = </w:t>
      </w:r>
      <w:r>
        <w:rPr>
          <w:rFonts w:ascii="Arial" w:eastAsia="Times New Roman" w:hAnsi="Arial" w:cs="Arial"/>
          <w:b/>
          <w:bCs/>
          <w:sz w:val="24"/>
          <w:szCs w:val="24"/>
        </w:rPr>
        <w:t>1.950</w:t>
      </w:r>
      <w:r w:rsidRPr="00E83115">
        <w:rPr>
          <w:rFonts w:ascii="Arial" w:eastAsia="Times New Roman" w:hAnsi="Arial" w:cs="Arial"/>
          <w:b/>
          <w:bCs/>
          <w:sz w:val="24"/>
          <w:szCs w:val="24"/>
        </w:rPr>
        <w:t>,00 EUR</w:t>
      </w:r>
    </w:p>
    <w:p w14:paraId="42C695C9" w14:textId="77777777" w:rsidR="00E541EE" w:rsidRPr="00B3322B" w:rsidRDefault="00E541EE" w:rsidP="00E541EE">
      <w:pPr>
        <w:jc w:val="both"/>
        <w:rPr>
          <w:rFonts w:ascii="Arial" w:eastAsia="Times New Roman" w:hAnsi="Arial" w:cs="Arial"/>
          <w:b/>
          <w:sz w:val="24"/>
          <w:szCs w:val="24"/>
        </w:rPr>
      </w:pPr>
      <w:r w:rsidRPr="00B3322B">
        <w:rPr>
          <w:rFonts w:ascii="Arial" w:eastAsia="Times New Roman" w:hAnsi="Arial" w:cs="Arial"/>
          <w:b/>
          <w:bCs/>
          <w:sz w:val="24"/>
          <w:szCs w:val="24"/>
        </w:rPr>
        <w:t>Zakonska osnova:</w:t>
      </w:r>
      <w:r w:rsidRPr="00B3322B">
        <w:rPr>
          <w:rFonts w:ascii="Arial" w:eastAsia="Times New Roman" w:hAnsi="Arial" w:cs="Arial"/>
          <w:sz w:val="24"/>
          <w:szCs w:val="24"/>
        </w:rPr>
        <w:t>, Zakon o lokalnoj i područnoj (regionalnoj) samoupravi.</w:t>
      </w:r>
    </w:p>
    <w:p w14:paraId="576D0B79" w14:textId="77777777" w:rsidR="00E541EE" w:rsidRPr="00B3322B" w:rsidRDefault="00E541EE" w:rsidP="00E541EE">
      <w:pPr>
        <w:jc w:val="both"/>
        <w:rPr>
          <w:rFonts w:ascii="Arial" w:eastAsia="Times New Roman" w:hAnsi="Arial" w:cs="Arial"/>
          <w:sz w:val="24"/>
          <w:szCs w:val="24"/>
        </w:rPr>
      </w:pPr>
      <w:r w:rsidRPr="00B3322B">
        <w:rPr>
          <w:rFonts w:ascii="Arial" w:eastAsia="Times New Roman" w:hAnsi="Arial" w:cs="Arial"/>
          <w:b/>
          <w:sz w:val="24"/>
          <w:szCs w:val="24"/>
        </w:rPr>
        <w:t>Opis:</w:t>
      </w:r>
      <w:r w:rsidRPr="00B3322B">
        <w:rPr>
          <w:rFonts w:ascii="Arial" w:eastAsia="Times New Roman" w:hAnsi="Arial" w:cs="Arial"/>
          <w:sz w:val="24"/>
          <w:szCs w:val="24"/>
        </w:rPr>
        <w:t xml:space="preserve"> Projekt „Zlatne godine“ obuhvaća javnozdravstvene aktivnosti namijenjene osobama treće životne dobi, koje imaju iznimnu vrijednost jer pridonose očuvanju zdravlja, prevenciji bolesti te jačanju socijalnih veza i osjećaja pripadnosti zajednici. Redovita predavanja, radionice i zdravstvena mjerenja omogućuju sudionicima ne samo pravovremeno informiranje o zdravlju i zdravim navikama već i aktivno sudjelovanje u oblikovanju vlastite dobrobiti kao i jačanje zdravstvene pismenosti. Nositelj projekta je Nastavni zavod za javno zdravstvo Istarske županije. Projekt uključuje 9 predavanja koja bi se provodila jednom mjesečno. Neke od tema jesu; Zdrava prehrana u starijoj dobi, Kako se zaštititi od velikih vrućina, Biti nonić – važnost i uloge nonića u obitelji i dr. Uz predavanja koja su uključujuća i  interaktivna provodit će se i neka zdravstvena mjerenja poput arterijskog krvnog tlaka, indeksa tjelesne mase, glikemije u krvi i dr. Projekt će se provoditi sa udrugom umirovljenika. </w:t>
      </w:r>
    </w:p>
    <w:p w14:paraId="0D5DF76D" w14:textId="77777777" w:rsidR="00E541EE" w:rsidRPr="00B3322B" w:rsidRDefault="00E541EE" w:rsidP="00E541EE">
      <w:pPr>
        <w:jc w:val="both"/>
        <w:rPr>
          <w:rFonts w:ascii="Arial" w:eastAsia="Times New Roman" w:hAnsi="Arial" w:cs="Arial"/>
          <w:b/>
          <w:bCs/>
          <w:sz w:val="24"/>
          <w:szCs w:val="24"/>
        </w:rPr>
      </w:pPr>
      <w:r w:rsidRPr="00B3322B">
        <w:rPr>
          <w:rFonts w:ascii="Arial" w:eastAsia="Times New Roman" w:hAnsi="Arial" w:cs="Arial"/>
          <w:b/>
          <w:bCs/>
          <w:sz w:val="24"/>
          <w:szCs w:val="24"/>
        </w:rPr>
        <w:t xml:space="preserve">Opći cilj: </w:t>
      </w:r>
      <w:r w:rsidRPr="00B3322B">
        <w:rPr>
          <w:rFonts w:ascii="Arial" w:eastAsia="Times New Roman" w:hAnsi="Arial" w:cs="Arial"/>
          <w:bCs/>
          <w:sz w:val="24"/>
          <w:szCs w:val="24"/>
        </w:rPr>
        <w:t>poticanje aktivnog starenja kroz preventivne mjere i brigu o zdravlju te doprinos javnom zdravlju i osnaživanju zajednice u cjelini</w:t>
      </w:r>
      <w:r>
        <w:rPr>
          <w:rFonts w:ascii="Arial" w:eastAsia="Times New Roman" w:hAnsi="Arial" w:cs="Arial"/>
          <w:bCs/>
          <w:sz w:val="24"/>
          <w:szCs w:val="24"/>
        </w:rPr>
        <w:t>.</w:t>
      </w:r>
    </w:p>
    <w:p w14:paraId="68E9DB99" w14:textId="77777777" w:rsidR="00E541EE" w:rsidRDefault="00E541EE" w:rsidP="00E541EE">
      <w:pPr>
        <w:jc w:val="both"/>
        <w:rPr>
          <w:rFonts w:ascii="Arial" w:eastAsia="Times New Roman" w:hAnsi="Arial" w:cs="Arial"/>
          <w:sz w:val="24"/>
          <w:szCs w:val="24"/>
        </w:rPr>
      </w:pPr>
      <w:r w:rsidRPr="00B3322B">
        <w:rPr>
          <w:rFonts w:ascii="Arial" w:eastAsia="Times New Roman" w:hAnsi="Arial" w:cs="Arial"/>
          <w:b/>
          <w:bCs/>
          <w:sz w:val="24"/>
          <w:szCs w:val="24"/>
        </w:rPr>
        <w:t>Pokazatelj uspješnosti</w:t>
      </w:r>
      <w:r w:rsidRPr="00B3322B">
        <w:rPr>
          <w:rFonts w:ascii="Arial" w:eastAsia="Times New Roman" w:hAnsi="Arial" w:cs="Arial"/>
          <w:b/>
          <w:sz w:val="24"/>
          <w:szCs w:val="24"/>
        </w:rPr>
        <w:t xml:space="preserve">: </w:t>
      </w:r>
      <w:r w:rsidRPr="00B3322B">
        <w:rPr>
          <w:rFonts w:ascii="Arial" w:eastAsia="Times New Roman" w:hAnsi="Arial" w:cs="Arial"/>
          <w:sz w:val="24"/>
          <w:szCs w:val="24"/>
        </w:rPr>
        <w:t>održane planirane aktivnosti te broj sudionika</w:t>
      </w:r>
      <w:r>
        <w:rPr>
          <w:rFonts w:ascii="Arial" w:eastAsia="Times New Roman" w:hAnsi="Arial" w:cs="Arial"/>
          <w:sz w:val="24"/>
          <w:szCs w:val="24"/>
        </w:rPr>
        <w:t>.</w:t>
      </w:r>
    </w:p>
    <w:p w14:paraId="6E9A75F7" w14:textId="77777777" w:rsidR="00E541EE" w:rsidRDefault="00E541EE" w:rsidP="00E541EE">
      <w:pPr>
        <w:jc w:val="both"/>
        <w:rPr>
          <w:rFonts w:ascii="Arial" w:eastAsia="Times New Roman" w:hAnsi="Arial" w:cs="Arial"/>
          <w:sz w:val="24"/>
          <w:szCs w:val="24"/>
        </w:rPr>
      </w:pPr>
    </w:p>
    <w:p w14:paraId="36AC6876" w14:textId="77777777" w:rsidR="00E541EE" w:rsidRPr="00E83115"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E83115">
        <w:rPr>
          <w:rFonts w:ascii="Arial" w:eastAsia="Times New Roman" w:hAnsi="Arial" w:cs="Arial"/>
          <w:b/>
          <w:bCs/>
          <w:sz w:val="24"/>
          <w:szCs w:val="24"/>
        </w:rPr>
        <w:t>A 1033</w:t>
      </w:r>
      <w:r>
        <w:rPr>
          <w:rFonts w:ascii="Arial" w:eastAsia="Times New Roman" w:hAnsi="Arial" w:cs="Arial"/>
          <w:b/>
          <w:bCs/>
          <w:sz w:val="24"/>
          <w:szCs w:val="24"/>
        </w:rPr>
        <w:t>14</w:t>
      </w:r>
      <w:r w:rsidRPr="00E83115">
        <w:rPr>
          <w:rFonts w:ascii="Arial" w:eastAsia="Times New Roman" w:hAnsi="Arial" w:cs="Arial"/>
          <w:b/>
          <w:bCs/>
          <w:sz w:val="24"/>
          <w:szCs w:val="24"/>
        </w:rPr>
        <w:t xml:space="preserve">: </w:t>
      </w:r>
      <w:r>
        <w:rPr>
          <w:rFonts w:ascii="Arial" w:eastAsia="Times New Roman" w:hAnsi="Arial" w:cs="Arial"/>
          <w:b/>
          <w:bCs/>
          <w:sz w:val="24"/>
          <w:szCs w:val="24"/>
        </w:rPr>
        <w:t>Program prevencije kardiovaskularnih bolesti</w:t>
      </w:r>
      <w:r w:rsidRPr="00E83115">
        <w:rPr>
          <w:rFonts w:ascii="Arial" w:eastAsia="Times New Roman" w:hAnsi="Arial" w:cs="Arial"/>
          <w:b/>
          <w:bCs/>
          <w:sz w:val="24"/>
          <w:szCs w:val="24"/>
        </w:rPr>
        <w:t xml:space="preserve"> = </w:t>
      </w:r>
      <w:r>
        <w:rPr>
          <w:rFonts w:ascii="Arial" w:eastAsia="Times New Roman" w:hAnsi="Arial" w:cs="Arial"/>
          <w:b/>
          <w:bCs/>
          <w:sz w:val="24"/>
          <w:szCs w:val="24"/>
        </w:rPr>
        <w:t>20.000</w:t>
      </w:r>
      <w:r w:rsidRPr="00E83115">
        <w:rPr>
          <w:rFonts w:ascii="Arial" w:eastAsia="Times New Roman" w:hAnsi="Arial" w:cs="Arial"/>
          <w:b/>
          <w:bCs/>
          <w:sz w:val="24"/>
          <w:szCs w:val="24"/>
        </w:rPr>
        <w:t>,00 EUR</w:t>
      </w:r>
    </w:p>
    <w:p w14:paraId="0F3047B8" w14:textId="77777777" w:rsidR="00E541EE" w:rsidRPr="00B3322B" w:rsidRDefault="00E541EE" w:rsidP="00E541EE">
      <w:pPr>
        <w:jc w:val="both"/>
        <w:rPr>
          <w:rFonts w:ascii="Arial" w:eastAsia="Times New Roman" w:hAnsi="Arial" w:cs="Arial"/>
          <w:b/>
          <w:sz w:val="24"/>
          <w:szCs w:val="24"/>
        </w:rPr>
      </w:pPr>
      <w:r w:rsidRPr="00B3322B">
        <w:rPr>
          <w:rFonts w:ascii="Arial" w:eastAsia="Times New Roman" w:hAnsi="Arial" w:cs="Arial"/>
          <w:b/>
          <w:bCs/>
          <w:sz w:val="24"/>
          <w:szCs w:val="24"/>
        </w:rPr>
        <w:t>Zakonska osnova:</w:t>
      </w:r>
      <w:r w:rsidRPr="00B3322B">
        <w:rPr>
          <w:rFonts w:ascii="Arial" w:eastAsia="Times New Roman" w:hAnsi="Arial" w:cs="Arial"/>
          <w:sz w:val="24"/>
          <w:szCs w:val="24"/>
        </w:rPr>
        <w:t>, Zakon o lokalnoj i područnoj (regionalnoj) samoupravi.</w:t>
      </w:r>
    </w:p>
    <w:p w14:paraId="4A3C10F2" w14:textId="77777777" w:rsidR="00E541EE" w:rsidRDefault="00E541EE" w:rsidP="00E541EE">
      <w:pPr>
        <w:jc w:val="both"/>
        <w:rPr>
          <w:rFonts w:ascii="Arial" w:eastAsia="Times New Roman" w:hAnsi="Arial" w:cs="Arial"/>
          <w:sz w:val="24"/>
          <w:szCs w:val="24"/>
        </w:rPr>
      </w:pPr>
      <w:r w:rsidRPr="00B3322B">
        <w:rPr>
          <w:rFonts w:ascii="Arial" w:eastAsia="Times New Roman" w:hAnsi="Arial" w:cs="Arial"/>
          <w:b/>
          <w:sz w:val="24"/>
          <w:szCs w:val="24"/>
        </w:rPr>
        <w:t>Opis:</w:t>
      </w:r>
      <w:r w:rsidRPr="00B3322B">
        <w:rPr>
          <w:rFonts w:ascii="Arial" w:eastAsia="Times New Roman" w:hAnsi="Arial" w:cs="Arial"/>
          <w:sz w:val="24"/>
          <w:szCs w:val="24"/>
        </w:rPr>
        <w:t xml:space="preserve"> </w:t>
      </w:r>
      <w:r>
        <w:rPr>
          <w:rFonts w:ascii="Arial" w:eastAsia="Times New Roman" w:hAnsi="Arial" w:cs="Arial"/>
          <w:sz w:val="24"/>
          <w:szCs w:val="24"/>
        </w:rPr>
        <w:t>predlaže se uvođenje dodatnih preventivnih sadržaja kako bi se uvođenjem dodatnih aktivnosti povećao postojeći nivo i standard dostupnosti zdravstvenih programa te prevencije u našem gradu.</w:t>
      </w:r>
    </w:p>
    <w:p w14:paraId="7D62E91B" w14:textId="77777777" w:rsidR="00E541EE" w:rsidRDefault="00E541EE" w:rsidP="00E541EE">
      <w:pPr>
        <w:jc w:val="both"/>
        <w:rPr>
          <w:rFonts w:ascii="Arial" w:eastAsia="Times New Roman" w:hAnsi="Arial" w:cs="Arial"/>
          <w:sz w:val="24"/>
          <w:szCs w:val="24"/>
        </w:rPr>
      </w:pPr>
      <w:r>
        <w:rPr>
          <w:rFonts w:ascii="Arial" w:eastAsia="Times New Roman" w:hAnsi="Arial" w:cs="Arial"/>
          <w:sz w:val="24"/>
          <w:szCs w:val="24"/>
        </w:rPr>
        <w:t>Projektne aktivnosti trebale bi biti rezultat suradnje Bolnice M.Horvat i IDZ-a a neke od aktivnosti jesu: procjena rizika (mjerenje krvnog tlaka, provjera nivoa kolesterola i triglicerida, mjerenje razine šećera u krvi, nasljedni faktori, procjena životnih navika (pušenje, alkohol, stres), Edukacije u cilju promocije zdravlja (tribine, radionice, grupne vježbe), Screeneng program (ekg, ergometrija, spirometrija).</w:t>
      </w:r>
    </w:p>
    <w:p w14:paraId="56959ECD" w14:textId="77777777" w:rsidR="00E541EE" w:rsidRPr="00833244" w:rsidRDefault="00E541EE" w:rsidP="00E541EE">
      <w:pPr>
        <w:jc w:val="both"/>
        <w:rPr>
          <w:rFonts w:ascii="Arial" w:eastAsia="Times New Roman" w:hAnsi="Arial" w:cs="Arial"/>
          <w:sz w:val="24"/>
          <w:szCs w:val="24"/>
        </w:rPr>
      </w:pPr>
      <w:r w:rsidRPr="00B3322B">
        <w:rPr>
          <w:rFonts w:ascii="Arial" w:eastAsia="Times New Roman" w:hAnsi="Arial" w:cs="Arial"/>
          <w:b/>
          <w:bCs/>
          <w:sz w:val="24"/>
          <w:szCs w:val="24"/>
        </w:rPr>
        <w:t xml:space="preserve">Opći cilj: </w:t>
      </w:r>
      <w:r w:rsidRPr="00833244">
        <w:rPr>
          <w:rFonts w:ascii="Arial" w:eastAsia="Times New Roman" w:hAnsi="Arial" w:cs="Arial"/>
          <w:sz w:val="24"/>
          <w:szCs w:val="24"/>
        </w:rPr>
        <w:t>podizanje razine kvalitetne zdravstvene zaštite kroz preventivne programe</w:t>
      </w:r>
    </w:p>
    <w:p w14:paraId="44FA1130" w14:textId="77777777" w:rsidR="00E541EE" w:rsidRPr="00F45871" w:rsidRDefault="00E541EE" w:rsidP="00E541EE">
      <w:pPr>
        <w:jc w:val="both"/>
        <w:rPr>
          <w:rFonts w:ascii="Arial" w:eastAsia="Times New Roman" w:hAnsi="Arial" w:cs="Arial"/>
          <w:sz w:val="24"/>
          <w:szCs w:val="24"/>
        </w:rPr>
      </w:pPr>
      <w:r w:rsidRPr="00B3322B">
        <w:rPr>
          <w:rFonts w:ascii="Arial" w:eastAsia="Times New Roman" w:hAnsi="Arial" w:cs="Arial"/>
          <w:b/>
          <w:bCs/>
          <w:sz w:val="24"/>
          <w:szCs w:val="24"/>
        </w:rPr>
        <w:t>Pokazatelj uspješnosti</w:t>
      </w:r>
      <w:r w:rsidRPr="00B3322B">
        <w:rPr>
          <w:rFonts w:ascii="Arial" w:eastAsia="Times New Roman" w:hAnsi="Arial" w:cs="Arial"/>
          <w:b/>
          <w:sz w:val="24"/>
          <w:szCs w:val="24"/>
        </w:rPr>
        <w:t xml:space="preserve">: </w:t>
      </w:r>
      <w:r w:rsidRPr="00B3322B">
        <w:rPr>
          <w:rFonts w:ascii="Arial" w:eastAsia="Times New Roman" w:hAnsi="Arial" w:cs="Arial"/>
          <w:sz w:val="24"/>
          <w:szCs w:val="24"/>
        </w:rPr>
        <w:t>održane planirane aktivnosti te broj sudionika</w:t>
      </w:r>
      <w:r>
        <w:rPr>
          <w:rFonts w:ascii="Arial" w:eastAsia="Times New Roman" w:hAnsi="Arial" w:cs="Arial"/>
          <w:sz w:val="24"/>
          <w:szCs w:val="24"/>
        </w:rPr>
        <w:t>.</w:t>
      </w:r>
    </w:p>
    <w:p w14:paraId="48723BCC" w14:textId="77777777" w:rsidR="00E541EE" w:rsidRDefault="00E541EE" w:rsidP="00E541EE">
      <w:pPr>
        <w:jc w:val="both"/>
        <w:rPr>
          <w:rFonts w:ascii="Arial" w:eastAsia="Times New Roman" w:hAnsi="Arial" w:cs="Arial"/>
          <w:sz w:val="24"/>
          <w:szCs w:val="24"/>
        </w:rPr>
      </w:pPr>
    </w:p>
    <w:p w14:paraId="616CE763"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FFFF80"/>
        <w:rPr>
          <w:rFonts w:ascii="Arial" w:eastAsia="Times New Roman" w:hAnsi="Arial" w:cs="Arial"/>
          <w:b/>
          <w:bCs/>
          <w:sz w:val="24"/>
          <w:szCs w:val="24"/>
        </w:rPr>
      </w:pPr>
      <w:r w:rsidRPr="00AC2206">
        <w:rPr>
          <w:rFonts w:ascii="Arial" w:eastAsia="Times New Roman" w:hAnsi="Arial" w:cs="Arial"/>
          <w:b/>
          <w:bCs/>
          <w:sz w:val="24"/>
          <w:szCs w:val="24"/>
        </w:rPr>
        <w:t>Program 1034: Razvoj civilnog društva = 1</w:t>
      </w:r>
      <w:r>
        <w:rPr>
          <w:rFonts w:ascii="Arial" w:eastAsia="Times New Roman" w:hAnsi="Arial" w:cs="Arial"/>
          <w:b/>
          <w:bCs/>
          <w:sz w:val="24"/>
          <w:szCs w:val="24"/>
        </w:rPr>
        <w:t>70</w:t>
      </w:r>
      <w:r w:rsidRPr="00AC2206">
        <w:rPr>
          <w:rFonts w:ascii="Arial" w:eastAsia="Times New Roman" w:hAnsi="Arial" w:cs="Arial"/>
          <w:b/>
          <w:bCs/>
          <w:sz w:val="24"/>
          <w:szCs w:val="24"/>
        </w:rPr>
        <w:t>.250,00 EUR</w:t>
      </w:r>
    </w:p>
    <w:p w14:paraId="29F5987C" w14:textId="77777777" w:rsidR="00E541EE" w:rsidRDefault="00E541EE" w:rsidP="00E541EE">
      <w:pPr>
        <w:jc w:val="both"/>
        <w:rPr>
          <w:rFonts w:ascii="Arial" w:eastAsia="Times New Roman" w:hAnsi="Arial" w:cs="Arial"/>
          <w:color w:val="EE0000"/>
          <w:sz w:val="24"/>
          <w:szCs w:val="24"/>
        </w:rPr>
      </w:pPr>
    </w:p>
    <w:p w14:paraId="63499C1E" w14:textId="77777777" w:rsidR="00D13D77" w:rsidRPr="00AC2206" w:rsidRDefault="00D13D77" w:rsidP="00D13D77">
      <w:pPr>
        <w:pBdr>
          <w:top w:val="single" w:sz="4" w:space="1" w:color="auto"/>
          <w:left w:val="single" w:sz="4" w:space="4" w:color="auto"/>
          <w:bottom w:val="single" w:sz="4" w:space="1" w:color="auto"/>
          <w:right w:val="single" w:sz="4" w:space="4" w:color="auto"/>
        </w:pBdr>
        <w:shd w:val="clear" w:color="auto" w:fill="E9E9E9"/>
        <w:tabs>
          <w:tab w:val="left" w:pos="708"/>
          <w:tab w:val="center" w:pos="4536"/>
          <w:tab w:val="right" w:pos="9072"/>
        </w:tabs>
        <w:jc w:val="both"/>
        <w:rPr>
          <w:rFonts w:ascii="Arial" w:eastAsia="Times New Roman" w:hAnsi="Arial" w:cs="Arial"/>
          <w:b/>
          <w:bCs/>
          <w:sz w:val="24"/>
          <w:szCs w:val="24"/>
        </w:rPr>
      </w:pPr>
      <w:r w:rsidRPr="00AC2206">
        <w:rPr>
          <w:rFonts w:ascii="Arial" w:eastAsia="Times New Roman" w:hAnsi="Arial" w:cs="Arial"/>
          <w:b/>
          <w:bCs/>
          <w:sz w:val="24"/>
          <w:szCs w:val="24"/>
        </w:rPr>
        <w:t xml:space="preserve">A 103404: Aktivnosti udruga proizašlih iz Domovinskog rata i NOB-a </w:t>
      </w:r>
    </w:p>
    <w:p w14:paraId="19F70544" w14:textId="77777777" w:rsidR="00D13D77" w:rsidRPr="00AC2206" w:rsidRDefault="00D13D77" w:rsidP="00D13D77">
      <w:pPr>
        <w:pBdr>
          <w:top w:val="single" w:sz="4" w:space="1" w:color="auto"/>
          <w:left w:val="single" w:sz="4" w:space="4" w:color="auto"/>
          <w:bottom w:val="single" w:sz="4" w:space="1" w:color="auto"/>
          <w:right w:val="single" w:sz="4" w:space="4" w:color="auto"/>
        </w:pBdr>
        <w:shd w:val="clear" w:color="auto" w:fill="E9E9E9"/>
        <w:tabs>
          <w:tab w:val="left" w:pos="708"/>
          <w:tab w:val="center" w:pos="4536"/>
          <w:tab w:val="right" w:pos="9072"/>
        </w:tabs>
        <w:jc w:val="both"/>
        <w:rPr>
          <w:rFonts w:ascii="Arial" w:eastAsia="Times New Roman" w:hAnsi="Arial" w:cs="Arial"/>
          <w:b/>
          <w:bCs/>
          <w:sz w:val="24"/>
          <w:szCs w:val="24"/>
        </w:rPr>
      </w:pPr>
      <w:r w:rsidRPr="00AC2206">
        <w:rPr>
          <w:rFonts w:ascii="Arial" w:eastAsia="Times New Roman" w:hAnsi="Arial" w:cs="Arial"/>
          <w:b/>
          <w:bCs/>
          <w:sz w:val="24"/>
          <w:szCs w:val="24"/>
        </w:rPr>
        <w:t xml:space="preserve">= </w:t>
      </w:r>
      <w:r>
        <w:rPr>
          <w:rFonts w:ascii="Arial" w:eastAsia="Times New Roman" w:hAnsi="Arial" w:cs="Arial"/>
          <w:b/>
          <w:bCs/>
          <w:sz w:val="24"/>
          <w:szCs w:val="24"/>
        </w:rPr>
        <w:t>5</w:t>
      </w:r>
      <w:r w:rsidRPr="00AC2206">
        <w:rPr>
          <w:rFonts w:ascii="Arial" w:eastAsia="Times New Roman" w:hAnsi="Arial" w:cs="Arial"/>
          <w:b/>
          <w:bCs/>
          <w:sz w:val="24"/>
          <w:szCs w:val="24"/>
        </w:rPr>
        <w:t>.500,00 EUR</w:t>
      </w:r>
    </w:p>
    <w:p w14:paraId="3491B76E" w14:textId="77777777" w:rsidR="00D13D77" w:rsidRPr="00AC2206" w:rsidRDefault="00D13D77" w:rsidP="00D13D77">
      <w:pPr>
        <w:jc w:val="both"/>
        <w:rPr>
          <w:rFonts w:ascii="Arial" w:eastAsia="Times New Roman" w:hAnsi="Arial" w:cs="Arial"/>
          <w:sz w:val="24"/>
          <w:szCs w:val="24"/>
        </w:rPr>
      </w:pPr>
      <w:r w:rsidRPr="00AC2206">
        <w:rPr>
          <w:rFonts w:ascii="Arial" w:eastAsia="Times New Roman" w:hAnsi="Arial" w:cs="Arial"/>
          <w:b/>
          <w:bCs/>
          <w:sz w:val="24"/>
          <w:szCs w:val="24"/>
        </w:rPr>
        <w:t>Zakonska osnova</w:t>
      </w:r>
      <w:r w:rsidRPr="00AC2206">
        <w:rPr>
          <w:rFonts w:ascii="Arial" w:eastAsia="Times New Roman" w:hAnsi="Arial" w:cs="Arial"/>
          <w:b/>
          <w:sz w:val="24"/>
          <w:szCs w:val="24"/>
        </w:rPr>
        <w:t>:</w:t>
      </w:r>
      <w:r w:rsidRPr="00AC2206">
        <w:rPr>
          <w:rFonts w:ascii="Arial" w:eastAsia="Times New Roman" w:hAnsi="Arial" w:cs="Arial"/>
          <w:sz w:val="24"/>
          <w:szCs w:val="24"/>
        </w:rPr>
        <w:t xml:space="preserve"> Zakon o  lokalnoj i područnoj (regionalnoj) samoupravi, Zakon o udrugama i Uredba o kriterijima, mjerilima i postupcima financiranja i ugovaranja programa i projekata od interesa za opće dobro koje provode udruge.</w:t>
      </w:r>
    </w:p>
    <w:p w14:paraId="5536B381" w14:textId="77777777" w:rsidR="00D13D77" w:rsidRPr="00AC2206" w:rsidRDefault="00D13D77" w:rsidP="00D13D77">
      <w:pPr>
        <w:jc w:val="both"/>
        <w:rPr>
          <w:rFonts w:ascii="Arial" w:eastAsia="Times New Roman" w:hAnsi="Arial" w:cs="Arial"/>
          <w:sz w:val="24"/>
          <w:szCs w:val="24"/>
        </w:rPr>
      </w:pPr>
      <w:r w:rsidRPr="00AC2206">
        <w:rPr>
          <w:rFonts w:ascii="Arial" w:eastAsia="Times New Roman" w:hAnsi="Arial" w:cs="Arial"/>
          <w:b/>
          <w:sz w:val="24"/>
          <w:szCs w:val="24"/>
        </w:rPr>
        <w:t>Opis:</w:t>
      </w:r>
      <w:r w:rsidRPr="00AC2206">
        <w:rPr>
          <w:rFonts w:ascii="Arial" w:eastAsia="Times New Roman" w:hAnsi="Arial" w:cs="Arial"/>
          <w:sz w:val="24"/>
          <w:szCs w:val="24"/>
        </w:rPr>
        <w:t xml:space="preserve"> temeljem natječaja dodijelit će se potpore udrugama proizašlih iz Domovinskog rata i NOB-a, kako bi se realizirale aktivnosti i programi u ovom području djelovanja.</w:t>
      </w:r>
    </w:p>
    <w:p w14:paraId="2E912CB6" w14:textId="77777777" w:rsidR="00D13D77" w:rsidRPr="00AC2206" w:rsidRDefault="00D13D77" w:rsidP="00D13D77">
      <w:pPr>
        <w:jc w:val="both"/>
        <w:rPr>
          <w:rFonts w:ascii="Arial" w:eastAsia="Times New Roman" w:hAnsi="Arial" w:cs="Arial"/>
          <w:bCs/>
          <w:sz w:val="24"/>
          <w:szCs w:val="24"/>
        </w:rPr>
      </w:pPr>
      <w:r w:rsidRPr="00AC2206">
        <w:rPr>
          <w:rFonts w:ascii="Arial" w:eastAsia="Times New Roman" w:hAnsi="Arial" w:cs="Arial"/>
          <w:b/>
          <w:bCs/>
          <w:sz w:val="24"/>
          <w:szCs w:val="24"/>
        </w:rPr>
        <w:t xml:space="preserve">Opći cilj: </w:t>
      </w:r>
      <w:r w:rsidRPr="00AC2206">
        <w:rPr>
          <w:rFonts w:ascii="Arial" w:eastAsia="Times New Roman" w:hAnsi="Arial" w:cs="Arial"/>
          <w:bCs/>
          <w:sz w:val="24"/>
          <w:szCs w:val="24"/>
        </w:rPr>
        <w:t>briga o pripadnicima NOB-a i Domovinskog rata, obilježavanje značajnih datuma i godišnjica.</w:t>
      </w:r>
    </w:p>
    <w:p w14:paraId="126D1B96" w14:textId="77777777" w:rsidR="00D13D77" w:rsidRPr="00AC2206" w:rsidRDefault="00D13D77" w:rsidP="00D13D77">
      <w:pPr>
        <w:jc w:val="both"/>
        <w:rPr>
          <w:rFonts w:ascii="Arial" w:eastAsia="Times New Roman" w:hAnsi="Arial" w:cs="Arial"/>
          <w:sz w:val="24"/>
          <w:szCs w:val="24"/>
        </w:rPr>
      </w:pPr>
      <w:r w:rsidRPr="00AC2206">
        <w:rPr>
          <w:rFonts w:ascii="Arial" w:eastAsia="Times New Roman" w:hAnsi="Arial" w:cs="Arial"/>
          <w:b/>
          <w:bCs/>
          <w:sz w:val="24"/>
          <w:szCs w:val="24"/>
        </w:rPr>
        <w:t>Pokazatelj uspješnosti</w:t>
      </w:r>
      <w:r w:rsidRPr="00AC2206">
        <w:rPr>
          <w:rFonts w:ascii="Arial" w:eastAsia="Times New Roman" w:hAnsi="Arial" w:cs="Arial"/>
          <w:b/>
          <w:sz w:val="24"/>
          <w:szCs w:val="24"/>
        </w:rPr>
        <w:t xml:space="preserve">: </w:t>
      </w:r>
      <w:r w:rsidRPr="00AC2206">
        <w:rPr>
          <w:rFonts w:ascii="Arial" w:eastAsia="Times New Roman" w:hAnsi="Arial" w:cs="Arial"/>
          <w:sz w:val="24"/>
          <w:szCs w:val="24"/>
        </w:rPr>
        <w:t>realizirani programi udruga.</w:t>
      </w:r>
    </w:p>
    <w:p w14:paraId="7EC7F852" w14:textId="77777777" w:rsidR="00D13D77" w:rsidRPr="00AC2206" w:rsidRDefault="00D13D77" w:rsidP="00D13D77">
      <w:pPr>
        <w:jc w:val="both"/>
        <w:rPr>
          <w:rFonts w:ascii="Arial" w:eastAsia="Times New Roman" w:hAnsi="Arial" w:cs="Arial"/>
          <w:sz w:val="24"/>
          <w:szCs w:val="24"/>
        </w:rPr>
      </w:pPr>
    </w:p>
    <w:p w14:paraId="48B5B2E3" w14:textId="77777777" w:rsidR="00D13D77" w:rsidRPr="00AC2206" w:rsidRDefault="00D13D77" w:rsidP="00D13D77">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AC2206">
        <w:rPr>
          <w:rFonts w:ascii="Arial" w:eastAsia="Times New Roman" w:hAnsi="Arial" w:cs="Arial"/>
          <w:b/>
          <w:bCs/>
          <w:sz w:val="24"/>
          <w:szCs w:val="24"/>
        </w:rPr>
        <w:t>A 103406: Izravna dodjela sredstava udrugama = 10.000,00 EUR</w:t>
      </w:r>
    </w:p>
    <w:p w14:paraId="7D9C9497" w14:textId="77777777" w:rsidR="00D13D77" w:rsidRPr="00AC2206" w:rsidRDefault="00D13D77" w:rsidP="00D13D77">
      <w:pPr>
        <w:jc w:val="both"/>
        <w:rPr>
          <w:rFonts w:ascii="Arial" w:eastAsia="Times New Roman" w:hAnsi="Arial" w:cs="Arial"/>
          <w:sz w:val="24"/>
          <w:szCs w:val="24"/>
        </w:rPr>
      </w:pPr>
      <w:r w:rsidRPr="00AC2206">
        <w:rPr>
          <w:rFonts w:ascii="Arial" w:eastAsia="Times New Roman" w:hAnsi="Arial" w:cs="Arial"/>
          <w:b/>
          <w:bCs/>
          <w:sz w:val="24"/>
          <w:szCs w:val="24"/>
        </w:rPr>
        <w:t>Zakonska osnova</w:t>
      </w:r>
      <w:r w:rsidRPr="00AC2206">
        <w:rPr>
          <w:rFonts w:ascii="Arial" w:eastAsia="Times New Roman" w:hAnsi="Arial" w:cs="Arial"/>
          <w:b/>
          <w:sz w:val="24"/>
          <w:szCs w:val="24"/>
        </w:rPr>
        <w:t>:</w:t>
      </w:r>
      <w:r w:rsidRPr="00AC2206">
        <w:rPr>
          <w:rFonts w:ascii="Arial" w:eastAsia="Times New Roman" w:hAnsi="Arial" w:cs="Arial"/>
          <w:sz w:val="24"/>
          <w:szCs w:val="24"/>
        </w:rPr>
        <w:t xml:space="preserve"> Zakon o  lokalnoj i područnoj (regionalnoj) samoupravi, Zakon o udrugama i Uredba o kriterijima, mjerilima i postupcima financiranja i ugovaranja programa i projekata od interesa za opće dobro koje provode udruge.</w:t>
      </w:r>
    </w:p>
    <w:p w14:paraId="7AFD54CC" w14:textId="77777777" w:rsidR="00D13D77" w:rsidRPr="00AC2206" w:rsidRDefault="00D13D77" w:rsidP="00D13D77">
      <w:pPr>
        <w:jc w:val="both"/>
        <w:rPr>
          <w:rFonts w:ascii="Arial" w:eastAsia="Times New Roman" w:hAnsi="Arial" w:cs="Arial"/>
          <w:sz w:val="24"/>
          <w:szCs w:val="24"/>
        </w:rPr>
      </w:pPr>
      <w:r w:rsidRPr="00AC2206">
        <w:rPr>
          <w:rFonts w:ascii="Arial" w:eastAsia="Times New Roman" w:hAnsi="Arial" w:cs="Arial"/>
          <w:b/>
          <w:sz w:val="24"/>
          <w:szCs w:val="24"/>
        </w:rPr>
        <w:t>Opis:</w:t>
      </w:r>
      <w:r w:rsidRPr="00AC2206">
        <w:rPr>
          <w:rFonts w:ascii="Arial" w:eastAsia="Times New Roman" w:hAnsi="Arial" w:cs="Arial"/>
          <w:sz w:val="24"/>
          <w:szCs w:val="24"/>
        </w:rPr>
        <w:t xml:space="preserve"> osigurana su i sredstva za izravnu dodjelu udrugama koje će provoditi aktivnosti od gradskog interesa, koje iz opravdanih razloga nisu bile planirane u programu rada udruge, a realizirati će se u 202</w:t>
      </w:r>
      <w:r>
        <w:rPr>
          <w:rFonts w:ascii="Arial" w:eastAsia="Times New Roman" w:hAnsi="Arial" w:cs="Arial"/>
          <w:sz w:val="24"/>
          <w:szCs w:val="24"/>
        </w:rPr>
        <w:t>6</w:t>
      </w:r>
      <w:r w:rsidRPr="00AC2206">
        <w:rPr>
          <w:rFonts w:ascii="Arial" w:eastAsia="Times New Roman" w:hAnsi="Arial" w:cs="Arial"/>
          <w:sz w:val="24"/>
          <w:szCs w:val="24"/>
        </w:rPr>
        <w:t xml:space="preserve">. godini. Navedeno je moguće sukladno spomenutoj Uredbi uz uvjet da se pojedine aktivnosti sukladno zahtjevima mogu financirati do 663,61 </w:t>
      </w:r>
      <w:r>
        <w:rPr>
          <w:rFonts w:ascii="Arial" w:eastAsia="Times New Roman" w:hAnsi="Arial" w:cs="Arial"/>
          <w:sz w:val="24"/>
          <w:szCs w:val="24"/>
        </w:rPr>
        <w:t>eura</w:t>
      </w:r>
      <w:r w:rsidRPr="00AC2206">
        <w:rPr>
          <w:rFonts w:ascii="Arial" w:eastAsia="Times New Roman" w:hAnsi="Arial" w:cs="Arial"/>
          <w:sz w:val="24"/>
          <w:szCs w:val="24"/>
        </w:rPr>
        <w:t xml:space="preserve"> te da ukupna sredstva za izravne dodjele ne prelaze godišnje iznos od 5% proračunskih sredstava namijenjenih programima udruga.</w:t>
      </w:r>
    </w:p>
    <w:p w14:paraId="63AAFE55" w14:textId="77777777" w:rsidR="00D13D77" w:rsidRPr="00AC2206" w:rsidRDefault="00D13D77" w:rsidP="00D13D77">
      <w:pPr>
        <w:jc w:val="both"/>
        <w:rPr>
          <w:rFonts w:ascii="Arial" w:eastAsia="Times New Roman" w:hAnsi="Arial" w:cs="Arial"/>
          <w:b/>
          <w:bCs/>
          <w:sz w:val="24"/>
          <w:szCs w:val="24"/>
        </w:rPr>
      </w:pPr>
      <w:r w:rsidRPr="00AC2206">
        <w:rPr>
          <w:rFonts w:ascii="Arial" w:eastAsia="Times New Roman" w:hAnsi="Arial" w:cs="Arial"/>
          <w:b/>
          <w:bCs/>
          <w:sz w:val="24"/>
          <w:szCs w:val="24"/>
        </w:rPr>
        <w:t xml:space="preserve">Opći cilj: </w:t>
      </w:r>
      <w:r w:rsidRPr="00AC2206">
        <w:rPr>
          <w:rFonts w:ascii="Arial" w:eastAsia="Times New Roman" w:hAnsi="Arial" w:cs="Arial"/>
          <w:bCs/>
          <w:sz w:val="24"/>
          <w:szCs w:val="24"/>
        </w:rPr>
        <w:t>razvoj civilnog društva,</w:t>
      </w:r>
      <w:r w:rsidRPr="00AC2206">
        <w:rPr>
          <w:rFonts w:ascii="Arial" w:eastAsia="Times New Roman" w:hAnsi="Arial" w:cs="Arial"/>
          <w:b/>
          <w:bCs/>
          <w:sz w:val="24"/>
          <w:szCs w:val="24"/>
        </w:rPr>
        <w:t xml:space="preserve"> </w:t>
      </w:r>
      <w:r w:rsidRPr="00AC2206">
        <w:rPr>
          <w:rFonts w:ascii="Arial" w:eastAsia="Times New Roman" w:hAnsi="Arial" w:cs="Arial"/>
          <w:sz w:val="24"/>
          <w:szCs w:val="24"/>
        </w:rPr>
        <w:t>poticanje građana na uključivanje i sudjelovanje u razvoju lokalne zajednice.</w:t>
      </w:r>
    </w:p>
    <w:p w14:paraId="31EBF632" w14:textId="77777777" w:rsidR="00D13D77" w:rsidRDefault="00D13D77" w:rsidP="00D13D77">
      <w:pPr>
        <w:jc w:val="both"/>
        <w:rPr>
          <w:rFonts w:ascii="Arial" w:eastAsia="Times New Roman" w:hAnsi="Arial" w:cs="Arial"/>
          <w:sz w:val="24"/>
          <w:szCs w:val="24"/>
        </w:rPr>
      </w:pPr>
      <w:r w:rsidRPr="00AC2206">
        <w:rPr>
          <w:rFonts w:ascii="Arial" w:eastAsia="Times New Roman" w:hAnsi="Arial" w:cs="Arial"/>
          <w:b/>
          <w:bCs/>
          <w:sz w:val="24"/>
          <w:szCs w:val="24"/>
        </w:rPr>
        <w:t>Pokazatelj uspješnosti</w:t>
      </w:r>
      <w:r w:rsidRPr="00AC2206">
        <w:rPr>
          <w:rFonts w:ascii="Arial" w:eastAsia="Times New Roman" w:hAnsi="Arial" w:cs="Arial"/>
          <w:b/>
          <w:sz w:val="24"/>
          <w:szCs w:val="24"/>
        </w:rPr>
        <w:t xml:space="preserve">: </w:t>
      </w:r>
      <w:r w:rsidRPr="00AC2206">
        <w:rPr>
          <w:rFonts w:ascii="Arial" w:eastAsia="Times New Roman" w:hAnsi="Arial" w:cs="Arial"/>
          <w:sz w:val="24"/>
          <w:szCs w:val="24"/>
        </w:rPr>
        <w:t>dodijeljene potpore i realizirane aktivnosti.</w:t>
      </w:r>
    </w:p>
    <w:p w14:paraId="1D0A50C1" w14:textId="77777777" w:rsidR="00D13D77" w:rsidRDefault="00D13D77" w:rsidP="00D13D77">
      <w:pPr>
        <w:jc w:val="both"/>
        <w:rPr>
          <w:rFonts w:ascii="Arial" w:eastAsia="Times New Roman" w:hAnsi="Arial" w:cs="Arial"/>
          <w:sz w:val="24"/>
          <w:szCs w:val="24"/>
        </w:rPr>
      </w:pPr>
    </w:p>
    <w:p w14:paraId="60C72EB4" w14:textId="77777777" w:rsidR="00D13D77" w:rsidRPr="00AC2206" w:rsidRDefault="00D13D77" w:rsidP="00D13D77">
      <w:pPr>
        <w:pBdr>
          <w:top w:val="single" w:sz="4" w:space="1" w:color="auto"/>
          <w:left w:val="single" w:sz="4" w:space="4" w:color="auto"/>
          <w:bottom w:val="single" w:sz="4" w:space="1" w:color="auto"/>
          <w:right w:val="single" w:sz="4" w:space="4" w:color="auto"/>
        </w:pBdr>
        <w:shd w:val="clear" w:color="auto" w:fill="E9E9E9"/>
        <w:tabs>
          <w:tab w:val="left" w:pos="708"/>
          <w:tab w:val="center" w:pos="4536"/>
          <w:tab w:val="right" w:pos="9072"/>
        </w:tabs>
        <w:jc w:val="both"/>
        <w:rPr>
          <w:rFonts w:ascii="Arial" w:eastAsia="Times New Roman" w:hAnsi="Arial" w:cs="Arial"/>
          <w:b/>
          <w:bCs/>
          <w:sz w:val="24"/>
          <w:szCs w:val="24"/>
        </w:rPr>
      </w:pPr>
      <w:r w:rsidRPr="00AC2206">
        <w:rPr>
          <w:rFonts w:ascii="Arial" w:eastAsia="Times New Roman" w:hAnsi="Arial" w:cs="Arial"/>
          <w:b/>
          <w:bCs/>
          <w:sz w:val="24"/>
          <w:szCs w:val="24"/>
        </w:rPr>
        <w:t>A 103402: Zajednica Talijana „P</w:t>
      </w:r>
      <w:r>
        <w:rPr>
          <w:rFonts w:ascii="Arial" w:eastAsia="Times New Roman" w:hAnsi="Arial" w:cs="Arial"/>
          <w:b/>
          <w:bCs/>
          <w:sz w:val="24"/>
          <w:szCs w:val="24"/>
        </w:rPr>
        <w:t xml:space="preserve">ino </w:t>
      </w:r>
      <w:r w:rsidRPr="00AC2206">
        <w:rPr>
          <w:rFonts w:ascii="Arial" w:eastAsia="Times New Roman" w:hAnsi="Arial" w:cs="Arial"/>
          <w:b/>
          <w:bCs/>
          <w:sz w:val="24"/>
          <w:szCs w:val="24"/>
        </w:rPr>
        <w:t xml:space="preserve">Budicin“ = </w:t>
      </w:r>
      <w:r>
        <w:rPr>
          <w:rFonts w:ascii="Arial" w:eastAsia="Times New Roman" w:hAnsi="Arial" w:cs="Arial"/>
          <w:b/>
          <w:bCs/>
          <w:sz w:val="24"/>
          <w:szCs w:val="24"/>
        </w:rPr>
        <w:t>110</w:t>
      </w:r>
      <w:r w:rsidRPr="00AC2206">
        <w:rPr>
          <w:rFonts w:ascii="Arial" w:eastAsia="Times New Roman" w:hAnsi="Arial" w:cs="Arial"/>
          <w:b/>
          <w:bCs/>
          <w:sz w:val="24"/>
          <w:szCs w:val="24"/>
        </w:rPr>
        <w:t>.000,00 EUR</w:t>
      </w:r>
    </w:p>
    <w:p w14:paraId="54579092" w14:textId="77777777" w:rsidR="00D13D77" w:rsidRPr="00AC2206" w:rsidRDefault="00D13D77" w:rsidP="00D13D77">
      <w:pPr>
        <w:jc w:val="both"/>
        <w:rPr>
          <w:rFonts w:ascii="Arial" w:eastAsia="Times New Roman" w:hAnsi="Arial" w:cs="Arial"/>
          <w:sz w:val="24"/>
          <w:szCs w:val="24"/>
        </w:rPr>
      </w:pPr>
      <w:r w:rsidRPr="00AC2206">
        <w:rPr>
          <w:rFonts w:ascii="Arial" w:eastAsia="Times New Roman" w:hAnsi="Arial" w:cs="Arial"/>
          <w:b/>
          <w:bCs/>
          <w:sz w:val="24"/>
          <w:szCs w:val="24"/>
        </w:rPr>
        <w:t>Zakonska osnova</w:t>
      </w:r>
      <w:r w:rsidRPr="00AC2206">
        <w:rPr>
          <w:rFonts w:ascii="Arial" w:eastAsia="Times New Roman" w:hAnsi="Arial" w:cs="Arial"/>
          <w:b/>
          <w:sz w:val="24"/>
          <w:szCs w:val="24"/>
        </w:rPr>
        <w:t>:</w:t>
      </w:r>
      <w:r w:rsidRPr="00AC2206">
        <w:rPr>
          <w:rFonts w:ascii="Arial" w:eastAsia="Times New Roman" w:hAnsi="Arial" w:cs="Arial"/>
          <w:sz w:val="24"/>
          <w:szCs w:val="24"/>
        </w:rPr>
        <w:t xml:space="preserve"> Zakon o  lokalnoj i područnoj (regionalnoj) samoupravi, Zakon o udrugama i Uredba o kriterijima, mjerilima i postupcima financiranja i ugovaranja programa i projekata od interesa za opće dobro koje provode udruge.</w:t>
      </w:r>
    </w:p>
    <w:p w14:paraId="3E52216F" w14:textId="77777777" w:rsidR="00D13D77" w:rsidRPr="00AC2206" w:rsidRDefault="00D13D77" w:rsidP="00D13D77">
      <w:pPr>
        <w:tabs>
          <w:tab w:val="left" w:pos="708"/>
          <w:tab w:val="center" w:pos="4536"/>
          <w:tab w:val="right" w:pos="9072"/>
        </w:tabs>
        <w:jc w:val="both"/>
        <w:rPr>
          <w:rFonts w:ascii="Arial" w:eastAsia="Times New Roman" w:hAnsi="Arial" w:cs="Arial"/>
          <w:sz w:val="24"/>
          <w:szCs w:val="24"/>
        </w:rPr>
      </w:pPr>
      <w:r w:rsidRPr="00AC2206">
        <w:rPr>
          <w:rFonts w:ascii="Arial" w:eastAsia="Times New Roman" w:hAnsi="Arial" w:cs="Arial"/>
          <w:b/>
          <w:sz w:val="24"/>
          <w:szCs w:val="24"/>
        </w:rPr>
        <w:t>Opis:</w:t>
      </w:r>
      <w:r w:rsidRPr="00AC2206">
        <w:rPr>
          <w:rFonts w:ascii="Arial" w:eastAsia="Times New Roman" w:hAnsi="Arial" w:cs="Arial"/>
          <w:sz w:val="24"/>
          <w:szCs w:val="24"/>
        </w:rPr>
        <w:t xml:space="preserve"> Zajednica Talijana „Pino Budicin“ financirat će se izravnom dodjelom, jer je člankom 6. Uredbe o kriterijima, mjerilima i postupcima financiranja i ugovaranja programa i projekata od interesa za opće dobro koje provode udruge propisano da se financijska sredstva izravno dodjeljuju udrugama koje imaju isključivu nadležnost u području djelovanja i/ili zemljopisnog područja za koje se financijska sredstva dodjeljuju. </w:t>
      </w:r>
    </w:p>
    <w:p w14:paraId="6FD9647B" w14:textId="77777777" w:rsidR="00D13D77" w:rsidRPr="00AC2206" w:rsidRDefault="00D13D77" w:rsidP="00D13D77">
      <w:pPr>
        <w:tabs>
          <w:tab w:val="left" w:pos="708"/>
          <w:tab w:val="center" w:pos="4536"/>
          <w:tab w:val="right" w:pos="9072"/>
        </w:tabs>
        <w:jc w:val="both"/>
        <w:rPr>
          <w:rFonts w:ascii="Arial" w:eastAsia="Times New Roman" w:hAnsi="Arial" w:cs="Arial"/>
          <w:sz w:val="24"/>
          <w:szCs w:val="24"/>
        </w:rPr>
      </w:pPr>
      <w:r w:rsidRPr="00AC2206">
        <w:rPr>
          <w:rFonts w:ascii="Arial" w:eastAsia="Times New Roman" w:hAnsi="Arial" w:cs="Arial"/>
          <w:sz w:val="24"/>
          <w:szCs w:val="24"/>
        </w:rPr>
        <w:t>Člankom 38. Statuta Grad Rovinja-Rovigno propisano je da Zajednica Talijana u Gradu Rovinju-Rovigno predstavlja talijansku nacionalnu manjinu te da Grad Rovinj-Rovigno u svom Proračunu osigurava sredstva za njen rad.</w:t>
      </w:r>
    </w:p>
    <w:p w14:paraId="01F0B5A1" w14:textId="77777777" w:rsidR="00D13D77" w:rsidRPr="00AC2206" w:rsidRDefault="00D13D77" w:rsidP="00D13D77">
      <w:pPr>
        <w:jc w:val="both"/>
        <w:rPr>
          <w:rFonts w:ascii="Arial" w:eastAsia="Times New Roman" w:hAnsi="Arial" w:cs="Arial"/>
          <w:bCs/>
          <w:sz w:val="24"/>
          <w:szCs w:val="24"/>
        </w:rPr>
      </w:pPr>
      <w:r w:rsidRPr="00AC2206">
        <w:rPr>
          <w:rFonts w:ascii="Arial" w:eastAsia="Times New Roman" w:hAnsi="Arial" w:cs="Arial"/>
          <w:b/>
          <w:bCs/>
          <w:sz w:val="24"/>
          <w:szCs w:val="24"/>
        </w:rPr>
        <w:t xml:space="preserve">Opći cilj: </w:t>
      </w:r>
      <w:r w:rsidRPr="00AC2206">
        <w:rPr>
          <w:rFonts w:ascii="Arial" w:eastAsia="Times New Roman" w:hAnsi="Arial" w:cs="Arial"/>
          <w:bCs/>
          <w:sz w:val="24"/>
          <w:szCs w:val="24"/>
        </w:rPr>
        <w:t>financiranje rada udruge te programi od značaja za zaštitu i očuvanje kulture talijanske nacionalne manjine.</w:t>
      </w:r>
    </w:p>
    <w:p w14:paraId="0A74872E" w14:textId="77777777" w:rsidR="00D13D77" w:rsidRPr="00AC2206" w:rsidRDefault="00D13D77" w:rsidP="00D13D77">
      <w:pPr>
        <w:jc w:val="both"/>
        <w:rPr>
          <w:rFonts w:ascii="Arial" w:eastAsia="Times New Roman" w:hAnsi="Arial" w:cs="Arial"/>
          <w:sz w:val="24"/>
          <w:szCs w:val="24"/>
        </w:rPr>
      </w:pPr>
      <w:r w:rsidRPr="00AC2206">
        <w:rPr>
          <w:rFonts w:ascii="Arial" w:eastAsia="Times New Roman" w:hAnsi="Arial" w:cs="Arial"/>
          <w:b/>
          <w:bCs/>
          <w:sz w:val="24"/>
          <w:szCs w:val="24"/>
        </w:rPr>
        <w:t>Pokazatelj uspješnosti</w:t>
      </w:r>
      <w:r w:rsidRPr="00AC2206">
        <w:rPr>
          <w:rFonts w:ascii="Arial" w:eastAsia="Times New Roman" w:hAnsi="Arial" w:cs="Arial"/>
          <w:b/>
          <w:sz w:val="24"/>
          <w:szCs w:val="24"/>
        </w:rPr>
        <w:t xml:space="preserve">: </w:t>
      </w:r>
      <w:r w:rsidRPr="00AC2206">
        <w:rPr>
          <w:rFonts w:ascii="Arial" w:eastAsia="Times New Roman" w:hAnsi="Arial" w:cs="Arial"/>
          <w:sz w:val="24"/>
          <w:szCs w:val="24"/>
        </w:rPr>
        <w:t>realizirane aktivnosti udruge.</w:t>
      </w:r>
    </w:p>
    <w:p w14:paraId="4A45653C" w14:textId="77777777" w:rsidR="00D13D77" w:rsidRPr="009C1B0E" w:rsidRDefault="00D13D77" w:rsidP="00E541EE">
      <w:pPr>
        <w:jc w:val="both"/>
        <w:rPr>
          <w:rFonts w:ascii="Arial" w:eastAsia="Times New Roman" w:hAnsi="Arial" w:cs="Arial"/>
          <w:color w:val="EE0000"/>
          <w:sz w:val="24"/>
          <w:szCs w:val="24"/>
        </w:rPr>
      </w:pPr>
    </w:p>
    <w:p w14:paraId="4DE78684"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AC2206">
        <w:rPr>
          <w:rFonts w:ascii="Arial" w:eastAsia="Times New Roman" w:hAnsi="Arial" w:cs="Arial"/>
          <w:b/>
          <w:bCs/>
          <w:sz w:val="24"/>
          <w:szCs w:val="24"/>
        </w:rPr>
        <w:t xml:space="preserve">A 103401: Fond gradova i općina Zaklade za razvoj civilnog društva </w:t>
      </w:r>
    </w:p>
    <w:p w14:paraId="46205C01" w14:textId="2F995F06"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AC2206">
        <w:rPr>
          <w:rFonts w:ascii="Arial" w:eastAsia="Times New Roman" w:hAnsi="Arial" w:cs="Arial"/>
          <w:b/>
          <w:bCs/>
          <w:sz w:val="24"/>
          <w:szCs w:val="24"/>
        </w:rPr>
        <w:t>= 4.</w:t>
      </w:r>
      <w:r w:rsidR="00D13D77">
        <w:rPr>
          <w:rFonts w:ascii="Arial" w:eastAsia="Times New Roman" w:hAnsi="Arial" w:cs="Arial"/>
          <w:b/>
          <w:bCs/>
          <w:sz w:val="24"/>
          <w:szCs w:val="24"/>
        </w:rPr>
        <w:t>0</w:t>
      </w:r>
      <w:r w:rsidRPr="00AC2206">
        <w:rPr>
          <w:rFonts w:ascii="Arial" w:eastAsia="Times New Roman" w:hAnsi="Arial" w:cs="Arial"/>
          <w:b/>
          <w:bCs/>
          <w:sz w:val="24"/>
          <w:szCs w:val="24"/>
        </w:rPr>
        <w:t>00,00 EUR</w:t>
      </w:r>
    </w:p>
    <w:p w14:paraId="62767B56"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Zakonska osnova</w:t>
      </w:r>
      <w:r w:rsidRPr="00AC2206">
        <w:rPr>
          <w:rFonts w:ascii="Arial" w:eastAsia="Times New Roman" w:hAnsi="Arial" w:cs="Arial"/>
          <w:b/>
          <w:sz w:val="24"/>
          <w:szCs w:val="24"/>
        </w:rPr>
        <w:t>:</w:t>
      </w:r>
      <w:r w:rsidRPr="00AC2206">
        <w:rPr>
          <w:rFonts w:ascii="Arial" w:eastAsia="Times New Roman" w:hAnsi="Arial" w:cs="Arial"/>
          <w:sz w:val="24"/>
          <w:szCs w:val="24"/>
        </w:rPr>
        <w:t xml:space="preserve"> Zakon o  lokalnoj i područnoj (regionalnoj) samoupravi, Zakon o udrugama i Uredba o kriterijima, mjerilima i postupcima financiranja i ugovaranja programa i projekata od interesa za opće dobro koje provode udruge.</w:t>
      </w:r>
    </w:p>
    <w:p w14:paraId="76667E70" w14:textId="77777777" w:rsidR="00E541EE" w:rsidRDefault="00E541EE" w:rsidP="00E541EE">
      <w:pPr>
        <w:tabs>
          <w:tab w:val="left" w:pos="708"/>
          <w:tab w:val="center" w:pos="4536"/>
          <w:tab w:val="right" w:pos="9072"/>
        </w:tabs>
        <w:jc w:val="both"/>
        <w:rPr>
          <w:rFonts w:ascii="Arial" w:eastAsia="Times New Roman" w:hAnsi="Arial" w:cs="Arial"/>
          <w:sz w:val="24"/>
          <w:szCs w:val="24"/>
        </w:rPr>
      </w:pPr>
      <w:r w:rsidRPr="00AC2206">
        <w:rPr>
          <w:rFonts w:ascii="Arial" w:eastAsia="Times New Roman" w:hAnsi="Arial" w:cs="Arial"/>
          <w:b/>
          <w:sz w:val="24"/>
          <w:szCs w:val="24"/>
        </w:rPr>
        <w:t>Opis:</w:t>
      </w:r>
      <w:r w:rsidRPr="00AC2206">
        <w:rPr>
          <w:rFonts w:ascii="Arial" w:eastAsia="Times New Roman" w:hAnsi="Arial" w:cs="Arial"/>
          <w:sz w:val="24"/>
          <w:szCs w:val="24"/>
        </w:rPr>
        <w:t xml:space="preserve"> </w:t>
      </w:r>
      <w:r>
        <w:rPr>
          <w:rFonts w:ascii="Arial" w:eastAsia="Times New Roman" w:hAnsi="Arial" w:cs="Arial"/>
          <w:sz w:val="24"/>
          <w:szCs w:val="24"/>
        </w:rPr>
        <w:t xml:space="preserve">planiranim sredstvima osigurava se 4.000,00 eura za Fond u cilju raspisivanja </w:t>
      </w:r>
      <w:r w:rsidRPr="00214AC0">
        <w:rPr>
          <w:rFonts w:ascii="Arial" w:eastAsia="Times New Roman" w:hAnsi="Arial" w:cs="Arial"/>
          <w:sz w:val="24"/>
          <w:szCs w:val="24"/>
        </w:rPr>
        <w:t>natječaja za organizacije civilnog društva koje su registrirane na području jedinica lokalne samouprave iz kojih se Fond financira.</w:t>
      </w:r>
    </w:p>
    <w:p w14:paraId="550D739D" w14:textId="77777777" w:rsidR="00E541EE" w:rsidRPr="00AC2206" w:rsidRDefault="00E541EE" w:rsidP="00E541EE">
      <w:pPr>
        <w:jc w:val="both"/>
        <w:rPr>
          <w:rFonts w:ascii="Arial" w:eastAsia="Times New Roman" w:hAnsi="Arial" w:cs="Arial"/>
          <w:bCs/>
          <w:sz w:val="24"/>
          <w:szCs w:val="24"/>
        </w:rPr>
      </w:pPr>
      <w:r w:rsidRPr="00AC2206">
        <w:rPr>
          <w:rFonts w:ascii="Arial" w:eastAsia="Times New Roman" w:hAnsi="Arial" w:cs="Arial"/>
          <w:b/>
          <w:bCs/>
          <w:sz w:val="24"/>
          <w:szCs w:val="24"/>
        </w:rPr>
        <w:t xml:space="preserve">Opći cilj: </w:t>
      </w:r>
      <w:r w:rsidRPr="00AC2206">
        <w:rPr>
          <w:rFonts w:ascii="Arial" w:eastAsia="Times New Roman" w:hAnsi="Arial" w:cs="Arial"/>
          <w:bCs/>
          <w:sz w:val="24"/>
          <w:szCs w:val="24"/>
        </w:rPr>
        <w:t>razvoj civilnog društva.</w:t>
      </w:r>
    </w:p>
    <w:p w14:paraId="001941A7"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Pokazatelj uspješnosti</w:t>
      </w:r>
      <w:r w:rsidRPr="00AC2206">
        <w:rPr>
          <w:rFonts w:ascii="Arial" w:eastAsia="Times New Roman" w:hAnsi="Arial" w:cs="Arial"/>
          <w:b/>
          <w:sz w:val="24"/>
          <w:szCs w:val="24"/>
        </w:rPr>
        <w:t xml:space="preserve">: </w:t>
      </w:r>
      <w:r w:rsidRPr="00AC2206">
        <w:rPr>
          <w:rFonts w:ascii="Arial" w:eastAsia="Times New Roman" w:hAnsi="Arial" w:cs="Arial"/>
          <w:sz w:val="24"/>
          <w:szCs w:val="24"/>
        </w:rPr>
        <w:t>izvršenje obveze iz ugovora te dodijeljene potpore iz Fonda gradova i općina.</w:t>
      </w:r>
    </w:p>
    <w:p w14:paraId="63F8618F" w14:textId="77777777" w:rsidR="00E541EE" w:rsidRPr="00AC2206" w:rsidRDefault="00E541EE" w:rsidP="00E541EE">
      <w:pPr>
        <w:tabs>
          <w:tab w:val="left" w:pos="708"/>
          <w:tab w:val="center" w:pos="4536"/>
          <w:tab w:val="right" w:pos="9072"/>
        </w:tabs>
        <w:jc w:val="both"/>
        <w:rPr>
          <w:rFonts w:ascii="Arial" w:eastAsia="Times New Roman" w:hAnsi="Arial" w:cs="Arial"/>
          <w:sz w:val="24"/>
          <w:szCs w:val="24"/>
        </w:rPr>
      </w:pPr>
    </w:p>
    <w:p w14:paraId="58CF2CB4" w14:textId="3372B134"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tabs>
          <w:tab w:val="left" w:pos="708"/>
          <w:tab w:val="center" w:pos="4536"/>
          <w:tab w:val="right" w:pos="9072"/>
        </w:tabs>
        <w:jc w:val="both"/>
        <w:rPr>
          <w:rFonts w:ascii="Arial" w:eastAsia="Times New Roman" w:hAnsi="Arial" w:cs="Arial"/>
          <w:b/>
          <w:bCs/>
          <w:sz w:val="24"/>
          <w:szCs w:val="24"/>
        </w:rPr>
      </w:pPr>
      <w:r w:rsidRPr="00AC2206">
        <w:rPr>
          <w:rFonts w:ascii="Arial" w:eastAsia="Times New Roman" w:hAnsi="Arial" w:cs="Arial"/>
          <w:b/>
          <w:bCs/>
          <w:sz w:val="24"/>
          <w:szCs w:val="24"/>
        </w:rPr>
        <w:t xml:space="preserve"> 103403: Programi unapređenja kvalitete života osoba starije životne dobi </w:t>
      </w:r>
    </w:p>
    <w:p w14:paraId="1EF2E6D6"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tabs>
          <w:tab w:val="left" w:pos="708"/>
          <w:tab w:val="center" w:pos="4536"/>
          <w:tab w:val="right" w:pos="9072"/>
        </w:tabs>
        <w:jc w:val="both"/>
        <w:rPr>
          <w:rFonts w:ascii="Arial" w:eastAsia="Times New Roman" w:hAnsi="Arial" w:cs="Arial"/>
          <w:b/>
          <w:bCs/>
          <w:sz w:val="24"/>
          <w:szCs w:val="24"/>
        </w:rPr>
      </w:pPr>
      <w:r w:rsidRPr="00AC2206">
        <w:rPr>
          <w:rFonts w:ascii="Arial" w:eastAsia="Times New Roman" w:hAnsi="Arial" w:cs="Arial"/>
          <w:b/>
          <w:bCs/>
          <w:sz w:val="24"/>
          <w:szCs w:val="24"/>
        </w:rPr>
        <w:t>= 3</w:t>
      </w:r>
      <w:r>
        <w:rPr>
          <w:rFonts w:ascii="Arial" w:eastAsia="Times New Roman" w:hAnsi="Arial" w:cs="Arial"/>
          <w:b/>
          <w:bCs/>
          <w:sz w:val="24"/>
          <w:szCs w:val="24"/>
        </w:rPr>
        <w:t>6</w:t>
      </w:r>
      <w:r w:rsidRPr="00AC2206">
        <w:rPr>
          <w:rFonts w:ascii="Arial" w:eastAsia="Times New Roman" w:hAnsi="Arial" w:cs="Arial"/>
          <w:b/>
          <w:bCs/>
          <w:sz w:val="24"/>
          <w:szCs w:val="24"/>
        </w:rPr>
        <w:t>.000,00 EUR</w:t>
      </w:r>
    </w:p>
    <w:p w14:paraId="678E535E"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Zakonska osnova</w:t>
      </w:r>
      <w:r w:rsidRPr="00AC2206">
        <w:rPr>
          <w:rFonts w:ascii="Arial" w:eastAsia="Times New Roman" w:hAnsi="Arial" w:cs="Arial"/>
          <w:b/>
          <w:sz w:val="24"/>
          <w:szCs w:val="24"/>
        </w:rPr>
        <w:t>:</w:t>
      </w:r>
      <w:r w:rsidRPr="00AC2206">
        <w:rPr>
          <w:rFonts w:ascii="Arial" w:eastAsia="Times New Roman" w:hAnsi="Arial" w:cs="Arial"/>
          <w:sz w:val="24"/>
          <w:szCs w:val="24"/>
        </w:rPr>
        <w:t xml:space="preserve"> Zakon o  lokalnoj i područnoj (regionalnoj) samoupravi, Zakon o udrugama i Uredba o kriterijima, mjerilima i postupcima financiranja i ugovaranja programa i projekata od interesa za opće dobro koje provode udruge.</w:t>
      </w:r>
    </w:p>
    <w:p w14:paraId="5A211CC1" w14:textId="77777777" w:rsidR="00E541EE" w:rsidRPr="00AC2206" w:rsidRDefault="00E541EE" w:rsidP="00E541EE">
      <w:pPr>
        <w:tabs>
          <w:tab w:val="left" w:pos="708"/>
          <w:tab w:val="center" w:pos="4536"/>
          <w:tab w:val="right" w:pos="9072"/>
        </w:tabs>
        <w:jc w:val="both"/>
        <w:rPr>
          <w:rFonts w:ascii="Arial" w:eastAsia="Times New Roman" w:hAnsi="Arial" w:cs="Arial"/>
          <w:sz w:val="24"/>
          <w:szCs w:val="24"/>
        </w:rPr>
      </w:pPr>
      <w:r w:rsidRPr="00AC2206">
        <w:rPr>
          <w:rFonts w:ascii="Arial" w:eastAsia="Times New Roman" w:hAnsi="Arial" w:cs="Arial"/>
          <w:b/>
          <w:sz w:val="24"/>
          <w:szCs w:val="24"/>
        </w:rPr>
        <w:t>Opis:</w:t>
      </w:r>
      <w:r w:rsidRPr="00AC2206">
        <w:rPr>
          <w:rFonts w:ascii="Arial" w:eastAsia="Times New Roman" w:hAnsi="Arial" w:cs="Arial"/>
          <w:sz w:val="24"/>
          <w:szCs w:val="24"/>
        </w:rPr>
        <w:t xml:space="preserve"> na temelju provedenog natječaja dodijeliti će se sredstva za provedbu programa kojima je za cilj unaprijediti kvalitetu života osobama starije životne dobi kroz razne aktivnosti koje će se detaljnije navesti u samom natječaju.</w:t>
      </w:r>
    </w:p>
    <w:p w14:paraId="43590FA0"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 xml:space="preserve">Opći cilj: </w:t>
      </w:r>
      <w:r w:rsidRPr="00AC2206">
        <w:rPr>
          <w:rFonts w:ascii="Arial" w:eastAsia="Times New Roman" w:hAnsi="Arial" w:cs="Arial"/>
          <w:bCs/>
          <w:sz w:val="24"/>
          <w:szCs w:val="24"/>
        </w:rPr>
        <w:t>unapređenje kvalitete života osoba starije životne dobi i organiziranje slobodnog vremena.</w:t>
      </w:r>
    </w:p>
    <w:p w14:paraId="4AB93C19"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Pokazatelj uspješnosti</w:t>
      </w:r>
      <w:r w:rsidRPr="00AC2206">
        <w:rPr>
          <w:rFonts w:ascii="Arial" w:eastAsia="Times New Roman" w:hAnsi="Arial" w:cs="Arial"/>
          <w:b/>
          <w:sz w:val="24"/>
          <w:szCs w:val="24"/>
        </w:rPr>
        <w:t xml:space="preserve">: </w:t>
      </w:r>
      <w:r w:rsidRPr="00AC2206">
        <w:rPr>
          <w:rFonts w:ascii="Arial" w:eastAsia="Times New Roman" w:hAnsi="Arial" w:cs="Arial"/>
          <w:sz w:val="24"/>
          <w:szCs w:val="24"/>
        </w:rPr>
        <w:t>realizirani programi udruge.</w:t>
      </w:r>
    </w:p>
    <w:p w14:paraId="3F437628" w14:textId="77777777" w:rsidR="00E541EE" w:rsidRPr="00AC2206" w:rsidRDefault="00E541EE" w:rsidP="00E541EE">
      <w:pPr>
        <w:jc w:val="both"/>
        <w:rPr>
          <w:rFonts w:ascii="Arial" w:eastAsia="Times New Roman" w:hAnsi="Arial" w:cs="Arial"/>
          <w:sz w:val="24"/>
          <w:szCs w:val="24"/>
        </w:rPr>
      </w:pPr>
    </w:p>
    <w:p w14:paraId="2563228D"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tabs>
          <w:tab w:val="left" w:pos="708"/>
          <w:tab w:val="center" w:pos="4536"/>
          <w:tab w:val="right" w:pos="9072"/>
        </w:tabs>
        <w:jc w:val="both"/>
        <w:rPr>
          <w:rFonts w:ascii="Arial" w:eastAsia="Times New Roman" w:hAnsi="Arial" w:cs="Arial"/>
          <w:b/>
          <w:bCs/>
          <w:sz w:val="24"/>
          <w:szCs w:val="24"/>
        </w:rPr>
      </w:pPr>
      <w:r w:rsidRPr="00AC2206">
        <w:rPr>
          <w:rFonts w:ascii="Arial" w:eastAsia="Times New Roman" w:hAnsi="Arial" w:cs="Arial"/>
          <w:b/>
          <w:bCs/>
          <w:sz w:val="24"/>
          <w:szCs w:val="24"/>
        </w:rPr>
        <w:t xml:space="preserve">A 103405: Poticanje mladih na održivi razvoj, zdrav način života i očuvanje prirode = </w:t>
      </w:r>
      <w:r>
        <w:rPr>
          <w:rFonts w:ascii="Arial" w:eastAsia="Times New Roman" w:hAnsi="Arial" w:cs="Arial"/>
          <w:b/>
          <w:bCs/>
          <w:sz w:val="24"/>
          <w:szCs w:val="24"/>
        </w:rPr>
        <w:t>4</w:t>
      </w:r>
      <w:r w:rsidRPr="00AC2206">
        <w:rPr>
          <w:rFonts w:ascii="Arial" w:eastAsia="Times New Roman" w:hAnsi="Arial" w:cs="Arial"/>
          <w:b/>
          <w:bCs/>
          <w:sz w:val="24"/>
          <w:szCs w:val="24"/>
        </w:rPr>
        <w:t>.500,00 EUR</w:t>
      </w:r>
    </w:p>
    <w:p w14:paraId="673148C5"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Zakonska osnova</w:t>
      </w:r>
      <w:r w:rsidRPr="00AC2206">
        <w:rPr>
          <w:rFonts w:ascii="Arial" w:eastAsia="Times New Roman" w:hAnsi="Arial" w:cs="Arial"/>
          <w:b/>
          <w:sz w:val="24"/>
          <w:szCs w:val="24"/>
        </w:rPr>
        <w:t>:</w:t>
      </w:r>
      <w:r w:rsidRPr="00AC2206">
        <w:rPr>
          <w:rFonts w:ascii="Arial" w:eastAsia="Times New Roman" w:hAnsi="Arial" w:cs="Arial"/>
          <w:sz w:val="24"/>
          <w:szCs w:val="24"/>
        </w:rPr>
        <w:t xml:space="preserve"> Zakon o  lokalnoj i područnoj (regionalnoj) samoupravi, Zakon o udrugama i Uredba o kriterijima, mjerilima i postupcima financiranja i ugovaranja programa i projekata od interesa za opće dobro koje provode udruge.</w:t>
      </w:r>
    </w:p>
    <w:p w14:paraId="68C1ADB1"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sz w:val="24"/>
          <w:szCs w:val="24"/>
        </w:rPr>
        <w:t>Opis:</w:t>
      </w:r>
      <w:r w:rsidRPr="00AC2206">
        <w:rPr>
          <w:rFonts w:ascii="Arial" w:eastAsia="Times New Roman" w:hAnsi="Arial" w:cs="Arial"/>
          <w:sz w:val="24"/>
          <w:szCs w:val="24"/>
        </w:rPr>
        <w:t xml:space="preserve"> i za ovo područje djelovanja, raspisat će se natječaj temeljem kojeg će organizacije civilnog društva koje provode ovakav vid aktivnosti moći ostvariti potporu Grada Rovinja-Rovigno.</w:t>
      </w:r>
    </w:p>
    <w:p w14:paraId="6931505E" w14:textId="77777777" w:rsidR="00E541EE" w:rsidRPr="00AC2206" w:rsidRDefault="00E541EE" w:rsidP="00E541EE">
      <w:pPr>
        <w:jc w:val="both"/>
        <w:rPr>
          <w:rFonts w:ascii="Arial" w:eastAsia="Times New Roman" w:hAnsi="Arial" w:cs="Arial"/>
          <w:b/>
          <w:bCs/>
          <w:sz w:val="24"/>
          <w:szCs w:val="24"/>
        </w:rPr>
      </w:pPr>
      <w:r w:rsidRPr="00AC2206">
        <w:rPr>
          <w:rFonts w:ascii="Arial" w:eastAsia="Times New Roman" w:hAnsi="Arial" w:cs="Arial"/>
          <w:b/>
          <w:bCs/>
          <w:sz w:val="24"/>
          <w:szCs w:val="24"/>
        </w:rPr>
        <w:t xml:space="preserve">Opći cilj: </w:t>
      </w:r>
      <w:r w:rsidRPr="00AC2206">
        <w:rPr>
          <w:rFonts w:ascii="Arial" w:eastAsia="Times New Roman" w:hAnsi="Arial" w:cs="Arial"/>
          <w:sz w:val="24"/>
          <w:szCs w:val="24"/>
        </w:rPr>
        <w:t>poticanje građana na uključivanje i sudjelovanje u razvoju lokalne zajednice.</w:t>
      </w:r>
    </w:p>
    <w:p w14:paraId="23E503A9"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Pokazatelj uspješnosti</w:t>
      </w:r>
      <w:r w:rsidRPr="00AC2206">
        <w:rPr>
          <w:rFonts w:ascii="Arial" w:eastAsia="Times New Roman" w:hAnsi="Arial" w:cs="Arial"/>
          <w:b/>
          <w:sz w:val="24"/>
          <w:szCs w:val="24"/>
        </w:rPr>
        <w:t xml:space="preserve">: </w:t>
      </w:r>
      <w:r w:rsidRPr="00AC2206">
        <w:rPr>
          <w:rFonts w:ascii="Arial" w:eastAsia="Times New Roman" w:hAnsi="Arial" w:cs="Arial"/>
          <w:sz w:val="24"/>
          <w:szCs w:val="24"/>
        </w:rPr>
        <w:t>realizirani programi udruga.</w:t>
      </w:r>
    </w:p>
    <w:p w14:paraId="23CA383F" w14:textId="77777777" w:rsidR="00E541EE" w:rsidRPr="00AC2206" w:rsidRDefault="00E541EE" w:rsidP="00E541EE">
      <w:pPr>
        <w:jc w:val="both"/>
        <w:rPr>
          <w:rFonts w:ascii="Arial" w:eastAsia="Times New Roman" w:hAnsi="Arial" w:cs="Arial"/>
          <w:sz w:val="24"/>
          <w:szCs w:val="24"/>
        </w:rPr>
      </w:pPr>
    </w:p>
    <w:p w14:paraId="04CA36A3"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tabs>
          <w:tab w:val="left" w:pos="708"/>
          <w:tab w:val="center" w:pos="4536"/>
          <w:tab w:val="right" w:pos="9072"/>
        </w:tabs>
        <w:jc w:val="both"/>
        <w:rPr>
          <w:rFonts w:ascii="Arial" w:eastAsia="Times New Roman" w:hAnsi="Arial" w:cs="Arial"/>
          <w:b/>
          <w:bCs/>
          <w:sz w:val="24"/>
          <w:szCs w:val="24"/>
        </w:rPr>
      </w:pPr>
      <w:r w:rsidRPr="00AC2206">
        <w:rPr>
          <w:rFonts w:ascii="Arial" w:eastAsia="Times New Roman" w:hAnsi="Arial" w:cs="Arial"/>
          <w:b/>
          <w:bCs/>
          <w:sz w:val="24"/>
          <w:szCs w:val="24"/>
        </w:rPr>
        <w:t>A 103407: Povjerenstvo za ocjenjivanje prijava = 250,00 EUR</w:t>
      </w:r>
    </w:p>
    <w:p w14:paraId="5C9EAE81"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Zakonska osnova</w:t>
      </w:r>
      <w:r w:rsidRPr="00AC2206">
        <w:rPr>
          <w:rFonts w:ascii="Arial" w:eastAsia="Times New Roman" w:hAnsi="Arial" w:cs="Arial"/>
          <w:b/>
          <w:sz w:val="24"/>
          <w:szCs w:val="24"/>
        </w:rPr>
        <w:t>:</w:t>
      </w:r>
      <w:r w:rsidRPr="00AC2206">
        <w:rPr>
          <w:rFonts w:ascii="Arial" w:eastAsia="Times New Roman" w:hAnsi="Arial" w:cs="Arial"/>
          <w:sz w:val="24"/>
          <w:szCs w:val="24"/>
        </w:rPr>
        <w:t xml:space="preserve"> Zakon o  lokalnoj i područnoj (regionalnoj) samoupravi, Zakon o udrugama i Uredba o kriterijima, mjerilima i postupcima financiranja i ugovaranja programa i projekata od interesa za opće dobro koje provode udruge.</w:t>
      </w:r>
    </w:p>
    <w:p w14:paraId="4E9979E8" w14:textId="77777777" w:rsidR="00E541EE" w:rsidRPr="00AC2206" w:rsidRDefault="00E541EE" w:rsidP="00E541EE">
      <w:pPr>
        <w:tabs>
          <w:tab w:val="left" w:pos="708"/>
          <w:tab w:val="center" w:pos="4536"/>
          <w:tab w:val="right" w:pos="9072"/>
        </w:tabs>
        <w:jc w:val="both"/>
        <w:rPr>
          <w:rFonts w:ascii="Arial" w:eastAsia="Times New Roman" w:hAnsi="Arial" w:cs="Arial"/>
          <w:sz w:val="24"/>
          <w:szCs w:val="24"/>
        </w:rPr>
      </w:pPr>
      <w:r w:rsidRPr="00AC2206">
        <w:rPr>
          <w:rFonts w:ascii="Arial" w:eastAsia="Times New Roman" w:hAnsi="Arial" w:cs="Arial"/>
          <w:b/>
          <w:sz w:val="24"/>
          <w:szCs w:val="24"/>
        </w:rPr>
        <w:t>Opis:</w:t>
      </w:r>
      <w:r w:rsidRPr="00AC2206">
        <w:rPr>
          <w:rFonts w:ascii="Arial" w:eastAsia="Times New Roman" w:hAnsi="Arial" w:cs="Arial"/>
          <w:sz w:val="24"/>
          <w:szCs w:val="24"/>
        </w:rPr>
        <w:t xml:space="preserve"> za provedbu natječaja za spomenute aktivnosti potrebno je osigurati sredstva za rad Povjerenstva koje će ocjenjivati prijave.</w:t>
      </w:r>
    </w:p>
    <w:p w14:paraId="70E69A76" w14:textId="77777777" w:rsidR="00E541EE" w:rsidRPr="00AC2206" w:rsidRDefault="00E541EE" w:rsidP="00E541EE">
      <w:pPr>
        <w:jc w:val="both"/>
        <w:rPr>
          <w:rFonts w:ascii="Arial" w:eastAsia="Times New Roman" w:hAnsi="Arial" w:cs="Arial"/>
          <w:b/>
          <w:bCs/>
          <w:sz w:val="24"/>
          <w:szCs w:val="24"/>
        </w:rPr>
      </w:pPr>
      <w:r w:rsidRPr="00AC2206">
        <w:rPr>
          <w:rFonts w:ascii="Arial" w:eastAsia="Times New Roman" w:hAnsi="Arial" w:cs="Arial"/>
          <w:b/>
          <w:bCs/>
          <w:sz w:val="24"/>
          <w:szCs w:val="24"/>
        </w:rPr>
        <w:t xml:space="preserve">Opći cilj: </w:t>
      </w:r>
      <w:r w:rsidRPr="00AC2206">
        <w:rPr>
          <w:rFonts w:ascii="Arial" w:eastAsia="Times New Roman" w:hAnsi="Arial" w:cs="Arial"/>
          <w:bCs/>
          <w:sz w:val="24"/>
          <w:szCs w:val="24"/>
        </w:rPr>
        <w:t>neovisno kvalitativno ocjenjivanje prijava.</w:t>
      </w:r>
    </w:p>
    <w:p w14:paraId="59C09142" w14:textId="77777777" w:rsidR="00E541EE"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Pokazatelj uspješnosti</w:t>
      </w:r>
      <w:r w:rsidRPr="00AC2206">
        <w:rPr>
          <w:rFonts w:ascii="Arial" w:eastAsia="Times New Roman" w:hAnsi="Arial" w:cs="Arial"/>
          <w:b/>
          <w:sz w:val="24"/>
          <w:szCs w:val="24"/>
        </w:rPr>
        <w:t xml:space="preserve">: </w:t>
      </w:r>
      <w:r w:rsidRPr="00AC2206">
        <w:rPr>
          <w:rFonts w:ascii="Arial" w:eastAsia="Times New Roman" w:hAnsi="Arial" w:cs="Arial"/>
          <w:sz w:val="24"/>
          <w:szCs w:val="24"/>
        </w:rPr>
        <w:t>izvršene obveze prema članovima povjerenstva.</w:t>
      </w:r>
    </w:p>
    <w:p w14:paraId="4B917C80" w14:textId="77777777" w:rsidR="00E541EE" w:rsidRPr="00AC2206" w:rsidRDefault="00E541EE" w:rsidP="00E541EE">
      <w:pPr>
        <w:jc w:val="both"/>
        <w:rPr>
          <w:rFonts w:ascii="Arial" w:eastAsia="Times New Roman" w:hAnsi="Arial" w:cs="Arial"/>
          <w:sz w:val="24"/>
          <w:szCs w:val="24"/>
        </w:rPr>
      </w:pPr>
    </w:p>
    <w:p w14:paraId="27620714"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FFFF80"/>
        <w:jc w:val="both"/>
        <w:rPr>
          <w:rFonts w:ascii="Arial" w:eastAsia="Times New Roman" w:hAnsi="Arial" w:cs="Arial"/>
          <w:b/>
          <w:bCs/>
          <w:sz w:val="24"/>
          <w:szCs w:val="24"/>
        </w:rPr>
      </w:pPr>
      <w:r w:rsidRPr="00AC2206">
        <w:rPr>
          <w:rFonts w:ascii="Arial" w:eastAsia="Times New Roman" w:hAnsi="Arial" w:cs="Arial"/>
          <w:b/>
          <w:bCs/>
          <w:sz w:val="24"/>
          <w:szCs w:val="24"/>
        </w:rPr>
        <w:t>Program 1025: Opće javne potrebe u predškolstvu = 5</w:t>
      </w:r>
      <w:r>
        <w:rPr>
          <w:rFonts w:ascii="Arial" w:eastAsia="Times New Roman" w:hAnsi="Arial" w:cs="Arial"/>
          <w:b/>
          <w:bCs/>
          <w:sz w:val="24"/>
          <w:szCs w:val="24"/>
        </w:rPr>
        <w:t>7</w:t>
      </w:r>
      <w:r w:rsidRPr="00AC2206">
        <w:rPr>
          <w:rFonts w:ascii="Arial" w:eastAsia="Times New Roman" w:hAnsi="Arial" w:cs="Arial"/>
          <w:b/>
          <w:bCs/>
          <w:sz w:val="24"/>
          <w:szCs w:val="24"/>
        </w:rPr>
        <w:t>.</w:t>
      </w:r>
      <w:r>
        <w:rPr>
          <w:rFonts w:ascii="Arial" w:eastAsia="Times New Roman" w:hAnsi="Arial" w:cs="Arial"/>
          <w:b/>
          <w:bCs/>
          <w:sz w:val="24"/>
          <w:szCs w:val="24"/>
        </w:rPr>
        <w:t>0</w:t>
      </w:r>
      <w:r w:rsidRPr="00AC2206">
        <w:rPr>
          <w:rFonts w:ascii="Arial" w:eastAsia="Times New Roman" w:hAnsi="Arial" w:cs="Arial"/>
          <w:b/>
          <w:bCs/>
          <w:sz w:val="24"/>
          <w:szCs w:val="24"/>
        </w:rPr>
        <w:t>00,00 EUR</w:t>
      </w:r>
    </w:p>
    <w:p w14:paraId="76B6562A" w14:textId="77777777" w:rsidR="00E541EE" w:rsidRDefault="00E541EE" w:rsidP="00E541EE">
      <w:pPr>
        <w:jc w:val="both"/>
        <w:rPr>
          <w:rFonts w:ascii="Arial" w:eastAsia="Times New Roman" w:hAnsi="Arial" w:cs="Arial"/>
          <w:sz w:val="24"/>
          <w:szCs w:val="24"/>
        </w:rPr>
      </w:pPr>
    </w:p>
    <w:tbl>
      <w:tblPr>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24"/>
        <w:gridCol w:w="955"/>
        <w:gridCol w:w="992"/>
        <w:gridCol w:w="993"/>
        <w:gridCol w:w="1134"/>
        <w:gridCol w:w="992"/>
        <w:gridCol w:w="850"/>
        <w:gridCol w:w="851"/>
        <w:gridCol w:w="567"/>
        <w:gridCol w:w="698"/>
        <w:gridCol w:w="850"/>
      </w:tblGrid>
      <w:tr w:rsidR="00E541EE" w:rsidRPr="002E3985" w14:paraId="50068295" w14:textId="77777777" w:rsidTr="00D13D77">
        <w:trPr>
          <w:trHeight w:val="637"/>
          <w:jc w:val="center"/>
        </w:trPr>
        <w:tc>
          <w:tcPr>
            <w:tcW w:w="1324" w:type="dxa"/>
            <w:vMerge w:val="restart"/>
            <w:tcBorders>
              <w:bottom w:val="single" w:sz="4" w:space="0" w:color="auto"/>
            </w:tcBorders>
            <w:vAlign w:val="center"/>
          </w:tcPr>
          <w:p w14:paraId="4C148989" w14:textId="77777777" w:rsidR="00E541EE" w:rsidRPr="00A02E43" w:rsidRDefault="00E541EE" w:rsidP="00A84BB5">
            <w:pPr>
              <w:widowControl w:val="0"/>
              <w:autoSpaceDE w:val="0"/>
              <w:autoSpaceDN w:val="0"/>
              <w:spacing w:before="49"/>
              <w:jc w:val="center"/>
              <w:rPr>
                <w:rFonts w:cstheme="minorHAnsi"/>
                <w:b/>
                <w:sz w:val="15"/>
                <w:szCs w:val="15"/>
              </w:rPr>
            </w:pPr>
            <w:r w:rsidRPr="00A02E43">
              <w:rPr>
                <w:rFonts w:cstheme="minorHAnsi"/>
                <w:b/>
                <w:sz w:val="15"/>
                <w:szCs w:val="15"/>
              </w:rPr>
              <w:t>Doprinos</w:t>
            </w:r>
            <w:r w:rsidRPr="00A02E43">
              <w:rPr>
                <w:rFonts w:cstheme="minorHAnsi"/>
                <w:b/>
                <w:spacing w:val="-34"/>
                <w:sz w:val="15"/>
                <w:szCs w:val="15"/>
              </w:rPr>
              <w:t xml:space="preserve"> </w:t>
            </w:r>
            <w:r w:rsidRPr="00A02E43">
              <w:rPr>
                <w:rFonts w:cstheme="minorHAnsi"/>
                <w:b/>
                <w:sz w:val="15"/>
                <w:szCs w:val="15"/>
              </w:rPr>
              <w:t>provedbi</w:t>
            </w:r>
          </w:p>
          <w:p w14:paraId="4AED2569" w14:textId="77777777" w:rsidR="00E541EE" w:rsidRPr="00A02E43" w:rsidRDefault="00E541EE" w:rsidP="00A84BB5">
            <w:pPr>
              <w:widowControl w:val="0"/>
              <w:autoSpaceDE w:val="0"/>
              <w:autoSpaceDN w:val="0"/>
              <w:spacing w:line="194" w:lineRule="exact"/>
              <w:jc w:val="center"/>
              <w:rPr>
                <w:rFonts w:cstheme="minorHAnsi"/>
                <w:b/>
                <w:sz w:val="15"/>
                <w:szCs w:val="15"/>
              </w:rPr>
            </w:pPr>
            <w:r w:rsidRPr="00A02E43">
              <w:rPr>
                <w:rFonts w:cstheme="minorHAnsi"/>
                <w:b/>
                <w:sz w:val="15"/>
                <w:szCs w:val="15"/>
              </w:rPr>
              <w:t>nadređenog</w:t>
            </w:r>
          </w:p>
          <w:p w14:paraId="06C1026B" w14:textId="77777777" w:rsidR="00E541EE" w:rsidRPr="00A02E43" w:rsidRDefault="00E541EE" w:rsidP="00A84BB5">
            <w:pPr>
              <w:widowControl w:val="0"/>
              <w:autoSpaceDE w:val="0"/>
              <w:autoSpaceDN w:val="0"/>
              <w:spacing w:before="49"/>
              <w:jc w:val="center"/>
              <w:rPr>
                <w:rFonts w:cstheme="minorHAnsi"/>
                <w:b/>
                <w:sz w:val="15"/>
                <w:szCs w:val="15"/>
              </w:rPr>
            </w:pPr>
            <w:r w:rsidRPr="00A02E43">
              <w:rPr>
                <w:rFonts w:cstheme="minorHAnsi"/>
                <w:b/>
                <w:sz w:val="15"/>
                <w:szCs w:val="15"/>
              </w:rPr>
              <w:t>akta</w:t>
            </w:r>
            <w:r w:rsidRPr="00A02E43">
              <w:rPr>
                <w:rFonts w:cstheme="minorHAnsi"/>
                <w:b/>
                <w:spacing w:val="1"/>
                <w:sz w:val="15"/>
                <w:szCs w:val="15"/>
              </w:rPr>
              <w:t xml:space="preserve"> </w:t>
            </w:r>
            <w:r w:rsidRPr="00A02E43">
              <w:rPr>
                <w:rFonts w:cstheme="minorHAnsi"/>
                <w:b/>
                <w:sz w:val="15"/>
                <w:szCs w:val="15"/>
              </w:rPr>
              <w:t>strateškog</w:t>
            </w:r>
            <w:r w:rsidRPr="00A02E43">
              <w:rPr>
                <w:rFonts w:cstheme="minorHAnsi"/>
                <w:b/>
                <w:spacing w:val="-34"/>
                <w:sz w:val="15"/>
                <w:szCs w:val="15"/>
              </w:rPr>
              <w:t xml:space="preserve"> </w:t>
            </w:r>
            <w:r w:rsidRPr="00A02E43">
              <w:rPr>
                <w:rFonts w:cstheme="minorHAnsi"/>
                <w:b/>
                <w:sz w:val="15"/>
                <w:szCs w:val="15"/>
              </w:rPr>
              <w:t>planiranja</w:t>
            </w:r>
          </w:p>
        </w:tc>
        <w:tc>
          <w:tcPr>
            <w:tcW w:w="955" w:type="dxa"/>
            <w:vMerge w:val="restart"/>
            <w:tcBorders>
              <w:bottom w:val="single" w:sz="4" w:space="0" w:color="auto"/>
            </w:tcBorders>
            <w:vAlign w:val="center"/>
          </w:tcPr>
          <w:p w14:paraId="35866B1C" w14:textId="77777777" w:rsidR="00E541EE" w:rsidRPr="00A02E43" w:rsidRDefault="00E541EE" w:rsidP="00A84BB5">
            <w:pPr>
              <w:widowControl w:val="0"/>
              <w:autoSpaceDE w:val="0"/>
              <w:autoSpaceDN w:val="0"/>
              <w:spacing w:line="195" w:lineRule="exact"/>
              <w:ind w:left="44" w:right="35"/>
              <w:jc w:val="center"/>
              <w:rPr>
                <w:rFonts w:cstheme="minorHAnsi"/>
                <w:b/>
                <w:sz w:val="15"/>
                <w:szCs w:val="15"/>
              </w:rPr>
            </w:pPr>
            <w:r w:rsidRPr="00A02E43">
              <w:rPr>
                <w:rFonts w:cstheme="minorHAnsi"/>
                <w:b/>
                <w:sz w:val="15"/>
                <w:szCs w:val="15"/>
              </w:rPr>
              <w:t>Naziv</w:t>
            </w:r>
            <w:r w:rsidRPr="00A02E43">
              <w:rPr>
                <w:rFonts w:cstheme="minorHAnsi"/>
                <w:b/>
                <w:spacing w:val="-3"/>
                <w:sz w:val="15"/>
                <w:szCs w:val="15"/>
              </w:rPr>
              <w:t xml:space="preserve"> </w:t>
            </w:r>
            <w:r w:rsidRPr="00A02E43">
              <w:rPr>
                <w:rFonts w:cstheme="minorHAnsi"/>
                <w:b/>
                <w:sz w:val="15"/>
                <w:szCs w:val="15"/>
              </w:rPr>
              <w:t>cilja nadređenog</w:t>
            </w:r>
            <w:r w:rsidRPr="00A02E43">
              <w:rPr>
                <w:rFonts w:cstheme="minorHAnsi"/>
                <w:b/>
                <w:spacing w:val="1"/>
                <w:sz w:val="15"/>
                <w:szCs w:val="15"/>
              </w:rPr>
              <w:t xml:space="preserve"> </w:t>
            </w:r>
            <w:r w:rsidRPr="00A02E43">
              <w:rPr>
                <w:rFonts w:cstheme="minorHAnsi"/>
                <w:b/>
                <w:spacing w:val="-1"/>
                <w:sz w:val="15"/>
                <w:szCs w:val="15"/>
              </w:rPr>
              <w:t>akta</w:t>
            </w:r>
            <w:r w:rsidRPr="00A02E43">
              <w:rPr>
                <w:rFonts w:cstheme="minorHAnsi"/>
                <w:b/>
                <w:spacing w:val="-2"/>
                <w:sz w:val="15"/>
                <w:szCs w:val="15"/>
              </w:rPr>
              <w:t xml:space="preserve"> </w:t>
            </w:r>
            <w:r w:rsidRPr="00A02E43">
              <w:rPr>
                <w:rFonts w:cstheme="minorHAnsi"/>
                <w:b/>
                <w:spacing w:val="-1"/>
                <w:sz w:val="15"/>
                <w:szCs w:val="15"/>
              </w:rPr>
              <w:t xml:space="preserve">strateškog </w:t>
            </w:r>
            <w:r w:rsidRPr="00A02E43">
              <w:rPr>
                <w:rFonts w:cstheme="minorHAnsi"/>
                <w:b/>
                <w:sz w:val="15"/>
                <w:szCs w:val="15"/>
              </w:rPr>
              <w:t>planiranja</w:t>
            </w:r>
          </w:p>
        </w:tc>
        <w:tc>
          <w:tcPr>
            <w:tcW w:w="992" w:type="dxa"/>
            <w:vMerge w:val="restart"/>
            <w:tcBorders>
              <w:bottom w:val="single" w:sz="4" w:space="0" w:color="auto"/>
            </w:tcBorders>
            <w:vAlign w:val="center"/>
          </w:tcPr>
          <w:p w14:paraId="00C7D968" w14:textId="77777777" w:rsidR="00E541EE" w:rsidRPr="00A02E43" w:rsidRDefault="00E541EE" w:rsidP="00A84BB5">
            <w:pPr>
              <w:widowControl w:val="0"/>
              <w:autoSpaceDE w:val="0"/>
              <w:autoSpaceDN w:val="0"/>
              <w:ind w:left="125" w:right="114"/>
              <w:jc w:val="center"/>
              <w:rPr>
                <w:rFonts w:cstheme="minorHAnsi"/>
                <w:b/>
                <w:sz w:val="15"/>
                <w:szCs w:val="15"/>
              </w:rPr>
            </w:pPr>
            <w:r w:rsidRPr="00A02E43">
              <w:rPr>
                <w:rFonts w:cstheme="minorHAnsi"/>
                <w:b/>
                <w:spacing w:val="-1"/>
                <w:sz w:val="15"/>
                <w:szCs w:val="15"/>
              </w:rPr>
              <w:t xml:space="preserve">Program </w:t>
            </w:r>
            <w:r w:rsidRPr="00A02E43">
              <w:rPr>
                <w:rFonts w:cstheme="minorHAnsi"/>
                <w:b/>
                <w:sz w:val="15"/>
                <w:szCs w:val="15"/>
              </w:rPr>
              <w:t>u</w:t>
            </w:r>
            <w:r w:rsidRPr="00A02E43">
              <w:rPr>
                <w:rFonts w:cstheme="minorHAnsi"/>
                <w:b/>
                <w:spacing w:val="-34"/>
                <w:sz w:val="15"/>
                <w:szCs w:val="15"/>
              </w:rPr>
              <w:t xml:space="preserve"> </w:t>
            </w:r>
            <w:r w:rsidRPr="00A02E43">
              <w:rPr>
                <w:rFonts w:cstheme="minorHAnsi"/>
                <w:b/>
                <w:sz w:val="15"/>
                <w:szCs w:val="15"/>
              </w:rPr>
              <w:t xml:space="preserve">proračunu </w:t>
            </w:r>
            <w:r w:rsidRPr="00A02E43">
              <w:rPr>
                <w:rFonts w:cstheme="minorHAnsi"/>
                <w:b/>
                <w:spacing w:val="-34"/>
                <w:sz w:val="15"/>
                <w:szCs w:val="15"/>
              </w:rPr>
              <w:t xml:space="preserve"> </w:t>
            </w:r>
            <w:r w:rsidRPr="00A02E43">
              <w:rPr>
                <w:rFonts w:cstheme="minorHAnsi"/>
                <w:b/>
                <w:sz w:val="15"/>
                <w:szCs w:val="15"/>
              </w:rPr>
              <w:t>JLS</w:t>
            </w:r>
          </w:p>
        </w:tc>
        <w:tc>
          <w:tcPr>
            <w:tcW w:w="993" w:type="dxa"/>
            <w:vMerge w:val="restart"/>
            <w:tcBorders>
              <w:bottom w:val="single" w:sz="4" w:space="0" w:color="auto"/>
            </w:tcBorders>
            <w:vAlign w:val="center"/>
          </w:tcPr>
          <w:p w14:paraId="0DEC2228" w14:textId="77777777" w:rsidR="00E541EE" w:rsidRPr="00A02E43" w:rsidRDefault="00E541EE" w:rsidP="00A84BB5">
            <w:pPr>
              <w:widowControl w:val="0"/>
              <w:autoSpaceDE w:val="0"/>
              <w:autoSpaceDN w:val="0"/>
              <w:ind w:left="179"/>
              <w:jc w:val="center"/>
              <w:rPr>
                <w:rFonts w:cstheme="minorHAnsi"/>
                <w:b/>
                <w:sz w:val="15"/>
                <w:szCs w:val="15"/>
              </w:rPr>
            </w:pPr>
            <w:r w:rsidRPr="00A02E43">
              <w:rPr>
                <w:rFonts w:cstheme="minorHAnsi"/>
                <w:b/>
                <w:sz w:val="15"/>
                <w:szCs w:val="15"/>
              </w:rPr>
              <w:t>Naziv</w:t>
            </w:r>
            <w:r w:rsidRPr="00A02E43">
              <w:rPr>
                <w:rFonts w:cstheme="minorHAnsi"/>
                <w:b/>
                <w:spacing w:val="-2"/>
                <w:sz w:val="15"/>
                <w:szCs w:val="15"/>
              </w:rPr>
              <w:t xml:space="preserve"> </w:t>
            </w:r>
            <w:r w:rsidRPr="00A02E43">
              <w:rPr>
                <w:rFonts w:cstheme="minorHAnsi"/>
                <w:b/>
                <w:sz w:val="15"/>
                <w:szCs w:val="15"/>
              </w:rPr>
              <w:t>mjere</w:t>
            </w:r>
          </w:p>
        </w:tc>
        <w:tc>
          <w:tcPr>
            <w:tcW w:w="1134" w:type="dxa"/>
            <w:vMerge w:val="restart"/>
            <w:tcBorders>
              <w:bottom w:val="single" w:sz="4" w:space="0" w:color="auto"/>
            </w:tcBorders>
            <w:vAlign w:val="center"/>
          </w:tcPr>
          <w:p w14:paraId="36E714ED" w14:textId="77777777" w:rsidR="00E541EE" w:rsidRPr="00A02E43" w:rsidRDefault="00E541EE" w:rsidP="00A84BB5">
            <w:pPr>
              <w:widowControl w:val="0"/>
              <w:autoSpaceDE w:val="0"/>
              <w:autoSpaceDN w:val="0"/>
              <w:ind w:left="70" w:right="60"/>
              <w:jc w:val="center"/>
              <w:rPr>
                <w:rFonts w:cstheme="minorHAnsi"/>
                <w:b/>
                <w:sz w:val="15"/>
                <w:szCs w:val="15"/>
              </w:rPr>
            </w:pPr>
            <w:r w:rsidRPr="00A02E43">
              <w:rPr>
                <w:rFonts w:cstheme="minorHAnsi"/>
                <w:b/>
                <w:sz w:val="15"/>
                <w:szCs w:val="15"/>
              </w:rPr>
              <w:t>Procijenjeni</w:t>
            </w:r>
            <w:r w:rsidRPr="00A02E43">
              <w:rPr>
                <w:rFonts w:cstheme="minorHAnsi"/>
                <w:b/>
                <w:spacing w:val="-34"/>
                <w:sz w:val="15"/>
                <w:szCs w:val="15"/>
              </w:rPr>
              <w:t xml:space="preserve"> </w:t>
            </w:r>
            <w:r w:rsidRPr="00A02E43">
              <w:rPr>
                <w:rFonts w:cstheme="minorHAnsi"/>
                <w:b/>
                <w:sz w:val="15"/>
                <w:szCs w:val="15"/>
              </w:rPr>
              <w:t>trošak</w:t>
            </w:r>
            <w:r w:rsidRPr="00A02E43">
              <w:rPr>
                <w:rFonts w:cstheme="minorHAnsi"/>
                <w:b/>
                <w:spacing w:val="1"/>
                <w:sz w:val="15"/>
                <w:szCs w:val="15"/>
              </w:rPr>
              <w:t xml:space="preserve"> </w:t>
            </w:r>
            <w:r w:rsidRPr="00A02E43">
              <w:rPr>
                <w:rFonts w:cstheme="minorHAnsi"/>
                <w:b/>
                <w:sz w:val="15"/>
                <w:szCs w:val="15"/>
              </w:rPr>
              <w:t>provedbe</w:t>
            </w:r>
            <w:r w:rsidRPr="00A02E43">
              <w:rPr>
                <w:rFonts w:cstheme="minorHAnsi"/>
                <w:b/>
                <w:spacing w:val="1"/>
                <w:sz w:val="15"/>
                <w:szCs w:val="15"/>
              </w:rPr>
              <w:t xml:space="preserve"> </w:t>
            </w:r>
            <w:r w:rsidRPr="00A02E43">
              <w:rPr>
                <w:rFonts w:cstheme="minorHAnsi"/>
                <w:b/>
                <w:sz w:val="15"/>
                <w:szCs w:val="15"/>
              </w:rPr>
              <w:t>mjere 2026.</w:t>
            </w:r>
          </w:p>
          <w:p w14:paraId="5A1A9682" w14:textId="77777777" w:rsidR="00E541EE" w:rsidRPr="00A02E43" w:rsidRDefault="00E541EE" w:rsidP="00A84BB5">
            <w:pPr>
              <w:widowControl w:val="0"/>
              <w:autoSpaceDE w:val="0"/>
              <w:autoSpaceDN w:val="0"/>
              <w:spacing w:before="2"/>
              <w:ind w:left="70" w:right="58"/>
              <w:jc w:val="center"/>
              <w:rPr>
                <w:rFonts w:cstheme="minorHAnsi"/>
                <w:b/>
                <w:sz w:val="15"/>
                <w:szCs w:val="15"/>
              </w:rPr>
            </w:pPr>
            <w:r w:rsidRPr="00A02E43">
              <w:rPr>
                <w:rFonts w:cstheme="minorHAnsi"/>
                <w:b/>
                <w:sz w:val="15"/>
                <w:szCs w:val="15"/>
              </w:rPr>
              <w:t>(u EUR)</w:t>
            </w:r>
          </w:p>
        </w:tc>
        <w:tc>
          <w:tcPr>
            <w:tcW w:w="992" w:type="dxa"/>
            <w:vMerge w:val="restart"/>
            <w:tcBorders>
              <w:bottom w:val="single" w:sz="4" w:space="0" w:color="auto"/>
            </w:tcBorders>
            <w:vAlign w:val="center"/>
          </w:tcPr>
          <w:p w14:paraId="490CE99E" w14:textId="77777777" w:rsidR="00E541EE" w:rsidRPr="00A02E43" w:rsidRDefault="00E541EE" w:rsidP="00A84BB5">
            <w:pPr>
              <w:widowControl w:val="0"/>
              <w:autoSpaceDE w:val="0"/>
              <w:autoSpaceDN w:val="0"/>
              <w:jc w:val="center"/>
              <w:rPr>
                <w:rFonts w:cstheme="minorHAnsi"/>
                <w:b/>
                <w:sz w:val="15"/>
                <w:szCs w:val="15"/>
              </w:rPr>
            </w:pPr>
            <w:r w:rsidRPr="00A02E43">
              <w:rPr>
                <w:rFonts w:cstheme="minorHAnsi"/>
                <w:b/>
                <w:sz w:val="15"/>
                <w:szCs w:val="15"/>
              </w:rPr>
              <w:t>Ključne</w:t>
            </w:r>
          </w:p>
          <w:p w14:paraId="0F6B3DEC" w14:textId="77777777" w:rsidR="00E541EE" w:rsidRPr="00A02E43" w:rsidRDefault="00E541EE" w:rsidP="00A84BB5">
            <w:pPr>
              <w:widowControl w:val="0"/>
              <w:autoSpaceDE w:val="0"/>
              <w:autoSpaceDN w:val="0"/>
              <w:spacing w:before="1"/>
              <w:jc w:val="center"/>
              <w:rPr>
                <w:rFonts w:cstheme="minorHAnsi"/>
                <w:b/>
                <w:sz w:val="15"/>
                <w:szCs w:val="15"/>
              </w:rPr>
            </w:pPr>
            <w:r w:rsidRPr="00A02E43">
              <w:rPr>
                <w:rFonts w:cstheme="minorHAnsi"/>
                <w:b/>
                <w:sz w:val="15"/>
                <w:szCs w:val="15"/>
              </w:rPr>
              <w:t>aktivnosti</w:t>
            </w:r>
          </w:p>
        </w:tc>
        <w:tc>
          <w:tcPr>
            <w:tcW w:w="850" w:type="dxa"/>
            <w:vMerge w:val="restart"/>
            <w:tcBorders>
              <w:bottom w:val="single" w:sz="4" w:space="0" w:color="auto"/>
            </w:tcBorders>
            <w:vAlign w:val="center"/>
          </w:tcPr>
          <w:p w14:paraId="20335350" w14:textId="77777777" w:rsidR="00E541EE" w:rsidRPr="00A02E43" w:rsidRDefault="00E541EE" w:rsidP="00A84BB5">
            <w:pPr>
              <w:widowControl w:val="0"/>
              <w:autoSpaceDE w:val="0"/>
              <w:autoSpaceDN w:val="0"/>
              <w:ind w:left="62" w:right="97" w:hanging="44"/>
              <w:jc w:val="center"/>
              <w:rPr>
                <w:rFonts w:cstheme="minorHAnsi"/>
                <w:b/>
                <w:sz w:val="15"/>
                <w:szCs w:val="15"/>
              </w:rPr>
            </w:pPr>
            <w:r w:rsidRPr="00A02E43">
              <w:rPr>
                <w:rFonts w:cstheme="minorHAnsi"/>
                <w:b/>
                <w:sz w:val="15"/>
                <w:szCs w:val="15"/>
              </w:rPr>
              <w:t>Pokazatelj</w:t>
            </w:r>
            <w:r w:rsidRPr="00A02E43">
              <w:rPr>
                <w:rFonts w:cstheme="minorHAnsi"/>
                <w:b/>
                <w:spacing w:val="-34"/>
                <w:sz w:val="15"/>
                <w:szCs w:val="15"/>
              </w:rPr>
              <w:t xml:space="preserve"> </w:t>
            </w:r>
            <w:r w:rsidRPr="00A02E43">
              <w:rPr>
                <w:rFonts w:cstheme="minorHAnsi"/>
                <w:b/>
                <w:sz w:val="15"/>
                <w:szCs w:val="15"/>
              </w:rPr>
              <w:t>rezultata</w:t>
            </w:r>
          </w:p>
        </w:tc>
        <w:tc>
          <w:tcPr>
            <w:tcW w:w="851" w:type="dxa"/>
            <w:vMerge w:val="restart"/>
            <w:tcBorders>
              <w:bottom w:val="single" w:sz="4" w:space="0" w:color="auto"/>
            </w:tcBorders>
            <w:vAlign w:val="center"/>
          </w:tcPr>
          <w:p w14:paraId="6C0FEFF6" w14:textId="77777777" w:rsidR="00E541EE" w:rsidRPr="00A02E43" w:rsidRDefault="00E541EE" w:rsidP="00A84BB5">
            <w:pPr>
              <w:widowControl w:val="0"/>
              <w:autoSpaceDE w:val="0"/>
              <w:autoSpaceDN w:val="0"/>
              <w:ind w:left="44" w:right="32"/>
              <w:jc w:val="center"/>
              <w:rPr>
                <w:rFonts w:cstheme="minorHAnsi"/>
                <w:b/>
                <w:sz w:val="15"/>
                <w:szCs w:val="15"/>
              </w:rPr>
            </w:pPr>
            <w:r w:rsidRPr="00A02E43">
              <w:rPr>
                <w:rFonts w:cstheme="minorHAnsi"/>
                <w:b/>
                <w:sz w:val="15"/>
                <w:szCs w:val="15"/>
              </w:rPr>
              <w:t>Početna</w:t>
            </w:r>
            <w:r w:rsidRPr="00A02E43">
              <w:rPr>
                <w:rFonts w:cstheme="minorHAnsi"/>
                <w:b/>
                <w:spacing w:val="1"/>
                <w:sz w:val="15"/>
                <w:szCs w:val="15"/>
              </w:rPr>
              <w:t xml:space="preserve"> </w:t>
            </w:r>
            <w:r w:rsidRPr="00A02E43">
              <w:rPr>
                <w:rFonts w:cstheme="minorHAnsi"/>
                <w:b/>
                <w:sz w:val="15"/>
                <w:szCs w:val="15"/>
              </w:rPr>
              <w:t>vrijednost 2025.</w:t>
            </w:r>
            <w:r w:rsidRPr="00A02E43">
              <w:rPr>
                <w:rFonts w:cstheme="minorHAnsi"/>
                <w:b/>
                <w:spacing w:val="-34"/>
                <w:sz w:val="15"/>
                <w:szCs w:val="15"/>
              </w:rPr>
              <w:t xml:space="preserve"> </w:t>
            </w:r>
          </w:p>
        </w:tc>
        <w:tc>
          <w:tcPr>
            <w:tcW w:w="2115" w:type="dxa"/>
            <w:gridSpan w:val="3"/>
            <w:tcBorders>
              <w:bottom w:val="single" w:sz="4" w:space="0" w:color="auto"/>
            </w:tcBorders>
            <w:vAlign w:val="center"/>
          </w:tcPr>
          <w:p w14:paraId="3A75B0A5" w14:textId="77777777" w:rsidR="00E541EE" w:rsidRPr="00A02E43" w:rsidRDefault="00E541EE" w:rsidP="00A84BB5">
            <w:pPr>
              <w:widowControl w:val="0"/>
              <w:autoSpaceDE w:val="0"/>
              <w:autoSpaceDN w:val="0"/>
              <w:ind w:left="70" w:right="56"/>
              <w:jc w:val="center"/>
              <w:rPr>
                <w:rFonts w:cstheme="minorHAnsi"/>
                <w:b/>
                <w:sz w:val="15"/>
                <w:szCs w:val="15"/>
              </w:rPr>
            </w:pPr>
            <w:r w:rsidRPr="00A02E43">
              <w:rPr>
                <w:rFonts w:cstheme="minorHAnsi"/>
                <w:b/>
                <w:sz w:val="15"/>
                <w:szCs w:val="15"/>
              </w:rPr>
              <w:t>Ciljna</w:t>
            </w:r>
            <w:r w:rsidRPr="00A02E43">
              <w:rPr>
                <w:rFonts w:cstheme="minorHAnsi"/>
                <w:b/>
                <w:spacing w:val="1"/>
                <w:sz w:val="15"/>
                <w:szCs w:val="15"/>
              </w:rPr>
              <w:t xml:space="preserve"> </w:t>
            </w:r>
            <w:r w:rsidRPr="00A02E43">
              <w:rPr>
                <w:rFonts w:cstheme="minorHAnsi"/>
                <w:b/>
                <w:sz w:val="15"/>
                <w:szCs w:val="15"/>
              </w:rPr>
              <w:t>vrijednost</w:t>
            </w:r>
            <w:r w:rsidRPr="00A02E43">
              <w:rPr>
                <w:rFonts w:cstheme="minorHAnsi"/>
                <w:b/>
                <w:spacing w:val="-34"/>
                <w:sz w:val="15"/>
                <w:szCs w:val="15"/>
              </w:rPr>
              <w:t xml:space="preserve"> </w:t>
            </w:r>
          </w:p>
        </w:tc>
      </w:tr>
      <w:tr w:rsidR="00E541EE" w:rsidRPr="002E3985" w14:paraId="56C83706" w14:textId="77777777" w:rsidTr="00D13D77">
        <w:trPr>
          <w:trHeight w:val="251"/>
          <w:jc w:val="center"/>
        </w:trPr>
        <w:tc>
          <w:tcPr>
            <w:tcW w:w="1324" w:type="dxa"/>
            <w:vMerge/>
            <w:tcBorders>
              <w:top w:val="single" w:sz="4" w:space="0" w:color="auto"/>
              <w:bottom w:val="single" w:sz="4" w:space="0" w:color="auto"/>
            </w:tcBorders>
            <w:vAlign w:val="center"/>
          </w:tcPr>
          <w:p w14:paraId="24CC6366" w14:textId="77777777" w:rsidR="00E541EE" w:rsidRPr="00A02E43" w:rsidRDefault="00E541EE" w:rsidP="00A84BB5">
            <w:pPr>
              <w:widowControl w:val="0"/>
              <w:autoSpaceDE w:val="0"/>
              <w:autoSpaceDN w:val="0"/>
              <w:spacing w:before="49"/>
              <w:jc w:val="center"/>
              <w:rPr>
                <w:rFonts w:cstheme="minorHAnsi"/>
                <w:b/>
                <w:sz w:val="15"/>
                <w:szCs w:val="15"/>
              </w:rPr>
            </w:pPr>
          </w:p>
        </w:tc>
        <w:tc>
          <w:tcPr>
            <w:tcW w:w="955" w:type="dxa"/>
            <w:vMerge/>
            <w:tcBorders>
              <w:top w:val="single" w:sz="4" w:space="0" w:color="auto"/>
              <w:bottom w:val="single" w:sz="4" w:space="0" w:color="auto"/>
            </w:tcBorders>
            <w:vAlign w:val="center"/>
          </w:tcPr>
          <w:p w14:paraId="500E0EA7" w14:textId="77777777" w:rsidR="00E541EE" w:rsidRPr="00A02E43" w:rsidRDefault="00E541EE" w:rsidP="00A84BB5">
            <w:pPr>
              <w:widowControl w:val="0"/>
              <w:autoSpaceDE w:val="0"/>
              <w:autoSpaceDN w:val="0"/>
              <w:spacing w:line="195" w:lineRule="exact"/>
              <w:ind w:left="44" w:right="35"/>
              <w:jc w:val="center"/>
              <w:rPr>
                <w:rFonts w:cstheme="minorHAnsi"/>
                <w:b/>
                <w:sz w:val="15"/>
                <w:szCs w:val="15"/>
              </w:rPr>
            </w:pPr>
          </w:p>
        </w:tc>
        <w:tc>
          <w:tcPr>
            <w:tcW w:w="992" w:type="dxa"/>
            <w:vMerge/>
            <w:tcBorders>
              <w:top w:val="single" w:sz="4" w:space="0" w:color="auto"/>
              <w:bottom w:val="single" w:sz="4" w:space="0" w:color="auto"/>
            </w:tcBorders>
            <w:vAlign w:val="center"/>
          </w:tcPr>
          <w:p w14:paraId="46550B43" w14:textId="77777777" w:rsidR="00E541EE" w:rsidRPr="00A02E43" w:rsidRDefault="00E541EE" w:rsidP="00A84BB5">
            <w:pPr>
              <w:widowControl w:val="0"/>
              <w:autoSpaceDE w:val="0"/>
              <w:autoSpaceDN w:val="0"/>
              <w:ind w:left="125" w:right="114"/>
              <w:jc w:val="center"/>
              <w:rPr>
                <w:rFonts w:cstheme="minorHAnsi"/>
                <w:b/>
                <w:spacing w:val="-1"/>
                <w:sz w:val="15"/>
                <w:szCs w:val="15"/>
              </w:rPr>
            </w:pPr>
          </w:p>
        </w:tc>
        <w:tc>
          <w:tcPr>
            <w:tcW w:w="993" w:type="dxa"/>
            <w:vMerge/>
            <w:tcBorders>
              <w:top w:val="single" w:sz="4" w:space="0" w:color="auto"/>
              <w:bottom w:val="single" w:sz="4" w:space="0" w:color="auto"/>
            </w:tcBorders>
            <w:vAlign w:val="center"/>
          </w:tcPr>
          <w:p w14:paraId="479DE713" w14:textId="77777777" w:rsidR="00E541EE" w:rsidRPr="00A02E43" w:rsidRDefault="00E541EE" w:rsidP="00A84BB5">
            <w:pPr>
              <w:widowControl w:val="0"/>
              <w:autoSpaceDE w:val="0"/>
              <w:autoSpaceDN w:val="0"/>
              <w:ind w:left="179"/>
              <w:jc w:val="center"/>
              <w:rPr>
                <w:rFonts w:cstheme="minorHAnsi"/>
                <w:b/>
                <w:sz w:val="15"/>
                <w:szCs w:val="15"/>
              </w:rPr>
            </w:pPr>
          </w:p>
        </w:tc>
        <w:tc>
          <w:tcPr>
            <w:tcW w:w="1134" w:type="dxa"/>
            <w:vMerge/>
            <w:tcBorders>
              <w:top w:val="single" w:sz="4" w:space="0" w:color="auto"/>
              <w:bottom w:val="single" w:sz="4" w:space="0" w:color="auto"/>
            </w:tcBorders>
            <w:vAlign w:val="center"/>
          </w:tcPr>
          <w:p w14:paraId="0FB6A6A9" w14:textId="77777777" w:rsidR="00E541EE" w:rsidRPr="00A02E43" w:rsidRDefault="00E541EE" w:rsidP="00A84BB5">
            <w:pPr>
              <w:widowControl w:val="0"/>
              <w:autoSpaceDE w:val="0"/>
              <w:autoSpaceDN w:val="0"/>
              <w:ind w:left="70" w:right="60"/>
              <w:jc w:val="center"/>
              <w:rPr>
                <w:rFonts w:cstheme="minorHAnsi"/>
                <w:b/>
                <w:sz w:val="15"/>
                <w:szCs w:val="15"/>
              </w:rPr>
            </w:pPr>
          </w:p>
        </w:tc>
        <w:tc>
          <w:tcPr>
            <w:tcW w:w="992" w:type="dxa"/>
            <w:vMerge/>
            <w:tcBorders>
              <w:top w:val="single" w:sz="4" w:space="0" w:color="auto"/>
              <w:bottom w:val="single" w:sz="4" w:space="0" w:color="auto"/>
            </w:tcBorders>
            <w:vAlign w:val="center"/>
          </w:tcPr>
          <w:p w14:paraId="6D24644E" w14:textId="77777777" w:rsidR="00E541EE" w:rsidRPr="00A02E43" w:rsidRDefault="00E541EE" w:rsidP="00A84BB5">
            <w:pPr>
              <w:widowControl w:val="0"/>
              <w:autoSpaceDE w:val="0"/>
              <w:autoSpaceDN w:val="0"/>
              <w:ind w:left="311"/>
              <w:jc w:val="center"/>
              <w:rPr>
                <w:rFonts w:cstheme="minorHAnsi"/>
                <w:b/>
                <w:sz w:val="15"/>
                <w:szCs w:val="15"/>
              </w:rPr>
            </w:pPr>
          </w:p>
        </w:tc>
        <w:tc>
          <w:tcPr>
            <w:tcW w:w="850" w:type="dxa"/>
            <w:vMerge/>
            <w:tcBorders>
              <w:top w:val="single" w:sz="4" w:space="0" w:color="auto"/>
              <w:bottom w:val="single" w:sz="4" w:space="0" w:color="auto"/>
            </w:tcBorders>
            <w:vAlign w:val="center"/>
          </w:tcPr>
          <w:p w14:paraId="2828E60B" w14:textId="77777777" w:rsidR="00E541EE" w:rsidRPr="00A02E43" w:rsidRDefault="00E541EE" w:rsidP="00A84BB5">
            <w:pPr>
              <w:widowControl w:val="0"/>
              <w:autoSpaceDE w:val="0"/>
              <w:autoSpaceDN w:val="0"/>
              <w:ind w:left="174" w:right="97" w:hanging="44"/>
              <w:jc w:val="center"/>
              <w:rPr>
                <w:rFonts w:cstheme="minorHAnsi"/>
                <w:b/>
                <w:sz w:val="15"/>
                <w:szCs w:val="15"/>
              </w:rPr>
            </w:pPr>
          </w:p>
        </w:tc>
        <w:tc>
          <w:tcPr>
            <w:tcW w:w="851" w:type="dxa"/>
            <w:vMerge/>
            <w:tcBorders>
              <w:top w:val="single" w:sz="4" w:space="0" w:color="auto"/>
              <w:bottom w:val="single" w:sz="4" w:space="0" w:color="auto"/>
            </w:tcBorders>
            <w:vAlign w:val="center"/>
          </w:tcPr>
          <w:p w14:paraId="440E0871" w14:textId="77777777" w:rsidR="00E541EE" w:rsidRPr="00A02E43" w:rsidRDefault="00E541EE" w:rsidP="00A84BB5">
            <w:pPr>
              <w:widowControl w:val="0"/>
              <w:autoSpaceDE w:val="0"/>
              <w:autoSpaceDN w:val="0"/>
              <w:ind w:left="44" w:right="32"/>
              <w:jc w:val="center"/>
              <w:rPr>
                <w:rFonts w:cstheme="minorHAnsi"/>
                <w:b/>
                <w:sz w:val="15"/>
                <w:szCs w:val="15"/>
              </w:rPr>
            </w:pPr>
          </w:p>
        </w:tc>
        <w:tc>
          <w:tcPr>
            <w:tcW w:w="567" w:type="dxa"/>
            <w:tcBorders>
              <w:top w:val="single" w:sz="4" w:space="0" w:color="auto"/>
              <w:bottom w:val="single" w:sz="4" w:space="0" w:color="auto"/>
            </w:tcBorders>
            <w:vAlign w:val="center"/>
          </w:tcPr>
          <w:p w14:paraId="6966A5B9" w14:textId="77777777" w:rsidR="00E541EE" w:rsidRPr="00A02E43" w:rsidRDefault="00E541EE" w:rsidP="00A84BB5">
            <w:pPr>
              <w:widowControl w:val="0"/>
              <w:autoSpaceDE w:val="0"/>
              <w:autoSpaceDN w:val="0"/>
              <w:ind w:left="87" w:right="70"/>
              <w:jc w:val="center"/>
              <w:rPr>
                <w:rFonts w:cstheme="minorHAnsi"/>
                <w:b/>
                <w:sz w:val="15"/>
                <w:szCs w:val="15"/>
              </w:rPr>
            </w:pPr>
            <w:r w:rsidRPr="00A02E43">
              <w:rPr>
                <w:rFonts w:cstheme="minorHAnsi"/>
                <w:b/>
                <w:sz w:val="15"/>
                <w:szCs w:val="15"/>
              </w:rPr>
              <w:t>za 2026.</w:t>
            </w:r>
          </w:p>
        </w:tc>
        <w:tc>
          <w:tcPr>
            <w:tcW w:w="698" w:type="dxa"/>
            <w:tcBorders>
              <w:top w:val="single" w:sz="4" w:space="0" w:color="auto"/>
              <w:bottom w:val="single" w:sz="4" w:space="0" w:color="auto"/>
            </w:tcBorders>
            <w:vAlign w:val="center"/>
          </w:tcPr>
          <w:p w14:paraId="21F09FC6" w14:textId="77777777" w:rsidR="00E541EE" w:rsidRPr="00A02E43" w:rsidRDefault="00E541EE" w:rsidP="00A84BB5">
            <w:pPr>
              <w:widowControl w:val="0"/>
              <w:autoSpaceDE w:val="0"/>
              <w:autoSpaceDN w:val="0"/>
              <w:ind w:left="75" w:right="61"/>
              <w:jc w:val="center"/>
              <w:rPr>
                <w:rFonts w:cstheme="minorHAnsi"/>
                <w:b/>
                <w:sz w:val="15"/>
                <w:szCs w:val="15"/>
              </w:rPr>
            </w:pPr>
            <w:r w:rsidRPr="00A02E43">
              <w:rPr>
                <w:rFonts w:cstheme="minorHAnsi"/>
                <w:b/>
                <w:sz w:val="15"/>
                <w:szCs w:val="15"/>
              </w:rPr>
              <w:t>za</w:t>
            </w:r>
          </w:p>
          <w:p w14:paraId="272E222F" w14:textId="77777777" w:rsidR="00E541EE" w:rsidRPr="00A02E43" w:rsidRDefault="00E541EE" w:rsidP="00A84BB5">
            <w:pPr>
              <w:widowControl w:val="0"/>
              <w:autoSpaceDE w:val="0"/>
              <w:autoSpaceDN w:val="0"/>
              <w:ind w:left="75" w:right="61"/>
              <w:jc w:val="center"/>
              <w:rPr>
                <w:rFonts w:cstheme="minorHAnsi"/>
                <w:b/>
                <w:sz w:val="15"/>
                <w:szCs w:val="15"/>
              </w:rPr>
            </w:pPr>
            <w:r w:rsidRPr="00A02E43">
              <w:rPr>
                <w:rFonts w:cstheme="minorHAnsi"/>
                <w:b/>
                <w:sz w:val="15"/>
                <w:szCs w:val="15"/>
              </w:rPr>
              <w:t>2027.</w:t>
            </w:r>
          </w:p>
        </w:tc>
        <w:tc>
          <w:tcPr>
            <w:tcW w:w="850" w:type="dxa"/>
            <w:tcBorders>
              <w:top w:val="single" w:sz="4" w:space="0" w:color="auto"/>
              <w:bottom w:val="single" w:sz="4" w:space="0" w:color="auto"/>
            </w:tcBorders>
            <w:vAlign w:val="center"/>
          </w:tcPr>
          <w:p w14:paraId="2FE221D8" w14:textId="77777777" w:rsidR="00E541EE" w:rsidRPr="00A02E43" w:rsidRDefault="00E541EE" w:rsidP="00A84BB5">
            <w:pPr>
              <w:widowControl w:val="0"/>
              <w:autoSpaceDE w:val="0"/>
              <w:autoSpaceDN w:val="0"/>
              <w:ind w:left="70" w:right="56"/>
              <w:jc w:val="center"/>
              <w:rPr>
                <w:rFonts w:cstheme="minorHAnsi"/>
                <w:b/>
                <w:sz w:val="15"/>
                <w:szCs w:val="15"/>
              </w:rPr>
            </w:pPr>
            <w:r w:rsidRPr="00A02E43">
              <w:rPr>
                <w:rFonts w:cstheme="minorHAnsi"/>
                <w:b/>
                <w:sz w:val="15"/>
                <w:szCs w:val="15"/>
              </w:rPr>
              <w:t>za</w:t>
            </w:r>
          </w:p>
          <w:p w14:paraId="11391ADC" w14:textId="77777777" w:rsidR="00E541EE" w:rsidRPr="00A02E43" w:rsidRDefault="00E541EE" w:rsidP="00A84BB5">
            <w:pPr>
              <w:widowControl w:val="0"/>
              <w:autoSpaceDE w:val="0"/>
              <w:autoSpaceDN w:val="0"/>
              <w:ind w:left="70" w:right="56"/>
              <w:jc w:val="center"/>
              <w:rPr>
                <w:rFonts w:cstheme="minorHAnsi"/>
                <w:b/>
                <w:sz w:val="15"/>
                <w:szCs w:val="15"/>
              </w:rPr>
            </w:pPr>
            <w:r w:rsidRPr="00A02E43">
              <w:rPr>
                <w:rFonts w:cstheme="minorHAnsi"/>
                <w:b/>
                <w:sz w:val="15"/>
                <w:szCs w:val="15"/>
              </w:rPr>
              <w:t>2028.</w:t>
            </w:r>
          </w:p>
        </w:tc>
      </w:tr>
      <w:tr w:rsidR="00E541EE" w:rsidRPr="002E3985" w14:paraId="6C0101CA" w14:textId="77777777" w:rsidTr="00D13D77">
        <w:trPr>
          <w:trHeight w:val="3455"/>
          <w:jc w:val="center"/>
        </w:trPr>
        <w:tc>
          <w:tcPr>
            <w:tcW w:w="1324" w:type="dxa"/>
            <w:vMerge w:val="restart"/>
            <w:tcBorders>
              <w:top w:val="single" w:sz="4" w:space="0" w:color="auto"/>
              <w:bottom w:val="single" w:sz="4" w:space="0" w:color="auto"/>
            </w:tcBorders>
            <w:vAlign w:val="center"/>
          </w:tcPr>
          <w:p w14:paraId="59F3B77F" w14:textId="77777777" w:rsidR="00E541EE" w:rsidRPr="00A02E43" w:rsidRDefault="00E541EE" w:rsidP="00A84BB5">
            <w:pPr>
              <w:widowControl w:val="0"/>
              <w:autoSpaceDE w:val="0"/>
              <w:autoSpaceDN w:val="0"/>
              <w:spacing w:before="49"/>
              <w:ind w:left="44" w:right="35"/>
              <w:jc w:val="center"/>
              <w:rPr>
                <w:rFonts w:cstheme="minorHAnsi"/>
                <w:sz w:val="15"/>
                <w:szCs w:val="15"/>
              </w:rPr>
            </w:pPr>
            <w:r w:rsidRPr="00A02E43">
              <w:rPr>
                <w:rFonts w:cstheme="minorHAnsi"/>
                <w:sz w:val="15"/>
                <w:szCs w:val="15"/>
              </w:rPr>
              <w:t>Provedbeni program Grada Rovinja-Rovigno za razdoblje 2025.-2029. godine</w:t>
            </w:r>
          </w:p>
        </w:tc>
        <w:tc>
          <w:tcPr>
            <w:tcW w:w="955" w:type="dxa"/>
            <w:vMerge w:val="restart"/>
            <w:tcBorders>
              <w:top w:val="single" w:sz="4" w:space="0" w:color="auto"/>
              <w:bottom w:val="single" w:sz="4" w:space="0" w:color="auto"/>
            </w:tcBorders>
            <w:vAlign w:val="center"/>
          </w:tcPr>
          <w:p w14:paraId="75D36690" w14:textId="77777777" w:rsidR="00E541EE" w:rsidRPr="00A02E43" w:rsidRDefault="00E541EE" w:rsidP="00A84BB5">
            <w:pPr>
              <w:widowControl w:val="0"/>
              <w:autoSpaceDE w:val="0"/>
              <w:autoSpaceDN w:val="0"/>
              <w:jc w:val="center"/>
              <w:rPr>
                <w:rFonts w:cstheme="minorHAnsi"/>
                <w:sz w:val="15"/>
                <w:szCs w:val="15"/>
              </w:rPr>
            </w:pPr>
          </w:p>
          <w:p w14:paraId="4A12A3F0" w14:textId="77777777" w:rsidR="00E541EE" w:rsidRPr="00A02E43" w:rsidRDefault="00E541EE" w:rsidP="00A84BB5">
            <w:pPr>
              <w:widowControl w:val="0"/>
              <w:autoSpaceDE w:val="0"/>
              <w:autoSpaceDN w:val="0"/>
              <w:ind w:left="28" w:right="19" w:firstLine="2"/>
              <w:jc w:val="center"/>
              <w:rPr>
                <w:rFonts w:cstheme="minorHAnsi"/>
                <w:sz w:val="15"/>
                <w:szCs w:val="15"/>
              </w:rPr>
            </w:pPr>
          </w:p>
          <w:p w14:paraId="48281151" w14:textId="77777777" w:rsidR="00E541EE" w:rsidRPr="00A02E43" w:rsidRDefault="00E541EE" w:rsidP="00A84BB5">
            <w:pPr>
              <w:widowControl w:val="0"/>
              <w:autoSpaceDE w:val="0"/>
              <w:autoSpaceDN w:val="0"/>
              <w:ind w:left="28" w:right="19" w:firstLine="2"/>
              <w:jc w:val="center"/>
              <w:rPr>
                <w:rFonts w:cstheme="minorHAnsi"/>
                <w:sz w:val="15"/>
                <w:szCs w:val="15"/>
                <w:highlight w:val="yellow"/>
              </w:rPr>
            </w:pPr>
            <w:r w:rsidRPr="00A02E43">
              <w:rPr>
                <w:rFonts w:cstheme="minorHAnsi"/>
                <w:sz w:val="15"/>
                <w:szCs w:val="15"/>
              </w:rPr>
              <w:t>4.2. Razvoj kulturnog sektora, te jačanje kulturnog identiteta, baštine i tradicije</w:t>
            </w:r>
          </w:p>
        </w:tc>
        <w:tc>
          <w:tcPr>
            <w:tcW w:w="992" w:type="dxa"/>
            <w:vMerge w:val="restart"/>
            <w:tcBorders>
              <w:top w:val="single" w:sz="4" w:space="0" w:color="auto"/>
              <w:bottom w:val="single" w:sz="4" w:space="0" w:color="auto"/>
            </w:tcBorders>
            <w:shd w:val="clear" w:color="auto" w:fill="FFF1CC"/>
            <w:vAlign w:val="center"/>
          </w:tcPr>
          <w:p w14:paraId="442D362E" w14:textId="77777777" w:rsidR="00E541EE" w:rsidRPr="00A02E43" w:rsidRDefault="00E541EE" w:rsidP="00A84BB5">
            <w:pPr>
              <w:widowControl w:val="0"/>
              <w:autoSpaceDE w:val="0"/>
              <w:autoSpaceDN w:val="0"/>
              <w:spacing w:before="7"/>
              <w:jc w:val="center"/>
              <w:rPr>
                <w:rFonts w:cstheme="minorHAnsi"/>
                <w:sz w:val="15"/>
                <w:szCs w:val="15"/>
              </w:rPr>
            </w:pPr>
          </w:p>
          <w:p w14:paraId="15844FD1" w14:textId="77777777" w:rsidR="00E541EE" w:rsidRPr="00A02E43" w:rsidRDefault="00E541EE" w:rsidP="00A84BB5">
            <w:pPr>
              <w:widowControl w:val="0"/>
              <w:autoSpaceDE w:val="0"/>
              <w:autoSpaceDN w:val="0"/>
              <w:ind w:left="74" w:right="63" w:hanging="4"/>
              <w:jc w:val="center"/>
              <w:rPr>
                <w:rFonts w:cstheme="minorHAnsi"/>
                <w:sz w:val="15"/>
                <w:szCs w:val="15"/>
                <w:highlight w:val="yellow"/>
              </w:rPr>
            </w:pPr>
            <w:r w:rsidRPr="00A02E43">
              <w:rPr>
                <w:rFonts w:cstheme="minorHAnsi"/>
                <w:sz w:val="15"/>
                <w:szCs w:val="15"/>
              </w:rPr>
              <w:t>Program 1025: Opće javne potrebe u predškolstvu</w:t>
            </w:r>
          </w:p>
        </w:tc>
        <w:tc>
          <w:tcPr>
            <w:tcW w:w="993" w:type="dxa"/>
            <w:vMerge w:val="restart"/>
            <w:tcBorders>
              <w:top w:val="single" w:sz="4" w:space="0" w:color="auto"/>
              <w:bottom w:val="single" w:sz="4" w:space="0" w:color="auto"/>
            </w:tcBorders>
            <w:vAlign w:val="center"/>
          </w:tcPr>
          <w:p w14:paraId="0FF6B4E2" w14:textId="77777777" w:rsidR="00E541EE" w:rsidRPr="00A02E43" w:rsidRDefault="00E541EE" w:rsidP="00A84BB5">
            <w:pPr>
              <w:widowControl w:val="0"/>
              <w:autoSpaceDE w:val="0"/>
              <w:autoSpaceDN w:val="0"/>
              <w:spacing w:before="7"/>
              <w:jc w:val="center"/>
              <w:rPr>
                <w:rFonts w:cstheme="minorHAnsi"/>
                <w:sz w:val="15"/>
                <w:szCs w:val="15"/>
              </w:rPr>
            </w:pPr>
          </w:p>
          <w:p w14:paraId="0685FF2C" w14:textId="77777777" w:rsidR="00E541EE" w:rsidRPr="00A02E43" w:rsidRDefault="00E541EE" w:rsidP="00A84BB5">
            <w:pPr>
              <w:widowControl w:val="0"/>
              <w:autoSpaceDE w:val="0"/>
              <w:autoSpaceDN w:val="0"/>
              <w:ind w:left="29" w:right="11" w:firstLine="9"/>
              <w:jc w:val="center"/>
              <w:rPr>
                <w:rFonts w:cstheme="minorHAnsi"/>
                <w:sz w:val="15"/>
                <w:szCs w:val="15"/>
                <w:highlight w:val="yellow"/>
              </w:rPr>
            </w:pPr>
            <w:r w:rsidRPr="00A02E43">
              <w:rPr>
                <w:rFonts w:cstheme="minorHAnsi"/>
                <w:sz w:val="15"/>
                <w:szCs w:val="15"/>
              </w:rPr>
              <w:t>Očuvanje talijanskog jezika i promocija dvojezičnosti</w:t>
            </w:r>
          </w:p>
        </w:tc>
        <w:tc>
          <w:tcPr>
            <w:tcW w:w="1134" w:type="dxa"/>
            <w:vMerge w:val="restart"/>
            <w:tcBorders>
              <w:top w:val="single" w:sz="4" w:space="0" w:color="auto"/>
              <w:bottom w:val="single" w:sz="4" w:space="0" w:color="auto"/>
            </w:tcBorders>
            <w:shd w:val="clear" w:color="auto" w:fill="FFF1CC"/>
            <w:vAlign w:val="center"/>
          </w:tcPr>
          <w:p w14:paraId="5D9AEFE2" w14:textId="77777777" w:rsidR="00E541EE" w:rsidRPr="00A02E43" w:rsidRDefault="00E541EE" w:rsidP="00A84BB5">
            <w:pPr>
              <w:widowControl w:val="0"/>
              <w:autoSpaceDE w:val="0"/>
              <w:autoSpaceDN w:val="0"/>
              <w:jc w:val="center"/>
              <w:rPr>
                <w:rFonts w:cstheme="minorHAnsi"/>
                <w:sz w:val="15"/>
                <w:szCs w:val="15"/>
              </w:rPr>
            </w:pPr>
          </w:p>
          <w:p w14:paraId="1BF19416" w14:textId="77777777" w:rsidR="00E541EE" w:rsidRPr="00A02E43" w:rsidRDefault="00E541EE" w:rsidP="00A84BB5">
            <w:pPr>
              <w:widowControl w:val="0"/>
              <w:autoSpaceDE w:val="0"/>
              <w:autoSpaceDN w:val="0"/>
              <w:jc w:val="center"/>
              <w:rPr>
                <w:rFonts w:cstheme="minorHAnsi"/>
                <w:sz w:val="15"/>
                <w:szCs w:val="15"/>
              </w:rPr>
            </w:pPr>
          </w:p>
          <w:p w14:paraId="1DCAC173" w14:textId="77777777" w:rsidR="00E541EE" w:rsidRPr="00A02E43" w:rsidRDefault="00E541EE" w:rsidP="00A84BB5">
            <w:pPr>
              <w:widowControl w:val="0"/>
              <w:autoSpaceDE w:val="0"/>
              <w:autoSpaceDN w:val="0"/>
              <w:spacing w:before="8"/>
              <w:jc w:val="center"/>
              <w:rPr>
                <w:rFonts w:cstheme="minorHAnsi"/>
                <w:sz w:val="15"/>
                <w:szCs w:val="15"/>
              </w:rPr>
            </w:pPr>
          </w:p>
          <w:p w14:paraId="066C07C3" w14:textId="77777777" w:rsidR="00E541EE" w:rsidRPr="00A02E43" w:rsidRDefault="00E541EE" w:rsidP="00A84BB5">
            <w:pPr>
              <w:widowControl w:val="0"/>
              <w:autoSpaceDE w:val="0"/>
              <w:autoSpaceDN w:val="0"/>
              <w:ind w:left="142"/>
              <w:jc w:val="center"/>
              <w:rPr>
                <w:rFonts w:cstheme="minorHAnsi"/>
                <w:sz w:val="15"/>
                <w:szCs w:val="15"/>
                <w:highlight w:val="yellow"/>
              </w:rPr>
            </w:pPr>
            <w:r w:rsidRPr="00A02E43">
              <w:rPr>
                <w:rFonts w:cstheme="minorHAnsi"/>
                <w:sz w:val="15"/>
                <w:szCs w:val="15"/>
              </w:rPr>
              <w:t>57.000,00</w:t>
            </w:r>
          </w:p>
        </w:tc>
        <w:tc>
          <w:tcPr>
            <w:tcW w:w="992" w:type="dxa"/>
            <w:vMerge w:val="restart"/>
            <w:tcBorders>
              <w:top w:val="single" w:sz="4" w:space="0" w:color="auto"/>
              <w:bottom w:val="single" w:sz="4" w:space="0" w:color="auto"/>
              <w:right w:val="single" w:sz="4" w:space="0" w:color="auto"/>
            </w:tcBorders>
            <w:vAlign w:val="center"/>
          </w:tcPr>
          <w:p w14:paraId="7972730B" w14:textId="77777777" w:rsidR="00E541EE" w:rsidRPr="00A02E43" w:rsidRDefault="00E541EE" w:rsidP="00A84BB5">
            <w:pPr>
              <w:jc w:val="center"/>
              <w:rPr>
                <w:rFonts w:cstheme="minorHAnsi"/>
                <w:sz w:val="15"/>
                <w:szCs w:val="15"/>
              </w:rPr>
            </w:pPr>
            <w:r w:rsidRPr="00A02E43">
              <w:rPr>
                <w:rFonts w:cstheme="minorHAnsi"/>
                <w:sz w:val="15"/>
                <w:szCs w:val="15"/>
              </w:rPr>
              <w:t>A 102501: Odgojno obrazovne aktivnosti</w:t>
            </w:r>
          </w:p>
          <w:p w14:paraId="36B45778" w14:textId="77777777" w:rsidR="00E541EE" w:rsidRPr="00A02E43" w:rsidRDefault="00E541EE" w:rsidP="00A84BB5">
            <w:pPr>
              <w:jc w:val="center"/>
              <w:rPr>
                <w:rFonts w:cstheme="minorHAnsi"/>
                <w:sz w:val="15"/>
                <w:szCs w:val="15"/>
              </w:rPr>
            </w:pPr>
            <w:r w:rsidRPr="00A02E43">
              <w:rPr>
                <w:rFonts w:cstheme="minorHAnsi"/>
                <w:sz w:val="15"/>
                <w:szCs w:val="15"/>
              </w:rPr>
              <w:t>A 102502: Obilježavanje Dječjeg tjedna i Božićno - novogodišnjih blagdana</w:t>
            </w:r>
          </w:p>
          <w:p w14:paraId="3F8C74C7" w14:textId="77777777" w:rsidR="00E541EE" w:rsidRPr="00A02E43" w:rsidRDefault="00E541EE" w:rsidP="00A84BB5">
            <w:pPr>
              <w:jc w:val="center"/>
              <w:rPr>
                <w:rFonts w:cstheme="minorHAnsi"/>
                <w:sz w:val="15"/>
                <w:szCs w:val="15"/>
              </w:rPr>
            </w:pPr>
            <w:r w:rsidRPr="00A02E43">
              <w:rPr>
                <w:rFonts w:cstheme="minorHAnsi"/>
                <w:sz w:val="15"/>
                <w:szCs w:val="15"/>
              </w:rPr>
              <w:t>A 102503: Provedba dvojezičnosti u predškolskom odgoju</w:t>
            </w:r>
          </w:p>
          <w:p w14:paraId="0A68DC80" w14:textId="77777777" w:rsidR="00E541EE" w:rsidRPr="00A02E43" w:rsidRDefault="00E541EE" w:rsidP="00A84BB5">
            <w:pPr>
              <w:jc w:val="center"/>
              <w:rPr>
                <w:rFonts w:cstheme="minorHAnsi"/>
                <w:sz w:val="15"/>
                <w:szCs w:val="15"/>
                <w:highlight w:val="yellow"/>
              </w:rPr>
            </w:pPr>
          </w:p>
        </w:tc>
        <w:tc>
          <w:tcPr>
            <w:tcW w:w="850" w:type="dxa"/>
            <w:tcBorders>
              <w:top w:val="single" w:sz="4" w:space="0" w:color="auto"/>
              <w:left w:val="single" w:sz="4" w:space="0" w:color="auto"/>
              <w:right w:val="single" w:sz="4" w:space="0" w:color="auto"/>
            </w:tcBorders>
            <w:shd w:val="clear" w:color="auto" w:fill="FFF1CC"/>
            <w:vAlign w:val="center"/>
          </w:tcPr>
          <w:p w14:paraId="73DFC4AF" w14:textId="77777777" w:rsidR="00E541EE" w:rsidRPr="00BF262F" w:rsidRDefault="00E541EE" w:rsidP="00A84BB5">
            <w:pPr>
              <w:widowControl w:val="0"/>
              <w:autoSpaceDE w:val="0"/>
              <w:autoSpaceDN w:val="0"/>
              <w:jc w:val="center"/>
              <w:rPr>
                <w:rFonts w:cstheme="minorHAnsi"/>
                <w:sz w:val="15"/>
                <w:szCs w:val="15"/>
              </w:rPr>
            </w:pPr>
          </w:p>
          <w:p w14:paraId="6A895187" w14:textId="77777777" w:rsidR="00E541EE" w:rsidRPr="00BF262F" w:rsidRDefault="00E541EE" w:rsidP="00A84BB5">
            <w:pPr>
              <w:widowControl w:val="0"/>
              <w:autoSpaceDE w:val="0"/>
              <w:autoSpaceDN w:val="0"/>
              <w:jc w:val="center"/>
              <w:rPr>
                <w:rFonts w:cstheme="minorHAnsi"/>
                <w:sz w:val="15"/>
                <w:szCs w:val="15"/>
              </w:rPr>
            </w:pPr>
          </w:p>
          <w:p w14:paraId="31098DDF" w14:textId="77777777" w:rsidR="00E541EE" w:rsidRPr="00BF262F" w:rsidRDefault="00E541EE" w:rsidP="00A84BB5">
            <w:pPr>
              <w:widowControl w:val="0"/>
              <w:autoSpaceDE w:val="0"/>
              <w:autoSpaceDN w:val="0"/>
              <w:jc w:val="center"/>
              <w:rPr>
                <w:rFonts w:cstheme="minorHAnsi"/>
                <w:sz w:val="15"/>
                <w:szCs w:val="15"/>
              </w:rPr>
            </w:pPr>
          </w:p>
          <w:p w14:paraId="56947815" w14:textId="77777777" w:rsidR="00E541EE" w:rsidRPr="00BF262F" w:rsidRDefault="00E541EE" w:rsidP="00A84BB5">
            <w:pPr>
              <w:widowControl w:val="0"/>
              <w:autoSpaceDE w:val="0"/>
              <w:autoSpaceDN w:val="0"/>
              <w:jc w:val="center"/>
              <w:rPr>
                <w:rFonts w:cstheme="minorHAnsi"/>
                <w:sz w:val="15"/>
                <w:szCs w:val="15"/>
              </w:rPr>
            </w:pPr>
          </w:p>
          <w:p w14:paraId="18CF8FD4" w14:textId="77777777" w:rsidR="00E541EE" w:rsidRPr="00BF262F" w:rsidRDefault="00E541EE" w:rsidP="00A84BB5">
            <w:pPr>
              <w:widowControl w:val="0"/>
              <w:autoSpaceDE w:val="0"/>
              <w:autoSpaceDN w:val="0"/>
              <w:rPr>
                <w:rFonts w:cstheme="minorHAnsi"/>
                <w:sz w:val="15"/>
                <w:szCs w:val="15"/>
              </w:rPr>
            </w:pPr>
          </w:p>
          <w:p w14:paraId="6DCD7574" w14:textId="77777777" w:rsidR="00E541EE" w:rsidRPr="00BF262F" w:rsidRDefault="00E541EE" w:rsidP="00A84BB5">
            <w:pPr>
              <w:widowControl w:val="0"/>
              <w:autoSpaceDE w:val="0"/>
              <w:autoSpaceDN w:val="0"/>
              <w:jc w:val="center"/>
              <w:rPr>
                <w:rFonts w:cstheme="minorHAnsi"/>
                <w:sz w:val="15"/>
                <w:szCs w:val="15"/>
              </w:rPr>
            </w:pPr>
          </w:p>
          <w:p w14:paraId="7E1FE13E" w14:textId="77777777" w:rsidR="00E541EE" w:rsidRPr="00BF262F" w:rsidRDefault="00E541EE" w:rsidP="00A84BB5">
            <w:pPr>
              <w:widowControl w:val="0"/>
              <w:autoSpaceDE w:val="0"/>
              <w:autoSpaceDN w:val="0"/>
              <w:jc w:val="center"/>
              <w:rPr>
                <w:rFonts w:cstheme="minorHAnsi"/>
                <w:sz w:val="15"/>
                <w:szCs w:val="15"/>
                <w:highlight w:val="yellow"/>
              </w:rPr>
            </w:pPr>
            <w:r w:rsidRPr="00BF262F">
              <w:rPr>
                <w:rFonts w:cstheme="minorHAnsi"/>
                <w:sz w:val="15"/>
                <w:szCs w:val="15"/>
              </w:rPr>
              <w:t>Broj djece  koji sudjeluje u projektu</w:t>
            </w:r>
          </w:p>
        </w:tc>
        <w:tc>
          <w:tcPr>
            <w:tcW w:w="851" w:type="dxa"/>
            <w:tcBorders>
              <w:top w:val="single" w:sz="4" w:space="0" w:color="auto"/>
              <w:left w:val="single" w:sz="4" w:space="0" w:color="auto"/>
              <w:right w:val="single" w:sz="4" w:space="0" w:color="auto"/>
            </w:tcBorders>
            <w:shd w:val="clear" w:color="auto" w:fill="FFFFFF" w:themeFill="background1"/>
            <w:vAlign w:val="center"/>
          </w:tcPr>
          <w:p w14:paraId="2810FC57" w14:textId="77777777" w:rsidR="00E541EE" w:rsidRPr="00BF262F" w:rsidRDefault="00E541EE" w:rsidP="00A84BB5">
            <w:pPr>
              <w:jc w:val="center"/>
              <w:rPr>
                <w:rFonts w:eastAsia="Times New Roman" w:cstheme="minorHAnsi"/>
                <w:sz w:val="15"/>
                <w:szCs w:val="15"/>
              </w:rPr>
            </w:pPr>
          </w:p>
          <w:p w14:paraId="2EAD4FFA" w14:textId="77777777" w:rsidR="00E541EE" w:rsidRPr="00BF262F" w:rsidRDefault="00E541EE" w:rsidP="00A84BB5">
            <w:pPr>
              <w:jc w:val="center"/>
              <w:rPr>
                <w:rFonts w:eastAsia="Times New Roman" w:cstheme="minorHAnsi"/>
                <w:sz w:val="15"/>
                <w:szCs w:val="15"/>
              </w:rPr>
            </w:pPr>
          </w:p>
          <w:p w14:paraId="49E1F067" w14:textId="77777777" w:rsidR="00E541EE" w:rsidRPr="00BF262F" w:rsidRDefault="00E541EE" w:rsidP="00A84BB5">
            <w:pPr>
              <w:jc w:val="center"/>
              <w:rPr>
                <w:rFonts w:cstheme="minorHAnsi"/>
                <w:sz w:val="15"/>
                <w:szCs w:val="15"/>
                <w:highlight w:val="yellow"/>
              </w:rPr>
            </w:pPr>
            <w:r w:rsidRPr="00BF262F">
              <w:rPr>
                <w:rFonts w:eastAsia="Times New Roman" w:cstheme="minorHAnsi"/>
                <w:sz w:val="15"/>
                <w:szCs w:val="15"/>
              </w:rPr>
              <w:t>160</w:t>
            </w: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7BD07D4D" w14:textId="77777777" w:rsidR="00E541EE" w:rsidRPr="00BF262F" w:rsidRDefault="00E541EE" w:rsidP="00A84BB5">
            <w:pPr>
              <w:jc w:val="center"/>
              <w:rPr>
                <w:rFonts w:eastAsia="Times New Roman" w:cstheme="minorHAnsi"/>
                <w:sz w:val="15"/>
                <w:szCs w:val="15"/>
              </w:rPr>
            </w:pPr>
          </w:p>
          <w:p w14:paraId="0863E3AB" w14:textId="77777777" w:rsidR="00E541EE" w:rsidRPr="00BF262F" w:rsidRDefault="00E541EE" w:rsidP="00A84BB5">
            <w:pPr>
              <w:jc w:val="center"/>
              <w:rPr>
                <w:rFonts w:eastAsia="Times New Roman" w:cstheme="minorHAnsi"/>
                <w:sz w:val="15"/>
                <w:szCs w:val="15"/>
              </w:rPr>
            </w:pPr>
          </w:p>
          <w:p w14:paraId="7B21D1C9" w14:textId="77777777" w:rsidR="00E541EE" w:rsidRPr="00BF262F" w:rsidRDefault="00E541EE" w:rsidP="00A84BB5">
            <w:pPr>
              <w:jc w:val="center"/>
              <w:rPr>
                <w:rFonts w:cstheme="minorHAnsi"/>
                <w:sz w:val="15"/>
                <w:szCs w:val="15"/>
              </w:rPr>
            </w:pPr>
            <w:r w:rsidRPr="00BF262F">
              <w:rPr>
                <w:rFonts w:eastAsia="Times New Roman" w:cstheme="minorHAnsi"/>
                <w:sz w:val="15"/>
                <w:szCs w:val="15"/>
              </w:rPr>
              <w:t>175</w:t>
            </w:r>
          </w:p>
        </w:tc>
        <w:tc>
          <w:tcPr>
            <w:tcW w:w="698" w:type="dxa"/>
            <w:tcBorders>
              <w:top w:val="single" w:sz="4" w:space="0" w:color="auto"/>
              <w:left w:val="single" w:sz="4" w:space="0" w:color="auto"/>
              <w:right w:val="single" w:sz="4" w:space="0" w:color="auto"/>
            </w:tcBorders>
            <w:shd w:val="clear" w:color="auto" w:fill="FFFFFF" w:themeFill="background1"/>
            <w:vAlign w:val="center"/>
          </w:tcPr>
          <w:p w14:paraId="5B7A14D6" w14:textId="77777777" w:rsidR="00E541EE" w:rsidRPr="00BF262F" w:rsidRDefault="00E541EE" w:rsidP="00A84BB5">
            <w:pPr>
              <w:jc w:val="center"/>
              <w:rPr>
                <w:rFonts w:eastAsia="Times New Roman" w:cstheme="minorHAnsi"/>
                <w:sz w:val="15"/>
                <w:szCs w:val="15"/>
              </w:rPr>
            </w:pPr>
          </w:p>
          <w:p w14:paraId="757E49A7" w14:textId="77777777" w:rsidR="00E541EE" w:rsidRPr="00BF262F" w:rsidRDefault="00E541EE" w:rsidP="00A84BB5">
            <w:pPr>
              <w:jc w:val="center"/>
              <w:rPr>
                <w:rFonts w:eastAsia="Times New Roman" w:cstheme="minorHAnsi"/>
                <w:sz w:val="15"/>
                <w:szCs w:val="15"/>
              </w:rPr>
            </w:pPr>
          </w:p>
          <w:p w14:paraId="08DC8BCD" w14:textId="77777777" w:rsidR="00E541EE" w:rsidRPr="00BF262F" w:rsidRDefault="00E541EE" w:rsidP="00A84BB5">
            <w:pPr>
              <w:jc w:val="center"/>
              <w:rPr>
                <w:rFonts w:cstheme="minorHAnsi"/>
                <w:sz w:val="15"/>
                <w:szCs w:val="15"/>
              </w:rPr>
            </w:pPr>
            <w:r w:rsidRPr="00BF262F">
              <w:rPr>
                <w:rFonts w:eastAsia="Times New Roman" w:cstheme="minorHAnsi"/>
                <w:sz w:val="15"/>
                <w:szCs w:val="15"/>
              </w:rPr>
              <w:t>180</w:t>
            </w:r>
          </w:p>
        </w:tc>
        <w:tc>
          <w:tcPr>
            <w:tcW w:w="850" w:type="dxa"/>
            <w:tcBorders>
              <w:top w:val="single" w:sz="4" w:space="0" w:color="auto"/>
              <w:left w:val="single" w:sz="4" w:space="0" w:color="auto"/>
              <w:right w:val="single" w:sz="4" w:space="0" w:color="auto"/>
            </w:tcBorders>
            <w:shd w:val="clear" w:color="auto" w:fill="FFFFFF" w:themeFill="background1"/>
            <w:vAlign w:val="center"/>
          </w:tcPr>
          <w:p w14:paraId="0FEBDBF7" w14:textId="77777777" w:rsidR="00E541EE" w:rsidRPr="00BF262F" w:rsidRDefault="00E541EE" w:rsidP="00A84BB5">
            <w:pPr>
              <w:jc w:val="center"/>
              <w:rPr>
                <w:rFonts w:eastAsia="Times New Roman" w:cstheme="minorHAnsi"/>
                <w:sz w:val="15"/>
                <w:szCs w:val="15"/>
              </w:rPr>
            </w:pPr>
          </w:p>
          <w:p w14:paraId="666257D0" w14:textId="77777777" w:rsidR="00E541EE" w:rsidRPr="00BF262F" w:rsidRDefault="00E541EE" w:rsidP="00A84BB5">
            <w:pPr>
              <w:jc w:val="center"/>
              <w:rPr>
                <w:rFonts w:eastAsia="Times New Roman" w:cstheme="minorHAnsi"/>
                <w:sz w:val="15"/>
                <w:szCs w:val="15"/>
              </w:rPr>
            </w:pPr>
          </w:p>
          <w:p w14:paraId="65CFB288" w14:textId="77777777" w:rsidR="00E541EE" w:rsidRPr="00BF262F" w:rsidRDefault="00E541EE" w:rsidP="00A84BB5">
            <w:pPr>
              <w:jc w:val="center"/>
              <w:rPr>
                <w:rFonts w:cstheme="minorHAnsi"/>
                <w:sz w:val="15"/>
                <w:szCs w:val="15"/>
                <w:highlight w:val="yellow"/>
              </w:rPr>
            </w:pPr>
            <w:r w:rsidRPr="00BF262F">
              <w:rPr>
                <w:rFonts w:eastAsia="Times New Roman" w:cstheme="minorHAnsi"/>
                <w:sz w:val="15"/>
                <w:szCs w:val="15"/>
              </w:rPr>
              <w:t>200</w:t>
            </w:r>
          </w:p>
        </w:tc>
      </w:tr>
      <w:tr w:rsidR="00E541EE" w:rsidRPr="002E3985" w14:paraId="7A480653" w14:textId="77777777" w:rsidTr="00D13D77">
        <w:trPr>
          <w:trHeight w:val="183"/>
          <w:jc w:val="center"/>
        </w:trPr>
        <w:tc>
          <w:tcPr>
            <w:tcW w:w="1324" w:type="dxa"/>
            <w:vMerge/>
            <w:tcBorders>
              <w:top w:val="single" w:sz="4" w:space="0" w:color="auto"/>
              <w:bottom w:val="single" w:sz="4" w:space="0" w:color="auto"/>
            </w:tcBorders>
            <w:vAlign w:val="center"/>
          </w:tcPr>
          <w:p w14:paraId="7DAEA248" w14:textId="77777777" w:rsidR="00E541EE" w:rsidRPr="00A02E43" w:rsidRDefault="00E541EE" w:rsidP="00A84BB5">
            <w:pPr>
              <w:widowControl w:val="0"/>
              <w:autoSpaceDE w:val="0"/>
              <w:autoSpaceDN w:val="0"/>
              <w:spacing w:before="49"/>
              <w:ind w:left="44" w:right="35"/>
              <w:jc w:val="center"/>
              <w:rPr>
                <w:rFonts w:cstheme="minorHAnsi"/>
                <w:sz w:val="14"/>
                <w:szCs w:val="14"/>
              </w:rPr>
            </w:pPr>
          </w:p>
        </w:tc>
        <w:tc>
          <w:tcPr>
            <w:tcW w:w="955" w:type="dxa"/>
            <w:vMerge/>
            <w:tcBorders>
              <w:top w:val="single" w:sz="4" w:space="0" w:color="auto"/>
              <w:bottom w:val="single" w:sz="4" w:space="0" w:color="auto"/>
            </w:tcBorders>
            <w:vAlign w:val="center"/>
          </w:tcPr>
          <w:p w14:paraId="2F94A6C2" w14:textId="77777777" w:rsidR="00E541EE" w:rsidRPr="00A02E43" w:rsidRDefault="00E541EE" w:rsidP="00A84BB5">
            <w:pPr>
              <w:widowControl w:val="0"/>
              <w:autoSpaceDE w:val="0"/>
              <w:autoSpaceDN w:val="0"/>
              <w:jc w:val="center"/>
              <w:rPr>
                <w:rFonts w:cstheme="minorHAnsi"/>
                <w:sz w:val="14"/>
                <w:szCs w:val="14"/>
              </w:rPr>
            </w:pPr>
          </w:p>
        </w:tc>
        <w:tc>
          <w:tcPr>
            <w:tcW w:w="992" w:type="dxa"/>
            <w:vMerge/>
            <w:tcBorders>
              <w:top w:val="single" w:sz="4" w:space="0" w:color="auto"/>
              <w:bottom w:val="single" w:sz="4" w:space="0" w:color="auto"/>
            </w:tcBorders>
            <w:shd w:val="clear" w:color="auto" w:fill="FFF1CC"/>
            <w:vAlign w:val="center"/>
          </w:tcPr>
          <w:p w14:paraId="74CE2B07" w14:textId="77777777" w:rsidR="00E541EE" w:rsidRPr="00A02E43" w:rsidRDefault="00E541EE" w:rsidP="00A84BB5">
            <w:pPr>
              <w:widowControl w:val="0"/>
              <w:autoSpaceDE w:val="0"/>
              <w:autoSpaceDN w:val="0"/>
              <w:spacing w:before="7"/>
              <w:rPr>
                <w:rFonts w:cstheme="minorHAnsi"/>
                <w:sz w:val="14"/>
                <w:szCs w:val="14"/>
              </w:rPr>
            </w:pPr>
          </w:p>
        </w:tc>
        <w:tc>
          <w:tcPr>
            <w:tcW w:w="993" w:type="dxa"/>
            <w:vMerge/>
            <w:tcBorders>
              <w:top w:val="single" w:sz="4" w:space="0" w:color="auto"/>
              <w:bottom w:val="single" w:sz="4" w:space="0" w:color="auto"/>
            </w:tcBorders>
            <w:vAlign w:val="center"/>
          </w:tcPr>
          <w:p w14:paraId="2455A17B" w14:textId="77777777" w:rsidR="00E541EE" w:rsidRPr="00A02E43" w:rsidRDefault="00E541EE" w:rsidP="00A84BB5">
            <w:pPr>
              <w:widowControl w:val="0"/>
              <w:autoSpaceDE w:val="0"/>
              <w:autoSpaceDN w:val="0"/>
              <w:spacing w:before="7"/>
              <w:rPr>
                <w:rFonts w:cstheme="minorHAnsi"/>
                <w:sz w:val="14"/>
                <w:szCs w:val="14"/>
              </w:rPr>
            </w:pPr>
          </w:p>
        </w:tc>
        <w:tc>
          <w:tcPr>
            <w:tcW w:w="1134" w:type="dxa"/>
            <w:vMerge/>
            <w:tcBorders>
              <w:top w:val="single" w:sz="4" w:space="0" w:color="auto"/>
              <w:bottom w:val="single" w:sz="4" w:space="0" w:color="auto"/>
            </w:tcBorders>
            <w:shd w:val="clear" w:color="auto" w:fill="FFF1CC"/>
            <w:vAlign w:val="center"/>
          </w:tcPr>
          <w:p w14:paraId="0420C1EE" w14:textId="77777777" w:rsidR="00E541EE" w:rsidRPr="00A02E43" w:rsidRDefault="00E541EE" w:rsidP="00A84BB5">
            <w:pPr>
              <w:widowControl w:val="0"/>
              <w:autoSpaceDE w:val="0"/>
              <w:autoSpaceDN w:val="0"/>
              <w:rPr>
                <w:rFonts w:cstheme="minorHAnsi"/>
                <w:sz w:val="14"/>
                <w:szCs w:val="14"/>
              </w:rPr>
            </w:pPr>
          </w:p>
        </w:tc>
        <w:tc>
          <w:tcPr>
            <w:tcW w:w="992" w:type="dxa"/>
            <w:vMerge/>
            <w:tcBorders>
              <w:top w:val="single" w:sz="4" w:space="0" w:color="auto"/>
              <w:bottom w:val="single" w:sz="4" w:space="0" w:color="auto"/>
            </w:tcBorders>
            <w:vAlign w:val="center"/>
          </w:tcPr>
          <w:p w14:paraId="77BC7D8E" w14:textId="77777777" w:rsidR="00E541EE" w:rsidRPr="00A02E43" w:rsidRDefault="00E541EE" w:rsidP="00A84BB5">
            <w:pPr>
              <w:rPr>
                <w:rFonts w:cstheme="minorHAnsi"/>
                <w:sz w:val="14"/>
                <w:szCs w:val="14"/>
              </w:rPr>
            </w:pPr>
          </w:p>
        </w:tc>
        <w:tc>
          <w:tcPr>
            <w:tcW w:w="850" w:type="dxa"/>
            <w:tcBorders>
              <w:top w:val="nil"/>
              <w:bottom w:val="single" w:sz="4" w:space="0" w:color="auto"/>
              <w:right w:val="single" w:sz="4" w:space="0" w:color="auto"/>
            </w:tcBorders>
            <w:shd w:val="clear" w:color="auto" w:fill="FFF1CC"/>
            <w:vAlign w:val="center"/>
          </w:tcPr>
          <w:p w14:paraId="1529B656" w14:textId="77777777" w:rsidR="00E541EE" w:rsidRPr="00A02E43" w:rsidRDefault="00E541EE" w:rsidP="00A84BB5">
            <w:pPr>
              <w:rPr>
                <w:rFonts w:cstheme="minorHAnsi"/>
                <w:sz w:val="14"/>
                <w:szCs w:val="14"/>
              </w:rPr>
            </w:pP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7C44BD8E" w14:textId="77777777" w:rsidR="00E541EE" w:rsidRPr="00A02E43" w:rsidRDefault="00E541EE" w:rsidP="00A84BB5">
            <w:pPr>
              <w:jc w:val="center"/>
              <w:rPr>
                <w:rFonts w:cstheme="minorHAnsi"/>
                <w:sz w:val="14"/>
                <w:szCs w:val="14"/>
              </w:rPr>
            </w:pPr>
          </w:p>
        </w:tc>
        <w:tc>
          <w:tcPr>
            <w:tcW w:w="567" w:type="dxa"/>
            <w:tcBorders>
              <w:top w:val="nil"/>
              <w:left w:val="single" w:sz="4" w:space="0" w:color="auto"/>
              <w:bottom w:val="single" w:sz="4" w:space="0" w:color="auto"/>
              <w:right w:val="single" w:sz="4" w:space="0" w:color="auto"/>
            </w:tcBorders>
            <w:shd w:val="clear" w:color="auto" w:fill="FFFFFF" w:themeFill="background1"/>
            <w:vAlign w:val="center"/>
          </w:tcPr>
          <w:p w14:paraId="7428F941" w14:textId="77777777" w:rsidR="00E541EE" w:rsidRPr="00A02E43" w:rsidRDefault="00E541EE" w:rsidP="00A84BB5">
            <w:pPr>
              <w:jc w:val="center"/>
              <w:rPr>
                <w:rFonts w:cstheme="minorHAnsi"/>
                <w:sz w:val="14"/>
                <w:szCs w:val="14"/>
              </w:rPr>
            </w:pPr>
          </w:p>
        </w:tc>
        <w:tc>
          <w:tcPr>
            <w:tcW w:w="698" w:type="dxa"/>
            <w:tcBorders>
              <w:top w:val="nil"/>
              <w:left w:val="single" w:sz="4" w:space="0" w:color="auto"/>
              <w:bottom w:val="single" w:sz="4" w:space="0" w:color="auto"/>
              <w:right w:val="single" w:sz="4" w:space="0" w:color="auto"/>
            </w:tcBorders>
            <w:shd w:val="clear" w:color="auto" w:fill="FFFFFF" w:themeFill="background1"/>
            <w:vAlign w:val="center"/>
          </w:tcPr>
          <w:p w14:paraId="62EF1870" w14:textId="77777777" w:rsidR="00E541EE" w:rsidRPr="00A02E43" w:rsidRDefault="00E541EE" w:rsidP="00A84BB5">
            <w:pPr>
              <w:jc w:val="center"/>
              <w:rPr>
                <w:rFonts w:eastAsia="Times New Roman" w:cstheme="minorHAnsi"/>
                <w:sz w:val="14"/>
                <w:szCs w:val="14"/>
              </w:rPr>
            </w:pPr>
          </w:p>
        </w:tc>
        <w:tc>
          <w:tcPr>
            <w:tcW w:w="850" w:type="dxa"/>
            <w:tcBorders>
              <w:top w:val="nil"/>
              <w:left w:val="single" w:sz="4" w:space="0" w:color="auto"/>
              <w:bottom w:val="single" w:sz="4" w:space="0" w:color="auto"/>
              <w:right w:val="single" w:sz="4" w:space="0" w:color="auto"/>
            </w:tcBorders>
            <w:shd w:val="clear" w:color="auto" w:fill="FFFFFF" w:themeFill="background1"/>
            <w:vAlign w:val="center"/>
          </w:tcPr>
          <w:p w14:paraId="09897B33" w14:textId="77777777" w:rsidR="00E541EE" w:rsidRPr="00A02E43" w:rsidRDefault="00E541EE" w:rsidP="00A84BB5">
            <w:pPr>
              <w:jc w:val="center"/>
              <w:rPr>
                <w:rFonts w:eastAsia="Times New Roman" w:cstheme="minorHAnsi"/>
                <w:sz w:val="14"/>
                <w:szCs w:val="14"/>
              </w:rPr>
            </w:pPr>
          </w:p>
        </w:tc>
      </w:tr>
    </w:tbl>
    <w:p w14:paraId="3827A433" w14:textId="77777777" w:rsidR="00E541EE" w:rsidRPr="002E3985" w:rsidRDefault="00E541EE" w:rsidP="00E541EE">
      <w:pPr>
        <w:jc w:val="both"/>
        <w:rPr>
          <w:rFonts w:ascii="Arial" w:eastAsia="Times New Roman" w:hAnsi="Arial" w:cs="Arial"/>
          <w:sz w:val="14"/>
          <w:szCs w:val="14"/>
        </w:rPr>
      </w:pPr>
    </w:p>
    <w:p w14:paraId="63D310B7"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AC2206">
        <w:rPr>
          <w:rFonts w:ascii="Arial" w:eastAsia="Times New Roman" w:hAnsi="Arial" w:cs="Arial"/>
          <w:b/>
          <w:bCs/>
          <w:sz w:val="24"/>
          <w:szCs w:val="24"/>
        </w:rPr>
        <w:t>A 102501: Odgojno obrazovne aktivnosti = 5.000,00 EUR</w:t>
      </w:r>
    </w:p>
    <w:p w14:paraId="333534AB"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Zakonska osnova:</w:t>
      </w:r>
      <w:r w:rsidRPr="00AC2206">
        <w:rPr>
          <w:rFonts w:ascii="Arial" w:eastAsia="Times New Roman" w:hAnsi="Arial" w:cs="Arial"/>
          <w:sz w:val="24"/>
          <w:szCs w:val="24"/>
        </w:rPr>
        <w:t xml:space="preserve"> Zakon o lokalnoj i područnoj (regionalnoj)  samoupravi, Zakon o predškolskom odgoju i obrazovanju.</w:t>
      </w:r>
    </w:p>
    <w:p w14:paraId="1B324516"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sz w:val="24"/>
          <w:szCs w:val="24"/>
        </w:rPr>
        <w:t>Opis:</w:t>
      </w:r>
      <w:r w:rsidRPr="00AC2206">
        <w:rPr>
          <w:rFonts w:ascii="Arial" w:eastAsia="Times New Roman" w:hAnsi="Arial" w:cs="Arial"/>
          <w:sz w:val="24"/>
          <w:szCs w:val="24"/>
        </w:rPr>
        <w:t xml:space="preserve"> iz navedenih sredstava sufinanciraju se pojedini programi</w:t>
      </w:r>
      <w:r>
        <w:rPr>
          <w:rFonts w:ascii="Arial" w:eastAsia="Times New Roman" w:hAnsi="Arial" w:cs="Arial"/>
          <w:sz w:val="24"/>
          <w:szCs w:val="24"/>
        </w:rPr>
        <w:t xml:space="preserve"> u (su)organizaciji</w:t>
      </w:r>
      <w:r w:rsidRPr="00AC2206">
        <w:rPr>
          <w:rFonts w:ascii="Arial" w:eastAsia="Times New Roman" w:hAnsi="Arial" w:cs="Arial"/>
          <w:sz w:val="24"/>
          <w:szCs w:val="24"/>
        </w:rPr>
        <w:t xml:space="preserve"> predškolskih ustanova kao što su primjerice dječja olimpijada, vatrogasna olimpijada, radionice za djecu</w:t>
      </w:r>
      <w:r>
        <w:rPr>
          <w:rFonts w:ascii="Arial" w:eastAsia="Times New Roman" w:hAnsi="Arial" w:cs="Arial"/>
          <w:sz w:val="24"/>
          <w:szCs w:val="24"/>
        </w:rPr>
        <w:t xml:space="preserve"> i sl.</w:t>
      </w:r>
    </w:p>
    <w:p w14:paraId="729122F9"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Opći cilj</w:t>
      </w:r>
      <w:r w:rsidRPr="00AC2206">
        <w:rPr>
          <w:rFonts w:ascii="Arial" w:eastAsia="Times New Roman" w:hAnsi="Arial" w:cs="Arial"/>
          <w:b/>
          <w:sz w:val="24"/>
          <w:szCs w:val="24"/>
        </w:rPr>
        <w:t>:</w:t>
      </w:r>
      <w:r w:rsidRPr="00AC2206">
        <w:rPr>
          <w:rFonts w:ascii="Arial" w:eastAsia="Times New Roman" w:hAnsi="Arial" w:cs="Arial"/>
          <w:sz w:val="24"/>
          <w:szCs w:val="24"/>
        </w:rPr>
        <w:t xml:space="preserve"> razvoj i provedba projekata koji potiču socio-kulturni razvoj djece, razvoj novih vještina, organizacija dječjih manifestacija.</w:t>
      </w:r>
    </w:p>
    <w:p w14:paraId="44F79D52"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Pokazatelj uspješnosti:</w:t>
      </w:r>
      <w:r w:rsidRPr="00AC2206">
        <w:rPr>
          <w:rFonts w:ascii="Arial" w:eastAsia="Times New Roman" w:hAnsi="Arial" w:cs="Arial"/>
          <w:sz w:val="24"/>
          <w:szCs w:val="24"/>
        </w:rPr>
        <w:t xml:space="preserve"> realizirani programi u  planiranom razdoblju.</w:t>
      </w:r>
    </w:p>
    <w:p w14:paraId="6A5B3E29" w14:textId="77777777" w:rsidR="00E541EE" w:rsidRDefault="00E541EE" w:rsidP="00E541EE">
      <w:pPr>
        <w:jc w:val="both"/>
        <w:rPr>
          <w:rFonts w:ascii="Arial" w:eastAsia="Times New Roman" w:hAnsi="Arial" w:cs="Arial"/>
          <w:sz w:val="24"/>
          <w:szCs w:val="24"/>
        </w:rPr>
      </w:pPr>
    </w:p>
    <w:p w14:paraId="496C8FE6" w14:textId="77777777" w:rsidR="00E541EE" w:rsidRPr="00AC2206" w:rsidRDefault="00E541EE" w:rsidP="00E541EE">
      <w:pPr>
        <w:jc w:val="both"/>
        <w:rPr>
          <w:rFonts w:ascii="Arial" w:eastAsia="Times New Roman" w:hAnsi="Arial" w:cs="Arial"/>
          <w:sz w:val="24"/>
          <w:szCs w:val="24"/>
        </w:rPr>
      </w:pPr>
    </w:p>
    <w:p w14:paraId="64D93EB2"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AC2206">
        <w:rPr>
          <w:rFonts w:ascii="Arial" w:eastAsia="Times New Roman" w:hAnsi="Arial" w:cs="Arial"/>
          <w:b/>
          <w:bCs/>
          <w:sz w:val="24"/>
          <w:szCs w:val="24"/>
        </w:rPr>
        <w:t xml:space="preserve">A 102502: Obilježavanje Dječjeg tjedna i Božićno - novogodišnjih blagdana </w:t>
      </w:r>
    </w:p>
    <w:p w14:paraId="7D473230"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AC2206">
        <w:rPr>
          <w:rFonts w:ascii="Arial" w:eastAsia="Times New Roman" w:hAnsi="Arial" w:cs="Arial"/>
          <w:b/>
          <w:bCs/>
          <w:sz w:val="24"/>
          <w:szCs w:val="24"/>
        </w:rPr>
        <w:t>= 45.000,00 EUR</w:t>
      </w:r>
    </w:p>
    <w:p w14:paraId="2F5D617C"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Zakonska osnova:</w:t>
      </w:r>
      <w:r w:rsidRPr="00AC2206">
        <w:rPr>
          <w:rFonts w:ascii="Arial" w:eastAsia="Times New Roman" w:hAnsi="Arial" w:cs="Arial"/>
          <w:sz w:val="24"/>
          <w:szCs w:val="24"/>
        </w:rPr>
        <w:t xml:space="preserve"> Zakon o lokalnoj i područnoj (regionalnoj)  samoupravi.</w:t>
      </w:r>
    </w:p>
    <w:p w14:paraId="2C71AA3D"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sz w:val="24"/>
          <w:szCs w:val="24"/>
        </w:rPr>
        <w:t>Opis:</w:t>
      </w:r>
      <w:r w:rsidRPr="00AC2206">
        <w:rPr>
          <w:rFonts w:ascii="Arial" w:eastAsia="Times New Roman" w:hAnsi="Arial" w:cs="Arial"/>
          <w:sz w:val="24"/>
          <w:szCs w:val="24"/>
        </w:rPr>
        <w:t xml:space="preserve"> povodom Dječjeg tjedna organiziraju se kazališne predstave te kino projekcije namijenjene djeci predškolske i školske dobi. Ujedno se tim povodom uručuju ustanovama darovi prema njihovim potrebama u vidu didaktike, knjiga, slikovnica i dr.  Iz ovih se sredstava financira i tradicionalna nabavka poklon paketa za djecu  od navršene 1. godine života do zaključno 4. razreda osnovne škole povodom božićnih i novogodišnjih blagdana, kao i prigodni program koji prethodi podjeli paketa za djecu koja ne pohađaju vrtić.</w:t>
      </w:r>
    </w:p>
    <w:p w14:paraId="1F9CB7FC"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Opći cilj</w:t>
      </w:r>
      <w:r w:rsidRPr="00AC2206">
        <w:rPr>
          <w:rFonts w:ascii="Arial" w:eastAsia="Times New Roman" w:hAnsi="Arial" w:cs="Arial"/>
          <w:b/>
          <w:sz w:val="24"/>
          <w:szCs w:val="24"/>
        </w:rPr>
        <w:t>:</w:t>
      </w:r>
      <w:r w:rsidRPr="00AC2206">
        <w:rPr>
          <w:rFonts w:ascii="Arial" w:eastAsia="Times New Roman" w:hAnsi="Arial" w:cs="Arial"/>
          <w:sz w:val="24"/>
          <w:szCs w:val="24"/>
        </w:rPr>
        <w:t xml:space="preserve"> organizacija edukativnih sadržaja za djecu (kazališne predstave, kino projekcije) uz prigodno obilježavanje Dječjeg tjedna i Božićno novogodišnjih blagdana </w:t>
      </w:r>
    </w:p>
    <w:p w14:paraId="5A4AFF82"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Pokazatelj uspješnosti:</w:t>
      </w:r>
      <w:r w:rsidRPr="00AC2206">
        <w:rPr>
          <w:rFonts w:ascii="Arial" w:eastAsia="Times New Roman" w:hAnsi="Arial" w:cs="Arial"/>
          <w:sz w:val="24"/>
          <w:szCs w:val="24"/>
        </w:rPr>
        <w:t xml:space="preserve"> realizirani programi u  planiranom razdoblju.</w:t>
      </w:r>
    </w:p>
    <w:p w14:paraId="0A390A94" w14:textId="77777777" w:rsidR="00E541EE" w:rsidRPr="00AC2206" w:rsidRDefault="00E541EE" w:rsidP="00E541EE">
      <w:pPr>
        <w:jc w:val="both"/>
        <w:rPr>
          <w:rFonts w:ascii="Arial" w:eastAsia="Times New Roman" w:hAnsi="Arial" w:cs="Arial"/>
          <w:b/>
          <w:bCs/>
          <w:sz w:val="24"/>
          <w:szCs w:val="24"/>
        </w:rPr>
      </w:pPr>
    </w:p>
    <w:p w14:paraId="495775E7"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AC2206">
        <w:rPr>
          <w:rFonts w:ascii="Arial" w:eastAsia="Times New Roman" w:hAnsi="Arial" w:cs="Arial"/>
          <w:b/>
          <w:bCs/>
          <w:sz w:val="24"/>
          <w:szCs w:val="24"/>
        </w:rPr>
        <w:t xml:space="preserve">A 102503: Provedba dvojezičnosti u predškolskom odgoju = </w:t>
      </w:r>
      <w:r>
        <w:rPr>
          <w:rFonts w:ascii="Arial" w:eastAsia="Times New Roman" w:hAnsi="Arial" w:cs="Arial"/>
          <w:b/>
          <w:bCs/>
          <w:sz w:val="24"/>
          <w:szCs w:val="24"/>
        </w:rPr>
        <w:t>7.0</w:t>
      </w:r>
      <w:r w:rsidRPr="00AC2206">
        <w:rPr>
          <w:rFonts w:ascii="Arial" w:eastAsia="Times New Roman" w:hAnsi="Arial" w:cs="Arial"/>
          <w:b/>
          <w:bCs/>
          <w:sz w:val="24"/>
          <w:szCs w:val="24"/>
        </w:rPr>
        <w:t>00,00 EUR</w:t>
      </w:r>
    </w:p>
    <w:p w14:paraId="3B530A37" w14:textId="77777777" w:rsidR="00E541EE" w:rsidRPr="00AC2206" w:rsidRDefault="00E541EE" w:rsidP="00E541EE">
      <w:pPr>
        <w:shd w:val="clear" w:color="auto" w:fill="FFFFFF"/>
        <w:jc w:val="both"/>
        <w:textAlignment w:val="baseline"/>
        <w:rPr>
          <w:rFonts w:ascii="Arial" w:eastAsia="Times New Roman" w:hAnsi="Arial" w:cs="Arial"/>
          <w:sz w:val="24"/>
          <w:szCs w:val="24"/>
        </w:rPr>
      </w:pPr>
      <w:r w:rsidRPr="00AC2206">
        <w:rPr>
          <w:rFonts w:ascii="Arial" w:eastAsia="Times New Roman" w:hAnsi="Arial" w:cs="Arial"/>
          <w:b/>
          <w:sz w:val="24"/>
          <w:szCs w:val="24"/>
        </w:rPr>
        <w:t>Zakonska osnova:</w:t>
      </w:r>
      <w:r w:rsidRPr="00AC2206">
        <w:rPr>
          <w:rFonts w:ascii="Arial" w:eastAsia="Times New Roman" w:hAnsi="Arial" w:cs="Arial"/>
          <w:sz w:val="24"/>
          <w:szCs w:val="24"/>
        </w:rPr>
        <w:t xml:space="preserve"> </w:t>
      </w:r>
      <w:r w:rsidRPr="00AC2206">
        <w:rPr>
          <w:rFonts w:ascii="Arial" w:hAnsi="Arial" w:cs="Arial"/>
          <w:sz w:val="24"/>
          <w:szCs w:val="24"/>
        </w:rPr>
        <w:t>Zakon o lokalnoj i područnoj (regionalnoj)  samoupravi, Zakon o predškolskom odgoju i obrazovanju</w:t>
      </w:r>
    </w:p>
    <w:p w14:paraId="7BBBBE03" w14:textId="77777777" w:rsidR="00E541EE" w:rsidRPr="00AC2206" w:rsidRDefault="00E541EE" w:rsidP="00E541EE">
      <w:pPr>
        <w:shd w:val="clear" w:color="auto" w:fill="FFFFFF"/>
        <w:jc w:val="both"/>
        <w:textAlignment w:val="baseline"/>
        <w:rPr>
          <w:rFonts w:ascii="Arial" w:eastAsia="Times New Roman" w:hAnsi="Arial" w:cs="Arial"/>
          <w:sz w:val="24"/>
          <w:szCs w:val="24"/>
        </w:rPr>
      </w:pPr>
      <w:r w:rsidRPr="00AC2206">
        <w:rPr>
          <w:rFonts w:ascii="Arial" w:eastAsia="Times New Roman" w:hAnsi="Arial" w:cs="Arial"/>
          <w:b/>
          <w:sz w:val="24"/>
          <w:szCs w:val="24"/>
        </w:rPr>
        <w:t>Opis:</w:t>
      </w:r>
      <w:r w:rsidRPr="00AC2206">
        <w:rPr>
          <w:rFonts w:ascii="Arial" w:eastAsia="Times New Roman" w:hAnsi="Arial" w:cs="Arial"/>
          <w:sz w:val="24"/>
          <w:szCs w:val="24"/>
        </w:rPr>
        <w:t xml:space="preserve"> cilj programa ranog učenja talijanskog jezika je omogućiti učenje i upoznavanje jezika i kulture od najranije dobi uz osiguravanje poticajnog okruženja u kojem će dijete spontano učiti talijanski jezik kroz svakodnevne situacije i aktivnosti.</w:t>
      </w:r>
    </w:p>
    <w:p w14:paraId="6C7577B7" w14:textId="77777777" w:rsidR="00E541EE" w:rsidRPr="00AC2206" w:rsidRDefault="00E541EE" w:rsidP="00E541EE">
      <w:pPr>
        <w:shd w:val="clear" w:color="auto" w:fill="FFFFFF"/>
        <w:jc w:val="both"/>
        <w:textAlignment w:val="baseline"/>
        <w:rPr>
          <w:rFonts w:ascii="Arial" w:eastAsia="Times New Roman" w:hAnsi="Arial" w:cs="Arial"/>
          <w:sz w:val="24"/>
          <w:szCs w:val="24"/>
        </w:rPr>
      </w:pPr>
      <w:r w:rsidRPr="00AC2206">
        <w:rPr>
          <w:rFonts w:ascii="Arial" w:eastAsia="Times New Roman" w:hAnsi="Arial" w:cs="Arial"/>
          <w:sz w:val="24"/>
          <w:szCs w:val="24"/>
        </w:rPr>
        <w:t xml:space="preserve">Provedbom ovog programa grad Rovinj-Rovigno želi i na ovaj način doprinijeti promicanju i poticanju učenja talijanskog jezika kao jezika društvene sredine i to od najranije dobi. </w:t>
      </w:r>
    </w:p>
    <w:p w14:paraId="717EA6C8" w14:textId="77777777" w:rsidR="00E541EE" w:rsidRPr="00AC2206" w:rsidRDefault="00E541EE" w:rsidP="00E541EE">
      <w:pPr>
        <w:shd w:val="clear" w:color="auto" w:fill="FFFFFF"/>
        <w:jc w:val="both"/>
        <w:textAlignment w:val="baseline"/>
        <w:rPr>
          <w:rFonts w:ascii="Arial" w:eastAsia="Times New Roman" w:hAnsi="Arial" w:cs="Arial"/>
          <w:sz w:val="24"/>
          <w:szCs w:val="24"/>
        </w:rPr>
      </w:pPr>
      <w:r w:rsidRPr="00AC2206">
        <w:rPr>
          <w:rFonts w:ascii="Arial" w:eastAsia="Times New Roman" w:hAnsi="Arial" w:cs="Arial"/>
          <w:sz w:val="24"/>
          <w:szCs w:val="24"/>
        </w:rPr>
        <w:t>Program je namijenjen djeci predškolske dobi od 3. godine života do pred polazak u školu, isti će provoditi stručna osoba (učiteljica/učitelj), a provodit će se tijekom pedagoške godine u suradnji sa Dječjim vrtićem „Neven“.</w:t>
      </w:r>
    </w:p>
    <w:p w14:paraId="22D137E0" w14:textId="77777777" w:rsidR="00E541EE" w:rsidRPr="00AC2206" w:rsidRDefault="00E541EE" w:rsidP="00E541EE">
      <w:pPr>
        <w:shd w:val="clear" w:color="auto" w:fill="FFFFFF"/>
        <w:jc w:val="both"/>
        <w:textAlignment w:val="baseline"/>
        <w:rPr>
          <w:rFonts w:ascii="Arial" w:eastAsia="Times New Roman" w:hAnsi="Arial" w:cs="Arial"/>
          <w:sz w:val="24"/>
          <w:szCs w:val="24"/>
        </w:rPr>
      </w:pPr>
      <w:r w:rsidRPr="00AC2206">
        <w:rPr>
          <w:rFonts w:ascii="Arial" w:eastAsia="Times New Roman" w:hAnsi="Arial" w:cs="Arial"/>
          <w:b/>
          <w:sz w:val="24"/>
          <w:szCs w:val="24"/>
        </w:rPr>
        <w:t>Opći cilj:</w:t>
      </w:r>
      <w:r w:rsidRPr="00AC2206">
        <w:rPr>
          <w:rFonts w:ascii="Arial" w:eastAsia="Times New Roman" w:hAnsi="Arial" w:cs="Arial"/>
          <w:sz w:val="24"/>
          <w:szCs w:val="24"/>
        </w:rPr>
        <w:t xml:space="preserve"> poticanje učenja talijanskog jezika kao jezika društvene sredine.</w:t>
      </w:r>
    </w:p>
    <w:p w14:paraId="4F595189" w14:textId="77777777" w:rsidR="00E541EE" w:rsidRDefault="00E541EE" w:rsidP="00E541EE">
      <w:pPr>
        <w:shd w:val="clear" w:color="auto" w:fill="FFFFFF"/>
        <w:jc w:val="both"/>
        <w:textAlignment w:val="baseline"/>
        <w:rPr>
          <w:rFonts w:ascii="Arial" w:eastAsia="Times New Roman" w:hAnsi="Arial" w:cs="Arial"/>
          <w:sz w:val="24"/>
          <w:szCs w:val="24"/>
        </w:rPr>
      </w:pPr>
      <w:r w:rsidRPr="00AC2206">
        <w:rPr>
          <w:rFonts w:ascii="Arial" w:eastAsia="Times New Roman" w:hAnsi="Arial" w:cs="Arial"/>
          <w:b/>
          <w:sz w:val="24"/>
          <w:szCs w:val="24"/>
        </w:rPr>
        <w:t>Pokazatelj uspješnosti:</w:t>
      </w:r>
      <w:r w:rsidRPr="00AC2206">
        <w:rPr>
          <w:rFonts w:ascii="Arial" w:eastAsia="Times New Roman" w:hAnsi="Arial" w:cs="Arial"/>
          <w:sz w:val="24"/>
          <w:szCs w:val="24"/>
        </w:rPr>
        <w:t xml:space="preserve"> obuhvat djece i realizirane aktivnosti.</w:t>
      </w:r>
    </w:p>
    <w:p w14:paraId="3099C159" w14:textId="77777777" w:rsidR="00E541EE" w:rsidRPr="00AC2206" w:rsidRDefault="00E541EE" w:rsidP="00E541EE">
      <w:pPr>
        <w:shd w:val="clear" w:color="auto" w:fill="FFFFFF"/>
        <w:jc w:val="both"/>
        <w:textAlignment w:val="baseline"/>
        <w:rPr>
          <w:rFonts w:ascii="Arial" w:eastAsia="Times New Roman" w:hAnsi="Arial" w:cs="Arial"/>
          <w:sz w:val="24"/>
          <w:szCs w:val="24"/>
        </w:rPr>
      </w:pPr>
    </w:p>
    <w:p w14:paraId="159B3F3D"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FFFF80"/>
        <w:rPr>
          <w:rFonts w:ascii="Arial" w:eastAsia="Times New Roman" w:hAnsi="Arial" w:cs="Arial"/>
          <w:b/>
          <w:bCs/>
          <w:sz w:val="24"/>
          <w:szCs w:val="24"/>
        </w:rPr>
      </w:pPr>
      <w:r w:rsidRPr="00AC2206">
        <w:rPr>
          <w:rFonts w:ascii="Arial" w:eastAsia="Times New Roman" w:hAnsi="Arial" w:cs="Arial"/>
          <w:b/>
          <w:bCs/>
          <w:sz w:val="24"/>
          <w:szCs w:val="24"/>
        </w:rPr>
        <w:t xml:space="preserve">Program 1026: Opće javne potrebe u školstvu </w:t>
      </w:r>
      <w:r w:rsidRPr="00F35F04">
        <w:rPr>
          <w:rFonts w:ascii="Arial" w:eastAsia="Times New Roman" w:hAnsi="Arial" w:cs="Arial"/>
          <w:b/>
          <w:bCs/>
          <w:sz w:val="24"/>
          <w:szCs w:val="24"/>
        </w:rPr>
        <w:t xml:space="preserve">= </w:t>
      </w:r>
      <w:r w:rsidRPr="00B3322B">
        <w:rPr>
          <w:rFonts w:ascii="Arial" w:eastAsia="Times New Roman" w:hAnsi="Arial" w:cs="Arial"/>
          <w:b/>
          <w:bCs/>
          <w:sz w:val="24"/>
          <w:szCs w:val="24"/>
        </w:rPr>
        <w:t xml:space="preserve">716.820,00 </w:t>
      </w:r>
      <w:r w:rsidRPr="00AC2206">
        <w:rPr>
          <w:rFonts w:ascii="Arial" w:eastAsia="Times New Roman" w:hAnsi="Arial" w:cs="Arial"/>
          <w:b/>
          <w:bCs/>
          <w:sz w:val="24"/>
          <w:szCs w:val="24"/>
        </w:rPr>
        <w:t>EUR</w:t>
      </w:r>
    </w:p>
    <w:p w14:paraId="7FD5BAB5" w14:textId="77777777" w:rsidR="00E541EE" w:rsidRPr="00AC2206" w:rsidRDefault="00E541EE" w:rsidP="00E541EE">
      <w:pPr>
        <w:jc w:val="both"/>
        <w:rPr>
          <w:rFonts w:ascii="Arial" w:eastAsia="Times New Roman" w:hAnsi="Arial" w:cs="Arial"/>
          <w:sz w:val="24"/>
          <w:szCs w:val="24"/>
        </w:rPr>
      </w:pPr>
    </w:p>
    <w:tbl>
      <w:tblPr>
        <w:tblW w:w="1020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6"/>
        <w:gridCol w:w="885"/>
        <w:gridCol w:w="933"/>
        <w:gridCol w:w="1417"/>
        <w:gridCol w:w="925"/>
        <w:gridCol w:w="892"/>
        <w:gridCol w:w="1145"/>
        <w:gridCol w:w="997"/>
        <w:gridCol w:w="709"/>
        <w:gridCol w:w="567"/>
        <w:gridCol w:w="851"/>
      </w:tblGrid>
      <w:tr w:rsidR="00E541EE" w:rsidRPr="002E3985" w14:paraId="7566AEB0" w14:textId="77777777" w:rsidTr="00F664F1">
        <w:trPr>
          <w:trHeight w:val="632"/>
        </w:trPr>
        <w:tc>
          <w:tcPr>
            <w:tcW w:w="886" w:type="dxa"/>
            <w:vMerge w:val="restart"/>
            <w:vAlign w:val="center"/>
          </w:tcPr>
          <w:p w14:paraId="4568B0C2" w14:textId="77777777" w:rsidR="00E541EE" w:rsidRPr="00A02E43" w:rsidRDefault="00E541EE" w:rsidP="00A84BB5">
            <w:pPr>
              <w:widowControl w:val="0"/>
              <w:autoSpaceDE w:val="0"/>
              <w:autoSpaceDN w:val="0"/>
              <w:spacing w:before="49"/>
              <w:ind w:left="44" w:right="24"/>
              <w:jc w:val="center"/>
              <w:rPr>
                <w:rFonts w:cstheme="minorHAnsi"/>
                <w:b/>
                <w:sz w:val="15"/>
                <w:szCs w:val="15"/>
              </w:rPr>
            </w:pPr>
            <w:r w:rsidRPr="00A02E43">
              <w:rPr>
                <w:rFonts w:cstheme="minorHAnsi"/>
                <w:b/>
                <w:sz w:val="15"/>
                <w:szCs w:val="15"/>
              </w:rPr>
              <w:t>Doprinos</w:t>
            </w:r>
            <w:r w:rsidRPr="00A02E43">
              <w:rPr>
                <w:rFonts w:cstheme="minorHAnsi"/>
                <w:b/>
                <w:spacing w:val="-34"/>
                <w:sz w:val="15"/>
                <w:szCs w:val="15"/>
              </w:rPr>
              <w:t xml:space="preserve"> </w:t>
            </w:r>
            <w:r w:rsidRPr="00A02E43">
              <w:rPr>
                <w:rFonts w:cstheme="minorHAnsi"/>
                <w:b/>
                <w:sz w:val="15"/>
                <w:szCs w:val="15"/>
              </w:rPr>
              <w:t>provedbi Nadređenog akta</w:t>
            </w:r>
            <w:r w:rsidRPr="00A02E43">
              <w:rPr>
                <w:rFonts w:cstheme="minorHAnsi"/>
                <w:b/>
                <w:spacing w:val="1"/>
                <w:sz w:val="15"/>
                <w:szCs w:val="15"/>
              </w:rPr>
              <w:t xml:space="preserve"> </w:t>
            </w:r>
            <w:r w:rsidRPr="00A02E43">
              <w:rPr>
                <w:rFonts w:cstheme="minorHAnsi"/>
                <w:b/>
                <w:sz w:val="15"/>
                <w:szCs w:val="15"/>
              </w:rPr>
              <w:t>strateškog</w:t>
            </w:r>
            <w:r w:rsidRPr="00A02E43">
              <w:rPr>
                <w:rFonts w:cstheme="minorHAnsi"/>
                <w:b/>
                <w:spacing w:val="-34"/>
                <w:sz w:val="15"/>
                <w:szCs w:val="15"/>
              </w:rPr>
              <w:t xml:space="preserve"> </w:t>
            </w:r>
            <w:r w:rsidRPr="00A02E43">
              <w:rPr>
                <w:rFonts w:cstheme="minorHAnsi"/>
                <w:b/>
                <w:sz w:val="15"/>
                <w:szCs w:val="15"/>
              </w:rPr>
              <w:t>planiranja</w:t>
            </w:r>
          </w:p>
        </w:tc>
        <w:tc>
          <w:tcPr>
            <w:tcW w:w="885" w:type="dxa"/>
            <w:vMerge w:val="restart"/>
            <w:vAlign w:val="center"/>
          </w:tcPr>
          <w:p w14:paraId="5C51D7D2" w14:textId="77777777" w:rsidR="00E541EE" w:rsidRPr="00A02E43" w:rsidRDefault="00E541EE" w:rsidP="00A84BB5">
            <w:pPr>
              <w:widowControl w:val="0"/>
              <w:autoSpaceDE w:val="0"/>
              <w:autoSpaceDN w:val="0"/>
              <w:spacing w:line="195" w:lineRule="exact"/>
              <w:ind w:left="44" w:right="35"/>
              <w:jc w:val="center"/>
              <w:rPr>
                <w:rFonts w:cstheme="minorHAnsi"/>
                <w:b/>
                <w:sz w:val="15"/>
                <w:szCs w:val="15"/>
              </w:rPr>
            </w:pPr>
            <w:r w:rsidRPr="00A02E43">
              <w:rPr>
                <w:rFonts w:cstheme="minorHAnsi"/>
                <w:b/>
                <w:sz w:val="15"/>
                <w:szCs w:val="15"/>
              </w:rPr>
              <w:t>Naziv</w:t>
            </w:r>
            <w:r w:rsidRPr="00A02E43">
              <w:rPr>
                <w:rFonts w:cstheme="minorHAnsi"/>
                <w:b/>
                <w:spacing w:val="-3"/>
                <w:sz w:val="15"/>
                <w:szCs w:val="15"/>
              </w:rPr>
              <w:t xml:space="preserve"> </w:t>
            </w:r>
            <w:r w:rsidRPr="00A02E43">
              <w:rPr>
                <w:rFonts w:cstheme="minorHAnsi"/>
                <w:b/>
                <w:sz w:val="15"/>
                <w:szCs w:val="15"/>
              </w:rPr>
              <w:t>cilja nadređenog</w:t>
            </w:r>
            <w:r w:rsidRPr="00A02E43">
              <w:rPr>
                <w:rFonts w:cstheme="minorHAnsi"/>
                <w:b/>
                <w:spacing w:val="1"/>
                <w:sz w:val="15"/>
                <w:szCs w:val="15"/>
              </w:rPr>
              <w:t xml:space="preserve"> </w:t>
            </w:r>
            <w:r w:rsidRPr="00A02E43">
              <w:rPr>
                <w:rFonts w:cstheme="minorHAnsi"/>
                <w:b/>
                <w:spacing w:val="-1"/>
                <w:sz w:val="15"/>
                <w:szCs w:val="15"/>
              </w:rPr>
              <w:t>akta</w:t>
            </w:r>
            <w:r w:rsidRPr="00A02E43">
              <w:rPr>
                <w:rFonts w:cstheme="minorHAnsi"/>
                <w:b/>
                <w:spacing w:val="-2"/>
                <w:sz w:val="15"/>
                <w:szCs w:val="15"/>
              </w:rPr>
              <w:t xml:space="preserve"> </w:t>
            </w:r>
            <w:r w:rsidRPr="00A02E43">
              <w:rPr>
                <w:rFonts w:cstheme="minorHAnsi"/>
                <w:b/>
                <w:spacing w:val="-1"/>
                <w:sz w:val="15"/>
                <w:szCs w:val="15"/>
              </w:rPr>
              <w:t xml:space="preserve">strateškog </w:t>
            </w:r>
            <w:r w:rsidRPr="00A02E43">
              <w:rPr>
                <w:rFonts w:cstheme="minorHAnsi"/>
                <w:b/>
                <w:sz w:val="15"/>
                <w:szCs w:val="15"/>
              </w:rPr>
              <w:t>planiranja</w:t>
            </w:r>
          </w:p>
        </w:tc>
        <w:tc>
          <w:tcPr>
            <w:tcW w:w="933" w:type="dxa"/>
            <w:vMerge w:val="restart"/>
            <w:vAlign w:val="center"/>
          </w:tcPr>
          <w:p w14:paraId="4AD168DB" w14:textId="77777777" w:rsidR="00E541EE" w:rsidRPr="00A02E43" w:rsidRDefault="00E541EE" w:rsidP="00A84BB5">
            <w:pPr>
              <w:widowControl w:val="0"/>
              <w:autoSpaceDE w:val="0"/>
              <w:autoSpaceDN w:val="0"/>
              <w:ind w:left="125" w:right="114"/>
              <w:jc w:val="center"/>
              <w:rPr>
                <w:rFonts w:cstheme="minorHAnsi"/>
                <w:b/>
                <w:sz w:val="15"/>
                <w:szCs w:val="15"/>
              </w:rPr>
            </w:pPr>
            <w:r w:rsidRPr="00A02E43">
              <w:rPr>
                <w:rFonts w:cstheme="minorHAnsi"/>
                <w:b/>
                <w:spacing w:val="-1"/>
                <w:sz w:val="15"/>
                <w:szCs w:val="15"/>
              </w:rPr>
              <w:t xml:space="preserve">Program </w:t>
            </w:r>
            <w:r w:rsidRPr="00A02E43">
              <w:rPr>
                <w:rFonts w:cstheme="minorHAnsi"/>
                <w:b/>
                <w:sz w:val="15"/>
                <w:szCs w:val="15"/>
              </w:rPr>
              <w:t>u</w:t>
            </w:r>
            <w:r w:rsidRPr="00A02E43">
              <w:rPr>
                <w:rFonts w:cstheme="minorHAnsi"/>
                <w:b/>
                <w:spacing w:val="-34"/>
                <w:sz w:val="15"/>
                <w:szCs w:val="15"/>
              </w:rPr>
              <w:t xml:space="preserve"> </w:t>
            </w:r>
            <w:r w:rsidRPr="00A02E43">
              <w:rPr>
                <w:rFonts w:cstheme="minorHAnsi"/>
                <w:b/>
                <w:sz w:val="15"/>
                <w:szCs w:val="15"/>
              </w:rPr>
              <w:t xml:space="preserve">proračunu </w:t>
            </w:r>
            <w:r w:rsidRPr="00A02E43">
              <w:rPr>
                <w:rFonts w:cstheme="minorHAnsi"/>
                <w:b/>
                <w:spacing w:val="-34"/>
                <w:sz w:val="15"/>
                <w:szCs w:val="15"/>
              </w:rPr>
              <w:t xml:space="preserve"> </w:t>
            </w:r>
            <w:r w:rsidRPr="00A02E43">
              <w:rPr>
                <w:rFonts w:cstheme="minorHAnsi"/>
                <w:b/>
                <w:sz w:val="15"/>
                <w:szCs w:val="15"/>
              </w:rPr>
              <w:t>JLS</w:t>
            </w:r>
          </w:p>
        </w:tc>
        <w:tc>
          <w:tcPr>
            <w:tcW w:w="1417" w:type="dxa"/>
            <w:vMerge w:val="restart"/>
            <w:vAlign w:val="center"/>
          </w:tcPr>
          <w:p w14:paraId="5EB08408" w14:textId="77777777" w:rsidR="00E541EE" w:rsidRPr="00A02E43" w:rsidRDefault="00E541EE" w:rsidP="00A84BB5">
            <w:pPr>
              <w:widowControl w:val="0"/>
              <w:autoSpaceDE w:val="0"/>
              <w:autoSpaceDN w:val="0"/>
              <w:ind w:left="179"/>
              <w:jc w:val="center"/>
              <w:rPr>
                <w:rFonts w:cstheme="minorHAnsi"/>
                <w:b/>
                <w:sz w:val="15"/>
                <w:szCs w:val="15"/>
              </w:rPr>
            </w:pPr>
            <w:r w:rsidRPr="00A02E43">
              <w:rPr>
                <w:rFonts w:cstheme="minorHAnsi"/>
                <w:b/>
                <w:sz w:val="15"/>
                <w:szCs w:val="15"/>
              </w:rPr>
              <w:t>Naziv</w:t>
            </w:r>
            <w:r w:rsidRPr="00A02E43">
              <w:rPr>
                <w:rFonts w:cstheme="minorHAnsi"/>
                <w:b/>
                <w:spacing w:val="-2"/>
                <w:sz w:val="15"/>
                <w:szCs w:val="15"/>
              </w:rPr>
              <w:t xml:space="preserve"> </w:t>
            </w:r>
            <w:r w:rsidRPr="00A02E43">
              <w:rPr>
                <w:rFonts w:cstheme="minorHAnsi"/>
                <w:b/>
                <w:sz w:val="15"/>
                <w:szCs w:val="15"/>
              </w:rPr>
              <w:t>mjere</w:t>
            </w:r>
          </w:p>
        </w:tc>
        <w:tc>
          <w:tcPr>
            <w:tcW w:w="925" w:type="dxa"/>
            <w:vMerge w:val="restart"/>
            <w:vAlign w:val="center"/>
          </w:tcPr>
          <w:p w14:paraId="34C60504" w14:textId="77777777" w:rsidR="00E541EE" w:rsidRPr="00A02E43" w:rsidRDefault="00E541EE" w:rsidP="00A84BB5">
            <w:pPr>
              <w:widowControl w:val="0"/>
              <w:autoSpaceDE w:val="0"/>
              <w:autoSpaceDN w:val="0"/>
              <w:ind w:left="70" w:right="60"/>
              <w:jc w:val="center"/>
              <w:rPr>
                <w:rFonts w:cstheme="minorHAnsi"/>
                <w:b/>
                <w:sz w:val="15"/>
                <w:szCs w:val="15"/>
              </w:rPr>
            </w:pPr>
            <w:r w:rsidRPr="00A02E43">
              <w:rPr>
                <w:rFonts w:cstheme="minorHAnsi"/>
                <w:b/>
                <w:sz w:val="15"/>
                <w:szCs w:val="15"/>
              </w:rPr>
              <w:t>Procijenjeni</w:t>
            </w:r>
            <w:r w:rsidRPr="00A02E43">
              <w:rPr>
                <w:rFonts w:cstheme="minorHAnsi"/>
                <w:b/>
                <w:spacing w:val="-34"/>
                <w:sz w:val="15"/>
                <w:szCs w:val="15"/>
              </w:rPr>
              <w:t xml:space="preserve"> </w:t>
            </w:r>
            <w:r w:rsidRPr="00A02E43">
              <w:rPr>
                <w:rFonts w:cstheme="minorHAnsi"/>
                <w:b/>
                <w:sz w:val="15"/>
                <w:szCs w:val="15"/>
              </w:rPr>
              <w:t>trošak</w:t>
            </w:r>
            <w:r w:rsidRPr="00A02E43">
              <w:rPr>
                <w:rFonts w:cstheme="minorHAnsi"/>
                <w:b/>
                <w:spacing w:val="1"/>
                <w:sz w:val="15"/>
                <w:szCs w:val="15"/>
              </w:rPr>
              <w:t xml:space="preserve"> </w:t>
            </w:r>
            <w:r w:rsidRPr="00A02E43">
              <w:rPr>
                <w:rFonts w:cstheme="minorHAnsi"/>
                <w:b/>
                <w:sz w:val="15"/>
                <w:szCs w:val="15"/>
              </w:rPr>
              <w:t>provedbe</w:t>
            </w:r>
            <w:r w:rsidRPr="00A02E43">
              <w:rPr>
                <w:rFonts w:cstheme="minorHAnsi"/>
                <w:b/>
                <w:spacing w:val="1"/>
                <w:sz w:val="15"/>
                <w:szCs w:val="15"/>
              </w:rPr>
              <w:t xml:space="preserve"> </w:t>
            </w:r>
            <w:r w:rsidRPr="00A02E43">
              <w:rPr>
                <w:rFonts w:cstheme="minorHAnsi"/>
                <w:b/>
                <w:sz w:val="15"/>
                <w:szCs w:val="15"/>
              </w:rPr>
              <w:t>mjere 2026.</w:t>
            </w:r>
          </w:p>
          <w:p w14:paraId="2BBB49B0" w14:textId="77777777" w:rsidR="00E541EE" w:rsidRPr="00A02E43" w:rsidRDefault="00E541EE" w:rsidP="00A84BB5">
            <w:pPr>
              <w:widowControl w:val="0"/>
              <w:autoSpaceDE w:val="0"/>
              <w:autoSpaceDN w:val="0"/>
              <w:spacing w:before="2"/>
              <w:ind w:left="70" w:right="58"/>
              <w:jc w:val="center"/>
              <w:rPr>
                <w:rFonts w:cstheme="minorHAnsi"/>
                <w:b/>
                <w:sz w:val="15"/>
                <w:szCs w:val="15"/>
              </w:rPr>
            </w:pPr>
            <w:r w:rsidRPr="00A02E43">
              <w:rPr>
                <w:rFonts w:cstheme="minorHAnsi"/>
                <w:b/>
                <w:sz w:val="15"/>
                <w:szCs w:val="15"/>
              </w:rPr>
              <w:t>(u EUR)</w:t>
            </w:r>
          </w:p>
        </w:tc>
        <w:tc>
          <w:tcPr>
            <w:tcW w:w="892" w:type="dxa"/>
            <w:vMerge w:val="restart"/>
            <w:vAlign w:val="center"/>
          </w:tcPr>
          <w:p w14:paraId="4B06B99B" w14:textId="77777777" w:rsidR="00E541EE" w:rsidRPr="00A02E43" w:rsidRDefault="00E541EE" w:rsidP="00A84BB5">
            <w:pPr>
              <w:widowControl w:val="0"/>
              <w:autoSpaceDE w:val="0"/>
              <w:autoSpaceDN w:val="0"/>
              <w:jc w:val="center"/>
              <w:rPr>
                <w:rFonts w:cstheme="minorHAnsi"/>
                <w:b/>
                <w:sz w:val="15"/>
                <w:szCs w:val="15"/>
              </w:rPr>
            </w:pPr>
            <w:r w:rsidRPr="00A02E43">
              <w:rPr>
                <w:rFonts w:cstheme="minorHAnsi"/>
                <w:b/>
                <w:sz w:val="15"/>
                <w:szCs w:val="15"/>
              </w:rPr>
              <w:t>Ključne</w:t>
            </w:r>
          </w:p>
          <w:p w14:paraId="5C0B52E3" w14:textId="77777777" w:rsidR="00E541EE" w:rsidRPr="00A02E43" w:rsidRDefault="00E541EE" w:rsidP="00A84BB5">
            <w:pPr>
              <w:widowControl w:val="0"/>
              <w:autoSpaceDE w:val="0"/>
              <w:autoSpaceDN w:val="0"/>
              <w:spacing w:before="1"/>
              <w:jc w:val="center"/>
              <w:rPr>
                <w:rFonts w:cstheme="minorHAnsi"/>
                <w:b/>
                <w:sz w:val="15"/>
                <w:szCs w:val="15"/>
              </w:rPr>
            </w:pPr>
            <w:r w:rsidRPr="00A02E43">
              <w:rPr>
                <w:rFonts w:cstheme="minorHAnsi"/>
                <w:b/>
                <w:sz w:val="15"/>
                <w:szCs w:val="15"/>
              </w:rPr>
              <w:t>aktivnosti</w:t>
            </w:r>
          </w:p>
        </w:tc>
        <w:tc>
          <w:tcPr>
            <w:tcW w:w="1145" w:type="dxa"/>
            <w:vMerge w:val="restart"/>
            <w:vAlign w:val="center"/>
          </w:tcPr>
          <w:p w14:paraId="3977B7AA" w14:textId="77777777" w:rsidR="00E541EE" w:rsidRPr="00A02E43" w:rsidRDefault="00E541EE" w:rsidP="00A84BB5">
            <w:pPr>
              <w:widowControl w:val="0"/>
              <w:autoSpaceDE w:val="0"/>
              <w:autoSpaceDN w:val="0"/>
              <w:ind w:left="174" w:right="97" w:hanging="44"/>
              <w:jc w:val="center"/>
              <w:rPr>
                <w:rFonts w:cstheme="minorHAnsi"/>
                <w:b/>
                <w:sz w:val="15"/>
                <w:szCs w:val="15"/>
              </w:rPr>
            </w:pPr>
            <w:r w:rsidRPr="00A02E43">
              <w:rPr>
                <w:rFonts w:cstheme="minorHAnsi"/>
                <w:b/>
                <w:sz w:val="15"/>
                <w:szCs w:val="15"/>
              </w:rPr>
              <w:t>Pokazatelj</w:t>
            </w:r>
            <w:r w:rsidRPr="00A02E43">
              <w:rPr>
                <w:rFonts w:cstheme="minorHAnsi"/>
                <w:b/>
                <w:spacing w:val="-34"/>
                <w:sz w:val="15"/>
                <w:szCs w:val="15"/>
              </w:rPr>
              <w:t xml:space="preserve"> </w:t>
            </w:r>
            <w:r w:rsidRPr="00A02E43">
              <w:rPr>
                <w:rFonts w:cstheme="minorHAnsi"/>
                <w:b/>
                <w:sz w:val="15"/>
                <w:szCs w:val="15"/>
              </w:rPr>
              <w:t>rezultata</w:t>
            </w:r>
          </w:p>
        </w:tc>
        <w:tc>
          <w:tcPr>
            <w:tcW w:w="997" w:type="dxa"/>
            <w:vMerge w:val="restart"/>
            <w:vAlign w:val="center"/>
          </w:tcPr>
          <w:p w14:paraId="40CDCF7F" w14:textId="77777777" w:rsidR="00E541EE" w:rsidRPr="00A02E43" w:rsidRDefault="00E541EE" w:rsidP="00A84BB5">
            <w:pPr>
              <w:widowControl w:val="0"/>
              <w:autoSpaceDE w:val="0"/>
              <w:autoSpaceDN w:val="0"/>
              <w:ind w:left="44" w:right="32"/>
              <w:jc w:val="center"/>
              <w:rPr>
                <w:rFonts w:cstheme="minorHAnsi"/>
                <w:b/>
                <w:sz w:val="15"/>
                <w:szCs w:val="15"/>
              </w:rPr>
            </w:pPr>
            <w:r w:rsidRPr="00A02E43">
              <w:rPr>
                <w:rFonts w:cstheme="minorHAnsi"/>
                <w:b/>
                <w:sz w:val="15"/>
                <w:szCs w:val="15"/>
              </w:rPr>
              <w:t>Početna</w:t>
            </w:r>
            <w:r w:rsidRPr="00A02E43">
              <w:rPr>
                <w:rFonts w:cstheme="minorHAnsi"/>
                <w:b/>
                <w:spacing w:val="1"/>
                <w:sz w:val="15"/>
                <w:szCs w:val="15"/>
              </w:rPr>
              <w:t xml:space="preserve"> </w:t>
            </w:r>
            <w:r w:rsidRPr="00A02E43">
              <w:rPr>
                <w:rFonts w:cstheme="minorHAnsi"/>
                <w:b/>
                <w:sz w:val="15"/>
                <w:szCs w:val="15"/>
              </w:rPr>
              <w:t>vrijednost 2025.</w:t>
            </w:r>
          </w:p>
        </w:tc>
        <w:tc>
          <w:tcPr>
            <w:tcW w:w="2127" w:type="dxa"/>
            <w:gridSpan w:val="3"/>
            <w:vAlign w:val="center"/>
          </w:tcPr>
          <w:p w14:paraId="329E13B4" w14:textId="77777777" w:rsidR="00E541EE" w:rsidRPr="00A02E43" w:rsidRDefault="00E541EE" w:rsidP="00A84BB5">
            <w:pPr>
              <w:widowControl w:val="0"/>
              <w:autoSpaceDE w:val="0"/>
              <w:autoSpaceDN w:val="0"/>
              <w:ind w:left="70" w:right="56"/>
              <w:jc w:val="center"/>
              <w:rPr>
                <w:rFonts w:cstheme="minorHAnsi"/>
                <w:b/>
                <w:sz w:val="15"/>
                <w:szCs w:val="15"/>
              </w:rPr>
            </w:pPr>
            <w:r w:rsidRPr="00A02E43">
              <w:rPr>
                <w:rFonts w:cstheme="minorHAnsi"/>
                <w:b/>
                <w:sz w:val="15"/>
                <w:szCs w:val="15"/>
              </w:rPr>
              <w:t>Ciljna</w:t>
            </w:r>
            <w:r w:rsidRPr="00A02E43">
              <w:rPr>
                <w:rFonts w:cstheme="minorHAnsi"/>
                <w:b/>
                <w:spacing w:val="1"/>
                <w:sz w:val="15"/>
                <w:szCs w:val="15"/>
              </w:rPr>
              <w:t xml:space="preserve"> </w:t>
            </w:r>
            <w:r w:rsidRPr="00A02E43">
              <w:rPr>
                <w:rFonts w:cstheme="minorHAnsi"/>
                <w:b/>
                <w:sz w:val="15"/>
                <w:szCs w:val="15"/>
              </w:rPr>
              <w:t>vrijednost</w:t>
            </w:r>
          </w:p>
        </w:tc>
      </w:tr>
      <w:tr w:rsidR="00E541EE" w:rsidRPr="002E3985" w14:paraId="14E3367F" w14:textId="77777777" w:rsidTr="00F664F1">
        <w:trPr>
          <w:trHeight w:val="308"/>
        </w:trPr>
        <w:tc>
          <w:tcPr>
            <w:tcW w:w="886" w:type="dxa"/>
            <w:vMerge/>
            <w:vAlign w:val="center"/>
          </w:tcPr>
          <w:p w14:paraId="7F488F05" w14:textId="77777777" w:rsidR="00E541EE" w:rsidRPr="00A02E43" w:rsidRDefault="00E541EE" w:rsidP="00A84BB5">
            <w:pPr>
              <w:widowControl w:val="0"/>
              <w:autoSpaceDE w:val="0"/>
              <w:autoSpaceDN w:val="0"/>
              <w:spacing w:before="49"/>
              <w:ind w:left="44" w:right="35"/>
              <w:jc w:val="center"/>
              <w:rPr>
                <w:rFonts w:cstheme="minorHAnsi"/>
                <w:b/>
                <w:sz w:val="15"/>
                <w:szCs w:val="15"/>
              </w:rPr>
            </w:pPr>
          </w:p>
        </w:tc>
        <w:tc>
          <w:tcPr>
            <w:tcW w:w="885" w:type="dxa"/>
            <w:vMerge/>
            <w:vAlign w:val="center"/>
          </w:tcPr>
          <w:p w14:paraId="1DA3A10A" w14:textId="77777777" w:rsidR="00E541EE" w:rsidRPr="00A02E43" w:rsidRDefault="00E541EE" w:rsidP="00A84BB5">
            <w:pPr>
              <w:widowControl w:val="0"/>
              <w:autoSpaceDE w:val="0"/>
              <w:autoSpaceDN w:val="0"/>
              <w:spacing w:line="195" w:lineRule="exact"/>
              <w:ind w:left="44" w:right="35"/>
              <w:jc w:val="center"/>
              <w:rPr>
                <w:rFonts w:cstheme="minorHAnsi"/>
                <w:b/>
                <w:sz w:val="15"/>
                <w:szCs w:val="15"/>
              </w:rPr>
            </w:pPr>
          </w:p>
        </w:tc>
        <w:tc>
          <w:tcPr>
            <w:tcW w:w="933" w:type="dxa"/>
            <w:vMerge/>
            <w:vAlign w:val="center"/>
          </w:tcPr>
          <w:p w14:paraId="2965B79A" w14:textId="77777777" w:rsidR="00E541EE" w:rsidRPr="00A02E43" w:rsidRDefault="00E541EE" w:rsidP="00A84BB5">
            <w:pPr>
              <w:widowControl w:val="0"/>
              <w:autoSpaceDE w:val="0"/>
              <w:autoSpaceDN w:val="0"/>
              <w:ind w:left="125" w:right="114"/>
              <w:jc w:val="center"/>
              <w:rPr>
                <w:rFonts w:cstheme="minorHAnsi"/>
                <w:b/>
                <w:spacing w:val="-1"/>
                <w:sz w:val="15"/>
                <w:szCs w:val="15"/>
              </w:rPr>
            </w:pPr>
          </w:p>
        </w:tc>
        <w:tc>
          <w:tcPr>
            <w:tcW w:w="1417" w:type="dxa"/>
            <w:vMerge/>
            <w:vAlign w:val="center"/>
          </w:tcPr>
          <w:p w14:paraId="3E4166E9" w14:textId="77777777" w:rsidR="00E541EE" w:rsidRPr="00A02E43" w:rsidRDefault="00E541EE" w:rsidP="00A84BB5">
            <w:pPr>
              <w:widowControl w:val="0"/>
              <w:autoSpaceDE w:val="0"/>
              <w:autoSpaceDN w:val="0"/>
              <w:ind w:left="179"/>
              <w:jc w:val="center"/>
              <w:rPr>
                <w:rFonts w:cstheme="minorHAnsi"/>
                <w:b/>
                <w:sz w:val="15"/>
                <w:szCs w:val="15"/>
              </w:rPr>
            </w:pPr>
          </w:p>
        </w:tc>
        <w:tc>
          <w:tcPr>
            <w:tcW w:w="925" w:type="dxa"/>
            <w:vMerge/>
            <w:vAlign w:val="center"/>
          </w:tcPr>
          <w:p w14:paraId="6E15DBEC" w14:textId="77777777" w:rsidR="00E541EE" w:rsidRPr="00A02E43" w:rsidRDefault="00E541EE" w:rsidP="00A84BB5">
            <w:pPr>
              <w:widowControl w:val="0"/>
              <w:autoSpaceDE w:val="0"/>
              <w:autoSpaceDN w:val="0"/>
              <w:ind w:left="70" w:right="60"/>
              <w:jc w:val="center"/>
              <w:rPr>
                <w:rFonts w:cstheme="minorHAnsi"/>
                <w:b/>
                <w:sz w:val="15"/>
                <w:szCs w:val="15"/>
              </w:rPr>
            </w:pPr>
          </w:p>
        </w:tc>
        <w:tc>
          <w:tcPr>
            <w:tcW w:w="892" w:type="dxa"/>
            <w:vMerge/>
            <w:tcBorders>
              <w:bottom w:val="single" w:sz="4" w:space="0" w:color="auto"/>
            </w:tcBorders>
            <w:vAlign w:val="center"/>
          </w:tcPr>
          <w:p w14:paraId="57A2E06C" w14:textId="77777777" w:rsidR="00E541EE" w:rsidRPr="00A02E43" w:rsidRDefault="00E541EE" w:rsidP="00A84BB5">
            <w:pPr>
              <w:widowControl w:val="0"/>
              <w:autoSpaceDE w:val="0"/>
              <w:autoSpaceDN w:val="0"/>
              <w:ind w:left="311"/>
              <w:jc w:val="center"/>
              <w:rPr>
                <w:rFonts w:cstheme="minorHAnsi"/>
                <w:b/>
                <w:sz w:val="15"/>
                <w:szCs w:val="15"/>
              </w:rPr>
            </w:pPr>
          </w:p>
        </w:tc>
        <w:tc>
          <w:tcPr>
            <w:tcW w:w="1145" w:type="dxa"/>
            <w:vMerge/>
            <w:tcBorders>
              <w:bottom w:val="single" w:sz="4" w:space="0" w:color="auto"/>
            </w:tcBorders>
            <w:vAlign w:val="center"/>
          </w:tcPr>
          <w:p w14:paraId="1E887A76" w14:textId="77777777" w:rsidR="00E541EE" w:rsidRPr="00A02E43" w:rsidRDefault="00E541EE" w:rsidP="00A84BB5">
            <w:pPr>
              <w:widowControl w:val="0"/>
              <w:autoSpaceDE w:val="0"/>
              <w:autoSpaceDN w:val="0"/>
              <w:ind w:left="174" w:right="97" w:hanging="44"/>
              <w:jc w:val="center"/>
              <w:rPr>
                <w:rFonts w:cstheme="minorHAnsi"/>
                <w:b/>
                <w:sz w:val="15"/>
                <w:szCs w:val="15"/>
              </w:rPr>
            </w:pPr>
          </w:p>
        </w:tc>
        <w:tc>
          <w:tcPr>
            <w:tcW w:w="997" w:type="dxa"/>
            <w:vMerge/>
            <w:tcBorders>
              <w:bottom w:val="single" w:sz="4" w:space="0" w:color="auto"/>
            </w:tcBorders>
            <w:vAlign w:val="center"/>
          </w:tcPr>
          <w:p w14:paraId="74CEB191" w14:textId="77777777" w:rsidR="00E541EE" w:rsidRPr="00A02E43" w:rsidRDefault="00E541EE" w:rsidP="00A84BB5">
            <w:pPr>
              <w:widowControl w:val="0"/>
              <w:autoSpaceDE w:val="0"/>
              <w:autoSpaceDN w:val="0"/>
              <w:ind w:left="44" w:right="32"/>
              <w:jc w:val="center"/>
              <w:rPr>
                <w:rFonts w:cstheme="minorHAnsi"/>
                <w:b/>
                <w:sz w:val="15"/>
                <w:szCs w:val="15"/>
              </w:rPr>
            </w:pPr>
          </w:p>
        </w:tc>
        <w:tc>
          <w:tcPr>
            <w:tcW w:w="709" w:type="dxa"/>
            <w:tcBorders>
              <w:bottom w:val="single" w:sz="4" w:space="0" w:color="auto"/>
            </w:tcBorders>
            <w:vAlign w:val="center"/>
          </w:tcPr>
          <w:p w14:paraId="387F0A6D" w14:textId="77777777" w:rsidR="00E541EE" w:rsidRPr="00A02E43" w:rsidRDefault="00E541EE" w:rsidP="00A84BB5">
            <w:pPr>
              <w:widowControl w:val="0"/>
              <w:autoSpaceDE w:val="0"/>
              <w:autoSpaceDN w:val="0"/>
              <w:ind w:left="87" w:right="70"/>
              <w:jc w:val="center"/>
              <w:rPr>
                <w:rFonts w:cstheme="minorHAnsi"/>
                <w:b/>
                <w:sz w:val="15"/>
                <w:szCs w:val="15"/>
              </w:rPr>
            </w:pPr>
            <w:r w:rsidRPr="00A02E43">
              <w:rPr>
                <w:rFonts w:cstheme="minorHAnsi"/>
                <w:b/>
                <w:sz w:val="15"/>
                <w:szCs w:val="15"/>
              </w:rPr>
              <w:t>za 2026.</w:t>
            </w:r>
          </w:p>
        </w:tc>
        <w:tc>
          <w:tcPr>
            <w:tcW w:w="567" w:type="dxa"/>
            <w:tcBorders>
              <w:bottom w:val="single" w:sz="4" w:space="0" w:color="auto"/>
            </w:tcBorders>
            <w:vAlign w:val="center"/>
          </w:tcPr>
          <w:p w14:paraId="7CBFD016" w14:textId="77777777" w:rsidR="00E541EE" w:rsidRPr="00A02E43" w:rsidRDefault="00E541EE" w:rsidP="00A84BB5">
            <w:pPr>
              <w:widowControl w:val="0"/>
              <w:autoSpaceDE w:val="0"/>
              <w:autoSpaceDN w:val="0"/>
              <w:ind w:left="75" w:right="61"/>
              <w:jc w:val="center"/>
              <w:rPr>
                <w:rFonts w:cstheme="minorHAnsi"/>
                <w:b/>
                <w:sz w:val="15"/>
                <w:szCs w:val="15"/>
              </w:rPr>
            </w:pPr>
            <w:r w:rsidRPr="00A02E43">
              <w:rPr>
                <w:rFonts w:cstheme="minorHAnsi"/>
                <w:b/>
                <w:sz w:val="15"/>
                <w:szCs w:val="15"/>
              </w:rPr>
              <w:t>za</w:t>
            </w:r>
          </w:p>
          <w:p w14:paraId="659EC9AF" w14:textId="77777777" w:rsidR="00E541EE" w:rsidRPr="00A02E43" w:rsidRDefault="00E541EE" w:rsidP="00A84BB5">
            <w:pPr>
              <w:widowControl w:val="0"/>
              <w:autoSpaceDE w:val="0"/>
              <w:autoSpaceDN w:val="0"/>
              <w:ind w:left="75" w:right="61"/>
              <w:jc w:val="center"/>
              <w:rPr>
                <w:rFonts w:cstheme="minorHAnsi"/>
                <w:b/>
                <w:sz w:val="15"/>
                <w:szCs w:val="15"/>
              </w:rPr>
            </w:pPr>
            <w:r w:rsidRPr="00A02E43">
              <w:rPr>
                <w:rFonts w:cstheme="minorHAnsi"/>
                <w:b/>
                <w:sz w:val="15"/>
                <w:szCs w:val="15"/>
              </w:rPr>
              <w:t>2027.</w:t>
            </w:r>
          </w:p>
        </w:tc>
        <w:tc>
          <w:tcPr>
            <w:tcW w:w="851" w:type="dxa"/>
            <w:tcBorders>
              <w:bottom w:val="single" w:sz="4" w:space="0" w:color="auto"/>
            </w:tcBorders>
            <w:vAlign w:val="center"/>
          </w:tcPr>
          <w:p w14:paraId="17AC3BC8" w14:textId="77777777" w:rsidR="00E541EE" w:rsidRPr="00A02E43" w:rsidRDefault="00E541EE" w:rsidP="00A84BB5">
            <w:pPr>
              <w:widowControl w:val="0"/>
              <w:autoSpaceDE w:val="0"/>
              <w:autoSpaceDN w:val="0"/>
              <w:ind w:left="70" w:right="56"/>
              <w:jc w:val="center"/>
              <w:rPr>
                <w:rFonts w:cstheme="minorHAnsi"/>
                <w:b/>
                <w:sz w:val="15"/>
                <w:szCs w:val="15"/>
              </w:rPr>
            </w:pPr>
            <w:r w:rsidRPr="00A02E43">
              <w:rPr>
                <w:rFonts w:cstheme="minorHAnsi"/>
                <w:b/>
                <w:sz w:val="15"/>
                <w:szCs w:val="15"/>
              </w:rPr>
              <w:t>za</w:t>
            </w:r>
          </w:p>
          <w:p w14:paraId="457E2F23" w14:textId="77777777" w:rsidR="00E541EE" w:rsidRPr="00A02E43" w:rsidRDefault="00E541EE" w:rsidP="00A84BB5">
            <w:pPr>
              <w:widowControl w:val="0"/>
              <w:autoSpaceDE w:val="0"/>
              <w:autoSpaceDN w:val="0"/>
              <w:ind w:left="70" w:right="56"/>
              <w:jc w:val="center"/>
              <w:rPr>
                <w:rFonts w:cstheme="minorHAnsi"/>
                <w:b/>
                <w:sz w:val="15"/>
                <w:szCs w:val="15"/>
              </w:rPr>
            </w:pPr>
            <w:r w:rsidRPr="00A02E43">
              <w:rPr>
                <w:rFonts w:cstheme="minorHAnsi"/>
                <w:b/>
                <w:sz w:val="15"/>
                <w:szCs w:val="15"/>
              </w:rPr>
              <w:t>2028.</w:t>
            </w:r>
          </w:p>
        </w:tc>
      </w:tr>
      <w:tr w:rsidR="00E541EE" w:rsidRPr="002E3985" w14:paraId="79CDF644" w14:textId="77777777" w:rsidTr="00F664F1">
        <w:trPr>
          <w:trHeight w:val="2117"/>
        </w:trPr>
        <w:tc>
          <w:tcPr>
            <w:tcW w:w="886" w:type="dxa"/>
            <w:vMerge w:val="restart"/>
            <w:vAlign w:val="center"/>
          </w:tcPr>
          <w:p w14:paraId="6BAE6560" w14:textId="77777777" w:rsidR="00E541EE" w:rsidRPr="00A02E43" w:rsidRDefault="00E541EE" w:rsidP="00A84BB5">
            <w:pPr>
              <w:widowControl w:val="0"/>
              <w:autoSpaceDE w:val="0"/>
              <w:autoSpaceDN w:val="0"/>
              <w:spacing w:before="49"/>
              <w:ind w:left="44" w:right="35"/>
              <w:jc w:val="center"/>
              <w:rPr>
                <w:rFonts w:cstheme="minorHAnsi"/>
                <w:sz w:val="14"/>
                <w:szCs w:val="14"/>
              </w:rPr>
            </w:pPr>
            <w:r w:rsidRPr="00A02E43">
              <w:rPr>
                <w:rFonts w:cstheme="minorHAnsi"/>
                <w:sz w:val="14"/>
                <w:szCs w:val="14"/>
              </w:rPr>
              <w:t>Provedbeni program Grada Rovinja-Rovigno za razdoblje 2025.-2029. godine</w:t>
            </w:r>
          </w:p>
          <w:p w14:paraId="1C73F968" w14:textId="77777777" w:rsidR="00E541EE" w:rsidRPr="00A02E43" w:rsidRDefault="00E541EE" w:rsidP="00A84BB5">
            <w:pPr>
              <w:widowControl w:val="0"/>
              <w:autoSpaceDE w:val="0"/>
              <w:autoSpaceDN w:val="0"/>
              <w:spacing w:before="49"/>
              <w:ind w:right="35"/>
              <w:jc w:val="center"/>
              <w:rPr>
                <w:rFonts w:cstheme="minorHAnsi"/>
                <w:sz w:val="14"/>
                <w:szCs w:val="14"/>
              </w:rPr>
            </w:pPr>
          </w:p>
        </w:tc>
        <w:tc>
          <w:tcPr>
            <w:tcW w:w="885" w:type="dxa"/>
            <w:vMerge w:val="restart"/>
            <w:vAlign w:val="center"/>
          </w:tcPr>
          <w:p w14:paraId="2833C30E" w14:textId="77777777" w:rsidR="00E541EE" w:rsidRPr="00A02E43" w:rsidRDefault="00E541EE" w:rsidP="00A84BB5">
            <w:pPr>
              <w:widowControl w:val="0"/>
              <w:autoSpaceDE w:val="0"/>
              <w:autoSpaceDN w:val="0"/>
              <w:jc w:val="center"/>
              <w:rPr>
                <w:rFonts w:cstheme="minorHAnsi"/>
                <w:sz w:val="14"/>
                <w:szCs w:val="14"/>
                <w:highlight w:val="yellow"/>
              </w:rPr>
            </w:pPr>
            <w:r w:rsidRPr="00A02E43">
              <w:rPr>
                <w:rFonts w:cstheme="minorHAnsi"/>
                <w:sz w:val="14"/>
                <w:szCs w:val="14"/>
              </w:rPr>
              <w:t>.Osiguranje visokih standarda i dostupnosti obrazovanja</w:t>
            </w:r>
          </w:p>
        </w:tc>
        <w:tc>
          <w:tcPr>
            <w:tcW w:w="933" w:type="dxa"/>
            <w:vMerge w:val="restart"/>
            <w:shd w:val="clear" w:color="auto" w:fill="FFF1CC"/>
            <w:vAlign w:val="center"/>
          </w:tcPr>
          <w:p w14:paraId="64CEB35F" w14:textId="77777777" w:rsidR="00E541EE" w:rsidRPr="00A02E43" w:rsidRDefault="00E541EE" w:rsidP="00A84BB5">
            <w:pPr>
              <w:widowControl w:val="0"/>
              <w:autoSpaceDE w:val="0"/>
              <w:autoSpaceDN w:val="0"/>
              <w:spacing w:before="7"/>
              <w:jc w:val="center"/>
              <w:rPr>
                <w:rFonts w:cstheme="minorHAnsi"/>
                <w:sz w:val="14"/>
                <w:szCs w:val="14"/>
              </w:rPr>
            </w:pPr>
          </w:p>
          <w:p w14:paraId="68C421B2" w14:textId="77777777" w:rsidR="00E541EE" w:rsidRPr="00A02E43" w:rsidRDefault="00E541EE" w:rsidP="00A84BB5">
            <w:pPr>
              <w:widowControl w:val="0"/>
              <w:autoSpaceDE w:val="0"/>
              <w:autoSpaceDN w:val="0"/>
              <w:ind w:left="74" w:right="63" w:hanging="4"/>
              <w:jc w:val="center"/>
              <w:rPr>
                <w:rFonts w:cstheme="minorHAnsi"/>
                <w:sz w:val="14"/>
                <w:szCs w:val="14"/>
              </w:rPr>
            </w:pPr>
            <w:r w:rsidRPr="00A02E43">
              <w:rPr>
                <w:rFonts w:cstheme="minorHAnsi"/>
                <w:sz w:val="14"/>
                <w:szCs w:val="14"/>
              </w:rPr>
              <w:t>P-1026 Program: OPĆE JAVNE POTREBE U ŠKOLSTVU</w:t>
            </w:r>
          </w:p>
          <w:p w14:paraId="474D8FDE" w14:textId="77777777" w:rsidR="00E541EE" w:rsidRPr="00A02E43" w:rsidRDefault="00E541EE" w:rsidP="00A84BB5">
            <w:pPr>
              <w:widowControl w:val="0"/>
              <w:autoSpaceDE w:val="0"/>
              <w:autoSpaceDN w:val="0"/>
              <w:spacing w:before="7"/>
              <w:jc w:val="center"/>
              <w:rPr>
                <w:rFonts w:cstheme="minorHAnsi"/>
                <w:sz w:val="14"/>
                <w:szCs w:val="14"/>
                <w:highlight w:val="yellow"/>
              </w:rPr>
            </w:pPr>
          </w:p>
        </w:tc>
        <w:tc>
          <w:tcPr>
            <w:tcW w:w="1417" w:type="dxa"/>
            <w:vMerge w:val="restart"/>
            <w:vAlign w:val="center"/>
          </w:tcPr>
          <w:p w14:paraId="05950833" w14:textId="77777777" w:rsidR="00E541EE" w:rsidRPr="00A02E43" w:rsidRDefault="00E541EE" w:rsidP="00A84BB5">
            <w:pPr>
              <w:widowControl w:val="0"/>
              <w:autoSpaceDE w:val="0"/>
              <w:autoSpaceDN w:val="0"/>
              <w:spacing w:before="7"/>
              <w:jc w:val="center"/>
              <w:rPr>
                <w:rFonts w:cstheme="minorHAnsi"/>
                <w:sz w:val="14"/>
                <w:szCs w:val="14"/>
              </w:rPr>
            </w:pPr>
            <w:r w:rsidRPr="00A02E43">
              <w:rPr>
                <w:rFonts w:cstheme="minorHAnsi"/>
                <w:sz w:val="14"/>
                <w:szCs w:val="14"/>
              </w:rPr>
              <w:t>13. Osiguranje i poboljšanje dostupnosti odgoja i obrazovanja djeci i roditeljima/starateljima</w:t>
            </w:r>
          </w:p>
          <w:p w14:paraId="41684A1E" w14:textId="77777777" w:rsidR="00E541EE" w:rsidRPr="00A02E43" w:rsidRDefault="00E541EE" w:rsidP="00A84BB5">
            <w:pPr>
              <w:widowControl w:val="0"/>
              <w:autoSpaceDE w:val="0"/>
              <w:autoSpaceDN w:val="0"/>
              <w:spacing w:before="7"/>
              <w:jc w:val="center"/>
              <w:rPr>
                <w:rFonts w:cstheme="minorHAnsi"/>
                <w:sz w:val="14"/>
                <w:szCs w:val="14"/>
                <w:highlight w:val="yellow"/>
              </w:rPr>
            </w:pPr>
          </w:p>
          <w:p w14:paraId="58F04693" w14:textId="77777777" w:rsidR="00E541EE" w:rsidRPr="00A02E43" w:rsidRDefault="00E541EE" w:rsidP="00A84BB5">
            <w:pPr>
              <w:widowControl w:val="0"/>
              <w:autoSpaceDE w:val="0"/>
              <w:autoSpaceDN w:val="0"/>
              <w:spacing w:before="7"/>
              <w:jc w:val="center"/>
              <w:rPr>
                <w:rFonts w:cstheme="minorHAnsi"/>
                <w:sz w:val="14"/>
                <w:szCs w:val="14"/>
              </w:rPr>
            </w:pPr>
            <w:r w:rsidRPr="00A02E43">
              <w:rPr>
                <w:rFonts w:cstheme="minorHAnsi"/>
                <w:sz w:val="14"/>
                <w:szCs w:val="14"/>
              </w:rPr>
              <w:t>15. Jačanje aktivnosti usmjeravanja i profesionalne orijentacije te poticanje ulaganja u obrazovanje, usavršavanje i cjeloživotno obrazovanje u skladu s potrebama tržišta rada</w:t>
            </w:r>
          </w:p>
          <w:p w14:paraId="14D061E7" w14:textId="77777777" w:rsidR="00E541EE" w:rsidRPr="00A02E43" w:rsidRDefault="00E541EE" w:rsidP="00A84BB5">
            <w:pPr>
              <w:widowControl w:val="0"/>
              <w:autoSpaceDE w:val="0"/>
              <w:autoSpaceDN w:val="0"/>
              <w:spacing w:before="7"/>
              <w:jc w:val="center"/>
              <w:rPr>
                <w:rFonts w:cstheme="minorHAnsi"/>
                <w:sz w:val="14"/>
                <w:szCs w:val="14"/>
                <w:highlight w:val="yellow"/>
              </w:rPr>
            </w:pPr>
          </w:p>
          <w:p w14:paraId="19488EFF" w14:textId="77777777" w:rsidR="00E541EE" w:rsidRPr="00A02E43" w:rsidRDefault="00E541EE" w:rsidP="00A84BB5">
            <w:pPr>
              <w:widowControl w:val="0"/>
              <w:autoSpaceDE w:val="0"/>
              <w:autoSpaceDN w:val="0"/>
              <w:spacing w:before="7"/>
              <w:jc w:val="center"/>
              <w:rPr>
                <w:rFonts w:cstheme="minorHAnsi"/>
                <w:sz w:val="14"/>
                <w:szCs w:val="14"/>
                <w:highlight w:val="yellow"/>
              </w:rPr>
            </w:pPr>
          </w:p>
        </w:tc>
        <w:tc>
          <w:tcPr>
            <w:tcW w:w="925" w:type="dxa"/>
            <w:vMerge w:val="restart"/>
            <w:tcBorders>
              <w:right w:val="single" w:sz="4" w:space="0" w:color="auto"/>
            </w:tcBorders>
            <w:shd w:val="clear" w:color="auto" w:fill="FFF1CC"/>
            <w:vAlign w:val="center"/>
          </w:tcPr>
          <w:p w14:paraId="0FA28955" w14:textId="77777777" w:rsidR="00E541EE" w:rsidRPr="00A02E43" w:rsidRDefault="00E541EE" w:rsidP="00A84BB5">
            <w:pPr>
              <w:widowControl w:val="0"/>
              <w:autoSpaceDE w:val="0"/>
              <w:autoSpaceDN w:val="0"/>
              <w:jc w:val="center"/>
              <w:rPr>
                <w:rFonts w:cstheme="minorHAnsi"/>
                <w:sz w:val="14"/>
                <w:szCs w:val="14"/>
                <w:highlight w:val="yellow"/>
              </w:rPr>
            </w:pPr>
            <w:r w:rsidRPr="00A02E43">
              <w:rPr>
                <w:rFonts w:cstheme="minorHAnsi"/>
                <w:sz w:val="14"/>
                <w:szCs w:val="14"/>
              </w:rPr>
              <w:t>71</w:t>
            </w:r>
            <w:r>
              <w:rPr>
                <w:rFonts w:cstheme="minorHAnsi"/>
                <w:sz w:val="14"/>
                <w:szCs w:val="14"/>
              </w:rPr>
              <w:t>6</w:t>
            </w:r>
            <w:r w:rsidRPr="00A02E43">
              <w:rPr>
                <w:rFonts w:cstheme="minorHAnsi"/>
                <w:sz w:val="14"/>
                <w:szCs w:val="14"/>
              </w:rPr>
              <w:t>.820,00</w:t>
            </w:r>
          </w:p>
        </w:tc>
        <w:tc>
          <w:tcPr>
            <w:tcW w:w="892" w:type="dxa"/>
            <w:vMerge w:val="restart"/>
            <w:tcBorders>
              <w:top w:val="single" w:sz="4" w:space="0" w:color="auto"/>
              <w:left w:val="single" w:sz="4" w:space="0" w:color="auto"/>
              <w:bottom w:val="single" w:sz="4" w:space="0" w:color="auto"/>
              <w:right w:val="single" w:sz="4" w:space="0" w:color="auto"/>
            </w:tcBorders>
            <w:vAlign w:val="center"/>
          </w:tcPr>
          <w:p w14:paraId="697B3A4C" w14:textId="77777777" w:rsidR="00E541EE" w:rsidRPr="00A02E43" w:rsidRDefault="00E541EE" w:rsidP="00A84BB5">
            <w:pPr>
              <w:spacing w:after="120"/>
              <w:jc w:val="center"/>
              <w:rPr>
                <w:rFonts w:cstheme="minorHAnsi"/>
                <w:sz w:val="13"/>
                <w:szCs w:val="13"/>
              </w:rPr>
            </w:pPr>
            <w:r w:rsidRPr="00A02E43">
              <w:rPr>
                <w:rFonts w:cstheme="minorHAnsi"/>
                <w:sz w:val="13"/>
                <w:szCs w:val="13"/>
              </w:rPr>
              <w:t>A 102601: Prijevoz učenika osnovnih škola</w:t>
            </w:r>
          </w:p>
          <w:p w14:paraId="37786D32" w14:textId="77777777" w:rsidR="00E541EE" w:rsidRPr="00A02E43" w:rsidRDefault="00E541EE" w:rsidP="00A84BB5">
            <w:pPr>
              <w:spacing w:after="120"/>
              <w:jc w:val="center"/>
              <w:rPr>
                <w:rFonts w:cstheme="minorHAnsi"/>
                <w:sz w:val="13"/>
                <w:szCs w:val="13"/>
              </w:rPr>
            </w:pPr>
            <w:r w:rsidRPr="00A02E43">
              <w:rPr>
                <w:rFonts w:cstheme="minorHAnsi"/>
                <w:sz w:val="13"/>
                <w:szCs w:val="13"/>
              </w:rPr>
              <w:t>A 102602: Grad prijatelj djece</w:t>
            </w:r>
          </w:p>
          <w:p w14:paraId="2201ED1C" w14:textId="77777777" w:rsidR="00E541EE" w:rsidRPr="00A02E43" w:rsidRDefault="00E541EE" w:rsidP="00A84BB5">
            <w:pPr>
              <w:spacing w:after="120"/>
              <w:jc w:val="center"/>
              <w:rPr>
                <w:rFonts w:cstheme="minorHAnsi"/>
                <w:sz w:val="13"/>
                <w:szCs w:val="13"/>
              </w:rPr>
            </w:pPr>
            <w:r w:rsidRPr="00A02E43">
              <w:rPr>
                <w:rFonts w:cstheme="minorHAnsi"/>
                <w:sz w:val="13"/>
                <w:szCs w:val="13"/>
              </w:rPr>
              <w:t>A 102605: Savjetovalište za prehranu</w:t>
            </w:r>
          </w:p>
          <w:p w14:paraId="3EF20BC3" w14:textId="77777777" w:rsidR="00E541EE" w:rsidRPr="00A02E43" w:rsidRDefault="00E541EE" w:rsidP="00A84BB5">
            <w:pPr>
              <w:spacing w:after="120"/>
              <w:jc w:val="center"/>
              <w:rPr>
                <w:rFonts w:cstheme="minorHAnsi"/>
                <w:sz w:val="13"/>
                <w:szCs w:val="13"/>
              </w:rPr>
            </w:pPr>
            <w:r w:rsidRPr="00A02E43">
              <w:rPr>
                <w:rFonts w:cstheme="minorHAnsi"/>
                <w:sz w:val="13"/>
                <w:szCs w:val="13"/>
              </w:rPr>
              <w:t>A 102606: Edukacije o samoniklom bilju</w:t>
            </w:r>
          </w:p>
          <w:p w14:paraId="66BA0158" w14:textId="77777777" w:rsidR="00E541EE" w:rsidRPr="00A02E43" w:rsidRDefault="00E541EE" w:rsidP="00A84BB5">
            <w:pPr>
              <w:spacing w:after="120"/>
              <w:jc w:val="center"/>
              <w:rPr>
                <w:rFonts w:cstheme="minorHAnsi"/>
                <w:sz w:val="13"/>
                <w:szCs w:val="13"/>
              </w:rPr>
            </w:pPr>
            <w:r w:rsidRPr="00A02E43">
              <w:rPr>
                <w:rFonts w:cstheme="minorHAnsi"/>
                <w:sz w:val="13"/>
                <w:szCs w:val="13"/>
              </w:rPr>
              <w:t>A 102607: Natjecanja učenika</w:t>
            </w:r>
          </w:p>
          <w:p w14:paraId="08D26E14" w14:textId="77777777" w:rsidR="00E541EE" w:rsidRPr="00A02E43" w:rsidRDefault="00E541EE" w:rsidP="00A84BB5">
            <w:pPr>
              <w:spacing w:after="120"/>
              <w:jc w:val="center"/>
              <w:rPr>
                <w:rFonts w:cstheme="minorHAnsi"/>
                <w:sz w:val="13"/>
                <w:szCs w:val="13"/>
              </w:rPr>
            </w:pPr>
            <w:r w:rsidRPr="00A02E43">
              <w:rPr>
                <w:rFonts w:cstheme="minorHAnsi"/>
                <w:sz w:val="13"/>
                <w:szCs w:val="13"/>
              </w:rPr>
              <w:t>A 102608: Dječja ljetna kolonija</w:t>
            </w:r>
          </w:p>
          <w:p w14:paraId="0BD5B854" w14:textId="77777777" w:rsidR="00E541EE" w:rsidRPr="00A02E43" w:rsidRDefault="00E541EE" w:rsidP="00A84BB5">
            <w:pPr>
              <w:spacing w:after="120"/>
              <w:jc w:val="center"/>
              <w:rPr>
                <w:rFonts w:cstheme="minorHAnsi"/>
                <w:sz w:val="13"/>
                <w:szCs w:val="13"/>
              </w:rPr>
            </w:pPr>
            <w:r w:rsidRPr="00A02E43">
              <w:rPr>
                <w:rFonts w:cstheme="minorHAnsi"/>
                <w:sz w:val="13"/>
                <w:szCs w:val="13"/>
              </w:rPr>
              <w:t>A 102609: Pomoćnici učenicima s teškoćama u razvoju</w:t>
            </w:r>
          </w:p>
          <w:p w14:paraId="210D37CC" w14:textId="77777777" w:rsidR="00E541EE" w:rsidRPr="00A02E43" w:rsidRDefault="00E541EE" w:rsidP="00A84BB5">
            <w:pPr>
              <w:spacing w:after="120"/>
              <w:jc w:val="center"/>
              <w:rPr>
                <w:rFonts w:cstheme="minorHAnsi"/>
                <w:sz w:val="13"/>
                <w:szCs w:val="13"/>
              </w:rPr>
            </w:pPr>
            <w:r w:rsidRPr="00A02E43">
              <w:rPr>
                <w:rFonts w:cstheme="minorHAnsi"/>
                <w:sz w:val="13"/>
                <w:szCs w:val="13"/>
              </w:rPr>
              <w:t>A 102610: Potpore učenicima i studentima</w:t>
            </w:r>
          </w:p>
          <w:p w14:paraId="13225951" w14:textId="77777777" w:rsidR="00E541EE" w:rsidRPr="00A02E43" w:rsidRDefault="00E541EE" w:rsidP="00A84BB5">
            <w:pPr>
              <w:spacing w:after="120"/>
              <w:jc w:val="center"/>
              <w:rPr>
                <w:rFonts w:cstheme="minorHAnsi"/>
                <w:sz w:val="13"/>
                <w:szCs w:val="13"/>
              </w:rPr>
            </w:pPr>
            <w:r w:rsidRPr="00A02E43">
              <w:rPr>
                <w:rFonts w:cstheme="minorHAnsi"/>
                <w:sz w:val="13"/>
                <w:szCs w:val="13"/>
              </w:rPr>
              <w:t>A 102611: Potpore drugim obrazovnim ustanovama</w:t>
            </w:r>
          </w:p>
          <w:p w14:paraId="27C9217D" w14:textId="77777777" w:rsidR="00E541EE" w:rsidRPr="00A02E43" w:rsidRDefault="00E541EE" w:rsidP="00A84BB5">
            <w:pPr>
              <w:spacing w:after="120"/>
              <w:jc w:val="center"/>
              <w:rPr>
                <w:rFonts w:cstheme="minorHAnsi"/>
                <w:sz w:val="13"/>
                <w:szCs w:val="13"/>
              </w:rPr>
            </w:pPr>
            <w:r w:rsidRPr="00A02E43">
              <w:rPr>
                <w:rFonts w:cstheme="minorHAnsi"/>
                <w:sz w:val="13"/>
                <w:szCs w:val="13"/>
              </w:rPr>
              <w:t>K 102602: Oprema za srednje škole</w:t>
            </w:r>
          </w:p>
          <w:p w14:paraId="6A168090" w14:textId="77777777" w:rsidR="00E541EE" w:rsidRPr="00A02E43" w:rsidRDefault="00E541EE" w:rsidP="00A84BB5">
            <w:pPr>
              <w:spacing w:after="120"/>
              <w:jc w:val="center"/>
              <w:rPr>
                <w:rFonts w:cstheme="minorHAnsi"/>
                <w:sz w:val="13"/>
                <w:szCs w:val="13"/>
              </w:rPr>
            </w:pPr>
            <w:r w:rsidRPr="00A02E43">
              <w:rPr>
                <w:rFonts w:cstheme="minorHAnsi"/>
                <w:sz w:val="13"/>
                <w:szCs w:val="13"/>
              </w:rPr>
              <w:t>A 102613: Potpore studentima - deficitarna zanimanja</w:t>
            </w:r>
          </w:p>
          <w:p w14:paraId="7C4F1170" w14:textId="77777777" w:rsidR="00E541EE" w:rsidRPr="00A02E43" w:rsidRDefault="00E541EE" w:rsidP="00A84BB5">
            <w:pPr>
              <w:widowControl w:val="0"/>
              <w:autoSpaceDE w:val="0"/>
              <w:autoSpaceDN w:val="0"/>
              <w:spacing w:before="7"/>
              <w:jc w:val="center"/>
              <w:rPr>
                <w:rFonts w:cstheme="minorHAnsi"/>
                <w:bCs/>
                <w:sz w:val="13"/>
                <w:szCs w:val="13"/>
              </w:rPr>
            </w:pPr>
            <w:r w:rsidRPr="00A02E43">
              <w:rPr>
                <w:rFonts w:cstheme="minorHAnsi"/>
                <w:bCs/>
                <w:sz w:val="13"/>
                <w:szCs w:val="13"/>
              </w:rPr>
              <w:t>A 102615: Prijevoz učenika u Školu za odgoj i obrazovanje</w:t>
            </w:r>
          </w:p>
          <w:p w14:paraId="005D02EE" w14:textId="77777777" w:rsidR="00E541EE" w:rsidRDefault="00E541EE" w:rsidP="00A84BB5">
            <w:pPr>
              <w:widowControl w:val="0"/>
              <w:autoSpaceDE w:val="0"/>
              <w:autoSpaceDN w:val="0"/>
              <w:spacing w:before="7"/>
              <w:jc w:val="center"/>
              <w:rPr>
                <w:rFonts w:cstheme="minorHAnsi"/>
                <w:bCs/>
                <w:sz w:val="13"/>
                <w:szCs w:val="13"/>
              </w:rPr>
            </w:pPr>
          </w:p>
          <w:p w14:paraId="0B462713" w14:textId="77777777" w:rsidR="00E541EE" w:rsidRPr="00A02E43" w:rsidRDefault="00E541EE" w:rsidP="00A84BB5">
            <w:pPr>
              <w:widowControl w:val="0"/>
              <w:autoSpaceDE w:val="0"/>
              <w:autoSpaceDN w:val="0"/>
              <w:spacing w:before="7"/>
              <w:jc w:val="center"/>
              <w:rPr>
                <w:rFonts w:cstheme="minorHAnsi"/>
                <w:bCs/>
                <w:sz w:val="13"/>
                <w:szCs w:val="13"/>
              </w:rPr>
            </w:pPr>
            <w:r w:rsidRPr="00A02E43">
              <w:rPr>
                <w:rFonts w:cstheme="minorHAnsi"/>
                <w:bCs/>
                <w:sz w:val="13"/>
                <w:szCs w:val="13"/>
              </w:rPr>
              <w:t>A 102616: Projekti u školama</w:t>
            </w:r>
          </w:p>
          <w:p w14:paraId="1D55C9BD" w14:textId="77777777" w:rsidR="00E541EE" w:rsidRPr="00A02E43" w:rsidRDefault="00E541EE" w:rsidP="00A84BB5">
            <w:pPr>
              <w:widowControl w:val="0"/>
              <w:autoSpaceDE w:val="0"/>
              <w:autoSpaceDN w:val="0"/>
              <w:spacing w:before="7"/>
              <w:jc w:val="center"/>
              <w:rPr>
                <w:rFonts w:cstheme="minorHAnsi"/>
                <w:bCs/>
                <w:sz w:val="13"/>
                <w:szCs w:val="13"/>
              </w:rPr>
            </w:pPr>
          </w:p>
          <w:p w14:paraId="7F292499" w14:textId="77777777" w:rsidR="00E541EE" w:rsidRDefault="00E541EE" w:rsidP="00A84BB5">
            <w:pPr>
              <w:widowControl w:val="0"/>
              <w:autoSpaceDE w:val="0"/>
              <w:autoSpaceDN w:val="0"/>
              <w:spacing w:before="7"/>
              <w:rPr>
                <w:rFonts w:cstheme="minorHAnsi"/>
                <w:bCs/>
                <w:sz w:val="13"/>
                <w:szCs w:val="13"/>
              </w:rPr>
            </w:pPr>
          </w:p>
          <w:p w14:paraId="686E0770" w14:textId="77777777" w:rsidR="00E541EE" w:rsidRPr="00A02E43" w:rsidRDefault="00E541EE" w:rsidP="00A84BB5">
            <w:pPr>
              <w:widowControl w:val="0"/>
              <w:autoSpaceDE w:val="0"/>
              <w:autoSpaceDN w:val="0"/>
              <w:spacing w:before="7"/>
              <w:jc w:val="center"/>
              <w:rPr>
                <w:rFonts w:cstheme="minorHAnsi"/>
                <w:bCs/>
                <w:sz w:val="13"/>
                <w:szCs w:val="13"/>
              </w:rPr>
            </w:pPr>
            <w:r w:rsidRPr="00A02E43">
              <w:rPr>
                <w:rFonts w:cstheme="minorHAnsi"/>
                <w:bCs/>
                <w:sz w:val="13"/>
                <w:szCs w:val="13"/>
              </w:rPr>
              <w:t>A 102617: Sufinanciranje smještaja nastavnika srednjih škola</w:t>
            </w:r>
          </w:p>
          <w:p w14:paraId="6020540A" w14:textId="77777777" w:rsidR="00E541EE" w:rsidRPr="00A02E43" w:rsidRDefault="00E541EE" w:rsidP="00A84BB5">
            <w:pPr>
              <w:widowControl w:val="0"/>
              <w:autoSpaceDE w:val="0"/>
              <w:autoSpaceDN w:val="0"/>
              <w:spacing w:before="7"/>
              <w:jc w:val="center"/>
              <w:rPr>
                <w:rFonts w:cstheme="minorHAnsi"/>
                <w:bCs/>
                <w:sz w:val="13"/>
                <w:szCs w:val="13"/>
              </w:rPr>
            </w:pPr>
          </w:p>
          <w:p w14:paraId="5344E33E" w14:textId="77777777" w:rsidR="00E541EE" w:rsidRPr="00A02E43" w:rsidRDefault="00E541EE" w:rsidP="00A84BB5">
            <w:pPr>
              <w:widowControl w:val="0"/>
              <w:autoSpaceDE w:val="0"/>
              <w:autoSpaceDN w:val="0"/>
              <w:spacing w:before="7"/>
              <w:jc w:val="center"/>
              <w:rPr>
                <w:rFonts w:cstheme="minorHAnsi"/>
                <w:bCs/>
                <w:sz w:val="13"/>
                <w:szCs w:val="13"/>
              </w:rPr>
            </w:pPr>
            <w:r w:rsidRPr="00A02E43">
              <w:rPr>
                <w:rFonts w:cstheme="minorHAnsi"/>
                <w:bCs/>
                <w:sz w:val="13"/>
                <w:szCs w:val="13"/>
              </w:rPr>
              <w:t>A102618: Stručno usavršavanje mladih</w:t>
            </w:r>
          </w:p>
          <w:p w14:paraId="14CE92AC" w14:textId="77777777" w:rsidR="00E541EE" w:rsidRPr="00A02E43" w:rsidRDefault="00E541EE" w:rsidP="00A84BB5">
            <w:pPr>
              <w:widowControl w:val="0"/>
              <w:autoSpaceDE w:val="0"/>
              <w:autoSpaceDN w:val="0"/>
              <w:spacing w:before="7"/>
              <w:jc w:val="center"/>
              <w:rPr>
                <w:rFonts w:cstheme="minorHAnsi"/>
                <w:bCs/>
                <w:sz w:val="13"/>
                <w:szCs w:val="13"/>
              </w:rPr>
            </w:pPr>
          </w:p>
          <w:p w14:paraId="53DD9F75" w14:textId="77777777" w:rsidR="00E541EE" w:rsidRPr="00A02E43" w:rsidRDefault="00E541EE" w:rsidP="00A84BB5">
            <w:pPr>
              <w:widowControl w:val="0"/>
              <w:autoSpaceDE w:val="0"/>
              <w:autoSpaceDN w:val="0"/>
              <w:spacing w:before="7"/>
              <w:jc w:val="center"/>
              <w:rPr>
                <w:rFonts w:cstheme="minorHAnsi"/>
                <w:bCs/>
                <w:color w:val="EE0000"/>
                <w:sz w:val="13"/>
                <w:szCs w:val="13"/>
              </w:rPr>
            </w:pPr>
          </w:p>
          <w:p w14:paraId="783B3693" w14:textId="77777777" w:rsidR="00E541EE" w:rsidRPr="00A02E43" w:rsidRDefault="00E541EE" w:rsidP="00A84BB5">
            <w:pPr>
              <w:widowControl w:val="0"/>
              <w:autoSpaceDE w:val="0"/>
              <w:autoSpaceDN w:val="0"/>
              <w:spacing w:before="7"/>
              <w:jc w:val="center"/>
              <w:rPr>
                <w:rFonts w:cstheme="minorHAnsi"/>
                <w:bCs/>
                <w:color w:val="EE0000"/>
                <w:sz w:val="13"/>
                <w:szCs w:val="13"/>
                <w:highlight w:val="yellow"/>
              </w:rPr>
            </w:pPr>
          </w:p>
          <w:p w14:paraId="12A994E6" w14:textId="77777777" w:rsidR="00E541EE" w:rsidRPr="00A02E43" w:rsidRDefault="00E541EE" w:rsidP="00A84BB5">
            <w:pPr>
              <w:widowControl w:val="0"/>
              <w:autoSpaceDE w:val="0"/>
              <w:autoSpaceDN w:val="0"/>
              <w:spacing w:before="7"/>
              <w:jc w:val="center"/>
              <w:rPr>
                <w:rFonts w:cstheme="minorHAnsi"/>
                <w:sz w:val="13"/>
                <w:szCs w:val="13"/>
                <w:highlight w:val="yellow"/>
              </w:rPr>
            </w:pPr>
          </w:p>
          <w:p w14:paraId="0EC1F9D3" w14:textId="77777777" w:rsidR="00E541EE" w:rsidRPr="00A02E43" w:rsidRDefault="00E541EE" w:rsidP="00A84BB5">
            <w:pPr>
              <w:widowControl w:val="0"/>
              <w:autoSpaceDE w:val="0"/>
              <w:autoSpaceDN w:val="0"/>
              <w:spacing w:before="7"/>
              <w:jc w:val="center"/>
              <w:rPr>
                <w:rFonts w:cstheme="minorHAnsi"/>
                <w:sz w:val="13"/>
                <w:szCs w:val="13"/>
                <w:highlight w:val="yellow"/>
              </w:rPr>
            </w:pPr>
          </w:p>
        </w:tc>
        <w:tc>
          <w:tcPr>
            <w:tcW w:w="1145" w:type="dxa"/>
            <w:tcBorders>
              <w:top w:val="single" w:sz="4" w:space="0" w:color="auto"/>
              <w:left w:val="single" w:sz="4" w:space="0" w:color="auto"/>
              <w:bottom w:val="single" w:sz="4" w:space="0" w:color="auto"/>
              <w:right w:val="single" w:sz="4" w:space="0" w:color="auto"/>
            </w:tcBorders>
            <w:vAlign w:val="center"/>
          </w:tcPr>
          <w:p w14:paraId="4299C4F5" w14:textId="77777777" w:rsidR="00E541EE" w:rsidRPr="00A02E43" w:rsidRDefault="00E541EE" w:rsidP="00A84BB5">
            <w:pPr>
              <w:widowControl w:val="0"/>
              <w:autoSpaceDE w:val="0"/>
              <w:autoSpaceDN w:val="0"/>
              <w:jc w:val="center"/>
              <w:rPr>
                <w:rFonts w:cstheme="minorHAnsi"/>
                <w:sz w:val="14"/>
                <w:szCs w:val="14"/>
                <w:highlight w:val="yellow"/>
              </w:rPr>
            </w:pPr>
            <w:r w:rsidRPr="00A02E43">
              <w:rPr>
                <w:rFonts w:cstheme="minorHAnsi"/>
                <w:sz w:val="14"/>
                <w:szCs w:val="14"/>
              </w:rPr>
              <w:t>Broj opremljenih objekata odgojno-obrazovnih ustanova</w:t>
            </w:r>
          </w:p>
        </w:tc>
        <w:tc>
          <w:tcPr>
            <w:tcW w:w="997" w:type="dxa"/>
            <w:tcBorders>
              <w:top w:val="single" w:sz="4" w:space="0" w:color="auto"/>
              <w:left w:val="single" w:sz="4" w:space="0" w:color="auto"/>
              <w:bottom w:val="single" w:sz="4" w:space="0" w:color="auto"/>
              <w:right w:val="single" w:sz="4" w:space="0" w:color="auto"/>
            </w:tcBorders>
            <w:vAlign w:val="center"/>
          </w:tcPr>
          <w:p w14:paraId="2025B26A" w14:textId="77777777" w:rsidR="00E541EE" w:rsidRPr="00A02E43" w:rsidRDefault="00E541EE" w:rsidP="00A84BB5">
            <w:pPr>
              <w:widowControl w:val="0"/>
              <w:autoSpaceDE w:val="0"/>
              <w:autoSpaceDN w:val="0"/>
              <w:jc w:val="center"/>
              <w:rPr>
                <w:rFonts w:cstheme="minorHAnsi"/>
                <w:sz w:val="14"/>
                <w:szCs w:val="14"/>
                <w:highlight w:val="yellow"/>
              </w:rPr>
            </w:pPr>
            <w:r w:rsidRPr="00A02E43">
              <w:rPr>
                <w:rFonts w:eastAsia="Times New Roman" w:cstheme="minorHAnsi"/>
                <w:sz w:val="14"/>
                <w:szCs w:val="14"/>
              </w:rPr>
              <w:t>12</w:t>
            </w:r>
          </w:p>
        </w:tc>
        <w:tc>
          <w:tcPr>
            <w:tcW w:w="709" w:type="dxa"/>
            <w:tcBorders>
              <w:top w:val="single" w:sz="4" w:space="0" w:color="auto"/>
              <w:left w:val="single" w:sz="4" w:space="0" w:color="auto"/>
              <w:bottom w:val="single" w:sz="4" w:space="0" w:color="auto"/>
              <w:right w:val="single" w:sz="4" w:space="0" w:color="auto"/>
            </w:tcBorders>
            <w:vAlign w:val="center"/>
          </w:tcPr>
          <w:p w14:paraId="613A43F4" w14:textId="77777777" w:rsidR="00E541EE" w:rsidRPr="00A02E43" w:rsidRDefault="00E541EE" w:rsidP="00A84BB5">
            <w:pPr>
              <w:widowControl w:val="0"/>
              <w:autoSpaceDE w:val="0"/>
              <w:autoSpaceDN w:val="0"/>
              <w:jc w:val="center"/>
              <w:rPr>
                <w:rFonts w:cstheme="minorHAnsi"/>
                <w:sz w:val="14"/>
                <w:szCs w:val="14"/>
              </w:rPr>
            </w:pPr>
            <w:r w:rsidRPr="00A02E43">
              <w:rPr>
                <w:rFonts w:eastAsia="Times New Roman" w:cstheme="minorHAnsi"/>
                <w:sz w:val="14"/>
                <w:szCs w:val="14"/>
              </w:rPr>
              <w:t>14</w:t>
            </w:r>
          </w:p>
        </w:tc>
        <w:tc>
          <w:tcPr>
            <w:tcW w:w="567" w:type="dxa"/>
            <w:tcBorders>
              <w:top w:val="single" w:sz="4" w:space="0" w:color="auto"/>
              <w:left w:val="single" w:sz="4" w:space="0" w:color="auto"/>
              <w:bottom w:val="single" w:sz="4" w:space="0" w:color="auto"/>
              <w:right w:val="single" w:sz="4" w:space="0" w:color="auto"/>
            </w:tcBorders>
            <w:vAlign w:val="center"/>
          </w:tcPr>
          <w:p w14:paraId="134DD15E" w14:textId="77777777" w:rsidR="00E541EE" w:rsidRPr="00A02E43" w:rsidRDefault="00E541EE" w:rsidP="00A84BB5">
            <w:pPr>
              <w:widowControl w:val="0"/>
              <w:autoSpaceDE w:val="0"/>
              <w:autoSpaceDN w:val="0"/>
              <w:jc w:val="center"/>
              <w:rPr>
                <w:rFonts w:cstheme="minorHAnsi"/>
                <w:sz w:val="14"/>
                <w:szCs w:val="14"/>
              </w:rPr>
            </w:pPr>
            <w:r w:rsidRPr="00A02E43">
              <w:rPr>
                <w:rFonts w:eastAsia="Times New Roman" w:cstheme="minorHAnsi"/>
                <w:sz w:val="14"/>
                <w:szCs w:val="14"/>
              </w:rPr>
              <w:t>15</w:t>
            </w:r>
          </w:p>
        </w:tc>
        <w:tc>
          <w:tcPr>
            <w:tcW w:w="851" w:type="dxa"/>
            <w:tcBorders>
              <w:top w:val="single" w:sz="4" w:space="0" w:color="auto"/>
              <w:left w:val="single" w:sz="4" w:space="0" w:color="auto"/>
              <w:bottom w:val="single" w:sz="4" w:space="0" w:color="auto"/>
              <w:right w:val="single" w:sz="4" w:space="0" w:color="auto"/>
            </w:tcBorders>
            <w:vAlign w:val="center"/>
          </w:tcPr>
          <w:p w14:paraId="2B65C1F1" w14:textId="77777777" w:rsidR="00E541EE" w:rsidRPr="00A02E43" w:rsidRDefault="00E541EE" w:rsidP="00A84BB5">
            <w:pPr>
              <w:widowControl w:val="0"/>
              <w:autoSpaceDE w:val="0"/>
              <w:autoSpaceDN w:val="0"/>
              <w:jc w:val="center"/>
              <w:rPr>
                <w:rFonts w:cstheme="minorHAnsi"/>
                <w:sz w:val="14"/>
                <w:szCs w:val="14"/>
              </w:rPr>
            </w:pPr>
            <w:r w:rsidRPr="00A02E43">
              <w:rPr>
                <w:rFonts w:eastAsia="Times New Roman" w:cstheme="minorHAnsi"/>
                <w:sz w:val="14"/>
                <w:szCs w:val="14"/>
              </w:rPr>
              <w:t>15</w:t>
            </w:r>
          </w:p>
        </w:tc>
      </w:tr>
      <w:tr w:rsidR="00E541EE" w:rsidRPr="002E3985" w14:paraId="5F2A729A" w14:textId="77777777" w:rsidTr="00F664F1">
        <w:trPr>
          <w:trHeight w:val="1304"/>
        </w:trPr>
        <w:tc>
          <w:tcPr>
            <w:tcW w:w="886" w:type="dxa"/>
            <w:vMerge/>
            <w:vAlign w:val="center"/>
          </w:tcPr>
          <w:p w14:paraId="6D6D85FD" w14:textId="77777777" w:rsidR="00E541EE" w:rsidRPr="00A02E43" w:rsidRDefault="00E541EE" w:rsidP="00A84BB5">
            <w:pPr>
              <w:widowControl w:val="0"/>
              <w:autoSpaceDE w:val="0"/>
              <w:autoSpaceDN w:val="0"/>
              <w:spacing w:before="49"/>
              <w:ind w:left="44" w:right="35"/>
              <w:jc w:val="center"/>
              <w:rPr>
                <w:rFonts w:cstheme="minorHAnsi"/>
                <w:sz w:val="14"/>
                <w:szCs w:val="14"/>
              </w:rPr>
            </w:pPr>
          </w:p>
        </w:tc>
        <w:tc>
          <w:tcPr>
            <w:tcW w:w="885" w:type="dxa"/>
            <w:vMerge/>
            <w:vAlign w:val="center"/>
          </w:tcPr>
          <w:p w14:paraId="1DBA1B58" w14:textId="77777777" w:rsidR="00E541EE" w:rsidRPr="00A02E43" w:rsidRDefault="00E541EE" w:rsidP="00A84BB5">
            <w:pPr>
              <w:widowControl w:val="0"/>
              <w:autoSpaceDE w:val="0"/>
              <w:autoSpaceDN w:val="0"/>
              <w:ind w:left="28" w:right="19" w:firstLine="2"/>
              <w:jc w:val="center"/>
              <w:rPr>
                <w:rFonts w:cstheme="minorHAnsi"/>
                <w:sz w:val="14"/>
                <w:szCs w:val="14"/>
              </w:rPr>
            </w:pPr>
          </w:p>
        </w:tc>
        <w:tc>
          <w:tcPr>
            <w:tcW w:w="933" w:type="dxa"/>
            <w:vMerge/>
            <w:shd w:val="clear" w:color="auto" w:fill="FFF1CC"/>
            <w:vAlign w:val="center"/>
          </w:tcPr>
          <w:p w14:paraId="07B7D01F" w14:textId="77777777" w:rsidR="00E541EE" w:rsidRPr="00A02E43" w:rsidRDefault="00E541EE" w:rsidP="00A84BB5">
            <w:pPr>
              <w:widowControl w:val="0"/>
              <w:autoSpaceDE w:val="0"/>
              <w:autoSpaceDN w:val="0"/>
              <w:spacing w:before="7"/>
              <w:jc w:val="center"/>
              <w:rPr>
                <w:rFonts w:cstheme="minorHAnsi"/>
                <w:sz w:val="14"/>
                <w:szCs w:val="14"/>
              </w:rPr>
            </w:pPr>
          </w:p>
        </w:tc>
        <w:tc>
          <w:tcPr>
            <w:tcW w:w="1417" w:type="dxa"/>
            <w:vMerge/>
            <w:vAlign w:val="center"/>
          </w:tcPr>
          <w:p w14:paraId="31B7DDE0" w14:textId="77777777" w:rsidR="00E541EE" w:rsidRPr="00A02E43" w:rsidRDefault="00E541EE" w:rsidP="00A84BB5">
            <w:pPr>
              <w:widowControl w:val="0"/>
              <w:autoSpaceDE w:val="0"/>
              <w:autoSpaceDN w:val="0"/>
              <w:spacing w:before="7"/>
              <w:jc w:val="center"/>
              <w:rPr>
                <w:rFonts w:cstheme="minorHAnsi"/>
                <w:sz w:val="14"/>
                <w:szCs w:val="14"/>
              </w:rPr>
            </w:pPr>
          </w:p>
        </w:tc>
        <w:tc>
          <w:tcPr>
            <w:tcW w:w="925" w:type="dxa"/>
            <w:vMerge/>
            <w:tcBorders>
              <w:right w:val="single" w:sz="4" w:space="0" w:color="auto"/>
            </w:tcBorders>
            <w:shd w:val="clear" w:color="auto" w:fill="FFF1CC"/>
            <w:vAlign w:val="center"/>
          </w:tcPr>
          <w:p w14:paraId="75C79F15" w14:textId="77777777" w:rsidR="00E541EE" w:rsidRPr="00A02E43" w:rsidRDefault="00E541EE" w:rsidP="00A84BB5">
            <w:pPr>
              <w:widowControl w:val="0"/>
              <w:autoSpaceDE w:val="0"/>
              <w:autoSpaceDN w:val="0"/>
              <w:jc w:val="center"/>
              <w:rPr>
                <w:rFonts w:cstheme="minorHAnsi"/>
                <w:sz w:val="14"/>
                <w:szCs w:val="14"/>
              </w:rPr>
            </w:pPr>
          </w:p>
        </w:tc>
        <w:tc>
          <w:tcPr>
            <w:tcW w:w="892" w:type="dxa"/>
            <w:vMerge/>
            <w:tcBorders>
              <w:top w:val="single" w:sz="4" w:space="0" w:color="auto"/>
              <w:left w:val="single" w:sz="4" w:space="0" w:color="auto"/>
              <w:bottom w:val="single" w:sz="4" w:space="0" w:color="auto"/>
              <w:right w:val="single" w:sz="4" w:space="0" w:color="auto"/>
            </w:tcBorders>
            <w:vAlign w:val="center"/>
          </w:tcPr>
          <w:p w14:paraId="062ED820" w14:textId="77777777" w:rsidR="00E541EE" w:rsidRPr="00A02E43" w:rsidRDefault="00E541EE" w:rsidP="00A84BB5">
            <w:pPr>
              <w:spacing w:after="120"/>
              <w:jc w:val="center"/>
              <w:rPr>
                <w:rFonts w:cstheme="minorHAnsi"/>
                <w:sz w:val="14"/>
                <w:szCs w:val="14"/>
              </w:rPr>
            </w:pPr>
          </w:p>
        </w:tc>
        <w:tc>
          <w:tcPr>
            <w:tcW w:w="1145" w:type="dxa"/>
            <w:tcBorders>
              <w:top w:val="single" w:sz="4" w:space="0" w:color="auto"/>
              <w:left w:val="single" w:sz="4" w:space="0" w:color="auto"/>
              <w:bottom w:val="single" w:sz="4" w:space="0" w:color="auto"/>
              <w:right w:val="single" w:sz="4" w:space="0" w:color="auto"/>
            </w:tcBorders>
            <w:vAlign w:val="center"/>
          </w:tcPr>
          <w:p w14:paraId="4E2601E4" w14:textId="77777777" w:rsidR="00E541EE" w:rsidRPr="00A02E43" w:rsidRDefault="00E541EE" w:rsidP="00A84BB5">
            <w:pPr>
              <w:widowControl w:val="0"/>
              <w:autoSpaceDE w:val="0"/>
              <w:autoSpaceDN w:val="0"/>
              <w:jc w:val="center"/>
              <w:rPr>
                <w:rFonts w:cstheme="minorHAnsi"/>
                <w:sz w:val="14"/>
                <w:szCs w:val="14"/>
              </w:rPr>
            </w:pPr>
            <w:r w:rsidRPr="00A02E43">
              <w:rPr>
                <w:rFonts w:cstheme="minorHAnsi"/>
                <w:sz w:val="14"/>
                <w:szCs w:val="14"/>
              </w:rPr>
              <w:t>Ukupan broj učenika sa srednjim školama</w:t>
            </w:r>
          </w:p>
        </w:tc>
        <w:tc>
          <w:tcPr>
            <w:tcW w:w="997" w:type="dxa"/>
            <w:tcBorders>
              <w:top w:val="single" w:sz="4" w:space="0" w:color="auto"/>
              <w:left w:val="single" w:sz="4" w:space="0" w:color="auto"/>
              <w:bottom w:val="single" w:sz="4" w:space="0" w:color="auto"/>
              <w:right w:val="single" w:sz="4" w:space="0" w:color="auto"/>
            </w:tcBorders>
            <w:vAlign w:val="center"/>
          </w:tcPr>
          <w:p w14:paraId="23235F7F" w14:textId="77777777" w:rsidR="00E541EE" w:rsidRPr="00A02E43" w:rsidRDefault="00E541EE" w:rsidP="00A84BB5">
            <w:pPr>
              <w:widowControl w:val="0"/>
              <w:autoSpaceDE w:val="0"/>
              <w:autoSpaceDN w:val="0"/>
              <w:jc w:val="center"/>
              <w:rPr>
                <w:rFonts w:eastAsia="Times New Roman" w:cstheme="minorHAnsi"/>
                <w:sz w:val="14"/>
                <w:szCs w:val="14"/>
              </w:rPr>
            </w:pPr>
            <w:r w:rsidRPr="00A02E43">
              <w:rPr>
                <w:rFonts w:eastAsia="Times New Roman" w:cstheme="minorHAnsi"/>
                <w:sz w:val="14"/>
                <w:szCs w:val="14"/>
              </w:rPr>
              <w:t>1824</w:t>
            </w:r>
          </w:p>
        </w:tc>
        <w:tc>
          <w:tcPr>
            <w:tcW w:w="709" w:type="dxa"/>
            <w:tcBorders>
              <w:top w:val="single" w:sz="4" w:space="0" w:color="auto"/>
              <w:left w:val="single" w:sz="4" w:space="0" w:color="auto"/>
              <w:bottom w:val="single" w:sz="4" w:space="0" w:color="auto"/>
              <w:right w:val="single" w:sz="4" w:space="0" w:color="auto"/>
            </w:tcBorders>
            <w:vAlign w:val="center"/>
          </w:tcPr>
          <w:p w14:paraId="1F13528C" w14:textId="77777777" w:rsidR="00E541EE" w:rsidRPr="00A02E43" w:rsidRDefault="00E541EE" w:rsidP="00A84BB5">
            <w:pPr>
              <w:widowControl w:val="0"/>
              <w:autoSpaceDE w:val="0"/>
              <w:autoSpaceDN w:val="0"/>
              <w:jc w:val="center"/>
              <w:rPr>
                <w:rFonts w:eastAsia="Times New Roman" w:cstheme="minorHAnsi"/>
                <w:sz w:val="14"/>
                <w:szCs w:val="14"/>
              </w:rPr>
            </w:pPr>
            <w:r w:rsidRPr="00A02E43">
              <w:rPr>
                <w:rFonts w:eastAsia="Times New Roman" w:cstheme="minorHAnsi"/>
                <w:sz w:val="14"/>
                <w:szCs w:val="14"/>
              </w:rPr>
              <w:t>1900</w:t>
            </w:r>
          </w:p>
        </w:tc>
        <w:tc>
          <w:tcPr>
            <w:tcW w:w="567" w:type="dxa"/>
            <w:tcBorders>
              <w:top w:val="single" w:sz="4" w:space="0" w:color="auto"/>
              <w:left w:val="single" w:sz="4" w:space="0" w:color="auto"/>
              <w:bottom w:val="single" w:sz="4" w:space="0" w:color="auto"/>
              <w:right w:val="single" w:sz="4" w:space="0" w:color="auto"/>
            </w:tcBorders>
            <w:vAlign w:val="center"/>
          </w:tcPr>
          <w:p w14:paraId="43527C4E" w14:textId="77777777" w:rsidR="00E541EE" w:rsidRPr="00A02E43" w:rsidRDefault="00E541EE" w:rsidP="00A84BB5">
            <w:pPr>
              <w:widowControl w:val="0"/>
              <w:autoSpaceDE w:val="0"/>
              <w:autoSpaceDN w:val="0"/>
              <w:jc w:val="center"/>
              <w:rPr>
                <w:rFonts w:eastAsia="Times New Roman" w:cstheme="minorHAnsi"/>
                <w:sz w:val="14"/>
                <w:szCs w:val="14"/>
              </w:rPr>
            </w:pPr>
            <w:r w:rsidRPr="00A02E43">
              <w:rPr>
                <w:rFonts w:eastAsia="Times New Roman" w:cstheme="minorHAnsi"/>
                <w:sz w:val="14"/>
                <w:szCs w:val="14"/>
              </w:rPr>
              <w:t>1950</w:t>
            </w:r>
          </w:p>
        </w:tc>
        <w:tc>
          <w:tcPr>
            <w:tcW w:w="851" w:type="dxa"/>
            <w:tcBorders>
              <w:top w:val="single" w:sz="4" w:space="0" w:color="auto"/>
              <w:left w:val="single" w:sz="4" w:space="0" w:color="auto"/>
              <w:bottom w:val="single" w:sz="4" w:space="0" w:color="auto"/>
              <w:right w:val="single" w:sz="4" w:space="0" w:color="auto"/>
            </w:tcBorders>
            <w:vAlign w:val="center"/>
          </w:tcPr>
          <w:p w14:paraId="4E77A60F" w14:textId="77777777" w:rsidR="00E541EE" w:rsidRPr="00A02E43" w:rsidRDefault="00E541EE" w:rsidP="00A84BB5">
            <w:pPr>
              <w:widowControl w:val="0"/>
              <w:autoSpaceDE w:val="0"/>
              <w:autoSpaceDN w:val="0"/>
              <w:jc w:val="center"/>
              <w:rPr>
                <w:rFonts w:eastAsia="Times New Roman" w:cstheme="minorHAnsi"/>
                <w:sz w:val="14"/>
                <w:szCs w:val="14"/>
              </w:rPr>
            </w:pPr>
            <w:r w:rsidRPr="00A02E43">
              <w:rPr>
                <w:rFonts w:eastAsia="Times New Roman" w:cstheme="minorHAnsi"/>
                <w:sz w:val="14"/>
                <w:szCs w:val="14"/>
              </w:rPr>
              <w:t>1950</w:t>
            </w:r>
          </w:p>
        </w:tc>
      </w:tr>
      <w:tr w:rsidR="00E541EE" w:rsidRPr="002E3985" w14:paraId="2C4C4F61" w14:textId="77777777" w:rsidTr="00F664F1">
        <w:trPr>
          <w:trHeight w:val="1174"/>
        </w:trPr>
        <w:tc>
          <w:tcPr>
            <w:tcW w:w="886" w:type="dxa"/>
            <w:vMerge/>
            <w:vAlign w:val="center"/>
          </w:tcPr>
          <w:p w14:paraId="7A7B6006" w14:textId="77777777" w:rsidR="00E541EE" w:rsidRPr="00A02E43" w:rsidRDefault="00E541EE" w:rsidP="00A84BB5">
            <w:pPr>
              <w:widowControl w:val="0"/>
              <w:autoSpaceDE w:val="0"/>
              <w:autoSpaceDN w:val="0"/>
              <w:spacing w:before="49"/>
              <w:ind w:left="44" w:right="35"/>
              <w:jc w:val="center"/>
              <w:rPr>
                <w:rFonts w:cstheme="minorHAnsi"/>
                <w:sz w:val="14"/>
                <w:szCs w:val="14"/>
              </w:rPr>
            </w:pPr>
          </w:p>
        </w:tc>
        <w:tc>
          <w:tcPr>
            <w:tcW w:w="885" w:type="dxa"/>
            <w:vMerge/>
            <w:vAlign w:val="center"/>
          </w:tcPr>
          <w:p w14:paraId="6A1FBD77" w14:textId="77777777" w:rsidR="00E541EE" w:rsidRPr="00A02E43" w:rsidRDefault="00E541EE" w:rsidP="00A84BB5">
            <w:pPr>
              <w:widowControl w:val="0"/>
              <w:autoSpaceDE w:val="0"/>
              <w:autoSpaceDN w:val="0"/>
              <w:ind w:left="28" w:right="19" w:firstLine="2"/>
              <w:jc w:val="center"/>
              <w:rPr>
                <w:rFonts w:cstheme="minorHAnsi"/>
                <w:sz w:val="14"/>
                <w:szCs w:val="14"/>
              </w:rPr>
            </w:pPr>
          </w:p>
        </w:tc>
        <w:tc>
          <w:tcPr>
            <w:tcW w:w="933" w:type="dxa"/>
            <w:vMerge/>
            <w:shd w:val="clear" w:color="auto" w:fill="FFF1CC"/>
            <w:vAlign w:val="center"/>
          </w:tcPr>
          <w:p w14:paraId="5EB45EA9" w14:textId="77777777" w:rsidR="00E541EE" w:rsidRPr="00A02E43" w:rsidRDefault="00E541EE" w:rsidP="00A84BB5">
            <w:pPr>
              <w:widowControl w:val="0"/>
              <w:autoSpaceDE w:val="0"/>
              <w:autoSpaceDN w:val="0"/>
              <w:spacing w:before="7"/>
              <w:jc w:val="center"/>
              <w:rPr>
                <w:rFonts w:cstheme="minorHAnsi"/>
                <w:sz w:val="14"/>
                <w:szCs w:val="14"/>
              </w:rPr>
            </w:pPr>
          </w:p>
        </w:tc>
        <w:tc>
          <w:tcPr>
            <w:tcW w:w="1417" w:type="dxa"/>
            <w:vMerge/>
            <w:vAlign w:val="center"/>
          </w:tcPr>
          <w:p w14:paraId="48A070D4" w14:textId="77777777" w:rsidR="00E541EE" w:rsidRPr="00A02E43" w:rsidRDefault="00E541EE" w:rsidP="00A84BB5">
            <w:pPr>
              <w:widowControl w:val="0"/>
              <w:autoSpaceDE w:val="0"/>
              <w:autoSpaceDN w:val="0"/>
              <w:spacing w:before="7"/>
              <w:jc w:val="center"/>
              <w:rPr>
                <w:rFonts w:cstheme="minorHAnsi"/>
                <w:sz w:val="14"/>
                <w:szCs w:val="14"/>
              </w:rPr>
            </w:pPr>
          </w:p>
        </w:tc>
        <w:tc>
          <w:tcPr>
            <w:tcW w:w="925" w:type="dxa"/>
            <w:vMerge/>
            <w:tcBorders>
              <w:right w:val="single" w:sz="4" w:space="0" w:color="auto"/>
            </w:tcBorders>
            <w:shd w:val="clear" w:color="auto" w:fill="FFF1CC"/>
            <w:vAlign w:val="center"/>
          </w:tcPr>
          <w:p w14:paraId="4E156362" w14:textId="77777777" w:rsidR="00E541EE" w:rsidRPr="00A02E43" w:rsidRDefault="00E541EE" w:rsidP="00A84BB5">
            <w:pPr>
              <w:widowControl w:val="0"/>
              <w:autoSpaceDE w:val="0"/>
              <w:autoSpaceDN w:val="0"/>
              <w:jc w:val="center"/>
              <w:rPr>
                <w:rFonts w:cstheme="minorHAnsi"/>
                <w:sz w:val="14"/>
                <w:szCs w:val="14"/>
              </w:rPr>
            </w:pPr>
          </w:p>
        </w:tc>
        <w:tc>
          <w:tcPr>
            <w:tcW w:w="892" w:type="dxa"/>
            <w:vMerge/>
            <w:tcBorders>
              <w:top w:val="single" w:sz="4" w:space="0" w:color="auto"/>
              <w:left w:val="single" w:sz="4" w:space="0" w:color="auto"/>
              <w:bottom w:val="single" w:sz="4" w:space="0" w:color="auto"/>
              <w:right w:val="single" w:sz="4" w:space="0" w:color="auto"/>
            </w:tcBorders>
            <w:vAlign w:val="center"/>
          </w:tcPr>
          <w:p w14:paraId="259295CC" w14:textId="77777777" w:rsidR="00E541EE" w:rsidRPr="00A02E43" w:rsidRDefault="00E541EE" w:rsidP="00A84BB5">
            <w:pPr>
              <w:spacing w:after="120"/>
              <w:jc w:val="center"/>
              <w:rPr>
                <w:rFonts w:cstheme="minorHAnsi"/>
                <w:sz w:val="14"/>
                <w:szCs w:val="14"/>
              </w:rPr>
            </w:pPr>
          </w:p>
        </w:tc>
        <w:tc>
          <w:tcPr>
            <w:tcW w:w="1145" w:type="dxa"/>
            <w:tcBorders>
              <w:top w:val="single" w:sz="4" w:space="0" w:color="auto"/>
              <w:left w:val="single" w:sz="4" w:space="0" w:color="auto"/>
              <w:bottom w:val="single" w:sz="4" w:space="0" w:color="auto"/>
              <w:right w:val="single" w:sz="4" w:space="0" w:color="auto"/>
            </w:tcBorders>
            <w:vAlign w:val="center"/>
          </w:tcPr>
          <w:p w14:paraId="03897BDE" w14:textId="77777777" w:rsidR="00E541EE" w:rsidRPr="00A02E43" w:rsidRDefault="00E541EE" w:rsidP="00A84BB5">
            <w:pPr>
              <w:widowControl w:val="0"/>
              <w:autoSpaceDE w:val="0"/>
              <w:autoSpaceDN w:val="0"/>
              <w:jc w:val="center"/>
              <w:rPr>
                <w:rFonts w:cstheme="minorHAnsi"/>
                <w:sz w:val="14"/>
                <w:szCs w:val="14"/>
              </w:rPr>
            </w:pPr>
            <w:r w:rsidRPr="00A02E43">
              <w:rPr>
                <w:rFonts w:cstheme="minorHAnsi"/>
                <w:sz w:val="14"/>
                <w:szCs w:val="14"/>
              </w:rPr>
              <w:t>Ukupan broj razrednih odjeljenja</w:t>
            </w:r>
          </w:p>
        </w:tc>
        <w:tc>
          <w:tcPr>
            <w:tcW w:w="997" w:type="dxa"/>
            <w:tcBorders>
              <w:top w:val="single" w:sz="4" w:space="0" w:color="auto"/>
              <w:left w:val="single" w:sz="4" w:space="0" w:color="auto"/>
              <w:bottom w:val="single" w:sz="4" w:space="0" w:color="auto"/>
              <w:right w:val="single" w:sz="4" w:space="0" w:color="auto"/>
            </w:tcBorders>
            <w:vAlign w:val="center"/>
          </w:tcPr>
          <w:p w14:paraId="4C61B56F" w14:textId="77777777" w:rsidR="00E541EE" w:rsidRPr="00A02E43" w:rsidRDefault="00E541EE" w:rsidP="00A84BB5">
            <w:pPr>
              <w:widowControl w:val="0"/>
              <w:autoSpaceDE w:val="0"/>
              <w:autoSpaceDN w:val="0"/>
              <w:jc w:val="center"/>
              <w:rPr>
                <w:rFonts w:eastAsia="Times New Roman" w:cstheme="minorHAnsi"/>
                <w:sz w:val="14"/>
                <w:szCs w:val="14"/>
              </w:rPr>
            </w:pPr>
            <w:r w:rsidRPr="00A02E43">
              <w:rPr>
                <w:rFonts w:eastAsia="Times New Roman" w:cstheme="minorHAnsi"/>
                <w:sz w:val="14"/>
                <w:szCs w:val="14"/>
              </w:rPr>
              <w:t>100</w:t>
            </w:r>
          </w:p>
        </w:tc>
        <w:tc>
          <w:tcPr>
            <w:tcW w:w="709" w:type="dxa"/>
            <w:tcBorders>
              <w:top w:val="single" w:sz="4" w:space="0" w:color="auto"/>
              <w:left w:val="single" w:sz="4" w:space="0" w:color="auto"/>
              <w:bottom w:val="single" w:sz="4" w:space="0" w:color="auto"/>
              <w:right w:val="single" w:sz="4" w:space="0" w:color="auto"/>
            </w:tcBorders>
            <w:vAlign w:val="center"/>
          </w:tcPr>
          <w:p w14:paraId="5B7A4F98" w14:textId="77777777" w:rsidR="00E541EE" w:rsidRPr="00A02E43" w:rsidRDefault="00E541EE" w:rsidP="00A84BB5">
            <w:pPr>
              <w:widowControl w:val="0"/>
              <w:autoSpaceDE w:val="0"/>
              <w:autoSpaceDN w:val="0"/>
              <w:jc w:val="center"/>
              <w:rPr>
                <w:rFonts w:eastAsia="Times New Roman" w:cstheme="minorHAnsi"/>
                <w:sz w:val="14"/>
                <w:szCs w:val="14"/>
              </w:rPr>
            </w:pPr>
            <w:r w:rsidRPr="00A02E43">
              <w:rPr>
                <w:rFonts w:eastAsia="Times New Roman" w:cstheme="minorHAnsi"/>
                <w:sz w:val="14"/>
                <w:szCs w:val="14"/>
              </w:rPr>
              <w:t>100</w:t>
            </w:r>
          </w:p>
        </w:tc>
        <w:tc>
          <w:tcPr>
            <w:tcW w:w="567" w:type="dxa"/>
            <w:tcBorders>
              <w:top w:val="single" w:sz="4" w:space="0" w:color="auto"/>
              <w:left w:val="single" w:sz="4" w:space="0" w:color="auto"/>
              <w:bottom w:val="single" w:sz="4" w:space="0" w:color="auto"/>
              <w:right w:val="single" w:sz="4" w:space="0" w:color="auto"/>
            </w:tcBorders>
            <w:vAlign w:val="center"/>
          </w:tcPr>
          <w:p w14:paraId="7E4C661D" w14:textId="77777777" w:rsidR="00E541EE" w:rsidRPr="00A02E43" w:rsidRDefault="00E541EE" w:rsidP="00A84BB5">
            <w:pPr>
              <w:widowControl w:val="0"/>
              <w:autoSpaceDE w:val="0"/>
              <w:autoSpaceDN w:val="0"/>
              <w:jc w:val="center"/>
              <w:rPr>
                <w:rFonts w:eastAsia="Times New Roman" w:cstheme="minorHAnsi"/>
                <w:sz w:val="14"/>
                <w:szCs w:val="14"/>
              </w:rPr>
            </w:pPr>
            <w:r w:rsidRPr="00A02E43">
              <w:rPr>
                <w:rFonts w:eastAsia="Times New Roman" w:cstheme="minorHAnsi"/>
                <w:sz w:val="14"/>
                <w:szCs w:val="14"/>
              </w:rPr>
              <w:t>100</w:t>
            </w:r>
          </w:p>
        </w:tc>
        <w:tc>
          <w:tcPr>
            <w:tcW w:w="851" w:type="dxa"/>
            <w:tcBorders>
              <w:top w:val="single" w:sz="4" w:space="0" w:color="auto"/>
              <w:left w:val="single" w:sz="4" w:space="0" w:color="auto"/>
              <w:bottom w:val="single" w:sz="4" w:space="0" w:color="auto"/>
              <w:right w:val="single" w:sz="4" w:space="0" w:color="auto"/>
            </w:tcBorders>
            <w:vAlign w:val="center"/>
          </w:tcPr>
          <w:p w14:paraId="53F655F4" w14:textId="77777777" w:rsidR="00E541EE" w:rsidRPr="00A02E43" w:rsidRDefault="00E541EE" w:rsidP="00A84BB5">
            <w:pPr>
              <w:widowControl w:val="0"/>
              <w:autoSpaceDE w:val="0"/>
              <w:autoSpaceDN w:val="0"/>
              <w:jc w:val="center"/>
              <w:rPr>
                <w:rFonts w:eastAsia="Times New Roman" w:cstheme="minorHAnsi"/>
                <w:sz w:val="14"/>
                <w:szCs w:val="14"/>
              </w:rPr>
            </w:pPr>
            <w:r w:rsidRPr="00A02E43">
              <w:rPr>
                <w:rFonts w:eastAsia="Times New Roman" w:cstheme="minorHAnsi"/>
                <w:sz w:val="14"/>
                <w:szCs w:val="14"/>
              </w:rPr>
              <w:t>100</w:t>
            </w:r>
          </w:p>
        </w:tc>
      </w:tr>
      <w:tr w:rsidR="00E541EE" w:rsidRPr="002E3985" w14:paraId="2919D78E" w14:textId="77777777" w:rsidTr="00F664F1">
        <w:trPr>
          <w:trHeight w:val="1030"/>
        </w:trPr>
        <w:tc>
          <w:tcPr>
            <w:tcW w:w="886" w:type="dxa"/>
            <w:vMerge/>
            <w:vAlign w:val="center"/>
          </w:tcPr>
          <w:p w14:paraId="068DF8A2" w14:textId="77777777" w:rsidR="00E541EE" w:rsidRPr="00A02E43" w:rsidRDefault="00E541EE" w:rsidP="00A84BB5">
            <w:pPr>
              <w:widowControl w:val="0"/>
              <w:autoSpaceDE w:val="0"/>
              <w:autoSpaceDN w:val="0"/>
              <w:spacing w:before="49"/>
              <w:ind w:left="44" w:right="35"/>
              <w:jc w:val="center"/>
              <w:rPr>
                <w:rFonts w:cstheme="minorHAnsi"/>
                <w:b/>
                <w:sz w:val="14"/>
                <w:szCs w:val="14"/>
              </w:rPr>
            </w:pPr>
          </w:p>
        </w:tc>
        <w:tc>
          <w:tcPr>
            <w:tcW w:w="885" w:type="dxa"/>
            <w:vMerge/>
            <w:vAlign w:val="center"/>
          </w:tcPr>
          <w:p w14:paraId="0F8821C4" w14:textId="77777777" w:rsidR="00E541EE" w:rsidRPr="00A02E43" w:rsidRDefault="00E541EE" w:rsidP="00A84BB5">
            <w:pPr>
              <w:widowControl w:val="0"/>
              <w:autoSpaceDE w:val="0"/>
              <w:autoSpaceDN w:val="0"/>
              <w:ind w:left="28" w:right="19" w:firstLine="2"/>
              <w:jc w:val="center"/>
              <w:rPr>
                <w:rFonts w:cstheme="minorHAnsi"/>
                <w:sz w:val="14"/>
                <w:szCs w:val="14"/>
              </w:rPr>
            </w:pPr>
          </w:p>
        </w:tc>
        <w:tc>
          <w:tcPr>
            <w:tcW w:w="933" w:type="dxa"/>
            <w:vMerge/>
            <w:shd w:val="clear" w:color="auto" w:fill="FFF1CC"/>
            <w:vAlign w:val="center"/>
          </w:tcPr>
          <w:p w14:paraId="7484178B" w14:textId="77777777" w:rsidR="00E541EE" w:rsidRPr="00A02E43" w:rsidRDefault="00E541EE" w:rsidP="00A84BB5">
            <w:pPr>
              <w:widowControl w:val="0"/>
              <w:autoSpaceDE w:val="0"/>
              <w:autoSpaceDN w:val="0"/>
              <w:ind w:left="74" w:right="63" w:hanging="4"/>
              <w:jc w:val="center"/>
              <w:rPr>
                <w:rFonts w:cstheme="minorHAnsi"/>
                <w:sz w:val="14"/>
                <w:szCs w:val="14"/>
              </w:rPr>
            </w:pPr>
          </w:p>
        </w:tc>
        <w:tc>
          <w:tcPr>
            <w:tcW w:w="1417" w:type="dxa"/>
            <w:vMerge/>
            <w:vAlign w:val="center"/>
          </w:tcPr>
          <w:p w14:paraId="0A882A4F" w14:textId="77777777" w:rsidR="00E541EE" w:rsidRPr="00A02E43" w:rsidRDefault="00E541EE" w:rsidP="00A84BB5">
            <w:pPr>
              <w:widowControl w:val="0"/>
              <w:autoSpaceDE w:val="0"/>
              <w:autoSpaceDN w:val="0"/>
              <w:ind w:left="29" w:right="11" w:firstLine="9"/>
              <w:jc w:val="center"/>
              <w:rPr>
                <w:rFonts w:cstheme="minorHAnsi"/>
                <w:sz w:val="14"/>
                <w:szCs w:val="14"/>
              </w:rPr>
            </w:pPr>
          </w:p>
        </w:tc>
        <w:tc>
          <w:tcPr>
            <w:tcW w:w="925" w:type="dxa"/>
            <w:vMerge/>
            <w:shd w:val="clear" w:color="auto" w:fill="FFF1CC"/>
            <w:vAlign w:val="center"/>
          </w:tcPr>
          <w:p w14:paraId="24CBC116" w14:textId="77777777" w:rsidR="00E541EE" w:rsidRPr="00A02E43" w:rsidRDefault="00E541EE" w:rsidP="00A84BB5">
            <w:pPr>
              <w:widowControl w:val="0"/>
              <w:autoSpaceDE w:val="0"/>
              <w:autoSpaceDN w:val="0"/>
              <w:ind w:left="142"/>
              <w:jc w:val="center"/>
              <w:rPr>
                <w:rFonts w:cstheme="minorHAnsi"/>
                <w:sz w:val="14"/>
                <w:szCs w:val="14"/>
              </w:rPr>
            </w:pPr>
          </w:p>
        </w:tc>
        <w:tc>
          <w:tcPr>
            <w:tcW w:w="892" w:type="dxa"/>
            <w:vMerge/>
            <w:tcBorders>
              <w:top w:val="single" w:sz="4" w:space="0" w:color="auto"/>
            </w:tcBorders>
            <w:vAlign w:val="center"/>
          </w:tcPr>
          <w:p w14:paraId="37BB3F29" w14:textId="77777777" w:rsidR="00E541EE" w:rsidRPr="00A02E43" w:rsidRDefault="00E541EE" w:rsidP="00A84BB5">
            <w:pPr>
              <w:spacing w:after="120"/>
              <w:jc w:val="center"/>
              <w:rPr>
                <w:rFonts w:cstheme="minorHAnsi"/>
                <w:sz w:val="14"/>
                <w:szCs w:val="14"/>
              </w:rPr>
            </w:pPr>
          </w:p>
        </w:tc>
        <w:tc>
          <w:tcPr>
            <w:tcW w:w="1145" w:type="dxa"/>
            <w:tcBorders>
              <w:top w:val="single" w:sz="4" w:space="0" w:color="auto"/>
              <w:left w:val="nil"/>
              <w:bottom w:val="single" w:sz="4" w:space="0" w:color="auto"/>
              <w:right w:val="single" w:sz="4" w:space="0" w:color="auto"/>
            </w:tcBorders>
            <w:vAlign w:val="center"/>
          </w:tcPr>
          <w:p w14:paraId="2572DD64" w14:textId="77777777" w:rsidR="00E541EE" w:rsidRPr="00A02E43" w:rsidRDefault="00E541EE" w:rsidP="00A84BB5">
            <w:pPr>
              <w:spacing w:after="160" w:line="259" w:lineRule="auto"/>
              <w:jc w:val="center"/>
              <w:rPr>
                <w:rFonts w:cstheme="minorHAnsi"/>
                <w:sz w:val="14"/>
                <w:szCs w:val="14"/>
              </w:rPr>
            </w:pPr>
            <w:r w:rsidRPr="00A02E43">
              <w:rPr>
                <w:rFonts w:cstheme="minorHAnsi"/>
                <w:sz w:val="14"/>
                <w:szCs w:val="14"/>
              </w:rPr>
              <w:t>Broj učenika koji primaju subvencije za prijevoz i prehranu</w:t>
            </w:r>
          </w:p>
        </w:tc>
        <w:tc>
          <w:tcPr>
            <w:tcW w:w="997" w:type="dxa"/>
            <w:tcBorders>
              <w:top w:val="single" w:sz="4" w:space="0" w:color="auto"/>
              <w:left w:val="single" w:sz="4" w:space="0" w:color="5B9BD5" w:themeColor="accent5"/>
              <w:bottom w:val="single" w:sz="4" w:space="0" w:color="auto"/>
              <w:right w:val="single" w:sz="4" w:space="0" w:color="auto"/>
            </w:tcBorders>
            <w:vAlign w:val="center"/>
          </w:tcPr>
          <w:p w14:paraId="42A40278" w14:textId="77777777" w:rsidR="00E541EE" w:rsidRPr="00A02E43" w:rsidRDefault="00E541EE" w:rsidP="00A84BB5">
            <w:pPr>
              <w:spacing w:after="160" w:line="259" w:lineRule="auto"/>
              <w:jc w:val="center"/>
              <w:rPr>
                <w:rFonts w:cstheme="minorHAnsi"/>
                <w:sz w:val="14"/>
                <w:szCs w:val="14"/>
              </w:rPr>
            </w:pPr>
            <w:r w:rsidRPr="00A02E43">
              <w:rPr>
                <w:rFonts w:eastAsia="Times New Roman" w:cstheme="minorHAnsi"/>
                <w:sz w:val="14"/>
                <w:szCs w:val="14"/>
              </w:rPr>
              <w:t>400</w:t>
            </w:r>
          </w:p>
        </w:tc>
        <w:tc>
          <w:tcPr>
            <w:tcW w:w="709" w:type="dxa"/>
            <w:tcBorders>
              <w:top w:val="single" w:sz="4" w:space="0" w:color="auto"/>
              <w:left w:val="single" w:sz="4" w:space="0" w:color="auto"/>
              <w:bottom w:val="single" w:sz="4" w:space="0" w:color="auto"/>
              <w:right w:val="single" w:sz="4" w:space="0" w:color="auto"/>
            </w:tcBorders>
            <w:vAlign w:val="center"/>
          </w:tcPr>
          <w:p w14:paraId="28FF97D4" w14:textId="77777777" w:rsidR="00E541EE" w:rsidRPr="00A02E43" w:rsidRDefault="00E541EE" w:rsidP="00A84BB5">
            <w:pPr>
              <w:spacing w:after="160" w:line="259" w:lineRule="auto"/>
              <w:jc w:val="center"/>
              <w:rPr>
                <w:rFonts w:cstheme="minorHAnsi"/>
                <w:sz w:val="14"/>
                <w:szCs w:val="14"/>
              </w:rPr>
            </w:pPr>
            <w:r w:rsidRPr="00A02E43">
              <w:rPr>
                <w:rFonts w:eastAsia="Times New Roman" w:cstheme="minorHAnsi"/>
                <w:sz w:val="14"/>
                <w:szCs w:val="14"/>
              </w:rPr>
              <w:t>400</w:t>
            </w:r>
          </w:p>
        </w:tc>
        <w:tc>
          <w:tcPr>
            <w:tcW w:w="567" w:type="dxa"/>
            <w:tcBorders>
              <w:top w:val="single" w:sz="4" w:space="0" w:color="auto"/>
              <w:left w:val="single" w:sz="4" w:space="0" w:color="auto"/>
              <w:bottom w:val="single" w:sz="4" w:space="0" w:color="auto"/>
              <w:right w:val="single" w:sz="4" w:space="0" w:color="auto"/>
            </w:tcBorders>
            <w:vAlign w:val="center"/>
          </w:tcPr>
          <w:p w14:paraId="70705882" w14:textId="77777777" w:rsidR="00E541EE" w:rsidRPr="00A02E43" w:rsidRDefault="00E541EE" w:rsidP="00A84BB5">
            <w:pPr>
              <w:spacing w:after="160" w:line="259" w:lineRule="auto"/>
              <w:jc w:val="center"/>
              <w:rPr>
                <w:rFonts w:cstheme="minorHAnsi"/>
                <w:sz w:val="14"/>
                <w:szCs w:val="14"/>
              </w:rPr>
            </w:pPr>
            <w:r w:rsidRPr="00A02E43">
              <w:rPr>
                <w:rFonts w:eastAsia="Times New Roman" w:cstheme="minorHAnsi"/>
                <w:sz w:val="14"/>
                <w:szCs w:val="14"/>
              </w:rPr>
              <w:t>500</w:t>
            </w:r>
          </w:p>
        </w:tc>
        <w:tc>
          <w:tcPr>
            <w:tcW w:w="851" w:type="dxa"/>
            <w:tcBorders>
              <w:top w:val="single" w:sz="4" w:space="0" w:color="auto"/>
              <w:left w:val="single" w:sz="4" w:space="0" w:color="auto"/>
              <w:bottom w:val="single" w:sz="4" w:space="0" w:color="auto"/>
              <w:right w:val="single" w:sz="4" w:space="0" w:color="auto"/>
            </w:tcBorders>
            <w:vAlign w:val="center"/>
          </w:tcPr>
          <w:p w14:paraId="210071C8" w14:textId="77777777" w:rsidR="00E541EE" w:rsidRPr="00A02E43" w:rsidRDefault="00E541EE" w:rsidP="00A84BB5">
            <w:pPr>
              <w:spacing w:after="160" w:line="259" w:lineRule="auto"/>
              <w:jc w:val="center"/>
              <w:rPr>
                <w:rFonts w:cstheme="minorHAnsi"/>
                <w:sz w:val="14"/>
                <w:szCs w:val="14"/>
              </w:rPr>
            </w:pPr>
            <w:r w:rsidRPr="00A02E43">
              <w:rPr>
                <w:rFonts w:eastAsia="Times New Roman" w:cstheme="minorHAnsi"/>
                <w:sz w:val="14"/>
                <w:szCs w:val="14"/>
              </w:rPr>
              <w:t>500</w:t>
            </w:r>
          </w:p>
        </w:tc>
      </w:tr>
      <w:tr w:rsidR="00E541EE" w:rsidRPr="002E3985" w14:paraId="57332B47" w14:textId="77777777" w:rsidTr="00F664F1">
        <w:trPr>
          <w:trHeight w:val="696"/>
        </w:trPr>
        <w:tc>
          <w:tcPr>
            <w:tcW w:w="886" w:type="dxa"/>
            <w:vMerge/>
            <w:vAlign w:val="center"/>
          </w:tcPr>
          <w:p w14:paraId="5F6F2A84" w14:textId="77777777" w:rsidR="00E541EE" w:rsidRPr="00A02E43" w:rsidRDefault="00E541EE" w:rsidP="00A84BB5">
            <w:pPr>
              <w:widowControl w:val="0"/>
              <w:autoSpaceDE w:val="0"/>
              <w:autoSpaceDN w:val="0"/>
              <w:spacing w:before="49"/>
              <w:ind w:left="44" w:right="35"/>
              <w:jc w:val="center"/>
              <w:rPr>
                <w:rFonts w:cstheme="minorHAnsi"/>
                <w:b/>
                <w:sz w:val="14"/>
                <w:szCs w:val="14"/>
              </w:rPr>
            </w:pPr>
          </w:p>
        </w:tc>
        <w:tc>
          <w:tcPr>
            <w:tcW w:w="885" w:type="dxa"/>
            <w:vMerge/>
            <w:vAlign w:val="center"/>
          </w:tcPr>
          <w:p w14:paraId="46BEF22E" w14:textId="77777777" w:rsidR="00E541EE" w:rsidRPr="00A02E43" w:rsidRDefault="00E541EE" w:rsidP="00A84BB5">
            <w:pPr>
              <w:widowControl w:val="0"/>
              <w:autoSpaceDE w:val="0"/>
              <w:autoSpaceDN w:val="0"/>
              <w:jc w:val="center"/>
              <w:rPr>
                <w:rFonts w:cstheme="minorHAnsi"/>
                <w:sz w:val="14"/>
                <w:szCs w:val="14"/>
              </w:rPr>
            </w:pPr>
          </w:p>
        </w:tc>
        <w:tc>
          <w:tcPr>
            <w:tcW w:w="933" w:type="dxa"/>
            <w:vMerge/>
            <w:shd w:val="clear" w:color="auto" w:fill="FFF1CC"/>
            <w:vAlign w:val="center"/>
          </w:tcPr>
          <w:p w14:paraId="265D9B97" w14:textId="77777777" w:rsidR="00E541EE" w:rsidRPr="00A02E43" w:rsidRDefault="00E541EE" w:rsidP="00A84BB5">
            <w:pPr>
              <w:widowControl w:val="0"/>
              <w:autoSpaceDE w:val="0"/>
              <w:autoSpaceDN w:val="0"/>
              <w:spacing w:before="7"/>
              <w:jc w:val="center"/>
              <w:rPr>
                <w:rFonts w:cstheme="minorHAnsi"/>
                <w:sz w:val="14"/>
                <w:szCs w:val="14"/>
              </w:rPr>
            </w:pPr>
          </w:p>
        </w:tc>
        <w:tc>
          <w:tcPr>
            <w:tcW w:w="1417" w:type="dxa"/>
            <w:vMerge/>
            <w:vAlign w:val="center"/>
          </w:tcPr>
          <w:p w14:paraId="7026B144" w14:textId="77777777" w:rsidR="00E541EE" w:rsidRPr="00A02E43" w:rsidRDefault="00E541EE" w:rsidP="00A84BB5">
            <w:pPr>
              <w:widowControl w:val="0"/>
              <w:autoSpaceDE w:val="0"/>
              <w:autoSpaceDN w:val="0"/>
              <w:spacing w:before="7"/>
              <w:jc w:val="center"/>
              <w:rPr>
                <w:rFonts w:cstheme="minorHAnsi"/>
                <w:sz w:val="14"/>
                <w:szCs w:val="14"/>
              </w:rPr>
            </w:pPr>
          </w:p>
        </w:tc>
        <w:tc>
          <w:tcPr>
            <w:tcW w:w="925" w:type="dxa"/>
            <w:vMerge/>
            <w:shd w:val="clear" w:color="auto" w:fill="FFF1CC"/>
            <w:vAlign w:val="center"/>
          </w:tcPr>
          <w:p w14:paraId="176B6D80" w14:textId="77777777" w:rsidR="00E541EE" w:rsidRPr="00A02E43" w:rsidRDefault="00E541EE" w:rsidP="00A84BB5">
            <w:pPr>
              <w:widowControl w:val="0"/>
              <w:autoSpaceDE w:val="0"/>
              <w:autoSpaceDN w:val="0"/>
              <w:jc w:val="center"/>
              <w:rPr>
                <w:rFonts w:cstheme="minorHAnsi"/>
                <w:sz w:val="14"/>
                <w:szCs w:val="14"/>
              </w:rPr>
            </w:pPr>
          </w:p>
        </w:tc>
        <w:tc>
          <w:tcPr>
            <w:tcW w:w="892" w:type="dxa"/>
            <w:vMerge/>
            <w:tcBorders>
              <w:right w:val="single" w:sz="4" w:space="0" w:color="auto"/>
            </w:tcBorders>
            <w:vAlign w:val="center"/>
          </w:tcPr>
          <w:p w14:paraId="0F547B47" w14:textId="77777777" w:rsidR="00E541EE" w:rsidRPr="00A02E43" w:rsidRDefault="00E541EE" w:rsidP="00A84BB5">
            <w:pPr>
              <w:spacing w:after="120"/>
              <w:jc w:val="center"/>
              <w:rPr>
                <w:rFonts w:cstheme="minorHAnsi"/>
                <w:sz w:val="14"/>
                <w:szCs w:val="14"/>
              </w:rPr>
            </w:pPr>
          </w:p>
        </w:tc>
        <w:tc>
          <w:tcPr>
            <w:tcW w:w="1145" w:type="dxa"/>
            <w:tcBorders>
              <w:top w:val="single" w:sz="4" w:space="0" w:color="auto"/>
              <w:left w:val="single" w:sz="4" w:space="0" w:color="auto"/>
              <w:bottom w:val="single" w:sz="4" w:space="0" w:color="auto"/>
              <w:right w:val="single" w:sz="4" w:space="0" w:color="auto"/>
            </w:tcBorders>
            <w:vAlign w:val="center"/>
          </w:tcPr>
          <w:p w14:paraId="370A19FA" w14:textId="77777777" w:rsidR="00E541EE" w:rsidRPr="00A02E43" w:rsidRDefault="00E541EE" w:rsidP="00A84BB5">
            <w:pPr>
              <w:spacing w:after="120"/>
              <w:jc w:val="center"/>
              <w:rPr>
                <w:rFonts w:cstheme="minorHAnsi"/>
                <w:sz w:val="14"/>
                <w:szCs w:val="14"/>
              </w:rPr>
            </w:pPr>
            <w:r w:rsidRPr="00A02E43">
              <w:rPr>
                <w:rFonts w:eastAsia="Times New Roman" w:cstheme="minorHAnsi"/>
                <w:sz w:val="14"/>
                <w:szCs w:val="14"/>
              </w:rPr>
              <w:t>Broj stipendista -učenika/studenata</w:t>
            </w:r>
          </w:p>
        </w:tc>
        <w:tc>
          <w:tcPr>
            <w:tcW w:w="997" w:type="dxa"/>
            <w:tcBorders>
              <w:top w:val="single" w:sz="4" w:space="0" w:color="auto"/>
              <w:left w:val="single" w:sz="4" w:space="0" w:color="auto"/>
              <w:bottom w:val="single" w:sz="4" w:space="0" w:color="auto"/>
              <w:right w:val="single" w:sz="4" w:space="0" w:color="auto"/>
            </w:tcBorders>
            <w:vAlign w:val="center"/>
          </w:tcPr>
          <w:p w14:paraId="199354BA" w14:textId="77777777" w:rsidR="00E541EE" w:rsidRPr="00A02E43" w:rsidRDefault="00E541EE" w:rsidP="00A84BB5">
            <w:pPr>
              <w:spacing w:after="120"/>
              <w:jc w:val="center"/>
              <w:rPr>
                <w:rFonts w:cstheme="minorHAnsi"/>
                <w:sz w:val="14"/>
                <w:szCs w:val="14"/>
              </w:rPr>
            </w:pPr>
            <w:r w:rsidRPr="00A02E43">
              <w:rPr>
                <w:rFonts w:eastAsia="Times New Roman" w:cstheme="minorHAnsi"/>
                <w:sz w:val="14"/>
                <w:szCs w:val="14"/>
              </w:rPr>
              <w:t>136</w:t>
            </w:r>
          </w:p>
        </w:tc>
        <w:tc>
          <w:tcPr>
            <w:tcW w:w="709" w:type="dxa"/>
            <w:tcBorders>
              <w:top w:val="single" w:sz="4" w:space="0" w:color="auto"/>
              <w:left w:val="single" w:sz="4" w:space="0" w:color="auto"/>
              <w:bottom w:val="single" w:sz="4" w:space="0" w:color="auto"/>
              <w:right w:val="single" w:sz="4" w:space="0" w:color="auto"/>
            </w:tcBorders>
            <w:vAlign w:val="center"/>
          </w:tcPr>
          <w:p w14:paraId="4426334B" w14:textId="77777777" w:rsidR="00E541EE" w:rsidRPr="00A02E43" w:rsidRDefault="00E541EE" w:rsidP="00A84BB5">
            <w:pPr>
              <w:spacing w:after="120"/>
              <w:jc w:val="center"/>
              <w:rPr>
                <w:rFonts w:cstheme="minorHAnsi"/>
                <w:sz w:val="14"/>
                <w:szCs w:val="14"/>
              </w:rPr>
            </w:pPr>
            <w:r w:rsidRPr="00A02E43">
              <w:rPr>
                <w:rFonts w:eastAsia="Times New Roman" w:cstheme="minorHAnsi"/>
                <w:sz w:val="14"/>
                <w:szCs w:val="14"/>
              </w:rPr>
              <w:t>136</w:t>
            </w:r>
          </w:p>
        </w:tc>
        <w:tc>
          <w:tcPr>
            <w:tcW w:w="567" w:type="dxa"/>
            <w:tcBorders>
              <w:top w:val="single" w:sz="4" w:space="0" w:color="auto"/>
              <w:left w:val="single" w:sz="4" w:space="0" w:color="auto"/>
              <w:bottom w:val="single" w:sz="4" w:space="0" w:color="auto"/>
              <w:right w:val="single" w:sz="4" w:space="0" w:color="auto"/>
            </w:tcBorders>
            <w:vAlign w:val="center"/>
          </w:tcPr>
          <w:p w14:paraId="088AA847" w14:textId="77777777" w:rsidR="00E541EE" w:rsidRPr="00A02E43" w:rsidRDefault="00E541EE" w:rsidP="00A84BB5">
            <w:pPr>
              <w:spacing w:after="120"/>
              <w:jc w:val="center"/>
              <w:rPr>
                <w:rFonts w:cstheme="minorHAnsi"/>
                <w:sz w:val="14"/>
                <w:szCs w:val="14"/>
              </w:rPr>
            </w:pPr>
            <w:r w:rsidRPr="00A02E43">
              <w:rPr>
                <w:rFonts w:eastAsia="Times New Roman" w:cstheme="minorHAnsi"/>
                <w:sz w:val="14"/>
                <w:szCs w:val="14"/>
              </w:rPr>
              <w:t>140</w:t>
            </w:r>
          </w:p>
        </w:tc>
        <w:tc>
          <w:tcPr>
            <w:tcW w:w="851" w:type="dxa"/>
            <w:tcBorders>
              <w:top w:val="single" w:sz="4" w:space="0" w:color="auto"/>
              <w:left w:val="single" w:sz="4" w:space="0" w:color="auto"/>
              <w:bottom w:val="single" w:sz="4" w:space="0" w:color="auto"/>
              <w:right w:val="single" w:sz="4" w:space="0" w:color="auto"/>
            </w:tcBorders>
            <w:vAlign w:val="center"/>
          </w:tcPr>
          <w:p w14:paraId="4A667213" w14:textId="77777777" w:rsidR="00E541EE" w:rsidRPr="00A02E43" w:rsidRDefault="00E541EE" w:rsidP="00A84BB5">
            <w:pPr>
              <w:spacing w:after="120"/>
              <w:jc w:val="center"/>
              <w:rPr>
                <w:rFonts w:cstheme="minorHAnsi"/>
                <w:sz w:val="14"/>
                <w:szCs w:val="14"/>
              </w:rPr>
            </w:pPr>
            <w:r w:rsidRPr="00A02E43">
              <w:rPr>
                <w:rFonts w:eastAsia="Times New Roman" w:cstheme="minorHAnsi"/>
                <w:sz w:val="14"/>
                <w:szCs w:val="14"/>
              </w:rPr>
              <w:t>140</w:t>
            </w:r>
          </w:p>
        </w:tc>
      </w:tr>
      <w:tr w:rsidR="00E541EE" w:rsidRPr="002E3985" w14:paraId="66558E17" w14:textId="77777777" w:rsidTr="00F664F1">
        <w:trPr>
          <w:trHeight w:val="630"/>
        </w:trPr>
        <w:tc>
          <w:tcPr>
            <w:tcW w:w="886" w:type="dxa"/>
            <w:vMerge/>
            <w:vAlign w:val="center"/>
          </w:tcPr>
          <w:p w14:paraId="61101D9B" w14:textId="77777777" w:rsidR="00E541EE" w:rsidRPr="00A02E43" w:rsidRDefault="00E541EE" w:rsidP="00A84BB5">
            <w:pPr>
              <w:widowControl w:val="0"/>
              <w:autoSpaceDE w:val="0"/>
              <w:autoSpaceDN w:val="0"/>
              <w:spacing w:before="49"/>
              <w:ind w:left="44" w:right="35"/>
              <w:jc w:val="center"/>
              <w:rPr>
                <w:rFonts w:cstheme="minorHAnsi"/>
                <w:b/>
                <w:sz w:val="14"/>
                <w:szCs w:val="14"/>
              </w:rPr>
            </w:pPr>
          </w:p>
        </w:tc>
        <w:tc>
          <w:tcPr>
            <w:tcW w:w="885" w:type="dxa"/>
            <w:vMerge/>
            <w:vAlign w:val="center"/>
          </w:tcPr>
          <w:p w14:paraId="424CA2D8" w14:textId="77777777" w:rsidR="00E541EE" w:rsidRPr="00A02E43" w:rsidRDefault="00E541EE" w:rsidP="00A84BB5">
            <w:pPr>
              <w:widowControl w:val="0"/>
              <w:autoSpaceDE w:val="0"/>
              <w:autoSpaceDN w:val="0"/>
              <w:jc w:val="center"/>
              <w:rPr>
                <w:rFonts w:cstheme="minorHAnsi"/>
                <w:sz w:val="14"/>
                <w:szCs w:val="14"/>
              </w:rPr>
            </w:pPr>
          </w:p>
        </w:tc>
        <w:tc>
          <w:tcPr>
            <w:tcW w:w="933" w:type="dxa"/>
            <w:vMerge/>
            <w:shd w:val="clear" w:color="auto" w:fill="FFF1CC"/>
            <w:vAlign w:val="center"/>
          </w:tcPr>
          <w:p w14:paraId="111002A7" w14:textId="77777777" w:rsidR="00E541EE" w:rsidRPr="00A02E43" w:rsidRDefault="00E541EE" w:rsidP="00A84BB5">
            <w:pPr>
              <w:widowControl w:val="0"/>
              <w:autoSpaceDE w:val="0"/>
              <w:autoSpaceDN w:val="0"/>
              <w:spacing w:before="7"/>
              <w:jc w:val="center"/>
              <w:rPr>
                <w:rFonts w:cstheme="minorHAnsi"/>
                <w:sz w:val="14"/>
                <w:szCs w:val="14"/>
              </w:rPr>
            </w:pPr>
          </w:p>
        </w:tc>
        <w:tc>
          <w:tcPr>
            <w:tcW w:w="1417" w:type="dxa"/>
            <w:vMerge/>
            <w:vAlign w:val="center"/>
          </w:tcPr>
          <w:p w14:paraId="2E426D67" w14:textId="77777777" w:rsidR="00E541EE" w:rsidRPr="00A02E43" w:rsidRDefault="00E541EE" w:rsidP="00A84BB5">
            <w:pPr>
              <w:widowControl w:val="0"/>
              <w:autoSpaceDE w:val="0"/>
              <w:autoSpaceDN w:val="0"/>
              <w:spacing w:before="7"/>
              <w:jc w:val="center"/>
              <w:rPr>
                <w:rFonts w:cstheme="minorHAnsi"/>
                <w:sz w:val="14"/>
                <w:szCs w:val="14"/>
              </w:rPr>
            </w:pPr>
          </w:p>
        </w:tc>
        <w:tc>
          <w:tcPr>
            <w:tcW w:w="925" w:type="dxa"/>
            <w:vMerge/>
            <w:shd w:val="clear" w:color="auto" w:fill="FFF1CC"/>
            <w:vAlign w:val="center"/>
          </w:tcPr>
          <w:p w14:paraId="456BCCC1" w14:textId="77777777" w:rsidR="00E541EE" w:rsidRPr="00A02E43" w:rsidRDefault="00E541EE" w:rsidP="00A84BB5">
            <w:pPr>
              <w:widowControl w:val="0"/>
              <w:autoSpaceDE w:val="0"/>
              <w:autoSpaceDN w:val="0"/>
              <w:jc w:val="center"/>
              <w:rPr>
                <w:rFonts w:cstheme="minorHAnsi"/>
                <w:sz w:val="14"/>
                <w:szCs w:val="14"/>
              </w:rPr>
            </w:pPr>
          </w:p>
        </w:tc>
        <w:tc>
          <w:tcPr>
            <w:tcW w:w="892" w:type="dxa"/>
            <w:vMerge/>
            <w:tcBorders>
              <w:right w:val="single" w:sz="4" w:space="0" w:color="auto"/>
            </w:tcBorders>
            <w:vAlign w:val="center"/>
          </w:tcPr>
          <w:p w14:paraId="539AD4C4" w14:textId="77777777" w:rsidR="00E541EE" w:rsidRPr="00A02E43" w:rsidRDefault="00E541EE" w:rsidP="00A84BB5">
            <w:pPr>
              <w:spacing w:after="120"/>
              <w:jc w:val="center"/>
              <w:rPr>
                <w:rFonts w:cstheme="minorHAnsi"/>
                <w:sz w:val="14"/>
                <w:szCs w:val="14"/>
              </w:rPr>
            </w:pPr>
          </w:p>
        </w:tc>
        <w:tc>
          <w:tcPr>
            <w:tcW w:w="1145" w:type="dxa"/>
            <w:tcBorders>
              <w:top w:val="single" w:sz="4" w:space="0" w:color="auto"/>
              <w:left w:val="single" w:sz="4" w:space="0" w:color="auto"/>
              <w:bottom w:val="single" w:sz="4" w:space="0" w:color="auto"/>
              <w:right w:val="single" w:sz="4" w:space="0" w:color="auto"/>
            </w:tcBorders>
            <w:vAlign w:val="center"/>
          </w:tcPr>
          <w:p w14:paraId="75E13612" w14:textId="77777777" w:rsidR="00E541EE" w:rsidRPr="00A02E43" w:rsidRDefault="00E541EE" w:rsidP="00A84BB5">
            <w:pPr>
              <w:spacing w:after="120"/>
              <w:jc w:val="center"/>
              <w:rPr>
                <w:rFonts w:cstheme="minorHAnsi"/>
                <w:color w:val="FF0000"/>
                <w:sz w:val="14"/>
                <w:szCs w:val="14"/>
              </w:rPr>
            </w:pPr>
            <w:r w:rsidRPr="00A02E43">
              <w:rPr>
                <w:rFonts w:eastAsia="Times New Roman" w:cstheme="minorHAnsi"/>
                <w:sz w:val="14"/>
                <w:szCs w:val="14"/>
              </w:rPr>
              <w:t>Broj stipendista - deficitarne stipendije</w:t>
            </w:r>
          </w:p>
        </w:tc>
        <w:tc>
          <w:tcPr>
            <w:tcW w:w="997" w:type="dxa"/>
            <w:tcBorders>
              <w:top w:val="single" w:sz="4" w:space="0" w:color="auto"/>
              <w:left w:val="single" w:sz="4" w:space="0" w:color="auto"/>
              <w:bottom w:val="single" w:sz="4" w:space="0" w:color="auto"/>
              <w:right w:val="single" w:sz="4" w:space="0" w:color="auto"/>
            </w:tcBorders>
            <w:vAlign w:val="center"/>
          </w:tcPr>
          <w:p w14:paraId="5BE44CB2" w14:textId="77777777" w:rsidR="00E541EE" w:rsidRPr="00A02E43" w:rsidRDefault="00E541EE" w:rsidP="00A84BB5">
            <w:pPr>
              <w:spacing w:after="120"/>
              <w:jc w:val="center"/>
              <w:rPr>
                <w:rFonts w:cstheme="minorHAnsi"/>
                <w:sz w:val="14"/>
                <w:szCs w:val="14"/>
              </w:rPr>
            </w:pPr>
            <w:r w:rsidRPr="00A02E43">
              <w:rPr>
                <w:rFonts w:eastAsia="Times New Roman" w:cstheme="minorHAnsi"/>
                <w:sz w:val="14"/>
                <w:szCs w:val="14"/>
              </w:rPr>
              <w:t>7</w:t>
            </w:r>
          </w:p>
        </w:tc>
        <w:tc>
          <w:tcPr>
            <w:tcW w:w="709" w:type="dxa"/>
            <w:tcBorders>
              <w:top w:val="single" w:sz="4" w:space="0" w:color="auto"/>
              <w:left w:val="single" w:sz="4" w:space="0" w:color="auto"/>
              <w:bottom w:val="single" w:sz="4" w:space="0" w:color="auto"/>
              <w:right w:val="single" w:sz="4" w:space="0" w:color="auto"/>
            </w:tcBorders>
            <w:vAlign w:val="center"/>
          </w:tcPr>
          <w:p w14:paraId="605F21C1" w14:textId="77777777" w:rsidR="00E541EE" w:rsidRPr="00A02E43" w:rsidRDefault="00E541EE" w:rsidP="00A84BB5">
            <w:pPr>
              <w:spacing w:after="120"/>
              <w:jc w:val="center"/>
              <w:rPr>
                <w:rFonts w:cstheme="minorHAnsi"/>
                <w:sz w:val="14"/>
                <w:szCs w:val="14"/>
              </w:rPr>
            </w:pPr>
            <w:r w:rsidRPr="00A02E43">
              <w:rPr>
                <w:rFonts w:eastAsia="Times New Roman" w:cstheme="minorHAnsi"/>
                <w:sz w:val="14"/>
                <w:szCs w:val="14"/>
              </w:rPr>
              <w:t>8</w:t>
            </w:r>
          </w:p>
        </w:tc>
        <w:tc>
          <w:tcPr>
            <w:tcW w:w="567" w:type="dxa"/>
            <w:tcBorders>
              <w:top w:val="single" w:sz="4" w:space="0" w:color="auto"/>
              <w:left w:val="single" w:sz="4" w:space="0" w:color="auto"/>
              <w:bottom w:val="single" w:sz="4" w:space="0" w:color="auto"/>
              <w:right w:val="single" w:sz="4" w:space="0" w:color="auto"/>
            </w:tcBorders>
            <w:vAlign w:val="center"/>
          </w:tcPr>
          <w:p w14:paraId="3C9EC1D4" w14:textId="77777777" w:rsidR="00E541EE" w:rsidRPr="00A02E43" w:rsidRDefault="00E541EE" w:rsidP="00A84BB5">
            <w:pPr>
              <w:spacing w:after="120"/>
              <w:jc w:val="center"/>
              <w:rPr>
                <w:rFonts w:cstheme="minorHAnsi"/>
                <w:sz w:val="14"/>
                <w:szCs w:val="14"/>
              </w:rPr>
            </w:pPr>
            <w:r w:rsidRPr="00A02E43">
              <w:rPr>
                <w:rFonts w:eastAsia="Times New Roman" w:cstheme="minorHAnsi"/>
                <w:sz w:val="14"/>
                <w:szCs w:val="14"/>
              </w:rPr>
              <w:t>9</w:t>
            </w:r>
          </w:p>
        </w:tc>
        <w:tc>
          <w:tcPr>
            <w:tcW w:w="851" w:type="dxa"/>
            <w:tcBorders>
              <w:top w:val="single" w:sz="4" w:space="0" w:color="auto"/>
              <w:left w:val="single" w:sz="4" w:space="0" w:color="auto"/>
              <w:bottom w:val="single" w:sz="4" w:space="0" w:color="auto"/>
              <w:right w:val="single" w:sz="4" w:space="0" w:color="auto"/>
            </w:tcBorders>
            <w:vAlign w:val="center"/>
          </w:tcPr>
          <w:p w14:paraId="317EBE41" w14:textId="77777777" w:rsidR="00E541EE" w:rsidRPr="00A02E43" w:rsidRDefault="00E541EE" w:rsidP="00A84BB5">
            <w:pPr>
              <w:spacing w:after="120"/>
              <w:jc w:val="center"/>
              <w:rPr>
                <w:rFonts w:cstheme="minorHAnsi"/>
                <w:sz w:val="14"/>
                <w:szCs w:val="14"/>
              </w:rPr>
            </w:pPr>
            <w:r w:rsidRPr="00A02E43">
              <w:rPr>
                <w:rFonts w:eastAsia="Times New Roman" w:cstheme="minorHAnsi"/>
                <w:sz w:val="14"/>
                <w:szCs w:val="14"/>
              </w:rPr>
              <w:t>10</w:t>
            </w:r>
          </w:p>
        </w:tc>
      </w:tr>
      <w:tr w:rsidR="00E541EE" w:rsidRPr="002E3985" w14:paraId="78302E0B" w14:textId="77777777" w:rsidTr="00F664F1">
        <w:trPr>
          <w:trHeight w:val="772"/>
        </w:trPr>
        <w:tc>
          <w:tcPr>
            <w:tcW w:w="886" w:type="dxa"/>
            <w:vMerge/>
            <w:vAlign w:val="center"/>
          </w:tcPr>
          <w:p w14:paraId="7B38F752" w14:textId="77777777" w:rsidR="00E541EE" w:rsidRPr="00A02E43" w:rsidRDefault="00E541EE" w:rsidP="00A84BB5">
            <w:pPr>
              <w:widowControl w:val="0"/>
              <w:autoSpaceDE w:val="0"/>
              <w:autoSpaceDN w:val="0"/>
              <w:spacing w:before="49"/>
              <w:ind w:left="44" w:right="35"/>
              <w:jc w:val="center"/>
              <w:rPr>
                <w:rFonts w:cstheme="minorHAnsi"/>
                <w:b/>
                <w:sz w:val="14"/>
                <w:szCs w:val="14"/>
              </w:rPr>
            </w:pPr>
          </w:p>
        </w:tc>
        <w:tc>
          <w:tcPr>
            <w:tcW w:w="885" w:type="dxa"/>
            <w:vMerge/>
            <w:vAlign w:val="center"/>
          </w:tcPr>
          <w:p w14:paraId="5375055D" w14:textId="77777777" w:rsidR="00E541EE" w:rsidRPr="00A02E43" w:rsidRDefault="00E541EE" w:rsidP="00A84BB5">
            <w:pPr>
              <w:widowControl w:val="0"/>
              <w:autoSpaceDE w:val="0"/>
              <w:autoSpaceDN w:val="0"/>
              <w:jc w:val="center"/>
              <w:rPr>
                <w:rFonts w:cstheme="minorHAnsi"/>
                <w:sz w:val="14"/>
                <w:szCs w:val="14"/>
              </w:rPr>
            </w:pPr>
          </w:p>
        </w:tc>
        <w:tc>
          <w:tcPr>
            <w:tcW w:w="933" w:type="dxa"/>
            <w:vMerge/>
            <w:shd w:val="clear" w:color="auto" w:fill="FFF1CC"/>
            <w:vAlign w:val="center"/>
          </w:tcPr>
          <w:p w14:paraId="4B5BB54C" w14:textId="77777777" w:rsidR="00E541EE" w:rsidRPr="00A02E43" w:rsidRDefault="00E541EE" w:rsidP="00A84BB5">
            <w:pPr>
              <w:widowControl w:val="0"/>
              <w:autoSpaceDE w:val="0"/>
              <w:autoSpaceDN w:val="0"/>
              <w:spacing w:before="7"/>
              <w:jc w:val="center"/>
              <w:rPr>
                <w:rFonts w:cstheme="minorHAnsi"/>
                <w:sz w:val="14"/>
                <w:szCs w:val="14"/>
              </w:rPr>
            </w:pPr>
          </w:p>
        </w:tc>
        <w:tc>
          <w:tcPr>
            <w:tcW w:w="1417" w:type="dxa"/>
            <w:vMerge/>
            <w:vAlign w:val="center"/>
          </w:tcPr>
          <w:p w14:paraId="18470FC2" w14:textId="77777777" w:rsidR="00E541EE" w:rsidRPr="00A02E43" w:rsidRDefault="00E541EE" w:rsidP="00A84BB5">
            <w:pPr>
              <w:widowControl w:val="0"/>
              <w:autoSpaceDE w:val="0"/>
              <w:autoSpaceDN w:val="0"/>
              <w:spacing w:before="7"/>
              <w:jc w:val="center"/>
              <w:rPr>
                <w:rFonts w:cstheme="minorHAnsi"/>
                <w:sz w:val="14"/>
                <w:szCs w:val="14"/>
              </w:rPr>
            </w:pPr>
          </w:p>
        </w:tc>
        <w:tc>
          <w:tcPr>
            <w:tcW w:w="925" w:type="dxa"/>
            <w:vMerge/>
            <w:shd w:val="clear" w:color="auto" w:fill="FFF1CC"/>
            <w:vAlign w:val="center"/>
          </w:tcPr>
          <w:p w14:paraId="79345592" w14:textId="77777777" w:rsidR="00E541EE" w:rsidRPr="00A02E43" w:rsidRDefault="00E541EE" w:rsidP="00A84BB5">
            <w:pPr>
              <w:widowControl w:val="0"/>
              <w:autoSpaceDE w:val="0"/>
              <w:autoSpaceDN w:val="0"/>
              <w:jc w:val="center"/>
              <w:rPr>
                <w:rFonts w:cstheme="minorHAnsi"/>
                <w:sz w:val="14"/>
                <w:szCs w:val="14"/>
              </w:rPr>
            </w:pPr>
          </w:p>
        </w:tc>
        <w:tc>
          <w:tcPr>
            <w:tcW w:w="892" w:type="dxa"/>
            <w:vMerge/>
            <w:tcBorders>
              <w:right w:val="single" w:sz="4" w:space="0" w:color="auto"/>
            </w:tcBorders>
            <w:vAlign w:val="center"/>
          </w:tcPr>
          <w:p w14:paraId="67C3C8E8" w14:textId="77777777" w:rsidR="00E541EE" w:rsidRPr="00A02E43" w:rsidRDefault="00E541EE" w:rsidP="00A84BB5">
            <w:pPr>
              <w:spacing w:after="120"/>
              <w:jc w:val="center"/>
              <w:rPr>
                <w:rFonts w:cstheme="minorHAnsi"/>
                <w:sz w:val="14"/>
                <w:szCs w:val="14"/>
              </w:rPr>
            </w:pPr>
          </w:p>
        </w:tc>
        <w:tc>
          <w:tcPr>
            <w:tcW w:w="1145" w:type="dxa"/>
            <w:tcBorders>
              <w:top w:val="single" w:sz="4" w:space="0" w:color="auto"/>
              <w:left w:val="single" w:sz="4" w:space="0" w:color="auto"/>
              <w:bottom w:val="single" w:sz="4" w:space="0" w:color="auto"/>
              <w:right w:val="single" w:sz="4" w:space="0" w:color="auto"/>
            </w:tcBorders>
            <w:vAlign w:val="center"/>
          </w:tcPr>
          <w:p w14:paraId="5CFF6AAF" w14:textId="77777777" w:rsidR="00E541EE" w:rsidRPr="00A02E43" w:rsidRDefault="00E541EE" w:rsidP="00A84BB5">
            <w:pPr>
              <w:spacing w:after="120"/>
              <w:jc w:val="center"/>
              <w:rPr>
                <w:rFonts w:cstheme="minorHAnsi"/>
                <w:sz w:val="14"/>
                <w:szCs w:val="14"/>
              </w:rPr>
            </w:pPr>
            <w:r w:rsidRPr="00A02E43">
              <w:rPr>
                <w:rFonts w:eastAsia="Times New Roman" w:cstheme="minorHAnsi"/>
                <w:sz w:val="14"/>
                <w:szCs w:val="14"/>
              </w:rPr>
              <w:t>Broj stipendista - socijalne stipendije</w:t>
            </w:r>
          </w:p>
        </w:tc>
        <w:tc>
          <w:tcPr>
            <w:tcW w:w="997" w:type="dxa"/>
            <w:tcBorders>
              <w:top w:val="single" w:sz="4" w:space="0" w:color="auto"/>
              <w:left w:val="single" w:sz="4" w:space="0" w:color="auto"/>
              <w:bottom w:val="single" w:sz="4" w:space="0" w:color="auto"/>
              <w:right w:val="single" w:sz="4" w:space="0" w:color="auto"/>
            </w:tcBorders>
            <w:vAlign w:val="center"/>
          </w:tcPr>
          <w:p w14:paraId="4DACA5D2" w14:textId="77777777" w:rsidR="00E541EE" w:rsidRPr="00A02E43" w:rsidRDefault="00E541EE" w:rsidP="00A84BB5">
            <w:pPr>
              <w:spacing w:after="120"/>
              <w:jc w:val="center"/>
              <w:rPr>
                <w:rFonts w:cstheme="minorHAnsi"/>
                <w:sz w:val="14"/>
                <w:szCs w:val="14"/>
              </w:rPr>
            </w:pPr>
            <w:r w:rsidRPr="00A02E43">
              <w:rPr>
                <w:rFonts w:eastAsia="Times New Roman" w:cstheme="minorHAnsi"/>
                <w:sz w:val="14"/>
                <w:szCs w:val="14"/>
              </w:rPr>
              <w:t>7</w:t>
            </w:r>
          </w:p>
        </w:tc>
        <w:tc>
          <w:tcPr>
            <w:tcW w:w="709" w:type="dxa"/>
            <w:tcBorders>
              <w:top w:val="single" w:sz="4" w:space="0" w:color="auto"/>
              <w:left w:val="single" w:sz="4" w:space="0" w:color="auto"/>
              <w:bottom w:val="single" w:sz="4" w:space="0" w:color="auto"/>
              <w:right w:val="single" w:sz="4" w:space="0" w:color="auto"/>
            </w:tcBorders>
            <w:vAlign w:val="center"/>
          </w:tcPr>
          <w:p w14:paraId="736258DB" w14:textId="77777777" w:rsidR="00E541EE" w:rsidRPr="00A02E43" w:rsidRDefault="00E541EE" w:rsidP="00A84BB5">
            <w:pPr>
              <w:spacing w:after="120"/>
              <w:jc w:val="center"/>
              <w:rPr>
                <w:rFonts w:cstheme="minorHAnsi"/>
                <w:sz w:val="14"/>
                <w:szCs w:val="14"/>
              </w:rPr>
            </w:pPr>
            <w:r w:rsidRPr="00A02E43">
              <w:rPr>
                <w:rFonts w:eastAsia="Times New Roman" w:cstheme="minorHAnsi"/>
                <w:sz w:val="14"/>
                <w:szCs w:val="14"/>
              </w:rPr>
              <w:t>9</w:t>
            </w:r>
          </w:p>
        </w:tc>
        <w:tc>
          <w:tcPr>
            <w:tcW w:w="567" w:type="dxa"/>
            <w:tcBorders>
              <w:top w:val="single" w:sz="4" w:space="0" w:color="auto"/>
              <w:left w:val="single" w:sz="4" w:space="0" w:color="auto"/>
              <w:bottom w:val="single" w:sz="4" w:space="0" w:color="auto"/>
              <w:right w:val="single" w:sz="4" w:space="0" w:color="auto"/>
            </w:tcBorders>
            <w:vAlign w:val="center"/>
          </w:tcPr>
          <w:p w14:paraId="1EF7B528" w14:textId="77777777" w:rsidR="00E541EE" w:rsidRPr="00A02E43" w:rsidRDefault="00E541EE" w:rsidP="00A84BB5">
            <w:pPr>
              <w:spacing w:after="120"/>
              <w:jc w:val="center"/>
              <w:rPr>
                <w:rFonts w:cstheme="minorHAnsi"/>
                <w:sz w:val="14"/>
                <w:szCs w:val="14"/>
              </w:rPr>
            </w:pPr>
            <w:r w:rsidRPr="00A02E43">
              <w:rPr>
                <w:rFonts w:eastAsia="Times New Roman" w:cstheme="minorHAnsi"/>
                <w:sz w:val="14"/>
                <w:szCs w:val="14"/>
              </w:rPr>
              <w:t>11</w:t>
            </w:r>
          </w:p>
        </w:tc>
        <w:tc>
          <w:tcPr>
            <w:tcW w:w="851" w:type="dxa"/>
            <w:tcBorders>
              <w:top w:val="single" w:sz="4" w:space="0" w:color="auto"/>
              <w:left w:val="single" w:sz="4" w:space="0" w:color="auto"/>
              <w:bottom w:val="single" w:sz="4" w:space="0" w:color="auto"/>
              <w:right w:val="single" w:sz="4" w:space="0" w:color="auto"/>
            </w:tcBorders>
            <w:vAlign w:val="center"/>
          </w:tcPr>
          <w:p w14:paraId="1FED9314" w14:textId="77777777" w:rsidR="00E541EE" w:rsidRPr="00A02E43" w:rsidRDefault="00E541EE" w:rsidP="00A84BB5">
            <w:pPr>
              <w:spacing w:after="120"/>
              <w:jc w:val="center"/>
              <w:rPr>
                <w:rFonts w:cstheme="minorHAnsi"/>
                <w:sz w:val="14"/>
                <w:szCs w:val="14"/>
              </w:rPr>
            </w:pPr>
            <w:r w:rsidRPr="00A02E43">
              <w:rPr>
                <w:rFonts w:eastAsia="Times New Roman" w:cstheme="minorHAnsi"/>
                <w:sz w:val="14"/>
                <w:szCs w:val="14"/>
              </w:rPr>
              <w:t>13</w:t>
            </w:r>
          </w:p>
        </w:tc>
      </w:tr>
      <w:tr w:rsidR="00E541EE" w:rsidRPr="002E3985" w14:paraId="0FB70D44" w14:textId="77777777" w:rsidTr="00F664F1">
        <w:trPr>
          <w:trHeight w:val="1759"/>
        </w:trPr>
        <w:tc>
          <w:tcPr>
            <w:tcW w:w="886" w:type="dxa"/>
            <w:vMerge/>
            <w:vAlign w:val="center"/>
          </w:tcPr>
          <w:p w14:paraId="6B635CA5" w14:textId="77777777" w:rsidR="00E541EE" w:rsidRPr="00A02E43" w:rsidRDefault="00E541EE" w:rsidP="00A84BB5">
            <w:pPr>
              <w:widowControl w:val="0"/>
              <w:autoSpaceDE w:val="0"/>
              <w:autoSpaceDN w:val="0"/>
              <w:spacing w:before="49"/>
              <w:ind w:left="44" w:right="35"/>
              <w:jc w:val="center"/>
              <w:rPr>
                <w:rFonts w:cstheme="minorHAnsi"/>
                <w:b/>
                <w:sz w:val="14"/>
                <w:szCs w:val="14"/>
              </w:rPr>
            </w:pPr>
          </w:p>
        </w:tc>
        <w:tc>
          <w:tcPr>
            <w:tcW w:w="885" w:type="dxa"/>
            <w:vMerge/>
            <w:vAlign w:val="center"/>
          </w:tcPr>
          <w:p w14:paraId="5DE6217F" w14:textId="77777777" w:rsidR="00E541EE" w:rsidRPr="00A02E43" w:rsidRDefault="00E541EE" w:rsidP="00A84BB5">
            <w:pPr>
              <w:widowControl w:val="0"/>
              <w:autoSpaceDE w:val="0"/>
              <w:autoSpaceDN w:val="0"/>
              <w:jc w:val="center"/>
              <w:rPr>
                <w:rFonts w:cstheme="minorHAnsi"/>
                <w:sz w:val="14"/>
                <w:szCs w:val="14"/>
              </w:rPr>
            </w:pPr>
          </w:p>
        </w:tc>
        <w:tc>
          <w:tcPr>
            <w:tcW w:w="933" w:type="dxa"/>
            <w:vMerge/>
            <w:shd w:val="clear" w:color="auto" w:fill="FFF1CC"/>
            <w:vAlign w:val="center"/>
          </w:tcPr>
          <w:p w14:paraId="609FF334" w14:textId="77777777" w:rsidR="00E541EE" w:rsidRPr="00A02E43" w:rsidRDefault="00E541EE" w:rsidP="00A84BB5">
            <w:pPr>
              <w:widowControl w:val="0"/>
              <w:autoSpaceDE w:val="0"/>
              <w:autoSpaceDN w:val="0"/>
              <w:spacing w:before="7"/>
              <w:jc w:val="center"/>
              <w:rPr>
                <w:rFonts w:cstheme="minorHAnsi"/>
                <w:sz w:val="14"/>
                <w:szCs w:val="14"/>
              </w:rPr>
            </w:pPr>
          </w:p>
        </w:tc>
        <w:tc>
          <w:tcPr>
            <w:tcW w:w="1417" w:type="dxa"/>
            <w:vMerge/>
            <w:vAlign w:val="center"/>
          </w:tcPr>
          <w:p w14:paraId="73420B92" w14:textId="77777777" w:rsidR="00E541EE" w:rsidRPr="00A02E43" w:rsidRDefault="00E541EE" w:rsidP="00A84BB5">
            <w:pPr>
              <w:widowControl w:val="0"/>
              <w:autoSpaceDE w:val="0"/>
              <w:autoSpaceDN w:val="0"/>
              <w:spacing w:before="7"/>
              <w:jc w:val="center"/>
              <w:rPr>
                <w:rFonts w:cstheme="minorHAnsi"/>
                <w:sz w:val="14"/>
                <w:szCs w:val="14"/>
              </w:rPr>
            </w:pPr>
          </w:p>
        </w:tc>
        <w:tc>
          <w:tcPr>
            <w:tcW w:w="925" w:type="dxa"/>
            <w:vMerge/>
            <w:shd w:val="clear" w:color="auto" w:fill="FFF1CC"/>
            <w:vAlign w:val="center"/>
          </w:tcPr>
          <w:p w14:paraId="47C2DFA4" w14:textId="77777777" w:rsidR="00E541EE" w:rsidRPr="00A02E43" w:rsidRDefault="00E541EE" w:rsidP="00A84BB5">
            <w:pPr>
              <w:widowControl w:val="0"/>
              <w:autoSpaceDE w:val="0"/>
              <w:autoSpaceDN w:val="0"/>
              <w:jc w:val="center"/>
              <w:rPr>
                <w:rFonts w:cstheme="minorHAnsi"/>
                <w:sz w:val="14"/>
                <w:szCs w:val="14"/>
              </w:rPr>
            </w:pPr>
          </w:p>
        </w:tc>
        <w:tc>
          <w:tcPr>
            <w:tcW w:w="892" w:type="dxa"/>
            <w:vMerge/>
            <w:tcBorders>
              <w:right w:val="single" w:sz="4" w:space="0" w:color="auto"/>
            </w:tcBorders>
            <w:vAlign w:val="center"/>
          </w:tcPr>
          <w:p w14:paraId="1A0A7D4F" w14:textId="77777777" w:rsidR="00E541EE" w:rsidRPr="00A02E43" w:rsidRDefault="00E541EE" w:rsidP="00A84BB5">
            <w:pPr>
              <w:spacing w:after="120"/>
              <w:jc w:val="center"/>
              <w:rPr>
                <w:rFonts w:cstheme="minorHAnsi"/>
                <w:sz w:val="14"/>
                <w:szCs w:val="14"/>
              </w:rPr>
            </w:pPr>
          </w:p>
        </w:tc>
        <w:tc>
          <w:tcPr>
            <w:tcW w:w="1145" w:type="dxa"/>
            <w:tcBorders>
              <w:top w:val="single" w:sz="4" w:space="0" w:color="auto"/>
              <w:left w:val="single" w:sz="4" w:space="0" w:color="auto"/>
              <w:bottom w:val="single" w:sz="4" w:space="0" w:color="auto"/>
              <w:right w:val="single" w:sz="4" w:space="0" w:color="auto"/>
            </w:tcBorders>
            <w:vAlign w:val="center"/>
          </w:tcPr>
          <w:p w14:paraId="1F75F44D" w14:textId="77777777" w:rsidR="00E541EE" w:rsidRPr="00A02E43" w:rsidRDefault="00E541EE" w:rsidP="00A84BB5">
            <w:pPr>
              <w:spacing w:after="120"/>
              <w:jc w:val="center"/>
              <w:rPr>
                <w:rFonts w:cstheme="minorHAnsi"/>
                <w:sz w:val="14"/>
                <w:szCs w:val="14"/>
              </w:rPr>
            </w:pPr>
            <w:r w:rsidRPr="00A02E43">
              <w:rPr>
                <w:rFonts w:cstheme="minorHAnsi"/>
                <w:sz w:val="14"/>
                <w:szCs w:val="14"/>
              </w:rPr>
              <w:t>16.1. Deficitarne stipendije za predškolski odgoj i osnovno i srednje obrazovanje</w:t>
            </w:r>
          </w:p>
        </w:tc>
        <w:tc>
          <w:tcPr>
            <w:tcW w:w="9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29F515" w14:textId="77777777" w:rsidR="00E541EE" w:rsidRPr="00A02E43" w:rsidRDefault="00E541EE" w:rsidP="00A84BB5">
            <w:pPr>
              <w:spacing w:after="120"/>
              <w:jc w:val="center"/>
              <w:rPr>
                <w:rFonts w:cstheme="minorHAnsi"/>
                <w:sz w:val="14"/>
                <w:szCs w:val="14"/>
              </w:rPr>
            </w:pPr>
            <w:r w:rsidRPr="00A02E43">
              <w:rPr>
                <w:rFonts w:eastAsia="Times New Roman" w:cstheme="minorHAnsi"/>
                <w:sz w:val="14"/>
                <w:szCs w:val="14"/>
              </w:rPr>
              <w:t>4</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ABE890" w14:textId="77777777" w:rsidR="00E541EE" w:rsidRPr="00A02E43" w:rsidRDefault="00E541EE" w:rsidP="00A84BB5">
            <w:pPr>
              <w:spacing w:after="120"/>
              <w:jc w:val="center"/>
              <w:rPr>
                <w:rFonts w:cstheme="minorHAnsi"/>
                <w:color w:val="FF0000"/>
                <w:sz w:val="14"/>
                <w:szCs w:val="14"/>
              </w:rPr>
            </w:pPr>
            <w:r w:rsidRPr="00A02E43">
              <w:rPr>
                <w:rFonts w:eastAsia="Times New Roman" w:cstheme="minorHAnsi"/>
                <w:sz w:val="14"/>
                <w:szCs w:val="14"/>
              </w:rPr>
              <w:t>5</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05D685" w14:textId="77777777" w:rsidR="00E541EE" w:rsidRPr="00A02E43" w:rsidRDefault="00E541EE" w:rsidP="00A84BB5">
            <w:pPr>
              <w:spacing w:after="120"/>
              <w:jc w:val="center"/>
              <w:rPr>
                <w:rFonts w:cstheme="minorHAnsi"/>
                <w:color w:val="FF0000"/>
                <w:sz w:val="14"/>
                <w:szCs w:val="14"/>
              </w:rPr>
            </w:pPr>
            <w:r w:rsidRPr="00A02E43">
              <w:rPr>
                <w:rFonts w:eastAsia="Times New Roman" w:cstheme="minorHAnsi"/>
                <w:sz w:val="14"/>
                <w:szCs w:val="14"/>
              </w:rPr>
              <w:t>5</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38FF8" w14:textId="77777777" w:rsidR="00E541EE" w:rsidRPr="00A02E43" w:rsidRDefault="00E541EE" w:rsidP="00A84BB5">
            <w:pPr>
              <w:spacing w:after="120"/>
              <w:jc w:val="center"/>
              <w:rPr>
                <w:rFonts w:cstheme="minorHAnsi"/>
                <w:color w:val="FF0000"/>
                <w:sz w:val="14"/>
                <w:szCs w:val="14"/>
              </w:rPr>
            </w:pPr>
            <w:r w:rsidRPr="00A02E43">
              <w:rPr>
                <w:rFonts w:eastAsia="Times New Roman" w:cstheme="minorHAnsi"/>
                <w:sz w:val="14"/>
                <w:szCs w:val="14"/>
              </w:rPr>
              <w:t>6</w:t>
            </w:r>
          </w:p>
        </w:tc>
      </w:tr>
      <w:tr w:rsidR="00E541EE" w:rsidRPr="002E3985" w14:paraId="37260F15" w14:textId="77777777" w:rsidTr="00F664F1">
        <w:trPr>
          <w:trHeight w:val="2113"/>
        </w:trPr>
        <w:tc>
          <w:tcPr>
            <w:tcW w:w="886" w:type="dxa"/>
            <w:vMerge/>
          </w:tcPr>
          <w:p w14:paraId="7C8499F4" w14:textId="77777777" w:rsidR="00E541EE" w:rsidRPr="002E3985" w:rsidRDefault="00E541EE" w:rsidP="00A84BB5">
            <w:pPr>
              <w:widowControl w:val="0"/>
              <w:autoSpaceDE w:val="0"/>
              <w:autoSpaceDN w:val="0"/>
              <w:spacing w:before="49"/>
              <w:ind w:left="44" w:right="35"/>
              <w:jc w:val="center"/>
              <w:rPr>
                <w:rFonts w:ascii="Arial" w:hAnsi="Arial" w:cs="Arial"/>
                <w:b/>
                <w:sz w:val="14"/>
                <w:szCs w:val="14"/>
              </w:rPr>
            </w:pPr>
          </w:p>
        </w:tc>
        <w:tc>
          <w:tcPr>
            <w:tcW w:w="885" w:type="dxa"/>
            <w:vMerge/>
          </w:tcPr>
          <w:p w14:paraId="061324F3" w14:textId="77777777" w:rsidR="00E541EE" w:rsidRPr="002E3985" w:rsidRDefault="00E541EE" w:rsidP="00A84BB5">
            <w:pPr>
              <w:widowControl w:val="0"/>
              <w:autoSpaceDE w:val="0"/>
              <w:autoSpaceDN w:val="0"/>
              <w:jc w:val="center"/>
              <w:rPr>
                <w:rFonts w:ascii="Arial" w:hAnsi="Arial" w:cs="Arial"/>
                <w:sz w:val="14"/>
                <w:szCs w:val="14"/>
              </w:rPr>
            </w:pPr>
          </w:p>
        </w:tc>
        <w:tc>
          <w:tcPr>
            <w:tcW w:w="933" w:type="dxa"/>
            <w:vMerge/>
            <w:shd w:val="clear" w:color="auto" w:fill="FFF1CC"/>
          </w:tcPr>
          <w:p w14:paraId="277D22C5" w14:textId="77777777" w:rsidR="00E541EE" w:rsidRPr="002E3985" w:rsidRDefault="00E541EE" w:rsidP="00A84BB5">
            <w:pPr>
              <w:widowControl w:val="0"/>
              <w:autoSpaceDE w:val="0"/>
              <w:autoSpaceDN w:val="0"/>
              <w:spacing w:before="7"/>
              <w:rPr>
                <w:rFonts w:ascii="Arial" w:hAnsi="Arial" w:cs="Arial"/>
                <w:sz w:val="14"/>
                <w:szCs w:val="14"/>
              </w:rPr>
            </w:pPr>
          </w:p>
        </w:tc>
        <w:tc>
          <w:tcPr>
            <w:tcW w:w="1417" w:type="dxa"/>
            <w:vMerge/>
          </w:tcPr>
          <w:p w14:paraId="06ABA4A7" w14:textId="77777777" w:rsidR="00E541EE" w:rsidRPr="002E3985" w:rsidRDefault="00E541EE" w:rsidP="00A84BB5">
            <w:pPr>
              <w:widowControl w:val="0"/>
              <w:autoSpaceDE w:val="0"/>
              <w:autoSpaceDN w:val="0"/>
              <w:spacing w:before="7"/>
              <w:rPr>
                <w:rFonts w:ascii="Arial" w:hAnsi="Arial" w:cs="Arial"/>
                <w:sz w:val="14"/>
                <w:szCs w:val="14"/>
              </w:rPr>
            </w:pPr>
          </w:p>
        </w:tc>
        <w:tc>
          <w:tcPr>
            <w:tcW w:w="925" w:type="dxa"/>
            <w:vMerge/>
            <w:shd w:val="clear" w:color="auto" w:fill="FFF1CC"/>
          </w:tcPr>
          <w:p w14:paraId="01D86048" w14:textId="77777777" w:rsidR="00E541EE" w:rsidRPr="002E3985" w:rsidRDefault="00E541EE" w:rsidP="00A84BB5">
            <w:pPr>
              <w:widowControl w:val="0"/>
              <w:autoSpaceDE w:val="0"/>
              <w:autoSpaceDN w:val="0"/>
              <w:rPr>
                <w:rFonts w:ascii="Arial" w:hAnsi="Arial" w:cs="Arial"/>
                <w:sz w:val="14"/>
                <w:szCs w:val="14"/>
              </w:rPr>
            </w:pPr>
          </w:p>
        </w:tc>
        <w:tc>
          <w:tcPr>
            <w:tcW w:w="892" w:type="dxa"/>
            <w:vMerge/>
            <w:tcBorders>
              <w:right w:val="single" w:sz="4" w:space="0" w:color="auto"/>
            </w:tcBorders>
          </w:tcPr>
          <w:p w14:paraId="64F253D1" w14:textId="77777777" w:rsidR="00E541EE" w:rsidRPr="002E3985" w:rsidRDefault="00E541EE" w:rsidP="00A84BB5">
            <w:pPr>
              <w:spacing w:after="120"/>
              <w:rPr>
                <w:rFonts w:ascii="Arial" w:hAnsi="Arial" w:cs="Arial"/>
                <w:sz w:val="14"/>
                <w:szCs w:val="14"/>
              </w:rPr>
            </w:pPr>
          </w:p>
        </w:tc>
        <w:tc>
          <w:tcPr>
            <w:tcW w:w="1145" w:type="dxa"/>
            <w:tcBorders>
              <w:top w:val="single" w:sz="4" w:space="0" w:color="auto"/>
              <w:left w:val="single" w:sz="4" w:space="0" w:color="auto"/>
              <w:bottom w:val="single" w:sz="4" w:space="0" w:color="auto"/>
              <w:right w:val="single" w:sz="4" w:space="0" w:color="auto"/>
            </w:tcBorders>
          </w:tcPr>
          <w:p w14:paraId="3F865278" w14:textId="77777777" w:rsidR="00E541EE" w:rsidRDefault="00E541EE" w:rsidP="00A84BB5">
            <w:pPr>
              <w:spacing w:after="120"/>
              <w:jc w:val="center"/>
              <w:rPr>
                <w:rFonts w:ascii="Arial" w:hAnsi="Arial" w:cs="Arial"/>
                <w:sz w:val="14"/>
                <w:szCs w:val="14"/>
              </w:rPr>
            </w:pPr>
          </w:p>
          <w:p w14:paraId="1F169266" w14:textId="77777777" w:rsidR="00E541EE" w:rsidRDefault="00E541EE" w:rsidP="00A84BB5">
            <w:pPr>
              <w:spacing w:after="120"/>
              <w:jc w:val="center"/>
              <w:rPr>
                <w:rFonts w:ascii="Arial" w:hAnsi="Arial" w:cs="Arial"/>
                <w:sz w:val="14"/>
                <w:szCs w:val="14"/>
              </w:rPr>
            </w:pPr>
          </w:p>
          <w:p w14:paraId="3FFB0D80" w14:textId="77777777" w:rsidR="00E541EE" w:rsidRPr="000E34ED" w:rsidRDefault="00E541EE" w:rsidP="00A84BB5">
            <w:pPr>
              <w:spacing w:after="120"/>
              <w:jc w:val="center"/>
              <w:rPr>
                <w:rFonts w:cstheme="minorHAnsi"/>
                <w:color w:val="FF0000"/>
                <w:sz w:val="14"/>
                <w:szCs w:val="14"/>
              </w:rPr>
            </w:pPr>
            <w:r w:rsidRPr="000E34ED">
              <w:rPr>
                <w:rFonts w:cstheme="minorHAnsi"/>
                <w:sz w:val="14"/>
                <w:szCs w:val="14"/>
              </w:rPr>
              <w:t>16.2. Osiguravanje smještaja kroz sufinanciranje</w:t>
            </w:r>
          </w:p>
        </w:tc>
        <w:tc>
          <w:tcPr>
            <w:tcW w:w="9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41B50E" w14:textId="77777777" w:rsidR="00E541EE" w:rsidRPr="002E3985" w:rsidRDefault="00E541EE" w:rsidP="00A84BB5">
            <w:pPr>
              <w:spacing w:after="120"/>
              <w:jc w:val="center"/>
              <w:rPr>
                <w:rFonts w:ascii="Arial" w:hAnsi="Arial" w:cs="Arial"/>
                <w:color w:val="FF0000"/>
                <w:sz w:val="14"/>
                <w:szCs w:val="14"/>
              </w:rPr>
            </w:pPr>
            <w:r w:rsidRPr="002E3985">
              <w:rPr>
                <w:rFonts w:ascii="Arial" w:eastAsia="Times New Roman" w:hAnsi="Arial" w:cs="Arial"/>
                <w:sz w:val="14"/>
                <w:szCs w:val="14"/>
              </w:rPr>
              <w:t>1</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CB8D7C" w14:textId="77777777" w:rsidR="00E541EE" w:rsidRPr="002E3985" w:rsidRDefault="00E541EE" w:rsidP="00A84BB5">
            <w:pPr>
              <w:spacing w:after="120"/>
              <w:jc w:val="center"/>
              <w:rPr>
                <w:rFonts w:ascii="Arial" w:hAnsi="Arial" w:cs="Arial"/>
                <w:color w:val="FF0000"/>
                <w:sz w:val="14"/>
                <w:szCs w:val="14"/>
              </w:rPr>
            </w:pPr>
            <w:r w:rsidRPr="002E3985">
              <w:rPr>
                <w:rFonts w:ascii="Arial" w:eastAsia="Times New Roman" w:hAnsi="Arial" w:cs="Arial"/>
                <w:sz w:val="14"/>
                <w:szCs w:val="14"/>
              </w:rPr>
              <w:t>3</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FFBF1E" w14:textId="77777777" w:rsidR="00E541EE" w:rsidRPr="002E3985" w:rsidRDefault="00E541EE" w:rsidP="00A84BB5">
            <w:pPr>
              <w:spacing w:after="120"/>
              <w:jc w:val="center"/>
              <w:rPr>
                <w:rFonts w:ascii="Arial" w:hAnsi="Arial" w:cs="Arial"/>
                <w:color w:val="FF0000"/>
                <w:sz w:val="14"/>
                <w:szCs w:val="14"/>
              </w:rPr>
            </w:pPr>
            <w:r w:rsidRPr="002E3985">
              <w:rPr>
                <w:rFonts w:ascii="Arial" w:eastAsia="Times New Roman" w:hAnsi="Arial" w:cs="Arial"/>
                <w:sz w:val="14"/>
                <w:szCs w:val="14"/>
              </w:rPr>
              <w:t>5</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539920" w14:textId="77777777" w:rsidR="00E541EE" w:rsidRPr="002E3985" w:rsidRDefault="00E541EE" w:rsidP="00A84BB5">
            <w:pPr>
              <w:spacing w:after="120"/>
              <w:jc w:val="center"/>
              <w:rPr>
                <w:rFonts w:ascii="Arial" w:hAnsi="Arial" w:cs="Arial"/>
                <w:color w:val="FF0000"/>
                <w:sz w:val="14"/>
                <w:szCs w:val="14"/>
              </w:rPr>
            </w:pPr>
            <w:r w:rsidRPr="002E3985">
              <w:rPr>
                <w:rFonts w:ascii="Arial" w:eastAsia="Times New Roman" w:hAnsi="Arial" w:cs="Arial"/>
                <w:sz w:val="14"/>
                <w:szCs w:val="14"/>
              </w:rPr>
              <w:t>6</w:t>
            </w:r>
          </w:p>
        </w:tc>
      </w:tr>
    </w:tbl>
    <w:p w14:paraId="4A1D63C8" w14:textId="77777777" w:rsidR="00E541EE" w:rsidRDefault="00E541EE" w:rsidP="00E541EE">
      <w:pPr>
        <w:jc w:val="both"/>
        <w:rPr>
          <w:rFonts w:ascii="Arial" w:eastAsia="Times New Roman" w:hAnsi="Arial" w:cs="Arial"/>
          <w:sz w:val="14"/>
          <w:szCs w:val="14"/>
        </w:rPr>
      </w:pPr>
    </w:p>
    <w:p w14:paraId="6489D09D" w14:textId="77777777" w:rsidR="00E541EE" w:rsidRPr="002E3985" w:rsidRDefault="00E541EE" w:rsidP="00E541EE">
      <w:pPr>
        <w:jc w:val="both"/>
        <w:rPr>
          <w:rFonts w:ascii="Arial" w:eastAsia="Times New Roman" w:hAnsi="Arial" w:cs="Arial"/>
          <w:sz w:val="14"/>
          <w:szCs w:val="14"/>
        </w:rPr>
      </w:pPr>
    </w:p>
    <w:p w14:paraId="1614F287"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AC2206">
        <w:rPr>
          <w:rFonts w:ascii="Arial" w:eastAsia="Times New Roman" w:hAnsi="Arial" w:cs="Arial"/>
          <w:b/>
          <w:bCs/>
          <w:sz w:val="24"/>
          <w:szCs w:val="24"/>
        </w:rPr>
        <w:t>A 102601: Prijevoz učenika osnovnih škola = 1</w:t>
      </w:r>
      <w:r>
        <w:rPr>
          <w:rFonts w:ascii="Arial" w:eastAsia="Times New Roman" w:hAnsi="Arial" w:cs="Arial"/>
          <w:b/>
          <w:bCs/>
          <w:sz w:val="24"/>
          <w:szCs w:val="24"/>
        </w:rPr>
        <w:t>3</w:t>
      </w:r>
      <w:r w:rsidRPr="00AC2206">
        <w:rPr>
          <w:rFonts w:ascii="Arial" w:eastAsia="Times New Roman" w:hAnsi="Arial" w:cs="Arial"/>
          <w:b/>
          <w:bCs/>
          <w:sz w:val="24"/>
          <w:szCs w:val="24"/>
        </w:rPr>
        <w:t>7.000,00 EUR</w:t>
      </w:r>
    </w:p>
    <w:p w14:paraId="3CA8D034"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Zakonska osnova</w:t>
      </w:r>
      <w:r w:rsidRPr="00AC2206">
        <w:rPr>
          <w:rFonts w:ascii="Arial" w:eastAsia="Times New Roman" w:hAnsi="Arial" w:cs="Arial"/>
          <w:b/>
          <w:sz w:val="24"/>
          <w:szCs w:val="24"/>
        </w:rPr>
        <w:t>:</w:t>
      </w:r>
      <w:r w:rsidRPr="00AC2206">
        <w:rPr>
          <w:rFonts w:ascii="Arial" w:eastAsia="Times New Roman" w:hAnsi="Arial" w:cs="Arial"/>
          <w:sz w:val="24"/>
          <w:szCs w:val="24"/>
        </w:rPr>
        <w:t xml:space="preserve"> Zakon o lokalnoj i područnoj (regionalnoj) samoupravi, Zakon o odgoju i obrazovanju u osnovnoj i srednjoj školi, Državni pedagoški standard osnovnoškolskog sustava odgoja i obrazovanja.</w:t>
      </w:r>
    </w:p>
    <w:p w14:paraId="33482658"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sz w:val="24"/>
          <w:szCs w:val="24"/>
        </w:rPr>
        <w:t>Opis:</w:t>
      </w:r>
      <w:r w:rsidRPr="00AC2206">
        <w:rPr>
          <w:rFonts w:ascii="Arial" w:eastAsia="Times New Roman" w:hAnsi="Arial" w:cs="Arial"/>
          <w:sz w:val="24"/>
          <w:szCs w:val="24"/>
        </w:rPr>
        <w:t xml:space="preserve"> iz ovih se sredstava financira prijevoz učenika osnovnih škola sukladno Zakonu o odgoju i obrazovanju učenika u osnovnim i srednjim školama iznosom od 1</w:t>
      </w:r>
      <w:r>
        <w:rPr>
          <w:rFonts w:ascii="Arial" w:eastAsia="Times New Roman" w:hAnsi="Arial" w:cs="Arial"/>
          <w:sz w:val="24"/>
          <w:szCs w:val="24"/>
        </w:rPr>
        <w:t>3</w:t>
      </w:r>
      <w:r w:rsidRPr="00AC2206">
        <w:rPr>
          <w:rFonts w:ascii="Arial" w:eastAsia="Times New Roman" w:hAnsi="Arial" w:cs="Arial"/>
          <w:sz w:val="24"/>
          <w:szCs w:val="24"/>
        </w:rPr>
        <w:t xml:space="preserve">7.000,00 </w:t>
      </w:r>
      <w:r>
        <w:rPr>
          <w:rFonts w:ascii="Arial" w:eastAsia="Times New Roman" w:hAnsi="Arial" w:cs="Arial"/>
          <w:sz w:val="24"/>
          <w:szCs w:val="24"/>
        </w:rPr>
        <w:t>eura</w:t>
      </w:r>
      <w:r w:rsidRPr="00AC2206">
        <w:rPr>
          <w:rFonts w:ascii="Arial" w:eastAsia="Times New Roman" w:hAnsi="Arial" w:cs="Arial"/>
          <w:sz w:val="24"/>
          <w:szCs w:val="24"/>
        </w:rPr>
        <w:t>.</w:t>
      </w:r>
    </w:p>
    <w:p w14:paraId="71F3D46F"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 xml:space="preserve">Opći cilj: </w:t>
      </w:r>
      <w:r w:rsidRPr="00AC2206">
        <w:rPr>
          <w:rFonts w:ascii="Arial" w:eastAsia="Times New Roman" w:hAnsi="Arial" w:cs="Arial"/>
          <w:bCs/>
          <w:sz w:val="24"/>
          <w:szCs w:val="24"/>
        </w:rPr>
        <w:t xml:space="preserve">osiguravanje dostupnosti osnovnoškolskog obrazovanja organiziranim prijevozom </w:t>
      </w:r>
      <w:r w:rsidRPr="00AC2206">
        <w:rPr>
          <w:rFonts w:ascii="Arial" w:eastAsia="Times New Roman" w:hAnsi="Arial" w:cs="Arial"/>
          <w:b/>
          <w:bCs/>
          <w:sz w:val="24"/>
          <w:szCs w:val="24"/>
        </w:rPr>
        <w:t xml:space="preserve"> </w:t>
      </w:r>
      <w:r w:rsidRPr="00AC2206">
        <w:rPr>
          <w:rFonts w:ascii="Arial" w:eastAsia="Times New Roman" w:hAnsi="Arial" w:cs="Arial"/>
          <w:bCs/>
          <w:sz w:val="24"/>
          <w:szCs w:val="24"/>
        </w:rPr>
        <w:t>učenicima  škola kojima je Grad Rovinj-Rovigno osnivač.</w:t>
      </w:r>
    </w:p>
    <w:p w14:paraId="322997B1"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 xml:space="preserve">Pokazatelj uspješnosti: </w:t>
      </w:r>
      <w:r w:rsidRPr="00AC2206">
        <w:rPr>
          <w:rFonts w:ascii="Arial" w:eastAsia="Times New Roman" w:hAnsi="Arial" w:cs="Arial"/>
          <w:bCs/>
          <w:sz w:val="24"/>
          <w:szCs w:val="24"/>
        </w:rPr>
        <w:t>osiguran prijevoz za sve učenike/putnike.</w:t>
      </w:r>
    </w:p>
    <w:p w14:paraId="00AD3467" w14:textId="77777777" w:rsidR="00E541EE" w:rsidRPr="00AC2206" w:rsidRDefault="00E541EE" w:rsidP="00E541EE">
      <w:pPr>
        <w:jc w:val="both"/>
        <w:rPr>
          <w:rFonts w:ascii="Arial" w:eastAsia="Times New Roman" w:hAnsi="Arial" w:cs="Arial"/>
          <w:sz w:val="24"/>
          <w:szCs w:val="24"/>
        </w:rPr>
      </w:pPr>
    </w:p>
    <w:p w14:paraId="0FBFF164"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AC2206">
        <w:rPr>
          <w:rFonts w:ascii="Arial" w:eastAsia="Times New Roman" w:hAnsi="Arial" w:cs="Arial"/>
          <w:b/>
          <w:bCs/>
          <w:sz w:val="24"/>
          <w:szCs w:val="24"/>
        </w:rPr>
        <w:t>A 102602: Grad prijatelj djece = 6.000,00 EUR</w:t>
      </w:r>
    </w:p>
    <w:p w14:paraId="519C55FB"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Zakonska osnova</w:t>
      </w:r>
      <w:r w:rsidRPr="00AC2206">
        <w:rPr>
          <w:rFonts w:ascii="Arial" w:eastAsia="Times New Roman" w:hAnsi="Arial" w:cs="Arial"/>
          <w:b/>
          <w:sz w:val="24"/>
          <w:szCs w:val="24"/>
        </w:rPr>
        <w:t>:</w:t>
      </w:r>
      <w:r w:rsidRPr="00AC2206">
        <w:rPr>
          <w:rFonts w:ascii="Arial" w:eastAsia="Times New Roman" w:hAnsi="Arial" w:cs="Arial"/>
          <w:sz w:val="24"/>
          <w:szCs w:val="24"/>
        </w:rPr>
        <w:t xml:space="preserve"> Zakon o lokalnoj i područnoj (regionalnoj) samoupravi.</w:t>
      </w:r>
    </w:p>
    <w:p w14:paraId="759B5C8E"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sz w:val="24"/>
          <w:szCs w:val="24"/>
        </w:rPr>
        <w:t xml:space="preserve">Opis: </w:t>
      </w:r>
      <w:r w:rsidRPr="00AC2206">
        <w:rPr>
          <w:rFonts w:ascii="Arial" w:eastAsia="Times New Roman" w:hAnsi="Arial" w:cs="Arial"/>
          <w:sz w:val="24"/>
          <w:szCs w:val="24"/>
        </w:rPr>
        <w:t xml:space="preserve">za potrebe provođenja aktivnosti u okviru akcije „Gradovi i općine prijatelji djece“ planirano je 6.000,00 </w:t>
      </w:r>
      <w:r>
        <w:rPr>
          <w:rFonts w:ascii="Arial" w:eastAsia="Times New Roman" w:hAnsi="Arial" w:cs="Arial"/>
          <w:sz w:val="24"/>
          <w:szCs w:val="24"/>
        </w:rPr>
        <w:t>eura</w:t>
      </w:r>
      <w:r w:rsidRPr="00AC2206">
        <w:rPr>
          <w:rFonts w:ascii="Arial" w:eastAsia="Times New Roman" w:hAnsi="Arial" w:cs="Arial"/>
          <w:sz w:val="24"/>
          <w:szCs w:val="24"/>
        </w:rPr>
        <w:t xml:space="preserve"> čime se osigurava rad i realizacija programa  Dječjeg gradskog vijeća, te sredstva za godišnju članarinu Saveza društava Naša djeca. Ujedno se ovim sredstvima osigurava sudjelovanje dječjih vijećnika na godišnjim susretima Dječjih vijeća i Gradova i općina prijatelja djece te aktivnosti koje su namijenjene djeci.</w:t>
      </w:r>
    </w:p>
    <w:p w14:paraId="643A97FD"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sz w:val="24"/>
          <w:szCs w:val="24"/>
        </w:rPr>
        <w:t>Opći cilj:</w:t>
      </w:r>
      <w:r w:rsidRPr="00AC2206">
        <w:rPr>
          <w:rFonts w:ascii="Arial" w:eastAsia="Times New Roman" w:hAnsi="Arial" w:cs="Arial"/>
          <w:sz w:val="24"/>
          <w:szCs w:val="24"/>
        </w:rPr>
        <w:t xml:space="preserve"> poticanje aktivne participacije djece u lokalnoj zajednici te osmišljavanje i provedba aktivnosti za djecu.</w:t>
      </w:r>
    </w:p>
    <w:p w14:paraId="36E5AE09" w14:textId="77777777" w:rsidR="00E541EE" w:rsidRPr="00AC2206" w:rsidRDefault="00E541EE" w:rsidP="00E541EE">
      <w:pPr>
        <w:jc w:val="both"/>
        <w:rPr>
          <w:rFonts w:ascii="Arial" w:eastAsia="Times New Roman" w:hAnsi="Arial" w:cs="Arial"/>
          <w:bCs/>
          <w:sz w:val="24"/>
          <w:szCs w:val="24"/>
        </w:rPr>
      </w:pPr>
      <w:r w:rsidRPr="00AC2206">
        <w:rPr>
          <w:rFonts w:ascii="Arial" w:eastAsia="Times New Roman" w:hAnsi="Arial" w:cs="Arial"/>
          <w:b/>
          <w:bCs/>
          <w:sz w:val="24"/>
          <w:szCs w:val="24"/>
        </w:rPr>
        <w:t xml:space="preserve">Pokazatelj uspješnosti: </w:t>
      </w:r>
      <w:r w:rsidRPr="00AC2206">
        <w:rPr>
          <w:rFonts w:ascii="Arial" w:eastAsia="Times New Roman" w:hAnsi="Arial" w:cs="Arial"/>
          <w:bCs/>
          <w:sz w:val="24"/>
          <w:szCs w:val="24"/>
        </w:rPr>
        <w:t>realizirane aktivnosti Dječjeg gradskog vijeća, sudjelovanje na susretima i drugim aktivnostima Saveza društava Naša djeca.</w:t>
      </w:r>
    </w:p>
    <w:p w14:paraId="2452630B" w14:textId="77777777" w:rsidR="00E541EE" w:rsidRPr="00AC2206" w:rsidRDefault="00E541EE" w:rsidP="00E541EE">
      <w:pPr>
        <w:jc w:val="both"/>
        <w:rPr>
          <w:rFonts w:ascii="Arial" w:eastAsia="Times New Roman" w:hAnsi="Arial" w:cs="Arial"/>
          <w:sz w:val="24"/>
          <w:szCs w:val="24"/>
        </w:rPr>
      </w:pPr>
    </w:p>
    <w:p w14:paraId="07AE5353"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sz w:val="24"/>
          <w:szCs w:val="24"/>
        </w:rPr>
      </w:pPr>
      <w:r w:rsidRPr="00AC2206">
        <w:rPr>
          <w:rFonts w:ascii="Arial" w:eastAsia="Times New Roman" w:hAnsi="Arial" w:cs="Arial"/>
          <w:b/>
          <w:bCs/>
          <w:sz w:val="24"/>
          <w:szCs w:val="24"/>
        </w:rPr>
        <w:t xml:space="preserve">A 102605: Savjetovalište za prehranu = </w:t>
      </w:r>
      <w:r>
        <w:rPr>
          <w:rFonts w:ascii="Arial" w:eastAsia="Times New Roman" w:hAnsi="Arial" w:cs="Arial"/>
          <w:b/>
          <w:bCs/>
          <w:sz w:val="24"/>
          <w:szCs w:val="24"/>
        </w:rPr>
        <w:t>3.920</w:t>
      </w:r>
      <w:r w:rsidRPr="00AC2206">
        <w:rPr>
          <w:rFonts w:ascii="Arial" w:eastAsia="Times New Roman" w:hAnsi="Arial" w:cs="Arial"/>
          <w:b/>
          <w:bCs/>
          <w:sz w:val="24"/>
          <w:szCs w:val="24"/>
        </w:rPr>
        <w:t>,00 EUR</w:t>
      </w:r>
    </w:p>
    <w:p w14:paraId="45BF3EB7" w14:textId="77777777" w:rsidR="00E541EE" w:rsidRPr="00AC2206" w:rsidRDefault="00E541EE" w:rsidP="00E541EE">
      <w:pPr>
        <w:jc w:val="both"/>
        <w:rPr>
          <w:rFonts w:ascii="Arial" w:eastAsia="Times New Roman" w:hAnsi="Arial" w:cs="Arial"/>
          <w:sz w:val="24"/>
          <w:szCs w:val="24"/>
          <w:shd w:val="clear" w:color="auto" w:fill="FFFFFF"/>
        </w:rPr>
      </w:pPr>
      <w:r w:rsidRPr="00AC2206">
        <w:rPr>
          <w:rFonts w:ascii="Arial" w:eastAsia="Times New Roman" w:hAnsi="Arial" w:cs="Arial"/>
          <w:b/>
          <w:bCs/>
          <w:sz w:val="24"/>
          <w:szCs w:val="24"/>
        </w:rPr>
        <w:t>Zakonska osnova</w:t>
      </w:r>
      <w:r w:rsidRPr="00AC2206">
        <w:rPr>
          <w:rFonts w:ascii="Arial" w:eastAsia="Times New Roman" w:hAnsi="Arial" w:cs="Arial"/>
          <w:b/>
          <w:sz w:val="24"/>
          <w:szCs w:val="24"/>
        </w:rPr>
        <w:t>:</w:t>
      </w:r>
      <w:r w:rsidRPr="00AC2206">
        <w:rPr>
          <w:rFonts w:ascii="Arial" w:eastAsia="Times New Roman" w:hAnsi="Arial" w:cs="Arial"/>
          <w:sz w:val="24"/>
          <w:szCs w:val="24"/>
        </w:rPr>
        <w:t xml:space="preserve"> Zakon o lokalnoj i područnoj (regionalnoj) samoupravi.</w:t>
      </w:r>
    </w:p>
    <w:p w14:paraId="54D5C8B9" w14:textId="77777777" w:rsidR="00E541EE" w:rsidRPr="00AC2206" w:rsidRDefault="00E541EE" w:rsidP="00E541EE">
      <w:pPr>
        <w:jc w:val="both"/>
        <w:rPr>
          <w:rFonts w:ascii="Arial" w:eastAsia="Times New Roman" w:hAnsi="Arial" w:cs="Arial"/>
          <w:sz w:val="24"/>
          <w:szCs w:val="24"/>
          <w:shd w:val="clear" w:color="auto" w:fill="FFFFFF"/>
        </w:rPr>
      </w:pPr>
      <w:r w:rsidRPr="00AC2206">
        <w:rPr>
          <w:rFonts w:ascii="Arial" w:eastAsia="Times New Roman" w:hAnsi="Arial" w:cs="Arial"/>
          <w:b/>
          <w:sz w:val="24"/>
          <w:szCs w:val="24"/>
        </w:rPr>
        <w:t xml:space="preserve">Opis: </w:t>
      </w:r>
      <w:r w:rsidRPr="00AC2206">
        <w:rPr>
          <w:rFonts w:ascii="Arial" w:eastAsia="Times New Roman" w:hAnsi="Arial" w:cs="Arial"/>
          <w:sz w:val="24"/>
          <w:szCs w:val="24"/>
          <w:shd w:val="clear" w:color="auto" w:fill="FFFFFF"/>
        </w:rPr>
        <w:t xml:space="preserve">savjetovalište za prehranu je jedna od aktivnosti županijskog javnozdravstvenog prioriteta: promocija zdravlja, prevencija i rano otkrivanje kroničnih nezaraznih bolesti. Naglasak rada savjetovališta je na prevenciji bolesti i promociji zdravlja. Aktivnosti Savjetovališta za prehranu namijenjene su svim  građanima, a posebno su usmjerene prema potrebama djece i njihovih roditelja, adolescenata, studenata i mladih, obzirom da je najbolje u najranijoj dobi usvojiti zdrave životne navike. </w:t>
      </w:r>
    </w:p>
    <w:p w14:paraId="28823DAC" w14:textId="77777777" w:rsidR="00E541EE" w:rsidRPr="00AC2206" w:rsidRDefault="00E541EE" w:rsidP="00E541EE">
      <w:pPr>
        <w:jc w:val="both"/>
        <w:rPr>
          <w:rFonts w:ascii="Arial" w:eastAsia="Times New Roman" w:hAnsi="Arial" w:cs="Arial"/>
          <w:sz w:val="24"/>
          <w:szCs w:val="24"/>
          <w:shd w:val="clear" w:color="auto" w:fill="FFFFFF"/>
        </w:rPr>
      </w:pPr>
      <w:r w:rsidRPr="00AC2206">
        <w:rPr>
          <w:rFonts w:ascii="Arial" w:eastAsia="Times New Roman" w:hAnsi="Arial" w:cs="Arial"/>
          <w:sz w:val="24"/>
          <w:szCs w:val="24"/>
          <w:shd w:val="clear" w:color="auto" w:fill="FFFFFF"/>
        </w:rPr>
        <w:t xml:space="preserve">U rad savjetovališta uključeni su brojni stručnjaci (magistri nutricionizma, specijalisti epidemiolozi, specijalisti školske medicine, psiholozi). </w:t>
      </w:r>
    </w:p>
    <w:p w14:paraId="2784A882" w14:textId="77777777" w:rsidR="00E541EE" w:rsidRPr="00AC2206" w:rsidRDefault="00E541EE" w:rsidP="00E541EE">
      <w:pPr>
        <w:jc w:val="both"/>
        <w:rPr>
          <w:rFonts w:ascii="Arial" w:eastAsia="Times New Roman" w:hAnsi="Arial" w:cs="Arial"/>
          <w:sz w:val="24"/>
          <w:szCs w:val="24"/>
          <w:shd w:val="clear" w:color="auto" w:fill="FFFFFF"/>
        </w:rPr>
      </w:pPr>
      <w:r w:rsidRPr="00AC2206">
        <w:rPr>
          <w:rFonts w:ascii="Arial" w:eastAsia="Times New Roman" w:hAnsi="Arial" w:cs="Arial"/>
          <w:b/>
          <w:sz w:val="24"/>
          <w:szCs w:val="24"/>
        </w:rPr>
        <w:t>Opći cilj:</w:t>
      </w:r>
      <w:r w:rsidRPr="00AC2206">
        <w:rPr>
          <w:rFonts w:ascii="Arial" w:eastAsia="Times New Roman" w:hAnsi="Arial" w:cs="Arial"/>
          <w:sz w:val="24"/>
          <w:szCs w:val="24"/>
          <w:shd w:val="clear" w:color="auto" w:fill="FFFFFF"/>
        </w:rPr>
        <w:t xml:space="preserve"> pružanje podrške svim korisnicima Savjetovališta u cilju poboljšanja i očuvanja vlastitoga zdravlja.</w:t>
      </w:r>
    </w:p>
    <w:p w14:paraId="27413F79" w14:textId="77777777" w:rsidR="00E541EE" w:rsidRPr="00AC2206" w:rsidRDefault="00E541EE" w:rsidP="00E541EE">
      <w:pPr>
        <w:jc w:val="both"/>
        <w:rPr>
          <w:rFonts w:ascii="Arial" w:eastAsia="Times New Roman" w:hAnsi="Arial" w:cs="Arial"/>
          <w:bCs/>
          <w:sz w:val="24"/>
          <w:szCs w:val="24"/>
        </w:rPr>
      </w:pPr>
      <w:r w:rsidRPr="00AC2206">
        <w:rPr>
          <w:rFonts w:ascii="Arial" w:eastAsia="Times New Roman" w:hAnsi="Arial" w:cs="Arial"/>
          <w:b/>
          <w:bCs/>
          <w:sz w:val="24"/>
          <w:szCs w:val="24"/>
        </w:rPr>
        <w:t xml:space="preserve">Pokazatelj uspješnosti: </w:t>
      </w:r>
      <w:r w:rsidRPr="00AC2206">
        <w:rPr>
          <w:rFonts w:ascii="Arial" w:eastAsia="Times New Roman" w:hAnsi="Arial" w:cs="Arial"/>
          <w:bCs/>
          <w:sz w:val="24"/>
          <w:szCs w:val="24"/>
        </w:rPr>
        <w:t>praćenje broja građana koji se obraćaju Savjetovalištu, usporedba pokazatelja o dolascima, ishodima i strukturi korisnika.</w:t>
      </w:r>
    </w:p>
    <w:p w14:paraId="0D2CB9EF" w14:textId="77777777" w:rsidR="00E541EE" w:rsidRPr="00AC2206" w:rsidRDefault="00E541EE" w:rsidP="00E541EE">
      <w:pPr>
        <w:jc w:val="both"/>
        <w:rPr>
          <w:rFonts w:ascii="Arial" w:eastAsia="Times New Roman" w:hAnsi="Arial" w:cs="Arial"/>
          <w:sz w:val="24"/>
          <w:szCs w:val="24"/>
        </w:rPr>
      </w:pPr>
    </w:p>
    <w:p w14:paraId="07E5C96A"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AC2206">
        <w:rPr>
          <w:rFonts w:ascii="Arial" w:eastAsia="Times New Roman" w:hAnsi="Arial" w:cs="Arial"/>
          <w:b/>
          <w:bCs/>
          <w:sz w:val="24"/>
          <w:szCs w:val="24"/>
        </w:rPr>
        <w:t xml:space="preserve">A 102607: Natjecanja učenika = </w:t>
      </w:r>
      <w:r>
        <w:rPr>
          <w:rFonts w:ascii="Arial" w:eastAsia="Times New Roman" w:hAnsi="Arial" w:cs="Arial"/>
          <w:b/>
          <w:bCs/>
          <w:sz w:val="24"/>
          <w:szCs w:val="24"/>
        </w:rPr>
        <w:t>9</w:t>
      </w:r>
      <w:r w:rsidRPr="00AC2206">
        <w:rPr>
          <w:rFonts w:ascii="Arial" w:eastAsia="Times New Roman" w:hAnsi="Arial" w:cs="Arial"/>
          <w:b/>
          <w:bCs/>
          <w:sz w:val="24"/>
          <w:szCs w:val="24"/>
        </w:rPr>
        <w:t>00,00 EUR</w:t>
      </w:r>
    </w:p>
    <w:p w14:paraId="156C94D8"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Zakonska osnova</w:t>
      </w:r>
      <w:r w:rsidRPr="00AC2206">
        <w:rPr>
          <w:rFonts w:ascii="Arial" w:eastAsia="Times New Roman" w:hAnsi="Arial" w:cs="Arial"/>
          <w:b/>
          <w:sz w:val="24"/>
          <w:szCs w:val="24"/>
        </w:rPr>
        <w:t>:</w:t>
      </w:r>
      <w:r w:rsidRPr="00AC2206">
        <w:rPr>
          <w:rFonts w:ascii="Arial" w:eastAsia="Times New Roman" w:hAnsi="Arial" w:cs="Arial"/>
          <w:sz w:val="24"/>
          <w:szCs w:val="24"/>
        </w:rPr>
        <w:t xml:space="preserve"> Zakon o lokalnoj i područnoj (regionalnoj) samoupravi, Zakon o odgoju i obrazovanju u osnovnoj i srednjoj školi.</w:t>
      </w:r>
    </w:p>
    <w:p w14:paraId="0196D1D4"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sz w:val="24"/>
          <w:szCs w:val="24"/>
        </w:rPr>
        <w:t>Opis:</w:t>
      </w:r>
      <w:r w:rsidRPr="00AC2206">
        <w:rPr>
          <w:rFonts w:ascii="Arial" w:eastAsia="Times New Roman" w:hAnsi="Arial" w:cs="Arial"/>
          <w:sz w:val="24"/>
          <w:szCs w:val="24"/>
        </w:rPr>
        <w:t xml:space="preserve"> ovim sredstvima osigurava se sufinanciranje sudjelovanja učenika srednjih  škola na Školi stvaralaštva „Novigradsko proljeće“</w:t>
      </w:r>
      <w:r>
        <w:rPr>
          <w:rFonts w:ascii="Arial" w:eastAsia="Times New Roman" w:hAnsi="Arial" w:cs="Arial"/>
          <w:sz w:val="24"/>
          <w:szCs w:val="24"/>
        </w:rPr>
        <w:t>. Osnovne škole predvidjele su sredstva za natjecanja učenika u svojim financijskim planovima</w:t>
      </w:r>
    </w:p>
    <w:p w14:paraId="11FC5DB4"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sz w:val="24"/>
          <w:szCs w:val="24"/>
        </w:rPr>
        <w:t xml:space="preserve">Opći cilj:  </w:t>
      </w:r>
      <w:r w:rsidRPr="00AC2206">
        <w:rPr>
          <w:rFonts w:ascii="Arial" w:eastAsia="Times New Roman" w:hAnsi="Arial" w:cs="Arial"/>
          <w:sz w:val="24"/>
          <w:szCs w:val="24"/>
        </w:rPr>
        <w:t>poticanje darovitih učenika u jezično - umjetničkom području.</w:t>
      </w:r>
      <w:r w:rsidRPr="00AC2206">
        <w:rPr>
          <w:rFonts w:ascii="Arial" w:eastAsia="Times New Roman" w:hAnsi="Arial" w:cs="Arial"/>
          <w:b/>
          <w:sz w:val="24"/>
          <w:szCs w:val="24"/>
        </w:rPr>
        <w:t xml:space="preserve"> </w:t>
      </w:r>
    </w:p>
    <w:p w14:paraId="19A371E6"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 xml:space="preserve">Pokazatelj uspješnosti: </w:t>
      </w:r>
      <w:r w:rsidRPr="00AC2206">
        <w:rPr>
          <w:rFonts w:ascii="Arial" w:eastAsia="Times New Roman" w:hAnsi="Arial" w:cs="Arial"/>
          <w:bCs/>
          <w:sz w:val="24"/>
          <w:szCs w:val="24"/>
        </w:rPr>
        <w:t>sudjelovanje prijavljenih učenika na Školi stvaralaštva.</w:t>
      </w:r>
      <w:r w:rsidRPr="00AC2206">
        <w:rPr>
          <w:rFonts w:ascii="Arial" w:eastAsia="Times New Roman" w:hAnsi="Arial" w:cs="Arial"/>
          <w:b/>
          <w:bCs/>
          <w:sz w:val="24"/>
          <w:szCs w:val="24"/>
        </w:rPr>
        <w:t xml:space="preserve"> </w:t>
      </w:r>
    </w:p>
    <w:p w14:paraId="2E5549AD" w14:textId="77777777" w:rsidR="00E541EE" w:rsidRPr="00AC2206" w:rsidRDefault="00E541EE" w:rsidP="00E541EE">
      <w:pPr>
        <w:jc w:val="both"/>
        <w:rPr>
          <w:rFonts w:ascii="Arial" w:eastAsia="Times New Roman" w:hAnsi="Arial" w:cs="Arial"/>
          <w:sz w:val="24"/>
          <w:szCs w:val="24"/>
        </w:rPr>
      </w:pPr>
    </w:p>
    <w:p w14:paraId="18F84E20"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AC2206">
        <w:rPr>
          <w:rFonts w:ascii="Arial" w:eastAsia="Times New Roman" w:hAnsi="Arial" w:cs="Arial"/>
          <w:b/>
          <w:bCs/>
          <w:sz w:val="24"/>
          <w:szCs w:val="24"/>
        </w:rPr>
        <w:t>A 102608: Dječja ljetna kolonija = 1</w:t>
      </w:r>
      <w:r>
        <w:rPr>
          <w:rFonts w:ascii="Arial" w:eastAsia="Times New Roman" w:hAnsi="Arial" w:cs="Arial"/>
          <w:b/>
          <w:bCs/>
          <w:sz w:val="24"/>
          <w:szCs w:val="24"/>
        </w:rPr>
        <w:t>7</w:t>
      </w:r>
      <w:r w:rsidRPr="00AC2206">
        <w:rPr>
          <w:rFonts w:ascii="Arial" w:eastAsia="Times New Roman" w:hAnsi="Arial" w:cs="Arial"/>
          <w:b/>
          <w:bCs/>
          <w:sz w:val="24"/>
          <w:szCs w:val="24"/>
        </w:rPr>
        <w:t>.000,00 EUR</w:t>
      </w:r>
    </w:p>
    <w:p w14:paraId="08D9DC69"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Zakonska osnova</w:t>
      </w:r>
      <w:r w:rsidRPr="00AC2206">
        <w:rPr>
          <w:rFonts w:ascii="Arial" w:eastAsia="Times New Roman" w:hAnsi="Arial" w:cs="Arial"/>
          <w:b/>
          <w:sz w:val="24"/>
          <w:szCs w:val="24"/>
        </w:rPr>
        <w:t>:</w:t>
      </w:r>
      <w:r w:rsidRPr="00AC2206">
        <w:rPr>
          <w:rFonts w:ascii="Arial" w:eastAsia="Times New Roman" w:hAnsi="Arial" w:cs="Arial"/>
          <w:sz w:val="24"/>
          <w:szCs w:val="24"/>
        </w:rPr>
        <w:t xml:space="preserve"> Zakon o lokalnoj i područnoj (regionalnoj) samoupravi.</w:t>
      </w:r>
    </w:p>
    <w:p w14:paraId="28E95B82"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sz w:val="24"/>
          <w:szCs w:val="24"/>
        </w:rPr>
        <w:t>Opis:</w:t>
      </w:r>
      <w:r w:rsidRPr="00AC2206">
        <w:rPr>
          <w:rFonts w:ascii="Arial" w:eastAsia="Times New Roman" w:hAnsi="Arial" w:cs="Arial"/>
          <w:sz w:val="24"/>
          <w:szCs w:val="24"/>
        </w:rPr>
        <w:t xml:space="preserve"> sredstvima u iznosu od 1</w:t>
      </w:r>
      <w:r>
        <w:rPr>
          <w:rFonts w:ascii="Arial" w:eastAsia="Times New Roman" w:hAnsi="Arial" w:cs="Arial"/>
          <w:sz w:val="24"/>
          <w:szCs w:val="24"/>
        </w:rPr>
        <w:t>7</w:t>
      </w:r>
      <w:r w:rsidRPr="00AC2206">
        <w:rPr>
          <w:rFonts w:ascii="Arial" w:eastAsia="Times New Roman" w:hAnsi="Arial" w:cs="Arial"/>
          <w:sz w:val="24"/>
          <w:szCs w:val="24"/>
        </w:rPr>
        <w:t xml:space="preserve">.000,00 </w:t>
      </w:r>
      <w:r>
        <w:rPr>
          <w:rFonts w:ascii="Arial" w:eastAsia="Times New Roman" w:hAnsi="Arial" w:cs="Arial"/>
          <w:sz w:val="24"/>
          <w:szCs w:val="24"/>
        </w:rPr>
        <w:t xml:space="preserve">eura </w:t>
      </w:r>
      <w:r w:rsidRPr="00AC2206">
        <w:rPr>
          <w:rFonts w:ascii="Arial" w:eastAsia="Times New Roman" w:hAnsi="Arial" w:cs="Arial"/>
          <w:sz w:val="24"/>
          <w:szCs w:val="24"/>
        </w:rPr>
        <w:t>financirat će se dječje ljetne kolonije koje se organiziraju tijekom ljetnih mjeseci tj. za vrijeme školskih praznika. Ciljna skupina su djeca od 6 do 14 godina.</w:t>
      </w:r>
    </w:p>
    <w:p w14:paraId="1B6864A1"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sz w:val="24"/>
          <w:szCs w:val="24"/>
        </w:rPr>
        <w:t xml:space="preserve">Opći cilj:  </w:t>
      </w:r>
      <w:r w:rsidRPr="00AC2206">
        <w:rPr>
          <w:rFonts w:ascii="Arial" w:eastAsia="Times New Roman" w:hAnsi="Arial" w:cs="Arial"/>
          <w:sz w:val="24"/>
          <w:szCs w:val="24"/>
        </w:rPr>
        <w:t>organizirano provođenje slobodnog vremena djece.</w:t>
      </w:r>
      <w:r w:rsidRPr="00AC2206">
        <w:rPr>
          <w:rFonts w:ascii="Arial" w:eastAsia="Times New Roman" w:hAnsi="Arial" w:cs="Arial"/>
          <w:b/>
          <w:sz w:val="24"/>
          <w:szCs w:val="24"/>
        </w:rPr>
        <w:t xml:space="preserve"> </w:t>
      </w:r>
    </w:p>
    <w:p w14:paraId="0EE940E2"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 xml:space="preserve">Pokazatelj uspješnosti: </w:t>
      </w:r>
      <w:r w:rsidRPr="00AC2206">
        <w:rPr>
          <w:rFonts w:ascii="Arial" w:eastAsia="Times New Roman" w:hAnsi="Arial" w:cs="Arial"/>
          <w:bCs/>
          <w:sz w:val="24"/>
          <w:szCs w:val="24"/>
        </w:rPr>
        <w:t xml:space="preserve">realiziran program i obuhvat djece ciljne skupine, praćenje pokazatelja o broju djece.  </w:t>
      </w:r>
    </w:p>
    <w:p w14:paraId="256AC567" w14:textId="77777777" w:rsidR="00E541EE" w:rsidRPr="00AC2206" w:rsidRDefault="00E541EE" w:rsidP="00E541EE">
      <w:pPr>
        <w:jc w:val="both"/>
        <w:rPr>
          <w:rFonts w:ascii="Arial" w:eastAsia="Times New Roman" w:hAnsi="Arial" w:cs="Arial"/>
          <w:sz w:val="24"/>
          <w:szCs w:val="24"/>
        </w:rPr>
      </w:pPr>
    </w:p>
    <w:p w14:paraId="0C23D175"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AC2206">
        <w:rPr>
          <w:rFonts w:ascii="Arial" w:eastAsia="Times New Roman" w:hAnsi="Arial" w:cs="Arial"/>
          <w:b/>
          <w:bCs/>
          <w:sz w:val="24"/>
          <w:szCs w:val="24"/>
        </w:rPr>
        <w:t xml:space="preserve">A 102609: Pomoćnici učenicima s teškoćama u razvoju = </w:t>
      </w:r>
      <w:r>
        <w:rPr>
          <w:rFonts w:ascii="Arial" w:eastAsia="Times New Roman" w:hAnsi="Arial" w:cs="Arial"/>
          <w:b/>
          <w:bCs/>
          <w:sz w:val="24"/>
          <w:szCs w:val="24"/>
        </w:rPr>
        <w:t>182</w:t>
      </w:r>
      <w:r w:rsidRPr="00AC2206">
        <w:rPr>
          <w:rFonts w:ascii="Arial" w:eastAsia="Times New Roman" w:hAnsi="Arial" w:cs="Arial"/>
          <w:b/>
          <w:bCs/>
          <w:sz w:val="24"/>
          <w:szCs w:val="24"/>
        </w:rPr>
        <w:t>.</w:t>
      </w:r>
      <w:r>
        <w:rPr>
          <w:rFonts w:ascii="Arial" w:eastAsia="Times New Roman" w:hAnsi="Arial" w:cs="Arial"/>
          <w:b/>
          <w:bCs/>
          <w:sz w:val="24"/>
          <w:szCs w:val="24"/>
        </w:rPr>
        <w:t>0</w:t>
      </w:r>
      <w:r w:rsidRPr="00AC2206">
        <w:rPr>
          <w:rFonts w:ascii="Arial" w:eastAsia="Times New Roman" w:hAnsi="Arial" w:cs="Arial"/>
          <w:b/>
          <w:bCs/>
          <w:sz w:val="24"/>
          <w:szCs w:val="24"/>
        </w:rPr>
        <w:t>00,00 EUR</w:t>
      </w:r>
    </w:p>
    <w:p w14:paraId="552726D8"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Zakonska osnova</w:t>
      </w:r>
      <w:r w:rsidRPr="00AC2206">
        <w:rPr>
          <w:rFonts w:ascii="Arial" w:eastAsia="Times New Roman" w:hAnsi="Arial" w:cs="Arial"/>
          <w:b/>
          <w:sz w:val="24"/>
          <w:szCs w:val="24"/>
        </w:rPr>
        <w:t>:</w:t>
      </w:r>
      <w:r w:rsidRPr="00AC2206">
        <w:rPr>
          <w:rFonts w:ascii="Arial" w:eastAsia="Times New Roman" w:hAnsi="Arial" w:cs="Arial"/>
          <w:sz w:val="24"/>
          <w:szCs w:val="24"/>
        </w:rPr>
        <w:t xml:space="preserve"> Zakon o lokalnoj i područnoj (regionalnoj) samoupravi, Zakon o odgoju i obrazovanju u osnovnoj i srednjoj školi, Državni pedagoški standard osnovnoškolskog sustava odgoja i obrazovanja.</w:t>
      </w:r>
    </w:p>
    <w:p w14:paraId="5A0A0A8A" w14:textId="77777777" w:rsidR="00E541EE" w:rsidRPr="00AC2206" w:rsidRDefault="00E541EE" w:rsidP="00E541EE">
      <w:pPr>
        <w:jc w:val="both"/>
        <w:rPr>
          <w:rFonts w:ascii="Arial" w:hAnsi="Arial" w:cs="Arial"/>
          <w:sz w:val="24"/>
          <w:szCs w:val="24"/>
        </w:rPr>
      </w:pPr>
      <w:r w:rsidRPr="00AC2206">
        <w:rPr>
          <w:rFonts w:ascii="Arial" w:eastAsia="Times New Roman" w:hAnsi="Arial" w:cs="Arial"/>
          <w:b/>
          <w:sz w:val="24"/>
          <w:szCs w:val="24"/>
        </w:rPr>
        <w:t>Opis:</w:t>
      </w:r>
      <w:r w:rsidRPr="00AC2206">
        <w:rPr>
          <w:rFonts w:ascii="Arial" w:eastAsia="Times New Roman" w:hAnsi="Arial" w:cs="Arial"/>
          <w:sz w:val="24"/>
          <w:szCs w:val="24"/>
        </w:rPr>
        <w:t xml:space="preserve"> </w:t>
      </w:r>
      <w:r>
        <w:rPr>
          <w:rFonts w:ascii="Arial" w:hAnsi="Arial" w:cs="Arial"/>
          <w:sz w:val="24"/>
          <w:szCs w:val="24"/>
        </w:rPr>
        <w:t>u</w:t>
      </w:r>
      <w:r w:rsidRPr="00AC2206">
        <w:rPr>
          <w:rFonts w:ascii="Arial" w:hAnsi="Arial" w:cs="Arial"/>
          <w:sz w:val="24"/>
          <w:szCs w:val="24"/>
        </w:rPr>
        <w:t xml:space="preserve"> školskoj </w:t>
      </w:r>
      <w:r w:rsidRPr="00B3322B">
        <w:rPr>
          <w:rFonts w:ascii="Arial" w:hAnsi="Arial" w:cs="Arial"/>
          <w:sz w:val="24"/>
          <w:szCs w:val="24"/>
        </w:rPr>
        <w:t>2025./2026. godini</w:t>
      </w:r>
      <w:r w:rsidRPr="00AC2206">
        <w:rPr>
          <w:rFonts w:ascii="Arial" w:hAnsi="Arial" w:cs="Arial"/>
          <w:sz w:val="24"/>
          <w:szCs w:val="24"/>
        </w:rPr>
        <w:t xml:space="preserve"> pomoćnici u nastavi osigurani su  putem projekta  „PUNa torba zajedništva II“ koji se provodi u okviru instrumenta „Osiguravanje pomoćnika u nastavi i stručnih komunikacijskih posrednika učenicima s teškoćama u razvoju u osnovnoškolskim i srednjoškolskim odgojno-obrazovnim ustanovama, faza VI.“ temeljem poziva SF.2.4.06.01. Europskog socijalnog fonda plusa u sklopu Program Učinkoviti ljudski potencijali 2021.</w:t>
      </w:r>
      <w:r>
        <w:rPr>
          <w:rFonts w:ascii="Arial" w:hAnsi="Arial" w:cs="Arial"/>
          <w:sz w:val="24"/>
          <w:szCs w:val="24"/>
        </w:rPr>
        <w:t xml:space="preserve"> </w:t>
      </w:r>
      <w:r w:rsidRPr="00AC2206">
        <w:rPr>
          <w:rFonts w:ascii="Arial" w:hAnsi="Arial" w:cs="Arial"/>
          <w:sz w:val="24"/>
          <w:szCs w:val="24"/>
        </w:rPr>
        <w:t>-</w:t>
      </w:r>
      <w:r>
        <w:rPr>
          <w:rFonts w:ascii="Arial" w:hAnsi="Arial" w:cs="Arial"/>
          <w:sz w:val="24"/>
          <w:szCs w:val="24"/>
        </w:rPr>
        <w:t xml:space="preserve"> </w:t>
      </w:r>
      <w:r w:rsidRPr="00AC2206">
        <w:rPr>
          <w:rFonts w:ascii="Arial" w:hAnsi="Arial" w:cs="Arial"/>
          <w:sz w:val="24"/>
          <w:szCs w:val="24"/>
        </w:rPr>
        <w:t xml:space="preserve">2027. U sklopu projekta ostvareno je pravo na (su)financiranje </w:t>
      </w:r>
      <w:r w:rsidRPr="00B3322B">
        <w:rPr>
          <w:rFonts w:ascii="Arial" w:hAnsi="Arial" w:cs="Arial"/>
          <w:sz w:val="24"/>
          <w:szCs w:val="24"/>
        </w:rPr>
        <w:t>ukupno 25 pomoćnika</w:t>
      </w:r>
      <w:r w:rsidRPr="00AC2206">
        <w:rPr>
          <w:rFonts w:ascii="Arial" w:hAnsi="Arial" w:cs="Arial"/>
          <w:sz w:val="24"/>
          <w:szCs w:val="24"/>
        </w:rPr>
        <w:t xml:space="preserve"> u nastavi u našim osnovnim školama. </w:t>
      </w:r>
    </w:p>
    <w:p w14:paraId="4E433F07" w14:textId="77777777" w:rsidR="00E541EE" w:rsidRPr="00AC2206" w:rsidRDefault="00E541EE" w:rsidP="00E541EE">
      <w:pPr>
        <w:jc w:val="both"/>
        <w:rPr>
          <w:rFonts w:ascii="Arial" w:hAnsi="Arial" w:cs="Arial"/>
          <w:sz w:val="24"/>
          <w:szCs w:val="24"/>
        </w:rPr>
      </w:pPr>
      <w:r w:rsidRPr="00AC2206">
        <w:rPr>
          <w:rFonts w:ascii="Arial" w:eastAsia="Times New Roman" w:hAnsi="Arial" w:cs="Arial"/>
          <w:b/>
          <w:sz w:val="24"/>
          <w:szCs w:val="24"/>
        </w:rPr>
        <w:t xml:space="preserve">Opći cilj:  </w:t>
      </w:r>
      <w:r w:rsidRPr="00AC2206">
        <w:rPr>
          <w:rFonts w:ascii="Arial" w:eastAsia="Times New Roman" w:hAnsi="Arial" w:cs="Arial"/>
          <w:sz w:val="24"/>
          <w:szCs w:val="24"/>
        </w:rPr>
        <w:t>kvalitetna integracija djece sa teškoćama.</w:t>
      </w:r>
    </w:p>
    <w:p w14:paraId="04D5C2CB"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sz w:val="24"/>
          <w:szCs w:val="24"/>
        </w:rPr>
        <w:t>Pokazatelj uspješnosti:</w:t>
      </w:r>
      <w:r w:rsidRPr="00AC2206">
        <w:rPr>
          <w:rFonts w:ascii="Arial" w:eastAsia="Times New Roman" w:hAnsi="Arial" w:cs="Arial"/>
          <w:sz w:val="24"/>
          <w:szCs w:val="24"/>
        </w:rPr>
        <w:t xml:space="preserve"> broj osiguranih pomoćnika u nastavi za učenike sa poteškoćama.  </w:t>
      </w:r>
    </w:p>
    <w:p w14:paraId="179E91A8" w14:textId="77777777" w:rsidR="00E541EE" w:rsidRPr="00AC2206" w:rsidRDefault="00E541EE" w:rsidP="00E541EE">
      <w:pPr>
        <w:jc w:val="both"/>
        <w:rPr>
          <w:rFonts w:ascii="Arial" w:eastAsia="Times New Roman" w:hAnsi="Arial" w:cs="Arial"/>
          <w:sz w:val="24"/>
          <w:szCs w:val="24"/>
        </w:rPr>
      </w:pPr>
    </w:p>
    <w:p w14:paraId="39469E71"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AC2206">
        <w:rPr>
          <w:rFonts w:ascii="Arial" w:eastAsia="Times New Roman" w:hAnsi="Arial" w:cs="Arial"/>
          <w:b/>
          <w:bCs/>
          <w:sz w:val="24"/>
          <w:szCs w:val="24"/>
        </w:rPr>
        <w:t>A 102610: Potpore učenicima i studentima = 2</w:t>
      </w:r>
      <w:r>
        <w:rPr>
          <w:rFonts w:ascii="Arial" w:eastAsia="Times New Roman" w:hAnsi="Arial" w:cs="Arial"/>
          <w:b/>
          <w:bCs/>
          <w:sz w:val="24"/>
          <w:szCs w:val="24"/>
        </w:rPr>
        <w:t>95</w:t>
      </w:r>
      <w:r w:rsidRPr="00AC2206">
        <w:rPr>
          <w:rFonts w:ascii="Arial" w:eastAsia="Times New Roman" w:hAnsi="Arial" w:cs="Arial"/>
          <w:b/>
          <w:bCs/>
          <w:sz w:val="24"/>
          <w:szCs w:val="24"/>
        </w:rPr>
        <w:t>.</w:t>
      </w:r>
      <w:r>
        <w:rPr>
          <w:rFonts w:ascii="Arial" w:eastAsia="Times New Roman" w:hAnsi="Arial" w:cs="Arial"/>
          <w:b/>
          <w:bCs/>
          <w:sz w:val="24"/>
          <w:szCs w:val="24"/>
        </w:rPr>
        <w:t>0</w:t>
      </w:r>
      <w:r w:rsidRPr="00AC2206">
        <w:rPr>
          <w:rFonts w:ascii="Arial" w:eastAsia="Times New Roman" w:hAnsi="Arial" w:cs="Arial"/>
          <w:b/>
          <w:bCs/>
          <w:sz w:val="24"/>
          <w:szCs w:val="24"/>
        </w:rPr>
        <w:t>00,00 EUR</w:t>
      </w:r>
    </w:p>
    <w:p w14:paraId="653928AB"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Zakonska osnova</w:t>
      </w:r>
      <w:r w:rsidRPr="00AC2206">
        <w:rPr>
          <w:rFonts w:ascii="Arial" w:eastAsia="Times New Roman" w:hAnsi="Arial" w:cs="Arial"/>
          <w:b/>
          <w:sz w:val="24"/>
          <w:szCs w:val="24"/>
        </w:rPr>
        <w:t>:</w:t>
      </w:r>
      <w:r w:rsidRPr="00AC2206">
        <w:rPr>
          <w:rFonts w:ascii="Arial" w:eastAsia="Times New Roman" w:hAnsi="Arial" w:cs="Arial"/>
          <w:sz w:val="24"/>
          <w:szCs w:val="24"/>
        </w:rPr>
        <w:t xml:space="preserve"> Zakon o lokalnoj i područnoj (regionalnoj) samoupravi.</w:t>
      </w:r>
    </w:p>
    <w:p w14:paraId="5CDA1D3C" w14:textId="77777777" w:rsidR="00E541EE" w:rsidRDefault="00E541EE" w:rsidP="00E541EE">
      <w:pPr>
        <w:jc w:val="both"/>
        <w:rPr>
          <w:rFonts w:ascii="Arial" w:eastAsia="Times New Roman" w:hAnsi="Arial" w:cs="Arial"/>
          <w:sz w:val="24"/>
          <w:szCs w:val="24"/>
        </w:rPr>
      </w:pPr>
      <w:r w:rsidRPr="00AC2206">
        <w:rPr>
          <w:rFonts w:ascii="Arial" w:eastAsia="Times New Roman" w:hAnsi="Arial" w:cs="Arial"/>
          <w:b/>
          <w:sz w:val="24"/>
          <w:szCs w:val="24"/>
        </w:rPr>
        <w:t>Opis:</w:t>
      </w:r>
      <w:r w:rsidRPr="00AC2206">
        <w:rPr>
          <w:rFonts w:ascii="Arial" w:eastAsia="Times New Roman" w:hAnsi="Arial" w:cs="Arial"/>
          <w:sz w:val="24"/>
          <w:szCs w:val="24"/>
        </w:rPr>
        <w:t xml:space="preserve"> iz ovih sredstava osiguravaju se novčane potpore za učenike i studente koji ostvaruju navedeno pravo temeljem natječaja. Visina stipendije određuje se odlukom gradonačelnika, a studenti koji ostvaruju prosjek ocjena 4,00 i više te učenici koji ostvaruju  prosjek ocjena 4,6 imaju pravo na dodatnih 20% iznosa mjesečno.</w:t>
      </w:r>
    </w:p>
    <w:p w14:paraId="36A05CF7" w14:textId="77777777" w:rsidR="00E541EE" w:rsidRPr="00AC2206" w:rsidRDefault="00E541EE" w:rsidP="00E541EE">
      <w:pPr>
        <w:jc w:val="both"/>
        <w:rPr>
          <w:rFonts w:ascii="Arial" w:eastAsia="Times New Roman" w:hAnsi="Arial" w:cs="Arial"/>
          <w:sz w:val="24"/>
          <w:szCs w:val="24"/>
        </w:rPr>
      </w:pPr>
      <w:r>
        <w:rPr>
          <w:rFonts w:ascii="Arial" w:eastAsia="Times New Roman" w:hAnsi="Arial" w:cs="Arial"/>
          <w:sz w:val="24"/>
          <w:szCs w:val="24"/>
        </w:rPr>
        <w:t>U vrijeme pisanja ovog obrazloženja učeničke stipendije iznose 110,00 eura mjesečno za razdoblje od 10 mjeseci, dok studentske iznose 180,00 eura mjesečno za razdoblje od 10 mjeseci. Dinamiku isplate utvrđuje nadležni odjel.</w:t>
      </w:r>
    </w:p>
    <w:p w14:paraId="411B4539" w14:textId="77777777" w:rsidR="00E541EE" w:rsidRPr="00AC2206" w:rsidRDefault="00E541EE" w:rsidP="00E541EE">
      <w:pPr>
        <w:jc w:val="both"/>
        <w:rPr>
          <w:rFonts w:ascii="Arial" w:eastAsia="Times New Roman" w:hAnsi="Arial" w:cs="Arial"/>
          <w:b/>
          <w:sz w:val="24"/>
          <w:szCs w:val="24"/>
        </w:rPr>
      </w:pPr>
      <w:r w:rsidRPr="00AC2206">
        <w:rPr>
          <w:rFonts w:ascii="Arial" w:eastAsia="Times New Roman" w:hAnsi="Arial" w:cs="Arial"/>
          <w:b/>
          <w:sz w:val="24"/>
          <w:szCs w:val="24"/>
        </w:rPr>
        <w:t xml:space="preserve">Opći cilj: </w:t>
      </w:r>
      <w:r w:rsidRPr="00AC2206">
        <w:rPr>
          <w:rFonts w:ascii="Arial" w:eastAsia="Times New Roman" w:hAnsi="Arial" w:cs="Arial"/>
          <w:sz w:val="24"/>
          <w:szCs w:val="24"/>
        </w:rPr>
        <w:t>podrška učenicima i studentima u obrazovanju.</w:t>
      </w:r>
      <w:r w:rsidRPr="00AC2206">
        <w:rPr>
          <w:rFonts w:ascii="Arial" w:eastAsia="Times New Roman" w:hAnsi="Arial" w:cs="Arial"/>
          <w:b/>
          <w:sz w:val="24"/>
          <w:szCs w:val="24"/>
        </w:rPr>
        <w:t xml:space="preserve"> </w:t>
      </w:r>
    </w:p>
    <w:p w14:paraId="4E3B7F36"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sz w:val="24"/>
          <w:szCs w:val="24"/>
        </w:rPr>
        <w:t xml:space="preserve">Pokazatelj uspješnosti: </w:t>
      </w:r>
      <w:r w:rsidRPr="00AC2206">
        <w:rPr>
          <w:rFonts w:ascii="Arial" w:eastAsia="Times New Roman" w:hAnsi="Arial" w:cs="Arial"/>
          <w:sz w:val="24"/>
          <w:szCs w:val="24"/>
        </w:rPr>
        <w:t>broj dodijeljenih stipendija.</w:t>
      </w:r>
      <w:r w:rsidRPr="00AC2206">
        <w:rPr>
          <w:rFonts w:ascii="Arial" w:eastAsia="Times New Roman" w:hAnsi="Arial" w:cs="Arial"/>
          <w:b/>
          <w:sz w:val="24"/>
          <w:szCs w:val="24"/>
        </w:rPr>
        <w:t xml:space="preserve"> </w:t>
      </w:r>
    </w:p>
    <w:p w14:paraId="5B8C1CD9" w14:textId="77777777" w:rsidR="00E541EE" w:rsidRPr="00AC2206" w:rsidRDefault="00E541EE" w:rsidP="00E541EE">
      <w:pPr>
        <w:jc w:val="both"/>
        <w:rPr>
          <w:rFonts w:ascii="Arial" w:eastAsia="Times New Roman" w:hAnsi="Arial" w:cs="Arial"/>
          <w:sz w:val="24"/>
          <w:szCs w:val="24"/>
        </w:rPr>
      </w:pPr>
    </w:p>
    <w:p w14:paraId="293B8FB1"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AC2206">
        <w:rPr>
          <w:rFonts w:ascii="Arial" w:eastAsia="Times New Roman" w:hAnsi="Arial" w:cs="Arial"/>
          <w:b/>
          <w:bCs/>
          <w:sz w:val="24"/>
          <w:szCs w:val="24"/>
        </w:rPr>
        <w:t>A 102611: Potpore drugim obrazovnim ustanovama = 7.5</w:t>
      </w:r>
      <w:r>
        <w:rPr>
          <w:rFonts w:ascii="Arial" w:eastAsia="Times New Roman" w:hAnsi="Arial" w:cs="Arial"/>
          <w:b/>
          <w:bCs/>
          <w:sz w:val="24"/>
          <w:szCs w:val="24"/>
        </w:rPr>
        <w:t>0</w:t>
      </w:r>
      <w:r w:rsidRPr="00AC2206">
        <w:rPr>
          <w:rFonts w:ascii="Arial" w:eastAsia="Times New Roman" w:hAnsi="Arial" w:cs="Arial"/>
          <w:b/>
          <w:bCs/>
          <w:sz w:val="24"/>
          <w:szCs w:val="24"/>
        </w:rPr>
        <w:t>0,00 EUR</w:t>
      </w:r>
    </w:p>
    <w:p w14:paraId="6D04517D"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Zakonska osnova</w:t>
      </w:r>
      <w:r w:rsidRPr="00AC2206">
        <w:rPr>
          <w:rFonts w:ascii="Arial" w:eastAsia="Times New Roman" w:hAnsi="Arial" w:cs="Arial"/>
          <w:b/>
          <w:sz w:val="24"/>
          <w:szCs w:val="24"/>
        </w:rPr>
        <w:t>:</w:t>
      </w:r>
      <w:r w:rsidRPr="00AC2206">
        <w:rPr>
          <w:rFonts w:ascii="Arial" w:eastAsia="Times New Roman" w:hAnsi="Arial" w:cs="Arial"/>
          <w:sz w:val="24"/>
          <w:szCs w:val="24"/>
        </w:rPr>
        <w:t xml:space="preserve"> Zakon o lokalnoj i područnoj (regionalnoj) samoupravi, Zakon o odgoju i obrazovanju u osnovnoj i srednjoj školi.</w:t>
      </w:r>
    </w:p>
    <w:p w14:paraId="59B72098"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sz w:val="24"/>
          <w:szCs w:val="24"/>
        </w:rPr>
        <w:t>Opis:</w:t>
      </w:r>
      <w:r w:rsidRPr="00AC2206">
        <w:rPr>
          <w:rFonts w:ascii="Arial" w:eastAsia="Times New Roman" w:hAnsi="Arial" w:cs="Arial"/>
          <w:sz w:val="24"/>
          <w:szCs w:val="24"/>
        </w:rPr>
        <w:t xml:space="preserve"> planiranim sredstvima  osiguravaju se potpore rovinjskim srednjim školama za aktivnosti koje se odvijaju već duži niz godina, kao što su primjerice Godišnjak maturanata, maturalne zabave i ostale aktivnosti tijekom godine sukladno potrebama škola. </w:t>
      </w:r>
    </w:p>
    <w:p w14:paraId="616A4E8B"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sz w:val="24"/>
          <w:szCs w:val="24"/>
        </w:rPr>
        <w:t xml:space="preserve">Opći cilj: </w:t>
      </w:r>
      <w:r w:rsidRPr="00AC2206">
        <w:rPr>
          <w:rFonts w:ascii="Arial" w:eastAsia="Times New Roman" w:hAnsi="Arial" w:cs="Arial"/>
          <w:sz w:val="24"/>
          <w:szCs w:val="24"/>
        </w:rPr>
        <w:t>podrška srednjim školama u realizaciji aktivnosti.</w:t>
      </w:r>
    </w:p>
    <w:p w14:paraId="465416D8" w14:textId="77777777" w:rsidR="00E541EE" w:rsidRPr="00AC2206" w:rsidRDefault="00E541EE" w:rsidP="00E541EE">
      <w:pPr>
        <w:jc w:val="both"/>
        <w:rPr>
          <w:rFonts w:ascii="Arial" w:eastAsia="Times New Roman" w:hAnsi="Arial" w:cs="Arial"/>
          <w:b/>
          <w:sz w:val="24"/>
          <w:szCs w:val="24"/>
        </w:rPr>
      </w:pPr>
      <w:r w:rsidRPr="00AC2206">
        <w:rPr>
          <w:rFonts w:ascii="Arial" w:eastAsia="Times New Roman" w:hAnsi="Arial" w:cs="Arial"/>
          <w:b/>
          <w:sz w:val="24"/>
          <w:szCs w:val="24"/>
        </w:rPr>
        <w:t xml:space="preserve">Pokazatelj uspješnosti: </w:t>
      </w:r>
      <w:r w:rsidRPr="00AC2206">
        <w:rPr>
          <w:rFonts w:ascii="Arial" w:eastAsia="Times New Roman" w:hAnsi="Arial" w:cs="Arial"/>
          <w:sz w:val="24"/>
          <w:szCs w:val="24"/>
        </w:rPr>
        <w:t>realizirane aktivnosti srednjih škola.</w:t>
      </w:r>
      <w:r w:rsidRPr="00AC2206">
        <w:rPr>
          <w:rFonts w:ascii="Arial" w:eastAsia="Times New Roman" w:hAnsi="Arial" w:cs="Arial"/>
          <w:b/>
          <w:sz w:val="24"/>
          <w:szCs w:val="24"/>
        </w:rPr>
        <w:t xml:space="preserve"> </w:t>
      </w:r>
    </w:p>
    <w:p w14:paraId="22FD28F9" w14:textId="77777777" w:rsidR="00E541EE" w:rsidRPr="00AC2206" w:rsidRDefault="00E541EE" w:rsidP="00E541EE">
      <w:pPr>
        <w:jc w:val="both"/>
        <w:rPr>
          <w:rFonts w:ascii="Arial" w:eastAsia="Times New Roman" w:hAnsi="Arial" w:cs="Arial"/>
          <w:b/>
          <w:sz w:val="24"/>
          <w:szCs w:val="24"/>
        </w:rPr>
      </w:pPr>
    </w:p>
    <w:p w14:paraId="65199D64"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ind w:right="-1"/>
        <w:jc w:val="both"/>
        <w:rPr>
          <w:rFonts w:ascii="Arial" w:eastAsia="Times New Roman" w:hAnsi="Arial" w:cs="Arial"/>
          <w:b/>
          <w:sz w:val="24"/>
          <w:szCs w:val="24"/>
        </w:rPr>
      </w:pPr>
      <w:r w:rsidRPr="00AC2206">
        <w:rPr>
          <w:rFonts w:ascii="Arial" w:eastAsia="Times New Roman" w:hAnsi="Arial" w:cs="Arial"/>
          <w:b/>
          <w:sz w:val="24"/>
          <w:szCs w:val="24"/>
        </w:rPr>
        <w:t xml:space="preserve">K 102602: Oprema za srednje škole = </w:t>
      </w:r>
      <w:r>
        <w:rPr>
          <w:rFonts w:ascii="Arial" w:eastAsia="Times New Roman" w:hAnsi="Arial" w:cs="Arial"/>
          <w:b/>
          <w:sz w:val="24"/>
          <w:szCs w:val="24"/>
        </w:rPr>
        <w:t>14</w:t>
      </w:r>
      <w:r w:rsidRPr="00AC2206">
        <w:rPr>
          <w:rFonts w:ascii="Arial" w:eastAsia="Times New Roman" w:hAnsi="Arial" w:cs="Arial"/>
          <w:b/>
          <w:sz w:val="24"/>
          <w:szCs w:val="24"/>
        </w:rPr>
        <w:t>.000,00 EUR</w:t>
      </w:r>
    </w:p>
    <w:p w14:paraId="22B7E35E" w14:textId="77777777" w:rsidR="00E541EE" w:rsidRPr="00AC2206" w:rsidRDefault="00E541EE" w:rsidP="00E541EE">
      <w:pPr>
        <w:jc w:val="both"/>
        <w:rPr>
          <w:rFonts w:ascii="Arial" w:hAnsi="Arial" w:cs="Arial"/>
          <w:b/>
          <w:sz w:val="24"/>
          <w:szCs w:val="24"/>
        </w:rPr>
      </w:pPr>
      <w:r w:rsidRPr="00AC2206">
        <w:rPr>
          <w:rFonts w:ascii="Arial" w:hAnsi="Arial" w:cs="Arial"/>
          <w:b/>
          <w:sz w:val="24"/>
          <w:szCs w:val="24"/>
        </w:rPr>
        <w:t xml:space="preserve">Zakonska osnova: </w:t>
      </w:r>
      <w:r w:rsidRPr="00AC2206">
        <w:rPr>
          <w:rFonts w:ascii="Arial" w:hAnsi="Arial" w:cs="Arial"/>
          <w:sz w:val="24"/>
          <w:szCs w:val="24"/>
        </w:rPr>
        <w:t>Zakon o odgoju i obrazovanju u osnovnoj i srednjoj školi</w:t>
      </w:r>
      <w:r w:rsidRPr="00AC2206">
        <w:rPr>
          <w:rFonts w:ascii="Arial" w:hAnsi="Arial" w:cs="Arial"/>
          <w:b/>
          <w:sz w:val="24"/>
          <w:szCs w:val="24"/>
        </w:rPr>
        <w:t xml:space="preserve"> </w:t>
      </w:r>
    </w:p>
    <w:p w14:paraId="039A3F0E" w14:textId="77777777" w:rsidR="00E541EE" w:rsidRPr="00AC2206" w:rsidRDefault="00E541EE" w:rsidP="00E541EE">
      <w:pPr>
        <w:jc w:val="both"/>
        <w:rPr>
          <w:rFonts w:ascii="Arial" w:hAnsi="Arial" w:cs="Arial"/>
          <w:sz w:val="24"/>
          <w:szCs w:val="24"/>
        </w:rPr>
      </w:pPr>
      <w:r w:rsidRPr="00AC2206">
        <w:rPr>
          <w:rFonts w:ascii="Arial" w:hAnsi="Arial" w:cs="Arial"/>
          <w:b/>
          <w:sz w:val="24"/>
          <w:szCs w:val="24"/>
        </w:rPr>
        <w:t>Opis:</w:t>
      </w:r>
      <w:r w:rsidRPr="00AC2206">
        <w:rPr>
          <w:rFonts w:ascii="Arial" w:hAnsi="Arial" w:cs="Arial"/>
          <w:sz w:val="24"/>
          <w:szCs w:val="24"/>
        </w:rPr>
        <w:t xml:space="preserve"> planiranim sredstvima osigurava se nabava potrebne opreme za srednje škole. Iako Grad nije osnivač srednjih škola tijekom prethodnih godina osiguravala su se sredstva za nabavu opreme te stoga nastavljamo sa tom praksom jer potrebe za obnavljanjem opreme uvijek postoje.</w:t>
      </w:r>
    </w:p>
    <w:p w14:paraId="4F71AE83" w14:textId="77777777" w:rsidR="00E541EE" w:rsidRPr="00AC2206" w:rsidRDefault="00E541EE" w:rsidP="00E541EE">
      <w:pPr>
        <w:jc w:val="both"/>
        <w:rPr>
          <w:rFonts w:ascii="Arial" w:hAnsi="Arial" w:cs="Arial"/>
          <w:sz w:val="24"/>
          <w:szCs w:val="24"/>
        </w:rPr>
      </w:pPr>
      <w:r w:rsidRPr="00AC2206">
        <w:rPr>
          <w:rFonts w:ascii="Arial" w:hAnsi="Arial" w:cs="Arial"/>
          <w:b/>
          <w:sz w:val="24"/>
          <w:szCs w:val="24"/>
        </w:rPr>
        <w:t>Opći cilj:</w:t>
      </w:r>
      <w:r w:rsidRPr="00AC2206">
        <w:rPr>
          <w:rFonts w:ascii="Arial" w:hAnsi="Arial" w:cs="Arial"/>
          <w:sz w:val="24"/>
          <w:szCs w:val="24"/>
        </w:rPr>
        <w:t xml:space="preserve"> unapređenje uvjeta rada i sigurnosti u obrazovnim ustanovama.</w:t>
      </w:r>
    </w:p>
    <w:p w14:paraId="5740BACB" w14:textId="77777777" w:rsidR="00E541EE" w:rsidRPr="00AC2206" w:rsidRDefault="00E541EE" w:rsidP="00E541EE">
      <w:pPr>
        <w:jc w:val="both"/>
        <w:rPr>
          <w:rFonts w:ascii="Arial" w:hAnsi="Arial" w:cs="Arial"/>
          <w:sz w:val="24"/>
          <w:szCs w:val="24"/>
        </w:rPr>
      </w:pPr>
      <w:r w:rsidRPr="00AC2206">
        <w:rPr>
          <w:rFonts w:ascii="Arial" w:hAnsi="Arial" w:cs="Arial"/>
          <w:b/>
          <w:sz w:val="24"/>
          <w:szCs w:val="24"/>
        </w:rPr>
        <w:t>Pokazatelj uspješnosti</w:t>
      </w:r>
      <w:r w:rsidRPr="00AC2206">
        <w:rPr>
          <w:rFonts w:ascii="Arial" w:hAnsi="Arial" w:cs="Arial"/>
          <w:sz w:val="24"/>
          <w:szCs w:val="24"/>
        </w:rPr>
        <w:t>: nabavljena oprema.</w:t>
      </w:r>
    </w:p>
    <w:p w14:paraId="694AEA77" w14:textId="77777777" w:rsidR="00E541EE" w:rsidRPr="00AC2206" w:rsidRDefault="00E541EE" w:rsidP="00E541EE">
      <w:pPr>
        <w:jc w:val="both"/>
        <w:rPr>
          <w:rFonts w:ascii="Arial" w:eastAsia="Times New Roman" w:hAnsi="Arial" w:cs="Arial"/>
          <w:sz w:val="24"/>
          <w:szCs w:val="24"/>
        </w:rPr>
      </w:pPr>
    </w:p>
    <w:p w14:paraId="7A11C692"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AC2206">
        <w:rPr>
          <w:rFonts w:ascii="Arial" w:eastAsia="Times New Roman" w:hAnsi="Arial" w:cs="Arial"/>
          <w:b/>
          <w:bCs/>
          <w:sz w:val="24"/>
          <w:szCs w:val="24"/>
        </w:rPr>
        <w:t xml:space="preserve">A 102613: Potpore studentima - deficitarna zanimanja = </w:t>
      </w:r>
      <w:r>
        <w:rPr>
          <w:rFonts w:ascii="Arial" w:eastAsia="Times New Roman" w:hAnsi="Arial" w:cs="Arial"/>
          <w:b/>
          <w:bCs/>
          <w:sz w:val="24"/>
          <w:szCs w:val="24"/>
        </w:rPr>
        <w:t>28.0</w:t>
      </w:r>
      <w:r w:rsidRPr="00AC2206">
        <w:rPr>
          <w:rFonts w:ascii="Arial" w:eastAsia="Times New Roman" w:hAnsi="Arial" w:cs="Arial"/>
          <w:b/>
          <w:bCs/>
          <w:sz w:val="24"/>
          <w:szCs w:val="24"/>
        </w:rPr>
        <w:t>00,00  EUR</w:t>
      </w:r>
    </w:p>
    <w:p w14:paraId="16FBCC19"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Zakonska osnova</w:t>
      </w:r>
      <w:r w:rsidRPr="00AC2206">
        <w:rPr>
          <w:rFonts w:ascii="Arial" w:eastAsia="Times New Roman" w:hAnsi="Arial" w:cs="Arial"/>
          <w:b/>
          <w:sz w:val="24"/>
          <w:szCs w:val="24"/>
        </w:rPr>
        <w:t>:</w:t>
      </w:r>
      <w:r w:rsidRPr="00AC2206">
        <w:rPr>
          <w:rFonts w:ascii="Arial" w:eastAsia="Times New Roman" w:hAnsi="Arial" w:cs="Arial"/>
          <w:sz w:val="24"/>
          <w:szCs w:val="24"/>
        </w:rPr>
        <w:t xml:space="preserve"> Zakon o lokalnoj i područnoj (regionalnoj) samoupravi.</w:t>
      </w:r>
    </w:p>
    <w:p w14:paraId="54D194B3" w14:textId="77777777" w:rsidR="00E541EE" w:rsidRDefault="00E541EE" w:rsidP="00E541EE">
      <w:pPr>
        <w:jc w:val="both"/>
        <w:rPr>
          <w:rFonts w:ascii="Arial" w:eastAsia="Times New Roman" w:hAnsi="Arial" w:cs="Arial"/>
          <w:sz w:val="24"/>
          <w:szCs w:val="24"/>
        </w:rPr>
      </w:pPr>
      <w:r w:rsidRPr="00AC2206">
        <w:rPr>
          <w:rFonts w:ascii="Arial" w:eastAsia="Times New Roman" w:hAnsi="Arial" w:cs="Arial"/>
          <w:b/>
          <w:sz w:val="24"/>
          <w:szCs w:val="24"/>
        </w:rPr>
        <w:t>Opis:</w:t>
      </w:r>
      <w:r w:rsidRPr="00AC2206">
        <w:rPr>
          <w:rFonts w:ascii="Arial" w:eastAsia="Times New Roman" w:hAnsi="Arial" w:cs="Arial"/>
          <w:sz w:val="24"/>
          <w:szCs w:val="24"/>
        </w:rPr>
        <w:t xml:space="preserve"> obzirom na potrebe ustanova u obrazovanju, zdravstvu i socijalnoj skrbi na području grada, a koje se odnose na stručni kadar planira se dodjelom poticajnih stipendija  omogućiti mladim osobama da se školuju za tražena zanimanja te da nakon završenog školovanja imaju mogućnost zapošljavanja u spomenutim ustanovama.</w:t>
      </w:r>
    </w:p>
    <w:p w14:paraId="07428B05" w14:textId="77777777" w:rsidR="00E541EE" w:rsidRPr="00AC2206" w:rsidRDefault="00E541EE" w:rsidP="00E541EE">
      <w:pPr>
        <w:jc w:val="both"/>
        <w:rPr>
          <w:rFonts w:ascii="Arial" w:eastAsia="Times New Roman" w:hAnsi="Arial" w:cs="Arial"/>
          <w:sz w:val="24"/>
          <w:szCs w:val="24"/>
        </w:rPr>
      </w:pPr>
      <w:r w:rsidRPr="00B3322B">
        <w:rPr>
          <w:rFonts w:ascii="Arial" w:eastAsia="Times New Roman" w:hAnsi="Arial" w:cs="Arial"/>
          <w:sz w:val="24"/>
          <w:szCs w:val="24"/>
        </w:rPr>
        <w:t xml:space="preserve">Iznos novčane potpore iznosi 2.800,00 </w:t>
      </w:r>
      <w:r>
        <w:rPr>
          <w:rFonts w:ascii="Arial" w:eastAsia="Times New Roman" w:hAnsi="Arial" w:cs="Arial"/>
          <w:sz w:val="24"/>
          <w:szCs w:val="24"/>
        </w:rPr>
        <w:t>eura</w:t>
      </w:r>
      <w:r w:rsidRPr="00B3322B">
        <w:rPr>
          <w:rFonts w:ascii="Arial" w:eastAsia="Times New Roman" w:hAnsi="Arial" w:cs="Arial"/>
          <w:sz w:val="24"/>
          <w:szCs w:val="24"/>
        </w:rPr>
        <w:t xml:space="preserve"> za  svaku godinu studija, a koji se</w:t>
      </w:r>
      <w:r>
        <w:rPr>
          <w:rFonts w:ascii="Arial" w:eastAsia="Times New Roman" w:hAnsi="Arial" w:cs="Arial"/>
          <w:sz w:val="24"/>
          <w:szCs w:val="24"/>
        </w:rPr>
        <w:t xml:space="preserve"> isplaćuje za razdoblje od deset mjeseci dinamikom koju utvrđuje nadležni odjel</w:t>
      </w:r>
    </w:p>
    <w:p w14:paraId="1EDBF930"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sz w:val="24"/>
          <w:szCs w:val="24"/>
        </w:rPr>
        <w:t xml:space="preserve">Opći cilj: </w:t>
      </w:r>
      <w:r w:rsidRPr="00AC2206">
        <w:rPr>
          <w:rFonts w:ascii="Arial" w:eastAsia="Times New Roman" w:hAnsi="Arial" w:cs="Arial"/>
          <w:sz w:val="24"/>
          <w:szCs w:val="24"/>
        </w:rPr>
        <w:t>osiguravanje stručnog kadra u obrazovnim, zdravstvenim i ustanovama socijalne skrbi poticanjem studenata da se školuju za tražena zanimanja.</w:t>
      </w:r>
    </w:p>
    <w:p w14:paraId="77F36D04"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sz w:val="24"/>
          <w:szCs w:val="24"/>
        </w:rPr>
        <w:t xml:space="preserve">Pokazatelj uspješnosti: </w:t>
      </w:r>
      <w:r w:rsidRPr="00AC2206">
        <w:rPr>
          <w:rFonts w:ascii="Arial" w:eastAsia="Times New Roman" w:hAnsi="Arial" w:cs="Arial"/>
          <w:sz w:val="24"/>
          <w:szCs w:val="24"/>
        </w:rPr>
        <w:t>broj osoba koje će steći obrazovanje u traženom zanimanju te zapošljavanje stručnih kadrova u ustanovama.</w:t>
      </w:r>
    </w:p>
    <w:p w14:paraId="50AA36B3" w14:textId="77777777" w:rsidR="00E541EE" w:rsidRPr="00AC2206" w:rsidRDefault="00E541EE" w:rsidP="00E541EE">
      <w:pPr>
        <w:jc w:val="both"/>
        <w:rPr>
          <w:rFonts w:ascii="Arial" w:eastAsia="Times New Roman" w:hAnsi="Arial" w:cs="Arial"/>
          <w:sz w:val="24"/>
          <w:szCs w:val="24"/>
        </w:rPr>
      </w:pPr>
    </w:p>
    <w:p w14:paraId="2D0161CC"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AC2206">
        <w:rPr>
          <w:rFonts w:ascii="Arial" w:eastAsia="Times New Roman" w:hAnsi="Arial" w:cs="Arial"/>
          <w:b/>
          <w:bCs/>
          <w:sz w:val="24"/>
          <w:szCs w:val="24"/>
        </w:rPr>
        <w:t xml:space="preserve">A 102615: Prijevoz učenika u Školu za odgoj i obrazovanje = </w:t>
      </w:r>
      <w:r>
        <w:rPr>
          <w:rFonts w:ascii="Arial" w:eastAsia="Times New Roman" w:hAnsi="Arial" w:cs="Arial"/>
          <w:b/>
          <w:bCs/>
          <w:sz w:val="24"/>
          <w:szCs w:val="24"/>
        </w:rPr>
        <w:t>8.000</w:t>
      </w:r>
      <w:r w:rsidRPr="00AC2206">
        <w:rPr>
          <w:rFonts w:ascii="Arial" w:eastAsia="Times New Roman" w:hAnsi="Arial" w:cs="Arial"/>
          <w:b/>
          <w:bCs/>
          <w:sz w:val="24"/>
          <w:szCs w:val="24"/>
        </w:rPr>
        <w:t>,00 EUR</w:t>
      </w:r>
    </w:p>
    <w:p w14:paraId="291190C0"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Zakonska osnova</w:t>
      </w:r>
      <w:r w:rsidRPr="00AC2206">
        <w:rPr>
          <w:rFonts w:ascii="Arial" w:eastAsia="Times New Roman" w:hAnsi="Arial" w:cs="Arial"/>
          <w:b/>
          <w:sz w:val="24"/>
          <w:szCs w:val="24"/>
        </w:rPr>
        <w:t>:</w:t>
      </w:r>
      <w:r w:rsidRPr="00AC2206">
        <w:rPr>
          <w:rFonts w:ascii="Arial" w:eastAsia="Times New Roman" w:hAnsi="Arial" w:cs="Arial"/>
          <w:sz w:val="24"/>
          <w:szCs w:val="24"/>
        </w:rPr>
        <w:t xml:space="preserve"> Zakon o lokalnoj i područnoj (regionalnoj) samoupravi, </w:t>
      </w:r>
      <w:r w:rsidRPr="00AC2206">
        <w:rPr>
          <w:rFonts w:ascii="Arial" w:hAnsi="Arial" w:cs="Arial"/>
          <w:sz w:val="24"/>
          <w:szCs w:val="24"/>
        </w:rPr>
        <w:t>Zakon o odgoju i obrazovanju u osnovnoj i srednjoj školi</w:t>
      </w:r>
    </w:p>
    <w:p w14:paraId="21EACDB9"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sz w:val="24"/>
          <w:szCs w:val="24"/>
        </w:rPr>
        <w:t>Opis:</w:t>
      </w:r>
      <w:r w:rsidRPr="00AC2206">
        <w:rPr>
          <w:rFonts w:ascii="Arial" w:eastAsia="Times New Roman" w:hAnsi="Arial" w:cs="Arial"/>
          <w:sz w:val="24"/>
          <w:szCs w:val="24"/>
        </w:rPr>
        <w:t xml:space="preserve"> Škola za odgoj i obrazovanje u Puli preuzela je od mjeseca ožujka 2023. godine organizaciju prijevoza učenika škole sa područja Grada Rovinja-Rovigno budući je isto u njenoj nadležnosti. Troškove prijevoza osigurava nadležno Ministarstvo međutim pratnja u kombiju nije osigurana iz sredstava državnog proračuna. Iz tog razloga je Grad Rovinj-Rovigno, a prema procjeni i potrebi Škole i učenika, preuzeo plaćanje pratnje u kombiju. </w:t>
      </w:r>
    </w:p>
    <w:p w14:paraId="47E2FFFC"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sz w:val="24"/>
          <w:szCs w:val="24"/>
        </w:rPr>
        <w:t xml:space="preserve">Opći cilj: </w:t>
      </w:r>
      <w:r w:rsidRPr="00AC2206">
        <w:rPr>
          <w:rFonts w:ascii="Arial" w:eastAsia="Times New Roman" w:hAnsi="Arial" w:cs="Arial"/>
          <w:sz w:val="24"/>
          <w:szCs w:val="24"/>
        </w:rPr>
        <w:t>omogućavanje djeci s poteškoćama pristupačnost obrazovnom sustavu</w:t>
      </w:r>
    </w:p>
    <w:p w14:paraId="6A832EDA"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sz w:val="24"/>
          <w:szCs w:val="24"/>
        </w:rPr>
        <w:t xml:space="preserve">Pokazatelj uspješnosti: </w:t>
      </w:r>
      <w:r w:rsidRPr="00AC2206">
        <w:rPr>
          <w:rFonts w:ascii="Arial" w:eastAsia="Times New Roman" w:hAnsi="Arial" w:cs="Arial"/>
          <w:sz w:val="24"/>
          <w:szCs w:val="24"/>
        </w:rPr>
        <w:t>broj učenika koji pohađaju ŠOO, realizirana aktivnosti</w:t>
      </w:r>
    </w:p>
    <w:p w14:paraId="45A945E6" w14:textId="77777777" w:rsidR="00E541EE" w:rsidRDefault="00E541EE" w:rsidP="00E541EE">
      <w:pPr>
        <w:jc w:val="both"/>
        <w:rPr>
          <w:rFonts w:ascii="Arial" w:eastAsia="Times New Roman" w:hAnsi="Arial" w:cs="Arial"/>
          <w:sz w:val="24"/>
          <w:szCs w:val="24"/>
        </w:rPr>
      </w:pPr>
    </w:p>
    <w:p w14:paraId="09EB6731"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DEDED" w:themeFill="accent3" w:themeFillTint="33"/>
        <w:jc w:val="both"/>
        <w:rPr>
          <w:rFonts w:ascii="Arial" w:eastAsia="Times New Roman" w:hAnsi="Arial" w:cs="Arial"/>
          <w:b/>
          <w:bCs/>
          <w:sz w:val="24"/>
          <w:szCs w:val="24"/>
        </w:rPr>
      </w:pPr>
      <w:r w:rsidRPr="00AC2206">
        <w:rPr>
          <w:rFonts w:ascii="Arial" w:eastAsia="Times New Roman" w:hAnsi="Arial" w:cs="Arial"/>
          <w:b/>
          <w:bCs/>
          <w:sz w:val="24"/>
          <w:szCs w:val="24"/>
        </w:rPr>
        <w:t xml:space="preserve">A 102616: Projekti u školama = </w:t>
      </w:r>
      <w:r>
        <w:rPr>
          <w:rFonts w:ascii="Arial" w:eastAsia="Times New Roman" w:hAnsi="Arial" w:cs="Arial"/>
          <w:b/>
          <w:bCs/>
          <w:sz w:val="24"/>
          <w:szCs w:val="24"/>
        </w:rPr>
        <w:t>2.00</w:t>
      </w:r>
      <w:r w:rsidRPr="00AC2206">
        <w:rPr>
          <w:rFonts w:ascii="Arial" w:eastAsia="Times New Roman" w:hAnsi="Arial" w:cs="Arial"/>
          <w:b/>
          <w:bCs/>
          <w:sz w:val="24"/>
          <w:szCs w:val="24"/>
        </w:rPr>
        <w:t>0,00 EUR</w:t>
      </w:r>
    </w:p>
    <w:p w14:paraId="26E28617"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Zakonska osnova</w:t>
      </w:r>
      <w:r w:rsidRPr="00AC2206">
        <w:rPr>
          <w:rFonts w:ascii="Arial" w:eastAsia="Times New Roman" w:hAnsi="Arial" w:cs="Arial"/>
          <w:b/>
          <w:sz w:val="24"/>
          <w:szCs w:val="24"/>
        </w:rPr>
        <w:t>:</w:t>
      </w:r>
      <w:r w:rsidRPr="00AC2206">
        <w:rPr>
          <w:rFonts w:ascii="Arial" w:eastAsia="Times New Roman" w:hAnsi="Arial" w:cs="Arial"/>
          <w:sz w:val="24"/>
          <w:szCs w:val="24"/>
        </w:rPr>
        <w:t xml:space="preserve"> Zakon o lokalnoj i područnoj (regionalnoj) samoupravi, Zakon o odgoju i obrazovanju u osnovnoj i srednjoj školi.</w:t>
      </w:r>
    </w:p>
    <w:p w14:paraId="5B3ED82D"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sz w:val="24"/>
          <w:szCs w:val="24"/>
        </w:rPr>
        <w:t xml:space="preserve">Opis: </w:t>
      </w:r>
      <w:r>
        <w:rPr>
          <w:rFonts w:ascii="Arial" w:eastAsia="Times New Roman" w:hAnsi="Arial" w:cs="Arial"/>
          <w:bCs/>
          <w:sz w:val="24"/>
          <w:szCs w:val="24"/>
        </w:rPr>
        <w:t>i</w:t>
      </w:r>
      <w:r w:rsidRPr="00AC2206">
        <w:rPr>
          <w:rFonts w:ascii="Arial" w:eastAsia="Times New Roman" w:hAnsi="Arial" w:cs="Arial"/>
          <w:bCs/>
          <w:sz w:val="24"/>
          <w:szCs w:val="24"/>
        </w:rPr>
        <w:t>z</w:t>
      </w:r>
      <w:r>
        <w:rPr>
          <w:rFonts w:ascii="Arial" w:eastAsia="Times New Roman" w:hAnsi="Arial" w:cs="Arial"/>
          <w:bCs/>
          <w:sz w:val="24"/>
          <w:szCs w:val="24"/>
        </w:rPr>
        <w:t xml:space="preserve"> </w:t>
      </w:r>
      <w:r w:rsidRPr="00AC2206">
        <w:rPr>
          <w:rFonts w:ascii="Arial" w:eastAsia="Times New Roman" w:hAnsi="Arial" w:cs="Arial"/>
          <w:bCs/>
          <w:sz w:val="24"/>
          <w:szCs w:val="24"/>
        </w:rPr>
        <w:t>ovih sredstava</w:t>
      </w:r>
      <w:r w:rsidRPr="00AC2206">
        <w:rPr>
          <w:rFonts w:ascii="Arial" w:eastAsia="Times New Roman" w:hAnsi="Arial" w:cs="Arial"/>
          <w:b/>
          <w:sz w:val="24"/>
          <w:szCs w:val="24"/>
        </w:rPr>
        <w:t xml:space="preserve"> </w:t>
      </w:r>
      <w:r w:rsidRPr="00AC2206">
        <w:rPr>
          <w:rFonts w:ascii="Arial" w:eastAsia="Times New Roman" w:hAnsi="Arial" w:cs="Arial"/>
          <w:bCs/>
          <w:sz w:val="24"/>
          <w:szCs w:val="24"/>
        </w:rPr>
        <w:t>osigurava se provedba</w:t>
      </w:r>
      <w:r w:rsidRPr="00AC2206">
        <w:rPr>
          <w:rFonts w:ascii="Arial" w:eastAsia="Times New Roman" w:hAnsi="Arial" w:cs="Arial"/>
          <w:b/>
          <w:sz w:val="24"/>
          <w:szCs w:val="24"/>
        </w:rPr>
        <w:t xml:space="preserve"> </w:t>
      </w:r>
      <w:r w:rsidRPr="00AC2206">
        <w:rPr>
          <w:rFonts w:ascii="Arial" w:eastAsia="Times New Roman" w:hAnsi="Arial" w:cs="Arial"/>
          <w:sz w:val="24"/>
          <w:szCs w:val="24"/>
        </w:rPr>
        <w:t>edukacija o samoniklom bilju u rovinjskim osnovnim školama</w:t>
      </w:r>
      <w:r>
        <w:rPr>
          <w:rFonts w:ascii="Arial" w:eastAsia="Times New Roman" w:hAnsi="Arial" w:cs="Arial"/>
          <w:sz w:val="24"/>
          <w:szCs w:val="24"/>
        </w:rPr>
        <w:t>,</w:t>
      </w:r>
      <w:r w:rsidRPr="00AC2206">
        <w:rPr>
          <w:rFonts w:ascii="Arial" w:eastAsia="Times New Roman" w:hAnsi="Arial" w:cs="Arial"/>
          <w:sz w:val="24"/>
          <w:szCs w:val="24"/>
        </w:rPr>
        <w:t xml:space="preserve"> a koji obuhvaća edukacije o ljekovitosti i uporabi ljekovitog bilja.</w:t>
      </w:r>
    </w:p>
    <w:p w14:paraId="14F81C8E" w14:textId="77777777" w:rsidR="00E541EE" w:rsidRDefault="00E541EE" w:rsidP="00E541EE">
      <w:pPr>
        <w:jc w:val="both"/>
        <w:rPr>
          <w:rFonts w:ascii="Arial" w:hAnsi="Arial" w:cs="Arial"/>
          <w:sz w:val="24"/>
          <w:szCs w:val="24"/>
        </w:rPr>
      </w:pPr>
      <w:r w:rsidRPr="00AC2206">
        <w:rPr>
          <w:rFonts w:ascii="Arial" w:hAnsi="Arial" w:cs="Arial"/>
          <w:sz w:val="24"/>
          <w:szCs w:val="24"/>
        </w:rPr>
        <w:t>Također, financirat će se godišnja pretplata na  portal Vrti svoj film - jedinstvene online baze filmskih naslova i metodičkih materijala za osnovne škole i rad u razredu. Godišnja pretplata na portal Vrti svoj film uključuje više od 20 filmskih naslova i metodičkih sadržaja za nastavnike i učenike te obogaćuje rad učitelja razredne nastave, nastavnika predmetnih područja, knjižničara, voditelja izvannastavnih aktivnosti, pedagozima i psiholozima.</w:t>
      </w:r>
      <w:r>
        <w:rPr>
          <w:rFonts w:ascii="Arial" w:hAnsi="Arial" w:cs="Arial"/>
          <w:sz w:val="24"/>
          <w:szCs w:val="24"/>
        </w:rPr>
        <w:t xml:space="preserve"> </w:t>
      </w:r>
    </w:p>
    <w:p w14:paraId="0D6C1DC6" w14:textId="77777777" w:rsidR="00E541EE" w:rsidRDefault="00E541EE" w:rsidP="00E541EE">
      <w:pPr>
        <w:jc w:val="both"/>
        <w:rPr>
          <w:rFonts w:ascii="Arial" w:hAnsi="Arial" w:cs="Arial"/>
          <w:sz w:val="24"/>
          <w:szCs w:val="24"/>
        </w:rPr>
      </w:pPr>
      <w:r w:rsidRPr="005638B3">
        <w:rPr>
          <w:rFonts w:ascii="Arial" w:hAnsi="Arial" w:cs="Arial"/>
          <w:sz w:val="24"/>
          <w:szCs w:val="24"/>
        </w:rPr>
        <w:t>U sklopu projekta „Školski medni dan s hrvatskih pčelinjaka“ osigurava se teglica meda za učenike prvih razreda. Grad je od prve godine provedbe projekta uključen u ovu aktivnost te se nastavlja sa istom.</w:t>
      </w:r>
    </w:p>
    <w:p w14:paraId="07BEF286" w14:textId="77777777" w:rsidR="00E541EE" w:rsidRPr="00C067EF" w:rsidRDefault="00E541EE" w:rsidP="00E541EE">
      <w:pPr>
        <w:jc w:val="both"/>
        <w:rPr>
          <w:rFonts w:ascii="Arial" w:hAnsi="Arial" w:cs="Arial"/>
          <w:sz w:val="24"/>
          <w:szCs w:val="24"/>
        </w:rPr>
      </w:pPr>
      <w:r w:rsidRPr="00C067EF">
        <w:rPr>
          <w:rFonts w:ascii="Arial" w:eastAsia="Times New Roman" w:hAnsi="Arial" w:cs="Arial"/>
          <w:b/>
          <w:sz w:val="24"/>
          <w:szCs w:val="24"/>
        </w:rPr>
        <w:t>Opći cilj</w:t>
      </w:r>
      <w:r w:rsidRPr="00C067EF">
        <w:rPr>
          <w:rFonts w:ascii="Arial" w:eastAsia="Times New Roman" w:hAnsi="Arial" w:cs="Arial"/>
          <w:bCs/>
          <w:sz w:val="24"/>
          <w:szCs w:val="24"/>
        </w:rPr>
        <w:t>: edukacija</w:t>
      </w:r>
      <w:r w:rsidRPr="00C067EF">
        <w:rPr>
          <w:rFonts w:ascii="Arial" w:eastAsia="Times New Roman" w:hAnsi="Arial" w:cs="Arial"/>
          <w:sz w:val="24"/>
          <w:szCs w:val="24"/>
        </w:rPr>
        <w:t xml:space="preserve"> djece o pravilnoj primjeni samoniklog bilja, promocija zdrave prehrane te razvijanje filmske pismenosti kod djece.</w:t>
      </w:r>
    </w:p>
    <w:p w14:paraId="436ABDFF" w14:textId="77777777" w:rsidR="00E541EE" w:rsidRPr="00AC2206" w:rsidRDefault="00E541EE" w:rsidP="00E541EE">
      <w:pPr>
        <w:jc w:val="both"/>
        <w:rPr>
          <w:rFonts w:ascii="Arial" w:eastAsia="Times New Roman" w:hAnsi="Arial" w:cs="Arial"/>
          <w:sz w:val="24"/>
          <w:szCs w:val="24"/>
        </w:rPr>
      </w:pPr>
      <w:r w:rsidRPr="00C067EF">
        <w:rPr>
          <w:rFonts w:ascii="Arial" w:eastAsia="Times New Roman" w:hAnsi="Arial" w:cs="Arial"/>
          <w:b/>
          <w:bCs/>
          <w:sz w:val="24"/>
          <w:szCs w:val="24"/>
        </w:rPr>
        <w:t xml:space="preserve">Pokazatelj uspješnosti: </w:t>
      </w:r>
      <w:r w:rsidRPr="00C067EF">
        <w:rPr>
          <w:rFonts w:ascii="Arial" w:eastAsia="Times New Roman" w:hAnsi="Arial" w:cs="Arial"/>
          <w:bCs/>
          <w:sz w:val="24"/>
          <w:szCs w:val="24"/>
        </w:rPr>
        <w:t>realizacija planiranih aktivnosti</w:t>
      </w:r>
      <w:r>
        <w:rPr>
          <w:rFonts w:ascii="Arial" w:eastAsia="Times New Roman" w:hAnsi="Arial" w:cs="Arial"/>
          <w:bCs/>
          <w:sz w:val="24"/>
          <w:szCs w:val="24"/>
        </w:rPr>
        <w:t>.</w:t>
      </w:r>
    </w:p>
    <w:p w14:paraId="7107A5C4" w14:textId="77777777" w:rsidR="00E541EE" w:rsidRPr="00AC2206" w:rsidRDefault="00E541EE" w:rsidP="00E541EE">
      <w:pPr>
        <w:jc w:val="both"/>
        <w:rPr>
          <w:rFonts w:ascii="Arial" w:eastAsia="Times New Roman" w:hAnsi="Arial" w:cs="Arial"/>
          <w:sz w:val="24"/>
          <w:szCs w:val="24"/>
        </w:rPr>
      </w:pPr>
    </w:p>
    <w:p w14:paraId="4D6F5101" w14:textId="77777777" w:rsidR="00E541EE" w:rsidRPr="00B4101D" w:rsidRDefault="00E541EE" w:rsidP="00E541EE">
      <w:pPr>
        <w:pBdr>
          <w:top w:val="single" w:sz="4" w:space="1" w:color="auto"/>
          <w:left w:val="single" w:sz="4" w:space="4" w:color="auto"/>
          <w:bottom w:val="single" w:sz="4" w:space="1" w:color="auto"/>
          <w:right w:val="single" w:sz="4" w:space="4" w:color="auto"/>
        </w:pBdr>
        <w:shd w:val="clear" w:color="auto" w:fill="EDEDED" w:themeFill="accent3" w:themeFillTint="33"/>
        <w:jc w:val="both"/>
        <w:rPr>
          <w:rFonts w:ascii="Arial" w:eastAsia="Times New Roman" w:hAnsi="Arial" w:cs="Arial"/>
          <w:b/>
          <w:bCs/>
          <w:sz w:val="24"/>
          <w:szCs w:val="24"/>
        </w:rPr>
      </w:pPr>
      <w:r w:rsidRPr="00B4101D">
        <w:rPr>
          <w:rFonts w:ascii="Arial" w:eastAsia="Times New Roman" w:hAnsi="Arial" w:cs="Arial"/>
          <w:b/>
          <w:bCs/>
          <w:sz w:val="24"/>
          <w:szCs w:val="24"/>
        </w:rPr>
        <w:t>A 102617: Sufinanciranje smještaja nastavnika srednjih škola = 3.000,00 EUR</w:t>
      </w:r>
    </w:p>
    <w:p w14:paraId="4283767E" w14:textId="77777777" w:rsidR="00E541EE" w:rsidRPr="00B4101D" w:rsidRDefault="00E541EE" w:rsidP="00E541EE">
      <w:pPr>
        <w:jc w:val="both"/>
        <w:rPr>
          <w:rFonts w:ascii="Arial" w:eastAsia="Times New Roman" w:hAnsi="Arial" w:cs="Arial"/>
          <w:sz w:val="24"/>
          <w:szCs w:val="24"/>
        </w:rPr>
      </w:pPr>
      <w:r w:rsidRPr="00B4101D">
        <w:rPr>
          <w:rFonts w:ascii="Arial" w:eastAsia="Times New Roman" w:hAnsi="Arial" w:cs="Arial"/>
          <w:b/>
          <w:bCs/>
          <w:sz w:val="24"/>
          <w:szCs w:val="24"/>
        </w:rPr>
        <w:t>Zakonska osnova</w:t>
      </w:r>
      <w:r w:rsidRPr="00B4101D">
        <w:rPr>
          <w:rFonts w:ascii="Arial" w:eastAsia="Times New Roman" w:hAnsi="Arial" w:cs="Arial"/>
          <w:b/>
          <w:sz w:val="24"/>
          <w:szCs w:val="24"/>
        </w:rPr>
        <w:t>:</w:t>
      </w:r>
      <w:r w:rsidRPr="00B4101D">
        <w:rPr>
          <w:rFonts w:ascii="Arial" w:eastAsia="Times New Roman" w:hAnsi="Arial" w:cs="Arial"/>
          <w:sz w:val="24"/>
          <w:szCs w:val="24"/>
        </w:rPr>
        <w:t xml:space="preserve"> Zakon o lokalnoj i područnoj (regionalnoj) samoupravi, Zakon o odgoju i obrazovanju u osnovnoj i srednjoj školi.</w:t>
      </w:r>
    </w:p>
    <w:p w14:paraId="4865A587" w14:textId="77777777" w:rsidR="00E541EE" w:rsidRPr="00B4101D" w:rsidRDefault="00E541EE" w:rsidP="00E541EE">
      <w:pPr>
        <w:jc w:val="both"/>
        <w:rPr>
          <w:rFonts w:ascii="Arial" w:eastAsia="Times New Roman" w:hAnsi="Arial" w:cs="Arial"/>
          <w:b/>
          <w:sz w:val="24"/>
          <w:szCs w:val="24"/>
        </w:rPr>
      </w:pPr>
      <w:r w:rsidRPr="00B4101D">
        <w:rPr>
          <w:rFonts w:ascii="Arial" w:eastAsia="Times New Roman" w:hAnsi="Arial" w:cs="Arial"/>
          <w:b/>
          <w:sz w:val="24"/>
          <w:szCs w:val="24"/>
        </w:rPr>
        <w:t xml:space="preserve">Opis: </w:t>
      </w:r>
      <w:r w:rsidRPr="00B4101D">
        <w:rPr>
          <w:rFonts w:ascii="Arial" w:eastAsia="Times New Roman" w:hAnsi="Arial" w:cs="Arial"/>
          <w:bCs/>
          <w:sz w:val="24"/>
          <w:szCs w:val="24"/>
        </w:rPr>
        <w:t xml:space="preserve">ovim sredstvima planira se sufinanciranje smještaja za potrebe deficitarnih kadrova u srednjim školama. </w:t>
      </w:r>
    </w:p>
    <w:p w14:paraId="7E8BF924" w14:textId="77777777" w:rsidR="00E541EE" w:rsidRPr="00B4101D" w:rsidRDefault="00E541EE" w:rsidP="00E541EE">
      <w:pPr>
        <w:jc w:val="both"/>
        <w:rPr>
          <w:rFonts w:ascii="Arial" w:eastAsia="Times New Roman" w:hAnsi="Arial" w:cs="Arial"/>
          <w:sz w:val="24"/>
          <w:szCs w:val="24"/>
        </w:rPr>
      </w:pPr>
      <w:r w:rsidRPr="00B4101D">
        <w:rPr>
          <w:rFonts w:ascii="Arial" w:eastAsia="Times New Roman" w:hAnsi="Arial" w:cs="Arial"/>
          <w:b/>
          <w:sz w:val="24"/>
          <w:szCs w:val="24"/>
        </w:rPr>
        <w:t xml:space="preserve">Opći cilj: </w:t>
      </w:r>
      <w:r w:rsidRPr="00B4101D">
        <w:rPr>
          <w:rFonts w:ascii="Arial" w:eastAsia="Times New Roman" w:hAnsi="Arial" w:cs="Arial"/>
          <w:bCs/>
          <w:sz w:val="24"/>
          <w:szCs w:val="24"/>
        </w:rPr>
        <w:t>osiguravanje stručnih kadrova u sustavu srednjoškolskog obrazovanja</w:t>
      </w:r>
      <w:r>
        <w:rPr>
          <w:rFonts w:ascii="Arial" w:eastAsia="Times New Roman" w:hAnsi="Arial" w:cs="Arial"/>
          <w:bCs/>
          <w:sz w:val="24"/>
          <w:szCs w:val="24"/>
        </w:rPr>
        <w:t>.</w:t>
      </w:r>
    </w:p>
    <w:p w14:paraId="5AE1D6C2" w14:textId="77777777" w:rsidR="00E541EE" w:rsidRDefault="00E541EE" w:rsidP="00E541EE">
      <w:pPr>
        <w:jc w:val="both"/>
        <w:rPr>
          <w:rFonts w:ascii="Arial" w:eastAsia="Times New Roman" w:hAnsi="Arial" w:cs="Arial"/>
          <w:sz w:val="24"/>
          <w:szCs w:val="24"/>
        </w:rPr>
      </w:pPr>
      <w:r w:rsidRPr="00B4101D">
        <w:rPr>
          <w:rFonts w:ascii="Arial" w:eastAsia="Times New Roman" w:hAnsi="Arial" w:cs="Arial"/>
          <w:b/>
          <w:bCs/>
          <w:sz w:val="24"/>
          <w:szCs w:val="24"/>
        </w:rPr>
        <w:t xml:space="preserve">Pokazatelj uspješnosti: </w:t>
      </w:r>
      <w:r w:rsidRPr="00B4101D">
        <w:rPr>
          <w:rFonts w:ascii="Arial" w:eastAsia="Times New Roman" w:hAnsi="Arial" w:cs="Arial"/>
          <w:sz w:val="24"/>
          <w:szCs w:val="24"/>
        </w:rPr>
        <w:t>zapošljavanje stručnog kadra</w:t>
      </w:r>
      <w:r>
        <w:rPr>
          <w:rFonts w:ascii="Arial" w:eastAsia="Times New Roman" w:hAnsi="Arial" w:cs="Arial"/>
          <w:sz w:val="24"/>
          <w:szCs w:val="24"/>
        </w:rPr>
        <w:t>.</w:t>
      </w:r>
    </w:p>
    <w:p w14:paraId="24F8B3E9" w14:textId="77777777" w:rsidR="00E541EE" w:rsidRDefault="00E541EE" w:rsidP="00E541EE">
      <w:pPr>
        <w:jc w:val="both"/>
        <w:rPr>
          <w:rFonts w:ascii="Arial" w:eastAsia="Times New Roman" w:hAnsi="Arial" w:cs="Arial"/>
          <w:sz w:val="24"/>
          <w:szCs w:val="24"/>
        </w:rPr>
      </w:pPr>
    </w:p>
    <w:p w14:paraId="741AA68B" w14:textId="77777777" w:rsidR="00E541EE" w:rsidRPr="00B4101D" w:rsidRDefault="00E541EE" w:rsidP="00E541EE">
      <w:pPr>
        <w:pBdr>
          <w:top w:val="single" w:sz="4" w:space="1" w:color="auto"/>
          <w:left w:val="single" w:sz="4" w:space="4" w:color="auto"/>
          <w:bottom w:val="single" w:sz="4" w:space="1" w:color="auto"/>
          <w:right w:val="single" w:sz="4" w:space="4" w:color="auto"/>
        </w:pBdr>
        <w:shd w:val="clear" w:color="auto" w:fill="EDEDED" w:themeFill="accent3" w:themeFillTint="33"/>
        <w:jc w:val="both"/>
        <w:rPr>
          <w:rFonts w:ascii="Arial" w:eastAsia="Times New Roman" w:hAnsi="Arial" w:cs="Arial"/>
          <w:b/>
          <w:bCs/>
          <w:sz w:val="24"/>
          <w:szCs w:val="24"/>
        </w:rPr>
      </w:pPr>
      <w:r w:rsidRPr="00B4101D">
        <w:rPr>
          <w:rFonts w:ascii="Arial" w:eastAsia="Times New Roman" w:hAnsi="Arial" w:cs="Arial"/>
          <w:b/>
          <w:bCs/>
          <w:sz w:val="24"/>
          <w:szCs w:val="24"/>
        </w:rPr>
        <w:t xml:space="preserve">A </w:t>
      </w:r>
      <w:r>
        <w:rPr>
          <w:rFonts w:ascii="Arial" w:eastAsia="Times New Roman" w:hAnsi="Arial" w:cs="Arial"/>
          <w:b/>
          <w:bCs/>
          <w:sz w:val="24"/>
          <w:szCs w:val="24"/>
        </w:rPr>
        <w:t>102618</w:t>
      </w:r>
      <w:r w:rsidRPr="00B4101D">
        <w:rPr>
          <w:rFonts w:ascii="Arial" w:eastAsia="Times New Roman" w:hAnsi="Arial" w:cs="Arial"/>
          <w:b/>
          <w:bCs/>
          <w:sz w:val="24"/>
          <w:szCs w:val="24"/>
        </w:rPr>
        <w:t xml:space="preserve">: </w:t>
      </w:r>
      <w:r>
        <w:rPr>
          <w:rFonts w:ascii="Arial" w:eastAsia="Times New Roman" w:hAnsi="Arial" w:cs="Arial"/>
          <w:b/>
          <w:bCs/>
          <w:sz w:val="24"/>
          <w:szCs w:val="24"/>
        </w:rPr>
        <w:t>Stručno usavršavanje mladih</w:t>
      </w:r>
      <w:r w:rsidRPr="00B4101D">
        <w:rPr>
          <w:rFonts w:ascii="Arial" w:eastAsia="Times New Roman" w:hAnsi="Arial" w:cs="Arial"/>
          <w:b/>
          <w:bCs/>
          <w:sz w:val="24"/>
          <w:szCs w:val="24"/>
        </w:rPr>
        <w:t xml:space="preserve"> = 3.000,00 EUR</w:t>
      </w:r>
    </w:p>
    <w:p w14:paraId="3D74057A" w14:textId="77777777" w:rsidR="00E541EE" w:rsidRPr="002262AE" w:rsidRDefault="00E541EE" w:rsidP="00E541EE">
      <w:pPr>
        <w:jc w:val="both"/>
        <w:rPr>
          <w:rFonts w:ascii="Arial" w:eastAsia="Times New Roman" w:hAnsi="Arial" w:cs="Arial"/>
          <w:sz w:val="24"/>
          <w:szCs w:val="24"/>
        </w:rPr>
      </w:pPr>
      <w:r w:rsidRPr="002262AE">
        <w:rPr>
          <w:rFonts w:ascii="Arial" w:eastAsia="Times New Roman" w:hAnsi="Arial" w:cs="Arial"/>
          <w:b/>
          <w:bCs/>
          <w:sz w:val="24"/>
          <w:szCs w:val="24"/>
        </w:rPr>
        <w:t>Zakonska osnova</w:t>
      </w:r>
      <w:r w:rsidRPr="002262AE">
        <w:rPr>
          <w:rFonts w:ascii="Arial" w:eastAsia="Times New Roman" w:hAnsi="Arial" w:cs="Arial"/>
          <w:b/>
          <w:sz w:val="24"/>
          <w:szCs w:val="24"/>
        </w:rPr>
        <w:t>:</w:t>
      </w:r>
      <w:r w:rsidRPr="002262AE">
        <w:rPr>
          <w:rFonts w:ascii="Arial" w:eastAsia="Times New Roman" w:hAnsi="Arial" w:cs="Arial"/>
          <w:sz w:val="24"/>
          <w:szCs w:val="24"/>
        </w:rPr>
        <w:t xml:space="preserve"> Zakon o lokalnoj i područnoj (regionalnoj) samoupravi, </w:t>
      </w:r>
    </w:p>
    <w:p w14:paraId="2702F137" w14:textId="77777777" w:rsidR="00E541EE" w:rsidRPr="002262AE" w:rsidRDefault="00E541EE" w:rsidP="00E541EE">
      <w:pPr>
        <w:jc w:val="both"/>
        <w:rPr>
          <w:rFonts w:ascii="Arial" w:eastAsia="Times New Roman" w:hAnsi="Arial" w:cs="Arial"/>
          <w:bCs/>
          <w:sz w:val="24"/>
          <w:szCs w:val="24"/>
        </w:rPr>
      </w:pPr>
      <w:r w:rsidRPr="002262AE">
        <w:rPr>
          <w:rFonts w:ascii="Arial" w:eastAsia="Times New Roman" w:hAnsi="Arial" w:cs="Arial"/>
          <w:b/>
          <w:sz w:val="24"/>
          <w:szCs w:val="24"/>
        </w:rPr>
        <w:t xml:space="preserve">Opis: </w:t>
      </w:r>
      <w:r w:rsidRPr="002262AE">
        <w:rPr>
          <w:rFonts w:ascii="Arial" w:eastAsia="Times New Roman" w:hAnsi="Arial" w:cs="Arial"/>
          <w:bCs/>
          <w:sz w:val="24"/>
          <w:szCs w:val="24"/>
        </w:rPr>
        <w:t>sredstva se osiguravaju na temelju Programa rada Savjeta mladih za 2025. godinu, s ciljem poticanja mladih na veće uključivanje u raznolike procese formalnog i neformalnog obrazovanja u odnosu na redovito obrazovanje te podizanja razine njihovog obrazovanja i vještina u svrhu poboljšanja konkurentnosti na tržištu rada, a radi povećanja njihova zapošljavanja</w:t>
      </w:r>
    </w:p>
    <w:p w14:paraId="36EC80EE" w14:textId="77777777" w:rsidR="00E541EE" w:rsidRPr="002262AE" w:rsidRDefault="00E541EE" w:rsidP="00E541EE">
      <w:pPr>
        <w:jc w:val="both"/>
        <w:rPr>
          <w:rFonts w:ascii="Arial" w:eastAsia="Times New Roman" w:hAnsi="Arial" w:cs="Arial"/>
          <w:bCs/>
          <w:sz w:val="24"/>
          <w:szCs w:val="24"/>
        </w:rPr>
      </w:pPr>
      <w:r w:rsidRPr="002262AE">
        <w:rPr>
          <w:rFonts w:ascii="Arial" w:eastAsia="Times New Roman" w:hAnsi="Arial" w:cs="Arial"/>
          <w:bCs/>
          <w:sz w:val="24"/>
          <w:szCs w:val="24"/>
        </w:rPr>
        <w:t xml:space="preserve">Poticajna sredstva za podmirivanje troškova obrazovanja dodijelit će se temeljem javnog poziva. </w:t>
      </w:r>
    </w:p>
    <w:p w14:paraId="2A1AFBE9" w14:textId="77777777" w:rsidR="00E541EE" w:rsidRPr="002262AE" w:rsidRDefault="00E541EE" w:rsidP="00E541EE">
      <w:pPr>
        <w:jc w:val="both"/>
        <w:rPr>
          <w:rFonts w:ascii="Arial" w:eastAsia="Times New Roman" w:hAnsi="Arial" w:cs="Arial"/>
          <w:sz w:val="24"/>
          <w:szCs w:val="24"/>
        </w:rPr>
      </w:pPr>
      <w:r w:rsidRPr="002262AE">
        <w:rPr>
          <w:rFonts w:ascii="Arial" w:eastAsia="Times New Roman" w:hAnsi="Arial" w:cs="Arial"/>
          <w:b/>
          <w:sz w:val="24"/>
          <w:szCs w:val="24"/>
        </w:rPr>
        <w:t xml:space="preserve">Opći cilj: </w:t>
      </w:r>
      <w:r w:rsidRPr="002262AE">
        <w:rPr>
          <w:rFonts w:ascii="Arial" w:eastAsia="Times New Roman" w:hAnsi="Arial" w:cs="Arial"/>
          <w:bCs/>
          <w:sz w:val="24"/>
          <w:szCs w:val="24"/>
        </w:rPr>
        <w:t>poticanje mladih na dodatno usavršavanje i stjecanje kompetencija u svrhu poboljšanja njihove konkurentnosti na tržištu rada</w:t>
      </w:r>
    </w:p>
    <w:p w14:paraId="683EDE20" w14:textId="77777777" w:rsidR="00E541EE" w:rsidRDefault="00E541EE" w:rsidP="00E541EE">
      <w:pPr>
        <w:jc w:val="both"/>
        <w:rPr>
          <w:rFonts w:ascii="Arial" w:eastAsia="Times New Roman" w:hAnsi="Arial" w:cs="Arial"/>
          <w:sz w:val="24"/>
          <w:szCs w:val="24"/>
        </w:rPr>
      </w:pPr>
      <w:r w:rsidRPr="002262AE">
        <w:rPr>
          <w:rFonts w:ascii="Arial" w:eastAsia="Times New Roman" w:hAnsi="Arial" w:cs="Arial"/>
          <w:b/>
          <w:bCs/>
          <w:sz w:val="24"/>
          <w:szCs w:val="24"/>
        </w:rPr>
        <w:t xml:space="preserve">Pokazatelj uspješnosti: </w:t>
      </w:r>
      <w:r w:rsidRPr="002262AE">
        <w:rPr>
          <w:rFonts w:ascii="Arial" w:eastAsia="Times New Roman" w:hAnsi="Arial" w:cs="Arial"/>
          <w:sz w:val="24"/>
          <w:szCs w:val="24"/>
        </w:rPr>
        <w:t xml:space="preserve">broj mladih </w:t>
      </w:r>
      <w:r>
        <w:rPr>
          <w:rFonts w:ascii="Arial" w:eastAsia="Times New Roman" w:hAnsi="Arial" w:cs="Arial"/>
          <w:sz w:val="24"/>
          <w:szCs w:val="24"/>
        </w:rPr>
        <w:t>-</w:t>
      </w:r>
      <w:r w:rsidRPr="002262AE">
        <w:rPr>
          <w:rFonts w:ascii="Arial" w:eastAsia="Times New Roman" w:hAnsi="Arial" w:cs="Arial"/>
          <w:sz w:val="24"/>
          <w:szCs w:val="24"/>
        </w:rPr>
        <w:t xml:space="preserve"> korisnika naknade</w:t>
      </w:r>
    </w:p>
    <w:p w14:paraId="4EDC7293" w14:textId="77777777" w:rsidR="00E541EE" w:rsidRDefault="00E541EE" w:rsidP="00E541EE">
      <w:pPr>
        <w:jc w:val="both"/>
        <w:rPr>
          <w:rFonts w:ascii="Arial" w:eastAsia="Times New Roman" w:hAnsi="Arial" w:cs="Arial"/>
          <w:sz w:val="24"/>
          <w:szCs w:val="24"/>
        </w:rPr>
      </w:pPr>
    </w:p>
    <w:p w14:paraId="7A246264" w14:textId="77777777" w:rsidR="00E541EE" w:rsidRPr="00B4101D" w:rsidRDefault="00E541EE" w:rsidP="00E541EE">
      <w:pPr>
        <w:pBdr>
          <w:top w:val="single" w:sz="4" w:space="1" w:color="auto"/>
          <w:left w:val="single" w:sz="4" w:space="4" w:color="auto"/>
          <w:bottom w:val="single" w:sz="4" w:space="1" w:color="auto"/>
          <w:right w:val="single" w:sz="4" w:space="4" w:color="auto"/>
        </w:pBdr>
        <w:shd w:val="clear" w:color="auto" w:fill="EDEDED" w:themeFill="accent3" w:themeFillTint="33"/>
        <w:jc w:val="both"/>
        <w:rPr>
          <w:rFonts w:ascii="Arial" w:eastAsia="Times New Roman" w:hAnsi="Arial" w:cs="Arial"/>
          <w:b/>
          <w:bCs/>
          <w:sz w:val="24"/>
          <w:szCs w:val="24"/>
        </w:rPr>
      </w:pPr>
      <w:r w:rsidRPr="00B4101D">
        <w:rPr>
          <w:rFonts w:ascii="Arial" w:eastAsia="Times New Roman" w:hAnsi="Arial" w:cs="Arial"/>
          <w:b/>
          <w:bCs/>
          <w:sz w:val="24"/>
          <w:szCs w:val="24"/>
        </w:rPr>
        <w:t xml:space="preserve">A </w:t>
      </w:r>
      <w:r>
        <w:rPr>
          <w:rFonts w:ascii="Arial" w:eastAsia="Times New Roman" w:hAnsi="Arial" w:cs="Arial"/>
          <w:b/>
          <w:bCs/>
          <w:sz w:val="24"/>
          <w:szCs w:val="24"/>
        </w:rPr>
        <w:t>102619</w:t>
      </w:r>
      <w:r w:rsidRPr="00B4101D">
        <w:rPr>
          <w:rFonts w:ascii="Arial" w:eastAsia="Times New Roman" w:hAnsi="Arial" w:cs="Arial"/>
          <w:b/>
          <w:bCs/>
          <w:sz w:val="24"/>
          <w:szCs w:val="24"/>
        </w:rPr>
        <w:t xml:space="preserve">: </w:t>
      </w:r>
      <w:r>
        <w:rPr>
          <w:rFonts w:ascii="Arial" w:eastAsia="Times New Roman" w:hAnsi="Arial" w:cs="Arial"/>
          <w:b/>
          <w:bCs/>
          <w:sz w:val="24"/>
          <w:szCs w:val="24"/>
        </w:rPr>
        <w:t>Regionalna mreža podrške stranim radnicima</w:t>
      </w:r>
      <w:r w:rsidRPr="00B4101D">
        <w:rPr>
          <w:rFonts w:ascii="Arial" w:eastAsia="Times New Roman" w:hAnsi="Arial" w:cs="Arial"/>
          <w:b/>
          <w:bCs/>
          <w:sz w:val="24"/>
          <w:szCs w:val="24"/>
        </w:rPr>
        <w:t xml:space="preserve"> = </w:t>
      </w:r>
      <w:r>
        <w:rPr>
          <w:rFonts w:ascii="Arial" w:eastAsia="Times New Roman" w:hAnsi="Arial" w:cs="Arial"/>
          <w:b/>
          <w:bCs/>
          <w:sz w:val="24"/>
          <w:szCs w:val="24"/>
        </w:rPr>
        <w:t>2.5</w:t>
      </w:r>
      <w:r w:rsidRPr="00B4101D">
        <w:rPr>
          <w:rFonts w:ascii="Arial" w:eastAsia="Times New Roman" w:hAnsi="Arial" w:cs="Arial"/>
          <w:b/>
          <w:bCs/>
          <w:sz w:val="24"/>
          <w:szCs w:val="24"/>
        </w:rPr>
        <w:t>00,00 EUR</w:t>
      </w:r>
    </w:p>
    <w:p w14:paraId="60DF933B" w14:textId="77777777" w:rsidR="00E541EE" w:rsidRPr="002262AE" w:rsidRDefault="00E541EE" w:rsidP="00E541EE">
      <w:pPr>
        <w:jc w:val="both"/>
        <w:rPr>
          <w:rFonts w:ascii="Arial" w:eastAsia="Times New Roman" w:hAnsi="Arial" w:cs="Arial"/>
          <w:sz w:val="24"/>
          <w:szCs w:val="24"/>
        </w:rPr>
      </w:pPr>
      <w:r w:rsidRPr="002262AE">
        <w:rPr>
          <w:rFonts w:ascii="Arial" w:eastAsia="Times New Roman" w:hAnsi="Arial" w:cs="Arial"/>
          <w:b/>
          <w:bCs/>
          <w:sz w:val="24"/>
          <w:szCs w:val="24"/>
        </w:rPr>
        <w:t>Zakonska osnova</w:t>
      </w:r>
      <w:r w:rsidRPr="002262AE">
        <w:rPr>
          <w:rFonts w:ascii="Arial" w:eastAsia="Times New Roman" w:hAnsi="Arial" w:cs="Arial"/>
          <w:b/>
          <w:sz w:val="24"/>
          <w:szCs w:val="24"/>
        </w:rPr>
        <w:t>:</w:t>
      </w:r>
      <w:r w:rsidRPr="002262AE">
        <w:rPr>
          <w:rFonts w:ascii="Arial" w:eastAsia="Times New Roman" w:hAnsi="Arial" w:cs="Arial"/>
          <w:sz w:val="24"/>
          <w:szCs w:val="24"/>
        </w:rPr>
        <w:t xml:space="preserve"> Zakon o lokalnoj i područnoj (regionalnoj) samoupravi, </w:t>
      </w:r>
    </w:p>
    <w:p w14:paraId="7C2036D7" w14:textId="77777777" w:rsidR="00E541EE" w:rsidRPr="00A47A80" w:rsidRDefault="00E541EE" w:rsidP="00E541EE">
      <w:pPr>
        <w:jc w:val="both"/>
        <w:rPr>
          <w:rFonts w:ascii="Arial" w:eastAsia="Times New Roman" w:hAnsi="Arial" w:cs="Arial"/>
          <w:bCs/>
          <w:sz w:val="24"/>
          <w:szCs w:val="24"/>
        </w:rPr>
      </w:pPr>
      <w:r w:rsidRPr="002262AE">
        <w:rPr>
          <w:rFonts w:ascii="Arial" w:eastAsia="Times New Roman" w:hAnsi="Arial" w:cs="Arial"/>
          <w:b/>
          <w:sz w:val="24"/>
          <w:szCs w:val="24"/>
        </w:rPr>
        <w:t xml:space="preserve">Opis: </w:t>
      </w:r>
      <w:r w:rsidRPr="00D53EF6">
        <w:rPr>
          <w:rFonts w:ascii="Arial" w:eastAsia="Times New Roman" w:hAnsi="Arial" w:cs="Arial"/>
          <w:bCs/>
          <w:sz w:val="24"/>
          <w:szCs w:val="24"/>
        </w:rPr>
        <w:t>prema raspoloživim podacima</w:t>
      </w:r>
      <w:r>
        <w:rPr>
          <w:rFonts w:ascii="Arial" w:eastAsia="Times New Roman" w:hAnsi="Arial" w:cs="Arial"/>
          <w:bCs/>
          <w:sz w:val="24"/>
          <w:szCs w:val="24"/>
        </w:rPr>
        <w:t xml:space="preserve"> u Istarskoj županiji živi i radi preko 23.000 registrirana strana radnika te je stoga Istarska županija pokrenula inicijativu z osnivanje Regionalne mreže podrške stranim radnicima i njihovim obiteljima. Cilj je pripremiti strane radnike i njihove obitelji na život u Istarskoj županiji, na način da ih se upozna kako s pravima i obavezama, tako i sa načinom života, vrijednostima i običajima. Potrebno je omogućiti socijalnu uključenost, usvajanje jezika te </w:t>
      </w:r>
      <w:r w:rsidRPr="00A47A80">
        <w:rPr>
          <w:rFonts w:ascii="Arial" w:eastAsia="Times New Roman" w:hAnsi="Arial" w:cs="Arial"/>
          <w:bCs/>
          <w:sz w:val="24"/>
          <w:szCs w:val="24"/>
        </w:rPr>
        <w:t>upoznavanje sa lokalnom kulturom, tradicijom i običajima.</w:t>
      </w:r>
    </w:p>
    <w:p w14:paraId="7AE4D255" w14:textId="77777777" w:rsidR="00E541EE" w:rsidRPr="00D53EF6" w:rsidRDefault="00E541EE" w:rsidP="00E541EE">
      <w:pPr>
        <w:jc w:val="both"/>
        <w:rPr>
          <w:rFonts w:ascii="Arial" w:eastAsia="Times New Roman" w:hAnsi="Arial" w:cs="Arial"/>
          <w:bCs/>
          <w:sz w:val="24"/>
          <w:szCs w:val="24"/>
        </w:rPr>
      </w:pPr>
      <w:r w:rsidRPr="00A47A80">
        <w:rPr>
          <w:rFonts w:ascii="Arial" w:eastAsia="Times New Roman" w:hAnsi="Arial" w:cs="Arial"/>
          <w:bCs/>
          <w:sz w:val="24"/>
          <w:szCs w:val="24"/>
        </w:rPr>
        <w:t>Na razini županije pokrenut je prijedlog za osnivanje koordinacije u cilju uspostave Regionalne mreže te će se kroz zajedničke sastanke dogovarati aktivnosti na razini pojedine jedinice lokalne samouprave. U svrhu sufinanciranja aktivnosti (inicijalno tečajevi hrvatskog jezika)  planiraju se inicijalna sredstva u iznosu od 2.500,00 eura</w:t>
      </w:r>
      <w:r>
        <w:rPr>
          <w:rFonts w:ascii="Arial" w:eastAsia="Times New Roman" w:hAnsi="Arial" w:cs="Arial"/>
          <w:bCs/>
          <w:sz w:val="24"/>
          <w:szCs w:val="24"/>
        </w:rPr>
        <w:t>.</w:t>
      </w:r>
    </w:p>
    <w:p w14:paraId="37660D60" w14:textId="77777777" w:rsidR="00E541EE" w:rsidRPr="002262AE" w:rsidRDefault="00E541EE" w:rsidP="00E541EE">
      <w:pPr>
        <w:jc w:val="both"/>
        <w:rPr>
          <w:rFonts w:ascii="Arial" w:eastAsia="Times New Roman" w:hAnsi="Arial" w:cs="Arial"/>
          <w:sz w:val="24"/>
          <w:szCs w:val="24"/>
        </w:rPr>
      </w:pPr>
      <w:r w:rsidRPr="002262AE">
        <w:rPr>
          <w:rFonts w:ascii="Arial" w:eastAsia="Times New Roman" w:hAnsi="Arial" w:cs="Arial"/>
          <w:b/>
          <w:sz w:val="24"/>
          <w:szCs w:val="24"/>
        </w:rPr>
        <w:t xml:space="preserve">Opći cilj: </w:t>
      </w:r>
      <w:r w:rsidRPr="00E97A17">
        <w:rPr>
          <w:rFonts w:ascii="Arial" w:eastAsia="Times New Roman" w:hAnsi="Arial" w:cs="Arial"/>
          <w:bCs/>
          <w:sz w:val="24"/>
          <w:szCs w:val="24"/>
        </w:rPr>
        <w:t>integracija stranih radnika u Istarskoj županiji</w:t>
      </w:r>
      <w:r>
        <w:rPr>
          <w:rFonts w:ascii="Arial" w:eastAsia="Times New Roman" w:hAnsi="Arial" w:cs="Arial"/>
          <w:bCs/>
          <w:sz w:val="24"/>
          <w:szCs w:val="24"/>
        </w:rPr>
        <w:t>.</w:t>
      </w:r>
    </w:p>
    <w:p w14:paraId="611BF783" w14:textId="77777777" w:rsidR="00E541EE" w:rsidRPr="00A53BE1" w:rsidRDefault="00E541EE" w:rsidP="00E541EE">
      <w:pPr>
        <w:jc w:val="both"/>
        <w:rPr>
          <w:rFonts w:ascii="Arial" w:eastAsia="Times New Roman" w:hAnsi="Arial" w:cs="Arial"/>
          <w:sz w:val="24"/>
          <w:szCs w:val="24"/>
        </w:rPr>
      </w:pPr>
      <w:r w:rsidRPr="002262AE">
        <w:rPr>
          <w:rFonts w:ascii="Arial" w:eastAsia="Times New Roman" w:hAnsi="Arial" w:cs="Arial"/>
          <w:b/>
          <w:bCs/>
          <w:sz w:val="24"/>
          <w:szCs w:val="24"/>
        </w:rPr>
        <w:t xml:space="preserve">Pokazatelj uspješnosti: </w:t>
      </w:r>
      <w:r>
        <w:rPr>
          <w:rFonts w:ascii="Arial" w:eastAsia="Times New Roman" w:hAnsi="Arial" w:cs="Arial"/>
          <w:sz w:val="24"/>
          <w:szCs w:val="24"/>
        </w:rPr>
        <w:t xml:space="preserve">provedene aktivnosti. </w:t>
      </w:r>
    </w:p>
    <w:p w14:paraId="08F33C0D" w14:textId="77777777" w:rsidR="00E541EE" w:rsidRPr="00A53BE1" w:rsidRDefault="00E541EE" w:rsidP="00E541EE">
      <w:pPr>
        <w:jc w:val="both"/>
        <w:rPr>
          <w:rFonts w:ascii="Arial" w:eastAsia="Times New Roman" w:hAnsi="Arial" w:cs="Arial"/>
          <w:sz w:val="24"/>
          <w:szCs w:val="24"/>
        </w:rPr>
      </w:pPr>
    </w:p>
    <w:p w14:paraId="765381EE" w14:textId="77777777" w:rsidR="00E541EE" w:rsidRPr="00B4101D" w:rsidRDefault="00E541EE" w:rsidP="00E541EE">
      <w:pPr>
        <w:pBdr>
          <w:top w:val="single" w:sz="4" w:space="1" w:color="auto"/>
          <w:left w:val="single" w:sz="4" w:space="4" w:color="auto"/>
          <w:bottom w:val="single" w:sz="4" w:space="1" w:color="auto"/>
          <w:right w:val="single" w:sz="4" w:space="4" w:color="auto"/>
        </w:pBdr>
        <w:shd w:val="clear" w:color="auto" w:fill="EDEDED" w:themeFill="accent3" w:themeFillTint="33"/>
        <w:jc w:val="both"/>
        <w:rPr>
          <w:rFonts w:ascii="Arial" w:eastAsia="Times New Roman" w:hAnsi="Arial" w:cs="Arial"/>
          <w:b/>
          <w:bCs/>
          <w:sz w:val="24"/>
          <w:szCs w:val="24"/>
        </w:rPr>
      </w:pPr>
      <w:r w:rsidRPr="00B4101D">
        <w:rPr>
          <w:rFonts w:ascii="Arial" w:eastAsia="Times New Roman" w:hAnsi="Arial" w:cs="Arial"/>
          <w:b/>
          <w:bCs/>
          <w:sz w:val="24"/>
          <w:szCs w:val="24"/>
        </w:rPr>
        <w:t xml:space="preserve">A </w:t>
      </w:r>
      <w:r>
        <w:rPr>
          <w:rFonts w:ascii="Arial" w:eastAsia="Times New Roman" w:hAnsi="Arial" w:cs="Arial"/>
          <w:b/>
          <w:bCs/>
          <w:sz w:val="24"/>
          <w:szCs w:val="24"/>
        </w:rPr>
        <w:t>102620</w:t>
      </w:r>
      <w:r w:rsidRPr="00B4101D">
        <w:rPr>
          <w:rFonts w:ascii="Arial" w:eastAsia="Times New Roman" w:hAnsi="Arial" w:cs="Arial"/>
          <w:b/>
          <w:bCs/>
          <w:sz w:val="24"/>
          <w:szCs w:val="24"/>
        </w:rPr>
        <w:t xml:space="preserve">: </w:t>
      </w:r>
      <w:r>
        <w:rPr>
          <w:rFonts w:ascii="Arial" w:eastAsia="Times New Roman" w:hAnsi="Arial" w:cs="Arial"/>
          <w:b/>
          <w:bCs/>
          <w:sz w:val="24"/>
          <w:szCs w:val="24"/>
        </w:rPr>
        <w:t>Dani medijske pismenosti</w:t>
      </w:r>
      <w:r w:rsidRPr="00B4101D">
        <w:rPr>
          <w:rFonts w:ascii="Arial" w:eastAsia="Times New Roman" w:hAnsi="Arial" w:cs="Arial"/>
          <w:b/>
          <w:bCs/>
          <w:sz w:val="24"/>
          <w:szCs w:val="24"/>
        </w:rPr>
        <w:t xml:space="preserve"> = </w:t>
      </w:r>
      <w:r>
        <w:rPr>
          <w:rFonts w:ascii="Arial" w:eastAsia="Times New Roman" w:hAnsi="Arial" w:cs="Arial"/>
          <w:b/>
          <w:bCs/>
          <w:sz w:val="24"/>
          <w:szCs w:val="24"/>
        </w:rPr>
        <w:t>4</w:t>
      </w:r>
      <w:r w:rsidRPr="00B4101D">
        <w:rPr>
          <w:rFonts w:ascii="Arial" w:eastAsia="Times New Roman" w:hAnsi="Arial" w:cs="Arial"/>
          <w:b/>
          <w:bCs/>
          <w:sz w:val="24"/>
          <w:szCs w:val="24"/>
        </w:rPr>
        <w:t>.000,00 EUR</w:t>
      </w:r>
    </w:p>
    <w:p w14:paraId="7CAC850A" w14:textId="77777777" w:rsidR="00E541EE" w:rsidRPr="002262AE" w:rsidRDefault="00E541EE" w:rsidP="00E541EE">
      <w:pPr>
        <w:jc w:val="both"/>
        <w:rPr>
          <w:rFonts w:ascii="Arial" w:eastAsia="Times New Roman" w:hAnsi="Arial" w:cs="Arial"/>
          <w:sz w:val="24"/>
          <w:szCs w:val="24"/>
        </w:rPr>
      </w:pPr>
      <w:r w:rsidRPr="002262AE">
        <w:rPr>
          <w:rFonts w:ascii="Arial" w:eastAsia="Times New Roman" w:hAnsi="Arial" w:cs="Arial"/>
          <w:b/>
          <w:bCs/>
          <w:sz w:val="24"/>
          <w:szCs w:val="24"/>
        </w:rPr>
        <w:t>Zakonska osnova</w:t>
      </w:r>
      <w:r w:rsidRPr="002262AE">
        <w:rPr>
          <w:rFonts w:ascii="Arial" w:eastAsia="Times New Roman" w:hAnsi="Arial" w:cs="Arial"/>
          <w:b/>
          <w:sz w:val="24"/>
          <w:szCs w:val="24"/>
        </w:rPr>
        <w:t>:</w:t>
      </w:r>
      <w:r w:rsidRPr="002262AE">
        <w:rPr>
          <w:rFonts w:ascii="Arial" w:eastAsia="Times New Roman" w:hAnsi="Arial" w:cs="Arial"/>
          <w:sz w:val="24"/>
          <w:szCs w:val="24"/>
        </w:rPr>
        <w:t xml:space="preserve"> Zakon o lokalnoj i područnoj (regionalnoj) samoupravi, </w:t>
      </w:r>
    </w:p>
    <w:p w14:paraId="0178BAF6" w14:textId="77777777" w:rsidR="00E541EE" w:rsidRPr="008C299B" w:rsidRDefault="00E541EE" w:rsidP="00E541EE">
      <w:pPr>
        <w:jc w:val="both"/>
        <w:rPr>
          <w:rFonts w:ascii="Arial" w:eastAsia="Times New Roman" w:hAnsi="Arial" w:cs="Arial"/>
          <w:bCs/>
          <w:sz w:val="24"/>
          <w:szCs w:val="24"/>
        </w:rPr>
      </w:pPr>
      <w:r w:rsidRPr="002262AE">
        <w:rPr>
          <w:rFonts w:ascii="Arial" w:eastAsia="Times New Roman" w:hAnsi="Arial" w:cs="Arial"/>
          <w:b/>
          <w:sz w:val="24"/>
          <w:szCs w:val="24"/>
        </w:rPr>
        <w:t>Opis</w:t>
      </w:r>
      <w:r w:rsidRPr="008C299B">
        <w:rPr>
          <w:rFonts w:ascii="Arial" w:eastAsia="Times New Roman" w:hAnsi="Arial" w:cs="Arial"/>
          <w:bCs/>
          <w:sz w:val="24"/>
          <w:szCs w:val="24"/>
        </w:rPr>
        <w:t>: i u 2026. godini planira se podrška realizaciji Dana medijske pismenosti te će se za učenike rovinjskih škola organizirati razne aktivnosti poput predavanja, radionica, tematskih predstava i sl. Aktivnosti će se dogovoriti sa školama a biti će namijenjene i učiteljima te roditeljima.</w:t>
      </w:r>
    </w:p>
    <w:p w14:paraId="0FA91941" w14:textId="77777777" w:rsidR="00E541EE" w:rsidRPr="008C299B" w:rsidRDefault="00E541EE" w:rsidP="00E541EE">
      <w:pPr>
        <w:jc w:val="both"/>
        <w:rPr>
          <w:rFonts w:ascii="Arial" w:eastAsia="Times New Roman" w:hAnsi="Arial" w:cs="Arial"/>
          <w:bCs/>
          <w:sz w:val="24"/>
          <w:szCs w:val="24"/>
        </w:rPr>
      </w:pPr>
      <w:r w:rsidRPr="008C299B">
        <w:rPr>
          <w:rFonts w:ascii="Arial" w:eastAsia="Times New Roman" w:hAnsi="Arial" w:cs="Arial"/>
          <w:bCs/>
          <w:sz w:val="24"/>
          <w:szCs w:val="24"/>
        </w:rPr>
        <w:t xml:space="preserve">Cilj je manifestacije osvijestiti i educirati adolescente o trendovima s  kojima se  susreću u doba online komunikacije, ukazati na opasnosti skrivene iza ekrana,  posljedice te preporuke kako reagirati i kome se obratiti u slučaju opasnosti.  Ujedno je edukacija roditelja o utjecaju medija nužna kako bi se problem medijske pismenosti dugoročno umanjio. </w:t>
      </w:r>
    </w:p>
    <w:p w14:paraId="653A9AB2" w14:textId="77777777" w:rsidR="00E541EE" w:rsidRPr="00B966CF" w:rsidRDefault="00E541EE" w:rsidP="00E541EE">
      <w:pPr>
        <w:jc w:val="both"/>
        <w:rPr>
          <w:rFonts w:ascii="Arial" w:eastAsia="Times New Roman" w:hAnsi="Arial" w:cs="Arial"/>
          <w:sz w:val="24"/>
          <w:szCs w:val="24"/>
        </w:rPr>
      </w:pPr>
      <w:r w:rsidRPr="002262AE">
        <w:rPr>
          <w:rFonts w:ascii="Arial" w:eastAsia="Times New Roman" w:hAnsi="Arial" w:cs="Arial"/>
          <w:b/>
          <w:sz w:val="24"/>
          <w:szCs w:val="24"/>
        </w:rPr>
        <w:t xml:space="preserve">Opći cilj: </w:t>
      </w:r>
      <w:r w:rsidRPr="00B966CF">
        <w:rPr>
          <w:rFonts w:ascii="Arial" w:eastAsia="Times New Roman" w:hAnsi="Arial" w:cs="Arial"/>
          <w:b/>
          <w:sz w:val="24"/>
          <w:szCs w:val="24"/>
        </w:rPr>
        <w:t> </w:t>
      </w:r>
      <w:r w:rsidRPr="00B966CF">
        <w:rPr>
          <w:rFonts w:ascii="Arial" w:eastAsia="Times New Roman" w:hAnsi="Arial" w:cs="Arial"/>
          <w:sz w:val="24"/>
          <w:szCs w:val="24"/>
        </w:rPr>
        <w:t>kritičko razmišljanje i analitičke vještine kod pojedinaca kako bi mogli svjesno i odgovorno koristiti medije te prepoznati manipulacije, dezinformacije i lažne vijesti</w:t>
      </w:r>
      <w:r>
        <w:rPr>
          <w:rFonts w:ascii="Arial" w:eastAsia="Times New Roman" w:hAnsi="Arial" w:cs="Arial"/>
          <w:sz w:val="24"/>
          <w:szCs w:val="24"/>
        </w:rPr>
        <w:t>.</w:t>
      </w:r>
    </w:p>
    <w:p w14:paraId="144D79F8" w14:textId="77777777" w:rsidR="00E541EE" w:rsidRPr="00A53BE1" w:rsidRDefault="00E541EE" w:rsidP="00E541EE">
      <w:pPr>
        <w:jc w:val="both"/>
        <w:rPr>
          <w:rFonts w:ascii="Arial" w:eastAsia="Times New Roman" w:hAnsi="Arial" w:cs="Arial"/>
          <w:sz w:val="24"/>
          <w:szCs w:val="24"/>
        </w:rPr>
      </w:pPr>
      <w:r w:rsidRPr="002262AE">
        <w:rPr>
          <w:rFonts w:ascii="Arial" w:eastAsia="Times New Roman" w:hAnsi="Arial" w:cs="Arial"/>
          <w:b/>
          <w:bCs/>
          <w:sz w:val="24"/>
          <w:szCs w:val="24"/>
        </w:rPr>
        <w:t xml:space="preserve">Pokazatelj uspješnosti: </w:t>
      </w:r>
      <w:r>
        <w:rPr>
          <w:rFonts w:ascii="Arial" w:eastAsia="Times New Roman" w:hAnsi="Arial" w:cs="Arial"/>
          <w:sz w:val="24"/>
          <w:szCs w:val="24"/>
        </w:rPr>
        <w:t>realizirane aktivnosti i broj sudionika.</w:t>
      </w:r>
    </w:p>
    <w:p w14:paraId="7B4CCC0C" w14:textId="77777777" w:rsidR="00E541EE" w:rsidRPr="00A53BE1" w:rsidRDefault="00E541EE" w:rsidP="00E541EE">
      <w:pPr>
        <w:jc w:val="both"/>
        <w:rPr>
          <w:rFonts w:ascii="Arial" w:eastAsia="Times New Roman" w:hAnsi="Arial" w:cs="Arial"/>
          <w:sz w:val="24"/>
          <w:szCs w:val="24"/>
        </w:rPr>
      </w:pPr>
    </w:p>
    <w:p w14:paraId="4C3CE7F6" w14:textId="77777777" w:rsidR="00E541EE" w:rsidRDefault="00E541EE" w:rsidP="00E541EE">
      <w:pPr>
        <w:pBdr>
          <w:top w:val="single" w:sz="4" w:space="1" w:color="auto"/>
          <w:left w:val="single" w:sz="4" w:space="4" w:color="auto"/>
          <w:bottom w:val="single" w:sz="4" w:space="1" w:color="auto"/>
          <w:right w:val="single" w:sz="4" w:space="4" w:color="auto"/>
        </w:pBdr>
        <w:shd w:val="clear" w:color="auto" w:fill="EDEDED" w:themeFill="accent3" w:themeFillTint="33"/>
        <w:jc w:val="both"/>
        <w:rPr>
          <w:rFonts w:ascii="Arial" w:eastAsia="Times New Roman" w:hAnsi="Arial" w:cs="Arial"/>
          <w:b/>
          <w:bCs/>
          <w:sz w:val="24"/>
          <w:szCs w:val="24"/>
        </w:rPr>
      </w:pPr>
      <w:r w:rsidRPr="00B4101D">
        <w:rPr>
          <w:rFonts w:ascii="Arial" w:eastAsia="Times New Roman" w:hAnsi="Arial" w:cs="Arial"/>
          <w:b/>
          <w:bCs/>
          <w:sz w:val="24"/>
          <w:szCs w:val="24"/>
        </w:rPr>
        <w:t xml:space="preserve">A </w:t>
      </w:r>
      <w:r>
        <w:rPr>
          <w:rFonts w:ascii="Arial" w:eastAsia="Times New Roman" w:hAnsi="Arial" w:cs="Arial"/>
          <w:b/>
          <w:bCs/>
          <w:sz w:val="24"/>
          <w:szCs w:val="24"/>
        </w:rPr>
        <w:t>102621</w:t>
      </w:r>
      <w:r w:rsidRPr="00B4101D">
        <w:rPr>
          <w:rFonts w:ascii="Arial" w:eastAsia="Times New Roman" w:hAnsi="Arial" w:cs="Arial"/>
          <w:b/>
          <w:bCs/>
          <w:sz w:val="24"/>
          <w:szCs w:val="24"/>
        </w:rPr>
        <w:t xml:space="preserve">: </w:t>
      </w:r>
      <w:r>
        <w:rPr>
          <w:rFonts w:ascii="Arial" w:eastAsia="Times New Roman" w:hAnsi="Arial" w:cs="Arial"/>
          <w:b/>
          <w:bCs/>
          <w:sz w:val="24"/>
          <w:szCs w:val="24"/>
        </w:rPr>
        <w:t>Dodatno učenje talijanskog jezika - jezika društvene sredine</w:t>
      </w:r>
      <w:r w:rsidRPr="00B4101D">
        <w:rPr>
          <w:rFonts w:ascii="Arial" w:eastAsia="Times New Roman" w:hAnsi="Arial" w:cs="Arial"/>
          <w:b/>
          <w:bCs/>
          <w:sz w:val="24"/>
          <w:szCs w:val="24"/>
        </w:rPr>
        <w:t xml:space="preserve"> </w:t>
      </w:r>
    </w:p>
    <w:p w14:paraId="579BAF18" w14:textId="77777777" w:rsidR="00E541EE" w:rsidRPr="00B4101D" w:rsidRDefault="00E541EE" w:rsidP="00E541EE">
      <w:pPr>
        <w:pBdr>
          <w:top w:val="single" w:sz="4" w:space="1" w:color="auto"/>
          <w:left w:val="single" w:sz="4" w:space="4" w:color="auto"/>
          <w:bottom w:val="single" w:sz="4" w:space="1" w:color="auto"/>
          <w:right w:val="single" w:sz="4" w:space="4" w:color="auto"/>
        </w:pBdr>
        <w:shd w:val="clear" w:color="auto" w:fill="EDEDED" w:themeFill="accent3" w:themeFillTint="33"/>
        <w:jc w:val="both"/>
        <w:rPr>
          <w:rFonts w:ascii="Arial" w:eastAsia="Times New Roman" w:hAnsi="Arial" w:cs="Arial"/>
          <w:b/>
          <w:bCs/>
          <w:sz w:val="24"/>
          <w:szCs w:val="24"/>
        </w:rPr>
      </w:pPr>
      <w:r w:rsidRPr="00B4101D">
        <w:rPr>
          <w:rFonts w:ascii="Arial" w:eastAsia="Times New Roman" w:hAnsi="Arial" w:cs="Arial"/>
          <w:b/>
          <w:bCs/>
          <w:sz w:val="24"/>
          <w:szCs w:val="24"/>
        </w:rPr>
        <w:t xml:space="preserve">= </w:t>
      </w:r>
      <w:r>
        <w:rPr>
          <w:rFonts w:ascii="Arial" w:eastAsia="Times New Roman" w:hAnsi="Arial" w:cs="Arial"/>
          <w:b/>
          <w:bCs/>
          <w:sz w:val="24"/>
          <w:szCs w:val="24"/>
        </w:rPr>
        <w:t>3</w:t>
      </w:r>
      <w:r w:rsidRPr="00B4101D">
        <w:rPr>
          <w:rFonts w:ascii="Arial" w:eastAsia="Times New Roman" w:hAnsi="Arial" w:cs="Arial"/>
          <w:b/>
          <w:bCs/>
          <w:sz w:val="24"/>
          <w:szCs w:val="24"/>
        </w:rPr>
        <w:t>.000,00 EUR</w:t>
      </w:r>
    </w:p>
    <w:p w14:paraId="0A9906AF" w14:textId="77777777" w:rsidR="00E541EE" w:rsidRPr="002262AE" w:rsidRDefault="00E541EE" w:rsidP="00E541EE">
      <w:pPr>
        <w:jc w:val="both"/>
        <w:rPr>
          <w:rFonts w:ascii="Arial" w:eastAsia="Times New Roman" w:hAnsi="Arial" w:cs="Arial"/>
          <w:sz w:val="24"/>
          <w:szCs w:val="24"/>
        </w:rPr>
      </w:pPr>
      <w:r w:rsidRPr="002262AE">
        <w:rPr>
          <w:rFonts w:ascii="Arial" w:eastAsia="Times New Roman" w:hAnsi="Arial" w:cs="Arial"/>
          <w:b/>
          <w:bCs/>
          <w:sz w:val="24"/>
          <w:szCs w:val="24"/>
        </w:rPr>
        <w:t>Zakonska osnova</w:t>
      </w:r>
      <w:r w:rsidRPr="002262AE">
        <w:rPr>
          <w:rFonts w:ascii="Arial" w:eastAsia="Times New Roman" w:hAnsi="Arial" w:cs="Arial"/>
          <w:b/>
          <w:sz w:val="24"/>
          <w:szCs w:val="24"/>
        </w:rPr>
        <w:t>:</w:t>
      </w:r>
      <w:r w:rsidRPr="002262AE">
        <w:rPr>
          <w:rFonts w:ascii="Arial" w:eastAsia="Times New Roman" w:hAnsi="Arial" w:cs="Arial"/>
          <w:sz w:val="24"/>
          <w:szCs w:val="24"/>
        </w:rPr>
        <w:t xml:space="preserve"> Zakon o lokalnoj i područnoj (regionalnoj) samoupravi, </w:t>
      </w:r>
    </w:p>
    <w:p w14:paraId="2BA22EAF" w14:textId="77777777" w:rsidR="00E541EE" w:rsidRPr="00B3322B" w:rsidRDefault="00E541EE" w:rsidP="00E541EE">
      <w:pPr>
        <w:jc w:val="both"/>
        <w:rPr>
          <w:rFonts w:ascii="Arial" w:eastAsia="Times New Roman" w:hAnsi="Arial" w:cs="Arial"/>
          <w:bCs/>
        </w:rPr>
      </w:pPr>
      <w:r w:rsidRPr="002262AE">
        <w:rPr>
          <w:rFonts w:ascii="Arial" w:eastAsia="Times New Roman" w:hAnsi="Arial" w:cs="Arial"/>
          <w:b/>
          <w:sz w:val="24"/>
          <w:szCs w:val="24"/>
        </w:rPr>
        <w:t>Opis</w:t>
      </w:r>
      <w:r w:rsidRPr="008C299B">
        <w:rPr>
          <w:rFonts w:ascii="Arial" w:eastAsia="Times New Roman" w:hAnsi="Arial" w:cs="Arial"/>
          <w:bCs/>
          <w:sz w:val="24"/>
          <w:szCs w:val="24"/>
        </w:rPr>
        <w:t xml:space="preserve">: </w:t>
      </w:r>
      <w:r w:rsidRPr="00B3322B">
        <w:rPr>
          <w:rFonts w:ascii="Arial" w:eastAsia="Times New Roman" w:hAnsi="Arial" w:cs="Arial"/>
          <w:bCs/>
          <w:sz w:val="24"/>
          <w:szCs w:val="24"/>
        </w:rPr>
        <w:t>Planiranim sredstvima predviđa se organizacija dodatnih tečajeva talijanskog jezika za učenike osnovnih škola koji izraze interes za upis u SMSI-TSŠ Rovinj-Rovigno. Prvi ciklus tečaja održao bi se u proljetnim mjesecima i bio bi namijenjen učenicima sedmih i osmih razreda OŠ koji razmatraju mogućnost nastavka obrazovanja na talijanskom jeziku. Drugi ciklus započeo bi u kolovozu/rujnu te bi bio usmjeren na učenike koji su se doista upisali u školu s nastavnim jezikom talijanskim, kako bi im se omogućila lakša prilagodba novom obrazovnom okruženju i uspješnije praćenje nastave. Program tečajeva osmišljen je s ciljem jačanja jezičnih kompetencija i motivacije učenika za upis u talijanske obrazovne programe te dugoročno doprinosi očuvanju dvojezičnosti i kulturnog identiteta na području Istre</w:t>
      </w:r>
      <w:r w:rsidRPr="00B3322B">
        <w:rPr>
          <w:rFonts w:ascii="Arial" w:eastAsia="Times New Roman" w:hAnsi="Arial" w:cs="Arial"/>
          <w:bCs/>
        </w:rPr>
        <w:t>.</w:t>
      </w:r>
    </w:p>
    <w:p w14:paraId="07E5B184" w14:textId="77777777" w:rsidR="00E541EE" w:rsidRPr="00B3322B" w:rsidRDefault="00E541EE" w:rsidP="00E541EE">
      <w:pPr>
        <w:jc w:val="both"/>
        <w:rPr>
          <w:rFonts w:ascii="Arial" w:eastAsia="Times New Roman" w:hAnsi="Arial" w:cs="Arial"/>
          <w:b/>
        </w:rPr>
      </w:pPr>
      <w:r w:rsidRPr="002262AE">
        <w:rPr>
          <w:rFonts w:ascii="Arial" w:eastAsia="Times New Roman" w:hAnsi="Arial" w:cs="Arial"/>
          <w:b/>
          <w:sz w:val="24"/>
          <w:szCs w:val="24"/>
        </w:rPr>
        <w:t xml:space="preserve">Opći cilj: </w:t>
      </w:r>
      <w:r w:rsidRPr="00B3322B">
        <w:rPr>
          <w:rFonts w:ascii="Arial" w:eastAsia="Times New Roman" w:hAnsi="Arial" w:cs="Arial"/>
          <w:bCs/>
        </w:rPr>
        <w:t>Povećati broj učenika koji se odlučuju za nastavak školovanja na talijanskom jeziku te osigurati bolju pripremljenost budućih srednjoškolaca za praćenje nastave na jeziku talijanske manjine</w:t>
      </w:r>
      <w:r w:rsidRPr="00B3322B">
        <w:rPr>
          <w:rFonts w:ascii="Arial" w:eastAsia="Times New Roman" w:hAnsi="Arial" w:cs="Arial"/>
          <w:b/>
        </w:rPr>
        <w:t>.</w:t>
      </w:r>
    </w:p>
    <w:p w14:paraId="11D7C270" w14:textId="77777777" w:rsidR="00E541EE" w:rsidRPr="00B3322B" w:rsidRDefault="00E541EE" w:rsidP="00E541EE">
      <w:pPr>
        <w:jc w:val="both"/>
        <w:rPr>
          <w:rFonts w:ascii="Arial" w:eastAsia="Times New Roman" w:hAnsi="Arial" w:cs="Arial"/>
          <w:sz w:val="24"/>
          <w:szCs w:val="24"/>
        </w:rPr>
      </w:pPr>
      <w:r w:rsidRPr="002262AE">
        <w:rPr>
          <w:rFonts w:ascii="Arial" w:eastAsia="Times New Roman" w:hAnsi="Arial" w:cs="Arial"/>
          <w:b/>
          <w:bCs/>
          <w:sz w:val="24"/>
          <w:szCs w:val="24"/>
        </w:rPr>
        <w:t xml:space="preserve">Pokazatelj uspješnosti: </w:t>
      </w:r>
      <w:r w:rsidRPr="00B3322B">
        <w:rPr>
          <w:rFonts w:ascii="Arial" w:eastAsia="Times New Roman" w:hAnsi="Arial" w:cs="Arial"/>
          <w:sz w:val="24"/>
          <w:szCs w:val="24"/>
        </w:rPr>
        <w:t>broj održanih tečajeva i sudionika po ciklusu,</w:t>
      </w:r>
    </w:p>
    <w:p w14:paraId="1D4AFFFB" w14:textId="77777777" w:rsidR="00E541EE" w:rsidRPr="00AC2206" w:rsidRDefault="00E541EE" w:rsidP="00E541EE">
      <w:pPr>
        <w:jc w:val="both"/>
        <w:rPr>
          <w:rFonts w:ascii="Arial" w:eastAsia="Times New Roman" w:hAnsi="Arial" w:cs="Arial"/>
          <w:sz w:val="24"/>
          <w:szCs w:val="24"/>
        </w:rPr>
      </w:pPr>
      <w:r w:rsidRPr="00B3322B">
        <w:rPr>
          <w:rFonts w:ascii="Arial" w:eastAsia="Times New Roman" w:hAnsi="Arial" w:cs="Arial"/>
          <w:sz w:val="24"/>
          <w:szCs w:val="24"/>
        </w:rPr>
        <w:t>broj učenika koji nakon proljetnog tečaja upišu SMSI</w:t>
      </w:r>
      <w:r>
        <w:rPr>
          <w:rFonts w:ascii="Arial" w:eastAsia="Times New Roman" w:hAnsi="Arial" w:cs="Arial"/>
          <w:sz w:val="24"/>
          <w:szCs w:val="24"/>
        </w:rPr>
        <w:t>.</w:t>
      </w:r>
    </w:p>
    <w:p w14:paraId="614B09FC" w14:textId="77777777" w:rsidR="00E541EE" w:rsidRPr="00AC2206" w:rsidRDefault="00E541EE" w:rsidP="00E541EE">
      <w:pPr>
        <w:jc w:val="both"/>
        <w:rPr>
          <w:rFonts w:ascii="Arial" w:eastAsia="Times New Roman" w:hAnsi="Arial" w:cs="Arial"/>
          <w:sz w:val="24"/>
          <w:szCs w:val="24"/>
        </w:rPr>
      </w:pPr>
    </w:p>
    <w:p w14:paraId="16CB0588" w14:textId="77777777" w:rsidR="00E541EE" w:rsidRDefault="00E541EE" w:rsidP="00E541EE">
      <w:pPr>
        <w:pBdr>
          <w:top w:val="single" w:sz="4" w:space="1" w:color="auto"/>
          <w:left w:val="single" w:sz="4" w:space="4" w:color="auto"/>
          <w:bottom w:val="single" w:sz="4" w:space="1" w:color="auto"/>
          <w:right w:val="single" w:sz="4" w:space="4" w:color="auto"/>
        </w:pBdr>
        <w:shd w:val="clear" w:color="auto" w:fill="FFFF80"/>
        <w:rPr>
          <w:rFonts w:ascii="Arial" w:eastAsia="Times New Roman" w:hAnsi="Arial" w:cs="Arial"/>
          <w:b/>
          <w:bCs/>
          <w:sz w:val="24"/>
          <w:szCs w:val="24"/>
        </w:rPr>
      </w:pPr>
      <w:r w:rsidRPr="00AC2206">
        <w:rPr>
          <w:rFonts w:ascii="Arial" w:eastAsia="Times New Roman" w:hAnsi="Arial" w:cs="Arial"/>
          <w:b/>
          <w:bCs/>
          <w:sz w:val="24"/>
          <w:szCs w:val="24"/>
        </w:rPr>
        <w:t xml:space="preserve">Program 1027: Opće javne potrebe u kulturi = </w:t>
      </w:r>
      <w:r>
        <w:rPr>
          <w:rFonts w:ascii="Arial" w:eastAsia="Times New Roman" w:hAnsi="Arial" w:cs="Arial"/>
          <w:b/>
          <w:bCs/>
          <w:sz w:val="24"/>
          <w:szCs w:val="24"/>
        </w:rPr>
        <w:t>716.129</w:t>
      </w:r>
      <w:r w:rsidRPr="00AC2206">
        <w:rPr>
          <w:rFonts w:ascii="Arial" w:eastAsia="Times New Roman" w:hAnsi="Arial" w:cs="Arial"/>
          <w:b/>
          <w:bCs/>
          <w:sz w:val="24"/>
          <w:szCs w:val="24"/>
        </w:rPr>
        <w:t>,</w:t>
      </w:r>
      <w:r>
        <w:rPr>
          <w:rFonts w:ascii="Arial" w:eastAsia="Times New Roman" w:hAnsi="Arial" w:cs="Arial"/>
          <w:b/>
          <w:bCs/>
          <w:sz w:val="24"/>
          <w:szCs w:val="24"/>
        </w:rPr>
        <w:t>87</w:t>
      </w:r>
      <w:r w:rsidRPr="00AC2206">
        <w:rPr>
          <w:rFonts w:ascii="Arial" w:eastAsia="Times New Roman" w:hAnsi="Arial" w:cs="Arial"/>
          <w:b/>
          <w:bCs/>
          <w:sz w:val="24"/>
          <w:szCs w:val="24"/>
        </w:rPr>
        <w:t xml:space="preserve"> EUR</w:t>
      </w:r>
    </w:p>
    <w:p w14:paraId="059FE4FD" w14:textId="77777777" w:rsidR="00E541EE" w:rsidRPr="00AC2206" w:rsidRDefault="00E541EE" w:rsidP="00E541EE">
      <w:pPr>
        <w:jc w:val="both"/>
        <w:rPr>
          <w:rFonts w:ascii="Arial" w:eastAsia="Times New Roman" w:hAnsi="Arial" w:cs="Arial"/>
          <w:b/>
          <w:bCs/>
          <w:sz w:val="24"/>
          <w:szCs w:val="24"/>
        </w:rPr>
      </w:pP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3"/>
        <w:gridCol w:w="1134"/>
        <w:gridCol w:w="850"/>
        <w:gridCol w:w="851"/>
        <w:gridCol w:w="1134"/>
        <w:gridCol w:w="850"/>
        <w:gridCol w:w="992"/>
        <w:gridCol w:w="709"/>
        <w:gridCol w:w="851"/>
        <w:gridCol w:w="708"/>
        <w:gridCol w:w="1134"/>
      </w:tblGrid>
      <w:tr w:rsidR="00E541EE" w:rsidRPr="000E34ED" w14:paraId="6E24A2DE" w14:textId="77777777" w:rsidTr="00D13D77">
        <w:trPr>
          <w:trHeight w:val="557"/>
        </w:trPr>
        <w:tc>
          <w:tcPr>
            <w:tcW w:w="993" w:type="dxa"/>
            <w:vMerge w:val="restart"/>
            <w:vAlign w:val="center"/>
          </w:tcPr>
          <w:p w14:paraId="62206253" w14:textId="77777777" w:rsidR="00E541EE" w:rsidRPr="000E34ED" w:rsidRDefault="00E541EE" w:rsidP="00A84BB5">
            <w:pPr>
              <w:widowControl w:val="0"/>
              <w:autoSpaceDE w:val="0"/>
              <w:autoSpaceDN w:val="0"/>
              <w:spacing w:before="49"/>
              <w:jc w:val="center"/>
              <w:rPr>
                <w:rFonts w:cstheme="minorHAnsi"/>
                <w:b/>
                <w:sz w:val="14"/>
                <w:szCs w:val="14"/>
              </w:rPr>
            </w:pPr>
            <w:r w:rsidRPr="000E34ED">
              <w:rPr>
                <w:rFonts w:cstheme="minorHAnsi"/>
                <w:b/>
                <w:sz w:val="14"/>
                <w:szCs w:val="14"/>
              </w:rPr>
              <w:t>Doprinos</w:t>
            </w:r>
            <w:r w:rsidRPr="000E34ED">
              <w:rPr>
                <w:rFonts w:cstheme="minorHAnsi"/>
                <w:b/>
                <w:spacing w:val="-34"/>
                <w:sz w:val="14"/>
                <w:szCs w:val="14"/>
              </w:rPr>
              <w:t xml:space="preserve"> </w:t>
            </w:r>
            <w:r w:rsidRPr="000E34ED">
              <w:rPr>
                <w:rFonts w:cstheme="minorHAnsi"/>
                <w:b/>
                <w:sz w:val="14"/>
                <w:szCs w:val="14"/>
              </w:rPr>
              <w:t>provedbi</w:t>
            </w:r>
          </w:p>
          <w:p w14:paraId="0F68EEA2" w14:textId="77777777" w:rsidR="00E541EE" w:rsidRPr="000E34ED" w:rsidRDefault="00E541EE" w:rsidP="00A84BB5">
            <w:pPr>
              <w:widowControl w:val="0"/>
              <w:autoSpaceDE w:val="0"/>
              <w:autoSpaceDN w:val="0"/>
              <w:spacing w:line="194" w:lineRule="exact"/>
              <w:jc w:val="center"/>
              <w:rPr>
                <w:rFonts w:cstheme="minorHAnsi"/>
                <w:b/>
                <w:sz w:val="14"/>
                <w:szCs w:val="14"/>
              </w:rPr>
            </w:pPr>
            <w:r w:rsidRPr="000E34ED">
              <w:rPr>
                <w:rFonts w:cstheme="minorHAnsi"/>
                <w:b/>
                <w:sz w:val="14"/>
                <w:szCs w:val="14"/>
              </w:rPr>
              <w:t>nadređenog</w:t>
            </w:r>
          </w:p>
          <w:p w14:paraId="47978695" w14:textId="77777777" w:rsidR="00E541EE" w:rsidRPr="000E34ED" w:rsidRDefault="00E541EE" w:rsidP="00A84BB5">
            <w:pPr>
              <w:widowControl w:val="0"/>
              <w:autoSpaceDE w:val="0"/>
              <w:autoSpaceDN w:val="0"/>
              <w:spacing w:before="49"/>
              <w:jc w:val="center"/>
              <w:rPr>
                <w:rFonts w:cstheme="minorHAnsi"/>
                <w:b/>
                <w:sz w:val="14"/>
                <w:szCs w:val="14"/>
              </w:rPr>
            </w:pPr>
            <w:r w:rsidRPr="000E34ED">
              <w:rPr>
                <w:rFonts w:cstheme="minorHAnsi"/>
                <w:b/>
                <w:sz w:val="14"/>
                <w:szCs w:val="14"/>
              </w:rPr>
              <w:t>akta</w:t>
            </w:r>
            <w:r w:rsidRPr="000E34ED">
              <w:rPr>
                <w:rFonts w:cstheme="minorHAnsi"/>
                <w:b/>
                <w:spacing w:val="1"/>
                <w:sz w:val="14"/>
                <w:szCs w:val="14"/>
              </w:rPr>
              <w:t xml:space="preserve"> </w:t>
            </w:r>
            <w:r w:rsidRPr="000E34ED">
              <w:rPr>
                <w:rFonts w:cstheme="minorHAnsi"/>
                <w:b/>
                <w:sz w:val="14"/>
                <w:szCs w:val="14"/>
              </w:rPr>
              <w:t>strateškog</w:t>
            </w:r>
            <w:r w:rsidRPr="000E34ED">
              <w:rPr>
                <w:rFonts w:cstheme="minorHAnsi"/>
                <w:b/>
                <w:spacing w:val="-34"/>
                <w:sz w:val="14"/>
                <w:szCs w:val="14"/>
              </w:rPr>
              <w:t xml:space="preserve"> </w:t>
            </w:r>
            <w:r w:rsidRPr="000E34ED">
              <w:rPr>
                <w:rFonts w:cstheme="minorHAnsi"/>
                <w:b/>
                <w:sz w:val="14"/>
                <w:szCs w:val="14"/>
              </w:rPr>
              <w:t>planiranja</w:t>
            </w:r>
          </w:p>
        </w:tc>
        <w:tc>
          <w:tcPr>
            <w:tcW w:w="1134" w:type="dxa"/>
            <w:vMerge w:val="restart"/>
            <w:vAlign w:val="center"/>
          </w:tcPr>
          <w:p w14:paraId="1B12D1C8" w14:textId="77777777" w:rsidR="00E541EE" w:rsidRPr="000E34ED" w:rsidRDefault="00E541EE" w:rsidP="00A84BB5">
            <w:pPr>
              <w:widowControl w:val="0"/>
              <w:autoSpaceDE w:val="0"/>
              <w:autoSpaceDN w:val="0"/>
              <w:spacing w:line="195" w:lineRule="exact"/>
              <w:ind w:left="44" w:right="35"/>
              <w:jc w:val="center"/>
              <w:rPr>
                <w:rFonts w:cstheme="minorHAnsi"/>
                <w:b/>
                <w:sz w:val="14"/>
                <w:szCs w:val="14"/>
              </w:rPr>
            </w:pPr>
            <w:r w:rsidRPr="000E34ED">
              <w:rPr>
                <w:rFonts w:cstheme="minorHAnsi"/>
                <w:b/>
                <w:sz w:val="14"/>
                <w:szCs w:val="14"/>
              </w:rPr>
              <w:t>Naziv</w:t>
            </w:r>
            <w:r w:rsidRPr="000E34ED">
              <w:rPr>
                <w:rFonts w:cstheme="minorHAnsi"/>
                <w:b/>
                <w:spacing w:val="-3"/>
                <w:sz w:val="14"/>
                <w:szCs w:val="14"/>
              </w:rPr>
              <w:t xml:space="preserve"> </w:t>
            </w:r>
            <w:r w:rsidRPr="000E34ED">
              <w:rPr>
                <w:rFonts w:cstheme="minorHAnsi"/>
                <w:b/>
                <w:sz w:val="14"/>
                <w:szCs w:val="14"/>
              </w:rPr>
              <w:t>cilja nadređenog</w:t>
            </w:r>
            <w:r w:rsidRPr="000E34ED">
              <w:rPr>
                <w:rFonts w:cstheme="minorHAnsi"/>
                <w:b/>
                <w:spacing w:val="1"/>
                <w:sz w:val="14"/>
                <w:szCs w:val="14"/>
              </w:rPr>
              <w:t xml:space="preserve"> </w:t>
            </w:r>
            <w:r w:rsidRPr="000E34ED">
              <w:rPr>
                <w:rFonts w:cstheme="minorHAnsi"/>
                <w:b/>
                <w:spacing w:val="-1"/>
                <w:sz w:val="14"/>
                <w:szCs w:val="14"/>
              </w:rPr>
              <w:t>akta</w:t>
            </w:r>
            <w:r w:rsidRPr="000E34ED">
              <w:rPr>
                <w:rFonts w:cstheme="minorHAnsi"/>
                <w:b/>
                <w:spacing w:val="-2"/>
                <w:sz w:val="14"/>
                <w:szCs w:val="14"/>
              </w:rPr>
              <w:t xml:space="preserve"> </w:t>
            </w:r>
            <w:r w:rsidRPr="000E34ED">
              <w:rPr>
                <w:rFonts w:cstheme="minorHAnsi"/>
                <w:b/>
                <w:spacing w:val="-1"/>
                <w:sz w:val="14"/>
                <w:szCs w:val="14"/>
              </w:rPr>
              <w:t xml:space="preserve">strateškog </w:t>
            </w:r>
            <w:r w:rsidRPr="000E34ED">
              <w:rPr>
                <w:rFonts w:cstheme="minorHAnsi"/>
                <w:b/>
                <w:sz w:val="14"/>
                <w:szCs w:val="14"/>
              </w:rPr>
              <w:t>planiranja</w:t>
            </w:r>
          </w:p>
        </w:tc>
        <w:tc>
          <w:tcPr>
            <w:tcW w:w="850" w:type="dxa"/>
            <w:vMerge w:val="restart"/>
            <w:vAlign w:val="center"/>
          </w:tcPr>
          <w:p w14:paraId="3C069C5B" w14:textId="77777777" w:rsidR="00E541EE" w:rsidRPr="000E34ED" w:rsidRDefault="00E541EE" w:rsidP="00A84BB5">
            <w:pPr>
              <w:widowControl w:val="0"/>
              <w:autoSpaceDE w:val="0"/>
              <w:autoSpaceDN w:val="0"/>
              <w:ind w:left="125" w:right="114"/>
              <w:jc w:val="center"/>
              <w:rPr>
                <w:rFonts w:cstheme="minorHAnsi"/>
                <w:b/>
                <w:sz w:val="14"/>
                <w:szCs w:val="14"/>
              </w:rPr>
            </w:pPr>
            <w:r w:rsidRPr="000E34ED">
              <w:rPr>
                <w:rFonts w:cstheme="minorHAnsi"/>
                <w:b/>
                <w:spacing w:val="-1"/>
                <w:sz w:val="14"/>
                <w:szCs w:val="14"/>
              </w:rPr>
              <w:t xml:space="preserve">Program </w:t>
            </w:r>
            <w:r w:rsidRPr="000E34ED">
              <w:rPr>
                <w:rFonts w:cstheme="minorHAnsi"/>
                <w:b/>
                <w:sz w:val="14"/>
                <w:szCs w:val="14"/>
              </w:rPr>
              <w:t>u</w:t>
            </w:r>
            <w:r w:rsidRPr="000E34ED">
              <w:rPr>
                <w:rFonts w:cstheme="minorHAnsi"/>
                <w:b/>
                <w:spacing w:val="-34"/>
                <w:sz w:val="14"/>
                <w:szCs w:val="14"/>
              </w:rPr>
              <w:t xml:space="preserve"> </w:t>
            </w:r>
            <w:r w:rsidRPr="000E34ED">
              <w:rPr>
                <w:rFonts w:cstheme="minorHAnsi"/>
                <w:b/>
                <w:sz w:val="14"/>
                <w:szCs w:val="14"/>
              </w:rPr>
              <w:t xml:space="preserve">proračunu </w:t>
            </w:r>
            <w:r w:rsidRPr="000E34ED">
              <w:rPr>
                <w:rFonts w:cstheme="minorHAnsi"/>
                <w:b/>
                <w:spacing w:val="-34"/>
                <w:sz w:val="14"/>
                <w:szCs w:val="14"/>
              </w:rPr>
              <w:t xml:space="preserve"> </w:t>
            </w:r>
            <w:r w:rsidRPr="000E34ED">
              <w:rPr>
                <w:rFonts w:cstheme="minorHAnsi"/>
                <w:b/>
                <w:sz w:val="14"/>
                <w:szCs w:val="14"/>
              </w:rPr>
              <w:t>JLS</w:t>
            </w:r>
          </w:p>
        </w:tc>
        <w:tc>
          <w:tcPr>
            <w:tcW w:w="851" w:type="dxa"/>
            <w:vMerge w:val="restart"/>
            <w:vAlign w:val="center"/>
          </w:tcPr>
          <w:p w14:paraId="64A91976" w14:textId="77777777" w:rsidR="00E541EE" w:rsidRPr="000E34ED" w:rsidRDefault="00E541EE" w:rsidP="00A84BB5">
            <w:pPr>
              <w:widowControl w:val="0"/>
              <w:autoSpaceDE w:val="0"/>
              <w:autoSpaceDN w:val="0"/>
              <w:ind w:left="179"/>
              <w:rPr>
                <w:rFonts w:cstheme="minorHAnsi"/>
                <w:b/>
                <w:sz w:val="14"/>
                <w:szCs w:val="14"/>
              </w:rPr>
            </w:pPr>
            <w:r w:rsidRPr="000E34ED">
              <w:rPr>
                <w:rFonts w:cstheme="minorHAnsi"/>
                <w:b/>
                <w:sz w:val="14"/>
                <w:szCs w:val="14"/>
              </w:rPr>
              <w:t>Naziv</w:t>
            </w:r>
            <w:r w:rsidRPr="000E34ED">
              <w:rPr>
                <w:rFonts w:cstheme="minorHAnsi"/>
                <w:b/>
                <w:spacing w:val="-2"/>
                <w:sz w:val="14"/>
                <w:szCs w:val="14"/>
              </w:rPr>
              <w:t xml:space="preserve"> </w:t>
            </w:r>
            <w:r w:rsidRPr="000E34ED">
              <w:rPr>
                <w:rFonts w:cstheme="minorHAnsi"/>
                <w:b/>
                <w:sz w:val="14"/>
                <w:szCs w:val="14"/>
              </w:rPr>
              <w:t>mjere</w:t>
            </w:r>
          </w:p>
        </w:tc>
        <w:tc>
          <w:tcPr>
            <w:tcW w:w="1134" w:type="dxa"/>
            <w:vMerge w:val="restart"/>
            <w:vAlign w:val="center"/>
          </w:tcPr>
          <w:p w14:paraId="4642ABDE" w14:textId="77777777" w:rsidR="00E541EE" w:rsidRPr="000E34ED" w:rsidRDefault="00E541EE" w:rsidP="00A84BB5">
            <w:pPr>
              <w:widowControl w:val="0"/>
              <w:autoSpaceDE w:val="0"/>
              <w:autoSpaceDN w:val="0"/>
              <w:ind w:left="70" w:right="60"/>
              <w:jc w:val="center"/>
              <w:rPr>
                <w:rFonts w:cstheme="minorHAnsi"/>
                <w:b/>
                <w:sz w:val="14"/>
                <w:szCs w:val="14"/>
              </w:rPr>
            </w:pPr>
            <w:r w:rsidRPr="000E34ED">
              <w:rPr>
                <w:rFonts w:cstheme="minorHAnsi"/>
                <w:b/>
                <w:sz w:val="14"/>
                <w:szCs w:val="14"/>
              </w:rPr>
              <w:t>Procijenjeni</w:t>
            </w:r>
            <w:r w:rsidRPr="000E34ED">
              <w:rPr>
                <w:rFonts w:cstheme="minorHAnsi"/>
                <w:b/>
                <w:spacing w:val="-34"/>
                <w:sz w:val="14"/>
                <w:szCs w:val="14"/>
              </w:rPr>
              <w:t xml:space="preserve"> </w:t>
            </w:r>
            <w:r w:rsidRPr="000E34ED">
              <w:rPr>
                <w:rFonts w:cstheme="minorHAnsi"/>
                <w:b/>
                <w:sz w:val="14"/>
                <w:szCs w:val="14"/>
              </w:rPr>
              <w:t>trošak</w:t>
            </w:r>
            <w:r w:rsidRPr="000E34ED">
              <w:rPr>
                <w:rFonts w:cstheme="minorHAnsi"/>
                <w:b/>
                <w:spacing w:val="1"/>
                <w:sz w:val="14"/>
                <w:szCs w:val="14"/>
              </w:rPr>
              <w:t xml:space="preserve"> </w:t>
            </w:r>
            <w:r w:rsidRPr="000E34ED">
              <w:rPr>
                <w:rFonts w:cstheme="minorHAnsi"/>
                <w:b/>
                <w:sz w:val="14"/>
                <w:szCs w:val="14"/>
              </w:rPr>
              <w:t>provedbe</w:t>
            </w:r>
            <w:r w:rsidRPr="000E34ED">
              <w:rPr>
                <w:rFonts w:cstheme="minorHAnsi"/>
                <w:b/>
                <w:spacing w:val="1"/>
                <w:sz w:val="14"/>
                <w:szCs w:val="14"/>
              </w:rPr>
              <w:t xml:space="preserve"> </w:t>
            </w:r>
            <w:r w:rsidRPr="000E34ED">
              <w:rPr>
                <w:rFonts w:cstheme="minorHAnsi"/>
                <w:b/>
                <w:sz w:val="14"/>
                <w:szCs w:val="14"/>
              </w:rPr>
              <w:t>mjere 2026.</w:t>
            </w:r>
          </w:p>
          <w:p w14:paraId="06C841FD" w14:textId="77777777" w:rsidR="00E541EE" w:rsidRPr="000E34ED" w:rsidRDefault="00E541EE" w:rsidP="00A84BB5">
            <w:pPr>
              <w:widowControl w:val="0"/>
              <w:autoSpaceDE w:val="0"/>
              <w:autoSpaceDN w:val="0"/>
              <w:spacing w:before="2"/>
              <w:ind w:left="70" w:right="58"/>
              <w:jc w:val="center"/>
              <w:rPr>
                <w:rFonts w:cstheme="minorHAnsi"/>
                <w:b/>
                <w:sz w:val="14"/>
                <w:szCs w:val="14"/>
              </w:rPr>
            </w:pPr>
            <w:r w:rsidRPr="000E34ED">
              <w:rPr>
                <w:rFonts w:cstheme="minorHAnsi"/>
                <w:b/>
                <w:sz w:val="14"/>
                <w:szCs w:val="14"/>
              </w:rPr>
              <w:t>(u EUR)</w:t>
            </w:r>
          </w:p>
        </w:tc>
        <w:tc>
          <w:tcPr>
            <w:tcW w:w="850" w:type="dxa"/>
            <w:vMerge w:val="restart"/>
            <w:vAlign w:val="center"/>
          </w:tcPr>
          <w:p w14:paraId="4B982E52" w14:textId="77777777" w:rsidR="00E541EE" w:rsidRPr="000E34ED" w:rsidRDefault="00E541EE" w:rsidP="00A84BB5">
            <w:pPr>
              <w:widowControl w:val="0"/>
              <w:autoSpaceDE w:val="0"/>
              <w:autoSpaceDN w:val="0"/>
              <w:rPr>
                <w:rFonts w:cstheme="minorHAnsi"/>
                <w:b/>
                <w:sz w:val="14"/>
                <w:szCs w:val="14"/>
              </w:rPr>
            </w:pPr>
            <w:r w:rsidRPr="000E34ED">
              <w:rPr>
                <w:rFonts w:cstheme="minorHAnsi"/>
                <w:b/>
                <w:sz w:val="14"/>
                <w:szCs w:val="14"/>
              </w:rPr>
              <w:t xml:space="preserve">      Ključne</w:t>
            </w:r>
          </w:p>
          <w:p w14:paraId="2835EE76" w14:textId="77777777" w:rsidR="00E541EE" w:rsidRPr="000E34ED" w:rsidRDefault="00E541EE" w:rsidP="00A84BB5">
            <w:pPr>
              <w:widowControl w:val="0"/>
              <w:autoSpaceDE w:val="0"/>
              <w:autoSpaceDN w:val="0"/>
              <w:spacing w:before="1"/>
              <w:rPr>
                <w:rFonts w:cstheme="minorHAnsi"/>
                <w:b/>
                <w:sz w:val="14"/>
                <w:szCs w:val="14"/>
              </w:rPr>
            </w:pPr>
            <w:r w:rsidRPr="000E34ED">
              <w:rPr>
                <w:rFonts w:cstheme="minorHAnsi"/>
                <w:b/>
                <w:sz w:val="14"/>
                <w:szCs w:val="14"/>
              </w:rPr>
              <w:t xml:space="preserve">   aktivnosti</w:t>
            </w:r>
          </w:p>
        </w:tc>
        <w:tc>
          <w:tcPr>
            <w:tcW w:w="992" w:type="dxa"/>
            <w:vMerge w:val="restart"/>
            <w:vAlign w:val="center"/>
          </w:tcPr>
          <w:p w14:paraId="3809E335" w14:textId="77777777" w:rsidR="00E541EE" w:rsidRPr="000E34ED" w:rsidRDefault="00E541EE" w:rsidP="00A84BB5">
            <w:pPr>
              <w:widowControl w:val="0"/>
              <w:autoSpaceDE w:val="0"/>
              <w:autoSpaceDN w:val="0"/>
              <w:ind w:left="62" w:right="97" w:hanging="44"/>
              <w:jc w:val="center"/>
              <w:rPr>
                <w:rFonts w:cstheme="minorHAnsi"/>
                <w:b/>
                <w:sz w:val="14"/>
                <w:szCs w:val="14"/>
              </w:rPr>
            </w:pPr>
            <w:r w:rsidRPr="000E34ED">
              <w:rPr>
                <w:rFonts w:cstheme="minorHAnsi"/>
                <w:b/>
                <w:sz w:val="14"/>
                <w:szCs w:val="14"/>
              </w:rPr>
              <w:t>Pokazatelj</w:t>
            </w:r>
            <w:r w:rsidRPr="000E34ED">
              <w:rPr>
                <w:rFonts w:cstheme="minorHAnsi"/>
                <w:b/>
                <w:spacing w:val="-34"/>
                <w:sz w:val="14"/>
                <w:szCs w:val="14"/>
              </w:rPr>
              <w:t xml:space="preserve"> </w:t>
            </w:r>
            <w:r w:rsidRPr="000E34ED">
              <w:rPr>
                <w:rFonts w:cstheme="minorHAnsi"/>
                <w:b/>
                <w:sz w:val="14"/>
                <w:szCs w:val="14"/>
              </w:rPr>
              <w:t>rezultata</w:t>
            </w:r>
          </w:p>
        </w:tc>
        <w:tc>
          <w:tcPr>
            <w:tcW w:w="709" w:type="dxa"/>
            <w:vMerge w:val="restart"/>
            <w:vAlign w:val="center"/>
          </w:tcPr>
          <w:p w14:paraId="6E5E46E3" w14:textId="77777777" w:rsidR="00E541EE" w:rsidRPr="000E34ED" w:rsidRDefault="00E541EE" w:rsidP="00A84BB5">
            <w:pPr>
              <w:widowControl w:val="0"/>
              <w:autoSpaceDE w:val="0"/>
              <w:autoSpaceDN w:val="0"/>
              <w:ind w:left="44" w:right="32"/>
              <w:jc w:val="center"/>
              <w:rPr>
                <w:rFonts w:cstheme="minorHAnsi"/>
                <w:b/>
                <w:sz w:val="14"/>
                <w:szCs w:val="14"/>
              </w:rPr>
            </w:pPr>
            <w:r w:rsidRPr="000E34ED">
              <w:rPr>
                <w:rFonts w:cstheme="minorHAnsi"/>
                <w:b/>
                <w:sz w:val="14"/>
                <w:szCs w:val="14"/>
              </w:rPr>
              <w:t>Početna</w:t>
            </w:r>
            <w:r w:rsidRPr="000E34ED">
              <w:rPr>
                <w:rFonts w:cstheme="minorHAnsi"/>
                <w:b/>
                <w:spacing w:val="1"/>
                <w:sz w:val="14"/>
                <w:szCs w:val="14"/>
              </w:rPr>
              <w:t xml:space="preserve"> </w:t>
            </w:r>
            <w:r w:rsidRPr="000E34ED">
              <w:rPr>
                <w:rFonts w:cstheme="minorHAnsi"/>
                <w:b/>
                <w:sz w:val="14"/>
                <w:szCs w:val="14"/>
              </w:rPr>
              <w:t>vrijednost 2025.</w:t>
            </w:r>
            <w:r w:rsidRPr="000E34ED">
              <w:rPr>
                <w:rFonts w:cstheme="minorHAnsi"/>
                <w:b/>
                <w:spacing w:val="-34"/>
                <w:sz w:val="14"/>
                <w:szCs w:val="14"/>
              </w:rPr>
              <w:t xml:space="preserve"> </w:t>
            </w:r>
          </w:p>
        </w:tc>
        <w:tc>
          <w:tcPr>
            <w:tcW w:w="2693" w:type="dxa"/>
            <w:gridSpan w:val="3"/>
            <w:vAlign w:val="center"/>
          </w:tcPr>
          <w:p w14:paraId="31D25C1D" w14:textId="77777777" w:rsidR="00E541EE" w:rsidRPr="000E34ED" w:rsidRDefault="00E541EE" w:rsidP="00A84BB5">
            <w:pPr>
              <w:widowControl w:val="0"/>
              <w:autoSpaceDE w:val="0"/>
              <w:autoSpaceDN w:val="0"/>
              <w:ind w:left="70" w:right="56"/>
              <w:jc w:val="center"/>
              <w:rPr>
                <w:rFonts w:cstheme="minorHAnsi"/>
                <w:b/>
                <w:sz w:val="14"/>
                <w:szCs w:val="14"/>
              </w:rPr>
            </w:pPr>
            <w:r w:rsidRPr="000E34ED">
              <w:rPr>
                <w:rFonts w:cstheme="minorHAnsi"/>
                <w:b/>
                <w:sz w:val="14"/>
                <w:szCs w:val="14"/>
              </w:rPr>
              <w:t>Ciljna</w:t>
            </w:r>
            <w:r w:rsidRPr="000E34ED">
              <w:rPr>
                <w:rFonts w:cstheme="minorHAnsi"/>
                <w:b/>
                <w:spacing w:val="1"/>
                <w:sz w:val="14"/>
                <w:szCs w:val="14"/>
              </w:rPr>
              <w:t xml:space="preserve"> </w:t>
            </w:r>
            <w:r w:rsidRPr="000E34ED">
              <w:rPr>
                <w:rFonts w:cstheme="minorHAnsi"/>
                <w:b/>
                <w:sz w:val="14"/>
                <w:szCs w:val="14"/>
              </w:rPr>
              <w:t>vrijednost</w:t>
            </w:r>
            <w:r w:rsidRPr="000E34ED">
              <w:rPr>
                <w:rFonts w:cstheme="minorHAnsi"/>
                <w:b/>
                <w:spacing w:val="-34"/>
                <w:sz w:val="14"/>
                <w:szCs w:val="14"/>
              </w:rPr>
              <w:t xml:space="preserve"> </w:t>
            </w:r>
          </w:p>
        </w:tc>
      </w:tr>
      <w:tr w:rsidR="00D13D77" w:rsidRPr="000E34ED" w14:paraId="762329E6" w14:textId="77777777" w:rsidTr="00D13D77">
        <w:trPr>
          <w:trHeight w:val="424"/>
        </w:trPr>
        <w:tc>
          <w:tcPr>
            <w:tcW w:w="993" w:type="dxa"/>
            <w:vMerge/>
            <w:vAlign w:val="center"/>
          </w:tcPr>
          <w:p w14:paraId="0E8912CA" w14:textId="77777777" w:rsidR="00E541EE" w:rsidRPr="000E34ED" w:rsidRDefault="00E541EE" w:rsidP="00A84BB5">
            <w:pPr>
              <w:widowControl w:val="0"/>
              <w:autoSpaceDE w:val="0"/>
              <w:autoSpaceDN w:val="0"/>
              <w:spacing w:before="49"/>
              <w:jc w:val="center"/>
              <w:rPr>
                <w:rFonts w:cstheme="minorHAnsi"/>
                <w:b/>
                <w:sz w:val="14"/>
                <w:szCs w:val="14"/>
              </w:rPr>
            </w:pPr>
          </w:p>
        </w:tc>
        <w:tc>
          <w:tcPr>
            <w:tcW w:w="1134" w:type="dxa"/>
            <w:vMerge/>
            <w:vAlign w:val="center"/>
          </w:tcPr>
          <w:p w14:paraId="3BA297D7" w14:textId="77777777" w:rsidR="00E541EE" w:rsidRPr="000E34ED" w:rsidRDefault="00E541EE" w:rsidP="00A84BB5">
            <w:pPr>
              <w:widowControl w:val="0"/>
              <w:autoSpaceDE w:val="0"/>
              <w:autoSpaceDN w:val="0"/>
              <w:spacing w:line="195" w:lineRule="exact"/>
              <w:ind w:left="44" w:right="35"/>
              <w:jc w:val="center"/>
              <w:rPr>
                <w:rFonts w:cstheme="minorHAnsi"/>
                <w:b/>
                <w:sz w:val="14"/>
                <w:szCs w:val="14"/>
              </w:rPr>
            </w:pPr>
          </w:p>
        </w:tc>
        <w:tc>
          <w:tcPr>
            <w:tcW w:w="850" w:type="dxa"/>
            <w:vMerge/>
            <w:vAlign w:val="center"/>
          </w:tcPr>
          <w:p w14:paraId="67A7DF61" w14:textId="77777777" w:rsidR="00E541EE" w:rsidRPr="000E34ED" w:rsidRDefault="00E541EE" w:rsidP="00A84BB5">
            <w:pPr>
              <w:widowControl w:val="0"/>
              <w:autoSpaceDE w:val="0"/>
              <w:autoSpaceDN w:val="0"/>
              <w:ind w:left="125" w:right="114"/>
              <w:jc w:val="center"/>
              <w:rPr>
                <w:rFonts w:cstheme="minorHAnsi"/>
                <w:b/>
                <w:spacing w:val="-1"/>
                <w:sz w:val="14"/>
                <w:szCs w:val="14"/>
              </w:rPr>
            </w:pPr>
          </w:p>
        </w:tc>
        <w:tc>
          <w:tcPr>
            <w:tcW w:w="851" w:type="dxa"/>
            <w:vMerge/>
            <w:vAlign w:val="center"/>
          </w:tcPr>
          <w:p w14:paraId="2E3188FF" w14:textId="77777777" w:rsidR="00E541EE" w:rsidRPr="000E34ED" w:rsidRDefault="00E541EE" w:rsidP="00A84BB5">
            <w:pPr>
              <w:widowControl w:val="0"/>
              <w:autoSpaceDE w:val="0"/>
              <w:autoSpaceDN w:val="0"/>
              <w:ind w:left="179"/>
              <w:jc w:val="center"/>
              <w:rPr>
                <w:rFonts w:cstheme="minorHAnsi"/>
                <w:b/>
                <w:sz w:val="14"/>
                <w:szCs w:val="14"/>
              </w:rPr>
            </w:pPr>
          </w:p>
        </w:tc>
        <w:tc>
          <w:tcPr>
            <w:tcW w:w="1134" w:type="dxa"/>
            <w:vMerge/>
            <w:vAlign w:val="center"/>
          </w:tcPr>
          <w:p w14:paraId="3D6162AC" w14:textId="77777777" w:rsidR="00E541EE" w:rsidRPr="000E34ED" w:rsidRDefault="00E541EE" w:rsidP="00A84BB5">
            <w:pPr>
              <w:widowControl w:val="0"/>
              <w:autoSpaceDE w:val="0"/>
              <w:autoSpaceDN w:val="0"/>
              <w:ind w:left="70" w:right="60"/>
              <w:jc w:val="center"/>
              <w:rPr>
                <w:rFonts w:cstheme="minorHAnsi"/>
                <w:b/>
                <w:sz w:val="14"/>
                <w:szCs w:val="14"/>
              </w:rPr>
            </w:pPr>
          </w:p>
        </w:tc>
        <w:tc>
          <w:tcPr>
            <w:tcW w:w="850" w:type="dxa"/>
            <w:vMerge/>
            <w:vAlign w:val="center"/>
          </w:tcPr>
          <w:p w14:paraId="5C1337A0" w14:textId="77777777" w:rsidR="00E541EE" w:rsidRPr="000E34ED" w:rsidRDefault="00E541EE" w:rsidP="00A84BB5">
            <w:pPr>
              <w:widowControl w:val="0"/>
              <w:autoSpaceDE w:val="0"/>
              <w:autoSpaceDN w:val="0"/>
              <w:ind w:left="311"/>
              <w:jc w:val="center"/>
              <w:rPr>
                <w:rFonts w:cstheme="minorHAnsi"/>
                <w:b/>
                <w:sz w:val="14"/>
                <w:szCs w:val="14"/>
              </w:rPr>
            </w:pPr>
          </w:p>
        </w:tc>
        <w:tc>
          <w:tcPr>
            <w:tcW w:w="992" w:type="dxa"/>
            <w:vMerge/>
            <w:tcBorders>
              <w:bottom w:val="single" w:sz="4" w:space="0" w:color="auto"/>
            </w:tcBorders>
            <w:vAlign w:val="center"/>
          </w:tcPr>
          <w:p w14:paraId="6849D87A" w14:textId="77777777" w:rsidR="00E541EE" w:rsidRPr="000E34ED" w:rsidRDefault="00E541EE" w:rsidP="00A84BB5">
            <w:pPr>
              <w:widowControl w:val="0"/>
              <w:autoSpaceDE w:val="0"/>
              <w:autoSpaceDN w:val="0"/>
              <w:ind w:left="174" w:right="97" w:hanging="44"/>
              <w:jc w:val="center"/>
              <w:rPr>
                <w:rFonts w:cstheme="minorHAnsi"/>
                <w:b/>
                <w:sz w:val="14"/>
                <w:szCs w:val="14"/>
              </w:rPr>
            </w:pPr>
          </w:p>
        </w:tc>
        <w:tc>
          <w:tcPr>
            <w:tcW w:w="709" w:type="dxa"/>
            <w:vMerge/>
            <w:tcBorders>
              <w:bottom w:val="single" w:sz="4" w:space="0" w:color="auto"/>
            </w:tcBorders>
            <w:vAlign w:val="center"/>
          </w:tcPr>
          <w:p w14:paraId="7402BAFA" w14:textId="77777777" w:rsidR="00E541EE" w:rsidRPr="000E34ED" w:rsidRDefault="00E541EE" w:rsidP="00A84BB5">
            <w:pPr>
              <w:widowControl w:val="0"/>
              <w:autoSpaceDE w:val="0"/>
              <w:autoSpaceDN w:val="0"/>
              <w:ind w:left="44" w:right="32"/>
              <w:jc w:val="center"/>
              <w:rPr>
                <w:rFonts w:cstheme="minorHAnsi"/>
                <w:b/>
                <w:sz w:val="14"/>
                <w:szCs w:val="14"/>
              </w:rPr>
            </w:pPr>
          </w:p>
        </w:tc>
        <w:tc>
          <w:tcPr>
            <w:tcW w:w="851" w:type="dxa"/>
            <w:tcBorders>
              <w:bottom w:val="single" w:sz="4" w:space="0" w:color="auto"/>
            </w:tcBorders>
            <w:vAlign w:val="center"/>
          </w:tcPr>
          <w:p w14:paraId="6607243A" w14:textId="77777777" w:rsidR="00D13D77" w:rsidRDefault="00E541EE" w:rsidP="00A84BB5">
            <w:pPr>
              <w:widowControl w:val="0"/>
              <w:autoSpaceDE w:val="0"/>
              <w:autoSpaceDN w:val="0"/>
              <w:ind w:left="87" w:right="70"/>
              <w:jc w:val="center"/>
              <w:rPr>
                <w:rFonts w:cstheme="minorHAnsi"/>
                <w:b/>
                <w:sz w:val="14"/>
                <w:szCs w:val="14"/>
              </w:rPr>
            </w:pPr>
            <w:r w:rsidRPr="000E34ED">
              <w:rPr>
                <w:rFonts w:cstheme="minorHAnsi"/>
                <w:b/>
                <w:sz w:val="14"/>
                <w:szCs w:val="14"/>
              </w:rPr>
              <w:t xml:space="preserve">za </w:t>
            </w:r>
          </w:p>
          <w:p w14:paraId="27CBEFEC" w14:textId="7FEDEF6D" w:rsidR="00E541EE" w:rsidRPr="000E34ED" w:rsidRDefault="00E541EE" w:rsidP="00A84BB5">
            <w:pPr>
              <w:widowControl w:val="0"/>
              <w:autoSpaceDE w:val="0"/>
              <w:autoSpaceDN w:val="0"/>
              <w:ind w:left="87" w:right="70"/>
              <w:jc w:val="center"/>
              <w:rPr>
                <w:rFonts w:cstheme="minorHAnsi"/>
                <w:b/>
                <w:sz w:val="14"/>
                <w:szCs w:val="14"/>
              </w:rPr>
            </w:pPr>
            <w:r w:rsidRPr="000E34ED">
              <w:rPr>
                <w:rFonts w:cstheme="minorHAnsi"/>
                <w:b/>
                <w:sz w:val="14"/>
                <w:szCs w:val="14"/>
              </w:rPr>
              <w:t>2026.</w:t>
            </w:r>
          </w:p>
        </w:tc>
        <w:tc>
          <w:tcPr>
            <w:tcW w:w="708" w:type="dxa"/>
            <w:tcBorders>
              <w:bottom w:val="single" w:sz="4" w:space="0" w:color="auto"/>
            </w:tcBorders>
            <w:vAlign w:val="center"/>
          </w:tcPr>
          <w:p w14:paraId="55C0082D" w14:textId="77777777" w:rsidR="00E541EE" w:rsidRPr="000E34ED" w:rsidRDefault="00E541EE" w:rsidP="00A84BB5">
            <w:pPr>
              <w:widowControl w:val="0"/>
              <w:autoSpaceDE w:val="0"/>
              <w:autoSpaceDN w:val="0"/>
              <w:ind w:left="75" w:right="61"/>
              <w:jc w:val="center"/>
              <w:rPr>
                <w:rFonts w:cstheme="minorHAnsi"/>
                <w:b/>
                <w:sz w:val="14"/>
                <w:szCs w:val="14"/>
              </w:rPr>
            </w:pPr>
            <w:r w:rsidRPr="000E34ED">
              <w:rPr>
                <w:rFonts w:cstheme="minorHAnsi"/>
                <w:b/>
                <w:sz w:val="14"/>
                <w:szCs w:val="14"/>
              </w:rPr>
              <w:t>za</w:t>
            </w:r>
          </w:p>
          <w:p w14:paraId="43067F36" w14:textId="77777777" w:rsidR="00E541EE" w:rsidRPr="000E34ED" w:rsidRDefault="00E541EE" w:rsidP="00A84BB5">
            <w:pPr>
              <w:widowControl w:val="0"/>
              <w:autoSpaceDE w:val="0"/>
              <w:autoSpaceDN w:val="0"/>
              <w:ind w:left="75" w:right="61"/>
              <w:jc w:val="center"/>
              <w:rPr>
                <w:rFonts w:cstheme="minorHAnsi"/>
                <w:b/>
                <w:sz w:val="14"/>
                <w:szCs w:val="14"/>
              </w:rPr>
            </w:pPr>
            <w:r w:rsidRPr="000E34ED">
              <w:rPr>
                <w:rFonts w:cstheme="minorHAnsi"/>
                <w:b/>
                <w:sz w:val="14"/>
                <w:szCs w:val="14"/>
              </w:rPr>
              <w:t>2027.</w:t>
            </w:r>
          </w:p>
        </w:tc>
        <w:tc>
          <w:tcPr>
            <w:tcW w:w="1134" w:type="dxa"/>
            <w:tcBorders>
              <w:bottom w:val="single" w:sz="4" w:space="0" w:color="auto"/>
            </w:tcBorders>
            <w:vAlign w:val="center"/>
          </w:tcPr>
          <w:p w14:paraId="6B4B24CA" w14:textId="77777777" w:rsidR="00E541EE" w:rsidRPr="000E34ED" w:rsidRDefault="00E541EE" w:rsidP="00A84BB5">
            <w:pPr>
              <w:widowControl w:val="0"/>
              <w:autoSpaceDE w:val="0"/>
              <w:autoSpaceDN w:val="0"/>
              <w:ind w:left="70" w:right="56"/>
              <w:jc w:val="center"/>
              <w:rPr>
                <w:rFonts w:cstheme="minorHAnsi"/>
                <w:b/>
                <w:sz w:val="14"/>
                <w:szCs w:val="14"/>
              </w:rPr>
            </w:pPr>
            <w:r w:rsidRPr="000E34ED">
              <w:rPr>
                <w:rFonts w:cstheme="minorHAnsi"/>
                <w:b/>
                <w:sz w:val="14"/>
                <w:szCs w:val="14"/>
              </w:rPr>
              <w:t>za</w:t>
            </w:r>
          </w:p>
          <w:p w14:paraId="3CCF41FC" w14:textId="77777777" w:rsidR="00E541EE" w:rsidRPr="000E34ED" w:rsidRDefault="00E541EE" w:rsidP="00A84BB5">
            <w:pPr>
              <w:widowControl w:val="0"/>
              <w:autoSpaceDE w:val="0"/>
              <w:autoSpaceDN w:val="0"/>
              <w:ind w:left="70" w:right="56"/>
              <w:jc w:val="center"/>
              <w:rPr>
                <w:rFonts w:cstheme="minorHAnsi"/>
                <w:b/>
                <w:sz w:val="14"/>
                <w:szCs w:val="14"/>
              </w:rPr>
            </w:pPr>
            <w:r w:rsidRPr="000E34ED">
              <w:rPr>
                <w:rFonts w:cstheme="minorHAnsi"/>
                <w:b/>
                <w:sz w:val="14"/>
                <w:szCs w:val="14"/>
              </w:rPr>
              <w:t>2028.</w:t>
            </w:r>
          </w:p>
        </w:tc>
      </w:tr>
      <w:tr w:rsidR="00E541EE" w:rsidRPr="000E34ED" w14:paraId="58D9098F" w14:textId="77777777" w:rsidTr="00D13D77">
        <w:trPr>
          <w:trHeight w:val="1150"/>
        </w:trPr>
        <w:tc>
          <w:tcPr>
            <w:tcW w:w="993" w:type="dxa"/>
            <w:vMerge w:val="restart"/>
          </w:tcPr>
          <w:p w14:paraId="3E0B5617" w14:textId="77777777" w:rsidR="00E541EE" w:rsidRDefault="00E541EE" w:rsidP="00A84BB5">
            <w:pPr>
              <w:widowControl w:val="0"/>
              <w:autoSpaceDE w:val="0"/>
              <w:autoSpaceDN w:val="0"/>
              <w:spacing w:before="49"/>
              <w:jc w:val="center"/>
              <w:rPr>
                <w:rFonts w:cstheme="minorHAnsi"/>
                <w:sz w:val="14"/>
                <w:szCs w:val="14"/>
              </w:rPr>
            </w:pPr>
          </w:p>
          <w:p w14:paraId="53F27BCF" w14:textId="77777777" w:rsidR="00E541EE" w:rsidRDefault="00E541EE" w:rsidP="00A84BB5">
            <w:pPr>
              <w:widowControl w:val="0"/>
              <w:autoSpaceDE w:val="0"/>
              <w:autoSpaceDN w:val="0"/>
              <w:spacing w:before="49"/>
              <w:jc w:val="center"/>
              <w:rPr>
                <w:rFonts w:cstheme="minorHAnsi"/>
                <w:sz w:val="14"/>
                <w:szCs w:val="14"/>
              </w:rPr>
            </w:pPr>
          </w:p>
          <w:p w14:paraId="18848AAB" w14:textId="77777777" w:rsidR="00E541EE" w:rsidRDefault="00E541EE" w:rsidP="00A84BB5">
            <w:pPr>
              <w:widowControl w:val="0"/>
              <w:autoSpaceDE w:val="0"/>
              <w:autoSpaceDN w:val="0"/>
              <w:spacing w:before="49"/>
              <w:jc w:val="center"/>
              <w:rPr>
                <w:rFonts w:cstheme="minorHAnsi"/>
                <w:sz w:val="14"/>
                <w:szCs w:val="14"/>
              </w:rPr>
            </w:pPr>
          </w:p>
          <w:p w14:paraId="2FC88D20" w14:textId="77777777" w:rsidR="00E541EE" w:rsidRDefault="00E541EE" w:rsidP="00A84BB5">
            <w:pPr>
              <w:widowControl w:val="0"/>
              <w:autoSpaceDE w:val="0"/>
              <w:autoSpaceDN w:val="0"/>
              <w:spacing w:before="49"/>
              <w:jc w:val="center"/>
              <w:rPr>
                <w:rFonts w:cstheme="minorHAnsi"/>
                <w:sz w:val="14"/>
                <w:szCs w:val="14"/>
              </w:rPr>
            </w:pPr>
          </w:p>
          <w:p w14:paraId="3BDAD7A5" w14:textId="77777777" w:rsidR="00E541EE" w:rsidRDefault="00E541EE" w:rsidP="00A84BB5">
            <w:pPr>
              <w:widowControl w:val="0"/>
              <w:autoSpaceDE w:val="0"/>
              <w:autoSpaceDN w:val="0"/>
              <w:spacing w:before="49"/>
              <w:jc w:val="center"/>
              <w:rPr>
                <w:rFonts w:cstheme="minorHAnsi"/>
                <w:sz w:val="14"/>
                <w:szCs w:val="14"/>
              </w:rPr>
            </w:pPr>
          </w:p>
          <w:p w14:paraId="558FB8AC" w14:textId="77777777" w:rsidR="00E541EE" w:rsidRDefault="00E541EE" w:rsidP="00A84BB5">
            <w:pPr>
              <w:widowControl w:val="0"/>
              <w:autoSpaceDE w:val="0"/>
              <w:autoSpaceDN w:val="0"/>
              <w:spacing w:before="49"/>
              <w:jc w:val="center"/>
              <w:rPr>
                <w:rFonts w:cstheme="minorHAnsi"/>
                <w:sz w:val="14"/>
                <w:szCs w:val="14"/>
              </w:rPr>
            </w:pPr>
          </w:p>
          <w:p w14:paraId="05AC6F43" w14:textId="77777777" w:rsidR="00E541EE" w:rsidRDefault="00E541EE" w:rsidP="00A84BB5">
            <w:pPr>
              <w:widowControl w:val="0"/>
              <w:autoSpaceDE w:val="0"/>
              <w:autoSpaceDN w:val="0"/>
              <w:spacing w:before="49"/>
              <w:jc w:val="center"/>
              <w:rPr>
                <w:rFonts w:cstheme="minorHAnsi"/>
                <w:sz w:val="14"/>
                <w:szCs w:val="14"/>
              </w:rPr>
            </w:pPr>
          </w:p>
          <w:p w14:paraId="43350979" w14:textId="77777777" w:rsidR="00E541EE" w:rsidRDefault="00E541EE" w:rsidP="00A84BB5">
            <w:pPr>
              <w:widowControl w:val="0"/>
              <w:autoSpaceDE w:val="0"/>
              <w:autoSpaceDN w:val="0"/>
              <w:spacing w:before="49"/>
              <w:jc w:val="center"/>
              <w:rPr>
                <w:rFonts w:cstheme="minorHAnsi"/>
                <w:sz w:val="14"/>
                <w:szCs w:val="14"/>
              </w:rPr>
            </w:pPr>
          </w:p>
          <w:p w14:paraId="64B94045" w14:textId="77777777" w:rsidR="00E541EE" w:rsidRDefault="00E541EE" w:rsidP="00A84BB5">
            <w:pPr>
              <w:widowControl w:val="0"/>
              <w:autoSpaceDE w:val="0"/>
              <w:autoSpaceDN w:val="0"/>
              <w:spacing w:before="49"/>
              <w:jc w:val="center"/>
              <w:rPr>
                <w:rFonts w:cstheme="minorHAnsi"/>
                <w:sz w:val="14"/>
                <w:szCs w:val="14"/>
              </w:rPr>
            </w:pPr>
          </w:p>
          <w:p w14:paraId="31E384B0" w14:textId="77777777" w:rsidR="00E541EE" w:rsidRDefault="00E541EE" w:rsidP="00A84BB5">
            <w:pPr>
              <w:widowControl w:val="0"/>
              <w:autoSpaceDE w:val="0"/>
              <w:autoSpaceDN w:val="0"/>
              <w:spacing w:before="49"/>
              <w:jc w:val="center"/>
              <w:rPr>
                <w:rFonts w:cstheme="minorHAnsi"/>
                <w:sz w:val="14"/>
                <w:szCs w:val="14"/>
              </w:rPr>
            </w:pPr>
          </w:p>
          <w:p w14:paraId="006623D1" w14:textId="77777777" w:rsidR="00E541EE" w:rsidRDefault="00E541EE" w:rsidP="00A84BB5">
            <w:pPr>
              <w:widowControl w:val="0"/>
              <w:autoSpaceDE w:val="0"/>
              <w:autoSpaceDN w:val="0"/>
              <w:spacing w:before="49"/>
              <w:jc w:val="center"/>
              <w:rPr>
                <w:rFonts w:cstheme="minorHAnsi"/>
                <w:sz w:val="14"/>
                <w:szCs w:val="14"/>
              </w:rPr>
            </w:pPr>
          </w:p>
          <w:p w14:paraId="6978AE2A" w14:textId="77777777" w:rsidR="00E541EE" w:rsidRDefault="00E541EE" w:rsidP="00A84BB5">
            <w:pPr>
              <w:widowControl w:val="0"/>
              <w:autoSpaceDE w:val="0"/>
              <w:autoSpaceDN w:val="0"/>
              <w:spacing w:before="49"/>
              <w:jc w:val="center"/>
              <w:rPr>
                <w:rFonts w:cstheme="minorHAnsi"/>
                <w:sz w:val="14"/>
                <w:szCs w:val="14"/>
              </w:rPr>
            </w:pPr>
          </w:p>
          <w:p w14:paraId="55BE65AA" w14:textId="77777777" w:rsidR="00E541EE" w:rsidRDefault="00E541EE" w:rsidP="00A84BB5">
            <w:pPr>
              <w:widowControl w:val="0"/>
              <w:autoSpaceDE w:val="0"/>
              <w:autoSpaceDN w:val="0"/>
              <w:spacing w:before="49"/>
              <w:jc w:val="center"/>
              <w:rPr>
                <w:rFonts w:cstheme="minorHAnsi"/>
                <w:sz w:val="14"/>
                <w:szCs w:val="14"/>
              </w:rPr>
            </w:pPr>
          </w:p>
          <w:p w14:paraId="044EFBE9" w14:textId="77777777" w:rsidR="00E541EE" w:rsidRDefault="00E541EE" w:rsidP="00A84BB5">
            <w:pPr>
              <w:widowControl w:val="0"/>
              <w:autoSpaceDE w:val="0"/>
              <w:autoSpaceDN w:val="0"/>
              <w:spacing w:before="49"/>
              <w:jc w:val="center"/>
              <w:rPr>
                <w:rFonts w:cstheme="minorHAnsi"/>
                <w:sz w:val="14"/>
                <w:szCs w:val="14"/>
              </w:rPr>
            </w:pPr>
          </w:p>
          <w:p w14:paraId="6522C241" w14:textId="77777777" w:rsidR="00E541EE" w:rsidRDefault="00E541EE" w:rsidP="00A84BB5">
            <w:pPr>
              <w:widowControl w:val="0"/>
              <w:autoSpaceDE w:val="0"/>
              <w:autoSpaceDN w:val="0"/>
              <w:spacing w:before="49"/>
              <w:jc w:val="center"/>
              <w:rPr>
                <w:rFonts w:cstheme="minorHAnsi"/>
                <w:sz w:val="14"/>
                <w:szCs w:val="14"/>
              </w:rPr>
            </w:pPr>
          </w:p>
          <w:p w14:paraId="018322B1" w14:textId="77777777" w:rsidR="00E541EE" w:rsidRDefault="00E541EE" w:rsidP="00A84BB5">
            <w:pPr>
              <w:widowControl w:val="0"/>
              <w:autoSpaceDE w:val="0"/>
              <w:autoSpaceDN w:val="0"/>
              <w:spacing w:before="49"/>
              <w:jc w:val="center"/>
              <w:rPr>
                <w:rFonts w:cstheme="minorHAnsi"/>
                <w:sz w:val="14"/>
                <w:szCs w:val="14"/>
              </w:rPr>
            </w:pPr>
          </w:p>
          <w:p w14:paraId="1ED68312" w14:textId="77777777" w:rsidR="00E541EE" w:rsidRDefault="00E541EE" w:rsidP="00A84BB5">
            <w:pPr>
              <w:widowControl w:val="0"/>
              <w:autoSpaceDE w:val="0"/>
              <w:autoSpaceDN w:val="0"/>
              <w:spacing w:before="49"/>
              <w:jc w:val="center"/>
              <w:rPr>
                <w:rFonts w:cstheme="minorHAnsi"/>
                <w:sz w:val="14"/>
                <w:szCs w:val="14"/>
              </w:rPr>
            </w:pPr>
          </w:p>
          <w:p w14:paraId="266F07CF" w14:textId="77777777" w:rsidR="00E541EE" w:rsidRDefault="00E541EE" w:rsidP="00A84BB5">
            <w:pPr>
              <w:widowControl w:val="0"/>
              <w:autoSpaceDE w:val="0"/>
              <w:autoSpaceDN w:val="0"/>
              <w:spacing w:before="49"/>
              <w:jc w:val="center"/>
              <w:rPr>
                <w:rFonts w:cstheme="minorHAnsi"/>
                <w:sz w:val="14"/>
                <w:szCs w:val="14"/>
              </w:rPr>
            </w:pPr>
          </w:p>
          <w:p w14:paraId="0C8B4D02" w14:textId="77777777" w:rsidR="00E541EE" w:rsidRDefault="00E541EE" w:rsidP="00A84BB5">
            <w:pPr>
              <w:widowControl w:val="0"/>
              <w:autoSpaceDE w:val="0"/>
              <w:autoSpaceDN w:val="0"/>
              <w:spacing w:before="49"/>
              <w:jc w:val="center"/>
              <w:rPr>
                <w:rFonts w:cstheme="minorHAnsi"/>
                <w:sz w:val="14"/>
                <w:szCs w:val="14"/>
              </w:rPr>
            </w:pPr>
          </w:p>
          <w:p w14:paraId="5715F56B" w14:textId="77777777" w:rsidR="00E541EE" w:rsidRPr="000E34ED" w:rsidRDefault="00E541EE" w:rsidP="00A84BB5">
            <w:pPr>
              <w:widowControl w:val="0"/>
              <w:autoSpaceDE w:val="0"/>
              <w:autoSpaceDN w:val="0"/>
              <w:spacing w:before="49"/>
              <w:ind w:left="44" w:right="35"/>
              <w:jc w:val="center"/>
              <w:rPr>
                <w:rFonts w:cstheme="minorHAnsi"/>
                <w:sz w:val="14"/>
                <w:szCs w:val="14"/>
              </w:rPr>
            </w:pPr>
            <w:r w:rsidRPr="000E34ED">
              <w:rPr>
                <w:rFonts w:cstheme="minorHAnsi"/>
                <w:sz w:val="14"/>
                <w:szCs w:val="14"/>
              </w:rPr>
              <w:t>Provedbeni program Grada Rovinja-Rovigno za razdoblje 2025</w:t>
            </w:r>
            <w:r>
              <w:rPr>
                <w:rFonts w:cstheme="minorHAnsi"/>
                <w:sz w:val="14"/>
                <w:szCs w:val="14"/>
              </w:rPr>
              <w:t>.</w:t>
            </w:r>
            <w:r w:rsidRPr="000E34ED">
              <w:rPr>
                <w:rFonts w:cstheme="minorHAnsi"/>
                <w:sz w:val="14"/>
                <w:szCs w:val="14"/>
              </w:rPr>
              <w:t>.-2029. godine</w:t>
            </w:r>
          </w:p>
          <w:p w14:paraId="0074E819" w14:textId="77777777" w:rsidR="00E541EE" w:rsidRPr="000E34ED" w:rsidRDefault="00E541EE" w:rsidP="00A84BB5">
            <w:pPr>
              <w:widowControl w:val="0"/>
              <w:autoSpaceDE w:val="0"/>
              <w:autoSpaceDN w:val="0"/>
              <w:spacing w:before="49"/>
              <w:jc w:val="center"/>
              <w:rPr>
                <w:rFonts w:cstheme="minorHAnsi"/>
                <w:sz w:val="14"/>
                <w:szCs w:val="14"/>
              </w:rPr>
            </w:pPr>
          </w:p>
        </w:tc>
        <w:tc>
          <w:tcPr>
            <w:tcW w:w="1134" w:type="dxa"/>
            <w:vMerge w:val="restart"/>
          </w:tcPr>
          <w:p w14:paraId="1FF8B730" w14:textId="77777777" w:rsidR="00E541EE" w:rsidRPr="000E34ED" w:rsidRDefault="00E541EE" w:rsidP="00A84BB5">
            <w:pPr>
              <w:widowControl w:val="0"/>
              <w:autoSpaceDE w:val="0"/>
              <w:autoSpaceDN w:val="0"/>
              <w:jc w:val="center"/>
              <w:rPr>
                <w:rFonts w:cstheme="minorHAnsi"/>
                <w:sz w:val="14"/>
                <w:szCs w:val="14"/>
              </w:rPr>
            </w:pPr>
            <w:r w:rsidRPr="000E34ED">
              <w:rPr>
                <w:rFonts w:cstheme="minorHAnsi"/>
                <w:sz w:val="14"/>
                <w:szCs w:val="14"/>
              </w:rPr>
              <w:t>4.2. Razvoj kulturnog sektora, te jačanje kulturnog identiteta, baštine i tradicije</w:t>
            </w:r>
          </w:p>
        </w:tc>
        <w:tc>
          <w:tcPr>
            <w:tcW w:w="850" w:type="dxa"/>
            <w:vMerge w:val="restart"/>
            <w:shd w:val="clear" w:color="auto" w:fill="FFF1CC"/>
          </w:tcPr>
          <w:p w14:paraId="23987772" w14:textId="77777777" w:rsidR="00E541EE" w:rsidRPr="000E34ED" w:rsidRDefault="00E541EE" w:rsidP="00A84BB5">
            <w:pPr>
              <w:widowControl w:val="0"/>
              <w:autoSpaceDE w:val="0"/>
              <w:autoSpaceDN w:val="0"/>
              <w:spacing w:before="7"/>
              <w:rPr>
                <w:rFonts w:cstheme="minorHAnsi"/>
                <w:sz w:val="14"/>
                <w:szCs w:val="14"/>
              </w:rPr>
            </w:pPr>
          </w:p>
          <w:p w14:paraId="2B2B0893" w14:textId="77777777" w:rsidR="00E541EE" w:rsidRPr="000E34ED" w:rsidRDefault="00E541EE" w:rsidP="00A84BB5">
            <w:pPr>
              <w:widowControl w:val="0"/>
              <w:autoSpaceDE w:val="0"/>
              <w:autoSpaceDN w:val="0"/>
              <w:spacing w:before="7"/>
              <w:rPr>
                <w:rFonts w:cstheme="minorHAnsi"/>
                <w:sz w:val="14"/>
                <w:szCs w:val="14"/>
                <w:highlight w:val="yellow"/>
              </w:rPr>
            </w:pPr>
            <w:r w:rsidRPr="000E34ED">
              <w:rPr>
                <w:rFonts w:cstheme="minorHAnsi"/>
                <w:sz w:val="14"/>
                <w:szCs w:val="14"/>
              </w:rPr>
              <w:t>P-1027 Opće javne potrebe u kulturi</w:t>
            </w:r>
          </w:p>
        </w:tc>
        <w:tc>
          <w:tcPr>
            <w:tcW w:w="851" w:type="dxa"/>
            <w:vMerge w:val="restart"/>
          </w:tcPr>
          <w:p w14:paraId="2CF4BB6B" w14:textId="77777777" w:rsidR="00E541EE" w:rsidRPr="000E34ED" w:rsidRDefault="00E541EE" w:rsidP="00A84BB5">
            <w:pPr>
              <w:widowControl w:val="0"/>
              <w:autoSpaceDE w:val="0"/>
              <w:autoSpaceDN w:val="0"/>
              <w:spacing w:before="7"/>
              <w:rPr>
                <w:rFonts w:cstheme="minorHAnsi"/>
                <w:sz w:val="14"/>
                <w:szCs w:val="14"/>
              </w:rPr>
            </w:pPr>
          </w:p>
          <w:p w14:paraId="43C6C90E" w14:textId="77777777" w:rsidR="00E541EE" w:rsidRPr="000E34ED" w:rsidRDefault="00E541EE" w:rsidP="00A84BB5">
            <w:pPr>
              <w:widowControl w:val="0"/>
              <w:autoSpaceDE w:val="0"/>
              <w:autoSpaceDN w:val="0"/>
              <w:spacing w:before="7"/>
              <w:rPr>
                <w:rFonts w:cstheme="minorHAnsi"/>
                <w:sz w:val="14"/>
                <w:szCs w:val="14"/>
              </w:rPr>
            </w:pPr>
            <w:r w:rsidRPr="000E34ED">
              <w:rPr>
                <w:rFonts w:cstheme="minorHAnsi"/>
                <w:sz w:val="14"/>
                <w:szCs w:val="14"/>
              </w:rPr>
              <w:t>33. Očuvanje nematerijalne baštine, obnova materijalne baštine te njihova valorizacija i prezentacija</w:t>
            </w:r>
          </w:p>
          <w:p w14:paraId="3C1C03BA" w14:textId="77777777" w:rsidR="00E541EE" w:rsidRPr="000E34ED" w:rsidRDefault="00E541EE" w:rsidP="00A84BB5">
            <w:pPr>
              <w:widowControl w:val="0"/>
              <w:autoSpaceDE w:val="0"/>
              <w:autoSpaceDN w:val="0"/>
              <w:spacing w:before="7"/>
              <w:rPr>
                <w:rFonts w:cstheme="minorHAnsi"/>
                <w:sz w:val="14"/>
                <w:szCs w:val="14"/>
              </w:rPr>
            </w:pPr>
          </w:p>
          <w:p w14:paraId="19C7CC71" w14:textId="77777777" w:rsidR="00E541EE" w:rsidRPr="000E34ED" w:rsidRDefault="00E541EE" w:rsidP="00A84BB5">
            <w:pPr>
              <w:widowControl w:val="0"/>
              <w:autoSpaceDE w:val="0"/>
              <w:autoSpaceDN w:val="0"/>
              <w:spacing w:before="7"/>
              <w:rPr>
                <w:rFonts w:cstheme="minorHAnsi"/>
                <w:sz w:val="14"/>
                <w:szCs w:val="14"/>
                <w:highlight w:val="yellow"/>
              </w:rPr>
            </w:pPr>
          </w:p>
        </w:tc>
        <w:tc>
          <w:tcPr>
            <w:tcW w:w="1134" w:type="dxa"/>
            <w:vMerge w:val="restart"/>
            <w:shd w:val="clear" w:color="auto" w:fill="FFF1CC"/>
          </w:tcPr>
          <w:p w14:paraId="20FAC4AC" w14:textId="77777777" w:rsidR="00E541EE" w:rsidRPr="000E34ED" w:rsidRDefault="00E541EE" w:rsidP="00A84BB5">
            <w:pPr>
              <w:widowControl w:val="0"/>
              <w:autoSpaceDE w:val="0"/>
              <w:autoSpaceDN w:val="0"/>
              <w:rPr>
                <w:rFonts w:cstheme="minorHAnsi"/>
                <w:sz w:val="14"/>
                <w:szCs w:val="14"/>
                <w:highlight w:val="yellow"/>
              </w:rPr>
            </w:pPr>
            <w:r w:rsidRPr="000E34ED">
              <w:rPr>
                <w:rFonts w:cstheme="minorHAnsi"/>
                <w:sz w:val="14"/>
                <w:szCs w:val="14"/>
              </w:rPr>
              <w:t xml:space="preserve">   </w:t>
            </w:r>
            <w:r>
              <w:rPr>
                <w:rFonts w:cstheme="minorHAnsi"/>
                <w:sz w:val="14"/>
                <w:szCs w:val="14"/>
              </w:rPr>
              <w:t>716</w:t>
            </w:r>
            <w:r w:rsidRPr="000E34ED">
              <w:rPr>
                <w:rFonts w:cstheme="minorHAnsi"/>
                <w:sz w:val="14"/>
                <w:szCs w:val="14"/>
              </w:rPr>
              <w:t>.129,87</w:t>
            </w:r>
          </w:p>
        </w:tc>
        <w:tc>
          <w:tcPr>
            <w:tcW w:w="850" w:type="dxa"/>
            <w:vMerge w:val="restart"/>
            <w:tcBorders>
              <w:right w:val="single" w:sz="4" w:space="0" w:color="auto"/>
            </w:tcBorders>
          </w:tcPr>
          <w:p w14:paraId="4F57C81C" w14:textId="77777777" w:rsidR="00E541EE" w:rsidRDefault="00E541EE" w:rsidP="00A84BB5">
            <w:pPr>
              <w:jc w:val="center"/>
              <w:rPr>
                <w:rFonts w:cstheme="minorHAnsi"/>
                <w:sz w:val="14"/>
                <w:szCs w:val="14"/>
              </w:rPr>
            </w:pPr>
            <w:r w:rsidRPr="000E34ED">
              <w:rPr>
                <w:rFonts w:cstheme="minorHAnsi"/>
                <w:sz w:val="14"/>
                <w:szCs w:val="14"/>
              </w:rPr>
              <w:t>A 102701:</w:t>
            </w:r>
          </w:p>
          <w:p w14:paraId="75A4BAE7" w14:textId="77777777" w:rsidR="00E541EE" w:rsidRDefault="00E541EE" w:rsidP="00A84BB5">
            <w:pPr>
              <w:jc w:val="center"/>
              <w:rPr>
                <w:rFonts w:cstheme="minorHAnsi"/>
                <w:sz w:val="14"/>
                <w:szCs w:val="14"/>
              </w:rPr>
            </w:pPr>
            <w:r w:rsidRPr="000E34ED">
              <w:rPr>
                <w:rFonts w:cstheme="minorHAnsi"/>
                <w:sz w:val="14"/>
                <w:szCs w:val="14"/>
              </w:rPr>
              <w:t>Gradske kulturno - zabavne manifestacije</w:t>
            </w:r>
          </w:p>
          <w:p w14:paraId="4BA31CDD" w14:textId="77777777" w:rsidR="00E541EE" w:rsidRDefault="00E541EE" w:rsidP="00A84BB5">
            <w:pPr>
              <w:spacing w:after="120"/>
              <w:jc w:val="center"/>
              <w:rPr>
                <w:rFonts w:cstheme="minorHAnsi"/>
                <w:sz w:val="14"/>
                <w:szCs w:val="14"/>
              </w:rPr>
            </w:pPr>
          </w:p>
          <w:p w14:paraId="4B972852" w14:textId="77777777" w:rsidR="00E541EE" w:rsidRDefault="00E541EE" w:rsidP="00A84BB5">
            <w:pPr>
              <w:spacing w:after="120"/>
              <w:jc w:val="center"/>
              <w:rPr>
                <w:rFonts w:cstheme="minorHAnsi"/>
                <w:sz w:val="14"/>
                <w:szCs w:val="14"/>
              </w:rPr>
            </w:pPr>
          </w:p>
          <w:p w14:paraId="00F2AA0F" w14:textId="77777777" w:rsidR="00E541EE" w:rsidRPr="000E34ED" w:rsidRDefault="00E541EE" w:rsidP="00A84BB5">
            <w:pPr>
              <w:spacing w:after="120"/>
              <w:jc w:val="center"/>
              <w:rPr>
                <w:rFonts w:cstheme="minorHAnsi"/>
                <w:sz w:val="14"/>
                <w:szCs w:val="14"/>
              </w:rPr>
            </w:pPr>
          </w:p>
          <w:p w14:paraId="7872B3DF" w14:textId="77777777" w:rsidR="00E541EE" w:rsidRDefault="00E541EE" w:rsidP="00A84BB5">
            <w:pPr>
              <w:jc w:val="center"/>
              <w:rPr>
                <w:rFonts w:cstheme="minorHAnsi"/>
                <w:sz w:val="14"/>
                <w:szCs w:val="14"/>
              </w:rPr>
            </w:pPr>
            <w:r w:rsidRPr="000E34ED">
              <w:rPr>
                <w:rFonts w:cstheme="minorHAnsi"/>
                <w:sz w:val="14"/>
                <w:szCs w:val="14"/>
              </w:rPr>
              <w:t>A 102702:</w:t>
            </w:r>
          </w:p>
          <w:p w14:paraId="636B7B94" w14:textId="77777777" w:rsidR="00E541EE" w:rsidRDefault="00E541EE" w:rsidP="00A84BB5">
            <w:pPr>
              <w:jc w:val="center"/>
              <w:rPr>
                <w:rFonts w:cstheme="minorHAnsi"/>
                <w:sz w:val="14"/>
                <w:szCs w:val="14"/>
              </w:rPr>
            </w:pPr>
            <w:r w:rsidRPr="000E34ED">
              <w:rPr>
                <w:rFonts w:cstheme="minorHAnsi"/>
                <w:sz w:val="14"/>
                <w:szCs w:val="14"/>
              </w:rPr>
              <w:t xml:space="preserve"> Posebne gradske aktivnosti</w:t>
            </w:r>
          </w:p>
          <w:p w14:paraId="2D70D507" w14:textId="77777777" w:rsidR="00E541EE" w:rsidRDefault="00E541EE" w:rsidP="00A84BB5">
            <w:pPr>
              <w:spacing w:after="120"/>
              <w:jc w:val="center"/>
              <w:rPr>
                <w:rFonts w:cstheme="minorHAnsi"/>
                <w:sz w:val="14"/>
                <w:szCs w:val="14"/>
              </w:rPr>
            </w:pPr>
          </w:p>
          <w:p w14:paraId="5CA93579" w14:textId="77777777" w:rsidR="00E541EE" w:rsidRPr="000E34ED" w:rsidRDefault="00E541EE" w:rsidP="00A84BB5">
            <w:pPr>
              <w:spacing w:after="120"/>
              <w:jc w:val="center"/>
              <w:rPr>
                <w:rFonts w:cstheme="minorHAnsi"/>
                <w:sz w:val="14"/>
                <w:szCs w:val="14"/>
              </w:rPr>
            </w:pPr>
          </w:p>
          <w:p w14:paraId="62754B2E" w14:textId="77777777" w:rsidR="00E541EE" w:rsidRDefault="00E541EE" w:rsidP="00A84BB5">
            <w:pPr>
              <w:jc w:val="center"/>
              <w:rPr>
                <w:rFonts w:cstheme="minorHAnsi"/>
                <w:sz w:val="14"/>
                <w:szCs w:val="14"/>
              </w:rPr>
            </w:pPr>
            <w:r w:rsidRPr="000E34ED">
              <w:rPr>
                <w:rFonts w:cstheme="minorHAnsi"/>
                <w:sz w:val="14"/>
                <w:szCs w:val="14"/>
              </w:rPr>
              <w:t>A 102703:</w:t>
            </w:r>
          </w:p>
          <w:p w14:paraId="48D216F3" w14:textId="77777777" w:rsidR="00E541EE" w:rsidRDefault="00E541EE" w:rsidP="00A84BB5">
            <w:pPr>
              <w:jc w:val="center"/>
              <w:rPr>
                <w:rFonts w:cstheme="minorHAnsi"/>
                <w:sz w:val="14"/>
                <w:szCs w:val="14"/>
              </w:rPr>
            </w:pPr>
            <w:r w:rsidRPr="000E34ED">
              <w:rPr>
                <w:rFonts w:cstheme="minorHAnsi"/>
                <w:sz w:val="14"/>
                <w:szCs w:val="14"/>
              </w:rPr>
              <w:t xml:space="preserve"> Program obilježavanja Dana Grada</w:t>
            </w:r>
          </w:p>
          <w:p w14:paraId="3EC7500E" w14:textId="77777777" w:rsidR="00E541EE" w:rsidRDefault="00E541EE" w:rsidP="00A84BB5">
            <w:pPr>
              <w:spacing w:after="120"/>
              <w:jc w:val="center"/>
              <w:rPr>
                <w:rFonts w:cstheme="minorHAnsi"/>
                <w:sz w:val="14"/>
                <w:szCs w:val="14"/>
              </w:rPr>
            </w:pPr>
          </w:p>
          <w:p w14:paraId="7F56F283" w14:textId="77777777" w:rsidR="00E541EE" w:rsidRPr="000E34ED" w:rsidRDefault="00E541EE" w:rsidP="00A84BB5">
            <w:pPr>
              <w:spacing w:after="120"/>
              <w:jc w:val="center"/>
              <w:rPr>
                <w:rFonts w:cstheme="minorHAnsi"/>
                <w:sz w:val="14"/>
                <w:szCs w:val="14"/>
              </w:rPr>
            </w:pPr>
          </w:p>
          <w:p w14:paraId="45A28C18" w14:textId="77777777" w:rsidR="00E541EE" w:rsidRPr="000E34ED" w:rsidRDefault="00E541EE" w:rsidP="00A84BB5">
            <w:pPr>
              <w:spacing w:after="120"/>
              <w:jc w:val="center"/>
              <w:rPr>
                <w:rFonts w:cstheme="minorHAnsi"/>
                <w:sz w:val="14"/>
                <w:szCs w:val="14"/>
              </w:rPr>
            </w:pPr>
            <w:r w:rsidRPr="000E34ED">
              <w:rPr>
                <w:rFonts w:cstheme="minorHAnsi"/>
                <w:sz w:val="14"/>
                <w:szCs w:val="14"/>
              </w:rPr>
              <w:t>A 102711: Adventska priča</w:t>
            </w:r>
          </w:p>
          <w:p w14:paraId="07E53BFB" w14:textId="77777777" w:rsidR="00E541EE" w:rsidRDefault="00E541EE" w:rsidP="00A84BB5">
            <w:pPr>
              <w:spacing w:after="120"/>
              <w:jc w:val="center"/>
              <w:rPr>
                <w:rFonts w:cstheme="minorHAnsi"/>
                <w:sz w:val="14"/>
                <w:szCs w:val="14"/>
              </w:rPr>
            </w:pPr>
            <w:r w:rsidRPr="000E34ED">
              <w:rPr>
                <w:rFonts w:cstheme="minorHAnsi"/>
                <w:sz w:val="14"/>
                <w:szCs w:val="14"/>
              </w:rPr>
              <w:t>A 102704: Izdavaštvo</w:t>
            </w:r>
          </w:p>
          <w:p w14:paraId="003AB5B3" w14:textId="77777777" w:rsidR="00E541EE" w:rsidRPr="000E34ED" w:rsidRDefault="00E541EE" w:rsidP="00A84BB5">
            <w:pPr>
              <w:spacing w:after="120"/>
              <w:jc w:val="center"/>
              <w:rPr>
                <w:rFonts w:cstheme="minorHAnsi"/>
                <w:sz w:val="14"/>
                <w:szCs w:val="14"/>
              </w:rPr>
            </w:pPr>
          </w:p>
          <w:p w14:paraId="67593944" w14:textId="77777777" w:rsidR="00E541EE" w:rsidRDefault="00E541EE" w:rsidP="00A84BB5">
            <w:pPr>
              <w:spacing w:after="120"/>
              <w:jc w:val="center"/>
              <w:rPr>
                <w:rFonts w:cstheme="minorHAnsi"/>
                <w:sz w:val="14"/>
                <w:szCs w:val="14"/>
              </w:rPr>
            </w:pPr>
            <w:r w:rsidRPr="000E34ED">
              <w:rPr>
                <w:rFonts w:cstheme="minorHAnsi"/>
                <w:sz w:val="14"/>
                <w:szCs w:val="14"/>
              </w:rPr>
              <w:t>A 102705: Programi udruga iz područja kulture i umjetnosti</w:t>
            </w:r>
          </w:p>
          <w:p w14:paraId="64F6CA1B" w14:textId="77777777" w:rsidR="00E541EE" w:rsidRPr="000E34ED" w:rsidRDefault="00E541EE" w:rsidP="00A84BB5">
            <w:pPr>
              <w:spacing w:after="120"/>
              <w:jc w:val="center"/>
              <w:rPr>
                <w:rFonts w:cstheme="minorHAnsi"/>
                <w:sz w:val="14"/>
                <w:szCs w:val="14"/>
              </w:rPr>
            </w:pPr>
          </w:p>
          <w:p w14:paraId="6AB46551" w14:textId="77777777" w:rsidR="00E541EE" w:rsidRPr="000E34ED" w:rsidRDefault="00E541EE" w:rsidP="00A84BB5">
            <w:pPr>
              <w:widowControl w:val="0"/>
              <w:autoSpaceDE w:val="0"/>
              <w:autoSpaceDN w:val="0"/>
              <w:spacing w:before="7"/>
              <w:jc w:val="center"/>
              <w:rPr>
                <w:rFonts w:cstheme="minorHAnsi"/>
                <w:sz w:val="14"/>
                <w:szCs w:val="14"/>
              </w:rPr>
            </w:pPr>
            <w:r w:rsidRPr="000E34ED">
              <w:rPr>
                <w:rFonts w:cstheme="minorHAnsi"/>
                <w:sz w:val="14"/>
                <w:szCs w:val="14"/>
              </w:rPr>
              <w:t>A 102706: Povjerenstvo za ocjenjivanje prijava</w:t>
            </w:r>
          </w:p>
          <w:p w14:paraId="259FC9C4" w14:textId="77777777" w:rsidR="00E541EE" w:rsidRPr="000E34ED" w:rsidRDefault="00E541EE" w:rsidP="00A84BB5">
            <w:pPr>
              <w:widowControl w:val="0"/>
              <w:autoSpaceDE w:val="0"/>
              <w:autoSpaceDN w:val="0"/>
              <w:spacing w:before="7"/>
              <w:jc w:val="center"/>
              <w:rPr>
                <w:rFonts w:cstheme="minorHAnsi"/>
                <w:sz w:val="14"/>
                <w:szCs w:val="14"/>
              </w:rPr>
            </w:pPr>
          </w:p>
          <w:p w14:paraId="7E0C28E9" w14:textId="77777777" w:rsidR="00E541EE" w:rsidRDefault="00E541EE" w:rsidP="00A84BB5">
            <w:pPr>
              <w:widowControl w:val="0"/>
              <w:autoSpaceDE w:val="0"/>
              <w:autoSpaceDN w:val="0"/>
              <w:spacing w:before="7"/>
              <w:jc w:val="center"/>
              <w:rPr>
                <w:rFonts w:cstheme="minorHAnsi"/>
                <w:bCs/>
                <w:sz w:val="14"/>
                <w:szCs w:val="14"/>
              </w:rPr>
            </w:pPr>
            <w:r w:rsidRPr="000E34ED">
              <w:rPr>
                <w:rFonts w:cstheme="minorHAnsi"/>
                <w:bCs/>
                <w:sz w:val="14"/>
                <w:szCs w:val="14"/>
              </w:rPr>
              <w:t>A 102707:</w:t>
            </w:r>
          </w:p>
          <w:p w14:paraId="338A6224" w14:textId="77777777" w:rsidR="00E541EE" w:rsidRPr="000E34ED" w:rsidRDefault="00E541EE" w:rsidP="00A84BB5">
            <w:pPr>
              <w:widowControl w:val="0"/>
              <w:autoSpaceDE w:val="0"/>
              <w:autoSpaceDN w:val="0"/>
              <w:spacing w:before="7"/>
              <w:jc w:val="center"/>
              <w:rPr>
                <w:rFonts w:cstheme="minorHAnsi"/>
                <w:bCs/>
                <w:sz w:val="14"/>
                <w:szCs w:val="14"/>
              </w:rPr>
            </w:pPr>
            <w:r w:rsidRPr="000E34ED">
              <w:rPr>
                <w:rFonts w:cstheme="minorHAnsi"/>
                <w:bCs/>
                <w:sz w:val="14"/>
                <w:szCs w:val="14"/>
              </w:rPr>
              <w:t>Centar za povijesna istraživanja Rovinj-Rovigno</w:t>
            </w:r>
          </w:p>
          <w:p w14:paraId="5EE3BD58" w14:textId="77777777" w:rsidR="00E541EE" w:rsidRPr="000E34ED" w:rsidRDefault="00E541EE" w:rsidP="00A84BB5">
            <w:pPr>
              <w:widowControl w:val="0"/>
              <w:autoSpaceDE w:val="0"/>
              <w:autoSpaceDN w:val="0"/>
              <w:spacing w:before="7"/>
              <w:jc w:val="center"/>
              <w:rPr>
                <w:rFonts w:cstheme="minorHAnsi"/>
                <w:bCs/>
                <w:sz w:val="14"/>
                <w:szCs w:val="14"/>
              </w:rPr>
            </w:pPr>
          </w:p>
          <w:p w14:paraId="61E3B0A2" w14:textId="77777777" w:rsidR="00E541EE" w:rsidRDefault="00E541EE" w:rsidP="00A84BB5">
            <w:pPr>
              <w:widowControl w:val="0"/>
              <w:autoSpaceDE w:val="0"/>
              <w:autoSpaceDN w:val="0"/>
              <w:spacing w:before="7"/>
              <w:jc w:val="center"/>
              <w:rPr>
                <w:rFonts w:cstheme="minorHAnsi"/>
                <w:bCs/>
                <w:sz w:val="14"/>
                <w:szCs w:val="14"/>
              </w:rPr>
            </w:pPr>
            <w:r w:rsidRPr="000E34ED">
              <w:rPr>
                <w:rFonts w:cstheme="minorHAnsi"/>
                <w:bCs/>
                <w:sz w:val="14"/>
                <w:szCs w:val="14"/>
              </w:rPr>
              <w:t>A 102712:</w:t>
            </w:r>
          </w:p>
          <w:p w14:paraId="76FC249E" w14:textId="77777777" w:rsidR="00E541EE" w:rsidRPr="000E34ED" w:rsidRDefault="00E541EE" w:rsidP="00A84BB5">
            <w:pPr>
              <w:widowControl w:val="0"/>
              <w:autoSpaceDE w:val="0"/>
              <w:autoSpaceDN w:val="0"/>
              <w:spacing w:before="7"/>
              <w:jc w:val="center"/>
              <w:rPr>
                <w:rFonts w:cstheme="minorHAnsi"/>
                <w:bCs/>
                <w:sz w:val="14"/>
                <w:szCs w:val="14"/>
              </w:rPr>
            </w:pPr>
            <w:r w:rsidRPr="000E34ED">
              <w:rPr>
                <w:rFonts w:cstheme="minorHAnsi"/>
                <w:bCs/>
                <w:sz w:val="14"/>
                <w:szCs w:val="14"/>
              </w:rPr>
              <w:t>Kulturno vijeće</w:t>
            </w:r>
          </w:p>
          <w:p w14:paraId="4215C592" w14:textId="77777777" w:rsidR="00E541EE" w:rsidRPr="000E34ED" w:rsidRDefault="00E541EE" w:rsidP="00A84BB5">
            <w:pPr>
              <w:widowControl w:val="0"/>
              <w:autoSpaceDE w:val="0"/>
              <w:autoSpaceDN w:val="0"/>
              <w:spacing w:before="7"/>
              <w:jc w:val="center"/>
              <w:rPr>
                <w:rFonts w:cstheme="minorHAnsi"/>
                <w:bCs/>
                <w:sz w:val="14"/>
                <w:szCs w:val="14"/>
              </w:rPr>
            </w:pPr>
          </w:p>
          <w:p w14:paraId="58495BC3" w14:textId="77777777" w:rsidR="00E541EE" w:rsidRDefault="00E541EE" w:rsidP="00A84BB5">
            <w:pPr>
              <w:widowControl w:val="0"/>
              <w:autoSpaceDE w:val="0"/>
              <w:autoSpaceDN w:val="0"/>
              <w:spacing w:before="7"/>
              <w:jc w:val="center"/>
              <w:rPr>
                <w:rFonts w:cstheme="minorHAnsi"/>
                <w:bCs/>
                <w:sz w:val="14"/>
                <w:szCs w:val="14"/>
              </w:rPr>
            </w:pPr>
            <w:r w:rsidRPr="000E34ED">
              <w:rPr>
                <w:rFonts w:cstheme="minorHAnsi"/>
                <w:bCs/>
                <w:sz w:val="14"/>
                <w:szCs w:val="14"/>
              </w:rPr>
              <w:t>T102701:</w:t>
            </w:r>
          </w:p>
          <w:p w14:paraId="11522CFF" w14:textId="77777777" w:rsidR="00E541EE" w:rsidRPr="000E34ED" w:rsidRDefault="00E541EE" w:rsidP="00A84BB5">
            <w:pPr>
              <w:widowControl w:val="0"/>
              <w:autoSpaceDE w:val="0"/>
              <w:autoSpaceDN w:val="0"/>
              <w:spacing w:before="7"/>
              <w:jc w:val="center"/>
              <w:rPr>
                <w:rFonts w:cstheme="minorHAnsi"/>
                <w:sz w:val="14"/>
                <w:szCs w:val="14"/>
                <w:highlight w:val="yellow"/>
              </w:rPr>
            </w:pPr>
            <w:r w:rsidRPr="000E34ED">
              <w:rPr>
                <w:rFonts w:cstheme="minorHAnsi"/>
                <w:bCs/>
                <w:sz w:val="14"/>
                <w:szCs w:val="14"/>
              </w:rPr>
              <w:t>Povijesna toponomastica Rovinj-Rovigno</w:t>
            </w:r>
          </w:p>
        </w:tc>
        <w:tc>
          <w:tcPr>
            <w:tcW w:w="992" w:type="dxa"/>
            <w:tcBorders>
              <w:top w:val="single" w:sz="4" w:space="0" w:color="auto"/>
              <w:left w:val="single" w:sz="4" w:space="0" w:color="5B9BD5" w:themeColor="accent5"/>
              <w:bottom w:val="single" w:sz="4" w:space="0" w:color="auto"/>
              <w:right w:val="single" w:sz="4" w:space="0" w:color="auto"/>
            </w:tcBorders>
          </w:tcPr>
          <w:p w14:paraId="1894EE5B" w14:textId="77777777" w:rsidR="00E541EE" w:rsidRPr="000E34ED" w:rsidRDefault="00E541EE" w:rsidP="00A84BB5">
            <w:pPr>
              <w:widowControl w:val="0"/>
              <w:autoSpaceDE w:val="0"/>
              <w:autoSpaceDN w:val="0"/>
              <w:jc w:val="center"/>
              <w:rPr>
                <w:rFonts w:cstheme="minorHAnsi"/>
                <w:sz w:val="14"/>
                <w:szCs w:val="14"/>
              </w:rPr>
            </w:pPr>
            <w:r w:rsidRPr="000E34ED">
              <w:rPr>
                <w:rFonts w:eastAsia="Times New Roman" w:cstheme="minorHAnsi"/>
                <w:sz w:val="14"/>
                <w:szCs w:val="14"/>
              </w:rPr>
              <w:t>Broj sudionika u radionicama i manifestacijama</w:t>
            </w:r>
          </w:p>
        </w:tc>
        <w:tc>
          <w:tcPr>
            <w:tcW w:w="709" w:type="dxa"/>
            <w:tcBorders>
              <w:top w:val="single" w:sz="4" w:space="0" w:color="auto"/>
              <w:left w:val="single" w:sz="4" w:space="0" w:color="auto"/>
              <w:bottom w:val="single" w:sz="4" w:space="0" w:color="auto"/>
              <w:right w:val="single" w:sz="4" w:space="0" w:color="auto"/>
            </w:tcBorders>
          </w:tcPr>
          <w:p w14:paraId="2488E9FC" w14:textId="77777777" w:rsidR="00E541EE" w:rsidRPr="000E34ED" w:rsidRDefault="00E541EE" w:rsidP="00A84BB5">
            <w:pPr>
              <w:widowControl w:val="0"/>
              <w:autoSpaceDE w:val="0"/>
              <w:autoSpaceDN w:val="0"/>
              <w:jc w:val="center"/>
              <w:rPr>
                <w:rFonts w:cstheme="minorHAnsi"/>
                <w:sz w:val="14"/>
                <w:szCs w:val="14"/>
              </w:rPr>
            </w:pPr>
            <w:r w:rsidRPr="000E34ED">
              <w:rPr>
                <w:rFonts w:eastAsia="Times New Roman" w:cstheme="minorHAnsi"/>
                <w:sz w:val="14"/>
                <w:szCs w:val="14"/>
              </w:rPr>
              <w:t>500</w:t>
            </w:r>
          </w:p>
        </w:tc>
        <w:tc>
          <w:tcPr>
            <w:tcW w:w="851" w:type="dxa"/>
            <w:tcBorders>
              <w:top w:val="single" w:sz="4" w:space="0" w:color="auto"/>
              <w:left w:val="single" w:sz="4" w:space="0" w:color="auto"/>
              <w:bottom w:val="single" w:sz="4" w:space="0" w:color="auto"/>
              <w:right w:val="single" w:sz="4" w:space="0" w:color="auto"/>
            </w:tcBorders>
          </w:tcPr>
          <w:p w14:paraId="3385229E" w14:textId="77777777" w:rsidR="00E541EE" w:rsidRPr="000E34ED" w:rsidRDefault="00E541EE" w:rsidP="00A84BB5">
            <w:pPr>
              <w:widowControl w:val="0"/>
              <w:autoSpaceDE w:val="0"/>
              <w:autoSpaceDN w:val="0"/>
              <w:jc w:val="center"/>
              <w:rPr>
                <w:rFonts w:cstheme="minorHAnsi"/>
                <w:sz w:val="14"/>
                <w:szCs w:val="14"/>
              </w:rPr>
            </w:pPr>
            <w:r w:rsidRPr="000E34ED">
              <w:rPr>
                <w:rFonts w:eastAsia="Times New Roman" w:cstheme="minorHAnsi"/>
                <w:sz w:val="14"/>
                <w:szCs w:val="14"/>
              </w:rPr>
              <w:t>500</w:t>
            </w:r>
          </w:p>
        </w:tc>
        <w:tc>
          <w:tcPr>
            <w:tcW w:w="708" w:type="dxa"/>
            <w:tcBorders>
              <w:top w:val="single" w:sz="4" w:space="0" w:color="auto"/>
              <w:left w:val="single" w:sz="4" w:space="0" w:color="auto"/>
              <w:bottom w:val="single" w:sz="4" w:space="0" w:color="auto"/>
              <w:right w:val="single" w:sz="4" w:space="0" w:color="auto"/>
            </w:tcBorders>
          </w:tcPr>
          <w:p w14:paraId="158DD879" w14:textId="77777777" w:rsidR="00E541EE" w:rsidRPr="000E34ED" w:rsidRDefault="00E541EE" w:rsidP="00A84BB5">
            <w:pPr>
              <w:widowControl w:val="0"/>
              <w:autoSpaceDE w:val="0"/>
              <w:autoSpaceDN w:val="0"/>
              <w:jc w:val="center"/>
              <w:rPr>
                <w:rFonts w:cstheme="minorHAnsi"/>
                <w:sz w:val="14"/>
                <w:szCs w:val="14"/>
              </w:rPr>
            </w:pPr>
            <w:r w:rsidRPr="000E34ED">
              <w:rPr>
                <w:rFonts w:eastAsia="Times New Roman" w:cstheme="minorHAnsi"/>
                <w:sz w:val="14"/>
                <w:szCs w:val="14"/>
              </w:rPr>
              <w:t>600</w:t>
            </w:r>
          </w:p>
        </w:tc>
        <w:tc>
          <w:tcPr>
            <w:tcW w:w="1134" w:type="dxa"/>
            <w:tcBorders>
              <w:top w:val="single" w:sz="4" w:space="0" w:color="auto"/>
              <w:left w:val="single" w:sz="4" w:space="0" w:color="auto"/>
              <w:bottom w:val="single" w:sz="4" w:space="0" w:color="auto"/>
              <w:right w:val="single" w:sz="4" w:space="0" w:color="auto"/>
            </w:tcBorders>
          </w:tcPr>
          <w:p w14:paraId="7DB661F6" w14:textId="77777777" w:rsidR="00E541EE" w:rsidRPr="000E34ED" w:rsidRDefault="00E541EE" w:rsidP="00A84BB5">
            <w:pPr>
              <w:widowControl w:val="0"/>
              <w:autoSpaceDE w:val="0"/>
              <w:autoSpaceDN w:val="0"/>
              <w:jc w:val="center"/>
              <w:rPr>
                <w:rFonts w:cstheme="minorHAnsi"/>
                <w:sz w:val="14"/>
                <w:szCs w:val="14"/>
              </w:rPr>
            </w:pPr>
            <w:r w:rsidRPr="000E34ED">
              <w:rPr>
                <w:rFonts w:eastAsia="Times New Roman" w:cstheme="minorHAnsi"/>
                <w:sz w:val="14"/>
                <w:szCs w:val="14"/>
              </w:rPr>
              <w:t>600</w:t>
            </w:r>
          </w:p>
        </w:tc>
      </w:tr>
      <w:tr w:rsidR="00E541EE" w:rsidRPr="000E34ED" w14:paraId="4DFD5B7F" w14:textId="77777777" w:rsidTr="00D13D77">
        <w:trPr>
          <w:trHeight w:val="1150"/>
        </w:trPr>
        <w:tc>
          <w:tcPr>
            <w:tcW w:w="993" w:type="dxa"/>
            <w:vMerge/>
          </w:tcPr>
          <w:p w14:paraId="1950A212" w14:textId="77777777" w:rsidR="00E541EE" w:rsidRPr="000E34ED" w:rsidRDefault="00E541EE" w:rsidP="00A84BB5">
            <w:pPr>
              <w:widowControl w:val="0"/>
              <w:autoSpaceDE w:val="0"/>
              <w:autoSpaceDN w:val="0"/>
              <w:spacing w:before="49"/>
              <w:ind w:left="44" w:right="35"/>
              <w:jc w:val="center"/>
              <w:rPr>
                <w:rFonts w:cstheme="minorHAnsi"/>
                <w:sz w:val="14"/>
                <w:szCs w:val="14"/>
              </w:rPr>
            </w:pPr>
          </w:p>
        </w:tc>
        <w:tc>
          <w:tcPr>
            <w:tcW w:w="1134" w:type="dxa"/>
            <w:vMerge/>
          </w:tcPr>
          <w:p w14:paraId="45664E53" w14:textId="77777777" w:rsidR="00E541EE" w:rsidRPr="000E34ED" w:rsidRDefault="00E541EE" w:rsidP="00A84BB5">
            <w:pPr>
              <w:widowControl w:val="0"/>
              <w:autoSpaceDE w:val="0"/>
              <w:autoSpaceDN w:val="0"/>
              <w:jc w:val="center"/>
              <w:rPr>
                <w:rFonts w:cstheme="minorHAnsi"/>
                <w:sz w:val="14"/>
                <w:szCs w:val="14"/>
              </w:rPr>
            </w:pPr>
          </w:p>
        </w:tc>
        <w:tc>
          <w:tcPr>
            <w:tcW w:w="850" w:type="dxa"/>
            <w:vMerge/>
            <w:shd w:val="clear" w:color="auto" w:fill="FFF1CC"/>
          </w:tcPr>
          <w:p w14:paraId="00D7B26E" w14:textId="77777777" w:rsidR="00E541EE" w:rsidRPr="000E34ED" w:rsidRDefault="00E541EE" w:rsidP="00A84BB5">
            <w:pPr>
              <w:widowControl w:val="0"/>
              <w:autoSpaceDE w:val="0"/>
              <w:autoSpaceDN w:val="0"/>
              <w:spacing w:before="7"/>
              <w:rPr>
                <w:rFonts w:cstheme="minorHAnsi"/>
                <w:sz w:val="14"/>
                <w:szCs w:val="14"/>
              </w:rPr>
            </w:pPr>
          </w:p>
        </w:tc>
        <w:tc>
          <w:tcPr>
            <w:tcW w:w="851" w:type="dxa"/>
            <w:vMerge/>
          </w:tcPr>
          <w:p w14:paraId="6DE4C521" w14:textId="77777777" w:rsidR="00E541EE" w:rsidRPr="000E34ED" w:rsidRDefault="00E541EE" w:rsidP="00A84BB5">
            <w:pPr>
              <w:widowControl w:val="0"/>
              <w:autoSpaceDE w:val="0"/>
              <w:autoSpaceDN w:val="0"/>
              <w:spacing w:before="7"/>
              <w:rPr>
                <w:rFonts w:cstheme="minorHAnsi"/>
                <w:sz w:val="14"/>
                <w:szCs w:val="14"/>
              </w:rPr>
            </w:pPr>
          </w:p>
        </w:tc>
        <w:tc>
          <w:tcPr>
            <w:tcW w:w="1134" w:type="dxa"/>
            <w:vMerge/>
            <w:shd w:val="clear" w:color="auto" w:fill="FFF1CC"/>
          </w:tcPr>
          <w:p w14:paraId="7C6B7268" w14:textId="77777777" w:rsidR="00E541EE" w:rsidRPr="000E34ED" w:rsidRDefault="00E541EE" w:rsidP="00A84BB5">
            <w:pPr>
              <w:widowControl w:val="0"/>
              <w:autoSpaceDE w:val="0"/>
              <w:autoSpaceDN w:val="0"/>
              <w:rPr>
                <w:rFonts w:cstheme="minorHAnsi"/>
                <w:sz w:val="14"/>
                <w:szCs w:val="14"/>
              </w:rPr>
            </w:pPr>
          </w:p>
        </w:tc>
        <w:tc>
          <w:tcPr>
            <w:tcW w:w="850" w:type="dxa"/>
            <w:vMerge/>
            <w:tcBorders>
              <w:right w:val="single" w:sz="4" w:space="0" w:color="auto"/>
            </w:tcBorders>
          </w:tcPr>
          <w:p w14:paraId="4110E90E" w14:textId="77777777" w:rsidR="00E541EE" w:rsidRPr="000E34ED" w:rsidRDefault="00E541EE" w:rsidP="00A84BB5">
            <w:pPr>
              <w:spacing w:after="120"/>
              <w:jc w:val="center"/>
              <w:rPr>
                <w:rFonts w:cstheme="minorHAnsi"/>
                <w:sz w:val="14"/>
                <w:szCs w:val="14"/>
              </w:rPr>
            </w:pPr>
          </w:p>
        </w:tc>
        <w:tc>
          <w:tcPr>
            <w:tcW w:w="992" w:type="dxa"/>
            <w:tcBorders>
              <w:top w:val="single" w:sz="4" w:space="0" w:color="auto"/>
              <w:left w:val="single" w:sz="4" w:space="0" w:color="5B9BD5" w:themeColor="accent5"/>
              <w:bottom w:val="single" w:sz="4" w:space="0" w:color="auto"/>
              <w:right w:val="single" w:sz="4" w:space="0" w:color="auto"/>
            </w:tcBorders>
          </w:tcPr>
          <w:p w14:paraId="40C99FDE" w14:textId="77777777" w:rsidR="00E541EE" w:rsidRPr="000E34ED" w:rsidRDefault="00E541EE" w:rsidP="00A84BB5">
            <w:pPr>
              <w:widowControl w:val="0"/>
              <w:autoSpaceDE w:val="0"/>
              <w:autoSpaceDN w:val="0"/>
              <w:jc w:val="center"/>
              <w:rPr>
                <w:rFonts w:cstheme="minorHAnsi"/>
                <w:sz w:val="14"/>
                <w:szCs w:val="14"/>
              </w:rPr>
            </w:pPr>
            <w:r w:rsidRPr="000E34ED">
              <w:rPr>
                <w:rFonts w:eastAsia="Times New Roman" w:cstheme="minorHAnsi"/>
                <w:sz w:val="14"/>
                <w:szCs w:val="14"/>
              </w:rPr>
              <w:t>Broj održanih manifestacija</w:t>
            </w:r>
          </w:p>
        </w:tc>
        <w:tc>
          <w:tcPr>
            <w:tcW w:w="709" w:type="dxa"/>
            <w:tcBorders>
              <w:top w:val="single" w:sz="4" w:space="0" w:color="auto"/>
              <w:left w:val="single" w:sz="4" w:space="0" w:color="auto"/>
              <w:bottom w:val="single" w:sz="4" w:space="0" w:color="auto"/>
              <w:right w:val="single" w:sz="4" w:space="0" w:color="auto"/>
            </w:tcBorders>
          </w:tcPr>
          <w:p w14:paraId="1206E310" w14:textId="77777777" w:rsidR="00E541EE" w:rsidRPr="000E34ED" w:rsidRDefault="00E541EE" w:rsidP="00A84BB5">
            <w:pPr>
              <w:widowControl w:val="0"/>
              <w:autoSpaceDE w:val="0"/>
              <w:autoSpaceDN w:val="0"/>
              <w:jc w:val="center"/>
              <w:rPr>
                <w:rFonts w:cstheme="minorHAnsi"/>
                <w:sz w:val="14"/>
                <w:szCs w:val="14"/>
              </w:rPr>
            </w:pPr>
            <w:r w:rsidRPr="000E34ED">
              <w:rPr>
                <w:rFonts w:eastAsia="Times New Roman" w:cstheme="minorHAnsi"/>
                <w:sz w:val="14"/>
                <w:szCs w:val="14"/>
              </w:rPr>
              <w:t>15</w:t>
            </w:r>
          </w:p>
        </w:tc>
        <w:tc>
          <w:tcPr>
            <w:tcW w:w="851" w:type="dxa"/>
            <w:tcBorders>
              <w:top w:val="single" w:sz="4" w:space="0" w:color="auto"/>
              <w:left w:val="single" w:sz="4" w:space="0" w:color="auto"/>
              <w:bottom w:val="single" w:sz="4" w:space="0" w:color="auto"/>
              <w:right w:val="single" w:sz="4" w:space="0" w:color="auto"/>
            </w:tcBorders>
          </w:tcPr>
          <w:p w14:paraId="2D41A75E" w14:textId="77777777" w:rsidR="00E541EE" w:rsidRPr="000E34ED" w:rsidRDefault="00E541EE" w:rsidP="00A84BB5">
            <w:pPr>
              <w:widowControl w:val="0"/>
              <w:autoSpaceDE w:val="0"/>
              <w:autoSpaceDN w:val="0"/>
              <w:jc w:val="center"/>
              <w:rPr>
                <w:rFonts w:cstheme="minorHAnsi"/>
                <w:sz w:val="14"/>
                <w:szCs w:val="14"/>
              </w:rPr>
            </w:pPr>
            <w:r w:rsidRPr="000E34ED">
              <w:rPr>
                <w:rFonts w:eastAsia="Times New Roman" w:cstheme="minorHAnsi"/>
                <w:sz w:val="14"/>
                <w:szCs w:val="14"/>
              </w:rPr>
              <w:t>15</w:t>
            </w:r>
          </w:p>
        </w:tc>
        <w:tc>
          <w:tcPr>
            <w:tcW w:w="708" w:type="dxa"/>
            <w:tcBorders>
              <w:top w:val="single" w:sz="4" w:space="0" w:color="auto"/>
              <w:left w:val="single" w:sz="4" w:space="0" w:color="auto"/>
              <w:bottom w:val="single" w:sz="4" w:space="0" w:color="auto"/>
              <w:right w:val="single" w:sz="4" w:space="0" w:color="auto"/>
            </w:tcBorders>
          </w:tcPr>
          <w:p w14:paraId="4ABE90B9" w14:textId="77777777" w:rsidR="00E541EE" w:rsidRPr="000E34ED" w:rsidRDefault="00E541EE" w:rsidP="00A84BB5">
            <w:pPr>
              <w:widowControl w:val="0"/>
              <w:autoSpaceDE w:val="0"/>
              <w:autoSpaceDN w:val="0"/>
              <w:jc w:val="center"/>
              <w:rPr>
                <w:rFonts w:cstheme="minorHAnsi"/>
                <w:sz w:val="14"/>
                <w:szCs w:val="14"/>
              </w:rPr>
            </w:pPr>
            <w:r w:rsidRPr="000E34ED">
              <w:rPr>
                <w:rFonts w:eastAsia="Times New Roman" w:cstheme="minorHAnsi"/>
                <w:sz w:val="14"/>
                <w:szCs w:val="14"/>
              </w:rPr>
              <w:t>15</w:t>
            </w:r>
          </w:p>
        </w:tc>
        <w:tc>
          <w:tcPr>
            <w:tcW w:w="1134" w:type="dxa"/>
            <w:tcBorders>
              <w:top w:val="single" w:sz="4" w:space="0" w:color="auto"/>
              <w:left w:val="single" w:sz="4" w:space="0" w:color="auto"/>
              <w:bottom w:val="single" w:sz="4" w:space="0" w:color="auto"/>
              <w:right w:val="single" w:sz="4" w:space="0" w:color="auto"/>
            </w:tcBorders>
          </w:tcPr>
          <w:p w14:paraId="0BC2DF4E" w14:textId="77777777" w:rsidR="00E541EE" w:rsidRPr="000E34ED" w:rsidRDefault="00E541EE" w:rsidP="00A84BB5">
            <w:pPr>
              <w:widowControl w:val="0"/>
              <w:autoSpaceDE w:val="0"/>
              <w:autoSpaceDN w:val="0"/>
              <w:jc w:val="center"/>
              <w:rPr>
                <w:rFonts w:cstheme="minorHAnsi"/>
                <w:sz w:val="14"/>
                <w:szCs w:val="14"/>
              </w:rPr>
            </w:pPr>
            <w:r w:rsidRPr="000E34ED">
              <w:rPr>
                <w:rFonts w:eastAsia="Times New Roman" w:cstheme="minorHAnsi"/>
                <w:sz w:val="14"/>
                <w:szCs w:val="14"/>
              </w:rPr>
              <w:t>15</w:t>
            </w:r>
          </w:p>
        </w:tc>
      </w:tr>
      <w:tr w:rsidR="00E541EE" w:rsidRPr="000E34ED" w14:paraId="1C3C07F0" w14:textId="77777777" w:rsidTr="00D13D77">
        <w:trPr>
          <w:trHeight w:val="1150"/>
        </w:trPr>
        <w:tc>
          <w:tcPr>
            <w:tcW w:w="993" w:type="dxa"/>
            <w:vMerge/>
          </w:tcPr>
          <w:p w14:paraId="0BABFEC4" w14:textId="77777777" w:rsidR="00E541EE" w:rsidRPr="000E34ED" w:rsidRDefault="00E541EE" w:rsidP="00A84BB5">
            <w:pPr>
              <w:widowControl w:val="0"/>
              <w:autoSpaceDE w:val="0"/>
              <w:autoSpaceDN w:val="0"/>
              <w:spacing w:before="49"/>
              <w:ind w:left="44" w:right="35"/>
              <w:jc w:val="center"/>
              <w:rPr>
                <w:rFonts w:cstheme="minorHAnsi"/>
                <w:sz w:val="14"/>
                <w:szCs w:val="14"/>
              </w:rPr>
            </w:pPr>
          </w:p>
        </w:tc>
        <w:tc>
          <w:tcPr>
            <w:tcW w:w="1134" w:type="dxa"/>
            <w:vMerge/>
          </w:tcPr>
          <w:p w14:paraId="605960B2" w14:textId="77777777" w:rsidR="00E541EE" w:rsidRPr="000E34ED" w:rsidRDefault="00E541EE" w:rsidP="00A84BB5">
            <w:pPr>
              <w:widowControl w:val="0"/>
              <w:autoSpaceDE w:val="0"/>
              <w:autoSpaceDN w:val="0"/>
              <w:jc w:val="center"/>
              <w:rPr>
                <w:rFonts w:cstheme="minorHAnsi"/>
                <w:sz w:val="14"/>
                <w:szCs w:val="14"/>
              </w:rPr>
            </w:pPr>
          </w:p>
        </w:tc>
        <w:tc>
          <w:tcPr>
            <w:tcW w:w="850" w:type="dxa"/>
            <w:vMerge/>
            <w:shd w:val="clear" w:color="auto" w:fill="FFF1CC"/>
          </w:tcPr>
          <w:p w14:paraId="5FDF6F0B" w14:textId="77777777" w:rsidR="00E541EE" w:rsidRPr="000E34ED" w:rsidRDefault="00E541EE" w:rsidP="00A84BB5">
            <w:pPr>
              <w:widowControl w:val="0"/>
              <w:autoSpaceDE w:val="0"/>
              <w:autoSpaceDN w:val="0"/>
              <w:spacing w:before="7"/>
              <w:rPr>
                <w:rFonts w:cstheme="minorHAnsi"/>
                <w:sz w:val="14"/>
                <w:szCs w:val="14"/>
              </w:rPr>
            </w:pPr>
          </w:p>
        </w:tc>
        <w:tc>
          <w:tcPr>
            <w:tcW w:w="851" w:type="dxa"/>
            <w:vMerge/>
          </w:tcPr>
          <w:p w14:paraId="19B3E5CB" w14:textId="77777777" w:rsidR="00E541EE" w:rsidRPr="000E34ED" w:rsidRDefault="00E541EE" w:rsidP="00A84BB5">
            <w:pPr>
              <w:widowControl w:val="0"/>
              <w:autoSpaceDE w:val="0"/>
              <w:autoSpaceDN w:val="0"/>
              <w:spacing w:before="7"/>
              <w:rPr>
                <w:rFonts w:cstheme="minorHAnsi"/>
                <w:sz w:val="14"/>
                <w:szCs w:val="14"/>
              </w:rPr>
            </w:pPr>
          </w:p>
        </w:tc>
        <w:tc>
          <w:tcPr>
            <w:tcW w:w="1134" w:type="dxa"/>
            <w:vMerge/>
            <w:shd w:val="clear" w:color="auto" w:fill="FFF1CC"/>
          </w:tcPr>
          <w:p w14:paraId="25836CB2" w14:textId="77777777" w:rsidR="00E541EE" w:rsidRPr="000E34ED" w:rsidRDefault="00E541EE" w:rsidP="00A84BB5">
            <w:pPr>
              <w:widowControl w:val="0"/>
              <w:autoSpaceDE w:val="0"/>
              <w:autoSpaceDN w:val="0"/>
              <w:rPr>
                <w:rFonts w:cstheme="minorHAnsi"/>
                <w:sz w:val="14"/>
                <w:szCs w:val="14"/>
              </w:rPr>
            </w:pPr>
          </w:p>
        </w:tc>
        <w:tc>
          <w:tcPr>
            <w:tcW w:w="850" w:type="dxa"/>
            <w:vMerge/>
            <w:tcBorders>
              <w:right w:val="single" w:sz="4" w:space="0" w:color="auto"/>
            </w:tcBorders>
          </w:tcPr>
          <w:p w14:paraId="3DEDBB3C" w14:textId="77777777" w:rsidR="00E541EE" w:rsidRPr="000E34ED" w:rsidRDefault="00E541EE" w:rsidP="00A84BB5">
            <w:pPr>
              <w:spacing w:after="120"/>
              <w:jc w:val="center"/>
              <w:rPr>
                <w:rFonts w:cstheme="minorHAnsi"/>
                <w:sz w:val="14"/>
                <w:szCs w:val="14"/>
              </w:rPr>
            </w:pPr>
          </w:p>
        </w:tc>
        <w:tc>
          <w:tcPr>
            <w:tcW w:w="992" w:type="dxa"/>
            <w:tcBorders>
              <w:top w:val="single" w:sz="4" w:space="0" w:color="auto"/>
              <w:left w:val="single" w:sz="4" w:space="0" w:color="5B9BD5" w:themeColor="accent5"/>
              <w:bottom w:val="single" w:sz="4" w:space="0" w:color="auto"/>
              <w:right w:val="single" w:sz="4" w:space="0" w:color="auto"/>
            </w:tcBorders>
          </w:tcPr>
          <w:p w14:paraId="6434CD14" w14:textId="77777777" w:rsidR="00E541EE" w:rsidRPr="000E34ED" w:rsidRDefault="00E541EE" w:rsidP="00A84BB5">
            <w:pPr>
              <w:widowControl w:val="0"/>
              <w:autoSpaceDE w:val="0"/>
              <w:autoSpaceDN w:val="0"/>
              <w:jc w:val="center"/>
              <w:rPr>
                <w:rFonts w:cstheme="minorHAnsi"/>
                <w:sz w:val="14"/>
                <w:szCs w:val="14"/>
              </w:rPr>
            </w:pPr>
            <w:r w:rsidRPr="000E34ED">
              <w:rPr>
                <w:rFonts w:eastAsia="Times New Roman" w:cstheme="minorHAnsi"/>
                <w:sz w:val="14"/>
                <w:szCs w:val="14"/>
              </w:rPr>
              <w:t>Broj organiziranih radionica</w:t>
            </w:r>
          </w:p>
        </w:tc>
        <w:tc>
          <w:tcPr>
            <w:tcW w:w="709" w:type="dxa"/>
            <w:tcBorders>
              <w:top w:val="single" w:sz="4" w:space="0" w:color="auto"/>
              <w:left w:val="single" w:sz="4" w:space="0" w:color="auto"/>
              <w:bottom w:val="single" w:sz="4" w:space="0" w:color="auto"/>
              <w:right w:val="single" w:sz="4" w:space="0" w:color="auto"/>
            </w:tcBorders>
          </w:tcPr>
          <w:p w14:paraId="58AC61C3" w14:textId="77777777" w:rsidR="00E541EE" w:rsidRPr="000E34ED" w:rsidRDefault="00E541EE" w:rsidP="00A84BB5">
            <w:pPr>
              <w:widowControl w:val="0"/>
              <w:autoSpaceDE w:val="0"/>
              <w:autoSpaceDN w:val="0"/>
              <w:jc w:val="center"/>
              <w:rPr>
                <w:rFonts w:cstheme="minorHAnsi"/>
                <w:sz w:val="14"/>
                <w:szCs w:val="14"/>
              </w:rPr>
            </w:pPr>
            <w:r w:rsidRPr="000E34ED">
              <w:rPr>
                <w:rFonts w:eastAsia="Times New Roman" w:cstheme="minorHAnsi"/>
                <w:sz w:val="14"/>
                <w:szCs w:val="14"/>
              </w:rPr>
              <w:t>5</w:t>
            </w:r>
          </w:p>
        </w:tc>
        <w:tc>
          <w:tcPr>
            <w:tcW w:w="851" w:type="dxa"/>
            <w:tcBorders>
              <w:top w:val="single" w:sz="4" w:space="0" w:color="auto"/>
              <w:left w:val="single" w:sz="4" w:space="0" w:color="auto"/>
              <w:bottom w:val="single" w:sz="4" w:space="0" w:color="auto"/>
              <w:right w:val="single" w:sz="4" w:space="0" w:color="auto"/>
            </w:tcBorders>
          </w:tcPr>
          <w:p w14:paraId="682F6C73" w14:textId="77777777" w:rsidR="00E541EE" w:rsidRPr="000E34ED" w:rsidRDefault="00E541EE" w:rsidP="00A84BB5">
            <w:pPr>
              <w:widowControl w:val="0"/>
              <w:autoSpaceDE w:val="0"/>
              <w:autoSpaceDN w:val="0"/>
              <w:jc w:val="center"/>
              <w:rPr>
                <w:rFonts w:cstheme="minorHAnsi"/>
                <w:sz w:val="14"/>
                <w:szCs w:val="14"/>
              </w:rPr>
            </w:pPr>
            <w:r w:rsidRPr="000E34ED">
              <w:rPr>
                <w:rFonts w:eastAsia="Times New Roman" w:cstheme="minorHAnsi"/>
                <w:sz w:val="14"/>
                <w:szCs w:val="14"/>
              </w:rPr>
              <w:t>5</w:t>
            </w:r>
          </w:p>
        </w:tc>
        <w:tc>
          <w:tcPr>
            <w:tcW w:w="708" w:type="dxa"/>
            <w:tcBorders>
              <w:top w:val="single" w:sz="4" w:space="0" w:color="auto"/>
              <w:left w:val="single" w:sz="4" w:space="0" w:color="auto"/>
              <w:bottom w:val="single" w:sz="4" w:space="0" w:color="auto"/>
              <w:right w:val="single" w:sz="4" w:space="0" w:color="auto"/>
            </w:tcBorders>
          </w:tcPr>
          <w:p w14:paraId="7E606638" w14:textId="77777777" w:rsidR="00E541EE" w:rsidRPr="000E34ED" w:rsidRDefault="00E541EE" w:rsidP="00A84BB5">
            <w:pPr>
              <w:widowControl w:val="0"/>
              <w:autoSpaceDE w:val="0"/>
              <w:autoSpaceDN w:val="0"/>
              <w:jc w:val="center"/>
              <w:rPr>
                <w:rFonts w:cstheme="minorHAnsi"/>
                <w:sz w:val="14"/>
                <w:szCs w:val="14"/>
              </w:rPr>
            </w:pPr>
            <w:r w:rsidRPr="000E34ED">
              <w:rPr>
                <w:rFonts w:eastAsia="Times New Roman" w:cstheme="minorHAnsi"/>
                <w:sz w:val="14"/>
                <w:szCs w:val="14"/>
              </w:rPr>
              <w:t>5</w:t>
            </w:r>
          </w:p>
        </w:tc>
        <w:tc>
          <w:tcPr>
            <w:tcW w:w="1134" w:type="dxa"/>
            <w:tcBorders>
              <w:top w:val="single" w:sz="4" w:space="0" w:color="auto"/>
              <w:left w:val="single" w:sz="4" w:space="0" w:color="auto"/>
              <w:bottom w:val="single" w:sz="4" w:space="0" w:color="auto"/>
              <w:right w:val="single" w:sz="4" w:space="0" w:color="auto"/>
            </w:tcBorders>
          </w:tcPr>
          <w:p w14:paraId="533E6881" w14:textId="77777777" w:rsidR="00E541EE" w:rsidRPr="000E34ED" w:rsidRDefault="00E541EE" w:rsidP="00A84BB5">
            <w:pPr>
              <w:widowControl w:val="0"/>
              <w:autoSpaceDE w:val="0"/>
              <w:autoSpaceDN w:val="0"/>
              <w:jc w:val="center"/>
              <w:rPr>
                <w:rFonts w:cstheme="minorHAnsi"/>
                <w:sz w:val="14"/>
                <w:szCs w:val="14"/>
              </w:rPr>
            </w:pPr>
            <w:r w:rsidRPr="000E34ED">
              <w:rPr>
                <w:rFonts w:eastAsia="Times New Roman" w:cstheme="minorHAnsi"/>
                <w:sz w:val="14"/>
                <w:szCs w:val="14"/>
              </w:rPr>
              <w:t>5</w:t>
            </w:r>
          </w:p>
        </w:tc>
      </w:tr>
      <w:tr w:rsidR="00E541EE" w:rsidRPr="000E34ED" w14:paraId="34CC5431" w14:textId="77777777" w:rsidTr="00D13D77">
        <w:trPr>
          <w:trHeight w:val="829"/>
        </w:trPr>
        <w:tc>
          <w:tcPr>
            <w:tcW w:w="993" w:type="dxa"/>
            <w:vMerge/>
            <w:vAlign w:val="center"/>
          </w:tcPr>
          <w:p w14:paraId="46094B51" w14:textId="77777777" w:rsidR="00E541EE" w:rsidRPr="000E34ED" w:rsidRDefault="00E541EE" w:rsidP="00A84BB5">
            <w:pPr>
              <w:widowControl w:val="0"/>
              <w:autoSpaceDE w:val="0"/>
              <w:autoSpaceDN w:val="0"/>
              <w:spacing w:before="49"/>
              <w:ind w:left="44" w:right="35"/>
              <w:jc w:val="center"/>
              <w:rPr>
                <w:rFonts w:cstheme="minorHAnsi"/>
                <w:sz w:val="14"/>
                <w:szCs w:val="14"/>
              </w:rPr>
            </w:pPr>
          </w:p>
        </w:tc>
        <w:tc>
          <w:tcPr>
            <w:tcW w:w="1134" w:type="dxa"/>
            <w:vMerge/>
            <w:vAlign w:val="center"/>
          </w:tcPr>
          <w:p w14:paraId="6D9B470D" w14:textId="77777777" w:rsidR="00E541EE" w:rsidRPr="000E34ED" w:rsidRDefault="00E541EE" w:rsidP="00A84BB5">
            <w:pPr>
              <w:widowControl w:val="0"/>
              <w:autoSpaceDE w:val="0"/>
              <w:autoSpaceDN w:val="0"/>
              <w:jc w:val="center"/>
              <w:rPr>
                <w:rFonts w:cstheme="minorHAnsi"/>
                <w:sz w:val="14"/>
                <w:szCs w:val="14"/>
              </w:rPr>
            </w:pPr>
          </w:p>
        </w:tc>
        <w:tc>
          <w:tcPr>
            <w:tcW w:w="850" w:type="dxa"/>
            <w:vMerge/>
            <w:shd w:val="clear" w:color="auto" w:fill="FFF1CC"/>
            <w:vAlign w:val="center"/>
          </w:tcPr>
          <w:p w14:paraId="7901BBC0" w14:textId="77777777" w:rsidR="00E541EE" w:rsidRPr="000E34ED" w:rsidRDefault="00E541EE" w:rsidP="00A84BB5">
            <w:pPr>
              <w:widowControl w:val="0"/>
              <w:autoSpaceDE w:val="0"/>
              <w:autoSpaceDN w:val="0"/>
              <w:spacing w:before="7"/>
              <w:rPr>
                <w:rFonts w:cstheme="minorHAnsi"/>
                <w:sz w:val="14"/>
                <w:szCs w:val="14"/>
              </w:rPr>
            </w:pPr>
          </w:p>
        </w:tc>
        <w:tc>
          <w:tcPr>
            <w:tcW w:w="851" w:type="dxa"/>
            <w:vMerge w:val="restart"/>
            <w:vAlign w:val="center"/>
          </w:tcPr>
          <w:p w14:paraId="528CA2AB" w14:textId="77777777" w:rsidR="00E541EE" w:rsidRPr="000E34ED" w:rsidRDefault="00E541EE" w:rsidP="00A84BB5">
            <w:pPr>
              <w:widowControl w:val="0"/>
              <w:autoSpaceDE w:val="0"/>
              <w:autoSpaceDN w:val="0"/>
              <w:spacing w:before="7"/>
              <w:rPr>
                <w:rFonts w:cstheme="minorHAnsi"/>
                <w:sz w:val="14"/>
                <w:szCs w:val="14"/>
              </w:rPr>
            </w:pPr>
            <w:r w:rsidRPr="000E34ED">
              <w:rPr>
                <w:rFonts w:cstheme="minorHAnsi"/>
                <w:sz w:val="14"/>
                <w:szCs w:val="14"/>
              </w:rPr>
              <w:t>34. Stvaranje poticajnog okruženja za razvoj kulturnih i kreativnih industrija uz intersektorsko</w:t>
            </w:r>
          </w:p>
          <w:p w14:paraId="784965F1" w14:textId="77777777" w:rsidR="00E541EE" w:rsidRPr="000E34ED" w:rsidRDefault="00E541EE" w:rsidP="00A84BB5">
            <w:pPr>
              <w:widowControl w:val="0"/>
              <w:autoSpaceDE w:val="0"/>
              <w:autoSpaceDN w:val="0"/>
              <w:spacing w:before="7"/>
              <w:rPr>
                <w:rFonts w:cstheme="minorHAnsi"/>
                <w:sz w:val="14"/>
                <w:szCs w:val="14"/>
              </w:rPr>
            </w:pPr>
            <w:r w:rsidRPr="000E34ED">
              <w:rPr>
                <w:rFonts w:cstheme="minorHAnsi"/>
                <w:sz w:val="14"/>
                <w:szCs w:val="14"/>
              </w:rPr>
              <w:t>Umrežavanje</w:t>
            </w:r>
          </w:p>
          <w:p w14:paraId="32D8B701" w14:textId="77777777" w:rsidR="00E541EE" w:rsidRPr="000E34ED" w:rsidRDefault="00E541EE" w:rsidP="00A84BB5">
            <w:pPr>
              <w:widowControl w:val="0"/>
              <w:autoSpaceDE w:val="0"/>
              <w:autoSpaceDN w:val="0"/>
              <w:spacing w:before="7"/>
              <w:rPr>
                <w:rFonts w:cstheme="minorHAnsi"/>
                <w:sz w:val="14"/>
                <w:szCs w:val="14"/>
              </w:rPr>
            </w:pPr>
          </w:p>
          <w:p w14:paraId="3EF15CEF" w14:textId="77777777" w:rsidR="00E541EE" w:rsidRPr="000E34ED" w:rsidRDefault="00E541EE" w:rsidP="00A84BB5">
            <w:pPr>
              <w:widowControl w:val="0"/>
              <w:autoSpaceDE w:val="0"/>
              <w:autoSpaceDN w:val="0"/>
              <w:spacing w:before="7"/>
              <w:rPr>
                <w:rFonts w:cstheme="minorHAnsi"/>
                <w:sz w:val="14"/>
                <w:szCs w:val="14"/>
              </w:rPr>
            </w:pPr>
          </w:p>
          <w:p w14:paraId="4C86FFCF" w14:textId="77777777" w:rsidR="00E541EE" w:rsidRPr="000E34ED" w:rsidRDefault="00E541EE" w:rsidP="00A84BB5">
            <w:pPr>
              <w:widowControl w:val="0"/>
              <w:autoSpaceDE w:val="0"/>
              <w:autoSpaceDN w:val="0"/>
              <w:spacing w:before="7"/>
              <w:rPr>
                <w:rFonts w:cstheme="minorHAnsi"/>
                <w:sz w:val="14"/>
                <w:szCs w:val="14"/>
              </w:rPr>
            </w:pPr>
          </w:p>
        </w:tc>
        <w:tc>
          <w:tcPr>
            <w:tcW w:w="1134" w:type="dxa"/>
            <w:vMerge/>
            <w:shd w:val="clear" w:color="auto" w:fill="FFF1CC"/>
            <w:vAlign w:val="center"/>
          </w:tcPr>
          <w:p w14:paraId="721090DF" w14:textId="77777777" w:rsidR="00E541EE" w:rsidRPr="000E34ED" w:rsidRDefault="00E541EE" w:rsidP="00A84BB5">
            <w:pPr>
              <w:widowControl w:val="0"/>
              <w:autoSpaceDE w:val="0"/>
              <w:autoSpaceDN w:val="0"/>
              <w:rPr>
                <w:rFonts w:cstheme="minorHAnsi"/>
                <w:sz w:val="14"/>
                <w:szCs w:val="14"/>
              </w:rPr>
            </w:pPr>
          </w:p>
        </w:tc>
        <w:tc>
          <w:tcPr>
            <w:tcW w:w="850" w:type="dxa"/>
            <w:vMerge/>
            <w:tcBorders>
              <w:right w:val="single" w:sz="4" w:space="0" w:color="auto"/>
            </w:tcBorders>
            <w:vAlign w:val="center"/>
          </w:tcPr>
          <w:p w14:paraId="0092B1B4" w14:textId="77777777" w:rsidR="00E541EE" w:rsidRPr="000E34ED" w:rsidRDefault="00E541EE" w:rsidP="00A84BB5">
            <w:pPr>
              <w:spacing w:after="120"/>
              <w:jc w:val="center"/>
              <w:rPr>
                <w:rFonts w:cstheme="minorHAnsi"/>
                <w:sz w:val="14"/>
                <w:szCs w:val="14"/>
              </w:rPr>
            </w:pPr>
          </w:p>
        </w:tc>
        <w:tc>
          <w:tcPr>
            <w:tcW w:w="992" w:type="dxa"/>
            <w:tcBorders>
              <w:top w:val="single" w:sz="4" w:space="0" w:color="auto"/>
              <w:left w:val="single" w:sz="4" w:space="0" w:color="5B9BD5" w:themeColor="accent5"/>
              <w:bottom w:val="single" w:sz="4" w:space="0" w:color="auto"/>
              <w:right w:val="single" w:sz="4" w:space="0" w:color="auto"/>
            </w:tcBorders>
            <w:shd w:val="clear" w:color="auto" w:fill="FFFFFF" w:themeFill="background1"/>
            <w:vAlign w:val="center"/>
          </w:tcPr>
          <w:p w14:paraId="16B7EF14" w14:textId="77777777" w:rsidR="00E541EE" w:rsidRPr="000E34ED" w:rsidRDefault="00E541EE" w:rsidP="00A84BB5">
            <w:pPr>
              <w:widowControl w:val="0"/>
              <w:autoSpaceDE w:val="0"/>
              <w:autoSpaceDN w:val="0"/>
              <w:jc w:val="center"/>
              <w:rPr>
                <w:rFonts w:cstheme="minorHAnsi"/>
                <w:sz w:val="14"/>
                <w:szCs w:val="14"/>
              </w:rPr>
            </w:pPr>
            <w:r w:rsidRPr="000E34ED">
              <w:rPr>
                <w:rFonts w:eastAsia="Times New Roman" w:cstheme="minorHAnsi"/>
                <w:sz w:val="14"/>
                <w:szCs w:val="14"/>
              </w:rPr>
              <w:t>Broj održanih manifestacija</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5B9DF2" w14:textId="77777777" w:rsidR="00E541EE" w:rsidRPr="000E34ED" w:rsidRDefault="00E541EE" w:rsidP="00A84BB5">
            <w:pPr>
              <w:widowControl w:val="0"/>
              <w:autoSpaceDE w:val="0"/>
              <w:autoSpaceDN w:val="0"/>
              <w:jc w:val="center"/>
              <w:rPr>
                <w:rFonts w:cstheme="minorHAnsi"/>
                <w:sz w:val="14"/>
                <w:szCs w:val="14"/>
              </w:rPr>
            </w:pPr>
            <w:r w:rsidRPr="000E34ED">
              <w:rPr>
                <w:rFonts w:eastAsia="Times New Roman" w:cstheme="minorHAnsi"/>
                <w:sz w:val="14"/>
                <w:szCs w:val="14"/>
              </w:rPr>
              <w:t>100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C71D6D" w14:textId="77777777" w:rsidR="00E541EE" w:rsidRPr="000E34ED" w:rsidRDefault="00E541EE" w:rsidP="00A84BB5">
            <w:pPr>
              <w:widowControl w:val="0"/>
              <w:autoSpaceDE w:val="0"/>
              <w:autoSpaceDN w:val="0"/>
              <w:jc w:val="center"/>
              <w:rPr>
                <w:rFonts w:cstheme="minorHAnsi"/>
                <w:sz w:val="14"/>
                <w:szCs w:val="14"/>
              </w:rPr>
            </w:pPr>
            <w:r w:rsidRPr="000E34ED">
              <w:rPr>
                <w:rFonts w:eastAsia="Times New Roman" w:cstheme="minorHAnsi"/>
                <w:sz w:val="14"/>
                <w:szCs w:val="14"/>
              </w:rPr>
              <w:t>100</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C0ABE4" w14:textId="77777777" w:rsidR="00E541EE" w:rsidRPr="000E34ED" w:rsidRDefault="00E541EE" w:rsidP="00A84BB5">
            <w:pPr>
              <w:widowControl w:val="0"/>
              <w:autoSpaceDE w:val="0"/>
              <w:autoSpaceDN w:val="0"/>
              <w:jc w:val="center"/>
              <w:rPr>
                <w:rFonts w:cstheme="minorHAnsi"/>
                <w:sz w:val="14"/>
                <w:szCs w:val="14"/>
              </w:rPr>
            </w:pPr>
            <w:r w:rsidRPr="000E34ED">
              <w:rPr>
                <w:rFonts w:eastAsia="Times New Roman" w:cstheme="minorHAnsi"/>
                <w:sz w:val="14"/>
                <w:szCs w:val="14"/>
              </w:rPr>
              <w:t>100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8EF7FD" w14:textId="77777777" w:rsidR="00E541EE" w:rsidRPr="000E34ED" w:rsidRDefault="00E541EE" w:rsidP="00A84BB5">
            <w:pPr>
              <w:widowControl w:val="0"/>
              <w:autoSpaceDE w:val="0"/>
              <w:autoSpaceDN w:val="0"/>
              <w:jc w:val="center"/>
              <w:rPr>
                <w:rFonts w:cstheme="minorHAnsi"/>
                <w:sz w:val="14"/>
                <w:szCs w:val="14"/>
              </w:rPr>
            </w:pPr>
            <w:r w:rsidRPr="000E34ED">
              <w:rPr>
                <w:rFonts w:eastAsia="Times New Roman" w:cstheme="minorHAnsi"/>
                <w:sz w:val="14"/>
                <w:szCs w:val="14"/>
              </w:rPr>
              <w:t>100</w:t>
            </w:r>
          </w:p>
        </w:tc>
      </w:tr>
      <w:tr w:rsidR="00E541EE" w:rsidRPr="000E34ED" w14:paraId="2B680056" w14:textId="77777777" w:rsidTr="00D13D77">
        <w:trPr>
          <w:trHeight w:val="3992"/>
        </w:trPr>
        <w:tc>
          <w:tcPr>
            <w:tcW w:w="993" w:type="dxa"/>
            <w:vMerge/>
            <w:vAlign w:val="center"/>
          </w:tcPr>
          <w:p w14:paraId="1DC6A6E2" w14:textId="77777777" w:rsidR="00E541EE" w:rsidRPr="000E34ED" w:rsidRDefault="00E541EE" w:rsidP="00A84BB5">
            <w:pPr>
              <w:widowControl w:val="0"/>
              <w:autoSpaceDE w:val="0"/>
              <w:autoSpaceDN w:val="0"/>
              <w:spacing w:before="49"/>
              <w:ind w:left="44" w:right="35"/>
              <w:jc w:val="center"/>
              <w:rPr>
                <w:rFonts w:cstheme="minorHAnsi"/>
                <w:sz w:val="14"/>
                <w:szCs w:val="14"/>
              </w:rPr>
            </w:pPr>
          </w:p>
        </w:tc>
        <w:tc>
          <w:tcPr>
            <w:tcW w:w="1134" w:type="dxa"/>
            <w:vAlign w:val="center"/>
          </w:tcPr>
          <w:p w14:paraId="68FCDFBA" w14:textId="77777777" w:rsidR="00E541EE" w:rsidRPr="000E34ED" w:rsidRDefault="00E541EE" w:rsidP="00A84BB5">
            <w:pPr>
              <w:widowControl w:val="0"/>
              <w:autoSpaceDE w:val="0"/>
              <w:autoSpaceDN w:val="0"/>
              <w:jc w:val="center"/>
              <w:rPr>
                <w:rFonts w:cstheme="minorHAnsi"/>
                <w:sz w:val="14"/>
                <w:szCs w:val="14"/>
              </w:rPr>
            </w:pPr>
          </w:p>
        </w:tc>
        <w:tc>
          <w:tcPr>
            <w:tcW w:w="850" w:type="dxa"/>
            <w:vMerge/>
            <w:shd w:val="clear" w:color="auto" w:fill="FFF1CC"/>
            <w:vAlign w:val="center"/>
          </w:tcPr>
          <w:p w14:paraId="481FC22E" w14:textId="77777777" w:rsidR="00E541EE" w:rsidRPr="000E34ED" w:rsidRDefault="00E541EE" w:rsidP="00A84BB5">
            <w:pPr>
              <w:widowControl w:val="0"/>
              <w:autoSpaceDE w:val="0"/>
              <w:autoSpaceDN w:val="0"/>
              <w:spacing w:before="7"/>
              <w:rPr>
                <w:rFonts w:cstheme="minorHAnsi"/>
                <w:sz w:val="14"/>
                <w:szCs w:val="14"/>
              </w:rPr>
            </w:pPr>
          </w:p>
        </w:tc>
        <w:tc>
          <w:tcPr>
            <w:tcW w:w="851" w:type="dxa"/>
            <w:vMerge/>
            <w:vAlign w:val="center"/>
          </w:tcPr>
          <w:p w14:paraId="05692FDD" w14:textId="77777777" w:rsidR="00E541EE" w:rsidRPr="000E34ED" w:rsidRDefault="00E541EE" w:rsidP="00A84BB5">
            <w:pPr>
              <w:widowControl w:val="0"/>
              <w:autoSpaceDE w:val="0"/>
              <w:autoSpaceDN w:val="0"/>
              <w:spacing w:before="7"/>
              <w:rPr>
                <w:rFonts w:cstheme="minorHAnsi"/>
                <w:sz w:val="14"/>
                <w:szCs w:val="14"/>
              </w:rPr>
            </w:pPr>
          </w:p>
        </w:tc>
        <w:tc>
          <w:tcPr>
            <w:tcW w:w="1134" w:type="dxa"/>
            <w:vMerge/>
            <w:shd w:val="clear" w:color="auto" w:fill="FFF1CC"/>
            <w:vAlign w:val="center"/>
          </w:tcPr>
          <w:p w14:paraId="2F5DD9E6" w14:textId="77777777" w:rsidR="00E541EE" w:rsidRPr="000E34ED" w:rsidRDefault="00E541EE" w:rsidP="00A84BB5">
            <w:pPr>
              <w:widowControl w:val="0"/>
              <w:autoSpaceDE w:val="0"/>
              <w:autoSpaceDN w:val="0"/>
              <w:rPr>
                <w:rFonts w:cstheme="minorHAnsi"/>
                <w:sz w:val="14"/>
                <w:szCs w:val="14"/>
              </w:rPr>
            </w:pPr>
          </w:p>
        </w:tc>
        <w:tc>
          <w:tcPr>
            <w:tcW w:w="850" w:type="dxa"/>
            <w:vMerge/>
            <w:tcBorders>
              <w:right w:val="single" w:sz="4" w:space="0" w:color="auto"/>
            </w:tcBorders>
            <w:vAlign w:val="center"/>
          </w:tcPr>
          <w:p w14:paraId="3E7D1144" w14:textId="77777777" w:rsidR="00E541EE" w:rsidRPr="000E34ED" w:rsidRDefault="00E541EE" w:rsidP="00A84BB5">
            <w:pPr>
              <w:spacing w:after="120"/>
              <w:jc w:val="center"/>
              <w:rPr>
                <w:rFonts w:cstheme="minorHAnsi"/>
                <w:sz w:val="14"/>
                <w:szCs w:val="14"/>
              </w:rPr>
            </w:pPr>
          </w:p>
        </w:tc>
        <w:tc>
          <w:tcPr>
            <w:tcW w:w="992" w:type="dxa"/>
            <w:tcBorders>
              <w:top w:val="single" w:sz="4" w:space="0" w:color="auto"/>
              <w:left w:val="single" w:sz="4" w:space="0" w:color="5B9BD5" w:themeColor="accent5"/>
              <w:bottom w:val="single" w:sz="4" w:space="0" w:color="auto"/>
              <w:right w:val="single" w:sz="4" w:space="0" w:color="auto"/>
            </w:tcBorders>
            <w:shd w:val="clear" w:color="auto" w:fill="FFFFFF" w:themeFill="background1"/>
            <w:vAlign w:val="center"/>
          </w:tcPr>
          <w:p w14:paraId="5F0C26D5" w14:textId="77777777" w:rsidR="00E541EE" w:rsidRPr="000E34ED" w:rsidRDefault="00E541EE" w:rsidP="00A84BB5">
            <w:pPr>
              <w:widowControl w:val="0"/>
              <w:autoSpaceDE w:val="0"/>
              <w:autoSpaceDN w:val="0"/>
              <w:jc w:val="center"/>
              <w:rPr>
                <w:rFonts w:cstheme="minorHAnsi"/>
                <w:sz w:val="14"/>
                <w:szCs w:val="14"/>
              </w:rPr>
            </w:pPr>
            <w:r w:rsidRPr="000E34ED">
              <w:rPr>
                <w:rFonts w:eastAsia="Times New Roman" w:cstheme="minorHAnsi"/>
                <w:sz w:val="14"/>
                <w:szCs w:val="14"/>
              </w:rPr>
              <w:t>Broj organiziranih radionica</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3A9E01" w14:textId="77777777" w:rsidR="00E541EE" w:rsidRPr="000E34ED" w:rsidRDefault="00E541EE" w:rsidP="00A84BB5">
            <w:pPr>
              <w:widowControl w:val="0"/>
              <w:autoSpaceDE w:val="0"/>
              <w:autoSpaceDN w:val="0"/>
              <w:jc w:val="center"/>
              <w:rPr>
                <w:rFonts w:cstheme="minorHAnsi"/>
                <w:sz w:val="14"/>
                <w:szCs w:val="14"/>
              </w:rPr>
            </w:pPr>
            <w:r w:rsidRPr="000E34ED">
              <w:rPr>
                <w:rFonts w:eastAsia="Times New Roman" w:cstheme="minorHAnsi"/>
                <w:sz w:val="14"/>
                <w:szCs w:val="14"/>
              </w:rPr>
              <w:t>50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CC8A65" w14:textId="77777777" w:rsidR="00E541EE" w:rsidRPr="000E34ED" w:rsidRDefault="00E541EE" w:rsidP="00A84BB5">
            <w:pPr>
              <w:widowControl w:val="0"/>
              <w:autoSpaceDE w:val="0"/>
              <w:autoSpaceDN w:val="0"/>
              <w:jc w:val="center"/>
              <w:rPr>
                <w:rFonts w:cstheme="minorHAnsi"/>
                <w:sz w:val="14"/>
                <w:szCs w:val="14"/>
              </w:rPr>
            </w:pPr>
            <w:r w:rsidRPr="000E34ED">
              <w:rPr>
                <w:rFonts w:eastAsia="Times New Roman" w:cstheme="minorHAnsi"/>
                <w:sz w:val="14"/>
                <w:szCs w:val="14"/>
              </w:rPr>
              <w:t>50</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E60C40" w14:textId="77777777" w:rsidR="00E541EE" w:rsidRPr="000E34ED" w:rsidRDefault="00E541EE" w:rsidP="00A84BB5">
            <w:pPr>
              <w:widowControl w:val="0"/>
              <w:autoSpaceDE w:val="0"/>
              <w:autoSpaceDN w:val="0"/>
              <w:jc w:val="center"/>
              <w:rPr>
                <w:rFonts w:cstheme="minorHAnsi"/>
                <w:sz w:val="14"/>
                <w:szCs w:val="14"/>
              </w:rPr>
            </w:pPr>
            <w:r w:rsidRPr="000E34ED">
              <w:rPr>
                <w:rFonts w:eastAsia="Times New Roman" w:cstheme="minorHAnsi"/>
                <w:sz w:val="14"/>
                <w:szCs w:val="14"/>
              </w:rPr>
              <w:t>50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70B8A3" w14:textId="77777777" w:rsidR="00E541EE" w:rsidRPr="000E34ED" w:rsidRDefault="00E541EE" w:rsidP="00A84BB5">
            <w:pPr>
              <w:widowControl w:val="0"/>
              <w:autoSpaceDE w:val="0"/>
              <w:autoSpaceDN w:val="0"/>
              <w:jc w:val="center"/>
              <w:rPr>
                <w:rFonts w:cstheme="minorHAnsi"/>
                <w:sz w:val="14"/>
                <w:szCs w:val="14"/>
              </w:rPr>
            </w:pPr>
            <w:r w:rsidRPr="000E34ED">
              <w:rPr>
                <w:rFonts w:eastAsia="Times New Roman" w:cstheme="minorHAnsi"/>
                <w:sz w:val="14"/>
                <w:szCs w:val="14"/>
              </w:rPr>
              <w:t>50</w:t>
            </w:r>
          </w:p>
        </w:tc>
      </w:tr>
    </w:tbl>
    <w:p w14:paraId="4FE1A2C8" w14:textId="77777777" w:rsidR="00E541EE" w:rsidRDefault="00E541EE" w:rsidP="00E541EE">
      <w:pPr>
        <w:jc w:val="both"/>
        <w:rPr>
          <w:rFonts w:eastAsia="Times New Roman" w:cstheme="minorHAnsi"/>
          <w:b/>
          <w:bCs/>
          <w:sz w:val="24"/>
          <w:szCs w:val="24"/>
        </w:rPr>
      </w:pPr>
    </w:p>
    <w:p w14:paraId="4AA73BAE" w14:textId="77777777" w:rsidR="00D13D77" w:rsidRPr="00AC2206" w:rsidRDefault="00D13D77" w:rsidP="00D13D77">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AC2206">
        <w:rPr>
          <w:rFonts w:ascii="Arial" w:eastAsia="Times New Roman" w:hAnsi="Arial" w:cs="Arial"/>
          <w:b/>
          <w:bCs/>
          <w:sz w:val="24"/>
          <w:szCs w:val="24"/>
        </w:rPr>
        <w:t xml:space="preserve">A 102707: </w:t>
      </w:r>
      <w:r w:rsidRPr="00AC2206">
        <w:rPr>
          <w:rFonts w:ascii="Arial" w:hAnsi="Arial" w:cs="Arial"/>
          <w:b/>
          <w:bCs/>
          <w:sz w:val="24"/>
          <w:szCs w:val="24"/>
        </w:rPr>
        <w:t xml:space="preserve">Centar za povijesna istraživanja Rovinj-Rovigno = </w:t>
      </w:r>
      <w:r>
        <w:rPr>
          <w:rFonts w:ascii="Arial" w:hAnsi="Arial" w:cs="Arial"/>
          <w:b/>
          <w:bCs/>
          <w:sz w:val="24"/>
          <w:szCs w:val="24"/>
        </w:rPr>
        <w:t>14</w:t>
      </w:r>
      <w:r w:rsidRPr="00AC2206">
        <w:rPr>
          <w:rFonts w:ascii="Arial" w:hAnsi="Arial" w:cs="Arial"/>
          <w:b/>
          <w:bCs/>
          <w:sz w:val="24"/>
          <w:szCs w:val="24"/>
        </w:rPr>
        <w:t>.000,00 EUR</w:t>
      </w:r>
    </w:p>
    <w:p w14:paraId="0CA969FD" w14:textId="77777777" w:rsidR="00D13D77" w:rsidRPr="00AC2206" w:rsidRDefault="00D13D77" w:rsidP="00D13D77">
      <w:pPr>
        <w:rPr>
          <w:rFonts w:ascii="Arial" w:eastAsia="Times New Roman" w:hAnsi="Arial" w:cs="Arial"/>
          <w:sz w:val="24"/>
          <w:szCs w:val="24"/>
        </w:rPr>
      </w:pPr>
      <w:r w:rsidRPr="00AC2206">
        <w:rPr>
          <w:rFonts w:ascii="Arial" w:eastAsia="Times New Roman" w:hAnsi="Arial" w:cs="Arial"/>
          <w:b/>
          <w:bCs/>
          <w:sz w:val="24"/>
          <w:szCs w:val="24"/>
        </w:rPr>
        <w:t>Zakonska osnova:</w:t>
      </w:r>
      <w:r w:rsidRPr="00AC2206">
        <w:rPr>
          <w:rFonts w:ascii="Arial" w:eastAsia="Times New Roman" w:hAnsi="Arial" w:cs="Arial"/>
          <w:sz w:val="24"/>
          <w:szCs w:val="24"/>
        </w:rPr>
        <w:t xml:space="preserve"> Zakon o lokalnoj i područnoj (regionalnoj) samoupravi, Zakon o ustanovama, Zakon o kulturnim vijećima i financiranju javnih potreba u kulturi</w:t>
      </w:r>
    </w:p>
    <w:p w14:paraId="5A53D857" w14:textId="77777777" w:rsidR="00D13D77" w:rsidRPr="00AC2206" w:rsidRDefault="00D13D77" w:rsidP="00D13D77">
      <w:pPr>
        <w:pStyle w:val="Tijeloteksta-uvlaka2"/>
        <w:spacing w:after="0" w:line="240" w:lineRule="auto"/>
        <w:ind w:left="0"/>
        <w:jc w:val="both"/>
        <w:rPr>
          <w:rFonts w:ascii="Arial" w:hAnsi="Arial" w:cs="Arial"/>
          <w:b/>
          <w:bCs/>
        </w:rPr>
      </w:pPr>
      <w:r w:rsidRPr="00AC2206">
        <w:rPr>
          <w:rFonts w:ascii="Arial" w:hAnsi="Arial" w:cs="Arial"/>
          <w:b/>
        </w:rPr>
        <w:t>Opis:</w:t>
      </w:r>
      <w:r w:rsidRPr="00AC2206">
        <w:rPr>
          <w:rFonts w:ascii="Arial" w:hAnsi="Arial" w:cs="Arial"/>
        </w:rPr>
        <w:t xml:space="preserve"> Osnovan je 1968. godine na inicijativu Talijanske Unije za Istru i Rijeku (danas Talijanska Unija), kako bi istraživao i prezentirao povijest autohtone talijanske nacionalne zajednice na prostoru njenog povijesnog obitavanja. Uz to, temeljna je tematika njegovog istraživačkog djelovanja regionalna povijest Istre, Rijeke, Kvarnera i područja bivše Mletačke Dalmacije. Centar na talijanskom jeziku, sa sažecima na hrvatskom i slovenskom jeziku, objavljuje i serije (do 2015. oko 300 svezaka): Atti, Collana degli Atti, Quaderni, Monografi, Documenti, Ricerche sociali, Etnia, Fonti te bilten La Ricerca. </w:t>
      </w:r>
    </w:p>
    <w:p w14:paraId="5D9F5BBE" w14:textId="77777777" w:rsidR="00D13D77" w:rsidRPr="00AC2206" w:rsidRDefault="00D13D77" w:rsidP="00D13D77">
      <w:pPr>
        <w:jc w:val="both"/>
        <w:rPr>
          <w:rFonts w:ascii="Arial" w:hAnsi="Arial" w:cs="Arial"/>
          <w:sz w:val="24"/>
          <w:szCs w:val="24"/>
        </w:rPr>
      </w:pPr>
      <w:r w:rsidRPr="00AC2206">
        <w:rPr>
          <w:rFonts w:ascii="Arial" w:hAnsi="Arial" w:cs="Arial"/>
          <w:sz w:val="24"/>
          <w:szCs w:val="24"/>
        </w:rPr>
        <w:t>Znanstvena knjižnica Centra posjeduje više od 110.000 svezaka i potpuno je informatizirana. Od 1995. godine ima status Depozitarne knjižnice Vijeća Europe, s posebnom sekcijom o ljudskim pravima i pravima manjina te o zaštiti okoliša. Vrijedna je i zbirka zemljopisnih, topografskih i vojnih karata te crteža, slika i veduta od 15. stoljeća do danas.</w:t>
      </w:r>
    </w:p>
    <w:p w14:paraId="458F7592" w14:textId="77777777" w:rsidR="00D13D77" w:rsidRPr="00AC2206" w:rsidRDefault="00D13D77" w:rsidP="00D13D77">
      <w:pPr>
        <w:jc w:val="both"/>
        <w:rPr>
          <w:rFonts w:ascii="Arial" w:hAnsi="Arial" w:cs="Arial"/>
          <w:sz w:val="24"/>
          <w:szCs w:val="24"/>
        </w:rPr>
      </w:pPr>
      <w:r w:rsidRPr="00AC2206">
        <w:rPr>
          <w:rFonts w:ascii="Arial" w:hAnsi="Arial" w:cs="Arial"/>
          <w:b/>
          <w:sz w:val="24"/>
          <w:szCs w:val="24"/>
        </w:rPr>
        <w:t xml:space="preserve">Opći cilj: </w:t>
      </w:r>
      <w:r w:rsidRPr="00AC2206">
        <w:rPr>
          <w:rFonts w:ascii="Arial" w:hAnsi="Arial" w:cs="Arial"/>
          <w:sz w:val="24"/>
          <w:szCs w:val="24"/>
        </w:rPr>
        <w:t>potpora ustanovama u kulturi</w:t>
      </w:r>
      <w:r>
        <w:rPr>
          <w:rFonts w:ascii="Arial" w:hAnsi="Arial" w:cs="Arial"/>
          <w:sz w:val="24"/>
          <w:szCs w:val="24"/>
        </w:rPr>
        <w:t>.</w:t>
      </w:r>
    </w:p>
    <w:p w14:paraId="2B9E2AF2" w14:textId="77777777" w:rsidR="00D13D77" w:rsidRDefault="00D13D77" w:rsidP="00D13D77">
      <w:pPr>
        <w:jc w:val="both"/>
        <w:rPr>
          <w:rFonts w:ascii="Arial" w:hAnsi="Arial" w:cs="Arial"/>
          <w:sz w:val="24"/>
          <w:szCs w:val="24"/>
        </w:rPr>
      </w:pPr>
      <w:r w:rsidRPr="00AC2206">
        <w:rPr>
          <w:rFonts w:ascii="Arial" w:hAnsi="Arial" w:cs="Arial"/>
          <w:b/>
          <w:sz w:val="24"/>
          <w:szCs w:val="24"/>
        </w:rPr>
        <w:t xml:space="preserve">Pokazatelj uspješnosti: </w:t>
      </w:r>
      <w:r w:rsidRPr="00AC2206">
        <w:rPr>
          <w:rFonts w:ascii="Arial" w:hAnsi="Arial" w:cs="Arial"/>
          <w:sz w:val="24"/>
          <w:szCs w:val="24"/>
        </w:rPr>
        <w:t>realiziran program</w:t>
      </w:r>
      <w:r>
        <w:rPr>
          <w:rFonts w:ascii="Arial" w:hAnsi="Arial" w:cs="Arial"/>
          <w:sz w:val="24"/>
          <w:szCs w:val="24"/>
        </w:rPr>
        <w:t>.</w:t>
      </w:r>
    </w:p>
    <w:p w14:paraId="3420B84C" w14:textId="77777777" w:rsidR="00D13D77" w:rsidRPr="006D6E95" w:rsidRDefault="00D13D77" w:rsidP="00D13D77">
      <w:pPr>
        <w:jc w:val="both"/>
        <w:rPr>
          <w:rFonts w:ascii="Arial" w:hAnsi="Arial" w:cs="Arial"/>
          <w:b/>
          <w:sz w:val="24"/>
          <w:szCs w:val="24"/>
        </w:rPr>
      </w:pPr>
    </w:p>
    <w:p w14:paraId="41CD5E84" w14:textId="77777777" w:rsidR="00D13D77" w:rsidRPr="00A47A80" w:rsidRDefault="00D13D77" w:rsidP="00D13D77">
      <w:pPr>
        <w:pBdr>
          <w:top w:val="single" w:sz="4" w:space="1" w:color="auto"/>
          <w:left w:val="single" w:sz="4" w:space="4" w:color="auto"/>
          <w:bottom w:val="single" w:sz="4" w:space="1" w:color="auto"/>
          <w:right w:val="single" w:sz="4" w:space="4" w:color="auto"/>
        </w:pBdr>
        <w:shd w:val="clear" w:color="auto" w:fill="E9E9E9"/>
        <w:rPr>
          <w:rFonts w:ascii="Arial" w:eastAsia="Times New Roman" w:hAnsi="Arial" w:cs="Arial"/>
          <w:b/>
          <w:bCs/>
          <w:sz w:val="24"/>
          <w:szCs w:val="24"/>
        </w:rPr>
      </w:pPr>
      <w:r w:rsidRPr="00A47A80">
        <w:rPr>
          <w:rFonts w:ascii="Arial" w:eastAsia="Times New Roman" w:hAnsi="Arial" w:cs="Arial"/>
          <w:b/>
          <w:bCs/>
          <w:sz w:val="24"/>
          <w:szCs w:val="24"/>
        </w:rPr>
        <w:t>T 102701: Povijesna toponomastika Rovinj-Rovigno = 48.000,00 EUR</w:t>
      </w:r>
    </w:p>
    <w:p w14:paraId="7EAFB49B" w14:textId="77777777" w:rsidR="00D13D77" w:rsidRPr="00A47A80" w:rsidRDefault="00D13D77" w:rsidP="00D13D77">
      <w:pPr>
        <w:rPr>
          <w:rFonts w:ascii="Arial" w:eastAsia="Times New Roman" w:hAnsi="Arial" w:cs="Arial"/>
          <w:bCs/>
          <w:sz w:val="24"/>
          <w:szCs w:val="24"/>
        </w:rPr>
      </w:pPr>
      <w:r w:rsidRPr="00A47A80">
        <w:rPr>
          <w:rFonts w:ascii="Arial" w:eastAsia="Times New Roman" w:hAnsi="Arial" w:cs="Arial"/>
          <w:b/>
          <w:bCs/>
          <w:sz w:val="24"/>
          <w:szCs w:val="24"/>
        </w:rPr>
        <w:t>Zakonska osnova:</w:t>
      </w:r>
      <w:r w:rsidRPr="00A47A80">
        <w:rPr>
          <w:rFonts w:ascii="Arial" w:eastAsia="Times New Roman" w:hAnsi="Arial" w:cs="Arial"/>
          <w:sz w:val="24"/>
          <w:szCs w:val="24"/>
        </w:rPr>
        <w:t xml:space="preserve"> Zakon o lokalnoj i područnoj (regionalnoj) samoupravi, Zakon o kulturnim vijećima i financiranju javnih potreba u kulturi</w:t>
      </w:r>
    </w:p>
    <w:p w14:paraId="35B0A987" w14:textId="77777777" w:rsidR="00D13D77" w:rsidRDefault="00D13D77" w:rsidP="00D13D77">
      <w:pPr>
        <w:jc w:val="both"/>
        <w:rPr>
          <w:rFonts w:ascii="Arial" w:eastAsia="Times New Roman" w:hAnsi="Arial" w:cs="Arial"/>
          <w:bCs/>
          <w:sz w:val="24"/>
          <w:szCs w:val="24"/>
        </w:rPr>
      </w:pPr>
      <w:r w:rsidRPr="00A47A80">
        <w:rPr>
          <w:rFonts w:ascii="Arial" w:eastAsia="Times New Roman" w:hAnsi="Arial" w:cs="Arial"/>
          <w:b/>
          <w:sz w:val="24"/>
          <w:szCs w:val="24"/>
        </w:rPr>
        <w:t xml:space="preserve">Opis: </w:t>
      </w:r>
      <w:r w:rsidRPr="00A47A80">
        <w:rPr>
          <w:rFonts w:ascii="Arial" w:eastAsia="Times New Roman" w:hAnsi="Arial" w:cs="Arial"/>
          <w:bCs/>
          <w:sz w:val="24"/>
          <w:szCs w:val="24"/>
        </w:rPr>
        <w:t xml:space="preserve">Sredstva u iznosu od 48.000,00 </w:t>
      </w:r>
      <w:r>
        <w:rPr>
          <w:rFonts w:ascii="Arial" w:eastAsia="Times New Roman" w:hAnsi="Arial" w:cs="Arial"/>
          <w:bCs/>
          <w:sz w:val="24"/>
          <w:szCs w:val="24"/>
        </w:rPr>
        <w:t>eura</w:t>
      </w:r>
      <w:r w:rsidRPr="00A47A80">
        <w:rPr>
          <w:rFonts w:ascii="Arial" w:eastAsia="Times New Roman" w:hAnsi="Arial" w:cs="Arial"/>
          <w:bCs/>
          <w:sz w:val="24"/>
          <w:szCs w:val="24"/>
        </w:rPr>
        <w:t xml:space="preserve"> namijenjena su za izradu i postavljanje</w:t>
      </w:r>
      <w:r>
        <w:rPr>
          <w:rFonts w:ascii="Arial" w:eastAsia="Times New Roman" w:hAnsi="Arial" w:cs="Arial"/>
          <w:bCs/>
          <w:sz w:val="24"/>
          <w:szCs w:val="24"/>
        </w:rPr>
        <w:t xml:space="preserve">  stiliziranih tabli sa QR kodom u užem dijelu grada u sklopu projekta “I Curti“. Projekt ima za cilj očuvanje i valorizaciju povijesne toponomastike grada. Table će biti postavljene na određenim lokacijama te na nekoliko ulaznih točaka u grad.</w:t>
      </w:r>
    </w:p>
    <w:p w14:paraId="55646666" w14:textId="77777777" w:rsidR="00D13D77" w:rsidRDefault="00D13D77" w:rsidP="00D13D77">
      <w:pPr>
        <w:jc w:val="both"/>
        <w:rPr>
          <w:rFonts w:ascii="Arial" w:eastAsia="Times New Roman" w:hAnsi="Arial" w:cs="Arial"/>
          <w:bCs/>
          <w:sz w:val="24"/>
          <w:szCs w:val="24"/>
        </w:rPr>
      </w:pPr>
      <w:r w:rsidRPr="006240C9">
        <w:rPr>
          <w:rFonts w:ascii="Arial" w:eastAsia="Times New Roman" w:hAnsi="Arial" w:cs="Arial"/>
          <w:b/>
          <w:bCs/>
          <w:sz w:val="24"/>
          <w:szCs w:val="24"/>
        </w:rPr>
        <w:t>Opći cilj:</w:t>
      </w:r>
      <w:r>
        <w:rPr>
          <w:rFonts w:ascii="Arial" w:eastAsia="Times New Roman" w:hAnsi="Arial" w:cs="Arial"/>
          <w:bCs/>
          <w:sz w:val="24"/>
          <w:szCs w:val="24"/>
        </w:rPr>
        <w:t xml:space="preserve"> Ova aktivnost predviđa očuvanje i valorizaciju povijesne toponomastike grada u sklopu projekta „I Curti“.</w:t>
      </w:r>
    </w:p>
    <w:p w14:paraId="07B94667" w14:textId="77777777" w:rsidR="00D13D77" w:rsidRDefault="00D13D77" w:rsidP="00D13D77">
      <w:pPr>
        <w:jc w:val="both"/>
        <w:rPr>
          <w:rFonts w:ascii="Arial" w:eastAsia="Times New Roman" w:hAnsi="Arial" w:cs="Arial"/>
          <w:bCs/>
          <w:sz w:val="24"/>
          <w:szCs w:val="24"/>
        </w:rPr>
      </w:pPr>
      <w:r>
        <w:rPr>
          <w:rFonts w:ascii="Arial" w:eastAsia="Times New Roman" w:hAnsi="Arial" w:cs="Arial"/>
          <w:b/>
          <w:bCs/>
          <w:sz w:val="24"/>
          <w:szCs w:val="24"/>
        </w:rPr>
        <w:t>Pokazatelj uspješnosti:</w:t>
      </w:r>
      <w:r>
        <w:rPr>
          <w:rFonts w:ascii="Arial" w:eastAsia="Times New Roman" w:hAnsi="Arial" w:cs="Arial"/>
          <w:bCs/>
          <w:sz w:val="24"/>
          <w:szCs w:val="24"/>
        </w:rPr>
        <w:t xml:space="preserve"> Uspješno odrađene aktivnosti u sklopu projekta.</w:t>
      </w:r>
    </w:p>
    <w:p w14:paraId="3917178B" w14:textId="77777777" w:rsidR="00001106" w:rsidRDefault="00001106" w:rsidP="00E541EE">
      <w:pPr>
        <w:jc w:val="both"/>
        <w:rPr>
          <w:rFonts w:eastAsia="Times New Roman" w:cstheme="minorHAnsi"/>
          <w:b/>
          <w:bCs/>
          <w:sz w:val="24"/>
          <w:szCs w:val="24"/>
        </w:rPr>
      </w:pPr>
    </w:p>
    <w:p w14:paraId="247D15C5" w14:textId="77777777" w:rsidR="00001106" w:rsidRPr="00AC2206" w:rsidRDefault="00001106" w:rsidP="00001106">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AC2206">
        <w:rPr>
          <w:rFonts w:ascii="Arial" w:eastAsia="Times New Roman" w:hAnsi="Arial" w:cs="Arial"/>
          <w:b/>
          <w:bCs/>
          <w:sz w:val="24"/>
          <w:szCs w:val="24"/>
        </w:rPr>
        <w:t>A 102704: Izdavaštvo = 1</w:t>
      </w:r>
      <w:r>
        <w:rPr>
          <w:rFonts w:ascii="Arial" w:eastAsia="Times New Roman" w:hAnsi="Arial" w:cs="Arial"/>
          <w:b/>
          <w:bCs/>
          <w:sz w:val="24"/>
          <w:szCs w:val="24"/>
        </w:rPr>
        <w:t>1</w:t>
      </w:r>
      <w:r w:rsidRPr="00AC2206">
        <w:rPr>
          <w:rFonts w:ascii="Arial" w:eastAsia="Times New Roman" w:hAnsi="Arial" w:cs="Arial"/>
          <w:b/>
          <w:bCs/>
          <w:sz w:val="24"/>
          <w:szCs w:val="24"/>
        </w:rPr>
        <w:t>.</w:t>
      </w:r>
      <w:r>
        <w:rPr>
          <w:rFonts w:ascii="Arial" w:eastAsia="Times New Roman" w:hAnsi="Arial" w:cs="Arial"/>
          <w:b/>
          <w:bCs/>
          <w:sz w:val="24"/>
          <w:szCs w:val="24"/>
        </w:rPr>
        <w:t>5</w:t>
      </w:r>
      <w:r w:rsidRPr="00AC2206">
        <w:rPr>
          <w:rFonts w:ascii="Arial" w:eastAsia="Times New Roman" w:hAnsi="Arial" w:cs="Arial"/>
          <w:b/>
          <w:bCs/>
          <w:sz w:val="24"/>
          <w:szCs w:val="24"/>
        </w:rPr>
        <w:t>00,00 EUR</w:t>
      </w:r>
    </w:p>
    <w:p w14:paraId="6DB8E6DA" w14:textId="77777777" w:rsidR="00001106" w:rsidRPr="00AC2206" w:rsidRDefault="00001106" w:rsidP="00001106">
      <w:pPr>
        <w:jc w:val="both"/>
        <w:rPr>
          <w:rFonts w:ascii="Arial" w:eastAsia="Times New Roman" w:hAnsi="Arial" w:cs="Arial"/>
          <w:sz w:val="24"/>
          <w:szCs w:val="24"/>
        </w:rPr>
      </w:pPr>
      <w:r w:rsidRPr="00AC2206">
        <w:rPr>
          <w:rFonts w:ascii="Arial" w:eastAsia="Times New Roman" w:hAnsi="Arial" w:cs="Arial"/>
          <w:b/>
          <w:bCs/>
          <w:sz w:val="24"/>
          <w:szCs w:val="24"/>
        </w:rPr>
        <w:t>Zakonska osnova:</w:t>
      </w:r>
      <w:r w:rsidRPr="00AC2206">
        <w:rPr>
          <w:rFonts w:ascii="Arial" w:eastAsia="Times New Roman" w:hAnsi="Arial" w:cs="Arial"/>
          <w:sz w:val="24"/>
          <w:szCs w:val="24"/>
        </w:rPr>
        <w:t xml:space="preserve"> Zakon o lokalnoj i područnoj (regionalnoj) samoupravi,  Zakon o kulturnim vijećima i  financiranju javnih potreba u kulturi.</w:t>
      </w:r>
    </w:p>
    <w:p w14:paraId="697D338D" w14:textId="77777777" w:rsidR="00001106" w:rsidRPr="00AC2206" w:rsidRDefault="00001106" w:rsidP="00001106">
      <w:pPr>
        <w:jc w:val="both"/>
        <w:rPr>
          <w:rFonts w:ascii="Arial" w:eastAsia="Times New Roman" w:hAnsi="Arial" w:cs="Arial"/>
          <w:sz w:val="24"/>
          <w:szCs w:val="24"/>
        </w:rPr>
      </w:pPr>
      <w:r w:rsidRPr="00AC2206">
        <w:rPr>
          <w:rFonts w:ascii="Arial" w:eastAsia="Times New Roman" w:hAnsi="Arial" w:cs="Arial"/>
          <w:b/>
          <w:sz w:val="24"/>
          <w:szCs w:val="24"/>
        </w:rPr>
        <w:t>Opis:</w:t>
      </w:r>
      <w:r w:rsidRPr="00AC2206">
        <w:rPr>
          <w:rFonts w:ascii="Arial" w:eastAsia="Times New Roman" w:hAnsi="Arial" w:cs="Arial"/>
          <w:sz w:val="24"/>
          <w:szCs w:val="24"/>
        </w:rPr>
        <w:t xml:space="preserve"> ova će se sredstva dodijeliti pojedincima ili pravnim osobama za realizaciju izdavačkih projekata temeljem javnog poziva za financiranje javnih potreba u kulturi za 202</w:t>
      </w:r>
      <w:r>
        <w:rPr>
          <w:rFonts w:ascii="Arial" w:eastAsia="Times New Roman" w:hAnsi="Arial" w:cs="Arial"/>
          <w:sz w:val="24"/>
          <w:szCs w:val="24"/>
        </w:rPr>
        <w:t>6</w:t>
      </w:r>
      <w:r w:rsidRPr="00AC2206">
        <w:rPr>
          <w:rFonts w:ascii="Arial" w:eastAsia="Times New Roman" w:hAnsi="Arial" w:cs="Arial"/>
          <w:sz w:val="24"/>
          <w:szCs w:val="24"/>
        </w:rPr>
        <w:t>. godinu koji je objavljen krajem rujna 202</w:t>
      </w:r>
      <w:r>
        <w:rPr>
          <w:rFonts w:ascii="Arial" w:eastAsia="Times New Roman" w:hAnsi="Arial" w:cs="Arial"/>
          <w:sz w:val="24"/>
          <w:szCs w:val="24"/>
        </w:rPr>
        <w:t>5</w:t>
      </w:r>
      <w:r w:rsidRPr="00AC2206">
        <w:rPr>
          <w:rFonts w:ascii="Arial" w:eastAsia="Times New Roman" w:hAnsi="Arial" w:cs="Arial"/>
          <w:sz w:val="24"/>
          <w:szCs w:val="24"/>
        </w:rPr>
        <w:t>. godine. Projekti će se financirati u skladu sa osiguranim sredstvima i temeljem prijedloga Kulturnog vijeća Grada Rovinj-Rovigno</w:t>
      </w:r>
      <w:r>
        <w:rPr>
          <w:rFonts w:ascii="Arial" w:eastAsia="Times New Roman" w:hAnsi="Arial" w:cs="Arial"/>
          <w:sz w:val="24"/>
          <w:szCs w:val="24"/>
        </w:rPr>
        <w:t>.</w:t>
      </w:r>
    </w:p>
    <w:p w14:paraId="032F99E5" w14:textId="77777777" w:rsidR="00001106" w:rsidRPr="00AC2206" w:rsidRDefault="00001106" w:rsidP="00001106">
      <w:pPr>
        <w:rPr>
          <w:rFonts w:ascii="Arial" w:eastAsia="Times New Roman" w:hAnsi="Arial" w:cs="Arial"/>
          <w:bCs/>
          <w:sz w:val="24"/>
          <w:szCs w:val="24"/>
        </w:rPr>
      </w:pPr>
      <w:r w:rsidRPr="00AC2206">
        <w:rPr>
          <w:rFonts w:ascii="Arial" w:eastAsia="Times New Roman" w:hAnsi="Arial" w:cs="Arial"/>
          <w:b/>
          <w:bCs/>
          <w:sz w:val="24"/>
          <w:szCs w:val="24"/>
        </w:rPr>
        <w:t xml:space="preserve">Opći cilj: </w:t>
      </w:r>
      <w:r w:rsidRPr="00AC2206">
        <w:rPr>
          <w:rFonts w:ascii="Arial" w:eastAsia="Times New Roman" w:hAnsi="Arial" w:cs="Arial"/>
          <w:bCs/>
          <w:sz w:val="24"/>
          <w:szCs w:val="24"/>
        </w:rPr>
        <w:t>podrška izdavačkim projektima od značaja za grad.</w:t>
      </w:r>
    </w:p>
    <w:p w14:paraId="542F885C" w14:textId="77777777" w:rsidR="00001106" w:rsidRPr="00AC2206" w:rsidRDefault="00001106" w:rsidP="00001106">
      <w:pPr>
        <w:rPr>
          <w:rFonts w:ascii="Arial" w:eastAsia="Times New Roman" w:hAnsi="Arial" w:cs="Arial"/>
          <w:bCs/>
          <w:sz w:val="24"/>
          <w:szCs w:val="24"/>
        </w:rPr>
      </w:pPr>
      <w:r w:rsidRPr="00AC2206">
        <w:rPr>
          <w:rFonts w:ascii="Arial" w:eastAsia="Times New Roman" w:hAnsi="Arial" w:cs="Arial"/>
          <w:b/>
          <w:bCs/>
          <w:sz w:val="24"/>
          <w:szCs w:val="24"/>
        </w:rPr>
        <w:t>Pokazatelj uspješnosti</w:t>
      </w:r>
      <w:r w:rsidRPr="00AC2206">
        <w:rPr>
          <w:rFonts w:ascii="Arial" w:eastAsia="Times New Roman" w:hAnsi="Arial" w:cs="Arial"/>
          <w:b/>
          <w:sz w:val="24"/>
          <w:szCs w:val="24"/>
        </w:rPr>
        <w:t xml:space="preserve">: </w:t>
      </w:r>
      <w:r w:rsidRPr="00AC2206">
        <w:rPr>
          <w:rFonts w:ascii="Arial" w:eastAsia="Times New Roman" w:hAnsi="Arial" w:cs="Arial"/>
          <w:sz w:val="24"/>
          <w:szCs w:val="24"/>
        </w:rPr>
        <w:t>realizirani projekti.</w:t>
      </w:r>
    </w:p>
    <w:p w14:paraId="64517833" w14:textId="77777777" w:rsidR="00001106" w:rsidRDefault="00001106" w:rsidP="00E541EE">
      <w:pPr>
        <w:jc w:val="both"/>
        <w:rPr>
          <w:rFonts w:eastAsia="Times New Roman" w:cstheme="minorHAnsi"/>
          <w:b/>
          <w:bCs/>
          <w:sz w:val="24"/>
          <w:szCs w:val="24"/>
        </w:rPr>
      </w:pPr>
    </w:p>
    <w:p w14:paraId="4924C516" w14:textId="77777777" w:rsidR="00001106" w:rsidRPr="00AC2206" w:rsidRDefault="00001106" w:rsidP="00001106">
      <w:pPr>
        <w:pBdr>
          <w:top w:val="single" w:sz="4" w:space="1" w:color="auto"/>
          <w:left w:val="single" w:sz="4" w:space="4" w:color="auto"/>
          <w:bottom w:val="single" w:sz="4" w:space="1" w:color="auto"/>
          <w:right w:val="single" w:sz="4" w:space="4" w:color="auto"/>
        </w:pBdr>
        <w:shd w:val="clear" w:color="auto" w:fill="E9E9E9"/>
        <w:rPr>
          <w:rFonts w:ascii="Arial" w:eastAsia="Times New Roman" w:hAnsi="Arial" w:cs="Arial"/>
          <w:b/>
          <w:bCs/>
          <w:sz w:val="24"/>
          <w:szCs w:val="24"/>
        </w:rPr>
      </w:pPr>
      <w:r w:rsidRPr="00AC2206">
        <w:rPr>
          <w:rFonts w:ascii="Arial" w:eastAsia="Times New Roman" w:hAnsi="Arial" w:cs="Arial"/>
          <w:b/>
          <w:bCs/>
          <w:sz w:val="24"/>
          <w:szCs w:val="24"/>
        </w:rPr>
        <w:t>A 102712: Kulturno vijeće = 3.000,00 EUR</w:t>
      </w:r>
    </w:p>
    <w:p w14:paraId="22A9C2BF" w14:textId="77777777" w:rsidR="00001106" w:rsidRPr="00AC2206" w:rsidRDefault="00001106" w:rsidP="00001106">
      <w:pPr>
        <w:rPr>
          <w:rFonts w:ascii="Arial" w:eastAsia="Times New Roman" w:hAnsi="Arial" w:cs="Arial"/>
          <w:bCs/>
          <w:sz w:val="24"/>
          <w:szCs w:val="24"/>
        </w:rPr>
      </w:pPr>
      <w:r w:rsidRPr="00AC2206">
        <w:rPr>
          <w:rFonts w:ascii="Arial" w:eastAsia="Times New Roman" w:hAnsi="Arial" w:cs="Arial"/>
          <w:b/>
          <w:bCs/>
          <w:sz w:val="24"/>
          <w:szCs w:val="24"/>
        </w:rPr>
        <w:t>Zakonska osnova:</w:t>
      </w:r>
      <w:r w:rsidRPr="00AC2206">
        <w:rPr>
          <w:rFonts w:ascii="Arial" w:eastAsia="Times New Roman" w:hAnsi="Arial" w:cs="Arial"/>
          <w:sz w:val="24"/>
          <w:szCs w:val="24"/>
        </w:rPr>
        <w:t xml:space="preserve"> Zakon o lokalnoj i područnoj (regionalnoj) samoupravi, Zakon o kulturnim vijećima i financiranju javnih potreba u kulturi</w:t>
      </w:r>
    </w:p>
    <w:p w14:paraId="65A0E67C" w14:textId="77777777" w:rsidR="00001106" w:rsidRPr="00AC2206" w:rsidRDefault="00001106" w:rsidP="00001106">
      <w:pPr>
        <w:jc w:val="both"/>
        <w:rPr>
          <w:rFonts w:ascii="Arial" w:eastAsia="Times New Roman" w:hAnsi="Arial" w:cs="Arial"/>
          <w:bCs/>
          <w:sz w:val="24"/>
          <w:szCs w:val="24"/>
        </w:rPr>
      </w:pPr>
      <w:r w:rsidRPr="00AC2206">
        <w:rPr>
          <w:rFonts w:ascii="Arial" w:eastAsia="Times New Roman" w:hAnsi="Arial" w:cs="Arial"/>
          <w:b/>
          <w:sz w:val="24"/>
          <w:szCs w:val="24"/>
        </w:rPr>
        <w:t xml:space="preserve">Opis: </w:t>
      </w:r>
      <w:r w:rsidRPr="00AC2206">
        <w:rPr>
          <w:rFonts w:ascii="Arial" w:eastAsia="Times New Roman" w:hAnsi="Arial" w:cs="Arial"/>
          <w:sz w:val="24"/>
          <w:szCs w:val="24"/>
        </w:rPr>
        <w:t>Gradsko vijeće Grada Rovinj-Rovigno donijelo je Odluku o osnivanju Kulturnog vijeća</w:t>
      </w:r>
      <w:r>
        <w:rPr>
          <w:rFonts w:ascii="Arial" w:eastAsia="Times New Roman" w:hAnsi="Arial" w:cs="Arial"/>
          <w:sz w:val="24"/>
          <w:szCs w:val="24"/>
        </w:rPr>
        <w:t>,</w:t>
      </w:r>
      <w:r w:rsidRPr="00AC2206">
        <w:rPr>
          <w:rFonts w:ascii="Arial" w:eastAsia="Times New Roman" w:hAnsi="Arial" w:cs="Arial"/>
          <w:sz w:val="24"/>
          <w:szCs w:val="24"/>
        </w:rPr>
        <w:t xml:space="preserve"> a osnovano je radi predlaganja ciljeva kulturne politike i mjera za njezino provođenje, radi sudjelovanja u predlaganju godišnjih programa javnih potreba u kulturi za koja se sredstva osiguravaju u proračunu, te radi ostvarivanja utjecaja kulturnih djelatnika i umjetnika na donošenje odluka važnih za kulturu i umjetnost. Članovi kulturnog vijeća imaju pravo na naknadu stoga su proračunom planirana sredstva u tu svrhu.</w:t>
      </w:r>
    </w:p>
    <w:p w14:paraId="68B71FBA" w14:textId="77777777" w:rsidR="00001106" w:rsidRPr="00AC2206" w:rsidRDefault="00001106" w:rsidP="00001106">
      <w:pPr>
        <w:jc w:val="both"/>
        <w:rPr>
          <w:rFonts w:ascii="Arial" w:eastAsia="Times New Roman" w:hAnsi="Arial" w:cs="Arial"/>
          <w:bCs/>
          <w:sz w:val="24"/>
          <w:szCs w:val="24"/>
        </w:rPr>
      </w:pPr>
      <w:r w:rsidRPr="00AC2206">
        <w:rPr>
          <w:rFonts w:ascii="Arial" w:eastAsia="Times New Roman" w:hAnsi="Arial" w:cs="Arial"/>
          <w:b/>
          <w:bCs/>
          <w:sz w:val="24"/>
          <w:szCs w:val="24"/>
        </w:rPr>
        <w:t xml:space="preserve">Opći cilj: </w:t>
      </w:r>
      <w:r w:rsidRPr="00AC2206">
        <w:rPr>
          <w:rFonts w:ascii="Arial" w:eastAsia="Times New Roman" w:hAnsi="Arial" w:cs="Arial"/>
          <w:bCs/>
          <w:sz w:val="24"/>
          <w:szCs w:val="24"/>
        </w:rPr>
        <w:t>djelovanje kulturnih vijeća, vrednovanje programa u kulturi i predlaganje mjera i ciljeva kulturne politike, te provođenje javnih potreba u kulturi od interesa za Grad Rovinj-Rovigno</w:t>
      </w:r>
      <w:r>
        <w:rPr>
          <w:rFonts w:ascii="Arial" w:eastAsia="Times New Roman" w:hAnsi="Arial" w:cs="Arial"/>
          <w:bCs/>
          <w:sz w:val="24"/>
          <w:szCs w:val="24"/>
        </w:rPr>
        <w:t>.</w:t>
      </w:r>
    </w:p>
    <w:p w14:paraId="4240C079" w14:textId="54490600" w:rsidR="00001106" w:rsidRDefault="00001106" w:rsidP="00001106">
      <w:pPr>
        <w:jc w:val="both"/>
        <w:rPr>
          <w:rFonts w:eastAsia="Times New Roman" w:cstheme="minorHAnsi"/>
          <w:b/>
          <w:bCs/>
          <w:sz w:val="24"/>
          <w:szCs w:val="24"/>
        </w:rPr>
      </w:pPr>
      <w:r w:rsidRPr="00AC2206">
        <w:rPr>
          <w:rFonts w:ascii="Arial" w:eastAsia="Times New Roman" w:hAnsi="Arial" w:cs="Arial"/>
          <w:b/>
          <w:bCs/>
          <w:sz w:val="24"/>
          <w:szCs w:val="24"/>
        </w:rPr>
        <w:t>Pokazatelj uspješnosti</w:t>
      </w:r>
      <w:r w:rsidRPr="00AC2206">
        <w:rPr>
          <w:rFonts w:ascii="Arial" w:eastAsia="Times New Roman" w:hAnsi="Arial" w:cs="Arial"/>
          <w:b/>
          <w:sz w:val="24"/>
          <w:szCs w:val="24"/>
        </w:rPr>
        <w:t xml:space="preserve">: </w:t>
      </w:r>
      <w:r w:rsidRPr="00AC2206">
        <w:rPr>
          <w:rFonts w:ascii="Arial" w:eastAsia="Times New Roman" w:hAnsi="Arial" w:cs="Arial"/>
          <w:sz w:val="24"/>
          <w:szCs w:val="24"/>
        </w:rPr>
        <w:t>održane sjednice i isplaćene naknade za rad članovima kulturnog vijeća.</w:t>
      </w:r>
      <w:r>
        <w:rPr>
          <w:rFonts w:ascii="Arial" w:eastAsia="Times New Roman" w:hAnsi="Arial" w:cs="Arial"/>
          <w:sz w:val="24"/>
          <w:szCs w:val="24"/>
        </w:rPr>
        <w:br/>
      </w:r>
    </w:p>
    <w:p w14:paraId="3D2EFDB1" w14:textId="77777777" w:rsidR="00001106" w:rsidRPr="00AC2206" w:rsidRDefault="00001106" w:rsidP="00001106">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AC2206">
        <w:rPr>
          <w:rFonts w:ascii="Arial" w:eastAsia="Times New Roman" w:hAnsi="Arial" w:cs="Arial"/>
          <w:b/>
          <w:bCs/>
          <w:sz w:val="24"/>
          <w:szCs w:val="24"/>
        </w:rPr>
        <w:t xml:space="preserve">A 102702: Posebne gradske aktivnosti = </w:t>
      </w:r>
      <w:r>
        <w:rPr>
          <w:rFonts w:ascii="Arial" w:eastAsia="Times New Roman" w:hAnsi="Arial" w:cs="Arial"/>
          <w:b/>
          <w:bCs/>
          <w:sz w:val="24"/>
          <w:szCs w:val="24"/>
        </w:rPr>
        <w:t>40.000</w:t>
      </w:r>
      <w:r w:rsidRPr="00AC2206">
        <w:rPr>
          <w:rFonts w:ascii="Arial" w:eastAsia="Times New Roman" w:hAnsi="Arial" w:cs="Arial"/>
          <w:b/>
          <w:bCs/>
          <w:sz w:val="24"/>
          <w:szCs w:val="24"/>
        </w:rPr>
        <w:t>,00 EUR</w:t>
      </w:r>
    </w:p>
    <w:p w14:paraId="4EC73223" w14:textId="77777777" w:rsidR="00001106" w:rsidRPr="00AC2206" w:rsidRDefault="00001106" w:rsidP="00001106">
      <w:pPr>
        <w:jc w:val="both"/>
        <w:rPr>
          <w:rFonts w:ascii="Arial" w:eastAsia="Times New Roman" w:hAnsi="Arial" w:cs="Arial"/>
          <w:sz w:val="24"/>
          <w:szCs w:val="24"/>
        </w:rPr>
      </w:pPr>
      <w:r w:rsidRPr="00AC2206">
        <w:rPr>
          <w:rFonts w:ascii="Arial" w:eastAsia="Times New Roman" w:hAnsi="Arial" w:cs="Arial"/>
          <w:b/>
          <w:bCs/>
          <w:sz w:val="24"/>
          <w:szCs w:val="24"/>
        </w:rPr>
        <w:t>Zakonska osnova:</w:t>
      </w:r>
      <w:r w:rsidRPr="00AC2206">
        <w:rPr>
          <w:rFonts w:ascii="Arial" w:eastAsia="Times New Roman" w:hAnsi="Arial" w:cs="Arial"/>
          <w:sz w:val="24"/>
          <w:szCs w:val="24"/>
        </w:rPr>
        <w:t xml:space="preserve"> Zakon o lokalnoj i područnoj (regionalnoj) samoupravi,  Zakon o udrugama, Zakon o kulturnim vijećima i financiranju javnih potreba u kulturi, Uredba o kriterijima, mjerilima i postupcima financiranja i ugovaranja programa i projekata od interesa za opće dobro koje provode udruge. </w:t>
      </w:r>
    </w:p>
    <w:p w14:paraId="4ADB4374" w14:textId="77777777" w:rsidR="00001106" w:rsidRPr="00AC2206" w:rsidRDefault="00001106" w:rsidP="00001106">
      <w:pPr>
        <w:jc w:val="both"/>
        <w:rPr>
          <w:rFonts w:ascii="Arial" w:eastAsia="Times New Roman" w:hAnsi="Arial" w:cs="Arial"/>
          <w:sz w:val="24"/>
          <w:szCs w:val="24"/>
        </w:rPr>
      </w:pPr>
      <w:r w:rsidRPr="00AC2206">
        <w:rPr>
          <w:rFonts w:ascii="Arial" w:eastAsia="Times New Roman" w:hAnsi="Arial" w:cs="Arial"/>
          <w:b/>
          <w:sz w:val="24"/>
          <w:szCs w:val="24"/>
        </w:rPr>
        <w:t xml:space="preserve">Opis: </w:t>
      </w:r>
      <w:r w:rsidRPr="00AC2206">
        <w:rPr>
          <w:rFonts w:ascii="Arial" w:eastAsia="Times New Roman" w:hAnsi="Arial" w:cs="Arial"/>
          <w:sz w:val="24"/>
          <w:szCs w:val="24"/>
        </w:rPr>
        <w:t>iz ovih sredstava planira se financiranje programa koji se realiziraju tijekom godine, a koji imaju za cilj upotpuniti ponudu kulturnih događanja u cilju zadovoljenja potreba građana i gostiju</w:t>
      </w:r>
      <w:r>
        <w:rPr>
          <w:rFonts w:ascii="Arial" w:eastAsia="Times New Roman" w:hAnsi="Arial" w:cs="Arial"/>
          <w:sz w:val="24"/>
          <w:szCs w:val="24"/>
        </w:rPr>
        <w:t>.</w:t>
      </w:r>
    </w:p>
    <w:p w14:paraId="58B791B4" w14:textId="77777777" w:rsidR="00001106" w:rsidRPr="00AC2206" w:rsidRDefault="00001106" w:rsidP="00001106">
      <w:pPr>
        <w:jc w:val="both"/>
        <w:rPr>
          <w:rFonts w:ascii="Arial" w:eastAsia="Times New Roman" w:hAnsi="Arial" w:cs="Arial"/>
          <w:sz w:val="24"/>
          <w:szCs w:val="24"/>
        </w:rPr>
      </w:pPr>
      <w:r w:rsidRPr="00AC2206">
        <w:rPr>
          <w:rFonts w:ascii="Arial" w:eastAsia="Times New Roman" w:hAnsi="Arial" w:cs="Arial"/>
          <w:sz w:val="24"/>
          <w:szCs w:val="24"/>
        </w:rPr>
        <w:t>U skladu sa Zakonom o kulturnim vijećima i financiranju javnih potreba u kulturi sredstva će se dod</w:t>
      </w:r>
      <w:r>
        <w:rPr>
          <w:rFonts w:ascii="Arial" w:eastAsia="Times New Roman" w:hAnsi="Arial" w:cs="Arial"/>
          <w:sz w:val="24"/>
          <w:szCs w:val="24"/>
        </w:rPr>
        <w:t>i</w:t>
      </w:r>
      <w:r w:rsidRPr="00AC2206">
        <w:rPr>
          <w:rFonts w:ascii="Arial" w:eastAsia="Times New Roman" w:hAnsi="Arial" w:cs="Arial"/>
          <w:sz w:val="24"/>
          <w:szCs w:val="24"/>
        </w:rPr>
        <w:t>jeliti temeljem javnog poziva i prijedloga Kulturnog vijeća Grada Rovinj-Rovigno.</w:t>
      </w:r>
    </w:p>
    <w:p w14:paraId="155D9B0F" w14:textId="77777777" w:rsidR="00001106" w:rsidRPr="00AC2206" w:rsidRDefault="00001106" w:rsidP="00001106">
      <w:pPr>
        <w:jc w:val="both"/>
        <w:rPr>
          <w:rFonts w:ascii="Arial" w:eastAsia="Times New Roman" w:hAnsi="Arial" w:cs="Arial"/>
          <w:b/>
          <w:bCs/>
          <w:sz w:val="24"/>
          <w:szCs w:val="24"/>
        </w:rPr>
      </w:pPr>
      <w:r w:rsidRPr="00AC2206">
        <w:rPr>
          <w:rFonts w:ascii="Arial" w:eastAsia="Times New Roman" w:hAnsi="Arial" w:cs="Arial"/>
          <w:b/>
          <w:bCs/>
          <w:sz w:val="24"/>
          <w:szCs w:val="24"/>
        </w:rPr>
        <w:t>Opći cilj:</w:t>
      </w:r>
      <w:r w:rsidRPr="00AC2206">
        <w:rPr>
          <w:rFonts w:ascii="Arial" w:eastAsia="Times New Roman" w:hAnsi="Arial" w:cs="Arial"/>
          <w:bCs/>
          <w:sz w:val="24"/>
          <w:szCs w:val="24"/>
        </w:rPr>
        <w:t xml:space="preserve"> zadovoljenje kulturnih potreba stanovnika i gostiju</w:t>
      </w:r>
      <w:r w:rsidRPr="00AC2206">
        <w:rPr>
          <w:rFonts w:ascii="Arial" w:eastAsia="Times New Roman" w:hAnsi="Arial" w:cs="Arial"/>
          <w:b/>
          <w:bCs/>
          <w:sz w:val="24"/>
          <w:szCs w:val="24"/>
        </w:rPr>
        <w:t xml:space="preserve"> </w:t>
      </w:r>
      <w:r w:rsidRPr="00AC2206">
        <w:rPr>
          <w:rFonts w:ascii="Arial" w:eastAsia="Times New Roman" w:hAnsi="Arial" w:cs="Arial"/>
          <w:bCs/>
          <w:sz w:val="24"/>
          <w:szCs w:val="24"/>
        </w:rPr>
        <w:t>Grada Rovinj-Rovigno.</w:t>
      </w:r>
    </w:p>
    <w:p w14:paraId="43123ACF" w14:textId="77777777" w:rsidR="00001106" w:rsidRDefault="00001106" w:rsidP="00001106">
      <w:pPr>
        <w:jc w:val="both"/>
        <w:rPr>
          <w:rFonts w:ascii="Arial" w:eastAsia="Times New Roman" w:hAnsi="Arial" w:cs="Arial"/>
          <w:sz w:val="24"/>
          <w:szCs w:val="24"/>
        </w:rPr>
      </w:pPr>
      <w:r w:rsidRPr="00AC2206">
        <w:rPr>
          <w:rFonts w:ascii="Arial" w:eastAsia="Times New Roman" w:hAnsi="Arial" w:cs="Arial"/>
          <w:b/>
          <w:bCs/>
          <w:sz w:val="24"/>
          <w:szCs w:val="24"/>
        </w:rPr>
        <w:t>Pokazatelj uspješnosti</w:t>
      </w:r>
      <w:r w:rsidRPr="00AC2206">
        <w:rPr>
          <w:rFonts w:ascii="Arial" w:eastAsia="Times New Roman" w:hAnsi="Arial" w:cs="Arial"/>
          <w:b/>
          <w:sz w:val="24"/>
          <w:szCs w:val="24"/>
        </w:rPr>
        <w:t xml:space="preserve">: </w:t>
      </w:r>
      <w:r w:rsidRPr="00AC2206">
        <w:rPr>
          <w:rFonts w:ascii="Arial" w:eastAsia="Times New Roman" w:hAnsi="Arial" w:cs="Arial"/>
          <w:sz w:val="24"/>
          <w:szCs w:val="24"/>
        </w:rPr>
        <w:t>realizirane aktivnosti i manifestacije.</w:t>
      </w:r>
    </w:p>
    <w:p w14:paraId="1817AB80" w14:textId="77777777" w:rsidR="00001106" w:rsidRDefault="00001106" w:rsidP="00001106">
      <w:pPr>
        <w:jc w:val="both"/>
        <w:rPr>
          <w:rFonts w:ascii="Arial" w:eastAsia="Times New Roman" w:hAnsi="Arial" w:cs="Arial"/>
          <w:sz w:val="24"/>
          <w:szCs w:val="24"/>
        </w:rPr>
      </w:pPr>
    </w:p>
    <w:p w14:paraId="47033368" w14:textId="77777777" w:rsidR="00001106" w:rsidRPr="00AC2206" w:rsidRDefault="00001106" w:rsidP="00001106">
      <w:pPr>
        <w:pBdr>
          <w:top w:val="single" w:sz="4" w:space="1" w:color="auto"/>
          <w:left w:val="single" w:sz="4" w:space="1" w:color="auto"/>
          <w:bottom w:val="single" w:sz="4" w:space="1" w:color="auto"/>
          <w:right w:val="single" w:sz="4" w:space="1" w:color="auto"/>
        </w:pBdr>
        <w:shd w:val="clear" w:color="auto" w:fill="E9E9E9"/>
        <w:jc w:val="both"/>
        <w:rPr>
          <w:rFonts w:ascii="Arial" w:eastAsia="Times New Roman" w:hAnsi="Arial" w:cs="Arial"/>
          <w:b/>
          <w:bCs/>
          <w:sz w:val="24"/>
          <w:szCs w:val="24"/>
        </w:rPr>
      </w:pPr>
      <w:r w:rsidRPr="00AC2206">
        <w:rPr>
          <w:rFonts w:ascii="Arial" w:eastAsia="Times New Roman" w:hAnsi="Arial" w:cs="Arial"/>
          <w:b/>
          <w:bCs/>
          <w:sz w:val="24"/>
          <w:szCs w:val="24"/>
        </w:rPr>
        <w:t>A 102705: Programi udruga iz područja kulture i umjetnosti = 1</w:t>
      </w:r>
      <w:r>
        <w:rPr>
          <w:rFonts w:ascii="Arial" w:eastAsia="Times New Roman" w:hAnsi="Arial" w:cs="Arial"/>
          <w:b/>
          <w:bCs/>
          <w:sz w:val="24"/>
          <w:szCs w:val="24"/>
        </w:rPr>
        <w:t>3</w:t>
      </w:r>
      <w:r w:rsidRPr="00AC2206">
        <w:rPr>
          <w:rFonts w:ascii="Arial" w:eastAsia="Times New Roman" w:hAnsi="Arial" w:cs="Arial"/>
          <w:b/>
          <w:bCs/>
          <w:sz w:val="24"/>
          <w:szCs w:val="24"/>
        </w:rPr>
        <w:t>5.000,00 EUR</w:t>
      </w:r>
    </w:p>
    <w:p w14:paraId="60D7E8D5" w14:textId="77777777" w:rsidR="00001106" w:rsidRPr="00AC2206" w:rsidRDefault="00001106" w:rsidP="00001106">
      <w:pPr>
        <w:jc w:val="both"/>
        <w:rPr>
          <w:rFonts w:ascii="Arial" w:eastAsia="Times New Roman" w:hAnsi="Arial" w:cs="Arial"/>
          <w:sz w:val="24"/>
          <w:szCs w:val="24"/>
        </w:rPr>
      </w:pPr>
      <w:r w:rsidRPr="00AC2206">
        <w:rPr>
          <w:rFonts w:ascii="Arial" w:eastAsia="Times New Roman" w:hAnsi="Arial" w:cs="Arial"/>
          <w:b/>
          <w:bCs/>
          <w:sz w:val="24"/>
          <w:szCs w:val="24"/>
        </w:rPr>
        <w:t>Zakonska osnova:</w:t>
      </w:r>
      <w:r w:rsidRPr="00AC2206">
        <w:rPr>
          <w:rFonts w:ascii="Arial" w:eastAsia="Times New Roman" w:hAnsi="Arial" w:cs="Arial"/>
          <w:sz w:val="24"/>
          <w:szCs w:val="24"/>
        </w:rPr>
        <w:t xml:space="preserve"> Zakon o lokalnoj i područnoj (regionalnoj) samoupravi, Zakon o udrugama, Zakon o kulturnim vijećima i financiranju javnih potreba u kulturi, Uredba o kriterijima, mjerilima i postupcima financiranja i ugovaranja programa i projekata od interesa za opće dobro koje provode udruge. </w:t>
      </w:r>
    </w:p>
    <w:p w14:paraId="560C1B3A" w14:textId="77777777" w:rsidR="00001106" w:rsidRPr="00AC2206" w:rsidRDefault="00001106" w:rsidP="00001106">
      <w:pPr>
        <w:jc w:val="both"/>
        <w:rPr>
          <w:rFonts w:ascii="Arial" w:eastAsia="Times New Roman" w:hAnsi="Arial" w:cs="Arial"/>
          <w:sz w:val="24"/>
          <w:szCs w:val="24"/>
        </w:rPr>
      </w:pPr>
      <w:r w:rsidRPr="00AC2206">
        <w:rPr>
          <w:rFonts w:ascii="Arial" w:eastAsia="Times New Roman" w:hAnsi="Arial" w:cs="Arial"/>
          <w:b/>
          <w:sz w:val="24"/>
          <w:szCs w:val="24"/>
        </w:rPr>
        <w:t>Opis:</w:t>
      </w:r>
      <w:r w:rsidRPr="00AC2206">
        <w:rPr>
          <w:rFonts w:ascii="Arial" w:eastAsia="Times New Roman" w:hAnsi="Arial" w:cs="Arial"/>
          <w:sz w:val="24"/>
          <w:szCs w:val="24"/>
        </w:rPr>
        <w:t xml:space="preserve"> ovim sredstvima financirat će se aktivnosti udruga na području kulture i umjetnosti.</w:t>
      </w:r>
    </w:p>
    <w:p w14:paraId="297D76D5" w14:textId="77777777" w:rsidR="00001106" w:rsidRPr="00AC2206" w:rsidRDefault="00001106" w:rsidP="00001106">
      <w:pPr>
        <w:jc w:val="both"/>
        <w:rPr>
          <w:rFonts w:ascii="Arial" w:eastAsia="Times New Roman" w:hAnsi="Arial" w:cs="Arial"/>
          <w:sz w:val="24"/>
          <w:szCs w:val="24"/>
        </w:rPr>
      </w:pPr>
      <w:r w:rsidRPr="00AC2206">
        <w:rPr>
          <w:rFonts w:ascii="Arial" w:eastAsia="Times New Roman" w:hAnsi="Arial" w:cs="Arial"/>
          <w:sz w:val="24"/>
          <w:szCs w:val="24"/>
        </w:rPr>
        <w:t>Sredstva su namijenjena za financiranje institucionalne podrške, odnosno programa udruga na području kulture i umjetnosti, za financiranje zaštite kulturne baštine, kulturno - umjetnički (glazbeni i scenski) amaterizam, ostale izvedbene i vizualne umjetnosti.</w:t>
      </w:r>
    </w:p>
    <w:p w14:paraId="4D449F65" w14:textId="77777777" w:rsidR="00001106" w:rsidRPr="00AC2206" w:rsidRDefault="00001106" w:rsidP="00001106">
      <w:pPr>
        <w:jc w:val="both"/>
        <w:rPr>
          <w:rFonts w:ascii="Arial" w:eastAsia="Times New Roman" w:hAnsi="Arial" w:cs="Arial"/>
          <w:bCs/>
          <w:sz w:val="24"/>
          <w:szCs w:val="24"/>
        </w:rPr>
      </w:pPr>
      <w:r w:rsidRPr="00AC2206">
        <w:rPr>
          <w:rFonts w:ascii="Arial" w:eastAsia="Times New Roman" w:hAnsi="Arial" w:cs="Arial"/>
          <w:b/>
          <w:bCs/>
          <w:sz w:val="24"/>
          <w:szCs w:val="24"/>
        </w:rPr>
        <w:t xml:space="preserve">Opći cilj: </w:t>
      </w:r>
      <w:r w:rsidRPr="00AC2206">
        <w:rPr>
          <w:rFonts w:ascii="Arial" w:eastAsia="Times New Roman" w:hAnsi="Arial" w:cs="Arial"/>
          <w:bCs/>
          <w:sz w:val="24"/>
          <w:szCs w:val="24"/>
        </w:rPr>
        <w:t>poticanje građana na uključivanje u razne aktivnosti udruga</w:t>
      </w:r>
      <w:r w:rsidRPr="00AC2206">
        <w:rPr>
          <w:rFonts w:ascii="Arial" w:eastAsia="Times New Roman" w:hAnsi="Arial" w:cs="Arial"/>
          <w:b/>
          <w:bCs/>
          <w:sz w:val="24"/>
          <w:szCs w:val="24"/>
        </w:rPr>
        <w:t xml:space="preserve">, </w:t>
      </w:r>
      <w:r w:rsidRPr="00AC2206">
        <w:rPr>
          <w:rFonts w:ascii="Arial" w:eastAsia="Times New Roman" w:hAnsi="Arial" w:cs="Arial"/>
          <w:bCs/>
          <w:sz w:val="24"/>
          <w:szCs w:val="24"/>
        </w:rPr>
        <w:t>poticanje kulturno - umjetničkog amaterizma.</w:t>
      </w:r>
    </w:p>
    <w:p w14:paraId="5CA3D39C" w14:textId="77777777" w:rsidR="00001106" w:rsidRPr="00AC2206" w:rsidRDefault="00001106" w:rsidP="00001106">
      <w:pPr>
        <w:jc w:val="both"/>
        <w:rPr>
          <w:rFonts w:ascii="Arial" w:eastAsia="Times New Roman" w:hAnsi="Arial" w:cs="Arial"/>
          <w:bCs/>
          <w:sz w:val="24"/>
          <w:szCs w:val="24"/>
        </w:rPr>
      </w:pPr>
      <w:r w:rsidRPr="00AC2206">
        <w:rPr>
          <w:rFonts w:ascii="Arial" w:eastAsia="Times New Roman" w:hAnsi="Arial" w:cs="Arial"/>
          <w:b/>
          <w:bCs/>
          <w:sz w:val="24"/>
          <w:szCs w:val="24"/>
        </w:rPr>
        <w:t>Pokazatelj uspješnosti</w:t>
      </w:r>
      <w:r w:rsidRPr="00AC2206">
        <w:rPr>
          <w:rFonts w:ascii="Arial" w:eastAsia="Times New Roman" w:hAnsi="Arial" w:cs="Arial"/>
          <w:b/>
          <w:sz w:val="24"/>
          <w:szCs w:val="24"/>
        </w:rPr>
        <w:t xml:space="preserve">: </w:t>
      </w:r>
      <w:r w:rsidRPr="00AC2206">
        <w:rPr>
          <w:rFonts w:ascii="Arial" w:eastAsia="Times New Roman" w:hAnsi="Arial" w:cs="Arial"/>
          <w:sz w:val="24"/>
          <w:szCs w:val="24"/>
        </w:rPr>
        <w:t>broj dodijeljenih potpora i realiziranih programa</w:t>
      </w:r>
      <w:r w:rsidRPr="00AC2206">
        <w:rPr>
          <w:rFonts w:ascii="Arial" w:eastAsia="Times New Roman" w:hAnsi="Arial" w:cs="Arial"/>
          <w:b/>
          <w:sz w:val="24"/>
          <w:szCs w:val="24"/>
        </w:rPr>
        <w:t>.</w:t>
      </w:r>
    </w:p>
    <w:p w14:paraId="2C3D4EC2" w14:textId="77777777" w:rsidR="00001106" w:rsidRPr="00AC2206" w:rsidRDefault="00001106" w:rsidP="00001106">
      <w:pPr>
        <w:jc w:val="both"/>
        <w:rPr>
          <w:rFonts w:ascii="Arial" w:eastAsia="Times New Roman" w:hAnsi="Arial" w:cs="Arial"/>
          <w:sz w:val="24"/>
          <w:szCs w:val="24"/>
        </w:rPr>
      </w:pPr>
    </w:p>
    <w:p w14:paraId="1BE2E2F5" w14:textId="77777777" w:rsidR="00001106" w:rsidRPr="00AC2206" w:rsidRDefault="00001106" w:rsidP="00001106">
      <w:pPr>
        <w:pBdr>
          <w:top w:val="single" w:sz="4" w:space="1" w:color="auto"/>
          <w:left w:val="single" w:sz="4" w:space="4" w:color="auto"/>
          <w:bottom w:val="single" w:sz="4" w:space="1" w:color="auto"/>
          <w:right w:val="single" w:sz="4" w:space="4" w:color="auto"/>
        </w:pBdr>
        <w:shd w:val="clear" w:color="auto" w:fill="E9E9E9"/>
        <w:rPr>
          <w:rFonts w:ascii="Arial" w:eastAsia="Times New Roman" w:hAnsi="Arial" w:cs="Arial"/>
          <w:b/>
          <w:bCs/>
          <w:sz w:val="24"/>
          <w:szCs w:val="24"/>
        </w:rPr>
      </w:pPr>
      <w:r w:rsidRPr="00AC2206">
        <w:rPr>
          <w:rFonts w:ascii="Arial" w:eastAsia="Times New Roman" w:hAnsi="Arial" w:cs="Arial"/>
          <w:b/>
          <w:bCs/>
          <w:sz w:val="24"/>
          <w:szCs w:val="24"/>
        </w:rPr>
        <w:t xml:space="preserve">A 102711: Adventska priča = </w:t>
      </w:r>
      <w:r>
        <w:rPr>
          <w:rFonts w:ascii="Arial" w:eastAsia="Times New Roman" w:hAnsi="Arial" w:cs="Arial"/>
          <w:b/>
          <w:bCs/>
          <w:sz w:val="24"/>
          <w:szCs w:val="24"/>
        </w:rPr>
        <w:t>223.5</w:t>
      </w:r>
      <w:r w:rsidRPr="00AC2206">
        <w:rPr>
          <w:rFonts w:ascii="Arial" w:eastAsia="Times New Roman" w:hAnsi="Arial" w:cs="Arial"/>
          <w:b/>
          <w:bCs/>
          <w:sz w:val="24"/>
          <w:szCs w:val="24"/>
        </w:rPr>
        <w:t>00,00 EUR</w:t>
      </w:r>
    </w:p>
    <w:p w14:paraId="6A298AC5" w14:textId="77777777" w:rsidR="00001106" w:rsidRPr="00AC2206" w:rsidRDefault="00001106" w:rsidP="00001106">
      <w:pPr>
        <w:rPr>
          <w:rFonts w:ascii="Arial" w:eastAsia="Times New Roman" w:hAnsi="Arial" w:cs="Arial"/>
          <w:bCs/>
          <w:sz w:val="24"/>
          <w:szCs w:val="24"/>
        </w:rPr>
      </w:pPr>
      <w:r w:rsidRPr="00AC2206">
        <w:rPr>
          <w:rFonts w:ascii="Arial" w:eastAsia="Times New Roman" w:hAnsi="Arial" w:cs="Arial"/>
          <w:b/>
          <w:bCs/>
          <w:sz w:val="24"/>
          <w:szCs w:val="24"/>
        </w:rPr>
        <w:t>Zakonska osnova:</w:t>
      </w:r>
      <w:r w:rsidRPr="00AC2206">
        <w:rPr>
          <w:rFonts w:ascii="Arial" w:eastAsia="Times New Roman" w:hAnsi="Arial" w:cs="Arial"/>
          <w:sz w:val="24"/>
          <w:szCs w:val="24"/>
        </w:rPr>
        <w:t xml:space="preserve"> Zakon o lokalnoj i područnoj (regionalnoj) samoupravi.</w:t>
      </w:r>
    </w:p>
    <w:p w14:paraId="56BDA97E" w14:textId="77777777" w:rsidR="00001106" w:rsidRPr="00AC2206" w:rsidRDefault="00001106" w:rsidP="00001106">
      <w:pPr>
        <w:jc w:val="both"/>
        <w:rPr>
          <w:rFonts w:ascii="Arial" w:eastAsia="Times New Roman" w:hAnsi="Arial" w:cs="Arial"/>
          <w:bCs/>
          <w:sz w:val="24"/>
          <w:szCs w:val="24"/>
        </w:rPr>
      </w:pPr>
      <w:r w:rsidRPr="00AC2206">
        <w:rPr>
          <w:rFonts w:ascii="Arial" w:eastAsia="Times New Roman" w:hAnsi="Arial" w:cs="Arial"/>
          <w:b/>
          <w:sz w:val="24"/>
          <w:szCs w:val="24"/>
        </w:rPr>
        <w:t>Opis:</w:t>
      </w:r>
      <w:r w:rsidRPr="00AC2206">
        <w:rPr>
          <w:rFonts w:ascii="Arial" w:eastAsia="Times New Roman" w:hAnsi="Arial" w:cs="Arial"/>
          <w:bCs/>
          <w:sz w:val="24"/>
          <w:szCs w:val="24"/>
        </w:rPr>
        <w:t xml:space="preserve"> ovim sredstvima osigurava se realizacija programa na gradskom trgu te će se podmiriti troškovi izvođača, tehnički troškovi (razglas, rasvjeta), postavljanje i najam bine kao i ostali troškovi nužni za realizaciju programa.</w:t>
      </w:r>
      <w:r>
        <w:rPr>
          <w:rFonts w:ascii="Arial" w:eastAsia="Times New Roman" w:hAnsi="Arial" w:cs="Arial"/>
          <w:bCs/>
          <w:sz w:val="24"/>
          <w:szCs w:val="24"/>
        </w:rPr>
        <w:t xml:space="preserve"> Osim toga, planirana su i sredstva za redarsku službu, medicinsku službu te šator.</w:t>
      </w:r>
    </w:p>
    <w:p w14:paraId="451C1F44" w14:textId="77777777" w:rsidR="00001106" w:rsidRPr="00AC2206" w:rsidRDefault="00001106" w:rsidP="00001106">
      <w:pPr>
        <w:jc w:val="both"/>
        <w:rPr>
          <w:rFonts w:ascii="Arial" w:eastAsia="Times New Roman" w:hAnsi="Arial" w:cs="Arial"/>
          <w:bCs/>
          <w:sz w:val="24"/>
          <w:szCs w:val="24"/>
        </w:rPr>
      </w:pPr>
      <w:r w:rsidRPr="00AC2206">
        <w:rPr>
          <w:rFonts w:ascii="Arial" w:eastAsia="Times New Roman" w:hAnsi="Arial" w:cs="Arial"/>
          <w:b/>
          <w:bCs/>
          <w:sz w:val="24"/>
          <w:szCs w:val="24"/>
        </w:rPr>
        <w:t xml:space="preserve">Opći cilj: </w:t>
      </w:r>
      <w:r w:rsidRPr="00AC2206">
        <w:rPr>
          <w:rFonts w:ascii="Arial" w:eastAsia="Times New Roman" w:hAnsi="Arial" w:cs="Arial"/>
          <w:bCs/>
          <w:sz w:val="24"/>
          <w:szCs w:val="24"/>
        </w:rPr>
        <w:t>prigodno obilježavanje blagdana tijekom mjeseca prosinca.</w:t>
      </w:r>
    </w:p>
    <w:p w14:paraId="62E83B08" w14:textId="77777777" w:rsidR="00001106" w:rsidRPr="00AC2206" w:rsidRDefault="00001106" w:rsidP="00001106">
      <w:pPr>
        <w:jc w:val="both"/>
        <w:rPr>
          <w:rFonts w:ascii="Arial" w:eastAsia="Times New Roman" w:hAnsi="Arial" w:cs="Arial"/>
          <w:sz w:val="24"/>
          <w:szCs w:val="24"/>
        </w:rPr>
      </w:pPr>
      <w:r w:rsidRPr="00AC2206">
        <w:rPr>
          <w:rFonts w:ascii="Arial" w:eastAsia="Times New Roman" w:hAnsi="Arial" w:cs="Arial"/>
          <w:b/>
          <w:bCs/>
          <w:sz w:val="24"/>
          <w:szCs w:val="24"/>
        </w:rPr>
        <w:t>Pokazatelj uspješnosti</w:t>
      </w:r>
      <w:r w:rsidRPr="00AC2206">
        <w:rPr>
          <w:rFonts w:ascii="Arial" w:eastAsia="Times New Roman" w:hAnsi="Arial" w:cs="Arial"/>
          <w:b/>
          <w:sz w:val="24"/>
          <w:szCs w:val="24"/>
        </w:rPr>
        <w:t xml:space="preserve">: </w:t>
      </w:r>
      <w:r w:rsidRPr="00AC2206">
        <w:rPr>
          <w:rFonts w:ascii="Arial" w:eastAsia="Times New Roman" w:hAnsi="Arial" w:cs="Arial"/>
          <w:sz w:val="24"/>
          <w:szCs w:val="24"/>
        </w:rPr>
        <w:t xml:space="preserve">realiziran program. </w:t>
      </w:r>
    </w:p>
    <w:p w14:paraId="022D9F1E" w14:textId="77777777" w:rsidR="00001106" w:rsidRPr="00AC2206" w:rsidRDefault="00001106" w:rsidP="00001106">
      <w:pPr>
        <w:jc w:val="both"/>
        <w:rPr>
          <w:rFonts w:ascii="Arial" w:eastAsia="Times New Roman" w:hAnsi="Arial" w:cs="Arial"/>
          <w:bCs/>
          <w:sz w:val="24"/>
          <w:szCs w:val="24"/>
        </w:rPr>
      </w:pPr>
    </w:p>
    <w:p w14:paraId="39F8AC39" w14:textId="77777777" w:rsidR="00001106" w:rsidRPr="00AC2206" w:rsidRDefault="00001106" w:rsidP="00001106">
      <w:pPr>
        <w:pBdr>
          <w:top w:val="single" w:sz="4" w:space="1" w:color="auto"/>
          <w:left w:val="single" w:sz="4" w:space="4" w:color="auto"/>
          <w:bottom w:val="single" w:sz="4" w:space="1" w:color="auto"/>
          <w:right w:val="single" w:sz="4" w:space="4" w:color="auto"/>
        </w:pBdr>
        <w:shd w:val="clear" w:color="auto" w:fill="E9E9E9"/>
        <w:rPr>
          <w:rFonts w:ascii="Arial" w:eastAsia="Times New Roman" w:hAnsi="Arial" w:cs="Arial"/>
          <w:b/>
          <w:bCs/>
          <w:sz w:val="24"/>
          <w:szCs w:val="24"/>
        </w:rPr>
      </w:pPr>
      <w:r w:rsidRPr="00AC2206">
        <w:rPr>
          <w:rFonts w:ascii="Arial" w:eastAsia="Times New Roman" w:hAnsi="Arial" w:cs="Arial"/>
          <w:b/>
          <w:bCs/>
          <w:sz w:val="24"/>
          <w:szCs w:val="24"/>
        </w:rPr>
        <w:t xml:space="preserve">A 102703: Program obilježavanja Dana Grada = </w:t>
      </w:r>
      <w:r>
        <w:rPr>
          <w:rFonts w:ascii="Arial" w:eastAsia="Times New Roman" w:hAnsi="Arial" w:cs="Arial"/>
          <w:b/>
          <w:bCs/>
          <w:sz w:val="24"/>
          <w:szCs w:val="24"/>
        </w:rPr>
        <w:t>21</w:t>
      </w:r>
      <w:r w:rsidRPr="00AC2206">
        <w:rPr>
          <w:rFonts w:ascii="Arial" w:eastAsia="Times New Roman" w:hAnsi="Arial" w:cs="Arial"/>
          <w:b/>
          <w:bCs/>
          <w:sz w:val="24"/>
          <w:szCs w:val="24"/>
        </w:rPr>
        <w:t>0.000,00 EUR</w:t>
      </w:r>
    </w:p>
    <w:p w14:paraId="13F3CA12" w14:textId="77777777" w:rsidR="00001106" w:rsidRPr="00AC2206" w:rsidRDefault="00001106" w:rsidP="00001106">
      <w:pPr>
        <w:rPr>
          <w:rFonts w:ascii="Arial" w:eastAsia="Times New Roman" w:hAnsi="Arial" w:cs="Arial"/>
          <w:bCs/>
          <w:sz w:val="24"/>
          <w:szCs w:val="24"/>
        </w:rPr>
      </w:pPr>
      <w:r w:rsidRPr="00AC2206">
        <w:rPr>
          <w:rFonts w:ascii="Arial" w:eastAsia="Times New Roman" w:hAnsi="Arial" w:cs="Arial"/>
          <w:b/>
          <w:bCs/>
          <w:sz w:val="24"/>
          <w:szCs w:val="24"/>
        </w:rPr>
        <w:t>Zakonska osnova:</w:t>
      </w:r>
      <w:r w:rsidRPr="00AC2206">
        <w:rPr>
          <w:rFonts w:ascii="Arial" w:eastAsia="Times New Roman" w:hAnsi="Arial" w:cs="Arial"/>
          <w:sz w:val="24"/>
          <w:szCs w:val="24"/>
        </w:rPr>
        <w:t xml:space="preserve"> Zakon o lokalnoj i područnoj (regionalnoj) samoupravi.</w:t>
      </w:r>
    </w:p>
    <w:p w14:paraId="0A9BD355" w14:textId="77777777" w:rsidR="00001106" w:rsidRPr="00AC2206" w:rsidRDefault="00001106" w:rsidP="00001106">
      <w:pPr>
        <w:jc w:val="both"/>
        <w:rPr>
          <w:rFonts w:ascii="Arial" w:eastAsia="Times New Roman" w:hAnsi="Arial" w:cs="Arial"/>
          <w:bCs/>
          <w:sz w:val="24"/>
          <w:szCs w:val="24"/>
        </w:rPr>
      </w:pPr>
      <w:r w:rsidRPr="00AC2206">
        <w:rPr>
          <w:rFonts w:ascii="Arial" w:eastAsia="Times New Roman" w:hAnsi="Arial" w:cs="Arial"/>
          <w:b/>
          <w:sz w:val="24"/>
          <w:szCs w:val="24"/>
        </w:rPr>
        <w:t>Opis:</w:t>
      </w:r>
      <w:r w:rsidRPr="00AC2206">
        <w:rPr>
          <w:rFonts w:ascii="Arial" w:eastAsia="Times New Roman" w:hAnsi="Arial" w:cs="Arial"/>
          <w:bCs/>
          <w:sz w:val="24"/>
          <w:szCs w:val="24"/>
        </w:rPr>
        <w:t xml:space="preserve"> povodom Dana Grada tradicionalno se održava program na gradskom trgu. Ovim sredstvima podmiruju se troškovi glazbenih izvođača, naknade voditeljima programa, tehnički troškovi (bina, razglas, rasvjeta) naknada ZAMP-u te ostali troškovi za pokriće usluga i ostalih rashoda nužnih za organizaciju programa.</w:t>
      </w:r>
    </w:p>
    <w:p w14:paraId="17071F99" w14:textId="77777777" w:rsidR="00001106" w:rsidRPr="00AC2206" w:rsidRDefault="00001106" w:rsidP="00001106">
      <w:pPr>
        <w:jc w:val="both"/>
        <w:rPr>
          <w:rFonts w:ascii="Arial" w:eastAsia="Times New Roman" w:hAnsi="Arial" w:cs="Arial"/>
          <w:bCs/>
          <w:sz w:val="24"/>
          <w:szCs w:val="24"/>
        </w:rPr>
      </w:pPr>
      <w:r w:rsidRPr="00AC2206">
        <w:rPr>
          <w:rFonts w:ascii="Arial" w:eastAsia="Times New Roman" w:hAnsi="Arial" w:cs="Arial"/>
          <w:b/>
          <w:bCs/>
          <w:sz w:val="24"/>
          <w:szCs w:val="24"/>
        </w:rPr>
        <w:t xml:space="preserve">Opći cilj: </w:t>
      </w:r>
      <w:r w:rsidRPr="00AC2206">
        <w:rPr>
          <w:rFonts w:ascii="Arial" w:eastAsia="Times New Roman" w:hAnsi="Arial" w:cs="Arial"/>
          <w:bCs/>
          <w:sz w:val="24"/>
          <w:szCs w:val="24"/>
        </w:rPr>
        <w:t>prigodno obilježavanje Dana Grada.</w:t>
      </w:r>
    </w:p>
    <w:p w14:paraId="07540182" w14:textId="77777777" w:rsidR="00001106" w:rsidRPr="00AC2206" w:rsidRDefault="00001106" w:rsidP="00001106">
      <w:pPr>
        <w:jc w:val="both"/>
        <w:rPr>
          <w:rFonts w:ascii="Arial" w:eastAsia="Times New Roman" w:hAnsi="Arial" w:cs="Arial"/>
          <w:sz w:val="24"/>
          <w:szCs w:val="24"/>
        </w:rPr>
      </w:pPr>
      <w:r w:rsidRPr="00AC2206">
        <w:rPr>
          <w:rFonts w:ascii="Arial" w:eastAsia="Times New Roman" w:hAnsi="Arial" w:cs="Arial"/>
          <w:b/>
          <w:bCs/>
          <w:sz w:val="24"/>
          <w:szCs w:val="24"/>
        </w:rPr>
        <w:t>Pokazatelj uspješnosti</w:t>
      </w:r>
      <w:r w:rsidRPr="00AC2206">
        <w:rPr>
          <w:rFonts w:ascii="Arial" w:eastAsia="Times New Roman" w:hAnsi="Arial" w:cs="Arial"/>
          <w:b/>
          <w:sz w:val="24"/>
          <w:szCs w:val="24"/>
        </w:rPr>
        <w:t xml:space="preserve">: </w:t>
      </w:r>
      <w:r w:rsidRPr="00AC2206">
        <w:rPr>
          <w:rFonts w:ascii="Arial" w:eastAsia="Times New Roman" w:hAnsi="Arial" w:cs="Arial"/>
          <w:sz w:val="24"/>
          <w:szCs w:val="24"/>
        </w:rPr>
        <w:t xml:space="preserve">realiziran program. </w:t>
      </w:r>
    </w:p>
    <w:p w14:paraId="21C928CD" w14:textId="77777777" w:rsidR="00001106" w:rsidRPr="000E34ED" w:rsidRDefault="00001106" w:rsidP="00001106">
      <w:pPr>
        <w:jc w:val="both"/>
        <w:rPr>
          <w:rFonts w:eastAsia="Times New Roman" w:cstheme="minorHAnsi"/>
          <w:b/>
          <w:bCs/>
          <w:sz w:val="24"/>
          <w:szCs w:val="24"/>
        </w:rPr>
      </w:pPr>
    </w:p>
    <w:p w14:paraId="1E2EADB2"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AC2206">
        <w:rPr>
          <w:rFonts w:ascii="Arial" w:eastAsia="Times New Roman" w:hAnsi="Arial" w:cs="Arial"/>
          <w:b/>
          <w:bCs/>
          <w:sz w:val="24"/>
          <w:szCs w:val="24"/>
        </w:rPr>
        <w:t xml:space="preserve">A 102701: Gradske kulturno - zabavne manifestacije = </w:t>
      </w:r>
      <w:r>
        <w:rPr>
          <w:rFonts w:ascii="Arial" w:eastAsia="Times New Roman" w:hAnsi="Arial" w:cs="Arial"/>
          <w:b/>
          <w:bCs/>
          <w:sz w:val="24"/>
          <w:szCs w:val="24"/>
        </w:rPr>
        <w:t>31</w:t>
      </w:r>
      <w:r w:rsidRPr="00AC2206">
        <w:rPr>
          <w:rFonts w:ascii="Arial" w:eastAsia="Times New Roman" w:hAnsi="Arial" w:cs="Arial"/>
          <w:b/>
          <w:bCs/>
          <w:sz w:val="24"/>
          <w:szCs w:val="24"/>
        </w:rPr>
        <w:t>.</w:t>
      </w:r>
      <w:r>
        <w:rPr>
          <w:rFonts w:ascii="Arial" w:eastAsia="Times New Roman" w:hAnsi="Arial" w:cs="Arial"/>
          <w:b/>
          <w:bCs/>
          <w:sz w:val="24"/>
          <w:szCs w:val="24"/>
        </w:rPr>
        <w:t>129</w:t>
      </w:r>
      <w:r w:rsidRPr="00AC2206">
        <w:rPr>
          <w:rFonts w:ascii="Arial" w:eastAsia="Times New Roman" w:hAnsi="Arial" w:cs="Arial"/>
          <w:b/>
          <w:bCs/>
          <w:sz w:val="24"/>
          <w:szCs w:val="24"/>
        </w:rPr>
        <w:t>,</w:t>
      </w:r>
      <w:r>
        <w:rPr>
          <w:rFonts w:ascii="Arial" w:eastAsia="Times New Roman" w:hAnsi="Arial" w:cs="Arial"/>
          <w:b/>
          <w:bCs/>
          <w:sz w:val="24"/>
          <w:szCs w:val="24"/>
        </w:rPr>
        <w:t>87</w:t>
      </w:r>
      <w:r w:rsidRPr="00AC2206">
        <w:rPr>
          <w:rFonts w:ascii="Arial" w:eastAsia="Times New Roman" w:hAnsi="Arial" w:cs="Arial"/>
          <w:b/>
          <w:bCs/>
          <w:sz w:val="24"/>
          <w:szCs w:val="24"/>
        </w:rPr>
        <w:t xml:space="preserve"> EUR</w:t>
      </w:r>
    </w:p>
    <w:p w14:paraId="7FCA53BC"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Zakonska osnova:</w:t>
      </w:r>
      <w:r w:rsidRPr="00AC2206">
        <w:rPr>
          <w:rFonts w:ascii="Arial" w:eastAsia="Times New Roman" w:hAnsi="Arial" w:cs="Arial"/>
          <w:sz w:val="24"/>
          <w:szCs w:val="24"/>
        </w:rPr>
        <w:t xml:space="preserve"> Zakon o lokalnoj i područnoj (regionalnoj) samoupravi,  Zakon o kulturnim vijećima i financiranju javnih potreba u kulturi.</w:t>
      </w:r>
    </w:p>
    <w:p w14:paraId="0FFB5DD8" w14:textId="77777777" w:rsidR="00E541EE" w:rsidRPr="00AC2206" w:rsidRDefault="00E541EE" w:rsidP="00E541EE">
      <w:pPr>
        <w:jc w:val="both"/>
        <w:rPr>
          <w:rFonts w:ascii="Arial" w:eastAsia="Times New Roman" w:hAnsi="Arial" w:cs="Arial"/>
          <w:sz w:val="24"/>
          <w:szCs w:val="24"/>
        </w:rPr>
      </w:pPr>
      <w:r w:rsidRPr="00C91460">
        <w:rPr>
          <w:rFonts w:ascii="Arial" w:eastAsia="Times New Roman" w:hAnsi="Arial" w:cs="Arial"/>
          <w:b/>
          <w:sz w:val="24"/>
          <w:szCs w:val="24"/>
        </w:rPr>
        <w:t>Opis:</w:t>
      </w:r>
      <w:r w:rsidRPr="00C91460">
        <w:rPr>
          <w:rFonts w:ascii="Arial" w:eastAsia="Times New Roman" w:hAnsi="Arial" w:cs="Arial"/>
          <w:sz w:val="24"/>
          <w:szCs w:val="24"/>
        </w:rPr>
        <w:t xml:space="preserve"> iz ovih sredstava osigurava se financiranje gradskih kulturno-zabavnih manifestacija tijekom godine a koje će se održavati pod pokroviteljstvom Grada Rovinja-Rovigno (poput karnevala, ljetni program i dr.)</w:t>
      </w:r>
    </w:p>
    <w:p w14:paraId="394BD567" w14:textId="77777777" w:rsidR="00E541EE" w:rsidRPr="00AC2206" w:rsidRDefault="00E541EE" w:rsidP="00E541EE">
      <w:pPr>
        <w:jc w:val="both"/>
        <w:rPr>
          <w:rFonts w:ascii="Arial" w:eastAsia="Times New Roman" w:hAnsi="Arial" w:cs="Arial"/>
          <w:b/>
          <w:bCs/>
          <w:sz w:val="24"/>
          <w:szCs w:val="24"/>
        </w:rPr>
      </w:pPr>
      <w:r w:rsidRPr="00AC2206">
        <w:rPr>
          <w:rFonts w:ascii="Arial" w:eastAsia="Times New Roman" w:hAnsi="Arial" w:cs="Arial"/>
          <w:b/>
          <w:bCs/>
          <w:sz w:val="24"/>
          <w:szCs w:val="24"/>
        </w:rPr>
        <w:t xml:space="preserve">Opći cilj: </w:t>
      </w:r>
      <w:r w:rsidRPr="00AC2206">
        <w:rPr>
          <w:rFonts w:ascii="Arial" w:eastAsia="Times New Roman" w:hAnsi="Arial" w:cs="Arial"/>
          <w:bCs/>
          <w:sz w:val="24"/>
          <w:szCs w:val="24"/>
        </w:rPr>
        <w:t>zadovoljenje kulturnih potreba stanovnika i gostiju</w:t>
      </w:r>
      <w:r w:rsidRPr="00AC2206">
        <w:rPr>
          <w:rFonts w:ascii="Arial" w:eastAsia="Times New Roman" w:hAnsi="Arial" w:cs="Arial"/>
          <w:b/>
          <w:bCs/>
          <w:sz w:val="24"/>
          <w:szCs w:val="24"/>
        </w:rPr>
        <w:t xml:space="preserve"> </w:t>
      </w:r>
      <w:r w:rsidRPr="00AC2206">
        <w:rPr>
          <w:rFonts w:ascii="Arial" w:eastAsia="Times New Roman" w:hAnsi="Arial" w:cs="Arial"/>
          <w:bCs/>
          <w:sz w:val="24"/>
          <w:szCs w:val="24"/>
        </w:rPr>
        <w:t>Grada Rovinj-Rovigno.</w:t>
      </w:r>
    </w:p>
    <w:p w14:paraId="2D469128"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Pokazatelj uspješnosti</w:t>
      </w:r>
      <w:r w:rsidRPr="00AC2206">
        <w:rPr>
          <w:rFonts w:ascii="Arial" w:eastAsia="Times New Roman" w:hAnsi="Arial" w:cs="Arial"/>
          <w:b/>
          <w:sz w:val="24"/>
          <w:szCs w:val="24"/>
        </w:rPr>
        <w:t xml:space="preserve">: </w:t>
      </w:r>
      <w:r w:rsidRPr="00AC2206">
        <w:rPr>
          <w:rFonts w:ascii="Arial" w:eastAsia="Times New Roman" w:hAnsi="Arial" w:cs="Arial"/>
          <w:sz w:val="24"/>
          <w:szCs w:val="24"/>
        </w:rPr>
        <w:t>realizirane aktivnosti.</w:t>
      </w:r>
      <w:r w:rsidRPr="00AC2206">
        <w:rPr>
          <w:rFonts w:ascii="Arial" w:eastAsia="Times New Roman" w:hAnsi="Arial" w:cs="Arial"/>
          <w:b/>
          <w:sz w:val="24"/>
          <w:szCs w:val="24"/>
        </w:rPr>
        <w:t xml:space="preserve"> </w:t>
      </w:r>
    </w:p>
    <w:p w14:paraId="073B82FA" w14:textId="77777777" w:rsidR="00E541EE" w:rsidRPr="00AC2206" w:rsidRDefault="00E541EE" w:rsidP="00E541EE">
      <w:pPr>
        <w:jc w:val="both"/>
        <w:rPr>
          <w:rFonts w:ascii="Arial" w:eastAsia="Times New Roman" w:hAnsi="Arial" w:cs="Arial"/>
          <w:sz w:val="24"/>
          <w:szCs w:val="24"/>
        </w:rPr>
      </w:pPr>
    </w:p>
    <w:p w14:paraId="0A5E03F7" w14:textId="77777777" w:rsidR="00E541EE" w:rsidRPr="00131A76" w:rsidRDefault="00E541EE" w:rsidP="00E541EE">
      <w:pPr>
        <w:jc w:val="both"/>
        <w:rPr>
          <w:rFonts w:ascii="Arial" w:eastAsia="Times New Roman" w:hAnsi="Arial" w:cs="Arial"/>
          <w:bCs/>
          <w:sz w:val="24"/>
          <w:szCs w:val="24"/>
          <w:highlight w:val="yellow"/>
        </w:rPr>
      </w:pPr>
    </w:p>
    <w:p w14:paraId="53CAC00B" w14:textId="77777777" w:rsidR="00E541EE" w:rsidRPr="00AC2206" w:rsidRDefault="00E541EE" w:rsidP="00E541EE">
      <w:pPr>
        <w:pBdr>
          <w:top w:val="single" w:sz="4" w:space="1" w:color="auto"/>
          <w:left w:val="single" w:sz="4" w:space="4" w:color="auto"/>
          <w:bottom w:val="single" w:sz="4" w:space="1" w:color="auto"/>
          <w:right w:val="single" w:sz="4" w:space="0" w:color="auto"/>
        </w:pBdr>
        <w:shd w:val="clear" w:color="auto" w:fill="FFFF80"/>
        <w:jc w:val="both"/>
        <w:rPr>
          <w:rFonts w:ascii="Arial" w:eastAsia="Times New Roman" w:hAnsi="Arial" w:cs="Arial"/>
          <w:b/>
          <w:bCs/>
          <w:sz w:val="24"/>
          <w:szCs w:val="24"/>
        </w:rPr>
      </w:pPr>
      <w:r w:rsidRPr="00AC2206">
        <w:rPr>
          <w:rFonts w:ascii="Arial" w:eastAsia="Times New Roman" w:hAnsi="Arial" w:cs="Arial"/>
          <w:b/>
          <w:bCs/>
          <w:sz w:val="24"/>
          <w:szCs w:val="24"/>
        </w:rPr>
        <w:t xml:space="preserve">Program 1028: Javne potrebe u tehničkoj kulturi = </w:t>
      </w:r>
      <w:r>
        <w:rPr>
          <w:rFonts w:ascii="Arial" w:eastAsia="Times New Roman" w:hAnsi="Arial" w:cs="Arial"/>
          <w:b/>
          <w:bCs/>
          <w:sz w:val="24"/>
          <w:szCs w:val="24"/>
        </w:rPr>
        <w:t>8</w:t>
      </w:r>
      <w:r w:rsidRPr="00AC2206">
        <w:rPr>
          <w:rFonts w:ascii="Arial" w:eastAsia="Times New Roman" w:hAnsi="Arial" w:cs="Arial"/>
          <w:b/>
          <w:bCs/>
          <w:sz w:val="24"/>
          <w:szCs w:val="24"/>
        </w:rPr>
        <w:t>.</w:t>
      </w:r>
      <w:r>
        <w:rPr>
          <w:rFonts w:ascii="Arial" w:eastAsia="Times New Roman" w:hAnsi="Arial" w:cs="Arial"/>
          <w:b/>
          <w:bCs/>
          <w:sz w:val="24"/>
          <w:szCs w:val="24"/>
        </w:rPr>
        <w:t>00</w:t>
      </w:r>
      <w:r w:rsidRPr="00AC2206">
        <w:rPr>
          <w:rFonts w:ascii="Arial" w:eastAsia="Times New Roman" w:hAnsi="Arial" w:cs="Arial"/>
          <w:b/>
          <w:bCs/>
          <w:sz w:val="24"/>
          <w:szCs w:val="24"/>
        </w:rPr>
        <w:t>0,00 EUR</w:t>
      </w:r>
    </w:p>
    <w:p w14:paraId="2436515F" w14:textId="77777777" w:rsidR="00E541EE" w:rsidRDefault="00E541EE" w:rsidP="00E541EE">
      <w:pPr>
        <w:jc w:val="both"/>
        <w:rPr>
          <w:rFonts w:ascii="Arial" w:eastAsia="Times New Roman" w:hAnsi="Arial" w:cs="Arial"/>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071"/>
        <w:gridCol w:w="1046"/>
        <w:gridCol w:w="1177"/>
        <w:gridCol w:w="1046"/>
        <w:gridCol w:w="1046"/>
        <w:gridCol w:w="963"/>
        <w:gridCol w:w="999"/>
        <w:gridCol w:w="916"/>
        <w:gridCol w:w="655"/>
        <w:gridCol w:w="655"/>
        <w:gridCol w:w="622"/>
      </w:tblGrid>
      <w:tr w:rsidR="00E541EE" w:rsidRPr="00D236FA" w14:paraId="7CC341C3" w14:textId="77777777" w:rsidTr="00A84BB5">
        <w:trPr>
          <w:trHeight w:val="495"/>
        </w:trPr>
        <w:tc>
          <w:tcPr>
            <w:tcW w:w="525" w:type="pct"/>
            <w:vMerge w:val="restart"/>
            <w:tcBorders>
              <w:bottom w:val="single" w:sz="4" w:space="0" w:color="auto"/>
            </w:tcBorders>
            <w:vAlign w:val="center"/>
          </w:tcPr>
          <w:p w14:paraId="52DC6827" w14:textId="77777777" w:rsidR="00E541EE" w:rsidRPr="00E932EC" w:rsidRDefault="00E541EE" w:rsidP="00A84BB5">
            <w:pPr>
              <w:widowControl w:val="0"/>
              <w:autoSpaceDE w:val="0"/>
              <w:autoSpaceDN w:val="0"/>
              <w:spacing w:before="49"/>
              <w:jc w:val="center"/>
              <w:rPr>
                <w:b/>
                <w:sz w:val="14"/>
                <w:szCs w:val="14"/>
              </w:rPr>
            </w:pPr>
            <w:r w:rsidRPr="00E932EC">
              <w:rPr>
                <w:b/>
                <w:sz w:val="14"/>
                <w:szCs w:val="14"/>
              </w:rPr>
              <w:t>Doprinos</w:t>
            </w:r>
            <w:r w:rsidRPr="00E932EC">
              <w:rPr>
                <w:b/>
                <w:spacing w:val="-34"/>
                <w:sz w:val="14"/>
                <w:szCs w:val="14"/>
              </w:rPr>
              <w:t xml:space="preserve"> </w:t>
            </w:r>
            <w:r w:rsidRPr="00E932EC">
              <w:rPr>
                <w:b/>
                <w:sz w:val="14"/>
                <w:szCs w:val="14"/>
              </w:rPr>
              <w:t>provedbi</w:t>
            </w:r>
          </w:p>
          <w:p w14:paraId="6C94744F" w14:textId="77777777" w:rsidR="00E541EE" w:rsidRPr="00E932EC" w:rsidRDefault="00E541EE" w:rsidP="00A84BB5">
            <w:pPr>
              <w:widowControl w:val="0"/>
              <w:autoSpaceDE w:val="0"/>
              <w:autoSpaceDN w:val="0"/>
              <w:spacing w:line="194" w:lineRule="exact"/>
              <w:jc w:val="center"/>
              <w:rPr>
                <w:b/>
                <w:sz w:val="14"/>
                <w:szCs w:val="14"/>
              </w:rPr>
            </w:pPr>
            <w:r w:rsidRPr="00E932EC">
              <w:rPr>
                <w:b/>
                <w:sz w:val="14"/>
                <w:szCs w:val="14"/>
              </w:rPr>
              <w:t>nadređenog</w:t>
            </w:r>
          </w:p>
          <w:p w14:paraId="163EFA3B" w14:textId="77777777" w:rsidR="00E541EE" w:rsidRPr="00E932EC" w:rsidRDefault="00E541EE" w:rsidP="00A84BB5">
            <w:pPr>
              <w:widowControl w:val="0"/>
              <w:autoSpaceDE w:val="0"/>
              <w:autoSpaceDN w:val="0"/>
              <w:spacing w:before="49"/>
              <w:jc w:val="center"/>
              <w:rPr>
                <w:b/>
                <w:sz w:val="14"/>
                <w:szCs w:val="14"/>
              </w:rPr>
            </w:pPr>
            <w:r w:rsidRPr="00E932EC">
              <w:rPr>
                <w:b/>
                <w:sz w:val="14"/>
                <w:szCs w:val="14"/>
              </w:rPr>
              <w:t>akta</w:t>
            </w:r>
            <w:r w:rsidRPr="00E932EC">
              <w:rPr>
                <w:b/>
                <w:spacing w:val="1"/>
                <w:sz w:val="14"/>
                <w:szCs w:val="14"/>
              </w:rPr>
              <w:t xml:space="preserve"> </w:t>
            </w:r>
            <w:r w:rsidRPr="00E932EC">
              <w:rPr>
                <w:b/>
                <w:sz w:val="14"/>
                <w:szCs w:val="14"/>
              </w:rPr>
              <w:t>strateškog</w:t>
            </w:r>
            <w:r w:rsidRPr="00E932EC">
              <w:rPr>
                <w:b/>
                <w:spacing w:val="-34"/>
                <w:sz w:val="14"/>
                <w:szCs w:val="14"/>
              </w:rPr>
              <w:t xml:space="preserve"> </w:t>
            </w:r>
            <w:r w:rsidRPr="00E932EC">
              <w:rPr>
                <w:b/>
                <w:sz w:val="14"/>
                <w:szCs w:val="14"/>
              </w:rPr>
              <w:t>planiranja</w:t>
            </w:r>
          </w:p>
        </w:tc>
        <w:tc>
          <w:tcPr>
            <w:tcW w:w="513" w:type="pct"/>
            <w:vMerge w:val="restart"/>
            <w:tcBorders>
              <w:bottom w:val="single" w:sz="4" w:space="0" w:color="auto"/>
            </w:tcBorders>
            <w:vAlign w:val="center"/>
          </w:tcPr>
          <w:p w14:paraId="091262E8" w14:textId="77777777" w:rsidR="00E541EE" w:rsidRPr="00E932EC" w:rsidRDefault="00E541EE" w:rsidP="00A84BB5">
            <w:pPr>
              <w:widowControl w:val="0"/>
              <w:autoSpaceDE w:val="0"/>
              <w:autoSpaceDN w:val="0"/>
              <w:spacing w:line="195" w:lineRule="exact"/>
              <w:ind w:left="44" w:right="35"/>
              <w:jc w:val="center"/>
              <w:rPr>
                <w:b/>
                <w:sz w:val="14"/>
                <w:szCs w:val="14"/>
              </w:rPr>
            </w:pPr>
            <w:r w:rsidRPr="00E932EC">
              <w:rPr>
                <w:b/>
                <w:sz w:val="14"/>
                <w:szCs w:val="14"/>
              </w:rPr>
              <w:t>Naziv</w:t>
            </w:r>
            <w:r w:rsidRPr="00E932EC">
              <w:rPr>
                <w:b/>
                <w:spacing w:val="-3"/>
                <w:sz w:val="14"/>
                <w:szCs w:val="14"/>
              </w:rPr>
              <w:t xml:space="preserve"> </w:t>
            </w:r>
            <w:r w:rsidRPr="00E932EC">
              <w:rPr>
                <w:b/>
                <w:sz w:val="14"/>
                <w:szCs w:val="14"/>
              </w:rPr>
              <w:t>cilja nadređenog</w:t>
            </w:r>
            <w:r w:rsidRPr="00E932EC">
              <w:rPr>
                <w:b/>
                <w:spacing w:val="1"/>
                <w:sz w:val="14"/>
                <w:szCs w:val="14"/>
              </w:rPr>
              <w:t xml:space="preserve"> </w:t>
            </w:r>
            <w:r w:rsidRPr="00E932EC">
              <w:rPr>
                <w:b/>
                <w:spacing w:val="-1"/>
                <w:sz w:val="14"/>
                <w:szCs w:val="14"/>
              </w:rPr>
              <w:t>akta</w:t>
            </w:r>
            <w:r w:rsidRPr="00E932EC">
              <w:rPr>
                <w:b/>
                <w:spacing w:val="-2"/>
                <w:sz w:val="14"/>
                <w:szCs w:val="14"/>
              </w:rPr>
              <w:t xml:space="preserve"> </w:t>
            </w:r>
            <w:r w:rsidRPr="00E932EC">
              <w:rPr>
                <w:b/>
                <w:spacing w:val="-1"/>
                <w:sz w:val="14"/>
                <w:szCs w:val="14"/>
              </w:rPr>
              <w:t xml:space="preserve">strateškog </w:t>
            </w:r>
            <w:r w:rsidRPr="00E932EC">
              <w:rPr>
                <w:b/>
                <w:sz w:val="14"/>
                <w:szCs w:val="14"/>
              </w:rPr>
              <w:t>planiranja</w:t>
            </w:r>
          </w:p>
        </w:tc>
        <w:tc>
          <w:tcPr>
            <w:tcW w:w="577" w:type="pct"/>
            <w:vMerge w:val="restart"/>
            <w:tcBorders>
              <w:bottom w:val="single" w:sz="4" w:space="0" w:color="auto"/>
            </w:tcBorders>
            <w:vAlign w:val="center"/>
          </w:tcPr>
          <w:p w14:paraId="21691DF9" w14:textId="77777777" w:rsidR="00E541EE" w:rsidRPr="00E932EC" w:rsidRDefault="00E541EE" w:rsidP="00A84BB5">
            <w:pPr>
              <w:widowControl w:val="0"/>
              <w:autoSpaceDE w:val="0"/>
              <w:autoSpaceDN w:val="0"/>
              <w:ind w:left="125" w:right="114"/>
              <w:jc w:val="center"/>
              <w:rPr>
                <w:b/>
                <w:sz w:val="14"/>
                <w:szCs w:val="14"/>
              </w:rPr>
            </w:pPr>
            <w:r w:rsidRPr="00E932EC">
              <w:rPr>
                <w:b/>
                <w:spacing w:val="-1"/>
                <w:sz w:val="14"/>
                <w:szCs w:val="14"/>
              </w:rPr>
              <w:t xml:space="preserve">Program </w:t>
            </w:r>
            <w:r w:rsidRPr="00E932EC">
              <w:rPr>
                <w:b/>
                <w:sz w:val="14"/>
                <w:szCs w:val="14"/>
              </w:rPr>
              <w:t>u</w:t>
            </w:r>
            <w:r w:rsidRPr="00E932EC">
              <w:rPr>
                <w:b/>
                <w:spacing w:val="-34"/>
                <w:sz w:val="14"/>
                <w:szCs w:val="14"/>
              </w:rPr>
              <w:t xml:space="preserve"> </w:t>
            </w:r>
            <w:r w:rsidRPr="00E932EC">
              <w:rPr>
                <w:b/>
                <w:sz w:val="14"/>
                <w:szCs w:val="14"/>
              </w:rPr>
              <w:t xml:space="preserve">proračunu </w:t>
            </w:r>
            <w:r w:rsidRPr="00E932EC">
              <w:rPr>
                <w:b/>
                <w:spacing w:val="-34"/>
                <w:sz w:val="14"/>
                <w:szCs w:val="14"/>
              </w:rPr>
              <w:t xml:space="preserve"> </w:t>
            </w:r>
            <w:r w:rsidRPr="00E932EC">
              <w:rPr>
                <w:b/>
                <w:sz w:val="14"/>
                <w:szCs w:val="14"/>
              </w:rPr>
              <w:t>JLS</w:t>
            </w:r>
          </w:p>
        </w:tc>
        <w:tc>
          <w:tcPr>
            <w:tcW w:w="513" w:type="pct"/>
            <w:vMerge w:val="restart"/>
            <w:tcBorders>
              <w:bottom w:val="single" w:sz="4" w:space="0" w:color="auto"/>
            </w:tcBorders>
            <w:vAlign w:val="center"/>
          </w:tcPr>
          <w:p w14:paraId="58AF9C11" w14:textId="77777777" w:rsidR="00E541EE" w:rsidRPr="00E932EC" w:rsidRDefault="00E541EE" w:rsidP="00A84BB5">
            <w:pPr>
              <w:widowControl w:val="0"/>
              <w:autoSpaceDE w:val="0"/>
              <w:autoSpaceDN w:val="0"/>
              <w:ind w:left="179"/>
              <w:jc w:val="center"/>
              <w:rPr>
                <w:b/>
                <w:sz w:val="14"/>
                <w:szCs w:val="14"/>
              </w:rPr>
            </w:pPr>
            <w:r w:rsidRPr="00E932EC">
              <w:rPr>
                <w:b/>
                <w:sz w:val="14"/>
                <w:szCs w:val="14"/>
              </w:rPr>
              <w:t>Naziv</w:t>
            </w:r>
            <w:r w:rsidRPr="00E932EC">
              <w:rPr>
                <w:b/>
                <w:spacing w:val="-2"/>
                <w:sz w:val="14"/>
                <w:szCs w:val="14"/>
              </w:rPr>
              <w:t xml:space="preserve"> </w:t>
            </w:r>
            <w:r w:rsidRPr="00E932EC">
              <w:rPr>
                <w:b/>
                <w:sz w:val="14"/>
                <w:szCs w:val="14"/>
              </w:rPr>
              <w:t>mjere</w:t>
            </w:r>
          </w:p>
        </w:tc>
        <w:tc>
          <w:tcPr>
            <w:tcW w:w="513" w:type="pct"/>
            <w:vMerge w:val="restart"/>
            <w:tcBorders>
              <w:bottom w:val="single" w:sz="4" w:space="0" w:color="auto"/>
            </w:tcBorders>
            <w:vAlign w:val="center"/>
          </w:tcPr>
          <w:p w14:paraId="6403245F" w14:textId="77777777" w:rsidR="00E541EE" w:rsidRPr="00E932EC" w:rsidRDefault="00E541EE" w:rsidP="00A84BB5">
            <w:pPr>
              <w:widowControl w:val="0"/>
              <w:autoSpaceDE w:val="0"/>
              <w:autoSpaceDN w:val="0"/>
              <w:ind w:left="70" w:right="60"/>
              <w:jc w:val="center"/>
              <w:rPr>
                <w:b/>
                <w:sz w:val="14"/>
                <w:szCs w:val="14"/>
              </w:rPr>
            </w:pPr>
            <w:r w:rsidRPr="00E932EC">
              <w:rPr>
                <w:b/>
                <w:sz w:val="14"/>
                <w:szCs w:val="14"/>
              </w:rPr>
              <w:t>Procijenjeni</w:t>
            </w:r>
            <w:r w:rsidRPr="00E932EC">
              <w:rPr>
                <w:b/>
                <w:spacing w:val="-34"/>
                <w:sz w:val="14"/>
                <w:szCs w:val="14"/>
              </w:rPr>
              <w:t xml:space="preserve"> </w:t>
            </w:r>
            <w:r w:rsidRPr="00E932EC">
              <w:rPr>
                <w:b/>
                <w:sz w:val="14"/>
                <w:szCs w:val="14"/>
              </w:rPr>
              <w:t>trošak</w:t>
            </w:r>
            <w:r w:rsidRPr="00E932EC">
              <w:rPr>
                <w:b/>
                <w:spacing w:val="1"/>
                <w:sz w:val="14"/>
                <w:szCs w:val="14"/>
              </w:rPr>
              <w:t xml:space="preserve"> </w:t>
            </w:r>
            <w:r w:rsidRPr="00E932EC">
              <w:rPr>
                <w:b/>
                <w:sz w:val="14"/>
                <w:szCs w:val="14"/>
              </w:rPr>
              <w:t>provedbe</w:t>
            </w:r>
            <w:r w:rsidRPr="00E932EC">
              <w:rPr>
                <w:b/>
                <w:spacing w:val="1"/>
                <w:sz w:val="14"/>
                <w:szCs w:val="14"/>
              </w:rPr>
              <w:t xml:space="preserve"> </w:t>
            </w:r>
            <w:r w:rsidRPr="00E932EC">
              <w:rPr>
                <w:b/>
                <w:sz w:val="14"/>
                <w:szCs w:val="14"/>
              </w:rPr>
              <w:t>mjere 2026.</w:t>
            </w:r>
          </w:p>
          <w:p w14:paraId="67973570" w14:textId="77777777" w:rsidR="00E541EE" w:rsidRPr="00E932EC" w:rsidRDefault="00E541EE" w:rsidP="00A84BB5">
            <w:pPr>
              <w:widowControl w:val="0"/>
              <w:autoSpaceDE w:val="0"/>
              <w:autoSpaceDN w:val="0"/>
              <w:spacing w:before="2"/>
              <w:ind w:left="70" w:right="58"/>
              <w:jc w:val="center"/>
              <w:rPr>
                <w:b/>
                <w:sz w:val="14"/>
                <w:szCs w:val="14"/>
              </w:rPr>
            </w:pPr>
            <w:r w:rsidRPr="00E932EC">
              <w:rPr>
                <w:b/>
                <w:sz w:val="14"/>
                <w:szCs w:val="14"/>
              </w:rPr>
              <w:t>(u EUR)</w:t>
            </w:r>
          </w:p>
        </w:tc>
        <w:tc>
          <w:tcPr>
            <w:tcW w:w="472" w:type="pct"/>
            <w:vMerge w:val="restart"/>
            <w:tcBorders>
              <w:bottom w:val="single" w:sz="4" w:space="0" w:color="auto"/>
            </w:tcBorders>
            <w:vAlign w:val="center"/>
          </w:tcPr>
          <w:p w14:paraId="2EE9FD3A" w14:textId="77777777" w:rsidR="00E541EE" w:rsidRPr="00E932EC" w:rsidRDefault="00E541EE" w:rsidP="00A84BB5">
            <w:pPr>
              <w:widowControl w:val="0"/>
              <w:autoSpaceDE w:val="0"/>
              <w:autoSpaceDN w:val="0"/>
              <w:jc w:val="center"/>
              <w:rPr>
                <w:b/>
                <w:sz w:val="14"/>
                <w:szCs w:val="14"/>
              </w:rPr>
            </w:pPr>
            <w:r w:rsidRPr="00E932EC">
              <w:rPr>
                <w:b/>
                <w:sz w:val="14"/>
                <w:szCs w:val="14"/>
              </w:rPr>
              <w:t>Ključne</w:t>
            </w:r>
          </w:p>
          <w:p w14:paraId="61A4775B" w14:textId="77777777" w:rsidR="00E541EE" w:rsidRPr="00E932EC" w:rsidRDefault="00E541EE" w:rsidP="00A84BB5">
            <w:pPr>
              <w:widowControl w:val="0"/>
              <w:autoSpaceDE w:val="0"/>
              <w:autoSpaceDN w:val="0"/>
              <w:spacing w:before="1"/>
              <w:jc w:val="center"/>
              <w:rPr>
                <w:b/>
                <w:sz w:val="14"/>
                <w:szCs w:val="14"/>
              </w:rPr>
            </w:pPr>
            <w:r w:rsidRPr="00E932EC">
              <w:rPr>
                <w:b/>
                <w:sz w:val="14"/>
                <w:szCs w:val="14"/>
              </w:rPr>
              <w:t>aktivnosti</w:t>
            </w:r>
          </w:p>
        </w:tc>
        <w:tc>
          <w:tcPr>
            <w:tcW w:w="490" w:type="pct"/>
            <w:vMerge w:val="restart"/>
            <w:tcBorders>
              <w:bottom w:val="single" w:sz="4" w:space="0" w:color="auto"/>
            </w:tcBorders>
            <w:vAlign w:val="center"/>
          </w:tcPr>
          <w:p w14:paraId="7D83BD5D" w14:textId="77777777" w:rsidR="00E541EE" w:rsidRPr="00E932EC" w:rsidRDefault="00E541EE" w:rsidP="00A84BB5">
            <w:pPr>
              <w:widowControl w:val="0"/>
              <w:autoSpaceDE w:val="0"/>
              <w:autoSpaceDN w:val="0"/>
              <w:ind w:left="62" w:right="97" w:hanging="44"/>
              <w:jc w:val="center"/>
              <w:rPr>
                <w:b/>
                <w:sz w:val="14"/>
                <w:szCs w:val="14"/>
              </w:rPr>
            </w:pPr>
            <w:r w:rsidRPr="00E932EC">
              <w:rPr>
                <w:b/>
                <w:sz w:val="14"/>
                <w:szCs w:val="14"/>
              </w:rPr>
              <w:t>Pokazatelj</w:t>
            </w:r>
            <w:r w:rsidRPr="00E932EC">
              <w:rPr>
                <w:b/>
                <w:spacing w:val="-34"/>
                <w:sz w:val="14"/>
                <w:szCs w:val="14"/>
              </w:rPr>
              <w:t xml:space="preserve"> </w:t>
            </w:r>
            <w:r w:rsidRPr="00E932EC">
              <w:rPr>
                <w:b/>
                <w:sz w:val="14"/>
                <w:szCs w:val="14"/>
              </w:rPr>
              <w:t>rezultata</w:t>
            </w:r>
          </w:p>
        </w:tc>
        <w:tc>
          <w:tcPr>
            <w:tcW w:w="449" w:type="pct"/>
            <w:vMerge w:val="restart"/>
            <w:tcBorders>
              <w:bottom w:val="single" w:sz="4" w:space="0" w:color="auto"/>
            </w:tcBorders>
            <w:vAlign w:val="center"/>
          </w:tcPr>
          <w:p w14:paraId="42049AC9" w14:textId="77777777" w:rsidR="00E541EE" w:rsidRPr="00E932EC" w:rsidRDefault="00E541EE" w:rsidP="00A84BB5">
            <w:pPr>
              <w:widowControl w:val="0"/>
              <w:autoSpaceDE w:val="0"/>
              <w:autoSpaceDN w:val="0"/>
              <w:ind w:left="44" w:right="32"/>
              <w:jc w:val="center"/>
              <w:rPr>
                <w:b/>
                <w:sz w:val="14"/>
                <w:szCs w:val="14"/>
              </w:rPr>
            </w:pPr>
            <w:r w:rsidRPr="00E932EC">
              <w:rPr>
                <w:b/>
                <w:sz w:val="14"/>
                <w:szCs w:val="14"/>
              </w:rPr>
              <w:t>Početna</w:t>
            </w:r>
            <w:r w:rsidRPr="00E932EC">
              <w:rPr>
                <w:b/>
                <w:spacing w:val="1"/>
                <w:sz w:val="14"/>
                <w:szCs w:val="14"/>
              </w:rPr>
              <w:t xml:space="preserve"> </w:t>
            </w:r>
            <w:r w:rsidRPr="00E932EC">
              <w:rPr>
                <w:b/>
                <w:sz w:val="14"/>
                <w:szCs w:val="14"/>
              </w:rPr>
              <w:t>vrijednost 2025.</w:t>
            </w:r>
            <w:r w:rsidRPr="00E932EC">
              <w:rPr>
                <w:b/>
                <w:spacing w:val="-34"/>
                <w:sz w:val="14"/>
                <w:szCs w:val="14"/>
              </w:rPr>
              <w:t xml:space="preserve"> </w:t>
            </w:r>
          </w:p>
        </w:tc>
        <w:tc>
          <w:tcPr>
            <w:tcW w:w="947" w:type="pct"/>
            <w:gridSpan w:val="3"/>
            <w:tcBorders>
              <w:bottom w:val="single" w:sz="4" w:space="0" w:color="auto"/>
            </w:tcBorders>
            <w:vAlign w:val="center"/>
          </w:tcPr>
          <w:p w14:paraId="45B2F08E" w14:textId="77777777" w:rsidR="00E541EE" w:rsidRPr="00E932EC" w:rsidRDefault="00E541EE" w:rsidP="00A84BB5">
            <w:pPr>
              <w:widowControl w:val="0"/>
              <w:autoSpaceDE w:val="0"/>
              <w:autoSpaceDN w:val="0"/>
              <w:ind w:left="70" w:right="56"/>
              <w:jc w:val="center"/>
              <w:rPr>
                <w:b/>
                <w:sz w:val="14"/>
                <w:szCs w:val="14"/>
              </w:rPr>
            </w:pPr>
            <w:r w:rsidRPr="00E932EC">
              <w:rPr>
                <w:b/>
                <w:sz w:val="14"/>
                <w:szCs w:val="14"/>
              </w:rPr>
              <w:t>Ciljna</w:t>
            </w:r>
            <w:r w:rsidRPr="00E932EC">
              <w:rPr>
                <w:b/>
                <w:spacing w:val="1"/>
                <w:sz w:val="14"/>
                <w:szCs w:val="14"/>
              </w:rPr>
              <w:t xml:space="preserve"> </w:t>
            </w:r>
            <w:r w:rsidRPr="00E932EC">
              <w:rPr>
                <w:b/>
                <w:sz w:val="14"/>
                <w:szCs w:val="14"/>
              </w:rPr>
              <w:t>vrijednost</w:t>
            </w:r>
            <w:r w:rsidRPr="00E932EC">
              <w:rPr>
                <w:b/>
                <w:spacing w:val="-34"/>
                <w:sz w:val="14"/>
                <w:szCs w:val="14"/>
              </w:rPr>
              <w:t xml:space="preserve"> </w:t>
            </w:r>
          </w:p>
        </w:tc>
      </w:tr>
      <w:tr w:rsidR="00E541EE" w:rsidRPr="00D236FA" w14:paraId="3C68278E" w14:textId="77777777" w:rsidTr="00A84BB5">
        <w:trPr>
          <w:trHeight w:val="61"/>
        </w:trPr>
        <w:tc>
          <w:tcPr>
            <w:tcW w:w="525" w:type="pct"/>
            <w:vMerge/>
            <w:tcBorders>
              <w:top w:val="single" w:sz="4" w:space="0" w:color="auto"/>
              <w:bottom w:val="single" w:sz="4" w:space="0" w:color="auto"/>
            </w:tcBorders>
            <w:vAlign w:val="center"/>
          </w:tcPr>
          <w:p w14:paraId="69BECF4C" w14:textId="77777777" w:rsidR="00E541EE" w:rsidRPr="00E932EC" w:rsidRDefault="00E541EE" w:rsidP="00A84BB5">
            <w:pPr>
              <w:widowControl w:val="0"/>
              <w:autoSpaceDE w:val="0"/>
              <w:autoSpaceDN w:val="0"/>
              <w:spacing w:before="49"/>
              <w:jc w:val="center"/>
              <w:rPr>
                <w:b/>
                <w:sz w:val="14"/>
                <w:szCs w:val="14"/>
              </w:rPr>
            </w:pPr>
          </w:p>
        </w:tc>
        <w:tc>
          <w:tcPr>
            <w:tcW w:w="513" w:type="pct"/>
            <w:vMerge/>
            <w:tcBorders>
              <w:top w:val="single" w:sz="4" w:space="0" w:color="auto"/>
              <w:bottom w:val="single" w:sz="4" w:space="0" w:color="auto"/>
            </w:tcBorders>
            <w:vAlign w:val="center"/>
          </w:tcPr>
          <w:p w14:paraId="58238162" w14:textId="77777777" w:rsidR="00E541EE" w:rsidRPr="00E932EC" w:rsidRDefault="00E541EE" w:rsidP="00A84BB5">
            <w:pPr>
              <w:widowControl w:val="0"/>
              <w:autoSpaceDE w:val="0"/>
              <w:autoSpaceDN w:val="0"/>
              <w:spacing w:line="195" w:lineRule="exact"/>
              <w:ind w:left="44" w:right="35"/>
              <w:jc w:val="center"/>
              <w:rPr>
                <w:b/>
                <w:sz w:val="14"/>
                <w:szCs w:val="14"/>
              </w:rPr>
            </w:pPr>
          </w:p>
        </w:tc>
        <w:tc>
          <w:tcPr>
            <w:tcW w:w="577" w:type="pct"/>
            <w:vMerge/>
            <w:tcBorders>
              <w:top w:val="single" w:sz="4" w:space="0" w:color="auto"/>
              <w:bottom w:val="single" w:sz="4" w:space="0" w:color="auto"/>
            </w:tcBorders>
            <w:vAlign w:val="center"/>
          </w:tcPr>
          <w:p w14:paraId="65276038" w14:textId="77777777" w:rsidR="00E541EE" w:rsidRPr="00E932EC" w:rsidRDefault="00E541EE" w:rsidP="00A84BB5">
            <w:pPr>
              <w:widowControl w:val="0"/>
              <w:autoSpaceDE w:val="0"/>
              <w:autoSpaceDN w:val="0"/>
              <w:ind w:left="125" w:right="114"/>
              <w:jc w:val="center"/>
              <w:rPr>
                <w:b/>
                <w:spacing w:val="-1"/>
                <w:sz w:val="14"/>
                <w:szCs w:val="14"/>
              </w:rPr>
            </w:pPr>
          </w:p>
        </w:tc>
        <w:tc>
          <w:tcPr>
            <w:tcW w:w="513" w:type="pct"/>
            <w:vMerge/>
            <w:tcBorders>
              <w:top w:val="single" w:sz="4" w:space="0" w:color="auto"/>
              <w:bottom w:val="single" w:sz="4" w:space="0" w:color="auto"/>
            </w:tcBorders>
            <w:vAlign w:val="center"/>
          </w:tcPr>
          <w:p w14:paraId="32A33975" w14:textId="77777777" w:rsidR="00E541EE" w:rsidRPr="00E932EC" w:rsidRDefault="00E541EE" w:rsidP="00A84BB5">
            <w:pPr>
              <w:widowControl w:val="0"/>
              <w:autoSpaceDE w:val="0"/>
              <w:autoSpaceDN w:val="0"/>
              <w:ind w:left="179"/>
              <w:jc w:val="center"/>
              <w:rPr>
                <w:b/>
                <w:sz w:val="14"/>
                <w:szCs w:val="14"/>
              </w:rPr>
            </w:pPr>
          </w:p>
        </w:tc>
        <w:tc>
          <w:tcPr>
            <w:tcW w:w="513" w:type="pct"/>
            <w:vMerge/>
            <w:tcBorders>
              <w:top w:val="single" w:sz="4" w:space="0" w:color="auto"/>
              <w:bottom w:val="single" w:sz="4" w:space="0" w:color="auto"/>
            </w:tcBorders>
            <w:vAlign w:val="center"/>
          </w:tcPr>
          <w:p w14:paraId="3AE013AC" w14:textId="77777777" w:rsidR="00E541EE" w:rsidRPr="00E932EC" w:rsidRDefault="00E541EE" w:rsidP="00A84BB5">
            <w:pPr>
              <w:widowControl w:val="0"/>
              <w:autoSpaceDE w:val="0"/>
              <w:autoSpaceDN w:val="0"/>
              <w:ind w:left="70" w:right="60"/>
              <w:jc w:val="center"/>
              <w:rPr>
                <w:b/>
                <w:sz w:val="14"/>
                <w:szCs w:val="14"/>
              </w:rPr>
            </w:pPr>
          </w:p>
        </w:tc>
        <w:tc>
          <w:tcPr>
            <w:tcW w:w="472" w:type="pct"/>
            <w:vMerge/>
            <w:tcBorders>
              <w:top w:val="single" w:sz="4" w:space="0" w:color="auto"/>
              <w:bottom w:val="single" w:sz="4" w:space="0" w:color="auto"/>
            </w:tcBorders>
            <w:vAlign w:val="center"/>
          </w:tcPr>
          <w:p w14:paraId="415F82FA" w14:textId="77777777" w:rsidR="00E541EE" w:rsidRPr="00E932EC" w:rsidRDefault="00E541EE" w:rsidP="00A84BB5">
            <w:pPr>
              <w:widowControl w:val="0"/>
              <w:autoSpaceDE w:val="0"/>
              <w:autoSpaceDN w:val="0"/>
              <w:ind w:left="311"/>
              <w:jc w:val="center"/>
              <w:rPr>
                <w:b/>
                <w:sz w:val="14"/>
                <w:szCs w:val="14"/>
              </w:rPr>
            </w:pPr>
          </w:p>
        </w:tc>
        <w:tc>
          <w:tcPr>
            <w:tcW w:w="490" w:type="pct"/>
            <w:vMerge/>
            <w:tcBorders>
              <w:top w:val="single" w:sz="4" w:space="0" w:color="auto"/>
              <w:bottom w:val="single" w:sz="4" w:space="0" w:color="auto"/>
            </w:tcBorders>
            <w:vAlign w:val="center"/>
          </w:tcPr>
          <w:p w14:paraId="08309454" w14:textId="77777777" w:rsidR="00E541EE" w:rsidRPr="00E932EC" w:rsidRDefault="00E541EE" w:rsidP="00A84BB5">
            <w:pPr>
              <w:widowControl w:val="0"/>
              <w:autoSpaceDE w:val="0"/>
              <w:autoSpaceDN w:val="0"/>
              <w:ind w:left="174" w:right="97" w:hanging="44"/>
              <w:jc w:val="center"/>
              <w:rPr>
                <w:b/>
                <w:sz w:val="14"/>
                <w:szCs w:val="14"/>
              </w:rPr>
            </w:pPr>
          </w:p>
        </w:tc>
        <w:tc>
          <w:tcPr>
            <w:tcW w:w="449" w:type="pct"/>
            <w:vMerge/>
            <w:tcBorders>
              <w:top w:val="single" w:sz="4" w:space="0" w:color="auto"/>
              <w:bottom w:val="single" w:sz="4" w:space="0" w:color="auto"/>
            </w:tcBorders>
            <w:vAlign w:val="center"/>
          </w:tcPr>
          <w:p w14:paraId="4AB71662" w14:textId="77777777" w:rsidR="00E541EE" w:rsidRPr="00E932EC" w:rsidRDefault="00E541EE" w:rsidP="00A84BB5">
            <w:pPr>
              <w:widowControl w:val="0"/>
              <w:autoSpaceDE w:val="0"/>
              <w:autoSpaceDN w:val="0"/>
              <w:ind w:left="44" w:right="32"/>
              <w:jc w:val="center"/>
              <w:rPr>
                <w:b/>
                <w:sz w:val="14"/>
                <w:szCs w:val="14"/>
              </w:rPr>
            </w:pPr>
          </w:p>
        </w:tc>
        <w:tc>
          <w:tcPr>
            <w:tcW w:w="321" w:type="pct"/>
            <w:tcBorders>
              <w:top w:val="single" w:sz="4" w:space="0" w:color="auto"/>
              <w:bottom w:val="single" w:sz="4" w:space="0" w:color="auto"/>
            </w:tcBorders>
            <w:vAlign w:val="center"/>
          </w:tcPr>
          <w:p w14:paraId="6CE28C75" w14:textId="77777777" w:rsidR="00E541EE" w:rsidRPr="00E932EC" w:rsidRDefault="00E541EE" w:rsidP="00A84BB5">
            <w:pPr>
              <w:widowControl w:val="0"/>
              <w:autoSpaceDE w:val="0"/>
              <w:autoSpaceDN w:val="0"/>
              <w:ind w:left="87" w:right="70"/>
              <w:jc w:val="center"/>
              <w:rPr>
                <w:b/>
                <w:sz w:val="14"/>
                <w:szCs w:val="14"/>
              </w:rPr>
            </w:pPr>
            <w:r w:rsidRPr="00E932EC">
              <w:rPr>
                <w:b/>
                <w:sz w:val="14"/>
                <w:szCs w:val="14"/>
              </w:rPr>
              <w:t>za 2026.</w:t>
            </w:r>
          </w:p>
        </w:tc>
        <w:tc>
          <w:tcPr>
            <w:tcW w:w="321" w:type="pct"/>
            <w:tcBorders>
              <w:top w:val="single" w:sz="4" w:space="0" w:color="auto"/>
              <w:bottom w:val="single" w:sz="4" w:space="0" w:color="auto"/>
            </w:tcBorders>
            <w:vAlign w:val="center"/>
          </w:tcPr>
          <w:p w14:paraId="4A33630F" w14:textId="77777777" w:rsidR="00E541EE" w:rsidRPr="00E932EC" w:rsidRDefault="00E541EE" w:rsidP="00A84BB5">
            <w:pPr>
              <w:widowControl w:val="0"/>
              <w:autoSpaceDE w:val="0"/>
              <w:autoSpaceDN w:val="0"/>
              <w:ind w:left="75" w:right="61"/>
              <w:jc w:val="center"/>
              <w:rPr>
                <w:b/>
                <w:sz w:val="14"/>
                <w:szCs w:val="14"/>
              </w:rPr>
            </w:pPr>
            <w:r w:rsidRPr="00E932EC">
              <w:rPr>
                <w:b/>
                <w:sz w:val="14"/>
                <w:szCs w:val="14"/>
              </w:rPr>
              <w:t>za</w:t>
            </w:r>
          </w:p>
          <w:p w14:paraId="306C0859" w14:textId="77777777" w:rsidR="00E541EE" w:rsidRPr="00E932EC" w:rsidRDefault="00E541EE" w:rsidP="00A84BB5">
            <w:pPr>
              <w:widowControl w:val="0"/>
              <w:autoSpaceDE w:val="0"/>
              <w:autoSpaceDN w:val="0"/>
              <w:ind w:left="75" w:right="61"/>
              <w:jc w:val="center"/>
              <w:rPr>
                <w:b/>
                <w:sz w:val="14"/>
                <w:szCs w:val="14"/>
              </w:rPr>
            </w:pPr>
            <w:r w:rsidRPr="00E932EC">
              <w:rPr>
                <w:b/>
                <w:sz w:val="14"/>
                <w:szCs w:val="14"/>
              </w:rPr>
              <w:t>2027.</w:t>
            </w:r>
          </w:p>
        </w:tc>
        <w:tc>
          <w:tcPr>
            <w:tcW w:w="305" w:type="pct"/>
            <w:tcBorders>
              <w:top w:val="single" w:sz="4" w:space="0" w:color="auto"/>
              <w:bottom w:val="single" w:sz="4" w:space="0" w:color="auto"/>
            </w:tcBorders>
            <w:vAlign w:val="center"/>
          </w:tcPr>
          <w:p w14:paraId="3B890644" w14:textId="77777777" w:rsidR="00E541EE" w:rsidRPr="00E932EC" w:rsidRDefault="00E541EE" w:rsidP="00A84BB5">
            <w:pPr>
              <w:widowControl w:val="0"/>
              <w:autoSpaceDE w:val="0"/>
              <w:autoSpaceDN w:val="0"/>
              <w:ind w:left="70" w:right="56"/>
              <w:jc w:val="center"/>
              <w:rPr>
                <w:b/>
                <w:sz w:val="14"/>
                <w:szCs w:val="14"/>
              </w:rPr>
            </w:pPr>
            <w:r w:rsidRPr="00E932EC">
              <w:rPr>
                <w:b/>
                <w:sz w:val="14"/>
                <w:szCs w:val="14"/>
              </w:rPr>
              <w:t>za</w:t>
            </w:r>
          </w:p>
          <w:p w14:paraId="12C22091" w14:textId="77777777" w:rsidR="00E541EE" w:rsidRPr="00E932EC" w:rsidRDefault="00E541EE" w:rsidP="00A84BB5">
            <w:pPr>
              <w:widowControl w:val="0"/>
              <w:autoSpaceDE w:val="0"/>
              <w:autoSpaceDN w:val="0"/>
              <w:ind w:left="70" w:right="56"/>
              <w:jc w:val="center"/>
              <w:rPr>
                <w:b/>
                <w:sz w:val="14"/>
                <w:szCs w:val="14"/>
              </w:rPr>
            </w:pPr>
            <w:r w:rsidRPr="00E932EC">
              <w:rPr>
                <w:b/>
                <w:sz w:val="14"/>
                <w:szCs w:val="14"/>
              </w:rPr>
              <w:t>2028.</w:t>
            </w:r>
          </w:p>
        </w:tc>
      </w:tr>
      <w:tr w:rsidR="00E541EE" w:rsidRPr="00D236FA" w14:paraId="2B78DA10" w14:textId="77777777" w:rsidTr="00A84BB5">
        <w:trPr>
          <w:trHeight w:val="983"/>
        </w:trPr>
        <w:tc>
          <w:tcPr>
            <w:tcW w:w="525" w:type="pct"/>
            <w:vMerge w:val="restart"/>
            <w:tcBorders>
              <w:top w:val="single" w:sz="4" w:space="0" w:color="auto"/>
              <w:bottom w:val="single" w:sz="4" w:space="0" w:color="auto"/>
            </w:tcBorders>
            <w:vAlign w:val="center"/>
          </w:tcPr>
          <w:p w14:paraId="02C23401" w14:textId="77777777" w:rsidR="00E541EE" w:rsidRPr="00E932EC" w:rsidRDefault="00E541EE" w:rsidP="00A84BB5">
            <w:pPr>
              <w:widowControl w:val="0"/>
              <w:autoSpaceDE w:val="0"/>
              <w:autoSpaceDN w:val="0"/>
              <w:spacing w:before="49"/>
              <w:ind w:right="35"/>
              <w:jc w:val="center"/>
              <w:rPr>
                <w:sz w:val="14"/>
                <w:szCs w:val="14"/>
              </w:rPr>
            </w:pPr>
            <w:r w:rsidRPr="00E932EC">
              <w:rPr>
                <w:sz w:val="14"/>
                <w:szCs w:val="14"/>
              </w:rPr>
              <w:t>Provedbeni program Grada Rovinja-Rovigno za razdoblje 2025.-2029. godine</w:t>
            </w:r>
          </w:p>
        </w:tc>
        <w:tc>
          <w:tcPr>
            <w:tcW w:w="513" w:type="pct"/>
            <w:vMerge w:val="restart"/>
            <w:tcBorders>
              <w:top w:val="single" w:sz="4" w:space="0" w:color="auto"/>
              <w:bottom w:val="single" w:sz="4" w:space="0" w:color="auto"/>
            </w:tcBorders>
            <w:vAlign w:val="center"/>
          </w:tcPr>
          <w:p w14:paraId="6F51AD6D" w14:textId="77777777" w:rsidR="00E541EE" w:rsidRPr="00E932EC" w:rsidRDefault="00E541EE" w:rsidP="00A84BB5">
            <w:pPr>
              <w:widowControl w:val="0"/>
              <w:autoSpaceDE w:val="0"/>
              <w:autoSpaceDN w:val="0"/>
              <w:ind w:right="19"/>
              <w:jc w:val="center"/>
              <w:rPr>
                <w:sz w:val="14"/>
                <w:szCs w:val="14"/>
              </w:rPr>
            </w:pPr>
          </w:p>
          <w:p w14:paraId="2B772F1B" w14:textId="77777777" w:rsidR="00E541EE" w:rsidRPr="00E932EC" w:rsidRDefault="00E541EE" w:rsidP="00A84BB5">
            <w:pPr>
              <w:widowControl w:val="0"/>
              <w:autoSpaceDE w:val="0"/>
              <w:autoSpaceDN w:val="0"/>
              <w:ind w:left="28" w:right="19"/>
              <w:jc w:val="center"/>
              <w:rPr>
                <w:sz w:val="14"/>
                <w:szCs w:val="14"/>
                <w:highlight w:val="yellow"/>
              </w:rPr>
            </w:pPr>
            <w:r w:rsidRPr="00E932EC">
              <w:rPr>
                <w:sz w:val="14"/>
                <w:szCs w:val="14"/>
              </w:rPr>
              <w:t>2.1. Osiguranje visokih standarda i dostupnosti obrazovanja</w:t>
            </w:r>
          </w:p>
        </w:tc>
        <w:tc>
          <w:tcPr>
            <w:tcW w:w="577" w:type="pct"/>
            <w:vMerge w:val="restart"/>
            <w:tcBorders>
              <w:top w:val="single" w:sz="4" w:space="0" w:color="auto"/>
              <w:bottom w:val="single" w:sz="4" w:space="0" w:color="auto"/>
            </w:tcBorders>
            <w:shd w:val="clear" w:color="auto" w:fill="FFF1CC"/>
            <w:vAlign w:val="center"/>
          </w:tcPr>
          <w:p w14:paraId="1656D6A2" w14:textId="77777777" w:rsidR="00E541EE" w:rsidRPr="00E932EC" w:rsidRDefault="00E541EE" w:rsidP="00A84BB5">
            <w:pPr>
              <w:widowControl w:val="0"/>
              <w:autoSpaceDE w:val="0"/>
              <w:autoSpaceDN w:val="0"/>
              <w:ind w:right="63"/>
              <w:jc w:val="center"/>
              <w:rPr>
                <w:sz w:val="14"/>
                <w:szCs w:val="14"/>
              </w:rPr>
            </w:pPr>
          </w:p>
          <w:p w14:paraId="1C74C4B1" w14:textId="77777777" w:rsidR="00E541EE" w:rsidRPr="00E932EC" w:rsidRDefault="00E541EE" w:rsidP="00A84BB5">
            <w:pPr>
              <w:widowControl w:val="0"/>
              <w:autoSpaceDE w:val="0"/>
              <w:autoSpaceDN w:val="0"/>
              <w:ind w:left="74" w:right="63" w:hanging="4"/>
              <w:jc w:val="center"/>
              <w:rPr>
                <w:sz w:val="14"/>
                <w:szCs w:val="14"/>
                <w:highlight w:val="yellow"/>
              </w:rPr>
            </w:pPr>
            <w:r w:rsidRPr="00E932EC">
              <w:rPr>
                <w:sz w:val="14"/>
                <w:szCs w:val="14"/>
              </w:rPr>
              <w:t>Program 1028: Javne potrebe u tehničkoj kulturi</w:t>
            </w:r>
          </w:p>
        </w:tc>
        <w:tc>
          <w:tcPr>
            <w:tcW w:w="513" w:type="pct"/>
            <w:vMerge w:val="restart"/>
            <w:tcBorders>
              <w:top w:val="single" w:sz="4" w:space="0" w:color="auto"/>
              <w:bottom w:val="single" w:sz="4" w:space="0" w:color="auto"/>
            </w:tcBorders>
            <w:vAlign w:val="center"/>
          </w:tcPr>
          <w:p w14:paraId="46AA8AD9" w14:textId="77777777" w:rsidR="00E541EE" w:rsidRPr="00E932EC" w:rsidRDefault="00E541EE" w:rsidP="00A84BB5">
            <w:pPr>
              <w:widowControl w:val="0"/>
              <w:autoSpaceDE w:val="0"/>
              <w:autoSpaceDN w:val="0"/>
              <w:ind w:right="11"/>
              <w:jc w:val="center"/>
              <w:rPr>
                <w:sz w:val="14"/>
                <w:szCs w:val="14"/>
              </w:rPr>
            </w:pPr>
          </w:p>
          <w:p w14:paraId="179D8ACA" w14:textId="77777777" w:rsidR="00E541EE" w:rsidRPr="00E932EC" w:rsidRDefault="00E541EE" w:rsidP="00A84BB5">
            <w:pPr>
              <w:widowControl w:val="0"/>
              <w:autoSpaceDE w:val="0"/>
              <w:autoSpaceDN w:val="0"/>
              <w:ind w:left="29" w:right="11" w:firstLine="9"/>
              <w:jc w:val="center"/>
              <w:rPr>
                <w:sz w:val="14"/>
                <w:szCs w:val="14"/>
                <w:highlight w:val="yellow"/>
              </w:rPr>
            </w:pPr>
            <w:r w:rsidRPr="00E932EC">
              <w:rPr>
                <w:sz w:val="14"/>
                <w:szCs w:val="14"/>
              </w:rPr>
              <w:t>Popularizacija znanosti i tehničke kulture</w:t>
            </w:r>
          </w:p>
        </w:tc>
        <w:tc>
          <w:tcPr>
            <w:tcW w:w="513" w:type="pct"/>
            <w:vMerge w:val="restart"/>
            <w:tcBorders>
              <w:top w:val="single" w:sz="4" w:space="0" w:color="auto"/>
              <w:bottom w:val="single" w:sz="4" w:space="0" w:color="auto"/>
            </w:tcBorders>
            <w:shd w:val="clear" w:color="auto" w:fill="FFF1CC"/>
            <w:vAlign w:val="center"/>
          </w:tcPr>
          <w:p w14:paraId="11E226B3" w14:textId="77777777" w:rsidR="00E541EE" w:rsidRPr="00E932EC" w:rsidRDefault="00E541EE" w:rsidP="00A84BB5">
            <w:pPr>
              <w:widowControl w:val="0"/>
              <w:autoSpaceDE w:val="0"/>
              <w:autoSpaceDN w:val="0"/>
              <w:ind w:left="142"/>
              <w:jc w:val="center"/>
              <w:rPr>
                <w:sz w:val="14"/>
                <w:szCs w:val="14"/>
              </w:rPr>
            </w:pPr>
          </w:p>
          <w:p w14:paraId="2BF36729" w14:textId="77777777" w:rsidR="00E541EE" w:rsidRPr="00E932EC" w:rsidRDefault="00E541EE" w:rsidP="00A84BB5">
            <w:pPr>
              <w:widowControl w:val="0"/>
              <w:autoSpaceDE w:val="0"/>
              <w:autoSpaceDN w:val="0"/>
              <w:ind w:left="142"/>
              <w:jc w:val="center"/>
              <w:rPr>
                <w:sz w:val="14"/>
                <w:szCs w:val="14"/>
              </w:rPr>
            </w:pPr>
          </w:p>
          <w:p w14:paraId="33C96A56" w14:textId="77777777" w:rsidR="00E541EE" w:rsidRPr="00E932EC" w:rsidRDefault="00E541EE" w:rsidP="00A84BB5">
            <w:pPr>
              <w:widowControl w:val="0"/>
              <w:autoSpaceDE w:val="0"/>
              <w:autoSpaceDN w:val="0"/>
              <w:ind w:left="142"/>
              <w:jc w:val="center"/>
              <w:rPr>
                <w:sz w:val="14"/>
                <w:szCs w:val="14"/>
              </w:rPr>
            </w:pPr>
          </w:p>
          <w:p w14:paraId="510121EF" w14:textId="77777777" w:rsidR="00E541EE" w:rsidRPr="00E932EC" w:rsidRDefault="00E541EE" w:rsidP="00A84BB5">
            <w:pPr>
              <w:widowControl w:val="0"/>
              <w:autoSpaceDE w:val="0"/>
              <w:autoSpaceDN w:val="0"/>
              <w:ind w:left="142"/>
              <w:jc w:val="center"/>
              <w:rPr>
                <w:sz w:val="14"/>
                <w:szCs w:val="14"/>
                <w:highlight w:val="yellow"/>
              </w:rPr>
            </w:pPr>
            <w:r w:rsidRPr="00E932EC">
              <w:rPr>
                <w:sz w:val="14"/>
                <w:szCs w:val="14"/>
              </w:rPr>
              <w:t>8.000,00</w:t>
            </w:r>
          </w:p>
        </w:tc>
        <w:tc>
          <w:tcPr>
            <w:tcW w:w="472" w:type="pct"/>
            <w:vMerge w:val="restart"/>
            <w:tcBorders>
              <w:top w:val="single" w:sz="4" w:space="0" w:color="auto"/>
              <w:bottom w:val="single" w:sz="4" w:space="0" w:color="auto"/>
            </w:tcBorders>
            <w:vAlign w:val="center"/>
          </w:tcPr>
          <w:p w14:paraId="337FAC9C" w14:textId="77777777" w:rsidR="00E541EE" w:rsidRPr="00E932EC" w:rsidRDefault="00E541EE" w:rsidP="00A84BB5">
            <w:pPr>
              <w:jc w:val="center"/>
              <w:rPr>
                <w:sz w:val="14"/>
                <w:szCs w:val="14"/>
              </w:rPr>
            </w:pPr>
          </w:p>
          <w:p w14:paraId="440DADE5" w14:textId="77777777" w:rsidR="00E541EE" w:rsidRPr="00E932EC" w:rsidRDefault="00E541EE" w:rsidP="00A84BB5">
            <w:pPr>
              <w:jc w:val="center"/>
              <w:rPr>
                <w:sz w:val="14"/>
                <w:szCs w:val="14"/>
              </w:rPr>
            </w:pPr>
            <w:r w:rsidRPr="00E932EC">
              <w:rPr>
                <w:sz w:val="14"/>
                <w:szCs w:val="14"/>
              </w:rPr>
              <w:t>A 102801: Programi udruga tehničke kulture</w:t>
            </w:r>
          </w:p>
          <w:p w14:paraId="5BD50022" w14:textId="77777777" w:rsidR="00E541EE" w:rsidRPr="00E932EC" w:rsidRDefault="00E541EE" w:rsidP="00A84BB5">
            <w:pPr>
              <w:jc w:val="center"/>
              <w:rPr>
                <w:sz w:val="14"/>
                <w:szCs w:val="14"/>
                <w:highlight w:val="yellow"/>
              </w:rPr>
            </w:pPr>
          </w:p>
        </w:tc>
        <w:tc>
          <w:tcPr>
            <w:tcW w:w="490" w:type="pct"/>
            <w:tcBorders>
              <w:top w:val="single" w:sz="4" w:space="0" w:color="auto"/>
              <w:bottom w:val="single" w:sz="4" w:space="0" w:color="auto"/>
            </w:tcBorders>
            <w:shd w:val="clear" w:color="auto" w:fill="FFF1CC"/>
            <w:vAlign w:val="center"/>
          </w:tcPr>
          <w:p w14:paraId="1572FF4E" w14:textId="77777777" w:rsidR="00E541EE" w:rsidRPr="00E932EC" w:rsidRDefault="00E541EE" w:rsidP="00A84BB5">
            <w:pPr>
              <w:widowControl w:val="0"/>
              <w:autoSpaceDE w:val="0"/>
              <w:autoSpaceDN w:val="0"/>
              <w:jc w:val="center"/>
              <w:rPr>
                <w:sz w:val="14"/>
                <w:szCs w:val="14"/>
              </w:rPr>
            </w:pPr>
            <w:r w:rsidRPr="00E932EC">
              <w:rPr>
                <w:sz w:val="14"/>
                <w:szCs w:val="14"/>
              </w:rPr>
              <w:t>Broj manifestacija</w:t>
            </w:r>
          </w:p>
          <w:p w14:paraId="77B91CD6" w14:textId="77777777" w:rsidR="00E541EE" w:rsidRPr="00E932EC" w:rsidRDefault="00E541EE" w:rsidP="00A84BB5">
            <w:pPr>
              <w:widowControl w:val="0"/>
              <w:autoSpaceDE w:val="0"/>
              <w:autoSpaceDN w:val="0"/>
              <w:jc w:val="center"/>
              <w:rPr>
                <w:sz w:val="14"/>
                <w:szCs w:val="14"/>
                <w:highlight w:val="yellow"/>
              </w:rPr>
            </w:pPr>
            <w:r w:rsidRPr="00E932EC">
              <w:rPr>
                <w:sz w:val="14"/>
                <w:szCs w:val="14"/>
              </w:rPr>
              <w:t xml:space="preserve"> i radionica</w:t>
            </w:r>
          </w:p>
        </w:tc>
        <w:tc>
          <w:tcPr>
            <w:tcW w:w="4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944537" w14:textId="77777777" w:rsidR="00E541EE" w:rsidRPr="00E932EC" w:rsidRDefault="00E541EE" w:rsidP="00A84BB5">
            <w:pPr>
              <w:jc w:val="center"/>
              <w:rPr>
                <w:sz w:val="14"/>
                <w:szCs w:val="14"/>
                <w:highlight w:val="yellow"/>
              </w:rPr>
            </w:pPr>
            <w:r w:rsidRPr="00E932EC">
              <w:rPr>
                <w:sz w:val="14"/>
                <w:szCs w:val="14"/>
              </w:rPr>
              <w:t>5</w:t>
            </w:r>
          </w:p>
        </w:tc>
        <w:tc>
          <w:tcPr>
            <w:tcW w:w="3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30120B" w14:textId="77777777" w:rsidR="00E541EE" w:rsidRPr="00E932EC" w:rsidRDefault="00E541EE" w:rsidP="00A84BB5">
            <w:pPr>
              <w:jc w:val="center"/>
              <w:rPr>
                <w:sz w:val="14"/>
                <w:szCs w:val="14"/>
              </w:rPr>
            </w:pPr>
            <w:r w:rsidRPr="00E932EC">
              <w:rPr>
                <w:sz w:val="14"/>
                <w:szCs w:val="14"/>
              </w:rPr>
              <w:t>7</w:t>
            </w:r>
          </w:p>
        </w:tc>
        <w:tc>
          <w:tcPr>
            <w:tcW w:w="3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30F946" w14:textId="77777777" w:rsidR="00E541EE" w:rsidRPr="00E932EC" w:rsidRDefault="00E541EE" w:rsidP="00A84BB5">
            <w:pPr>
              <w:jc w:val="center"/>
              <w:rPr>
                <w:sz w:val="14"/>
                <w:szCs w:val="14"/>
              </w:rPr>
            </w:pPr>
            <w:r w:rsidRPr="00E932EC">
              <w:rPr>
                <w:sz w:val="14"/>
                <w:szCs w:val="14"/>
              </w:rPr>
              <w:t>7</w:t>
            </w:r>
          </w:p>
        </w:tc>
        <w:tc>
          <w:tcPr>
            <w:tcW w:w="3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D7E4FF" w14:textId="77777777" w:rsidR="00E541EE" w:rsidRPr="00E932EC" w:rsidRDefault="00E541EE" w:rsidP="00A84BB5">
            <w:pPr>
              <w:jc w:val="center"/>
              <w:rPr>
                <w:sz w:val="14"/>
                <w:szCs w:val="14"/>
                <w:highlight w:val="yellow"/>
              </w:rPr>
            </w:pPr>
            <w:r w:rsidRPr="00E932EC">
              <w:rPr>
                <w:sz w:val="14"/>
                <w:szCs w:val="14"/>
              </w:rPr>
              <w:t>9</w:t>
            </w:r>
          </w:p>
        </w:tc>
      </w:tr>
      <w:tr w:rsidR="00E541EE" w:rsidRPr="00D236FA" w14:paraId="64963E9C" w14:textId="77777777" w:rsidTr="00A84BB5">
        <w:trPr>
          <w:trHeight w:val="1055"/>
        </w:trPr>
        <w:tc>
          <w:tcPr>
            <w:tcW w:w="525" w:type="pct"/>
            <w:vMerge/>
            <w:tcBorders>
              <w:top w:val="single" w:sz="4" w:space="0" w:color="auto"/>
              <w:bottom w:val="single" w:sz="4" w:space="0" w:color="auto"/>
            </w:tcBorders>
            <w:vAlign w:val="center"/>
          </w:tcPr>
          <w:p w14:paraId="56525FF8" w14:textId="77777777" w:rsidR="00E541EE" w:rsidRPr="00E932EC" w:rsidRDefault="00E541EE" w:rsidP="00A84BB5">
            <w:pPr>
              <w:widowControl w:val="0"/>
              <w:autoSpaceDE w:val="0"/>
              <w:autoSpaceDN w:val="0"/>
              <w:spacing w:before="49"/>
              <w:ind w:left="44" w:right="35"/>
              <w:jc w:val="center"/>
              <w:rPr>
                <w:color w:val="EE0000"/>
                <w:sz w:val="14"/>
                <w:szCs w:val="14"/>
              </w:rPr>
            </w:pPr>
          </w:p>
        </w:tc>
        <w:tc>
          <w:tcPr>
            <w:tcW w:w="513" w:type="pct"/>
            <w:vMerge/>
            <w:tcBorders>
              <w:top w:val="single" w:sz="4" w:space="0" w:color="auto"/>
              <w:bottom w:val="single" w:sz="4" w:space="0" w:color="auto"/>
            </w:tcBorders>
            <w:vAlign w:val="center"/>
          </w:tcPr>
          <w:p w14:paraId="313883DD" w14:textId="77777777" w:rsidR="00E541EE" w:rsidRPr="00E932EC" w:rsidRDefault="00E541EE" w:rsidP="00A84BB5">
            <w:pPr>
              <w:widowControl w:val="0"/>
              <w:autoSpaceDE w:val="0"/>
              <w:autoSpaceDN w:val="0"/>
              <w:jc w:val="center"/>
              <w:rPr>
                <w:color w:val="EE0000"/>
                <w:sz w:val="14"/>
                <w:szCs w:val="14"/>
              </w:rPr>
            </w:pPr>
          </w:p>
        </w:tc>
        <w:tc>
          <w:tcPr>
            <w:tcW w:w="577" w:type="pct"/>
            <w:vMerge/>
            <w:tcBorders>
              <w:top w:val="single" w:sz="4" w:space="0" w:color="auto"/>
              <w:bottom w:val="single" w:sz="4" w:space="0" w:color="auto"/>
            </w:tcBorders>
            <w:shd w:val="clear" w:color="auto" w:fill="FFF1CC"/>
            <w:vAlign w:val="center"/>
          </w:tcPr>
          <w:p w14:paraId="602775CC" w14:textId="77777777" w:rsidR="00E541EE" w:rsidRPr="00E932EC" w:rsidRDefault="00E541EE" w:rsidP="00A84BB5">
            <w:pPr>
              <w:widowControl w:val="0"/>
              <w:autoSpaceDE w:val="0"/>
              <w:autoSpaceDN w:val="0"/>
              <w:spacing w:before="7"/>
              <w:rPr>
                <w:color w:val="EE0000"/>
                <w:sz w:val="14"/>
                <w:szCs w:val="14"/>
              </w:rPr>
            </w:pPr>
          </w:p>
        </w:tc>
        <w:tc>
          <w:tcPr>
            <w:tcW w:w="513" w:type="pct"/>
            <w:vMerge/>
            <w:tcBorders>
              <w:top w:val="single" w:sz="4" w:space="0" w:color="auto"/>
              <w:bottom w:val="single" w:sz="4" w:space="0" w:color="auto"/>
            </w:tcBorders>
            <w:vAlign w:val="center"/>
          </w:tcPr>
          <w:p w14:paraId="64DEFC02" w14:textId="77777777" w:rsidR="00E541EE" w:rsidRPr="00E932EC" w:rsidRDefault="00E541EE" w:rsidP="00A84BB5">
            <w:pPr>
              <w:widowControl w:val="0"/>
              <w:autoSpaceDE w:val="0"/>
              <w:autoSpaceDN w:val="0"/>
              <w:spacing w:before="7"/>
              <w:rPr>
                <w:color w:val="EE0000"/>
                <w:sz w:val="14"/>
                <w:szCs w:val="14"/>
              </w:rPr>
            </w:pPr>
          </w:p>
        </w:tc>
        <w:tc>
          <w:tcPr>
            <w:tcW w:w="513" w:type="pct"/>
            <w:vMerge/>
            <w:tcBorders>
              <w:top w:val="single" w:sz="4" w:space="0" w:color="auto"/>
              <w:bottom w:val="single" w:sz="4" w:space="0" w:color="auto"/>
            </w:tcBorders>
            <w:shd w:val="clear" w:color="auto" w:fill="FFF1CC"/>
            <w:vAlign w:val="center"/>
          </w:tcPr>
          <w:p w14:paraId="5976BDF4" w14:textId="77777777" w:rsidR="00E541EE" w:rsidRPr="00E932EC" w:rsidRDefault="00E541EE" w:rsidP="00A84BB5">
            <w:pPr>
              <w:widowControl w:val="0"/>
              <w:autoSpaceDE w:val="0"/>
              <w:autoSpaceDN w:val="0"/>
              <w:rPr>
                <w:color w:val="EE0000"/>
                <w:sz w:val="14"/>
                <w:szCs w:val="14"/>
              </w:rPr>
            </w:pPr>
          </w:p>
        </w:tc>
        <w:tc>
          <w:tcPr>
            <w:tcW w:w="472" w:type="pct"/>
            <w:vMerge/>
            <w:tcBorders>
              <w:top w:val="single" w:sz="4" w:space="0" w:color="auto"/>
              <w:bottom w:val="single" w:sz="4" w:space="0" w:color="auto"/>
            </w:tcBorders>
            <w:vAlign w:val="center"/>
          </w:tcPr>
          <w:p w14:paraId="3B6222B1" w14:textId="77777777" w:rsidR="00E541EE" w:rsidRPr="00E932EC" w:rsidRDefault="00E541EE" w:rsidP="00A84BB5">
            <w:pPr>
              <w:rPr>
                <w:color w:val="EE0000"/>
                <w:sz w:val="14"/>
                <w:szCs w:val="14"/>
              </w:rPr>
            </w:pPr>
          </w:p>
        </w:tc>
        <w:tc>
          <w:tcPr>
            <w:tcW w:w="490" w:type="pct"/>
            <w:tcBorders>
              <w:top w:val="single" w:sz="4" w:space="0" w:color="auto"/>
              <w:right w:val="single" w:sz="4" w:space="0" w:color="auto"/>
            </w:tcBorders>
            <w:shd w:val="clear" w:color="auto" w:fill="FFF1CC"/>
            <w:vAlign w:val="center"/>
          </w:tcPr>
          <w:p w14:paraId="3ED9AD1A" w14:textId="77777777" w:rsidR="00E541EE" w:rsidRPr="00E932EC" w:rsidRDefault="00E541EE" w:rsidP="00A84BB5">
            <w:pPr>
              <w:jc w:val="center"/>
              <w:rPr>
                <w:sz w:val="14"/>
                <w:szCs w:val="14"/>
              </w:rPr>
            </w:pPr>
            <w:r w:rsidRPr="00E932EC">
              <w:rPr>
                <w:sz w:val="14"/>
                <w:szCs w:val="14"/>
              </w:rPr>
              <w:t>Broj financiranih programa</w:t>
            </w:r>
          </w:p>
        </w:tc>
        <w:tc>
          <w:tcPr>
            <w:tcW w:w="449" w:type="pct"/>
            <w:tcBorders>
              <w:top w:val="single" w:sz="4" w:space="0" w:color="auto"/>
              <w:left w:val="single" w:sz="4" w:space="0" w:color="auto"/>
              <w:right w:val="single" w:sz="4" w:space="0" w:color="auto"/>
            </w:tcBorders>
            <w:shd w:val="clear" w:color="auto" w:fill="FFFFFF" w:themeFill="background1"/>
            <w:vAlign w:val="center"/>
          </w:tcPr>
          <w:p w14:paraId="3FD29F41" w14:textId="77777777" w:rsidR="00E541EE" w:rsidRPr="00E932EC" w:rsidRDefault="00E541EE" w:rsidP="00A84BB5">
            <w:pPr>
              <w:jc w:val="center"/>
              <w:rPr>
                <w:sz w:val="14"/>
                <w:szCs w:val="14"/>
              </w:rPr>
            </w:pPr>
            <w:r w:rsidRPr="00E932EC">
              <w:rPr>
                <w:sz w:val="14"/>
                <w:szCs w:val="14"/>
              </w:rPr>
              <w:t>1</w:t>
            </w:r>
          </w:p>
        </w:tc>
        <w:tc>
          <w:tcPr>
            <w:tcW w:w="321" w:type="pct"/>
            <w:tcBorders>
              <w:top w:val="single" w:sz="4" w:space="0" w:color="auto"/>
              <w:left w:val="single" w:sz="4" w:space="0" w:color="auto"/>
              <w:right w:val="single" w:sz="4" w:space="0" w:color="auto"/>
            </w:tcBorders>
            <w:shd w:val="clear" w:color="auto" w:fill="FFFFFF" w:themeFill="background1"/>
            <w:vAlign w:val="center"/>
          </w:tcPr>
          <w:p w14:paraId="0E344E2B" w14:textId="77777777" w:rsidR="00E541EE" w:rsidRPr="00E932EC" w:rsidRDefault="00E541EE" w:rsidP="00A84BB5">
            <w:pPr>
              <w:jc w:val="center"/>
              <w:rPr>
                <w:sz w:val="14"/>
                <w:szCs w:val="14"/>
              </w:rPr>
            </w:pPr>
            <w:r w:rsidRPr="00E932EC">
              <w:rPr>
                <w:sz w:val="14"/>
                <w:szCs w:val="14"/>
              </w:rPr>
              <w:t>1</w:t>
            </w:r>
          </w:p>
        </w:tc>
        <w:tc>
          <w:tcPr>
            <w:tcW w:w="321" w:type="pct"/>
            <w:tcBorders>
              <w:top w:val="single" w:sz="4" w:space="0" w:color="auto"/>
              <w:left w:val="single" w:sz="4" w:space="0" w:color="auto"/>
              <w:right w:val="single" w:sz="4" w:space="0" w:color="auto"/>
            </w:tcBorders>
            <w:shd w:val="clear" w:color="auto" w:fill="FFFFFF" w:themeFill="background1"/>
            <w:vAlign w:val="center"/>
          </w:tcPr>
          <w:p w14:paraId="07A77B07" w14:textId="77777777" w:rsidR="00E541EE" w:rsidRPr="00E932EC" w:rsidRDefault="00E541EE" w:rsidP="00A84BB5">
            <w:pPr>
              <w:jc w:val="center"/>
              <w:rPr>
                <w:sz w:val="14"/>
                <w:szCs w:val="14"/>
              </w:rPr>
            </w:pPr>
            <w:r w:rsidRPr="00E932EC">
              <w:rPr>
                <w:sz w:val="14"/>
                <w:szCs w:val="14"/>
              </w:rPr>
              <w:t>2</w:t>
            </w:r>
          </w:p>
        </w:tc>
        <w:tc>
          <w:tcPr>
            <w:tcW w:w="305" w:type="pct"/>
            <w:tcBorders>
              <w:top w:val="single" w:sz="4" w:space="0" w:color="auto"/>
              <w:left w:val="single" w:sz="4" w:space="0" w:color="auto"/>
              <w:right w:val="single" w:sz="4" w:space="0" w:color="auto"/>
            </w:tcBorders>
            <w:shd w:val="clear" w:color="auto" w:fill="FFFFFF" w:themeFill="background1"/>
            <w:vAlign w:val="center"/>
          </w:tcPr>
          <w:p w14:paraId="3F275FE2" w14:textId="77777777" w:rsidR="00E541EE" w:rsidRPr="00E932EC" w:rsidRDefault="00E541EE" w:rsidP="00A84BB5">
            <w:pPr>
              <w:jc w:val="center"/>
              <w:rPr>
                <w:sz w:val="14"/>
                <w:szCs w:val="14"/>
              </w:rPr>
            </w:pPr>
            <w:r w:rsidRPr="00E932EC">
              <w:rPr>
                <w:sz w:val="14"/>
                <w:szCs w:val="14"/>
              </w:rPr>
              <w:t>2</w:t>
            </w:r>
          </w:p>
        </w:tc>
      </w:tr>
    </w:tbl>
    <w:p w14:paraId="72ECDAE2" w14:textId="77777777" w:rsidR="00E541EE" w:rsidRDefault="00E541EE" w:rsidP="00E541EE">
      <w:pPr>
        <w:jc w:val="both"/>
        <w:rPr>
          <w:rFonts w:ascii="Arial" w:eastAsia="Times New Roman" w:hAnsi="Arial" w:cs="Arial"/>
          <w:b/>
          <w:bCs/>
          <w:sz w:val="24"/>
          <w:szCs w:val="24"/>
        </w:rPr>
      </w:pPr>
    </w:p>
    <w:p w14:paraId="039605BE" w14:textId="77777777" w:rsidR="00E541EE" w:rsidRDefault="00E541EE" w:rsidP="00E541E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9E9E9"/>
        <w:jc w:val="both"/>
        <w:rPr>
          <w:rFonts w:ascii="Arial" w:eastAsia="Times New Roman" w:hAnsi="Arial" w:cs="Arial"/>
          <w:b/>
          <w:bCs/>
          <w:sz w:val="24"/>
          <w:szCs w:val="24"/>
        </w:rPr>
      </w:pPr>
      <w:r w:rsidRPr="00AC2206">
        <w:rPr>
          <w:rFonts w:ascii="Arial" w:eastAsia="Times New Roman" w:hAnsi="Arial" w:cs="Arial"/>
          <w:b/>
          <w:bCs/>
          <w:sz w:val="24"/>
          <w:szCs w:val="24"/>
        </w:rPr>
        <w:t xml:space="preserve">A 102801: Programi udruga tehničke kulture = </w:t>
      </w:r>
      <w:r>
        <w:rPr>
          <w:rFonts w:ascii="Arial" w:eastAsia="Times New Roman" w:hAnsi="Arial" w:cs="Arial"/>
          <w:b/>
          <w:bCs/>
          <w:sz w:val="24"/>
          <w:szCs w:val="24"/>
        </w:rPr>
        <w:t>8.000</w:t>
      </w:r>
      <w:r w:rsidRPr="00AC2206">
        <w:rPr>
          <w:rFonts w:ascii="Arial" w:eastAsia="Times New Roman" w:hAnsi="Arial" w:cs="Arial"/>
          <w:b/>
          <w:bCs/>
          <w:sz w:val="24"/>
          <w:szCs w:val="24"/>
        </w:rPr>
        <w:t>,00 EUR</w:t>
      </w:r>
    </w:p>
    <w:p w14:paraId="2D670465"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Zakonska osnova</w:t>
      </w:r>
      <w:r w:rsidRPr="00AC2206">
        <w:rPr>
          <w:rFonts w:ascii="Arial" w:eastAsia="Times New Roman" w:hAnsi="Arial" w:cs="Arial"/>
          <w:b/>
          <w:sz w:val="24"/>
          <w:szCs w:val="24"/>
        </w:rPr>
        <w:t>:</w:t>
      </w:r>
      <w:r w:rsidRPr="00AC2206">
        <w:rPr>
          <w:rFonts w:ascii="Arial" w:eastAsia="Times New Roman" w:hAnsi="Arial" w:cs="Arial"/>
          <w:sz w:val="24"/>
          <w:szCs w:val="24"/>
        </w:rPr>
        <w:t xml:space="preserve"> Zakon o lokalnoj i područnoj (regionalnoj) samoupravi, Zakon o udrugama, Uredba o kriterijima, mjerilima i postupcima financiranja i ugovaranja programa i projekata od interesa za opće dobro koje provode udruge.</w:t>
      </w:r>
    </w:p>
    <w:p w14:paraId="64205D46"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sz w:val="24"/>
          <w:szCs w:val="24"/>
        </w:rPr>
        <w:t>Opis:</w:t>
      </w:r>
      <w:r w:rsidRPr="00AC2206">
        <w:rPr>
          <w:rFonts w:ascii="Arial" w:eastAsia="Times New Roman" w:hAnsi="Arial" w:cs="Arial"/>
          <w:sz w:val="24"/>
          <w:szCs w:val="24"/>
        </w:rPr>
        <w:t xml:space="preserve"> ovim sredstvima financirat će se, sukladno Uredbi o kriterijima, mjerilima i postupcima financiranja i ugovaranja programa i projekata od interesa za opće dobro koje provode udruge čije je područje djelovanja tehnička kultura.</w:t>
      </w:r>
    </w:p>
    <w:p w14:paraId="48A72451"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Opći cilj:</w:t>
      </w:r>
      <w:r w:rsidRPr="00AC2206">
        <w:rPr>
          <w:rFonts w:ascii="Arial" w:eastAsia="Times New Roman" w:hAnsi="Arial" w:cs="Arial"/>
          <w:sz w:val="24"/>
          <w:szCs w:val="24"/>
        </w:rPr>
        <w:t xml:space="preserve"> ostvarivanje aktivnosti udruga tehničke kulture.</w:t>
      </w:r>
    </w:p>
    <w:p w14:paraId="4F2901C1"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Pokazatelj uspješnosti:</w:t>
      </w:r>
      <w:r w:rsidRPr="00AC2206">
        <w:rPr>
          <w:rFonts w:ascii="Arial" w:eastAsia="Times New Roman" w:hAnsi="Arial" w:cs="Arial"/>
          <w:sz w:val="24"/>
          <w:szCs w:val="24"/>
        </w:rPr>
        <w:t xml:space="preserve"> realizirani programi udruga.</w:t>
      </w:r>
    </w:p>
    <w:p w14:paraId="73352A25" w14:textId="77777777" w:rsidR="00E541EE" w:rsidRPr="00AC2206" w:rsidRDefault="00E541EE" w:rsidP="00E541EE">
      <w:pPr>
        <w:jc w:val="both"/>
        <w:rPr>
          <w:rFonts w:ascii="Arial" w:eastAsia="Times New Roman" w:hAnsi="Arial" w:cs="Arial"/>
          <w:sz w:val="24"/>
          <w:szCs w:val="24"/>
        </w:rPr>
      </w:pPr>
    </w:p>
    <w:p w14:paraId="599EAFE5"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FFFF80"/>
        <w:rPr>
          <w:rFonts w:ascii="Arial" w:eastAsia="Times New Roman" w:hAnsi="Arial" w:cs="Arial"/>
          <w:b/>
          <w:bCs/>
          <w:sz w:val="24"/>
          <w:szCs w:val="24"/>
        </w:rPr>
      </w:pPr>
      <w:r w:rsidRPr="00AC2206">
        <w:rPr>
          <w:rFonts w:ascii="Arial" w:eastAsia="Times New Roman" w:hAnsi="Arial" w:cs="Arial"/>
          <w:b/>
          <w:bCs/>
          <w:sz w:val="24"/>
          <w:szCs w:val="24"/>
        </w:rPr>
        <w:t>Program 1029: Javne potrebe u sportu = 4.600,00 EUR</w:t>
      </w:r>
    </w:p>
    <w:p w14:paraId="37CED81B" w14:textId="77777777" w:rsidR="00E541EE" w:rsidRPr="00AC2206" w:rsidRDefault="00E541EE" w:rsidP="00E541EE">
      <w:pPr>
        <w:jc w:val="both"/>
        <w:rPr>
          <w:rFonts w:ascii="Arial" w:eastAsia="Times New Roman" w:hAnsi="Arial" w:cs="Arial"/>
          <w:sz w:val="24"/>
          <w:szCs w:val="24"/>
        </w:rPr>
      </w:pPr>
    </w:p>
    <w:p w14:paraId="15455D93"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AC2206">
        <w:rPr>
          <w:rFonts w:ascii="Arial" w:eastAsia="Times New Roman" w:hAnsi="Arial" w:cs="Arial"/>
          <w:b/>
          <w:bCs/>
          <w:sz w:val="24"/>
          <w:szCs w:val="24"/>
        </w:rPr>
        <w:t>A 102901: Sportske manifestacije = 4.600,00 EUR</w:t>
      </w:r>
    </w:p>
    <w:p w14:paraId="21239B1C"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Zakonska osnova</w:t>
      </w:r>
      <w:r w:rsidRPr="00AC2206">
        <w:rPr>
          <w:rFonts w:ascii="Arial" w:eastAsia="Times New Roman" w:hAnsi="Arial" w:cs="Arial"/>
          <w:b/>
          <w:sz w:val="24"/>
          <w:szCs w:val="24"/>
        </w:rPr>
        <w:t>:</w:t>
      </w:r>
      <w:r w:rsidRPr="00AC2206">
        <w:rPr>
          <w:rFonts w:ascii="Arial" w:eastAsia="Times New Roman" w:hAnsi="Arial" w:cs="Arial"/>
          <w:sz w:val="24"/>
          <w:szCs w:val="24"/>
        </w:rPr>
        <w:t xml:space="preserve"> Zakon o sportu, Zakon o udrugama i Uredba o kriterijima, mjerilima i postupcima financiranja i ugovaranja programa i projekata od interesa za opće dobro koje provode udruge.</w:t>
      </w:r>
    </w:p>
    <w:p w14:paraId="6E023851"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sz w:val="24"/>
          <w:szCs w:val="24"/>
        </w:rPr>
        <w:t>Opis:</w:t>
      </w:r>
      <w:r w:rsidRPr="00AC2206">
        <w:rPr>
          <w:rFonts w:ascii="Arial" w:eastAsia="Times New Roman" w:hAnsi="Arial" w:cs="Arial"/>
          <w:sz w:val="24"/>
          <w:szCs w:val="24"/>
        </w:rPr>
        <w:t xml:space="preserve"> ovim sredstvima podržat će se projekt škole plivanja u organizaciji Društva sportske rekreacije te projekt Snaga djece u pokretu.</w:t>
      </w:r>
    </w:p>
    <w:p w14:paraId="66376FA3" w14:textId="77777777" w:rsidR="00E541EE" w:rsidRPr="00AC2206" w:rsidRDefault="00E541EE" w:rsidP="00E541EE">
      <w:pPr>
        <w:jc w:val="both"/>
        <w:rPr>
          <w:rFonts w:ascii="Arial" w:eastAsia="Times New Roman" w:hAnsi="Arial" w:cs="Arial"/>
          <w:b/>
          <w:sz w:val="24"/>
          <w:szCs w:val="24"/>
        </w:rPr>
      </w:pPr>
      <w:r w:rsidRPr="00AC2206">
        <w:rPr>
          <w:rFonts w:ascii="Arial" w:eastAsia="Times New Roman" w:hAnsi="Arial" w:cs="Arial"/>
          <w:b/>
          <w:bCs/>
          <w:sz w:val="24"/>
          <w:szCs w:val="24"/>
        </w:rPr>
        <w:t xml:space="preserve">Opći cilj: </w:t>
      </w:r>
      <w:r w:rsidRPr="00AC2206">
        <w:rPr>
          <w:rFonts w:ascii="Arial" w:eastAsia="Times New Roman" w:hAnsi="Arial" w:cs="Arial"/>
          <w:bCs/>
          <w:sz w:val="24"/>
          <w:szCs w:val="24"/>
        </w:rPr>
        <w:t>promocija sporta i bavljenja sportskom aktivnošću</w:t>
      </w:r>
    </w:p>
    <w:p w14:paraId="77C2B5ED" w14:textId="77777777" w:rsidR="00E541EE" w:rsidRPr="00AC2206" w:rsidRDefault="00E541EE" w:rsidP="00E541EE">
      <w:pPr>
        <w:jc w:val="both"/>
        <w:rPr>
          <w:rFonts w:ascii="Arial" w:eastAsia="Times New Roman" w:hAnsi="Arial" w:cs="Arial"/>
          <w:b/>
          <w:sz w:val="24"/>
          <w:szCs w:val="24"/>
        </w:rPr>
      </w:pPr>
      <w:r w:rsidRPr="00AC2206">
        <w:rPr>
          <w:rFonts w:ascii="Arial" w:eastAsia="Times New Roman" w:hAnsi="Arial" w:cs="Arial"/>
          <w:b/>
          <w:bCs/>
          <w:sz w:val="24"/>
          <w:szCs w:val="24"/>
        </w:rPr>
        <w:t xml:space="preserve">Pokazatelj uspješnosti: </w:t>
      </w:r>
      <w:r w:rsidRPr="00AC2206">
        <w:rPr>
          <w:rFonts w:ascii="Arial" w:eastAsia="Times New Roman" w:hAnsi="Arial" w:cs="Arial"/>
          <w:bCs/>
          <w:sz w:val="24"/>
          <w:szCs w:val="24"/>
        </w:rPr>
        <w:t>održani projekti</w:t>
      </w:r>
    </w:p>
    <w:p w14:paraId="03CA2CA7" w14:textId="77777777" w:rsidR="00E541EE" w:rsidRPr="00AC2206" w:rsidRDefault="00E541EE" w:rsidP="00E541EE">
      <w:pPr>
        <w:rPr>
          <w:rFonts w:ascii="Arial" w:eastAsia="Times New Roman" w:hAnsi="Arial" w:cs="Arial"/>
          <w:sz w:val="24"/>
          <w:szCs w:val="24"/>
        </w:rPr>
      </w:pPr>
    </w:p>
    <w:p w14:paraId="7E1FB757"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FFFF80"/>
        <w:rPr>
          <w:rFonts w:ascii="Arial" w:eastAsia="Times New Roman" w:hAnsi="Arial" w:cs="Arial"/>
          <w:b/>
          <w:bCs/>
          <w:sz w:val="24"/>
          <w:szCs w:val="24"/>
        </w:rPr>
      </w:pPr>
      <w:r w:rsidRPr="00AC2206">
        <w:rPr>
          <w:rFonts w:ascii="Arial" w:eastAsia="Times New Roman" w:hAnsi="Arial" w:cs="Arial"/>
          <w:b/>
          <w:bCs/>
          <w:sz w:val="24"/>
          <w:szCs w:val="24"/>
        </w:rPr>
        <w:t>Program 1030: Djelovanje sportske zajednice = 1.</w:t>
      </w:r>
      <w:r>
        <w:rPr>
          <w:rFonts w:ascii="Arial" w:eastAsia="Times New Roman" w:hAnsi="Arial" w:cs="Arial"/>
          <w:b/>
          <w:bCs/>
          <w:sz w:val="24"/>
          <w:szCs w:val="24"/>
        </w:rPr>
        <w:t>249.870</w:t>
      </w:r>
      <w:r w:rsidRPr="00AC2206">
        <w:rPr>
          <w:rFonts w:ascii="Arial" w:eastAsia="Times New Roman" w:hAnsi="Arial" w:cs="Arial"/>
          <w:b/>
          <w:bCs/>
          <w:sz w:val="24"/>
          <w:szCs w:val="24"/>
        </w:rPr>
        <w:t>,00 EUR</w:t>
      </w:r>
    </w:p>
    <w:p w14:paraId="21C9790C" w14:textId="77777777" w:rsidR="00E541EE" w:rsidRPr="00AC2206" w:rsidRDefault="00E541EE" w:rsidP="00E541EE">
      <w:pPr>
        <w:jc w:val="both"/>
        <w:rPr>
          <w:rFonts w:ascii="Arial" w:eastAsia="Times New Roman" w:hAnsi="Arial" w:cs="Arial"/>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40"/>
        <w:gridCol w:w="1128"/>
        <w:gridCol w:w="951"/>
        <w:gridCol w:w="953"/>
        <w:gridCol w:w="951"/>
        <w:gridCol w:w="1110"/>
        <w:gridCol w:w="1540"/>
        <w:gridCol w:w="796"/>
        <w:gridCol w:w="616"/>
        <w:gridCol w:w="630"/>
        <w:gridCol w:w="781"/>
      </w:tblGrid>
      <w:tr w:rsidR="00E541EE" w:rsidRPr="00AC2206" w14:paraId="56F795A3" w14:textId="77777777" w:rsidTr="00A84BB5">
        <w:trPr>
          <w:trHeight w:val="637"/>
        </w:trPr>
        <w:tc>
          <w:tcPr>
            <w:tcW w:w="310" w:type="pct"/>
            <w:tcBorders>
              <w:top w:val="single" w:sz="4" w:space="0" w:color="auto"/>
              <w:left w:val="single" w:sz="4" w:space="0" w:color="auto"/>
              <w:bottom w:val="single" w:sz="4" w:space="0" w:color="auto"/>
              <w:right w:val="single" w:sz="4" w:space="0" w:color="auto"/>
            </w:tcBorders>
          </w:tcPr>
          <w:p w14:paraId="49357F53" w14:textId="77777777" w:rsidR="00E541EE" w:rsidRPr="00D22249" w:rsidRDefault="00E541EE" w:rsidP="00A84BB5">
            <w:pPr>
              <w:widowControl w:val="0"/>
              <w:autoSpaceDE w:val="0"/>
              <w:autoSpaceDN w:val="0"/>
              <w:jc w:val="center"/>
              <w:rPr>
                <w:b/>
                <w:sz w:val="14"/>
                <w:szCs w:val="14"/>
              </w:rPr>
            </w:pPr>
            <w:r w:rsidRPr="00D22249">
              <w:rPr>
                <w:b/>
                <w:sz w:val="14"/>
                <w:szCs w:val="14"/>
              </w:rPr>
              <w:t>Doprinos provedbi</w:t>
            </w:r>
          </w:p>
          <w:p w14:paraId="2462754F" w14:textId="77777777" w:rsidR="00E541EE" w:rsidRPr="00D22249" w:rsidRDefault="00E541EE" w:rsidP="00A84BB5">
            <w:pPr>
              <w:widowControl w:val="0"/>
              <w:autoSpaceDE w:val="0"/>
              <w:autoSpaceDN w:val="0"/>
              <w:jc w:val="center"/>
              <w:rPr>
                <w:b/>
                <w:sz w:val="14"/>
                <w:szCs w:val="14"/>
              </w:rPr>
            </w:pPr>
            <w:r w:rsidRPr="00D22249">
              <w:rPr>
                <w:b/>
                <w:sz w:val="14"/>
                <w:szCs w:val="14"/>
              </w:rPr>
              <w:t>nadređenog</w:t>
            </w:r>
          </w:p>
          <w:p w14:paraId="703B2F96" w14:textId="77777777" w:rsidR="00E541EE" w:rsidRPr="00D22249" w:rsidRDefault="00E541EE" w:rsidP="00A84BB5">
            <w:pPr>
              <w:widowControl w:val="0"/>
              <w:autoSpaceDE w:val="0"/>
              <w:autoSpaceDN w:val="0"/>
              <w:jc w:val="center"/>
              <w:rPr>
                <w:b/>
                <w:sz w:val="14"/>
                <w:szCs w:val="14"/>
              </w:rPr>
            </w:pPr>
            <w:r w:rsidRPr="00D22249">
              <w:rPr>
                <w:b/>
                <w:sz w:val="14"/>
                <w:szCs w:val="14"/>
              </w:rPr>
              <w:t>akta strateškog planiranja</w:t>
            </w:r>
          </w:p>
        </w:tc>
        <w:tc>
          <w:tcPr>
            <w:tcW w:w="559" w:type="pct"/>
            <w:tcBorders>
              <w:top w:val="single" w:sz="4" w:space="0" w:color="auto"/>
              <w:left w:val="single" w:sz="4" w:space="0" w:color="auto"/>
              <w:bottom w:val="single" w:sz="4" w:space="0" w:color="auto"/>
              <w:right w:val="single" w:sz="4" w:space="0" w:color="auto"/>
            </w:tcBorders>
          </w:tcPr>
          <w:p w14:paraId="299D902B" w14:textId="77777777" w:rsidR="00E541EE" w:rsidRPr="00D22249" w:rsidRDefault="00E541EE" w:rsidP="00A84BB5">
            <w:pPr>
              <w:widowControl w:val="0"/>
              <w:autoSpaceDE w:val="0"/>
              <w:autoSpaceDN w:val="0"/>
              <w:spacing w:line="195" w:lineRule="exact"/>
              <w:ind w:left="44" w:right="35"/>
              <w:jc w:val="center"/>
              <w:rPr>
                <w:b/>
                <w:sz w:val="14"/>
                <w:szCs w:val="14"/>
              </w:rPr>
            </w:pPr>
            <w:r w:rsidRPr="00D22249">
              <w:rPr>
                <w:b/>
                <w:sz w:val="14"/>
                <w:szCs w:val="14"/>
              </w:rPr>
              <w:t>Naziv cilja nadređenog akta strateškog planiranja</w:t>
            </w:r>
          </w:p>
        </w:tc>
        <w:tc>
          <w:tcPr>
            <w:tcW w:w="472" w:type="pct"/>
            <w:tcBorders>
              <w:top w:val="single" w:sz="4" w:space="0" w:color="auto"/>
              <w:left w:val="single" w:sz="4" w:space="0" w:color="auto"/>
              <w:bottom w:val="single" w:sz="4" w:space="0" w:color="auto"/>
              <w:right w:val="single" w:sz="4" w:space="0" w:color="auto"/>
            </w:tcBorders>
            <w:vAlign w:val="center"/>
          </w:tcPr>
          <w:p w14:paraId="1CB09312" w14:textId="77777777" w:rsidR="00E541EE" w:rsidRPr="00D22249" w:rsidRDefault="00E541EE" w:rsidP="00A84BB5">
            <w:pPr>
              <w:widowControl w:val="0"/>
              <w:autoSpaceDE w:val="0"/>
              <w:autoSpaceDN w:val="0"/>
              <w:ind w:left="125" w:right="114"/>
              <w:jc w:val="center"/>
              <w:rPr>
                <w:b/>
                <w:spacing w:val="-1"/>
                <w:sz w:val="14"/>
                <w:szCs w:val="14"/>
              </w:rPr>
            </w:pPr>
            <w:r w:rsidRPr="00D22249">
              <w:rPr>
                <w:b/>
                <w:spacing w:val="-1"/>
                <w:sz w:val="14"/>
                <w:szCs w:val="14"/>
              </w:rPr>
              <w:t>Program u proračunu  JLS</w:t>
            </w:r>
          </w:p>
        </w:tc>
        <w:tc>
          <w:tcPr>
            <w:tcW w:w="473" w:type="pct"/>
            <w:tcBorders>
              <w:top w:val="single" w:sz="4" w:space="0" w:color="auto"/>
              <w:left w:val="single" w:sz="4" w:space="0" w:color="auto"/>
              <w:bottom w:val="single" w:sz="4" w:space="0" w:color="auto"/>
              <w:right w:val="single" w:sz="4" w:space="0" w:color="auto"/>
            </w:tcBorders>
            <w:vAlign w:val="center"/>
          </w:tcPr>
          <w:p w14:paraId="3D06DE06" w14:textId="77777777" w:rsidR="00E541EE" w:rsidRPr="00D22249" w:rsidRDefault="00E541EE" w:rsidP="00A84BB5">
            <w:pPr>
              <w:widowControl w:val="0"/>
              <w:autoSpaceDE w:val="0"/>
              <w:autoSpaceDN w:val="0"/>
              <w:rPr>
                <w:b/>
                <w:sz w:val="14"/>
                <w:szCs w:val="14"/>
              </w:rPr>
            </w:pPr>
            <w:r w:rsidRPr="00D22249">
              <w:rPr>
                <w:b/>
                <w:sz w:val="14"/>
                <w:szCs w:val="14"/>
              </w:rPr>
              <w:t xml:space="preserve">  Naziv mjere</w:t>
            </w:r>
          </w:p>
        </w:tc>
        <w:tc>
          <w:tcPr>
            <w:tcW w:w="472" w:type="pct"/>
            <w:tcBorders>
              <w:top w:val="single" w:sz="4" w:space="0" w:color="auto"/>
              <w:left w:val="single" w:sz="4" w:space="0" w:color="auto"/>
              <w:bottom w:val="single" w:sz="4" w:space="0" w:color="auto"/>
              <w:right w:val="single" w:sz="4" w:space="0" w:color="auto"/>
            </w:tcBorders>
            <w:vAlign w:val="center"/>
          </w:tcPr>
          <w:p w14:paraId="4B8066C5" w14:textId="77777777" w:rsidR="00E541EE" w:rsidRPr="00D22249" w:rsidRDefault="00E541EE" w:rsidP="00A84BB5">
            <w:pPr>
              <w:widowControl w:val="0"/>
              <w:autoSpaceDE w:val="0"/>
              <w:autoSpaceDN w:val="0"/>
              <w:ind w:left="70" w:right="60"/>
              <w:jc w:val="center"/>
              <w:rPr>
                <w:b/>
                <w:sz w:val="14"/>
                <w:szCs w:val="14"/>
              </w:rPr>
            </w:pPr>
            <w:r w:rsidRPr="00D22249">
              <w:rPr>
                <w:b/>
                <w:sz w:val="14"/>
                <w:szCs w:val="14"/>
              </w:rPr>
              <w:t>Procijenjeni trošak provedbe mjere 2026.</w:t>
            </w:r>
          </w:p>
          <w:p w14:paraId="17F35E33" w14:textId="77777777" w:rsidR="00E541EE" w:rsidRPr="00D22249" w:rsidRDefault="00E541EE" w:rsidP="00A84BB5">
            <w:pPr>
              <w:widowControl w:val="0"/>
              <w:autoSpaceDE w:val="0"/>
              <w:autoSpaceDN w:val="0"/>
              <w:ind w:left="70" w:right="60"/>
              <w:jc w:val="center"/>
              <w:rPr>
                <w:b/>
                <w:sz w:val="14"/>
                <w:szCs w:val="14"/>
              </w:rPr>
            </w:pPr>
            <w:r w:rsidRPr="00D22249">
              <w:rPr>
                <w:b/>
                <w:sz w:val="14"/>
                <w:szCs w:val="14"/>
              </w:rPr>
              <w:t>(u EUR)</w:t>
            </w:r>
          </w:p>
        </w:tc>
        <w:tc>
          <w:tcPr>
            <w:tcW w:w="550" w:type="pct"/>
            <w:tcBorders>
              <w:top w:val="single" w:sz="4" w:space="0" w:color="auto"/>
              <w:left w:val="single" w:sz="4" w:space="0" w:color="auto"/>
              <w:bottom w:val="single" w:sz="4" w:space="0" w:color="auto"/>
              <w:right w:val="single" w:sz="4" w:space="0" w:color="auto"/>
            </w:tcBorders>
            <w:vAlign w:val="center"/>
          </w:tcPr>
          <w:p w14:paraId="6E717AB4" w14:textId="77777777" w:rsidR="00E541EE" w:rsidRPr="00D22249" w:rsidRDefault="00E541EE" w:rsidP="00A84BB5">
            <w:pPr>
              <w:widowControl w:val="0"/>
              <w:autoSpaceDE w:val="0"/>
              <w:autoSpaceDN w:val="0"/>
              <w:jc w:val="center"/>
              <w:rPr>
                <w:b/>
                <w:sz w:val="14"/>
                <w:szCs w:val="14"/>
              </w:rPr>
            </w:pPr>
            <w:r w:rsidRPr="00D22249">
              <w:rPr>
                <w:b/>
                <w:sz w:val="14"/>
                <w:szCs w:val="14"/>
              </w:rPr>
              <w:t>Ključne</w:t>
            </w:r>
          </w:p>
          <w:p w14:paraId="127D43BB" w14:textId="77777777" w:rsidR="00E541EE" w:rsidRPr="00D22249" w:rsidRDefault="00E541EE" w:rsidP="00A84BB5">
            <w:pPr>
              <w:widowControl w:val="0"/>
              <w:autoSpaceDE w:val="0"/>
              <w:autoSpaceDN w:val="0"/>
              <w:jc w:val="center"/>
              <w:rPr>
                <w:b/>
                <w:sz w:val="14"/>
                <w:szCs w:val="14"/>
              </w:rPr>
            </w:pPr>
            <w:r w:rsidRPr="00D22249">
              <w:rPr>
                <w:b/>
                <w:sz w:val="14"/>
                <w:szCs w:val="14"/>
              </w:rPr>
              <w:t>aktivnosti</w:t>
            </w:r>
          </w:p>
        </w:tc>
        <w:tc>
          <w:tcPr>
            <w:tcW w:w="761" w:type="pct"/>
            <w:tcBorders>
              <w:top w:val="single" w:sz="4" w:space="0" w:color="auto"/>
              <w:left w:val="single" w:sz="4" w:space="0" w:color="auto"/>
              <w:bottom w:val="single" w:sz="4" w:space="0" w:color="auto"/>
              <w:right w:val="single" w:sz="4" w:space="0" w:color="auto"/>
            </w:tcBorders>
            <w:vAlign w:val="center"/>
          </w:tcPr>
          <w:p w14:paraId="6A9C059E" w14:textId="77777777" w:rsidR="00E541EE" w:rsidRDefault="00E541EE" w:rsidP="00A84BB5">
            <w:pPr>
              <w:widowControl w:val="0"/>
              <w:autoSpaceDE w:val="0"/>
              <w:autoSpaceDN w:val="0"/>
              <w:ind w:left="62" w:right="97" w:hanging="44"/>
              <w:jc w:val="center"/>
              <w:rPr>
                <w:b/>
                <w:sz w:val="14"/>
                <w:szCs w:val="14"/>
              </w:rPr>
            </w:pPr>
            <w:r w:rsidRPr="00D22249">
              <w:rPr>
                <w:b/>
                <w:sz w:val="14"/>
                <w:szCs w:val="14"/>
              </w:rPr>
              <w:t>Pokazatelj</w:t>
            </w:r>
          </w:p>
          <w:p w14:paraId="7E907070" w14:textId="77777777" w:rsidR="00E541EE" w:rsidRPr="00D22249" w:rsidRDefault="00E541EE" w:rsidP="00A84BB5">
            <w:pPr>
              <w:widowControl w:val="0"/>
              <w:autoSpaceDE w:val="0"/>
              <w:autoSpaceDN w:val="0"/>
              <w:ind w:left="62" w:right="97" w:hanging="44"/>
              <w:jc w:val="center"/>
              <w:rPr>
                <w:b/>
                <w:sz w:val="14"/>
                <w:szCs w:val="14"/>
              </w:rPr>
            </w:pPr>
            <w:r w:rsidRPr="00D22249">
              <w:rPr>
                <w:b/>
                <w:sz w:val="14"/>
                <w:szCs w:val="14"/>
              </w:rPr>
              <w:t xml:space="preserve"> rezultata</w:t>
            </w:r>
          </w:p>
        </w:tc>
        <w:tc>
          <w:tcPr>
            <w:tcW w:w="396" w:type="pct"/>
            <w:tcBorders>
              <w:top w:val="single" w:sz="4" w:space="0" w:color="auto"/>
              <w:left w:val="single" w:sz="4" w:space="0" w:color="auto"/>
              <w:bottom w:val="single" w:sz="4" w:space="0" w:color="auto"/>
              <w:right w:val="single" w:sz="4" w:space="0" w:color="auto"/>
            </w:tcBorders>
            <w:vAlign w:val="center"/>
          </w:tcPr>
          <w:p w14:paraId="06366410" w14:textId="77777777" w:rsidR="00E541EE" w:rsidRPr="00D22249" w:rsidRDefault="00E541EE" w:rsidP="00A84BB5">
            <w:pPr>
              <w:widowControl w:val="0"/>
              <w:autoSpaceDE w:val="0"/>
              <w:autoSpaceDN w:val="0"/>
              <w:ind w:left="44" w:right="32"/>
              <w:jc w:val="center"/>
              <w:rPr>
                <w:b/>
                <w:sz w:val="14"/>
                <w:szCs w:val="14"/>
              </w:rPr>
            </w:pPr>
            <w:r w:rsidRPr="00D22249">
              <w:rPr>
                <w:b/>
                <w:sz w:val="14"/>
                <w:szCs w:val="14"/>
              </w:rPr>
              <w:t xml:space="preserve">Početna vrijednost 2025. </w:t>
            </w:r>
          </w:p>
        </w:tc>
        <w:tc>
          <w:tcPr>
            <w:tcW w:w="1007" w:type="pct"/>
            <w:gridSpan w:val="3"/>
            <w:tcBorders>
              <w:top w:val="single" w:sz="4" w:space="0" w:color="auto"/>
              <w:left w:val="single" w:sz="4" w:space="0" w:color="auto"/>
              <w:bottom w:val="single" w:sz="4" w:space="0" w:color="auto"/>
              <w:right w:val="single" w:sz="4" w:space="0" w:color="auto"/>
            </w:tcBorders>
            <w:vAlign w:val="center"/>
          </w:tcPr>
          <w:tbl>
            <w:tblPr>
              <w:tblW w:w="2017" w:type="dxa"/>
              <w:tblLook w:val="04A0" w:firstRow="1" w:lastRow="0" w:firstColumn="1" w:lastColumn="0" w:noHBand="0" w:noVBand="1"/>
            </w:tblPr>
            <w:tblGrid>
              <w:gridCol w:w="665"/>
              <w:gridCol w:w="542"/>
              <w:gridCol w:w="810"/>
            </w:tblGrid>
            <w:tr w:rsidR="00E541EE" w:rsidRPr="00621BC7" w14:paraId="31030993" w14:textId="77777777" w:rsidTr="00001106">
              <w:trPr>
                <w:trHeight w:val="532"/>
              </w:trPr>
              <w:tc>
                <w:tcPr>
                  <w:tcW w:w="5000" w:type="pct"/>
                  <w:gridSpan w:val="3"/>
                  <w:tcBorders>
                    <w:bottom w:val="single" w:sz="4" w:space="0" w:color="auto"/>
                  </w:tcBorders>
                  <w:vAlign w:val="center"/>
                </w:tcPr>
                <w:p w14:paraId="6FA97886" w14:textId="77777777" w:rsidR="00E541EE" w:rsidRPr="00D22249" w:rsidRDefault="00E541EE" w:rsidP="00A84BB5">
                  <w:pPr>
                    <w:widowControl w:val="0"/>
                    <w:autoSpaceDE w:val="0"/>
                    <w:autoSpaceDN w:val="0"/>
                    <w:ind w:left="70" w:right="56"/>
                    <w:jc w:val="center"/>
                    <w:rPr>
                      <w:b/>
                      <w:sz w:val="14"/>
                      <w:szCs w:val="14"/>
                    </w:rPr>
                  </w:pPr>
                  <w:r w:rsidRPr="00D22249">
                    <w:rPr>
                      <w:b/>
                      <w:sz w:val="14"/>
                      <w:szCs w:val="14"/>
                    </w:rPr>
                    <w:t xml:space="preserve">Ciljna vrijednost </w:t>
                  </w:r>
                </w:p>
                <w:p w14:paraId="5381AE28" w14:textId="77777777" w:rsidR="00E541EE" w:rsidRPr="00621BC7" w:rsidRDefault="00E541EE" w:rsidP="00A84BB5">
                  <w:pPr>
                    <w:jc w:val="center"/>
                    <w:rPr>
                      <w:rFonts w:ascii="Arial" w:eastAsia="Times New Roman" w:hAnsi="Arial" w:cs="Arial"/>
                      <w:sz w:val="13"/>
                      <w:szCs w:val="13"/>
                    </w:rPr>
                  </w:pPr>
                </w:p>
              </w:tc>
            </w:tr>
            <w:tr w:rsidR="00E541EE" w:rsidRPr="00621BC7" w14:paraId="19C56BA5" w14:textId="77777777" w:rsidTr="00001106">
              <w:trPr>
                <w:trHeight w:val="624"/>
              </w:trPr>
              <w:tc>
                <w:tcPr>
                  <w:tcW w:w="1862" w:type="pct"/>
                  <w:tcBorders>
                    <w:top w:val="single" w:sz="4" w:space="0" w:color="auto"/>
                    <w:right w:val="single" w:sz="4" w:space="0" w:color="auto"/>
                  </w:tcBorders>
                  <w:vAlign w:val="center"/>
                </w:tcPr>
                <w:p w14:paraId="5C932C76" w14:textId="77777777" w:rsidR="00E541EE" w:rsidRPr="00621BC7" w:rsidRDefault="00E541EE" w:rsidP="00A84BB5">
                  <w:pPr>
                    <w:jc w:val="center"/>
                    <w:rPr>
                      <w:rFonts w:ascii="Arial" w:eastAsia="Times New Roman" w:hAnsi="Arial" w:cs="Arial"/>
                      <w:sz w:val="13"/>
                      <w:szCs w:val="13"/>
                    </w:rPr>
                  </w:pPr>
                  <w:r>
                    <w:rPr>
                      <w:rFonts w:ascii="Arial" w:eastAsia="Times New Roman" w:hAnsi="Arial" w:cs="Arial"/>
                      <w:sz w:val="13"/>
                      <w:szCs w:val="13"/>
                    </w:rPr>
                    <w:t>za 2026.</w:t>
                  </w:r>
                </w:p>
              </w:tc>
              <w:tc>
                <w:tcPr>
                  <w:tcW w:w="917" w:type="pct"/>
                  <w:tcBorders>
                    <w:top w:val="single" w:sz="4" w:space="0" w:color="auto"/>
                    <w:left w:val="single" w:sz="4" w:space="0" w:color="auto"/>
                    <w:right w:val="single" w:sz="4" w:space="0" w:color="auto"/>
                  </w:tcBorders>
                  <w:vAlign w:val="center"/>
                </w:tcPr>
                <w:p w14:paraId="151D7F77" w14:textId="77777777" w:rsidR="00E541EE" w:rsidRPr="00621BC7" w:rsidRDefault="00E541EE" w:rsidP="00A84BB5">
                  <w:pPr>
                    <w:jc w:val="center"/>
                    <w:rPr>
                      <w:rFonts w:ascii="Arial" w:eastAsia="Times New Roman" w:hAnsi="Arial" w:cs="Arial"/>
                      <w:sz w:val="13"/>
                      <w:szCs w:val="13"/>
                    </w:rPr>
                  </w:pPr>
                  <w:r>
                    <w:rPr>
                      <w:rFonts w:ascii="Arial" w:eastAsia="Times New Roman" w:hAnsi="Arial" w:cs="Arial"/>
                      <w:sz w:val="13"/>
                      <w:szCs w:val="13"/>
                    </w:rPr>
                    <w:t>za 2027.</w:t>
                  </w:r>
                </w:p>
              </w:tc>
              <w:tc>
                <w:tcPr>
                  <w:tcW w:w="2221" w:type="pct"/>
                  <w:tcBorders>
                    <w:top w:val="single" w:sz="4" w:space="0" w:color="auto"/>
                    <w:left w:val="single" w:sz="4" w:space="0" w:color="auto"/>
                  </w:tcBorders>
                  <w:shd w:val="clear" w:color="000000" w:fill="FFFFFF"/>
                  <w:vAlign w:val="center"/>
                </w:tcPr>
                <w:p w14:paraId="27AFAE7B" w14:textId="77777777" w:rsidR="00E541EE" w:rsidRPr="00621BC7" w:rsidRDefault="00E541EE" w:rsidP="00A84BB5">
                  <w:pPr>
                    <w:rPr>
                      <w:rFonts w:ascii="Arial" w:eastAsia="Times New Roman" w:hAnsi="Arial" w:cs="Arial"/>
                      <w:sz w:val="13"/>
                      <w:szCs w:val="13"/>
                    </w:rPr>
                  </w:pPr>
                  <w:r>
                    <w:rPr>
                      <w:rFonts w:ascii="Arial" w:eastAsia="Times New Roman" w:hAnsi="Arial" w:cs="Arial"/>
                      <w:sz w:val="13"/>
                      <w:szCs w:val="13"/>
                    </w:rPr>
                    <w:t>za 2028.</w:t>
                  </w:r>
                </w:p>
              </w:tc>
            </w:tr>
          </w:tbl>
          <w:p w14:paraId="45BF4CF1" w14:textId="77777777" w:rsidR="00E541EE" w:rsidRPr="00D22249" w:rsidRDefault="00E541EE" w:rsidP="00A84BB5">
            <w:pPr>
              <w:widowControl w:val="0"/>
              <w:autoSpaceDE w:val="0"/>
              <w:autoSpaceDN w:val="0"/>
              <w:ind w:left="70" w:right="56"/>
              <w:jc w:val="center"/>
              <w:rPr>
                <w:b/>
                <w:sz w:val="14"/>
                <w:szCs w:val="14"/>
              </w:rPr>
            </w:pPr>
          </w:p>
        </w:tc>
      </w:tr>
      <w:tr w:rsidR="00E541EE" w:rsidRPr="00D22249" w14:paraId="0E0FAF1A" w14:textId="77777777" w:rsidTr="00A84BB5">
        <w:trPr>
          <w:trHeight w:val="2542"/>
        </w:trPr>
        <w:tc>
          <w:tcPr>
            <w:tcW w:w="310" w:type="pct"/>
            <w:vMerge w:val="restart"/>
            <w:tcBorders>
              <w:top w:val="single" w:sz="4" w:space="0" w:color="auto"/>
            </w:tcBorders>
          </w:tcPr>
          <w:p w14:paraId="7334711E" w14:textId="77777777" w:rsidR="00E541EE" w:rsidRPr="00D22249" w:rsidRDefault="00E541EE" w:rsidP="00A84BB5">
            <w:pPr>
              <w:pStyle w:val="TableParagraph"/>
              <w:spacing w:before="49"/>
              <w:ind w:left="44" w:right="35"/>
              <w:jc w:val="center"/>
              <w:rPr>
                <w:sz w:val="14"/>
                <w:szCs w:val="14"/>
              </w:rPr>
            </w:pPr>
          </w:p>
          <w:p w14:paraId="3DE4831C" w14:textId="77777777" w:rsidR="00E541EE" w:rsidRPr="00D22249" w:rsidRDefault="00E541EE" w:rsidP="00A84BB5">
            <w:pPr>
              <w:pStyle w:val="TableParagraph"/>
              <w:spacing w:before="49"/>
              <w:ind w:left="44" w:right="35"/>
              <w:jc w:val="center"/>
              <w:rPr>
                <w:sz w:val="14"/>
                <w:szCs w:val="14"/>
              </w:rPr>
            </w:pPr>
          </w:p>
          <w:p w14:paraId="0286A2B7" w14:textId="77777777" w:rsidR="00E541EE" w:rsidRPr="00D22249" w:rsidRDefault="00E541EE" w:rsidP="00A84BB5">
            <w:pPr>
              <w:pStyle w:val="TableParagraph"/>
              <w:spacing w:before="49"/>
              <w:ind w:left="44" w:right="35"/>
              <w:jc w:val="center"/>
              <w:rPr>
                <w:sz w:val="14"/>
                <w:szCs w:val="14"/>
              </w:rPr>
            </w:pPr>
          </w:p>
          <w:p w14:paraId="021CFC48" w14:textId="77777777" w:rsidR="00E541EE" w:rsidRPr="00D22249" w:rsidRDefault="00E541EE" w:rsidP="00A84BB5">
            <w:pPr>
              <w:pStyle w:val="TableParagraph"/>
              <w:spacing w:before="49"/>
              <w:ind w:left="44" w:right="35"/>
              <w:jc w:val="center"/>
              <w:rPr>
                <w:sz w:val="14"/>
                <w:szCs w:val="14"/>
              </w:rPr>
            </w:pPr>
            <w:r w:rsidRPr="00D22249">
              <w:rPr>
                <w:sz w:val="14"/>
                <w:szCs w:val="14"/>
              </w:rPr>
              <w:t>Provedbeni program Grada Rovinja-Rovigno za razdoblje 2025.-2029. godine</w:t>
            </w:r>
          </w:p>
        </w:tc>
        <w:tc>
          <w:tcPr>
            <w:tcW w:w="559" w:type="pct"/>
            <w:vMerge w:val="restart"/>
            <w:tcBorders>
              <w:top w:val="single" w:sz="4" w:space="0" w:color="auto"/>
            </w:tcBorders>
          </w:tcPr>
          <w:p w14:paraId="2D0719AC" w14:textId="77777777" w:rsidR="00E541EE" w:rsidRPr="00D22249" w:rsidRDefault="00E541EE" w:rsidP="00A84BB5">
            <w:pPr>
              <w:pStyle w:val="TableParagraph"/>
              <w:ind w:left="28" w:right="19" w:firstLine="2"/>
              <w:jc w:val="center"/>
              <w:rPr>
                <w:sz w:val="14"/>
                <w:szCs w:val="14"/>
              </w:rPr>
            </w:pPr>
          </w:p>
          <w:p w14:paraId="047098DA" w14:textId="77777777" w:rsidR="00E541EE" w:rsidRPr="00D22249" w:rsidRDefault="00E541EE" w:rsidP="00A84BB5">
            <w:pPr>
              <w:pStyle w:val="TableParagraph"/>
              <w:ind w:left="28" w:right="19" w:firstLine="2"/>
              <w:jc w:val="center"/>
              <w:rPr>
                <w:sz w:val="14"/>
                <w:szCs w:val="14"/>
              </w:rPr>
            </w:pPr>
          </w:p>
          <w:p w14:paraId="6EA485F6" w14:textId="77777777" w:rsidR="00E541EE" w:rsidRPr="00D22249" w:rsidRDefault="00E541EE" w:rsidP="00A84BB5">
            <w:pPr>
              <w:pStyle w:val="TableParagraph"/>
              <w:ind w:left="28" w:right="19" w:firstLine="2"/>
              <w:jc w:val="center"/>
              <w:rPr>
                <w:sz w:val="14"/>
                <w:szCs w:val="14"/>
              </w:rPr>
            </w:pPr>
          </w:p>
          <w:p w14:paraId="38B412FF" w14:textId="77777777" w:rsidR="00E541EE" w:rsidRPr="00D22249" w:rsidRDefault="00E541EE" w:rsidP="00A84BB5">
            <w:pPr>
              <w:pStyle w:val="TableParagraph"/>
              <w:ind w:left="28" w:right="19" w:firstLine="2"/>
              <w:jc w:val="center"/>
              <w:rPr>
                <w:sz w:val="14"/>
                <w:szCs w:val="14"/>
              </w:rPr>
            </w:pPr>
          </w:p>
          <w:p w14:paraId="6F499860" w14:textId="77777777" w:rsidR="00E541EE" w:rsidRPr="00D22249" w:rsidRDefault="00E541EE" w:rsidP="00A84BB5">
            <w:pPr>
              <w:pStyle w:val="TableParagraph"/>
              <w:ind w:left="28" w:right="19" w:firstLine="2"/>
              <w:jc w:val="center"/>
              <w:rPr>
                <w:sz w:val="14"/>
                <w:szCs w:val="14"/>
              </w:rPr>
            </w:pPr>
            <w:r w:rsidRPr="00D22249">
              <w:rPr>
                <w:sz w:val="14"/>
                <w:szCs w:val="14"/>
              </w:rPr>
              <w:t xml:space="preserve">2.2.Vitalno stanovništvo kroz kvalitetnije zdravstvene usluge i sport </w:t>
            </w:r>
          </w:p>
        </w:tc>
        <w:tc>
          <w:tcPr>
            <w:tcW w:w="472" w:type="pct"/>
            <w:vMerge w:val="restart"/>
            <w:tcBorders>
              <w:top w:val="single" w:sz="4" w:space="0" w:color="auto"/>
            </w:tcBorders>
            <w:shd w:val="clear" w:color="auto" w:fill="FFF1CC"/>
          </w:tcPr>
          <w:p w14:paraId="75678F9C" w14:textId="77777777" w:rsidR="00E541EE" w:rsidRPr="00D22249" w:rsidRDefault="00E541EE" w:rsidP="00A84BB5">
            <w:pPr>
              <w:pStyle w:val="TableParagraph"/>
              <w:spacing w:before="7"/>
              <w:rPr>
                <w:sz w:val="14"/>
                <w:szCs w:val="14"/>
              </w:rPr>
            </w:pPr>
          </w:p>
          <w:p w14:paraId="20FD53E0" w14:textId="77777777" w:rsidR="00E541EE" w:rsidRPr="00D22249" w:rsidRDefault="00E541EE" w:rsidP="00A84BB5">
            <w:pPr>
              <w:pStyle w:val="TableParagraph"/>
              <w:ind w:left="74" w:right="63" w:hanging="4"/>
              <w:rPr>
                <w:sz w:val="14"/>
                <w:szCs w:val="14"/>
              </w:rPr>
            </w:pPr>
          </w:p>
          <w:p w14:paraId="31878A1F" w14:textId="77777777" w:rsidR="00E541EE" w:rsidRPr="00D22249" w:rsidRDefault="00E541EE" w:rsidP="00A84BB5">
            <w:pPr>
              <w:pStyle w:val="TableParagraph"/>
              <w:ind w:left="74" w:right="63" w:hanging="4"/>
              <w:rPr>
                <w:sz w:val="14"/>
                <w:szCs w:val="14"/>
              </w:rPr>
            </w:pPr>
          </w:p>
          <w:p w14:paraId="37CAA79F" w14:textId="77777777" w:rsidR="00E541EE" w:rsidRPr="00D22249" w:rsidRDefault="00E541EE" w:rsidP="00A84BB5">
            <w:pPr>
              <w:pStyle w:val="TableParagraph"/>
              <w:ind w:left="74" w:right="63" w:hanging="4"/>
              <w:rPr>
                <w:sz w:val="14"/>
                <w:szCs w:val="14"/>
              </w:rPr>
            </w:pPr>
          </w:p>
          <w:p w14:paraId="748D48DD" w14:textId="77777777" w:rsidR="00E541EE" w:rsidRPr="00D22249" w:rsidRDefault="00E541EE" w:rsidP="00A84BB5">
            <w:pPr>
              <w:pStyle w:val="TableParagraph"/>
              <w:ind w:left="74" w:right="63" w:hanging="4"/>
              <w:jc w:val="center"/>
              <w:rPr>
                <w:sz w:val="14"/>
                <w:szCs w:val="14"/>
                <w:highlight w:val="yellow"/>
              </w:rPr>
            </w:pPr>
            <w:r w:rsidRPr="00D22249">
              <w:rPr>
                <w:sz w:val="14"/>
                <w:szCs w:val="14"/>
              </w:rPr>
              <w:t>P-1030 Program: Djelovanje sportske zajednice</w:t>
            </w:r>
          </w:p>
        </w:tc>
        <w:tc>
          <w:tcPr>
            <w:tcW w:w="473" w:type="pct"/>
            <w:vMerge w:val="restart"/>
            <w:tcBorders>
              <w:top w:val="single" w:sz="4" w:space="0" w:color="auto"/>
            </w:tcBorders>
          </w:tcPr>
          <w:p w14:paraId="6B3138C6" w14:textId="77777777" w:rsidR="00E541EE" w:rsidRPr="00D22249" w:rsidRDefault="00E541EE" w:rsidP="00A84BB5">
            <w:pPr>
              <w:pStyle w:val="TableParagraph"/>
              <w:spacing w:before="7"/>
              <w:rPr>
                <w:color w:val="EE0000"/>
                <w:sz w:val="14"/>
                <w:szCs w:val="14"/>
              </w:rPr>
            </w:pPr>
          </w:p>
          <w:p w14:paraId="5A5BF2BF" w14:textId="77777777" w:rsidR="00E541EE" w:rsidRPr="00D22249" w:rsidRDefault="00E541EE" w:rsidP="00A84BB5">
            <w:pPr>
              <w:pStyle w:val="TableParagraph"/>
              <w:ind w:left="29" w:right="11" w:firstLine="9"/>
              <w:rPr>
                <w:sz w:val="14"/>
                <w:szCs w:val="14"/>
              </w:rPr>
            </w:pPr>
          </w:p>
          <w:p w14:paraId="147C7C1B" w14:textId="77777777" w:rsidR="00E541EE" w:rsidRPr="00D22249" w:rsidRDefault="00E541EE" w:rsidP="00A84BB5">
            <w:pPr>
              <w:pStyle w:val="TableParagraph"/>
              <w:ind w:left="29" w:right="11" w:firstLine="9"/>
              <w:rPr>
                <w:sz w:val="14"/>
                <w:szCs w:val="14"/>
              </w:rPr>
            </w:pPr>
          </w:p>
          <w:p w14:paraId="06B1CECF" w14:textId="77777777" w:rsidR="00E541EE" w:rsidRPr="00D22249" w:rsidRDefault="00E541EE" w:rsidP="00A84BB5">
            <w:pPr>
              <w:pStyle w:val="TableParagraph"/>
              <w:ind w:left="29" w:right="11" w:firstLine="9"/>
              <w:jc w:val="center"/>
              <w:rPr>
                <w:sz w:val="14"/>
                <w:szCs w:val="14"/>
              </w:rPr>
            </w:pPr>
          </w:p>
          <w:p w14:paraId="6E579B1C" w14:textId="77777777" w:rsidR="00E541EE" w:rsidRPr="00D22249" w:rsidRDefault="00E541EE" w:rsidP="00A84BB5">
            <w:pPr>
              <w:pStyle w:val="TableParagraph"/>
              <w:ind w:left="29" w:right="11" w:firstLine="9"/>
              <w:jc w:val="center"/>
              <w:rPr>
                <w:color w:val="EE0000"/>
                <w:sz w:val="14"/>
                <w:szCs w:val="14"/>
              </w:rPr>
            </w:pPr>
            <w:r w:rsidRPr="00D22249">
              <w:rPr>
                <w:sz w:val="14"/>
                <w:szCs w:val="14"/>
              </w:rPr>
              <w:t>20. Razvoj sporta i rekreacije</w:t>
            </w:r>
          </w:p>
        </w:tc>
        <w:tc>
          <w:tcPr>
            <w:tcW w:w="472" w:type="pct"/>
            <w:vMerge w:val="restart"/>
            <w:tcBorders>
              <w:top w:val="single" w:sz="4" w:space="0" w:color="auto"/>
            </w:tcBorders>
            <w:shd w:val="clear" w:color="auto" w:fill="FFF1CC"/>
          </w:tcPr>
          <w:p w14:paraId="31E67F0D" w14:textId="77777777" w:rsidR="00E541EE" w:rsidRPr="00D22249" w:rsidRDefault="00E541EE" w:rsidP="00A84BB5">
            <w:pPr>
              <w:pStyle w:val="TableParagraph"/>
              <w:rPr>
                <w:color w:val="EE0000"/>
                <w:sz w:val="14"/>
                <w:szCs w:val="14"/>
              </w:rPr>
            </w:pPr>
          </w:p>
          <w:p w14:paraId="72A4F58E" w14:textId="77777777" w:rsidR="00E541EE" w:rsidRPr="00D22249" w:rsidRDefault="00E541EE" w:rsidP="00A84BB5">
            <w:pPr>
              <w:pStyle w:val="TableParagraph"/>
              <w:rPr>
                <w:color w:val="EE0000"/>
                <w:sz w:val="14"/>
                <w:szCs w:val="14"/>
              </w:rPr>
            </w:pPr>
          </w:p>
          <w:p w14:paraId="3D6D2EA4" w14:textId="77777777" w:rsidR="00E541EE" w:rsidRPr="00D22249" w:rsidRDefault="00E541EE" w:rsidP="00A84BB5">
            <w:pPr>
              <w:pStyle w:val="TableParagraph"/>
              <w:spacing w:before="8"/>
              <w:rPr>
                <w:color w:val="EE0000"/>
                <w:sz w:val="14"/>
                <w:szCs w:val="14"/>
              </w:rPr>
            </w:pPr>
          </w:p>
          <w:p w14:paraId="20A30C57" w14:textId="77777777" w:rsidR="00E541EE" w:rsidRPr="00D22249" w:rsidRDefault="00E541EE" w:rsidP="00A84BB5">
            <w:pPr>
              <w:pStyle w:val="TableParagraph"/>
              <w:ind w:left="91"/>
              <w:rPr>
                <w:sz w:val="14"/>
                <w:szCs w:val="14"/>
              </w:rPr>
            </w:pPr>
          </w:p>
          <w:p w14:paraId="2A1D3961" w14:textId="77777777" w:rsidR="00E541EE" w:rsidRPr="00D22249" w:rsidRDefault="00E541EE" w:rsidP="00A84BB5">
            <w:pPr>
              <w:pStyle w:val="TableParagraph"/>
              <w:ind w:left="91"/>
              <w:rPr>
                <w:color w:val="EE0000"/>
                <w:sz w:val="14"/>
                <w:szCs w:val="14"/>
              </w:rPr>
            </w:pPr>
            <w:r w:rsidRPr="00D22249">
              <w:rPr>
                <w:sz w:val="14"/>
                <w:szCs w:val="14"/>
              </w:rPr>
              <w:t>1.249.870,00</w:t>
            </w:r>
          </w:p>
        </w:tc>
        <w:tc>
          <w:tcPr>
            <w:tcW w:w="550" w:type="pct"/>
            <w:vMerge w:val="restart"/>
            <w:tcBorders>
              <w:top w:val="single" w:sz="4" w:space="0" w:color="auto"/>
              <w:right w:val="single" w:sz="4" w:space="0" w:color="auto"/>
            </w:tcBorders>
          </w:tcPr>
          <w:p w14:paraId="3E2EF490" w14:textId="77777777" w:rsidR="00E541EE" w:rsidRPr="00D22249" w:rsidRDefault="00E541EE" w:rsidP="00A84BB5">
            <w:pPr>
              <w:jc w:val="center"/>
              <w:rPr>
                <w:sz w:val="14"/>
                <w:szCs w:val="14"/>
              </w:rPr>
            </w:pPr>
            <w:r w:rsidRPr="00D22249">
              <w:rPr>
                <w:sz w:val="14"/>
                <w:szCs w:val="14"/>
              </w:rPr>
              <w:t>A 103001: Stručna služba i Izvršni odbor Sportske zajednice</w:t>
            </w:r>
          </w:p>
          <w:p w14:paraId="2A69063D" w14:textId="77777777" w:rsidR="00E541EE" w:rsidRPr="00D22249" w:rsidRDefault="00E541EE" w:rsidP="00A84BB5">
            <w:pPr>
              <w:jc w:val="center"/>
              <w:rPr>
                <w:sz w:val="14"/>
                <w:szCs w:val="14"/>
              </w:rPr>
            </w:pPr>
            <w:r w:rsidRPr="00D22249">
              <w:rPr>
                <w:sz w:val="14"/>
                <w:szCs w:val="14"/>
              </w:rPr>
              <w:t>A103002: Sportske udruge</w:t>
            </w:r>
          </w:p>
          <w:p w14:paraId="1A212868" w14:textId="77777777" w:rsidR="00E541EE" w:rsidRDefault="00E541EE" w:rsidP="00A84BB5">
            <w:pPr>
              <w:jc w:val="center"/>
              <w:rPr>
                <w:sz w:val="14"/>
                <w:szCs w:val="14"/>
              </w:rPr>
            </w:pPr>
          </w:p>
          <w:p w14:paraId="0517D3E2" w14:textId="77777777" w:rsidR="00E541EE" w:rsidRPr="00D22249" w:rsidRDefault="00E541EE" w:rsidP="00A84BB5">
            <w:pPr>
              <w:jc w:val="center"/>
              <w:rPr>
                <w:sz w:val="14"/>
                <w:szCs w:val="14"/>
              </w:rPr>
            </w:pPr>
            <w:r w:rsidRPr="00D22249">
              <w:rPr>
                <w:sz w:val="14"/>
                <w:szCs w:val="14"/>
              </w:rPr>
              <w:t>A 103003: Sportsko-rekreacijski projekti</w:t>
            </w:r>
          </w:p>
          <w:p w14:paraId="7E283E1E" w14:textId="77777777" w:rsidR="00E541EE" w:rsidRPr="00D22249" w:rsidRDefault="00E541EE" w:rsidP="00A84BB5">
            <w:pPr>
              <w:jc w:val="center"/>
              <w:rPr>
                <w:sz w:val="14"/>
                <w:szCs w:val="14"/>
              </w:rPr>
            </w:pPr>
            <w:r w:rsidRPr="00D22249">
              <w:rPr>
                <w:sz w:val="14"/>
                <w:szCs w:val="14"/>
              </w:rPr>
              <w:t>A 103005: Popolana</w:t>
            </w:r>
          </w:p>
          <w:p w14:paraId="68E40DDD" w14:textId="77777777" w:rsidR="00E541EE" w:rsidRPr="00D22249" w:rsidRDefault="00E541EE" w:rsidP="00A84BB5">
            <w:pPr>
              <w:jc w:val="center"/>
              <w:rPr>
                <w:sz w:val="14"/>
                <w:szCs w:val="14"/>
              </w:rPr>
            </w:pPr>
            <w:r w:rsidRPr="00D22249">
              <w:rPr>
                <w:sz w:val="14"/>
                <w:szCs w:val="14"/>
              </w:rPr>
              <w:t>A 103006: Zajednički projekti</w:t>
            </w:r>
          </w:p>
          <w:p w14:paraId="0FF4D8FD" w14:textId="77777777" w:rsidR="00E541EE" w:rsidRPr="00D22249" w:rsidRDefault="00E541EE" w:rsidP="00A84BB5">
            <w:pPr>
              <w:jc w:val="center"/>
              <w:rPr>
                <w:sz w:val="14"/>
                <w:szCs w:val="14"/>
              </w:rPr>
            </w:pPr>
            <w:r w:rsidRPr="00D22249">
              <w:rPr>
                <w:sz w:val="14"/>
                <w:szCs w:val="14"/>
              </w:rPr>
              <w:t>A 103007: Ostali projekti</w:t>
            </w:r>
          </w:p>
          <w:p w14:paraId="3F35257F" w14:textId="77777777" w:rsidR="00E541EE" w:rsidRPr="00D22249" w:rsidRDefault="00E541EE" w:rsidP="00A84BB5">
            <w:pPr>
              <w:jc w:val="center"/>
              <w:rPr>
                <w:sz w:val="14"/>
                <w:szCs w:val="14"/>
              </w:rPr>
            </w:pPr>
            <w:r w:rsidRPr="00D22249">
              <w:rPr>
                <w:sz w:val="14"/>
                <w:szCs w:val="14"/>
              </w:rPr>
              <w:t>A 103008: Dodatno poticanje sportskih djelatnosti nositelja kvalitete</w:t>
            </w:r>
          </w:p>
          <w:p w14:paraId="74EC4CD4" w14:textId="77777777" w:rsidR="00E541EE" w:rsidRPr="00D22249" w:rsidRDefault="00E541EE" w:rsidP="00A84BB5">
            <w:pPr>
              <w:jc w:val="center"/>
              <w:rPr>
                <w:sz w:val="14"/>
                <w:szCs w:val="14"/>
                <w:highlight w:val="yellow"/>
              </w:rPr>
            </w:pPr>
          </w:p>
        </w:tc>
        <w:tc>
          <w:tcPr>
            <w:tcW w:w="761" w:type="pct"/>
            <w:tcBorders>
              <w:top w:val="single" w:sz="4" w:space="0" w:color="auto"/>
              <w:left w:val="single" w:sz="4" w:space="0" w:color="auto"/>
              <w:bottom w:val="single" w:sz="4" w:space="0" w:color="auto"/>
              <w:right w:val="single" w:sz="4" w:space="0" w:color="auto"/>
            </w:tcBorders>
            <w:shd w:val="clear" w:color="auto" w:fill="FFFFFF" w:themeFill="background1"/>
          </w:tcPr>
          <w:p w14:paraId="284C5D19" w14:textId="77777777" w:rsidR="00E541EE" w:rsidRPr="00D22249" w:rsidRDefault="00E541EE" w:rsidP="00A84BB5">
            <w:pPr>
              <w:jc w:val="center"/>
              <w:rPr>
                <w:rFonts w:eastAsia="Times New Roman"/>
                <w:sz w:val="14"/>
                <w:szCs w:val="14"/>
              </w:rPr>
            </w:pPr>
          </w:p>
          <w:p w14:paraId="149C5A22" w14:textId="77777777" w:rsidR="00E541EE" w:rsidRPr="00D22249" w:rsidRDefault="00E541EE" w:rsidP="00A84BB5">
            <w:pPr>
              <w:jc w:val="center"/>
              <w:rPr>
                <w:rFonts w:eastAsia="Times New Roman"/>
                <w:sz w:val="14"/>
                <w:szCs w:val="14"/>
              </w:rPr>
            </w:pPr>
          </w:p>
          <w:p w14:paraId="4D3A79DB" w14:textId="77777777" w:rsidR="00E541EE" w:rsidRPr="00D22249" w:rsidRDefault="00E541EE" w:rsidP="00A84BB5">
            <w:pPr>
              <w:jc w:val="center"/>
              <w:rPr>
                <w:sz w:val="14"/>
                <w:szCs w:val="14"/>
                <w:highlight w:val="yellow"/>
              </w:rPr>
            </w:pPr>
            <w:r w:rsidRPr="00D22249">
              <w:rPr>
                <w:rFonts w:eastAsia="Times New Roman"/>
                <w:sz w:val="14"/>
                <w:szCs w:val="14"/>
              </w:rPr>
              <w:t>Broj sportskih klubova koji primaju subvenciju za rad</w:t>
            </w:r>
          </w:p>
        </w:tc>
        <w:tc>
          <w:tcPr>
            <w:tcW w:w="396" w:type="pct"/>
            <w:tcBorders>
              <w:top w:val="single" w:sz="4" w:space="0" w:color="auto"/>
              <w:left w:val="single" w:sz="4" w:space="0" w:color="auto"/>
              <w:bottom w:val="single" w:sz="4" w:space="0" w:color="auto"/>
              <w:right w:val="single" w:sz="4" w:space="0" w:color="auto"/>
            </w:tcBorders>
            <w:shd w:val="clear" w:color="auto" w:fill="FFFFFF" w:themeFill="background1"/>
          </w:tcPr>
          <w:p w14:paraId="5761A68A" w14:textId="77777777" w:rsidR="00E541EE" w:rsidRPr="00D22249" w:rsidRDefault="00E541EE" w:rsidP="00A84BB5">
            <w:pPr>
              <w:jc w:val="center"/>
              <w:rPr>
                <w:rFonts w:eastAsia="Times New Roman"/>
                <w:sz w:val="14"/>
                <w:szCs w:val="14"/>
              </w:rPr>
            </w:pPr>
          </w:p>
          <w:p w14:paraId="583EF01F" w14:textId="77777777" w:rsidR="00E541EE" w:rsidRPr="00D22249" w:rsidRDefault="00E541EE" w:rsidP="00A84BB5">
            <w:pPr>
              <w:jc w:val="center"/>
              <w:rPr>
                <w:rFonts w:eastAsia="Times New Roman"/>
                <w:sz w:val="14"/>
                <w:szCs w:val="14"/>
              </w:rPr>
            </w:pPr>
          </w:p>
          <w:p w14:paraId="018EB600" w14:textId="77777777" w:rsidR="00E541EE" w:rsidRPr="00D22249" w:rsidRDefault="00E541EE" w:rsidP="00A84BB5">
            <w:pPr>
              <w:jc w:val="center"/>
              <w:rPr>
                <w:rFonts w:eastAsia="Times New Roman"/>
                <w:sz w:val="14"/>
                <w:szCs w:val="14"/>
              </w:rPr>
            </w:pPr>
          </w:p>
          <w:p w14:paraId="5AE8BE38" w14:textId="77777777" w:rsidR="00E541EE" w:rsidRPr="00D22249" w:rsidRDefault="00E541EE" w:rsidP="00A84BB5">
            <w:pPr>
              <w:jc w:val="center"/>
              <w:rPr>
                <w:sz w:val="14"/>
                <w:szCs w:val="14"/>
                <w:highlight w:val="yellow"/>
              </w:rPr>
            </w:pPr>
            <w:r w:rsidRPr="00D22249">
              <w:rPr>
                <w:rFonts w:eastAsia="Times New Roman"/>
                <w:sz w:val="14"/>
                <w:szCs w:val="14"/>
              </w:rPr>
              <w:t>31</w:t>
            </w:r>
          </w:p>
        </w:tc>
        <w:tc>
          <w:tcPr>
            <w:tcW w:w="306" w:type="pct"/>
            <w:tcBorders>
              <w:top w:val="single" w:sz="4" w:space="0" w:color="auto"/>
              <w:left w:val="single" w:sz="4" w:space="0" w:color="auto"/>
              <w:bottom w:val="single" w:sz="4" w:space="0" w:color="auto"/>
              <w:right w:val="single" w:sz="4" w:space="0" w:color="auto"/>
            </w:tcBorders>
            <w:shd w:val="clear" w:color="auto" w:fill="FFFFFF" w:themeFill="background1"/>
          </w:tcPr>
          <w:p w14:paraId="2DD6483B" w14:textId="77777777" w:rsidR="00E541EE" w:rsidRPr="00D22249" w:rsidRDefault="00E541EE" w:rsidP="00A84BB5">
            <w:pPr>
              <w:jc w:val="center"/>
              <w:rPr>
                <w:rFonts w:eastAsia="Times New Roman"/>
                <w:sz w:val="14"/>
                <w:szCs w:val="14"/>
              </w:rPr>
            </w:pPr>
          </w:p>
          <w:p w14:paraId="109DD53B" w14:textId="77777777" w:rsidR="00E541EE" w:rsidRPr="00D22249" w:rsidRDefault="00E541EE" w:rsidP="00A84BB5">
            <w:pPr>
              <w:jc w:val="center"/>
              <w:rPr>
                <w:rFonts w:eastAsia="Times New Roman"/>
                <w:sz w:val="14"/>
                <w:szCs w:val="14"/>
              </w:rPr>
            </w:pPr>
          </w:p>
          <w:p w14:paraId="1209EB17" w14:textId="77777777" w:rsidR="00E541EE" w:rsidRPr="00D22249" w:rsidRDefault="00E541EE" w:rsidP="00A84BB5">
            <w:pPr>
              <w:jc w:val="center"/>
              <w:rPr>
                <w:rFonts w:eastAsia="Times New Roman"/>
                <w:sz w:val="14"/>
                <w:szCs w:val="14"/>
              </w:rPr>
            </w:pPr>
          </w:p>
          <w:p w14:paraId="218C7CBE" w14:textId="77777777" w:rsidR="00E541EE" w:rsidRPr="00D22249" w:rsidRDefault="00E541EE" w:rsidP="00A84BB5">
            <w:pPr>
              <w:jc w:val="center"/>
              <w:rPr>
                <w:sz w:val="14"/>
                <w:szCs w:val="14"/>
                <w:highlight w:val="yellow"/>
              </w:rPr>
            </w:pPr>
            <w:r w:rsidRPr="00D22249">
              <w:rPr>
                <w:rFonts w:eastAsia="Times New Roman"/>
                <w:sz w:val="14"/>
                <w:szCs w:val="14"/>
              </w:rPr>
              <w:t>35</w:t>
            </w:r>
          </w:p>
        </w:tc>
        <w:tc>
          <w:tcPr>
            <w:tcW w:w="313" w:type="pct"/>
            <w:tcBorders>
              <w:top w:val="single" w:sz="4" w:space="0" w:color="auto"/>
              <w:left w:val="single" w:sz="4" w:space="0" w:color="auto"/>
              <w:bottom w:val="single" w:sz="4" w:space="0" w:color="auto"/>
              <w:right w:val="single" w:sz="4" w:space="0" w:color="auto"/>
            </w:tcBorders>
            <w:shd w:val="clear" w:color="auto" w:fill="FFFFFF" w:themeFill="background1"/>
          </w:tcPr>
          <w:p w14:paraId="259A3F05" w14:textId="77777777" w:rsidR="00E541EE" w:rsidRPr="00D22249" w:rsidRDefault="00E541EE" w:rsidP="00A84BB5">
            <w:pPr>
              <w:jc w:val="center"/>
              <w:rPr>
                <w:rFonts w:eastAsia="Times New Roman"/>
                <w:sz w:val="14"/>
                <w:szCs w:val="14"/>
              </w:rPr>
            </w:pPr>
          </w:p>
          <w:p w14:paraId="29706CEC" w14:textId="77777777" w:rsidR="00E541EE" w:rsidRPr="00D22249" w:rsidRDefault="00E541EE" w:rsidP="00A84BB5">
            <w:pPr>
              <w:jc w:val="center"/>
              <w:rPr>
                <w:rFonts w:eastAsia="Times New Roman"/>
                <w:sz w:val="14"/>
                <w:szCs w:val="14"/>
              </w:rPr>
            </w:pPr>
          </w:p>
          <w:p w14:paraId="590F65DC" w14:textId="77777777" w:rsidR="00E541EE" w:rsidRPr="00D22249" w:rsidRDefault="00E541EE" w:rsidP="00A84BB5">
            <w:pPr>
              <w:jc w:val="center"/>
              <w:rPr>
                <w:rFonts w:eastAsia="Times New Roman"/>
                <w:sz w:val="14"/>
                <w:szCs w:val="14"/>
              </w:rPr>
            </w:pPr>
          </w:p>
          <w:p w14:paraId="3EC397BE" w14:textId="77777777" w:rsidR="00E541EE" w:rsidRPr="00D22249" w:rsidRDefault="00E541EE" w:rsidP="00A84BB5">
            <w:pPr>
              <w:jc w:val="center"/>
              <w:rPr>
                <w:sz w:val="14"/>
                <w:szCs w:val="14"/>
              </w:rPr>
            </w:pPr>
            <w:r w:rsidRPr="00D22249">
              <w:rPr>
                <w:rFonts w:eastAsia="Times New Roman"/>
                <w:sz w:val="14"/>
                <w:szCs w:val="14"/>
              </w:rPr>
              <w:t>35</w:t>
            </w:r>
          </w:p>
        </w:tc>
        <w:tc>
          <w:tcPr>
            <w:tcW w:w="388" w:type="pct"/>
            <w:tcBorders>
              <w:top w:val="single" w:sz="4" w:space="0" w:color="auto"/>
              <w:left w:val="single" w:sz="4" w:space="0" w:color="auto"/>
              <w:bottom w:val="single" w:sz="4" w:space="0" w:color="auto"/>
              <w:right w:val="single" w:sz="4" w:space="0" w:color="auto"/>
            </w:tcBorders>
            <w:shd w:val="clear" w:color="auto" w:fill="FFFFFF" w:themeFill="background1"/>
          </w:tcPr>
          <w:p w14:paraId="70A1204C" w14:textId="77777777" w:rsidR="00E541EE" w:rsidRPr="00D22249" w:rsidRDefault="00E541EE" w:rsidP="00A84BB5">
            <w:pPr>
              <w:jc w:val="center"/>
              <w:rPr>
                <w:rFonts w:eastAsia="Times New Roman"/>
                <w:sz w:val="14"/>
                <w:szCs w:val="14"/>
              </w:rPr>
            </w:pPr>
          </w:p>
          <w:p w14:paraId="7061005D" w14:textId="77777777" w:rsidR="00E541EE" w:rsidRPr="00D22249" w:rsidRDefault="00E541EE" w:rsidP="00A84BB5">
            <w:pPr>
              <w:jc w:val="center"/>
              <w:rPr>
                <w:rFonts w:eastAsia="Times New Roman"/>
                <w:sz w:val="14"/>
                <w:szCs w:val="14"/>
              </w:rPr>
            </w:pPr>
          </w:p>
          <w:p w14:paraId="5457DA42" w14:textId="77777777" w:rsidR="00E541EE" w:rsidRPr="00D22249" w:rsidRDefault="00E541EE" w:rsidP="00A84BB5">
            <w:pPr>
              <w:jc w:val="center"/>
              <w:rPr>
                <w:rFonts w:eastAsia="Times New Roman"/>
                <w:sz w:val="14"/>
                <w:szCs w:val="14"/>
              </w:rPr>
            </w:pPr>
          </w:p>
          <w:p w14:paraId="495CF429" w14:textId="77777777" w:rsidR="00E541EE" w:rsidRPr="00D22249" w:rsidRDefault="00E541EE" w:rsidP="00A84BB5">
            <w:pPr>
              <w:jc w:val="center"/>
              <w:rPr>
                <w:sz w:val="14"/>
                <w:szCs w:val="14"/>
              </w:rPr>
            </w:pPr>
            <w:r w:rsidRPr="00D22249">
              <w:rPr>
                <w:rFonts w:eastAsia="Times New Roman"/>
                <w:sz w:val="14"/>
                <w:szCs w:val="14"/>
              </w:rPr>
              <w:t>35</w:t>
            </w:r>
          </w:p>
        </w:tc>
      </w:tr>
      <w:tr w:rsidR="00E541EE" w:rsidRPr="00D22249" w14:paraId="492667ED" w14:textId="77777777" w:rsidTr="00A84BB5">
        <w:trPr>
          <w:trHeight w:val="1150"/>
        </w:trPr>
        <w:tc>
          <w:tcPr>
            <w:tcW w:w="310" w:type="pct"/>
            <w:vMerge/>
          </w:tcPr>
          <w:p w14:paraId="0ABD22A2" w14:textId="77777777" w:rsidR="00E541EE" w:rsidRPr="00D22249" w:rsidRDefault="00E541EE" w:rsidP="00A84BB5">
            <w:pPr>
              <w:pStyle w:val="TableParagraph"/>
              <w:spacing w:before="49"/>
              <w:ind w:left="44" w:right="35"/>
              <w:jc w:val="center"/>
              <w:rPr>
                <w:sz w:val="14"/>
                <w:szCs w:val="14"/>
              </w:rPr>
            </w:pPr>
          </w:p>
        </w:tc>
        <w:tc>
          <w:tcPr>
            <w:tcW w:w="559" w:type="pct"/>
            <w:vMerge/>
          </w:tcPr>
          <w:p w14:paraId="14E65E72" w14:textId="77777777" w:rsidR="00E541EE" w:rsidRPr="00D22249" w:rsidRDefault="00E541EE" w:rsidP="00A84BB5">
            <w:pPr>
              <w:pStyle w:val="TableParagraph"/>
              <w:jc w:val="center"/>
              <w:rPr>
                <w:sz w:val="14"/>
                <w:szCs w:val="14"/>
              </w:rPr>
            </w:pPr>
          </w:p>
        </w:tc>
        <w:tc>
          <w:tcPr>
            <w:tcW w:w="472" w:type="pct"/>
            <w:vMerge/>
            <w:shd w:val="clear" w:color="auto" w:fill="FFF1CC"/>
          </w:tcPr>
          <w:p w14:paraId="64C1FABA" w14:textId="77777777" w:rsidR="00E541EE" w:rsidRPr="00D22249" w:rsidRDefault="00E541EE" w:rsidP="00A84BB5">
            <w:pPr>
              <w:pStyle w:val="TableParagraph"/>
              <w:spacing w:before="7"/>
              <w:rPr>
                <w:sz w:val="14"/>
                <w:szCs w:val="14"/>
              </w:rPr>
            </w:pPr>
          </w:p>
        </w:tc>
        <w:tc>
          <w:tcPr>
            <w:tcW w:w="473" w:type="pct"/>
            <w:vMerge/>
          </w:tcPr>
          <w:p w14:paraId="00BC9E12" w14:textId="77777777" w:rsidR="00E541EE" w:rsidRPr="00D22249" w:rsidRDefault="00E541EE" w:rsidP="00A84BB5">
            <w:pPr>
              <w:pStyle w:val="TableParagraph"/>
              <w:spacing w:before="7"/>
              <w:rPr>
                <w:color w:val="EE0000"/>
                <w:sz w:val="14"/>
                <w:szCs w:val="14"/>
              </w:rPr>
            </w:pPr>
          </w:p>
        </w:tc>
        <w:tc>
          <w:tcPr>
            <w:tcW w:w="472" w:type="pct"/>
            <w:vMerge/>
            <w:shd w:val="clear" w:color="auto" w:fill="FFF1CC"/>
          </w:tcPr>
          <w:p w14:paraId="5F08CC9D" w14:textId="77777777" w:rsidR="00E541EE" w:rsidRPr="00D22249" w:rsidRDefault="00E541EE" w:rsidP="00A84BB5">
            <w:pPr>
              <w:pStyle w:val="TableParagraph"/>
              <w:rPr>
                <w:color w:val="EE0000"/>
                <w:sz w:val="14"/>
                <w:szCs w:val="14"/>
              </w:rPr>
            </w:pPr>
          </w:p>
        </w:tc>
        <w:tc>
          <w:tcPr>
            <w:tcW w:w="550" w:type="pct"/>
            <w:vMerge/>
            <w:tcBorders>
              <w:right w:val="single" w:sz="4" w:space="0" w:color="auto"/>
            </w:tcBorders>
          </w:tcPr>
          <w:p w14:paraId="6F9E8617" w14:textId="77777777" w:rsidR="00E541EE" w:rsidRPr="00D22249" w:rsidRDefault="00E541EE" w:rsidP="00A84BB5">
            <w:pPr>
              <w:rPr>
                <w:sz w:val="14"/>
                <w:szCs w:val="14"/>
              </w:rPr>
            </w:pPr>
          </w:p>
        </w:tc>
        <w:tc>
          <w:tcPr>
            <w:tcW w:w="761" w:type="pct"/>
            <w:tcBorders>
              <w:top w:val="single" w:sz="4" w:space="0" w:color="auto"/>
              <w:left w:val="single" w:sz="4" w:space="0" w:color="auto"/>
              <w:bottom w:val="single" w:sz="4" w:space="0" w:color="auto"/>
              <w:right w:val="single" w:sz="4" w:space="0" w:color="auto"/>
            </w:tcBorders>
            <w:shd w:val="clear" w:color="auto" w:fill="FFFFFF" w:themeFill="background1"/>
          </w:tcPr>
          <w:p w14:paraId="2F8B0A9B" w14:textId="77777777" w:rsidR="00E541EE" w:rsidRDefault="00E541EE" w:rsidP="00A84BB5">
            <w:pPr>
              <w:jc w:val="center"/>
              <w:rPr>
                <w:rFonts w:eastAsia="Times New Roman"/>
                <w:sz w:val="14"/>
                <w:szCs w:val="14"/>
              </w:rPr>
            </w:pPr>
          </w:p>
          <w:p w14:paraId="0422A5AB" w14:textId="77777777" w:rsidR="00E541EE" w:rsidRDefault="00E541EE" w:rsidP="00A84BB5">
            <w:pPr>
              <w:jc w:val="center"/>
              <w:rPr>
                <w:rFonts w:eastAsia="Times New Roman"/>
                <w:sz w:val="14"/>
                <w:szCs w:val="14"/>
              </w:rPr>
            </w:pPr>
          </w:p>
          <w:p w14:paraId="403A3DEE" w14:textId="77777777" w:rsidR="00E541EE" w:rsidRDefault="00E541EE" w:rsidP="00A84BB5">
            <w:pPr>
              <w:jc w:val="center"/>
              <w:rPr>
                <w:rFonts w:eastAsia="Times New Roman"/>
                <w:sz w:val="14"/>
                <w:szCs w:val="14"/>
              </w:rPr>
            </w:pPr>
          </w:p>
          <w:p w14:paraId="15669EC4" w14:textId="77777777" w:rsidR="00E541EE" w:rsidRDefault="00E541EE" w:rsidP="00A84BB5">
            <w:pPr>
              <w:jc w:val="center"/>
              <w:rPr>
                <w:rFonts w:eastAsia="Times New Roman"/>
                <w:sz w:val="14"/>
                <w:szCs w:val="14"/>
              </w:rPr>
            </w:pPr>
          </w:p>
          <w:p w14:paraId="1CE58DBC" w14:textId="77777777" w:rsidR="00E541EE" w:rsidRPr="00D22249" w:rsidRDefault="00E541EE" w:rsidP="00A84BB5">
            <w:pPr>
              <w:jc w:val="center"/>
              <w:rPr>
                <w:sz w:val="14"/>
                <w:szCs w:val="14"/>
              </w:rPr>
            </w:pPr>
            <w:r w:rsidRPr="00D22249">
              <w:rPr>
                <w:rFonts w:eastAsia="Times New Roman"/>
                <w:sz w:val="14"/>
                <w:szCs w:val="14"/>
              </w:rPr>
              <w:t>Broj manifestacija/programa u cilju promocije rekreacije i sporta</w:t>
            </w:r>
          </w:p>
        </w:tc>
        <w:tc>
          <w:tcPr>
            <w:tcW w:w="396" w:type="pct"/>
            <w:tcBorders>
              <w:top w:val="single" w:sz="4" w:space="0" w:color="auto"/>
              <w:left w:val="single" w:sz="4" w:space="0" w:color="auto"/>
              <w:bottom w:val="single" w:sz="4" w:space="0" w:color="auto"/>
              <w:right w:val="single" w:sz="4" w:space="0" w:color="auto"/>
            </w:tcBorders>
            <w:shd w:val="clear" w:color="auto" w:fill="FFFFFF" w:themeFill="background1"/>
          </w:tcPr>
          <w:p w14:paraId="2D7B388B" w14:textId="77777777" w:rsidR="00E541EE" w:rsidRDefault="00E541EE" w:rsidP="00A84BB5">
            <w:pPr>
              <w:jc w:val="center"/>
              <w:rPr>
                <w:rFonts w:eastAsia="Times New Roman"/>
                <w:sz w:val="14"/>
                <w:szCs w:val="14"/>
              </w:rPr>
            </w:pPr>
          </w:p>
          <w:p w14:paraId="6B34FEC4" w14:textId="77777777" w:rsidR="00E541EE" w:rsidRDefault="00E541EE" w:rsidP="00A84BB5">
            <w:pPr>
              <w:jc w:val="center"/>
              <w:rPr>
                <w:rFonts w:eastAsia="Times New Roman"/>
                <w:sz w:val="14"/>
                <w:szCs w:val="14"/>
              </w:rPr>
            </w:pPr>
          </w:p>
          <w:p w14:paraId="6B1E8FF9" w14:textId="77777777" w:rsidR="00E541EE" w:rsidRDefault="00E541EE" w:rsidP="00A84BB5">
            <w:pPr>
              <w:jc w:val="center"/>
              <w:rPr>
                <w:rFonts w:eastAsia="Times New Roman"/>
                <w:sz w:val="14"/>
                <w:szCs w:val="14"/>
              </w:rPr>
            </w:pPr>
          </w:p>
          <w:p w14:paraId="0E863D85" w14:textId="77777777" w:rsidR="00E541EE" w:rsidRDefault="00E541EE" w:rsidP="00A84BB5">
            <w:pPr>
              <w:jc w:val="center"/>
              <w:rPr>
                <w:rFonts w:eastAsia="Times New Roman"/>
                <w:sz w:val="14"/>
                <w:szCs w:val="14"/>
              </w:rPr>
            </w:pPr>
          </w:p>
          <w:p w14:paraId="4EF2C6BF" w14:textId="77777777" w:rsidR="00E541EE" w:rsidRDefault="00E541EE" w:rsidP="00A84BB5">
            <w:pPr>
              <w:jc w:val="center"/>
              <w:rPr>
                <w:rFonts w:eastAsia="Times New Roman"/>
                <w:sz w:val="14"/>
                <w:szCs w:val="14"/>
              </w:rPr>
            </w:pPr>
          </w:p>
          <w:p w14:paraId="52BF6667" w14:textId="77777777" w:rsidR="00E541EE" w:rsidRPr="00D22249" w:rsidRDefault="00E541EE" w:rsidP="00A84BB5">
            <w:pPr>
              <w:jc w:val="center"/>
              <w:rPr>
                <w:sz w:val="14"/>
                <w:szCs w:val="14"/>
                <w:highlight w:val="yellow"/>
              </w:rPr>
            </w:pPr>
            <w:r w:rsidRPr="00D22249">
              <w:rPr>
                <w:rFonts w:eastAsia="Times New Roman"/>
                <w:sz w:val="14"/>
                <w:szCs w:val="14"/>
              </w:rPr>
              <w:t>4</w:t>
            </w:r>
          </w:p>
        </w:tc>
        <w:tc>
          <w:tcPr>
            <w:tcW w:w="306" w:type="pct"/>
            <w:tcBorders>
              <w:top w:val="single" w:sz="4" w:space="0" w:color="auto"/>
              <w:left w:val="single" w:sz="4" w:space="0" w:color="auto"/>
              <w:bottom w:val="single" w:sz="4" w:space="0" w:color="auto"/>
              <w:right w:val="single" w:sz="4" w:space="0" w:color="auto"/>
            </w:tcBorders>
            <w:shd w:val="clear" w:color="auto" w:fill="FFFFFF" w:themeFill="background1"/>
          </w:tcPr>
          <w:p w14:paraId="13C84F2B" w14:textId="77777777" w:rsidR="00E541EE" w:rsidRDefault="00E541EE" w:rsidP="00A84BB5">
            <w:pPr>
              <w:jc w:val="center"/>
              <w:rPr>
                <w:rFonts w:eastAsia="Times New Roman"/>
                <w:sz w:val="14"/>
                <w:szCs w:val="14"/>
              </w:rPr>
            </w:pPr>
          </w:p>
          <w:p w14:paraId="0691DE9F" w14:textId="77777777" w:rsidR="00E541EE" w:rsidRDefault="00E541EE" w:rsidP="00A84BB5">
            <w:pPr>
              <w:jc w:val="center"/>
              <w:rPr>
                <w:rFonts w:eastAsia="Times New Roman"/>
                <w:sz w:val="14"/>
                <w:szCs w:val="14"/>
              </w:rPr>
            </w:pPr>
          </w:p>
          <w:p w14:paraId="25161D81" w14:textId="77777777" w:rsidR="00E541EE" w:rsidRDefault="00E541EE" w:rsidP="00A84BB5">
            <w:pPr>
              <w:jc w:val="center"/>
              <w:rPr>
                <w:rFonts w:eastAsia="Times New Roman"/>
                <w:sz w:val="14"/>
                <w:szCs w:val="14"/>
              </w:rPr>
            </w:pPr>
          </w:p>
          <w:p w14:paraId="5C76A9FD" w14:textId="77777777" w:rsidR="00E541EE" w:rsidRDefault="00E541EE" w:rsidP="00A84BB5">
            <w:pPr>
              <w:jc w:val="center"/>
              <w:rPr>
                <w:rFonts w:eastAsia="Times New Roman"/>
                <w:sz w:val="14"/>
                <w:szCs w:val="14"/>
              </w:rPr>
            </w:pPr>
          </w:p>
          <w:p w14:paraId="4F643DBA" w14:textId="77777777" w:rsidR="00E541EE" w:rsidRDefault="00E541EE" w:rsidP="00A84BB5">
            <w:pPr>
              <w:jc w:val="center"/>
              <w:rPr>
                <w:rFonts w:eastAsia="Times New Roman"/>
                <w:sz w:val="14"/>
                <w:szCs w:val="14"/>
              </w:rPr>
            </w:pPr>
          </w:p>
          <w:p w14:paraId="53A0FB36" w14:textId="77777777" w:rsidR="00E541EE" w:rsidRPr="00D22249" w:rsidRDefault="00E541EE" w:rsidP="00A84BB5">
            <w:pPr>
              <w:jc w:val="center"/>
              <w:rPr>
                <w:sz w:val="14"/>
                <w:szCs w:val="14"/>
              </w:rPr>
            </w:pPr>
            <w:r w:rsidRPr="00D22249">
              <w:rPr>
                <w:rFonts w:eastAsia="Times New Roman"/>
                <w:sz w:val="14"/>
                <w:szCs w:val="14"/>
              </w:rPr>
              <w:t>5</w:t>
            </w:r>
          </w:p>
        </w:tc>
        <w:tc>
          <w:tcPr>
            <w:tcW w:w="313" w:type="pct"/>
            <w:tcBorders>
              <w:top w:val="single" w:sz="4" w:space="0" w:color="auto"/>
              <w:left w:val="single" w:sz="4" w:space="0" w:color="auto"/>
              <w:bottom w:val="single" w:sz="4" w:space="0" w:color="auto"/>
              <w:right w:val="single" w:sz="4" w:space="0" w:color="auto"/>
            </w:tcBorders>
            <w:shd w:val="clear" w:color="auto" w:fill="FFFFFF" w:themeFill="background1"/>
          </w:tcPr>
          <w:p w14:paraId="61D21D02" w14:textId="77777777" w:rsidR="00E541EE" w:rsidRDefault="00E541EE" w:rsidP="00A84BB5">
            <w:pPr>
              <w:jc w:val="center"/>
              <w:rPr>
                <w:rFonts w:eastAsia="Times New Roman"/>
                <w:sz w:val="14"/>
                <w:szCs w:val="14"/>
              </w:rPr>
            </w:pPr>
          </w:p>
          <w:p w14:paraId="54AFC020" w14:textId="77777777" w:rsidR="00E541EE" w:rsidRDefault="00E541EE" w:rsidP="00A84BB5">
            <w:pPr>
              <w:jc w:val="center"/>
              <w:rPr>
                <w:rFonts w:eastAsia="Times New Roman"/>
                <w:sz w:val="14"/>
                <w:szCs w:val="14"/>
              </w:rPr>
            </w:pPr>
          </w:p>
          <w:p w14:paraId="756A62C3" w14:textId="77777777" w:rsidR="00E541EE" w:rsidRDefault="00E541EE" w:rsidP="00A84BB5">
            <w:pPr>
              <w:jc w:val="center"/>
              <w:rPr>
                <w:rFonts w:eastAsia="Times New Roman"/>
                <w:sz w:val="14"/>
                <w:szCs w:val="14"/>
              </w:rPr>
            </w:pPr>
          </w:p>
          <w:p w14:paraId="0D5BDC90" w14:textId="77777777" w:rsidR="00E541EE" w:rsidRDefault="00E541EE" w:rsidP="00A84BB5">
            <w:pPr>
              <w:jc w:val="center"/>
              <w:rPr>
                <w:rFonts w:eastAsia="Times New Roman"/>
                <w:sz w:val="14"/>
                <w:szCs w:val="14"/>
              </w:rPr>
            </w:pPr>
          </w:p>
          <w:p w14:paraId="18292E65" w14:textId="77777777" w:rsidR="00E541EE" w:rsidRDefault="00E541EE" w:rsidP="00A84BB5">
            <w:pPr>
              <w:jc w:val="center"/>
              <w:rPr>
                <w:rFonts w:eastAsia="Times New Roman"/>
                <w:sz w:val="14"/>
                <w:szCs w:val="14"/>
              </w:rPr>
            </w:pPr>
          </w:p>
          <w:p w14:paraId="7EE5A75D" w14:textId="77777777" w:rsidR="00E541EE" w:rsidRPr="00D22249" w:rsidRDefault="00E541EE" w:rsidP="00A84BB5">
            <w:pPr>
              <w:jc w:val="center"/>
              <w:rPr>
                <w:sz w:val="14"/>
                <w:szCs w:val="14"/>
              </w:rPr>
            </w:pPr>
            <w:r w:rsidRPr="00D22249">
              <w:rPr>
                <w:rFonts w:eastAsia="Times New Roman"/>
                <w:sz w:val="14"/>
                <w:szCs w:val="14"/>
              </w:rPr>
              <w:t>5</w:t>
            </w:r>
          </w:p>
        </w:tc>
        <w:tc>
          <w:tcPr>
            <w:tcW w:w="388" w:type="pct"/>
            <w:tcBorders>
              <w:top w:val="single" w:sz="4" w:space="0" w:color="auto"/>
              <w:left w:val="single" w:sz="4" w:space="0" w:color="auto"/>
              <w:bottom w:val="single" w:sz="4" w:space="0" w:color="auto"/>
              <w:right w:val="single" w:sz="4" w:space="0" w:color="auto"/>
            </w:tcBorders>
            <w:shd w:val="clear" w:color="auto" w:fill="FFFFFF" w:themeFill="background1"/>
          </w:tcPr>
          <w:p w14:paraId="4B529059" w14:textId="77777777" w:rsidR="00E541EE" w:rsidRDefault="00E541EE" w:rsidP="00A84BB5">
            <w:pPr>
              <w:jc w:val="center"/>
              <w:rPr>
                <w:rFonts w:eastAsia="Times New Roman"/>
                <w:sz w:val="14"/>
                <w:szCs w:val="14"/>
              </w:rPr>
            </w:pPr>
          </w:p>
          <w:p w14:paraId="39788006" w14:textId="77777777" w:rsidR="00E541EE" w:rsidRDefault="00E541EE" w:rsidP="00A84BB5">
            <w:pPr>
              <w:jc w:val="center"/>
              <w:rPr>
                <w:rFonts w:eastAsia="Times New Roman"/>
                <w:sz w:val="14"/>
                <w:szCs w:val="14"/>
              </w:rPr>
            </w:pPr>
          </w:p>
          <w:p w14:paraId="5ED429EA" w14:textId="77777777" w:rsidR="00E541EE" w:rsidRDefault="00E541EE" w:rsidP="00A84BB5">
            <w:pPr>
              <w:jc w:val="center"/>
              <w:rPr>
                <w:rFonts w:eastAsia="Times New Roman"/>
                <w:sz w:val="14"/>
                <w:szCs w:val="14"/>
              </w:rPr>
            </w:pPr>
          </w:p>
          <w:p w14:paraId="0C58D7A5" w14:textId="77777777" w:rsidR="00E541EE" w:rsidRDefault="00E541EE" w:rsidP="00A84BB5">
            <w:pPr>
              <w:jc w:val="center"/>
              <w:rPr>
                <w:rFonts w:eastAsia="Times New Roman"/>
                <w:sz w:val="14"/>
                <w:szCs w:val="14"/>
              </w:rPr>
            </w:pPr>
          </w:p>
          <w:p w14:paraId="47557C0E" w14:textId="77777777" w:rsidR="00E541EE" w:rsidRDefault="00E541EE" w:rsidP="00A84BB5">
            <w:pPr>
              <w:jc w:val="center"/>
              <w:rPr>
                <w:rFonts w:eastAsia="Times New Roman"/>
                <w:sz w:val="14"/>
                <w:szCs w:val="14"/>
              </w:rPr>
            </w:pPr>
          </w:p>
          <w:p w14:paraId="3584F7E2" w14:textId="77777777" w:rsidR="00E541EE" w:rsidRPr="00D22249" w:rsidRDefault="00E541EE" w:rsidP="00A84BB5">
            <w:pPr>
              <w:jc w:val="center"/>
              <w:rPr>
                <w:sz w:val="14"/>
                <w:szCs w:val="14"/>
              </w:rPr>
            </w:pPr>
            <w:r w:rsidRPr="00D22249">
              <w:rPr>
                <w:rFonts w:eastAsia="Times New Roman"/>
                <w:sz w:val="14"/>
                <w:szCs w:val="14"/>
              </w:rPr>
              <w:t>6</w:t>
            </w:r>
          </w:p>
        </w:tc>
      </w:tr>
    </w:tbl>
    <w:p w14:paraId="616DCC3B" w14:textId="77777777" w:rsidR="00E541EE" w:rsidRPr="00D22249" w:rsidRDefault="00E541EE" w:rsidP="00E541EE">
      <w:pPr>
        <w:jc w:val="both"/>
        <w:rPr>
          <w:rFonts w:eastAsia="Times New Roman"/>
          <w:sz w:val="14"/>
          <w:szCs w:val="14"/>
        </w:rPr>
      </w:pPr>
    </w:p>
    <w:p w14:paraId="4C40EB2B"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AC2206">
        <w:rPr>
          <w:rFonts w:ascii="Arial" w:eastAsia="Times New Roman" w:hAnsi="Arial" w:cs="Arial"/>
          <w:b/>
          <w:bCs/>
          <w:sz w:val="24"/>
          <w:szCs w:val="24"/>
        </w:rPr>
        <w:t>A 103001: Stručna služba i Izvršni odbor Sportske zajednice = 5</w:t>
      </w:r>
      <w:r>
        <w:rPr>
          <w:rFonts w:ascii="Arial" w:eastAsia="Times New Roman" w:hAnsi="Arial" w:cs="Arial"/>
          <w:b/>
          <w:bCs/>
          <w:sz w:val="24"/>
          <w:szCs w:val="24"/>
        </w:rPr>
        <w:t>5</w:t>
      </w:r>
      <w:r w:rsidRPr="00AC2206">
        <w:rPr>
          <w:rFonts w:ascii="Arial" w:eastAsia="Times New Roman" w:hAnsi="Arial" w:cs="Arial"/>
          <w:b/>
          <w:bCs/>
          <w:sz w:val="24"/>
          <w:szCs w:val="24"/>
        </w:rPr>
        <w:t>.000,00 EUR</w:t>
      </w:r>
    </w:p>
    <w:p w14:paraId="718AB47F"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Zakonska osnova</w:t>
      </w:r>
      <w:r w:rsidRPr="00AC2206">
        <w:rPr>
          <w:rFonts w:ascii="Arial" w:eastAsia="Times New Roman" w:hAnsi="Arial" w:cs="Arial"/>
          <w:b/>
          <w:sz w:val="24"/>
          <w:szCs w:val="24"/>
        </w:rPr>
        <w:t xml:space="preserve">: </w:t>
      </w:r>
      <w:r w:rsidRPr="00AC2206">
        <w:rPr>
          <w:rFonts w:ascii="Arial" w:eastAsia="Times New Roman" w:hAnsi="Arial" w:cs="Arial"/>
          <w:sz w:val="24"/>
          <w:szCs w:val="24"/>
        </w:rPr>
        <w:t>Zakon o sportu, Zakon o udrugama i Uredba o kriterijima, mjerilima i postupcima financiranja i ugovaranja programa i projekata od interesa za opće dobro koje provode udruge.</w:t>
      </w:r>
    </w:p>
    <w:p w14:paraId="713B7135" w14:textId="77777777" w:rsidR="00E541EE" w:rsidRPr="00B966CF" w:rsidRDefault="00E541EE" w:rsidP="00E541EE">
      <w:pPr>
        <w:jc w:val="both"/>
        <w:rPr>
          <w:rFonts w:ascii="Arial" w:hAnsi="Arial" w:cs="Arial"/>
          <w:b/>
          <w:sz w:val="24"/>
          <w:szCs w:val="24"/>
        </w:rPr>
      </w:pPr>
      <w:r w:rsidRPr="00AC2206">
        <w:rPr>
          <w:rFonts w:ascii="Arial" w:eastAsia="Times New Roman" w:hAnsi="Arial" w:cs="Arial"/>
          <w:b/>
          <w:sz w:val="24"/>
          <w:szCs w:val="24"/>
        </w:rPr>
        <w:t>Opis</w:t>
      </w:r>
      <w:r w:rsidRPr="00B966CF">
        <w:rPr>
          <w:rFonts w:ascii="Arial" w:eastAsia="Times New Roman" w:hAnsi="Arial" w:cs="Arial"/>
          <w:b/>
          <w:sz w:val="24"/>
          <w:szCs w:val="24"/>
        </w:rPr>
        <w:t>:</w:t>
      </w:r>
      <w:r w:rsidRPr="00B966CF">
        <w:rPr>
          <w:rFonts w:ascii="Arial" w:eastAsia="Times New Roman" w:hAnsi="Arial" w:cs="Arial"/>
          <w:sz w:val="24"/>
          <w:szCs w:val="24"/>
        </w:rPr>
        <w:t xml:space="preserve"> </w:t>
      </w:r>
      <w:r>
        <w:rPr>
          <w:rFonts w:ascii="Arial" w:hAnsi="Arial" w:cs="Arial"/>
          <w:sz w:val="24"/>
          <w:szCs w:val="24"/>
        </w:rPr>
        <w:t>p</w:t>
      </w:r>
      <w:r w:rsidRPr="00B966CF">
        <w:rPr>
          <w:rFonts w:ascii="Arial" w:hAnsi="Arial" w:cs="Arial"/>
          <w:sz w:val="24"/>
          <w:szCs w:val="24"/>
        </w:rPr>
        <w:t xml:space="preserve">laniranim sredstvima u iznosu od </w:t>
      </w:r>
      <w:r w:rsidRPr="00B966CF">
        <w:rPr>
          <w:rFonts w:ascii="Arial" w:hAnsi="Arial" w:cs="Arial"/>
          <w:bCs/>
          <w:sz w:val="24"/>
          <w:szCs w:val="24"/>
        </w:rPr>
        <w:t xml:space="preserve">55.000,00 </w:t>
      </w:r>
      <w:r>
        <w:rPr>
          <w:rFonts w:ascii="Arial" w:hAnsi="Arial" w:cs="Arial"/>
          <w:bCs/>
          <w:sz w:val="24"/>
          <w:szCs w:val="24"/>
        </w:rPr>
        <w:t xml:space="preserve">eura </w:t>
      </w:r>
      <w:r w:rsidRPr="00B966CF">
        <w:rPr>
          <w:rFonts w:ascii="Arial" w:hAnsi="Arial" w:cs="Arial"/>
          <w:sz w:val="24"/>
          <w:szCs w:val="24"/>
        </w:rPr>
        <w:t>financirati će se rashodi Sportske zajednice Grada Rovinja-Rovigno u redovnom poslovanju.</w:t>
      </w:r>
    </w:p>
    <w:p w14:paraId="1072EEE0" w14:textId="77777777" w:rsidR="00E541EE" w:rsidRPr="00B966CF" w:rsidRDefault="00E541EE" w:rsidP="00E541EE">
      <w:pPr>
        <w:jc w:val="both"/>
        <w:rPr>
          <w:rFonts w:ascii="Arial" w:hAnsi="Arial" w:cs="Arial"/>
          <w:sz w:val="24"/>
          <w:szCs w:val="24"/>
        </w:rPr>
      </w:pPr>
      <w:r w:rsidRPr="00B966CF">
        <w:rPr>
          <w:rFonts w:ascii="Arial" w:hAnsi="Arial" w:cs="Arial"/>
          <w:sz w:val="24"/>
          <w:szCs w:val="24"/>
        </w:rPr>
        <w:t xml:space="preserve">Trošak tajnika iznosi: 49.500,00 </w:t>
      </w:r>
      <w:r>
        <w:rPr>
          <w:rFonts w:ascii="Arial" w:hAnsi="Arial" w:cs="Arial"/>
          <w:sz w:val="24"/>
          <w:szCs w:val="24"/>
        </w:rPr>
        <w:t>eura</w:t>
      </w:r>
      <w:r w:rsidRPr="00B966CF">
        <w:rPr>
          <w:rFonts w:ascii="Arial" w:hAnsi="Arial" w:cs="Arial"/>
          <w:sz w:val="24"/>
          <w:szCs w:val="24"/>
        </w:rPr>
        <w:t xml:space="preserve"> obuhvaća neto plaću sa pripadajućim  doprinosima, minuli rad, naknadu za topli obrok, neoporezive nagrade)</w:t>
      </w:r>
    </w:p>
    <w:p w14:paraId="2442BB27" w14:textId="77777777" w:rsidR="00E541EE" w:rsidRPr="00B966CF" w:rsidRDefault="00E541EE" w:rsidP="00E541EE">
      <w:pPr>
        <w:jc w:val="both"/>
        <w:rPr>
          <w:rFonts w:ascii="Arial" w:hAnsi="Arial" w:cs="Arial"/>
          <w:sz w:val="24"/>
          <w:szCs w:val="24"/>
        </w:rPr>
      </w:pPr>
      <w:r w:rsidRPr="00B966CF">
        <w:rPr>
          <w:rFonts w:ascii="Arial" w:hAnsi="Arial" w:cs="Arial"/>
          <w:sz w:val="24"/>
          <w:szCs w:val="24"/>
        </w:rPr>
        <w:t xml:space="preserve">Materijalni troškovi  iznose: 800,00 </w:t>
      </w:r>
      <w:r>
        <w:rPr>
          <w:rFonts w:ascii="Arial" w:hAnsi="Arial" w:cs="Arial"/>
          <w:sz w:val="24"/>
          <w:szCs w:val="24"/>
        </w:rPr>
        <w:t>eura</w:t>
      </w:r>
      <w:r w:rsidRPr="00B966CF">
        <w:rPr>
          <w:rFonts w:ascii="Arial" w:hAnsi="Arial" w:cs="Arial"/>
          <w:sz w:val="24"/>
          <w:szCs w:val="24"/>
        </w:rPr>
        <w:t xml:space="preserve">  (</w:t>
      </w:r>
      <w:r>
        <w:rPr>
          <w:rFonts w:ascii="Arial" w:hAnsi="Arial" w:cs="Arial"/>
          <w:sz w:val="24"/>
          <w:szCs w:val="24"/>
        </w:rPr>
        <w:t>uredski</w:t>
      </w:r>
      <w:r w:rsidRPr="00B966CF">
        <w:rPr>
          <w:rFonts w:ascii="Arial" w:hAnsi="Arial" w:cs="Arial"/>
          <w:sz w:val="24"/>
          <w:szCs w:val="24"/>
        </w:rPr>
        <w:t xml:space="preserve"> materijal, sitni inventar, telefon, internet, osiguranje kancelarija, itd.)</w:t>
      </w:r>
    </w:p>
    <w:p w14:paraId="2F128E5A" w14:textId="77777777" w:rsidR="00E541EE" w:rsidRPr="00B966CF" w:rsidRDefault="00E541EE" w:rsidP="00E541EE">
      <w:pPr>
        <w:jc w:val="both"/>
        <w:rPr>
          <w:rFonts w:ascii="Arial" w:hAnsi="Arial" w:cs="Arial"/>
          <w:sz w:val="24"/>
          <w:szCs w:val="24"/>
        </w:rPr>
      </w:pPr>
      <w:r w:rsidRPr="00B966CF">
        <w:rPr>
          <w:rFonts w:ascii="Arial" w:hAnsi="Arial" w:cs="Arial"/>
          <w:sz w:val="24"/>
          <w:szCs w:val="24"/>
        </w:rPr>
        <w:t xml:space="preserve">Troškovi usluga iznose: 4.700,00 </w:t>
      </w:r>
      <w:r>
        <w:rPr>
          <w:rFonts w:ascii="Arial" w:hAnsi="Arial" w:cs="Arial"/>
          <w:sz w:val="24"/>
          <w:szCs w:val="24"/>
        </w:rPr>
        <w:t>eura</w:t>
      </w:r>
      <w:r w:rsidRPr="00B966CF">
        <w:rPr>
          <w:rFonts w:ascii="Arial" w:hAnsi="Arial" w:cs="Arial"/>
          <w:sz w:val="24"/>
          <w:szCs w:val="24"/>
        </w:rPr>
        <w:t xml:space="preserve"> (knjigovodstvo, paušalno održavanje programa, razne </w:t>
      </w:r>
      <w:r>
        <w:rPr>
          <w:rFonts w:ascii="Arial" w:hAnsi="Arial" w:cs="Arial"/>
          <w:sz w:val="24"/>
          <w:szCs w:val="24"/>
        </w:rPr>
        <w:t>naknade FINA-e</w:t>
      </w:r>
      <w:r w:rsidRPr="00B966CF">
        <w:rPr>
          <w:rFonts w:ascii="Arial" w:hAnsi="Arial" w:cs="Arial"/>
          <w:sz w:val="24"/>
          <w:szCs w:val="24"/>
        </w:rPr>
        <w:t xml:space="preserve"> i bankarske naknade, troškove revizije, troškovi redovnog servisa, digitalizacija sportskih udruga itd.)</w:t>
      </w:r>
    </w:p>
    <w:p w14:paraId="75EBDB99"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 xml:space="preserve">Opći cilj: </w:t>
      </w:r>
      <w:r w:rsidRPr="00AC2206">
        <w:rPr>
          <w:rFonts w:ascii="Arial" w:eastAsia="Times New Roman" w:hAnsi="Arial" w:cs="Arial"/>
          <w:bCs/>
          <w:sz w:val="24"/>
          <w:szCs w:val="24"/>
        </w:rPr>
        <w:t>osiguravanje redovne djelatnosti Sportske zajednice.</w:t>
      </w:r>
    </w:p>
    <w:p w14:paraId="745472AB"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Pokazatelj uspješnosti</w:t>
      </w:r>
      <w:r w:rsidRPr="00AC2206">
        <w:rPr>
          <w:rFonts w:ascii="Arial" w:eastAsia="Times New Roman" w:hAnsi="Arial" w:cs="Arial"/>
          <w:b/>
          <w:sz w:val="24"/>
          <w:szCs w:val="24"/>
        </w:rPr>
        <w:t xml:space="preserve">: </w:t>
      </w:r>
      <w:r w:rsidRPr="00AC2206">
        <w:rPr>
          <w:rFonts w:ascii="Arial" w:eastAsia="Times New Roman" w:hAnsi="Arial" w:cs="Arial"/>
          <w:sz w:val="24"/>
          <w:szCs w:val="24"/>
        </w:rPr>
        <w:t>redovito financiranje udruga članica Zajednice i praćenje njihova rada.</w:t>
      </w:r>
    </w:p>
    <w:p w14:paraId="66BFEE26" w14:textId="77777777" w:rsidR="00E541EE" w:rsidRPr="00AC2206" w:rsidRDefault="00E541EE" w:rsidP="00E541EE">
      <w:pPr>
        <w:jc w:val="both"/>
        <w:rPr>
          <w:rFonts w:ascii="Arial" w:eastAsia="Times New Roman" w:hAnsi="Arial" w:cs="Arial"/>
          <w:sz w:val="24"/>
          <w:szCs w:val="24"/>
        </w:rPr>
      </w:pPr>
    </w:p>
    <w:p w14:paraId="6C201486"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AC2206">
        <w:rPr>
          <w:rFonts w:ascii="Arial" w:eastAsia="Times New Roman" w:hAnsi="Arial" w:cs="Arial"/>
          <w:b/>
          <w:bCs/>
          <w:sz w:val="24"/>
          <w:szCs w:val="24"/>
        </w:rPr>
        <w:t xml:space="preserve">A 103002: Sportske udruge = </w:t>
      </w:r>
      <w:r>
        <w:rPr>
          <w:rFonts w:ascii="Arial" w:eastAsia="Times New Roman" w:hAnsi="Arial" w:cs="Arial"/>
          <w:b/>
          <w:bCs/>
          <w:sz w:val="24"/>
          <w:szCs w:val="24"/>
        </w:rPr>
        <w:t>640</w:t>
      </w:r>
      <w:r w:rsidRPr="00AC2206">
        <w:rPr>
          <w:rFonts w:ascii="Arial" w:eastAsia="Times New Roman" w:hAnsi="Arial" w:cs="Arial"/>
          <w:b/>
          <w:bCs/>
          <w:sz w:val="24"/>
          <w:szCs w:val="24"/>
        </w:rPr>
        <w:t>.</w:t>
      </w:r>
      <w:r>
        <w:rPr>
          <w:rFonts w:ascii="Arial" w:eastAsia="Times New Roman" w:hAnsi="Arial" w:cs="Arial"/>
          <w:b/>
          <w:bCs/>
          <w:sz w:val="24"/>
          <w:szCs w:val="24"/>
        </w:rPr>
        <w:t>2</w:t>
      </w:r>
      <w:r w:rsidRPr="00AC2206">
        <w:rPr>
          <w:rFonts w:ascii="Arial" w:eastAsia="Times New Roman" w:hAnsi="Arial" w:cs="Arial"/>
          <w:b/>
          <w:bCs/>
          <w:sz w:val="24"/>
          <w:szCs w:val="24"/>
        </w:rPr>
        <w:t>00,00 EUR</w:t>
      </w:r>
    </w:p>
    <w:p w14:paraId="25C04806"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Zakonska osnova</w:t>
      </w:r>
      <w:r w:rsidRPr="00AC2206">
        <w:rPr>
          <w:rFonts w:ascii="Arial" w:eastAsia="Times New Roman" w:hAnsi="Arial" w:cs="Arial"/>
          <w:b/>
          <w:sz w:val="24"/>
          <w:szCs w:val="24"/>
        </w:rPr>
        <w:t xml:space="preserve">: </w:t>
      </w:r>
      <w:r w:rsidRPr="00AC2206">
        <w:rPr>
          <w:rFonts w:ascii="Arial" w:eastAsia="Times New Roman" w:hAnsi="Arial" w:cs="Arial"/>
          <w:sz w:val="24"/>
          <w:szCs w:val="24"/>
        </w:rPr>
        <w:t>Zakon o sportu, Zakon o udrugama i Uredba o kriterijima, mjerilima i postupcima financiranja i ugovaranja programa i projekata od interesa za opće dobro koje provode udruge.</w:t>
      </w:r>
    </w:p>
    <w:p w14:paraId="5C97E505"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sz w:val="24"/>
          <w:szCs w:val="24"/>
        </w:rPr>
        <w:t xml:space="preserve">Opis: </w:t>
      </w:r>
      <w:r w:rsidRPr="00AC2206">
        <w:rPr>
          <w:rFonts w:ascii="Arial" w:eastAsia="Times New Roman" w:hAnsi="Arial" w:cs="Arial"/>
          <w:sz w:val="24"/>
          <w:szCs w:val="24"/>
        </w:rPr>
        <w:t xml:space="preserve">iz planiranih </w:t>
      </w:r>
      <w:r>
        <w:rPr>
          <w:rFonts w:ascii="Arial" w:eastAsia="Times New Roman" w:hAnsi="Arial" w:cs="Arial"/>
          <w:sz w:val="24"/>
          <w:szCs w:val="24"/>
        </w:rPr>
        <w:t>640</w:t>
      </w:r>
      <w:r w:rsidRPr="00AC2206">
        <w:rPr>
          <w:rFonts w:ascii="Arial" w:eastAsia="Times New Roman" w:hAnsi="Arial" w:cs="Arial"/>
          <w:sz w:val="24"/>
          <w:szCs w:val="24"/>
        </w:rPr>
        <w:t>.</w:t>
      </w:r>
      <w:r>
        <w:rPr>
          <w:rFonts w:ascii="Arial" w:eastAsia="Times New Roman" w:hAnsi="Arial" w:cs="Arial"/>
          <w:sz w:val="24"/>
          <w:szCs w:val="24"/>
        </w:rPr>
        <w:t>2</w:t>
      </w:r>
      <w:r w:rsidRPr="00AC2206">
        <w:rPr>
          <w:rFonts w:ascii="Arial" w:eastAsia="Times New Roman" w:hAnsi="Arial" w:cs="Arial"/>
          <w:sz w:val="24"/>
          <w:szCs w:val="24"/>
        </w:rPr>
        <w:t xml:space="preserve">00,00 </w:t>
      </w:r>
      <w:r>
        <w:rPr>
          <w:rFonts w:ascii="Arial" w:eastAsia="Times New Roman" w:hAnsi="Arial" w:cs="Arial"/>
          <w:sz w:val="24"/>
          <w:szCs w:val="24"/>
        </w:rPr>
        <w:t xml:space="preserve">eura </w:t>
      </w:r>
      <w:r w:rsidRPr="00AC2206">
        <w:rPr>
          <w:rFonts w:ascii="Arial" w:eastAsia="Times New Roman" w:hAnsi="Arial" w:cs="Arial"/>
          <w:sz w:val="24"/>
          <w:szCs w:val="24"/>
        </w:rPr>
        <w:t xml:space="preserve">financirati će se sve sportske udruge, članice Sportske zajednice, sa sjedištem na području Grada Rovinja-Rovigno. </w:t>
      </w:r>
    </w:p>
    <w:p w14:paraId="4A39DEA9"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sz w:val="24"/>
          <w:szCs w:val="24"/>
        </w:rPr>
        <w:t xml:space="preserve">Programi sportskih udruga pratit će se i financirati u okviru i na temelju strukture troškova sastavljene od slijedećih elemenata: </w:t>
      </w:r>
    </w:p>
    <w:p w14:paraId="291FDE2D" w14:textId="77777777" w:rsidR="00E541EE" w:rsidRPr="00AC2206" w:rsidRDefault="00E541EE" w:rsidP="00E541EE">
      <w:pPr>
        <w:numPr>
          <w:ilvl w:val="0"/>
          <w:numId w:val="12"/>
        </w:numPr>
        <w:contextualSpacing/>
        <w:jc w:val="both"/>
        <w:rPr>
          <w:rFonts w:ascii="Arial" w:eastAsia="Times New Roman" w:hAnsi="Arial" w:cs="Arial"/>
          <w:sz w:val="24"/>
          <w:szCs w:val="24"/>
        </w:rPr>
      </w:pPr>
      <w:r w:rsidRPr="00AC2206">
        <w:rPr>
          <w:rFonts w:ascii="Arial" w:eastAsia="Times New Roman" w:hAnsi="Arial" w:cs="Arial"/>
          <w:sz w:val="24"/>
          <w:szCs w:val="24"/>
        </w:rPr>
        <w:t>stručni kadar,</w:t>
      </w:r>
    </w:p>
    <w:p w14:paraId="469B2396" w14:textId="77777777" w:rsidR="00E541EE" w:rsidRPr="00AC2206" w:rsidRDefault="00E541EE" w:rsidP="00E541EE">
      <w:pPr>
        <w:numPr>
          <w:ilvl w:val="0"/>
          <w:numId w:val="12"/>
        </w:numPr>
        <w:contextualSpacing/>
        <w:jc w:val="both"/>
        <w:rPr>
          <w:rFonts w:ascii="Arial" w:eastAsia="Times New Roman" w:hAnsi="Arial" w:cs="Arial"/>
          <w:sz w:val="24"/>
          <w:szCs w:val="24"/>
        </w:rPr>
      </w:pPr>
      <w:r w:rsidRPr="00AC2206">
        <w:rPr>
          <w:rFonts w:ascii="Arial" w:eastAsia="Times New Roman" w:hAnsi="Arial" w:cs="Arial"/>
          <w:sz w:val="24"/>
          <w:szCs w:val="24"/>
        </w:rPr>
        <w:t>troškovi natjecanja (kotizacije, sudačke pristojbe, putni troškovi sudaca, registracija natjecatelja i dr.),</w:t>
      </w:r>
    </w:p>
    <w:p w14:paraId="48B11705" w14:textId="77777777" w:rsidR="00E541EE" w:rsidRPr="00AC2206" w:rsidRDefault="00E541EE" w:rsidP="00E541EE">
      <w:pPr>
        <w:numPr>
          <w:ilvl w:val="0"/>
          <w:numId w:val="12"/>
        </w:numPr>
        <w:contextualSpacing/>
        <w:jc w:val="both"/>
        <w:rPr>
          <w:rFonts w:ascii="Arial" w:eastAsia="Times New Roman" w:hAnsi="Arial" w:cs="Arial"/>
          <w:sz w:val="24"/>
          <w:szCs w:val="24"/>
        </w:rPr>
      </w:pPr>
      <w:r w:rsidRPr="00AC2206">
        <w:rPr>
          <w:rFonts w:ascii="Arial" w:eastAsia="Times New Roman" w:hAnsi="Arial" w:cs="Arial"/>
          <w:sz w:val="24"/>
          <w:szCs w:val="24"/>
        </w:rPr>
        <w:t>troškovi prehrane i prijevoza na natjecanjima,</w:t>
      </w:r>
    </w:p>
    <w:p w14:paraId="4CCCF960" w14:textId="77777777" w:rsidR="00E541EE" w:rsidRPr="00AC2206" w:rsidRDefault="00E541EE" w:rsidP="00E541EE">
      <w:pPr>
        <w:numPr>
          <w:ilvl w:val="0"/>
          <w:numId w:val="12"/>
        </w:numPr>
        <w:contextualSpacing/>
        <w:jc w:val="both"/>
        <w:rPr>
          <w:rFonts w:ascii="Arial" w:eastAsia="Times New Roman" w:hAnsi="Arial" w:cs="Arial"/>
          <w:sz w:val="24"/>
          <w:szCs w:val="24"/>
        </w:rPr>
      </w:pPr>
      <w:r w:rsidRPr="00AC2206">
        <w:rPr>
          <w:rFonts w:ascii="Arial" w:eastAsia="Times New Roman" w:hAnsi="Arial" w:cs="Arial"/>
          <w:sz w:val="24"/>
          <w:szCs w:val="24"/>
        </w:rPr>
        <w:t>troškovi boravka,</w:t>
      </w:r>
    </w:p>
    <w:p w14:paraId="6E87BA8E" w14:textId="77777777" w:rsidR="00E541EE" w:rsidRPr="00AC2206" w:rsidRDefault="00E541EE" w:rsidP="00E541EE">
      <w:pPr>
        <w:numPr>
          <w:ilvl w:val="0"/>
          <w:numId w:val="12"/>
        </w:numPr>
        <w:contextualSpacing/>
        <w:jc w:val="both"/>
        <w:rPr>
          <w:rFonts w:ascii="Arial" w:eastAsia="Times New Roman" w:hAnsi="Arial" w:cs="Arial"/>
          <w:sz w:val="24"/>
          <w:szCs w:val="24"/>
        </w:rPr>
      </w:pPr>
      <w:r w:rsidRPr="00AC2206">
        <w:rPr>
          <w:rFonts w:ascii="Arial" w:eastAsia="Times New Roman" w:hAnsi="Arial" w:cs="Arial"/>
          <w:sz w:val="24"/>
          <w:szCs w:val="24"/>
        </w:rPr>
        <w:t>troškovi knjigovodstvenih usluga,</w:t>
      </w:r>
    </w:p>
    <w:p w14:paraId="680CBBE4" w14:textId="77777777" w:rsidR="00E541EE" w:rsidRPr="00AC2206" w:rsidRDefault="00E541EE" w:rsidP="00E541EE">
      <w:pPr>
        <w:numPr>
          <w:ilvl w:val="0"/>
          <w:numId w:val="12"/>
        </w:numPr>
        <w:contextualSpacing/>
        <w:jc w:val="both"/>
        <w:rPr>
          <w:rFonts w:ascii="Arial" w:eastAsia="Times New Roman" w:hAnsi="Arial" w:cs="Arial"/>
          <w:sz w:val="24"/>
          <w:szCs w:val="24"/>
        </w:rPr>
      </w:pPr>
      <w:r w:rsidRPr="00AC2206">
        <w:rPr>
          <w:rFonts w:ascii="Arial" w:eastAsia="Times New Roman" w:hAnsi="Arial" w:cs="Arial"/>
          <w:sz w:val="24"/>
          <w:szCs w:val="24"/>
        </w:rPr>
        <w:t>ostali materijalni troškovi potrebni za funkcioniranje udruge.</w:t>
      </w:r>
    </w:p>
    <w:p w14:paraId="4B90FFA8" w14:textId="77777777" w:rsidR="00E541EE" w:rsidRPr="00AC2206" w:rsidRDefault="00E541EE" w:rsidP="00E541EE">
      <w:pPr>
        <w:contextualSpacing/>
        <w:jc w:val="both"/>
        <w:rPr>
          <w:rFonts w:ascii="Arial" w:eastAsia="Times New Roman" w:hAnsi="Arial" w:cs="Arial"/>
          <w:sz w:val="24"/>
          <w:szCs w:val="24"/>
        </w:rPr>
      </w:pPr>
      <w:r w:rsidRPr="00AC2206">
        <w:rPr>
          <w:rFonts w:ascii="Arial" w:eastAsia="Times New Roman" w:hAnsi="Arial" w:cs="Arial"/>
          <w:sz w:val="24"/>
          <w:szCs w:val="24"/>
        </w:rPr>
        <w:t>Ova sredstva raspoređuju se unutar Sportske zajednice na temelju kriterija koje su prihvatila tijela Zajednice.</w:t>
      </w:r>
    </w:p>
    <w:p w14:paraId="14ACA41B"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 xml:space="preserve">Opći cilj: </w:t>
      </w:r>
      <w:r w:rsidRPr="00AC2206">
        <w:rPr>
          <w:rFonts w:ascii="Arial" w:eastAsia="Times New Roman" w:hAnsi="Arial" w:cs="Arial"/>
          <w:sz w:val="24"/>
          <w:szCs w:val="24"/>
        </w:rPr>
        <w:t>poticanje i promicanje bavljenja sportom od najranije dobri, stvaranje uvjeta za zadovoljavanje potreba u područjima sportskih djelatnosti svih dobnih uzrasta, promicanje zdravog načina života.</w:t>
      </w:r>
    </w:p>
    <w:p w14:paraId="3E204BA4"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Pokazatelj uspješnosti</w:t>
      </w:r>
      <w:r w:rsidRPr="00AC2206">
        <w:rPr>
          <w:rFonts w:ascii="Arial" w:eastAsia="Times New Roman" w:hAnsi="Arial" w:cs="Arial"/>
          <w:b/>
          <w:sz w:val="24"/>
          <w:szCs w:val="24"/>
        </w:rPr>
        <w:t>:</w:t>
      </w:r>
      <w:r w:rsidRPr="00AC2206">
        <w:rPr>
          <w:rFonts w:ascii="Arial" w:eastAsia="Times New Roman" w:hAnsi="Arial" w:cs="Arial"/>
          <w:sz w:val="24"/>
          <w:szCs w:val="24"/>
        </w:rPr>
        <w:t xml:space="preserve"> redovito odvijanje programa redovnog sustava natjecanja, trenažnih procesa i obuke te praćenje potreba sukladno definiranom kriterijima za financiranje programa sportskih udruga.</w:t>
      </w:r>
    </w:p>
    <w:p w14:paraId="7802B661" w14:textId="77777777" w:rsidR="00E541EE" w:rsidRPr="00AC2206" w:rsidRDefault="00E541EE" w:rsidP="00E541EE">
      <w:pPr>
        <w:ind w:left="360"/>
        <w:contextualSpacing/>
        <w:jc w:val="both"/>
        <w:rPr>
          <w:rFonts w:ascii="Arial" w:eastAsia="Times New Roman" w:hAnsi="Arial" w:cs="Arial"/>
          <w:sz w:val="24"/>
          <w:szCs w:val="24"/>
        </w:rPr>
      </w:pPr>
    </w:p>
    <w:p w14:paraId="1B1BA558"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AC2206">
        <w:rPr>
          <w:rFonts w:ascii="Arial" w:eastAsia="Times New Roman" w:hAnsi="Arial" w:cs="Arial"/>
          <w:b/>
          <w:bCs/>
          <w:sz w:val="24"/>
          <w:szCs w:val="24"/>
        </w:rPr>
        <w:t>A 103003: Sportsko-rekreacijski projekti = 670,00 EUR</w:t>
      </w:r>
    </w:p>
    <w:p w14:paraId="0EA2EF6C"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Zakonska osnova</w:t>
      </w:r>
      <w:r w:rsidRPr="00AC2206">
        <w:rPr>
          <w:rFonts w:ascii="Arial" w:eastAsia="Times New Roman" w:hAnsi="Arial" w:cs="Arial"/>
          <w:b/>
          <w:sz w:val="24"/>
          <w:szCs w:val="24"/>
        </w:rPr>
        <w:t xml:space="preserve">: </w:t>
      </w:r>
      <w:r w:rsidRPr="00AC2206">
        <w:rPr>
          <w:rFonts w:ascii="Arial" w:eastAsia="Times New Roman" w:hAnsi="Arial" w:cs="Arial"/>
          <w:sz w:val="24"/>
          <w:szCs w:val="24"/>
        </w:rPr>
        <w:t>Zakon o sportu, Zakon o udrugama i Uredba o kriterijima, mjerilima i postupcima financiranja i ugovaranja programa i projekata od interesa za opće dobro koje provode udruge.</w:t>
      </w:r>
    </w:p>
    <w:p w14:paraId="1BC7BC88"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sz w:val="24"/>
          <w:szCs w:val="24"/>
        </w:rPr>
        <w:t>Opis:</w:t>
      </w:r>
      <w:r w:rsidRPr="00AC2206">
        <w:rPr>
          <w:rFonts w:ascii="Arial" w:eastAsia="Times New Roman" w:hAnsi="Arial" w:cs="Arial"/>
          <w:sz w:val="24"/>
          <w:szCs w:val="24"/>
        </w:rPr>
        <w:t xml:space="preserve"> sredstva su planirana za sufinanciranje natjecanja i manifestacija članica Društva za sportsku rekreaciju te uključenje građana u rekreativne aktivnosti</w:t>
      </w:r>
    </w:p>
    <w:p w14:paraId="58986D05"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sz w:val="24"/>
          <w:szCs w:val="24"/>
        </w:rPr>
        <w:t>Pored osiguranih sredstava prati se potreba za razvojem sportske rekreacije kroz osiguravanje objekata, organizaciju manifestacija i dr.</w:t>
      </w:r>
    </w:p>
    <w:p w14:paraId="6A9B3AD2" w14:textId="77777777" w:rsidR="00E541EE" w:rsidRPr="00AC2206" w:rsidRDefault="00E541EE" w:rsidP="00E541EE">
      <w:pPr>
        <w:jc w:val="both"/>
        <w:rPr>
          <w:rFonts w:ascii="Arial" w:eastAsia="Times New Roman" w:hAnsi="Arial" w:cs="Arial"/>
          <w:b/>
          <w:bCs/>
          <w:sz w:val="24"/>
          <w:szCs w:val="24"/>
        </w:rPr>
      </w:pPr>
      <w:r w:rsidRPr="00AC2206">
        <w:rPr>
          <w:rFonts w:ascii="Arial" w:eastAsia="Times New Roman" w:hAnsi="Arial" w:cs="Arial"/>
          <w:b/>
          <w:bCs/>
          <w:sz w:val="24"/>
          <w:szCs w:val="24"/>
        </w:rPr>
        <w:t xml:space="preserve">Opći cilj: </w:t>
      </w:r>
      <w:r w:rsidRPr="00AC2206">
        <w:rPr>
          <w:rFonts w:ascii="Arial" w:eastAsia="Times New Roman" w:hAnsi="Arial" w:cs="Arial"/>
          <w:bCs/>
          <w:sz w:val="24"/>
          <w:szCs w:val="24"/>
        </w:rPr>
        <w:t>uključivanje građana u rekreativne aktivnosti sa ciljem promocije zdravog načina života.</w:t>
      </w:r>
    </w:p>
    <w:p w14:paraId="602C7A9B"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Pokazatelj uspješnosti</w:t>
      </w:r>
      <w:r w:rsidRPr="00AC2206">
        <w:rPr>
          <w:rFonts w:ascii="Arial" w:eastAsia="Times New Roman" w:hAnsi="Arial" w:cs="Arial"/>
          <w:b/>
          <w:sz w:val="24"/>
          <w:szCs w:val="24"/>
        </w:rPr>
        <w:t xml:space="preserve">: </w:t>
      </w:r>
      <w:r w:rsidRPr="00AC2206">
        <w:rPr>
          <w:rFonts w:ascii="Arial" w:eastAsia="Times New Roman" w:hAnsi="Arial" w:cs="Arial"/>
          <w:sz w:val="24"/>
          <w:szCs w:val="24"/>
        </w:rPr>
        <w:t>broj članova Društva za sportsku rekreaciju.</w:t>
      </w:r>
    </w:p>
    <w:p w14:paraId="256870DD" w14:textId="77777777" w:rsidR="00E541EE" w:rsidRPr="00AC2206" w:rsidRDefault="00E541EE" w:rsidP="00E541EE">
      <w:pPr>
        <w:jc w:val="both"/>
        <w:rPr>
          <w:rFonts w:ascii="Arial" w:eastAsia="Times New Roman" w:hAnsi="Arial" w:cs="Arial"/>
          <w:sz w:val="24"/>
          <w:szCs w:val="24"/>
        </w:rPr>
      </w:pPr>
    </w:p>
    <w:p w14:paraId="32BE9EFC"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AC2206">
        <w:rPr>
          <w:rFonts w:ascii="Arial" w:eastAsia="Times New Roman" w:hAnsi="Arial" w:cs="Arial"/>
          <w:b/>
          <w:bCs/>
          <w:sz w:val="24"/>
          <w:szCs w:val="24"/>
        </w:rPr>
        <w:t xml:space="preserve">A 103005: Popolana = </w:t>
      </w:r>
      <w:r>
        <w:rPr>
          <w:rFonts w:ascii="Arial" w:eastAsia="Times New Roman" w:hAnsi="Arial" w:cs="Arial"/>
          <w:b/>
          <w:bCs/>
          <w:sz w:val="24"/>
          <w:szCs w:val="24"/>
        </w:rPr>
        <w:t>3.000</w:t>
      </w:r>
      <w:r w:rsidRPr="00AC2206">
        <w:rPr>
          <w:rFonts w:ascii="Arial" w:eastAsia="Times New Roman" w:hAnsi="Arial" w:cs="Arial"/>
          <w:b/>
          <w:bCs/>
          <w:sz w:val="24"/>
          <w:szCs w:val="24"/>
        </w:rPr>
        <w:t>,00 EUR</w:t>
      </w:r>
    </w:p>
    <w:p w14:paraId="55E5F513"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Zakonska osnova</w:t>
      </w:r>
      <w:r w:rsidRPr="00AC2206">
        <w:rPr>
          <w:rFonts w:ascii="Arial" w:eastAsia="Times New Roman" w:hAnsi="Arial" w:cs="Arial"/>
          <w:b/>
          <w:sz w:val="24"/>
          <w:szCs w:val="24"/>
        </w:rPr>
        <w:t xml:space="preserve">: </w:t>
      </w:r>
      <w:r w:rsidRPr="00AC2206">
        <w:rPr>
          <w:rFonts w:ascii="Arial" w:eastAsia="Times New Roman" w:hAnsi="Arial" w:cs="Arial"/>
          <w:sz w:val="24"/>
          <w:szCs w:val="24"/>
        </w:rPr>
        <w:t>Zakon o sportu, Zakon o udrugama i Uredba o kriterijima, mjerilima i postupcima financiranja i ugovaranja programa i projekata od interesa za opće dobro koje provode udruge.</w:t>
      </w:r>
    </w:p>
    <w:p w14:paraId="71F7B756"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sz w:val="24"/>
          <w:szCs w:val="24"/>
        </w:rPr>
        <w:t xml:space="preserve">Opis: </w:t>
      </w:r>
      <w:r w:rsidRPr="00AC2206">
        <w:rPr>
          <w:rFonts w:ascii="Arial" w:eastAsia="Times New Roman" w:hAnsi="Arial" w:cs="Arial"/>
          <w:sz w:val="24"/>
          <w:szCs w:val="24"/>
        </w:rPr>
        <w:t>planira se organizacija jednodnevne sportsko - humanitarne manifestacije koja će uključiti građane te koja pridonosi promociji sporta</w:t>
      </w:r>
    </w:p>
    <w:p w14:paraId="47414B7D"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 xml:space="preserve">Opći cilj: </w:t>
      </w:r>
      <w:r w:rsidRPr="00AC2206">
        <w:rPr>
          <w:rFonts w:ascii="Arial" w:eastAsia="Times New Roman" w:hAnsi="Arial" w:cs="Arial"/>
          <w:bCs/>
          <w:sz w:val="24"/>
          <w:szCs w:val="24"/>
        </w:rPr>
        <w:t>razvoj sportsko - rekreativnih manifestacija i aktivnosti te promocija sporta.</w:t>
      </w:r>
    </w:p>
    <w:p w14:paraId="2EF9CDF5"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Pokazatelj uspješnosti</w:t>
      </w:r>
      <w:r w:rsidRPr="00AC2206">
        <w:rPr>
          <w:rFonts w:ascii="Arial" w:eastAsia="Times New Roman" w:hAnsi="Arial" w:cs="Arial"/>
          <w:b/>
          <w:sz w:val="24"/>
          <w:szCs w:val="24"/>
        </w:rPr>
        <w:t xml:space="preserve">: </w:t>
      </w:r>
      <w:r w:rsidRPr="00AC2206">
        <w:rPr>
          <w:rFonts w:ascii="Arial" w:eastAsia="Times New Roman" w:hAnsi="Arial" w:cs="Arial"/>
          <w:sz w:val="24"/>
          <w:szCs w:val="24"/>
        </w:rPr>
        <w:t>realizirane aktivnosti i praćenje broja sudionika.</w:t>
      </w:r>
    </w:p>
    <w:p w14:paraId="405EF7C9" w14:textId="77777777" w:rsidR="00E541EE" w:rsidRPr="00AC2206" w:rsidRDefault="00E541EE" w:rsidP="00E541EE">
      <w:pPr>
        <w:jc w:val="both"/>
        <w:rPr>
          <w:rFonts w:ascii="Arial" w:eastAsia="Times New Roman" w:hAnsi="Arial" w:cs="Arial"/>
          <w:b/>
          <w:sz w:val="24"/>
          <w:szCs w:val="24"/>
        </w:rPr>
      </w:pPr>
    </w:p>
    <w:p w14:paraId="1654B450"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AC2206">
        <w:rPr>
          <w:rFonts w:ascii="Arial" w:eastAsia="Times New Roman" w:hAnsi="Arial" w:cs="Arial"/>
          <w:b/>
          <w:bCs/>
          <w:sz w:val="24"/>
          <w:szCs w:val="24"/>
        </w:rPr>
        <w:t>A 103006: Zajednički projekti = 4</w:t>
      </w:r>
      <w:r>
        <w:rPr>
          <w:rFonts w:ascii="Arial" w:eastAsia="Times New Roman" w:hAnsi="Arial" w:cs="Arial"/>
          <w:b/>
          <w:bCs/>
          <w:sz w:val="24"/>
          <w:szCs w:val="24"/>
        </w:rPr>
        <w:t>93</w:t>
      </w:r>
      <w:r w:rsidRPr="00AC2206">
        <w:rPr>
          <w:rFonts w:ascii="Arial" w:eastAsia="Times New Roman" w:hAnsi="Arial" w:cs="Arial"/>
          <w:b/>
          <w:bCs/>
          <w:sz w:val="24"/>
          <w:szCs w:val="24"/>
        </w:rPr>
        <w:t>.000,00 EUR</w:t>
      </w:r>
    </w:p>
    <w:p w14:paraId="4A960FD1"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Zakonska osnova</w:t>
      </w:r>
      <w:r w:rsidRPr="00AC2206">
        <w:rPr>
          <w:rFonts w:ascii="Arial" w:eastAsia="Times New Roman" w:hAnsi="Arial" w:cs="Arial"/>
          <w:b/>
          <w:sz w:val="24"/>
          <w:szCs w:val="24"/>
        </w:rPr>
        <w:t xml:space="preserve">: </w:t>
      </w:r>
      <w:r w:rsidRPr="00AC2206">
        <w:rPr>
          <w:rFonts w:ascii="Arial" w:eastAsia="Times New Roman" w:hAnsi="Arial" w:cs="Arial"/>
          <w:sz w:val="24"/>
          <w:szCs w:val="24"/>
        </w:rPr>
        <w:t>Zakon o sportu, Zakon o udrugama i Uredba o kriterijima, mjerilima i postupcima financiranja i ugovaranja programa i projekata od interesa za opće dobro koje provode udruge.</w:t>
      </w:r>
    </w:p>
    <w:p w14:paraId="79E9ABF3"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sz w:val="24"/>
          <w:szCs w:val="24"/>
        </w:rPr>
        <w:t xml:space="preserve">Opis: </w:t>
      </w:r>
      <w:r w:rsidRPr="00AC2206">
        <w:rPr>
          <w:rFonts w:ascii="Arial" w:eastAsia="Times New Roman" w:hAnsi="Arial" w:cs="Arial"/>
          <w:sz w:val="24"/>
          <w:szCs w:val="24"/>
        </w:rPr>
        <w:t>iz planiranih sredstava financiraju se liječnički pregledi sportaša (2</w:t>
      </w:r>
      <w:r>
        <w:rPr>
          <w:rFonts w:ascii="Arial" w:eastAsia="Times New Roman" w:hAnsi="Arial" w:cs="Arial"/>
          <w:sz w:val="24"/>
          <w:szCs w:val="24"/>
        </w:rPr>
        <w:t>5</w:t>
      </w:r>
      <w:r w:rsidRPr="00AC2206">
        <w:rPr>
          <w:rFonts w:ascii="Arial" w:eastAsia="Times New Roman" w:hAnsi="Arial" w:cs="Arial"/>
          <w:sz w:val="24"/>
          <w:szCs w:val="24"/>
        </w:rPr>
        <w:t>.000,00 EUR), korištenje sportskih objekata (42</w:t>
      </w:r>
      <w:r>
        <w:rPr>
          <w:rFonts w:ascii="Arial" w:eastAsia="Times New Roman" w:hAnsi="Arial" w:cs="Arial"/>
          <w:sz w:val="24"/>
          <w:szCs w:val="24"/>
        </w:rPr>
        <w:t>9</w:t>
      </w:r>
      <w:r w:rsidRPr="00AC2206">
        <w:rPr>
          <w:rFonts w:ascii="Arial" w:eastAsia="Times New Roman" w:hAnsi="Arial" w:cs="Arial"/>
          <w:sz w:val="24"/>
          <w:szCs w:val="24"/>
        </w:rPr>
        <w:t>.</w:t>
      </w:r>
      <w:r>
        <w:rPr>
          <w:rFonts w:ascii="Arial" w:eastAsia="Times New Roman" w:hAnsi="Arial" w:cs="Arial"/>
          <w:sz w:val="24"/>
          <w:szCs w:val="24"/>
        </w:rPr>
        <w:t>0</w:t>
      </w:r>
      <w:r w:rsidRPr="00AC2206">
        <w:rPr>
          <w:rFonts w:ascii="Arial" w:eastAsia="Times New Roman" w:hAnsi="Arial" w:cs="Arial"/>
          <w:sz w:val="24"/>
          <w:szCs w:val="24"/>
        </w:rPr>
        <w:t xml:space="preserve">00,00 </w:t>
      </w:r>
      <w:r>
        <w:rPr>
          <w:rFonts w:ascii="Arial" w:eastAsia="Times New Roman" w:hAnsi="Arial" w:cs="Arial"/>
          <w:sz w:val="24"/>
          <w:szCs w:val="24"/>
        </w:rPr>
        <w:t>eura</w:t>
      </w:r>
      <w:r w:rsidRPr="00AC2206">
        <w:rPr>
          <w:rFonts w:ascii="Arial" w:eastAsia="Times New Roman" w:hAnsi="Arial" w:cs="Arial"/>
          <w:sz w:val="24"/>
          <w:szCs w:val="24"/>
        </w:rPr>
        <w:t xml:space="preserve">), usavršavanje i školovanje stručnog kadra (3.000,00 </w:t>
      </w:r>
      <w:r>
        <w:rPr>
          <w:rFonts w:ascii="Arial" w:eastAsia="Times New Roman" w:hAnsi="Arial" w:cs="Arial"/>
          <w:sz w:val="24"/>
          <w:szCs w:val="24"/>
        </w:rPr>
        <w:t>eura</w:t>
      </w:r>
      <w:r w:rsidRPr="00AC2206">
        <w:rPr>
          <w:rFonts w:ascii="Arial" w:eastAsia="Times New Roman" w:hAnsi="Arial" w:cs="Arial"/>
          <w:sz w:val="24"/>
          <w:szCs w:val="24"/>
        </w:rPr>
        <w:t xml:space="preserve">), sportske aktivnosti osoba sa invaliditetom (4.000,00 </w:t>
      </w:r>
      <w:r>
        <w:rPr>
          <w:rFonts w:ascii="Arial" w:eastAsia="Times New Roman" w:hAnsi="Arial" w:cs="Arial"/>
          <w:sz w:val="24"/>
          <w:szCs w:val="24"/>
        </w:rPr>
        <w:t>eura</w:t>
      </w:r>
      <w:r w:rsidRPr="00AC2206">
        <w:rPr>
          <w:rFonts w:ascii="Arial" w:eastAsia="Times New Roman" w:hAnsi="Arial" w:cs="Arial"/>
          <w:sz w:val="24"/>
          <w:szCs w:val="24"/>
        </w:rPr>
        <w:t>), školski sport (</w:t>
      </w:r>
      <w:r>
        <w:rPr>
          <w:rFonts w:ascii="Arial" w:eastAsia="Times New Roman" w:hAnsi="Arial" w:cs="Arial"/>
          <w:sz w:val="24"/>
          <w:szCs w:val="24"/>
        </w:rPr>
        <w:t>3</w:t>
      </w:r>
      <w:r w:rsidRPr="00AC2206">
        <w:rPr>
          <w:rFonts w:ascii="Arial" w:eastAsia="Times New Roman" w:hAnsi="Arial" w:cs="Arial"/>
          <w:sz w:val="24"/>
          <w:szCs w:val="24"/>
        </w:rPr>
        <w:t xml:space="preserve">.000,00 </w:t>
      </w:r>
      <w:r>
        <w:rPr>
          <w:rFonts w:ascii="Arial" w:eastAsia="Times New Roman" w:hAnsi="Arial" w:cs="Arial"/>
          <w:sz w:val="24"/>
          <w:szCs w:val="24"/>
        </w:rPr>
        <w:t>eura</w:t>
      </w:r>
      <w:r w:rsidRPr="00AC2206">
        <w:rPr>
          <w:rFonts w:ascii="Arial" w:eastAsia="Times New Roman" w:hAnsi="Arial" w:cs="Arial"/>
          <w:sz w:val="24"/>
          <w:szCs w:val="24"/>
        </w:rPr>
        <w:t>), posebni programi (</w:t>
      </w:r>
      <w:r>
        <w:rPr>
          <w:rFonts w:ascii="Arial" w:eastAsia="Times New Roman" w:hAnsi="Arial" w:cs="Arial"/>
          <w:sz w:val="24"/>
          <w:szCs w:val="24"/>
        </w:rPr>
        <w:t>5</w:t>
      </w:r>
      <w:r w:rsidRPr="00AC2206">
        <w:rPr>
          <w:rFonts w:ascii="Arial" w:eastAsia="Times New Roman" w:hAnsi="Arial" w:cs="Arial"/>
          <w:sz w:val="24"/>
          <w:szCs w:val="24"/>
        </w:rPr>
        <w:t xml:space="preserve">.000,00 </w:t>
      </w:r>
      <w:r>
        <w:rPr>
          <w:rFonts w:ascii="Arial" w:eastAsia="Times New Roman" w:hAnsi="Arial" w:cs="Arial"/>
          <w:sz w:val="24"/>
          <w:szCs w:val="24"/>
        </w:rPr>
        <w:t>eura</w:t>
      </w:r>
      <w:r w:rsidRPr="00AC2206">
        <w:rPr>
          <w:rFonts w:ascii="Arial" w:eastAsia="Times New Roman" w:hAnsi="Arial" w:cs="Arial"/>
          <w:sz w:val="24"/>
          <w:szCs w:val="24"/>
        </w:rPr>
        <w:t>), promidžbena aktivnost (</w:t>
      </w:r>
      <w:r>
        <w:rPr>
          <w:rFonts w:ascii="Arial" w:eastAsia="Times New Roman" w:hAnsi="Arial" w:cs="Arial"/>
          <w:sz w:val="24"/>
          <w:szCs w:val="24"/>
        </w:rPr>
        <w:t>4</w:t>
      </w:r>
      <w:r w:rsidRPr="00AC2206">
        <w:rPr>
          <w:rFonts w:ascii="Arial" w:eastAsia="Times New Roman" w:hAnsi="Arial" w:cs="Arial"/>
          <w:sz w:val="24"/>
          <w:szCs w:val="24"/>
        </w:rPr>
        <w:t xml:space="preserve">.000,00 </w:t>
      </w:r>
      <w:r>
        <w:rPr>
          <w:rFonts w:ascii="Arial" w:eastAsia="Times New Roman" w:hAnsi="Arial" w:cs="Arial"/>
          <w:sz w:val="24"/>
          <w:szCs w:val="24"/>
        </w:rPr>
        <w:t>eura</w:t>
      </w:r>
      <w:r w:rsidRPr="00AC2206">
        <w:rPr>
          <w:rFonts w:ascii="Arial" w:eastAsia="Times New Roman" w:hAnsi="Arial" w:cs="Arial"/>
          <w:sz w:val="24"/>
          <w:szCs w:val="24"/>
        </w:rPr>
        <w:t>), transparentnost sportskih udruga (5.000,00</w:t>
      </w:r>
      <w:r>
        <w:rPr>
          <w:rFonts w:ascii="Arial" w:eastAsia="Times New Roman" w:hAnsi="Arial" w:cs="Arial"/>
          <w:sz w:val="24"/>
          <w:szCs w:val="24"/>
        </w:rPr>
        <w:t xml:space="preserve"> eura</w:t>
      </w:r>
      <w:r w:rsidRPr="00AC2206">
        <w:rPr>
          <w:rFonts w:ascii="Arial" w:eastAsia="Times New Roman" w:hAnsi="Arial" w:cs="Arial"/>
          <w:sz w:val="24"/>
          <w:szCs w:val="24"/>
        </w:rPr>
        <w:t>), kategorizirani sportaši (</w:t>
      </w:r>
      <w:r>
        <w:rPr>
          <w:rFonts w:ascii="Arial" w:eastAsia="Times New Roman" w:hAnsi="Arial" w:cs="Arial"/>
          <w:sz w:val="24"/>
          <w:szCs w:val="24"/>
        </w:rPr>
        <w:t>2</w:t>
      </w:r>
      <w:r w:rsidRPr="00AC2206">
        <w:rPr>
          <w:rFonts w:ascii="Arial" w:eastAsia="Times New Roman" w:hAnsi="Arial" w:cs="Arial"/>
          <w:sz w:val="24"/>
          <w:szCs w:val="24"/>
        </w:rPr>
        <w:t>.</w:t>
      </w:r>
      <w:r>
        <w:rPr>
          <w:rFonts w:ascii="Arial" w:eastAsia="Times New Roman" w:hAnsi="Arial" w:cs="Arial"/>
          <w:sz w:val="24"/>
          <w:szCs w:val="24"/>
        </w:rPr>
        <w:t>0</w:t>
      </w:r>
      <w:r w:rsidRPr="00AC2206">
        <w:rPr>
          <w:rFonts w:ascii="Arial" w:eastAsia="Times New Roman" w:hAnsi="Arial" w:cs="Arial"/>
          <w:sz w:val="24"/>
          <w:szCs w:val="24"/>
        </w:rPr>
        <w:t xml:space="preserve">00,00 </w:t>
      </w:r>
      <w:r>
        <w:rPr>
          <w:rFonts w:ascii="Arial" w:eastAsia="Times New Roman" w:hAnsi="Arial" w:cs="Arial"/>
          <w:sz w:val="24"/>
          <w:szCs w:val="24"/>
        </w:rPr>
        <w:t>eura</w:t>
      </w:r>
      <w:r w:rsidRPr="00AC2206">
        <w:rPr>
          <w:rFonts w:ascii="Arial" w:eastAsia="Times New Roman" w:hAnsi="Arial" w:cs="Arial"/>
          <w:sz w:val="24"/>
          <w:szCs w:val="24"/>
        </w:rPr>
        <w:t>),</w:t>
      </w:r>
      <w:r>
        <w:rPr>
          <w:rFonts w:ascii="Arial" w:eastAsia="Times New Roman" w:hAnsi="Arial" w:cs="Arial"/>
          <w:sz w:val="24"/>
          <w:szCs w:val="24"/>
        </w:rPr>
        <w:t>osiguranje sportskih utakmica (10.000,00 eura), sportske manifestacije (3.000,00 eura)</w:t>
      </w:r>
    </w:p>
    <w:p w14:paraId="1476801E"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sz w:val="24"/>
          <w:szCs w:val="24"/>
        </w:rPr>
        <w:t>Sportska zajednica dužna je najmanje jedanput godišnje izvijestiti o načinu trošenja doznačenih joj sredstava, kao i uopće o svojem cjelokupnom radu.</w:t>
      </w:r>
    </w:p>
    <w:p w14:paraId="211DB5AC" w14:textId="77777777" w:rsidR="00E541EE" w:rsidRPr="00AC2206" w:rsidRDefault="00E541EE" w:rsidP="00E541EE">
      <w:pPr>
        <w:jc w:val="both"/>
        <w:rPr>
          <w:rFonts w:ascii="Arial" w:eastAsia="Times New Roman" w:hAnsi="Arial" w:cs="Arial"/>
          <w:bCs/>
          <w:sz w:val="24"/>
          <w:szCs w:val="24"/>
        </w:rPr>
      </w:pPr>
      <w:r w:rsidRPr="00AC2206">
        <w:rPr>
          <w:rFonts w:ascii="Arial" w:eastAsia="Times New Roman" w:hAnsi="Arial" w:cs="Arial"/>
          <w:b/>
          <w:bCs/>
          <w:sz w:val="24"/>
          <w:szCs w:val="24"/>
        </w:rPr>
        <w:t xml:space="preserve">Opći cilj: </w:t>
      </w:r>
      <w:r w:rsidRPr="00AC2206">
        <w:rPr>
          <w:rFonts w:ascii="Arial" w:eastAsia="Times New Roman" w:hAnsi="Arial" w:cs="Arial"/>
          <w:bCs/>
          <w:sz w:val="24"/>
          <w:szCs w:val="24"/>
        </w:rPr>
        <w:t>zadovoljenje potreba u područjima sportske djelatnosti svih dobnih uzrasta.</w:t>
      </w:r>
    </w:p>
    <w:p w14:paraId="0BCF58DC" w14:textId="77777777" w:rsidR="00E541EE" w:rsidRPr="00AC2206" w:rsidRDefault="00E541EE" w:rsidP="00E541EE">
      <w:pPr>
        <w:jc w:val="both"/>
        <w:rPr>
          <w:rFonts w:ascii="Arial" w:eastAsia="Times New Roman" w:hAnsi="Arial" w:cs="Arial"/>
          <w:bCs/>
          <w:sz w:val="24"/>
          <w:szCs w:val="24"/>
        </w:rPr>
      </w:pPr>
      <w:r w:rsidRPr="00AC2206">
        <w:rPr>
          <w:rFonts w:ascii="Arial" w:eastAsia="Times New Roman" w:hAnsi="Arial" w:cs="Arial"/>
          <w:b/>
          <w:bCs/>
          <w:sz w:val="24"/>
          <w:szCs w:val="24"/>
        </w:rPr>
        <w:t xml:space="preserve">Pokazatelj uspješnosti: </w:t>
      </w:r>
      <w:r w:rsidRPr="00AC2206">
        <w:rPr>
          <w:rFonts w:ascii="Arial" w:eastAsia="Times New Roman" w:hAnsi="Arial" w:cs="Arial"/>
          <w:bCs/>
          <w:sz w:val="24"/>
          <w:szCs w:val="24"/>
        </w:rPr>
        <w:t>izvršeni pregledi sportaša, plaćeno osiguranje sportaša te osigurani uvjeti za aktivnost sportskih klubova.</w:t>
      </w:r>
    </w:p>
    <w:p w14:paraId="2C90AD71" w14:textId="77777777" w:rsidR="00E541EE" w:rsidRPr="00AC2206" w:rsidRDefault="00E541EE" w:rsidP="00E541EE">
      <w:pPr>
        <w:jc w:val="both"/>
        <w:rPr>
          <w:rFonts w:ascii="Arial" w:eastAsia="Times New Roman" w:hAnsi="Arial" w:cs="Arial"/>
          <w:bCs/>
          <w:sz w:val="24"/>
          <w:szCs w:val="24"/>
        </w:rPr>
      </w:pPr>
    </w:p>
    <w:p w14:paraId="455A8066"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AC2206">
        <w:rPr>
          <w:rFonts w:ascii="Arial" w:eastAsia="Times New Roman" w:hAnsi="Arial" w:cs="Arial"/>
          <w:b/>
          <w:bCs/>
          <w:sz w:val="24"/>
          <w:szCs w:val="24"/>
        </w:rPr>
        <w:t>A 103007: Ostali projekti = 14.000,00 EUR</w:t>
      </w:r>
    </w:p>
    <w:p w14:paraId="3BFC934F"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Zakonska osnova</w:t>
      </w:r>
      <w:r w:rsidRPr="00AC2206">
        <w:rPr>
          <w:rFonts w:ascii="Arial" w:eastAsia="Times New Roman" w:hAnsi="Arial" w:cs="Arial"/>
          <w:b/>
          <w:sz w:val="24"/>
          <w:szCs w:val="24"/>
        </w:rPr>
        <w:t xml:space="preserve">: </w:t>
      </w:r>
      <w:r w:rsidRPr="00AC2206">
        <w:rPr>
          <w:rFonts w:ascii="Arial" w:eastAsia="Times New Roman" w:hAnsi="Arial" w:cs="Arial"/>
          <w:sz w:val="24"/>
          <w:szCs w:val="24"/>
        </w:rPr>
        <w:t>Zakon o sportu, Zakon o udrugama i Uredba o kriterijima, mjerilima i postupcima financiranja i ugovaranja programa i projekata od interesa za opće dobro koje provode udruge.</w:t>
      </w:r>
    </w:p>
    <w:p w14:paraId="63AC17C3"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sz w:val="24"/>
          <w:szCs w:val="24"/>
        </w:rPr>
        <w:t xml:space="preserve">Opis: </w:t>
      </w:r>
      <w:r w:rsidRPr="00AC2206">
        <w:rPr>
          <w:rFonts w:ascii="Arial" w:eastAsia="Times New Roman" w:hAnsi="Arial" w:cs="Arial"/>
          <w:sz w:val="24"/>
          <w:szCs w:val="24"/>
        </w:rPr>
        <w:t>iz planiranih sredstava financiraju se troškovi održavanja sportskih objekata koji su dodijeljeni sportskim udrugama na korištenje u skladu sa Odlukom o sportskim građevinama. Izvor financiranja ove aktivnosti jesu prihodi od zakupa dijela prostora tih objekata koji se raspoređuju u skladu sa Odlukom o rasporedu tih sredstava na koju je dalo suglasnost Gradsko vijeće.</w:t>
      </w:r>
    </w:p>
    <w:p w14:paraId="5C187A6A" w14:textId="77777777" w:rsidR="00E541EE" w:rsidRPr="00AC2206" w:rsidRDefault="00E541EE" w:rsidP="00E541EE">
      <w:pPr>
        <w:jc w:val="both"/>
        <w:rPr>
          <w:rFonts w:ascii="Arial" w:eastAsia="Times New Roman" w:hAnsi="Arial" w:cs="Arial"/>
          <w:bCs/>
          <w:sz w:val="24"/>
          <w:szCs w:val="24"/>
        </w:rPr>
      </w:pPr>
      <w:r w:rsidRPr="00AC2206">
        <w:rPr>
          <w:rFonts w:ascii="Arial" w:eastAsia="Times New Roman" w:hAnsi="Arial" w:cs="Arial"/>
          <w:b/>
          <w:bCs/>
          <w:sz w:val="24"/>
          <w:szCs w:val="24"/>
        </w:rPr>
        <w:t xml:space="preserve">Opći cilj: </w:t>
      </w:r>
      <w:r w:rsidRPr="00AC2206">
        <w:rPr>
          <w:rFonts w:ascii="Arial" w:eastAsia="Times New Roman" w:hAnsi="Arial" w:cs="Arial"/>
          <w:bCs/>
          <w:sz w:val="24"/>
          <w:szCs w:val="24"/>
        </w:rPr>
        <w:t>održavanje sportske infrastrukture.</w:t>
      </w:r>
    </w:p>
    <w:p w14:paraId="321D27E6" w14:textId="77777777" w:rsidR="00E541EE" w:rsidRPr="00AC2206" w:rsidRDefault="00E541EE" w:rsidP="00E541EE">
      <w:pPr>
        <w:jc w:val="both"/>
        <w:rPr>
          <w:rFonts w:ascii="Arial" w:eastAsia="Times New Roman" w:hAnsi="Arial" w:cs="Arial"/>
          <w:bCs/>
          <w:sz w:val="24"/>
          <w:szCs w:val="24"/>
        </w:rPr>
      </w:pPr>
      <w:r w:rsidRPr="00AC2206">
        <w:rPr>
          <w:rFonts w:ascii="Arial" w:eastAsia="Times New Roman" w:hAnsi="Arial" w:cs="Arial"/>
          <w:b/>
          <w:bCs/>
          <w:sz w:val="24"/>
          <w:szCs w:val="24"/>
        </w:rPr>
        <w:t xml:space="preserve">Pokazatelj uspješnosti: </w:t>
      </w:r>
      <w:r w:rsidRPr="00AC2206">
        <w:rPr>
          <w:rFonts w:ascii="Arial" w:eastAsia="Times New Roman" w:hAnsi="Arial" w:cs="Arial"/>
          <w:bCs/>
          <w:sz w:val="24"/>
          <w:szCs w:val="24"/>
        </w:rPr>
        <w:t>funkcionalnost objekata te</w:t>
      </w:r>
      <w:r w:rsidRPr="00AC2206">
        <w:rPr>
          <w:rFonts w:ascii="Arial" w:eastAsia="Times New Roman" w:hAnsi="Arial" w:cs="Arial"/>
          <w:b/>
          <w:bCs/>
          <w:sz w:val="24"/>
          <w:szCs w:val="24"/>
        </w:rPr>
        <w:t xml:space="preserve"> </w:t>
      </w:r>
      <w:r w:rsidRPr="00AC2206">
        <w:rPr>
          <w:rFonts w:ascii="Arial" w:eastAsia="Times New Roman" w:hAnsi="Arial" w:cs="Arial"/>
          <w:bCs/>
          <w:sz w:val="24"/>
          <w:szCs w:val="24"/>
        </w:rPr>
        <w:t>podmirivanje svih obaveza.</w:t>
      </w:r>
    </w:p>
    <w:p w14:paraId="239071E8" w14:textId="77777777" w:rsidR="00E541EE" w:rsidRPr="00AC2206" w:rsidRDefault="00E541EE" w:rsidP="00E541EE">
      <w:pPr>
        <w:jc w:val="both"/>
        <w:rPr>
          <w:rFonts w:ascii="Arial" w:eastAsia="Times New Roman" w:hAnsi="Arial" w:cs="Arial"/>
          <w:sz w:val="24"/>
          <w:szCs w:val="24"/>
        </w:rPr>
      </w:pPr>
    </w:p>
    <w:p w14:paraId="776E9277"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rPr>
          <w:rFonts w:ascii="Arial" w:eastAsia="Times New Roman" w:hAnsi="Arial" w:cs="Arial"/>
          <w:b/>
          <w:bCs/>
          <w:sz w:val="24"/>
          <w:szCs w:val="24"/>
        </w:rPr>
      </w:pPr>
      <w:r w:rsidRPr="00AC2206">
        <w:rPr>
          <w:rFonts w:ascii="Arial" w:eastAsia="Times New Roman" w:hAnsi="Arial" w:cs="Arial"/>
          <w:b/>
          <w:bCs/>
          <w:sz w:val="24"/>
          <w:szCs w:val="24"/>
        </w:rPr>
        <w:t>A 103008: Dodatno poticanje sportskih djelat</w:t>
      </w:r>
      <w:r>
        <w:rPr>
          <w:rFonts w:ascii="Arial" w:eastAsia="Times New Roman" w:hAnsi="Arial" w:cs="Arial"/>
          <w:b/>
          <w:bCs/>
          <w:sz w:val="24"/>
          <w:szCs w:val="24"/>
        </w:rPr>
        <w:t>.</w:t>
      </w:r>
      <w:r w:rsidRPr="00AC2206">
        <w:rPr>
          <w:rFonts w:ascii="Arial" w:eastAsia="Times New Roman" w:hAnsi="Arial" w:cs="Arial"/>
          <w:b/>
          <w:bCs/>
          <w:sz w:val="24"/>
          <w:szCs w:val="24"/>
        </w:rPr>
        <w:t xml:space="preserve"> nositelja kvalitet</w:t>
      </w:r>
      <w:r>
        <w:rPr>
          <w:rFonts w:ascii="Arial" w:eastAsia="Times New Roman" w:hAnsi="Arial" w:cs="Arial"/>
          <w:b/>
          <w:bCs/>
          <w:sz w:val="24"/>
          <w:szCs w:val="24"/>
        </w:rPr>
        <w:t>a</w:t>
      </w:r>
      <w:r w:rsidRPr="00AC2206">
        <w:rPr>
          <w:rFonts w:ascii="Arial" w:eastAsia="Times New Roman" w:hAnsi="Arial" w:cs="Arial"/>
          <w:b/>
          <w:bCs/>
          <w:sz w:val="24"/>
          <w:szCs w:val="24"/>
        </w:rPr>
        <w:t xml:space="preserve"> </w:t>
      </w:r>
    </w:p>
    <w:p w14:paraId="67F5E07B"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rPr>
          <w:rFonts w:ascii="Arial" w:eastAsia="Times New Roman" w:hAnsi="Arial" w:cs="Arial"/>
          <w:b/>
          <w:bCs/>
          <w:sz w:val="24"/>
          <w:szCs w:val="24"/>
        </w:rPr>
      </w:pPr>
      <w:r w:rsidRPr="00AC2206">
        <w:rPr>
          <w:rFonts w:ascii="Arial" w:eastAsia="Times New Roman" w:hAnsi="Arial" w:cs="Arial"/>
          <w:b/>
          <w:bCs/>
          <w:sz w:val="24"/>
          <w:szCs w:val="24"/>
        </w:rPr>
        <w:t xml:space="preserve">= </w:t>
      </w:r>
      <w:r>
        <w:rPr>
          <w:rFonts w:ascii="Arial" w:eastAsia="Times New Roman" w:hAnsi="Arial" w:cs="Arial"/>
          <w:b/>
          <w:bCs/>
          <w:sz w:val="24"/>
          <w:szCs w:val="24"/>
        </w:rPr>
        <w:t>4</w:t>
      </w:r>
      <w:r w:rsidRPr="00AC2206">
        <w:rPr>
          <w:rFonts w:ascii="Arial" w:eastAsia="Times New Roman" w:hAnsi="Arial" w:cs="Arial"/>
          <w:b/>
          <w:bCs/>
          <w:sz w:val="24"/>
          <w:szCs w:val="24"/>
        </w:rPr>
        <w:t>4.000,00 EUR</w:t>
      </w:r>
    </w:p>
    <w:p w14:paraId="5EB1B542"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Zakonska osnova</w:t>
      </w:r>
      <w:r w:rsidRPr="00AC2206">
        <w:rPr>
          <w:rFonts w:ascii="Arial" w:eastAsia="Times New Roman" w:hAnsi="Arial" w:cs="Arial"/>
          <w:b/>
          <w:sz w:val="24"/>
          <w:szCs w:val="24"/>
        </w:rPr>
        <w:t xml:space="preserve">: </w:t>
      </w:r>
      <w:r w:rsidRPr="00AC2206">
        <w:rPr>
          <w:rFonts w:ascii="Arial" w:eastAsia="Times New Roman" w:hAnsi="Arial" w:cs="Arial"/>
          <w:sz w:val="24"/>
          <w:szCs w:val="24"/>
        </w:rPr>
        <w:t>Zakon o sportu, Zakon o udrugama i Uredba o kriterijima, mjerilima i postupcima financiranja i ugovaranja programa i projekata od interesa za opće dobro koje provode udruge.</w:t>
      </w:r>
    </w:p>
    <w:p w14:paraId="6283985D"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sz w:val="24"/>
          <w:szCs w:val="24"/>
        </w:rPr>
        <w:t xml:space="preserve">Opis: </w:t>
      </w:r>
      <w:r w:rsidRPr="00AC2206">
        <w:rPr>
          <w:rFonts w:ascii="Arial" w:eastAsia="Times New Roman" w:hAnsi="Arial" w:cs="Arial"/>
          <w:sz w:val="24"/>
          <w:szCs w:val="24"/>
        </w:rPr>
        <w:t>planiranim sredstvima financira se i dodatno potiče izvrsnost u sportu, odnosno omogućava postizanje boljih rezultata, nagrađuju se one udruge koje se natječu u višim rangovima te koje svojom djelatnošću pridonose razvoju sporta. Sredstva će se raspoređivati sukladno odlukama SZ.</w:t>
      </w:r>
    </w:p>
    <w:p w14:paraId="6D791D7F" w14:textId="77777777" w:rsidR="00E541EE" w:rsidRPr="00AC2206" w:rsidRDefault="00E541EE" w:rsidP="00E541EE">
      <w:pPr>
        <w:jc w:val="both"/>
        <w:rPr>
          <w:rFonts w:ascii="Arial" w:eastAsia="Times New Roman" w:hAnsi="Arial" w:cs="Arial"/>
          <w:bCs/>
          <w:sz w:val="24"/>
          <w:szCs w:val="24"/>
        </w:rPr>
      </w:pPr>
      <w:r w:rsidRPr="00AC2206">
        <w:rPr>
          <w:rFonts w:ascii="Arial" w:eastAsia="Times New Roman" w:hAnsi="Arial" w:cs="Arial"/>
          <w:b/>
          <w:bCs/>
          <w:sz w:val="24"/>
          <w:szCs w:val="24"/>
        </w:rPr>
        <w:t xml:space="preserve">Opći cilj: </w:t>
      </w:r>
      <w:r w:rsidRPr="00AC2206">
        <w:rPr>
          <w:rFonts w:ascii="Arial" w:eastAsia="Times New Roman" w:hAnsi="Arial" w:cs="Arial"/>
          <w:bCs/>
          <w:sz w:val="24"/>
          <w:szCs w:val="24"/>
        </w:rPr>
        <w:t>poticanje izvrsnosti u sportu.</w:t>
      </w:r>
    </w:p>
    <w:p w14:paraId="5A6D78B0"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 xml:space="preserve">Pokazatelj uspješnosti: </w:t>
      </w:r>
      <w:r w:rsidRPr="00AC2206">
        <w:rPr>
          <w:rFonts w:ascii="Arial" w:eastAsia="Times New Roman" w:hAnsi="Arial" w:cs="Arial"/>
          <w:bCs/>
          <w:sz w:val="24"/>
          <w:szCs w:val="24"/>
        </w:rPr>
        <w:t>broj udruga koje ostvaruju dodatne poticaje.</w:t>
      </w:r>
    </w:p>
    <w:p w14:paraId="34BBD2FA" w14:textId="77777777" w:rsidR="00E541EE" w:rsidRDefault="00E541EE" w:rsidP="00E541EE">
      <w:pPr>
        <w:jc w:val="both"/>
        <w:rPr>
          <w:rFonts w:ascii="Arial" w:eastAsia="Times New Roman" w:hAnsi="Arial" w:cs="Arial"/>
          <w:sz w:val="24"/>
          <w:szCs w:val="24"/>
        </w:rPr>
      </w:pPr>
    </w:p>
    <w:p w14:paraId="24998EE6" w14:textId="77777777" w:rsidR="00E541EE" w:rsidRPr="00AC2206" w:rsidRDefault="00E541EE" w:rsidP="00E541EE">
      <w:pPr>
        <w:jc w:val="both"/>
        <w:rPr>
          <w:rFonts w:ascii="Arial" w:eastAsia="Times New Roman" w:hAnsi="Arial" w:cs="Arial"/>
          <w:sz w:val="24"/>
          <w:szCs w:val="24"/>
        </w:rPr>
      </w:pPr>
    </w:p>
    <w:p w14:paraId="320BCB5F"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FFFF80"/>
        <w:rPr>
          <w:rFonts w:ascii="Arial" w:eastAsia="Times New Roman" w:hAnsi="Arial" w:cs="Arial"/>
          <w:b/>
          <w:bCs/>
          <w:sz w:val="24"/>
          <w:szCs w:val="24"/>
        </w:rPr>
      </w:pPr>
      <w:r w:rsidRPr="00AC2206">
        <w:rPr>
          <w:rFonts w:ascii="Arial" w:eastAsia="Times New Roman" w:hAnsi="Arial" w:cs="Arial"/>
          <w:b/>
          <w:bCs/>
          <w:sz w:val="24"/>
          <w:szCs w:val="24"/>
        </w:rPr>
        <w:t xml:space="preserve">Program 1031: Sufinanciranje TD Valbruna sport d.o.o. Rovinj-Rovigno  </w:t>
      </w:r>
    </w:p>
    <w:p w14:paraId="0985CFBC"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FFFF80"/>
        <w:rPr>
          <w:rFonts w:ascii="Arial" w:eastAsia="Times New Roman" w:hAnsi="Arial" w:cs="Arial"/>
          <w:b/>
          <w:bCs/>
          <w:sz w:val="24"/>
          <w:szCs w:val="24"/>
        </w:rPr>
      </w:pPr>
      <w:r w:rsidRPr="00AC2206">
        <w:rPr>
          <w:rFonts w:ascii="Arial" w:eastAsia="Times New Roman" w:hAnsi="Arial" w:cs="Arial"/>
          <w:b/>
          <w:bCs/>
          <w:sz w:val="24"/>
          <w:szCs w:val="24"/>
        </w:rPr>
        <w:t>= 9</w:t>
      </w:r>
      <w:r>
        <w:rPr>
          <w:rFonts w:ascii="Arial" w:eastAsia="Times New Roman" w:hAnsi="Arial" w:cs="Arial"/>
          <w:b/>
          <w:bCs/>
          <w:sz w:val="24"/>
          <w:szCs w:val="24"/>
        </w:rPr>
        <w:t>41.750</w:t>
      </w:r>
      <w:r w:rsidRPr="00AC2206">
        <w:rPr>
          <w:rFonts w:ascii="Arial" w:eastAsia="Times New Roman" w:hAnsi="Arial" w:cs="Arial"/>
          <w:b/>
          <w:bCs/>
          <w:sz w:val="24"/>
          <w:szCs w:val="24"/>
        </w:rPr>
        <w:t>,00 EUR</w:t>
      </w:r>
    </w:p>
    <w:p w14:paraId="6D7F1910" w14:textId="77777777" w:rsidR="00E541EE" w:rsidRPr="00AC2206" w:rsidRDefault="00E541EE" w:rsidP="00E541EE">
      <w:pPr>
        <w:jc w:val="both"/>
        <w:rPr>
          <w:rFonts w:ascii="Arial" w:eastAsia="Times New Roman" w:hAnsi="Arial" w:cs="Arial"/>
          <w:sz w:val="24"/>
          <w:szCs w:val="24"/>
        </w:rPr>
      </w:pPr>
    </w:p>
    <w:tbl>
      <w:tblPr>
        <w:tblW w:w="1049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8"/>
        <w:gridCol w:w="851"/>
        <w:gridCol w:w="992"/>
        <w:gridCol w:w="1134"/>
        <w:gridCol w:w="850"/>
        <w:gridCol w:w="1134"/>
        <w:gridCol w:w="851"/>
        <w:gridCol w:w="850"/>
        <w:gridCol w:w="851"/>
        <w:gridCol w:w="567"/>
        <w:gridCol w:w="992"/>
      </w:tblGrid>
      <w:tr w:rsidR="00E541EE" w:rsidRPr="005D517E" w14:paraId="324EBE44" w14:textId="77777777" w:rsidTr="00001106">
        <w:trPr>
          <w:trHeight w:val="554"/>
        </w:trPr>
        <w:tc>
          <w:tcPr>
            <w:tcW w:w="1418" w:type="dxa"/>
            <w:vMerge w:val="restart"/>
            <w:vAlign w:val="center"/>
          </w:tcPr>
          <w:p w14:paraId="3FF17CBD" w14:textId="77777777" w:rsidR="00E541EE" w:rsidRPr="005D517E" w:rsidRDefault="00E541EE" w:rsidP="00A84BB5">
            <w:pPr>
              <w:widowControl w:val="0"/>
              <w:autoSpaceDE w:val="0"/>
              <w:autoSpaceDN w:val="0"/>
              <w:spacing w:before="49"/>
              <w:jc w:val="center"/>
              <w:rPr>
                <w:b/>
                <w:sz w:val="14"/>
                <w:szCs w:val="14"/>
              </w:rPr>
            </w:pPr>
            <w:r w:rsidRPr="005D517E">
              <w:rPr>
                <w:b/>
                <w:sz w:val="14"/>
                <w:szCs w:val="14"/>
              </w:rPr>
              <w:t>Doprinos</w:t>
            </w:r>
            <w:r w:rsidRPr="005D517E">
              <w:rPr>
                <w:b/>
                <w:spacing w:val="-34"/>
                <w:sz w:val="14"/>
                <w:szCs w:val="14"/>
              </w:rPr>
              <w:t xml:space="preserve"> </w:t>
            </w:r>
            <w:r w:rsidRPr="005D517E">
              <w:rPr>
                <w:b/>
                <w:sz w:val="14"/>
                <w:szCs w:val="14"/>
              </w:rPr>
              <w:t>provedbi</w:t>
            </w:r>
          </w:p>
          <w:p w14:paraId="2E4B374D" w14:textId="77777777" w:rsidR="00E541EE" w:rsidRPr="005D517E" w:rsidRDefault="00E541EE" w:rsidP="00A84BB5">
            <w:pPr>
              <w:widowControl w:val="0"/>
              <w:autoSpaceDE w:val="0"/>
              <w:autoSpaceDN w:val="0"/>
              <w:spacing w:line="194" w:lineRule="exact"/>
              <w:jc w:val="center"/>
              <w:rPr>
                <w:b/>
                <w:sz w:val="14"/>
                <w:szCs w:val="14"/>
              </w:rPr>
            </w:pPr>
            <w:r w:rsidRPr="005D517E">
              <w:rPr>
                <w:b/>
                <w:sz w:val="14"/>
                <w:szCs w:val="14"/>
              </w:rPr>
              <w:t>nadređenog</w:t>
            </w:r>
          </w:p>
          <w:p w14:paraId="16955A3E" w14:textId="77777777" w:rsidR="00E541EE" w:rsidRPr="005D517E" w:rsidRDefault="00E541EE" w:rsidP="00A84BB5">
            <w:pPr>
              <w:widowControl w:val="0"/>
              <w:autoSpaceDE w:val="0"/>
              <w:autoSpaceDN w:val="0"/>
              <w:spacing w:before="49"/>
              <w:jc w:val="center"/>
              <w:rPr>
                <w:b/>
                <w:sz w:val="14"/>
                <w:szCs w:val="14"/>
              </w:rPr>
            </w:pPr>
            <w:r w:rsidRPr="005D517E">
              <w:rPr>
                <w:b/>
                <w:sz w:val="14"/>
                <w:szCs w:val="14"/>
              </w:rPr>
              <w:t>akta</w:t>
            </w:r>
            <w:r w:rsidRPr="005D517E">
              <w:rPr>
                <w:b/>
                <w:spacing w:val="1"/>
                <w:sz w:val="14"/>
                <w:szCs w:val="14"/>
              </w:rPr>
              <w:t xml:space="preserve"> </w:t>
            </w:r>
            <w:r w:rsidRPr="005D517E">
              <w:rPr>
                <w:b/>
                <w:sz w:val="14"/>
                <w:szCs w:val="14"/>
              </w:rPr>
              <w:t>strateškog</w:t>
            </w:r>
            <w:r w:rsidRPr="005D517E">
              <w:rPr>
                <w:b/>
                <w:spacing w:val="-34"/>
                <w:sz w:val="14"/>
                <w:szCs w:val="14"/>
              </w:rPr>
              <w:t xml:space="preserve"> </w:t>
            </w:r>
            <w:r w:rsidRPr="005D517E">
              <w:rPr>
                <w:b/>
                <w:sz w:val="14"/>
                <w:szCs w:val="14"/>
              </w:rPr>
              <w:t>planiranja</w:t>
            </w:r>
          </w:p>
        </w:tc>
        <w:tc>
          <w:tcPr>
            <w:tcW w:w="851" w:type="dxa"/>
            <w:vMerge w:val="restart"/>
            <w:vAlign w:val="center"/>
          </w:tcPr>
          <w:p w14:paraId="7AB3CB1F" w14:textId="77777777" w:rsidR="00E541EE" w:rsidRPr="005D517E" w:rsidRDefault="00E541EE" w:rsidP="00A84BB5">
            <w:pPr>
              <w:widowControl w:val="0"/>
              <w:autoSpaceDE w:val="0"/>
              <w:autoSpaceDN w:val="0"/>
              <w:spacing w:line="195" w:lineRule="exact"/>
              <w:ind w:left="44" w:right="35"/>
              <w:jc w:val="center"/>
              <w:rPr>
                <w:b/>
                <w:sz w:val="14"/>
                <w:szCs w:val="14"/>
              </w:rPr>
            </w:pPr>
            <w:r w:rsidRPr="005D517E">
              <w:rPr>
                <w:b/>
                <w:sz w:val="14"/>
                <w:szCs w:val="14"/>
              </w:rPr>
              <w:t>Naziv</w:t>
            </w:r>
            <w:r w:rsidRPr="005D517E">
              <w:rPr>
                <w:b/>
                <w:spacing w:val="-3"/>
                <w:sz w:val="14"/>
                <w:szCs w:val="14"/>
              </w:rPr>
              <w:t xml:space="preserve"> </w:t>
            </w:r>
            <w:r w:rsidRPr="005D517E">
              <w:rPr>
                <w:b/>
                <w:sz w:val="14"/>
                <w:szCs w:val="14"/>
              </w:rPr>
              <w:t>cilja nadređenog</w:t>
            </w:r>
            <w:r w:rsidRPr="005D517E">
              <w:rPr>
                <w:b/>
                <w:spacing w:val="1"/>
                <w:sz w:val="14"/>
                <w:szCs w:val="14"/>
              </w:rPr>
              <w:t xml:space="preserve"> </w:t>
            </w:r>
            <w:r w:rsidRPr="005D517E">
              <w:rPr>
                <w:b/>
                <w:spacing w:val="-1"/>
                <w:sz w:val="14"/>
                <w:szCs w:val="14"/>
              </w:rPr>
              <w:t>akta</w:t>
            </w:r>
            <w:r w:rsidRPr="005D517E">
              <w:rPr>
                <w:b/>
                <w:spacing w:val="-2"/>
                <w:sz w:val="14"/>
                <w:szCs w:val="14"/>
              </w:rPr>
              <w:t xml:space="preserve"> </w:t>
            </w:r>
            <w:r w:rsidRPr="005D517E">
              <w:rPr>
                <w:b/>
                <w:spacing w:val="-1"/>
                <w:sz w:val="14"/>
                <w:szCs w:val="14"/>
              </w:rPr>
              <w:t xml:space="preserve">strateškog </w:t>
            </w:r>
            <w:r w:rsidRPr="005D517E">
              <w:rPr>
                <w:b/>
                <w:sz w:val="14"/>
                <w:szCs w:val="14"/>
              </w:rPr>
              <w:t>planiranja</w:t>
            </w:r>
          </w:p>
        </w:tc>
        <w:tc>
          <w:tcPr>
            <w:tcW w:w="992" w:type="dxa"/>
            <w:vMerge w:val="restart"/>
            <w:vAlign w:val="center"/>
          </w:tcPr>
          <w:p w14:paraId="5E8452DB" w14:textId="77777777" w:rsidR="00E541EE" w:rsidRPr="005D517E" w:rsidRDefault="00E541EE" w:rsidP="00A84BB5">
            <w:pPr>
              <w:widowControl w:val="0"/>
              <w:autoSpaceDE w:val="0"/>
              <w:autoSpaceDN w:val="0"/>
              <w:ind w:left="125" w:right="114"/>
              <w:jc w:val="center"/>
              <w:rPr>
                <w:b/>
                <w:sz w:val="14"/>
                <w:szCs w:val="14"/>
              </w:rPr>
            </w:pPr>
            <w:r w:rsidRPr="005D517E">
              <w:rPr>
                <w:b/>
                <w:spacing w:val="-1"/>
                <w:sz w:val="14"/>
                <w:szCs w:val="14"/>
              </w:rPr>
              <w:t xml:space="preserve">Program </w:t>
            </w:r>
            <w:r w:rsidRPr="005D517E">
              <w:rPr>
                <w:b/>
                <w:sz w:val="14"/>
                <w:szCs w:val="14"/>
              </w:rPr>
              <w:t>u</w:t>
            </w:r>
            <w:r w:rsidRPr="005D517E">
              <w:rPr>
                <w:b/>
                <w:spacing w:val="-34"/>
                <w:sz w:val="14"/>
                <w:szCs w:val="14"/>
              </w:rPr>
              <w:t xml:space="preserve"> </w:t>
            </w:r>
            <w:r w:rsidRPr="005D517E">
              <w:rPr>
                <w:b/>
                <w:sz w:val="14"/>
                <w:szCs w:val="14"/>
              </w:rPr>
              <w:t xml:space="preserve">proračunu </w:t>
            </w:r>
            <w:r w:rsidRPr="005D517E">
              <w:rPr>
                <w:b/>
                <w:spacing w:val="-34"/>
                <w:sz w:val="14"/>
                <w:szCs w:val="14"/>
              </w:rPr>
              <w:t xml:space="preserve"> </w:t>
            </w:r>
            <w:r w:rsidRPr="005D517E">
              <w:rPr>
                <w:b/>
                <w:sz w:val="14"/>
                <w:szCs w:val="14"/>
              </w:rPr>
              <w:t>JLS</w:t>
            </w:r>
          </w:p>
        </w:tc>
        <w:tc>
          <w:tcPr>
            <w:tcW w:w="1134" w:type="dxa"/>
            <w:vMerge w:val="restart"/>
            <w:vAlign w:val="center"/>
          </w:tcPr>
          <w:p w14:paraId="156B794C" w14:textId="77777777" w:rsidR="00E541EE" w:rsidRPr="005D517E" w:rsidRDefault="00E541EE" w:rsidP="00A84BB5">
            <w:pPr>
              <w:widowControl w:val="0"/>
              <w:autoSpaceDE w:val="0"/>
              <w:autoSpaceDN w:val="0"/>
              <w:ind w:left="179"/>
              <w:jc w:val="center"/>
              <w:rPr>
                <w:b/>
                <w:sz w:val="14"/>
                <w:szCs w:val="14"/>
              </w:rPr>
            </w:pPr>
            <w:r w:rsidRPr="005D517E">
              <w:rPr>
                <w:b/>
                <w:sz w:val="14"/>
                <w:szCs w:val="14"/>
              </w:rPr>
              <w:t>Naziv</w:t>
            </w:r>
            <w:r w:rsidRPr="005D517E">
              <w:rPr>
                <w:b/>
                <w:spacing w:val="-2"/>
                <w:sz w:val="14"/>
                <w:szCs w:val="14"/>
              </w:rPr>
              <w:t xml:space="preserve"> </w:t>
            </w:r>
            <w:r w:rsidRPr="005D517E">
              <w:rPr>
                <w:b/>
                <w:sz w:val="14"/>
                <w:szCs w:val="14"/>
              </w:rPr>
              <w:t>mjere</w:t>
            </w:r>
          </w:p>
        </w:tc>
        <w:tc>
          <w:tcPr>
            <w:tcW w:w="850" w:type="dxa"/>
            <w:vMerge w:val="restart"/>
            <w:vAlign w:val="center"/>
          </w:tcPr>
          <w:p w14:paraId="57191500" w14:textId="77777777" w:rsidR="00E541EE" w:rsidRPr="005D517E" w:rsidRDefault="00E541EE" w:rsidP="00A84BB5">
            <w:pPr>
              <w:widowControl w:val="0"/>
              <w:autoSpaceDE w:val="0"/>
              <w:autoSpaceDN w:val="0"/>
              <w:ind w:left="70" w:right="60"/>
              <w:jc w:val="center"/>
              <w:rPr>
                <w:b/>
                <w:sz w:val="14"/>
                <w:szCs w:val="14"/>
              </w:rPr>
            </w:pPr>
            <w:r w:rsidRPr="005D517E">
              <w:rPr>
                <w:b/>
                <w:sz w:val="14"/>
                <w:szCs w:val="14"/>
              </w:rPr>
              <w:t>Procijenjeni</w:t>
            </w:r>
            <w:r w:rsidRPr="005D517E">
              <w:rPr>
                <w:b/>
                <w:spacing w:val="-34"/>
                <w:sz w:val="14"/>
                <w:szCs w:val="14"/>
              </w:rPr>
              <w:t xml:space="preserve"> </w:t>
            </w:r>
            <w:r w:rsidRPr="005D517E">
              <w:rPr>
                <w:b/>
                <w:sz w:val="14"/>
                <w:szCs w:val="14"/>
              </w:rPr>
              <w:t>trošak</w:t>
            </w:r>
            <w:r w:rsidRPr="005D517E">
              <w:rPr>
                <w:b/>
                <w:spacing w:val="1"/>
                <w:sz w:val="14"/>
                <w:szCs w:val="14"/>
              </w:rPr>
              <w:t xml:space="preserve"> </w:t>
            </w:r>
            <w:r w:rsidRPr="005D517E">
              <w:rPr>
                <w:b/>
                <w:sz w:val="14"/>
                <w:szCs w:val="14"/>
              </w:rPr>
              <w:t>provedbe</w:t>
            </w:r>
            <w:r w:rsidRPr="005D517E">
              <w:rPr>
                <w:b/>
                <w:spacing w:val="1"/>
                <w:sz w:val="14"/>
                <w:szCs w:val="14"/>
              </w:rPr>
              <w:t xml:space="preserve"> </w:t>
            </w:r>
            <w:r w:rsidRPr="005D517E">
              <w:rPr>
                <w:b/>
                <w:sz w:val="14"/>
                <w:szCs w:val="14"/>
              </w:rPr>
              <w:t>mjere 2026.</w:t>
            </w:r>
          </w:p>
          <w:p w14:paraId="78478A45" w14:textId="77777777" w:rsidR="00E541EE" w:rsidRPr="005D517E" w:rsidRDefault="00E541EE" w:rsidP="00A84BB5">
            <w:pPr>
              <w:widowControl w:val="0"/>
              <w:autoSpaceDE w:val="0"/>
              <w:autoSpaceDN w:val="0"/>
              <w:spacing w:before="2"/>
              <w:ind w:left="70" w:right="58"/>
              <w:jc w:val="center"/>
              <w:rPr>
                <w:b/>
                <w:sz w:val="14"/>
                <w:szCs w:val="14"/>
              </w:rPr>
            </w:pPr>
            <w:r w:rsidRPr="005D517E">
              <w:rPr>
                <w:b/>
                <w:sz w:val="14"/>
                <w:szCs w:val="14"/>
              </w:rPr>
              <w:t>(u EUR)</w:t>
            </w:r>
          </w:p>
        </w:tc>
        <w:tc>
          <w:tcPr>
            <w:tcW w:w="1134" w:type="dxa"/>
            <w:vMerge w:val="restart"/>
            <w:vAlign w:val="center"/>
          </w:tcPr>
          <w:p w14:paraId="6B908122" w14:textId="77777777" w:rsidR="00E541EE" w:rsidRPr="005D517E" w:rsidRDefault="00E541EE" w:rsidP="00A84BB5">
            <w:pPr>
              <w:widowControl w:val="0"/>
              <w:autoSpaceDE w:val="0"/>
              <w:autoSpaceDN w:val="0"/>
              <w:ind w:left="311"/>
              <w:rPr>
                <w:b/>
                <w:sz w:val="14"/>
                <w:szCs w:val="14"/>
              </w:rPr>
            </w:pPr>
            <w:r w:rsidRPr="005D517E">
              <w:rPr>
                <w:b/>
                <w:sz w:val="14"/>
                <w:szCs w:val="14"/>
              </w:rPr>
              <w:t>Ključne</w:t>
            </w:r>
          </w:p>
          <w:p w14:paraId="21B6F029" w14:textId="77777777" w:rsidR="00E541EE" w:rsidRPr="005D517E" w:rsidRDefault="00E541EE" w:rsidP="00A84BB5">
            <w:pPr>
              <w:widowControl w:val="0"/>
              <w:autoSpaceDE w:val="0"/>
              <w:autoSpaceDN w:val="0"/>
              <w:spacing w:before="1"/>
              <w:ind w:left="227"/>
              <w:rPr>
                <w:b/>
                <w:sz w:val="14"/>
                <w:szCs w:val="14"/>
              </w:rPr>
            </w:pPr>
            <w:r w:rsidRPr="005D517E">
              <w:rPr>
                <w:b/>
                <w:sz w:val="14"/>
                <w:szCs w:val="14"/>
              </w:rPr>
              <w:t>aktivnosti</w:t>
            </w:r>
          </w:p>
        </w:tc>
        <w:tc>
          <w:tcPr>
            <w:tcW w:w="851" w:type="dxa"/>
            <w:vMerge w:val="restart"/>
            <w:vAlign w:val="center"/>
          </w:tcPr>
          <w:p w14:paraId="022823A6" w14:textId="77777777" w:rsidR="00E541EE" w:rsidRPr="005D517E" w:rsidRDefault="00E541EE" w:rsidP="00A84BB5">
            <w:pPr>
              <w:widowControl w:val="0"/>
              <w:autoSpaceDE w:val="0"/>
              <w:autoSpaceDN w:val="0"/>
              <w:ind w:left="62" w:right="97" w:hanging="44"/>
              <w:jc w:val="center"/>
              <w:rPr>
                <w:b/>
                <w:sz w:val="14"/>
                <w:szCs w:val="14"/>
              </w:rPr>
            </w:pPr>
            <w:r w:rsidRPr="005D517E">
              <w:rPr>
                <w:b/>
                <w:sz w:val="14"/>
                <w:szCs w:val="14"/>
              </w:rPr>
              <w:t>Pokazatelj</w:t>
            </w:r>
            <w:r w:rsidRPr="005D517E">
              <w:rPr>
                <w:b/>
                <w:spacing w:val="-34"/>
                <w:sz w:val="14"/>
                <w:szCs w:val="14"/>
              </w:rPr>
              <w:t xml:space="preserve"> </w:t>
            </w:r>
            <w:r w:rsidRPr="005D517E">
              <w:rPr>
                <w:b/>
                <w:sz w:val="14"/>
                <w:szCs w:val="14"/>
              </w:rPr>
              <w:t>rezultata</w:t>
            </w:r>
          </w:p>
        </w:tc>
        <w:tc>
          <w:tcPr>
            <w:tcW w:w="850" w:type="dxa"/>
            <w:vMerge w:val="restart"/>
            <w:vAlign w:val="center"/>
          </w:tcPr>
          <w:p w14:paraId="58EC471C" w14:textId="77777777" w:rsidR="00E541EE" w:rsidRPr="005D517E" w:rsidRDefault="00E541EE" w:rsidP="00A84BB5">
            <w:pPr>
              <w:widowControl w:val="0"/>
              <w:autoSpaceDE w:val="0"/>
              <w:autoSpaceDN w:val="0"/>
              <w:ind w:right="32"/>
              <w:jc w:val="center"/>
              <w:rPr>
                <w:b/>
                <w:sz w:val="14"/>
                <w:szCs w:val="14"/>
              </w:rPr>
            </w:pPr>
            <w:r w:rsidRPr="005D517E">
              <w:rPr>
                <w:b/>
                <w:sz w:val="14"/>
                <w:szCs w:val="14"/>
              </w:rPr>
              <w:t>Početna</w:t>
            </w:r>
            <w:r w:rsidRPr="005D517E">
              <w:rPr>
                <w:b/>
                <w:spacing w:val="1"/>
                <w:sz w:val="14"/>
                <w:szCs w:val="14"/>
              </w:rPr>
              <w:t xml:space="preserve"> </w:t>
            </w:r>
            <w:r w:rsidRPr="005D517E">
              <w:rPr>
                <w:b/>
                <w:sz w:val="14"/>
                <w:szCs w:val="14"/>
              </w:rPr>
              <w:t>vrijednost 2025.</w:t>
            </w:r>
            <w:r w:rsidRPr="005D517E">
              <w:rPr>
                <w:b/>
                <w:spacing w:val="-34"/>
                <w:sz w:val="14"/>
                <w:szCs w:val="14"/>
              </w:rPr>
              <w:t xml:space="preserve"> </w:t>
            </w:r>
          </w:p>
        </w:tc>
        <w:tc>
          <w:tcPr>
            <w:tcW w:w="2410" w:type="dxa"/>
            <w:gridSpan w:val="3"/>
            <w:vAlign w:val="center"/>
          </w:tcPr>
          <w:p w14:paraId="7B70D2AA" w14:textId="77777777" w:rsidR="00E541EE" w:rsidRPr="005D517E" w:rsidRDefault="00E541EE" w:rsidP="00A84BB5">
            <w:pPr>
              <w:widowControl w:val="0"/>
              <w:autoSpaceDE w:val="0"/>
              <w:autoSpaceDN w:val="0"/>
              <w:ind w:left="70" w:right="56"/>
              <w:jc w:val="center"/>
              <w:rPr>
                <w:b/>
                <w:sz w:val="14"/>
                <w:szCs w:val="14"/>
              </w:rPr>
            </w:pPr>
            <w:r w:rsidRPr="005D517E">
              <w:rPr>
                <w:b/>
                <w:sz w:val="14"/>
                <w:szCs w:val="14"/>
              </w:rPr>
              <w:t>Ciljna</w:t>
            </w:r>
            <w:r w:rsidRPr="005D517E">
              <w:rPr>
                <w:b/>
                <w:spacing w:val="1"/>
                <w:sz w:val="14"/>
                <w:szCs w:val="14"/>
              </w:rPr>
              <w:t xml:space="preserve"> </w:t>
            </w:r>
            <w:r w:rsidRPr="005D517E">
              <w:rPr>
                <w:b/>
                <w:sz w:val="14"/>
                <w:szCs w:val="14"/>
              </w:rPr>
              <w:t>vrijednost</w:t>
            </w:r>
            <w:r w:rsidRPr="005D517E">
              <w:rPr>
                <w:b/>
                <w:spacing w:val="-34"/>
                <w:sz w:val="14"/>
                <w:szCs w:val="14"/>
              </w:rPr>
              <w:t xml:space="preserve"> </w:t>
            </w:r>
          </w:p>
        </w:tc>
      </w:tr>
      <w:tr w:rsidR="00E541EE" w:rsidRPr="005D517E" w14:paraId="387A1514" w14:textId="77777777" w:rsidTr="00001106">
        <w:trPr>
          <w:trHeight w:val="420"/>
        </w:trPr>
        <w:tc>
          <w:tcPr>
            <w:tcW w:w="1418" w:type="dxa"/>
            <w:vMerge/>
            <w:vAlign w:val="center"/>
          </w:tcPr>
          <w:p w14:paraId="11E60FF2" w14:textId="77777777" w:rsidR="00E541EE" w:rsidRPr="005D517E" w:rsidRDefault="00E541EE" w:rsidP="00A84BB5">
            <w:pPr>
              <w:widowControl w:val="0"/>
              <w:autoSpaceDE w:val="0"/>
              <w:autoSpaceDN w:val="0"/>
              <w:spacing w:before="49"/>
              <w:jc w:val="center"/>
              <w:rPr>
                <w:b/>
                <w:sz w:val="14"/>
                <w:szCs w:val="14"/>
              </w:rPr>
            </w:pPr>
          </w:p>
        </w:tc>
        <w:tc>
          <w:tcPr>
            <w:tcW w:w="851" w:type="dxa"/>
            <w:vMerge/>
            <w:vAlign w:val="center"/>
          </w:tcPr>
          <w:p w14:paraId="41FE7734" w14:textId="77777777" w:rsidR="00E541EE" w:rsidRPr="005D517E" w:rsidRDefault="00E541EE" w:rsidP="00A84BB5">
            <w:pPr>
              <w:widowControl w:val="0"/>
              <w:autoSpaceDE w:val="0"/>
              <w:autoSpaceDN w:val="0"/>
              <w:spacing w:line="195" w:lineRule="exact"/>
              <w:ind w:left="44" w:right="35"/>
              <w:jc w:val="center"/>
              <w:rPr>
                <w:b/>
                <w:sz w:val="14"/>
                <w:szCs w:val="14"/>
              </w:rPr>
            </w:pPr>
          </w:p>
        </w:tc>
        <w:tc>
          <w:tcPr>
            <w:tcW w:w="992" w:type="dxa"/>
            <w:vMerge/>
            <w:vAlign w:val="center"/>
          </w:tcPr>
          <w:p w14:paraId="5A2FD9E2" w14:textId="77777777" w:rsidR="00E541EE" w:rsidRPr="005D517E" w:rsidRDefault="00E541EE" w:rsidP="00A84BB5">
            <w:pPr>
              <w:widowControl w:val="0"/>
              <w:autoSpaceDE w:val="0"/>
              <w:autoSpaceDN w:val="0"/>
              <w:ind w:left="125" w:right="114"/>
              <w:jc w:val="center"/>
              <w:rPr>
                <w:b/>
                <w:spacing w:val="-1"/>
                <w:sz w:val="14"/>
                <w:szCs w:val="14"/>
              </w:rPr>
            </w:pPr>
          </w:p>
        </w:tc>
        <w:tc>
          <w:tcPr>
            <w:tcW w:w="1134" w:type="dxa"/>
            <w:vMerge/>
            <w:vAlign w:val="center"/>
          </w:tcPr>
          <w:p w14:paraId="78C6A4B1" w14:textId="77777777" w:rsidR="00E541EE" w:rsidRPr="005D517E" w:rsidRDefault="00E541EE" w:rsidP="00A84BB5">
            <w:pPr>
              <w:widowControl w:val="0"/>
              <w:autoSpaceDE w:val="0"/>
              <w:autoSpaceDN w:val="0"/>
              <w:ind w:left="179"/>
              <w:jc w:val="center"/>
              <w:rPr>
                <w:b/>
                <w:sz w:val="14"/>
                <w:szCs w:val="14"/>
              </w:rPr>
            </w:pPr>
          </w:p>
        </w:tc>
        <w:tc>
          <w:tcPr>
            <w:tcW w:w="850" w:type="dxa"/>
            <w:vMerge/>
            <w:vAlign w:val="center"/>
          </w:tcPr>
          <w:p w14:paraId="77A90239" w14:textId="77777777" w:rsidR="00E541EE" w:rsidRPr="005D517E" w:rsidRDefault="00E541EE" w:rsidP="00A84BB5">
            <w:pPr>
              <w:widowControl w:val="0"/>
              <w:autoSpaceDE w:val="0"/>
              <w:autoSpaceDN w:val="0"/>
              <w:ind w:left="70" w:right="60"/>
              <w:jc w:val="center"/>
              <w:rPr>
                <w:b/>
                <w:sz w:val="14"/>
                <w:szCs w:val="14"/>
              </w:rPr>
            </w:pPr>
          </w:p>
        </w:tc>
        <w:tc>
          <w:tcPr>
            <w:tcW w:w="1134" w:type="dxa"/>
            <w:vMerge/>
            <w:vAlign w:val="center"/>
          </w:tcPr>
          <w:p w14:paraId="29C74283" w14:textId="77777777" w:rsidR="00E541EE" w:rsidRPr="005D517E" w:rsidRDefault="00E541EE" w:rsidP="00A84BB5">
            <w:pPr>
              <w:widowControl w:val="0"/>
              <w:autoSpaceDE w:val="0"/>
              <w:autoSpaceDN w:val="0"/>
              <w:ind w:left="311"/>
              <w:jc w:val="center"/>
              <w:rPr>
                <w:b/>
                <w:sz w:val="14"/>
                <w:szCs w:val="14"/>
              </w:rPr>
            </w:pPr>
          </w:p>
        </w:tc>
        <w:tc>
          <w:tcPr>
            <w:tcW w:w="851" w:type="dxa"/>
            <w:vMerge/>
            <w:tcBorders>
              <w:bottom w:val="single" w:sz="4" w:space="0" w:color="auto"/>
            </w:tcBorders>
            <w:vAlign w:val="center"/>
          </w:tcPr>
          <w:p w14:paraId="5C4F7487" w14:textId="77777777" w:rsidR="00E541EE" w:rsidRPr="005D517E" w:rsidRDefault="00E541EE" w:rsidP="00A84BB5">
            <w:pPr>
              <w:widowControl w:val="0"/>
              <w:autoSpaceDE w:val="0"/>
              <w:autoSpaceDN w:val="0"/>
              <w:ind w:left="174" w:right="97" w:hanging="44"/>
              <w:jc w:val="center"/>
              <w:rPr>
                <w:b/>
                <w:sz w:val="14"/>
                <w:szCs w:val="14"/>
              </w:rPr>
            </w:pPr>
          </w:p>
        </w:tc>
        <w:tc>
          <w:tcPr>
            <w:tcW w:w="850" w:type="dxa"/>
            <w:vMerge/>
            <w:tcBorders>
              <w:bottom w:val="single" w:sz="4" w:space="0" w:color="auto"/>
            </w:tcBorders>
            <w:vAlign w:val="center"/>
          </w:tcPr>
          <w:p w14:paraId="6F36502F" w14:textId="77777777" w:rsidR="00E541EE" w:rsidRPr="005D517E" w:rsidRDefault="00E541EE" w:rsidP="00A84BB5">
            <w:pPr>
              <w:widowControl w:val="0"/>
              <w:autoSpaceDE w:val="0"/>
              <w:autoSpaceDN w:val="0"/>
              <w:ind w:left="44" w:right="32"/>
              <w:jc w:val="center"/>
              <w:rPr>
                <w:b/>
                <w:sz w:val="14"/>
                <w:szCs w:val="14"/>
              </w:rPr>
            </w:pPr>
          </w:p>
        </w:tc>
        <w:tc>
          <w:tcPr>
            <w:tcW w:w="851" w:type="dxa"/>
            <w:tcBorders>
              <w:bottom w:val="single" w:sz="4" w:space="0" w:color="auto"/>
            </w:tcBorders>
            <w:vAlign w:val="center"/>
          </w:tcPr>
          <w:p w14:paraId="11AEFF8E" w14:textId="77777777" w:rsidR="00E541EE" w:rsidRDefault="00E541EE" w:rsidP="00A84BB5">
            <w:pPr>
              <w:widowControl w:val="0"/>
              <w:autoSpaceDE w:val="0"/>
              <w:autoSpaceDN w:val="0"/>
              <w:ind w:left="87" w:right="70"/>
              <w:jc w:val="center"/>
              <w:rPr>
                <w:b/>
                <w:sz w:val="14"/>
                <w:szCs w:val="14"/>
              </w:rPr>
            </w:pPr>
            <w:r w:rsidRPr="005D517E">
              <w:rPr>
                <w:b/>
                <w:sz w:val="14"/>
                <w:szCs w:val="14"/>
              </w:rPr>
              <w:t xml:space="preserve">za </w:t>
            </w:r>
          </w:p>
          <w:p w14:paraId="018EB465" w14:textId="77777777" w:rsidR="00E541EE" w:rsidRPr="005D517E" w:rsidRDefault="00E541EE" w:rsidP="00A84BB5">
            <w:pPr>
              <w:widowControl w:val="0"/>
              <w:autoSpaceDE w:val="0"/>
              <w:autoSpaceDN w:val="0"/>
              <w:ind w:left="87" w:right="70"/>
              <w:jc w:val="center"/>
              <w:rPr>
                <w:b/>
                <w:sz w:val="14"/>
                <w:szCs w:val="14"/>
              </w:rPr>
            </w:pPr>
            <w:r w:rsidRPr="005D517E">
              <w:rPr>
                <w:b/>
                <w:sz w:val="14"/>
                <w:szCs w:val="14"/>
              </w:rPr>
              <w:t>2026.</w:t>
            </w:r>
          </w:p>
        </w:tc>
        <w:tc>
          <w:tcPr>
            <w:tcW w:w="567" w:type="dxa"/>
            <w:tcBorders>
              <w:bottom w:val="single" w:sz="4" w:space="0" w:color="auto"/>
            </w:tcBorders>
            <w:vAlign w:val="center"/>
          </w:tcPr>
          <w:p w14:paraId="5AAB36F2" w14:textId="77777777" w:rsidR="00E541EE" w:rsidRPr="005D517E" w:rsidRDefault="00E541EE" w:rsidP="00001106">
            <w:pPr>
              <w:widowControl w:val="0"/>
              <w:autoSpaceDE w:val="0"/>
              <w:autoSpaceDN w:val="0"/>
              <w:ind w:left="57" w:right="61"/>
              <w:jc w:val="center"/>
              <w:rPr>
                <w:b/>
                <w:sz w:val="14"/>
                <w:szCs w:val="14"/>
              </w:rPr>
            </w:pPr>
            <w:r w:rsidRPr="005D517E">
              <w:rPr>
                <w:b/>
                <w:sz w:val="14"/>
                <w:szCs w:val="14"/>
              </w:rPr>
              <w:t>za</w:t>
            </w:r>
          </w:p>
          <w:p w14:paraId="7567BADA" w14:textId="77777777" w:rsidR="00E541EE" w:rsidRPr="005D517E" w:rsidRDefault="00E541EE" w:rsidP="00A84BB5">
            <w:pPr>
              <w:widowControl w:val="0"/>
              <w:autoSpaceDE w:val="0"/>
              <w:autoSpaceDN w:val="0"/>
              <w:ind w:left="75" w:right="61"/>
              <w:jc w:val="center"/>
              <w:rPr>
                <w:b/>
                <w:sz w:val="14"/>
                <w:szCs w:val="14"/>
              </w:rPr>
            </w:pPr>
            <w:r w:rsidRPr="005D517E">
              <w:rPr>
                <w:b/>
                <w:sz w:val="14"/>
                <w:szCs w:val="14"/>
              </w:rPr>
              <w:t>2027.</w:t>
            </w:r>
          </w:p>
        </w:tc>
        <w:tc>
          <w:tcPr>
            <w:tcW w:w="992" w:type="dxa"/>
            <w:tcBorders>
              <w:bottom w:val="single" w:sz="4" w:space="0" w:color="auto"/>
            </w:tcBorders>
            <w:vAlign w:val="center"/>
          </w:tcPr>
          <w:p w14:paraId="277839CE" w14:textId="77777777" w:rsidR="00E541EE" w:rsidRPr="005D517E" w:rsidRDefault="00E541EE" w:rsidP="00A84BB5">
            <w:pPr>
              <w:widowControl w:val="0"/>
              <w:autoSpaceDE w:val="0"/>
              <w:autoSpaceDN w:val="0"/>
              <w:ind w:left="70" w:right="56"/>
              <w:jc w:val="center"/>
              <w:rPr>
                <w:b/>
                <w:sz w:val="14"/>
                <w:szCs w:val="14"/>
              </w:rPr>
            </w:pPr>
            <w:r w:rsidRPr="005D517E">
              <w:rPr>
                <w:b/>
                <w:sz w:val="14"/>
                <w:szCs w:val="14"/>
              </w:rPr>
              <w:t>za</w:t>
            </w:r>
          </w:p>
          <w:p w14:paraId="4A4E4A02" w14:textId="77777777" w:rsidR="00E541EE" w:rsidRPr="005D517E" w:rsidRDefault="00E541EE" w:rsidP="00A84BB5">
            <w:pPr>
              <w:widowControl w:val="0"/>
              <w:autoSpaceDE w:val="0"/>
              <w:autoSpaceDN w:val="0"/>
              <w:ind w:left="70" w:right="56"/>
              <w:jc w:val="center"/>
              <w:rPr>
                <w:b/>
                <w:sz w:val="14"/>
                <w:szCs w:val="14"/>
              </w:rPr>
            </w:pPr>
            <w:r w:rsidRPr="005D517E">
              <w:rPr>
                <w:b/>
                <w:sz w:val="14"/>
                <w:szCs w:val="14"/>
              </w:rPr>
              <w:t>2028.</w:t>
            </w:r>
          </w:p>
        </w:tc>
      </w:tr>
      <w:tr w:rsidR="00E541EE" w:rsidRPr="005D517E" w14:paraId="649F81C5" w14:textId="77777777" w:rsidTr="00001106">
        <w:trPr>
          <w:trHeight w:val="2825"/>
        </w:trPr>
        <w:tc>
          <w:tcPr>
            <w:tcW w:w="1418" w:type="dxa"/>
          </w:tcPr>
          <w:p w14:paraId="3E877EC0" w14:textId="77777777" w:rsidR="00E541EE" w:rsidRDefault="00E541EE" w:rsidP="00A84BB5">
            <w:pPr>
              <w:widowControl w:val="0"/>
              <w:autoSpaceDE w:val="0"/>
              <w:autoSpaceDN w:val="0"/>
              <w:spacing w:before="49"/>
              <w:ind w:left="44" w:right="35"/>
              <w:jc w:val="center"/>
              <w:rPr>
                <w:rFonts w:ascii="Arial" w:hAnsi="Arial" w:cs="Arial"/>
                <w:sz w:val="14"/>
                <w:szCs w:val="14"/>
              </w:rPr>
            </w:pPr>
          </w:p>
          <w:p w14:paraId="6F166776" w14:textId="77777777" w:rsidR="00E541EE" w:rsidRDefault="00E541EE" w:rsidP="00A84BB5">
            <w:pPr>
              <w:widowControl w:val="0"/>
              <w:autoSpaceDE w:val="0"/>
              <w:autoSpaceDN w:val="0"/>
              <w:spacing w:before="49"/>
              <w:ind w:left="44" w:right="35"/>
              <w:jc w:val="center"/>
              <w:rPr>
                <w:rFonts w:ascii="Arial" w:hAnsi="Arial" w:cs="Arial"/>
                <w:sz w:val="14"/>
                <w:szCs w:val="14"/>
              </w:rPr>
            </w:pPr>
          </w:p>
          <w:p w14:paraId="498C004B" w14:textId="77777777" w:rsidR="00E541EE" w:rsidRDefault="00E541EE" w:rsidP="00A84BB5">
            <w:pPr>
              <w:widowControl w:val="0"/>
              <w:autoSpaceDE w:val="0"/>
              <w:autoSpaceDN w:val="0"/>
              <w:spacing w:before="49"/>
              <w:ind w:left="44" w:right="35"/>
              <w:jc w:val="center"/>
              <w:rPr>
                <w:rFonts w:ascii="Arial" w:hAnsi="Arial" w:cs="Arial"/>
                <w:sz w:val="14"/>
                <w:szCs w:val="14"/>
              </w:rPr>
            </w:pPr>
          </w:p>
          <w:p w14:paraId="1AF422C7" w14:textId="77777777" w:rsidR="00E541EE" w:rsidRDefault="00E541EE" w:rsidP="00A84BB5">
            <w:pPr>
              <w:widowControl w:val="0"/>
              <w:autoSpaceDE w:val="0"/>
              <w:autoSpaceDN w:val="0"/>
              <w:spacing w:before="49"/>
              <w:ind w:left="44" w:right="35"/>
              <w:jc w:val="center"/>
              <w:rPr>
                <w:rFonts w:ascii="Arial" w:hAnsi="Arial" w:cs="Arial"/>
                <w:sz w:val="14"/>
                <w:szCs w:val="14"/>
              </w:rPr>
            </w:pPr>
          </w:p>
          <w:p w14:paraId="22E6E47E" w14:textId="77777777" w:rsidR="00E541EE" w:rsidRDefault="00E541EE" w:rsidP="00A84BB5">
            <w:pPr>
              <w:widowControl w:val="0"/>
              <w:autoSpaceDE w:val="0"/>
              <w:autoSpaceDN w:val="0"/>
              <w:spacing w:before="49"/>
              <w:ind w:left="44" w:right="35"/>
              <w:jc w:val="center"/>
              <w:rPr>
                <w:rFonts w:ascii="Arial" w:hAnsi="Arial" w:cs="Arial"/>
                <w:sz w:val="14"/>
                <w:szCs w:val="14"/>
              </w:rPr>
            </w:pPr>
          </w:p>
          <w:p w14:paraId="0ED87218" w14:textId="77777777" w:rsidR="00E541EE" w:rsidRDefault="00E541EE" w:rsidP="00A84BB5">
            <w:pPr>
              <w:widowControl w:val="0"/>
              <w:autoSpaceDE w:val="0"/>
              <w:autoSpaceDN w:val="0"/>
              <w:spacing w:before="49"/>
              <w:ind w:left="44" w:right="35"/>
              <w:jc w:val="center"/>
              <w:rPr>
                <w:rFonts w:ascii="Arial" w:hAnsi="Arial" w:cs="Arial"/>
                <w:sz w:val="14"/>
                <w:szCs w:val="14"/>
              </w:rPr>
            </w:pPr>
          </w:p>
          <w:p w14:paraId="209DBEAA" w14:textId="77777777" w:rsidR="00E541EE" w:rsidRDefault="00E541EE" w:rsidP="00A84BB5">
            <w:pPr>
              <w:widowControl w:val="0"/>
              <w:autoSpaceDE w:val="0"/>
              <w:autoSpaceDN w:val="0"/>
              <w:spacing w:before="49"/>
              <w:ind w:left="44" w:right="35"/>
              <w:jc w:val="center"/>
              <w:rPr>
                <w:rFonts w:ascii="Arial" w:hAnsi="Arial" w:cs="Arial"/>
                <w:sz w:val="14"/>
                <w:szCs w:val="14"/>
              </w:rPr>
            </w:pPr>
            <w:r>
              <w:rPr>
                <w:rFonts w:ascii="Arial" w:hAnsi="Arial" w:cs="Arial"/>
                <w:sz w:val="14"/>
                <w:szCs w:val="14"/>
              </w:rPr>
              <w:t>7</w:t>
            </w:r>
          </w:p>
          <w:p w14:paraId="5EA83F38" w14:textId="77777777" w:rsidR="00E541EE" w:rsidRPr="005D517E" w:rsidRDefault="00E541EE" w:rsidP="00A84BB5">
            <w:pPr>
              <w:widowControl w:val="0"/>
              <w:autoSpaceDE w:val="0"/>
              <w:autoSpaceDN w:val="0"/>
              <w:spacing w:before="49"/>
              <w:ind w:left="44" w:right="35"/>
              <w:jc w:val="center"/>
              <w:rPr>
                <w:rFonts w:ascii="Arial" w:hAnsi="Arial" w:cs="Arial"/>
                <w:sz w:val="14"/>
                <w:szCs w:val="14"/>
              </w:rPr>
            </w:pPr>
          </w:p>
        </w:tc>
        <w:tc>
          <w:tcPr>
            <w:tcW w:w="851" w:type="dxa"/>
          </w:tcPr>
          <w:p w14:paraId="778E41C6" w14:textId="77777777" w:rsidR="00E541EE" w:rsidRPr="005D517E" w:rsidRDefault="00E541EE" w:rsidP="00A84BB5">
            <w:pPr>
              <w:widowControl w:val="0"/>
              <w:autoSpaceDE w:val="0"/>
              <w:autoSpaceDN w:val="0"/>
              <w:ind w:left="28" w:right="19" w:firstLine="2"/>
              <w:jc w:val="center"/>
              <w:rPr>
                <w:rFonts w:ascii="Arial" w:hAnsi="Arial" w:cs="Arial"/>
                <w:sz w:val="14"/>
                <w:szCs w:val="14"/>
              </w:rPr>
            </w:pPr>
          </w:p>
          <w:p w14:paraId="277E417E" w14:textId="77777777" w:rsidR="00E541EE" w:rsidRPr="005D517E" w:rsidRDefault="00E541EE" w:rsidP="00A84BB5">
            <w:pPr>
              <w:widowControl w:val="0"/>
              <w:autoSpaceDE w:val="0"/>
              <w:autoSpaceDN w:val="0"/>
              <w:ind w:left="28" w:right="19" w:firstLine="2"/>
              <w:jc w:val="center"/>
              <w:rPr>
                <w:rFonts w:ascii="Arial" w:hAnsi="Arial" w:cs="Arial"/>
                <w:sz w:val="14"/>
                <w:szCs w:val="14"/>
              </w:rPr>
            </w:pPr>
          </w:p>
          <w:p w14:paraId="31A33C4A" w14:textId="77777777" w:rsidR="00E541EE" w:rsidRPr="005D517E" w:rsidRDefault="00E541EE" w:rsidP="00A84BB5">
            <w:pPr>
              <w:widowControl w:val="0"/>
              <w:autoSpaceDE w:val="0"/>
              <w:autoSpaceDN w:val="0"/>
              <w:ind w:left="28" w:right="19" w:firstLine="2"/>
              <w:jc w:val="center"/>
              <w:rPr>
                <w:rFonts w:ascii="Arial" w:hAnsi="Arial" w:cs="Arial"/>
                <w:sz w:val="14"/>
                <w:szCs w:val="14"/>
              </w:rPr>
            </w:pPr>
          </w:p>
          <w:p w14:paraId="5E4CC197" w14:textId="77777777" w:rsidR="00E541EE" w:rsidRDefault="00E541EE" w:rsidP="00A84BB5">
            <w:pPr>
              <w:widowControl w:val="0"/>
              <w:autoSpaceDE w:val="0"/>
              <w:autoSpaceDN w:val="0"/>
              <w:ind w:left="28" w:right="19" w:firstLine="2"/>
              <w:jc w:val="center"/>
              <w:rPr>
                <w:rFonts w:ascii="Arial" w:hAnsi="Arial" w:cs="Arial"/>
                <w:sz w:val="14"/>
                <w:szCs w:val="14"/>
              </w:rPr>
            </w:pPr>
          </w:p>
          <w:p w14:paraId="41ABAE79" w14:textId="77777777" w:rsidR="00E541EE" w:rsidRDefault="00E541EE" w:rsidP="00A84BB5">
            <w:pPr>
              <w:widowControl w:val="0"/>
              <w:autoSpaceDE w:val="0"/>
              <w:autoSpaceDN w:val="0"/>
              <w:ind w:left="28" w:right="19" w:firstLine="2"/>
              <w:jc w:val="center"/>
              <w:rPr>
                <w:rFonts w:ascii="Arial" w:hAnsi="Arial" w:cs="Arial"/>
                <w:sz w:val="14"/>
                <w:szCs w:val="14"/>
              </w:rPr>
            </w:pPr>
          </w:p>
          <w:p w14:paraId="72513205" w14:textId="77777777" w:rsidR="00E541EE" w:rsidRDefault="00E541EE" w:rsidP="00A84BB5">
            <w:pPr>
              <w:widowControl w:val="0"/>
              <w:autoSpaceDE w:val="0"/>
              <w:autoSpaceDN w:val="0"/>
              <w:ind w:left="28" w:right="19" w:firstLine="2"/>
              <w:jc w:val="center"/>
              <w:rPr>
                <w:rFonts w:ascii="Arial" w:hAnsi="Arial" w:cs="Arial"/>
                <w:sz w:val="14"/>
                <w:szCs w:val="14"/>
              </w:rPr>
            </w:pPr>
          </w:p>
          <w:p w14:paraId="2FF8D065" w14:textId="77777777" w:rsidR="00E541EE" w:rsidRDefault="00E541EE" w:rsidP="00A84BB5">
            <w:pPr>
              <w:widowControl w:val="0"/>
              <w:autoSpaceDE w:val="0"/>
              <w:autoSpaceDN w:val="0"/>
              <w:ind w:left="28" w:right="19" w:firstLine="2"/>
              <w:jc w:val="center"/>
              <w:rPr>
                <w:rFonts w:ascii="Arial" w:hAnsi="Arial" w:cs="Arial"/>
                <w:sz w:val="14"/>
                <w:szCs w:val="14"/>
              </w:rPr>
            </w:pPr>
          </w:p>
          <w:p w14:paraId="775F7FCA" w14:textId="77777777" w:rsidR="00E541EE" w:rsidRDefault="00E541EE" w:rsidP="00A84BB5">
            <w:pPr>
              <w:widowControl w:val="0"/>
              <w:autoSpaceDE w:val="0"/>
              <w:autoSpaceDN w:val="0"/>
              <w:ind w:left="28" w:right="19" w:firstLine="2"/>
              <w:jc w:val="center"/>
              <w:rPr>
                <w:rFonts w:ascii="Arial" w:hAnsi="Arial" w:cs="Arial"/>
                <w:sz w:val="14"/>
                <w:szCs w:val="14"/>
              </w:rPr>
            </w:pPr>
          </w:p>
          <w:p w14:paraId="25B66511" w14:textId="77777777" w:rsidR="00E541EE" w:rsidRDefault="00E541EE" w:rsidP="00A84BB5">
            <w:pPr>
              <w:widowControl w:val="0"/>
              <w:autoSpaceDE w:val="0"/>
              <w:autoSpaceDN w:val="0"/>
              <w:ind w:left="28" w:right="19" w:firstLine="2"/>
              <w:jc w:val="center"/>
              <w:rPr>
                <w:rFonts w:ascii="Arial" w:hAnsi="Arial" w:cs="Arial"/>
                <w:sz w:val="14"/>
                <w:szCs w:val="14"/>
              </w:rPr>
            </w:pPr>
          </w:p>
          <w:p w14:paraId="614FFA3E" w14:textId="77777777" w:rsidR="00E541EE" w:rsidRDefault="00E541EE" w:rsidP="00A84BB5">
            <w:pPr>
              <w:widowControl w:val="0"/>
              <w:autoSpaceDE w:val="0"/>
              <w:autoSpaceDN w:val="0"/>
              <w:ind w:left="28" w:right="19" w:firstLine="2"/>
              <w:jc w:val="center"/>
              <w:rPr>
                <w:rFonts w:ascii="Arial" w:hAnsi="Arial" w:cs="Arial"/>
                <w:sz w:val="14"/>
                <w:szCs w:val="14"/>
              </w:rPr>
            </w:pPr>
          </w:p>
          <w:p w14:paraId="543FF7C9" w14:textId="77777777" w:rsidR="00E541EE" w:rsidRPr="005D517E" w:rsidRDefault="00E541EE" w:rsidP="00A84BB5">
            <w:pPr>
              <w:widowControl w:val="0"/>
              <w:autoSpaceDE w:val="0"/>
              <w:autoSpaceDN w:val="0"/>
              <w:ind w:left="28" w:right="19" w:firstLine="2"/>
              <w:jc w:val="center"/>
              <w:rPr>
                <w:rFonts w:ascii="Arial" w:hAnsi="Arial" w:cs="Arial"/>
                <w:sz w:val="14"/>
                <w:szCs w:val="14"/>
              </w:rPr>
            </w:pPr>
          </w:p>
          <w:p w14:paraId="3511BD00" w14:textId="77777777" w:rsidR="00E541EE" w:rsidRPr="005D517E" w:rsidRDefault="00E541EE" w:rsidP="00A84BB5">
            <w:pPr>
              <w:widowControl w:val="0"/>
              <w:autoSpaceDE w:val="0"/>
              <w:autoSpaceDN w:val="0"/>
              <w:ind w:left="28" w:right="19" w:firstLine="2"/>
              <w:jc w:val="center"/>
              <w:rPr>
                <w:rFonts w:ascii="Arial" w:hAnsi="Arial" w:cs="Arial"/>
                <w:sz w:val="14"/>
                <w:szCs w:val="14"/>
              </w:rPr>
            </w:pPr>
          </w:p>
          <w:p w14:paraId="048C80D2" w14:textId="77777777" w:rsidR="00E541EE" w:rsidRPr="005D517E" w:rsidRDefault="00E541EE" w:rsidP="00A84BB5">
            <w:pPr>
              <w:widowControl w:val="0"/>
              <w:autoSpaceDE w:val="0"/>
              <w:autoSpaceDN w:val="0"/>
              <w:ind w:left="28" w:right="19" w:firstLine="2"/>
              <w:jc w:val="center"/>
              <w:rPr>
                <w:rFonts w:ascii="Arial" w:hAnsi="Arial" w:cs="Arial"/>
                <w:sz w:val="14"/>
                <w:szCs w:val="14"/>
              </w:rPr>
            </w:pPr>
          </w:p>
          <w:p w14:paraId="1D36A746" w14:textId="77777777" w:rsidR="00E541EE" w:rsidRPr="005D517E" w:rsidRDefault="00E541EE" w:rsidP="00A84BB5">
            <w:pPr>
              <w:widowControl w:val="0"/>
              <w:autoSpaceDE w:val="0"/>
              <w:autoSpaceDN w:val="0"/>
              <w:ind w:left="28" w:right="19" w:firstLine="2"/>
              <w:jc w:val="center"/>
              <w:rPr>
                <w:rFonts w:ascii="Arial" w:hAnsi="Arial" w:cs="Arial"/>
                <w:sz w:val="14"/>
                <w:szCs w:val="14"/>
              </w:rPr>
            </w:pPr>
            <w:r w:rsidRPr="005D517E">
              <w:rPr>
                <w:rFonts w:ascii="Arial" w:hAnsi="Arial" w:cs="Arial"/>
                <w:sz w:val="14"/>
                <w:szCs w:val="14"/>
              </w:rPr>
              <w:t xml:space="preserve">2.2.Vitalno stanovništvo kroz kvalitetnije zdravstvene usluge i sport t </w:t>
            </w:r>
          </w:p>
          <w:p w14:paraId="54BBD7A2" w14:textId="77777777" w:rsidR="00E541EE" w:rsidRPr="005D517E" w:rsidRDefault="00E541EE" w:rsidP="00A84BB5">
            <w:pPr>
              <w:widowControl w:val="0"/>
              <w:autoSpaceDE w:val="0"/>
              <w:autoSpaceDN w:val="0"/>
              <w:ind w:left="28" w:right="19" w:firstLine="2"/>
              <w:jc w:val="center"/>
              <w:rPr>
                <w:rFonts w:ascii="Arial" w:hAnsi="Arial" w:cs="Arial"/>
                <w:sz w:val="14"/>
                <w:szCs w:val="14"/>
                <w:highlight w:val="yellow"/>
              </w:rPr>
            </w:pPr>
          </w:p>
        </w:tc>
        <w:tc>
          <w:tcPr>
            <w:tcW w:w="992" w:type="dxa"/>
            <w:shd w:val="clear" w:color="auto" w:fill="FFF1CC"/>
          </w:tcPr>
          <w:p w14:paraId="454C4C53" w14:textId="77777777" w:rsidR="00E541EE" w:rsidRPr="005D517E" w:rsidRDefault="00E541EE" w:rsidP="00A84BB5">
            <w:pPr>
              <w:widowControl w:val="0"/>
              <w:autoSpaceDE w:val="0"/>
              <w:autoSpaceDN w:val="0"/>
              <w:spacing w:before="7"/>
              <w:jc w:val="center"/>
              <w:rPr>
                <w:rFonts w:ascii="Arial" w:hAnsi="Arial" w:cs="Arial"/>
                <w:sz w:val="14"/>
                <w:szCs w:val="14"/>
              </w:rPr>
            </w:pPr>
          </w:p>
          <w:p w14:paraId="1B18EA44" w14:textId="77777777" w:rsidR="00E541EE" w:rsidRPr="005D517E" w:rsidRDefault="00E541EE" w:rsidP="00A84BB5">
            <w:pPr>
              <w:widowControl w:val="0"/>
              <w:autoSpaceDE w:val="0"/>
              <w:autoSpaceDN w:val="0"/>
              <w:ind w:left="74" w:right="63" w:hanging="4"/>
              <w:jc w:val="center"/>
              <w:rPr>
                <w:rFonts w:ascii="Arial" w:hAnsi="Arial" w:cs="Arial"/>
                <w:sz w:val="14"/>
                <w:szCs w:val="14"/>
              </w:rPr>
            </w:pPr>
          </w:p>
          <w:p w14:paraId="25DFEB93" w14:textId="77777777" w:rsidR="00E541EE" w:rsidRPr="005D517E" w:rsidRDefault="00E541EE" w:rsidP="00A84BB5">
            <w:pPr>
              <w:widowControl w:val="0"/>
              <w:autoSpaceDE w:val="0"/>
              <w:autoSpaceDN w:val="0"/>
              <w:ind w:left="74" w:right="63" w:hanging="4"/>
              <w:jc w:val="center"/>
              <w:rPr>
                <w:rFonts w:ascii="Arial" w:hAnsi="Arial" w:cs="Arial"/>
                <w:sz w:val="14"/>
                <w:szCs w:val="14"/>
              </w:rPr>
            </w:pPr>
          </w:p>
          <w:p w14:paraId="1A5D3B13" w14:textId="77777777" w:rsidR="00E541EE" w:rsidRPr="005D517E" w:rsidRDefault="00E541EE" w:rsidP="00A84BB5">
            <w:pPr>
              <w:widowControl w:val="0"/>
              <w:autoSpaceDE w:val="0"/>
              <w:autoSpaceDN w:val="0"/>
              <w:ind w:left="74" w:right="63" w:hanging="4"/>
              <w:jc w:val="center"/>
              <w:rPr>
                <w:rFonts w:ascii="Arial" w:hAnsi="Arial" w:cs="Arial"/>
                <w:sz w:val="14"/>
                <w:szCs w:val="14"/>
              </w:rPr>
            </w:pPr>
          </w:p>
          <w:p w14:paraId="05B0051F" w14:textId="77777777" w:rsidR="00E541EE" w:rsidRPr="005D517E" w:rsidRDefault="00E541EE" w:rsidP="00A84BB5">
            <w:pPr>
              <w:widowControl w:val="0"/>
              <w:autoSpaceDE w:val="0"/>
              <w:autoSpaceDN w:val="0"/>
              <w:ind w:left="74" w:right="63" w:hanging="4"/>
              <w:jc w:val="center"/>
              <w:rPr>
                <w:rFonts w:ascii="Arial" w:hAnsi="Arial" w:cs="Arial"/>
                <w:sz w:val="14"/>
                <w:szCs w:val="14"/>
              </w:rPr>
            </w:pPr>
          </w:p>
          <w:p w14:paraId="4CC13919" w14:textId="77777777" w:rsidR="00E541EE" w:rsidRDefault="00E541EE" w:rsidP="00A84BB5">
            <w:pPr>
              <w:widowControl w:val="0"/>
              <w:autoSpaceDE w:val="0"/>
              <w:autoSpaceDN w:val="0"/>
              <w:ind w:left="74" w:right="63" w:hanging="4"/>
              <w:jc w:val="center"/>
              <w:rPr>
                <w:rFonts w:ascii="Arial" w:hAnsi="Arial" w:cs="Arial"/>
                <w:sz w:val="14"/>
                <w:szCs w:val="14"/>
              </w:rPr>
            </w:pPr>
          </w:p>
          <w:p w14:paraId="2BB84ED2" w14:textId="77777777" w:rsidR="00E541EE" w:rsidRDefault="00E541EE" w:rsidP="00A84BB5">
            <w:pPr>
              <w:widowControl w:val="0"/>
              <w:autoSpaceDE w:val="0"/>
              <w:autoSpaceDN w:val="0"/>
              <w:ind w:left="74" w:right="63" w:hanging="4"/>
              <w:jc w:val="center"/>
              <w:rPr>
                <w:rFonts w:ascii="Arial" w:hAnsi="Arial" w:cs="Arial"/>
                <w:sz w:val="14"/>
                <w:szCs w:val="14"/>
              </w:rPr>
            </w:pPr>
          </w:p>
          <w:p w14:paraId="58B4A6DA" w14:textId="77777777" w:rsidR="00E541EE" w:rsidRDefault="00E541EE" w:rsidP="00A84BB5">
            <w:pPr>
              <w:widowControl w:val="0"/>
              <w:autoSpaceDE w:val="0"/>
              <w:autoSpaceDN w:val="0"/>
              <w:ind w:left="74" w:right="63" w:hanging="4"/>
              <w:jc w:val="center"/>
              <w:rPr>
                <w:rFonts w:ascii="Arial" w:hAnsi="Arial" w:cs="Arial"/>
                <w:sz w:val="14"/>
                <w:szCs w:val="14"/>
              </w:rPr>
            </w:pPr>
          </w:p>
          <w:p w14:paraId="2571EDDC" w14:textId="77777777" w:rsidR="00E541EE" w:rsidRDefault="00E541EE" w:rsidP="00A84BB5">
            <w:pPr>
              <w:widowControl w:val="0"/>
              <w:autoSpaceDE w:val="0"/>
              <w:autoSpaceDN w:val="0"/>
              <w:ind w:right="63"/>
              <w:jc w:val="center"/>
              <w:rPr>
                <w:rFonts w:ascii="Arial" w:hAnsi="Arial" w:cs="Arial"/>
                <w:sz w:val="14"/>
                <w:szCs w:val="14"/>
              </w:rPr>
            </w:pPr>
          </w:p>
          <w:p w14:paraId="1EBEE3A5" w14:textId="77777777" w:rsidR="00E541EE" w:rsidRPr="005D517E" w:rsidRDefault="00E541EE" w:rsidP="00A84BB5">
            <w:pPr>
              <w:widowControl w:val="0"/>
              <w:autoSpaceDE w:val="0"/>
              <w:autoSpaceDN w:val="0"/>
              <w:ind w:left="74" w:right="63" w:hanging="4"/>
              <w:jc w:val="center"/>
              <w:rPr>
                <w:rFonts w:ascii="Arial" w:hAnsi="Arial" w:cs="Arial"/>
                <w:sz w:val="14"/>
                <w:szCs w:val="14"/>
              </w:rPr>
            </w:pPr>
          </w:p>
          <w:p w14:paraId="1C2FF8CD" w14:textId="77777777" w:rsidR="00E541EE" w:rsidRPr="005D517E" w:rsidRDefault="00E541EE" w:rsidP="00A84BB5">
            <w:pPr>
              <w:widowControl w:val="0"/>
              <w:autoSpaceDE w:val="0"/>
              <w:autoSpaceDN w:val="0"/>
              <w:ind w:left="74" w:right="63" w:hanging="4"/>
              <w:jc w:val="center"/>
              <w:rPr>
                <w:rFonts w:ascii="Arial" w:hAnsi="Arial" w:cs="Arial"/>
                <w:sz w:val="14"/>
                <w:szCs w:val="14"/>
                <w:highlight w:val="yellow"/>
              </w:rPr>
            </w:pPr>
            <w:r w:rsidRPr="005D517E">
              <w:rPr>
                <w:rFonts w:ascii="Arial" w:hAnsi="Arial" w:cs="Arial"/>
                <w:sz w:val="14"/>
                <w:szCs w:val="14"/>
              </w:rPr>
              <w:t>P-1031 Program: Sufinanciranje TD Valbruna sport d.o.o. Rovinj-Rovigno</w:t>
            </w:r>
          </w:p>
        </w:tc>
        <w:tc>
          <w:tcPr>
            <w:tcW w:w="1134" w:type="dxa"/>
          </w:tcPr>
          <w:p w14:paraId="77688B5D" w14:textId="77777777" w:rsidR="00E541EE" w:rsidRPr="005D517E" w:rsidRDefault="00E541EE" w:rsidP="00A84BB5">
            <w:pPr>
              <w:widowControl w:val="0"/>
              <w:autoSpaceDE w:val="0"/>
              <w:autoSpaceDN w:val="0"/>
              <w:spacing w:before="7"/>
              <w:jc w:val="center"/>
              <w:rPr>
                <w:rFonts w:ascii="Arial" w:hAnsi="Arial" w:cs="Arial"/>
                <w:sz w:val="14"/>
                <w:szCs w:val="14"/>
              </w:rPr>
            </w:pPr>
          </w:p>
          <w:p w14:paraId="00B76626" w14:textId="77777777" w:rsidR="00E541EE" w:rsidRPr="005D517E" w:rsidRDefault="00E541EE" w:rsidP="00A84BB5">
            <w:pPr>
              <w:widowControl w:val="0"/>
              <w:autoSpaceDE w:val="0"/>
              <w:autoSpaceDN w:val="0"/>
              <w:ind w:left="29" w:right="11" w:firstLine="9"/>
              <w:jc w:val="center"/>
              <w:rPr>
                <w:rFonts w:ascii="Arial" w:hAnsi="Arial" w:cs="Arial"/>
                <w:sz w:val="14"/>
                <w:szCs w:val="14"/>
              </w:rPr>
            </w:pPr>
          </w:p>
          <w:p w14:paraId="16D680EC" w14:textId="77777777" w:rsidR="00E541EE" w:rsidRPr="005D517E" w:rsidRDefault="00E541EE" w:rsidP="00A84BB5">
            <w:pPr>
              <w:widowControl w:val="0"/>
              <w:autoSpaceDE w:val="0"/>
              <w:autoSpaceDN w:val="0"/>
              <w:ind w:left="29" w:right="11" w:firstLine="9"/>
              <w:jc w:val="center"/>
              <w:rPr>
                <w:rFonts w:ascii="Arial" w:hAnsi="Arial" w:cs="Arial"/>
                <w:sz w:val="14"/>
                <w:szCs w:val="14"/>
              </w:rPr>
            </w:pPr>
          </w:p>
          <w:p w14:paraId="3E1C8B4B" w14:textId="77777777" w:rsidR="00E541EE" w:rsidRPr="005D517E" w:rsidRDefault="00E541EE" w:rsidP="00A84BB5">
            <w:pPr>
              <w:widowControl w:val="0"/>
              <w:autoSpaceDE w:val="0"/>
              <w:autoSpaceDN w:val="0"/>
              <w:ind w:left="29" w:right="11" w:firstLine="9"/>
              <w:jc w:val="center"/>
              <w:rPr>
                <w:rFonts w:ascii="Arial" w:hAnsi="Arial" w:cs="Arial"/>
                <w:sz w:val="14"/>
                <w:szCs w:val="14"/>
              </w:rPr>
            </w:pPr>
          </w:p>
          <w:p w14:paraId="68188C01" w14:textId="77777777" w:rsidR="00E541EE" w:rsidRDefault="00E541EE" w:rsidP="00A84BB5">
            <w:pPr>
              <w:widowControl w:val="0"/>
              <w:autoSpaceDE w:val="0"/>
              <w:autoSpaceDN w:val="0"/>
              <w:ind w:left="29" w:right="11" w:firstLine="9"/>
              <w:jc w:val="center"/>
              <w:rPr>
                <w:rFonts w:ascii="Arial" w:hAnsi="Arial" w:cs="Arial"/>
                <w:sz w:val="14"/>
                <w:szCs w:val="14"/>
              </w:rPr>
            </w:pPr>
          </w:p>
          <w:p w14:paraId="10BFFD19" w14:textId="77777777" w:rsidR="00E541EE" w:rsidRDefault="00E541EE" w:rsidP="00A84BB5">
            <w:pPr>
              <w:widowControl w:val="0"/>
              <w:autoSpaceDE w:val="0"/>
              <w:autoSpaceDN w:val="0"/>
              <w:ind w:left="29" w:right="11" w:firstLine="9"/>
              <w:jc w:val="center"/>
              <w:rPr>
                <w:rFonts w:ascii="Arial" w:hAnsi="Arial" w:cs="Arial"/>
                <w:sz w:val="14"/>
                <w:szCs w:val="14"/>
              </w:rPr>
            </w:pPr>
          </w:p>
          <w:p w14:paraId="305D6FCA" w14:textId="77777777" w:rsidR="00E541EE" w:rsidRDefault="00E541EE" w:rsidP="00A84BB5">
            <w:pPr>
              <w:widowControl w:val="0"/>
              <w:autoSpaceDE w:val="0"/>
              <w:autoSpaceDN w:val="0"/>
              <w:ind w:left="29" w:right="11" w:firstLine="9"/>
              <w:jc w:val="center"/>
              <w:rPr>
                <w:rFonts w:ascii="Arial" w:hAnsi="Arial" w:cs="Arial"/>
                <w:sz w:val="14"/>
                <w:szCs w:val="14"/>
              </w:rPr>
            </w:pPr>
          </w:p>
          <w:p w14:paraId="0B966BB5" w14:textId="77777777" w:rsidR="00E541EE" w:rsidRDefault="00E541EE" w:rsidP="00A84BB5">
            <w:pPr>
              <w:widowControl w:val="0"/>
              <w:autoSpaceDE w:val="0"/>
              <w:autoSpaceDN w:val="0"/>
              <w:ind w:left="29" w:right="11" w:firstLine="9"/>
              <w:jc w:val="center"/>
              <w:rPr>
                <w:rFonts w:ascii="Arial" w:hAnsi="Arial" w:cs="Arial"/>
                <w:sz w:val="14"/>
                <w:szCs w:val="14"/>
              </w:rPr>
            </w:pPr>
          </w:p>
          <w:p w14:paraId="24AEB1A2" w14:textId="77777777" w:rsidR="00E541EE" w:rsidRDefault="00E541EE" w:rsidP="00A84BB5">
            <w:pPr>
              <w:widowControl w:val="0"/>
              <w:autoSpaceDE w:val="0"/>
              <w:autoSpaceDN w:val="0"/>
              <w:ind w:right="11"/>
              <w:jc w:val="center"/>
              <w:rPr>
                <w:rFonts w:ascii="Arial" w:hAnsi="Arial" w:cs="Arial"/>
                <w:sz w:val="14"/>
                <w:szCs w:val="14"/>
              </w:rPr>
            </w:pPr>
          </w:p>
          <w:p w14:paraId="5CE15423" w14:textId="77777777" w:rsidR="00E541EE" w:rsidRPr="005D517E" w:rsidRDefault="00E541EE" w:rsidP="00A84BB5">
            <w:pPr>
              <w:widowControl w:val="0"/>
              <w:autoSpaceDE w:val="0"/>
              <w:autoSpaceDN w:val="0"/>
              <w:ind w:left="29" w:right="11" w:firstLine="9"/>
              <w:jc w:val="center"/>
              <w:rPr>
                <w:rFonts w:ascii="Arial" w:hAnsi="Arial" w:cs="Arial"/>
                <w:sz w:val="14"/>
                <w:szCs w:val="14"/>
              </w:rPr>
            </w:pPr>
          </w:p>
          <w:p w14:paraId="4B65BD13" w14:textId="77777777" w:rsidR="00E541EE" w:rsidRPr="005D517E" w:rsidRDefault="00E541EE" w:rsidP="00A84BB5">
            <w:pPr>
              <w:widowControl w:val="0"/>
              <w:autoSpaceDE w:val="0"/>
              <w:autoSpaceDN w:val="0"/>
              <w:ind w:left="29" w:right="11" w:firstLine="9"/>
              <w:jc w:val="center"/>
              <w:rPr>
                <w:rFonts w:ascii="Arial" w:hAnsi="Arial" w:cs="Arial"/>
                <w:sz w:val="14"/>
                <w:szCs w:val="14"/>
              </w:rPr>
            </w:pPr>
          </w:p>
          <w:p w14:paraId="19134D22" w14:textId="77777777" w:rsidR="00E541EE" w:rsidRPr="005D517E" w:rsidRDefault="00E541EE" w:rsidP="00A84BB5">
            <w:pPr>
              <w:widowControl w:val="0"/>
              <w:autoSpaceDE w:val="0"/>
              <w:autoSpaceDN w:val="0"/>
              <w:ind w:left="29" w:right="11" w:firstLine="9"/>
              <w:jc w:val="center"/>
              <w:rPr>
                <w:rFonts w:ascii="Arial" w:hAnsi="Arial" w:cs="Arial"/>
                <w:sz w:val="14"/>
                <w:szCs w:val="14"/>
                <w:highlight w:val="yellow"/>
              </w:rPr>
            </w:pPr>
            <w:r w:rsidRPr="005D517E">
              <w:rPr>
                <w:rFonts w:ascii="Arial" w:hAnsi="Arial" w:cs="Arial"/>
                <w:sz w:val="14"/>
                <w:szCs w:val="14"/>
              </w:rPr>
              <w:t>20. Razvoj sporta i rekreacije</w:t>
            </w:r>
          </w:p>
        </w:tc>
        <w:tc>
          <w:tcPr>
            <w:tcW w:w="850" w:type="dxa"/>
            <w:shd w:val="clear" w:color="auto" w:fill="FFF1CC"/>
          </w:tcPr>
          <w:p w14:paraId="1482D2EB" w14:textId="77777777" w:rsidR="00E541EE" w:rsidRPr="005D517E" w:rsidRDefault="00E541EE" w:rsidP="00A84BB5">
            <w:pPr>
              <w:widowControl w:val="0"/>
              <w:autoSpaceDE w:val="0"/>
              <w:autoSpaceDN w:val="0"/>
              <w:spacing w:before="8"/>
              <w:rPr>
                <w:rFonts w:ascii="Arial" w:hAnsi="Arial" w:cs="Arial"/>
                <w:sz w:val="14"/>
                <w:szCs w:val="14"/>
              </w:rPr>
            </w:pPr>
          </w:p>
          <w:p w14:paraId="79E2325F" w14:textId="77777777" w:rsidR="00E541EE" w:rsidRPr="005D517E" w:rsidRDefault="00E541EE" w:rsidP="00A84BB5">
            <w:pPr>
              <w:widowControl w:val="0"/>
              <w:autoSpaceDE w:val="0"/>
              <w:autoSpaceDN w:val="0"/>
              <w:ind w:left="142"/>
              <w:rPr>
                <w:rFonts w:ascii="Arial" w:hAnsi="Arial" w:cs="Arial"/>
                <w:sz w:val="14"/>
                <w:szCs w:val="14"/>
              </w:rPr>
            </w:pPr>
          </w:p>
          <w:p w14:paraId="75B35EC5" w14:textId="77777777" w:rsidR="00E541EE" w:rsidRPr="005D517E" w:rsidRDefault="00E541EE" w:rsidP="00A84BB5">
            <w:pPr>
              <w:widowControl w:val="0"/>
              <w:autoSpaceDE w:val="0"/>
              <w:autoSpaceDN w:val="0"/>
              <w:ind w:left="142"/>
              <w:rPr>
                <w:rFonts w:ascii="Arial" w:hAnsi="Arial" w:cs="Arial"/>
                <w:sz w:val="14"/>
                <w:szCs w:val="14"/>
              </w:rPr>
            </w:pPr>
          </w:p>
          <w:p w14:paraId="7D4799EF" w14:textId="77777777" w:rsidR="00E541EE" w:rsidRPr="005D517E" w:rsidRDefault="00E541EE" w:rsidP="00A84BB5">
            <w:pPr>
              <w:widowControl w:val="0"/>
              <w:autoSpaceDE w:val="0"/>
              <w:autoSpaceDN w:val="0"/>
              <w:ind w:left="142"/>
              <w:rPr>
                <w:rFonts w:ascii="Arial" w:hAnsi="Arial" w:cs="Arial"/>
                <w:sz w:val="14"/>
                <w:szCs w:val="14"/>
              </w:rPr>
            </w:pPr>
          </w:p>
          <w:p w14:paraId="3EE95518" w14:textId="77777777" w:rsidR="00E541EE" w:rsidRDefault="00E541EE" w:rsidP="00A84BB5">
            <w:pPr>
              <w:widowControl w:val="0"/>
              <w:autoSpaceDE w:val="0"/>
              <w:autoSpaceDN w:val="0"/>
              <w:ind w:left="142"/>
              <w:rPr>
                <w:rFonts w:ascii="Arial" w:hAnsi="Arial" w:cs="Arial"/>
                <w:sz w:val="14"/>
                <w:szCs w:val="14"/>
              </w:rPr>
            </w:pPr>
          </w:p>
          <w:p w14:paraId="18724985" w14:textId="77777777" w:rsidR="00E541EE" w:rsidRDefault="00E541EE" w:rsidP="00A84BB5">
            <w:pPr>
              <w:widowControl w:val="0"/>
              <w:autoSpaceDE w:val="0"/>
              <w:autoSpaceDN w:val="0"/>
              <w:ind w:left="142"/>
              <w:rPr>
                <w:rFonts w:ascii="Arial" w:hAnsi="Arial" w:cs="Arial"/>
                <w:sz w:val="14"/>
                <w:szCs w:val="14"/>
              </w:rPr>
            </w:pPr>
          </w:p>
          <w:p w14:paraId="737B37F3" w14:textId="77777777" w:rsidR="00E541EE" w:rsidRDefault="00E541EE" w:rsidP="00A84BB5">
            <w:pPr>
              <w:widowControl w:val="0"/>
              <w:autoSpaceDE w:val="0"/>
              <w:autoSpaceDN w:val="0"/>
              <w:ind w:left="142"/>
              <w:rPr>
                <w:rFonts w:ascii="Arial" w:hAnsi="Arial" w:cs="Arial"/>
                <w:sz w:val="14"/>
                <w:szCs w:val="14"/>
              </w:rPr>
            </w:pPr>
          </w:p>
          <w:p w14:paraId="591E4DCD" w14:textId="77777777" w:rsidR="00E541EE" w:rsidRDefault="00E541EE" w:rsidP="00A84BB5">
            <w:pPr>
              <w:widowControl w:val="0"/>
              <w:autoSpaceDE w:val="0"/>
              <w:autoSpaceDN w:val="0"/>
              <w:ind w:left="142"/>
              <w:rPr>
                <w:rFonts w:ascii="Arial" w:hAnsi="Arial" w:cs="Arial"/>
                <w:sz w:val="14"/>
                <w:szCs w:val="14"/>
              </w:rPr>
            </w:pPr>
          </w:p>
          <w:p w14:paraId="7A9B9A4B" w14:textId="77777777" w:rsidR="00E541EE" w:rsidRDefault="00E541EE" w:rsidP="00A84BB5">
            <w:pPr>
              <w:widowControl w:val="0"/>
              <w:autoSpaceDE w:val="0"/>
              <w:autoSpaceDN w:val="0"/>
              <w:ind w:left="142"/>
              <w:rPr>
                <w:rFonts w:ascii="Arial" w:hAnsi="Arial" w:cs="Arial"/>
                <w:sz w:val="14"/>
                <w:szCs w:val="14"/>
              </w:rPr>
            </w:pPr>
          </w:p>
          <w:p w14:paraId="3E7B33DF" w14:textId="77777777" w:rsidR="00E541EE" w:rsidRDefault="00E541EE" w:rsidP="00A84BB5">
            <w:pPr>
              <w:widowControl w:val="0"/>
              <w:autoSpaceDE w:val="0"/>
              <w:autoSpaceDN w:val="0"/>
              <w:ind w:left="142"/>
              <w:rPr>
                <w:rFonts w:ascii="Arial" w:hAnsi="Arial" w:cs="Arial"/>
                <w:sz w:val="14"/>
                <w:szCs w:val="14"/>
              </w:rPr>
            </w:pPr>
          </w:p>
          <w:p w14:paraId="1781B8F9" w14:textId="77777777" w:rsidR="00E541EE" w:rsidRDefault="00E541EE" w:rsidP="00A84BB5">
            <w:pPr>
              <w:widowControl w:val="0"/>
              <w:autoSpaceDE w:val="0"/>
              <w:autoSpaceDN w:val="0"/>
              <w:ind w:left="142"/>
              <w:rPr>
                <w:rFonts w:ascii="Arial" w:hAnsi="Arial" w:cs="Arial"/>
                <w:sz w:val="14"/>
                <w:szCs w:val="14"/>
              </w:rPr>
            </w:pPr>
          </w:p>
          <w:p w14:paraId="66A1DC75" w14:textId="77777777" w:rsidR="00E541EE" w:rsidRDefault="00E541EE" w:rsidP="00A84BB5">
            <w:pPr>
              <w:widowControl w:val="0"/>
              <w:autoSpaceDE w:val="0"/>
              <w:autoSpaceDN w:val="0"/>
              <w:ind w:left="142"/>
              <w:rPr>
                <w:rFonts w:ascii="Arial" w:hAnsi="Arial" w:cs="Arial"/>
                <w:sz w:val="14"/>
                <w:szCs w:val="14"/>
              </w:rPr>
            </w:pPr>
          </w:p>
          <w:p w14:paraId="6A935097" w14:textId="77777777" w:rsidR="00E541EE" w:rsidRDefault="00E541EE" w:rsidP="00A84BB5">
            <w:pPr>
              <w:widowControl w:val="0"/>
              <w:autoSpaceDE w:val="0"/>
              <w:autoSpaceDN w:val="0"/>
              <w:ind w:left="142"/>
              <w:rPr>
                <w:rFonts w:ascii="Arial" w:hAnsi="Arial" w:cs="Arial"/>
                <w:sz w:val="14"/>
                <w:szCs w:val="14"/>
              </w:rPr>
            </w:pPr>
          </w:p>
          <w:p w14:paraId="308793C3" w14:textId="77777777" w:rsidR="00E541EE" w:rsidRDefault="00E541EE" w:rsidP="00A84BB5">
            <w:pPr>
              <w:widowControl w:val="0"/>
              <w:autoSpaceDE w:val="0"/>
              <w:autoSpaceDN w:val="0"/>
              <w:ind w:left="142"/>
              <w:rPr>
                <w:rFonts w:ascii="Arial" w:hAnsi="Arial" w:cs="Arial"/>
                <w:sz w:val="14"/>
                <w:szCs w:val="14"/>
              </w:rPr>
            </w:pPr>
          </w:p>
          <w:p w14:paraId="5C3C70B0" w14:textId="77777777" w:rsidR="00E541EE" w:rsidRDefault="00E541EE" w:rsidP="00A84BB5">
            <w:pPr>
              <w:widowControl w:val="0"/>
              <w:autoSpaceDE w:val="0"/>
              <w:autoSpaceDN w:val="0"/>
              <w:ind w:left="142"/>
              <w:rPr>
                <w:rFonts w:ascii="Arial" w:hAnsi="Arial" w:cs="Arial"/>
                <w:sz w:val="14"/>
                <w:szCs w:val="14"/>
              </w:rPr>
            </w:pPr>
          </w:p>
          <w:p w14:paraId="15BBE968" w14:textId="77777777" w:rsidR="00E541EE" w:rsidRDefault="00E541EE" w:rsidP="00A84BB5">
            <w:pPr>
              <w:widowControl w:val="0"/>
              <w:autoSpaceDE w:val="0"/>
              <w:autoSpaceDN w:val="0"/>
              <w:ind w:left="142"/>
              <w:rPr>
                <w:rFonts w:ascii="Arial" w:hAnsi="Arial" w:cs="Arial"/>
                <w:sz w:val="14"/>
                <w:szCs w:val="14"/>
              </w:rPr>
            </w:pPr>
          </w:p>
          <w:p w14:paraId="64F5E99C" w14:textId="77777777" w:rsidR="00E541EE" w:rsidRDefault="00E541EE" w:rsidP="00A84BB5">
            <w:pPr>
              <w:widowControl w:val="0"/>
              <w:autoSpaceDE w:val="0"/>
              <w:autoSpaceDN w:val="0"/>
              <w:ind w:left="142"/>
              <w:rPr>
                <w:rFonts w:ascii="Arial" w:hAnsi="Arial" w:cs="Arial"/>
                <w:sz w:val="14"/>
                <w:szCs w:val="14"/>
              </w:rPr>
            </w:pPr>
          </w:p>
          <w:p w14:paraId="490FF3AB" w14:textId="77777777" w:rsidR="00E541EE" w:rsidRDefault="00E541EE" w:rsidP="00A84BB5">
            <w:pPr>
              <w:widowControl w:val="0"/>
              <w:autoSpaceDE w:val="0"/>
              <w:autoSpaceDN w:val="0"/>
              <w:ind w:left="142"/>
              <w:rPr>
                <w:rFonts w:ascii="Arial" w:hAnsi="Arial" w:cs="Arial"/>
                <w:sz w:val="14"/>
                <w:szCs w:val="14"/>
              </w:rPr>
            </w:pPr>
          </w:p>
          <w:p w14:paraId="0403B37A" w14:textId="77777777" w:rsidR="00E541EE" w:rsidRDefault="00E541EE" w:rsidP="00A84BB5">
            <w:pPr>
              <w:widowControl w:val="0"/>
              <w:autoSpaceDE w:val="0"/>
              <w:autoSpaceDN w:val="0"/>
              <w:ind w:left="142"/>
              <w:rPr>
                <w:rFonts w:ascii="Arial" w:hAnsi="Arial" w:cs="Arial"/>
                <w:sz w:val="14"/>
                <w:szCs w:val="14"/>
              </w:rPr>
            </w:pPr>
          </w:p>
          <w:p w14:paraId="1D090652" w14:textId="77777777" w:rsidR="00E541EE" w:rsidRDefault="00E541EE" w:rsidP="00A84BB5">
            <w:pPr>
              <w:widowControl w:val="0"/>
              <w:autoSpaceDE w:val="0"/>
              <w:autoSpaceDN w:val="0"/>
              <w:ind w:left="142"/>
              <w:rPr>
                <w:rFonts w:ascii="Arial" w:hAnsi="Arial" w:cs="Arial"/>
                <w:sz w:val="14"/>
                <w:szCs w:val="14"/>
              </w:rPr>
            </w:pPr>
          </w:p>
          <w:p w14:paraId="7E4437B3" w14:textId="77777777" w:rsidR="00E541EE" w:rsidRDefault="00E541EE" w:rsidP="00A84BB5">
            <w:pPr>
              <w:widowControl w:val="0"/>
              <w:autoSpaceDE w:val="0"/>
              <w:autoSpaceDN w:val="0"/>
              <w:ind w:left="142"/>
              <w:rPr>
                <w:rFonts w:ascii="Arial" w:hAnsi="Arial" w:cs="Arial"/>
                <w:sz w:val="14"/>
                <w:szCs w:val="14"/>
              </w:rPr>
            </w:pPr>
          </w:p>
          <w:p w14:paraId="1A19CBE9" w14:textId="77777777" w:rsidR="00E541EE" w:rsidRDefault="00E541EE" w:rsidP="00A84BB5">
            <w:pPr>
              <w:widowControl w:val="0"/>
              <w:autoSpaceDE w:val="0"/>
              <w:autoSpaceDN w:val="0"/>
              <w:ind w:left="142"/>
              <w:rPr>
                <w:rFonts w:ascii="Arial" w:hAnsi="Arial" w:cs="Arial"/>
                <w:sz w:val="14"/>
                <w:szCs w:val="14"/>
              </w:rPr>
            </w:pPr>
          </w:p>
          <w:p w14:paraId="6AB0631D" w14:textId="77777777" w:rsidR="00E541EE" w:rsidRDefault="00E541EE" w:rsidP="00A84BB5">
            <w:pPr>
              <w:widowControl w:val="0"/>
              <w:autoSpaceDE w:val="0"/>
              <w:autoSpaceDN w:val="0"/>
              <w:ind w:left="142"/>
              <w:rPr>
                <w:rFonts w:ascii="Arial" w:hAnsi="Arial" w:cs="Arial"/>
                <w:sz w:val="14"/>
                <w:szCs w:val="14"/>
              </w:rPr>
            </w:pPr>
          </w:p>
          <w:p w14:paraId="0BD73597" w14:textId="77777777" w:rsidR="00E541EE" w:rsidRDefault="00E541EE" w:rsidP="00A84BB5">
            <w:pPr>
              <w:widowControl w:val="0"/>
              <w:autoSpaceDE w:val="0"/>
              <w:autoSpaceDN w:val="0"/>
              <w:ind w:left="142"/>
              <w:rPr>
                <w:rFonts w:ascii="Arial" w:hAnsi="Arial" w:cs="Arial"/>
                <w:sz w:val="14"/>
                <w:szCs w:val="14"/>
              </w:rPr>
            </w:pPr>
          </w:p>
          <w:p w14:paraId="5A2FA477" w14:textId="77777777" w:rsidR="00E541EE" w:rsidRDefault="00E541EE" w:rsidP="00A84BB5">
            <w:pPr>
              <w:widowControl w:val="0"/>
              <w:autoSpaceDE w:val="0"/>
              <w:autoSpaceDN w:val="0"/>
              <w:ind w:left="142"/>
              <w:rPr>
                <w:rFonts w:ascii="Arial" w:hAnsi="Arial" w:cs="Arial"/>
                <w:sz w:val="14"/>
                <w:szCs w:val="14"/>
              </w:rPr>
            </w:pPr>
          </w:p>
          <w:p w14:paraId="70C5556D" w14:textId="77777777" w:rsidR="00E541EE" w:rsidRDefault="00E541EE" w:rsidP="00A84BB5">
            <w:pPr>
              <w:widowControl w:val="0"/>
              <w:autoSpaceDE w:val="0"/>
              <w:autoSpaceDN w:val="0"/>
              <w:ind w:left="142"/>
              <w:rPr>
                <w:rFonts w:ascii="Arial" w:hAnsi="Arial" w:cs="Arial"/>
                <w:sz w:val="14"/>
                <w:szCs w:val="14"/>
              </w:rPr>
            </w:pPr>
          </w:p>
          <w:p w14:paraId="5D6B1B86" w14:textId="77777777" w:rsidR="00E541EE" w:rsidRDefault="00E541EE" w:rsidP="00A84BB5">
            <w:pPr>
              <w:widowControl w:val="0"/>
              <w:autoSpaceDE w:val="0"/>
              <w:autoSpaceDN w:val="0"/>
              <w:ind w:left="142"/>
              <w:rPr>
                <w:rFonts w:ascii="Arial" w:hAnsi="Arial" w:cs="Arial"/>
                <w:sz w:val="14"/>
                <w:szCs w:val="14"/>
              </w:rPr>
            </w:pPr>
          </w:p>
          <w:p w14:paraId="710BD74B" w14:textId="77777777" w:rsidR="00E541EE" w:rsidRDefault="00E541EE" w:rsidP="00A84BB5">
            <w:pPr>
              <w:widowControl w:val="0"/>
              <w:autoSpaceDE w:val="0"/>
              <w:autoSpaceDN w:val="0"/>
              <w:ind w:left="142"/>
              <w:rPr>
                <w:rFonts w:ascii="Arial" w:hAnsi="Arial" w:cs="Arial"/>
                <w:sz w:val="14"/>
                <w:szCs w:val="14"/>
              </w:rPr>
            </w:pPr>
          </w:p>
          <w:p w14:paraId="6E4F3C7F" w14:textId="77777777" w:rsidR="00E541EE" w:rsidRDefault="00E541EE" w:rsidP="00A84BB5">
            <w:pPr>
              <w:widowControl w:val="0"/>
              <w:autoSpaceDE w:val="0"/>
              <w:autoSpaceDN w:val="0"/>
              <w:ind w:left="142"/>
              <w:rPr>
                <w:rFonts w:ascii="Arial" w:hAnsi="Arial" w:cs="Arial"/>
                <w:sz w:val="14"/>
                <w:szCs w:val="14"/>
              </w:rPr>
            </w:pPr>
          </w:p>
          <w:p w14:paraId="70D0D5D6" w14:textId="77777777" w:rsidR="00E541EE" w:rsidRDefault="00E541EE" w:rsidP="00A84BB5">
            <w:pPr>
              <w:widowControl w:val="0"/>
              <w:autoSpaceDE w:val="0"/>
              <w:autoSpaceDN w:val="0"/>
              <w:ind w:left="142"/>
              <w:rPr>
                <w:rFonts w:ascii="Arial" w:hAnsi="Arial" w:cs="Arial"/>
                <w:sz w:val="14"/>
                <w:szCs w:val="14"/>
              </w:rPr>
            </w:pPr>
          </w:p>
          <w:p w14:paraId="16A85CC5" w14:textId="77777777" w:rsidR="00E541EE" w:rsidRDefault="00E541EE" w:rsidP="00A84BB5">
            <w:pPr>
              <w:widowControl w:val="0"/>
              <w:autoSpaceDE w:val="0"/>
              <w:autoSpaceDN w:val="0"/>
              <w:ind w:left="142"/>
              <w:rPr>
                <w:rFonts w:ascii="Arial" w:hAnsi="Arial" w:cs="Arial"/>
                <w:sz w:val="14"/>
                <w:szCs w:val="14"/>
              </w:rPr>
            </w:pPr>
          </w:p>
          <w:p w14:paraId="53FBA5F1" w14:textId="77777777" w:rsidR="00E541EE" w:rsidRDefault="00E541EE" w:rsidP="00A84BB5">
            <w:pPr>
              <w:widowControl w:val="0"/>
              <w:autoSpaceDE w:val="0"/>
              <w:autoSpaceDN w:val="0"/>
              <w:ind w:left="142"/>
              <w:rPr>
                <w:rFonts w:ascii="Arial" w:hAnsi="Arial" w:cs="Arial"/>
                <w:sz w:val="14"/>
                <w:szCs w:val="14"/>
              </w:rPr>
            </w:pPr>
          </w:p>
          <w:p w14:paraId="7819E71D" w14:textId="77777777" w:rsidR="00E541EE" w:rsidRDefault="00E541EE" w:rsidP="00A84BB5">
            <w:pPr>
              <w:widowControl w:val="0"/>
              <w:autoSpaceDE w:val="0"/>
              <w:autoSpaceDN w:val="0"/>
              <w:ind w:left="142"/>
              <w:rPr>
                <w:rFonts w:ascii="Arial" w:hAnsi="Arial" w:cs="Arial"/>
                <w:sz w:val="14"/>
                <w:szCs w:val="14"/>
              </w:rPr>
            </w:pPr>
          </w:p>
          <w:p w14:paraId="14C43834" w14:textId="77777777" w:rsidR="00E541EE" w:rsidRPr="005D517E" w:rsidRDefault="00E541EE" w:rsidP="00A84BB5">
            <w:pPr>
              <w:widowControl w:val="0"/>
              <w:autoSpaceDE w:val="0"/>
              <w:autoSpaceDN w:val="0"/>
              <w:ind w:left="142"/>
              <w:rPr>
                <w:rFonts w:ascii="Arial" w:hAnsi="Arial" w:cs="Arial"/>
                <w:sz w:val="14"/>
                <w:szCs w:val="14"/>
              </w:rPr>
            </w:pPr>
          </w:p>
          <w:p w14:paraId="6E9A71F9" w14:textId="77777777" w:rsidR="00E541EE" w:rsidRPr="005D517E" w:rsidRDefault="00E541EE" w:rsidP="00001106">
            <w:pPr>
              <w:widowControl w:val="0"/>
              <w:autoSpaceDE w:val="0"/>
              <w:autoSpaceDN w:val="0"/>
              <w:rPr>
                <w:rFonts w:ascii="Arial" w:hAnsi="Arial" w:cs="Arial"/>
                <w:sz w:val="14"/>
                <w:szCs w:val="14"/>
                <w:highlight w:val="yellow"/>
              </w:rPr>
            </w:pPr>
            <w:r w:rsidRPr="005D517E">
              <w:rPr>
                <w:rFonts w:ascii="Arial" w:hAnsi="Arial" w:cs="Arial"/>
                <w:sz w:val="14"/>
                <w:szCs w:val="14"/>
              </w:rPr>
              <w:t xml:space="preserve">941.750,00 </w:t>
            </w:r>
          </w:p>
        </w:tc>
        <w:tc>
          <w:tcPr>
            <w:tcW w:w="1134" w:type="dxa"/>
          </w:tcPr>
          <w:p w14:paraId="361360F5" w14:textId="77777777" w:rsidR="00E541EE" w:rsidRDefault="00E541EE" w:rsidP="00A84BB5">
            <w:pPr>
              <w:jc w:val="center"/>
              <w:rPr>
                <w:rFonts w:ascii="Arial" w:hAnsi="Arial" w:cs="Arial"/>
                <w:sz w:val="14"/>
                <w:szCs w:val="14"/>
              </w:rPr>
            </w:pPr>
            <w:r w:rsidRPr="005D517E">
              <w:rPr>
                <w:rFonts w:ascii="Arial" w:hAnsi="Arial" w:cs="Arial"/>
                <w:sz w:val="14"/>
                <w:szCs w:val="14"/>
              </w:rPr>
              <w:t>A 103101: Redovno poslovanje TD Valbruna sport d.o.o. Rovinj-Rovigno</w:t>
            </w:r>
          </w:p>
          <w:p w14:paraId="207B6874" w14:textId="77777777" w:rsidR="00E541EE" w:rsidRDefault="00E541EE" w:rsidP="00A84BB5">
            <w:pPr>
              <w:jc w:val="center"/>
              <w:rPr>
                <w:rFonts w:ascii="Arial" w:hAnsi="Arial" w:cs="Arial"/>
                <w:sz w:val="14"/>
                <w:szCs w:val="14"/>
              </w:rPr>
            </w:pPr>
          </w:p>
          <w:p w14:paraId="3962EEA0" w14:textId="77777777" w:rsidR="00E541EE" w:rsidRDefault="00E541EE" w:rsidP="00A84BB5">
            <w:pPr>
              <w:jc w:val="center"/>
              <w:rPr>
                <w:rFonts w:ascii="Arial" w:hAnsi="Arial" w:cs="Arial"/>
                <w:sz w:val="14"/>
                <w:szCs w:val="14"/>
              </w:rPr>
            </w:pPr>
            <w:r>
              <w:rPr>
                <w:rFonts w:ascii="Arial" w:hAnsi="Arial" w:cs="Arial"/>
                <w:sz w:val="14"/>
                <w:szCs w:val="14"/>
              </w:rPr>
              <w:t>A</w:t>
            </w:r>
            <w:r w:rsidRPr="005D517E">
              <w:rPr>
                <w:rFonts w:ascii="Arial" w:hAnsi="Arial" w:cs="Arial"/>
                <w:sz w:val="14"/>
                <w:szCs w:val="14"/>
              </w:rPr>
              <w:t>103102:</w:t>
            </w:r>
          </w:p>
          <w:p w14:paraId="23694AB7" w14:textId="77777777" w:rsidR="00E541EE" w:rsidRDefault="00E541EE" w:rsidP="00A84BB5">
            <w:pPr>
              <w:jc w:val="center"/>
              <w:rPr>
                <w:rFonts w:ascii="Arial" w:hAnsi="Arial" w:cs="Arial"/>
                <w:sz w:val="14"/>
                <w:szCs w:val="14"/>
              </w:rPr>
            </w:pPr>
            <w:r w:rsidRPr="005D517E">
              <w:rPr>
                <w:rFonts w:ascii="Arial" w:hAnsi="Arial" w:cs="Arial"/>
                <w:sz w:val="14"/>
                <w:szCs w:val="14"/>
              </w:rPr>
              <w:t>Tekuće održavanje školske sportske dvorane „Gimnazija“</w:t>
            </w:r>
          </w:p>
          <w:p w14:paraId="1964191D" w14:textId="77777777" w:rsidR="00E541EE" w:rsidRDefault="00E541EE" w:rsidP="00A84BB5">
            <w:pPr>
              <w:jc w:val="center"/>
              <w:rPr>
                <w:rFonts w:ascii="Arial" w:hAnsi="Arial" w:cs="Arial"/>
                <w:sz w:val="14"/>
                <w:szCs w:val="14"/>
              </w:rPr>
            </w:pPr>
          </w:p>
          <w:p w14:paraId="30241DB7" w14:textId="77777777" w:rsidR="00E541EE" w:rsidRDefault="00E541EE" w:rsidP="00A84BB5">
            <w:pPr>
              <w:jc w:val="center"/>
              <w:rPr>
                <w:rFonts w:ascii="Arial" w:hAnsi="Arial" w:cs="Arial"/>
                <w:sz w:val="14"/>
                <w:szCs w:val="14"/>
              </w:rPr>
            </w:pPr>
            <w:r>
              <w:rPr>
                <w:rFonts w:ascii="Arial" w:hAnsi="Arial" w:cs="Arial"/>
                <w:sz w:val="14"/>
                <w:szCs w:val="14"/>
              </w:rPr>
              <w:t>A</w:t>
            </w:r>
            <w:r w:rsidRPr="005D517E">
              <w:rPr>
                <w:rFonts w:ascii="Arial" w:hAnsi="Arial" w:cs="Arial"/>
                <w:sz w:val="14"/>
                <w:szCs w:val="14"/>
              </w:rPr>
              <w:t>103103:</w:t>
            </w:r>
          </w:p>
          <w:p w14:paraId="7494C773" w14:textId="77777777" w:rsidR="00E541EE" w:rsidRDefault="00E541EE" w:rsidP="00A84BB5">
            <w:pPr>
              <w:jc w:val="center"/>
              <w:rPr>
                <w:rFonts w:ascii="Arial" w:hAnsi="Arial" w:cs="Arial"/>
                <w:sz w:val="14"/>
                <w:szCs w:val="14"/>
              </w:rPr>
            </w:pPr>
            <w:r w:rsidRPr="005D517E">
              <w:rPr>
                <w:rFonts w:ascii="Arial" w:hAnsi="Arial" w:cs="Arial"/>
                <w:sz w:val="14"/>
                <w:szCs w:val="14"/>
              </w:rPr>
              <w:t>Tekuće održavanje plivačkog bazena „Delfin</w:t>
            </w:r>
          </w:p>
          <w:p w14:paraId="0AB47C0B" w14:textId="77777777" w:rsidR="00E541EE" w:rsidRDefault="00E541EE" w:rsidP="00A84BB5">
            <w:pPr>
              <w:jc w:val="center"/>
              <w:rPr>
                <w:rFonts w:ascii="Arial" w:hAnsi="Arial" w:cs="Arial"/>
                <w:sz w:val="14"/>
                <w:szCs w:val="14"/>
              </w:rPr>
            </w:pPr>
          </w:p>
          <w:p w14:paraId="49076FD0" w14:textId="77777777" w:rsidR="00E541EE" w:rsidRDefault="00E541EE" w:rsidP="00A84BB5">
            <w:pPr>
              <w:jc w:val="center"/>
              <w:rPr>
                <w:rFonts w:ascii="Arial" w:hAnsi="Arial" w:cs="Arial"/>
                <w:bCs/>
                <w:sz w:val="14"/>
                <w:szCs w:val="14"/>
              </w:rPr>
            </w:pPr>
            <w:r w:rsidRPr="005D517E">
              <w:rPr>
                <w:rFonts w:ascii="Arial" w:hAnsi="Arial" w:cs="Arial"/>
                <w:bCs/>
                <w:sz w:val="14"/>
                <w:szCs w:val="14"/>
              </w:rPr>
              <w:t>A 103106: Tekuće održavanje sportsko lječilišnog bazenskog kompleks</w:t>
            </w:r>
            <w:r>
              <w:rPr>
                <w:rFonts w:ascii="Arial" w:hAnsi="Arial" w:cs="Arial"/>
                <w:bCs/>
                <w:sz w:val="14"/>
                <w:szCs w:val="14"/>
              </w:rPr>
              <w:t>a</w:t>
            </w:r>
          </w:p>
          <w:p w14:paraId="3D5952C8" w14:textId="77777777" w:rsidR="00E541EE" w:rsidRDefault="00E541EE" w:rsidP="00A84BB5">
            <w:pPr>
              <w:jc w:val="center"/>
              <w:rPr>
                <w:rFonts w:ascii="Arial" w:hAnsi="Arial" w:cs="Arial"/>
                <w:bCs/>
                <w:sz w:val="14"/>
                <w:szCs w:val="14"/>
              </w:rPr>
            </w:pPr>
            <w:r>
              <w:rPr>
                <w:rFonts w:ascii="Arial" w:hAnsi="Arial" w:cs="Arial"/>
                <w:bCs/>
                <w:sz w:val="14"/>
                <w:szCs w:val="14"/>
              </w:rPr>
              <w:t>A</w:t>
            </w:r>
            <w:r w:rsidRPr="005D517E">
              <w:rPr>
                <w:rFonts w:ascii="Arial" w:hAnsi="Arial" w:cs="Arial"/>
                <w:bCs/>
                <w:sz w:val="14"/>
                <w:szCs w:val="14"/>
              </w:rPr>
              <w:t>103107:</w:t>
            </w:r>
          </w:p>
          <w:p w14:paraId="26C9A2CB" w14:textId="77777777" w:rsidR="00E541EE" w:rsidRDefault="00E541EE" w:rsidP="00A84BB5">
            <w:pPr>
              <w:jc w:val="center"/>
              <w:rPr>
                <w:rFonts w:ascii="Arial" w:hAnsi="Arial" w:cs="Arial"/>
                <w:bCs/>
                <w:sz w:val="14"/>
                <w:szCs w:val="14"/>
              </w:rPr>
            </w:pPr>
            <w:r w:rsidRPr="005D517E">
              <w:rPr>
                <w:rFonts w:ascii="Arial" w:hAnsi="Arial" w:cs="Arial"/>
                <w:bCs/>
                <w:sz w:val="14"/>
                <w:szCs w:val="14"/>
              </w:rPr>
              <w:t>Tekuće održavanje streljane Turnina</w:t>
            </w:r>
          </w:p>
          <w:p w14:paraId="2076FAF3" w14:textId="77777777" w:rsidR="00E541EE" w:rsidRDefault="00E541EE" w:rsidP="00A84BB5">
            <w:pPr>
              <w:jc w:val="center"/>
              <w:rPr>
                <w:rFonts w:ascii="Arial" w:hAnsi="Arial" w:cs="Arial"/>
                <w:bCs/>
                <w:sz w:val="14"/>
                <w:szCs w:val="14"/>
              </w:rPr>
            </w:pPr>
          </w:p>
          <w:p w14:paraId="0F85EE68" w14:textId="77777777" w:rsidR="00E541EE" w:rsidRDefault="00E541EE" w:rsidP="00A84BB5">
            <w:pPr>
              <w:jc w:val="center"/>
              <w:rPr>
                <w:rFonts w:ascii="Arial" w:hAnsi="Arial" w:cs="Arial"/>
                <w:bCs/>
                <w:sz w:val="14"/>
                <w:szCs w:val="14"/>
              </w:rPr>
            </w:pPr>
            <w:r>
              <w:rPr>
                <w:rFonts w:ascii="Arial" w:hAnsi="Arial" w:cs="Arial"/>
                <w:bCs/>
                <w:sz w:val="14"/>
                <w:szCs w:val="14"/>
              </w:rPr>
              <w:t>A</w:t>
            </w:r>
            <w:r w:rsidRPr="005D517E">
              <w:rPr>
                <w:rFonts w:ascii="Arial" w:hAnsi="Arial" w:cs="Arial"/>
                <w:bCs/>
                <w:sz w:val="14"/>
                <w:szCs w:val="14"/>
              </w:rPr>
              <w:t>103105:</w:t>
            </w:r>
          </w:p>
          <w:p w14:paraId="2017D31E" w14:textId="77777777" w:rsidR="00E541EE" w:rsidRDefault="00E541EE" w:rsidP="00A84BB5">
            <w:pPr>
              <w:jc w:val="center"/>
              <w:rPr>
                <w:rFonts w:ascii="Arial" w:hAnsi="Arial" w:cs="Arial"/>
                <w:sz w:val="14"/>
                <w:szCs w:val="14"/>
              </w:rPr>
            </w:pPr>
            <w:r w:rsidRPr="005D517E">
              <w:rPr>
                <w:rFonts w:ascii="Arial" w:hAnsi="Arial" w:cs="Arial"/>
                <w:bCs/>
                <w:sz w:val="14"/>
                <w:szCs w:val="14"/>
              </w:rPr>
              <w:t>Najam sportskog mobilnog klizališta</w:t>
            </w:r>
          </w:p>
          <w:p w14:paraId="4D0AD660" w14:textId="77777777" w:rsidR="00E541EE" w:rsidRDefault="00E541EE" w:rsidP="00A84BB5">
            <w:pPr>
              <w:jc w:val="center"/>
              <w:rPr>
                <w:rFonts w:ascii="Arial" w:hAnsi="Arial" w:cs="Arial"/>
                <w:sz w:val="14"/>
                <w:szCs w:val="14"/>
              </w:rPr>
            </w:pPr>
          </w:p>
          <w:p w14:paraId="33CF0EB9" w14:textId="77777777" w:rsidR="00E541EE" w:rsidRDefault="00E541EE" w:rsidP="00A84BB5">
            <w:pPr>
              <w:jc w:val="center"/>
              <w:rPr>
                <w:rFonts w:ascii="Arial" w:hAnsi="Arial" w:cs="Arial"/>
                <w:sz w:val="14"/>
                <w:szCs w:val="14"/>
              </w:rPr>
            </w:pPr>
            <w:r>
              <w:rPr>
                <w:rFonts w:ascii="Arial" w:hAnsi="Arial" w:cs="Arial"/>
                <w:sz w:val="14"/>
                <w:szCs w:val="14"/>
              </w:rPr>
              <w:t>A</w:t>
            </w:r>
            <w:r w:rsidRPr="005D517E">
              <w:rPr>
                <w:rFonts w:ascii="Arial" w:hAnsi="Arial" w:cs="Arial"/>
                <w:sz w:val="14"/>
                <w:szCs w:val="14"/>
              </w:rPr>
              <w:t>103101: Investicijsko održavanje sportskih objekata i oprem</w:t>
            </w:r>
            <w:r>
              <w:rPr>
                <w:rFonts w:ascii="Arial" w:hAnsi="Arial" w:cs="Arial"/>
                <w:sz w:val="14"/>
                <w:szCs w:val="14"/>
              </w:rPr>
              <w:t>e</w:t>
            </w:r>
          </w:p>
          <w:p w14:paraId="29748DA0" w14:textId="77777777" w:rsidR="00E541EE" w:rsidRDefault="00E541EE" w:rsidP="00A84BB5">
            <w:pPr>
              <w:jc w:val="center"/>
              <w:rPr>
                <w:rFonts w:ascii="Arial" w:hAnsi="Arial" w:cs="Arial"/>
                <w:sz w:val="14"/>
                <w:szCs w:val="14"/>
              </w:rPr>
            </w:pPr>
            <w:r>
              <w:rPr>
                <w:rFonts w:ascii="Arial" w:hAnsi="Arial" w:cs="Arial"/>
                <w:sz w:val="14"/>
                <w:szCs w:val="14"/>
              </w:rPr>
              <w:t>K</w:t>
            </w:r>
            <w:r w:rsidRPr="005D517E">
              <w:rPr>
                <w:rFonts w:ascii="Arial" w:hAnsi="Arial" w:cs="Arial"/>
                <w:sz w:val="14"/>
                <w:szCs w:val="14"/>
              </w:rPr>
              <w:t xml:space="preserve">103115 </w:t>
            </w:r>
            <w:r>
              <w:rPr>
                <w:rFonts w:ascii="Arial" w:hAnsi="Arial" w:cs="Arial"/>
                <w:sz w:val="14"/>
                <w:szCs w:val="14"/>
              </w:rPr>
              <w:t xml:space="preserve">i </w:t>
            </w:r>
            <w:r w:rsidRPr="005D517E">
              <w:rPr>
                <w:rFonts w:ascii="Arial" w:hAnsi="Arial" w:cs="Arial"/>
                <w:sz w:val="14"/>
                <w:szCs w:val="14"/>
              </w:rPr>
              <w:t>Košarkaško igralište parte</w:t>
            </w:r>
          </w:p>
          <w:p w14:paraId="7769F25D" w14:textId="77777777" w:rsidR="00E541EE" w:rsidRDefault="00E541EE" w:rsidP="00A84BB5">
            <w:pPr>
              <w:jc w:val="center"/>
              <w:rPr>
                <w:rFonts w:ascii="Arial" w:hAnsi="Arial" w:cs="Arial"/>
                <w:sz w:val="14"/>
                <w:szCs w:val="14"/>
              </w:rPr>
            </w:pPr>
            <w:r w:rsidRPr="005D517E">
              <w:rPr>
                <w:rFonts w:ascii="Arial" w:hAnsi="Arial" w:cs="Arial"/>
                <w:sz w:val="14"/>
                <w:szCs w:val="14"/>
              </w:rPr>
              <w:t>K103317 Padel – projektiranje:</w:t>
            </w:r>
          </w:p>
          <w:p w14:paraId="3683BF50" w14:textId="77777777" w:rsidR="00E541EE" w:rsidRPr="005D517E" w:rsidRDefault="00E541EE" w:rsidP="00A84BB5">
            <w:pPr>
              <w:jc w:val="center"/>
              <w:rPr>
                <w:rFonts w:ascii="Arial" w:hAnsi="Arial" w:cs="Arial"/>
                <w:sz w:val="14"/>
                <w:szCs w:val="14"/>
              </w:rPr>
            </w:pPr>
            <w:r>
              <w:rPr>
                <w:rFonts w:ascii="Arial" w:hAnsi="Arial" w:cs="Arial"/>
                <w:sz w:val="14"/>
                <w:szCs w:val="14"/>
              </w:rPr>
              <w:t>K</w:t>
            </w:r>
            <w:r w:rsidRPr="005D517E">
              <w:rPr>
                <w:rFonts w:ascii="Arial" w:hAnsi="Arial" w:cs="Arial"/>
                <w:sz w:val="14"/>
                <w:szCs w:val="14"/>
              </w:rPr>
              <w:t>103318 Rukometno igralište projektiranje</w:t>
            </w:r>
          </w:p>
          <w:p w14:paraId="774F3EB2" w14:textId="77777777" w:rsidR="00E541EE" w:rsidRPr="005D517E" w:rsidRDefault="00E541EE" w:rsidP="00A84BB5">
            <w:pPr>
              <w:jc w:val="center"/>
              <w:rPr>
                <w:rFonts w:ascii="Arial" w:hAnsi="Arial" w:cs="Arial"/>
                <w:sz w:val="14"/>
                <w:szCs w:val="14"/>
                <w:highlight w:val="yellow"/>
              </w:rPr>
            </w:pPr>
          </w:p>
        </w:tc>
        <w:tc>
          <w:tcPr>
            <w:tcW w:w="851" w:type="dxa"/>
            <w:tcBorders>
              <w:top w:val="single" w:sz="4" w:space="0" w:color="5B9BD5" w:themeColor="accent5"/>
              <w:left w:val="single" w:sz="4" w:space="0" w:color="5B9BD5" w:themeColor="accent5"/>
              <w:right w:val="single" w:sz="4" w:space="0" w:color="5B9BD5" w:themeColor="accent5"/>
            </w:tcBorders>
          </w:tcPr>
          <w:p w14:paraId="36251C50" w14:textId="77777777" w:rsidR="00E541EE" w:rsidRPr="005D517E" w:rsidRDefault="00E541EE" w:rsidP="00A84BB5">
            <w:pPr>
              <w:widowControl w:val="0"/>
              <w:autoSpaceDE w:val="0"/>
              <w:autoSpaceDN w:val="0"/>
              <w:jc w:val="center"/>
              <w:rPr>
                <w:rFonts w:ascii="Arial" w:eastAsia="Times New Roman" w:hAnsi="Arial" w:cs="Arial"/>
                <w:sz w:val="14"/>
                <w:szCs w:val="14"/>
              </w:rPr>
            </w:pPr>
          </w:p>
          <w:p w14:paraId="48BC0766" w14:textId="77777777" w:rsidR="00E541EE" w:rsidRPr="005D517E" w:rsidRDefault="00E541EE" w:rsidP="00A84BB5">
            <w:pPr>
              <w:widowControl w:val="0"/>
              <w:autoSpaceDE w:val="0"/>
              <w:autoSpaceDN w:val="0"/>
              <w:jc w:val="center"/>
              <w:rPr>
                <w:rFonts w:ascii="Arial" w:eastAsia="Times New Roman" w:hAnsi="Arial" w:cs="Arial"/>
                <w:sz w:val="14"/>
                <w:szCs w:val="14"/>
              </w:rPr>
            </w:pPr>
          </w:p>
          <w:p w14:paraId="7074A1D4" w14:textId="77777777" w:rsidR="00E541EE" w:rsidRPr="005D517E" w:rsidRDefault="00E541EE" w:rsidP="00A84BB5">
            <w:pPr>
              <w:widowControl w:val="0"/>
              <w:autoSpaceDE w:val="0"/>
              <w:autoSpaceDN w:val="0"/>
              <w:jc w:val="center"/>
              <w:rPr>
                <w:rFonts w:ascii="Arial" w:eastAsia="Times New Roman" w:hAnsi="Arial" w:cs="Arial"/>
                <w:sz w:val="14"/>
                <w:szCs w:val="14"/>
              </w:rPr>
            </w:pPr>
          </w:p>
          <w:p w14:paraId="457130AF" w14:textId="77777777" w:rsidR="00E541EE" w:rsidRPr="005D517E" w:rsidRDefault="00E541EE" w:rsidP="00A84BB5">
            <w:pPr>
              <w:widowControl w:val="0"/>
              <w:autoSpaceDE w:val="0"/>
              <w:autoSpaceDN w:val="0"/>
              <w:jc w:val="center"/>
              <w:rPr>
                <w:rFonts w:ascii="Arial" w:eastAsia="Times New Roman" w:hAnsi="Arial" w:cs="Arial"/>
                <w:sz w:val="14"/>
                <w:szCs w:val="14"/>
              </w:rPr>
            </w:pPr>
          </w:p>
          <w:p w14:paraId="22658E5B" w14:textId="77777777" w:rsidR="00E541EE" w:rsidRPr="005D517E" w:rsidRDefault="00E541EE" w:rsidP="00A84BB5">
            <w:pPr>
              <w:widowControl w:val="0"/>
              <w:autoSpaceDE w:val="0"/>
              <w:autoSpaceDN w:val="0"/>
              <w:jc w:val="center"/>
              <w:rPr>
                <w:rFonts w:ascii="Arial" w:eastAsia="Times New Roman" w:hAnsi="Arial" w:cs="Arial"/>
                <w:sz w:val="14"/>
                <w:szCs w:val="14"/>
              </w:rPr>
            </w:pPr>
          </w:p>
          <w:p w14:paraId="2D12F84D" w14:textId="77777777" w:rsidR="00E541EE" w:rsidRPr="005D517E" w:rsidRDefault="00E541EE" w:rsidP="00A84BB5">
            <w:pPr>
              <w:widowControl w:val="0"/>
              <w:autoSpaceDE w:val="0"/>
              <w:autoSpaceDN w:val="0"/>
              <w:jc w:val="center"/>
              <w:rPr>
                <w:rFonts w:ascii="Arial" w:eastAsia="Times New Roman" w:hAnsi="Arial" w:cs="Arial"/>
                <w:sz w:val="14"/>
                <w:szCs w:val="14"/>
              </w:rPr>
            </w:pPr>
          </w:p>
          <w:p w14:paraId="4BCC6123" w14:textId="77777777" w:rsidR="00E541EE" w:rsidRPr="005D517E" w:rsidRDefault="00E541EE" w:rsidP="00A84BB5">
            <w:pPr>
              <w:widowControl w:val="0"/>
              <w:autoSpaceDE w:val="0"/>
              <w:autoSpaceDN w:val="0"/>
              <w:jc w:val="center"/>
              <w:rPr>
                <w:rFonts w:ascii="Arial" w:hAnsi="Arial" w:cs="Arial"/>
                <w:sz w:val="14"/>
                <w:szCs w:val="14"/>
                <w:highlight w:val="yellow"/>
              </w:rPr>
            </w:pPr>
            <w:r w:rsidRPr="005D517E">
              <w:rPr>
                <w:rFonts w:ascii="Arial" w:eastAsia="Times New Roman" w:hAnsi="Arial" w:cs="Arial"/>
                <w:sz w:val="14"/>
                <w:szCs w:val="14"/>
              </w:rPr>
              <w:t>1</w:t>
            </w:r>
          </w:p>
        </w:tc>
        <w:tc>
          <w:tcPr>
            <w:tcW w:w="850" w:type="dxa"/>
          </w:tcPr>
          <w:p w14:paraId="7AB75A45" w14:textId="77777777" w:rsidR="00E541EE" w:rsidRPr="005D517E" w:rsidRDefault="00E541EE" w:rsidP="00A84BB5">
            <w:pPr>
              <w:widowControl w:val="0"/>
              <w:autoSpaceDE w:val="0"/>
              <w:autoSpaceDN w:val="0"/>
              <w:jc w:val="center"/>
              <w:rPr>
                <w:rFonts w:ascii="Arial" w:hAnsi="Arial" w:cs="Arial"/>
                <w:sz w:val="14"/>
                <w:szCs w:val="14"/>
              </w:rPr>
            </w:pPr>
          </w:p>
          <w:p w14:paraId="670F121C" w14:textId="77777777" w:rsidR="00E541EE" w:rsidRPr="005D517E" w:rsidRDefault="00E541EE" w:rsidP="00A84BB5">
            <w:pPr>
              <w:widowControl w:val="0"/>
              <w:autoSpaceDE w:val="0"/>
              <w:autoSpaceDN w:val="0"/>
              <w:jc w:val="center"/>
              <w:rPr>
                <w:rFonts w:ascii="Arial" w:hAnsi="Arial" w:cs="Arial"/>
                <w:sz w:val="14"/>
                <w:szCs w:val="14"/>
              </w:rPr>
            </w:pPr>
          </w:p>
          <w:p w14:paraId="48369E8D" w14:textId="77777777" w:rsidR="00E541EE" w:rsidRPr="005D517E" w:rsidRDefault="00E541EE" w:rsidP="00A84BB5">
            <w:pPr>
              <w:widowControl w:val="0"/>
              <w:autoSpaceDE w:val="0"/>
              <w:autoSpaceDN w:val="0"/>
              <w:jc w:val="center"/>
              <w:rPr>
                <w:rFonts w:ascii="Arial" w:hAnsi="Arial" w:cs="Arial"/>
                <w:sz w:val="14"/>
                <w:szCs w:val="14"/>
              </w:rPr>
            </w:pPr>
          </w:p>
          <w:p w14:paraId="726D7404" w14:textId="77777777" w:rsidR="00E541EE" w:rsidRPr="005D517E" w:rsidRDefault="00E541EE" w:rsidP="00A84BB5">
            <w:pPr>
              <w:widowControl w:val="0"/>
              <w:autoSpaceDE w:val="0"/>
              <w:autoSpaceDN w:val="0"/>
              <w:jc w:val="center"/>
              <w:rPr>
                <w:rFonts w:ascii="Arial" w:hAnsi="Arial" w:cs="Arial"/>
                <w:sz w:val="14"/>
                <w:szCs w:val="14"/>
              </w:rPr>
            </w:pPr>
          </w:p>
          <w:p w14:paraId="6C08B3C3" w14:textId="77777777" w:rsidR="00E541EE" w:rsidRPr="005D517E" w:rsidRDefault="00E541EE" w:rsidP="00A84BB5">
            <w:pPr>
              <w:widowControl w:val="0"/>
              <w:autoSpaceDE w:val="0"/>
              <w:autoSpaceDN w:val="0"/>
              <w:jc w:val="center"/>
              <w:rPr>
                <w:rFonts w:ascii="Arial" w:hAnsi="Arial" w:cs="Arial"/>
                <w:sz w:val="14"/>
                <w:szCs w:val="14"/>
              </w:rPr>
            </w:pPr>
          </w:p>
          <w:p w14:paraId="24E538DA" w14:textId="77777777" w:rsidR="00E541EE" w:rsidRPr="005D517E" w:rsidRDefault="00E541EE" w:rsidP="00A84BB5">
            <w:pPr>
              <w:widowControl w:val="0"/>
              <w:autoSpaceDE w:val="0"/>
              <w:autoSpaceDN w:val="0"/>
              <w:jc w:val="center"/>
              <w:rPr>
                <w:rFonts w:ascii="Arial" w:hAnsi="Arial" w:cs="Arial"/>
                <w:sz w:val="14"/>
                <w:szCs w:val="14"/>
              </w:rPr>
            </w:pPr>
          </w:p>
          <w:p w14:paraId="08C2C429" w14:textId="77777777" w:rsidR="00E541EE" w:rsidRPr="005D517E" w:rsidRDefault="00E541EE" w:rsidP="00A84BB5">
            <w:pPr>
              <w:widowControl w:val="0"/>
              <w:autoSpaceDE w:val="0"/>
              <w:autoSpaceDN w:val="0"/>
              <w:jc w:val="center"/>
              <w:rPr>
                <w:rFonts w:ascii="Arial" w:hAnsi="Arial" w:cs="Arial"/>
                <w:sz w:val="14"/>
                <w:szCs w:val="14"/>
                <w:highlight w:val="yellow"/>
              </w:rPr>
            </w:pPr>
            <w:r w:rsidRPr="005D517E">
              <w:rPr>
                <w:rFonts w:ascii="Arial" w:hAnsi="Arial" w:cs="Arial"/>
                <w:sz w:val="14"/>
                <w:szCs w:val="14"/>
              </w:rPr>
              <w:t>1</w:t>
            </w:r>
          </w:p>
        </w:tc>
        <w:tc>
          <w:tcPr>
            <w:tcW w:w="851" w:type="dxa"/>
          </w:tcPr>
          <w:p w14:paraId="32EC1EE1" w14:textId="77777777" w:rsidR="00E541EE" w:rsidRPr="005D517E" w:rsidRDefault="00E541EE" w:rsidP="00A84BB5">
            <w:pPr>
              <w:widowControl w:val="0"/>
              <w:autoSpaceDE w:val="0"/>
              <w:autoSpaceDN w:val="0"/>
              <w:jc w:val="center"/>
              <w:rPr>
                <w:rFonts w:ascii="Arial" w:hAnsi="Arial" w:cs="Arial"/>
                <w:sz w:val="14"/>
                <w:szCs w:val="14"/>
              </w:rPr>
            </w:pPr>
          </w:p>
          <w:p w14:paraId="27696A3E" w14:textId="77777777" w:rsidR="00E541EE" w:rsidRPr="005D517E" w:rsidRDefault="00E541EE" w:rsidP="00A84BB5">
            <w:pPr>
              <w:widowControl w:val="0"/>
              <w:autoSpaceDE w:val="0"/>
              <w:autoSpaceDN w:val="0"/>
              <w:jc w:val="center"/>
              <w:rPr>
                <w:rFonts w:ascii="Arial" w:hAnsi="Arial" w:cs="Arial"/>
                <w:sz w:val="14"/>
                <w:szCs w:val="14"/>
              </w:rPr>
            </w:pPr>
          </w:p>
          <w:p w14:paraId="121D9176" w14:textId="77777777" w:rsidR="00E541EE" w:rsidRPr="005D517E" w:rsidRDefault="00E541EE" w:rsidP="00A84BB5">
            <w:pPr>
              <w:widowControl w:val="0"/>
              <w:autoSpaceDE w:val="0"/>
              <w:autoSpaceDN w:val="0"/>
              <w:jc w:val="center"/>
              <w:rPr>
                <w:rFonts w:ascii="Arial" w:hAnsi="Arial" w:cs="Arial"/>
                <w:sz w:val="14"/>
                <w:szCs w:val="14"/>
              </w:rPr>
            </w:pPr>
          </w:p>
          <w:p w14:paraId="1362138B" w14:textId="77777777" w:rsidR="00E541EE" w:rsidRPr="005D517E" w:rsidRDefault="00E541EE" w:rsidP="00A84BB5">
            <w:pPr>
              <w:widowControl w:val="0"/>
              <w:autoSpaceDE w:val="0"/>
              <w:autoSpaceDN w:val="0"/>
              <w:jc w:val="center"/>
              <w:rPr>
                <w:rFonts w:ascii="Arial" w:hAnsi="Arial" w:cs="Arial"/>
                <w:sz w:val="14"/>
                <w:szCs w:val="14"/>
              </w:rPr>
            </w:pPr>
          </w:p>
          <w:p w14:paraId="34946D66" w14:textId="77777777" w:rsidR="00E541EE" w:rsidRPr="005D517E" w:rsidRDefault="00E541EE" w:rsidP="00A84BB5">
            <w:pPr>
              <w:widowControl w:val="0"/>
              <w:autoSpaceDE w:val="0"/>
              <w:autoSpaceDN w:val="0"/>
              <w:jc w:val="center"/>
              <w:rPr>
                <w:rFonts w:ascii="Arial" w:hAnsi="Arial" w:cs="Arial"/>
                <w:sz w:val="14"/>
                <w:szCs w:val="14"/>
              </w:rPr>
            </w:pPr>
          </w:p>
          <w:p w14:paraId="3D35BAD8" w14:textId="77777777" w:rsidR="00E541EE" w:rsidRPr="005D517E" w:rsidRDefault="00E541EE" w:rsidP="00A84BB5">
            <w:pPr>
              <w:widowControl w:val="0"/>
              <w:autoSpaceDE w:val="0"/>
              <w:autoSpaceDN w:val="0"/>
              <w:jc w:val="center"/>
              <w:rPr>
                <w:rFonts w:ascii="Arial" w:hAnsi="Arial" w:cs="Arial"/>
                <w:sz w:val="14"/>
                <w:szCs w:val="14"/>
              </w:rPr>
            </w:pPr>
          </w:p>
          <w:p w14:paraId="514DD3AC" w14:textId="77777777" w:rsidR="00E541EE" w:rsidRPr="005D517E" w:rsidRDefault="00E541EE" w:rsidP="00A84BB5">
            <w:pPr>
              <w:widowControl w:val="0"/>
              <w:autoSpaceDE w:val="0"/>
              <w:autoSpaceDN w:val="0"/>
              <w:jc w:val="center"/>
              <w:rPr>
                <w:rFonts w:ascii="Arial" w:hAnsi="Arial" w:cs="Arial"/>
                <w:sz w:val="14"/>
                <w:szCs w:val="14"/>
              </w:rPr>
            </w:pPr>
            <w:r w:rsidRPr="005D517E">
              <w:rPr>
                <w:rFonts w:ascii="Arial" w:hAnsi="Arial" w:cs="Arial"/>
                <w:sz w:val="14"/>
                <w:szCs w:val="14"/>
              </w:rPr>
              <w:t>3</w:t>
            </w:r>
          </w:p>
        </w:tc>
        <w:tc>
          <w:tcPr>
            <w:tcW w:w="567" w:type="dxa"/>
          </w:tcPr>
          <w:p w14:paraId="31BE5A35" w14:textId="77777777" w:rsidR="00E541EE" w:rsidRPr="005D517E" w:rsidRDefault="00E541EE" w:rsidP="00A84BB5">
            <w:pPr>
              <w:widowControl w:val="0"/>
              <w:autoSpaceDE w:val="0"/>
              <w:autoSpaceDN w:val="0"/>
              <w:jc w:val="center"/>
              <w:rPr>
                <w:rFonts w:ascii="Arial" w:hAnsi="Arial" w:cs="Arial"/>
                <w:sz w:val="14"/>
                <w:szCs w:val="14"/>
              </w:rPr>
            </w:pPr>
          </w:p>
          <w:p w14:paraId="6E976C3B" w14:textId="77777777" w:rsidR="00E541EE" w:rsidRPr="005D517E" w:rsidRDefault="00E541EE" w:rsidP="00A84BB5">
            <w:pPr>
              <w:widowControl w:val="0"/>
              <w:autoSpaceDE w:val="0"/>
              <w:autoSpaceDN w:val="0"/>
              <w:jc w:val="center"/>
              <w:rPr>
                <w:rFonts w:ascii="Arial" w:hAnsi="Arial" w:cs="Arial"/>
                <w:sz w:val="14"/>
                <w:szCs w:val="14"/>
              </w:rPr>
            </w:pPr>
          </w:p>
          <w:p w14:paraId="4220107D" w14:textId="77777777" w:rsidR="00E541EE" w:rsidRPr="005D517E" w:rsidRDefault="00E541EE" w:rsidP="00A84BB5">
            <w:pPr>
              <w:widowControl w:val="0"/>
              <w:autoSpaceDE w:val="0"/>
              <w:autoSpaceDN w:val="0"/>
              <w:jc w:val="center"/>
              <w:rPr>
                <w:rFonts w:ascii="Arial" w:hAnsi="Arial" w:cs="Arial"/>
                <w:sz w:val="14"/>
                <w:szCs w:val="14"/>
              </w:rPr>
            </w:pPr>
          </w:p>
          <w:p w14:paraId="63256B64" w14:textId="77777777" w:rsidR="00E541EE" w:rsidRPr="005D517E" w:rsidRDefault="00E541EE" w:rsidP="00A84BB5">
            <w:pPr>
              <w:widowControl w:val="0"/>
              <w:autoSpaceDE w:val="0"/>
              <w:autoSpaceDN w:val="0"/>
              <w:jc w:val="center"/>
              <w:rPr>
                <w:rFonts w:ascii="Arial" w:hAnsi="Arial" w:cs="Arial"/>
                <w:sz w:val="14"/>
                <w:szCs w:val="14"/>
              </w:rPr>
            </w:pPr>
          </w:p>
          <w:p w14:paraId="2D95CF52" w14:textId="77777777" w:rsidR="00E541EE" w:rsidRPr="005D517E" w:rsidRDefault="00E541EE" w:rsidP="00A84BB5">
            <w:pPr>
              <w:widowControl w:val="0"/>
              <w:autoSpaceDE w:val="0"/>
              <w:autoSpaceDN w:val="0"/>
              <w:jc w:val="center"/>
              <w:rPr>
                <w:rFonts w:ascii="Arial" w:hAnsi="Arial" w:cs="Arial"/>
                <w:sz w:val="14"/>
                <w:szCs w:val="14"/>
              </w:rPr>
            </w:pPr>
          </w:p>
          <w:p w14:paraId="673F3728" w14:textId="77777777" w:rsidR="00E541EE" w:rsidRPr="005D517E" w:rsidRDefault="00E541EE" w:rsidP="00A84BB5">
            <w:pPr>
              <w:widowControl w:val="0"/>
              <w:autoSpaceDE w:val="0"/>
              <w:autoSpaceDN w:val="0"/>
              <w:jc w:val="center"/>
              <w:rPr>
                <w:rFonts w:ascii="Arial" w:hAnsi="Arial" w:cs="Arial"/>
                <w:sz w:val="14"/>
                <w:szCs w:val="14"/>
              </w:rPr>
            </w:pPr>
          </w:p>
          <w:p w14:paraId="7F33E679" w14:textId="77777777" w:rsidR="00E541EE" w:rsidRPr="005D517E" w:rsidRDefault="00E541EE" w:rsidP="00A84BB5">
            <w:pPr>
              <w:widowControl w:val="0"/>
              <w:autoSpaceDE w:val="0"/>
              <w:autoSpaceDN w:val="0"/>
              <w:jc w:val="center"/>
              <w:rPr>
                <w:rFonts w:ascii="Arial" w:hAnsi="Arial" w:cs="Arial"/>
                <w:sz w:val="14"/>
                <w:szCs w:val="14"/>
              </w:rPr>
            </w:pPr>
            <w:r w:rsidRPr="005D517E">
              <w:rPr>
                <w:rFonts w:ascii="Arial" w:hAnsi="Arial" w:cs="Arial"/>
                <w:sz w:val="14"/>
                <w:szCs w:val="14"/>
              </w:rPr>
              <w:t>5</w:t>
            </w:r>
          </w:p>
        </w:tc>
        <w:tc>
          <w:tcPr>
            <w:tcW w:w="992" w:type="dxa"/>
          </w:tcPr>
          <w:p w14:paraId="051DB436" w14:textId="77777777" w:rsidR="00E541EE" w:rsidRPr="005D517E" w:rsidRDefault="00E541EE" w:rsidP="00A84BB5">
            <w:pPr>
              <w:widowControl w:val="0"/>
              <w:autoSpaceDE w:val="0"/>
              <w:autoSpaceDN w:val="0"/>
              <w:jc w:val="center"/>
              <w:rPr>
                <w:rFonts w:ascii="Arial" w:hAnsi="Arial" w:cs="Arial"/>
                <w:sz w:val="14"/>
                <w:szCs w:val="14"/>
              </w:rPr>
            </w:pPr>
          </w:p>
          <w:p w14:paraId="5F971FA8" w14:textId="77777777" w:rsidR="00E541EE" w:rsidRPr="005D517E" w:rsidRDefault="00E541EE" w:rsidP="00A84BB5">
            <w:pPr>
              <w:widowControl w:val="0"/>
              <w:autoSpaceDE w:val="0"/>
              <w:autoSpaceDN w:val="0"/>
              <w:jc w:val="center"/>
              <w:rPr>
                <w:rFonts w:ascii="Arial" w:hAnsi="Arial" w:cs="Arial"/>
                <w:sz w:val="14"/>
                <w:szCs w:val="14"/>
              </w:rPr>
            </w:pPr>
          </w:p>
          <w:p w14:paraId="43A65808" w14:textId="77777777" w:rsidR="00E541EE" w:rsidRPr="005D517E" w:rsidRDefault="00E541EE" w:rsidP="00A84BB5">
            <w:pPr>
              <w:widowControl w:val="0"/>
              <w:autoSpaceDE w:val="0"/>
              <w:autoSpaceDN w:val="0"/>
              <w:jc w:val="center"/>
              <w:rPr>
                <w:rFonts w:ascii="Arial" w:hAnsi="Arial" w:cs="Arial"/>
                <w:sz w:val="14"/>
                <w:szCs w:val="14"/>
              </w:rPr>
            </w:pPr>
          </w:p>
          <w:p w14:paraId="5F8C093D" w14:textId="77777777" w:rsidR="00E541EE" w:rsidRPr="005D517E" w:rsidRDefault="00E541EE" w:rsidP="00A84BB5">
            <w:pPr>
              <w:widowControl w:val="0"/>
              <w:autoSpaceDE w:val="0"/>
              <w:autoSpaceDN w:val="0"/>
              <w:jc w:val="center"/>
              <w:rPr>
                <w:rFonts w:ascii="Arial" w:hAnsi="Arial" w:cs="Arial"/>
                <w:sz w:val="14"/>
                <w:szCs w:val="14"/>
              </w:rPr>
            </w:pPr>
          </w:p>
          <w:p w14:paraId="1A4B5D4D" w14:textId="77777777" w:rsidR="00E541EE" w:rsidRPr="005D517E" w:rsidRDefault="00E541EE" w:rsidP="00A84BB5">
            <w:pPr>
              <w:widowControl w:val="0"/>
              <w:autoSpaceDE w:val="0"/>
              <w:autoSpaceDN w:val="0"/>
              <w:jc w:val="center"/>
              <w:rPr>
                <w:rFonts w:ascii="Arial" w:hAnsi="Arial" w:cs="Arial"/>
                <w:sz w:val="14"/>
                <w:szCs w:val="14"/>
              </w:rPr>
            </w:pPr>
          </w:p>
          <w:p w14:paraId="58471B47" w14:textId="77777777" w:rsidR="00E541EE" w:rsidRPr="005D517E" w:rsidRDefault="00E541EE" w:rsidP="00A84BB5">
            <w:pPr>
              <w:widowControl w:val="0"/>
              <w:autoSpaceDE w:val="0"/>
              <w:autoSpaceDN w:val="0"/>
              <w:jc w:val="center"/>
              <w:rPr>
                <w:rFonts w:ascii="Arial" w:hAnsi="Arial" w:cs="Arial"/>
                <w:sz w:val="14"/>
                <w:szCs w:val="14"/>
              </w:rPr>
            </w:pPr>
          </w:p>
          <w:p w14:paraId="3AEE577F" w14:textId="77777777" w:rsidR="00E541EE" w:rsidRPr="005D517E" w:rsidRDefault="00E541EE" w:rsidP="00A84BB5">
            <w:pPr>
              <w:widowControl w:val="0"/>
              <w:autoSpaceDE w:val="0"/>
              <w:autoSpaceDN w:val="0"/>
              <w:jc w:val="center"/>
              <w:rPr>
                <w:rFonts w:ascii="Arial" w:hAnsi="Arial" w:cs="Arial"/>
                <w:sz w:val="14"/>
                <w:szCs w:val="14"/>
              </w:rPr>
            </w:pPr>
            <w:r w:rsidRPr="005D517E">
              <w:rPr>
                <w:rFonts w:ascii="Arial" w:hAnsi="Arial" w:cs="Arial"/>
                <w:sz w:val="14"/>
                <w:szCs w:val="14"/>
              </w:rPr>
              <w:t>5</w:t>
            </w:r>
          </w:p>
        </w:tc>
      </w:tr>
    </w:tbl>
    <w:p w14:paraId="56424C37" w14:textId="77777777" w:rsidR="00E541EE" w:rsidRDefault="00E541EE" w:rsidP="00E541EE">
      <w:pPr>
        <w:jc w:val="both"/>
        <w:rPr>
          <w:rFonts w:ascii="Arial" w:eastAsia="Times New Roman" w:hAnsi="Arial" w:cs="Arial"/>
          <w:b/>
          <w:bCs/>
          <w:sz w:val="24"/>
          <w:szCs w:val="24"/>
        </w:rPr>
      </w:pPr>
    </w:p>
    <w:p w14:paraId="4872B82A"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AC2206">
        <w:rPr>
          <w:rFonts w:ascii="Arial" w:eastAsia="Times New Roman" w:hAnsi="Arial" w:cs="Arial"/>
          <w:b/>
          <w:bCs/>
          <w:sz w:val="24"/>
          <w:szCs w:val="24"/>
        </w:rPr>
        <w:t>A 103101: Redovno poslovanje TD Valbruna sport  d.o.o. Rovinj-Rovigno</w:t>
      </w:r>
    </w:p>
    <w:p w14:paraId="74100975"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AC2206">
        <w:rPr>
          <w:rFonts w:ascii="Arial" w:eastAsia="Times New Roman" w:hAnsi="Arial" w:cs="Arial"/>
          <w:b/>
          <w:bCs/>
          <w:sz w:val="24"/>
          <w:szCs w:val="24"/>
        </w:rPr>
        <w:t>= 2</w:t>
      </w:r>
      <w:r>
        <w:rPr>
          <w:rFonts w:ascii="Arial" w:eastAsia="Times New Roman" w:hAnsi="Arial" w:cs="Arial"/>
          <w:b/>
          <w:bCs/>
          <w:sz w:val="24"/>
          <w:szCs w:val="24"/>
        </w:rPr>
        <w:t>45</w:t>
      </w:r>
      <w:r w:rsidRPr="00AC2206">
        <w:rPr>
          <w:rFonts w:ascii="Arial" w:eastAsia="Times New Roman" w:hAnsi="Arial" w:cs="Arial"/>
          <w:b/>
          <w:bCs/>
          <w:sz w:val="24"/>
          <w:szCs w:val="24"/>
        </w:rPr>
        <w:t>.</w:t>
      </w:r>
      <w:r>
        <w:rPr>
          <w:rFonts w:ascii="Arial" w:eastAsia="Times New Roman" w:hAnsi="Arial" w:cs="Arial"/>
          <w:b/>
          <w:bCs/>
          <w:sz w:val="24"/>
          <w:szCs w:val="24"/>
        </w:rPr>
        <w:t>0</w:t>
      </w:r>
      <w:r w:rsidRPr="00AC2206">
        <w:rPr>
          <w:rFonts w:ascii="Arial" w:eastAsia="Times New Roman" w:hAnsi="Arial" w:cs="Arial"/>
          <w:b/>
          <w:bCs/>
          <w:sz w:val="24"/>
          <w:szCs w:val="24"/>
        </w:rPr>
        <w:t>00,00 EUR</w:t>
      </w:r>
    </w:p>
    <w:p w14:paraId="2647C46B"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Zakonska osnova:</w:t>
      </w:r>
      <w:r w:rsidRPr="00AC2206">
        <w:rPr>
          <w:rFonts w:ascii="Arial" w:eastAsia="Times New Roman" w:hAnsi="Arial" w:cs="Arial"/>
          <w:sz w:val="24"/>
          <w:szCs w:val="24"/>
        </w:rPr>
        <w:t xml:space="preserve"> Zakon o sportu.</w:t>
      </w:r>
    </w:p>
    <w:p w14:paraId="2A46FA8A"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sz w:val="24"/>
          <w:szCs w:val="24"/>
        </w:rPr>
        <w:t>Opis:</w:t>
      </w:r>
      <w:r w:rsidRPr="00AC2206">
        <w:rPr>
          <w:rFonts w:ascii="Arial" w:eastAsia="Times New Roman" w:hAnsi="Arial" w:cs="Arial"/>
          <w:sz w:val="24"/>
          <w:szCs w:val="24"/>
        </w:rPr>
        <w:t xml:space="preserve"> sredstva u iznosu od 2</w:t>
      </w:r>
      <w:r>
        <w:rPr>
          <w:rFonts w:ascii="Arial" w:eastAsia="Times New Roman" w:hAnsi="Arial" w:cs="Arial"/>
          <w:sz w:val="24"/>
          <w:szCs w:val="24"/>
        </w:rPr>
        <w:t>45</w:t>
      </w:r>
      <w:r w:rsidRPr="00AC2206">
        <w:rPr>
          <w:rFonts w:ascii="Arial" w:eastAsia="Times New Roman" w:hAnsi="Arial" w:cs="Arial"/>
          <w:sz w:val="24"/>
          <w:szCs w:val="24"/>
        </w:rPr>
        <w:t>.</w:t>
      </w:r>
      <w:r>
        <w:rPr>
          <w:rFonts w:ascii="Arial" w:eastAsia="Times New Roman" w:hAnsi="Arial" w:cs="Arial"/>
          <w:sz w:val="24"/>
          <w:szCs w:val="24"/>
        </w:rPr>
        <w:t>0</w:t>
      </w:r>
      <w:r w:rsidRPr="00AC2206">
        <w:rPr>
          <w:rFonts w:ascii="Arial" w:eastAsia="Times New Roman" w:hAnsi="Arial" w:cs="Arial"/>
          <w:sz w:val="24"/>
          <w:szCs w:val="24"/>
        </w:rPr>
        <w:t xml:space="preserve">00,00 </w:t>
      </w:r>
      <w:r>
        <w:rPr>
          <w:rFonts w:ascii="Arial" w:eastAsia="Times New Roman" w:hAnsi="Arial" w:cs="Arial"/>
          <w:sz w:val="24"/>
          <w:szCs w:val="24"/>
        </w:rPr>
        <w:t>eura</w:t>
      </w:r>
      <w:r w:rsidRPr="00AC2206">
        <w:rPr>
          <w:rFonts w:ascii="Arial" w:eastAsia="Times New Roman" w:hAnsi="Arial" w:cs="Arial"/>
          <w:sz w:val="24"/>
          <w:szCs w:val="24"/>
        </w:rPr>
        <w:t xml:space="preserve"> se osiguravaju za pokriće dijela rashoda Društva nastalih u poslovanju s obzirom da se iz važeće cijene isti ne mogu u cijelosti pokriti, a osim toga veliki je postotak iskorištenosti ovih objekata od strane naših škola i sportskih udruga. Sredstva za ove namjene doznačiti će se Valbruna sport d.o.o. Rovinj-Rovigno u jednakim mjesečnim iznosima po posebnim zahtjevima. </w:t>
      </w:r>
    </w:p>
    <w:p w14:paraId="0006466B" w14:textId="77777777" w:rsidR="00E541EE" w:rsidRPr="00AC2206" w:rsidRDefault="00E541EE" w:rsidP="00E541EE">
      <w:pPr>
        <w:jc w:val="both"/>
        <w:rPr>
          <w:rFonts w:ascii="Arial" w:eastAsia="Times New Roman" w:hAnsi="Arial" w:cs="Arial"/>
          <w:bCs/>
          <w:sz w:val="24"/>
          <w:szCs w:val="24"/>
        </w:rPr>
      </w:pPr>
      <w:r w:rsidRPr="00AC2206">
        <w:rPr>
          <w:rFonts w:ascii="Arial" w:eastAsia="Times New Roman" w:hAnsi="Arial" w:cs="Arial"/>
          <w:b/>
          <w:bCs/>
          <w:sz w:val="24"/>
          <w:szCs w:val="24"/>
        </w:rPr>
        <w:t xml:space="preserve">Opći cilj: </w:t>
      </w:r>
      <w:r w:rsidRPr="00AC2206">
        <w:rPr>
          <w:rFonts w:ascii="Arial" w:eastAsia="Times New Roman" w:hAnsi="Arial" w:cs="Arial"/>
          <w:bCs/>
          <w:sz w:val="24"/>
          <w:szCs w:val="24"/>
        </w:rPr>
        <w:t>kvalitetno upravljanje sportskim objektima u svrhu zadovoljenja potreba korisnika.</w:t>
      </w:r>
    </w:p>
    <w:p w14:paraId="0BC838E3" w14:textId="77777777" w:rsidR="00E541EE" w:rsidRDefault="00E541EE" w:rsidP="00E541EE">
      <w:pPr>
        <w:jc w:val="both"/>
        <w:rPr>
          <w:rFonts w:ascii="Arial" w:eastAsia="Times New Roman" w:hAnsi="Arial" w:cs="Arial"/>
          <w:bCs/>
          <w:sz w:val="24"/>
          <w:szCs w:val="24"/>
        </w:rPr>
      </w:pPr>
      <w:r w:rsidRPr="00AC2206">
        <w:rPr>
          <w:rFonts w:ascii="Arial" w:eastAsia="Times New Roman" w:hAnsi="Arial" w:cs="Arial"/>
          <w:b/>
          <w:bCs/>
          <w:sz w:val="24"/>
          <w:szCs w:val="24"/>
        </w:rPr>
        <w:t xml:space="preserve">Pokazatelj uspješnosti: </w:t>
      </w:r>
      <w:r w:rsidRPr="00AC2206">
        <w:rPr>
          <w:rFonts w:ascii="Arial" w:eastAsia="Times New Roman" w:hAnsi="Arial" w:cs="Arial"/>
          <w:bCs/>
          <w:sz w:val="24"/>
          <w:szCs w:val="24"/>
        </w:rPr>
        <w:t>osigurani uvjeti rada u sportskim objektima, praćenje pokazatelja.</w:t>
      </w:r>
    </w:p>
    <w:p w14:paraId="1B3B10EB" w14:textId="77777777" w:rsidR="00E541EE" w:rsidRDefault="00E541EE" w:rsidP="00E541EE">
      <w:pPr>
        <w:jc w:val="both"/>
        <w:rPr>
          <w:rFonts w:ascii="Arial" w:eastAsia="Times New Roman" w:hAnsi="Arial" w:cs="Arial"/>
          <w:bCs/>
          <w:sz w:val="24"/>
          <w:szCs w:val="24"/>
        </w:rPr>
      </w:pPr>
    </w:p>
    <w:p w14:paraId="19EA025B" w14:textId="77777777" w:rsidR="00736B58" w:rsidRPr="00AC2206" w:rsidRDefault="00736B58" w:rsidP="00736B58">
      <w:pPr>
        <w:pBdr>
          <w:top w:val="single" w:sz="4" w:space="0"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AC2206">
        <w:rPr>
          <w:rFonts w:ascii="Arial" w:eastAsia="Times New Roman" w:hAnsi="Arial" w:cs="Arial"/>
          <w:b/>
          <w:bCs/>
          <w:sz w:val="24"/>
          <w:szCs w:val="24"/>
        </w:rPr>
        <w:t xml:space="preserve">A 103102: Tekuće održavanje školske sportske dvorane „Gimnazija“ </w:t>
      </w:r>
    </w:p>
    <w:p w14:paraId="41692D28" w14:textId="77777777" w:rsidR="00736B58" w:rsidRPr="00AC2206" w:rsidRDefault="00736B58" w:rsidP="00736B58">
      <w:pPr>
        <w:pBdr>
          <w:top w:val="single" w:sz="4" w:space="0"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AC2206">
        <w:rPr>
          <w:rFonts w:ascii="Arial" w:eastAsia="Times New Roman" w:hAnsi="Arial" w:cs="Arial"/>
          <w:b/>
          <w:bCs/>
          <w:sz w:val="24"/>
          <w:szCs w:val="24"/>
        </w:rPr>
        <w:t>= 6</w:t>
      </w:r>
      <w:r>
        <w:rPr>
          <w:rFonts w:ascii="Arial" w:eastAsia="Times New Roman" w:hAnsi="Arial" w:cs="Arial"/>
          <w:b/>
          <w:bCs/>
          <w:sz w:val="24"/>
          <w:szCs w:val="24"/>
        </w:rPr>
        <w:t>9</w:t>
      </w:r>
      <w:r w:rsidRPr="00AC2206">
        <w:rPr>
          <w:rFonts w:ascii="Arial" w:eastAsia="Times New Roman" w:hAnsi="Arial" w:cs="Arial"/>
          <w:b/>
          <w:bCs/>
          <w:sz w:val="24"/>
          <w:szCs w:val="24"/>
        </w:rPr>
        <w:t>.500,00 EUR</w:t>
      </w:r>
    </w:p>
    <w:p w14:paraId="7AF63809" w14:textId="77777777" w:rsidR="00736B58" w:rsidRPr="00AC2206" w:rsidRDefault="00736B58" w:rsidP="00736B58">
      <w:pPr>
        <w:jc w:val="both"/>
        <w:rPr>
          <w:rFonts w:ascii="Arial" w:eastAsia="Times New Roman" w:hAnsi="Arial" w:cs="Arial"/>
          <w:sz w:val="24"/>
          <w:szCs w:val="24"/>
        </w:rPr>
      </w:pPr>
      <w:r w:rsidRPr="00AC2206">
        <w:rPr>
          <w:rFonts w:ascii="Arial" w:eastAsia="Times New Roman" w:hAnsi="Arial" w:cs="Arial"/>
          <w:b/>
          <w:bCs/>
          <w:sz w:val="24"/>
          <w:szCs w:val="24"/>
        </w:rPr>
        <w:t>Zakonska osnova:</w:t>
      </w:r>
      <w:r w:rsidRPr="00AC2206">
        <w:rPr>
          <w:rFonts w:ascii="Arial" w:eastAsia="Times New Roman" w:hAnsi="Arial" w:cs="Arial"/>
          <w:sz w:val="24"/>
          <w:szCs w:val="24"/>
        </w:rPr>
        <w:t xml:space="preserve"> Zakon o sportu.</w:t>
      </w:r>
    </w:p>
    <w:p w14:paraId="52D0AFAC" w14:textId="77777777" w:rsidR="00736B58" w:rsidRPr="00AC2206" w:rsidRDefault="00736B58" w:rsidP="00736B58">
      <w:pPr>
        <w:jc w:val="both"/>
        <w:rPr>
          <w:rFonts w:ascii="Arial" w:eastAsia="Times New Roman" w:hAnsi="Arial" w:cs="Arial"/>
          <w:sz w:val="24"/>
          <w:szCs w:val="24"/>
        </w:rPr>
      </w:pPr>
      <w:r w:rsidRPr="00AC2206">
        <w:rPr>
          <w:rFonts w:ascii="Arial" w:eastAsia="Times New Roman" w:hAnsi="Arial" w:cs="Arial"/>
          <w:b/>
          <w:sz w:val="24"/>
          <w:szCs w:val="24"/>
        </w:rPr>
        <w:t>Opis:</w:t>
      </w:r>
      <w:r w:rsidRPr="00AC2206">
        <w:rPr>
          <w:rFonts w:ascii="Arial" w:eastAsia="Times New Roman" w:hAnsi="Arial" w:cs="Arial"/>
          <w:sz w:val="24"/>
          <w:szCs w:val="24"/>
        </w:rPr>
        <w:t xml:space="preserve"> za troškove funkcioniranja i održavanja školske sportske dvorane planiran je iznos od 64.500,00 </w:t>
      </w:r>
      <w:r>
        <w:rPr>
          <w:rFonts w:ascii="Arial" w:eastAsia="Times New Roman" w:hAnsi="Arial" w:cs="Arial"/>
          <w:sz w:val="24"/>
          <w:szCs w:val="24"/>
        </w:rPr>
        <w:t>eura</w:t>
      </w:r>
      <w:r w:rsidRPr="00AC2206">
        <w:rPr>
          <w:rFonts w:ascii="Arial" w:eastAsia="Times New Roman" w:hAnsi="Arial" w:cs="Arial"/>
          <w:sz w:val="24"/>
          <w:szCs w:val="24"/>
        </w:rPr>
        <w:t>. Ovi rashodi obuhvaćaju režijske troškove (struja, voda), razna ispitivanja, servisiranja opreme i uređaja i dr.</w:t>
      </w:r>
    </w:p>
    <w:p w14:paraId="2AF043CF" w14:textId="77777777" w:rsidR="00736B58" w:rsidRPr="00AC2206" w:rsidRDefault="00736B58" w:rsidP="00736B58">
      <w:pPr>
        <w:jc w:val="both"/>
        <w:rPr>
          <w:rFonts w:ascii="Arial" w:eastAsia="Times New Roman" w:hAnsi="Arial" w:cs="Arial"/>
          <w:b/>
          <w:bCs/>
          <w:sz w:val="24"/>
          <w:szCs w:val="24"/>
        </w:rPr>
      </w:pPr>
      <w:r w:rsidRPr="00AC2206">
        <w:rPr>
          <w:rFonts w:ascii="Arial" w:eastAsia="Times New Roman" w:hAnsi="Arial" w:cs="Arial"/>
          <w:b/>
          <w:bCs/>
          <w:sz w:val="24"/>
          <w:szCs w:val="24"/>
        </w:rPr>
        <w:t xml:space="preserve">Opći cilj: </w:t>
      </w:r>
      <w:r w:rsidRPr="00AC2206">
        <w:rPr>
          <w:rFonts w:ascii="Arial" w:eastAsia="Times New Roman" w:hAnsi="Arial" w:cs="Arial"/>
          <w:bCs/>
          <w:sz w:val="24"/>
          <w:szCs w:val="24"/>
        </w:rPr>
        <w:t>održavanje sportske infrastrukture.</w:t>
      </w:r>
      <w:r w:rsidRPr="00AC2206">
        <w:rPr>
          <w:rFonts w:ascii="Arial" w:eastAsia="Times New Roman" w:hAnsi="Arial" w:cs="Arial"/>
          <w:b/>
          <w:bCs/>
          <w:sz w:val="24"/>
          <w:szCs w:val="24"/>
        </w:rPr>
        <w:t xml:space="preserve"> </w:t>
      </w:r>
    </w:p>
    <w:p w14:paraId="5E662C5F" w14:textId="77777777" w:rsidR="00736B58" w:rsidRPr="00AC2206" w:rsidRDefault="00736B58" w:rsidP="00736B58">
      <w:pPr>
        <w:jc w:val="both"/>
        <w:rPr>
          <w:rFonts w:ascii="Arial" w:eastAsia="Times New Roman" w:hAnsi="Arial" w:cs="Arial"/>
          <w:bCs/>
          <w:sz w:val="24"/>
          <w:szCs w:val="24"/>
        </w:rPr>
      </w:pPr>
      <w:r w:rsidRPr="00AC2206">
        <w:rPr>
          <w:rFonts w:ascii="Arial" w:eastAsia="Times New Roman" w:hAnsi="Arial" w:cs="Arial"/>
          <w:b/>
          <w:bCs/>
          <w:sz w:val="24"/>
          <w:szCs w:val="24"/>
        </w:rPr>
        <w:t xml:space="preserve">Pokazatelj uspješnosti: </w:t>
      </w:r>
      <w:r w:rsidRPr="00AC2206">
        <w:rPr>
          <w:rFonts w:ascii="Arial" w:eastAsia="Times New Roman" w:hAnsi="Arial" w:cs="Arial"/>
          <w:bCs/>
          <w:sz w:val="24"/>
          <w:szCs w:val="24"/>
        </w:rPr>
        <w:t>nesmetano održavanje nastave Tjelesne i zdravstvene kulture i aktivnosti sportskih udruga.</w:t>
      </w:r>
    </w:p>
    <w:p w14:paraId="10C11FFE" w14:textId="77777777" w:rsidR="00736B58" w:rsidRPr="00AC2206" w:rsidRDefault="00736B58" w:rsidP="00736B58">
      <w:pPr>
        <w:jc w:val="both"/>
        <w:rPr>
          <w:rFonts w:ascii="Arial" w:eastAsia="Times New Roman" w:hAnsi="Arial" w:cs="Arial"/>
          <w:sz w:val="24"/>
          <w:szCs w:val="24"/>
        </w:rPr>
      </w:pPr>
    </w:p>
    <w:p w14:paraId="5BF500D4" w14:textId="77777777" w:rsidR="00736B58" w:rsidRPr="00AC2206" w:rsidRDefault="00736B58" w:rsidP="00736B58">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AC2206">
        <w:rPr>
          <w:rFonts w:ascii="Arial" w:eastAsia="Times New Roman" w:hAnsi="Arial" w:cs="Arial"/>
          <w:b/>
          <w:bCs/>
          <w:sz w:val="24"/>
          <w:szCs w:val="24"/>
        </w:rPr>
        <w:t xml:space="preserve">A 103103: Tekuće održavanje plivačkog bazena </w:t>
      </w:r>
      <w:r w:rsidRPr="00AC2206">
        <w:rPr>
          <w:rFonts w:ascii="Arial" w:eastAsia="Times New Roman" w:hAnsi="Arial" w:cs="Arial"/>
          <w:b/>
          <w:sz w:val="24"/>
          <w:szCs w:val="24"/>
        </w:rPr>
        <w:t>„Delfin“</w:t>
      </w:r>
      <w:r w:rsidRPr="00AC2206">
        <w:rPr>
          <w:rFonts w:ascii="Arial" w:eastAsia="Times New Roman" w:hAnsi="Arial" w:cs="Arial"/>
          <w:b/>
          <w:bCs/>
          <w:sz w:val="24"/>
          <w:szCs w:val="24"/>
        </w:rPr>
        <w:t xml:space="preserve"> = 79.500,00 EUR</w:t>
      </w:r>
    </w:p>
    <w:p w14:paraId="612DAFA3" w14:textId="77777777" w:rsidR="00736B58" w:rsidRPr="00AC2206" w:rsidRDefault="00736B58" w:rsidP="00736B58">
      <w:pPr>
        <w:jc w:val="both"/>
        <w:rPr>
          <w:rFonts w:ascii="Arial" w:eastAsia="Times New Roman" w:hAnsi="Arial" w:cs="Arial"/>
          <w:sz w:val="24"/>
          <w:szCs w:val="24"/>
        </w:rPr>
      </w:pPr>
      <w:r w:rsidRPr="00AC2206">
        <w:rPr>
          <w:rFonts w:ascii="Arial" w:eastAsia="Times New Roman" w:hAnsi="Arial" w:cs="Arial"/>
          <w:b/>
          <w:bCs/>
          <w:sz w:val="24"/>
          <w:szCs w:val="24"/>
        </w:rPr>
        <w:t>Zakonska osnova:</w:t>
      </w:r>
      <w:r w:rsidRPr="00AC2206">
        <w:rPr>
          <w:rFonts w:ascii="Arial" w:eastAsia="Times New Roman" w:hAnsi="Arial" w:cs="Arial"/>
          <w:sz w:val="24"/>
          <w:szCs w:val="24"/>
        </w:rPr>
        <w:t xml:space="preserve"> Zakon o sportu.</w:t>
      </w:r>
    </w:p>
    <w:p w14:paraId="30B7EC43" w14:textId="77777777" w:rsidR="00736B58" w:rsidRPr="00AC2206" w:rsidRDefault="00736B58" w:rsidP="00736B58">
      <w:pPr>
        <w:jc w:val="both"/>
        <w:rPr>
          <w:rFonts w:ascii="Arial" w:eastAsia="Times New Roman" w:hAnsi="Arial" w:cs="Arial"/>
          <w:sz w:val="24"/>
          <w:szCs w:val="24"/>
        </w:rPr>
      </w:pPr>
      <w:r w:rsidRPr="00AC2206">
        <w:rPr>
          <w:rFonts w:ascii="Arial" w:eastAsia="Times New Roman" w:hAnsi="Arial" w:cs="Arial"/>
          <w:b/>
          <w:sz w:val="24"/>
          <w:szCs w:val="24"/>
        </w:rPr>
        <w:t>Opis:</w:t>
      </w:r>
      <w:r w:rsidRPr="00AC2206">
        <w:rPr>
          <w:rFonts w:ascii="Arial" w:eastAsia="Times New Roman" w:hAnsi="Arial" w:cs="Arial"/>
          <w:sz w:val="24"/>
          <w:szCs w:val="24"/>
        </w:rPr>
        <w:t xml:space="preserve"> ovim sredstvima osigurati će se tekuće i investicijsko održavanje otvorenog bazena „Delfin“, (troškovi </w:t>
      </w:r>
      <w:r>
        <w:rPr>
          <w:rFonts w:ascii="Arial" w:eastAsia="Times New Roman" w:hAnsi="Arial" w:cs="Arial"/>
          <w:sz w:val="24"/>
          <w:szCs w:val="24"/>
        </w:rPr>
        <w:t>električne energije</w:t>
      </w:r>
      <w:r w:rsidRPr="00AC2206">
        <w:rPr>
          <w:rFonts w:ascii="Arial" w:eastAsia="Times New Roman" w:hAnsi="Arial" w:cs="Arial"/>
          <w:sz w:val="24"/>
          <w:szCs w:val="24"/>
        </w:rPr>
        <w:t>, vode, nabavka sredstava za</w:t>
      </w:r>
      <w:r>
        <w:rPr>
          <w:rFonts w:ascii="Arial" w:eastAsia="Times New Roman" w:hAnsi="Arial" w:cs="Arial"/>
          <w:sz w:val="24"/>
          <w:szCs w:val="24"/>
        </w:rPr>
        <w:t xml:space="preserve"> dezinfekciju i </w:t>
      </w:r>
      <w:r w:rsidRPr="00AC2206">
        <w:rPr>
          <w:rFonts w:ascii="Arial" w:eastAsia="Times New Roman" w:hAnsi="Arial" w:cs="Arial"/>
          <w:sz w:val="24"/>
          <w:szCs w:val="24"/>
        </w:rPr>
        <w:t>održavanje čistoće bazena, kontrola ispravnosti vode</w:t>
      </w:r>
      <w:r>
        <w:rPr>
          <w:rFonts w:ascii="Arial" w:eastAsia="Times New Roman" w:hAnsi="Arial" w:cs="Arial"/>
          <w:sz w:val="24"/>
          <w:szCs w:val="24"/>
        </w:rPr>
        <w:t xml:space="preserve"> te redovite servise i popravke opreme</w:t>
      </w:r>
      <w:r w:rsidRPr="00AC2206">
        <w:rPr>
          <w:rFonts w:ascii="Arial" w:eastAsia="Times New Roman" w:hAnsi="Arial" w:cs="Arial"/>
          <w:sz w:val="24"/>
          <w:szCs w:val="24"/>
        </w:rPr>
        <w:t>).</w:t>
      </w:r>
      <w:r>
        <w:rPr>
          <w:rFonts w:ascii="Arial" w:eastAsia="Times New Roman" w:hAnsi="Arial" w:cs="Arial"/>
          <w:sz w:val="24"/>
          <w:szCs w:val="24"/>
        </w:rPr>
        <w:t xml:space="preserve"> Održavanje bazena od iznimne je važnosti za osiguranje zdravstveno ispravnih i sigurnih uvjeta korištenja.</w:t>
      </w:r>
    </w:p>
    <w:p w14:paraId="1AEF9D56" w14:textId="77777777" w:rsidR="00736B58" w:rsidRPr="00AC2206" w:rsidRDefault="00736B58" w:rsidP="00736B58">
      <w:pPr>
        <w:jc w:val="both"/>
        <w:rPr>
          <w:rFonts w:ascii="Arial" w:eastAsia="Times New Roman" w:hAnsi="Arial" w:cs="Arial"/>
          <w:b/>
          <w:bCs/>
          <w:sz w:val="24"/>
          <w:szCs w:val="24"/>
        </w:rPr>
      </w:pPr>
      <w:r w:rsidRPr="00AC2206">
        <w:rPr>
          <w:rFonts w:ascii="Arial" w:eastAsia="Times New Roman" w:hAnsi="Arial" w:cs="Arial"/>
          <w:b/>
          <w:bCs/>
          <w:sz w:val="24"/>
          <w:szCs w:val="24"/>
        </w:rPr>
        <w:t xml:space="preserve">Opći cilj: </w:t>
      </w:r>
      <w:r w:rsidRPr="00AC2206">
        <w:rPr>
          <w:rFonts w:ascii="Arial" w:eastAsia="Times New Roman" w:hAnsi="Arial" w:cs="Arial"/>
          <w:bCs/>
          <w:sz w:val="24"/>
          <w:szCs w:val="24"/>
        </w:rPr>
        <w:t>održavanje sportske infrastrukture i stvaranje uvjeta za rad sportovima na vodi.</w:t>
      </w:r>
    </w:p>
    <w:p w14:paraId="75739B4B" w14:textId="77777777" w:rsidR="00736B58" w:rsidRPr="00AC2206" w:rsidRDefault="00736B58" w:rsidP="00736B58">
      <w:pPr>
        <w:jc w:val="both"/>
        <w:rPr>
          <w:rFonts w:ascii="Arial" w:eastAsia="Times New Roman" w:hAnsi="Arial" w:cs="Arial"/>
          <w:bCs/>
          <w:sz w:val="24"/>
          <w:szCs w:val="24"/>
        </w:rPr>
      </w:pPr>
      <w:r w:rsidRPr="00AC2206">
        <w:rPr>
          <w:rFonts w:ascii="Arial" w:eastAsia="Times New Roman" w:hAnsi="Arial" w:cs="Arial"/>
          <w:b/>
          <w:bCs/>
          <w:sz w:val="24"/>
          <w:szCs w:val="24"/>
        </w:rPr>
        <w:t xml:space="preserve">Pokazatelj uspješnosti: </w:t>
      </w:r>
      <w:r w:rsidRPr="00AC2206">
        <w:rPr>
          <w:rFonts w:ascii="Arial" w:eastAsia="Times New Roman" w:hAnsi="Arial" w:cs="Arial"/>
          <w:bCs/>
          <w:sz w:val="24"/>
          <w:szCs w:val="24"/>
        </w:rPr>
        <w:t>nesmetan rad bazena za održavanje sportskih aktivnosti.</w:t>
      </w:r>
    </w:p>
    <w:p w14:paraId="6F198F25" w14:textId="77777777" w:rsidR="00736B58" w:rsidRPr="00AC2206" w:rsidRDefault="00736B58" w:rsidP="00736B58">
      <w:pPr>
        <w:jc w:val="both"/>
        <w:rPr>
          <w:rFonts w:ascii="Arial" w:eastAsia="Times New Roman" w:hAnsi="Arial" w:cs="Arial"/>
          <w:bCs/>
          <w:sz w:val="24"/>
          <w:szCs w:val="24"/>
        </w:rPr>
      </w:pPr>
    </w:p>
    <w:p w14:paraId="429564DE" w14:textId="77777777" w:rsidR="00736B58" w:rsidRDefault="00736B58" w:rsidP="00736B58">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AC2206">
        <w:rPr>
          <w:rFonts w:ascii="Arial" w:eastAsia="Times New Roman" w:hAnsi="Arial" w:cs="Arial"/>
          <w:b/>
          <w:bCs/>
          <w:sz w:val="24"/>
          <w:szCs w:val="24"/>
        </w:rPr>
        <w:t xml:space="preserve">A 103106: Tekuće održavanje sportsko lječilišnog bazenskog kompleksa </w:t>
      </w:r>
    </w:p>
    <w:p w14:paraId="784B7E2C" w14:textId="77777777" w:rsidR="00736B58" w:rsidRPr="00AC2206" w:rsidRDefault="00736B58" w:rsidP="00736B58">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AC2206">
        <w:rPr>
          <w:rFonts w:ascii="Arial" w:eastAsia="Times New Roman" w:hAnsi="Arial" w:cs="Arial"/>
          <w:b/>
          <w:bCs/>
          <w:sz w:val="24"/>
          <w:szCs w:val="24"/>
        </w:rPr>
        <w:t xml:space="preserve">= </w:t>
      </w:r>
      <w:r>
        <w:rPr>
          <w:rFonts w:ascii="Arial" w:eastAsia="Times New Roman" w:hAnsi="Arial" w:cs="Arial"/>
          <w:b/>
          <w:bCs/>
          <w:sz w:val="24"/>
          <w:szCs w:val="24"/>
        </w:rPr>
        <w:t>115</w:t>
      </w:r>
      <w:r w:rsidRPr="00AC2206">
        <w:rPr>
          <w:rFonts w:ascii="Arial" w:eastAsia="Times New Roman" w:hAnsi="Arial" w:cs="Arial"/>
          <w:b/>
          <w:bCs/>
          <w:sz w:val="24"/>
          <w:szCs w:val="24"/>
        </w:rPr>
        <w:t>.000,00 EUR</w:t>
      </w:r>
    </w:p>
    <w:p w14:paraId="033462E9" w14:textId="77777777" w:rsidR="00736B58" w:rsidRPr="002D4985" w:rsidRDefault="00736B58" w:rsidP="00736B58">
      <w:pPr>
        <w:jc w:val="both"/>
        <w:rPr>
          <w:rFonts w:ascii="Arial" w:eastAsia="Times New Roman" w:hAnsi="Arial" w:cs="Arial"/>
          <w:sz w:val="24"/>
          <w:szCs w:val="24"/>
        </w:rPr>
      </w:pPr>
      <w:r w:rsidRPr="002D4985">
        <w:rPr>
          <w:rFonts w:ascii="Arial" w:eastAsia="Times New Roman" w:hAnsi="Arial" w:cs="Arial"/>
          <w:b/>
          <w:bCs/>
          <w:sz w:val="24"/>
          <w:szCs w:val="24"/>
        </w:rPr>
        <w:t>Zakonska osnova</w:t>
      </w:r>
      <w:r w:rsidRPr="002D4985">
        <w:rPr>
          <w:rFonts w:ascii="Arial" w:eastAsia="Times New Roman" w:hAnsi="Arial" w:cs="Arial"/>
          <w:sz w:val="24"/>
          <w:szCs w:val="24"/>
        </w:rPr>
        <w:t>: Zakon o sportu.</w:t>
      </w:r>
    </w:p>
    <w:p w14:paraId="0BC3411D" w14:textId="77777777" w:rsidR="00736B58" w:rsidRPr="002D4985" w:rsidRDefault="00736B58" w:rsidP="00736B58">
      <w:pPr>
        <w:pStyle w:val="StandardWeb"/>
        <w:spacing w:after="0"/>
        <w:jc w:val="both"/>
        <w:rPr>
          <w:rStyle w:val="Naglaeno"/>
          <w:rFonts w:ascii="Arial" w:hAnsi="Arial" w:cs="Arial"/>
          <w:b w:val="0"/>
          <w:bCs w:val="0"/>
        </w:rPr>
      </w:pPr>
      <w:r w:rsidRPr="002D4985">
        <w:rPr>
          <w:rFonts w:ascii="Arial" w:eastAsia="Times New Roman" w:hAnsi="Arial" w:cs="Arial"/>
          <w:b/>
          <w:bCs/>
        </w:rPr>
        <w:t>Opis:</w:t>
      </w:r>
      <w:r w:rsidRPr="002D4985">
        <w:rPr>
          <w:rFonts w:ascii="Arial" w:eastAsia="Times New Roman" w:hAnsi="Arial" w:cs="Arial"/>
        </w:rPr>
        <w:t xml:space="preserve"> </w:t>
      </w:r>
      <w:r w:rsidRPr="002D4985">
        <w:rPr>
          <w:rStyle w:val="Naglaeno"/>
          <w:rFonts w:ascii="Arial" w:hAnsi="Arial" w:cs="Arial"/>
          <w:b w:val="0"/>
          <w:bCs w:val="0"/>
        </w:rPr>
        <w:t>planirana sredstva u iznosu od 115.000,00 eura namijenjena su održavanju i servisiranju objekta, uključujući sustave klimatizacije, grijanja i toplinskih pumpi, servisiranje pokretnog dna bazena, sustav vatrodojave, klima komore te čišćenje bazenskog kompleksa.</w:t>
      </w:r>
    </w:p>
    <w:p w14:paraId="5CA5BF6A" w14:textId="77777777" w:rsidR="00736B58" w:rsidRPr="002D4985" w:rsidRDefault="00736B58" w:rsidP="00736B58">
      <w:pPr>
        <w:pStyle w:val="StandardWeb"/>
        <w:spacing w:after="0"/>
        <w:jc w:val="both"/>
        <w:rPr>
          <w:rFonts w:ascii="Arial" w:hAnsi="Arial" w:cs="Arial"/>
        </w:rPr>
      </w:pPr>
      <w:r w:rsidRPr="002D4985">
        <w:rPr>
          <w:rStyle w:val="Naglaeno"/>
          <w:rFonts w:ascii="Arial" w:hAnsi="Arial" w:cs="Arial"/>
          <w:b w:val="0"/>
          <w:bCs w:val="0"/>
        </w:rPr>
        <w:t>Rashodi obuhvaćaju servisiranje i održavanje sustava klimatizacije, grijanja, toplinskih pumpi, ventilacije, pokretnog dna bazena, vatrodojave i ostalih tehničkih sustava. Također, uključuju troškove sredstava za dezinfekciju i održavanje čistoće bazena, kontrolu kvalitete vode te redovite servise i popravke opreme.</w:t>
      </w:r>
    </w:p>
    <w:p w14:paraId="5DAD3A16" w14:textId="77777777" w:rsidR="00736B58" w:rsidRPr="002D4985" w:rsidRDefault="00736B58" w:rsidP="00736B58">
      <w:pPr>
        <w:pStyle w:val="StandardWeb"/>
        <w:spacing w:after="0"/>
        <w:jc w:val="both"/>
        <w:rPr>
          <w:rFonts w:ascii="Arial" w:hAnsi="Arial" w:cs="Arial"/>
        </w:rPr>
      </w:pPr>
      <w:r w:rsidRPr="002D4985">
        <w:rPr>
          <w:rStyle w:val="Naglaeno"/>
          <w:rFonts w:ascii="Arial" w:hAnsi="Arial" w:cs="Arial"/>
          <w:b w:val="0"/>
          <w:bCs w:val="0"/>
        </w:rPr>
        <w:t>Cilj planiranih aktivnosti je očuvanje funkcionalnosti kompleksa te osiguravanje kvalitetnih uvjeta za korisnike sportskih i rehabilitacijskih programa.</w:t>
      </w:r>
    </w:p>
    <w:p w14:paraId="599A40D2" w14:textId="77777777" w:rsidR="00736B58" w:rsidRPr="002D4985" w:rsidRDefault="00736B58" w:rsidP="00736B58">
      <w:pPr>
        <w:jc w:val="both"/>
        <w:rPr>
          <w:rFonts w:ascii="Arial" w:eastAsia="Times New Roman" w:hAnsi="Arial" w:cs="Arial"/>
          <w:sz w:val="24"/>
          <w:szCs w:val="24"/>
        </w:rPr>
      </w:pPr>
      <w:r w:rsidRPr="002D4985">
        <w:rPr>
          <w:rFonts w:ascii="Arial" w:eastAsia="Times New Roman" w:hAnsi="Arial" w:cs="Arial"/>
          <w:b/>
          <w:bCs/>
          <w:sz w:val="24"/>
          <w:szCs w:val="24"/>
        </w:rPr>
        <w:t>Opći cilj</w:t>
      </w:r>
      <w:r w:rsidRPr="002D4985">
        <w:rPr>
          <w:rFonts w:ascii="Arial" w:eastAsia="Times New Roman" w:hAnsi="Arial" w:cs="Arial"/>
          <w:sz w:val="24"/>
          <w:szCs w:val="24"/>
        </w:rPr>
        <w:t>: održavanje sportske infrastrukture i osigurani uvjeti rada u sportskom objektu</w:t>
      </w:r>
    </w:p>
    <w:p w14:paraId="0DB5A889" w14:textId="77777777" w:rsidR="00736B58" w:rsidRDefault="00736B58" w:rsidP="00736B58">
      <w:pPr>
        <w:jc w:val="both"/>
        <w:rPr>
          <w:rFonts w:ascii="Arial" w:eastAsia="Times New Roman" w:hAnsi="Arial" w:cs="Arial"/>
          <w:sz w:val="24"/>
          <w:szCs w:val="24"/>
        </w:rPr>
      </w:pPr>
      <w:r w:rsidRPr="002D4985">
        <w:rPr>
          <w:rFonts w:ascii="Arial" w:eastAsia="Times New Roman" w:hAnsi="Arial" w:cs="Arial"/>
          <w:b/>
          <w:bCs/>
          <w:sz w:val="24"/>
          <w:szCs w:val="24"/>
        </w:rPr>
        <w:t>Pokazatelj uspješnosti:</w:t>
      </w:r>
      <w:r w:rsidRPr="002D4985">
        <w:rPr>
          <w:rFonts w:ascii="Arial" w:eastAsia="Times New Roman" w:hAnsi="Arial" w:cs="Arial"/>
          <w:sz w:val="24"/>
          <w:szCs w:val="24"/>
        </w:rPr>
        <w:t xml:space="preserve"> nesmetan rad bazena za održavanje sportskih aktivnosti.</w:t>
      </w:r>
    </w:p>
    <w:p w14:paraId="5F4885E1" w14:textId="77777777" w:rsidR="008B3204" w:rsidRPr="00AC2206" w:rsidRDefault="008B3204" w:rsidP="00736B58">
      <w:pPr>
        <w:jc w:val="both"/>
        <w:rPr>
          <w:rFonts w:ascii="Arial" w:eastAsia="Times New Roman" w:hAnsi="Arial" w:cs="Arial"/>
          <w:sz w:val="24"/>
          <w:szCs w:val="24"/>
        </w:rPr>
      </w:pPr>
    </w:p>
    <w:p w14:paraId="0D0F46FF" w14:textId="77777777" w:rsidR="00736B58" w:rsidRPr="00AC2206" w:rsidRDefault="00736B58" w:rsidP="00736B58">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AC2206">
        <w:rPr>
          <w:rFonts w:ascii="Arial" w:eastAsia="Times New Roman" w:hAnsi="Arial" w:cs="Arial"/>
          <w:b/>
          <w:bCs/>
          <w:sz w:val="24"/>
          <w:szCs w:val="24"/>
        </w:rPr>
        <w:t>A 103107: Tekuće održavanje streljane Turnina = 26.500,00 EUR</w:t>
      </w:r>
    </w:p>
    <w:p w14:paraId="1E235318" w14:textId="77777777" w:rsidR="00736B58" w:rsidRPr="00AC2206" w:rsidRDefault="00736B58" w:rsidP="00736B58">
      <w:pPr>
        <w:jc w:val="both"/>
        <w:rPr>
          <w:rFonts w:ascii="Arial" w:eastAsia="Times New Roman" w:hAnsi="Arial" w:cs="Arial"/>
          <w:sz w:val="24"/>
          <w:szCs w:val="24"/>
        </w:rPr>
      </w:pPr>
      <w:r w:rsidRPr="00AC2206">
        <w:rPr>
          <w:rFonts w:ascii="Arial" w:eastAsia="Times New Roman" w:hAnsi="Arial" w:cs="Arial"/>
          <w:b/>
          <w:bCs/>
          <w:sz w:val="24"/>
          <w:szCs w:val="24"/>
        </w:rPr>
        <w:t>Zakonska osnova:</w:t>
      </w:r>
      <w:r w:rsidRPr="00AC2206">
        <w:rPr>
          <w:rFonts w:ascii="Arial" w:eastAsia="Times New Roman" w:hAnsi="Arial" w:cs="Arial"/>
          <w:sz w:val="24"/>
          <w:szCs w:val="24"/>
        </w:rPr>
        <w:t xml:space="preserve"> Zakon o sportu.</w:t>
      </w:r>
    </w:p>
    <w:p w14:paraId="4C378ADF" w14:textId="77777777" w:rsidR="00736B58" w:rsidRDefault="00736B58" w:rsidP="00736B58">
      <w:pPr>
        <w:jc w:val="both"/>
        <w:rPr>
          <w:rFonts w:ascii="Arial" w:hAnsi="Arial" w:cs="Arial"/>
          <w:b/>
          <w:sz w:val="24"/>
          <w:szCs w:val="24"/>
        </w:rPr>
      </w:pPr>
      <w:r w:rsidRPr="00AC2206">
        <w:rPr>
          <w:rFonts w:ascii="Arial" w:eastAsia="Times New Roman" w:hAnsi="Arial" w:cs="Arial"/>
          <w:b/>
          <w:sz w:val="24"/>
          <w:szCs w:val="24"/>
        </w:rPr>
        <w:t>Opis:</w:t>
      </w:r>
      <w:r w:rsidRPr="00AC2206">
        <w:rPr>
          <w:rFonts w:ascii="Arial" w:eastAsia="Times New Roman" w:hAnsi="Arial" w:cs="Arial"/>
          <w:sz w:val="24"/>
          <w:szCs w:val="24"/>
        </w:rPr>
        <w:t xml:space="preserve"> </w:t>
      </w:r>
      <w:r>
        <w:rPr>
          <w:rFonts w:ascii="Arial" w:hAnsi="Arial" w:cs="Arial"/>
          <w:sz w:val="24"/>
          <w:szCs w:val="24"/>
        </w:rPr>
        <w:t>p</w:t>
      </w:r>
      <w:r w:rsidRPr="00F81E3D">
        <w:rPr>
          <w:rFonts w:ascii="Arial" w:hAnsi="Arial" w:cs="Arial"/>
          <w:sz w:val="24"/>
          <w:szCs w:val="24"/>
        </w:rPr>
        <w:t xml:space="preserve">lanirana sredstva iznose </w:t>
      </w:r>
      <w:r w:rsidRPr="00F81E3D">
        <w:rPr>
          <w:rFonts w:ascii="Arial" w:hAnsi="Arial" w:cs="Arial"/>
          <w:bCs/>
          <w:sz w:val="24"/>
          <w:szCs w:val="24"/>
        </w:rPr>
        <w:t xml:space="preserve">26.500,00 </w:t>
      </w:r>
      <w:r>
        <w:rPr>
          <w:rFonts w:ascii="Arial" w:hAnsi="Arial" w:cs="Arial"/>
          <w:bCs/>
          <w:sz w:val="24"/>
          <w:szCs w:val="24"/>
        </w:rPr>
        <w:t>eura</w:t>
      </w:r>
      <w:r w:rsidRPr="00F81E3D">
        <w:rPr>
          <w:rFonts w:ascii="Arial" w:hAnsi="Arial" w:cs="Arial"/>
          <w:sz w:val="24"/>
          <w:szCs w:val="24"/>
        </w:rPr>
        <w:t xml:space="preserve"> za tekuće i investicijsko održavanje  objekta, troškove električne energije, opreme i potrebnog materijala. Održavanje objekta Turnina važno je za sigurnost korisnika te za daljnje promicanje sportskog streljaštva.</w:t>
      </w:r>
    </w:p>
    <w:p w14:paraId="09D76DF9" w14:textId="77777777" w:rsidR="00736B58" w:rsidRPr="00F81E3D" w:rsidRDefault="00736B58" w:rsidP="00736B58">
      <w:pPr>
        <w:jc w:val="both"/>
        <w:rPr>
          <w:rFonts w:ascii="Arial" w:hAnsi="Arial" w:cs="Arial"/>
          <w:b/>
          <w:sz w:val="24"/>
          <w:szCs w:val="24"/>
        </w:rPr>
      </w:pPr>
      <w:r w:rsidRPr="00AC2206">
        <w:rPr>
          <w:rFonts w:ascii="Arial" w:eastAsia="Times New Roman" w:hAnsi="Arial" w:cs="Arial"/>
          <w:b/>
          <w:bCs/>
          <w:sz w:val="24"/>
          <w:szCs w:val="24"/>
        </w:rPr>
        <w:t xml:space="preserve">Opći cilj: </w:t>
      </w:r>
      <w:r w:rsidRPr="00AC2206">
        <w:rPr>
          <w:rFonts w:ascii="Arial" w:eastAsia="Times New Roman" w:hAnsi="Arial" w:cs="Arial"/>
          <w:bCs/>
          <w:sz w:val="24"/>
          <w:szCs w:val="24"/>
        </w:rPr>
        <w:t>održavanje sportske infrastrukture osigurani uvjeti rada u sportskom objektu</w:t>
      </w:r>
    </w:p>
    <w:p w14:paraId="28A29E95" w14:textId="77777777" w:rsidR="00736B58" w:rsidRPr="00AC2206" w:rsidRDefault="00736B58" w:rsidP="00736B58">
      <w:pPr>
        <w:jc w:val="both"/>
        <w:rPr>
          <w:rFonts w:ascii="Arial" w:eastAsia="Times New Roman" w:hAnsi="Arial" w:cs="Arial"/>
          <w:bCs/>
          <w:sz w:val="24"/>
          <w:szCs w:val="24"/>
        </w:rPr>
      </w:pPr>
      <w:r w:rsidRPr="00AC2206">
        <w:rPr>
          <w:rFonts w:ascii="Arial" w:eastAsia="Times New Roman" w:hAnsi="Arial" w:cs="Arial"/>
          <w:b/>
          <w:bCs/>
          <w:sz w:val="24"/>
          <w:szCs w:val="24"/>
        </w:rPr>
        <w:t xml:space="preserve">Pokazatelj uspješnosti: </w:t>
      </w:r>
      <w:r w:rsidRPr="00AC2206">
        <w:rPr>
          <w:rFonts w:ascii="Arial" w:eastAsia="Times New Roman" w:hAnsi="Arial" w:cs="Arial"/>
          <w:bCs/>
          <w:sz w:val="24"/>
          <w:szCs w:val="24"/>
        </w:rPr>
        <w:t>nesmetan rad bazena za održavanje sportskih aktivnosti.</w:t>
      </w:r>
    </w:p>
    <w:p w14:paraId="01AA8BA8" w14:textId="77777777" w:rsidR="00736B58" w:rsidRPr="00AC2206" w:rsidRDefault="00736B58" w:rsidP="00736B58">
      <w:pPr>
        <w:jc w:val="both"/>
        <w:rPr>
          <w:rFonts w:ascii="Arial" w:eastAsia="Times New Roman" w:hAnsi="Arial" w:cs="Arial"/>
          <w:bCs/>
          <w:sz w:val="24"/>
          <w:szCs w:val="24"/>
        </w:rPr>
      </w:pPr>
    </w:p>
    <w:p w14:paraId="06BC5120" w14:textId="77777777" w:rsidR="00736B58" w:rsidRPr="00AC2206" w:rsidRDefault="00736B58" w:rsidP="00736B58">
      <w:pPr>
        <w:pBdr>
          <w:top w:val="single" w:sz="4" w:space="1" w:color="auto"/>
          <w:left w:val="single" w:sz="4" w:space="4" w:color="auto"/>
          <w:bottom w:val="single" w:sz="4" w:space="1" w:color="auto"/>
          <w:right w:val="single" w:sz="4" w:space="4" w:color="auto"/>
        </w:pBdr>
        <w:shd w:val="clear" w:color="auto" w:fill="EDEDED" w:themeFill="accent3" w:themeFillTint="33"/>
        <w:jc w:val="both"/>
        <w:rPr>
          <w:rFonts w:ascii="Arial" w:eastAsia="Times New Roman" w:hAnsi="Arial" w:cs="Arial"/>
          <w:b/>
          <w:sz w:val="24"/>
          <w:szCs w:val="24"/>
        </w:rPr>
      </w:pPr>
      <w:r>
        <w:rPr>
          <w:rFonts w:ascii="Arial" w:eastAsia="Times New Roman" w:hAnsi="Arial" w:cs="Arial"/>
          <w:b/>
          <w:sz w:val="24"/>
          <w:szCs w:val="24"/>
        </w:rPr>
        <w:t>A</w:t>
      </w:r>
      <w:r w:rsidRPr="00AC2206">
        <w:rPr>
          <w:rFonts w:ascii="Arial" w:eastAsia="Times New Roman" w:hAnsi="Arial" w:cs="Arial"/>
          <w:b/>
          <w:sz w:val="24"/>
          <w:szCs w:val="24"/>
        </w:rPr>
        <w:t xml:space="preserve"> 1031</w:t>
      </w:r>
      <w:r>
        <w:rPr>
          <w:rFonts w:ascii="Arial" w:eastAsia="Times New Roman" w:hAnsi="Arial" w:cs="Arial"/>
          <w:b/>
          <w:sz w:val="24"/>
          <w:szCs w:val="24"/>
        </w:rPr>
        <w:t>05</w:t>
      </w:r>
      <w:r w:rsidRPr="00AC2206">
        <w:rPr>
          <w:rFonts w:ascii="Arial" w:eastAsia="Times New Roman" w:hAnsi="Arial" w:cs="Arial"/>
          <w:b/>
          <w:sz w:val="24"/>
          <w:szCs w:val="24"/>
        </w:rPr>
        <w:t xml:space="preserve">: </w:t>
      </w:r>
      <w:r>
        <w:rPr>
          <w:rFonts w:ascii="Arial" w:eastAsia="Times New Roman" w:hAnsi="Arial" w:cs="Arial"/>
          <w:b/>
          <w:sz w:val="24"/>
          <w:szCs w:val="24"/>
        </w:rPr>
        <w:t>Najam sportskog mobilnog klizališta</w:t>
      </w:r>
      <w:r w:rsidRPr="00AC2206">
        <w:rPr>
          <w:rFonts w:ascii="Arial" w:eastAsia="Times New Roman" w:hAnsi="Arial" w:cs="Arial"/>
          <w:b/>
          <w:sz w:val="24"/>
          <w:szCs w:val="24"/>
        </w:rPr>
        <w:t xml:space="preserve"> = </w:t>
      </w:r>
      <w:r>
        <w:rPr>
          <w:rFonts w:ascii="Arial" w:eastAsia="Times New Roman" w:hAnsi="Arial" w:cs="Arial"/>
          <w:b/>
          <w:sz w:val="24"/>
          <w:szCs w:val="24"/>
        </w:rPr>
        <w:t>36</w:t>
      </w:r>
      <w:r w:rsidRPr="00AC2206">
        <w:rPr>
          <w:rFonts w:ascii="Arial" w:eastAsia="Times New Roman" w:hAnsi="Arial" w:cs="Arial"/>
          <w:b/>
          <w:sz w:val="24"/>
          <w:szCs w:val="24"/>
        </w:rPr>
        <w:t>.</w:t>
      </w:r>
      <w:r>
        <w:rPr>
          <w:rFonts w:ascii="Arial" w:eastAsia="Times New Roman" w:hAnsi="Arial" w:cs="Arial"/>
          <w:b/>
          <w:sz w:val="24"/>
          <w:szCs w:val="24"/>
        </w:rPr>
        <w:t>25</w:t>
      </w:r>
      <w:r w:rsidRPr="00AC2206">
        <w:rPr>
          <w:rFonts w:ascii="Arial" w:eastAsia="Times New Roman" w:hAnsi="Arial" w:cs="Arial"/>
          <w:b/>
          <w:sz w:val="24"/>
          <w:szCs w:val="24"/>
        </w:rPr>
        <w:t>0,00 EUR</w:t>
      </w:r>
    </w:p>
    <w:p w14:paraId="0180E8BC" w14:textId="77777777" w:rsidR="00736B58" w:rsidRPr="002C5ED5" w:rsidRDefault="00736B58" w:rsidP="00736B58">
      <w:pPr>
        <w:jc w:val="both"/>
        <w:rPr>
          <w:rFonts w:ascii="Arial" w:eastAsia="Times New Roman" w:hAnsi="Arial" w:cs="Arial"/>
          <w:sz w:val="24"/>
          <w:szCs w:val="24"/>
        </w:rPr>
      </w:pPr>
      <w:r w:rsidRPr="002C5ED5">
        <w:rPr>
          <w:rFonts w:ascii="Arial" w:eastAsia="Times New Roman" w:hAnsi="Arial" w:cs="Arial"/>
          <w:b/>
          <w:bCs/>
          <w:sz w:val="24"/>
          <w:szCs w:val="24"/>
        </w:rPr>
        <w:t>Zakonska osnova:</w:t>
      </w:r>
      <w:r w:rsidRPr="002C5ED5">
        <w:rPr>
          <w:rFonts w:ascii="Arial" w:eastAsia="Times New Roman" w:hAnsi="Arial" w:cs="Arial"/>
          <w:sz w:val="24"/>
          <w:szCs w:val="24"/>
        </w:rPr>
        <w:t xml:space="preserve"> Zakon o sportu.</w:t>
      </w:r>
    </w:p>
    <w:p w14:paraId="496D2FEE" w14:textId="77777777" w:rsidR="00736B58" w:rsidRDefault="00736B58" w:rsidP="00736B58">
      <w:pPr>
        <w:jc w:val="both"/>
        <w:rPr>
          <w:rFonts w:ascii="Arial" w:hAnsi="Arial" w:cs="Arial"/>
        </w:rPr>
      </w:pPr>
      <w:r w:rsidRPr="00F81E3D">
        <w:rPr>
          <w:rFonts w:ascii="Arial" w:eastAsia="Times New Roman" w:hAnsi="Arial" w:cs="Arial"/>
          <w:b/>
          <w:sz w:val="24"/>
          <w:szCs w:val="24"/>
        </w:rPr>
        <w:t xml:space="preserve">Opis: </w:t>
      </w:r>
      <w:r>
        <w:rPr>
          <w:rFonts w:ascii="Arial" w:hAnsi="Arial" w:cs="Arial"/>
          <w:sz w:val="24"/>
          <w:szCs w:val="24"/>
        </w:rPr>
        <w:t>p</w:t>
      </w:r>
      <w:r w:rsidRPr="00F81E3D">
        <w:rPr>
          <w:rFonts w:ascii="Arial" w:hAnsi="Arial" w:cs="Arial"/>
          <w:sz w:val="24"/>
          <w:szCs w:val="24"/>
        </w:rPr>
        <w:t xml:space="preserve">lanirana sredstva za najam mobilnog klizališta iznose </w:t>
      </w:r>
      <w:r w:rsidRPr="00F81E3D">
        <w:rPr>
          <w:rFonts w:ascii="Arial" w:hAnsi="Arial" w:cs="Arial"/>
          <w:bCs/>
          <w:sz w:val="24"/>
          <w:szCs w:val="24"/>
        </w:rPr>
        <w:t xml:space="preserve">36.250,00 </w:t>
      </w:r>
      <w:r>
        <w:rPr>
          <w:rFonts w:ascii="Arial" w:hAnsi="Arial" w:cs="Arial"/>
          <w:bCs/>
          <w:sz w:val="24"/>
          <w:szCs w:val="24"/>
        </w:rPr>
        <w:t>eura</w:t>
      </w:r>
      <w:r w:rsidRPr="00F81E3D">
        <w:rPr>
          <w:rFonts w:ascii="Arial" w:hAnsi="Arial" w:cs="Arial"/>
          <w:sz w:val="24"/>
          <w:szCs w:val="24"/>
        </w:rPr>
        <w:t>. Projekt doprinosi obogaćivanju sportsko-rekreativne ponude u zimskom razdoblju te poticanju aktivnog života građana i posjetitelja</w:t>
      </w:r>
      <w:r w:rsidRPr="00314674">
        <w:rPr>
          <w:rFonts w:ascii="Arial" w:hAnsi="Arial" w:cs="Arial"/>
        </w:rPr>
        <w:t>.</w:t>
      </w:r>
    </w:p>
    <w:p w14:paraId="7CD49E85" w14:textId="77777777" w:rsidR="00736B58" w:rsidRPr="0040355A" w:rsidRDefault="00736B58" w:rsidP="00736B58">
      <w:pPr>
        <w:jc w:val="both"/>
        <w:rPr>
          <w:rFonts w:ascii="Arial" w:hAnsi="Arial" w:cs="Arial"/>
        </w:rPr>
      </w:pPr>
      <w:r w:rsidRPr="002C5ED5">
        <w:rPr>
          <w:rFonts w:ascii="Arial" w:eastAsia="Times New Roman" w:hAnsi="Arial" w:cs="Arial"/>
          <w:b/>
          <w:bCs/>
          <w:sz w:val="24"/>
          <w:szCs w:val="24"/>
        </w:rPr>
        <w:t xml:space="preserve">Opći cilj: </w:t>
      </w:r>
      <w:r w:rsidRPr="002C5ED5">
        <w:rPr>
          <w:rFonts w:ascii="Arial" w:eastAsia="Times New Roman" w:hAnsi="Arial" w:cs="Arial"/>
          <w:sz w:val="24"/>
          <w:szCs w:val="24"/>
        </w:rPr>
        <w:t>dodatni sadržaji za djecu i mlade</w:t>
      </w:r>
      <w:r>
        <w:rPr>
          <w:rFonts w:ascii="Arial" w:eastAsia="Times New Roman" w:hAnsi="Arial" w:cs="Arial"/>
          <w:sz w:val="24"/>
          <w:szCs w:val="24"/>
        </w:rPr>
        <w:t>.</w:t>
      </w:r>
    </w:p>
    <w:p w14:paraId="03D249A8" w14:textId="77777777" w:rsidR="00736B58" w:rsidRPr="00214832" w:rsidRDefault="00736B58" w:rsidP="00736B58">
      <w:pPr>
        <w:jc w:val="both"/>
        <w:rPr>
          <w:rFonts w:ascii="Arial" w:eastAsia="Times New Roman" w:hAnsi="Arial" w:cs="Arial"/>
          <w:sz w:val="24"/>
          <w:szCs w:val="24"/>
        </w:rPr>
      </w:pPr>
      <w:r w:rsidRPr="002C5ED5">
        <w:rPr>
          <w:rFonts w:ascii="Arial" w:eastAsia="Times New Roman" w:hAnsi="Arial" w:cs="Arial"/>
          <w:b/>
          <w:bCs/>
          <w:sz w:val="24"/>
          <w:szCs w:val="24"/>
        </w:rPr>
        <w:t xml:space="preserve">Pokazatelj uspješnosti: </w:t>
      </w:r>
      <w:r w:rsidRPr="002C5ED5">
        <w:rPr>
          <w:rFonts w:ascii="Arial" w:eastAsia="Times New Roman" w:hAnsi="Arial" w:cs="Arial"/>
          <w:sz w:val="24"/>
          <w:szCs w:val="24"/>
        </w:rPr>
        <w:t>realizirana aktivnost</w:t>
      </w:r>
      <w:r>
        <w:rPr>
          <w:rFonts w:ascii="Arial" w:eastAsia="Times New Roman" w:hAnsi="Arial" w:cs="Arial"/>
          <w:sz w:val="24"/>
          <w:szCs w:val="24"/>
        </w:rPr>
        <w:t>.</w:t>
      </w:r>
    </w:p>
    <w:p w14:paraId="356076E4" w14:textId="77777777" w:rsidR="00736B58" w:rsidRPr="00AC2206" w:rsidRDefault="00736B58" w:rsidP="00736B58">
      <w:pPr>
        <w:jc w:val="both"/>
        <w:rPr>
          <w:rFonts w:ascii="Arial" w:eastAsia="Times New Roman" w:hAnsi="Arial" w:cs="Arial"/>
          <w:sz w:val="24"/>
          <w:szCs w:val="24"/>
        </w:rPr>
      </w:pPr>
    </w:p>
    <w:p w14:paraId="50BDDFE5" w14:textId="77777777" w:rsidR="00736B58" w:rsidRPr="00AC2206" w:rsidRDefault="00736B58" w:rsidP="00736B58">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AC2206">
        <w:rPr>
          <w:rFonts w:ascii="Arial" w:eastAsia="Times New Roman" w:hAnsi="Arial" w:cs="Arial"/>
          <w:b/>
          <w:bCs/>
          <w:sz w:val="24"/>
          <w:szCs w:val="24"/>
        </w:rPr>
        <w:t>T 103101: Investicijsko održavanje sportskih objekata i opreme = 2</w:t>
      </w:r>
      <w:r>
        <w:rPr>
          <w:rFonts w:ascii="Arial" w:eastAsia="Times New Roman" w:hAnsi="Arial" w:cs="Arial"/>
          <w:b/>
          <w:bCs/>
          <w:sz w:val="24"/>
          <w:szCs w:val="24"/>
        </w:rPr>
        <w:t>35</w:t>
      </w:r>
      <w:r w:rsidRPr="00AC2206">
        <w:rPr>
          <w:rFonts w:ascii="Arial" w:eastAsia="Times New Roman" w:hAnsi="Arial" w:cs="Arial"/>
          <w:b/>
          <w:bCs/>
          <w:sz w:val="24"/>
          <w:szCs w:val="24"/>
        </w:rPr>
        <w:t>.500,00 EUR</w:t>
      </w:r>
    </w:p>
    <w:p w14:paraId="1F433095" w14:textId="77777777" w:rsidR="00736B58" w:rsidRPr="00AC2206" w:rsidRDefault="00736B58" w:rsidP="00736B58">
      <w:pPr>
        <w:jc w:val="both"/>
        <w:rPr>
          <w:rFonts w:ascii="Arial" w:eastAsia="Times New Roman" w:hAnsi="Arial" w:cs="Arial"/>
          <w:sz w:val="24"/>
          <w:szCs w:val="24"/>
        </w:rPr>
      </w:pPr>
      <w:r w:rsidRPr="00AC2206">
        <w:rPr>
          <w:rFonts w:ascii="Arial" w:eastAsia="Times New Roman" w:hAnsi="Arial" w:cs="Arial"/>
          <w:b/>
          <w:bCs/>
          <w:sz w:val="24"/>
          <w:szCs w:val="24"/>
        </w:rPr>
        <w:t>Zakonska osnova:</w:t>
      </w:r>
      <w:r w:rsidRPr="00AC2206">
        <w:rPr>
          <w:rFonts w:ascii="Arial" w:eastAsia="Times New Roman" w:hAnsi="Arial" w:cs="Arial"/>
          <w:sz w:val="24"/>
          <w:szCs w:val="24"/>
        </w:rPr>
        <w:t xml:space="preserve"> Zakon o sportu.</w:t>
      </w:r>
    </w:p>
    <w:p w14:paraId="6FAB762E" w14:textId="77777777" w:rsidR="00736B58" w:rsidRPr="001B42A7" w:rsidRDefault="00736B58" w:rsidP="00736B58">
      <w:pPr>
        <w:jc w:val="both"/>
        <w:rPr>
          <w:rFonts w:ascii="Arial" w:hAnsi="Arial" w:cs="Arial"/>
          <w:sz w:val="24"/>
          <w:szCs w:val="24"/>
        </w:rPr>
      </w:pPr>
      <w:r w:rsidRPr="00AC2206">
        <w:rPr>
          <w:rFonts w:ascii="Arial" w:eastAsia="Times New Roman" w:hAnsi="Arial" w:cs="Arial"/>
          <w:b/>
          <w:sz w:val="24"/>
          <w:szCs w:val="24"/>
        </w:rPr>
        <w:t>Opis:</w:t>
      </w:r>
      <w:r w:rsidRPr="00AC2206">
        <w:rPr>
          <w:rFonts w:ascii="Arial" w:eastAsia="Times New Roman" w:hAnsi="Arial" w:cs="Arial"/>
          <w:sz w:val="24"/>
          <w:szCs w:val="24"/>
        </w:rPr>
        <w:t xml:space="preserve"> </w:t>
      </w:r>
      <w:r>
        <w:rPr>
          <w:rFonts w:ascii="Arial" w:hAnsi="Arial" w:cs="Arial"/>
          <w:sz w:val="24"/>
          <w:szCs w:val="24"/>
        </w:rPr>
        <w:t>p</w:t>
      </w:r>
      <w:r w:rsidRPr="001B42A7">
        <w:rPr>
          <w:rFonts w:ascii="Arial" w:hAnsi="Arial" w:cs="Arial"/>
          <w:sz w:val="24"/>
          <w:szCs w:val="24"/>
        </w:rPr>
        <w:t xml:space="preserve">lanirana sredstva iznose </w:t>
      </w:r>
      <w:r w:rsidRPr="00A47A80">
        <w:rPr>
          <w:rFonts w:ascii="Arial" w:hAnsi="Arial" w:cs="Arial"/>
          <w:sz w:val="24"/>
          <w:szCs w:val="24"/>
        </w:rPr>
        <w:t xml:space="preserve">235.500,00 </w:t>
      </w:r>
      <w:r>
        <w:rPr>
          <w:rFonts w:ascii="Arial" w:hAnsi="Arial" w:cs="Arial"/>
          <w:sz w:val="24"/>
          <w:szCs w:val="24"/>
        </w:rPr>
        <w:t>eura</w:t>
      </w:r>
      <w:r w:rsidRPr="00A47A80">
        <w:rPr>
          <w:rFonts w:ascii="Arial" w:hAnsi="Arial" w:cs="Arial"/>
          <w:sz w:val="24"/>
          <w:szCs w:val="24"/>
        </w:rPr>
        <w:t>,</w:t>
      </w:r>
      <w:r w:rsidRPr="001B42A7">
        <w:rPr>
          <w:rFonts w:ascii="Arial" w:hAnsi="Arial" w:cs="Arial"/>
          <w:sz w:val="24"/>
          <w:szCs w:val="24"/>
        </w:rPr>
        <w:t xml:space="preserve"> a obuhvaćaju tekuće i investicijsko održavanje svih sportskih objekata pod upravljanjem društva.</w:t>
      </w:r>
      <w:r>
        <w:rPr>
          <w:rFonts w:ascii="Arial" w:hAnsi="Arial" w:cs="Arial"/>
          <w:sz w:val="24"/>
          <w:szCs w:val="24"/>
        </w:rPr>
        <w:t xml:space="preserve"> </w:t>
      </w:r>
      <w:r w:rsidRPr="001B42A7">
        <w:rPr>
          <w:rFonts w:ascii="Arial" w:hAnsi="Arial" w:cs="Arial"/>
          <w:sz w:val="24"/>
          <w:szCs w:val="24"/>
        </w:rPr>
        <w:t>Planirana su ulaganja u:održavanje travnjaka na nogometnim igralištima u Rovinju i Rovinjskom Selu</w:t>
      </w:r>
      <w:r>
        <w:rPr>
          <w:rFonts w:ascii="Arial" w:hAnsi="Arial" w:cs="Arial"/>
          <w:sz w:val="24"/>
          <w:szCs w:val="24"/>
        </w:rPr>
        <w:t xml:space="preserve">, </w:t>
      </w:r>
      <w:r w:rsidRPr="001B42A7">
        <w:rPr>
          <w:rFonts w:ascii="Arial" w:hAnsi="Arial" w:cs="Arial"/>
          <w:sz w:val="24"/>
          <w:szCs w:val="24"/>
        </w:rPr>
        <w:t xml:space="preserve">ostalo tekuće održavanje nogometnih igrališta u iznosu od </w:t>
      </w:r>
      <w:r>
        <w:rPr>
          <w:rFonts w:ascii="Arial" w:hAnsi="Arial" w:cs="Arial"/>
          <w:sz w:val="24"/>
          <w:szCs w:val="24"/>
        </w:rPr>
        <w:t>55</w:t>
      </w:r>
      <w:r w:rsidRPr="001B42A7">
        <w:rPr>
          <w:rFonts w:ascii="Arial" w:hAnsi="Arial" w:cs="Arial"/>
          <w:sz w:val="24"/>
          <w:szCs w:val="24"/>
        </w:rPr>
        <w:t xml:space="preserve">.000,00 </w:t>
      </w:r>
      <w:r>
        <w:rPr>
          <w:rFonts w:ascii="Arial" w:hAnsi="Arial" w:cs="Arial"/>
          <w:sz w:val="24"/>
          <w:szCs w:val="24"/>
        </w:rPr>
        <w:t>eura</w:t>
      </w:r>
      <w:r w:rsidRPr="001B42A7">
        <w:rPr>
          <w:rFonts w:ascii="Arial" w:hAnsi="Arial" w:cs="Arial"/>
          <w:sz w:val="24"/>
          <w:szCs w:val="24"/>
        </w:rPr>
        <w:t>,</w:t>
      </w:r>
      <w:r>
        <w:rPr>
          <w:rFonts w:ascii="Arial" w:hAnsi="Arial" w:cs="Arial"/>
          <w:sz w:val="24"/>
          <w:szCs w:val="24"/>
        </w:rPr>
        <w:t xml:space="preserve"> </w:t>
      </w:r>
      <w:r w:rsidRPr="001B42A7">
        <w:rPr>
          <w:rFonts w:ascii="Arial" w:hAnsi="Arial" w:cs="Arial"/>
          <w:sz w:val="24"/>
          <w:szCs w:val="24"/>
        </w:rPr>
        <w:t xml:space="preserve">nabavu strojeva za dosijavanje travnjaka u iznosu od </w:t>
      </w:r>
      <w:r>
        <w:rPr>
          <w:rFonts w:ascii="Arial" w:hAnsi="Arial" w:cs="Arial"/>
          <w:sz w:val="24"/>
          <w:szCs w:val="24"/>
        </w:rPr>
        <w:t>19</w:t>
      </w:r>
      <w:r w:rsidRPr="001B42A7">
        <w:rPr>
          <w:rFonts w:ascii="Arial" w:hAnsi="Arial" w:cs="Arial"/>
          <w:sz w:val="24"/>
          <w:szCs w:val="24"/>
        </w:rPr>
        <w:t>.</w:t>
      </w:r>
      <w:r>
        <w:rPr>
          <w:rFonts w:ascii="Arial" w:hAnsi="Arial" w:cs="Arial"/>
          <w:sz w:val="24"/>
          <w:szCs w:val="24"/>
        </w:rPr>
        <w:t>7</w:t>
      </w:r>
      <w:r w:rsidRPr="001B42A7">
        <w:rPr>
          <w:rFonts w:ascii="Arial" w:hAnsi="Arial" w:cs="Arial"/>
          <w:sz w:val="24"/>
          <w:szCs w:val="24"/>
        </w:rPr>
        <w:t xml:space="preserve">00,00 </w:t>
      </w:r>
      <w:r>
        <w:rPr>
          <w:rFonts w:ascii="Arial" w:hAnsi="Arial" w:cs="Arial"/>
          <w:sz w:val="24"/>
          <w:szCs w:val="24"/>
        </w:rPr>
        <w:t>eura</w:t>
      </w:r>
      <w:r w:rsidRPr="001B42A7">
        <w:rPr>
          <w:rFonts w:ascii="Arial" w:hAnsi="Arial" w:cs="Arial"/>
          <w:sz w:val="24"/>
          <w:szCs w:val="24"/>
        </w:rPr>
        <w:t>,</w:t>
      </w:r>
      <w:r>
        <w:rPr>
          <w:rFonts w:ascii="Arial" w:hAnsi="Arial" w:cs="Arial"/>
          <w:sz w:val="24"/>
          <w:szCs w:val="24"/>
        </w:rPr>
        <w:t xml:space="preserve"> </w:t>
      </w:r>
      <w:r w:rsidRPr="001B42A7">
        <w:rPr>
          <w:rFonts w:ascii="Arial" w:hAnsi="Arial" w:cs="Arial"/>
          <w:sz w:val="24"/>
          <w:szCs w:val="24"/>
        </w:rPr>
        <w:t xml:space="preserve">tekuće održavanje dvorana Mlinovi, Valbruna, Pionirski dom i beach volley u iznosu </w:t>
      </w:r>
      <w:r>
        <w:rPr>
          <w:rFonts w:ascii="Arial" w:hAnsi="Arial" w:cs="Arial"/>
          <w:sz w:val="24"/>
          <w:szCs w:val="24"/>
        </w:rPr>
        <w:t xml:space="preserve">  </w:t>
      </w:r>
      <w:r w:rsidRPr="001B42A7">
        <w:rPr>
          <w:rFonts w:ascii="Arial" w:hAnsi="Arial" w:cs="Arial"/>
          <w:sz w:val="24"/>
          <w:szCs w:val="24"/>
        </w:rPr>
        <w:t xml:space="preserve">od </w:t>
      </w:r>
      <w:r>
        <w:rPr>
          <w:rFonts w:ascii="Arial" w:hAnsi="Arial" w:cs="Arial"/>
          <w:sz w:val="24"/>
          <w:szCs w:val="24"/>
        </w:rPr>
        <w:t>46</w:t>
      </w:r>
      <w:r w:rsidRPr="001B42A7">
        <w:rPr>
          <w:rFonts w:ascii="Arial" w:hAnsi="Arial" w:cs="Arial"/>
          <w:sz w:val="24"/>
          <w:szCs w:val="24"/>
        </w:rPr>
        <w:t>.</w:t>
      </w:r>
      <w:r>
        <w:rPr>
          <w:rFonts w:ascii="Arial" w:hAnsi="Arial" w:cs="Arial"/>
          <w:sz w:val="24"/>
          <w:szCs w:val="24"/>
        </w:rPr>
        <w:t>0</w:t>
      </w:r>
      <w:r w:rsidRPr="001B42A7">
        <w:rPr>
          <w:rFonts w:ascii="Arial" w:hAnsi="Arial" w:cs="Arial"/>
          <w:sz w:val="24"/>
          <w:szCs w:val="24"/>
        </w:rPr>
        <w:t xml:space="preserve">00,00 </w:t>
      </w:r>
      <w:r>
        <w:rPr>
          <w:rFonts w:ascii="Arial" w:hAnsi="Arial" w:cs="Arial"/>
          <w:sz w:val="24"/>
          <w:szCs w:val="24"/>
        </w:rPr>
        <w:t>eura</w:t>
      </w:r>
      <w:r w:rsidRPr="001B42A7">
        <w:rPr>
          <w:rFonts w:ascii="Arial" w:hAnsi="Arial" w:cs="Arial"/>
          <w:sz w:val="24"/>
          <w:szCs w:val="24"/>
        </w:rPr>
        <w:t>,</w:t>
      </w:r>
      <w:r>
        <w:rPr>
          <w:rFonts w:ascii="Arial" w:hAnsi="Arial" w:cs="Arial"/>
          <w:sz w:val="24"/>
          <w:szCs w:val="24"/>
        </w:rPr>
        <w:t xml:space="preserve"> </w:t>
      </w:r>
      <w:r w:rsidRPr="001B42A7">
        <w:rPr>
          <w:rFonts w:ascii="Arial" w:hAnsi="Arial" w:cs="Arial"/>
          <w:sz w:val="24"/>
          <w:szCs w:val="24"/>
        </w:rPr>
        <w:t xml:space="preserve">nastavak ugradnje LED rasvjete na stadionu Valbruna </w:t>
      </w:r>
      <w:r>
        <w:rPr>
          <w:rFonts w:ascii="Arial" w:hAnsi="Arial" w:cs="Arial"/>
          <w:sz w:val="24"/>
          <w:szCs w:val="24"/>
        </w:rPr>
        <w:t>-</w:t>
      </w:r>
      <w:r w:rsidRPr="001B42A7">
        <w:rPr>
          <w:rFonts w:ascii="Arial" w:hAnsi="Arial" w:cs="Arial"/>
          <w:sz w:val="24"/>
          <w:szCs w:val="24"/>
        </w:rPr>
        <w:t xml:space="preserve"> igralište br. 2 u iznosu od 60.000,00 </w:t>
      </w:r>
      <w:r>
        <w:rPr>
          <w:rFonts w:ascii="Arial" w:hAnsi="Arial" w:cs="Arial"/>
          <w:sz w:val="24"/>
          <w:szCs w:val="24"/>
        </w:rPr>
        <w:t>eura</w:t>
      </w:r>
      <w:r w:rsidRPr="001B42A7">
        <w:rPr>
          <w:rFonts w:ascii="Arial" w:hAnsi="Arial" w:cs="Arial"/>
          <w:sz w:val="24"/>
          <w:szCs w:val="24"/>
        </w:rPr>
        <w:t>,</w:t>
      </w:r>
      <w:r>
        <w:rPr>
          <w:rFonts w:ascii="Arial" w:hAnsi="Arial" w:cs="Arial"/>
          <w:sz w:val="24"/>
          <w:szCs w:val="24"/>
        </w:rPr>
        <w:t xml:space="preserve"> </w:t>
      </w:r>
      <w:r w:rsidRPr="001B42A7">
        <w:rPr>
          <w:rFonts w:ascii="Arial" w:hAnsi="Arial" w:cs="Arial"/>
          <w:sz w:val="24"/>
          <w:szCs w:val="24"/>
        </w:rPr>
        <w:t xml:space="preserve">ostale radove tehničkog održavanja potrebnih za očuvanje funkcionalnosti i sigurnosti objekata u iznosu od 54.800,00 </w:t>
      </w:r>
      <w:r>
        <w:rPr>
          <w:rFonts w:ascii="Arial" w:hAnsi="Arial" w:cs="Arial"/>
          <w:sz w:val="24"/>
          <w:szCs w:val="24"/>
        </w:rPr>
        <w:t>eura</w:t>
      </w:r>
      <w:r w:rsidRPr="001B42A7">
        <w:rPr>
          <w:rFonts w:ascii="Arial" w:hAnsi="Arial" w:cs="Arial"/>
          <w:sz w:val="24"/>
          <w:szCs w:val="24"/>
        </w:rPr>
        <w:t>.</w:t>
      </w:r>
    </w:p>
    <w:p w14:paraId="1FE1A971" w14:textId="77777777" w:rsidR="00736B58" w:rsidRPr="00D66813" w:rsidRDefault="00736B58" w:rsidP="00736B58">
      <w:pPr>
        <w:jc w:val="both"/>
        <w:rPr>
          <w:rFonts w:ascii="Arial" w:hAnsi="Arial" w:cs="Arial"/>
          <w:sz w:val="24"/>
          <w:szCs w:val="24"/>
        </w:rPr>
      </w:pPr>
      <w:r w:rsidRPr="00AC2206">
        <w:rPr>
          <w:rFonts w:ascii="Arial" w:eastAsia="Times New Roman" w:hAnsi="Arial" w:cs="Arial"/>
          <w:b/>
          <w:bCs/>
          <w:sz w:val="24"/>
          <w:szCs w:val="24"/>
        </w:rPr>
        <w:t xml:space="preserve">Opći cilj: </w:t>
      </w:r>
      <w:r w:rsidRPr="00AC2206">
        <w:rPr>
          <w:rFonts w:ascii="Arial" w:eastAsia="Times New Roman" w:hAnsi="Arial" w:cs="Arial"/>
          <w:bCs/>
          <w:sz w:val="24"/>
          <w:szCs w:val="24"/>
        </w:rPr>
        <w:t>održavanje sportske infrastrukture.</w:t>
      </w:r>
    </w:p>
    <w:p w14:paraId="2F2E08BA" w14:textId="77777777" w:rsidR="00736B58" w:rsidRDefault="00736B58" w:rsidP="00736B58">
      <w:pPr>
        <w:jc w:val="both"/>
        <w:rPr>
          <w:rFonts w:ascii="Arial" w:eastAsia="Times New Roman" w:hAnsi="Arial" w:cs="Arial"/>
          <w:bCs/>
          <w:sz w:val="24"/>
          <w:szCs w:val="24"/>
        </w:rPr>
      </w:pPr>
      <w:r w:rsidRPr="00AC2206">
        <w:rPr>
          <w:rFonts w:ascii="Arial" w:eastAsia="Times New Roman" w:hAnsi="Arial" w:cs="Arial"/>
          <w:b/>
          <w:bCs/>
          <w:sz w:val="24"/>
          <w:szCs w:val="24"/>
        </w:rPr>
        <w:t xml:space="preserve">Pokazatelj uspješnosti: </w:t>
      </w:r>
      <w:r w:rsidRPr="00AC2206">
        <w:rPr>
          <w:rFonts w:ascii="Arial" w:eastAsia="Times New Roman" w:hAnsi="Arial" w:cs="Arial"/>
          <w:bCs/>
          <w:sz w:val="24"/>
          <w:szCs w:val="24"/>
        </w:rPr>
        <w:t>nesmetano održavanje sportskih aktivnosti na i u sportskim objektima.</w:t>
      </w:r>
    </w:p>
    <w:p w14:paraId="7BA942EE" w14:textId="77777777" w:rsidR="008B3204" w:rsidRDefault="008B3204" w:rsidP="00736B58">
      <w:pPr>
        <w:jc w:val="both"/>
        <w:rPr>
          <w:rFonts w:ascii="Arial" w:eastAsia="Times New Roman" w:hAnsi="Arial" w:cs="Arial"/>
          <w:bCs/>
          <w:sz w:val="24"/>
          <w:szCs w:val="24"/>
        </w:rPr>
      </w:pPr>
    </w:p>
    <w:p w14:paraId="5D9C02EE" w14:textId="77777777" w:rsidR="00736B58" w:rsidRPr="00742EC0" w:rsidRDefault="00736B58" w:rsidP="00736B58">
      <w:pPr>
        <w:pBdr>
          <w:top w:val="single" w:sz="4" w:space="1" w:color="auto"/>
          <w:left w:val="single" w:sz="4" w:space="4" w:color="auto"/>
          <w:bottom w:val="single" w:sz="4" w:space="1" w:color="auto"/>
          <w:right w:val="single" w:sz="4" w:space="4" w:color="auto"/>
        </w:pBdr>
        <w:shd w:val="clear" w:color="auto" w:fill="EDEDED" w:themeFill="accent3" w:themeFillTint="33"/>
        <w:jc w:val="both"/>
        <w:rPr>
          <w:rFonts w:ascii="Arial" w:eastAsia="Times New Roman" w:hAnsi="Arial" w:cs="Arial"/>
          <w:b/>
          <w:sz w:val="24"/>
          <w:szCs w:val="24"/>
          <w:highlight w:val="yellow"/>
        </w:rPr>
      </w:pPr>
      <w:r w:rsidRPr="00D42660">
        <w:rPr>
          <w:rFonts w:ascii="Arial" w:eastAsia="Times New Roman" w:hAnsi="Arial" w:cs="Arial"/>
          <w:b/>
          <w:sz w:val="24"/>
          <w:szCs w:val="24"/>
        </w:rPr>
        <w:t xml:space="preserve">K 103118: Rukometno igralište </w:t>
      </w:r>
      <w:r>
        <w:rPr>
          <w:rFonts w:ascii="Arial" w:eastAsia="Times New Roman" w:hAnsi="Arial" w:cs="Arial"/>
          <w:b/>
          <w:sz w:val="24"/>
          <w:szCs w:val="24"/>
        </w:rPr>
        <w:t>-</w:t>
      </w:r>
      <w:r w:rsidRPr="00D42660">
        <w:rPr>
          <w:rFonts w:ascii="Arial" w:eastAsia="Times New Roman" w:hAnsi="Arial" w:cs="Arial"/>
          <w:b/>
          <w:sz w:val="24"/>
          <w:szCs w:val="24"/>
        </w:rPr>
        <w:t xml:space="preserve"> projektiranje</w:t>
      </w:r>
      <w:r>
        <w:rPr>
          <w:rFonts w:ascii="Arial" w:eastAsia="Times New Roman" w:hAnsi="Arial" w:cs="Arial"/>
          <w:b/>
          <w:sz w:val="24"/>
          <w:szCs w:val="24"/>
        </w:rPr>
        <w:t xml:space="preserve"> nove dvorane</w:t>
      </w:r>
      <w:r w:rsidRPr="00D42660">
        <w:rPr>
          <w:rFonts w:ascii="Arial" w:eastAsia="Times New Roman" w:hAnsi="Arial" w:cs="Arial"/>
          <w:b/>
          <w:sz w:val="24"/>
          <w:szCs w:val="24"/>
        </w:rPr>
        <w:t xml:space="preserve"> = 19.500,00 EUR</w:t>
      </w:r>
    </w:p>
    <w:p w14:paraId="4529402C" w14:textId="77777777" w:rsidR="00736B58" w:rsidRPr="00E34E89" w:rsidRDefault="00736B58" w:rsidP="00736B58">
      <w:pPr>
        <w:jc w:val="both"/>
        <w:rPr>
          <w:rFonts w:ascii="Arial" w:eastAsia="Times New Roman" w:hAnsi="Arial" w:cs="Arial"/>
          <w:sz w:val="24"/>
          <w:szCs w:val="24"/>
        </w:rPr>
      </w:pPr>
      <w:r w:rsidRPr="00E34E89">
        <w:rPr>
          <w:rFonts w:ascii="Arial" w:eastAsia="Times New Roman" w:hAnsi="Arial" w:cs="Arial"/>
          <w:b/>
          <w:bCs/>
          <w:sz w:val="24"/>
          <w:szCs w:val="24"/>
        </w:rPr>
        <w:t>Zakonska osnova:</w:t>
      </w:r>
      <w:r w:rsidRPr="00E34E89">
        <w:rPr>
          <w:rFonts w:ascii="Arial" w:eastAsia="Times New Roman" w:hAnsi="Arial" w:cs="Arial"/>
          <w:sz w:val="24"/>
          <w:szCs w:val="24"/>
        </w:rPr>
        <w:t xml:space="preserve"> Zakon o sportu.</w:t>
      </w:r>
    </w:p>
    <w:p w14:paraId="5A8FBE69" w14:textId="77777777" w:rsidR="00736B58" w:rsidRDefault="00736B58" w:rsidP="00736B58">
      <w:pPr>
        <w:jc w:val="both"/>
        <w:rPr>
          <w:rFonts w:ascii="Arial" w:hAnsi="Arial" w:cs="Arial"/>
          <w:b/>
          <w:bCs/>
          <w:sz w:val="24"/>
          <w:szCs w:val="24"/>
        </w:rPr>
      </w:pPr>
      <w:r w:rsidRPr="00E34E89">
        <w:rPr>
          <w:rFonts w:ascii="Arial" w:eastAsia="Times New Roman" w:hAnsi="Arial" w:cs="Arial"/>
          <w:b/>
          <w:sz w:val="24"/>
          <w:szCs w:val="24"/>
        </w:rPr>
        <w:t xml:space="preserve">Opis: </w:t>
      </w:r>
      <w:r w:rsidRPr="00E34E89">
        <w:rPr>
          <w:rFonts w:ascii="Arial" w:hAnsi="Arial" w:cs="Arial"/>
          <w:sz w:val="24"/>
          <w:szCs w:val="24"/>
        </w:rPr>
        <w:t xml:space="preserve">U okviru planiranja ulaganja u sportsku infrastrukturu predviđena su sredstva </w:t>
      </w:r>
      <w:r>
        <w:rPr>
          <w:rFonts w:ascii="Arial" w:hAnsi="Arial" w:cs="Arial"/>
          <w:sz w:val="24"/>
          <w:szCs w:val="24"/>
        </w:rPr>
        <w:t>za</w:t>
      </w:r>
      <w:r w:rsidRPr="00F04E9B">
        <w:rPr>
          <w:rFonts w:ascii="Arial" w:hAnsi="Arial" w:cs="Arial"/>
          <w:sz w:val="24"/>
          <w:szCs w:val="24"/>
        </w:rPr>
        <w:t xml:space="preserve"> izradu programskih i projektnih rješenja zone sporta</w:t>
      </w:r>
      <w:r w:rsidRPr="00F04E9B">
        <w:rPr>
          <w:rFonts w:ascii="Arial" w:hAnsi="Arial" w:cs="Arial"/>
          <w:b/>
          <w:bCs/>
          <w:sz w:val="24"/>
          <w:szCs w:val="24"/>
        </w:rPr>
        <w:t xml:space="preserve"> u</w:t>
      </w:r>
      <w:r w:rsidRPr="00F04E9B">
        <w:rPr>
          <w:rFonts w:ascii="Arial" w:hAnsi="Arial" w:cs="Arial"/>
          <w:sz w:val="24"/>
          <w:szCs w:val="24"/>
        </w:rPr>
        <w:t xml:space="preserve">nutar kompleksa planske oznake R1 </w:t>
      </w:r>
      <w:r>
        <w:rPr>
          <w:rFonts w:ascii="Arial" w:hAnsi="Arial" w:cs="Arial"/>
          <w:sz w:val="24"/>
          <w:szCs w:val="24"/>
        </w:rPr>
        <w:t>-</w:t>
      </w:r>
      <w:r w:rsidRPr="00F04E9B">
        <w:rPr>
          <w:rFonts w:ascii="Arial" w:hAnsi="Arial" w:cs="Arial"/>
          <w:sz w:val="24"/>
          <w:szCs w:val="24"/>
        </w:rPr>
        <w:t xml:space="preserve"> neizgrađeni dio područja DPU Monvi</w:t>
      </w:r>
      <w:r>
        <w:rPr>
          <w:rFonts w:ascii="Arial" w:hAnsi="Arial" w:cs="Arial"/>
          <w:sz w:val="24"/>
          <w:szCs w:val="24"/>
        </w:rPr>
        <w:t>-</w:t>
      </w:r>
      <w:r w:rsidRPr="00F04E9B">
        <w:rPr>
          <w:rFonts w:ascii="Arial" w:hAnsi="Arial" w:cs="Arial"/>
          <w:sz w:val="24"/>
          <w:szCs w:val="24"/>
        </w:rPr>
        <w:t>Cuvi, na k.č. 8830/1, 8830/2 i dr., k.o. Rovinj, te na izradu projektnog zadatka i programskog rješenja zone sporta unutar kompleksa planske oznake R1</w:t>
      </w:r>
      <w:r w:rsidRPr="00F04E9B">
        <w:rPr>
          <w:rFonts w:ascii="Arial" w:hAnsi="Arial" w:cs="Arial"/>
          <w:b/>
          <w:bCs/>
          <w:sz w:val="24"/>
          <w:szCs w:val="24"/>
        </w:rPr>
        <w:t xml:space="preserve"> </w:t>
      </w:r>
      <w:r w:rsidRPr="00F04E9B">
        <w:rPr>
          <w:rFonts w:ascii="Arial" w:hAnsi="Arial" w:cs="Arial"/>
          <w:sz w:val="24"/>
          <w:szCs w:val="24"/>
        </w:rPr>
        <w:t>na k.č. 9148/1, 10287 i dijelu 9151/2, k.o. Rovinj (rukometno igralište). Cilj je da se kroz stručnu analizu i uvid u prostorne mogućnosti utvrdi najbolje dugoročno rješenje za razvoj sportskih sadržaja na tom području. Ovisno o rezultatima izrade programskih rješenja, razmotrit će se opcije natkrivanja postojećeg rukometnog igrališta</w:t>
      </w:r>
      <w:r w:rsidRPr="00F04E9B">
        <w:rPr>
          <w:rFonts w:ascii="Arial" w:hAnsi="Arial" w:cs="Arial"/>
          <w:b/>
          <w:bCs/>
          <w:sz w:val="24"/>
          <w:szCs w:val="24"/>
        </w:rPr>
        <w:t xml:space="preserve"> </w:t>
      </w:r>
      <w:r w:rsidRPr="00F04E9B">
        <w:rPr>
          <w:rFonts w:ascii="Arial" w:hAnsi="Arial" w:cs="Arial"/>
          <w:sz w:val="24"/>
          <w:szCs w:val="24"/>
        </w:rPr>
        <w:t>ili izgradnje nove sportske dvorane u neposrednoj blizini košarkaškog terena. Takav pristup omogućuje racionalno planiranje ulaganja te osigurava kvalitetnu podlogu za donošenje konačnih odluka u skladu s prostorno-planskom dokumentacijom i stvarnim potrebama korisnika. Ulaganje u pripremu projektne dokumentacije predstavlja važan korak u sustavnom razvoju sportske infrastrukture</w:t>
      </w:r>
      <w:r w:rsidRPr="00F04E9B">
        <w:rPr>
          <w:rFonts w:ascii="Arial" w:hAnsi="Arial" w:cs="Arial"/>
          <w:b/>
          <w:bCs/>
          <w:sz w:val="24"/>
          <w:szCs w:val="24"/>
        </w:rPr>
        <w:t xml:space="preserve"> </w:t>
      </w:r>
      <w:r w:rsidRPr="00F04E9B">
        <w:rPr>
          <w:rFonts w:ascii="Arial" w:hAnsi="Arial" w:cs="Arial"/>
          <w:sz w:val="24"/>
          <w:szCs w:val="24"/>
        </w:rPr>
        <w:t>i</w:t>
      </w:r>
      <w:r w:rsidRPr="00F04E9B">
        <w:rPr>
          <w:rFonts w:ascii="Arial" w:hAnsi="Arial" w:cs="Arial"/>
          <w:b/>
          <w:bCs/>
          <w:sz w:val="24"/>
          <w:szCs w:val="24"/>
        </w:rPr>
        <w:t xml:space="preserve"> </w:t>
      </w:r>
      <w:r w:rsidRPr="00F04E9B">
        <w:rPr>
          <w:rFonts w:ascii="Arial" w:hAnsi="Arial" w:cs="Arial"/>
          <w:sz w:val="24"/>
          <w:szCs w:val="24"/>
        </w:rPr>
        <w:t>unapređenju uvjeta za daljnji razvoj rekreativne i sportske aktivnosti građana</w:t>
      </w:r>
      <w:r w:rsidRPr="00F04E9B">
        <w:rPr>
          <w:rFonts w:ascii="Arial" w:hAnsi="Arial" w:cs="Arial"/>
          <w:b/>
          <w:bCs/>
          <w:sz w:val="24"/>
          <w:szCs w:val="24"/>
        </w:rPr>
        <w:t>.</w:t>
      </w:r>
    </w:p>
    <w:p w14:paraId="5788A799" w14:textId="77777777" w:rsidR="00736B58" w:rsidRPr="00E34E89" w:rsidRDefault="00736B58" w:rsidP="00736B58">
      <w:pPr>
        <w:jc w:val="both"/>
        <w:rPr>
          <w:rFonts w:ascii="Arial" w:hAnsi="Arial" w:cs="Arial"/>
          <w:b/>
          <w:bCs/>
          <w:sz w:val="24"/>
          <w:szCs w:val="24"/>
        </w:rPr>
      </w:pPr>
      <w:r w:rsidRPr="00E34E89">
        <w:rPr>
          <w:rFonts w:ascii="Arial" w:eastAsia="Times New Roman" w:hAnsi="Arial" w:cs="Arial"/>
          <w:b/>
          <w:bCs/>
          <w:sz w:val="24"/>
          <w:szCs w:val="24"/>
        </w:rPr>
        <w:t xml:space="preserve">Opći cilj: </w:t>
      </w:r>
      <w:r w:rsidRPr="00E34E89">
        <w:rPr>
          <w:rFonts w:ascii="Arial" w:eastAsia="Times New Roman" w:hAnsi="Arial" w:cs="Arial"/>
          <w:bCs/>
          <w:sz w:val="24"/>
          <w:szCs w:val="24"/>
        </w:rPr>
        <w:t>unapređenje sportske infrastrukture.</w:t>
      </w:r>
    </w:p>
    <w:p w14:paraId="3092702D" w14:textId="77777777" w:rsidR="00736B58" w:rsidRDefault="00736B58" w:rsidP="00736B58">
      <w:pPr>
        <w:jc w:val="both"/>
        <w:rPr>
          <w:rFonts w:ascii="Arial" w:eastAsia="Times New Roman" w:hAnsi="Arial" w:cs="Arial"/>
          <w:sz w:val="24"/>
          <w:szCs w:val="24"/>
        </w:rPr>
      </w:pPr>
      <w:r w:rsidRPr="00E34E89">
        <w:rPr>
          <w:rFonts w:ascii="Arial" w:eastAsia="Times New Roman" w:hAnsi="Arial" w:cs="Arial"/>
          <w:b/>
          <w:bCs/>
          <w:sz w:val="24"/>
          <w:szCs w:val="24"/>
        </w:rPr>
        <w:t xml:space="preserve">Pokazatelj uspješnosti: </w:t>
      </w:r>
      <w:r w:rsidRPr="00E34E89">
        <w:rPr>
          <w:rFonts w:ascii="Arial" w:eastAsia="Times New Roman" w:hAnsi="Arial" w:cs="Arial"/>
          <w:sz w:val="24"/>
          <w:szCs w:val="24"/>
        </w:rPr>
        <w:t>realizirana aktivnost</w:t>
      </w:r>
      <w:r>
        <w:rPr>
          <w:rFonts w:ascii="Arial" w:eastAsia="Times New Roman" w:hAnsi="Arial" w:cs="Arial"/>
          <w:sz w:val="24"/>
          <w:szCs w:val="24"/>
        </w:rPr>
        <w:t>.</w:t>
      </w:r>
    </w:p>
    <w:p w14:paraId="5B34F6B9" w14:textId="77777777" w:rsidR="00736B58" w:rsidRDefault="00736B58" w:rsidP="00E541EE">
      <w:pPr>
        <w:jc w:val="both"/>
        <w:rPr>
          <w:rFonts w:ascii="Arial" w:eastAsia="Times New Roman" w:hAnsi="Arial" w:cs="Arial"/>
          <w:bCs/>
          <w:sz w:val="24"/>
          <w:szCs w:val="24"/>
        </w:rPr>
      </w:pPr>
    </w:p>
    <w:p w14:paraId="4404CE32" w14:textId="77777777" w:rsidR="00E541EE" w:rsidRPr="00B3322B" w:rsidRDefault="00E541EE" w:rsidP="00E541EE">
      <w:pPr>
        <w:pBdr>
          <w:top w:val="single" w:sz="4" w:space="1" w:color="auto"/>
          <w:left w:val="single" w:sz="4" w:space="4" w:color="auto"/>
          <w:bottom w:val="single" w:sz="4" w:space="1" w:color="auto"/>
          <w:right w:val="single" w:sz="4" w:space="4" w:color="auto"/>
        </w:pBdr>
        <w:shd w:val="clear" w:color="auto" w:fill="EDEDED" w:themeFill="accent3" w:themeFillTint="33"/>
        <w:jc w:val="both"/>
        <w:rPr>
          <w:rFonts w:ascii="Arial" w:eastAsia="Times New Roman" w:hAnsi="Arial" w:cs="Arial"/>
          <w:b/>
          <w:sz w:val="24"/>
          <w:szCs w:val="24"/>
        </w:rPr>
      </w:pPr>
      <w:r w:rsidRPr="00B3322B">
        <w:rPr>
          <w:rFonts w:ascii="Arial" w:eastAsia="Times New Roman" w:hAnsi="Arial" w:cs="Arial"/>
          <w:b/>
          <w:sz w:val="24"/>
          <w:szCs w:val="24"/>
        </w:rPr>
        <w:t>K 103115: Košarkaško igralište - parter = 110.000,00 EUR</w:t>
      </w:r>
    </w:p>
    <w:p w14:paraId="07673F17" w14:textId="77777777" w:rsidR="00E541EE" w:rsidRPr="00B3322B" w:rsidRDefault="00E541EE" w:rsidP="00E541EE">
      <w:pPr>
        <w:jc w:val="both"/>
        <w:rPr>
          <w:rFonts w:ascii="Arial" w:eastAsia="Times New Roman" w:hAnsi="Arial" w:cs="Arial"/>
          <w:sz w:val="24"/>
          <w:szCs w:val="24"/>
        </w:rPr>
      </w:pPr>
      <w:r w:rsidRPr="00B3322B">
        <w:rPr>
          <w:rFonts w:ascii="Arial" w:eastAsia="Times New Roman" w:hAnsi="Arial" w:cs="Arial"/>
          <w:b/>
          <w:bCs/>
          <w:sz w:val="24"/>
          <w:szCs w:val="24"/>
        </w:rPr>
        <w:t>Zakonska osnova:</w:t>
      </w:r>
      <w:r w:rsidRPr="00B3322B">
        <w:rPr>
          <w:rFonts w:ascii="Arial" w:eastAsia="Times New Roman" w:hAnsi="Arial" w:cs="Arial"/>
          <w:sz w:val="24"/>
          <w:szCs w:val="24"/>
        </w:rPr>
        <w:t xml:space="preserve"> Zakon o sportu.</w:t>
      </w:r>
    </w:p>
    <w:p w14:paraId="1EEC108D" w14:textId="77777777" w:rsidR="00E541EE" w:rsidRPr="00B3322B" w:rsidRDefault="00E541EE" w:rsidP="00E541EE">
      <w:pPr>
        <w:jc w:val="both"/>
        <w:rPr>
          <w:rFonts w:ascii="Arial" w:eastAsia="Times New Roman" w:hAnsi="Arial" w:cs="Arial"/>
          <w:sz w:val="24"/>
          <w:szCs w:val="24"/>
        </w:rPr>
      </w:pPr>
      <w:r w:rsidRPr="00B3322B">
        <w:rPr>
          <w:rFonts w:ascii="Arial" w:eastAsia="Times New Roman" w:hAnsi="Arial" w:cs="Arial"/>
          <w:b/>
          <w:sz w:val="24"/>
          <w:szCs w:val="24"/>
        </w:rPr>
        <w:t xml:space="preserve">Opis: </w:t>
      </w:r>
      <w:r w:rsidRPr="00B3322B">
        <w:rPr>
          <w:rFonts w:ascii="Arial" w:eastAsia="Times New Roman" w:hAnsi="Arial" w:cs="Arial"/>
          <w:sz w:val="24"/>
          <w:szCs w:val="24"/>
        </w:rPr>
        <w:t>ovim sredstvima planira se uređenje i sanacija podloge košarkaških igrališta zbog dotrajalosti postojeće te u cilju poboljšanja sigurnosti i kvalitete partera</w:t>
      </w:r>
      <w:r>
        <w:rPr>
          <w:rFonts w:ascii="Arial" w:eastAsia="Times New Roman" w:hAnsi="Arial" w:cs="Arial"/>
          <w:sz w:val="24"/>
          <w:szCs w:val="24"/>
        </w:rPr>
        <w:t>.</w:t>
      </w:r>
    </w:p>
    <w:p w14:paraId="6143B7BA" w14:textId="77777777" w:rsidR="00E541EE" w:rsidRPr="00B3322B" w:rsidRDefault="00E541EE" w:rsidP="00E541EE">
      <w:pPr>
        <w:jc w:val="both"/>
        <w:rPr>
          <w:rFonts w:ascii="Arial" w:eastAsia="Times New Roman" w:hAnsi="Arial" w:cs="Arial"/>
          <w:sz w:val="24"/>
          <w:szCs w:val="24"/>
        </w:rPr>
      </w:pPr>
      <w:r w:rsidRPr="00B3322B">
        <w:rPr>
          <w:rFonts w:ascii="Arial" w:eastAsia="Times New Roman" w:hAnsi="Arial" w:cs="Arial"/>
          <w:b/>
          <w:bCs/>
          <w:sz w:val="24"/>
          <w:szCs w:val="24"/>
        </w:rPr>
        <w:t xml:space="preserve">Opći cilj: </w:t>
      </w:r>
      <w:r w:rsidRPr="00B3322B">
        <w:rPr>
          <w:rFonts w:ascii="Arial" w:eastAsia="Times New Roman" w:hAnsi="Arial" w:cs="Arial"/>
          <w:bCs/>
          <w:sz w:val="24"/>
          <w:szCs w:val="24"/>
        </w:rPr>
        <w:t>unapređenje sportske infrastrukture.</w:t>
      </w:r>
    </w:p>
    <w:p w14:paraId="7DEC57D9" w14:textId="77777777" w:rsidR="00E541EE" w:rsidRPr="00214832" w:rsidRDefault="00E541EE" w:rsidP="00E541EE">
      <w:pPr>
        <w:jc w:val="both"/>
        <w:rPr>
          <w:rFonts w:ascii="Arial" w:eastAsia="Times New Roman" w:hAnsi="Arial" w:cs="Arial"/>
          <w:sz w:val="24"/>
          <w:szCs w:val="24"/>
        </w:rPr>
      </w:pPr>
      <w:r w:rsidRPr="00B3322B">
        <w:rPr>
          <w:rFonts w:ascii="Arial" w:eastAsia="Times New Roman" w:hAnsi="Arial" w:cs="Arial"/>
          <w:b/>
          <w:bCs/>
          <w:sz w:val="24"/>
          <w:szCs w:val="24"/>
        </w:rPr>
        <w:t xml:space="preserve">Pokazatelj uspješnosti: </w:t>
      </w:r>
      <w:r w:rsidRPr="00B3322B">
        <w:rPr>
          <w:rFonts w:ascii="Arial" w:eastAsia="Times New Roman" w:hAnsi="Arial" w:cs="Arial"/>
          <w:sz w:val="24"/>
          <w:szCs w:val="24"/>
        </w:rPr>
        <w:t>realizirana aktivnost</w:t>
      </w:r>
      <w:r>
        <w:rPr>
          <w:rFonts w:ascii="Arial" w:eastAsia="Times New Roman" w:hAnsi="Arial" w:cs="Arial"/>
          <w:sz w:val="24"/>
          <w:szCs w:val="24"/>
        </w:rPr>
        <w:t>.</w:t>
      </w:r>
    </w:p>
    <w:p w14:paraId="6EF314A5" w14:textId="77777777" w:rsidR="00E541EE" w:rsidRDefault="00E541EE" w:rsidP="00E541EE">
      <w:pPr>
        <w:jc w:val="both"/>
        <w:rPr>
          <w:rFonts w:ascii="Arial" w:eastAsia="Times New Roman" w:hAnsi="Arial" w:cs="Arial"/>
          <w:bCs/>
          <w:sz w:val="24"/>
          <w:szCs w:val="24"/>
        </w:rPr>
      </w:pPr>
    </w:p>
    <w:p w14:paraId="7E6BDEAC"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DEDED" w:themeFill="accent3" w:themeFillTint="33"/>
        <w:jc w:val="both"/>
        <w:rPr>
          <w:rFonts w:ascii="Arial" w:eastAsia="Times New Roman" w:hAnsi="Arial" w:cs="Arial"/>
          <w:b/>
          <w:sz w:val="24"/>
          <w:szCs w:val="24"/>
        </w:rPr>
      </w:pPr>
      <w:r w:rsidRPr="00AC2206">
        <w:rPr>
          <w:rFonts w:ascii="Arial" w:eastAsia="Times New Roman" w:hAnsi="Arial" w:cs="Arial"/>
          <w:b/>
          <w:sz w:val="24"/>
          <w:szCs w:val="24"/>
        </w:rPr>
        <w:t>K 10311</w:t>
      </w:r>
      <w:r>
        <w:rPr>
          <w:rFonts w:ascii="Arial" w:eastAsia="Times New Roman" w:hAnsi="Arial" w:cs="Arial"/>
          <w:b/>
          <w:sz w:val="24"/>
          <w:szCs w:val="24"/>
        </w:rPr>
        <w:t>7</w:t>
      </w:r>
      <w:r w:rsidRPr="00AC2206">
        <w:rPr>
          <w:rFonts w:ascii="Arial" w:eastAsia="Times New Roman" w:hAnsi="Arial" w:cs="Arial"/>
          <w:b/>
          <w:sz w:val="24"/>
          <w:szCs w:val="24"/>
        </w:rPr>
        <w:t xml:space="preserve">: </w:t>
      </w:r>
      <w:r>
        <w:rPr>
          <w:rFonts w:ascii="Arial" w:eastAsia="Times New Roman" w:hAnsi="Arial" w:cs="Arial"/>
          <w:b/>
          <w:sz w:val="24"/>
          <w:szCs w:val="24"/>
        </w:rPr>
        <w:t>Tenis_padel - projektiranje</w:t>
      </w:r>
      <w:r w:rsidRPr="00AC2206">
        <w:rPr>
          <w:rFonts w:ascii="Arial" w:eastAsia="Times New Roman" w:hAnsi="Arial" w:cs="Arial"/>
          <w:b/>
          <w:sz w:val="24"/>
          <w:szCs w:val="24"/>
        </w:rPr>
        <w:t xml:space="preserve"> = 5.000,00 EUR</w:t>
      </w:r>
    </w:p>
    <w:p w14:paraId="0B4A5982"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Zakonska osnova:</w:t>
      </w:r>
      <w:r w:rsidRPr="00AC2206">
        <w:rPr>
          <w:rFonts w:ascii="Arial" w:eastAsia="Times New Roman" w:hAnsi="Arial" w:cs="Arial"/>
          <w:sz w:val="24"/>
          <w:szCs w:val="24"/>
        </w:rPr>
        <w:t xml:space="preserve"> Zakon o sportu.</w:t>
      </w:r>
    </w:p>
    <w:p w14:paraId="3E588ECB" w14:textId="77777777" w:rsidR="00E541EE" w:rsidRPr="00B3322B" w:rsidRDefault="00E541EE" w:rsidP="00E541EE">
      <w:pPr>
        <w:jc w:val="both"/>
        <w:rPr>
          <w:rFonts w:ascii="Arial" w:eastAsia="Times New Roman" w:hAnsi="Arial" w:cs="Arial"/>
          <w:sz w:val="24"/>
          <w:szCs w:val="24"/>
        </w:rPr>
      </w:pPr>
      <w:r w:rsidRPr="00B3322B">
        <w:rPr>
          <w:rFonts w:ascii="Arial" w:eastAsia="Times New Roman" w:hAnsi="Arial" w:cs="Arial"/>
          <w:b/>
          <w:sz w:val="24"/>
          <w:szCs w:val="24"/>
        </w:rPr>
        <w:t xml:space="preserve">Opis: </w:t>
      </w:r>
      <w:r w:rsidRPr="00B3322B">
        <w:rPr>
          <w:rFonts w:ascii="Arial" w:eastAsia="Times New Roman" w:hAnsi="Arial" w:cs="Arial"/>
          <w:sz w:val="24"/>
          <w:szCs w:val="24"/>
        </w:rPr>
        <w:t>ovim sredstvima planira se izrada projektne dokumentacije za buduću izgradnju padel/tenis terena što predstavlja prvi korak prema proširenju sportske infrastrukture i privlačenju novih korisnika sportskih sadržaja.</w:t>
      </w:r>
    </w:p>
    <w:p w14:paraId="666ACEEC" w14:textId="77777777" w:rsidR="00E541EE" w:rsidRPr="00B3322B" w:rsidRDefault="00E541EE" w:rsidP="00E541EE">
      <w:pPr>
        <w:jc w:val="both"/>
        <w:rPr>
          <w:rFonts w:ascii="Arial" w:eastAsia="Times New Roman" w:hAnsi="Arial" w:cs="Arial"/>
          <w:sz w:val="24"/>
          <w:szCs w:val="24"/>
        </w:rPr>
      </w:pPr>
      <w:r w:rsidRPr="00B3322B">
        <w:rPr>
          <w:rFonts w:ascii="Arial" w:eastAsia="Times New Roman" w:hAnsi="Arial" w:cs="Arial"/>
          <w:b/>
          <w:bCs/>
          <w:sz w:val="24"/>
          <w:szCs w:val="24"/>
        </w:rPr>
        <w:t xml:space="preserve">Opći cilj: </w:t>
      </w:r>
      <w:r w:rsidRPr="00B3322B">
        <w:rPr>
          <w:rFonts w:ascii="Arial" w:eastAsia="Times New Roman" w:hAnsi="Arial" w:cs="Arial"/>
          <w:bCs/>
          <w:sz w:val="24"/>
          <w:szCs w:val="24"/>
        </w:rPr>
        <w:t>unapređenje sportske infrastrukture.</w:t>
      </w:r>
    </w:p>
    <w:p w14:paraId="2A911106" w14:textId="77777777" w:rsidR="00E541EE" w:rsidRDefault="00E541EE" w:rsidP="00E541EE">
      <w:pPr>
        <w:jc w:val="both"/>
        <w:rPr>
          <w:rFonts w:ascii="Arial" w:eastAsia="Times New Roman" w:hAnsi="Arial" w:cs="Arial"/>
          <w:sz w:val="24"/>
          <w:szCs w:val="24"/>
        </w:rPr>
      </w:pPr>
      <w:r w:rsidRPr="00B3322B">
        <w:rPr>
          <w:rFonts w:ascii="Arial" w:eastAsia="Times New Roman" w:hAnsi="Arial" w:cs="Arial"/>
          <w:b/>
          <w:bCs/>
          <w:sz w:val="24"/>
          <w:szCs w:val="24"/>
        </w:rPr>
        <w:t xml:space="preserve">Pokazatelj uspješnosti: </w:t>
      </w:r>
      <w:r w:rsidRPr="00B3322B">
        <w:rPr>
          <w:rFonts w:ascii="Arial" w:eastAsia="Times New Roman" w:hAnsi="Arial" w:cs="Arial"/>
          <w:sz w:val="24"/>
          <w:szCs w:val="24"/>
        </w:rPr>
        <w:t>realizirana aktivnost</w:t>
      </w:r>
      <w:r>
        <w:rPr>
          <w:rFonts w:ascii="Arial" w:eastAsia="Times New Roman" w:hAnsi="Arial" w:cs="Arial"/>
          <w:sz w:val="24"/>
          <w:szCs w:val="24"/>
        </w:rPr>
        <w:t>.</w:t>
      </w:r>
    </w:p>
    <w:p w14:paraId="1A46CC21" w14:textId="77777777" w:rsidR="00E541EE" w:rsidRDefault="00E541EE" w:rsidP="00E541EE">
      <w:pPr>
        <w:jc w:val="both"/>
        <w:rPr>
          <w:rFonts w:ascii="Arial" w:eastAsia="Times New Roman" w:hAnsi="Arial" w:cs="Arial"/>
          <w:sz w:val="24"/>
          <w:szCs w:val="24"/>
        </w:rPr>
      </w:pPr>
    </w:p>
    <w:p w14:paraId="448A7E12"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FFFF80"/>
        <w:jc w:val="both"/>
        <w:rPr>
          <w:rFonts w:ascii="Arial" w:eastAsia="Times New Roman" w:hAnsi="Arial" w:cs="Arial"/>
          <w:b/>
          <w:sz w:val="24"/>
          <w:szCs w:val="24"/>
        </w:rPr>
      </w:pPr>
      <w:r w:rsidRPr="00AC2206">
        <w:rPr>
          <w:rFonts w:ascii="Arial" w:eastAsia="Times New Roman" w:hAnsi="Arial" w:cs="Arial"/>
          <w:b/>
          <w:sz w:val="24"/>
          <w:szCs w:val="24"/>
        </w:rPr>
        <w:t xml:space="preserve">Program 1032: Socijalna skrb = </w:t>
      </w:r>
      <w:r>
        <w:rPr>
          <w:rFonts w:ascii="Arial" w:eastAsia="Times New Roman" w:hAnsi="Arial" w:cs="Arial"/>
          <w:b/>
          <w:sz w:val="24"/>
          <w:szCs w:val="24"/>
        </w:rPr>
        <w:t>1.099.847,00</w:t>
      </w:r>
      <w:r w:rsidRPr="00AC2206">
        <w:rPr>
          <w:rFonts w:ascii="Arial" w:eastAsia="Times New Roman" w:hAnsi="Arial" w:cs="Arial"/>
          <w:b/>
          <w:sz w:val="24"/>
          <w:szCs w:val="24"/>
        </w:rPr>
        <w:t xml:space="preserve"> EUR</w:t>
      </w:r>
    </w:p>
    <w:p w14:paraId="10135BE6" w14:textId="77777777" w:rsidR="00E541EE" w:rsidRPr="00AC2206" w:rsidRDefault="00E541EE" w:rsidP="00E541EE">
      <w:pPr>
        <w:jc w:val="both"/>
        <w:rPr>
          <w:rFonts w:ascii="Arial" w:eastAsia="Times New Roman" w:hAnsi="Arial" w:cs="Arial"/>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21"/>
        <w:gridCol w:w="991"/>
        <w:gridCol w:w="1034"/>
        <w:gridCol w:w="1403"/>
        <w:gridCol w:w="1189"/>
        <w:gridCol w:w="979"/>
        <w:gridCol w:w="934"/>
        <w:gridCol w:w="879"/>
        <w:gridCol w:w="571"/>
        <w:gridCol w:w="726"/>
        <w:gridCol w:w="569"/>
      </w:tblGrid>
      <w:tr w:rsidR="00E541EE" w:rsidRPr="00AC2206" w14:paraId="679E73F9" w14:textId="77777777" w:rsidTr="00736B58">
        <w:trPr>
          <w:trHeight w:val="487"/>
        </w:trPr>
        <w:tc>
          <w:tcPr>
            <w:tcW w:w="452" w:type="pct"/>
            <w:vMerge w:val="restart"/>
            <w:tcBorders>
              <w:top w:val="single" w:sz="4" w:space="0" w:color="000000"/>
              <w:left w:val="single" w:sz="4" w:space="0" w:color="000000"/>
              <w:bottom w:val="single" w:sz="4" w:space="0" w:color="000000"/>
              <w:right w:val="single" w:sz="4" w:space="0" w:color="000000"/>
            </w:tcBorders>
            <w:vAlign w:val="center"/>
          </w:tcPr>
          <w:p w14:paraId="51B9347C" w14:textId="77777777" w:rsidR="00E541EE" w:rsidRPr="00BE146C" w:rsidRDefault="00E541EE" w:rsidP="00A84BB5">
            <w:pPr>
              <w:widowControl w:val="0"/>
              <w:autoSpaceDE w:val="0"/>
              <w:autoSpaceDN w:val="0"/>
              <w:spacing w:before="49"/>
              <w:jc w:val="center"/>
              <w:rPr>
                <w:rFonts w:ascii="Arial" w:hAnsi="Arial" w:cs="Arial"/>
                <w:b/>
                <w:sz w:val="14"/>
                <w:szCs w:val="14"/>
              </w:rPr>
            </w:pPr>
            <w:r w:rsidRPr="00BE146C">
              <w:rPr>
                <w:rFonts w:ascii="Arial" w:hAnsi="Arial" w:cs="Arial"/>
                <w:b/>
                <w:sz w:val="14"/>
                <w:szCs w:val="14"/>
              </w:rPr>
              <w:t>Doprinos provedbi</w:t>
            </w:r>
          </w:p>
          <w:p w14:paraId="491F6026" w14:textId="77777777" w:rsidR="00E541EE" w:rsidRPr="00BE146C" w:rsidRDefault="00E541EE" w:rsidP="00A84BB5">
            <w:pPr>
              <w:widowControl w:val="0"/>
              <w:autoSpaceDE w:val="0"/>
              <w:autoSpaceDN w:val="0"/>
              <w:spacing w:before="49"/>
              <w:jc w:val="center"/>
              <w:rPr>
                <w:rFonts w:ascii="Arial" w:hAnsi="Arial" w:cs="Arial"/>
                <w:b/>
                <w:sz w:val="14"/>
                <w:szCs w:val="14"/>
              </w:rPr>
            </w:pPr>
            <w:r w:rsidRPr="00BE146C">
              <w:rPr>
                <w:rFonts w:ascii="Arial" w:hAnsi="Arial" w:cs="Arial"/>
                <w:b/>
                <w:sz w:val="14"/>
                <w:szCs w:val="14"/>
              </w:rPr>
              <w:t>nadređenog</w:t>
            </w:r>
          </w:p>
          <w:p w14:paraId="53B8693F" w14:textId="77777777" w:rsidR="00E541EE" w:rsidRPr="00BE146C" w:rsidRDefault="00E541EE" w:rsidP="00A84BB5">
            <w:pPr>
              <w:widowControl w:val="0"/>
              <w:autoSpaceDE w:val="0"/>
              <w:autoSpaceDN w:val="0"/>
              <w:spacing w:before="49"/>
              <w:jc w:val="center"/>
              <w:rPr>
                <w:rFonts w:ascii="Arial" w:hAnsi="Arial" w:cs="Arial"/>
                <w:b/>
                <w:sz w:val="14"/>
                <w:szCs w:val="14"/>
              </w:rPr>
            </w:pPr>
            <w:r w:rsidRPr="00BE146C">
              <w:rPr>
                <w:rFonts w:ascii="Arial" w:hAnsi="Arial" w:cs="Arial"/>
                <w:b/>
                <w:sz w:val="14"/>
                <w:szCs w:val="14"/>
              </w:rPr>
              <w:t>akta strateškog planiranja</w:t>
            </w:r>
          </w:p>
        </w:tc>
        <w:tc>
          <w:tcPr>
            <w:tcW w:w="486" w:type="pct"/>
            <w:vMerge w:val="restart"/>
            <w:tcBorders>
              <w:top w:val="single" w:sz="4" w:space="0" w:color="000000"/>
              <w:left w:val="single" w:sz="4" w:space="0" w:color="000000"/>
              <w:bottom w:val="single" w:sz="4" w:space="0" w:color="000000"/>
              <w:right w:val="single" w:sz="4" w:space="0" w:color="000000"/>
            </w:tcBorders>
            <w:vAlign w:val="center"/>
          </w:tcPr>
          <w:p w14:paraId="64AA6EC0" w14:textId="77777777" w:rsidR="00E541EE" w:rsidRDefault="00E541EE" w:rsidP="00A84BB5">
            <w:pPr>
              <w:widowControl w:val="0"/>
              <w:autoSpaceDE w:val="0"/>
              <w:autoSpaceDN w:val="0"/>
              <w:spacing w:line="195" w:lineRule="exact"/>
              <w:ind w:left="44" w:right="35"/>
              <w:jc w:val="center"/>
              <w:rPr>
                <w:rFonts w:ascii="Arial" w:hAnsi="Arial" w:cs="Arial"/>
                <w:b/>
                <w:sz w:val="14"/>
                <w:szCs w:val="14"/>
              </w:rPr>
            </w:pPr>
          </w:p>
          <w:p w14:paraId="7967A5EC" w14:textId="77777777" w:rsidR="00E541EE" w:rsidRPr="00BE146C" w:rsidRDefault="00E541EE" w:rsidP="00A84BB5">
            <w:pPr>
              <w:widowControl w:val="0"/>
              <w:autoSpaceDE w:val="0"/>
              <w:autoSpaceDN w:val="0"/>
              <w:spacing w:line="195" w:lineRule="exact"/>
              <w:ind w:left="44" w:right="35"/>
              <w:jc w:val="center"/>
              <w:rPr>
                <w:rFonts w:ascii="Arial" w:hAnsi="Arial" w:cs="Arial"/>
                <w:b/>
                <w:sz w:val="14"/>
                <w:szCs w:val="14"/>
              </w:rPr>
            </w:pPr>
            <w:r w:rsidRPr="00BE146C">
              <w:rPr>
                <w:rFonts w:ascii="Arial" w:hAnsi="Arial" w:cs="Arial"/>
                <w:b/>
                <w:sz w:val="14"/>
                <w:szCs w:val="14"/>
              </w:rPr>
              <w:t>Naziv cilja nadređenog akta strateškog planiranja</w:t>
            </w:r>
          </w:p>
        </w:tc>
        <w:tc>
          <w:tcPr>
            <w:tcW w:w="507" w:type="pct"/>
            <w:vMerge w:val="restart"/>
            <w:tcBorders>
              <w:top w:val="single" w:sz="4" w:space="0" w:color="000000"/>
              <w:left w:val="single" w:sz="4" w:space="0" w:color="000000"/>
              <w:bottom w:val="single" w:sz="4" w:space="0" w:color="000000"/>
              <w:right w:val="single" w:sz="4" w:space="0" w:color="000000"/>
            </w:tcBorders>
            <w:vAlign w:val="center"/>
          </w:tcPr>
          <w:p w14:paraId="18553756" w14:textId="77777777" w:rsidR="00E541EE" w:rsidRDefault="00E541EE" w:rsidP="00A84BB5">
            <w:pPr>
              <w:widowControl w:val="0"/>
              <w:autoSpaceDE w:val="0"/>
              <w:autoSpaceDN w:val="0"/>
              <w:ind w:left="125" w:right="114"/>
              <w:jc w:val="center"/>
              <w:rPr>
                <w:rFonts w:ascii="Arial" w:hAnsi="Arial" w:cs="Arial"/>
                <w:b/>
                <w:spacing w:val="-1"/>
                <w:sz w:val="14"/>
                <w:szCs w:val="14"/>
              </w:rPr>
            </w:pPr>
          </w:p>
          <w:p w14:paraId="1838A79A" w14:textId="77777777" w:rsidR="00E541EE" w:rsidRPr="00BE146C" w:rsidRDefault="00E541EE" w:rsidP="00A84BB5">
            <w:pPr>
              <w:widowControl w:val="0"/>
              <w:autoSpaceDE w:val="0"/>
              <w:autoSpaceDN w:val="0"/>
              <w:ind w:left="125" w:right="114"/>
              <w:jc w:val="center"/>
              <w:rPr>
                <w:rFonts w:ascii="Arial" w:hAnsi="Arial" w:cs="Arial"/>
                <w:b/>
                <w:spacing w:val="-1"/>
                <w:sz w:val="14"/>
                <w:szCs w:val="14"/>
              </w:rPr>
            </w:pPr>
            <w:r w:rsidRPr="00BE146C">
              <w:rPr>
                <w:rFonts w:ascii="Arial" w:hAnsi="Arial" w:cs="Arial"/>
                <w:b/>
                <w:spacing w:val="-1"/>
                <w:sz w:val="14"/>
                <w:szCs w:val="14"/>
              </w:rPr>
              <w:t>Program u proračunu  JLS</w:t>
            </w:r>
          </w:p>
        </w:tc>
        <w:tc>
          <w:tcPr>
            <w:tcW w:w="688" w:type="pct"/>
            <w:vMerge w:val="restart"/>
            <w:tcBorders>
              <w:top w:val="single" w:sz="4" w:space="0" w:color="000000"/>
              <w:left w:val="single" w:sz="4" w:space="0" w:color="000000"/>
              <w:bottom w:val="single" w:sz="4" w:space="0" w:color="000000"/>
              <w:right w:val="single" w:sz="4" w:space="0" w:color="000000"/>
            </w:tcBorders>
            <w:vAlign w:val="center"/>
          </w:tcPr>
          <w:p w14:paraId="50826BC0" w14:textId="77777777" w:rsidR="00E541EE" w:rsidRDefault="00E541EE" w:rsidP="00A84BB5">
            <w:pPr>
              <w:widowControl w:val="0"/>
              <w:autoSpaceDE w:val="0"/>
              <w:autoSpaceDN w:val="0"/>
              <w:ind w:left="179"/>
              <w:jc w:val="center"/>
              <w:rPr>
                <w:rFonts w:ascii="Arial" w:hAnsi="Arial" w:cs="Arial"/>
                <w:b/>
                <w:sz w:val="14"/>
                <w:szCs w:val="14"/>
              </w:rPr>
            </w:pPr>
          </w:p>
          <w:p w14:paraId="366C966B" w14:textId="77777777" w:rsidR="00E541EE" w:rsidRDefault="00E541EE" w:rsidP="00A84BB5">
            <w:pPr>
              <w:widowControl w:val="0"/>
              <w:autoSpaceDE w:val="0"/>
              <w:autoSpaceDN w:val="0"/>
              <w:ind w:left="179"/>
              <w:jc w:val="center"/>
              <w:rPr>
                <w:rFonts w:ascii="Arial" w:hAnsi="Arial" w:cs="Arial"/>
                <w:b/>
                <w:sz w:val="14"/>
                <w:szCs w:val="14"/>
              </w:rPr>
            </w:pPr>
          </w:p>
          <w:p w14:paraId="7ED34F66" w14:textId="77777777" w:rsidR="00E541EE" w:rsidRPr="00BE146C" w:rsidRDefault="00E541EE" w:rsidP="00A84BB5">
            <w:pPr>
              <w:widowControl w:val="0"/>
              <w:autoSpaceDE w:val="0"/>
              <w:autoSpaceDN w:val="0"/>
              <w:ind w:left="179"/>
              <w:jc w:val="center"/>
              <w:rPr>
                <w:rFonts w:ascii="Arial" w:hAnsi="Arial" w:cs="Arial"/>
                <w:b/>
                <w:sz w:val="14"/>
                <w:szCs w:val="14"/>
              </w:rPr>
            </w:pPr>
            <w:r w:rsidRPr="00BE146C">
              <w:rPr>
                <w:rFonts w:ascii="Arial" w:hAnsi="Arial" w:cs="Arial"/>
                <w:b/>
                <w:sz w:val="14"/>
                <w:szCs w:val="14"/>
              </w:rPr>
              <w:t>Naziv mjere</w:t>
            </w:r>
          </w:p>
        </w:tc>
        <w:tc>
          <w:tcPr>
            <w:tcW w:w="583" w:type="pct"/>
            <w:vMerge w:val="restart"/>
            <w:tcBorders>
              <w:top w:val="single" w:sz="4" w:space="0" w:color="000000"/>
              <w:left w:val="single" w:sz="4" w:space="0" w:color="000000"/>
              <w:bottom w:val="single" w:sz="4" w:space="0" w:color="000000"/>
              <w:right w:val="single" w:sz="4" w:space="0" w:color="000000"/>
            </w:tcBorders>
            <w:vAlign w:val="center"/>
          </w:tcPr>
          <w:p w14:paraId="0B99F5AB" w14:textId="77777777" w:rsidR="00E541EE" w:rsidRDefault="00E541EE" w:rsidP="00A84BB5">
            <w:pPr>
              <w:widowControl w:val="0"/>
              <w:autoSpaceDE w:val="0"/>
              <w:autoSpaceDN w:val="0"/>
              <w:ind w:left="70" w:right="60"/>
              <w:jc w:val="center"/>
              <w:rPr>
                <w:rFonts w:ascii="Arial" w:hAnsi="Arial" w:cs="Arial"/>
                <w:b/>
                <w:sz w:val="14"/>
                <w:szCs w:val="14"/>
              </w:rPr>
            </w:pPr>
          </w:p>
          <w:p w14:paraId="2C724D1B" w14:textId="77777777" w:rsidR="00E541EE" w:rsidRPr="00BE146C" w:rsidRDefault="00E541EE" w:rsidP="00A84BB5">
            <w:pPr>
              <w:widowControl w:val="0"/>
              <w:autoSpaceDE w:val="0"/>
              <w:autoSpaceDN w:val="0"/>
              <w:ind w:left="70" w:right="60"/>
              <w:jc w:val="center"/>
              <w:rPr>
                <w:rFonts w:ascii="Arial" w:hAnsi="Arial" w:cs="Arial"/>
                <w:b/>
                <w:sz w:val="14"/>
                <w:szCs w:val="14"/>
              </w:rPr>
            </w:pPr>
            <w:r w:rsidRPr="00BE146C">
              <w:rPr>
                <w:rFonts w:ascii="Arial" w:hAnsi="Arial" w:cs="Arial"/>
                <w:b/>
                <w:sz w:val="14"/>
                <w:szCs w:val="14"/>
              </w:rPr>
              <w:t>Procijenjeni trošak provedbe mjere 2026.</w:t>
            </w:r>
          </w:p>
          <w:p w14:paraId="3804D030" w14:textId="77777777" w:rsidR="00E541EE" w:rsidRPr="00BE146C" w:rsidRDefault="00E541EE" w:rsidP="00A84BB5">
            <w:pPr>
              <w:widowControl w:val="0"/>
              <w:autoSpaceDE w:val="0"/>
              <w:autoSpaceDN w:val="0"/>
              <w:ind w:left="70" w:right="60"/>
              <w:jc w:val="center"/>
              <w:rPr>
                <w:rFonts w:ascii="Arial" w:hAnsi="Arial" w:cs="Arial"/>
                <w:b/>
                <w:sz w:val="14"/>
                <w:szCs w:val="14"/>
              </w:rPr>
            </w:pPr>
            <w:r w:rsidRPr="00BE146C">
              <w:rPr>
                <w:rFonts w:ascii="Arial" w:hAnsi="Arial" w:cs="Arial"/>
                <w:b/>
                <w:sz w:val="14"/>
                <w:szCs w:val="14"/>
              </w:rPr>
              <w:t>(u EUR)</w:t>
            </w:r>
          </w:p>
        </w:tc>
        <w:tc>
          <w:tcPr>
            <w:tcW w:w="480" w:type="pct"/>
            <w:vMerge w:val="restart"/>
            <w:tcBorders>
              <w:top w:val="single" w:sz="4" w:space="0" w:color="000000"/>
              <w:left w:val="single" w:sz="4" w:space="0" w:color="000000"/>
              <w:bottom w:val="single" w:sz="4" w:space="0" w:color="000000"/>
              <w:right w:val="single" w:sz="4" w:space="0" w:color="000000"/>
            </w:tcBorders>
            <w:vAlign w:val="center"/>
          </w:tcPr>
          <w:p w14:paraId="2BB390F0" w14:textId="77777777" w:rsidR="00E541EE" w:rsidRDefault="00E541EE" w:rsidP="00A84BB5">
            <w:pPr>
              <w:widowControl w:val="0"/>
              <w:autoSpaceDE w:val="0"/>
              <w:autoSpaceDN w:val="0"/>
              <w:jc w:val="center"/>
              <w:rPr>
                <w:rFonts w:ascii="Arial" w:hAnsi="Arial" w:cs="Arial"/>
                <w:b/>
                <w:sz w:val="14"/>
                <w:szCs w:val="14"/>
              </w:rPr>
            </w:pPr>
          </w:p>
          <w:p w14:paraId="22CC1650" w14:textId="77777777" w:rsidR="00E541EE" w:rsidRPr="00BE146C" w:rsidRDefault="00E541EE" w:rsidP="00A84BB5">
            <w:pPr>
              <w:widowControl w:val="0"/>
              <w:autoSpaceDE w:val="0"/>
              <w:autoSpaceDN w:val="0"/>
              <w:jc w:val="center"/>
              <w:rPr>
                <w:rFonts w:ascii="Arial" w:hAnsi="Arial" w:cs="Arial"/>
                <w:b/>
                <w:sz w:val="14"/>
                <w:szCs w:val="14"/>
              </w:rPr>
            </w:pPr>
            <w:r w:rsidRPr="00BE146C">
              <w:rPr>
                <w:rFonts w:ascii="Arial" w:hAnsi="Arial" w:cs="Arial"/>
                <w:b/>
                <w:sz w:val="14"/>
                <w:szCs w:val="14"/>
              </w:rPr>
              <w:t>Ključne</w:t>
            </w:r>
          </w:p>
          <w:p w14:paraId="0A80CDB6" w14:textId="77777777" w:rsidR="00E541EE" w:rsidRPr="00BE146C" w:rsidRDefault="00E541EE" w:rsidP="00A84BB5">
            <w:pPr>
              <w:widowControl w:val="0"/>
              <w:autoSpaceDE w:val="0"/>
              <w:autoSpaceDN w:val="0"/>
              <w:jc w:val="center"/>
              <w:rPr>
                <w:rFonts w:ascii="Arial" w:hAnsi="Arial" w:cs="Arial"/>
                <w:b/>
                <w:sz w:val="14"/>
                <w:szCs w:val="14"/>
              </w:rPr>
            </w:pPr>
            <w:r w:rsidRPr="00BE146C">
              <w:rPr>
                <w:rFonts w:ascii="Arial" w:hAnsi="Arial" w:cs="Arial"/>
                <w:b/>
                <w:sz w:val="14"/>
                <w:szCs w:val="14"/>
              </w:rPr>
              <w:t>aktivnosti</w:t>
            </w:r>
          </w:p>
        </w:tc>
        <w:tc>
          <w:tcPr>
            <w:tcW w:w="458" w:type="pct"/>
            <w:vMerge w:val="restart"/>
            <w:tcBorders>
              <w:top w:val="single" w:sz="4" w:space="0" w:color="000000"/>
              <w:left w:val="single" w:sz="4" w:space="0" w:color="000000"/>
              <w:bottom w:val="single" w:sz="4" w:space="0" w:color="000000"/>
              <w:right w:val="single" w:sz="4" w:space="0" w:color="000000"/>
            </w:tcBorders>
            <w:vAlign w:val="center"/>
          </w:tcPr>
          <w:p w14:paraId="0A608002" w14:textId="77777777" w:rsidR="00E541EE" w:rsidRDefault="00E541EE" w:rsidP="00A84BB5">
            <w:pPr>
              <w:widowControl w:val="0"/>
              <w:autoSpaceDE w:val="0"/>
              <w:autoSpaceDN w:val="0"/>
              <w:ind w:left="62" w:right="97" w:hanging="44"/>
              <w:jc w:val="center"/>
              <w:rPr>
                <w:rFonts w:ascii="Arial" w:hAnsi="Arial" w:cs="Arial"/>
                <w:b/>
                <w:sz w:val="14"/>
                <w:szCs w:val="14"/>
              </w:rPr>
            </w:pPr>
          </w:p>
          <w:p w14:paraId="331B8BBE" w14:textId="77777777" w:rsidR="00E541EE" w:rsidRPr="00BE146C" w:rsidRDefault="00E541EE" w:rsidP="00A84BB5">
            <w:pPr>
              <w:widowControl w:val="0"/>
              <w:autoSpaceDE w:val="0"/>
              <w:autoSpaceDN w:val="0"/>
              <w:ind w:left="62" w:right="97" w:hanging="44"/>
              <w:jc w:val="center"/>
              <w:rPr>
                <w:rFonts w:ascii="Arial" w:hAnsi="Arial" w:cs="Arial"/>
                <w:b/>
                <w:sz w:val="14"/>
                <w:szCs w:val="14"/>
              </w:rPr>
            </w:pPr>
            <w:r>
              <w:rPr>
                <w:rFonts w:ascii="Arial" w:hAnsi="Arial" w:cs="Arial"/>
                <w:b/>
                <w:sz w:val="14"/>
                <w:szCs w:val="14"/>
              </w:rPr>
              <w:t>P</w:t>
            </w:r>
            <w:r w:rsidRPr="00BE146C">
              <w:rPr>
                <w:rFonts w:ascii="Arial" w:hAnsi="Arial" w:cs="Arial"/>
                <w:b/>
                <w:sz w:val="14"/>
                <w:szCs w:val="14"/>
              </w:rPr>
              <w:t>okazatelj rezultata</w:t>
            </w:r>
          </w:p>
        </w:tc>
        <w:tc>
          <w:tcPr>
            <w:tcW w:w="431" w:type="pct"/>
            <w:vMerge w:val="restart"/>
            <w:tcBorders>
              <w:top w:val="single" w:sz="4" w:space="0" w:color="000000"/>
              <w:left w:val="single" w:sz="4" w:space="0" w:color="000000"/>
              <w:bottom w:val="single" w:sz="4" w:space="0" w:color="000000"/>
              <w:right w:val="single" w:sz="4" w:space="0" w:color="000000"/>
            </w:tcBorders>
            <w:vAlign w:val="center"/>
          </w:tcPr>
          <w:p w14:paraId="42CCC8A5" w14:textId="77777777" w:rsidR="00E541EE" w:rsidRDefault="00E541EE" w:rsidP="00A84BB5">
            <w:pPr>
              <w:widowControl w:val="0"/>
              <w:autoSpaceDE w:val="0"/>
              <w:autoSpaceDN w:val="0"/>
              <w:ind w:left="44" w:right="32"/>
              <w:jc w:val="center"/>
              <w:rPr>
                <w:rFonts w:ascii="Arial" w:hAnsi="Arial" w:cs="Arial"/>
                <w:b/>
                <w:sz w:val="14"/>
                <w:szCs w:val="14"/>
              </w:rPr>
            </w:pPr>
          </w:p>
          <w:p w14:paraId="453A4CDD" w14:textId="77777777" w:rsidR="00E541EE" w:rsidRPr="00BE146C" w:rsidRDefault="00E541EE" w:rsidP="00A84BB5">
            <w:pPr>
              <w:widowControl w:val="0"/>
              <w:autoSpaceDE w:val="0"/>
              <w:autoSpaceDN w:val="0"/>
              <w:ind w:left="44" w:right="32"/>
              <w:jc w:val="center"/>
              <w:rPr>
                <w:rFonts w:ascii="Arial" w:hAnsi="Arial" w:cs="Arial"/>
                <w:b/>
                <w:sz w:val="14"/>
                <w:szCs w:val="14"/>
              </w:rPr>
            </w:pPr>
            <w:r w:rsidRPr="00BE146C">
              <w:rPr>
                <w:rFonts w:ascii="Arial" w:hAnsi="Arial" w:cs="Arial"/>
                <w:b/>
                <w:sz w:val="14"/>
                <w:szCs w:val="14"/>
              </w:rPr>
              <w:t>Početna vrijednost 2025.</w:t>
            </w:r>
          </w:p>
        </w:tc>
        <w:tc>
          <w:tcPr>
            <w:tcW w:w="916" w:type="pct"/>
            <w:gridSpan w:val="3"/>
            <w:tcBorders>
              <w:top w:val="single" w:sz="4" w:space="0" w:color="000000"/>
              <w:left w:val="single" w:sz="4" w:space="0" w:color="000000"/>
              <w:bottom w:val="single" w:sz="4" w:space="0" w:color="000000"/>
              <w:right w:val="single" w:sz="4" w:space="0" w:color="000000"/>
            </w:tcBorders>
            <w:vAlign w:val="center"/>
          </w:tcPr>
          <w:p w14:paraId="68A39BD7" w14:textId="77777777" w:rsidR="00E541EE" w:rsidRPr="00BE146C" w:rsidRDefault="00E541EE" w:rsidP="00A84BB5">
            <w:pPr>
              <w:widowControl w:val="0"/>
              <w:autoSpaceDE w:val="0"/>
              <w:autoSpaceDN w:val="0"/>
              <w:ind w:left="70" w:right="56"/>
              <w:jc w:val="center"/>
              <w:rPr>
                <w:rFonts w:ascii="Arial" w:hAnsi="Arial" w:cs="Arial"/>
                <w:b/>
                <w:sz w:val="14"/>
                <w:szCs w:val="14"/>
              </w:rPr>
            </w:pPr>
            <w:r w:rsidRPr="00BE146C">
              <w:rPr>
                <w:rFonts w:ascii="Arial" w:hAnsi="Arial" w:cs="Arial"/>
                <w:b/>
                <w:sz w:val="14"/>
                <w:szCs w:val="14"/>
              </w:rPr>
              <w:t>Ciljna vrijednost</w:t>
            </w:r>
          </w:p>
        </w:tc>
      </w:tr>
      <w:tr w:rsidR="00E541EE" w:rsidRPr="00AC2206" w14:paraId="2FD71890" w14:textId="77777777" w:rsidTr="00736B58">
        <w:trPr>
          <w:trHeight w:val="409"/>
        </w:trPr>
        <w:tc>
          <w:tcPr>
            <w:tcW w:w="452" w:type="pct"/>
            <w:vMerge/>
            <w:vAlign w:val="center"/>
          </w:tcPr>
          <w:p w14:paraId="44D414BD" w14:textId="77777777" w:rsidR="00E541EE" w:rsidRPr="00BE146C" w:rsidRDefault="00E541EE" w:rsidP="00A84BB5">
            <w:pPr>
              <w:widowControl w:val="0"/>
              <w:autoSpaceDE w:val="0"/>
              <w:autoSpaceDN w:val="0"/>
              <w:spacing w:before="49"/>
              <w:jc w:val="center"/>
              <w:rPr>
                <w:rFonts w:ascii="Arial" w:hAnsi="Arial" w:cs="Arial"/>
                <w:b/>
                <w:sz w:val="14"/>
                <w:szCs w:val="14"/>
              </w:rPr>
            </w:pPr>
          </w:p>
        </w:tc>
        <w:tc>
          <w:tcPr>
            <w:tcW w:w="486" w:type="pct"/>
            <w:vMerge/>
            <w:vAlign w:val="center"/>
          </w:tcPr>
          <w:p w14:paraId="172C651D" w14:textId="77777777" w:rsidR="00E541EE" w:rsidRPr="00BE146C" w:rsidRDefault="00E541EE" w:rsidP="00A84BB5">
            <w:pPr>
              <w:widowControl w:val="0"/>
              <w:autoSpaceDE w:val="0"/>
              <w:autoSpaceDN w:val="0"/>
              <w:spacing w:line="195" w:lineRule="exact"/>
              <w:ind w:left="44" w:right="35"/>
              <w:jc w:val="center"/>
              <w:rPr>
                <w:rFonts w:ascii="Arial" w:hAnsi="Arial" w:cs="Arial"/>
                <w:b/>
                <w:sz w:val="14"/>
                <w:szCs w:val="14"/>
              </w:rPr>
            </w:pPr>
          </w:p>
        </w:tc>
        <w:tc>
          <w:tcPr>
            <w:tcW w:w="507" w:type="pct"/>
            <w:vMerge/>
            <w:vAlign w:val="center"/>
          </w:tcPr>
          <w:p w14:paraId="1D2FC3D5" w14:textId="77777777" w:rsidR="00E541EE" w:rsidRPr="00BE146C" w:rsidRDefault="00E541EE" w:rsidP="00A84BB5">
            <w:pPr>
              <w:widowControl w:val="0"/>
              <w:autoSpaceDE w:val="0"/>
              <w:autoSpaceDN w:val="0"/>
              <w:ind w:left="125" w:right="114"/>
              <w:jc w:val="center"/>
              <w:rPr>
                <w:rFonts w:ascii="Arial" w:hAnsi="Arial" w:cs="Arial"/>
                <w:b/>
                <w:spacing w:val="-1"/>
                <w:sz w:val="14"/>
                <w:szCs w:val="14"/>
              </w:rPr>
            </w:pPr>
          </w:p>
        </w:tc>
        <w:tc>
          <w:tcPr>
            <w:tcW w:w="688" w:type="pct"/>
            <w:vMerge/>
            <w:tcBorders>
              <w:bottom w:val="single" w:sz="4" w:space="0" w:color="auto"/>
            </w:tcBorders>
            <w:vAlign w:val="center"/>
          </w:tcPr>
          <w:p w14:paraId="4C7881FE" w14:textId="77777777" w:rsidR="00E541EE" w:rsidRPr="00BE146C" w:rsidRDefault="00E541EE" w:rsidP="00A84BB5">
            <w:pPr>
              <w:widowControl w:val="0"/>
              <w:autoSpaceDE w:val="0"/>
              <w:autoSpaceDN w:val="0"/>
              <w:ind w:left="179"/>
              <w:jc w:val="center"/>
              <w:rPr>
                <w:rFonts w:ascii="Arial" w:hAnsi="Arial" w:cs="Arial"/>
                <w:b/>
                <w:sz w:val="14"/>
                <w:szCs w:val="14"/>
              </w:rPr>
            </w:pPr>
          </w:p>
        </w:tc>
        <w:tc>
          <w:tcPr>
            <w:tcW w:w="583" w:type="pct"/>
            <w:vMerge/>
            <w:tcBorders>
              <w:bottom w:val="single" w:sz="4" w:space="0" w:color="auto"/>
            </w:tcBorders>
            <w:vAlign w:val="center"/>
          </w:tcPr>
          <w:p w14:paraId="461FCF48" w14:textId="77777777" w:rsidR="00E541EE" w:rsidRPr="00BE146C" w:rsidRDefault="00E541EE" w:rsidP="00A84BB5">
            <w:pPr>
              <w:widowControl w:val="0"/>
              <w:autoSpaceDE w:val="0"/>
              <w:autoSpaceDN w:val="0"/>
              <w:ind w:left="70" w:right="60"/>
              <w:jc w:val="center"/>
              <w:rPr>
                <w:rFonts w:ascii="Arial" w:hAnsi="Arial" w:cs="Arial"/>
                <w:b/>
                <w:sz w:val="14"/>
                <w:szCs w:val="14"/>
              </w:rPr>
            </w:pPr>
          </w:p>
        </w:tc>
        <w:tc>
          <w:tcPr>
            <w:tcW w:w="480" w:type="pct"/>
            <w:vMerge/>
            <w:vAlign w:val="center"/>
          </w:tcPr>
          <w:p w14:paraId="4D5FC71C" w14:textId="77777777" w:rsidR="00E541EE" w:rsidRPr="00BE146C" w:rsidRDefault="00E541EE" w:rsidP="00A84BB5">
            <w:pPr>
              <w:widowControl w:val="0"/>
              <w:autoSpaceDE w:val="0"/>
              <w:autoSpaceDN w:val="0"/>
              <w:ind w:left="311"/>
              <w:jc w:val="center"/>
              <w:rPr>
                <w:rFonts w:ascii="Arial" w:hAnsi="Arial" w:cs="Arial"/>
                <w:b/>
                <w:sz w:val="14"/>
                <w:szCs w:val="14"/>
              </w:rPr>
            </w:pPr>
          </w:p>
        </w:tc>
        <w:tc>
          <w:tcPr>
            <w:tcW w:w="458" w:type="pct"/>
            <w:vMerge/>
            <w:tcBorders>
              <w:bottom w:val="single" w:sz="4" w:space="0" w:color="auto"/>
            </w:tcBorders>
            <w:vAlign w:val="center"/>
          </w:tcPr>
          <w:p w14:paraId="6E6661B9" w14:textId="77777777" w:rsidR="00E541EE" w:rsidRPr="00BE146C" w:rsidRDefault="00E541EE" w:rsidP="00A84BB5">
            <w:pPr>
              <w:widowControl w:val="0"/>
              <w:autoSpaceDE w:val="0"/>
              <w:autoSpaceDN w:val="0"/>
              <w:ind w:left="174" w:right="97" w:hanging="44"/>
              <w:jc w:val="center"/>
              <w:rPr>
                <w:rFonts w:ascii="Arial" w:hAnsi="Arial" w:cs="Arial"/>
                <w:b/>
                <w:sz w:val="14"/>
                <w:szCs w:val="14"/>
              </w:rPr>
            </w:pPr>
          </w:p>
        </w:tc>
        <w:tc>
          <w:tcPr>
            <w:tcW w:w="431" w:type="pct"/>
            <w:vMerge/>
            <w:tcBorders>
              <w:bottom w:val="single" w:sz="4" w:space="0" w:color="auto"/>
            </w:tcBorders>
            <w:vAlign w:val="center"/>
          </w:tcPr>
          <w:p w14:paraId="68BFED44" w14:textId="77777777" w:rsidR="00E541EE" w:rsidRPr="00BE146C" w:rsidRDefault="00E541EE" w:rsidP="00A84BB5">
            <w:pPr>
              <w:widowControl w:val="0"/>
              <w:autoSpaceDE w:val="0"/>
              <w:autoSpaceDN w:val="0"/>
              <w:ind w:left="44" w:right="32"/>
              <w:jc w:val="center"/>
              <w:rPr>
                <w:rFonts w:ascii="Arial" w:hAnsi="Arial" w:cs="Arial"/>
                <w:b/>
                <w:sz w:val="14"/>
                <w:szCs w:val="14"/>
              </w:rPr>
            </w:pPr>
          </w:p>
        </w:tc>
        <w:tc>
          <w:tcPr>
            <w:tcW w:w="280" w:type="pct"/>
            <w:tcBorders>
              <w:bottom w:val="single" w:sz="4" w:space="0" w:color="auto"/>
            </w:tcBorders>
            <w:vAlign w:val="center"/>
          </w:tcPr>
          <w:p w14:paraId="25FE3BAC" w14:textId="77777777" w:rsidR="00E541EE" w:rsidRPr="00BE146C" w:rsidRDefault="00E541EE" w:rsidP="00A84BB5">
            <w:pPr>
              <w:widowControl w:val="0"/>
              <w:autoSpaceDE w:val="0"/>
              <w:autoSpaceDN w:val="0"/>
              <w:ind w:left="87" w:right="70"/>
              <w:jc w:val="center"/>
              <w:rPr>
                <w:rFonts w:ascii="Arial" w:hAnsi="Arial" w:cs="Arial"/>
                <w:b/>
                <w:sz w:val="14"/>
                <w:szCs w:val="14"/>
              </w:rPr>
            </w:pPr>
            <w:r w:rsidRPr="00BE146C">
              <w:rPr>
                <w:rFonts w:ascii="Arial" w:hAnsi="Arial" w:cs="Arial"/>
                <w:b/>
                <w:sz w:val="14"/>
                <w:szCs w:val="14"/>
              </w:rPr>
              <w:t>za 2026.</w:t>
            </w:r>
          </w:p>
        </w:tc>
        <w:tc>
          <w:tcPr>
            <w:tcW w:w="356" w:type="pct"/>
            <w:tcBorders>
              <w:bottom w:val="single" w:sz="4" w:space="0" w:color="auto"/>
            </w:tcBorders>
            <w:vAlign w:val="center"/>
          </w:tcPr>
          <w:p w14:paraId="2543F387" w14:textId="77777777" w:rsidR="00E541EE" w:rsidRPr="00BE146C" w:rsidRDefault="00E541EE" w:rsidP="00A84BB5">
            <w:pPr>
              <w:widowControl w:val="0"/>
              <w:autoSpaceDE w:val="0"/>
              <w:autoSpaceDN w:val="0"/>
              <w:ind w:left="75" w:right="61"/>
              <w:jc w:val="center"/>
              <w:rPr>
                <w:rFonts w:ascii="Arial" w:hAnsi="Arial" w:cs="Arial"/>
                <w:b/>
                <w:sz w:val="14"/>
                <w:szCs w:val="14"/>
              </w:rPr>
            </w:pPr>
            <w:r w:rsidRPr="00BE146C">
              <w:rPr>
                <w:rFonts w:ascii="Arial" w:hAnsi="Arial" w:cs="Arial"/>
                <w:b/>
                <w:sz w:val="14"/>
                <w:szCs w:val="14"/>
              </w:rPr>
              <w:t>za</w:t>
            </w:r>
          </w:p>
          <w:p w14:paraId="3AE244CE" w14:textId="77777777" w:rsidR="00E541EE" w:rsidRPr="00BE146C" w:rsidRDefault="00E541EE" w:rsidP="00A84BB5">
            <w:pPr>
              <w:widowControl w:val="0"/>
              <w:autoSpaceDE w:val="0"/>
              <w:autoSpaceDN w:val="0"/>
              <w:ind w:left="75" w:right="61"/>
              <w:jc w:val="center"/>
              <w:rPr>
                <w:rFonts w:ascii="Arial" w:hAnsi="Arial" w:cs="Arial"/>
                <w:b/>
                <w:sz w:val="14"/>
                <w:szCs w:val="14"/>
              </w:rPr>
            </w:pPr>
            <w:r w:rsidRPr="00BE146C">
              <w:rPr>
                <w:rFonts w:ascii="Arial" w:hAnsi="Arial" w:cs="Arial"/>
                <w:b/>
                <w:sz w:val="14"/>
                <w:szCs w:val="14"/>
              </w:rPr>
              <w:t>2027.</w:t>
            </w:r>
          </w:p>
        </w:tc>
        <w:tc>
          <w:tcPr>
            <w:tcW w:w="280" w:type="pct"/>
            <w:tcBorders>
              <w:bottom w:val="single" w:sz="4" w:space="0" w:color="auto"/>
            </w:tcBorders>
            <w:vAlign w:val="center"/>
          </w:tcPr>
          <w:p w14:paraId="1576669C" w14:textId="77777777" w:rsidR="00E541EE" w:rsidRPr="00BE146C" w:rsidRDefault="00E541EE" w:rsidP="00A84BB5">
            <w:pPr>
              <w:widowControl w:val="0"/>
              <w:autoSpaceDE w:val="0"/>
              <w:autoSpaceDN w:val="0"/>
              <w:ind w:left="70" w:right="56"/>
              <w:jc w:val="center"/>
              <w:rPr>
                <w:rFonts w:ascii="Arial" w:hAnsi="Arial" w:cs="Arial"/>
                <w:b/>
                <w:sz w:val="14"/>
                <w:szCs w:val="14"/>
              </w:rPr>
            </w:pPr>
            <w:r w:rsidRPr="00BE146C">
              <w:rPr>
                <w:rFonts w:ascii="Arial" w:hAnsi="Arial" w:cs="Arial"/>
                <w:b/>
                <w:sz w:val="14"/>
                <w:szCs w:val="14"/>
              </w:rPr>
              <w:t>za</w:t>
            </w:r>
          </w:p>
          <w:p w14:paraId="7A4B24FE" w14:textId="77777777" w:rsidR="00E541EE" w:rsidRPr="00BE146C" w:rsidRDefault="00E541EE" w:rsidP="00A84BB5">
            <w:pPr>
              <w:widowControl w:val="0"/>
              <w:autoSpaceDE w:val="0"/>
              <w:autoSpaceDN w:val="0"/>
              <w:ind w:left="70" w:right="56"/>
              <w:jc w:val="center"/>
              <w:rPr>
                <w:rFonts w:ascii="Arial" w:hAnsi="Arial" w:cs="Arial"/>
                <w:b/>
                <w:sz w:val="14"/>
                <w:szCs w:val="14"/>
              </w:rPr>
            </w:pPr>
            <w:r w:rsidRPr="00BE146C">
              <w:rPr>
                <w:rFonts w:ascii="Arial" w:hAnsi="Arial" w:cs="Arial"/>
                <w:b/>
                <w:sz w:val="14"/>
                <w:szCs w:val="14"/>
              </w:rPr>
              <w:t>2028.</w:t>
            </w:r>
          </w:p>
        </w:tc>
      </w:tr>
      <w:tr w:rsidR="00E541EE" w:rsidRPr="00AC2206" w14:paraId="45C00A9D" w14:textId="77777777" w:rsidTr="00736B58">
        <w:trPr>
          <w:trHeight w:val="3109"/>
        </w:trPr>
        <w:tc>
          <w:tcPr>
            <w:tcW w:w="452" w:type="pct"/>
            <w:vMerge w:val="restart"/>
          </w:tcPr>
          <w:p w14:paraId="69D6228E" w14:textId="77777777" w:rsidR="00E541EE" w:rsidRDefault="00E541EE" w:rsidP="00A84BB5">
            <w:pPr>
              <w:widowControl w:val="0"/>
              <w:autoSpaceDE w:val="0"/>
              <w:autoSpaceDN w:val="0"/>
              <w:spacing w:before="49"/>
              <w:ind w:left="44" w:right="35"/>
              <w:jc w:val="center"/>
              <w:rPr>
                <w:rFonts w:ascii="Arial" w:hAnsi="Arial" w:cs="Arial"/>
                <w:sz w:val="14"/>
                <w:szCs w:val="14"/>
              </w:rPr>
            </w:pPr>
          </w:p>
          <w:p w14:paraId="56F87E0C" w14:textId="77777777" w:rsidR="00E541EE" w:rsidRDefault="00E541EE" w:rsidP="00A84BB5">
            <w:pPr>
              <w:widowControl w:val="0"/>
              <w:autoSpaceDE w:val="0"/>
              <w:autoSpaceDN w:val="0"/>
              <w:spacing w:before="49"/>
              <w:ind w:left="44" w:right="35"/>
              <w:jc w:val="center"/>
              <w:rPr>
                <w:rFonts w:ascii="Arial" w:hAnsi="Arial" w:cs="Arial"/>
                <w:sz w:val="14"/>
                <w:szCs w:val="14"/>
              </w:rPr>
            </w:pPr>
          </w:p>
          <w:p w14:paraId="160871BF" w14:textId="77777777" w:rsidR="00E541EE" w:rsidRDefault="00E541EE" w:rsidP="00A84BB5">
            <w:pPr>
              <w:widowControl w:val="0"/>
              <w:autoSpaceDE w:val="0"/>
              <w:autoSpaceDN w:val="0"/>
              <w:spacing w:before="49"/>
              <w:ind w:left="44" w:right="35"/>
              <w:jc w:val="center"/>
              <w:rPr>
                <w:rFonts w:ascii="Arial" w:hAnsi="Arial" w:cs="Arial"/>
                <w:sz w:val="14"/>
                <w:szCs w:val="14"/>
              </w:rPr>
            </w:pPr>
          </w:p>
          <w:p w14:paraId="5D0068A1" w14:textId="77777777" w:rsidR="00E541EE" w:rsidRDefault="00E541EE" w:rsidP="00A84BB5">
            <w:pPr>
              <w:widowControl w:val="0"/>
              <w:autoSpaceDE w:val="0"/>
              <w:autoSpaceDN w:val="0"/>
              <w:spacing w:before="49"/>
              <w:ind w:left="44" w:right="35"/>
              <w:jc w:val="center"/>
              <w:rPr>
                <w:rFonts w:ascii="Arial" w:hAnsi="Arial" w:cs="Arial"/>
                <w:sz w:val="14"/>
                <w:szCs w:val="14"/>
              </w:rPr>
            </w:pPr>
          </w:p>
          <w:p w14:paraId="73BAC3D3" w14:textId="77777777" w:rsidR="00E541EE" w:rsidRDefault="00E541EE" w:rsidP="00A84BB5">
            <w:pPr>
              <w:widowControl w:val="0"/>
              <w:autoSpaceDE w:val="0"/>
              <w:autoSpaceDN w:val="0"/>
              <w:spacing w:before="49"/>
              <w:ind w:left="44" w:right="35"/>
              <w:jc w:val="center"/>
              <w:rPr>
                <w:rFonts w:ascii="Arial" w:hAnsi="Arial" w:cs="Arial"/>
                <w:sz w:val="14"/>
                <w:szCs w:val="14"/>
              </w:rPr>
            </w:pPr>
          </w:p>
          <w:p w14:paraId="5EF75F99" w14:textId="77777777" w:rsidR="00E541EE" w:rsidRDefault="00E541EE" w:rsidP="00A84BB5">
            <w:pPr>
              <w:widowControl w:val="0"/>
              <w:autoSpaceDE w:val="0"/>
              <w:autoSpaceDN w:val="0"/>
              <w:spacing w:before="49"/>
              <w:ind w:left="44" w:right="35"/>
              <w:jc w:val="center"/>
              <w:rPr>
                <w:rFonts w:ascii="Arial" w:hAnsi="Arial" w:cs="Arial"/>
                <w:sz w:val="14"/>
                <w:szCs w:val="14"/>
              </w:rPr>
            </w:pPr>
          </w:p>
          <w:p w14:paraId="531B6ACA" w14:textId="77777777" w:rsidR="00E541EE" w:rsidRDefault="00E541EE" w:rsidP="00A84BB5">
            <w:pPr>
              <w:widowControl w:val="0"/>
              <w:autoSpaceDE w:val="0"/>
              <w:autoSpaceDN w:val="0"/>
              <w:spacing w:before="49"/>
              <w:ind w:left="44" w:right="35"/>
              <w:jc w:val="center"/>
              <w:rPr>
                <w:rFonts w:ascii="Arial" w:hAnsi="Arial" w:cs="Arial"/>
                <w:sz w:val="14"/>
                <w:szCs w:val="14"/>
              </w:rPr>
            </w:pPr>
          </w:p>
          <w:p w14:paraId="5DDCAB09" w14:textId="77777777" w:rsidR="00E541EE" w:rsidRPr="00BE146C" w:rsidRDefault="00E541EE" w:rsidP="00A84BB5">
            <w:pPr>
              <w:widowControl w:val="0"/>
              <w:autoSpaceDE w:val="0"/>
              <w:autoSpaceDN w:val="0"/>
              <w:spacing w:before="49"/>
              <w:ind w:left="44" w:right="35"/>
              <w:jc w:val="center"/>
              <w:rPr>
                <w:rFonts w:ascii="Arial" w:hAnsi="Arial" w:cs="Arial"/>
                <w:sz w:val="14"/>
                <w:szCs w:val="14"/>
              </w:rPr>
            </w:pPr>
            <w:r w:rsidRPr="00BE146C">
              <w:rPr>
                <w:rFonts w:ascii="Arial" w:hAnsi="Arial" w:cs="Arial"/>
                <w:sz w:val="14"/>
                <w:szCs w:val="14"/>
              </w:rPr>
              <w:t>Provedbeni program Grada Rovinja-Rovigno za razdoblje 2025.-2029. godine</w:t>
            </w:r>
          </w:p>
        </w:tc>
        <w:tc>
          <w:tcPr>
            <w:tcW w:w="486" w:type="pct"/>
            <w:vMerge w:val="restart"/>
          </w:tcPr>
          <w:p w14:paraId="759A686F" w14:textId="77777777" w:rsidR="00E541EE" w:rsidRPr="00BE146C" w:rsidRDefault="00E541EE" w:rsidP="00A84BB5">
            <w:pPr>
              <w:widowControl w:val="0"/>
              <w:autoSpaceDE w:val="0"/>
              <w:autoSpaceDN w:val="0"/>
              <w:jc w:val="center"/>
              <w:rPr>
                <w:rFonts w:ascii="Arial" w:hAnsi="Arial" w:cs="Arial"/>
                <w:sz w:val="14"/>
                <w:szCs w:val="14"/>
              </w:rPr>
            </w:pPr>
          </w:p>
          <w:p w14:paraId="3FA5674E" w14:textId="77777777" w:rsidR="00E541EE" w:rsidRDefault="00E541EE" w:rsidP="00A84BB5">
            <w:pPr>
              <w:widowControl w:val="0"/>
              <w:autoSpaceDE w:val="0"/>
              <w:autoSpaceDN w:val="0"/>
              <w:ind w:left="28" w:right="19" w:firstLine="2"/>
              <w:jc w:val="center"/>
              <w:rPr>
                <w:rFonts w:ascii="Arial" w:hAnsi="Arial" w:cs="Arial"/>
                <w:sz w:val="14"/>
                <w:szCs w:val="14"/>
              </w:rPr>
            </w:pPr>
          </w:p>
          <w:p w14:paraId="4778F447" w14:textId="77777777" w:rsidR="00E541EE" w:rsidRDefault="00E541EE" w:rsidP="00A84BB5">
            <w:pPr>
              <w:widowControl w:val="0"/>
              <w:autoSpaceDE w:val="0"/>
              <w:autoSpaceDN w:val="0"/>
              <w:ind w:left="28" w:right="19" w:firstLine="2"/>
              <w:jc w:val="center"/>
              <w:rPr>
                <w:rFonts w:ascii="Arial" w:hAnsi="Arial" w:cs="Arial"/>
                <w:sz w:val="14"/>
                <w:szCs w:val="14"/>
              </w:rPr>
            </w:pPr>
          </w:p>
          <w:p w14:paraId="06401293" w14:textId="77777777" w:rsidR="00E541EE" w:rsidRDefault="00E541EE" w:rsidP="00A84BB5">
            <w:pPr>
              <w:widowControl w:val="0"/>
              <w:autoSpaceDE w:val="0"/>
              <w:autoSpaceDN w:val="0"/>
              <w:ind w:left="28" w:right="19" w:firstLine="2"/>
              <w:jc w:val="center"/>
              <w:rPr>
                <w:rFonts w:ascii="Arial" w:hAnsi="Arial" w:cs="Arial"/>
                <w:sz w:val="14"/>
                <w:szCs w:val="14"/>
              </w:rPr>
            </w:pPr>
          </w:p>
          <w:p w14:paraId="63154F84" w14:textId="77777777" w:rsidR="00E541EE" w:rsidRDefault="00E541EE" w:rsidP="00A84BB5">
            <w:pPr>
              <w:widowControl w:val="0"/>
              <w:autoSpaceDE w:val="0"/>
              <w:autoSpaceDN w:val="0"/>
              <w:ind w:left="28" w:right="19" w:firstLine="2"/>
              <w:jc w:val="center"/>
              <w:rPr>
                <w:rFonts w:ascii="Arial" w:hAnsi="Arial" w:cs="Arial"/>
                <w:sz w:val="14"/>
                <w:szCs w:val="14"/>
              </w:rPr>
            </w:pPr>
          </w:p>
          <w:p w14:paraId="43986B0C" w14:textId="77777777" w:rsidR="00E541EE" w:rsidRDefault="00E541EE" w:rsidP="00A84BB5">
            <w:pPr>
              <w:widowControl w:val="0"/>
              <w:autoSpaceDE w:val="0"/>
              <w:autoSpaceDN w:val="0"/>
              <w:ind w:left="28" w:right="19" w:firstLine="2"/>
              <w:jc w:val="center"/>
              <w:rPr>
                <w:rFonts w:ascii="Arial" w:hAnsi="Arial" w:cs="Arial"/>
                <w:sz w:val="14"/>
                <w:szCs w:val="14"/>
              </w:rPr>
            </w:pPr>
          </w:p>
          <w:p w14:paraId="494F7B02" w14:textId="77777777" w:rsidR="00E541EE" w:rsidRDefault="00E541EE" w:rsidP="00A84BB5">
            <w:pPr>
              <w:widowControl w:val="0"/>
              <w:autoSpaceDE w:val="0"/>
              <w:autoSpaceDN w:val="0"/>
              <w:ind w:left="28" w:right="19" w:firstLine="2"/>
              <w:jc w:val="center"/>
              <w:rPr>
                <w:rFonts w:ascii="Arial" w:hAnsi="Arial" w:cs="Arial"/>
                <w:sz w:val="14"/>
                <w:szCs w:val="14"/>
              </w:rPr>
            </w:pPr>
          </w:p>
          <w:p w14:paraId="092ED8CB" w14:textId="77777777" w:rsidR="00E541EE" w:rsidRDefault="00E541EE" w:rsidP="00A84BB5">
            <w:pPr>
              <w:widowControl w:val="0"/>
              <w:autoSpaceDE w:val="0"/>
              <w:autoSpaceDN w:val="0"/>
              <w:ind w:left="28" w:right="19" w:firstLine="2"/>
              <w:jc w:val="center"/>
              <w:rPr>
                <w:rFonts w:ascii="Arial" w:hAnsi="Arial" w:cs="Arial"/>
                <w:sz w:val="14"/>
                <w:szCs w:val="14"/>
              </w:rPr>
            </w:pPr>
          </w:p>
          <w:p w14:paraId="653F87C9" w14:textId="77777777" w:rsidR="00E541EE" w:rsidRDefault="00E541EE" w:rsidP="00A84BB5">
            <w:pPr>
              <w:widowControl w:val="0"/>
              <w:autoSpaceDE w:val="0"/>
              <w:autoSpaceDN w:val="0"/>
              <w:ind w:left="28" w:right="19" w:firstLine="2"/>
              <w:jc w:val="center"/>
              <w:rPr>
                <w:rFonts w:ascii="Arial" w:hAnsi="Arial" w:cs="Arial"/>
                <w:sz w:val="14"/>
                <w:szCs w:val="14"/>
              </w:rPr>
            </w:pPr>
          </w:p>
          <w:p w14:paraId="51491205" w14:textId="77777777" w:rsidR="00E541EE" w:rsidRDefault="00E541EE" w:rsidP="00A84BB5">
            <w:pPr>
              <w:widowControl w:val="0"/>
              <w:autoSpaceDE w:val="0"/>
              <w:autoSpaceDN w:val="0"/>
              <w:ind w:left="28" w:right="19" w:firstLine="2"/>
              <w:jc w:val="center"/>
              <w:rPr>
                <w:rFonts w:ascii="Arial" w:hAnsi="Arial" w:cs="Arial"/>
                <w:sz w:val="14"/>
                <w:szCs w:val="14"/>
              </w:rPr>
            </w:pPr>
          </w:p>
          <w:p w14:paraId="7B452826" w14:textId="77777777" w:rsidR="00E541EE" w:rsidRDefault="00E541EE" w:rsidP="00A84BB5">
            <w:pPr>
              <w:widowControl w:val="0"/>
              <w:autoSpaceDE w:val="0"/>
              <w:autoSpaceDN w:val="0"/>
              <w:ind w:left="28" w:right="19" w:firstLine="2"/>
              <w:jc w:val="center"/>
              <w:rPr>
                <w:rFonts w:ascii="Arial" w:hAnsi="Arial" w:cs="Arial"/>
                <w:sz w:val="14"/>
                <w:szCs w:val="14"/>
              </w:rPr>
            </w:pPr>
          </w:p>
          <w:p w14:paraId="27222DF2" w14:textId="77777777" w:rsidR="00E541EE" w:rsidRPr="00BE146C" w:rsidRDefault="00E541EE" w:rsidP="00A84BB5">
            <w:pPr>
              <w:widowControl w:val="0"/>
              <w:autoSpaceDE w:val="0"/>
              <w:autoSpaceDN w:val="0"/>
              <w:ind w:left="28" w:right="19" w:firstLine="2"/>
              <w:jc w:val="center"/>
              <w:rPr>
                <w:rFonts w:ascii="Arial" w:hAnsi="Arial" w:cs="Arial"/>
                <w:sz w:val="14"/>
                <w:szCs w:val="14"/>
              </w:rPr>
            </w:pPr>
            <w:r w:rsidRPr="00BE146C">
              <w:rPr>
                <w:rFonts w:ascii="Arial" w:hAnsi="Arial" w:cs="Arial"/>
                <w:sz w:val="14"/>
                <w:szCs w:val="14"/>
              </w:rPr>
              <w:t xml:space="preserve">2.3.Veća uključivost i socijalna osjetljivost društva. </w:t>
            </w:r>
          </w:p>
          <w:p w14:paraId="6549655E" w14:textId="77777777" w:rsidR="00E541EE" w:rsidRPr="00BE146C" w:rsidRDefault="00E541EE" w:rsidP="00A84BB5">
            <w:pPr>
              <w:widowControl w:val="0"/>
              <w:autoSpaceDE w:val="0"/>
              <w:autoSpaceDN w:val="0"/>
              <w:ind w:left="28" w:right="19" w:firstLine="2"/>
              <w:jc w:val="center"/>
              <w:rPr>
                <w:rFonts w:ascii="Arial" w:hAnsi="Arial" w:cs="Arial"/>
                <w:sz w:val="14"/>
                <w:szCs w:val="14"/>
              </w:rPr>
            </w:pPr>
          </w:p>
        </w:tc>
        <w:tc>
          <w:tcPr>
            <w:tcW w:w="507" w:type="pct"/>
            <w:vMerge w:val="restart"/>
            <w:tcBorders>
              <w:right w:val="single" w:sz="4" w:space="0" w:color="auto"/>
            </w:tcBorders>
            <w:shd w:val="clear" w:color="auto" w:fill="FFF1CC"/>
          </w:tcPr>
          <w:p w14:paraId="4BC2B9CA" w14:textId="77777777" w:rsidR="00E541EE" w:rsidRPr="00BE146C" w:rsidRDefault="00E541EE" w:rsidP="00A84BB5">
            <w:pPr>
              <w:widowControl w:val="0"/>
              <w:autoSpaceDE w:val="0"/>
              <w:autoSpaceDN w:val="0"/>
              <w:spacing w:before="7"/>
              <w:rPr>
                <w:rFonts w:ascii="Arial" w:hAnsi="Arial" w:cs="Arial"/>
                <w:sz w:val="14"/>
                <w:szCs w:val="14"/>
              </w:rPr>
            </w:pPr>
          </w:p>
          <w:p w14:paraId="085E50C7" w14:textId="77777777" w:rsidR="00E541EE" w:rsidRDefault="00E541EE" w:rsidP="00A84BB5">
            <w:pPr>
              <w:widowControl w:val="0"/>
              <w:autoSpaceDE w:val="0"/>
              <w:autoSpaceDN w:val="0"/>
              <w:ind w:left="74" w:right="63" w:hanging="4"/>
              <w:rPr>
                <w:rFonts w:ascii="Arial" w:hAnsi="Arial" w:cs="Arial"/>
                <w:sz w:val="14"/>
                <w:szCs w:val="14"/>
              </w:rPr>
            </w:pPr>
          </w:p>
          <w:p w14:paraId="254DA654" w14:textId="77777777" w:rsidR="00E541EE" w:rsidRDefault="00E541EE" w:rsidP="00A84BB5">
            <w:pPr>
              <w:widowControl w:val="0"/>
              <w:autoSpaceDE w:val="0"/>
              <w:autoSpaceDN w:val="0"/>
              <w:ind w:left="74" w:right="63" w:hanging="4"/>
              <w:rPr>
                <w:rFonts w:ascii="Arial" w:hAnsi="Arial" w:cs="Arial"/>
                <w:sz w:val="14"/>
                <w:szCs w:val="14"/>
              </w:rPr>
            </w:pPr>
          </w:p>
          <w:p w14:paraId="2EF2BBA9" w14:textId="77777777" w:rsidR="00E541EE" w:rsidRDefault="00E541EE" w:rsidP="00A84BB5">
            <w:pPr>
              <w:widowControl w:val="0"/>
              <w:autoSpaceDE w:val="0"/>
              <w:autoSpaceDN w:val="0"/>
              <w:ind w:left="74" w:right="63" w:hanging="4"/>
              <w:rPr>
                <w:rFonts w:ascii="Arial" w:hAnsi="Arial" w:cs="Arial"/>
                <w:sz w:val="14"/>
                <w:szCs w:val="14"/>
              </w:rPr>
            </w:pPr>
          </w:p>
          <w:p w14:paraId="3115FF63" w14:textId="77777777" w:rsidR="00E541EE" w:rsidRDefault="00E541EE" w:rsidP="00A84BB5">
            <w:pPr>
              <w:widowControl w:val="0"/>
              <w:autoSpaceDE w:val="0"/>
              <w:autoSpaceDN w:val="0"/>
              <w:ind w:left="74" w:right="63" w:hanging="4"/>
              <w:rPr>
                <w:rFonts w:ascii="Arial" w:hAnsi="Arial" w:cs="Arial"/>
                <w:sz w:val="14"/>
                <w:szCs w:val="14"/>
              </w:rPr>
            </w:pPr>
          </w:p>
          <w:p w14:paraId="33F34D43" w14:textId="77777777" w:rsidR="00E541EE" w:rsidRDefault="00E541EE" w:rsidP="00A84BB5">
            <w:pPr>
              <w:widowControl w:val="0"/>
              <w:autoSpaceDE w:val="0"/>
              <w:autoSpaceDN w:val="0"/>
              <w:ind w:left="74" w:right="63" w:hanging="4"/>
              <w:rPr>
                <w:rFonts w:ascii="Arial" w:hAnsi="Arial" w:cs="Arial"/>
                <w:sz w:val="14"/>
                <w:szCs w:val="14"/>
              </w:rPr>
            </w:pPr>
          </w:p>
          <w:p w14:paraId="17E7C415" w14:textId="77777777" w:rsidR="00E541EE" w:rsidRDefault="00E541EE" w:rsidP="00A84BB5">
            <w:pPr>
              <w:widowControl w:val="0"/>
              <w:autoSpaceDE w:val="0"/>
              <w:autoSpaceDN w:val="0"/>
              <w:ind w:left="74" w:right="63" w:hanging="4"/>
              <w:rPr>
                <w:rFonts w:ascii="Arial" w:hAnsi="Arial" w:cs="Arial"/>
                <w:sz w:val="14"/>
                <w:szCs w:val="14"/>
              </w:rPr>
            </w:pPr>
          </w:p>
          <w:p w14:paraId="315A0AB5" w14:textId="77777777" w:rsidR="00E541EE" w:rsidRDefault="00E541EE" w:rsidP="00A84BB5">
            <w:pPr>
              <w:widowControl w:val="0"/>
              <w:autoSpaceDE w:val="0"/>
              <w:autoSpaceDN w:val="0"/>
              <w:ind w:left="74" w:right="63" w:hanging="4"/>
              <w:rPr>
                <w:rFonts w:ascii="Arial" w:hAnsi="Arial" w:cs="Arial"/>
                <w:sz w:val="14"/>
                <w:szCs w:val="14"/>
              </w:rPr>
            </w:pPr>
          </w:p>
          <w:p w14:paraId="66599A9E" w14:textId="77777777" w:rsidR="00E541EE" w:rsidRDefault="00E541EE" w:rsidP="00A84BB5">
            <w:pPr>
              <w:widowControl w:val="0"/>
              <w:autoSpaceDE w:val="0"/>
              <w:autoSpaceDN w:val="0"/>
              <w:ind w:left="74" w:right="63" w:hanging="4"/>
              <w:rPr>
                <w:rFonts w:ascii="Arial" w:hAnsi="Arial" w:cs="Arial"/>
                <w:sz w:val="14"/>
                <w:szCs w:val="14"/>
              </w:rPr>
            </w:pPr>
          </w:p>
          <w:p w14:paraId="168D8993" w14:textId="77777777" w:rsidR="00E541EE" w:rsidRDefault="00E541EE" w:rsidP="00A84BB5">
            <w:pPr>
              <w:widowControl w:val="0"/>
              <w:autoSpaceDE w:val="0"/>
              <w:autoSpaceDN w:val="0"/>
              <w:ind w:left="74" w:right="63" w:hanging="4"/>
              <w:rPr>
                <w:rFonts w:ascii="Arial" w:hAnsi="Arial" w:cs="Arial"/>
                <w:sz w:val="14"/>
                <w:szCs w:val="14"/>
              </w:rPr>
            </w:pPr>
          </w:p>
          <w:p w14:paraId="4EE38EA3" w14:textId="77777777" w:rsidR="00E541EE" w:rsidRPr="00BE146C" w:rsidRDefault="00E541EE" w:rsidP="00A84BB5">
            <w:pPr>
              <w:widowControl w:val="0"/>
              <w:autoSpaceDE w:val="0"/>
              <w:autoSpaceDN w:val="0"/>
              <w:ind w:left="74" w:right="63" w:hanging="4"/>
              <w:rPr>
                <w:rFonts w:ascii="Arial" w:hAnsi="Arial" w:cs="Arial"/>
                <w:sz w:val="14"/>
                <w:szCs w:val="14"/>
              </w:rPr>
            </w:pPr>
            <w:r w:rsidRPr="00BE146C">
              <w:rPr>
                <w:rFonts w:ascii="Arial" w:hAnsi="Arial" w:cs="Arial"/>
                <w:sz w:val="14"/>
                <w:szCs w:val="14"/>
              </w:rPr>
              <w:t xml:space="preserve">P-1032 Program: Socijalna skrb </w:t>
            </w:r>
          </w:p>
        </w:tc>
        <w:tc>
          <w:tcPr>
            <w:tcW w:w="688" w:type="pct"/>
            <w:tcBorders>
              <w:top w:val="single" w:sz="4" w:space="0" w:color="auto"/>
              <w:left w:val="single" w:sz="4" w:space="0" w:color="auto"/>
              <w:bottom w:val="single" w:sz="4" w:space="0" w:color="auto"/>
              <w:right w:val="single" w:sz="4" w:space="0" w:color="auto"/>
            </w:tcBorders>
          </w:tcPr>
          <w:p w14:paraId="0AE3F2F0" w14:textId="77777777" w:rsidR="00E541EE" w:rsidRDefault="00E541EE" w:rsidP="00A84BB5">
            <w:pPr>
              <w:widowControl w:val="0"/>
              <w:autoSpaceDE w:val="0"/>
              <w:autoSpaceDN w:val="0"/>
              <w:spacing w:before="7"/>
              <w:jc w:val="center"/>
              <w:rPr>
                <w:rFonts w:ascii="Arial" w:eastAsia="Times New Roman" w:hAnsi="Arial" w:cs="Arial"/>
                <w:sz w:val="14"/>
                <w:szCs w:val="14"/>
              </w:rPr>
            </w:pPr>
          </w:p>
          <w:p w14:paraId="65EB8DFE" w14:textId="77777777" w:rsidR="00E541EE" w:rsidRDefault="00E541EE" w:rsidP="00A84BB5">
            <w:pPr>
              <w:widowControl w:val="0"/>
              <w:autoSpaceDE w:val="0"/>
              <w:autoSpaceDN w:val="0"/>
              <w:spacing w:before="7"/>
              <w:jc w:val="center"/>
              <w:rPr>
                <w:rFonts w:ascii="Arial" w:eastAsia="Times New Roman" w:hAnsi="Arial" w:cs="Arial"/>
                <w:sz w:val="14"/>
                <w:szCs w:val="14"/>
              </w:rPr>
            </w:pPr>
          </w:p>
          <w:p w14:paraId="18B33AF1" w14:textId="77777777" w:rsidR="00E541EE" w:rsidRDefault="00E541EE" w:rsidP="00A84BB5">
            <w:pPr>
              <w:widowControl w:val="0"/>
              <w:autoSpaceDE w:val="0"/>
              <w:autoSpaceDN w:val="0"/>
              <w:spacing w:before="7"/>
              <w:jc w:val="center"/>
              <w:rPr>
                <w:rFonts w:ascii="Arial" w:eastAsia="Times New Roman" w:hAnsi="Arial" w:cs="Arial"/>
                <w:sz w:val="14"/>
                <w:szCs w:val="14"/>
              </w:rPr>
            </w:pPr>
          </w:p>
          <w:p w14:paraId="2EE8F815" w14:textId="77777777" w:rsidR="00E541EE" w:rsidRDefault="00E541EE" w:rsidP="00A84BB5">
            <w:pPr>
              <w:widowControl w:val="0"/>
              <w:autoSpaceDE w:val="0"/>
              <w:autoSpaceDN w:val="0"/>
              <w:spacing w:before="7"/>
              <w:jc w:val="center"/>
              <w:rPr>
                <w:rFonts w:ascii="Arial" w:eastAsia="Times New Roman" w:hAnsi="Arial" w:cs="Arial"/>
                <w:sz w:val="14"/>
                <w:szCs w:val="14"/>
              </w:rPr>
            </w:pPr>
            <w:r w:rsidRPr="00BE146C">
              <w:rPr>
                <w:rFonts w:ascii="Arial" w:eastAsia="Times New Roman" w:hAnsi="Arial" w:cs="Arial"/>
                <w:sz w:val="14"/>
                <w:szCs w:val="14"/>
              </w:rPr>
              <w:t>13. Osiguranje i poboljšanje dostupnosti odgoja i obrazovanja djeci i roditeljima/starateljima</w:t>
            </w:r>
          </w:p>
          <w:p w14:paraId="3A8210E0" w14:textId="77777777" w:rsidR="00E541EE" w:rsidRDefault="00E541EE" w:rsidP="00A84BB5">
            <w:pPr>
              <w:widowControl w:val="0"/>
              <w:autoSpaceDE w:val="0"/>
              <w:autoSpaceDN w:val="0"/>
              <w:spacing w:before="7"/>
              <w:jc w:val="center"/>
              <w:rPr>
                <w:rFonts w:ascii="Arial" w:eastAsia="Times New Roman" w:hAnsi="Arial" w:cs="Arial"/>
                <w:sz w:val="14"/>
                <w:szCs w:val="14"/>
              </w:rPr>
            </w:pPr>
          </w:p>
          <w:p w14:paraId="2ACE33A6" w14:textId="77777777" w:rsidR="00E541EE" w:rsidRDefault="00E541EE" w:rsidP="00A84BB5">
            <w:pPr>
              <w:widowControl w:val="0"/>
              <w:autoSpaceDE w:val="0"/>
              <w:autoSpaceDN w:val="0"/>
              <w:spacing w:before="7"/>
              <w:jc w:val="center"/>
              <w:rPr>
                <w:rFonts w:ascii="Arial" w:eastAsia="Times New Roman" w:hAnsi="Arial" w:cs="Arial"/>
                <w:sz w:val="14"/>
                <w:szCs w:val="14"/>
              </w:rPr>
            </w:pPr>
          </w:p>
          <w:p w14:paraId="43A02BB7" w14:textId="77777777" w:rsidR="00E541EE" w:rsidRDefault="00E541EE" w:rsidP="00A84BB5">
            <w:pPr>
              <w:widowControl w:val="0"/>
              <w:autoSpaceDE w:val="0"/>
              <w:autoSpaceDN w:val="0"/>
              <w:spacing w:before="7"/>
              <w:jc w:val="center"/>
              <w:rPr>
                <w:rFonts w:ascii="Arial" w:eastAsia="Times New Roman" w:hAnsi="Arial" w:cs="Arial"/>
                <w:sz w:val="14"/>
                <w:szCs w:val="14"/>
              </w:rPr>
            </w:pPr>
          </w:p>
          <w:p w14:paraId="72B9DF19" w14:textId="77777777" w:rsidR="00E541EE" w:rsidRPr="00BE146C" w:rsidRDefault="00E541EE" w:rsidP="00A84BB5">
            <w:pPr>
              <w:widowControl w:val="0"/>
              <w:autoSpaceDE w:val="0"/>
              <w:autoSpaceDN w:val="0"/>
              <w:spacing w:before="7"/>
              <w:jc w:val="center"/>
              <w:rPr>
                <w:rFonts w:ascii="Arial" w:eastAsia="Times New Roman" w:hAnsi="Arial" w:cs="Arial"/>
                <w:sz w:val="14"/>
                <w:szCs w:val="14"/>
              </w:rPr>
            </w:pPr>
          </w:p>
          <w:p w14:paraId="5FB0B731" w14:textId="77777777" w:rsidR="00E541EE" w:rsidRDefault="00E541EE" w:rsidP="00A84BB5">
            <w:pPr>
              <w:widowControl w:val="0"/>
              <w:autoSpaceDE w:val="0"/>
              <w:autoSpaceDN w:val="0"/>
              <w:spacing w:before="7"/>
              <w:jc w:val="center"/>
              <w:rPr>
                <w:rFonts w:ascii="Arial" w:eastAsia="Times New Roman" w:hAnsi="Arial" w:cs="Arial"/>
                <w:sz w:val="14"/>
                <w:szCs w:val="14"/>
              </w:rPr>
            </w:pPr>
            <w:r w:rsidRPr="00BE146C">
              <w:rPr>
                <w:rFonts w:ascii="Arial" w:eastAsia="Times New Roman" w:hAnsi="Arial" w:cs="Arial"/>
                <w:sz w:val="14"/>
                <w:szCs w:val="14"/>
              </w:rPr>
              <w:t>21. Kreiranje, razvoj i pružanje socijalnih usluga u zajednici</w:t>
            </w:r>
          </w:p>
          <w:p w14:paraId="1970CF69" w14:textId="77777777" w:rsidR="00E541EE" w:rsidRDefault="00E541EE" w:rsidP="00A84BB5">
            <w:pPr>
              <w:widowControl w:val="0"/>
              <w:autoSpaceDE w:val="0"/>
              <w:autoSpaceDN w:val="0"/>
              <w:spacing w:before="7"/>
              <w:jc w:val="center"/>
              <w:rPr>
                <w:rFonts w:ascii="Arial" w:hAnsi="Arial" w:cs="Arial"/>
                <w:sz w:val="14"/>
                <w:szCs w:val="14"/>
              </w:rPr>
            </w:pPr>
          </w:p>
          <w:p w14:paraId="17D1A53F" w14:textId="77777777" w:rsidR="00E541EE" w:rsidRDefault="00E541EE" w:rsidP="00A84BB5">
            <w:pPr>
              <w:widowControl w:val="0"/>
              <w:autoSpaceDE w:val="0"/>
              <w:autoSpaceDN w:val="0"/>
              <w:spacing w:before="7"/>
              <w:jc w:val="center"/>
              <w:rPr>
                <w:rFonts w:ascii="Arial" w:hAnsi="Arial" w:cs="Arial"/>
                <w:sz w:val="14"/>
                <w:szCs w:val="14"/>
              </w:rPr>
            </w:pPr>
          </w:p>
          <w:p w14:paraId="60BD1AE8" w14:textId="77777777" w:rsidR="00E541EE" w:rsidRDefault="00E541EE" w:rsidP="00A84BB5">
            <w:pPr>
              <w:widowControl w:val="0"/>
              <w:autoSpaceDE w:val="0"/>
              <w:autoSpaceDN w:val="0"/>
              <w:spacing w:before="7"/>
              <w:jc w:val="center"/>
              <w:rPr>
                <w:rFonts w:ascii="Arial" w:hAnsi="Arial" w:cs="Arial"/>
                <w:sz w:val="14"/>
                <w:szCs w:val="14"/>
              </w:rPr>
            </w:pPr>
          </w:p>
          <w:p w14:paraId="51BE18E3" w14:textId="77777777" w:rsidR="00E541EE" w:rsidRDefault="00E541EE" w:rsidP="00A84BB5">
            <w:pPr>
              <w:widowControl w:val="0"/>
              <w:autoSpaceDE w:val="0"/>
              <w:autoSpaceDN w:val="0"/>
              <w:spacing w:before="7"/>
              <w:jc w:val="center"/>
              <w:rPr>
                <w:rFonts w:ascii="Arial" w:hAnsi="Arial" w:cs="Arial"/>
                <w:sz w:val="14"/>
                <w:szCs w:val="14"/>
              </w:rPr>
            </w:pPr>
          </w:p>
          <w:p w14:paraId="04CD97CE" w14:textId="77777777" w:rsidR="00E541EE" w:rsidRDefault="00E541EE" w:rsidP="00A84BB5">
            <w:pPr>
              <w:widowControl w:val="0"/>
              <w:autoSpaceDE w:val="0"/>
              <w:autoSpaceDN w:val="0"/>
              <w:spacing w:before="7"/>
              <w:jc w:val="center"/>
              <w:rPr>
                <w:rFonts w:ascii="Arial" w:hAnsi="Arial" w:cs="Arial"/>
                <w:sz w:val="14"/>
                <w:szCs w:val="14"/>
              </w:rPr>
            </w:pPr>
          </w:p>
          <w:p w14:paraId="5E457D6B" w14:textId="77777777" w:rsidR="00E541EE" w:rsidRDefault="00E541EE" w:rsidP="00A84BB5">
            <w:pPr>
              <w:widowControl w:val="0"/>
              <w:autoSpaceDE w:val="0"/>
              <w:autoSpaceDN w:val="0"/>
              <w:spacing w:before="7"/>
              <w:jc w:val="center"/>
              <w:rPr>
                <w:rFonts w:ascii="Arial" w:hAnsi="Arial" w:cs="Arial"/>
                <w:sz w:val="14"/>
                <w:szCs w:val="14"/>
              </w:rPr>
            </w:pPr>
          </w:p>
          <w:p w14:paraId="2AE96BEE" w14:textId="77777777" w:rsidR="00E541EE" w:rsidRDefault="00E541EE" w:rsidP="00A84BB5">
            <w:pPr>
              <w:widowControl w:val="0"/>
              <w:autoSpaceDE w:val="0"/>
              <w:autoSpaceDN w:val="0"/>
              <w:spacing w:before="7"/>
              <w:jc w:val="center"/>
              <w:rPr>
                <w:rFonts w:ascii="Arial" w:hAnsi="Arial" w:cs="Arial"/>
                <w:sz w:val="14"/>
                <w:szCs w:val="14"/>
              </w:rPr>
            </w:pPr>
          </w:p>
          <w:p w14:paraId="57DE5F2E" w14:textId="77777777" w:rsidR="00E541EE" w:rsidRDefault="00E541EE" w:rsidP="00A84BB5">
            <w:pPr>
              <w:widowControl w:val="0"/>
              <w:autoSpaceDE w:val="0"/>
              <w:autoSpaceDN w:val="0"/>
              <w:spacing w:before="7"/>
              <w:jc w:val="center"/>
              <w:rPr>
                <w:rFonts w:ascii="Arial" w:hAnsi="Arial" w:cs="Arial"/>
                <w:sz w:val="14"/>
                <w:szCs w:val="14"/>
              </w:rPr>
            </w:pPr>
          </w:p>
          <w:p w14:paraId="08F639C3" w14:textId="77777777" w:rsidR="00E541EE" w:rsidRDefault="00E541EE" w:rsidP="00A84BB5">
            <w:pPr>
              <w:widowControl w:val="0"/>
              <w:autoSpaceDE w:val="0"/>
              <w:autoSpaceDN w:val="0"/>
              <w:spacing w:before="7"/>
              <w:jc w:val="center"/>
              <w:rPr>
                <w:rFonts w:ascii="Arial" w:hAnsi="Arial" w:cs="Arial"/>
                <w:sz w:val="14"/>
                <w:szCs w:val="14"/>
              </w:rPr>
            </w:pPr>
          </w:p>
          <w:p w14:paraId="69129D58" w14:textId="77777777" w:rsidR="00E541EE" w:rsidRDefault="00E541EE" w:rsidP="00A84BB5">
            <w:pPr>
              <w:widowControl w:val="0"/>
              <w:autoSpaceDE w:val="0"/>
              <w:autoSpaceDN w:val="0"/>
              <w:spacing w:before="7"/>
              <w:jc w:val="center"/>
              <w:rPr>
                <w:rFonts w:ascii="Arial" w:hAnsi="Arial" w:cs="Arial"/>
                <w:sz w:val="14"/>
                <w:szCs w:val="14"/>
              </w:rPr>
            </w:pPr>
          </w:p>
          <w:p w14:paraId="0A2B18F5" w14:textId="77777777" w:rsidR="00E541EE" w:rsidRDefault="00E541EE" w:rsidP="00A84BB5">
            <w:pPr>
              <w:widowControl w:val="0"/>
              <w:autoSpaceDE w:val="0"/>
              <w:autoSpaceDN w:val="0"/>
              <w:spacing w:before="7"/>
              <w:jc w:val="center"/>
              <w:rPr>
                <w:rFonts w:ascii="Arial" w:hAnsi="Arial" w:cs="Arial"/>
                <w:sz w:val="14"/>
                <w:szCs w:val="14"/>
              </w:rPr>
            </w:pPr>
          </w:p>
          <w:p w14:paraId="32691644" w14:textId="77777777" w:rsidR="00E541EE" w:rsidRPr="00BE146C" w:rsidRDefault="00E541EE" w:rsidP="00A84BB5">
            <w:pPr>
              <w:widowControl w:val="0"/>
              <w:autoSpaceDE w:val="0"/>
              <w:autoSpaceDN w:val="0"/>
              <w:spacing w:before="7"/>
              <w:jc w:val="center"/>
              <w:rPr>
                <w:rFonts w:ascii="Arial" w:hAnsi="Arial" w:cs="Arial"/>
                <w:sz w:val="14"/>
                <w:szCs w:val="14"/>
              </w:rPr>
            </w:pPr>
          </w:p>
        </w:tc>
        <w:tc>
          <w:tcPr>
            <w:tcW w:w="583" w:type="pct"/>
            <w:vMerge w:val="restart"/>
            <w:tcBorders>
              <w:top w:val="single" w:sz="4" w:space="0" w:color="auto"/>
              <w:left w:val="single" w:sz="4" w:space="0" w:color="auto"/>
              <w:bottom w:val="single" w:sz="4" w:space="0" w:color="auto"/>
              <w:right w:val="single" w:sz="4" w:space="0" w:color="auto"/>
            </w:tcBorders>
          </w:tcPr>
          <w:p w14:paraId="04880F71" w14:textId="77777777" w:rsidR="00E541EE" w:rsidRDefault="00E541EE" w:rsidP="00A84BB5">
            <w:pPr>
              <w:widowControl w:val="0"/>
              <w:autoSpaceDE w:val="0"/>
              <w:autoSpaceDN w:val="0"/>
              <w:jc w:val="center"/>
              <w:rPr>
                <w:rFonts w:ascii="Arial" w:hAnsi="Arial" w:cs="Arial"/>
                <w:sz w:val="14"/>
                <w:szCs w:val="14"/>
              </w:rPr>
            </w:pPr>
          </w:p>
          <w:p w14:paraId="72C50244" w14:textId="77777777" w:rsidR="00E541EE" w:rsidRDefault="00E541EE" w:rsidP="00A84BB5">
            <w:pPr>
              <w:widowControl w:val="0"/>
              <w:autoSpaceDE w:val="0"/>
              <w:autoSpaceDN w:val="0"/>
              <w:jc w:val="center"/>
              <w:rPr>
                <w:rFonts w:ascii="Arial" w:hAnsi="Arial" w:cs="Arial"/>
                <w:sz w:val="14"/>
                <w:szCs w:val="14"/>
              </w:rPr>
            </w:pPr>
          </w:p>
          <w:p w14:paraId="0AF4EEF5" w14:textId="77777777" w:rsidR="00E541EE" w:rsidRDefault="00E541EE" w:rsidP="00A84BB5">
            <w:pPr>
              <w:widowControl w:val="0"/>
              <w:autoSpaceDE w:val="0"/>
              <w:autoSpaceDN w:val="0"/>
              <w:jc w:val="center"/>
              <w:rPr>
                <w:rFonts w:ascii="Arial" w:hAnsi="Arial" w:cs="Arial"/>
                <w:sz w:val="14"/>
                <w:szCs w:val="14"/>
              </w:rPr>
            </w:pPr>
          </w:p>
          <w:p w14:paraId="717FD10B" w14:textId="77777777" w:rsidR="00E541EE" w:rsidRDefault="00E541EE" w:rsidP="00A84BB5">
            <w:pPr>
              <w:widowControl w:val="0"/>
              <w:autoSpaceDE w:val="0"/>
              <w:autoSpaceDN w:val="0"/>
              <w:jc w:val="center"/>
              <w:rPr>
                <w:rFonts w:ascii="Arial" w:hAnsi="Arial" w:cs="Arial"/>
                <w:sz w:val="14"/>
                <w:szCs w:val="14"/>
              </w:rPr>
            </w:pPr>
          </w:p>
          <w:p w14:paraId="4F837AFF" w14:textId="77777777" w:rsidR="00E541EE" w:rsidRDefault="00E541EE" w:rsidP="00A84BB5">
            <w:pPr>
              <w:widowControl w:val="0"/>
              <w:autoSpaceDE w:val="0"/>
              <w:autoSpaceDN w:val="0"/>
              <w:jc w:val="center"/>
              <w:rPr>
                <w:rFonts w:ascii="Arial" w:hAnsi="Arial" w:cs="Arial"/>
                <w:sz w:val="14"/>
                <w:szCs w:val="14"/>
              </w:rPr>
            </w:pPr>
          </w:p>
          <w:p w14:paraId="021266FA" w14:textId="77777777" w:rsidR="00E541EE" w:rsidRDefault="00E541EE" w:rsidP="00A84BB5">
            <w:pPr>
              <w:widowControl w:val="0"/>
              <w:autoSpaceDE w:val="0"/>
              <w:autoSpaceDN w:val="0"/>
              <w:jc w:val="center"/>
              <w:rPr>
                <w:rFonts w:ascii="Arial" w:hAnsi="Arial" w:cs="Arial"/>
                <w:sz w:val="14"/>
                <w:szCs w:val="14"/>
              </w:rPr>
            </w:pPr>
          </w:p>
          <w:p w14:paraId="17052C3C" w14:textId="77777777" w:rsidR="00E541EE" w:rsidRDefault="00E541EE" w:rsidP="00A84BB5">
            <w:pPr>
              <w:widowControl w:val="0"/>
              <w:autoSpaceDE w:val="0"/>
              <w:autoSpaceDN w:val="0"/>
              <w:jc w:val="center"/>
              <w:rPr>
                <w:rFonts w:ascii="Arial" w:hAnsi="Arial" w:cs="Arial"/>
                <w:sz w:val="14"/>
                <w:szCs w:val="14"/>
              </w:rPr>
            </w:pPr>
          </w:p>
          <w:p w14:paraId="3C7EC21B" w14:textId="77777777" w:rsidR="00E541EE" w:rsidRDefault="00E541EE" w:rsidP="00A84BB5">
            <w:pPr>
              <w:widowControl w:val="0"/>
              <w:autoSpaceDE w:val="0"/>
              <w:autoSpaceDN w:val="0"/>
              <w:jc w:val="center"/>
              <w:rPr>
                <w:rFonts w:ascii="Arial" w:hAnsi="Arial" w:cs="Arial"/>
                <w:sz w:val="14"/>
                <w:szCs w:val="14"/>
              </w:rPr>
            </w:pPr>
          </w:p>
          <w:p w14:paraId="65E95B26" w14:textId="77777777" w:rsidR="00E541EE" w:rsidRDefault="00E541EE" w:rsidP="00A84BB5">
            <w:pPr>
              <w:widowControl w:val="0"/>
              <w:autoSpaceDE w:val="0"/>
              <w:autoSpaceDN w:val="0"/>
              <w:jc w:val="center"/>
              <w:rPr>
                <w:rFonts w:ascii="Arial" w:hAnsi="Arial" w:cs="Arial"/>
                <w:sz w:val="14"/>
                <w:szCs w:val="14"/>
              </w:rPr>
            </w:pPr>
          </w:p>
          <w:p w14:paraId="445ABCBC" w14:textId="77777777" w:rsidR="00E541EE" w:rsidRDefault="00E541EE" w:rsidP="00A84BB5">
            <w:pPr>
              <w:widowControl w:val="0"/>
              <w:autoSpaceDE w:val="0"/>
              <w:autoSpaceDN w:val="0"/>
              <w:jc w:val="center"/>
              <w:rPr>
                <w:rFonts w:ascii="Arial" w:hAnsi="Arial" w:cs="Arial"/>
                <w:sz w:val="14"/>
                <w:szCs w:val="14"/>
              </w:rPr>
            </w:pPr>
          </w:p>
          <w:p w14:paraId="680762C5" w14:textId="77777777" w:rsidR="00E541EE" w:rsidRDefault="00E541EE" w:rsidP="00A84BB5">
            <w:pPr>
              <w:widowControl w:val="0"/>
              <w:autoSpaceDE w:val="0"/>
              <w:autoSpaceDN w:val="0"/>
              <w:jc w:val="center"/>
              <w:rPr>
                <w:rFonts w:ascii="Arial" w:hAnsi="Arial" w:cs="Arial"/>
                <w:sz w:val="14"/>
                <w:szCs w:val="14"/>
              </w:rPr>
            </w:pPr>
          </w:p>
          <w:p w14:paraId="7E64FDAC" w14:textId="77777777" w:rsidR="00E541EE" w:rsidRDefault="00E541EE" w:rsidP="00A84BB5">
            <w:pPr>
              <w:widowControl w:val="0"/>
              <w:autoSpaceDE w:val="0"/>
              <w:autoSpaceDN w:val="0"/>
              <w:jc w:val="center"/>
              <w:rPr>
                <w:rFonts w:ascii="Arial" w:hAnsi="Arial" w:cs="Arial"/>
                <w:sz w:val="14"/>
                <w:szCs w:val="14"/>
              </w:rPr>
            </w:pPr>
          </w:p>
          <w:p w14:paraId="0364B516" w14:textId="77777777" w:rsidR="00E541EE" w:rsidRDefault="00E541EE" w:rsidP="00A84BB5">
            <w:pPr>
              <w:widowControl w:val="0"/>
              <w:autoSpaceDE w:val="0"/>
              <w:autoSpaceDN w:val="0"/>
              <w:jc w:val="center"/>
              <w:rPr>
                <w:rFonts w:ascii="Arial" w:hAnsi="Arial" w:cs="Arial"/>
                <w:sz w:val="14"/>
                <w:szCs w:val="14"/>
              </w:rPr>
            </w:pPr>
          </w:p>
          <w:p w14:paraId="4983BB5F" w14:textId="77777777" w:rsidR="00E541EE" w:rsidRPr="00BE146C" w:rsidRDefault="00E541EE" w:rsidP="00A84BB5">
            <w:pPr>
              <w:widowControl w:val="0"/>
              <w:autoSpaceDE w:val="0"/>
              <w:autoSpaceDN w:val="0"/>
              <w:jc w:val="center"/>
              <w:rPr>
                <w:rFonts w:ascii="Arial" w:hAnsi="Arial" w:cs="Arial"/>
                <w:sz w:val="14"/>
                <w:szCs w:val="14"/>
              </w:rPr>
            </w:pPr>
            <w:r w:rsidRPr="00BE146C">
              <w:rPr>
                <w:rFonts w:ascii="Arial" w:hAnsi="Arial" w:cs="Arial"/>
                <w:sz w:val="14"/>
                <w:szCs w:val="14"/>
              </w:rPr>
              <w:t>1.0</w:t>
            </w:r>
            <w:r>
              <w:rPr>
                <w:rFonts w:ascii="Arial" w:hAnsi="Arial" w:cs="Arial"/>
                <w:sz w:val="14"/>
                <w:szCs w:val="14"/>
              </w:rPr>
              <w:t>9</w:t>
            </w:r>
            <w:r w:rsidRPr="00BE146C">
              <w:rPr>
                <w:rFonts w:ascii="Arial" w:hAnsi="Arial" w:cs="Arial"/>
                <w:sz w:val="14"/>
                <w:szCs w:val="14"/>
              </w:rPr>
              <w:t>9.847,00</w:t>
            </w:r>
          </w:p>
        </w:tc>
        <w:tc>
          <w:tcPr>
            <w:tcW w:w="480" w:type="pct"/>
            <w:vMerge w:val="restart"/>
            <w:tcBorders>
              <w:left w:val="single" w:sz="4" w:space="0" w:color="auto"/>
              <w:right w:val="single" w:sz="4" w:space="0" w:color="auto"/>
            </w:tcBorders>
          </w:tcPr>
          <w:p w14:paraId="5DB8160F" w14:textId="77777777" w:rsidR="00E541EE" w:rsidRDefault="00E541EE" w:rsidP="00A84BB5">
            <w:pPr>
              <w:jc w:val="center"/>
              <w:rPr>
                <w:rFonts w:ascii="Arial" w:hAnsi="Arial" w:cs="Arial"/>
                <w:sz w:val="14"/>
                <w:szCs w:val="14"/>
              </w:rPr>
            </w:pPr>
            <w:r w:rsidRPr="00BE146C">
              <w:rPr>
                <w:rFonts w:ascii="Arial" w:hAnsi="Arial" w:cs="Arial"/>
                <w:sz w:val="14"/>
                <w:szCs w:val="14"/>
              </w:rPr>
              <w:t>A 103201: Potpore korisnicima 1. i 2. kategorije</w:t>
            </w:r>
          </w:p>
          <w:p w14:paraId="7A332286" w14:textId="77777777" w:rsidR="00E541EE" w:rsidRDefault="00E541EE" w:rsidP="00A84BB5">
            <w:pPr>
              <w:jc w:val="center"/>
              <w:rPr>
                <w:rFonts w:ascii="Arial" w:hAnsi="Arial" w:cs="Arial"/>
                <w:sz w:val="14"/>
                <w:szCs w:val="14"/>
              </w:rPr>
            </w:pPr>
          </w:p>
          <w:p w14:paraId="16C07029" w14:textId="77777777" w:rsidR="00E541EE" w:rsidRPr="00BE146C" w:rsidRDefault="00E541EE" w:rsidP="00A84BB5">
            <w:pPr>
              <w:jc w:val="center"/>
              <w:rPr>
                <w:rFonts w:ascii="Arial" w:hAnsi="Arial" w:cs="Arial"/>
                <w:sz w:val="14"/>
                <w:szCs w:val="14"/>
              </w:rPr>
            </w:pPr>
            <w:r w:rsidRPr="00BE146C">
              <w:rPr>
                <w:rFonts w:ascii="Arial" w:hAnsi="Arial" w:cs="Arial"/>
                <w:sz w:val="14"/>
                <w:szCs w:val="14"/>
              </w:rPr>
              <w:t>A 103221: Sufinanciranje Dnevnog boravka u Domu za starije „Domenico Pergolis“</w:t>
            </w:r>
          </w:p>
          <w:p w14:paraId="6F9B8393" w14:textId="77777777" w:rsidR="00E541EE" w:rsidRPr="00BE146C" w:rsidRDefault="00E541EE" w:rsidP="00A84BB5">
            <w:pPr>
              <w:jc w:val="center"/>
              <w:rPr>
                <w:rFonts w:ascii="Arial" w:hAnsi="Arial" w:cs="Arial"/>
                <w:sz w:val="14"/>
                <w:szCs w:val="14"/>
              </w:rPr>
            </w:pPr>
            <w:r w:rsidRPr="00BE146C">
              <w:rPr>
                <w:rFonts w:ascii="Arial" w:hAnsi="Arial" w:cs="Arial"/>
                <w:sz w:val="14"/>
                <w:szCs w:val="14"/>
              </w:rPr>
              <w:t>A 103217: Aktivnosti udruga osoba s invaliditetom</w:t>
            </w:r>
          </w:p>
          <w:p w14:paraId="3C137E76" w14:textId="77777777" w:rsidR="00E541EE" w:rsidRDefault="00E541EE" w:rsidP="00A84BB5">
            <w:pPr>
              <w:jc w:val="center"/>
              <w:rPr>
                <w:rFonts w:ascii="Arial" w:hAnsi="Arial" w:cs="Arial"/>
                <w:sz w:val="14"/>
                <w:szCs w:val="14"/>
              </w:rPr>
            </w:pPr>
          </w:p>
          <w:p w14:paraId="52E7499C" w14:textId="77777777" w:rsidR="00E541EE" w:rsidRDefault="00E541EE" w:rsidP="00A84BB5">
            <w:pPr>
              <w:jc w:val="center"/>
              <w:rPr>
                <w:rFonts w:ascii="Arial" w:hAnsi="Arial" w:cs="Arial"/>
                <w:sz w:val="14"/>
                <w:szCs w:val="14"/>
              </w:rPr>
            </w:pPr>
          </w:p>
          <w:p w14:paraId="0DFFD039" w14:textId="77777777" w:rsidR="00E541EE" w:rsidRDefault="00E541EE" w:rsidP="00A84BB5">
            <w:pPr>
              <w:jc w:val="center"/>
              <w:rPr>
                <w:rFonts w:ascii="Arial" w:hAnsi="Arial" w:cs="Arial"/>
                <w:sz w:val="14"/>
                <w:szCs w:val="14"/>
              </w:rPr>
            </w:pPr>
          </w:p>
          <w:p w14:paraId="29E3D96C" w14:textId="77777777" w:rsidR="00E541EE" w:rsidRDefault="00E541EE" w:rsidP="00A84BB5">
            <w:pPr>
              <w:jc w:val="center"/>
              <w:rPr>
                <w:rFonts w:ascii="Arial" w:hAnsi="Arial" w:cs="Arial"/>
                <w:sz w:val="14"/>
                <w:szCs w:val="14"/>
              </w:rPr>
            </w:pPr>
          </w:p>
          <w:p w14:paraId="2518DF59" w14:textId="77777777" w:rsidR="00E541EE" w:rsidRDefault="00E541EE" w:rsidP="00A84BB5">
            <w:pPr>
              <w:jc w:val="center"/>
              <w:rPr>
                <w:rFonts w:ascii="Arial" w:hAnsi="Arial" w:cs="Arial"/>
                <w:sz w:val="14"/>
                <w:szCs w:val="14"/>
              </w:rPr>
            </w:pPr>
          </w:p>
          <w:p w14:paraId="463D2E60" w14:textId="77777777" w:rsidR="00E541EE" w:rsidRPr="00BE146C" w:rsidRDefault="00E541EE" w:rsidP="00A84BB5">
            <w:pPr>
              <w:jc w:val="center"/>
              <w:rPr>
                <w:rFonts w:ascii="Arial" w:hAnsi="Arial" w:cs="Arial"/>
                <w:sz w:val="14"/>
                <w:szCs w:val="14"/>
              </w:rPr>
            </w:pPr>
            <w:r w:rsidRPr="00BE146C">
              <w:rPr>
                <w:rFonts w:ascii="Arial" w:hAnsi="Arial" w:cs="Arial"/>
                <w:sz w:val="14"/>
                <w:szCs w:val="14"/>
              </w:rPr>
              <w:t>A 103211: Naknada razlike u cijeni stanovanja</w:t>
            </w:r>
          </w:p>
          <w:p w14:paraId="3428F8EF" w14:textId="77777777" w:rsidR="00E541EE" w:rsidRDefault="00E541EE" w:rsidP="00A84BB5">
            <w:pPr>
              <w:jc w:val="center"/>
              <w:rPr>
                <w:rFonts w:ascii="Arial" w:hAnsi="Arial" w:cs="Arial"/>
                <w:sz w:val="14"/>
                <w:szCs w:val="14"/>
              </w:rPr>
            </w:pPr>
          </w:p>
          <w:p w14:paraId="22E2BD6C" w14:textId="77777777" w:rsidR="00E541EE" w:rsidRDefault="00E541EE" w:rsidP="00A84BB5">
            <w:pPr>
              <w:jc w:val="center"/>
              <w:rPr>
                <w:rFonts w:ascii="Arial" w:hAnsi="Arial" w:cs="Arial"/>
                <w:sz w:val="14"/>
                <w:szCs w:val="14"/>
              </w:rPr>
            </w:pPr>
          </w:p>
          <w:p w14:paraId="6F898E7B" w14:textId="77777777" w:rsidR="00E541EE" w:rsidRPr="00BE146C" w:rsidRDefault="00E541EE" w:rsidP="00A84BB5">
            <w:pPr>
              <w:jc w:val="center"/>
              <w:rPr>
                <w:rFonts w:ascii="Arial" w:hAnsi="Arial" w:cs="Arial"/>
                <w:sz w:val="14"/>
                <w:szCs w:val="14"/>
              </w:rPr>
            </w:pPr>
            <w:r w:rsidRPr="00BE146C">
              <w:rPr>
                <w:rFonts w:ascii="Arial" w:hAnsi="Arial" w:cs="Arial"/>
                <w:sz w:val="14"/>
                <w:szCs w:val="14"/>
              </w:rPr>
              <w:t>A 103209: Naknada razlike u cijeni prijevoza učenika srednjih škola</w:t>
            </w:r>
          </w:p>
          <w:p w14:paraId="0B2BF202" w14:textId="77777777" w:rsidR="00E541EE" w:rsidRDefault="00E541EE" w:rsidP="00A84BB5">
            <w:pPr>
              <w:jc w:val="center"/>
              <w:rPr>
                <w:rFonts w:ascii="Arial" w:hAnsi="Arial" w:cs="Arial"/>
                <w:sz w:val="14"/>
                <w:szCs w:val="14"/>
              </w:rPr>
            </w:pPr>
          </w:p>
          <w:p w14:paraId="2FEFEACE" w14:textId="77777777" w:rsidR="00E541EE" w:rsidRPr="00BE146C" w:rsidRDefault="00E541EE" w:rsidP="00A84BB5">
            <w:pPr>
              <w:jc w:val="center"/>
              <w:rPr>
                <w:rFonts w:ascii="Arial" w:hAnsi="Arial" w:cs="Arial"/>
                <w:sz w:val="14"/>
                <w:szCs w:val="14"/>
              </w:rPr>
            </w:pPr>
            <w:r w:rsidRPr="00BE146C">
              <w:rPr>
                <w:rFonts w:ascii="Arial" w:hAnsi="Arial" w:cs="Arial"/>
                <w:sz w:val="14"/>
                <w:szCs w:val="14"/>
              </w:rPr>
              <w:t>A 103203: Jednokratne pomoći obiteljima, pojedincima i kućanstvima</w:t>
            </w:r>
          </w:p>
          <w:p w14:paraId="220F9D88" w14:textId="77777777" w:rsidR="00E541EE" w:rsidRDefault="00E541EE" w:rsidP="00A84BB5">
            <w:pPr>
              <w:jc w:val="center"/>
              <w:rPr>
                <w:rFonts w:ascii="Arial" w:hAnsi="Arial" w:cs="Arial"/>
                <w:sz w:val="14"/>
                <w:szCs w:val="14"/>
              </w:rPr>
            </w:pPr>
          </w:p>
          <w:p w14:paraId="4C1B22D4" w14:textId="77777777" w:rsidR="00E541EE" w:rsidRDefault="00E541EE" w:rsidP="00A84BB5">
            <w:pPr>
              <w:jc w:val="center"/>
              <w:rPr>
                <w:rFonts w:ascii="Arial" w:hAnsi="Arial" w:cs="Arial"/>
                <w:sz w:val="14"/>
                <w:szCs w:val="14"/>
              </w:rPr>
            </w:pPr>
          </w:p>
          <w:p w14:paraId="4813F03D" w14:textId="77777777" w:rsidR="00E541EE" w:rsidRDefault="00E541EE" w:rsidP="00A84BB5">
            <w:pPr>
              <w:jc w:val="center"/>
              <w:rPr>
                <w:rFonts w:ascii="Arial" w:hAnsi="Arial" w:cs="Arial"/>
                <w:sz w:val="14"/>
                <w:szCs w:val="14"/>
              </w:rPr>
            </w:pPr>
          </w:p>
          <w:p w14:paraId="3FF42A1A" w14:textId="77777777" w:rsidR="00E541EE" w:rsidRPr="00BE146C" w:rsidRDefault="00E541EE" w:rsidP="00A84BB5">
            <w:pPr>
              <w:jc w:val="center"/>
              <w:rPr>
                <w:rFonts w:ascii="Arial" w:hAnsi="Arial" w:cs="Arial"/>
                <w:sz w:val="14"/>
                <w:szCs w:val="14"/>
              </w:rPr>
            </w:pPr>
            <w:r w:rsidRPr="00BE146C">
              <w:rPr>
                <w:rFonts w:ascii="Arial" w:hAnsi="Arial" w:cs="Arial"/>
                <w:sz w:val="14"/>
                <w:szCs w:val="14"/>
              </w:rPr>
              <w:t>A 103204 Jednokratne pomoći za novorođenčad</w:t>
            </w:r>
          </w:p>
          <w:p w14:paraId="15000E66" w14:textId="77777777" w:rsidR="00E541EE" w:rsidRDefault="00E541EE" w:rsidP="00A84BB5">
            <w:pPr>
              <w:jc w:val="center"/>
              <w:rPr>
                <w:rFonts w:ascii="Arial" w:hAnsi="Arial" w:cs="Arial"/>
                <w:sz w:val="14"/>
                <w:szCs w:val="14"/>
              </w:rPr>
            </w:pPr>
          </w:p>
          <w:p w14:paraId="3E35288F" w14:textId="77777777" w:rsidR="00E541EE" w:rsidRDefault="00E541EE" w:rsidP="00A84BB5">
            <w:pPr>
              <w:jc w:val="center"/>
              <w:rPr>
                <w:rFonts w:ascii="Arial" w:hAnsi="Arial" w:cs="Arial"/>
                <w:sz w:val="14"/>
                <w:szCs w:val="14"/>
              </w:rPr>
            </w:pPr>
          </w:p>
          <w:p w14:paraId="1861D70F" w14:textId="77777777" w:rsidR="00E541EE" w:rsidRPr="00BE146C" w:rsidRDefault="00E541EE" w:rsidP="00A84BB5">
            <w:pPr>
              <w:jc w:val="center"/>
              <w:rPr>
                <w:rFonts w:ascii="Arial" w:hAnsi="Arial" w:cs="Arial"/>
                <w:sz w:val="14"/>
                <w:szCs w:val="14"/>
              </w:rPr>
            </w:pPr>
            <w:r w:rsidRPr="00BE146C">
              <w:rPr>
                <w:rFonts w:ascii="Arial" w:hAnsi="Arial" w:cs="Arial"/>
                <w:sz w:val="14"/>
                <w:szCs w:val="14"/>
              </w:rPr>
              <w:t>A103210 Naknada razlike u cijeni smještaja djece u dječje vrtiće</w:t>
            </w:r>
          </w:p>
          <w:p w14:paraId="7C841D82" w14:textId="77777777" w:rsidR="00E541EE" w:rsidRDefault="00E541EE" w:rsidP="00A84BB5">
            <w:pPr>
              <w:jc w:val="center"/>
              <w:rPr>
                <w:rFonts w:ascii="Arial" w:hAnsi="Arial" w:cs="Arial"/>
                <w:sz w:val="14"/>
                <w:szCs w:val="14"/>
              </w:rPr>
            </w:pPr>
          </w:p>
          <w:p w14:paraId="736CF3DE" w14:textId="77777777" w:rsidR="00E541EE" w:rsidRDefault="00E541EE" w:rsidP="00A84BB5">
            <w:pPr>
              <w:jc w:val="center"/>
              <w:rPr>
                <w:rFonts w:ascii="Arial" w:hAnsi="Arial" w:cs="Arial"/>
                <w:sz w:val="14"/>
                <w:szCs w:val="14"/>
              </w:rPr>
            </w:pPr>
          </w:p>
          <w:p w14:paraId="35D47E5D" w14:textId="77777777" w:rsidR="00E541EE" w:rsidRPr="00BE146C" w:rsidRDefault="00E541EE" w:rsidP="00A84BB5">
            <w:pPr>
              <w:jc w:val="center"/>
              <w:rPr>
                <w:rFonts w:ascii="Arial" w:hAnsi="Arial" w:cs="Arial"/>
                <w:sz w:val="14"/>
                <w:szCs w:val="14"/>
              </w:rPr>
            </w:pPr>
            <w:r w:rsidRPr="00BE146C">
              <w:rPr>
                <w:rFonts w:ascii="Arial" w:hAnsi="Arial" w:cs="Arial"/>
                <w:sz w:val="14"/>
                <w:szCs w:val="14"/>
              </w:rPr>
              <w:t>A: 103213 Prevencija ovisnosti i devijantnog ponašanja</w:t>
            </w:r>
          </w:p>
          <w:p w14:paraId="34009339" w14:textId="77777777" w:rsidR="00E541EE" w:rsidRDefault="00E541EE" w:rsidP="00A84BB5">
            <w:pPr>
              <w:jc w:val="center"/>
              <w:rPr>
                <w:rFonts w:ascii="Arial" w:hAnsi="Arial" w:cs="Arial"/>
                <w:sz w:val="14"/>
                <w:szCs w:val="14"/>
              </w:rPr>
            </w:pPr>
          </w:p>
          <w:p w14:paraId="151CB898" w14:textId="77777777" w:rsidR="00E541EE" w:rsidRDefault="00E541EE" w:rsidP="00A84BB5">
            <w:pPr>
              <w:jc w:val="center"/>
              <w:rPr>
                <w:rFonts w:ascii="Arial" w:hAnsi="Arial" w:cs="Arial"/>
                <w:sz w:val="14"/>
                <w:szCs w:val="14"/>
              </w:rPr>
            </w:pPr>
          </w:p>
          <w:p w14:paraId="09E24C41" w14:textId="77777777" w:rsidR="00E541EE" w:rsidRPr="00BE146C" w:rsidRDefault="00E541EE" w:rsidP="00A84BB5">
            <w:pPr>
              <w:jc w:val="center"/>
              <w:rPr>
                <w:rFonts w:ascii="Arial" w:hAnsi="Arial" w:cs="Arial"/>
                <w:sz w:val="14"/>
                <w:szCs w:val="14"/>
              </w:rPr>
            </w:pPr>
            <w:r w:rsidRPr="00BE146C">
              <w:rPr>
                <w:rFonts w:ascii="Arial" w:hAnsi="Arial" w:cs="Arial"/>
                <w:sz w:val="14"/>
                <w:szCs w:val="14"/>
              </w:rPr>
              <w:t>A: 103225 Zbrinjavanje osoba u beskućništvu</w:t>
            </w:r>
          </w:p>
          <w:p w14:paraId="49941375" w14:textId="77777777" w:rsidR="00E541EE" w:rsidRDefault="00E541EE" w:rsidP="00A84BB5">
            <w:pPr>
              <w:jc w:val="center"/>
              <w:rPr>
                <w:rFonts w:ascii="Arial" w:hAnsi="Arial" w:cs="Arial"/>
                <w:sz w:val="14"/>
                <w:szCs w:val="14"/>
              </w:rPr>
            </w:pPr>
          </w:p>
          <w:p w14:paraId="50BB5209" w14:textId="77777777" w:rsidR="00E541EE" w:rsidRDefault="00E541EE" w:rsidP="00A84BB5">
            <w:pPr>
              <w:jc w:val="center"/>
              <w:rPr>
                <w:rFonts w:ascii="Arial" w:hAnsi="Arial" w:cs="Arial"/>
                <w:sz w:val="14"/>
                <w:szCs w:val="14"/>
              </w:rPr>
            </w:pPr>
          </w:p>
          <w:p w14:paraId="3D46F7A4" w14:textId="77777777" w:rsidR="00E541EE" w:rsidRPr="00BE146C" w:rsidRDefault="00E541EE" w:rsidP="00A84BB5">
            <w:pPr>
              <w:jc w:val="center"/>
              <w:rPr>
                <w:rFonts w:ascii="Arial" w:hAnsi="Arial" w:cs="Arial"/>
                <w:sz w:val="14"/>
                <w:szCs w:val="14"/>
              </w:rPr>
            </w:pPr>
            <w:r w:rsidRPr="00BE146C">
              <w:rPr>
                <w:rFonts w:ascii="Arial" w:hAnsi="Arial" w:cs="Arial"/>
                <w:sz w:val="14"/>
                <w:szCs w:val="14"/>
              </w:rPr>
              <w:t>A 103215 Dnevni centar za rehabilitaciju Veruda-Pula</w:t>
            </w:r>
          </w:p>
          <w:p w14:paraId="66971648" w14:textId="77777777" w:rsidR="00E541EE" w:rsidRDefault="00E541EE" w:rsidP="00A84BB5">
            <w:pPr>
              <w:jc w:val="center"/>
              <w:rPr>
                <w:rFonts w:ascii="Arial" w:hAnsi="Arial" w:cs="Arial"/>
                <w:sz w:val="14"/>
                <w:szCs w:val="14"/>
              </w:rPr>
            </w:pPr>
          </w:p>
          <w:p w14:paraId="4D3EC1D7" w14:textId="77777777" w:rsidR="00E541EE" w:rsidRDefault="00E541EE" w:rsidP="00A84BB5">
            <w:pPr>
              <w:jc w:val="center"/>
              <w:rPr>
                <w:rFonts w:ascii="Arial" w:hAnsi="Arial" w:cs="Arial"/>
                <w:sz w:val="14"/>
                <w:szCs w:val="14"/>
              </w:rPr>
            </w:pPr>
          </w:p>
          <w:p w14:paraId="7B9F2E57" w14:textId="77777777" w:rsidR="00E541EE" w:rsidRPr="00BE146C" w:rsidRDefault="00E541EE" w:rsidP="00A84BB5">
            <w:pPr>
              <w:jc w:val="center"/>
              <w:rPr>
                <w:rFonts w:ascii="Arial" w:hAnsi="Arial" w:cs="Arial"/>
                <w:sz w:val="14"/>
                <w:szCs w:val="14"/>
              </w:rPr>
            </w:pPr>
            <w:r w:rsidRPr="00BE146C">
              <w:rPr>
                <w:rFonts w:ascii="Arial" w:hAnsi="Arial" w:cs="Arial"/>
                <w:sz w:val="14"/>
                <w:szCs w:val="14"/>
              </w:rPr>
              <w:t>A 103217 Aktivnosti udruga osoba s invaliditetom</w:t>
            </w:r>
          </w:p>
          <w:p w14:paraId="24C1CC9F" w14:textId="77777777" w:rsidR="00E541EE" w:rsidRDefault="00E541EE" w:rsidP="00A84BB5">
            <w:pPr>
              <w:jc w:val="center"/>
              <w:rPr>
                <w:rFonts w:ascii="Arial" w:hAnsi="Arial" w:cs="Arial"/>
                <w:sz w:val="14"/>
                <w:szCs w:val="14"/>
              </w:rPr>
            </w:pPr>
          </w:p>
          <w:p w14:paraId="39D3C3E8" w14:textId="77777777" w:rsidR="00E541EE" w:rsidRPr="00BE146C" w:rsidRDefault="00E541EE" w:rsidP="00A84BB5">
            <w:pPr>
              <w:jc w:val="center"/>
              <w:rPr>
                <w:rFonts w:ascii="Arial" w:hAnsi="Arial" w:cs="Arial"/>
                <w:sz w:val="14"/>
                <w:szCs w:val="14"/>
              </w:rPr>
            </w:pPr>
            <w:r w:rsidRPr="00BE146C">
              <w:rPr>
                <w:rFonts w:ascii="Arial" w:hAnsi="Arial" w:cs="Arial"/>
                <w:sz w:val="14"/>
                <w:szCs w:val="14"/>
              </w:rPr>
              <w:t>A: 103216 Sigurna kuća Istra</w:t>
            </w:r>
          </w:p>
          <w:p w14:paraId="0C0F7473" w14:textId="77777777" w:rsidR="00E541EE" w:rsidRDefault="00E541EE" w:rsidP="00A84BB5">
            <w:pPr>
              <w:jc w:val="center"/>
              <w:rPr>
                <w:rFonts w:ascii="Arial" w:hAnsi="Arial" w:cs="Arial"/>
                <w:sz w:val="14"/>
                <w:szCs w:val="14"/>
              </w:rPr>
            </w:pPr>
          </w:p>
          <w:p w14:paraId="47F31919" w14:textId="77777777" w:rsidR="00E541EE" w:rsidRDefault="00E541EE" w:rsidP="00A84BB5">
            <w:pPr>
              <w:jc w:val="center"/>
              <w:rPr>
                <w:rFonts w:ascii="Arial" w:hAnsi="Arial" w:cs="Arial"/>
                <w:sz w:val="14"/>
                <w:szCs w:val="14"/>
              </w:rPr>
            </w:pPr>
          </w:p>
          <w:p w14:paraId="5416AC32" w14:textId="77777777" w:rsidR="00E541EE" w:rsidRPr="00BE146C" w:rsidRDefault="00E541EE" w:rsidP="00A84BB5">
            <w:pPr>
              <w:jc w:val="center"/>
              <w:rPr>
                <w:rFonts w:ascii="Arial" w:hAnsi="Arial" w:cs="Arial"/>
                <w:sz w:val="14"/>
                <w:szCs w:val="14"/>
              </w:rPr>
            </w:pPr>
            <w:r w:rsidRPr="00BE146C">
              <w:rPr>
                <w:rFonts w:ascii="Arial" w:hAnsi="Arial" w:cs="Arial"/>
                <w:sz w:val="14"/>
                <w:szCs w:val="14"/>
              </w:rPr>
              <w:t>A: 103207 Ostale pomoći prema odluci o socijalnoj skrbi</w:t>
            </w:r>
          </w:p>
          <w:p w14:paraId="04D8EB62" w14:textId="77777777" w:rsidR="00E541EE" w:rsidRDefault="00E541EE" w:rsidP="00A84BB5">
            <w:pPr>
              <w:jc w:val="center"/>
              <w:rPr>
                <w:rFonts w:ascii="Arial" w:hAnsi="Arial" w:cs="Arial"/>
                <w:sz w:val="14"/>
                <w:szCs w:val="14"/>
              </w:rPr>
            </w:pPr>
          </w:p>
          <w:p w14:paraId="10CAD3B0" w14:textId="77777777" w:rsidR="00E541EE" w:rsidRDefault="00E541EE" w:rsidP="00A84BB5">
            <w:pPr>
              <w:jc w:val="center"/>
              <w:rPr>
                <w:rFonts w:ascii="Arial" w:hAnsi="Arial" w:cs="Arial"/>
                <w:sz w:val="14"/>
                <w:szCs w:val="14"/>
              </w:rPr>
            </w:pPr>
          </w:p>
          <w:p w14:paraId="5027CC8C" w14:textId="77777777" w:rsidR="00E541EE" w:rsidRDefault="00E541EE" w:rsidP="00A84BB5">
            <w:pPr>
              <w:jc w:val="center"/>
              <w:rPr>
                <w:rFonts w:ascii="Arial" w:hAnsi="Arial" w:cs="Arial"/>
                <w:sz w:val="14"/>
                <w:szCs w:val="14"/>
              </w:rPr>
            </w:pPr>
          </w:p>
          <w:p w14:paraId="21DEE6E3" w14:textId="77777777" w:rsidR="00E541EE" w:rsidRPr="00BE146C" w:rsidRDefault="00E541EE" w:rsidP="00A84BB5">
            <w:pPr>
              <w:jc w:val="center"/>
              <w:rPr>
                <w:rFonts w:ascii="Arial" w:hAnsi="Arial" w:cs="Arial"/>
                <w:sz w:val="14"/>
                <w:szCs w:val="14"/>
              </w:rPr>
            </w:pPr>
            <w:r w:rsidRPr="00BE146C">
              <w:rPr>
                <w:rFonts w:ascii="Arial" w:hAnsi="Arial" w:cs="Arial"/>
                <w:sz w:val="14"/>
                <w:szCs w:val="14"/>
              </w:rPr>
              <w:t>A:103201 Nabava vozila za prijevoz osoba s invaliditetom</w:t>
            </w:r>
          </w:p>
        </w:tc>
        <w:tc>
          <w:tcPr>
            <w:tcW w:w="458" w:type="pct"/>
            <w:tcBorders>
              <w:top w:val="single" w:sz="4" w:space="0" w:color="auto"/>
              <w:left w:val="single" w:sz="4" w:space="0" w:color="auto"/>
              <w:bottom w:val="single" w:sz="4" w:space="0" w:color="auto"/>
              <w:right w:val="single" w:sz="4" w:space="0" w:color="auto"/>
            </w:tcBorders>
          </w:tcPr>
          <w:p w14:paraId="7F4C45A3" w14:textId="77777777" w:rsidR="00E541EE" w:rsidRDefault="00E541EE" w:rsidP="00A84BB5">
            <w:pPr>
              <w:jc w:val="center"/>
              <w:rPr>
                <w:rFonts w:ascii="Arial" w:eastAsia="Times New Roman" w:hAnsi="Arial" w:cs="Arial"/>
                <w:sz w:val="14"/>
                <w:szCs w:val="14"/>
              </w:rPr>
            </w:pPr>
          </w:p>
          <w:p w14:paraId="2C1880BE" w14:textId="77777777" w:rsidR="00E541EE" w:rsidRDefault="00E541EE" w:rsidP="00A84BB5">
            <w:pPr>
              <w:jc w:val="center"/>
              <w:rPr>
                <w:rFonts w:ascii="Arial" w:eastAsia="Times New Roman" w:hAnsi="Arial" w:cs="Arial"/>
                <w:sz w:val="14"/>
                <w:szCs w:val="14"/>
              </w:rPr>
            </w:pPr>
          </w:p>
          <w:p w14:paraId="430FBCAF" w14:textId="77777777" w:rsidR="00E541EE" w:rsidRDefault="00E541EE" w:rsidP="00A84BB5">
            <w:pPr>
              <w:jc w:val="center"/>
              <w:rPr>
                <w:rFonts w:ascii="Arial" w:eastAsia="Times New Roman" w:hAnsi="Arial" w:cs="Arial"/>
                <w:sz w:val="14"/>
                <w:szCs w:val="14"/>
              </w:rPr>
            </w:pPr>
          </w:p>
          <w:p w14:paraId="4DC6603D" w14:textId="77777777" w:rsidR="00E541EE" w:rsidRDefault="00E541EE" w:rsidP="00A84BB5">
            <w:pPr>
              <w:jc w:val="center"/>
              <w:rPr>
                <w:rFonts w:ascii="Arial" w:eastAsia="Times New Roman" w:hAnsi="Arial" w:cs="Arial"/>
                <w:sz w:val="14"/>
                <w:szCs w:val="14"/>
              </w:rPr>
            </w:pPr>
          </w:p>
          <w:p w14:paraId="4E66D5C2" w14:textId="77777777" w:rsidR="00E541EE" w:rsidRDefault="00E541EE" w:rsidP="00A84BB5">
            <w:pPr>
              <w:jc w:val="center"/>
              <w:rPr>
                <w:rFonts w:ascii="Arial" w:eastAsia="Times New Roman" w:hAnsi="Arial" w:cs="Arial"/>
                <w:sz w:val="14"/>
                <w:szCs w:val="14"/>
              </w:rPr>
            </w:pPr>
          </w:p>
          <w:p w14:paraId="5A2345E5" w14:textId="77777777" w:rsidR="00E541EE" w:rsidRDefault="00E541EE" w:rsidP="00A84BB5">
            <w:pPr>
              <w:jc w:val="center"/>
              <w:rPr>
                <w:rFonts w:ascii="Arial" w:eastAsia="Times New Roman" w:hAnsi="Arial" w:cs="Arial"/>
                <w:sz w:val="14"/>
                <w:szCs w:val="14"/>
              </w:rPr>
            </w:pPr>
          </w:p>
          <w:p w14:paraId="163D5AE7" w14:textId="77777777" w:rsidR="00E541EE" w:rsidRDefault="00E541EE" w:rsidP="00A84BB5">
            <w:pPr>
              <w:jc w:val="center"/>
              <w:rPr>
                <w:rFonts w:ascii="Arial" w:eastAsia="Times New Roman" w:hAnsi="Arial" w:cs="Arial"/>
                <w:sz w:val="14"/>
                <w:szCs w:val="14"/>
              </w:rPr>
            </w:pPr>
          </w:p>
          <w:p w14:paraId="4AD51B4C" w14:textId="77777777" w:rsidR="00E541EE" w:rsidRDefault="00E541EE" w:rsidP="00A84BB5">
            <w:pPr>
              <w:jc w:val="center"/>
              <w:rPr>
                <w:rFonts w:ascii="Arial" w:eastAsia="Times New Roman" w:hAnsi="Arial" w:cs="Arial"/>
                <w:sz w:val="14"/>
                <w:szCs w:val="14"/>
              </w:rPr>
            </w:pPr>
          </w:p>
          <w:p w14:paraId="6C85021B" w14:textId="77777777" w:rsidR="00E541EE" w:rsidRDefault="00E541EE" w:rsidP="00A84BB5">
            <w:pPr>
              <w:jc w:val="center"/>
              <w:rPr>
                <w:rFonts w:ascii="Arial" w:eastAsia="Times New Roman" w:hAnsi="Arial" w:cs="Arial"/>
                <w:sz w:val="14"/>
                <w:szCs w:val="14"/>
              </w:rPr>
            </w:pPr>
          </w:p>
          <w:p w14:paraId="45AEBB4C" w14:textId="77777777" w:rsidR="00E541EE" w:rsidRDefault="00E541EE" w:rsidP="00A84BB5">
            <w:pPr>
              <w:jc w:val="center"/>
              <w:rPr>
                <w:rFonts w:ascii="Arial" w:eastAsia="Times New Roman" w:hAnsi="Arial" w:cs="Arial"/>
                <w:sz w:val="14"/>
                <w:szCs w:val="14"/>
              </w:rPr>
            </w:pPr>
          </w:p>
          <w:p w14:paraId="5B542541" w14:textId="77777777" w:rsidR="00E541EE" w:rsidRDefault="00E541EE" w:rsidP="00A84BB5">
            <w:pPr>
              <w:jc w:val="center"/>
              <w:rPr>
                <w:rFonts w:ascii="Arial" w:eastAsia="Times New Roman" w:hAnsi="Arial" w:cs="Arial"/>
                <w:sz w:val="14"/>
                <w:szCs w:val="14"/>
              </w:rPr>
            </w:pPr>
          </w:p>
          <w:p w14:paraId="462615DD" w14:textId="77777777" w:rsidR="00E541EE" w:rsidRDefault="00E541EE" w:rsidP="00A84BB5">
            <w:pPr>
              <w:jc w:val="center"/>
              <w:rPr>
                <w:rFonts w:ascii="Arial" w:eastAsia="Times New Roman" w:hAnsi="Arial" w:cs="Arial"/>
                <w:sz w:val="14"/>
                <w:szCs w:val="14"/>
              </w:rPr>
            </w:pPr>
          </w:p>
          <w:p w14:paraId="3E21A4AA" w14:textId="77777777" w:rsidR="00E541EE" w:rsidRDefault="00E541EE" w:rsidP="00A84BB5">
            <w:pPr>
              <w:jc w:val="center"/>
              <w:rPr>
                <w:rFonts w:ascii="Arial" w:eastAsia="Times New Roman" w:hAnsi="Arial" w:cs="Arial"/>
                <w:sz w:val="14"/>
                <w:szCs w:val="14"/>
              </w:rPr>
            </w:pPr>
          </w:p>
          <w:p w14:paraId="2BB6DE62" w14:textId="77777777" w:rsidR="00E541EE" w:rsidRDefault="00E541EE" w:rsidP="00A84BB5">
            <w:pPr>
              <w:jc w:val="center"/>
              <w:rPr>
                <w:rFonts w:ascii="Arial" w:eastAsia="Times New Roman" w:hAnsi="Arial" w:cs="Arial"/>
                <w:sz w:val="14"/>
                <w:szCs w:val="14"/>
              </w:rPr>
            </w:pPr>
          </w:p>
          <w:p w14:paraId="217E1A2A" w14:textId="77777777" w:rsidR="00E541EE" w:rsidRPr="00BE146C" w:rsidRDefault="00E541EE" w:rsidP="00A84BB5">
            <w:pPr>
              <w:jc w:val="center"/>
              <w:rPr>
                <w:rFonts w:ascii="Arial" w:eastAsia="Times New Roman" w:hAnsi="Arial" w:cs="Arial"/>
                <w:sz w:val="14"/>
                <w:szCs w:val="14"/>
              </w:rPr>
            </w:pPr>
            <w:r w:rsidRPr="00BE146C">
              <w:rPr>
                <w:rFonts w:ascii="Arial" w:eastAsia="Times New Roman" w:hAnsi="Arial" w:cs="Arial"/>
                <w:sz w:val="14"/>
                <w:szCs w:val="14"/>
              </w:rPr>
              <w:t>Broj učenika koji primaju subvencije za prijevoz i prehranu</w:t>
            </w:r>
          </w:p>
        </w:tc>
        <w:tc>
          <w:tcPr>
            <w:tcW w:w="431" w:type="pct"/>
            <w:tcBorders>
              <w:top w:val="single" w:sz="4" w:space="0" w:color="auto"/>
              <w:left w:val="single" w:sz="4" w:space="0" w:color="auto"/>
              <w:bottom w:val="single" w:sz="4" w:space="0" w:color="auto"/>
              <w:right w:val="single" w:sz="4" w:space="0" w:color="auto"/>
            </w:tcBorders>
          </w:tcPr>
          <w:p w14:paraId="7DBE7873" w14:textId="77777777" w:rsidR="00E541EE" w:rsidRDefault="00E541EE" w:rsidP="00A84BB5">
            <w:pPr>
              <w:jc w:val="center"/>
              <w:rPr>
                <w:rFonts w:ascii="Arial" w:eastAsia="Times New Roman" w:hAnsi="Arial" w:cs="Arial"/>
                <w:sz w:val="14"/>
                <w:szCs w:val="14"/>
              </w:rPr>
            </w:pPr>
          </w:p>
          <w:p w14:paraId="0F1FC0A7" w14:textId="77777777" w:rsidR="00E541EE" w:rsidRDefault="00E541EE" w:rsidP="00A84BB5">
            <w:pPr>
              <w:jc w:val="center"/>
              <w:rPr>
                <w:rFonts w:ascii="Arial" w:eastAsia="Times New Roman" w:hAnsi="Arial" w:cs="Arial"/>
                <w:sz w:val="14"/>
                <w:szCs w:val="14"/>
              </w:rPr>
            </w:pPr>
          </w:p>
          <w:p w14:paraId="502E774C" w14:textId="77777777" w:rsidR="00E541EE" w:rsidRDefault="00E541EE" w:rsidP="00A84BB5">
            <w:pPr>
              <w:jc w:val="center"/>
              <w:rPr>
                <w:rFonts w:ascii="Arial" w:eastAsia="Times New Roman" w:hAnsi="Arial" w:cs="Arial"/>
                <w:sz w:val="14"/>
                <w:szCs w:val="14"/>
              </w:rPr>
            </w:pPr>
          </w:p>
          <w:p w14:paraId="21A37408" w14:textId="77777777" w:rsidR="00E541EE" w:rsidRDefault="00E541EE" w:rsidP="00A84BB5">
            <w:pPr>
              <w:jc w:val="center"/>
              <w:rPr>
                <w:rFonts w:ascii="Arial" w:eastAsia="Times New Roman" w:hAnsi="Arial" w:cs="Arial"/>
                <w:sz w:val="14"/>
                <w:szCs w:val="14"/>
              </w:rPr>
            </w:pPr>
          </w:p>
          <w:p w14:paraId="16A70D15" w14:textId="77777777" w:rsidR="00E541EE" w:rsidRDefault="00E541EE" w:rsidP="00A84BB5">
            <w:pPr>
              <w:jc w:val="center"/>
              <w:rPr>
                <w:rFonts w:ascii="Arial" w:eastAsia="Times New Roman" w:hAnsi="Arial" w:cs="Arial"/>
                <w:sz w:val="14"/>
                <w:szCs w:val="14"/>
              </w:rPr>
            </w:pPr>
          </w:p>
          <w:p w14:paraId="21AD9E9F" w14:textId="77777777" w:rsidR="00E541EE" w:rsidRDefault="00E541EE" w:rsidP="00A84BB5">
            <w:pPr>
              <w:jc w:val="center"/>
              <w:rPr>
                <w:rFonts w:ascii="Arial" w:eastAsia="Times New Roman" w:hAnsi="Arial" w:cs="Arial"/>
                <w:sz w:val="14"/>
                <w:szCs w:val="14"/>
              </w:rPr>
            </w:pPr>
          </w:p>
          <w:p w14:paraId="1CAAF1E3" w14:textId="77777777" w:rsidR="00E541EE" w:rsidRDefault="00E541EE" w:rsidP="00A84BB5">
            <w:pPr>
              <w:jc w:val="center"/>
              <w:rPr>
                <w:rFonts w:ascii="Arial" w:eastAsia="Times New Roman" w:hAnsi="Arial" w:cs="Arial"/>
                <w:sz w:val="14"/>
                <w:szCs w:val="14"/>
              </w:rPr>
            </w:pPr>
          </w:p>
          <w:p w14:paraId="650E46D0" w14:textId="77777777" w:rsidR="00E541EE" w:rsidRDefault="00E541EE" w:rsidP="00A84BB5">
            <w:pPr>
              <w:jc w:val="center"/>
              <w:rPr>
                <w:rFonts w:ascii="Arial" w:eastAsia="Times New Roman" w:hAnsi="Arial" w:cs="Arial"/>
                <w:sz w:val="14"/>
                <w:szCs w:val="14"/>
              </w:rPr>
            </w:pPr>
          </w:p>
          <w:p w14:paraId="6FBF7FFD" w14:textId="77777777" w:rsidR="00E541EE" w:rsidRDefault="00E541EE" w:rsidP="00A84BB5">
            <w:pPr>
              <w:jc w:val="center"/>
              <w:rPr>
                <w:rFonts w:ascii="Arial" w:eastAsia="Times New Roman" w:hAnsi="Arial" w:cs="Arial"/>
                <w:sz w:val="14"/>
                <w:szCs w:val="14"/>
              </w:rPr>
            </w:pPr>
          </w:p>
          <w:p w14:paraId="209DF25E" w14:textId="77777777" w:rsidR="00E541EE" w:rsidRDefault="00E541EE" w:rsidP="00A84BB5">
            <w:pPr>
              <w:jc w:val="center"/>
              <w:rPr>
                <w:rFonts w:ascii="Arial" w:eastAsia="Times New Roman" w:hAnsi="Arial" w:cs="Arial"/>
                <w:sz w:val="14"/>
                <w:szCs w:val="14"/>
              </w:rPr>
            </w:pPr>
          </w:p>
          <w:p w14:paraId="6667B186" w14:textId="77777777" w:rsidR="00E541EE" w:rsidRDefault="00E541EE" w:rsidP="00A84BB5">
            <w:pPr>
              <w:jc w:val="center"/>
              <w:rPr>
                <w:rFonts w:ascii="Arial" w:eastAsia="Times New Roman" w:hAnsi="Arial" w:cs="Arial"/>
                <w:sz w:val="14"/>
                <w:szCs w:val="14"/>
              </w:rPr>
            </w:pPr>
          </w:p>
          <w:p w14:paraId="3312566B" w14:textId="77777777" w:rsidR="00E541EE" w:rsidRDefault="00E541EE" w:rsidP="00A84BB5">
            <w:pPr>
              <w:jc w:val="center"/>
              <w:rPr>
                <w:rFonts w:ascii="Arial" w:eastAsia="Times New Roman" w:hAnsi="Arial" w:cs="Arial"/>
                <w:sz w:val="14"/>
                <w:szCs w:val="14"/>
              </w:rPr>
            </w:pPr>
          </w:p>
          <w:p w14:paraId="618A208F" w14:textId="77777777" w:rsidR="00E541EE" w:rsidRDefault="00E541EE" w:rsidP="00A84BB5">
            <w:pPr>
              <w:jc w:val="center"/>
              <w:rPr>
                <w:rFonts w:ascii="Arial" w:eastAsia="Times New Roman" w:hAnsi="Arial" w:cs="Arial"/>
                <w:sz w:val="14"/>
                <w:szCs w:val="14"/>
              </w:rPr>
            </w:pPr>
          </w:p>
          <w:p w14:paraId="0B0FF80D" w14:textId="77777777" w:rsidR="00E541EE" w:rsidRDefault="00E541EE" w:rsidP="00A84BB5">
            <w:pPr>
              <w:jc w:val="center"/>
              <w:rPr>
                <w:rFonts w:ascii="Arial" w:eastAsia="Times New Roman" w:hAnsi="Arial" w:cs="Arial"/>
                <w:sz w:val="14"/>
                <w:szCs w:val="14"/>
              </w:rPr>
            </w:pPr>
          </w:p>
          <w:p w14:paraId="7EABC5FD" w14:textId="77777777" w:rsidR="00E541EE" w:rsidRPr="00BE146C" w:rsidRDefault="00E541EE" w:rsidP="00A84BB5">
            <w:pPr>
              <w:jc w:val="center"/>
              <w:rPr>
                <w:rFonts w:ascii="Arial" w:eastAsia="Times New Roman" w:hAnsi="Arial" w:cs="Arial"/>
                <w:sz w:val="14"/>
                <w:szCs w:val="14"/>
              </w:rPr>
            </w:pPr>
            <w:r w:rsidRPr="00BE146C">
              <w:rPr>
                <w:rFonts w:ascii="Arial" w:eastAsia="Times New Roman" w:hAnsi="Arial" w:cs="Arial"/>
                <w:sz w:val="14"/>
                <w:szCs w:val="14"/>
              </w:rPr>
              <w:t>400</w:t>
            </w:r>
          </w:p>
        </w:tc>
        <w:tc>
          <w:tcPr>
            <w:tcW w:w="280" w:type="pct"/>
            <w:tcBorders>
              <w:top w:val="single" w:sz="4" w:space="0" w:color="auto"/>
              <w:left w:val="single" w:sz="4" w:space="0" w:color="auto"/>
              <w:bottom w:val="single" w:sz="4" w:space="0" w:color="auto"/>
              <w:right w:val="single" w:sz="4" w:space="0" w:color="auto"/>
            </w:tcBorders>
          </w:tcPr>
          <w:p w14:paraId="1ED76EC0" w14:textId="77777777" w:rsidR="00E541EE" w:rsidRDefault="00E541EE" w:rsidP="00A84BB5">
            <w:pPr>
              <w:jc w:val="center"/>
              <w:rPr>
                <w:rFonts w:ascii="Arial" w:eastAsia="Times New Roman" w:hAnsi="Arial" w:cs="Arial"/>
                <w:sz w:val="14"/>
                <w:szCs w:val="14"/>
              </w:rPr>
            </w:pPr>
          </w:p>
          <w:p w14:paraId="49C08EB2" w14:textId="77777777" w:rsidR="00E541EE" w:rsidRDefault="00E541EE" w:rsidP="00A84BB5">
            <w:pPr>
              <w:jc w:val="center"/>
              <w:rPr>
                <w:rFonts w:ascii="Arial" w:eastAsia="Times New Roman" w:hAnsi="Arial" w:cs="Arial"/>
                <w:sz w:val="14"/>
                <w:szCs w:val="14"/>
              </w:rPr>
            </w:pPr>
          </w:p>
          <w:p w14:paraId="7B2F1F6C" w14:textId="77777777" w:rsidR="00E541EE" w:rsidRDefault="00E541EE" w:rsidP="00A84BB5">
            <w:pPr>
              <w:jc w:val="center"/>
              <w:rPr>
                <w:rFonts w:ascii="Arial" w:eastAsia="Times New Roman" w:hAnsi="Arial" w:cs="Arial"/>
                <w:sz w:val="14"/>
                <w:szCs w:val="14"/>
              </w:rPr>
            </w:pPr>
          </w:p>
          <w:p w14:paraId="59D56D7D" w14:textId="77777777" w:rsidR="00E541EE" w:rsidRDefault="00E541EE" w:rsidP="00A84BB5">
            <w:pPr>
              <w:jc w:val="center"/>
              <w:rPr>
                <w:rFonts w:ascii="Arial" w:eastAsia="Times New Roman" w:hAnsi="Arial" w:cs="Arial"/>
                <w:sz w:val="14"/>
                <w:szCs w:val="14"/>
              </w:rPr>
            </w:pPr>
          </w:p>
          <w:p w14:paraId="6BD64CF8" w14:textId="77777777" w:rsidR="00E541EE" w:rsidRDefault="00E541EE" w:rsidP="00A84BB5">
            <w:pPr>
              <w:jc w:val="center"/>
              <w:rPr>
                <w:rFonts w:ascii="Arial" w:eastAsia="Times New Roman" w:hAnsi="Arial" w:cs="Arial"/>
                <w:sz w:val="14"/>
                <w:szCs w:val="14"/>
              </w:rPr>
            </w:pPr>
          </w:p>
          <w:p w14:paraId="1753A9E7" w14:textId="77777777" w:rsidR="00E541EE" w:rsidRDefault="00E541EE" w:rsidP="00A84BB5">
            <w:pPr>
              <w:jc w:val="center"/>
              <w:rPr>
                <w:rFonts w:ascii="Arial" w:eastAsia="Times New Roman" w:hAnsi="Arial" w:cs="Arial"/>
                <w:sz w:val="14"/>
                <w:szCs w:val="14"/>
              </w:rPr>
            </w:pPr>
          </w:p>
          <w:p w14:paraId="7FA9B44B" w14:textId="77777777" w:rsidR="00E541EE" w:rsidRDefault="00E541EE" w:rsidP="00A84BB5">
            <w:pPr>
              <w:jc w:val="center"/>
              <w:rPr>
                <w:rFonts w:ascii="Arial" w:eastAsia="Times New Roman" w:hAnsi="Arial" w:cs="Arial"/>
                <w:sz w:val="14"/>
                <w:szCs w:val="14"/>
              </w:rPr>
            </w:pPr>
          </w:p>
          <w:p w14:paraId="2C7695FC" w14:textId="77777777" w:rsidR="00E541EE" w:rsidRDefault="00E541EE" w:rsidP="00A84BB5">
            <w:pPr>
              <w:jc w:val="center"/>
              <w:rPr>
                <w:rFonts w:ascii="Arial" w:eastAsia="Times New Roman" w:hAnsi="Arial" w:cs="Arial"/>
                <w:sz w:val="14"/>
                <w:szCs w:val="14"/>
              </w:rPr>
            </w:pPr>
          </w:p>
          <w:p w14:paraId="5C64BE62" w14:textId="77777777" w:rsidR="00E541EE" w:rsidRDefault="00E541EE" w:rsidP="00A84BB5">
            <w:pPr>
              <w:jc w:val="center"/>
              <w:rPr>
                <w:rFonts w:ascii="Arial" w:eastAsia="Times New Roman" w:hAnsi="Arial" w:cs="Arial"/>
                <w:sz w:val="14"/>
                <w:szCs w:val="14"/>
              </w:rPr>
            </w:pPr>
          </w:p>
          <w:p w14:paraId="1FE8ADA4" w14:textId="77777777" w:rsidR="00E541EE" w:rsidRDefault="00E541EE" w:rsidP="00A84BB5">
            <w:pPr>
              <w:jc w:val="center"/>
              <w:rPr>
                <w:rFonts w:ascii="Arial" w:eastAsia="Times New Roman" w:hAnsi="Arial" w:cs="Arial"/>
                <w:sz w:val="14"/>
                <w:szCs w:val="14"/>
              </w:rPr>
            </w:pPr>
          </w:p>
          <w:p w14:paraId="3C5A1F9B" w14:textId="77777777" w:rsidR="00E541EE" w:rsidRDefault="00E541EE" w:rsidP="00A84BB5">
            <w:pPr>
              <w:jc w:val="center"/>
              <w:rPr>
                <w:rFonts w:ascii="Arial" w:eastAsia="Times New Roman" w:hAnsi="Arial" w:cs="Arial"/>
                <w:sz w:val="14"/>
                <w:szCs w:val="14"/>
              </w:rPr>
            </w:pPr>
          </w:p>
          <w:p w14:paraId="687B4B88" w14:textId="77777777" w:rsidR="00E541EE" w:rsidRDefault="00E541EE" w:rsidP="00A84BB5">
            <w:pPr>
              <w:jc w:val="center"/>
              <w:rPr>
                <w:rFonts w:ascii="Arial" w:eastAsia="Times New Roman" w:hAnsi="Arial" w:cs="Arial"/>
                <w:sz w:val="14"/>
                <w:szCs w:val="14"/>
              </w:rPr>
            </w:pPr>
          </w:p>
          <w:p w14:paraId="5D0D9285" w14:textId="77777777" w:rsidR="00E541EE" w:rsidRDefault="00E541EE" w:rsidP="00A84BB5">
            <w:pPr>
              <w:jc w:val="center"/>
              <w:rPr>
                <w:rFonts w:ascii="Arial" w:eastAsia="Times New Roman" w:hAnsi="Arial" w:cs="Arial"/>
                <w:sz w:val="14"/>
                <w:szCs w:val="14"/>
              </w:rPr>
            </w:pPr>
          </w:p>
          <w:p w14:paraId="6CBAEAA8" w14:textId="77777777" w:rsidR="00E541EE" w:rsidRDefault="00E541EE" w:rsidP="00A84BB5">
            <w:pPr>
              <w:jc w:val="center"/>
              <w:rPr>
                <w:rFonts w:ascii="Arial" w:eastAsia="Times New Roman" w:hAnsi="Arial" w:cs="Arial"/>
                <w:sz w:val="14"/>
                <w:szCs w:val="14"/>
              </w:rPr>
            </w:pPr>
          </w:p>
          <w:p w14:paraId="59C90FEA" w14:textId="77777777" w:rsidR="00E541EE" w:rsidRPr="00BE146C" w:rsidRDefault="00E541EE" w:rsidP="00A84BB5">
            <w:pPr>
              <w:jc w:val="center"/>
              <w:rPr>
                <w:rFonts w:ascii="Arial" w:eastAsia="Times New Roman" w:hAnsi="Arial" w:cs="Arial"/>
                <w:sz w:val="14"/>
                <w:szCs w:val="14"/>
              </w:rPr>
            </w:pPr>
            <w:r w:rsidRPr="00BE146C">
              <w:rPr>
                <w:rFonts w:ascii="Arial" w:eastAsia="Times New Roman" w:hAnsi="Arial" w:cs="Arial"/>
                <w:sz w:val="14"/>
                <w:szCs w:val="14"/>
              </w:rPr>
              <w:t>400</w:t>
            </w:r>
          </w:p>
        </w:tc>
        <w:tc>
          <w:tcPr>
            <w:tcW w:w="356" w:type="pct"/>
            <w:tcBorders>
              <w:top w:val="single" w:sz="4" w:space="0" w:color="auto"/>
              <w:left w:val="single" w:sz="4" w:space="0" w:color="auto"/>
              <w:bottom w:val="single" w:sz="4" w:space="0" w:color="auto"/>
              <w:right w:val="single" w:sz="4" w:space="0" w:color="auto"/>
            </w:tcBorders>
          </w:tcPr>
          <w:p w14:paraId="1174589B" w14:textId="77777777" w:rsidR="00E541EE" w:rsidRDefault="00E541EE" w:rsidP="00A84BB5">
            <w:pPr>
              <w:jc w:val="center"/>
              <w:rPr>
                <w:rFonts w:ascii="Arial" w:eastAsia="Times New Roman" w:hAnsi="Arial" w:cs="Arial"/>
                <w:sz w:val="14"/>
                <w:szCs w:val="14"/>
              </w:rPr>
            </w:pPr>
          </w:p>
          <w:p w14:paraId="3777E88F" w14:textId="77777777" w:rsidR="00E541EE" w:rsidRDefault="00E541EE" w:rsidP="00A84BB5">
            <w:pPr>
              <w:jc w:val="center"/>
              <w:rPr>
                <w:rFonts w:ascii="Arial" w:eastAsia="Times New Roman" w:hAnsi="Arial" w:cs="Arial"/>
                <w:sz w:val="14"/>
                <w:szCs w:val="14"/>
              </w:rPr>
            </w:pPr>
          </w:p>
          <w:p w14:paraId="0E217CE9" w14:textId="77777777" w:rsidR="00E541EE" w:rsidRDefault="00E541EE" w:rsidP="00A84BB5">
            <w:pPr>
              <w:jc w:val="center"/>
              <w:rPr>
                <w:rFonts w:ascii="Arial" w:eastAsia="Times New Roman" w:hAnsi="Arial" w:cs="Arial"/>
                <w:sz w:val="14"/>
                <w:szCs w:val="14"/>
              </w:rPr>
            </w:pPr>
          </w:p>
          <w:p w14:paraId="35C1AAA5" w14:textId="77777777" w:rsidR="00E541EE" w:rsidRDefault="00E541EE" w:rsidP="00A84BB5">
            <w:pPr>
              <w:jc w:val="center"/>
              <w:rPr>
                <w:rFonts w:ascii="Arial" w:eastAsia="Times New Roman" w:hAnsi="Arial" w:cs="Arial"/>
                <w:sz w:val="14"/>
                <w:szCs w:val="14"/>
              </w:rPr>
            </w:pPr>
          </w:p>
          <w:p w14:paraId="61BC5807" w14:textId="77777777" w:rsidR="00E541EE" w:rsidRDefault="00E541EE" w:rsidP="00A84BB5">
            <w:pPr>
              <w:jc w:val="center"/>
              <w:rPr>
                <w:rFonts w:ascii="Arial" w:eastAsia="Times New Roman" w:hAnsi="Arial" w:cs="Arial"/>
                <w:sz w:val="14"/>
                <w:szCs w:val="14"/>
              </w:rPr>
            </w:pPr>
          </w:p>
          <w:p w14:paraId="1189E774" w14:textId="77777777" w:rsidR="00E541EE" w:rsidRDefault="00E541EE" w:rsidP="00A84BB5">
            <w:pPr>
              <w:jc w:val="center"/>
              <w:rPr>
                <w:rFonts w:ascii="Arial" w:eastAsia="Times New Roman" w:hAnsi="Arial" w:cs="Arial"/>
                <w:sz w:val="14"/>
                <w:szCs w:val="14"/>
              </w:rPr>
            </w:pPr>
          </w:p>
          <w:p w14:paraId="7280F79F" w14:textId="77777777" w:rsidR="00E541EE" w:rsidRDefault="00E541EE" w:rsidP="00A84BB5">
            <w:pPr>
              <w:jc w:val="center"/>
              <w:rPr>
                <w:rFonts w:ascii="Arial" w:eastAsia="Times New Roman" w:hAnsi="Arial" w:cs="Arial"/>
                <w:sz w:val="14"/>
                <w:szCs w:val="14"/>
              </w:rPr>
            </w:pPr>
          </w:p>
          <w:p w14:paraId="58A88E97" w14:textId="77777777" w:rsidR="00E541EE" w:rsidRDefault="00E541EE" w:rsidP="00A84BB5">
            <w:pPr>
              <w:jc w:val="center"/>
              <w:rPr>
                <w:rFonts w:ascii="Arial" w:eastAsia="Times New Roman" w:hAnsi="Arial" w:cs="Arial"/>
                <w:sz w:val="14"/>
                <w:szCs w:val="14"/>
              </w:rPr>
            </w:pPr>
          </w:p>
          <w:p w14:paraId="55730C33" w14:textId="77777777" w:rsidR="00E541EE" w:rsidRDefault="00E541EE" w:rsidP="00A84BB5">
            <w:pPr>
              <w:jc w:val="center"/>
              <w:rPr>
                <w:rFonts w:ascii="Arial" w:eastAsia="Times New Roman" w:hAnsi="Arial" w:cs="Arial"/>
                <w:sz w:val="14"/>
                <w:szCs w:val="14"/>
              </w:rPr>
            </w:pPr>
          </w:p>
          <w:p w14:paraId="39A7D619" w14:textId="77777777" w:rsidR="00E541EE" w:rsidRDefault="00E541EE" w:rsidP="00A84BB5">
            <w:pPr>
              <w:jc w:val="center"/>
              <w:rPr>
                <w:rFonts w:ascii="Arial" w:eastAsia="Times New Roman" w:hAnsi="Arial" w:cs="Arial"/>
                <w:sz w:val="14"/>
                <w:szCs w:val="14"/>
              </w:rPr>
            </w:pPr>
          </w:p>
          <w:p w14:paraId="76CD4130" w14:textId="77777777" w:rsidR="00E541EE" w:rsidRDefault="00E541EE" w:rsidP="00A84BB5">
            <w:pPr>
              <w:rPr>
                <w:rFonts w:ascii="Arial" w:eastAsia="Times New Roman" w:hAnsi="Arial" w:cs="Arial"/>
                <w:sz w:val="14"/>
                <w:szCs w:val="14"/>
              </w:rPr>
            </w:pPr>
          </w:p>
          <w:p w14:paraId="3B4AD2E9" w14:textId="77777777" w:rsidR="00E541EE" w:rsidRDefault="00E541EE" w:rsidP="00A84BB5">
            <w:pPr>
              <w:jc w:val="center"/>
              <w:rPr>
                <w:rFonts w:ascii="Arial" w:eastAsia="Times New Roman" w:hAnsi="Arial" w:cs="Arial"/>
                <w:sz w:val="14"/>
                <w:szCs w:val="14"/>
              </w:rPr>
            </w:pPr>
          </w:p>
          <w:p w14:paraId="408A13E1" w14:textId="77777777" w:rsidR="00E541EE" w:rsidRDefault="00E541EE" w:rsidP="00A84BB5">
            <w:pPr>
              <w:jc w:val="center"/>
              <w:rPr>
                <w:rFonts w:ascii="Arial" w:eastAsia="Times New Roman" w:hAnsi="Arial" w:cs="Arial"/>
                <w:sz w:val="14"/>
                <w:szCs w:val="14"/>
              </w:rPr>
            </w:pPr>
          </w:p>
          <w:p w14:paraId="0C297369" w14:textId="77777777" w:rsidR="00E541EE" w:rsidRDefault="00E541EE" w:rsidP="00A84BB5">
            <w:pPr>
              <w:jc w:val="center"/>
              <w:rPr>
                <w:rFonts w:ascii="Arial" w:eastAsia="Times New Roman" w:hAnsi="Arial" w:cs="Arial"/>
                <w:sz w:val="14"/>
                <w:szCs w:val="14"/>
              </w:rPr>
            </w:pPr>
          </w:p>
          <w:p w14:paraId="2D3D405D" w14:textId="77777777" w:rsidR="00E541EE" w:rsidRPr="00BE146C" w:rsidRDefault="00E541EE" w:rsidP="00A84BB5">
            <w:pPr>
              <w:jc w:val="center"/>
              <w:rPr>
                <w:rFonts w:ascii="Arial" w:eastAsia="Times New Roman" w:hAnsi="Arial" w:cs="Arial"/>
                <w:sz w:val="14"/>
                <w:szCs w:val="14"/>
              </w:rPr>
            </w:pPr>
            <w:r w:rsidRPr="00BE146C">
              <w:rPr>
                <w:rFonts w:ascii="Arial" w:eastAsia="Times New Roman" w:hAnsi="Arial" w:cs="Arial"/>
                <w:sz w:val="14"/>
                <w:szCs w:val="14"/>
              </w:rPr>
              <w:t>500</w:t>
            </w:r>
          </w:p>
        </w:tc>
        <w:tc>
          <w:tcPr>
            <w:tcW w:w="280" w:type="pct"/>
            <w:tcBorders>
              <w:top w:val="single" w:sz="4" w:space="0" w:color="auto"/>
              <w:left w:val="single" w:sz="4" w:space="0" w:color="auto"/>
              <w:bottom w:val="single" w:sz="4" w:space="0" w:color="auto"/>
              <w:right w:val="single" w:sz="4" w:space="0" w:color="auto"/>
            </w:tcBorders>
          </w:tcPr>
          <w:p w14:paraId="21DAF2A0" w14:textId="77777777" w:rsidR="00E541EE" w:rsidRDefault="00E541EE" w:rsidP="00A84BB5">
            <w:pPr>
              <w:jc w:val="center"/>
              <w:rPr>
                <w:rFonts w:ascii="Arial" w:eastAsia="Times New Roman" w:hAnsi="Arial" w:cs="Arial"/>
                <w:sz w:val="14"/>
                <w:szCs w:val="14"/>
              </w:rPr>
            </w:pPr>
          </w:p>
          <w:p w14:paraId="679A987F" w14:textId="77777777" w:rsidR="00E541EE" w:rsidRDefault="00E541EE" w:rsidP="00A84BB5">
            <w:pPr>
              <w:jc w:val="center"/>
              <w:rPr>
                <w:rFonts w:ascii="Arial" w:eastAsia="Times New Roman" w:hAnsi="Arial" w:cs="Arial"/>
                <w:sz w:val="14"/>
                <w:szCs w:val="14"/>
              </w:rPr>
            </w:pPr>
          </w:p>
          <w:p w14:paraId="30D93F11" w14:textId="77777777" w:rsidR="00E541EE" w:rsidRDefault="00E541EE" w:rsidP="00A84BB5">
            <w:pPr>
              <w:jc w:val="center"/>
              <w:rPr>
                <w:rFonts w:ascii="Arial" w:eastAsia="Times New Roman" w:hAnsi="Arial" w:cs="Arial"/>
                <w:sz w:val="14"/>
                <w:szCs w:val="14"/>
              </w:rPr>
            </w:pPr>
          </w:p>
          <w:p w14:paraId="19553D7B" w14:textId="77777777" w:rsidR="00E541EE" w:rsidRDefault="00E541EE" w:rsidP="00A84BB5">
            <w:pPr>
              <w:jc w:val="center"/>
              <w:rPr>
                <w:rFonts w:ascii="Arial" w:eastAsia="Times New Roman" w:hAnsi="Arial" w:cs="Arial"/>
                <w:sz w:val="14"/>
                <w:szCs w:val="14"/>
              </w:rPr>
            </w:pPr>
          </w:p>
          <w:p w14:paraId="7624440A" w14:textId="77777777" w:rsidR="00E541EE" w:rsidRDefault="00E541EE" w:rsidP="00A84BB5">
            <w:pPr>
              <w:jc w:val="center"/>
              <w:rPr>
                <w:rFonts w:ascii="Arial" w:eastAsia="Times New Roman" w:hAnsi="Arial" w:cs="Arial"/>
                <w:sz w:val="14"/>
                <w:szCs w:val="14"/>
              </w:rPr>
            </w:pPr>
          </w:p>
          <w:p w14:paraId="685321DA" w14:textId="77777777" w:rsidR="00E541EE" w:rsidRDefault="00E541EE" w:rsidP="00A84BB5">
            <w:pPr>
              <w:jc w:val="center"/>
              <w:rPr>
                <w:rFonts w:ascii="Arial" w:eastAsia="Times New Roman" w:hAnsi="Arial" w:cs="Arial"/>
                <w:sz w:val="14"/>
                <w:szCs w:val="14"/>
              </w:rPr>
            </w:pPr>
          </w:p>
          <w:p w14:paraId="58468987" w14:textId="77777777" w:rsidR="00E541EE" w:rsidRDefault="00E541EE" w:rsidP="00A84BB5">
            <w:pPr>
              <w:jc w:val="center"/>
              <w:rPr>
                <w:rFonts w:ascii="Arial" w:eastAsia="Times New Roman" w:hAnsi="Arial" w:cs="Arial"/>
                <w:sz w:val="14"/>
                <w:szCs w:val="14"/>
              </w:rPr>
            </w:pPr>
          </w:p>
          <w:p w14:paraId="2516D803" w14:textId="77777777" w:rsidR="00E541EE" w:rsidRDefault="00E541EE" w:rsidP="00A84BB5">
            <w:pPr>
              <w:jc w:val="center"/>
              <w:rPr>
                <w:rFonts w:ascii="Arial" w:eastAsia="Times New Roman" w:hAnsi="Arial" w:cs="Arial"/>
                <w:sz w:val="14"/>
                <w:szCs w:val="14"/>
              </w:rPr>
            </w:pPr>
          </w:p>
          <w:p w14:paraId="7869A801" w14:textId="77777777" w:rsidR="00E541EE" w:rsidRDefault="00E541EE" w:rsidP="00A84BB5">
            <w:pPr>
              <w:jc w:val="center"/>
              <w:rPr>
                <w:rFonts w:ascii="Arial" w:eastAsia="Times New Roman" w:hAnsi="Arial" w:cs="Arial"/>
                <w:sz w:val="14"/>
                <w:szCs w:val="14"/>
              </w:rPr>
            </w:pPr>
          </w:p>
          <w:p w14:paraId="085F220E" w14:textId="77777777" w:rsidR="00E541EE" w:rsidRDefault="00E541EE" w:rsidP="00A84BB5">
            <w:pPr>
              <w:jc w:val="center"/>
              <w:rPr>
                <w:rFonts w:ascii="Arial" w:eastAsia="Times New Roman" w:hAnsi="Arial" w:cs="Arial"/>
                <w:sz w:val="14"/>
                <w:szCs w:val="14"/>
              </w:rPr>
            </w:pPr>
          </w:p>
          <w:p w14:paraId="44AA37F2" w14:textId="77777777" w:rsidR="00E541EE" w:rsidRDefault="00E541EE" w:rsidP="00A84BB5">
            <w:pPr>
              <w:jc w:val="center"/>
              <w:rPr>
                <w:rFonts w:ascii="Arial" w:eastAsia="Times New Roman" w:hAnsi="Arial" w:cs="Arial"/>
                <w:sz w:val="14"/>
                <w:szCs w:val="14"/>
              </w:rPr>
            </w:pPr>
          </w:p>
          <w:p w14:paraId="513115FB" w14:textId="77777777" w:rsidR="00E541EE" w:rsidRDefault="00E541EE" w:rsidP="00A84BB5">
            <w:pPr>
              <w:jc w:val="center"/>
              <w:rPr>
                <w:rFonts w:ascii="Arial" w:eastAsia="Times New Roman" w:hAnsi="Arial" w:cs="Arial"/>
                <w:sz w:val="14"/>
                <w:szCs w:val="14"/>
              </w:rPr>
            </w:pPr>
          </w:p>
          <w:p w14:paraId="63251A91" w14:textId="77777777" w:rsidR="00E541EE" w:rsidRDefault="00E541EE" w:rsidP="00A84BB5">
            <w:pPr>
              <w:jc w:val="center"/>
              <w:rPr>
                <w:rFonts w:ascii="Arial" w:eastAsia="Times New Roman" w:hAnsi="Arial" w:cs="Arial"/>
                <w:sz w:val="14"/>
                <w:szCs w:val="14"/>
              </w:rPr>
            </w:pPr>
          </w:p>
          <w:p w14:paraId="21792B75" w14:textId="77777777" w:rsidR="00E541EE" w:rsidRDefault="00E541EE" w:rsidP="00A84BB5">
            <w:pPr>
              <w:jc w:val="center"/>
              <w:rPr>
                <w:rFonts w:ascii="Arial" w:eastAsia="Times New Roman" w:hAnsi="Arial" w:cs="Arial"/>
                <w:sz w:val="14"/>
                <w:szCs w:val="14"/>
              </w:rPr>
            </w:pPr>
          </w:p>
          <w:p w14:paraId="4084E7DE" w14:textId="77777777" w:rsidR="00E541EE" w:rsidRPr="00BE146C" w:rsidRDefault="00E541EE" w:rsidP="00A84BB5">
            <w:pPr>
              <w:jc w:val="center"/>
              <w:rPr>
                <w:rFonts w:ascii="Arial" w:eastAsia="Times New Roman" w:hAnsi="Arial" w:cs="Arial"/>
                <w:sz w:val="14"/>
                <w:szCs w:val="14"/>
              </w:rPr>
            </w:pPr>
            <w:r w:rsidRPr="00BE146C">
              <w:rPr>
                <w:rFonts w:ascii="Arial" w:eastAsia="Times New Roman" w:hAnsi="Arial" w:cs="Arial"/>
                <w:sz w:val="14"/>
                <w:szCs w:val="14"/>
              </w:rPr>
              <w:t>500</w:t>
            </w:r>
          </w:p>
        </w:tc>
      </w:tr>
      <w:tr w:rsidR="00E541EE" w:rsidRPr="00AC2206" w14:paraId="174A037C" w14:textId="77777777" w:rsidTr="00736B58">
        <w:trPr>
          <w:trHeight w:val="1550"/>
        </w:trPr>
        <w:tc>
          <w:tcPr>
            <w:tcW w:w="452" w:type="pct"/>
            <w:vMerge/>
          </w:tcPr>
          <w:p w14:paraId="7363F024" w14:textId="77777777" w:rsidR="00E541EE" w:rsidRPr="00BE146C" w:rsidRDefault="00E541EE" w:rsidP="00A84BB5">
            <w:pPr>
              <w:widowControl w:val="0"/>
              <w:autoSpaceDE w:val="0"/>
              <w:autoSpaceDN w:val="0"/>
              <w:spacing w:before="49"/>
              <w:ind w:left="44" w:right="35"/>
              <w:jc w:val="center"/>
              <w:rPr>
                <w:rFonts w:ascii="Arial" w:hAnsi="Arial" w:cs="Arial"/>
                <w:sz w:val="14"/>
                <w:szCs w:val="14"/>
              </w:rPr>
            </w:pPr>
          </w:p>
        </w:tc>
        <w:tc>
          <w:tcPr>
            <w:tcW w:w="486" w:type="pct"/>
            <w:vMerge/>
          </w:tcPr>
          <w:p w14:paraId="5C007D60" w14:textId="77777777" w:rsidR="00E541EE" w:rsidRPr="00BE146C" w:rsidRDefault="00E541EE" w:rsidP="00A84BB5">
            <w:pPr>
              <w:widowControl w:val="0"/>
              <w:autoSpaceDE w:val="0"/>
              <w:autoSpaceDN w:val="0"/>
              <w:ind w:left="28" w:right="19" w:firstLine="2"/>
              <w:jc w:val="center"/>
              <w:rPr>
                <w:rFonts w:ascii="Arial" w:hAnsi="Arial" w:cs="Arial"/>
                <w:sz w:val="14"/>
                <w:szCs w:val="14"/>
              </w:rPr>
            </w:pPr>
          </w:p>
        </w:tc>
        <w:tc>
          <w:tcPr>
            <w:tcW w:w="507" w:type="pct"/>
            <w:vMerge/>
            <w:tcBorders>
              <w:right w:val="single" w:sz="4" w:space="0" w:color="auto"/>
            </w:tcBorders>
            <w:shd w:val="clear" w:color="auto" w:fill="FFF1CC"/>
          </w:tcPr>
          <w:p w14:paraId="19D6C616" w14:textId="77777777" w:rsidR="00E541EE" w:rsidRPr="00BE146C" w:rsidRDefault="00E541EE" w:rsidP="00A84BB5">
            <w:pPr>
              <w:widowControl w:val="0"/>
              <w:autoSpaceDE w:val="0"/>
              <w:autoSpaceDN w:val="0"/>
              <w:ind w:left="74" w:right="63" w:hanging="4"/>
              <w:rPr>
                <w:rFonts w:ascii="Arial" w:hAnsi="Arial" w:cs="Arial"/>
                <w:sz w:val="14"/>
                <w:szCs w:val="14"/>
              </w:rPr>
            </w:pPr>
          </w:p>
        </w:tc>
        <w:tc>
          <w:tcPr>
            <w:tcW w:w="688" w:type="pct"/>
            <w:vMerge w:val="restart"/>
            <w:tcBorders>
              <w:top w:val="single" w:sz="4" w:space="0" w:color="auto"/>
              <w:left w:val="single" w:sz="4" w:space="0" w:color="auto"/>
              <w:bottom w:val="single" w:sz="4" w:space="0" w:color="auto"/>
              <w:right w:val="single" w:sz="4" w:space="0" w:color="auto"/>
            </w:tcBorders>
          </w:tcPr>
          <w:p w14:paraId="5F79F748" w14:textId="77777777" w:rsidR="00E541EE" w:rsidRDefault="00E541EE" w:rsidP="00A84BB5">
            <w:pPr>
              <w:widowControl w:val="0"/>
              <w:autoSpaceDE w:val="0"/>
              <w:autoSpaceDN w:val="0"/>
              <w:ind w:left="29" w:right="11" w:firstLine="9"/>
              <w:rPr>
                <w:rFonts w:ascii="Arial" w:eastAsia="Times New Roman" w:hAnsi="Arial" w:cs="Arial"/>
                <w:sz w:val="14"/>
                <w:szCs w:val="14"/>
              </w:rPr>
            </w:pPr>
          </w:p>
          <w:p w14:paraId="65107552" w14:textId="77777777" w:rsidR="00E541EE" w:rsidRDefault="00E541EE" w:rsidP="00A84BB5">
            <w:pPr>
              <w:widowControl w:val="0"/>
              <w:autoSpaceDE w:val="0"/>
              <w:autoSpaceDN w:val="0"/>
              <w:ind w:left="29" w:right="11" w:firstLine="9"/>
              <w:rPr>
                <w:rFonts w:ascii="Arial" w:eastAsia="Times New Roman" w:hAnsi="Arial" w:cs="Arial"/>
                <w:sz w:val="14"/>
                <w:szCs w:val="14"/>
              </w:rPr>
            </w:pPr>
          </w:p>
          <w:p w14:paraId="4371C7C5" w14:textId="77777777" w:rsidR="00E541EE" w:rsidRDefault="00E541EE" w:rsidP="00A84BB5">
            <w:pPr>
              <w:widowControl w:val="0"/>
              <w:autoSpaceDE w:val="0"/>
              <w:autoSpaceDN w:val="0"/>
              <w:ind w:left="29" w:right="11" w:firstLine="9"/>
              <w:rPr>
                <w:rFonts w:ascii="Arial" w:eastAsia="Times New Roman" w:hAnsi="Arial" w:cs="Arial"/>
                <w:sz w:val="14"/>
                <w:szCs w:val="14"/>
              </w:rPr>
            </w:pPr>
          </w:p>
          <w:p w14:paraId="7F09A981" w14:textId="77777777" w:rsidR="00E541EE" w:rsidRDefault="00E541EE" w:rsidP="00A84BB5">
            <w:pPr>
              <w:widowControl w:val="0"/>
              <w:autoSpaceDE w:val="0"/>
              <w:autoSpaceDN w:val="0"/>
              <w:ind w:left="29" w:right="11" w:firstLine="9"/>
              <w:rPr>
                <w:rFonts w:ascii="Arial" w:eastAsia="Times New Roman" w:hAnsi="Arial" w:cs="Arial"/>
                <w:sz w:val="14"/>
                <w:szCs w:val="14"/>
              </w:rPr>
            </w:pPr>
          </w:p>
          <w:p w14:paraId="30B8AB02" w14:textId="77777777" w:rsidR="00E541EE" w:rsidRDefault="00E541EE" w:rsidP="00A84BB5">
            <w:pPr>
              <w:widowControl w:val="0"/>
              <w:autoSpaceDE w:val="0"/>
              <w:autoSpaceDN w:val="0"/>
              <w:ind w:left="29" w:right="11" w:firstLine="9"/>
              <w:rPr>
                <w:rFonts w:ascii="Arial" w:eastAsia="Times New Roman" w:hAnsi="Arial" w:cs="Arial"/>
                <w:sz w:val="14"/>
                <w:szCs w:val="14"/>
              </w:rPr>
            </w:pPr>
          </w:p>
          <w:p w14:paraId="378529FE" w14:textId="77777777" w:rsidR="00E541EE" w:rsidRDefault="00E541EE" w:rsidP="00A84BB5">
            <w:pPr>
              <w:widowControl w:val="0"/>
              <w:autoSpaceDE w:val="0"/>
              <w:autoSpaceDN w:val="0"/>
              <w:ind w:left="29" w:right="11" w:firstLine="9"/>
              <w:rPr>
                <w:rFonts w:ascii="Arial" w:eastAsia="Times New Roman" w:hAnsi="Arial" w:cs="Arial"/>
                <w:sz w:val="14"/>
                <w:szCs w:val="14"/>
              </w:rPr>
            </w:pPr>
          </w:p>
          <w:p w14:paraId="0AA8CCF1" w14:textId="77777777" w:rsidR="00E541EE" w:rsidRDefault="00E541EE" w:rsidP="00A84BB5">
            <w:pPr>
              <w:widowControl w:val="0"/>
              <w:autoSpaceDE w:val="0"/>
              <w:autoSpaceDN w:val="0"/>
              <w:ind w:left="29" w:right="11" w:firstLine="9"/>
              <w:rPr>
                <w:rFonts w:ascii="Arial" w:eastAsia="Times New Roman" w:hAnsi="Arial" w:cs="Arial"/>
                <w:sz w:val="14"/>
                <w:szCs w:val="14"/>
              </w:rPr>
            </w:pPr>
          </w:p>
          <w:p w14:paraId="08CB00F6" w14:textId="77777777" w:rsidR="00E541EE" w:rsidRDefault="00E541EE" w:rsidP="00A84BB5">
            <w:pPr>
              <w:widowControl w:val="0"/>
              <w:autoSpaceDE w:val="0"/>
              <w:autoSpaceDN w:val="0"/>
              <w:ind w:left="29" w:right="11" w:firstLine="9"/>
              <w:rPr>
                <w:rFonts w:ascii="Arial" w:eastAsia="Times New Roman" w:hAnsi="Arial" w:cs="Arial"/>
                <w:sz w:val="14"/>
                <w:szCs w:val="14"/>
              </w:rPr>
            </w:pPr>
          </w:p>
          <w:p w14:paraId="6EF094D0" w14:textId="77777777" w:rsidR="00E541EE" w:rsidRDefault="00E541EE" w:rsidP="00A84BB5">
            <w:pPr>
              <w:widowControl w:val="0"/>
              <w:autoSpaceDE w:val="0"/>
              <w:autoSpaceDN w:val="0"/>
              <w:ind w:left="29" w:right="11" w:firstLine="9"/>
              <w:rPr>
                <w:rFonts w:ascii="Arial" w:eastAsia="Times New Roman" w:hAnsi="Arial" w:cs="Arial"/>
                <w:sz w:val="14"/>
                <w:szCs w:val="14"/>
              </w:rPr>
            </w:pPr>
          </w:p>
          <w:p w14:paraId="1E89D94A" w14:textId="77777777" w:rsidR="00E541EE" w:rsidRDefault="00E541EE" w:rsidP="00A84BB5">
            <w:pPr>
              <w:widowControl w:val="0"/>
              <w:autoSpaceDE w:val="0"/>
              <w:autoSpaceDN w:val="0"/>
              <w:ind w:left="29" w:right="11" w:firstLine="9"/>
              <w:rPr>
                <w:rFonts w:ascii="Arial" w:eastAsia="Times New Roman" w:hAnsi="Arial" w:cs="Arial"/>
                <w:sz w:val="14"/>
                <w:szCs w:val="14"/>
              </w:rPr>
            </w:pPr>
          </w:p>
          <w:p w14:paraId="2961AAC0" w14:textId="77777777" w:rsidR="00E541EE" w:rsidRDefault="00E541EE" w:rsidP="00A84BB5">
            <w:pPr>
              <w:widowControl w:val="0"/>
              <w:autoSpaceDE w:val="0"/>
              <w:autoSpaceDN w:val="0"/>
              <w:ind w:left="29" w:right="11" w:firstLine="9"/>
              <w:rPr>
                <w:rFonts w:ascii="Arial" w:eastAsia="Times New Roman" w:hAnsi="Arial" w:cs="Arial"/>
                <w:sz w:val="14"/>
                <w:szCs w:val="14"/>
              </w:rPr>
            </w:pPr>
          </w:p>
          <w:p w14:paraId="22E04A70" w14:textId="77777777" w:rsidR="00E541EE" w:rsidRDefault="00E541EE" w:rsidP="00A84BB5">
            <w:pPr>
              <w:widowControl w:val="0"/>
              <w:autoSpaceDE w:val="0"/>
              <w:autoSpaceDN w:val="0"/>
              <w:ind w:left="29" w:right="11" w:firstLine="9"/>
              <w:rPr>
                <w:rFonts w:ascii="Arial" w:eastAsia="Times New Roman" w:hAnsi="Arial" w:cs="Arial"/>
                <w:sz w:val="14"/>
                <w:szCs w:val="14"/>
              </w:rPr>
            </w:pPr>
          </w:p>
          <w:p w14:paraId="1194777E" w14:textId="77777777" w:rsidR="00E541EE" w:rsidRDefault="00E541EE" w:rsidP="00A84BB5">
            <w:pPr>
              <w:widowControl w:val="0"/>
              <w:autoSpaceDE w:val="0"/>
              <w:autoSpaceDN w:val="0"/>
              <w:ind w:left="29" w:right="11" w:firstLine="9"/>
              <w:rPr>
                <w:rFonts w:ascii="Arial" w:eastAsia="Times New Roman" w:hAnsi="Arial" w:cs="Arial"/>
                <w:sz w:val="14"/>
                <w:szCs w:val="14"/>
              </w:rPr>
            </w:pPr>
          </w:p>
          <w:p w14:paraId="07B8D739" w14:textId="77777777" w:rsidR="00E541EE" w:rsidRDefault="00E541EE" w:rsidP="00A84BB5">
            <w:pPr>
              <w:widowControl w:val="0"/>
              <w:autoSpaceDE w:val="0"/>
              <w:autoSpaceDN w:val="0"/>
              <w:ind w:left="29" w:right="11" w:firstLine="9"/>
              <w:jc w:val="center"/>
              <w:rPr>
                <w:rFonts w:ascii="Arial" w:eastAsia="Times New Roman" w:hAnsi="Arial" w:cs="Arial"/>
                <w:sz w:val="14"/>
                <w:szCs w:val="14"/>
              </w:rPr>
            </w:pPr>
          </w:p>
          <w:p w14:paraId="59254CE5" w14:textId="77777777" w:rsidR="00E541EE" w:rsidRDefault="00E541EE" w:rsidP="00A84BB5">
            <w:pPr>
              <w:widowControl w:val="0"/>
              <w:autoSpaceDE w:val="0"/>
              <w:autoSpaceDN w:val="0"/>
              <w:ind w:left="29" w:right="11" w:firstLine="9"/>
              <w:jc w:val="center"/>
              <w:rPr>
                <w:rFonts w:ascii="Arial" w:eastAsia="Times New Roman" w:hAnsi="Arial" w:cs="Arial"/>
                <w:sz w:val="14"/>
                <w:szCs w:val="14"/>
              </w:rPr>
            </w:pPr>
          </w:p>
          <w:p w14:paraId="0703C6F6" w14:textId="77777777" w:rsidR="00E541EE" w:rsidRDefault="00E541EE" w:rsidP="00A84BB5">
            <w:pPr>
              <w:widowControl w:val="0"/>
              <w:autoSpaceDE w:val="0"/>
              <w:autoSpaceDN w:val="0"/>
              <w:ind w:left="29" w:right="11" w:firstLine="9"/>
              <w:jc w:val="center"/>
              <w:rPr>
                <w:rFonts w:ascii="Arial" w:eastAsia="Times New Roman" w:hAnsi="Arial" w:cs="Arial"/>
                <w:sz w:val="14"/>
                <w:szCs w:val="14"/>
              </w:rPr>
            </w:pPr>
          </w:p>
          <w:p w14:paraId="36F46FB5" w14:textId="77777777" w:rsidR="00E541EE" w:rsidRDefault="00E541EE" w:rsidP="00A84BB5">
            <w:pPr>
              <w:widowControl w:val="0"/>
              <w:autoSpaceDE w:val="0"/>
              <w:autoSpaceDN w:val="0"/>
              <w:ind w:left="29" w:right="11" w:firstLine="9"/>
              <w:jc w:val="center"/>
              <w:rPr>
                <w:rFonts w:ascii="Arial" w:eastAsia="Times New Roman" w:hAnsi="Arial" w:cs="Arial"/>
                <w:sz w:val="14"/>
                <w:szCs w:val="14"/>
              </w:rPr>
            </w:pPr>
          </w:p>
          <w:p w14:paraId="5A6E5043" w14:textId="77777777" w:rsidR="00E541EE" w:rsidRPr="00BE146C" w:rsidRDefault="00E541EE" w:rsidP="00A84BB5">
            <w:pPr>
              <w:widowControl w:val="0"/>
              <w:autoSpaceDE w:val="0"/>
              <w:autoSpaceDN w:val="0"/>
              <w:ind w:left="29" w:right="11" w:firstLine="9"/>
              <w:jc w:val="center"/>
              <w:rPr>
                <w:rFonts w:ascii="Arial" w:hAnsi="Arial" w:cs="Arial"/>
                <w:sz w:val="14"/>
                <w:szCs w:val="14"/>
              </w:rPr>
            </w:pPr>
            <w:r w:rsidRPr="00BE146C">
              <w:rPr>
                <w:rFonts w:ascii="Arial" w:eastAsia="Times New Roman" w:hAnsi="Arial" w:cs="Arial"/>
                <w:sz w:val="14"/>
                <w:szCs w:val="14"/>
              </w:rPr>
              <w:t>21. Kreiranje, razvoj i pružanje socijalnih usluga u zajednici</w:t>
            </w:r>
          </w:p>
        </w:tc>
        <w:tc>
          <w:tcPr>
            <w:tcW w:w="583" w:type="pct"/>
            <w:vMerge/>
            <w:tcBorders>
              <w:top w:val="single" w:sz="4" w:space="0" w:color="auto"/>
              <w:left w:val="single" w:sz="4" w:space="0" w:color="auto"/>
              <w:bottom w:val="single" w:sz="4" w:space="0" w:color="auto"/>
              <w:right w:val="single" w:sz="4" w:space="0" w:color="auto"/>
            </w:tcBorders>
          </w:tcPr>
          <w:p w14:paraId="550A0E8D" w14:textId="77777777" w:rsidR="00E541EE" w:rsidRPr="00BE146C" w:rsidRDefault="00E541EE" w:rsidP="00A84BB5">
            <w:pPr>
              <w:widowControl w:val="0"/>
              <w:autoSpaceDE w:val="0"/>
              <w:autoSpaceDN w:val="0"/>
              <w:rPr>
                <w:rFonts w:ascii="Arial" w:hAnsi="Arial" w:cs="Arial"/>
                <w:sz w:val="14"/>
                <w:szCs w:val="14"/>
              </w:rPr>
            </w:pPr>
          </w:p>
        </w:tc>
        <w:tc>
          <w:tcPr>
            <w:tcW w:w="480" w:type="pct"/>
            <w:vMerge/>
            <w:tcBorders>
              <w:left w:val="single" w:sz="4" w:space="0" w:color="auto"/>
              <w:right w:val="single" w:sz="4" w:space="0" w:color="auto"/>
            </w:tcBorders>
          </w:tcPr>
          <w:p w14:paraId="7DDD2CDB" w14:textId="77777777" w:rsidR="00E541EE" w:rsidRPr="00BE146C" w:rsidRDefault="00E541EE" w:rsidP="00A84BB5">
            <w:pPr>
              <w:rPr>
                <w:rFonts w:ascii="Arial" w:hAnsi="Arial" w:cs="Arial"/>
                <w:sz w:val="14"/>
                <w:szCs w:val="14"/>
              </w:rPr>
            </w:pPr>
          </w:p>
        </w:tc>
        <w:tc>
          <w:tcPr>
            <w:tcW w:w="458" w:type="pct"/>
            <w:tcBorders>
              <w:top w:val="single" w:sz="4" w:space="0" w:color="auto"/>
              <w:left w:val="single" w:sz="4" w:space="0" w:color="auto"/>
              <w:bottom w:val="single" w:sz="4" w:space="0" w:color="auto"/>
              <w:right w:val="single" w:sz="4" w:space="0" w:color="auto"/>
            </w:tcBorders>
          </w:tcPr>
          <w:p w14:paraId="290ED482" w14:textId="77777777" w:rsidR="00E541EE" w:rsidRPr="00BE146C" w:rsidRDefault="00E541EE" w:rsidP="00A84BB5">
            <w:pPr>
              <w:jc w:val="center"/>
              <w:rPr>
                <w:rFonts w:ascii="Arial" w:hAnsi="Arial" w:cs="Arial"/>
                <w:sz w:val="14"/>
                <w:szCs w:val="14"/>
                <w:highlight w:val="yellow"/>
              </w:rPr>
            </w:pPr>
            <w:r w:rsidRPr="00BE146C">
              <w:rPr>
                <w:rFonts w:ascii="Arial" w:eastAsia="Times New Roman" w:hAnsi="Arial" w:cs="Arial"/>
                <w:sz w:val="14"/>
                <w:szCs w:val="14"/>
              </w:rPr>
              <w:t>Broj korisnika socijalnog programa</w:t>
            </w:r>
          </w:p>
        </w:tc>
        <w:tc>
          <w:tcPr>
            <w:tcW w:w="431" w:type="pct"/>
            <w:tcBorders>
              <w:top w:val="single" w:sz="4" w:space="0" w:color="auto"/>
              <w:left w:val="single" w:sz="4" w:space="0" w:color="auto"/>
              <w:bottom w:val="single" w:sz="4" w:space="0" w:color="auto"/>
              <w:right w:val="single" w:sz="4" w:space="0" w:color="auto"/>
            </w:tcBorders>
          </w:tcPr>
          <w:p w14:paraId="38FB37F3" w14:textId="77777777" w:rsidR="00E541EE" w:rsidRPr="00BE146C" w:rsidRDefault="00E541EE" w:rsidP="00A84BB5">
            <w:pPr>
              <w:jc w:val="center"/>
              <w:rPr>
                <w:rFonts w:ascii="Arial" w:hAnsi="Arial" w:cs="Arial"/>
                <w:sz w:val="14"/>
                <w:szCs w:val="14"/>
                <w:highlight w:val="yellow"/>
              </w:rPr>
            </w:pPr>
            <w:r w:rsidRPr="00BE146C">
              <w:rPr>
                <w:rFonts w:ascii="Arial" w:eastAsia="Times New Roman" w:hAnsi="Arial" w:cs="Arial"/>
                <w:sz w:val="14"/>
                <w:szCs w:val="14"/>
              </w:rPr>
              <w:t>1656</w:t>
            </w:r>
          </w:p>
        </w:tc>
        <w:tc>
          <w:tcPr>
            <w:tcW w:w="280" w:type="pct"/>
            <w:tcBorders>
              <w:top w:val="single" w:sz="4" w:space="0" w:color="auto"/>
              <w:left w:val="single" w:sz="4" w:space="0" w:color="auto"/>
              <w:bottom w:val="single" w:sz="4" w:space="0" w:color="auto"/>
              <w:right w:val="single" w:sz="4" w:space="0" w:color="auto"/>
            </w:tcBorders>
          </w:tcPr>
          <w:p w14:paraId="189E2C03" w14:textId="77777777" w:rsidR="00E541EE" w:rsidRPr="00BE146C" w:rsidRDefault="00E541EE" w:rsidP="00A84BB5">
            <w:pPr>
              <w:jc w:val="center"/>
              <w:rPr>
                <w:rFonts w:ascii="Arial" w:hAnsi="Arial" w:cs="Arial"/>
                <w:sz w:val="14"/>
                <w:szCs w:val="14"/>
              </w:rPr>
            </w:pPr>
            <w:r w:rsidRPr="00BE146C">
              <w:rPr>
                <w:rFonts w:ascii="Arial" w:eastAsia="Times New Roman" w:hAnsi="Arial" w:cs="Arial"/>
                <w:sz w:val="14"/>
                <w:szCs w:val="14"/>
              </w:rPr>
              <w:t>1700</w:t>
            </w:r>
          </w:p>
        </w:tc>
        <w:tc>
          <w:tcPr>
            <w:tcW w:w="356" w:type="pct"/>
            <w:tcBorders>
              <w:top w:val="single" w:sz="4" w:space="0" w:color="auto"/>
              <w:left w:val="single" w:sz="4" w:space="0" w:color="auto"/>
              <w:bottom w:val="single" w:sz="4" w:space="0" w:color="auto"/>
              <w:right w:val="single" w:sz="4" w:space="0" w:color="auto"/>
            </w:tcBorders>
          </w:tcPr>
          <w:p w14:paraId="070B348D" w14:textId="77777777" w:rsidR="00E541EE" w:rsidRPr="00BE146C" w:rsidRDefault="00E541EE" w:rsidP="00A84BB5">
            <w:pPr>
              <w:jc w:val="center"/>
              <w:rPr>
                <w:rFonts w:ascii="Arial" w:hAnsi="Arial" w:cs="Arial"/>
                <w:sz w:val="14"/>
                <w:szCs w:val="14"/>
              </w:rPr>
            </w:pPr>
            <w:r w:rsidRPr="00BE146C">
              <w:rPr>
                <w:rFonts w:ascii="Arial" w:eastAsia="Times New Roman" w:hAnsi="Arial" w:cs="Arial"/>
                <w:sz w:val="14"/>
                <w:szCs w:val="14"/>
              </w:rPr>
              <w:t>1800</w:t>
            </w:r>
          </w:p>
        </w:tc>
        <w:tc>
          <w:tcPr>
            <w:tcW w:w="280" w:type="pct"/>
            <w:tcBorders>
              <w:top w:val="single" w:sz="4" w:space="0" w:color="auto"/>
              <w:left w:val="single" w:sz="4" w:space="0" w:color="auto"/>
              <w:bottom w:val="single" w:sz="4" w:space="0" w:color="auto"/>
              <w:right w:val="single" w:sz="4" w:space="0" w:color="auto"/>
            </w:tcBorders>
          </w:tcPr>
          <w:p w14:paraId="53EBC74F" w14:textId="77777777" w:rsidR="00E541EE" w:rsidRPr="00BE146C" w:rsidRDefault="00E541EE" w:rsidP="00A84BB5">
            <w:pPr>
              <w:jc w:val="center"/>
              <w:rPr>
                <w:rFonts w:ascii="Arial" w:hAnsi="Arial" w:cs="Arial"/>
                <w:sz w:val="14"/>
                <w:szCs w:val="14"/>
              </w:rPr>
            </w:pPr>
            <w:r w:rsidRPr="00BE146C">
              <w:rPr>
                <w:rFonts w:ascii="Arial" w:eastAsia="Times New Roman" w:hAnsi="Arial" w:cs="Arial"/>
                <w:sz w:val="14"/>
                <w:szCs w:val="14"/>
              </w:rPr>
              <w:t>1850</w:t>
            </w:r>
          </w:p>
        </w:tc>
      </w:tr>
      <w:tr w:rsidR="00E541EE" w:rsidRPr="00AC2206" w14:paraId="3BC41F62" w14:textId="77777777" w:rsidTr="00736B58">
        <w:trPr>
          <w:trHeight w:val="1559"/>
        </w:trPr>
        <w:tc>
          <w:tcPr>
            <w:tcW w:w="452" w:type="pct"/>
            <w:vMerge/>
          </w:tcPr>
          <w:p w14:paraId="0D746119" w14:textId="77777777" w:rsidR="00E541EE" w:rsidRPr="00BE146C" w:rsidRDefault="00E541EE" w:rsidP="00A84BB5">
            <w:pPr>
              <w:widowControl w:val="0"/>
              <w:autoSpaceDE w:val="0"/>
              <w:autoSpaceDN w:val="0"/>
              <w:spacing w:before="49"/>
              <w:ind w:left="44" w:right="35"/>
              <w:jc w:val="center"/>
              <w:rPr>
                <w:rFonts w:ascii="Arial" w:hAnsi="Arial" w:cs="Arial"/>
                <w:sz w:val="14"/>
                <w:szCs w:val="14"/>
              </w:rPr>
            </w:pPr>
          </w:p>
        </w:tc>
        <w:tc>
          <w:tcPr>
            <w:tcW w:w="486" w:type="pct"/>
            <w:vMerge/>
          </w:tcPr>
          <w:p w14:paraId="44BDC6A3" w14:textId="77777777" w:rsidR="00E541EE" w:rsidRPr="00BE146C" w:rsidRDefault="00E541EE" w:rsidP="00A84BB5">
            <w:pPr>
              <w:widowControl w:val="0"/>
              <w:autoSpaceDE w:val="0"/>
              <w:autoSpaceDN w:val="0"/>
              <w:ind w:left="28" w:right="19" w:firstLine="2"/>
              <w:jc w:val="center"/>
              <w:rPr>
                <w:rFonts w:ascii="Arial" w:hAnsi="Arial" w:cs="Arial"/>
                <w:color w:val="FF0000"/>
                <w:sz w:val="14"/>
                <w:szCs w:val="14"/>
              </w:rPr>
            </w:pPr>
          </w:p>
        </w:tc>
        <w:tc>
          <w:tcPr>
            <w:tcW w:w="507" w:type="pct"/>
            <w:vMerge/>
            <w:tcBorders>
              <w:right w:val="single" w:sz="4" w:space="0" w:color="auto"/>
            </w:tcBorders>
            <w:shd w:val="clear" w:color="auto" w:fill="FFF1CC"/>
          </w:tcPr>
          <w:p w14:paraId="3F7A2ACA" w14:textId="77777777" w:rsidR="00E541EE" w:rsidRPr="00BE146C" w:rsidRDefault="00E541EE" w:rsidP="00A84BB5">
            <w:pPr>
              <w:widowControl w:val="0"/>
              <w:autoSpaceDE w:val="0"/>
              <w:autoSpaceDN w:val="0"/>
              <w:ind w:left="74" w:right="63" w:hanging="4"/>
              <w:rPr>
                <w:rFonts w:ascii="Arial" w:hAnsi="Arial" w:cs="Arial"/>
                <w:color w:val="FF0000"/>
                <w:sz w:val="14"/>
                <w:szCs w:val="14"/>
              </w:rPr>
            </w:pPr>
          </w:p>
        </w:tc>
        <w:tc>
          <w:tcPr>
            <w:tcW w:w="688" w:type="pct"/>
            <w:vMerge/>
            <w:tcBorders>
              <w:top w:val="single" w:sz="4" w:space="0" w:color="auto"/>
              <w:left w:val="single" w:sz="4" w:space="0" w:color="auto"/>
              <w:bottom w:val="single" w:sz="4" w:space="0" w:color="auto"/>
              <w:right w:val="single" w:sz="4" w:space="0" w:color="auto"/>
            </w:tcBorders>
          </w:tcPr>
          <w:p w14:paraId="4CC85D7A" w14:textId="77777777" w:rsidR="00E541EE" w:rsidRPr="00BE146C" w:rsidRDefault="00E541EE" w:rsidP="00A84BB5">
            <w:pPr>
              <w:widowControl w:val="0"/>
              <w:autoSpaceDE w:val="0"/>
              <w:autoSpaceDN w:val="0"/>
              <w:ind w:left="29" w:right="11" w:firstLine="9"/>
              <w:rPr>
                <w:rFonts w:ascii="Arial" w:hAnsi="Arial" w:cs="Arial"/>
                <w:color w:val="FF0000"/>
                <w:sz w:val="14"/>
                <w:szCs w:val="14"/>
              </w:rPr>
            </w:pPr>
          </w:p>
        </w:tc>
        <w:tc>
          <w:tcPr>
            <w:tcW w:w="583" w:type="pct"/>
            <w:vMerge/>
            <w:tcBorders>
              <w:top w:val="single" w:sz="4" w:space="0" w:color="auto"/>
              <w:left w:val="single" w:sz="4" w:space="0" w:color="auto"/>
              <w:bottom w:val="single" w:sz="4" w:space="0" w:color="auto"/>
              <w:right w:val="single" w:sz="4" w:space="0" w:color="auto"/>
            </w:tcBorders>
            <w:shd w:val="clear" w:color="auto" w:fill="FFF1CC"/>
          </w:tcPr>
          <w:p w14:paraId="3DB6DFD8" w14:textId="77777777" w:rsidR="00E541EE" w:rsidRPr="00BE146C" w:rsidRDefault="00E541EE" w:rsidP="00A84BB5">
            <w:pPr>
              <w:widowControl w:val="0"/>
              <w:autoSpaceDE w:val="0"/>
              <w:autoSpaceDN w:val="0"/>
              <w:ind w:left="142"/>
              <w:rPr>
                <w:rFonts w:ascii="Arial" w:hAnsi="Arial" w:cs="Arial"/>
                <w:color w:val="FF0000"/>
                <w:sz w:val="14"/>
                <w:szCs w:val="14"/>
              </w:rPr>
            </w:pPr>
          </w:p>
        </w:tc>
        <w:tc>
          <w:tcPr>
            <w:tcW w:w="480" w:type="pct"/>
            <w:vMerge/>
            <w:tcBorders>
              <w:left w:val="single" w:sz="4" w:space="0" w:color="auto"/>
              <w:right w:val="single" w:sz="4" w:space="0" w:color="auto"/>
            </w:tcBorders>
          </w:tcPr>
          <w:p w14:paraId="2BB64919" w14:textId="77777777" w:rsidR="00E541EE" w:rsidRPr="00BE146C" w:rsidRDefault="00E541EE" w:rsidP="00A84BB5">
            <w:pPr>
              <w:rPr>
                <w:rFonts w:ascii="Arial" w:hAnsi="Arial" w:cs="Arial"/>
                <w:sz w:val="14"/>
                <w:szCs w:val="14"/>
              </w:rPr>
            </w:pPr>
          </w:p>
        </w:tc>
        <w:tc>
          <w:tcPr>
            <w:tcW w:w="458" w:type="pct"/>
            <w:tcBorders>
              <w:top w:val="single" w:sz="4" w:space="0" w:color="auto"/>
              <w:left w:val="single" w:sz="4" w:space="0" w:color="auto"/>
              <w:bottom w:val="single" w:sz="4" w:space="0" w:color="auto"/>
              <w:right w:val="single" w:sz="4" w:space="0" w:color="auto"/>
            </w:tcBorders>
          </w:tcPr>
          <w:p w14:paraId="0B1EFF94" w14:textId="77777777" w:rsidR="00E541EE" w:rsidRPr="00BE146C" w:rsidRDefault="00E541EE" w:rsidP="00A84BB5">
            <w:pPr>
              <w:jc w:val="center"/>
              <w:rPr>
                <w:rFonts w:ascii="Arial" w:hAnsi="Arial" w:cs="Arial"/>
                <w:sz w:val="14"/>
                <w:szCs w:val="14"/>
              </w:rPr>
            </w:pPr>
            <w:r w:rsidRPr="00BE146C">
              <w:rPr>
                <w:rFonts w:ascii="Arial" w:eastAsia="Times New Roman" w:hAnsi="Arial" w:cs="Arial"/>
                <w:sz w:val="14"/>
                <w:szCs w:val="14"/>
              </w:rPr>
              <w:t>Broj korisnika dnevnog boravka za starije osobe</w:t>
            </w:r>
          </w:p>
        </w:tc>
        <w:tc>
          <w:tcPr>
            <w:tcW w:w="431" w:type="pct"/>
            <w:tcBorders>
              <w:top w:val="single" w:sz="4" w:space="0" w:color="auto"/>
              <w:left w:val="single" w:sz="4" w:space="0" w:color="auto"/>
              <w:bottom w:val="single" w:sz="4" w:space="0" w:color="auto"/>
              <w:right w:val="single" w:sz="4" w:space="0" w:color="auto"/>
            </w:tcBorders>
          </w:tcPr>
          <w:p w14:paraId="3F3F8CC9" w14:textId="77777777" w:rsidR="00E541EE" w:rsidRPr="00BE146C" w:rsidRDefault="00E541EE" w:rsidP="00A84BB5">
            <w:pPr>
              <w:jc w:val="center"/>
              <w:rPr>
                <w:rFonts w:ascii="Arial" w:hAnsi="Arial" w:cs="Arial"/>
                <w:sz w:val="14"/>
                <w:szCs w:val="14"/>
              </w:rPr>
            </w:pPr>
            <w:r w:rsidRPr="00BE146C">
              <w:rPr>
                <w:rFonts w:ascii="Arial" w:eastAsia="Times New Roman" w:hAnsi="Arial" w:cs="Arial"/>
                <w:sz w:val="14"/>
                <w:szCs w:val="14"/>
              </w:rPr>
              <w:t>0</w:t>
            </w:r>
          </w:p>
        </w:tc>
        <w:tc>
          <w:tcPr>
            <w:tcW w:w="280" w:type="pct"/>
            <w:tcBorders>
              <w:top w:val="single" w:sz="4" w:space="0" w:color="auto"/>
              <w:left w:val="single" w:sz="4" w:space="0" w:color="auto"/>
              <w:bottom w:val="single" w:sz="4" w:space="0" w:color="auto"/>
              <w:right w:val="single" w:sz="4" w:space="0" w:color="auto"/>
            </w:tcBorders>
          </w:tcPr>
          <w:p w14:paraId="0408C175" w14:textId="77777777" w:rsidR="00E541EE" w:rsidRPr="00BE146C" w:rsidRDefault="00E541EE" w:rsidP="00A84BB5">
            <w:pPr>
              <w:jc w:val="center"/>
              <w:rPr>
                <w:rFonts w:ascii="Arial" w:hAnsi="Arial" w:cs="Arial"/>
                <w:sz w:val="14"/>
                <w:szCs w:val="14"/>
              </w:rPr>
            </w:pPr>
            <w:r w:rsidRPr="00BE146C">
              <w:rPr>
                <w:rFonts w:ascii="Arial" w:eastAsia="Times New Roman" w:hAnsi="Arial" w:cs="Arial"/>
                <w:sz w:val="14"/>
                <w:szCs w:val="14"/>
              </w:rPr>
              <w:t>10</w:t>
            </w:r>
          </w:p>
        </w:tc>
        <w:tc>
          <w:tcPr>
            <w:tcW w:w="356" w:type="pct"/>
            <w:tcBorders>
              <w:top w:val="single" w:sz="4" w:space="0" w:color="auto"/>
              <w:left w:val="single" w:sz="4" w:space="0" w:color="auto"/>
              <w:bottom w:val="single" w:sz="4" w:space="0" w:color="auto"/>
              <w:right w:val="single" w:sz="4" w:space="0" w:color="auto"/>
            </w:tcBorders>
          </w:tcPr>
          <w:p w14:paraId="5EF24F16" w14:textId="77777777" w:rsidR="00E541EE" w:rsidRPr="00BE146C" w:rsidRDefault="00E541EE" w:rsidP="00A84BB5">
            <w:pPr>
              <w:jc w:val="center"/>
              <w:rPr>
                <w:rFonts w:ascii="Arial" w:hAnsi="Arial" w:cs="Arial"/>
                <w:sz w:val="14"/>
                <w:szCs w:val="14"/>
              </w:rPr>
            </w:pPr>
            <w:r w:rsidRPr="00BE146C">
              <w:rPr>
                <w:rFonts w:ascii="Arial" w:eastAsia="Times New Roman" w:hAnsi="Arial" w:cs="Arial"/>
                <w:sz w:val="14"/>
                <w:szCs w:val="14"/>
              </w:rPr>
              <w:t>15</w:t>
            </w:r>
          </w:p>
        </w:tc>
        <w:tc>
          <w:tcPr>
            <w:tcW w:w="280" w:type="pct"/>
            <w:tcBorders>
              <w:top w:val="single" w:sz="4" w:space="0" w:color="auto"/>
              <w:left w:val="single" w:sz="4" w:space="0" w:color="auto"/>
              <w:bottom w:val="single" w:sz="4" w:space="0" w:color="auto"/>
              <w:right w:val="single" w:sz="4" w:space="0" w:color="auto"/>
            </w:tcBorders>
          </w:tcPr>
          <w:p w14:paraId="10D0F7EE" w14:textId="77777777" w:rsidR="00E541EE" w:rsidRPr="00BE146C" w:rsidRDefault="00E541EE" w:rsidP="00A84BB5">
            <w:pPr>
              <w:jc w:val="center"/>
              <w:rPr>
                <w:rFonts w:ascii="Arial" w:hAnsi="Arial" w:cs="Arial"/>
                <w:sz w:val="14"/>
                <w:szCs w:val="14"/>
              </w:rPr>
            </w:pPr>
            <w:r w:rsidRPr="00BE146C">
              <w:rPr>
                <w:rFonts w:ascii="Arial" w:eastAsia="Times New Roman" w:hAnsi="Arial" w:cs="Arial"/>
                <w:sz w:val="14"/>
                <w:szCs w:val="14"/>
              </w:rPr>
              <w:t>20</w:t>
            </w:r>
          </w:p>
        </w:tc>
      </w:tr>
      <w:tr w:rsidR="00E541EE" w:rsidRPr="00AC2206" w14:paraId="28708007" w14:textId="77777777" w:rsidTr="00736B58">
        <w:trPr>
          <w:trHeight w:val="1150"/>
        </w:trPr>
        <w:tc>
          <w:tcPr>
            <w:tcW w:w="452" w:type="pct"/>
            <w:vMerge/>
          </w:tcPr>
          <w:p w14:paraId="6DF4B5BC" w14:textId="77777777" w:rsidR="00E541EE" w:rsidRPr="00BE146C" w:rsidRDefault="00E541EE" w:rsidP="00A84BB5">
            <w:pPr>
              <w:widowControl w:val="0"/>
              <w:autoSpaceDE w:val="0"/>
              <w:autoSpaceDN w:val="0"/>
              <w:spacing w:before="49"/>
              <w:ind w:left="44" w:right="35"/>
              <w:jc w:val="center"/>
              <w:rPr>
                <w:rFonts w:ascii="Arial" w:hAnsi="Arial" w:cs="Arial"/>
                <w:sz w:val="14"/>
                <w:szCs w:val="14"/>
              </w:rPr>
            </w:pPr>
          </w:p>
        </w:tc>
        <w:tc>
          <w:tcPr>
            <w:tcW w:w="486" w:type="pct"/>
            <w:vMerge/>
          </w:tcPr>
          <w:p w14:paraId="5FECE3E8" w14:textId="77777777" w:rsidR="00E541EE" w:rsidRPr="00BE146C" w:rsidRDefault="00E541EE" w:rsidP="00A84BB5">
            <w:pPr>
              <w:widowControl w:val="0"/>
              <w:autoSpaceDE w:val="0"/>
              <w:autoSpaceDN w:val="0"/>
              <w:ind w:left="28" w:right="19" w:firstLine="2"/>
              <w:jc w:val="center"/>
              <w:rPr>
                <w:rFonts w:ascii="Arial" w:hAnsi="Arial" w:cs="Arial"/>
                <w:color w:val="FF0000"/>
                <w:sz w:val="14"/>
                <w:szCs w:val="14"/>
              </w:rPr>
            </w:pPr>
          </w:p>
        </w:tc>
        <w:tc>
          <w:tcPr>
            <w:tcW w:w="507" w:type="pct"/>
            <w:vMerge/>
            <w:tcBorders>
              <w:right w:val="single" w:sz="4" w:space="0" w:color="auto"/>
            </w:tcBorders>
            <w:shd w:val="clear" w:color="auto" w:fill="FFF1CC"/>
          </w:tcPr>
          <w:p w14:paraId="1DF029CE" w14:textId="77777777" w:rsidR="00E541EE" w:rsidRPr="00BE146C" w:rsidRDefault="00E541EE" w:rsidP="00A84BB5">
            <w:pPr>
              <w:widowControl w:val="0"/>
              <w:autoSpaceDE w:val="0"/>
              <w:autoSpaceDN w:val="0"/>
              <w:ind w:left="74" w:right="63" w:hanging="4"/>
              <w:rPr>
                <w:rFonts w:ascii="Arial" w:hAnsi="Arial" w:cs="Arial"/>
                <w:color w:val="FF0000"/>
                <w:sz w:val="14"/>
                <w:szCs w:val="14"/>
              </w:rPr>
            </w:pPr>
          </w:p>
        </w:tc>
        <w:tc>
          <w:tcPr>
            <w:tcW w:w="688" w:type="pct"/>
            <w:vMerge/>
            <w:tcBorders>
              <w:top w:val="single" w:sz="4" w:space="0" w:color="auto"/>
              <w:left w:val="single" w:sz="4" w:space="0" w:color="auto"/>
              <w:bottom w:val="single" w:sz="4" w:space="0" w:color="auto"/>
              <w:right w:val="single" w:sz="4" w:space="0" w:color="auto"/>
            </w:tcBorders>
          </w:tcPr>
          <w:p w14:paraId="2180743E" w14:textId="77777777" w:rsidR="00E541EE" w:rsidRPr="00BE146C" w:rsidRDefault="00E541EE" w:rsidP="00A84BB5">
            <w:pPr>
              <w:widowControl w:val="0"/>
              <w:autoSpaceDE w:val="0"/>
              <w:autoSpaceDN w:val="0"/>
              <w:ind w:left="29" w:right="11" w:firstLine="9"/>
              <w:rPr>
                <w:rFonts w:ascii="Arial" w:hAnsi="Arial" w:cs="Arial"/>
                <w:color w:val="FF0000"/>
                <w:sz w:val="14"/>
                <w:szCs w:val="14"/>
              </w:rPr>
            </w:pPr>
          </w:p>
        </w:tc>
        <w:tc>
          <w:tcPr>
            <w:tcW w:w="583" w:type="pct"/>
            <w:vMerge/>
            <w:tcBorders>
              <w:top w:val="single" w:sz="4" w:space="0" w:color="auto"/>
              <w:left w:val="single" w:sz="4" w:space="0" w:color="auto"/>
              <w:bottom w:val="single" w:sz="4" w:space="0" w:color="auto"/>
              <w:right w:val="single" w:sz="4" w:space="0" w:color="auto"/>
            </w:tcBorders>
            <w:shd w:val="clear" w:color="auto" w:fill="FFF1CC"/>
          </w:tcPr>
          <w:p w14:paraId="57F82F09" w14:textId="77777777" w:rsidR="00E541EE" w:rsidRPr="00BE146C" w:rsidRDefault="00E541EE" w:rsidP="00A84BB5">
            <w:pPr>
              <w:widowControl w:val="0"/>
              <w:autoSpaceDE w:val="0"/>
              <w:autoSpaceDN w:val="0"/>
              <w:ind w:left="142"/>
              <w:rPr>
                <w:rFonts w:ascii="Arial" w:hAnsi="Arial" w:cs="Arial"/>
                <w:color w:val="FF0000"/>
                <w:sz w:val="14"/>
                <w:szCs w:val="14"/>
              </w:rPr>
            </w:pPr>
          </w:p>
        </w:tc>
        <w:tc>
          <w:tcPr>
            <w:tcW w:w="480" w:type="pct"/>
            <w:vMerge/>
            <w:tcBorders>
              <w:left w:val="single" w:sz="4" w:space="0" w:color="auto"/>
              <w:right w:val="single" w:sz="4" w:space="0" w:color="auto"/>
            </w:tcBorders>
          </w:tcPr>
          <w:p w14:paraId="6731552B" w14:textId="77777777" w:rsidR="00E541EE" w:rsidRPr="00BE146C" w:rsidRDefault="00E541EE" w:rsidP="00A84BB5">
            <w:pPr>
              <w:rPr>
                <w:rFonts w:ascii="Arial" w:hAnsi="Arial" w:cs="Arial"/>
                <w:sz w:val="14"/>
                <w:szCs w:val="14"/>
              </w:rPr>
            </w:pPr>
          </w:p>
        </w:tc>
        <w:tc>
          <w:tcPr>
            <w:tcW w:w="458" w:type="pct"/>
            <w:tcBorders>
              <w:top w:val="single" w:sz="4" w:space="0" w:color="auto"/>
              <w:left w:val="single" w:sz="4" w:space="0" w:color="auto"/>
              <w:bottom w:val="single" w:sz="4" w:space="0" w:color="auto"/>
              <w:right w:val="single" w:sz="4" w:space="0" w:color="auto"/>
            </w:tcBorders>
          </w:tcPr>
          <w:p w14:paraId="6A9D37D9" w14:textId="77777777" w:rsidR="00E541EE" w:rsidRPr="00BE146C" w:rsidRDefault="00E541EE" w:rsidP="00A84BB5">
            <w:pPr>
              <w:jc w:val="center"/>
              <w:rPr>
                <w:rFonts w:ascii="Arial" w:hAnsi="Arial" w:cs="Arial"/>
                <w:sz w:val="14"/>
                <w:szCs w:val="14"/>
              </w:rPr>
            </w:pPr>
            <w:r w:rsidRPr="00BE146C">
              <w:rPr>
                <w:rFonts w:ascii="Arial" w:eastAsia="Times New Roman" w:hAnsi="Arial" w:cs="Arial"/>
                <w:sz w:val="14"/>
                <w:szCs w:val="14"/>
              </w:rPr>
              <w:t>Broj korisnika poludnevnog boravka za mlade s invaliditetom</w:t>
            </w:r>
          </w:p>
        </w:tc>
        <w:tc>
          <w:tcPr>
            <w:tcW w:w="431" w:type="pct"/>
            <w:tcBorders>
              <w:top w:val="single" w:sz="4" w:space="0" w:color="auto"/>
              <w:left w:val="single" w:sz="4" w:space="0" w:color="auto"/>
              <w:bottom w:val="single" w:sz="4" w:space="0" w:color="auto"/>
              <w:right w:val="single" w:sz="4" w:space="0" w:color="auto"/>
            </w:tcBorders>
          </w:tcPr>
          <w:p w14:paraId="2C7468E2" w14:textId="77777777" w:rsidR="00E541EE" w:rsidRPr="00BE146C" w:rsidRDefault="00E541EE" w:rsidP="00A84BB5">
            <w:pPr>
              <w:jc w:val="center"/>
              <w:rPr>
                <w:rFonts w:ascii="Arial" w:hAnsi="Arial" w:cs="Arial"/>
                <w:sz w:val="14"/>
                <w:szCs w:val="14"/>
              </w:rPr>
            </w:pPr>
            <w:r w:rsidRPr="00BE146C">
              <w:rPr>
                <w:rFonts w:ascii="Arial" w:eastAsia="Times New Roman" w:hAnsi="Arial" w:cs="Arial"/>
                <w:sz w:val="14"/>
                <w:szCs w:val="14"/>
              </w:rPr>
              <w:t>10</w:t>
            </w:r>
          </w:p>
        </w:tc>
        <w:tc>
          <w:tcPr>
            <w:tcW w:w="280" w:type="pct"/>
            <w:tcBorders>
              <w:top w:val="single" w:sz="4" w:space="0" w:color="auto"/>
              <w:left w:val="single" w:sz="4" w:space="0" w:color="auto"/>
              <w:bottom w:val="single" w:sz="4" w:space="0" w:color="auto"/>
              <w:right w:val="single" w:sz="4" w:space="0" w:color="auto"/>
            </w:tcBorders>
          </w:tcPr>
          <w:p w14:paraId="08E872E8" w14:textId="77777777" w:rsidR="00E541EE" w:rsidRPr="00BE146C" w:rsidRDefault="00E541EE" w:rsidP="00A84BB5">
            <w:pPr>
              <w:jc w:val="center"/>
              <w:rPr>
                <w:rFonts w:ascii="Arial" w:hAnsi="Arial" w:cs="Arial"/>
                <w:sz w:val="14"/>
                <w:szCs w:val="14"/>
              </w:rPr>
            </w:pPr>
            <w:r w:rsidRPr="00BE146C">
              <w:rPr>
                <w:rFonts w:ascii="Arial" w:eastAsia="Times New Roman" w:hAnsi="Arial" w:cs="Arial"/>
                <w:sz w:val="14"/>
                <w:szCs w:val="14"/>
              </w:rPr>
              <w:t>10</w:t>
            </w:r>
          </w:p>
        </w:tc>
        <w:tc>
          <w:tcPr>
            <w:tcW w:w="356" w:type="pct"/>
            <w:tcBorders>
              <w:top w:val="single" w:sz="4" w:space="0" w:color="auto"/>
              <w:left w:val="single" w:sz="4" w:space="0" w:color="auto"/>
              <w:bottom w:val="single" w:sz="4" w:space="0" w:color="auto"/>
              <w:right w:val="single" w:sz="4" w:space="0" w:color="auto"/>
            </w:tcBorders>
          </w:tcPr>
          <w:p w14:paraId="588CE8B9" w14:textId="77777777" w:rsidR="00E541EE" w:rsidRPr="00BE146C" w:rsidRDefault="00E541EE" w:rsidP="00A84BB5">
            <w:pPr>
              <w:jc w:val="center"/>
              <w:rPr>
                <w:rFonts w:ascii="Arial" w:hAnsi="Arial" w:cs="Arial"/>
                <w:sz w:val="14"/>
                <w:szCs w:val="14"/>
              </w:rPr>
            </w:pPr>
            <w:r w:rsidRPr="00BE146C">
              <w:rPr>
                <w:rFonts w:ascii="Arial" w:eastAsia="Times New Roman" w:hAnsi="Arial" w:cs="Arial"/>
                <w:sz w:val="14"/>
                <w:szCs w:val="14"/>
              </w:rPr>
              <w:t>10</w:t>
            </w:r>
          </w:p>
        </w:tc>
        <w:tc>
          <w:tcPr>
            <w:tcW w:w="280" w:type="pct"/>
            <w:tcBorders>
              <w:top w:val="single" w:sz="4" w:space="0" w:color="auto"/>
              <w:left w:val="single" w:sz="4" w:space="0" w:color="auto"/>
              <w:bottom w:val="single" w:sz="4" w:space="0" w:color="auto"/>
              <w:right w:val="single" w:sz="4" w:space="0" w:color="auto"/>
            </w:tcBorders>
          </w:tcPr>
          <w:p w14:paraId="30C8F51F" w14:textId="77777777" w:rsidR="00E541EE" w:rsidRPr="00BE146C" w:rsidRDefault="00E541EE" w:rsidP="00A84BB5">
            <w:pPr>
              <w:jc w:val="center"/>
              <w:rPr>
                <w:rFonts w:ascii="Arial" w:hAnsi="Arial" w:cs="Arial"/>
                <w:sz w:val="14"/>
                <w:szCs w:val="14"/>
              </w:rPr>
            </w:pPr>
            <w:r w:rsidRPr="00BE146C">
              <w:rPr>
                <w:rFonts w:ascii="Arial" w:eastAsia="Times New Roman" w:hAnsi="Arial" w:cs="Arial"/>
                <w:sz w:val="14"/>
                <w:szCs w:val="14"/>
              </w:rPr>
              <w:t>10</w:t>
            </w:r>
          </w:p>
        </w:tc>
      </w:tr>
      <w:tr w:rsidR="00E541EE" w:rsidRPr="00AC2206" w14:paraId="12281B6E" w14:textId="77777777" w:rsidTr="00736B58">
        <w:trPr>
          <w:trHeight w:val="2014"/>
        </w:trPr>
        <w:tc>
          <w:tcPr>
            <w:tcW w:w="452" w:type="pct"/>
            <w:vMerge/>
          </w:tcPr>
          <w:p w14:paraId="7EEC573E" w14:textId="77777777" w:rsidR="00E541EE" w:rsidRPr="00BE146C" w:rsidRDefault="00E541EE" w:rsidP="00A84BB5">
            <w:pPr>
              <w:widowControl w:val="0"/>
              <w:autoSpaceDE w:val="0"/>
              <w:autoSpaceDN w:val="0"/>
              <w:spacing w:before="49"/>
              <w:ind w:left="44" w:right="35"/>
              <w:jc w:val="center"/>
              <w:rPr>
                <w:rFonts w:ascii="Arial" w:hAnsi="Arial" w:cs="Arial"/>
                <w:sz w:val="14"/>
                <w:szCs w:val="14"/>
              </w:rPr>
            </w:pPr>
          </w:p>
        </w:tc>
        <w:tc>
          <w:tcPr>
            <w:tcW w:w="486" w:type="pct"/>
            <w:vMerge/>
          </w:tcPr>
          <w:p w14:paraId="4BDBE966" w14:textId="77777777" w:rsidR="00E541EE" w:rsidRPr="00BE146C" w:rsidRDefault="00E541EE" w:rsidP="00A84BB5">
            <w:pPr>
              <w:widowControl w:val="0"/>
              <w:autoSpaceDE w:val="0"/>
              <w:autoSpaceDN w:val="0"/>
              <w:ind w:left="28" w:right="19" w:firstLine="2"/>
              <w:jc w:val="center"/>
              <w:rPr>
                <w:rFonts w:ascii="Arial" w:hAnsi="Arial" w:cs="Arial"/>
                <w:color w:val="FF0000"/>
                <w:sz w:val="14"/>
                <w:szCs w:val="14"/>
              </w:rPr>
            </w:pPr>
          </w:p>
        </w:tc>
        <w:tc>
          <w:tcPr>
            <w:tcW w:w="507" w:type="pct"/>
            <w:vMerge/>
            <w:tcBorders>
              <w:right w:val="single" w:sz="4" w:space="0" w:color="auto"/>
            </w:tcBorders>
            <w:shd w:val="clear" w:color="auto" w:fill="FFF1CC"/>
          </w:tcPr>
          <w:p w14:paraId="4E95BBE8" w14:textId="77777777" w:rsidR="00E541EE" w:rsidRPr="00BE146C" w:rsidRDefault="00E541EE" w:rsidP="00A84BB5">
            <w:pPr>
              <w:widowControl w:val="0"/>
              <w:autoSpaceDE w:val="0"/>
              <w:autoSpaceDN w:val="0"/>
              <w:ind w:left="74" w:right="63" w:hanging="4"/>
              <w:rPr>
                <w:rFonts w:ascii="Arial" w:hAnsi="Arial" w:cs="Arial"/>
                <w:color w:val="FF0000"/>
                <w:sz w:val="14"/>
                <w:szCs w:val="14"/>
              </w:rPr>
            </w:pPr>
          </w:p>
        </w:tc>
        <w:tc>
          <w:tcPr>
            <w:tcW w:w="688" w:type="pct"/>
            <w:vMerge/>
            <w:tcBorders>
              <w:top w:val="single" w:sz="4" w:space="0" w:color="auto"/>
              <w:left w:val="single" w:sz="4" w:space="0" w:color="auto"/>
              <w:bottom w:val="single" w:sz="4" w:space="0" w:color="auto"/>
              <w:right w:val="single" w:sz="4" w:space="0" w:color="auto"/>
            </w:tcBorders>
          </w:tcPr>
          <w:p w14:paraId="6156828E" w14:textId="77777777" w:rsidR="00E541EE" w:rsidRPr="00BE146C" w:rsidRDefault="00E541EE" w:rsidP="00A84BB5">
            <w:pPr>
              <w:widowControl w:val="0"/>
              <w:autoSpaceDE w:val="0"/>
              <w:autoSpaceDN w:val="0"/>
              <w:ind w:left="29" w:right="11" w:firstLine="9"/>
              <w:rPr>
                <w:rFonts w:ascii="Arial" w:hAnsi="Arial" w:cs="Arial"/>
                <w:color w:val="FF0000"/>
                <w:sz w:val="14"/>
                <w:szCs w:val="14"/>
              </w:rPr>
            </w:pPr>
          </w:p>
        </w:tc>
        <w:tc>
          <w:tcPr>
            <w:tcW w:w="583" w:type="pct"/>
            <w:vMerge/>
            <w:tcBorders>
              <w:top w:val="single" w:sz="4" w:space="0" w:color="auto"/>
              <w:left w:val="single" w:sz="4" w:space="0" w:color="auto"/>
              <w:bottom w:val="single" w:sz="4" w:space="0" w:color="auto"/>
              <w:right w:val="single" w:sz="4" w:space="0" w:color="auto"/>
            </w:tcBorders>
            <w:shd w:val="clear" w:color="auto" w:fill="FFF1CC"/>
          </w:tcPr>
          <w:p w14:paraId="4EDB622B" w14:textId="77777777" w:rsidR="00E541EE" w:rsidRPr="00BE146C" w:rsidRDefault="00E541EE" w:rsidP="00A84BB5">
            <w:pPr>
              <w:widowControl w:val="0"/>
              <w:autoSpaceDE w:val="0"/>
              <w:autoSpaceDN w:val="0"/>
              <w:ind w:left="142"/>
              <w:rPr>
                <w:rFonts w:ascii="Arial" w:hAnsi="Arial" w:cs="Arial"/>
                <w:color w:val="FF0000"/>
                <w:sz w:val="14"/>
                <w:szCs w:val="14"/>
              </w:rPr>
            </w:pPr>
          </w:p>
        </w:tc>
        <w:tc>
          <w:tcPr>
            <w:tcW w:w="480" w:type="pct"/>
            <w:vMerge/>
            <w:tcBorders>
              <w:left w:val="single" w:sz="4" w:space="0" w:color="auto"/>
              <w:right w:val="single" w:sz="4" w:space="0" w:color="auto"/>
            </w:tcBorders>
          </w:tcPr>
          <w:p w14:paraId="5151EAA1" w14:textId="77777777" w:rsidR="00E541EE" w:rsidRPr="00BE146C" w:rsidRDefault="00E541EE" w:rsidP="00A84BB5">
            <w:pPr>
              <w:rPr>
                <w:rFonts w:ascii="Arial" w:hAnsi="Arial" w:cs="Arial"/>
                <w:sz w:val="14"/>
                <w:szCs w:val="14"/>
              </w:rPr>
            </w:pPr>
          </w:p>
        </w:tc>
        <w:tc>
          <w:tcPr>
            <w:tcW w:w="458" w:type="pct"/>
            <w:tcBorders>
              <w:top w:val="single" w:sz="4" w:space="0" w:color="auto"/>
              <w:left w:val="single" w:sz="4" w:space="0" w:color="auto"/>
              <w:bottom w:val="single" w:sz="4" w:space="0" w:color="auto"/>
              <w:right w:val="single" w:sz="4" w:space="0" w:color="auto"/>
            </w:tcBorders>
          </w:tcPr>
          <w:p w14:paraId="4EA3089D" w14:textId="77777777" w:rsidR="00E541EE" w:rsidRPr="00BE146C" w:rsidRDefault="00E541EE" w:rsidP="00A84BB5">
            <w:pPr>
              <w:jc w:val="center"/>
              <w:rPr>
                <w:rFonts w:ascii="Arial" w:hAnsi="Arial" w:cs="Arial"/>
                <w:sz w:val="14"/>
                <w:szCs w:val="14"/>
              </w:rPr>
            </w:pPr>
            <w:r w:rsidRPr="00BE146C">
              <w:rPr>
                <w:rFonts w:ascii="Arial" w:eastAsia="Times New Roman" w:hAnsi="Arial" w:cs="Arial"/>
                <w:sz w:val="14"/>
                <w:szCs w:val="14"/>
              </w:rPr>
              <w:t>Broj korisnika sredstava za subvenciju stanovanja</w:t>
            </w:r>
          </w:p>
        </w:tc>
        <w:tc>
          <w:tcPr>
            <w:tcW w:w="431" w:type="pct"/>
            <w:tcBorders>
              <w:top w:val="single" w:sz="4" w:space="0" w:color="auto"/>
              <w:left w:val="single" w:sz="4" w:space="0" w:color="auto"/>
              <w:bottom w:val="single" w:sz="4" w:space="0" w:color="auto"/>
              <w:right w:val="single" w:sz="4" w:space="0" w:color="auto"/>
            </w:tcBorders>
          </w:tcPr>
          <w:p w14:paraId="5F8E5EFA" w14:textId="77777777" w:rsidR="00E541EE" w:rsidRPr="00BE146C" w:rsidRDefault="00E541EE" w:rsidP="00A84BB5">
            <w:pPr>
              <w:jc w:val="center"/>
              <w:rPr>
                <w:rFonts w:ascii="Arial" w:hAnsi="Arial" w:cs="Arial"/>
                <w:sz w:val="14"/>
                <w:szCs w:val="14"/>
              </w:rPr>
            </w:pPr>
            <w:r w:rsidRPr="00BE146C">
              <w:rPr>
                <w:rFonts w:ascii="Arial" w:eastAsia="Times New Roman" w:hAnsi="Arial" w:cs="Arial"/>
                <w:sz w:val="14"/>
                <w:szCs w:val="14"/>
              </w:rPr>
              <w:t>20</w:t>
            </w:r>
          </w:p>
        </w:tc>
        <w:tc>
          <w:tcPr>
            <w:tcW w:w="280" w:type="pct"/>
            <w:tcBorders>
              <w:top w:val="single" w:sz="4" w:space="0" w:color="auto"/>
              <w:left w:val="single" w:sz="4" w:space="0" w:color="auto"/>
              <w:bottom w:val="single" w:sz="4" w:space="0" w:color="auto"/>
              <w:right w:val="single" w:sz="4" w:space="0" w:color="auto"/>
            </w:tcBorders>
          </w:tcPr>
          <w:p w14:paraId="73DE84E5" w14:textId="77777777" w:rsidR="00E541EE" w:rsidRPr="00BE146C" w:rsidRDefault="00E541EE" w:rsidP="00A84BB5">
            <w:pPr>
              <w:jc w:val="center"/>
              <w:rPr>
                <w:rFonts w:ascii="Arial" w:hAnsi="Arial" w:cs="Arial"/>
                <w:sz w:val="14"/>
                <w:szCs w:val="14"/>
              </w:rPr>
            </w:pPr>
            <w:r w:rsidRPr="00BE146C">
              <w:rPr>
                <w:rFonts w:ascii="Arial" w:eastAsia="Times New Roman" w:hAnsi="Arial" w:cs="Arial"/>
                <w:sz w:val="14"/>
                <w:szCs w:val="14"/>
              </w:rPr>
              <w:t>20</w:t>
            </w:r>
          </w:p>
        </w:tc>
        <w:tc>
          <w:tcPr>
            <w:tcW w:w="356" w:type="pct"/>
            <w:tcBorders>
              <w:top w:val="single" w:sz="4" w:space="0" w:color="auto"/>
              <w:left w:val="single" w:sz="4" w:space="0" w:color="auto"/>
              <w:bottom w:val="single" w:sz="4" w:space="0" w:color="auto"/>
              <w:right w:val="single" w:sz="4" w:space="0" w:color="auto"/>
            </w:tcBorders>
          </w:tcPr>
          <w:p w14:paraId="3A9D2A7F" w14:textId="77777777" w:rsidR="00E541EE" w:rsidRPr="00BE146C" w:rsidRDefault="00E541EE" w:rsidP="00A84BB5">
            <w:pPr>
              <w:jc w:val="center"/>
              <w:rPr>
                <w:rFonts w:ascii="Arial" w:hAnsi="Arial" w:cs="Arial"/>
                <w:sz w:val="14"/>
                <w:szCs w:val="14"/>
              </w:rPr>
            </w:pPr>
            <w:r w:rsidRPr="00BE146C">
              <w:rPr>
                <w:rFonts w:ascii="Arial" w:eastAsia="Times New Roman" w:hAnsi="Arial" w:cs="Arial"/>
                <w:sz w:val="14"/>
                <w:szCs w:val="14"/>
              </w:rPr>
              <w:t>20</w:t>
            </w:r>
          </w:p>
        </w:tc>
        <w:tc>
          <w:tcPr>
            <w:tcW w:w="280" w:type="pct"/>
            <w:tcBorders>
              <w:top w:val="single" w:sz="4" w:space="0" w:color="auto"/>
              <w:left w:val="single" w:sz="4" w:space="0" w:color="auto"/>
              <w:bottom w:val="single" w:sz="4" w:space="0" w:color="auto"/>
              <w:right w:val="single" w:sz="4" w:space="0" w:color="auto"/>
            </w:tcBorders>
          </w:tcPr>
          <w:p w14:paraId="3A7413CB" w14:textId="77777777" w:rsidR="00E541EE" w:rsidRPr="00BE146C" w:rsidRDefault="00E541EE" w:rsidP="00A84BB5">
            <w:pPr>
              <w:jc w:val="center"/>
              <w:rPr>
                <w:rFonts w:ascii="Arial" w:hAnsi="Arial" w:cs="Arial"/>
                <w:sz w:val="14"/>
                <w:szCs w:val="14"/>
              </w:rPr>
            </w:pPr>
            <w:r w:rsidRPr="00BE146C">
              <w:rPr>
                <w:rFonts w:ascii="Arial" w:eastAsia="Times New Roman" w:hAnsi="Arial" w:cs="Arial"/>
                <w:sz w:val="14"/>
                <w:szCs w:val="14"/>
              </w:rPr>
              <w:t>25</w:t>
            </w:r>
          </w:p>
        </w:tc>
      </w:tr>
      <w:tr w:rsidR="00E541EE" w:rsidRPr="00AC2206" w14:paraId="65BC8AA1" w14:textId="77777777" w:rsidTr="00736B58">
        <w:trPr>
          <w:trHeight w:val="1421"/>
        </w:trPr>
        <w:tc>
          <w:tcPr>
            <w:tcW w:w="452" w:type="pct"/>
            <w:vMerge/>
          </w:tcPr>
          <w:p w14:paraId="27B105C8" w14:textId="77777777" w:rsidR="00E541EE" w:rsidRPr="00BE146C" w:rsidRDefault="00E541EE" w:rsidP="00A84BB5">
            <w:pPr>
              <w:widowControl w:val="0"/>
              <w:autoSpaceDE w:val="0"/>
              <w:autoSpaceDN w:val="0"/>
              <w:spacing w:before="49"/>
              <w:ind w:left="44" w:right="35"/>
              <w:jc w:val="center"/>
              <w:rPr>
                <w:rFonts w:ascii="Arial" w:hAnsi="Arial" w:cs="Arial"/>
                <w:sz w:val="14"/>
                <w:szCs w:val="14"/>
              </w:rPr>
            </w:pPr>
          </w:p>
        </w:tc>
        <w:tc>
          <w:tcPr>
            <w:tcW w:w="486" w:type="pct"/>
            <w:vMerge/>
          </w:tcPr>
          <w:p w14:paraId="4D3793AF" w14:textId="77777777" w:rsidR="00E541EE" w:rsidRPr="00BE146C" w:rsidRDefault="00E541EE" w:rsidP="00A84BB5">
            <w:pPr>
              <w:widowControl w:val="0"/>
              <w:autoSpaceDE w:val="0"/>
              <w:autoSpaceDN w:val="0"/>
              <w:ind w:left="28" w:right="19" w:firstLine="2"/>
              <w:jc w:val="center"/>
              <w:rPr>
                <w:rFonts w:ascii="Arial" w:hAnsi="Arial" w:cs="Arial"/>
                <w:color w:val="FF0000"/>
                <w:sz w:val="14"/>
                <w:szCs w:val="14"/>
              </w:rPr>
            </w:pPr>
          </w:p>
        </w:tc>
        <w:tc>
          <w:tcPr>
            <w:tcW w:w="507" w:type="pct"/>
            <w:vMerge/>
            <w:tcBorders>
              <w:right w:val="single" w:sz="4" w:space="0" w:color="auto"/>
            </w:tcBorders>
            <w:shd w:val="clear" w:color="auto" w:fill="FFF1CC"/>
          </w:tcPr>
          <w:p w14:paraId="68298C18" w14:textId="77777777" w:rsidR="00E541EE" w:rsidRPr="00BE146C" w:rsidRDefault="00E541EE" w:rsidP="00A84BB5">
            <w:pPr>
              <w:widowControl w:val="0"/>
              <w:autoSpaceDE w:val="0"/>
              <w:autoSpaceDN w:val="0"/>
              <w:ind w:left="74" w:right="63" w:hanging="4"/>
              <w:rPr>
                <w:rFonts w:ascii="Arial" w:hAnsi="Arial" w:cs="Arial"/>
                <w:color w:val="FF0000"/>
                <w:sz w:val="14"/>
                <w:szCs w:val="14"/>
              </w:rPr>
            </w:pPr>
          </w:p>
        </w:tc>
        <w:tc>
          <w:tcPr>
            <w:tcW w:w="688" w:type="pct"/>
            <w:vMerge/>
            <w:tcBorders>
              <w:top w:val="single" w:sz="4" w:space="0" w:color="auto"/>
              <w:left w:val="single" w:sz="4" w:space="0" w:color="auto"/>
              <w:bottom w:val="single" w:sz="4" w:space="0" w:color="auto"/>
              <w:right w:val="single" w:sz="4" w:space="0" w:color="auto"/>
            </w:tcBorders>
          </w:tcPr>
          <w:p w14:paraId="1CF067A9" w14:textId="77777777" w:rsidR="00E541EE" w:rsidRPr="00BE146C" w:rsidRDefault="00E541EE" w:rsidP="00A84BB5">
            <w:pPr>
              <w:widowControl w:val="0"/>
              <w:autoSpaceDE w:val="0"/>
              <w:autoSpaceDN w:val="0"/>
              <w:ind w:left="29" w:right="11" w:firstLine="9"/>
              <w:rPr>
                <w:rFonts w:ascii="Arial" w:hAnsi="Arial" w:cs="Arial"/>
                <w:color w:val="FF0000"/>
                <w:sz w:val="14"/>
                <w:szCs w:val="14"/>
              </w:rPr>
            </w:pPr>
          </w:p>
        </w:tc>
        <w:tc>
          <w:tcPr>
            <w:tcW w:w="583" w:type="pct"/>
            <w:vMerge/>
            <w:tcBorders>
              <w:top w:val="single" w:sz="4" w:space="0" w:color="auto"/>
              <w:left w:val="single" w:sz="4" w:space="0" w:color="auto"/>
              <w:bottom w:val="single" w:sz="4" w:space="0" w:color="auto"/>
              <w:right w:val="single" w:sz="4" w:space="0" w:color="auto"/>
            </w:tcBorders>
            <w:shd w:val="clear" w:color="auto" w:fill="FFF1CC"/>
          </w:tcPr>
          <w:p w14:paraId="4DC58A4C" w14:textId="77777777" w:rsidR="00E541EE" w:rsidRPr="00BE146C" w:rsidRDefault="00E541EE" w:rsidP="00A84BB5">
            <w:pPr>
              <w:widowControl w:val="0"/>
              <w:autoSpaceDE w:val="0"/>
              <w:autoSpaceDN w:val="0"/>
              <w:ind w:left="142"/>
              <w:rPr>
                <w:rFonts w:ascii="Arial" w:hAnsi="Arial" w:cs="Arial"/>
                <w:color w:val="FF0000"/>
                <w:sz w:val="14"/>
                <w:szCs w:val="14"/>
              </w:rPr>
            </w:pPr>
          </w:p>
        </w:tc>
        <w:tc>
          <w:tcPr>
            <w:tcW w:w="480" w:type="pct"/>
            <w:vMerge/>
            <w:tcBorders>
              <w:left w:val="single" w:sz="4" w:space="0" w:color="auto"/>
              <w:right w:val="single" w:sz="4" w:space="0" w:color="auto"/>
            </w:tcBorders>
          </w:tcPr>
          <w:p w14:paraId="2E575F86" w14:textId="77777777" w:rsidR="00E541EE" w:rsidRPr="00BE146C" w:rsidRDefault="00E541EE" w:rsidP="00A84BB5">
            <w:pPr>
              <w:rPr>
                <w:rFonts w:ascii="Arial" w:hAnsi="Arial" w:cs="Arial"/>
                <w:sz w:val="14"/>
                <w:szCs w:val="14"/>
              </w:rPr>
            </w:pPr>
          </w:p>
        </w:tc>
        <w:tc>
          <w:tcPr>
            <w:tcW w:w="458" w:type="pct"/>
            <w:tcBorders>
              <w:top w:val="single" w:sz="4" w:space="0" w:color="auto"/>
              <w:left w:val="single" w:sz="4" w:space="0" w:color="auto"/>
              <w:bottom w:val="single" w:sz="4" w:space="0" w:color="auto"/>
              <w:right w:val="single" w:sz="4" w:space="0" w:color="auto"/>
            </w:tcBorders>
          </w:tcPr>
          <w:p w14:paraId="68F87051" w14:textId="77777777" w:rsidR="00E541EE" w:rsidRPr="00BE146C" w:rsidRDefault="00E541EE" w:rsidP="00A84BB5">
            <w:pPr>
              <w:jc w:val="center"/>
              <w:rPr>
                <w:rFonts w:ascii="Arial" w:hAnsi="Arial" w:cs="Arial"/>
                <w:sz w:val="14"/>
                <w:szCs w:val="14"/>
              </w:rPr>
            </w:pPr>
            <w:r w:rsidRPr="00BE146C">
              <w:rPr>
                <w:rFonts w:ascii="Arial" w:eastAsia="Times New Roman" w:hAnsi="Arial" w:cs="Arial"/>
                <w:sz w:val="14"/>
                <w:szCs w:val="14"/>
              </w:rPr>
              <w:t>Broj korisnika besplatnog prijevoza</w:t>
            </w:r>
          </w:p>
        </w:tc>
        <w:tc>
          <w:tcPr>
            <w:tcW w:w="431" w:type="pct"/>
            <w:tcBorders>
              <w:top w:val="single" w:sz="4" w:space="0" w:color="auto"/>
              <w:left w:val="single" w:sz="4" w:space="0" w:color="auto"/>
              <w:bottom w:val="single" w:sz="4" w:space="0" w:color="auto"/>
              <w:right w:val="single" w:sz="4" w:space="0" w:color="auto"/>
            </w:tcBorders>
          </w:tcPr>
          <w:p w14:paraId="1DF9CF0F" w14:textId="77777777" w:rsidR="00E541EE" w:rsidRPr="00BE146C" w:rsidRDefault="00E541EE" w:rsidP="00A84BB5">
            <w:pPr>
              <w:jc w:val="center"/>
              <w:rPr>
                <w:rFonts w:ascii="Arial" w:hAnsi="Arial" w:cs="Arial"/>
                <w:sz w:val="14"/>
                <w:szCs w:val="14"/>
              </w:rPr>
            </w:pPr>
            <w:r w:rsidRPr="00BE146C">
              <w:rPr>
                <w:rFonts w:ascii="Arial" w:eastAsia="Times New Roman" w:hAnsi="Arial" w:cs="Arial"/>
                <w:sz w:val="14"/>
                <w:szCs w:val="14"/>
              </w:rPr>
              <w:t>97</w:t>
            </w:r>
          </w:p>
        </w:tc>
        <w:tc>
          <w:tcPr>
            <w:tcW w:w="280" w:type="pct"/>
            <w:tcBorders>
              <w:top w:val="single" w:sz="4" w:space="0" w:color="auto"/>
              <w:left w:val="single" w:sz="4" w:space="0" w:color="auto"/>
              <w:bottom w:val="single" w:sz="4" w:space="0" w:color="auto"/>
              <w:right w:val="single" w:sz="4" w:space="0" w:color="auto"/>
            </w:tcBorders>
          </w:tcPr>
          <w:p w14:paraId="1389410D" w14:textId="77777777" w:rsidR="00E541EE" w:rsidRPr="00BE146C" w:rsidRDefault="00E541EE" w:rsidP="00A84BB5">
            <w:pPr>
              <w:jc w:val="center"/>
              <w:rPr>
                <w:rFonts w:ascii="Arial" w:hAnsi="Arial" w:cs="Arial"/>
                <w:sz w:val="14"/>
                <w:szCs w:val="14"/>
              </w:rPr>
            </w:pPr>
            <w:r w:rsidRPr="00BE146C">
              <w:rPr>
                <w:rFonts w:ascii="Arial" w:eastAsia="Times New Roman" w:hAnsi="Arial" w:cs="Arial"/>
                <w:sz w:val="14"/>
                <w:szCs w:val="14"/>
              </w:rPr>
              <w:t>100</w:t>
            </w:r>
          </w:p>
        </w:tc>
        <w:tc>
          <w:tcPr>
            <w:tcW w:w="356" w:type="pct"/>
            <w:tcBorders>
              <w:top w:val="single" w:sz="4" w:space="0" w:color="auto"/>
              <w:left w:val="single" w:sz="4" w:space="0" w:color="auto"/>
              <w:bottom w:val="single" w:sz="4" w:space="0" w:color="auto"/>
              <w:right w:val="single" w:sz="4" w:space="0" w:color="auto"/>
            </w:tcBorders>
          </w:tcPr>
          <w:p w14:paraId="139157F5" w14:textId="77777777" w:rsidR="00E541EE" w:rsidRPr="00BE146C" w:rsidRDefault="00E541EE" w:rsidP="00A84BB5">
            <w:pPr>
              <w:jc w:val="center"/>
              <w:rPr>
                <w:rFonts w:ascii="Arial" w:hAnsi="Arial" w:cs="Arial"/>
                <w:sz w:val="14"/>
                <w:szCs w:val="14"/>
              </w:rPr>
            </w:pPr>
            <w:r w:rsidRPr="00BE146C">
              <w:rPr>
                <w:rFonts w:ascii="Arial" w:eastAsia="Times New Roman" w:hAnsi="Arial" w:cs="Arial"/>
                <w:sz w:val="14"/>
                <w:szCs w:val="14"/>
              </w:rPr>
              <w:t>120</w:t>
            </w:r>
          </w:p>
        </w:tc>
        <w:tc>
          <w:tcPr>
            <w:tcW w:w="280" w:type="pct"/>
            <w:tcBorders>
              <w:top w:val="single" w:sz="4" w:space="0" w:color="auto"/>
              <w:left w:val="single" w:sz="4" w:space="0" w:color="auto"/>
              <w:bottom w:val="single" w:sz="4" w:space="0" w:color="auto"/>
              <w:right w:val="single" w:sz="4" w:space="0" w:color="auto"/>
            </w:tcBorders>
          </w:tcPr>
          <w:p w14:paraId="49E80960" w14:textId="77777777" w:rsidR="00E541EE" w:rsidRPr="00BE146C" w:rsidRDefault="00E541EE" w:rsidP="00A84BB5">
            <w:pPr>
              <w:jc w:val="center"/>
              <w:rPr>
                <w:rFonts w:ascii="Arial" w:hAnsi="Arial" w:cs="Arial"/>
                <w:sz w:val="14"/>
                <w:szCs w:val="14"/>
              </w:rPr>
            </w:pPr>
            <w:r w:rsidRPr="00BE146C">
              <w:rPr>
                <w:rFonts w:ascii="Arial" w:eastAsia="Times New Roman" w:hAnsi="Arial" w:cs="Arial"/>
                <w:sz w:val="14"/>
                <w:szCs w:val="14"/>
              </w:rPr>
              <w:t>120</w:t>
            </w:r>
          </w:p>
        </w:tc>
      </w:tr>
      <w:tr w:rsidR="00E541EE" w:rsidRPr="00AC2206" w14:paraId="42AB0CD9" w14:textId="77777777" w:rsidTr="00736B58">
        <w:trPr>
          <w:trHeight w:val="1038"/>
        </w:trPr>
        <w:tc>
          <w:tcPr>
            <w:tcW w:w="452" w:type="pct"/>
            <w:vMerge/>
          </w:tcPr>
          <w:p w14:paraId="0D1F2BC4" w14:textId="77777777" w:rsidR="00E541EE" w:rsidRPr="00BE146C" w:rsidRDefault="00E541EE" w:rsidP="00A84BB5">
            <w:pPr>
              <w:widowControl w:val="0"/>
              <w:autoSpaceDE w:val="0"/>
              <w:autoSpaceDN w:val="0"/>
              <w:spacing w:before="49"/>
              <w:ind w:left="44" w:right="35"/>
              <w:jc w:val="center"/>
              <w:rPr>
                <w:rFonts w:ascii="Arial" w:hAnsi="Arial" w:cs="Arial"/>
                <w:sz w:val="14"/>
                <w:szCs w:val="14"/>
              </w:rPr>
            </w:pPr>
          </w:p>
        </w:tc>
        <w:tc>
          <w:tcPr>
            <w:tcW w:w="486" w:type="pct"/>
            <w:vMerge/>
          </w:tcPr>
          <w:p w14:paraId="7FDEB98B" w14:textId="77777777" w:rsidR="00E541EE" w:rsidRPr="00BE146C" w:rsidRDefault="00E541EE" w:rsidP="00A84BB5">
            <w:pPr>
              <w:widowControl w:val="0"/>
              <w:autoSpaceDE w:val="0"/>
              <w:autoSpaceDN w:val="0"/>
              <w:ind w:left="28" w:right="19" w:firstLine="2"/>
              <w:jc w:val="center"/>
              <w:rPr>
                <w:rFonts w:ascii="Arial" w:hAnsi="Arial" w:cs="Arial"/>
                <w:color w:val="FF0000"/>
                <w:sz w:val="14"/>
                <w:szCs w:val="14"/>
              </w:rPr>
            </w:pPr>
          </w:p>
        </w:tc>
        <w:tc>
          <w:tcPr>
            <w:tcW w:w="507" w:type="pct"/>
            <w:vMerge/>
            <w:tcBorders>
              <w:right w:val="single" w:sz="4" w:space="0" w:color="auto"/>
            </w:tcBorders>
            <w:shd w:val="clear" w:color="auto" w:fill="FFF1CC"/>
          </w:tcPr>
          <w:p w14:paraId="1E81044E" w14:textId="77777777" w:rsidR="00E541EE" w:rsidRPr="00BE146C" w:rsidRDefault="00E541EE" w:rsidP="00A84BB5">
            <w:pPr>
              <w:widowControl w:val="0"/>
              <w:autoSpaceDE w:val="0"/>
              <w:autoSpaceDN w:val="0"/>
              <w:ind w:left="74" w:right="63" w:hanging="4"/>
              <w:rPr>
                <w:rFonts w:ascii="Arial" w:hAnsi="Arial" w:cs="Arial"/>
                <w:color w:val="FF0000"/>
                <w:sz w:val="14"/>
                <w:szCs w:val="14"/>
              </w:rPr>
            </w:pPr>
          </w:p>
        </w:tc>
        <w:tc>
          <w:tcPr>
            <w:tcW w:w="688" w:type="pct"/>
            <w:vMerge/>
            <w:tcBorders>
              <w:top w:val="single" w:sz="4" w:space="0" w:color="auto"/>
              <w:left w:val="single" w:sz="4" w:space="0" w:color="auto"/>
              <w:bottom w:val="single" w:sz="4" w:space="0" w:color="auto"/>
              <w:right w:val="single" w:sz="4" w:space="0" w:color="auto"/>
            </w:tcBorders>
          </w:tcPr>
          <w:p w14:paraId="568EF316" w14:textId="77777777" w:rsidR="00E541EE" w:rsidRPr="00BE146C" w:rsidRDefault="00E541EE" w:rsidP="00A84BB5">
            <w:pPr>
              <w:widowControl w:val="0"/>
              <w:autoSpaceDE w:val="0"/>
              <w:autoSpaceDN w:val="0"/>
              <w:ind w:left="29" w:right="11" w:firstLine="9"/>
              <w:rPr>
                <w:rFonts w:ascii="Arial" w:hAnsi="Arial" w:cs="Arial"/>
                <w:color w:val="FF0000"/>
                <w:sz w:val="14"/>
                <w:szCs w:val="14"/>
              </w:rPr>
            </w:pPr>
          </w:p>
        </w:tc>
        <w:tc>
          <w:tcPr>
            <w:tcW w:w="583" w:type="pct"/>
            <w:vMerge/>
            <w:tcBorders>
              <w:top w:val="single" w:sz="4" w:space="0" w:color="auto"/>
              <w:left w:val="single" w:sz="4" w:space="0" w:color="auto"/>
              <w:bottom w:val="single" w:sz="4" w:space="0" w:color="auto"/>
              <w:right w:val="single" w:sz="4" w:space="0" w:color="auto"/>
            </w:tcBorders>
            <w:shd w:val="clear" w:color="auto" w:fill="FFF1CC"/>
          </w:tcPr>
          <w:p w14:paraId="45106929" w14:textId="77777777" w:rsidR="00E541EE" w:rsidRPr="00BE146C" w:rsidRDefault="00E541EE" w:rsidP="00A84BB5">
            <w:pPr>
              <w:widowControl w:val="0"/>
              <w:autoSpaceDE w:val="0"/>
              <w:autoSpaceDN w:val="0"/>
              <w:ind w:left="142"/>
              <w:rPr>
                <w:rFonts w:ascii="Arial" w:hAnsi="Arial" w:cs="Arial"/>
                <w:color w:val="FF0000"/>
                <w:sz w:val="14"/>
                <w:szCs w:val="14"/>
              </w:rPr>
            </w:pPr>
          </w:p>
        </w:tc>
        <w:tc>
          <w:tcPr>
            <w:tcW w:w="480" w:type="pct"/>
            <w:vMerge/>
            <w:tcBorders>
              <w:left w:val="single" w:sz="4" w:space="0" w:color="auto"/>
              <w:right w:val="single" w:sz="4" w:space="0" w:color="auto"/>
            </w:tcBorders>
          </w:tcPr>
          <w:p w14:paraId="219F1F64" w14:textId="77777777" w:rsidR="00E541EE" w:rsidRPr="00BE146C" w:rsidRDefault="00E541EE" w:rsidP="00A84BB5">
            <w:pPr>
              <w:rPr>
                <w:rFonts w:ascii="Arial" w:hAnsi="Arial" w:cs="Arial"/>
                <w:sz w:val="14"/>
                <w:szCs w:val="14"/>
              </w:rPr>
            </w:pPr>
          </w:p>
        </w:tc>
        <w:tc>
          <w:tcPr>
            <w:tcW w:w="458" w:type="pct"/>
            <w:tcBorders>
              <w:top w:val="single" w:sz="4" w:space="0" w:color="auto"/>
              <w:left w:val="single" w:sz="4" w:space="0" w:color="auto"/>
              <w:bottom w:val="single" w:sz="4" w:space="0" w:color="auto"/>
              <w:right w:val="single" w:sz="4" w:space="0" w:color="auto"/>
            </w:tcBorders>
          </w:tcPr>
          <w:p w14:paraId="7083FC78" w14:textId="77777777" w:rsidR="00E541EE" w:rsidRPr="00BE146C" w:rsidRDefault="00E541EE" w:rsidP="00A84BB5">
            <w:pPr>
              <w:jc w:val="center"/>
              <w:rPr>
                <w:rFonts w:ascii="Arial" w:hAnsi="Arial" w:cs="Arial"/>
                <w:sz w:val="14"/>
                <w:szCs w:val="14"/>
              </w:rPr>
            </w:pPr>
            <w:r>
              <w:rPr>
                <w:rFonts w:ascii="Arial" w:eastAsia="Times New Roman" w:hAnsi="Arial" w:cs="Arial"/>
                <w:sz w:val="14"/>
                <w:szCs w:val="14"/>
              </w:rPr>
              <w:t xml:space="preserve">   </w:t>
            </w:r>
            <w:r w:rsidRPr="00BE146C">
              <w:rPr>
                <w:rFonts w:ascii="Arial" w:eastAsia="Times New Roman" w:hAnsi="Arial" w:cs="Arial"/>
                <w:sz w:val="14"/>
                <w:szCs w:val="14"/>
              </w:rPr>
              <w:t>Broj korisnika na pakete hrane i higijenske potrepštine</w:t>
            </w:r>
          </w:p>
        </w:tc>
        <w:tc>
          <w:tcPr>
            <w:tcW w:w="431" w:type="pct"/>
            <w:tcBorders>
              <w:top w:val="single" w:sz="4" w:space="0" w:color="auto"/>
              <w:left w:val="single" w:sz="4" w:space="0" w:color="auto"/>
              <w:bottom w:val="single" w:sz="4" w:space="0" w:color="auto"/>
              <w:right w:val="single" w:sz="4" w:space="0" w:color="auto"/>
            </w:tcBorders>
          </w:tcPr>
          <w:p w14:paraId="127969D4" w14:textId="77777777" w:rsidR="00E541EE" w:rsidRPr="00BE146C" w:rsidRDefault="00E541EE" w:rsidP="00A84BB5">
            <w:pPr>
              <w:jc w:val="center"/>
              <w:rPr>
                <w:rFonts w:ascii="Arial" w:hAnsi="Arial" w:cs="Arial"/>
                <w:sz w:val="14"/>
                <w:szCs w:val="14"/>
              </w:rPr>
            </w:pPr>
            <w:r w:rsidRPr="00BE146C">
              <w:rPr>
                <w:rFonts w:ascii="Arial" w:eastAsia="Times New Roman" w:hAnsi="Arial" w:cs="Arial"/>
                <w:sz w:val="14"/>
                <w:szCs w:val="14"/>
              </w:rPr>
              <w:t>430</w:t>
            </w:r>
          </w:p>
        </w:tc>
        <w:tc>
          <w:tcPr>
            <w:tcW w:w="280" w:type="pct"/>
            <w:tcBorders>
              <w:top w:val="single" w:sz="4" w:space="0" w:color="auto"/>
              <w:left w:val="single" w:sz="4" w:space="0" w:color="auto"/>
              <w:bottom w:val="single" w:sz="4" w:space="0" w:color="auto"/>
              <w:right w:val="single" w:sz="4" w:space="0" w:color="auto"/>
            </w:tcBorders>
          </w:tcPr>
          <w:p w14:paraId="56DDA296" w14:textId="77777777" w:rsidR="00E541EE" w:rsidRPr="00BE146C" w:rsidRDefault="00E541EE" w:rsidP="00A84BB5">
            <w:pPr>
              <w:jc w:val="center"/>
              <w:rPr>
                <w:rFonts w:ascii="Arial" w:hAnsi="Arial" w:cs="Arial"/>
                <w:sz w:val="14"/>
                <w:szCs w:val="14"/>
              </w:rPr>
            </w:pPr>
            <w:r w:rsidRPr="00BE146C">
              <w:rPr>
                <w:rFonts w:ascii="Arial" w:eastAsia="Times New Roman" w:hAnsi="Arial" w:cs="Arial"/>
                <w:sz w:val="14"/>
                <w:szCs w:val="14"/>
              </w:rPr>
              <w:t>450</w:t>
            </w:r>
          </w:p>
        </w:tc>
        <w:tc>
          <w:tcPr>
            <w:tcW w:w="356" w:type="pct"/>
            <w:tcBorders>
              <w:top w:val="single" w:sz="4" w:space="0" w:color="auto"/>
              <w:left w:val="single" w:sz="4" w:space="0" w:color="auto"/>
              <w:bottom w:val="single" w:sz="4" w:space="0" w:color="auto"/>
              <w:right w:val="single" w:sz="4" w:space="0" w:color="auto"/>
            </w:tcBorders>
          </w:tcPr>
          <w:p w14:paraId="0FB333A8" w14:textId="77777777" w:rsidR="00E541EE" w:rsidRPr="00BE146C" w:rsidRDefault="00E541EE" w:rsidP="00A84BB5">
            <w:pPr>
              <w:jc w:val="center"/>
              <w:rPr>
                <w:rFonts w:ascii="Arial" w:hAnsi="Arial" w:cs="Arial"/>
                <w:sz w:val="14"/>
                <w:szCs w:val="14"/>
              </w:rPr>
            </w:pPr>
            <w:r w:rsidRPr="00BE146C">
              <w:rPr>
                <w:rFonts w:ascii="Arial" w:eastAsia="Times New Roman" w:hAnsi="Arial" w:cs="Arial"/>
                <w:sz w:val="14"/>
                <w:szCs w:val="14"/>
              </w:rPr>
              <w:t>500</w:t>
            </w:r>
          </w:p>
        </w:tc>
        <w:tc>
          <w:tcPr>
            <w:tcW w:w="280" w:type="pct"/>
            <w:tcBorders>
              <w:top w:val="single" w:sz="4" w:space="0" w:color="auto"/>
              <w:left w:val="single" w:sz="4" w:space="0" w:color="auto"/>
              <w:bottom w:val="single" w:sz="4" w:space="0" w:color="auto"/>
              <w:right w:val="single" w:sz="4" w:space="0" w:color="auto"/>
            </w:tcBorders>
          </w:tcPr>
          <w:p w14:paraId="68D15B5E" w14:textId="77777777" w:rsidR="00E541EE" w:rsidRPr="00BE146C" w:rsidRDefault="00E541EE" w:rsidP="00A84BB5">
            <w:pPr>
              <w:jc w:val="center"/>
              <w:rPr>
                <w:rFonts w:ascii="Arial" w:hAnsi="Arial" w:cs="Arial"/>
                <w:sz w:val="14"/>
                <w:szCs w:val="14"/>
              </w:rPr>
            </w:pPr>
            <w:r w:rsidRPr="00BE146C">
              <w:rPr>
                <w:rFonts w:ascii="Arial" w:eastAsia="Times New Roman" w:hAnsi="Arial" w:cs="Arial"/>
                <w:sz w:val="14"/>
                <w:szCs w:val="14"/>
              </w:rPr>
              <w:t>500</w:t>
            </w:r>
          </w:p>
        </w:tc>
      </w:tr>
      <w:tr w:rsidR="00E541EE" w:rsidRPr="00AC2206" w14:paraId="20EF59AA" w14:textId="77777777" w:rsidTr="00736B58">
        <w:trPr>
          <w:trHeight w:val="1403"/>
        </w:trPr>
        <w:tc>
          <w:tcPr>
            <w:tcW w:w="452" w:type="pct"/>
            <w:vMerge/>
          </w:tcPr>
          <w:p w14:paraId="3718C9A8" w14:textId="77777777" w:rsidR="00E541EE" w:rsidRPr="00BE146C" w:rsidRDefault="00E541EE" w:rsidP="00A84BB5">
            <w:pPr>
              <w:widowControl w:val="0"/>
              <w:autoSpaceDE w:val="0"/>
              <w:autoSpaceDN w:val="0"/>
              <w:spacing w:before="49"/>
              <w:ind w:left="44" w:right="35"/>
              <w:jc w:val="center"/>
              <w:rPr>
                <w:rFonts w:ascii="Arial" w:hAnsi="Arial" w:cs="Arial"/>
                <w:sz w:val="14"/>
                <w:szCs w:val="14"/>
              </w:rPr>
            </w:pPr>
          </w:p>
        </w:tc>
        <w:tc>
          <w:tcPr>
            <w:tcW w:w="486" w:type="pct"/>
            <w:vMerge/>
          </w:tcPr>
          <w:p w14:paraId="4CFD104A" w14:textId="77777777" w:rsidR="00E541EE" w:rsidRPr="00BE146C" w:rsidRDefault="00E541EE" w:rsidP="00A84BB5">
            <w:pPr>
              <w:widowControl w:val="0"/>
              <w:autoSpaceDE w:val="0"/>
              <w:autoSpaceDN w:val="0"/>
              <w:ind w:left="28" w:right="19" w:firstLine="2"/>
              <w:jc w:val="center"/>
              <w:rPr>
                <w:rFonts w:ascii="Arial" w:hAnsi="Arial" w:cs="Arial"/>
                <w:color w:val="FF0000"/>
                <w:sz w:val="14"/>
                <w:szCs w:val="14"/>
              </w:rPr>
            </w:pPr>
          </w:p>
        </w:tc>
        <w:tc>
          <w:tcPr>
            <w:tcW w:w="507" w:type="pct"/>
            <w:vMerge/>
            <w:tcBorders>
              <w:right w:val="single" w:sz="4" w:space="0" w:color="auto"/>
            </w:tcBorders>
            <w:shd w:val="clear" w:color="auto" w:fill="FFF1CC"/>
          </w:tcPr>
          <w:p w14:paraId="2366D40E" w14:textId="77777777" w:rsidR="00E541EE" w:rsidRPr="00BE146C" w:rsidRDefault="00E541EE" w:rsidP="00A84BB5">
            <w:pPr>
              <w:widowControl w:val="0"/>
              <w:autoSpaceDE w:val="0"/>
              <w:autoSpaceDN w:val="0"/>
              <w:ind w:left="74" w:right="63" w:hanging="4"/>
              <w:rPr>
                <w:rFonts w:ascii="Arial" w:hAnsi="Arial" w:cs="Arial"/>
                <w:color w:val="FF0000"/>
                <w:sz w:val="14"/>
                <w:szCs w:val="14"/>
              </w:rPr>
            </w:pPr>
          </w:p>
        </w:tc>
        <w:tc>
          <w:tcPr>
            <w:tcW w:w="688" w:type="pct"/>
            <w:vMerge/>
            <w:tcBorders>
              <w:top w:val="single" w:sz="4" w:space="0" w:color="auto"/>
              <w:left w:val="single" w:sz="4" w:space="0" w:color="auto"/>
              <w:bottom w:val="single" w:sz="4" w:space="0" w:color="auto"/>
              <w:right w:val="single" w:sz="4" w:space="0" w:color="auto"/>
            </w:tcBorders>
          </w:tcPr>
          <w:p w14:paraId="3AE1E983" w14:textId="77777777" w:rsidR="00E541EE" w:rsidRPr="00BE146C" w:rsidRDefault="00E541EE" w:rsidP="00A84BB5">
            <w:pPr>
              <w:widowControl w:val="0"/>
              <w:autoSpaceDE w:val="0"/>
              <w:autoSpaceDN w:val="0"/>
              <w:ind w:left="29" w:right="11" w:firstLine="9"/>
              <w:rPr>
                <w:rFonts w:ascii="Arial" w:hAnsi="Arial" w:cs="Arial"/>
                <w:color w:val="FF0000"/>
                <w:sz w:val="14"/>
                <w:szCs w:val="14"/>
              </w:rPr>
            </w:pPr>
          </w:p>
        </w:tc>
        <w:tc>
          <w:tcPr>
            <w:tcW w:w="583" w:type="pct"/>
            <w:vMerge/>
            <w:tcBorders>
              <w:top w:val="single" w:sz="4" w:space="0" w:color="auto"/>
              <w:left w:val="single" w:sz="4" w:space="0" w:color="auto"/>
              <w:bottom w:val="single" w:sz="4" w:space="0" w:color="auto"/>
              <w:right w:val="single" w:sz="4" w:space="0" w:color="auto"/>
            </w:tcBorders>
            <w:shd w:val="clear" w:color="auto" w:fill="FFF1CC"/>
          </w:tcPr>
          <w:p w14:paraId="07C82AEC" w14:textId="77777777" w:rsidR="00E541EE" w:rsidRPr="00BE146C" w:rsidRDefault="00E541EE" w:rsidP="00A84BB5">
            <w:pPr>
              <w:widowControl w:val="0"/>
              <w:autoSpaceDE w:val="0"/>
              <w:autoSpaceDN w:val="0"/>
              <w:ind w:left="142"/>
              <w:rPr>
                <w:rFonts w:ascii="Arial" w:hAnsi="Arial" w:cs="Arial"/>
                <w:color w:val="FF0000"/>
                <w:sz w:val="14"/>
                <w:szCs w:val="14"/>
              </w:rPr>
            </w:pPr>
          </w:p>
        </w:tc>
        <w:tc>
          <w:tcPr>
            <w:tcW w:w="480" w:type="pct"/>
            <w:vMerge/>
            <w:tcBorders>
              <w:left w:val="single" w:sz="4" w:space="0" w:color="auto"/>
              <w:right w:val="single" w:sz="4" w:space="0" w:color="auto"/>
            </w:tcBorders>
          </w:tcPr>
          <w:p w14:paraId="25235B87" w14:textId="77777777" w:rsidR="00E541EE" w:rsidRPr="00BE146C" w:rsidRDefault="00E541EE" w:rsidP="00A84BB5">
            <w:pPr>
              <w:rPr>
                <w:rFonts w:ascii="Arial" w:hAnsi="Arial" w:cs="Arial"/>
                <w:sz w:val="14"/>
                <w:szCs w:val="14"/>
              </w:rPr>
            </w:pPr>
          </w:p>
        </w:tc>
        <w:tc>
          <w:tcPr>
            <w:tcW w:w="458" w:type="pct"/>
            <w:tcBorders>
              <w:top w:val="single" w:sz="4" w:space="0" w:color="auto"/>
              <w:left w:val="single" w:sz="4" w:space="0" w:color="auto"/>
              <w:bottom w:val="single" w:sz="4" w:space="0" w:color="auto"/>
              <w:right w:val="single" w:sz="4" w:space="0" w:color="auto"/>
            </w:tcBorders>
            <w:shd w:val="clear" w:color="auto" w:fill="FFFFFF" w:themeFill="background1"/>
          </w:tcPr>
          <w:p w14:paraId="587B21EF" w14:textId="77777777" w:rsidR="00E541EE" w:rsidRPr="00BE146C" w:rsidRDefault="00E541EE" w:rsidP="00A84BB5">
            <w:pPr>
              <w:jc w:val="center"/>
              <w:rPr>
                <w:rFonts w:ascii="Arial" w:hAnsi="Arial" w:cs="Arial"/>
                <w:sz w:val="14"/>
                <w:szCs w:val="14"/>
              </w:rPr>
            </w:pPr>
            <w:r w:rsidRPr="00BE146C">
              <w:rPr>
                <w:rFonts w:ascii="Arial" w:eastAsia="Times New Roman" w:hAnsi="Arial" w:cs="Arial"/>
                <w:sz w:val="14"/>
                <w:szCs w:val="14"/>
              </w:rPr>
              <w:t>Broj dodijeljenih potpora za novorođenčad</w:t>
            </w:r>
          </w:p>
        </w:tc>
        <w:tc>
          <w:tcPr>
            <w:tcW w:w="431" w:type="pct"/>
            <w:tcBorders>
              <w:top w:val="single" w:sz="4" w:space="0" w:color="auto"/>
              <w:left w:val="single" w:sz="4" w:space="0" w:color="auto"/>
              <w:bottom w:val="single" w:sz="4" w:space="0" w:color="auto"/>
              <w:right w:val="single" w:sz="4" w:space="0" w:color="auto"/>
            </w:tcBorders>
            <w:shd w:val="clear" w:color="auto" w:fill="FFFFFF" w:themeFill="background1"/>
          </w:tcPr>
          <w:p w14:paraId="06D1AA24" w14:textId="77777777" w:rsidR="00E541EE" w:rsidRPr="00BE146C" w:rsidRDefault="00E541EE" w:rsidP="00A84BB5">
            <w:pPr>
              <w:jc w:val="center"/>
              <w:rPr>
                <w:rFonts w:ascii="Arial" w:hAnsi="Arial" w:cs="Arial"/>
                <w:sz w:val="14"/>
                <w:szCs w:val="14"/>
              </w:rPr>
            </w:pPr>
            <w:r w:rsidRPr="00BE146C">
              <w:rPr>
                <w:rFonts w:ascii="Arial" w:eastAsia="Times New Roman" w:hAnsi="Arial" w:cs="Arial"/>
                <w:sz w:val="14"/>
                <w:szCs w:val="14"/>
              </w:rPr>
              <w:t>85</w:t>
            </w:r>
          </w:p>
        </w:tc>
        <w:tc>
          <w:tcPr>
            <w:tcW w:w="280" w:type="pct"/>
            <w:tcBorders>
              <w:top w:val="single" w:sz="4" w:space="0" w:color="auto"/>
              <w:left w:val="single" w:sz="4" w:space="0" w:color="auto"/>
              <w:bottom w:val="single" w:sz="4" w:space="0" w:color="auto"/>
              <w:right w:val="single" w:sz="4" w:space="0" w:color="auto"/>
            </w:tcBorders>
            <w:shd w:val="clear" w:color="auto" w:fill="FFFFFF" w:themeFill="background1"/>
          </w:tcPr>
          <w:p w14:paraId="3478D22A" w14:textId="77777777" w:rsidR="00E541EE" w:rsidRPr="00BE146C" w:rsidRDefault="00E541EE" w:rsidP="00A84BB5">
            <w:pPr>
              <w:jc w:val="center"/>
              <w:rPr>
                <w:rFonts w:ascii="Arial" w:hAnsi="Arial" w:cs="Arial"/>
                <w:sz w:val="14"/>
                <w:szCs w:val="14"/>
              </w:rPr>
            </w:pPr>
            <w:r w:rsidRPr="00BE146C">
              <w:rPr>
                <w:rFonts w:ascii="Arial" w:eastAsia="Times New Roman" w:hAnsi="Arial" w:cs="Arial"/>
                <w:sz w:val="14"/>
                <w:szCs w:val="14"/>
              </w:rPr>
              <w:t>90</w:t>
            </w:r>
          </w:p>
        </w:tc>
        <w:tc>
          <w:tcPr>
            <w:tcW w:w="356" w:type="pct"/>
            <w:tcBorders>
              <w:top w:val="single" w:sz="4" w:space="0" w:color="auto"/>
              <w:left w:val="single" w:sz="4" w:space="0" w:color="auto"/>
              <w:bottom w:val="single" w:sz="4" w:space="0" w:color="auto"/>
              <w:right w:val="single" w:sz="4" w:space="0" w:color="auto"/>
            </w:tcBorders>
            <w:shd w:val="clear" w:color="auto" w:fill="FFFFFF" w:themeFill="background1"/>
          </w:tcPr>
          <w:p w14:paraId="1A2359BF" w14:textId="77777777" w:rsidR="00E541EE" w:rsidRPr="00BE146C" w:rsidRDefault="00E541EE" w:rsidP="00A84BB5">
            <w:pPr>
              <w:jc w:val="center"/>
              <w:rPr>
                <w:rFonts w:ascii="Arial" w:hAnsi="Arial" w:cs="Arial"/>
                <w:sz w:val="14"/>
                <w:szCs w:val="14"/>
              </w:rPr>
            </w:pPr>
            <w:r w:rsidRPr="00BE146C">
              <w:rPr>
                <w:rFonts w:ascii="Arial" w:eastAsia="Times New Roman" w:hAnsi="Arial" w:cs="Arial"/>
                <w:sz w:val="14"/>
                <w:szCs w:val="14"/>
              </w:rPr>
              <w:t>95</w:t>
            </w:r>
          </w:p>
        </w:tc>
        <w:tc>
          <w:tcPr>
            <w:tcW w:w="280" w:type="pct"/>
            <w:tcBorders>
              <w:top w:val="single" w:sz="4" w:space="0" w:color="auto"/>
              <w:left w:val="single" w:sz="4" w:space="0" w:color="auto"/>
              <w:bottom w:val="single" w:sz="4" w:space="0" w:color="auto"/>
              <w:right w:val="single" w:sz="4" w:space="0" w:color="auto"/>
            </w:tcBorders>
            <w:shd w:val="clear" w:color="auto" w:fill="FFFFFF" w:themeFill="background1"/>
          </w:tcPr>
          <w:p w14:paraId="5936A89C" w14:textId="77777777" w:rsidR="00E541EE" w:rsidRPr="00BE146C" w:rsidRDefault="00E541EE" w:rsidP="00A84BB5">
            <w:pPr>
              <w:jc w:val="center"/>
              <w:rPr>
                <w:rFonts w:ascii="Arial" w:hAnsi="Arial" w:cs="Arial"/>
                <w:sz w:val="14"/>
                <w:szCs w:val="14"/>
              </w:rPr>
            </w:pPr>
            <w:r w:rsidRPr="00BE146C">
              <w:rPr>
                <w:rFonts w:ascii="Arial" w:eastAsia="Times New Roman" w:hAnsi="Arial" w:cs="Arial"/>
                <w:sz w:val="14"/>
                <w:szCs w:val="14"/>
              </w:rPr>
              <w:t>100</w:t>
            </w:r>
          </w:p>
        </w:tc>
      </w:tr>
      <w:tr w:rsidR="00E541EE" w:rsidRPr="00AC2206" w14:paraId="62118864" w14:textId="77777777" w:rsidTr="00736B58">
        <w:trPr>
          <w:trHeight w:val="1150"/>
        </w:trPr>
        <w:tc>
          <w:tcPr>
            <w:tcW w:w="452" w:type="pct"/>
            <w:vMerge/>
          </w:tcPr>
          <w:p w14:paraId="194FA54D" w14:textId="77777777" w:rsidR="00E541EE" w:rsidRPr="00BE146C" w:rsidRDefault="00E541EE" w:rsidP="00A84BB5">
            <w:pPr>
              <w:widowControl w:val="0"/>
              <w:autoSpaceDE w:val="0"/>
              <w:autoSpaceDN w:val="0"/>
              <w:spacing w:before="49"/>
              <w:ind w:left="44" w:right="35"/>
              <w:jc w:val="center"/>
              <w:rPr>
                <w:rFonts w:ascii="Arial" w:hAnsi="Arial" w:cs="Arial"/>
                <w:sz w:val="14"/>
                <w:szCs w:val="14"/>
              </w:rPr>
            </w:pPr>
          </w:p>
        </w:tc>
        <w:tc>
          <w:tcPr>
            <w:tcW w:w="486" w:type="pct"/>
            <w:vMerge/>
          </w:tcPr>
          <w:p w14:paraId="1F854CF2" w14:textId="77777777" w:rsidR="00E541EE" w:rsidRPr="00BE146C" w:rsidRDefault="00E541EE" w:rsidP="00A84BB5">
            <w:pPr>
              <w:widowControl w:val="0"/>
              <w:autoSpaceDE w:val="0"/>
              <w:autoSpaceDN w:val="0"/>
              <w:ind w:left="28" w:right="19" w:firstLine="2"/>
              <w:jc w:val="center"/>
              <w:rPr>
                <w:rFonts w:ascii="Arial" w:hAnsi="Arial" w:cs="Arial"/>
                <w:color w:val="FF0000"/>
                <w:sz w:val="14"/>
                <w:szCs w:val="14"/>
              </w:rPr>
            </w:pPr>
          </w:p>
        </w:tc>
        <w:tc>
          <w:tcPr>
            <w:tcW w:w="507" w:type="pct"/>
            <w:vMerge/>
            <w:tcBorders>
              <w:right w:val="single" w:sz="4" w:space="0" w:color="auto"/>
            </w:tcBorders>
            <w:shd w:val="clear" w:color="auto" w:fill="FFF1CC"/>
          </w:tcPr>
          <w:p w14:paraId="57E5AED0" w14:textId="77777777" w:rsidR="00E541EE" w:rsidRPr="00BE146C" w:rsidRDefault="00E541EE" w:rsidP="00A84BB5">
            <w:pPr>
              <w:widowControl w:val="0"/>
              <w:autoSpaceDE w:val="0"/>
              <w:autoSpaceDN w:val="0"/>
              <w:ind w:left="74" w:right="63" w:hanging="4"/>
              <w:rPr>
                <w:rFonts w:ascii="Arial" w:hAnsi="Arial" w:cs="Arial"/>
                <w:color w:val="FF0000"/>
                <w:sz w:val="14"/>
                <w:szCs w:val="14"/>
              </w:rPr>
            </w:pPr>
          </w:p>
        </w:tc>
        <w:tc>
          <w:tcPr>
            <w:tcW w:w="688" w:type="pct"/>
            <w:vMerge/>
            <w:tcBorders>
              <w:top w:val="single" w:sz="4" w:space="0" w:color="auto"/>
              <w:left w:val="single" w:sz="4" w:space="0" w:color="auto"/>
              <w:bottom w:val="single" w:sz="4" w:space="0" w:color="auto"/>
              <w:right w:val="single" w:sz="4" w:space="0" w:color="auto"/>
            </w:tcBorders>
          </w:tcPr>
          <w:p w14:paraId="217045AB" w14:textId="77777777" w:rsidR="00E541EE" w:rsidRPr="00BE146C" w:rsidRDefault="00E541EE" w:rsidP="00A84BB5">
            <w:pPr>
              <w:widowControl w:val="0"/>
              <w:autoSpaceDE w:val="0"/>
              <w:autoSpaceDN w:val="0"/>
              <w:ind w:left="29" w:right="11" w:firstLine="9"/>
              <w:rPr>
                <w:rFonts w:ascii="Arial" w:hAnsi="Arial" w:cs="Arial"/>
                <w:color w:val="FF0000"/>
                <w:sz w:val="14"/>
                <w:szCs w:val="14"/>
              </w:rPr>
            </w:pPr>
          </w:p>
        </w:tc>
        <w:tc>
          <w:tcPr>
            <w:tcW w:w="583" w:type="pct"/>
            <w:vMerge/>
            <w:tcBorders>
              <w:top w:val="single" w:sz="4" w:space="0" w:color="auto"/>
              <w:left w:val="single" w:sz="4" w:space="0" w:color="auto"/>
              <w:bottom w:val="single" w:sz="4" w:space="0" w:color="auto"/>
              <w:right w:val="single" w:sz="4" w:space="0" w:color="auto"/>
            </w:tcBorders>
            <w:shd w:val="clear" w:color="auto" w:fill="FFF1CC"/>
          </w:tcPr>
          <w:p w14:paraId="6B2D7E5F" w14:textId="77777777" w:rsidR="00E541EE" w:rsidRPr="00BE146C" w:rsidRDefault="00E541EE" w:rsidP="00A84BB5">
            <w:pPr>
              <w:widowControl w:val="0"/>
              <w:autoSpaceDE w:val="0"/>
              <w:autoSpaceDN w:val="0"/>
              <w:ind w:left="142"/>
              <w:rPr>
                <w:rFonts w:ascii="Arial" w:hAnsi="Arial" w:cs="Arial"/>
                <w:color w:val="FF0000"/>
                <w:sz w:val="14"/>
                <w:szCs w:val="14"/>
              </w:rPr>
            </w:pPr>
          </w:p>
        </w:tc>
        <w:tc>
          <w:tcPr>
            <w:tcW w:w="480" w:type="pct"/>
            <w:vMerge/>
            <w:tcBorders>
              <w:left w:val="single" w:sz="4" w:space="0" w:color="auto"/>
              <w:right w:val="single" w:sz="4" w:space="0" w:color="auto"/>
            </w:tcBorders>
          </w:tcPr>
          <w:p w14:paraId="4B55E6C4" w14:textId="77777777" w:rsidR="00E541EE" w:rsidRPr="00BE146C" w:rsidRDefault="00E541EE" w:rsidP="00A84BB5">
            <w:pPr>
              <w:rPr>
                <w:rFonts w:ascii="Arial" w:hAnsi="Arial" w:cs="Arial"/>
                <w:sz w:val="14"/>
                <w:szCs w:val="14"/>
              </w:rPr>
            </w:pPr>
          </w:p>
        </w:tc>
        <w:tc>
          <w:tcPr>
            <w:tcW w:w="458" w:type="pct"/>
            <w:tcBorders>
              <w:top w:val="single" w:sz="4" w:space="0" w:color="auto"/>
              <w:left w:val="single" w:sz="4" w:space="0" w:color="auto"/>
              <w:bottom w:val="single" w:sz="4" w:space="0" w:color="auto"/>
              <w:right w:val="single" w:sz="4" w:space="0" w:color="auto"/>
            </w:tcBorders>
            <w:shd w:val="clear" w:color="auto" w:fill="FFFFFF" w:themeFill="background1"/>
          </w:tcPr>
          <w:p w14:paraId="3982C88B" w14:textId="77777777" w:rsidR="00E541EE" w:rsidRPr="00BE146C" w:rsidRDefault="00E541EE" w:rsidP="00A84BB5">
            <w:pPr>
              <w:jc w:val="center"/>
              <w:rPr>
                <w:rFonts w:ascii="Arial" w:hAnsi="Arial" w:cs="Arial"/>
                <w:sz w:val="14"/>
                <w:szCs w:val="14"/>
              </w:rPr>
            </w:pPr>
            <w:r w:rsidRPr="00BE146C">
              <w:rPr>
                <w:rFonts w:ascii="Arial" w:eastAsia="Times New Roman" w:hAnsi="Arial" w:cs="Arial"/>
                <w:sz w:val="14"/>
                <w:szCs w:val="14"/>
              </w:rPr>
              <w:t>Broj dodijeljenih subvencija za vrtiće</w:t>
            </w:r>
          </w:p>
        </w:tc>
        <w:tc>
          <w:tcPr>
            <w:tcW w:w="431" w:type="pct"/>
            <w:tcBorders>
              <w:top w:val="single" w:sz="4" w:space="0" w:color="auto"/>
              <w:left w:val="single" w:sz="4" w:space="0" w:color="auto"/>
              <w:bottom w:val="single" w:sz="4" w:space="0" w:color="auto"/>
              <w:right w:val="single" w:sz="4" w:space="0" w:color="auto"/>
            </w:tcBorders>
            <w:shd w:val="clear" w:color="auto" w:fill="FFFFFF" w:themeFill="background1"/>
          </w:tcPr>
          <w:p w14:paraId="69544014" w14:textId="77777777" w:rsidR="00E541EE" w:rsidRPr="00BE146C" w:rsidRDefault="00E541EE" w:rsidP="00A84BB5">
            <w:pPr>
              <w:jc w:val="center"/>
              <w:rPr>
                <w:rFonts w:ascii="Arial" w:hAnsi="Arial" w:cs="Arial"/>
                <w:sz w:val="14"/>
                <w:szCs w:val="14"/>
              </w:rPr>
            </w:pPr>
            <w:r w:rsidRPr="00BE146C">
              <w:rPr>
                <w:rFonts w:ascii="Arial" w:eastAsia="Times New Roman" w:hAnsi="Arial" w:cs="Arial"/>
                <w:sz w:val="14"/>
                <w:szCs w:val="14"/>
              </w:rPr>
              <w:t>80</w:t>
            </w:r>
          </w:p>
        </w:tc>
        <w:tc>
          <w:tcPr>
            <w:tcW w:w="280" w:type="pct"/>
            <w:tcBorders>
              <w:top w:val="single" w:sz="4" w:space="0" w:color="auto"/>
              <w:left w:val="single" w:sz="4" w:space="0" w:color="auto"/>
              <w:bottom w:val="single" w:sz="4" w:space="0" w:color="auto"/>
              <w:right w:val="single" w:sz="4" w:space="0" w:color="auto"/>
            </w:tcBorders>
            <w:shd w:val="clear" w:color="auto" w:fill="FFFFFF" w:themeFill="background1"/>
          </w:tcPr>
          <w:p w14:paraId="602B3952" w14:textId="77777777" w:rsidR="00E541EE" w:rsidRPr="00BE146C" w:rsidRDefault="00E541EE" w:rsidP="00A84BB5">
            <w:pPr>
              <w:jc w:val="center"/>
              <w:rPr>
                <w:rFonts w:ascii="Arial" w:hAnsi="Arial" w:cs="Arial"/>
                <w:sz w:val="14"/>
                <w:szCs w:val="14"/>
              </w:rPr>
            </w:pPr>
            <w:r w:rsidRPr="00BE146C">
              <w:rPr>
                <w:rFonts w:ascii="Arial" w:eastAsia="Times New Roman" w:hAnsi="Arial" w:cs="Arial"/>
                <w:sz w:val="14"/>
                <w:szCs w:val="14"/>
              </w:rPr>
              <w:t>85</w:t>
            </w:r>
          </w:p>
        </w:tc>
        <w:tc>
          <w:tcPr>
            <w:tcW w:w="356" w:type="pct"/>
            <w:tcBorders>
              <w:top w:val="single" w:sz="4" w:space="0" w:color="auto"/>
              <w:left w:val="single" w:sz="4" w:space="0" w:color="auto"/>
              <w:bottom w:val="single" w:sz="4" w:space="0" w:color="auto"/>
              <w:right w:val="single" w:sz="4" w:space="0" w:color="auto"/>
            </w:tcBorders>
            <w:shd w:val="clear" w:color="auto" w:fill="FFFFFF" w:themeFill="background1"/>
          </w:tcPr>
          <w:p w14:paraId="7542FADE" w14:textId="77777777" w:rsidR="00E541EE" w:rsidRPr="00BE146C" w:rsidRDefault="00E541EE" w:rsidP="00A84BB5">
            <w:pPr>
              <w:jc w:val="center"/>
              <w:rPr>
                <w:rFonts w:ascii="Arial" w:hAnsi="Arial" w:cs="Arial"/>
                <w:sz w:val="14"/>
                <w:szCs w:val="14"/>
              </w:rPr>
            </w:pPr>
            <w:r w:rsidRPr="00BE146C">
              <w:rPr>
                <w:rFonts w:ascii="Arial" w:eastAsia="Times New Roman" w:hAnsi="Arial" w:cs="Arial"/>
                <w:sz w:val="14"/>
                <w:szCs w:val="14"/>
              </w:rPr>
              <w:t>87</w:t>
            </w:r>
          </w:p>
        </w:tc>
        <w:tc>
          <w:tcPr>
            <w:tcW w:w="280" w:type="pct"/>
            <w:tcBorders>
              <w:top w:val="single" w:sz="4" w:space="0" w:color="auto"/>
              <w:left w:val="single" w:sz="4" w:space="0" w:color="auto"/>
              <w:bottom w:val="single" w:sz="4" w:space="0" w:color="auto"/>
              <w:right w:val="single" w:sz="4" w:space="0" w:color="auto"/>
            </w:tcBorders>
            <w:shd w:val="clear" w:color="auto" w:fill="FFFFFF" w:themeFill="background1"/>
          </w:tcPr>
          <w:p w14:paraId="259F0F0F" w14:textId="77777777" w:rsidR="00E541EE" w:rsidRPr="00BE146C" w:rsidRDefault="00E541EE" w:rsidP="00A84BB5">
            <w:pPr>
              <w:jc w:val="center"/>
              <w:rPr>
                <w:rFonts w:ascii="Arial" w:hAnsi="Arial" w:cs="Arial"/>
                <w:sz w:val="14"/>
                <w:szCs w:val="14"/>
              </w:rPr>
            </w:pPr>
            <w:r w:rsidRPr="00BE146C">
              <w:rPr>
                <w:rFonts w:ascii="Arial" w:eastAsia="Times New Roman" w:hAnsi="Arial" w:cs="Arial"/>
                <w:sz w:val="14"/>
                <w:szCs w:val="14"/>
              </w:rPr>
              <w:t>90</w:t>
            </w:r>
          </w:p>
        </w:tc>
      </w:tr>
    </w:tbl>
    <w:p w14:paraId="55AA4B47" w14:textId="77777777" w:rsidR="00E541EE" w:rsidRDefault="00E541EE" w:rsidP="00E541EE">
      <w:pPr>
        <w:jc w:val="both"/>
        <w:rPr>
          <w:rFonts w:ascii="Arial" w:eastAsia="Times New Roman" w:hAnsi="Arial" w:cs="Arial"/>
          <w:sz w:val="24"/>
          <w:szCs w:val="24"/>
        </w:rPr>
      </w:pPr>
    </w:p>
    <w:p w14:paraId="0116D2AA"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AC2206">
        <w:rPr>
          <w:rFonts w:ascii="Arial" w:eastAsia="Times New Roman" w:hAnsi="Arial" w:cs="Arial"/>
          <w:b/>
          <w:bCs/>
          <w:sz w:val="24"/>
          <w:szCs w:val="24"/>
        </w:rPr>
        <w:t>A 103213: Prevencija ovisnosti i devijantnog ponašanja = 7.950,00 EUR</w:t>
      </w:r>
    </w:p>
    <w:p w14:paraId="639C7E80"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Zakonska osnova:</w:t>
      </w:r>
      <w:r w:rsidRPr="00AC2206">
        <w:rPr>
          <w:rFonts w:ascii="Arial" w:eastAsia="Times New Roman" w:hAnsi="Arial" w:cs="Arial"/>
          <w:sz w:val="24"/>
          <w:szCs w:val="24"/>
        </w:rPr>
        <w:t xml:space="preserve"> Zakon o lokalnoj i područnoj (regionalnoj) samoupravi.</w:t>
      </w:r>
    </w:p>
    <w:p w14:paraId="05ADDDEE"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sz w:val="24"/>
          <w:szCs w:val="24"/>
        </w:rPr>
        <w:t>Opis:</w:t>
      </w:r>
      <w:r w:rsidRPr="00AC2206">
        <w:rPr>
          <w:rFonts w:ascii="Arial" w:eastAsia="Times New Roman" w:hAnsi="Arial" w:cs="Arial"/>
          <w:sz w:val="24"/>
          <w:szCs w:val="24"/>
        </w:rPr>
        <w:t xml:space="preserve"> iz ovih sredstava financirati će se rad ambulante za bolesti ovisnosti pri Domu zdravlja Rovinj-Rovigno. Preventivni programi u školama realizirat će se u skladu sa mogućnostima.</w:t>
      </w:r>
    </w:p>
    <w:p w14:paraId="7A27A1D7" w14:textId="77777777" w:rsidR="00E541EE" w:rsidRPr="00AC2206" w:rsidRDefault="00E541EE" w:rsidP="00E541EE">
      <w:pPr>
        <w:jc w:val="both"/>
        <w:rPr>
          <w:rFonts w:ascii="Arial" w:eastAsia="Times New Roman" w:hAnsi="Arial" w:cs="Arial"/>
          <w:b/>
          <w:bCs/>
          <w:sz w:val="24"/>
          <w:szCs w:val="24"/>
        </w:rPr>
      </w:pPr>
      <w:r w:rsidRPr="00AC2206">
        <w:rPr>
          <w:rFonts w:ascii="Arial" w:eastAsia="Times New Roman" w:hAnsi="Arial" w:cs="Arial"/>
          <w:b/>
          <w:bCs/>
          <w:sz w:val="24"/>
          <w:szCs w:val="24"/>
        </w:rPr>
        <w:t xml:space="preserve">Opći cilj: </w:t>
      </w:r>
      <w:r w:rsidRPr="00AC2206">
        <w:rPr>
          <w:rFonts w:ascii="Arial" w:eastAsia="Times New Roman" w:hAnsi="Arial" w:cs="Arial"/>
          <w:bCs/>
          <w:sz w:val="24"/>
          <w:szCs w:val="24"/>
        </w:rPr>
        <w:t>suzbijanje zloporabe opojnih droga i devijantnog ponašanja.</w:t>
      </w:r>
    </w:p>
    <w:p w14:paraId="5D789FA7"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Pokazatelj uspješnosti</w:t>
      </w:r>
      <w:r w:rsidRPr="00AC2206">
        <w:rPr>
          <w:rFonts w:ascii="Arial" w:eastAsia="Times New Roman" w:hAnsi="Arial" w:cs="Arial"/>
          <w:b/>
          <w:sz w:val="24"/>
          <w:szCs w:val="24"/>
        </w:rPr>
        <w:t xml:space="preserve">: </w:t>
      </w:r>
      <w:r w:rsidRPr="00AC2206">
        <w:rPr>
          <w:rFonts w:ascii="Arial" w:eastAsia="Times New Roman" w:hAnsi="Arial" w:cs="Arial"/>
          <w:sz w:val="24"/>
          <w:szCs w:val="24"/>
        </w:rPr>
        <w:t>organiziran rad  ambulante za bolesti ovisnosti.</w:t>
      </w:r>
    </w:p>
    <w:p w14:paraId="7791AEE5" w14:textId="77777777" w:rsidR="00E541EE" w:rsidRDefault="00E541EE" w:rsidP="00E541EE">
      <w:pPr>
        <w:jc w:val="both"/>
        <w:rPr>
          <w:rFonts w:ascii="Arial" w:eastAsia="Times New Roman" w:hAnsi="Arial" w:cs="Arial"/>
          <w:sz w:val="24"/>
          <w:szCs w:val="24"/>
        </w:rPr>
      </w:pPr>
    </w:p>
    <w:p w14:paraId="2AEF703E"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AC2206">
        <w:rPr>
          <w:rFonts w:ascii="Arial" w:eastAsia="Times New Roman" w:hAnsi="Arial" w:cs="Arial"/>
          <w:b/>
          <w:bCs/>
          <w:sz w:val="24"/>
          <w:szCs w:val="24"/>
        </w:rPr>
        <w:t>A 103</w:t>
      </w:r>
      <w:r>
        <w:rPr>
          <w:rFonts w:ascii="Arial" w:eastAsia="Times New Roman" w:hAnsi="Arial" w:cs="Arial"/>
          <w:b/>
          <w:bCs/>
          <w:sz w:val="24"/>
          <w:szCs w:val="24"/>
        </w:rPr>
        <w:t>225</w:t>
      </w:r>
      <w:r w:rsidRPr="00AC2206">
        <w:rPr>
          <w:rFonts w:ascii="Arial" w:eastAsia="Times New Roman" w:hAnsi="Arial" w:cs="Arial"/>
          <w:b/>
          <w:bCs/>
          <w:sz w:val="24"/>
          <w:szCs w:val="24"/>
        </w:rPr>
        <w:t xml:space="preserve">:  </w:t>
      </w:r>
      <w:r>
        <w:rPr>
          <w:rFonts w:ascii="Arial" w:eastAsia="Times New Roman" w:hAnsi="Arial" w:cs="Arial"/>
          <w:b/>
          <w:bCs/>
          <w:sz w:val="24"/>
          <w:szCs w:val="24"/>
        </w:rPr>
        <w:t>Zbrinjavanje osoba u beskućništvu</w:t>
      </w:r>
      <w:r w:rsidRPr="00AC2206">
        <w:rPr>
          <w:rFonts w:ascii="Arial" w:eastAsia="Times New Roman" w:hAnsi="Arial" w:cs="Arial"/>
          <w:b/>
          <w:bCs/>
          <w:sz w:val="24"/>
          <w:szCs w:val="24"/>
        </w:rPr>
        <w:t xml:space="preserve"> = </w:t>
      </w:r>
      <w:r>
        <w:rPr>
          <w:rFonts w:ascii="Arial" w:eastAsia="Times New Roman" w:hAnsi="Arial" w:cs="Arial"/>
          <w:b/>
          <w:bCs/>
          <w:sz w:val="24"/>
          <w:szCs w:val="24"/>
        </w:rPr>
        <w:t>5.800,00</w:t>
      </w:r>
      <w:r w:rsidRPr="00AC2206">
        <w:rPr>
          <w:rFonts w:ascii="Arial" w:eastAsia="Times New Roman" w:hAnsi="Arial" w:cs="Arial"/>
          <w:b/>
          <w:bCs/>
          <w:sz w:val="24"/>
          <w:szCs w:val="24"/>
        </w:rPr>
        <w:t xml:space="preserve"> EUR</w:t>
      </w:r>
    </w:p>
    <w:p w14:paraId="3EB1C77A" w14:textId="77777777" w:rsidR="00E541EE" w:rsidRPr="0015204D" w:rsidRDefault="00E541EE" w:rsidP="00E541EE">
      <w:pPr>
        <w:jc w:val="both"/>
        <w:rPr>
          <w:rFonts w:ascii="Arial" w:eastAsia="Times New Roman" w:hAnsi="Arial" w:cs="Arial"/>
          <w:sz w:val="24"/>
          <w:szCs w:val="24"/>
        </w:rPr>
      </w:pPr>
      <w:r w:rsidRPr="0015204D">
        <w:rPr>
          <w:rFonts w:ascii="Arial" w:eastAsia="Times New Roman" w:hAnsi="Arial" w:cs="Arial"/>
          <w:b/>
          <w:bCs/>
          <w:sz w:val="24"/>
          <w:szCs w:val="24"/>
        </w:rPr>
        <w:t>Zakonska osnova:</w:t>
      </w:r>
      <w:r w:rsidRPr="0015204D">
        <w:rPr>
          <w:rFonts w:ascii="Arial" w:eastAsia="Times New Roman" w:hAnsi="Arial" w:cs="Arial"/>
          <w:sz w:val="24"/>
          <w:szCs w:val="24"/>
        </w:rPr>
        <w:t xml:space="preserve"> Zakon o lokalnoj i područnoj (regionalnoj) samoupravi, Zakon o socijalnoj skrbi.</w:t>
      </w:r>
    </w:p>
    <w:p w14:paraId="453E5BB3" w14:textId="77777777" w:rsidR="00E541EE" w:rsidRDefault="00E541EE" w:rsidP="00E541EE">
      <w:pPr>
        <w:jc w:val="both"/>
        <w:rPr>
          <w:rFonts w:ascii="Arial" w:eastAsia="Times New Roman" w:hAnsi="Arial" w:cs="Arial"/>
          <w:sz w:val="24"/>
          <w:szCs w:val="24"/>
        </w:rPr>
      </w:pPr>
      <w:r w:rsidRPr="0015204D">
        <w:rPr>
          <w:rFonts w:ascii="Arial" w:eastAsia="Times New Roman" w:hAnsi="Arial" w:cs="Arial"/>
          <w:b/>
          <w:sz w:val="24"/>
          <w:szCs w:val="24"/>
        </w:rPr>
        <w:t>Opis:</w:t>
      </w:r>
      <w:r w:rsidRPr="0015204D">
        <w:rPr>
          <w:rFonts w:ascii="Arial" w:eastAsia="Times New Roman" w:hAnsi="Arial" w:cs="Arial"/>
          <w:sz w:val="24"/>
          <w:szCs w:val="24"/>
        </w:rPr>
        <w:t xml:space="preserve"> </w:t>
      </w:r>
      <w:r>
        <w:rPr>
          <w:rFonts w:ascii="Arial" w:hAnsi="Arial" w:cs="Arial"/>
          <w:sz w:val="24"/>
          <w:szCs w:val="24"/>
        </w:rPr>
        <w:t>s</w:t>
      </w:r>
      <w:r w:rsidRPr="0015204D">
        <w:rPr>
          <w:rFonts w:ascii="Arial" w:hAnsi="Arial" w:cs="Arial"/>
          <w:sz w:val="24"/>
          <w:szCs w:val="24"/>
        </w:rPr>
        <w:t xml:space="preserve">redstva u iznosu od </w:t>
      </w:r>
      <w:r>
        <w:rPr>
          <w:rFonts w:ascii="Arial" w:hAnsi="Arial" w:cs="Arial"/>
          <w:sz w:val="24"/>
          <w:szCs w:val="24"/>
        </w:rPr>
        <w:t>5</w:t>
      </w:r>
      <w:r w:rsidRPr="0015204D">
        <w:rPr>
          <w:rFonts w:ascii="Arial" w:hAnsi="Arial" w:cs="Arial"/>
          <w:sz w:val="24"/>
          <w:szCs w:val="24"/>
        </w:rPr>
        <w:t>.</w:t>
      </w:r>
      <w:r>
        <w:rPr>
          <w:rFonts w:ascii="Arial" w:hAnsi="Arial" w:cs="Arial"/>
          <w:sz w:val="24"/>
          <w:szCs w:val="24"/>
        </w:rPr>
        <w:t>8</w:t>
      </w:r>
      <w:r w:rsidRPr="0015204D">
        <w:rPr>
          <w:rFonts w:ascii="Arial" w:hAnsi="Arial" w:cs="Arial"/>
          <w:sz w:val="24"/>
          <w:szCs w:val="24"/>
        </w:rPr>
        <w:t xml:space="preserve">00,00 </w:t>
      </w:r>
      <w:r>
        <w:rPr>
          <w:rFonts w:ascii="Arial" w:hAnsi="Arial" w:cs="Arial"/>
          <w:sz w:val="24"/>
          <w:szCs w:val="24"/>
        </w:rPr>
        <w:t xml:space="preserve">eura </w:t>
      </w:r>
      <w:r w:rsidRPr="0015204D">
        <w:rPr>
          <w:rFonts w:ascii="Arial" w:hAnsi="Arial" w:cs="Arial"/>
          <w:sz w:val="24"/>
          <w:szCs w:val="24"/>
        </w:rPr>
        <w:t>osiguravaju se za potrebe sufinanciranja</w:t>
      </w:r>
      <w:r w:rsidRPr="001E7E1C">
        <w:rPr>
          <w:rFonts w:ascii="Arial" w:hAnsi="Arial" w:cs="Arial"/>
          <w:sz w:val="24"/>
          <w:szCs w:val="24"/>
        </w:rPr>
        <w:t xml:space="preserve"> udruge AjA koja se bavi zbrinjavanjem osoba u beskućništvu kroz modele Housing first i organizirano stanovanje, te pružanjem usluga mobilnog tima. Jedina je udruga na području Istarske županije koja pruža ovu vrstu socijale usluge.</w:t>
      </w:r>
      <w:r>
        <w:rPr>
          <w:rFonts w:ascii="Arial" w:hAnsi="Arial" w:cs="Arial"/>
          <w:sz w:val="24"/>
          <w:szCs w:val="24"/>
        </w:rPr>
        <w:t xml:space="preserve"> </w:t>
      </w:r>
      <w:r w:rsidRPr="001E7E1C">
        <w:rPr>
          <w:rFonts w:ascii="Arial" w:hAnsi="Arial" w:cs="Arial"/>
          <w:sz w:val="24"/>
          <w:szCs w:val="24"/>
        </w:rPr>
        <w:t>Na inicijativu Istarske županije i udruga AjA te Institut održana je prezentacija problematike zbrinjavanja osoba u beskućništvu te je predloženo da se sve JLS uključe u financiranje budući su korisnici tih usluga iz cijele županije</w:t>
      </w:r>
      <w:r>
        <w:rPr>
          <w:rFonts w:ascii="Arial" w:hAnsi="Arial" w:cs="Arial"/>
          <w:sz w:val="24"/>
          <w:szCs w:val="24"/>
        </w:rPr>
        <w:t>,</w:t>
      </w:r>
      <w:r w:rsidRPr="001E7E1C">
        <w:rPr>
          <w:rFonts w:ascii="Arial" w:hAnsi="Arial" w:cs="Arial"/>
          <w:sz w:val="24"/>
          <w:szCs w:val="24"/>
        </w:rPr>
        <w:t xml:space="preserve"> a sama udruga se suočava sa izazovima u financiranju svojeg rada</w:t>
      </w:r>
      <w:r>
        <w:rPr>
          <w:rFonts w:ascii="Arial" w:hAnsi="Arial" w:cs="Arial"/>
          <w:sz w:val="24"/>
          <w:szCs w:val="24"/>
        </w:rPr>
        <w:t xml:space="preserve"> i pokrića troškova nužnim za pružanje usluga. </w:t>
      </w:r>
      <w:r>
        <w:rPr>
          <w:rFonts w:ascii="Arial" w:eastAsia="Times New Roman" w:hAnsi="Arial" w:cs="Arial"/>
          <w:sz w:val="24"/>
          <w:szCs w:val="24"/>
        </w:rPr>
        <w:t xml:space="preserve">Udruga će se </w:t>
      </w:r>
      <w:r w:rsidRPr="00AC2206">
        <w:rPr>
          <w:rFonts w:ascii="Arial" w:eastAsia="Times New Roman" w:hAnsi="Arial" w:cs="Arial"/>
          <w:sz w:val="24"/>
          <w:szCs w:val="24"/>
        </w:rPr>
        <w:t>financirat</w:t>
      </w:r>
      <w:r>
        <w:rPr>
          <w:rFonts w:ascii="Arial" w:eastAsia="Times New Roman" w:hAnsi="Arial" w:cs="Arial"/>
          <w:sz w:val="24"/>
          <w:szCs w:val="24"/>
        </w:rPr>
        <w:t xml:space="preserve">i </w:t>
      </w:r>
      <w:r w:rsidRPr="00AC2206">
        <w:rPr>
          <w:rFonts w:ascii="Arial" w:eastAsia="Times New Roman" w:hAnsi="Arial" w:cs="Arial"/>
          <w:sz w:val="24"/>
          <w:szCs w:val="24"/>
        </w:rPr>
        <w:t xml:space="preserve">izravnom dodjelom, jer je člankom 6. Uredbe o kriterijima, mjerilima i postupcima financiranja i ugovaranja programa i projekata od interesa za opće dobro koje provode udruge propisano da se financijska sredstva izravno dodjeljuju udrugama koje imaju isključivu nadležnost u području djelovanja i/ili zemljopisnog područja za koje se financijska sredstva dodjeljuju. </w:t>
      </w:r>
      <w:r>
        <w:rPr>
          <w:rFonts w:ascii="Arial" w:eastAsia="Times New Roman" w:hAnsi="Arial" w:cs="Arial"/>
          <w:sz w:val="24"/>
          <w:szCs w:val="24"/>
        </w:rPr>
        <w:t>Ovim sredstvima planira se nastavak sufinanciranja rada udruge AjA te udruge Institut koja se brine o prenoćištu.</w:t>
      </w:r>
    </w:p>
    <w:p w14:paraId="0450CDB4" w14:textId="77777777" w:rsidR="00E541EE" w:rsidRPr="0015204D" w:rsidRDefault="00E541EE" w:rsidP="00E541EE">
      <w:pPr>
        <w:jc w:val="both"/>
        <w:rPr>
          <w:rFonts w:ascii="Arial" w:eastAsia="Times New Roman" w:hAnsi="Arial" w:cs="Arial"/>
          <w:b/>
          <w:bCs/>
          <w:sz w:val="24"/>
          <w:szCs w:val="24"/>
        </w:rPr>
      </w:pPr>
      <w:r w:rsidRPr="0015204D">
        <w:rPr>
          <w:rFonts w:ascii="Arial" w:eastAsia="Times New Roman" w:hAnsi="Arial" w:cs="Arial"/>
          <w:b/>
          <w:bCs/>
          <w:sz w:val="24"/>
          <w:szCs w:val="24"/>
        </w:rPr>
        <w:t xml:space="preserve">Opći cilj: </w:t>
      </w:r>
      <w:r w:rsidRPr="0015204D">
        <w:rPr>
          <w:rFonts w:ascii="Arial" w:eastAsia="Times New Roman" w:hAnsi="Arial" w:cs="Arial"/>
          <w:sz w:val="24"/>
          <w:szCs w:val="24"/>
        </w:rPr>
        <w:t>zbrinjavanje osoba u beskućništvu kroz pružanje socijalnih usluga</w:t>
      </w:r>
      <w:r>
        <w:rPr>
          <w:rFonts w:ascii="Arial" w:eastAsia="Times New Roman" w:hAnsi="Arial" w:cs="Arial"/>
          <w:sz w:val="24"/>
          <w:szCs w:val="24"/>
        </w:rPr>
        <w:t>.</w:t>
      </w:r>
    </w:p>
    <w:p w14:paraId="2AF0268B" w14:textId="77777777" w:rsidR="00E541EE" w:rsidRPr="00AC2206" w:rsidRDefault="00E541EE" w:rsidP="00E541EE">
      <w:pPr>
        <w:jc w:val="both"/>
        <w:rPr>
          <w:rFonts w:ascii="Arial" w:eastAsia="Times New Roman" w:hAnsi="Arial" w:cs="Arial"/>
          <w:sz w:val="24"/>
          <w:szCs w:val="24"/>
        </w:rPr>
      </w:pPr>
      <w:r w:rsidRPr="0015204D">
        <w:rPr>
          <w:rFonts w:ascii="Arial" w:eastAsia="Times New Roman" w:hAnsi="Arial" w:cs="Arial"/>
          <w:b/>
          <w:bCs/>
          <w:sz w:val="24"/>
          <w:szCs w:val="24"/>
        </w:rPr>
        <w:t>Pokazatelj uspješnosti</w:t>
      </w:r>
      <w:r w:rsidRPr="0015204D">
        <w:rPr>
          <w:rFonts w:ascii="Arial" w:eastAsia="Times New Roman" w:hAnsi="Arial" w:cs="Arial"/>
          <w:b/>
          <w:sz w:val="24"/>
          <w:szCs w:val="24"/>
        </w:rPr>
        <w:t xml:space="preserve">: </w:t>
      </w:r>
      <w:r w:rsidRPr="0015204D">
        <w:rPr>
          <w:rFonts w:ascii="Arial" w:eastAsia="Times New Roman" w:hAnsi="Arial" w:cs="Arial"/>
          <w:bCs/>
          <w:sz w:val="24"/>
          <w:szCs w:val="24"/>
        </w:rPr>
        <w:t>broj korisnika socijalne usluge i nesmetan rad udruge</w:t>
      </w:r>
      <w:r>
        <w:rPr>
          <w:rFonts w:ascii="Arial" w:eastAsia="Times New Roman" w:hAnsi="Arial" w:cs="Arial"/>
          <w:bCs/>
          <w:sz w:val="24"/>
          <w:szCs w:val="24"/>
        </w:rPr>
        <w:t>.</w:t>
      </w:r>
    </w:p>
    <w:p w14:paraId="5A036628" w14:textId="77777777" w:rsidR="00E541EE" w:rsidRDefault="00E541EE" w:rsidP="00E541EE">
      <w:pPr>
        <w:jc w:val="both"/>
        <w:rPr>
          <w:rFonts w:ascii="Arial" w:eastAsia="Times New Roman" w:hAnsi="Arial" w:cs="Arial"/>
          <w:sz w:val="24"/>
          <w:szCs w:val="24"/>
        </w:rPr>
      </w:pPr>
    </w:p>
    <w:p w14:paraId="4F72E732" w14:textId="77777777" w:rsidR="00E541EE" w:rsidRPr="00E34E89"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E34E89">
        <w:rPr>
          <w:rFonts w:ascii="Arial" w:eastAsia="Times New Roman" w:hAnsi="Arial" w:cs="Arial"/>
          <w:b/>
          <w:bCs/>
          <w:sz w:val="24"/>
          <w:szCs w:val="24"/>
        </w:rPr>
        <w:t>A 103215: Dnevni centar za rehabilitaciju Veruda-Pula = 72.000,00 EUR</w:t>
      </w:r>
    </w:p>
    <w:p w14:paraId="061C3AC4" w14:textId="77777777" w:rsidR="00E541EE" w:rsidRPr="00E34E89" w:rsidRDefault="00E541EE" w:rsidP="00E541EE">
      <w:pPr>
        <w:jc w:val="both"/>
        <w:rPr>
          <w:rFonts w:ascii="Arial" w:eastAsia="Times New Roman" w:hAnsi="Arial" w:cs="Arial"/>
          <w:sz w:val="24"/>
          <w:szCs w:val="24"/>
        </w:rPr>
      </w:pPr>
      <w:r w:rsidRPr="00E34E89">
        <w:rPr>
          <w:rFonts w:ascii="Arial" w:eastAsia="Times New Roman" w:hAnsi="Arial" w:cs="Arial"/>
          <w:b/>
          <w:bCs/>
          <w:sz w:val="24"/>
          <w:szCs w:val="24"/>
        </w:rPr>
        <w:t>Zakonska osnova:</w:t>
      </w:r>
      <w:r w:rsidRPr="00E34E89">
        <w:rPr>
          <w:rFonts w:ascii="Arial" w:eastAsia="Times New Roman" w:hAnsi="Arial" w:cs="Arial"/>
          <w:sz w:val="24"/>
          <w:szCs w:val="24"/>
        </w:rPr>
        <w:t xml:space="preserve"> Zakon o lokalnoj i područnoj (regionalnoj) samoupravi, Zakon o socijalnoj  skrbi, Zakon o ustanovama.</w:t>
      </w:r>
    </w:p>
    <w:p w14:paraId="04071D44" w14:textId="77777777" w:rsidR="00E541EE" w:rsidRPr="00E34E89" w:rsidRDefault="00E541EE" w:rsidP="00E541EE">
      <w:pPr>
        <w:jc w:val="both"/>
        <w:rPr>
          <w:rFonts w:ascii="Arial" w:eastAsia="Times New Roman" w:hAnsi="Arial" w:cs="Arial"/>
          <w:sz w:val="24"/>
          <w:szCs w:val="24"/>
        </w:rPr>
      </w:pPr>
      <w:r w:rsidRPr="00E34E89">
        <w:rPr>
          <w:rFonts w:ascii="Arial" w:eastAsia="Times New Roman" w:hAnsi="Arial" w:cs="Arial"/>
          <w:b/>
          <w:sz w:val="24"/>
          <w:szCs w:val="24"/>
        </w:rPr>
        <w:t>Opis:</w:t>
      </w:r>
      <w:r w:rsidRPr="00E34E89">
        <w:rPr>
          <w:rFonts w:ascii="Arial" w:eastAsia="Times New Roman" w:hAnsi="Arial" w:cs="Arial"/>
          <w:sz w:val="24"/>
          <w:szCs w:val="24"/>
        </w:rPr>
        <w:t xml:space="preserve"> ustanova Centar za rehabilitaciju Veruda Pula javna je ustanova koja provodi dijagnostiku, ranu habilitaciju i rehabilitaciju djece, mladeži i odraslih osoba sa motoričkim poremećajima, intelektualnim poteškoćama, poremećajima pažnje i koncentracije, oštećenjem govora te drugim posebnim potrebama.</w:t>
      </w:r>
    </w:p>
    <w:p w14:paraId="1FFA65B0" w14:textId="77777777" w:rsidR="00E541EE" w:rsidRPr="00E34E89" w:rsidRDefault="00E541EE" w:rsidP="00E541EE">
      <w:pPr>
        <w:jc w:val="both"/>
        <w:rPr>
          <w:rFonts w:ascii="Arial" w:eastAsia="Times New Roman" w:hAnsi="Arial" w:cs="Arial"/>
          <w:sz w:val="24"/>
          <w:szCs w:val="24"/>
        </w:rPr>
      </w:pPr>
      <w:r w:rsidRPr="00E34E89">
        <w:rPr>
          <w:rFonts w:ascii="Arial" w:eastAsia="Times New Roman" w:hAnsi="Arial" w:cs="Arial"/>
          <w:sz w:val="24"/>
          <w:szCs w:val="24"/>
        </w:rPr>
        <w:t>Grad Rovinj-Rovigno jedan je od osnivača ustanove te sukladno tome u obvezi je osigurati sredstva za njezin rad, a prema iskazanoj potrebi ustanove.</w:t>
      </w:r>
    </w:p>
    <w:p w14:paraId="641BDC50" w14:textId="77777777" w:rsidR="00E541EE" w:rsidRPr="00E34E89" w:rsidRDefault="00E541EE" w:rsidP="00E541EE">
      <w:pPr>
        <w:jc w:val="both"/>
        <w:rPr>
          <w:rFonts w:ascii="Arial" w:eastAsia="Times New Roman" w:hAnsi="Arial" w:cs="Arial"/>
          <w:sz w:val="24"/>
          <w:szCs w:val="24"/>
        </w:rPr>
      </w:pPr>
      <w:r w:rsidRPr="00E34E89">
        <w:rPr>
          <w:rFonts w:ascii="Arial" w:eastAsia="Times New Roman" w:hAnsi="Arial" w:cs="Arial"/>
          <w:sz w:val="24"/>
          <w:szCs w:val="24"/>
        </w:rPr>
        <w:t>Iznos se u odnosu na 2025.</w:t>
      </w:r>
      <w:r>
        <w:rPr>
          <w:rFonts w:ascii="Arial" w:eastAsia="Times New Roman" w:hAnsi="Arial" w:cs="Arial"/>
          <w:sz w:val="24"/>
          <w:szCs w:val="24"/>
        </w:rPr>
        <w:t xml:space="preserve"> </w:t>
      </w:r>
      <w:r w:rsidRPr="00E34E89">
        <w:rPr>
          <w:rFonts w:ascii="Arial" w:eastAsia="Times New Roman" w:hAnsi="Arial" w:cs="Arial"/>
          <w:sz w:val="24"/>
          <w:szCs w:val="24"/>
        </w:rPr>
        <w:t>godinu povećava zbog korekcija plaća radnika ustanove prema sklopljenom Kolektivnom ugovoru.</w:t>
      </w:r>
    </w:p>
    <w:p w14:paraId="1BDFDEED" w14:textId="77777777" w:rsidR="00E541EE" w:rsidRPr="00AC2206" w:rsidRDefault="00E541EE" w:rsidP="00E541EE">
      <w:pPr>
        <w:jc w:val="both"/>
        <w:rPr>
          <w:rFonts w:ascii="Arial" w:eastAsia="Times New Roman" w:hAnsi="Arial" w:cs="Arial"/>
          <w:bCs/>
          <w:sz w:val="24"/>
          <w:szCs w:val="24"/>
        </w:rPr>
      </w:pPr>
      <w:r w:rsidRPr="00E34E89">
        <w:rPr>
          <w:rFonts w:ascii="Arial" w:eastAsia="Times New Roman" w:hAnsi="Arial" w:cs="Arial"/>
          <w:b/>
          <w:bCs/>
          <w:sz w:val="24"/>
          <w:szCs w:val="24"/>
        </w:rPr>
        <w:t>Opći cilj:</w:t>
      </w:r>
      <w:r w:rsidRPr="00E34E89">
        <w:rPr>
          <w:rFonts w:ascii="Times New Roman" w:eastAsia="Times New Roman" w:hAnsi="Times New Roman" w:cs="Times New Roman"/>
          <w:sz w:val="24"/>
          <w:szCs w:val="24"/>
        </w:rPr>
        <w:t xml:space="preserve"> </w:t>
      </w:r>
      <w:r w:rsidRPr="00E34E89">
        <w:rPr>
          <w:rFonts w:ascii="Arial" w:eastAsia="Times New Roman" w:hAnsi="Arial" w:cs="Arial"/>
          <w:bCs/>
          <w:sz w:val="24"/>
          <w:szCs w:val="24"/>
        </w:rPr>
        <w:t>ugovorom o sufinanciranju Dnevnog centra Veruda utvrđena je obveza</w:t>
      </w:r>
      <w:r w:rsidRPr="00AC2206">
        <w:rPr>
          <w:rFonts w:ascii="Arial" w:eastAsia="Times New Roman" w:hAnsi="Arial" w:cs="Arial"/>
          <w:bCs/>
          <w:sz w:val="24"/>
          <w:szCs w:val="24"/>
        </w:rPr>
        <w:t xml:space="preserve"> Grada kojim se na godišnjoj razini osigurava iznos na temelju troškova poslovanja ustanove.</w:t>
      </w:r>
    </w:p>
    <w:p w14:paraId="7677F938"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Pokazatelj uspješnosti</w:t>
      </w:r>
      <w:r w:rsidRPr="00AC2206">
        <w:rPr>
          <w:rFonts w:ascii="Arial" w:eastAsia="Times New Roman" w:hAnsi="Arial" w:cs="Arial"/>
          <w:b/>
          <w:sz w:val="24"/>
          <w:szCs w:val="24"/>
        </w:rPr>
        <w:t xml:space="preserve">: </w:t>
      </w:r>
      <w:r w:rsidRPr="00AC2206">
        <w:rPr>
          <w:rFonts w:ascii="Arial" w:eastAsia="Times New Roman" w:hAnsi="Arial" w:cs="Arial"/>
          <w:sz w:val="24"/>
          <w:szCs w:val="24"/>
        </w:rPr>
        <w:t>provedba rehabilitacije za djecu sa posebnim potrebama, rana intervencija, vrtić za djecu sa posebnim potrebama</w:t>
      </w:r>
      <w:r>
        <w:rPr>
          <w:rFonts w:ascii="Arial" w:eastAsia="Times New Roman" w:hAnsi="Arial" w:cs="Arial"/>
          <w:sz w:val="24"/>
          <w:szCs w:val="24"/>
        </w:rPr>
        <w:t>.</w:t>
      </w:r>
    </w:p>
    <w:p w14:paraId="73A0D25A" w14:textId="77777777" w:rsidR="00E541EE" w:rsidRDefault="00E541EE" w:rsidP="00E541EE">
      <w:pPr>
        <w:jc w:val="both"/>
        <w:rPr>
          <w:rFonts w:ascii="Arial" w:eastAsia="Times New Roman" w:hAnsi="Arial" w:cs="Arial"/>
          <w:sz w:val="24"/>
          <w:szCs w:val="24"/>
        </w:rPr>
      </w:pPr>
    </w:p>
    <w:p w14:paraId="7BB2AE05"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AC2206">
        <w:rPr>
          <w:rFonts w:ascii="Arial" w:eastAsia="Times New Roman" w:hAnsi="Arial" w:cs="Arial"/>
          <w:b/>
          <w:bCs/>
          <w:sz w:val="24"/>
          <w:szCs w:val="24"/>
        </w:rPr>
        <w:t>A 103204: Jednokratne pomoći za novorođenčad = 5</w:t>
      </w:r>
      <w:r>
        <w:rPr>
          <w:rFonts w:ascii="Arial" w:eastAsia="Times New Roman" w:hAnsi="Arial" w:cs="Arial"/>
          <w:b/>
          <w:bCs/>
          <w:sz w:val="24"/>
          <w:szCs w:val="24"/>
        </w:rPr>
        <w:t>5</w:t>
      </w:r>
      <w:r w:rsidRPr="00AC2206">
        <w:rPr>
          <w:rFonts w:ascii="Arial" w:eastAsia="Times New Roman" w:hAnsi="Arial" w:cs="Arial"/>
          <w:b/>
          <w:bCs/>
          <w:sz w:val="24"/>
          <w:szCs w:val="24"/>
        </w:rPr>
        <w:t>.000,00 EUR</w:t>
      </w:r>
    </w:p>
    <w:p w14:paraId="10CAE23E"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Zakonska osnova:</w:t>
      </w:r>
      <w:r w:rsidRPr="00AC2206">
        <w:rPr>
          <w:rFonts w:ascii="Arial" w:eastAsia="Times New Roman" w:hAnsi="Arial" w:cs="Arial"/>
          <w:sz w:val="24"/>
          <w:szCs w:val="24"/>
        </w:rPr>
        <w:t xml:space="preserve"> Zakon o lokalnoj i područnoj (regionalnoj) samoupravi.</w:t>
      </w:r>
    </w:p>
    <w:p w14:paraId="525611B4"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sz w:val="24"/>
          <w:szCs w:val="24"/>
        </w:rPr>
        <w:t>Opis:</w:t>
      </w:r>
      <w:r w:rsidRPr="00AC2206">
        <w:rPr>
          <w:rFonts w:ascii="Arial" w:eastAsia="Times New Roman" w:hAnsi="Arial" w:cs="Arial"/>
          <w:sz w:val="24"/>
          <w:szCs w:val="24"/>
        </w:rPr>
        <w:t xml:space="preserve"> iz ovih sredstava osiguravaju se jednokratne potpore na novorođenčad u skladu </w:t>
      </w:r>
      <w:r w:rsidRPr="00E34E89">
        <w:rPr>
          <w:rFonts w:ascii="Arial" w:eastAsia="Times New Roman" w:hAnsi="Arial" w:cs="Arial"/>
          <w:sz w:val="24"/>
          <w:szCs w:val="24"/>
        </w:rPr>
        <w:t>sa Odlukom o socijalnoj skrbi.</w:t>
      </w:r>
      <w:r w:rsidRPr="00AC2206">
        <w:rPr>
          <w:rFonts w:ascii="Arial" w:eastAsia="Times New Roman" w:hAnsi="Arial" w:cs="Arial"/>
          <w:sz w:val="24"/>
          <w:szCs w:val="24"/>
        </w:rPr>
        <w:t xml:space="preserve"> </w:t>
      </w:r>
    </w:p>
    <w:p w14:paraId="4AF21489" w14:textId="77777777" w:rsidR="00E541EE" w:rsidRPr="00F12EB9" w:rsidRDefault="00E541EE" w:rsidP="00E541EE">
      <w:pPr>
        <w:jc w:val="both"/>
        <w:rPr>
          <w:rFonts w:ascii="Arial" w:eastAsia="Times New Roman" w:hAnsi="Arial" w:cs="Arial"/>
          <w:sz w:val="24"/>
          <w:szCs w:val="24"/>
        </w:rPr>
      </w:pPr>
      <w:r w:rsidRPr="00F12EB9">
        <w:rPr>
          <w:rFonts w:ascii="Arial" w:eastAsia="Times New Roman" w:hAnsi="Arial" w:cs="Arial"/>
          <w:sz w:val="24"/>
          <w:szCs w:val="24"/>
        </w:rPr>
        <w:t xml:space="preserve">Roditelji mogu ostvariti pravo na pomoć u iznosu od 400,00 EUR za prvorođeno dijete, 600,00 </w:t>
      </w:r>
      <w:r>
        <w:rPr>
          <w:rFonts w:ascii="Arial" w:eastAsia="Times New Roman" w:hAnsi="Arial" w:cs="Arial"/>
          <w:sz w:val="24"/>
          <w:szCs w:val="24"/>
        </w:rPr>
        <w:t>e</w:t>
      </w:r>
      <w:r w:rsidRPr="00F12EB9">
        <w:rPr>
          <w:rFonts w:ascii="Arial" w:eastAsia="Times New Roman" w:hAnsi="Arial" w:cs="Arial"/>
          <w:sz w:val="24"/>
          <w:szCs w:val="24"/>
        </w:rPr>
        <w:t>ur</w:t>
      </w:r>
      <w:r>
        <w:rPr>
          <w:rFonts w:ascii="Arial" w:eastAsia="Times New Roman" w:hAnsi="Arial" w:cs="Arial"/>
          <w:sz w:val="24"/>
          <w:szCs w:val="24"/>
        </w:rPr>
        <w:t>a</w:t>
      </w:r>
      <w:r w:rsidRPr="00F12EB9">
        <w:rPr>
          <w:rFonts w:ascii="Arial" w:eastAsia="Times New Roman" w:hAnsi="Arial" w:cs="Arial"/>
          <w:sz w:val="24"/>
          <w:szCs w:val="24"/>
        </w:rPr>
        <w:t xml:space="preserve"> za drugo dijete i 800,00 </w:t>
      </w:r>
      <w:r>
        <w:rPr>
          <w:rFonts w:ascii="Arial" w:eastAsia="Times New Roman" w:hAnsi="Arial" w:cs="Arial"/>
          <w:sz w:val="24"/>
          <w:szCs w:val="24"/>
        </w:rPr>
        <w:t>eura</w:t>
      </w:r>
      <w:r w:rsidRPr="00F12EB9">
        <w:rPr>
          <w:rFonts w:ascii="Arial" w:eastAsia="Times New Roman" w:hAnsi="Arial" w:cs="Arial"/>
          <w:sz w:val="24"/>
          <w:szCs w:val="24"/>
        </w:rPr>
        <w:t xml:space="preserve"> za treće i svako daljnje dijete. Do trenutka pisanja ovog obrazloženja u 2025.godini odobreno je nešto manje od 100 zahtjeva. Procjena sredstava je utvrđena na bazi 2025. uz manju korekciju plana.</w:t>
      </w:r>
    </w:p>
    <w:p w14:paraId="440AA60F" w14:textId="77777777" w:rsidR="00E541EE" w:rsidRPr="00AC2206" w:rsidRDefault="00E541EE" w:rsidP="00E541EE">
      <w:pPr>
        <w:jc w:val="both"/>
        <w:rPr>
          <w:rFonts w:ascii="Arial" w:eastAsia="Times New Roman" w:hAnsi="Arial" w:cs="Arial"/>
          <w:b/>
          <w:bCs/>
          <w:sz w:val="24"/>
          <w:szCs w:val="24"/>
        </w:rPr>
      </w:pPr>
      <w:r w:rsidRPr="00AC2206">
        <w:rPr>
          <w:rFonts w:ascii="Arial" w:eastAsia="Times New Roman" w:hAnsi="Arial" w:cs="Arial"/>
          <w:b/>
          <w:bCs/>
          <w:sz w:val="24"/>
          <w:szCs w:val="24"/>
        </w:rPr>
        <w:t xml:space="preserve">Opći cilj: </w:t>
      </w:r>
      <w:r w:rsidRPr="00AC2206">
        <w:rPr>
          <w:rFonts w:ascii="Arial" w:eastAsia="Times New Roman" w:hAnsi="Arial" w:cs="Arial"/>
          <w:bCs/>
          <w:sz w:val="24"/>
          <w:szCs w:val="24"/>
        </w:rPr>
        <w:t xml:space="preserve">potpora obiteljima/roditeljima. </w:t>
      </w:r>
    </w:p>
    <w:p w14:paraId="67916291" w14:textId="77777777" w:rsidR="00E541EE"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Pokazatelj uspješnosti</w:t>
      </w:r>
      <w:r w:rsidRPr="00AC2206">
        <w:rPr>
          <w:rFonts w:ascii="Arial" w:eastAsia="Times New Roman" w:hAnsi="Arial" w:cs="Arial"/>
          <w:b/>
          <w:sz w:val="24"/>
          <w:szCs w:val="24"/>
        </w:rPr>
        <w:t xml:space="preserve">: </w:t>
      </w:r>
      <w:r w:rsidRPr="00AC2206">
        <w:rPr>
          <w:rFonts w:ascii="Arial" w:eastAsia="Times New Roman" w:hAnsi="Arial" w:cs="Arial"/>
          <w:sz w:val="24"/>
          <w:szCs w:val="24"/>
        </w:rPr>
        <w:t>pravovremeno isplaćene potpore podnositeljima zahtjeva.</w:t>
      </w:r>
    </w:p>
    <w:p w14:paraId="4F7F3BB4" w14:textId="77777777" w:rsidR="00E541EE" w:rsidRDefault="00E541EE" w:rsidP="00E541EE">
      <w:pPr>
        <w:jc w:val="both"/>
        <w:rPr>
          <w:rFonts w:ascii="Arial" w:eastAsia="Times New Roman" w:hAnsi="Arial" w:cs="Arial"/>
          <w:sz w:val="24"/>
          <w:szCs w:val="24"/>
        </w:rPr>
      </w:pPr>
    </w:p>
    <w:p w14:paraId="5F2238DD"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AC2206">
        <w:rPr>
          <w:rFonts w:ascii="Arial" w:eastAsia="Times New Roman" w:hAnsi="Arial" w:cs="Arial"/>
          <w:b/>
          <w:bCs/>
          <w:sz w:val="24"/>
          <w:szCs w:val="24"/>
        </w:rPr>
        <w:t xml:space="preserve">A 103217: Aktivnosti udruga osoba s invaliditetom = </w:t>
      </w:r>
      <w:r>
        <w:rPr>
          <w:rFonts w:ascii="Arial" w:eastAsia="Times New Roman" w:hAnsi="Arial" w:cs="Arial"/>
          <w:b/>
          <w:bCs/>
          <w:sz w:val="24"/>
          <w:szCs w:val="24"/>
        </w:rPr>
        <w:t>73</w:t>
      </w:r>
      <w:r w:rsidRPr="00AC2206">
        <w:rPr>
          <w:rFonts w:ascii="Arial" w:eastAsia="Times New Roman" w:hAnsi="Arial" w:cs="Arial"/>
          <w:b/>
          <w:bCs/>
          <w:sz w:val="24"/>
          <w:szCs w:val="24"/>
        </w:rPr>
        <w:t>.000,00 EUR</w:t>
      </w:r>
    </w:p>
    <w:p w14:paraId="3EEC5346" w14:textId="77777777" w:rsidR="00E541EE" w:rsidRPr="00AC2206" w:rsidRDefault="00E541EE" w:rsidP="00E541EE">
      <w:pPr>
        <w:jc w:val="both"/>
        <w:rPr>
          <w:rFonts w:ascii="Arial" w:eastAsia="Times New Roman" w:hAnsi="Arial" w:cs="Arial"/>
          <w:b/>
          <w:sz w:val="24"/>
          <w:szCs w:val="24"/>
        </w:rPr>
      </w:pPr>
      <w:r w:rsidRPr="00AC2206">
        <w:rPr>
          <w:rFonts w:ascii="Arial" w:eastAsia="Times New Roman" w:hAnsi="Arial" w:cs="Arial"/>
          <w:b/>
          <w:bCs/>
          <w:sz w:val="24"/>
          <w:szCs w:val="24"/>
        </w:rPr>
        <w:t>Zakonska osnova:</w:t>
      </w:r>
      <w:r w:rsidRPr="00AC2206">
        <w:rPr>
          <w:rFonts w:ascii="Arial" w:eastAsia="Times New Roman" w:hAnsi="Arial" w:cs="Arial"/>
          <w:sz w:val="24"/>
          <w:szCs w:val="24"/>
        </w:rPr>
        <w:t xml:space="preserve"> Zakon o lokalnoj i područnoj (regionalnoj) samoupravi, Zakon o socijalnoj skrbi, Zakon o udrugama i Uredba o kriterijima, mjerilima i postupcima financiranja i ugovaranja programa i projekata od interesa za opće dobro koje provode udruge.</w:t>
      </w:r>
      <w:r w:rsidRPr="00AC2206">
        <w:rPr>
          <w:rFonts w:ascii="Arial" w:eastAsia="Times New Roman" w:hAnsi="Arial" w:cs="Arial"/>
          <w:b/>
          <w:sz w:val="24"/>
          <w:szCs w:val="24"/>
        </w:rPr>
        <w:t xml:space="preserve"> </w:t>
      </w:r>
    </w:p>
    <w:p w14:paraId="0B4367DE"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sz w:val="24"/>
          <w:szCs w:val="24"/>
        </w:rPr>
        <w:t>Opis:</w:t>
      </w:r>
      <w:r w:rsidRPr="00AC2206">
        <w:rPr>
          <w:rFonts w:ascii="Arial" w:eastAsia="Times New Roman" w:hAnsi="Arial" w:cs="Arial"/>
          <w:sz w:val="24"/>
          <w:szCs w:val="24"/>
        </w:rPr>
        <w:t xml:space="preserve"> temeljem javnog natječaja, iz ovih sredstava dodijeliti će se potpore udrugama koje se bave unaprjeđenjem života osoba s invaliditetom.</w:t>
      </w:r>
    </w:p>
    <w:p w14:paraId="33F47568"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sz w:val="24"/>
          <w:szCs w:val="24"/>
        </w:rPr>
        <w:t>Planirana sredstva namijenjena su institucionalnoj podršci udruga te razvoju i kontinuitetu pružanja socijalnih usluga osobama s invaliditetom na području grada.</w:t>
      </w:r>
    </w:p>
    <w:p w14:paraId="4448F4BE" w14:textId="77777777" w:rsidR="00E541EE" w:rsidRPr="00AC2206" w:rsidRDefault="00E541EE" w:rsidP="00E541EE">
      <w:pPr>
        <w:jc w:val="both"/>
        <w:rPr>
          <w:rFonts w:ascii="Arial" w:eastAsia="Times New Roman" w:hAnsi="Arial" w:cs="Arial"/>
          <w:b/>
          <w:bCs/>
          <w:sz w:val="24"/>
          <w:szCs w:val="24"/>
        </w:rPr>
      </w:pPr>
      <w:r w:rsidRPr="00AC2206">
        <w:rPr>
          <w:rFonts w:ascii="Arial" w:eastAsia="Times New Roman" w:hAnsi="Arial" w:cs="Arial"/>
          <w:b/>
          <w:bCs/>
          <w:sz w:val="24"/>
          <w:szCs w:val="24"/>
        </w:rPr>
        <w:t xml:space="preserve">Opći cilj: </w:t>
      </w:r>
      <w:r w:rsidRPr="00AC2206">
        <w:rPr>
          <w:rFonts w:ascii="Arial" w:eastAsia="Times New Roman" w:hAnsi="Arial" w:cs="Arial"/>
          <w:bCs/>
          <w:sz w:val="24"/>
          <w:szCs w:val="24"/>
        </w:rPr>
        <w:t>unaprjeđenje i povećanje kvalitete života osoba s invaliditetom.</w:t>
      </w:r>
    </w:p>
    <w:p w14:paraId="3DE1EE52"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Pokazatelj uspješnosti</w:t>
      </w:r>
      <w:r w:rsidRPr="00AC2206">
        <w:rPr>
          <w:rFonts w:ascii="Arial" w:eastAsia="Times New Roman" w:hAnsi="Arial" w:cs="Arial"/>
          <w:b/>
          <w:sz w:val="24"/>
          <w:szCs w:val="24"/>
        </w:rPr>
        <w:t>:</w:t>
      </w:r>
      <w:r w:rsidRPr="00AC2206">
        <w:rPr>
          <w:rFonts w:ascii="Arial" w:eastAsia="Times New Roman" w:hAnsi="Arial" w:cs="Arial"/>
          <w:sz w:val="24"/>
          <w:szCs w:val="24"/>
        </w:rPr>
        <w:t xml:space="preserve"> provedene aktivnosti za osobe s invaliditetom, organiziranje slobodnog vremena, savjetovanje korisnika i njihovih obitelji, radna terapija.</w:t>
      </w:r>
    </w:p>
    <w:p w14:paraId="1F809CB4" w14:textId="77777777" w:rsidR="00E541EE" w:rsidRDefault="00E541EE" w:rsidP="00E541EE">
      <w:pPr>
        <w:jc w:val="both"/>
        <w:rPr>
          <w:rFonts w:ascii="Arial" w:eastAsia="Times New Roman" w:hAnsi="Arial" w:cs="Arial"/>
          <w:sz w:val="24"/>
          <w:szCs w:val="24"/>
        </w:rPr>
      </w:pPr>
    </w:p>
    <w:p w14:paraId="240861DC" w14:textId="77777777" w:rsidR="00E541EE" w:rsidRPr="00AC2206" w:rsidRDefault="00E541EE" w:rsidP="00E541EE">
      <w:pPr>
        <w:pBdr>
          <w:top w:val="single" w:sz="4" w:space="0"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AC2206">
        <w:rPr>
          <w:rFonts w:ascii="Arial" w:eastAsia="Times New Roman" w:hAnsi="Arial" w:cs="Arial"/>
          <w:b/>
          <w:bCs/>
          <w:sz w:val="24"/>
          <w:szCs w:val="24"/>
        </w:rPr>
        <w:t xml:space="preserve">A 103216: Sigurna kuća Istra = </w:t>
      </w:r>
      <w:r>
        <w:rPr>
          <w:rFonts w:ascii="Arial" w:eastAsia="Times New Roman" w:hAnsi="Arial" w:cs="Arial"/>
          <w:b/>
          <w:bCs/>
          <w:sz w:val="24"/>
          <w:szCs w:val="24"/>
        </w:rPr>
        <w:t>5</w:t>
      </w:r>
      <w:r w:rsidRPr="00AC2206">
        <w:rPr>
          <w:rFonts w:ascii="Arial" w:eastAsia="Times New Roman" w:hAnsi="Arial" w:cs="Arial"/>
          <w:b/>
          <w:bCs/>
          <w:sz w:val="24"/>
          <w:szCs w:val="24"/>
        </w:rPr>
        <w:t>.000,00 EUR</w:t>
      </w:r>
    </w:p>
    <w:p w14:paraId="709EFECC" w14:textId="77777777" w:rsidR="00E541EE" w:rsidRPr="00AC2206" w:rsidRDefault="00E541EE" w:rsidP="00E541EE">
      <w:pPr>
        <w:spacing w:before="120"/>
        <w:jc w:val="both"/>
        <w:rPr>
          <w:rFonts w:ascii="Arial" w:eastAsia="Times New Roman" w:hAnsi="Arial" w:cs="Arial"/>
          <w:b/>
          <w:sz w:val="24"/>
          <w:szCs w:val="24"/>
        </w:rPr>
      </w:pPr>
      <w:r w:rsidRPr="00AC2206">
        <w:rPr>
          <w:rFonts w:ascii="Arial" w:eastAsia="Times New Roman" w:hAnsi="Arial" w:cs="Arial"/>
          <w:b/>
          <w:bCs/>
          <w:sz w:val="24"/>
          <w:szCs w:val="24"/>
        </w:rPr>
        <w:t>Zakonska osnova:</w:t>
      </w:r>
      <w:r w:rsidRPr="00AC2206">
        <w:rPr>
          <w:rFonts w:ascii="Arial" w:eastAsia="Times New Roman" w:hAnsi="Arial" w:cs="Arial"/>
          <w:sz w:val="24"/>
          <w:szCs w:val="24"/>
        </w:rPr>
        <w:t xml:space="preserve"> Zakon o lokalnoj i područnoj (regionalnoj) samoupravi, Zakon o socijalnoj skrbi, Zakon o udrugama i Uredba o kriterijima, mjerilima i postupcima financiranja i ugovaranja programa i projekata od interesa za opće dobro koje provode udruge.</w:t>
      </w:r>
      <w:r w:rsidRPr="00AC2206">
        <w:rPr>
          <w:rFonts w:ascii="Arial" w:eastAsia="Times New Roman" w:hAnsi="Arial" w:cs="Arial"/>
          <w:b/>
          <w:sz w:val="24"/>
          <w:szCs w:val="24"/>
        </w:rPr>
        <w:t xml:space="preserve"> </w:t>
      </w:r>
    </w:p>
    <w:p w14:paraId="1EA1DC0F"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sz w:val="24"/>
          <w:szCs w:val="24"/>
        </w:rPr>
        <w:t>Opis:</w:t>
      </w:r>
      <w:r w:rsidRPr="00AC2206">
        <w:rPr>
          <w:rFonts w:ascii="Arial" w:eastAsia="Times New Roman" w:hAnsi="Arial" w:cs="Arial"/>
          <w:sz w:val="24"/>
          <w:szCs w:val="24"/>
        </w:rPr>
        <w:t xml:space="preserve"> Sigurna kuća „Istra“ jedina je organizacija koja skrbi o žrtvama nasilja te vodi brigu o skloništima za iste na području Istarske županije. Stoga su za njezin rad osigurana sredstva kao i ranijih godina.</w:t>
      </w:r>
    </w:p>
    <w:p w14:paraId="42840058" w14:textId="77777777" w:rsidR="00E541EE" w:rsidRPr="00AC2206" w:rsidRDefault="00E541EE" w:rsidP="00E541EE">
      <w:pPr>
        <w:jc w:val="both"/>
        <w:rPr>
          <w:rFonts w:ascii="Arial" w:eastAsia="Times New Roman" w:hAnsi="Arial" w:cs="Arial"/>
          <w:b/>
          <w:bCs/>
          <w:sz w:val="24"/>
          <w:szCs w:val="24"/>
        </w:rPr>
      </w:pPr>
      <w:r w:rsidRPr="00AC2206">
        <w:rPr>
          <w:rFonts w:ascii="Arial" w:eastAsia="Times New Roman" w:hAnsi="Arial" w:cs="Arial"/>
          <w:b/>
          <w:bCs/>
          <w:sz w:val="24"/>
          <w:szCs w:val="24"/>
        </w:rPr>
        <w:t xml:space="preserve">Opći cilj: </w:t>
      </w:r>
      <w:r w:rsidRPr="00AC2206">
        <w:rPr>
          <w:rFonts w:ascii="Arial" w:eastAsia="Times New Roman" w:hAnsi="Arial" w:cs="Arial"/>
          <w:bCs/>
          <w:sz w:val="24"/>
          <w:szCs w:val="24"/>
        </w:rPr>
        <w:t>zbrinjavanje žena žrtava obiteljskog nasilja.</w:t>
      </w:r>
    </w:p>
    <w:p w14:paraId="5D0E0217" w14:textId="77777777" w:rsidR="00E541EE"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Pokazatelj uspješnosti</w:t>
      </w:r>
      <w:r w:rsidRPr="00AC2206">
        <w:rPr>
          <w:rFonts w:ascii="Arial" w:eastAsia="Times New Roman" w:hAnsi="Arial" w:cs="Arial"/>
          <w:b/>
          <w:sz w:val="24"/>
          <w:szCs w:val="24"/>
        </w:rPr>
        <w:t>:</w:t>
      </w:r>
      <w:r w:rsidRPr="00AC2206">
        <w:rPr>
          <w:rFonts w:ascii="Arial" w:eastAsia="Times New Roman" w:hAnsi="Arial" w:cs="Arial"/>
          <w:sz w:val="24"/>
          <w:szCs w:val="24"/>
        </w:rPr>
        <w:t xml:space="preserve"> redovitim financiranjem omogućava se rad Sigurne kuće.</w:t>
      </w:r>
    </w:p>
    <w:p w14:paraId="7D730930" w14:textId="77777777" w:rsidR="00E541EE" w:rsidRDefault="00E541EE" w:rsidP="00E541EE">
      <w:pPr>
        <w:jc w:val="both"/>
        <w:rPr>
          <w:rFonts w:ascii="Arial" w:eastAsia="Times New Roman" w:hAnsi="Arial" w:cs="Arial"/>
          <w:sz w:val="24"/>
          <w:szCs w:val="24"/>
        </w:rPr>
      </w:pPr>
    </w:p>
    <w:p w14:paraId="413478AA"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AC2206">
        <w:rPr>
          <w:rFonts w:ascii="Arial" w:eastAsia="Times New Roman" w:hAnsi="Arial" w:cs="Arial"/>
          <w:b/>
          <w:bCs/>
          <w:sz w:val="24"/>
          <w:szCs w:val="24"/>
        </w:rPr>
        <w:t xml:space="preserve">A 103222: Naknada razlike u cijeni prijevoza djece u Dnevni centar </w:t>
      </w:r>
    </w:p>
    <w:p w14:paraId="1505DFE9"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AC2206">
        <w:rPr>
          <w:rFonts w:ascii="Arial" w:eastAsia="Times New Roman" w:hAnsi="Arial" w:cs="Arial"/>
          <w:b/>
          <w:bCs/>
          <w:sz w:val="24"/>
          <w:szCs w:val="24"/>
        </w:rPr>
        <w:t>= 4.000,00 EUR</w:t>
      </w:r>
    </w:p>
    <w:p w14:paraId="1D6BB26E"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Zakonska osnova:</w:t>
      </w:r>
      <w:r w:rsidRPr="00AC2206">
        <w:rPr>
          <w:rFonts w:ascii="Arial" w:eastAsia="Times New Roman" w:hAnsi="Arial" w:cs="Arial"/>
          <w:sz w:val="24"/>
          <w:szCs w:val="24"/>
        </w:rPr>
        <w:t xml:space="preserve"> Zakon o lokalnoj i područnoj (regionalnoj) samoupravi, Zakon o socijalnoj skrbi.</w:t>
      </w:r>
    </w:p>
    <w:p w14:paraId="47A8F60F"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sz w:val="24"/>
          <w:szCs w:val="24"/>
        </w:rPr>
        <w:t>Opis:</w:t>
      </w:r>
      <w:r w:rsidRPr="00AC2206">
        <w:rPr>
          <w:rFonts w:ascii="Arial" w:eastAsia="Times New Roman" w:hAnsi="Arial" w:cs="Arial"/>
          <w:sz w:val="24"/>
          <w:szCs w:val="24"/>
        </w:rPr>
        <w:t xml:space="preserve"> iz ovih sredstava se pokrivaju troškovi prijevoza djece koja pohađaju Dnevni centar „Veruda“ u Puli.</w:t>
      </w:r>
    </w:p>
    <w:p w14:paraId="37F47DF5" w14:textId="77777777" w:rsidR="00E541EE" w:rsidRDefault="00E541EE" w:rsidP="00E541EE">
      <w:pPr>
        <w:jc w:val="both"/>
        <w:rPr>
          <w:rFonts w:ascii="Arial" w:eastAsia="Times New Roman" w:hAnsi="Arial" w:cs="Arial"/>
          <w:bCs/>
          <w:sz w:val="24"/>
          <w:szCs w:val="24"/>
        </w:rPr>
      </w:pPr>
      <w:r w:rsidRPr="00AC2206">
        <w:rPr>
          <w:rFonts w:ascii="Arial" w:eastAsia="Times New Roman" w:hAnsi="Arial" w:cs="Arial"/>
          <w:b/>
          <w:bCs/>
          <w:sz w:val="24"/>
          <w:szCs w:val="24"/>
        </w:rPr>
        <w:t xml:space="preserve">Opći cilj: </w:t>
      </w:r>
      <w:r w:rsidRPr="00AC2206">
        <w:rPr>
          <w:rFonts w:ascii="Arial" w:eastAsia="Times New Roman" w:hAnsi="Arial" w:cs="Arial"/>
          <w:bCs/>
          <w:sz w:val="24"/>
          <w:szCs w:val="24"/>
        </w:rPr>
        <w:t>podrška djeci sa poteškoćama i njihovim obiteljima.</w:t>
      </w:r>
    </w:p>
    <w:p w14:paraId="3990F80C"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Pokazatelj uspješnosti</w:t>
      </w:r>
      <w:r w:rsidRPr="00AC2206">
        <w:rPr>
          <w:rFonts w:ascii="Arial" w:eastAsia="Times New Roman" w:hAnsi="Arial" w:cs="Arial"/>
          <w:b/>
          <w:sz w:val="24"/>
          <w:szCs w:val="24"/>
        </w:rPr>
        <w:t xml:space="preserve">: </w:t>
      </w:r>
      <w:r w:rsidRPr="00AC2206">
        <w:rPr>
          <w:rFonts w:ascii="Arial" w:eastAsia="Times New Roman" w:hAnsi="Arial" w:cs="Arial"/>
          <w:sz w:val="24"/>
          <w:szCs w:val="24"/>
        </w:rPr>
        <w:t>broj korisnika i redovita isplata potpore.</w:t>
      </w:r>
      <w:r w:rsidRPr="00AC2206">
        <w:rPr>
          <w:rFonts w:ascii="Arial" w:eastAsia="Times New Roman" w:hAnsi="Arial" w:cs="Arial"/>
          <w:b/>
          <w:sz w:val="24"/>
          <w:szCs w:val="24"/>
        </w:rPr>
        <w:t xml:space="preserve"> </w:t>
      </w:r>
    </w:p>
    <w:p w14:paraId="0988A840" w14:textId="77777777" w:rsidR="00E541EE" w:rsidRPr="00AC2206" w:rsidRDefault="00E541EE" w:rsidP="00E541EE">
      <w:pPr>
        <w:jc w:val="both"/>
        <w:rPr>
          <w:rFonts w:ascii="Arial" w:eastAsia="Times New Roman" w:hAnsi="Arial" w:cs="Arial"/>
          <w:b/>
          <w:bCs/>
          <w:sz w:val="24"/>
          <w:szCs w:val="24"/>
        </w:rPr>
      </w:pPr>
    </w:p>
    <w:p w14:paraId="5AAB4217"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AC2206">
        <w:rPr>
          <w:rFonts w:ascii="Arial" w:eastAsia="Times New Roman" w:hAnsi="Arial" w:cs="Arial"/>
          <w:b/>
          <w:bCs/>
          <w:sz w:val="24"/>
          <w:szCs w:val="24"/>
        </w:rPr>
        <w:t>A 103207: Ostale pomoći prema Odluci o socijalnoj skrbi = 4.000,00 EUR</w:t>
      </w:r>
    </w:p>
    <w:p w14:paraId="771357F3"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Zakonska osnova:</w:t>
      </w:r>
      <w:r w:rsidRPr="00AC2206">
        <w:rPr>
          <w:rFonts w:ascii="Arial" w:eastAsia="Times New Roman" w:hAnsi="Arial" w:cs="Arial"/>
          <w:sz w:val="24"/>
          <w:szCs w:val="24"/>
        </w:rPr>
        <w:t xml:space="preserve"> Zakon o lokalnoj i područnoj (regionalnoj) samoupravi.</w:t>
      </w:r>
    </w:p>
    <w:p w14:paraId="3C21FF30"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sz w:val="24"/>
          <w:szCs w:val="24"/>
        </w:rPr>
        <w:t>Opis:</w:t>
      </w:r>
      <w:r w:rsidRPr="00AC2206">
        <w:rPr>
          <w:rFonts w:ascii="Arial" w:eastAsia="Times New Roman" w:hAnsi="Arial" w:cs="Arial"/>
          <w:sz w:val="24"/>
          <w:szCs w:val="24"/>
        </w:rPr>
        <w:t xml:space="preserve"> iz ovih sredstava osigurati će se nabavka invalidskih pomagala i ostale pomoći koje su propisane Odlukom o socijalnoj skrbi.</w:t>
      </w:r>
    </w:p>
    <w:p w14:paraId="7F479C4A" w14:textId="77777777" w:rsidR="00E541EE" w:rsidRPr="00AC2206" w:rsidRDefault="00E541EE" w:rsidP="00E541EE">
      <w:pPr>
        <w:jc w:val="both"/>
        <w:rPr>
          <w:rFonts w:ascii="Arial" w:eastAsia="Times New Roman" w:hAnsi="Arial" w:cs="Arial"/>
          <w:b/>
          <w:bCs/>
          <w:sz w:val="24"/>
          <w:szCs w:val="24"/>
        </w:rPr>
      </w:pPr>
      <w:r w:rsidRPr="00AC2206">
        <w:rPr>
          <w:rFonts w:ascii="Arial" w:eastAsia="Times New Roman" w:hAnsi="Arial" w:cs="Arial"/>
          <w:b/>
          <w:bCs/>
          <w:sz w:val="24"/>
          <w:szCs w:val="24"/>
        </w:rPr>
        <w:t xml:space="preserve">Opći cilj: </w:t>
      </w:r>
      <w:r w:rsidRPr="00AC2206">
        <w:rPr>
          <w:rFonts w:ascii="Arial" w:eastAsia="Times New Roman" w:hAnsi="Arial" w:cs="Arial"/>
          <w:bCs/>
          <w:sz w:val="24"/>
          <w:szCs w:val="24"/>
        </w:rPr>
        <w:t>potpora socijalno potrebitim osobama.</w:t>
      </w:r>
    </w:p>
    <w:p w14:paraId="7943CA80"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Pokazatelj uspješnosti</w:t>
      </w:r>
      <w:r w:rsidRPr="00AC2206">
        <w:rPr>
          <w:rFonts w:ascii="Arial" w:eastAsia="Times New Roman" w:hAnsi="Arial" w:cs="Arial"/>
          <w:b/>
          <w:sz w:val="24"/>
          <w:szCs w:val="24"/>
        </w:rPr>
        <w:t xml:space="preserve">: </w:t>
      </w:r>
      <w:r w:rsidRPr="00AC2206">
        <w:rPr>
          <w:rFonts w:ascii="Arial" w:eastAsia="Times New Roman" w:hAnsi="Arial" w:cs="Arial"/>
          <w:sz w:val="24"/>
          <w:szCs w:val="24"/>
        </w:rPr>
        <w:t>dodijeljene potpore, praćenje pokazatelja.</w:t>
      </w:r>
    </w:p>
    <w:p w14:paraId="38BC8803" w14:textId="77777777" w:rsidR="00E541EE" w:rsidRDefault="00E541EE" w:rsidP="00E541EE">
      <w:pPr>
        <w:jc w:val="both"/>
        <w:rPr>
          <w:rFonts w:ascii="Arial" w:eastAsia="Times New Roman" w:hAnsi="Arial" w:cs="Arial"/>
          <w:sz w:val="24"/>
          <w:szCs w:val="24"/>
        </w:rPr>
      </w:pPr>
    </w:p>
    <w:p w14:paraId="33BAAA24"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sz w:val="24"/>
          <w:szCs w:val="24"/>
        </w:rPr>
      </w:pPr>
      <w:r w:rsidRPr="00AC2206">
        <w:rPr>
          <w:rFonts w:ascii="Arial" w:eastAsia="Times New Roman" w:hAnsi="Arial" w:cs="Arial"/>
          <w:b/>
          <w:sz w:val="24"/>
          <w:szCs w:val="24"/>
        </w:rPr>
        <w:t xml:space="preserve">T 103201: Nabava vozila za prijevoz osoba sa invaliditetom = </w:t>
      </w:r>
      <w:r>
        <w:rPr>
          <w:rFonts w:ascii="Arial" w:eastAsia="Times New Roman" w:hAnsi="Arial" w:cs="Arial"/>
          <w:b/>
          <w:sz w:val="24"/>
          <w:szCs w:val="24"/>
        </w:rPr>
        <w:t>30</w:t>
      </w:r>
      <w:r w:rsidRPr="00AC2206">
        <w:rPr>
          <w:rFonts w:ascii="Arial" w:eastAsia="Times New Roman" w:hAnsi="Arial" w:cs="Arial"/>
          <w:b/>
          <w:sz w:val="24"/>
          <w:szCs w:val="24"/>
        </w:rPr>
        <w:t>.000,00 EUR</w:t>
      </w:r>
    </w:p>
    <w:p w14:paraId="1B1DF2C2"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Zakonska osnova:</w:t>
      </w:r>
      <w:r w:rsidRPr="00AC2206">
        <w:rPr>
          <w:rFonts w:ascii="Arial" w:eastAsia="Times New Roman" w:hAnsi="Arial" w:cs="Arial"/>
          <w:sz w:val="24"/>
          <w:szCs w:val="24"/>
        </w:rPr>
        <w:t xml:space="preserve"> Zakon o lokalnoj i područnoj (regionalnoj) samoupravi, Zakon o socijalnoj skrbi.</w:t>
      </w:r>
    </w:p>
    <w:p w14:paraId="66F6C17C" w14:textId="77777777" w:rsidR="00E541EE" w:rsidRDefault="00E541EE" w:rsidP="00E541EE">
      <w:pPr>
        <w:jc w:val="both"/>
        <w:rPr>
          <w:rFonts w:ascii="Arial" w:eastAsia="Times New Roman" w:hAnsi="Arial" w:cs="Arial"/>
          <w:sz w:val="24"/>
          <w:szCs w:val="24"/>
        </w:rPr>
      </w:pPr>
      <w:r w:rsidRPr="00AC2206">
        <w:rPr>
          <w:rFonts w:ascii="Arial" w:eastAsia="Times New Roman" w:hAnsi="Arial" w:cs="Arial"/>
          <w:b/>
          <w:sz w:val="24"/>
          <w:szCs w:val="24"/>
        </w:rPr>
        <w:t>Opis:</w:t>
      </w:r>
      <w:r w:rsidRPr="00AC2206">
        <w:rPr>
          <w:rFonts w:ascii="Arial" w:eastAsia="Times New Roman" w:hAnsi="Arial" w:cs="Arial"/>
          <w:sz w:val="24"/>
          <w:szCs w:val="24"/>
        </w:rPr>
        <w:t xml:space="preserve"> </w:t>
      </w:r>
      <w:r w:rsidRPr="00E34E89">
        <w:rPr>
          <w:rFonts w:ascii="Arial" w:eastAsia="Times New Roman" w:hAnsi="Arial" w:cs="Arial"/>
          <w:sz w:val="24"/>
          <w:szCs w:val="24"/>
        </w:rPr>
        <w:t>prema iskazanoj potrebi Društva osoba s invaliditetom osiguravaju se sredstva za nabavu kombi vozila prilagođenog za prijevoz osoba sa invaliditetom putem financijskog leasinga. Nabavkom novog kombi vozila udruga osigurava svojim članovima veću sigurnost i dostupnost različitih aktivnosti i zadovoljenje potreba za mobilnošću vlastitih članova</w:t>
      </w:r>
      <w:r>
        <w:rPr>
          <w:rFonts w:ascii="Arial" w:eastAsia="Times New Roman" w:hAnsi="Arial" w:cs="Arial"/>
          <w:sz w:val="24"/>
          <w:szCs w:val="24"/>
        </w:rPr>
        <w:t>.</w:t>
      </w:r>
    </w:p>
    <w:p w14:paraId="2369970D" w14:textId="77777777" w:rsidR="00E541EE" w:rsidRPr="00AC2206" w:rsidRDefault="00E541EE" w:rsidP="00E541EE">
      <w:pPr>
        <w:jc w:val="both"/>
        <w:rPr>
          <w:rFonts w:ascii="Arial" w:eastAsia="Times New Roman" w:hAnsi="Arial" w:cs="Arial"/>
          <w:b/>
          <w:bCs/>
          <w:sz w:val="24"/>
          <w:szCs w:val="24"/>
        </w:rPr>
      </w:pPr>
      <w:r w:rsidRPr="00E34E89">
        <w:rPr>
          <w:rFonts w:ascii="Arial" w:eastAsia="Times New Roman" w:hAnsi="Arial" w:cs="Arial"/>
          <w:b/>
          <w:bCs/>
          <w:sz w:val="24"/>
          <w:szCs w:val="24"/>
        </w:rPr>
        <w:t xml:space="preserve">Opći cilj: </w:t>
      </w:r>
      <w:r w:rsidRPr="00E34E89">
        <w:rPr>
          <w:rFonts w:ascii="Arial" w:eastAsia="Times New Roman" w:hAnsi="Arial" w:cs="Arial"/>
          <w:bCs/>
          <w:sz w:val="24"/>
          <w:szCs w:val="24"/>
        </w:rPr>
        <w:t>nabava novog vozila za prijevoz osoba sa invaliditetom.</w:t>
      </w:r>
    </w:p>
    <w:p w14:paraId="24D4A1DE" w14:textId="77777777" w:rsidR="00E541EE"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Pokazatelj uspješnosti</w:t>
      </w:r>
      <w:r w:rsidRPr="00AC2206">
        <w:rPr>
          <w:rFonts w:ascii="Arial" w:eastAsia="Times New Roman" w:hAnsi="Arial" w:cs="Arial"/>
          <w:b/>
          <w:sz w:val="24"/>
          <w:szCs w:val="24"/>
        </w:rPr>
        <w:t xml:space="preserve">: </w:t>
      </w:r>
      <w:r w:rsidRPr="00AC2206">
        <w:rPr>
          <w:rFonts w:ascii="Arial" w:eastAsia="Times New Roman" w:hAnsi="Arial" w:cs="Arial"/>
          <w:sz w:val="24"/>
          <w:szCs w:val="24"/>
        </w:rPr>
        <w:t>nabavljeno kombi vozilo.</w:t>
      </w:r>
    </w:p>
    <w:p w14:paraId="0263CBDA" w14:textId="77777777" w:rsidR="008B3204" w:rsidRDefault="008B3204" w:rsidP="00E541EE">
      <w:pPr>
        <w:jc w:val="both"/>
        <w:rPr>
          <w:rFonts w:ascii="Arial" w:eastAsia="Times New Roman" w:hAnsi="Arial" w:cs="Arial"/>
          <w:sz w:val="24"/>
          <w:szCs w:val="24"/>
        </w:rPr>
      </w:pPr>
    </w:p>
    <w:p w14:paraId="0C529AD1"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AC2206">
        <w:rPr>
          <w:rFonts w:ascii="Arial" w:eastAsia="Times New Roman" w:hAnsi="Arial" w:cs="Arial"/>
          <w:b/>
          <w:bCs/>
          <w:sz w:val="24"/>
          <w:szCs w:val="24"/>
        </w:rPr>
        <w:t>A 103212: Naknada razlike u cijeni toplog obroka = 8.700,00 EUR</w:t>
      </w:r>
    </w:p>
    <w:p w14:paraId="5809FD3F"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Zakonska osnova:</w:t>
      </w:r>
      <w:r w:rsidRPr="00AC2206">
        <w:rPr>
          <w:rFonts w:ascii="Arial" w:eastAsia="Times New Roman" w:hAnsi="Arial" w:cs="Arial"/>
          <w:sz w:val="24"/>
          <w:szCs w:val="24"/>
        </w:rPr>
        <w:t xml:space="preserve"> Zakon o lokalnoj i područnoj (regionalnoj) samoupravi.</w:t>
      </w:r>
    </w:p>
    <w:p w14:paraId="12453201"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sz w:val="24"/>
          <w:szCs w:val="24"/>
        </w:rPr>
        <w:t>Opis:</w:t>
      </w:r>
      <w:r w:rsidRPr="00AC2206">
        <w:rPr>
          <w:rFonts w:ascii="Arial" w:eastAsia="Times New Roman" w:hAnsi="Arial" w:cs="Arial"/>
          <w:sz w:val="24"/>
          <w:szCs w:val="24"/>
        </w:rPr>
        <w:t xml:space="preserve"> iz ovih sredstava subvencioniraju se troškovi prehrane djece u osnovnim školama u skladu sa kriterijima iz Odluke o socijalnoj skrbi. </w:t>
      </w:r>
    </w:p>
    <w:p w14:paraId="039C1B38" w14:textId="77777777" w:rsidR="00E541EE" w:rsidRPr="00AC2206" w:rsidRDefault="00E541EE" w:rsidP="00E541EE">
      <w:pPr>
        <w:jc w:val="both"/>
        <w:rPr>
          <w:rFonts w:ascii="Arial" w:eastAsia="Times New Roman" w:hAnsi="Arial" w:cs="Arial"/>
          <w:b/>
          <w:bCs/>
          <w:sz w:val="24"/>
          <w:szCs w:val="24"/>
        </w:rPr>
      </w:pPr>
      <w:r w:rsidRPr="00AC2206">
        <w:rPr>
          <w:rFonts w:ascii="Arial" w:eastAsia="Times New Roman" w:hAnsi="Arial" w:cs="Arial"/>
          <w:b/>
          <w:bCs/>
          <w:sz w:val="24"/>
          <w:szCs w:val="24"/>
        </w:rPr>
        <w:t xml:space="preserve">Opći cilj: </w:t>
      </w:r>
      <w:r w:rsidRPr="00AC2206">
        <w:rPr>
          <w:rFonts w:ascii="Arial" w:eastAsia="Times New Roman" w:hAnsi="Arial" w:cs="Arial"/>
          <w:bCs/>
          <w:sz w:val="24"/>
          <w:szCs w:val="24"/>
        </w:rPr>
        <w:t>povećanje korisnika organizirane prehrane u školama.</w:t>
      </w:r>
      <w:r w:rsidRPr="00AC2206">
        <w:rPr>
          <w:rFonts w:ascii="Arial" w:eastAsia="Times New Roman" w:hAnsi="Arial" w:cs="Arial"/>
          <w:b/>
          <w:bCs/>
          <w:sz w:val="24"/>
          <w:szCs w:val="24"/>
        </w:rPr>
        <w:t xml:space="preserve"> </w:t>
      </w:r>
    </w:p>
    <w:p w14:paraId="16CCF86E" w14:textId="77777777" w:rsidR="00E541EE"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Pokazatelj uspješnosti</w:t>
      </w:r>
      <w:r w:rsidRPr="00AC2206">
        <w:rPr>
          <w:rFonts w:ascii="Arial" w:eastAsia="Times New Roman" w:hAnsi="Arial" w:cs="Arial"/>
          <w:b/>
          <w:sz w:val="24"/>
          <w:szCs w:val="24"/>
        </w:rPr>
        <w:t xml:space="preserve">: </w:t>
      </w:r>
      <w:r w:rsidRPr="00AC2206">
        <w:rPr>
          <w:rFonts w:ascii="Arial" w:eastAsia="Times New Roman" w:hAnsi="Arial" w:cs="Arial"/>
          <w:sz w:val="24"/>
          <w:szCs w:val="24"/>
        </w:rPr>
        <w:t>ukupan broj korisnika organizirane prehrane.</w:t>
      </w:r>
    </w:p>
    <w:p w14:paraId="50635992" w14:textId="77777777" w:rsidR="00E541EE" w:rsidRDefault="00E541EE" w:rsidP="00E541EE">
      <w:pPr>
        <w:jc w:val="both"/>
        <w:rPr>
          <w:rFonts w:ascii="Arial" w:eastAsia="Times New Roman" w:hAnsi="Arial" w:cs="Arial"/>
          <w:sz w:val="24"/>
          <w:szCs w:val="24"/>
        </w:rPr>
      </w:pPr>
    </w:p>
    <w:p w14:paraId="0E700611" w14:textId="77777777" w:rsidR="00E541EE" w:rsidRDefault="00E541EE" w:rsidP="00E541EE">
      <w:pPr>
        <w:pBdr>
          <w:top w:val="single" w:sz="4" w:space="1" w:color="auto"/>
          <w:left w:val="single" w:sz="4" w:space="4" w:color="auto"/>
          <w:bottom w:val="single" w:sz="4" w:space="1" w:color="auto"/>
          <w:right w:val="single" w:sz="4" w:space="4" w:color="auto"/>
        </w:pBdr>
        <w:shd w:val="clear" w:color="auto" w:fill="E9E9E9"/>
        <w:rPr>
          <w:rFonts w:ascii="Arial" w:eastAsia="Times New Roman" w:hAnsi="Arial" w:cs="Arial"/>
          <w:b/>
          <w:bCs/>
          <w:sz w:val="24"/>
          <w:szCs w:val="24"/>
        </w:rPr>
      </w:pPr>
      <w:r w:rsidRPr="00AC2206">
        <w:rPr>
          <w:rFonts w:ascii="Arial" w:eastAsia="Times New Roman" w:hAnsi="Arial" w:cs="Arial"/>
          <w:b/>
          <w:bCs/>
          <w:sz w:val="24"/>
          <w:szCs w:val="24"/>
        </w:rPr>
        <w:t>A</w:t>
      </w:r>
      <w:r>
        <w:rPr>
          <w:rFonts w:ascii="Arial" w:eastAsia="Times New Roman" w:hAnsi="Arial" w:cs="Arial"/>
          <w:b/>
          <w:bCs/>
          <w:sz w:val="24"/>
          <w:szCs w:val="24"/>
        </w:rPr>
        <w:t xml:space="preserve"> </w:t>
      </w:r>
      <w:r w:rsidRPr="00AC2206">
        <w:rPr>
          <w:rFonts w:ascii="Arial" w:eastAsia="Times New Roman" w:hAnsi="Arial" w:cs="Arial"/>
          <w:b/>
          <w:bCs/>
          <w:sz w:val="24"/>
          <w:szCs w:val="24"/>
        </w:rPr>
        <w:t>103221: Sufinanciranje Dnevnog boravka u Domu za starije „D</w:t>
      </w:r>
      <w:r>
        <w:rPr>
          <w:rFonts w:ascii="Arial" w:eastAsia="Times New Roman" w:hAnsi="Arial" w:cs="Arial"/>
          <w:b/>
          <w:bCs/>
          <w:sz w:val="24"/>
          <w:szCs w:val="24"/>
        </w:rPr>
        <w:t xml:space="preserve">. </w:t>
      </w:r>
      <w:r w:rsidRPr="00AC2206">
        <w:rPr>
          <w:rFonts w:ascii="Arial" w:eastAsia="Times New Roman" w:hAnsi="Arial" w:cs="Arial"/>
          <w:b/>
          <w:bCs/>
          <w:sz w:val="24"/>
          <w:szCs w:val="24"/>
        </w:rPr>
        <w:t>Pergolis“</w:t>
      </w:r>
    </w:p>
    <w:p w14:paraId="7AA56D59"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rPr>
          <w:rFonts w:ascii="Arial" w:eastAsia="Times New Roman" w:hAnsi="Arial" w:cs="Arial"/>
          <w:b/>
          <w:bCs/>
          <w:sz w:val="24"/>
          <w:szCs w:val="24"/>
        </w:rPr>
      </w:pPr>
      <w:r w:rsidRPr="00AC2206">
        <w:rPr>
          <w:rFonts w:ascii="Arial" w:eastAsia="Times New Roman" w:hAnsi="Arial" w:cs="Arial"/>
          <w:b/>
          <w:bCs/>
          <w:sz w:val="24"/>
          <w:szCs w:val="24"/>
        </w:rPr>
        <w:t xml:space="preserve"> = 9.300,00 EUR</w:t>
      </w:r>
    </w:p>
    <w:p w14:paraId="3760F1DC"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Zakonska osnova:</w:t>
      </w:r>
      <w:r w:rsidRPr="00AC2206">
        <w:rPr>
          <w:rFonts w:ascii="Arial" w:eastAsia="Times New Roman" w:hAnsi="Arial" w:cs="Arial"/>
          <w:sz w:val="24"/>
          <w:szCs w:val="24"/>
        </w:rPr>
        <w:t xml:space="preserve"> Zakon o lokalnoj i područnoj (regionalnoj) samoupravi, Zakon o socijalnoj skrbi.</w:t>
      </w:r>
    </w:p>
    <w:p w14:paraId="1D2B4896"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sz w:val="24"/>
          <w:szCs w:val="24"/>
        </w:rPr>
        <w:t>Opis:</w:t>
      </w:r>
      <w:r w:rsidRPr="00AC2206">
        <w:rPr>
          <w:rFonts w:ascii="Arial" w:eastAsia="Times New Roman" w:hAnsi="Arial" w:cs="Arial"/>
          <w:sz w:val="24"/>
          <w:szCs w:val="24"/>
        </w:rPr>
        <w:t xml:space="preserve"> realizacijom dogradnje objekta Doma za starije „Domenico Pergolis“ stvaraju se uvjeti pružanja usluge dnevnog boravka za starije čime se omogućava skrb za starije osobe u vrijeme kada su njihove obitelji na poslu ili imaju druge obveze. </w:t>
      </w:r>
    </w:p>
    <w:p w14:paraId="208C56CB"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sz w:val="24"/>
          <w:szCs w:val="24"/>
        </w:rPr>
        <w:t>Kapacitet boravka je 24 korisnika, a financirat će se iz cijene usluge koje će plaćati sami korisnici i dijelom iz proračunskih sredstava. Modalitet (su)financiranja ove usluge utvrdit će se u suradnji sa ustanovom.</w:t>
      </w:r>
    </w:p>
    <w:p w14:paraId="42EA7B58" w14:textId="77777777" w:rsidR="00E541EE" w:rsidRPr="00AC2206" w:rsidRDefault="00E541EE" w:rsidP="00E541EE">
      <w:pPr>
        <w:jc w:val="both"/>
        <w:rPr>
          <w:rFonts w:ascii="Arial" w:eastAsia="Times New Roman" w:hAnsi="Arial" w:cs="Arial"/>
          <w:bCs/>
          <w:sz w:val="24"/>
          <w:szCs w:val="24"/>
        </w:rPr>
      </w:pPr>
      <w:r w:rsidRPr="00AC2206">
        <w:rPr>
          <w:rFonts w:ascii="Arial" w:eastAsia="Times New Roman" w:hAnsi="Arial" w:cs="Arial"/>
          <w:b/>
          <w:bCs/>
          <w:sz w:val="24"/>
          <w:szCs w:val="24"/>
        </w:rPr>
        <w:t xml:space="preserve">Opći cilj: </w:t>
      </w:r>
      <w:r w:rsidRPr="00AC2206">
        <w:rPr>
          <w:rFonts w:ascii="Arial" w:eastAsia="Times New Roman" w:hAnsi="Arial" w:cs="Arial"/>
          <w:bCs/>
          <w:sz w:val="24"/>
          <w:szCs w:val="24"/>
        </w:rPr>
        <w:t>pružanje vaninstitucionalnih socijalnih usluga za osobe starije životne dobi.</w:t>
      </w:r>
    </w:p>
    <w:p w14:paraId="388AB164" w14:textId="77777777" w:rsidR="00E541EE"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Pokazatelj uspješnosti</w:t>
      </w:r>
      <w:r w:rsidRPr="00AC2206">
        <w:rPr>
          <w:rFonts w:ascii="Arial" w:eastAsia="Times New Roman" w:hAnsi="Arial" w:cs="Arial"/>
          <w:b/>
          <w:sz w:val="24"/>
          <w:szCs w:val="24"/>
        </w:rPr>
        <w:t xml:space="preserve">: </w:t>
      </w:r>
      <w:r w:rsidRPr="00AC2206">
        <w:rPr>
          <w:rFonts w:ascii="Arial" w:eastAsia="Times New Roman" w:hAnsi="Arial" w:cs="Arial"/>
          <w:sz w:val="24"/>
          <w:szCs w:val="24"/>
        </w:rPr>
        <w:t>broj korisnika Dnevnog  boravka.</w:t>
      </w:r>
    </w:p>
    <w:p w14:paraId="37E64BA3" w14:textId="77777777" w:rsidR="008B3204" w:rsidRDefault="008B3204" w:rsidP="00E541EE">
      <w:pPr>
        <w:jc w:val="both"/>
        <w:rPr>
          <w:rFonts w:ascii="Arial" w:eastAsia="Times New Roman" w:hAnsi="Arial" w:cs="Arial"/>
          <w:sz w:val="24"/>
          <w:szCs w:val="24"/>
        </w:rPr>
      </w:pPr>
    </w:p>
    <w:p w14:paraId="3BC41BAD"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AC2206">
        <w:rPr>
          <w:rFonts w:ascii="Arial" w:eastAsia="Times New Roman" w:hAnsi="Arial" w:cs="Arial"/>
          <w:b/>
          <w:bCs/>
          <w:sz w:val="24"/>
          <w:szCs w:val="24"/>
        </w:rPr>
        <w:t>A 103211: Naknada razlike u cijeni stanovanja = 26.480,00 EUR</w:t>
      </w:r>
    </w:p>
    <w:p w14:paraId="6D668739"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Zakonska osnova:</w:t>
      </w:r>
      <w:r w:rsidRPr="00AC2206">
        <w:rPr>
          <w:rFonts w:ascii="Arial" w:eastAsia="Times New Roman" w:hAnsi="Arial" w:cs="Arial"/>
          <w:sz w:val="24"/>
          <w:szCs w:val="24"/>
        </w:rPr>
        <w:t xml:space="preserve"> Zakon o lokalnoj i područnoj (regionalnoj) samoupravi, Zakon o socijalnoj  skrbi.</w:t>
      </w:r>
    </w:p>
    <w:p w14:paraId="115E8B93"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sz w:val="24"/>
          <w:szCs w:val="24"/>
        </w:rPr>
        <w:t>Opis:</w:t>
      </w:r>
      <w:r w:rsidRPr="00AC2206">
        <w:rPr>
          <w:rFonts w:ascii="Arial" w:eastAsia="Times New Roman" w:hAnsi="Arial" w:cs="Arial"/>
          <w:sz w:val="24"/>
          <w:szCs w:val="24"/>
        </w:rPr>
        <w:t xml:space="preserve"> iz ovih sredstava pokrivaju se troškovi stanovanja obiteljima koje ispunjavaju kriterije iz Odluke o socijalnoj skrbi. </w:t>
      </w:r>
    </w:p>
    <w:p w14:paraId="731D2F3C" w14:textId="77777777" w:rsidR="00E541EE" w:rsidRPr="00AC2206" w:rsidRDefault="00E541EE" w:rsidP="00E541EE">
      <w:pPr>
        <w:jc w:val="both"/>
        <w:rPr>
          <w:rFonts w:ascii="Arial" w:eastAsia="Times New Roman" w:hAnsi="Arial" w:cs="Arial"/>
          <w:b/>
          <w:bCs/>
          <w:sz w:val="24"/>
          <w:szCs w:val="24"/>
        </w:rPr>
      </w:pPr>
      <w:r w:rsidRPr="00AC2206">
        <w:rPr>
          <w:rFonts w:ascii="Arial" w:eastAsia="Times New Roman" w:hAnsi="Arial" w:cs="Arial"/>
          <w:b/>
          <w:bCs/>
          <w:sz w:val="24"/>
          <w:szCs w:val="24"/>
        </w:rPr>
        <w:t xml:space="preserve">Opći cilj: </w:t>
      </w:r>
      <w:r w:rsidRPr="00AC2206">
        <w:rPr>
          <w:rFonts w:ascii="Arial" w:eastAsia="Times New Roman" w:hAnsi="Arial" w:cs="Arial"/>
          <w:sz w:val="24"/>
          <w:szCs w:val="24"/>
        </w:rPr>
        <w:t>potpora socijalno najpotrebitijim kategorijama sugrađana.</w:t>
      </w:r>
    </w:p>
    <w:p w14:paraId="41AA10C6" w14:textId="77777777" w:rsidR="00E541EE" w:rsidRPr="00AC2206" w:rsidRDefault="00E541EE" w:rsidP="00E541EE">
      <w:pPr>
        <w:jc w:val="both"/>
        <w:rPr>
          <w:rFonts w:ascii="Arial" w:eastAsia="Times New Roman" w:hAnsi="Arial" w:cs="Arial"/>
          <w:b/>
          <w:sz w:val="24"/>
          <w:szCs w:val="24"/>
        </w:rPr>
      </w:pPr>
      <w:r w:rsidRPr="00AC2206">
        <w:rPr>
          <w:rFonts w:ascii="Arial" w:eastAsia="Times New Roman" w:hAnsi="Arial" w:cs="Arial"/>
          <w:b/>
          <w:bCs/>
          <w:sz w:val="24"/>
          <w:szCs w:val="24"/>
        </w:rPr>
        <w:t>Pokazatelj uspješnosti</w:t>
      </w:r>
      <w:r w:rsidRPr="00AC2206">
        <w:rPr>
          <w:rFonts w:ascii="Arial" w:eastAsia="Times New Roman" w:hAnsi="Arial" w:cs="Arial"/>
          <w:b/>
          <w:sz w:val="24"/>
          <w:szCs w:val="24"/>
        </w:rPr>
        <w:t xml:space="preserve">: </w:t>
      </w:r>
      <w:r w:rsidRPr="00AC2206">
        <w:rPr>
          <w:rFonts w:ascii="Arial" w:eastAsia="Times New Roman" w:hAnsi="Arial" w:cs="Arial"/>
          <w:sz w:val="24"/>
          <w:szCs w:val="24"/>
        </w:rPr>
        <w:t>broj korisnika, praćenje pokazatelja.</w:t>
      </w:r>
      <w:r w:rsidRPr="00AC2206">
        <w:rPr>
          <w:rFonts w:ascii="Arial" w:eastAsia="Times New Roman" w:hAnsi="Arial" w:cs="Arial"/>
          <w:b/>
          <w:sz w:val="24"/>
          <w:szCs w:val="24"/>
        </w:rPr>
        <w:t xml:space="preserve"> </w:t>
      </w:r>
    </w:p>
    <w:p w14:paraId="34525F10" w14:textId="77777777" w:rsidR="00E541EE" w:rsidRPr="00AC2206" w:rsidRDefault="00E541EE" w:rsidP="00E541EE">
      <w:pPr>
        <w:jc w:val="both"/>
        <w:rPr>
          <w:rFonts w:ascii="Arial" w:eastAsia="Times New Roman" w:hAnsi="Arial" w:cs="Arial"/>
          <w:sz w:val="24"/>
          <w:szCs w:val="24"/>
        </w:rPr>
      </w:pPr>
    </w:p>
    <w:p w14:paraId="5715A833"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AC2206">
        <w:rPr>
          <w:rFonts w:ascii="Arial" w:eastAsia="Times New Roman" w:hAnsi="Arial" w:cs="Arial"/>
          <w:b/>
          <w:bCs/>
          <w:sz w:val="24"/>
          <w:szCs w:val="24"/>
        </w:rPr>
        <w:t xml:space="preserve">A 103224: Gradsko psihološko savjetovalište = </w:t>
      </w:r>
      <w:r>
        <w:rPr>
          <w:rFonts w:ascii="Arial" w:eastAsia="Times New Roman" w:hAnsi="Arial" w:cs="Arial"/>
          <w:b/>
          <w:bCs/>
          <w:sz w:val="24"/>
          <w:szCs w:val="24"/>
        </w:rPr>
        <w:t>19</w:t>
      </w:r>
      <w:r w:rsidRPr="00AC2206">
        <w:rPr>
          <w:rFonts w:ascii="Arial" w:eastAsia="Times New Roman" w:hAnsi="Arial" w:cs="Arial"/>
          <w:b/>
          <w:bCs/>
          <w:sz w:val="24"/>
          <w:szCs w:val="24"/>
        </w:rPr>
        <w:t>.</w:t>
      </w:r>
      <w:r>
        <w:rPr>
          <w:rFonts w:ascii="Arial" w:eastAsia="Times New Roman" w:hAnsi="Arial" w:cs="Arial"/>
          <w:b/>
          <w:bCs/>
          <w:sz w:val="24"/>
          <w:szCs w:val="24"/>
        </w:rPr>
        <w:t>7</w:t>
      </w:r>
      <w:r w:rsidRPr="00AC2206">
        <w:rPr>
          <w:rFonts w:ascii="Arial" w:eastAsia="Times New Roman" w:hAnsi="Arial" w:cs="Arial"/>
          <w:b/>
          <w:bCs/>
          <w:sz w:val="24"/>
          <w:szCs w:val="24"/>
        </w:rPr>
        <w:t>00,00 EUR</w:t>
      </w:r>
    </w:p>
    <w:p w14:paraId="74E29FFD"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Zakonska osnova:</w:t>
      </w:r>
      <w:r w:rsidRPr="00AC2206">
        <w:rPr>
          <w:rFonts w:ascii="Arial" w:eastAsia="Times New Roman" w:hAnsi="Arial" w:cs="Arial"/>
          <w:sz w:val="24"/>
          <w:szCs w:val="24"/>
        </w:rPr>
        <w:t xml:space="preserve"> Zakon o lokalnoj i područnoj (regionalnoj) samoupravi.</w:t>
      </w:r>
    </w:p>
    <w:p w14:paraId="3520A998" w14:textId="77777777" w:rsidR="00E541EE" w:rsidRDefault="00E541EE" w:rsidP="00E541EE">
      <w:pPr>
        <w:jc w:val="both"/>
        <w:rPr>
          <w:rFonts w:ascii="Arial" w:hAnsi="Arial" w:cs="Arial"/>
          <w:sz w:val="24"/>
          <w:szCs w:val="24"/>
        </w:rPr>
      </w:pPr>
      <w:r w:rsidRPr="00E34E89">
        <w:rPr>
          <w:rFonts w:ascii="Arial" w:eastAsia="Times New Roman" w:hAnsi="Arial" w:cs="Arial"/>
          <w:b/>
          <w:sz w:val="24"/>
          <w:szCs w:val="24"/>
        </w:rPr>
        <w:t>Opis:</w:t>
      </w:r>
      <w:r w:rsidRPr="00E34E89">
        <w:rPr>
          <w:rFonts w:ascii="Arial" w:eastAsia="Times New Roman" w:hAnsi="Arial" w:cs="Arial"/>
          <w:sz w:val="24"/>
          <w:szCs w:val="24"/>
        </w:rPr>
        <w:t xml:space="preserve"> </w:t>
      </w:r>
      <w:r w:rsidRPr="00E34E89">
        <w:rPr>
          <w:rFonts w:ascii="Arial" w:hAnsi="Arial" w:cs="Arial"/>
          <w:sz w:val="24"/>
          <w:szCs w:val="24"/>
        </w:rPr>
        <w:t>iz ovih sredstava financirati će se rad gradskog savjetovališta.</w:t>
      </w:r>
      <w:r w:rsidRPr="00E34E89">
        <w:rPr>
          <w:rFonts w:ascii="Arial" w:hAnsi="Arial" w:cs="Arial"/>
          <w:color w:val="1F497D"/>
          <w:sz w:val="24"/>
          <w:szCs w:val="24"/>
        </w:rPr>
        <w:t xml:space="preserve"> </w:t>
      </w:r>
      <w:r w:rsidRPr="00E34E89">
        <w:rPr>
          <w:rFonts w:ascii="Arial" w:hAnsi="Arial" w:cs="Arial"/>
          <w:sz w:val="24"/>
          <w:szCs w:val="24"/>
        </w:rPr>
        <w:t xml:space="preserve">Prije tri godine Istarska županija pokrenula je program </w:t>
      </w:r>
      <w:r w:rsidRPr="00E34E89">
        <w:rPr>
          <w:rFonts w:ascii="Arial" w:hAnsi="Arial" w:cs="Arial"/>
          <w:i/>
          <w:iCs/>
          <w:sz w:val="24"/>
          <w:szCs w:val="24"/>
        </w:rPr>
        <w:t xml:space="preserve">Unapređenja rada savjetovališta </w:t>
      </w:r>
      <w:r w:rsidRPr="00E34E89">
        <w:rPr>
          <w:rFonts w:ascii="Arial" w:hAnsi="Arial" w:cs="Arial"/>
          <w:sz w:val="24"/>
          <w:szCs w:val="24"/>
        </w:rPr>
        <w:t>Istre kojim se nastoji</w:t>
      </w:r>
      <w:r w:rsidRPr="00E34E89">
        <w:rPr>
          <w:rFonts w:ascii="Arial" w:hAnsi="Arial" w:cs="Arial"/>
          <w:i/>
          <w:iCs/>
          <w:sz w:val="24"/>
          <w:szCs w:val="24"/>
        </w:rPr>
        <w:t xml:space="preserve"> </w:t>
      </w:r>
      <w:r w:rsidRPr="00E34E89">
        <w:rPr>
          <w:rFonts w:ascii="Arial" w:hAnsi="Arial" w:cs="Arial"/>
          <w:sz w:val="24"/>
          <w:szCs w:val="24"/>
        </w:rPr>
        <w:t>ujednačiti uvjete po kojima korisnici dobivaju psihološku podršku u zajednicama Istre, a u okviru zaštitnog socijalnog programa zajednice. U sklopu navedenog programa izvršena je edukacija kako postojećih tako i potencijalno novih savjetodavaca. Od 1.siječnja 2024. godine savjetovalište djeluje u sklopu GD Crvenog</w:t>
      </w:r>
      <w:r>
        <w:rPr>
          <w:rFonts w:ascii="Arial" w:hAnsi="Arial" w:cs="Arial"/>
          <w:sz w:val="24"/>
          <w:szCs w:val="24"/>
        </w:rPr>
        <w:t xml:space="preserve"> križa čime je isto dobilo pravnu osobnost.</w:t>
      </w:r>
    </w:p>
    <w:p w14:paraId="4116E949" w14:textId="77777777" w:rsidR="00E541EE" w:rsidRPr="00AC2206" w:rsidRDefault="00E541EE" w:rsidP="00E541EE">
      <w:pPr>
        <w:jc w:val="both"/>
        <w:rPr>
          <w:rFonts w:ascii="Arial" w:eastAsia="Times New Roman" w:hAnsi="Arial" w:cs="Arial"/>
          <w:b/>
          <w:bCs/>
          <w:sz w:val="24"/>
          <w:szCs w:val="24"/>
        </w:rPr>
      </w:pPr>
      <w:r w:rsidRPr="00AC2206">
        <w:rPr>
          <w:rFonts w:ascii="Arial" w:eastAsia="Times New Roman" w:hAnsi="Arial" w:cs="Arial"/>
          <w:b/>
          <w:bCs/>
          <w:sz w:val="24"/>
          <w:szCs w:val="24"/>
        </w:rPr>
        <w:t>Opći cilj:</w:t>
      </w:r>
      <w:r w:rsidRPr="00AC2206">
        <w:rPr>
          <w:rFonts w:ascii="Arial" w:eastAsia="Times New Roman" w:hAnsi="Arial" w:cs="Arial"/>
          <w:bCs/>
          <w:sz w:val="24"/>
          <w:szCs w:val="24"/>
        </w:rPr>
        <w:t xml:space="preserve"> unapređenje mentalnog zdravlja, savjetodavna pomoć građanima u rješavanju različitih problema.</w:t>
      </w:r>
    </w:p>
    <w:p w14:paraId="270070C9"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Pokazatelj uspješnosti</w:t>
      </w:r>
      <w:r w:rsidRPr="00AC2206">
        <w:rPr>
          <w:rFonts w:ascii="Arial" w:eastAsia="Times New Roman" w:hAnsi="Arial" w:cs="Arial"/>
          <w:b/>
          <w:sz w:val="24"/>
          <w:szCs w:val="24"/>
        </w:rPr>
        <w:t xml:space="preserve">: </w:t>
      </w:r>
      <w:r w:rsidRPr="00AC2206">
        <w:rPr>
          <w:rFonts w:ascii="Arial" w:eastAsia="Times New Roman" w:hAnsi="Arial" w:cs="Arial"/>
          <w:sz w:val="24"/>
          <w:szCs w:val="24"/>
        </w:rPr>
        <w:t>organiziran rad psihološkog savjetovališta i dostupnost usluga građanima.</w:t>
      </w:r>
    </w:p>
    <w:p w14:paraId="56F38BA3" w14:textId="77777777" w:rsidR="00E541EE" w:rsidRDefault="00E541EE" w:rsidP="00E541EE">
      <w:pPr>
        <w:jc w:val="both"/>
        <w:rPr>
          <w:rFonts w:ascii="Arial" w:eastAsia="Times New Roman" w:hAnsi="Arial" w:cs="Arial"/>
          <w:sz w:val="24"/>
          <w:szCs w:val="24"/>
        </w:rPr>
      </w:pPr>
    </w:p>
    <w:p w14:paraId="5840C408"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AC2206">
        <w:rPr>
          <w:rFonts w:ascii="Arial" w:eastAsia="Times New Roman" w:hAnsi="Arial" w:cs="Arial"/>
          <w:b/>
          <w:bCs/>
          <w:sz w:val="24"/>
          <w:szCs w:val="24"/>
        </w:rPr>
        <w:t xml:space="preserve">A 103210: Naknada razlike u cijeni smještaja djece u dječje vrtiće </w:t>
      </w:r>
    </w:p>
    <w:p w14:paraId="47AD3C40"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AC2206">
        <w:rPr>
          <w:rFonts w:ascii="Arial" w:eastAsia="Times New Roman" w:hAnsi="Arial" w:cs="Arial"/>
          <w:b/>
          <w:bCs/>
          <w:sz w:val="24"/>
          <w:szCs w:val="24"/>
        </w:rPr>
        <w:t>= 49.900,00 EUR</w:t>
      </w:r>
    </w:p>
    <w:p w14:paraId="5BED38D1"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Zakonska osnova:</w:t>
      </w:r>
      <w:r w:rsidRPr="00AC2206">
        <w:rPr>
          <w:rFonts w:ascii="Arial" w:eastAsia="Times New Roman" w:hAnsi="Arial" w:cs="Arial"/>
          <w:sz w:val="24"/>
          <w:szCs w:val="24"/>
        </w:rPr>
        <w:t xml:space="preserve"> Zakon o lokalnoj i područnoj (regionalnoj) samoupravi.</w:t>
      </w:r>
    </w:p>
    <w:p w14:paraId="36A99466"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sz w:val="24"/>
          <w:szCs w:val="24"/>
        </w:rPr>
        <w:t>Opis:</w:t>
      </w:r>
      <w:r w:rsidRPr="00AC2206">
        <w:rPr>
          <w:rFonts w:ascii="Arial" w:eastAsia="Times New Roman" w:hAnsi="Arial" w:cs="Arial"/>
          <w:sz w:val="24"/>
          <w:szCs w:val="24"/>
        </w:rPr>
        <w:t xml:space="preserve"> ovim sredstvima subvencionirat će se cijena smještaja djece u dječjim vrtićima u skladu sa kriterijima Odluke o socijalnoj skrbi.</w:t>
      </w:r>
    </w:p>
    <w:p w14:paraId="22AEEB2B" w14:textId="77777777" w:rsidR="00E541EE" w:rsidRPr="00AC2206" w:rsidRDefault="00E541EE" w:rsidP="00E541EE">
      <w:pPr>
        <w:jc w:val="both"/>
        <w:rPr>
          <w:rFonts w:ascii="Arial" w:eastAsia="Times New Roman" w:hAnsi="Arial" w:cs="Arial"/>
          <w:b/>
          <w:bCs/>
          <w:sz w:val="24"/>
          <w:szCs w:val="24"/>
        </w:rPr>
      </w:pPr>
      <w:r w:rsidRPr="00AC2206">
        <w:rPr>
          <w:rFonts w:ascii="Arial" w:eastAsia="Times New Roman" w:hAnsi="Arial" w:cs="Arial"/>
          <w:b/>
          <w:bCs/>
          <w:sz w:val="24"/>
          <w:szCs w:val="24"/>
        </w:rPr>
        <w:t xml:space="preserve">Opći cilj: </w:t>
      </w:r>
      <w:r w:rsidRPr="00AC2206">
        <w:rPr>
          <w:rFonts w:ascii="Arial" w:eastAsia="Times New Roman" w:hAnsi="Arial" w:cs="Arial"/>
          <w:bCs/>
          <w:sz w:val="24"/>
          <w:szCs w:val="24"/>
        </w:rPr>
        <w:t>potpora roditeljima u podmirenju troškova smještaja djece u dječje vrtiće, veći obuhvat djece u ustanovama.</w:t>
      </w:r>
    </w:p>
    <w:p w14:paraId="2B80897E" w14:textId="77777777" w:rsidR="00E541EE"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Pokazatelj uspješnosti</w:t>
      </w:r>
      <w:r w:rsidRPr="00AC2206">
        <w:rPr>
          <w:rFonts w:ascii="Arial" w:eastAsia="Times New Roman" w:hAnsi="Arial" w:cs="Arial"/>
          <w:b/>
          <w:sz w:val="24"/>
          <w:szCs w:val="24"/>
        </w:rPr>
        <w:t xml:space="preserve">: </w:t>
      </w:r>
      <w:r w:rsidRPr="00AC2206">
        <w:rPr>
          <w:rFonts w:ascii="Arial" w:eastAsia="Times New Roman" w:hAnsi="Arial" w:cs="Arial"/>
          <w:sz w:val="24"/>
          <w:szCs w:val="24"/>
        </w:rPr>
        <w:t>broj korisnika potpore i praćenje pokazatelja.</w:t>
      </w:r>
    </w:p>
    <w:p w14:paraId="7D277B70" w14:textId="77777777" w:rsidR="00E541EE" w:rsidRDefault="00E541EE" w:rsidP="00E541EE">
      <w:pPr>
        <w:jc w:val="both"/>
        <w:rPr>
          <w:rFonts w:ascii="Arial" w:eastAsia="Times New Roman" w:hAnsi="Arial" w:cs="Arial"/>
          <w:sz w:val="24"/>
          <w:szCs w:val="24"/>
        </w:rPr>
      </w:pPr>
    </w:p>
    <w:p w14:paraId="6EB781A1"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AC2206">
        <w:rPr>
          <w:rFonts w:ascii="Arial" w:eastAsia="Times New Roman" w:hAnsi="Arial" w:cs="Arial"/>
          <w:b/>
          <w:bCs/>
          <w:sz w:val="24"/>
          <w:szCs w:val="24"/>
        </w:rPr>
        <w:t>A 103218: Povjerenstvo za ocjenjivanje prijava = 150,00 EUR</w:t>
      </w:r>
    </w:p>
    <w:p w14:paraId="10F4E6C4" w14:textId="77777777" w:rsidR="00E541EE" w:rsidRPr="00AC2206" w:rsidRDefault="00E541EE" w:rsidP="00E541EE">
      <w:pPr>
        <w:jc w:val="both"/>
        <w:rPr>
          <w:rFonts w:ascii="Arial" w:eastAsia="Times New Roman" w:hAnsi="Arial" w:cs="Arial"/>
          <w:b/>
          <w:sz w:val="24"/>
          <w:szCs w:val="24"/>
        </w:rPr>
      </w:pPr>
      <w:r w:rsidRPr="00AC2206">
        <w:rPr>
          <w:rFonts w:ascii="Arial" w:eastAsia="Times New Roman" w:hAnsi="Arial" w:cs="Arial"/>
          <w:b/>
          <w:bCs/>
          <w:sz w:val="24"/>
          <w:szCs w:val="24"/>
        </w:rPr>
        <w:t>Zakonska osnova:</w:t>
      </w:r>
      <w:r w:rsidRPr="00AC2206">
        <w:rPr>
          <w:rFonts w:ascii="Arial" w:eastAsia="Times New Roman" w:hAnsi="Arial" w:cs="Arial"/>
          <w:sz w:val="24"/>
          <w:szCs w:val="24"/>
        </w:rPr>
        <w:t xml:space="preserve"> Zakon o lokalnoj i područnoj (regionalnoj) samoupravi,</w:t>
      </w:r>
      <w:r w:rsidRPr="00AC2206">
        <w:rPr>
          <w:rFonts w:ascii="Arial" w:eastAsia="Times New Roman" w:hAnsi="Arial" w:cs="Arial"/>
          <w:b/>
          <w:sz w:val="24"/>
          <w:szCs w:val="24"/>
        </w:rPr>
        <w:t xml:space="preserve"> </w:t>
      </w:r>
      <w:r w:rsidRPr="00AC2206">
        <w:rPr>
          <w:rFonts w:ascii="Arial" w:eastAsia="Times New Roman" w:hAnsi="Arial" w:cs="Arial"/>
          <w:sz w:val="24"/>
          <w:szCs w:val="24"/>
        </w:rPr>
        <w:t>Zakon o udrugama i Uredba o kriterijima, mjerilima i postupcima financiranja i ugovaranja programa i projekata od interesa za opće dobro koje provode udruge.</w:t>
      </w:r>
      <w:r w:rsidRPr="00AC2206">
        <w:rPr>
          <w:rFonts w:ascii="Arial" w:eastAsia="Times New Roman" w:hAnsi="Arial" w:cs="Arial"/>
          <w:b/>
          <w:sz w:val="24"/>
          <w:szCs w:val="24"/>
        </w:rPr>
        <w:t xml:space="preserve"> </w:t>
      </w:r>
    </w:p>
    <w:p w14:paraId="1E45A8A0"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sz w:val="24"/>
          <w:szCs w:val="24"/>
        </w:rPr>
        <w:t>Opis:</w:t>
      </w:r>
      <w:r w:rsidRPr="00AC2206">
        <w:rPr>
          <w:rFonts w:ascii="Arial" w:eastAsia="Times New Roman" w:hAnsi="Arial" w:cs="Arial"/>
          <w:sz w:val="24"/>
          <w:szCs w:val="24"/>
        </w:rPr>
        <w:t xml:space="preserve"> za potrebe provedbe natječaja potrebno je osigurati sredstva za rad Povjerenstva.</w:t>
      </w:r>
    </w:p>
    <w:p w14:paraId="7162B72C" w14:textId="77777777" w:rsidR="00E541EE" w:rsidRPr="00AC2206" w:rsidRDefault="00E541EE" w:rsidP="00E541EE">
      <w:pPr>
        <w:jc w:val="both"/>
        <w:rPr>
          <w:rFonts w:ascii="Arial" w:eastAsia="Times New Roman" w:hAnsi="Arial" w:cs="Arial"/>
          <w:b/>
          <w:bCs/>
          <w:sz w:val="24"/>
          <w:szCs w:val="24"/>
        </w:rPr>
      </w:pPr>
      <w:r w:rsidRPr="00AC2206">
        <w:rPr>
          <w:rFonts w:ascii="Arial" w:eastAsia="Times New Roman" w:hAnsi="Arial" w:cs="Arial"/>
          <w:b/>
          <w:bCs/>
          <w:sz w:val="24"/>
          <w:szCs w:val="24"/>
        </w:rPr>
        <w:t xml:space="preserve">Opći cilj: </w:t>
      </w:r>
      <w:r w:rsidRPr="00AC2206">
        <w:rPr>
          <w:rFonts w:ascii="Arial" w:eastAsia="Times New Roman" w:hAnsi="Arial" w:cs="Arial"/>
          <w:bCs/>
          <w:sz w:val="24"/>
          <w:szCs w:val="24"/>
        </w:rPr>
        <w:t>neovisno kvalitativno ocjenjivanje prijava.</w:t>
      </w:r>
    </w:p>
    <w:p w14:paraId="731A03E6" w14:textId="77777777" w:rsidR="00E541EE"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Pokazatelj uspješnosti</w:t>
      </w:r>
      <w:r w:rsidRPr="00AC2206">
        <w:rPr>
          <w:rFonts w:ascii="Arial" w:eastAsia="Times New Roman" w:hAnsi="Arial" w:cs="Arial"/>
          <w:b/>
          <w:sz w:val="24"/>
          <w:szCs w:val="24"/>
        </w:rPr>
        <w:t xml:space="preserve">: </w:t>
      </w:r>
      <w:r w:rsidRPr="00AC2206">
        <w:rPr>
          <w:rFonts w:ascii="Arial" w:eastAsia="Times New Roman" w:hAnsi="Arial" w:cs="Arial"/>
          <w:sz w:val="24"/>
          <w:szCs w:val="24"/>
        </w:rPr>
        <w:t>izvršene obveze prema članovima povjerenstva.</w:t>
      </w:r>
    </w:p>
    <w:p w14:paraId="48148491" w14:textId="77777777" w:rsidR="00E541EE" w:rsidRDefault="00E541EE" w:rsidP="00E541EE">
      <w:pPr>
        <w:jc w:val="both"/>
        <w:rPr>
          <w:rFonts w:ascii="Arial" w:eastAsia="Times New Roman" w:hAnsi="Arial" w:cs="Arial"/>
          <w:sz w:val="24"/>
          <w:szCs w:val="24"/>
        </w:rPr>
      </w:pPr>
    </w:p>
    <w:p w14:paraId="562E8BD0" w14:textId="77777777" w:rsidR="00E541EE" w:rsidRPr="007220A1"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7220A1">
        <w:rPr>
          <w:rFonts w:ascii="Arial" w:eastAsia="Times New Roman" w:hAnsi="Arial" w:cs="Arial"/>
          <w:b/>
          <w:bCs/>
          <w:sz w:val="24"/>
          <w:szCs w:val="24"/>
        </w:rPr>
        <w:t>A 103205: Pomoć za hranu za dojenčad = 2.000,00 EUR</w:t>
      </w:r>
    </w:p>
    <w:p w14:paraId="52B67BEF" w14:textId="77777777" w:rsidR="00E541EE" w:rsidRPr="007220A1" w:rsidRDefault="00E541EE" w:rsidP="00E541EE">
      <w:pPr>
        <w:jc w:val="both"/>
        <w:rPr>
          <w:rFonts w:ascii="Arial" w:eastAsia="Times New Roman" w:hAnsi="Arial" w:cs="Arial"/>
          <w:sz w:val="24"/>
          <w:szCs w:val="24"/>
        </w:rPr>
      </w:pPr>
      <w:r w:rsidRPr="007220A1">
        <w:rPr>
          <w:rFonts w:ascii="Arial" w:eastAsia="Times New Roman" w:hAnsi="Arial" w:cs="Arial"/>
          <w:b/>
          <w:bCs/>
          <w:sz w:val="24"/>
          <w:szCs w:val="24"/>
        </w:rPr>
        <w:t>Zakonska osnova:</w:t>
      </w:r>
      <w:r w:rsidRPr="007220A1">
        <w:rPr>
          <w:rFonts w:ascii="Arial" w:eastAsia="Times New Roman" w:hAnsi="Arial" w:cs="Arial"/>
          <w:sz w:val="24"/>
          <w:szCs w:val="24"/>
        </w:rPr>
        <w:t xml:space="preserve"> Zakon o lokalnoj i područnoj (regionalnoj) samoupravi.</w:t>
      </w:r>
    </w:p>
    <w:p w14:paraId="3DBD63B4" w14:textId="77777777" w:rsidR="00E541EE" w:rsidRPr="007220A1" w:rsidRDefault="00E541EE" w:rsidP="00E541EE">
      <w:pPr>
        <w:jc w:val="both"/>
        <w:rPr>
          <w:rFonts w:ascii="Arial" w:eastAsia="Times New Roman" w:hAnsi="Arial" w:cs="Arial"/>
          <w:sz w:val="24"/>
          <w:szCs w:val="24"/>
        </w:rPr>
      </w:pPr>
      <w:r w:rsidRPr="007220A1">
        <w:rPr>
          <w:rFonts w:ascii="Arial" w:eastAsia="Times New Roman" w:hAnsi="Arial" w:cs="Arial"/>
          <w:b/>
          <w:sz w:val="24"/>
          <w:szCs w:val="24"/>
        </w:rPr>
        <w:t>Opis:</w:t>
      </w:r>
      <w:r w:rsidRPr="007220A1">
        <w:rPr>
          <w:rFonts w:ascii="Arial" w:eastAsia="Times New Roman" w:hAnsi="Arial" w:cs="Arial"/>
          <w:sz w:val="24"/>
          <w:szCs w:val="24"/>
        </w:rPr>
        <w:t xml:space="preserve"> pravo na mjesečnu potporu može ostvariti obitelj lošijih socijalnih prilika za novorođenčad do 12 mjeseci života.</w:t>
      </w:r>
    </w:p>
    <w:p w14:paraId="25A6CF1A" w14:textId="77777777" w:rsidR="00E541EE" w:rsidRPr="007220A1" w:rsidRDefault="00E541EE" w:rsidP="00E541EE">
      <w:pPr>
        <w:jc w:val="both"/>
        <w:rPr>
          <w:rFonts w:ascii="Arial" w:eastAsia="Times New Roman" w:hAnsi="Arial" w:cs="Arial"/>
          <w:b/>
          <w:bCs/>
          <w:sz w:val="24"/>
          <w:szCs w:val="24"/>
        </w:rPr>
      </w:pPr>
      <w:r w:rsidRPr="007220A1">
        <w:rPr>
          <w:rFonts w:ascii="Arial" w:eastAsia="Times New Roman" w:hAnsi="Arial" w:cs="Arial"/>
          <w:b/>
          <w:bCs/>
          <w:sz w:val="24"/>
          <w:szCs w:val="24"/>
        </w:rPr>
        <w:t xml:space="preserve">Opći cilj: </w:t>
      </w:r>
      <w:r w:rsidRPr="007220A1">
        <w:rPr>
          <w:rFonts w:ascii="Arial" w:eastAsia="Times New Roman" w:hAnsi="Arial" w:cs="Arial"/>
          <w:bCs/>
          <w:sz w:val="24"/>
          <w:szCs w:val="24"/>
        </w:rPr>
        <w:t>potpora roditeljima slabijeg socijalnog statusa.</w:t>
      </w:r>
    </w:p>
    <w:p w14:paraId="0B63E2B4" w14:textId="77777777" w:rsidR="00E541EE" w:rsidRPr="007220A1" w:rsidRDefault="00E541EE" w:rsidP="00E541EE">
      <w:pPr>
        <w:jc w:val="both"/>
        <w:rPr>
          <w:rFonts w:ascii="Arial" w:eastAsia="Times New Roman" w:hAnsi="Arial" w:cs="Arial"/>
          <w:sz w:val="24"/>
          <w:szCs w:val="24"/>
        </w:rPr>
      </w:pPr>
      <w:r w:rsidRPr="007220A1">
        <w:rPr>
          <w:rFonts w:ascii="Arial" w:eastAsia="Times New Roman" w:hAnsi="Arial" w:cs="Arial"/>
          <w:b/>
          <w:bCs/>
          <w:sz w:val="24"/>
          <w:szCs w:val="24"/>
        </w:rPr>
        <w:t>Pokazatelj uspješnosti</w:t>
      </w:r>
      <w:r w:rsidRPr="007220A1">
        <w:rPr>
          <w:rFonts w:ascii="Arial" w:eastAsia="Times New Roman" w:hAnsi="Arial" w:cs="Arial"/>
          <w:b/>
          <w:sz w:val="24"/>
          <w:szCs w:val="24"/>
        </w:rPr>
        <w:t xml:space="preserve">: </w:t>
      </w:r>
      <w:r w:rsidRPr="007220A1">
        <w:rPr>
          <w:rFonts w:ascii="Arial" w:eastAsia="Times New Roman" w:hAnsi="Arial" w:cs="Arial"/>
          <w:sz w:val="24"/>
          <w:szCs w:val="24"/>
        </w:rPr>
        <w:t>dodijeljene potpore.</w:t>
      </w:r>
    </w:p>
    <w:p w14:paraId="11FCC718" w14:textId="77777777" w:rsidR="00E541EE" w:rsidRPr="00AC2206" w:rsidRDefault="00E541EE" w:rsidP="00E541EE">
      <w:pPr>
        <w:jc w:val="both"/>
        <w:rPr>
          <w:rFonts w:ascii="Arial" w:eastAsia="Times New Roman" w:hAnsi="Arial" w:cs="Arial"/>
          <w:sz w:val="24"/>
          <w:szCs w:val="24"/>
        </w:rPr>
      </w:pPr>
    </w:p>
    <w:p w14:paraId="296EA3EF"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AC2206">
        <w:rPr>
          <w:rFonts w:ascii="Arial" w:eastAsia="Times New Roman" w:hAnsi="Arial" w:cs="Arial"/>
          <w:b/>
          <w:bCs/>
          <w:sz w:val="24"/>
          <w:szCs w:val="24"/>
        </w:rPr>
        <w:t xml:space="preserve">A 103202: Pomoći umirovljenicima = </w:t>
      </w:r>
      <w:r>
        <w:rPr>
          <w:rFonts w:ascii="Arial" w:eastAsia="Times New Roman" w:hAnsi="Arial" w:cs="Arial"/>
          <w:b/>
          <w:bCs/>
          <w:sz w:val="24"/>
          <w:szCs w:val="24"/>
        </w:rPr>
        <w:t>190.000</w:t>
      </w:r>
      <w:r w:rsidRPr="00AC2206">
        <w:rPr>
          <w:rFonts w:ascii="Arial" w:eastAsia="Times New Roman" w:hAnsi="Arial" w:cs="Arial"/>
          <w:b/>
          <w:bCs/>
          <w:sz w:val="24"/>
          <w:szCs w:val="24"/>
        </w:rPr>
        <w:t>,00 EUR</w:t>
      </w:r>
    </w:p>
    <w:p w14:paraId="1493D4DA"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Zakonska osnova:</w:t>
      </w:r>
      <w:r w:rsidRPr="00AC2206">
        <w:rPr>
          <w:rFonts w:ascii="Arial" w:eastAsia="Times New Roman" w:hAnsi="Arial" w:cs="Arial"/>
          <w:sz w:val="24"/>
          <w:szCs w:val="24"/>
        </w:rPr>
        <w:t xml:space="preserve"> Zakon o lokalnoj i područnoj (regionalnoj) samoupravi.</w:t>
      </w:r>
    </w:p>
    <w:p w14:paraId="06597E8C"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sz w:val="24"/>
          <w:szCs w:val="24"/>
        </w:rPr>
        <w:t>Opis:</w:t>
      </w:r>
      <w:r w:rsidRPr="00AC2206">
        <w:rPr>
          <w:rFonts w:ascii="Arial" w:eastAsia="Times New Roman" w:hAnsi="Arial" w:cs="Arial"/>
          <w:sz w:val="24"/>
          <w:szCs w:val="24"/>
        </w:rPr>
        <w:t xml:space="preserve"> iz ovih sredstava osiguravati će se potpore umirovljenicima sa nižim mirovinama sukladno Odluci o socijalnoj skrbi.</w:t>
      </w:r>
    </w:p>
    <w:p w14:paraId="3258820C" w14:textId="77777777" w:rsidR="00E541EE" w:rsidRPr="00F12EB9" w:rsidRDefault="00E541EE" w:rsidP="00E541EE">
      <w:pPr>
        <w:jc w:val="both"/>
        <w:rPr>
          <w:rFonts w:ascii="Arial" w:eastAsia="Times New Roman" w:hAnsi="Arial" w:cs="Arial"/>
          <w:sz w:val="24"/>
          <w:szCs w:val="24"/>
        </w:rPr>
      </w:pPr>
      <w:r w:rsidRPr="00F12EB9">
        <w:rPr>
          <w:rFonts w:ascii="Arial" w:eastAsia="Times New Roman" w:hAnsi="Arial" w:cs="Arial"/>
          <w:sz w:val="24"/>
          <w:szCs w:val="24"/>
        </w:rPr>
        <w:t>Grad će, sukladno raspoloživim financijskim mogućnostima, omogućiti isplatu uskrsnice i božićnice umirovljenicima čija mjesečna mirovina iznosi do 800,00 EUR.</w:t>
      </w:r>
    </w:p>
    <w:p w14:paraId="0881E140" w14:textId="77777777" w:rsidR="00E541EE" w:rsidRPr="00F12EB9" w:rsidRDefault="00E541EE" w:rsidP="00E541EE">
      <w:pPr>
        <w:jc w:val="both"/>
        <w:rPr>
          <w:rFonts w:ascii="Arial" w:eastAsia="Times New Roman" w:hAnsi="Arial" w:cs="Arial"/>
          <w:sz w:val="24"/>
          <w:szCs w:val="24"/>
        </w:rPr>
      </w:pPr>
      <w:r w:rsidRPr="00F12EB9">
        <w:rPr>
          <w:rFonts w:ascii="Arial" w:eastAsia="Times New Roman" w:hAnsi="Arial" w:cs="Arial"/>
          <w:sz w:val="24"/>
          <w:szCs w:val="24"/>
        </w:rPr>
        <w:t>Do sada je više od 820 umirovljenika bilo obuhvaćeno ovim pomoćima te se povećanjem cenzusa mirovine očekuje veći obuhvat. Konkretan podatak imat ćemo nakon dostave popisa HZMO-a.</w:t>
      </w:r>
    </w:p>
    <w:p w14:paraId="79AB1463"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sz w:val="24"/>
          <w:szCs w:val="24"/>
        </w:rPr>
        <w:t>Osim toga, za korisnike Doma za starije „Domenico Pergolis“ osiguravaju se prigodni poklon paketi povodom božićno - novogodišnjih blagdana.</w:t>
      </w:r>
    </w:p>
    <w:p w14:paraId="333A0663" w14:textId="77777777" w:rsidR="00E541EE" w:rsidRPr="00AC2206" w:rsidRDefault="00E541EE" w:rsidP="00E541EE">
      <w:pPr>
        <w:jc w:val="both"/>
        <w:rPr>
          <w:rFonts w:ascii="Arial" w:eastAsia="Times New Roman" w:hAnsi="Arial" w:cs="Arial"/>
          <w:bCs/>
          <w:sz w:val="24"/>
          <w:szCs w:val="24"/>
        </w:rPr>
      </w:pPr>
      <w:r w:rsidRPr="00AC2206">
        <w:rPr>
          <w:rFonts w:ascii="Arial" w:eastAsia="Times New Roman" w:hAnsi="Arial" w:cs="Arial"/>
          <w:b/>
          <w:bCs/>
          <w:sz w:val="24"/>
          <w:szCs w:val="24"/>
        </w:rPr>
        <w:t xml:space="preserve">Opći cilj: </w:t>
      </w:r>
      <w:r w:rsidRPr="00AC2206">
        <w:rPr>
          <w:rFonts w:ascii="Arial" w:eastAsia="Times New Roman" w:hAnsi="Arial" w:cs="Arial"/>
          <w:bCs/>
          <w:sz w:val="24"/>
          <w:szCs w:val="24"/>
        </w:rPr>
        <w:t>potpora umirovljenicima sa nižim mirovinama.</w:t>
      </w:r>
    </w:p>
    <w:p w14:paraId="5413D782" w14:textId="77777777" w:rsidR="00E541EE"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Pokazatelj uspješnosti</w:t>
      </w:r>
      <w:r w:rsidRPr="00AC2206">
        <w:rPr>
          <w:rFonts w:ascii="Arial" w:eastAsia="Times New Roman" w:hAnsi="Arial" w:cs="Arial"/>
          <w:b/>
          <w:sz w:val="24"/>
          <w:szCs w:val="24"/>
        </w:rPr>
        <w:t xml:space="preserve">: </w:t>
      </w:r>
      <w:r w:rsidRPr="00AC2206">
        <w:rPr>
          <w:rFonts w:ascii="Arial" w:eastAsia="Times New Roman" w:hAnsi="Arial" w:cs="Arial"/>
          <w:sz w:val="24"/>
          <w:szCs w:val="24"/>
        </w:rPr>
        <w:t>isplaćene potpore tijekom godine.</w:t>
      </w:r>
    </w:p>
    <w:p w14:paraId="183F8460" w14:textId="77777777" w:rsidR="00E541EE" w:rsidRDefault="00E541EE" w:rsidP="00E541EE">
      <w:pPr>
        <w:jc w:val="both"/>
        <w:rPr>
          <w:rFonts w:ascii="Arial" w:eastAsia="Times New Roman" w:hAnsi="Arial" w:cs="Arial"/>
          <w:sz w:val="24"/>
          <w:szCs w:val="24"/>
        </w:rPr>
      </w:pPr>
    </w:p>
    <w:p w14:paraId="57C60ACD"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AC2206">
        <w:rPr>
          <w:rFonts w:ascii="Arial" w:eastAsia="Times New Roman" w:hAnsi="Arial" w:cs="Arial"/>
          <w:b/>
          <w:bCs/>
          <w:sz w:val="24"/>
          <w:szCs w:val="24"/>
        </w:rPr>
        <w:t xml:space="preserve">A 103214: Gradsko društvo Crvenog križa = </w:t>
      </w:r>
      <w:r>
        <w:rPr>
          <w:rFonts w:ascii="Arial" w:eastAsia="Times New Roman" w:hAnsi="Arial" w:cs="Arial"/>
          <w:b/>
          <w:bCs/>
          <w:sz w:val="24"/>
          <w:szCs w:val="24"/>
        </w:rPr>
        <w:t>109.377,00</w:t>
      </w:r>
      <w:r w:rsidRPr="00AC2206">
        <w:rPr>
          <w:rFonts w:ascii="Arial" w:eastAsia="Times New Roman" w:hAnsi="Arial" w:cs="Arial"/>
          <w:b/>
          <w:bCs/>
          <w:sz w:val="24"/>
          <w:szCs w:val="24"/>
        </w:rPr>
        <w:t xml:space="preserve"> EUR</w:t>
      </w:r>
    </w:p>
    <w:p w14:paraId="63992F97"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Zakonska osnova:</w:t>
      </w:r>
      <w:r w:rsidRPr="00AC2206">
        <w:rPr>
          <w:rFonts w:ascii="Arial" w:eastAsia="Times New Roman" w:hAnsi="Arial" w:cs="Arial"/>
          <w:sz w:val="24"/>
          <w:szCs w:val="24"/>
        </w:rPr>
        <w:t xml:space="preserve"> Zakon o lokalnoj i područnoj (regionalnoj) samoupravi, Zakon o Hrvatskom crvenom križu, Zakon o udrugama i Uredba o kriterijima, mjerilima i postupcima financiranja i ugovaranja programa i projekata od interesa za opće dobro koje provode udruge.  </w:t>
      </w:r>
    </w:p>
    <w:p w14:paraId="06C39AE3"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sz w:val="24"/>
          <w:szCs w:val="24"/>
        </w:rPr>
        <w:t>Opis:</w:t>
      </w:r>
      <w:r w:rsidRPr="00AC2206">
        <w:rPr>
          <w:rFonts w:ascii="Arial" w:eastAsia="Times New Roman" w:hAnsi="Arial" w:cs="Arial"/>
          <w:sz w:val="24"/>
          <w:szCs w:val="24"/>
        </w:rPr>
        <w:t xml:space="preserve"> prema Zakonu o Hrvatskom Crvenom križu, jedinice lokalne i područne (regionalne) samouprave dužne su osigurati iz svog proračuna sredstva za financiranje društava Crvenog križa. </w:t>
      </w:r>
    </w:p>
    <w:p w14:paraId="1919A094"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sz w:val="24"/>
          <w:szCs w:val="24"/>
        </w:rPr>
        <w:t>Sredstva će se isplaćivati GD Crvenoga križa temeljem ugovora koji će se sklopiti za tekuću godinu, a sukladno Pravilniku o načinu i rokovima plaćanja sredstava iz prihoda jedinica lokalne i područne samouprave za rad ustrojstvenih oblika HCK.</w:t>
      </w:r>
    </w:p>
    <w:p w14:paraId="07320464" w14:textId="77777777" w:rsidR="00E541EE" w:rsidRPr="00AC2206" w:rsidRDefault="00E541EE" w:rsidP="00E541EE">
      <w:pPr>
        <w:jc w:val="both"/>
        <w:rPr>
          <w:rFonts w:ascii="Arial" w:eastAsia="Times New Roman" w:hAnsi="Arial" w:cs="Arial"/>
          <w:b/>
          <w:bCs/>
          <w:sz w:val="24"/>
          <w:szCs w:val="24"/>
        </w:rPr>
      </w:pPr>
      <w:r w:rsidRPr="00AC2206">
        <w:rPr>
          <w:rFonts w:ascii="Arial" w:eastAsia="Times New Roman" w:hAnsi="Arial" w:cs="Arial"/>
          <w:b/>
          <w:bCs/>
          <w:sz w:val="24"/>
          <w:szCs w:val="24"/>
        </w:rPr>
        <w:t xml:space="preserve">Opći cilj: </w:t>
      </w:r>
      <w:r w:rsidRPr="00AC2206">
        <w:rPr>
          <w:rFonts w:ascii="Arial" w:eastAsia="Times New Roman" w:hAnsi="Arial" w:cs="Arial"/>
          <w:bCs/>
          <w:sz w:val="24"/>
          <w:szCs w:val="24"/>
        </w:rPr>
        <w:t>osiguravanje financiranja udruge sukladno Zakonu.</w:t>
      </w:r>
    </w:p>
    <w:p w14:paraId="24DF33C4"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Pokazatelj uspješnosti</w:t>
      </w:r>
      <w:r w:rsidRPr="00AC2206">
        <w:rPr>
          <w:rFonts w:ascii="Arial" w:eastAsia="Times New Roman" w:hAnsi="Arial" w:cs="Arial"/>
          <w:b/>
          <w:sz w:val="24"/>
          <w:szCs w:val="24"/>
        </w:rPr>
        <w:t xml:space="preserve">: </w:t>
      </w:r>
      <w:r w:rsidRPr="00AC2206">
        <w:rPr>
          <w:rFonts w:ascii="Arial" w:eastAsia="Times New Roman" w:hAnsi="Arial" w:cs="Arial"/>
          <w:sz w:val="24"/>
          <w:szCs w:val="24"/>
        </w:rPr>
        <w:t>izvršene obveze prema udruzi, provedba aktivnosti podjele pomoću građanima u potrebi, uključivanje volontera, provedba edukacije prve pomoći, organiziranje darivanja krvi, organiziranje humanitarnih aktivnosti i djelovanje kluba liječenih alkoholičara.</w:t>
      </w:r>
    </w:p>
    <w:p w14:paraId="21D1ABF7" w14:textId="77777777" w:rsidR="00E541EE" w:rsidRPr="00AC2206" w:rsidRDefault="00E541EE" w:rsidP="00E541EE">
      <w:pPr>
        <w:jc w:val="both"/>
        <w:rPr>
          <w:rFonts w:ascii="Arial" w:eastAsia="Times New Roman" w:hAnsi="Arial" w:cs="Arial"/>
          <w:sz w:val="24"/>
          <w:szCs w:val="24"/>
        </w:rPr>
      </w:pPr>
    </w:p>
    <w:p w14:paraId="03BEDA55"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AC2206">
        <w:rPr>
          <w:rFonts w:ascii="Arial" w:eastAsia="Times New Roman" w:hAnsi="Arial" w:cs="Arial"/>
          <w:b/>
          <w:bCs/>
          <w:sz w:val="24"/>
          <w:szCs w:val="24"/>
        </w:rPr>
        <w:t xml:space="preserve">A 103203: Jednokratne pomoći pojedincima, obiteljima i kućanstvima </w:t>
      </w:r>
    </w:p>
    <w:p w14:paraId="4BCA99D0"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AC2206">
        <w:rPr>
          <w:rFonts w:ascii="Arial" w:eastAsia="Times New Roman" w:hAnsi="Arial" w:cs="Arial"/>
          <w:b/>
          <w:bCs/>
          <w:sz w:val="24"/>
          <w:szCs w:val="24"/>
        </w:rPr>
        <w:t>= 4</w:t>
      </w:r>
      <w:r>
        <w:rPr>
          <w:rFonts w:ascii="Arial" w:eastAsia="Times New Roman" w:hAnsi="Arial" w:cs="Arial"/>
          <w:b/>
          <w:bCs/>
          <w:sz w:val="24"/>
          <w:szCs w:val="24"/>
        </w:rPr>
        <w:t>5</w:t>
      </w:r>
      <w:r w:rsidRPr="00AC2206">
        <w:rPr>
          <w:rFonts w:ascii="Arial" w:eastAsia="Times New Roman" w:hAnsi="Arial" w:cs="Arial"/>
          <w:b/>
          <w:bCs/>
          <w:sz w:val="24"/>
          <w:szCs w:val="24"/>
        </w:rPr>
        <w:t>.</w:t>
      </w:r>
      <w:r>
        <w:rPr>
          <w:rFonts w:ascii="Arial" w:eastAsia="Times New Roman" w:hAnsi="Arial" w:cs="Arial"/>
          <w:b/>
          <w:bCs/>
          <w:sz w:val="24"/>
          <w:szCs w:val="24"/>
        </w:rPr>
        <w:t>0</w:t>
      </w:r>
      <w:r w:rsidRPr="00AC2206">
        <w:rPr>
          <w:rFonts w:ascii="Arial" w:eastAsia="Times New Roman" w:hAnsi="Arial" w:cs="Arial"/>
          <w:b/>
          <w:bCs/>
          <w:sz w:val="24"/>
          <w:szCs w:val="24"/>
        </w:rPr>
        <w:t>00,00 EUR</w:t>
      </w:r>
    </w:p>
    <w:p w14:paraId="367B9D79"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Zakonska osnova:</w:t>
      </w:r>
      <w:r w:rsidRPr="00AC2206">
        <w:rPr>
          <w:rFonts w:ascii="Arial" w:eastAsia="Times New Roman" w:hAnsi="Arial" w:cs="Arial"/>
          <w:sz w:val="24"/>
          <w:szCs w:val="24"/>
        </w:rPr>
        <w:t xml:space="preserve"> Zakon o lokalnoj i područnoj (regionalnoj) samoupravi, Zakon o socijalnoj skrbi. </w:t>
      </w:r>
    </w:p>
    <w:p w14:paraId="3F550DCA"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sz w:val="24"/>
          <w:szCs w:val="24"/>
        </w:rPr>
        <w:t>Opis:</w:t>
      </w:r>
      <w:r w:rsidRPr="00AC2206">
        <w:rPr>
          <w:rFonts w:ascii="Arial" w:eastAsia="Times New Roman" w:hAnsi="Arial" w:cs="Arial"/>
          <w:sz w:val="24"/>
          <w:szCs w:val="24"/>
        </w:rPr>
        <w:t xml:space="preserve"> iz ovih sredstava osiguravaju se povremene potpore pojedincima i obiteljima po njihovim posebnim zahtjevima o kojima odlučuje Komisija za socijalnu skrb. U praksi ovakve potpore se najviše traže i usmjeravaju za pokriće najosnovnijih životnih potreba obitelji - od plaćanja troškova struje, vode, nabavke i kupnje pojedinih vrsta lijekova, prehrane  i dr.</w:t>
      </w:r>
    </w:p>
    <w:p w14:paraId="3CFEC843" w14:textId="77777777" w:rsidR="00E541EE" w:rsidRPr="00AC2206" w:rsidRDefault="00E541EE" w:rsidP="00E541EE">
      <w:pPr>
        <w:jc w:val="both"/>
        <w:rPr>
          <w:rFonts w:ascii="Arial" w:eastAsia="Times New Roman" w:hAnsi="Arial" w:cs="Arial"/>
          <w:b/>
          <w:bCs/>
          <w:sz w:val="24"/>
          <w:szCs w:val="24"/>
        </w:rPr>
      </w:pPr>
      <w:r w:rsidRPr="00AC2206">
        <w:rPr>
          <w:rFonts w:ascii="Arial" w:eastAsia="Times New Roman" w:hAnsi="Arial" w:cs="Arial"/>
          <w:b/>
          <w:bCs/>
          <w:sz w:val="24"/>
          <w:szCs w:val="24"/>
        </w:rPr>
        <w:t xml:space="preserve">Opći cilj: </w:t>
      </w:r>
      <w:r w:rsidRPr="00AC2206">
        <w:rPr>
          <w:rFonts w:ascii="Arial" w:eastAsia="Times New Roman" w:hAnsi="Arial" w:cs="Arial"/>
          <w:sz w:val="24"/>
          <w:szCs w:val="24"/>
        </w:rPr>
        <w:t>ublažavanje poteškoća građanima u rješavanju svakodnevnih životnih potreba.</w:t>
      </w:r>
    </w:p>
    <w:p w14:paraId="15558FEE"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Pokazatelj uspješnosti</w:t>
      </w:r>
      <w:r w:rsidRPr="00AC2206">
        <w:rPr>
          <w:rFonts w:ascii="Arial" w:eastAsia="Times New Roman" w:hAnsi="Arial" w:cs="Arial"/>
          <w:b/>
          <w:sz w:val="24"/>
          <w:szCs w:val="24"/>
        </w:rPr>
        <w:t xml:space="preserve">: </w:t>
      </w:r>
      <w:r w:rsidRPr="00AC2206">
        <w:rPr>
          <w:rFonts w:ascii="Arial" w:eastAsia="Times New Roman" w:hAnsi="Arial" w:cs="Arial"/>
          <w:sz w:val="24"/>
          <w:szCs w:val="24"/>
        </w:rPr>
        <w:t>dodijeljene potpore korisnicima te praćenje pokazatelja.</w:t>
      </w:r>
    </w:p>
    <w:p w14:paraId="0E7F4BEB" w14:textId="77777777" w:rsidR="00E541EE" w:rsidRDefault="00E541EE" w:rsidP="00E541EE">
      <w:pPr>
        <w:jc w:val="both"/>
        <w:rPr>
          <w:rFonts w:ascii="Arial" w:eastAsia="Times New Roman" w:hAnsi="Arial" w:cs="Arial"/>
          <w:sz w:val="24"/>
          <w:szCs w:val="24"/>
        </w:rPr>
      </w:pPr>
    </w:p>
    <w:p w14:paraId="44904186"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AC2206">
        <w:rPr>
          <w:rFonts w:ascii="Arial" w:eastAsia="Times New Roman" w:hAnsi="Arial" w:cs="Arial"/>
          <w:b/>
          <w:bCs/>
          <w:sz w:val="24"/>
          <w:szCs w:val="24"/>
        </w:rPr>
        <w:t xml:space="preserve">A 103201: Potpore korisnicima 1. i 2. kategorije = </w:t>
      </w:r>
      <w:r>
        <w:rPr>
          <w:rFonts w:ascii="Arial" w:eastAsia="Times New Roman" w:hAnsi="Arial" w:cs="Arial"/>
          <w:b/>
          <w:bCs/>
          <w:sz w:val="24"/>
          <w:szCs w:val="24"/>
        </w:rPr>
        <w:t>33</w:t>
      </w:r>
      <w:r w:rsidRPr="00AC2206">
        <w:rPr>
          <w:rFonts w:ascii="Arial" w:eastAsia="Times New Roman" w:hAnsi="Arial" w:cs="Arial"/>
          <w:b/>
          <w:bCs/>
          <w:sz w:val="24"/>
          <w:szCs w:val="24"/>
        </w:rPr>
        <w:t>0.000,00 EUR</w:t>
      </w:r>
    </w:p>
    <w:p w14:paraId="6D2E92A2"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Zakonska osnova:</w:t>
      </w:r>
      <w:r w:rsidRPr="00AC2206">
        <w:rPr>
          <w:rFonts w:ascii="Arial" w:eastAsia="Times New Roman" w:hAnsi="Arial" w:cs="Arial"/>
          <w:sz w:val="24"/>
          <w:szCs w:val="24"/>
        </w:rPr>
        <w:t xml:space="preserve"> Zakon o lokalnoj i područnoj (regionalnoj) samoupravi, Zakon o socijalnoj skrbi.</w:t>
      </w:r>
    </w:p>
    <w:p w14:paraId="2EBC52B4"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sz w:val="24"/>
          <w:szCs w:val="24"/>
        </w:rPr>
        <w:t>Opis:</w:t>
      </w:r>
      <w:r w:rsidRPr="00AC2206">
        <w:rPr>
          <w:rFonts w:ascii="Arial" w:eastAsia="Times New Roman" w:hAnsi="Arial" w:cs="Arial"/>
          <w:sz w:val="24"/>
          <w:szCs w:val="24"/>
        </w:rPr>
        <w:t xml:space="preserve"> iz ovih sredstava osigurava se financiranje potpora korisnicima 1. i 2. kategorije koje se redovito isplaćuju u mjesečnim iznosima. Prema podacima iz razdoblja u kojem je pripremljen ovaj prijedlog programa, potpore koristi cca </w:t>
      </w:r>
      <w:r>
        <w:rPr>
          <w:rFonts w:ascii="Arial" w:eastAsia="Times New Roman" w:hAnsi="Arial" w:cs="Arial"/>
          <w:sz w:val="24"/>
          <w:szCs w:val="24"/>
        </w:rPr>
        <w:t>450</w:t>
      </w:r>
      <w:r w:rsidRPr="004F6A17">
        <w:rPr>
          <w:rFonts w:ascii="Arial" w:eastAsia="Times New Roman" w:hAnsi="Arial" w:cs="Arial"/>
          <w:sz w:val="24"/>
          <w:szCs w:val="24"/>
        </w:rPr>
        <w:t xml:space="preserve"> </w:t>
      </w:r>
      <w:r w:rsidRPr="00AC2206">
        <w:rPr>
          <w:rFonts w:ascii="Arial" w:eastAsia="Times New Roman" w:hAnsi="Arial" w:cs="Arial"/>
          <w:sz w:val="24"/>
          <w:szCs w:val="24"/>
        </w:rPr>
        <w:t>građana s područja našega grada. Osim ovih potpora, ovim i drugim socijalno ugroženim kategorijama osigurava se nabavka paketa prehrane i higijene u tri navrata tijekom godine, i to povodom Uskrsa, Dana Grada i božićno - novogodišnjih blagdana. Nabavka i podjela paketa vrši se putem Gradskog društva Crveni križ.</w:t>
      </w:r>
    </w:p>
    <w:p w14:paraId="09BD94FE" w14:textId="77777777" w:rsidR="00E541EE" w:rsidRPr="00AC2206" w:rsidRDefault="00E541EE" w:rsidP="00E541EE">
      <w:pPr>
        <w:jc w:val="both"/>
        <w:rPr>
          <w:rFonts w:ascii="Arial" w:eastAsia="Times New Roman" w:hAnsi="Arial" w:cs="Arial"/>
          <w:bCs/>
          <w:sz w:val="24"/>
          <w:szCs w:val="24"/>
        </w:rPr>
      </w:pPr>
      <w:r w:rsidRPr="00AC2206">
        <w:rPr>
          <w:rFonts w:ascii="Arial" w:eastAsia="Times New Roman" w:hAnsi="Arial" w:cs="Arial"/>
          <w:b/>
          <w:bCs/>
          <w:sz w:val="24"/>
          <w:szCs w:val="24"/>
        </w:rPr>
        <w:t xml:space="preserve">Opći cilj: </w:t>
      </w:r>
      <w:r w:rsidRPr="00AC2206">
        <w:rPr>
          <w:rFonts w:ascii="Arial" w:eastAsia="Times New Roman" w:hAnsi="Arial" w:cs="Arial"/>
          <w:bCs/>
          <w:sz w:val="24"/>
          <w:szCs w:val="24"/>
        </w:rPr>
        <w:t>potpora socijalno najpotrebitijim građanima.</w:t>
      </w:r>
    </w:p>
    <w:p w14:paraId="49098055" w14:textId="77777777" w:rsidR="00E541EE"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Pokazatelj uspješnosti</w:t>
      </w:r>
      <w:r w:rsidRPr="00AC2206">
        <w:rPr>
          <w:rFonts w:ascii="Arial" w:eastAsia="Times New Roman" w:hAnsi="Arial" w:cs="Arial"/>
          <w:b/>
          <w:sz w:val="24"/>
          <w:szCs w:val="24"/>
        </w:rPr>
        <w:t xml:space="preserve">: </w:t>
      </w:r>
      <w:r w:rsidRPr="00AC2206">
        <w:rPr>
          <w:rFonts w:ascii="Arial" w:eastAsia="Times New Roman" w:hAnsi="Arial" w:cs="Arial"/>
          <w:sz w:val="24"/>
          <w:szCs w:val="24"/>
        </w:rPr>
        <w:t>redovito isplaćene potpore, nabavljeni i podijeljeni paketi.</w:t>
      </w:r>
    </w:p>
    <w:p w14:paraId="0C8D0F3B" w14:textId="77777777" w:rsidR="00E541EE" w:rsidRDefault="00E541EE" w:rsidP="00E541EE">
      <w:pPr>
        <w:jc w:val="both"/>
        <w:rPr>
          <w:rFonts w:ascii="Arial" w:eastAsia="Times New Roman" w:hAnsi="Arial" w:cs="Arial"/>
          <w:sz w:val="24"/>
          <w:szCs w:val="24"/>
        </w:rPr>
      </w:pPr>
    </w:p>
    <w:p w14:paraId="1A8DEF73"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AC2206">
        <w:rPr>
          <w:rFonts w:ascii="Arial" w:eastAsia="Times New Roman" w:hAnsi="Arial" w:cs="Arial"/>
          <w:b/>
          <w:bCs/>
          <w:sz w:val="24"/>
          <w:szCs w:val="24"/>
        </w:rPr>
        <w:t>A 103223:  Naknada troškova procjene djeteta u DC Veruda = 1.330,00 EUR</w:t>
      </w:r>
    </w:p>
    <w:p w14:paraId="5227DE47"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Zakonska osnova:</w:t>
      </w:r>
      <w:r w:rsidRPr="00AC2206">
        <w:rPr>
          <w:rFonts w:ascii="Arial" w:eastAsia="Times New Roman" w:hAnsi="Arial" w:cs="Arial"/>
          <w:sz w:val="24"/>
          <w:szCs w:val="24"/>
        </w:rPr>
        <w:t xml:space="preserve"> Zakon o lokalnoj i područnoj (regionalnoj) samoupravi, Zakon o socijalnoj skrbi.</w:t>
      </w:r>
    </w:p>
    <w:p w14:paraId="5E8718EA"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sz w:val="24"/>
          <w:szCs w:val="24"/>
        </w:rPr>
        <w:t>Opis:</w:t>
      </w:r>
      <w:r w:rsidRPr="00AC2206">
        <w:rPr>
          <w:rFonts w:ascii="Arial" w:eastAsia="Times New Roman" w:hAnsi="Arial" w:cs="Arial"/>
          <w:sz w:val="24"/>
          <w:szCs w:val="24"/>
        </w:rPr>
        <w:t xml:space="preserve"> od 1. siječnja 2020. godine Odlukom nadležnih tijela Dnevnog centra Veruda u Puli, određene usluge za roditelje djece će se naplaćivati stoga se u skladu sa Odlukom o socijalnoj skrbi vrši refundacija tih sredstava roditeljima.</w:t>
      </w:r>
    </w:p>
    <w:p w14:paraId="7FD3C203" w14:textId="77777777" w:rsidR="00E541EE" w:rsidRPr="00AC2206" w:rsidRDefault="00E541EE" w:rsidP="00E541EE">
      <w:pPr>
        <w:jc w:val="both"/>
        <w:rPr>
          <w:rFonts w:ascii="Arial" w:eastAsia="Times New Roman" w:hAnsi="Arial" w:cs="Arial"/>
          <w:b/>
          <w:bCs/>
          <w:sz w:val="24"/>
          <w:szCs w:val="24"/>
        </w:rPr>
      </w:pPr>
      <w:r w:rsidRPr="00AC2206">
        <w:rPr>
          <w:rFonts w:ascii="Arial" w:eastAsia="Times New Roman" w:hAnsi="Arial" w:cs="Arial"/>
          <w:b/>
          <w:bCs/>
          <w:sz w:val="24"/>
          <w:szCs w:val="24"/>
        </w:rPr>
        <w:t xml:space="preserve">Opći cilj: </w:t>
      </w:r>
      <w:r w:rsidRPr="00AC2206">
        <w:rPr>
          <w:rFonts w:ascii="Arial" w:eastAsia="Times New Roman" w:hAnsi="Arial" w:cs="Arial"/>
          <w:bCs/>
          <w:sz w:val="24"/>
          <w:szCs w:val="24"/>
        </w:rPr>
        <w:t>dostupnost usluge bez naknade za roditelje djece s poteškoćama.</w:t>
      </w:r>
    </w:p>
    <w:p w14:paraId="79C6FAB3" w14:textId="77777777" w:rsidR="00E541EE"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Pokazatelj uspješnosti</w:t>
      </w:r>
      <w:r w:rsidRPr="00AC2206">
        <w:rPr>
          <w:rFonts w:ascii="Arial" w:eastAsia="Times New Roman" w:hAnsi="Arial" w:cs="Arial"/>
          <w:b/>
          <w:sz w:val="24"/>
          <w:szCs w:val="24"/>
        </w:rPr>
        <w:t xml:space="preserve">: </w:t>
      </w:r>
      <w:r w:rsidRPr="00AC2206">
        <w:rPr>
          <w:rFonts w:ascii="Arial" w:eastAsia="Times New Roman" w:hAnsi="Arial" w:cs="Arial"/>
          <w:sz w:val="24"/>
          <w:szCs w:val="24"/>
        </w:rPr>
        <w:t>izvršene procjene i refundirana sredstva.</w:t>
      </w:r>
    </w:p>
    <w:p w14:paraId="618CB0EB" w14:textId="77777777" w:rsidR="00E541EE" w:rsidRDefault="00E541EE" w:rsidP="00E541EE">
      <w:pPr>
        <w:jc w:val="both"/>
        <w:rPr>
          <w:rFonts w:ascii="Arial" w:eastAsia="Times New Roman" w:hAnsi="Arial" w:cs="Arial"/>
          <w:sz w:val="24"/>
          <w:szCs w:val="24"/>
        </w:rPr>
      </w:pPr>
    </w:p>
    <w:p w14:paraId="6D6C0601"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AC2206">
        <w:rPr>
          <w:rFonts w:ascii="Arial" w:eastAsia="Times New Roman" w:hAnsi="Arial" w:cs="Arial"/>
          <w:b/>
          <w:bCs/>
          <w:sz w:val="24"/>
          <w:szCs w:val="24"/>
        </w:rPr>
        <w:t>A 103220: Ostale aktivnosti socijalne skrbi = 16.160,00 EUR</w:t>
      </w:r>
    </w:p>
    <w:p w14:paraId="642F3E03"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Zakonska osnova:</w:t>
      </w:r>
      <w:r w:rsidRPr="00AC2206">
        <w:rPr>
          <w:rFonts w:ascii="Arial" w:eastAsia="Times New Roman" w:hAnsi="Arial" w:cs="Arial"/>
          <w:sz w:val="24"/>
          <w:szCs w:val="24"/>
        </w:rPr>
        <w:t xml:space="preserve"> Zakon o lokalnoj i područnoj (regionalnoj) samoupravi, Zakon o socijalnoj skrbi.</w:t>
      </w:r>
    </w:p>
    <w:p w14:paraId="036AD76E"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sz w:val="24"/>
          <w:szCs w:val="24"/>
        </w:rPr>
        <w:t>Opis:</w:t>
      </w:r>
      <w:r w:rsidRPr="00AC2206">
        <w:rPr>
          <w:rFonts w:ascii="Arial" w:eastAsia="Times New Roman" w:hAnsi="Arial" w:cs="Arial"/>
          <w:sz w:val="24"/>
          <w:szCs w:val="24"/>
        </w:rPr>
        <w:t xml:space="preserve"> prostor Doma zdravlja za koji se najam u potpunosti financira iz Proračuna koristi veći broj udruga koje djeluju na području grada, a bave se pretežito aktivnostima usmjerenim osobama s invaliditetom te aktivnosti unaprjeđenja zdravlja, kao što je Društvo osoba sa invaliditetom Rovinj-Rovigno, dijabetičke udruge, Udruga za pomoć osoba sa mentalnom retardacijom Istarske županije te Udruga „Žena - Donna“.</w:t>
      </w:r>
    </w:p>
    <w:p w14:paraId="34D73E60"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sz w:val="24"/>
          <w:szCs w:val="24"/>
        </w:rPr>
        <w:t xml:space="preserve">Također se, sredstvima u iznosu </w:t>
      </w:r>
      <w:r w:rsidRPr="0040355A">
        <w:rPr>
          <w:rFonts w:ascii="Arial" w:eastAsia="Times New Roman" w:hAnsi="Arial" w:cs="Arial"/>
          <w:sz w:val="24"/>
          <w:szCs w:val="24"/>
        </w:rPr>
        <w:t xml:space="preserve">od 14.160,00 </w:t>
      </w:r>
      <w:r>
        <w:rPr>
          <w:rFonts w:ascii="Arial" w:eastAsia="Times New Roman" w:hAnsi="Arial" w:cs="Arial"/>
          <w:sz w:val="24"/>
          <w:szCs w:val="24"/>
        </w:rPr>
        <w:t>eura</w:t>
      </w:r>
      <w:r w:rsidRPr="0040355A">
        <w:rPr>
          <w:rFonts w:ascii="Arial" w:eastAsia="Times New Roman" w:hAnsi="Arial" w:cs="Arial"/>
          <w:sz w:val="24"/>
          <w:szCs w:val="24"/>
        </w:rPr>
        <w:t xml:space="preserve"> osiguravaju</w:t>
      </w:r>
      <w:r w:rsidRPr="00AC2206">
        <w:rPr>
          <w:rFonts w:ascii="Arial" w:eastAsia="Times New Roman" w:hAnsi="Arial" w:cs="Arial"/>
          <w:sz w:val="24"/>
          <w:szCs w:val="24"/>
        </w:rPr>
        <w:t xml:space="preserve"> pomoći građanima koji se nalaze u teškoj materijalnoj situaciji.</w:t>
      </w:r>
    </w:p>
    <w:p w14:paraId="4080B12E" w14:textId="77777777" w:rsidR="00E541EE" w:rsidRPr="00AC2206" w:rsidRDefault="00E541EE" w:rsidP="00E541EE">
      <w:pPr>
        <w:jc w:val="both"/>
        <w:rPr>
          <w:rFonts w:ascii="Arial" w:eastAsia="Times New Roman" w:hAnsi="Arial" w:cs="Arial"/>
          <w:bCs/>
          <w:sz w:val="24"/>
          <w:szCs w:val="24"/>
        </w:rPr>
      </w:pPr>
      <w:r w:rsidRPr="00AC2206">
        <w:rPr>
          <w:rFonts w:ascii="Arial" w:eastAsia="Times New Roman" w:hAnsi="Arial" w:cs="Arial"/>
          <w:b/>
          <w:bCs/>
          <w:sz w:val="24"/>
          <w:szCs w:val="24"/>
        </w:rPr>
        <w:t xml:space="preserve">Opći cilj: </w:t>
      </w:r>
      <w:r w:rsidRPr="00AC2206">
        <w:rPr>
          <w:rFonts w:ascii="Arial" w:eastAsia="Times New Roman" w:hAnsi="Arial" w:cs="Arial"/>
          <w:bCs/>
          <w:sz w:val="24"/>
          <w:szCs w:val="24"/>
        </w:rPr>
        <w:t>osiguravanje prostornih uvjeta za rad udruga i pomoći građanima.</w:t>
      </w:r>
    </w:p>
    <w:p w14:paraId="241A166B"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Pokazatelj uspješnosti</w:t>
      </w:r>
      <w:r w:rsidRPr="00AC2206">
        <w:rPr>
          <w:rFonts w:ascii="Arial" w:eastAsia="Times New Roman" w:hAnsi="Arial" w:cs="Arial"/>
          <w:b/>
          <w:sz w:val="24"/>
          <w:szCs w:val="24"/>
        </w:rPr>
        <w:t xml:space="preserve">: </w:t>
      </w:r>
      <w:r w:rsidRPr="00AC2206">
        <w:rPr>
          <w:rFonts w:ascii="Arial" w:eastAsia="Times New Roman" w:hAnsi="Arial" w:cs="Arial"/>
          <w:sz w:val="24"/>
          <w:szCs w:val="24"/>
        </w:rPr>
        <w:t>izvršene obveze prema zahtjevima korisnika.</w:t>
      </w:r>
    </w:p>
    <w:p w14:paraId="17DABF25" w14:textId="77777777" w:rsidR="00E541EE" w:rsidRPr="00AC2206" w:rsidRDefault="00E541EE" w:rsidP="00E541EE">
      <w:pPr>
        <w:jc w:val="both"/>
        <w:rPr>
          <w:rFonts w:ascii="Arial" w:eastAsia="Times New Roman" w:hAnsi="Arial" w:cs="Arial"/>
          <w:sz w:val="24"/>
          <w:szCs w:val="24"/>
        </w:rPr>
      </w:pPr>
    </w:p>
    <w:p w14:paraId="3DE3B1BA" w14:textId="77777777" w:rsidR="00E541EE"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AC2206">
        <w:rPr>
          <w:rFonts w:ascii="Arial" w:eastAsia="Times New Roman" w:hAnsi="Arial" w:cs="Arial"/>
          <w:b/>
          <w:bCs/>
          <w:sz w:val="24"/>
          <w:szCs w:val="24"/>
        </w:rPr>
        <w:t>A 103</w:t>
      </w:r>
      <w:r>
        <w:rPr>
          <w:rFonts w:ascii="Arial" w:eastAsia="Times New Roman" w:hAnsi="Arial" w:cs="Arial"/>
          <w:b/>
          <w:bCs/>
          <w:sz w:val="24"/>
          <w:szCs w:val="24"/>
        </w:rPr>
        <w:t>226</w:t>
      </w:r>
      <w:r w:rsidRPr="00AC2206">
        <w:rPr>
          <w:rFonts w:ascii="Arial" w:eastAsia="Times New Roman" w:hAnsi="Arial" w:cs="Arial"/>
          <w:b/>
          <w:bCs/>
          <w:sz w:val="24"/>
          <w:szCs w:val="24"/>
        </w:rPr>
        <w:t xml:space="preserve">: </w:t>
      </w:r>
      <w:r>
        <w:rPr>
          <w:rFonts w:ascii="Arial" w:eastAsia="Times New Roman" w:hAnsi="Arial" w:cs="Arial"/>
          <w:b/>
          <w:bCs/>
          <w:sz w:val="24"/>
          <w:szCs w:val="24"/>
        </w:rPr>
        <w:t>Sufinanciranje zaštitarske službe u Domu za starije osobe</w:t>
      </w:r>
    </w:p>
    <w:p w14:paraId="63260AC1"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Pr>
          <w:rFonts w:ascii="Arial" w:eastAsia="Times New Roman" w:hAnsi="Arial" w:cs="Arial"/>
          <w:b/>
          <w:bCs/>
          <w:sz w:val="24"/>
          <w:szCs w:val="24"/>
        </w:rPr>
        <w:t xml:space="preserve"> „Domenico Pergolis“ </w:t>
      </w:r>
      <w:r w:rsidRPr="00AC2206">
        <w:rPr>
          <w:rFonts w:ascii="Arial" w:eastAsia="Times New Roman" w:hAnsi="Arial" w:cs="Arial"/>
          <w:b/>
          <w:bCs/>
          <w:sz w:val="24"/>
          <w:szCs w:val="24"/>
        </w:rPr>
        <w:t xml:space="preserve">= </w:t>
      </w:r>
      <w:r>
        <w:rPr>
          <w:rFonts w:ascii="Arial" w:eastAsia="Times New Roman" w:hAnsi="Arial" w:cs="Arial"/>
          <w:b/>
          <w:bCs/>
          <w:sz w:val="24"/>
          <w:szCs w:val="24"/>
        </w:rPr>
        <w:t>10.000</w:t>
      </w:r>
      <w:r w:rsidRPr="00AC2206">
        <w:rPr>
          <w:rFonts w:ascii="Arial" w:eastAsia="Times New Roman" w:hAnsi="Arial" w:cs="Arial"/>
          <w:b/>
          <w:bCs/>
          <w:sz w:val="24"/>
          <w:szCs w:val="24"/>
        </w:rPr>
        <w:t>,00 EUR</w:t>
      </w:r>
    </w:p>
    <w:p w14:paraId="45777451"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Zakonska osnova:</w:t>
      </w:r>
      <w:r w:rsidRPr="00AC2206">
        <w:rPr>
          <w:rFonts w:ascii="Arial" w:eastAsia="Times New Roman" w:hAnsi="Arial" w:cs="Arial"/>
          <w:sz w:val="24"/>
          <w:szCs w:val="24"/>
        </w:rPr>
        <w:t xml:space="preserve"> Zakon o lokalnoj i područnoj (regionalnoj) samoupravi.</w:t>
      </w:r>
    </w:p>
    <w:p w14:paraId="12B617FA" w14:textId="77777777" w:rsidR="00E541EE" w:rsidRPr="00E34E89" w:rsidRDefault="00E541EE" w:rsidP="00E541EE">
      <w:pPr>
        <w:jc w:val="both"/>
        <w:rPr>
          <w:rFonts w:ascii="Arial" w:eastAsia="Times New Roman" w:hAnsi="Arial" w:cs="Arial"/>
          <w:sz w:val="24"/>
          <w:szCs w:val="24"/>
        </w:rPr>
      </w:pPr>
      <w:r w:rsidRPr="00E34E89">
        <w:rPr>
          <w:rFonts w:ascii="Arial" w:eastAsia="Times New Roman" w:hAnsi="Arial" w:cs="Arial"/>
          <w:b/>
          <w:sz w:val="24"/>
          <w:szCs w:val="24"/>
        </w:rPr>
        <w:t xml:space="preserve">Opis: </w:t>
      </w:r>
      <w:r w:rsidRPr="00E34E89">
        <w:rPr>
          <w:rFonts w:ascii="Arial" w:eastAsia="Times New Roman" w:hAnsi="Arial" w:cs="Arial"/>
          <w:bCs/>
          <w:sz w:val="24"/>
          <w:szCs w:val="24"/>
        </w:rPr>
        <w:t>sukladno potrebama ustanove Dom za starije „Domenico Pergolis“ osiguravaju se sredstva za sufinanciranje zaštitarske službe zbog potrebe kontrole posjetitelja i ulazaka u sam prostor Doma kao i vanjskog okoliša.</w:t>
      </w:r>
      <w:r w:rsidRPr="00E34E89">
        <w:rPr>
          <w:rFonts w:ascii="Arial" w:eastAsia="Times New Roman" w:hAnsi="Arial" w:cs="Arial"/>
          <w:sz w:val="24"/>
          <w:szCs w:val="24"/>
        </w:rPr>
        <w:t xml:space="preserve"> Ovaj vid usluge osigurava se u Domu već nekoliko godina te se predlaže nastavak sufinanciranja iste budući ustanova ne uspijeva iz vlastitih sredstava u potpunosti podmiriti navedene rashode. Preostala sredstva osigurava Dom iz svojih vlastitih sredstava.</w:t>
      </w:r>
    </w:p>
    <w:p w14:paraId="6EC28F69" w14:textId="77777777" w:rsidR="00E541EE" w:rsidRPr="0040355A" w:rsidRDefault="00E541EE" w:rsidP="00E541EE">
      <w:pPr>
        <w:jc w:val="both"/>
        <w:rPr>
          <w:rFonts w:ascii="Arial" w:eastAsia="Times New Roman" w:hAnsi="Arial" w:cs="Arial"/>
          <w:sz w:val="24"/>
          <w:szCs w:val="24"/>
        </w:rPr>
      </w:pPr>
      <w:r w:rsidRPr="00E34E89">
        <w:rPr>
          <w:rFonts w:ascii="Arial" w:eastAsia="Times New Roman" w:hAnsi="Arial" w:cs="Arial"/>
          <w:b/>
          <w:bCs/>
          <w:sz w:val="24"/>
          <w:szCs w:val="24"/>
        </w:rPr>
        <w:t xml:space="preserve">Opći cilj: </w:t>
      </w:r>
      <w:r w:rsidRPr="00E34E89">
        <w:rPr>
          <w:rFonts w:ascii="Arial" w:eastAsia="Times New Roman" w:hAnsi="Arial" w:cs="Arial"/>
          <w:sz w:val="24"/>
          <w:szCs w:val="24"/>
        </w:rPr>
        <w:t>osiguravanje sigurnosti i kontrole kretanja u prostoru ustanove</w:t>
      </w:r>
      <w:r>
        <w:rPr>
          <w:rFonts w:ascii="Arial" w:eastAsia="Times New Roman" w:hAnsi="Arial" w:cs="Arial"/>
          <w:sz w:val="24"/>
          <w:szCs w:val="24"/>
        </w:rPr>
        <w:t>.</w:t>
      </w:r>
      <w:r w:rsidRPr="0040355A">
        <w:rPr>
          <w:rFonts w:ascii="Arial" w:eastAsia="Times New Roman" w:hAnsi="Arial" w:cs="Arial"/>
          <w:sz w:val="24"/>
          <w:szCs w:val="24"/>
        </w:rPr>
        <w:t xml:space="preserve"> </w:t>
      </w:r>
    </w:p>
    <w:p w14:paraId="390494D3" w14:textId="77777777" w:rsidR="00E541EE"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Pokazatelj uspješnosti</w:t>
      </w:r>
      <w:r w:rsidRPr="00AC2206">
        <w:rPr>
          <w:rFonts w:ascii="Arial" w:eastAsia="Times New Roman" w:hAnsi="Arial" w:cs="Arial"/>
          <w:b/>
          <w:sz w:val="24"/>
          <w:szCs w:val="24"/>
        </w:rPr>
        <w:t xml:space="preserve">: </w:t>
      </w:r>
    </w:p>
    <w:p w14:paraId="7FCE28DB" w14:textId="77777777" w:rsidR="00E541EE" w:rsidRPr="00AC2206" w:rsidRDefault="00E541EE" w:rsidP="00E541EE">
      <w:pPr>
        <w:jc w:val="both"/>
        <w:rPr>
          <w:rFonts w:ascii="Arial" w:eastAsia="Times New Roman" w:hAnsi="Arial" w:cs="Arial"/>
          <w:sz w:val="24"/>
          <w:szCs w:val="24"/>
        </w:rPr>
      </w:pPr>
    </w:p>
    <w:p w14:paraId="23026155" w14:textId="77777777" w:rsidR="00E541EE" w:rsidRPr="00C91460"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C91460">
        <w:rPr>
          <w:rFonts w:ascii="Arial" w:eastAsia="Times New Roman" w:hAnsi="Arial" w:cs="Arial"/>
          <w:b/>
          <w:bCs/>
          <w:sz w:val="24"/>
          <w:szCs w:val="24"/>
        </w:rPr>
        <w:t>A 103209: Naknada razlike u cijeni prijevoza učenika srednjih škola</w:t>
      </w:r>
    </w:p>
    <w:p w14:paraId="2D5CB274"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C91460">
        <w:rPr>
          <w:rFonts w:ascii="Arial" w:eastAsia="Times New Roman" w:hAnsi="Arial" w:cs="Arial"/>
          <w:b/>
          <w:bCs/>
          <w:sz w:val="24"/>
          <w:szCs w:val="24"/>
        </w:rPr>
        <w:t>= 25.000,00 EUR</w:t>
      </w:r>
    </w:p>
    <w:p w14:paraId="5836C4EF"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Zakonska osnova:</w:t>
      </w:r>
      <w:r w:rsidRPr="00AC2206">
        <w:rPr>
          <w:rFonts w:ascii="Arial" w:eastAsia="Times New Roman" w:hAnsi="Arial" w:cs="Arial"/>
          <w:sz w:val="24"/>
          <w:szCs w:val="24"/>
        </w:rPr>
        <w:t xml:space="preserve"> Zakon o lokalnoj i područnoj (regionalnoj) samoupravi.</w:t>
      </w:r>
    </w:p>
    <w:p w14:paraId="482DF8E3" w14:textId="77777777" w:rsidR="00E541EE" w:rsidRDefault="00E541EE" w:rsidP="00E541EE">
      <w:pPr>
        <w:jc w:val="both"/>
        <w:rPr>
          <w:rFonts w:ascii="Arial" w:eastAsia="Times New Roman" w:hAnsi="Arial" w:cs="Arial"/>
          <w:sz w:val="24"/>
          <w:szCs w:val="24"/>
        </w:rPr>
      </w:pPr>
      <w:r w:rsidRPr="00AC2206">
        <w:rPr>
          <w:rFonts w:ascii="Arial" w:eastAsia="Times New Roman" w:hAnsi="Arial" w:cs="Arial"/>
          <w:b/>
          <w:sz w:val="24"/>
          <w:szCs w:val="24"/>
        </w:rPr>
        <w:t>Opis:</w:t>
      </w:r>
      <w:r w:rsidRPr="00AC2206">
        <w:rPr>
          <w:rFonts w:ascii="Arial" w:eastAsia="Times New Roman" w:hAnsi="Arial" w:cs="Arial"/>
          <w:sz w:val="24"/>
          <w:szCs w:val="24"/>
        </w:rPr>
        <w:t xml:space="preserve"> u ovom iznosu planirana su i sredstva za subvencioniranje prijevoza učenika </w:t>
      </w:r>
      <w:r w:rsidRPr="00C91460">
        <w:rPr>
          <w:rFonts w:ascii="Arial" w:eastAsia="Times New Roman" w:hAnsi="Arial" w:cs="Arial"/>
          <w:sz w:val="24"/>
          <w:szCs w:val="24"/>
        </w:rPr>
        <w:t>srednjih škola sukladno Odluci o socijalnoj skrbi, odnosno isplaćuje se razlika do pune cijene koju bi roditelji trebali plaćati nakon odbitka subvencije nadležnog Ministarstva.</w:t>
      </w:r>
    </w:p>
    <w:p w14:paraId="26B2042B" w14:textId="77777777" w:rsidR="00E541EE" w:rsidRPr="00AC2206" w:rsidRDefault="00E541EE" w:rsidP="00E541EE">
      <w:pPr>
        <w:jc w:val="both"/>
        <w:rPr>
          <w:rFonts w:ascii="Arial" w:eastAsia="Times New Roman" w:hAnsi="Arial" w:cs="Arial"/>
          <w:sz w:val="24"/>
          <w:szCs w:val="24"/>
        </w:rPr>
      </w:pPr>
      <w:r>
        <w:rPr>
          <w:rFonts w:ascii="Arial" w:eastAsia="Times New Roman" w:hAnsi="Arial" w:cs="Arial"/>
          <w:sz w:val="24"/>
          <w:szCs w:val="24"/>
        </w:rPr>
        <w:t>Prema najavi osnivača srednjih škola Istarske županije, od 1. siječnja bi se prijevoz osigurao u potpunosti iz proračuna osnivača. Iz tog razloga se umanjuje plan u odnosu na 2025. ali smo ostavili dio sredstava ukoliko dođe do odgode besplatnog prijevoza.</w:t>
      </w:r>
    </w:p>
    <w:p w14:paraId="1656A816" w14:textId="77777777" w:rsidR="00E541EE" w:rsidRPr="00AC2206" w:rsidRDefault="00E541EE" w:rsidP="00E541EE">
      <w:pPr>
        <w:jc w:val="both"/>
        <w:rPr>
          <w:rFonts w:ascii="Arial" w:eastAsia="Times New Roman" w:hAnsi="Arial" w:cs="Arial"/>
          <w:bCs/>
          <w:sz w:val="24"/>
          <w:szCs w:val="24"/>
        </w:rPr>
      </w:pPr>
      <w:r w:rsidRPr="00AC2206">
        <w:rPr>
          <w:rFonts w:ascii="Arial" w:eastAsia="Times New Roman" w:hAnsi="Arial" w:cs="Arial"/>
          <w:b/>
          <w:bCs/>
          <w:sz w:val="24"/>
          <w:szCs w:val="24"/>
        </w:rPr>
        <w:t xml:space="preserve">Opći cilj: </w:t>
      </w:r>
      <w:r w:rsidRPr="00AC2206">
        <w:rPr>
          <w:rFonts w:ascii="Arial" w:eastAsia="Times New Roman" w:hAnsi="Arial" w:cs="Arial"/>
          <w:bCs/>
          <w:sz w:val="24"/>
          <w:szCs w:val="24"/>
        </w:rPr>
        <w:t>omogućavanje dostupnosti srednjoškolskog obrazovanja učenicima koji koriste javni prijevoz.</w:t>
      </w:r>
    </w:p>
    <w:p w14:paraId="157B0BE4"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Pokazatelj uspješnosti</w:t>
      </w:r>
      <w:r w:rsidRPr="00AC2206">
        <w:rPr>
          <w:rFonts w:ascii="Arial" w:eastAsia="Times New Roman" w:hAnsi="Arial" w:cs="Arial"/>
          <w:b/>
          <w:sz w:val="24"/>
          <w:szCs w:val="24"/>
        </w:rPr>
        <w:t xml:space="preserve">: </w:t>
      </w:r>
      <w:r w:rsidRPr="00AC2206">
        <w:rPr>
          <w:rFonts w:ascii="Arial" w:eastAsia="Times New Roman" w:hAnsi="Arial" w:cs="Arial"/>
          <w:sz w:val="24"/>
          <w:szCs w:val="24"/>
        </w:rPr>
        <w:t>isplaćene potpore učenicima srednjih škola.</w:t>
      </w:r>
    </w:p>
    <w:p w14:paraId="2C83F0A3" w14:textId="77777777" w:rsidR="00E541EE" w:rsidRDefault="00E541EE" w:rsidP="00E541EE">
      <w:pPr>
        <w:jc w:val="both"/>
        <w:rPr>
          <w:rFonts w:ascii="Arial" w:eastAsia="Times New Roman" w:hAnsi="Arial" w:cs="Arial"/>
          <w:sz w:val="24"/>
          <w:szCs w:val="24"/>
        </w:rPr>
      </w:pPr>
    </w:p>
    <w:p w14:paraId="5CB369A4" w14:textId="77777777" w:rsidR="00E541EE" w:rsidRPr="00AC2206" w:rsidRDefault="00E541EE" w:rsidP="00E541EE">
      <w:pPr>
        <w:jc w:val="both"/>
        <w:rPr>
          <w:rFonts w:ascii="Arial" w:eastAsia="Times New Roman" w:hAnsi="Arial" w:cs="Arial"/>
          <w:sz w:val="24"/>
          <w:szCs w:val="24"/>
        </w:rPr>
      </w:pPr>
    </w:p>
    <w:p w14:paraId="69E89CE8"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B1EDA0"/>
        <w:rPr>
          <w:rFonts w:ascii="Arial" w:eastAsia="Times New Roman" w:hAnsi="Arial" w:cs="Arial"/>
          <w:b/>
          <w:bCs/>
          <w:sz w:val="24"/>
          <w:szCs w:val="24"/>
        </w:rPr>
      </w:pPr>
      <w:r w:rsidRPr="00AC2206">
        <w:rPr>
          <w:rFonts w:ascii="Arial" w:eastAsia="Times New Roman" w:hAnsi="Arial" w:cs="Arial"/>
          <w:b/>
          <w:bCs/>
          <w:sz w:val="24"/>
          <w:szCs w:val="24"/>
        </w:rPr>
        <w:t xml:space="preserve">Glava 00702: DJEČJI VRTIĆI = </w:t>
      </w:r>
      <w:r>
        <w:rPr>
          <w:rFonts w:ascii="Arial" w:eastAsia="Times New Roman" w:hAnsi="Arial" w:cs="Arial"/>
          <w:b/>
          <w:bCs/>
          <w:sz w:val="24"/>
          <w:szCs w:val="24"/>
        </w:rPr>
        <w:t>6.563.005</w:t>
      </w:r>
      <w:r w:rsidRPr="00AC2206">
        <w:rPr>
          <w:rFonts w:ascii="Arial" w:eastAsia="Times New Roman" w:hAnsi="Arial" w:cs="Arial"/>
          <w:b/>
          <w:bCs/>
          <w:sz w:val="24"/>
          <w:szCs w:val="24"/>
        </w:rPr>
        <w:t>,00 EUR</w:t>
      </w:r>
    </w:p>
    <w:p w14:paraId="1BD85271" w14:textId="77777777" w:rsidR="00E541EE" w:rsidRPr="00AC2206" w:rsidRDefault="00E541EE" w:rsidP="00E541EE">
      <w:pPr>
        <w:rPr>
          <w:rFonts w:ascii="Arial" w:eastAsia="Times New Roman" w:hAnsi="Arial" w:cs="Arial"/>
          <w:b/>
          <w:bCs/>
          <w:sz w:val="24"/>
          <w:szCs w:val="24"/>
        </w:rPr>
      </w:pPr>
    </w:p>
    <w:p w14:paraId="54DF6A94"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FFFF80"/>
        <w:rPr>
          <w:rFonts w:ascii="Arial" w:eastAsia="Times New Roman" w:hAnsi="Arial" w:cs="Arial"/>
          <w:b/>
          <w:bCs/>
          <w:sz w:val="24"/>
          <w:szCs w:val="24"/>
        </w:rPr>
      </w:pPr>
      <w:r w:rsidRPr="00FB66BA">
        <w:rPr>
          <w:rFonts w:ascii="Arial" w:eastAsia="Times New Roman" w:hAnsi="Arial" w:cs="Arial"/>
          <w:b/>
          <w:bCs/>
          <w:sz w:val="24"/>
          <w:szCs w:val="24"/>
          <w:highlight w:val="yellow"/>
        </w:rPr>
        <w:t>Program 1035: Djelatnost ustanova u predškolstvu = 6.563.005,00 EUR</w:t>
      </w:r>
    </w:p>
    <w:p w14:paraId="1A088C14" w14:textId="77777777" w:rsidR="00E541EE" w:rsidRDefault="00E541EE" w:rsidP="00E541EE">
      <w:pPr>
        <w:rPr>
          <w:rFonts w:ascii="Arial" w:eastAsia="Times New Roman" w:hAnsi="Arial" w:cs="Arial"/>
          <w:sz w:val="24"/>
          <w:szCs w:val="24"/>
        </w:rPr>
      </w:pPr>
    </w:p>
    <w:p w14:paraId="54F2ACB6" w14:textId="77777777" w:rsidR="00E541EE" w:rsidRPr="00AC2206" w:rsidRDefault="00E541EE" w:rsidP="00E541EE">
      <w:pPr>
        <w:rPr>
          <w:rFonts w:ascii="Arial" w:eastAsia="Times New Roman" w:hAnsi="Arial" w:cs="Arial"/>
          <w:sz w:val="24"/>
          <w:szCs w:val="24"/>
        </w:rPr>
      </w:pPr>
    </w:p>
    <w:tbl>
      <w:tblPr>
        <w:tblW w:w="1049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3"/>
        <w:gridCol w:w="992"/>
        <w:gridCol w:w="992"/>
        <w:gridCol w:w="851"/>
        <w:gridCol w:w="992"/>
        <w:gridCol w:w="1276"/>
        <w:gridCol w:w="992"/>
        <w:gridCol w:w="992"/>
        <w:gridCol w:w="709"/>
        <w:gridCol w:w="851"/>
        <w:gridCol w:w="850"/>
      </w:tblGrid>
      <w:tr w:rsidR="00E541EE" w:rsidRPr="00AC2206" w14:paraId="3003E399" w14:textId="77777777" w:rsidTr="00E373CC">
        <w:trPr>
          <w:trHeight w:val="560"/>
        </w:trPr>
        <w:tc>
          <w:tcPr>
            <w:tcW w:w="993" w:type="dxa"/>
            <w:vMerge w:val="restart"/>
          </w:tcPr>
          <w:p w14:paraId="7CD8ACF6" w14:textId="77777777" w:rsidR="00E541EE" w:rsidRPr="00AC2206" w:rsidRDefault="00E541EE" w:rsidP="00A84BB5">
            <w:pPr>
              <w:widowControl w:val="0"/>
              <w:autoSpaceDE w:val="0"/>
              <w:autoSpaceDN w:val="0"/>
              <w:spacing w:before="49"/>
              <w:ind w:right="35"/>
              <w:jc w:val="center"/>
              <w:rPr>
                <w:b/>
                <w:sz w:val="16"/>
              </w:rPr>
            </w:pPr>
            <w:r w:rsidRPr="00AC2206">
              <w:rPr>
                <w:b/>
                <w:sz w:val="16"/>
              </w:rPr>
              <w:t>Doprinos</w:t>
            </w:r>
            <w:r w:rsidRPr="00AC2206">
              <w:rPr>
                <w:b/>
                <w:spacing w:val="-34"/>
                <w:sz w:val="16"/>
              </w:rPr>
              <w:t xml:space="preserve"> </w:t>
            </w:r>
            <w:r w:rsidRPr="00AC2206">
              <w:rPr>
                <w:b/>
                <w:sz w:val="16"/>
              </w:rPr>
              <w:t>provedbi</w:t>
            </w:r>
          </w:p>
          <w:p w14:paraId="1F705A52" w14:textId="77777777" w:rsidR="00E541EE" w:rsidRPr="00AC2206" w:rsidRDefault="00E541EE" w:rsidP="00A84BB5">
            <w:pPr>
              <w:widowControl w:val="0"/>
              <w:autoSpaceDE w:val="0"/>
              <w:autoSpaceDN w:val="0"/>
              <w:spacing w:line="194" w:lineRule="exact"/>
              <w:ind w:right="35"/>
              <w:jc w:val="center"/>
              <w:rPr>
                <w:b/>
                <w:sz w:val="16"/>
              </w:rPr>
            </w:pPr>
            <w:r w:rsidRPr="00AC2206">
              <w:rPr>
                <w:b/>
                <w:sz w:val="16"/>
              </w:rPr>
              <w:t>nadređenog</w:t>
            </w:r>
          </w:p>
          <w:p w14:paraId="3445C67E" w14:textId="77777777" w:rsidR="00E541EE" w:rsidRPr="00AC2206" w:rsidRDefault="00E541EE" w:rsidP="00A84BB5">
            <w:pPr>
              <w:widowControl w:val="0"/>
              <w:autoSpaceDE w:val="0"/>
              <w:autoSpaceDN w:val="0"/>
              <w:spacing w:before="49"/>
              <w:ind w:right="35"/>
              <w:jc w:val="center"/>
              <w:rPr>
                <w:b/>
                <w:sz w:val="16"/>
              </w:rPr>
            </w:pPr>
            <w:r w:rsidRPr="00AC2206">
              <w:rPr>
                <w:b/>
                <w:sz w:val="16"/>
              </w:rPr>
              <w:t>akta</w:t>
            </w:r>
            <w:r w:rsidRPr="00AC2206">
              <w:rPr>
                <w:b/>
                <w:spacing w:val="1"/>
                <w:sz w:val="16"/>
              </w:rPr>
              <w:t xml:space="preserve"> </w:t>
            </w:r>
            <w:r w:rsidRPr="00AC2206">
              <w:rPr>
                <w:b/>
                <w:sz w:val="16"/>
              </w:rPr>
              <w:t>strateškog</w:t>
            </w:r>
            <w:r w:rsidRPr="00AC2206">
              <w:rPr>
                <w:b/>
                <w:spacing w:val="-34"/>
                <w:sz w:val="16"/>
              </w:rPr>
              <w:t xml:space="preserve"> </w:t>
            </w:r>
            <w:r w:rsidRPr="00AC2206">
              <w:rPr>
                <w:b/>
                <w:sz w:val="16"/>
              </w:rPr>
              <w:t>planiranja</w:t>
            </w:r>
          </w:p>
        </w:tc>
        <w:tc>
          <w:tcPr>
            <w:tcW w:w="992" w:type="dxa"/>
            <w:vMerge w:val="restart"/>
            <w:vAlign w:val="center"/>
          </w:tcPr>
          <w:p w14:paraId="73DCAD48" w14:textId="77777777" w:rsidR="00E541EE" w:rsidRPr="00D41317" w:rsidRDefault="00E541EE" w:rsidP="00A84BB5">
            <w:pPr>
              <w:widowControl w:val="0"/>
              <w:autoSpaceDE w:val="0"/>
              <w:autoSpaceDN w:val="0"/>
              <w:spacing w:line="195" w:lineRule="exact"/>
              <w:ind w:left="44" w:right="35"/>
              <w:jc w:val="center"/>
              <w:rPr>
                <w:b/>
                <w:sz w:val="16"/>
              </w:rPr>
            </w:pPr>
            <w:r w:rsidRPr="00D41317">
              <w:rPr>
                <w:b/>
                <w:sz w:val="16"/>
              </w:rPr>
              <w:t>Naziv</w:t>
            </w:r>
            <w:r w:rsidRPr="00D41317">
              <w:rPr>
                <w:b/>
                <w:spacing w:val="-3"/>
                <w:sz w:val="16"/>
              </w:rPr>
              <w:t xml:space="preserve"> </w:t>
            </w:r>
            <w:r w:rsidRPr="00D41317">
              <w:rPr>
                <w:b/>
                <w:sz w:val="16"/>
              </w:rPr>
              <w:t>cilja nadređenog</w:t>
            </w:r>
            <w:r w:rsidRPr="00D41317">
              <w:rPr>
                <w:b/>
                <w:spacing w:val="1"/>
                <w:sz w:val="16"/>
              </w:rPr>
              <w:t xml:space="preserve"> </w:t>
            </w:r>
            <w:r w:rsidRPr="00D41317">
              <w:rPr>
                <w:b/>
                <w:spacing w:val="-1"/>
                <w:sz w:val="16"/>
              </w:rPr>
              <w:t>akta</w:t>
            </w:r>
            <w:r w:rsidRPr="00D41317">
              <w:rPr>
                <w:b/>
                <w:spacing w:val="-2"/>
                <w:sz w:val="16"/>
              </w:rPr>
              <w:t xml:space="preserve"> </w:t>
            </w:r>
            <w:r w:rsidRPr="00D41317">
              <w:rPr>
                <w:b/>
                <w:spacing w:val="-1"/>
                <w:sz w:val="16"/>
              </w:rPr>
              <w:t xml:space="preserve">strateškog </w:t>
            </w:r>
            <w:r w:rsidRPr="00D41317">
              <w:rPr>
                <w:b/>
                <w:sz w:val="16"/>
              </w:rPr>
              <w:t>planiranja</w:t>
            </w:r>
          </w:p>
        </w:tc>
        <w:tc>
          <w:tcPr>
            <w:tcW w:w="992" w:type="dxa"/>
            <w:vMerge w:val="restart"/>
            <w:vAlign w:val="center"/>
          </w:tcPr>
          <w:p w14:paraId="73F0975E" w14:textId="77777777" w:rsidR="00E541EE" w:rsidRPr="00AC2206" w:rsidRDefault="00E541EE" w:rsidP="00A84BB5">
            <w:pPr>
              <w:widowControl w:val="0"/>
              <w:autoSpaceDE w:val="0"/>
              <w:autoSpaceDN w:val="0"/>
              <w:ind w:left="125" w:right="114"/>
              <w:jc w:val="center"/>
              <w:rPr>
                <w:b/>
                <w:sz w:val="16"/>
              </w:rPr>
            </w:pPr>
            <w:r w:rsidRPr="00AC2206">
              <w:rPr>
                <w:b/>
                <w:spacing w:val="-1"/>
                <w:sz w:val="16"/>
              </w:rPr>
              <w:t xml:space="preserve">Program </w:t>
            </w:r>
            <w:r w:rsidRPr="00AC2206">
              <w:rPr>
                <w:b/>
                <w:sz w:val="16"/>
              </w:rPr>
              <w:t>u</w:t>
            </w:r>
            <w:r w:rsidRPr="00AC2206">
              <w:rPr>
                <w:b/>
                <w:spacing w:val="-34"/>
                <w:sz w:val="16"/>
              </w:rPr>
              <w:t xml:space="preserve"> </w:t>
            </w:r>
            <w:r w:rsidRPr="00AC2206">
              <w:rPr>
                <w:b/>
                <w:sz w:val="16"/>
              </w:rPr>
              <w:t xml:space="preserve">proračunu </w:t>
            </w:r>
            <w:r w:rsidRPr="00AC2206">
              <w:rPr>
                <w:b/>
                <w:spacing w:val="-34"/>
                <w:sz w:val="16"/>
              </w:rPr>
              <w:t xml:space="preserve"> </w:t>
            </w:r>
            <w:r w:rsidRPr="00AC2206">
              <w:rPr>
                <w:b/>
                <w:sz w:val="16"/>
              </w:rPr>
              <w:t>JLS</w:t>
            </w:r>
          </w:p>
        </w:tc>
        <w:tc>
          <w:tcPr>
            <w:tcW w:w="851" w:type="dxa"/>
            <w:vMerge w:val="restart"/>
            <w:vAlign w:val="center"/>
          </w:tcPr>
          <w:p w14:paraId="6FEBE6DC" w14:textId="77777777" w:rsidR="00E541EE" w:rsidRDefault="00E541EE" w:rsidP="00A84BB5">
            <w:pPr>
              <w:widowControl w:val="0"/>
              <w:autoSpaceDE w:val="0"/>
              <w:autoSpaceDN w:val="0"/>
              <w:ind w:left="179"/>
              <w:rPr>
                <w:b/>
                <w:spacing w:val="-2"/>
                <w:sz w:val="16"/>
              </w:rPr>
            </w:pPr>
            <w:r>
              <w:rPr>
                <w:b/>
                <w:sz w:val="16"/>
              </w:rPr>
              <w:t xml:space="preserve">  </w:t>
            </w:r>
            <w:r w:rsidRPr="00AC2206">
              <w:rPr>
                <w:b/>
                <w:sz w:val="16"/>
              </w:rPr>
              <w:t>Naziv</w:t>
            </w:r>
            <w:r w:rsidRPr="00AC2206">
              <w:rPr>
                <w:b/>
                <w:spacing w:val="-2"/>
                <w:sz w:val="16"/>
              </w:rPr>
              <w:t xml:space="preserve"> </w:t>
            </w:r>
            <w:r>
              <w:rPr>
                <w:b/>
                <w:spacing w:val="-2"/>
                <w:sz w:val="16"/>
              </w:rPr>
              <w:t xml:space="preserve">  </w:t>
            </w:r>
          </w:p>
          <w:p w14:paraId="48046D8C" w14:textId="77777777" w:rsidR="00E541EE" w:rsidRPr="00AC2206" w:rsidRDefault="00E541EE" w:rsidP="00A84BB5">
            <w:pPr>
              <w:widowControl w:val="0"/>
              <w:autoSpaceDE w:val="0"/>
              <w:autoSpaceDN w:val="0"/>
              <w:ind w:left="179"/>
              <w:rPr>
                <w:b/>
                <w:sz w:val="16"/>
              </w:rPr>
            </w:pPr>
            <w:r>
              <w:rPr>
                <w:b/>
                <w:spacing w:val="-2"/>
                <w:sz w:val="16"/>
              </w:rPr>
              <w:t xml:space="preserve">  </w:t>
            </w:r>
            <w:r w:rsidRPr="00AC2206">
              <w:rPr>
                <w:b/>
                <w:sz w:val="16"/>
              </w:rPr>
              <w:t>mjere</w:t>
            </w:r>
          </w:p>
        </w:tc>
        <w:tc>
          <w:tcPr>
            <w:tcW w:w="992" w:type="dxa"/>
            <w:vMerge w:val="restart"/>
            <w:vAlign w:val="center"/>
          </w:tcPr>
          <w:p w14:paraId="6CEB75CA" w14:textId="77777777" w:rsidR="00E541EE" w:rsidRPr="00AC2206" w:rsidRDefault="00E541EE" w:rsidP="00A84BB5">
            <w:pPr>
              <w:widowControl w:val="0"/>
              <w:autoSpaceDE w:val="0"/>
              <w:autoSpaceDN w:val="0"/>
              <w:ind w:left="70" w:right="60"/>
              <w:jc w:val="center"/>
              <w:rPr>
                <w:b/>
                <w:sz w:val="16"/>
              </w:rPr>
            </w:pPr>
            <w:r w:rsidRPr="00AC2206">
              <w:rPr>
                <w:b/>
                <w:sz w:val="16"/>
              </w:rPr>
              <w:t>Procijenjeni</w:t>
            </w:r>
            <w:r w:rsidRPr="00AC2206">
              <w:rPr>
                <w:b/>
                <w:spacing w:val="-34"/>
                <w:sz w:val="16"/>
              </w:rPr>
              <w:t xml:space="preserve"> </w:t>
            </w:r>
            <w:r w:rsidRPr="00AC2206">
              <w:rPr>
                <w:b/>
                <w:sz w:val="16"/>
              </w:rPr>
              <w:t>trošak</w:t>
            </w:r>
            <w:r w:rsidRPr="00AC2206">
              <w:rPr>
                <w:b/>
                <w:spacing w:val="1"/>
                <w:sz w:val="16"/>
              </w:rPr>
              <w:t xml:space="preserve"> </w:t>
            </w:r>
            <w:r w:rsidRPr="00AC2206">
              <w:rPr>
                <w:b/>
                <w:sz w:val="16"/>
              </w:rPr>
              <w:t>provedbe</w:t>
            </w:r>
            <w:r w:rsidRPr="00AC2206">
              <w:rPr>
                <w:b/>
                <w:spacing w:val="1"/>
                <w:sz w:val="16"/>
              </w:rPr>
              <w:t xml:space="preserve"> </w:t>
            </w:r>
            <w:r w:rsidRPr="00AC2206">
              <w:rPr>
                <w:b/>
                <w:sz w:val="16"/>
              </w:rPr>
              <w:t>mjere 202</w:t>
            </w:r>
            <w:r>
              <w:rPr>
                <w:b/>
                <w:sz w:val="16"/>
              </w:rPr>
              <w:t>5</w:t>
            </w:r>
            <w:r w:rsidRPr="00AC2206">
              <w:rPr>
                <w:b/>
                <w:sz w:val="16"/>
              </w:rPr>
              <w:t>.</w:t>
            </w:r>
          </w:p>
          <w:p w14:paraId="2012AFBC" w14:textId="77777777" w:rsidR="00E541EE" w:rsidRPr="00AC2206" w:rsidRDefault="00E541EE" w:rsidP="00A84BB5">
            <w:pPr>
              <w:widowControl w:val="0"/>
              <w:autoSpaceDE w:val="0"/>
              <w:autoSpaceDN w:val="0"/>
              <w:spacing w:before="2"/>
              <w:ind w:left="70" w:right="58"/>
              <w:jc w:val="center"/>
              <w:rPr>
                <w:b/>
                <w:sz w:val="16"/>
              </w:rPr>
            </w:pPr>
            <w:r w:rsidRPr="00AC2206">
              <w:rPr>
                <w:b/>
                <w:sz w:val="16"/>
              </w:rPr>
              <w:t>(u EUR)</w:t>
            </w:r>
          </w:p>
        </w:tc>
        <w:tc>
          <w:tcPr>
            <w:tcW w:w="1276" w:type="dxa"/>
            <w:vMerge w:val="restart"/>
            <w:vAlign w:val="center"/>
          </w:tcPr>
          <w:p w14:paraId="07EC81C3" w14:textId="77777777" w:rsidR="00E541EE" w:rsidRPr="00AC2206" w:rsidRDefault="00E541EE" w:rsidP="00A84BB5">
            <w:pPr>
              <w:widowControl w:val="0"/>
              <w:autoSpaceDE w:val="0"/>
              <w:autoSpaceDN w:val="0"/>
              <w:rPr>
                <w:b/>
                <w:sz w:val="16"/>
              </w:rPr>
            </w:pPr>
            <w:r>
              <w:rPr>
                <w:b/>
                <w:sz w:val="16"/>
              </w:rPr>
              <w:t xml:space="preserve">     </w:t>
            </w:r>
            <w:r w:rsidRPr="00AC2206">
              <w:rPr>
                <w:b/>
                <w:sz w:val="16"/>
              </w:rPr>
              <w:t>Ključne</w:t>
            </w:r>
          </w:p>
          <w:p w14:paraId="173ACDBD" w14:textId="77777777" w:rsidR="00E541EE" w:rsidRPr="00AC2206" w:rsidRDefault="00E541EE" w:rsidP="00A84BB5">
            <w:pPr>
              <w:widowControl w:val="0"/>
              <w:autoSpaceDE w:val="0"/>
              <w:autoSpaceDN w:val="0"/>
              <w:spacing w:before="1"/>
              <w:rPr>
                <w:b/>
                <w:sz w:val="16"/>
              </w:rPr>
            </w:pPr>
            <w:r>
              <w:rPr>
                <w:b/>
                <w:sz w:val="16"/>
              </w:rPr>
              <w:t xml:space="preserve">    </w:t>
            </w:r>
            <w:r w:rsidRPr="00AC2206">
              <w:rPr>
                <w:b/>
                <w:sz w:val="16"/>
              </w:rPr>
              <w:t>aktivnosti</w:t>
            </w:r>
          </w:p>
        </w:tc>
        <w:tc>
          <w:tcPr>
            <w:tcW w:w="992" w:type="dxa"/>
            <w:vMerge w:val="restart"/>
            <w:vAlign w:val="center"/>
          </w:tcPr>
          <w:p w14:paraId="45F39278" w14:textId="77777777" w:rsidR="00E541EE" w:rsidRPr="00AC2206" w:rsidRDefault="00E541EE" w:rsidP="00A84BB5">
            <w:pPr>
              <w:widowControl w:val="0"/>
              <w:autoSpaceDE w:val="0"/>
              <w:autoSpaceDN w:val="0"/>
              <w:ind w:right="97" w:hanging="44"/>
              <w:jc w:val="center"/>
              <w:rPr>
                <w:b/>
                <w:sz w:val="16"/>
              </w:rPr>
            </w:pPr>
            <w:r>
              <w:rPr>
                <w:b/>
                <w:sz w:val="16"/>
              </w:rPr>
              <w:t xml:space="preserve"> </w:t>
            </w:r>
            <w:r w:rsidRPr="00AC2206">
              <w:rPr>
                <w:b/>
                <w:sz w:val="16"/>
              </w:rPr>
              <w:t>Pokazatelj</w:t>
            </w:r>
            <w:r w:rsidRPr="00AC2206">
              <w:rPr>
                <w:b/>
                <w:spacing w:val="-34"/>
                <w:sz w:val="16"/>
              </w:rPr>
              <w:t xml:space="preserve"> </w:t>
            </w:r>
            <w:r w:rsidRPr="00AC2206">
              <w:rPr>
                <w:b/>
                <w:sz w:val="16"/>
              </w:rPr>
              <w:t>rezultata</w:t>
            </w:r>
          </w:p>
        </w:tc>
        <w:tc>
          <w:tcPr>
            <w:tcW w:w="992" w:type="dxa"/>
            <w:vMerge w:val="restart"/>
            <w:vAlign w:val="center"/>
          </w:tcPr>
          <w:p w14:paraId="2C46D206" w14:textId="77777777" w:rsidR="00E541EE" w:rsidRPr="00AC2206" w:rsidRDefault="00E541EE" w:rsidP="00A84BB5">
            <w:pPr>
              <w:widowControl w:val="0"/>
              <w:autoSpaceDE w:val="0"/>
              <w:autoSpaceDN w:val="0"/>
              <w:ind w:left="44" w:right="32"/>
              <w:jc w:val="center"/>
              <w:rPr>
                <w:b/>
                <w:sz w:val="16"/>
              </w:rPr>
            </w:pPr>
            <w:r w:rsidRPr="00AC2206">
              <w:rPr>
                <w:b/>
                <w:sz w:val="16"/>
              </w:rPr>
              <w:t>Početna</w:t>
            </w:r>
            <w:r w:rsidRPr="00AC2206">
              <w:rPr>
                <w:b/>
                <w:spacing w:val="1"/>
                <w:sz w:val="16"/>
              </w:rPr>
              <w:t xml:space="preserve"> </w:t>
            </w:r>
            <w:r w:rsidRPr="00AC2206">
              <w:rPr>
                <w:b/>
                <w:sz w:val="16"/>
              </w:rPr>
              <w:t>vrijednost 202</w:t>
            </w:r>
            <w:r>
              <w:rPr>
                <w:b/>
                <w:sz w:val="16"/>
              </w:rPr>
              <w:t>5</w:t>
            </w:r>
            <w:r w:rsidRPr="00AC2206">
              <w:rPr>
                <w:b/>
                <w:sz w:val="16"/>
              </w:rPr>
              <w:t>.</w:t>
            </w:r>
          </w:p>
        </w:tc>
        <w:tc>
          <w:tcPr>
            <w:tcW w:w="2410" w:type="dxa"/>
            <w:gridSpan w:val="3"/>
            <w:vAlign w:val="center"/>
          </w:tcPr>
          <w:p w14:paraId="33F3EE25" w14:textId="77777777" w:rsidR="00E541EE" w:rsidRPr="00AC2206" w:rsidRDefault="00E541EE" w:rsidP="00A84BB5">
            <w:pPr>
              <w:widowControl w:val="0"/>
              <w:autoSpaceDE w:val="0"/>
              <w:autoSpaceDN w:val="0"/>
              <w:ind w:left="70" w:right="56"/>
              <w:jc w:val="center"/>
              <w:rPr>
                <w:b/>
                <w:sz w:val="16"/>
              </w:rPr>
            </w:pPr>
            <w:r w:rsidRPr="00AC2206">
              <w:rPr>
                <w:b/>
                <w:sz w:val="16"/>
              </w:rPr>
              <w:t>Ciljna</w:t>
            </w:r>
            <w:r w:rsidRPr="00AC2206">
              <w:rPr>
                <w:b/>
                <w:spacing w:val="1"/>
                <w:sz w:val="16"/>
              </w:rPr>
              <w:t xml:space="preserve"> </w:t>
            </w:r>
            <w:r w:rsidRPr="00AC2206">
              <w:rPr>
                <w:b/>
                <w:sz w:val="16"/>
              </w:rPr>
              <w:t>vrijednost</w:t>
            </w:r>
          </w:p>
        </w:tc>
      </w:tr>
      <w:tr w:rsidR="00E541EE" w:rsidRPr="00AC2206" w14:paraId="1684335A" w14:textId="77777777" w:rsidTr="00E373CC">
        <w:trPr>
          <w:trHeight w:val="470"/>
        </w:trPr>
        <w:tc>
          <w:tcPr>
            <w:tcW w:w="993" w:type="dxa"/>
            <w:vMerge/>
          </w:tcPr>
          <w:p w14:paraId="203F3C7A" w14:textId="77777777" w:rsidR="00E541EE" w:rsidRPr="00AC2206" w:rsidRDefault="00E541EE" w:rsidP="00A84BB5">
            <w:pPr>
              <w:widowControl w:val="0"/>
              <w:autoSpaceDE w:val="0"/>
              <w:autoSpaceDN w:val="0"/>
              <w:spacing w:before="49"/>
              <w:ind w:left="44" w:right="35"/>
              <w:jc w:val="center"/>
              <w:rPr>
                <w:b/>
                <w:sz w:val="16"/>
              </w:rPr>
            </w:pPr>
          </w:p>
        </w:tc>
        <w:tc>
          <w:tcPr>
            <w:tcW w:w="992" w:type="dxa"/>
            <w:vMerge/>
          </w:tcPr>
          <w:p w14:paraId="34FFCA45" w14:textId="77777777" w:rsidR="00E541EE" w:rsidRPr="00D41317" w:rsidRDefault="00E541EE" w:rsidP="00A84BB5">
            <w:pPr>
              <w:widowControl w:val="0"/>
              <w:autoSpaceDE w:val="0"/>
              <w:autoSpaceDN w:val="0"/>
              <w:spacing w:line="195" w:lineRule="exact"/>
              <w:ind w:left="44" w:right="35"/>
              <w:jc w:val="center"/>
              <w:rPr>
                <w:b/>
                <w:sz w:val="16"/>
              </w:rPr>
            </w:pPr>
          </w:p>
        </w:tc>
        <w:tc>
          <w:tcPr>
            <w:tcW w:w="992" w:type="dxa"/>
            <w:vMerge/>
            <w:vAlign w:val="center"/>
          </w:tcPr>
          <w:p w14:paraId="53FF8A83" w14:textId="77777777" w:rsidR="00E541EE" w:rsidRPr="00AC2206" w:rsidRDefault="00E541EE" w:rsidP="00A84BB5">
            <w:pPr>
              <w:widowControl w:val="0"/>
              <w:autoSpaceDE w:val="0"/>
              <w:autoSpaceDN w:val="0"/>
              <w:ind w:left="125" w:right="114"/>
              <w:jc w:val="center"/>
              <w:rPr>
                <w:b/>
                <w:spacing w:val="-1"/>
                <w:sz w:val="16"/>
              </w:rPr>
            </w:pPr>
          </w:p>
        </w:tc>
        <w:tc>
          <w:tcPr>
            <w:tcW w:w="851" w:type="dxa"/>
            <w:vMerge/>
            <w:vAlign w:val="center"/>
          </w:tcPr>
          <w:p w14:paraId="0D71AE71" w14:textId="77777777" w:rsidR="00E541EE" w:rsidRPr="00AC2206" w:rsidRDefault="00E541EE" w:rsidP="00A84BB5">
            <w:pPr>
              <w:widowControl w:val="0"/>
              <w:autoSpaceDE w:val="0"/>
              <w:autoSpaceDN w:val="0"/>
              <w:ind w:left="179"/>
              <w:jc w:val="center"/>
              <w:rPr>
                <w:b/>
                <w:sz w:val="16"/>
              </w:rPr>
            </w:pPr>
          </w:p>
        </w:tc>
        <w:tc>
          <w:tcPr>
            <w:tcW w:w="992" w:type="dxa"/>
            <w:vMerge/>
            <w:vAlign w:val="center"/>
          </w:tcPr>
          <w:p w14:paraId="5D3DD946" w14:textId="77777777" w:rsidR="00E541EE" w:rsidRPr="00AC2206" w:rsidRDefault="00E541EE" w:rsidP="00A84BB5">
            <w:pPr>
              <w:widowControl w:val="0"/>
              <w:autoSpaceDE w:val="0"/>
              <w:autoSpaceDN w:val="0"/>
              <w:ind w:left="70" w:right="60"/>
              <w:jc w:val="center"/>
              <w:rPr>
                <w:b/>
                <w:sz w:val="16"/>
              </w:rPr>
            </w:pPr>
          </w:p>
        </w:tc>
        <w:tc>
          <w:tcPr>
            <w:tcW w:w="1276" w:type="dxa"/>
            <w:vMerge/>
            <w:vAlign w:val="center"/>
          </w:tcPr>
          <w:p w14:paraId="28C5436C" w14:textId="77777777" w:rsidR="00E541EE" w:rsidRPr="00AC2206" w:rsidRDefault="00E541EE" w:rsidP="00A84BB5">
            <w:pPr>
              <w:widowControl w:val="0"/>
              <w:autoSpaceDE w:val="0"/>
              <w:autoSpaceDN w:val="0"/>
              <w:ind w:left="311"/>
              <w:jc w:val="center"/>
              <w:rPr>
                <w:b/>
                <w:sz w:val="16"/>
              </w:rPr>
            </w:pPr>
          </w:p>
        </w:tc>
        <w:tc>
          <w:tcPr>
            <w:tcW w:w="992" w:type="dxa"/>
            <w:vMerge/>
            <w:vAlign w:val="center"/>
          </w:tcPr>
          <w:p w14:paraId="32B85CC7" w14:textId="77777777" w:rsidR="00E541EE" w:rsidRPr="00AC2206" w:rsidRDefault="00E541EE" w:rsidP="00A84BB5">
            <w:pPr>
              <w:widowControl w:val="0"/>
              <w:autoSpaceDE w:val="0"/>
              <w:autoSpaceDN w:val="0"/>
              <w:ind w:left="174" w:right="97" w:hanging="44"/>
              <w:jc w:val="center"/>
              <w:rPr>
                <w:b/>
                <w:sz w:val="16"/>
              </w:rPr>
            </w:pPr>
          </w:p>
        </w:tc>
        <w:tc>
          <w:tcPr>
            <w:tcW w:w="992" w:type="dxa"/>
            <w:vMerge/>
            <w:tcBorders>
              <w:bottom w:val="single" w:sz="4" w:space="0" w:color="auto"/>
            </w:tcBorders>
            <w:vAlign w:val="center"/>
          </w:tcPr>
          <w:p w14:paraId="65CC1043" w14:textId="77777777" w:rsidR="00E541EE" w:rsidRPr="00AC2206" w:rsidRDefault="00E541EE" w:rsidP="00A84BB5">
            <w:pPr>
              <w:widowControl w:val="0"/>
              <w:autoSpaceDE w:val="0"/>
              <w:autoSpaceDN w:val="0"/>
              <w:ind w:left="44" w:right="32"/>
              <w:jc w:val="center"/>
              <w:rPr>
                <w:b/>
                <w:sz w:val="16"/>
              </w:rPr>
            </w:pPr>
          </w:p>
        </w:tc>
        <w:tc>
          <w:tcPr>
            <w:tcW w:w="709" w:type="dxa"/>
            <w:tcBorders>
              <w:bottom w:val="single" w:sz="4" w:space="0" w:color="auto"/>
            </w:tcBorders>
            <w:vAlign w:val="center"/>
          </w:tcPr>
          <w:p w14:paraId="6098CF9A" w14:textId="77777777" w:rsidR="00E541EE" w:rsidRPr="00AC2206" w:rsidRDefault="00E541EE" w:rsidP="00A84BB5">
            <w:pPr>
              <w:widowControl w:val="0"/>
              <w:autoSpaceDE w:val="0"/>
              <w:autoSpaceDN w:val="0"/>
              <w:ind w:left="87" w:right="70"/>
              <w:jc w:val="center"/>
              <w:rPr>
                <w:b/>
                <w:sz w:val="16"/>
              </w:rPr>
            </w:pPr>
            <w:r w:rsidRPr="00AC2206">
              <w:rPr>
                <w:b/>
                <w:sz w:val="16"/>
              </w:rPr>
              <w:t>za 202</w:t>
            </w:r>
            <w:r>
              <w:rPr>
                <w:b/>
                <w:sz w:val="16"/>
              </w:rPr>
              <w:t>6</w:t>
            </w:r>
            <w:r w:rsidRPr="00AC2206">
              <w:rPr>
                <w:b/>
                <w:sz w:val="16"/>
              </w:rPr>
              <w:t>.</w:t>
            </w:r>
          </w:p>
        </w:tc>
        <w:tc>
          <w:tcPr>
            <w:tcW w:w="851" w:type="dxa"/>
            <w:tcBorders>
              <w:bottom w:val="single" w:sz="4" w:space="0" w:color="auto"/>
            </w:tcBorders>
            <w:vAlign w:val="center"/>
          </w:tcPr>
          <w:p w14:paraId="61612B0C" w14:textId="77777777" w:rsidR="00E541EE" w:rsidRPr="00AC2206" w:rsidRDefault="00E541EE" w:rsidP="00A84BB5">
            <w:pPr>
              <w:widowControl w:val="0"/>
              <w:autoSpaceDE w:val="0"/>
              <w:autoSpaceDN w:val="0"/>
              <w:ind w:left="75" w:right="61"/>
              <w:jc w:val="center"/>
              <w:rPr>
                <w:b/>
                <w:sz w:val="16"/>
              </w:rPr>
            </w:pPr>
            <w:r w:rsidRPr="00AC2206">
              <w:rPr>
                <w:b/>
                <w:sz w:val="16"/>
              </w:rPr>
              <w:t>za</w:t>
            </w:r>
          </w:p>
          <w:p w14:paraId="67BD5EF9" w14:textId="77777777" w:rsidR="00E541EE" w:rsidRPr="00AC2206" w:rsidRDefault="00E541EE" w:rsidP="00A84BB5">
            <w:pPr>
              <w:widowControl w:val="0"/>
              <w:autoSpaceDE w:val="0"/>
              <w:autoSpaceDN w:val="0"/>
              <w:ind w:left="75" w:right="61"/>
              <w:jc w:val="center"/>
              <w:rPr>
                <w:b/>
                <w:sz w:val="16"/>
              </w:rPr>
            </w:pPr>
            <w:r w:rsidRPr="00AC2206">
              <w:rPr>
                <w:b/>
                <w:sz w:val="16"/>
              </w:rPr>
              <w:t>202</w:t>
            </w:r>
            <w:r>
              <w:rPr>
                <w:b/>
                <w:sz w:val="16"/>
              </w:rPr>
              <w:t>7</w:t>
            </w:r>
            <w:r w:rsidRPr="00AC2206">
              <w:rPr>
                <w:b/>
                <w:sz w:val="16"/>
              </w:rPr>
              <w:t>.</w:t>
            </w:r>
          </w:p>
        </w:tc>
        <w:tc>
          <w:tcPr>
            <w:tcW w:w="850" w:type="dxa"/>
            <w:tcBorders>
              <w:bottom w:val="single" w:sz="4" w:space="0" w:color="auto"/>
            </w:tcBorders>
            <w:vAlign w:val="center"/>
          </w:tcPr>
          <w:p w14:paraId="66F15AB6" w14:textId="77777777" w:rsidR="00E541EE" w:rsidRPr="00AC2206" w:rsidRDefault="00E541EE" w:rsidP="00A84BB5">
            <w:pPr>
              <w:widowControl w:val="0"/>
              <w:autoSpaceDE w:val="0"/>
              <w:autoSpaceDN w:val="0"/>
              <w:ind w:left="70" w:right="56"/>
              <w:jc w:val="center"/>
              <w:rPr>
                <w:b/>
                <w:sz w:val="16"/>
              </w:rPr>
            </w:pPr>
            <w:r w:rsidRPr="00AC2206">
              <w:rPr>
                <w:b/>
                <w:sz w:val="16"/>
              </w:rPr>
              <w:t>za</w:t>
            </w:r>
          </w:p>
          <w:p w14:paraId="5431D34E" w14:textId="77777777" w:rsidR="00E541EE" w:rsidRPr="00AC2206" w:rsidRDefault="00E541EE" w:rsidP="00A84BB5">
            <w:pPr>
              <w:widowControl w:val="0"/>
              <w:autoSpaceDE w:val="0"/>
              <w:autoSpaceDN w:val="0"/>
              <w:ind w:left="70" w:right="56"/>
              <w:jc w:val="center"/>
              <w:rPr>
                <w:b/>
                <w:sz w:val="16"/>
              </w:rPr>
            </w:pPr>
            <w:r w:rsidRPr="00AC2206">
              <w:rPr>
                <w:b/>
                <w:sz w:val="16"/>
              </w:rPr>
              <w:t>202</w:t>
            </w:r>
            <w:r>
              <w:rPr>
                <w:b/>
                <w:sz w:val="16"/>
              </w:rPr>
              <w:t>8</w:t>
            </w:r>
            <w:r w:rsidRPr="00AC2206">
              <w:rPr>
                <w:b/>
                <w:sz w:val="16"/>
              </w:rPr>
              <w:t>.</w:t>
            </w:r>
          </w:p>
        </w:tc>
      </w:tr>
      <w:tr w:rsidR="00E541EE" w:rsidRPr="00AC2206" w14:paraId="23CD5D13" w14:textId="77777777" w:rsidTr="00E373CC">
        <w:trPr>
          <w:trHeight w:val="566"/>
        </w:trPr>
        <w:tc>
          <w:tcPr>
            <w:tcW w:w="993" w:type="dxa"/>
            <w:vAlign w:val="center"/>
          </w:tcPr>
          <w:p w14:paraId="68B2B944" w14:textId="77777777" w:rsidR="00E541EE" w:rsidRPr="00572749" w:rsidRDefault="00E541EE" w:rsidP="00A84BB5">
            <w:pPr>
              <w:widowControl w:val="0"/>
              <w:autoSpaceDE w:val="0"/>
              <w:autoSpaceDN w:val="0"/>
              <w:spacing w:before="49"/>
              <w:ind w:left="44" w:right="35"/>
              <w:jc w:val="center"/>
              <w:rPr>
                <w:sz w:val="15"/>
                <w:szCs w:val="15"/>
              </w:rPr>
            </w:pPr>
            <w:r w:rsidRPr="00572749">
              <w:rPr>
                <w:sz w:val="15"/>
                <w:szCs w:val="15"/>
              </w:rPr>
              <w:t>Provedbeni program Grada Rovinja-Rovigno za razdoblje 2025.-2029. godine</w:t>
            </w:r>
          </w:p>
        </w:tc>
        <w:tc>
          <w:tcPr>
            <w:tcW w:w="992" w:type="dxa"/>
            <w:vAlign w:val="center"/>
          </w:tcPr>
          <w:p w14:paraId="2B7A6109" w14:textId="77777777" w:rsidR="00E541EE" w:rsidRPr="00572749" w:rsidRDefault="00E541EE" w:rsidP="00A84BB5">
            <w:pPr>
              <w:widowControl w:val="0"/>
              <w:autoSpaceDE w:val="0"/>
              <w:autoSpaceDN w:val="0"/>
              <w:ind w:left="44" w:right="35"/>
              <w:jc w:val="center"/>
              <w:rPr>
                <w:sz w:val="15"/>
                <w:szCs w:val="15"/>
              </w:rPr>
            </w:pPr>
            <w:r w:rsidRPr="00572749">
              <w:rPr>
                <w:sz w:val="15"/>
                <w:szCs w:val="15"/>
              </w:rPr>
              <w:t>2.1.Osiguranje visokih standarda i dostupnosti obrazovanja</w:t>
            </w:r>
          </w:p>
        </w:tc>
        <w:tc>
          <w:tcPr>
            <w:tcW w:w="992" w:type="dxa"/>
            <w:shd w:val="clear" w:color="auto" w:fill="FFF1CC"/>
            <w:vAlign w:val="center"/>
          </w:tcPr>
          <w:p w14:paraId="10E96F5D" w14:textId="77777777" w:rsidR="00E541EE" w:rsidRPr="00572749" w:rsidRDefault="00E541EE" w:rsidP="00A84BB5">
            <w:pPr>
              <w:widowControl w:val="0"/>
              <w:autoSpaceDE w:val="0"/>
              <w:autoSpaceDN w:val="0"/>
              <w:spacing w:before="7"/>
              <w:jc w:val="center"/>
              <w:rPr>
                <w:sz w:val="15"/>
                <w:szCs w:val="15"/>
                <w:highlight w:val="yellow"/>
              </w:rPr>
            </w:pPr>
            <w:r w:rsidRPr="00572749">
              <w:rPr>
                <w:sz w:val="15"/>
                <w:szCs w:val="15"/>
              </w:rPr>
              <w:t>Program 1035: Djelatnost ustanova u predškolstvu</w:t>
            </w:r>
          </w:p>
        </w:tc>
        <w:tc>
          <w:tcPr>
            <w:tcW w:w="851" w:type="dxa"/>
            <w:vAlign w:val="center"/>
          </w:tcPr>
          <w:p w14:paraId="6661F523" w14:textId="77777777" w:rsidR="00E541EE" w:rsidRPr="00572749" w:rsidRDefault="00E541EE" w:rsidP="00A84BB5">
            <w:pPr>
              <w:widowControl w:val="0"/>
              <w:autoSpaceDE w:val="0"/>
              <w:autoSpaceDN w:val="0"/>
              <w:spacing w:before="7"/>
              <w:jc w:val="center"/>
              <w:rPr>
                <w:sz w:val="15"/>
                <w:szCs w:val="15"/>
                <w:highlight w:val="yellow"/>
              </w:rPr>
            </w:pPr>
            <w:r w:rsidRPr="00572749">
              <w:rPr>
                <w:sz w:val="15"/>
                <w:szCs w:val="15"/>
              </w:rPr>
              <w:t>22. Poticanje demografske revitalizacije društva</w:t>
            </w:r>
          </w:p>
        </w:tc>
        <w:tc>
          <w:tcPr>
            <w:tcW w:w="992" w:type="dxa"/>
            <w:shd w:val="clear" w:color="auto" w:fill="FFF1CC"/>
            <w:vAlign w:val="center"/>
          </w:tcPr>
          <w:p w14:paraId="57061BF3" w14:textId="77777777" w:rsidR="00E541EE" w:rsidRPr="00572749" w:rsidRDefault="00E541EE" w:rsidP="00A84BB5">
            <w:pPr>
              <w:widowControl w:val="0"/>
              <w:autoSpaceDE w:val="0"/>
              <w:autoSpaceDN w:val="0"/>
              <w:jc w:val="center"/>
              <w:rPr>
                <w:sz w:val="15"/>
                <w:szCs w:val="15"/>
                <w:highlight w:val="yellow"/>
              </w:rPr>
            </w:pPr>
            <w:r w:rsidRPr="00572749">
              <w:rPr>
                <w:sz w:val="15"/>
                <w:szCs w:val="15"/>
              </w:rPr>
              <w:t>6.563.005,00</w:t>
            </w:r>
          </w:p>
        </w:tc>
        <w:tc>
          <w:tcPr>
            <w:tcW w:w="1276" w:type="dxa"/>
            <w:vAlign w:val="center"/>
          </w:tcPr>
          <w:p w14:paraId="206B2A1F" w14:textId="77777777" w:rsidR="00E541EE" w:rsidRPr="00572749" w:rsidRDefault="00E541EE" w:rsidP="00A84BB5">
            <w:pPr>
              <w:spacing w:after="120"/>
              <w:jc w:val="center"/>
              <w:rPr>
                <w:b/>
                <w:sz w:val="15"/>
                <w:szCs w:val="15"/>
              </w:rPr>
            </w:pPr>
            <w:r w:rsidRPr="00572749">
              <w:rPr>
                <w:b/>
                <w:sz w:val="15"/>
                <w:szCs w:val="15"/>
              </w:rPr>
              <w:t xml:space="preserve">Proračunski korisnik 34522:Talijanski dječji vrtić </w:t>
            </w:r>
            <w:r>
              <w:rPr>
                <w:b/>
                <w:sz w:val="15"/>
                <w:szCs w:val="15"/>
              </w:rPr>
              <w:t>-</w:t>
            </w:r>
            <w:r w:rsidRPr="00572749">
              <w:rPr>
                <w:b/>
                <w:sz w:val="15"/>
                <w:szCs w:val="15"/>
              </w:rPr>
              <w:t xml:space="preserve"> Giardino d’infanzia „Naridola“ Rovinj - Rovigno</w:t>
            </w:r>
          </w:p>
          <w:p w14:paraId="4A3BAFDE" w14:textId="77777777" w:rsidR="00E541EE" w:rsidRDefault="00E541EE" w:rsidP="00A84BB5">
            <w:pPr>
              <w:jc w:val="center"/>
              <w:rPr>
                <w:b/>
                <w:sz w:val="15"/>
                <w:szCs w:val="15"/>
              </w:rPr>
            </w:pPr>
            <w:r w:rsidRPr="00572749">
              <w:rPr>
                <w:b/>
                <w:sz w:val="15"/>
                <w:szCs w:val="15"/>
              </w:rPr>
              <w:t>Proračunski korisnik 34547:  Dječji vrtić „Neven“</w:t>
            </w:r>
          </w:p>
          <w:p w14:paraId="6ED6B1DC" w14:textId="77777777" w:rsidR="00E541EE" w:rsidRPr="00572749" w:rsidRDefault="00E541EE" w:rsidP="00A84BB5">
            <w:pPr>
              <w:jc w:val="center"/>
              <w:rPr>
                <w:b/>
                <w:sz w:val="15"/>
                <w:szCs w:val="15"/>
              </w:rPr>
            </w:pPr>
            <w:r w:rsidRPr="00572749">
              <w:rPr>
                <w:b/>
                <w:sz w:val="15"/>
                <w:szCs w:val="15"/>
              </w:rPr>
              <w:t xml:space="preserve"> Rovinj</w:t>
            </w:r>
            <w:r>
              <w:rPr>
                <w:b/>
                <w:sz w:val="15"/>
                <w:szCs w:val="15"/>
              </w:rPr>
              <w:t>-</w:t>
            </w:r>
            <w:r w:rsidRPr="00572749">
              <w:rPr>
                <w:b/>
                <w:sz w:val="15"/>
                <w:szCs w:val="15"/>
              </w:rPr>
              <w:t>Rovigno</w:t>
            </w:r>
          </w:p>
          <w:p w14:paraId="3D723970" w14:textId="77777777" w:rsidR="00E541EE" w:rsidRPr="00572749" w:rsidRDefault="00E541EE" w:rsidP="00A84BB5">
            <w:pPr>
              <w:widowControl w:val="0"/>
              <w:autoSpaceDE w:val="0"/>
              <w:autoSpaceDN w:val="0"/>
              <w:spacing w:before="7"/>
              <w:jc w:val="center"/>
              <w:rPr>
                <w:sz w:val="15"/>
                <w:szCs w:val="15"/>
                <w:highlight w:val="yellow"/>
              </w:rPr>
            </w:pPr>
          </w:p>
        </w:tc>
        <w:tc>
          <w:tcPr>
            <w:tcW w:w="992" w:type="dxa"/>
            <w:tcBorders>
              <w:right w:val="single" w:sz="4" w:space="0" w:color="auto"/>
            </w:tcBorders>
            <w:shd w:val="clear" w:color="000000" w:fill="FFFFFF"/>
            <w:vAlign w:val="center"/>
          </w:tcPr>
          <w:p w14:paraId="6212428B" w14:textId="77777777" w:rsidR="00E541EE" w:rsidRPr="00572749" w:rsidRDefault="00E541EE" w:rsidP="00A84BB5">
            <w:pPr>
              <w:widowControl w:val="0"/>
              <w:autoSpaceDE w:val="0"/>
              <w:autoSpaceDN w:val="0"/>
              <w:jc w:val="center"/>
              <w:rPr>
                <w:sz w:val="15"/>
                <w:szCs w:val="15"/>
                <w:highlight w:val="yellow"/>
              </w:rPr>
            </w:pPr>
            <w:r w:rsidRPr="00572749">
              <w:rPr>
                <w:sz w:val="15"/>
                <w:szCs w:val="15"/>
              </w:rPr>
              <w:t>ukupan broj upisane djece</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8FCBEC" w14:textId="77777777" w:rsidR="00E541EE" w:rsidRPr="00572749" w:rsidRDefault="00E541EE" w:rsidP="00A84BB5">
            <w:pPr>
              <w:widowControl w:val="0"/>
              <w:autoSpaceDE w:val="0"/>
              <w:autoSpaceDN w:val="0"/>
              <w:jc w:val="center"/>
              <w:rPr>
                <w:sz w:val="15"/>
                <w:szCs w:val="15"/>
              </w:rPr>
            </w:pPr>
            <w:r w:rsidRPr="00572749">
              <w:rPr>
                <w:rFonts w:ascii="Aptos" w:eastAsia="Times New Roman" w:hAnsi="Aptos" w:cs="Arial"/>
                <w:sz w:val="15"/>
                <w:szCs w:val="15"/>
              </w:rPr>
              <w:t>540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8F1F7C" w14:textId="77777777" w:rsidR="00E541EE" w:rsidRPr="00572749" w:rsidRDefault="00E541EE" w:rsidP="00A84BB5">
            <w:pPr>
              <w:widowControl w:val="0"/>
              <w:autoSpaceDE w:val="0"/>
              <w:autoSpaceDN w:val="0"/>
              <w:jc w:val="center"/>
              <w:rPr>
                <w:sz w:val="15"/>
                <w:szCs w:val="15"/>
              </w:rPr>
            </w:pPr>
            <w:r w:rsidRPr="00572749">
              <w:rPr>
                <w:rFonts w:ascii="Aptos" w:eastAsia="Times New Roman" w:hAnsi="Aptos" w:cs="Arial"/>
                <w:sz w:val="15"/>
                <w:szCs w:val="15"/>
              </w:rPr>
              <w:t>560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B7B089" w14:textId="77777777" w:rsidR="00E541EE" w:rsidRPr="00572749" w:rsidRDefault="00E541EE" w:rsidP="00A84BB5">
            <w:pPr>
              <w:widowControl w:val="0"/>
              <w:autoSpaceDE w:val="0"/>
              <w:autoSpaceDN w:val="0"/>
              <w:jc w:val="center"/>
              <w:rPr>
                <w:sz w:val="15"/>
                <w:szCs w:val="15"/>
              </w:rPr>
            </w:pPr>
            <w:r w:rsidRPr="00572749">
              <w:rPr>
                <w:rFonts w:ascii="Aptos" w:eastAsia="Times New Roman" w:hAnsi="Aptos" w:cs="Arial"/>
                <w:sz w:val="15"/>
                <w:szCs w:val="15"/>
              </w:rPr>
              <w:t>580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FC6577" w14:textId="77777777" w:rsidR="00E541EE" w:rsidRPr="00572749" w:rsidRDefault="00E541EE" w:rsidP="00A84BB5">
            <w:pPr>
              <w:widowControl w:val="0"/>
              <w:autoSpaceDE w:val="0"/>
              <w:autoSpaceDN w:val="0"/>
              <w:jc w:val="center"/>
              <w:rPr>
                <w:sz w:val="15"/>
                <w:szCs w:val="15"/>
              </w:rPr>
            </w:pPr>
            <w:r w:rsidRPr="00572749">
              <w:rPr>
                <w:rFonts w:ascii="Aptos" w:eastAsia="Times New Roman" w:hAnsi="Aptos" w:cs="Arial"/>
                <w:sz w:val="15"/>
                <w:szCs w:val="15"/>
              </w:rPr>
              <w:t>600</w:t>
            </w:r>
          </w:p>
        </w:tc>
      </w:tr>
    </w:tbl>
    <w:p w14:paraId="18786963" w14:textId="77777777" w:rsidR="00E541EE" w:rsidRPr="00AC2206" w:rsidRDefault="00E541EE" w:rsidP="00E541EE">
      <w:pPr>
        <w:rPr>
          <w:rFonts w:ascii="Arial" w:eastAsia="Times New Roman" w:hAnsi="Arial" w:cs="Arial"/>
          <w:sz w:val="24"/>
          <w:szCs w:val="24"/>
        </w:rPr>
      </w:pPr>
    </w:p>
    <w:p w14:paraId="5E6FB961" w14:textId="65CBBEE4"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FFD5EA"/>
        <w:rPr>
          <w:rFonts w:ascii="Arial" w:eastAsia="Times New Roman" w:hAnsi="Arial" w:cs="Arial"/>
          <w:b/>
          <w:bCs/>
          <w:sz w:val="24"/>
          <w:szCs w:val="24"/>
        </w:rPr>
      </w:pPr>
      <w:r w:rsidRPr="00261EBF">
        <w:rPr>
          <w:rFonts w:ascii="Arial" w:eastAsia="Times New Roman" w:hAnsi="Arial" w:cs="Arial"/>
          <w:b/>
          <w:bCs/>
          <w:sz w:val="24"/>
          <w:szCs w:val="24"/>
        </w:rPr>
        <w:t xml:space="preserve">Proračunski korisnik :Talijanski dječji vrtić - Giardino </w:t>
      </w:r>
      <w:r w:rsidRPr="00261EBF">
        <w:rPr>
          <w:rFonts w:ascii="Arial" w:eastAsia="Times New Roman" w:hAnsi="Arial" w:cs="Arial"/>
          <w:b/>
          <w:bCs/>
          <w:sz w:val="24"/>
          <w:szCs w:val="24"/>
          <w:shd w:val="clear" w:color="auto" w:fill="FFD5EA"/>
        </w:rPr>
        <w:t>d</w:t>
      </w:r>
      <w:r w:rsidRPr="00261EBF">
        <w:rPr>
          <w:rFonts w:ascii="Arial" w:eastAsia="Times New Roman" w:hAnsi="Arial" w:cs="Arial"/>
          <w:b/>
          <w:sz w:val="24"/>
          <w:szCs w:val="24"/>
          <w:shd w:val="clear" w:color="auto" w:fill="FFD5EA"/>
        </w:rPr>
        <w:t>’infanzia</w:t>
      </w:r>
      <w:r w:rsidRPr="00261EBF">
        <w:rPr>
          <w:rFonts w:ascii="Arial" w:eastAsia="Times New Roman" w:hAnsi="Arial" w:cs="Arial"/>
          <w:b/>
          <w:bCs/>
          <w:sz w:val="24"/>
          <w:szCs w:val="24"/>
        </w:rPr>
        <w:t xml:space="preserve"> </w:t>
      </w:r>
      <w:r w:rsidRPr="00261EBF">
        <w:rPr>
          <w:rFonts w:ascii="Arial Narrow" w:eastAsia="Times New Roman" w:hAnsi="Arial Narrow" w:cs="Arial"/>
          <w:b/>
          <w:bCs/>
          <w:sz w:val="24"/>
          <w:szCs w:val="24"/>
        </w:rPr>
        <w:t>„</w:t>
      </w:r>
      <w:r w:rsidRPr="00261EBF">
        <w:rPr>
          <w:rFonts w:ascii="Arial" w:eastAsia="Times New Roman" w:hAnsi="Arial" w:cs="Arial"/>
          <w:b/>
          <w:bCs/>
          <w:sz w:val="24"/>
          <w:szCs w:val="24"/>
        </w:rPr>
        <w:t>Naridola</w:t>
      </w:r>
      <w:r w:rsidRPr="00261EBF">
        <w:rPr>
          <w:rFonts w:ascii="Arial Narrow" w:eastAsia="Times New Roman" w:hAnsi="Arial Narrow" w:cs="Arial"/>
          <w:b/>
          <w:bCs/>
          <w:sz w:val="24"/>
          <w:szCs w:val="24"/>
        </w:rPr>
        <w:t>“</w:t>
      </w:r>
      <w:r w:rsidRPr="00261EBF">
        <w:rPr>
          <w:rFonts w:ascii="Arial" w:eastAsia="Times New Roman" w:hAnsi="Arial" w:cs="Arial"/>
          <w:b/>
          <w:bCs/>
          <w:sz w:val="24"/>
          <w:szCs w:val="24"/>
        </w:rPr>
        <w:t xml:space="preserve"> Rovinj-Rovigno = 1.065.264,00  EUR</w:t>
      </w:r>
    </w:p>
    <w:p w14:paraId="7F27A3D6" w14:textId="77777777" w:rsidR="00E541EE" w:rsidRPr="00AC2206" w:rsidRDefault="00E541EE" w:rsidP="00E541EE">
      <w:pPr>
        <w:jc w:val="both"/>
        <w:rPr>
          <w:rFonts w:ascii="Arial" w:eastAsia="Times New Roman" w:hAnsi="Arial" w:cs="Arial"/>
          <w:sz w:val="24"/>
          <w:szCs w:val="24"/>
        </w:rPr>
      </w:pPr>
    </w:p>
    <w:p w14:paraId="2EC554A2"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AC2206">
        <w:rPr>
          <w:rFonts w:ascii="Arial" w:eastAsia="Times New Roman" w:hAnsi="Arial" w:cs="Arial"/>
          <w:b/>
          <w:bCs/>
          <w:sz w:val="24"/>
          <w:szCs w:val="24"/>
        </w:rPr>
        <w:t xml:space="preserve">A 103501: Redovan rad predškolske ustanove = </w:t>
      </w:r>
      <w:r>
        <w:rPr>
          <w:rFonts w:ascii="Arial" w:eastAsia="Times New Roman" w:hAnsi="Arial" w:cs="Arial"/>
          <w:b/>
          <w:bCs/>
          <w:sz w:val="24"/>
          <w:szCs w:val="24"/>
        </w:rPr>
        <w:t>1.015.125,00</w:t>
      </w:r>
      <w:r w:rsidRPr="00AC2206">
        <w:rPr>
          <w:rFonts w:ascii="Arial" w:eastAsia="Times New Roman" w:hAnsi="Arial" w:cs="Arial"/>
          <w:b/>
          <w:bCs/>
          <w:sz w:val="24"/>
          <w:szCs w:val="24"/>
        </w:rPr>
        <w:t xml:space="preserve"> EUR</w:t>
      </w:r>
    </w:p>
    <w:p w14:paraId="634CA97C" w14:textId="77777777" w:rsidR="00E541EE" w:rsidRPr="00AC2206" w:rsidRDefault="00E541EE" w:rsidP="00F664F1">
      <w:pPr>
        <w:jc w:val="both"/>
        <w:rPr>
          <w:rFonts w:ascii="Arial" w:eastAsia="Times New Roman" w:hAnsi="Arial" w:cs="Arial"/>
          <w:sz w:val="24"/>
          <w:szCs w:val="24"/>
        </w:rPr>
      </w:pPr>
      <w:r w:rsidRPr="00AC2206">
        <w:rPr>
          <w:rFonts w:ascii="Arial" w:eastAsia="Times New Roman" w:hAnsi="Arial" w:cs="Arial"/>
          <w:b/>
          <w:bCs/>
          <w:sz w:val="24"/>
          <w:szCs w:val="24"/>
        </w:rPr>
        <w:t>Zakonska osnova:</w:t>
      </w:r>
      <w:r w:rsidRPr="00AC2206">
        <w:rPr>
          <w:rFonts w:ascii="Arial" w:eastAsia="Times New Roman" w:hAnsi="Arial" w:cs="Arial"/>
          <w:sz w:val="24"/>
          <w:szCs w:val="24"/>
        </w:rPr>
        <w:t xml:space="preserve"> Zakon o predškolskom odgoju i obrazovanju, Državni pedagoški standard predškolskog odgoja i naobrazbe. </w:t>
      </w:r>
    </w:p>
    <w:p w14:paraId="0F0EE3B3" w14:textId="77777777" w:rsidR="00E541EE" w:rsidRPr="00D66813" w:rsidRDefault="00E541EE" w:rsidP="00F664F1">
      <w:pPr>
        <w:pStyle w:val="Tijeloteksta"/>
        <w:jc w:val="both"/>
        <w:rPr>
          <w:rFonts w:ascii="Arial" w:hAnsi="Arial" w:cs="Arial"/>
          <w:bCs/>
        </w:rPr>
      </w:pPr>
      <w:r w:rsidRPr="00AC2206">
        <w:rPr>
          <w:rFonts w:ascii="Arial" w:hAnsi="Arial" w:cs="Arial"/>
          <w:b/>
        </w:rPr>
        <w:t>Opis:</w:t>
      </w:r>
      <w:r w:rsidRPr="00AC2206">
        <w:rPr>
          <w:bCs/>
        </w:rPr>
        <w:t xml:space="preserve"> </w:t>
      </w:r>
      <w:r>
        <w:rPr>
          <w:rFonts w:ascii="Arial" w:hAnsi="Arial" w:cs="Arial"/>
          <w:bCs/>
        </w:rPr>
        <w:t>p</w:t>
      </w:r>
      <w:r w:rsidRPr="00D66813">
        <w:rPr>
          <w:rFonts w:ascii="Arial" w:hAnsi="Arial" w:cs="Arial"/>
          <w:bCs/>
        </w:rPr>
        <w:t>lanirani iznos iz gradskog proračuna (izvor 111) od 763.400,00</w:t>
      </w:r>
      <w:r>
        <w:rPr>
          <w:rFonts w:ascii="Arial" w:hAnsi="Arial" w:cs="Arial"/>
          <w:bCs/>
        </w:rPr>
        <w:t xml:space="preserve"> eura</w:t>
      </w:r>
      <w:r w:rsidRPr="00D66813">
        <w:rPr>
          <w:rFonts w:ascii="Arial" w:hAnsi="Arial" w:cs="Arial"/>
          <w:bCs/>
        </w:rPr>
        <w:t xml:space="preserve"> namijenjen je za isplatu plaća i ostalih davanja s osnova radnog odnosa koja su planirana sukladno važećim aktima koji reguliraju radne odnose i prava koje proizlaze iz istih. U ustanovi je zaposleno ukupno 24,5 djelatnika od kojih 22 u Rovinju i 2,5 u P.O. Bale. Osim navedenih planirani su i radnici koji zamjenjuju stalno zaposlene djelatnike na bolovanju ili porodiljskom dopustu. U ostalim rashodima za zaposlene planirani su iznosi za naknadu za topli obrok, pomoći i potpore, sredstva za regres, </w:t>
      </w:r>
      <w:r>
        <w:rPr>
          <w:rFonts w:ascii="Arial" w:hAnsi="Arial" w:cs="Arial"/>
          <w:bCs/>
        </w:rPr>
        <w:t>u</w:t>
      </w:r>
      <w:r w:rsidRPr="00D66813">
        <w:rPr>
          <w:rFonts w:ascii="Arial" w:hAnsi="Arial" w:cs="Arial"/>
          <w:bCs/>
        </w:rPr>
        <w:t xml:space="preserve">skrsnicu i božićnicu, sredstva za dar djetetu do 15 godine starosti, sredstva za dar u naravi, sredstva za jubilarne nagrade te 1 otpremnina. Također se iz proračuna grada Rovinja planiraju sredstva za pristojbe i naknade poslodavca zbog nezapošljavanja invalida, planiran je i iznos za intelektualne usluge, a odnosi se na izvršenje poslova zaštite osobnih podataka, sredstva za isplatu ugovora o djelu za pedagoga koji prati rad pripravnika do polaganja stručnog ispita, isplata usluge student servisa radi zapošljavanja studenta (pomoćni odgajatelj) tijekom ljetnih mjeseca. </w:t>
      </w:r>
    </w:p>
    <w:p w14:paraId="494201D9" w14:textId="77777777" w:rsidR="00E541EE" w:rsidRPr="00D66813" w:rsidRDefault="00E541EE" w:rsidP="00F664F1">
      <w:pPr>
        <w:pStyle w:val="Tijeloteksta"/>
        <w:jc w:val="both"/>
        <w:rPr>
          <w:rFonts w:ascii="Arial" w:hAnsi="Arial" w:cs="Arial"/>
          <w:bCs/>
        </w:rPr>
      </w:pPr>
      <w:r w:rsidRPr="00D66813">
        <w:rPr>
          <w:rFonts w:ascii="Arial" w:hAnsi="Arial" w:cs="Arial"/>
          <w:bCs/>
        </w:rPr>
        <w:t>Planirana su i sredstva za nabavu službene radne odjeće i obuće te sredstva za energiju, a koja se odnose na trošak lož ulja za grijanje prostorija dječjeg vrtića i računalne usluge radi izrade i održavanja web stranica i održavanje programa za digitalizaciju. Planirana su sredstva za uslugu investicionog i tekućeg održavanja, a odnose se na kemijsko-mehaničko čišćenje spremnika za lož ulje i održavanja sprava u dječjem igralištu.</w:t>
      </w:r>
      <w:r>
        <w:rPr>
          <w:rFonts w:ascii="Arial" w:hAnsi="Arial" w:cs="Arial"/>
          <w:bCs/>
        </w:rPr>
        <w:t xml:space="preserve"> </w:t>
      </w:r>
      <w:r w:rsidRPr="00D66813">
        <w:rPr>
          <w:rFonts w:ascii="Arial" w:hAnsi="Arial" w:cs="Arial"/>
          <w:bCs/>
        </w:rPr>
        <w:t>Također je planiran iznos za zdravstvene usluge, a odnosi se na sistematske preglede zaposlenika.</w:t>
      </w:r>
    </w:p>
    <w:p w14:paraId="044DC80A" w14:textId="77777777" w:rsidR="00E541EE" w:rsidRPr="00D66813" w:rsidRDefault="00E541EE" w:rsidP="00F664F1">
      <w:pPr>
        <w:pStyle w:val="Tijeloteksta"/>
        <w:jc w:val="both"/>
        <w:rPr>
          <w:rFonts w:ascii="Arial" w:hAnsi="Arial" w:cs="Arial"/>
          <w:bCs/>
        </w:rPr>
      </w:pPr>
      <w:r w:rsidRPr="00D66813">
        <w:rPr>
          <w:rFonts w:ascii="Arial" w:hAnsi="Arial" w:cs="Arial"/>
          <w:bCs/>
        </w:rPr>
        <w:t xml:space="preserve">Ustanova ostvaruje prihode i iz proračuna Općine Bale (izvor 531) u iznosu od 125.535,00 </w:t>
      </w:r>
      <w:r>
        <w:rPr>
          <w:rFonts w:ascii="Arial" w:hAnsi="Arial" w:cs="Arial"/>
          <w:bCs/>
        </w:rPr>
        <w:t>eura</w:t>
      </w:r>
      <w:r w:rsidRPr="00D66813">
        <w:rPr>
          <w:rFonts w:ascii="Arial" w:hAnsi="Arial" w:cs="Arial"/>
          <w:bCs/>
        </w:rPr>
        <w:t xml:space="preserve"> iz kojih se financiraju plaće i ostala davanja s osnove radnog odnosa za 2,5 djelatnika u P.O. Bale te troškovi 1/6 plaća zaposlenika u zajedničkoj službi dječjeg vrtića.</w:t>
      </w:r>
    </w:p>
    <w:p w14:paraId="36FFD1D1" w14:textId="77777777" w:rsidR="00E541EE" w:rsidRPr="00D66813" w:rsidRDefault="00E541EE" w:rsidP="00F664F1">
      <w:pPr>
        <w:pStyle w:val="Tijeloteksta"/>
        <w:jc w:val="both"/>
        <w:rPr>
          <w:rFonts w:ascii="Arial" w:hAnsi="Arial" w:cs="Arial"/>
          <w:bCs/>
        </w:rPr>
      </w:pPr>
      <w:r w:rsidRPr="00D66813">
        <w:rPr>
          <w:rFonts w:ascii="Arial" w:hAnsi="Arial" w:cs="Arial"/>
          <w:bCs/>
        </w:rPr>
        <w:t xml:space="preserve">Iz vlastitih sredstava ( izvor 311) koja se ostvaraju prilikom refundacija troškova  ili refundacija šteta od osiguravajućih kuća u iznosu od 1.380,00 </w:t>
      </w:r>
      <w:r>
        <w:rPr>
          <w:rFonts w:ascii="Arial" w:hAnsi="Arial" w:cs="Arial"/>
          <w:bCs/>
        </w:rPr>
        <w:t>eura</w:t>
      </w:r>
      <w:r w:rsidRPr="00D66813">
        <w:rPr>
          <w:rFonts w:ascii="Arial" w:hAnsi="Arial" w:cs="Arial"/>
          <w:bCs/>
        </w:rPr>
        <w:t xml:space="preserve"> planira se podmiriti materijalni troškovi ustanove.</w:t>
      </w:r>
    </w:p>
    <w:p w14:paraId="0F2122E2" w14:textId="77777777" w:rsidR="00E541EE" w:rsidRPr="00D66813" w:rsidRDefault="00E541EE" w:rsidP="00F664F1">
      <w:pPr>
        <w:pStyle w:val="Tijeloteksta"/>
        <w:jc w:val="both"/>
        <w:rPr>
          <w:rFonts w:ascii="Arial" w:hAnsi="Arial" w:cs="Arial"/>
          <w:bCs/>
        </w:rPr>
      </w:pPr>
      <w:r w:rsidRPr="00D66813">
        <w:rPr>
          <w:rFonts w:ascii="Arial" w:hAnsi="Arial" w:cs="Arial"/>
          <w:bCs/>
        </w:rPr>
        <w:t xml:space="preserve">Iz sredstva uplate roditelja korisnika usluga (vlastita sredstva izvor 411) planiran je iznos od 112.814,00 </w:t>
      </w:r>
      <w:r>
        <w:rPr>
          <w:rFonts w:ascii="Arial" w:hAnsi="Arial" w:cs="Arial"/>
          <w:bCs/>
        </w:rPr>
        <w:t>eura</w:t>
      </w:r>
      <w:r w:rsidRPr="00D66813">
        <w:rPr>
          <w:rFonts w:ascii="Arial" w:hAnsi="Arial" w:cs="Arial"/>
          <w:bCs/>
        </w:rPr>
        <w:t xml:space="preserve"> iz kojeg se podmiruju svi materijalni i režijski troškovi ustanove, prehrana te njega i skrb djece, stručno usavršavanje radnika te ostali izdaci ustanove.</w:t>
      </w:r>
    </w:p>
    <w:p w14:paraId="0543F76B" w14:textId="77777777" w:rsidR="00E541EE" w:rsidRPr="00D66813" w:rsidRDefault="00E541EE" w:rsidP="00F664F1">
      <w:pPr>
        <w:pStyle w:val="Tijeloteksta"/>
        <w:jc w:val="both"/>
        <w:rPr>
          <w:rFonts w:ascii="Arial" w:hAnsi="Arial" w:cs="Arial"/>
          <w:bCs/>
        </w:rPr>
      </w:pPr>
      <w:r w:rsidRPr="00D66813">
        <w:rPr>
          <w:rFonts w:ascii="Arial" w:hAnsi="Arial" w:cs="Arial"/>
          <w:bCs/>
        </w:rPr>
        <w:t xml:space="preserve">Također se očekuje donacija talijanske vlade (izvor 551) u iznosu od 4.911,00 </w:t>
      </w:r>
      <w:r>
        <w:rPr>
          <w:rFonts w:ascii="Arial" w:hAnsi="Arial" w:cs="Arial"/>
          <w:bCs/>
        </w:rPr>
        <w:t>eura</w:t>
      </w:r>
      <w:r w:rsidRPr="00D66813">
        <w:rPr>
          <w:rFonts w:ascii="Arial" w:hAnsi="Arial" w:cs="Arial"/>
          <w:bCs/>
        </w:rPr>
        <w:t xml:space="preserve"> u vidu knjiga i didaktičkih sredstva, te donacija Talijanske unije (izvor 611) u iznosu od 7.085,00 </w:t>
      </w:r>
      <w:r>
        <w:rPr>
          <w:rFonts w:ascii="Arial" w:hAnsi="Arial" w:cs="Arial"/>
          <w:bCs/>
        </w:rPr>
        <w:t>eura</w:t>
      </w:r>
      <w:r w:rsidRPr="00D66813">
        <w:rPr>
          <w:rFonts w:ascii="Arial" w:hAnsi="Arial" w:cs="Arial"/>
          <w:bCs/>
        </w:rPr>
        <w:t xml:space="preserve"> po rješenju za program poboljšanja uvjeta obrazovanja.</w:t>
      </w:r>
    </w:p>
    <w:p w14:paraId="1B778A02" w14:textId="77777777" w:rsidR="00E541EE" w:rsidRPr="00AC2206" w:rsidRDefault="00E541EE" w:rsidP="00F664F1">
      <w:pPr>
        <w:jc w:val="both"/>
        <w:rPr>
          <w:rFonts w:ascii="Arial" w:hAnsi="Arial" w:cs="Arial"/>
          <w:sz w:val="24"/>
          <w:szCs w:val="24"/>
        </w:rPr>
      </w:pPr>
      <w:r w:rsidRPr="00AC2206">
        <w:rPr>
          <w:rFonts w:ascii="Arial" w:hAnsi="Arial" w:cs="Arial"/>
          <w:b/>
          <w:sz w:val="24"/>
          <w:szCs w:val="24"/>
        </w:rPr>
        <w:t>Opći cilj:</w:t>
      </w:r>
      <w:r w:rsidRPr="00AC2206">
        <w:rPr>
          <w:rFonts w:ascii="Arial" w:eastAsia="Times New Roman" w:hAnsi="Arial" w:cs="Arial"/>
          <w:b/>
          <w:sz w:val="24"/>
          <w:szCs w:val="24"/>
        </w:rPr>
        <w:t xml:space="preserve"> </w:t>
      </w:r>
      <w:r w:rsidRPr="00AC2206">
        <w:rPr>
          <w:rFonts w:ascii="Arial" w:eastAsia="Times New Roman" w:hAnsi="Arial" w:cs="Arial"/>
          <w:sz w:val="24"/>
          <w:szCs w:val="24"/>
        </w:rPr>
        <w:t>osiguravanje rada i funkcioniranja ustanove u provedbi odgojno obrazovnog rada.</w:t>
      </w:r>
    </w:p>
    <w:p w14:paraId="53F622CD" w14:textId="77777777" w:rsidR="00E541EE" w:rsidRPr="00AC2206" w:rsidRDefault="00E541EE" w:rsidP="00F664F1">
      <w:pPr>
        <w:jc w:val="both"/>
        <w:rPr>
          <w:rFonts w:ascii="Arial" w:eastAsia="Times New Roman" w:hAnsi="Arial" w:cs="Arial"/>
          <w:sz w:val="24"/>
          <w:szCs w:val="24"/>
        </w:rPr>
      </w:pPr>
      <w:r w:rsidRPr="00AC2206">
        <w:rPr>
          <w:rFonts w:ascii="Arial" w:hAnsi="Arial" w:cs="Arial"/>
          <w:b/>
          <w:sz w:val="24"/>
          <w:szCs w:val="24"/>
        </w:rPr>
        <w:t xml:space="preserve">Pokazatelj uspješnosti: </w:t>
      </w:r>
      <w:r w:rsidRPr="00AC2206">
        <w:rPr>
          <w:rFonts w:ascii="Arial" w:eastAsia="Times New Roman" w:hAnsi="Arial" w:cs="Arial"/>
          <w:sz w:val="24"/>
          <w:szCs w:val="24"/>
        </w:rPr>
        <w:t>nesmetano odvijanje djelatnosti ustanove, obuhvat</w:t>
      </w:r>
      <w:r w:rsidRPr="00AC2206">
        <w:rPr>
          <w:rFonts w:ascii="Arial" w:eastAsia="Times New Roman" w:hAnsi="Arial" w:cs="Arial"/>
          <w:b/>
          <w:sz w:val="24"/>
          <w:szCs w:val="24"/>
        </w:rPr>
        <w:t xml:space="preserve"> </w:t>
      </w:r>
      <w:r w:rsidRPr="00AC2206">
        <w:rPr>
          <w:rFonts w:ascii="Arial" w:eastAsia="Times New Roman" w:hAnsi="Arial" w:cs="Arial"/>
          <w:sz w:val="24"/>
          <w:szCs w:val="24"/>
        </w:rPr>
        <w:t>djece.</w:t>
      </w:r>
    </w:p>
    <w:p w14:paraId="24A1F588" w14:textId="77777777" w:rsidR="00E541EE" w:rsidRPr="00AC2206" w:rsidRDefault="00E541EE" w:rsidP="00F664F1">
      <w:pPr>
        <w:jc w:val="both"/>
        <w:rPr>
          <w:rFonts w:ascii="Arial" w:eastAsia="Times New Roman" w:hAnsi="Arial" w:cs="Arial"/>
          <w:sz w:val="24"/>
          <w:szCs w:val="24"/>
        </w:rPr>
      </w:pPr>
    </w:p>
    <w:p w14:paraId="74551AD3"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AC2206">
        <w:rPr>
          <w:rFonts w:ascii="Arial" w:eastAsia="Times New Roman" w:hAnsi="Arial" w:cs="Arial"/>
          <w:b/>
          <w:bCs/>
          <w:sz w:val="24"/>
          <w:szCs w:val="24"/>
        </w:rPr>
        <w:t xml:space="preserve">A 103502: Upravno vijeće = </w:t>
      </w:r>
      <w:r>
        <w:rPr>
          <w:rFonts w:ascii="Arial" w:eastAsia="Times New Roman" w:hAnsi="Arial" w:cs="Arial"/>
          <w:b/>
          <w:bCs/>
          <w:sz w:val="24"/>
          <w:szCs w:val="24"/>
        </w:rPr>
        <w:t>11</w:t>
      </w:r>
      <w:r w:rsidRPr="00AC2206">
        <w:rPr>
          <w:rFonts w:ascii="Arial" w:eastAsia="Times New Roman" w:hAnsi="Arial" w:cs="Arial"/>
          <w:b/>
          <w:bCs/>
          <w:sz w:val="24"/>
          <w:szCs w:val="24"/>
        </w:rPr>
        <w:t>.</w:t>
      </w:r>
      <w:r>
        <w:rPr>
          <w:rFonts w:ascii="Arial" w:eastAsia="Times New Roman" w:hAnsi="Arial" w:cs="Arial"/>
          <w:b/>
          <w:bCs/>
          <w:sz w:val="24"/>
          <w:szCs w:val="24"/>
        </w:rPr>
        <w:t>0</w:t>
      </w:r>
      <w:r w:rsidRPr="00AC2206">
        <w:rPr>
          <w:rFonts w:ascii="Arial" w:eastAsia="Times New Roman" w:hAnsi="Arial" w:cs="Arial"/>
          <w:b/>
          <w:bCs/>
          <w:sz w:val="24"/>
          <w:szCs w:val="24"/>
        </w:rPr>
        <w:t>00,00 EUR</w:t>
      </w:r>
    </w:p>
    <w:p w14:paraId="7FF3083C"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Zakonska osnova:</w:t>
      </w:r>
      <w:r w:rsidRPr="00AC2206">
        <w:rPr>
          <w:rFonts w:ascii="Arial" w:eastAsia="Times New Roman" w:hAnsi="Arial" w:cs="Arial"/>
          <w:sz w:val="24"/>
          <w:szCs w:val="24"/>
        </w:rPr>
        <w:t xml:space="preserve"> Zakon o predškolskom odgoju i obrazovanju, Zakon o ustanovama.</w:t>
      </w:r>
    </w:p>
    <w:p w14:paraId="298FE21B"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sz w:val="24"/>
          <w:szCs w:val="24"/>
        </w:rPr>
        <w:t>Opis:</w:t>
      </w:r>
      <w:r w:rsidRPr="00AC2206">
        <w:rPr>
          <w:rFonts w:ascii="Arial" w:eastAsia="Times New Roman" w:hAnsi="Arial" w:cs="Arial"/>
          <w:sz w:val="24"/>
          <w:szCs w:val="24"/>
        </w:rPr>
        <w:t xml:space="preserve"> ustanovom upravlja Upravno vijeće kojim se članovima isplaćuje naknada prema održanim sjednicama i prisustvu članova na sjednicama.</w:t>
      </w:r>
    </w:p>
    <w:p w14:paraId="0FE1E67A" w14:textId="77777777" w:rsidR="00E541EE" w:rsidRPr="00AC2206" w:rsidRDefault="00E541EE" w:rsidP="00E541EE">
      <w:pPr>
        <w:jc w:val="both"/>
        <w:rPr>
          <w:rFonts w:ascii="Arial" w:eastAsia="Times New Roman" w:hAnsi="Arial" w:cs="Arial"/>
          <w:bCs/>
          <w:sz w:val="24"/>
          <w:szCs w:val="24"/>
        </w:rPr>
      </w:pPr>
      <w:r w:rsidRPr="00AC2206">
        <w:rPr>
          <w:rFonts w:ascii="Arial" w:hAnsi="Arial" w:cs="Arial"/>
          <w:b/>
          <w:sz w:val="24"/>
          <w:szCs w:val="24"/>
        </w:rPr>
        <w:t>Opći cilj</w:t>
      </w:r>
      <w:r w:rsidRPr="00AC2206">
        <w:rPr>
          <w:rFonts w:ascii="Arial" w:eastAsia="Times New Roman" w:hAnsi="Arial" w:cs="Arial"/>
          <w:b/>
          <w:bCs/>
          <w:sz w:val="24"/>
          <w:szCs w:val="24"/>
        </w:rPr>
        <w:t>:</w:t>
      </w:r>
      <w:r w:rsidRPr="00AC2206">
        <w:rPr>
          <w:rFonts w:ascii="Arial" w:eastAsia="Times New Roman" w:hAnsi="Arial" w:cs="Arial"/>
          <w:bCs/>
          <w:sz w:val="24"/>
          <w:szCs w:val="24"/>
        </w:rPr>
        <w:t xml:space="preserve"> upravljanje predškolskom ustanovom.</w:t>
      </w:r>
    </w:p>
    <w:p w14:paraId="6853806E" w14:textId="77777777" w:rsidR="00E541EE" w:rsidRPr="00AC2206" w:rsidRDefault="00E541EE" w:rsidP="00E541EE">
      <w:pPr>
        <w:jc w:val="both"/>
        <w:rPr>
          <w:rFonts w:ascii="Arial" w:hAnsi="Arial" w:cs="Arial"/>
          <w:sz w:val="24"/>
          <w:szCs w:val="24"/>
        </w:rPr>
      </w:pPr>
      <w:r w:rsidRPr="00AC2206">
        <w:rPr>
          <w:rFonts w:ascii="Arial" w:hAnsi="Arial" w:cs="Arial"/>
          <w:b/>
          <w:sz w:val="24"/>
          <w:szCs w:val="24"/>
        </w:rPr>
        <w:t xml:space="preserve">Pokazatelj uspješnosti: </w:t>
      </w:r>
      <w:r w:rsidRPr="00AC2206">
        <w:rPr>
          <w:rFonts w:ascii="Arial" w:hAnsi="Arial" w:cs="Arial"/>
          <w:sz w:val="24"/>
          <w:szCs w:val="24"/>
        </w:rPr>
        <w:t>pravovremeno donošenje odluka nužnih za redovito poslovanje ustanove.</w:t>
      </w:r>
    </w:p>
    <w:p w14:paraId="6672D8F2" w14:textId="77777777" w:rsidR="00E541EE" w:rsidRPr="00AC2206" w:rsidRDefault="00E541EE" w:rsidP="00E541EE">
      <w:pPr>
        <w:jc w:val="both"/>
        <w:rPr>
          <w:rFonts w:ascii="Arial" w:hAnsi="Arial" w:cs="Arial"/>
          <w:sz w:val="24"/>
          <w:szCs w:val="24"/>
        </w:rPr>
      </w:pPr>
    </w:p>
    <w:p w14:paraId="5EF9A5B6"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AC2206">
        <w:rPr>
          <w:rFonts w:ascii="Arial" w:eastAsia="Times New Roman" w:hAnsi="Arial" w:cs="Arial"/>
          <w:b/>
          <w:bCs/>
          <w:sz w:val="24"/>
          <w:szCs w:val="24"/>
        </w:rPr>
        <w:t>A 103503: Program za djecu nacionalnih manjina = 9.999,00 EUR</w:t>
      </w:r>
    </w:p>
    <w:p w14:paraId="2A57233E" w14:textId="77777777" w:rsidR="00E541EE" w:rsidRPr="00AC2206" w:rsidRDefault="00E541EE" w:rsidP="00E541EE">
      <w:pPr>
        <w:jc w:val="both"/>
        <w:rPr>
          <w:rFonts w:ascii="Arial" w:hAnsi="Arial" w:cs="Arial"/>
          <w:sz w:val="24"/>
          <w:szCs w:val="24"/>
        </w:rPr>
      </w:pPr>
      <w:r w:rsidRPr="00AC2206">
        <w:rPr>
          <w:rFonts w:ascii="Arial" w:eastAsia="Times New Roman" w:hAnsi="Arial" w:cs="Arial"/>
          <w:b/>
          <w:bCs/>
          <w:sz w:val="24"/>
          <w:szCs w:val="24"/>
        </w:rPr>
        <w:t>Zakonska osnova:</w:t>
      </w:r>
      <w:r w:rsidRPr="00AC2206">
        <w:rPr>
          <w:rFonts w:ascii="Arial" w:eastAsia="Times New Roman" w:hAnsi="Arial" w:cs="Arial"/>
          <w:sz w:val="24"/>
          <w:szCs w:val="24"/>
        </w:rPr>
        <w:t xml:space="preserve"> Zakon o predškolskom odgoju i obrazovanju, </w:t>
      </w:r>
      <w:r w:rsidRPr="00AC2206">
        <w:rPr>
          <w:rFonts w:ascii="Arial" w:hAnsi="Arial" w:cs="Arial"/>
          <w:sz w:val="24"/>
          <w:szCs w:val="24"/>
        </w:rPr>
        <w:t xml:space="preserve">Pravilnik o načinu raspolaganja sredstvima državnog proračuna i mjerilima sufinanciranja programa predškolskog odgoja. </w:t>
      </w:r>
    </w:p>
    <w:p w14:paraId="6BEFB91E"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sz w:val="24"/>
          <w:szCs w:val="24"/>
        </w:rPr>
        <w:t>Opis:</w:t>
      </w:r>
      <w:r w:rsidRPr="00AC2206">
        <w:rPr>
          <w:rFonts w:ascii="Arial" w:eastAsia="Times New Roman" w:hAnsi="Arial" w:cs="Arial"/>
          <w:sz w:val="24"/>
          <w:szCs w:val="24"/>
        </w:rPr>
        <w:t xml:space="preserve"> nadležno Ministarstvo posebnom Odlukom osigurava sredstva za realizaciju programa za djecu polaznike ustanova nacionalnih manjina. Sredstva se ustanovi doznačuju putem Proračuna osnivača. Sredstva su namijenjena za nabavu didaktičkih sredstava potrebnih za provedbu programa, stručno usavršavanje odgojitelja i stručnih suradnika koji provode taj program, nabavu suvremene literature i ostale potrebe programa radi povećanja kvalitete provedbe tih programa.</w:t>
      </w:r>
    </w:p>
    <w:p w14:paraId="669DAB8F" w14:textId="77777777" w:rsidR="00E541EE" w:rsidRPr="00AC2206" w:rsidRDefault="00E541EE" w:rsidP="00E541EE">
      <w:pPr>
        <w:jc w:val="both"/>
        <w:rPr>
          <w:rFonts w:ascii="Arial" w:eastAsia="Times New Roman" w:hAnsi="Arial" w:cs="Arial"/>
          <w:sz w:val="24"/>
          <w:szCs w:val="24"/>
        </w:rPr>
      </w:pPr>
      <w:r w:rsidRPr="00AC2206">
        <w:rPr>
          <w:rFonts w:ascii="Arial" w:hAnsi="Arial" w:cs="Arial"/>
          <w:b/>
          <w:sz w:val="24"/>
          <w:szCs w:val="24"/>
        </w:rPr>
        <w:t xml:space="preserve">Opći cilj: </w:t>
      </w:r>
      <w:r w:rsidRPr="00AC2206">
        <w:rPr>
          <w:rFonts w:ascii="Arial" w:hAnsi="Arial" w:cs="Arial"/>
          <w:sz w:val="24"/>
          <w:szCs w:val="24"/>
        </w:rPr>
        <w:t>potpora Ministarstva ustanovi nacionalne manjine.</w:t>
      </w:r>
    </w:p>
    <w:p w14:paraId="49CB69EF" w14:textId="77777777" w:rsidR="00E541EE" w:rsidRPr="00AC2206" w:rsidRDefault="00E541EE" w:rsidP="00E541EE">
      <w:pPr>
        <w:jc w:val="both"/>
        <w:rPr>
          <w:rFonts w:ascii="Arial" w:eastAsia="Times New Roman" w:hAnsi="Arial" w:cs="Arial"/>
          <w:sz w:val="24"/>
          <w:szCs w:val="24"/>
        </w:rPr>
      </w:pPr>
      <w:r w:rsidRPr="00AC2206">
        <w:rPr>
          <w:rFonts w:ascii="Arial" w:hAnsi="Arial" w:cs="Arial"/>
          <w:b/>
          <w:sz w:val="24"/>
          <w:szCs w:val="24"/>
        </w:rPr>
        <w:t xml:space="preserve">Pokazatelj uspješnosti: </w:t>
      </w:r>
      <w:r w:rsidRPr="00AC2206">
        <w:rPr>
          <w:rFonts w:ascii="Arial" w:hAnsi="Arial" w:cs="Arial"/>
          <w:sz w:val="24"/>
          <w:szCs w:val="24"/>
        </w:rPr>
        <w:t>izvršena obveza i realizirane aktivnosti.</w:t>
      </w:r>
    </w:p>
    <w:p w14:paraId="1BABDFA0" w14:textId="77777777" w:rsidR="00E541EE" w:rsidRPr="00AC2206" w:rsidRDefault="00E541EE" w:rsidP="00E541EE">
      <w:pPr>
        <w:jc w:val="both"/>
        <w:rPr>
          <w:rFonts w:ascii="Arial" w:eastAsia="Times New Roman" w:hAnsi="Arial" w:cs="Arial"/>
          <w:sz w:val="24"/>
          <w:szCs w:val="24"/>
        </w:rPr>
      </w:pPr>
    </w:p>
    <w:p w14:paraId="2BAEC2E3"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AC2206">
        <w:rPr>
          <w:rFonts w:ascii="Arial" w:eastAsia="Times New Roman" w:hAnsi="Arial" w:cs="Arial"/>
          <w:b/>
          <w:bCs/>
          <w:sz w:val="24"/>
          <w:szCs w:val="24"/>
        </w:rPr>
        <w:t>A 103504: Program predškole = 908,00 EUR</w:t>
      </w:r>
    </w:p>
    <w:p w14:paraId="6A77360F" w14:textId="77777777" w:rsidR="00E541EE" w:rsidRPr="00AC2206" w:rsidRDefault="00E541EE" w:rsidP="00E541EE">
      <w:pPr>
        <w:jc w:val="both"/>
        <w:rPr>
          <w:rFonts w:ascii="Arial" w:hAnsi="Arial" w:cs="Arial"/>
          <w:sz w:val="24"/>
          <w:szCs w:val="24"/>
        </w:rPr>
      </w:pPr>
      <w:r w:rsidRPr="00AC2206">
        <w:rPr>
          <w:rFonts w:ascii="Arial" w:eastAsia="Times New Roman" w:hAnsi="Arial" w:cs="Arial"/>
          <w:b/>
          <w:bCs/>
          <w:sz w:val="24"/>
          <w:szCs w:val="24"/>
        </w:rPr>
        <w:t>Zakonska osnova:</w:t>
      </w:r>
      <w:r w:rsidRPr="00AC2206">
        <w:rPr>
          <w:rFonts w:ascii="Arial" w:eastAsia="Times New Roman" w:hAnsi="Arial" w:cs="Arial"/>
          <w:sz w:val="24"/>
          <w:szCs w:val="24"/>
        </w:rPr>
        <w:t xml:space="preserve"> Zakon o predškolskom odgoju i obrazovanju, </w:t>
      </w:r>
      <w:r w:rsidRPr="00AC2206">
        <w:rPr>
          <w:rFonts w:ascii="Arial" w:hAnsi="Arial" w:cs="Arial"/>
          <w:sz w:val="24"/>
          <w:szCs w:val="24"/>
        </w:rPr>
        <w:t xml:space="preserve">Pravilnik o načinu raspolaganja sredstvima državnog proračuna i mjerilima sufinanciranja programa predškolskog odgoja. </w:t>
      </w:r>
    </w:p>
    <w:p w14:paraId="7A61D51B" w14:textId="77777777" w:rsidR="00E541EE" w:rsidRPr="00AC2206" w:rsidRDefault="00E541EE" w:rsidP="00E541EE">
      <w:pPr>
        <w:autoSpaceDE w:val="0"/>
        <w:autoSpaceDN w:val="0"/>
        <w:adjustRightInd w:val="0"/>
        <w:jc w:val="both"/>
        <w:rPr>
          <w:rFonts w:ascii="Arial" w:eastAsia="Times New Roman" w:hAnsi="Arial" w:cs="Arial"/>
          <w:sz w:val="24"/>
          <w:szCs w:val="24"/>
        </w:rPr>
      </w:pPr>
      <w:r w:rsidRPr="00AC2206">
        <w:rPr>
          <w:rFonts w:ascii="Arial" w:eastAsia="Times New Roman" w:hAnsi="Arial" w:cs="Arial"/>
          <w:b/>
          <w:sz w:val="24"/>
          <w:szCs w:val="24"/>
        </w:rPr>
        <w:t>Opis:</w:t>
      </w:r>
      <w:r w:rsidRPr="00AC2206">
        <w:rPr>
          <w:rFonts w:ascii="Arial" w:eastAsia="Times New Roman" w:hAnsi="Arial" w:cs="Arial"/>
          <w:sz w:val="24"/>
          <w:szCs w:val="24"/>
        </w:rPr>
        <w:t xml:space="preserve"> nadležno Ministarstvo posebnom Odlukom osigurava sredstva za realizaciju programa predškole. Sredstva se ustanovi doznačuju putem Proračuna osnivača. Sredstva su namijenjena za nabavu potrošnog didaktičkog materijala.</w:t>
      </w:r>
    </w:p>
    <w:p w14:paraId="16397016" w14:textId="77777777" w:rsidR="00E541EE" w:rsidRPr="00AC2206" w:rsidRDefault="00E541EE" w:rsidP="00E541EE">
      <w:pPr>
        <w:jc w:val="both"/>
        <w:rPr>
          <w:rFonts w:ascii="Arial" w:eastAsia="Times New Roman" w:hAnsi="Arial" w:cs="Arial"/>
          <w:sz w:val="24"/>
          <w:szCs w:val="24"/>
        </w:rPr>
      </w:pPr>
      <w:r w:rsidRPr="00AC2206">
        <w:rPr>
          <w:rFonts w:ascii="Arial" w:hAnsi="Arial" w:cs="Arial"/>
          <w:b/>
          <w:sz w:val="24"/>
          <w:szCs w:val="24"/>
        </w:rPr>
        <w:t xml:space="preserve">Opći cilj: </w:t>
      </w:r>
      <w:r w:rsidRPr="00AC2206">
        <w:rPr>
          <w:rFonts w:ascii="Arial" w:eastAsia="Times New Roman" w:hAnsi="Arial" w:cs="Arial"/>
          <w:sz w:val="24"/>
          <w:szCs w:val="24"/>
        </w:rPr>
        <w:t>priprema djece za polazak u školu.</w:t>
      </w:r>
    </w:p>
    <w:p w14:paraId="348DB876" w14:textId="77777777" w:rsidR="00E541EE" w:rsidRPr="00AC2206" w:rsidRDefault="00E541EE" w:rsidP="00E541EE">
      <w:pPr>
        <w:jc w:val="both"/>
        <w:rPr>
          <w:rFonts w:ascii="Arial" w:eastAsia="Times New Roman" w:hAnsi="Arial" w:cs="Arial"/>
          <w:sz w:val="24"/>
          <w:szCs w:val="24"/>
        </w:rPr>
      </w:pPr>
      <w:r w:rsidRPr="00AC2206">
        <w:rPr>
          <w:rFonts w:ascii="Arial" w:hAnsi="Arial" w:cs="Arial"/>
          <w:b/>
          <w:sz w:val="24"/>
          <w:szCs w:val="24"/>
        </w:rPr>
        <w:t xml:space="preserve">Pokazatelj uspješnosti: </w:t>
      </w:r>
      <w:r w:rsidRPr="00AC2206">
        <w:rPr>
          <w:rFonts w:ascii="Arial" w:eastAsia="Times New Roman" w:hAnsi="Arial" w:cs="Arial"/>
          <w:sz w:val="24"/>
          <w:szCs w:val="24"/>
        </w:rPr>
        <w:t>proveden program i obuhvat djece.</w:t>
      </w:r>
    </w:p>
    <w:p w14:paraId="3BEA50BF" w14:textId="77777777" w:rsidR="00E541EE" w:rsidRPr="00AC2206" w:rsidRDefault="00E541EE" w:rsidP="00E541EE">
      <w:pPr>
        <w:jc w:val="both"/>
        <w:rPr>
          <w:rFonts w:ascii="Arial" w:eastAsia="Times New Roman" w:hAnsi="Arial" w:cs="Arial"/>
          <w:sz w:val="24"/>
          <w:szCs w:val="24"/>
        </w:rPr>
      </w:pPr>
    </w:p>
    <w:p w14:paraId="27288CF9"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AC2206">
        <w:rPr>
          <w:rFonts w:ascii="Arial" w:eastAsia="Times New Roman" w:hAnsi="Arial" w:cs="Arial"/>
          <w:b/>
          <w:bCs/>
          <w:sz w:val="24"/>
          <w:szCs w:val="24"/>
        </w:rPr>
        <w:t>A 103513: Pomoćnici za djecu s teškoćama u razvoju = 21.232,00 EUR</w:t>
      </w:r>
    </w:p>
    <w:p w14:paraId="59B50146" w14:textId="77777777" w:rsidR="00E541EE" w:rsidRPr="00AC2206" w:rsidRDefault="00E541EE" w:rsidP="00F664F1">
      <w:pPr>
        <w:shd w:val="clear" w:color="auto" w:fill="FFFFFF"/>
        <w:suppressAutoHyphens/>
        <w:jc w:val="both"/>
        <w:rPr>
          <w:rFonts w:ascii="Arial" w:eastAsia="Times New Roman" w:hAnsi="Arial" w:cs="Arial"/>
          <w:sz w:val="24"/>
          <w:lang w:eastAsia="hi-IN" w:bidi="hi-IN"/>
        </w:rPr>
      </w:pPr>
      <w:r w:rsidRPr="00AC2206">
        <w:rPr>
          <w:rFonts w:ascii="Arial" w:eastAsia="Times New Roman" w:hAnsi="Arial" w:cs="Arial"/>
          <w:b/>
          <w:sz w:val="24"/>
          <w:szCs w:val="24"/>
        </w:rPr>
        <w:t xml:space="preserve">Zakonska osnova: </w:t>
      </w:r>
      <w:r w:rsidRPr="00AC2206">
        <w:rPr>
          <w:rFonts w:ascii="Arial" w:eastAsia="Times New Roman" w:hAnsi="Arial" w:cs="Arial"/>
          <w:sz w:val="24"/>
          <w:lang w:eastAsia="hi-IN" w:bidi="hi-IN"/>
        </w:rPr>
        <w:t>Zakon o predškolskom odgoju i obrazovanju, Godišnji plan i program rada ustanove za 202</w:t>
      </w:r>
      <w:r>
        <w:rPr>
          <w:rFonts w:ascii="Arial" w:eastAsia="Times New Roman" w:hAnsi="Arial" w:cs="Arial"/>
          <w:sz w:val="24"/>
          <w:lang w:eastAsia="hi-IN" w:bidi="hi-IN"/>
        </w:rPr>
        <w:t>5</w:t>
      </w:r>
      <w:r w:rsidRPr="00AC2206">
        <w:rPr>
          <w:rFonts w:ascii="Arial" w:eastAsia="Times New Roman" w:hAnsi="Arial" w:cs="Arial"/>
          <w:sz w:val="24"/>
          <w:lang w:eastAsia="hi-IN" w:bidi="hi-IN"/>
        </w:rPr>
        <w:t>./202</w:t>
      </w:r>
      <w:r>
        <w:rPr>
          <w:rFonts w:ascii="Arial" w:eastAsia="Times New Roman" w:hAnsi="Arial" w:cs="Arial"/>
          <w:sz w:val="24"/>
          <w:lang w:eastAsia="hi-IN" w:bidi="hi-IN"/>
        </w:rPr>
        <w:t>6</w:t>
      </w:r>
      <w:r w:rsidRPr="00AC2206">
        <w:rPr>
          <w:rFonts w:ascii="Arial" w:eastAsia="Times New Roman" w:hAnsi="Arial" w:cs="Arial"/>
          <w:sz w:val="24"/>
          <w:lang w:eastAsia="hi-IN" w:bidi="hi-IN"/>
        </w:rPr>
        <w:t>. i Kurikulum Dječjeg vrtića za 202</w:t>
      </w:r>
      <w:r>
        <w:rPr>
          <w:rFonts w:ascii="Arial" w:eastAsia="Times New Roman" w:hAnsi="Arial" w:cs="Arial"/>
          <w:sz w:val="24"/>
          <w:lang w:eastAsia="hi-IN" w:bidi="hi-IN"/>
        </w:rPr>
        <w:t>5</w:t>
      </w:r>
      <w:r w:rsidRPr="00AC2206">
        <w:rPr>
          <w:rFonts w:ascii="Arial" w:eastAsia="Times New Roman" w:hAnsi="Arial" w:cs="Arial"/>
          <w:sz w:val="24"/>
          <w:lang w:eastAsia="hi-IN" w:bidi="hi-IN"/>
        </w:rPr>
        <w:t>./202</w:t>
      </w:r>
      <w:r>
        <w:rPr>
          <w:rFonts w:ascii="Arial" w:eastAsia="Times New Roman" w:hAnsi="Arial" w:cs="Arial"/>
          <w:sz w:val="24"/>
          <w:lang w:eastAsia="hi-IN" w:bidi="hi-IN"/>
        </w:rPr>
        <w:t>6</w:t>
      </w:r>
      <w:r w:rsidRPr="00AC2206">
        <w:rPr>
          <w:rFonts w:ascii="Arial" w:eastAsia="Times New Roman" w:hAnsi="Arial" w:cs="Arial"/>
          <w:sz w:val="24"/>
          <w:lang w:eastAsia="hi-IN" w:bidi="hi-IN"/>
        </w:rPr>
        <w:t xml:space="preserve">. </w:t>
      </w:r>
    </w:p>
    <w:p w14:paraId="0FFECBF3" w14:textId="77777777" w:rsidR="00E541EE" w:rsidRDefault="00E541EE" w:rsidP="00F664F1">
      <w:pPr>
        <w:jc w:val="both"/>
        <w:rPr>
          <w:rFonts w:ascii="Arial" w:hAnsi="Arial" w:cs="Arial"/>
          <w:sz w:val="24"/>
          <w:szCs w:val="24"/>
        </w:rPr>
      </w:pPr>
      <w:r w:rsidRPr="00AC2206">
        <w:rPr>
          <w:rFonts w:ascii="Arial" w:eastAsia="Times New Roman" w:hAnsi="Arial" w:cs="Arial"/>
          <w:b/>
          <w:sz w:val="24"/>
          <w:szCs w:val="24"/>
        </w:rPr>
        <w:t>Opis:</w:t>
      </w:r>
      <w:r w:rsidRPr="00AC2206">
        <w:rPr>
          <w:rFonts w:ascii="Arial" w:eastAsia="Times New Roman" w:hAnsi="Arial" w:cs="Arial"/>
          <w:sz w:val="24"/>
          <w:szCs w:val="24"/>
        </w:rPr>
        <w:t xml:space="preserve"> </w:t>
      </w:r>
      <w:r>
        <w:rPr>
          <w:rFonts w:ascii="Arial" w:hAnsi="Arial" w:cs="Arial"/>
          <w:sz w:val="24"/>
          <w:szCs w:val="24"/>
        </w:rPr>
        <w:t>u</w:t>
      </w:r>
      <w:r>
        <w:rPr>
          <w:rFonts w:ascii="Arial" w:hAnsi="Arial" w:cs="Arial"/>
          <w:b/>
          <w:sz w:val="24"/>
          <w:szCs w:val="24"/>
        </w:rPr>
        <w:t xml:space="preserve"> </w:t>
      </w:r>
      <w:r>
        <w:rPr>
          <w:rFonts w:ascii="Arial" w:hAnsi="Arial" w:cs="Arial"/>
          <w:sz w:val="24"/>
          <w:szCs w:val="24"/>
        </w:rPr>
        <w:t>skladu sa pedagoškim standardima u programe redovitih vrtića planirano je i uključivanje djece s teškoćama u razvoju. Stručni tim u suradnji sa odgojiteljima ustanove je na osnovu praćenja djece izrazilo realnu potrebu za dva pomoćnika za praćenje dvoje djece s teškoćama u razvoju u redovne odgojne skupine ustanove te je shodno tome planiran iznos za ugovore o djelu za asistente koji prate djecu s posebnim potrebama.</w:t>
      </w:r>
    </w:p>
    <w:p w14:paraId="3CE2E3DF" w14:textId="77777777" w:rsidR="00E541EE" w:rsidRDefault="00E541EE" w:rsidP="00F664F1">
      <w:pPr>
        <w:jc w:val="both"/>
        <w:rPr>
          <w:rFonts w:ascii="Arial" w:hAnsi="Arial" w:cs="Arial"/>
          <w:sz w:val="24"/>
          <w:szCs w:val="24"/>
        </w:rPr>
      </w:pPr>
      <w:r>
        <w:rPr>
          <w:rFonts w:ascii="Arial" w:hAnsi="Arial" w:cs="Arial"/>
          <w:sz w:val="24"/>
          <w:szCs w:val="24"/>
        </w:rPr>
        <w:t>U redovan program predškolske ustanove uključeno je ukupno dvoje djece koju su tijekom 2025. godine pratili asistenti te je i njima omogućeno uključivanje u redovne programe dječjeg vrtića.</w:t>
      </w:r>
    </w:p>
    <w:p w14:paraId="674CBD7F" w14:textId="77777777" w:rsidR="00E541EE" w:rsidRPr="00AC2206" w:rsidRDefault="00E541EE" w:rsidP="00F664F1">
      <w:pPr>
        <w:shd w:val="clear" w:color="auto" w:fill="FFFFFF"/>
        <w:suppressAutoHyphens/>
        <w:jc w:val="both"/>
        <w:rPr>
          <w:rFonts w:ascii="Times New Roman" w:eastAsia="Times New Roman" w:hAnsi="Times New Roman" w:cs="Times New Roman"/>
          <w:sz w:val="24"/>
          <w:lang w:eastAsia="hi-IN" w:bidi="hi-IN"/>
        </w:rPr>
      </w:pPr>
      <w:r w:rsidRPr="00AC2206">
        <w:rPr>
          <w:rFonts w:ascii="Arial" w:hAnsi="Arial" w:cs="Arial"/>
          <w:b/>
          <w:sz w:val="24"/>
          <w:szCs w:val="24"/>
        </w:rPr>
        <w:t>Opći cilj:</w:t>
      </w:r>
      <w:r w:rsidRPr="00AC2206">
        <w:rPr>
          <w:rFonts w:ascii="Arial" w:eastAsia="Times New Roman" w:hAnsi="Arial" w:cs="Arial"/>
          <w:sz w:val="24"/>
          <w:lang w:eastAsia="hi-IN" w:bidi="hi-IN"/>
        </w:rPr>
        <w:t xml:space="preserve"> </w:t>
      </w:r>
      <w:r w:rsidRPr="00AC2206">
        <w:rPr>
          <w:rFonts w:ascii="Arial" w:eastAsia="Times New Roman" w:hAnsi="Arial" w:cs="Arial"/>
          <w:sz w:val="24"/>
          <w:shd w:val="clear" w:color="auto" w:fill="FFFFFF"/>
          <w:lang w:eastAsia="hi-IN" w:bidi="hi-IN"/>
        </w:rPr>
        <w:t>uključivanjem djece s poteškoćama u razvoju u redovite odgojne skupine u pratnji osobnih asistenata omogućuje se djeci socijalizacija te praćenje aktivnosti sukladno njihovim razvojnim mogućnostima. Boravkom</w:t>
      </w:r>
      <w:r w:rsidRPr="00AC2206">
        <w:rPr>
          <w:rFonts w:ascii="Arial" w:eastAsia="Times New Roman" w:hAnsi="Arial" w:cs="Arial"/>
          <w:sz w:val="24"/>
          <w:lang w:eastAsia="hi-IN" w:bidi="hi-IN"/>
        </w:rPr>
        <w:t xml:space="preserve"> djece u vrtiću stvaraju se preduvjeti za njihovo uključenje u redoviti školski sustav prema prilagođenim programima</w:t>
      </w:r>
      <w:r w:rsidRPr="00AC2206">
        <w:rPr>
          <w:rFonts w:ascii="Times New Roman" w:eastAsia="Times New Roman" w:hAnsi="Times New Roman" w:cs="Times New Roman"/>
          <w:sz w:val="24"/>
          <w:lang w:eastAsia="hi-IN" w:bidi="hi-IN"/>
        </w:rPr>
        <w:t>.</w:t>
      </w:r>
    </w:p>
    <w:p w14:paraId="060EA907" w14:textId="77777777" w:rsidR="00E541EE" w:rsidRPr="00AC2206" w:rsidRDefault="00E541EE" w:rsidP="00F664F1">
      <w:pPr>
        <w:jc w:val="both"/>
        <w:rPr>
          <w:rFonts w:ascii="Arial" w:eastAsia="Times New Roman" w:hAnsi="Arial" w:cs="Arial"/>
          <w:b/>
          <w:bCs/>
          <w:sz w:val="24"/>
          <w:szCs w:val="24"/>
        </w:rPr>
      </w:pPr>
      <w:r w:rsidRPr="00AC2206">
        <w:rPr>
          <w:rFonts w:ascii="Arial" w:hAnsi="Arial" w:cs="Arial"/>
          <w:b/>
          <w:sz w:val="24"/>
          <w:szCs w:val="24"/>
        </w:rPr>
        <w:t>Pokazatelj uspješnosti:</w:t>
      </w:r>
      <w:r w:rsidRPr="00AC2206">
        <w:rPr>
          <w:rFonts w:ascii="Arial" w:eastAsia="Times New Roman" w:hAnsi="Arial" w:cs="Arial"/>
          <w:sz w:val="24"/>
          <w:szCs w:val="24"/>
        </w:rPr>
        <w:t xml:space="preserve"> broj uključene djece  sa poteškoćama u redovitim odgojnim skupinama te praćenje pokazatelja.</w:t>
      </w:r>
    </w:p>
    <w:p w14:paraId="7B7716A1" w14:textId="77777777" w:rsidR="00E541EE" w:rsidRPr="00AC2206" w:rsidRDefault="00E541EE" w:rsidP="00E541EE">
      <w:pPr>
        <w:jc w:val="both"/>
        <w:rPr>
          <w:rFonts w:ascii="Arial" w:eastAsia="Times New Roman" w:hAnsi="Arial" w:cs="Arial"/>
          <w:b/>
          <w:bCs/>
          <w:sz w:val="24"/>
          <w:szCs w:val="24"/>
        </w:rPr>
      </w:pPr>
    </w:p>
    <w:p w14:paraId="22AC1B52"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rPr>
          <w:rFonts w:ascii="Arial" w:eastAsia="Times New Roman" w:hAnsi="Arial" w:cs="Arial"/>
          <w:b/>
          <w:bCs/>
          <w:sz w:val="24"/>
          <w:szCs w:val="24"/>
        </w:rPr>
      </w:pPr>
      <w:r w:rsidRPr="00AC2206">
        <w:rPr>
          <w:rFonts w:ascii="Arial" w:eastAsia="Times New Roman" w:hAnsi="Arial" w:cs="Arial"/>
          <w:b/>
          <w:bCs/>
          <w:sz w:val="24"/>
          <w:szCs w:val="24"/>
        </w:rPr>
        <w:t xml:space="preserve">K 103503: Opremanje  = </w:t>
      </w:r>
      <w:r>
        <w:rPr>
          <w:rFonts w:ascii="Arial" w:eastAsia="Times New Roman" w:hAnsi="Arial" w:cs="Arial"/>
          <w:b/>
          <w:bCs/>
          <w:sz w:val="24"/>
          <w:szCs w:val="24"/>
        </w:rPr>
        <w:t>7</w:t>
      </w:r>
      <w:r w:rsidRPr="00AC2206">
        <w:rPr>
          <w:rFonts w:ascii="Arial" w:eastAsia="Times New Roman" w:hAnsi="Arial" w:cs="Arial"/>
          <w:b/>
          <w:bCs/>
          <w:sz w:val="24"/>
          <w:szCs w:val="24"/>
        </w:rPr>
        <w:t>.</w:t>
      </w:r>
      <w:r>
        <w:rPr>
          <w:rFonts w:ascii="Arial" w:eastAsia="Times New Roman" w:hAnsi="Arial" w:cs="Arial"/>
          <w:b/>
          <w:bCs/>
          <w:sz w:val="24"/>
          <w:szCs w:val="24"/>
        </w:rPr>
        <w:t>0</w:t>
      </w:r>
      <w:r w:rsidRPr="00AC2206">
        <w:rPr>
          <w:rFonts w:ascii="Arial" w:eastAsia="Times New Roman" w:hAnsi="Arial" w:cs="Arial"/>
          <w:b/>
          <w:bCs/>
          <w:sz w:val="24"/>
          <w:szCs w:val="24"/>
        </w:rPr>
        <w:t>00,00 EUR</w:t>
      </w:r>
    </w:p>
    <w:p w14:paraId="3FA0E3F1" w14:textId="77777777" w:rsidR="00E541EE" w:rsidRPr="00AC2206" w:rsidRDefault="00E541EE" w:rsidP="00E541EE">
      <w:pPr>
        <w:autoSpaceDE w:val="0"/>
        <w:autoSpaceDN w:val="0"/>
        <w:adjustRightInd w:val="0"/>
        <w:ind w:right="-483"/>
        <w:jc w:val="both"/>
        <w:rPr>
          <w:rFonts w:ascii="Arial" w:eastAsia="Times New Roman" w:hAnsi="Arial" w:cs="Arial"/>
          <w:bCs/>
          <w:sz w:val="24"/>
          <w:szCs w:val="24"/>
        </w:rPr>
      </w:pPr>
      <w:r w:rsidRPr="00AC2206">
        <w:rPr>
          <w:rFonts w:ascii="Arial" w:eastAsia="Times New Roman" w:hAnsi="Arial" w:cs="Arial"/>
          <w:b/>
          <w:bCs/>
          <w:sz w:val="24"/>
          <w:szCs w:val="24"/>
        </w:rPr>
        <w:t>Zakonska osnova:</w:t>
      </w:r>
      <w:r w:rsidRPr="00AC2206">
        <w:rPr>
          <w:rFonts w:ascii="Arial" w:eastAsia="Times New Roman" w:hAnsi="Arial" w:cs="Arial"/>
          <w:sz w:val="24"/>
          <w:szCs w:val="24"/>
        </w:rPr>
        <w:t xml:space="preserve"> Zakon o predškolskom odgoju i obrazovanju.</w:t>
      </w:r>
    </w:p>
    <w:p w14:paraId="1A557583" w14:textId="77777777" w:rsidR="00E541EE" w:rsidRDefault="00E541EE" w:rsidP="00E541EE">
      <w:pPr>
        <w:jc w:val="both"/>
        <w:rPr>
          <w:rFonts w:ascii="Arial" w:eastAsia="Times New Roman" w:hAnsi="Arial" w:cs="Arial"/>
          <w:sz w:val="24"/>
          <w:szCs w:val="24"/>
        </w:rPr>
      </w:pPr>
      <w:r w:rsidRPr="00E85C48">
        <w:rPr>
          <w:rFonts w:ascii="Arial" w:hAnsi="Arial" w:cs="Arial"/>
          <w:b/>
        </w:rPr>
        <w:t>Opis:</w:t>
      </w:r>
      <w:r w:rsidRPr="00E85C48">
        <w:rPr>
          <w:rFonts w:ascii="Arial" w:hAnsi="Arial" w:cs="Arial"/>
        </w:rPr>
        <w:t xml:space="preserve"> </w:t>
      </w:r>
      <w:r w:rsidRPr="00E85C48">
        <w:rPr>
          <w:rFonts w:ascii="Arial" w:hAnsi="Arial" w:cs="Arial"/>
          <w:bCs/>
          <w:sz w:val="24"/>
          <w:szCs w:val="24"/>
        </w:rPr>
        <w:t>planirani iznos iz gradskog Proračuna namijenjen je za nabavu i zamjenu dotrajale perilice suđa u kuhinji, nabavu jednog klima uređaja i računalne opreme</w:t>
      </w:r>
    </w:p>
    <w:p w14:paraId="5B89D7B6" w14:textId="77777777" w:rsidR="00E541EE" w:rsidRPr="00AC2206" w:rsidRDefault="00E541EE" w:rsidP="00E541EE">
      <w:pPr>
        <w:jc w:val="both"/>
        <w:rPr>
          <w:rFonts w:ascii="Arial" w:eastAsia="Times New Roman" w:hAnsi="Arial" w:cs="Arial"/>
          <w:sz w:val="24"/>
          <w:szCs w:val="24"/>
        </w:rPr>
      </w:pPr>
      <w:r w:rsidRPr="00AC2206">
        <w:rPr>
          <w:rFonts w:ascii="Arial" w:hAnsi="Arial" w:cs="Arial"/>
          <w:b/>
          <w:sz w:val="24"/>
          <w:szCs w:val="24"/>
        </w:rPr>
        <w:t xml:space="preserve">Opći cilj: </w:t>
      </w:r>
      <w:r w:rsidRPr="00AC2206">
        <w:rPr>
          <w:rFonts w:ascii="Arial" w:hAnsi="Arial" w:cs="Arial"/>
          <w:sz w:val="24"/>
          <w:szCs w:val="24"/>
        </w:rPr>
        <w:t>osiguravanje uvjeta rada u ustanovi.</w:t>
      </w:r>
    </w:p>
    <w:p w14:paraId="52255900" w14:textId="77777777" w:rsidR="00E541EE" w:rsidRDefault="00E541EE" w:rsidP="00E541EE">
      <w:pPr>
        <w:autoSpaceDE w:val="0"/>
        <w:autoSpaceDN w:val="0"/>
        <w:adjustRightInd w:val="0"/>
        <w:ind w:right="-483"/>
        <w:jc w:val="both"/>
        <w:rPr>
          <w:rFonts w:ascii="Arial" w:hAnsi="Arial" w:cs="Arial"/>
          <w:sz w:val="24"/>
          <w:szCs w:val="24"/>
        </w:rPr>
      </w:pPr>
      <w:r w:rsidRPr="00AC2206">
        <w:rPr>
          <w:rFonts w:ascii="Arial" w:hAnsi="Arial" w:cs="Arial"/>
          <w:b/>
          <w:sz w:val="24"/>
          <w:szCs w:val="24"/>
        </w:rPr>
        <w:t xml:space="preserve">Pokazatelj uspješnosti: </w:t>
      </w:r>
      <w:r w:rsidRPr="00AC2206">
        <w:rPr>
          <w:rFonts w:ascii="Arial" w:hAnsi="Arial" w:cs="Arial"/>
          <w:sz w:val="24"/>
          <w:szCs w:val="24"/>
        </w:rPr>
        <w:t>nabavljena planirana oprema.</w:t>
      </w:r>
    </w:p>
    <w:p w14:paraId="7DD446D0" w14:textId="77777777" w:rsidR="00E541EE" w:rsidRPr="00AC2206" w:rsidRDefault="00E541EE" w:rsidP="00E541EE">
      <w:pPr>
        <w:autoSpaceDE w:val="0"/>
        <w:autoSpaceDN w:val="0"/>
        <w:adjustRightInd w:val="0"/>
        <w:ind w:right="-483"/>
        <w:jc w:val="both"/>
        <w:rPr>
          <w:rFonts w:ascii="Arial" w:eastAsia="Times New Roman" w:hAnsi="Arial" w:cs="Arial"/>
          <w:sz w:val="24"/>
          <w:szCs w:val="24"/>
        </w:rPr>
      </w:pPr>
    </w:p>
    <w:p w14:paraId="456F6BD8" w14:textId="77941D17" w:rsidR="00E541EE" w:rsidRPr="00B4250E" w:rsidRDefault="00E541EE" w:rsidP="00E541EE">
      <w:pPr>
        <w:pBdr>
          <w:top w:val="single" w:sz="4" w:space="1" w:color="auto"/>
          <w:left w:val="single" w:sz="4" w:space="4" w:color="auto"/>
          <w:bottom w:val="single" w:sz="4" w:space="1" w:color="auto"/>
          <w:right w:val="single" w:sz="4" w:space="4" w:color="auto"/>
        </w:pBdr>
        <w:shd w:val="clear" w:color="auto" w:fill="FFD5EA"/>
        <w:rPr>
          <w:rFonts w:ascii="Arial" w:eastAsia="Times New Roman" w:hAnsi="Arial" w:cs="Arial"/>
          <w:b/>
          <w:bCs/>
          <w:sz w:val="24"/>
          <w:szCs w:val="24"/>
        </w:rPr>
      </w:pPr>
      <w:r w:rsidRPr="00B4250E">
        <w:rPr>
          <w:rFonts w:ascii="Arial" w:eastAsia="Times New Roman" w:hAnsi="Arial" w:cs="Arial"/>
          <w:b/>
          <w:bCs/>
          <w:sz w:val="24"/>
          <w:szCs w:val="24"/>
        </w:rPr>
        <w:t>Proračunski korisnik:  Dječji vrtić „Neven“ Rovinj-Rovigno</w:t>
      </w:r>
      <w:r w:rsidR="00E373CC">
        <w:rPr>
          <w:rFonts w:ascii="Arial" w:eastAsia="Times New Roman" w:hAnsi="Arial" w:cs="Arial"/>
          <w:b/>
          <w:bCs/>
          <w:sz w:val="24"/>
          <w:szCs w:val="24"/>
        </w:rPr>
        <w:t xml:space="preserve"> </w:t>
      </w:r>
      <w:r w:rsidRPr="00B4250E">
        <w:rPr>
          <w:rFonts w:ascii="Arial" w:eastAsia="Times New Roman" w:hAnsi="Arial" w:cs="Arial"/>
          <w:b/>
          <w:bCs/>
          <w:sz w:val="24"/>
          <w:szCs w:val="24"/>
        </w:rPr>
        <w:t>= 5.497.741,00 EUR</w:t>
      </w:r>
    </w:p>
    <w:p w14:paraId="5E891E6D" w14:textId="77777777" w:rsidR="00E541EE" w:rsidRPr="00AC2206" w:rsidRDefault="00E541EE" w:rsidP="00E541EE">
      <w:pPr>
        <w:suppressAutoHyphens/>
        <w:jc w:val="both"/>
        <w:rPr>
          <w:rFonts w:ascii="Arial" w:eastAsia="Times New Roman" w:hAnsi="Arial" w:cs="Arial"/>
          <w:sz w:val="24"/>
          <w:szCs w:val="24"/>
          <w:lang w:eastAsia="hi-IN" w:bidi="hi-IN"/>
        </w:rPr>
      </w:pPr>
    </w:p>
    <w:p w14:paraId="4D611716"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AC2206">
        <w:rPr>
          <w:rFonts w:ascii="Arial" w:eastAsia="Times New Roman" w:hAnsi="Arial" w:cs="Arial"/>
          <w:b/>
          <w:bCs/>
          <w:sz w:val="24"/>
          <w:szCs w:val="24"/>
        </w:rPr>
        <w:t xml:space="preserve">A 103506: Redovan rad predškolske ustanove = </w:t>
      </w:r>
      <w:r>
        <w:rPr>
          <w:rFonts w:ascii="Arial" w:eastAsia="Times New Roman" w:hAnsi="Arial" w:cs="Arial"/>
          <w:b/>
          <w:bCs/>
          <w:sz w:val="24"/>
          <w:szCs w:val="24"/>
        </w:rPr>
        <w:t>5.415.114</w:t>
      </w:r>
      <w:r w:rsidRPr="00AC2206">
        <w:rPr>
          <w:rFonts w:ascii="Arial" w:eastAsia="Times New Roman" w:hAnsi="Arial" w:cs="Arial"/>
          <w:b/>
          <w:bCs/>
          <w:sz w:val="24"/>
          <w:szCs w:val="24"/>
        </w:rPr>
        <w:t>,00 EUR</w:t>
      </w:r>
    </w:p>
    <w:p w14:paraId="20BF7884"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Zakonska osnova:</w:t>
      </w:r>
      <w:r w:rsidRPr="00AC2206">
        <w:rPr>
          <w:rFonts w:ascii="Arial" w:eastAsia="Times New Roman" w:hAnsi="Arial" w:cs="Arial"/>
          <w:sz w:val="24"/>
          <w:szCs w:val="24"/>
        </w:rPr>
        <w:t xml:space="preserve"> Zakon o predškolskom odgoju i obrazovanju, Državni pedagoški standard predškolskog odgoja i naobrazbe</w:t>
      </w:r>
      <w:r>
        <w:rPr>
          <w:rFonts w:ascii="Arial" w:eastAsia="Times New Roman" w:hAnsi="Arial" w:cs="Arial"/>
          <w:sz w:val="24"/>
          <w:szCs w:val="24"/>
        </w:rPr>
        <w:t xml:space="preserve"> </w:t>
      </w:r>
    </w:p>
    <w:p w14:paraId="6C7F2B67" w14:textId="77777777" w:rsidR="00E541EE" w:rsidRPr="00C4645C" w:rsidRDefault="00E541EE" w:rsidP="00E541EE">
      <w:pPr>
        <w:shd w:val="clear" w:color="auto" w:fill="FFFFFF"/>
        <w:suppressAutoHyphens/>
        <w:contextualSpacing/>
        <w:jc w:val="both"/>
        <w:rPr>
          <w:rFonts w:ascii="Arial" w:eastAsia="Times New Roman" w:hAnsi="Arial" w:cs="Arial"/>
          <w:b/>
          <w:sz w:val="24"/>
          <w:lang w:eastAsia="hi-IN" w:bidi="hi-IN"/>
        </w:rPr>
      </w:pPr>
      <w:r w:rsidRPr="00AC2206">
        <w:rPr>
          <w:rFonts w:ascii="Arial" w:eastAsia="Times New Roman" w:hAnsi="Arial" w:cs="Arial"/>
          <w:b/>
          <w:sz w:val="24"/>
          <w:szCs w:val="24"/>
        </w:rPr>
        <w:t>Opis:</w:t>
      </w:r>
      <w:r w:rsidRPr="00AC2206">
        <w:rPr>
          <w:rFonts w:ascii="Arial" w:eastAsia="Times New Roman" w:hAnsi="Arial" w:cs="Arial"/>
          <w:sz w:val="24"/>
          <w:szCs w:val="24"/>
        </w:rPr>
        <w:t xml:space="preserve"> </w:t>
      </w:r>
      <w:r w:rsidRPr="00C4645C">
        <w:rPr>
          <w:rFonts w:ascii="Arial" w:eastAsia="Times New Roman" w:hAnsi="Arial" w:cs="Arial"/>
          <w:sz w:val="24"/>
          <w:szCs w:val="24"/>
        </w:rPr>
        <w:t>Prijedlogom f</w:t>
      </w:r>
      <w:r w:rsidRPr="00C4645C">
        <w:rPr>
          <w:rFonts w:ascii="Arial" w:eastAsia="Times New Roman" w:hAnsi="Arial" w:cs="Arial"/>
          <w:sz w:val="24"/>
          <w:lang w:eastAsia="hi-IN" w:bidi="hi-IN"/>
        </w:rPr>
        <w:t xml:space="preserve">inancijskog plana za 2026. godinu za isplatu plaća, naknada i doprinosa za zaposlene radnike na području grada Rovinja - Rovigno kao i za naknadu za troškove prijevoza na posao planiran je iznos od 3.813.847,00  </w:t>
      </w:r>
      <w:r>
        <w:rPr>
          <w:rFonts w:ascii="Arial" w:eastAsia="Times New Roman" w:hAnsi="Arial" w:cs="Arial"/>
          <w:sz w:val="24"/>
          <w:lang w:eastAsia="hi-IN" w:bidi="hi-IN"/>
        </w:rPr>
        <w:t>eura</w:t>
      </w:r>
      <w:r w:rsidRPr="00C4645C">
        <w:rPr>
          <w:rFonts w:ascii="Arial" w:eastAsia="Times New Roman" w:hAnsi="Arial" w:cs="Arial"/>
          <w:sz w:val="24"/>
          <w:lang w:eastAsia="hi-IN" w:bidi="hi-IN"/>
        </w:rPr>
        <w:t>.</w:t>
      </w:r>
    </w:p>
    <w:p w14:paraId="65B10B3F" w14:textId="77777777" w:rsidR="00E541EE" w:rsidRPr="00A55D71" w:rsidRDefault="00E541EE" w:rsidP="00E541EE">
      <w:pPr>
        <w:shd w:val="clear" w:color="auto" w:fill="FFFFFF"/>
        <w:suppressAutoHyphens/>
        <w:contextualSpacing/>
        <w:jc w:val="both"/>
        <w:rPr>
          <w:rFonts w:ascii="Arial" w:eastAsia="Times New Roman" w:hAnsi="Arial" w:cs="Arial"/>
          <w:sz w:val="24"/>
          <w:lang w:eastAsia="hi-IN" w:bidi="hi-IN"/>
        </w:rPr>
      </w:pPr>
      <w:r w:rsidRPr="00F343DF">
        <w:rPr>
          <w:rFonts w:ascii="Arial" w:eastAsia="Times New Roman" w:hAnsi="Arial" w:cs="Arial"/>
          <w:sz w:val="24"/>
          <w:lang w:eastAsia="hi-IN" w:bidi="hi-IN"/>
        </w:rPr>
        <w:t>Navedeni iznos namijenjen je za isplatu plaća i ostalih rashoda za zaposlene koja su planirana sukladno važećim aktima koji reguliraju radne odnose i prava koja proizlaze iz istih.</w:t>
      </w:r>
      <w:r>
        <w:rPr>
          <w:rFonts w:ascii="Arial" w:eastAsia="Times New Roman" w:hAnsi="Arial" w:cs="Arial"/>
          <w:sz w:val="24"/>
          <w:lang w:eastAsia="hi-IN" w:bidi="hi-IN"/>
        </w:rPr>
        <w:t xml:space="preserve"> </w:t>
      </w:r>
      <w:r w:rsidRPr="00F343DF">
        <w:rPr>
          <w:rFonts w:ascii="Arial" w:eastAsia="Times New Roman" w:hAnsi="Arial" w:cs="Arial"/>
          <w:sz w:val="24"/>
          <w:lang w:eastAsia="hi-IN" w:bidi="hi-IN"/>
        </w:rPr>
        <w:t>U planirani iznos uvrstili smo iznos za plaće 80 stalno zaposlenih radnika u radnoj jedinici Rovinj - Rovigno, kao dio plaće (82,36%) za 22  stalno zaposlena radnika radne jedinice Zajedničke službe, doprinose i dio ostalih  naknada za zaposlene radnike, kao i plaće, doprinose i dio naknada za radnike koji zamjenjuju stalno zaposlene osobe na bolovanju i porođajnom.</w:t>
      </w:r>
      <w:r>
        <w:rPr>
          <w:rFonts w:ascii="Arial" w:eastAsia="Times New Roman" w:hAnsi="Arial" w:cs="Arial"/>
          <w:sz w:val="24"/>
          <w:lang w:eastAsia="hi-IN" w:bidi="hi-IN"/>
        </w:rPr>
        <w:t xml:space="preserve"> </w:t>
      </w:r>
      <w:r w:rsidRPr="00F343DF">
        <w:rPr>
          <w:rFonts w:ascii="Arial" w:eastAsia="Times New Roman" w:hAnsi="Arial" w:cs="Arial"/>
          <w:sz w:val="24"/>
          <w:lang w:eastAsia="hi-IN" w:bidi="hi-IN"/>
        </w:rPr>
        <w:t>U ostalim rashodima za zaposlene planiran je iznos regresa i prigodne nagrade radnicima, otpremnine za 6 djelatnika, 4 naknada za bolovanje duže od 90 dana , smrt radnika i članova uže obitelji.</w:t>
      </w:r>
      <w:r>
        <w:rPr>
          <w:rFonts w:ascii="Arial" w:eastAsia="Times New Roman" w:hAnsi="Arial" w:cs="Arial"/>
          <w:sz w:val="24"/>
          <w:lang w:eastAsia="hi-IN" w:bidi="hi-IN"/>
        </w:rPr>
        <w:t xml:space="preserve"> </w:t>
      </w:r>
      <w:r w:rsidRPr="00F343DF">
        <w:rPr>
          <w:rFonts w:ascii="Arial" w:eastAsia="Times New Roman" w:hAnsi="Arial" w:cs="Arial"/>
          <w:sz w:val="24"/>
          <w:lang w:eastAsia="hi-IN" w:bidi="hi-IN"/>
        </w:rPr>
        <w:t>Iz proračuna grada Rovinja</w:t>
      </w:r>
      <w:r>
        <w:rPr>
          <w:rFonts w:ascii="Arial" w:eastAsia="Times New Roman" w:hAnsi="Arial" w:cs="Arial"/>
          <w:sz w:val="24"/>
          <w:lang w:eastAsia="hi-IN" w:bidi="hi-IN"/>
        </w:rPr>
        <w:t>-</w:t>
      </w:r>
      <w:r w:rsidRPr="00F343DF">
        <w:rPr>
          <w:rFonts w:ascii="Arial" w:eastAsia="Times New Roman" w:hAnsi="Arial" w:cs="Arial"/>
          <w:sz w:val="24"/>
          <w:lang w:eastAsia="hi-IN" w:bidi="hi-IN"/>
        </w:rPr>
        <w:t>Rovigno planiran je</w:t>
      </w:r>
      <w:r>
        <w:rPr>
          <w:rFonts w:ascii="Arial" w:eastAsia="Times New Roman" w:hAnsi="Arial" w:cs="Arial"/>
          <w:sz w:val="24"/>
          <w:lang w:eastAsia="hi-IN" w:bidi="hi-IN"/>
        </w:rPr>
        <w:t xml:space="preserve"> iznos od 11.150,00 eura</w:t>
      </w:r>
      <w:r>
        <w:rPr>
          <w:rFonts w:ascii="Arial" w:eastAsia="Times New Roman" w:hAnsi="Arial" w:cs="Arial"/>
          <w:b/>
          <w:sz w:val="24"/>
          <w:lang w:eastAsia="hi-IN" w:bidi="hi-IN"/>
        </w:rPr>
        <w:t xml:space="preserve"> </w:t>
      </w:r>
      <w:r w:rsidRPr="00A55D71">
        <w:rPr>
          <w:rFonts w:ascii="Arial" w:eastAsia="Times New Roman" w:hAnsi="Arial" w:cs="Arial"/>
          <w:sz w:val="24"/>
          <w:lang w:eastAsia="hi-IN" w:bidi="hi-IN"/>
        </w:rPr>
        <w:t xml:space="preserve">za sistematske preglede radnika </w:t>
      </w:r>
      <w:r>
        <w:rPr>
          <w:rFonts w:ascii="Arial" w:eastAsia="Times New Roman" w:hAnsi="Arial" w:cs="Arial"/>
          <w:sz w:val="24"/>
          <w:lang w:eastAsia="hi-IN" w:bidi="hi-IN"/>
        </w:rPr>
        <w:t>.</w:t>
      </w:r>
    </w:p>
    <w:p w14:paraId="54096167" w14:textId="77777777" w:rsidR="00E541EE" w:rsidRPr="001D3E31" w:rsidRDefault="00E541EE" w:rsidP="00E541EE">
      <w:pPr>
        <w:shd w:val="clear" w:color="auto" w:fill="FFFFFF"/>
        <w:suppressAutoHyphens/>
        <w:contextualSpacing/>
        <w:jc w:val="both"/>
        <w:rPr>
          <w:rFonts w:ascii="Arial" w:eastAsia="Times New Roman" w:hAnsi="Arial" w:cs="Arial"/>
          <w:sz w:val="24"/>
          <w:lang w:eastAsia="hi-IN" w:bidi="hi-IN"/>
        </w:rPr>
      </w:pPr>
      <w:r>
        <w:rPr>
          <w:rFonts w:ascii="Arial" w:eastAsia="Times New Roman" w:hAnsi="Arial" w:cs="Arial"/>
          <w:sz w:val="24"/>
          <w:lang w:eastAsia="hi-IN" w:bidi="hi-IN"/>
        </w:rPr>
        <w:t xml:space="preserve">Iz proračuna grada Rovinja-Rovigno planiran je i iznos od </w:t>
      </w:r>
      <w:r w:rsidRPr="005C0AFC">
        <w:rPr>
          <w:rFonts w:ascii="Arial" w:eastAsia="Times New Roman" w:hAnsi="Arial" w:cs="Arial"/>
          <w:sz w:val="24"/>
          <w:lang w:eastAsia="hi-IN" w:bidi="hi-IN"/>
        </w:rPr>
        <w:t>1.500</w:t>
      </w:r>
      <w:r>
        <w:rPr>
          <w:rFonts w:ascii="Arial" w:eastAsia="Times New Roman" w:hAnsi="Arial" w:cs="Arial"/>
          <w:sz w:val="24"/>
          <w:lang w:eastAsia="hi-IN" w:bidi="hi-IN"/>
        </w:rPr>
        <w:t>,00</w:t>
      </w:r>
      <w:r w:rsidRPr="005C0AFC">
        <w:rPr>
          <w:rFonts w:ascii="Arial" w:eastAsia="Times New Roman" w:hAnsi="Arial" w:cs="Arial"/>
          <w:sz w:val="24"/>
          <w:lang w:eastAsia="hi-IN" w:bidi="hi-IN"/>
        </w:rPr>
        <w:t xml:space="preserve"> </w:t>
      </w:r>
      <w:r>
        <w:rPr>
          <w:rFonts w:ascii="Arial" w:eastAsia="Times New Roman" w:hAnsi="Arial" w:cs="Arial"/>
          <w:sz w:val="24"/>
          <w:lang w:eastAsia="hi-IN" w:bidi="hi-IN"/>
        </w:rPr>
        <w:t>eura na ima pružanja usluga iz oblasti zaštite podataka-GDPR.</w:t>
      </w:r>
    </w:p>
    <w:p w14:paraId="06EA8D61" w14:textId="77777777" w:rsidR="00E541EE" w:rsidRPr="001D3E31" w:rsidRDefault="00E541EE" w:rsidP="00E541EE">
      <w:pPr>
        <w:shd w:val="clear" w:color="auto" w:fill="FFFFFF"/>
        <w:suppressAutoHyphens/>
        <w:contextualSpacing/>
        <w:jc w:val="both"/>
        <w:rPr>
          <w:rFonts w:ascii="Arial" w:eastAsia="Times New Roman" w:hAnsi="Arial" w:cs="Arial"/>
          <w:sz w:val="24"/>
          <w:lang w:eastAsia="hi-IN" w:bidi="hi-IN"/>
        </w:rPr>
      </w:pPr>
      <w:r w:rsidRPr="001D3E31">
        <w:rPr>
          <w:rFonts w:ascii="Arial" w:eastAsia="Times New Roman" w:hAnsi="Arial" w:cs="Arial"/>
          <w:sz w:val="24"/>
          <w:lang w:eastAsia="hi-IN" w:bidi="hi-IN"/>
        </w:rPr>
        <w:t>Iz nenadležnih proračuna općina Kanfanar u 202</w:t>
      </w:r>
      <w:r>
        <w:rPr>
          <w:rFonts w:ascii="Arial" w:eastAsia="Times New Roman" w:hAnsi="Arial" w:cs="Arial"/>
          <w:sz w:val="24"/>
          <w:lang w:eastAsia="hi-IN" w:bidi="hi-IN"/>
        </w:rPr>
        <w:t>6</w:t>
      </w:r>
      <w:r w:rsidRPr="001D3E31">
        <w:rPr>
          <w:rFonts w:ascii="Arial" w:eastAsia="Times New Roman" w:hAnsi="Arial" w:cs="Arial"/>
          <w:sz w:val="24"/>
          <w:lang w:eastAsia="hi-IN" w:bidi="hi-IN"/>
        </w:rPr>
        <w:t xml:space="preserve">. godini planiran je iznos od za plaće, doprinose naknada za </w:t>
      </w:r>
      <w:r>
        <w:rPr>
          <w:rFonts w:ascii="Arial" w:eastAsia="Times New Roman" w:hAnsi="Arial" w:cs="Arial"/>
          <w:sz w:val="24"/>
          <w:lang w:eastAsia="hi-IN" w:bidi="hi-IN"/>
        </w:rPr>
        <w:t>11</w:t>
      </w:r>
      <w:r w:rsidRPr="001D3E31">
        <w:rPr>
          <w:rFonts w:ascii="Arial" w:eastAsia="Times New Roman" w:hAnsi="Arial" w:cs="Arial"/>
          <w:sz w:val="24"/>
          <w:lang w:eastAsia="hi-IN" w:bidi="hi-IN"/>
        </w:rPr>
        <w:t xml:space="preserve"> radnika kao  i dio radnika iz RJ Zajedničke službe u postotku određenom prema odnosu odgojnih skupina na području djelovanja za općinu Kanfanar</w:t>
      </w:r>
      <w:r>
        <w:rPr>
          <w:rFonts w:ascii="Arial" w:eastAsia="Times New Roman" w:hAnsi="Arial" w:cs="Arial"/>
          <w:sz w:val="24"/>
          <w:lang w:eastAsia="hi-IN" w:bidi="hi-IN"/>
        </w:rPr>
        <w:t xml:space="preserve"> kao  i za sistematske preglede 11 radnika dok je z</w:t>
      </w:r>
      <w:r w:rsidRPr="001D3E31">
        <w:rPr>
          <w:rFonts w:ascii="Arial" w:eastAsia="Times New Roman" w:hAnsi="Arial" w:cs="Arial"/>
          <w:sz w:val="24"/>
          <w:lang w:eastAsia="hi-IN" w:bidi="hi-IN"/>
        </w:rPr>
        <w:t>a općinu Bale-Valle planiran je iznos za plaće, doprinose naknada za 9 radnika kao  i dio radnika iz RJ Zajedničke službe u postotku određenom prema odnosu odgojnih</w:t>
      </w:r>
      <w:r>
        <w:rPr>
          <w:rFonts w:ascii="Arial" w:eastAsia="Times New Roman" w:hAnsi="Arial" w:cs="Arial"/>
          <w:sz w:val="24"/>
          <w:lang w:eastAsia="hi-IN" w:bidi="hi-IN"/>
        </w:rPr>
        <w:t xml:space="preserve"> skupina na području djelovanja za općinu Bale kao  i za sistematske preglede 9 radnika. Ukupno se iz sredstava općina Kanfanar i Bale osigurava iznos od 815.402,00 eura.</w:t>
      </w:r>
    </w:p>
    <w:p w14:paraId="6F3E775C" w14:textId="77777777" w:rsidR="00E541EE" w:rsidRPr="001D3E31" w:rsidRDefault="00E541EE" w:rsidP="00E541EE">
      <w:pPr>
        <w:shd w:val="clear" w:color="auto" w:fill="FFFFFF"/>
        <w:suppressAutoHyphens/>
        <w:jc w:val="both"/>
        <w:rPr>
          <w:rFonts w:ascii="Arial" w:eastAsia="Times New Roman" w:hAnsi="Arial" w:cs="Arial"/>
          <w:sz w:val="24"/>
          <w:lang w:eastAsia="hi-IN" w:bidi="hi-IN"/>
        </w:rPr>
      </w:pPr>
      <w:r w:rsidRPr="001D3E31">
        <w:rPr>
          <w:rFonts w:ascii="Arial" w:eastAsia="Times New Roman" w:hAnsi="Arial" w:cs="Arial"/>
          <w:sz w:val="24"/>
          <w:lang w:eastAsia="hi-IN" w:bidi="hi-IN"/>
        </w:rPr>
        <w:t>Vlastita sredstva</w:t>
      </w:r>
      <w:r>
        <w:rPr>
          <w:rFonts w:ascii="Arial" w:eastAsia="Times New Roman" w:hAnsi="Arial" w:cs="Arial"/>
          <w:sz w:val="24"/>
          <w:lang w:eastAsia="hi-IN" w:bidi="hi-IN"/>
        </w:rPr>
        <w:t xml:space="preserve"> (prihodi od participacije roditelja u cijeni vrtića) </w:t>
      </w:r>
      <w:r w:rsidRPr="001D3E31">
        <w:rPr>
          <w:rFonts w:ascii="Arial" w:eastAsia="Times New Roman" w:hAnsi="Arial" w:cs="Arial"/>
          <w:sz w:val="24"/>
          <w:lang w:eastAsia="hi-IN" w:bidi="hi-IN"/>
        </w:rPr>
        <w:t xml:space="preserve"> planirana su u iznosu od </w:t>
      </w:r>
      <w:r>
        <w:rPr>
          <w:rFonts w:ascii="Arial" w:eastAsia="Times New Roman" w:hAnsi="Arial" w:cs="Arial"/>
          <w:sz w:val="24"/>
          <w:lang w:eastAsia="hi-IN" w:bidi="hi-IN"/>
        </w:rPr>
        <w:t>622.700,0</w:t>
      </w:r>
      <w:r w:rsidRPr="005C0AFC">
        <w:rPr>
          <w:rFonts w:ascii="Arial" w:eastAsia="Times New Roman" w:hAnsi="Arial" w:cs="Arial"/>
          <w:sz w:val="24"/>
          <w:lang w:eastAsia="hi-IN" w:bidi="hi-IN"/>
        </w:rPr>
        <w:t>0</w:t>
      </w:r>
      <w:r>
        <w:rPr>
          <w:rFonts w:ascii="Arial" w:eastAsia="Times New Roman" w:hAnsi="Arial" w:cs="Arial"/>
          <w:sz w:val="24"/>
          <w:lang w:eastAsia="hi-IN" w:bidi="hi-IN"/>
        </w:rPr>
        <w:t xml:space="preserve"> eura</w:t>
      </w:r>
      <w:r w:rsidRPr="001D3E31">
        <w:rPr>
          <w:rFonts w:ascii="Arial" w:eastAsia="Times New Roman" w:hAnsi="Arial" w:cs="Arial"/>
          <w:sz w:val="24"/>
          <w:lang w:eastAsia="hi-IN" w:bidi="hi-IN"/>
        </w:rPr>
        <w:t xml:space="preserve"> i biti će utrošena za financiranje odgojno obrazovnog rada u vrtiću i jaslicama, za stručno usavršavanje rad</w:t>
      </w:r>
      <w:r>
        <w:rPr>
          <w:rFonts w:ascii="Arial" w:eastAsia="Times New Roman" w:hAnsi="Arial" w:cs="Arial"/>
          <w:sz w:val="24"/>
          <w:lang w:eastAsia="hi-IN" w:bidi="hi-IN"/>
        </w:rPr>
        <w:t xml:space="preserve">nika, njegu i </w:t>
      </w:r>
      <w:r w:rsidRPr="001D3E31">
        <w:rPr>
          <w:rFonts w:ascii="Arial" w:eastAsia="Times New Roman" w:hAnsi="Arial" w:cs="Arial"/>
          <w:sz w:val="24"/>
          <w:lang w:eastAsia="hi-IN" w:bidi="hi-IN"/>
        </w:rPr>
        <w:t>skrb djece u ustanovi, prehranu djece kao i podmirenje redovnih režijsko materijalnih izdataka koji nastaju u redovnom  poslovanju Ustanove te za nabavku opreme.</w:t>
      </w:r>
    </w:p>
    <w:p w14:paraId="4A75FC4F"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sz w:val="24"/>
          <w:szCs w:val="24"/>
        </w:rPr>
        <w:t xml:space="preserve">Opći cilj: </w:t>
      </w:r>
      <w:r w:rsidRPr="00AC2206">
        <w:rPr>
          <w:rFonts w:ascii="Arial" w:eastAsia="Times New Roman" w:hAnsi="Arial" w:cs="Arial"/>
          <w:sz w:val="24"/>
          <w:szCs w:val="24"/>
        </w:rPr>
        <w:t>osiguravanje rada i funkcioniranja ustanove u provedbi odgojno obrazovnog rada.</w:t>
      </w:r>
    </w:p>
    <w:p w14:paraId="2B5D2E27"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sz w:val="24"/>
          <w:szCs w:val="24"/>
        </w:rPr>
        <w:t xml:space="preserve">Pokazatelj uspješnosti: </w:t>
      </w:r>
      <w:r w:rsidRPr="00AC2206">
        <w:rPr>
          <w:rFonts w:ascii="Arial" w:eastAsia="Times New Roman" w:hAnsi="Arial" w:cs="Arial"/>
          <w:sz w:val="24"/>
          <w:szCs w:val="24"/>
        </w:rPr>
        <w:t>nesmetano odvijanje djelatnosti ustanove, obuhvat djece.</w:t>
      </w:r>
    </w:p>
    <w:p w14:paraId="30C064A3" w14:textId="77777777" w:rsidR="00E541EE" w:rsidRPr="00AC2206" w:rsidRDefault="00E541EE" w:rsidP="00E541EE">
      <w:pPr>
        <w:jc w:val="both"/>
        <w:rPr>
          <w:rFonts w:ascii="Arial" w:eastAsia="Times New Roman" w:hAnsi="Arial" w:cs="Arial"/>
          <w:sz w:val="24"/>
          <w:szCs w:val="24"/>
        </w:rPr>
      </w:pPr>
    </w:p>
    <w:p w14:paraId="5FE18C37"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AC2206">
        <w:rPr>
          <w:rFonts w:ascii="Arial" w:eastAsia="Times New Roman" w:hAnsi="Arial" w:cs="Arial"/>
          <w:b/>
          <w:bCs/>
          <w:sz w:val="24"/>
          <w:szCs w:val="24"/>
        </w:rPr>
        <w:t>A 103507: Upravno vijeće = 8.000,00 EUR</w:t>
      </w:r>
    </w:p>
    <w:p w14:paraId="6ACD135D"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Zakonska osnova:</w:t>
      </w:r>
      <w:r w:rsidRPr="00AC2206">
        <w:rPr>
          <w:rFonts w:ascii="Arial" w:eastAsia="Times New Roman" w:hAnsi="Arial" w:cs="Arial"/>
          <w:sz w:val="24"/>
          <w:szCs w:val="24"/>
        </w:rPr>
        <w:t xml:space="preserve"> Zakon o predškolskom odgoju i obrazovanju, Zakon o ustanovama.</w:t>
      </w:r>
    </w:p>
    <w:p w14:paraId="586CBA83"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sz w:val="24"/>
          <w:szCs w:val="24"/>
        </w:rPr>
        <w:t>Opis:</w:t>
      </w:r>
      <w:r w:rsidRPr="00AC2206">
        <w:rPr>
          <w:rFonts w:ascii="Arial" w:eastAsia="Times New Roman" w:hAnsi="Arial" w:cs="Arial"/>
          <w:sz w:val="24"/>
          <w:szCs w:val="24"/>
        </w:rPr>
        <w:t xml:space="preserve"> ustanovom upravlja Upravno vijeće kojim se članovima isplaćuje naknada prema održanim sjednicama i prisustvu članova na sjednicama.</w:t>
      </w:r>
    </w:p>
    <w:p w14:paraId="5E3C2ACD" w14:textId="77777777" w:rsidR="00E541EE" w:rsidRPr="00AC2206" w:rsidRDefault="00E541EE" w:rsidP="00E541EE">
      <w:pPr>
        <w:jc w:val="both"/>
        <w:rPr>
          <w:rFonts w:ascii="Arial" w:eastAsia="Times New Roman" w:hAnsi="Arial" w:cs="Arial"/>
          <w:bCs/>
          <w:sz w:val="24"/>
          <w:szCs w:val="24"/>
        </w:rPr>
      </w:pPr>
      <w:r w:rsidRPr="00AC2206">
        <w:rPr>
          <w:rFonts w:ascii="Arial" w:hAnsi="Arial" w:cs="Arial"/>
          <w:b/>
          <w:sz w:val="24"/>
          <w:szCs w:val="24"/>
        </w:rPr>
        <w:t>Opći cilj</w:t>
      </w:r>
      <w:r w:rsidRPr="00AC2206">
        <w:rPr>
          <w:rFonts w:ascii="Arial" w:eastAsia="Times New Roman" w:hAnsi="Arial" w:cs="Arial"/>
          <w:b/>
          <w:bCs/>
          <w:sz w:val="24"/>
          <w:szCs w:val="24"/>
        </w:rPr>
        <w:t>:</w:t>
      </w:r>
      <w:r w:rsidRPr="00AC2206">
        <w:rPr>
          <w:rFonts w:ascii="Arial" w:eastAsia="Times New Roman" w:hAnsi="Arial" w:cs="Arial"/>
          <w:bCs/>
          <w:sz w:val="24"/>
          <w:szCs w:val="24"/>
        </w:rPr>
        <w:t xml:space="preserve"> upravljanje predškolskom ustanovom.</w:t>
      </w:r>
    </w:p>
    <w:p w14:paraId="4542D3F0" w14:textId="77777777" w:rsidR="00E541EE" w:rsidRPr="00AC2206" w:rsidRDefault="00E541EE" w:rsidP="00E541EE">
      <w:pPr>
        <w:jc w:val="both"/>
        <w:rPr>
          <w:rFonts w:ascii="Arial" w:hAnsi="Arial" w:cs="Arial"/>
          <w:sz w:val="24"/>
          <w:szCs w:val="24"/>
        </w:rPr>
      </w:pPr>
      <w:r w:rsidRPr="00AC2206">
        <w:rPr>
          <w:rFonts w:ascii="Arial" w:hAnsi="Arial" w:cs="Arial"/>
          <w:b/>
          <w:sz w:val="24"/>
          <w:szCs w:val="24"/>
        </w:rPr>
        <w:t xml:space="preserve">Pokazatelj uspješnosti: </w:t>
      </w:r>
      <w:r w:rsidRPr="00AC2206">
        <w:rPr>
          <w:rFonts w:ascii="Arial" w:hAnsi="Arial" w:cs="Arial"/>
          <w:sz w:val="24"/>
          <w:szCs w:val="24"/>
        </w:rPr>
        <w:t>pravovremeno donošenje odluka nužnih za redovito poslovanje ustanove.</w:t>
      </w:r>
    </w:p>
    <w:p w14:paraId="2FC97362" w14:textId="77777777" w:rsidR="00E541EE" w:rsidRPr="00AC2206" w:rsidRDefault="00E541EE" w:rsidP="00E541EE">
      <w:pPr>
        <w:rPr>
          <w:rFonts w:ascii="Arial" w:eastAsia="Times New Roman" w:hAnsi="Arial" w:cs="Arial"/>
          <w:sz w:val="24"/>
          <w:szCs w:val="24"/>
        </w:rPr>
      </w:pPr>
    </w:p>
    <w:p w14:paraId="5E5C3E3B"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rPr>
          <w:rFonts w:ascii="Arial" w:eastAsia="Times New Roman" w:hAnsi="Arial" w:cs="Arial"/>
          <w:b/>
          <w:bCs/>
          <w:sz w:val="24"/>
          <w:szCs w:val="24"/>
        </w:rPr>
      </w:pPr>
      <w:r w:rsidRPr="00AC2206">
        <w:rPr>
          <w:rFonts w:ascii="Arial" w:eastAsia="Times New Roman" w:hAnsi="Arial" w:cs="Arial"/>
          <w:b/>
          <w:bCs/>
          <w:sz w:val="24"/>
          <w:szCs w:val="24"/>
        </w:rPr>
        <w:t xml:space="preserve">A 103508: Pomoćnici za djecu sa teškoćama u razvoju = </w:t>
      </w:r>
      <w:r>
        <w:rPr>
          <w:rFonts w:ascii="Arial" w:eastAsia="Times New Roman" w:hAnsi="Arial" w:cs="Arial"/>
          <w:b/>
          <w:bCs/>
          <w:sz w:val="24"/>
          <w:szCs w:val="24"/>
        </w:rPr>
        <w:t>18</w:t>
      </w:r>
      <w:r w:rsidRPr="00AC2206">
        <w:rPr>
          <w:rFonts w:ascii="Arial" w:eastAsia="Times New Roman" w:hAnsi="Arial" w:cs="Arial"/>
          <w:b/>
          <w:bCs/>
          <w:sz w:val="24"/>
          <w:szCs w:val="24"/>
        </w:rPr>
        <w:t>.000,00 EUR</w:t>
      </w:r>
    </w:p>
    <w:p w14:paraId="13CC5027" w14:textId="77777777" w:rsidR="00E541EE" w:rsidRPr="00AC2206" w:rsidRDefault="00E541EE" w:rsidP="00E541EE">
      <w:pPr>
        <w:shd w:val="clear" w:color="auto" w:fill="FFFFFF"/>
        <w:suppressAutoHyphens/>
        <w:jc w:val="both"/>
        <w:rPr>
          <w:rFonts w:ascii="Arial" w:eastAsia="Times New Roman" w:hAnsi="Arial" w:cs="Arial"/>
          <w:sz w:val="24"/>
          <w:lang w:eastAsia="hi-IN" w:bidi="hi-IN"/>
        </w:rPr>
      </w:pPr>
      <w:r w:rsidRPr="00AC2206">
        <w:rPr>
          <w:rFonts w:ascii="Arial" w:eastAsia="Times New Roman" w:hAnsi="Arial" w:cs="Arial"/>
          <w:b/>
          <w:sz w:val="24"/>
          <w:szCs w:val="24"/>
        </w:rPr>
        <w:t xml:space="preserve">Zakonska osnova: </w:t>
      </w:r>
      <w:r w:rsidRPr="00AC2206">
        <w:rPr>
          <w:rFonts w:ascii="Arial" w:eastAsia="Times New Roman" w:hAnsi="Arial" w:cs="Arial"/>
          <w:sz w:val="24"/>
          <w:lang w:eastAsia="hi-IN" w:bidi="hi-IN"/>
        </w:rPr>
        <w:t xml:space="preserve">Zakon o predškolskom odgoju i obrazovanju, Godišnji plan i program rada ustanove za 2024./2025. i Kurikulum Dječjeg vrtića za 2024./2025. </w:t>
      </w:r>
    </w:p>
    <w:p w14:paraId="202B9F2B"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sz w:val="24"/>
          <w:szCs w:val="24"/>
        </w:rPr>
        <w:t>Opis:</w:t>
      </w:r>
      <w:r w:rsidRPr="00AC2206">
        <w:rPr>
          <w:rFonts w:ascii="Arial" w:eastAsia="Times New Roman" w:hAnsi="Arial" w:cs="Arial"/>
          <w:sz w:val="24"/>
          <w:szCs w:val="24"/>
        </w:rPr>
        <w:t xml:space="preserve"> u skladu sa pedagoškim standardima u programe redovitih vrtića planirano je uključivanje djece s teškoćama u razvoju (inkluzija).</w:t>
      </w:r>
    </w:p>
    <w:p w14:paraId="4485F489"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sz w:val="24"/>
          <w:szCs w:val="24"/>
        </w:rPr>
        <w:t xml:space="preserve">Osnovna uloga uključivanja djece u vrtić je socijalizacija i kontakt s vršnjacima. Stručni tim vrtića je na osnovu praćenja djece uočio odstupanja u psihofizičkom razvoju kod 8 djece za većinu kojih je navedeno potvrđeno i kroz tijela vještačenja. Valja naglasiti da se boravak te djece planira u skraćenom vremenu, a da bi njihov boravak u odgojnoj skupini bio što kvalitetniji, kako za njih tako i za ostalu djecu, potrebno je angažirati pomagača u grupi. U tu je svrhu planiran iznos od </w:t>
      </w:r>
      <w:r>
        <w:rPr>
          <w:rFonts w:ascii="Arial" w:eastAsia="Times New Roman" w:hAnsi="Arial" w:cs="Arial"/>
          <w:sz w:val="24"/>
          <w:szCs w:val="24"/>
        </w:rPr>
        <w:t>18</w:t>
      </w:r>
      <w:r w:rsidRPr="00AC2206">
        <w:rPr>
          <w:rFonts w:ascii="Arial" w:eastAsia="Times New Roman" w:hAnsi="Arial" w:cs="Arial"/>
          <w:sz w:val="24"/>
          <w:szCs w:val="24"/>
        </w:rPr>
        <w:t xml:space="preserve">.000,00 </w:t>
      </w:r>
      <w:r>
        <w:rPr>
          <w:rFonts w:ascii="Arial" w:eastAsia="Times New Roman" w:hAnsi="Arial" w:cs="Arial"/>
          <w:sz w:val="24"/>
          <w:szCs w:val="24"/>
        </w:rPr>
        <w:t>eura</w:t>
      </w:r>
      <w:r w:rsidRPr="00AC2206">
        <w:rPr>
          <w:rFonts w:ascii="Arial" w:eastAsia="Times New Roman" w:hAnsi="Arial" w:cs="Arial"/>
          <w:sz w:val="24"/>
          <w:szCs w:val="24"/>
        </w:rPr>
        <w:t xml:space="preserve"> prema iskazanim potrebama i obračunu ustanove za pomagače koji će biti angažirani ugovorom o  djelu.</w:t>
      </w:r>
    </w:p>
    <w:p w14:paraId="62030349" w14:textId="77777777" w:rsidR="00E541EE" w:rsidRPr="00AC2206" w:rsidRDefault="00E541EE" w:rsidP="00E541EE">
      <w:pPr>
        <w:shd w:val="clear" w:color="auto" w:fill="FFFFFF"/>
        <w:suppressAutoHyphens/>
        <w:jc w:val="both"/>
        <w:rPr>
          <w:rFonts w:ascii="Times New Roman" w:eastAsia="Times New Roman" w:hAnsi="Times New Roman" w:cs="Times New Roman"/>
          <w:sz w:val="24"/>
          <w:lang w:eastAsia="hi-IN" w:bidi="hi-IN"/>
        </w:rPr>
      </w:pPr>
      <w:r w:rsidRPr="00AC2206">
        <w:rPr>
          <w:rFonts w:ascii="Arial" w:eastAsia="Times New Roman" w:hAnsi="Arial" w:cs="Arial"/>
          <w:b/>
          <w:sz w:val="24"/>
          <w:szCs w:val="24"/>
        </w:rPr>
        <w:t>Opći cilj:</w:t>
      </w:r>
      <w:r w:rsidRPr="00AC2206">
        <w:rPr>
          <w:rFonts w:ascii="Arial" w:eastAsia="Times New Roman" w:hAnsi="Arial" w:cs="Arial"/>
          <w:sz w:val="24"/>
          <w:lang w:eastAsia="hi-IN" w:bidi="hi-IN"/>
        </w:rPr>
        <w:t xml:space="preserve"> uključivanjem djece s poteškoćama u razvoju u redovite odgojne skupine u pratnji osobnih asistenata omogućuje se djeci socijalizacija te praćenje aktivnosti sukladno njihovim razvojnim mogućnostima. Boravkom djece u vrtiću stvaraju se preduvjeti za njihovo uključenje u redoviti školski sustav prema prilagođenim programima</w:t>
      </w:r>
      <w:r w:rsidRPr="00AC2206">
        <w:rPr>
          <w:rFonts w:ascii="Times New Roman" w:eastAsia="Times New Roman" w:hAnsi="Times New Roman" w:cs="Times New Roman"/>
          <w:sz w:val="24"/>
          <w:lang w:eastAsia="hi-IN" w:bidi="hi-IN"/>
        </w:rPr>
        <w:t>.</w:t>
      </w:r>
    </w:p>
    <w:p w14:paraId="28A1E75B"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sz w:val="24"/>
          <w:szCs w:val="24"/>
        </w:rPr>
        <w:t xml:space="preserve">Pokazatelj uspješnosti: </w:t>
      </w:r>
      <w:r w:rsidRPr="00AC2206">
        <w:rPr>
          <w:rFonts w:ascii="Arial" w:eastAsia="Times New Roman" w:hAnsi="Arial" w:cs="Arial"/>
          <w:sz w:val="24"/>
          <w:szCs w:val="24"/>
        </w:rPr>
        <w:t>broj uključene djece  sa poteškoćama u redovitim odgojnim skupinama te praćenje pokazatelja.</w:t>
      </w:r>
    </w:p>
    <w:p w14:paraId="66354DBF" w14:textId="77777777" w:rsidR="00E541EE" w:rsidRPr="00AC2206" w:rsidRDefault="00E541EE" w:rsidP="00E541EE">
      <w:pPr>
        <w:jc w:val="both"/>
        <w:rPr>
          <w:rFonts w:ascii="Arial" w:eastAsia="Times New Roman" w:hAnsi="Arial" w:cs="Arial"/>
          <w:sz w:val="24"/>
          <w:szCs w:val="24"/>
        </w:rPr>
      </w:pPr>
    </w:p>
    <w:p w14:paraId="25F4815D"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AC2206">
        <w:rPr>
          <w:rFonts w:ascii="Arial" w:eastAsia="Times New Roman" w:hAnsi="Arial" w:cs="Arial"/>
          <w:b/>
          <w:bCs/>
          <w:sz w:val="24"/>
          <w:szCs w:val="24"/>
        </w:rPr>
        <w:t xml:space="preserve">A 103509: Program predškole = </w:t>
      </w:r>
      <w:r w:rsidRPr="00C36107">
        <w:rPr>
          <w:rFonts w:ascii="Arial" w:eastAsia="Times New Roman" w:hAnsi="Arial" w:cs="Arial"/>
          <w:b/>
          <w:bCs/>
          <w:sz w:val="24"/>
          <w:szCs w:val="24"/>
        </w:rPr>
        <w:t>10.000,00 EUR</w:t>
      </w:r>
    </w:p>
    <w:p w14:paraId="3013929F" w14:textId="77777777" w:rsidR="00E541EE" w:rsidRPr="00AC2206" w:rsidRDefault="00E541EE" w:rsidP="00E541EE">
      <w:pPr>
        <w:shd w:val="clear" w:color="auto" w:fill="FFFFFF"/>
        <w:suppressAutoHyphens/>
        <w:jc w:val="both"/>
        <w:rPr>
          <w:rFonts w:ascii="Times New Roman" w:eastAsia="Times New Roman" w:hAnsi="Times New Roman" w:cs="Times New Roman"/>
          <w:sz w:val="24"/>
          <w:lang w:eastAsia="hi-IN" w:bidi="hi-IN"/>
        </w:rPr>
      </w:pPr>
      <w:r w:rsidRPr="00AC2206">
        <w:rPr>
          <w:rFonts w:ascii="Arial" w:eastAsia="Times New Roman" w:hAnsi="Arial" w:cs="Arial"/>
          <w:b/>
          <w:sz w:val="24"/>
          <w:szCs w:val="24"/>
        </w:rPr>
        <w:t xml:space="preserve">Zakonska osnova: </w:t>
      </w:r>
      <w:r w:rsidRPr="00AC2206">
        <w:rPr>
          <w:rFonts w:ascii="Arial" w:eastAsia="Times New Roman" w:hAnsi="Arial" w:cs="Arial"/>
          <w:sz w:val="24"/>
          <w:lang w:eastAsia="hi-IN" w:bidi="hi-IN"/>
        </w:rPr>
        <w:t xml:space="preserve">Zakon o predškolskom odgoju i obrazovanju, Pravilnik o načinu raspolaganja sredstvima državnog proračuna i mjerilima sufinanciranja programa predškolskog odgoja. </w:t>
      </w:r>
    </w:p>
    <w:p w14:paraId="79EC9C53"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sz w:val="24"/>
          <w:szCs w:val="24"/>
        </w:rPr>
        <w:t>Opis:</w:t>
      </w:r>
      <w:r w:rsidRPr="00AC2206">
        <w:rPr>
          <w:rFonts w:ascii="Arial" w:eastAsia="Times New Roman" w:hAnsi="Arial" w:cs="Arial"/>
          <w:sz w:val="24"/>
          <w:szCs w:val="24"/>
        </w:rPr>
        <w:t xml:space="preserve"> nadležno Ministarstvo osigurava posebnom Odlukom sredstva za provedbu programa predškole koja se ustanovama doznačuju putem proračuna Osnivača. </w:t>
      </w:r>
      <w:r w:rsidRPr="00AC2206">
        <w:rPr>
          <w:rFonts w:ascii="Arial" w:eastAsia="Times New Roman" w:hAnsi="Arial" w:cs="Arial"/>
          <w:sz w:val="24"/>
          <w:lang w:eastAsia="hi-IN" w:bidi="hi-IN"/>
        </w:rPr>
        <w:t xml:space="preserve">Sredstva u iznosu od </w:t>
      </w:r>
      <w:r>
        <w:rPr>
          <w:rFonts w:ascii="Arial" w:eastAsia="Times New Roman" w:hAnsi="Arial" w:cs="Arial"/>
          <w:sz w:val="24"/>
          <w:lang w:eastAsia="hi-IN" w:bidi="hi-IN"/>
        </w:rPr>
        <w:t>10</w:t>
      </w:r>
      <w:r w:rsidRPr="00AC2206">
        <w:rPr>
          <w:rFonts w:ascii="Arial" w:eastAsia="Times New Roman" w:hAnsi="Arial" w:cs="Arial"/>
          <w:sz w:val="24"/>
          <w:lang w:eastAsia="hi-IN" w:bidi="hi-IN"/>
        </w:rPr>
        <w:t xml:space="preserve">.000,00 </w:t>
      </w:r>
      <w:r>
        <w:rPr>
          <w:rFonts w:ascii="Arial" w:eastAsia="Times New Roman" w:hAnsi="Arial" w:cs="Arial"/>
          <w:sz w:val="24"/>
          <w:lang w:eastAsia="hi-IN" w:bidi="hi-IN"/>
        </w:rPr>
        <w:t>eura</w:t>
      </w:r>
      <w:r w:rsidRPr="00AC2206">
        <w:rPr>
          <w:rFonts w:ascii="Arial" w:eastAsia="Times New Roman" w:hAnsi="Arial" w:cs="Arial"/>
          <w:sz w:val="24"/>
          <w:lang w:eastAsia="hi-IN" w:bidi="hi-IN"/>
        </w:rPr>
        <w:t xml:space="preserve"> planirana su za nabavku uredskog materijala za djecu, potrošno didaktičkog materijala kao i igračaka.</w:t>
      </w:r>
    </w:p>
    <w:p w14:paraId="05360FB2"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sz w:val="24"/>
          <w:szCs w:val="24"/>
        </w:rPr>
        <w:t xml:space="preserve">Opći cilj: </w:t>
      </w:r>
      <w:r w:rsidRPr="00AC2206">
        <w:rPr>
          <w:rFonts w:ascii="Arial" w:eastAsia="Times New Roman" w:hAnsi="Arial" w:cs="Arial"/>
          <w:sz w:val="24"/>
          <w:szCs w:val="24"/>
        </w:rPr>
        <w:t>priprema djece za polazak u školu.</w:t>
      </w:r>
      <w:r w:rsidRPr="00AC2206">
        <w:rPr>
          <w:rFonts w:ascii="Arial" w:eastAsia="Times New Roman" w:hAnsi="Arial" w:cs="Arial"/>
          <w:b/>
          <w:sz w:val="24"/>
          <w:szCs w:val="24"/>
        </w:rPr>
        <w:t xml:space="preserve"> </w:t>
      </w:r>
    </w:p>
    <w:p w14:paraId="0604D6BD"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sz w:val="24"/>
          <w:szCs w:val="24"/>
        </w:rPr>
        <w:t xml:space="preserve">Pokazatelj uspješnosti: </w:t>
      </w:r>
      <w:r w:rsidRPr="00AC2206">
        <w:rPr>
          <w:rFonts w:ascii="Arial" w:eastAsia="Times New Roman" w:hAnsi="Arial" w:cs="Arial"/>
          <w:sz w:val="24"/>
          <w:szCs w:val="24"/>
        </w:rPr>
        <w:t>proveden program i obuhvat djece.</w:t>
      </w:r>
    </w:p>
    <w:p w14:paraId="02AED78C" w14:textId="77777777" w:rsidR="00E541EE" w:rsidRPr="00AC2206" w:rsidRDefault="00E541EE" w:rsidP="00E541EE">
      <w:pPr>
        <w:jc w:val="both"/>
        <w:rPr>
          <w:rFonts w:ascii="Arial" w:eastAsia="Times New Roman" w:hAnsi="Arial" w:cs="Arial"/>
          <w:b/>
          <w:sz w:val="24"/>
          <w:szCs w:val="24"/>
        </w:rPr>
      </w:pPr>
    </w:p>
    <w:p w14:paraId="088FC2E5"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AC2206">
        <w:rPr>
          <w:rFonts w:ascii="Arial" w:eastAsia="Times New Roman" w:hAnsi="Arial" w:cs="Arial"/>
          <w:b/>
          <w:bCs/>
          <w:sz w:val="24"/>
          <w:szCs w:val="24"/>
        </w:rPr>
        <w:t xml:space="preserve">A 103510: Program za djecu s poteškoćama </w:t>
      </w:r>
      <w:r w:rsidRPr="00C36107">
        <w:rPr>
          <w:rFonts w:ascii="Arial" w:eastAsia="Times New Roman" w:hAnsi="Arial" w:cs="Arial"/>
          <w:b/>
          <w:bCs/>
          <w:sz w:val="24"/>
          <w:szCs w:val="24"/>
        </w:rPr>
        <w:t>= 10.000,00 EUR</w:t>
      </w:r>
    </w:p>
    <w:p w14:paraId="0E34850B" w14:textId="77777777" w:rsidR="00E541EE" w:rsidRPr="00AC2206" w:rsidRDefault="00E541EE" w:rsidP="00E541EE">
      <w:pPr>
        <w:shd w:val="clear" w:color="auto" w:fill="FFFFFF"/>
        <w:suppressAutoHyphens/>
        <w:jc w:val="both"/>
        <w:rPr>
          <w:rFonts w:ascii="Times New Roman" w:eastAsia="Times New Roman" w:hAnsi="Times New Roman" w:cs="Times New Roman"/>
          <w:sz w:val="24"/>
          <w:lang w:eastAsia="hi-IN" w:bidi="hi-IN"/>
        </w:rPr>
      </w:pPr>
      <w:r w:rsidRPr="00AC2206">
        <w:rPr>
          <w:rFonts w:ascii="Arial" w:eastAsia="Times New Roman" w:hAnsi="Arial" w:cs="Arial"/>
          <w:b/>
          <w:sz w:val="24"/>
          <w:szCs w:val="24"/>
        </w:rPr>
        <w:t xml:space="preserve">Zakonska osnova: </w:t>
      </w:r>
      <w:r w:rsidRPr="00AC2206">
        <w:rPr>
          <w:rFonts w:ascii="Arial" w:eastAsia="Times New Roman" w:hAnsi="Arial" w:cs="Arial"/>
          <w:sz w:val="24"/>
          <w:lang w:eastAsia="hi-IN" w:bidi="hi-IN"/>
        </w:rPr>
        <w:t>Zakon o predškolskom odgoju i obrazovanju</w:t>
      </w:r>
      <w:r w:rsidRPr="00AC2206">
        <w:rPr>
          <w:rFonts w:ascii="Times New Roman" w:eastAsia="Times New Roman" w:hAnsi="Times New Roman" w:cs="Times New Roman"/>
          <w:sz w:val="24"/>
          <w:lang w:eastAsia="hi-IN" w:bidi="hi-IN"/>
        </w:rPr>
        <w:t xml:space="preserve">, </w:t>
      </w:r>
      <w:r w:rsidRPr="00AC2206">
        <w:rPr>
          <w:rFonts w:ascii="Arial" w:eastAsia="Times New Roman" w:hAnsi="Arial" w:cs="Arial"/>
          <w:sz w:val="24"/>
          <w:lang w:eastAsia="hi-IN" w:bidi="hi-IN"/>
        </w:rPr>
        <w:t xml:space="preserve">Pravilnik o načinu raspolaganja sredstvima državnog proračuna i mjerilima sufinanciranja programa predškolskog odgoja. </w:t>
      </w:r>
    </w:p>
    <w:p w14:paraId="0FE0A3CC" w14:textId="77777777" w:rsidR="00E541EE" w:rsidRPr="00AC2206" w:rsidRDefault="00E541EE" w:rsidP="00E541EE">
      <w:pPr>
        <w:shd w:val="clear" w:color="auto" w:fill="FFFFFF"/>
        <w:suppressAutoHyphens/>
        <w:jc w:val="both"/>
        <w:rPr>
          <w:rFonts w:ascii="Arial" w:eastAsia="Times New Roman" w:hAnsi="Arial" w:cs="Arial"/>
          <w:sz w:val="24"/>
          <w:lang w:eastAsia="hi-IN" w:bidi="hi-IN"/>
        </w:rPr>
      </w:pPr>
      <w:r w:rsidRPr="00AC2206">
        <w:rPr>
          <w:rFonts w:ascii="Arial" w:eastAsia="Times New Roman" w:hAnsi="Arial" w:cs="Arial"/>
          <w:b/>
          <w:sz w:val="24"/>
          <w:szCs w:val="24"/>
        </w:rPr>
        <w:t>Opis:</w:t>
      </w:r>
      <w:r w:rsidRPr="00AC2206">
        <w:rPr>
          <w:rFonts w:ascii="Arial" w:eastAsia="Times New Roman" w:hAnsi="Arial" w:cs="Arial"/>
          <w:sz w:val="24"/>
          <w:szCs w:val="24"/>
        </w:rPr>
        <w:t xml:space="preserve"> </w:t>
      </w:r>
      <w:r w:rsidRPr="00AC2206">
        <w:rPr>
          <w:rFonts w:ascii="Arial" w:eastAsia="Times New Roman" w:hAnsi="Arial" w:cs="Arial"/>
          <w:sz w:val="24"/>
          <w:lang w:eastAsia="hi-IN" w:bidi="hi-IN"/>
        </w:rPr>
        <w:t xml:space="preserve">nadležno Ministarstvo posebnom Odlukom osigurava financijska sredstva za provedbu programa uključivanja djece s poteškoćama u razvoju - socijalizacije  u Ustanovu. Shodno tome osigurava i financijska sredstva za nabavku određenih pomagala u igri i radu s djecom. Sredstva se doznačuju osnivaču koji ista prosljeđuje ustanovi. </w:t>
      </w:r>
    </w:p>
    <w:p w14:paraId="37F8852A" w14:textId="77777777" w:rsidR="00E541EE" w:rsidRPr="00AC2206" w:rsidRDefault="00E541EE" w:rsidP="00E541EE">
      <w:pPr>
        <w:shd w:val="clear" w:color="auto" w:fill="FFFFFF"/>
        <w:suppressAutoHyphens/>
        <w:jc w:val="both"/>
        <w:rPr>
          <w:rFonts w:ascii="Arial" w:eastAsia="Times New Roman" w:hAnsi="Arial" w:cs="Arial"/>
          <w:sz w:val="24"/>
          <w:lang w:eastAsia="hi-IN" w:bidi="hi-IN"/>
        </w:rPr>
      </w:pPr>
      <w:r w:rsidRPr="00AC2206">
        <w:rPr>
          <w:rFonts w:ascii="Arial" w:eastAsia="Times New Roman" w:hAnsi="Arial" w:cs="Arial"/>
          <w:b/>
          <w:sz w:val="24"/>
          <w:szCs w:val="24"/>
        </w:rPr>
        <w:t xml:space="preserve">Opći cilj: </w:t>
      </w:r>
      <w:r w:rsidRPr="00AC2206">
        <w:rPr>
          <w:rFonts w:ascii="Arial" w:eastAsia="Times New Roman" w:hAnsi="Arial" w:cs="Arial"/>
          <w:sz w:val="24"/>
          <w:szCs w:val="24"/>
        </w:rPr>
        <w:t>integracija djece s teškoćama u razvoju u redoviti program predškolskog odgoja i obrazovanja</w:t>
      </w:r>
    </w:p>
    <w:p w14:paraId="5419795B" w14:textId="77777777" w:rsidR="00E541EE" w:rsidRPr="00AC2206" w:rsidRDefault="00E541EE" w:rsidP="00E541EE">
      <w:pPr>
        <w:jc w:val="both"/>
        <w:rPr>
          <w:rFonts w:ascii="Arial" w:eastAsia="Times New Roman" w:hAnsi="Arial" w:cs="Arial"/>
          <w:sz w:val="24"/>
          <w:lang w:eastAsia="hi-IN" w:bidi="hi-IN"/>
        </w:rPr>
      </w:pPr>
      <w:r w:rsidRPr="00AC2206">
        <w:rPr>
          <w:rFonts w:ascii="Arial" w:eastAsia="Times New Roman" w:hAnsi="Arial" w:cs="Arial"/>
          <w:b/>
          <w:sz w:val="24"/>
          <w:szCs w:val="24"/>
        </w:rPr>
        <w:t>Pokazatelj uspješnosti:</w:t>
      </w:r>
      <w:r w:rsidRPr="00AC2206">
        <w:rPr>
          <w:rFonts w:ascii="Times New Roman" w:eastAsia="Times New Roman" w:hAnsi="Times New Roman" w:cs="Times New Roman"/>
          <w:sz w:val="24"/>
          <w:lang w:eastAsia="hi-IN" w:bidi="hi-IN"/>
        </w:rPr>
        <w:t xml:space="preserve"> </w:t>
      </w:r>
      <w:r w:rsidRPr="00AC2206">
        <w:rPr>
          <w:rFonts w:ascii="Arial" w:eastAsia="Times New Roman" w:hAnsi="Arial" w:cs="Arial"/>
          <w:sz w:val="24"/>
          <w:lang w:eastAsia="hi-IN" w:bidi="hi-IN"/>
        </w:rPr>
        <w:t>nabavljena didaktika i literatura usmjerena na senzorno -motoričke i govorne aktivnosti koje su najzastupljenije u radu s djecom s teškoćama.</w:t>
      </w:r>
    </w:p>
    <w:p w14:paraId="7051792A" w14:textId="77777777" w:rsidR="00E541EE" w:rsidRPr="00AC2206" w:rsidRDefault="00E541EE" w:rsidP="00E541EE">
      <w:pPr>
        <w:jc w:val="both"/>
        <w:rPr>
          <w:rFonts w:ascii="Arial" w:eastAsia="Times New Roman" w:hAnsi="Arial" w:cs="Arial"/>
          <w:sz w:val="24"/>
          <w:lang w:eastAsia="hi-IN" w:bidi="hi-IN"/>
        </w:rPr>
      </w:pPr>
    </w:p>
    <w:p w14:paraId="00A229B0"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AC2206">
        <w:rPr>
          <w:rFonts w:ascii="Arial" w:eastAsia="Times New Roman" w:hAnsi="Arial" w:cs="Arial"/>
          <w:b/>
          <w:bCs/>
          <w:sz w:val="24"/>
          <w:szCs w:val="24"/>
        </w:rPr>
        <w:t xml:space="preserve">A 103512: Subvencija </w:t>
      </w:r>
      <w:r>
        <w:rPr>
          <w:rFonts w:ascii="Arial" w:eastAsia="Times New Roman" w:hAnsi="Arial" w:cs="Arial"/>
          <w:b/>
          <w:bCs/>
          <w:sz w:val="24"/>
          <w:szCs w:val="24"/>
        </w:rPr>
        <w:t xml:space="preserve">cijene </w:t>
      </w:r>
      <w:r w:rsidRPr="00AC2206">
        <w:rPr>
          <w:rFonts w:ascii="Arial" w:eastAsia="Times New Roman" w:hAnsi="Arial" w:cs="Arial"/>
          <w:b/>
          <w:bCs/>
          <w:sz w:val="24"/>
          <w:szCs w:val="24"/>
        </w:rPr>
        <w:t xml:space="preserve">programa drugi izvori = </w:t>
      </w:r>
      <w:r>
        <w:rPr>
          <w:rFonts w:ascii="Arial" w:eastAsia="Times New Roman" w:hAnsi="Arial" w:cs="Arial"/>
          <w:b/>
          <w:bCs/>
          <w:sz w:val="24"/>
          <w:szCs w:val="24"/>
        </w:rPr>
        <w:t>8</w:t>
      </w:r>
      <w:r w:rsidRPr="00AC2206">
        <w:rPr>
          <w:rFonts w:ascii="Arial" w:eastAsia="Times New Roman" w:hAnsi="Arial" w:cs="Arial"/>
          <w:b/>
          <w:bCs/>
          <w:sz w:val="24"/>
          <w:szCs w:val="24"/>
        </w:rPr>
        <w:t>.000,00 EUR</w:t>
      </w:r>
    </w:p>
    <w:p w14:paraId="6825E7ED" w14:textId="77777777" w:rsidR="00E541EE" w:rsidRPr="00AC2206" w:rsidRDefault="00E541EE" w:rsidP="00F664F1">
      <w:pPr>
        <w:shd w:val="clear" w:color="auto" w:fill="FFFFFF"/>
        <w:suppressAutoHyphens/>
        <w:jc w:val="both"/>
        <w:rPr>
          <w:rFonts w:ascii="Arial" w:eastAsia="Times New Roman" w:hAnsi="Arial" w:cs="Arial"/>
          <w:sz w:val="24"/>
          <w:szCs w:val="24"/>
          <w:lang w:eastAsia="hi-IN" w:bidi="hi-IN"/>
        </w:rPr>
      </w:pPr>
      <w:r w:rsidRPr="00AC2206">
        <w:rPr>
          <w:rFonts w:ascii="Arial" w:eastAsia="Times New Roman" w:hAnsi="Arial" w:cs="Arial"/>
          <w:b/>
          <w:sz w:val="24"/>
          <w:szCs w:val="24"/>
        </w:rPr>
        <w:t>Zakonska osnova:</w:t>
      </w:r>
      <w:r w:rsidRPr="00AC2206">
        <w:rPr>
          <w:rFonts w:ascii="Arial" w:eastAsia="Times New Roman" w:hAnsi="Arial" w:cs="Arial"/>
          <w:sz w:val="24"/>
          <w:lang w:eastAsia="hi-IN" w:bidi="hi-IN"/>
        </w:rPr>
        <w:t xml:space="preserve"> Zakon o predškolskom odgoju i obrazovanju, Socijalni program Općine Kanfanar.</w:t>
      </w:r>
    </w:p>
    <w:p w14:paraId="113F68A3" w14:textId="77777777" w:rsidR="00E541EE" w:rsidRPr="00AC2206" w:rsidRDefault="00E541EE" w:rsidP="00F664F1">
      <w:pPr>
        <w:shd w:val="clear" w:color="auto" w:fill="FFFFFF"/>
        <w:suppressAutoHyphens/>
        <w:jc w:val="both"/>
        <w:rPr>
          <w:rFonts w:ascii="Arial" w:eastAsia="Times New Roman" w:hAnsi="Arial" w:cs="Arial"/>
          <w:sz w:val="24"/>
          <w:szCs w:val="24"/>
          <w:lang w:eastAsia="hi-IN" w:bidi="hi-IN"/>
        </w:rPr>
      </w:pPr>
      <w:r w:rsidRPr="00AC2206">
        <w:rPr>
          <w:rFonts w:ascii="Arial" w:eastAsia="Times New Roman" w:hAnsi="Arial" w:cs="Arial"/>
          <w:b/>
          <w:sz w:val="24"/>
          <w:szCs w:val="24"/>
        </w:rPr>
        <w:t>Opis:</w:t>
      </w:r>
      <w:r w:rsidRPr="00AC2206">
        <w:rPr>
          <w:rFonts w:ascii="Arial" w:eastAsia="Times New Roman" w:hAnsi="Arial" w:cs="Arial"/>
          <w:sz w:val="24"/>
          <w:szCs w:val="24"/>
        </w:rPr>
        <w:t xml:space="preserve"> </w:t>
      </w:r>
      <w:r w:rsidRPr="00AC2206">
        <w:rPr>
          <w:rFonts w:ascii="Arial" w:eastAsia="Times New Roman" w:hAnsi="Arial" w:cs="Arial"/>
          <w:sz w:val="24"/>
          <w:szCs w:val="24"/>
          <w:lang w:eastAsia="hi-IN" w:bidi="hi-IN"/>
        </w:rPr>
        <w:t xml:space="preserve">iznos od </w:t>
      </w:r>
      <w:r>
        <w:rPr>
          <w:rFonts w:ascii="Arial" w:eastAsia="Times New Roman" w:hAnsi="Arial" w:cs="Arial"/>
          <w:sz w:val="24"/>
          <w:szCs w:val="24"/>
          <w:lang w:eastAsia="hi-IN" w:bidi="hi-IN"/>
        </w:rPr>
        <w:t>8</w:t>
      </w:r>
      <w:r w:rsidRPr="00AC2206">
        <w:rPr>
          <w:rFonts w:ascii="Arial" w:eastAsia="Times New Roman" w:hAnsi="Arial" w:cs="Arial"/>
          <w:sz w:val="24"/>
          <w:szCs w:val="24"/>
          <w:lang w:eastAsia="hi-IN" w:bidi="hi-IN"/>
        </w:rPr>
        <w:t xml:space="preserve">.000,00 </w:t>
      </w:r>
      <w:r>
        <w:rPr>
          <w:rFonts w:ascii="Arial" w:eastAsia="Times New Roman" w:hAnsi="Arial" w:cs="Arial"/>
          <w:sz w:val="24"/>
          <w:szCs w:val="24"/>
          <w:lang w:eastAsia="hi-IN" w:bidi="hi-IN"/>
        </w:rPr>
        <w:t>eura</w:t>
      </w:r>
      <w:r w:rsidRPr="00AC2206">
        <w:rPr>
          <w:rFonts w:ascii="Arial" w:eastAsia="Times New Roman" w:hAnsi="Arial" w:cs="Arial"/>
          <w:sz w:val="24"/>
          <w:szCs w:val="24"/>
          <w:lang w:eastAsia="hi-IN" w:bidi="hi-IN"/>
        </w:rPr>
        <w:t xml:space="preserve"> odnosi se na sredstva proračuna općine Kanfanar za</w:t>
      </w:r>
      <w:r w:rsidRPr="00AC2206">
        <w:rPr>
          <w:rFonts w:ascii="Arial" w:eastAsia="Times New Roman" w:hAnsi="Arial" w:cs="Arial"/>
          <w:b/>
          <w:sz w:val="24"/>
          <w:szCs w:val="24"/>
          <w:lang w:eastAsia="hi-IN" w:bidi="hi-IN"/>
        </w:rPr>
        <w:t xml:space="preserve"> </w:t>
      </w:r>
      <w:r w:rsidRPr="00AC2206">
        <w:rPr>
          <w:rFonts w:ascii="Arial" w:eastAsia="Times New Roman" w:hAnsi="Arial" w:cs="Arial"/>
          <w:sz w:val="24"/>
          <w:szCs w:val="24"/>
          <w:lang w:eastAsia="hi-IN" w:bidi="hi-IN"/>
        </w:rPr>
        <w:t>pomoć roditeljima slabijeg imovinskog statusa kao i roditeljima koji u ustanovi imaju dvoje ili više djece.</w:t>
      </w:r>
    </w:p>
    <w:p w14:paraId="489DE59E" w14:textId="77777777" w:rsidR="00E541EE" w:rsidRPr="00AC2206" w:rsidRDefault="00E541EE" w:rsidP="00F664F1">
      <w:pPr>
        <w:shd w:val="clear" w:color="auto" w:fill="FFFFFF"/>
        <w:suppressAutoHyphens/>
        <w:jc w:val="both"/>
        <w:rPr>
          <w:rFonts w:ascii="Arial" w:eastAsia="Times New Roman" w:hAnsi="Arial" w:cs="Arial"/>
          <w:sz w:val="24"/>
          <w:szCs w:val="24"/>
          <w:lang w:eastAsia="hi-IN" w:bidi="hi-IN"/>
        </w:rPr>
      </w:pPr>
      <w:r w:rsidRPr="00AC2206">
        <w:rPr>
          <w:rFonts w:ascii="Arial" w:eastAsia="Times New Roman" w:hAnsi="Arial" w:cs="Arial"/>
          <w:b/>
          <w:sz w:val="24"/>
          <w:szCs w:val="24"/>
        </w:rPr>
        <w:t xml:space="preserve">Opći cilj: </w:t>
      </w:r>
      <w:r w:rsidRPr="00AC2206">
        <w:rPr>
          <w:rFonts w:ascii="Arial" w:eastAsia="Times New Roman" w:hAnsi="Arial" w:cs="Arial"/>
          <w:sz w:val="24"/>
          <w:szCs w:val="24"/>
        </w:rPr>
        <w:t>potpora roditeljima slabijeg imovinskog statusa te obuhvat djece predškolske dobi.</w:t>
      </w:r>
    </w:p>
    <w:p w14:paraId="6C7EC546" w14:textId="77777777" w:rsidR="00E541EE" w:rsidRPr="00AC2206" w:rsidRDefault="00E541EE" w:rsidP="00F664F1">
      <w:pPr>
        <w:shd w:val="clear" w:color="auto" w:fill="FFFFFF"/>
        <w:suppressAutoHyphens/>
        <w:jc w:val="both"/>
        <w:rPr>
          <w:rFonts w:ascii="Arial" w:eastAsia="Times New Roman" w:hAnsi="Arial" w:cs="Arial"/>
          <w:sz w:val="24"/>
          <w:szCs w:val="24"/>
        </w:rPr>
      </w:pPr>
      <w:r w:rsidRPr="00AC2206">
        <w:rPr>
          <w:rFonts w:ascii="Arial" w:eastAsia="Times New Roman" w:hAnsi="Arial" w:cs="Arial"/>
          <w:b/>
          <w:sz w:val="24"/>
          <w:szCs w:val="24"/>
        </w:rPr>
        <w:t xml:space="preserve">Pokazatelj uspješnosti: </w:t>
      </w:r>
      <w:r w:rsidRPr="00AC2206">
        <w:rPr>
          <w:rFonts w:ascii="Arial" w:eastAsia="Times New Roman" w:hAnsi="Arial" w:cs="Arial"/>
          <w:sz w:val="24"/>
          <w:szCs w:val="24"/>
        </w:rPr>
        <w:t>obuhvat djece i praćenje pokazatelja.</w:t>
      </w:r>
    </w:p>
    <w:p w14:paraId="5662F754" w14:textId="77777777" w:rsidR="00E541EE" w:rsidRPr="00AC2206" w:rsidRDefault="00E541EE" w:rsidP="00E541EE">
      <w:pPr>
        <w:shd w:val="clear" w:color="auto" w:fill="FFFFFF"/>
        <w:suppressAutoHyphens/>
        <w:jc w:val="both"/>
        <w:rPr>
          <w:rFonts w:ascii="Arial" w:eastAsia="Times New Roman" w:hAnsi="Arial" w:cs="Arial"/>
          <w:sz w:val="24"/>
          <w:szCs w:val="24"/>
        </w:rPr>
      </w:pPr>
    </w:p>
    <w:p w14:paraId="2DB736BF"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AC2206">
        <w:rPr>
          <w:rFonts w:ascii="Arial" w:eastAsia="Times New Roman" w:hAnsi="Arial" w:cs="Arial"/>
          <w:b/>
          <w:bCs/>
          <w:sz w:val="24"/>
          <w:szCs w:val="24"/>
        </w:rPr>
        <w:t>K 103502: Opremanje prostora = 20.</w:t>
      </w:r>
      <w:r>
        <w:rPr>
          <w:rFonts w:ascii="Arial" w:eastAsia="Times New Roman" w:hAnsi="Arial" w:cs="Arial"/>
          <w:b/>
          <w:bCs/>
          <w:sz w:val="24"/>
          <w:szCs w:val="24"/>
        </w:rPr>
        <w:t>0</w:t>
      </w:r>
      <w:r w:rsidRPr="00AC2206">
        <w:rPr>
          <w:rFonts w:ascii="Arial" w:eastAsia="Times New Roman" w:hAnsi="Arial" w:cs="Arial"/>
          <w:b/>
          <w:bCs/>
          <w:sz w:val="24"/>
          <w:szCs w:val="24"/>
        </w:rPr>
        <w:t>00,00 EUR</w:t>
      </w:r>
    </w:p>
    <w:p w14:paraId="68BC0012"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Zakonska osnova:</w:t>
      </w:r>
      <w:r w:rsidRPr="00AC2206">
        <w:rPr>
          <w:rFonts w:ascii="Arial" w:eastAsia="Times New Roman" w:hAnsi="Arial" w:cs="Arial"/>
          <w:sz w:val="24"/>
          <w:szCs w:val="24"/>
        </w:rPr>
        <w:t xml:space="preserve"> Zakon o predškolskom odgoju i obrazovanju, Zakon o ustanovama, Državni pedagoški standard predškolskog odgoja i naobrazbe.</w:t>
      </w:r>
    </w:p>
    <w:p w14:paraId="0F5BA5B5" w14:textId="77777777" w:rsidR="00E541EE" w:rsidRDefault="00E541EE" w:rsidP="00E541EE">
      <w:pPr>
        <w:jc w:val="both"/>
        <w:rPr>
          <w:rFonts w:ascii="Arial" w:eastAsia="Times New Roman" w:hAnsi="Arial" w:cs="Arial"/>
          <w:sz w:val="24"/>
          <w:szCs w:val="24"/>
        </w:rPr>
      </w:pPr>
      <w:r w:rsidRPr="00AC2206">
        <w:rPr>
          <w:rFonts w:ascii="Arial" w:eastAsia="Times New Roman" w:hAnsi="Arial" w:cs="Arial"/>
          <w:b/>
          <w:sz w:val="24"/>
          <w:szCs w:val="24"/>
        </w:rPr>
        <w:t>Opis:</w:t>
      </w:r>
      <w:r w:rsidRPr="00AC2206">
        <w:rPr>
          <w:rFonts w:ascii="Arial" w:eastAsia="Times New Roman" w:hAnsi="Arial" w:cs="Arial"/>
          <w:sz w:val="24"/>
          <w:szCs w:val="24"/>
        </w:rPr>
        <w:t xml:space="preserve"> planira se nabava </w:t>
      </w:r>
      <w:r>
        <w:rPr>
          <w:rFonts w:ascii="Arial" w:eastAsia="Times New Roman" w:hAnsi="Arial" w:cs="Arial"/>
          <w:sz w:val="24"/>
          <w:szCs w:val="24"/>
        </w:rPr>
        <w:t xml:space="preserve"> informatičke opreme za potrebe stručnog tima i uredskih prostora </w:t>
      </w:r>
    </w:p>
    <w:p w14:paraId="49F0CB33" w14:textId="77777777" w:rsidR="00E541EE" w:rsidRPr="00DE755B" w:rsidRDefault="00E541EE" w:rsidP="00E541EE">
      <w:pPr>
        <w:jc w:val="both"/>
        <w:rPr>
          <w:rFonts w:ascii="Arial" w:eastAsia="Times New Roman" w:hAnsi="Arial" w:cs="Arial"/>
          <w:sz w:val="24"/>
          <w:szCs w:val="24"/>
        </w:rPr>
      </w:pPr>
      <w:r w:rsidRPr="00AC2206">
        <w:rPr>
          <w:rFonts w:ascii="Arial" w:hAnsi="Arial" w:cs="Arial"/>
          <w:b/>
          <w:sz w:val="24"/>
          <w:szCs w:val="24"/>
        </w:rPr>
        <w:t>Opći cilj</w:t>
      </w:r>
      <w:r w:rsidRPr="00AC2206">
        <w:rPr>
          <w:rFonts w:ascii="Arial" w:eastAsia="Times New Roman" w:hAnsi="Arial" w:cs="Arial"/>
          <w:b/>
          <w:bCs/>
          <w:sz w:val="24"/>
          <w:szCs w:val="24"/>
        </w:rPr>
        <w:t>:</w:t>
      </w:r>
      <w:r w:rsidRPr="00AC2206">
        <w:rPr>
          <w:rFonts w:ascii="Arial" w:eastAsia="Times New Roman" w:hAnsi="Arial" w:cs="Arial"/>
          <w:bCs/>
          <w:sz w:val="24"/>
          <w:szCs w:val="24"/>
        </w:rPr>
        <w:t xml:space="preserve"> upravljanje predškolskom ustanovom.</w:t>
      </w:r>
    </w:p>
    <w:p w14:paraId="35B03114" w14:textId="77777777" w:rsidR="00E541EE" w:rsidRPr="00AC2206" w:rsidRDefault="00E541EE" w:rsidP="00E541EE">
      <w:pPr>
        <w:jc w:val="both"/>
        <w:rPr>
          <w:rFonts w:ascii="Arial" w:hAnsi="Arial" w:cs="Arial"/>
          <w:sz w:val="24"/>
          <w:szCs w:val="24"/>
        </w:rPr>
      </w:pPr>
      <w:r w:rsidRPr="00AC2206">
        <w:rPr>
          <w:rFonts w:ascii="Arial" w:hAnsi="Arial" w:cs="Arial"/>
          <w:b/>
          <w:sz w:val="24"/>
          <w:szCs w:val="24"/>
        </w:rPr>
        <w:t xml:space="preserve">Pokazatelj uspješnosti: </w:t>
      </w:r>
      <w:r w:rsidRPr="00AC2206">
        <w:rPr>
          <w:rFonts w:ascii="Arial" w:hAnsi="Arial" w:cs="Arial"/>
          <w:sz w:val="24"/>
          <w:szCs w:val="24"/>
        </w:rPr>
        <w:t>pravovremeno donošenje odluka nužnih za redovito poslovanje ustanove.</w:t>
      </w:r>
    </w:p>
    <w:p w14:paraId="4357A608" w14:textId="77777777" w:rsidR="00E541EE" w:rsidRPr="00AC2206" w:rsidRDefault="00E541EE" w:rsidP="00E541EE">
      <w:pPr>
        <w:shd w:val="clear" w:color="auto" w:fill="FFFFFF"/>
        <w:suppressAutoHyphens/>
        <w:jc w:val="both"/>
        <w:rPr>
          <w:rFonts w:ascii="Arial" w:eastAsia="Times New Roman" w:hAnsi="Arial" w:cs="Arial"/>
          <w:sz w:val="24"/>
          <w:szCs w:val="24"/>
          <w:lang w:eastAsia="hi-IN" w:bidi="hi-IN"/>
        </w:rPr>
      </w:pPr>
    </w:p>
    <w:p w14:paraId="14894B9D"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AC2206">
        <w:rPr>
          <w:rFonts w:ascii="Arial" w:eastAsia="Times New Roman" w:hAnsi="Arial" w:cs="Arial"/>
          <w:b/>
          <w:bCs/>
          <w:sz w:val="24"/>
          <w:szCs w:val="24"/>
        </w:rPr>
        <w:t>T 103502: Područni objekt Lamanova = 8.627,00 EUR</w:t>
      </w:r>
    </w:p>
    <w:p w14:paraId="72267D2E"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sz w:val="24"/>
          <w:szCs w:val="24"/>
        </w:rPr>
        <w:t>Zakonska osnova:</w:t>
      </w:r>
      <w:r w:rsidRPr="00AC2206">
        <w:rPr>
          <w:rFonts w:ascii="Arial" w:eastAsia="Times New Roman" w:hAnsi="Arial" w:cs="Arial"/>
          <w:sz w:val="24"/>
          <w:lang w:eastAsia="hi-IN" w:bidi="hi-IN"/>
        </w:rPr>
        <w:t xml:space="preserve"> Zakon o predškolskom odgoju i obrazovanju.</w:t>
      </w:r>
    </w:p>
    <w:p w14:paraId="499D41ED"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sz w:val="24"/>
          <w:szCs w:val="24"/>
        </w:rPr>
        <w:t>Opis:</w:t>
      </w:r>
      <w:r w:rsidRPr="00AC2206">
        <w:rPr>
          <w:rFonts w:ascii="Arial" w:eastAsia="Times New Roman" w:hAnsi="Arial" w:cs="Arial"/>
          <w:sz w:val="24"/>
          <w:szCs w:val="24"/>
        </w:rPr>
        <w:t xml:space="preserve"> planirana sredstva osigurana su u svrhu ispunjenja financijskih obveza sukladno ugovoru o zakupu prostora područnog objekta na Lamanovi koji djeluje od 2012. godine. </w:t>
      </w:r>
    </w:p>
    <w:p w14:paraId="30F6F073"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sz w:val="24"/>
          <w:szCs w:val="24"/>
        </w:rPr>
        <w:t xml:space="preserve">Opći cilj: </w:t>
      </w:r>
      <w:r w:rsidRPr="00AC2206">
        <w:rPr>
          <w:rFonts w:ascii="Arial" w:eastAsia="Times New Roman" w:hAnsi="Arial" w:cs="Arial"/>
          <w:sz w:val="24"/>
          <w:szCs w:val="24"/>
        </w:rPr>
        <w:t xml:space="preserve">stvaranje uvjeta za prihvat djece u predškolske ustanove na području Grada. </w:t>
      </w:r>
    </w:p>
    <w:p w14:paraId="0C732CF8" w14:textId="77777777" w:rsidR="00E541EE" w:rsidRPr="00AC2206" w:rsidRDefault="00E541EE" w:rsidP="00E541EE">
      <w:pPr>
        <w:jc w:val="both"/>
        <w:rPr>
          <w:rFonts w:ascii="Arial" w:eastAsia="Times New Roman" w:hAnsi="Arial" w:cs="Arial"/>
          <w:b/>
          <w:sz w:val="24"/>
          <w:szCs w:val="24"/>
        </w:rPr>
      </w:pPr>
      <w:r w:rsidRPr="00AC2206">
        <w:rPr>
          <w:rFonts w:ascii="Arial" w:eastAsia="Times New Roman" w:hAnsi="Arial" w:cs="Arial"/>
          <w:b/>
          <w:sz w:val="24"/>
          <w:szCs w:val="24"/>
        </w:rPr>
        <w:t xml:space="preserve">Pokazatelj uspješnosti: </w:t>
      </w:r>
      <w:r w:rsidRPr="00AC2206">
        <w:rPr>
          <w:rFonts w:ascii="Arial" w:eastAsia="Times New Roman" w:hAnsi="Arial" w:cs="Arial"/>
          <w:sz w:val="24"/>
          <w:szCs w:val="24"/>
        </w:rPr>
        <w:t>obuhvat djece u dječjim vrtićima.</w:t>
      </w:r>
      <w:r w:rsidRPr="00AC2206">
        <w:rPr>
          <w:rFonts w:ascii="Arial" w:eastAsia="Times New Roman" w:hAnsi="Arial" w:cs="Arial"/>
          <w:b/>
          <w:sz w:val="24"/>
          <w:szCs w:val="24"/>
        </w:rPr>
        <w:t xml:space="preserve"> </w:t>
      </w:r>
    </w:p>
    <w:p w14:paraId="3990DA9F" w14:textId="77777777" w:rsidR="00E541EE" w:rsidRPr="00AC2206" w:rsidRDefault="00E541EE" w:rsidP="00E541EE">
      <w:pPr>
        <w:jc w:val="both"/>
        <w:rPr>
          <w:rFonts w:ascii="Arial" w:eastAsia="Times New Roman" w:hAnsi="Arial" w:cs="Arial"/>
          <w:sz w:val="24"/>
          <w:szCs w:val="24"/>
        </w:rPr>
      </w:pPr>
    </w:p>
    <w:p w14:paraId="051FC5E7"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C5E0B3" w:themeFill="accent6" w:themeFillTint="66"/>
        <w:rPr>
          <w:rFonts w:ascii="Arial" w:eastAsia="Times New Roman" w:hAnsi="Arial" w:cs="Arial"/>
          <w:b/>
          <w:bCs/>
          <w:sz w:val="24"/>
          <w:szCs w:val="24"/>
        </w:rPr>
      </w:pPr>
      <w:r w:rsidRPr="003B613D">
        <w:rPr>
          <w:rFonts w:ascii="Arial" w:eastAsia="Times New Roman" w:hAnsi="Arial" w:cs="Arial"/>
          <w:b/>
          <w:bCs/>
          <w:sz w:val="24"/>
          <w:szCs w:val="24"/>
        </w:rPr>
        <w:t>Glava 00703: OSNOVNE ŠKOLE = 7.609.145,00 EUR</w:t>
      </w:r>
    </w:p>
    <w:p w14:paraId="2EF7F4FA" w14:textId="77777777" w:rsidR="00E541EE" w:rsidRPr="00AC2206" w:rsidRDefault="00E541EE" w:rsidP="00E541EE">
      <w:pPr>
        <w:rPr>
          <w:rFonts w:ascii="Arial" w:eastAsia="Times New Roman" w:hAnsi="Arial" w:cs="Arial"/>
          <w:sz w:val="24"/>
          <w:szCs w:val="24"/>
        </w:rPr>
      </w:pPr>
    </w:p>
    <w:p w14:paraId="797DEE4A"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FFFF80"/>
        <w:jc w:val="both"/>
        <w:rPr>
          <w:rFonts w:ascii="Arial" w:eastAsia="Times New Roman" w:hAnsi="Arial" w:cs="Arial"/>
          <w:b/>
          <w:bCs/>
          <w:sz w:val="24"/>
          <w:szCs w:val="24"/>
        </w:rPr>
      </w:pPr>
      <w:r w:rsidRPr="00AC2206">
        <w:rPr>
          <w:rFonts w:ascii="Arial" w:eastAsia="Times New Roman" w:hAnsi="Arial" w:cs="Arial"/>
          <w:b/>
          <w:bCs/>
          <w:sz w:val="24"/>
          <w:szCs w:val="24"/>
        </w:rPr>
        <w:t>Program 1036: Djelatnost ustanova u osnovnom školstvu = 7.</w:t>
      </w:r>
      <w:r>
        <w:rPr>
          <w:rFonts w:ascii="Arial" w:eastAsia="Times New Roman" w:hAnsi="Arial" w:cs="Arial"/>
          <w:b/>
          <w:bCs/>
          <w:sz w:val="24"/>
          <w:szCs w:val="24"/>
        </w:rPr>
        <w:t>609</w:t>
      </w:r>
      <w:r w:rsidRPr="00AC2206">
        <w:rPr>
          <w:rFonts w:ascii="Arial" w:eastAsia="Times New Roman" w:hAnsi="Arial" w:cs="Arial"/>
          <w:b/>
          <w:bCs/>
          <w:sz w:val="24"/>
          <w:szCs w:val="24"/>
        </w:rPr>
        <w:t>.</w:t>
      </w:r>
      <w:r>
        <w:rPr>
          <w:rFonts w:ascii="Arial" w:eastAsia="Times New Roman" w:hAnsi="Arial" w:cs="Arial"/>
          <w:b/>
          <w:bCs/>
          <w:sz w:val="24"/>
          <w:szCs w:val="24"/>
        </w:rPr>
        <w:t>145</w:t>
      </w:r>
      <w:r w:rsidRPr="00AC2206">
        <w:rPr>
          <w:rFonts w:ascii="Arial" w:eastAsia="Times New Roman" w:hAnsi="Arial" w:cs="Arial"/>
          <w:b/>
          <w:bCs/>
          <w:sz w:val="24"/>
          <w:szCs w:val="24"/>
        </w:rPr>
        <w:t>,00 EUR</w:t>
      </w:r>
    </w:p>
    <w:p w14:paraId="6F2B740E" w14:textId="77777777" w:rsidR="00E541EE" w:rsidRPr="00AC2206" w:rsidRDefault="00E541EE" w:rsidP="00E541EE">
      <w:pPr>
        <w:rPr>
          <w:rFonts w:ascii="Arial" w:eastAsia="Times New Roman" w:hAnsi="Arial" w:cs="Arial"/>
          <w:sz w:val="24"/>
          <w:szCs w:val="24"/>
        </w:rPr>
      </w:pPr>
    </w:p>
    <w:tbl>
      <w:tblPr>
        <w:tblW w:w="1020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5"/>
        <w:gridCol w:w="850"/>
        <w:gridCol w:w="992"/>
        <w:gridCol w:w="851"/>
        <w:gridCol w:w="992"/>
        <w:gridCol w:w="1418"/>
        <w:gridCol w:w="708"/>
        <w:gridCol w:w="993"/>
        <w:gridCol w:w="708"/>
        <w:gridCol w:w="567"/>
        <w:gridCol w:w="993"/>
      </w:tblGrid>
      <w:tr w:rsidR="00E541EE" w:rsidRPr="00AC2206" w14:paraId="5E801794" w14:textId="77777777" w:rsidTr="00E373CC">
        <w:trPr>
          <w:trHeight w:val="637"/>
        </w:trPr>
        <w:tc>
          <w:tcPr>
            <w:tcW w:w="1135" w:type="dxa"/>
            <w:vMerge w:val="restart"/>
            <w:tcBorders>
              <w:top w:val="single" w:sz="4" w:space="0" w:color="000000"/>
              <w:left w:val="single" w:sz="4" w:space="0" w:color="000000"/>
              <w:bottom w:val="single" w:sz="4" w:space="0" w:color="000000"/>
              <w:right w:val="single" w:sz="4" w:space="0" w:color="000000"/>
            </w:tcBorders>
          </w:tcPr>
          <w:p w14:paraId="711041EE" w14:textId="77777777" w:rsidR="00E541EE" w:rsidRPr="00AC2206" w:rsidRDefault="00E541EE" w:rsidP="00A84BB5">
            <w:pPr>
              <w:widowControl w:val="0"/>
              <w:autoSpaceDE w:val="0"/>
              <w:autoSpaceDN w:val="0"/>
              <w:spacing w:before="49"/>
              <w:ind w:left="44" w:right="35"/>
              <w:jc w:val="center"/>
              <w:rPr>
                <w:b/>
                <w:sz w:val="16"/>
              </w:rPr>
            </w:pPr>
            <w:r w:rsidRPr="00AC2206">
              <w:rPr>
                <w:b/>
                <w:sz w:val="16"/>
              </w:rPr>
              <w:t>Doprinos</w:t>
            </w:r>
            <w:r w:rsidRPr="00B964EB">
              <w:rPr>
                <w:b/>
                <w:sz w:val="16"/>
              </w:rPr>
              <w:t xml:space="preserve"> </w:t>
            </w:r>
            <w:r w:rsidRPr="00AC2206">
              <w:rPr>
                <w:b/>
                <w:sz w:val="16"/>
              </w:rPr>
              <w:t>provedbi</w:t>
            </w:r>
          </w:p>
          <w:p w14:paraId="17BE499D" w14:textId="77777777" w:rsidR="00E541EE" w:rsidRPr="00AC2206" w:rsidRDefault="00E541EE" w:rsidP="00A84BB5">
            <w:pPr>
              <w:widowControl w:val="0"/>
              <w:autoSpaceDE w:val="0"/>
              <w:autoSpaceDN w:val="0"/>
              <w:spacing w:before="49"/>
              <w:ind w:left="44" w:right="35"/>
              <w:jc w:val="center"/>
              <w:rPr>
                <w:b/>
                <w:sz w:val="16"/>
              </w:rPr>
            </w:pPr>
            <w:r w:rsidRPr="00AC2206">
              <w:rPr>
                <w:b/>
                <w:sz w:val="16"/>
              </w:rPr>
              <w:t>nadređenog</w:t>
            </w:r>
          </w:p>
          <w:p w14:paraId="7A1AD324" w14:textId="77777777" w:rsidR="00E541EE" w:rsidRPr="00AC2206" w:rsidRDefault="00E541EE" w:rsidP="00A84BB5">
            <w:pPr>
              <w:widowControl w:val="0"/>
              <w:autoSpaceDE w:val="0"/>
              <w:autoSpaceDN w:val="0"/>
              <w:spacing w:before="49"/>
              <w:ind w:left="44" w:right="35"/>
              <w:jc w:val="center"/>
              <w:rPr>
                <w:b/>
                <w:sz w:val="16"/>
              </w:rPr>
            </w:pPr>
            <w:r w:rsidRPr="00AC2206">
              <w:rPr>
                <w:b/>
                <w:sz w:val="16"/>
              </w:rPr>
              <w:t>akta</w:t>
            </w:r>
            <w:r w:rsidRPr="00B964EB">
              <w:rPr>
                <w:b/>
                <w:sz w:val="16"/>
              </w:rPr>
              <w:t xml:space="preserve"> </w:t>
            </w:r>
            <w:r w:rsidRPr="00AC2206">
              <w:rPr>
                <w:b/>
                <w:sz w:val="16"/>
              </w:rPr>
              <w:t>strateškog</w:t>
            </w:r>
            <w:r w:rsidRPr="00B964EB">
              <w:rPr>
                <w:b/>
                <w:sz w:val="16"/>
              </w:rPr>
              <w:t xml:space="preserve"> </w:t>
            </w:r>
            <w:r w:rsidRPr="00AC2206">
              <w:rPr>
                <w:b/>
                <w:sz w:val="16"/>
              </w:rPr>
              <w:t>planiranja</w:t>
            </w:r>
          </w:p>
        </w:tc>
        <w:tc>
          <w:tcPr>
            <w:tcW w:w="850" w:type="dxa"/>
            <w:vMerge w:val="restart"/>
            <w:tcBorders>
              <w:top w:val="single" w:sz="4" w:space="0" w:color="000000"/>
              <w:left w:val="single" w:sz="4" w:space="0" w:color="000000"/>
              <w:bottom w:val="single" w:sz="4" w:space="0" w:color="000000"/>
              <w:right w:val="single" w:sz="4" w:space="0" w:color="000000"/>
            </w:tcBorders>
          </w:tcPr>
          <w:p w14:paraId="7222F460" w14:textId="77777777" w:rsidR="00E541EE" w:rsidRPr="00B964EB" w:rsidRDefault="00E541EE" w:rsidP="00A84BB5">
            <w:pPr>
              <w:widowControl w:val="0"/>
              <w:autoSpaceDE w:val="0"/>
              <w:autoSpaceDN w:val="0"/>
              <w:spacing w:line="195" w:lineRule="exact"/>
              <w:ind w:left="44" w:right="35"/>
              <w:jc w:val="center"/>
              <w:rPr>
                <w:b/>
                <w:sz w:val="16"/>
                <w:highlight w:val="red"/>
              </w:rPr>
            </w:pPr>
            <w:r w:rsidRPr="00D41317">
              <w:rPr>
                <w:b/>
                <w:sz w:val="16"/>
              </w:rPr>
              <w:t>Naziv cilja nadređenog akta strateškog planiranja</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14:paraId="42060115" w14:textId="77777777" w:rsidR="00E541EE" w:rsidRPr="00B964EB" w:rsidRDefault="00E541EE" w:rsidP="00A84BB5">
            <w:pPr>
              <w:widowControl w:val="0"/>
              <w:autoSpaceDE w:val="0"/>
              <w:autoSpaceDN w:val="0"/>
              <w:ind w:left="125" w:right="114"/>
              <w:jc w:val="center"/>
              <w:rPr>
                <w:b/>
                <w:spacing w:val="-1"/>
                <w:sz w:val="16"/>
              </w:rPr>
            </w:pPr>
            <w:r w:rsidRPr="00AC2206">
              <w:rPr>
                <w:b/>
                <w:spacing w:val="-1"/>
                <w:sz w:val="16"/>
              </w:rPr>
              <w:t xml:space="preserve">Program </w:t>
            </w:r>
            <w:r w:rsidRPr="00B964EB">
              <w:rPr>
                <w:b/>
                <w:spacing w:val="-1"/>
                <w:sz w:val="16"/>
              </w:rPr>
              <w:t>u proračunu  JLS</w:t>
            </w:r>
          </w:p>
        </w:tc>
        <w:tc>
          <w:tcPr>
            <w:tcW w:w="851" w:type="dxa"/>
            <w:vMerge w:val="restart"/>
            <w:tcBorders>
              <w:top w:val="single" w:sz="4" w:space="0" w:color="000000"/>
              <w:left w:val="single" w:sz="4" w:space="0" w:color="000000"/>
              <w:bottom w:val="single" w:sz="4" w:space="0" w:color="000000"/>
              <w:right w:val="single" w:sz="4" w:space="0" w:color="000000"/>
            </w:tcBorders>
            <w:vAlign w:val="center"/>
          </w:tcPr>
          <w:p w14:paraId="7B64665B" w14:textId="77777777" w:rsidR="00E541EE" w:rsidRPr="00AC2206" w:rsidRDefault="00E541EE" w:rsidP="00A84BB5">
            <w:pPr>
              <w:widowControl w:val="0"/>
              <w:autoSpaceDE w:val="0"/>
              <w:autoSpaceDN w:val="0"/>
              <w:ind w:left="179"/>
              <w:rPr>
                <w:b/>
                <w:sz w:val="16"/>
              </w:rPr>
            </w:pPr>
            <w:r w:rsidRPr="00AC2206">
              <w:rPr>
                <w:b/>
                <w:sz w:val="16"/>
              </w:rPr>
              <w:t>Naziv</w:t>
            </w:r>
            <w:r w:rsidRPr="00B964EB">
              <w:rPr>
                <w:b/>
                <w:sz w:val="16"/>
              </w:rPr>
              <w:t xml:space="preserve"> </w:t>
            </w:r>
            <w:r w:rsidRPr="00AC2206">
              <w:rPr>
                <w:b/>
                <w:sz w:val="16"/>
              </w:rPr>
              <w:t>mjere</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14:paraId="55B7A832" w14:textId="77777777" w:rsidR="00E541EE" w:rsidRPr="00AC2206" w:rsidRDefault="00E541EE" w:rsidP="00A84BB5">
            <w:pPr>
              <w:widowControl w:val="0"/>
              <w:autoSpaceDE w:val="0"/>
              <w:autoSpaceDN w:val="0"/>
              <w:ind w:left="70" w:right="60"/>
              <w:jc w:val="center"/>
              <w:rPr>
                <w:b/>
                <w:sz w:val="16"/>
              </w:rPr>
            </w:pPr>
            <w:r w:rsidRPr="00AC2206">
              <w:rPr>
                <w:b/>
                <w:sz w:val="16"/>
              </w:rPr>
              <w:t>Procijenjeni</w:t>
            </w:r>
            <w:r w:rsidRPr="00B964EB">
              <w:rPr>
                <w:b/>
                <w:sz w:val="16"/>
              </w:rPr>
              <w:t xml:space="preserve"> </w:t>
            </w:r>
            <w:r w:rsidRPr="00AC2206">
              <w:rPr>
                <w:b/>
                <w:sz w:val="16"/>
              </w:rPr>
              <w:t>trošak</w:t>
            </w:r>
            <w:r w:rsidRPr="00B964EB">
              <w:rPr>
                <w:b/>
                <w:sz w:val="16"/>
              </w:rPr>
              <w:t xml:space="preserve"> </w:t>
            </w:r>
            <w:r w:rsidRPr="00AC2206">
              <w:rPr>
                <w:b/>
                <w:sz w:val="16"/>
              </w:rPr>
              <w:t>provedbe</w:t>
            </w:r>
            <w:r w:rsidRPr="00B964EB">
              <w:rPr>
                <w:b/>
                <w:sz w:val="16"/>
              </w:rPr>
              <w:t xml:space="preserve"> </w:t>
            </w:r>
            <w:r w:rsidRPr="00AC2206">
              <w:rPr>
                <w:b/>
                <w:sz w:val="16"/>
              </w:rPr>
              <w:t>mjere 202</w:t>
            </w:r>
            <w:r>
              <w:rPr>
                <w:b/>
                <w:sz w:val="16"/>
              </w:rPr>
              <w:t>6</w:t>
            </w:r>
            <w:r w:rsidRPr="00AC2206">
              <w:rPr>
                <w:b/>
                <w:sz w:val="16"/>
              </w:rPr>
              <w:t>.</w:t>
            </w:r>
          </w:p>
          <w:p w14:paraId="01BC58D0" w14:textId="77777777" w:rsidR="00E541EE" w:rsidRPr="00AC2206" w:rsidRDefault="00E541EE" w:rsidP="00A84BB5">
            <w:pPr>
              <w:widowControl w:val="0"/>
              <w:autoSpaceDE w:val="0"/>
              <w:autoSpaceDN w:val="0"/>
              <w:ind w:left="70" w:right="60"/>
              <w:jc w:val="center"/>
              <w:rPr>
                <w:b/>
                <w:sz w:val="16"/>
              </w:rPr>
            </w:pPr>
            <w:r w:rsidRPr="00AC2206">
              <w:rPr>
                <w:b/>
                <w:sz w:val="16"/>
              </w:rPr>
              <w:t>(u EUR)</w:t>
            </w:r>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14:paraId="31A7E474" w14:textId="77777777" w:rsidR="00E541EE" w:rsidRPr="00AC2206" w:rsidRDefault="00E541EE" w:rsidP="00A84BB5">
            <w:pPr>
              <w:widowControl w:val="0"/>
              <w:autoSpaceDE w:val="0"/>
              <w:autoSpaceDN w:val="0"/>
              <w:rPr>
                <w:b/>
                <w:sz w:val="16"/>
              </w:rPr>
            </w:pPr>
            <w:r>
              <w:rPr>
                <w:b/>
                <w:sz w:val="16"/>
              </w:rPr>
              <w:t xml:space="preserve">   </w:t>
            </w:r>
            <w:r w:rsidRPr="00AC2206">
              <w:rPr>
                <w:b/>
                <w:sz w:val="16"/>
              </w:rPr>
              <w:t>Ključne</w:t>
            </w:r>
          </w:p>
          <w:p w14:paraId="10F3F529" w14:textId="77777777" w:rsidR="00E541EE" w:rsidRPr="00AC2206" w:rsidRDefault="00E541EE" w:rsidP="00A84BB5">
            <w:pPr>
              <w:widowControl w:val="0"/>
              <w:autoSpaceDE w:val="0"/>
              <w:autoSpaceDN w:val="0"/>
              <w:rPr>
                <w:b/>
                <w:sz w:val="16"/>
              </w:rPr>
            </w:pPr>
            <w:r>
              <w:rPr>
                <w:b/>
                <w:sz w:val="16"/>
              </w:rPr>
              <w:t xml:space="preserve"> a</w:t>
            </w:r>
            <w:r w:rsidRPr="00AC2206">
              <w:rPr>
                <w:b/>
                <w:sz w:val="16"/>
              </w:rPr>
              <w:t>ktivnosti</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14:paraId="7A10E727" w14:textId="77777777" w:rsidR="00E541EE" w:rsidRPr="00B964EB" w:rsidRDefault="00E541EE" w:rsidP="00A84BB5">
            <w:pPr>
              <w:widowControl w:val="0"/>
              <w:autoSpaceDE w:val="0"/>
              <w:autoSpaceDN w:val="0"/>
              <w:ind w:right="97" w:hanging="44"/>
              <w:jc w:val="center"/>
              <w:rPr>
                <w:rFonts w:cstheme="minorHAnsi"/>
                <w:b/>
                <w:sz w:val="16"/>
                <w:szCs w:val="16"/>
              </w:rPr>
            </w:pPr>
            <w:r w:rsidRPr="00B964EB">
              <w:rPr>
                <w:rFonts w:cstheme="minorHAnsi"/>
                <w:b/>
                <w:sz w:val="16"/>
                <w:szCs w:val="16"/>
              </w:rPr>
              <w:t>Pokazatelj rezultata</w:t>
            </w:r>
          </w:p>
        </w:tc>
        <w:tc>
          <w:tcPr>
            <w:tcW w:w="993" w:type="dxa"/>
            <w:vMerge w:val="restart"/>
            <w:tcBorders>
              <w:top w:val="single" w:sz="4" w:space="0" w:color="000000"/>
              <w:left w:val="single" w:sz="4" w:space="0" w:color="000000"/>
              <w:bottom w:val="single" w:sz="4" w:space="0" w:color="000000"/>
              <w:right w:val="single" w:sz="4" w:space="0" w:color="000000"/>
            </w:tcBorders>
            <w:vAlign w:val="center"/>
          </w:tcPr>
          <w:p w14:paraId="7580CB62" w14:textId="77777777" w:rsidR="00E541EE" w:rsidRPr="00B964EB" w:rsidRDefault="00E541EE" w:rsidP="00A84BB5">
            <w:pPr>
              <w:widowControl w:val="0"/>
              <w:autoSpaceDE w:val="0"/>
              <w:autoSpaceDN w:val="0"/>
              <w:ind w:left="44" w:right="32"/>
              <w:jc w:val="center"/>
              <w:rPr>
                <w:rFonts w:cstheme="minorHAnsi"/>
                <w:b/>
                <w:sz w:val="16"/>
                <w:szCs w:val="16"/>
              </w:rPr>
            </w:pPr>
            <w:r w:rsidRPr="00B964EB">
              <w:rPr>
                <w:rFonts w:cstheme="minorHAnsi"/>
                <w:b/>
                <w:sz w:val="16"/>
                <w:szCs w:val="16"/>
              </w:rPr>
              <w:t xml:space="preserve">Početna vrijednost 2025. </w:t>
            </w:r>
          </w:p>
        </w:tc>
        <w:tc>
          <w:tcPr>
            <w:tcW w:w="2268" w:type="dxa"/>
            <w:gridSpan w:val="3"/>
            <w:tcBorders>
              <w:top w:val="single" w:sz="4" w:space="0" w:color="000000"/>
              <w:left w:val="single" w:sz="4" w:space="0" w:color="000000"/>
              <w:bottom w:val="single" w:sz="4" w:space="0" w:color="000000"/>
              <w:right w:val="single" w:sz="4" w:space="0" w:color="000000"/>
            </w:tcBorders>
            <w:vAlign w:val="center"/>
          </w:tcPr>
          <w:p w14:paraId="6907777E" w14:textId="77777777" w:rsidR="00E541EE" w:rsidRPr="00B964EB" w:rsidRDefault="00E541EE" w:rsidP="00A84BB5">
            <w:pPr>
              <w:widowControl w:val="0"/>
              <w:autoSpaceDE w:val="0"/>
              <w:autoSpaceDN w:val="0"/>
              <w:ind w:left="70" w:right="56"/>
              <w:jc w:val="center"/>
              <w:rPr>
                <w:rFonts w:cstheme="minorHAnsi"/>
                <w:b/>
                <w:sz w:val="16"/>
                <w:szCs w:val="16"/>
              </w:rPr>
            </w:pPr>
            <w:r w:rsidRPr="00B964EB">
              <w:rPr>
                <w:rFonts w:cstheme="minorHAnsi"/>
                <w:b/>
                <w:sz w:val="16"/>
                <w:szCs w:val="16"/>
              </w:rPr>
              <w:t xml:space="preserve">Ciljna vrijednost </w:t>
            </w:r>
          </w:p>
        </w:tc>
      </w:tr>
      <w:tr w:rsidR="00E541EE" w:rsidRPr="00AC2206" w14:paraId="32B52A25" w14:textId="77777777" w:rsidTr="00E373CC">
        <w:trPr>
          <w:trHeight w:val="636"/>
        </w:trPr>
        <w:tc>
          <w:tcPr>
            <w:tcW w:w="1135" w:type="dxa"/>
            <w:vMerge/>
          </w:tcPr>
          <w:p w14:paraId="73157DCD" w14:textId="77777777" w:rsidR="00E541EE" w:rsidRPr="00AC2206" w:rsidRDefault="00E541EE" w:rsidP="00A84BB5">
            <w:pPr>
              <w:widowControl w:val="0"/>
              <w:autoSpaceDE w:val="0"/>
              <w:autoSpaceDN w:val="0"/>
              <w:spacing w:before="49"/>
              <w:ind w:left="44" w:right="35"/>
              <w:jc w:val="center"/>
              <w:rPr>
                <w:b/>
                <w:sz w:val="16"/>
              </w:rPr>
            </w:pPr>
          </w:p>
        </w:tc>
        <w:tc>
          <w:tcPr>
            <w:tcW w:w="850" w:type="dxa"/>
            <w:vMerge/>
          </w:tcPr>
          <w:p w14:paraId="1A88170A" w14:textId="77777777" w:rsidR="00E541EE" w:rsidRPr="00FF2327" w:rsidRDefault="00E541EE" w:rsidP="00A84BB5">
            <w:pPr>
              <w:widowControl w:val="0"/>
              <w:autoSpaceDE w:val="0"/>
              <w:autoSpaceDN w:val="0"/>
              <w:spacing w:line="195" w:lineRule="exact"/>
              <w:ind w:left="44" w:right="35"/>
              <w:jc w:val="center"/>
              <w:rPr>
                <w:b/>
                <w:sz w:val="16"/>
                <w:highlight w:val="red"/>
              </w:rPr>
            </w:pPr>
          </w:p>
        </w:tc>
        <w:tc>
          <w:tcPr>
            <w:tcW w:w="992" w:type="dxa"/>
            <w:vMerge/>
            <w:vAlign w:val="center"/>
          </w:tcPr>
          <w:p w14:paraId="71E88DF5" w14:textId="77777777" w:rsidR="00E541EE" w:rsidRPr="00AC2206" w:rsidRDefault="00E541EE" w:rsidP="00A84BB5">
            <w:pPr>
              <w:widowControl w:val="0"/>
              <w:autoSpaceDE w:val="0"/>
              <w:autoSpaceDN w:val="0"/>
              <w:ind w:left="125" w:right="114"/>
              <w:jc w:val="center"/>
              <w:rPr>
                <w:b/>
                <w:spacing w:val="-1"/>
                <w:sz w:val="16"/>
              </w:rPr>
            </w:pPr>
          </w:p>
        </w:tc>
        <w:tc>
          <w:tcPr>
            <w:tcW w:w="851" w:type="dxa"/>
            <w:vMerge/>
            <w:vAlign w:val="center"/>
          </w:tcPr>
          <w:p w14:paraId="019ADA1B" w14:textId="77777777" w:rsidR="00E541EE" w:rsidRPr="00AC2206" w:rsidRDefault="00E541EE" w:rsidP="00A84BB5">
            <w:pPr>
              <w:widowControl w:val="0"/>
              <w:autoSpaceDE w:val="0"/>
              <w:autoSpaceDN w:val="0"/>
              <w:ind w:left="179"/>
              <w:jc w:val="center"/>
              <w:rPr>
                <w:b/>
                <w:sz w:val="16"/>
              </w:rPr>
            </w:pPr>
          </w:p>
        </w:tc>
        <w:tc>
          <w:tcPr>
            <w:tcW w:w="992" w:type="dxa"/>
            <w:vMerge/>
            <w:vAlign w:val="center"/>
          </w:tcPr>
          <w:p w14:paraId="2CADF914" w14:textId="77777777" w:rsidR="00E541EE" w:rsidRPr="00AC2206" w:rsidRDefault="00E541EE" w:rsidP="00A84BB5">
            <w:pPr>
              <w:widowControl w:val="0"/>
              <w:autoSpaceDE w:val="0"/>
              <w:autoSpaceDN w:val="0"/>
              <w:ind w:left="70" w:right="60"/>
              <w:jc w:val="center"/>
              <w:rPr>
                <w:b/>
                <w:sz w:val="16"/>
              </w:rPr>
            </w:pPr>
          </w:p>
        </w:tc>
        <w:tc>
          <w:tcPr>
            <w:tcW w:w="1418" w:type="dxa"/>
            <w:vMerge/>
            <w:vAlign w:val="center"/>
          </w:tcPr>
          <w:p w14:paraId="293941BF" w14:textId="77777777" w:rsidR="00E541EE" w:rsidRPr="00AC2206" w:rsidRDefault="00E541EE" w:rsidP="00A84BB5">
            <w:pPr>
              <w:widowControl w:val="0"/>
              <w:autoSpaceDE w:val="0"/>
              <w:autoSpaceDN w:val="0"/>
              <w:ind w:left="311"/>
              <w:jc w:val="center"/>
              <w:rPr>
                <w:b/>
                <w:sz w:val="16"/>
              </w:rPr>
            </w:pPr>
          </w:p>
        </w:tc>
        <w:tc>
          <w:tcPr>
            <w:tcW w:w="708" w:type="dxa"/>
            <w:vMerge/>
            <w:tcBorders>
              <w:bottom w:val="single" w:sz="4" w:space="0" w:color="auto"/>
            </w:tcBorders>
            <w:vAlign w:val="center"/>
          </w:tcPr>
          <w:p w14:paraId="149BF453" w14:textId="77777777" w:rsidR="00E541EE" w:rsidRPr="00FF2327" w:rsidRDefault="00E541EE" w:rsidP="00A84BB5">
            <w:pPr>
              <w:widowControl w:val="0"/>
              <w:autoSpaceDE w:val="0"/>
              <w:autoSpaceDN w:val="0"/>
              <w:ind w:right="97" w:hanging="44"/>
              <w:jc w:val="center"/>
              <w:rPr>
                <w:rFonts w:cstheme="minorHAnsi"/>
                <w:b/>
                <w:sz w:val="16"/>
                <w:szCs w:val="16"/>
              </w:rPr>
            </w:pPr>
          </w:p>
        </w:tc>
        <w:tc>
          <w:tcPr>
            <w:tcW w:w="993" w:type="dxa"/>
            <w:vMerge/>
            <w:tcBorders>
              <w:bottom w:val="single" w:sz="4" w:space="0" w:color="auto"/>
            </w:tcBorders>
            <w:vAlign w:val="center"/>
          </w:tcPr>
          <w:p w14:paraId="3DF8CB43" w14:textId="77777777" w:rsidR="00E541EE" w:rsidRPr="00FF2327" w:rsidRDefault="00E541EE" w:rsidP="00A84BB5">
            <w:pPr>
              <w:widowControl w:val="0"/>
              <w:autoSpaceDE w:val="0"/>
              <w:autoSpaceDN w:val="0"/>
              <w:ind w:left="44" w:right="32"/>
              <w:jc w:val="center"/>
              <w:rPr>
                <w:rFonts w:cstheme="minorHAnsi"/>
                <w:b/>
                <w:sz w:val="16"/>
                <w:szCs w:val="16"/>
              </w:rPr>
            </w:pPr>
          </w:p>
        </w:tc>
        <w:tc>
          <w:tcPr>
            <w:tcW w:w="708" w:type="dxa"/>
            <w:tcBorders>
              <w:bottom w:val="single" w:sz="4" w:space="0" w:color="auto"/>
            </w:tcBorders>
            <w:vAlign w:val="center"/>
          </w:tcPr>
          <w:p w14:paraId="0C9AA6E4" w14:textId="77777777" w:rsidR="00E541EE" w:rsidRPr="00FF2327" w:rsidRDefault="00E541EE" w:rsidP="00A84BB5">
            <w:pPr>
              <w:widowControl w:val="0"/>
              <w:autoSpaceDE w:val="0"/>
              <w:autoSpaceDN w:val="0"/>
              <w:ind w:left="87" w:right="70"/>
              <w:jc w:val="center"/>
              <w:rPr>
                <w:rFonts w:cstheme="minorHAnsi"/>
                <w:b/>
                <w:sz w:val="16"/>
                <w:szCs w:val="16"/>
              </w:rPr>
            </w:pPr>
            <w:r w:rsidRPr="00FF2327">
              <w:rPr>
                <w:rFonts w:cstheme="minorHAnsi"/>
                <w:b/>
                <w:sz w:val="16"/>
                <w:szCs w:val="16"/>
              </w:rPr>
              <w:t>za 202</w:t>
            </w:r>
            <w:r>
              <w:rPr>
                <w:rFonts w:cstheme="minorHAnsi"/>
                <w:b/>
                <w:sz w:val="16"/>
                <w:szCs w:val="16"/>
              </w:rPr>
              <w:t>6</w:t>
            </w:r>
            <w:r w:rsidRPr="00FF2327">
              <w:rPr>
                <w:rFonts w:cstheme="minorHAnsi"/>
                <w:b/>
                <w:sz w:val="16"/>
                <w:szCs w:val="16"/>
              </w:rPr>
              <w:t>.</w:t>
            </w:r>
          </w:p>
        </w:tc>
        <w:tc>
          <w:tcPr>
            <w:tcW w:w="567" w:type="dxa"/>
            <w:tcBorders>
              <w:bottom w:val="single" w:sz="4" w:space="0" w:color="auto"/>
            </w:tcBorders>
            <w:vAlign w:val="center"/>
          </w:tcPr>
          <w:p w14:paraId="24013705" w14:textId="77777777" w:rsidR="00E541EE" w:rsidRPr="00FF2327" w:rsidRDefault="00E541EE" w:rsidP="00A84BB5">
            <w:pPr>
              <w:widowControl w:val="0"/>
              <w:autoSpaceDE w:val="0"/>
              <w:autoSpaceDN w:val="0"/>
              <w:ind w:left="75" w:right="61"/>
              <w:jc w:val="center"/>
              <w:rPr>
                <w:rFonts w:cstheme="minorHAnsi"/>
                <w:b/>
                <w:sz w:val="16"/>
                <w:szCs w:val="16"/>
              </w:rPr>
            </w:pPr>
            <w:r w:rsidRPr="00FF2327">
              <w:rPr>
                <w:rFonts w:cstheme="minorHAnsi"/>
                <w:b/>
                <w:sz w:val="16"/>
                <w:szCs w:val="16"/>
              </w:rPr>
              <w:t>za</w:t>
            </w:r>
          </w:p>
          <w:p w14:paraId="5DA88B83" w14:textId="77777777" w:rsidR="00E541EE" w:rsidRPr="00FF2327" w:rsidRDefault="00E541EE" w:rsidP="00A84BB5">
            <w:pPr>
              <w:widowControl w:val="0"/>
              <w:autoSpaceDE w:val="0"/>
              <w:autoSpaceDN w:val="0"/>
              <w:ind w:left="75" w:right="61"/>
              <w:jc w:val="center"/>
              <w:rPr>
                <w:rFonts w:cstheme="minorHAnsi"/>
                <w:b/>
                <w:sz w:val="16"/>
                <w:szCs w:val="16"/>
              </w:rPr>
            </w:pPr>
            <w:r w:rsidRPr="00FF2327">
              <w:rPr>
                <w:rFonts w:cstheme="minorHAnsi"/>
                <w:b/>
                <w:sz w:val="16"/>
                <w:szCs w:val="16"/>
              </w:rPr>
              <w:t>202</w:t>
            </w:r>
            <w:r>
              <w:rPr>
                <w:rFonts w:cstheme="minorHAnsi"/>
                <w:b/>
                <w:sz w:val="16"/>
                <w:szCs w:val="16"/>
              </w:rPr>
              <w:t>7</w:t>
            </w:r>
            <w:r w:rsidRPr="00FF2327">
              <w:rPr>
                <w:rFonts w:cstheme="minorHAnsi"/>
                <w:b/>
                <w:sz w:val="16"/>
                <w:szCs w:val="16"/>
              </w:rPr>
              <w:t>.</w:t>
            </w:r>
          </w:p>
        </w:tc>
        <w:tc>
          <w:tcPr>
            <w:tcW w:w="993" w:type="dxa"/>
            <w:tcBorders>
              <w:bottom w:val="single" w:sz="4" w:space="0" w:color="auto"/>
            </w:tcBorders>
            <w:vAlign w:val="center"/>
          </w:tcPr>
          <w:p w14:paraId="25FD127C" w14:textId="77777777" w:rsidR="00E541EE" w:rsidRPr="00FF2327" w:rsidRDefault="00E541EE" w:rsidP="00A84BB5">
            <w:pPr>
              <w:widowControl w:val="0"/>
              <w:autoSpaceDE w:val="0"/>
              <w:autoSpaceDN w:val="0"/>
              <w:ind w:left="70" w:right="56"/>
              <w:jc w:val="center"/>
              <w:rPr>
                <w:rFonts w:cstheme="minorHAnsi"/>
                <w:b/>
                <w:sz w:val="16"/>
                <w:szCs w:val="16"/>
              </w:rPr>
            </w:pPr>
            <w:r w:rsidRPr="00FF2327">
              <w:rPr>
                <w:rFonts w:cstheme="minorHAnsi"/>
                <w:b/>
                <w:sz w:val="16"/>
                <w:szCs w:val="16"/>
              </w:rPr>
              <w:t>za</w:t>
            </w:r>
          </w:p>
          <w:p w14:paraId="78BAD61E" w14:textId="77777777" w:rsidR="00E541EE" w:rsidRPr="00FF2327" w:rsidRDefault="00E541EE" w:rsidP="00A84BB5">
            <w:pPr>
              <w:widowControl w:val="0"/>
              <w:autoSpaceDE w:val="0"/>
              <w:autoSpaceDN w:val="0"/>
              <w:ind w:left="70" w:right="56"/>
              <w:jc w:val="center"/>
              <w:rPr>
                <w:rFonts w:cstheme="minorHAnsi"/>
                <w:b/>
                <w:sz w:val="16"/>
                <w:szCs w:val="16"/>
              </w:rPr>
            </w:pPr>
            <w:r w:rsidRPr="00FF2327">
              <w:rPr>
                <w:rFonts w:cstheme="minorHAnsi"/>
                <w:b/>
                <w:sz w:val="16"/>
                <w:szCs w:val="16"/>
              </w:rPr>
              <w:t>202</w:t>
            </w:r>
            <w:r>
              <w:rPr>
                <w:rFonts w:cstheme="minorHAnsi"/>
                <w:b/>
                <w:sz w:val="16"/>
                <w:szCs w:val="16"/>
              </w:rPr>
              <w:t>8</w:t>
            </w:r>
            <w:r w:rsidRPr="00FF2327">
              <w:rPr>
                <w:rFonts w:cstheme="minorHAnsi"/>
                <w:b/>
                <w:sz w:val="16"/>
                <w:szCs w:val="16"/>
              </w:rPr>
              <w:t>.</w:t>
            </w:r>
          </w:p>
        </w:tc>
      </w:tr>
      <w:tr w:rsidR="00E541EE" w:rsidRPr="003F09F8" w14:paraId="60878FB9" w14:textId="77777777" w:rsidTr="00E373CC">
        <w:trPr>
          <w:trHeight w:val="1365"/>
        </w:trPr>
        <w:tc>
          <w:tcPr>
            <w:tcW w:w="1135" w:type="dxa"/>
            <w:vMerge w:val="restart"/>
            <w:vAlign w:val="center"/>
          </w:tcPr>
          <w:p w14:paraId="6B1EA0FC" w14:textId="77777777" w:rsidR="00E541EE" w:rsidRPr="003F09F8" w:rsidRDefault="00E541EE" w:rsidP="00A84BB5">
            <w:pPr>
              <w:widowControl w:val="0"/>
              <w:autoSpaceDE w:val="0"/>
              <w:autoSpaceDN w:val="0"/>
              <w:spacing w:before="49"/>
              <w:ind w:left="44" w:right="35"/>
              <w:jc w:val="center"/>
              <w:rPr>
                <w:rFonts w:ascii="Arial" w:hAnsi="Arial" w:cs="Arial"/>
                <w:sz w:val="14"/>
                <w:szCs w:val="14"/>
              </w:rPr>
            </w:pPr>
            <w:r w:rsidRPr="003F09F8">
              <w:rPr>
                <w:rFonts w:ascii="Arial" w:hAnsi="Arial" w:cs="Arial"/>
                <w:sz w:val="14"/>
                <w:szCs w:val="14"/>
              </w:rPr>
              <w:t>Provedbeni program Grada Rovinja-Rovigno za razdoblje 2025.-2029. godine</w:t>
            </w:r>
          </w:p>
          <w:p w14:paraId="1112D1B2" w14:textId="77777777" w:rsidR="00E541EE" w:rsidRPr="003F09F8" w:rsidRDefault="00E541EE" w:rsidP="00A84BB5">
            <w:pPr>
              <w:widowControl w:val="0"/>
              <w:autoSpaceDE w:val="0"/>
              <w:autoSpaceDN w:val="0"/>
              <w:spacing w:before="49"/>
              <w:ind w:left="44" w:right="35"/>
              <w:jc w:val="center"/>
              <w:rPr>
                <w:rFonts w:ascii="Arial" w:hAnsi="Arial" w:cs="Arial"/>
                <w:sz w:val="14"/>
                <w:szCs w:val="14"/>
              </w:rPr>
            </w:pPr>
          </w:p>
        </w:tc>
        <w:tc>
          <w:tcPr>
            <w:tcW w:w="850" w:type="dxa"/>
            <w:vMerge w:val="restart"/>
            <w:vAlign w:val="center"/>
          </w:tcPr>
          <w:p w14:paraId="1A034DBE" w14:textId="77777777" w:rsidR="00E541EE" w:rsidRPr="003F09F8" w:rsidRDefault="00E541EE" w:rsidP="00A84BB5">
            <w:pPr>
              <w:widowControl w:val="0"/>
              <w:autoSpaceDE w:val="0"/>
              <w:autoSpaceDN w:val="0"/>
              <w:jc w:val="center"/>
              <w:rPr>
                <w:rFonts w:ascii="Arial" w:hAnsi="Arial" w:cs="Arial"/>
                <w:sz w:val="14"/>
                <w:szCs w:val="14"/>
                <w:highlight w:val="red"/>
              </w:rPr>
            </w:pPr>
          </w:p>
          <w:p w14:paraId="0BCA2EB8" w14:textId="77777777" w:rsidR="00E541EE" w:rsidRPr="003F09F8" w:rsidRDefault="00E541EE" w:rsidP="00A84BB5">
            <w:pPr>
              <w:widowControl w:val="0"/>
              <w:autoSpaceDE w:val="0"/>
              <w:autoSpaceDN w:val="0"/>
              <w:jc w:val="center"/>
              <w:rPr>
                <w:rFonts w:ascii="Arial" w:hAnsi="Arial" w:cs="Arial"/>
                <w:sz w:val="14"/>
                <w:szCs w:val="14"/>
                <w:highlight w:val="red"/>
              </w:rPr>
            </w:pPr>
            <w:r w:rsidRPr="003F09F8">
              <w:rPr>
                <w:rFonts w:ascii="Arial" w:hAnsi="Arial" w:cs="Arial"/>
                <w:sz w:val="14"/>
                <w:szCs w:val="14"/>
              </w:rPr>
              <w:t>2.1.Osiguranje visokih standarda i dostupnosti obrazovanja</w:t>
            </w:r>
          </w:p>
        </w:tc>
        <w:tc>
          <w:tcPr>
            <w:tcW w:w="992" w:type="dxa"/>
            <w:vMerge w:val="restart"/>
            <w:shd w:val="clear" w:color="auto" w:fill="FFF1CC"/>
            <w:vAlign w:val="center"/>
          </w:tcPr>
          <w:p w14:paraId="666F0143" w14:textId="77777777" w:rsidR="00E541EE" w:rsidRPr="003F09F8" w:rsidRDefault="00E541EE" w:rsidP="00A84BB5">
            <w:pPr>
              <w:widowControl w:val="0"/>
              <w:autoSpaceDE w:val="0"/>
              <w:autoSpaceDN w:val="0"/>
              <w:spacing w:before="7"/>
              <w:jc w:val="center"/>
              <w:rPr>
                <w:rFonts w:ascii="Arial" w:hAnsi="Arial" w:cs="Arial"/>
                <w:sz w:val="14"/>
                <w:szCs w:val="14"/>
              </w:rPr>
            </w:pPr>
          </w:p>
          <w:p w14:paraId="4B905EED" w14:textId="77777777" w:rsidR="00E541EE" w:rsidRPr="003F09F8" w:rsidRDefault="00E541EE" w:rsidP="00A84BB5">
            <w:pPr>
              <w:widowControl w:val="0"/>
              <w:autoSpaceDE w:val="0"/>
              <w:autoSpaceDN w:val="0"/>
              <w:spacing w:before="7"/>
              <w:jc w:val="center"/>
              <w:rPr>
                <w:rFonts w:ascii="Arial" w:hAnsi="Arial" w:cs="Arial"/>
                <w:sz w:val="14"/>
                <w:szCs w:val="14"/>
                <w:highlight w:val="yellow"/>
              </w:rPr>
            </w:pPr>
            <w:r w:rsidRPr="003F09F8">
              <w:rPr>
                <w:rFonts w:ascii="Arial" w:hAnsi="Arial" w:cs="Arial"/>
                <w:sz w:val="14"/>
                <w:szCs w:val="14"/>
              </w:rPr>
              <w:t>1036 Program: DJELATNOST USTANOVA U OSNOVNOM ŠKOLSTVU</w:t>
            </w:r>
          </w:p>
        </w:tc>
        <w:tc>
          <w:tcPr>
            <w:tcW w:w="851" w:type="dxa"/>
            <w:vMerge w:val="restart"/>
            <w:vAlign w:val="center"/>
          </w:tcPr>
          <w:p w14:paraId="7C968009" w14:textId="77777777" w:rsidR="00E541EE" w:rsidRPr="003F09F8" w:rsidRDefault="00E541EE" w:rsidP="00A84BB5">
            <w:pPr>
              <w:widowControl w:val="0"/>
              <w:autoSpaceDE w:val="0"/>
              <w:autoSpaceDN w:val="0"/>
              <w:spacing w:before="7"/>
              <w:jc w:val="center"/>
              <w:rPr>
                <w:rFonts w:ascii="Arial" w:hAnsi="Arial" w:cs="Arial"/>
                <w:sz w:val="14"/>
                <w:szCs w:val="14"/>
              </w:rPr>
            </w:pPr>
          </w:p>
          <w:p w14:paraId="34BAE696" w14:textId="77777777" w:rsidR="00E541EE" w:rsidRPr="003F09F8" w:rsidRDefault="00E541EE" w:rsidP="00A84BB5">
            <w:pPr>
              <w:widowControl w:val="0"/>
              <w:autoSpaceDE w:val="0"/>
              <w:autoSpaceDN w:val="0"/>
              <w:spacing w:before="7"/>
              <w:jc w:val="center"/>
              <w:rPr>
                <w:rFonts w:ascii="Arial" w:hAnsi="Arial" w:cs="Arial"/>
                <w:sz w:val="14"/>
                <w:szCs w:val="14"/>
              </w:rPr>
            </w:pPr>
          </w:p>
          <w:p w14:paraId="012CD227" w14:textId="77777777" w:rsidR="00E541EE" w:rsidRPr="003F09F8" w:rsidRDefault="00E541EE" w:rsidP="00A84BB5">
            <w:pPr>
              <w:widowControl w:val="0"/>
              <w:autoSpaceDE w:val="0"/>
              <w:autoSpaceDN w:val="0"/>
              <w:spacing w:before="7"/>
              <w:jc w:val="center"/>
              <w:rPr>
                <w:rFonts w:ascii="Arial" w:hAnsi="Arial" w:cs="Arial"/>
                <w:sz w:val="14"/>
                <w:szCs w:val="14"/>
              </w:rPr>
            </w:pPr>
            <w:r w:rsidRPr="003F09F8">
              <w:rPr>
                <w:rFonts w:ascii="Arial" w:hAnsi="Arial" w:cs="Arial"/>
                <w:sz w:val="14"/>
                <w:szCs w:val="14"/>
              </w:rPr>
              <w:t>13. Osiguranje i poboljšanje dostupnosti odgoja i obrazovanja djeci i roditeljima/starateljima</w:t>
            </w:r>
          </w:p>
          <w:p w14:paraId="2F86C47D" w14:textId="77777777" w:rsidR="00E541EE" w:rsidRPr="003F09F8" w:rsidRDefault="00E541EE" w:rsidP="00A84BB5">
            <w:pPr>
              <w:widowControl w:val="0"/>
              <w:autoSpaceDE w:val="0"/>
              <w:autoSpaceDN w:val="0"/>
              <w:spacing w:before="7"/>
              <w:jc w:val="center"/>
              <w:rPr>
                <w:rFonts w:ascii="Arial" w:hAnsi="Arial" w:cs="Arial"/>
                <w:sz w:val="14"/>
                <w:szCs w:val="14"/>
              </w:rPr>
            </w:pPr>
          </w:p>
          <w:p w14:paraId="602CAA3A" w14:textId="77777777" w:rsidR="00E541EE" w:rsidRPr="003F09F8" w:rsidRDefault="00E541EE" w:rsidP="00A84BB5">
            <w:pPr>
              <w:widowControl w:val="0"/>
              <w:autoSpaceDE w:val="0"/>
              <w:autoSpaceDN w:val="0"/>
              <w:spacing w:before="7"/>
              <w:jc w:val="center"/>
              <w:rPr>
                <w:rFonts w:ascii="Arial" w:hAnsi="Arial" w:cs="Arial"/>
                <w:sz w:val="14"/>
                <w:szCs w:val="14"/>
                <w:highlight w:val="yellow"/>
              </w:rPr>
            </w:pPr>
            <w:r w:rsidRPr="003F09F8">
              <w:rPr>
                <w:rFonts w:ascii="Arial" w:hAnsi="Arial" w:cs="Arial"/>
                <w:sz w:val="14"/>
                <w:szCs w:val="14"/>
              </w:rPr>
              <w:t>22. Poticanje demografske revitalizacije društva</w:t>
            </w:r>
          </w:p>
        </w:tc>
        <w:tc>
          <w:tcPr>
            <w:tcW w:w="992" w:type="dxa"/>
            <w:vMerge w:val="restart"/>
            <w:shd w:val="clear" w:color="auto" w:fill="FFF1CC"/>
            <w:vAlign w:val="center"/>
          </w:tcPr>
          <w:p w14:paraId="2C8B6EF7" w14:textId="77777777" w:rsidR="00E541EE" w:rsidRPr="003F09F8" w:rsidRDefault="00E541EE" w:rsidP="00A84BB5">
            <w:pPr>
              <w:widowControl w:val="0"/>
              <w:autoSpaceDE w:val="0"/>
              <w:autoSpaceDN w:val="0"/>
              <w:jc w:val="center"/>
              <w:rPr>
                <w:rFonts w:ascii="Arial" w:hAnsi="Arial" w:cs="Arial"/>
                <w:sz w:val="14"/>
                <w:szCs w:val="14"/>
                <w:highlight w:val="yellow"/>
              </w:rPr>
            </w:pPr>
            <w:r w:rsidRPr="003F09F8">
              <w:rPr>
                <w:rFonts w:ascii="Arial" w:hAnsi="Arial" w:cs="Arial"/>
                <w:sz w:val="14"/>
                <w:szCs w:val="14"/>
              </w:rPr>
              <w:t>7.609.145,00</w:t>
            </w:r>
          </w:p>
        </w:tc>
        <w:tc>
          <w:tcPr>
            <w:tcW w:w="1418" w:type="dxa"/>
            <w:vMerge w:val="restart"/>
            <w:tcBorders>
              <w:right w:val="single" w:sz="4" w:space="0" w:color="auto"/>
            </w:tcBorders>
            <w:vAlign w:val="center"/>
          </w:tcPr>
          <w:p w14:paraId="7C2CCD7F" w14:textId="77777777" w:rsidR="00E541EE" w:rsidRDefault="00E541EE" w:rsidP="00A84BB5">
            <w:pPr>
              <w:spacing w:after="120"/>
              <w:jc w:val="center"/>
              <w:rPr>
                <w:rFonts w:ascii="Arial" w:hAnsi="Arial" w:cs="Arial"/>
                <w:b/>
                <w:sz w:val="14"/>
                <w:szCs w:val="14"/>
              </w:rPr>
            </w:pPr>
            <w:r w:rsidRPr="003F09F8">
              <w:rPr>
                <w:rFonts w:ascii="Arial" w:hAnsi="Arial" w:cs="Arial"/>
                <w:b/>
                <w:sz w:val="14"/>
                <w:szCs w:val="14"/>
              </w:rPr>
              <w:t xml:space="preserve">Proračunski korisnik 11453: TOŠ - SEI  Bernardo Benussi </w:t>
            </w:r>
          </w:p>
          <w:p w14:paraId="5DD4842F" w14:textId="77777777" w:rsidR="00E541EE" w:rsidRDefault="00E541EE" w:rsidP="00A84BB5">
            <w:pPr>
              <w:spacing w:after="120"/>
              <w:jc w:val="center"/>
              <w:rPr>
                <w:rFonts w:ascii="Arial" w:hAnsi="Arial" w:cs="Arial"/>
                <w:b/>
                <w:sz w:val="14"/>
                <w:szCs w:val="14"/>
              </w:rPr>
            </w:pPr>
          </w:p>
          <w:p w14:paraId="3CDFF370" w14:textId="77777777" w:rsidR="00E541EE" w:rsidRDefault="00E541EE" w:rsidP="00A84BB5">
            <w:pPr>
              <w:spacing w:after="120"/>
              <w:jc w:val="center"/>
              <w:rPr>
                <w:rFonts w:ascii="Arial" w:hAnsi="Arial" w:cs="Arial"/>
                <w:b/>
                <w:sz w:val="14"/>
                <w:szCs w:val="14"/>
              </w:rPr>
            </w:pPr>
          </w:p>
          <w:p w14:paraId="768AECE5" w14:textId="77777777" w:rsidR="00E541EE" w:rsidRPr="003F09F8" w:rsidRDefault="00E541EE" w:rsidP="00A84BB5">
            <w:pPr>
              <w:spacing w:after="120"/>
              <w:jc w:val="center"/>
              <w:rPr>
                <w:rFonts w:ascii="Arial" w:hAnsi="Arial" w:cs="Arial"/>
                <w:b/>
                <w:sz w:val="14"/>
                <w:szCs w:val="14"/>
              </w:rPr>
            </w:pPr>
            <w:r w:rsidRPr="003F09F8">
              <w:rPr>
                <w:rFonts w:ascii="Arial" w:hAnsi="Arial" w:cs="Arial"/>
                <w:b/>
                <w:sz w:val="14"/>
                <w:szCs w:val="14"/>
              </w:rPr>
              <w:t>Rovinj - Rovigno</w:t>
            </w:r>
          </w:p>
          <w:p w14:paraId="4AAF0BE5" w14:textId="77777777" w:rsidR="00E541EE" w:rsidRDefault="00E541EE" w:rsidP="00A84BB5">
            <w:pPr>
              <w:spacing w:after="120"/>
              <w:jc w:val="center"/>
              <w:rPr>
                <w:rFonts w:ascii="Arial" w:hAnsi="Arial" w:cs="Arial"/>
                <w:b/>
                <w:sz w:val="14"/>
                <w:szCs w:val="14"/>
              </w:rPr>
            </w:pPr>
          </w:p>
          <w:p w14:paraId="38683007" w14:textId="77777777" w:rsidR="00E541EE" w:rsidRDefault="00E541EE" w:rsidP="00A84BB5">
            <w:pPr>
              <w:spacing w:after="120"/>
              <w:jc w:val="center"/>
              <w:rPr>
                <w:rFonts w:ascii="Arial" w:hAnsi="Arial" w:cs="Arial"/>
                <w:b/>
                <w:sz w:val="14"/>
                <w:szCs w:val="14"/>
              </w:rPr>
            </w:pPr>
          </w:p>
          <w:p w14:paraId="10073C3C" w14:textId="77777777" w:rsidR="00E541EE" w:rsidRDefault="00E541EE" w:rsidP="00A84BB5">
            <w:pPr>
              <w:spacing w:after="120"/>
              <w:jc w:val="center"/>
              <w:rPr>
                <w:rFonts w:ascii="Arial" w:hAnsi="Arial" w:cs="Arial"/>
                <w:b/>
                <w:sz w:val="14"/>
                <w:szCs w:val="14"/>
              </w:rPr>
            </w:pPr>
          </w:p>
          <w:p w14:paraId="009E8C6A" w14:textId="77777777" w:rsidR="00E541EE" w:rsidRDefault="00E541EE" w:rsidP="00A84BB5">
            <w:pPr>
              <w:spacing w:after="120"/>
              <w:jc w:val="center"/>
              <w:rPr>
                <w:rFonts w:ascii="Arial" w:hAnsi="Arial" w:cs="Arial"/>
                <w:b/>
                <w:sz w:val="14"/>
                <w:szCs w:val="14"/>
              </w:rPr>
            </w:pPr>
          </w:p>
          <w:p w14:paraId="5D7D5DFA" w14:textId="77777777" w:rsidR="00E541EE" w:rsidRPr="003F09F8" w:rsidRDefault="00E541EE" w:rsidP="00A84BB5">
            <w:pPr>
              <w:spacing w:after="120"/>
              <w:jc w:val="center"/>
              <w:rPr>
                <w:rFonts w:ascii="Arial" w:hAnsi="Arial" w:cs="Arial"/>
                <w:b/>
                <w:sz w:val="14"/>
                <w:szCs w:val="14"/>
              </w:rPr>
            </w:pPr>
            <w:r w:rsidRPr="003F09F8">
              <w:rPr>
                <w:rFonts w:ascii="Arial" w:hAnsi="Arial" w:cs="Arial"/>
                <w:b/>
                <w:sz w:val="14"/>
                <w:szCs w:val="14"/>
              </w:rPr>
              <w:t>Proračun</w:t>
            </w:r>
            <w:r>
              <w:rPr>
                <w:rFonts w:ascii="Arial" w:hAnsi="Arial" w:cs="Arial"/>
                <w:b/>
                <w:sz w:val="14"/>
                <w:szCs w:val="14"/>
              </w:rPr>
              <w:t>-</w:t>
            </w:r>
            <w:r w:rsidRPr="003F09F8">
              <w:rPr>
                <w:rFonts w:ascii="Arial" w:hAnsi="Arial" w:cs="Arial"/>
                <w:b/>
                <w:sz w:val="14"/>
                <w:szCs w:val="14"/>
              </w:rPr>
              <w:t xml:space="preserve">ski korisnik 11461: OŠ - SE Vladimira Nazora Rovinj </w:t>
            </w:r>
            <w:r>
              <w:rPr>
                <w:rFonts w:ascii="Arial" w:hAnsi="Arial" w:cs="Arial"/>
                <w:b/>
                <w:sz w:val="14"/>
                <w:szCs w:val="14"/>
              </w:rPr>
              <w:t>-</w:t>
            </w:r>
            <w:r w:rsidRPr="003F09F8">
              <w:rPr>
                <w:rFonts w:ascii="Arial" w:hAnsi="Arial" w:cs="Arial"/>
                <w:b/>
                <w:sz w:val="14"/>
                <w:szCs w:val="14"/>
              </w:rPr>
              <w:t>Rovigno</w:t>
            </w:r>
          </w:p>
          <w:p w14:paraId="2D8B24C0" w14:textId="77777777" w:rsidR="00E541EE" w:rsidRPr="003F09F8" w:rsidRDefault="00E541EE" w:rsidP="00A84BB5">
            <w:pPr>
              <w:spacing w:after="120"/>
              <w:jc w:val="center"/>
              <w:rPr>
                <w:rFonts w:ascii="Arial" w:hAnsi="Arial" w:cs="Arial"/>
                <w:b/>
                <w:sz w:val="14"/>
                <w:szCs w:val="14"/>
              </w:rPr>
            </w:pPr>
            <w:r w:rsidRPr="003F09F8">
              <w:rPr>
                <w:rFonts w:ascii="Arial" w:hAnsi="Arial" w:cs="Arial"/>
                <w:b/>
                <w:sz w:val="14"/>
                <w:szCs w:val="14"/>
              </w:rPr>
              <w:t>Proračun</w:t>
            </w:r>
            <w:r>
              <w:rPr>
                <w:rFonts w:ascii="Arial" w:hAnsi="Arial" w:cs="Arial"/>
                <w:b/>
                <w:sz w:val="14"/>
                <w:szCs w:val="14"/>
              </w:rPr>
              <w:t>-</w:t>
            </w:r>
            <w:r w:rsidRPr="003F09F8">
              <w:rPr>
                <w:rFonts w:ascii="Arial" w:hAnsi="Arial" w:cs="Arial"/>
                <w:b/>
                <w:sz w:val="14"/>
                <w:szCs w:val="14"/>
              </w:rPr>
              <w:t>ski korisnik 11470: OŠ Jurja Dobrile</w:t>
            </w:r>
          </w:p>
          <w:p w14:paraId="4E0DB264" w14:textId="77777777" w:rsidR="00E541EE" w:rsidRPr="003F09F8" w:rsidRDefault="00E541EE" w:rsidP="00A84BB5">
            <w:pPr>
              <w:widowControl w:val="0"/>
              <w:autoSpaceDE w:val="0"/>
              <w:autoSpaceDN w:val="0"/>
              <w:spacing w:before="7"/>
              <w:jc w:val="center"/>
              <w:rPr>
                <w:rFonts w:ascii="Arial" w:hAnsi="Arial" w:cs="Arial"/>
                <w:sz w:val="14"/>
                <w:szCs w:val="14"/>
                <w:highlight w:val="yellow"/>
              </w:rPr>
            </w:pPr>
          </w:p>
        </w:tc>
        <w:tc>
          <w:tcPr>
            <w:tcW w:w="708" w:type="dxa"/>
            <w:tcBorders>
              <w:top w:val="single" w:sz="4" w:space="0" w:color="auto"/>
              <w:left w:val="single" w:sz="4" w:space="0" w:color="auto"/>
              <w:bottom w:val="single" w:sz="4" w:space="0" w:color="auto"/>
              <w:right w:val="single" w:sz="4" w:space="0" w:color="auto"/>
            </w:tcBorders>
            <w:vAlign w:val="center"/>
          </w:tcPr>
          <w:p w14:paraId="7E817B98" w14:textId="77777777" w:rsidR="00E541EE" w:rsidRPr="003F09F8" w:rsidRDefault="00E541EE" w:rsidP="00A84BB5">
            <w:pPr>
              <w:widowControl w:val="0"/>
              <w:autoSpaceDE w:val="0"/>
              <w:autoSpaceDN w:val="0"/>
              <w:jc w:val="center"/>
              <w:rPr>
                <w:rFonts w:ascii="Arial" w:hAnsi="Arial" w:cs="Arial"/>
                <w:sz w:val="14"/>
                <w:szCs w:val="14"/>
              </w:rPr>
            </w:pPr>
            <w:r w:rsidRPr="003F09F8">
              <w:rPr>
                <w:rFonts w:ascii="Arial" w:eastAsia="Times New Roman" w:hAnsi="Arial" w:cs="Arial"/>
                <w:sz w:val="14"/>
                <w:szCs w:val="14"/>
              </w:rPr>
              <w:t>Broj opremljenih objekata odgojno-obrazovnih ustanova</w:t>
            </w:r>
          </w:p>
        </w:tc>
        <w:tc>
          <w:tcPr>
            <w:tcW w:w="993" w:type="dxa"/>
            <w:tcBorders>
              <w:top w:val="single" w:sz="4" w:space="0" w:color="auto"/>
              <w:left w:val="single" w:sz="4" w:space="0" w:color="auto"/>
              <w:bottom w:val="single" w:sz="4" w:space="0" w:color="auto"/>
              <w:right w:val="single" w:sz="4" w:space="0" w:color="auto"/>
            </w:tcBorders>
            <w:vAlign w:val="center"/>
          </w:tcPr>
          <w:p w14:paraId="486F6B2E" w14:textId="77777777" w:rsidR="00E541EE" w:rsidRPr="003F09F8" w:rsidRDefault="00E541EE" w:rsidP="00A84BB5">
            <w:pPr>
              <w:widowControl w:val="0"/>
              <w:autoSpaceDE w:val="0"/>
              <w:autoSpaceDN w:val="0"/>
              <w:jc w:val="center"/>
              <w:rPr>
                <w:rFonts w:ascii="Arial" w:hAnsi="Arial" w:cs="Arial"/>
                <w:sz w:val="14"/>
                <w:szCs w:val="14"/>
              </w:rPr>
            </w:pPr>
            <w:r w:rsidRPr="003F09F8">
              <w:rPr>
                <w:rFonts w:ascii="Arial" w:eastAsia="Times New Roman" w:hAnsi="Arial" w:cs="Arial"/>
                <w:sz w:val="14"/>
                <w:szCs w:val="14"/>
              </w:rPr>
              <w:t>12</w:t>
            </w:r>
          </w:p>
        </w:tc>
        <w:tc>
          <w:tcPr>
            <w:tcW w:w="708" w:type="dxa"/>
            <w:tcBorders>
              <w:top w:val="single" w:sz="4" w:space="0" w:color="auto"/>
              <w:left w:val="single" w:sz="4" w:space="0" w:color="auto"/>
              <w:bottom w:val="single" w:sz="4" w:space="0" w:color="auto"/>
              <w:right w:val="single" w:sz="4" w:space="0" w:color="auto"/>
            </w:tcBorders>
            <w:vAlign w:val="center"/>
          </w:tcPr>
          <w:p w14:paraId="756FB261" w14:textId="77777777" w:rsidR="00E541EE" w:rsidRPr="003F09F8" w:rsidRDefault="00E541EE" w:rsidP="00A84BB5">
            <w:pPr>
              <w:widowControl w:val="0"/>
              <w:autoSpaceDE w:val="0"/>
              <w:autoSpaceDN w:val="0"/>
              <w:jc w:val="center"/>
              <w:rPr>
                <w:rFonts w:ascii="Arial" w:hAnsi="Arial" w:cs="Arial"/>
                <w:sz w:val="14"/>
                <w:szCs w:val="14"/>
              </w:rPr>
            </w:pPr>
            <w:r w:rsidRPr="003F09F8">
              <w:rPr>
                <w:rFonts w:ascii="Arial" w:eastAsia="Times New Roman" w:hAnsi="Arial" w:cs="Arial"/>
                <w:sz w:val="14"/>
                <w:szCs w:val="14"/>
              </w:rPr>
              <w:t>14</w:t>
            </w:r>
          </w:p>
        </w:tc>
        <w:tc>
          <w:tcPr>
            <w:tcW w:w="567" w:type="dxa"/>
            <w:tcBorders>
              <w:top w:val="single" w:sz="4" w:space="0" w:color="auto"/>
              <w:left w:val="single" w:sz="4" w:space="0" w:color="auto"/>
              <w:bottom w:val="single" w:sz="4" w:space="0" w:color="auto"/>
              <w:right w:val="single" w:sz="4" w:space="0" w:color="auto"/>
            </w:tcBorders>
            <w:vAlign w:val="center"/>
          </w:tcPr>
          <w:p w14:paraId="591B17F1" w14:textId="77777777" w:rsidR="00E541EE" w:rsidRPr="003F09F8" w:rsidRDefault="00E541EE" w:rsidP="00A84BB5">
            <w:pPr>
              <w:widowControl w:val="0"/>
              <w:autoSpaceDE w:val="0"/>
              <w:autoSpaceDN w:val="0"/>
              <w:jc w:val="center"/>
              <w:rPr>
                <w:rFonts w:ascii="Arial" w:hAnsi="Arial" w:cs="Arial"/>
                <w:sz w:val="14"/>
                <w:szCs w:val="14"/>
              </w:rPr>
            </w:pPr>
            <w:r w:rsidRPr="003F09F8">
              <w:rPr>
                <w:rFonts w:ascii="Arial" w:eastAsia="Times New Roman" w:hAnsi="Arial" w:cs="Arial"/>
                <w:sz w:val="14"/>
                <w:szCs w:val="14"/>
              </w:rPr>
              <w:t>15</w:t>
            </w:r>
          </w:p>
        </w:tc>
        <w:tc>
          <w:tcPr>
            <w:tcW w:w="993" w:type="dxa"/>
            <w:tcBorders>
              <w:top w:val="single" w:sz="4" w:space="0" w:color="auto"/>
              <w:left w:val="single" w:sz="4" w:space="0" w:color="auto"/>
              <w:bottom w:val="single" w:sz="4" w:space="0" w:color="auto"/>
              <w:right w:val="single" w:sz="4" w:space="0" w:color="auto"/>
            </w:tcBorders>
            <w:vAlign w:val="center"/>
          </w:tcPr>
          <w:p w14:paraId="7F72572F" w14:textId="77777777" w:rsidR="00E541EE" w:rsidRPr="003F09F8" w:rsidRDefault="00E541EE" w:rsidP="00A84BB5">
            <w:pPr>
              <w:widowControl w:val="0"/>
              <w:autoSpaceDE w:val="0"/>
              <w:autoSpaceDN w:val="0"/>
              <w:jc w:val="center"/>
              <w:rPr>
                <w:rFonts w:ascii="Arial" w:hAnsi="Arial" w:cs="Arial"/>
                <w:sz w:val="14"/>
                <w:szCs w:val="14"/>
              </w:rPr>
            </w:pPr>
            <w:r w:rsidRPr="003F09F8">
              <w:rPr>
                <w:rFonts w:ascii="Arial" w:eastAsia="Times New Roman" w:hAnsi="Arial" w:cs="Arial"/>
                <w:sz w:val="14"/>
                <w:szCs w:val="14"/>
              </w:rPr>
              <w:t>15</w:t>
            </w:r>
          </w:p>
        </w:tc>
      </w:tr>
      <w:tr w:rsidR="00E541EE" w:rsidRPr="003F09F8" w14:paraId="00F1D004" w14:textId="77777777" w:rsidTr="00E373CC">
        <w:trPr>
          <w:trHeight w:val="1365"/>
        </w:trPr>
        <w:tc>
          <w:tcPr>
            <w:tcW w:w="1135" w:type="dxa"/>
            <w:vMerge/>
            <w:vAlign w:val="center"/>
          </w:tcPr>
          <w:p w14:paraId="4BA18A8B" w14:textId="77777777" w:rsidR="00E541EE" w:rsidRPr="003F09F8" w:rsidRDefault="00E541EE" w:rsidP="00A84BB5">
            <w:pPr>
              <w:widowControl w:val="0"/>
              <w:autoSpaceDE w:val="0"/>
              <w:autoSpaceDN w:val="0"/>
              <w:spacing w:before="49"/>
              <w:ind w:left="44" w:right="35"/>
              <w:jc w:val="center"/>
              <w:rPr>
                <w:rFonts w:ascii="Arial" w:hAnsi="Arial" w:cs="Arial"/>
                <w:sz w:val="14"/>
                <w:szCs w:val="14"/>
              </w:rPr>
            </w:pPr>
          </w:p>
        </w:tc>
        <w:tc>
          <w:tcPr>
            <w:tcW w:w="850" w:type="dxa"/>
            <w:vMerge/>
            <w:vAlign w:val="center"/>
          </w:tcPr>
          <w:p w14:paraId="0F4CC446" w14:textId="77777777" w:rsidR="00E541EE" w:rsidRPr="003F09F8" w:rsidRDefault="00E541EE" w:rsidP="00A84BB5">
            <w:pPr>
              <w:widowControl w:val="0"/>
              <w:autoSpaceDE w:val="0"/>
              <w:autoSpaceDN w:val="0"/>
              <w:jc w:val="center"/>
              <w:rPr>
                <w:rFonts w:ascii="Arial" w:hAnsi="Arial" w:cs="Arial"/>
                <w:sz w:val="14"/>
                <w:szCs w:val="14"/>
                <w:highlight w:val="red"/>
              </w:rPr>
            </w:pPr>
          </w:p>
        </w:tc>
        <w:tc>
          <w:tcPr>
            <w:tcW w:w="992" w:type="dxa"/>
            <w:vMerge/>
            <w:shd w:val="clear" w:color="auto" w:fill="FFF1CC"/>
            <w:vAlign w:val="center"/>
          </w:tcPr>
          <w:p w14:paraId="0F1279BD" w14:textId="77777777" w:rsidR="00E541EE" w:rsidRPr="003F09F8" w:rsidRDefault="00E541EE" w:rsidP="00A84BB5">
            <w:pPr>
              <w:widowControl w:val="0"/>
              <w:autoSpaceDE w:val="0"/>
              <w:autoSpaceDN w:val="0"/>
              <w:spacing w:before="7"/>
              <w:jc w:val="center"/>
              <w:rPr>
                <w:rFonts w:ascii="Arial" w:hAnsi="Arial" w:cs="Arial"/>
                <w:sz w:val="14"/>
                <w:szCs w:val="14"/>
              </w:rPr>
            </w:pPr>
          </w:p>
        </w:tc>
        <w:tc>
          <w:tcPr>
            <w:tcW w:w="851" w:type="dxa"/>
            <w:vMerge/>
            <w:vAlign w:val="center"/>
          </w:tcPr>
          <w:p w14:paraId="52D50600" w14:textId="77777777" w:rsidR="00E541EE" w:rsidRPr="003F09F8" w:rsidRDefault="00E541EE" w:rsidP="00A84BB5">
            <w:pPr>
              <w:widowControl w:val="0"/>
              <w:autoSpaceDE w:val="0"/>
              <w:autoSpaceDN w:val="0"/>
              <w:spacing w:before="7"/>
              <w:jc w:val="center"/>
              <w:rPr>
                <w:rFonts w:ascii="Arial" w:hAnsi="Arial" w:cs="Arial"/>
                <w:sz w:val="14"/>
                <w:szCs w:val="14"/>
              </w:rPr>
            </w:pPr>
          </w:p>
        </w:tc>
        <w:tc>
          <w:tcPr>
            <w:tcW w:w="992" w:type="dxa"/>
            <w:vMerge/>
            <w:shd w:val="clear" w:color="auto" w:fill="FFF1CC"/>
            <w:vAlign w:val="center"/>
          </w:tcPr>
          <w:p w14:paraId="51540CA2" w14:textId="77777777" w:rsidR="00E541EE" w:rsidRPr="003F09F8" w:rsidRDefault="00E541EE" w:rsidP="00A84BB5">
            <w:pPr>
              <w:widowControl w:val="0"/>
              <w:autoSpaceDE w:val="0"/>
              <w:autoSpaceDN w:val="0"/>
              <w:jc w:val="center"/>
              <w:rPr>
                <w:rFonts w:ascii="Arial" w:hAnsi="Arial" w:cs="Arial"/>
                <w:sz w:val="14"/>
                <w:szCs w:val="14"/>
              </w:rPr>
            </w:pPr>
          </w:p>
        </w:tc>
        <w:tc>
          <w:tcPr>
            <w:tcW w:w="1418" w:type="dxa"/>
            <w:vMerge/>
            <w:tcBorders>
              <w:right w:val="single" w:sz="4" w:space="0" w:color="auto"/>
            </w:tcBorders>
            <w:vAlign w:val="center"/>
          </w:tcPr>
          <w:p w14:paraId="20758C81" w14:textId="77777777" w:rsidR="00E541EE" w:rsidRPr="003F09F8" w:rsidRDefault="00E541EE" w:rsidP="00A84BB5">
            <w:pPr>
              <w:spacing w:after="120"/>
              <w:jc w:val="center"/>
              <w:rPr>
                <w:rFonts w:ascii="Arial" w:hAnsi="Arial" w:cs="Arial"/>
                <w:b/>
                <w:sz w:val="14"/>
                <w:szCs w:val="14"/>
              </w:rPr>
            </w:pPr>
          </w:p>
        </w:tc>
        <w:tc>
          <w:tcPr>
            <w:tcW w:w="708" w:type="dxa"/>
            <w:tcBorders>
              <w:top w:val="single" w:sz="4" w:space="0" w:color="auto"/>
              <w:left w:val="single" w:sz="4" w:space="0" w:color="auto"/>
              <w:bottom w:val="single" w:sz="4" w:space="0" w:color="auto"/>
              <w:right w:val="single" w:sz="4" w:space="0" w:color="auto"/>
            </w:tcBorders>
            <w:vAlign w:val="center"/>
          </w:tcPr>
          <w:p w14:paraId="589BE8AF" w14:textId="77777777" w:rsidR="00E541EE" w:rsidRPr="003F09F8" w:rsidRDefault="00E541EE" w:rsidP="00A84BB5">
            <w:pPr>
              <w:widowControl w:val="0"/>
              <w:autoSpaceDE w:val="0"/>
              <w:autoSpaceDN w:val="0"/>
              <w:jc w:val="center"/>
              <w:rPr>
                <w:rFonts w:ascii="Arial" w:hAnsi="Arial" w:cs="Arial"/>
                <w:sz w:val="14"/>
                <w:szCs w:val="14"/>
              </w:rPr>
            </w:pPr>
            <w:r w:rsidRPr="003F09F8">
              <w:rPr>
                <w:rFonts w:ascii="Arial" w:eastAsia="Times New Roman" w:hAnsi="Arial" w:cs="Arial"/>
                <w:sz w:val="14"/>
                <w:szCs w:val="14"/>
              </w:rPr>
              <w:t>Ukupan broj učenika sa srednjim školama</w:t>
            </w:r>
          </w:p>
        </w:tc>
        <w:tc>
          <w:tcPr>
            <w:tcW w:w="993" w:type="dxa"/>
            <w:tcBorders>
              <w:top w:val="single" w:sz="4" w:space="0" w:color="auto"/>
              <w:left w:val="single" w:sz="4" w:space="0" w:color="auto"/>
              <w:bottom w:val="single" w:sz="4" w:space="0" w:color="auto"/>
              <w:right w:val="single" w:sz="4" w:space="0" w:color="auto"/>
            </w:tcBorders>
            <w:vAlign w:val="center"/>
          </w:tcPr>
          <w:p w14:paraId="703A67C6" w14:textId="77777777" w:rsidR="00E541EE" w:rsidRPr="003F09F8" w:rsidRDefault="00E541EE" w:rsidP="00A84BB5">
            <w:pPr>
              <w:widowControl w:val="0"/>
              <w:autoSpaceDE w:val="0"/>
              <w:autoSpaceDN w:val="0"/>
              <w:jc w:val="center"/>
              <w:rPr>
                <w:rFonts w:ascii="Arial" w:hAnsi="Arial" w:cs="Arial"/>
                <w:sz w:val="14"/>
                <w:szCs w:val="14"/>
              </w:rPr>
            </w:pPr>
            <w:r w:rsidRPr="003F09F8">
              <w:rPr>
                <w:rFonts w:ascii="Arial" w:eastAsia="Times New Roman" w:hAnsi="Arial" w:cs="Arial"/>
                <w:sz w:val="14"/>
                <w:szCs w:val="14"/>
              </w:rPr>
              <w:t>1824</w:t>
            </w:r>
          </w:p>
        </w:tc>
        <w:tc>
          <w:tcPr>
            <w:tcW w:w="708" w:type="dxa"/>
            <w:tcBorders>
              <w:top w:val="single" w:sz="4" w:space="0" w:color="auto"/>
              <w:left w:val="single" w:sz="4" w:space="0" w:color="auto"/>
              <w:bottom w:val="single" w:sz="4" w:space="0" w:color="auto"/>
              <w:right w:val="single" w:sz="4" w:space="0" w:color="auto"/>
            </w:tcBorders>
            <w:vAlign w:val="center"/>
          </w:tcPr>
          <w:p w14:paraId="0BAC0DD8" w14:textId="77777777" w:rsidR="00E541EE" w:rsidRPr="003F09F8" w:rsidRDefault="00E541EE" w:rsidP="00A84BB5">
            <w:pPr>
              <w:widowControl w:val="0"/>
              <w:autoSpaceDE w:val="0"/>
              <w:autoSpaceDN w:val="0"/>
              <w:jc w:val="center"/>
              <w:rPr>
                <w:rFonts w:ascii="Arial" w:hAnsi="Arial" w:cs="Arial"/>
                <w:sz w:val="14"/>
                <w:szCs w:val="14"/>
              </w:rPr>
            </w:pPr>
            <w:r w:rsidRPr="003F09F8">
              <w:rPr>
                <w:rFonts w:ascii="Arial" w:eastAsia="Times New Roman" w:hAnsi="Arial" w:cs="Arial"/>
                <w:sz w:val="14"/>
                <w:szCs w:val="14"/>
              </w:rPr>
              <w:t>1900</w:t>
            </w:r>
          </w:p>
        </w:tc>
        <w:tc>
          <w:tcPr>
            <w:tcW w:w="567" w:type="dxa"/>
            <w:tcBorders>
              <w:top w:val="single" w:sz="4" w:space="0" w:color="auto"/>
              <w:left w:val="single" w:sz="4" w:space="0" w:color="auto"/>
              <w:bottom w:val="single" w:sz="4" w:space="0" w:color="auto"/>
              <w:right w:val="single" w:sz="4" w:space="0" w:color="auto"/>
            </w:tcBorders>
            <w:vAlign w:val="center"/>
          </w:tcPr>
          <w:p w14:paraId="629BD522" w14:textId="77777777" w:rsidR="00E541EE" w:rsidRPr="003F09F8" w:rsidRDefault="00E541EE" w:rsidP="00A84BB5">
            <w:pPr>
              <w:widowControl w:val="0"/>
              <w:autoSpaceDE w:val="0"/>
              <w:autoSpaceDN w:val="0"/>
              <w:jc w:val="center"/>
              <w:rPr>
                <w:rFonts w:ascii="Arial" w:hAnsi="Arial" w:cs="Arial"/>
                <w:sz w:val="14"/>
                <w:szCs w:val="14"/>
              </w:rPr>
            </w:pPr>
            <w:r w:rsidRPr="003F09F8">
              <w:rPr>
                <w:rFonts w:ascii="Arial" w:eastAsia="Times New Roman" w:hAnsi="Arial" w:cs="Arial"/>
                <w:sz w:val="14"/>
                <w:szCs w:val="14"/>
              </w:rPr>
              <w:t>1950</w:t>
            </w:r>
          </w:p>
        </w:tc>
        <w:tc>
          <w:tcPr>
            <w:tcW w:w="993" w:type="dxa"/>
            <w:tcBorders>
              <w:top w:val="single" w:sz="4" w:space="0" w:color="auto"/>
              <w:left w:val="single" w:sz="4" w:space="0" w:color="auto"/>
              <w:bottom w:val="single" w:sz="4" w:space="0" w:color="auto"/>
              <w:right w:val="single" w:sz="4" w:space="0" w:color="auto"/>
            </w:tcBorders>
            <w:vAlign w:val="center"/>
          </w:tcPr>
          <w:p w14:paraId="0F4C6600" w14:textId="77777777" w:rsidR="00E541EE" w:rsidRPr="003F09F8" w:rsidRDefault="00E541EE" w:rsidP="00A84BB5">
            <w:pPr>
              <w:widowControl w:val="0"/>
              <w:autoSpaceDE w:val="0"/>
              <w:autoSpaceDN w:val="0"/>
              <w:jc w:val="center"/>
              <w:rPr>
                <w:rFonts w:ascii="Arial" w:hAnsi="Arial" w:cs="Arial"/>
                <w:sz w:val="14"/>
                <w:szCs w:val="14"/>
              </w:rPr>
            </w:pPr>
            <w:r w:rsidRPr="003F09F8">
              <w:rPr>
                <w:rFonts w:ascii="Arial" w:eastAsia="Times New Roman" w:hAnsi="Arial" w:cs="Arial"/>
                <w:sz w:val="14"/>
                <w:szCs w:val="14"/>
              </w:rPr>
              <w:t>1950</w:t>
            </w:r>
          </w:p>
        </w:tc>
      </w:tr>
      <w:tr w:rsidR="00E541EE" w:rsidRPr="003F09F8" w14:paraId="17C42D14" w14:textId="77777777" w:rsidTr="00E373CC">
        <w:trPr>
          <w:trHeight w:val="1365"/>
        </w:trPr>
        <w:tc>
          <w:tcPr>
            <w:tcW w:w="1135" w:type="dxa"/>
            <w:vMerge/>
            <w:vAlign w:val="center"/>
          </w:tcPr>
          <w:p w14:paraId="57C5DDE7" w14:textId="77777777" w:rsidR="00E541EE" w:rsidRPr="003F09F8" w:rsidRDefault="00E541EE" w:rsidP="00A84BB5">
            <w:pPr>
              <w:widowControl w:val="0"/>
              <w:autoSpaceDE w:val="0"/>
              <w:autoSpaceDN w:val="0"/>
              <w:spacing w:before="49"/>
              <w:ind w:left="44" w:right="35"/>
              <w:jc w:val="center"/>
              <w:rPr>
                <w:rFonts w:ascii="Arial" w:hAnsi="Arial" w:cs="Arial"/>
                <w:sz w:val="14"/>
                <w:szCs w:val="14"/>
              </w:rPr>
            </w:pPr>
          </w:p>
        </w:tc>
        <w:tc>
          <w:tcPr>
            <w:tcW w:w="850" w:type="dxa"/>
            <w:vMerge/>
            <w:vAlign w:val="center"/>
          </w:tcPr>
          <w:p w14:paraId="5CDEC674" w14:textId="77777777" w:rsidR="00E541EE" w:rsidRPr="003F09F8" w:rsidRDefault="00E541EE" w:rsidP="00A84BB5">
            <w:pPr>
              <w:widowControl w:val="0"/>
              <w:autoSpaceDE w:val="0"/>
              <w:autoSpaceDN w:val="0"/>
              <w:jc w:val="center"/>
              <w:rPr>
                <w:rFonts w:ascii="Arial" w:hAnsi="Arial" w:cs="Arial"/>
                <w:sz w:val="14"/>
                <w:szCs w:val="14"/>
                <w:highlight w:val="red"/>
              </w:rPr>
            </w:pPr>
          </w:p>
        </w:tc>
        <w:tc>
          <w:tcPr>
            <w:tcW w:w="992" w:type="dxa"/>
            <w:vMerge/>
            <w:shd w:val="clear" w:color="auto" w:fill="FFF1CC"/>
            <w:vAlign w:val="center"/>
          </w:tcPr>
          <w:p w14:paraId="697025C8" w14:textId="77777777" w:rsidR="00E541EE" w:rsidRPr="003F09F8" w:rsidRDefault="00E541EE" w:rsidP="00A84BB5">
            <w:pPr>
              <w:widowControl w:val="0"/>
              <w:autoSpaceDE w:val="0"/>
              <w:autoSpaceDN w:val="0"/>
              <w:spacing w:before="7"/>
              <w:jc w:val="center"/>
              <w:rPr>
                <w:rFonts w:ascii="Arial" w:hAnsi="Arial" w:cs="Arial"/>
                <w:sz w:val="14"/>
                <w:szCs w:val="14"/>
              </w:rPr>
            </w:pPr>
          </w:p>
        </w:tc>
        <w:tc>
          <w:tcPr>
            <w:tcW w:w="851" w:type="dxa"/>
            <w:vMerge/>
            <w:vAlign w:val="center"/>
          </w:tcPr>
          <w:p w14:paraId="0E665B1A" w14:textId="77777777" w:rsidR="00E541EE" w:rsidRPr="003F09F8" w:rsidRDefault="00E541EE" w:rsidP="00A84BB5">
            <w:pPr>
              <w:widowControl w:val="0"/>
              <w:autoSpaceDE w:val="0"/>
              <w:autoSpaceDN w:val="0"/>
              <w:spacing w:before="7"/>
              <w:jc w:val="center"/>
              <w:rPr>
                <w:rFonts w:ascii="Arial" w:hAnsi="Arial" w:cs="Arial"/>
                <w:sz w:val="14"/>
                <w:szCs w:val="14"/>
              </w:rPr>
            </w:pPr>
          </w:p>
        </w:tc>
        <w:tc>
          <w:tcPr>
            <w:tcW w:w="992" w:type="dxa"/>
            <w:vMerge/>
            <w:shd w:val="clear" w:color="auto" w:fill="FFF1CC"/>
            <w:vAlign w:val="center"/>
          </w:tcPr>
          <w:p w14:paraId="07C1A813" w14:textId="77777777" w:rsidR="00E541EE" w:rsidRPr="003F09F8" w:rsidRDefault="00E541EE" w:rsidP="00A84BB5">
            <w:pPr>
              <w:widowControl w:val="0"/>
              <w:autoSpaceDE w:val="0"/>
              <w:autoSpaceDN w:val="0"/>
              <w:jc w:val="center"/>
              <w:rPr>
                <w:rFonts w:ascii="Arial" w:hAnsi="Arial" w:cs="Arial"/>
                <w:sz w:val="14"/>
                <w:szCs w:val="14"/>
              </w:rPr>
            </w:pPr>
          </w:p>
        </w:tc>
        <w:tc>
          <w:tcPr>
            <w:tcW w:w="1418" w:type="dxa"/>
            <w:vMerge/>
            <w:tcBorders>
              <w:right w:val="single" w:sz="4" w:space="0" w:color="auto"/>
            </w:tcBorders>
            <w:vAlign w:val="center"/>
          </w:tcPr>
          <w:p w14:paraId="2B599A26" w14:textId="77777777" w:rsidR="00E541EE" w:rsidRPr="003F09F8" w:rsidRDefault="00E541EE" w:rsidP="00A84BB5">
            <w:pPr>
              <w:spacing w:after="120"/>
              <w:jc w:val="center"/>
              <w:rPr>
                <w:rFonts w:ascii="Arial" w:hAnsi="Arial" w:cs="Arial"/>
                <w:b/>
                <w:sz w:val="14"/>
                <w:szCs w:val="14"/>
              </w:rPr>
            </w:pPr>
          </w:p>
        </w:tc>
        <w:tc>
          <w:tcPr>
            <w:tcW w:w="708" w:type="dxa"/>
            <w:tcBorders>
              <w:top w:val="single" w:sz="4" w:space="0" w:color="auto"/>
              <w:left w:val="single" w:sz="4" w:space="0" w:color="auto"/>
              <w:bottom w:val="single" w:sz="4" w:space="0" w:color="auto"/>
              <w:right w:val="single" w:sz="4" w:space="0" w:color="auto"/>
            </w:tcBorders>
            <w:vAlign w:val="center"/>
          </w:tcPr>
          <w:p w14:paraId="277B74F4" w14:textId="77777777" w:rsidR="00E541EE" w:rsidRPr="003F09F8" w:rsidRDefault="00E541EE" w:rsidP="00A84BB5">
            <w:pPr>
              <w:widowControl w:val="0"/>
              <w:autoSpaceDE w:val="0"/>
              <w:autoSpaceDN w:val="0"/>
              <w:jc w:val="center"/>
              <w:rPr>
                <w:rFonts w:ascii="Arial" w:hAnsi="Arial" w:cs="Arial"/>
                <w:sz w:val="14"/>
                <w:szCs w:val="14"/>
              </w:rPr>
            </w:pPr>
            <w:r w:rsidRPr="003F09F8">
              <w:rPr>
                <w:rFonts w:ascii="Arial" w:eastAsia="Times New Roman" w:hAnsi="Arial" w:cs="Arial"/>
                <w:sz w:val="14"/>
                <w:szCs w:val="14"/>
              </w:rPr>
              <w:t>Ukupan broj razrednih odjeljenja</w:t>
            </w:r>
          </w:p>
        </w:tc>
        <w:tc>
          <w:tcPr>
            <w:tcW w:w="993" w:type="dxa"/>
            <w:tcBorders>
              <w:top w:val="single" w:sz="4" w:space="0" w:color="auto"/>
              <w:left w:val="single" w:sz="4" w:space="0" w:color="auto"/>
              <w:bottom w:val="single" w:sz="4" w:space="0" w:color="auto"/>
              <w:right w:val="single" w:sz="4" w:space="0" w:color="auto"/>
            </w:tcBorders>
            <w:vAlign w:val="center"/>
          </w:tcPr>
          <w:p w14:paraId="4642839D" w14:textId="77777777" w:rsidR="00E541EE" w:rsidRPr="003F09F8" w:rsidRDefault="00E541EE" w:rsidP="00A84BB5">
            <w:pPr>
              <w:widowControl w:val="0"/>
              <w:autoSpaceDE w:val="0"/>
              <w:autoSpaceDN w:val="0"/>
              <w:jc w:val="center"/>
              <w:rPr>
                <w:rFonts w:ascii="Arial" w:hAnsi="Arial" w:cs="Arial"/>
                <w:sz w:val="14"/>
                <w:szCs w:val="14"/>
              </w:rPr>
            </w:pPr>
            <w:r w:rsidRPr="003F09F8">
              <w:rPr>
                <w:rFonts w:ascii="Arial" w:eastAsia="Times New Roman" w:hAnsi="Arial" w:cs="Arial"/>
                <w:sz w:val="14"/>
                <w:szCs w:val="14"/>
              </w:rPr>
              <w:t>100</w:t>
            </w:r>
          </w:p>
        </w:tc>
        <w:tc>
          <w:tcPr>
            <w:tcW w:w="708" w:type="dxa"/>
            <w:tcBorders>
              <w:top w:val="single" w:sz="4" w:space="0" w:color="auto"/>
              <w:left w:val="single" w:sz="4" w:space="0" w:color="auto"/>
              <w:bottom w:val="single" w:sz="4" w:space="0" w:color="auto"/>
              <w:right w:val="single" w:sz="4" w:space="0" w:color="auto"/>
            </w:tcBorders>
            <w:vAlign w:val="center"/>
          </w:tcPr>
          <w:p w14:paraId="00C0091D" w14:textId="77777777" w:rsidR="00E541EE" w:rsidRPr="003F09F8" w:rsidRDefault="00E541EE" w:rsidP="00A84BB5">
            <w:pPr>
              <w:widowControl w:val="0"/>
              <w:autoSpaceDE w:val="0"/>
              <w:autoSpaceDN w:val="0"/>
              <w:jc w:val="center"/>
              <w:rPr>
                <w:rFonts w:ascii="Arial" w:hAnsi="Arial" w:cs="Arial"/>
                <w:sz w:val="14"/>
                <w:szCs w:val="14"/>
              </w:rPr>
            </w:pPr>
            <w:r w:rsidRPr="003F09F8">
              <w:rPr>
                <w:rFonts w:ascii="Arial" w:eastAsia="Times New Roman" w:hAnsi="Arial" w:cs="Arial"/>
                <w:sz w:val="14"/>
                <w:szCs w:val="14"/>
              </w:rPr>
              <w:t>100</w:t>
            </w:r>
          </w:p>
        </w:tc>
        <w:tc>
          <w:tcPr>
            <w:tcW w:w="567" w:type="dxa"/>
            <w:tcBorders>
              <w:top w:val="single" w:sz="4" w:space="0" w:color="auto"/>
              <w:left w:val="single" w:sz="4" w:space="0" w:color="auto"/>
              <w:bottom w:val="single" w:sz="4" w:space="0" w:color="auto"/>
              <w:right w:val="single" w:sz="4" w:space="0" w:color="auto"/>
            </w:tcBorders>
            <w:vAlign w:val="center"/>
          </w:tcPr>
          <w:p w14:paraId="622A404D" w14:textId="77777777" w:rsidR="00E541EE" w:rsidRPr="003F09F8" w:rsidRDefault="00E541EE" w:rsidP="00A84BB5">
            <w:pPr>
              <w:widowControl w:val="0"/>
              <w:autoSpaceDE w:val="0"/>
              <w:autoSpaceDN w:val="0"/>
              <w:jc w:val="center"/>
              <w:rPr>
                <w:rFonts w:ascii="Arial" w:hAnsi="Arial" w:cs="Arial"/>
                <w:sz w:val="14"/>
                <w:szCs w:val="14"/>
              </w:rPr>
            </w:pPr>
            <w:r w:rsidRPr="003F09F8">
              <w:rPr>
                <w:rFonts w:ascii="Arial" w:eastAsia="Times New Roman" w:hAnsi="Arial" w:cs="Arial"/>
                <w:sz w:val="14"/>
                <w:szCs w:val="14"/>
              </w:rPr>
              <w:t>100</w:t>
            </w:r>
          </w:p>
        </w:tc>
        <w:tc>
          <w:tcPr>
            <w:tcW w:w="993" w:type="dxa"/>
            <w:tcBorders>
              <w:top w:val="single" w:sz="4" w:space="0" w:color="auto"/>
              <w:left w:val="single" w:sz="4" w:space="0" w:color="auto"/>
              <w:bottom w:val="single" w:sz="4" w:space="0" w:color="auto"/>
              <w:right w:val="single" w:sz="4" w:space="0" w:color="auto"/>
            </w:tcBorders>
            <w:vAlign w:val="center"/>
          </w:tcPr>
          <w:p w14:paraId="09F1AE9B" w14:textId="77777777" w:rsidR="00E541EE" w:rsidRPr="003F09F8" w:rsidRDefault="00E541EE" w:rsidP="00A84BB5">
            <w:pPr>
              <w:widowControl w:val="0"/>
              <w:autoSpaceDE w:val="0"/>
              <w:autoSpaceDN w:val="0"/>
              <w:jc w:val="center"/>
              <w:rPr>
                <w:rFonts w:ascii="Arial" w:hAnsi="Arial" w:cs="Arial"/>
                <w:sz w:val="14"/>
                <w:szCs w:val="14"/>
              </w:rPr>
            </w:pPr>
            <w:r w:rsidRPr="003F09F8">
              <w:rPr>
                <w:rFonts w:ascii="Arial" w:eastAsia="Times New Roman" w:hAnsi="Arial" w:cs="Arial"/>
                <w:sz w:val="14"/>
                <w:szCs w:val="14"/>
              </w:rPr>
              <w:t>100</w:t>
            </w:r>
          </w:p>
        </w:tc>
      </w:tr>
      <w:tr w:rsidR="00E541EE" w:rsidRPr="003F09F8" w14:paraId="3A2FD50A" w14:textId="77777777" w:rsidTr="00E373CC">
        <w:trPr>
          <w:trHeight w:val="2089"/>
        </w:trPr>
        <w:tc>
          <w:tcPr>
            <w:tcW w:w="1135" w:type="dxa"/>
            <w:vMerge/>
          </w:tcPr>
          <w:p w14:paraId="5C0217A7" w14:textId="77777777" w:rsidR="00E541EE" w:rsidRPr="003F09F8" w:rsidRDefault="00E541EE" w:rsidP="00A84BB5">
            <w:pPr>
              <w:widowControl w:val="0"/>
              <w:autoSpaceDE w:val="0"/>
              <w:autoSpaceDN w:val="0"/>
              <w:spacing w:before="49"/>
              <w:ind w:left="44" w:right="35"/>
              <w:jc w:val="center"/>
              <w:rPr>
                <w:rFonts w:ascii="Arial" w:hAnsi="Arial" w:cs="Arial"/>
                <w:b/>
                <w:sz w:val="14"/>
                <w:szCs w:val="14"/>
              </w:rPr>
            </w:pPr>
          </w:p>
        </w:tc>
        <w:tc>
          <w:tcPr>
            <w:tcW w:w="850" w:type="dxa"/>
            <w:vMerge/>
            <w:vAlign w:val="center"/>
          </w:tcPr>
          <w:p w14:paraId="57525522" w14:textId="77777777" w:rsidR="00E541EE" w:rsidRPr="003F09F8" w:rsidRDefault="00E541EE" w:rsidP="00A84BB5">
            <w:pPr>
              <w:widowControl w:val="0"/>
              <w:autoSpaceDE w:val="0"/>
              <w:autoSpaceDN w:val="0"/>
              <w:ind w:left="28" w:right="19" w:firstLine="2"/>
              <w:jc w:val="center"/>
              <w:rPr>
                <w:rFonts w:ascii="Arial" w:hAnsi="Arial" w:cs="Arial"/>
                <w:sz w:val="14"/>
                <w:szCs w:val="14"/>
                <w:highlight w:val="red"/>
              </w:rPr>
            </w:pPr>
          </w:p>
        </w:tc>
        <w:tc>
          <w:tcPr>
            <w:tcW w:w="992" w:type="dxa"/>
            <w:vMerge/>
            <w:shd w:val="clear" w:color="auto" w:fill="FFF1CC"/>
            <w:vAlign w:val="center"/>
          </w:tcPr>
          <w:p w14:paraId="0C98CFAC" w14:textId="77777777" w:rsidR="00E541EE" w:rsidRPr="003F09F8" w:rsidRDefault="00E541EE" w:rsidP="00A84BB5">
            <w:pPr>
              <w:widowControl w:val="0"/>
              <w:autoSpaceDE w:val="0"/>
              <w:autoSpaceDN w:val="0"/>
              <w:ind w:left="74" w:right="63" w:hanging="4"/>
              <w:jc w:val="center"/>
              <w:rPr>
                <w:rFonts w:ascii="Arial" w:hAnsi="Arial" w:cs="Arial"/>
                <w:sz w:val="14"/>
                <w:szCs w:val="14"/>
              </w:rPr>
            </w:pPr>
          </w:p>
        </w:tc>
        <w:tc>
          <w:tcPr>
            <w:tcW w:w="851" w:type="dxa"/>
            <w:vMerge/>
            <w:vAlign w:val="center"/>
          </w:tcPr>
          <w:p w14:paraId="5D63B68D" w14:textId="77777777" w:rsidR="00E541EE" w:rsidRPr="003F09F8" w:rsidRDefault="00E541EE" w:rsidP="00A84BB5">
            <w:pPr>
              <w:widowControl w:val="0"/>
              <w:autoSpaceDE w:val="0"/>
              <w:autoSpaceDN w:val="0"/>
              <w:ind w:left="29" w:right="11" w:firstLine="9"/>
              <w:jc w:val="center"/>
              <w:rPr>
                <w:rFonts w:ascii="Arial" w:hAnsi="Arial" w:cs="Arial"/>
                <w:sz w:val="14"/>
                <w:szCs w:val="14"/>
              </w:rPr>
            </w:pPr>
          </w:p>
        </w:tc>
        <w:tc>
          <w:tcPr>
            <w:tcW w:w="992" w:type="dxa"/>
            <w:vMerge/>
            <w:shd w:val="clear" w:color="auto" w:fill="FFF1CC"/>
            <w:vAlign w:val="center"/>
          </w:tcPr>
          <w:p w14:paraId="555F1A7C" w14:textId="77777777" w:rsidR="00E541EE" w:rsidRPr="003F09F8" w:rsidRDefault="00E541EE" w:rsidP="00A84BB5">
            <w:pPr>
              <w:widowControl w:val="0"/>
              <w:autoSpaceDE w:val="0"/>
              <w:autoSpaceDN w:val="0"/>
              <w:ind w:left="142"/>
              <w:jc w:val="center"/>
              <w:rPr>
                <w:rFonts w:ascii="Arial" w:hAnsi="Arial" w:cs="Arial"/>
                <w:sz w:val="14"/>
                <w:szCs w:val="14"/>
              </w:rPr>
            </w:pPr>
          </w:p>
        </w:tc>
        <w:tc>
          <w:tcPr>
            <w:tcW w:w="1418" w:type="dxa"/>
            <w:vMerge/>
            <w:tcBorders>
              <w:right w:val="single" w:sz="4" w:space="0" w:color="auto"/>
            </w:tcBorders>
            <w:vAlign w:val="center"/>
          </w:tcPr>
          <w:p w14:paraId="3C87EA07" w14:textId="77777777" w:rsidR="00E541EE" w:rsidRPr="003F09F8" w:rsidRDefault="00E541EE" w:rsidP="00A84BB5">
            <w:pPr>
              <w:spacing w:after="120"/>
              <w:jc w:val="center"/>
              <w:rPr>
                <w:rFonts w:ascii="Arial" w:hAnsi="Arial" w:cs="Arial"/>
                <w:b/>
                <w:sz w:val="14"/>
                <w:szCs w:val="14"/>
              </w:rPr>
            </w:pPr>
          </w:p>
        </w:tc>
        <w:tc>
          <w:tcPr>
            <w:tcW w:w="708" w:type="dxa"/>
            <w:tcBorders>
              <w:top w:val="single" w:sz="4" w:space="0" w:color="auto"/>
              <w:left w:val="single" w:sz="4" w:space="0" w:color="auto"/>
              <w:bottom w:val="single" w:sz="4" w:space="0" w:color="auto"/>
              <w:right w:val="single" w:sz="4" w:space="0" w:color="auto"/>
            </w:tcBorders>
            <w:vAlign w:val="center"/>
          </w:tcPr>
          <w:p w14:paraId="4529E65C" w14:textId="77777777" w:rsidR="00E541EE" w:rsidRPr="003F09F8" w:rsidRDefault="00E541EE" w:rsidP="00A84BB5">
            <w:pPr>
              <w:ind w:left="45" w:hanging="45"/>
              <w:jc w:val="center"/>
              <w:rPr>
                <w:rFonts w:ascii="Arial" w:hAnsi="Arial" w:cs="Arial"/>
                <w:color w:val="FF0000"/>
                <w:sz w:val="14"/>
                <w:szCs w:val="14"/>
              </w:rPr>
            </w:pPr>
            <w:r w:rsidRPr="003F09F8">
              <w:rPr>
                <w:rFonts w:ascii="Arial" w:eastAsia="Times New Roman" w:hAnsi="Arial" w:cs="Arial"/>
                <w:sz w:val="14"/>
                <w:szCs w:val="14"/>
              </w:rPr>
              <w:t>Broj učenika koji primaju subvencije za prijevoz i prehranu</w:t>
            </w:r>
          </w:p>
        </w:tc>
        <w:tc>
          <w:tcPr>
            <w:tcW w:w="993" w:type="dxa"/>
            <w:tcBorders>
              <w:top w:val="single" w:sz="4" w:space="0" w:color="auto"/>
              <w:left w:val="single" w:sz="4" w:space="0" w:color="auto"/>
              <w:bottom w:val="single" w:sz="4" w:space="0" w:color="auto"/>
              <w:right w:val="single" w:sz="4" w:space="0" w:color="auto"/>
            </w:tcBorders>
            <w:vAlign w:val="center"/>
          </w:tcPr>
          <w:p w14:paraId="73772CC3" w14:textId="77777777" w:rsidR="00E541EE" w:rsidRPr="003F09F8" w:rsidRDefault="00E541EE" w:rsidP="00A84BB5">
            <w:pPr>
              <w:spacing w:after="120"/>
              <w:jc w:val="center"/>
              <w:rPr>
                <w:rFonts w:ascii="Arial" w:hAnsi="Arial" w:cs="Arial"/>
                <w:sz w:val="14"/>
                <w:szCs w:val="14"/>
              </w:rPr>
            </w:pPr>
            <w:r w:rsidRPr="003F09F8">
              <w:rPr>
                <w:rFonts w:ascii="Arial" w:eastAsia="Times New Roman" w:hAnsi="Arial" w:cs="Arial"/>
                <w:sz w:val="14"/>
                <w:szCs w:val="14"/>
              </w:rPr>
              <w:t>400</w:t>
            </w:r>
          </w:p>
        </w:tc>
        <w:tc>
          <w:tcPr>
            <w:tcW w:w="708" w:type="dxa"/>
            <w:tcBorders>
              <w:top w:val="single" w:sz="4" w:space="0" w:color="auto"/>
              <w:left w:val="single" w:sz="4" w:space="0" w:color="auto"/>
              <w:bottom w:val="single" w:sz="4" w:space="0" w:color="auto"/>
              <w:right w:val="single" w:sz="4" w:space="0" w:color="auto"/>
            </w:tcBorders>
            <w:vAlign w:val="center"/>
          </w:tcPr>
          <w:p w14:paraId="3DFD30C6" w14:textId="77777777" w:rsidR="00E541EE" w:rsidRPr="003F09F8" w:rsidRDefault="00E541EE" w:rsidP="00A84BB5">
            <w:pPr>
              <w:spacing w:after="120"/>
              <w:jc w:val="center"/>
              <w:rPr>
                <w:rFonts w:ascii="Arial" w:hAnsi="Arial" w:cs="Arial"/>
                <w:sz w:val="14"/>
                <w:szCs w:val="14"/>
              </w:rPr>
            </w:pPr>
            <w:r w:rsidRPr="003F09F8">
              <w:rPr>
                <w:rFonts w:ascii="Arial" w:eastAsia="Times New Roman" w:hAnsi="Arial" w:cs="Arial"/>
                <w:sz w:val="14"/>
                <w:szCs w:val="14"/>
              </w:rPr>
              <w:t>400</w:t>
            </w:r>
          </w:p>
        </w:tc>
        <w:tc>
          <w:tcPr>
            <w:tcW w:w="567" w:type="dxa"/>
            <w:tcBorders>
              <w:top w:val="single" w:sz="4" w:space="0" w:color="auto"/>
              <w:left w:val="single" w:sz="4" w:space="0" w:color="auto"/>
              <w:bottom w:val="single" w:sz="4" w:space="0" w:color="auto"/>
              <w:right w:val="single" w:sz="4" w:space="0" w:color="auto"/>
            </w:tcBorders>
            <w:vAlign w:val="center"/>
          </w:tcPr>
          <w:p w14:paraId="3544E031" w14:textId="77777777" w:rsidR="00E541EE" w:rsidRPr="003F09F8" w:rsidRDefault="00E541EE" w:rsidP="00A84BB5">
            <w:pPr>
              <w:spacing w:after="120"/>
              <w:jc w:val="center"/>
              <w:rPr>
                <w:rFonts w:ascii="Arial" w:hAnsi="Arial" w:cs="Arial"/>
                <w:sz w:val="14"/>
                <w:szCs w:val="14"/>
              </w:rPr>
            </w:pPr>
            <w:r w:rsidRPr="003F09F8">
              <w:rPr>
                <w:rFonts w:ascii="Arial" w:eastAsia="Times New Roman" w:hAnsi="Arial" w:cs="Arial"/>
                <w:sz w:val="14"/>
                <w:szCs w:val="14"/>
              </w:rPr>
              <w:t>500</w:t>
            </w:r>
          </w:p>
        </w:tc>
        <w:tc>
          <w:tcPr>
            <w:tcW w:w="993" w:type="dxa"/>
            <w:tcBorders>
              <w:top w:val="single" w:sz="4" w:space="0" w:color="auto"/>
              <w:left w:val="single" w:sz="4" w:space="0" w:color="auto"/>
              <w:bottom w:val="single" w:sz="4" w:space="0" w:color="auto"/>
              <w:right w:val="single" w:sz="4" w:space="0" w:color="auto"/>
            </w:tcBorders>
            <w:vAlign w:val="center"/>
          </w:tcPr>
          <w:p w14:paraId="2E597D7C" w14:textId="77777777" w:rsidR="00E541EE" w:rsidRPr="003F09F8" w:rsidRDefault="00E541EE" w:rsidP="00A84BB5">
            <w:pPr>
              <w:spacing w:after="120"/>
              <w:jc w:val="center"/>
              <w:rPr>
                <w:rFonts w:ascii="Arial" w:hAnsi="Arial" w:cs="Arial"/>
                <w:sz w:val="14"/>
                <w:szCs w:val="14"/>
              </w:rPr>
            </w:pPr>
            <w:r w:rsidRPr="003F09F8">
              <w:rPr>
                <w:rFonts w:ascii="Arial" w:eastAsia="Times New Roman" w:hAnsi="Arial" w:cs="Arial"/>
                <w:sz w:val="14"/>
                <w:szCs w:val="14"/>
              </w:rPr>
              <w:t>500</w:t>
            </w:r>
          </w:p>
        </w:tc>
      </w:tr>
      <w:tr w:rsidR="00E541EE" w:rsidRPr="003F09F8" w14:paraId="4B3DFBB9" w14:textId="77777777" w:rsidTr="00E373CC">
        <w:trPr>
          <w:trHeight w:val="799"/>
        </w:trPr>
        <w:tc>
          <w:tcPr>
            <w:tcW w:w="1135" w:type="dxa"/>
            <w:vMerge/>
          </w:tcPr>
          <w:p w14:paraId="580CB60D" w14:textId="77777777" w:rsidR="00E541EE" w:rsidRPr="003F09F8" w:rsidRDefault="00E541EE" w:rsidP="00A84BB5">
            <w:pPr>
              <w:widowControl w:val="0"/>
              <w:autoSpaceDE w:val="0"/>
              <w:autoSpaceDN w:val="0"/>
              <w:spacing w:before="49"/>
              <w:ind w:left="44" w:right="35"/>
              <w:jc w:val="center"/>
              <w:rPr>
                <w:rFonts w:ascii="Arial" w:hAnsi="Arial" w:cs="Arial"/>
                <w:b/>
                <w:sz w:val="14"/>
                <w:szCs w:val="14"/>
              </w:rPr>
            </w:pPr>
          </w:p>
        </w:tc>
        <w:tc>
          <w:tcPr>
            <w:tcW w:w="850" w:type="dxa"/>
            <w:vMerge/>
            <w:vAlign w:val="center"/>
          </w:tcPr>
          <w:p w14:paraId="7AB0ED41" w14:textId="77777777" w:rsidR="00E541EE" w:rsidRPr="003F09F8" w:rsidRDefault="00E541EE" w:rsidP="00A84BB5">
            <w:pPr>
              <w:widowControl w:val="0"/>
              <w:autoSpaceDE w:val="0"/>
              <w:autoSpaceDN w:val="0"/>
              <w:jc w:val="center"/>
              <w:rPr>
                <w:rFonts w:ascii="Arial" w:hAnsi="Arial" w:cs="Arial"/>
                <w:sz w:val="14"/>
                <w:szCs w:val="14"/>
                <w:highlight w:val="red"/>
              </w:rPr>
            </w:pPr>
          </w:p>
        </w:tc>
        <w:tc>
          <w:tcPr>
            <w:tcW w:w="992" w:type="dxa"/>
            <w:vMerge/>
            <w:shd w:val="clear" w:color="auto" w:fill="FFF1CC"/>
            <w:vAlign w:val="center"/>
          </w:tcPr>
          <w:p w14:paraId="708AE353" w14:textId="77777777" w:rsidR="00E541EE" w:rsidRPr="003F09F8" w:rsidRDefault="00E541EE" w:rsidP="00A84BB5">
            <w:pPr>
              <w:widowControl w:val="0"/>
              <w:autoSpaceDE w:val="0"/>
              <w:autoSpaceDN w:val="0"/>
              <w:spacing w:before="7"/>
              <w:jc w:val="center"/>
              <w:rPr>
                <w:rFonts w:ascii="Arial" w:hAnsi="Arial" w:cs="Arial"/>
                <w:sz w:val="14"/>
                <w:szCs w:val="14"/>
              </w:rPr>
            </w:pPr>
          </w:p>
        </w:tc>
        <w:tc>
          <w:tcPr>
            <w:tcW w:w="851" w:type="dxa"/>
            <w:vMerge/>
            <w:vAlign w:val="center"/>
          </w:tcPr>
          <w:p w14:paraId="1B3FEC27" w14:textId="77777777" w:rsidR="00E541EE" w:rsidRPr="003F09F8" w:rsidRDefault="00E541EE" w:rsidP="00A84BB5">
            <w:pPr>
              <w:widowControl w:val="0"/>
              <w:autoSpaceDE w:val="0"/>
              <w:autoSpaceDN w:val="0"/>
              <w:spacing w:before="7"/>
              <w:jc w:val="center"/>
              <w:rPr>
                <w:rFonts w:ascii="Arial" w:hAnsi="Arial" w:cs="Arial"/>
                <w:sz w:val="14"/>
                <w:szCs w:val="14"/>
              </w:rPr>
            </w:pPr>
          </w:p>
        </w:tc>
        <w:tc>
          <w:tcPr>
            <w:tcW w:w="992" w:type="dxa"/>
            <w:vMerge/>
            <w:shd w:val="clear" w:color="auto" w:fill="FFF1CC"/>
            <w:vAlign w:val="center"/>
          </w:tcPr>
          <w:p w14:paraId="7E535786" w14:textId="77777777" w:rsidR="00E541EE" w:rsidRPr="003F09F8" w:rsidRDefault="00E541EE" w:rsidP="00A84BB5">
            <w:pPr>
              <w:widowControl w:val="0"/>
              <w:autoSpaceDE w:val="0"/>
              <w:autoSpaceDN w:val="0"/>
              <w:jc w:val="center"/>
              <w:rPr>
                <w:rFonts w:ascii="Arial" w:hAnsi="Arial" w:cs="Arial"/>
                <w:sz w:val="14"/>
                <w:szCs w:val="14"/>
              </w:rPr>
            </w:pPr>
          </w:p>
        </w:tc>
        <w:tc>
          <w:tcPr>
            <w:tcW w:w="1418" w:type="dxa"/>
            <w:vMerge/>
            <w:tcBorders>
              <w:right w:val="single" w:sz="4" w:space="0" w:color="auto"/>
            </w:tcBorders>
            <w:vAlign w:val="center"/>
          </w:tcPr>
          <w:p w14:paraId="5E51BB32" w14:textId="77777777" w:rsidR="00E541EE" w:rsidRPr="003F09F8" w:rsidRDefault="00E541EE" w:rsidP="00A84BB5">
            <w:pPr>
              <w:spacing w:after="120"/>
              <w:jc w:val="center"/>
              <w:rPr>
                <w:rFonts w:ascii="Arial" w:hAnsi="Arial" w:cs="Arial"/>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874F66" w14:textId="77777777" w:rsidR="00E541EE" w:rsidRPr="003F09F8" w:rsidRDefault="00E541EE" w:rsidP="00A84BB5">
            <w:pPr>
              <w:spacing w:after="120"/>
              <w:jc w:val="center"/>
              <w:rPr>
                <w:rFonts w:ascii="Arial" w:hAnsi="Arial" w:cs="Arial"/>
                <w:color w:val="FF0000"/>
                <w:sz w:val="14"/>
                <w:szCs w:val="14"/>
              </w:rPr>
            </w:pPr>
            <w:r w:rsidRPr="003F09F8">
              <w:rPr>
                <w:rFonts w:ascii="Arial" w:eastAsia="Times New Roman" w:hAnsi="Arial" w:cs="Arial"/>
                <w:sz w:val="14"/>
                <w:szCs w:val="14"/>
              </w:rPr>
              <w:t>Broj djece u produženom boravku u osnovnim školama</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FDB48D" w14:textId="77777777" w:rsidR="00E541EE" w:rsidRPr="003F09F8" w:rsidRDefault="00E541EE" w:rsidP="00A84BB5">
            <w:pPr>
              <w:spacing w:after="120"/>
              <w:jc w:val="center"/>
              <w:rPr>
                <w:rFonts w:ascii="Arial" w:hAnsi="Arial" w:cs="Arial"/>
                <w:sz w:val="14"/>
                <w:szCs w:val="14"/>
                <w:highlight w:val="green"/>
              </w:rPr>
            </w:pPr>
            <w:r w:rsidRPr="003F09F8">
              <w:rPr>
                <w:rFonts w:ascii="Arial" w:eastAsia="Times New Roman" w:hAnsi="Arial" w:cs="Arial"/>
                <w:sz w:val="14"/>
                <w:szCs w:val="14"/>
              </w:rPr>
              <w:t>300</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045D6A" w14:textId="77777777" w:rsidR="00E541EE" w:rsidRPr="003F09F8" w:rsidRDefault="00E541EE" w:rsidP="00A84BB5">
            <w:pPr>
              <w:spacing w:after="120"/>
              <w:jc w:val="center"/>
              <w:rPr>
                <w:rFonts w:ascii="Arial" w:hAnsi="Arial" w:cs="Arial"/>
                <w:sz w:val="14"/>
                <w:szCs w:val="14"/>
                <w:highlight w:val="green"/>
              </w:rPr>
            </w:pPr>
            <w:r w:rsidRPr="003F09F8">
              <w:rPr>
                <w:rFonts w:ascii="Arial" w:eastAsia="Times New Roman" w:hAnsi="Arial" w:cs="Arial"/>
                <w:sz w:val="14"/>
                <w:szCs w:val="14"/>
              </w:rPr>
              <w:t>320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8088CC" w14:textId="77777777" w:rsidR="00E541EE" w:rsidRPr="003F09F8" w:rsidRDefault="00E541EE" w:rsidP="00A84BB5">
            <w:pPr>
              <w:spacing w:after="120"/>
              <w:jc w:val="center"/>
              <w:rPr>
                <w:rFonts w:ascii="Arial" w:hAnsi="Arial" w:cs="Arial"/>
                <w:sz w:val="14"/>
                <w:szCs w:val="14"/>
                <w:highlight w:val="green"/>
              </w:rPr>
            </w:pPr>
            <w:r w:rsidRPr="003F09F8">
              <w:rPr>
                <w:rFonts w:ascii="Arial" w:eastAsia="Times New Roman" w:hAnsi="Arial" w:cs="Arial"/>
                <w:sz w:val="14"/>
                <w:szCs w:val="14"/>
              </w:rPr>
              <w:t>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0CB30E" w14:textId="77777777" w:rsidR="00E541EE" w:rsidRPr="003F09F8" w:rsidRDefault="00E541EE" w:rsidP="00A84BB5">
            <w:pPr>
              <w:spacing w:after="120"/>
              <w:jc w:val="center"/>
              <w:rPr>
                <w:rFonts w:ascii="Arial" w:hAnsi="Arial" w:cs="Arial"/>
                <w:sz w:val="14"/>
                <w:szCs w:val="14"/>
                <w:highlight w:val="green"/>
              </w:rPr>
            </w:pPr>
            <w:r w:rsidRPr="003F09F8">
              <w:rPr>
                <w:rFonts w:ascii="Arial" w:eastAsia="Times New Roman" w:hAnsi="Arial" w:cs="Arial"/>
                <w:sz w:val="14"/>
                <w:szCs w:val="14"/>
              </w:rPr>
              <w:t>0</w:t>
            </w:r>
          </w:p>
        </w:tc>
      </w:tr>
    </w:tbl>
    <w:p w14:paraId="23EEC7AB" w14:textId="77777777" w:rsidR="00E541EE" w:rsidRDefault="00E541EE" w:rsidP="00E541EE">
      <w:pPr>
        <w:jc w:val="both"/>
        <w:rPr>
          <w:rFonts w:ascii="Arial" w:eastAsia="Times New Roman" w:hAnsi="Arial" w:cs="Arial"/>
          <w:sz w:val="24"/>
          <w:szCs w:val="24"/>
        </w:rPr>
      </w:pPr>
    </w:p>
    <w:p w14:paraId="2322CA19" w14:textId="1B90472E" w:rsidR="00E541EE" w:rsidRPr="00AC2206" w:rsidRDefault="00E541EE" w:rsidP="00E541EE">
      <w:pPr>
        <w:pBdr>
          <w:top w:val="single" w:sz="4" w:space="1" w:color="auto"/>
          <w:left w:val="single" w:sz="4" w:space="4" w:color="auto"/>
          <w:bottom w:val="single" w:sz="4" w:space="0" w:color="auto"/>
          <w:right w:val="single" w:sz="4" w:space="4" w:color="auto"/>
        </w:pBdr>
        <w:shd w:val="clear" w:color="auto" w:fill="FFD5EA"/>
        <w:rPr>
          <w:rFonts w:ascii="Arial" w:eastAsia="Times New Roman" w:hAnsi="Arial" w:cs="Arial"/>
          <w:b/>
          <w:bCs/>
          <w:sz w:val="24"/>
          <w:szCs w:val="24"/>
        </w:rPr>
      </w:pPr>
      <w:r w:rsidRPr="00261EBF">
        <w:rPr>
          <w:rFonts w:ascii="Arial" w:eastAsia="Times New Roman" w:hAnsi="Arial" w:cs="Arial"/>
          <w:b/>
          <w:bCs/>
          <w:sz w:val="24"/>
          <w:szCs w:val="24"/>
        </w:rPr>
        <w:t xml:space="preserve">Proračunski korisnik: TOŠ - SEI  Bernardo Benussi Rovinj-Rovigno </w:t>
      </w:r>
      <w:r w:rsidR="00E373CC">
        <w:rPr>
          <w:rFonts w:ascii="Arial" w:eastAsia="Times New Roman" w:hAnsi="Arial" w:cs="Arial"/>
          <w:b/>
          <w:bCs/>
          <w:sz w:val="24"/>
          <w:szCs w:val="24"/>
        </w:rPr>
        <w:t>=</w:t>
      </w:r>
      <w:r w:rsidRPr="00261EBF">
        <w:rPr>
          <w:rFonts w:ascii="Arial" w:eastAsia="Times New Roman" w:hAnsi="Arial" w:cs="Arial"/>
          <w:b/>
          <w:bCs/>
          <w:sz w:val="24"/>
          <w:szCs w:val="24"/>
        </w:rPr>
        <w:t xml:space="preserve"> 1.340.845,00 EUR</w:t>
      </w:r>
    </w:p>
    <w:p w14:paraId="08AFE50C" w14:textId="77777777" w:rsidR="00E541EE" w:rsidRPr="00AC2206" w:rsidRDefault="00E541EE" w:rsidP="00E541EE">
      <w:pPr>
        <w:jc w:val="both"/>
        <w:rPr>
          <w:rFonts w:ascii="Arial" w:eastAsia="Times New Roman" w:hAnsi="Arial" w:cs="Arial"/>
          <w:sz w:val="24"/>
          <w:szCs w:val="24"/>
        </w:rPr>
      </w:pPr>
    </w:p>
    <w:p w14:paraId="5EF2A72B"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AC2206">
        <w:rPr>
          <w:rFonts w:ascii="Arial" w:eastAsia="Times New Roman" w:hAnsi="Arial" w:cs="Arial"/>
          <w:b/>
          <w:bCs/>
          <w:sz w:val="24"/>
          <w:szCs w:val="24"/>
        </w:rPr>
        <w:t xml:space="preserve">A 103635: Materijalni rashodi po osnovi dodatnih standarda = </w:t>
      </w:r>
      <w:r>
        <w:rPr>
          <w:rFonts w:ascii="Arial" w:eastAsia="Times New Roman" w:hAnsi="Arial" w:cs="Arial"/>
          <w:b/>
          <w:bCs/>
          <w:sz w:val="24"/>
          <w:szCs w:val="24"/>
        </w:rPr>
        <w:t>33</w:t>
      </w:r>
      <w:r w:rsidRPr="00AC2206">
        <w:rPr>
          <w:rFonts w:ascii="Arial" w:eastAsia="Times New Roman" w:hAnsi="Arial" w:cs="Arial"/>
          <w:b/>
          <w:bCs/>
          <w:sz w:val="24"/>
          <w:szCs w:val="24"/>
        </w:rPr>
        <w:t>.000,00 EUR</w:t>
      </w:r>
    </w:p>
    <w:p w14:paraId="1E040419"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Zakonska osnova</w:t>
      </w:r>
      <w:r w:rsidRPr="00AC2206">
        <w:rPr>
          <w:rFonts w:ascii="Arial" w:eastAsia="Times New Roman" w:hAnsi="Arial" w:cs="Arial"/>
          <w:bCs/>
          <w:sz w:val="24"/>
          <w:szCs w:val="24"/>
        </w:rPr>
        <w:t>: Zakon o radu,</w:t>
      </w:r>
      <w:r w:rsidRPr="00AC2206">
        <w:rPr>
          <w:rFonts w:ascii="Arial" w:eastAsia="Times New Roman" w:hAnsi="Arial" w:cs="Arial"/>
          <w:sz w:val="24"/>
          <w:szCs w:val="24"/>
        </w:rPr>
        <w:t xml:space="preserve"> Zakon o odgoju i obrazovanju u osnovnoj i srednjoj školi, Državni pedagoški standard osnovnoškolskog sustava odgoja i obrazovanja.</w:t>
      </w:r>
    </w:p>
    <w:p w14:paraId="1B1E0701" w14:textId="77777777" w:rsidR="00E541EE" w:rsidRDefault="00E541EE" w:rsidP="00E541EE">
      <w:pPr>
        <w:jc w:val="both"/>
        <w:rPr>
          <w:rFonts w:ascii="Arial" w:eastAsia="Times New Roman" w:hAnsi="Arial" w:cs="Arial"/>
          <w:sz w:val="24"/>
          <w:szCs w:val="24"/>
        </w:rPr>
      </w:pPr>
      <w:r w:rsidRPr="00AC2206">
        <w:rPr>
          <w:rFonts w:ascii="Arial" w:eastAsia="Times New Roman" w:hAnsi="Arial" w:cs="Arial"/>
          <w:b/>
          <w:sz w:val="24"/>
          <w:szCs w:val="24"/>
        </w:rPr>
        <w:t>Opis:</w:t>
      </w:r>
      <w:r w:rsidRPr="00AC2206">
        <w:rPr>
          <w:rFonts w:ascii="Arial" w:eastAsia="Times New Roman" w:hAnsi="Arial" w:cs="Arial"/>
          <w:sz w:val="24"/>
          <w:szCs w:val="24"/>
        </w:rPr>
        <w:t xml:space="preserve"> raznim promjenama na tržištu, ponajprije povećanjem cijena došlo je do potrebe nove aktivnosti za pokriće troškova koja su iznad datog limita u decentraliziranim funkcijama. Tako je planirano za 202</w:t>
      </w:r>
      <w:r>
        <w:rPr>
          <w:rFonts w:ascii="Arial" w:eastAsia="Times New Roman" w:hAnsi="Arial" w:cs="Arial"/>
          <w:sz w:val="24"/>
          <w:szCs w:val="24"/>
        </w:rPr>
        <w:t>6</w:t>
      </w:r>
      <w:r w:rsidRPr="00AC2206">
        <w:rPr>
          <w:rFonts w:ascii="Arial" w:eastAsia="Times New Roman" w:hAnsi="Arial" w:cs="Arial"/>
          <w:sz w:val="24"/>
          <w:szCs w:val="24"/>
        </w:rPr>
        <w:t xml:space="preserve">. godinu dodatni trošak za uredski materijal i energiju u iznosu od </w:t>
      </w:r>
      <w:r>
        <w:rPr>
          <w:rFonts w:ascii="Arial" w:eastAsia="Times New Roman" w:hAnsi="Arial" w:cs="Arial"/>
          <w:sz w:val="24"/>
          <w:szCs w:val="24"/>
        </w:rPr>
        <w:t>9</w:t>
      </w:r>
      <w:r w:rsidRPr="00AC2206">
        <w:rPr>
          <w:rFonts w:ascii="Arial" w:eastAsia="Times New Roman" w:hAnsi="Arial" w:cs="Arial"/>
          <w:sz w:val="24"/>
          <w:szCs w:val="24"/>
        </w:rPr>
        <w:t xml:space="preserve">.000,00 </w:t>
      </w:r>
      <w:r>
        <w:rPr>
          <w:rFonts w:ascii="Arial" w:eastAsia="Times New Roman" w:hAnsi="Arial" w:cs="Arial"/>
          <w:sz w:val="24"/>
          <w:szCs w:val="24"/>
        </w:rPr>
        <w:t>euro</w:t>
      </w:r>
      <w:r w:rsidRPr="00AC2206">
        <w:rPr>
          <w:rFonts w:ascii="Arial" w:eastAsia="Times New Roman" w:hAnsi="Arial" w:cs="Arial"/>
          <w:sz w:val="24"/>
          <w:szCs w:val="24"/>
        </w:rPr>
        <w:t xml:space="preserve">. </w:t>
      </w:r>
    </w:p>
    <w:p w14:paraId="69FF759F" w14:textId="77777777" w:rsidR="00E541EE" w:rsidRPr="00DE755B" w:rsidRDefault="00E541EE" w:rsidP="00E541EE">
      <w:pPr>
        <w:jc w:val="both"/>
        <w:rPr>
          <w:rFonts w:ascii="Arial" w:hAnsi="Arial" w:cs="Arial"/>
          <w:bCs/>
          <w:sz w:val="24"/>
          <w:szCs w:val="24"/>
        </w:rPr>
      </w:pPr>
      <w:r w:rsidRPr="00DE755B">
        <w:rPr>
          <w:rFonts w:ascii="Arial" w:eastAsia="Times New Roman" w:hAnsi="Arial" w:cs="Arial"/>
          <w:sz w:val="24"/>
          <w:szCs w:val="24"/>
        </w:rPr>
        <w:t>Za usluge tekućeg održavanja, komunalne, zakupnine, te usluge pri registraciji školskog kombi</w:t>
      </w:r>
      <w:r>
        <w:rPr>
          <w:rFonts w:ascii="Arial" w:eastAsia="Times New Roman" w:hAnsi="Arial" w:cs="Arial"/>
          <w:sz w:val="24"/>
          <w:szCs w:val="24"/>
        </w:rPr>
        <w:t xml:space="preserve"> vozila</w:t>
      </w:r>
      <w:r w:rsidRPr="00DE755B">
        <w:rPr>
          <w:rFonts w:ascii="Arial" w:eastAsia="Times New Roman" w:hAnsi="Arial" w:cs="Arial"/>
          <w:sz w:val="24"/>
          <w:szCs w:val="24"/>
        </w:rPr>
        <w:t xml:space="preserve"> u iznosu od 20.000,00 </w:t>
      </w:r>
      <w:r>
        <w:rPr>
          <w:rFonts w:ascii="Arial" w:eastAsia="Times New Roman" w:hAnsi="Arial" w:cs="Arial"/>
          <w:sz w:val="24"/>
          <w:szCs w:val="24"/>
        </w:rPr>
        <w:t>euro</w:t>
      </w:r>
      <w:r w:rsidRPr="00DE755B">
        <w:rPr>
          <w:rFonts w:ascii="Arial" w:eastAsia="Times New Roman" w:hAnsi="Arial" w:cs="Arial"/>
          <w:sz w:val="24"/>
          <w:szCs w:val="24"/>
        </w:rPr>
        <w:t xml:space="preserve"> i osiguranje 4.000,00 </w:t>
      </w:r>
      <w:r>
        <w:rPr>
          <w:rFonts w:ascii="Arial" w:eastAsia="Times New Roman" w:hAnsi="Arial" w:cs="Arial"/>
          <w:sz w:val="24"/>
          <w:szCs w:val="24"/>
        </w:rPr>
        <w:t>euro</w:t>
      </w:r>
      <w:r w:rsidRPr="00DE755B">
        <w:rPr>
          <w:rFonts w:ascii="Arial" w:eastAsia="Times New Roman" w:hAnsi="Arial" w:cs="Arial"/>
          <w:sz w:val="24"/>
          <w:szCs w:val="24"/>
        </w:rPr>
        <w:t>.</w:t>
      </w:r>
    </w:p>
    <w:p w14:paraId="085040D0" w14:textId="77777777" w:rsidR="00E541EE" w:rsidRPr="00AC2206" w:rsidRDefault="00E541EE" w:rsidP="00E541EE">
      <w:pPr>
        <w:jc w:val="both"/>
        <w:rPr>
          <w:rFonts w:ascii="Arial" w:eastAsia="Times New Roman" w:hAnsi="Arial" w:cs="Arial"/>
          <w:b/>
          <w:sz w:val="24"/>
          <w:szCs w:val="24"/>
        </w:rPr>
      </w:pPr>
      <w:r w:rsidRPr="00AC2206">
        <w:rPr>
          <w:rFonts w:ascii="Arial" w:eastAsia="Times New Roman" w:hAnsi="Arial" w:cs="Arial"/>
          <w:b/>
          <w:sz w:val="24"/>
          <w:szCs w:val="24"/>
        </w:rPr>
        <w:t xml:space="preserve">Opći cilj: </w:t>
      </w:r>
      <w:r w:rsidRPr="00AC2206">
        <w:rPr>
          <w:rFonts w:ascii="Arial" w:eastAsia="Times New Roman" w:hAnsi="Arial" w:cs="Arial"/>
          <w:sz w:val="24"/>
          <w:szCs w:val="24"/>
        </w:rPr>
        <w:t>osiguravanje uvjeta rada.</w:t>
      </w:r>
      <w:r w:rsidRPr="00AC2206">
        <w:rPr>
          <w:rFonts w:ascii="Arial" w:eastAsia="Times New Roman" w:hAnsi="Arial" w:cs="Arial"/>
          <w:b/>
          <w:sz w:val="24"/>
          <w:szCs w:val="24"/>
        </w:rPr>
        <w:t xml:space="preserve"> </w:t>
      </w:r>
    </w:p>
    <w:p w14:paraId="09D31C32" w14:textId="77777777" w:rsidR="00E541EE" w:rsidRDefault="00E541EE" w:rsidP="00E541EE">
      <w:pPr>
        <w:jc w:val="both"/>
        <w:rPr>
          <w:rFonts w:ascii="Arial" w:eastAsia="Times New Roman" w:hAnsi="Arial" w:cs="Arial"/>
          <w:bCs/>
          <w:sz w:val="24"/>
          <w:szCs w:val="24"/>
        </w:rPr>
      </w:pPr>
      <w:r w:rsidRPr="00AC2206">
        <w:rPr>
          <w:rFonts w:ascii="Arial" w:eastAsia="Times New Roman" w:hAnsi="Arial" w:cs="Arial"/>
          <w:b/>
          <w:bCs/>
          <w:sz w:val="24"/>
          <w:szCs w:val="24"/>
        </w:rPr>
        <w:t xml:space="preserve">Pokazatelj uspješnosti: </w:t>
      </w:r>
      <w:r w:rsidRPr="00AC2206">
        <w:rPr>
          <w:rFonts w:ascii="Arial" w:eastAsia="Times New Roman" w:hAnsi="Arial" w:cs="Arial"/>
          <w:bCs/>
          <w:sz w:val="24"/>
          <w:szCs w:val="24"/>
        </w:rPr>
        <w:t>nesmetano odvijanje odgojno - obrazovnog procesa sa zadržavanjem dostignutih standarda.</w:t>
      </w:r>
    </w:p>
    <w:p w14:paraId="02ED5939" w14:textId="77777777" w:rsidR="00E541EE" w:rsidRDefault="00E541EE" w:rsidP="00E541EE">
      <w:pPr>
        <w:jc w:val="both"/>
        <w:rPr>
          <w:rFonts w:ascii="Arial" w:eastAsia="Times New Roman" w:hAnsi="Arial" w:cs="Arial"/>
          <w:bCs/>
          <w:sz w:val="24"/>
          <w:szCs w:val="24"/>
        </w:rPr>
      </w:pPr>
    </w:p>
    <w:p w14:paraId="668495E1"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AC2206">
        <w:rPr>
          <w:rFonts w:ascii="Arial" w:eastAsia="Times New Roman" w:hAnsi="Arial" w:cs="Arial"/>
          <w:b/>
          <w:bCs/>
          <w:sz w:val="24"/>
          <w:szCs w:val="24"/>
        </w:rPr>
        <w:t>A 1036</w:t>
      </w:r>
      <w:r>
        <w:rPr>
          <w:rFonts w:ascii="Arial" w:eastAsia="Times New Roman" w:hAnsi="Arial" w:cs="Arial"/>
          <w:b/>
          <w:bCs/>
          <w:sz w:val="24"/>
          <w:szCs w:val="24"/>
        </w:rPr>
        <w:t>43</w:t>
      </w:r>
      <w:r w:rsidRPr="00AC2206">
        <w:rPr>
          <w:rFonts w:ascii="Arial" w:eastAsia="Times New Roman" w:hAnsi="Arial" w:cs="Arial"/>
          <w:b/>
          <w:bCs/>
          <w:sz w:val="24"/>
          <w:szCs w:val="24"/>
        </w:rPr>
        <w:t xml:space="preserve">: </w:t>
      </w:r>
      <w:r>
        <w:rPr>
          <w:rFonts w:ascii="Arial" w:eastAsia="Times New Roman" w:hAnsi="Arial" w:cs="Arial"/>
          <w:b/>
          <w:bCs/>
          <w:sz w:val="24"/>
          <w:szCs w:val="24"/>
        </w:rPr>
        <w:t>Natjecanja učenika</w:t>
      </w:r>
      <w:r w:rsidRPr="00AC2206">
        <w:rPr>
          <w:rFonts w:ascii="Arial" w:eastAsia="Times New Roman" w:hAnsi="Arial" w:cs="Arial"/>
          <w:b/>
          <w:bCs/>
          <w:sz w:val="24"/>
          <w:szCs w:val="24"/>
        </w:rPr>
        <w:t xml:space="preserve"> = </w:t>
      </w:r>
      <w:r>
        <w:rPr>
          <w:rFonts w:ascii="Arial" w:eastAsia="Times New Roman" w:hAnsi="Arial" w:cs="Arial"/>
          <w:b/>
          <w:bCs/>
          <w:sz w:val="24"/>
          <w:szCs w:val="24"/>
        </w:rPr>
        <w:t>2.6</w:t>
      </w:r>
      <w:r w:rsidRPr="00AC2206">
        <w:rPr>
          <w:rFonts w:ascii="Arial" w:eastAsia="Times New Roman" w:hAnsi="Arial" w:cs="Arial"/>
          <w:b/>
          <w:bCs/>
          <w:sz w:val="24"/>
          <w:szCs w:val="24"/>
        </w:rPr>
        <w:t>00,00 EUR</w:t>
      </w:r>
    </w:p>
    <w:p w14:paraId="0776BF19" w14:textId="77777777" w:rsidR="00E541EE" w:rsidRPr="00F7529F"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Zakonska osnova</w:t>
      </w:r>
      <w:r w:rsidRPr="00AC2206">
        <w:rPr>
          <w:rFonts w:ascii="Arial" w:eastAsia="Times New Roman" w:hAnsi="Arial" w:cs="Arial"/>
          <w:bCs/>
          <w:sz w:val="24"/>
          <w:szCs w:val="24"/>
        </w:rPr>
        <w:t>: Zakon o radu,</w:t>
      </w:r>
      <w:r w:rsidRPr="00AC2206">
        <w:rPr>
          <w:rFonts w:ascii="Arial" w:eastAsia="Times New Roman" w:hAnsi="Arial" w:cs="Arial"/>
          <w:sz w:val="24"/>
          <w:szCs w:val="24"/>
        </w:rPr>
        <w:t xml:space="preserve"> Zakon o odgoju i obrazovanju u osnovnoj i srednjoj </w:t>
      </w:r>
      <w:r w:rsidRPr="00F7529F">
        <w:rPr>
          <w:rFonts w:ascii="Arial" w:eastAsia="Times New Roman" w:hAnsi="Arial" w:cs="Arial"/>
          <w:sz w:val="24"/>
          <w:szCs w:val="24"/>
        </w:rPr>
        <w:t>školi, Državni pedagoški standard osnovnoškolskog sustava odgoja i obrazovanja.</w:t>
      </w:r>
    </w:p>
    <w:p w14:paraId="718DCAD7" w14:textId="77777777" w:rsidR="00E541EE" w:rsidRPr="00F7529F" w:rsidRDefault="00E541EE" w:rsidP="00E541EE">
      <w:pPr>
        <w:jc w:val="both"/>
        <w:rPr>
          <w:rFonts w:ascii="Arial" w:eastAsia="Times New Roman" w:hAnsi="Arial" w:cs="Arial"/>
          <w:color w:val="222222"/>
          <w:sz w:val="24"/>
          <w:szCs w:val="24"/>
          <w:shd w:val="clear" w:color="auto" w:fill="FFFFFF"/>
        </w:rPr>
      </w:pPr>
      <w:r w:rsidRPr="00F7529F">
        <w:rPr>
          <w:rFonts w:ascii="Arial" w:eastAsia="Times New Roman" w:hAnsi="Arial" w:cs="Arial"/>
          <w:b/>
          <w:sz w:val="24"/>
          <w:szCs w:val="24"/>
        </w:rPr>
        <w:t>Opis:</w:t>
      </w:r>
      <w:r w:rsidRPr="00F7529F">
        <w:rPr>
          <w:rFonts w:ascii="Arial" w:eastAsia="Times New Roman" w:hAnsi="Arial" w:cs="Arial"/>
          <w:sz w:val="24"/>
          <w:szCs w:val="24"/>
        </w:rPr>
        <w:t xml:space="preserve"> </w:t>
      </w:r>
      <w:r w:rsidRPr="00F7529F">
        <w:rPr>
          <w:rFonts w:ascii="Arial" w:eastAsia="Times New Roman" w:hAnsi="Arial" w:cs="Arial"/>
          <w:color w:val="222222"/>
          <w:sz w:val="24"/>
          <w:szCs w:val="24"/>
          <w:shd w:val="clear" w:color="auto" w:fill="FFFFFF"/>
        </w:rPr>
        <w:t>Osim sudjelovanja na različitim školskim natjecanjima, ove školske godine planiramo i sudjelovanje učenika na „Giochi matematici del Mediterraneo“.</w:t>
      </w:r>
    </w:p>
    <w:p w14:paraId="67AB931D" w14:textId="77777777" w:rsidR="00E541EE" w:rsidRPr="007D11D3" w:rsidRDefault="00E541EE" w:rsidP="00E541EE">
      <w:pPr>
        <w:jc w:val="both"/>
        <w:rPr>
          <w:rFonts w:ascii="Arial" w:eastAsia="Times New Roman" w:hAnsi="Arial" w:cs="Arial"/>
          <w:b/>
          <w:sz w:val="24"/>
          <w:szCs w:val="24"/>
        </w:rPr>
      </w:pPr>
      <w:r w:rsidRPr="007D11D3">
        <w:rPr>
          <w:rFonts w:ascii="Arial" w:eastAsia="Times New Roman" w:hAnsi="Arial" w:cs="Arial"/>
          <w:b/>
          <w:sz w:val="24"/>
          <w:szCs w:val="24"/>
        </w:rPr>
        <w:t xml:space="preserve">Opći cilj: </w:t>
      </w:r>
      <w:r w:rsidRPr="007D11D3">
        <w:rPr>
          <w:rFonts w:ascii="Arial" w:eastAsia="Times New Roman" w:hAnsi="Arial" w:cs="Arial"/>
          <w:sz w:val="24"/>
          <w:szCs w:val="24"/>
        </w:rPr>
        <w:t>osiguravanje uvjeta rada.</w:t>
      </w:r>
      <w:r w:rsidRPr="007D11D3">
        <w:rPr>
          <w:rFonts w:ascii="Arial" w:eastAsia="Times New Roman" w:hAnsi="Arial" w:cs="Arial"/>
          <w:b/>
          <w:sz w:val="24"/>
          <w:szCs w:val="24"/>
        </w:rPr>
        <w:t xml:space="preserve"> </w:t>
      </w:r>
    </w:p>
    <w:p w14:paraId="3C37A6DD" w14:textId="77777777" w:rsidR="00E541EE" w:rsidRDefault="00E541EE" w:rsidP="00E541EE">
      <w:pPr>
        <w:jc w:val="both"/>
        <w:rPr>
          <w:rFonts w:ascii="Arial" w:eastAsia="Times New Roman" w:hAnsi="Arial" w:cs="Arial"/>
          <w:bCs/>
          <w:sz w:val="24"/>
          <w:szCs w:val="24"/>
        </w:rPr>
      </w:pPr>
      <w:r w:rsidRPr="007D11D3">
        <w:rPr>
          <w:rFonts w:ascii="Arial" w:eastAsia="Times New Roman" w:hAnsi="Arial" w:cs="Arial"/>
          <w:b/>
          <w:bCs/>
          <w:sz w:val="24"/>
          <w:szCs w:val="24"/>
        </w:rPr>
        <w:t xml:space="preserve">Pokazatelj uspješnosti: </w:t>
      </w:r>
      <w:r w:rsidRPr="007D11D3">
        <w:rPr>
          <w:rFonts w:ascii="Arial" w:eastAsia="Times New Roman" w:hAnsi="Arial" w:cs="Arial"/>
          <w:bCs/>
          <w:sz w:val="24"/>
          <w:szCs w:val="24"/>
        </w:rPr>
        <w:t>nesmetano odvijanje odgojno - obrazovnog procesa sa zadržavanjem dostignutih standarda.</w:t>
      </w:r>
    </w:p>
    <w:p w14:paraId="3E093245" w14:textId="77777777" w:rsidR="00E541EE" w:rsidRDefault="00E541EE" w:rsidP="00E541EE">
      <w:pPr>
        <w:jc w:val="both"/>
        <w:rPr>
          <w:rFonts w:ascii="Arial" w:eastAsia="Times New Roman" w:hAnsi="Arial" w:cs="Arial"/>
          <w:bCs/>
          <w:sz w:val="24"/>
          <w:szCs w:val="24"/>
        </w:rPr>
      </w:pPr>
    </w:p>
    <w:p w14:paraId="01DA4D93"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AC2206">
        <w:rPr>
          <w:rFonts w:ascii="Arial" w:eastAsia="Times New Roman" w:hAnsi="Arial" w:cs="Arial"/>
          <w:b/>
          <w:bCs/>
          <w:sz w:val="24"/>
          <w:szCs w:val="24"/>
        </w:rPr>
        <w:t>A 103601: Decentralizirane funkcije = 9</w:t>
      </w:r>
      <w:r>
        <w:rPr>
          <w:rFonts w:ascii="Arial" w:eastAsia="Times New Roman" w:hAnsi="Arial" w:cs="Arial"/>
          <w:b/>
          <w:bCs/>
          <w:sz w:val="24"/>
          <w:szCs w:val="24"/>
        </w:rPr>
        <w:t>30.0</w:t>
      </w:r>
      <w:r w:rsidRPr="00AC2206">
        <w:rPr>
          <w:rFonts w:ascii="Arial" w:eastAsia="Times New Roman" w:hAnsi="Arial" w:cs="Arial"/>
          <w:b/>
          <w:bCs/>
          <w:sz w:val="24"/>
          <w:szCs w:val="24"/>
        </w:rPr>
        <w:t>00,00 EUR</w:t>
      </w:r>
    </w:p>
    <w:p w14:paraId="2EDE9EF9" w14:textId="77777777" w:rsidR="00E541EE" w:rsidRPr="00AC2206" w:rsidRDefault="00E541EE" w:rsidP="00E541EE">
      <w:pPr>
        <w:jc w:val="both"/>
        <w:rPr>
          <w:rFonts w:ascii="Arial" w:eastAsia="Times New Roman" w:hAnsi="Arial" w:cs="Arial"/>
          <w:bCs/>
          <w:sz w:val="24"/>
          <w:szCs w:val="24"/>
        </w:rPr>
      </w:pPr>
      <w:r w:rsidRPr="00AC2206">
        <w:rPr>
          <w:rFonts w:ascii="Arial" w:eastAsia="Times New Roman" w:hAnsi="Arial" w:cs="Arial"/>
          <w:b/>
          <w:sz w:val="24"/>
          <w:szCs w:val="24"/>
        </w:rPr>
        <w:t xml:space="preserve">Zakonska osnova: </w:t>
      </w:r>
      <w:r w:rsidRPr="00AC2206">
        <w:rPr>
          <w:rFonts w:ascii="Arial" w:eastAsia="Times New Roman" w:hAnsi="Arial" w:cs="Arial"/>
          <w:sz w:val="24"/>
          <w:szCs w:val="24"/>
        </w:rPr>
        <w:t xml:space="preserve">Zakon o odgoju i obrazovanju u osnovnoj i srednjoj školi, Zakon o odgoju i obrazovanju na jeziku i pismu nacionalnih manjina, </w:t>
      </w:r>
      <w:r w:rsidRPr="00AC2206">
        <w:rPr>
          <w:rFonts w:ascii="Arial" w:eastAsia="Times New Roman" w:hAnsi="Arial" w:cs="Arial"/>
          <w:bCs/>
          <w:sz w:val="24"/>
          <w:szCs w:val="24"/>
        </w:rPr>
        <w:t>Odluka o kriterijima i mjerilima za utvrđivanje bilančnih prava za financiranje minimalnog financijskog standarda javnih potreba osnovnog školstva.</w:t>
      </w:r>
    </w:p>
    <w:p w14:paraId="2D85947F" w14:textId="77777777" w:rsidR="00E541EE" w:rsidRDefault="00E541EE" w:rsidP="00E541EE">
      <w:pPr>
        <w:jc w:val="both"/>
        <w:rPr>
          <w:rFonts w:ascii="Arial" w:eastAsia="Times New Roman" w:hAnsi="Arial" w:cs="Arial"/>
          <w:sz w:val="24"/>
          <w:szCs w:val="24"/>
        </w:rPr>
      </w:pPr>
      <w:r w:rsidRPr="00AC2206">
        <w:rPr>
          <w:rFonts w:ascii="Arial" w:eastAsia="Times New Roman" w:hAnsi="Arial" w:cs="Arial"/>
          <w:b/>
          <w:sz w:val="24"/>
          <w:szCs w:val="24"/>
        </w:rPr>
        <w:t>Opis:</w:t>
      </w:r>
      <w:r w:rsidRPr="00AC2206">
        <w:rPr>
          <w:rFonts w:ascii="Arial" w:eastAsia="Times New Roman" w:hAnsi="Arial" w:cs="Arial"/>
          <w:sz w:val="24"/>
          <w:szCs w:val="24"/>
        </w:rPr>
        <w:t xml:space="preserve"> financiranje decentraliziranih funkcija u osnovnim školama provodi se sukladno Odluci o kriterijima, mjerilima i načinu financiranja decentraliziranih funkcija osnovnog školstva za Grad Rovinj-Rovigno, a koja se donosi za tekuću godinu.</w:t>
      </w:r>
    </w:p>
    <w:p w14:paraId="789E950A" w14:textId="77777777" w:rsidR="00E541EE" w:rsidRPr="00DE755B" w:rsidRDefault="00E541EE" w:rsidP="00E541EE">
      <w:pPr>
        <w:ind w:right="-477"/>
        <w:jc w:val="both"/>
        <w:rPr>
          <w:rFonts w:ascii="Arial" w:hAnsi="Arial" w:cs="Arial"/>
          <w:bCs/>
          <w:sz w:val="24"/>
          <w:szCs w:val="24"/>
        </w:rPr>
      </w:pPr>
      <w:r>
        <w:rPr>
          <w:rFonts w:ascii="Arial" w:hAnsi="Arial" w:cs="Arial"/>
          <w:bCs/>
          <w:sz w:val="24"/>
          <w:szCs w:val="24"/>
        </w:rPr>
        <w:t>I</w:t>
      </w:r>
      <w:r w:rsidRPr="00DE755B">
        <w:rPr>
          <w:rFonts w:ascii="Arial" w:hAnsi="Arial" w:cs="Arial"/>
          <w:bCs/>
          <w:sz w:val="24"/>
          <w:szCs w:val="24"/>
        </w:rPr>
        <w:t xml:space="preserve">z Proračuna Grada Rovinja-Rovigno, podmiriti će se 54.000,00 </w:t>
      </w:r>
      <w:r>
        <w:rPr>
          <w:rFonts w:ascii="Arial" w:hAnsi="Arial" w:cs="Arial"/>
          <w:bCs/>
          <w:sz w:val="24"/>
          <w:szCs w:val="24"/>
        </w:rPr>
        <w:t>eura</w:t>
      </w:r>
      <w:r w:rsidRPr="00DE755B">
        <w:rPr>
          <w:rFonts w:ascii="Arial" w:hAnsi="Arial" w:cs="Arial"/>
          <w:bCs/>
          <w:sz w:val="24"/>
          <w:szCs w:val="24"/>
        </w:rPr>
        <w:t xml:space="preserve"> za</w:t>
      </w:r>
      <w:r>
        <w:rPr>
          <w:rFonts w:ascii="Arial" w:hAnsi="Arial" w:cs="Arial"/>
          <w:bCs/>
          <w:sz w:val="24"/>
          <w:szCs w:val="24"/>
        </w:rPr>
        <w:t xml:space="preserve"> </w:t>
      </w:r>
    </w:p>
    <w:p w14:paraId="76C896B7" w14:textId="317B5FCE" w:rsidR="00E541EE" w:rsidRPr="00DE755B" w:rsidRDefault="00E541EE" w:rsidP="00E541EE">
      <w:pPr>
        <w:ind w:right="1276"/>
        <w:jc w:val="both"/>
        <w:rPr>
          <w:rFonts w:ascii="Arial" w:hAnsi="Arial" w:cs="Arial"/>
          <w:bCs/>
          <w:sz w:val="24"/>
          <w:szCs w:val="24"/>
        </w:rPr>
      </w:pPr>
      <w:r w:rsidRPr="00DE755B">
        <w:rPr>
          <w:rFonts w:ascii="Arial" w:hAnsi="Arial" w:cs="Arial"/>
          <w:bCs/>
          <w:sz w:val="24"/>
          <w:szCs w:val="24"/>
        </w:rPr>
        <w:t>-</w:t>
      </w:r>
      <w:r>
        <w:rPr>
          <w:rFonts w:ascii="Arial" w:hAnsi="Arial" w:cs="Arial"/>
          <w:bCs/>
          <w:sz w:val="24"/>
          <w:szCs w:val="24"/>
        </w:rPr>
        <w:t xml:space="preserve"> </w:t>
      </w:r>
      <w:r w:rsidRPr="00DE755B">
        <w:rPr>
          <w:rFonts w:ascii="Arial" w:hAnsi="Arial" w:cs="Arial"/>
          <w:bCs/>
          <w:sz w:val="24"/>
          <w:szCs w:val="24"/>
        </w:rPr>
        <w:t xml:space="preserve">materijalni troškovi prema opsegu programa        </w:t>
      </w:r>
      <w:r w:rsidR="00E373CC">
        <w:rPr>
          <w:rFonts w:ascii="Arial" w:hAnsi="Arial" w:cs="Arial"/>
          <w:bCs/>
          <w:sz w:val="24"/>
          <w:szCs w:val="24"/>
        </w:rPr>
        <w:t xml:space="preserve">     </w:t>
      </w:r>
      <w:r w:rsidRPr="00DE755B">
        <w:rPr>
          <w:rFonts w:ascii="Arial" w:hAnsi="Arial" w:cs="Arial"/>
          <w:bCs/>
          <w:sz w:val="24"/>
          <w:szCs w:val="24"/>
        </w:rPr>
        <w:t xml:space="preserve">19.180,00 </w:t>
      </w:r>
      <w:r>
        <w:rPr>
          <w:rFonts w:ascii="Arial" w:hAnsi="Arial" w:cs="Arial"/>
          <w:bCs/>
          <w:sz w:val="24"/>
          <w:szCs w:val="24"/>
        </w:rPr>
        <w:t>eura</w:t>
      </w:r>
    </w:p>
    <w:p w14:paraId="084AF4E0" w14:textId="739C1FD1" w:rsidR="00E541EE" w:rsidRPr="00DE755B" w:rsidRDefault="00E541EE" w:rsidP="00E541EE">
      <w:pPr>
        <w:ind w:right="1276"/>
        <w:jc w:val="both"/>
        <w:rPr>
          <w:rFonts w:ascii="Arial" w:hAnsi="Arial" w:cs="Arial"/>
          <w:bCs/>
          <w:sz w:val="24"/>
          <w:szCs w:val="24"/>
        </w:rPr>
      </w:pPr>
      <w:r w:rsidRPr="00DE755B">
        <w:rPr>
          <w:rFonts w:ascii="Arial" w:hAnsi="Arial" w:cs="Arial"/>
          <w:bCs/>
          <w:sz w:val="24"/>
          <w:szCs w:val="24"/>
        </w:rPr>
        <w:t>-</w:t>
      </w:r>
      <w:r>
        <w:rPr>
          <w:rFonts w:ascii="Arial" w:hAnsi="Arial" w:cs="Arial"/>
          <w:bCs/>
          <w:sz w:val="24"/>
          <w:szCs w:val="24"/>
        </w:rPr>
        <w:t xml:space="preserve"> </w:t>
      </w:r>
      <w:r w:rsidRPr="00DE755B">
        <w:rPr>
          <w:rFonts w:ascii="Arial" w:hAnsi="Arial" w:cs="Arial"/>
          <w:bCs/>
          <w:sz w:val="24"/>
          <w:szCs w:val="24"/>
        </w:rPr>
        <w:t xml:space="preserve">energenti                                                               </w:t>
      </w:r>
      <w:r w:rsidR="00E373CC">
        <w:rPr>
          <w:rFonts w:ascii="Arial" w:hAnsi="Arial" w:cs="Arial"/>
          <w:bCs/>
          <w:sz w:val="24"/>
          <w:szCs w:val="24"/>
        </w:rPr>
        <w:t xml:space="preserve">     </w:t>
      </w:r>
      <w:r w:rsidRPr="00DE755B">
        <w:rPr>
          <w:rFonts w:ascii="Arial" w:hAnsi="Arial" w:cs="Arial"/>
          <w:bCs/>
          <w:sz w:val="24"/>
          <w:szCs w:val="24"/>
        </w:rPr>
        <w:t xml:space="preserve">12.350,00 </w:t>
      </w:r>
      <w:r>
        <w:rPr>
          <w:rFonts w:ascii="Arial" w:hAnsi="Arial" w:cs="Arial"/>
          <w:bCs/>
          <w:sz w:val="24"/>
          <w:szCs w:val="24"/>
        </w:rPr>
        <w:t>eura</w:t>
      </w:r>
    </w:p>
    <w:p w14:paraId="3EA0FBBC" w14:textId="221DC543" w:rsidR="00E541EE" w:rsidRPr="00DE755B" w:rsidRDefault="00E541EE" w:rsidP="00E541EE">
      <w:pPr>
        <w:ind w:right="1276"/>
        <w:jc w:val="both"/>
        <w:rPr>
          <w:rFonts w:ascii="Arial" w:hAnsi="Arial" w:cs="Arial"/>
          <w:bCs/>
          <w:sz w:val="24"/>
          <w:szCs w:val="24"/>
        </w:rPr>
      </w:pPr>
      <w:r w:rsidRPr="00DE755B">
        <w:rPr>
          <w:rFonts w:ascii="Arial" w:hAnsi="Arial" w:cs="Arial"/>
          <w:bCs/>
          <w:sz w:val="24"/>
          <w:szCs w:val="24"/>
        </w:rPr>
        <w:t>-</w:t>
      </w:r>
      <w:r>
        <w:rPr>
          <w:rFonts w:ascii="Arial" w:hAnsi="Arial" w:cs="Arial"/>
          <w:bCs/>
          <w:sz w:val="24"/>
          <w:szCs w:val="24"/>
        </w:rPr>
        <w:t xml:space="preserve"> </w:t>
      </w:r>
      <w:r w:rsidRPr="00DE755B">
        <w:rPr>
          <w:rFonts w:ascii="Arial" w:hAnsi="Arial" w:cs="Arial"/>
          <w:bCs/>
          <w:sz w:val="24"/>
          <w:szCs w:val="24"/>
        </w:rPr>
        <w:t xml:space="preserve">zdravstveni pregledi zaposlenih                              </w:t>
      </w:r>
      <w:r w:rsidR="00E373CC">
        <w:rPr>
          <w:rFonts w:ascii="Arial" w:hAnsi="Arial" w:cs="Arial"/>
          <w:bCs/>
          <w:sz w:val="24"/>
          <w:szCs w:val="24"/>
        </w:rPr>
        <w:t xml:space="preserve">     </w:t>
      </w:r>
      <w:r w:rsidRPr="00DE755B">
        <w:rPr>
          <w:rFonts w:ascii="Arial" w:hAnsi="Arial" w:cs="Arial"/>
          <w:bCs/>
          <w:sz w:val="24"/>
          <w:szCs w:val="24"/>
        </w:rPr>
        <w:t xml:space="preserve">2.000,00 </w:t>
      </w:r>
      <w:r>
        <w:rPr>
          <w:rFonts w:ascii="Arial" w:hAnsi="Arial" w:cs="Arial"/>
          <w:bCs/>
          <w:sz w:val="24"/>
          <w:szCs w:val="24"/>
        </w:rPr>
        <w:t>eura</w:t>
      </w:r>
    </w:p>
    <w:p w14:paraId="40E62447" w14:textId="0780874F" w:rsidR="00E541EE" w:rsidRPr="00DE755B" w:rsidRDefault="00E541EE" w:rsidP="00E541EE">
      <w:pPr>
        <w:ind w:right="1276"/>
        <w:jc w:val="both"/>
        <w:rPr>
          <w:rFonts w:ascii="Arial" w:hAnsi="Arial" w:cs="Arial"/>
          <w:bCs/>
          <w:sz w:val="24"/>
          <w:szCs w:val="24"/>
        </w:rPr>
      </w:pPr>
      <w:r w:rsidRPr="00DE755B">
        <w:rPr>
          <w:rFonts w:ascii="Arial" w:hAnsi="Arial" w:cs="Arial"/>
          <w:bCs/>
          <w:sz w:val="24"/>
          <w:szCs w:val="24"/>
        </w:rPr>
        <w:t>-</w:t>
      </w:r>
      <w:r>
        <w:rPr>
          <w:rFonts w:ascii="Arial" w:hAnsi="Arial" w:cs="Arial"/>
          <w:bCs/>
          <w:sz w:val="24"/>
          <w:szCs w:val="24"/>
        </w:rPr>
        <w:t xml:space="preserve"> </w:t>
      </w:r>
      <w:r w:rsidRPr="00DE755B">
        <w:rPr>
          <w:rFonts w:ascii="Arial" w:hAnsi="Arial" w:cs="Arial"/>
          <w:bCs/>
          <w:sz w:val="24"/>
          <w:szCs w:val="24"/>
        </w:rPr>
        <w:t>zakupnine</w:t>
      </w:r>
      <w:r w:rsidRPr="00DE755B">
        <w:rPr>
          <w:rFonts w:ascii="Arial" w:hAnsi="Arial" w:cs="Arial"/>
          <w:bCs/>
          <w:sz w:val="24"/>
          <w:szCs w:val="24"/>
        </w:rPr>
        <w:tab/>
      </w:r>
      <w:r w:rsidRPr="00DE755B">
        <w:rPr>
          <w:rFonts w:ascii="Arial" w:hAnsi="Arial" w:cs="Arial"/>
          <w:bCs/>
          <w:sz w:val="24"/>
          <w:szCs w:val="24"/>
        </w:rPr>
        <w:tab/>
      </w:r>
      <w:r w:rsidRPr="00DE755B">
        <w:rPr>
          <w:rFonts w:ascii="Arial" w:hAnsi="Arial" w:cs="Arial"/>
          <w:bCs/>
          <w:sz w:val="24"/>
          <w:szCs w:val="24"/>
        </w:rPr>
        <w:tab/>
      </w:r>
      <w:r w:rsidRPr="00DE755B">
        <w:rPr>
          <w:rFonts w:ascii="Arial" w:hAnsi="Arial" w:cs="Arial"/>
          <w:bCs/>
          <w:sz w:val="24"/>
          <w:szCs w:val="24"/>
        </w:rPr>
        <w:tab/>
      </w:r>
      <w:r w:rsidRPr="00DE755B">
        <w:rPr>
          <w:rFonts w:ascii="Arial" w:hAnsi="Arial" w:cs="Arial"/>
          <w:bCs/>
          <w:sz w:val="24"/>
          <w:szCs w:val="24"/>
        </w:rPr>
        <w:tab/>
      </w:r>
      <w:r w:rsidRPr="00DE755B">
        <w:rPr>
          <w:rFonts w:ascii="Arial" w:hAnsi="Arial" w:cs="Arial"/>
          <w:bCs/>
          <w:sz w:val="24"/>
          <w:szCs w:val="24"/>
        </w:rPr>
        <w:tab/>
        <w:t xml:space="preserve"> </w:t>
      </w:r>
      <w:r>
        <w:rPr>
          <w:rFonts w:ascii="Arial" w:hAnsi="Arial" w:cs="Arial"/>
          <w:bCs/>
          <w:sz w:val="24"/>
          <w:szCs w:val="24"/>
        </w:rPr>
        <w:t xml:space="preserve">   </w:t>
      </w:r>
      <w:r w:rsidRPr="00DE755B">
        <w:rPr>
          <w:rFonts w:ascii="Arial" w:hAnsi="Arial" w:cs="Arial"/>
          <w:bCs/>
          <w:sz w:val="24"/>
          <w:szCs w:val="24"/>
        </w:rPr>
        <w:t xml:space="preserve">  </w:t>
      </w:r>
      <w:r w:rsidR="00E373CC">
        <w:rPr>
          <w:rFonts w:ascii="Arial" w:hAnsi="Arial" w:cs="Arial"/>
          <w:bCs/>
          <w:sz w:val="24"/>
          <w:szCs w:val="24"/>
        </w:rPr>
        <w:t xml:space="preserve">    </w:t>
      </w:r>
      <w:r w:rsidRPr="00DE755B">
        <w:rPr>
          <w:rFonts w:ascii="Arial" w:hAnsi="Arial" w:cs="Arial"/>
          <w:bCs/>
          <w:sz w:val="24"/>
          <w:szCs w:val="24"/>
        </w:rPr>
        <w:t>14.100,00</w:t>
      </w:r>
      <w:r>
        <w:rPr>
          <w:rFonts w:ascii="Arial" w:hAnsi="Arial" w:cs="Arial"/>
          <w:bCs/>
          <w:sz w:val="24"/>
          <w:szCs w:val="24"/>
        </w:rPr>
        <w:t xml:space="preserve"> eura</w:t>
      </w:r>
    </w:p>
    <w:p w14:paraId="580A8E7C" w14:textId="110F70A9" w:rsidR="00E541EE" w:rsidRDefault="00E541EE" w:rsidP="00E541EE">
      <w:pPr>
        <w:ind w:right="1276"/>
        <w:jc w:val="both"/>
        <w:rPr>
          <w:rFonts w:ascii="Arial" w:hAnsi="Arial" w:cs="Arial"/>
          <w:bCs/>
          <w:sz w:val="24"/>
          <w:szCs w:val="24"/>
        </w:rPr>
      </w:pPr>
      <w:r w:rsidRPr="00DE755B">
        <w:rPr>
          <w:rFonts w:ascii="Arial" w:hAnsi="Arial" w:cs="Arial"/>
          <w:bCs/>
          <w:sz w:val="24"/>
          <w:szCs w:val="24"/>
        </w:rPr>
        <w:t>-</w:t>
      </w:r>
      <w:r>
        <w:rPr>
          <w:rFonts w:ascii="Arial" w:hAnsi="Arial" w:cs="Arial"/>
          <w:bCs/>
          <w:sz w:val="24"/>
          <w:szCs w:val="24"/>
        </w:rPr>
        <w:t xml:space="preserve"> </w:t>
      </w:r>
      <w:r w:rsidRPr="00DE755B">
        <w:rPr>
          <w:rFonts w:ascii="Arial" w:hAnsi="Arial" w:cs="Arial"/>
          <w:bCs/>
          <w:sz w:val="24"/>
          <w:szCs w:val="24"/>
        </w:rPr>
        <w:t xml:space="preserve">usluge tekućeg i investicijskog održavanja           </w:t>
      </w:r>
      <w:r>
        <w:rPr>
          <w:rFonts w:ascii="Arial" w:hAnsi="Arial" w:cs="Arial"/>
          <w:bCs/>
          <w:sz w:val="24"/>
          <w:szCs w:val="24"/>
        </w:rPr>
        <w:t xml:space="preserve">  </w:t>
      </w:r>
      <w:r w:rsidRPr="00DE755B">
        <w:rPr>
          <w:rFonts w:ascii="Arial" w:hAnsi="Arial" w:cs="Arial"/>
          <w:bCs/>
          <w:sz w:val="24"/>
          <w:szCs w:val="24"/>
        </w:rPr>
        <w:t xml:space="preserve"> </w:t>
      </w:r>
      <w:r w:rsidR="00E373CC">
        <w:rPr>
          <w:rFonts w:ascii="Arial" w:hAnsi="Arial" w:cs="Arial"/>
          <w:bCs/>
          <w:sz w:val="24"/>
          <w:szCs w:val="24"/>
        </w:rPr>
        <w:t xml:space="preserve">     </w:t>
      </w:r>
      <w:r w:rsidRPr="00DE755B">
        <w:rPr>
          <w:rFonts w:ascii="Arial" w:hAnsi="Arial" w:cs="Arial"/>
          <w:bCs/>
          <w:sz w:val="24"/>
          <w:szCs w:val="24"/>
        </w:rPr>
        <w:t xml:space="preserve">6.370,00 </w:t>
      </w:r>
      <w:r>
        <w:rPr>
          <w:rFonts w:ascii="Arial" w:hAnsi="Arial" w:cs="Arial"/>
          <w:bCs/>
          <w:sz w:val="24"/>
          <w:szCs w:val="24"/>
        </w:rPr>
        <w:t>eura</w:t>
      </w:r>
    </w:p>
    <w:p w14:paraId="28090AF5" w14:textId="77777777" w:rsidR="00E541EE" w:rsidRPr="00DE755B" w:rsidRDefault="00E541EE" w:rsidP="00E541EE">
      <w:pPr>
        <w:ind w:right="1276"/>
        <w:jc w:val="both"/>
        <w:rPr>
          <w:rFonts w:ascii="Arial" w:hAnsi="Arial" w:cs="Arial"/>
          <w:bCs/>
          <w:sz w:val="24"/>
          <w:szCs w:val="24"/>
        </w:rPr>
      </w:pPr>
    </w:p>
    <w:p w14:paraId="7DF61FA8" w14:textId="77777777" w:rsidR="00E541EE" w:rsidRDefault="00E541EE" w:rsidP="00E541EE">
      <w:pPr>
        <w:jc w:val="both"/>
        <w:rPr>
          <w:rFonts w:ascii="Arial" w:hAnsi="Arial" w:cs="Arial"/>
          <w:bCs/>
          <w:sz w:val="24"/>
          <w:szCs w:val="24"/>
        </w:rPr>
      </w:pPr>
      <w:r w:rsidRPr="00DE755B">
        <w:rPr>
          <w:rFonts w:ascii="Arial" w:hAnsi="Arial" w:cs="Arial"/>
          <w:bCs/>
          <w:sz w:val="24"/>
          <w:szCs w:val="24"/>
        </w:rPr>
        <w:t xml:space="preserve">Putem COP-a , na teret Državne riznice RH ukupno 876.000,00 </w:t>
      </w:r>
      <w:r>
        <w:rPr>
          <w:rFonts w:ascii="Arial" w:hAnsi="Arial" w:cs="Arial"/>
          <w:bCs/>
          <w:sz w:val="24"/>
          <w:szCs w:val="24"/>
        </w:rPr>
        <w:t>eura</w:t>
      </w:r>
      <w:r w:rsidRPr="00DE755B">
        <w:rPr>
          <w:rFonts w:ascii="Arial" w:hAnsi="Arial" w:cs="Arial"/>
          <w:bCs/>
          <w:sz w:val="24"/>
          <w:szCs w:val="24"/>
        </w:rPr>
        <w:t xml:space="preserve"> za:</w:t>
      </w:r>
    </w:p>
    <w:p w14:paraId="66297B3F" w14:textId="77777777" w:rsidR="00E541EE" w:rsidRPr="00DE755B" w:rsidRDefault="00E541EE" w:rsidP="00E541EE">
      <w:pPr>
        <w:jc w:val="both"/>
        <w:rPr>
          <w:rFonts w:ascii="Arial" w:hAnsi="Arial" w:cs="Arial"/>
          <w:bCs/>
          <w:sz w:val="24"/>
          <w:szCs w:val="24"/>
        </w:rPr>
      </w:pPr>
      <w:r>
        <w:rPr>
          <w:rFonts w:ascii="Arial" w:hAnsi="Arial" w:cs="Arial"/>
          <w:bCs/>
          <w:sz w:val="24"/>
          <w:szCs w:val="24"/>
        </w:rPr>
        <w:t xml:space="preserve">- </w:t>
      </w:r>
      <w:r w:rsidRPr="00DE755B">
        <w:rPr>
          <w:rFonts w:ascii="Arial" w:hAnsi="Arial" w:cs="Arial"/>
          <w:bCs/>
          <w:sz w:val="24"/>
          <w:szCs w:val="24"/>
        </w:rPr>
        <w:t xml:space="preserve">plaće i doprinosi za zaposlene u iznosu od 811.500,00 </w:t>
      </w:r>
      <w:r>
        <w:rPr>
          <w:rFonts w:ascii="Arial" w:hAnsi="Arial" w:cs="Arial"/>
          <w:bCs/>
          <w:sz w:val="24"/>
          <w:szCs w:val="24"/>
        </w:rPr>
        <w:t>eura</w:t>
      </w:r>
      <w:r w:rsidRPr="00DE755B">
        <w:rPr>
          <w:rFonts w:ascii="Arial" w:hAnsi="Arial" w:cs="Arial"/>
          <w:bCs/>
          <w:sz w:val="24"/>
          <w:szCs w:val="24"/>
        </w:rPr>
        <w:t xml:space="preserve"> u 2026. godini </w:t>
      </w:r>
    </w:p>
    <w:p w14:paraId="606A0C9B" w14:textId="77777777" w:rsidR="00E541EE" w:rsidRPr="00DE755B" w:rsidRDefault="00E541EE" w:rsidP="00E541EE">
      <w:pPr>
        <w:jc w:val="both"/>
        <w:rPr>
          <w:rFonts w:ascii="Arial" w:hAnsi="Arial" w:cs="Arial"/>
          <w:bCs/>
          <w:sz w:val="24"/>
          <w:szCs w:val="24"/>
        </w:rPr>
      </w:pPr>
      <w:r>
        <w:rPr>
          <w:rFonts w:ascii="Arial" w:hAnsi="Arial" w:cs="Arial"/>
          <w:bCs/>
          <w:sz w:val="24"/>
          <w:szCs w:val="24"/>
        </w:rPr>
        <w:t xml:space="preserve">- </w:t>
      </w:r>
      <w:r w:rsidRPr="00DE755B">
        <w:rPr>
          <w:rFonts w:ascii="Arial" w:hAnsi="Arial" w:cs="Arial"/>
          <w:bCs/>
          <w:sz w:val="24"/>
          <w:szCs w:val="24"/>
        </w:rPr>
        <w:t xml:space="preserve">ostali rashodi za zaposlene: otpremnine, jubilarne nagrade, pomoći i dar djeci i ostale naknade po Kolektivnim ugovorima u iznosu od 30.000,00 </w:t>
      </w:r>
      <w:r>
        <w:rPr>
          <w:rFonts w:ascii="Arial" w:hAnsi="Arial" w:cs="Arial"/>
          <w:bCs/>
          <w:sz w:val="24"/>
          <w:szCs w:val="24"/>
        </w:rPr>
        <w:t>eura</w:t>
      </w:r>
    </w:p>
    <w:p w14:paraId="5F7285A7" w14:textId="77777777" w:rsidR="00E541EE" w:rsidRPr="00DE755B" w:rsidRDefault="00E541EE" w:rsidP="00E541EE">
      <w:pPr>
        <w:jc w:val="both"/>
        <w:rPr>
          <w:rFonts w:ascii="Arial" w:hAnsi="Arial" w:cs="Arial"/>
          <w:bCs/>
          <w:sz w:val="24"/>
          <w:szCs w:val="24"/>
        </w:rPr>
      </w:pPr>
      <w:r>
        <w:rPr>
          <w:rFonts w:ascii="Arial" w:hAnsi="Arial" w:cs="Arial"/>
          <w:bCs/>
          <w:sz w:val="24"/>
          <w:szCs w:val="24"/>
        </w:rPr>
        <w:t xml:space="preserve">- </w:t>
      </w:r>
      <w:r w:rsidRPr="00DE755B">
        <w:rPr>
          <w:rFonts w:ascii="Arial" w:hAnsi="Arial" w:cs="Arial"/>
          <w:bCs/>
          <w:sz w:val="24"/>
          <w:szCs w:val="24"/>
        </w:rPr>
        <w:t xml:space="preserve">naknada troškova zaposlenicima 32.000,00 </w:t>
      </w:r>
      <w:r>
        <w:rPr>
          <w:rFonts w:ascii="Arial" w:hAnsi="Arial" w:cs="Arial"/>
          <w:bCs/>
          <w:sz w:val="24"/>
          <w:szCs w:val="24"/>
        </w:rPr>
        <w:t>eura</w:t>
      </w:r>
    </w:p>
    <w:p w14:paraId="477E2E5C" w14:textId="77777777" w:rsidR="00E541EE" w:rsidRPr="00DE755B" w:rsidRDefault="00E541EE" w:rsidP="00E541EE">
      <w:pPr>
        <w:jc w:val="both"/>
        <w:rPr>
          <w:rFonts w:ascii="Arial" w:hAnsi="Arial" w:cs="Arial"/>
          <w:bCs/>
          <w:sz w:val="24"/>
          <w:szCs w:val="24"/>
        </w:rPr>
      </w:pPr>
      <w:r>
        <w:rPr>
          <w:rFonts w:ascii="Arial" w:hAnsi="Arial" w:cs="Arial"/>
          <w:bCs/>
          <w:sz w:val="24"/>
          <w:szCs w:val="24"/>
        </w:rPr>
        <w:t xml:space="preserve">- </w:t>
      </w:r>
      <w:r w:rsidRPr="00DE755B">
        <w:rPr>
          <w:rFonts w:ascii="Arial" w:hAnsi="Arial" w:cs="Arial"/>
          <w:bCs/>
          <w:sz w:val="24"/>
          <w:szCs w:val="24"/>
        </w:rPr>
        <w:t xml:space="preserve">pristojbe i naknade za nezapošljavanje invalida 2.500,00 </w:t>
      </w:r>
      <w:r>
        <w:rPr>
          <w:rFonts w:ascii="Arial" w:hAnsi="Arial" w:cs="Arial"/>
          <w:bCs/>
          <w:sz w:val="24"/>
          <w:szCs w:val="24"/>
        </w:rPr>
        <w:t>eura</w:t>
      </w:r>
    </w:p>
    <w:p w14:paraId="4EC55F54" w14:textId="77777777" w:rsidR="00E541EE" w:rsidRPr="00AC2206" w:rsidRDefault="00E541EE" w:rsidP="00E541EE">
      <w:pPr>
        <w:jc w:val="both"/>
        <w:rPr>
          <w:rFonts w:ascii="Arial" w:hAnsi="Arial" w:cs="Arial"/>
          <w:bCs/>
          <w:sz w:val="24"/>
          <w:szCs w:val="24"/>
        </w:rPr>
      </w:pPr>
      <w:r w:rsidRPr="00AC2206">
        <w:rPr>
          <w:rFonts w:ascii="Arial" w:eastAsia="Times New Roman" w:hAnsi="Arial" w:cs="Arial"/>
          <w:b/>
          <w:sz w:val="24"/>
          <w:szCs w:val="24"/>
        </w:rPr>
        <w:t xml:space="preserve">Opći cilj: </w:t>
      </w:r>
      <w:r w:rsidRPr="00AC2206">
        <w:rPr>
          <w:rFonts w:ascii="Arial" w:eastAsia="Times New Roman" w:hAnsi="Arial" w:cs="Arial"/>
          <w:sz w:val="24"/>
          <w:szCs w:val="24"/>
        </w:rPr>
        <w:t>osiguravanje materijalnih uvjeta rada ustanove.</w:t>
      </w:r>
    </w:p>
    <w:p w14:paraId="04E7068A" w14:textId="77777777" w:rsidR="00E541EE" w:rsidRPr="00AC2206" w:rsidRDefault="00E541EE" w:rsidP="00E541EE">
      <w:pPr>
        <w:jc w:val="both"/>
        <w:rPr>
          <w:rFonts w:ascii="Arial" w:hAnsi="Arial" w:cs="Arial"/>
          <w:bCs/>
          <w:sz w:val="24"/>
          <w:szCs w:val="24"/>
        </w:rPr>
      </w:pPr>
      <w:r w:rsidRPr="00AC2206">
        <w:rPr>
          <w:rFonts w:ascii="Arial" w:eastAsia="Times New Roman" w:hAnsi="Arial" w:cs="Arial"/>
          <w:b/>
          <w:sz w:val="24"/>
          <w:szCs w:val="24"/>
        </w:rPr>
        <w:t xml:space="preserve">Pokazatelj uspješnosti: </w:t>
      </w:r>
      <w:r w:rsidRPr="00AC2206">
        <w:rPr>
          <w:rFonts w:ascii="Arial" w:eastAsia="Times New Roman" w:hAnsi="Arial" w:cs="Arial"/>
          <w:sz w:val="24"/>
          <w:szCs w:val="24"/>
        </w:rPr>
        <w:t>nesmetano odvijanje djelatnosti ustanove.</w:t>
      </w:r>
    </w:p>
    <w:p w14:paraId="2DF29AA0" w14:textId="77777777" w:rsidR="00E541EE" w:rsidRPr="00AC2206" w:rsidRDefault="00E541EE" w:rsidP="00E541EE">
      <w:pPr>
        <w:jc w:val="both"/>
        <w:rPr>
          <w:rFonts w:ascii="Arial" w:eastAsia="Times New Roman" w:hAnsi="Arial" w:cs="Arial"/>
          <w:bCs/>
          <w:sz w:val="24"/>
          <w:szCs w:val="24"/>
        </w:rPr>
      </w:pPr>
    </w:p>
    <w:p w14:paraId="4F22B255"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AC2206">
        <w:rPr>
          <w:rFonts w:ascii="Arial" w:eastAsia="Times New Roman" w:hAnsi="Arial" w:cs="Arial"/>
          <w:b/>
          <w:bCs/>
          <w:sz w:val="24"/>
          <w:szCs w:val="24"/>
        </w:rPr>
        <w:t>A 103602: Produženi boravak djece u školi = 1</w:t>
      </w:r>
      <w:r>
        <w:rPr>
          <w:rFonts w:ascii="Arial" w:eastAsia="Times New Roman" w:hAnsi="Arial" w:cs="Arial"/>
          <w:b/>
          <w:bCs/>
          <w:sz w:val="24"/>
          <w:szCs w:val="24"/>
        </w:rPr>
        <w:t>21</w:t>
      </w:r>
      <w:r w:rsidRPr="00AC2206">
        <w:rPr>
          <w:rFonts w:ascii="Arial" w:eastAsia="Times New Roman" w:hAnsi="Arial" w:cs="Arial"/>
          <w:b/>
          <w:bCs/>
          <w:sz w:val="24"/>
          <w:szCs w:val="24"/>
        </w:rPr>
        <w:t>.2</w:t>
      </w:r>
      <w:r>
        <w:rPr>
          <w:rFonts w:ascii="Arial" w:eastAsia="Times New Roman" w:hAnsi="Arial" w:cs="Arial"/>
          <w:b/>
          <w:bCs/>
          <w:sz w:val="24"/>
          <w:szCs w:val="24"/>
        </w:rPr>
        <w:t>45</w:t>
      </w:r>
      <w:r w:rsidRPr="00AC2206">
        <w:rPr>
          <w:rFonts w:ascii="Arial" w:eastAsia="Times New Roman" w:hAnsi="Arial" w:cs="Arial"/>
          <w:b/>
          <w:bCs/>
          <w:sz w:val="24"/>
          <w:szCs w:val="24"/>
        </w:rPr>
        <w:t>,00 EUR</w:t>
      </w:r>
    </w:p>
    <w:p w14:paraId="0120484A"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sz w:val="24"/>
          <w:szCs w:val="24"/>
        </w:rPr>
        <w:t xml:space="preserve">Zakonska osnova: </w:t>
      </w:r>
      <w:r w:rsidRPr="00AC2206">
        <w:rPr>
          <w:rFonts w:ascii="Arial" w:eastAsia="Times New Roman" w:hAnsi="Arial" w:cs="Arial"/>
          <w:sz w:val="24"/>
          <w:szCs w:val="24"/>
        </w:rPr>
        <w:t>Zakon o odgoju i obrazovanju u osnovnoj i srednjoj školi, Zakon o odgoju i obrazovanju na jeziku i pismu nacionalnih manjina, Državni pedagoški standard osnovnoškolskog sustava odgoja i obrazovanja, Pravilnik o organizaciji i provedbi produženog boravka u OŠ.</w:t>
      </w:r>
    </w:p>
    <w:p w14:paraId="4E81F774" w14:textId="77777777" w:rsidR="00E541EE" w:rsidRPr="00AC2206" w:rsidRDefault="00E541EE" w:rsidP="00E541EE">
      <w:pPr>
        <w:jc w:val="both"/>
        <w:rPr>
          <w:rFonts w:ascii="Arial" w:hAnsi="Arial" w:cs="Arial"/>
          <w:bCs/>
          <w:sz w:val="24"/>
          <w:szCs w:val="24"/>
        </w:rPr>
      </w:pPr>
      <w:r w:rsidRPr="00AC2206">
        <w:rPr>
          <w:rFonts w:ascii="Arial" w:eastAsia="Times New Roman" w:hAnsi="Arial" w:cs="Arial"/>
          <w:b/>
          <w:sz w:val="24"/>
          <w:szCs w:val="24"/>
        </w:rPr>
        <w:t>Opis:</w:t>
      </w:r>
      <w:r w:rsidRPr="00AC2206">
        <w:rPr>
          <w:rFonts w:ascii="Arial" w:eastAsia="Times New Roman" w:hAnsi="Arial" w:cs="Arial"/>
          <w:sz w:val="24"/>
          <w:szCs w:val="24"/>
        </w:rPr>
        <w:t xml:space="preserve"> </w:t>
      </w:r>
      <w:r w:rsidRPr="00AC2206">
        <w:rPr>
          <w:rFonts w:ascii="Arial" w:hAnsi="Arial" w:cs="Arial"/>
          <w:bCs/>
          <w:sz w:val="24"/>
          <w:szCs w:val="24"/>
        </w:rPr>
        <w:t xml:space="preserve">u školi je organiziran produženi boravak za učenike nižih razreda u 3 grupe, u kojima su zaposlene dvije učiteljice na puno radno vrijeme i jedna učiteljica na pola radnog vremena. Zbog obima posla financira se i pomoćni kuhar na 3,5 h te kućni majstor na 2 h dnevno. </w:t>
      </w:r>
    </w:p>
    <w:p w14:paraId="6AFEFC4C" w14:textId="77777777" w:rsidR="00E541EE" w:rsidRDefault="00E541EE" w:rsidP="00E541EE">
      <w:pPr>
        <w:jc w:val="both"/>
        <w:rPr>
          <w:rFonts w:ascii="Arial" w:hAnsi="Arial" w:cs="Arial"/>
          <w:bCs/>
          <w:sz w:val="24"/>
          <w:szCs w:val="24"/>
        </w:rPr>
      </w:pPr>
      <w:r w:rsidRPr="00E425EF">
        <w:rPr>
          <w:rFonts w:ascii="Arial" w:hAnsi="Arial" w:cs="Arial"/>
          <w:bCs/>
          <w:sz w:val="24"/>
          <w:szCs w:val="24"/>
        </w:rPr>
        <w:t xml:space="preserve">Obzirom da sva djeca nižih razreda pohađaju produženi boravak koji je dugi niz godina koncipiran na način da djeca naprave zadaću i ponavljaju s učiteljicama do 15 sati pa se nadalje posvećuju raznim aktivnostima. </w:t>
      </w:r>
    </w:p>
    <w:p w14:paraId="5321EF23" w14:textId="77777777" w:rsidR="00E541EE" w:rsidRDefault="00E541EE" w:rsidP="00E541EE">
      <w:pPr>
        <w:jc w:val="both"/>
        <w:rPr>
          <w:rFonts w:ascii="Arial" w:hAnsi="Arial" w:cs="Arial"/>
          <w:bCs/>
          <w:sz w:val="24"/>
          <w:szCs w:val="24"/>
        </w:rPr>
      </w:pPr>
      <w:r w:rsidRPr="00475D3C">
        <w:rPr>
          <w:rFonts w:ascii="Arial" w:hAnsi="Arial" w:cs="Arial"/>
          <w:bCs/>
          <w:sz w:val="24"/>
          <w:szCs w:val="24"/>
        </w:rPr>
        <w:t>Zadnjih godina pohađa produženi boravak više od 62 djece podijeljene u tri grupe. Iz proračuna Grada Rovinj-Rovigno podmiruje s trošak plaće i ostalih davanja koji proizlaze iz radnog odnosa</w:t>
      </w:r>
      <w:r>
        <w:rPr>
          <w:rFonts w:ascii="Arial" w:hAnsi="Arial" w:cs="Arial"/>
          <w:bCs/>
          <w:sz w:val="24"/>
          <w:szCs w:val="24"/>
        </w:rPr>
        <w:t xml:space="preserve"> (94.350,00 eura)</w:t>
      </w:r>
      <w:r w:rsidRPr="00475D3C">
        <w:rPr>
          <w:rFonts w:ascii="Arial" w:hAnsi="Arial" w:cs="Arial"/>
          <w:bCs/>
          <w:sz w:val="24"/>
          <w:szCs w:val="24"/>
        </w:rPr>
        <w:t>, a sukladno Zakonu o radu i važećim Temeljnim kolektivnim ugovorom za zaposlenike u javnim službama kao i Kolektivnim ugovorom za zaposlenike u osnovnim školama</w:t>
      </w:r>
      <w:r>
        <w:rPr>
          <w:rFonts w:ascii="Arial" w:hAnsi="Arial" w:cs="Arial"/>
          <w:bCs/>
          <w:sz w:val="24"/>
          <w:szCs w:val="24"/>
        </w:rPr>
        <w:t>. Također, osiguravaju se materijalni rashodi u iznosu od 2.795,00 eura.</w:t>
      </w:r>
    </w:p>
    <w:p w14:paraId="57DFF18C" w14:textId="77777777" w:rsidR="00E541EE" w:rsidRPr="00475D3C" w:rsidRDefault="00E541EE" w:rsidP="00E541EE">
      <w:pPr>
        <w:jc w:val="both"/>
        <w:rPr>
          <w:rFonts w:ascii="Arial" w:hAnsi="Arial" w:cs="Arial"/>
          <w:bCs/>
          <w:sz w:val="24"/>
          <w:szCs w:val="24"/>
        </w:rPr>
      </w:pPr>
      <w:r w:rsidRPr="00475D3C">
        <w:rPr>
          <w:rFonts w:ascii="Arial" w:hAnsi="Arial" w:cs="Arial"/>
          <w:bCs/>
          <w:sz w:val="24"/>
          <w:szCs w:val="24"/>
        </w:rPr>
        <w:t xml:space="preserve">U Područnoj školi u Balama koja ima 4 niža razreda u 2 kombinirana odjeljenja, organiziran je produženi boravak za sve učenike u jednoj grupi, u kojoj je  zaposlena jedna učiteljica na nepuno radno vrijeme od 32 sata tjedno. Iz proračuna Općine Bale-Valle podmiruje se trošak plaće i ostalih davanja koji proizlaze iz radnog odnosa, a sukladno Zakonu o radu i važećim Temeljnim kolektivnim ugovorom za zaposlenike u javnim službama kao i Kolektivnim ugovorom za zaposlenike u osnovnim školama, a za što je ukupno planirano da će u 2026. godini biti potrebno 24.100,00 </w:t>
      </w:r>
      <w:r>
        <w:rPr>
          <w:rFonts w:ascii="Arial" w:hAnsi="Arial" w:cs="Arial"/>
          <w:bCs/>
          <w:sz w:val="24"/>
          <w:szCs w:val="24"/>
        </w:rPr>
        <w:t>eura</w:t>
      </w:r>
      <w:r w:rsidRPr="00475D3C">
        <w:rPr>
          <w:rFonts w:ascii="Arial" w:hAnsi="Arial" w:cs="Arial"/>
          <w:bCs/>
          <w:sz w:val="24"/>
          <w:szCs w:val="24"/>
        </w:rPr>
        <w:t>.</w:t>
      </w:r>
    </w:p>
    <w:p w14:paraId="45426DE9" w14:textId="77777777" w:rsidR="00E541EE" w:rsidRPr="00AC2206" w:rsidRDefault="00E541EE" w:rsidP="00E541EE">
      <w:pPr>
        <w:jc w:val="both"/>
        <w:rPr>
          <w:rFonts w:ascii="Arial" w:hAnsi="Arial" w:cs="Arial"/>
          <w:bCs/>
          <w:sz w:val="24"/>
          <w:szCs w:val="24"/>
        </w:rPr>
      </w:pPr>
      <w:r w:rsidRPr="00AC2206">
        <w:rPr>
          <w:rFonts w:ascii="Arial" w:eastAsia="Times New Roman" w:hAnsi="Arial" w:cs="Arial"/>
          <w:b/>
          <w:sz w:val="24"/>
          <w:szCs w:val="24"/>
        </w:rPr>
        <w:t xml:space="preserve">Opći cilj: </w:t>
      </w:r>
      <w:r w:rsidRPr="00AC2206">
        <w:rPr>
          <w:rFonts w:ascii="Arial" w:eastAsia="Times New Roman" w:hAnsi="Arial" w:cs="Arial"/>
          <w:sz w:val="24"/>
          <w:szCs w:val="24"/>
        </w:rPr>
        <w:t>podrška zaposlenim roditeljima učenika razredne nastave te organiziran boravak učenika u školi.</w:t>
      </w:r>
    </w:p>
    <w:p w14:paraId="207F6C9F"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sz w:val="24"/>
          <w:szCs w:val="24"/>
        </w:rPr>
        <w:t xml:space="preserve">Pokazatelj uspješnosti: </w:t>
      </w:r>
      <w:r w:rsidRPr="00AC2206">
        <w:rPr>
          <w:rFonts w:ascii="Arial" w:eastAsia="Times New Roman" w:hAnsi="Arial" w:cs="Arial"/>
          <w:sz w:val="24"/>
          <w:szCs w:val="24"/>
        </w:rPr>
        <w:t>obuhvat djece te praćenje pokazatelja.</w:t>
      </w:r>
    </w:p>
    <w:p w14:paraId="5376D598" w14:textId="77777777" w:rsidR="00E541EE" w:rsidRPr="00AC2206" w:rsidRDefault="00E541EE" w:rsidP="00E541EE">
      <w:pPr>
        <w:rPr>
          <w:rFonts w:ascii="Arial" w:eastAsia="Times New Roman" w:hAnsi="Arial" w:cs="Arial"/>
          <w:bCs/>
          <w:sz w:val="24"/>
          <w:szCs w:val="24"/>
        </w:rPr>
      </w:pPr>
    </w:p>
    <w:p w14:paraId="10ED0D26"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rPr>
          <w:rFonts w:ascii="Arial" w:eastAsia="Times New Roman" w:hAnsi="Arial" w:cs="Arial"/>
          <w:b/>
          <w:bCs/>
          <w:sz w:val="24"/>
          <w:szCs w:val="24"/>
        </w:rPr>
      </w:pPr>
      <w:r w:rsidRPr="00AC2206">
        <w:rPr>
          <w:rFonts w:ascii="Arial" w:eastAsia="Times New Roman" w:hAnsi="Arial" w:cs="Arial"/>
          <w:b/>
          <w:bCs/>
          <w:sz w:val="24"/>
          <w:szCs w:val="24"/>
        </w:rPr>
        <w:t>A 103603: Školski pedagog = 14.</w:t>
      </w:r>
      <w:r>
        <w:rPr>
          <w:rFonts w:ascii="Arial" w:eastAsia="Times New Roman" w:hAnsi="Arial" w:cs="Arial"/>
          <w:b/>
          <w:bCs/>
          <w:sz w:val="24"/>
          <w:szCs w:val="24"/>
        </w:rPr>
        <w:t>85</w:t>
      </w:r>
      <w:r w:rsidRPr="00AC2206">
        <w:rPr>
          <w:rFonts w:ascii="Arial" w:eastAsia="Times New Roman" w:hAnsi="Arial" w:cs="Arial"/>
          <w:b/>
          <w:bCs/>
          <w:sz w:val="24"/>
          <w:szCs w:val="24"/>
        </w:rPr>
        <w:t>0,00 EUR</w:t>
      </w:r>
    </w:p>
    <w:p w14:paraId="711E37FA"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sz w:val="24"/>
          <w:szCs w:val="24"/>
        </w:rPr>
        <w:t xml:space="preserve">Zakonska osnova: </w:t>
      </w:r>
      <w:r w:rsidRPr="00AC2206">
        <w:rPr>
          <w:rFonts w:ascii="Arial" w:eastAsia="Times New Roman" w:hAnsi="Arial" w:cs="Arial"/>
          <w:sz w:val="24"/>
          <w:szCs w:val="24"/>
        </w:rPr>
        <w:t>Zakon o odgoju i obrazovanju u osnovnoj i srednjoj školi, Zakon o odgoju i obrazovanju na jeziku i pismu nacionalnih manjina, Državni pedagoški standard osnovnoškolskog sustava odgoja i obrazovanja.</w:t>
      </w:r>
    </w:p>
    <w:p w14:paraId="2F567578" w14:textId="77777777" w:rsidR="00E541EE" w:rsidRPr="00AC2206" w:rsidRDefault="00E541EE" w:rsidP="00E541EE">
      <w:pPr>
        <w:jc w:val="both"/>
        <w:rPr>
          <w:rFonts w:ascii="Arial" w:eastAsia="Times New Roman" w:hAnsi="Arial" w:cs="Arial"/>
          <w:bCs/>
          <w:sz w:val="24"/>
          <w:szCs w:val="24"/>
        </w:rPr>
      </w:pPr>
      <w:r w:rsidRPr="00AC2206">
        <w:rPr>
          <w:rFonts w:ascii="Arial" w:eastAsia="Times New Roman" w:hAnsi="Arial" w:cs="Arial"/>
          <w:b/>
          <w:sz w:val="24"/>
          <w:szCs w:val="24"/>
        </w:rPr>
        <w:t>Opis:</w:t>
      </w:r>
      <w:r w:rsidRPr="00AC2206">
        <w:rPr>
          <w:rFonts w:ascii="Arial" w:eastAsia="Times New Roman" w:hAnsi="Arial" w:cs="Arial"/>
          <w:sz w:val="24"/>
          <w:szCs w:val="24"/>
        </w:rPr>
        <w:t xml:space="preserve"> uvođenjem pedagoga u stručnom timu škole pridonijelo je ka poboljšanju organizacije i izvršenju plana i programa škole. Za ovu aktivnost planira se </w:t>
      </w:r>
      <w:r w:rsidRPr="00AC2206">
        <w:rPr>
          <w:rFonts w:ascii="Arial" w:eastAsia="Times New Roman" w:hAnsi="Arial" w:cs="Arial"/>
          <w:bCs/>
          <w:sz w:val="24"/>
          <w:szCs w:val="24"/>
        </w:rPr>
        <w:t>prihod u iznosu od 14.</w:t>
      </w:r>
      <w:r>
        <w:rPr>
          <w:rFonts w:ascii="Arial" w:eastAsia="Times New Roman" w:hAnsi="Arial" w:cs="Arial"/>
          <w:bCs/>
          <w:sz w:val="24"/>
          <w:szCs w:val="24"/>
        </w:rPr>
        <w:t>85</w:t>
      </w:r>
      <w:r w:rsidRPr="00AC2206">
        <w:rPr>
          <w:rFonts w:ascii="Arial" w:eastAsia="Times New Roman" w:hAnsi="Arial" w:cs="Arial"/>
          <w:bCs/>
          <w:sz w:val="24"/>
          <w:szCs w:val="24"/>
        </w:rPr>
        <w:t>0,00 EUR potrebno za pokriti rashode za plaće i doprinose na plaće kao i za ostale rashode za zaposlene te prijevoz na posao i s posla za jednu osobu na pola radnog vremena.</w:t>
      </w:r>
    </w:p>
    <w:p w14:paraId="22E55BFB"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sz w:val="24"/>
          <w:szCs w:val="24"/>
        </w:rPr>
        <w:t xml:space="preserve">Opći cilj: </w:t>
      </w:r>
      <w:r w:rsidRPr="00AC2206">
        <w:rPr>
          <w:rFonts w:ascii="Arial" w:eastAsia="Times New Roman" w:hAnsi="Arial" w:cs="Arial"/>
          <w:sz w:val="24"/>
          <w:szCs w:val="24"/>
        </w:rPr>
        <w:t xml:space="preserve">unapređenje odgojno obrazovnog rada dodatnim ekipiranjem stručne službe, osiguravanje dodatnih standarda. </w:t>
      </w:r>
    </w:p>
    <w:p w14:paraId="5406686D" w14:textId="77777777" w:rsidR="00E541EE" w:rsidRPr="00AC2206" w:rsidRDefault="00E541EE" w:rsidP="00E541EE">
      <w:pPr>
        <w:jc w:val="both"/>
        <w:rPr>
          <w:rFonts w:ascii="Arial" w:eastAsia="Times New Roman" w:hAnsi="Arial" w:cs="Arial"/>
          <w:bCs/>
          <w:sz w:val="24"/>
          <w:szCs w:val="24"/>
        </w:rPr>
      </w:pPr>
      <w:r w:rsidRPr="00AC2206">
        <w:rPr>
          <w:rFonts w:ascii="Arial" w:eastAsia="Times New Roman" w:hAnsi="Arial" w:cs="Arial"/>
          <w:b/>
          <w:sz w:val="24"/>
          <w:szCs w:val="24"/>
        </w:rPr>
        <w:t>Pokazatelj uspješnosti:</w:t>
      </w:r>
      <w:r w:rsidRPr="00AC2206">
        <w:rPr>
          <w:rFonts w:ascii="Arial" w:eastAsia="Times New Roman" w:hAnsi="Arial" w:cs="Arial"/>
          <w:bCs/>
          <w:sz w:val="24"/>
          <w:szCs w:val="24"/>
        </w:rPr>
        <w:t xml:space="preserve"> odvijanje odgojno obrazovno procesa i zadržavanje dostignutog standarda.</w:t>
      </w:r>
    </w:p>
    <w:p w14:paraId="14E0F8F0" w14:textId="77777777" w:rsidR="00E541EE" w:rsidRPr="00AC2206" w:rsidRDefault="00E541EE" w:rsidP="00E541EE">
      <w:pPr>
        <w:jc w:val="both"/>
        <w:rPr>
          <w:rFonts w:ascii="Arial" w:eastAsia="Times New Roman" w:hAnsi="Arial" w:cs="Arial"/>
          <w:bCs/>
          <w:sz w:val="24"/>
          <w:szCs w:val="24"/>
        </w:rPr>
      </w:pPr>
    </w:p>
    <w:p w14:paraId="15BAD2C7"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AC2206">
        <w:rPr>
          <w:rFonts w:ascii="Arial" w:eastAsia="Times New Roman" w:hAnsi="Arial" w:cs="Arial"/>
          <w:b/>
          <w:bCs/>
          <w:sz w:val="24"/>
          <w:szCs w:val="24"/>
        </w:rPr>
        <w:t>A 103604: Školski odbor = 2.000,00 EUR</w:t>
      </w:r>
    </w:p>
    <w:p w14:paraId="3B34C9A0"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sz w:val="24"/>
          <w:szCs w:val="24"/>
        </w:rPr>
        <w:t xml:space="preserve">Zakonska osnova: </w:t>
      </w:r>
      <w:r w:rsidRPr="00AC2206">
        <w:rPr>
          <w:rFonts w:ascii="Arial" w:eastAsia="Times New Roman" w:hAnsi="Arial" w:cs="Arial"/>
          <w:sz w:val="24"/>
          <w:szCs w:val="24"/>
        </w:rPr>
        <w:t>Zakon o odgoju i obrazovanju u osnovnoj i srednjoj školi.</w:t>
      </w:r>
    </w:p>
    <w:p w14:paraId="7327D4D7"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sz w:val="24"/>
          <w:szCs w:val="24"/>
        </w:rPr>
        <w:t>Opis:</w:t>
      </w:r>
      <w:r w:rsidRPr="00AC2206">
        <w:rPr>
          <w:rFonts w:ascii="Arial" w:eastAsia="Times New Roman" w:hAnsi="Arial" w:cs="Arial"/>
          <w:sz w:val="24"/>
          <w:szCs w:val="24"/>
        </w:rPr>
        <w:t xml:space="preserve"> planiranim sredstvima osigurava se isplata naknade članovima Školskih odbora prema održanim sjednicama i prisustvu članova.</w:t>
      </w:r>
    </w:p>
    <w:p w14:paraId="5A1D3484" w14:textId="77777777" w:rsidR="00E541EE" w:rsidRPr="00AC2206" w:rsidRDefault="00E541EE" w:rsidP="00E541EE">
      <w:pPr>
        <w:jc w:val="both"/>
        <w:rPr>
          <w:rFonts w:ascii="Arial" w:eastAsia="Times New Roman" w:hAnsi="Arial" w:cs="Arial"/>
          <w:b/>
          <w:sz w:val="24"/>
          <w:szCs w:val="24"/>
        </w:rPr>
      </w:pPr>
      <w:r w:rsidRPr="00AC2206">
        <w:rPr>
          <w:rFonts w:ascii="Arial" w:eastAsia="Times New Roman" w:hAnsi="Arial" w:cs="Arial"/>
          <w:b/>
          <w:sz w:val="24"/>
          <w:szCs w:val="24"/>
        </w:rPr>
        <w:t xml:space="preserve">Opći cilj: </w:t>
      </w:r>
      <w:r w:rsidRPr="00AC2206">
        <w:rPr>
          <w:rFonts w:ascii="Arial" w:eastAsia="Times New Roman" w:hAnsi="Arial" w:cs="Arial"/>
          <w:sz w:val="24"/>
          <w:szCs w:val="24"/>
        </w:rPr>
        <w:t>upravljanje školskom ustanovom.</w:t>
      </w:r>
    </w:p>
    <w:p w14:paraId="2D7481E6" w14:textId="77777777" w:rsidR="00E541EE" w:rsidRPr="00AC2206" w:rsidRDefault="00E541EE" w:rsidP="00E541EE">
      <w:pPr>
        <w:jc w:val="both"/>
        <w:rPr>
          <w:rFonts w:ascii="Arial" w:eastAsia="Times New Roman" w:hAnsi="Arial" w:cs="Arial"/>
          <w:bCs/>
          <w:sz w:val="24"/>
          <w:szCs w:val="24"/>
        </w:rPr>
      </w:pPr>
      <w:r w:rsidRPr="00AC2206">
        <w:rPr>
          <w:rFonts w:ascii="Arial" w:eastAsia="Times New Roman" w:hAnsi="Arial" w:cs="Arial"/>
          <w:b/>
          <w:sz w:val="24"/>
          <w:szCs w:val="24"/>
        </w:rPr>
        <w:t>Pokazatelj uspješnosti:</w:t>
      </w:r>
      <w:r w:rsidRPr="00AC2206">
        <w:rPr>
          <w:rFonts w:ascii="Arial" w:eastAsia="Times New Roman" w:hAnsi="Arial" w:cs="Arial"/>
          <w:bCs/>
          <w:sz w:val="24"/>
          <w:szCs w:val="24"/>
        </w:rPr>
        <w:t xml:space="preserve"> redovno održavanje sjednica Školskog odbora i izvršavanje plana rada.</w:t>
      </w:r>
    </w:p>
    <w:p w14:paraId="69A81524" w14:textId="77777777" w:rsidR="00E541EE" w:rsidRPr="00AC2206" w:rsidRDefault="00E541EE" w:rsidP="00E541EE">
      <w:pPr>
        <w:jc w:val="both"/>
        <w:rPr>
          <w:rFonts w:ascii="Arial" w:eastAsia="Times New Roman" w:hAnsi="Arial" w:cs="Arial"/>
          <w:bCs/>
          <w:sz w:val="24"/>
          <w:szCs w:val="24"/>
        </w:rPr>
      </w:pPr>
    </w:p>
    <w:p w14:paraId="703FF5F2"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AC2206">
        <w:rPr>
          <w:rFonts w:ascii="Arial" w:eastAsia="Times New Roman" w:hAnsi="Arial" w:cs="Arial"/>
          <w:b/>
          <w:bCs/>
          <w:sz w:val="24"/>
          <w:szCs w:val="24"/>
        </w:rPr>
        <w:t>A 103605: Programi i aktivnosti škole = 6</w:t>
      </w:r>
      <w:r>
        <w:rPr>
          <w:rFonts w:ascii="Arial" w:eastAsia="Times New Roman" w:hAnsi="Arial" w:cs="Arial"/>
          <w:b/>
          <w:bCs/>
          <w:sz w:val="24"/>
          <w:szCs w:val="24"/>
        </w:rPr>
        <w:t>0</w:t>
      </w:r>
      <w:r w:rsidRPr="00AC2206">
        <w:rPr>
          <w:rFonts w:ascii="Arial" w:eastAsia="Times New Roman" w:hAnsi="Arial" w:cs="Arial"/>
          <w:b/>
          <w:bCs/>
          <w:sz w:val="24"/>
          <w:szCs w:val="24"/>
        </w:rPr>
        <w:t>.</w:t>
      </w:r>
      <w:r>
        <w:rPr>
          <w:rFonts w:ascii="Arial" w:eastAsia="Times New Roman" w:hAnsi="Arial" w:cs="Arial"/>
          <w:b/>
          <w:bCs/>
          <w:sz w:val="24"/>
          <w:szCs w:val="24"/>
        </w:rPr>
        <w:t>75</w:t>
      </w:r>
      <w:r w:rsidRPr="00AC2206">
        <w:rPr>
          <w:rFonts w:ascii="Arial" w:eastAsia="Times New Roman" w:hAnsi="Arial" w:cs="Arial"/>
          <w:b/>
          <w:bCs/>
          <w:sz w:val="24"/>
          <w:szCs w:val="24"/>
        </w:rPr>
        <w:t>0,00 EUR</w:t>
      </w:r>
    </w:p>
    <w:p w14:paraId="60CB2605"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sz w:val="24"/>
          <w:szCs w:val="24"/>
        </w:rPr>
        <w:t xml:space="preserve">Zakonska osnova: </w:t>
      </w:r>
      <w:r w:rsidRPr="00AC2206">
        <w:rPr>
          <w:rFonts w:ascii="Arial" w:eastAsia="Times New Roman" w:hAnsi="Arial" w:cs="Arial"/>
          <w:sz w:val="24"/>
          <w:szCs w:val="24"/>
        </w:rPr>
        <w:t>Zakon o odgoju i obrazovanju u osnovnoj i srednjoj školi, Zakon o odgoju i obrazovanju na jeziku i pismu nacionalnih manjina, Državni pedagoški standard osnovnoškolskog sustava odgoja i obrazovanja.</w:t>
      </w:r>
    </w:p>
    <w:p w14:paraId="6C7E773D" w14:textId="77777777" w:rsidR="00E541EE" w:rsidRPr="00475D3C" w:rsidRDefault="00E541EE" w:rsidP="00E541EE">
      <w:pPr>
        <w:jc w:val="both"/>
        <w:rPr>
          <w:rFonts w:ascii="Arial" w:hAnsi="Arial" w:cs="Arial"/>
          <w:bCs/>
          <w:sz w:val="24"/>
          <w:szCs w:val="24"/>
        </w:rPr>
      </w:pPr>
      <w:r w:rsidRPr="00AC2206">
        <w:rPr>
          <w:rFonts w:ascii="Arial" w:eastAsia="Times New Roman" w:hAnsi="Arial" w:cs="Arial"/>
          <w:b/>
          <w:sz w:val="24"/>
          <w:szCs w:val="24"/>
        </w:rPr>
        <w:t>Opis:</w:t>
      </w:r>
      <w:r w:rsidRPr="00AC2206">
        <w:rPr>
          <w:rFonts w:ascii="Arial" w:eastAsia="Times New Roman" w:hAnsi="Arial" w:cs="Arial"/>
          <w:sz w:val="24"/>
          <w:szCs w:val="24"/>
        </w:rPr>
        <w:t xml:space="preserve"> </w:t>
      </w:r>
      <w:r w:rsidRPr="00475D3C">
        <w:rPr>
          <w:rFonts w:ascii="Arial" w:hAnsi="Arial" w:cs="Arial"/>
          <w:bCs/>
          <w:sz w:val="24"/>
          <w:szCs w:val="24"/>
        </w:rPr>
        <w:t>Od aktivnosti planiranih u G</w:t>
      </w:r>
      <w:r>
        <w:rPr>
          <w:rFonts w:ascii="Arial" w:hAnsi="Arial" w:cs="Arial"/>
          <w:bCs/>
          <w:sz w:val="24"/>
          <w:szCs w:val="24"/>
        </w:rPr>
        <w:t xml:space="preserve">odišnjem planu i programu </w:t>
      </w:r>
      <w:r w:rsidRPr="00475D3C">
        <w:rPr>
          <w:rFonts w:ascii="Arial" w:hAnsi="Arial" w:cs="Arial"/>
          <w:bCs/>
          <w:sz w:val="24"/>
          <w:szCs w:val="24"/>
        </w:rPr>
        <w:t>i Školskom kurikulumu sredstvima Proračuna Grada Rovinja-Rovigno podmiriti će se 3.500</w:t>
      </w:r>
      <w:r>
        <w:rPr>
          <w:rFonts w:ascii="Arial" w:hAnsi="Arial" w:cs="Arial"/>
          <w:bCs/>
          <w:sz w:val="24"/>
          <w:szCs w:val="24"/>
        </w:rPr>
        <w:t>,00</w:t>
      </w:r>
      <w:r w:rsidRPr="00475D3C">
        <w:rPr>
          <w:rFonts w:ascii="Arial" w:hAnsi="Arial" w:cs="Arial"/>
          <w:bCs/>
          <w:sz w:val="24"/>
          <w:szCs w:val="24"/>
        </w:rPr>
        <w:t xml:space="preserve"> </w:t>
      </w:r>
      <w:r>
        <w:rPr>
          <w:rFonts w:ascii="Arial" w:hAnsi="Arial" w:cs="Arial"/>
          <w:bCs/>
          <w:sz w:val="24"/>
          <w:szCs w:val="24"/>
        </w:rPr>
        <w:t>eura</w:t>
      </w:r>
      <w:r w:rsidRPr="00475D3C">
        <w:rPr>
          <w:rFonts w:ascii="Arial" w:hAnsi="Arial" w:cs="Arial"/>
          <w:bCs/>
          <w:sz w:val="24"/>
          <w:szCs w:val="24"/>
        </w:rPr>
        <w:t xml:space="preserve"> troškova:</w:t>
      </w:r>
    </w:p>
    <w:p w14:paraId="4AB14ECE" w14:textId="77777777" w:rsidR="00E541EE" w:rsidRPr="00475D3C" w:rsidRDefault="00E541EE" w:rsidP="00E541EE">
      <w:pPr>
        <w:jc w:val="both"/>
        <w:rPr>
          <w:rFonts w:ascii="Arial" w:hAnsi="Arial" w:cs="Arial"/>
          <w:bCs/>
          <w:sz w:val="24"/>
          <w:szCs w:val="24"/>
        </w:rPr>
      </w:pPr>
      <w:r>
        <w:rPr>
          <w:rFonts w:ascii="Arial" w:hAnsi="Arial" w:cs="Arial"/>
          <w:bCs/>
          <w:sz w:val="24"/>
          <w:szCs w:val="24"/>
        </w:rPr>
        <w:t xml:space="preserve">- </w:t>
      </w:r>
      <w:r w:rsidRPr="00475D3C">
        <w:rPr>
          <w:rFonts w:ascii="Arial" w:hAnsi="Arial" w:cs="Arial"/>
          <w:bCs/>
          <w:sz w:val="24"/>
          <w:szCs w:val="24"/>
        </w:rPr>
        <w:t xml:space="preserve">tiskanje školskog lista „Scriviamo Insieme“                       1.000,00 </w:t>
      </w:r>
      <w:r>
        <w:rPr>
          <w:rFonts w:ascii="Arial" w:hAnsi="Arial" w:cs="Arial"/>
          <w:bCs/>
          <w:sz w:val="24"/>
          <w:szCs w:val="24"/>
        </w:rPr>
        <w:t>eura</w:t>
      </w:r>
    </w:p>
    <w:p w14:paraId="0F290131" w14:textId="77777777" w:rsidR="00E541EE" w:rsidRPr="00475D3C" w:rsidRDefault="00E541EE" w:rsidP="00E541EE">
      <w:pPr>
        <w:jc w:val="both"/>
        <w:rPr>
          <w:rFonts w:ascii="Arial" w:hAnsi="Arial" w:cs="Arial"/>
          <w:bCs/>
          <w:sz w:val="24"/>
          <w:szCs w:val="24"/>
        </w:rPr>
      </w:pPr>
      <w:r>
        <w:rPr>
          <w:rFonts w:ascii="Arial" w:hAnsi="Arial" w:cs="Arial"/>
          <w:bCs/>
          <w:sz w:val="24"/>
          <w:szCs w:val="24"/>
        </w:rPr>
        <w:t xml:space="preserve">- </w:t>
      </w:r>
      <w:r w:rsidRPr="00475D3C">
        <w:rPr>
          <w:rFonts w:ascii="Arial" w:hAnsi="Arial" w:cs="Arial"/>
          <w:bCs/>
          <w:sz w:val="24"/>
          <w:szCs w:val="24"/>
        </w:rPr>
        <w:t xml:space="preserve">prijevoz i dnevnice voditelja na izvanučioničnu nastavu    2.000,00 </w:t>
      </w:r>
      <w:r>
        <w:rPr>
          <w:rFonts w:ascii="Arial" w:hAnsi="Arial" w:cs="Arial"/>
          <w:bCs/>
          <w:sz w:val="24"/>
          <w:szCs w:val="24"/>
        </w:rPr>
        <w:t>eura</w:t>
      </w:r>
    </w:p>
    <w:p w14:paraId="331F6BCD" w14:textId="18F06AC8" w:rsidR="00E541EE" w:rsidRPr="00475D3C" w:rsidRDefault="00E541EE" w:rsidP="00E541EE">
      <w:pPr>
        <w:jc w:val="both"/>
        <w:rPr>
          <w:rFonts w:ascii="Arial" w:hAnsi="Arial" w:cs="Arial"/>
          <w:bCs/>
          <w:sz w:val="24"/>
          <w:szCs w:val="24"/>
        </w:rPr>
      </w:pPr>
      <w:r>
        <w:rPr>
          <w:rFonts w:ascii="Arial" w:hAnsi="Arial" w:cs="Arial"/>
          <w:bCs/>
          <w:sz w:val="24"/>
          <w:szCs w:val="24"/>
        </w:rPr>
        <w:t xml:space="preserve">- </w:t>
      </w:r>
      <w:r w:rsidRPr="00475D3C">
        <w:rPr>
          <w:rFonts w:ascii="Arial" w:hAnsi="Arial" w:cs="Arial"/>
          <w:bCs/>
          <w:sz w:val="24"/>
          <w:szCs w:val="24"/>
        </w:rPr>
        <w:t>uredski materijal za izradu kostima za Karneval</w:t>
      </w:r>
      <w:r w:rsidRPr="00475D3C">
        <w:rPr>
          <w:rFonts w:ascii="Arial" w:hAnsi="Arial" w:cs="Arial"/>
          <w:bCs/>
          <w:sz w:val="24"/>
          <w:szCs w:val="24"/>
        </w:rPr>
        <w:tab/>
        <w:t xml:space="preserve">   </w:t>
      </w:r>
      <w:r>
        <w:rPr>
          <w:rFonts w:ascii="Arial" w:hAnsi="Arial" w:cs="Arial"/>
          <w:bCs/>
          <w:sz w:val="24"/>
          <w:szCs w:val="24"/>
        </w:rPr>
        <w:t xml:space="preserve">       </w:t>
      </w:r>
      <w:r w:rsidRPr="00475D3C">
        <w:rPr>
          <w:rFonts w:ascii="Arial" w:hAnsi="Arial" w:cs="Arial"/>
          <w:bCs/>
          <w:sz w:val="24"/>
          <w:szCs w:val="24"/>
        </w:rPr>
        <w:t xml:space="preserve">500,00 </w:t>
      </w:r>
      <w:r>
        <w:rPr>
          <w:rFonts w:ascii="Arial" w:hAnsi="Arial" w:cs="Arial"/>
          <w:bCs/>
          <w:sz w:val="24"/>
          <w:szCs w:val="24"/>
        </w:rPr>
        <w:t>eura</w:t>
      </w:r>
    </w:p>
    <w:p w14:paraId="57775763" w14:textId="77777777" w:rsidR="00E541EE" w:rsidRPr="00475D3C" w:rsidRDefault="00E541EE" w:rsidP="00E541EE">
      <w:pPr>
        <w:jc w:val="both"/>
        <w:rPr>
          <w:rFonts w:ascii="Arial" w:hAnsi="Arial" w:cs="Arial"/>
          <w:bCs/>
          <w:sz w:val="24"/>
          <w:szCs w:val="24"/>
        </w:rPr>
      </w:pPr>
      <w:r w:rsidRPr="00475D3C">
        <w:rPr>
          <w:rFonts w:ascii="Arial" w:hAnsi="Arial" w:cs="Arial"/>
          <w:bCs/>
          <w:sz w:val="24"/>
          <w:szCs w:val="24"/>
        </w:rPr>
        <w:t xml:space="preserve">U redovnoj djelatnosti škole, osnovnom obrazovanju, su i pružanje prehrane učenicima. Izdaci su planirani na izvoru 411 a temeljem prosječno po 107 ručkova dnevno što je ukupno 40.000,00 </w:t>
      </w:r>
      <w:r>
        <w:rPr>
          <w:rFonts w:ascii="Arial" w:hAnsi="Arial" w:cs="Arial"/>
          <w:bCs/>
          <w:sz w:val="24"/>
          <w:szCs w:val="24"/>
        </w:rPr>
        <w:t>eura</w:t>
      </w:r>
      <w:r w:rsidRPr="00475D3C">
        <w:rPr>
          <w:rFonts w:ascii="Arial" w:hAnsi="Arial" w:cs="Arial"/>
          <w:bCs/>
          <w:sz w:val="24"/>
          <w:szCs w:val="24"/>
        </w:rPr>
        <w:t xml:space="preserve">. Dok su na izvoru 311 planirani troškovi od 5.000,00 </w:t>
      </w:r>
      <w:r>
        <w:rPr>
          <w:rFonts w:ascii="Arial" w:hAnsi="Arial" w:cs="Arial"/>
          <w:bCs/>
          <w:sz w:val="24"/>
          <w:szCs w:val="24"/>
        </w:rPr>
        <w:t>eura</w:t>
      </w:r>
      <w:r w:rsidRPr="00475D3C">
        <w:rPr>
          <w:rFonts w:ascii="Arial" w:hAnsi="Arial" w:cs="Arial"/>
          <w:bCs/>
          <w:sz w:val="24"/>
          <w:szCs w:val="24"/>
        </w:rPr>
        <w:t xml:space="preserve"> za prehranu osoblja.</w:t>
      </w:r>
    </w:p>
    <w:p w14:paraId="1860487C" w14:textId="77777777" w:rsidR="00E541EE" w:rsidRPr="00475D3C" w:rsidRDefault="00E541EE" w:rsidP="00E541EE">
      <w:pPr>
        <w:jc w:val="both"/>
        <w:rPr>
          <w:rFonts w:ascii="Arial" w:hAnsi="Arial" w:cs="Arial"/>
          <w:bCs/>
          <w:sz w:val="24"/>
          <w:szCs w:val="24"/>
        </w:rPr>
      </w:pPr>
      <w:r w:rsidRPr="00475D3C">
        <w:rPr>
          <w:rFonts w:ascii="Arial" w:hAnsi="Arial" w:cs="Arial"/>
          <w:bCs/>
          <w:sz w:val="24"/>
          <w:szCs w:val="24"/>
        </w:rPr>
        <w:t xml:space="preserve">Za natjecanja Istarske Županije, za Zavičajnu nastavu, za nabavu higijenskih potrepština i za nabavu dijagnostičkih instrumenata planirano je 4.250,00 </w:t>
      </w:r>
      <w:r>
        <w:rPr>
          <w:rFonts w:ascii="Arial" w:hAnsi="Arial" w:cs="Arial"/>
          <w:bCs/>
          <w:sz w:val="24"/>
          <w:szCs w:val="24"/>
        </w:rPr>
        <w:t>eura</w:t>
      </w:r>
      <w:r w:rsidRPr="00475D3C">
        <w:rPr>
          <w:rFonts w:ascii="Arial" w:hAnsi="Arial" w:cs="Arial"/>
          <w:bCs/>
          <w:sz w:val="24"/>
          <w:szCs w:val="24"/>
        </w:rPr>
        <w:t xml:space="preserve"> Iz donosa ranijih godina 2.000,00 </w:t>
      </w:r>
      <w:r>
        <w:rPr>
          <w:rFonts w:ascii="Arial" w:hAnsi="Arial" w:cs="Arial"/>
          <w:bCs/>
          <w:sz w:val="24"/>
          <w:szCs w:val="24"/>
        </w:rPr>
        <w:t>eura</w:t>
      </w:r>
      <w:r w:rsidRPr="00475D3C">
        <w:rPr>
          <w:rFonts w:ascii="Arial" w:hAnsi="Arial" w:cs="Arial"/>
          <w:bCs/>
          <w:sz w:val="24"/>
          <w:szCs w:val="24"/>
        </w:rPr>
        <w:t xml:space="preserve">. Osim natjecanja i susreta na regionalnom nivou, kao škola talijanske nacionalne manjine aktivno sudjelujemo u aktivnostima koje se organiziraju i financiraju preko Talijanske Unije kao što su: natjecanja učenika, sportske manifestacije, stručne ekskurzije, te tečaji talijanskog jezika za što se planira utrošiti 6.000,00 </w:t>
      </w:r>
      <w:r>
        <w:rPr>
          <w:rFonts w:ascii="Arial" w:hAnsi="Arial" w:cs="Arial"/>
          <w:bCs/>
          <w:sz w:val="24"/>
          <w:szCs w:val="24"/>
        </w:rPr>
        <w:t>eura</w:t>
      </w:r>
    </w:p>
    <w:p w14:paraId="40C97684" w14:textId="77777777" w:rsidR="00E541EE" w:rsidRPr="00AC2206" w:rsidRDefault="00E541EE" w:rsidP="00E541EE">
      <w:pPr>
        <w:jc w:val="both"/>
        <w:rPr>
          <w:rFonts w:ascii="Arial" w:hAnsi="Arial" w:cs="Arial"/>
          <w:bCs/>
          <w:sz w:val="24"/>
          <w:szCs w:val="24"/>
        </w:rPr>
      </w:pPr>
      <w:r w:rsidRPr="00AC2206">
        <w:rPr>
          <w:rFonts w:ascii="Arial" w:eastAsia="Times New Roman" w:hAnsi="Arial" w:cs="Arial"/>
          <w:b/>
          <w:sz w:val="24"/>
          <w:szCs w:val="24"/>
        </w:rPr>
        <w:t xml:space="preserve">Opći cilj: </w:t>
      </w:r>
      <w:r w:rsidRPr="00AC2206">
        <w:rPr>
          <w:rFonts w:ascii="Arial" w:eastAsia="Times New Roman" w:hAnsi="Arial" w:cs="Arial"/>
          <w:sz w:val="24"/>
          <w:szCs w:val="24"/>
        </w:rPr>
        <w:t>osiguravanje kvalitete odgojno obrazovnog rada kroz dodatne aktivnosti.</w:t>
      </w:r>
    </w:p>
    <w:p w14:paraId="0BD48C02"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sz w:val="24"/>
          <w:szCs w:val="24"/>
        </w:rPr>
        <w:t xml:space="preserve">Pokazatelj uspješnosti: </w:t>
      </w:r>
      <w:r w:rsidRPr="00AC2206">
        <w:rPr>
          <w:rFonts w:ascii="Arial" w:eastAsia="Times New Roman" w:hAnsi="Arial" w:cs="Arial"/>
          <w:sz w:val="24"/>
          <w:szCs w:val="24"/>
        </w:rPr>
        <w:t>realizirane planirane aktivnosti.</w:t>
      </w:r>
    </w:p>
    <w:p w14:paraId="740BEB56" w14:textId="77777777" w:rsidR="00E541EE" w:rsidRPr="00AC2206" w:rsidRDefault="00E541EE" w:rsidP="00E541EE">
      <w:pPr>
        <w:jc w:val="both"/>
        <w:rPr>
          <w:rFonts w:ascii="Arial" w:eastAsia="Times New Roman" w:hAnsi="Arial" w:cs="Arial"/>
          <w:sz w:val="24"/>
          <w:szCs w:val="24"/>
        </w:rPr>
      </w:pPr>
    </w:p>
    <w:p w14:paraId="08502E71"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sz w:val="24"/>
          <w:szCs w:val="24"/>
        </w:rPr>
      </w:pPr>
      <w:r w:rsidRPr="00AC2206">
        <w:rPr>
          <w:rFonts w:ascii="Arial" w:eastAsia="Times New Roman" w:hAnsi="Arial" w:cs="Arial"/>
          <w:b/>
          <w:sz w:val="24"/>
          <w:szCs w:val="24"/>
        </w:rPr>
        <w:t>T 103604: Školska shema = 1.000,00 EUR</w:t>
      </w:r>
    </w:p>
    <w:p w14:paraId="0712639F" w14:textId="77777777" w:rsidR="00E541EE" w:rsidRPr="00AC2206" w:rsidRDefault="00E541EE" w:rsidP="00E541EE">
      <w:pPr>
        <w:jc w:val="both"/>
        <w:rPr>
          <w:rFonts w:ascii="Arial" w:eastAsia="Times New Roman" w:hAnsi="Arial" w:cs="Arial"/>
          <w:b/>
          <w:sz w:val="24"/>
          <w:szCs w:val="24"/>
        </w:rPr>
      </w:pPr>
      <w:r w:rsidRPr="00AC2206">
        <w:rPr>
          <w:rFonts w:ascii="Arial" w:eastAsia="Times New Roman" w:hAnsi="Arial" w:cs="Arial"/>
          <w:b/>
          <w:sz w:val="24"/>
          <w:szCs w:val="24"/>
        </w:rPr>
        <w:t>Zakonska osnova</w:t>
      </w:r>
      <w:r w:rsidRPr="00AC2206">
        <w:rPr>
          <w:rFonts w:ascii="Arial" w:eastAsia="Times New Roman" w:hAnsi="Arial" w:cs="Arial"/>
          <w:sz w:val="24"/>
          <w:szCs w:val="24"/>
        </w:rPr>
        <w:t xml:space="preserve">: Pravilnik o školskoj shemi voća i povrća, te mlijeka i mliječnih proizvoda. </w:t>
      </w:r>
    </w:p>
    <w:p w14:paraId="67847193" w14:textId="77777777" w:rsidR="00E541EE" w:rsidRPr="00AC2206" w:rsidRDefault="00E541EE" w:rsidP="00E541EE">
      <w:pPr>
        <w:jc w:val="both"/>
        <w:rPr>
          <w:rFonts w:ascii="Arial" w:eastAsia="Times New Roman" w:hAnsi="Arial" w:cs="Arial"/>
          <w:b/>
          <w:sz w:val="24"/>
          <w:szCs w:val="24"/>
        </w:rPr>
      </w:pPr>
      <w:r w:rsidRPr="00AC2206">
        <w:rPr>
          <w:rFonts w:ascii="Arial" w:eastAsia="Times New Roman" w:hAnsi="Arial" w:cs="Arial"/>
          <w:b/>
          <w:sz w:val="24"/>
          <w:szCs w:val="24"/>
        </w:rPr>
        <w:t>Opis:</w:t>
      </w:r>
      <w:r w:rsidRPr="00AC2206">
        <w:rPr>
          <w:rFonts w:ascii="Arial" w:eastAsia="Times New Roman" w:hAnsi="Arial" w:cs="Arial"/>
          <w:sz w:val="24"/>
          <w:szCs w:val="24"/>
        </w:rPr>
        <w:t xml:space="preserve"> škola je uključena u projekt „Školska shema“ kojim se osiguravaju mlijeko te voće i povrće (jednom tjedno za sve učenike škole) kako bi učenici stekli naviku konzumiranja navedenih artikala. Obzirom na količine po učeniku i broj radnih tjedana predviđa se da će za isto biti potrebno osigurati 1.000,00 </w:t>
      </w:r>
      <w:r>
        <w:rPr>
          <w:rFonts w:ascii="Arial" w:eastAsia="Times New Roman" w:hAnsi="Arial" w:cs="Arial"/>
          <w:sz w:val="24"/>
          <w:szCs w:val="24"/>
        </w:rPr>
        <w:t>eura</w:t>
      </w:r>
      <w:r w:rsidRPr="00AC2206">
        <w:rPr>
          <w:rFonts w:ascii="Arial" w:eastAsia="Times New Roman" w:hAnsi="Arial" w:cs="Arial"/>
          <w:sz w:val="24"/>
          <w:szCs w:val="24"/>
        </w:rPr>
        <w:t>.</w:t>
      </w:r>
    </w:p>
    <w:p w14:paraId="5F05F1B0"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sz w:val="24"/>
          <w:szCs w:val="24"/>
        </w:rPr>
        <w:t xml:space="preserve">Opći cilj: </w:t>
      </w:r>
      <w:r w:rsidRPr="00AC2206">
        <w:rPr>
          <w:rFonts w:ascii="Arial" w:eastAsia="Times New Roman" w:hAnsi="Arial" w:cs="Arial"/>
          <w:sz w:val="24"/>
          <w:szCs w:val="24"/>
        </w:rPr>
        <w:t>promocija zdrave prehrane i zdravih životnih navika.</w:t>
      </w:r>
    </w:p>
    <w:p w14:paraId="0215CC40"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sz w:val="24"/>
          <w:szCs w:val="24"/>
        </w:rPr>
        <w:t xml:space="preserve">Pokazatelj uspješnosti: </w:t>
      </w:r>
      <w:r w:rsidRPr="00AC2206">
        <w:rPr>
          <w:rFonts w:ascii="Arial" w:eastAsia="Times New Roman" w:hAnsi="Arial" w:cs="Arial"/>
          <w:sz w:val="24"/>
          <w:szCs w:val="24"/>
        </w:rPr>
        <w:t>broj učenika obuhvaćeni projektom i praćenje pokazatelja.</w:t>
      </w:r>
    </w:p>
    <w:p w14:paraId="19496887" w14:textId="77777777" w:rsidR="00E541EE" w:rsidRPr="00AC2206" w:rsidRDefault="00E541EE" w:rsidP="00E541EE">
      <w:pPr>
        <w:autoSpaceDE w:val="0"/>
        <w:autoSpaceDN w:val="0"/>
        <w:adjustRightInd w:val="0"/>
        <w:jc w:val="both"/>
        <w:rPr>
          <w:rFonts w:ascii="Arial" w:eastAsia="Times New Roman" w:hAnsi="Arial" w:cs="Arial"/>
          <w:bCs/>
          <w:sz w:val="24"/>
          <w:szCs w:val="24"/>
        </w:rPr>
      </w:pPr>
    </w:p>
    <w:p w14:paraId="303BBC24"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hAnsi="Arial" w:cs="Arial"/>
          <w:b/>
          <w:sz w:val="24"/>
          <w:szCs w:val="24"/>
        </w:rPr>
      </w:pPr>
      <w:r w:rsidRPr="00AC2206">
        <w:rPr>
          <w:rFonts w:ascii="Arial" w:hAnsi="Arial" w:cs="Arial"/>
          <w:b/>
          <w:sz w:val="24"/>
          <w:szCs w:val="24"/>
        </w:rPr>
        <w:t xml:space="preserve">T 103627: Pomoćnici u nastavi  = </w:t>
      </w:r>
      <w:r>
        <w:rPr>
          <w:rFonts w:ascii="Arial" w:hAnsi="Arial" w:cs="Arial"/>
          <w:b/>
          <w:sz w:val="24"/>
          <w:szCs w:val="24"/>
        </w:rPr>
        <w:t>89</w:t>
      </w:r>
      <w:r w:rsidRPr="00AC2206">
        <w:rPr>
          <w:rFonts w:ascii="Arial" w:hAnsi="Arial" w:cs="Arial"/>
          <w:b/>
          <w:sz w:val="24"/>
          <w:szCs w:val="24"/>
        </w:rPr>
        <w:t>.</w:t>
      </w:r>
      <w:r>
        <w:rPr>
          <w:rFonts w:ascii="Arial" w:hAnsi="Arial" w:cs="Arial"/>
          <w:b/>
          <w:sz w:val="24"/>
          <w:szCs w:val="24"/>
        </w:rPr>
        <w:t>1</w:t>
      </w:r>
      <w:r w:rsidRPr="00AC2206">
        <w:rPr>
          <w:rFonts w:ascii="Arial" w:hAnsi="Arial" w:cs="Arial"/>
          <w:b/>
          <w:sz w:val="24"/>
          <w:szCs w:val="24"/>
        </w:rPr>
        <w:t>00,00 EUR</w:t>
      </w:r>
    </w:p>
    <w:p w14:paraId="7EAD8B4A" w14:textId="77777777" w:rsidR="00E541EE" w:rsidRPr="00AC2206" w:rsidRDefault="00E541EE" w:rsidP="00E541EE">
      <w:pPr>
        <w:jc w:val="both"/>
        <w:rPr>
          <w:rFonts w:ascii="Arial" w:hAnsi="Arial" w:cs="Arial"/>
          <w:sz w:val="24"/>
          <w:szCs w:val="24"/>
        </w:rPr>
      </w:pPr>
      <w:r w:rsidRPr="00AC2206">
        <w:rPr>
          <w:rFonts w:ascii="Arial" w:hAnsi="Arial" w:cs="Arial"/>
          <w:b/>
          <w:sz w:val="24"/>
          <w:szCs w:val="24"/>
        </w:rPr>
        <w:t xml:space="preserve">Zakonska osnova: </w:t>
      </w:r>
      <w:r w:rsidRPr="00AC2206">
        <w:rPr>
          <w:rFonts w:ascii="Arial" w:hAnsi="Arial" w:cs="Arial"/>
          <w:sz w:val="24"/>
          <w:szCs w:val="24"/>
        </w:rPr>
        <w:t>Zakon o odgoju i obrazovanju u osnovnoj i srednjoj školi, Zakon o odgoju i obrazovanju na jeziku i pismu nacionalnih manjina, Državni pedagoški standard osnovnoškolskog sustava odgoja i obrazovanja.</w:t>
      </w:r>
    </w:p>
    <w:p w14:paraId="62C58A65" w14:textId="77777777" w:rsidR="00E541EE" w:rsidRDefault="00E541EE" w:rsidP="00E541EE">
      <w:pPr>
        <w:jc w:val="both"/>
        <w:rPr>
          <w:rFonts w:ascii="Bookman Old Style" w:hAnsi="Bookman Old Style"/>
          <w:bCs/>
        </w:rPr>
      </w:pPr>
      <w:r w:rsidRPr="00AC2206">
        <w:rPr>
          <w:rFonts w:ascii="Arial" w:hAnsi="Arial" w:cs="Arial"/>
          <w:b/>
          <w:sz w:val="24"/>
          <w:szCs w:val="24"/>
        </w:rPr>
        <w:t>Opis:</w:t>
      </w:r>
      <w:r w:rsidRPr="00AC2206">
        <w:rPr>
          <w:rFonts w:ascii="Arial" w:hAnsi="Arial" w:cs="Arial"/>
          <w:sz w:val="24"/>
          <w:szCs w:val="24"/>
        </w:rPr>
        <w:t xml:space="preserve"> </w:t>
      </w:r>
      <w:r>
        <w:rPr>
          <w:rFonts w:ascii="Arial" w:hAnsi="Arial" w:cs="Arial"/>
          <w:bCs/>
          <w:sz w:val="24"/>
          <w:szCs w:val="24"/>
        </w:rPr>
        <w:t>i</w:t>
      </w:r>
      <w:r w:rsidRPr="00AC2206">
        <w:rPr>
          <w:rFonts w:ascii="Arial" w:hAnsi="Arial" w:cs="Arial"/>
          <w:bCs/>
          <w:sz w:val="24"/>
          <w:szCs w:val="24"/>
        </w:rPr>
        <w:t xml:space="preserve">z nenadležnog proračuna Grada Poreča  koji  je prijavitelj  projektnog prijedloga „PUNa torba zajedništva </w:t>
      </w:r>
      <w:r>
        <w:rPr>
          <w:rFonts w:ascii="Arial" w:hAnsi="Arial" w:cs="Arial"/>
          <w:bCs/>
          <w:sz w:val="24"/>
          <w:szCs w:val="24"/>
        </w:rPr>
        <w:t>I</w:t>
      </w:r>
      <w:r w:rsidRPr="00AC2206">
        <w:rPr>
          <w:rFonts w:ascii="Arial" w:hAnsi="Arial" w:cs="Arial"/>
          <w:bCs/>
          <w:sz w:val="24"/>
          <w:szCs w:val="24"/>
        </w:rPr>
        <w:t>I“ financiran preko europskog projekta, prijavljenog na Poziv za dostavu projektnih prijedloga Ministarstva znanosti, obrazovanja i sporta pod nazivom „Osiguravanje pomoćnika u nastavi i stručnih komunikacijskih posrednika učenicima s teškoćama u razvoju u osnovnoškolskim i srednjoškolskim odgojno-obrazovnim ustanovama“ planira se u 202</w:t>
      </w:r>
      <w:r>
        <w:rPr>
          <w:rFonts w:ascii="Arial" w:hAnsi="Arial" w:cs="Arial"/>
          <w:bCs/>
          <w:sz w:val="24"/>
          <w:szCs w:val="24"/>
        </w:rPr>
        <w:t>6</w:t>
      </w:r>
      <w:r w:rsidRPr="00AC2206">
        <w:rPr>
          <w:rFonts w:ascii="Arial" w:hAnsi="Arial" w:cs="Arial"/>
          <w:bCs/>
          <w:sz w:val="24"/>
          <w:szCs w:val="24"/>
        </w:rPr>
        <w:t xml:space="preserve">. godini pod izvor-pomoći tijela i fondova EU,  ostvariti </w:t>
      </w:r>
      <w:r>
        <w:rPr>
          <w:rFonts w:ascii="Arial" w:hAnsi="Arial" w:cs="Arial"/>
          <w:bCs/>
          <w:sz w:val="24"/>
          <w:szCs w:val="24"/>
        </w:rPr>
        <w:t>89</w:t>
      </w:r>
      <w:r w:rsidRPr="00AC2206">
        <w:rPr>
          <w:rFonts w:ascii="Arial" w:hAnsi="Arial" w:cs="Arial"/>
          <w:bCs/>
          <w:sz w:val="24"/>
          <w:szCs w:val="24"/>
        </w:rPr>
        <w:t>.</w:t>
      </w:r>
      <w:r>
        <w:rPr>
          <w:rFonts w:ascii="Arial" w:hAnsi="Arial" w:cs="Arial"/>
          <w:bCs/>
          <w:sz w:val="24"/>
          <w:szCs w:val="24"/>
        </w:rPr>
        <w:t>1</w:t>
      </w:r>
      <w:r w:rsidRPr="00AC2206">
        <w:rPr>
          <w:rFonts w:ascii="Arial" w:hAnsi="Arial" w:cs="Arial"/>
          <w:bCs/>
          <w:sz w:val="24"/>
          <w:szCs w:val="24"/>
        </w:rPr>
        <w:t xml:space="preserve">00,00 </w:t>
      </w:r>
      <w:r>
        <w:rPr>
          <w:rFonts w:ascii="Arial" w:hAnsi="Arial" w:cs="Arial"/>
          <w:bCs/>
          <w:sz w:val="24"/>
          <w:szCs w:val="24"/>
        </w:rPr>
        <w:t>eura</w:t>
      </w:r>
      <w:r w:rsidRPr="00AC2206">
        <w:rPr>
          <w:rFonts w:ascii="Arial" w:hAnsi="Arial" w:cs="Arial"/>
          <w:bCs/>
          <w:sz w:val="24"/>
          <w:szCs w:val="24"/>
        </w:rPr>
        <w:t xml:space="preserve"> prihoda za  plaće i doprinose na plaće kao i za ostale rashode za zaposlene te prijevoz na posao i s posla za 5 pomoćnika u nastavi/ stručno komunikacijskog posrednika za učenike s poteškoćama u razvoju. Njihova je osnovna zadaća pružanje neposredne podrške u razredu učenicima s teškoćama, pomoć u uključivanju u razredni kolektiv, savladavanje socijalno-psiholoških prepreka i nastavnih sadržaja</w:t>
      </w:r>
      <w:r w:rsidRPr="00AC2206">
        <w:rPr>
          <w:rFonts w:ascii="Bookman Old Style" w:hAnsi="Bookman Old Style"/>
          <w:bCs/>
        </w:rPr>
        <w:t>.</w:t>
      </w:r>
    </w:p>
    <w:p w14:paraId="4F5B2FEA" w14:textId="77777777" w:rsidR="00E541EE" w:rsidRPr="00AC2206" w:rsidRDefault="00E541EE" w:rsidP="00E541EE">
      <w:pPr>
        <w:jc w:val="both"/>
        <w:rPr>
          <w:rFonts w:ascii="Bookman Old Style" w:hAnsi="Bookman Old Style"/>
          <w:bCs/>
        </w:rPr>
      </w:pPr>
      <w:r w:rsidRPr="00AC2206">
        <w:rPr>
          <w:rFonts w:ascii="Arial" w:hAnsi="Arial" w:cs="Arial"/>
          <w:b/>
          <w:sz w:val="24"/>
          <w:szCs w:val="24"/>
        </w:rPr>
        <w:t xml:space="preserve">Opći cilj: </w:t>
      </w:r>
      <w:r w:rsidRPr="00AC2206">
        <w:rPr>
          <w:rFonts w:ascii="Arial" w:hAnsi="Arial" w:cs="Arial"/>
          <w:sz w:val="24"/>
          <w:szCs w:val="24"/>
        </w:rPr>
        <w:t>osiguravanje podrške djeci s poteškoćama u razvoju, integracija djece s poteškoćama u odgojno obrazovne ustanove.</w:t>
      </w:r>
    </w:p>
    <w:p w14:paraId="7849FB12" w14:textId="77777777" w:rsidR="00E541EE" w:rsidRPr="00AC2206" w:rsidRDefault="00E541EE" w:rsidP="00E541EE">
      <w:pPr>
        <w:jc w:val="both"/>
        <w:rPr>
          <w:rFonts w:ascii="Arial" w:hAnsi="Arial" w:cs="Arial"/>
          <w:b/>
          <w:sz w:val="24"/>
          <w:szCs w:val="24"/>
        </w:rPr>
      </w:pPr>
      <w:r w:rsidRPr="00AC2206">
        <w:rPr>
          <w:rFonts w:ascii="Arial" w:hAnsi="Arial" w:cs="Arial"/>
          <w:b/>
          <w:sz w:val="24"/>
          <w:szCs w:val="24"/>
        </w:rPr>
        <w:t xml:space="preserve">Pokazatelj uspješnosti: </w:t>
      </w:r>
      <w:r w:rsidRPr="00AC2206">
        <w:rPr>
          <w:rFonts w:ascii="Arial" w:hAnsi="Arial" w:cs="Arial"/>
          <w:sz w:val="24"/>
          <w:szCs w:val="24"/>
        </w:rPr>
        <w:t>broj zaposlenih/uključenih pomoćnika u školi.</w:t>
      </w:r>
    </w:p>
    <w:p w14:paraId="4931E44A" w14:textId="77777777" w:rsidR="00E541EE" w:rsidRPr="00AC2206" w:rsidRDefault="00E541EE" w:rsidP="00E541EE">
      <w:pPr>
        <w:jc w:val="both"/>
        <w:rPr>
          <w:rFonts w:ascii="Arial" w:eastAsia="Times New Roman" w:hAnsi="Arial" w:cs="Arial"/>
          <w:sz w:val="24"/>
          <w:szCs w:val="24"/>
        </w:rPr>
      </w:pPr>
    </w:p>
    <w:p w14:paraId="1A0FC360"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sz w:val="24"/>
          <w:szCs w:val="24"/>
        </w:rPr>
      </w:pPr>
      <w:r w:rsidRPr="00AC2206">
        <w:rPr>
          <w:rFonts w:ascii="Arial" w:eastAsia="Times New Roman" w:hAnsi="Arial" w:cs="Arial"/>
          <w:b/>
          <w:sz w:val="24"/>
          <w:szCs w:val="24"/>
        </w:rPr>
        <w:t>K 103605: Nabava školskih udžbenika = 1</w:t>
      </w:r>
      <w:r>
        <w:rPr>
          <w:rFonts w:ascii="Arial" w:eastAsia="Times New Roman" w:hAnsi="Arial" w:cs="Arial"/>
          <w:b/>
          <w:sz w:val="24"/>
          <w:szCs w:val="24"/>
        </w:rPr>
        <w:t>0</w:t>
      </w:r>
      <w:r w:rsidRPr="00AC2206">
        <w:rPr>
          <w:rFonts w:ascii="Arial" w:eastAsia="Times New Roman" w:hAnsi="Arial" w:cs="Arial"/>
          <w:b/>
          <w:sz w:val="24"/>
          <w:szCs w:val="24"/>
        </w:rPr>
        <w:t>.000,00 EUR</w:t>
      </w:r>
    </w:p>
    <w:p w14:paraId="69C70134" w14:textId="77777777" w:rsidR="00E541EE" w:rsidRPr="00AC2206" w:rsidRDefault="00E541EE" w:rsidP="00E541EE">
      <w:pPr>
        <w:jc w:val="both"/>
        <w:rPr>
          <w:rFonts w:ascii="Arial" w:eastAsia="Times New Roman" w:hAnsi="Arial" w:cs="Arial"/>
          <w:b/>
          <w:sz w:val="24"/>
          <w:szCs w:val="24"/>
        </w:rPr>
      </w:pPr>
      <w:r w:rsidRPr="00AC2206">
        <w:rPr>
          <w:rFonts w:ascii="Arial" w:eastAsia="Times New Roman" w:hAnsi="Arial" w:cs="Arial"/>
          <w:b/>
          <w:sz w:val="24"/>
          <w:szCs w:val="24"/>
        </w:rPr>
        <w:t xml:space="preserve">Zakonska osnova: </w:t>
      </w:r>
      <w:r w:rsidRPr="00AC2206">
        <w:rPr>
          <w:rFonts w:ascii="Arial" w:eastAsia="Times New Roman" w:hAnsi="Arial" w:cs="Arial"/>
          <w:sz w:val="24"/>
          <w:szCs w:val="24"/>
        </w:rPr>
        <w:t xml:space="preserve">Zakon o odgoju i obrazovanju u osnovnoj i srednjoj školi, Zakon o odgoju i obrazovanju na jeziku i pismu nacionalnih manjina, Državni pedagoški standard osnovnoškolskog sustava odgoja i obrazovanja, Zakon o udžbenicima i drugim obrazovnim materijalima za osnovnu i srednju školu. </w:t>
      </w:r>
    </w:p>
    <w:p w14:paraId="12862519" w14:textId="77777777" w:rsidR="00E541EE" w:rsidRPr="00AC2206" w:rsidRDefault="00E541EE" w:rsidP="00E541EE">
      <w:pPr>
        <w:jc w:val="both"/>
        <w:rPr>
          <w:rFonts w:ascii="Arial" w:eastAsia="Times New Roman" w:hAnsi="Arial" w:cs="Arial"/>
          <w:b/>
          <w:sz w:val="24"/>
          <w:szCs w:val="24"/>
        </w:rPr>
      </w:pPr>
      <w:r w:rsidRPr="00AC2206">
        <w:rPr>
          <w:rFonts w:ascii="Arial" w:eastAsia="Times New Roman" w:hAnsi="Arial" w:cs="Arial"/>
          <w:b/>
          <w:sz w:val="24"/>
          <w:szCs w:val="24"/>
        </w:rPr>
        <w:t>Opis:</w:t>
      </w:r>
      <w:r w:rsidRPr="00AC2206">
        <w:rPr>
          <w:rFonts w:ascii="Arial" w:eastAsia="Times New Roman" w:hAnsi="Arial" w:cs="Arial"/>
          <w:sz w:val="24"/>
          <w:szCs w:val="24"/>
        </w:rPr>
        <w:t xml:space="preserve"> </w:t>
      </w:r>
      <w:r w:rsidRPr="00AC2206">
        <w:rPr>
          <w:rFonts w:ascii="Arial" w:eastAsia="Times New Roman" w:hAnsi="Arial" w:cs="Arial"/>
          <w:bCs/>
          <w:sz w:val="24"/>
          <w:szCs w:val="24"/>
        </w:rPr>
        <w:t>sredstvima Državnog proračuna osigurava se nabava udžbenika za učenike škole u skladu sa Zakonom o udžbenicima i drugim obrazovnim materijalima za osnovnu i srednju školu.</w:t>
      </w:r>
    </w:p>
    <w:p w14:paraId="3F49F790"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sz w:val="24"/>
          <w:szCs w:val="24"/>
        </w:rPr>
        <w:t xml:space="preserve">Opći cilj: </w:t>
      </w:r>
      <w:r w:rsidRPr="00AC2206">
        <w:rPr>
          <w:rFonts w:ascii="Arial" w:eastAsia="Times New Roman" w:hAnsi="Arial" w:cs="Arial"/>
          <w:sz w:val="24"/>
          <w:szCs w:val="24"/>
        </w:rPr>
        <w:t>jednaki uvjeti obrazovanja u osnovnim školama.</w:t>
      </w:r>
    </w:p>
    <w:p w14:paraId="13AB3418"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sz w:val="24"/>
          <w:szCs w:val="24"/>
        </w:rPr>
        <w:t xml:space="preserve">Pokazatelj uspješnosti: </w:t>
      </w:r>
      <w:r w:rsidRPr="00AC2206">
        <w:rPr>
          <w:rFonts w:ascii="Arial" w:eastAsia="Times New Roman" w:hAnsi="Arial" w:cs="Arial"/>
          <w:sz w:val="24"/>
          <w:szCs w:val="24"/>
        </w:rPr>
        <w:t>pravovremena nabava udžbenika za sve učenike škole.</w:t>
      </w:r>
    </w:p>
    <w:p w14:paraId="29FA3BF6" w14:textId="77777777" w:rsidR="00E541EE" w:rsidRPr="00AC2206" w:rsidRDefault="00E541EE" w:rsidP="00E541EE">
      <w:pPr>
        <w:jc w:val="both"/>
        <w:rPr>
          <w:rFonts w:ascii="Arial" w:eastAsia="Times New Roman" w:hAnsi="Arial" w:cs="Arial"/>
          <w:sz w:val="24"/>
          <w:szCs w:val="24"/>
        </w:rPr>
      </w:pPr>
    </w:p>
    <w:p w14:paraId="7FDB0B87"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AC2206">
        <w:rPr>
          <w:rFonts w:ascii="Arial" w:eastAsia="Times New Roman" w:hAnsi="Arial" w:cs="Arial"/>
          <w:b/>
          <w:bCs/>
          <w:sz w:val="24"/>
          <w:szCs w:val="24"/>
        </w:rPr>
        <w:t xml:space="preserve">A 103630: Nabava radnih bilježnica = </w:t>
      </w:r>
      <w:r>
        <w:rPr>
          <w:rFonts w:ascii="Arial" w:eastAsia="Times New Roman" w:hAnsi="Arial" w:cs="Arial"/>
          <w:b/>
          <w:bCs/>
          <w:sz w:val="24"/>
          <w:szCs w:val="24"/>
        </w:rPr>
        <w:t>7</w:t>
      </w:r>
      <w:r w:rsidRPr="00AC2206">
        <w:rPr>
          <w:rFonts w:ascii="Arial" w:eastAsia="Times New Roman" w:hAnsi="Arial" w:cs="Arial"/>
          <w:b/>
          <w:bCs/>
          <w:sz w:val="24"/>
          <w:szCs w:val="24"/>
        </w:rPr>
        <w:t>.</w:t>
      </w:r>
      <w:r>
        <w:rPr>
          <w:rFonts w:ascii="Arial" w:eastAsia="Times New Roman" w:hAnsi="Arial" w:cs="Arial"/>
          <w:b/>
          <w:bCs/>
          <w:sz w:val="24"/>
          <w:szCs w:val="24"/>
        </w:rPr>
        <w:t>0</w:t>
      </w:r>
      <w:r w:rsidRPr="00AC2206">
        <w:rPr>
          <w:rFonts w:ascii="Arial" w:eastAsia="Times New Roman" w:hAnsi="Arial" w:cs="Arial"/>
          <w:b/>
          <w:bCs/>
          <w:sz w:val="24"/>
          <w:szCs w:val="24"/>
        </w:rPr>
        <w:t>00,00 EUR</w:t>
      </w:r>
    </w:p>
    <w:p w14:paraId="11563EF8" w14:textId="77777777" w:rsidR="00E541EE" w:rsidRPr="00AC2206" w:rsidRDefault="00E541EE" w:rsidP="00E541EE">
      <w:pPr>
        <w:jc w:val="both"/>
        <w:rPr>
          <w:rFonts w:ascii="Arial" w:eastAsia="Times New Roman" w:hAnsi="Arial" w:cs="Arial"/>
          <w:b/>
          <w:sz w:val="24"/>
          <w:szCs w:val="24"/>
        </w:rPr>
      </w:pPr>
      <w:r w:rsidRPr="00AC2206">
        <w:rPr>
          <w:rFonts w:ascii="Arial" w:eastAsia="Times New Roman" w:hAnsi="Arial" w:cs="Arial"/>
          <w:b/>
          <w:sz w:val="24"/>
          <w:szCs w:val="24"/>
        </w:rPr>
        <w:t xml:space="preserve">Zakonska osnova: </w:t>
      </w:r>
      <w:r w:rsidRPr="00AC2206">
        <w:rPr>
          <w:rFonts w:ascii="Arial" w:eastAsia="Times New Roman" w:hAnsi="Arial" w:cs="Arial"/>
          <w:sz w:val="24"/>
          <w:szCs w:val="24"/>
        </w:rPr>
        <w:t xml:space="preserve">Zakon o odgoju i obrazovanju u osnovnoj i srednjoj školi, Zakon o odgoju i obrazovanju na jeziku i pismu nacionalnih manjina, Državni pedagoški standard osnovnoškolskog sustava odgoja i obrazovanja, Zakon o udžbenicima i drugim obrazovnim materijalima za osnovnu i srednju školu. </w:t>
      </w:r>
    </w:p>
    <w:p w14:paraId="34BA6C90"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sz w:val="24"/>
          <w:szCs w:val="24"/>
        </w:rPr>
        <w:t>Opis:</w:t>
      </w:r>
      <w:r w:rsidRPr="00AC2206">
        <w:rPr>
          <w:rFonts w:ascii="Arial" w:eastAsia="Times New Roman" w:hAnsi="Arial" w:cs="Arial"/>
          <w:sz w:val="24"/>
          <w:szCs w:val="24"/>
        </w:rPr>
        <w:t xml:space="preserve"> planiranim sredstvima osigurava se nabava radnih bilježnica za učenike škole a sredstva su osigurana iz sredstava Proračuna Grada Rovinja-Rovigno u iznosu od </w:t>
      </w:r>
      <w:r>
        <w:rPr>
          <w:rFonts w:ascii="Arial" w:eastAsia="Times New Roman" w:hAnsi="Arial" w:cs="Arial"/>
          <w:sz w:val="24"/>
          <w:szCs w:val="24"/>
        </w:rPr>
        <w:t>6</w:t>
      </w:r>
      <w:r w:rsidRPr="00AC2206">
        <w:rPr>
          <w:rFonts w:ascii="Arial" w:eastAsia="Times New Roman" w:hAnsi="Arial" w:cs="Arial"/>
          <w:sz w:val="24"/>
          <w:szCs w:val="24"/>
        </w:rPr>
        <w:t>.</w:t>
      </w:r>
      <w:r>
        <w:rPr>
          <w:rFonts w:ascii="Arial" w:eastAsia="Times New Roman" w:hAnsi="Arial" w:cs="Arial"/>
          <w:sz w:val="24"/>
          <w:szCs w:val="24"/>
        </w:rPr>
        <w:t>0</w:t>
      </w:r>
      <w:r w:rsidRPr="00AC2206">
        <w:rPr>
          <w:rFonts w:ascii="Arial" w:eastAsia="Times New Roman" w:hAnsi="Arial" w:cs="Arial"/>
          <w:sz w:val="24"/>
          <w:szCs w:val="24"/>
        </w:rPr>
        <w:t>00,00 EUR te iz sredstava Proračuna Općine Bale-Valle u iznosu od 1.000,00 EUR.</w:t>
      </w:r>
    </w:p>
    <w:p w14:paraId="6EE39A30"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sz w:val="24"/>
          <w:szCs w:val="24"/>
        </w:rPr>
        <w:t>Opći cilj:</w:t>
      </w:r>
      <w:r w:rsidRPr="00AC2206">
        <w:rPr>
          <w:rFonts w:ascii="Arial" w:eastAsia="Times New Roman" w:hAnsi="Arial" w:cs="Arial"/>
          <w:sz w:val="24"/>
          <w:szCs w:val="24"/>
        </w:rPr>
        <w:t xml:space="preserve"> jednaki uvjeti obrazovanja u osnovnim školama.</w:t>
      </w:r>
    </w:p>
    <w:p w14:paraId="2C9F2763"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sz w:val="24"/>
          <w:szCs w:val="24"/>
        </w:rPr>
        <w:t xml:space="preserve">Pokazatelj uspješnosti: </w:t>
      </w:r>
      <w:r w:rsidRPr="00AC2206">
        <w:rPr>
          <w:rFonts w:ascii="Arial" w:eastAsia="Times New Roman" w:hAnsi="Arial" w:cs="Arial"/>
          <w:sz w:val="24"/>
          <w:szCs w:val="24"/>
        </w:rPr>
        <w:t>pravovremena nabava radnih bilježnica za sve učenike škole.</w:t>
      </w:r>
    </w:p>
    <w:p w14:paraId="70B6D5DB" w14:textId="77777777" w:rsidR="00E541EE" w:rsidRPr="00AC2206" w:rsidRDefault="00E541EE" w:rsidP="00E541EE">
      <w:pPr>
        <w:jc w:val="both"/>
        <w:rPr>
          <w:rFonts w:ascii="Arial" w:eastAsia="Times New Roman" w:hAnsi="Arial" w:cs="Arial"/>
          <w:sz w:val="24"/>
          <w:szCs w:val="24"/>
        </w:rPr>
      </w:pPr>
    </w:p>
    <w:p w14:paraId="31372B0B"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AC2206">
        <w:rPr>
          <w:rFonts w:ascii="Arial" w:eastAsia="Times New Roman" w:hAnsi="Arial" w:cs="Arial"/>
          <w:b/>
          <w:bCs/>
          <w:sz w:val="24"/>
          <w:szCs w:val="24"/>
        </w:rPr>
        <w:t>A 103637: Prehrana za učenike u osnovnim školama = 3</w:t>
      </w:r>
      <w:r>
        <w:rPr>
          <w:rFonts w:ascii="Arial" w:eastAsia="Times New Roman" w:hAnsi="Arial" w:cs="Arial"/>
          <w:b/>
          <w:bCs/>
          <w:sz w:val="24"/>
          <w:szCs w:val="24"/>
        </w:rPr>
        <w:t>9</w:t>
      </w:r>
      <w:r w:rsidRPr="00AC2206">
        <w:rPr>
          <w:rFonts w:ascii="Arial" w:eastAsia="Times New Roman" w:hAnsi="Arial" w:cs="Arial"/>
          <w:b/>
          <w:bCs/>
          <w:sz w:val="24"/>
          <w:szCs w:val="24"/>
        </w:rPr>
        <w:t>.000,00 EUR</w:t>
      </w:r>
    </w:p>
    <w:p w14:paraId="2C7B21D5" w14:textId="77777777" w:rsidR="00E541EE" w:rsidRPr="00AC2206" w:rsidRDefault="00E541EE" w:rsidP="00E541EE">
      <w:pPr>
        <w:jc w:val="both"/>
        <w:rPr>
          <w:rFonts w:ascii="Arial" w:eastAsia="Times New Roman" w:hAnsi="Arial" w:cs="Arial"/>
          <w:b/>
          <w:sz w:val="24"/>
          <w:szCs w:val="24"/>
        </w:rPr>
      </w:pPr>
      <w:r w:rsidRPr="00AC2206">
        <w:rPr>
          <w:rFonts w:ascii="Arial" w:eastAsia="Times New Roman" w:hAnsi="Arial" w:cs="Arial"/>
          <w:b/>
          <w:sz w:val="24"/>
          <w:szCs w:val="24"/>
        </w:rPr>
        <w:t xml:space="preserve">Zakonska osnova: </w:t>
      </w:r>
      <w:r w:rsidRPr="00AC2206">
        <w:rPr>
          <w:rFonts w:ascii="Arial" w:eastAsia="Times New Roman" w:hAnsi="Arial" w:cs="Arial"/>
          <w:sz w:val="24"/>
          <w:szCs w:val="24"/>
        </w:rPr>
        <w:t xml:space="preserve">Zakon o odgoju i obrazovanju u osnovnoj i srednjoj školi, Zakon o odgoju i obrazovanju na jeziku i pismu nacionalnih manjina, Državni pedagoški standard osnovnoškolskog sustava odgoja i obrazovanja, </w:t>
      </w:r>
    </w:p>
    <w:p w14:paraId="0ACDC43F"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sz w:val="24"/>
          <w:szCs w:val="24"/>
        </w:rPr>
        <w:t>Opis:</w:t>
      </w:r>
      <w:r w:rsidRPr="00AC2206">
        <w:rPr>
          <w:rFonts w:ascii="Arial" w:eastAsia="Times New Roman" w:hAnsi="Arial" w:cs="Arial"/>
          <w:sz w:val="24"/>
          <w:szCs w:val="24"/>
        </w:rPr>
        <w:t xml:space="preserve"> </w:t>
      </w:r>
      <w:r w:rsidRPr="00AC2206">
        <w:rPr>
          <w:rFonts w:ascii="Arial" w:hAnsi="Arial" w:cs="Arial"/>
          <w:sz w:val="24"/>
          <w:szCs w:val="24"/>
        </w:rPr>
        <w:t>Vlada RH je krajem prosinca 2022. donijela Odluku kojom se utvrđuju kriteriji i način sufinanciranja, odnosno financiranja troškova prehrane učenika osnovnih škola.  Ministarstvo znanosti i obrazovanja podmiruje troškove financiranja, odnosno sufinanciranja prehrane za svakog učenika osnovne škole uključenog u školsku prehranu u iznosu od 1,33 eura/10,00 kuna po danu, za dane kada je na nastavi. Ministarstvo znanosti i obrazovanja mjesečno osigurava i doznačava sredstva za financiranje, odnosno sufinanciranje troškova prehrane učenika osnivačima osnovnoškolskih ustanova na temelju broja učenika za koje je u e-dnevniku do zadnjeg radnog dana u mjesecu za tekući mjesec označeno da je uključen u prehranu. Osnivači osnovnoškolskih ustanova doznačena financijska sredstva mjesečno preusmjeravaju školama.</w:t>
      </w:r>
    </w:p>
    <w:p w14:paraId="12EE4C87"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sz w:val="24"/>
          <w:szCs w:val="24"/>
        </w:rPr>
        <w:t>Opći cilj:</w:t>
      </w:r>
      <w:r w:rsidRPr="00AC2206">
        <w:rPr>
          <w:rFonts w:ascii="Arial" w:eastAsia="Times New Roman" w:hAnsi="Arial" w:cs="Arial"/>
          <w:sz w:val="24"/>
          <w:szCs w:val="24"/>
        </w:rPr>
        <w:t xml:space="preserve"> jednaki uvjeti obrazovanja u osnovnim školama.</w:t>
      </w:r>
    </w:p>
    <w:p w14:paraId="5AFA8DE4"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sz w:val="24"/>
          <w:szCs w:val="24"/>
        </w:rPr>
        <w:t xml:space="preserve">Pokazatelj uspješnosti: </w:t>
      </w:r>
      <w:r w:rsidRPr="00AC2206">
        <w:rPr>
          <w:rFonts w:ascii="Arial" w:eastAsia="Times New Roman" w:hAnsi="Arial" w:cs="Arial"/>
          <w:sz w:val="24"/>
          <w:szCs w:val="24"/>
        </w:rPr>
        <w:t>pokriće troškova prehrane za učenike</w:t>
      </w:r>
      <w:r w:rsidRPr="00AC2206">
        <w:rPr>
          <w:rFonts w:ascii="Arial" w:eastAsia="Times New Roman" w:hAnsi="Arial" w:cs="Arial"/>
          <w:b/>
          <w:sz w:val="24"/>
          <w:szCs w:val="24"/>
        </w:rPr>
        <w:t>.</w:t>
      </w:r>
    </w:p>
    <w:p w14:paraId="59223C2B" w14:textId="77777777" w:rsidR="00E541EE" w:rsidRPr="00AC2206" w:rsidRDefault="00E541EE" w:rsidP="00E541EE">
      <w:pPr>
        <w:jc w:val="both"/>
        <w:rPr>
          <w:rFonts w:ascii="Arial" w:eastAsia="Times New Roman" w:hAnsi="Arial" w:cs="Arial"/>
          <w:sz w:val="24"/>
          <w:szCs w:val="24"/>
        </w:rPr>
      </w:pPr>
    </w:p>
    <w:p w14:paraId="116B1D62"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AC2206">
        <w:rPr>
          <w:rFonts w:ascii="Arial" w:eastAsia="Times New Roman" w:hAnsi="Arial" w:cs="Arial"/>
          <w:b/>
          <w:bCs/>
          <w:sz w:val="24"/>
          <w:szCs w:val="24"/>
        </w:rPr>
        <w:t xml:space="preserve">K 103601: Opremanje prostora = </w:t>
      </w:r>
      <w:r>
        <w:rPr>
          <w:rFonts w:ascii="Arial" w:eastAsia="Times New Roman" w:hAnsi="Arial" w:cs="Arial"/>
          <w:b/>
          <w:bCs/>
          <w:sz w:val="24"/>
          <w:szCs w:val="24"/>
        </w:rPr>
        <w:t>32</w:t>
      </w:r>
      <w:r w:rsidRPr="00AC2206">
        <w:rPr>
          <w:rFonts w:ascii="Arial" w:eastAsia="Times New Roman" w:hAnsi="Arial" w:cs="Arial"/>
          <w:b/>
          <w:bCs/>
          <w:sz w:val="24"/>
          <w:szCs w:val="24"/>
        </w:rPr>
        <w:t>.</w:t>
      </w:r>
      <w:r>
        <w:rPr>
          <w:rFonts w:ascii="Arial" w:eastAsia="Times New Roman" w:hAnsi="Arial" w:cs="Arial"/>
          <w:b/>
          <w:bCs/>
          <w:sz w:val="24"/>
          <w:szCs w:val="24"/>
        </w:rPr>
        <w:t>5</w:t>
      </w:r>
      <w:r w:rsidRPr="00AC2206">
        <w:rPr>
          <w:rFonts w:ascii="Arial" w:eastAsia="Times New Roman" w:hAnsi="Arial" w:cs="Arial"/>
          <w:b/>
          <w:bCs/>
          <w:sz w:val="24"/>
          <w:szCs w:val="24"/>
        </w:rPr>
        <w:t>00,00 EUR</w:t>
      </w:r>
    </w:p>
    <w:p w14:paraId="5552F152"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sz w:val="24"/>
          <w:szCs w:val="24"/>
        </w:rPr>
        <w:t xml:space="preserve">Zakonska osnova: </w:t>
      </w:r>
      <w:r w:rsidRPr="00AC2206">
        <w:rPr>
          <w:rFonts w:ascii="Arial" w:eastAsia="Times New Roman" w:hAnsi="Arial" w:cs="Arial"/>
          <w:sz w:val="24"/>
          <w:szCs w:val="24"/>
        </w:rPr>
        <w:t>Zakon o odgoju i obrazovanju u osnovnoj i srednjoj školi, Zakon o odgoju i obrazovanju na jeziku i pismu nacionalnih manjina, Državni pedagoški standard osnovnoškolskog sustava odgoja i obrazovanja.</w:t>
      </w:r>
    </w:p>
    <w:p w14:paraId="6A00C3E2" w14:textId="77777777" w:rsidR="00E541EE" w:rsidRPr="00925538" w:rsidRDefault="00E541EE" w:rsidP="00E541EE">
      <w:pPr>
        <w:jc w:val="both"/>
        <w:rPr>
          <w:rFonts w:ascii="Arial" w:hAnsi="Arial" w:cs="Arial"/>
          <w:bCs/>
          <w:sz w:val="24"/>
          <w:szCs w:val="24"/>
        </w:rPr>
      </w:pPr>
      <w:r w:rsidRPr="00AC2206">
        <w:rPr>
          <w:rFonts w:ascii="Arial" w:eastAsia="Times New Roman" w:hAnsi="Arial" w:cs="Arial"/>
          <w:b/>
          <w:sz w:val="24"/>
          <w:szCs w:val="24"/>
        </w:rPr>
        <w:t>Opis:</w:t>
      </w:r>
      <w:r w:rsidRPr="00AC2206">
        <w:rPr>
          <w:rFonts w:ascii="Arial" w:eastAsia="Times New Roman" w:hAnsi="Arial" w:cs="Arial"/>
          <w:sz w:val="24"/>
          <w:szCs w:val="24"/>
        </w:rPr>
        <w:t xml:space="preserve"> </w:t>
      </w:r>
      <w:r w:rsidRPr="00925538">
        <w:rPr>
          <w:rFonts w:ascii="Arial" w:hAnsi="Arial" w:cs="Arial"/>
          <w:bCs/>
          <w:sz w:val="24"/>
          <w:szCs w:val="24"/>
        </w:rPr>
        <w:t xml:space="preserve">U 2026. godini potrebno je kupiti informatičku opremu, knjige za školsku knjižnicu te </w:t>
      </w:r>
      <w:r>
        <w:rPr>
          <w:rFonts w:ascii="Arial" w:hAnsi="Arial" w:cs="Arial"/>
          <w:bCs/>
          <w:sz w:val="24"/>
          <w:szCs w:val="24"/>
        </w:rPr>
        <w:t>perilicu</w:t>
      </w:r>
      <w:r w:rsidRPr="00925538">
        <w:rPr>
          <w:rFonts w:ascii="Arial" w:hAnsi="Arial" w:cs="Arial"/>
          <w:bCs/>
          <w:sz w:val="24"/>
          <w:szCs w:val="24"/>
        </w:rPr>
        <w:t xml:space="preserve"> za suđe za školsku kuhinju u iznosu od 18.000,00 </w:t>
      </w:r>
      <w:r>
        <w:rPr>
          <w:rFonts w:ascii="Arial" w:hAnsi="Arial" w:cs="Arial"/>
          <w:bCs/>
          <w:sz w:val="24"/>
          <w:szCs w:val="24"/>
        </w:rPr>
        <w:t>eura</w:t>
      </w:r>
      <w:r w:rsidRPr="00925538">
        <w:rPr>
          <w:rFonts w:ascii="Arial" w:hAnsi="Arial" w:cs="Arial"/>
          <w:bCs/>
          <w:sz w:val="24"/>
          <w:szCs w:val="24"/>
        </w:rPr>
        <w:t xml:space="preserve"> iz Proračuna Grada Rovinja-Rovigno.</w:t>
      </w:r>
    </w:p>
    <w:p w14:paraId="3A67A0ED" w14:textId="77777777" w:rsidR="00E541EE" w:rsidRPr="00925538" w:rsidRDefault="00E541EE" w:rsidP="00E541EE">
      <w:pPr>
        <w:jc w:val="both"/>
        <w:rPr>
          <w:rFonts w:ascii="Arial" w:hAnsi="Arial" w:cs="Arial"/>
          <w:bCs/>
          <w:sz w:val="24"/>
          <w:szCs w:val="24"/>
        </w:rPr>
      </w:pPr>
      <w:r w:rsidRPr="00925538">
        <w:rPr>
          <w:rFonts w:ascii="Arial" w:hAnsi="Arial" w:cs="Arial"/>
          <w:bCs/>
          <w:sz w:val="24"/>
          <w:szCs w:val="24"/>
        </w:rPr>
        <w:t>Od Općine Bale-Vale zatražena je potpora u opremanju učionica u iznosu od 1.000</w:t>
      </w:r>
      <w:r>
        <w:rPr>
          <w:rFonts w:ascii="Arial" w:hAnsi="Arial" w:cs="Arial"/>
          <w:bCs/>
          <w:sz w:val="24"/>
          <w:szCs w:val="24"/>
        </w:rPr>
        <w:t>,00</w:t>
      </w:r>
      <w:r w:rsidRPr="00925538">
        <w:rPr>
          <w:rFonts w:ascii="Arial" w:hAnsi="Arial" w:cs="Arial"/>
          <w:bCs/>
          <w:sz w:val="24"/>
          <w:szCs w:val="24"/>
        </w:rPr>
        <w:t xml:space="preserve"> </w:t>
      </w:r>
      <w:r>
        <w:rPr>
          <w:rFonts w:ascii="Arial" w:hAnsi="Arial" w:cs="Arial"/>
          <w:bCs/>
          <w:sz w:val="24"/>
          <w:szCs w:val="24"/>
        </w:rPr>
        <w:t>eura</w:t>
      </w:r>
      <w:r w:rsidRPr="00925538">
        <w:rPr>
          <w:rFonts w:ascii="Arial" w:hAnsi="Arial" w:cs="Arial"/>
          <w:bCs/>
          <w:sz w:val="24"/>
          <w:szCs w:val="24"/>
        </w:rPr>
        <w:t xml:space="preserve">, te 500,00 </w:t>
      </w:r>
      <w:r>
        <w:rPr>
          <w:rFonts w:ascii="Arial" w:hAnsi="Arial" w:cs="Arial"/>
          <w:bCs/>
          <w:sz w:val="24"/>
          <w:szCs w:val="24"/>
        </w:rPr>
        <w:t>eura</w:t>
      </w:r>
      <w:r w:rsidRPr="00925538">
        <w:rPr>
          <w:rFonts w:ascii="Arial" w:hAnsi="Arial" w:cs="Arial"/>
          <w:bCs/>
          <w:sz w:val="24"/>
          <w:szCs w:val="24"/>
        </w:rPr>
        <w:t xml:space="preserve"> za knjige. Kao škola talijanske nacionalne manjine, posredstvom Talijanske Unije, dobivamo donacije u knjigama, didaktičkoj opremi i opremu za učionice u svrhu poboljšanja uvjeta pedagoškog i obrazovnog rada. Temeljem upućenih zahtjeva planirano je 10.000,00 </w:t>
      </w:r>
      <w:r>
        <w:rPr>
          <w:rFonts w:ascii="Arial" w:hAnsi="Arial" w:cs="Arial"/>
          <w:bCs/>
          <w:sz w:val="24"/>
          <w:szCs w:val="24"/>
        </w:rPr>
        <w:t>eura</w:t>
      </w:r>
      <w:r w:rsidRPr="00925538">
        <w:rPr>
          <w:rFonts w:ascii="Arial" w:hAnsi="Arial" w:cs="Arial"/>
          <w:bCs/>
          <w:sz w:val="24"/>
          <w:szCs w:val="24"/>
        </w:rPr>
        <w:t xml:space="preserve">. Planirane su i donacije od pravnih i fizičkih osoba za knjige u vrijednosti 1.000,00 </w:t>
      </w:r>
      <w:r>
        <w:rPr>
          <w:rFonts w:ascii="Arial" w:hAnsi="Arial" w:cs="Arial"/>
          <w:bCs/>
          <w:sz w:val="24"/>
          <w:szCs w:val="24"/>
        </w:rPr>
        <w:t>eura</w:t>
      </w:r>
      <w:r w:rsidRPr="00925538">
        <w:rPr>
          <w:rFonts w:ascii="Arial" w:hAnsi="Arial" w:cs="Arial"/>
          <w:bCs/>
          <w:sz w:val="24"/>
          <w:szCs w:val="24"/>
        </w:rPr>
        <w:t xml:space="preserve">. Te iz donosa iz ranijih godina planira se opremanje učionica u iznosu od 2.000,00 </w:t>
      </w:r>
      <w:r>
        <w:rPr>
          <w:rFonts w:ascii="Arial" w:hAnsi="Arial" w:cs="Arial"/>
          <w:bCs/>
          <w:sz w:val="24"/>
          <w:szCs w:val="24"/>
        </w:rPr>
        <w:t>eura</w:t>
      </w:r>
      <w:r w:rsidRPr="00925538">
        <w:rPr>
          <w:rFonts w:ascii="Arial" w:hAnsi="Arial" w:cs="Arial"/>
          <w:bCs/>
          <w:sz w:val="24"/>
          <w:szCs w:val="24"/>
        </w:rPr>
        <w:t>.</w:t>
      </w:r>
    </w:p>
    <w:p w14:paraId="3495662F" w14:textId="77777777" w:rsidR="00E541EE" w:rsidRPr="00AC2206" w:rsidRDefault="00E541EE" w:rsidP="00E541EE">
      <w:pPr>
        <w:jc w:val="both"/>
        <w:rPr>
          <w:rFonts w:ascii="Arial" w:hAnsi="Arial" w:cs="Arial"/>
          <w:bCs/>
          <w:sz w:val="24"/>
          <w:szCs w:val="24"/>
        </w:rPr>
      </w:pPr>
      <w:r w:rsidRPr="00AC2206">
        <w:rPr>
          <w:rFonts w:ascii="Arial" w:eastAsia="Times New Roman" w:hAnsi="Arial" w:cs="Arial"/>
          <w:b/>
          <w:sz w:val="24"/>
          <w:szCs w:val="24"/>
        </w:rPr>
        <w:t xml:space="preserve">Opći cilj: </w:t>
      </w:r>
      <w:r w:rsidRPr="00AC2206">
        <w:rPr>
          <w:rFonts w:ascii="Arial" w:eastAsia="Times New Roman" w:hAnsi="Arial" w:cs="Arial"/>
          <w:sz w:val="24"/>
          <w:szCs w:val="24"/>
        </w:rPr>
        <w:t>osiguravanje kvalitetnih uvjeta rada u ustanovi.</w:t>
      </w:r>
    </w:p>
    <w:p w14:paraId="627DFADB" w14:textId="77777777" w:rsidR="00E541EE" w:rsidRDefault="00E541EE" w:rsidP="00E541EE">
      <w:pPr>
        <w:jc w:val="both"/>
        <w:rPr>
          <w:rFonts w:ascii="Arial" w:eastAsia="Times New Roman" w:hAnsi="Arial" w:cs="Arial"/>
          <w:sz w:val="24"/>
          <w:szCs w:val="24"/>
        </w:rPr>
      </w:pPr>
      <w:r w:rsidRPr="00AC2206">
        <w:rPr>
          <w:rFonts w:ascii="Arial" w:eastAsia="Times New Roman" w:hAnsi="Arial" w:cs="Arial"/>
          <w:b/>
          <w:sz w:val="24"/>
          <w:szCs w:val="24"/>
        </w:rPr>
        <w:t xml:space="preserve">Pokazatelj uspješnosti: </w:t>
      </w:r>
      <w:r w:rsidRPr="00AC2206">
        <w:rPr>
          <w:rFonts w:ascii="Arial" w:eastAsia="Times New Roman" w:hAnsi="Arial" w:cs="Arial"/>
          <w:sz w:val="24"/>
          <w:szCs w:val="24"/>
        </w:rPr>
        <w:t>nabavljena oprema i stavljanje iste u funkciju.</w:t>
      </w:r>
    </w:p>
    <w:p w14:paraId="160D7EF9" w14:textId="77777777" w:rsidR="00E541EE" w:rsidRDefault="00E541EE" w:rsidP="00E541EE">
      <w:pPr>
        <w:jc w:val="both"/>
        <w:rPr>
          <w:rFonts w:ascii="Arial" w:eastAsia="Times New Roman" w:hAnsi="Arial" w:cs="Arial"/>
          <w:sz w:val="24"/>
          <w:szCs w:val="24"/>
        </w:rPr>
      </w:pPr>
    </w:p>
    <w:p w14:paraId="34E0FFAA" w14:textId="5DA2C431"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FFD5EA"/>
        <w:rPr>
          <w:rFonts w:ascii="Arial" w:eastAsia="Times New Roman" w:hAnsi="Arial" w:cs="Arial"/>
          <w:b/>
          <w:bCs/>
          <w:sz w:val="24"/>
          <w:szCs w:val="24"/>
        </w:rPr>
      </w:pPr>
      <w:r w:rsidRPr="00261EBF">
        <w:rPr>
          <w:rFonts w:ascii="Arial" w:eastAsia="Times New Roman" w:hAnsi="Arial" w:cs="Arial"/>
          <w:b/>
          <w:bCs/>
          <w:sz w:val="24"/>
          <w:szCs w:val="24"/>
        </w:rPr>
        <w:t>Proračunski korisnik: OŠ - SE Vladimira Nazora Rovinj-Rovigno</w:t>
      </w:r>
      <w:r w:rsidR="00E373CC">
        <w:rPr>
          <w:rFonts w:ascii="Arial" w:eastAsia="Times New Roman" w:hAnsi="Arial" w:cs="Arial"/>
          <w:b/>
          <w:bCs/>
          <w:sz w:val="24"/>
          <w:szCs w:val="24"/>
        </w:rPr>
        <w:t xml:space="preserve"> </w:t>
      </w:r>
      <w:r w:rsidRPr="00261EBF">
        <w:rPr>
          <w:rFonts w:ascii="Arial" w:eastAsia="Times New Roman" w:hAnsi="Arial" w:cs="Arial"/>
          <w:b/>
          <w:bCs/>
          <w:sz w:val="24"/>
          <w:szCs w:val="24"/>
        </w:rPr>
        <w:t>= 2.345.300,00 EUR</w:t>
      </w:r>
    </w:p>
    <w:p w14:paraId="36BCF2DA" w14:textId="77777777" w:rsidR="00E541EE" w:rsidRPr="00AC2206" w:rsidRDefault="00E541EE" w:rsidP="00E541EE">
      <w:pPr>
        <w:jc w:val="both"/>
        <w:rPr>
          <w:rFonts w:ascii="Arial" w:eastAsia="Times New Roman" w:hAnsi="Arial" w:cs="Arial"/>
          <w:b/>
          <w:bCs/>
          <w:sz w:val="24"/>
          <w:szCs w:val="24"/>
        </w:rPr>
      </w:pPr>
    </w:p>
    <w:p w14:paraId="09BD63B9"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AC2206">
        <w:rPr>
          <w:rFonts w:ascii="Arial" w:eastAsia="Times New Roman" w:hAnsi="Arial" w:cs="Arial"/>
          <w:b/>
          <w:bCs/>
          <w:sz w:val="24"/>
          <w:szCs w:val="24"/>
        </w:rPr>
        <w:t>A 1036</w:t>
      </w:r>
      <w:r>
        <w:rPr>
          <w:rFonts w:ascii="Arial" w:eastAsia="Times New Roman" w:hAnsi="Arial" w:cs="Arial"/>
          <w:b/>
          <w:bCs/>
          <w:sz w:val="24"/>
          <w:szCs w:val="24"/>
        </w:rPr>
        <w:t>06</w:t>
      </w:r>
      <w:r w:rsidRPr="00AC2206">
        <w:rPr>
          <w:rFonts w:ascii="Arial" w:eastAsia="Times New Roman" w:hAnsi="Arial" w:cs="Arial"/>
          <w:b/>
          <w:bCs/>
          <w:sz w:val="24"/>
          <w:szCs w:val="24"/>
        </w:rPr>
        <w:t xml:space="preserve">: Decentralizirane funkcije = </w:t>
      </w:r>
      <w:r>
        <w:rPr>
          <w:rFonts w:ascii="Arial" w:eastAsia="Times New Roman" w:hAnsi="Arial" w:cs="Arial"/>
          <w:b/>
          <w:bCs/>
          <w:sz w:val="24"/>
          <w:szCs w:val="24"/>
        </w:rPr>
        <w:t>1.691.000,00</w:t>
      </w:r>
      <w:r w:rsidRPr="00AC2206">
        <w:rPr>
          <w:rFonts w:ascii="Arial" w:eastAsia="Times New Roman" w:hAnsi="Arial" w:cs="Arial"/>
          <w:b/>
          <w:bCs/>
          <w:sz w:val="24"/>
          <w:szCs w:val="24"/>
        </w:rPr>
        <w:t xml:space="preserve"> EUR</w:t>
      </w:r>
    </w:p>
    <w:p w14:paraId="41A77178" w14:textId="77777777" w:rsidR="00E541EE" w:rsidRPr="00AC2206" w:rsidRDefault="00E541EE" w:rsidP="00E541EE">
      <w:pPr>
        <w:jc w:val="both"/>
        <w:rPr>
          <w:rFonts w:ascii="Arial" w:eastAsia="Times New Roman" w:hAnsi="Arial" w:cs="Arial"/>
          <w:bCs/>
          <w:sz w:val="24"/>
          <w:szCs w:val="24"/>
        </w:rPr>
      </w:pPr>
      <w:r w:rsidRPr="00AC2206">
        <w:rPr>
          <w:rFonts w:ascii="Arial" w:eastAsia="Times New Roman" w:hAnsi="Arial" w:cs="Arial"/>
          <w:b/>
          <w:bCs/>
          <w:sz w:val="24"/>
          <w:szCs w:val="24"/>
        </w:rPr>
        <w:t>Zakonska osnova</w:t>
      </w:r>
      <w:r w:rsidRPr="00AC2206">
        <w:rPr>
          <w:rFonts w:ascii="Arial" w:eastAsia="Times New Roman" w:hAnsi="Arial" w:cs="Arial"/>
          <w:bCs/>
          <w:sz w:val="24"/>
          <w:szCs w:val="24"/>
        </w:rPr>
        <w:t>: Zakon o lokalnoj i područnoj (regionalnoj) samoupravi, Odluka o kriterijima i mjerilima za utvrđivanje bilančnih prava za financiranje minimalnog financijskog standarda javnih potreba osnovnog školstva.</w:t>
      </w:r>
    </w:p>
    <w:p w14:paraId="4FB8EA73" w14:textId="77777777" w:rsidR="00E541EE" w:rsidRPr="00AC2206" w:rsidRDefault="00E541EE" w:rsidP="00E541EE">
      <w:pPr>
        <w:jc w:val="both"/>
        <w:rPr>
          <w:rFonts w:ascii="Arial" w:eastAsia="Times New Roman" w:hAnsi="Arial" w:cs="Arial"/>
          <w:bCs/>
          <w:sz w:val="24"/>
          <w:szCs w:val="24"/>
        </w:rPr>
      </w:pPr>
      <w:r w:rsidRPr="00AC2206">
        <w:rPr>
          <w:rFonts w:ascii="Arial" w:eastAsia="Times New Roman" w:hAnsi="Arial" w:cs="Arial"/>
          <w:b/>
          <w:sz w:val="24"/>
          <w:szCs w:val="24"/>
        </w:rPr>
        <w:t>Opis:</w:t>
      </w:r>
      <w:r w:rsidRPr="00AC2206">
        <w:rPr>
          <w:rFonts w:ascii="Arial" w:eastAsia="Times New Roman" w:hAnsi="Arial" w:cs="Arial"/>
          <w:sz w:val="24"/>
          <w:szCs w:val="24"/>
        </w:rPr>
        <w:t xml:space="preserve"> </w:t>
      </w:r>
      <w:r w:rsidRPr="00AC2206">
        <w:rPr>
          <w:rFonts w:ascii="Arial" w:hAnsi="Arial" w:cs="Arial"/>
          <w:bCs/>
          <w:sz w:val="24"/>
          <w:szCs w:val="24"/>
        </w:rPr>
        <w:t>financiranje decentraliziranih funkcija provodi se sukladno Odluci o kriterijima, mjerilima i načinu financiranja decentraliziranih funkcija osnovnog školstva za Grad Rovinj-Rovigno. Kroz ovu aktivnost podmiruju se:</w:t>
      </w:r>
    </w:p>
    <w:p w14:paraId="0407202A" w14:textId="77777777" w:rsidR="00E541EE" w:rsidRPr="00AC2206" w:rsidRDefault="00E541EE" w:rsidP="00E541EE">
      <w:pPr>
        <w:rPr>
          <w:rFonts w:ascii="Arial" w:hAnsi="Arial" w:cs="Arial"/>
          <w:bCs/>
          <w:sz w:val="24"/>
          <w:szCs w:val="24"/>
        </w:rPr>
      </w:pPr>
      <w:r>
        <w:rPr>
          <w:rFonts w:ascii="Arial" w:hAnsi="Arial" w:cs="Arial"/>
          <w:bCs/>
          <w:sz w:val="24"/>
          <w:szCs w:val="24"/>
        </w:rPr>
        <w:t xml:space="preserve">- </w:t>
      </w:r>
      <w:r w:rsidRPr="00AC2206">
        <w:rPr>
          <w:rFonts w:ascii="Arial" w:hAnsi="Arial" w:cs="Arial"/>
          <w:bCs/>
          <w:sz w:val="24"/>
          <w:szCs w:val="24"/>
        </w:rPr>
        <w:t xml:space="preserve">materijalni troškovi prema opsegu programa                           </w:t>
      </w:r>
      <w:r>
        <w:rPr>
          <w:rFonts w:ascii="Arial" w:hAnsi="Arial" w:cs="Arial"/>
          <w:bCs/>
          <w:sz w:val="24"/>
          <w:szCs w:val="24"/>
        </w:rPr>
        <w:t xml:space="preserve">     </w:t>
      </w:r>
      <w:r w:rsidRPr="00AC2206">
        <w:rPr>
          <w:rFonts w:ascii="Arial" w:hAnsi="Arial" w:cs="Arial"/>
          <w:bCs/>
          <w:sz w:val="24"/>
          <w:szCs w:val="24"/>
        </w:rPr>
        <w:t>3</w:t>
      </w:r>
      <w:r>
        <w:rPr>
          <w:rFonts w:ascii="Arial" w:hAnsi="Arial" w:cs="Arial"/>
          <w:bCs/>
          <w:sz w:val="24"/>
          <w:szCs w:val="24"/>
        </w:rPr>
        <w:t>8</w:t>
      </w:r>
      <w:r w:rsidRPr="00AC2206">
        <w:rPr>
          <w:rFonts w:ascii="Arial" w:hAnsi="Arial" w:cs="Arial"/>
          <w:bCs/>
          <w:sz w:val="24"/>
          <w:szCs w:val="24"/>
        </w:rPr>
        <w:t>.</w:t>
      </w:r>
      <w:r>
        <w:rPr>
          <w:rFonts w:ascii="Arial" w:hAnsi="Arial" w:cs="Arial"/>
          <w:bCs/>
          <w:sz w:val="24"/>
          <w:szCs w:val="24"/>
        </w:rPr>
        <w:t>745</w:t>
      </w:r>
      <w:r w:rsidRPr="00AC2206">
        <w:rPr>
          <w:rFonts w:ascii="Arial" w:hAnsi="Arial" w:cs="Arial"/>
          <w:bCs/>
          <w:sz w:val="24"/>
          <w:szCs w:val="24"/>
        </w:rPr>
        <w:t xml:space="preserve">,00 </w:t>
      </w:r>
      <w:r>
        <w:rPr>
          <w:rFonts w:ascii="Arial" w:hAnsi="Arial" w:cs="Arial"/>
          <w:bCs/>
          <w:sz w:val="24"/>
          <w:szCs w:val="24"/>
        </w:rPr>
        <w:t>eura</w:t>
      </w:r>
    </w:p>
    <w:p w14:paraId="20698B54" w14:textId="77777777" w:rsidR="00E541EE" w:rsidRPr="00AC2206" w:rsidRDefault="00E541EE" w:rsidP="00E541EE">
      <w:pPr>
        <w:jc w:val="both"/>
        <w:rPr>
          <w:rFonts w:ascii="Arial" w:hAnsi="Arial" w:cs="Arial"/>
          <w:bCs/>
          <w:sz w:val="24"/>
          <w:szCs w:val="24"/>
        </w:rPr>
      </w:pPr>
      <w:r>
        <w:rPr>
          <w:rFonts w:ascii="Arial" w:hAnsi="Arial" w:cs="Arial"/>
          <w:bCs/>
          <w:sz w:val="24"/>
          <w:szCs w:val="24"/>
        </w:rPr>
        <w:t xml:space="preserve">- </w:t>
      </w:r>
      <w:r w:rsidRPr="00AC2206">
        <w:rPr>
          <w:rFonts w:ascii="Arial" w:hAnsi="Arial" w:cs="Arial"/>
          <w:bCs/>
          <w:sz w:val="24"/>
          <w:szCs w:val="24"/>
        </w:rPr>
        <w:t xml:space="preserve">energenti                                                                                 </w:t>
      </w:r>
      <w:r>
        <w:rPr>
          <w:rFonts w:ascii="Arial" w:hAnsi="Arial" w:cs="Arial"/>
          <w:bCs/>
          <w:sz w:val="24"/>
          <w:szCs w:val="24"/>
        </w:rPr>
        <w:t xml:space="preserve">    </w:t>
      </w:r>
      <w:r w:rsidRPr="00AC2206">
        <w:rPr>
          <w:rFonts w:ascii="Arial" w:hAnsi="Arial" w:cs="Arial"/>
          <w:bCs/>
          <w:sz w:val="24"/>
          <w:szCs w:val="24"/>
        </w:rPr>
        <w:t xml:space="preserve"> </w:t>
      </w:r>
      <w:r>
        <w:rPr>
          <w:rFonts w:ascii="Arial" w:hAnsi="Arial" w:cs="Arial"/>
          <w:bCs/>
          <w:sz w:val="24"/>
          <w:szCs w:val="24"/>
        </w:rPr>
        <w:t xml:space="preserve"> </w:t>
      </w:r>
      <w:r w:rsidRPr="00AC2206">
        <w:rPr>
          <w:rFonts w:ascii="Arial" w:hAnsi="Arial" w:cs="Arial"/>
          <w:bCs/>
          <w:sz w:val="24"/>
          <w:szCs w:val="24"/>
        </w:rPr>
        <w:t xml:space="preserve">20.000,00 </w:t>
      </w:r>
      <w:r>
        <w:rPr>
          <w:rFonts w:ascii="Arial" w:hAnsi="Arial" w:cs="Arial"/>
          <w:bCs/>
          <w:sz w:val="24"/>
          <w:szCs w:val="24"/>
        </w:rPr>
        <w:t>eura</w:t>
      </w:r>
    </w:p>
    <w:p w14:paraId="0C12E578" w14:textId="77777777" w:rsidR="00E541EE" w:rsidRPr="00AC2206" w:rsidRDefault="00E541EE" w:rsidP="00E541EE">
      <w:pPr>
        <w:jc w:val="both"/>
        <w:rPr>
          <w:rFonts w:ascii="Arial" w:hAnsi="Arial" w:cs="Arial"/>
          <w:bCs/>
          <w:sz w:val="24"/>
          <w:szCs w:val="24"/>
        </w:rPr>
      </w:pPr>
      <w:r>
        <w:rPr>
          <w:rFonts w:ascii="Arial" w:hAnsi="Arial" w:cs="Arial"/>
          <w:bCs/>
          <w:sz w:val="24"/>
          <w:szCs w:val="24"/>
        </w:rPr>
        <w:t xml:space="preserve">- </w:t>
      </w:r>
      <w:r w:rsidRPr="00AC2206">
        <w:rPr>
          <w:rFonts w:ascii="Arial" w:hAnsi="Arial" w:cs="Arial"/>
          <w:bCs/>
          <w:sz w:val="24"/>
          <w:szCs w:val="24"/>
        </w:rPr>
        <w:t xml:space="preserve">zdravstveni pregledi zaposlenih                                                 </w:t>
      </w:r>
      <w:r>
        <w:rPr>
          <w:rFonts w:ascii="Arial" w:hAnsi="Arial" w:cs="Arial"/>
          <w:bCs/>
          <w:sz w:val="24"/>
          <w:szCs w:val="24"/>
        </w:rPr>
        <w:t xml:space="preserve">     </w:t>
      </w:r>
      <w:r w:rsidRPr="00AC2206">
        <w:rPr>
          <w:rFonts w:ascii="Arial" w:hAnsi="Arial" w:cs="Arial"/>
          <w:bCs/>
          <w:sz w:val="24"/>
          <w:szCs w:val="24"/>
        </w:rPr>
        <w:t>3.</w:t>
      </w:r>
      <w:r>
        <w:rPr>
          <w:rFonts w:ascii="Arial" w:hAnsi="Arial" w:cs="Arial"/>
          <w:bCs/>
          <w:sz w:val="24"/>
          <w:szCs w:val="24"/>
        </w:rPr>
        <w:t>5</w:t>
      </w:r>
      <w:r w:rsidRPr="00AC2206">
        <w:rPr>
          <w:rFonts w:ascii="Arial" w:hAnsi="Arial" w:cs="Arial"/>
          <w:bCs/>
          <w:sz w:val="24"/>
          <w:szCs w:val="24"/>
        </w:rPr>
        <w:t xml:space="preserve">00,00 </w:t>
      </w:r>
      <w:r>
        <w:rPr>
          <w:rFonts w:ascii="Arial" w:hAnsi="Arial" w:cs="Arial"/>
          <w:bCs/>
          <w:sz w:val="24"/>
          <w:szCs w:val="24"/>
        </w:rPr>
        <w:t>eura</w:t>
      </w:r>
    </w:p>
    <w:p w14:paraId="4BF9D8CD" w14:textId="77777777" w:rsidR="00E541EE" w:rsidRDefault="00E541EE" w:rsidP="00E541EE">
      <w:pPr>
        <w:jc w:val="both"/>
        <w:rPr>
          <w:rFonts w:ascii="Arial" w:hAnsi="Arial" w:cs="Arial"/>
          <w:bCs/>
          <w:sz w:val="24"/>
          <w:szCs w:val="24"/>
        </w:rPr>
      </w:pPr>
      <w:r>
        <w:rPr>
          <w:rFonts w:ascii="Arial" w:hAnsi="Arial" w:cs="Arial"/>
          <w:bCs/>
          <w:sz w:val="24"/>
          <w:szCs w:val="24"/>
        </w:rPr>
        <w:t xml:space="preserve">- </w:t>
      </w:r>
      <w:r w:rsidRPr="00AC2206">
        <w:rPr>
          <w:rFonts w:ascii="Arial" w:hAnsi="Arial" w:cs="Arial"/>
          <w:bCs/>
          <w:sz w:val="24"/>
          <w:szCs w:val="24"/>
        </w:rPr>
        <w:t xml:space="preserve">usluge tekućeg i investicijskog održavanja (hitne intervencije) </w:t>
      </w:r>
      <w:r>
        <w:rPr>
          <w:rFonts w:ascii="Arial" w:hAnsi="Arial" w:cs="Arial"/>
          <w:bCs/>
          <w:sz w:val="24"/>
          <w:szCs w:val="24"/>
        </w:rPr>
        <w:t xml:space="preserve">    </w:t>
      </w:r>
      <w:r w:rsidRPr="00AC2206">
        <w:rPr>
          <w:rFonts w:ascii="Arial" w:hAnsi="Arial" w:cs="Arial"/>
          <w:bCs/>
          <w:sz w:val="24"/>
          <w:szCs w:val="24"/>
        </w:rPr>
        <w:t>1</w:t>
      </w:r>
      <w:r>
        <w:rPr>
          <w:rFonts w:ascii="Arial" w:hAnsi="Arial" w:cs="Arial"/>
          <w:bCs/>
          <w:sz w:val="24"/>
          <w:szCs w:val="24"/>
        </w:rPr>
        <w:t>1</w:t>
      </w:r>
      <w:r w:rsidRPr="00AC2206">
        <w:rPr>
          <w:rFonts w:ascii="Arial" w:hAnsi="Arial" w:cs="Arial"/>
          <w:bCs/>
          <w:sz w:val="24"/>
          <w:szCs w:val="24"/>
        </w:rPr>
        <w:t>.</w:t>
      </w:r>
      <w:r>
        <w:rPr>
          <w:rFonts w:ascii="Arial" w:hAnsi="Arial" w:cs="Arial"/>
          <w:bCs/>
          <w:sz w:val="24"/>
          <w:szCs w:val="24"/>
        </w:rPr>
        <w:t>485</w:t>
      </w:r>
      <w:r w:rsidRPr="00AC2206">
        <w:rPr>
          <w:rFonts w:ascii="Arial" w:hAnsi="Arial" w:cs="Arial"/>
          <w:bCs/>
          <w:sz w:val="24"/>
          <w:szCs w:val="24"/>
        </w:rPr>
        <w:t>,00</w:t>
      </w:r>
      <w:r>
        <w:rPr>
          <w:rFonts w:ascii="Arial" w:hAnsi="Arial" w:cs="Arial"/>
          <w:bCs/>
          <w:sz w:val="24"/>
          <w:szCs w:val="24"/>
        </w:rPr>
        <w:t xml:space="preserve"> eura</w:t>
      </w:r>
    </w:p>
    <w:p w14:paraId="4AFF10C1" w14:textId="604BE7B1" w:rsidR="00E541EE" w:rsidRPr="00AC2206" w:rsidRDefault="00E541EE" w:rsidP="00E541EE">
      <w:pPr>
        <w:jc w:val="both"/>
        <w:rPr>
          <w:rFonts w:ascii="Arial" w:hAnsi="Arial" w:cs="Arial"/>
          <w:bCs/>
          <w:sz w:val="24"/>
          <w:szCs w:val="24"/>
        </w:rPr>
      </w:pPr>
      <w:r>
        <w:rPr>
          <w:rFonts w:ascii="Arial" w:hAnsi="Arial" w:cs="Arial"/>
          <w:bCs/>
          <w:sz w:val="24"/>
          <w:szCs w:val="24"/>
        </w:rPr>
        <w:t>- najamnine i zakupnine</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t xml:space="preserve">         6.500,00 eura</w:t>
      </w:r>
    </w:p>
    <w:p w14:paraId="3632A59D" w14:textId="509520CC" w:rsidR="00E541EE" w:rsidRDefault="00E541EE" w:rsidP="00E541EE">
      <w:pPr>
        <w:jc w:val="both"/>
        <w:rPr>
          <w:rFonts w:ascii="Arial" w:hAnsi="Arial" w:cs="Arial"/>
          <w:bCs/>
          <w:sz w:val="24"/>
          <w:szCs w:val="24"/>
        </w:rPr>
      </w:pPr>
      <w:r w:rsidRPr="00AC2206">
        <w:rPr>
          <w:rFonts w:ascii="Arial" w:hAnsi="Arial" w:cs="Arial"/>
          <w:bCs/>
          <w:sz w:val="24"/>
          <w:szCs w:val="24"/>
        </w:rPr>
        <w:t xml:space="preserve">Ukupno za decentralizirane funkcije </w:t>
      </w:r>
      <w:r>
        <w:rPr>
          <w:rFonts w:ascii="Arial" w:hAnsi="Arial" w:cs="Arial"/>
          <w:bCs/>
          <w:sz w:val="24"/>
          <w:szCs w:val="24"/>
        </w:rPr>
        <w:t xml:space="preserve">                                              80.230</w:t>
      </w:r>
      <w:r w:rsidRPr="00AC2206">
        <w:rPr>
          <w:rFonts w:ascii="Arial" w:hAnsi="Arial" w:cs="Arial"/>
          <w:bCs/>
          <w:sz w:val="24"/>
          <w:szCs w:val="24"/>
        </w:rPr>
        <w:t xml:space="preserve">,00 </w:t>
      </w:r>
      <w:r>
        <w:rPr>
          <w:rFonts w:ascii="Arial" w:hAnsi="Arial" w:cs="Arial"/>
          <w:bCs/>
          <w:sz w:val="24"/>
          <w:szCs w:val="24"/>
        </w:rPr>
        <w:t>eura.</w:t>
      </w:r>
    </w:p>
    <w:p w14:paraId="50084848" w14:textId="77777777" w:rsidR="00E541EE" w:rsidRPr="00AC2206" w:rsidRDefault="00E541EE" w:rsidP="00E541EE">
      <w:pPr>
        <w:jc w:val="both"/>
        <w:rPr>
          <w:rFonts w:ascii="Arial" w:hAnsi="Arial" w:cs="Arial"/>
          <w:bCs/>
          <w:sz w:val="24"/>
          <w:szCs w:val="24"/>
        </w:rPr>
      </w:pPr>
    </w:p>
    <w:p w14:paraId="68C9E099" w14:textId="77777777" w:rsidR="00E541EE" w:rsidRPr="00AC2206" w:rsidRDefault="00E541EE" w:rsidP="00E541EE">
      <w:pPr>
        <w:jc w:val="both"/>
        <w:rPr>
          <w:rFonts w:ascii="Arial" w:hAnsi="Arial" w:cs="Arial"/>
          <w:bCs/>
          <w:sz w:val="24"/>
          <w:szCs w:val="24"/>
        </w:rPr>
      </w:pPr>
      <w:r w:rsidRPr="00AC2206">
        <w:rPr>
          <w:rFonts w:ascii="Arial" w:hAnsi="Arial" w:cs="Arial"/>
          <w:bCs/>
          <w:sz w:val="24"/>
          <w:szCs w:val="24"/>
        </w:rPr>
        <w:t xml:space="preserve">Iz </w:t>
      </w:r>
      <w:r>
        <w:rPr>
          <w:rFonts w:ascii="Arial" w:hAnsi="Arial" w:cs="Arial"/>
          <w:bCs/>
          <w:sz w:val="24"/>
          <w:szCs w:val="24"/>
        </w:rPr>
        <w:t>sredstava</w:t>
      </w:r>
      <w:r w:rsidRPr="00AC2206">
        <w:rPr>
          <w:rFonts w:ascii="Arial" w:hAnsi="Arial" w:cs="Arial"/>
          <w:bCs/>
          <w:sz w:val="24"/>
          <w:szCs w:val="24"/>
        </w:rPr>
        <w:t xml:space="preserve"> MZO za financiranje decentraliziranih funkcija</w:t>
      </w:r>
      <w:r>
        <w:rPr>
          <w:rFonts w:ascii="Arial" w:hAnsi="Arial" w:cs="Arial"/>
          <w:bCs/>
          <w:sz w:val="24"/>
          <w:szCs w:val="24"/>
        </w:rPr>
        <w:t xml:space="preserve"> osigurava se</w:t>
      </w:r>
      <w:r w:rsidRPr="00AC2206">
        <w:rPr>
          <w:rFonts w:ascii="Arial" w:hAnsi="Arial" w:cs="Arial"/>
          <w:bCs/>
          <w:sz w:val="24"/>
          <w:szCs w:val="24"/>
        </w:rPr>
        <w:t xml:space="preserve"> 1.095,00 </w:t>
      </w:r>
      <w:r>
        <w:rPr>
          <w:rFonts w:ascii="Arial" w:hAnsi="Arial" w:cs="Arial"/>
          <w:bCs/>
          <w:sz w:val="24"/>
          <w:szCs w:val="24"/>
        </w:rPr>
        <w:t>eura</w:t>
      </w:r>
      <w:r w:rsidRPr="00AC2206">
        <w:rPr>
          <w:rFonts w:ascii="Arial" w:hAnsi="Arial" w:cs="Arial"/>
          <w:bCs/>
          <w:sz w:val="24"/>
          <w:szCs w:val="24"/>
        </w:rPr>
        <w:t xml:space="preserve"> za troškove Županijskih stručnih vijeća – 3 voditelja ŽSV. Iz izvora  COP</w:t>
      </w:r>
      <w:r w:rsidRPr="00AC2206">
        <w:rPr>
          <w:rFonts w:ascii="Arial" w:hAnsi="Arial" w:cs="Arial"/>
          <w:b/>
          <w:bCs/>
          <w:sz w:val="24"/>
          <w:szCs w:val="24"/>
        </w:rPr>
        <w:t xml:space="preserve"> </w:t>
      </w:r>
      <w:r w:rsidRPr="00AC2206">
        <w:rPr>
          <w:rFonts w:ascii="Arial" w:hAnsi="Arial" w:cs="Arial"/>
          <w:bCs/>
          <w:sz w:val="24"/>
          <w:szCs w:val="24"/>
        </w:rPr>
        <w:t>u iznosu od</w:t>
      </w:r>
      <w:r w:rsidRPr="00AC2206">
        <w:rPr>
          <w:rFonts w:ascii="Arial" w:hAnsi="Arial" w:cs="Arial"/>
          <w:b/>
          <w:bCs/>
          <w:sz w:val="24"/>
          <w:szCs w:val="24"/>
        </w:rPr>
        <w:t xml:space="preserve"> </w:t>
      </w:r>
      <w:r w:rsidRPr="00AC2206">
        <w:rPr>
          <w:rFonts w:ascii="Arial" w:hAnsi="Arial" w:cs="Arial"/>
          <w:bCs/>
          <w:sz w:val="24"/>
          <w:szCs w:val="24"/>
        </w:rPr>
        <w:t xml:space="preserve">1.570.000,00 </w:t>
      </w:r>
      <w:r>
        <w:rPr>
          <w:rFonts w:ascii="Arial" w:hAnsi="Arial" w:cs="Arial"/>
          <w:bCs/>
          <w:sz w:val="24"/>
          <w:szCs w:val="24"/>
        </w:rPr>
        <w:t>eura</w:t>
      </w:r>
      <w:r w:rsidRPr="00AC2206">
        <w:rPr>
          <w:rFonts w:ascii="Arial" w:hAnsi="Arial" w:cs="Arial"/>
          <w:b/>
          <w:bCs/>
          <w:sz w:val="24"/>
          <w:szCs w:val="24"/>
        </w:rPr>
        <w:t xml:space="preserve"> </w:t>
      </w:r>
      <w:r w:rsidRPr="00AC2206">
        <w:rPr>
          <w:rFonts w:ascii="Arial" w:hAnsi="Arial" w:cs="Arial"/>
          <w:bCs/>
          <w:sz w:val="24"/>
          <w:szCs w:val="24"/>
        </w:rPr>
        <w:t>financirati će se plaće zaposlenika na temelju prosjeka plaće zaposlenih na dan 17.9.2024. na temelju prava iz Temeljnog kolektivnog ugovora za službenike i namještenike u javnim službama (</w:t>
      </w:r>
      <w:r w:rsidRPr="00AC2206">
        <w:rPr>
          <w:rFonts w:ascii="Arial" w:eastAsia="Times New Roman" w:hAnsi="Arial" w:cs="Arial"/>
          <w:color w:val="000000"/>
          <w:sz w:val="24"/>
          <w:szCs w:val="24"/>
        </w:rPr>
        <w:t xml:space="preserve">„Narodne novine“ br. </w:t>
      </w:r>
      <w:r w:rsidRPr="00AC2206">
        <w:rPr>
          <w:rFonts w:ascii="Arial" w:hAnsi="Arial" w:cs="Arial"/>
          <w:bCs/>
          <w:sz w:val="24"/>
          <w:szCs w:val="24"/>
        </w:rPr>
        <w:t>29/24</w:t>
      </w:r>
      <w:r>
        <w:rPr>
          <w:rFonts w:ascii="Arial" w:hAnsi="Arial" w:cs="Arial"/>
          <w:bCs/>
          <w:sz w:val="24"/>
          <w:szCs w:val="24"/>
        </w:rPr>
        <w:t>.</w:t>
      </w:r>
      <w:r w:rsidRPr="00AC2206">
        <w:rPr>
          <w:rFonts w:ascii="Arial" w:hAnsi="Arial" w:cs="Arial"/>
          <w:bCs/>
          <w:sz w:val="24"/>
          <w:szCs w:val="24"/>
        </w:rPr>
        <w:t xml:space="preserve">) sa pripadajućim doprinosima, ostale rashode za zaposlenike temeljem kolektivnih ugovora, naknade za prijevoz na posao i s posla, naknada za nezapošljavanje invalida.  </w:t>
      </w:r>
    </w:p>
    <w:p w14:paraId="23BA43BF" w14:textId="77777777" w:rsidR="00E541EE" w:rsidRPr="00AC2206" w:rsidRDefault="00E541EE" w:rsidP="00E541EE">
      <w:pPr>
        <w:jc w:val="both"/>
        <w:rPr>
          <w:rFonts w:ascii="Arial" w:hAnsi="Arial" w:cs="Arial"/>
          <w:bCs/>
          <w:sz w:val="24"/>
          <w:szCs w:val="24"/>
        </w:rPr>
      </w:pPr>
      <w:r w:rsidRPr="00AC2206">
        <w:rPr>
          <w:rFonts w:ascii="Arial" w:eastAsia="Times New Roman" w:hAnsi="Arial" w:cs="Arial"/>
          <w:b/>
          <w:sz w:val="24"/>
          <w:szCs w:val="24"/>
        </w:rPr>
        <w:t xml:space="preserve">Opći cilj: </w:t>
      </w:r>
      <w:r w:rsidRPr="00AC2206">
        <w:rPr>
          <w:rFonts w:ascii="Arial" w:eastAsia="Times New Roman" w:hAnsi="Arial" w:cs="Arial"/>
          <w:sz w:val="24"/>
          <w:szCs w:val="24"/>
        </w:rPr>
        <w:t>osiguravanje materijalnih uvjeta rada ustanove.</w:t>
      </w:r>
    </w:p>
    <w:p w14:paraId="3BC5BB06"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sz w:val="24"/>
          <w:szCs w:val="24"/>
        </w:rPr>
        <w:t>Pokazatelj uspješnosti:</w:t>
      </w:r>
      <w:r w:rsidRPr="00AC2206">
        <w:rPr>
          <w:rFonts w:ascii="Arial" w:eastAsia="Times New Roman" w:hAnsi="Arial" w:cs="Arial"/>
          <w:sz w:val="24"/>
          <w:szCs w:val="24"/>
        </w:rPr>
        <w:t xml:space="preserve"> redovito podmirivanje rashoda škola, nesmetano odvijanje odgojno - obrazovnog procesa.</w:t>
      </w:r>
    </w:p>
    <w:p w14:paraId="2BA49758" w14:textId="77777777" w:rsidR="00E541EE" w:rsidRPr="00AC2206" w:rsidRDefault="00E541EE" w:rsidP="00E541EE">
      <w:pPr>
        <w:jc w:val="both"/>
        <w:rPr>
          <w:rFonts w:ascii="Arial" w:eastAsia="Times New Roman" w:hAnsi="Arial" w:cs="Arial"/>
          <w:sz w:val="24"/>
          <w:szCs w:val="24"/>
        </w:rPr>
      </w:pPr>
    </w:p>
    <w:p w14:paraId="644ECD5A"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AC2206">
        <w:rPr>
          <w:rFonts w:ascii="Arial" w:eastAsia="Times New Roman" w:hAnsi="Arial" w:cs="Arial"/>
          <w:b/>
          <w:bCs/>
          <w:sz w:val="24"/>
          <w:szCs w:val="24"/>
        </w:rPr>
        <w:t>A 1036</w:t>
      </w:r>
      <w:r>
        <w:rPr>
          <w:rFonts w:ascii="Arial" w:eastAsia="Times New Roman" w:hAnsi="Arial" w:cs="Arial"/>
          <w:b/>
          <w:bCs/>
          <w:sz w:val="24"/>
          <w:szCs w:val="24"/>
        </w:rPr>
        <w:t>11</w:t>
      </w:r>
      <w:r w:rsidRPr="00AC2206">
        <w:rPr>
          <w:rFonts w:ascii="Arial" w:eastAsia="Times New Roman" w:hAnsi="Arial" w:cs="Arial"/>
          <w:b/>
          <w:bCs/>
          <w:sz w:val="24"/>
          <w:szCs w:val="24"/>
        </w:rPr>
        <w:t xml:space="preserve">: Materijalni rashodi po osnovi dodatnih standarda = </w:t>
      </w:r>
      <w:r>
        <w:rPr>
          <w:rFonts w:ascii="Arial" w:eastAsia="Times New Roman" w:hAnsi="Arial" w:cs="Arial"/>
          <w:b/>
          <w:bCs/>
          <w:sz w:val="24"/>
          <w:szCs w:val="24"/>
        </w:rPr>
        <w:t>25.000</w:t>
      </w:r>
      <w:r w:rsidRPr="00AC2206">
        <w:rPr>
          <w:rFonts w:ascii="Arial" w:eastAsia="Times New Roman" w:hAnsi="Arial" w:cs="Arial"/>
          <w:b/>
          <w:bCs/>
          <w:sz w:val="24"/>
          <w:szCs w:val="24"/>
        </w:rPr>
        <w:t>,00 EUR</w:t>
      </w:r>
    </w:p>
    <w:p w14:paraId="3E28F35A" w14:textId="77777777" w:rsidR="00E541EE" w:rsidRPr="00AC2206" w:rsidRDefault="00E541EE" w:rsidP="00E541EE">
      <w:pPr>
        <w:jc w:val="both"/>
        <w:rPr>
          <w:rFonts w:ascii="Arial" w:hAnsi="Arial" w:cs="Arial"/>
          <w:bCs/>
          <w:sz w:val="24"/>
          <w:szCs w:val="24"/>
        </w:rPr>
      </w:pPr>
      <w:r w:rsidRPr="00AC2206">
        <w:rPr>
          <w:rFonts w:ascii="Arial" w:hAnsi="Arial" w:cs="Arial"/>
          <w:b/>
          <w:bCs/>
          <w:sz w:val="24"/>
          <w:szCs w:val="24"/>
        </w:rPr>
        <w:t>Zakonska osnova</w:t>
      </w:r>
      <w:r w:rsidRPr="00AC2206">
        <w:rPr>
          <w:rFonts w:ascii="Arial" w:hAnsi="Arial" w:cs="Arial"/>
          <w:bCs/>
          <w:sz w:val="24"/>
          <w:szCs w:val="24"/>
        </w:rPr>
        <w:t>: Zakon o odgoju i obrazovanju u osnovnoj i srednjoj školi, Državni pedagoški standard osnovnoškolskog sustava odgoja i obrazovanja, Pravilnik o organizaciji i provedbi produženoga boravka u osnovnoj školi.</w:t>
      </w:r>
    </w:p>
    <w:p w14:paraId="440C8EA0" w14:textId="77777777" w:rsidR="00E541EE" w:rsidRPr="00AC2206" w:rsidRDefault="00E541EE" w:rsidP="00E541EE">
      <w:pPr>
        <w:jc w:val="both"/>
        <w:rPr>
          <w:rFonts w:ascii="Arial" w:hAnsi="Arial" w:cs="Arial"/>
          <w:bCs/>
          <w:sz w:val="24"/>
          <w:szCs w:val="24"/>
        </w:rPr>
      </w:pPr>
      <w:r w:rsidRPr="00AC2206">
        <w:rPr>
          <w:rFonts w:ascii="Arial" w:hAnsi="Arial" w:cs="Arial"/>
          <w:b/>
          <w:bCs/>
          <w:sz w:val="24"/>
          <w:szCs w:val="24"/>
        </w:rPr>
        <w:t>Opis:</w:t>
      </w:r>
      <w:r w:rsidRPr="00AC2206">
        <w:rPr>
          <w:rFonts w:ascii="Arial" w:hAnsi="Arial" w:cs="Arial"/>
          <w:bCs/>
          <w:sz w:val="24"/>
          <w:szCs w:val="24"/>
        </w:rPr>
        <w:t xml:space="preserve"> Za vrijeme nastavne godine osnivač osigurava 55,00 </w:t>
      </w:r>
      <w:r>
        <w:rPr>
          <w:rFonts w:ascii="Arial" w:hAnsi="Arial" w:cs="Arial"/>
          <w:bCs/>
          <w:sz w:val="24"/>
          <w:szCs w:val="24"/>
        </w:rPr>
        <w:t>eura</w:t>
      </w:r>
      <w:r w:rsidRPr="00AC2206">
        <w:rPr>
          <w:rFonts w:ascii="Arial" w:hAnsi="Arial" w:cs="Arial"/>
          <w:bCs/>
          <w:sz w:val="24"/>
          <w:szCs w:val="24"/>
        </w:rPr>
        <w:t xml:space="preserve"> kn po grupi produženog boravka za potrebe materijalnih troškova. U  šk</w:t>
      </w:r>
      <w:r>
        <w:rPr>
          <w:rFonts w:ascii="Arial" w:hAnsi="Arial" w:cs="Arial"/>
          <w:bCs/>
          <w:sz w:val="24"/>
          <w:szCs w:val="24"/>
        </w:rPr>
        <w:t>olskoj</w:t>
      </w:r>
      <w:r w:rsidRPr="00AC2206">
        <w:rPr>
          <w:rFonts w:ascii="Arial" w:hAnsi="Arial" w:cs="Arial"/>
          <w:bCs/>
          <w:sz w:val="24"/>
          <w:szCs w:val="24"/>
        </w:rPr>
        <w:t xml:space="preserve"> godini 202</w:t>
      </w:r>
      <w:r>
        <w:rPr>
          <w:rFonts w:ascii="Arial" w:hAnsi="Arial" w:cs="Arial"/>
          <w:bCs/>
          <w:sz w:val="24"/>
          <w:szCs w:val="24"/>
        </w:rPr>
        <w:t>5</w:t>
      </w:r>
      <w:r w:rsidRPr="00AC2206">
        <w:rPr>
          <w:rFonts w:ascii="Arial" w:hAnsi="Arial" w:cs="Arial"/>
          <w:bCs/>
          <w:sz w:val="24"/>
          <w:szCs w:val="24"/>
        </w:rPr>
        <w:t>./202</w:t>
      </w:r>
      <w:r>
        <w:rPr>
          <w:rFonts w:ascii="Arial" w:hAnsi="Arial" w:cs="Arial"/>
          <w:bCs/>
          <w:sz w:val="24"/>
          <w:szCs w:val="24"/>
        </w:rPr>
        <w:t>6</w:t>
      </w:r>
      <w:r w:rsidRPr="00AC2206">
        <w:rPr>
          <w:rFonts w:ascii="Arial" w:hAnsi="Arial" w:cs="Arial"/>
          <w:bCs/>
          <w:sz w:val="24"/>
          <w:szCs w:val="24"/>
        </w:rPr>
        <w:t xml:space="preserve">. produženi boravak je osiguran u tri grupe na puno vrijeme i jednu na pola vremena te je prema istome potrebno osigurati 2.200,00 </w:t>
      </w:r>
      <w:r>
        <w:rPr>
          <w:rFonts w:ascii="Arial" w:hAnsi="Arial" w:cs="Arial"/>
          <w:bCs/>
          <w:sz w:val="24"/>
          <w:szCs w:val="24"/>
        </w:rPr>
        <w:t>eura</w:t>
      </w:r>
      <w:r w:rsidRPr="00AC2206">
        <w:rPr>
          <w:rFonts w:ascii="Arial" w:hAnsi="Arial" w:cs="Arial"/>
          <w:bCs/>
          <w:sz w:val="24"/>
          <w:szCs w:val="24"/>
        </w:rPr>
        <w:t>. Za pokriće prijevoza zaposlenika na posao i s posla u 202</w:t>
      </w:r>
      <w:r>
        <w:rPr>
          <w:rFonts w:ascii="Arial" w:hAnsi="Arial" w:cs="Arial"/>
          <w:bCs/>
          <w:sz w:val="24"/>
          <w:szCs w:val="24"/>
        </w:rPr>
        <w:t>6</w:t>
      </w:r>
      <w:r w:rsidRPr="00AC2206">
        <w:rPr>
          <w:rFonts w:ascii="Arial" w:hAnsi="Arial" w:cs="Arial"/>
          <w:bCs/>
          <w:sz w:val="24"/>
          <w:szCs w:val="24"/>
        </w:rPr>
        <w:t xml:space="preserve">. godini biti će potrebno 3.500,00 </w:t>
      </w:r>
      <w:r>
        <w:rPr>
          <w:rFonts w:ascii="Arial" w:hAnsi="Arial" w:cs="Arial"/>
          <w:bCs/>
          <w:sz w:val="24"/>
          <w:szCs w:val="24"/>
        </w:rPr>
        <w:t>eura</w:t>
      </w:r>
      <w:r w:rsidRPr="00AC2206">
        <w:rPr>
          <w:rFonts w:ascii="Arial" w:hAnsi="Arial" w:cs="Arial"/>
          <w:bCs/>
          <w:sz w:val="24"/>
          <w:szCs w:val="24"/>
        </w:rPr>
        <w:t>.</w:t>
      </w:r>
    </w:p>
    <w:p w14:paraId="30C85C2E" w14:textId="77777777" w:rsidR="00E541EE" w:rsidRDefault="00E541EE" w:rsidP="00E541EE">
      <w:pPr>
        <w:jc w:val="both"/>
        <w:rPr>
          <w:rFonts w:ascii="Arial" w:hAnsi="Arial" w:cs="Arial"/>
          <w:bCs/>
          <w:sz w:val="24"/>
          <w:szCs w:val="24"/>
        </w:rPr>
      </w:pPr>
      <w:r w:rsidRPr="00AC2206">
        <w:rPr>
          <w:rFonts w:ascii="Arial" w:hAnsi="Arial" w:cs="Arial"/>
          <w:bCs/>
          <w:sz w:val="24"/>
          <w:szCs w:val="24"/>
        </w:rPr>
        <w:t>Zbog velikih poskupljenja cijene lož ulja i el. energije tijekom 2022. i 2023.</w:t>
      </w:r>
      <w:r>
        <w:rPr>
          <w:rFonts w:ascii="Arial" w:hAnsi="Arial" w:cs="Arial"/>
          <w:bCs/>
          <w:sz w:val="24"/>
          <w:szCs w:val="24"/>
        </w:rPr>
        <w:t xml:space="preserve"> </w:t>
      </w:r>
      <w:r w:rsidRPr="00AC2206">
        <w:rPr>
          <w:rFonts w:ascii="Arial" w:hAnsi="Arial" w:cs="Arial"/>
          <w:bCs/>
          <w:sz w:val="24"/>
          <w:szCs w:val="24"/>
        </w:rPr>
        <w:t>i u nesigurnost rezultata planiranih mjera, izračunato je da će</w:t>
      </w:r>
      <w:r>
        <w:rPr>
          <w:rFonts w:ascii="Arial" w:hAnsi="Arial" w:cs="Arial"/>
          <w:bCs/>
          <w:sz w:val="24"/>
          <w:szCs w:val="24"/>
        </w:rPr>
        <w:t>,</w:t>
      </w:r>
      <w:r w:rsidRPr="00AC2206">
        <w:rPr>
          <w:rFonts w:ascii="Arial" w:hAnsi="Arial" w:cs="Arial"/>
          <w:bCs/>
          <w:sz w:val="24"/>
          <w:szCs w:val="24"/>
        </w:rPr>
        <w:t xml:space="preserve">  osim osiguranih sredstava  u aktivnosti decentralizirane funkcije biti potrebno dodatnih 6.</w:t>
      </w:r>
      <w:r>
        <w:rPr>
          <w:rFonts w:ascii="Arial" w:hAnsi="Arial" w:cs="Arial"/>
          <w:bCs/>
          <w:sz w:val="24"/>
          <w:szCs w:val="24"/>
        </w:rPr>
        <w:t>1</w:t>
      </w:r>
      <w:r w:rsidRPr="00AC2206">
        <w:rPr>
          <w:rFonts w:ascii="Arial" w:hAnsi="Arial" w:cs="Arial"/>
          <w:bCs/>
          <w:sz w:val="24"/>
          <w:szCs w:val="24"/>
        </w:rPr>
        <w:t xml:space="preserve">00,00 </w:t>
      </w:r>
      <w:r>
        <w:rPr>
          <w:rFonts w:ascii="Arial" w:hAnsi="Arial" w:cs="Arial"/>
          <w:bCs/>
          <w:sz w:val="24"/>
          <w:szCs w:val="24"/>
        </w:rPr>
        <w:t>eura</w:t>
      </w:r>
      <w:r w:rsidRPr="00AC2206">
        <w:rPr>
          <w:rFonts w:ascii="Arial" w:hAnsi="Arial" w:cs="Arial"/>
          <w:bCs/>
          <w:sz w:val="24"/>
          <w:szCs w:val="24"/>
        </w:rPr>
        <w:t xml:space="preserve"> za podmirenje troškova na kontu 3223 </w:t>
      </w:r>
      <w:r>
        <w:rPr>
          <w:rFonts w:ascii="Arial" w:hAnsi="Arial" w:cs="Arial"/>
          <w:bCs/>
          <w:sz w:val="24"/>
          <w:szCs w:val="24"/>
        </w:rPr>
        <w:t>-</w:t>
      </w:r>
      <w:r w:rsidRPr="00AC2206">
        <w:rPr>
          <w:rFonts w:ascii="Arial" w:hAnsi="Arial" w:cs="Arial"/>
          <w:bCs/>
          <w:sz w:val="24"/>
          <w:szCs w:val="24"/>
        </w:rPr>
        <w:t xml:space="preserve"> energija kao i dodatnih 4.000,00 </w:t>
      </w:r>
      <w:r>
        <w:rPr>
          <w:rFonts w:ascii="Arial" w:hAnsi="Arial" w:cs="Arial"/>
          <w:bCs/>
          <w:sz w:val="24"/>
          <w:szCs w:val="24"/>
        </w:rPr>
        <w:t>eura</w:t>
      </w:r>
      <w:r w:rsidRPr="00AC2206">
        <w:rPr>
          <w:rFonts w:ascii="Arial" w:hAnsi="Arial" w:cs="Arial"/>
          <w:bCs/>
          <w:sz w:val="24"/>
          <w:szCs w:val="24"/>
        </w:rPr>
        <w:t xml:space="preserve"> za komunalne usluge</w:t>
      </w:r>
      <w:r>
        <w:rPr>
          <w:rFonts w:ascii="Arial" w:hAnsi="Arial" w:cs="Arial"/>
          <w:bCs/>
          <w:sz w:val="24"/>
          <w:szCs w:val="24"/>
        </w:rPr>
        <w:t>,</w:t>
      </w:r>
      <w:r w:rsidRPr="00AC2206">
        <w:rPr>
          <w:rFonts w:ascii="Arial" w:hAnsi="Arial" w:cs="Arial"/>
          <w:bCs/>
          <w:sz w:val="24"/>
          <w:szCs w:val="24"/>
        </w:rPr>
        <w:t xml:space="preserve"> </w:t>
      </w:r>
      <w:r w:rsidRPr="002819CC">
        <w:rPr>
          <w:rFonts w:ascii="Arial" w:hAnsi="Arial" w:cs="Arial"/>
          <w:bCs/>
          <w:sz w:val="24"/>
          <w:szCs w:val="24"/>
        </w:rPr>
        <w:t xml:space="preserve">1.800,00 </w:t>
      </w:r>
      <w:r>
        <w:rPr>
          <w:rFonts w:ascii="Arial" w:hAnsi="Arial" w:cs="Arial"/>
          <w:bCs/>
          <w:sz w:val="24"/>
          <w:szCs w:val="24"/>
        </w:rPr>
        <w:t>eura</w:t>
      </w:r>
      <w:r w:rsidRPr="002819CC">
        <w:rPr>
          <w:rFonts w:ascii="Arial" w:hAnsi="Arial" w:cs="Arial"/>
          <w:bCs/>
          <w:sz w:val="24"/>
          <w:szCs w:val="24"/>
        </w:rPr>
        <w:t xml:space="preserve"> za troškove premija osiguranja, 1.200,00 </w:t>
      </w:r>
      <w:r>
        <w:rPr>
          <w:rFonts w:ascii="Arial" w:hAnsi="Arial" w:cs="Arial"/>
          <w:bCs/>
          <w:sz w:val="24"/>
          <w:szCs w:val="24"/>
        </w:rPr>
        <w:t>eura</w:t>
      </w:r>
      <w:r w:rsidRPr="002819CC">
        <w:rPr>
          <w:rFonts w:ascii="Arial" w:hAnsi="Arial" w:cs="Arial"/>
          <w:bCs/>
          <w:sz w:val="24"/>
          <w:szCs w:val="24"/>
        </w:rPr>
        <w:t xml:space="preserve"> za ostale nespomenute rashode poslovanja te 200,00 </w:t>
      </w:r>
      <w:r>
        <w:rPr>
          <w:rFonts w:ascii="Arial" w:hAnsi="Arial" w:cs="Arial"/>
          <w:bCs/>
          <w:sz w:val="24"/>
          <w:szCs w:val="24"/>
        </w:rPr>
        <w:t>eura</w:t>
      </w:r>
      <w:r w:rsidRPr="002819CC">
        <w:rPr>
          <w:rFonts w:ascii="Arial" w:hAnsi="Arial" w:cs="Arial"/>
          <w:bCs/>
          <w:sz w:val="24"/>
          <w:szCs w:val="24"/>
        </w:rPr>
        <w:t xml:space="preserve"> za bankarske usluge iz razloga što se ti troškovi ne stignu podmiriti iz sredstava decentraliziranih funkcija.</w:t>
      </w:r>
    </w:p>
    <w:p w14:paraId="11851234" w14:textId="77777777" w:rsidR="00E541EE" w:rsidRPr="00AC2206" w:rsidRDefault="00E541EE" w:rsidP="00E541EE">
      <w:pPr>
        <w:jc w:val="both"/>
        <w:rPr>
          <w:rFonts w:ascii="Arial" w:hAnsi="Arial" w:cs="Arial"/>
          <w:bCs/>
          <w:sz w:val="24"/>
          <w:szCs w:val="24"/>
        </w:rPr>
      </w:pPr>
      <w:r w:rsidRPr="00AC2206">
        <w:rPr>
          <w:rFonts w:ascii="Arial" w:hAnsi="Arial" w:cs="Arial"/>
          <w:b/>
          <w:bCs/>
          <w:sz w:val="24"/>
          <w:szCs w:val="24"/>
        </w:rPr>
        <w:t>Opći cilj:</w:t>
      </w:r>
      <w:r w:rsidRPr="00AC2206">
        <w:rPr>
          <w:rFonts w:ascii="Arial" w:hAnsi="Arial" w:cs="Arial"/>
          <w:bCs/>
          <w:sz w:val="24"/>
          <w:szCs w:val="24"/>
        </w:rPr>
        <w:t xml:space="preserve"> osiguravanje uvjeta rada ustanove</w:t>
      </w:r>
    </w:p>
    <w:p w14:paraId="3917FEED" w14:textId="77777777" w:rsidR="00E541EE" w:rsidRDefault="00E541EE" w:rsidP="00E541EE">
      <w:pPr>
        <w:jc w:val="both"/>
        <w:rPr>
          <w:rFonts w:ascii="Arial" w:eastAsia="Times New Roman" w:hAnsi="Arial" w:cs="Arial"/>
          <w:sz w:val="24"/>
          <w:szCs w:val="24"/>
        </w:rPr>
      </w:pPr>
    </w:p>
    <w:p w14:paraId="689BA01D"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AC2206">
        <w:rPr>
          <w:rFonts w:ascii="Arial" w:eastAsia="Times New Roman" w:hAnsi="Arial" w:cs="Arial"/>
          <w:b/>
          <w:bCs/>
          <w:sz w:val="24"/>
          <w:szCs w:val="24"/>
        </w:rPr>
        <w:t>A 103607: Nastava Tjelesne i zdravstvene kulture = 3</w:t>
      </w:r>
      <w:r>
        <w:rPr>
          <w:rFonts w:ascii="Arial" w:eastAsia="Times New Roman" w:hAnsi="Arial" w:cs="Arial"/>
          <w:b/>
          <w:bCs/>
          <w:sz w:val="24"/>
          <w:szCs w:val="24"/>
        </w:rPr>
        <w:t>3</w:t>
      </w:r>
      <w:r w:rsidRPr="00AC2206">
        <w:rPr>
          <w:rFonts w:ascii="Arial" w:eastAsia="Times New Roman" w:hAnsi="Arial" w:cs="Arial"/>
          <w:b/>
          <w:bCs/>
          <w:sz w:val="24"/>
          <w:szCs w:val="24"/>
        </w:rPr>
        <w:t>.</w:t>
      </w:r>
      <w:r>
        <w:rPr>
          <w:rFonts w:ascii="Arial" w:eastAsia="Times New Roman" w:hAnsi="Arial" w:cs="Arial"/>
          <w:b/>
          <w:bCs/>
          <w:sz w:val="24"/>
          <w:szCs w:val="24"/>
        </w:rPr>
        <w:t>300</w:t>
      </w:r>
      <w:r w:rsidRPr="00AC2206">
        <w:rPr>
          <w:rFonts w:ascii="Arial" w:eastAsia="Times New Roman" w:hAnsi="Arial" w:cs="Arial"/>
          <w:b/>
          <w:bCs/>
          <w:sz w:val="24"/>
          <w:szCs w:val="24"/>
        </w:rPr>
        <w:t>,00 EUR</w:t>
      </w:r>
    </w:p>
    <w:p w14:paraId="355A6675"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Zakonska osnova</w:t>
      </w:r>
      <w:r w:rsidRPr="00AC2206">
        <w:rPr>
          <w:rFonts w:ascii="Arial" w:eastAsia="Times New Roman" w:hAnsi="Arial" w:cs="Arial"/>
          <w:bCs/>
          <w:sz w:val="24"/>
          <w:szCs w:val="24"/>
        </w:rPr>
        <w:t>: Zakon o radu,</w:t>
      </w:r>
      <w:r w:rsidRPr="00AC2206">
        <w:rPr>
          <w:rFonts w:ascii="Arial" w:eastAsia="Times New Roman" w:hAnsi="Arial" w:cs="Arial"/>
          <w:sz w:val="24"/>
          <w:szCs w:val="24"/>
        </w:rPr>
        <w:t xml:space="preserve"> Zakon o odgoju i obrazovanju u osnovnoj i srednjoj školi, Državni pedagoški standard osnovnoškolskog sustava odgoja i obrazovanja.</w:t>
      </w:r>
    </w:p>
    <w:p w14:paraId="68195BE3" w14:textId="77777777" w:rsidR="00E541EE" w:rsidRPr="0093001C" w:rsidRDefault="00E541EE" w:rsidP="00E541EE">
      <w:pPr>
        <w:jc w:val="both"/>
        <w:rPr>
          <w:rFonts w:ascii="Arial" w:eastAsia="Times New Roman" w:hAnsi="Arial" w:cs="Arial"/>
          <w:bCs/>
          <w:sz w:val="24"/>
          <w:szCs w:val="24"/>
        </w:rPr>
      </w:pPr>
      <w:r w:rsidRPr="00AC2206">
        <w:rPr>
          <w:rFonts w:ascii="Arial" w:eastAsia="Times New Roman" w:hAnsi="Arial" w:cs="Arial"/>
          <w:b/>
          <w:bCs/>
          <w:sz w:val="24"/>
          <w:szCs w:val="24"/>
        </w:rPr>
        <w:t>Opis:</w:t>
      </w:r>
      <w:r w:rsidRPr="00AC2206">
        <w:rPr>
          <w:rFonts w:ascii="Arial" w:eastAsia="Times New Roman" w:hAnsi="Arial" w:cs="Arial"/>
          <w:bCs/>
          <w:sz w:val="24"/>
          <w:szCs w:val="24"/>
        </w:rPr>
        <w:t xml:space="preserve"> kako bi se zadržali dostignuti standardi u nastavi tjelesne i zdravstvene kulture u osnovnoj školi, osnivač osigurava sredstva za podmirenje plaća i svih ostalih davanja koji proizlaze iz radnog odnosa, a sukladno Zakonu o radu i važećim</w:t>
      </w:r>
      <w:r w:rsidRPr="00AC2206">
        <w:rPr>
          <w:rFonts w:ascii="Arial" w:eastAsia="Times New Roman" w:hAnsi="Arial" w:cs="Arial"/>
          <w:b/>
          <w:bCs/>
          <w:sz w:val="24"/>
          <w:szCs w:val="24"/>
        </w:rPr>
        <w:t xml:space="preserve"> </w:t>
      </w:r>
      <w:r w:rsidRPr="00AC2206">
        <w:rPr>
          <w:rFonts w:ascii="Arial" w:eastAsia="Times New Roman" w:hAnsi="Arial" w:cs="Arial"/>
          <w:bCs/>
          <w:sz w:val="24"/>
          <w:szCs w:val="24"/>
        </w:rPr>
        <w:t>Temeljnim kolektivnim ugovorom za zaposlenike u javnim službama kao i Kolektivnim ugovorom za zaposlenike u osnovnim školama. Podmiruju se troškovi plaća i  doprinosa na plaću te ostali rashodi za učitelja TZK na puno  radno vrijeme sa VSS i sa 2</w:t>
      </w:r>
      <w:r>
        <w:rPr>
          <w:rFonts w:ascii="Arial" w:eastAsia="Times New Roman" w:hAnsi="Arial" w:cs="Arial"/>
          <w:bCs/>
          <w:sz w:val="24"/>
          <w:szCs w:val="24"/>
        </w:rPr>
        <w:t>7</w:t>
      </w:r>
      <w:r w:rsidRPr="00AC2206">
        <w:rPr>
          <w:rFonts w:ascii="Arial" w:eastAsia="Times New Roman" w:hAnsi="Arial" w:cs="Arial"/>
          <w:bCs/>
          <w:sz w:val="24"/>
          <w:szCs w:val="24"/>
        </w:rPr>
        <w:t xml:space="preserve"> godine radnog staža.</w:t>
      </w:r>
      <w:r w:rsidRPr="0093001C">
        <w:rPr>
          <w:rFonts w:ascii="Arial" w:eastAsia="Times New Roman" w:hAnsi="Arial" w:cs="Arial"/>
          <w:bCs/>
          <w:sz w:val="24"/>
          <w:szCs w:val="24"/>
        </w:rPr>
        <w:t xml:space="preserve">Za navedeno je </w:t>
      </w:r>
      <w:r w:rsidRPr="0093001C">
        <w:rPr>
          <w:rFonts w:ascii="Arial" w:hAnsi="Arial" w:cs="Arial"/>
          <w:bCs/>
          <w:sz w:val="24"/>
          <w:szCs w:val="24"/>
        </w:rPr>
        <w:t xml:space="preserve"> planirano da će biti potrebna sredstva u visini od 28.000,00 </w:t>
      </w:r>
      <w:r>
        <w:rPr>
          <w:rFonts w:ascii="Arial" w:hAnsi="Arial" w:cs="Arial"/>
          <w:bCs/>
          <w:sz w:val="24"/>
          <w:szCs w:val="24"/>
        </w:rPr>
        <w:t>eura</w:t>
      </w:r>
      <w:r w:rsidRPr="0093001C">
        <w:rPr>
          <w:rFonts w:ascii="Arial" w:hAnsi="Arial" w:cs="Arial"/>
          <w:bCs/>
          <w:sz w:val="24"/>
          <w:szCs w:val="24"/>
        </w:rPr>
        <w:t xml:space="preserve"> te 4.600,00 </w:t>
      </w:r>
      <w:r>
        <w:rPr>
          <w:rFonts w:ascii="Arial" w:hAnsi="Arial" w:cs="Arial"/>
          <w:bCs/>
          <w:sz w:val="24"/>
          <w:szCs w:val="24"/>
        </w:rPr>
        <w:t>eura</w:t>
      </w:r>
      <w:r w:rsidRPr="0093001C">
        <w:rPr>
          <w:rFonts w:ascii="Arial" w:hAnsi="Arial" w:cs="Arial"/>
          <w:bCs/>
          <w:sz w:val="24"/>
          <w:szCs w:val="24"/>
        </w:rPr>
        <w:t xml:space="preserve"> za doprinose. Za ostale rashode za zaposlenike (regres, uskrsnica i  božićnica ) za zaposlenog učitelja/icu u aktivnosti u 2025. godini biti će potrebno još 700,00 </w:t>
      </w:r>
      <w:r>
        <w:rPr>
          <w:rFonts w:ascii="Arial" w:hAnsi="Arial" w:cs="Arial"/>
          <w:bCs/>
          <w:sz w:val="24"/>
          <w:szCs w:val="24"/>
        </w:rPr>
        <w:t>eura</w:t>
      </w:r>
      <w:r w:rsidRPr="0093001C">
        <w:rPr>
          <w:rFonts w:ascii="Arial" w:hAnsi="Arial" w:cs="Arial"/>
          <w:bCs/>
          <w:sz w:val="24"/>
          <w:szCs w:val="24"/>
        </w:rPr>
        <w:t>.</w:t>
      </w:r>
    </w:p>
    <w:p w14:paraId="2FE6F4F3" w14:textId="77777777" w:rsidR="00E541EE" w:rsidRPr="00AC2206" w:rsidRDefault="00E541EE" w:rsidP="00E541EE">
      <w:pPr>
        <w:jc w:val="both"/>
        <w:rPr>
          <w:rFonts w:ascii="Arial" w:hAnsi="Arial" w:cs="Arial"/>
          <w:bCs/>
          <w:sz w:val="24"/>
          <w:szCs w:val="24"/>
        </w:rPr>
      </w:pPr>
      <w:r w:rsidRPr="00AC2206">
        <w:rPr>
          <w:rFonts w:ascii="Arial" w:eastAsia="Times New Roman" w:hAnsi="Arial" w:cs="Arial"/>
          <w:b/>
          <w:sz w:val="24"/>
          <w:szCs w:val="24"/>
        </w:rPr>
        <w:t xml:space="preserve">Opći cilj: </w:t>
      </w:r>
      <w:r w:rsidRPr="00AC2206">
        <w:rPr>
          <w:rFonts w:ascii="Arial" w:eastAsia="Times New Roman" w:hAnsi="Arial" w:cs="Arial"/>
          <w:sz w:val="24"/>
          <w:szCs w:val="24"/>
        </w:rPr>
        <w:t>osiguravanje dodatnog standarda u osnovnoškolskom obrazovanju.</w:t>
      </w:r>
    </w:p>
    <w:p w14:paraId="4A4FCDD1" w14:textId="77777777" w:rsidR="00E541EE" w:rsidRPr="00AC2206" w:rsidRDefault="00E541EE" w:rsidP="00E541EE">
      <w:pPr>
        <w:jc w:val="both"/>
        <w:rPr>
          <w:rFonts w:ascii="Arial" w:eastAsia="Times New Roman" w:hAnsi="Arial" w:cs="Arial"/>
          <w:bCs/>
          <w:sz w:val="24"/>
          <w:szCs w:val="24"/>
        </w:rPr>
      </w:pPr>
      <w:r w:rsidRPr="00AC2206">
        <w:rPr>
          <w:rFonts w:ascii="Arial" w:eastAsia="Times New Roman" w:hAnsi="Arial" w:cs="Arial"/>
          <w:b/>
          <w:bCs/>
          <w:sz w:val="24"/>
          <w:szCs w:val="24"/>
        </w:rPr>
        <w:t xml:space="preserve">Pokazatelj uspješnosti: </w:t>
      </w:r>
      <w:r w:rsidRPr="00AC2206">
        <w:rPr>
          <w:rFonts w:ascii="Arial" w:eastAsia="Times New Roman" w:hAnsi="Arial" w:cs="Arial"/>
          <w:bCs/>
          <w:sz w:val="24"/>
          <w:szCs w:val="24"/>
        </w:rPr>
        <w:t>nesmetano odvijanje odgojno - obrazovnog procesa sa zadržavanjem dostignutih standarda.</w:t>
      </w:r>
    </w:p>
    <w:p w14:paraId="7297A5F6" w14:textId="77777777" w:rsidR="00E541EE" w:rsidRPr="00AC2206" w:rsidRDefault="00E541EE" w:rsidP="00E541EE">
      <w:pPr>
        <w:jc w:val="both"/>
        <w:rPr>
          <w:rFonts w:ascii="Arial" w:eastAsia="Times New Roman" w:hAnsi="Arial" w:cs="Arial"/>
          <w:bCs/>
          <w:sz w:val="24"/>
          <w:szCs w:val="24"/>
        </w:rPr>
      </w:pPr>
    </w:p>
    <w:p w14:paraId="3EC6C2CE"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AC2206">
        <w:rPr>
          <w:rFonts w:ascii="Arial" w:eastAsia="Times New Roman" w:hAnsi="Arial" w:cs="Arial"/>
          <w:b/>
          <w:bCs/>
          <w:sz w:val="24"/>
          <w:szCs w:val="24"/>
        </w:rPr>
        <w:t>A 103608: Produženi boravak djece u školi = 1</w:t>
      </w:r>
      <w:r>
        <w:rPr>
          <w:rFonts w:ascii="Arial" w:eastAsia="Times New Roman" w:hAnsi="Arial" w:cs="Arial"/>
          <w:b/>
          <w:bCs/>
          <w:sz w:val="24"/>
          <w:szCs w:val="24"/>
        </w:rPr>
        <w:t>26</w:t>
      </w:r>
      <w:r w:rsidRPr="00AC2206">
        <w:rPr>
          <w:rFonts w:ascii="Arial" w:eastAsia="Times New Roman" w:hAnsi="Arial" w:cs="Arial"/>
          <w:b/>
          <w:bCs/>
          <w:sz w:val="24"/>
          <w:szCs w:val="24"/>
        </w:rPr>
        <w:t>.</w:t>
      </w:r>
      <w:r>
        <w:rPr>
          <w:rFonts w:ascii="Arial" w:eastAsia="Times New Roman" w:hAnsi="Arial" w:cs="Arial"/>
          <w:b/>
          <w:bCs/>
          <w:sz w:val="24"/>
          <w:szCs w:val="24"/>
        </w:rPr>
        <w:t>9</w:t>
      </w:r>
      <w:r w:rsidRPr="00AC2206">
        <w:rPr>
          <w:rFonts w:ascii="Arial" w:eastAsia="Times New Roman" w:hAnsi="Arial" w:cs="Arial"/>
          <w:b/>
          <w:bCs/>
          <w:sz w:val="24"/>
          <w:szCs w:val="24"/>
        </w:rPr>
        <w:t>00,00 EUR</w:t>
      </w:r>
    </w:p>
    <w:p w14:paraId="6A2C3D2A"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sz w:val="24"/>
          <w:szCs w:val="24"/>
        </w:rPr>
        <w:t xml:space="preserve">Zakonska osnova: </w:t>
      </w:r>
      <w:r w:rsidRPr="00AC2206">
        <w:rPr>
          <w:rFonts w:ascii="Arial" w:eastAsia="Times New Roman" w:hAnsi="Arial" w:cs="Arial"/>
          <w:sz w:val="24"/>
          <w:szCs w:val="24"/>
        </w:rPr>
        <w:t>Zakon o odgoju i obrazovanju u osnovnoj i srednjoj školi, Zakon o odgoju i obrazovanju na jeziku i pismu nacionalnih manjina, Državni pedagoški standard osnovnoškolskog sustava odgoja i obrazovanja, Pravilnik o organizaciji i provedbi produženog boravka u OŠ.</w:t>
      </w:r>
    </w:p>
    <w:p w14:paraId="3E33566A" w14:textId="77777777" w:rsidR="00E541EE" w:rsidRPr="00AC2206" w:rsidRDefault="00E541EE" w:rsidP="00E541EE">
      <w:pPr>
        <w:jc w:val="both"/>
        <w:rPr>
          <w:rFonts w:ascii="Arial" w:hAnsi="Arial" w:cs="Arial"/>
          <w:bCs/>
          <w:sz w:val="24"/>
          <w:szCs w:val="24"/>
        </w:rPr>
      </w:pPr>
      <w:r w:rsidRPr="00AC2206">
        <w:rPr>
          <w:rFonts w:ascii="Arial" w:eastAsia="Times New Roman" w:hAnsi="Arial" w:cs="Arial"/>
          <w:b/>
          <w:sz w:val="24"/>
          <w:szCs w:val="24"/>
        </w:rPr>
        <w:t>Opis:</w:t>
      </w:r>
      <w:r w:rsidRPr="00AC2206">
        <w:rPr>
          <w:rFonts w:ascii="Arial" w:eastAsia="Times New Roman" w:hAnsi="Arial" w:cs="Arial"/>
          <w:sz w:val="24"/>
          <w:szCs w:val="24"/>
        </w:rPr>
        <w:t xml:space="preserve"> </w:t>
      </w:r>
      <w:r w:rsidRPr="00AC2206">
        <w:rPr>
          <w:rFonts w:ascii="Arial" w:hAnsi="Arial" w:cs="Arial"/>
          <w:bCs/>
          <w:sz w:val="24"/>
          <w:szCs w:val="24"/>
        </w:rPr>
        <w:t>U školi je organiziran produženi boravak za učenike nižih razreda, u 4 grupe, u kojima su zaposlene tri učiteljice na puno radno vrijeme i jedna učiteljica na nepuno radno vrijeme (50%) kao i jedan kuharica na nepuno radno vrijeme (50%) za što je planirano da će u 202</w:t>
      </w:r>
      <w:r>
        <w:rPr>
          <w:rFonts w:ascii="Arial" w:hAnsi="Arial" w:cs="Arial"/>
          <w:bCs/>
          <w:sz w:val="24"/>
          <w:szCs w:val="24"/>
        </w:rPr>
        <w:t>6</w:t>
      </w:r>
      <w:r w:rsidRPr="00AC2206">
        <w:rPr>
          <w:rFonts w:ascii="Arial" w:hAnsi="Arial" w:cs="Arial"/>
          <w:bCs/>
          <w:sz w:val="24"/>
          <w:szCs w:val="24"/>
        </w:rPr>
        <w:t>. godini biti potrebno 1</w:t>
      </w:r>
      <w:r>
        <w:rPr>
          <w:rFonts w:ascii="Arial" w:hAnsi="Arial" w:cs="Arial"/>
          <w:bCs/>
          <w:sz w:val="24"/>
          <w:szCs w:val="24"/>
        </w:rPr>
        <w:t>22</w:t>
      </w:r>
      <w:r w:rsidRPr="00AC2206">
        <w:rPr>
          <w:rFonts w:ascii="Arial" w:hAnsi="Arial" w:cs="Arial"/>
          <w:bCs/>
          <w:sz w:val="24"/>
          <w:szCs w:val="24"/>
        </w:rPr>
        <w:t>.</w:t>
      </w:r>
      <w:r>
        <w:rPr>
          <w:rFonts w:ascii="Arial" w:hAnsi="Arial" w:cs="Arial"/>
          <w:bCs/>
          <w:sz w:val="24"/>
          <w:szCs w:val="24"/>
        </w:rPr>
        <w:t>4</w:t>
      </w:r>
      <w:r w:rsidRPr="00AC2206">
        <w:rPr>
          <w:rFonts w:ascii="Arial" w:hAnsi="Arial" w:cs="Arial"/>
          <w:bCs/>
          <w:sz w:val="24"/>
          <w:szCs w:val="24"/>
        </w:rPr>
        <w:t xml:space="preserve">00,00 </w:t>
      </w:r>
      <w:r>
        <w:rPr>
          <w:rFonts w:ascii="Arial" w:hAnsi="Arial" w:cs="Arial"/>
          <w:bCs/>
          <w:sz w:val="24"/>
          <w:szCs w:val="24"/>
        </w:rPr>
        <w:t>eura.</w:t>
      </w:r>
      <w:r w:rsidRPr="00AC2206">
        <w:rPr>
          <w:rFonts w:ascii="Arial" w:hAnsi="Arial" w:cs="Arial"/>
          <w:bCs/>
          <w:sz w:val="24"/>
          <w:szCs w:val="24"/>
        </w:rPr>
        <w:t xml:space="preserve"> Posljednjih godina u našu je školu upisan veći broj učenika nižih razreda te je time povećan i broj zahtjeva roditelja  za upis učenika u produženi boravak te će i nadalje biti potrebna organizacija u minimalno 4 grupe. Za ostale rashode za zaposlene (regres, božićnice, dar za djecu) za sve  zaposlene u aktivnosti produženog boravka u 202</w:t>
      </w:r>
      <w:r>
        <w:rPr>
          <w:rFonts w:ascii="Arial" w:hAnsi="Arial" w:cs="Arial"/>
          <w:bCs/>
          <w:sz w:val="24"/>
          <w:szCs w:val="24"/>
        </w:rPr>
        <w:t>6</w:t>
      </w:r>
      <w:r w:rsidRPr="00AC2206">
        <w:rPr>
          <w:rFonts w:ascii="Arial" w:hAnsi="Arial" w:cs="Arial"/>
          <w:bCs/>
          <w:sz w:val="24"/>
          <w:szCs w:val="24"/>
        </w:rPr>
        <w:t xml:space="preserve">. godini biti će potrebno  </w:t>
      </w:r>
      <w:r>
        <w:rPr>
          <w:rFonts w:ascii="Arial" w:hAnsi="Arial" w:cs="Arial"/>
          <w:bCs/>
          <w:sz w:val="24"/>
          <w:szCs w:val="24"/>
        </w:rPr>
        <w:t>4.500</w:t>
      </w:r>
      <w:r w:rsidRPr="00AC2206">
        <w:rPr>
          <w:rFonts w:ascii="Arial" w:hAnsi="Arial" w:cs="Arial"/>
          <w:bCs/>
          <w:sz w:val="24"/>
          <w:szCs w:val="24"/>
        </w:rPr>
        <w:t xml:space="preserve">,00 </w:t>
      </w:r>
      <w:r>
        <w:rPr>
          <w:rFonts w:ascii="Arial" w:hAnsi="Arial" w:cs="Arial"/>
          <w:bCs/>
          <w:sz w:val="24"/>
          <w:szCs w:val="24"/>
        </w:rPr>
        <w:t>eura</w:t>
      </w:r>
      <w:r w:rsidRPr="00AC2206">
        <w:rPr>
          <w:rFonts w:ascii="Arial" w:hAnsi="Arial" w:cs="Arial"/>
          <w:bCs/>
          <w:sz w:val="24"/>
          <w:szCs w:val="24"/>
        </w:rPr>
        <w:t>.</w:t>
      </w:r>
    </w:p>
    <w:p w14:paraId="5286F866" w14:textId="77777777" w:rsidR="00E541EE" w:rsidRPr="00AC2206" w:rsidRDefault="00E541EE" w:rsidP="00E541EE">
      <w:pPr>
        <w:jc w:val="both"/>
        <w:rPr>
          <w:rFonts w:ascii="Arial" w:hAnsi="Arial" w:cs="Arial"/>
          <w:bCs/>
          <w:sz w:val="24"/>
          <w:szCs w:val="24"/>
        </w:rPr>
      </w:pPr>
      <w:r w:rsidRPr="00AC2206">
        <w:rPr>
          <w:rFonts w:ascii="Arial" w:eastAsia="Times New Roman" w:hAnsi="Arial" w:cs="Arial"/>
          <w:b/>
          <w:sz w:val="24"/>
          <w:szCs w:val="24"/>
        </w:rPr>
        <w:t xml:space="preserve">Opći cilj: </w:t>
      </w:r>
      <w:r w:rsidRPr="00AC2206">
        <w:rPr>
          <w:rFonts w:ascii="Arial" w:eastAsia="Times New Roman" w:hAnsi="Arial" w:cs="Arial"/>
          <w:sz w:val="24"/>
          <w:szCs w:val="24"/>
        </w:rPr>
        <w:t>podrška zaposlenim roditeljima učenika razredne nastave te organiziran boravak učenika u školi.</w:t>
      </w:r>
    </w:p>
    <w:p w14:paraId="1EF43D5E"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sz w:val="24"/>
          <w:szCs w:val="24"/>
        </w:rPr>
        <w:t xml:space="preserve">Pokazatelj uspješnosti: </w:t>
      </w:r>
      <w:r w:rsidRPr="00AC2206">
        <w:rPr>
          <w:rFonts w:ascii="Arial" w:eastAsia="Times New Roman" w:hAnsi="Arial" w:cs="Arial"/>
          <w:sz w:val="24"/>
          <w:szCs w:val="24"/>
        </w:rPr>
        <w:t>obuhvat djece te praćenje pokazatelja.</w:t>
      </w:r>
    </w:p>
    <w:p w14:paraId="1AE31099" w14:textId="77777777" w:rsidR="00E541EE" w:rsidRPr="00AC2206" w:rsidRDefault="00E541EE" w:rsidP="00E541EE">
      <w:pPr>
        <w:jc w:val="both"/>
        <w:rPr>
          <w:rFonts w:ascii="Arial" w:eastAsia="Times New Roman" w:hAnsi="Arial" w:cs="Arial"/>
          <w:sz w:val="24"/>
          <w:szCs w:val="24"/>
        </w:rPr>
      </w:pPr>
    </w:p>
    <w:p w14:paraId="14008212"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AC2206">
        <w:rPr>
          <w:rFonts w:ascii="Arial" w:eastAsia="Times New Roman" w:hAnsi="Arial" w:cs="Arial"/>
          <w:b/>
          <w:bCs/>
          <w:sz w:val="24"/>
          <w:szCs w:val="24"/>
        </w:rPr>
        <w:t>A 103609: Školski psiholog = 3</w:t>
      </w:r>
      <w:r>
        <w:rPr>
          <w:rFonts w:ascii="Arial" w:eastAsia="Times New Roman" w:hAnsi="Arial" w:cs="Arial"/>
          <w:b/>
          <w:bCs/>
          <w:sz w:val="24"/>
          <w:szCs w:val="24"/>
        </w:rPr>
        <w:t>9</w:t>
      </w:r>
      <w:r w:rsidRPr="00AC2206">
        <w:rPr>
          <w:rFonts w:ascii="Arial" w:eastAsia="Times New Roman" w:hAnsi="Arial" w:cs="Arial"/>
          <w:b/>
          <w:bCs/>
          <w:sz w:val="24"/>
          <w:szCs w:val="24"/>
        </w:rPr>
        <w:t>.</w:t>
      </w:r>
      <w:r>
        <w:rPr>
          <w:rFonts w:ascii="Arial" w:eastAsia="Times New Roman" w:hAnsi="Arial" w:cs="Arial"/>
          <w:b/>
          <w:bCs/>
          <w:sz w:val="24"/>
          <w:szCs w:val="24"/>
        </w:rPr>
        <w:t>300</w:t>
      </w:r>
      <w:r w:rsidRPr="00AC2206">
        <w:rPr>
          <w:rFonts w:ascii="Arial" w:eastAsia="Times New Roman" w:hAnsi="Arial" w:cs="Arial"/>
          <w:b/>
          <w:bCs/>
          <w:sz w:val="24"/>
          <w:szCs w:val="24"/>
        </w:rPr>
        <w:t>,00 EUR</w:t>
      </w:r>
    </w:p>
    <w:p w14:paraId="728AA0C3"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Zakonska osnova</w:t>
      </w:r>
      <w:r w:rsidRPr="00AC2206">
        <w:rPr>
          <w:rFonts w:ascii="Arial" w:eastAsia="Times New Roman" w:hAnsi="Arial" w:cs="Arial"/>
          <w:bCs/>
          <w:sz w:val="24"/>
          <w:szCs w:val="24"/>
        </w:rPr>
        <w:t>: Zakon o radu,</w:t>
      </w:r>
      <w:r w:rsidRPr="00AC2206">
        <w:rPr>
          <w:rFonts w:ascii="Arial" w:eastAsia="Times New Roman" w:hAnsi="Arial" w:cs="Arial"/>
          <w:sz w:val="24"/>
          <w:szCs w:val="24"/>
        </w:rPr>
        <w:t xml:space="preserve"> Zakon o odgoju i obrazovanju u osnovnoj i srednjoj školi, Državni pedagoški standard osnovnoškolskog sustava odgoja i obrazovanja.</w:t>
      </w:r>
    </w:p>
    <w:p w14:paraId="4B4649D5" w14:textId="77777777" w:rsidR="00E541EE" w:rsidRPr="00AC2206" w:rsidRDefault="00E541EE" w:rsidP="00E541EE">
      <w:pPr>
        <w:jc w:val="both"/>
        <w:rPr>
          <w:rFonts w:ascii="Arial" w:hAnsi="Arial" w:cs="Arial"/>
          <w:bCs/>
          <w:sz w:val="24"/>
          <w:szCs w:val="24"/>
        </w:rPr>
      </w:pPr>
      <w:r w:rsidRPr="00AC2206">
        <w:rPr>
          <w:rFonts w:ascii="Arial" w:eastAsia="Times New Roman" w:hAnsi="Arial" w:cs="Arial"/>
          <w:b/>
          <w:sz w:val="24"/>
          <w:szCs w:val="24"/>
        </w:rPr>
        <w:t>Opis:</w:t>
      </w:r>
      <w:r w:rsidRPr="00AC2206">
        <w:rPr>
          <w:rFonts w:ascii="Arial" w:eastAsia="Times New Roman" w:hAnsi="Arial" w:cs="Arial"/>
          <w:sz w:val="24"/>
          <w:szCs w:val="24"/>
        </w:rPr>
        <w:t xml:space="preserve"> </w:t>
      </w:r>
      <w:r w:rsidRPr="00AC2206">
        <w:rPr>
          <w:rFonts w:ascii="Arial" w:hAnsi="Arial" w:cs="Arial"/>
          <w:bCs/>
          <w:sz w:val="24"/>
          <w:szCs w:val="24"/>
        </w:rPr>
        <w:t>Osnivač financira radno mjesto stručnog suradnika školskog psihologa na puno radno vrijeme za koje će u 202</w:t>
      </w:r>
      <w:r>
        <w:rPr>
          <w:rFonts w:ascii="Arial" w:hAnsi="Arial" w:cs="Arial"/>
          <w:bCs/>
          <w:sz w:val="24"/>
          <w:szCs w:val="24"/>
        </w:rPr>
        <w:t>6</w:t>
      </w:r>
      <w:r w:rsidRPr="00AC2206">
        <w:rPr>
          <w:rFonts w:ascii="Arial" w:hAnsi="Arial" w:cs="Arial"/>
          <w:bCs/>
          <w:sz w:val="24"/>
          <w:szCs w:val="24"/>
        </w:rPr>
        <w:t>. godini biti potrebno osigurati 3</w:t>
      </w:r>
      <w:r>
        <w:rPr>
          <w:rFonts w:ascii="Arial" w:hAnsi="Arial" w:cs="Arial"/>
          <w:bCs/>
          <w:sz w:val="24"/>
          <w:szCs w:val="24"/>
        </w:rPr>
        <w:t>8</w:t>
      </w:r>
      <w:r w:rsidRPr="00AC2206">
        <w:rPr>
          <w:rFonts w:ascii="Arial" w:hAnsi="Arial" w:cs="Arial"/>
          <w:bCs/>
          <w:sz w:val="24"/>
          <w:szCs w:val="24"/>
        </w:rPr>
        <w:t>.</w:t>
      </w:r>
      <w:r>
        <w:rPr>
          <w:rFonts w:ascii="Arial" w:hAnsi="Arial" w:cs="Arial"/>
          <w:bCs/>
          <w:sz w:val="24"/>
          <w:szCs w:val="24"/>
        </w:rPr>
        <w:t>500</w:t>
      </w:r>
      <w:r w:rsidRPr="00AC2206">
        <w:rPr>
          <w:rFonts w:ascii="Arial" w:hAnsi="Arial" w:cs="Arial"/>
          <w:bCs/>
          <w:sz w:val="24"/>
          <w:szCs w:val="24"/>
        </w:rPr>
        <w:t xml:space="preserve">,00 </w:t>
      </w:r>
      <w:r>
        <w:rPr>
          <w:rFonts w:ascii="Arial" w:hAnsi="Arial" w:cs="Arial"/>
          <w:bCs/>
          <w:sz w:val="24"/>
          <w:szCs w:val="24"/>
        </w:rPr>
        <w:t>eura</w:t>
      </w:r>
      <w:r w:rsidRPr="00AC2206">
        <w:rPr>
          <w:rFonts w:ascii="Arial" w:hAnsi="Arial" w:cs="Arial"/>
          <w:bCs/>
          <w:sz w:val="24"/>
          <w:szCs w:val="24"/>
        </w:rPr>
        <w:t xml:space="preserve"> za troškove bruto plaće i doprinosa na plaću obzirom da zaposlenica  ima zvanje stručnog suradnika savjetnika te  za ostale rashode za zaposlenike (regres , božićnica i dar djeci)  </w:t>
      </w:r>
      <w:r>
        <w:rPr>
          <w:rFonts w:ascii="Arial" w:hAnsi="Arial" w:cs="Arial"/>
          <w:bCs/>
          <w:sz w:val="24"/>
          <w:szCs w:val="24"/>
        </w:rPr>
        <w:t>800,00 eura.</w:t>
      </w:r>
    </w:p>
    <w:p w14:paraId="628B46EB" w14:textId="77777777" w:rsidR="00E541EE" w:rsidRPr="00AC2206" w:rsidRDefault="00E541EE" w:rsidP="00E541EE">
      <w:pPr>
        <w:jc w:val="both"/>
        <w:rPr>
          <w:rFonts w:ascii="Arial" w:hAnsi="Arial" w:cs="Arial"/>
          <w:bCs/>
          <w:sz w:val="24"/>
          <w:szCs w:val="24"/>
        </w:rPr>
      </w:pPr>
      <w:r w:rsidRPr="00AC2206">
        <w:rPr>
          <w:rFonts w:ascii="Arial" w:eastAsia="Times New Roman" w:hAnsi="Arial" w:cs="Arial"/>
          <w:b/>
          <w:sz w:val="24"/>
          <w:szCs w:val="24"/>
        </w:rPr>
        <w:t xml:space="preserve">Opći cilj: </w:t>
      </w:r>
      <w:r w:rsidRPr="00AC2206">
        <w:rPr>
          <w:rFonts w:ascii="Arial" w:eastAsia="Times New Roman" w:hAnsi="Arial" w:cs="Arial"/>
          <w:sz w:val="24"/>
          <w:szCs w:val="24"/>
        </w:rPr>
        <w:t>osiguravanje dodatnog standarda u osnovnoškolskom obrazovanju kroz dodatno zapošljavanje stručnih suradnika.</w:t>
      </w:r>
    </w:p>
    <w:p w14:paraId="142C9DB5" w14:textId="77777777" w:rsidR="00E541EE" w:rsidRPr="00AC2206" w:rsidRDefault="00E541EE" w:rsidP="00E541EE">
      <w:pPr>
        <w:jc w:val="both"/>
        <w:rPr>
          <w:rFonts w:ascii="Arial" w:eastAsia="Times New Roman" w:hAnsi="Arial" w:cs="Arial"/>
          <w:bCs/>
          <w:sz w:val="24"/>
          <w:szCs w:val="24"/>
        </w:rPr>
      </w:pPr>
      <w:r w:rsidRPr="00AC2206">
        <w:rPr>
          <w:rFonts w:ascii="Arial" w:eastAsia="Times New Roman" w:hAnsi="Arial" w:cs="Arial"/>
          <w:b/>
          <w:bCs/>
          <w:sz w:val="24"/>
          <w:szCs w:val="24"/>
        </w:rPr>
        <w:t xml:space="preserve">Pokazatelj uspješnosti: </w:t>
      </w:r>
      <w:r w:rsidRPr="00AC2206">
        <w:rPr>
          <w:rFonts w:ascii="Arial" w:eastAsia="Times New Roman" w:hAnsi="Arial" w:cs="Arial"/>
          <w:bCs/>
          <w:sz w:val="24"/>
          <w:szCs w:val="24"/>
        </w:rPr>
        <w:t>nesmetano odvijanje odgojno - obrazovnog procesa sa zadržavanjem dostignutih standarda.</w:t>
      </w:r>
    </w:p>
    <w:p w14:paraId="0EAAF7A8" w14:textId="77777777" w:rsidR="00E541EE" w:rsidRPr="00AC2206" w:rsidRDefault="00E541EE" w:rsidP="00E541EE">
      <w:pPr>
        <w:jc w:val="both"/>
        <w:rPr>
          <w:rFonts w:ascii="Arial" w:eastAsia="Times New Roman" w:hAnsi="Arial" w:cs="Arial"/>
          <w:bCs/>
          <w:sz w:val="24"/>
          <w:szCs w:val="24"/>
        </w:rPr>
      </w:pPr>
    </w:p>
    <w:p w14:paraId="4FEBA5C6"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AC2206">
        <w:rPr>
          <w:rFonts w:ascii="Arial" w:eastAsia="Times New Roman" w:hAnsi="Arial" w:cs="Arial"/>
          <w:b/>
          <w:bCs/>
          <w:sz w:val="24"/>
          <w:szCs w:val="24"/>
        </w:rPr>
        <w:t>A 103610: Školski logoped = 3</w:t>
      </w:r>
      <w:r>
        <w:rPr>
          <w:rFonts w:ascii="Arial" w:eastAsia="Times New Roman" w:hAnsi="Arial" w:cs="Arial"/>
          <w:b/>
          <w:bCs/>
          <w:sz w:val="24"/>
          <w:szCs w:val="24"/>
        </w:rPr>
        <w:t>4</w:t>
      </w:r>
      <w:r w:rsidRPr="00AC2206">
        <w:rPr>
          <w:rFonts w:ascii="Arial" w:eastAsia="Times New Roman" w:hAnsi="Arial" w:cs="Arial"/>
          <w:b/>
          <w:bCs/>
          <w:sz w:val="24"/>
          <w:szCs w:val="24"/>
        </w:rPr>
        <w:t>.</w:t>
      </w:r>
      <w:r>
        <w:rPr>
          <w:rFonts w:ascii="Arial" w:eastAsia="Times New Roman" w:hAnsi="Arial" w:cs="Arial"/>
          <w:b/>
          <w:bCs/>
          <w:sz w:val="24"/>
          <w:szCs w:val="24"/>
        </w:rPr>
        <w:t>50</w:t>
      </w:r>
      <w:r w:rsidRPr="00AC2206">
        <w:rPr>
          <w:rFonts w:ascii="Arial" w:eastAsia="Times New Roman" w:hAnsi="Arial" w:cs="Arial"/>
          <w:b/>
          <w:bCs/>
          <w:sz w:val="24"/>
          <w:szCs w:val="24"/>
        </w:rPr>
        <w:t>0,00 EUR</w:t>
      </w:r>
    </w:p>
    <w:p w14:paraId="1E436A2F"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Zakonska osnova</w:t>
      </w:r>
      <w:r w:rsidRPr="00AC2206">
        <w:rPr>
          <w:rFonts w:ascii="Arial" w:eastAsia="Times New Roman" w:hAnsi="Arial" w:cs="Arial"/>
          <w:bCs/>
          <w:sz w:val="24"/>
          <w:szCs w:val="24"/>
        </w:rPr>
        <w:t>: Zakon o radu,</w:t>
      </w:r>
      <w:r w:rsidRPr="00AC2206">
        <w:rPr>
          <w:rFonts w:ascii="Arial" w:eastAsia="Times New Roman" w:hAnsi="Arial" w:cs="Arial"/>
          <w:sz w:val="24"/>
          <w:szCs w:val="24"/>
        </w:rPr>
        <w:t xml:space="preserve"> Zakon o odgoju i obrazovanju u osnovnoj i srednjoj školi, Državni pedagoški standard osnovnoškolskog sustava odgoja i obrazovanja.</w:t>
      </w:r>
    </w:p>
    <w:p w14:paraId="1B4D4AF8" w14:textId="77777777" w:rsidR="00E541EE" w:rsidRPr="00AC2206" w:rsidRDefault="00E541EE" w:rsidP="00E541EE">
      <w:pPr>
        <w:jc w:val="both"/>
        <w:rPr>
          <w:rFonts w:ascii="Arial" w:eastAsia="Times New Roman" w:hAnsi="Arial" w:cs="Arial"/>
          <w:bCs/>
          <w:sz w:val="24"/>
          <w:szCs w:val="24"/>
        </w:rPr>
      </w:pPr>
      <w:r w:rsidRPr="00AC2206">
        <w:rPr>
          <w:rFonts w:ascii="Arial" w:eastAsia="Times New Roman" w:hAnsi="Arial" w:cs="Arial"/>
          <w:b/>
          <w:sz w:val="24"/>
          <w:szCs w:val="24"/>
        </w:rPr>
        <w:t>Opis:</w:t>
      </w:r>
      <w:r w:rsidRPr="00AC2206">
        <w:rPr>
          <w:rFonts w:ascii="Arial" w:eastAsia="Times New Roman" w:hAnsi="Arial" w:cs="Arial"/>
          <w:sz w:val="24"/>
          <w:szCs w:val="24"/>
        </w:rPr>
        <w:t xml:space="preserve"> </w:t>
      </w:r>
      <w:r w:rsidRPr="00AC2206">
        <w:rPr>
          <w:rFonts w:ascii="Arial" w:hAnsi="Arial" w:cs="Arial"/>
          <w:bCs/>
          <w:sz w:val="24"/>
          <w:szCs w:val="24"/>
        </w:rPr>
        <w:t>školski logoped zaposlen je na puno radno vrijeme s ugovorom o radu za potrebe svih učenika osnovnoškolskog obrazovanja u Gradu Rovinju. U 202</w:t>
      </w:r>
      <w:r>
        <w:rPr>
          <w:rFonts w:ascii="Arial" w:hAnsi="Arial" w:cs="Arial"/>
          <w:bCs/>
          <w:sz w:val="24"/>
          <w:szCs w:val="24"/>
        </w:rPr>
        <w:t>6</w:t>
      </w:r>
      <w:r w:rsidRPr="00AC2206">
        <w:rPr>
          <w:rFonts w:ascii="Arial" w:hAnsi="Arial" w:cs="Arial"/>
          <w:bCs/>
          <w:sz w:val="24"/>
          <w:szCs w:val="24"/>
        </w:rPr>
        <w:t xml:space="preserve">. godini potrebna su sredstva  u iznosu od </w:t>
      </w:r>
      <w:r>
        <w:rPr>
          <w:rFonts w:ascii="Arial" w:hAnsi="Arial" w:cs="Arial"/>
          <w:bCs/>
          <w:sz w:val="24"/>
          <w:szCs w:val="24"/>
        </w:rPr>
        <w:t>34</w:t>
      </w:r>
      <w:r w:rsidRPr="00AC2206">
        <w:rPr>
          <w:rFonts w:ascii="Arial" w:hAnsi="Arial" w:cs="Arial"/>
          <w:bCs/>
          <w:sz w:val="24"/>
          <w:szCs w:val="24"/>
        </w:rPr>
        <w:t>.</w:t>
      </w:r>
      <w:r>
        <w:rPr>
          <w:rFonts w:ascii="Arial" w:hAnsi="Arial" w:cs="Arial"/>
          <w:bCs/>
          <w:sz w:val="24"/>
          <w:szCs w:val="24"/>
        </w:rPr>
        <w:t>500</w:t>
      </w:r>
      <w:r w:rsidRPr="00AC2206">
        <w:rPr>
          <w:rFonts w:ascii="Arial" w:hAnsi="Arial" w:cs="Arial"/>
          <w:bCs/>
          <w:sz w:val="24"/>
          <w:szCs w:val="24"/>
        </w:rPr>
        <w:t xml:space="preserve">,00 </w:t>
      </w:r>
      <w:r>
        <w:rPr>
          <w:rFonts w:ascii="Arial" w:hAnsi="Arial" w:cs="Arial"/>
          <w:bCs/>
          <w:sz w:val="24"/>
          <w:szCs w:val="24"/>
        </w:rPr>
        <w:t>eura</w:t>
      </w:r>
      <w:r w:rsidRPr="00AC2206">
        <w:rPr>
          <w:rFonts w:ascii="Arial" w:hAnsi="Arial" w:cs="Arial"/>
          <w:bCs/>
          <w:sz w:val="24"/>
          <w:szCs w:val="24"/>
        </w:rPr>
        <w:t xml:space="preserve"> za podmirenje plaća i doprinosa na plaću te  za ostale rashode za zaposlenike (regres i božićnica). </w:t>
      </w:r>
    </w:p>
    <w:p w14:paraId="7F41C0EA" w14:textId="77777777" w:rsidR="00E541EE" w:rsidRPr="00AC2206" w:rsidRDefault="00E541EE" w:rsidP="00E541EE">
      <w:pPr>
        <w:jc w:val="both"/>
        <w:rPr>
          <w:rFonts w:ascii="Arial" w:eastAsia="Times New Roman" w:hAnsi="Arial" w:cs="Arial"/>
          <w:b/>
          <w:sz w:val="24"/>
          <w:szCs w:val="24"/>
        </w:rPr>
      </w:pPr>
      <w:r w:rsidRPr="00AC2206">
        <w:rPr>
          <w:rFonts w:ascii="Arial" w:eastAsia="Times New Roman" w:hAnsi="Arial" w:cs="Arial"/>
          <w:b/>
          <w:sz w:val="24"/>
          <w:szCs w:val="24"/>
        </w:rPr>
        <w:t xml:space="preserve">Opći cilj: </w:t>
      </w:r>
      <w:r w:rsidRPr="00AC2206">
        <w:rPr>
          <w:rFonts w:ascii="Arial" w:eastAsia="Times New Roman" w:hAnsi="Arial" w:cs="Arial"/>
          <w:sz w:val="24"/>
          <w:szCs w:val="24"/>
        </w:rPr>
        <w:t>osiguravanje dodatnog standarda u osnovnoškolskom obrazovanju kroz dodatno zapošljavanje stručnih suradnika.</w:t>
      </w:r>
    </w:p>
    <w:p w14:paraId="1892D363" w14:textId="77777777" w:rsidR="00E541EE" w:rsidRPr="00AC2206" w:rsidRDefault="00E541EE" w:rsidP="00E541EE">
      <w:pPr>
        <w:jc w:val="both"/>
        <w:rPr>
          <w:rFonts w:ascii="Arial" w:eastAsia="Times New Roman" w:hAnsi="Arial" w:cs="Arial"/>
          <w:bCs/>
          <w:sz w:val="24"/>
          <w:szCs w:val="24"/>
        </w:rPr>
      </w:pPr>
      <w:r w:rsidRPr="00AC2206">
        <w:rPr>
          <w:rFonts w:ascii="Arial" w:eastAsia="Times New Roman" w:hAnsi="Arial" w:cs="Arial"/>
          <w:b/>
          <w:bCs/>
          <w:sz w:val="24"/>
          <w:szCs w:val="24"/>
        </w:rPr>
        <w:t xml:space="preserve">Pokazatelj uspješnosti: </w:t>
      </w:r>
      <w:r w:rsidRPr="00AC2206">
        <w:rPr>
          <w:rFonts w:ascii="Arial" w:eastAsia="Times New Roman" w:hAnsi="Arial" w:cs="Arial"/>
          <w:bCs/>
          <w:sz w:val="24"/>
          <w:szCs w:val="24"/>
        </w:rPr>
        <w:t>nesmetano odvijanje odgojno-obrazovnog procesa sa zadržavanjem dostignutih standarda/ obuhvat učenika te praćenje pokazatelja.</w:t>
      </w:r>
    </w:p>
    <w:p w14:paraId="53C4328A" w14:textId="77777777" w:rsidR="00E541EE" w:rsidRPr="00AC2206" w:rsidRDefault="00E541EE" w:rsidP="00E541EE">
      <w:pPr>
        <w:jc w:val="both"/>
        <w:rPr>
          <w:rFonts w:ascii="Arial" w:eastAsia="Times New Roman" w:hAnsi="Arial" w:cs="Arial"/>
          <w:bCs/>
          <w:sz w:val="24"/>
          <w:szCs w:val="24"/>
        </w:rPr>
      </w:pPr>
    </w:p>
    <w:p w14:paraId="28D3AD1A"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AC2206">
        <w:rPr>
          <w:rFonts w:ascii="Arial" w:eastAsia="Times New Roman" w:hAnsi="Arial" w:cs="Arial"/>
          <w:b/>
          <w:bCs/>
          <w:sz w:val="24"/>
          <w:szCs w:val="24"/>
        </w:rPr>
        <w:t>A 103612: Školski odbor = 2.700,00 EUR</w:t>
      </w:r>
    </w:p>
    <w:p w14:paraId="5BA49789"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sz w:val="24"/>
          <w:szCs w:val="24"/>
        </w:rPr>
        <w:t xml:space="preserve">Zakonska osnova: </w:t>
      </w:r>
      <w:r w:rsidRPr="00AC2206">
        <w:rPr>
          <w:rFonts w:ascii="Arial" w:eastAsia="Times New Roman" w:hAnsi="Arial" w:cs="Arial"/>
          <w:sz w:val="24"/>
          <w:szCs w:val="24"/>
        </w:rPr>
        <w:t>Zakon o odgoju i obrazovanju u osnovnoj i srednjoj školi.</w:t>
      </w:r>
    </w:p>
    <w:p w14:paraId="54563B7C"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sz w:val="24"/>
          <w:szCs w:val="24"/>
        </w:rPr>
        <w:t>Opis:</w:t>
      </w:r>
      <w:r w:rsidRPr="00AC2206">
        <w:rPr>
          <w:rFonts w:ascii="Arial" w:eastAsia="Times New Roman" w:hAnsi="Arial" w:cs="Arial"/>
          <w:sz w:val="24"/>
          <w:szCs w:val="24"/>
        </w:rPr>
        <w:t xml:space="preserve"> planiranim sredstvima osigurava se isplata naknade članovima Školskih odbora prema održanim sjednicama i prisustvu članova.</w:t>
      </w:r>
    </w:p>
    <w:p w14:paraId="0B34E04A"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sz w:val="24"/>
          <w:szCs w:val="24"/>
        </w:rPr>
        <w:t xml:space="preserve">Opći cilj: </w:t>
      </w:r>
      <w:r w:rsidRPr="00AC2206">
        <w:rPr>
          <w:rFonts w:ascii="Arial" w:eastAsia="Times New Roman" w:hAnsi="Arial" w:cs="Arial"/>
          <w:sz w:val="24"/>
          <w:szCs w:val="24"/>
        </w:rPr>
        <w:t>upravljanje školskom ustanovom.</w:t>
      </w:r>
    </w:p>
    <w:p w14:paraId="068D1B01" w14:textId="77777777" w:rsidR="00E541EE" w:rsidRPr="00AC2206" w:rsidRDefault="00E541EE" w:rsidP="00E541EE">
      <w:pPr>
        <w:jc w:val="both"/>
        <w:rPr>
          <w:rFonts w:ascii="Arial" w:eastAsia="Times New Roman" w:hAnsi="Arial" w:cs="Arial"/>
          <w:bCs/>
          <w:sz w:val="24"/>
          <w:szCs w:val="24"/>
        </w:rPr>
      </w:pPr>
      <w:r w:rsidRPr="00AC2206">
        <w:rPr>
          <w:rFonts w:ascii="Arial" w:eastAsia="Times New Roman" w:hAnsi="Arial" w:cs="Arial"/>
          <w:b/>
          <w:bCs/>
          <w:sz w:val="24"/>
          <w:szCs w:val="24"/>
        </w:rPr>
        <w:t>Pokazatelj uspješnosti:</w:t>
      </w:r>
      <w:r w:rsidRPr="00AC2206">
        <w:rPr>
          <w:rFonts w:ascii="Arial" w:eastAsia="Times New Roman" w:hAnsi="Arial" w:cs="Arial"/>
          <w:bCs/>
          <w:sz w:val="24"/>
          <w:szCs w:val="24"/>
        </w:rPr>
        <w:t xml:space="preserve"> redovno održavanje sjednica školskog odbora i izvršavanje plana rada.</w:t>
      </w:r>
    </w:p>
    <w:p w14:paraId="6E51979A" w14:textId="77777777" w:rsidR="00E541EE" w:rsidRPr="00AC2206" w:rsidRDefault="00E541EE" w:rsidP="00E541EE">
      <w:pPr>
        <w:jc w:val="both"/>
        <w:rPr>
          <w:rFonts w:ascii="Arial" w:eastAsia="Times New Roman" w:hAnsi="Arial" w:cs="Arial"/>
          <w:bCs/>
          <w:sz w:val="24"/>
          <w:szCs w:val="24"/>
        </w:rPr>
      </w:pPr>
    </w:p>
    <w:p w14:paraId="4B31EF86"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AC2206">
        <w:rPr>
          <w:rFonts w:ascii="Arial" w:eastAsia="Times New Roman" w:hAnsi="Arial" w:cs="Arial"/>
          <w:b/>
          <w:bCs/>
          <w:sz w:val="24"/>
          <w:szCs w:val="24"/>
        </w:rPr>
        <w:t xml:space="preserve">A 103613: Programi i aktivnosti škole = </w:t>
      </w:r>
      <w:r>
        <w:rPr>
          <w:rFonts w:ascii="Arial" w:eastAsia="Times New Roman" w:hAnsi="Arial" w:cs="Arial"/>
          <w:b/>
          <w:bCs/>
          <w:sz w:val="24"/>
          <w:szCs w:val="24"/>
        </w:rPr>
        <w:t>66.600</w:t>
      </w:r>
      <w:r w:rsidRPr="00AC2206">
        <w:rPr>
          <w:rFonts w:ascii="Arial" w:eastAsia="Times New Roman" w:hAnsi="Arial" w:cs="Arial"/>
          <w:b/>
          <w:bCs/>
          <w:sz w:val="24"/>
          <w:szCs w:val="24"/>
        </w:rPr>
        <w:t>,00 EUR</w:t>
      </w:r>
    </w:p>
    <w:p w14:paraId="55BEB5D4"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Zakonska osnova</w:t>
      </w:r>
      <w:r w:rsidRPr="00AC2206">
        <w:rPr>
          <w:rFonts w:ascii="Arial" w:eastAsia="Times New Roman" w:hAnsi="Arial" w:cs="Arial"/>
          <w:bCs/>
          <w:sz w:val="24"/>
          <w:szCs w:val="24"/>
        </w:rPr>
        <w:t xml:space="preserve">: Zakon o odgoju i obrazovanju u osnovnoj i srednjoj školi, Državni pedagoški standard osnovnoškolskog sustava odgoja i obrazovanja,  </w:t>
      </w:r>
      <w:r w:rsidRPr="00AC2206">
        <w:rPr>
          <w:rFonts w:ascii="Arial" w:eastAsia="Times New Roman" w:hAnsi="Arial" w:cs="Arial"/>
          <w:sz w:val="24"/>
          <w:szCs w:val="24"/>
        </w:rPr>
        <w:t>Zakon o ustanovama, Zakon o umjetničkom obrazovanju.</w:t>
      </w:r>
    </w:p>
    <w:p w14:paraId="1052712B" w14:textId="77777777" w:rsidR="00E541EE" w:rsidRPr="00AC2206" w:rsidRDefault="00E541EE" w:rsidP="00E541EE">
      <w:pPr>
        <w:jc w:val="both"/>
        <w:rPr>
          <w:rFonts w:ascii="Arial" w:hAnsi="Arial" w:cs="Arial"/>
          <w:sz w:val="24"/>
          <w:szCs w:val="24"/>
        </w:rPr>
      </w:pPr>
      <w:r w:rsidRPr="00AC2206">
        <w:rPr>
          <w:rFonts w:ascii="Arial" w:eastAsia="Times New Roman" w:hAnsi="Arial" w:cs="Arial"/>
          <w:b/>
          <w:sz w:val="24"/>
          <w:szCs w:val="24"/>
        </w:rPr>
        <w:t>Opis:</w:t>
      </w:r>
      <w:r w:rsidRPr="00AC2206">
        <w:rPr>
          <w:rFonts w:ascii="Arial" w:eastAsia="Times New Roman" w:hAnsi="Arial" w:cs="Arial"/>
          <w:sz w:val="24"/>
          <w:szCs w:val="24"/>
        </w:rPr>
        <w:t xml:space="preserve"> </w:t>
      </w:r>
      <w:r w:rsidRPr="00AC2206">
        <w:rPr>
          <w:rFonts w:ascii="Arial" w:hAnsi="Arial" w:cs="Arial"/>
          <w:sz w:val="24"/>
          <w:szCs w:val="24"/>
        </w:rPr>
        <w:t>od planiranih programa i aktivnosti škole u 2023. godini planiramo nastaviti sa već poznatim programima i aktivnostima :</w:t>
      </w:r>
    </w:p>
    <w:p w14:paraId="45CC285B" w14:textId="77777777" w:rsidR="00E541EE" w:rsidRPr="00AC2206" w:rsidRDefault="00E541EE" w:rsidP="00E541EE">
      <w:pPr>
        <w:jc w:val="both"/>
        <w:rPr>
          <w:rFonts w:ascii="Arial" w:hAnsi="Arial" w:cs="Arial"/>
          <w:sz w:val="24"/>
          <w:szCs w:val="24"/>
        </w:rPr>
      </w:pPr>
      <w:r w:rsidRPr="00AC2206">
        <w:rPr>
          <w:rFonts w:ascii="Arial" w:hAnsi="Arial" w:cs="Arial"/>
          <w:sz w:val="24"/>
          <w:szCs w:val="24"/>
        </w:rPr>
        <w:t xml:space="preserve">Iz izvora 111 </w:t>
      </w:r>
      <w:r>
        <w:rPr>
          <w:rFonts w:ascii="Arial" w:hAnsi="Arial" w:cs="Arial"/>
          <w:sz w:val="24"/>
          <w:szCs w:val="24"/>
        </w:rPr>
        <w:t>-</w:t>
      </w:r>
      <w:r w:rsidRPr="00AC2206">
        <w:rPr>
          <w:rFonts w:ascii="Arial" w:hAnsi="Arial" w:cs="Arial"/>
          <w:sz w:val="24"/>
          <w:szCs w:val="24"/>
        </w:rPr>
        <w:t xml:space="preserve"> 5.000,00 </w:t>
      </w:r>
      <w:r>
        <w:rPr>
          <w:rFonts w:ascii="Arial" w:hAnsi="Arial" w:cs="Arial"/>
          <w:sz w:val="24"/>
          <w:szCs w:val="24"/>
        </w:rPr>
        <w:t>eura</w:t>
      </w:r>
    </w:p>
    <w:p w14:paraId="44350B91" w14:textId="77777777" w:rsidR="00E541EE" w:rsidRPr="00AC2206" w:rsidRDefault="00E541EE" w:rsidP="00E541EE">
      <w:pPr>
        <w:jc w:val="both"/>
        <w:rPr>
          <w:rFonts w:ascii="Arial" w:hAnsi="Arial" w:cs="Arial"/>
          <w:sz w:val="24"/>
          <w:szCs w:val="24"/>
        </w:rPr>
      </w:pPr>
    </w:p>
    <w:p w14:paraId="420991B7" w14:textId="77777777" w:rsidR="00E541EE" w:rsidRPr="00AC2206" w:rsidRDefault="00E541EE" w:rsidP="00E541EE">
      <w:pPr>
        <w:numPr>
          <w:ilvl w:val="0"/>
          <w:numId w:val="13"/>
        </w:numPr>
        <w:ind w:left="426" w:hanging="357"/>
        <w:jc w:val="both"/>
        <w:rPr>
          <w:rFonts w:ascii="Arial" w:hAnsi="Arial" w:cs="Arial"/>
          <w:sz w:val="24"/>
          <w:szCs w:val="24"/>
        </w:rPr>
      </w:pPr>
      <w:r>
        <w:rPr>
          <w:rFonts w:ascii="Arial" w:hAnsi="Arial" w:cs="Arial"/>
          <w:sz w:val="24"/>
          <w:szCs w:val="24"/>
        </w:rPr>
        <w:t>Š</w:t>
      </w:r>
      <w:r w:rsidRPr="00AC2206">
        <w:rPr>
          <w:rFonts w:ascii="Arial" w:hAnsi="Arial" w:cs="Arial"/>
          <w:sz w:val="24"/>
          <w:szCs w:val="24"/>
        </w:rPr>
        <w:t>kola je školske godine 2005./06. pokrenula dječji školski festival Nazorov mikrofon budući da se godinama u školi posebno njeguje glazbeno stvaralaštvo. Ove godine organizira se 1</w:t>
      </w:r>
      <w:r>
        <w:rPr>
          <w:rFonts w:ascii="Arial" w:hAnsi="Arial" w:cs="Arial"/>
          <w:sz w:val="24"/>
          <w:szCs w:val="24"/>
        </w:rPr>
        <w:t>9</w:t>
      </w:r>
      <w:r w:rsidRPr="00AC2206">
        <w:rPr>
          <w:rFonts w:ascii="Arial" w:hAnsi="Arial" w:cs="Arial"/>
          <w:sz w:val="24"/>
          <w:szCs w:val="24"/>
        </w:rPr>
        <w:t>. Nazorov mikrofon. Na Nazorovom mikrofonu sudjeluje svake godine do 15-ak učenika koji izvode svoje interpretacije pjesama. Izvođenje pjesama prati povjerenstvo sastavljeno od glazbenih stručnjaka koji prema zadanim kriterijima ocjenjuju svaku pojedinu izvedbe i izvođač s najvećim brojem njihovih glasova bude proglašen pobjednikom. Osim nagrade stručnog povjerenstva, nagrađujemo i najboljeg izvođača prema mišljenju publike, a njega određuje najduži pljesak.</w:t>
      </w:r>
    </w:p>
    <w:p w14:paraId="042803BC" w14:textId="77777777" w:rsidR="00E541EE" w:rsidRPr="00AC2206" w:rsidRDefault="00E541EE" w:rsidP="00E541EE">
      <w:pPr>
        <w:ind w:left="426"/>
        <w:jc w:val="both"/>
        <w:rPr>
          <w:rFonts w:ascii="Arial" w:hAnsi="Arial" w:cs="Arial"/>
          <w:sz w:val="24"/>
          <w:szCs w:val="24"/>
        </w:rPr>
      </w:pPr>
      <w:r w:rsidRPr="00AC2206">
        <w:rPr>
          <w:rFonts w:ascii="Arial" w:hAnsi="Arial" w:cs="Arial"/>
          <w:sz w:val="24"/>
          <w:szCs w:val="24"/>
        </w:rPr>
        <w:t>Tijekom mjeseca lipnja škola planira izložiti radove svojih učenika s određenom temom kao i proteklih godina. Izložba je namijenjena učenicima,  roditeljima i svim zainteresiranim posjetiteljima.</w:t>
      </w:r>
    </w:p>
    <w:p w14:paraId="0E23E624" w14:textId="77777777" w:rsidR="00E541EE" w:rsidRDefault="00E541EE" w:rsidP="00E541EE">
      <w:pPr>
        <w:ind w:left="426" w:firstLine="6"/>
        <w:jc w:val="both"/>
        <w:rPr>
          <w:rFonts w:ascii="Arial" w:hAnsi="Arial" w:cs="Arial"/>
          <w:sz w:val="24"/>
          <w:szCs w:val="24"/>
        </w:rPr>
      </w:pPr>
      <w:r w:rsidRPr="00AC2206">
        <w:rPr>
          <w:rFonts w:ascii="Arial" w:hAnsi="Arial" w:cs="Arial"/>
          <w:sz w:val="24"/>
          <w:szCs w:val="24"/>
        </w:rPr>
        <w:t xml:space="preserve">Za realizaciju ovih programa planirana  su sredstva u iznosu od 300,00 </w:t>
      </w:r>
      <w:r>
        <w:rPr>
          <w:rFonts w:ascii="Arial" w:hAnsi="Arial" w:cs="Arial"/>
          <w:sz w:val="24"/>
          <w:szCs w:val="24"/>
        </w:rPr>
        <w:t>eura</w:t>
      </w:r>
      <w:r w:rsidRPr="00AC2206">
        <w:rPr>
          <w:rFonts w:ascii="Arial" w:hAnsi="Arial" w:cs="Arial"/>
          <w:sz w:val="24"/>
          <w:szCs w:val="24"/>
        </w:rPr>
        <w:t xml:space="preserve"> za potrebe nabavke materijala za uređenje scene i trošak nagrađivanje pobjednika.</w:t>
      </w:r>
    </w:p>
    <w:p w14:paraId="1240B851" w14:textId="77777777" w:rsidR="00E541EE" w:rsidRPr="00AC2206" w:rsidRDefault="00E541EE" w:rsidP="00E541EE">
      <w:pPr>
        <w:ind w:left="426" w:firstLine="6"/>
        <w:jc w:val="both"/>
        <w:rPr>
          <w:rFonts w:ascii="Arial" w:hAnsi="Arial" w:cs="Arial"/>
          <w:sz w:val="24"/>
          <w:szCs w:val="24"/>
        </w:rPr>
      </w:pPr>
      <w:r w:rsidRPr="00AC2206">
        <w:rPr>
          <w:rFonts w:ascii="Arial" w:hAnsi="Arial" w:cs="Arial"/>
          <w:sz w:val="24"/>
          <w:szCs w:val="24"/>
        </w:rPr>
        <w:t xml:space="preserve"> </w:t>
      </w:r>
    </w:p>
    <w:p w14:paraId="57EBA89B" w14:textId="77777777" w:rsidR="00E541EE" w:rsidRPr="00AC2206" w:rsidRDefault="00E541EE" w:rsidP="00E541EE">
      <w:pPr>
        <w:numPr>
          <w:ilvl w:val="0"/>
          <w:numId w:val="13"/>
        </w:numPr>
        <w:spacing w:before="40" w:after="160"/>
        <w:ind w:left="426"/>
        <w:jc w:val="both"/>
        <w:rPr>
          <w:rFonts w:ascii="Arial" w:hAnsi="Arial" w:cs="Arial"/>
          <w:bCs/>
          <w:sz w:val="24"/>
          <w:szCs w:val="24"/>
        </w:rPr>
      </w:pPr>
      <w:r w:rsidRPr="00AC2206">
        <w:rPr>
          <w:rFonts w:ascii="Arial" w:hAnsi="Arial" w:cs="Arial"/>
          <w:sz w:val="24"/>
          <w:szCs w:val="24"/>
        </w:rPr>
        <w:t>U  školi</w:t>
      </w:r>
      <w:r>
        <w:rPr>
          <w:rFonts w:ascii="Arial" w:hAnsi="Arial" w:cs="Arial"/>
          <w:sz w:val="24"/>
          <w:szCs w:val="24"/>
        </w:rPr>
        <w:t xml:space="preserve"> se</w:t>
      </w:r>
      <w:r w:rsidRPr="00AC2206">
        <w:rPr>
          <w:rFonts w:ascii="Arial" w:hAnsi="Arial" w:cs="Arial"/>
          <w:sz w:val="24"/>
          <w:szCs w:val="24"/>
        </w:rPr>
        <w:t xml:space="preserve"> tijekom svake školske godine organizira minimalno dva puta tijekom godine </w:t>
      </w:r>
      <w:r w:rsidRPr="00AC2206">
        <w:rPr>
          <w:rFonts w:ascii="Arial" w:hAnsi="Arial" w:cs="Arial"/>
          <w:bCs/>
          <w:sz w:val="24"/>
          <w:szCs w:val="24"/>
        </w:rPr>
        <w:t>izvanučioničk</w:t>
      </w:r>
      <w:r>
        <w:rPr>
          <w:rFonts w:ascii="Arial" w:hAnsi="Arial" w:cs="Arial"/>
          <w:bCs/>
          <w:sz w:val="24"/>
          <w:szCs w:val="24"/>
        </w:rPr>
        <w:t>a</w:t>
      </w:r>
      <w:r w:rsidRPr="00AC2206">
        <w:rPr>
          <w:rFonts w:ascii="Arial" w:hAnsi="Arial" w:cs="Arial"/>
          <w:bCs/>
          <w:sz w:val="24"/>
          <w:szCs w:val="24"/>
        </w:rPr>
        <w:t xml:space="preserve"> nastav</w:t>
      </w:r>
      <w:r>
        <w:rPr>
          <w:rFonts w:ascii="Arial" w:hAnsi="Arial" w:cs="Arial"/>
          <w:bCs/>
          <w:sz w:val="24"/>
          <w:szCs w:val="24"/>
        </w:rPr>
        <w:t>a</w:t>
      </w:r>
      <w:r w:rsidRPr="00AC2206">
        <w:rPr>
          <w:rFonts w:ascii="Arial" w:hAnsi="Arial" w:cs="Arial"/>
          <w:b/>
          <w:sz w:val="24"/>
          <w:szCs w:val="24"/>
        </w:rPr>
        <w:t xml:space="preserve"> </w:t>
      </w:r>
      <w:r w:rsidRPr="00AC2206">
        <w:rPr>
          <w:rFonts w:ascii="Arial" w:hAnsi="Arial" w:cs="Arial"/>
          <w:sz w:val="24"/>
          <w:szCs w:val="24"/>
        </w:rPr>
        <w:t>za</w:t>
      </w:r>
      <w:r w:rsidRPr="00AC2206">
        <w:rPr>
          <w:rFonts w:ascii="Arial" w:hAnsi="Arial" w:cs="Arial"/>
          <w:b/>
          <w:sz w:val="24"/>
          <w:szCs w:val="24"/>
        </w:rPr>
        <w:t xml:space="preserve"> </w:t>
      </w:r>
      <w:r w:rsidRPr="00AC2206">
        <w:rPr>
          <w:rFonts w:ascii="Arial" w:hAnsi="Arial" w:cs="Arial"/>
          <w:sz w:val="24"/>
          <w:szCs w:val="24"/>
        </w:rPr>
        <w:t xml:space="preserve">svaki razredni odjel za učenike od  prvog do osmog razreda. Budući da je izvanučionička nastava sastavni dio plana i programa svakog razrednog odjela i da se ona planira u skladu s istim, postaje obveza svakog učenika te tako škola  planirane aktivnosti nastoji financirati kako bi to bio što manji trošak učenicima odnosno roditeljima te kako ni jedan učenik ne bi izostao s ovakvog oblika nastava zbog financijskog razloga. Po razrednom odjelu OŠ planiramo </w:t>
      </w:r>
      <w:r>
        <w:rPr>
          <w:rFonts w:ascii="Arial" w:hAnsi="Arial" w:cs="Arial"/>
          <w:sz w:val="24"/>
          <w:szCs w:val="24"/>
        </w:rPr>
        <w:t>3</w:t>
      </w:r>
      <w:r w:rsidRPr="00AC2206">
        <w:rPr>
          <w:rFonts w:ascii="Arial" w:hAnsi="Arial" w:cs="Arial"/>
          <w:sz w:val="24"/>
          <w:szCs w:val="24"/>
        </w:rPr>
        <w:t xml:space="preserve">00,00 </w:t>
      </w:r>
      <w:r>
        <w:rPr>
          <w:rFonts w:ascii="Arial" w:hAnsi="Arial" w:cs="Arial"/>
          <w:sz w:val="24"/>
          <w:szCs w:val="24"/>
        </w:rPr>
        <w:t>eura</w:t>
      </w:r>
      <w:r w:rsidRPr="00AC2206">
        <w:rPr>
          <w:rFonts w:ascii="Arial" w:hAnsi="Arial" w:cs="Arial"/>
          <w:sz w:val="24"/>
          <w:szCs w:val="24"/>
        </w:rPr>
        <w:t xml:space="preserve"> godišnje x 16 odjela. Kako ne bi utjecalo na realizaciju i kvalitetu izvođenja izvanučioničke nastave, školi je potrebno osigurati sredstva  u visini od </w:t>
      </w:r>
      <w:r>
        <w:rPr>
          <w:rFonts w:ascii="Arial" w:hAnsi="Arial" w:cs="Arial"/>
          <w:sz w:val="24"/>
          <w:szCs w:val="24"/>
        </w:rPr>
        <w:t>4</w:t>
      </w:r>
      <w:r w:rsidRPr="00AC2206">
        <w:rPr>
          <w:rFonts w:ascii="Arial" w:hAnsi="Arial" w:cs="Arial"/>
          <w:bCs/>
          <w:sz w:val="24"/>
          <w:szCs w:val="24"/>
        </w:rPr>
        <w:t>.</w:t>
      </w:r>
      <w:r>
        <w:rPr>
          <w:rFonts w:ascii="Arial" w:hAnsi="Arial" w:cs="Arial"/>
          <w:bCs/>
          <w:sz w:val="24"/>
          <w:szCs w:val="24"/>
        </w:rPr>
        <w:t>8</w:t>
      </w:r>
      <w:r w:rsidRPr="00AC2206">
        <w:rPr>
          <w:rFonts w:ascii="Arial" w:hAnsi="Arial" w:cs="Arial"/>
          <w:bCs/>
          <w:sz w:val="24"/>
          <w:szCs w:val="24"/>
        </w:rPr>
        <w:t xml:space="preserve">00,00 </w:t>
      </w:r>
      <w:r>
        <w:rPr>
          <w:rFonts w:ascii="Arial" w:hAnsi="Arial" w:cs="Arial"/>
          <w:bCs/>
          <w:sz w:val="24"/>
          <w:szCs w:val="24"/>
        </w:rPr>
        <w:t>eura</w:t>
      </w:r>
      <w:r w:rsidRPr="00AC2206">
        <w:rPr>
          <w:rFonts w:ascii="Arial" w:hAnsi="Arial" w:cs="Arial"/>
          <w:sz w:val="24"/>
          <w:szCs w:val="24"/>
        </w:rPr>
        <w:t xml:space="preserve"> za troškove prijevoza i dnevnica učitelja u pratnji.</w:t>
      </w:r>
    </w:p>
    <w:p w14:paraId="06B03075" w14:textId="77777777" w:rsidR="00E541EE" w:rsidRPr="00AC2206" w:rsidRDefault="00E541EE" w:rsidP="00E541EE">
      <w:pPr>
        <w:numPr>
          <w:ilvl w:val="0"/>
          <w:numId w:val="13"/>
        </w:numPr>
        <w:ind w:left="426" w:hanging="357"/>
        <w:jc w:val="both"/>
        <w:rPr>
          <w:rFonts w:ascii="Arial" w:hAnsi="Arial" w:cs="Arial"/>
          <w:sz w:val="24"/>
          <w:szCs w:val="24"/>
        </w:rPr>
      </w:pPr>
      <w:r w:rsidRPr="00AC2206">
        <w:rPr>
          <w:rFonts w:ascii="Arial" w:hAnsi="Arial" w:cs="Arial"/>
          <w:sz w:val="24"/>
          <w:szCs w:val="24"/>
        </w:rPr>
        <w:t>Kao i svake školske godine škola planira u 202</w:t>
      </w:r>
      <w:r>
        <w:rPr>
          <w:rFonts w:ascii="Arial" w:hAnsi="Arial" w:cs="Arial"/>
          <w:sz w:val="24"/>
          <w:szCs w:val="24"/>
        </w:rPr>
        <w:t>6</w:t>
      </w:r>
      <w:r w:rsidRPr="00AC2206">
        <w:rPr>
          <w:rFonts w:ascii="Arial" w:hAnsi="Arial" w:cs="Arial"/>
          <w:sz w:val="24"/>
          <w:szCs w:val="24"/>
        </w:rPr>
        <w:t xml:space="preserve">. godini tiskati dva broja školskog lista „Galeb“ i to na kraju prvog i na kraju drugog polugodišta. Naš školski list prati sva zbivanja u školi, stvara ga novinarska grupa, a uređuje školski knjižničar. Budući da je školski list pokazatelj kroz vrijeme što se sve u našoj školi događa, koje aktivnosti provodimo te tko sve sudjeluje u stvaranju našeg školskog života, smatramo da se ne bi smjelo ukinuti ovako vrijednu aktivnost koja poprima i povijesni značaj. Za buduće generacije školski list predstavlja odraz  povijesti kroz rovinjsko školstvo. </w:t>
      </w:r>
    </w:p>
    <w:p w14:paraId="303FAC6E" w14:textId="77777777" w:rsidR="00E541EE" w:rsidRPr="00AC2206" w:rsidRDefault="00E541EE" w:rsidP="00E541EE">
      <w:pPr>
        <w:ind w:left="426"/>
        <w:jc w:val="both"/>
        <w:rPr>
          <w:rFonts w:ascii="Arial" w:hAnsi="Arial" w:cs="Arial"/>
          <w:sz w:val="24"/>
          <w:szCs w:val="24"/>
        </w:rPr>
      </w:pPr>
      <w:r w:rsidRPr="00AC2206">
        <w:rPr>
          <w:rFonts w:ascii="Arial" w:hAnsi="Arial" w:cs="Arial"/>
          <w:sz w:val="24"/>
          <w:szCs w:val="24"/>
        </w:rPr>
        <w:t xml:space="preserve">Za tiskanje dva broja školskog lista planirano je da će biti potrebno 1.500,00 </w:t>
      </w:r>
      <w:r>
        <w:rPr>
          <w:rFonts w:ascii="Arial" w:hAnsi="Arial" w:cs="Arial"/>
          <w:sz w:val="24"/>
          <w:szCs w:val="24"/>
        </w:rPr>
        <w:t>eura</w:t>
      </w:r>
      <w:r w:rsidRPr="00AC2206">
        <w:rPr>
          <w:rFonts w:ascii="Arial" w:hAnsi="Arial" w:cs="Arial"/>
          <w:sz w:val="24"/>
          <w:szCs w:val="24"/>
        </w:rPr>
        <w:t xml:space="preserve"> za grafičke i tiskarske usluge. </w:t>
      </w:r>
    </w:p>
    <w:p w14:paraId="15C6CD15" w14:textId="77777777" w:rsidR="00E541EE" w:rsidRPr="00AC2206" w:rsidRDefault="00E541EE" w:rsidP="00E541EE">
      <w:pPr>
        <w:jc w:val="both"/>
        <w:rPr>
          <w:rFonts w:ascii="Arial" w:hAnsi="Arial" w:cs="Arial"/>
          <w:sz w:val="24"/>
          <w:szCs w:val="24"/>
        </w:rPr>
      </w:pPr>
      <w:r>
        <w:rPr>
          <w:rFonts w:ascii="Arial" w:hAnsi="Arial" w:cs="Arial"/>
          <w:sz w:val="24"/>
          <w:szCs w:val="24"/>
        </w:rPr>
        <w:t>V</w:t>
      </w:r>
      <w:r w:rsidRPr="00AC2206">
        <w:rPr>
          <w:rFonts w:ascii="Arial" w:hAnsi="Arial" w:cs="Arial"/>
          <w:sz w:val="24"/>
          <w:szCs w:val="24"/>
        </w:rPr>
        <w:t>lastitim prihodima (subvencija prehrane, najam prostora i ostali prihodi) i planiranim prenesenim viškom, kroz ovu aktivnost podmiriti će se troškovi za materijal, usluge i ostali nespomenuti rashodi poslovanja kao i dio financijskih rashoda u iznosu od 5</w:t>
      </w:r>
      <w:r>
        <w:rPr>
          <w:rFonts w:ascii="Arial" w:hAnsi="Arial" w:cs="Arial"/>
          <w:sz w:val="24"/>
          <w:szCs w:val="24"/>
        </w:rPr>
        <w:t>2</w:t>
      </w:r>
      <w:r w:rsidRPr="00AC2206">
        <w:rPr>
          <w:rFonts w:ascii="Arial" w:hAnsi="Arial" w:cs="Arial"/>
          <w:sz w:val="24"/>
          <w:szCs w:val="24"/>
        </w:rPr>
        <w:t>.</w:t>
      </w:r>
      <w:r>
        <w:rPr>
          <w:rFonts w:ascii="Arial" w:hAnsi="Arial" w:cs="Arial"/>
          <w:sz w:val="24"/>
          <w:szCs w:val="24"/>
        </w:rPr>
        <w:t>4</w:t>
      </w:r>
      <w:r w:rsidRPr="00AC2206">
        <w:rPr>
          <w:rFonts w:ascii="Arial" w:hAnsi="Arial" w:cs="Arial"/>
          <w:sz w:val="24"/>
          <w:szCs w:val="24"/>
        </w:rPr>
        <w:t xml:space="preserve">00,00 </w:t>
      </w:r>
      <w:r>
        <w:rPr>
          <w:rFonts w:ascii="Arial" w:hAnsi="Arial" w:cs="Arial"/>
          <w:sz w:val="24"/>
          <w:szCs w:val="24"/>
        </w:rPr>
        <w:t>eura</w:t>
      </w:r>
      <w:r w:rsidRPr="00AC2206">
        <w:rPr>
          <w:rFonts w:ascii="Arial" w:hAnsi="Arial" w:cs="Arial"/>
          <w:sz w:val="24"/>
          <w:szCs w:val="24"/>
        </w:rPr>
        <w:t>. Kroz 202</w:t>
      </w:r>
      <w:r>
        <w:rPr>
          <w:rFonts w:ascii="Arial" w:hAnsi="Arial" w:cs="Arial"/>
          <w:sz w:val="24"/>
          <w:szCs w:val="24"/>
        </w:rPr>
        <w:t>6</w:t>
      </w:r>
      <w:r w:rsidRPr="00AC2206">
        <w:rPr>
          <w:rFonts w:ascii="Arial" w:hAnsi="Arial" w:cs="Arial"/>
          <w:sz w:val="24"/>
          <w:szCs w:val="24"/>
        </w:rPr>
        <w:t>. godinu planira se nastaviti sa stručnim usavršavanjem učitelja i stručnih suradnika radi što uspješnijeg obavljanja posla.</w:t>
      </w:r>
    </w:p>
    <w:p w14:paraId="06B65F4C" w14:textId="77777777" w:rsidR="00E541EE" w:rsidRPr="00AC2206" w:rsidRDefault="00E541EE" w:rsidP="00E541EE">
      <w:pPr>
        <w:jc w:val="both"/>
        <w:rPr>
          <w:rFonts w:ascii="Arial" w:hAnsi="Arial" w:cs="Arial"/>
          <w:sz w:val="24"/>
          <w:szCs w:val="24"/>
        </w:rPr>
      </w:pPr>
      <w:r w:rsidRPr="00AC2206">
        <w:rPr>
          <w:rFonts w:ascii="Arial" w:hAnsi="Arial" w:cs="Arial"/>
          <w:sz w:val="24"/>
          <w:szCs w:val="24"/>
        </w:rPr>
        <w:t>Sredstvima Istarske županije podmiriti će se troškovi službenih putovanja za mentore učenicima koji budu pozvani na županijska natjecanja kao i troškove prijevoza na ista te troškove materijala u iznosu od 2.</w:t>
      </w:r>
      <w:r>
        <w:rPr>
          <w:rFonts w:ascii="Arial" w:hAnsi="Arial" w:cs="Arial"/>
          <w:sz w:val="24"/>
          <w:szCs w:val="24"/>
        </w:rPr>
        <w:t>350</w:t>
      </w:r>
      <w:r w:rsidRPr="00AC2206">
        <w:rPr>
          <w:rFonts w:ascii="Arial" w:hAnsi="Arial" w:cs="Arial"/>
          <w:sz w:val="24"/>
          <w:szCs w:val="24"/>
        </w:rPr>
        <w:t xml:space="preserve">,00 </w:t>
      </w:r>
      <w:r>
        <w:rPr>
          <w:rFonts w:ascii="Arial" w:hAnsi="Arial" w:cs="Arial"/>
          <w:sz w:val="24"/>
          <w:szCs w:val="24"/>
        </w:rPr>
        <w:t>eura</w:t>
      </w:r>
      <w:r w:rsidRPr="00AC2206">
        <w:rPr>
          <w:rFonts w:ascii="Arial" w:hAnsi="Arial" w:cs="Arial"/>
          <w:sz w:val="24"/>
          <w:szCs w:val="24"/>
        </w:rPr>
        <w:t>. Planira se da će Škola u 202</w:t>
      </w:r>
      <w:r>
        <w:rPr>
          <w:rFonts w:ascii="Arial" w:hAnsi="Arial" w:cs="Arial"/>
          <w:sz w:val="24"/>
          <w:szCs w:val="24"/>
        </w:rPr>
        <w:t>6</w:t>
      </w:r>
      <w:r w:rsidRPr="00AC2206">
        <w:rPr>
          <w:rFonts w:ascii="Arial" w:hAnsi="Arial" w:cs="Arial"/>
          <w:sz w:val="24"/>
          <w:szCs w:val="24"/>
        </w:rPr>
        <w:t xml:space="preserve">. biti domaćin jednog županijskog natjecanja za koje će biti potrebno </w:t>
      </w:r>
      <w:r>
        <w:rPr>
          <w:rFonts w:ascii="Arial" w:hAnsi="Arial" w:cs="Arial"/>
          <w:sz w:val="24"/>
          <w:szCs w:val="24"/>
        </w:rPr>
        <w:t>250</w:t>
      </w:r>
      <w:r w:rsidRPr="00AC2206">
        <w:rPr>
          <w:rFonts w:ascii="Arial" w:hAnsi="Arial" w:cs="Arial"/>
          <w:sz w:val="24"/>
          <w:szCs w:val="24"/>
        </w:rPr>
        <w:t xml:space="preserve">,00 </w:t>
      </w:r>
      <w:r>
        <w:rPr>
          <w:rFonts w:ascii="Arial" w:hAnsi="Arial" w:cs="Arial"/>
          <w:sz w:val="24"/>
          <w:szCs w:val="24"/>
        </w:rPr>
        <w:t xml:space="preserve">eura </w:t>
      </w:r>
      <w:r w:rsidRPr="00AC2206">
        <w:rPr>
          <w:rFonts w:ascii="Arial" w:hAnsi="Arial" w:cs="Arial"/>
          <w:sz w:val="24"/>
          <w:szCs w:val="24"/>
        </w:rPr>
        <w:t xml:space="preserve">Iz istog izvora sredstvima MZOM planira se da će se financirati nabava higijenskih potrepština u iznosu od 1.000,00 </w:t>
      </w:r>
      <w:r>
        <w:rPr>
          <w:rFonts w:ascii="Arial" w:hAnsi="Arial" w:cs="Arial"/>
          <w:sz w:val="24"/>
          <w:szCs w:val="24"/>
        </w:rPr>
        <w:t>eura</w:t>
      </w:r>
      <w:r w:rsidRPr="00AC2206">
        <w:rPr>
          <w:rFonts w:ascii="Arial" w:hAnsi="Arial" w:cs="Arial"/>
          <w:sz w:val="24"/>
          <w:szCs w:val="24"/>
        </w:rPr>
        <w:t>.</w:t>
      </w:r>
    </w:p>
    <w:p w14:paraId="1D7290B9" w14:textId="77777777" w:rsidR="00E541EE" w:rsidRPr="00AC2206" w:rsidRDefault="00E541EE" w:rsidP="00E541EE">
      <w:pPr>
        <w:jc w:val="both"/>
        <w:rPr>
          <w:rFonts w:ascii="Arial" w:hAnsi="Arial" w:cs="Arial"/>
          <w:sz w:val="24"/>
          <w:szCs w:val="24"/>
        </w:rPr>
      </w:pPr>
      <w:r w:rsidRPr="00AC2206">
        <w:rPr>
          <w:rFonts w:ascii="Arial" w:hAnsi="Arial" w:cs="Arial"/>
          <w:sz w:val="24"/>
          <w:szCs w:val="24"/>
        </w:rPr>
        <w:t xml:space="preserve">Iz izvora 541 planiraju se pokriti troškovi provedbe EU projekta započetog u 2024. BE GITA kao i novog projekta na koji će se škola prijaviti tijekom 2025. u ukupnom iznosu od </w:t>
      </w:r>
      <w:r w:rsidRPr="00AC2206">
        <w:rPr>
          <w:rFonts w:ascii="Arial" w:hAnsi="Arial" w:cs="Arial"/>
          <w:bCs/>
          <w:sz w:val="24"/>
          <w:szCs w:val="24"/>
        </w:rPr>
        <w:t xml:space="preserve">46.500,00 </w:t>
      </w:r>
      <w:r>
        <w:rPr>
          <w:rFonts w:ascii="Arial" w:hAnsi="Arial" w:cs="Arial"/>
          <w:bCs/>
          <w:sz w:val="24"/>
          <w:szCs w:val="24"/>
        </w:rPr>
        <w:t>eura</w:t>
      </w:r>
      <w:r w:rsidRPr="00AC2206">
        <w:rPr>
          <w:rFonts w:ascii="Arial" w:hAnsi="Arial" w:cs="Arial"/>
          <w:bCs/>
          <w:sz w:val="24"/>
          <w:szCs w:val="24"/>
        </w:rPr>
        <w:t>.</w:t>
      </w:r>
    </w:p>
    <w:p w14:paraId="4F26BFD4" w14:textId="77777777" w:rsidR="00E541EE" w:rsidRPr="00AC2206" w:rsidRDefault="00E541EE" w:rsidP="00E541EE">
      <w:pPr>
        <w:jc w:val="both"/>
        <w:rPr>
          <w:rFonts w:ascii="Arial" w:hAnsi="Arial" w:cs="Arial"/>
          <w:sz w:val="24"/>
          <w:szCs w:val="24"/>
        </w:rPr>
      </w:pPr>
      <w:r w:rsidRPr="00AC2206">
        <w:rPr>
          <w:rFonts w:ascii="Arial" w:hAnsi="Arial" w:cs="Arial"/>
          <w:sz w:val="24"/>
          <w:szCs w:val="24"/>
        </w:rPr>
        <w:t xml:space="preserve">Donacijama fizičkih i pravnih osoba podmiriti će se troškovi prijevoza na školska natjecanja, troškovi intelektualnih usluga (suđenja), troškovi ostalih usluga  i ostalih nespomenutih rashoda u iznosu od </w:t>
      </w:r>
      <w:r>
        <w:rPr>
          <w:rFonts w:ascii="Arial" w:hAnsi="Arial" w:cs="Arial"/>
          <w:sz w:val="24"/>
          <w:szCs w:val="24"/>
        </w:rPr>
        <w:t>4</w:t>
      </w:r>
      <w:r w:rsidRPr="00AC2206">
        <w:rPr>
          <w:rFonts w:ascii="Arial" w:hAnsi="Arial" w:cs="Arial"/>
          <w:sz w:val="24"/>
          <w:szCs w:val="24"/>
        </w:rPr>
        <w:t>.</w:t>
      </w:r>
      <w:r>
        <w:rPr>
          <w:rFonts w:ascii="Arial" w:hAnsi="Arial" w:cs="Arial"/>
          <w:sz w:val="24"/>
          <w:szCs w:val="24"/>
        </w:rPr>
        <w:t>0</w:t>
      </w:r>
      <w:r w:rsidRPr="00AC2206">
        <w:rPr>
          <w:rFonts w:ascii="Arial" w:hAnsi="Arial" w:cs="Arial"/>
          <w:sz w:val="24"/>
          <w:szCs w:val="24"/>
        </w:rPr>
        <w:t xml:space="preserve">00,00 </w:t>
      </w:r>
      <w:r>
        <w:rPr>
          <w:rFonts w:ascii="Arial" w:hAnsi="Arial" w:cs="Arial"/>
          <w:sz w:val="24"/>
          <w:szCs w:val="24"/>
        </w:rPr>
        <w:t>eura</w:t>
      </w:r>
      <w:r w:rsidRPr="00AC2206">
        <w:rPr>
          <w:rFonts w:ascii="Arial" w:hAnsi="Arial" w:cs="Arial"/>
          <w:b/>
          <w:sz w:val="24"/>
          <w:szCs w:val="24"/>
        </w:rPr>
        <w:t xml:space="preserve"> </w:t>
      </w:r>
      <w:r w:rsidRPr="00AC2206">
        <w:rPr>
          <w:rFonts w:ascii="Arial" w:hAnsi="Arial" w:cs="Arial"/>
          <w:sz w:val="24"/>
          <w:szCs w:val="24"/>
        </w:rPr>
        <w:t xml:space="preserve">dok će se ostatak od 200,00 </w:t>
      </w:r>
      <w:r>
        <w:rPr>
          <w:rFonts w:ascii="Arial" w:hAnsi="Arial" w:cs="Arial"/>
          <w:sz w:val="24"/>
          <w:szCs w:val="24"/>
        </w:rPr>
        <w:t>eura</w:t>
      </w:r>
      <w:r w:rsidRPr="00AC2206">
        <w:rPr>
          <w:rFonts w:ascii="Arial" w:hAnsi="Arial" w:cs="Arial"/>
          <w:sz w:val="24"/>
          <w:szCs w:val="24"/>
        </w:rPr>
        <w:t xml:space="preserve"> utrošiti kroz projekt  K 103602 Opremanja prostora za nabavku dugotrajne imovine (lektira i oprema).</w:t>
      </w:r>
    </w:p>
    <w:p w14:paraId="1C9A11D1" w14:textId="77777777" w:rsidR="00E541EE" w:rsidRPr="00AC2206" w:rsidRDefault="00E541EE" w:rsidP="00E541EE">
      <w:pPr>
        <w:jc w:val="both"/>
        <w:rPr>
          <w:rFonts w:ascii="Arial" w:hAnsi="Arial" w:cs="Arial"/>
          <w:sz w:val="24"/>
          <w:szCs w:val="24"/>
        </w:rPr>
      </w:pPr>
      <w:r w:rsidRPr="00AC2206">
        <w:rPr>
          <w:rFonts w:ascii="Arial" w:eastAsia="Times New Roman" w:hAnsi="Arial" w:cs="Arial"/>
          <w:b/>
          <w:sz w:val="24"/>
          <w:szCs w:val="24"/>
        </w:rPr>
        <w:t xml:space="preserve">Opći cilj: </w:t>
      </w:r>
      <w:r w:rsidRPr="00AC2206">
        <w:rPr>
          <w:rFonts w:ascii="Arial" w:eastAsia="Times New Roman" w:hAnsi="Arial" w:cs="Arial"/>
          <w:sz w:val="24"/>
          <w:szCs w:val="24"/>
        </w:rPr>
        <w:t>osiguravanje kvalitete odgojno obrazovnog rada kroz dodatne aktivnosti.</w:t>
      </w:r>
    </w:p>
    <w:p w14:paraId="5DAA44AF"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sz w:val="24"/>
          <w:szCs w:val="24"/>
        </w:rPr>
        <w:t xml:space="preserve">Pokazatelj uspješnosti: </w:t>
      </w:r>
      <w:r w:rsidRPr="00AC2206">
        <w:rPr>
          <w:rFonts w:ascii="Arial" w:eastAsia="Times New Roman" w:hAnsi="Arial" w:cs="Arial"/>
          <w:sz w:val="24"/>
          <w:szCs w:val="24"/>
        </w:rPr>
        <w:t>realizacija planiranih programa i aktivnosti.</w:t>
      </w:r>
    </w:p>
    <w:p w14:paraId="6819CB88" w14:textId="77777777" w:rsidR="00E541EE" w:rsidRPr="00AC2206" w:rsidRDefault="00E541EE" w:rsidP="00E541EE">
      <w:pPr>
        <w:jc w:val="both"/>
        <w:rPr>
          <w:rFonts w:ascii="Arial" w:eastAsia="Times New Roman" w:hAnsi="Arial" w:cs="Arial"/>
          <w:sz w:val="24"/>
          <w:szCs w:val="24"/>
        </w:rPr>
      </w:pPr>
    </w:p>
    <w:p w14:paraId="40A21811"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sz w:val="24"/>
          <w:szCs w:val="24"/>
        </w:rPr>
      </w:pPr>
      <w:r w:rsidRPr="00AC2206">
        <w:rPr>
          <w:rFonts w:ascii="Arial" w:eastAsia="Times New Roman" w:hAnsi="Arial" w:cs="Arial"/>
          <w:b/>
          <w:sz w:val="24"/>
          <w:szCs w:val="24"/>
        </w:rPr>
        <w:t>A 103614: Glazbeno obrazovanje = 2</w:t>
      </w:r>
      <w:r>
        <w:rPr>
          <w:rFonts w:ascii="Arial" w:eastAsia="Times New Roman" w:hAnsi="Arial" w:cs="Arial"/>
          <w:b/>
          <w:sz w:val="24"/>
          <w:szCs w:val="24"/>
        </w:rPr>
        <w:t>4</w:t>
      </w:r>
      <w:r w:rsidRPr="00AC2206">
        <w:rPr>
          <w:rFonts w:ascii="Arial" w:eastAsia="Times New Roman" w:hAnsi="Arial" w:cs="Arial"/>
          <w:b/>
          <w:sz w:val="24"/>
          <w:szCs w:val="24"/>
        </w:rPr>
        <w:t>.000,00 EUR</w:t>
      </w:r>
    </w:p>
    <w:p w14:paraId="25822117"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Zakonska osnova</w:t>
      </w:r>
      <w:r w:rsidRPr="00AC2206">
        <w:rPr>
          <w:rFonts w:ascii="Arial" w:eastAsia="Times New Roman" w:hAnsi="Arial" w:cs="Arial"/>
          <w:bCs/>
          <w:sz w:val="24"/>
          <w:szCs w:val="24"/>
        </w:rPr>
        <w:t xml:space="preserve">: Zakon o odgoju i obrazovanju u osnovnoj i srednjoj školi, Državni pedagoški standard osnovnoškolskog sustava odgoja i obrazovanja,  </w:t>
      </w:r>
      <w:r w:rsidRPr="00AC2206">
        <w:rPr>
          <w:rFonts w:ascii="Arial" w:eastAsia="Times New Roman" w:hAnsi="Arial" w:cs="Arial"/>
          <w:sz w:val="24"/>
          <w:szCs w:val="24"/>
        </w:rPr>
        <w:t>Zakon o ustanovama, Zakon o umjetničkom obrazovanju.</w:t>
      </w:r>
    </w:p>
    <w:p w14:paraId="0C3C2BD3" w14:textId="77777777" w:rsidR="00E541EE" w:rsidRPr="00AC2206" w:rsidRDefault="00E541EE" w:rsidP="00E541EE">
      <w:pPr>
        <w:jc w:val="both"/>
        <w:rPr>
          <w:rFonts w:ascii="Arial" w:hAnsi="Arial" w:cs="Arial"/>
          <w:sz w:val="24"/>
          <w:szCs w:val="24"/>
        </w:rPr>
      </w:pPr>
      <w:r w:rsidRPr="00AC2206">
        <w:rPr>
          <w:rFonts w:ascii="Arial" w:eastAsia="Times New Roman" w:hAnsi="Arial" w:cs="Arial"/>
          <w:b/>
          <w:sz w:val="24"/>
          <w:szCs w:val="24"/>
        </w:rPr>
        <w:t>Opis:</w:t>
      </w:r>
      <w:r w:rsidRPr="00AC2206">
        <w:rPr>
          <w:rFonts w:ascii="Arial" w:eastAsia="Times New Roman" w:hAnsi="Arial" w:cs="Arial"/>
          <w:sz w:val="24"/>
          <w:szCs w:val="24"/>
        </w:rPr>
        <w:t xml:space="preserve"> </w:t>
      </w:r>
      <w:r w:rsidRPr="00AC2206">
        <w:rPr>
          <w:rFonts w:ascii="Arial" w:hAnsi="Arial" w:cs="Arial"/>
          <w:bCs/>
          <w:sz w:val="24"/>
          <w:szCs w:val="24"/>
        </w:rPr>
        <w:t>Osim redovnog osnovnog obrazovanja, u školi se obavlja i djelatnost osnovnog glazbenog obrazovanja učenika kroz šestogodišnje školovanje te će se vlastitim prihodima ostvarenim iz te djelatnosti podmirit troškovi službenih putovanja, troškovi materijala, usluga i ostalih nespomenutih rashoda poslovanja te djelatnosti. Izračun je temeljen na broju učenika upisanih u glazbeni odjel na dan 17.09.2024. i  na temelju iznosa participacije. Predviđen prihod od 2</w:t>
      </w:r>
      <w:r>
        <w:rPr>
          <w:rFonts w:ascii="Arial" w:hAnsi="Arial" w:cs="Arial"/>
          <w:bCs/>
          <w:sz w:val="24"/>
          <w:szCs w:val="24"/>
        </w:rPr>
        <w:t>4</w:t>
      </w:r>
      <w:r w:rsidRPr="00AC2206">
        <w:rPr>
          <w:rFonts w:ascii="Arial" w:hAnsi="Arial" w:cs="Arial"/>
          <w:bCs/>
          <w:sz w:val="24"/>
          <w:szCs w:val="24"/>
        </w:rPr>
        <w:t xml:space="preserve">.000,00 </w:t>
      </w:r>
      <w:r>
        <w:rPr>
          <w:rFonts w:ascii="Arial" w:hAnsi="Arial" w:cs="Arial"/>
          <w:bCs/>
          <w:sz w:val="24"/>
          <w:szCs w:val="24"/>
        </w:rPr>
        <w:t>eura</w:t>
      </w:r>
      <w:r w:rsidRPr="00AC2206">
        <w:rPr>
          <w:rFonts w:ascii="Arial" w:hAnsi="Arial" w:cs="Arial"/>
          <w:bCs/>
          <w:sz w:val="24"/>
          <w:szCs w:val="24"/>
        </w:rPr>
        <w:t xml:space="preserve"> djelomično će se utrošiti kroz </w:t>
      </w:r>
      <w:r w:rsidRPr="00AC2206">
        <w:rPr>
          <w:rFonts w:ascii="Arial" w:hAnsi="Arial" w:cs="Arial"/>
          <w:sz w:val="24"/>
          <w:szCs w:val="24"/>
        </w:rPr>
        <w:t xml:space="preserve">projekt  K 103602 Opremanja prostora za nabavku dugotrajne imovine (u iznosu od </w:t>
      </w:r>
      <w:r>
        <w:rPr>
          <w:rFonts w:ascii="Arial" w:hAnsi="Arial" w:cs="Arial"/>
          <w:sz w:val="24"/>
          <w:szCs w:val="24"/>
        </w:rPr>
        <w:t>8</w:t>
      </w:r>
      <w:r w:rsidRPr="00AC2206">
        <w:rPr>
          <w:rFonts w:ascii="Arial" w:hAnsi="Arial" w:cs="Arial"/>
          <w:sz w:val="24"/>
          <w:szCs w:val="24"/>
        </w:rPr>
        <w:t xml:space="preserve">.000,00 </w:t>
      </w:r>
      <w:r>
        <w:rPr>
          <w:rFonts w:ascii="Arial" w:hAnsi="Arial" w:cs="Arial"/>
          <w:sz w:val="24"/>
          <w:szCs w:val="24"/>
        </w:rPr>
        <w:t>eura</w:t>
      </w:r>
      <w:r w:rsidRPr="00AC2206">
        <w:rPr>
          <w:rFonts w:ascii="Arial" w:hAnsi="Arial" w:cs="Arial"/>
          <w:sz w:val="24"/>
          <w:szCs w:val="24"/>
        </w:rPr>
        <w:t>) dok će se razlika od 1</w:t>
      </w:r>
      <w:r>
        <w:rPr>
          <w:rFonts w:ascii="Arial" w:hAnsi="Arial" w:cs="Arial"/>
          <w:sz w:val="24"/>
          <w:szCs w:val="24"/>
        </w:rPr>
        <w:t>6</w:t>
      </w:r>
      <w:r w:rsidRPr="00AC2206">
        <w:rPr>
          <w:rFonts w:ascii="Arial" w:hAnsi="Arial" w:cs="Arial"/>
          <w:sz w:val="24"/>
          <w:szCs w:val="24"/>
        </w:rPr>
        <w:t xml:space="preserve">.000,00 </w:t>
      </w:r>
      <w:r>
        <w:rPr>
          <w:rFonts w:ascii="Arial" w:hAnsi="Arial" w:cs="Arial"/>
          <w:sz w:val="24"/>
          <w:szCs w:val="24"/>
        </w:rPr>
        <w:t>eura</w:t>
      </w:r>
      <w:r w:rsidRPr="00AC2206">
        <w:rPr>
          <w:rFonts w:ascii="Arial" w:hAnsi="Arial" w:cs="Arial"/>
          <w:sz w:val="24"/>
          <w:szCs w:val="24"/>
        </w:rPr>
        <w:t xml:space="preserve"> zajedno sa viškom od 8.000,00 </w:t>
      </w:r>
      <w:r>
        <w:rPr>
          <w:rFonts w:ascii="Arial" w:hAnsi="Arial" w:cs="Arial"/>
          <w:sz w:val="24"/>
          <w:szCs w:val="24"/>
        </w:rPr>
        <w:t>eura</w:t>
      </w:r>
      <w:r w:rsidRPr="00AC2206">
        <w:rPr>
          <w:rFonts w:ascii="Arial" w:hAnsi="Arial" w:cs="Arial"/>
          <w:sz w:val="24"/>
          <w:szCs w:val="24"/>
        </w:rPr>
        <w:t xml:space="preserve"> utrošiti za redovno poslovanje i podmirivanje tekućih troškova.</w:t>
      </w:r>
    </w:p>
    <w:p w14:paraId="7B6A0787" w14:textId="77777777" w:rsidR="00E541EE" w:rsidRPr="00AC2206" w:rsidRDefault="00E541EE" w:rsidP="00E541EE">
      <w:pPr>
        <w:jc w:val="both"/>
        <w:rPr>
          <w:rFonts w:ascii="Arial" w:hAnsi="Arial" w:cs="Arial"/>
          <w:sz w:val="24"/>
          <w:szCs w:val="24"/>
        </w:rPr>
      </w:pPr>
      <w:r w:rsidRPr="00AC2206">
        <w:rPr>
          <w:rFonts w:ascii="Arial" w:eastAsia="Times New Roman" w:hAnsi="Arial" w:cs="Arial"/>
          <w:b/>
          <w:sz w:val="24"/>
          <w:szCs w:val="24"/>
        </w:rPr>
        <w:t xml:space="preserve">Opći cilj: </w:t>
      </w:r>
      <w:r w:rsidRPr="00AC2206">
        <w:rPr>
          <w:rFonts w:ascii="Arial" w:eastAsia="Times New Roman" w:hAnsi="Arial" w:cs="Arial"/>
          <w:sz w:val="24"/>
          <w:szCs w:val="24"/>
        </w:rPr>
        <w:t>osiguravanje materijalnih uvjeta rada glazbenog odjela.</w:t>
      </w:r>
    </w:p>
    <w:p w14:paraId="2DAFC9FE" w14:textId="77777777" w:rsidR="00E541EE" w:rsidRPr="00AC2206" w:rsidRDefault="00E541EE" w:rsidP="00E541EE">
      <w:pPr>
        <w:rPr>
          <w:rFonts w:ascii="Arial" w:eastAsia="Times New Roman" w:hAnsi="Arial" w:cs="Arial"/>
          <w:sz w:val="24"/>
          <w:szCs w:val="24"/>
        </w:rPr>
      </w:pPr>
      <w:r w:rsidRPr="00AC2206">
        <w:rPr>
          <w:rFonts w:ascii="Arial" w:eastAsia="Times New Roman" w:hAnsi="Arial" w:cs="Arial"/>
          <w:b/>
          <w:sz w:val="24"/>
          <w:szCs w:val="24"/>
        </w:rPr>
        <w:t xml:space="preserve">Pokazatelj uspješnosti: </w:t>
      </w:r>
      <w:r w:rsidRPr="00AC2206">
        <w:rPr>
          <w:rFonts w:ascii="Arial" w:eastAsia="Times New Roman" w:hAnsi="Arial" w:cs="Arial"/>
          <w:sz w:val="24"/>
          <w:szCs w:val="24"/>
        </w:rPr>
        <w:t>realizacija školskog kurikuluma i godišnjeg plana i programa.</w:t>
      </w:r>
    </w:p>
    <w:p w14:paraId="4BE4EA2B" w14:textId="77777777" w:rsidR="00E541EE" w:rsidRPr="00AC2206" w:rsidRDefault="00E541EE" w:rsidP="00E541EE">
      <w:pPr>
        <w:jc w:val="both"/>
        <w:rPr>
          <w:rFonts w:ascii="Arial" w:eastAsia="Times New Roman" w:hAnsi="Arial" w:cs="Arial"/>
          <w:sz w:val="24"/>
          <w:szCs w:val="24"/>
        </w:rPr>
      </w:pPr>
    </w:p>
    <w:p w14:paraId="27F845BF"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sz w:val="24"/>
          <w:szCs w:val="24"/>
        </w:rPr>
      </w:pPr>
      <w:r w:rsidRPr="00AC2206">
        <w:rPr>
          <w:rFonts w:ascii="Arial" w:eastAsia="Times New Roman" w:hAnsi="Arial" w:cs="Arial"/>
          <w:b/>
          <w:sz w:val="24"/>
          <w:szCs w:val="24"/>
        </w:rPr>
        <w:t>A 103615: Zavičajna nastava = 1.</w:t>
      </w:r>
      <w:r>
        <w:rPr>
          <w:rFonts w:ascii="Arial" w:eastAsia="Times New Roman" w:hAnsi="Arial" w:cs="Arial"/>
          <w:b/>
          <w:sz w:val="24"/>
          <w:szCs w:val="24"/>
        </w:rPr>
        <w:t>6</w:t>
      </w:r>
      <w:r w:rsidRPr="00AC2206">
        <w:rPr>
          <w:rFonts w:ascii="Arial" w:eastAsia="Times New Roman" w:hAnsi="Arial" w:cs="Arial"/>
          <w:b/>
          <w:sz w:val="24"/>
          <w:szCs w:val="24"/>
        </w:rPr>
        <w:t>00,00 EUR</w:t>
      </w:r>
    </w:p>
    <w:p w14:paraId="7A9866DB" w14:textId="77777777" w:rsidR="00E541EE" w:rsidRPr="00AC2206" w:rsidRDefault="00E541EE" w:rsidP="00E541EE">
      <w:pPr>
        <w:jc w:val="both"/>
        <w:rPr>
          <w:rFonts w:ascii="Arial" w:eastAsia="Times New Roman" w:hAnsi="Arial" w:cs="Arial"/>
          <w:bCs/>
          <w:sz w:val="24"/>
          <w:szCs w:val="24"/>
        </w:rPr>
      </w:pPr>
      <w:r w:rsidRPr="00AC2206">
        <w:rPr>
          <w:rFonts w:ascii="Arial" w:eastAsia="Times New Roman" w:hAnsi="Arial" w:cs="Arial"/>
          <w:b/>
          <w:bCs/>
          <w:sz w:val="24"/>
          <w:szCs w:val="24"/>
        </w:rPr>
        <w:t>Zakonska osnova</w:t>
      </w:r>
      <w:r w:rsidRPr="00AC2206">
        <w:rPr>
          <w:rFonts w:ascii="Arial" w:eastAsia="Times New Roman" w:hAnsi="Arial" w:cs="Arial"/>
          <w:bCs/>
          <w:sz w:val="24"/>
          <w:szCs w:val="24"/>
        </w:rPr>
        <w:t xml:space="preserve">: Zakon o odgoju i obrazovanju u osnovnoj i srednjoj školi, Državni pedagoški standard osnovnoškolskog sustava odgoja i obrazovanja  </w:t>
      </w:r>
    </w:p>
    <w:p w14:paraId="43AEE1C9" w14:textId="77777777" w:rsidR="00E541EE" w:rsidRPr="007B42EF" w:rsidRDefault="00E541EE" w:rsidP="00E541EE">
      <w:pPr>
        <w:jc w:val="both"/>
        <w:rPr>
          <w:rFonts w:ascii="Arial" w:hAnsi="Arial" w:cs="Arial"/>
          <w:sz w:val="24"/>
          <w:szCs w:val="24"/>
        </w:rPr>
      </w:pPr>
      <w:r w:rsidRPr="00AC2206">
        <w:rPr>
          <w:rFonts w:ascii="Arial" w:eastAsia="Times New Roman" w:hAnsi="Arial" w:cs="Arial"/>
          <w:b/>
          <w:sz w:val="24"/>
          <w:szCs w:val="24"/>
        </w:rPr>
        <w:t>Opis:</w:t>
      </w:r>
      <w:r w:rsidRPr="007B42EF">
        <w:rPr>
          <w:rFonts w:ascii="Arial" w:hAnsi="Arial" w:cs="Arial"/>
          <w:sz w:val="24"/>
        </w:rPr>
        <w:t xml:space="preserve"> </w:t>
      </w:r>
      <w:r>
        <w:rPr>
          <w:rFonts w:ascii="Arial" w:hAnsi="Arial" w:cs="Arial"/>
          <w:sz w:val="24"/>
        </w:rPr>
        <w:t>o</w:t>
      </w:r>
      <w:r w:rsidRPr="007B42EF">
        <w:rPr>
          <w:rFonts w:ascii="Arial" w:hAnsi="Arial" w:cs="Arial"/>
          <w:sz w:val="24"/>
        </w:rPr>
        <w:t xml:space="preserve">vogodišnjim projektom institucionalizacije zavičajne </w:t>
      </w:r>
      <w:r w:rsidRPr="007B42EF">
        <w:rPr>
          <w:rFonts w:ascii="Arial" w:hAnsi="Arial" w:cs="Arial"/>
          <w:sz w:val="24"/>
          <w:szCs w:val="24"/>
        </w:rPr>
        <w:t>nastave obilježiti ćemo 150.godišnjicu rođenja Vladimira Nazora (rođen 1876.) čije ime nosi naša škola. U svojih pedeset godina plodnog rada Nazor je pisao pjesme, pripovijetke, priče za djecu, putopise, romane, dnevnike, rasprave i prevodio talijanske i njemačke pjesnike.</w:t>
      </w:r>
    </w:p>
    <w:p w14:paraId="2718AA2C" w14:textId="77777777" w:rsidR="00E541EE" w:rsidRPr="007B42EF" w:rsidRDefault="00E541EE" w:rsidP="00E541EE">
      <w:pPr>
        <w:jc w:val="both"/>
        <w:rPr>
          <w:rFonts w:ascii="Arial" w:hAnsi="Arial" w:cs="Arial"/>
          <w:sz w:val="24"/>
          <w:szCs w:val="24"/>
        </w:rPr>
      </w:pPr>
      <w:r w:rsidRPr="007B42EF">
        <w:rPr>
          <w:rFonts w:ascii="Arial" w:hAnsi="Arial" w:cs="Arial"/>
          <w:sz w:val="24"/>
          <w:szCs w:val="24"/>
        </w:rPr>
        <w:t>Kroz školsku godinu Nazorova ostavština, obrađivala bi se s više aspekata.</w:t>
      </w:r>
    </w:p>
    <w:p w14:paraId="78451EC4" w14:textId="77777777" w:rsidR="00E541EE" w:rsidRPr="007B42EF" w:rsidRDefault="00E541EE" w:rsidP="00E541EE">
      <w:pPr>
        <w:jc w:val="both"/>
        <w:rPr>
          <w:rFonts w:ascii="Arial" w:hAnsi="Arial" w:cs="Arial"/>
          <w:sz w:val="24"/>
          <w:szCs w:val="24"/>
        </w:rPr>
      </w:pPr>
      <w:r w:rsidRPr="007B42EF">
        <w:rPr>
          <w:rFonts w:ascii="Arial" w:hAnsi="Arial" w:cs="Arial"/>
          <w:sz w:val="24"/>
          <w:szCs w:val="24"/>
        </w:rPr>
        <w:t>Organizirati će se oslikavanje jednog unutarnjeg školskog zida umjetničkim portretom Vladimira Nazora.</w:t>
      </w:r>
    </w:p>
    <w:p w14:paraId="0EBA3BAB" w14:textId="77777777" w:rsidR="00E541EE" w:rsidRPr="007B42EF" w:rsidRDefault="00E541EE" w:rsidP="00E541EE">
      <w:pPr>
        <w:jc w:val="both"/>
        <w:rPr>
          <w:rFonts w:ascii="Arial" w:hAnsi="Arial" w:cs="Arial"/>
          <w:sz w:val="24"/>
          <w:szCs w:val="24"/>
        </w:rPr>
      </w:pPr>
      <w:r w:rsidRPr="007B42EF">
        <w:rPr>
          <w:rFonts w:ascii="Arial" w:hAnsi="Arial" w:cs="Arial"/>
          <w:sz w:val="24"/>
          <w:szCs w:val="24"/>
        </w:rPr>
        <w:t>Provesti će se literarni natječaj regionalne razine.</w:t>
      </w:r>
    </w:p>
    <w:p w14:paraId="198FC958" w14:textId="77777777" w:rsidR="00E541EE" w:rsidRPr="007B42EF" w:rsidRDefault="00E541EE" w:rsidP="00E541EE">
      <w:pPr>
        <w:jc w:val="both"/>
        <w:rPr>
          <w:rFonts w:ascii="Arial" w:hAnsi="Arial" w:cs="Arial"/>
          <w:sz w:val="24"/>
          <w:szCs w:val="24"/>
        </w:rPr>
      </w:pPr>
      <w:r w:rsidRPr="007B42EF">
        <w:rPr>
          <w:rFonts w:ascii="Arial" w:hAnsi="Arial" w:cs="Arial"/>
          <w:sz w:val="24"/>
          <w:szCs w:val="24"/>
        </w:rPr>
        <w:t>Svi razredni odjeli obrađivati će po jedno književno djelo, bilo poezija bilo proza.</w:t>
      </w:r>
    </w:p>
    <w:p w14:paraId="3C2BED9D" w14:textId="77777777" w:rsidR="00E541EE" w:rsidRPr="007B42EF" w:rsidRDefault="00E541EE" w:rsidP="00E541EE">
      <w:pPr>
        <w:jc w:val="both"/>
        <w:rPr>
          <w:rFonts w:ascii="Arial" w:hAnsi="Arial" w:cs="Arial"/>
          <w:sz w:val="24"/>
          <w:szCs w:val="24"/>
        </w:rPr>
      </w:pPr>
      <w:r w:rsidRPr="007B42EF">
        <w:rPr>
          <w:rFonts w:ascii="Arial" w:hAnsi="Arial" w:cs="Arial"/>
          <w:sz w:val="24"/>
          <w:szCs w:val="24"/>
        </w:rPr>
        <w:t>Likovna skupina ilustrirati će njegove literarne radove i reinterpretirati njegov portret.</w:t>
      </w:r>
    </w:p>
    <w:p w14:paraId="7C478629" w14:textId="77777777" w:rsidR="00E541EE" w:rsidRPr="007B42EF" w:rsidRDefault="00E541EE" w:rsidP="00E541EE">
      <w:pPr>
        <w:jc w:val="both"/>
        <w:rPr>
          <w:rFonts w:ascii="Arial" w:hAnsi="Arial" w:cs="Arial"/>
          <w:sz w:val="24"/>
          <w:szCs w:val="24"/>
        </w:rPr>
      </w:pPr>
      <w:r w:rsidRPr="007B42EF">
        <w:rPr>
          <w:rFonts w:ascii="Arial" w:hAnsi="Arial" w:cs="Arial"/>
          <w:sz w:val="24"/>
          <w:szCs w:val="24"/>
        </w:rPr>
        <w:t>Literarna skupina osmislit će sportsku himnu (navijačku) Nazorovaca i uglazbiti ju na glazbenoj grupi.</w:t>
      </w:r>
    </w:p>
    <w:p w14:paraId="5EF2C2D6" w14:textId="77777777" w:rsidR="00E541EE" w:rsidRPr="007B42EF" w:rsidRDefault="00E541EE" w:rsidP="00E541EE">
      <w:pPr>
        <w:jc w:val="both"/>
        <w:rPr>
          <w:rFonts w:ascii="Arial" w:hAnsi="Arial" w:cs="Arial"/>
          <w:sz w:val="24"/>
          <w:szCs w:val="24"/>
        </w:rPr>
      </w:pPr>
      <w:r w:rsidRPr="007B42EF">
        <w:rPr>
          <w:rFonts w:ascii="Arial" w:hAnsi="Arial" w:cs="Arial"/>
          <w:sz w:val="24"/>
          <w:szCs w:val="24"/>
        </w:rPr>
        <w:t>Kako 30 osnovnih škola u Hrvatskoj nosi njegovo ime, od čega ih je 5 u Istri, s tim ćemo školama posebno stupiti u kontakt razglednicama i pismima (razredna i predmetna nastava) te potaknuti međusobnu komunikaciju učenika.</w:t>
      </w:r>
    </w:p>
    <w:p w14:paraId="222973F8" w14:textId="77777777" w:rsidR="00E541EE" w:rsidRPr="007B42EF" w:rsidRDefault="00E541EE" w:rsidP="00E541EE">
      <w:pPr>
        <w:jc w:val="both"/>
        <w:rPr>
          <w:rFonts w:ascii="Arial" w:hAnsi="Arial" w:cs="Arial"/>
          <w:sz w:val="24"/>
          <w:szCs w:val="24"/>
        </w:rPr>
      </w:pPr>
      <w:r w:rsidRPr="007B42EF">
        <w:rPr>
          <w:rFonts w:ascii="Arial" w:hAnsi="Arial" w:cs="Arial"/>
          <w:sz w:val="24"/>
          <w:szCs w:val="24"/>
        </w:rPr>
        <w:t xml:space="preserve">Naša škola već 20 godina organizira pjevački festival </w:t>
      </w:r>
      <w:r w:rsidRPr="007B42EF">
        <w:rPr>
          <w:rFonts w:ascii="Arial" w:hAnsi="Arial" w:cs="Arial"/>
          <w:i/>
          <w:sz w:val="24"/>
          <w:szCs w:val="24"/>
        </w:rPr>
        <w:t>Nazorov mikrofon</w:t>
      </w:r>
      <w:r w:rsidRPr="007B42EF">
        <w:rPr>
          <w:rFonts w:ascii="Arial" w:hAnsi="Arial" w:cs="Arial"/>
          <w:sz w:val="24"/>
          <w:szCs w:val="24"/>
        </w:rPr>
        <w:t>. Ove godine pozvati ćemo u goste 5 istarskih osnovnih škole koje nose Nazorovo ime.</w:t>
      </w:r>
    </w:p>
    <w:p w14:paraId="2B52BDF9" w14:textId="77777777" w:rsidR="00E541EE" w:rsidRPr="007B42EF" w:rsidRDefault="00E541EE" w:rsidP="00E541EE">
      <w:pPr>
        <w:jc w:val="both"/>
        <w:rPr>
          <w:rFonts w:ascii="Times New Roman" w:hAnsi="Times New Roman"/>
          <w:sz w:val="24"/>
          <w:szCs w:val="24"/>
        </w:rPr>
      </w:pPr>
      <w:r w:rsidRPr="007B42EF">
        <w:rPr>
          <w:rFonts w:ascii="Arial" w:hAnsi="Arial" w:cs="Arial"/>
          <w:sz w:val="24"/>
          <w:szCs w:val="24"/>
        </w:rPr>
        <w:t xml:space="preserve">Županija će za ovaj projekt osigurati iznos od 1.300,00 </w:t>
      </w:r>
      <w:r>
        <w:rPr>
          <w:rFonts w:ascii="Arial" w:hAnsi="Arial" w:cs="Arial"/>
          <w:sz w:val="24"/>
          <w:szCs w:val="24"/>
        </w:rPr>
        <w:t>eura</w:t>
      </w:r>
      <w:r w:rsidRPr="007B42EF">
        <w:rPr>
          <w:rFonts w:ascii="Arial" w:hAnsi="Arial" w:cs="Arial"/>
          <w:sz w:val="24"/>
          <w:szCs w:val="24"/>
        </w:rPr>
        <w:t xml:space="preserve"> kao i prošle godine, dok će za isti biti potrebno još dodatnih 300,00 </w:t>
      </w:r>
      <w:r>
        <w:rPr>
          <w:rFonts w:ascii="Arial" w:hAnsi="Arial" w:cs="Arial"/>
          <w:sz w:val="24"/>
          <w:szCs w:val="24"/>
        </w:rPr>
        <w:t xml:space="preserve">eura </w:t>
      </w:r>
      <w:r w:rsidRPr="007B42EF">
        <w:rPr>
          <w:rFonts w:ascii="Arial" w:hAnsi="Arial" w:cs="Arial"/>
          <w:sz w:val="24"/>
          <w:szCs w:val="24"/>
        </w:rPr>
        <w:t>koje ćemo osigurati iz prenesenog viška poslovanja</w:t>
      </w:r>
      <w:r w:rsidRPr="007D2F8A">
        <w:rPr>
          <w:rFonts w:ascii="Times New Roman" w:hAnsi="Times New Roman"/>
          <w:sz w:val="24"/>
          <w:szCs w:val="24"/>
        </w:rPr>
        <w:t>.</w:t>
      </w:r>
      <w:r w:rsidRPr="00AC2206">
        <w:rPr>
          <w:rFonts w:ascii="Arial" w:hAnsi="Arial" w:cs="Arial"/>
          <w:sz w:val="24"/>
          <w:shd w:val="clear" w:color="auto" w:fill="FFFFFF"/>
        </w:rPr>
        <w:t xml:space="preserve">. </w:t>
      </w:r>
    </w:p>
    <w:p w14:paraId="204EBADF" w14:textId="77777777" w:rsidR="00E541EE" w:rsidRPr="007C0E58" w:rsidRDefault="00E541EE" w:rsidP="00E541EE">
      <w:pPr>
        <w:jc w:val="both"/>
        <w:rPr>
          <w:rFonts w:ascii="Arial" w:hAnsi="Arial" w:cs="Arial"/>
          <w:sz w:val="24"/>
          <w:szCs w:val="24"/>
        </w:rPr>
      </w:pPr>
      <w:r w:rsidRPr="00AC2206">
        <w:rPr>
          <w:rFonts w:ascii="Arial" w:eastAsia="Times New Roman" w:hAnsi="Arial" w:cs="Arial"/>
          <w:b/>
          <w:sz w:val="24"/>
          <w:szCs w:val="24"/>
        </w:rPr>
        <w:t>Opći cilj:</w:t>
      </w:r>
      <w:r w:rsidRPr="00AC2206">
        <w:rPr>
          <w:rFonts w:ascii="Arial" w:eastAsia="Times New Roman" w:hAnsi="Arial" w:cs="Arial"/>
          <w:color w:val="555555"/>
          <w:sz w:val="20"/>
          <w:shd w:val="clear" w:color="auto" w:fill="FFFFFF"/>
        </w:rPr>
        <w:t xml:space="preserve"> </w:t>
      </w:r>
      <w:r w:rsidRPr="00AC2206">
        <w:rPr>
          <w:rFonts w:ascii="Arial" w:eastAsia="Times New Roman" w:hAnsi="Arial" w:cs="Arial"/>
          <w:sz w:val="24"/>
          <w:szCs w:val="24"/>
          <w:shd w:val="clear" w:color="auto" w:fill="FFFFFF"/>
        </w:rPr>
        <w:t>formiranje institucionalnog oblika očuvanja istarskog zavičajnog identiteta u odgojno obrazovnim ustanovama na području Istarske županije</w:t>
      </w:r>
      <w:r w:rsidRPr="00AC2206">
        <w:rPr>
          <w:rFonts w:ascii="Arial" w:eastAsia="Times New Roman" w:hAnsi="Arial" w:cs="Arial"/>
          <w:sz w:val="20"/>
          <w:shd w:val="clear" w:color="auto" w:fill="FFFFFF"/>
        </w:rPr>
        <w:t>.</w:t>
      </w:r>
    </w:p>
    <w:p w14:paraId="0763C672" w14:textId="77777777" w:rsidR="00E541EE" w:rsidRDefault="00E541EE" w:rsidP="00E541EE">
      <w:pPr>
        <w:jc w:val="both"/>
        <w:rPr>
          <w:rFonts w:ascii="Arial" w:hAnsi="Arial" w:cs="Arial"/>
          <w:sz w:val="24"/>
          <w:shd w:val="clear" w:color="auto" w:fill="FFFFFF"/>
        </w:rPr>
      </w:pPr>
      <w:r w:rsidRPr="00AC2206">
        <w:rPr>
          <w:rFonts w:ascii="Arial" w:eastAsia="Times New Roman" w:hAnsi="Arial" w:cs="Arial"/>
          <w:b/>
          <w:bCs/>
          <w:sz w:val="24"/>
          <w:szCs w:val="24"/>
        </w:rPr>
        <w:t>Pokazatelj uspješnosti:</w:t>
      </w:r>
      <w:r w:rsidRPr="00AC2206">
        <w:rPr>
          <w:rFonts w:ascii="Arial" w:eastAsia="Times New Roman" w:hAnsi="Arial" w:cs="Arial"/>
          <w:bCs/>
          <w:sz w:val="24"/>
          <w:szCs w:val="24"/>
        </w:rPr>
        <w:t xml:space="preserve"> </w:t>
      </w:r>
      <w:r>
        <w:rPr>
          <w:rFonts w:ascii="Arial" w:eastAsia="Times New Roman" w:hAnsi="Arial" w:cs="Arial"/>
          <w:bCs/>
          <w:sz w:val="24"/>
          <w:szCs w:val="24"/>
        </w:rPr>
        <w:t xml:space="preserve">realiziran projekt </w:t>
      </w:r>
    </w:p>
    <w:p w14:paraId="19C0B731" w14:textId="77777777" w:rsidR="00E541EE" w:rsidRDefault="00E541EE" w:rsidP="00E541EE">
      <w:pPr>
        <w:jc w:val="both"/>
        <w:rPr>
          <w:rFonts w:ascii="Arial" w:hAnsi="Arial" w:cs="Arial"/>
          <w:sz w:val="24"/>
          <w:shd w:val="clear" w:color="auto" w:fill="FFFFFF"/>
        </w:rPr>
      </w:pPr>
    </w:p>
    <w:p w14:paraId="114099FC"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sz w:val="24"/>
          <w:szCs w:val="24"/>
        </w:rPr>
      </w:pPr>
      <w:r w:rsidRPr="00AC2206">
        <w:rPr>
          <w:rFonts w:ascii="Arial" w:eastAsia="Times New Roman" w:hAnsi="Arial" w:cs="Arial"/>
          <w:b/>
          <w:sz w:val="24"/>
          <w:szCs w:val="24"/>
        </w:rPr>
        <w:t>T 103607: Školska shema = 5.000,00 EUR</w:t>
      </w:r>
    </w:p>
    <w:p w14:paraId="76602173"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Zakonska osnova</w:t>
      </w:r>
      <w:r w:rsidRPr="00AC2206">
        <w:rPr>
          <w:rFonts w:ascii="Arial" w:eastAsia="Times New Roman" w:hAnsi="Arial" w:cs="Arial"/>
          <w:bCs/>
          <w:sz w:val="24"/>
          <w:szCs w:val="24"/>
        </w:rPr>
        <w:t xml:space="preserve">: Zakon o odgoju i obrazovanju u osnovnoj i srednjoj školi, Državni pedagoški standard osnovnoškolskog sustava odgoja i obrazovanja. </w:t>
      </w:r>
    </w:p>
    <w:p w14:paraId="60F02EDD" w14:textId="77777777" w:rsidR="00E541EE" w:rsidRPr="00AC2206" w:rsidRDefault="00E541EE" w:rsidP="00E541EE">
      <w:pPr>
        <w:autoSpaceDE w:val="0"/>
        <w:autoSpaceDN w:val="0"/>
        <w:adjustRightInd w:val="0"/>
        <w:jc w:val="both"/>
        <w:rPr>
          <w:rFonts w:ascii="Arial" w:eastAsia="Times New Roman" w:hAnsi="Arial" w:cs="Arial"/>
          <w:bCs/>
          <w:sz w:val="24"/>
          <w:szCs w:val="24"/>
          <w:lang w:bidi="mr-IN"/>
        </w:rPr>
      </w:pPr>
      <w:r w:rsidRPr="00AC2206">
        <w:rPr>
          <w:rFonts w:ascii="Arial" w:eastAsia="Times New Roman" w:hAnsi="Arial" w:cs="Arial"/>
          <w:b/>
          <w:color w:val="000000"/>
          <w:sz w:val="24"/>
          <w:szCs w:val="24"/>
          <w:lang w:bidi="mr-IN"/>
        </w:rPr>
        <w:t>Opis:</w:t>
      </w:r>
      <w:r w:rsidRPr="00AC2206">
        <w:rPr>
          <w:rFonts w:ascii="Arial" w:eastAsia="Times New Roman" w:hAnsi="Arial" w:cs="Arial"/>
          <w:color w:val="000000"/>
          <w:sz w:val="24"/>
          <w:szCs w:val="24"/>
          <w:lang w:bidi="mr-IN"/>
        </w:rPr>
        <w:t xml:space="preserve"> </w:t>
      </w:r>
      <w:r w:rsidRPr="00AC2206">
        <w:rPr>
          <w:rFonts w:ascii="Arial" w:eastAsia="Times New Roman" w:hAnsi="Arial" w:cs="Arial"/>
          <w:bCs/>
          <w:sz w:val="24"/>
          <w:szCs w:val="24"/>
        </w:rPr>
        <w:t xml:space="preserve">obzirom na dosadašnji projekt planira se da će Agencija za plaćanja u poljoprivredi, ribarstvu i ruralnom razvoju objaviti javni poziv za iskaz interesa osnivača školskih ustanova za sudjelovanje u školskoj shemi u svrhu promoviranja zdrave prehrambene navike. Na taj način omogućava se  školskoj djeci dodatni zdravi obrok svježeg voća ili povrća, mlijeka i mliječnih proizvoda Škola je i dosad bila uključena u projekt „Školske sheme“ kojim se osiguravaju mlijeko i voće i povrće jednom tjedno za sve učenike škole. Izračun je temeljen na broju učenika na dan </w:t>
      </w:r>
      <w:r>
        <w:rPr>
          <w:rFonts w:ascii="Arial" w:eastAsia="Times New Roman" w:hAnsi="Arial" w:cs="Arial"/>
          <w:bCs/>
          <w:sz w:val="24"/>
          <w:szCs w:val="24"/>
        </w:rPr>
        <w:t>25</w:t>
      </w:r>
      <w:r w:rsidRPr="00AC2206">
        <w:rPr>
          <w:rFonts w:ascii="Arial" w:eastAsia="Times New Roman" w:hAnsi="Arial" w:cs="Arial"/>
          <w:bCs/>
          <w:sz w:val="24"/>
          <w:szCs w:val="24"/>
        </w:rPr>
        <w:t>. rujna 202</w:t>
      </w:r>
      <w:r>
        <w:rPr>
          <w:rFonts w:ascii="Arial" w:eastAsia="Times New Roman" w:hAnsi="Arial" w:cs="Arial"/>
          <w:bCs/>
          <w:sz w:val="24"/>
          <w:szCs w:val="24"/>
        </w:rPr>
        <w:t>5</w:t>
      </w:r>
      <w:r w:rsidRPr="00AC2206">
        <w:rPr>
          <w:rFonts w:ascii="Arial" w:eastAsia="Times New Roman" w:hAnsi="Arial" w:cs="Arial"/>
          <w:bCs/>
          <w:sz w:val="24"/>
          <w:szCs w:val="24"/>
        </w:rPr>
        <w:t>. godine 3</w:t>
      </w:r>
      <w:r>
        <w:rPr>
          <w:rFonts w:ascii="Arial" w:eastAsia="Times New Roman" w:hAnsi="Arial" w:cs="Arial"/>
          <w:bCs/>
          <w:sz w:val="24"/>
          <w:szCs w:val="24"/>
        </w:rPr>
        <w:t>40</w:t>
      </w:r>
      <w:r w:rsidRPr="00AC2206">
        <w:rPr>
          <w:rFonts w:ascii="Arial" w:eastAsia="Times New Roman" w:hAnsi="Arial" w:cs="Arial"/>
          <w:bCs/>
          <w:sz w:val="24"/>
          <w:szCs w:val="24"/>
        </w:rPr>
        <w:t xml:space="preserve"> učenika i obzirom na količine po učeniku i broj tjedana (30)  te se predviđa da će za rashode na ime namirnica  biti  potrebno 5.000,00 </w:t>
      </w:r>
      <w:r>
        <w:rPr>
          <w:rFonts w:ascii="Arial" w:eastAsia="Times New Roman" w:hAnsi="Arial" w:cs="Arial"/>
          <w:bCs/>
          <w:sz w:val="24"/>
          <w:szCs w:val="24"/>
        </w:rPr>
        <w:t>eura</w:t>
      </w:r>
      <w:r w:rsidRPr="00AC2206">
        <w:rPr>
          <w:rFonts w:ascii="Arial" w:eastAsia="Times New Roman" w:hAnsi="Arial" w:cs="Arial"/>
          <w:bCs/>
          <w:sz w:val="24"/>
          <w:szCs w:val="24"/>
        </w:rPr>
        <w:t>.</w:t>
      </w:r>
    </w:p>
    <w:p w14:paraId="7942B850"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sz w:val="24"/>
          <w:szCs w:val="24"/>
        </w:rPr>
        <w:t xml:space="preserve">Opći cilj: </w:t>
      </w:r>
      <w:r w:rsidRPr="00AC2206">
        <w:rPr>
          <w:rFonts w:ascii="Arial" w:eastAsia="Times New Roman" w:hAnsi="Arial" w:cs="Arial"/>
          <w:sz w:val="24"/>
          <w:szCs w:val="24"/>
        </w:rPr>
        <w:t>promocija zdrave prehrane i zdravih životnih navika.</w:t>
      </w:r>
    </w:p>
    <w:p w14:paraId="0FA5C1B6" w14:textId="77777777" w:rsidR="00E541EE" w:rsidRPr="00AC2206" w:rsidRDefault="00E541EE" w:rsidP="00E541EE">
      <w:pPr>
        <w:autoSpaceDE w:val="0"/>
        <w:autoSpaceDN w:val="0"/>
        <w:adjustRightInd w:val="0"/>
        <w:jc w:val="both"/>
        <w:rPr>
          <w:rFonts w:ascii="Arial" w:eastAsia="Times New Roman" w:hAnsi="Arial" w:cs="Arial"/>
          <w:bCs/>
          <w:sz w:val="24"/>
          <w:szCs w:val="24"/>
          <w:lang w:bidi="mr-IN"/>
        </w:rPr>
      </w:pPr>
      <w:r w:rsidRPr="00AC2206">
        <w:rPr>
          <w:rFonts w:ascii="Arial" w:eastAsia="Times New Roman" w:hAnsi="Arial" w:cs="Arial"/>
          <w:b/>
          <w:bCs/>
          <w:sz w:val="24"/>
          <w:szCs w:val="24"/>
          <w:lang w:bidi="mr-IN"/>
        </w:rPr>
        <w:t>Pokazatelj uspješnosti</w:t>
      </w:r>
      <w:r w:rsidRPr="00AC2206">
        <w:rPr>
          <w:rFonts w:ascii="Arial" w:eastAsia="Times New Roman" w:hAnsi="Arial" w:cs="Arial"/>
          <w:bCs/>
          <w:sz w:val="24"/>
          <w:szCs w:val="24"/>
          <w:lang w:bidi="mr-IN"/>
        </w:rPr>
        <w:t>: dodatni zdravi obrok svježeg voća ili povrća, mlijeka i mliječnih proizvoda u svrhu promoviranja zdrave prehrambene navike.</w:t>
      </w:r>
    </w:p>
    <w:p w14:paraId="65052547" w14:textId="77777777" w:rsidR="00E541EE" w:rsidRPr="00AC2206" w:rsidRDefault="00E541EE" w:rsidP="00E541EE">
      <w:pPr>
        <w:rPr>
          <w:rFonts w:ascii="Arial" w:eastAsia="Times New Roman" w:hAnsi="Arial" w:cs="Arial"/>
          <w:sz w:val="24"/>
          <w:szCs w:val="24"/>
        </w:rPr>
      </w:pPr>
    </w:p>
    <w:p w14:paraId="1173FD8C"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sz w:val="24"/>
          <w:szCs w:val="24"/>
        </w:rPr>
      </w:pPr>
      <w:r w:rsidRPr="00AC2206">
        <w:rPr>
          <w:rFonts w:ascii="Arial" w:eastAsia="Times New Roman" w:hAnsi="Arial" w:cs="Arial"/>
          <w:b/>
          <w:sz w:val="24"/>
          <w:szCs w:val="24"/>
        </w:rPr>
        <w:t>A 103617: Građanski odgoj = 700,00 EUR</w:t>
      </w:r>
    </w:p>
    <w:p w14:paraId="29D294CA"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Zakonska osnova</w:t>
      </w:r>
      <w:r w:rsidRPr="00AC2206">
        <w:rPr>
          <w:rFonts w:ascii="Arial" w:eastAsia="Times New Roman" w:hAnsi="Arial" w:cs="Arial"/>
          <w:bCs/>
          <w:sz w:val="24"/>
          <w:szCs w:val="24"/>
        </w:rPr>
        <w:t>:</w:t>
      </w:r>
      <w:r w:rsidRPr="00AC2206">
        <w:rPr>
          <w:rFonts w:ascii="Arial" w:eastAsia="Times New Roman" w:hAnsi="Arial" w:cs="Arial"/>
          <w:sz w:val="24"/>
          <w:szCs w:val="24"/>
        </w:rPr>
        <w:t xml:space="preserve"> </w:t>
      </w:r>
      <w:r w:rsidRPr="00AC2206">
        <w:rPr>
          <w:rFonts w:ascii="Arial" w:eastAsia="Times New Roman" w:hAnsi="Arial" w:cs="Arial"/>
          <w:bCs/>
          <w:sz w:val="24"/>
          <w:szCs w:val="24"/>
        </w:rPr>
        <w:t>Zakon o odgoju i obrazovanju u osnovnoj i srednjoj školi, Državni pedagoški standard osnovnoškolskog sustava odgoja i obrazovanja.</w:t>
      </w:r>
    </w:p>
    <w:p w14:paraId="0EA2D450" w14:textId="77777777" w:rsidR="00E541EE" w:rsidRDefault="00E541EE" w:rsidP="00E541EE">
      <w:pPr>
        <w:jc w:val="both"/>
        <w:rPr>
          <w:rFonts w:ascii="Arial" w:hAnsi="Arial" w:cs="Arial"/>
          <w:sz w:val="24"/>
          <w:szCs w:val="24"/>
        </w:rPr>
      </w:pPr>
      <w:r w:rsidRPr="00AC2206">
        <w:rPr>
          <w:rFonts w:ascii="Arial" w:eastAsia="Times New Roman" w:hAnsi="Arial" w:cs="Arial"/>
          <w:b/>
          <w:sz w:val="24"/>
          <w:szCs w:val="24"/>
        </w:rPr>
        <w:t>Opis:</w:t>
      </w:r>
      <w:r w:rsidRPr="00AC2206">
        <w:rPr>
          <w:rFonts w:ascii="Arial" w:eastAsia="Times New Roman" w:hAnsi="Arial" w:cs="Arial"/>
          <w:sz w:val="24"/>
          <w:szCs w:val="24"/>
        </w:rPr>
        <w:t xml:space="preserve"> </w:t>
      </w:r>
      <w:r w:rsidRPr="00AC2206">
        <w:rPr>
          <w:rFonts w:ascii="Arial" w:hAnsi="Arial" w:cs="Arial"/>
          <w:sz w:val="24"/>
          <w:shd w:val="clear" w:color="auto" w:fill="FFFFFF"/>
        </w:rPr>
        <w:t>U š</w:t>
      </w:r>
      <w:r w:rsidRPr="00AC2206">
        <w:rPr>
          <w:rFonts w:ascii="Arial" w:hAnsi="Arial" w:cs="Arial"/>
          <w:sz w:val="24"/>
          <w:bdr w:val="none" w:sz="0" w:space="0" w:color="auto" w:frame="1"/>
          <w:shd w:val="clear" w:color="auto" w:fill="FFFFFF"/>
        </w:rPr>
        <w:t>kol</w:t>
      </w:r>
      <w:r w:rsidRPr="00AC2206">
        <w:rPr>
          <w:rFonts w:ascii="Arial" w:hAnsi="Arial" w:cs="Arial"/>
          <w:sz w:val="24"/>
          <w:shd w:val="clear" w:color="auto" w:fill="FFFFFF"/>
        </w:rPr>
        <w:t>i</w:t>
      </w:r>
      <w:r w:rsidRPr="00AC2206">
        <w:rPr>
          <w:rFonts w:ascii="Arial" w:hAnsi="Arial" w:cs="Arial"/>
          <w:sz w:val="24"/>
          <w:bdr w:val="none" w:sz="0" w:space="0" w:color="auto" w:frame="1"/>
          <w:shd w:val="clear" w:color="auto" w:fill="FFFFFF"/>
        </w:rPr>
        <w:t> </w:t>
      </w:r>
      <w:r w:rsidRPr="00AC2206">
        <w:rPr>
          <w:rFonts w:ascii="Arial" w:hAnsi="Arial" w:cs="Arial"/>
          <w:sz w:val="24"/>
          <w:shd w:val="clear" w:color="auto" w:fill="FFFFFF"/>
        </w:rPr>
        <w:t>se provodi izvannastavna aktivnost </w:t>
      </w:r>
      <w:r w:rsidRPr="00AC2206">
        <w:rPr>
          <w:rFonts w:ascii="Arial" w:hAnsi="Arial" w:cs="Arial"/>
          <w:sz w:val="24"/>
          <w:bdr w:val="none" w:sz="0" w:space="0" w:color="auto" w:frame="1"/>
          <w:shd w:val="clear" w:color="auto" w:fill="FFFFFF"/>
        </w:rPr>
        <w:t>Građanskog odgoja i obrazovanja za učenike predmetne nastave. Za realizaciju </w:t>
      </w:r>
      <w:r w:rsidRPr="00AC2206">
        <w:rPr>
          <w:rFonts w:ascii="Arial" w:hAnsi="Arial" w:cs="Arial"/>
          <w:sz w:val="24"/>
          <w:shd w:val="clear" w:color="auto" w:fill="FFFFFF"/>
        </w:rPr>
        <w:t>aktivnosti</w:t>
      </w:r>
      <w:r w:rsidRPr="00AC2206">
        <w:rPr>
          <w:rFonts w:ascii="Arial" w:hAnsi="Arial" w:cs="Arial"/>
          <w:sz w:val="24"/>
          <w:bdr w:val="none" w:sz="0" w:space="0" w:color="auto" w:frame="1"/>
          <w:shd w:val="clear" w:color="auto" w:fill="FFFFFF"/>
        </w:rPr>
        <w:t> potrebno je osigurati sredstva za pokriće materijalnih troškova. </w:t>
      </w:r>
      <w:r w:rsidRPr="00AC2206">
        <w:rPr>
          <w:rFonts w:ascii="Arial" w:hAnsi="Arial" w:cs="Arial"/>
          <w:sz w:val="24"/>
          <w:shd w:val="clear" w:color="auto" w:fill="FFFFFF"/>
        </w:rPr>
        <w:t>Planirano je posjetiti sjednicu županijske skupštine i sudjelovati na aktualnom satu.</w:t>
      </w:r>
      <w:r w:rsidRPr="00AC2206">
        <w:rPr>
          <w:rFonts w:ascii="Arial" w:hAnsi="Arial" w:cs="Arial"/>
          <w:sz w:val="24"/>
          <w:bdr w:val="none" w:sz="0" w:space="0" w:color="auto" w:frame="1"/>
          <w:shd w:val="clear" w:color="auto" w:fill="FFFFFF"/>
        </w:rPr>
        <w:t> </w:t>
      </w:r>
      <w:r w:rsidRPr="00AC2206">
        <w:rPr>
          <w:rFonts w:ascii="Arial" w:hAnsi="Arial" w:cs="Arial"/>
          <w:sz w:val="24"/>
          <w:shd w:val="clear" w:color="auto" w:fill="FFFFFF"/>
        </w:rPr>
        <w:t>Kako je poduzetništvo i ekologija dio ovog međupredmetnog kurikuluma, planira se upoznavanje i suradanja s uspješnim gospodarskim subjektima, kao i aktivnosti za zaštitu životinja. Također se planira aktivno sudjelovanje u realizaciji projekta Zavičajne nastave. </w:t>
      </w:r>
      <w:r w:rsidRPr="00AC2206">
        <w:rPr>
          <w:rFonts w:ascii="Arial" w:hAnsi="Arial" w:cs="Arial"/>
          <w:sz w:val="24"/>
          <w:bdr w:val="none" w:sz="0" w:space="0" w:color="auto" w:frame="1"/>
          <w:shd w:val="clear" w:color="auto" w:fill="FFFFFF"/>
        </w:rPr>
        <w:t xml:space="preserve">Ukupno je potrebno osigurati 700,00 </w:t>
      </w:r>
      <w:r>
        <w:rPr>
          <w:rFonts w:ascii="Arial" w:hAnsi="Arial" w:cs="Arial"/>
          <w:sz w:val="24"/>
          <w:bdr w:val="none" w:sz="0" w:space="0" w:color="auto" w:frame="1"/>
          <w:shd w:val="clear" w:color="auto" w:fill="FFFFFF"/>
        </w:rPr>
        <w:t>eura</w:t>
      </w:r>
      <w:r w:rsidRPr="00AC2206">
        <w:rPr>
          <w:rFonts w:ascii="Arial" w:hAnsi="Arial" w:cs="Arial"/>
          <w:sz w:val="24"/>
          <w:bdr w:val="none" w:sz="0" w:space="0" w:color="auto" w:frame="1"/>
          <w:shd w:val="clear" w:color="auto" w:fill="FFFFFF"/>
        </w:rPr>
        <w:t>.</w:t>
      </w:r>
    </w:p>
    <w:p w14:paraId="17B7CD1E" w14:textId="77777777" w:rsidR="00E541EE" w:rsidRPr="00AC2206" w:rsidRDefault="00E541EE" w:rsidP="00E541EE">
      <w:pPr>
        <w:jc w:val="both"/>
        <w:rPr>
          <w:rFonts w:ascii="Arial" w:hAnsi="Arial" w:cs="Arial"/>
          <w:sz w:val="24"/>
          <w:szCs w:val="24"/>
        </w:rPr>
      </w:pPr>
      <w:r w:rsidRPr="00AC2206">
        <w:rPr>
          <w:rFonts w:ascii="Arial" w:eastAsia="Times New Roman" w:hAnsi="Arial" w:cs="Arial"/>
          <w:b/>
          <w:sz w:val="24"/>
          <w:szCs w:val="24"/>
        </w:rPr>
        <w:t xml:space="preserve">Opći cilj:  </w:t>
      </w:r>
      <w:r w:rsidRPr="00AC2206">
        <w:rPr>
          <w:rFonts w:ascii="Arial" w:eastAsia="Times New Roman" w:hAnsi="Arial" w:cs="Arial"/>
          <w:sz w:val="24"/>
          <w:szCs w:val="24"/>
        </w:rPr>
        <w:t xml:space="preserve">promocija nenasilja, tolerancije, solidarnosti kod mladih, poštivanje ljudskih prava. </w:t>
      </w:r>
    </w:p>
    <w:p w14:paraId="0144B964" w14:textId="77777777" w:rsidR="00E541EE" w:rsidRPr="00AC2206" w:rsidRDefault="00E541EE" w:rsidP="00E541EE">
      <w:pPr>
        <w:jc w:val="both"/>
        <w:rPr>
          <w:rFonts w:ascii="Arial" w:eastAsia="Times New Roman" w:hAnsi="Arial" w:cs="Arial"/>
          <w:color w:val="000000"/>
          <w:sz w:val="24"/>
          <w:szCs w:val="24"/>
          <w:shd w:val="clear" w:color="auto" w:fill="FFFFFF"/>
        </w:rPr>
      </w:pPr>
      <w:r w:rsidRPr="00AC2206">
        <w:rPr>
          <w:rFonts w:ascii="Arial" w:eastAsia="Times New Roman" w:hAnsi="Arial" w:cs="Arial"/>
          <w:b/>
          <w:sz w:val="24"/>
          <w:szCs w:val="24"/>
        </w:rPr>
        <w:t xml:space="preserve">Pokazatelj uspješnosti: </w:t>
      </w:r>
      <w:r w:rsidRPr="00AC2206">
        <w:rPr>
          <w:rFonts w:ascii="Arial" w:eastAsia="Times New Roman" w:hAnsi="Arial" w:cs="Arial"/>
          <w:sz w:val="24"/>
          <w:szCs w:val="24"/>
        </w:rPr>
        <w:t xml:space="preserve">provođenje projekta koji </w:t>
      </w:r>
      <w:r w:rsidRPr="00AC2206">
        <w:rPr>
          <w:rFonts w:ascii="Arial" w:eastAsia="Times New Roman" w:hAnsi="Arial" w:cs="Arial"/>
          <w:color w:val="000000"/>
          <w:sz w:val="24"/>
          <w:szCs w:val="24"/>
          <w:shd w:val="clear" w:color="auto" w:fill="FFFFFF"/>
        </w:rPr>
        <w:t>omogućava mladima da postanu odgovorni i aktivni članovi društva, sposobni djelovati za opće dobro te donositi informirane i promišljene odluke. Građanski odgoj i obrazovanje podrazumijeva usvajanje vrijednosti, stavova i znanja, ali i vještina i sposobnosti kako ta znanja iskoristiti u svakodnevnim situacijama.</w:t>
      </w:r>
    </w:p>
    <w:p w14:paraId="4488DB5D" w14:textId="77777777" w:rsidR="00E541EE" w:rsidRPr="00AC2206" w:rsidRDefault="00E541EE" w:rsidP="00E541EE">
      <w:pPr>
        <w:jc w:val="both"/>
        <w:rPr>
          <w:rFonts w:ascii="Arial" w:eastAsia="Times New Roman" w:hAnsi="Arial" w:cs="Arial"/>
          <w:sz w:val="24"/>
          <w:szCs w:val="24"/>
        </w:rPr>
      </w:pPr>
    </w:p>
    <w:p w14:paraId="515454CE"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sz w:val="24"/>
          <w:szCs w:val="24"/>
        </w:rPr>
      </w:pPr>
      <w:r w:rsidRPr="00AC2206">
        <w:rPr>
          <w:rFonts w:ascii="Arial" w:eastAsia="Times New Roman" w:hAnsi="Arial" w:cs="Arial"/>
          <w:b/>
          <w:sz w:val="24"/>
          <w:szCs w:val="24"/>
        </w:rPr>
        <w:t>K 103606: Nabava školskih udžbenika = 25.000,00 EUR</w:t>
      </w:r>
    </w:p>
    <w:p w14:paraId="2B4635DC" w14:textId="77777777" w:rsidR="00E541EE" w:rsidRPr="00AC2206" w:rsidRDefault="00E541EE" w:rsidP="00E541EE">
      <w:pPr>
        <w:autoSpaceDE w:val="0"/>
        <w:autoSpaceDN w:val="0"/>
        <w:adjustRightInd w:val="0"/>
        <w:contextualSpacing/>
        <w:jc w:val="both"/>
        <w:rPr>
          <w:rFonts w:ascii="Arial" w:eastAsia="Times New Roman" w:hAnsi="Arial" w:cs="Arial"/>
          <w:bCs/>
          <w:sz w:val="24"/>
          <w:szCs w:val="24"/>
        </w:rPr>
      </w:pPr>
      <w:r w:rsidRPr="00AC2206">
        <w:rPr>
          <w:rFonts w:ascii="Arial" w:eastAsia="Times New Roman" w:hAnsi="Arial" w:cs="Arial"/>
          <w:b/>
          <w:bCs/>
          <w:sz w:val="24"/>
          <w:szCs w:val="24"/>
        </w:rPr>
        <w:t>Zakonska osnova</w:t>
      </w:r>
      <w:r w:rsidRPr="00AC2206">
        <w:rPr>
          <w:rFonts w:ascii="Arial" w:eastAsia="Times New Roman" w:hAnsi="Arial" w:cs="Arial"/>
          <w:bCs/>
          <w:sz w:val="24"/>
          <w:szCs w:val="24"/>
        </w:rPr>
        <w:t>: Zakon o odgoju i obrazovanju u osnovnoj i srednjoj školi, Zakon o udžbenicima i drugim obrazovnim materijalima za osnovnu i srednju školu.</w:t>
      </w:r>
    </w:p>
    <w:p w14:paraId="3F8CF64A" w14:textId="77777777" w:rsidR="00E541EE" w:rsidRPr="00AC2206" w:rsidRDefault="00E541EE" w:rsidP="00E541EE">
      <w:pPr>
        <w:autoSpaceDE w:val="0"/>
        <w:autoSpaceDN w:val="0"/>
        <w:adjustRightInd w:val="0"/>
        <w:jc w:val="both"/>
        <w:rPr>
          <w:rFonts w:ascii="Arial" w:eastAsia="Times New Roman" w:hAnsi="Arial" w:cs="Arial"/>
          <w:bCs/>
          <w:sz w:val="24"/>
          <w:szCs w:val="24"/>
        </w:rPr>
      </w:pPr>
      <w:r w:rsidRPr="00AC2206">
        <w:rPr>
          <w:rFonts w:ascii="Arial" w:eastAsia="Times New Roman" w:hAnsi="Arial" w:cs="Arial"/>
          <w:b/>
          <w:sz w:val="24"/>
          <w:szCs w:val="24"/>
        </w:rPr>
        <w:t>Opis:</w:t>
      </w:r>
      <w:r w:rsidRPr="00AC2206">
        <w:rPr>
          <w:rFonts w:ascii="Arial" w:eastAsia="Times New Roman" w:hAnsi="Arial" w:cs="Arial"/>
          <w:sz w:val="24"/>
          <w:szCs w:val="24"/>
        </w:rPr>
        <w:t xml:space="preserve"> </w:t>
      </w:r>
      <w:r w:rsidRPr="00AC2206">
        <w:rPr>
          <w:rFonts w:ascii="Arial" w:eastAsia="Times New Roman" w:hAnsi="Arial" w:cs="Arial"/>
          <w:bCs/>
          <w:sz w:val="24"/>
          <w:szCs w:val="24"/>
        </w:rPr>
        <w:t>sredstvima Državnog proračuna osigurava se nabava udžbenika za učenike škole u skladu sa Zakonom o udžbenicima i drugim obrazovnim materijalima za osnovnu i srednju školu.</w:t>
      </w:r>
    </w:p>
    <w:p w14:paraId="1DD145A8"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sz w:val="24"/>
          <w:szCs w:val="24"/>
        </w:rPr>
        <w:t xml:space="preserve">Opći cilj: </w:t>
      </w:r>
      <w:r w:rsidRPr="00AC2206">
        <w:rPr>
          <w:rFonts w:ascii="Arial" w:eastAsia="Times New Roman" w:hAnsi="Arial" w:cs="Arial"/>
          <w:sz w:val="24"/>
          <w:szCs w:val="24"/>
        </w:rPr>
        <w:t>jednaki uvjeti obrazovanja u osnovnim školama.</w:t>
      </w:r>
    </w:p>
    <w:p w14:paraId="006A1088" w14:textId="77777777" w:rsidR="00E541EE" w:rsidRPr="00AC2206" w:rsidRDefault="00E541EE" w:rsidP="00E541EE">
      <w:pPr>
        <w:autoSpaceDE w:val="0"/>
        <w:autoSpaceDN w:val="0"/>
        <w:adjustRightInd w:val="0"/>
        <w:contextualSpacing/>
        <w:jc w:val="both"/>
        <w:rPr>
          <w:rFonts w:ascii="Arial" w:eastAsia="Times New Roman" w:hAnsi="Arial" w:cs="Arial"/>
          <w:b/>
          <w:bCs/>
          <w:sz w:val="24"/>
          <w:szCs w:val="24"/>
        </w:rPr>
      </w:pPr>
      <w:r w:rsidRPr="00AC2206">
        <w:rPr>
          <w:rFonts w:ascii="Arial" w:eastAsia="Times New Roman" w:hAnsi="Arial" w:cs="Arial"/>
          <w:b/>
          <w:sz w:val="24"/>
          <w:szCs w:val="24"/>
        </w:rPr>
        <w:t xml:space="preserve">Pokazatelj uspješnosti: </w:t>
      </w:r>
      <w:r w:rsidRPr="00AC2206">
        <w:rPr>
          <w:rFonts w:ascii="Arial" w:eastAsia="Times New Roman" w:hAnsi="Arial" w:cs="Arial"/>
          <w:bCs/>
          <w:sz w:val="24"/>
          <w:szCs w:val="24"/>
        </w:rPr>
        <w:t>svim učenicima osigurani su školski udžbenici</w:t>
      </w:r>
      <w:r w:rsidRPr="00AC2206">
        <w:rPr>
          <w:rFonts w:ascii="Arial" w:eastAsia="Times New Roman" w:hAnsi="Arial" w:cs="Arial"/>
          <w:b/>
          <w:bCs/>
          <w:sz w:val="24"/>
          <w:szCs w:val="24"/>
        </w:rPr>
        <w:t>.</w:t>
      </w:r>
    </w:p>
    <w:p w14:paraId="0008E45D" w14:textId="77777777" w:rsidR="00E541EE" w:rsidRPr="00AC2206" w:rsidRDefault="00E541EE" w:rsidP="00E541EE">
      <w:pPr>
        <w:autoSpaceDE w:val="0"/>
        <w:autoSpaceDN w:val="0"/>
        <w:adjustRightInd w:val="0"/>
        <w:jc w:val="both"/>
        <w:rPr>
          <w:rFonts w:ascii="Arial" w:eastAsia="Times New Roman" w:hAnsi="Arial" w:cs="Arial"/>
          <w:bCs/>
          <w:sz w:val="24"/>
          <w:szCs w:val="24"/>
        </w:rPr>
      </w:pPr>
    </w:p>
    <w:p w14:paraId="702D64AD"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AC2206">
        <w:rPr>
          <w:rFonts w:ascii="Arial" w:eastAsia="Times New Roman" w:hAnsi="Arial" w:cs="Arial"/>
          <w:b/>
          <w:bCs/>
          <w:sz w:val="24"/>
          <w:szCs w:val="24"/>
        </w:rPr>
        <w:t>A 103631: Nabava radnih bilježnica = 32.000,00 EUR</w:t>
      </w:r>
    </w:p>
    <w:p w14:paraId="187C4296" w14:textId="77777777" w:rsidR="00E541EE" w:rsidRPr="00AC2206" w:rsidRDefault="00E541EE" w:rsidP="00E541EE">
      <w:pPr>
        <w:autoSpaceDE w:val="0"/>
        <w:autoSpaceDN w:val="0"/>
        <w:adjustRightInd w:val="0"/>
        <w:contextualSpacing/>
        <w:jc w:val="both"/>
        <w:rPr>
          <w:rFonts w:ascii="Arial" w:eastAsia="Times New Roman" w:hAnsi="Arial" w:cs="Arial"/>
          <w:bCs/>
          <w:sz w:val="24"/>
          <w:szCs w:val="24"/>
        </w:rPr>
      </w:pPr>
      <w:r w:rsidRPr="00AC2206">
        <w:rPr>
          <w:rFonts w:ascii="Arial" w:eastAsia="Times New Roman" w:hAnsi="Arial" w:cs="Arial"/>
          <w:b/>
          <w:bCs/>
          <w:sz w:val="24"/>
          <w:szCs w:val="24"/>
        </w:rPr>
        <w:t>Zakonska osnova</w:t>
      </w:r>
      <w:r w:rsidRPr="00AC2206">
        <w:rPr>
          <w:rFonts w:ascii="Arial" w:eastAsia="Times New Roman" w:hAnsi="Arial" w:cs="Arial"/>
          <w:bCs/>
          <w:sz w:val="24"/>
          <w:szCs w:val="24"/>
        </w:rPr>
        <w:t>: Zakon o odgoju i obrazovanju u osnovnoj i srednjoj školi, Zakon o udžbenicima i drugim obrazovnim materijalima za osnovnu i srednju školu.</w:t>
      </w:r>
    </w:p>
    <w:p w14:paraId="721339F3" w14:textId="77777777" w:rsidR="00E541EE" w:rsidRPr="00AC2206" w:rsidRDefault="00E541EE" w:rsidP="00E541EE">
      <w:pPr>
        <w:autoSpaceDE w:val="0"/>
        <w:autoSpaceDN w:val="0"/>
        <w:adjustRightInd w:val="0"/>
        <w:contextualSpacing/>
        <w:jc w:val="both"/>
        <w:rPr>
          <w:rFonts w:ascii="Arial" w:eastAsia="Times New Roman" w:hAnsi="Arial" w:cs="Arial"/>
          <w:bCs/>
          <w:sz w:val="24"/>
          <w:szCs w:val="24"/>
        </w:rPr>
      </w:pPr>
      <w:r w:rsidRPr="00AC2206">
        <w:rPr>
          <w:rFonts w:ascii="Arial" w:eastAsia="Times New Roman" w:hAnsi="Arial" w:cs="Arial"/>
          <w:b/>
          <w:sz w:val="24"/>
          <w:szCs w:val="24"/>
        </w:rPr>
        <w:t>Opis:</w:t>
      </w:r>
      <w:r w:rsidRPr="00AC2206">
        <w:rPr>
          <w:rFonts w:ascii="Arial" w:eastAsia="Times New Roman" w:hAnsi="Arial" w:cs="Arial"/>
          <w:sz w:val="24"/>
          <w:szCs w:val="24"/>
        </w:rPr>
        <w:t xml:space="preserve"> </w:t>
      </w:r>
      <w:r w:rsidRPr="00AC2206">
        <w:rPr>
          <w:rFonts w:ascii="Arial" w:eastAsia="Times New Roman" w:hAnsi="Arial" w:cs="Arial"/>
          <w:bCs/>
          <w:sz w:val="24"/>
          <w:szCs w:val="24"/>
        </w:rPr>
        <w:t xml:space="preserve">nabavu radnih bilježnica za školsku godinu 2025./2026. tijekom srpnja 2025. godine odradit će škola te će za isto biti potrebna sredstva u ukupnom iznosu od 32.000,00 </w:t>
      </w:r>
      <w:r>
        <w:rPr>
          <w:rFonts w:ascii="Arial" w:eastAsia="Times New Roman" w:hAnsi="Arial" w:cs="Arial"/>
          <w:bCs/>
          <w:sz w:val="24"/>
          <w:szCs w:val="24"/>
        </w:rPr>
        <w:t>eura</w:t>
      </w:r>
      <w:r w:rsidRPr="00AC2206">
        <w:rPr>
          <w:rFonts w:ascii="Arial" w:eastAsia="Times New Roman" w:hAnsi="Arial" w:cs="Arial"/>
          <w:bCs/>
          <w:sz w:val="24"/>
          <w:szCs w:val="24"/>
        </w:rPr>
        <w:t xml:space="preserve"> od čega će susjedne općine čiji učenici pohađaju našu školu osigurati 500,00 </w:t>
      </w:r>
      <w:r>
        <w:rPr>
          <w:rFonts w:ascii="Arial" w:eastAsia="Times New Roman" w:hAnsi="Arial" w:cs="Arial"/>
          <w:bCs/>
          <w:sz w:val="24"/>
          <w:szCs w:val="24"/>
        </w:rPr>
        <w:t>eura</w:t>
      </w:r>
      <w:r w:rsidRPr="00AC2206">
        <w:rPr>
          <w:rFonts w:ascii="Arial" w:eastAsia="Times New Roman" w:hAnsi="Arial" w:cs="Arial"/>
          <w:bCs/>
          <w:sz w:val="24"/>
          <w:szCs w:val="24"/>
        </w:rPr>
        <w:t xml:space="preserve">  i ostatak od 31.500,00 </w:t>
      </w:r>
      <w:r>
        <w:rPr>
          <w:rFonts w:ascii="Arial" w:eastAsia="Times New Roman" w:hAnsi="Arial" w:cs="Arial"/>
          <w:bCs/>
          <w:sz w:val="24"/>
          <w:szCs w:val="24"/>
        </w:rPr>
        <w:t>eura</w:t>
      </w:r>
      <w:r w:rsidRPr="00AC2206">
        <w:rPr>
          <w:rFonts w:ascii="Arial" w:eastAsia="Times New Roman" w:hAnsi="Arial" w:cs="Arial"/>
          <w:bCs/>
          <w:sz w:val="24"/>
          <w:szCs w:val="24"/>
        </w:rPr>
        <w:t xml:space="preserve"> nabaviti će se iz sredstava gradskog Proračuna.</w:t>
      </w:r>
    </w:p>
    <w:p w14:paraId="66A307BA"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sz w:val="24"/>
          <w:szCs w:val="24"/>
        </w:rPr>
        <w:t xml:space="preserve">Opći cilj: </w:t>
      </w:r>
      <w:r w:rsidRPr="00AC2206">
        <w:rPr>
          <w:rFonts w:ascii="Arial" w:eastAsia="Times New Roman" w:hAnsi="Arial" w:cs="Arial"/>
          <w:sz w:val="24"/>
          <w:szCs w:val="24"/>
        </w:rPr>
        <w:t>jednaki uvjeti obrazovanja u osnovnim školama.</w:t>
      </w:r>
    </w:p>
    <w:p w14:paraId="176C4C81" w14:textId="77777777" w:rsidR="00E541EE" w:rsidRPr="00AC2206" w:rsidRDefault="00E541EE" w:rsidP="00E541EE">
      <w:pPr>
        <w:autoSpaceDE w:val="0"/>
        <w:autoSpaceDN w:val="0"/>
        <w:adjustRightInd w:val="0"/>
        <w:contextualSpacing/>
        <w:jc w:val="both"/>
        <w:rPr>
          <w:rFonts w:ascii="Arial" w:eastAsia="Times New Roman" w:hAnsi="Arial" w:cs="Arial"/>
          <w:bCs/>
          <w:sz w:val="24"/>
          <w:szCs w:val="24"/>
        </w:rPr>
      </w:pPr>
      <w:r w:rsidRPr="00AC2206">
        <w:rPr>
          <w:rFonts w:ascii="Arial" w:eastAsia="Times New Roman" w:hAnsi="Arial" w:cs="Arial"/>
          <w:b/>
          <w:sz w:val="24"/>
          <w:szCs w:val="24"/>
        </w:rPr>
        <w:t xml:space="preserve">Pokazatelj uspješnosti: </w:t>
      </w:r>
      <w:r w:rsidRPr="00AC2206">
        <w:rPr>
          <w:rFonts w:ascii="Arial" w:eastAsia="Times New Roman" w:hAnsi="Arial" w:cs="Arial"/>
          <w:bCs/>
          <w:sz w:val="24"/>
          <w:szCs w:val="24"/>
        </w:rPr>
        <w:t>svim učenicima osigurane su radne bilježnice.</w:t>
      </w:r>
    </w:p>
    <w:p w14:paraId="30BFB3DA" w14:textId="77777777" w:rsidR="00E541EE" w:rsidRPr="00AC2206" w:rsidRDefault="00E541EE" w:rsidP="00E541EE">
      <w:pPr>
        <w:autoSpaceDE w:val="0"/>
        <w:autoSpaceDN w:val="0"/>
        <w:adjustRightInd w:val="0"/>
        <w:contextualSpacing/>
        <w:jc w:val="both"/>
        <w:rPr>
          <w:rFonts w:ascii="Arial" w:eastAsia="Times New Roman" w:hAnsi="Arial" w:cs="Arial"/>
          <w:bCs/>
          <w:sz w:val="24"/>
          <w:szCs w:val="24"/>
        </w:rPr>
      </w:pPr>
    </w:p>
    <w:p w14:paraId="45637482"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AC2206">
        <w:rPr>
          <w:rFonts w:ascii="Arial" w:eastAsia="Times New Roman" w:hAnsi="Arial" w:cs="Arial"/>
          <w:b/>
          <w:bCs/>
          <w:sz w:val="24"/>
          <w:szCs w:val="24"/>
        </w:rPr>
        <w:t>A 103638: Prehrana za učenike u osnovnim školama = 6</w:t>
      </w:r>
      <w:r>
        <w:rPr>
          <w:rFonts w:ascii="Arial" w:eastAsia="Times New Roman" w:hAnsi="Arial" w:cs="Arial"/>
          <w:b/>
          <w:bCs/>
          <w:sz w:val="24"/>
          <w:szCs w:val="24"/>
        </w:rPr>
        <w:t>0</w:t>
      </w:r>
      <w:r w:rsidRPr="00AC2206">
        <w:rPr>
          <w:rFonts w:ascii="Arial" w:eastAsia="Times New Roman" w:hAnsi="Arial" w:cs="Arial"/>
          <w:b/>
          <w:bCs/>
          <w:sz w:val="24"/>
          <w:szCs w:val="24"/>
        </w:rPr>
        <w:t>.</w:t>
      </w:r>
      <w:r>
        <w:rPr>
          <w:rFonts w:ascii="Arial" w:eastAsia="Times New Roman" w:hAnsi="Arial" w:cs="Arial"/>
          <w:b/>
          <w:bCs/>
          <w:sz w:val="24"/>
          <w:szCs w:val="24"/>
        </w:rPr>
        <w:t>3</w:t>
      </w:r>
      <w:r w:rsidRPr="00AC2206">
        <w:rPr>
          <w:rFonts w:ascii="Arial" w:eastAsia="Times New Roman" w:hAnsi="Arial" w:cs="Arial"/>
          <w:b/>
          <w:bCs/>
          <w:sz w:val="24"/>
          <w:szCs w:val="24"/>
        </w:rPr>
        <w:t>00,00 EUR</w:t>
      </w:r>
    </w:p>
    <w:p w14:paraId="13796F8E" w14:textId="77777777" w:rsidR="00E541EE" w:rsidRPr="00AC2206" w:rsidRDefault="00E541EE" w:rsidP="00E541EE">
      <w:pPr>
        <w:jc w:val="both"/>
        <w:rPr>
          <w:rFonts w:ascii="Arial" w:eastAsia="Times New Roman" w:hAnsi="Arial" w:cs="Arial"/>
          <w:b/>
          <w:sz w:val="24"/>
          <w:szCs w:val="24"/>
        </w:rPr>
      </w:pPr>
      <w:r w:rsidRPr="00AC2206">
        <w:rPr>
          <w:rFonts w:ascii="Arial" w:eastAsia="Times New Roman" w:hAnsi="Arial" w:cs="Arial"/>
          <w:b/>
          <w:sz w:val="24"/>
          <w:szCs w:val="24"/>
        </w:rPr>
        <w:t xml:space="preserve">Zakonska osnova: </w:t>
      </w:r>
      <w:r w:rsidRPr="00AC2206">
        <w:rPr>
          <w:rFonts w:ascii="Arial" w:eastAsia="Times New Roman" w:hAnsi="Arial" w:cs="Arial"/>
          <w:sz w:val="24"/>
          <w:szCs w:val="24"/>
        </w:rPr>
        <w:t xml:space="preserve">Zakon o odgoju i obrazovanju u osnovnoj i srednjoj školi Državni pedagoški standard osnovnoškolskog sustava odgoja i obrazovanja, </w:t>
      </w:r>
    </w:p>
    <w:p w14:paraId="34B94346" w14:textId="77777777" w:rsidR="00E541EE" w:rsidRPr="00AC2206" w:rsidRDefault="00E541EE" w:rsidP="00E541EE">
      <w:pPr>
        <w:shd w:val="clear" w:color="auto" w:fill="FFFFFF"/>
        <w:jc w:val="both"/>
        <w:textAlignment w:val="baseline"/>
        <w:rPr>
          <w:rFonts w:ascii="Arial" w:eastAsia="Times New Roman" w:hAnsi="Arial" w:cs="Arial"/>
          <w:color w:val="231F20"/>
          <w:sz w:val="24"/>
          <w:szCs w:val="24"/>
        </w:rPr>
      </w:pPr>
      <w:r w:rsidRPr="00AC2206">
        <w:rPr>
          <w:rFonts w:ascii="Arial" w:eastAsia="Times New Roman" w:hAnsi="Arial" w:cs="Arial"/>
          <w:b/>
          <w:sz w:val="24"/>
          <w:szCs w:val="24"/>
        </w:rPr>
        <w:t xml:space="preserve">Opis: </w:t>
      </w:r>
      <w:r w:rsidRPr="00736773">
        <w:rPr>
          <w:rFonts w:ascii="Arial" w:eastAsia="Times New Roman" w:hAnsi="Arial" w:cs="Arial"/>
          <w:bCs/>
          <w:sz w:val="24"/>
          <w:szCs w:val="24"/>
        </w:rPr>
        <w:t xml:space="preserve">Vlada RH je krajem prosinca 2022. donijela </w:t>
      </w:r>
      <w:r w:rsidRPr="00736773">
        <w:rPr>
          <w:rFonts w:ascii="Arial" w:eastAsia="Times New Roman" w:hAnsi="Arial" w:cs="Arial"/>
          <w:sz w:val="24"/>
          <w:szCs w:val="24"/>
        </w:rPr>
        <w:t xml:space="preserve">Odluku kojom se  utvrđuju  kriteriji i način sufinanciranja, odnosno financiranja troškova prehrane učenika osnovnih škola za drugo polugodište školske godine 2022./2023. te je odluka prolongirana i na sljedeće školske godine. na način da će Ministarstvo znanosti i obrazovanja podmirivat troškove financiranja, odnosno sufinanciranja prehrane za svakog učenika osnovne škole uključenog u školsku prehranu. Učenik koji u redovito pohađa osnovnu školu, ostvaruje pravo financiranja, odnosno sufinanciranja prehrane u iznosu od 1,33 </w:t>
      </w:r>
      <w:r>
        <w:rPr>
          <w:rFonts w:ascii="Arial" w:eastAsia="Times New Roman" w:hAnsi="Arial" w:cs="Arial"/>
          <w:sz w:val="24"/>
          <w:szCs w:val="24"/>
        </w:rPr>
        <w:t>eura</w:t>
      </w:r>
      <w:r w:rsidRPr="00736773">
        <w:rPr>
          <w:rFonts w:ascii="Arial" w:eastAsia="Times New Roman" w:hAnsi="Arial" w:cs="Arial"/>
          <w:sz w:val="24"/>
          <w:szCs w:val="24"/>
        </w:rPr>
        <w:t xml:space="preserve"> po danu, za dane kada je na nastavi. Ministarstvo znanosti i obrazovanja mjesečno osigurava i doznačava sredstva za financiranje, odnosno sufinanciranje troškova prehrane učenika osnivačima osnovnoškolskih ustanova na temelju broja učenika za koje je u e-dnevniku do zadnjeg radnog dana u mjesecu za tekući mjesec označeno da je uključen u prehranu. Osnivači osnovnoškolskih ustanova doznačena financijska sredstva mjesečno preusmjeravaju školama.</w:t>
      </w:r>
    </w:p>
    <w:p w14:paraId="4256A01C"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sz w:val="24"/>
          <w:szCs w:val="24"/>
        </w:rPr>
        <w:t>Opći cilj:</w:t>
      </w:r>
      <w:r w:rsidRPr="00AC2206">
        <w:rPr>
          <w:rFonts w:ascii="Arial" w:eastAsia="Times New Roman" w:hAnsi="Arial" w:cs="Arial"/>
          <w:sz w:val="24"/>
          <w:szCs w:val="24"/>
        </w:rPr>
        <w:t xml:space="preserve"> jednaki uvjeti obrazovanja u osnovnim školama.</w:t>
      </w:r>
    </w:p>
    <w:p w14:paraId="1049172F"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sz w:val="24"/>
          <w:szCs w:val="24"/>
        </w:rPr>
        <w:t xml:space="preserve">Pokazatelj uspješnosti: </w:t>
      </w:r>
      <w:r w:rsidRPr="00AC2206">
        <w:rPr>
          <w:rFonts w:ascii="Arial" w:eastAsia="Times New Roman" w:hAnsi="Arial" w:cs="Arial"/>
          <w:sz w:val="24"/>
          <w:szCs w:val="24"/>
        </w:rPr>
        <w:t>pokriće troškova prehrane za učenike.</w:t>
      </w:r>
    </w:p>
    <w:p w14:paraId="5F0B24B6" w14:textId="77777777" w:rsidR="00E541EE" w:rsidRPr="00AC2206" w:rsidRDefault="00E541EE" w:rsidP="00E541EE">
      <w:pPr>
        <w:autoSpaceDE w:val="0"/>
        <w:autoSpaceDN w:val="0"/>
        <w:adjustRightInd w:val="0"/>
        <w:contextualSpacing/>
        <w:jc w:val="both"/>
        <w:rPr>
          <w:rFonts w:ascii="Arial" w:eastAsia="Times New Roman" w:hAnsi="Arial" w:cs="Arial"/>
          <w:b/>
          <w:bCs/>
          <w:sz w:val="24"/>
          <w:szCs w:val="24"/>
        </w:rPr>
      </w:pPr>
    </w:p>
    <w:p w14:paraId="498C54A0"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AC2206">
        <w:rPr>
          <w:rFonts w:ascii="Arial" w:eastAsia="Times New Roman" w:hAnsi="Arial" w:cs="Arial"/>
          <w:b/>
          <w:bCs/>
          <w:sz w:val="24"/>
          <w:szCs w:val="24"/>
        </w:rPr>
        <w:t>K 103602: Opremanje prostora = 4</w:t>
      </w:r>
      <w:r>
        <w:rPr>
          <w:rFonts w:ascii="Arial" w:eastAsia="Times New Roman" w:hAnsi="Arial" w:cs="Arial"/>
          <w:b/>
          <w:bCs/>
          <w:sz w:val="24"/>
          <w:szCs w:val="24"/>
        </w:rPr>
        <w:t>2</w:t>
      </w:r>
      <w:r w:rsidRPr="00AC2206">
        <w:rPr>
          <w:rFonts w:ascii="Arial" w:eastAsia="Times New Roman" w:hAnsi="Arial" w:cs="Arial"/>
          <w:b/>
          <w:bCs/>
          <w:sz w:val="24"/>
          <w:szCs w:val="24"/>
        </w:rPr>
        <w:t>.900,00 EUR</w:t>
      </w:r>
    </w:p>
    <w:p w14:paraId="2797574B"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Zakonska osnova</w:t>
      </w:r>
      <w:r w:rsidRPr="00AC2206">
        <w:rPr>
          <w:rFonts w:ascii="Arial" w:eastAsia="Times New Roman" w:hAnsi="Arial" w:cs="Arial"/>
          <w:bCs/>
          <w:sz w:val="24"/>
          <w:szCs w:val="24"/>
        </w:rPr>
        <w:t xml:space="preserve">: Zakon o odgoju i obrazovanju u osnovnoj i srednjoj školi, Državni pedagoški standard osnovnoškolskog sustava odgoja i obrazovanja,  </w:t>
      </w:r>
      <w:r w:rsidRPr="00AC2206">
        <w:rPr>
          <w:rFonts w:ascii="Arial" w:eastAsia="Times New Roman" w:hAnsi="Arial" w:cs="Arial"/>
          <w:sz w:val="24"/>
          <w:szCs w:val="24"/>
        </w:rPr>
        <w:t xml:space="preserve">Zakon o ustanovama, Zakon o umjetničkom obrazovanju. </w:t>
      </w:r>
    </w:p>
    <w:p w14:paraId="73FC9190" w14:textId="77777777" w:rsidR="00E541EE" w:rsidRPr="007B42EF" w:rsidRDefault="00E541EE" w:rsidP="00E541EE">
      <w:pPr>
        <w:jc w:val="both"/>
        <w:rPr>
          <w:rFonts w:ascii="Arial" w:hAnsi="Arial" w:cs="Arial"/>
          <w:bCs/>
          <w:sz w:val="24"/>
          <w:szCs w:val="24"/>
        </w:rPr>
      </w:pPr>
      <w:r w:rsidRPr="00AC2206">
        <w:rPr>
          <w:rFonts w:ascii="Arial" w:eastAsia="Times New Roman" w:hAnsi="Arial" w:cs="Arial"/>
          <w:b/>
          <w:sz w:val="24"/>
          <w:szCs w:val="24"/>
        </w:rPr>
        <w:t>Opis:</w:t>
      </w:r>
      <w:r w:rsidRPr="00AC2206">
        <w:rPr>
          <w:rFonts w:ascii="Arial" w:eastAsia="Times New Roman" w:hAnsi="Arial" w:cs="Arial"/>
          <w:sz w:val="24"/>
          <w:szCs w:val="24"/>
        </w:rPr>
        <w:t xml:space="preserve"> </w:t>
      </w:r>
      <w:r w:rsidRPr="007B42EF">
        <w:rPr>
          <w:rFonts w:ascii="Arial" w:eastAsia="Times New Roman" w:hAnsi="Arial" w:cs="Arial"/>
          <w:sz w:val="24"/>
          <w:szCs w:val="24"/>
        </w:rPr>
        <w:t>Z</w:t>
      </w:r>
      <w:r w:rsidRPr="007B42EF">
        <w:rPr>
          <w:rFonts w:ascii="Arial" w:hAnsi="Arial" w:cs="Arial"/>
          <w:bCs/>
          <w:sz w:val="24"/>
          <w:szCs w:val="24"/>
        </w:rPr>
        <w:t xml:space="preserve">a potrebe stalnog unapređenja nastave u 2026. godini biti će potrebno zamijeniti dotrajalu opremu i namještaj u iznosu od </w:t>
      </w:r>
      <w:r w:rsidRPr="007B42EF">
        <w:rPr>
          <w:rFonts w:ascii="Arial" w:hAnsi="Arial" w:cs="Arial"/>
          <w:sz w:val="24"/>
          <w:szCs w:val="24"/>
        </w:rPr>
        <w:t xml:space="preserve">21.000,00 </w:t>
      </w:r>
      <w:r>
        <w:rPr>
          <w:rFonts w:ascii="Arial" w:hAnsi="Arial" w:cs="Arial"/>
          <w:sz w:val="24"/>
          <w:szCs w:val="24"/>
        </w:rPr>
        <w:t>eura</w:t>
      </w:r>
      <w:r w:rsidRPr="007B42EF">
        <w:rPr>
          <w:rFonts w:ascii="Arial" w:hAnsi="Arial" w:cs="Arial"/>
          <w:bCs/>
          <w:sz w:val="24"/>
          <w:szCs w:val="24"/>
        </w:rPr>
        <w:t xml:space="preserve">. Povećanim uvođenjem lektire u program razredne nastave i  prelaskom većeg broja učenika iz razredne u predmetnu nastavu svake godine nedostaju lektirni naslovi te je iz tog razloga potrebno nabaviti još knjiga za školsku knjižnicu u iznosu od 1.000,00 </w:t>
      </w:r>
      <w:r>
        <w:rPr>
          <w:rFonts w:ascii="Arial" w:hAnsi="Arial" w:cs="Arial"/>
          <w:bCs/>
          <w:sz w:val="24"/>
          <w:szCs w:val="24"/>
        </w:rPr>
        <w:t>eura</w:t>
      </w:r>
      <w:r w:rsidRPr="007B42EF">
        <w:rPr>
          <w:rFonts w:ascii="Arial" w:hAnsi="Arial" w:cs="Arial"/>
          <w:bCs/>
          <w:sz w:val="24"/>
          <w:szCs w:val="24"/>
        </w:rPr>
        <w:t>.</w:t>
      </w:r>
    </w:p>
    <w:p w14:paraId="3B693FCB" w14:textId="77777777" w:rsidR="00E541EE" w:rsidRDefault="00E541EE" w:rsidP="00E541EE">
      <w:pPr>
        <w:jc w:val="both"/>
        <w:rPr>
          <w:rFonts w:ascii="Arial" w:hAnsi="Arial" w:cs="Arial"/>
          <w:bCs/>
          <w:sz w:val="24"/>
          <w:szCs w:val="24"/>
        </w:rPr>
      </w:pPr>
      <w:r w:rsidRPr="007B42EF">
        <w:rPr>
          <w:rFonts w:ascii="Arial" w:hAnsi="Arial" w:cs="Arial"/>
          <w:sz w:val="24"/>
          <w:szCs w:val="24"/>
        </w:rPr>
        <w:t xml:space="preserve">Vlastitim prihodima i planiranim prenesenim viškom, kroz ovu aktivnost podmiriti će se rashodi za nabavu dugotrajne imovine (namještaj, glazbeni instrumenti i oprema, kao i ostala potrebna oprema i uređaji za potrebe školske kuhinje) te nabava knjiga za školsku knjižnicu u iznosu od </w:t>
      </w:r>
      <w:r w:rsidRPr="007B42EF">
        <w:rPr>
          <w:rFonts w:ascii="Arial" w:hAnsi="Arial" w:cs="Arial"/>
          <w:bCs/>
          <w:sz w:val="24"/>
          <w:szCs w:val="24"/>
        </w:rPr>
        <w:t xml:space="preserve">20.000,00 </w:t>
      </w:r>
      <w:r>
        <w:rPr>
          <w:rFonts w:ascii="Arial" w:hAnsi="Arial" w:cs="Arial"/>
          <w:bCs/>
          <w:sz w:val="24"/>
          <w:szCs w:val="24"/>
        </w:rPr>
        <w:t>eura</w:t>
      </w:r>
      <w:r w:rsidRPr="007B42EF">
        <w:rPr>
          <w:rFonts w:ascii="Arial" w:hAnsi="Arial" w:cs="Arial"/>
          <w:bCs/>
          <w:sz w:val="24"/>
          <w:szCs w:val="24"/>
        </w:rPr>
        <w:t>.</w:t>
      </w:r>
    </w:p>
    <w:p w14:paraId="4FC11999" w14:textId="77777777" w:rsidR="00E541EE" w:rsidRPr="007B42EF" w:rsidRDefault="00E541EE" w:rsidP="00E541EE">
      <w:pPr>
        <w:jc w:val="both"/>
        <w:rPr>
          <w:rFonts w:ascii="Arial" w:hAnsi="Arial" w:cs="Arial"/>
          <w:bCs/>
          <w:sz w:val="24"/>
          <w:szCs w:val="24"/>
        </w:rPr>
      </w:pPr>
      <w:r>
        <w:rPr>
          <w:rFonts w:ascii="Arial" w:hAnsi="Arial" w:cs="Arial"/>
          <w:sz w:val="24"/>
          <w:szCs w:val="24"/>
        </w:rPr>
        <w:t>I</w:t>
      </w:r>
      <w:r w:rsidRPr="007B42EF">
        <w:rPr>
          <w:rFonts w:ascii="Arial" w:hAnsi="Arial" w:cs="Arial"/>
          <w:sz w:val="24"/>
          <w:szCs w:val="24"/>
        </w:rPr>
        <w:t>z sredstava MZO</w:t>
      </w:r>
      <w:r>
        <w:rPr>
          <w:rFonts w:ascii="Arial" w:hAnsi="Arial" w:cs="Arial"/>
          <w:sz w:val="24"/>
          <w:szCs w:val="24"/>
        </w:rPr>
        <w:t>M</w:t>
      </w:r>
      <w:r w:rsidRPr="007B42EF">
        <w:rPr>
          <w:rFonts w:ascii="Arial" w:hAnsi="Arial" w:cs="Arial"/>
          <w:sz w:val="24"/>
          <w:szCs w:val="24"/>
        </w:rPr>
        <w:t xml:space="preserve"> za nabavu knjiga za školsku knjižnicu </w:t>
      </w:r>
      <w:r w:rsidRPr="007B42EF">
        <w:rPr>
          <w:rFonts w:ascii="Arial" w:hAnsi="Arial" w:cs="Arial"/>
          <w:bCs/>
          <w:sz w:val="24"/>
          <w:szCs w:val="24"/>
        </w:rPr>
        <w:t xml:space="preserve">700,00 </w:t>
      </w:r>
      <w:r>
        <w:rPr>
          <w:rFonts w:ascii="Arial" w:hAnsi="Arial" w:cs="Arial"/>
          <w:bCs/>
          <w:sz w:val="24"/>
          <w:szCs w:val="24"/>
        </w:rPr>
        <w:t>eura</w:t>
      </w:r>
      <w:r>
        <w:rPr>
          <w:rFonts w:ascii="Arial" w:hAnsi="Arial" w:cs="Arial"/>
          <w:b/>
          <w:sz w:val="24"/>
          <w:szCs w:val="24"/>
        </w:rPr>
        <w:t>.</w:t>
      </w:r>
    </w:p>
    <w:p w14:paraId="3DFFEE08" w14:textId="77777777" w:rsidR="00E541EE" w:rsidRPr="007B42EF" w:rsidRDefault="00E541EE" w:rsidP="00E541EE">
      <w:pPr>
        <w:jc w:val="both"/>
        <w:rPr>
          <w:rFonts w:ascii="Arial" w:hAnsi="Arial" w:cs="Arial"/>
          <w:sz w:val="24"/>
          <w:szCs w:val="24"/>
        </w:rPr>
      </w:pPr>
      <w:r w:rsidRPr="007B42EF">
        <w:rPr>
          <w:rFonts w:ascii="Arial" w:hAnsi="Arial" w:cs="Arial"/>
          <w:sz w:val="24"/>
          <w:szCs w:val="24"/>
        </w:rPr>
        <w:t xml:space="preserve">Donacijama fizičkih i pravnih osoba) nabaviti će se  potrebni uređaji, sportska oprema i knjige za školsku knjižnicu u iznosu od 200,00 </w:t>
      </w:r>
      <w:r>
        <w:rPr>
          <w:rFonts w:ascii="Arial" w:hAnsi="Arial" w:cs="Arial"/>
          <w:sz w:val="24"/>
          <w:szCs w:val="24"/>
        </w:rPr>
        <w:t>eura</w:t>
      </w:r>
      <w:r w:rsidRPr="007B42EF">
        <w:rPr>
          <w:rFonts w:ascii="Arial" w:hAnsi="Arial" w:cs="Arial"/>
          <w:sz w:val="24"/>
          <w:szCs w:val="24"/>
        </w:rPr>
        <w:t>.</w:t>
      </w:r>
    </w:p>
    <w:p w14:paraId="1E5B6E84" w14:textId="77777777" w:rsidR="00E541EE" w:rsidRPr="00AC2206" w:rsidRDefault="00E541EE" w:rsidP="00E541EE">
      <w:pPr>
        <w:jc w:val="both"/>
        <w:rPr>
          <w:rFonts w:ascii="Arial" w:hAnsi="Arial" w:cs="Arial"/>
          <w:sz w:val="24"/>
          <w:szCs w:val="24"/>
        </w:rPr>
      </w:pPr>
      <w:r w:rsidRPr="00AC2206">
        <w:rPr>
          <w:rFonts w:ascii="Arial" w:eastAsia="Times New Roman" w:hAnsi="Arial" w:cs="Arial"/>
          <w:b/>
          <w:sz w:val="24"/>
          <w:szCs w:val="24"/>
        </w:rPr>
        <w:t xml:space="preserve">Opći cilj: </w:t>
      </w:r>
      <w:r w:rsidRPr="00AC2206">
        <w:rPr>
          <w:rFonts w:ascii="Arial" w:eastAsia="Times New Roman" w:hAnsi="Arial" w:cs="Arial"/>
          <w:sz w:val="24"/>
          <w:szCs w:val="24"/>
        </w:rPr>
        <w:t>kontinuirano unapređenje uvjeta rada u školi.</w:t>
      </w:r>
    </w:p>
    <w:p w14:paraId="34AB8DFA" w14:textId="77777777" w:rsidR="00E541EE" w:rsidRDefault="00E541EE" w:rsidP="00E541EE">
      <w:pPr>
        <w:jc w:val="both"/>
        <w:rPr>
          <w:rFonts w:ascii="Arial" w:eastAsia="Times New Roman" w:hAnsi="Arial" w:cs="Arial"/>
          <w:sz w:val="24"/>
          <w:szCs w:val="24"/>
        </w:rPr>
      </w:pPr>
      <w:r w:rsidRPr="00AC2206">
        <w:rPr>
          <w:rFonts w:ascii="Arial" w:eastAsia="Times New Roman" w:hAnsi="Arial" w:cs="Arial"/>
          <w:b/>
          <w:sz w:val="24"/>
          <w:szCs w:val="24"/>
        </w:rPr>
        <w:t>Pokazatelj uspješnosti:</w:t>
      </w:r>
      <w:r w:rsidRPr="00AC2206">
        <w:rPr>
          <w:rFonts w:ascii="Arial" w:eastAsia="Times New Roman" w:hAnsi="Arial" w:cs="Arial"/>
          <w:sz w:val="24"/>
          <w:szCs w:val="24"/>
        </w:rPr>
        <w:t xml:space="preserve"> nabavljena oprema prema iskazanim potrebama, zadržavanje postignutih standarda i stalno unapređenje.</w:t>
      </w:r>
    </w:p>
    <w:p w14:paraId="3472895C" w14:textId="77777777" w:rsidR="00E541EE" w:rsidRDefault="00E541EE" w:rsidP="00E541EE">
      <w:pPr>
        <w:jc w:val="both"/>
        <w:rPr>
          <w:rFonts w:ascii="Arial" w:eastAsia="Times New Roman" w:hAnsi="Arial" w:cs="Arial"/>
          <w:sz w:val="24"/>
          <w:szCs w:val="24"/>
        </w:rPr>
      </w:pPr>
    </w:p>
    <w:p w14:paraId="290C6A96"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hAnsi="Arial" w:cs="Arial"/>
          <w:b/>
          <w:sz w:val="24"/>
          <w:szCs w:val="24"/>
        </w:rPr>
      </w:pPr>
      <w:r w:rsidRPr="007D11D3">
        <w:rPr>
          <w:rFonts w:ascii="Arial" w:hAnsi="Arial" w:cs="Arial"/>
          <w:b/>
          <w:sz w:val="24"/>
          <w:szCs w:val="24"/>
        </w:rPr>
        <w:t>T 103625: Unutarnje uređenje zgrade = 31.000,00 EUR</w:t>
      </w:r>
    </w:p>
    <w:p w14:paraId="5C61C000" w14:textId="77777777" w:rsidR="00E541EE" w:rsidRPr="007B42EF" w:rsidRDefault="00E541EE" w:rsidP="00E541EE">
      <w:pPr>
        <w:contextualSpacing/>
        <w:jc w:val="both"/>
        <w:outlineLvl w:val="1"/>
        <w:rPr>
          <w:rFonts w:ascii="Arial" w:hAnsi="Arial" w:cs="Arial"/>
          <w:sz w:val="24"/>
          <w:szCs w:val="24"/>
        </w:rPr>
      </w:pPr>
      <w:r w:rsidRPr="007B42EF">
        <w:rPr>
          <w:rFonts w:ascii="Arial" w:hAnsi="Arial" w:cs="Arial"/>
          <w:b/>
          <w:sz w:val="24"/>
          <w:szCs w:val="24"/>
        </w:rPr>
        <w:t xml:space="preserve">Zakonska osnova: </w:t>
      </w:r>
      <w:r w:rsidRPr="007B42EF">
        <w:rPr>
          <w:rFonts w:ascii="Arial" w:hAnsi="Arial" w:cs="Arial"/>
          <w:sz w:val="24"/>
          <w:szCs w:val="24"/>
        </w:rPr>
        <w:t>Zakon o odgoju i obrazovanju u osnovnoj i srednjoj školi, Državni pedagoški standard osnovnoškolskog sustava odgoja i obrazovanja,  Zakon o ustanovama</w:t>
      </w:r>
    </w:p>
    <w:p w14:paraId="2D0FB317" w14:textId="77777777" w:rsidR="00E541EE" w:rsidRPr="007B42EF" w:rsidRDefault="00E541EE" w:rsidP="00E541EE">
      <w:pPr>
        <w:contextualSpacing/>
        <w:jc w:val="both"/>
        <w:outlineLvl w:val="1"/>
        <w:rPr>
          <w:rFonts w:ascii="Arial" w:hAnsi="Arial" w:cs="Arial"/>
          <w:sz w:val="24"/>
          <w:szCs w:val="24"/>
        </w:rPr>
      </w:pPr>
      <w:r w:rsidRPr="007B42EF">
        <w:rPr>
          <w:rFonts w:ascii="Arial" w:hAnsi="Arial" w:cs="Arial"/>
          <w:b/>
          <w:sz w:val="24"/>
          <w:szCs w:val="24"/>
        </w:rPr>
        <w:t xml:space="preserve">Opis: </w:t>
      </w:r>
      <w:r w:rsidRPr="007B42EF">
        <w:rPr>
          <w:rFonts w:ascii="Arial" w:hAnsi="Arial" w:cs="Arial"/>
          <w:sz w:val="24"/>
          <w:szCs w:val="24"/>
        </w:rPr>
        <w:t xml:space="preserve">Kroz prethodna razdoblja krenulo se s unutarnjim uređenjem zgrade te se isto planira i kroz 2026. godinu. Planira se nastavak temeljitog unutarnjeg uređenja zgrade budući su zidovi učionica, hodnika i ostalih prostora derutni te je iste potrebno temeljito ostrugati od dugogodišnjih naslaga boje, impregnirati, izgletati, ofarbati zidove. Površina koju je potrebno urediti je velika, a vremenski period u kojem bi se radovi mogli odraditi je kratak ( zimski ili proljetni ili ljetni praznici). Planirano uređenje odvija se po katovima kroz više godina. Za ovu stavku planira se potrošiti 20.000,00 </w:t>
      </w:r>
      <w:r>
        <w:rPr>
          <w:rFonts w:ascii="Arial" w:hAnsi="Arial" w:cs="Arial"/>
          <w:sz w:val="24"/>
          <w:szCs w:val="24"/>
        </w:rPr>
        <w:t>eura</w:t>
      </w:r>
      <w:r w:rsidRPr="007B42EF">
        <w:rPr>
          <w:rFonts w:ascii="Arial" w:hAnsi="Arial" w:cs="Arial"/>
          <w:sz w:val="24"/>
          <w:szCs w:val="24"/>
        </w:rPr>
        <w:t xml:space="preserve">. </w:t>
      </w:r>
    </w:p>
    <w:p w14:paraId="4E565332" w14:textId="77777777" w:rsidR="00E541EE" w:rsidRPr="007B42EF" w:rsidRDefault="00E541EE" w:rsidP="00E541EE">
      <w:pPr>
        <w:contextualSpacing/>
        <w:jc w:val="both"/>
        <w:outlineLvl w:val="1"/>
        <w:rPr>
          <w:rFonts w:ascii="Arial" w:hAnsi="Arial" w:cs="Arial"/>
          <w:sz w:val="24"/>
          <w:szCs w:val="24"/>
        </w:rPr>
      </w:pPr>
      <w:r w:rsidRPr="007B42EF">
        <w:rPr>
          <w:rFonts w:ascii="Arial" w:hAnsi="Arial" w:cs="Arial"/>
          <w:sz w:val="24"/>
          <w:szCs w:val="24"/>
        </w:rPr>
        <w:t xml:space="preserve">Također je potrebno dio novca osigurati i za sanaciju vodoopskrbne mreže unutar škole, i to tako da se odvoji unutarnja hidrantska mreža od mreže za vodu za ljudsku upotrebu. Troškovi ove sanacije procjenjuju se na 4.000,00 </w:t>
      </w:r>
      <w:r>
        <w:rPr>
          <w:rFonts w:ascii="Arial" w:hAnsi="Arial" w:cs="Arial"/>
          <w:sz w:val="24"/>
          <w:szCs w:val="24"/>
        </w:rPr>
        <w:t>eura</w:t>
      </w:r>
      <w:r w:rsidRPr="007B42EF">
        <w:rPr>
          <w:rFonts w:ascii="Arial" w:hAnsi="Arial" w:cs="Arial"/>
          <w:sz w:val="24"/>
          <w:szCs w:val="24"/>
        </w:rPr>
        <w:t xml:space="preserve">. </w:t>
      </w:r>
    </w:p>
    <w:p w14:paraId="60C276D6" w14:textId="77777777" w:rsidR="00E541EE" w:rsidRPr="007B42EF" w:rsidRDefault="00E541EE" w:rsidP="00E541EE">
      <w:pPr>
        <w:contextualSpacing/>
        <w:jc w:val="both"/>
        <w:outlineLvl w:val="1"/>
        <w:rPr>
          <w:rFonts w:ascii="Arial" w:hAnsi="Arial" w:cs="Arial"/>
          <w:bCs/>
          <w:sz w:val="24"/>
          <w:szCs w:val="24"/>
        </w:rPr>
      </w:pPr>
      <w:r w:rsidRPr="007B42EF">
        <w:rPr>
          <w:rFonts w:ascii="Arial" w:hAnsi="Arial" w:cs="Arial"/>
          <w:sz w:val="24"/>
          <w:szCs w:val="24"/>
        </w:rPr>
        <w:t xml:space="preserve">Pored navedenog zbog dotrajalosti dijela elektroinstalacija u školi pristupiti će se demontaži postojeće i ugradnji nove zaštitno/sklopne opreme i isklopnog tipkala. Procijenjeni troškovi su 7.000,00 </w:t>
      </w:r>
      <w:r>
        <w:rPr>
          <w:rFonts w:ascii="Arial" w:hAnsi="Arial" w:cs="Arial"/>
          <w:sz w:val="24"/>
          <w:szCs w:val="24"/>
        </w:rPr>
        <w:t>eura</w:t>
      </w:r>
      <w:r w:rsidRPr="007B42EF">
        <w:rPr>
          <w:rFonts w:ascii="Arial" w:hAnsi="Arial" w:cs="Arial"/>
          <w:sz w:val="24"/>
          <w:szCs w:val="24"/>
        </w:rPr>
        <w:t xml:space="preserve">. Ukupno će za aktivnosti biti potrebno osigurati </w:t>
      </w:r>
      <w:r w:rsidRPr="007B42EF">
        <w:rPr>
          <w:rFonts w:ascii="Arial" w:hAnsi="Arial" w:cs="Arial"/>
          <w:bCs/>
          <w:sz w:val="24"/>
          <w:szCs w:val="24"/>
        </w:rPr>
        <w:t xml:space="preserve">31.000,00 </w:t>
      </w:r>
      <w:r>
        <w:rPr>
          <w:rFonts w:ascii="Arial" w:hAnsi="Arial" w:cs="Arial"/>
          <w:bCs/>
          <w:sz w:val="24"/>
          <w:szCs w:val="24"/>
        </w:rPr>
        <w:t>eura</w:t>
      </w:r>
      <w:r w:rsidRPr="007B42EF">
        <w:rPr>
          <w:rFonts w:ascii="Arial" w:hAnsi="Arial" w:cs="Arial"/>
          <w:bCs/>
          <w:sz w:val="24"/>
          <w:szCs w:val="24"/>
        </w:rPr>
        <w:t xml:space="preserve">. </w:t>
      </w:r>
    </w:p>
    <w:p w14:paraId="1F55C922" w14:textId="77777777" w:rsidR="00E541EE" w:rsidRPr="007B42EF" w:rsidRDefault="00E541EE" w:rsidP="00E541EE">
      <w:pPr>
        <w:contextualSpacing/>
        <w:outlineLvl w:val="1"/>
        <w:rPr>
          <w:rFonts w:ascii="Arial" w:hAnsi="Arial" w:cs="Arial"/>
          <w:sz w:val="24"/>
          <w:szCs w:val="24"/>
        </w:rPr>
      </w:pPr>
      <w:r w:rsidRPr="007D11D3">
        <w:rPr>
          <w:rFonts w:ascii="Arial" w:hAnsi="Arial" w:cs="Arial"/>
          <w:b/>
          <w:bCs/>
          <w:sz w:val="24"/>
          <w:szCs w:val="24"/>
        </w:rPr>
        <w:t xml:space="preserve">Opći cilj: </w:t>
      </w:r>
      <w:r w:rsidRPr="007D11D3">
        <w:rPr>
          <w:rFonts w:ascii="Arial" w:hAnsi="Arial" w:cs="Arial"/>
          <w:sz w:val="24"/>
          <w:szCs w:val="24"/>
        </w:rPr>
        <w:t>unapređenje uvjeta rada, odnosno boravka djece u školi i odvijanja nastavnog procesa</w:t>
      </w:r>
    </w:p>
    <w:p w14:paraId="3911EB94" w14:textId="77777777" w:rsidR="00E541EE" w:rsidRPr="007B42EF" w:rsidRDefault="00E541EE" w:rsidP="00E541EE">
      <w:pPr>
        <w:contextualSpacing/>
        <w:outlineLvl w:val="1"/>
        <w:rPr>
          <w:rFonts w:ascii="Arial" w:hAnsi="Arial" w:cs="Arial"/>
          <w:sz w:val="24"/>
          <w:szCs w:val="24"/>
        </w:rPr>
      </w:pPr>
      <w:r w:rsidRPr="007B42EF">
        <w:rPr>
          <w:rFonts w:ascii="Arial" w:hAnsi="Arial" w:cs="Arial"/>
          <w:b/>
          <w:sz w:val="24"/>
          <w:szCs w:val="24"/>
        </w:rPr>
        <w:t xml:space="preserve">Pokazatelj uspješnosti: </w:t>
      </w:r>
      <w:r w:rsidRPr="007B42EF">
        <w:rPr>
          <w:rFonts w:ascii="Arial" w:hAnsi="Arial" w:cs="Arial"/>
          <w:sz w:val="24"/>
          <w:szCs w:val="24"/>
        </w:rPr>
        <w:t>osigurati bolje uvjete rada u učionicama i ostalim prostorijama.</w:t>
      </w:r>
    </w:p>
    <w:p w14:paraId="7F875884" w14:textId="77777777" w:rsidR="00E541EE" w:rsidRDefault="00E541EE" w:rsidP="00E541EE">
      <w:pPr>
        <w:jc w:val="both"/>
        <w:rPr>
          <w:rFonts w:ascii="Arial" w:eastAsia="Times New Roman" w:hAnsi="Arial" w:cs="Arial"/>
          <w:sz w:val="24"/>
          <w:szCs w:val="24"/>
        </w:rPr>
      </w:pPr>
    </w:p>
    <w:p w14:paraId="065BB24C"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hAnsi="Arial" w:cs="Arial"/>
          <w:b/>
          <w:sz w:val="24"/>
          <w:szCs w:val="24"/>
        </w:rPr>
      </w:pPr>
      <w:r w:rsidRPr="00AC2206">
        <w:rPr>
          <w:rFonts w:ascii="Arial" w:hAnsi="Arial" w:cs="Arial"/>
          <w:b/>
          <w:sz w:val="24"/>
          <w:szCs w:val="24"/>
        </w:rPr>
        <w:t xml:space="preserve">T 103628: Pomoćnici u nastavi = </w:t>
      </w:r>
      <w:r>
        <w:rPr>
          <w:rFonts w:ascii="Arial" w:hAnsi="Arial" w:cs="Arial"/>
          <w:b/>
          <w:sz w:val="24"/>
          <w:szCs w:val="24"/>
        </w:rPr>
        <w:t>102</w:t>
      </w:r>
      <w:r w:rsidRPr="00AC2206">
        <w:rPr>
          <w:rFonts w:ascii="Arial" w:hAnsi="Arial" w:cs="Arial"/>
          <w:b/>
          <w:sz w:val="24"/>
          <w:szCs w:val="24"/>
        </w:rPr>
        <w:t>.</w:t>
      </w:r>
      <w:r>
        <w:rPr>
          <w:rFonts w:ascii="Arial" w:hAnsi="Arial" w:cs="Arial"/>
          <w:b/>
          <w:sz w:val="24"/>
          <w:szCs w:val="24"/>
        </w:rPr>
        <w:t>5</w:t>
      </w:r>
      <w:r w:rsidRPr="00AC2206">
        <w:rPr>
          <w:rFonts w:ascii="Arial" w:hAnsi="Arial" w:cs="Arial"/>
          <w:b/>
          <w:sz w:val="24"/>
          <w:szCs w:val="24"/>
        </w:rPr>
        <w:t>00,00 EUR</w:t>
      </w:r>
    </w:p>
    <w:p w14:paraId="06D3C848" w14:textId="77777777" w:rsidR="00E541EE" w:rsidRPr="00AC2206" w:rsidRDefault="00E541EE" w:rsidP="00E541EE">
      <w:pPr>
        <w:jc w:val="both"/>
        <w:rPr>
          <w:rFonts w:ascii="Arial" w:hAnsi="Arial" w:cs="Arial"/>
          <w:sz w:val="24"/>
          <w:szCs w:val="24"/>
        </w:rPr>
      </w:pPr>
      <w:r w:rsidRPr="00AC2206">
        <w:rPr>
          <w:rFonts w:ascii="Arial" w:hAnsi="Arial" w:cs="Arial"/>
          <w:b/>
          <w:sz w:val="24"/>
          <w:szCs w:val="24"/>
        </w:rPr>
        <w:t xml:space="preserve">Zakonska osnova: </w:t>
      </w:r>
      <w:r w:rsidRPr="00AC2206">
        <w:rPr>
          <w:rFonts w:ascii="Arial" w:hAnsi="Arial" w:cs="Arial"/>
          <w:sz w:val="24"/>
          <w:szCs w:val="24"/>
        </w:rPr>
        <w:t>Zakon o odgoju i obrazovanju u osnovnoj i srednjoj školi, Zakon o odgoju i obrazovanju na jeziku i pismu nacionalnih manjina, Državni pedagoški standard osnovnoškolskog sustava odgoja i obrazovanja.</w:t>
      </w:r>
    </w:p>
    <w:p w14:paraId="05B72E41" w14:textId="77777777" w:rsidR="00E541EE" w:rsidRPr="001130D4" w:rsidRDefault="00E541EE" w:rsidP="00E541EE">
      <w:pPr>
        <w:jc w:val="both"/>
        <w:rPr>
          <w:rFonts w:ascii="Arial" w:hAnsi="Arial" w:cs="Arial"/>
          <w:b/>
          <w:sz w:val="24"/>
          <w:szCs w:val="24"/>
        </w:rPr>
      </w:pPr>
      <w:r w:rsidRPr="001130D4">
        <w:rPr>
          <w:rFonts w:ascii="Arial" w:hAnsi="Arial" w:cs="Arial"/>
          <w:b/>
          <w:sz w:val="24"/>
          <w:szCs w:val="24"/>
        </w:rPr>
        <w:t xml:space="preserve">Opis: </w:t>
      </w:r>
      <w:r w:rsidRPr="001130D4">
        <w:rPr>
          <w:rFonts w:ascii="Arial" w:hAnsi="Arial" w:cs="Arial"/>
          <w:sz w:val="24"/>
          <w:szCs w:val="24"/>
        </w:rPr>
        <w:t xml:space="preserve">U sklopu projekta „PUNa torba zajedništva II“ </w:t>
      </w:r>
      <w:r w:rsidRPr="001130D4">
        <w:rPr>
          <w:rFonts w:ascii="Arial" w:hAnsi="Arial" w:cs="Arial"/>
          <w:bCs/>
          <w:sz w:val="24"/>
          <w:szCs w:val="24"/>
        </w:rPr>
        <w:t>pod nazivom „Pomoćnici u nastavi u školskoj 202</w:t>
      </w:r>
      <w:r>
        <w:rPr>
          <w:rFonts w:ascii="Arial" w:hAnsi="Arial" w:cs="Arial"/>
          <w:bCs/>
          <w:sz w:val="24"/>
          <w:szCs w:val="24"/>
        </w:rPr>
        <w:t>5.</w:t>
      </w:r>
      <w:r w:rsidRPr="001130D4">
        <w:rPr>
          <w:rFonts w:ascii="Arial" w:hAnsi="Arial" w:cs="Arial"/>
          <w:bCs/>
          <w:sz w:val="24"/>
          <w:szCs w:val="24"/>
        </w:rPr>
        <w:t>/202</w:t>
      </w:r>
      <w:r>
        <w:rPr>
          <w:rFonts w:ascii="Arial" w:hAnsi="Arial" w:cs="Arial"/>
          <w:bCs/>
          <w:sz w:val="24"/>
          <w:szCs w:val="24"/>
        </w:rPr>
        <w:t>6.</w:t>
      </w:r>
      <w:r w:rsidRPr="001130D4">
        <w:rPr>
          <w:rFonts w:ascii="Arial" w:hAnsi="Arial" w:cs="Arial"/>
          <w:bCs/>
          <w:sz w:val="24"/>
          <w:szCs w:val="24"/>
        </w:rPr>
        <w:t xml:space="preserve"> godini</w:t>
      </w:r>
      <w:r w:rsidRPr="001130D4">
        <w:rPr>
          <w:rFonts w:ascii="Arial" w:hAnsi="Arial" w:cs="Arial"/>
          <w:b/>
          <w:bCs/>
          <w:sz w:val="24"/>
          <w:szCs w:val="24"/>
        </w:rPr>
        <w:t xml:space="preserve"> “ </w:t>
      </w:r>
      <w:r w:rsidRPr="001130D4">
        <w:rPr>
          <w:rFonts w:ascii="Arial" w:hAnsi="Arial" w:cs="Arial"/>
          <w:sz w:val="24"/>
          <w:szCs w:val="24"/>
        </w:rPr>
        <w:t>koji se provodi u okviru instrumenta „Osiguravanje pomoćnika u nastavi i stručnih komunikacijskih posrednika učenicima s teškoćama u razvoju u osnovnoškolskim i srednjoškolskim odgojno-obrazovnim ustanovama, faza VII“ z</w:t>
      </w:r>
      <w:r w:rsidRPr="001130D4">
        <w:rPr>
          <w:rFonts w:ascii="Arial" w:hAnsi="Arial" w:cs="Arial"/>
          <w:bCs/>
          <w:sz w:val="24"/>
          <w:szCs w:val="24"/>
        </w:rPr>
        <w:t>a školsku godinu 202</w:t>
      </w:r>
      <w:r>
        <w:rPr>
          <w:rFonts w:ascii="Arial" w:hAnsi="Arial" w:cs="Arial"/>
          <w:bCs/>
          <w:sz w:val="24"/>
          <w:szCs w:val="24"/>
        </w:rPr>
        <w:t>5</w:t>
      </w:r>
      <w:r w:rsidRPr="001130D4">
        <w:rPr>
          <w:rFonts w:ascii="Arial" w:hAnsi="Arial" w:cs="Arial"/>
          <w:bCs/>
          <w:sz w:val="24"/>
          <w:szCs w:val="24"/>
        </w:rPr>
        <w:t>./202</w:t>
      </w:r>
      <w:r>
        <w:rPr>
          <w:rFonts w:ascii="Arial" w:hAnsi="Arial" w:cs="Arial"/>
          <w:bCs/>
          <w:sz w:val="24"/>
          <w:szCs w:val="24"/>
        </w:rPr>
        <w:t>6</w:t>
      </w:r>
      <w:r w:rsidRPr="001130D4">
        <w:rPr>
          <w:rFonts w:ascii="Arial" w:hAnsi="Arial" w:cs="Arial"/>
          <w:bCs/>
          <w:sz w:val="24"/>
          <w:szCs w:val="24"/>
        </w:rPr>
        <w:t>. osigurani su potrebni pomoćnici u nastavi.</w:t>
      </w:r>
    </w:p>
    <w:p w14:paraId="5F761AA6" w14:textId="77777777" w:rsidR="00E541EE" w:rsidRPr="007B42EF" w:rsidRDefault="00E541EE" w:rsidP="00E541EE">
      <w:pPr>
        <w:jc w:val="both"/>
        <w:rPr>
          <w:rFonts w:ascii="Arial" w:hAnsi="Arial" w:cs="Arial"/>
          <w:bCs/>
          <w:sz w:val="24"/>
          <w:szCs w:val="24"/>
        </w:rPr>
      </w:pPr>
      <w:r w:rsidRPr="007B42EF">
        <w:rPr>
          <w:rFonts w:ascii="Arial" w:hAnsi="Arial" w:cs="Arial"/>
          <w:bCs/>
          <w:sz w:val="24"/>
          <w:szCs w:val="24"/>
        </w:rPr>
        <w:t xml:space="preserve">Kroz 2026. god. Biti će potrebno osigurati sredstva za plaće za redovan rad u iznosu od 78.500,00 </w:t>
      </w:r>
      <w:r>
        <w:rPr>
          <w:rFonts w:ascii="Arial" w:hAnsi="Arial" w:cs="Arial"/>
          <w:bCs/>
          <w:sz w:val="24"/>
          <w:szCs w:val="24"/>
        </w:rPr>
        <w:t>eura</w:t>
      </w:r>
      <w:r w:rsidRPr="007B42EF">
        <w:rPr>
          <w:rFonts w:ascii="Arial" w:hAnsi="Arial" w:cs="Arial"/>
          <w:bCs/>
          <w:sz w:val="24"/>
          <w:szCs w:val="24"/>
        </w:rPr>
        <w:t xml:space="preserve"> (na osnovi bruto satnice koja je na snazi u trenutku donošenja ovog prijedloga – 7,50 </w:t>
      </w:r>
      <w:r>
        <w:rPr>
          <w:rFonts w:ascii="Arial" w:hAnsi="Arial" w:cs="Arial"/>
          <w:bCs/>
          <w:sz w:val="24"/>
          <w:szCs w:val="24"/>
        </w:rPr>
        <w:t>eura</w:t>
      </w:r>
      <w:r w:rsidRPr="007B42EF">
        <w:rPr>
          <w:rFonts w:ascii="Arial" w:hAnsi="Arial" w:cs="Arial"/>
          <w:bCs/>
          <w:sz w:val="24"/>
          <w:szCs w:val="24"/>
        </w:rPr>
        <w:t xml:space="preserve">), sredstva za  ostale rashode za zaposlene (uskrsnice, regresi, božićnice i dar za djecu) u iznosu od 6.000,00 </w:t>
      </w:r>
      <w:r>
        <w:rPr>
          <w:rFonts w:ascii="Arial" w:hAnsi="Arial" w:cs="Arial"/>
          <w:bCs/>
          <w:sz w:val="24"/>
          <w:szCs w:val="24"/>
        </w:rPr>
        <w:t>eura</w:t>
      </w:r>
      <w:r w:rsidRPr="007B42EF">
        <w:rPr>
          <w:rFonts w:ascii="Arial" w:hAnsi="Arial" w:cs="Arial"/>
          <w:bCs/>
          <w:sz w:val="24"/>
          <w:szCs w:val="24"/>
        </w:rPr>
        <w:t xml:space="preserve">, sredstva za doprinose na plaću u iznosu od 13.000,00 </w:t>
      </w:r>
      <w:r>
        <w:rPr>
          <w:rFonts w:ascii="Arial" w:hAnsi="Arial" w:cs="Arial"/>
          <w:bCs/>
          <w:sz w:val="24"/>
          <w:szCs w:val="24"/>
        </w:rPr>
        <w:t>eura</w:t>
      </w:r>
      <w:r w:rsidRPr="007B42EF">
        <w:rPr>
          <w:rFonts w:ascii="Arial" w:hAnsi="Arial" w:cs="Arial"/>
          <w:bCs/>
          <w:sz w:val="24"/>
          <w:szCs w:val="24"/>
        </w:rPr>
        <w:t xml:space="preserve">, sredstva za službena putovanja-dnevnice  (pratnja za učenike na terenskoj nastavi u iznosu od 500,00 </w:t>
      </w:r>
      <w:r>
        <w:rPr>
          <w:rFonts w:ascii="Arial" w:hAnsi="Arial" w:cs="Arial"/>
          <w:bCs/>
          <w:sz w:val="24"/>
          <w:szCs w:val="24"/>
        </w:rPr>
        <w:t>eura</w:t>
      </w:r>
      <w:r w:rsidRPr="007B42EF">
        <w:rPr>
          <w:rFonts w:ascii="Arial" w:hAnsi="Arial" w:cs="Arial"/>
          <w:bCs/>
          <w:sz w:val="24"/>
          <w:szCs w:val="24"/>
        </w:rPr>
        <w:t xml:space="preserve"> te sredstva za naknadu za prijevoz u iznosu od 4.500,00 </w:t>
      </w:r>
      <w:r>
        <w:rPr>
          <w:rFonts w:ascii="Arial" w:hAnsi="Arial" w:cs="Arial"/>
          <w:bCs/>
          <w:sz w:val="24"/>
          <w:szCs w:val="24"/>
        </w:rPr>
        <w:t>eura</w:t>
      </w:r>
      <w:r w:rsidRPr="007B42EF">
        <w:rPr>
          <w:rFonts w:ascii="Arial" w:hAnsi="Arial" w:cs="Arial"/>
          <w:bCs/>
          <w:sz w:val="24"/>
          <w:szCs w:val="24"/>
        </w:rPr>
        <w:t xml:space="preserve"> budući većina pomoćnika putuje na posao na udaljenostima većima od 2 km.</w:t>
      </w:r>
    </w:p>
    <w:p w14:paraId="50E9447F" w14:textId="77777777" w:rsidR="00E541EE" w:rsidRPr="00AC2206" w:rsidRDefault="00E541EE" w:rsidP="00E541EE">
      <w:pPr>
        <w:jc w:val="both"/>
        <w:rPr>
          <w:rFonts w:ascii="Arial" w:hAnsi="Arial"/>
          <w:bCs/>
          <w:sz w:val="24"/>
          <w:szCs w:val="24"/>
        </w:rPr>
      </w:pPr>
      <w:r w:rsidRPr="00AC2206">
        <w:rPr>
          <w:rFonts w:ascii="Arial" w:hAnsi="Arial" w:cs="Arial"/>
          <w:b/>
          <w:sz w:val="24"/>
          <w:szCs w:val="24"/>
        </w:rPr>
        <w:t xml:space="preserve">Opći cilj: </w:t>
      </w:r>
      <w:r w:rsidRPr="00AC2206">
        <w:rPr>
          <w:rFonts w:ascii="Arial" w:hAnsi="Arial" w:cs="Arial"/>
          <w:sz w:val="24"/>
          <w:szCs w:val="24"/>
        </w:rPr>
        <w:t>osiguravanje podrške djeci s poteškoćama u razvoju, integracija djece s poteškoćama u odgojno obrazovne ustanove.</w:t>
      </w:r>
    </w:p>
    <w:p w14:paraId="1FF58F16" w14:textId="77777777" w:rsidR="00E541EE" w:rsidRPr="00AC2206" w:rsidRDefault="00E541EE" w:rsidP="00E541EE">
      <w:pPr>
        <w:jc w:val="both"/>
        <w:rPr>
          <w:rFonts w:ascii="Arial" w:hAnsi="Arial" w:cs="Arial"/>
          <w:b/>
          <w:sz w:val="24"/>
          <w:szCs w:val="24"/>
        </w:rPr>
      </w:pPr>
      <w:r w:rsidRPr="00AC2206">
        <w:rPr>
          <w:rFonts w:ascii="Arial" w:hAnsi="Arial" w:cs="Arial"/>
          <w:b/>
          <w:sz w:val="24"/>
          <w:szCs w:val="24"/>
        </w:rPr>
        <w:t xml:space="preserve">Pokazatelj uspješnosti: </w:t>
      </w:r>
      <w:r w:rsidRPr="00AC2206">
        <w:rPr>
          <w:rFonts w:ascii="Arial" w:hAnsi="Arial" w:cs="Arial"/>
          <w:sz w:val="24"/>
          <w:szCs w:val="24"/>
        </w:rPr>
        <w:t>broj zaposlenih/uključenih pomoćnika u školi.</w:t>
      </w:r>
    </w:p>
    <w:p w14:paraId="2A7EF564" w14:textId="77777777" w:rsidR="00E541EE" w:rsidRPr="00AC2206" w:rsidRDefault="00E541EE" w:rsidP="00E541EE">
      <w:pPr>
        <w:contextualSpacing/>
        <w:jc w:val="both"/>
        <w:outlineLvl w:val="1"/>
        <w:rPr>
          <w:rFonts w:ascii="Arial" w:hAnsi="Arial" w:cs="Arial"/>
          <w:sz w:val="24"/>
          <w:szCs w:val="24"/>
        </w:rPr>
      </w:pPr>
    </w:p>
    <w:p w14:paraId="6398D238" w14:textId="7A65E0E6"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FFD5EA"/>
        <w:rPr>
          <w:rFonts w:ascii="Arial" w:eastAsia="Times New Roman" w:hAnsi="Arial" w:cs="Arial"/>
          <w:b/>
          <w:bCs/>
          <w:sz w:val="24"/>
          <w:szCs w:val="24"/>
        </w:rPr>
      </w:pPr>
      <w:r w:rsidRPr="00261EBF">
        <w:rPr>
          <w:rFonts w:ascii="Arial" w:eastAsia="Times New Roman" w:hAnsi="Arial" w:cs="Arial"/>
          <w:b/>
          <w:bCs/>
          <w:sz w:val="24"/>
          <w:szCs w:val="24"/>
        </w:rPr>
        <w:t>Proračunski korisnik: OŠ Jurja Dobrile = 3.923.000,00 EUR</w:t>
      </w:r>
    </w:p>
    <w:p w14:paraId="78C5A6D3" w14:textId="77777777" w:rsidR="00E541EE" w:rsidRPr="00AC2206" w:rsidRDefault="00E541EE" w:rsidP="00E541EE">
      <w:pPr>
        <w:jc w:val="both"/>
        <w:rPr>
          <w:rFonts w:ascii="Arial" w:eastAsia="Times New Roman" w:hAnsi="Arial" w:cs="Arial"/>
          <w:sz w:val="24"/>
          <w:szCs w:val="24"/>
        </w:rPr>
      </w:pPr>
    </w:p>
    <w:p w14:paraId="519DEFDA"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AC2206">
        <w:rPr>
          <w:rFonts w:ascii="Arial" w:eastAsia="Times New Roman" w:hAnsi="Arial" w:cs="Arial"/>
          <w:b/>
          <w:bCs/>
          <w:sz w:val="24"/>
          <w:szCs w:val="24"/>
        </w:rPr>
        <w:t>A 103618: Decentralizirane funkcije = 2.</w:t>
      </w:r>
      <w:r>
        <w:rPr>
          <w:rFonts w:ascii="Arial" w:eastAsia="Times New Roman" w:hAnsi="Arial" w:cs="Arial"/>
          <w:b/>
          <w:bCs/>
          <w:sz w:val="24"/>
          <w:szCs w:val="24"/>
        </w:rPr>
        <w:t>887.051,81</w:t>
      </w:r>
      <w:r w:rsidRPr="00AC2206">
        <w:rPr>
          <w:rFonts w:ascii="Arial" w:eastAsia="Times New Roman" w:hAnsi="Arial" w:cs="Arial"/>
          <w:b/>
          <w:bCs/>
          <w:sz w:val="24"/>
          <w:szCs w:val="24"/>
        </w:rPr>
        <w:t xml:space="preserve"> EUR</w:t>
      </w:r>
    </w:p>
    <w:p w14:paraId="33075A22" w14:textId="77777777" w:rsidR="00E541EE" w:rsidRPr="00AC2206" w:rsidRDefault="00E541EE" w:rsidP="00E541EE">
      <w:pPr>
        <w:jc w:val="both"/>
        <w:rPr>
          <w:rFonts w:ascii="Arial" w:eastAsia="Times New Roman" w:hAnsi="Arial" w:cs="Arial"/>
          <w:bCs/>
          <w:sz w:val="24"/>
          <w:szCs w:val="24"/>
        </w:rPr>
      </w:pPr>
      <w:r w:rsidRPr="00AC2206">
        <w:rPr>
          <w:rFonts w:ascii="Arial" w:eastAsia="Times New Roman" w:hAnsi="Arial" w:cs="Arial"/>
          <w:b/>
          <w:bCs/>
          <w:sz w:val="24"/>
          <w:szCs w:val="24"/>
        </w:rPr>
        <w:t>Zakonska osnova:</w:t>
      </w:r>
      <w:r w:rsidRPr="00AC2206">
        <w:rPr>
          <w:rFonts w:ascii="Arial" w:eastAsia="Times New Roman" w:hAnsi="Arial" w:cs="Arial"/>
          <w:bCs/>
          <w:sz w:val="24"/>
          <w:szCs w:val="24"/>
        </w:rPr>
        <w:t xml:space="preserve"> Zakon o lokalnoj i područnoj (regionalnoj) samoupravi, Odluka o kriterijima i mjerilima za utvrđivanje bilančnih prava za financiranje minimalnog financijskog standarda javnih potreba osnovnog školstva, Zakon o odgoju i obrazovanju u osnovnoj i srednjoj školi, Državni pedagoški standard osnovnoškolskog sustava odgoja i obrazovanja,  </w:t>
      </w:r>
      <w:r w:rsidRPr="00AC2206">
        <w:rPr>
          <w:rFonts w:ascii="Arial" w:eastAsia="Times New Roman" w:hAnsi="Arial" w:cs="Arial"/>
          <w:sz w:val="24"/>
          <w:szCs w:val="24"/>
        </w:rPr>
        <w:t>Zakon o ustanovama.</w:t>
      </w:r>
    </w:p>
    <w:p w14:paraId="3C199F52"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sz w:val="24"/>
          <w:szCs w:val="24"/>
        </w:rPr>
        <w:t>Opis:</w:t>
      </w:r>
      <w:r w:rsidRPr="00AC2206">
        <w:rPr>
          <w:rFonts w:ascii="Arial" w:eastAsia="Times New Roman" w:hAnsi="Arial" w:cs="Arial"/>
          <w:sz w:val="24"/>
          <w:szCs w:val="24"/>
        </w:rPr>
        <w:t xml:space="preserve"> financiranje decentraliziranih funkcija u osnovnim školama provodi se sukladno Odluci o kriterijima, mjerilima i načinu financiranja decentraliziranih funkcija osnovnog školstva za Grad Rovinj-Rovigno, a koja se donosi za tekuću godinu.</w:t>
      </w:r>
    </w:p>
    <w:p w14:paraId="3E01E5E1" w14:textId="77777777" w:rsidR="00E541EE" w:rsidRDefault="00E541EE" w:rsidP="00E541EE">
      <w:pPr>
        <w:jc w:val="both"/>
      </w:pPr>
      <w:r w:rsidRPr="00AC2206">
        <w:rPr>
          <w:rFonts w:ascii="Arial" w:eastAsia="Times New Roman" w:hAnsi="Arial" w:cs="Arial"/>
          <w:sz w:val="24"/>
          <w:szCs w:val="24"/>
        </w:rPr>
        <w:t>Kroz ovu aktivnost podmiruju se materijalni troškovi prema opsegu programa (5</w:t>
      </w:r>
      <w:r>
        <w:rPr>
          <w:rFonts w:ascii="Arial" w:eastAsia="Times New Roman" w:hAnsi="Arial" w:cs="Arial"/>
          <w:sz w:val="24"/>
          <w:szCs w:val="24"/>
        </w:rPr>
        <w:t>3</w:t>
      </w:r>
      <w:r w:rsidRPr="00AC2206">
        <w:rPr>
          <w:rFonts w:ascii="Arial" w:eastAsia="Times New Roman" w:hAnsi="Arial" w:cs="Arial"/>
          <w:sz w:val="24"/>
          <w:szCs w:val="24"/>
        </w:rPr>
        <w:t>.</w:t>
      </w:r>
      <w:r>
        <w:rPr>
          <w:rFonts w:ascii="Arial" w:eastAsia="Times New Roman" w:hAnsi="Arial" w:cs="Arial"/>
          <w:sz w:val="24"/>
          <w:szCs w:val="24"/>
        </w:rPr>
        <w:t>627</w:t>
      </w:r>
      <w:r w:rsidRPr="00AC2206">
        <w:rPr>
          <w:rFonts w:ascii="Arial" w:eastAsia="Times New Roman" w:hAnsi="Arial" w:cs="Arial"/>
          <w:sz w:val="24"/>
          <w:szCs w:val="24"/>
        </w:rPr>
        <w:t>,</w:t>
      </w:r>
      <w:r>
        <w:rPr>
          <w:rFonts w:ascii="Arial" w:eastAsia="Times New Roman" w:hAnsi="Arial" w:cs="Arial"/>
          <w:sz w:val="24"/>
          <w:szCs w:val="24"/>
        </w:rPr>
        <w:t>12 eura</w:t>
      </w:r>
      <w:r w:rsidRPr="00AC2206">
        <w:rPr>
          <w:rFonts w:ascii="Arial" w:eastAsia="Times New Roman" w:hAnsi="Arial" w:cs="Arial"/>
          <w:sz w:val="24"/>
          <w:szCs w:val="24"/>
        </w:rPr>
        <w:t xml:space="preserve">) energenti (59.725,00 </w:t>
      </w:r>
      <w:r>
        <w:rPr>
          <w:rFonts w:ascii="Arial" w:eastAsia="Times New Roman" w:hAnsi="Arial" w:cs="Arial"/>
          <w:sz w:val="24"/>
          <w:szCs w:val="24"/>
        </w:rPr>
        <w:t>eura</w:t>
      </w:r>
      <w:r w:rsidRPr="00AC2206">
        <w:rPr>
          <w:rFonts w:ascii="Arial" w:eastAsia="Times New Roman" w:hAnsi="Arial" w:cs="Arial"/>
          <w:sz w:val="24"/>
          <w:szCs w:val="24"/>
        </w:rPr>
        <w:t>), zdravstveni pregledi zaposlenih (5.2</w:t>
      </w:r>
      <w:r>
        <w:rPr>
          <w:rFonts w:ascii="Arial" w:eastAsia="Times New Roman" w:hAnsi="Arial" w:cs="Arial"/>
          <w:sz w:val="24"/>
          <w:szCs w:val="24"/>
        </w:rPr>
        <w:t>93</w:t>
      </w:r>
      <w:r w:rsidRPr="00AC2206">
        <w:rPr>
          <w:rFonts w:ascii="Arial" w:eastAsia="Times New Roman" w:hAnsi="Arial" w:cs="Arial"/>
          <w:sz w:val="24"/>
          <w:szCs w:val="24"/>
        </w:rPr>
        <w:t>,</w:t>
      </w:r>
      <w:r>
        <w:rPr>
          <w:rFonts w:ascii="Arial" w:eastAsia="Times New Roman" w:hAnsi="Arial" w:cs="Arial"/>
          <w:sz w:val="24"/>
          <w:szCs w:val="24"/>
        </w:rPr>
        <w:t>20</w:t>
      </w:r>
      <w:r w:rsidRPr="00AC2206">
        <w:rPr>
          <w:rFonts w:ascii="Arial" w:eastAsia="Times New Roman" w:hAnsi="Arial" w:cs="Arial"/>
          <w:sz w:val="24"/>
          <w:szCs w:val="24"/>
        </w:rPr>
        <w:t xml:space="preserve"> </w:t>
      </w:r>
      <w:r>
        <w:rPr>
          <w:rFonts w:ascii="Arial" w:eastAsia="Times New Roman" w:hAnsi="Arial" w:cs="Arial"/>
          <w:sz w:val="24"/>
          <w:szCs w:val="24"/>
        </w:rPr>
        <w:t>eura</w:t>
      </w:r>
      <w:r w:rsidRPr="00AC2206">
        <w:rPr>
          <w:rFonts w:ascii="Arial" w:eastAsia="Times New Roman" w:hAnsi="Arial" w:cs="Arial"/>
          <w:sz w:val="24"/>
          <w:szCs w:val="24"/>
        </w:rPr>
        <w:t>) te usluge tekućeg i investicijskog održavanja (1</w:t>
      </w:r>
      <w:r>
        <w:rPr>
          <w:rFonts w:ascii="Arial" w:eastAsia="Times New Roman" w:hAnsi="Arial" w:cs="Arial"/>
          <w:sz w:val="24"/>
          <w:szCs w:val="24"/>
        </w:rPr>
        <w:t>5</w:t>
      </w:r>
      <w:r w:rsidRPr="00AC2206">
        <w:rPr>
          <w:rFonts w:ascii="Arial" w:eastAsia="Times New Roman" w:hAnsi="Arial" w:cs="Arial"/>
          <w:sz w:val="24"/>
          <w:szCs w:val="24"/>
        </w:rPr>
        <w:t>.</w:t>
      </w:r>
      <w:r>
        <w:rPr>
          <w:rFonts w:ascii="Arial" w:eastAsia="Times New Roman" w:hAnsi="Arial" w:cs="Arial"/>
          <w:sz w:val="24"/>
          <w:szCs w:val="24"/>
        </w:rPr>
        <w:t>0</w:t>
      </w:r>
      <w:r w:rsidRPr="00AC2206">
        <w:rPr>
          <w:rFonts w:ascii="Arial" w:eastAsia="Times New Roman" w:hAnsi="Arial" w:cs="Arial"/>
          <w:sz w:val="24"/>
          <w:szCs w:val="24"/>
        </w:rPr>
        <w:t>50,</w:t>
      </w:r>
      <w:r>
        <w:rPr>
          <w:rFonts w:ascii="Arial" w:eastAsia="Times New Roman" w:hAnsi="Arial" w:cs="Arial"/>
          <w:sz w:val="24"/>
          <w:szCs w:val="24"/>
        </w:rPr>
        <w:t>49</w:t>
      </w:r>
      <w:r w:rsidRPr="00AC2206">
        <w:rPr>
          <w:rFonts w:ascii="Arial" w:eastAsia="Times New Roman" w:hAnsi="Arial" w:cs="Arial"/>
          <w:sz w:val="24"/>
          <w:szCs w:val="24"/>
        </w:rPr>
        <w:t xml:space="preserve"> </w:t>
      </w:r>
      <w:r>
        <w:rPr>
          <w:rFonts w:ascii="Arial" w:eastAsia="Times New Roman" w:hAnsi="Arial" w:cs="Arial"/>
          <w:sz w:val="24"/>
          <w:szCs w:val="24"/>
        </w:rPr>
        <w:t>eura</w:t>
      </w:r>
      <w:r w:rsidRPr="00AC2206">
        <w:rPr>
          <w:rFonts w:ascii="Arial" w:eastAsia="Times New Roman" w:hAnsi="Arial" w:cs="Arial"/>
          <w:sz w:val="24"/>
          <w:szCs w:val="24"/>
        </w:rPr>
        <w:t xml:space="preserve">). </w:t>
      </w:r>
    </w:p>
    <w:p w14:paraId="69DCC173" w14:textId="77777777" w:rsidR="00E541EE" w:rsidRPr="0009745E" w:rsidRDefault="00E541EE" w:rsidP="00E541EE">
      <w:pPr>
        <w:pStyle w:val="Standard"/>
        <w:spacing w:before="0" w:after="0" w:line="240" w:lineRule="auto"/>
        <w:jc w:val="both"/>
        <w:rPr>
          <w:sz w:val="24"/>
          <w:szCs w:val="24"/>
        </w:rPr>
      </w:pPr>
      <w:r w:rsidRPr="0009745E">
        <w:rPr>
          <w:rFonts w:ascii="Arial" w:hAnsi="Arial" w:cs="Arial"/>
          <w:bCs/>
          <w:color w:val="000000"/>
          <w:sz w:val="24"/>
          <w:szCs w:val="24"/>
        </w:rPr>
        <w:t>Planirana sredstva</w:t>
      </w:r>
      <w:r>
        <w:rPr>
          <w:rFonts w:ascii="Arial" w:hAnsi="Arial" w:cs="Arial"/>
          <w:bCs/>
          <w:color w:val="000000"/>
          <w:sz w:val="24"/>
          <w:szCs w:val="24"/>
        </w:rPr>
        <w:t xml:space="preserve"> iz državnog proračuna COP (centralni obračun plaća)</w:t>
      </w:r>
      <w:r w:rsidRPr="0009745E">
        <w:rPr>
          <w:rFonts w:ascii="Arial" w:hAnsi="Arial" w:cs="Arial"/>
          <w:bCs/>
          <w:color w:val="000000"/>
          <w:sz w:val="24"/>
          <w:szCs w:val="24"/>
        </w:rPr>
        <w:t xml:space="preserve"> iznose </w:t>
      </w:r>
      <w:r w:rsidRPr="0009745E">
        <w:rPr>
          <w:rFonts w:ascii="Arial" w:hAnsi="Arial" w:cs="Arial"/>
          <w:color w:val="000000"/>
          <w:sz w:val="24"/>
          <w:szCs w:val="24"/>
        </w:rPr>
        <w:t xml:space="preserve">2.721.480,00 </w:t>
      </w:r>
      <w:r>
        <w:rPr>
          <w:rFonts w:ascii="Arial" w:hAnsi="Arial" w:cs="Arial"/>
          <w:color w:val="000000"/>
          <w:sz w:val="24"/>
          <w:szCs w:val="24"/>
        </w:rPr>
        <w:t>eura</w:t>
      </w:r>
      <w:r w:rsidRPr="0009745E">
        <w:rPr>
          <w:rFonts w:ascii="Arial" w:hAnsi="Arial" w:cs="Arial"/>
          <w:bCs/>
          <w:color w:val="000000"/>
          <w:sz w:val="24"/>
          <w:szCs w:val="24"/>
        </w:rPr>
        <w:t>, a financirati će se plaće zaposlenika na temelju prosjeka plaće zaposlenih na dan 01.09.2024., na temelju osnovice za rujan 2025. u iznosu od 1.004,78 eura, minulim radom i novim koeficijentima od 1.3.2024. godine te sa pripadajućim doprinosima, te ostalim rashodima za zaposlenike temeljem kolektivnih ugovora, naknade za prijevoz na posao i s posla, naknada za nezapošljavanje invalida.</w:t>
      </w:r>
    </w:p>
    <w:p w14:paraId="54F65B60" w14:textId="77777777" w:rsidR="00E541EE" w:rsidRPr="0009745E" w:rsidRDefault="00E541EE" w:rsidP="00E541EE">
      <w:pPr>
        <w:pStyle w:val="Standard"/>
        <w:spacing w:before="0" w:after="0" w:line="240" w:lineRule="auto"/>
        <w:jc w:val="both"/>
        <w:rPr>
          <w:rFonts w:ascii="Arial" w:hAnsi="Arial" w:cs="Arial"/>
          <w:bCs/>
          <w:color w:val="000000"/>
          <w:sz w:val="24"/>
          <w:szCs w:val="24"/>
        </w:rPr>
      </w:pPr>
      <w:r w:rsidRPr="0009745E">
        <w:rPr>
          <w:rFonts w:ascii="Arial" w:hAnsi="Arial" w:cs="Arial"/>
          <w:bCs/>
          <w:color w:val="000000"/>
          <w:sz w:val="24"/>
          <w:szCs w:val="24"/>
        </w:rPr>
        <w:t xml:space="preserve">Za potrebe službenih putovanja za voditelje stručnih aktiva potrebno je planirana su sredstva u iznosu od 735,00 </w:t>
      </w:r>
      <w:r>
        <w:rPr>
          <w:rFonts w:ascii="Arial" w:hAnsi="Arial" w:cs="Arial"/>
          <w:bCs/>
          <w:color w:val="000000"/>
          <w:sz w:val="24"/>
          <w:szCs w:val="24"/>
        </w:rPr>
        <w:t>eura</w:t>
      </w:r>
      <w:r w:rsidRPr="0009745E">
        <w:rPr>
          <w:rFonts w:ascii="Arial" w:hAnsi="Arial" w:cs="Arial"/>
          <w:bCs/>
          <w:color w:val="000000"/>
          <w:sz w:val="24"/>
          <w:szCs w:val="24"/>
        </w:rPr>
        <w:t xml:space="preserve"> </w:t>
      </w:r>
      <w:r>
        <w:rPr>
          <w:rFonts w:ascii="Arial" w:hAnsi="Arial" w:cs="Arial"/>
          <w:bCs/>
          <w:color w:val="000000"/>
          <w:sz w:val="24"/>
          <w:szCs w:val="24"/>
        </w:rPr>
        <w:t xml:space="preserve">koje </w:t>
      </w:r>
      <w:r w:rsidRPr="0009745E">
        <w:rPr>
          <w:rFonts w:ascii="Arial" w:hAnsi="Arial" w:cs="Arial"/>
          <w:bCs/>
          <w:color w:val="000000"/>
          <w:sz w:val="24"/>
          <w:szCs w:val="24"/>
        </w:rPr>
        <w:t>finan</w:t>
      </w:r>
      <w:r>
        <w:rPr>
          <w:rFonts w:ascii="Arial" w:hAnsi="Arial" w:cs="Arial"/>
          <w:bCs/>
          <w:color w:val="000000"/>
          <w:sz w:val="24"/>
          <w:szCs w:val="24"/>
        </w:rPr>
        <w:t>cira</w:t>
      </w:r>
      <w:r w:rsidRPr="0009745E">
        <w:rPr>
          <w:rFonts w:ascii="Arial" w:hAnsi="Arial" w:cs="Arial"/>
          <w:bCs/>
          <w:color w:val="000000"/>
          <w:sz w:val="24"/>
          <w:szCs w:val="24"/>
        </w:rPr>
        <w:t xml:space="preserve"> MZOM-a.</w:t>
      </w:r>
    </w:p>
    <w:p w14:paraId="0A1C62B8" w14:textId="77777777" w:rsidR="00E541EE" w:rsidRPr="00AC2206" w:rsidRDefault="00E541EE" w:rsidP="00E541EE">
      <w:pPr>
        <w:pStyle w:val="Standard"/>
        <w:spacing w:before="0" w:after="0" w:line="240" w:lineRule="auto"/>
        <w:jc w:val="both"/>
        <w:rPr>
          <w:color w:val="auto"/>
          <w:sz w:val="24"/>
          <w:szCs w:val="24"/>
        </w:rPr>
      </w:pPr>
      <w:r w:rsidRPr="00AC2206">
        <w:rPr>
          <w:rFonts w:ascii="Arial" w:eastAsia="Times New Roman" w:hAnsi="Arial" w:cs="Arial"/>
          <w:b/>
          <w:color w:val="auto"/>
          <w:sz w:val="24"/>
          <w:szCs w:val="24"/>
        </w:rPr>
        <w:t>Opći cilj:</w:t>
      </w:r>
      <w:r w:rsidRPr="00AC2206">
        <w:rPr>
          <w:rFonts w:ascii="Arial" w:eastAsia="Times New Roman" w:hAnsi="Arial" w:cs="Arial"/>
          <w:color w:val="auto"/>
          <w:sz w:val="24"/>
          <w:szCs w:val="24"/>
        </w:rPr>
        <w:t xml:space="preserve"> osiguravanje kvalitetnih uvjeta za realizaciju nastavnog plana i programa škole.</w:t>
      </w:r>
    </w:p>
    <w:p w14:paraId="7E03F572" w14:textId="77777777" w:rsidR="00E541EE" w:rsidRDefault="00E541EE" w:rsidP="00E541EE">
      <w:pPr>
        <w:jc w:val="both"/>
        <w:rPr>
          <w:rFonts w:ascii="Arial" w:eastAsia="Times New Roman" w:hAnsi="Arial" w:cs="Arial"/>
          <w:sz w:val="24"/>
          <w:szCs w:val="24"/>
        </w:rPr>
      </w:pPr>
      <w:r w:rsidRPr="00AC2206">
        <w:rPr>
          <w:rFonts w:ascii="Arial" w:eastAsia="Times New Roman" w:hAnsi="Arial" w:cs="Arial"/>
          <w:b/>
          <w:sz w:val="24"/>
          <w:szCs w:val="24"/>
        </w:rPr>
        <w:t>Pokazatelj uspješnosti:</w:t>
      </w:r>
      <w:r w:rsidRPr="00AC2206">
        <w:rPr>
          <w:rFonts w:ascii="Arial" w:eastAsia="Times New Roman" w:hAnsi="Arial" w:cs="Arial"/>
          <w:sz w:val="24"/>
          <w:szCs w:val="24"/>
        </w:rPr>
        <w:t xml:space="preserve"> financiranje  materijalnih i ostalih troškova koji će omogućiti kvalitetan rad škole.</w:t>
      </w:r>
    </w:p>
    <w:p w14:paraId="78EC16FD" w14:textId="77777777" w:rsidR="00E541EE" w:rsidRPr="00AC2206" w:rsidRDefault="00E541EE" w:rsidP="00E541EE">
      <w:pPr>
        <w:jc w:val="both"/>
        <w:rPr>
          <w:rFonts w:ascii="Arial" w:eastAsia="Times New Roman" w:hAnsi="Arial" w:cs="Arial"/>
          <w:sz w:val="24"/>
          <w:szCs w:val="24"/>
        </w:rPr>
      </w:pPr>
    </w:p>
    <w:p w14:paraId="143ADC6D"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AC2206">
        <w:rPr>
          <w:rFonts w:ascii="Arial" w:eastAsia="Times New Roman" w:hAnsi="Arial" w:cs="Arial"/>
          <w:b/>
          <w:bCs/>
          <w:sz w:val="24"/>
          <w:szCs w:val="24"/>
        </w:rPr>
        <w:t xml:space="preserve">A 103622: Materijalni rashodi po osnovi dodatnih standarda = </w:t>
      </w:r>
      <w:r>
        <w:rPr>
          <w:rFonts w:ascii="Arial" w:eastAsia="Times New Roman" w:hAnsi="Arial" w:cs="Arial"/>
          <w:b/>
          <w:bCs/>
          <w:sz w:val="24"/>
          <w:szCs w:val="24"/>
        </w:rPr>
        <w:t>51</w:t>
      </w:r>
      <w:r w:rsidRPr="00AC2206">
        <w:rPr>
          <w:rFonts w:ascii="Arial" w:eastAsia="Times New Roman" w:hAnsi="Arial" w:cs="Arial"/>
          <w:b/>
          <w:bCs/>
          <w:sz w:val="24"/>
          <w:szCs w:val="24"/>
        </w:rPr>
        <w:t>.</w:t>
      </w:r>
      <w:r>
        <w:rPr>
          <w:rFonts w:ascii="Arial" w:eastAsia="Times New Roman" w:hAnsi="Arial" w:cs="Arial"/>
          <w:b/>
          <w:bCs/>
          <w:sz w:val="24"/>
          <w:szCs w:val="24"/>
        </w:rPr>
        <w:t>100</w:t>
      </w:r>
      <w:r w:rsidRPr="00AC2206">
        <w:rPr>
          <w:rFonts w:ascii="Arial" w:eastAsia="Times New Roman" w:hAnsi="Arial" w:cs="Arial"/>
          <w:b/>
          <w:bCs/>
          <w:sz w:val="24"/>
          <w:szCs w:val="24"/>
        </w:rPr>
        <w:t>,00 EUR</w:t>
      </w:r>
    </w:p>
    <w:p w14:paraId="31270675"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Zakonska osnova</w:t>
      </w:r>
      <w:r w:rsidRPr="00AC2206">
        <w:rPr>
          <w:rFonts w:ascii="Arial" w:eastAsia="Times New Roman" w:hAnsi="Arial" w:cs="Arial"/>
          <w:bCs/>
          <w:sz w:val="24"/>
          <w:szCs w:val="24"/>
        </w:rPr>
        <w:t>: Zakon o radu,</w:t>
      </w:r>
      <w:r w:rsidRPr="00AC2206">
        <w:rPr>
          <w:rFonts w:ascii="Arial" w:eastAsia="Times New Roman" w:hAnsi="Arial" w:cs="Arial"/>
          <w:sz w:val="24"/>
          <w:szCs w:val="24"/>
        </w:rPr>
        <w:t xml:space="preserve"> Zakon o odgoju i obrazovanju u osnovnoj i srednjoj školi, Državni pedagoški standard osnovnoškolskog sustava odgoja i obrazovanja.</w:t>
      </w:r>
    </w:p>
    <w:p w14:paraId="412F8D92" w14:textId="77777777" w:rsidR="00E541EE" w:rsidRPr="00917126" w:rsidRDefault="00E541EE" w:rsidP="00E541EE">
      <w:pPr>
        <w:pStyle w:val="Standard"/>
        <w:spacing w:before="0" w:after="0" w:line="240" w:lineRule="auto"/>
        <w:jc w:val="both"/>
        <w:rPr>
          <w:sz w:val="24"/>
          <w:szCs w:val="24"/>
        </w:rPr>
      </w:pPr>
      <w:r w:rsidRPr="00AC2206">
        <w:rPr>
          <w:rFonts w:ascii="Arial" w:eastAsia="Times New Roman" w:hAnsi="Arial" w:cs="Arial"/>
          <w:b/>
          <w:color w:val="auto"/>
          <w:sz w:val="24"/>
          <w:szCs w:val="24"/>
        </w:rPr>
        <w:t>Opis</w:t>
      </w:r>
      <w:r w:rsidRPr="00AC2206">
        <w:rPr>
          <w:rFonts w:ascii="Arial" w:eastAsia="Times New Roman" w:hAnsi="Arial" w:cs="Arial"/>
          <w:b/>
          <w:sz w:val="24"/>
          <w:szCs w:val="24"/>
        </w:rPr>
        <w:t>:</w:t>
      </w:r>
      <w:r w:rsidRPr="00AC2206">
        <w:rPr>
          <w:rFonts w:ascii="Arial" w:eastAsia="Times New Roman" w:hAnsi="Arial" w:cs="Arial"/>
          <w:sz w:val="24"/>
          <w:szCs w:val="24"/>
        </w:rPr>
        <w:t xml:space="preserve"> </w:t>
      </w:r>
      <w:r w:rsidRPr="00917126">
        <w:rPr>
          <w:rFonts w:ascii="Arial" w:hAnsi="Arial" w:cs="Arial"/>
          <w:bCs/>
          <w:color w:val="000000"/>
          <w:sz w:val="24"/>
          <w:szCs w:val="24"/>
        </w:rPr>
        <w:t xml:space="preserve">Za vrijeme nastavne godine osnivač osigurava 55,00 eura po grupi produženog boravka za potrebe materijalnih troškova što iznosi 2.750,00 </w:t>
      </w:r>
      <w:r>
        <w:rPr>
          <w:rFonts w:ascii="Arial" w:hAnsi="Arial" w:cs="Arial"/>
          <w:bCs/>
          <w:color w:val="000000"/>
          <w:sz w:val="24"/>
          <w:szCs w:val="24"/>
        </w:rPr>
        <w:t>eura</w:t>
      </w:r>
      <w:r w:rsidRPr="00917126">
        <w:rPr>
          <w:rFonts w:ascii="Arial" w:hAnsi="Arial" w:cs="Arial"/>
          <w:bCs/>
          <w:color w:val="000000"/>
          <w:sz w:val="24"/>
          <w:szCs w:val="24"/>
        </w:rPr>
        <w:t xml:space="preserve"> za 5 grupa, kao i za pokriće prijevoza zaposlenika na posao i s posla u iznosu od 4.000,00 </w:t>
      </w:r>
      <w:r>
        <w:rPr>
          <w:rFonts w:ascii="Arial" w:hAnsi="Arial" w:cs="Arial"/>
          <w:bCs/>
          <w:color w:val="000000"/>
          <w:sz w:val="24"/>
          <w:szCs w:val="24"/>
        </w:rPr>
        <w:t>eura</w:t>
      </w:r>
      <w:r w:rsidRPr="00917126">
        <w:rPr>
          <w:rFonts w:ascii="Arial" w:hAnsi="Arial" w:cs="Arial"/>
          <w:bCs/>
          <w:color w:val="000000"/>
          <w:sz w:val="24"/>
          <w:szCs w:val="24"/>
        </w:rPr>
        <w:t xml:space="preserve"> (dvije djelatnice u produženom boravku i kuharica).</w:t>
      </w:r>
    </w:p>
    <w:p w14:paraId="5856F66D" w14:textId="77777777" w:rsidR="00E541EE" w:rsidRPr="00917126" w:rsidRDefault="00E541EE" w:rsidP="00E541EE">
      <w:pPr>
        <w:pStyle w:val="Standard"/>
        <w:spacing w:before="0" w:after="0" w:line="240" w:lineRule="auto"/>
        <w:jc w:val="both"/>
        <w:rPr>
          <w:rFonts w:ascii="Arial" w:hAnsi="Arial" w:cs="Arial"/>
          <w:bCs/>
          <w:color w:val="000000"/>
          <w:sz w:val="24"/>
          <w:szCs w:val="24"/>
        </w:rPr>
      </w:pPr>
      <w:r w:rsidRPr="00917126">
        <w:rPr>
          <w:rFonts w:ascii="Arial" w:hAnsi="Arial" w:cs="Arial"/>
          <w:bCs/>
          <w:color w:val="000000"/>
          <w:sz w:val="24"/>
          <w:szCs w:val="24"/>
        </w:rPr>
        <w:t xml:space="preserve">Zbog povećanja troškova zakupnina u prethodnoj godini koji se ne mogu financirati iz decentraliziranih sredstava, troškovi u iznosu od 18.000,00 </w:t>
      </w:r>
      <w:r>
        <w:rPr>
          <w:rFonts w:ascii="Arial" w:hAnsi="Arial" w:cs="Arial"/>
          <w:bCs/>
          <w:color w:val="000000"/>
          <w:sz w:val="24"/>
          <w:szCs w:val="24"/>
        </w:rPr>
        <w:t>eura</w:t>
      </w:r>
      <w:r w:rsidRPr="00917126">
        <w:rPr>
          <w:rFonts w:ascii="Arial" w:hAnsi="Arial" w:cs="Arial"/>
          <w:bCs/>
          <w:color w:val="000000"/>
          <w:sz w:val="24"/>
          <w:szCs w:val="24"/>
        </w:rPr>
        <w:t xml:space="preserve"> dodani su na </w:t>
      </w:r>
      <w:r>
        <w:rPr>
          <w:rFonts w:ascii="Arial" w:hAnsi="Arial" w:cs="Arial"/>
          <w:bCs/>
          <w:color w:val="000000"/>
          <w:sz w:val="24"/>
          <w:szCs w:val="24"/>
        </w:rPr>
        <w:t>ovoj aktivnosti</w:t>
      </w:r>
      <w:r w:rsidRPr="00917126">
        <w:rPr>
          <w:rFonts w:ascii="Arial" w:hAnsi="Arial" w:cs="Arial"/>
          <w:bCs/>
          <w:color w:val="000000"/>
          <w:sz w:val="24"/>
          <w:szCs w:val="24"/>
        </w:rPr>
        <w:t xml:space="preserve">. Troškovi komunalnih usluga (10.750,00 </w:t>
      </w:r>
      <w:r>
        <w:rPr>
          <w:rFonts w:ascii="Arial" w:hAnsi="Arial" w:cs="Arial"/>
          <w:bCs/>
          <w:color w:val="000000"/>
          <w:sz w:val="24"/>
          <w:szCs w:val="24"/>
        </w:rPr>
        <w:t>eura</w:t>
      </w:r>
      <w:r w:rsidRPr="00917126">
        <w:rPr>
          <w:rFonts w:ascii="Arial" w:hAnsi="Arial" w:cs="Arial"/>
          <w:bCs/>
          <w:color w:val="000000"/>
          <w:sz w:val="24"/>
          <w:szCs w:val="24"/>
        </w:rPr>
        <w:t>) kao i ostali rashodi (troškovi registracije, osiguranja i potrošnje goriva za dostavno vozilo) koji nisu pokriveni iz decentraliziranih</w:t>
      </w:r>
      <w:r>
        <w:rPr>
          <w:rFonts w:ascii="Arial" w:hAnsi="Arial" w:cs="Arial"/>
          <w:bCs/>
          <w:color w:val="000000"/>
          <w:sz w:val="24"/>
          <w:szCs w:val="24"/>
        </w:rPr>
        <w:t xml:space="preserve"> sredstava</w:t>
      </w:r>
      <w:r w:rsidRPr="00917126">
        <w:rPr>
          <w:rFonts w:ascii="Arial" w:hAnsi="Arial" w:cs="Arial"/>
          <w:bCs/>
          <w:color w:val="000000"/>
          <w:sz w:val="24"/>
          <w:szCs w:val="24"/>
        </w:rPr>
        <w:t xml:space="preserve"> također su planirani u dodatnim standardima.</w:t>
      </w:r>
    </w:p>
    <w:p w14:paraId="1B388C04" w14:textId="77777777" w:rsidR="00E541EE" w:rsidRPr="00AC2206" w:rsidRDefault="00E541EE" w:rsidP="00E541EE">
      <w:pPr>
        <w:jc w:val="both"/>
        <w:rPr>
          <w:rFonts w:ascii="Arial" w:eastAsia="Times New Roman" w:hAnsi="Arial" w:cs="Arial"/>
          <w:bCs/>
          <w:sz w:val="24"/>
          <w:szCs w:val="24"/>
        </w:rPr>
      </w:pPr>
      <w:r w:rsidRPr="00AC2206">
        <w:rPr>
          <w:rFonts w:ascii="Arial" w:eastAsia="Times New Roman" w:hAnsi="Arial" w:cs="Arial"/>
          <w:b/>
          <w:bCs/>
          <w:sz w:val="24"/>
          <w:szCs w:val="24"/>
        </w:rPr>
        <w:t>Cilj:</w:t>
      </w:r>
      <w:r w:rsidRPr="00AC2206">
        <w:rPr>
          <w:rFonts w:ascii="Arial" w:eastAsia="Times New Roman" w:hAnsi="Arial" w:cs="Arial"/>
          <w:bCs/>
          <w:sz w:val="24"/>
          <w:szCs w:val="24"/>
        </w:rPr>
        <w:t xml:space="preserve"> osiguravanje dodatnih standarda.</w:t>
      </w:r>
    </w:p>
    <w:p w14:paraId="636035D1" w14:textId="77777777" w:rsidR="00E541EE" w:rsidRPr="00AC2206" w:rsidRDefault="00E541EE" w:rsidP="00E541EE">
      <w:pPr>
        <w:jc w:val="both"/>
        <w:rPr>
          <w:rFonts w:ascii="Arial" w:eastAsia="Times New Roman" w:hAnsi="Arial" w:cs="Arial"/>
          <w:bCs/>
          <w:sz w:val="24"/>
          <w:szCs w:val="24"/>
        </w:rPr>
      </w:pPr>
      <w:r w:rsidRPr="00AC2206">
        <w:rPr>
          <w:rFonts w:ascii="Arial" w:eastAsia="Times New Roman" w:hAnsi="Arial" w:cs="Arial"/>
          <w:b/>
          <w:bCs/>
          <w:sz w:val="24"/>
          <w:szCs w:val="24"/>
        </w:rPr>
        <w:t xml:space="preserve">Pokazatelj uspješnosti: </w:t>
      </w:r>
      <w:r w:rsidRPr="00AC2206">
        <w:rPr>
          <w:rFonts w:ascii="Arial" w:eastAsia="Times New Roman" w:hAnsi="Arial" w:cs="Arial"/>
          <w:bCs/>
          <w:sz w:val="24"/>
          <w:szCs w:val="24"/>
        </w:rPr>
        <w:t>financirati će se svi materijalni</w:t>
      </w:r>
      <w:r w:rsidRPr="00AC2206">
        <w:rPr>
          <w:rFonts w:ascii="Arial" w:eastAsia="Times New Roman" w:hAnsi="Arial" w:cs="Arial"/>
          <w:b/>
          <w:bCs/>
          <w:sz w:val="24"/>
          <w:szCs w:val="24"/>
        </w:rPr>
        <w:t xml:space="preserve"> </w:t>
      </w:r>
      <w:r w:rsidRPr="00AC2206">
        <w:rPr>
          <w:rFonts w:ascii="Arial" w:eastAsia="Times New Roman" w:hAnsi="Arial" w:cs="Arial"/>
          <w:bCs/>
          <w:sz w:val="24"/>
          <w:szCs w:val="24"/>
        </w:rPr>
        <w:t>i ostali troškovi koji će omogućiti kvalitetan rad škole te će se podmiriti troškovi prijevoza za učiteljice u produženom boravku.</w:t>
      </w:r>
    </w:p>
    <w:p w14:paraId="7CFD6DE3" w14:textId="77777777" w:rsidR="00E541EE" w:rsidRPr="00AC2206" w:rsidRDefault="00E541EE" w:rsidP="00E541EE">
      <w:pPr>
        <w:jc w:val="both"/>
        <w:rPr>
          <w:rFonts w:ascii="Arial" w:eastAsia="Times New Roman" w:hAnsi="Arial" w:cs="Arial"/>
          <w:sz w:val="24"/>
          <w:szCs w:val="24"/>
        </w:rPr>
      </w:pPr>
    </w:p>
    <w:p w14:paraId="216D8AF0"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AC2206">
        <w:rPr>
          <w:rFonts w:ascii="Arial" w:eastAsia="Times New Roman" w:hAnsi="Arial" w:cs="Arial"/>
          <w:b/>
          <w:bCs/>
          <w:sz w:val="24"/>
          <w:szCs w:val="24"/>
        </w:rPr>
        <w:t xml:space="preserve">A 103619: Nastava Tjelesne i zdravstvene kulture = </w:t>
      </w:r>
      <w:r>
        <w:rPr>
          <w:rFonts w:ascii="Arial" w:eastAsia="Times New Roman" w:hAnsi="Arial" w:cs="Arial"/>
          <w:b/>
          <w:bCs/>
          <w:sz w:val="24"/>
          <w:szCs w:val="24"/>
        </w:rPr>
        <w:t>14</w:t>
      </w:r>
      <w:r w:rsidRPr="00AC2206">
        <w:rPr>
          <w:rFonts w:ascii="Arial" w:eastAsia="Times New Roman" w:hAnsi="Arial" w:cs="Arial"/>
          <w:b/>
          <w:bCs/>
          <w:sz w:val="24"/>
          <w:szCs w:val="24"/>
        </w:rPr>
        <w:t>.</w:t>
      </w:r>
      <w:r>
        <w:rPr>
          <w:rFonts w:ascii="Arial" w:eastAsia="Times New Roman" w:hAnsi="Arial" w:cs="Arial"/>
          <w:b/>
          <w:bCs/>
          <w:sz w:val="24"/>
          <w:szCs w:val="24"/>
        </w:rPr>
        <w:t>022</w:t>
      </w:r>
      <w:r w:rsidRPr="00AC2206">
        <w:rPr>
          <w:rFonts w:ascii="Arial" w:eastAsia="Times New Roman" w:hAnsi="Arial" w:cs="Arial"/>
          <w:b/>
          <w:bCs/>
          <w:sz w:val="24"/>
          <w:szCs w:val="24"/>
        </w:rPr>
        <w:t>,</w:t>
      </w:r>
      <w:r>
        <w:rPr>
          <w:rFonts w:ascii="Arial" w:eastAsia="Times New Roman" w:hAnsi="Arial" w:cs="Arial"/>
          <w:b/>
          <w:bCs/>
          <w:sz w:val="24"/>
          <w:szCs w:val="24"/>
        </w:rPr>
        <w:t>19</w:t>
      </w:r>
      <w:r w:rsidRPr="00AC2206">
        <w:rPr>
          <w:rFonts w:ascii="Arial" w:eastAsia="Times New Roman" w:hAnsi="Arial" w:cs="Arial"/>
          <w:b/>
          <w:bCs/>
          <w:sz w:val="24"/>
          <w:szCs w:val="24"/>
        </w:rPr>
        <w:t xml:space="preserve"> EUR</w:t>
      </w:r>
    </w:p>
    <w:p w14:paraId="0277DB34"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Zakonska osnova:</w:t>
      </w:r>
      <w:r w:rsidRPr="00AC2206">
        <w:rPr>
          <w:rFonts w:ascii="Arial" w:eastAsia="Times New Roman" w:hAnsi="Arial" w:cs="Arial"/>
          <w:bCs/>
          <w:sz w:val="24"/>
          <w:szCs w:val="24"/>
        </w:rPr>
        <w:t xml:space="preserve"> Zakon o radu,</w:t>
      </w:r>
      <w:r w:rsidRPr="00AC2206">
        <w:rPr>
          <w:rFonts w:ascii="Arial" w:eastAsia="Times New Roman" w:hAnsi="Arial" w:cs="Arial"/>
          <w:sz w:val="24"/>
          <w:szCs w:val="24"/>
        </w:rPr>
        <w:t xml:space="preserve"> Zakon o odgoju i obrazovanju u osnovnoj i srednjoj školi, Državni pedagoški standard osnovnoškolskog sustava odgoja i obrazovanja.</w:t>
      </w:r>
    </w:p>
    <w:p w14:paraId="4B210E57" w14:textId="77777777" w:rsidR="00E541EE" w:rsidRPr="00917126" w:rsidRDefault="00E541EE" w:rsidP="00E541EE">
      <w:pPr>
        <w:pStyle w:val="Standard"/>
        <w:spacing w:before="0" w:after="0" w:line="240" w:lineRule="auto"/>
        <w:jc w:val="both"/>
        <w:rPr>
          <w:sz w:val="24"/>
          <w:szCs w:val="24"/>
        </w:rPr>
      </w:pPr>
      <w:r w:rsidRPr="00AC2206">
        <w:rPr>
          <w:rFonts w:ascii="Arial" w:eastAsia="Times New Roman" w:hAnsi="Arial" w:cs="Arial"/>
          <w:b/>
          <w:sz w:val="24"/>
          <w:szCs w:val="24"/>
        </w:rPr>
        <w:t>Opis:</w:t>
      </w:r>
      <w:r w:rsidRPr="00AC2206">
        <w:rPr>
          <w:rFonts w:ascii="Arial" w:eastAsia="Times New Roman" w:hAnsi="Arial" w:cs="Arial"/>
          <w:sz w:val="24"/>
          <w:szCs w:val="24"/>
        </w:rPr>
        <w:t xml:space="preserve"> </w:t>
      </w:r>
      <w:r w:rsidRPr="00917126">
        <w:rPr>
          <w:rFonts w:ascii="Arial" w:hAnsi="Arial" w:cs="Arial"/>
          <w:bCs/>
          <w:color w:val="000000"/>
          <w:sz w:val="24"/>
          <w:szCs w:val="24"/>
        </w:rPr>
        <w:t>Kako bi se zadržali dostignuti standardi u nastavi tjelesne i zdravstvene kulture u osnovnoj školi, Osnivač osigurava sredstva za podmirenje plaće i svih ostalih davanja koji proizlaze iz radnog odnosa u nepunom radnom vremenu (37,5%) za jednog učitelja/icu sa VSS, a sukladno Zakonu o radu i važećim</w:t>
      </w:r>
      <w:r w:rsidRPr="00917126">
        <w:rPr>
          <w:rFonts w:ascii="Arial" w:hAnsi="Arial" w:cs="Arial"/>
          <w:b/>
          <w:bCs/>
          <w:color w:val="000000"/>
          <w:sz w:val="24"/>
          <w:szCs w:val="24"/>
        </w:rPr>
        <w:t xml:space="preserve"> </w:t>
      </w:r>
      <w:r w:rsidRPr="00917126">
        <w:rPr>
          <w:rFonts w:ascii="Arial" w:hAnsi="Arial" w:cs="Arial"/>
          <w:bCs/>
          <w:color w:val="000000"/>
          <w:sz w:val="24"/>
          <w:szCs w:val="24"/>
        </w:rPr>
        <w:t xml:space="preserve">Temeljnim kolektivnim ugovorom za zaposlenike u javnim službama kao i Kolektivnim ugovorom za zaposlenike u osnovnim školama. Planirana sredstva za 2026. godinu iznose 13.980,00 </w:t>
      </w:r>
      <w:r>
        <w:rPr>
          <w:rFonts w:ascii="Arial" w:hAnsi="Arial" w:cs="Arial"/>
          <w:bCs/>
          <w:color w:val="000000"/>
          <w:sz w:val="24"/>
          <w:szCs w:val="24"/>
        </w:rPr>
        <w:t>eura</w:t>
      </w:r>
      <w:r w:rsidRPr="00917126">
        <w:rPr>
          <w:rFonts w:ascii="Arial" w:hAnsi="Arial" w:cs="Arial"/>
          <w:bCs/>
          <w:color w:val="000000"/>
          <w:sz w:val="24"/>
          <w:szCs w:val="24"/>
        </w:rPr>
        <w:t>.</w:t>
      </w:r>
    </w:p>
    <w:p w14:paraId="4E2FFF24" w14:textId="77777777" w:rsidR="00E541EE" w:rsidRPr="00AC2206" w:rsidRDefault="00E541EE" w:rsidP="00E541EE">
      <w:pPr>
        <w:rPr>
          <w:rFonts w:ascii="Arial" w:eastAsia="Times New Roman" w:hAnsi="Arial" w:cs="Arial"/>
          <w:sz w:val="24"/>
          <w:szCs w:val="24"/>
        </w:rPr>
      </w:pPr>
      <w:r w:rsidRPr="00AC2206">
        <w:rPr>
          <w:rFonts w:ascii="Arial" w:eastAsia="Times New Roman" w:hAnsi="Arial" w:cs="Arial"/>
          <w:b/>
          <w:sz w:val="24"/>
          <w:szCs w:val="24"/>
        </w:rPr>
        <w:t xml:space="preserve">Opći cilj: </w:t>
      </w:r>
      <w:r w:rsidRPr="00AC2206">
        <w:rPr>
          <w:rFonts w:ascii="Arial" w:eastAsia="Times New Roman" w:hAnsi="Arial" w:cs="Arial"/>
          <w:sz w:val="24"/>
          <w:szCs w:val="24"/>
        </w:rPr>
        <w:t>osiguravanje dodatnih standarda.</w:t>
      </w:r>
    </w:p>
    <w:p w14:paraId="225BE943"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sz w:val="24"/>
          <w:szCs w:val="24"/>
        </w:rPr>
        <w:t>Pokazatelj uspješnosti</w:t>
      </w:r>
      <w:r w:rsidRPr="00AC2206">
        <w:rPr>
          <w:rFonts w:ascii="Arial" w:eastAsia="Times New Roman" w:hAnsi="Arial" w:cs="Arial"/>
          <w:sz w:val="24"/>
          <w:szCs w:val="24"/>
        </w:rPr>
        <w:t xml:space="preserve">: zadržati će se standard u nastavi </w:t>
      </w:r>
      <w:r w:rsidRPr="00AC2206">
        <w:rPr>
          <w:rFonts w:ascii="Arial" w:eastAsia="Times New Roman" w:hAnsi="Arial" w:cs="Arial"/>
          <w:bCs/>
          <w:sz w:val="24"/>
          <w:szCs w:val="24"/>
        </w:rPr>
        <w:t>Tjelesne i zdravstvene kulture</w:t>
      </w:r>
      <w:r w:rsidRPr="00AC2206">
        <w:rPr>
          <w:rFonts w:ascii="Arial" w:eastAsia="Times New Roman" w:hAnsi="Arial" w:cs="Arial"/>
          <w:sz w:val="24"/>
          <w:szCs w:val="24"/>
        </w:rPr>
        <w:t xml:space="preserve"> na način da će se nastava odvijati odvojeno za dječake i djevojčice.</w:t>
      </w:r>
    </w:p>
    <w:p w14:paraId="3B10795F" w14:textId="77777777" w:rsidR="00E541EE" w:rsidRPr="00AC2206" w:rsidRDefault="00E541EE" w:rsidP="00E541EE">
      <w:pPr>
        <w:jc w:val="both"/>
        <w:rPr>
          <w:rFonts w:ascii="Arial" w:eastAsia="Times New Roman" w:hAnsi="Arial" w:cs="Arial"/>
          <w:sz w:val="24"/>
          <w:szCs w:val="24"/>
        </w:rPr>
      </w:pPr>
    </w:p>
    <w:p w14:paraId="020CF6AD"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AC2206">
        <w:rPr>
          <w:rFonts w:ascii="Arial" w:eastAsia="Times New Roman" w:hAnsi="Arial" w:cs="Arial"/>
          <w:b/>
          <w:bCs/>
          <w:sz w:val="24"/>
          <w:szCs w:val="24"/>
        </w:rPr>
        <w:t xml:space="preserve">A 103620: Produženi boravak djece  u školi = </w:t>
      </w:r>
      <w:r>
        <w:rPr>
          <w:rFonts w:ascii="Arial" w:eastAsia="Times New Roman" w:hAnsi="Arial" w:cs="Arial"/>
          <w:b/>
          <w:bCs/>
          <w:sz w:val="24"/>
          <w:szCs w:val="24"/>
        </w:rPr>
        <w:t>218</w:t>
      </w:r>
      <w:r w:rsidRPr="00AC2206">
        <w:rPr>
          <w:rFonts w:ascii="Arial" w:eastAsia="Times New Roman" w:hAnsi="Arial" w:cs="Arial"/>
          <w:b/>
          <w:bCs/>
          <w:sz w:val="24"/>
          <w:szCs w:val="24"/>
        </w:rPr>
        <w:t>.</w:t>
      </w:r>
      <w:r>
        <w:rPr>
          <w:rFonts w:ascii="Arial" w:eastAsia="Times New Roman" w:hAnsi="Arial" w:cs="Arial"/>
          <w:b/>
          <w:bCs/>
          <w:sz w:val="24"/>
          <w:szCs w:val="24"/>
        </w:rPr>
        <w:t>700</w:t>
      </w:r>
      <w:r w:rsidRPr="00AC2206">
        <w:rPr>
          <w:rFonts w:ascii="Arial" w:eastAsia="Times New Roman" w:hAnsi="Arial" w:cs="Arial"/>
          <w:b/>
          <w:bCs/>
          <w:sz w:val="24"/>
          <w:szCs w:val="24"/>
        </w:rPr>
        <w:t>,00 EUR</w:t>
      </w:r>
    </w:p>
    <w:p w14:paraId="465FF110"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sz w:val="24"/>
          <w:szCs w:val="24"/>
        </w:rPr>
        <w:t xml:space="preserve">Zakonska osnova: </w:t>
      </w:r>
      <w:r w:rsidRPr="00AC2206">
        <w:rPr>
          <w:rFonts w:ascii="Arial" w:eastAsia="Times New Roman" w:hAnsi="Arial" w:cs="Arial"/>
          <w:sz w:val="24"/>
          <w:szCs w:val="24"/>
        </w:rPr>
        <w:t>Zakon o odgoju i obrazovanju u osnovnoj i srednjoj školi, Državni pedagoški standard osnovnoškolskog sustava odgoja i obrazovanja, Pravilnik o organizaciji i provedbi produženog boravka u OŠ.</w:t>
      </w:r>
    </w:p>
    <w:p w14:paraId="69AFBEB7" w14:textId="77777777" w:rsidR="00E541EE" w:rsidRPr="00AC2206" w:rsidRDefault="00E541EE" w:rsidP="00E541EE">
      <w:pPr>
        <w:pStyle w:val="Standard"/>
        <w:spacing w:before="0" w:after="0" w:line="240" w:lineRule="auto"/>
        <w:jc w:val="both"/>
        <w:rPr>
          <w:rStyle w:val="Zadanifontodlomka2"/>
          <w:rFonts w:ascii="Arial" w:hAnsi="Arial" w:cs="Arial"/>
          <w:bCs/>
          <w:color w:val="auto"/>
          <w:sz w:val="24"/>
          <w:szCs w:val="24"/>
        </w:rPr>
      </w:pPr>
      <w:r w:rsidRPr="00AC2206">
        <w:rPr>
          <w:rFonts w:ascii="Arial" w:hAnsi="Arial" w:cs="Arial"/>
          <w:b/>
          <w:color w:val="auto"/>
          <w:sz w:val="24"/>
          <w:szCs w:val="24"/>
        </w:rPr>
        <w:t>Opis:</w:t>
      </w:r>
      <w:r w:rsidRPr="00AC2206">
        <w:rPr>
          <w:rFonts w:ascii="Arial" w:hAnsi="Arial" w:cs="Arial"/>
          <w:sz w:val="24"/>
          <w:szCs w:val="24"/>
        </w:rPr>
        <w:t xml:space="preserve"> </w:t>
      </w:r>
      <w:r w:rsidRPr="00AC2206">
        <w:rPr>
          <w:rFonts w:ascii="Arial" w:hAnsi="Arial" w:cs="Arial"/>
          <w:bCs/>
          <w:sz w:val="24"/>
          <w:szCs w:val="24"/>
        </w:rPr>
        <w:t xml:space="preserve"> </w:t>
      </w:r>
      <w:r w:rsidRPr="00AC2206">
        <w:rPr>
          <w:rStyle w:val="Zadanifontodlomka2"/>
          <w:rFonts w:ascii="Arial" w:hAnsi="Arial" w:cs="Arial"/>
          <w:bCs/>
          <w:color w:val="auto"/>
          <w:sz w:val="24"/>
          <w:szCs w:val="24"/>
        </w:rPr>
        <w:t xml:space="preserve">u školi je organiziran produženi boravak za učenike nižih razreda: 3 grupe u matičnoj školi u kojima su zaposlene tri učiteljice na puno radno vrijeme te 2 grupe s dvije učiteljice na puno radno vrijeme u PŠ Rovinjsko Selo. </w:t>
      </w:r>
    </w:p>
    <w:p w14:paraId="16346366" w14:textId="77777777" w:rsidR="00E541EE" w:rsidRDefault="00E541EE" w:rsidP="00E541EE">
      <w:pPr>
        <w:pStyle w:val="Standard"/>
        <w:spacing w:before="0" w:after="0" w:line="240" w:lineRule="auto"/>
        <w:jc w:val="both"/>
        <w:rPr>
          <w:rStyle w:val="Zadanifontodlomka4"/>
          <w:rFonts w:ascii="Arial" w:hAnsi="Arial" w:cs="Arial"/>
          <w:bCs/>
          <w:color w:val="auto"/>
          <w:sz w:val="24"/>
          <w:szCs w:val="24"/>
        </w:rPr>
      </w:pPr>
      <w:r w:rsidRPr="00AC2206">
        <w:rPr>
          <w:rStyle w:val="Zadanifontodlomka4"/>
          <w:rFonts w:ascii="Arial" w:hAnsi="Arial" w:cs="Arial"/>
          <w:bCs/>
          <w:color w:val="auto"/>
          <w:sz w:val="24"/>
          <w:szCs w:val="24"/>
        </w:rPr>
        <w:t>Zbog potrebe pripreme i podjele 25 suhih i 100 toplih obroka u vrijeme produženog boravka zapos</w:t>
      </w:r>
      <w:r>
        <w:rPr>
          <w:rStyle w:val="Zadanifontodlomka4"/>
          <w:rFonts w:ascii="Arial" w:hAnsi="Arial" w:cs="Arial"/>
          <w:bCs/>
          <w:color w:val="auto"/>
          <w:sz w:val="24"/>
          <w:szCs w:val="24"/>
        </w:rPr>
        <w:t>lena je</w:t>
      </w:r>
      <w:r w:rsidRPr="00AC2206">
        <w:rPr>
          <w:rStyle w:val="Zadanifontodlomka4"/>
          <w:rFonts w:ascii="Arial" w:hAnsi="Arial" w:cs="Arial"/>
          <w:bCs/>
          <w:color w:val="auto"/>
          <w:sz w:val="24"/>
          <w:szCs w:val="24"/>
        </w:rPr>
        <w:t xml:space="preserve"> kuharic</w:t>
      </w:r>
      <w:r>
        <w:rPr>
          <w:rStyle w:val="Zadanifontodlomka4"/>
          <w:rFonts w:ascii="Arial" w:hAnsi="Arial" w:cs="Arial"/>
          <w:bCs/>
          <w:color w:val="auto"/>
          <w:sz w:val="24"/>
          <w:szCs w:val="24"/>
        </w:rPr>
        <w:t>a</w:t>
      </w:r>
      <w:r w:rsidRPr="00AC2206">
        <w:rPr>
          <w:rStyle w:val="Zadanifontodlomka4"/>
          <w:rFonts w:ascii="Arial" w:hAnsi="Arial" w:cs="Arial"/>
          <w:bCs/>
          <w:color w:val="auto"/>
          <w:sz w:val="24"/>
          <w:szCs w:val="24"/>
        </w:rPr>
        <w:t xml:space="preserve"> na puno radno vrijeme (40 sati tjedno). </w:t>
      </w:r>
    </w:p>
    <w:p w14:paraId="72D60FA0" w14:textId="77777777" w:rsidR="00E541EE" w:rsidRPr="00AC2206" w:rsidRDefault="00E541EE" w:rsidP="00E541EE">
      <w:pPr>
        <w:pStyle w:val="Standard"/>
        <w:spacing w:before="0" w:after="0" w:line="240" w:lineRule="auto"/>
        <w:jc w:val="both"/>
        <w:rPr>
          <w:sz w:val="24"/>
          <w:szCs w:val="24"/>
        </w:rPr>
      </w:pPr>
      <w:r w:rsidRPr="00AC2206">
        <w:rPr>
          <w:rStyle w:val="Zadanifontodlomka4"/>
          <w:rFonts w:ascii="Arial" w:hAnsi="Arial" w:cs="Arial"/>
          <w:bCs/>
          <w:color w:val="auto"/>
          <w:sz w:val="24"/>
          <w:szCs w:val="24"/>
        </w:rPr>
        <w:t>Za sve djelatnike koji su zaposleni u produženom boravku potrebno je izdvojiti 1</w:t>
      </w:r>
      <w:r>
        <w:rPr>
          <w:rStyle w:val="Zadanifontodlomka4"/>
          <w:rFonts w:ascii="Arial" w:hAnsi="Arial" w:cs="Arial"/>
          <w:bCs/>
          <w:color w:val="auto"/>
          <w:sz w:val="24"/>
          <w:szCs w:val="24"/>
        </w:rPr>
        <w:t>86.900</w:t>
      </w:r>
      <w:r w:rsidRPr="00AC2206">
        <w:rPr>
          <w:rStyle w:val="Zadanifontodlomka4"/>
          <w:rFonts w:ascii="Arial" w:hAnsi="Arial" w:cs="Arial"/>
          <w:bCs/>
          <w:color w:val="auto"/>
          <w:sz w:val="24"/>
          <w:szCs w:val="24"/>
        </w:rPr>
        <w:t xml:space="preserve">,00 </w:t>
      </w:r>
      <w:r>
        <w:rPr>
          <w:rStyle w:val="Zadanifontodlomka4"/>
          <w:rFonts w:ascii="Arial" w:hAnsi="Arial" w:cs="Arial"/>
          <w:bCs/>
          <w:color w:val="auto"/>
          <w:sz w:val="24"/>
          <w:szCs w:val="24"/>
        </w:rPr>
        <w:t>eura</w:t>
      </w:r>
      <w:r w:rsidRPr="00AC2206">
        <w:rPr>
          <w:rStyle w:val="Zadanifontodlomka4"/>
          <w:rFonts w:ascii="Arial" w:hAnsi="Arial" w:cs="Arial"/>
          <w:bCs/>
          <w:color w:val="auto"/>
          <w:sz w:val="24"/>
          <w:szCs w:val="24"/>
        </w:rPr>
        <w:t xml:space="preserve"> a za ostale rashode za zaposlene (regres, božićnice, dar za dijete i jubilarna nagrada) za sve zaposlene u aktivnosti produženog boravka u 202</w:t>
      </w:r>
      <w:r>
        <w:rPr>
          <w:rStyle w:val="Zadanifontodlomka4"/>
          <w:rFonts w:ascii="Arial" w:hAnsi="Arial" w:cs="Arial"/>
          <w:bCs/>
          <w:color w:val="auto"/>
          <w:sz w:val="24"/>
          <w:szCs w:val="24"/>
        </w:rPr>
        <w:t>6</w:t>
      </w:r>
      <w:r w:rsidRPr="00AC2206">
        <w:rPr>
          <w:rStyle w:val="Zadanifontodlomka4"/>
          <w:rFonts w:ascii="Arial" w:hAnsi="Arial" w:cs="Arial"/>
          <w:bCs/>
          <w:color w:val="auto"/>
          <w:sz w:val="24"/>
          <w:szCs w:val="24"/>
        </w:rPr>
        <w:t>. godini biti će potrebno 4.400,00</w:t>
      </w:r>
      <w:r w:rsidRPr="00AC2206">
        <w:rPr>
          <w:rStyle w:val="Zadanifontodlomka4"/>
          <w:rFonts w:ascii="Arial" w:hAnsi="Arial" w:cs="Arial"/>
          <w:bCs/>
          <w:color w:val="FF0000"/>
          <w:sz w:val="24"/>
          <w:szCs w:val="24"/>
        </w:rPr>
        <w:t xml:space="preserve"> </w:t>
      </w:r>
      <w:r w:rsidRPr="003D23F8">
        <w:rPr>
          <w:rStyle w:val="Zadanifontodlomka4"/>
          <w:rFonts w:ascii="Arial" w:hAnsi="Arial" w:cs="Arial"/>
          <w:bCs/>
          <w:color w:val="auto"/>
          <w:sz w:val="24"/>
          <w:szCs w:val="24"/>
        </w:rPr>
        <w:t xml:space="preserve">eura </w:t>
      </w:r>
      <w:r w:rsidRPr="00AC2206">
        <w:rPr>
          <w:rStyle w:val="Zadanifontodlomka4"/>
          <w:rFonts w:ascii="Arial" w:hAnsi="Arial" w:cs="Arial"/>
          <w:bCs/>
          <w:color w:val="auto"/>
          <w:sz w:val="24"/>
          <w:szCs w:val="24"/>
        </w:rPr>
        <w:t>(5 djelatnika u produženom boravku i kuharica u punom radnom vremenu).  Za sve ukupno je planirano da će u 202</w:t>
      </w:r>
      <w:r>
        <w:rPr>
          <w:rStyle w:val="Zadanifontodlomka4"/>
          <w:rFonts w:ascii="Arial" w:hAnsi="Arial" w:cs="Arial"/>
          <w:bCs/>
          <w:color w:val="auto"/>
          <w:sz w:val="24"/>
          <w:szCs w:val="24"/>
        </w:rPr>
        <w:t>6</w:t>
      </w:r>
      <w:r w:rsidRPr="00AC2206">
        <w:rPr>
          <w:rStyle w:val="Zadanifontodlomka4"/>
          <w:rFonts w:ascii="Arial" w:hAnsi="Arial" w:cs="Arial"/>
          <w:bCs/>
          <w:color w:val="auto"/>
          <w:sz w:val="24"/>
          <w:szCs w:val="24"/>
        </w:rPr>
        <w:t>. godini biti potrebno 1</w:t>
      </w:r>
      <w:r>
        <w:rPr>
          <w:rStyle w:val="Zadanifontodlomka4"/>
          <w:rFonts w:ascii="Arial" w:hAnsi="Arial" w:cs="Arial"/>
          <w:bCs/>
          <w:color w:val="auto"/>
          <w:sz w:val="24"/>
          <w:szCs w:val="24"/>
        </w:rPr>
        <w:t>91.300</w:t>
      </w:r>
      <w:r w:rsidRPr="00AC2206">
        <w:rPr>
          <w:rStyle w:val="Zadanifontodlomka4"/>
          <w:rFonts w:ascii="Arial" w:hAnsi="Arial" w:cs="Arial"/>
          <w:bCs/>
          <w:color w:val="auto"/>
          <w:sz w:val="24"/>
          <w:szCs w:val="24"/>
        </w:rPr>
        <w:t xml:space="preserve">,00 </w:t>
      </w:r>
      <w:r>
        <w:rPr>
          <w:rStyle w:val="Zadanifontodlomka4"/>
          <w:rFonts w:ascii="Arial" w:hAnsi="Arial" w:cs="Arial"/>
          <w:bCs/>
          <w:color w:val="auto"/>
          <w:sz w:val="24"/>
          <w:szCs w:val="24"/>
        </w:rPr>
        <w:t>eura iz sredstava gradskog proračuna.</w:t>
      </w:r>
    </w:p>
    <w:p w14:paraId="19226995" w14:textId="77777777" w:rsidR="00E541EE" w:rsidRPr="00AC2206" w:rsidRDefault="00E541EE" w:rsidP="00E541EE">
      <w:pPr>
        <w:pStyle w:val="Standard"/>
        <w:spacing w:before="0" w:after="0" w:line="240" w:lineRule="auto"/>
        <w:jc w:val="both"/>
        <w:rPr>
          <w:rFonts w:ascii="Arial" w:hAnsi="Arial" w:cs="Arial"/>
          <w:bCs/>
          <w:color w:val="auto"/>
          <w:sz w:val="24"/>
          <w:szCs w:val="24"/>
        </w:rPr>
      </w:pPr>
      <w:r w:rsidRPr="00AC2206">
        <w:rPr>
          <w:rFonts w:ascii="Arial" w:hAnsi="Arial" w:cs="Arial"/>
          <w:bCs/>
          <w:color w:val="auto"/>
          <w:sz w:val="24"/>
          <w:szCs w:val="24"/>
        </w:rPr>
        <w:t>Općine Bale financira se  nastav</w:t>
      </w:r>
      <w:r>
        <w:rPr>
          <w:rFonts w:ascii="Arial" w:hAnsi="Arial" w:cs="Arial"/>
          <w:bCs/>
          <w:color w:val="auto"/>
          <w:sz w:val="24"/>
          <w:szCs w:val="24"/>
        </w:rPr>
        <w:t>u</w:t>
      </w:r>
      <w:r w:rsidRPr="00AC2206">
        <w:rPr>
          <w:rFonts w:ascii="Arial" w:hAnsi="Arial" w:cs="Arial"/>
          <w:bCs/>
          <w:color w:val="auto"/>
          <w:sz w:val="24"/>
          <w:szCs w:val="24"/>
        </w:rPr>
        <w:t xml:space="preserve"> u produženom boravku</w:t>
      </w:r>
      <w:r>
        <w:rPr>
          <w:rFonts w:ascii="Arial" w:hAnsi="Arial" w:cs="Arial"/>
          <w:bCs/>
          <w:color w:val="auto"/>
          <w:sz w:val="24"/>
          <w:szCs w:val="24"/>
        </w:rPr>
        <w:t xml:space="preserve"> u područnoj školi </w:t>
      </w:r>
      <w:r w:rsidRPr="00AC2206">
        <w:rPr>
          <w:rFonts w:ascii="Arial" w:hAnsi="Arial" w:cs="Arial"/>
          <w:bCs/>
          <w:color w:val="auto"/>
          <w:sz w:val="24"/>
          <w:szCs w:val="24"/>
        </w:rPr>
        <w:t xml:space="preserve"> za djelatnika u nepunom radnom vremenu u iznosu od 2</w:t>
      </w:r>
      <w:r>
        <w:rPr>
          <w:rFonts w:ascii="Arial" w:hAnsi="Arial" w:cs="Arial"/>
          <w:bCs/>
          <w:color w:val="auto"/>
          <w:sz w:val="24"/>
          <w:szCs w:val="24"/>
        </w:rPr>
        <w:t>5</w:t>
      </w:r>
      <w:r w:rsidRPr="00AC2206">
        <w:rPr>
          <w:rFonts w:ascii="Arial" w:hAnsi="Arial" w:cs="Arial"/>
          <w:bCs/>
          <w:color w:val="auto"/>
          <w:sz w:val="24"/>
          <w:szCs w:val="24"/>
        </w:rPr>
        <w:t>.</w:t>
      </w:r>
      <w:r>
        <w:rPr>
          <w:rFonts w:ascii="Arial" w:hAnsi="Arial" w:cs="Arial"/>
          <w:bCs/>
          <w:color w:val="auto"/>
          <w:sz w:val="24"/>
          <w:szCs w:val="24"/>
        </w:rPr>
        <w:t>8</w:t>
      </w:r>
      <w:r w:rsidRPr="00AC2206">
        <w:rPr>
          <w:rFonts w:ascii="Arial" w:hAnsi="Arial" w:cs="Arial"/>
          <w:bCs/>
          <w:color w:val="auto"/>
          <w:sz w:val="24"/>
          <w:szCs w:val="24"/>
        </w:rPr>
        <w:t xml:space="preserve">00,00 </w:t>
      </w:r>
      <w:r>
        <w:rPr>
          <w:rFonts w:ascii="Arial" w:hAnsi="Arial" w:cs="Arial"/>
          <w:bCs/>
          <w:color w:val="auto"/>
          <w:sz w:val="24"/>
          <w:szCs w:val="24"/>
        </w:rPr>
        <w:t>eura</w:t>
      </w:r>
      <w:r w:rsidRPr="00AC2206">
        <w:rPr>
          <w:rFonts w:ascii="Arial" w:hAnsi="Arial" w:cs="Arial"/>
          <w:bCs/>
          <w:color w:val="auto"/>
          <w:sz w:val="24"/>
          <w:szCs w:val="24"/>
        </w:rPr>
        <w:t xml:space="preserve">, za ostale rashode </w:t>
      </w:r>
      <w:r>
        <w:rPr>
          <w:rFonts w:ascii="Arial" w:hAnsi="Arial" w:cs="Arial"/>
          <w:bCs/>
          <w:color w:val="auto"/>
          <w:sz w:val="24"/>
          <w:szCs w:val="24"/>
        </w:rPr>
        <w:t>1.28</w:t>
      </w:r>
      <w:r w:rsidRPr="00AC2206">
        <w:rPr>
          <w:rFonts w:ascii="Arial" w:hAnsi="Arial" w:cs="Arial"/>
          <w:bCs/>
          <w:color w:val="auto"/>
          <w:sz w:val="24"/>
          <w:szCs w:val="24"/>
        </w:rPr>
        <w:t xml:space="preserve">0,00 </w:t>
      </w:r>
      <w:r>
        <w:rPr>
          <w:rFonts w:ascii="Arial" w:hAnsi="Arial" w:cs="Arial"/>
          <w:bCs/>
          <w:color w:val="auto"/>
          <w:sz w:val="24"/>
          <w:szCs w:val="24"/>
        </w:rPr>
        <w:t>eura</w:t>
      </w:r>
      <w:r w:rsidRPr="00AC2206">
        <w:rPr>
          <w:rFonts w:ascii="Arial" w:hAnsi="Arial" w:cs="Arial"/>
          <w:bCs/>
          <w:color w:val="auto"/>
          <w:sz w:val="24"/>
          <w:szCs w:val="24"/>
        </w:rPr>
        <w:t xml:space="preserve">, te za prijevoz djelatnika iznos od 240,00 </w:t>
      </w:r>
      <w:r>
        <w:rPr>
          <w:rFonts w:ascii="Arial" w:hAnsi="Arial" w:cs="Arial"/>
          <w:bCs/>
          <w:color w:val="auto"/>
          <w:sz w:val="24"/>
          <w:szCs w:val="24"/>
        </w:rPr>
        <w:t>eura</w:t>
      </w:r>
      <w:r w:rsidRPr="00AC2206">
        <w:rPr>
          <w:rFonts w:ascii="Arial" w:hAnsi="Arial" w:cs="Arial"/>
          <w:bCs/>
          <w:color w:val="auto"/>
          <w:sz w:val="24"/>
          <w:szCs w:val="24"/>
        </w:rPr>
        <w:t xml:space="preserve"> što ukupno iznosi 2</w:t>
      </w:r>
      <w:r>
        <w:rPr>
          <w:rFonts w:ascii="Arial" w:hAnsi="Arial" w:cs="Arial"/>
          <w:bCs/>
          <w:color w:val="auto"/>
          <w:sz w:val="24"/>
          <w:szCs w:val="24"/>
        </w:rPr>
        <w:t>7</w:t>
      </w:r>
      <w:r w:rsidRPr="00AC2206">
        <w:rPr>
          <w:rFonts w:ascii="Arial" w:hAnsi="Arial" w:cs="Arial"/>
          <w:bCs/>
          <w:color w:val="auto"/>
          <w:sz w:val="24"/>
          <w:szCs w:val="24"/>
        </w:rPr>
        <w:t>.</w:t>
      </w:r>
      <w:r>
        <w:rPr>
          <w:rFonts w:ascii="Arial" w:hAnsi="Arial" w:cs="Arial"/>
          <w:bCs/>
          <w:color w:val="auto"/>
          <w:sz w:val="24"/>
          <w:szCs w:val="24"/>
        </w:rPr>
        <w:t>40</w:t>
      </w:r>
      <w:r w:rsidRPr="00AC2206">
        <w:rPr>
          <w:rFonts w:ascii="Arial" w:hAnsi="Arial" w:cs="Arial"/>
          <w:bCs/>
          <w:color w:val="auto"/>
          <w:sz w:val="24"/>
          <w:szCs w:val="24"/>
        </w:rPr>
        <w:t xml:space="preserve">0,00 </w:t>
      </w:r>
      <w:r>
        <w:rPr>
          <w:rFonts w:ascii="Arial" w:hAnsi="Arial" w:cs="Arial"/>
          <w:bCs/>
          <w:color w:val="auto"/>
          <w:sz w:val="24"/>
          <w:szCs w:val="24"/>
        </w:rPr>
        <w:t>eura</w:t>
      </w:r>
      <w:r w:rsidRPr="00AC2206">
        <w:rPr>
          <w:rFonts w:ascii="Arial" w:hAnsi="Arial" w:cs="Arial"/>
          <w:bCs/>
          <w:color w:val="auto"/>
          <w:sz w:val="24"/>
          <w:szCs w:val="24"/>
        </w:rPr>
        <w:t>.</w:t>
      </w:r>
    </w:p>
    <w:p w14:paraId="583947BA" w14:textId="77777777" w:rsidR="00E541EE" w:rsidRPr="00AC2206" w:rsidRDefault="00E541EE" w:rsidP="00E541EE">
      <w:pPr>
        <w:pStyle w:val="Standard"/>
        <w:spacing w:before="0" w:after="0" w:line="240" w:lineRule="auto"/>
        <w:jc w:val="both"/>
        <w:rPr>
          <w:rFonts w:ascii="Arial" w:hAnsi="Arial" w:cs="Arial"/>
          <w:bCs/>
          <w:color w:val="auto"/>
          <w:sz w:val="24"/>
          <w:szCs w:val="24"/>
        </w:rPr>
      </w:pPr>
      <w:r w:rsidRPr="00AC2206">
        <w:rPr>
          <w:rFonts w:ascii="Arial" w:hAnsi="Arial" w:cs="Arial"/>
          <w:b/>
          <w:bCs/>
          <w:color w:val="auto"/>
          <w:sz w:val="24"/>
          <w:szCs w:val="24"/>
        </w:rPr>
        <w:t>Opći cilj:</w:t>
      </w:r>
      <w:r w:rsidRPr="00AC2206">
        <w:rPr>
          <w:rFonts w:ascii="Arial" w:hAnsi="Arial" w:cs="Arial"/>
          <w:bCs/>
          <w:color w:val="auto"/>
          <w:sz w:val="24"/>
          <w:szCs w:val="24"/>
        </w:rPr>
        <w:t xml:space="preserve"> osiguravanje dodatnih standarda.</w:t>
      </w:r>
    </w:p>
    <w:p w14:paraId="2881992B" w14:textId="77777777" w:rsidR="00E541EE" w:rsidRPr="00AC2206" w:rsidRDefault="00E541EE" w:rsidP="00E541EE">
      <w:pPr>
        <w:suppressAutoHyphens/>
        <w:autoSpaceDN w:val="0"/>
        <w:jc w:val="both"/>
        <w:textAlignment w:val="baseline"/>
        <w:rPr>
          <w:rFonts w:ascii="Arial" w:eastAsia="Cambria" w:hAnsi="Arial" w:cs="Arial"/>
          <w:bCs/>
          <w:kern w:val="3"/>
          <w:sz w:val="24"/>
          <w:szCs w:val="24"/>
        </w:rPr>
      </w:pPr>
      <w:r w:rsidRPr="00AC2206">
        <w:rPr>
          <w:rFonts w:ascii="Arial" w:eastAsia="Cambria" w:hAnsi="Arial" w:cs="Arial"/>
          <w:b/>
          <w:bCs/>
          <w:kern w:val="3"/>
          <w:sz w:val="24"/>
          <w:szCs w:val="24"/>
        </w:rPr>
        <w:t xml:space="preserve">Pokazatelj uspješnosti: </w:t>
      </w:r>
      <w:r w:rsidRPr="00AC2206">
        <w:rPr>
          <w:rFonts w:ascii="Arial" w:eastAsia="Cambria" w:hAnsi="Arial" w:cs="Arial"/>
          <w:bCs/>
          <w:kern w:val="3"/>
          <w:sz w:val="24"/>
          <w:szCs w:val="24"/>
        </w:rPr>
        <w:t>obuhvat učenika u produženom boravku sukladno iskazanim potrebama roditelja.</w:t>
      </w:r>
    </w:p>
    <w:p w14:paraId="0EDDBDFF" w14:textId="77777777" w:rsidR="00E541EE" w:rsidRPr="00AC2206" w:rsidRDefault="00E541EE" w:rsidP="00E541EE">
      <w:pPr>
        <w:suppressAutoHyphens/>
        <w:autoSpaceDN w:val="0"/>
        <w:jc w:val="both"/>
        <w:textAlignment w:val="baseline"/>
        <w:rPr>
          <w:rFonts w:ascii="Arial" w:eastAsia="Cambria" w:hAnsi="Arial" w:cs="Arial"/>
          <w:bCs/>
          <w:kern w:val="3"/>
          <w:sz w:val="24"/>
          <w:szCs w:val="24"/>
        </w:rPr>
      </w:pPr>
    </w:p>
    <w:p w14:paraId="6BCE9C07"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AC2206">
        <w:rPr>
          <w:rFonts w:ascii="Arial" w:eastAsia="Times New Roman" w:hAnsi="Arial" w:cs="Arial"/>
          <w:b/>
          <w:bCs/>
          <w:sz w:val="24"/>
          <w:szCs w:val="24"/>
        </w:rPr>
        <w:t>A 103634: Računovodstveno-financijski referent = 1</w:t>
      </w:r>
      <w:r>
        <w:rPr>
          <w:rFonts w:ascii="Arial" w:eastAsia="Times New Roman" w:hAnsi="Arial" w:cs="Arial"/>
          <w:b/>
          <w:bCs/>
          <w:sz w:val="24"/>
          <w:szCs w:val="24"/>
        </w:rPr>
        <w:t>1</w:t>
      </w:r>
      <w:r w:rsidRPr="00AC2206">
        <w:rPr>
          <w:rFonts w:ascii="Arial" w:eastAsia="Times New Roman" w:hAnsi="Arial" w:cs="Arial"/>
          <w:b/>
          <w:bCs/>
          <w:sz w:val="24"/>
          <w:szCs w:val="24"/>
        </w:rPr>
        <w:t>.</w:t>
      </w:r>
      <w:r>
        <w:rPr>
          <w:rFonts w:ascii="Arial" w:eastAsia="Times New Roman" w:hAnsi="Arial" w:cs="Arial"/>
          <w:b/>
          <w:bCs/>
          <w:sz w:val="24"/>
          <w:szCs w:val="24"/>
        </w:rPr>
        <w:t>10</w:t>
      </w:r>
      <w:r w:rsidRPr="00AC2206">
        <w:rPr>
          <w:rFonts w:ascii="Arial" w:eastAsia="Times New Roman" w:hAnsi="Arial" w:cs="Arial"/>
          <w:b/>
          <w:bCs/>
          <w:sz w:val="24"/>
          <w:szCs w:val="24"/>
        </w:rPr>
        <w:t>0,00 EUR</w:t>
      </w:r>
    </w:p>
    <w:p w14:paraId="7044A1D1" w14:textId="77777777" w:rsidR="00E541EE" w:rsidRPr="00AC2206" w:rsidRDefault="00E541EE" w:rsidP="00E541EE">
      <w:pPr>
        <w:autoSpaceDE w:val="0"/>
        <w:autoSpaceDN w:val="0"/>
        <w:adjustRightInd w:val="0"/>
        <w:contextualSpacing/>
        <w:jc w:val="both"/>
        <w:rPr>
          <w:rFonts w:ascii="Arial" w:eastAsia="Times New Roman" w:hAnsi="Arial" w:cs="Arial"/>
          <w:bCs/>
          <w:sz w:val="24"/>
          <w:szCs w:val="24"/>
        </w:rPr>
      </w:pPr>
      <w:r w:rsidRPr="00AC2206">
        <w:rPr>
          <w:rFonts w:ascii="Arial" w:eastAsia="Times New Roman" w:hAnsi="Arial" w:cs="Arial"/>
          <w:b/>
          <w:bCs/>
          <w:sz w:val="24"/>
          <w:szCs w:val="24"/>
        </w:rPr>
        <w:t>Zakonska osnova</w:t>
      </w:r>
      <w:r w:rsidRPr="00AC2206">
        <w:rPr>
          <w:rFonts w:ascii="Arial" w:eastAsia="Times New Roman" w:hAnsi="Arial" w:cs="Arial"/>
          <w:bCs/>
          <w:sz w:val="24"/>
          <w:szCs w:val="24"/>
        </w:rPr>
        <w:t>: Zakon o odgoju i obrazovanju u osnovnoj i srednjoj školi</w:t>
      </w:r>
    </w:p>
    <w:p w14:paraId="1400B0B6" w14:textId="77777777" w:rsidR="00E541EE" w:rsidRPr="00AC2206" w:rsidRDefault="00E541EE" w:rsidP="00E541EE">
      <w:pPr>
        <w:jc w:val="both"/>
        <w:rPr>
          <w:rFonts w:ascii="Arial" w:eastAsia="Times New Roman" w:hAnsi="Arial" w:cs="Arial"/>
          <w:bCs/>
          <w:sz w:val="24"/>
          <w:szCs w:val="24"/>
        </w:rPr>
      </w:pPr>
      <w:r w:rsidRPr="00AC2206">
        <w:rPr>
          <w:rFonts w:ascii="Arial" w:eastAsia="Times New Roman" w:hAnsi="Arial" w:cs="Arial"/>
          <w:b/>
          <w:sz w:val="24"/>
          <w:szCs w:val="24"/>
        </w:rPr>
        <w:t xml:space="preserve">Opis: </w:t>
      </w:r>
      <w:r w:rsidRPr="00AC2206">
        <w:rPr>
          <w:rStyle w:val="Zadanifontodlomka4"/>
          <w:rFonts w:ascii="Arial" w:hAnsi="Arial" w:cs="Arial"/>
          <w:bCs/>
          <w:sz w:val="24"/>
          <w:szCs w:val="24"/>
        </w:rPr>
        <w:t>planiran je iznos od 1</w:t>
      </w:r>
      <w:r>
        <w:rPr>
          <w:rStyle w:val="Zadanifontodlomka4"/>
          <w:rFonts w:ascii="Arial" w:hAnsi="Arial" w:cs="Arial"/>
          <w:bCs/>
          <w:sz w:val="24"/>
          <w:szCs w:val="24"/>
        </w:rPr>
        <w:t>1</w:t>
      </w:r>
      <w:r w:rsidRPr="00AC2206">
        <w:rPr>
          <w:rStyle w:val="Zadanifontodlomka4"/>
          <w:rFonts w:ascii="Arial" w:hAnsi="Arial" w:cs="Arial"/>
          <w:bCs/>
          <w:sz w:val="24"/>
          <w:szCs w:val="24"/>
        </w:rPr>
        <w:t>.</w:t>
      </w:r>
      <w:r>
        <w:rPr>
          <w:rStyle w:val="Zadanifontodlomka4"/>
          <w:rFonts w:ascii="Arial" w:hAnsi="Arial" w:cs="Arial"/>
          <w:bCs/>
          <w:sz w:val="24"/>
          <w:szCs w:val="24"/>
        </w:rPr>
        <w:t>11</w:t>
      </w:r>
      <w:r w:rsidRPr="00AC2206">
        <w:rPr>
          <w:rStyle w:val="Zadanifontodlomka4"/>
          <w:rFonts w:ascii="Arial" w:hAnsi="Arial" w:cs="Arial"/>
          <w:bCs/>
          <w:sz w:val="24"/>
          <w:szCs w:val="24"/>
        </w:rPr>
        <w:t xml:space="preserve">0,00 </w:t>
      </w:r>
      <w:r>
        <w:rPr>
          <w:rStyle w:val="Zadanifontodlomka4"/>
          <w:rFonts w:ascii="Arial" w:hAnsi="Arial" w:cs="Arial"/>
          <w:bCs/>
          <w:sz w:val="24"/>
          <w:szCs w:val="24"/>
        </w:rPr>
        <w:t>eura</w:t>
      </w:r>
      <w:r w:rsidRPr="00AC2206">
        <w:rPr>
          <w:rStyle w:val="Zadanifontodlomka4"/>
          <w:rFonts w:ascii="Arial" w:hAnsi="Arial" w:cs="Arial"/>
          <w:bCs/>
          <w:sz w:val="24"/>
          <w:szCs w:val="24"/>
        </w:rPr>
        <w:t xml:space="preserve"> za djelatnika u računovodstvu, na pola radnog vremena, kojim će se pokriti bruto plaća s doprinosima.</w:t>
      </w:r>
    </w:p>
    <w:p w14:paraId="7987EB3D" w14:textId="77777777" w:rsidR="00E541EE" w:rsidRPr="00AC2206" w:rsidRDefault="00E541EE" w:rsidP="00E541EE">
      <w:pPr>
        <w:autoSpaceDE w:val="0"/>
        <w:autoSpaceDN w:val="0"/>
        <w:adjustRightInd w:val="0"/>
        <w:jc w:val="both"/>
        <w:rPr>
          <w:rFonts w:ascii="Arial" w:eastAsia="Times New Roman" w:hAnsi="Arial" w:cs="Arial"/>
          <w:bCs/>
          <w:strike/>
          <w:sz w:val="24"/>
          <w:szCs w:val="24"/>
        </w:rPr>
      </w:pPr>
      <w:r w:rsidRPr="00AC2206">
        <w:rPr>
          <w:rFonts w:ascii="Arial" w:eastAsia="Times New Roman" w:hAnsi="Arial" w:cs="Arial"/>
          <w:b/>
          <w:bCs/>
          <w:sz w:val="24"/>
          <w:szCs w:val="24"/>
        </w:rPr>
        <w:t>Opći cilj:</w:t>
      </w:r>
      <w:r w:rsidRPr="00AC2206">
        <w:rPr>
          <w:rFonts w:ascii="Arial" w:eastAsia="Times New Roman" w:hAnsi="Arial" w:cs="Arial"/>
          <w:bCs/>
          <w:sz w:val="24"/>
          <w:szCs w:val="24"/>
        </w:rPr>
        <w:t xml:space="preserve"> osiguravanje funkcioniranja školske administracije. </w:t>
      </w:r>
    </w:p>
    <w:p w14:paraId="6E587B0B" w14:textId="77777777" w:rsidR="00E541EE" w:rsidRPr="00AC2206" w:rsidRDefault="00E541EE" w:rsidP="00E541EE">
      <w:pPr>
        <w:autoSpaceDE w:val="0"/>
        <w:autoSpaceDN w:val="0"/>
        <w:adjustRightInd w:val="0"/>
        <w:jc w:val="both"/>
        <w:rPr>
          <w:rFonts w:ascii="Arial" w:eastAsia="Times New Roman" w:hAnsi="Arial" w:cs="Arial"/>
          <w:bCs/>
          <w:sz w:val="24"/>
          <w:szCs w:val="24"/>
        </w:rPr>
      </w:pPr>
      <w:r w:rsidRPr="00AC2206">
        <w:rPr>
          <w:rFonts w:ascii="Arial" w:eastAsia="Times New Roman" w:hAnsi="Arial" w:cs="Arial"/>
          <w:b/>
          <w:bCs/>
          <w:sz w:val="24"/>
          <w:szCs w:val="24"/>
        </w:rPr>
        <w:t xml:space="preserve">Pokazatelj uspješnosti: </w:t>
      </w:r>
      <w:r w:rsidRPr="00AC2206">
        <w:rPr>
          <w:rFonts w:ascii="Arial" w:eastAsia="Times New Roman" w:hAnsi="Arial" w:cs="Arial"/>
          <w:bCs/>
          <w:sz w:val="24"/>
          <w:szCs w:val="24"/>
        </w:rPr>
        <w:t>pravovremeno obavljanje poslova iz djelokruga rada računovodstveno financijskog referenta.</w:t>
      </w:r>
    </w:p>
    <w:p w14:paraId="537546D0" w14:textId="77777777" w:rsidR="00E541EE" w:rsidRPr="00AC2206" w:rsidRDefault="00E541EE" w:rsidP="00E541EE">
      <w:pPr>
        <w:jc w:val="both"/>
        <w:rPr>
          <w:rFonts w:ascii="Arial" w:eastAsia="Times New Roman" w:hAnsi="Arial" w:cs="Arial"/>
          <w:sz w:val="24"/>
          <w:szCs w:val="24"/>
        </w:rPr>
      </w:pPr>
    </w:p>
    <w:p w14:paraId="552A701B"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AC2206">
        <w:rPr>
          <w:rFonts w:ascii="Arial" w:eastAsia="Times New Roman" w:hAnsi="Arial" w:cs="Arial"/>
          <w:b/>
          <w:bCs/>
          <w:sz w:val="24"/>
          <w:szCs w:val="24"/>
        </w:rPr>
        <w:t xml:space="preserve">A 103623: Školski odbor = </w:t>
      </w:r>
      <w:r>
        <w:rPr>
          <w:rFonts w:ascii="Arial" w:eastAsia="Times New Roman" w:hAnsi="Arial" w:cs="Arial"/>
          <w:b/>
          <w:bCs/>
          <w:sz w:val="24"/>
          <w:szCs w:val="24"/>
        </w:rPr>
        <w:t>3</w:t>
      </w:r>
      <w:r w:rsidRPr="00AC2206">
        <w:rPr>
          <w:rFonts w:ascii="Arial" w:eastAsia="Times New Roman" w:hAnsi="Arial" w:cs="Arial"/>
          <w:b/>
          <w:bCs/>
          <w:sz w:val="24"/>
          <w:szCs w:val="24"/>
        </w:rPr>
        <w:t>.</w:t>
      </w:r>
      <w:r>
        <w:rPr>
          <w:rFonts w:ascii="Arial" w:eastAsia="Times New Roman" w:hAnsi="Arial" w:cs="Arial"/>
          <w:b/>
          <w:bCs/>
          <w:sz w:val="24"/>
          <w:szCs w:val="24"/>
        </w:rPr>
        <w:t>000</w:t>
      </w:r>
      <w:r w:rsidRPr="00AC2206">
        <w:rPr>
          <w:rFonts w:ascii="Arial" w:eastAsia="Times New Roman" w:hAnsi="Arial" w:cs="Arial"/>
          <w:b/>
          <w:bCs/>
          <w:sz w:val="24"/>
          <w:szCs w:val="24"/>
        </w:rPr>
        <w:t>,00 EUR</w:t>
      </w:r>
    </w:p>
    <w:p w14:paraId="581B8DC7"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sz w:val="24"/>
          <w:szCs w:val="24"/>
        </w:rPr>
        <w:t xml:space="preserve">Zakonska osnova: </w:t>
      </w:r>
      <w:r w:rsidRPr="00AC2206">
        <w:rPr>
          <w:rFonts w:ascii="Arial" w:eastAsia="Times New Roman" w:hAnsi="Arial" w:cs="Arial"/>
          <w:sz w:val="24"/>
          <w:szCs w:val="24"/>
        </w:rPr>
        <w:t>Zakon o odgoju i obrazovanju u osnovnoj i srednjoj školi.</w:t>
      </w:r>
    </w:p>
    <w:p w14:paraId="341B008F" w14:textId="77777777" w:rsidR="00E541EE" w:rsidRPr="002C3E99" w:rsidRDefault="00E541EE" w:rsidP="00E541EE">
      <w:pPr>
        <w:pStyle w:val="Standard"/>
        <w:spacing w:before="0" w:after="0" w:line="240" w:lineRule="auto"/>
        <w:jc w:val="both"/>
        <w:rPr>
          <w:rFonts w:ascii="Arial" w:hAnsi="Arial" w:cs="Arial"/>
          <w:bCs/>
          <w:color w:val="000000"/>
          <w:sz w:val="24"/>
          <w:szCs w:val="24"/>
        </w:rPr>
      </w:pPr>
      <w:r w:rsidRPr="00AC2206">
        <w:rPr>
          <w:rFonts w:ascii="Arial" w:eastAsia="Times New Roman" w:hAnsi="Arial" w:cs="Arial"/>
          <w:b/>
          <w:sz w:val="24"/>
          <w:szCs w:val="24"/>
        </w:rPr>
        <w:t>Opis:</w:t>
      </w:r>
      <w:r w:rsidRPr="00AC2206">
        <w:rPr>
          <w:rFonts w:ascii="Arial" w:eastAsia="Times New Roman" w:hAnsi="Arial" w:cs="Arial"/>
          <w:sz w:val="24"/>
          <w:szCs w:val="24"/>
        </w:rPr>
        <w:t xml:space="preserve"> planiranim sredstvima osigurava se isplata naknade članovima Školskih odbora </w:t>
      </w:r>
      <w:r w:rsidRPr="002C3E99">
        <w:rPr>
          <w:rFonts w:ascii="Arial" w:eastAsia="Times New Roman" w:hAnsi="Arial" w:cs="Arial"/>
          <w:sz w:val="24"/>
          <w:szCs w:val="24"/>
        </w:rPr>
        <w:t>prema održanim sjednicama i prisustvu članova.</w:t>
      </w:r>
      <w:r w:rsidRPr="002C3E99">
        <w:rPr>
          <w:rFonts w:ascii="Arial" w:hAnsi="Arial" w:cs="Arial"/>
          <w:bCs/>
          <w:color w:val="000000"/>
          <w:sz w:val="24"/>
          <w:szCs w:val="24"/>
        </w:rPr>
        <w:t xml:space="preserve"> U 2026. godini planira se održati 12 sjednica školskog odbora. Članovima školskog odbora isplaćuje se naknada za sudjelovanje za održanim sjednicama za što će biti potrebno osigurati 3.000,00 </w:t>
      </w:r>
      <w:r>
        <w:rPr>
          <w:rFonts w:ascii="Arial" w:hAnsi="Arial" w:cs="Arial"/>
          <w:bCs/>
          <w:color w:val="000000"/>
          <w:sz w:val="24"/>
          <w:szCs w:val="24"/>
        </w:rPr>
        <w:t>eura</w:t>
      </w:r>
      <w:r w:rsidRPr="002C3E99">
        <w:rPr>
          <w:rFonts w:ascii="Arial" w:hAnsi="Arial" w:cs="Arial"/>
          <w:bCs/>
          <w:color w:val="000000"/>
          <w:sz w:val="24"/>
          <w:szCs w:val="24"/>
        </w:rPr>
        <w:t>.</w:t>
      </w:r>
    </w:p>
    <w:p w14:paraId="0AF12BB2" w14:textId="77777777" w:rsidR="00E541EE" w:rsidRPr="00AC2206" w:rsidRDefault="00E541EE" w:rsidP="00E541EE">
      <w:pPr>
        <w:jc w:val="both"/>
        <w:rPr>
          <w:rFonts w:ascii="Arial" w:eastAsia="Times New Roman" w:hAnsi="Arial" w:cs="Arial"/>
          <w:bCs/>
          <w:sz w:val="24"/>
          <w:szCs w:val="24"/>
        </w:rPr>
      </w:pPr>
      <w:r w:rsidRPr="00AC2206">
        <w:rPr>
          <w:rFonts w:ascii="Arial" w:eastAsia="Times New Roman" w:hAnsi="Arial" w:cs="Arial"/>
          <w:b/>
          <w:bCs/>
          <w:sz w:val="24"/>
          <w:szCs w:val="24"/>
        </w:rPr>
        <w:t>Opći cilj:</w:t>
      </w:r>
      <w:r w:rsidRPr="00AC2206">
        <w:rPr>
          <w:rFonts w:ascii="Arial" w:eastAsia="Times New Roman" w:hAnsi="Arial" w:cs="Arial"/>
          <w:bCs/>
          <w:sz w:val="24"/>
          <w:szCs w:val="24"/>
        </w:rPr>
        <w:t xml:space="preserve"> osiguravanje uvjeta rada u školskoj ustanovi.</w:t>
      </w:r>
    </w:p>
    <w:p w14:paraId="6125F28D" w14:textId="77777777" w:rsidR="00E541EE" w:rsidRPr="00AC2206" w:rsidRDefault="00E541EE" w:rsidP="00E541EE">
      <w:pPr>
        <w:jc w:val="both"/>
        <w:rPr>
          <w:rFonts w:ascii="Arial" w:eastAsia="Times New Roman" w:hAnsi="Arial" w:cs="Arial"/>
          <w:bCs/>
          <w:sz w:val="24"/>
          <w:szCs w:val="24"/>
        </w:rPr>
      </w:pPr>
      <w:r w:rsidRPr="00AC2206">
        <w:rPr>
          <w:rFonts w:ascii="Arial" w:eastAsia="Times New Roman" w:hAnsi="Arial" w:cs="Arial"/>
          <w:b/>
          <w:bCs/>
          <w:sz w:val="24"/>
          <w:szCs w:val="24"/>
        </w:rPr>
        <w:t xml:space="preserve">Pokazatelj uspješnosti: </w:t>
      </w:r>
      <w:r w:rsidRPr="00AC2206">
        <w:rPr>
          <w:rFonts w:ascii="Arial" w:eastAsia="Times New Roman" w:hAnsi="Arial" w:cs="Arial"/>
          <w:bCs/>
          <w:sz w:val="24"/>
          <w:szCs w:val="24"/>
        </w:rPr>
        <w:t>financirati će se sjednice školskog odbora prema planu i programu.</w:t>
      </w:r>
    </w:p>
    <w:p w14:paraId="07D6EF7B" w14:textId="77777777" w:rsidR="00E541EE" w:rsidRPr="00AC2206" w:rsidRDefault="00E541EE" w:rsidP="00E541EE">
      <w:pPr>
        <w:jc w:val="both"/>
        <w:rPr>
          <w:rFonts w:ascii="Arial" w:eastAsia="Times New Roman" w:hAnsi="Arial" w:cs="Arial"/>
          <w:sz w:val="24"/>
          <w:szCs w:val="24"/>
        </w:rPr>
      </w:pPr>
    </w:p>
    <w:p w14:paraId="5BADF682"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AC2206">
        <w:rPr>
          <w:rFonts w:ascii="Arial" w:eastAsia="Times New Roman" w:hAnsi="Arial" w:cs="Arial"/>
          <w:b/>
          <w:bCs/>
          <w:sz w:val="24"/>
          <w:szCs w:val="24"/>
        </w:rPr>
        <w:t xml:space="preserve">A 103624: Programi i aktivnosti škole = </w:t>
      </w:r>
      <w:r>
        <w:rPr>
          <w:rFonts w:ascii="Arial" w:eastAsia="Times New Roman" w:hAnsi="Arial" w:cs="Arial"/>
          <w:b/>
          <w:bCs/>
          <w:sz w:val="24"/>
          <w:szCs w:val="24"/>
        </w:rPr>
        <w:t>252</w:t>
      </w:r>
      <w:r w:rsidRPr="00AC2206">
        <w:rPr>
          <w:rFonts w:ascii="Arial" w:eastAsia="Times New Roman" w:hAnsi="Arial" w:cs="Arial"/>
          <w:b/>
          <w:bCs/>
          <w:sz w:val="24"/>
          <w:szCs w:val="24"/>
        </w:rPr>
        <w:t>.</w:t>
      </w:r>
      <w:r>
        <w:rPr>
          <w:rFonts w:ascii="Arial" w:eastAsia="Times New Roman" w:hAnsi="Arial" w:cs="Arial"/>
          <w:b/>
          <w:bCs/>
          <w:sz w:val="24"/>
          <w:szCs w:val="24"/>
        </w:rPr>
        <w:t>980</w:t>
      </w:r>
      <w:r w:rsidRPr="00AC2206">
        <w:rPr>
          <w:rFonts w:ascii="Arial" w:eastAsia="Times New Roman" w:hAnsi="Arial" w:cs="Arial"/>
          <w:b/>
          <w:bCs/>
          <w:sz w:val="24"/>
          <w:szCs w:val="24"/>
        </w:rPr>
        <w:t>,00 EUR</w:t>
      </w:r>
    </w:p>
    <w:p w14:paraId="3BD6B53D"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sz w:val="24"/>
          <w:szCs w:val="24"/>
        </w:rPr>
        <w:t xml:space="preserve">Zakonska osnova: </w:t>
      </w:r>
      <w:r w:rsidRPr="00AC2206">
        <w:rPr>
          <w:rFonts w:ascii="Arial" w:eastAsia="Times New Roman" w:hAnsi="Arial" w:cs="Arial"/>
          <w:sz w:val="24"/>
          <w:szCs w:val="24"/>
        </w:rPr>
        <w:t>Zakon o odgoju i obrazovanju u osnovnoj i srednjoj školi, Državni pedagoški standard osnovnoškolskog sustava odgoja i obrazovanja</w:t>
      </w:r>
    </w:p>
    <w:p w14:paraId="36F3C119" w14:textId="77777777" w:rsidR="00E541EE" w:rsidRPr="00531EAA" w:rsidRDefault="00E541EE" w:rsidP="00E541EE">
      <w:pPr>
        <w:pStyle w:val="Standard"/>
        <w:spacing w:before="0" w:after="0" w:line="240" w:lineRule="auto"/>
        <w:jc w:val="both"/>
        <w:rPr>
          <w:rFonts w:ascii="Arial" w:eastAsia="Times New Roman" w:hAnsi="Arial" w:cs="Arial"/>
          <w:color w:val="auto"/>
          <w:sz w:val="24"/>
          <w:szCs w:val="24"/>
        </w:rPr>
      </w:pPr>
      <w:r w:rsidRPr="003C1C2E">
        <w:rPr>
          <w:rFonts w:ascii="Arial" w:eastAsia="Times New Roman" w:hAnsi="Arial" w:cs="Arial"/>
          <w:b/>
          <w:color w:val="auto"/>
          <w:sz w:val="24"/>
          <w:szCs w:val="24"/>
        </w:rPr>
        <w:t>Opis</w:t>
      </w:r>
      <w:r w:rsidRPr="003C1C2E">
        <w:rPr>
          <w:rFonts w:ascii="Arial" w:eastAsia="Times New Roman" w:hAnsi="Arial" w:cs="Arial"/>
          <w:b/>
          <w:sz w:val="24"/>
          <w:szCs w:val="24"/>
        </w:rPr>
        <w:t>:</w:t>
      </w:r>
      <w:r w:rsidRPr="003C1C2E">
        <w:rPr>
          <w:rFonts w:ascii="Arial" w:eastAsia="Times New Roman" w:hAnsi="Arial" w:cs="Arial"/>
          <w:sz w:val="24"/>
          <w:szCs w:val="24"/>
        </w:rPr>
        <w:t xml:space="preserve">  </w:t>
      </w:r>
      <w:r w:rsidRPr="00531EAA">
        <w:rPr>
          <w:rFonts w:ascii="Arial" w:eastAsia="Times New Roman" w:hAnsi="Arial" w:cs="Arial"/>
          <w:color w:val="auto"/>
          <w:sz w:val="24"/>
          <w:szCs w:val="24"/>
        </w:rPr>
        <w:t xml:space="preserve">na izvoru 111 (gradski proračun) osiguran je iznos od 7.850,00 </w:t>
      </w:r>
      <w:r>
        <w:rPr>
          <w:rFonts w:ascii="Arial" w:eastAsia="Times New Roman" w:hAnsi="Arial" w:cs="Arial"/>
          <w:color w:val="auto"/>
          <w:sz w:val="24"/>
          <w:szCs w:val="24"/>
        </w:rPr>
        <w:t>eura</w:t>
      </w:r>
      <w:r w:rsidRPr="00531EAA">
        <w:rPr>
          <w:rFonts w:ascii="Arial" w:eastAsia="Times New Roman" w:hAnsi="Arial" w:cs="Arial"/>
          <w:color w:val="auto"/>
          <w:sz w:val="24"/>
          <w:szCs w:val="24"/>
        </w:rPr>
        <w:t xml:space="preserve"> za sljedeće potrebe:</w:t>
      </w:r>
    </w:p>
    <w:p w14:paraId="4043B10D" w14:textId="77777777" w:rsidR="00E541EE" w:rsidRPr="003C1C2E" w:rsidRDefault="00E541EE" w:rsidP="00E541EE">
      <w:pPr>
        <w:pStyle w:val="Standard"/>
        <w:spacing w:before="0" w:after="0" w:line="240" w:lineRule="auto"/>
        <w:jc w:val="both"/>
        <w:rPr>
          <w:rFonts w:ascii="Arial" w:hAnsi="Arial" w:cs="Arial"/>
          <w:color w:val="auto"/>
          <w:sz w:val="24"/>
          <w:szCs w:val="24"/>
        </w:rPr>
      </w:pPr>
      <w:r w:rsidRPr="003C1C2E">
        <w:rPr>
          <w:rFonts w:ascii="Arial" w:hAnsi="Arial" w:cs="Arial"/>
          <w:color w:val="auto"/>
          <w:sz w:val="24"/>
          <w:szCs w:val="24"/>
        </w:rPr>
        <w:t>od planiranih programa i aktivnosti škole u 2024. godini planiramo sljedeće:</w:t>
      </w:r>
    </w:p>
    <w:tbl>
      <w:tblPr>
        <w:tblW w:w="9498" w:type="dxa"/>
        <w:tblInd w:w="-142" w:type="dxa"/>
        <w:tblLayout w:type="fixed"/>
        <w:tblCellMar>
          <w:left w:w="10" w:type="dxa"/>
          <w:right w:w="10" w:type="dxa"/>
        </w:tblCellMar>
        <w:tblLook w:val="0000" w:firstRow="0" w:lastRow="0" w:firstColumn="0" w:lastColumn="0" w:noHBand="0" w:noVBand="0"/>
      </w:tblPr>
      <w:tblGrid>
        <w:gridCol w:w="8046"/>
        <w:gridCol w:w="1452"/>
      </w:tblGrid>
      <w:tr w:rsidR="00E541EE" w:rsidRPr="003C1C2E" w14:paraId="28C3CC08" w14:textId="77777777" w:rsidTr="00A84BB5">
        <w:trPr>
          <w:trHeight w:val="553"/>
        </w:trPr>
        <w:tc>
          <w:tcPr>
            <w:tcW w:w="8046" w:type="dxa"/>
            <w:tcMar>
              <w:top w:w="0" w:type="dxa"/>
              <w:left w:w="108" w:type="dxa"/>
              <w:bottom w:w="0" w:type="dxa"/>
              <w:right w:w="108" w:type="dxa"/>
            </w:tcMar>
            <w:vAlign w:val="bottom"/>
          </w:tcPr>
          <w:p w14:paraId="7FEC18CF" w14:textId="77777777" w:rsidR="00E541EE" w:rsidRPr="003C1C2E" w:rsidRDefault="00E541EE" w:rsidP="00E541EE">
            <w:pPr>
              <w:pStyle w:val="Standard"/>
              <w:numPr>
                <w:ilvl w:val="0"/>
                <w:numId w:val="6"/>
              </w:numPr>
              <w:spacing w:before="0" w:after="0" w:line="240" w:lineRule="auto"/>
              <w:jc w:val="both"/>
              <w:textAlignment w:val="baseline"/>
              <w:rPr>
                <w:rFonts w:ascii="Arial" w:hAnsi="Arial" w:cs="Arial"/>
                <w:color w:val="auto"/>
                <w:sz w:val="24"/>
                <w:szCs w:val="24"/>
              </w:rPr>
            </w:pPr>
            <w:r w:rsidRPr="003C1C2E">
              <w:rPr>
                <w:rFonts w:ascii="Arial" w:hAnsi="Arial" w:cs="Arial"/>
                <w:color w:val="auto"/>
                <w:sz w:val="24"/>
                <w:szCs w:val="24"/>
              </w:rPr>
              <w:t>Prijevoz učenika iz PŠ Rovinjsko Selo na nastavu u sportsku dvoranu Valbruna</w:t>
            </w:r>
          </w:p>
        </w:tc>
        <w:tc>
          <w:tcPr>
            <w:tcW w:w="1452" w:type="dxa"/>
            <w:tcMar>
              <w:top w:w="0" w:type="dxa"/>
              <w:left w:w="108" w:type="dxa"/>
              <w:bottom w:w="0" w:type="dxa"/>
              <w:right w:w="108" w:type="dxa"/>
            </w:tcMar>
            <w:vAlign w:val="bottom"/>
          </w:tcPr>
          <w:p w14:paraId="1F80BC48" w14:textId="77777777" w:rsidR="00E541EE" w:rsidRPr="003C1C2E" w:rsidRDefault="00E541EE" w:rsidP="00A84BB5">
            <w:pPr>
              <w:pStyle w:val="Standard"/>
              <w:spacing w:before="0" w:after="0" w:line="240" w:lineRule="auto"/>
              <w:rPr>
                <w:rFonts w:ascii="Arial" w:hAnsi="Arial" w:cs="Arial"/>
                <w:color w:val="auto"/>
                <w:sz w:val="24"/>
                <w:szCs w:val="24"/>
              </w:rPr>
            </w:pPr>
          </w:p>
        </w:tc>
      </w:tr>
      <w:tr w:rsidR="00E541EE" w:rsidRPr="003C1C2E" w14:paraId="4996C254" w14:textId="77777777" w:rsidTr="00A84BB5">
        <w:trPr>
          <w:trHeight w:val="307"/>
        </w:trPr>
        <w:tc>
          <w:tcPr>
            <w:tcW w:w="8046" w:type="dxa"/>
            <w:tcMar>
              <w:top w:w="0" w:type="dxa"/>
              <w:left w:w="108" w:type="dxa"/>
              <w:bottom w:w="0" w:type="dxa"/>
              <w:right w:w="108" w:type="dxa"/>
            </w:tcMar>
            <w:vAlign w:val="bottom"/>
          </w:tcPr>
          <w:p w14:paraId="7A771962" w14:textId="77777777" w:rsidR="00E541EE" w:rsidRPr="003C1C2E" w:rsidRDefault="00E541EE" w:rsidP="00E541EE">
            <w:pPr>
              <w:pStyle w:val="Standard"/>
              <w:numPr>
                <w:ilvl w:val="0"/>
                <w:numId w:val="6"/>
              </w:numPr>
              <w:spacing w:before="0" w:after="0" w:line="240" w:lineRule="auto"/>
              <w:jc w:val="both"/>
              <w:textAlignment w:val="baseline"/>
              <w:rPr>
                <w:rFonts w:ascii="Arial" w:hAnsi="Arial" w:cs="Arial"/>
                <w:color w:val="auto"/>
                <w:sz w:val="24"/>
                <w:szCs w:val="24"/>
              </w:rPr>
            </w:pPr>
            <w:r w:rsidRPr="003C1C2E">
              <w:rPr>
                <w:rFonts w:ascii="Arial" w:hAnsi="Arial" w:cs="Arial"/>
                <w:color w:val="auto"/>
                <w:sz w:val="24"/>
                <w:szCs w:val="24"/>
              </w:rPr>
              <w:t>Prijevoz učenika iz područnih škola na predstave u Rovinj</w:t>
            </w:r>
          </w:p>
        </w:tc>
        <w:tc>
          <w:tcPr>
            <w:tcW w:w="1452" w:type="dxa"/>
            <w:tcMar>
              <w:top w:w="0" w:type="dxa"/>
              <w:left w:w="108" w:type="dxa"/>
              <w:bottom w:w="0" w:type="dxa"/>
              <w:right w:w="108" w:type="dxa"/>
            </w:tcMar>
            <w:vAlign w:val="bottom"/>
          </w:tcPr>
          <w:p w14:paraId="4615B392" w14:textId="77777777" w:rsidR="00E541EE" w:rsidRPr="003C1C2E" w:rsidRDefault="00E541EE" w:rsidP="00A84BB5">
            <w:pPr>
              <w:pStyle w:val="Standard"/>
              <w:spacing w:before="0" w:after="0" w:line="240" w:lineRule="auto"/>
              <w:jc w:val="right"/>
              <w:rPr>
                <w:rFonts w:ascii="Arial" w:hAnsi="Arial" w:cs="Arial"/>
                <w:color w:val="auto"/>
                <w:sz w:val="24"/>
                <w:szCs w:val="24"/>
              </w:rPr>
            </w:pPr>
          </w:p>
        </w:tc>
      </w:tr>
      <w:tr w:rsidR="00E541EE" w:rsidRPr="003C1C2E" w14:paraId="79D3AE35" w14:textId="77777777" w:rsidTr="00A84BB5">
        <w:trPr>
          <w:trHeight w:val="285"/>
        </w:trPr>
        <w:tc>
          <w:tcPr>
            <w:tcW w:w="8046" w:type="dxa"/>
            <w:tcMar>
              <w:top w:w="0" w:type="dxa"/>
              <w:left w:w="108" w:type="dxa"/>
              <w:bottom w:w="0" w:type="dxa"/>
              <w:right w:w="108" w:type="dxa"/>
            </w:tcMar>
            <w:vAlign w:val="bottom"/>
          </w:tcPr>
          <w:p w14:paraId="37A9E5A3" w14:textId="77777777" w:rsidR="00E541EE" w:rsidRPr="003C1C2E" w:rsidRDefault="00E541EE" w:rsidP="00E541EE">
            <w:pPr>
              <w:pStyle w:val="Standard"/>
              <w:numPr>
                <w:ilvl w:val="0"/>
                <w:numId w:val="6"/>
              </w:numPr>
              <w:spacing w:before="0" w:after="0" w:line="240" w:lineRule="auto"/>
              <w:jc w:val="both"/>
              <w:textAlignment w:val="baseline"/>
              <w:rPr>
                <w:rFonts w:ascii="Arial" w:hAnsi="Arial" w:cs="Arial"/>
                <w:color w:val="auto"/>
                <w:sz w:val="24"/>
                <w:szCs w:val="24"/>
              </w:rPr>
            </w:pPr>
            <w:r w:rsidRPr="003C1C2E">
              <w:rPr>
                <w:rFonts w:ascii="Arial" w:hAnsi="Arial" w:cs="Arial"/>
                <w:color w:val="auto"/>
                <w:sz w:val="24"/>
                <w:szCs w:val="24"/>
              </w:rPr>
              <w:t>Troškovi obilježavanja Maškara</w:t>
            </w:r>
          </w:p>
        </w:tc>
        <w:tc>
          <w:tcPr>
            <w:tcW w:w="1452" w:type="dxa"/>
            <w:tcMar>
              <w:top w:w="0" w:type="dxa"/>
              <w:left w:w="108" w:type="dxa"/>
              <w:bottom w:w="0" w:type="dxa"/>
              <w:right w:w="108" w:type="dxa"/>
            </w:tcMar>
            <w:vAlign w:val="bottom"/>
          </w:tcPr>
          <w:p w14:paraId="0BDB5EE2" w14:textId="77777777" w:rsidR="00E541EE" w:rsidRPr="003C1C2E" w:rsidRDefault="00E541EE" w:rsidP="00A84BB5">
            <w:pPr>
              <w:pStyle w:val="Standard"/>
              <w:spacing w:before="0" w:after="0" w:line="240" w:lineRule="auto"/>
              <w:jc w:val="right"/>
              <w:rPr>
                <w:rFonts w:ascii="Arial" w:hAnsi="Arial" w:cs="Arial"/>
                <w:color w:val="auto"/>
                <w:sz w:val="24"/>
                <w:szCs w:val="24"/>
              </w:rPr>
            </w:pPr>
          </w:p>
        </w:tc>
      </w:tr>
      <w:tr w:rsidR="00E541EE" w:rsidRPr="003C1C2E" w14:paraId="41772804" w14:textId="77777777" w:rsidTr="00A84BB5">
        <w:trPr>
          <w:trHeight w:val="270"/>
        </w:trPr>
        <w:tc>
          <w:tcPr>
            <w:tcW w:w="8046" w:type="dxa"/>
            <w:tcMar>
              <w:top w:w="0" w:type="dxa"/>
              <w:left w:w="108" w:type="dxa"/>
              <w:bottom w:w="0" w:type="dxa"/>
              <w:right w:w="108" w:type="dxa"/>
            </w:tcMar>
            <w:vAlign w:val="bottom"/>
          </w:tcPr>
          <w:p w14:paraId="48CF2A9A" w14:textId="77777777" w:rsidR="00E541EE" w:rsidRPr="003C1C2E" w:rsidRDefault="00E541EE" w:rsidP="00E541EE">
            <w:pPr>
              <w:pStyle w:val="Standard"/>
              <w:numPr>
                <w:ilvl w:val="0"/>
                <w:numId w:val="6"/>
              </w:numPr>
              <w:spacing w:before="0" w:after="0" w:line="240" w:lineRule="auto"/>
              <w:jc w:val="both"/>
              <w:textAlignment w:val="baseline"/>
              <w:rPr>
                <w:rFonts w:ascii="Arial" w:hAnsi="Arial" w:cs="Arial"/>
                <w:color w:val="auto"/>
                <w:sz w:val="24"/>
                <w:szCs w:val="24"/>
              </w:rPr>
            </w:pPr>
            <w:r w:rsidRPr="003C1C2E">
              <w:rPr>
                <w:rFonts w:ascii="Arial" w:hAnsi="Arial" w:cs="Arial"/>
                <w:color w:val="auto"/>
                <w:sz w:val="24"/>
                <w:szCs w:val="24"/>
              </w:rPr>
              <w:t>Pomoć za učenike za ekskurziju</w:t>
            </w:r>
          </w:p>
        </w:tc>
        <w:tc>
          <w:tcPr>
            <w:tcW w:w="1452" w:type="dxa"/>
            <w:tcMar>
              <w:top w:w="0" w:type="dxa"/>
              <w:left w:w="108" w:type="dxa"/>
              <w:bottom w:w="0" w:type="dxa"/>
              <w:right w:w="108" w:type="dxa"/>
            </w:tcMar>
            <w:vAlign w:val="bottom"/>
          </w:tcPr>
          <w:p w14:paraId="4EA23FD2" w14:textId="77777777" w:rsidR="00E541EE" w:rsidRPr="003C1C2E" w:rsidRDefault="00E541EE" w:rsidP="00A84BB5">
            <w:pPr>
              <w:pStyle w:val="Standard"/>
              <w:spacing w:before="0" w:after="0" w:line="240" w:lineRule="auto"/>
              <w:jc w:val="right"/>
              <w:rPr>
                <w:rFonts w:ascii="Arial" w:hAnsi="Arial" w:cs="Arial"/>
                <w:color w:val="auto"/>
                <w:sz w:val="24"/>
                <w:szCs w:val="24"/>
              </w:rPr>
            </w:pPr>
          </w:p>
        </w:tc>
      </w:tr>
      <w:tr w:rsidR="00E541EE" w:rsidRPr="003C1C2E" w14:paraId="540B39C2" w14:textId="77777777" w:rsidTr="00A84BB5">
        <w:trPr>
          <w:trHeight w:val="270"/>
        </w:trPr>
        <w:tc>
          <w:tcPr>
            <w:tcW w:w="8046" w:type="dxa"/>
            <w:tcMar>
              <w:top w:w="0" w:type="dxa"/>
              <w:left w:w="108" w:type="dxa"/>
              <w:bottom w:w="0" w:type="dxa"/>
              <w:right w:w="108" w:type="dxa"/>
            </w:tcMar>
            <w:vAlign w:val="bottom"/>
          </w:tcPr>
          <w:p w14:paraId="1346FB4C" w14:textId="77777777" w:rsidR="00E541EE" w:rsidRPr="003C1C2E" w:rsidRDefault="00E541EE" w:rsidP="00E541EE">
            <w:pPr>
              <w:pStyle w:val="Standard"/>
              <w:numPr>
                <w:ilvl w:val="0"/>
                <w:numId w:val="6"/>
              </w:numPr>
              <w:spacing w:before="0" w:after="0" w:line="240" w:lineRule="auto"/>
              <w:jc w:val="both"/>
              <w:textAlignment w:val="baseline"/>
              <w:rPr>
                <w:rFonts w:ascii="Arial" w:hAnsi="Arial" w:cs="Arial"/>
                <w:color w:val="auto"/>
                <w:sz w:val="24"/>
                <w:szCs w:val="24"/>
              </w:rPr>
            </w:pPr>
            <w:r w:rsidRPr="003C1C2E">
              <w:rPr>
                <w:rFonts w:ascii="Arial" w:hAnsi="Arial" w:cs="Arial"/>
                <w:color w:val="auto"/>
                <w:sz w:val="24"/>
                <w:szCs w:val="24"/>
              </w:rPr>
              <w:t>Nagrade za uspješne učenike</w:t>
            </w:r>
          </w:p>
        </w:tc>
        <w:tc>
          <w:tcPr>
            <w:tcW w:w="1452" w:type="dxa"/>
            <w:tcMar>
              <w:top w:w="0" w:type="dxa"/>
              <w:left w:w="108" w:type="dxa"/>
              <w:bottom w:w="0" w:type="dxa"/>
              <w:right w:w="108" w:type="dxa"/>
            </w:tcMar>
            <w:vAlign w:val="bottom"/>
          </w:tcPr>
          <w:p w14:paraId="25233DEB" w14:textId="77777777" w:rsidR="00E541EE" w:rsidRPr="003C1C2E" w:rsidRDefault="00E541EE" w:rsidP="00A84BB5">
            <w:pPr>
              <w:pStyle w:val="Standard"/>
              <w:spacing w:before="0" w:after="0" w:line="240" w:lineRule="auto"/>
              <w:jc w:val="right"/>
              <w:rPr>
                <w:rFonts w:ascii="Arial" w:hAnsi="Arial" w:cs="Arial"/>
                <w:color w:val="auto"/>
                <w:sz w:val="24"/>
                <w:szCs w:val="24"/>
              </w:rPr>
            </w:pPr>
          </w:p>
        </w:tc>
      </w:tr>
      <w:tr w:rsidR="00E541EE" w:rsidRPr="003C1C2E" w14:paraId="2E97AD71" w14:textId="77777777" w:rsidTr="00A84BB5">
        <w:trPr>
          <w:trHeight w:val="270"/>
        </w:trPr>
        <w:tc>
          <w:tcPr>
            <w:tcW w:w="8046" w:type="dxa"/>
            <w:tcMar>
              <w:top w:w="0" w:type="dxa"/>
              <w:left w:w="108" w:type="dxa"/>
              <w:bottom w:w="0" w:type="dxa"/>
              <w:right w:w="108" w:type="dxa"/>
            </w:tcMar>
            <w:vAlign w:val="bottom"/>
          </w:tcPr>
          <w:p w14:paraId="4DB3BC11" w14:textId="77777777" w:rsidR="00E541EE" w:rsidRPr="003C1C2E" w:rsidRDefault="00E541EE" w:rsidP="00E541EE">
            <w:pPr>
              <w:pStyle w:val="Standard"/>
              <w:numPr>
                <w:ilvl w:val="0"/>
                <w:numId w:val="6"/>
              </w:numPr>
              <w:spacing w:before="0" w:after="0" w:line="240" w:lineRule="auto"/>
              <w:jc w:val="both"/>
              <w:textAlignment w:val="baseline"/>
              <w:rPr>
                <w:rFonts w:ascii="Arial" w:hAnsi="Arial" w:cs="Arial"/>
                <w:color w:val="auto"/>
                <w:sz w:val="24"/>
                <w:szCs w:val="24"/>
              </w:rPr>
            </w:pPr>
            <w:r w:rsidRPr="003C1C2E">
              <w:rPr>
                <w:rFonts w:ascii="Arial" w:hAnsi="Arial" w:cs="Arial"/>
                <w:color w:val="auto"/>
                <w:sz w:val="24"/>
                <w:szCs w:val="24"/>
              </w:rPr>
              <w:t>Nagradni izlet za uspješne učenike</w:t>
            </w:r>
          </w:p>
        </w:tc>
        <w:tc>
          <w:tcPr>
            <w:tcW w:w="1452" w:type="dxa"/>
            <w:tcMar>
              <w:top w:w="0" w:type="dxa"/>
              <w:left w:w="108" w:type="dxa"/>
              <w:bottom w:w="0" w:type="dxa"/>
              <w:right w:w="108" w:type="dxa"/>
            </w:tcMar>
            <w:vAlign w:val="bottom"/>
          </w:tcPr>
          <w:p w14:paraId="0342A3EF" w14:textId="77777777" w:rsidR="00E541EE" w:rsidRPr="003C1C2E" w:rsidRDefault="00E541EE" w:rsidP="00A84BB5">
            <w:pPr>
              <w:pStyle w:val="Standard"/>
              <w:spacing w:before="0" w:after="0" w:line="240" w:lineRule="auto"/>
              <w:jc w:val="right"/>
              <w:rPr>
                <w:rFonts w:ascii="Arial" w:hAnsi="Arial" w:cs="Arial"/>
                <w:color w:val="auto"/>
                <w:sz w:val="24"/>
                <w:szCs w:val="24"/>
              </w:rPr>
            </w:pPr>
          </w:p>
        </w:tc>
      </w:tr>
      <w:tr w:rsidR="00E541EE" w:rsidRPr="00AC2206" w14:paraId="72E58CE1" w14:textId="77777777" w:rsidTr="00A84BB5">
        <w:trPr>
          <w:trHeight w:val="270"/>
        </w:trPr>
        <w:tc>
          <w:tcPr>
            <w:tcW w:w="8046" w:type="dxa"/>
            <w:tcMar>
              <w:top w:w="0" w:type="dxa"/>
              <w:left w:w="108" w:type="dxa"/>
              <w:bottom w:w="0" w:type="dxa"/>
              <w:right w:w="108" w:type="dxa"/>
            </w:tcMar>
            <w:vAlign w:val="bottom"/>
          </w:tcPr>
          <w:p w14:paraId="0BE58293" w14:textId="77777777" w:rsidR="00E541EE" w:rsidRDefault="00E541EE" w:rsidP="00E541EE">
            <w:pPr>
              <w:pStyle w:val="Standard"/>
              <w:numPr>
                <w:ilvl w:val="0"/>
                <w:numId w:val="6"/>
              </w:numPr>
              <w:spacing w:before="0" w:after="0" w:line="240" w:lineRule="auto"/>
              <w:jc w:val="both"/>
              <w:textAlignment w:val="baseline"/>
              <w:rPr>
                <w:rFonts w:ascii="Arial" w:hAnsi="Arial" w:cs="Arial"/>
                <w:color w:val="auto"/>
                <w:sz w:val="24"/>
                <w:szCs w:val="24"/>
              </w:rPr>
            </w:pPr>
            <w:r w:rsidRPr="003C1C2E">
              <w:rPr>
                <w:rFonts w:ascii="Arial" w:hAnsi="Arial" w:cs="Arial"/>
                <w:color w:val="auto"/>
                <w:sz w:val="24"/>
                <w:szCs w:val="24"/>
              </w:rPr>
              <w:t>Majice za sportska natjecanja</w:t>
            </w:r>
          </w:p>
          <w:p w14:paraId="7ECF068F" w14:textId="77777777" w:rsidR="00E541EE" w:rsidRPr="005776DE" w:rsidRDefault="00E541EE" w:rsidP="00E541EE">
            <w:pPr>
              <w:pStyle w:val="Standard"/>
              <w:numPr>
                <w:ilvl w:val="0"/>
                <w:numId w:val="6"/>
              </w:numPr>
              <w:spacing w:before="0" w:after="0" w:line="240" w:lineRule="auto"/>
              <w:jc w:val="both"/>
              <w:textAlignment w:val="baseline"/>
              <w:rPr>
                <w:rFonts w:ascii="Arial" w:hAnsi="Arial" w:cs="Arial"/>
                <w:color w:val="auto"/>
                <w:sz w:val="24"/>
                <w:szCs w:val="24"/>
              </w:rPr>
            </w:pPr>
            <w:r>
              <w:rPr>
                <w:rFonts w:ascii="Arial" w:hAnsi="Arial" w:cs="Arial"/>
                <w:color w:val="auto"/>
                <w:sz w:val="24"/>
                <w:szCs w:val="24"/>
              </w:rPr>
              <w:t>Troškovi tima za nadarene</w:t>
            </w:r>
          </w:p>
        </w:tc>
        <w:tc>
          <w:tcPr>
            <w:tcW w:w="1452" w:type="dxa"/>
            <w:tcMar>
              <w:top w:w="0" w:type="dxa"/>
              <w:left w:w="108" w:type="dxa"/>
              <w:bottom w:w="0" w:type="dxa"/>
              <w:right w:w="108" w:type="dxa"/>
            </w:tcMar>
            <w:vAlign w:val="bottom"/>
          </w:tcPr>
          <w:p w14:paraId="673B8EE3" w14:textId="77777777" w:rsidR="00E541EE" w:rsidRPr="003C1C2E" w:rsidRDefault="00E541EE" w:rsidP="00A84BB5">
            <w:pPr>
              <w:pStyle w:val="Standard"/>
              <w:spacing w:before="0" w:after="0" w:line="240" w:lineRule="auto"/>
              <w:jc w:val="right"/>
              <w:rPr>
                <w:rFonts w:ascii="Arial" w:hAnsi="Arial" w:cs="Arial"/>
                <w:color w:val="auto"/>
                <w:sz w:val="24"/>
                <w:szCs w:val="24"/>
              </w:rPr>
            </w:pPr>
          </w:p>
        </w:tc>
      </w:tr>
      <w:tr w:rsidR="00E541EE" w:rsidRPr="00AC2206" w14:paraId="159BF373" w14:textId="77777777" w:rsidTr="00A84BB5">
        <w:trPr>
          <w:trHeight w:val="270"/>
        </w:trPr>
        <w:tc>
          <w:tcPr>
            <w:tcW w:w="8046" w:type="dxa"/>
            <w:tcMar>
              <w:top w:w="0" w:type="dxa"/>
              <w:left w:w="108" w:type="dxa"/>
              <w:bottom w:w="0" w:type="dxa"/>
              <w:right w:w="108" w:type="dxa"/>
            </w:tcMar>
            <w:vAlign w:val="bottom"/>
          </w:tcPr>
          <w:p w14:paraId="6B5A7B96" w14:textId="77777777" w:rsidR="00E541EE" w:rsidRPr="00AC2206" w:rsidRDefault="00E541EE" w:rsidP="00A84BB5">
            <w:pPr>
              <w:pStyle w:val="Standard"/>
              <w:spacing w:before="0" w:after="0" w:line="240" w:lineRule="auto"/>
              <w:jc w:val="both"/>
              <w:rPr>
                <w:rFonts w:ascii="Arial" w:hAnsi="Arial" w:cs="Arial"/>
                <w:color w:val="auto"/>
                <w:sz w:val="24"/>
                <w:szCs w:val="24"/>
                <w:highlight w:val="yellow"/>
              </w:rPr>
            </w:pPr>
          </w:p>
        </w:tc>
        <w:tc>
          <w:tcPr>
            <w:tcW w:w="1452" w:type="dxa"/>
            <w:tcMar>
              <w:top w:w="0" w:type="dxa"/>
              <w:left w:w="108" w:type="dxa"/>
              <w:bottom w:w="0" w:type="dxa"/>
              <w:right w:w="108" w:type="dxa"/>
            </w:tcMar>
            <w:vAlign w:val="bottom"/>
          </w:tcPr>
          <w:p w14:paraId="09442068" w14:textId="77777777" w:rsidR="00E541EE" w:rsidRPr="00AC2206" w:rsidRDefault="00E541EE" w:rsidP="00A84BB5">
            <w:pPr>
              <w:pStyle w:val="Standard"/>
              <w:spacing w:before="0" w:after="0" w:line="240" w:lineRule="auto"/>
              <w:jc w:val="right"/>
              <w:rPr>
                <w:rFonts w:ascii="Arial" w:hAnsi="Arial" w:cs="Arial"/>
                <w:color w:val="auto"/>
                <w:sz w:val="24"/>
                <w:szCs w:val="24"/>
                <w:highlight w:val="yellow"/>
              </w:rPr>
            </w:pPr>
          </w:p>
        </w:tc>
      </w:tr>
    </w:tbl>
    <w:p w14:paraId="1AD74910" w14:textId="77777777" w:rsidR="00E541EE" w:rsidRPr="00AC2206" w:rsidRDefault="00E541EE" w:rsidP="00E541EE">
      <w:pPr>
        <w:pStyle w:val="Standard"/>
        <w:spacing w:before="0" w:after="0" w:line="240" w:lineRule="auto"/>
        <w:jc w:val="both"/>
        <w:rPr>
          <w:sz w:val="24"/>
          <w:szCs w:val="24"/>
        </w:rPr>
      </w:pPr>
      <w:r w:rsidRPr="00AC2206">
        <w:rPr>
          <w:rStyle w:val="Zadanifontodlomka4"/>
          <w:rFonts w:ascii="Arial" w:hAnsi="Arial" w:cs="Arial"/>
          <w:color w:val="auto"/>
          <w:sz w:val="24"/>
          <w:szCs w:val="24"/>
        </w:rPr>
        <w:t xml:space="preserve">Iz izvora 311 i 821 vlastitim prihodima i planiranim prenesenim viškom, kroz ovu aktivnost podmiriti će se troškovi za materijal, usluge i ostali nespomenuti rashodi poslovanja kao i dio financijskih rashoda u iznosu od 72.850,00 </w:t>
      </w:r>
      <w:r>
        <w:rPr>
          <w:rStyle w:val="Zadanifontodlomka4"/>
          <w:rFonts w:ascii="Arial" w:hAnsi="Arial" w:cs="Arial"/>
          <w:color w:val="auto"/>
          <w:sz w:val="24"/>
          <w:szCs w:val="24"/>
        </w:rPr>
        <w:t>eura</w:t>
      </w:r>
      <w:r w:rsidRPr="00AC2206">
        <w:rPr>
          <w:rStyle w:val="Zadanifontodlomka4"/>
          <w:rFonts w:ascii="Arial" w:hAnsi="Arial" w:cs="Arial"/>
          <w:color w:val="auto"/>
          <w:sz w:val="24"/>
          <w:szCs w:val="24"/>
        </w:rPr>
        <w:t>.</w:t>
      </w:r>
    </w:p>
    <w:p w14:paraId="501AACD3" w14:textId="77777777" w:rsidR="00E541EE" w:rsidRPr="00AC2206" w:rsidRDefault="00E541EE" w:rsidP="00E541EE">
      <w:pPr>
        <w:pStyle w:val="Standard"/>
        <w:spacing w:before="0" w:after="0" w:line="240" w:lineRule="auto"/>
        <w:jc w:val="both"/>
        <w:rPr>
          <w:rStyle w:val="Zadanifontodlomka4"/>
          <w:rFonts w:ascii="Arial" w:hAnsi="Arial" w:cs="Arial"/>
          <w:color w:val="auto"/>
          <w:sz w:val="24"/>
          <w:szCs w:val="24"/>
        </w:rPr>
      </w:pPr>
      <w:r w:rsidRPr="00AC2206">
        <w:rPr>
          <w:rStyle w:val="Zadanifontodlomka4"/>
          <w:rFonts w:ascii="Arial" w:hAnsi="Arial" w:cs="Arial"/>
          <w:color w:val="auto"/>
          <w:sz w:val="24"/>
          <w:szCs w:val="24"/>
        </w:rPr>
        <w:t>Iz izvora 531</w:t>
      </w:r>
      <w:r w:rsidRPr="00AC2206">
        <w:rPr>
          <w:rStyle w:val="Zadanifontodlomka4"/>
          <w:rFonts w:ascii="Arial" w:hAnsi="Arial" w:cs="Arial"/>
          <w:b/>
          <w:color w:val="auto"/>
          <w:sz w:val="24"/>
          <w:szCs w:val="24"/>
        </w:rPr>
        <w:t xml:space="preserve"> </w:t>
      </w:r>
      <w:r w:rsidRPr="00AC2206">
        <w:rPr>
          <w:rStyle w:val="Zadanifontodlomka4"/>
          <w:rFonts w:ascii="Arial" w:hAnsi="Arial" w:cs="Arial"/>
          <w:color w:val="auto"/>
          <w:sz w:val="24"/>
          <w:szCs w:val="24"/>
        </w:rPr>
        <w:t>podmiriti će se troškovi subvencioniranja marende za sve učenike sa područja Općine Bala te prijevoz za učenike na razne aktivnosti, dok će se dio sredstava usmjeriti za pokriće rashoda županijskih natjecanja.</w:t>
      </w:r>
    </w:p>
    <w:p w14:paraId="2A64F578" w14:textId="77777777" w:rsidR="00E541EE" w:rsidRPr="00AC2206" w:rsidRDefault="00E541EE" w:rsidP="00E541EE">
      <w:pPr>
        <w:pStyle w:val="Standard"/>
        <w:spacing w:before="0" w:after="0" w:line="240" w:lineRule="auto"/>
        <w:jc w:val="both"/>
        <w:rPr>
          <w:sz w:val="24"/>
          <w:szCs w:val="24"/>
        </w:rPr>
      </w:pPr>
      <w:r w:rsidRPr="00AC2206">
        <w:rPr>
          <w:rStyle w:val="Zadanifontodlomka4"/>
          <w:rFonts w:ascii="Arial" w:hAnsi="Arial" w:cs="Arial"/>
          <w:color w:val="auto"/>
          <w:sz w:val="24"/>
          <w:szCs w:val="24"/>
        </w:rPr>
        <w:t>Izvor 541 – 60.000,00</w:t>
      </w:r>
      <w:r w:rsidRPr="00AC2206">
        <w:rPr>
          <w:rStyle w:val="Zadanifontodlomka4"/>
          <w:rFonts w:ascii="Arial" w:hAnsi="Arial" w:cs="Arial"/>
          <w:b/>
          <w:color w:val="auto"/>
          <w:sz w:val="24"/>
          <w:szCs w:val="24"/>
        </w:rPr>
        <w:t xml:space="preserve"> </w:t>
      </w:r>
      <w:r w:rsidRPr="003D23F8">
        <w:rPr>
          <w:rStyle w:val="Zadanifontodlomka4"/>
          <w:rFonts w:ascii="Arial" w:hAnsi="Arial" w:cs="Arial"/>
          <w:bCs/>
          <w:color w:val="auto"/>
          <w:sz w:val="24"/>
          <w:szCs w:val="24"/>
        </w:rPr>
        <w:t>eura</w:t>
      </w:r>
      <w:r w:rsidRPr="00AC2206">
        <w:rPr>
          <w:rStyle w:val="Zadanifontodlomka4"/>
          <w:rFonts w:ascii="Arial" w:hAnsi="Arial" w:cs="Arial"/>
          <w:color w:val="auto"/>
          <w:sz w:val="24"/>
          <w:szCs w:val="24"/>
        </w:rPr>
        <w:t>. Svake godine Agencija za mobilnost i programe odobrava financijska sredstva za provedbu aktivnosti u sklopu Razvojnog plana škole. Obzirom da je škola dobila Erasmus+ akreditaciju za razdoblje 2021</w:t>
      </w:r>
      <w:r>
        <w:rPr>
          <w:rStyle w:val="Zadanifontodlomka4"/>
          <w:rFonts w:ascii="Arial" w:hAnsi="Arial" w:cs="Arial"/>
          <w:color w:val="auto"/>
          <w:sz w:val="24"/>
          <w:szCs w:val="24"/>
        </w:rPr>
        <w:t xml:space="preserve">. </w:t>
      </w:r>
      <w:r w:rsidRPr="00AC2206">
        <w:rPr>
          <w:rStyle w:val="Zadanifontodlomka4"/>
          <w:rFonts w:ascii="Arial" w:hAnsi="Arial" w:cs="Arial"/>
          <w:color w:val="auto"/>
          <w:sz w:val="24"/>
          <w:szCs w:val="24"/>
        </w:rPr>
        <w:t>-</w:t>
      </w:r>
      <w:r>
        <w:rPr>
          <w:rStyle w:val="Zadanifontodlomka4"/>
          <w:rFonts w:ascii="Arial" w:hAnsi="Arial" w:cs="Arial"/>
          <w:color w:val="auto"/>
          <w:sz w:val="24"/>
          <w:szCs w:val="24"/>
        </w:rPr>
        <w:t xml:space="preserve"> </w:t>
      </w:r>
      <w:r w:rsidRPr="00AC2206">
        <w:rPr>
          <w:rStyle w:val="Zadanifontodlomka4"/>
          <w:rFonts w:ascii="Arial" w:hAnsi="Arial" w:cs="Arial"/>
          <w:color w:val="auto"/>
          <w:sz w:val="24"/>
          <w:szCs w:val="24"/>
        </w:rPr>
        <w:t>2027</w:t>
      </w:r>
      <w:r>
        <w:rPr>
          <w:rStyle w:val="Zadanifontodlomka4"/>
          <w:rFonts w:ascii="Arial" w:hAnsi="Arial" w:cs="Arial"/>
          <w:color w:val="auto"/>
          <w:sz w:val="24"/>
          <w:szCs w:val="24"/>
        </w:rPr>
        <w:t>.</w:t>
      </w:r>
      <w:r w:rsidRPr="00AC2206">
        <w:rPr>
          <w:rStyle w:val="Zadanifontodlomka4"/>
          <w:rFonts w:ascii="Arial" w:hAnsi="Arial" w:cs="Arial"/>
          <w:color w:val="auto"/>
          <w:sz w:val="24"/>
          <w:szCs w:val="24"/>
        </w:rPr>
        <w:t xml:space="preserve">, s tim u vezi i za 2025. godinu prijavit ćemo projekt stručnog usavršavanja učitelja i mobilnost učenika  te ugošćavanje kolega iz inozemnih škola kroz Erasmus+ program u 80% iznosu od 60.000,00 </w:t>
      </w:r>
      <w:r>
        <w:rPr>
          <w:rStyle w:val="Zadanifontodlomka4"/>
          <w:rFonts w:ascii="Arial" w:hAnsi="Arial" w:cs="Arial"/>
          <w:color w:val="auto"/>
          <w:sz w:val="24"/>
          <w:szCs w:val="24"/>
        </w:rPr>
        <w:t>eura</w:t>
      </w:r>
      <w:r w:rsidRPr="00AC2206">
        <w:rPr>
          <w:rStyle w:val="Zadanifontodlomka4"/>
          <w:rFonts w:ascii="Arial" w:hAnsi="Arial" w:cs="Arial"/>
          <w:color w:val="auto"/>
          <w:sz w:val="24"/>
          <w:szCs w:val="24"/>
        </w:rPr>
        <w:t>.</w:t>
      </w:r>
    </w:p>
    <w:p w14:paraId="7E29B5C3" w14:textId="77777777" w:rsidR="00E541EE" w:rsidRPr="00AC2206" w:rsidRDefault="00E541EE" w:rsidP="00E541EE">
      <w:pPr>
        <w:pStyle w:val="Standard"/>
        <w:spacing w:before="0" w:after="0" w:line="240" w:lineRule="auto"/>
        <w:jc w:val="both"/>
        <w:rPr>
          <w:sz w:val="24"/>
          <w:szCs w:val="24"/>
        </w:rPr>
      </w:pPr>
      <w:r w:rsidRPr="00AC2206">
        <w:rPr>
          <w:rStyle w:val="Zadanifontodlomka4"/>
          <w:rFonts w:ascii="Arial" w:hAnsi="Arial" w:cs="Arial"/>
          <w:color w:val="auto"/>
          <w:sz w:val="24"/>
          <w:szCs w:val="24"/>
        </w:rPr>
        <w:t xml:space="preserve">Donacijama fizičkih i pravnih osoba  (izvor 611 </w:t>
      </w:r>
      <w:r>
        <w:rPr>
          <w:rStyle w:val="Zadanifontodlomka4"/>
          <w:rFonts w:ascii="Arial" w:hAnsi="Arial" w:cs="Arial"/>
          <w:color w:val="auto"/>
          <w:sz w:val="24"/>
          <w:szCs w:val="24"/>
        </w:rPr>
        <w:t>-</w:t>
      </w:r>
      <w:r w:rsidRPr="00AC2206">
        <w:rPr>
          <w:rStyle w:val="Zadanifontodlomka4"/>
          <w:rFonts w:ascii="Arial" w:hAnsi="Arial" w:cs="Arial"/>
          <w:color w:val="auto"/>
          <w:sz w:val="24"/>
          <w:szCs w:val="24"/>
        </w:rPr>
        <w:t xml:space="preserve"> 9.000,00 </w:t>
      </w:r>
      <w:r>
        <w:rPr>
          <w:rStyle w:val="Zadanifontodlomka4"/>
          <w:rFonts w:ascii="Arial" w:hAnsi="Arial" w:cs="Arial"/>
          <w:color w:val="auto"/>
          <w:sz w:val="24"/>
          <w:szCs w:val="24"/>
        </w:rPr>
        <w:t>eura</w:t>
      </w:r>
      <w:r w:rsidRPr="00AC2206">
        <w:rPr>
          <w:rStyle w:val="Zadanifontodlomka4"/>
          <w:rFonts w:ascii="Arial" w:hAnsi="Arial" w:cs="Arial"/>
          <w:color w:val="auto"/>
          <w:sz w:val="24"/>
          <w:szCs w:val="24"/>
        </w:rPr>
        <w:t>) podmiriti će se troškovi materijala, usluga i ostalih nespomenutih rashoda poslovanja u iznosu od 7</w:t>
      </w:r>
      <w:r>
        <w:rPr>
          <w:rStyle w:val="Zadanifontodlomka4"/>
          <w:rFonts w:ascii="Arial" w:hAnsi="Arial" w:cs="Arial"/>
          <w:color w:val="auto"/>
          <w:sz w:val="24"/>
          <w:szCs w:val="24"/>
        </w:rPr>
        <w:t>.0</w:t>
      </w:r>
      <w:r w:rsidRPr="00AC2206">
        <w:rPr>
          <w:rStyle w:val="Zadanifontodlomka4"/>
          <w:rFonts w:ascii="Arial" w:hAnsi="Arial" w:cs="Arial"/>
          <w:color w:val="auto"/>
          <w:sz w:val="24"/>
          <w:szCs w:val="24"/>
        </w:rPr>
        <w:t>00,00</w:t>
      </w:r>
      <w:r w:rsidRPr="00AC2206">
        <w:rPr>
          <w:rStyle w:val="Zadanifontodlomka4"/>
          <w:rFonts w:ascii="Arial" w:hAnsi="Arial" w:cs="Arial"/>
          <w:color w:val="FF0000"/>
          <w:sz w:val="24"/>
          <w:szCs w:val="24"/>
        </w:rPr>
        <w:t xml:space="preserve"> </w:t>
      </w:r>
      <w:r w:rsidRPr="003D23F8">
        <w:rPr>
          <w:rStyle w:val="Zadanifontodlomka4"/>
          <w:rFonts w:ascii="Arial" w:hAnsi="Arial" w:cs="Arial"/>
          <w:color w:val="auto"/>
          <w:sz w:val="24"/>
          <w:szCs w:val="24"/>
        </w:rPr>
        <w:t>eura</w:t>
      </w:r>
      <w:r w:rsidRPr="00AC2206">
        <w:rPr>
          <w:rStyle w:val="Zadanifontodlomka4"/>
          <w:rFonts w:ascii="Arial" w:hAnsi="Arial" w:cs="Arial"/>
          <w:color w:val="auto"/>
          <w:sz w:val="24"/>
          <w:szCs w:val="24"/>
        </w:rPr>
        <w:t xml:space="preserve"> a od Sportske zajednice grada Rovinja financirati će se rashodi za materijalne troškove, troškove suđenja i medalja te za sportsku opremu  i dresove  za ŠSD Galeb u iznosu od 2.000,00 </w:t>
      </w:r>
      <w:r>
        <w:rPr>
          <w:rStyle w:val="Zadanifontodlomka4"/>
          <w:rFonts w:ascii="Arial" w:hAnsi="Arial" w:cs="Arial"/>
          <w:color w:val="auto"/>
          <w:sz w:val="24"/>
          <w:szCs w:val="24"/>
        </w:rPr>
        <w:t>eura</w:t>
      </w:r>
      <w:r w:rsidRPr="00AC2206">
        <w:rPr>
          <w:rStyle w:val="Zadanifontodlomka4"/>
          <w:rFonts w:ascii="Arial" w:hAnsi="Arial" w:cs="Arial"/>
          <w:color w:val="auto"/>
          <w:sz w:val="24"/>
          <w:szCs w:val="24"/>
        </w:rPr>
        <w:t>.</w:t>
      </w:r>
    </w:p>
    <w:p w14:paraId="212EEA62" w14:textId="77777777" w:rsidR="00E541EE" w:rsidRPr="00AC2206" w:rsidRDefault="00E541EE" w:rsidP="00E541EE">
      <w:pPr>
        <w:pStyle w:val="Standard"/>
        <w:spacing w:before="0" w:after="0" w:line="240" w:lineRule="auto"/>
        <w:jc w:val="both"/>
        <w:rPr>
          <w:sz w:val="24"/>
          <w:szCs w:val="24"/>
        </w:rPr>
      </w:pPr>
      <w:r w:rsidRPr="00AC2206">
        <w:rPr>
          <w:rStyle w:val="Zadanifontodlomka4"/>
          <w:rFonts w:ascii="Arial" w:hAnsi="Arial" w:cs="Arial"/>
          <w:color w:val="auto"/>
          <w:sz w:val="24"/>
          <w:szCs w:val="24"/>
        </w:rPr>
        <w:t xml:space="preserve">Izvor 821 - 43.450,00 </w:t>
      </w:r>
      <w:r>
        <w:rPr>
          <w:rStyle w:val="Zadanifontodlomka4"/>
          <w:rFonts w:ascii="Arial" w:hAnsi="Arial" w:cs="Arial"/>
          <w:color w:val="auto"/>
          <w:sz w:val="24"/>
          <w:szCs w:val="24"/>
        </w:rPr>
        <w:t>eura</w:t>
      </w:r>
      <w:r w:rsidRPr="00AC2206">
        <w:rPr>
          <w:rStyle w:val="Zadanifontodlomka4"/>
          <w:rFonts w:ascii="Arial" w:hAnsi="Arial" w:cs="Arial"/>
          <w:color w:val="auto"/>
          <w:sz w:val="24"/>
          <w:szCs w:val="24"/>
        </w:rPr>
        <w:t xml:space="preserve">. Na ovom izvoru ostaju nepotrošena sredstva od projekata „Različito identični“, Akreditacije1,2 i 3 u ukupnom iznosu 43.450,00 </w:t>
      </w:r>
      <w:r>
        <w:rPr>
          <w:rStyle w:val="Zadanifontodlomka4"/>
          <w:rFonts w:ascii="Arial" w:hAnsi="Arial" w:cs="Arial"/>
          <w:color w:val="auto"/>
          <w:sz w:val="24"/>
          <w:szCs w:val="24"/>
        </w:rPr>
        <w:t>eura</w:t>
      </w:r>
      <w:r w:rsidRPr="00AC2206">
        <w:rPr>
          <w:rStyle w:val="Zadanifontodlomka4"/>
          <w:rFonts w:ascii="Arial" w:hAnsi="Arial" w:cs="Arial"/>
          <w:color w:val="auto"/>
          <w:sz w:val="24"/>
          <w:szCs w:val="24"/>
        </w:rPr>
        <w:t xml:space="preserve"> i ista će biti za podmirenje troškova stručnog usavršavanja učitelja i učeničkih mobilnosti. </w:t>
      </w:r>
    </w:p>
    <w:p w14:paraId="1FE284D9" w14:textId="77777777" w:rsidR="00E541EE" w:rsidRPr="00AC2206" w:rsidRDefault="00E541EE" w:rsidP="00E541EE">
      <w:pPr>
        <w:pStyle w:val="Standard"/>
        <w:spacing w:after="0" w:line="240" w:lineRule="auto"/>
        <w:jc w:val="both"/>
        <w:rPr>
          <w:sz w:val="24"/>
          <w:szCs w:val="24"/>
        </w:rPr>
      </w:pPr>
      <w:r w:rsidRPr="00AC2206">
        <w:rPr>
          <w:rFonts w:ascii="Arial" w:hAnsi="Arial" w:cs="Arial"/>
          <w:b/>
          <w:color w:val="auto"/>
          <w:sz w:val="24"/>
          <w:szCs w:val="24"/>
        </w:rPr>
        <w:t>Opći cilj:</w:t>
      </w:r>
      <w:r w:rsidRPr="00AC2206">
        <w:rPr>
          <w:rFonts w:ascii="Arial" w:hAnsi="Arial" w:cs="Arial"/>
          <w:color w:val="auto"/>
          <w:sz w:val="24"/>
          <w:szCs w:val="24"/>
        </w:rPr>
        <w:t xml:space="preserve"> osiguravanje uvjeta za realizaciju dodatnih programa i sadržaja za učenike.</w:t>
      </w:r>
    </w:p>
    <w:p w14:paraId="500F4B1A"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sz w:val="24"/>
          <w:szCs w:val="24"/>
        </w:rPr>
        <w:t>Pokazatelj uspješnosti</w:t>
      </w:r>
      <w:r w:rsidRPr="00AC2206">
        <w:rPr>
          <w:rFonts w:ascii="Arial" w:eastAsia="Times New Roman" w:hAnsi="Arial" w:cs="Arial"/>
          <w:sz w:val="24"/>
          <w:szCs w:val="24"/>
        </w:rPr>
        <w:t>: financirati će se svi materijalni i ostali troškovi koji će omogućiti kvalitetan rad škole.</w:t>
      </w:r>
    </w:p>
    <w:p w14:paraId="75C10F37" w14:textId="77777777" w:rsidR="00E541EE" w:rsidRPr="00AC2206" w:rsidRDefault="00E541EE" w:rsidP="00E541EE">
      <w:pPr>
        <w:jc w:val="both"/>
        <w:rPr>
          <w:rFonts w:ascii="Arial" w:eastAsia="Times New Roman" w:hAnsi="Arial" w:cs="Arial"/>
          <w:sz w:val="24"/>
          <w:szCs w:val="24"/>
        </w:rPr>
      </w:pPr>
    </w:p>
    <w:p w14:paraId="0A71AAF8"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AC2206">
        <w:rPr>
          <w:rFonts w:ascii="Arial" w:eastAsia="Times New Roman" w:hAnsi="Arial" w:cs="Arial"/>
          <w:b/>
          <w:bCs/>
          <w:sz w:val="24"/>
          <w:szCs w:val="24"/>
        </w:rPr>
        <w:t>A 103625: Natjecanja učenika drugi izvor = 3.000,00 EUR</w:t>
      </w:r>
    </w:p>
    <w:p w14:paraId="45B8947B"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sz w:val="24"/>
          <w:szCs w:val="24"/>
        </w:rPr>
        <w:t xml:space="preserve">Zakonska osnova: </w:t>
      </w:r>
      <w:r w:rsidRPr="00AC2206">
        <w:rPr>
          <w:rFonts w:ascii="Arial" w:eastAsia="Times New Roman" w:hAnsi="Arial" w:cs="Arial"/>
          <w:sz w:val="24"/>
          <w:szCs w:val="24"/>
        </w:rPr>
        <w:t>Zakon o odgoju i obrazovanju u osnovnoj i srednjoj školi.</w:t>
      </w:r>
    </w:p>
    <w:p w14:paraId="552508DA"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sz w:val="24"/>
          <w:szCs w:val="24"/>
        </w:rPr>
        <w:t>Opis:</w:t>
      </w:r>
      <w:r w:rsidRPr="00AC2206">
        <w:rPr>
          <w:rFonts w:ascii="Arial" w:eastAsia="Times New Roman" w:hAnsi="Arial" w:cs="Arial"/>
          <w:sz w:val="24"/>
          <w:szCs w:val="24"/>
        </w:rPr>
        <w:t xml:space="preserve"> donacijama fizičkih i pravnih osoba planiraju se podmiriti troškovi sudjelovanja učenika škole u Školi stvaralaštva Novigradsko proljeće. </w:t>
      </w:r>
    </w:p>
    <w:p w14:paraId="08D168B1"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Cs/>
          <w:sz w:val="24"/>
          <w:szCs w:val="24"/>
        </w:rPr>
        <w:t>„</w:t>
      </w:r>
      <w:r w:rsidRPr="00AC2206">
        <w:rPr>
          <w:rFonts w:ascii="Arial" w:eastAsia="Times New Roman" w:hAnsi="Arial" w:cs="Arial"/>
          <w:sz w:val="24"/>
          <w:szCs w:val="24"/>
        </w:rPr>
        <w:t>Novigradsko proljeće“ je škola stvaralaštva namijenjena nadarenim učenicima u području pisane i govorene riječi, ali i u području likovnog i glazbenog stvaralaštva. Naša škola svake godine, na prijedlog učitelja, prijavljuje svoje talentirane učenike. U 2025. godini planiramo prijaviti 10-1</w:t>
      </w:r>
      <w:r>
        <w:rPr>
          <w:rFonts w:ascii="Arial" w:eastAsia="Times New Roman" w:hAnsi="Arial" w:cs="Arial"/>
          <w:sz w:val="24"/>
          <w:szCs w:val="24"/>
        </w:rPr>
        <w:t>5</w:t>
      </w:r>
      <w:r w:rsidRPr="00AC2206">
        <w:rPr>
          <w:rFonts w:ascii="Arial" w:eastAsia="Times New Roman" w:hAnsi="Arial" w:cs="Arial"/>
          <w:sz w:val="24"/>
          <w:szCs w:val="24"/>
        </w:rPr>
        <w:t xml:space="preserve">  učenika.</w:t>
      </w:r>
    </w:p>
    <w:p w14:paraId="64AA0B71"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sz w:val="24"/>
          <w:szCs w:val="24"/>
        </w:rPr>
        <w:t>Opći cilj:</w:t>
      </w:r>
      <w:r w:rsidRPr="00AC2206">
        <w:rPr>
          <w:rFonts w:ascii="Arial" w:eastAsia="Times New Roman" w:hAnsi="Arial" w:cs="Arial"/>
          <w:sz w:val="24"/>
          <w:szCs w:val="24"/>
        </w:rPr>
        <w:t xml:space="preserve"> osiguranje sudjelovanja nadarenih učenika u školi stvaralaštva.</w:t>
      </w:r>
    </w:p>
    <w:p w14:paraId="6A85D048"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sz w:val="24"/>
          <w:szCs w:val="24"/>
        </w:rPr>
        <w:t>Pokazatelj uspješnosti:</w:t>
      </w:r>
      <w:r w:rsidRPr="00AC2206">
        <w:rPr>
          <w:rFonts w:ascii="Arial" w:eastAsia="Times New Roman" w:hAnsi="Arial" w:cs="Arial"/>
          <w:sz w:val="24"/>
          <w:szCs w:val="24"/>
        </w:rPr>
        <w:t xml:space="preserve"> kroz projekt škole stvaralaštva nadareni učenici će biti glavni nositelji provedbenih aktivnosti vezanih uz realizaciju glazbeno scenskog programa  </w:t>
      </w:r>
      <w:r w:rsidRPr="00AC2206">
        <w:rPr>
          <w:rFonts w:ascii="Arial" w:eastAsia="Times New Roman" w:hAnsi="Arial" w:cs="Arial"/>
          <w:bCs/>
          <w:sz w:val="24"/>
          <w:szCs w:val="24"/>
        </w:rPr>
        <w:t>„</w:t>
      </w:r>
      <w:r w:rsidRPr="00AC2206">
        <w:rPr>
          <w:rFonts w:ascii="Arial" w:eastAsia="Times New Roman" w:hAnsi="Arial" w:cs="Arial"/>
          <w:sz w:val="24"/>
          <w:szCs w:val="24"/>
        </w:rPr>
        <w:t>Dana škole“.</w:t>
      </w:r>
    </w:p>
    <w:p w14:paraId="2A943904" w14:textId="77777777" w:rsidR="00E541EE" w:rsidRPr="00AC2206" w:rsidRDefault="00E541EE" w:rsidP="00E541EE">
      <w:pPr>
        <w:autoSpaceDE w:val="0"/>
        <w:autoSpaceDN w:val="0"/>
        <w:adjustRightInd w:val="0"/>
        <w:jc w:val="both"/>
        <w:rPr>
          <w:rFonts w:ascii="Arial" w:eastAsia="Times New Roman" w:hAnsi="Arial" w:cs="Arial"/>
          <w:bCs/>
          <w:color w:val="000000"/>
          <w:sz w:val="24"/>
          <w:szCs w:val="24"/>
        </w:rPr>
      </w:pPr>
    </w:p>
    <w:p w14:paraId="135C26A6"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sz w:val="24"/>
          <w:szCs w:val="24"/>
        </w:rPr>
      </w:pPr>
      <w:r w:rsidRPr="00AC2206">
        <w:rPr>
          <w:rFonts w:ascii="Arial" w:eastAsia="Times New Roman" w:hAnsi="Arial" w:cs="Arial"/>
          <w:b/>
          <w:sz w:val="24"/>
          <w:szCs w:val="24"/>
        </w:rPr>
        <w:t>T 103611: Školska shema = 6.000,00 EUR</w:t>
      </w:r>
    </w:p>
    <w:p w14:paraId="514359C3"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sz w:val="24"/>
          <w:szCs w:val="24"/>
        </w:rPr>
        <w:t xml:space="preserve">Zakonska osnova: </w:t>
      </w:r>
      <w:r w:rsidRPr="00AC2206">
        <w:rPr>
          <w:rFonts w:ascii="Arial" w:eastAsia="Times New Roman" w:hAnsi="Arial" w:cs="Arial"/>
          <w:sz w:val="24"/>
          <w:szCs w:val="24"/>
        </w:rPr>
        <w:t>Zakon o lokalnoj i područnoj (regionalnoj) samoupravi,</w:t>
      </w:r>
      <w:r w:rsidRPr="00AC2206">
        <w:rPr>
          <w:rFonts w:ascii="Arial" w:eastAsia="Times New Roman" w:hAnsi="Arial" w:cs="Arial"/>
          <w:b/>
          <w:sz w:val="24"/>
          <w:szCs w:val="24"/>
        </w:rPr>
        <w:t xml:space="preserve"> </w:t>
      </w:r>
      <w:r w:rsidRPr="00AC2206">
        <w:rPr>
          <w:rFonts w:ascii="Arial" w:eastAsia="Times New Roman" w:hAnsi="Arial" w:cs="Arial"/>
          <w:sz w:val="24"/>
          <w:szCs w:val="24"/>
        </w:rPr>
        <w:t>Zakon o odgoju i obrazovanju u osnovnoj i srednjoj školi, Pravilnik o školskoj shemi voća i povrća te mlijeka i mliječnih proizvoda.</w:t>
      </w:r>
    </w:p>
    <w:p w14:paraId="1FD7752B" w14:textId="77777777" w:rsidR="00E541EE" w:rsidRPr="00AC2206" w:rsidRDefault="00E541EE" w:rsidP="00E541EE">
      <w:pPr>
        <w:jc w:val="both"/>
        <w:rPr>
          <w:rFonts w:ascii="Arial" w:eastAsia="Times New Roman" w:hAnsi="Arial" w:cs="Arial"/>
          <w:bCs/>
          <w:sz w:val="24"/>
          <w:szCs w:val="24"/>
        </w:rPr>
      </w:pPr>
      <w:r w:rsidRPr="00AC2206">
        <w:rPr>
          <w:rFonts w:ascii="Arial" w:eastAsia="Times New Roman" w:hAnsi="Arial" w:cs="Arial"/>
          <w:b/>
          <w:sz w:val="24"/>
          <w:szCs w:val="24"/>
        </w:rPr>
        <w:t>Opis</w:t>
      </w:r>
      <w:r w:rsidRPr="00AC2206">
        <w:rPr>
          <w:rFonts w:ascii="Arial" w:eastAsia="Times New Roman" w:hAnsi="Arial" w:cs="Arial"/>
          <w:bCs/>
          <w:sz w:val="24"/>
          <w:szCs w:val="24"/>
        </w:rPr>
        <w:t xml:space="preserve"> </w:t>
      </w:r>
      <w:r w:rsidRPr="00AC2206">
        <w:rPr>
          <w:rFonts w:ascii="Arial" w:eastAsia="Times New Roman" w:hAnsi="Arial" w:cs="Arial"/>
          <w:bCs/>
          <w:sz w:val="24"/>
          <w:szCs w:val="24"/>
          <w:lang w:bidi="mr-IN"/>
        </w:rPr>
        <w:t xml:space="preserve">Škola je uključena u projekt „Školske sheme“ kojim se osiguravaju  mlijeko i mliječne proizvode, te voće i povrće (jednom tjedno za sve učenike škole)  kako bi učenici stekli naviku konzumiranja navedenih artikala. Obzirom na količine po učeniku i broj radnih tjedana predviđa se da će za isto biti potrebno osigurati 6.000,00 </w:t>
      </w:r>
      <w:r>
        <w:rPr>
          <w:rFonts w:ascii="Arial" w:eastAsia="Times New Roman" w:hAnsi="Arial" w:cs="Arial"/>
          <w:bCs/>
          <w:sz w:val="24"/>
          <w:szCs w:val="24"/>
          <w:lang w:bidi="mr-IN"/>
        </w:rPr>
        <w:t>eura</w:t>
      </w:r>
      <w:r w:rsidRPr="00AC2206">
        <w:rPr>
          <w:rFonts w:ascii="Arial" w:eastAsia="Times New Roman" w:hAnsi="Arial" w:cs="Arial"/>
          <w:bCs/>
          <w:sz w:val="24"/>
          <w:szCs w:val="24"/>
          <w:lang w:bidi="mr-IN"/>
        </w:rPr>
        <w:t>.</w:t>
      </w:r>
    </w:p>
    <w:p w14:paraId="27B6B89B"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sz w:val="24"/>
          <w:szCs w:val="24"/>
        </w:rPr>
        <w:t xml:space="preserve">Opći cilj: </w:t>
      </w:r>
      <w:r w:rsidRPr="00AC2206">
        <w:rPr>
          <w:rFonts w:ascii="Arial" w:eastAsia="Times New Roman" w:hAnsi="Arial" w:cs="Arial"/>
          <w:sz w:val="24"/>
          <w:szCs w:val="24"/>
        </w:rPr>
        <w:t>usvajanje pravilnih prehrambenih navika kod učenika.</w:t>
      </w:r>
    </w:p>
    <w:p w14:paraId="27D4DED0"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sz w:val="24"/>
          <w:szCs w:val="24"/>
        </w:rPr>
        <w:t xml:space="preserve">Pokazatelj uspješnosti: </w:t>
      </w:r>
      <w:r w:rsidRPr="00AC2206">
        <w:rPr>
          <w:rFonts w:ascii="Arial" w:eastAsia="Times New Roman" w:hAnsi="Arial" w:cs="Arial"/>
          <w:sz w:val="24"/>
          <w:szCs w:val="24"/>
        </w:rPr>
        <w:t>financirati će se unos svježeg voća i povrća te mlijeka i mliječnih proizvoda te će se na taj način podignuti svijest o značaju zdrave prehrane kod školske djece.</w:t>
      </w:r>
    </w:p>
    <w:p w14:paraId="2C749680" w14:textId="77777777" w:rsidR="00E541EE" w:rsidRPr="00AC2206" w:rsidRDefault="00E541EE" w:rsidP="00E541EE">
      <w:pPr>
        <w:autoSpaceDE w:val="0"/>
        <w:autoSpaceDN w:val="0"/>
        <w:adjustRightInd w:val="0"/>
        <w:jc w:val="both"/>
        <w:rPr>
          <w:rFonts w:ascii="Arial" w:eastAsia="Times New Roman" w:hAnsi="Arial" w:cs="Arial"/>
          <w:bCs/>
          <w:sz w:val="24"/>
          <w:szCs w:val="24"/>
        </w:rPr>
      </w:pPr>
    </w:p>
    <w:p w14:paraId="0FBE642D"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sz w:val="24"/>
          <w:szCs w:val="24"/>
        </w:rPr>
      </w:pPr>
      <w:r w:rsidRPr="00AC2206">
        <w:rPr>
          <w:rFonts w:ascii="Arial" w:eastAsia="Times New Roman" w:hAnsi="Arial" w:cs="Arial"/>
          <w:b/>
          <w:sz w:val="24"/>
          <w:szCs w:val="24"/>
        </w:rPr>
        <w:t>A 103626: Zavičajna nastava = 1.300,00 EUR</w:t>
      </w:r>
    </w:p>
    <w:p w14:paraId="1615C441"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Zakonska osnova</w:t>
      </w:r>
      <w:r w:rsidRPr="00AC2206">
        <w:rPr>
          <w:rFonts w:ascii="Arial" w:eastAsia="Times New Roman" w:hAnsi="Arial" w:cs="Arial"/>
          <w:bCs/>
          <w:sz w:val="24"/>
          <w:szCs w:val="24"/>
        </w:rPr>
        <w:t>: Zakon o odgoju i obrazovanju u osnovnoj i srednjoj školi.</w:t>
      </w:r>
    </w:p>
    <w:p w14:paraId="5C16A40A" w14:textId="77777777" w:rsidR="00E541EE" w:rsidRPr="009C3C6E" w:rsidRDefault="00E541EE" w:rsidP="00E541EE">
      <w:pPr>
        <w:pStyle w:val="Standard"/>
        <w:spacing w:before="0" w:after="0" w:line="240" w:lineRule="auto"/>
        <w:jc w:val="both"/>
        <w:rPr>
          <w:sz w:val="24"/>
          <w:szCs w:val="24"/>
        </w:rPr>
      </w:pPr>
      <w:r w:rsidRPr="00AC2206">
        <w:rPr>
          <w:rFonts w:ascii="Arial" w:eastAsia="Times New Roman" w:hAnsi="Arial" w:cs="Arial"/>
          <w:b/>
          <w:color w:val="auto"/>
          <w:sz w:val="24"/>
          <w:szCs w:val="24"/>
        </w:rPr>
        <w:t>Opis:</w:t>
      </w:r>
      <w:r w:rsidRPr="00AC2206">
        <w:rPr>
          <w:rFonts w:ascii="Arial" w:eastAsia="Times New Roman" w:hAnsi="Arial" w:cs="Arial"/>
          <w:color w:val="auto"/>
          <w:sz w:val="24"/>
          <w:szCs w:val="24"/>
        </w:rPr>
        <w:t xml:space="preserve"> </w:t>
      </w:r>
      <w:r w:rsidRPr="009C3C6E">
        <w:rPr>
          <w:rFonts w:ascii="Arial" w:hAnsi="Arial" w:cs="Arial"/>
          <w:color w:val="000000"/>
          <w:sz w:val="24"/>
          <w:szCs w:val="24"/>
        </w:rPr>
        <w:t>Škola će se uključiti i ove godine u realizaciju projekta “Institucionalizacija zavičajne nastave IŽ“ projektom „Ljekovito bilje našega kraja“</w:t>
      </w:r>
      <w:r w:rsidRPr="009C3C6E">
        <w:rPr>
          <w:rFonts w:ascii="Arial" w:hAnsi="Arial" w:cs="Arial"/>
          <w:bCs/>
          <w:color w:val="000000"/>
          <w:sz w:val="24"/>
          <w:szCs w:val="24"/>
        </w:rPr>
        <w:t xml:space="preserve"> te će biti potrebno 1.300,00 </w:t>
      </w:r>
      <w:r>
        <w:rPr>
          <w:rFonts w:ascii="Arial" w:hAnsi="Arial" w:cs="Arial"/>
          <w:bCs/>
          <w:color w:val="000000"/>
          <w:sz w:val="24"/>
          <w:szCs w:val="24"/>
        </w:rPr>
        <w:t>eura</w:t>
      </w:r>
      <w:r w:rsidRPr="009C3C6E">
        <w:rPr>
          <w:rFonts w:ascii="Arial" w:hAnsi="Arial" w:cs="Arial"/>
          <w:bCs/>
          <w:color w:val="000000"/>
          <w:sz w:val="24"/>
          <w:szCs w:val="24"/>
        </w:rPr>
        <w:t xml:space="preserve"> za troškove prijevoza učenika na terensku nastavu, tiskanje edukativnih materijala, nabavku potrošnog materijala za kreativne radionice, a financirat će se sredstvima Županije.</w:t>
      </w:r>
    </w:p>
    <w:p w14:paraId="6B9FF6D6" w14:textId="77777777" w:rsidR="00E541EE" w:rsidRPr="00AC2206" w:rsidRDefault="00E541EE" w:rsidP="00E541EE">
      <w:pPr>
        <w:pStyle w:val="Standard"/>
        <w:spacing w:after="0" w:line="240" w:lineRule="auto"/>
        <w:jc w:val="both"/>
        <w:rPr>
          <w:sz w:val="24"/>
          <w:szCs w:val="24"/>
        </w:rPr>
      </w:pPr>
      <w:r w:rsidRPr="00AC2206">
        <w:rPr>
          <w:rFonts w:ascii="Arial" w:eastAsia="Times New Roman" w:hAnsi="Arial" w:cs="Arial"/>
          <w:b/>
          <w:bCs/>
          <w:color w:val="auto"/>
          <w:sz w:val="24"/>
          <w:szCs w:val="24"/>
        </w:rPr>
        <w:t>Opći cilj:</w:t>
      </w:r>
      <w:r w:rsidRPr="00AC2206">
        <w:rPr>
          <w:rFonts w:ascii="Arial" w:eastAsia="Times New Roman" w:hAnsi="Arial" w:cs="Arial"/>
          <w:bCs/>
          <w:color w:val="auto"/>
          <w:sz w:val="24"/>
          <w:szCs w:val="24"/>
        </w:rPr>
        <w:t xml:space="preserve"> formiranje institucionalnog oblika očuvanja istarskog zavičajnog identiteta.</w:t>
      </w:r>
    </w:p>
    <w:p w14:paraId="72CD5C76" w14:textId="77777777" w:rsidR="00E541EE" w:rsidRPr="00AC2206" w:rsidRDefault="00E541EE" w:rsidP="00E541EE">
      <w:pPr>
        <w:jc w:val="both"/>
        <w:rPr>
          <w:rFonts w:ascii="Arial" w:eastAsia="Times New Roman" w:hAnsi="Arial" w:cs="Arial"/>
          <w:bCs/>
          <w:sz w:val="24"/>
          <w:szCs w:val="24"/>
        </w:rPr>
      </w:pPr>
      <w:r w:rsidRPr="00AC2206">
        <w:rPr>
          <w:rFonts w:ascii="Arial" w:eastAsia="Times New Roman" w:hAnsi="Arial" w:cs="Arial"/>
          <w:b/>
          <w:bCs/>
          <w:sz w:val="24"/>
          <w:szCs w:val="24"/>
        </w:rPr>
        <w:t>Pokazatelj uspješnosti:</w:t>
      </w:r>
      <w:r w:rsidRPr="00AC2206">
        <w:rPr>
          <w:rFonts w:ascii="Arial" w:eastAsia="Times New Roman" w:hAnsi="Arial" w:cs="Arial"/>
          <w:bCs/>
          <w:sz w:val="24"/>
          <w:szCs w:val="24"/>
        </w:rPr>
        <w:t xml:space="preserve"> realizacijom aktivnosti koja će kod učenika dobiti na važnosti osvješćivanja očuvanja tradicije i kulture  zavičaja u kojem živimo.</w:t>
      </w:r>
    </w:p>
    <w:p w14:paraId="4B610A49" w14:textId="77777777" w:rsidR="00E541EE" w:rsidRPr="00AC2206" w:rsidRDefault="00E541EE" w:rsidP="00E541EE">
      <w:pPr>
        <w:jc w:val="both"/>
        <w:rPr>
          <w:rFonts w:ascii="Arial" w:eastAsia="Times New Roman" w:hAnsi="Arial" w:cs="Arial"/>
          <w:sz w:val="24"/>
          <w:szCs w:val="24"/>
        </w:rPr>
      </w:pPr>
    </w:p>
    <w:p w14:paraId="64D47041"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sz w:val="24"/>
          <w:szCs w:val="24"/>
        </w:rPr>
      </w:pPr>
      <w:r w:rsidRPr="00AC2206">
        <w:rPr>
          <w:rFonts w:ascii="Arial" w:eastAsia="Times New Roman" w:hAnsi="Arial" w:cs="Arial"/>
          <w:b/>
          <w:sz w:val="24"/>
          <w:szCs w:val="24"/>
        </w:rPr>
        <w:t>K 103604: Nabava školskih udžbenika = 6</w:t>
      </w:r>
      <w:r>
        <w:rPr>
          <w:rFonts w:ascii="Arial" w:eastAsia="Times New Roman" w:hAnsi="Arial" w:cs="Arial"/>
          <w:b/>
          <w:sz w:val="24"/>
          <w:szCs w:val="24"/>
        </w:rPr>
        <w:t>0</w:t>
      </w:r>
      <w:r w:rsidRPr="00AC2206">
        <w:rPr>
          <w:rFonts w:ascii="Arial" w:eastAsia="Times New Roman" w:hAnsi="Arial" w:cs="Arial"/>
          <w:b/>
          <w:sz w:val="24"/>
          <w:szCs w:val="24"/>
        </w:rPr>
        <w:t>.000,00 EUR</w:t>
      </w:r>
    </w:p>
    <w:p w14:paraId="44E3505E" w14:textId="77777777" w:rsidR="00E541EE" w:rsidRPr="00AC2206" w:rsidRDefault="00E541EE" w:rsidP="00E541EE">
      <w:pPr>
        <w:autoSpaceDE w:val="0"/>
        <w:autoSpaceDN w:val="0"/>
        <w:adjustRightInd w:val="0"/>
        <w:contextualSpacing/>
        <w:jc w:val="both"/>
        <w:rPr>
          <w:rFonts w:ascii="Arial" w:eastAsia="Times New Roman" w:hAnsi="Arial" w:cs="Arial"/>
          <w:bCs/>
          <w:sz w:val="24"/>
          <w:szCs w:val="24"/>
        </w:rPr>
      </w:pPr>
      <w:r w:rsidRPr="00AC2206">
        <w:rPr>
          <w:rFonts w:ascii="Arial" w:eastAsia="Times New Roman" w:hAnsi="Arial" w:cs="Arial"/>
          <w:b/>
          <w:bCs/>
          <w:sz w:val="24"/>
          <w:szCs w:val="24"/>
        </w:rPr>
        <w:t>Zakonska osnova</w:t>
      </w:r>
      <w:r w:rsidRPr="00AC2206">
        <w:rPr>
          <w:rFonts w:ascii="Arial" w:eastAsia="Times New Roman" w:hAnsi="Arial" w:cs="Arial"/>
          <w:bCs/>
          <w:sz w:val="24"/>
          <w:szCs w:val="24"/>
        </w:rPr>
        <w:t>: Zakon o odgoju i obrazovanju u osnovnoj i srednjoj školi, Zakon o udžbenicima i drugim obrazovnim materijalima za osnovnu i srednju školu.</w:t>
      </w:r>
    </w:p>
    <w:p w14:paraId="5F8F0F6C" w14:textId="77777777" w:rsidR="00E541EE" w:rsidRPr="00AC2206" w:rsidRDefault="00E541EE" w:rsidP="00E541EE">
      <w:pPr>
        <w:autoSpaceDE w:val="0"/>
        <w:autoSpaceDN w:val="0"/>
        <w:adjustRightInd w:val="0"/>
        <w:jc w:val="both"/>
        <w:rPr>
          <w:rFonts w:ascii="Arial" w:eastAsia="Times New Roman" w:hAnsi="Arial" w:cs="Arial"/>
          <w:bCs/>
          <w:sz w:val="24"/>
          <w:szCs w:val="24"/>
        </w:rPr>
      </w:pPr>
      <w:r w:rsidRPr="00AC2206">
        <w:rPr>
          <w:rFonts w:ascii="Arial" w:eastAsia="Times New Roman" w:hAnsi="Arial" w:cs="Arial"/>
          <w:b/>
          <w:sz w:val="24"/>
          <w:szCs w:val="24"/>
        </w:rPr>
        <w:t>Opis:</w:t>
      </w:r>
      <w:r w:rsidRPr="00AC2206">
        <w:rPr>
          <w:rFonts w:ascii="Arial" w:eastAsia="Times New Roman" w:hAnsi="Arial" w:cs="Arial"/>
          <w:sz w:val="24"/>
          <w:szCs w:val="24"/>
        </w:rPr>
        <w:t xml:space="preserve"> </w:t>
      </w:r>
      <w:r w:rsidRPr="00AC2206">
        <w:rPr>
          <w:rFonts w:ascii="Arial" w:eastAsia="Times New Roman" w:hAnsi="Arial" w:cs="Arial"/>
          <w:bCs/>
          <w:sz w:val="24"/>
          <w:szCs w:val="24"/>
        </w:rPr>
        <w:t>sredstvima Državnog proračuna osigurava se nabava udžbenika za učenike škole u skladu sa Zakonom o udžbenicima i drugim obrazovnim materijalima za osnovnu i srednju školu.</w:t>
      </w:r>
    </w:p>
    <w:p w14:paraId="0E4F83F2" w14:textId="77777777" w:rsidR="00E541EE" w:rsidRPr="00AC2206" w:rsidRDefault="00E541EE" w:rsidP="00E541EE">
      <w:pPr>
        <w:autoSpaceDE w:val="0"/>
        <w:autoSpaceDN w:val="0"/>
        <w:adjustRightInd w:val="0"/>
        <w:jc w:val="both"/>
        <w:rPr>
          <w:rFonts w:ascii="Arial" w:eastAsia="Times New Roman" w:hAnsi="Arial" w:cs="Arial"/>
          <w:bCs/>
          <w:sz w:val="24"/>
          <w:szCs w:val="24"/>
        </w:rPr>
      </w:pPr>
      <w:r w:rsidRPr="00AC2206">
        <w:rPr>
          <w:rFonts w:ascii="Arial" w:eastAsia="Times New Roman" w:hAnsi="Arial" w:cs="Arial"/>
          <w:b/>
          <w:bCs/>
          <w:sz w:val="24"/>
          <w:szCs w:val="24"/>
        </w:rPr>
        <w:t>Opći cilj:</w:t>
      </w:r>
      <w:r w:rsidRPr="00AC2206">
        <w:rPr>
          <w:rFonts w:ascii="Arial" w:eastAsia="Times New Roman" w:hAnsi="Arial" w:cs="Arial"/>
          <w:bCs/>
          <w:sz w:val="24"/>
          <w:szCs w:val="24"/>
        </w:rPr>
        <w:t xml:space="preserve"> nabava udžbenika za učenike škole.</w:t>
      </w:r>
    </w:p>
    <w:p w14:paraId="1B8588FF" w14:textId="77777777" w:rsidR="00E541EE" w:rsidRPr="00AC2206" w:rsidRDefault="00E541EE" w:rsidP="00E541EE">
      <w:pPr>
        <w:autoSpaceDE w:val="0"/>
        <w:autoSpaceDN w:val="0"/>
        <w:adjustRightInd w:val="0"/>
        <w:jc w:val="both"/>
        <w:rPr>
          <w:rFonts w:ascii="Arial" w:eastAsia="Times New Roman" w:hAnsi="Arial" w:cs="Arial"/>
          <w:bCs/>
          <w:sz w:val="24"/>
          <w:szCs w:val="24"/>
        </w:rPr>
      </w:pPr>
      <w:r w:rsidRPr="00AC2206">
        <w:rPr>
          <w:rFonts w:ascii="Arial" w:eastAsia="Times New Roman" w:hAnsi="Arial" w:cs="Arial"/>
          <w:b/>
          <w:bCs/>
          <w:sz w:val="24"/>
          <w:szCs w:val="24"/>
        </w:rPr>
        <w:t xml:space="preserve">Pokazatelj uspješnosti: </w:t>
      </w:r>
      <w:r w:rsidRPr="00AC2206">
        <w:rPr>
          <w:rFonts w:ascii="Arial" w:eastAsia="Times New Roman" w:hAnsi="Arial" w:cs="Arial"/>
          <w:bCs/>
          <w:sz w:val="24"/>
          <w:szCs w:val="24"/>
        </w:rPr>
        <w:t>nabavljeni udžbenici za učenike škole.</w:t>
      </w:r>
    </w:p>
    <w:p w14:paraId="6CE56D4F" w14:textId="77777777" w:rsidR="00E541EE" w:rsidRPr="00AC2206" w:rsidRDefault="00E541EE" w:rsidP="00E541EE">
      <w:pPr>
        <w:autoSpaceDE w:val="0"/>
        <w:autoSpaceDN w:val="0"/>
        <w:adjustRightInd w:val="0"/>
        <w:jc w:val="both"/>
        <w:rPr>
          <w:rFonts w:ascii="Arial" w:eastAsia="Times New Roman" w:hAnsi="Arial" w:cs="Arial"/>
          <w:bCs/>
          <w:sz w:val="24"/>
          <w:szCs w:val="24"/>
        </w:rPr>
      </w:pPr>
    </w:p>
    <w:p w14:paraId="389F6543"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AC2206">
        <w:rPr>
          <w:rFonts w:ascii="Arial" w:eastAsia="Times New Roman" w:hAnsi="Arial" w:cs="Arial"/>
          <w:b/>
          <w:bCs/>
          <w:sz w:val="24"/>
          <w:szCs w:val="24"/>
        </w:rPr>
        <w:t xml:space="preserve">A 103632: Nabava radnih bilježnica = </w:t>
      </w:r>
      <w:r>
        <w:rPr>
          <w:rFonts w:ascii="Arial" w:eastAsia="Times New Roman" w:hAnsi="Arial" w:cs="Arial"/>
          <w:b/>
          <w:bCs/>
          <w:sz w:val="24"/>
          <w:szCs w:val="24"/>
        </w:rPr>
        <w:t>70</w:t>
      </w:r>
      <w:r w:rsidRPr="00AC2206">
        <w:rPr>
          <w:rFonts w:ascii="Arial" w:eastAsia="Times New Roman" w:hAnsi="Arial" w:cs="Arial"/>
          <w:b/>
          <w:bCs/>
          <w:sz w:val="24"/>
          <w:szCs w:val="24"/>
        </w:rPr>
        <w:t>.</w:t>
      </w:r>
      <w:r>
        <w:rPr>
          <w:rFonts w:ascii="Arial" w:eastAsia="Times New Roman" w:hAnsi="Arial" w:cs="Arial"/>
          <w:b/>
          <w:bCs/>
          <w:sz w:val="24"/>
          <w:szCs w:val="24"/>
        </w:rPr>
        <w:t>5</w:t>
      </w:r>
      <w:r w:rsidRPr="00AC2206">
        <w:rPr>
          <w:rFonts w:ascii="Arial" w:eastAsia="Times New Roman" w:hAnsi="Arial" w:cs="Arial"/>
          <w:b/>
          <w:bCs/>
          <w:sz w:val="24"/>
          <w:szCs w:val="24"/>
        </w:rPr>
        <w:t>00,00 EUR</w:t>
      </w:r>
    </w:p>
    <w:p w14:paraId="55FC9507" w14:textId="77777777" w:rsidR="00E541EE" w:rsidRPr="00AC2206" w:rsidRDefault="00E541EE" w:rsidP="00E541EE">
      <w:pPr>
        <w:autoSpaceDE w:val="0"/>
        <w:autoSpaceDN w:val="0"/>
        <w:adjustRightInd w:val="0"/>
        <w:contextualSpacing/>
        <w:jc w:val="both"/>
        <w:rPr>
          <w:rFonts w:ascii="Arial" w:eastAsia="Times New Roman" w:hAnsi="Arial" w:cs="Arial"/>
          <w:bCs/>
          <w:sz w:val="24"/>
          <w:szCs w:val="24"/>
        </w:rPr>
      </w:pPr>
      <w:r w:rsidRPr="00AC2206">
        <w:rPr>
          <w:rFonts w:ascii="Arial" w:eastAsia="Times New Roman" w:hAnsi="Arial" w:cs="Arial"/>
          <w:b/>
          <w:bCs/>
          <w:sz w:val="24"/>
          <w:szCs w:val="24"/>
        </w:rPr>
        <w:t>Zakonska osnova</w:t>
      </w:r>
      <w:r w:rsidRPr="00AC2206">
        <w:rPr>
          <w:rFonts w:ascii="Arial" w:eastAsia="Times New Roman" w:hAnsi="Arial" w:cs="Arial"/>
          <w:bCs/>
          <w:sz w:val="24"/>
          <w:szCs w:val="24"/>
        </w:rPr>
        <w:t>: Zakon o odgoju i obrazovanju u osnovnoj i srednjoj školi, Zakon o udžbenicima i drugim obrazovnim materijalima za osnovnu i srednju školu.</w:t>
      </w:r>
    </w:p>
    <w:p w14:paraId="55EE17A4"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sz w:val="24"/>
          <w:szCs w:val="24"/>
        </w:rPr>
        <w:t>Opis:</w:t>
      </w:r>
      <w:r w:rsidRPr="00AC2206">
        <w:rPr>
          <w:rFonts w:ascii="Arial" w:eastAsia="Times New Roman" w:hAnsi="Arial" w:cs="Arial"/>
          <w:sz w:val="24"/>
          <w:szCs w:val="24"/>
        </w:rPr>
        <w:t xml:space="preserve"> i</w:t>
      </w:r>
      <w:r w:rsidRPr="00AC2206">
        <w:rPr>
          <w:rFonts w:ascii="Arial" w:hAnsi="Arial" w:cs="Arial"/>
          <w:sz w:val="24"/>
          <w:szCs w:val="24"/>
        </w:rPr>
        <w:t>z</w:t>
      </w:r>
      <w:r>
        <w:rPr>
          <w:rFonts w:ascii="Arial" w:hAnsi="Arial" w:cs="Arial"/>
          <w:sz w:val="24"/>
          <w:szCs w:val="24"/>
        </w:rPr>
        <w:t xml:space="preserve"> sredstava </w:t>
      </w:r>
      <w:r w:rsidRPr="00AC2206">
        <w:rPr>
          <w:rFonts w:ascii="Arial" w:hAnsi="Arial" w:cs="Arial"/>
          <w:sz w:val="24"/>
          <w:szCs w:val="24"/>
        </w:rPr>
        <w:t>gradsk</w:t>
      </w:r>
      <w:r>
        <w:rPr>
          <w:rFonts w:ascii="Arial" w:hAnsi="Arial" w:cs="Arial"/>
          <w:sz w:val="24"/>
          <w:szCs w:val="24"/>
        </w:rPr>
        <w:t>og</w:t>
      </w:r>
      <w:r w:rsidRPr="00AC2206">
        <w:rPr>
          <w:rFonts w:ascii="Arial" w:hAnsi="Arial" w:cs="Arial"/>
          <w:sz w:val="24"/>
          <w:szCs w:val="24"/>
        </w:rPr>
        <w:t xml:space="preserve"> </w:t>
      </w:r>
      <w:r>
        <w:rPr>
          <w:rFonts w:ascii="Arial" w:hAnsi="Arial" w:cs="Arial"/>
          <w:sz w:val="24"/>
          <w:szCs w:val="24"/>
        </w:rPr>
        <w:t>p</w:t>
      </w:r>
      <w:r w:rsidRPr="00AC2206">
        <w:rPr>
          <w:rFonts w:ascii="Arial" w:hAnsi="Arial" w:cs="Arial"/>
          <w:sz w:val="24"/>
          <w:szCs w:val="24"/>
        </w:rPr>
        <w:t>roračun</w:t>
      </w:r>
      <w:r>
        <w:rPr>
          <w:rFonts w:ascii="Arial" w:hAnsi="Arial" w:cs="Arial"/>
          <w:sz w:val="24"/>
          <w:szCs w:val="24"/>
        </w:rPr>
        <w:t>a</w:t>
      </w:r>
      <w:r w:rsidRPr="00AC2206">
        <w:rPr>
          <w:rFonts w:ascii="Arial" w:hAnsi="Arial" w:cs="Arial"/>
          <w:sz w:val="24"/>
          <w:szCs w:val="24"/>
        </w:rPr>
        <w:t xml:space="preserve"> za nabavu radnih bilježnica u školskoj 2025./2026. godini izdvojit će se </w:t>
      </w:r>
      <w:r>
        <w:rPr>
          <w:rFonts w:ascii="Arial" w:hAnsi="Arial" w:cs="Arial"/>
          <w:sz w:val="24"/>
          <w:szCs w:val="24"/>
        </w:rPr>
        <w:t>60</w:t>
      </w:r>
      <w:r w:rsidRPr="00AC2206">
        <w:rPr>
          <w:rFonts w:ascii="Arial" w:hAnsi="Arial" w:cs="Arial"/>
          <w:sz w:val="24"/>
          <w:szCs w:val="24"/>
        </w:rPr>
        <w:t xml:space="preserve">.000,00 </w:t>
      </w:r>
      <w:r>
        <w:rPr>
          <w:rFonts w:ascii="Arial" w:hAnsi="Arial" w:cs="Arial"/>
          <w:sz w:val="24"/>
          <w:szCs w:val="24"/>
        </w:rPr>
        <w:t>eura</w:t>
      </w:r>
      <w:r w:rsidRPr="00AC2206">
        <w:rPr>
          <w:rFonts w:ascii="Arial" w:hAnsi="Arial" w:cs="Arial"/>
          <w:sz w:val="24"/>
          <w:szCs w:val="24"/>
        </w:rPr>
        <w:t xml:space="preserve">  a iz </w:t>
      </w:r>
      <w:r>
        <w:rPr>
          <w:rFonts w:ascii="Arial" w:hAnsi="Arial" w:cs="Arial"/>
          <w:sz w:val="24"/>
          <w:szCs w:val="24"/>
        </w:rPr>
        <w:t>sredstava</w:t>
      </w:r>
      <w:r w:rsidRPr="00AC2206">
        <w:rPr>
          <w:rFonts w:ascii="Arial" w:hAnsi="Arial" w:cs="Arial"/>
          <w:sz w:val="24"/>
          <w:szCs w:val="24"/>
        </w:rPr>
        <w:t xml:space="preserve"> općin</w:t>
      </w:r>
      <w:r>
        <w:rPr>
          <w:rFonts w:ascii="Arial" w:hAnsi="Arial" w:cs="Arial"/>
          <w:sz w:val="24"/>
          <w:szCs w:val="24"/>
        </w:rPr>
        <w:t>e</w:t>
      </w:r>
      <w:r w:rsidRPr="00AC2206">
        <w:rPr>
          <w:rFonts w:ascii="Arial" w:hAnsi="Arial" w:cs="Arial"/>
          <w:sz w:val="24"/>
          <w:szCs w:val="24"/>
        </w:rPr>
        <w:t xml:space="preserve"> Bale i općina Kanfanar) iznos od </w:t>
      </w:r>
      <w:r>
        <w:rPr>
          <w:rFonts w:ascii="Arial" w:hAnsi="Arial" w:cs="Arial"/>
          <w:sz w:val="24"/>
          <w:szCs w:val="24"/>
        </w:rPr>
        <w:t>10</w:t>
      </w:r>
      <w:r w:rsidRPr="00AC2206">
        <w:rPr>
          <w:rFonts w:ascii="Arial" w:hAnsi="Arial" w:cs="Arial"/>
          <w:sz w:val="24"/>
          <w:szCs w:val="24"/>
        </w:rPr>
        <w:t>.</w:t>
      </w:r>
      <w:r>
        <w:rPr>
          <w:rFonts w:ascii="Arial" w:hAnsi="Arial" w:cs="Arial"/>
          <w:sz w:val="24"/>
          <w:szCs w:val="24"/>
        </w:rPr>
        <w:t>5</w:t>
      </w:r>
      <w:r w:rsidRPr="00AC2206">
        <w:rPr>
          <w:rFonts w:ascii="Arial" w:hAnsi="Arial" w:cs="Arial"/>
          <w:sz w:val="24"/>
          <w:szCs w:val="24"/>
        </w:rPr>
        <w:t xml:space="preserve">00,00 </w:t>
      </w:r>
      <w:r>
        <w:rPr>
          <w:rFonts w:ascii="Arial" w:hAnsi="Arial" w:cs="Arial"/>
          <w:sz w:val="24"/>
          <w:szCs w:val="24"/>
        </w:rPr>
        <w:t>eura</w:t>
      </w:r>
      <w:r w:rsidRPr="00AC2206">
        <w:rPr>
          <w:rFonts w:ascii="Arial" w:hAnsi="Arial" w:cs="Arial"/>
          <w:sz w:val="24"/>
          <w:szCs w:val="24"/>
        </w:rPr>
        <w:t xml:space="preserve"> za učenike koji nastavu pohađaju u našoj školi.</w:t>
      </w:r>
    </w:p>
    <w:p w14:paraId="2A0DD036" w14:textId="77777777" w:rsidR="00E541EE" w:rsidRPr="00AC2206" w:rsidRDefault="00E541EE" w:rsidP="00E541EE">
      <w:pPr>
        <w:autoSpaceDE w:val="0"/>
        <w:autoSpaceDN w:val="0"/>
        <w:adjustRightInd w:val="0"/>
        <w:jc w:val="both"/>
        <w:rPr>
          <w:rFonts w:ascii="Arial" w:eastAsia="Times New Roman" w:hAnsi="Arial" w:cs="Arial"/>
          <w:bCs/>
          <w:sz w:val="24"/>
          <w:szCs w:val="24"/>
        </w:rPr>
      </w:pPr>
      <w:r w:rsidRPr="00AC2206">
        <w:rPr>
          <w:rFonts w:ascii="Arial" w:eastAsia="Times New Roman" w:hAnsi="Arial" w:cs="Arial"/>
          <w:b/>
          <w:bCs/>
          <w:sz w:val="24"/>
          <w:szCs w:val="24"/>
        </w:rPr>
        <w:t>Opći cilj:</w:t>
      </w:r>
      <w:r w:rsidRPr="00AC2206">
        <w:rPr>
          <w:rFonts w:ascii="Arial" w:eastAsia="Times New Roman" w:hAnsi="Arial" w:cs="Arial"/>
          <w:bCs/>
          <w:sz w:val="24"/>
          <w:szCs w:val="24"/>
        </w:rPr>
        <w:t xml:space="preserve"> nabava radnih bilježnica za učenike škole.</w:t>
      </w:r>
    </w:p>
    <w:p w14:paraId="6EF97517" w14:textId="77777777" w:rsidR="00E541EE" w:rsidRPr="00AC2206" w:rsidRDefault="00E541EE" w:rsidP="00E541EE">
      <w:pPr>
        <w:autoSpaceDE w:val="0"/>
        <w:autoSpaceDN w:val="0"/>
        <w:adjustRightInd w:val="0"/>
        <w:jc w:val="both"/>
        <w:rPr>
          <w:rFonts w:ascii="Arial" w:eastAsia="Times New Roman" w:hAnsi="Arial" w:cs="Arial"/>
          <w:bCs/>
          <w:sz w:val="24"/>
          <w:szCs w:val="24"/>
        </w:rPr>
      </w:pPr>
      <w:r w:rsidRPr="00AC2206">
        <w:rPr>
          <w:rFonts w:ascii="Arial" w:eastAsia="Times New Roman" w:hAnsi="Arial" w:cs="Arial"/>
          <w:b/>
          <w:bCs/>
          <w:sz w:val="24"/>
          <w:szCs w:val="24"/>
        </w:rPr>
        <w:t xml:space="preserve">Pokazatelj uspješnosti: </w:t>
      </w:r>
      <w:r w:rsidRPr="00AC2206">
        <w:rPr>
          <w:rFonts w:ascii="Arial" w:eastAsia="Times New Roman" w:hAnsi="Arial" w:cs="Arial"/>
          <w:bCs/>
          <w:sz w:val="24"/>
          <w:szCs w:val="24"/>
        </w:rPr>
        <w:t>pravovremena nabava radnih bilježnica.</w:t>
      </w:r>
    </w:p>
    <w:p w14:paraId="730DEC83" w14:textId="77777777" w:rsidR="00E541EE" w:rsidRPr="00AC2206" w:rsidRDefault="00E541EE" w:rsidP="00E541EE">
      <w:pPr>
        <w:autoSpaceDE w:val="0"/>
        <w:autoSpaceDN w:val="0"/>
        <w:adjustRightInd w:val="0"/>
        <w:jc w:val="both"/>
        <w:rPr>
          <w:rFonts w:ascii="Arial" w:eastAsia="Times New Roman" w:hAnsi="Arial" w:cs="Arial"/>
          <w:bCs/>
          <w:sz w:val="24"/>
          <w:szCs w:val="24"/>
        </w:rPr>
      </w:pPr>
    </w:p>
    <w:p w14:paraId="783752D9"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AC2206">
        <w:rPr>
          <w:rFonts w:ascii="Arial" w:eastAsia="Times New Roman" w:hAnsi="Arial" w:cs="Arial"/>
          <w:b/>
          <w:bCs/>
          <w:sz w:val="24"/>
          <w:szCs w:val="24"/>
        </w:rPr>
        <w:t>A 103639: Prehrana za učenike u osnovnim školama = 1</w:t>
      </w:r>
      <w:r>
        <w:rPr>
          <w:rFonts w:ascii="Arial" w:eastAsia="Times New Roman" w:hAnsi="Arial" w:cs="Arial"/>
          <w:b/>
          <w:bCs/>
          <w:sz w:val="24"/>
          <w:szCs w:val="24"/>
        </w:rPr>
        <w:t>20</w:t>
      </w:r>
      <w:r w:rsidRPr="00AC2206">
        <w:rPr>
          <w:rFonts w:ascii="Arial" w:eastAsia="Times New Roman" w:hAnsi="Arial" w:cs="Arial"/>
          <w:b/>
          <w:bCs/>
          <w:sz w:val="24"/>
          <w:szCs w:val="24"/>
        </w:rPr>
        <w:t>.000,00 EUR</w:t>
      </w:r>
    </w:p>
    <w:p w14:paraId="7D72595F" w14:textId="77777777" w:rsidR="00E541EE" w:rsidRPr="00AC2206" w:rsidRDefault="00E541EE" w:rsidP="00E541EE">
      <w:pPr>
        <w:jc w:val="both"/>
        <w:rPr>
          <w:rFonts w:ascii="Arial" w:eastAsia="Times New Roman" w:hAnsi="Arial" w:cs="Arial"/>
          <w:b/>
          <w:sz w:val="24"/>
          <w:szCs w:val="24"/>
        </w:rPr>
      </w:pPr>
      <w:r w:rsidRPr="00AC2206">
        <w:rPr>
          <w:rFonts w:ascii="Arial" w:eastAsia="Times New Roman" w:hAnsi="Arial" w:cs="Arial"/>
          <w:b/>
          <w:sz w:val="24"/>
          <w:szCs w:val="24"/>
        </w:rPr>
        <w:t xml:space="preserve">Zakonska osnova: </w:t>
      </w:r>
      <w:r w:rsidRPr="00AC2206">
        <w:rPr>
          <w:rFonts w:ascii="Arial" w:eastAsia="Times New Roman" w:hAnsi="Arial" w:cs="Arial"/>
          <w:sz w:val="24"/>
          <w:szCs w:val="24"/>
        </w:rPr>
        <w:t>Zakon o odgoju i obrazovanju u osnovnoj i srednjoj školi, Državni pedagoški standard osnovnoškolskog sustava odgoja i obrazovanja</w:t>
      </w:r>
    </w:p>
    <w:p w14:paraId="26DB8C2C" w14:textId="77777777" w:rsidR="00E541EE" w:rsidRPr="00AC2206" w:rsidRDefault="00E541EE" w:rsidP="00E541EE">
      <w:pPr>
        <w:pStyle w:val="Default"/>
        <w:jc w:val="both"/>
        <w:rPr>
          <w:rFonts w:ascii="Arial" w:hAnsi="Arial" w:cs="Arial"/>
          <w:color w:val="auto"/>
        </w:rPr>
      </w:pPr>
      <w:r w:rsidRPr="00AC2206">
        <w:rPr>
          <w:rFonts w:ascii="Arial" w:eastAsia="Times New Roman" w:hAnsi="Arial" w:cs="Arial"/>
          <w:b/>
        </w:rPr>
        <w:t>Opis:</w:t>
      </w:r>
      <w:r w:rsidRPr="00AC2206">
        <w:rPr>
          <w:rFonts w:ascii="Arial" w:eastAsia="Times New Roman" w:hAnsi="Arial" w:cs="Arial"/>
        </w:rPr>
        <w:t xml:space="preserve"> </w:t>
      </w:r>
      <w:r w:rsidRPr="00AC2206">
        <w:rPr>
          <w:rFonts w:ascii="Arial" w:hAnsi="Arial" w:cs="Arial"/>
          <w:color w:val="auto"/>
        </w:rPr>
        <w:t>Vlada je krajem prosinca 2022. godine donijela Odluku kojom se utvrđuju kriteriji i način sufinanciranja, odnosno financiranja troškova prehrane učenika u osnovnim i srednjim školama na način da će MZO podmirivati troškove financiranja, odnosno sufinanciranja prehrane za svakog učenika osnovne škole uključenog u školsku prehranu. Iznos sufinanciranja prehrane je 1,33 eura po danu, za dane kad je na nastavi. MZO doznačuje sredstva osnivačima na temelju broja učenika za koje je u e-dnevniku do zadnjeg radnog</w:t>
      </w:r>
      <w:r w:rsidRPr="00AC2206">
        <w:rPr>
          <w:rFonts w:ascii="Arial" w:hAnsi="Arial" w:cs="Arial"/>
          <w:color w:val="auto"/>
          <w:sz w:val="22"/>
          <w:szCs w:val="22"/>
        </w:rPr>
        <w:t xml:space="preserve"> </w:t>
      </w:r>
      <w:r w:rsidRPr="00AC2206">
        <w:rPr>
          <w:rFonts w:ascii="Arial" w:hAnsi="Arial" w:cs="Arial"/>
          <w:color w:val="auto"/>
        </w:rPr>
        <w:t xml:space="preserve">dana u mjesecu označeno da su uključeni u prehranu. Osnivači mjesečno preusmjeravaju školama doznačena financijska sredstva. </w:t>
      </w:r>
    </w:p>
    <w:p w14:paraId="4F9D34CC" w14:textId="77777777" w:rsidR="00E541EE" w:rsidRPr="00AC2206" w:rsidRDefault="00E541EE" w:rsidP="00E541EE">
      <w:pPr>
        <w:pStyle w:val="Default"/>
        <w:jc w:val="both"/>
        <w:rPr>
          <w:rFonts w:ascii="Arial" w:eastAsia="Times New Roman" w:hAnsi="Arial" w:cs="Arial"/>
        </w:rPr>
      </w:pPr>
      <w:r w:rsidRPr="00AC2206">
        <w:rPr>
          <w:rFonts w:ascii="Arial" w:eastAsia="Times New Roman" w:hAnsi="Arial" w:cs="Arial"/>
          <w:b/>
        </w:rPr>
        <w:t>Opći cilj:</w:t>
      </w:r>
      <w:r w:rsidRPr="00AC2206">
        <w:rPr>
          <w:rFonts w:ascii="Arial" w:eastAsia="Times New Roman" w:hAnsi="Arial" w:cs="Arial"/>
        </w:rPr>
        <w:t xml:space="preserve"> jednaki uvjeti obrazovanja u osnovnim školama.</w:t>
      </w:r>
    </w:p>
    <w:p w14:paraId="5CFF5485" w14:textId="77777777" w:rsidR="00E541EE" w:rsidRPr="00AC2206" w:rsidRDefault="00E541EE" w:rsidP="00E541EE">
      <w:pPr>
        <w:pStyle w:val="Default"/>
        <w:jc w:val="both"/>
        <w:rPr>
          <w:rFonts w:ascii="Arial" w:hAnsi="Arial" w:cs="Arial"/>
          <w:color w:val="auto"/>
        </w:rPr>
      </w:pPr>
      <w:r w:rsidRPr="00AC2206">
        <w:rPr>
          <w:rFonts w:ascii="Arial" w:eastAsia="Times New Roman" w:hAnsi="Arial" w:cs="Arial"/>
          <w:b/>
        </w:rPr>
        <w:t xml:space="preserve">Pokazatelj uspješnosti: </w:t>
      </w:r>
      <w:r w:rsidRPr="00AC2206">
        <w:rPr>
          <w:rFonts w:ascii="Arial" w:eastAsia="Times New Roman" w:hAnsi="Arial" w:cs="Arial"/>
        </w:rPr>
        <w:t>pokriće troškova prehrane za učenike.</w:t>
      </w:r>
    </w:p>
    <w:p w14:paraId="4A5A470F" w14:textId="77777777" w:rsidR="00E541EE" w:rsidRPr="00AC2206" w:rsidRDefault="00E541EE" w:rsidP="00E541EE">
      <w:pPr>
        <w:autoSpaceDE w:val="0"/>
        <w:autoSpaceDN w:val="0"/>
        <w:adjustRightInd w:val="0"/>
        <w:jc w:val="both"/>
        <w:rPr>
          <w:rFonts w:ascii="Arial" w:eastAsia="Times New Roman" w:hAnsi="Arial" w:cs="Arial"/>
          <w:bCs/>
          <w:sz w:val="24"/>
          <w:szCs w:val="24"/>
        </w:rPr>
      </w:pPr>
    </w:p>
    <w:p w14:paraId="0464F500"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hAnsi="Arial" w:cs="Arial"/>
          <w:b/>
          <w:sz w:val="24"/>
          <w:szCs w:val="24"/>
        </w:rPr>
      </w:pPr>
      <w:r w:rsidRPr="00AC2206">
        <w:rPr>
          <w:rFonts w:ascii="Arial" w:hAnsi="Arial" w:cs="Arial"/>
          <w:b/>
          <w:sz w:val="24"/>
          <w:szCs w:val="24"/>
        </w:rPr>
        <w:t>T 103626: Pomoćnici u nastavi = 192.</w:t>
      </w:r>
      <w:r>
        <w:rPr>
          <w:rFonts w:ascii="Arial" w:hAnsi="Arial" w:cs="Arial"/>
          <w:b/>
          <w:sz w:val="24"/>
          <w:szCs w:val="24"/>
        </w:rPr>
        <w:t>310</w:t>
      </w:r>
      <w:r w:rsidRPr="00AC2206">
        <w:rPr>
          <w:rFonts w:ascii="Arial" w:hAnsi="Arial" w:cs="Arial"/>
          <w:b/>
          <w:sz w:val="24"/>
          <w:szCs w:val="24"/>
        </w:rPr>
        <w:t>,00 EUR</w:t>
      </w:r>
    </w:p>
    <w:p w14:paraId="3017BFB7" w14:textId="77777777" w:rsidR="00E541EE" w:rsidRPr="00AC2206" w:rsidRDefault="00E541EE" w:rsidP="00E541EE">
      <w:pPr>
        <w:jc w:val="both"/>
        <w:rPr>
          <w:rFonts w:ascii="Arial" w:hAnsi="Arial" w:cs="Arial"/>
          <w:sz w:val="24"/>
          <w:szCs w:val="24"/>
        </w:rPr>
      </w:pPr>
      <w:r w:rsidRPr="00AC2206">
        <w:rPr>
          <w:rFonts w:ascii="Arial" w:hAnsi="Arial" w:cs="Arial"/>
          <w:b/>
          <w:sz w:val="24"/>
          <w:szCs w:val="24"/>
        </w:rPr>
        <w:t xml:space="preserve">Zakonska osnova: </w:t>
      </w:r>
      <w:r w:rsidRPr="00AC2206">
        <w:rPr>
          <w:rFonts w:ascii="Arial" w:hAnsi="Arial" w:cs="Arial"/>
          <w:sz w:val="24"/>
          <w:szCs w:val="24"/>
        </w:rPr>
        <w:t>Zakon o odgoju i obrazovanju u osnovnoj i srednjoj školi, Zakon o odgoju i obrazovanju na jeziku i pismu nacionalnih manjina, Državni pedagoški standard osnovnoškolskog sustava odgoja i obrazovanja.</w:t>
      </w:r>
    </w:p>
    <w:p w14:paraId="1A22AA99" w14:textId="77777777" w:rsidR="00E541EE" w:rsidRPr="00584DFB" w:rsidRDefault="00E541EE" w:rsidP="00E541EE">
      <w:pPr>
        <w:pStyle w:val="Standard"/>
        <w:spacing w:before="0" w:after="0" w:line="240" w:lineRule="auto"/>
        <w:jc w:val="both"/>
        <w:rPr>
          <w:sz w:val="24"/>
          <w:szCs w:val="24"/>
        </w:rPr>
      </w:pPr>
      <w:r w:rsidRPr="001130D4">
        <w:rPr>
          <w:rFonts w:ascii="Arial" w:hAnsi="Arial" w:cs="Arial"/>
          <w:b/>
          <w:color w:val="auto"/>
          <w:sz w:val="24"/>
          <w:szCs w:val="24"/>
        </w:rPr>
        <w:t>Opis:</w:t>
      </w:r>
      <w:r w:rsidRPr="003F635F">
        <w:rPr>
          <w:rFonts w:ascii="Arial" w:hAnsi="Arial" w:cs="Arial"/>
          <w:color w:val="000000"/>
          <w:sz w:val="24"/>
          <w:szCs w:val="24"/>
        </w:rPr>
        <w:t xml:space="preserve"> </w:t>
      </w:r>
      <w:r>
        <w:rPr>
          <w:rFonts w:ascii="Arial" w:hAnsi="Arial" w:cs="Arial"/>
          <w:color w:val="000000"/>
          <w:sz w:val="24"/>
          <w:szCs w:val="24"/>
        </w:rPr>
        <w:t>u</w:t>
      </w:r>
      <w:r w:rsidRPr="00584DFB">
        <w:rPr>
          <w:rFonts w:ascii="Arial" w:hAnsi="Arial" w:cs="Arial"/>
          <w:color w:val="000000"/>
          <w:sz w:val="24"/>
          <w:szCs w:val="24"/>
        </w:rPr>
        <w:t xml:space="preserve"> sklopu projekta „PUNa torba zajedništva II“</w:t>
      </w:r>
      <w:r w:rsidRPr="00584DFB">
        <w:rPr>
          <w:rFonts w:ascii="Arial" w:hAnsi="Arial" w:cs="Arial"/>
          <w:b/>
          <w:bCs/>
          <w:color w:val="000000"/>
          <w:sz w:val="24"/>
          <w:szCs w:val="24"/>
        </w:rPr>
        <w:t xml:space="preserve"> </w:t>
      </w:r>
      <w:r w:rsidRPr="00584DFB">
        <w:rPr>
          <w:rFonts w:ascii="Arial" w:hAnsi="Arial" w:cs="Arial"/>
          <w:bCs/>
          <w:color w:val="000000"/>
          <w:sz w:val="24"/>
          <w:szCs w:val="24"/>
        </w:rPr>
        <w:t>pod nazivom „Pomoćnici u nastavi u školskoj 2025./2026. godini</w:t>
      </w:r>
      <w:r w:rsidRPr="00584DFB">
        <w:rPr>
          <w:rFonts w:ascii="Arial" w:hAnsi="Arial" w:cs="Arial"/>
          <w:b/>
          <w:bCs/>
          <w:color w:val="000000"/>
          <w:sz w:val="24"/>
          <w:szCs w:val="24"/>
        </w:rPr>
        <w:t xml:space="preserve"> “ </w:t>
      </w:r>
      <w:r w:rsidRPr="00584DFB">
        <w:rPr>
          <w:rFonts w:ascii="Arial" w:hAnsi="Arial" w:cs="Arial"/>
          <w:color w:val="000000"/>
          <w:sz w:val="24"/>
          <w:szCs w:val="24"/>
        </w:rPr>
        <w:t>koji se provodi u okviru instrumenta „Osiguravanje pomoćnika u nastavi i stručnih komunikacijskih posrednika učenicima s teškoćama u razvoju u osnovnoškolskim i srednjoškolskim odgojno-obrazovnim ustanovama, faza VII“ z</w:t>
      </w:r>
      <w:r w:rsidRPr="00584DFB">
        <w:rPr>
          <w:rFonts w:ascii="Arial" w:hAnsi="Arial" w:cs="Arial"/>
          <w:bCs/>
          <w:color w:val="000000"/>
          <w:sz w:val="24"/>
          <w:szCs w:val="24"/>
        </w:rPr>
        <w:t xml:space="preserve">a školsku godinu 2025./2026. zaposleno je 13 od potrebnih i planiranih 14 pomoćnika. Za potrebe plaća i doprinosa te ostalih prava zaposlenih planiran je iznos 192.310,00 </w:t>
      </w:r>
      <w:r>
        <w:rPr>
          <w:rFonts w:ascii="Arial" w:hAnsi="Arial" w:cs="Arial"/>
          <w:bCs/>
          <w:color w:val="000000"/>
          <w:sz w:val="24"/>
          <w:szCs w:val="24"/>
        </w:rPr>
        <w:t>eura</w:t>
      </w:r>
      <w:r w:rsidRPr="00584DFB">
        <w:rPr>
          <w:rFonts w:ascii="Arial" w:hAnsi="Arial" w:cs="Arial"/>
          <w:bCs/>
          <w:color w:val="000000"/>
          <w:sz w:val="24"/>
          <w:szCs w:val="24"/>
        </w:rPr>
        <w:t xml:space="preserve"> kojim će se pokriti bruto plaće s doprinosima, regres, božićnice, uskrsnice, prijevoz i dar za djecu.</w:t>
      </w:r>
    </w:p>
    <w:p w14:paraId="3EF75E43" w14:textId="77777777" w:rsidR="00E541EE" w:rsidRPr="00AC2206" w:rsidRDefault="00E541EE" w:rsidP="00E541EE">
      <w:pPr>
        <w:pStyle w:val="Standard"/>
        <w:spacing w:after="0" w:line="240" w:lineRule="auto"/>
        <w:jc w:val="both"/>
        <w:rPr>
          <w:color w:val="auto"/>
          <w:sz w:val="24"/>
          <w:szCs w:val="24"/>
        </w:rPr>
      </w:pPr>
      <w:r w:rsidRPr="00AC2206">
        <w:rPr>
          <w:rFonts w:ascii="Arial" w:hAnsi="Arial" w:cs="Arial"/>
          <w:b/>
          <w:color w:val="auto"/>
          <w:sz w:val="24"/>
          <w:szCs w:val="24"/>
        </w:rPr>
        <w:t xml:space="preserve">Opći cilj: </w:t>
      </w:r>
      <w:r w:rsidRPr="00AC2206">
        <w:rPr>
          <w:rFonts w:ascii="Arial" w:hAnsi="Arial" w:cs="Arial"/>
          <w:color w:val="auto"/>
          <w:sz w:val="24"/>
          <w:szCs w:val="24"/>
        </w:rPr>
        <w:t>osiguravanje podrške djeci s poteškoćama u razvoju, integracija djece s poteškoćama u odgojno obrazovne ustanove.</w:t>
      </w:r>
    </w:p>
    <w:p w14:paraId="32E81066" w14:textId="77777777" w:rsidR="00E541EE" w:rsidRPr="00AC2206" w:rsidRDefault="00E541EE" w:rsidP="00E541EE">
      <w:pPr>
        <w:jc w:val="both"/>
        <w:rPr>
          <w:rFonts w:ascii="Arial" w:hAnsi="Arial" w:cs="Arial"/>
          <w:sz w:val="24"/>
          <w:szCs w:val="24"/>
        </w:rPr>
      </w:pPr>
      <w:r w:rsidRPr="00AC2206">
        <w:rPr>
          <w:rFonts w:ascii="Arial" w:hAnsi="Arial" w:cs="Arial"/>
          <w:b/>
          <w:sz w:val="24"/>
          <w:szCs w:val="24"/>
        </w:rPr>
        <w:t xml:space="preserve">Pokazatelj uspješnosti: </w:t>
      </w:r>
      <w:r w:rsidRPr="00AC2206">
        <w:rPr>
          <w:rFonts w:ascii="Arial" w:hAnsi="Arial" w:cs="Arial"/>
          <w:sz w:val="24"/>
          <w:szCs w:val="24"/>
        </w:rPr>
        <w:t>broj zaposlenih/uključenih pomoćnika u školi.</w:t>
      </w:r>
    </w:p>
    <w:p w14:paraId="0BC9EDA7" w14:textId="77777777" w:rsidR="00E541EE" w:rsidRPr="00AC2206" w:rsidRDefault="00E541EE" w:rsidP="00E541EE">
      <w:pPr>
        <w:jc w:val="both"/>
        <w:rPr>
          <w:rFonts w:ascii="Arial" w:hAnsi="Arial" w:cs="Arial"/>
          <w:sz w:val="24"/>
          <w:szCs w:val="24"/>
        </w:rPr>
      </w:pPr>
    </w:p>
    <w:p w14:paraId="5CAED5EA"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AC2206">
        <w:rPr>
          <w:rFonts w:ascii="Arial" w:eastAsia="Times New Roman" w:hAnsi="Arial" w:cs="Arial"/>
          <w:b/>
          <w:bCs/>
          <w:sz w:val="24"/>
          <w:szCs w:val="24"/>
        </w:rPr>
        <w:t xml:space="preserve">K 103603: Opremanje prostora = </w:t>
      </w:r>
      <w:r>
        <w:rPr>
          <w:rFonts w:ascii="Arial" w:eastAsia="Times New Roman" w:hAnsi="Arial" w:cs="Arial"/>
          <w:b/>
          <w:bCs/>
          <w:sz w:val="24"/>
          <w:szCs w:val="24"/>
        </w:rPr>
        <w:t>26.480</w:t>
      </w:r>
      <w:r w:rsidRPr="00AC2206">
        <w:rPr>
          <w:rFonts w:ascii="Arial" w:eastAsia="Times New Roman" w:hAnsi="Arial" w:cs="Arial"/>
          <w:b/>
          <w:bCs/>
          <w:sz w:val="24"/>
          <w:szCs w:val="24"/>
        </w:rPr>
        <w:t>,00 EUR</w:t>
      </w:r>
    </w:p>
    <w:p w14:paraId="3A515F54"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sz w:val="24"/>
          <w:szCs w:val="24"/>
        </w:rPr>
        <w:t xml:space="preserve">Zakonska osnova: </w:t>
      </w:r>
      <w:r w:rsidRPr="00AC2206">
        <w:rPr>
          <w:rFonts w:ascii="Arial" w:eastAsia="Times New Roman" w:hAnsi="Arial" w:cs="Arial"/>
          <w:sz w:val="24"/>
          <w:szCs w:val="24"/>
        </w:rPr>
        <w:t>Zakon o lokalnoj i područnoj (regionalnoj) samoupravi,</w:t>
      </w:r>
      <w:r w:rsidRPr="00AC2206">
        <w:rPr>
          <w:rFonts w:ascii="Arial" w:eastAsia="Times New Roman" w:hAnsi="Arial" w:cs="Arial"/>
          <w:b/>
          <w:sz w:val="24"/>
          <w:szCs w:val="24"/>
        </w:rPr>
        <w:t xml:space="preserve"> </w:t>
      </w:r>
      <w:r w:rsidRPr="00AC2206">
        <w:rPr>
          <w:rFonts w:ascii="Arial" w:eastAsia="Times New Roman" w:hAnsi="Arial" w:cs="Arial"/>
          <w:sz w:val="24"/>
          <w:szCs w:val="24"/>
        </w:rPr>
        <w:t>Zakon o odgoju i obrazovanju u osnovnoj i srednjoj školi.</w:t>
      </w:r>
    </w:p>
    <w:p w14:paraId="5EC2F3E1" w14:textId="77777777" w:rsidR="00E541EE" w:rsidRPr="00A411AE" w:rsidRDefault="00E541EE" w:rsidP="00E541EE">
      <w:pPr>
        <w:pStyle w:val="Standard"/>
        <w:spacing w:before="0" w:after="0" w:line="240" w:lineRule="auto"/>
        <w:jc w:val="both"/>
        <w:rPr>
          <w:rFonts w:ascii="Arial" w:eastAsia="Times New Roman" w:hAnsi="Arial" w:cs="Arial"/>
          <w:color w:val="auto"/>
          <w:sz w:val="24"/>
          <w:szCs w:val="24"/>
        </w:rPr>
      </w:pPr>
      <w:r w:rsidRPr="00AC2206">
        <w:rPr>
          <w:rFonts w:ascii="Arial" w:eastAsia="Times New Roman" w:hAnsi="Arial" w:cs="Arial"/>
          <w:b/>
          <w:color w:val="auto"/>
          <w:sz w:val="24"/>
          <w:szCs w:val="24"/>
        </w:rPr>
        <w:t>Opis</w:t>
      </w:r>
      <w:r w:rsidRPr="00A411AE">
        <w:rPr>
          <w:rFonts w:ascii="Arial" w:eastAsia="Times New Roman" w:hAnsi="Arial" w:cs="Arial"/>
          <w:b/>
          <w:color w:val="auto"/>
          <w:sz w:val="24"/>
          <w:szCs w:val="24"/>
        </w:rPr>
        <w:t>:</w:t>
      </w:r>
      <w:r w:rsidRPr="00A411AE">
        <w:rPr>
          <w:rFonts w:ascii="Arial" w:eastAsia="Times New Roman" w:hAnsi="Arial" w:cs="Arial"/>
          <w:color w:val="auto"/>
          <w:sz w:val="24"/>
          <w:szCs w:val="24"/>
        </w:rPr>
        <w:t xml:space="preserve"> planirana sredstva namijenit će se za opremanje, odnosnu obnovu opreme za četiri učionice u matičnoj školi te informatičku opremu (pametne ploče) (8.000,00 </w:t>
      </w:r>
      <w:r>
        <w:rPr>
          <w:rFonts w:ascii="Arial" w:eastAsia="Times New Roman" w:hAnsi="Arial" w:cs="Arial"/>
          <w:color w:val="auto"/>
          <w:sz w:val="24"/>
          <w:szCs w:val="24"/>
        </w:rPr>
        <w:t>eura</w:t>
      </w:r>
      <w:r w:rsidRPr="00A411AE">
        <w:rPr>
          <w:rFonts w:ascii="Arial" w:eastAsia="Times New Roman" w:hAnsi="Arial" w:cs="Arial"/>
          <w:color w:val="auto"/>
          <w:sz w:val="24"/>
          <w:szCs w:val="24"/>
        </w:rPr>
        <w:t>) dok će se preostalim iznosom osigurati sredstva za opremanje učionice u Rovinjskom Selu te uređenje okoliša (postavljanje novih sprava).</w:t>
      </w:r>
    </w:p>
    <w:p w14:paraId="7812DAD2" w14:textId="77777777" w:rsidR="00E541EE" w:rsidRPr="00A411AE" w:rsidRDefault="00E541EE" w:rsidP="00E541EE">
      <w:pPr>
        <w:pStyle w:val="Standard"/>
        <w:spacing w:before="0" w:after="0" w:line="240" w:lineRule="auto"/>
        <w:jc w:val="both"/>
        <w:rPr>
          <w:rFonts w:ascii="Arial" w:eastAsia="Times New Roman" w:hAnsi="Arial" w:cs="Arial"/>
          <w:color w:val="auto"/>
          <w:sz w:val="24"/>
          <w:szCs w:val="24"/>
        </w:rPr>
      </w:pPr>
      <w:r w:rsidRPr="00A411AE">
        <w:rPr>
          <w:rFonts w:ascii="Arial" w:eastAsia="Times New Roman" w:hAnsi="Arial" w:cs="Arial"/>
          <w:color w:val="auto"/>
          <w:sz w:val="24"/>
          <w:szCs w:val="24"/>
        </w:rPr>
        <w:t xml:space="preserve">Također planira se nabava knjiga za školsku knjižnicu u iznosu od 3.260,00 </w:t>
      </w:r>
      <w:r>
        <w:rPr>
          <w:rFonts w:ascii="Arial" w:eastAsia="Times New Roman" w:hAnsi="Arial" w:cs="Arial"/>
          <w:color w:val="auto"/>
          <w:sz w:val="24"/>
          <w:szCs w:val="24"/>
        </w:rPr>
        <w:t>eura</w:t>
      </w:r>
      <w:r w:rsidRPr="00A411AE">
        <w:rPr>
          <w:rFonts w:ascii="Arial" w:eastAsia="Times New Roman" w:hAnsi="Arial" w:cs="Arial"/>
          <w:color w:val="auto"/>
          <w:sz w:val="24"/>
          <w:szCs w:val="24"/>
        </w:rPr>
        <w:t xml:space="preserve"> od čeka iz sredstava proračuna 2.000,00 </w:t>
      </w:r>
      <w:r>
        <w:rPr>
          <w:rFonts w:ascii="Arial" w:eastAsia="Times New Roman" w:hAnsi="Arial" w:cs="Arial"/>
          <w:color w:val="auto"/>
          <w:sz w:val="24"/>
          <w:szCs w:val="24"/>
        </w:rPr>
        <w:t>eura</w:t>
      </w:r>
      <w:r w:rsidRPr="00A411AE">
        <w:rPr>
          <w:rFonts w:ascii="Arial" w:eastAsia="Times New Roman" w:hAnsi="Arial" w:cs="Arial"/>
          <w:color w:val="auto"/>
          <w:sz w:val="24"/>
          <w:szCs w:val="24"/>
        </w:rPr>
        <w:t xml:space="preserve"> te uz sredstava nadležnog ministarstva 1.260,00 </w:t>
      </w:r>
      <w:r>
        <w:rPr>
          <w:rFonts w:ascii="Arial" w:eastAsia="Times New Roman" w:hAnsi="Arial" w:cs="Arial"/>
          <w:color w:val="auto"/>
          <w:sz w:val="24"/>
          <w:szCs w:val="24"/>
        </w:rPr>
        <w:t>eura</w:t>
      </w:r>
      <w:r w:rsidRPr="00A411AE">
        <w:rPr>
          <w:rFonts w:ascii="Arial" w:eastAsia="Times New Roman" w:hAnsi="Arial" w:cs="Arial"/>
          <w:color w:val="auto"/>
          <w:sz w:val="24"/>
          <w:szCs w:val="24"/>
        </w:rPr>
        <w:t>.</w:t>
      </w:r>
    </w:p>
    <w:p w14:paraId="0661B390"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sz w:val="24"/>
          <w:szCs w:val="24"/>
        </w:rPr>
        <w:t>Opći cilj:</w:t>
      </w:r>
      <w:r w:rsidRPr="00AC2206">
        <w:rPr>
          <w:rFonts w:ascii="Arial" w:eastAsia="Times New Roman" w:hAnsi="Arial" w:cs="Arial"/>
          <w:sz w:val="24"/>
          <w:szCs w:val="24"/>
        </w:rPr>
        <w:t xml:space="preserve"> kvaliteta boravka djece u školi.</w:t>
      </w:r>
    </w:p>
    <w:p w14:paraId="6D3245CB"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sz w:val="24"/>
          <w:szCs w:val="24"/>
        </w:rPr>
        <w:t xml:space="preserve">Pokazatelj uspješnosti: </w:t>
      </w:r>
      <w:r w:rsidRPr="00AC2206">
        <w:rPr>
          <w:rFonts w:ascii="Arial" w:eastAsia="Times New Roman" w:hAnsi="Arial" w:cs="Arial"/>
          <w:sz w:val="24"/>
          <w:szCs w:val="24"/>
        </w:rPr>
        <w:t>nabavljena oprema.</w:t>
      </w:r>
    </w:p>
    <w:p w14:paraId="3CAC7C93" w14:textId="77777777" w:rsidR="00E541EE" w:rsidRPr="00AC2206" w:rsidRDefault="00E541EE" w:rsidP="00E541EE">
      <w:pPr>
        <w:jc w:val="both"/>
        <w:rPr>
          <w:rFonts w:ascii="Arial" w:eastAsia="Times New Roman" w:hAnsi="Arial" w:cs="Arial"/>
          <w:strike/>
          <w:sz w:val="24"/>
          <w:szCs w:val="24"/>
        </w:rPr>
      </w:pPr>
    </w:p>
    <w:p w14:paraId="4033E8BF"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sz w:val="24"/>
          <w:szCs w:val="24"/>
        </w:rPr>
      </w:pPr>
      <w:r w:rsidRPr="00AC2206">
        <w:rPr>
          <w:rFonts w:ascii="Arial" w:eastAsia="Times New Roman" w:hAnsi="Arial" w:cs="Arial"/>
          <w:b/>
          <w:sz w:val="24"/>
          <w:szCs w:val="24"/>
        </w:rPr>
        <w:t>K 103614: Naša mala knjižnica = 300,00 EUR</w:t>
      </w:r>
    </w:p>
    <w:p w14:paraId="2274BCF5" w14:textId="77777777" w:rsidR="00E541EE" w:rsidRPr="00AC2206" w:rsidRDefault="00E541EE" w:rsidP="00E541EE">
      <w:pPr>
        <w:autoSpaceDE w:val="0"/>
        <w:autoSpaceDN w:val="0"/>
        <w:adjustRightInd w:val="0"/>
        <w:jc w:val="both"/>
        <w:rPr>
          <w:rFonts w:ascii="Arial" w:eastAsia="Times New Roman" w:hAnsi="Arial" w:cs="Arial"/>
          <w:sz w:val="24"/>
          <w:szCs w:val="24"/>
        </w:rPr>
      </w:pPr>
      <w:r w:rsidRPr="00AC2206">
        <w:rPr>
          <w:rFonts w:ascii="Arial" w:eastAsia="Times New Roman" w:hAnsi="Arial" w:cs="Arial"/>
          <w:b/>
          <w:bCs/>
          <w:sz w:val="24"/>
          <w:szCs w:val="24"/>
        </w:rPr>
        <w:t>Zakonska osnova</w:t>
      </w:r>
      <w:r w:rsidRPr="00AC2206">
        <w:rPr>
          <w:rFonts w:ascii="Arial" w:eastAsia="Times New Roman" w:hAnsi="Arial" w:cs="Arial"/>
          <w:bCs/>
          <w:sz w:val="24"/>
          <w:szCs w:val="24"/>
        </w:rPr>
        <w:t xml:space="preserve">: </w:t>
      </w:r>
      <w:r w:rsidRPr="00AC2206">
        <w:rPr>
          <w:rFonts w:ascii="Arial" w:eastAsia="Times New Roman" w:hAnsi="Arial" w:cs="Arial"/>
          <w:sz w:val="24"/>
          <w:szCs w:val="24"/>
        </w:rPr>
        <w:t>Zakon o lokalnoj i područnoj (regionalnoj) samoupravi,</w:t>
      </w:r>
      <w:r w:rsidRPr="00AC2206">
        <w:rPr>
          <w:rFonts w:ascii="Arial" w:eastAsia="Times New Roman" w:hAnsi="Arial" w:cs="Arial"/>
          <w:bCs/>
          <w:sz w:val="24"/>
          <w:szCs w:val="24"/>
        </w:rPr>
        <w:t xml:space="preserve"> Zakon o odgoju i obrazovanju u osnovnoj i srednjoj školi</w:t>
      </w:r>
    </w:p>
    <w:tbl>
      <w:tblPr>
        <w:tblpPr w:leftFromText="180" w:rightFromText="180" w:vertAnchor="text" w:horzAnchor="margin" w:tblpY="319"/>
        <w:tblW w:w="10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3"/>
        <w:gridCol w:w="850"/>
        <w:gridCol w:w="904"/>
        <w:gridCol w:w="1003"/>
        <w:gridCol w:w="1003"/>
        <w:gridCol w:w="1197"/>
        <w:gridCol w:w="991"/>
        <w:gridCol w:w="992"/>
        <w:gridCol w:w="812"/>
        <w:gridCol w:w="748"/>
        <w:gridCol w:w="705"/>
      </w:tblGrid>
      <w:tr w:rsidR="00E80F33" w:rsidRPr="00C36107" w14:paraId="317A7702" w14:textId="77777777" w:rsidTr="00E80F33">
        <w:trPr>
          <w:trHeight w:val="526"/>
        </w:trPr>
        <w:tc>
          <w:tcPr>
            <w:tcW w:w="993" w:type="dxa"/>
            <w:vMerge w:val="restart"/>
          </w:tcPr>
          <w:p w14:paraId="5F66DC1E" w14:textId="77777777" w:rsidR="00E80F33" w:rsidRPr="00C36107" w:rsidRDefault="00E80F33" w:rsidP="00E80F33">
            <w:pPr>
              <w:widowControl w:val="0"/>
              <w:autoSpaceDE w:val="0"/>
              <w:autoSpaceDN w:val="0"/>
              <w:spacing w:before="49"/>
              <w:ind w:right="35"/>
              <w:jc w:val="center"/>
              <w:rPr>
                <w:b/>
                <w:sz w:val="16"/>
              </w:rPr>
            </w:pPr>
            <w:r w:rsidRPr="00C36107">
              <w:rPr>
                <w:b/>
                <w:sz w:val="16"/>
              </w:rPr>
              <w:t>Doprinos</w:t>
            </w:r>
            <w:r w:rsidRPr="00C36107">
              <w:rPr>
                <w:b/>
                <w:spacing w:val="-34"/>
                <w:sz w:val="16"/>
              </w:rPr>
              <w:t xml:space="preserve"> </w:t>
            </w:r>
            <w:r w:rsidRPr="00C36107">
              <w:rPr>
                <w:b/>
                <w:sz w:val="16"/>
              </w:rPr>
              <w:t>provedbi</w:t>
            </w:r>
          </w:p>
          <w:p w14:paraId="08176389" w14:textId="77777777" w:rsidR="00E80F33" w:rsidRPr="00C36107" w:rsidRDefault="00E80F33" w:rsidP="00E80F33">
            <w:pPr>
              <w:widowControl w:val="0"/>
              <w:autoSpaceDE w:val="0"/>
              <w:autoSpaceDN w:val="0"/>
              <w:spacing w:line="194" w:lineRule="exact"/>
              <w:ind w:right="35"/>
              <w:jc w:val="center"/>
              <w:rPr>
                <w:b/>
                <w:sz w:val="16"/>
              </w:rPr>
            </w:pPr>
            <w:r w:rsidRPr="00C36107">
              <w:rPr>
                <w:b/>
                <w:sz w:val="16"/>
              </w:rPr>
              <w:t>nadređenog</w:t>
            </w:r>
          </w:p>
          <w:p w14:paraId="0452432F" w14:textId="77777777" w:rsidR="00E80F33" w:rsidRPr="00C36107" w:rsidRDefault="00E80F33" w:rsidP="00E80F33">
            <w:pPr>
              <w:widowControl w:val="0"/>
              <w:autoSpaceDE w:val="0"/>
              <w:autoSpaceDN w:val="0"/>
              <w:spacing w:before="49"/>
              <w:ind w:right="35"/>
              <w:jc w:val="center"/>
              <w:rPr>
                <w:b/>
                <w:sz w:val="16"/>
              </w:rPr>
            </w:pPr>
            <w:r w:rsidRPr="00C36107">
              <w:rPr>
                <w:b/>
                <w:sz w:val="16"/>
              </w:rPr>
              <w:t>akta</w:t>
            </w:r>
            <w:r w:rsidRPr="00C36107">
              <w:rPr>
                <w:b/>
                <w:spacing w:val="1"/>
                <w:sz w:val="16"/>
              </w:rPr>
              <w:t xml:space="preserve"> </w:t>
            </w:r>
            <w:r w:rsidRPr="00C36107">
              <w:rPr>
                <w:b/>
                <w:sz w:val="16"/>
              </w:rPr>
              <w:t>strateškog</w:t>
            </w:r>
            <w:r w:rsidRPr="00C36107">
              <w:rPr>
                <w:b/>
                <w:spacing w:val="-34"/>
                <w:sz w:val="16"/>
              </w:rPr>
              <w:t xml:space="preserve"> </w:t>
            </w:r>
            <w:r w:rsidRPr="00C36107">
              <w:rPr>
                <w:b/>
                <w:sz w:val="16"/>
              </w:rPr>
              <w:t>planiranja</w:t>
            </w:r>
          </w:p>
        </w:tc>
        <w:tc>
          <w:tcPr>
            <w:tcW w:w="850" w:type="dxa"/>
            <w:vMerge w:val="restart"/>
          </w:tcPr>
          <w:p w14:paraId="62E80F54" w14:textId="77777777" w:rsidR="00E80F33" w:rsidRPr="00C36107" w:rsidRDefault="00E80F33" w:rsidP="00E80F33">
            <w:pPr>
              <w:widowControl w:val="0"/>
              <w:autoSpaceDE w:val="0"/>
              <w:autoSpaceDN w:val="0"/>
              <w:spacing w:line="195" w:lineRule="exact"/>
              <w:ind w:left="44" w:right="35"/>
              <w:jc w:val="center"/>
              <w:rPr>
                <w:b/>
                <w:sz w:val="16"/>
              </w:rPr>
            </w:pPr>
            <w:r w:rsidRPr="00C36107">
              <w:rPr>
                <w:b/>
                <w:sz w:val="16"/>
              </w:rPr>
              <w:t>Naziv</w:t>
            </w:r>
            <w:r w:rsidRPr="00C36107">
              <w:rPr>
                <w:b/>
                <w:spacing w:val="-3"/>
                <w:sz w:val="16"/>
              </w:rPr>
              <w:t xml:space="preserve"> </w:t>
            </w:r>
            <w:r w:rsidRPr="00C36107">
              <w:rPr>
                <w:b/>
                <w:sz w:val="16"/>
              </w:rPr>
              <w:t>cilja nadređenog</w:t>
            </w:r>
            <w:r w:rsidRPr="00C36107">
              <w:rPr>
                <w:b/>
                <w:spacing w:val="1"/>
                <w:sz w:val="16"/>
              </w:rPr>
              <w:t xml:space="preserve"> </w:t>
            </w:r>
            <w:r w:rsidRPr="00C36107">
              <w:rPr>
                <w:b/>
                <w:spacing w:val="-1"/>
                <w:sz w:val="16"/>
              </w:rPr>
              <w:t>akta</w:t>
            </w:r>
            <w:r w:rsidRPr="00C36107">
              <w:rPr>
                <w:b/>
                <w:spacing w:val="-2"/>
                <w:sz w:val="16"/>
              </w:rPr>
              <w:t xml:space="preserve"> </w:t>
            </w:r>
            <w:r w:rsidRPr="00C36107">
              <w:rPr>
                <w:b/>
                <w:spacing w:val="-1"/>
                <w:sz w:val="16"/>
              </w:rPr>
              <w:t xml:space="preserve">strateškog </w:t>
            </w:r>
            <w:r w:rsidRPr="00C36107">
              <w:rPr>
                <w:b/>
                <w:sz w:val="16"/>
              </w:rPr>
              <w:t>planiranja</w:t>
            </w:r>
          </w:p>
        </w:tc>
        <w:tc>
          <w:tcPr>
            <w:tcW w:w="904" w:type="dxa"/>
            <w:vMerge w:val="restart"/>
            <w:vAlign w:val="center"/>
          </w:tcPr>
          <w:p w14:paraId="7BA0FEA0" w14:textId="77777777" w:rsidR="00E80F33" w:rsidRPr="00C36107" w:rsidRDefault="00E80F33" w:rsidP="00E80F33">
            <w:pPr>
              <w:widowControl w:val="0"/>
              <w:autoSpaceDE w:val="0"/>
              <w:autoSpaceDN w:val="0"/>
              <w:ind w:left="125" w:right="114"/>
              <w:jc w:val="center"/>
              <w:rPr>
                <w:b/>
                <w:sz w:val="16"/>
              </w:rPr>
            </w:pPr>
            <w:r w:rsidRPr="00C36107">
              <w:rPr>
                <w:b/>
                <w:spacing w:val="-1"/>
                <w:sz w:val="16"/>
              </w:rPr>
              <w:t xml:space="preserve">Program </w:t>
            </w:r>
            <w:r w:rsidRPr="00C36107">
              <w:rPr>
                <w:b/>
                <w:sz w:val="16"/>
              </w:rPr>
              <w:t>u</w:t>
            </w:r>
            <w:r w:rsidRPr="00C36107">
              <w:rPr>
                <w:b/>
                <w:spacing w:val="-34"/>
                <w:sz w:val="16"/>
              </w:rPr>
              <w:t xml:space="preserve"> </w:t>
            </w:r>
            <w:r w:rsidRPr="00C36107">
              <w:rPr>
                <w:b/>
                <w:sz w:val="16"/>
              </w:rPr>
              <w:t xml:space="preserve">proračunu </w:t>
            </w:r>
            <w:r w:rsidRPr="00C36107">
              <w:rPr>
                <w:b/>
                <w:spacing w:val="-34"/>
                <w:sz w:val="16"/>
              </w:rPr>
              <w:t xml:space="preserve"> </w:t>
            </w:r>
            <w:r w:rsidRPr="00C36107">
              <w:rPr>
                <w:b/>
                <w:sz w:val="16"/>
              </w:rPr>
              <w:t>JLS</w:t>
            </w:r>
          </w:p>
        </w:tc>
        <w:tc>
          <w:tcPr>
            <w:tcW w:w="1003" w:type="dxa"/>
            <w:vMerge w:val="restart"/>
            <w:vAlign w:val="center"/>
          </w:tcPr>
          <w:p w14:paraId="6A553CA7" w14:textId="77777777" w:rsidR="00E80F33" w:rsidRPr="00C36107" w:rsidRDefault="00E80F33" w:rsidP="00E80F33">
            <w:pPr>
              <w:widowControl w:val="0"/>
              <w:autoSpaceDE w:val="0"/>
              <w:autoSpaceDN w:val="0"/>
              <w:rPr>
                <w:b/>
                <w:sz w:val="16"/>
              </w:rPr>
            </w:pPr>
            <w:r>
              <w:rPr>
                <w:b/>
                <w:sz w:val="16"/>
              </w:rPr>
              <w:t xml:space="preserve">  </w:t>
            </w:r>
            <w:r w:rsidRPr="00C36107">
              <w:rPr>
                <w:b/>
                <w:sz w:val="16"/>
              </w:rPr>
              <w:t>Naziv</w:t>
            </w:r>
            <w:r w:rsidRPr="00C36107">
              <w:rPr>
                <w:b/>
                <w:spacing w:val="-2"/>
                <w:sz w:val="16"/>
              </w:rPr>
              <w:t xml:space="preserve"> </w:t>
            </w:r>
            <w:r w:rsidRPr="00C36107">
              <w:rPr>
                <w:b/>
                <w:sz w:val="16"/>
              </w:rPr>
              <w:t>mjere</w:t>
            </w:r>
          </w:p>
        </w:tc>
        <w:tc>
          <w:tcPr>
            <w:tcW w:w="1003" w:type="dxa"/>
            <w:vMerge w:val="restart"/>
            <w:vAlign w:val="center"/>
          </w:tcPr>
          <w:p w14:paraId="6304CEAC" w14:textId="77777777" w:rsidR="00E80F33" w:rsidRPr="00C36107" w:rsidRDefault="00E80F33" w:rsidP="00E80F33">
            <w:pPr>
              <w:widowControl w:val="0"/>
              <w:autoSpaceDE w:val="0"/>
              <w:autoSpaceDN w:val="0"/>
              <w:ind w:left="70" w:right="60"/>
              <w:jc w:val="center"/>
              <w:rPr>
                <w:b/>
                <w:sz w:val="16"/>
              </w:rPr>
            </w:pPr>
            <w:r w:rsidRPr="00C36107">
              <w:rPr>
                <w:b/>
                <w:sz w:val="16"/>
              </w:rPr>
              <w:t>Procijenjeni</w:t>
            </w:r>
            <w:r w:rsidRPr="00C36107">
              <w:rPr>
                <w:b/>
                <w:spacing w:val="-34"/>
                <w:sz w:val="16"/>
              </w:rPr>
              <w:t xml:space="preserve"> </w:t>
            </w:r>
            <w:r w:rsidRPr="00C36107">
              <w:rPr>
                <w:b/>
                <w:sz w:val="16"/>
              </w:rPr>
              <w:t>trošak</w:t>
            </w:r>
            <w:r w:rsidRPr="00C36107">
              <w:rPr>
                <w:b/>
                <w:spacing w:val="1"/>
                <w:sz w:val="16"/>
              </w:rPr>
              <w:t xml:space="preserve"> </w:t>
            </w:r>
            <w:r w:rsidRPr="00C36107">
              <w:rPr>
                <w:b/>
                <w:sz w:val="16"/>
              </w:rPr>
              <w:t>provedbe</w:t>
            </w:r>
            <w:r w:rsidRPr="00C36107">
              <w:rPr>
                <w:b/>
                <w:spacing w:val="1"/>
                <w:sz w:val="16"/>
              </w:rPr>
              <w:t xml:space="preserve"> </w:t>
            </w:r>
            <w:r w:rsidRPr="00C36107">
              <w:rPr>
                <w:b/>
                <w:sz w:val="16"/>
              </w:rPr>
              <w:t>mjere 2025.</w:t>
            </w:r>
          </w:p>
          <w:p w14:paraId="4A798DED" w14:textId="77777777" w:rsidR="00E80F33" w:rsidRPr="00C36107" w:rsidRDefault="00E80F33" w:rsidP="00E80F33">
            <w:pPr>
              <w:widowControl w:val="0"/>
              <w:autoSpaceDE w:val="0"/>
              <w:autoSpaceDN w:val="0"/>
              <w:spacing w:before="2"/>
              <w:ind w:left="70" w:right="58"/>
              <w:jc w:val="center"/>
              <w:rPr>
                <w:b/>
                <w:sz w:val="16"/>
              </w:rPr>
            </w:pPr>
            <w:r w:rsidRPr="00C36107">
              <w:rPr>
                <w:b/>
                <w:sz w:val="16"/>
              </w:rPr>
              <w:t>(u EUR)</w:t>
            </w:r>
          </w:p>
        </w:tc>
        <w:tc>
          <w:tcPr>
            <w:tcW w:w="1197" w:type="dxa"/>
            <w:vMerge w:val="restart"/>
            <w:vAlign w:val="center"/>
          </w:tcPr>
          <w:p w14:paraId="34469716" w14:textId="77777777" w:rsidR="00E80F33" w:rsidRPr="00C36107" w:rsidRDefault="00E80F33" w:rsidP="00E80F33">
            <w:pPr>
              <w:widowControl w:val="0"/>
              <w:autoSpaceDE w:val="0"/>
              <w:autoSpaceDN w:val="0"/>
              <w:ind w:left="311"/>
              <w:jc w:val="center"/>
              <w:rPr>
                <w:b/>
                <w:sz w:val="16"/>
              </w:rPr>
            </w:pPr>
            <w:r w:rsidRPr="00C36107">
              <w:rPr>
                <w:b/>
                <w:sz w:val="16"/>
              </w:rPr>
              <w:t>Ključne</w:t>
            </w:r>
          </w:p>
          <w:p w14:paraId="131F069B" w14:textId="77777777" w:rsidR="00E80F33" w:rsidRPr="00C36107" w:rsidRDefault="00E80F33" w:rsidP="00E80F33">
            <w:pPr>
              <w:widowControl w:val="0"/>
              <w:autoSpaceDE w:val="0"/>
              <w:autoSpaceDN w:val="0"/>
              <w:spacing w:before="1"/>
              <w:ind w:left="227"/>
              <w:jc w:val="center"/>
              <w:rPr>
                <w:b/>
                <w:sz w:val="16"/>
              </w:rPr>
            </w:pPr>
            <w:r w:rsidRPr="00C36107">
              <w:rPr>
                <w:b/>
                <w:sz w:val="16"/>
              </w:rPr>
              <w:t>aktivnosti</w:t>
            </w:r>
          </w:p>
        </w:tc>
        <w:tc>
          <w:tcPr>
            <w:tcW w:w="991" w:type="dxa"/>
            <w:vMerge w:val="restart"/>
            <w:vAlign w:val="center"/>
          </w:tcPr>
          <w:p w14:paraId="284D1318" w14:textId="77777777" w:rsidR="00E80F33" w:rsidRPr="00C36107" w:rsidRDefault="00E80F33" w:rsidP="00E80F33">
            <w:pPr>
              <w:widowControl w:val="0"/>
              <w:autoSpaceDE w:val="0"/>
              <w:autoSpaceDN w:val="0"/>
              <w:ind w:right="97" w:hanging="44"/>
              <w:jc w:val="center"/>
              <w:rPr>
                <w:b/>
                <w:sz w:val="16"/>
              </w:rPr>
            </w:pPr>
            <w:r w:rsidRPr="00C36107">
              <w:rPr>
                <w:b/>
                <w:sz w:val="16"/>
              </w:rPr>
              <w:t>Pokazatelj</w:t>
            </w:r>
            <w:r w:rsidRPr="00C36107">
              <w:rPr>
                <w:b/>
                <w:spacing w:val="-34"/>
                <w:sz w:val="16"/>
              </w:rPr>
              <w:t xml:space="preserve"> </w:t>
            </w:r>
            <w:r w:rsidRPr="00C36107">
              <w:rPr>
                <w:b/>
                <w:sz w:val="16"/>
              </w:rPr>
              <w:t>rezultata</w:t>
            </w:r>
          </w:p>
        </w:tc>
        <w:tc>
          <w:tcPr>
            <w:tcW w:w="992" w:type="dxa"/>
            <w:vMerge w:val="restart"/>
            <w:vAlign w:val="center"/>
          </w:tcPr>
          <w:p w14:paraId="2FE24EB2" w14:textId="77777777" w:rsidR="00E80F33" w:rsidRPr="00C36107" w:rsidRDefault="00E80F33" w:rsidP="00E80F33">
            <w:pPr>
              <w:widowControl w:val="0"/>
              <w:autoSpaceDE w:val="0"/>
              <w:autoSpaceDN w:val="0"/>
              <w:ind w:left="44" w:right="32"/>
              <w:jc w:val="center"/>
              <w:rPr>
                <w:b/>
                <w:sz w:val="16"/>
              </w:rPr>
            </w:pPr>
            <w:r w:rsidRPr="00C36107">
              <w:rPr>
                <w:b/>
                <w:sz w:val="16"/>
              </w:rPr>
              <w:t>Početna</w:t>
            </w:r>
            <w:r w:rsidRPr="00C36107">
              <w:rPr>
                <w:b/>
                <w:spacing w:val="1"/>
                <w:sz w:val="16"/>
              </w:rPr>
              <w:t xml:space="preserve"> </w:t>
            </w:r>
            <w:r w:rsidRPr="00C36107">
              <w:rPr>
                <w:b/>
                <w:sz w:val="16"/>
              </w:rPr>
              <w:t>vrijednost 2025.</w:t>
            </w:r>
          </w:p>
        </w:tc>
        <w:tc>
          <w:tcPr>
            <w:tcW w:w="2265" w:type="dxa"/>
            <w:gridSpan w:val="3"/>
            <w:vAlign w:val="center"/>
          </w:tcPr>
          <w:p w14:paraId="17F1C760" w14:textId="77777777" w:rsidR="00E80F33" w:rsidRPr="00C36107" w:rsidRDefault="00E80F33" w:rsidP="00E80F33">
            <w:pPr>
              <w:widowControl w:val="0"/>
              <w:autoSpaceDE w:val="0"/>
              <w:autoSpaceDN w:val="0"/>
              <w:ind w:left="70" w:right="56"/>
              <w:jc w:val="center"/>
              <w:rPr>
                <w:b/>
                <w:sz w:val="16"/>
              </w:rPr>
            </w:pPr>
            <w:r w:rsidRPr="00C36107">
              <w:rPr>
                <w:b/>
                <w:sz w:val="16"/>
              </w:rPr>
              <w:t>Ciljna</w:t>
            </w:r>
            <w:r w:rsidRPr="00C36107">
              <w:rPr>
                <w:b/>
                <w:spacing w:val="1"/>
                <w:sz w:val="16"/>
              </w:rPr>
              <w:t xml:space="preserve"> </w:t>
            </w:r>
            <w:r w:rsidRPr="00C36107">
              <w:rPr>
                <w:b/>
                <w:sz w:val="16"/>
              </w:rPr>
              <w:t>vrijednost</w:t>
            </w:r>
          </w:p>
        </w:tc>
      </w:tr>
      <w:tr w:rsidR="00E80F33" w:rsidRPr="00C36107" w14:paraId="585B6FBD" w14:textId="77777777" w:rsidTr="00E80F33">
        <w:trPr>
          <w:trHeight w:val="294"/>
        </w:trPr>
        <w:tc>
          <w:tcPr>
            <w:tcW w:w="993" w:type="dxa"/>
            <w:vMerge/>
          </w:tcPr>
          <w:p w14:paraId="423445FE" w14:textId="77777777" w:rsidR="00E80F33" w:rsidRPr="00C36107" w:rsidRDefault="00E80F33" w:rsidP="00E80F33">
            <w:pPr>
              <w:widowControl w:val="0"/>
              <w:autoSpaceDE w:val="0"/>
              <w:autoSpaceDN w:val="0"/>
              <w:spacing w:before="49"/>
              <w:ind w:left="44" w:right="35"/>
              <w:jc w:val="center"/>
              <w:rPr>
                <w:b/>
                <w:sz w:val="16"/>
              </w:rPr>
            </w:pPr>
          </w:p>
        </w:tc>
        <w:tc>
          <w:tcPr>
            <w:tcW w:w="850" w:type="dxa"/>
            <w:vMerge/>
          </w:tcPr>
          <w:p w14:paraId="6A6DF8F0" w14:textId="77777777" w:rsidR="00E80F33" w:rsidRPr="00C36107" w:rsidRDefault="00E80F33" w:rsidP="00E80F33">
            <w:pPr>
              <w:widowControl w:val="0"/>
              <w:autoSpaceDE w:val="0"/>
              <w:autoSpaceDN w:val="0"/>
              <w:spacing w:line="195" w:lineRule="exact"/>
              <w:ind w:left="44" w:right="35"/>
              <w:jc w:val="center"/>
              <w:rPr>
                <w:b/>
                <w:sz w:val="16"/>
              </w:rPr>
            </w:pPr>
          </w:p>
        </w:tc>
        <w:tc>
          <w:tcPr>
            <w:tcW w:w="904" w:type="dxa"/>
            <w:vMerge/>
            <w:vAlign w:val="center"/>
          </w:tcPr>
          <w:p w14:paraId="17F3FCF6" w14:textId="77777777" w:rsidR="00E80F33" w:rsidRPr="00C36107" w:rsidRDefault="00E80F33" w:rsidP="00E80F33">
            <w:pPr>
              <w:widowControl w:val="0"/>
              <w:autoSpaceDE w:val="0"/>
              <w:autoSpaceDN w:val="0"/>
              <w:ind w:left="125" w:right="114"/>
              <w:jc w:val="center"/>
              <w:rPr>
                <w:b/>
                <w:spacing w:val="-1"/>
                <w:sz w:val="16"/>
              </w:rPr>
            </w:pPr>
          </w:p>
        </w:tc>
        <w:tc>
          <w:tcPr>
            <w:tcW w:w="1003" w:type="dxa"/>
            <w:vMerge/>
            <w:vAlign w:val="center"/>
          </w:tcPr>
          <w:p w14:paraId="063C20D1" w14:textId="77777777" w:rsidR="00E80F33" w:rsidRPr="00C36107" w:rsidRDefault="00E80F33" w:rsidP="00E80F33">
            <w:pPr>
              <w:widowControl w:val="0"/>
              <w:autoSpaceDE w:val="0"/>
              <w:autoSpaceDN w:val="0"/>
              <w:ind w:left="179"/>
              <w:jc w:val="center"/>
              <w:rPr>
                <w:b/>
                <w:sz w:val="16"/>
              </w:rPr>
            </w:pPr>
          </w:p>
        </w:tc>
        <w:tc>
          <w:tcPr>
            <w:tcW w:w="1003" w:type="dxa"/>
            <w:vMerge/>
            <w:vAlign w:val="center"/>
          </w:tcPr>
          <w:p w14:paraId="4BC3B549" w14:textId="77777777" w:rsidR="00E80F33" w:rsidRPr="00C36107" w:rsidRDefault="00E80F33" w:rsidP="00E80F33">
            <w:pPr>
              <w:widowControl w:val="0"/>
              <w:autoSpaceDE w:val="0"/>
              <w:autoSpaceDN w:val="0"/>
              <w:ind w:left="70" w:right="60"/>
              <w:jc w:val="center"/>
              <w:rPr>
                <w:b/>
                <w:sz w:val="16"/>
              </w:rPr>
            </w:pPr>
          </w:p>
        </w:tc>
        <w:tc>
          <w:tcPr>
            <w:tcW w:w="1197" w:type="dxa"/>
            <w:vMerge/>
            <w:vAlign w:val="center"/>
          </w:tcPr>
          <w:p w14:paraId="2E0E96AD" w14:textId="77777777" w:rsidR="00E80F33" w:rsidRPr="00C36107" w:rsidRDefault="00E80F33" w:rsidP="00E80F33">
            <w:pPr>
              <w:widowControl w:val="0"/>
              <w:autoSpaceDE w:val="0"/>
              <w:autoSpaceDN w:val="0"/>
              <w:ind w:left="311"/>
              <w:jc w:val="center"/>
              <w:rPr>
                <w:b/>
                <w:sz w:val="16"/>
              </w:rPr>
            </w:pPr>
          </w:p>
        </w:tc>
        <w:tc>
          <w:tcPr>
            <w:tcW w:w="991" w:type="dxa"/>
            <w:vMerge/>
            <w:vAlign w:val="center"/>
          </w:tcPr>
          <w:p w14:paraId="00B72692" w14:textId="77777777" w:rsidR="00E80F33" w:rsidRPr="00C36107" w:rsidRDefault="00E80F33" w:rsidP="00E80F33">
            <w:pPr>
              <w:widowControl w:val="0"/>
              <w:autoSpaceDE w:val="0"/>
              <w:autoSpaceDN w:val="0"/>
              <w:ind w:left="174" w:right="97" w:hanging="44"/>
              <w:jc w:val="center"/>
              <w:rPr>
                <w:b/>
                <w:sz w:val="16"/>
              </w:rPr>
            </w:pPr>
          </w:p>
        </w:tc>
        <w:tc>
          <w:tcPr>
            <w:tcW w:w="992" w:type="dxa"/>
            <w:vMerge/>
            <w:tcBorders>
              <w:bottom w:val="single" w:sz="4" w:space="0" w:color="auto"/>
            </w:tcBorders>
            <w:vAlign w:val="center"/>
          </w:tcPr>
          <w:p w14:paraId="0D4F599A" w14:textId="77777777" w:rsidR="00E80F33" w:rsidRPr="00C36107" w:rsidRDefault="00E80F33" w:rsidP="00E80F33">
            <w:pPr>
              <w:widowControl w:val="0"/>
              <w:autoSpaceDE w:val="0"/>
              <w:autoSpaceDN w:val="0"/>
              <w:ind w:left="44" w:right="32"/>
              <w:jc w:val="center"/>
              <w:rPr>
                <w:b/>
                <w:sz w:val="16"/>
              </w:rPr>
            </w:pPr>
          </w:p>
        </w:tc>
        <w:tc>
          <w:tcPr>
            <w:tcW w:w="812" w:type="dxa"/>
            <w:tcBorders>
              <w:bottom w:val="single" w:sz="4" w:space="0" w:color="auto"/>
            </w:tcBorders>
            <w:vAlign w:val="center"/>
          </w:tcPr>
          <w:p w14:paraId="382D2304" w14:textId="77777777" w:rsidR="00E80F33" w:rsidRPr="00C36107" w:rsidRDefault="00E80F33" w:rsidP="00E80F33">
            <w:pPr>
              <w:widowControl w:val="0"/>
              <w:autoSpaceDE w:val="0"/>
              <w:autoSpaceDN w:val="0"/>
              <w:ind w:left="87" w:right="70"/>
              <w:jc w:val="center"/>
              <w:rPr>
                <w:b/>
                <w:sz w:val="16"/>
              </w:rPr>
            </w:pPr>
            <w:r w:rsidRPr="00C36107">
              <w:rPr>
                <w:b/>
                <w:sz w:val="16"/>
              </w:rPr>
              <w:t>za 2026.</w:t>
            </w:r>
          </w:p>
        </w:tc>
        <w:tc>
          <w:tcPr>
            <w:tcW w:w="748" w:type="dxa"/>
            <w:tcBorders>
              <w:bottom w:val="single" w:sz="4" w:space="0" w:color="auto"/>
            </w:tcBorders>
            <w:vAlign w:val="center"/>
          </w:tcPr>
          <w:p w14:paraId="79BD3C28" w14:textId="23850147" w:rsidR="00E80F33" w:rsidRPr="00C36107" w:rsidRDefault="00E80F33" w:rsidP="00E80F33">
            <w:pPr>
              <w:widowControl w:val="0"/>
              <w:autoSpaceDE w:val="0"/>
              <w:autoSpaceDN w:val="0"/>
              <w:ind w:left="75" w:right="61"/>
              <w:rPr>
                <w:b/>
                <w:sz w:val="16"/>
              </w:rPr>
            </w:pPr>
            <w:r>
              <w:rPr>
                <w:b/>
                <w:sz w:val="16"/>
              </w:rPr>
              <w:t>z</w:t>
            </w:r>
            <w:r w:rsidRPr="00C36107">
              <w:rPr>
                <w:b/>
                <w:sz w:val="16"/>
              </w:rPr>
              <w:t>a</w:t>
            </w:r>
            <w:r>
              <w:rPr>
                <w:b/>
                <w:sz w:val="16"/>
              </w:rPr>
              <w:t xml:space="preserve"> </w:t>
            </w:r>
            <w:r w:rsidRPr="00C36107">
              <w:rPr>
                <w:b/>
                <w:sz w:val="16"/>
              </w:rPr>
              <w:t>2027.</w:t>
            </w:r>
          </w:p>
        </w:tc>
        <w:tc>
          <w:tcPr>
            <w:tcW w:w="703" w:type="dxa"/>
            <w:tcBorders>
              <w:bottom w:val="single" w:sz="4" w:space="0" w:color="auto"/>
            </w:tcBorders>
            <w:vAlign w:val="center"/>
          </w:tcPr>
          <w:p w14:paraId="5180E198" w14:textId="005580A3" w:rsidR="00E80F33" w:rsidRPr="00C36107" w:rsidRDefault="00E80F33" w:rsidP="00E80F33">
            <w:pPr>
              <w:widowControl w:val="0"/>
              <w:autoSpaceDE w:val="0"/>
              <w:autoSpaceDN w:val="0"/>
              <w:ind w:left="70" w:right="56"/>
              <w:rPr>
                <w:b/>
                <w:sz w:val="16"/>
              </w:rPr>
            </w:pPr>
            <w:r>
              <w:rPr>
                <w:b/>
                <w:sz w:val="16"/>
              </w:rPr>
              <w:t>z</w:t>
            </w:r>
            <w:r w:rsidRPr="00C36107">
              <w:rPr>
                <w:b/>
                <w:sz w:val="16"/>
              </w:rPr>
              <w:t>a</w:t>
            </w:r>
            <w:r>
              <w:rPr>
                <w:b/>
                <w:sz w:val="16"/>
              </w:rPr>
              <w:t xml:space="preserve"> </w:t>
            </w:r>
            <w:r w:rsidRPr="00C36107">
              <w:rPr>
                <w:b/>
                <w:sz w:val="16"/>
              </w:rPr>
              <w:t>2028.</w:t>
            </w:r>
          </w:p>
        </w:tc>
      </w:tr>
      <w:tr w:rsidR="00E80F33" w:rsidRPr="00C36107" w14:paraId="4C30EA28" w14:textId="77777777" w:rsidTr="00E80F33">
        <w:trPr>
          <w:trHeight w:val="566"/>
        </w:trPr>
        <w:tc>
          <w:tcPr>
            <w:tcW w:w="993" w:type="dxa"/>
            <w:vMerge w:val="restart"/>
            <w:vAlign w:val="center"/>
          </w:tcPr>
          <w:p w14:paraId="46DA989A" w14:textId="77777777" w:rsidR="00E80F33" w:rsidRPr="00C36107" w:rsidRDefault="00E80F33" w:rsidP="00E80F33">
            <w:pPr>
              <w:widowControl w:val="0"/>
              <w:autoSpaceDE w:val="0"/>
              <w:autoSpaceDN w:val="0"/>
              <w:spacing w:before="49"/>
              <w:ind w:left="44" w:right="35"/>
              <w:jc w:val="center"/>
              <w:rPr>
                <w:sz w:val="16"/>
              </w:rPr>
            </w:pPr>
            <w:r w:rsidRPr="00C36107">
              <w:rPr>
                <w:sz w:val="16"/>
              </w:rPr>
              <w:t>Provedbeni program Grada Rovinja-Rovigno za razdoblje 2025.-2029. godine</w:t>
            </w:r>
          </w:p>
          <w:p w14:paraId="4B1D17D9" w14:textId="77777777" w:rsidR="00E80F33" w:rsidRPr="00C36107" w:rsidRDefault="00E80F33" w:rsidP="00E80F33">
            <w:pPr>
              <w:widowControl w:val="0"/>
              <w:autoSpaceDE w:val="0"/>
              <w:autoSpaceDN w:val="0"/>
              <w:spacing w:before="49"/>
              <w:ind w:left="44" w:right="35"/>
              <w:jc w:val="center"/>
              <w:rPr>
                <w:sz w:val="16"/>
              </w:rPr>
            </w:pPr>
            <w:r w:rsidRPr="00C36107">
              <w:rPr>
                <w:sz w:val="16"/>
              </w:rPr>
              <w:t>Provedbeni program Grada Rovinja-Rovigno za razdoblje 2025.-2029. godine</w:t>
            </w:r>
          </w:p>
        </w:tc>
        <w:tc>
          <w:tcPr>
            <w:tcW w:w="850" w:type="dxa"/>
            <w:vMerge w:val="restart"/>
            <w:vAlign w:val="center"/>
          </w:tcPr>
          <w:p w14:paraId="3628B9BF" w14:textId="77777777" w:rsidR="00E80F33" w:rsidRPr="00C36107" w:rsidRDefault="00E80F33" w:rsidP="00E80F33">
            <w:pPr>
              <w:widowControl w:val="0"/>
              <w:autoSpaceDE w:val="0"/>
              <w:autoSpaceDN w:val="0"/>
              <w:ind w:left="44" w:right="35"/>
              <w:jc w:val="center"/>
              <w:rPr>
                <w:sz w:val="16"/>
              </w:rPr>
            </w:pPr>
            <w:r w:rsidRPr="00C36107">
              <w:rPr>
                <w:sz w:val="16"/>
              </w:rPr>
              <w:t>4.1. Potpora očuvanju i razvoju sastavnica istarskog identiteta</w:t>
            </w:r>
          </w:p>
        </w:tc>
        <w:tc>
          <w:tcPr>
            <w:tcW w:w="904" w:type="dxa"/>
            <w:vMerge w:val="restart"/>
            <w:shd w:val="clear" w:color="auto" w:fill="FFF1CC"/>
            <w:vAlign w:val="center"/>
          </w:tcPr>
          <w:p w14:paraId="536AAD07" w14:textId="77777777" w:rsidR="00E80F33" w:rsidRPr="00C36107" w:rsidRDefault="00E80F33" w:rsidP="00E80F33">
            <w:pPr>
              <w:widowControl w:val="0"/>
              <w:autoSpaceDE w:val="0"/>
              <w:autoSpaceDN w:val="0"/>
              <w:spacing w:before="7"/>
              <w:jc w:val="center"/>
              <w:rPr>
                <w:sz w:val="16"/>
              </w:rPr>
            </w:pPr>
          </w:p>
        </w:tc>
        <w:tc>
          <w:tcPr>
            <w:tcW w:w="1003" w:type="dxa"/>
            <w:vMerge w:val="restart"/>
            <w:vAlign w:val="center"/>
          </w:tcPr>
          <w:p w14:paraId="3E7CBAD0" w14:textId="77777777" w:rsidR="00E80F33" w:rsidRPr="00C36107" w:rsidRDefault="00E80F33" w:rsidP="00E80F33">
            <w:pPr>
              <w:widowControl w:val="0"/>
              <w:autoSpaceDE w:val="0"/>
              <w:autoSpaceDN w:val="0"/>
              <w:spacing w:before="7"/>
              <w:jc w:val="center"/>
              <w:rPr>
                <w:sz w:val="15"/>
              </w:rPr>
            </w:pPr>
            <w:r w:rsidRPr="00C36107">
              <w:rPr>
                <w:sz w:val="15"/>
              </w:rPr>
              <w:t>Razvoj zavičajnog identiteta</w:t>
            </w:r>
          </w:p>
        </w:tc>
        <w:tc>
          <w:tcPr>
            <w:tcW w:w="1003" w:type="dxa"/>
            <w:vMerge w:val="restart"/>
            <w:shd w:val="clear" w:color="auto" w:fill="FFF1CC"/>
            <w:vAlign w:val="center"/>
          </w:tcPr>
          <w:p w14:paraId="52178C29" w14:textId="77777777" w:rsidR="00E80F33" w:rsidRPr="00C36107" w:rsidRDefault="00E80F33" w:rsidP="00E80F33">
            <w:pPr>
              <w:widowControl w:val="0"/>
              <w:autoSpaceDE w:val="0"/>
              <w:autoSpaceDN w:val="0"/>
              <w:jc w:val="center"/>
              <w:rPr>
                <w:sz w:val="16"/>
              </w:rPr>
            </w:pPr>
            <w:r w:rsidRPr="00C36107">
              <w:rPr>
                <w:sz w:val="16"/>
              </w:rPr>
              <w:t>2.421.906,00</w:t>
            </w:r>
          </w:p>
        </w:tc>
        <w:tc>
          <w:tcPr>
            <w:tcW w:w="1197" w:type="dxa"/>
            <w:vMerge w:val="restart"/>
            <w:vAlign w:val="center"/>
          </w:tcPr>
          <w:p w14:paraId="6C68EF7C" w14:textId="77777777" w:rsidR="00E80F33" w:rsidRDefault="00E80F33" w:rsidP="00E80F33">
            <w:pPr>
              <w:widowControl w:val="0"/>
              <w:autoSpaceDE w:val="0"/>
              <w:autoSpaceDN w:val="0"/>
              <w:spacing w:before="7"/>
              <w:jc w:val="center"/>
              <w:rPr>
                <w:b/>
                <w:sz w:val="16"/>
              </w:rPr>
            </w:pPr>
            <w:r w:rsidRPr="00C36107">
              <w:rPr>
                <w:b/>
                <w:sz w:val="16"/>
              </w:rPr>
              <w:t>Proračunski korisnik 34491: Pučko otvoreno učilište Grada Rovinja-Rovigno Proračunski korisnik</w:t>
            </w:r>
          </w:p>
          <w:p w14:paraId="10B86C26" w14:textId="77777777" w:rsidR="00E80F33" w:rsidRDefault="00E80F33" w:rsidP="00E80F33">
            <w:pPr>
              <w:widowControl w:val="0"/>
              <w:autoSpaceDE w:val="0"/>
              <w:autoSpaceDN w:val="0"/>
              <w:spacing w:before="7"/>
              <w:jc w:val="center"/>
              <w:rPr>
                <w:b/>
                <w:sz w:val="16"/>
              </w:rPr>
            </w:pPr>
          </w:p>
          <w:p w14:paraId="0E19AA46" w14:textId="77777777" w:rsidR="00E80F33" w:rsidRDefault="00E80F33" w:rsidP="00E80F33">
            <w:pPr>
              <w:widowControl w:val="0"/>
              <w:autoSpaceDE w:val="0"/>
              <w:autoSpaceDN w:val="0"/>
              <w:spacing w:before="7"/>
              <w:jc w:val="center"/>
              <w:rPr>
                <w:b/>
                <w:sz w:val="16"/>
              </w:rPr>
            </w:pPr>
          </w:p>
          <w:p w14:paraId="09A60950" w14:textId="77777777" w:rsidR="00E80F33" w:rsidRPr="00C36107" w:rsidRDefault="00E80F33" w:rsidP="00E80F33">
            <w:pPr>
              <w:widowControl w:val="0"/>
              <w:autoSpaceDE w:val="0"/>
              <w:autoSpaceDN w:val="0"/>
              <w:spacing w:before="7"/>
              <w:jc w:val="center"/>
              <w:rPr>
                <w:b/>
                <w:sz w:val="16"/>
              </w:rPr>
            </w:pPr>
            <w:r w:rsidRPr="00C36107">
              <w:rPr>
                <w:b/>
                <w:sz w:val="16"/>
              </w:rPr>
              <w:t>37994:  Muzej Grada Rovinja-Rovigno</w:t>
            </w:r>
          </w:p>
          <w:p w14:paraId="41BFF949" w14:textId="77777777" w:rsidR="00E80F33" w:rsidRDefault="00E80F33" w:rsidP="00E80F33">
            <w:pPr>
              <w:widowControl w:val="0"/>
              <w:autoSpaceDE w:val="0"/>
              <w:autoSpaceDN w:val="0"/>
              <w:spacing w:before="7"/>
              <w:jc w:val="center"/>
              <w:rPr>
                <w:b/>
                <w:sz w:val="16"/>
              </w:rPr>
            </w:pPr>
            <w:r w:rsidRPr="00C36107">
              <w:rPr>
                <w:b/>
                <w:sz w:val="16"/>
              </w:rPr>
              <w:t xml:space="preserve">Proračunski korisnik </w:t>
            </w:r>
          </w:p>
          <w:p w14:paraId="7CCB3A56" w14:textId="77777777" w:rsidR="00E80F33" w:rsidRDefault="00E80F33" w:rsidP="00E80F33">
            <w:pPr>
              <w:widowControl w:val="0"/>
              <w:autoSpaceDE w:val="0"/>
              <w:autoSpaceDN w:val="0"/>
              <w:spacing w:before="7"/>
              <w:jc w:val="center"/>
              <w:rPr>
                <w:b/>
                <w:sz w:val="16"/>
              </w:rPr>
            </w:pPr>
          </w:p>
          <w:p w14:paraId="1B89E6C3" w14:textId="77777777" w:rsidR="00E80F33" w:rsidRDefault="00E80F33" w:rsidP="00E80F33">
            <w:pPr>
              <w:widowControl w:val="0"/>
              <w:autoSpaceDE w:val="0"/>
              <w:autoSpaceDN w:val="0"/>
              <w:spacing w:before="7"/>
              <w:jc w:val="center"/>
              <w:rPr>
                <w:b/>
                <w:sz w:val="16"/>
              </w:rPr>
            </w:pPr>
          </w:p>
          <w:p w14:paraId="14668183" w14:textId="77777777" w:rsidR="00E80F33" w:rsidRDefault="00E80F33" w:rsidP="00E80F33">
            <w:pPr>
              <w:widowControl w:val="0"/>
              <w:autoSpaceDE w:val="0"/>
              <w:autoSpaceDN w:val="0"/>
              <w:spacing w:before="7"/>
              <w:jc w:val="center"/>
              <w:rPr>
                <w:b/>
                <w:sz w:val="16"/>
              </w:rPr>
            </w:pPr>
          </w:p>
          <w:p w14:paraId="3B833AAF" w14:textId="77777777" w:rsidR="00E80F33" w:rsidRDefault="00E80F33" w:rsidP="00E80F33">
            <w:pPr>
              <w:widowControl w:val="0"/>
              <w:autoSpaceDE w:val="0"/>
              <w:autoSpaceDN w:val="0"/>
              <w:spacing w:before="7"/>
              <w:jc w:val="center"/>
              <w:rPr>
                <w:b/>
                <w:sz w:val="16"/>
              </w:rPr>
            </w:pPr>
          </w:p>
          <w:p w14:paraId="346F18FA" w14:textId="77777777" w:rsidR="00E80F33" w:rsidRDefault="00E80F33" w:rsidP="00E80F33">
            <w:pPr>
              <w:widowControl w:val="0"/>
              <w:autoSpaceDE w:val="0"/>
              <w:autoSpaceDN w:val="0"/>
              <w:spacing w:before="7"/>
              <w:jc w:val="center"/>
              <w:rPr>
                <w:b/>
                <w:sz w:val="16"/>
              </w:rPr>
            </w:pPr>
            <w:r w:rsidRPr="00C36107">
              <w:rPr>
                <w:b/>
                <w:sz w:val="16"/>
              </w:rPr>
              <w:t>42215: Gradska knjižnica „Matija Vlačić Ilirik“ Rovinj-Rovigno</w:t>
            </w:r>
          </w:p>
          <w:p w14:paraId="251DFAA6" w14:textId="77777777" w:rsidR="00E80F33" w:rsidRDefault="00E80F33" w:rsidP="00E80F33">
            <w:pPr>
              <w:widowControl w:val="0"/>
              <w:autoSpaceDE w:val="0"/>
              <w:autoSpaceDN w:val="0"/>
              <w:spacing w:before="7"/>
              <w:jc w:val="center"/>
              <w:rPr>
                <w:b/>
                <w:sz w:val="16"/>
              </w:rPr>
            </w:pPr>
          </w:p>
          <w:p w14:paraId="0A258541" w14:textId="77777777" w:rsidR="00E80F33" w:rsidRDefault="00E80F33" w:rsidP="00E80F33">
            <w:pPr>
              <w:widowControl w:val="0"/>
              <w:autoSpaceDE w:val="0"/>
              <w:autoSpaceDN w:val="0"/>
              <w:spacing w:before="7"/>
              <w:jc w:val="center"/>
              <w:rPr>
                <w:b/>
                <w:sz w:val="16"/>
              </w:rPr>
            </w:pPr>
          </w:p>
          <w:p w14:paraId="5C75C503" w14:textId="77777777" w:rsidR="00E80F33" w:rsidRPr="00C36107" w:rsidRDefault="00E80F33" w:rsidP="00E80F33">
            <w:pPr>
              <w:widowControl w:val="0"/>
              <w:autoSpaceDE w:val="0"/>
              <w:autoSpaceDN w:val="0"/>
              <w:spacing w:before="7"/>
              <w:jc w:val="center"/>
              <w:rPr>
                <w:b/>
                <w:sz w:val="16"/>
              </w:rPr>
            </w:pPr>
          </w:p>
          <w:p w14:paraId="2D13D8FC" w14:textId="77777777" w:rsidR="00E80F33" w:rsidRPr="00F5410C" w:rsidRDefault="00E80F33" w:rsidP="00E80F33">
            <w:pPr>
              <w:widowControl w:val="0"/>
              <w:autoSpaceDE w:val="0"/>
              <w:autoSpaceDN w:val="0"/>
              <w:spacing w:before="7"/>
              <w:jc w:val="center"/>
              <w:rPr>
                <w:b/>
                <w:bCs/>
                <w:sz w:val="16"/>
              </w:rPr>
            </w:pPr>
            <w:r w:rsidRPr="00F5410C">
              <w:rPr>
                <w:b/>
                <w:bCs/>
                <w:sz w:val="16"/>
              </w:rPr>
              <w:t>52573:</w:t>
            </w:r>
          </w:p>
          <w:p w14:paraId="6D780DAA" w14:textId="77777777" w:rsidR="00E80F33" w:rsidRPr="00C36107" w:rsidRDefault="00E80F33" w:rsidP="00E80F33">
            <w:pPr>
              <w:widowControl w:val="0"/>
              <w:autoSpaceDE w:val="0"/>
              <w:autoSpaceDN w:val="0"/>
              <w:spacing w:before="7"/>
              <w:jc w:val="center"/>
              <w:rPr>
                <w:b/>
                <w:sz w:val="16"/>
              </w:rPr>
            </w:pPr>
            <w:r w:rsidRPr="00F5410C">
              <w:rPr>
                <w:b/>
                <w:bCs/>
                <w:sz w:val="16"/>
              </w:rPr>
              <w:t xml:space="preserve"> Kuća o batani </w:t>
            </w:r>
            <w:r>
              <w:rPr>
                <w:b/>
                <w:bCs/>
                <w:sz w:val="16"/>
              </w:rPr>
              <w:t>-</w:t>
            </w:r>
            <w:r w:rsidRPr="00F5410C">
              <w:rPr>
                <w:b/>
                <w:bCs/>
                <w:sz w:val="16"/>
              </w:rPr>
              <w:t>Casa della batana</w:t>
            </w:r>
          </w:p>
        </w:tc>
        <w:tc>
          <w:tcPr>
            <w:tcW w:w="991" w:type="dxa"/>
            <w:tcBorders>
              <w:right w:val="single" w:sz="4" w:space="0" w:color="auto"/>
            </w:tcBorders>
            <w:shd w:val="clear" w:color="000000" w:fill="FFFFFF"/>
            <w:vAlign w:val="center"/>
          </w:tcPr>
          <w:p w14:paraId="31B135F5" w14:textId="77777777" w:rsidR="00E80F33" w:rsidRPr="00C36107" w:rsidRDefault="00E80F33" w:rsidP="00E80F33">
            <w:pPr>
              <w:widowControl w:val="0"/>
              <w:autoSpaceDE w:val="0"/>
              <w:autoSpaceDN w:val="0"/>
              <w:jc w:val="center"/>
              <w:rPr>
                <w:sz w:val="16"/>
                <w:highlight w:val="yellow"/>
              </w:rPr>
            </w:pPr>
            <w:r w:rsidRPr="00C36107">
              <w:rPr>
                <w:sz w:val="16"/>
              </w:rPr>
              <w:t>Broj učenika i sudionika</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6FD3F0" w14:textId="77777777" w:rsidR="00E80F33" w:rsidRPr="00C36107" w:rsidRDefault="00E80F33" w:rsidP="00E80F33">
            <w:pPr>
              <w:widowControl w:val="0"/>
              <w:autoSpaceDE w:val="0"/>
              <w:autoSpaceDN w:val="0"/>
              <w:jc w:val="center"/>
              <w:rPr>
                <w:sz w:val="16"/>
              </w:rPr>
            </w:pPr>
            <w:r w:rsidRPr="00C36107">
              <w:rPr>
                <w:sz w:val="16"/>
              </w:rPr>
              <w:t>100</w:t>
            </w:r>
          </w:p>
        </w:tc>
        <w:tc>
          <w:tcPr>
            <w:tcW w:w="8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229985" w14:textId="77777777" w:rsidR="00E80F33" w:rsidRPr="00C36107" w:rsidRDefault="00E80F33" w:rsidP="00E80F33">
            <w:pPr>
              <w:widowControl w:val="0"/>
              <w:autoSpaceDE w:val="0"/>
              <w:autoSpaceDN w:val="0"/>
              <w:jc w:val="center"/>
              <w:rPr>
                <w:sz w:val="16"/>
              </w:rPr>
            </w:pPr>
            <w:r w:rsidRPr="00C36107">
              <w:rPr>
                <w:sz w:val="16"/>
              </w:rPr>
              <w:t>200</w:t>
            </w:r>
          </w:p>
        </w:tc>
        <w:tc>
          <w:tcPr>
            <w:tcW w:w="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685C8F" w14:textId="77777777" w:rsidR="00E80F33" w:rsidRPr="00C36107" w:rsidRDefault="00E80F33" w:rsidP="00E80F33">
            <w:pPr>
              <w:widowControl w:val="0"/>
              <w:autoSpaceDE w:val="0"/>
              <w:autoSpaceDN w:val="0"/>
              <w:jc w:val="center"/>
              <w:rPr>
                <w:sz w:val="16"/>
              </w:rPr>
            </w:pPr>
            <w:r w:rsidRPr="00C36107">
              <w:rPr>
                <w:sz w:val="16"/>
              </w:rPr>
              <w:t>200</w:t>
            </w:r>
          </w:p>
        </w:tc>
        <w:tc>
          <w:tcPr>
            <w:tcW w:w="7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B39A3C" w14:textId="77777777" w:rsidR="00E80F33" w:rsidRPr="00C36107" w:rsidRDefault="00E80F33" w:rsidP="00E80F33">
            <w:pPr>
              <w:widowControl w:val="0"/>
              <w:autoSpaceDE w:val="0"/>
              <w:autoSpaceDN w:val="0"/>
              <w:jc w:val="center"/>
              <w:rPr>
                <w:sz w:val="16"/>
              </w:rPr>
            </w:pPr>
            <w:r w:rsidRPr="00C36107">
              <w:rPr>
                <w:sz w:val="16"/>
              </w:rPr>
              <w:t>300</w:t>
            </w:r>
          </w:p>
        </w:tc>
      </w:tr>
      <w:tr w:rsidR="00E80F33" w:rsidRPr="00C36107" w14:paraId="40DD499B" w14:textId="77777777" w:rsidTr="00E80F33">
        <w:trPr>
          <w:trHeight w:val="566"/>
        </w:trPr>
        <w:tc>
          <w:tcPr>
            <w:tcW w:w="993" w:type="dxa"/>
            <w:vMerge/>
            <w:vAlign w:val="center"/>
          </w:tcPr>
          <w:p w14:paraId="0B93CBD6" w14:textId="77777777" w:rsidR="00E80F33" w:rsidRPr="00C36107" w:rsidRDefault="00E80F33" w:rsidP="00E80F33">
            <w:pPr>
              <w:widowControl w:val="0"/>
              <w:autoSpaceDE w:val="0"/>
              <w:autoSpaceDN w:val="0"/>
              <w:spacing w:before="49"/>
              <w:ind w:left="44" w:right="35"/>
              <w:jc w:val="center"/>
              <w:rPr>
                <w:sz w:val="16"/>
              </w:rPr>
            </w:pPr>
          </w:p>
        </w:tc>
        <w:tc>
          <w:tcPr>
            <w:tcW w:w="850" w:type="dxa"/>
            <w:vMerge/>
            <w:vAlign w:val="center"/>
          </w:tcPr>
          <w:p w14:paraId="3FFF9946" w14:textId="77777777" w:rsidR="00E80F33" w:rsidRPr="00C36107" w:rsidRDefault="00E80F33" w:rsidP="00E80F33">
            <w:pPr>
              <w:widowControl w:val="0"/>
              <w:autoSpaceDE w:val="0"/>
              <w:autoSpaceDN w:val="0"/>
              <w:ind w:left="44" w:right="35"/>
              <w:jc w:val="center"/>
              <w:rPr>
                <w:sz w:val="16"/>
              </w:rPr>
            </w:pPr>
          </w:p>
        </w:tc>
        <w:tc>
          <w:tcPr>
            <w:tcW w:w="904" w:type="dxa"/>
            <w:vMerge/>
            <w:shd w:val="clear" w:color="auto" w:fill="FFF1CC"/>
            <w:vAlign w:val="center"/>
          </w:tcPr>
          <w:p w14:paraId="4BA7E5AD" w14:textId="77777777" w:rsidR="00E80F33" w:rsidRPr="00C36107" w:rsidRDefault="00E80F33" w:rsidP="00E80F33">
            <w:pPr>
              <w:widowControl w:val="0"/>
              <w:autoSpaceDE w:val="0"/>
              <w:autoSpaceDN w:val="0"/>
              <w:spacing w:before="7"/>
              <w:jc w:val="center"/>
              <w:rPr>
                <w:sz w:val="16"/>
              </w:rPr>
            </w:pPr>
          </w:p>
        </w:tc>
        <w:tc>
          <w:tcPr>
            <w:tcW w:w="1003" w:type="dxa"/>
            <w:vMerge/>
            <w:vAlign w:val="center"/>
          </w:tcPr>
          <w:p w14:paraId="0322F01F" w14:textId="77777777" w:rsidR="00E80F33" w:rsidRPr="00C36107" w:rsidRDefault="00E80F33" w:rsidP="00E80F33">
            <w:pPr>
              <w:widowControl w:val="0"/>
              <w:autoSpaceDE w:val="0"/>
              <w:autoSpaceDN w:val="0"/>
              <w:spacing w:before="7"/>
              <w:jc w:val="center"/>
              <w:rPr>
                <w:sz w:val="15"/>
              </w:rPr>
            </w:pPr>
          </w:p>
        </w:tc>
        <w:tc>
          <w:tcPr>
            <w:tcW w:w="1003" w:type="dxa"/>
            <w:vMerge/>
            <w:shd w:val="clear" w:color="auto" w:fill="FFF1CC"/>
            <w:vAlign w:val="center"/>
          </w:tcPr>
          <w:p w14:paraId="6E6299AB" w14:textId="77777777" w:rsidR="00E80F33" w:rsidRPr="00C36107" w:rsidRDefault="00E80F33" w:rsidP="00E80F33">
            <w:pPr>
              <w:widowControl w:val="0"/>
              <w:autoSpaceDE w:val="0"/>
              <w:autoSpaceDN w:val="0"/>
              <w:jc w:val="center"/>
              <w:rPr>
                <w:sz w:val="16"/>
              </w:rPr>
            </w:pPr>
          </w:p>
        </w:tc>
        <w:tc>
          <w:tcPr>
            <w:tcW w:w="1197" w:type="dxa"/>
            <w:vMerge/>
            <w:vAlign w:val="center"/>
          </w:tcPr>
          <w:p w14:paraId="57AE2F1B" w14:textId="77777777" w:rsidR="00E80F33" w:rsidRPr="00C36107" w:rsidRDefault="00E80F33" w:rsidP="00E80F33">
            <w:pPr>
              <w:widowControl w:val="0"/>
              <w:autoSpaceDE w:val="0"/>
              <w:autoSpaceDN w:val="0"/>
              <w:spacing w:before="7"/>
              <w:jc w:val="center"/>
              <w:rPr>
                <w:b/>
                <w:sz w:val="16"/>
              </w:rPr>
            </w:pPr>
          </w:p>
        </w:tc>
        <w:tc>
          <w:tcPr>
            <w:tcW w:w="991" w:type="dxa"/>
            <w:tcBorders>
              <w:right w:val="single" w:sz="4" w:space="0" w:color="auto"/>
            </w:tcBorders>
            <w:shd w:val="clear" w:color="000000" w:fill="FFFFFF"/>
            <w:vAlign w:val="center"/>
          </w:tcPr>
          <w:p w14:paraId="505204A3" w14:textId="77777777" w:rsidR="00E80F33" w:rsidRPr="00C36107" w:rsidRDefault="00E80F33" w:rsidP="00E80F33">
            <w:pPr>
              <w:widowControl w:val="0"/>
              <w:autoSpaceDE w:val="0"/>
              <w:autoSpaceDN w:val="0"/>
              <w:jc w:val="center"/>
              <w:rPr>
                <w:sz w:val="16"/>
                <w:highlight w:val="yellow"/>
              </w:rPr>
            </w:pPr>
            <w:r w:rsidRPr="00C36107">
              <w:rPr>
                <w:sz w:val="16"/>
              </w:rPr>
              <w:t>Broj odgojno obrazovnih institucija koje sud</w:t>
            </w:r>
            <w:r>
              <w:rPr>
                <w:sz w:val="16"/>
              </w:rPr>
              <w:t>j</w:t>
            </w:r>
            <w:r w:rsidRPr="00C36107">
              <w:rPr>
                <w:sz w:val="16"/>
              </w:rPr>
              <w:t>eluju</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8B548" w14:textId="77777777" w:rsidR="00E80F33" w:rsidRPr="00C36107" w:rsidRDefault="00E80F33" w:rsidP="00E80F33">
            <w:pPr>
              <w:widowControl w:val="0"/>
              <w:autoSpaceDE w:val="0"/>
              <w:autoSpaceDN w:val="0"/>
              <w:jc w:val="center"/>
              <w:rPr>
                <w:sz w:val="16"/>
              </w:rPr>
            </w:pPr>
            <w:r w:rsidRPr="00C36107">
              <w:rPr>
                <w:sz w:val="16"/>
              </w:rPr>
              <w:t>4</w:t>
            </w:r>
          </w:p>
        </w:tc>
        <w:tc>
          <w:tcPr>
            <w:tcW w:w="8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9F83B8" w14:textId="77777777" w:rsidR="00E80F33" w:rsidRPr="00C36107" w:rsidRDefault="00E80F33" w:rsidP="00E80F33">
            <w:pPr>
              <w:widowControl w:val="0"/>
              <w:autoSpaceDE w:val="0"/>
              <w:autoSpaceDN w:val="0"/>
              <w:jc w:val="center"/>
              <w:rPr>
                <w:sz w:val="16"/>
              </w:rPr>
            </w:pPr>
            <w:r w:rsidRPr="00C36107">
              <w:rPr>
                <w:sz w:val="16"/>
              </w:rPr>
              <w:t>4</w:t>
            </w:r>
          </w:p>
        </w:tc>
        <w:tc>
          <w:tcPr>
            <w:tcW w:w="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8CE75C" w14:textId="77777777" w:rsidR="00E80F33" w:rsidRPr="00C36107" w:rsidRDefault="00E80F33" w:rsidP="00E80F33">
            <w:pPr>
              <w:widowControl w:val="0"/>
              <w:autoSpaceDE w:val="0"/>
              <w:autoSpaceDN w:val="0"/>
              <w:jc w:val="center"/>
              <w:rPr>
                <w:sz w:val="16"/>
              </w:rPr>
            </w:pPr>
            <w:r w:rsidRPr="00C36107">
              <w:rPr>
                <w:sz w:val="16"/>
              </w:rPr>
              <w:t>5</w:t>
            </w:r>
          </w:p>
        </w:tc>
        <w:tc>
          <w:tcPr>
            <w:tcW w:w="7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949322" w14:textId="77777777" w:rsidR="00E80F33" w:rsidRPr="00C36107" w:rsidRDefault="00E80F33" w:rsidP="00E80F33">
            <w:pPr>
              <w:widowControl w:val="0"/>
              <w:autoSpaceDE w:val="0"/>
              <w:autoSpaceDN w:val="0"/>
              <w:jc w:val="center"/>
              <w:rPr>
                <w:sz w:val="16"/>
              </w:rPr>
            </w:pPr>
            <w:r w:rsidRPr="00C36107">
              <w:rPr>
                <w:sz w:val="16"/>
              </w:rPr>
              <w:t>5</w:t>
            </w:r>
          </w:p>
        </w:tc>
      </w:tr>
      <w:tr w:rsidR="00E80F33" w:rsidRPr="00C36107" w14:paraId="741E6BFF" w14:textId="77777777" w:rsidTr="00E80F33">
        <w:trPr>
          <w:trHeight w:val="571"/>
        </w:trPr>
        <w:tc>
          <w:tcPr>
            <w:tcW w:w="993" w:type="dxa"/>
            <w:vMerge/>
            <w:vAlign w:val="center"/>
          </w:tcPr>
          <w:p w14:paraId="045D9960" w14:textId="77777777" w:rsidR="00E80F33" w:rsidRPr="00C36107" w:rsidRDefault="00E80F33" w:rsidP="00E80F33">
            <w:pPr>
              <w:widowControl w:val="0"/>
              <w:autoSpaceDE w:val="0"/>
              <w:autoSpaceDN w:val="0"/>
              <w:spacing w:before="49"/>
              <w:ind w:left="44" w:right="35"/>
              <w:jc w:val="center"/>
              <w:rPr>
                <w:sz w:val="16"/>
              </w:rPr>
            </w:pPr>
          </w:p>
        </w:tc>
        <w:tc>
          <w:tcPr>
            <w:tcW w:w="850" w:type="dxa"/>
            <w:vMerge/>
            <w:vAlign w:val="center"/>
          </w:tcPr>
          <w:p w14:paraId="15D1B817" w14:textId="77777777" w:rsidR="00E80F33" w:rsidRPr="00C36107" w:rsidRDefault="00E80F33" w:rsidP="00E80F33">
            <w:pPr>
              <w:widowControl w:val="0"/>
              <w:autoSpaceDE w:val="0"/>
              <w:autoSpaceDN w:val="0"/>
              <w:ind w:left="44" w:right="35"/>
              <w:jc w:val="center"/>
              <w:rPr>
                <w:sz w:val="16"/>
              </w:rPr>
            </w:pPr>
          </w:p>
        </w:tc>
        <w:tc>
          <w:tcPr>
            <w:tcW w:w="904" w:type="dxa"/>
            <w:vMerge/>
            <w:shd w:val="clear" w:color="auto" w:fill="FFF1CC"/>
            <w:vAlign w:val="center"/>
          </w:tcPr>
          <w:p w14:paraId="29901762" w14:textId="77777777" w:rsidR="00E80F33" w:rsidRPr="00C36107" w:rsidRDefault="00E80F33" w:rsidP="00E80F33">
            <w:pPr>
              <w:widowControl w:val="0"/>
              <w:autoSpaceDE w:val="0"/>
              <w:autoSpaceDN w:val="0"/>
              <w:spacing w:before="7"/>
              <w:jc w:val="center"/>
              <w:rPr>
                <w:sz w:val="16"/>
                <w:highlight w:val="yellow"/>
              </w:rPr>
            </w:pPr>
          </w:p>
        </w:tc>
        <w:tc>
          <w:tcPr>
            <w:tcW w:w="1003" w:type="dxa"/>
            <w:vMerge/>
            <w:vAlign w:val="center"/>
          </w:tcPr>
          <w:p w14:paraId="17DDD9F4" w14:textId="77777777" w:rsidR="00E80F33" w:rsidRPr="00C36107" w:rsidRDefault="00E80F33" w:rsidP="00E80F33">
            <w:pPr>
              <w:widowControl w:val="0"/>
              <w:autoSpaceDE w:val="0"/>
              <w:autoSpaceDN w:val="0"/>
              <w:spacing w:before="7"/>
              <w:jc w:val="center"/>
              <w:rPr>
                <w:sz w:val="15"/>
                <w:highlight w:val="yellow"/>
              </w:rPr>
            </w:pPr>
          </w:p>
        </w:tc>
        <w:tc>
          <w:tcPr>
            <w:tcW w:w="1003" w:type="dxa"/>
            <w:vMerge/>
            <w:shd w:val="clear" w:color="auto" w:fill="FFF1CC"/>
            <w:vAlign w:val="center"/>
          </w:tcPr>
          <w:p w14:paraId="34FF26D4" w14:textId="77777777" w:rsidR="00E80F33" w:rsidRPr="00C36107" w:rsidRDefault="00E80F33" w:rsidP="00E80F33">
            <w:pPr>
              <w:widowControl w:val="0"/>
              <w:autoSpaceDE w:val="0"/>
              <w:autoSpaceDN w:val="0"/>
              <w:jc w:val="center"/>
              <w:rPr>
                <w:sz w:val="16"/>
                <w:highlight w:val="yellow"/>
              </w:rPr>
            </w:pPr>
          </w:p>
        </w:tc>
        <w:tc>
          <w:tcPr>
            <w:tcW w:w="1197" w:type="dxa"/>
            <w:vMerge/>
            <w:vAlign w:val="center"/>
          </w:tcPr>
          <w:p w14:paraId="3B816DE7" w14:textId="77777777" w:rsidR="00E80F33" w:rsidRPr="00C36107" w:rsidRDefault="00E80F33" w:rsidP="00E80F33">
            <w:pPr>
              <w:widowControl w:val="0"/>
              <w:autoSpaceDE w:val="0"/>
              <w:autoSpaceDN w:val="0"/>
              <w:spacing w:before="7"/>
              <w:jc w:val="center"/>
              <w:rPr>
                <w:sz w:val="16"/>
                <w:highlight w:val="yellow"/>
              </w:rPr>
            </w:pPr>
          </w:p>
        </w:tc>
        <w:tc>
          <w:tcPr>
            <w:tcW w:w="991" w:type="dxa"/>
            <w:tcBorders>
              <w:right w:val="single" w:sz="4" w:space="0" w:color="auto"/>
            </w:tcBorders>
            <w:shd w:val="clear" w:color="000000" w:fill="FFFFFF"/>
            <w:vAlign w:val="center"/>
          </w:tcPr>
          <w:p w14:paraId="6F621D6B" w14:textId="77777777" w:rsidR="00E80F33" w:rsidRPr="00C36107" w:rsidRDefault="00E80F33" w:rsidP="00E80F33">
            <w:pPr>
              <w:widowControl w:val="0"/>
              <w:autoSpaceDE w:val="0"/>
              <w:autoSpaceDN w:val="0"/>
              <w:jc w:val="center"/>
              <w:rPr>
                <w:sz w:val="16"/>
                <w:highlight w:val="yellow"/>
              </w:rPr>
            </w:pPr>
            <w:r w:rsidRPr="00C36107">
              <w:rPr>
                <w:sz w:val="16"/>
              </w:rPr>
              <w:t>Broj manifestacija</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0F7E4B" w14:textId="77777777" w:rsidR="00E80F33" w:rsidRPr="00C36107" w:rsidRDefault="00E80F33" w:rsidP="00E80F33">
            <w:pPr>
              <w:widowControl w:val="0"/>
              <w:autoSpaceDE w:val="0"/>
              <w:autoSpaceDN w:val="0"/>
              <w:jc w:val="center"/>
              <w:rPr>
                <w:sz w:val="16"/>
              </w:rPr>
            </w:pPr>
            <w:r w:rsidRPr="00C36107">
              <w:rPr>
                <w:sz w:val="16"/>
              </w:rPr>
              <w:t>5</w:t>
            </w:r>
          </w:p>
        </w:tc>
        <w:tc>
          <w:tcPr>
            <w:tcW w:w="8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6CD6CA" w14:textId="77777777" w:rsidR="00E80F33" w:rsidRPr="00C36107" w:rsidRDefault="00E80F33" w:rsidP="00E80F33">
            <w:pPr>
              <w:widowControl w:val="0"/>
              <w:autoSpaceDE w:val="0"/>
              <w:autoSpaceDN w:val="0"/>
              <w:jc w:val="center"/>
              <w:rPr>
                <w:sz w:val="16"/>
              </w:rPr>
            </w:pPr>
            <w:r w:rsidRPr="00C36107">
              <w:rPr>
                <w:sz w:val="16"/>
              </w:rPr>
              <w:t>6</w:t>
            </w:r>
          </w:p>
        </w:tc>
        <w:tc>
          <w:tcPr>
            <w:tcW w:w="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78F187" w14:textId="77777777" w:rsidR="00E80F33" w:rsidRPr="00C36107" w:rsidRDefault="00E80F33" w:rsidP="00E80F33">
            <w:pPr>
              <w:widowControl w:val="0"/>
              <w:autoSpaceDE w:val="0"/>
              <w:autoSpaceDN w:val="0"/>
              <w:jc w:val="center"/>
              <w:rPr>
                <w:sz w:val="16"/>
              </w:rPr>
            </w:pPr>
            <w:r w:rsidRPr="00C36107">
              <w:rPr>
                <w:sz w:val="16"/>
              </w:rPr>
              <w:t>6</w:t>
            </w:r>
          </w:p>
        </w:tc>
        <w:tc>
          <w:tcPr>
            <w:tcW w:w="7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D6A254" w14:textId="77777777" w:rsidR="00E80F33" w:rsidRPr="00C36107" w:rsidRDefault="00E80F33" w:rsidP="00E80F33">
            <w:pPr>
              <w:widowControl w:val="0"/>
              <w:autoSpaceDE w:val="0"/>
              <w:autoSpaceDN w:val="0"/>
              <w:jc w:val="center"/>
              <w:rPr>
                <w:sz w:val="16"/>
              </w:rPr>
            </w:pPr>
            <w:r w:rsidRPr="00C36107">
              <w:rPr>
                <w:sz w:val="16"/>
              </w:rPr>
              <w:t>7</w:t>
            </w:r>
          </w:p>
        </w:tc>
      </w:tr>
      <w:tr w:rsidR="00E80F33" w:rsidRPr="00C36107" w14:paraId="4E8C1ED4" w14:textId="77777777" w:rsidTr="00E80F33">
        <w:trPr>
          <w:trHeight w:val="566"/>
        </w:trPr>
        <w:tc>
          <w:tcPr>
            <w:tcW w:w="993" w:type="dxa"/>
            <w:vMerge/>
            <w:vAlign w:val="center"/>
          </w:tcPr>
          <w:p w14:paraId="4E21FCAA" w14:textId="77777777" w:rsidR="00E80F33" w:rsidRPr="00C36107" w:rsidRDefault="00E80F33" w:rsidP="00E80F33">
            <w:pPr>
              <w:widowControl w:val="0"/>
              <w:autoSpaceDE w:val="0"/>
              <w:autoSpaceDN w:val="0"/>
              <w:spacing w:before="49"/>
              <w:ind w:left="44" w:right="35"/>
              <w:jc w:val="center"/>
              <w:rPr>
                <w:sz w:val="16"/>
              </w:rPr>
            </w:pPr>
          </w:p>
        </w:tc>
        <w:tc>
          <w:tcPr>
            <w:tcW w:w="850" w:type="dxa"/>
            <w:vMerge w:val="restart"/>
            <w:vAlign w:val="center"/>
          </w:tcPr>
          <w:p w14:paraId="08E6D64F" w14:textId="77777777" w:rsidR="00E80F33" w:rsidRPr="00C36107" w:rsidRDefault="00E80F33" w:rsidP="00E80F33">
            <w:pPr>
              <w:widowControl w:val="0"/>
              <w:autoSpaceDE w:val="0"/>
              <w:autoSpaceDN w:val="0"/>
              <w:ind w:left="44" w:right="35"/>
              <w:jc w:val="center"/>
              <w:rPr>
                <w:sz w:val="16"/>
              </w:rPr>
            </w:pPr>
            <w:r w:rsidRPr="00C36107">
              <w:rPr>
                <w:sz w:val="16"/>
              </w:rPr>
              <w:t>4.2. Razvoj kulturnog sektora, te jačanje kulturnog identiteta, baštine i tradicije</w:t>
            </w:r>
          </w:p>
        </w:tc>
        <w:tc>
          <w:tcPr>
            <w:tcW w:w="904" w:type="dxa"/>
            <w:vMerge/>
            <w:shd w:val="clear" w:color="auto" w:fill="FFF1CC"/>
            <w:vAlign w:val="center"/>
          </w:tcPr>
          <w:p w14:paraId="1AB8524B" w14:textId="77777777" w:rsidR="00E80F33" w:rsidRPr="00C36107" w:rsidRDefault="00E80F33" w:rsidP="00E80F33">
            <w:pPr>
              <w:widowControl w:val="0"/>
              <w:autoSpaceDE w:val="0"/>
              <w:autoSpaceDN w:val="0"/>
              <w:spacing w:before="7"/>
              <w:jc w:val="center"/>
              <w:rPr>
                <w:sz w:val="16"/>
              </w:rPr>
            </w:pPr>
          </w:p>
        </w:tc>
        <w:tc>
          <w:tcPr>
            <w:tcW w:w="1003" w:type="dxa"/>
            <w:vMerge w:val="restart"/>
            <w:vAlign w:val="center"/>
          </w:tcPr>
          <w:p w14:paraId="2C39C690" w14:textId="77777777" w:rsidR="00E80F33" w:rsidRPr="00C36107" w:rsidRDefault="00E80F33" w:rsidP="00E80F33">
            <w:pPr>
              <w:widowControl w:val="0"/>
              <w:autoSpaceDE w:val="0"/>
              <w:autoSpaceDN w:val="0"/>
              <w:spacing w:before="7"/>
              <w:jc w:val="center"/>
              <w:rPr>
                <w:sz w:val="15"/>
              </w:rPr>
            </w:pPr>
            <w:r w:rsidRPr="00C36107">
              <w:rPr>
                <w:sz w:val="15"/>
              </w:rPr>
              <w:t>Očuvanje nematerijalne baštine, obnova materijalne baštine te njihova valorizacija i prezentacija</w:t>
            </w:r>
          </w:p>
        </w:tc>
        <w:tc>
          <w:tcPr>
            <w:tcW w:w="1003" w:type="dxa"/>
            <w:vMerge/>
            <w:shd w:val="clear" w:color="auto" w:fill="FFF1CC"/>
            <w:vAlign w:val="center"/>
          </w:tcPr>
          <w:p w14:paraId="3F834872" w14:textId="77777777" w:rsidR="00E80F33" w:rsidRPr="00C36107" w:rsidRDefault="00E80F33" w:rsidP="00E80F33">
            <w:pPr>
              <w:widowControl w:val="0"/>
              <w:autoSpaceDE w:val="0"/>
              <w:autoSpaceDN w:val="0"/>
              <w:jc w:val="center"/>
              <w:rPr>
                <w:sz w:val="16"/>
              </w:rPr>
            </w:pPr>
          </w:p>
        </w:tc>
        <w:tc>
          <w:tcPr>
            <w:tcW w:w="1197" w:type="dxa"/>
            <w:vMerge/>
            <w:vAlign w:val="center"/>
          </w:tcPr>
          <w:p w14:paraId="2A7F17DB" w14:textId="77777777" w:rsidR="00E80F33" w:rsidRPr="00C36107" w:rsidRDefault="00E80F33" w:rsidP="00E80F33">
            <w:pPr>
              <w:widowControl w:val="0"/>
              <w:autoSpaceDE w:val="0"/>
              <w:autoSpaceDN w:val="0"/>
              <w:spacing w:before="7"/>
              <w:jc w:val="center"/>
              <w:rPr>
                <w:b/>
                <w:sz w:val="16"/>
              </w:rPr>
            </w:pPr>
          </w:p>
        </w:tc>
        <w:tc>
          <w:tcPr>
            <w:tcW w:w="991" w:type="dxa"/>
            <w:tcBorders>
              <w:right w:val="single" w:sz="4" w:space="0" w:color="auto"/>
            </w:tcBorders>
            <w:shd w:val="clear" w:color="000000" w:fill="FFFFFF"/>
            <w:vAlign w:val="center"/>
          </w:tcPr>
          <w:p w14:paraId="68C2E940" w14:textId="77777777" w:rsidR="00E80F33" w:rsidRPr="00C36107" w:rsidRDefault="00E80F33" w:rsidP="00E80F33">
            <w:pPr>
              <w:widowControl w:val="0"/>
              <w:autoSpaceDE w:val="0"/>
              <w:autoSpaceDN w:val="0"/>
              <w:jc w:val="center"/>
              <w:rPr>
                <w:sz w:val="16"/>
              </w:rPr>
            </w:pPr>
            <w:r w:rsidRPr="00C36107">
              <w:rPr>
                <w:sz w:val="16"/>
              </w:rPr>
              <w:t>Broj sudionika u radionicama i manifestacijama</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7B1B09" w14:textId="77777777" w:rsidR="00E80F33" w:rsidRPr="00C36107" w:rsidRDefault="00E80F33" w:rsidP="00E80F33">
            <w:pPr>
              <w:widowControl w:val="0"/>
              <w:autoSpaceDE w:val="0"/>
              <w:autoSpaceDN w:val="0"/>
              <w:jc w:val="center"/>
              <w:rPr>
                <w:sz w:val="16"/>
              </w:rPr>
            </w:pPr>
            <w:r w:rsidRPr="00C36107">
              <w:rPr>
                <w:sz w:val="16"/>
              </w:rPr>
              <w:t>15</w:t>
            </w:r>
          </w:p>
        </w:tc>
        <w:tc>
          <w:tcPr>
            <w:tcW w:w="8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C8F97E" w14:textId="77777777" w:rsidR="00E80F33" w:rsidRPr="00C36107" w:rsidRDefault="00E80F33" w:rsidP="00E80F33">
            <w:pPr>
              <w:widowControl w:val="0"/>
              <w:autoSpaceDE w:val="0"/>
              <w:autoSpaceDN w:val="0"/>
              <w:jc w:val="center"/>
              <w:rPr>
                <w:sz w:val="16"/>
              </w:rPr>
            </w:pPr>
            <w:r w:rsidRPr="00C36107">
              <w:rPr>
                <w:sz w:val="16"/>
              </w:rPr>
              <w:t>15</w:t>
            </w:r>
          </w:p>
        </w:tc>
        <w:tc>
          <w:tcPr>
            <w:tcW w:w="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182CB7" w14:textId="77777777" w:rsidR="00E80F33" w:rsidRPr="00C36107" w:rsidRDefault="00E80F33" w:rsidP="00E80F33">
            <w:pPr>
              <w:widowControl w:val="0"/>
              <w:autoSpaceDE w:val="0"/>
              <w:autoSpaceDN w:val="0"/>
              <w:jc w:val="center"/>
              <w:rPr>
                <w:sz w:val="16"/>
              </w:rPr>
            </w:pPr>
            <w:r w:rsidRPr="00C36107">
              <w:rPr>
                <w:sz w:val="16"/>
              </w:rPr>
              <w:t>15</w:t>
            </w:r>
          </w:p>
        </w:tc>
        <w:tc>
          <w:tcPr>
            <w:tcW w:w="7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784F6F" w14:textId="77777777" w:rsidR="00E80F33" w:rsidRPr="00C36107" w:rsidRDefault="00E80F33" w:rsidP="00E80F33">
            <w:pPr>
              <w:widowControl w:val="0"/>
              <w:autoSpaceDE w:val="0"/>
              <w:autoSpaceDN w:val="0"/>
              <w:jc w:val="center"/>
              <w:rPr>
                <w:sz w:val="16"/>
              </w:rPr>
            </w:pPr>
            <w:r w:rsidRPr="00C36107">
              <w:rPr>
                <w:sz w:val="16"/>
              </w:rPr>
              <w:t>15</w:t>
            </w:r>
          </w:p>
        </w:tc>
      </w:tr>
      <w:tr w:rsidR="00E80F33" w:rsidRPr="00C36107" w14:paraId="60E98E41" w14:textId="77777777" w:rsidTr="00E80F33">
        <w:trPr>
          <w:trHeight w:val="566"/>
        </w:trPr>
        <w:tc>
          <w:tcPr>
            <w:tcW w:w="993" w:type="dxa"/>
            <w:vMerge/>
            <w:vAlign w:val="center"/>
          </w:tcPr>
          <w:p w14:paraId="70878C1F" w14:textId="77777777" w:rsidR="00E80F33" w:rsidRPr="00C36107" w:rsidRDefault="00E80F33" w:rsidP="00E80F33">
            <w:pPr>
              <w:widowControl w:val="0"/>
              <w:autoSpaceDE w:val="0"/>
              <w:autoSpaceDN w:val="0"/>
              <w:spacing w:before="49"/>
              <w:ind w:left="44" w:right="35"/>
              <w:jc w:val="center"/>
              <w:rPr>
                <w:sz w:val="16"/>
              </w:rPr>
            </w:pPr>
          </w:p>
        </w:tc>
        <w:tc>
          <w:tcPr>
            <w:tcW w:w="850" w:type="dxa"/>
            <w:vMerge/>
            <w:vAlign w:val="center"/>
          </w:tcPr>
          <w:p w14:paraId="1B176AB0" w14:textId="77777777" w:rsidR="00E80F33" w:rsidRPr="00C36107" w:rsidRDefault="00E80F33" w:rsidP="00E80F33">
            <w:pPr>
              <w:widowControl w:val="0"/>
              <w:autoSpaceDE w:val="0"/>
              <w:autoSpaceDN w:val="0"/>
              <w:ind w:left="44" w:right="35"/>
              <w:jc w:val="center"/>
              <w:rPr>
                <w:sz w:val="16"/>
              </w:rPr>
            </w:pPr>
          </w:p>
        </w:tc>
        <w:tc>
          <w:tcPr>
            <w:tcW w:w="904" w:type="dxa"/>
            <w:vMerge/>
            <w:shd w:val="clear" w:color="auto" w:fill="FFF1CC"/>
            <w:vAlign w:val="center"/>
          </w:tcPr>
          <w:p w14:paraId="6C64AB4A" w14:textId="77777777" w:rsidR="00E80F33" w:rsidRPr="00C36107" w:rsidRDefault="00E80F33" w:rsidP="00E80F33">
            <w:pPr>
              <w:widowControl w:val="0"/>
              <w:autoSpaceDE w:val="0"/>
              <w:autoSpaceDN w:val="0"/>
              <w:spacing w:before="7"/>
              <w:jc w:val="center"/>
              <w:rPr>
                <w:sz w:val="16"/>
              </w:rPr>
            </w:pPr>
          </w:p>
        </w:tc>
        <w:tc>
          <w:tcPr>
            <w:tcW w:w="1003" w:type="dxa"/>
            <w:vMerge/>
            <w:vAlign w:val="center"/>
          </w:tcPr>
          <w:p w14:paraId="6D0C2F6A" w14:textId="77777777" w:rsidR="00E80F33" w:rsidRPr="00C36107" w:rsidRDefault="00E80F33" w:rsidP="00E80F33">
            <w:pPr>
              <w:widowControl w:val="0"/>
              <w:autoSpaceDE w:val="0"/>
              <w:autoSpaceDN w:val="0"/>
              <w:spacing w:before="7"/>
              <w:jc w:val="center"/>
              <w:rPr>
                <w:sz w:val="15"/>
              </w:rPr>
            </w:pPr>
          </w:p>
        </w:tc>
        <w:tc>
          <w:tcPr>
            <w:tcW w:w="1003" w:type="dxa"/>
            <w:vMerge/>
            <w:shd w:val="clear" w:color="auto" w:fill="FFF1CC"/>
            <w:vAlign w:val="center"/>
          </w:tcPr>
          <w:p w14:paraId="0783E754" w14:textId="77777777" w:rsidR="00E80F33" w:rsidRPr="00C36107" w:rsidRDefault="00E80F33" w:rsidP="00E80F33">
            <w:pPr>
              <w:widowControl w:val="0"/>
              <w:autoSpaceDE w:val="0"/>
              <w:autoSpaceDN w:val="0"/>
              <w:jc w:val="center"/>
              <w:rPr>
                <w:sz w:val="16"/>
              </w:rPr>
            </w:pPr>
          </w:p>
        </w:tc>
        <w:tc>
          <w:tcPr>
            <w:tcW w:w="1197" w:type="dxa"/>
            <w:vMerge/>
            <w:vAlign w:val="center"/>
          </w:tcPr>
          <w:p w14:paraId="6A4E31B1" w14:textId="77777777" w:rsidR="00E80F33" w:rsidRPr="00C36107" w:rsidRDefault="00E80F33" w:rsidP="00E80F33">
            <w:pPr>
              <w:widowControl w:val="0"/>
              <w:autoSpaceDE w:val="0"/>
              <w:autoSpaceDN w:val="0"/>
              <w:spacing w:before="7"/>
              <w:jc w:val="center"/>
              <w:rPr>
                <w:b/>
                <w:sz w:val="16"/>
              </w:rPr>
            </w:pPr>
          </w:p>
        </w:tc>
        <w:tc>
          <w:tcPr>
            <w:tcW w:w="991" w:type="dxa"/>
            <w:tcBorders>
              <w:right w:val="single" w:sz="4" w:space="0" w:color="auto"/>
            </w:tcBorders>
            <w:shd w:val="clear" w:color="000000" w:fill="FFFFFF"/>
            <w:vAlign w:val="center"/>
          </w:tcPr>
          <w:p w14:paraId="54D54BA2" w14:textId="77777777" w:rsidR="00E80F33" w:rsidRPr="00C36107" w:rsidRDefault="00E80F33" w:rsidP="00E80F33">
            <w:pPr>
              <w:widowControl w:val="0"/>
              <w:autoSpaceDE w:val="0"/>
              <w:autoSpaceDN w:val="0"/>
              <w:jc w:val="center"/>
              <w:rPr>
                <w:sz w:val="16"/>
              </w:rPr>
            </w:pPr>
            <w:r w:rsidRPr="00C36107">
              <w:rPr>
                <w:sz w:val="16"/>
              </w:rPr>
              <w:t>Broj održanih manifestacija</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C37B1E" w14:textId="77777777" w:rsidR="00E80F33" w:rsidRPr="00C36107" w:rsidRDefault="00E80F33" w:rsidP="00E80F33">
            <w:pPr>
              <w:widowControl w:val="0"/>
              <w:autoSpaceDE w:val="0"/>
              <w:autoSpaceDN w:val="0"/>
              <w:jc w:val="center"/>
              <w:rPr>
                <w:sz w:val="16"/>
              </w:rPr>
            </w:pPr>
            <w:r w:rsidRPr="00C36107">
              <w:rPr>
                <w:sz w:val="16"/>
              </w:rPr>
              <w:t>5</w:t>
            </w:r>
          </w:p>
        </w:tc>
        <w:tc>
          <w:tcPr>
            <w:tcW w:w="8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56EBA5" w14:textId="77777777" w:rsidR="00E80F33" w:rsidRPr="00C36107" w:rsidRDefault="00E80F33" w:rsidP="00E80F33">
            <w:pPr>
              <w:widowControl w:val="0"/>
              <w:autoSpaceDE w:val="0"/>
              <w:autoSpaceDN w:val="0"/>
              <w:jc w:val="center"/>
              <w:rPr>
                <w:sz w:val="16"/>
              </w:rPr>
            </w:pPr>
            <w:r w:rsidRPr="00C36107">
              <w:rPr>
                <w:sz w:val="16"/>
              </w:rPr>
              <w:t>5</w:t>
            </w:r>
          </w:p>
        </w:tc>
        <w:tc>
          <w:tcPr>
            <w:tcW w:w="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9ABFD5" w14:textId="77777777" w:rsidR="00E80F33" w:rsidRPr="00C36107" w:rsidRDefault="00E80F33" w:rsidP="00E80F33">
            <w:pPr>
              <w:widowControl w:val="0"/>
              <w:autoSpaceDE w:val="0"/>
              <w:autoSpaceDN w:val="0"/>
              <w:jc w:val="center"/>
              <w:rPr>
                <w:sz w:val="16"/>
              </w:rPr>
            </w:pPr>
            <w:r w:rsidRPr="00C36107">
              <w:rPr>
                <w:sz w:val="16"/>
              </w:rPr>
              <w:t>5</w:t>
            </w:r>
          </w:p>
        </w:tc>
        <w:tc>
          <w:tcPr>
            <w:tcW w:w="7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BE0C45" w14:textId="77777777" w:rsidR="00E80F33" w:rsidRPr="00C36107" w:rsidRDefault="00E80F33" w:rsidP="00E80F33">
            <w:pPr>
              <w:widowControl w:val="0"/>
              <w:autoSpaceDE w:val="0"/>
              <w:autoSpaceDN w:val="0"/>
              <w:jc w:val="center"/>
              <w:rPr>
                <w:sz w:val="16"/>
              </w:rPr>
            </w:pPr>
            <w:r w:rsidRPr="00C36107">
              <w:rPr>
                <w:sz w:val="16"/>
              </w:rPr>
              <w:t>5</w:t>
            </w:r>
          </w:p>
        </w:tc>
      </w:tr>
      <w:tr w:rsidR="00E80F33" w:rsidRPr="00C36107" w14:paraId="5D4A1DF1" w14:textId="77777777" w:rsidTr="00E80F33">
        <w:trPr>
          <w:trHeight w:val="566"/>
        </w:trPr>
        <w:tc>
          <w:tcPr>
            <w:tcW w:w="993" w:type="dxa"/>
            <w:vMerge/>
            <w:vAlign w:val="center"/>
          </w:tcPr>
          <w:p w14:paraId="7B032F9F" w14:textId="77777777" w:rsidR="00E80F33" w:rsidRPr="00C36107" w:rsidRDefault="00E80F33" w:rsidP="00E80F33">
            <w:pPr>
              <w:widowControl w:val="0"/>
              <w:autoSpaceDE w:val="0"/>
              <w:autoSpaceDN w:val="0"/>
              <w:spacing w:before="49"/>
              <w:ind w:left="44" w:right="35"/>
              <w:jc w:val="center"/>
              <w:rPr>
                <w:sz w:val="16"/>
              </w:rPr>
            </w:pPr>
          </w:p>
        </w:tc>
        <w:tc>
          <w:tcPr>
            <w:tcW w:w="850" w:type="dxa"/>
            <w:vMerge/>
            <w:vAlign w:val="center"/>
          </w:tcPr>
          <w:p w14:paraId="4446E910" w14:textId="77777777" w:rsidR="00E80F33" w:rsidRPr="00C36107" w:rsidRDefault="00E80F33" w:rsidP="00E80F33">
            <w:pPr>
              <w:widowControl w:val="0"/>
              <w:autoSpaceDE w:val="0"/>
              <w:autoSpaceDN w:val="0"/>
              <w:ind w:left="44" w:right="35"/>
              <w:jc w:val="center"/>
              <w:rPr>
                <w:sz w:val="16"/>
              </w:rPr>
            </w:pPr>
          </w:p>
        </w:tc>
        <w:tc>
          <w:tcPr>
            <w:tcW w:w="904" w:type="dxa"/>
            <w:vMerge/>
            <w:shd w:val="clear" w:color="auto" w:fill="FFF1CC"/>
            <w:vAlign w:val="center"/>
          </w:tcPr>
          <w:p w14:paraId="6F67DFDB" w14:textId="77777777" w:rsidR="00E80F33" w:rsidRPr="00C36107" w:rsidRDefault="00E80F33" w:rsidP="00E80F33">
            <w:pPr>
              <w:widowControl w:val="0"/>
              <w:autoSpaceDE w:val="0"/>
              <w:autoSpaceDN w:val="0"/>
              <w:spacing w:before="7"/>
              <w:jc w:val="center"/>
              <w:rPr>
                <w:sz w:val="16"/>
              </w:rPr>
            </w:pPr>
          </w:p>
        </w:tc>
        <w:tc>
          <w:tcPr>
            <w:tcW w:w="1003" w:type="dxa"/>
            <w:vMerge/>
            <w:vAlign w:val="center"/>
          </w:tcPr>
          <w:p w14:paraId="7F03B49D" w14:textId="77777777" w:rsidR="00E80F33" w:rsidRPr="00C36107" w:rsidRDefault="00E80F33" w:rsidP="00E80F33">
            <w:pPr>
              <w:widowControl w:val="0"/>
              <w:autoSpaceDE w:val="0"/>
              <w:autoSpaceDN w:val="0"/>
              <w:spacing w:before="7"/>
              <w:jc w:val="center"/>
              <w:rPr>
                <w:sz w:val="15"/>
              </w:rPr>
            </w:pPr>
          </w:p>
        </w:tc>
        <w:tc>
          <w:tcPr>
            <w:tcW w:w="1003" w:type="dxa"/>
            <w:vMerge/>
            <w:shd w:val="clear" w:color="auto" w:fill="FFF1CC"/>
            <w:vAlign w:val="center"/>
          </w:tcPr>
          <w:p w14:paraId="4C34E624" w14:textId="77777777" w:rsidR="00E80F33" w:rsidRPr="00C36107" w:rsidRDefault="00E80F33" w:rsidP="00E80F33">
            <w:pPr>
              <w:widowControl w:val="0"/>
              <w:autoSpaceDE w:val="0"/>
              <w:autoSpaceDN w:val="0"/>
              <w:jc w:val="center"/>
              <w:rPr>
                <w:sz w:val="16"/>
              </w:rPr>
            </w:pPr>
          </w:p>
        </w:tc>
        <w:tc>
          <w:tcPr>
            <w:tcW w:w="1197" w:type="dxa"/>
            <w:vMerge/>
            <w:vAlign w:val="center"/>
          </w:tcPr>
          <w:p w14:paraId="246DDDB4" w14:textId="77777777" w:rsidR="00E80F33" w:rsidRPr="00C36107" w:rsidRDefault="00E80F33" w:rsidP="00E80F33">
            <w:pPr>
              <w:widowControl w:val="0"/>
              <w:autoSpaceDE w:val="0"/>
              <w:autoSpaceDN w:val="0"/>
              <w:spacing w:before="7"/>
              <w:jc w:val="center"/>
              <w:rPr>
                <w:b/>
                <w:sz w:val="16"/>
              </w:rPr>
            </w:pPr>
          </w:p>
        </w:tc>
        <w:tc>
          <w:tcPr>
            <w:tcW w:w="991" w:type="dxa"/>
            <w:tcBorders>
              <w:right w:val="single" w:sz="4" w:space="0" w:color="auto"/>
            </w:tcBorders>
            <w:shd w:val="clear" w:color="000000" w:fill="FFFFFF"/>
            <w:vAlign w:val="center"/>
          </w:tcPr>
          <w:p w14:paraId="25DF0813" w14:textId="77777777" w:rsidR="00E80F33" w:rsidRPr="00C36107" w:rsidRDefault="00E80F33" w:rsidP="00E80F33">
            <w:pPr>
              <w:widowControl w:val="0"/>
              <w:autoSpaceDE w:val="0"/>
              <w:autoSpaceDN w:val="0"/>
              <w:jc w:val="center"/>
              <w:rPr>
                <w:sz w:val="16"/>
              </w:rPr>
            </w:pPr>
            <w:r w:rsidRPr="00C36107">
              <w:rPr>
                <w:sz w:val="16"/>
              </w:rPr>
              <w:t>Broj organiziranih radionica</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4597E4" w14:textId="77777777" w:rsidR="00E80F33" w:rsidRPr="00C36107" w:rsidRDefault="00E80F33" w:rsidP="00E80F33">
            <w:pPr>
              <w:widowControl w:val="0"/>
              <w:autoSpaceDE w:val="0"/>
              <w:autoSpaceDN w:val="0"/>
              <w:jc w:val="center"/>
              <w:rPr>
                <w:sz w:val="16"/>
              </w:rPr>
            </w:pPr>
            <w:r w:rsidRPr="00C36107">
              <w:rPr>
                <w:sz w:val="16"/>
              </w:rPr>
              <w:t>3</w:t>
            </w:r>
          </w:p>
        </w:tc>
        <w:tc>
          <w:tcPr>
            <w:tcW w:w="8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E1019D" w14:textId="77777777" w:rsidR="00E80F33" w:rsidRPr="00C36107" w:rsidRDefault="00E80F33" w:rsidP="00E80F33">
            <w:pPr>
              <w:widowControl w:val="0"/>
              <w:autoSpaceDE w:val="0"/>
              <w:autoSpaceDN w:val="0"/>
              <w:jc w:val="center"/>
              <w:rPr>
                <w:sz w:val="16"/>
              </w:rPr>
            </w:pPr>
            <w:r w:rsidRPr="00C36107">
              <w:rPr>
                <w:sz w:val="16"/>
              </w:rPr>
              <w:t>4</w:t>
            </w:r>
          </w:p>
        </w:tc>
        <w:tc>
          <w:tcPr>
            <w:tcW w:w="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079A35" w14:textId="77777777" w:rsidR="00E80F33" w:rsidRPr="00C36107" w:rsidRDefault="00E80F33" w:rsidP="00E80F33">
            <w:pPr>
              <w:widowControl w:val="0"/>
              <w:autoSpaceDE w:val="0"/>
              <w:autoSpaceDN w:val="0"/>
              <w:jc w:val="center"/>
              <w:rPr>
                <w:sz w:val="16"/>
              </w:rPr>
            </w:pPr>
            <w:r w:rsidRPr="00C36107">
              <w:rPr>
                <w:sz w:val="16"/>
              </w:rPr>
              <w:t>5</w:t>
            </w:r>
          </w:p>
        </w:tc>
        <w:tc>
          <w:tcPr>
            <w:tcW w:w="7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B3C99C" w14:textId="77777777" w:rsidR="00E80F33" w:rsidRPr="00C36107" w:rsidRDefault="00E80F33" w:rsidP="00E80F33">
            <w:pPr>
              <w:widowControl w:val="0"/>
              <w:autoSpaceDE w:val="0"/>
              <w:autoSpaceDN w:val="0"/>
              <w:jc w:val="center"/>
              <w:rPr>
                <w:sz w:val="16"/>
              </w:rPr>
            </w:pPr>
            <w:r w:rsidRPr="00C36107">
              <w:rPr>
                <w:sz w:val="16"/>
              </w:rPr>
              <w:t>6</w:t>
            </w:r>
          </w:p>
        </w:tc>
      </w:tr>
      <w:tr w:rsidR="00E80F33" w:rsidRPr="00C36107" w14:paraId="0954A60A" w14:textId="77777777" w:rsidTr="00E80F33">
        <w:trPr>
          <w:trHeight w:val="566"/>
        </w:trPr>
        <w:tc>
          <w:tcPr>
            <w:tcW w:w="993" w:type="dxa"/>
            <w:vMerge/>
            <w:vAlign w:val="center"/>
          </w:tcPr>
          <w:p w14:paraId="7F6B9032" w14:textId="77777777" w:rsidR="00E80F33" w:rsidRPr="00C36107" w:rsidRDefault="00E80F33" w:rsidP="00E80F33">
            <w:pPr>
              <w:widowControl w:val="0"/>
              <w:autoSpaceDE w:val="0"/>
              <w:autoSpaceDN w:val="0"/>
              <w:spacing w:before="49"/>
              <w:ind w:left="44" w:right="35"/>
              <w:jc w:val="center"/>
              <w:rPr>
                <w:sz w:val="16"/>
              </w:rPr>
            </w:pPr>
          </w:p>
        </w:tc>
        <w:tc>
          <w:tcPr>
            <w:tcW w:w="850" w:type="dxa"/>
            <w:vMerge/>
            <w:vAlign w:val="center"/>
          </w:tcPr>
          <w:p w14:paraId="5C87D2B6" w14:textId="77777777" w:rsidR="00E80F33" w:rsidRPr="00C36107" w:rsidRDefault="00E80F33" w:rsidP="00E80F33">
            <w:pPr>
              <w:widowControl w:val="0"/>
              <w:autoSpaceDE w:val="0"/>
              <w:autoSpaceDN w:val="0"/>
              <w:ind w:left="44" w:right="35"/>
              <w:jc w:val="center"/>
              <w:rPr>
                <w:sz w:val="16"/>
              </w:rPr>
            </w:pPr>
          </w:p>
        </w:tc>
        <w:tc>
          <w:tcPr>
            <w:tcW w:w="904" w:type="dxa"/>
            <w:vMerge/>
            <w:shd w:val="clear" w:color="auto" w:fill="FFF1CC"/>
            <w:vAlign w:val="center"/>
          </w:tcPr>
          <w:p w14:paraId="61AB7664" w14:textId="77777777" w:rsidR="00E80F33" w:rsidRPr="00C36107" w:rsidRDefault="00E80F33" w:rsidP="00E80F33">
            <w:pPr>
              <w:widowControl w:val="0"/>
              <w:autoSpaceDE w:val="0"/>
              <w:autoSpaceDN w:val="0"/>
              <w:spacing w:before="7"/>
              <w:jc w:val="center"/>
              <w:rPr>
                <w:sz w:val="16"/>
              </w:rPr>
            </w:pPr>
          </w:p>
        </w:tc>
        <w:tc>
          <w:tcPr>
            <w:tcW w:w="1003" w:type="dxa"/>
            <w:vMerge/>
            <w:vAlign w:val="center"/>
          </w:tcPr>
          <w:p w14:paraId="09E9D836" w14:textId="77777777" w:rsidR="00E80F33" w:rsidRPr="00C36107" w:rsidRDefault="00E80F33" w:rsidP="00E80F33">
            <w:pPr>
              <w:widowControl w:val="0"/>
              <w:autoSpaceDE w:val="0"/>
              <w:autoSpaceDN w:val="0"/>
              <w:spacing w:before="7"/>
              <w:jc w:val="center"/>
              <w:rPr>
                <w:sz w:val="15"/>
              </w:rPr>
            </w:pPr>
          </w:p>
        </w:tc>
        <w:tc>
          <w:tcPr>
            <w:tcW w:w="1003" w:type="dxa"/>
            <w:vMerge/>
            <w:shd w:val="clear" w:color="auto" w:fill="FFF1CC"/>
            <w:vAlign w:val="center"/>
          </w:tcPr>
          <w:p w14:paraId="6B184916" w14:textId="77777777" w:rsidR="00E80F33" w:rsidRPr="00C36107" w:rsidRDefault="00E80F33" w:rsidP="00E80F33">
            <w:pPr>
              <w:widowControl w:val="0"/>
              <w:autoSpaceDE w:val="0"/>
              <w:autoSpaceDN w:val="0"/>
              <w:jc w:val="center"/>
              <w:rPr>
                <w:sz w:val="16"/>
              </w:rPr>
            </w:pPr>
          </w:p>
        </w:tc>
        <w:tc>
          <w:tcPr>
            <w:tcW w:w="1197" w:type="dxa"/>
            <w:vMerge/>
            <w:vAlign w:val="center"/>
          </w:tcPr>
          <w:p w14:paraId="1DB8B70C" w14:textId="77777777" w:rsidR="00E80F33" w:rsidRPr="00C36107" w:rsidRDefault="00E80F33" w:rsidP="00E80F33">
            <w:pPr>
              <w:widowControl w:val="0"/>
              <w:autoSpaceDE w:val="0"/>
              <w:autoSpaceDN w:val="0"/>
              <w:spacing w:before="7"/>
              <w:jc w:val="center"/>
              <w:rPr>
                <w:b/>
                <w:sz w:val="16"/>
              </w:rPr>
            </w:pPr>
          </w:p>
        </w:tc>
        <w:tc>
          <w:tcPr>
            <w:tcW w:w="991" w:type="dxa"/>
            <w:tcBorders>
              <w:right w:val="single" w:sz="4" w:space="0" w:color="auto"/>
            </w:tcBorders>
            <w:shd w:val="clear" w:color="000000" w:fill="FFFFFF"/>
            <w:vAlign w:val="center"/>
          </w:tcPr>
          <w:p w14:paraId="52530A1F" w14:textId="77777777" w:rsidR="00E80F33" w:rsidRPr="00C36107" w:rsidRDefault="00E80F33" w:rsidP="00E80F33">
            <w:pPr>
              <w:widowControl w:val="0"/>
              <w:autoSpaceDE w:val="0"/>
              <w:autoSpaceDN w:val="0"/>
              <w:jc w:val="center"/>
              <w:rPr>
                <w:sz w:val="16"/>
              </w:rPr>
            </w:pPr>
            <w:r w:rsidRPr="00C36107">
              <w:rPr>
                <w:sz w:val="16"/>
              </w:rPr>
              <w:t>Broj prevedenih, sastavljenih i tiskanih edicija o rovinjskoj memoriji, tradiciji i kulturno-povijesnoj baštini</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B81B08" w14:textId="77777777" w:rsidR="00E80F33" w:rsidRPr="00C36107" w:rsidRDefault="00E80F33" w:rsidP="00E80F33">
            <w:pPr>
              <w:widowControl w:val="0"/>
              <w:autoSpaceDE w:val="0"/>
              <w:autoSpaceDN w:val="0"/>
              <w:jc w:val="center"/>
              <w:rPr>
                <w:sz w:val="16"/>
              </w:rPr>
            </w:pPr>
            <w:r w:rsidRPr="00C36107">
              <w:rPr>
                <w:sz w:val="16"/>
              </w:rPr>
              <w:t>1</w:t>
            </w:r>
          </w:p>
        </w:tc>
        <w:tc>
          <w:tcPr>
            <w:tcW w:w="8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F1DE97" w14:textId="77777777" w:rsidR="00E80F33" w:rsidRPr="00C36107" w:rsidRDefault="00E80F33" w:rsidP="00E80F33">
            <w:pPr>
              <w:widowControl w:val="0"/>
              <w:autoSpaceDE w:val="0"/>
              <w:autoSpaceDN w:val="0"/>
              <w:jc w:val="center"/>
              <w:rPr>
                <w:sz w:val="16"/>
              </w:rPr>
            </w:pPr>
            <w:r w:rsidRPr="00C36107">
              <w:rPr>
                <w:sz w:val="16"/>
              </w:rPr>
              <w:t>2</w:t>
            </w:r>
          </w:p>
        </w:tc>
        <w:tc>
          <w:tcPr>
            <w:tcW w:w="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F53B25" w14:textId="77777777" w:rsidR="00E80F33" w:rsidRPr="00C36107" w:rsidRDefault="00E80F33" w:rsidP="00E80F33">
            <w:pPr>
              <w:widowControl w:val="0"/>
              <w:autoSpaceDE w:val="0"/>
              <w:autoSpaceDN w:val="0"/>
              <w:jc w:val="center"/>
              <w:rPr>
                <w:sz w:val="16"/>
              </w:rPr>
            </w:pPr>
            <w:r w:rsidRPr="00C36107">
              <w:rPr>
                <w:sz w:val="16"/>
              </w:rPr>
              <w:t>4</w:t>
            </w:r>
          </w:p>
        </w:tc>
        <w:tc>
          <w:tcPr>
            <w:tcW w:w="7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EAD0AF" w14:textId="77777777" w:rsidR="00E80F33" w:rsidRPr="00C36107" w:rsidRDefault="00E80F33" w:rsidP="00E80F33">
            <w:pPr>
              <w:widowControl w:val="0"/>
              <w:autoSpaceDE w:val="0"/>
              <w:autoSpaceDN w:val="0"/>
              <w:jc w:val="center"/>
              <w:rPr>
                <w:sz w:val="16"/>
              </w:rPr>
            </w:pPr>
            <w:r w:rsidRPr="00C36107">
              <w:rPr>
                <w:sz w:val="16"/>
              </w:rPr>
              <w:t>5</w:t>
            </w:r>
          </w:p>
        </w:tc>
      </w:tr>
      <w:tr w:rsidR="00E80F33" w:rsidRPr="00442187" w14:paraId="4B965C43" w14:textId="77777777" w:rsidTr="00E80F33">
        <w:trPr>
          <w:trHeight w:val="566"/>
        </w:trPr>
        <w:tc>
          <w:tcPr>
            <w:tcW w:w="993" w:type="dxa"/>
            <w:vMerge/>
            <w:vAlign w:val="center"/>
          </w:tcPr>
          <w:p w14:paraId="0F7286A8" w14:textId="77777777" w:rsidR="00E80F33" w:rsidRPr="00442187" w:rsidRDefault="00E80F33" w:rsidP="00E80F33">
            <w:pPr>
              <w:widowControl w:val="0"/>
              <w:autoSpaceDE w:val="0"/>
              <w:autoSpaceDN w:val="0"/>
              <w:spacing w:before="49"/>
              <w:ind w:left="44" w:right="35"/>
              <w:jc w:val="center"/>
              <w:rPr>
                <w:color w:val="EE0000"/>
                <w:sz w:val="16"/>
              </w:rPr>
            </w:pPr>
          </w:p>
        </w:tc>
        <w:tc>
          <w:tcPr>
            <w:tcW w:w="850" w:type="dxa"/>
            <w:vMerge w:val="restart"/>
            <w:vAlign w:val="center"/>
          </w:tcPr>
          <w:p w14:paraId="37A49746" w14:textId="77777777" w:rsidR="00E80F33" w:rsidRPr="00442187" w:rsidRDefault="00E80F33" w:rsidP="00E80F33">
            <w:pPr>
              <w:widowControl w:val="0"/>
              <w:autoSpaceDE w:val="0"/>
              <w:autoSpaceDN w:val="0"/>
              <w:ind w:left="44" w:right="35"/>
              <w:jc w:val="center"/>
              <w:rPr>
                <w:color w:val="EE0000"/>
                <w:sz w:val="16"/>
              </w:rPr>
            </w:pPr>
            <w:r w:rsidRPr="00C36107">
              <w:rPr>
                <w:sz w:val="16"/>
              </w:rPr>
              <w:t>4.2. Razvoj kulturnog sektora, te jačanje kulturnog identiteta, baštine i tradicije</w:t>
            </w:r>
          </w:p>
        </w:tc>
        <w:tc>
          <w:tcPr>
            <w:tcW w:w="904" w:type="dxa"/>
            <w:vMerge/>
            <w:shd w:val="clear" w:color="auto" w:fill="FFF1CC"/>
            <w:vAlign w:val="center"/>
          </w:tcPr>
          <w:p w14:paraId="404C33C5" w14:textId="77777777" w:rsidR="00E80F33" w:rsidRPr="00442187" w:rsidRDefault="00E80F33" w:rsidP="00E80F33">
            <w:pPr>
              <w:widowControl w:val="0"/>
              <w:autoSpaceDE w:val="0"/>
              <w:autoSpaceDN w:val="0"/>
              <w:spacing w:before="7"/>
              <w:jc w:val="center"/>
              <w:rPr>
                <w:color w:val="EE0000"/>
                <w:sz w:val="16"/>
              </w:rPr>
            </w:pPr>
          </w:p>
        </w:tc>
        <w:tc>
          <w:tcPr>
            <w:tcW w:w="1003" w:type="dxa"/>
            <w:vMerge w:val="restart"/>
            <w:vAlign w:val="center"/>
          </w:tcPr>
          <w:p w14:paraId="466AD027" w14:textId="77777777" w:rsidR="00E80F33" w:rsidRPr="00442187" w:rsidRDefault="00E80F33" w:rsidP="00E80F33">
            <w:pPr>
              <w:widowControl w:val="0"/>
              <w:autoSpaceDE w:val="0"/>
              <w:autoSpaceDN w:val="0"/>
              <w:spacing w:before="7"/>
              <w:jc w:val="center"/>
              <w:rPr>
                <w:color w:val="EE0000"/>
                <w:sz w:val="15"/>
              </w:rPr>
            </w:pPr>
            <w:r w:rsidRPr="00C36107">
              <w:rPr>
                <w:sz w:val="15"/>
              </w:rPr>
              <w:t>Razvoj kulturne infrastrukture</w:t>
            </w:r>
          </w:p>
        </w:tc>
        <w:tc>
          <w:tcPr>
            <w:tcW w:w="1003" w:type="dxa"/>
            <w:vMerge/>
            <w:shd w:val="clear" w:color="auto" w:fill="FFF1CC"/>
            <w:vAlign w:val="center"/>
          </w:tcPr>
          <w:p w14:paraId="0AC03BDE" w14:textId="77777777" w:rsidR="00E80F33" w:rsidRPr="00442187" w:rsidRDefault="00E80F33" w:rsidP="00E80F33">
            <w:pPr>
              <w:widowControl w:val="0"/>
              <w:autoSpaceDE w:val="0"/>
              <w:autoSpaceDN w:val="0"/>
              <w:jc w:val="center"/>
              <w:rPr>
                <w:color w:val="EE0000"/>
                <w:sz w:val="16"/>
              </w:rPr>
            </w:pPr>
          </w:p>
        </w:tc>
        <w:tc>
          <w:tcPr>
            <w:tcW w:w="1197" w:type="dxa"/>
            <w:vMerge/>
            <w:vAlign w:val="center"/>
          </w:tcPr>
          <w:p w14:paraId="0BC56302" w14:textId="77777777" w:rsidR="00E80F33" w:rsidRPr="00442187" w:rsidRDefault="00E80F33" w:rsidP="00E80F33">
            <w:pPr>
              <w:widowControl w:val="0"/>
              <w:autoSpaceDE w:val="0"/>
              <w:autoSpaceDN w:val="0"/>
              <w:spacing w:before="7"/>
              <w:jc w:val="center"/>
              <w:rPr>
                <w:b/>
                <w:color w:val="EE0000"/>
                <w:sz w:val="16"/>
              </w:rPr>
            </w:pPr>
          </w:p>
        </w:tc>
        <w:tc>
          <w:tcPr>
            <w:tcW w:w="991" w:type="dxa"/>
            <w:tcBorders>
              <w:right w:val="single" w:sz="4" w:space="0" w:color="auto"/>
            </w:tcBorders>
            <w:shd w:val="clear" w:color="000000" w:fill="FFFFFF"/>
            <w:vAlign w:val="center"/>
          </w:tcPr>
          <w:p w14:paraId="2E73EF69" w14:textId="77777777" w:rsidR="00E80F33" w:rsidRPr="00C36107" w:rsidRDefault="00E80F33" w:rsidP="00E80F33">
            <w:pPr>
              <w:widowControl w:val="0"/>
              <w:autoSpaceDE w:val="0"/>
              <w:autoSpaceDN w:val="0"/>
              <w:jc w:val="center"/>
              <w:rPr>
                <w:sz w:val="16"/>
              </w:rPr>
            </w:pPr>
            <w:r w:rsidRPr="00C36107">
              <w:rPr>
                <w:sz w:val="16"/>
              </w:rPr>
              <w:t>Obnovljeni prostori</w:t>
            </w:r>
          </w:p>
          <w:p w14:paraId="30B46503" w14:textId="77777777" w:rsidR="00E80F33" w:rsidRPr="00C36107" w:rsidRDefault="00E80F33" w:rsidP="00E80F33">
            <w:pPr>
              <w:widowControl w:val="0"/>
              <w:autoSpaceDE w:val="0"/>
              <w:autoSpaceDN w:val="0"/>
              <w:jc w:val="center"/>
              <w:rPr>
                <w:sz w:val="16"/>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940413" w14:textId="77777777" w:rsidR="00E80F33" w:rsidRPr="00C36107" w:rsidRDefault="00E80F33" w:rsidP="00E80F33">
            <w:pPr>
              <w:widowControl w:val="0"/>
              <w:autoSpaceDE w:val="0"/>
              <w:autoSpaceDN w:val="0"/>
              <w:jc w:val="center"/>
              <w:rPr>
                <w:sz w:val="16"/>
              </w:rPr>
            </w:pPr>
            <w:r w:rsidRPr="00C36107">
              <w:rPr>
                <w:sz w:val="16"/>
              </w:rPr>
              <w:t>0</w:t>
            </w:r>
          </w:p>
        </w:tc>
        <w:tc>
          <w:tcPr>
            <w:tcW w:w="8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6D1A88" w14:textId="77777777" w:rsidR="00E80F33" w:rsidRPr="00C36107" w:rsidRDefault="00E80F33" w:rsidP="00E80F33">
            <w:pPr>
              <w:widowControl w:val="0"/>
              <w:autoSpaceDE w:val="0"/>
              <w:autoSpaceDN w:val="0"/>
              <w:jc w:val="center"/>
              <w:rPr>
                <w:sz w:val="16"/>
              </w:rPr>
            </w:pPr>
            <w:r w:rsidRPr="00C36107">
              <w:rPr>
                <w:sz w:val="16"/>
              </w:rPr>
              <w:t>1</w:t>
            </w:r>
          </w:p>
        </w:tc>
        <w:tc>
          <w:tcPr>
            <w:tcW w:w="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9F8DC6" w14:textId="77777777" w:rsidR="00E80F33" w:rsidRPr="00C36107" w:rsidRDefault="00E80F33" w:rsidP="00E80F33">
            <w:pPr>
              <w:widowControl w:val="0"/>
              <w:autoSpaceDE w:val="0"/>
              <w:autoSpaceDN w:val="0"/>
              <w:jc w:val="center"/>
              <w:rPr>
                <w:sz w:val="16"/>
              </w:rPr>
            </w:pPr>
            <w:r w:rsidRPr="00C36107">
              <w:rPr>
                <w:sz w:val="16"/>
              </w:rPr>
              <w:t>2</w:t>
            </w:r>
          </w:p>
        </w:tc>
        <w:tc>
          <w:tcPr>
            <w:tcW w:w="7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0ED1E0" w14:textId="77777777" w:rsidR="00E80F33" w:rsidRPr="00C36107" w:rsidRDefault="00E80F33" w:rsidP="00E80F33">
            <w:pPr>
              <w:widowControl w:val="0"/>
              <w:autoSpaceDE w:val="0"/>
              <w:autoSpaceDN w:val="0"/>
              <w:jc w:val="center"/>
              <w:rPr>
                <w:sz w:val="16"/>
              </w:rPr>
            </w:pPr>
            <w:r w:rsidRPr="00C36107">
              <w:rPr>
                <w:sz w:val="16"/>
              </w:rPr>
              <w:t>3</w:t>
            </w:r>
          </w:p>
        </w:tc>
      </w:tr>
      <w:tr w:rsidR="00E80F33" w:rsidRPr="00442187" w14:paraId="1746B63C" w14:textId="77777777" w:rsidTr="00E80F33">
        <w:trPr>
          <w:trHeight w:val="566"/>
        </w:trPr>
        <w:tc>
          <w:tcPr>
            <w:tcW w:w="993" w:type="dxa"/>
            <w:vMerge/>
            <w:vAlign w:val="center"/>
          </w:tcPr>
          <w:p w14:paraId="625E40AB" w14:textId="77777777" w:rsidR="00E80F33" w:rsidRPr="00442187" w:rsidRDefault="00E80F33" w:rsidP="00E80F33">
            <w:pPr>
              <w:widowControl w:val="0"/>
              <w:autoSpaceDE w:val="0"/>
              <w:autoSpaceDN w:val="0"/>
              <w:spacing w:before="49"/>
              <w:ind w:left="44" w:right="35"/>
              <w:jc w:val="center"/>
              <w:rPr>
                <w:color w:val="EE0000"/>
                <w:sz w:val="16"/>
              </w:rPr>
            </w:pPr>
          </w:p>
        </w:tc>
        <w:tc>
          <w:tcPr>
            <w:tcW w:w="850" w:type="dxa"/>
            <w:vMerge/>
            <w:vAlign w:val="center"/>
          </w:tcPr>
          <w:p w14:paraId="54E3C127" w14:textId="77777777" w:rsidR="00E80F33" w:rsidRPr="00442187" w:rsidRDefault="00E80F33" w:rsidP="00E80F33">
            <w:pPr>
              <w:widowControl w:val="0"/>
              <w:autoSpaceDE w:val="0"/>
              <w:autoSpaceDN w:val="0"/>
              <w:ind w:left="44" w:right="35"/>
              <w:jc w:val="center"/>
              <w:rPr>
                <w:color w:val="EE0000"/>
                <w:sz w:val="16"/>
              </w:rPr>
            </w:pPr>
          </w:p>
        </w:tc>
        <w:tc>
          <w:tcPr>
            <w:tcW w:w="904" w:type="dxa"/>
            <w:vMerge/>
            <w:shd w:val="clear" w:color="auto" w:fill="FFF1CC"/>
            <w:vAlign w:val="center"/>
          </w:tcPr>
          <w:p w14:paraId="4075D7A0" w14:textId="77777777" w:rsidR="00E80F33" w:rsidRPr="00442187" w:rsidRDefault="00E80F33" w:rsidP="00E80F33">
            <w:pPr>
              <w:widowControl w:val="0"/>
              <w:autoSpaceDE w:val="0"/>
              <w:autoSpaceDN w:val="0"/>
              <w:spacing w:before="7"/>
              <w:jc w:val="center"/>
              <w:rPr>
                <w:color w:val="EE0000"/>
                <w:sz w:val="16"/>
              </w:rPr>
            </w:pPr>
          </w:p>
        </w:tc>
        <w:tc>
          <w:tcPr>
            <w:tcW w:w="1003" w:type="dxa"/>
            <w:vMerge/>
            <w:vAlign w:val="center"/>
          </w:tcPr>
          <w:p w14:paraId="03DDE288" w14:textId="77777777" w:rsidR="00E80F33" w:rsidRPr="00442187" w:rsidRDefault="00E80F33" w:rsidP="00E80F33">
            <w:pPr>
              <w:widowControl w:val="0"/>
              <w:autoSpaceDE w:val="0"/>
              <w:autoSpaceDN w:val="0"/>
              <w:spacing w:before="7"/>
              <w:jc w:val="center"/>
              <w:rPr>
                <w:color w:val="EE0000"/>
                <w:sz w:val="15"/>
              </w:rPr>
            </w:pPr>
          </w:p>
        </w:tc>
        <w:tc>
          <w:tcPr>
            <w:tcW w:w="1003" w:type="dxa"/>
            <w:vMerge/>
            <w:shd w:val="clear" w:color="auto" w:fill="FFF1CC"/>
            <w:vAlign w:val="center"/>
          </w:tcPr>
          <w:p w14:paraId="724820DE" w14:textId="77777777" w:rsidR="00E80F33" w:rsidRPr="00442187" w:rsidRDefault="00E80F33" w:rsidP="00E80F33">
            <w:pPr>
              <w:widowControl w:val="0"/>
              <w:autoSpaceDE w:val="0"/>
              <w:autoSpaceDN w:val="0"/>
              <w:jc w:val="center"/>
              <w:rPr>
                <w:color w:val="EE0000"/>
                <w:sz w:val="16"/>
              </w:rPr>
            </w:pPr>
          </w:p>
        </w:tc>
        <w:tc>
          <w:tcPr>
            <w:tcW w:w="1197" w:type="dxa"/>
            <w:vMerge/>
            <w:vAlign w:val="center"/>
          </w:tcPr>
          <w:p w14:paraId="5421DDF5" w14:textId="77777777" w:rsidR="00E80F33" w:rsidRPr="00442187" w:rsidRDefault="00E80F33" w:rsidP="00E80F33">
            <w:pPr>
              <w:widowControl w:val="0"/>
              <w:autoSpaceDE w:val="0"/>
              <w:autoSpaceDN w:val="0"/>
              <w:spacing w:before="7"/>
              <w:jc w:val="center"/>
              <w:rPr>
                <w:b/>
                <w:color w:val="EE0000"/>
                <w:sz w:val="16"/>
              </w:rPr>
            </w:pPr>
          </w:p>
        </w:tc>
        <w:tc>
          <w:tcPr>
            <w:tcW w:w="991" w:type="dxa"/>
            <w:tcBorders>
              <w:right w:val="single" w:sz="4" w:space="0" w:color="auto"/>
            </w:tcBorders>
            <w:shd w:val="clear" w:color="000000" w:fill="FFFFFF"/>
            <w:vAlign w:val="center"/>
          </w:tcPr>
          <w:p w14:paraId="324CDCD7" w14:textId="77777777" w:rsidR="00E80F33" w:rsidRPr="00C36107" w:rsidRDefault="00E80F33" w:rsidP="00E80F33">
            <w:pPr>
              <w:widowControl w:val="0"/>
              <w:autoSpaceDE w:val="0"/>
              <w:autoSpaceDN w:val="0"/>
              <w:jc w:val="center"/>
              <w:rPr>
                <w:sz w:val="16"/>
              </w:rPr>
            </w:pPr>
            <w:r w:rsidRPr="00C36107">
              <w:rPr>
                <w:sz w:val="16"/>
              </w:rPr>
              <w:t>Opremanje muzeja, kazališta i drugih dvorana</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C0FFF8" w14:textId="77777777" w:rsidR="00E80F33" w:rsidRPr="00C36107" w:rsidRDefault="00E80F33" w:rsidP="00E80F33">
            <w:pPr>
              <w:widowControl w:val="0"/>
              <w:autoSpaceDE w:val="0"/>
              <w:autoSpaceDN w:val="0"/>
              <w:jc w:val="center"/>
              <w:rPr>
                <w:sz w:val="16"/>
              </w:rPr>
            </w:pPr>
            <w:r w:rsidRPr="00C36107">
              <w:rPr>
                <w:sz w:val="16"/>
              </w:rPr>
              <w:t>0</w:t>
            </w:r>
          </w:p>
        </w:tc>
        <w:tc>
          <w:tcPr>
            <w:tcW w:w="8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289B19" w14:textId="77777777" w:rsidR="00E80F33" w:rsidRPr="00C36107" w:rsidRDefault="00E80F33" w:rsidP="00E80F33">
            <w:pPr>
              <w:widowControl w:val="0"/>
              <w:autoSpaceDE w:val="0"/>
              <w:autoSpaceDN w:val="0"/>
              <w:jc w:val="center"/>
              <w:rPr>
                <w:sz w:val="16"/>
              </w:rPr>
            </w:pPr>
            <w:r w:rsidRPr="00C36107">
              <w:rPr>
                <w:sz w:val="16"/>
              </w:rPr>
              <w:t>2</w:t>
            </w:r>
          </w:p>
        </w:tc>
        <w:tc>
          <w:tcPr>
            <w:tcW w:w="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D2C4EF" w14:textId="77777777" w:rsidR="00E80F33" w:rsidRPr="00C36107" w:rsidRDefault="00E80F33" w:rsidP="00E80F33">
            <w:pPr>
              <w:widowControl w:val="0"/>
              <w:autoSpaceDE w:val="0"/>
              <w:autoSpaceDN w:val="0"/>
              <w:jc w:val="center"/>
              <w:rPr>
                <w:sz w:val="16"/>
              </w:rPr>
            </w:pPr>
            <w:r w:rsidRPr="00C36107">
              <w:rPr>
                <w:sz w:val="16"/>
              </w:rPr>
              <w:t>4</w:t>
            </w:r>
          </w:p>
        </w:tc>
        <w:tc>
          <w:tcPr>
            <w:tcW w:w="7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D9B6CE" w14:textId="77777777" w:rsidR="00E80F33" w:rsidRPr="00C36107" w:rsidRDefault="00E80F33" w:rsidP="00E80F33">
            <w:pPr>
              <w:widowControl w:val="0"/>
              <w:autoSpaceDE w:val="0"/>
              <w:autoSpaceDN w:val="0"/>
              <w:jc w:val="center"/>
              <w:rPr>
                <w:sz w:val="16"/>
              </w:rPr>
            </w:pPr>
            <w:r w:rsidRPr="00C36107">
              <w:rPr>
                <w:sz w:val="16"/>
              </w:rPr>
              <w:t>5</w:t>
            </w:r>
          </w:p>
        </w:tc>
      </w:tr>
      <w:tr w:rsidR="00E80F33" w:rsidRPr="00442187" w14:paraId="7FB51C6B" w14:textId="77777777" w:rsidTr="00E80F33">
        <w:trPr>
          <w:trHeight w:val="566"/>
        </w:trPr>
        <w:tc>
          <w:tcPr>
            <w:tcW w:w="993" w:type="dxa"/>
            <w:vMerge/>
            <w:vAlign w:val="center"/>
          </w:tcPr>
          <w:p w14:paraId="0EC9D485" w14:textId="77777777" w:rsidR="00E80F33" w:rsidRPr="00442187" w:rsidRDefault="00E80F33" w:rsidP="00E80F33">
            <w:pPr>
              <w:widowControl w:val="0"/>
              <w:autoSpaceDE w:val="0"/>
              <w:autoSpaceDN w:val="0"/>
              <w:spacing w:before="49"/>
              <w:ind w:left="44" w:right="35"/>
              <w:jc w:val="center"/>
              <w:rPr>
                <w:color w:val="EE0000"/>
                <w:sz w:val="16"/>
              </w:rPr>
            </w:pPr>
          </w:p>
        </w:tc>
        <w:tc>
          <w:tcPr>
            <w:tcW w:w="850" w:type="dxa"/>
            <w:vMerge/>
            <w:vAlign w:val="center"/>
          </w:tcPr>
          <w:p w14:paraId="6FEAB90C" w14:textId="77777777" w:rsidR="00E80F33" w:rsidRPr="00442187" w:rsidRDefault="00E80F33" w:rsidP="00E80F33">
            <w:pPr>
              <w:widowControl w:val="0"/>
              <w:autoSpaceDE w:val="0"/>
              <w:autoSpaceDN w:val="0"/>
              <w:ind w:left="44" w:right="35"/>
              <w:jc w:val="center"/>
              <w:rPr>
                <w:color w:val="EE0000"/>
                <w:sz w:val="16"/>
              </w:rPr>
            </w:pPr>
          </w:p>
        </w:tc>
        <w:tc>
          <w:tcPr>
            <w:tcW w:w="904" w:type="dxa"/>
            <w:vMerge/>
            <w:shd w:val="clear" w:color="auto" w:fill="FFF1CC"/>
            <w:vAlign w:val="center"/>
          </w:tcPr>
          <w:p w14:paraId="1AC9ED2F" w14:textId="77777777" w:rsidR="00E80F33" w:rsidRPr="00442187" w:rsidRDefault="00E80F33" w:rsidP="00E80F33">
            <w:pPr>
              <w:widowControl w:val="0"/>
              <w:autoSpaceDE w:val="0"/>
              <w:autoSpaceDN w:val="0"/>
              <w:spacing w:before="7"/>
              <w:jc w:val="center"/>
              <w:rPr>
                <w:color w:val="EE0000"/>
                <w:sz w:val="16"/>
              </w:rPr>
            </w:pPr>
          </w:p>
        </w:tc>
        <w:tc>
          <w:tcPr>
            <w:tcW w:w="1003" w:type="dxa"/>
            <w:vMerge/>
            <w:vAlign w:val="center"/>
          </w:tcPr>
          <w:p w14:paraId="4F9CE63C" w14:textId="77777777" w:rsidR="00E80F33" w:rsidRPr="00442187" w:rsidRDefault="00E80F33" w:rsidP="00E80F33">
            <w:pPr>
              <w:widowControl w:val="0"/>
              <w:autoSpaceDE w:val="0"/>
              <w:autoSpaceDN w:val="0"/>
              <w:spacing w:before="7"/>
              <w:jc w:val="center"/>
              <w:rPr>
                <w:color w:val="EE0000"/>
                <w:sz w:val="15"/>
              </w:rPr>
            </w:pPr>
          </w:p>
        </w:tc>
        <w:tc>
          <w:tcPr>
            <w:tcW w:w="1003" w:type="dxa"/>
            <w:vMerge/>
            <w:shd w:val="clear" w:color="auto" w:fill="FFF1CC"/>
            <w:vAlign w:val="center"/>
          </w:tcPr>
          <w:p w14:paraId="5139748C" w14:textId="77777777" w:rsidR="00E80F33" w:rsidRPr="00442187" w:rsidRDefault="00E80F33" w:rsidP="00E80F33">
            <w:pPr>
              <w:widowControl w:val="0"/>
              <w:autoSpaceDE w:val="0"/>
              <w:autoSpaceDN w:val="0"/>
              <w:jc w:val="center"/>
              <w:rPr>
                <w:color w:val="EE0000"/>
                <w:sz w:val="16"/>
              </w:rPr>
            </w:pPr>
          </w:p>
        </w:tc>
        <w:tc>
          <w:tcPr>
            <w:tcW w:w="1197" w:type="dxa"/>
            <w:vMerge/>
            <w:vAlign w:val="center"/>
          </w:tcPr>
          <w:p w14:paraId="2438F627" w14:textId="77777777" w:rsidR="00E80F33" w:rsidRPr="00442187" w:rsidRDefault="00E80F33" w:rsidP="00E80F33">
            <w:pPr>
              <w:widowControl w:val="0"/>
              <w:autoSpaceDE w:val="0"/>
              <w:autoSpaceDN w:val="0"/>
              <w:spacing w:before="7"/>
              <w:jc w:val="center"/>
              <w:rPr>
                <w:b/>
                <w:color w:val="EE0000"/>
                <w:sz w:val="16"/>
              </w:rPr>
            </w:pPr>
          </w:p>
        </w:tc>
        <w:tc>
          <w:tcPr>
            <w:tcW w:w="991" w:type="dxa"/>
            <w:tcBorders>
              <w:right w:val="single" w:sz="4" w:space="0" w:color="auto"/>
            </w:tcBorders>
            <w:shd w:val="clear" w:color="000000" w:fill="FFFFFF"/>
            <w:vAlign w:val="center"/>
          </w:tcPr>
          <w:p w14:paraId="38480119" w14:textId="77777777" w:rsidR="00E80F33" w:rsidRPr="00C36107" w:rsidRDefault="00E80F33" w:rsidP="00E80F33">
            <w:pPr>
              <w:widowControl w:val="0"/>
              <w:autoSpaceDE w:val="0"/>
              <w:autoSpaceDN w:val="0"/>
              <w:jc w:val="center"/>
              <w:rPr>
                <w:sz w:val="16"/>
              </w:rPr>
            </w:pPr>
            <w:r w:rsidRPr="00C36107">
              <w:rPr>
                <w:sz w:val="16"/>
              </w:rPr>
              <w:t>Kreiranje digitalnog kataloga</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5EE822" w14:textId="77777777" w:rsidR="00E80F33" w:rsidRPr="00C36107" w:rsidRDefault="00E80F33" w:rsidP="00E80F33">
            <w:pPr>
              <w:widowControl w:val="0"/>
              <w:autoSpaceDE w:val="0"/>
              <w:autoSpaceDN w:val="0"/>
              <w:jc w:val="center"/>
              <w:rPr>
                <w:sz w:val="16"/>
              </w:rPr>
            </w:pPr>
            <w:r w:rsidRPr="00C36107">
              <w:rPr>
                <w:sz w:val="16"/>
              </w:rPr>
              <w:t>1</w:t>
            </w:r>
          </w:p>
        </w:tc>
        <w:tc>
          <w:tcPr>
            <w:tcW w:w="8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FC4833" w14:textId="77777777" w:rsidR="00E80F33" w:rsidRPr="00C36107" w:rsidRDefault="00E80F33" w:rsidP="00E80F33">
            <w:pPr>
              <w:widowControl w:val="0"/>
              <w:autoSpaceDE w:val="0"/>
              <w:autoSpaceDN w:val="0"/>
              <w:jc w:val="center"/>
              <w:rPr>
                <w:sz w:val="16"/>
              </w:rPr>
            </w:pPr>
            <w:r w:rsidRPr="00C36107">
              <w:rPr>
                <w:sz w:val="16"/>
              </w:rPr>
              <w:t>1</w:t>
            </w:r>
          </w:p>
        </w:tc>
        <w:tc>
          <w:tcPr>
            <w:tcW w:w="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6AC349" w14:textId="77777777" w:rsidR="00E80F33" w:rsidRPr="00C36107" w:rsidRDefault="00E80F33" w:rsidP="00E80F33">
            <w:pPr>
              <w:widowControl w:val="0"/>
              <w:autoSpaceDE w:val="0"/>
              <w:autoSpaceDN w:val="0"/>
              <w:jc w:val="center"/>
              <w:rPr>
                <w:sz w:val="16"/>
              </w:rPr>
            </w:pPr>
            <w:r w:rsidRPr="00C36107">
              <w:rPr>
                <w:sz w:val="16"/>
              </w:rPr>
              <w:t>2</w:t>
            </w:r>
          </w:p>
        </w:tc>
        <w:tc>
          <w:tcPr>
            <w:tcW w:w="7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D2C3FA" w14:textId="77777777" w:rsidR="00E80F33" w:rsidRPr="00C36107" w:rsidRDefault="00E80F33" w:rsidP="00E80F33">
            <w:pPr>
              <w:widowControl w:val="0"/>
              <w:autoSpaceDE w:val="0"/>
              <w:autoSpaceDN w:val="0"/>
              <w:jc w:val="center"/>
              <w:rPr>
                <w:sz w:val="16"/>
              </w:rPr>
            </w:pPr>
            <w:r w:rsidRPr="00C36107">
              <w:rPr>
                <w:sz w:val="16"/>
              </w:rPr>
              <w:t>2</w:t>
            </w:r>
          </w:p>
        </w:tc>
      </w:tr>
    </w:tbl>
    <w:p w14:paraId="7381C71C" w14:textId="77777777" w:rsidR="00E541EE" w:rsidRPr="00AC2206" w:rsidRDefault="00E541EE" w:rsidP="00E541EE">
      <w:pPr>
        <w:pStyle w:val="Standard"/>
        <w:spacing w:after="0" w:line="240" w:lineRule="auto"/>
        <w:jc w:val="both"/>
        <w:rPr>
          <w:sz w:val="24"/>
          <w:szCs w:val="24"/>
        </w:rPr>
      </w:pPr>
      <w:r w:rsidRPr="00AC2206">
        <w:rPr>
          <w:rFonts w:ascii="Arial" w:hAnsi="Arial" w:cs="Arial"/>
          <w:b/>
          <w:bCs/>
          <w:color w:val="auto"/>
          <w:sz w:val="24"/>
          <w:szCs w:val="24"/>
        </w:rPr>
        <w:t>Opis</w:t>
      </w:r>
      <w:r w:rsidRPr="00AC2206">
        <w:rPr>
          <w:rFonts w:ascii="Arial" w:hAnsi="Arial" w:cs="Arial"/>
          <w:bCs/>
          <w:color w:val="auto"/>
          <w:sz w:val="24"/>
          <w:szCs w:val="24"/>
        </w:rPr>
        <w:t xml:space="preserve">: </w:t>
      </w:r>
      <w:r w:rsidRPr="00AC2206">
        <w:rPr>
          <w:rStyle w:val="Zadanifontodlomka4"/>
          <w:rFonts w:ascii="Arial" w:hAnsi="Arial" w:cs="Arial"/>
          <w:bCs/>
          <w:color w:val="auto"/>
          <w:sz w:val="24"/>
          <w:szCs w:val="24"/>
        </w:rPr>
        <w:t>S ciljem poticanja čitalačke pismenosti, Škola je već petu godinu uključena u međunarodni projekt Naša mala knjižnica u organizaciji nakladničke kuće Ibis grafika. Uključivanje u projekt pretpostavlja provedbu različitih aktivnosti na predlošcima kompleta knjiga koje treba financirati u iznosu od 1</w:t>
      </w:r>
      <w:r>
        <w:rPr>
          <w:rStyle w:val="Zadanifontodlomka4"/>
          <w:rFonts w:ascii="Arial" w:hAnsi="Arial" w:cs="Arial"/>
          <w:bCs/>
          <w:color w:val="auto"/>
          <w:sz w:val="24"/>
          <w:szCs w:val="24"/>
        </w:rPr>
        <w:t>8</w:t>
      </w:r>
      <w:r w:rsidRPr="00AC2206">
        <w:rPr>
          <w:rStyle w:val="Zadanifontodlomka4"/>
          <w:rFonts w:ascii="Arial" w:hAnsi="Arial" w:cs="Arial"/>
          <w:bCs/>
          <w:color w:val="auto"/>
          <w:sz w:val="24"/>
          <w:szCs w:val="24"/>
        </w:rPr>
        <w:t xml:space="preserve">0,00 </w:t>
      </w:r>
      <w:r>
        <w:rPr>
          <w:rStyle w:val="Zadanifontodlomka4"/>
          <w:rFonts w:ascii="Arial" w:hAnsi="Arial" w:cs="Arial"/>
          <w:bCs/>
          <w:color w:val="auto"/>
          <w:sz w:val="24"/>
          <w:szCs w:val="24"/>
        </w:rPr>
        <w:t>eura</w:t>
      </w:r>
      <w:r w:rsidRPr="00AC2206">
        <w:rPr>
          <w:rStyle w:val="Zadanifontodlomka4"/>
          <w:rFonts w:ascii="Arial" w:hAnsi="Arial" w:cs="Arial"/>
          <w:bCs/>
          <w:color w:val="auto"/>
          <w:sz w:val="24"/>
          <w:szCs w:val="24"/>
        </w:rPr>
        <w:t xml:space="preserve"> za jedan komplet. Do </w:t>
      </w:r>
      <w:r>
        <w:rPr>
          <w:rStyle w:val="Zadanifontodlomka4"/>
          <w:rFonts w:ascii="Arial" w:hAnsi="Arial" w:cs="Arial"/>
          <w:bCs/>
          <w:color w:val="auto"/>
          <w:sz w:val="24"/>
          <w:szCs w:val="24"/>
        </w:rPr>
        <w:t xml:space="preserve">ove godine </w:t>
      </w:r>
      <w:r w:rsidRPr="00AC2206">
        <w:rPr>
          <w:rStyle w:val="Zadanifontodlomka4"/>
          <w:rFonts w:ascii="Arial" w:hAnsi="Arial" w:cs="Arial"/>
          <w:bCs/>
          <w:color w:val="auto"/>
          <w:sz w:val="24"/>
          <w:szCs w:val="24"/>
        </w:rPr>
        <w:t xml:space="preserve"> smo naručivali po dva kompleta za učenike 1. i 2. te 3. i 4. razreda te smo knjige financirali vlastitim sredstvima. </w:t>
      </w:r>
      <w:r>
        <w:rPr>
          <w:rStyle w:val="Zadanifontodlomka4"/>
          <w:rFonts w:ascii="Arial" w:hAnsi="Arial" w:cs="Arial"/>
          <w:bCs/>
          <w:color w:val="auto"/>
          <w:sz w:val="24"/>
          <w:szCs w:val="24"/>
        </w:rPr>
        <w:t>Od ove godine u financiranje se uključio osnivač pa se predlaže nastavak financiranja.</w:t>
      </w:r>
    </w:p>
    <w:p w14:paraId="54C081A5" w14:textId="77777777" w:rsidR="00E541EE" w:rsidRPr="00AC2206" w:rsidRDefault="00E541EE" w:rsidP="00E541EE">
      <w:pPr>
        <w:pStyle w:val="Standard"/>
        <w:spacing w:after="0" w:line="240" w:lineRule="auto"/>
        <w:jc w:val="both"/>
        <w:rPr>
          <w:sz w:val="24"/>
          <w:szCs w:val="24"/>
        </w:rPr>
      </w:pPr>
      <w:r w:rsidRPr="00AC2206">
        <w:rPr>
          <w:rFonts w:ascii="Arial" w:hAnsi="Arial" w:cs="Arial"/>
          <w:b/>
          <w:bCs/>
          <w:color w:val="auto"/>
          <w:sz w:val="24"/>
          <w:szCs w:val="24"/>
        </w:rPr>
        <w:t>Opći cilj:</w:t>
      </w:r>
      <w:r w:rsidRPr="00AC2206">
        <w:rPr>
          <w:rFonts w:ascii="Arial" w:hAnsi="Arial" w:cs="Arial"/>
          <w:bCs/>
          <w:color w:val="auto"/>
          <w:sz w:val="24"/>
          <w:szCs w:val="24"/>
        </w:rPr>
        <w:t xml:space="preserve"> poticanje čitalačke pismenosti</w:t>
      </w:r>
    </w:p>
    <w:p w14:paraId="783A762C" w14:textId="77777777" w:rsidR="00E541EE" w:rsidRDefault="00E541EE" w:rsidP="00E541EE">
      <w:pPr>
        <w:autoSpaceDE w:val="0"/>
        <w:autoSpaceDN w:val="0"/>
        <w:adjustRightInd w:val="0"/>
        <w:jc w:val="both"/>
        <w:rPr>
          <w:rFonts w:ascii="Arial" w:eastAsia="Times New Roman" w:hAnsi="Arial" w:cs="Arial"/>
          <w:bCs/>
          <w:sz w:val="24"/>
          <w:szCs w:val="24"/>
        </w:rPr>
      </w:pPr>
      <w:r w:rsidRPr="00AC2206">
        <w:rPr>
          <w:rFonts w:ascii="Arial" w:eastAsia="Times New Roman" w:hAnsi="Arial" w:cs="Arial"/>
          <w:b/>
          <w:bCs/>
          <w:sz w:val="24"/>
          <w:szCs w:val="24"/>
        </w:rPr>
        <w:t>Pokazatelj uspješnosti:</w:t>
      </w:r>
      <w:r w:rsidRPr="00AC2206">
        <w:rPr>
          <w:rFonts w:ascii="Arial" w:eastAsia="Times New Roman" w:hAnsi="Arial" w:cs="Arial"/>
          <w:bCs/>
          <w:sz w:val="24"/>
          <w:szCs w:val="24"/>
        </w:rPr>
        <w:t xml:space="preserve"> nastavak započetog projekta</w:t>
      </w:r>
    </w:p>
    <w:p w14:paraId="75D47104" w14:textId="77777777" w:rsidR="00E541EE" w:rsidRDefault="00E541EE" w:rsidP="00E541EE">
      <w:pPr>
        <w:autoSpaceDE w:val="0"/>
        <w:autoSpaceDN w:val="0"/>
        <w:adjustRightInd w:val="0"/>
        <w:jc w:val="both"/>
        <w:rPr>
          <w:rFonts w:ascii="Arial" w:eastAsia="Times New Roman" w:hAnsi="Arial" w:cs="Arial"/>
          <w:bCs/>
          <w:sz w:val="24"/>
          <w:szCs w:val="24"/>
        </w:rPr>
      </w:pPr>
    </w:p>
    <w:p w14:paraId="72008A2E"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AC2206">
        <w:rPr>
          <w:rFonts w:ascii="Arial" w:eastAsia="Times New Roman" w:hAnsi="Arial" w:cs="Arial"/>
          <w:b/>
          <w:bCs/>
          <w:sz w:val="24"/>
          <w:szCs w:val="24"/>
        </w:rPr>
        <w:t>A 1036</w:t>
      </w:r>
      <w:r>
        <w:rPr>
          <w:rFonts w:ascii="Arial" w:eastAsia="Times New Roman" w:hAnsi="Arial" w:cs="Arial"/>
          <w:b/>
          <w:bCs/>
          <w:sz w:val="24"/>
          <w:szCs w:val="24"/>
        </w:rPr>
        <w:t>41</w:t>
      </w:r>
      <w:r w:rsidRPr="00AC2206">
        <w:rPr>
          <w:rFonts w:ascii="Arial" w:eastAsia="Times New Roman" w:hAnsi="Arial" w:cs="Arial"/>
          <w:b/>
          <w:bCs/>
          <w:sz w:val="24"/>
          <w:szCs w:val="24"/>
        </w:rPr>
        <w:t xml:space="preserve">: </w:t>
      </w:r>
      <w:r>
        <w:rPr>
          <w:rFonts w:ascii="Arial" w:eastAsia="Times New Roman" w:hAnsi="Arial" w:cs="Arial"/>
          <w:b/>
          <w:bCs/>
          <w:sz w:val="24"/>
          <w:szCs w:val="24"/>
        </w:rPr>
        <w:t>Rad sa darovitom djecom</w:t>
      </w:r>
      <w:r w:rsidRPr="00AC2206">
        <w:rPr>
          <w:rFonts w:ascii="Arial" w:eastAsia="Times New Roman" w:hAnsi="Arial" w:cs="Arial"/>
          <w:b/>
          <w:bCs/>
          <w:sz w:val="24"/>
          <w:szCs w:val="24"/>
        </w:rPr>
        <w:t xml:space="preserve"> = </w:t>
      </w:r>
      <w:r>
        <w:rPr>
          <w:rFonts w:ascii="Arial" w:eastAsia="Times New Roman" w:hAnsi="Arial" w:cs="Arial"/>
          <w:b/>
          <w:bCs/>
          <w:sz w:val="24"/>
          <w:szCs w:val="24"/>
        </w:rPr>
        <w:t>3.956,00</w:t>
      </w:r>
      <w:r w:rsidRPr="00AC2206">
        <w:rPr>
          <w:rFonts w:ascii="Arial" w:eastAsia="Times New Roman" w:hAnsi="Arial" w:cs="Arial"/>
          <w:b/>
          <w:bCs/>
          <w:sz w:val="24"/>
          <w:szCs w:val="24"/>
        </w:rPr>
        <w:t xml:space="preserve"> EUR</w:t>
      </w:r>
    </w:p>
    <w:p w14:paraId="19C1FDED" w14:textId="77777777" w:rsidR="00E541EE" w:rsidRPr="00A35CB0" w:rsidRDefault="00E541EE" w:rsidP="00E541EE">
      <w:pPr>
        <w:jc w:val="both"/>
        <w:rPr>
          <w:rFonts w:ascii="Arial" w:eastAsia="Times New Roman" w:hAnsi="Arial" w:cs="Arial"/>
          <w:b/>
          <w:sz w:val="24"/>
          <w:szCs w:val="24"/>
        </w:rPr>
      </w:pPr>
      <w:r w:rsidRPr="00A35CB0">
        <w:rPr>
          <w:rFonts w:ascii="Arial" w:eastAsia="Times New Roman" w:hAnsi="Arial" w:cs="Arial"/>
          <w:b/>
          <w:sz w:val="24"/>
          <w:szCs w:val="24"/>
        </w:rPr>
        <w:t xml:space="preserve">Zakonska osnova: </w:t>
      </w:r>
      <w:r w:rsidRPr="00A35CB0">
        <w:rPr>
          <w:rFonts w:ascii="Arial" w:eastAsia="Times New Roman" w:hAnsi="Arial" w:cs="Arial"/>
          <w:sz w:val="24"/>
          <w:szCs w:val="24"/>
        </w:rPr>
        <w:t>Zakon o odgoju i obrazovanju u osnovnoj i srednjoj školi, Državni pedagoški standard osnovnoškolskog sustava odgoja i obrazovanja</w:t>
      </w:r>
    </w:p>
    <w:p w14:paraId="42372046" w14:textId="77777777" w:rsidR="00E541EE" w:rsidRPr="00E34E89" w:rsidRDefault="00E541EE" w:rsidP="00E541EE">
      <w:pPr>
        <w:pStyle w:val="Default"/>
        <w:jc w:val="both"/>
        <w:rPr>
          <w:rFonts w:ascii="Arial" w:eastAsia="Times New Roman" w:hAnsi="Arial" w:cs="Arial"/>
        </w:rPr>
      </w:pPr>
      <w:r w:rsidRPr="00A35CB0">
        <w:rPr>
          <w:rFonts w:ascii="Arial" w:eastAsia="Times New Roman" w:hAnsi="Arial" w:cs="Arial"/>
          <w:b/>
        </w:rPr>
        <w:t>Opis:</w:t>
      </w:r>
      <w:r w:rsidRPr="00A35CB0">
        <w:rPr>
          <w:rFonts w:ascii="Arial" w:eastAsia="Times New Roman" w:hAnsi="Arial" w:cs="Arial"/>
        </w:rPr>
        <w:t xml:space="preserve"> </w:t>
      </w:r>
      <w:r>
        <w:rPr>
          <w:rFonts w:ascii="Arial" w:eastAsia="Times New Roman" w:hAnsi="Arial" w:cs="Arial"/>
          <w:bCs/>
        </w:rPr>
        <w:t>n</w:t>
      </w:r>
      <w:r w:rsidRPr="00E34E89">
        <w:rPr>
          <w:rFonts w:ascii="Arial" w:eastAsia="Times New Roman" w:hAnsi="Arial" w:cs="Arial"/>
          <w:bCs/>
        </w:rPr>
        <w:t xml:space="preserve">a </w:t>
      </w:r>
      <w:r w:rsidRPr="00C4645C">
        <w:rPr>
          <w:rFonts w:ascii="Arial" w:eastAsia="Times New Roman" w:hAnsi="Arial" w:cs="Arial"/>
          <w:bCs/>
        </w:rPr>
        <w:t>izvoru 50111 (pomoći iz državnog proračuna) dodali</w:t>
      </w:r>
      <w:r w:rsidRPr="00E34E89">
        <w:rPr>
          <w:rFonts w:ascii="Arial" w:eastAsia="Times New Roman" w:hAnsi="Arial" w:cs="Arial"/>
          <w:bCs/>
        </w:rPr>
        <w:t xml:space="preserve"> smo iznos 3.956,00 </w:t>
      </w:r>
      <w:r>
        <w:rPr>
          <w:rFonts w:ascii="Arial" w:eastAsia="Times New Roman" w:hAnsi="Arial" w:cs="Arial"/>
          <w:bCs/>
        </w:rPr>
        <w:t>eura</w:t>
      </w:r>
      <w:r w:rsidRPr="00E34E89">
        <w:rPr>
          <w:rFonts w:ascii="Arial" w:eastAsia="Times New Roman" w:hAnsi="Arial" w:cs="Arial"/>
          <w:bCs/>
        </w:rPr>
        <w:t xml:space="preserve"> za Projekt RaDar koji uključuje rad i mentorstvo darovitih i talentiranih učenika Škole pod vodstvom Tima za darovite</w:t>
      </w:r>
      <w:r w:rsidRPr="00E34E89">
        <w:rPr>
          <w:rFonts w:ascii="Arial" w:eastAsia="Times New Roman" w:hAnsi="Arial" w:cs="Arial"/>
        </w:rPr>
        <w:t xml:space="preserve"> učenike 2025/2026. Ovaj projekt odnosi se na učenike petih i šestih razreda osnovne škole. Projekt se temelji na radu sa darovitim učenicima predmetne nastave kroz razne radionice i edukativne izlete, na pružanju mogućnosti korelacije i timske suradnje među raznim područjima darovitosti te na emocionalnom osnaživanju darovitih učenika. Jedan od partnera je i Waldorfska osnovna škola Vodnjan. </w:t>
      </w:r>
    </w:p>
    <w:p w14:paraId="57DDF997" w14:textId="77777777" w:rsidR="00E541EE" w:rsidRPr="00A35CB0" w:rsidRDefault="00E541EE" w:rsidP="00E541EE">
      <w:pPr>
        <w:pStyle w:val="Default"/>
        <w:jc w:val="both"/>
        <w:rPr>
          <w:rFonts w:ascii="Arial" w:eastAsia="Times New Roman" w:hAnsi="Arial" w:cs="Arial"/>
        </w:rPr>
      </w:pPr>
      <w:r w:rsidRPr="00A35CB0">
        <w:rPr>
          <w:rFonts w:ascii="Arial" w:eastAsia="Times New Roman" w:hAnsi="Arial" w:cs="Arial"/>
          <w:b/>
        </w:rPr>
        <w:t>Opći cilj:</w:t>
      </w:r>
      <w:r w:rsidRPr="00A35CB0">
        <w:rPr>
          <w:rFonts w:ascii="Arial" w:eastAsia="Times New Roman" w:hAnsi="Arial" w:cs="Arial"/>
        </w:rPr>
        <w:t xml:space="preserve"> </w:t>
      </w:r>
      <w:r w:rsidRPr="00A35CB0">
        <w:rPr>
          <w:rFonts w:ascii="Arial" w:eastAsia="Times New Roman" w:hAnsi="Arial" w:cs="Arial"/>
          <w:color w:val="001D35"/>
          <w:lang w:eastAsia="hr-HR"/>
        </w:rPr>
        <w:t xml:space="preserve"> </w:t>
      </w:r>
      <w:r>
        <w:rPr>
          <w:rFonts w:ascii="Arial" w:eastAsia="Times New Roman" w:hAnsi="Arial" w:cs="Arial"/>
        </w:rPr>
        <w:t>p</w:t>
      </w:r>
      <w:r w:rsidRPr="00A35CB0">
        <w:rPr>
          <w:rFonts w:ascii="Arial" w:eastAsia="Times New Roman" w:hAnsi="Arial" w:cs="Arial"/>
        </w:rPr>
        <w:t>oticanje  punog potencijala i talenata darovitih učenika te omogućavanje dubljeg učenja i napredovanja u skladu s njihovim sposobnostima</w:t>
      </w:r>
    </w:p>
    <w:p w14:paraId="79BCFFBA" w14:textId="77777777" w:rsidR="00E541EE" w:rsidRDefault="00E541EE" w:rsidP="00E541EE">
      <w:pPr>
        <w:pStyle w:val="Default"/>
        <w:jc w:val="both"/>
        <w:rPr>
          <w:rFonts w:ascii="Arial" w:eastAsia="Times New Roman" w:hAnsi="Arial" w:cs="Arial"/>
        </w:rPr>
      </w:pPr>
      <w:r w:rsidRPr="00A35CB0">
        <w:rPr>
          <w:rFonts w:ascii="Arial" w:eastAsia="Times New Roman" w:hAnsi="Arial" w:cs="Arial"/>
          <w:b/>
        </w:rPr>
        <w:t xml:space="preserve">Pokazatelj uspješnosti: </w:t>
      </w:r>
      <w:r w:rsidRPr="00A35CB0">
        <w:rPr>
          <w:rFonts w:ascii="Arial" w:eastAsia="Times New Roman" w:hAnsi="Arial" w:cs="Arial"/>
        </w:rPr>
        <w:t>broj uključenih učenika i provedene aktivnosti</w:t>
      </w:r>
      <w:r>
        <w:rPr>
          <w:rFonts w:ascii="Arial" w:eastAsia="Times New Roman" w:hAnsi="Arial" w:cs="Arial"/>
        </w:rPr>
        <w:t>.</w:t>
      </w:r>
    </w:p>
    <w:p w14:paraId="62AB75A9" w14:textId="77777777" w:rsidR="00E541EE" w:rsidRPr="002D4985" w:rsidRDefault="00E541EE" w:rsidP="00E541EE">
      <w:pPr>
        <w:pStyle w:val="Default"/>
        <w:jc w:val="both"/>
        <w:rPr>
          <w:rFonts w:ascii="Arial" w:eastAsia="Times New Roman" w:hAnsi="Arial" w:cs="Arial"/>
        </w:rPr>
      </w:pPr>
    </w:p>
    <w:p w14:paraId="66CDAE3B"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B1EDA0"/>
        <w:jc w:val="both"/>
        <w:rPr>
          <w:rFonts w:ascii="Arial" w:eastAsia="Times New Roman" w:hAnsi="Arial" w:cs="Arial"/>
          <w:b/>
          <w:bCs/>
          <w:sz w:val="24"/>
          <w:szCs w:val="24"/>
        </w:rPr>
      </w:pPr>
      <w:r w:rsidRPr="00AC2206">
        <w:rPr>
          <w:rFonts w:ascii="Arial" w:eastAsia="Times New Roman" w:hAnsi="Arial" w:cs="Arial"/>
          <w:b/>
          <w:bCs/>
          <w:sz w:val="24"/>
          <w:szCs w:val="24"/>
        </w:rPr>
        <w:t xml:space="preserve">Glava 00704: USTANOVE U KULTURI = </w:t>
      </w:r>
      <w:r>
        <w:rPr>
          <w:rFonts w:ascii="Arial" w:eastAsia="Times New Roman" w:hAnsi="Arial" w:cs="Arial"/>
          <w:b/>
          <w:bCs/>
          <w:sz w:val="24"/>
          <w:szCs w:val="24"/>
        </w:rPr>
        <w:t>2</w:t>
      </w:r>
      <w:r w:rsidRPr="00AC2206">
        <w:rPr>
          <w:rFonts w:ascii="Arial" w:eastAsia="Times New Roman" w:hAnsi="Arial" w:cs="Arial"/>
          <w:b/>
          <w:bCs/>
          <w:sz w:val="24"/>
          <w:szCs w:val="24"/>
        </w:rPr>
        <w:t>.</w:t>
      </w:r>
      <w:r>
        <w:rPr>
          <w:rFonts w:ascii="Arial" w:eastAsia="Times New Roman" w:hAnsi="Arial" w:cs="Arial"/>
          <w:b/>
          <w:bCs/>
          <w:sz w:val="24"/>
          <w:szCs w:val="24"/>
        </w:rPr>
        <w:t>421</w:t>
      </w:r>
      <w:r w:rsidRPr="00AC2206">
        <w:rPr>
          <w:rFonts w:ascii="Arial" w:eastAsia="Times New Roman" w:hAnsi="Arial" w:cs="Arial"/>
          <w:b/>
          <w:bCs/>
          <w:sz w:val="24"/>
          <w:szCs w:val="24"/>
        </w:rPr>
        <w:t>.</w:t>
      </w:r>
      <w:r>
        <w:rPr>
          <w:rFonts w:ascii="Arial" w:eastAsia="Times New Roman" w:hAnsi="Arial" w:cs="Arial"/>
          <w:b/>
          <w:bCs/>
          <w:sz w:val="24"/>
          <w:szCs w:val="24"/>
        </w:rPr>
        <w:t>906</w:t>
      </w:r>
      <w:r w:rsidRPr="00AC2206">
        <w:rPr>
          <w:rFonts w:ascii="Arial" w:eastAsia="Times New Roman" w:hAnsi="Arial" w:cs="Arial"/>
          <w:b/>
          <w:bCs/>
          <w:sz w:val="24"/>
          <w:szCs w:val="24"/>
        </w:rPr>
        <w:t>,00 EUR</w:t>
      </w:r>
    </w:p>
    <w:p w14:paraId="7BA20577" w14:textId="77777777" w:rsidR="00E541EE" w:rsidRPr="00AC2206" w:rsidRDefault="00E541EE" w:rsidP="00E541EE">
      <w:pPr>
        <w:jc w:val="both"/>
        <w:rPr>
          <w:rFonts w:ascii="Arial" w:eastAsia="Times New Roman" w:hAnsi="Arial" w:cs="Arial"/>
          <w:b/>
          <w:bCs/>
          <w:sz w:val="24"/>
          <w:szCs w:val="24"/>
        </w:rPr>
      </w:pPr>
    </w:p>
    <w:p w14:paraId="11B8A5FD"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FFFF80"/>
        <w:jc w:val="both"/>
        <w:rPr>
          <w:rFonts w:ascii="Arial" w:eastAsia="Times New Roman" w:hAnsi="Arial" w:cs="Arial"/>
          <w:b/>
          <w:bCs/>
          <w:sz w:val="24"/>
          <w:szCs w:val="24"/>
        </w:rPr>
      </w:pPr>
      <w:r w:rsidRPr="00AC2206">
        <w:rPr>
          <w:rFonts w:ascii="Arial" w:eastAsia="Times New Roman" w:hAnsi="Arial" w:cs="Arial"/>
          <w:b/>
          <w:bCs/>
          <w:sz w:val="24"/>
          <w:szCs w:val="24"/>
        </w:rPr>
        <w:t xml:space="preserve">Program 1037: Djelatnost ustanova u kulturi = </w:t>
      </w:r>
      <w:r>
        <w:rPr>
          <w:rFonts w:ascii="Arial" w:eastAsia="Times New Roman" w:hAnsi="Arial" w:cs="Arial"/>
          <w:b/>
          <w:bCs/>
          <w:sz w:val="24"/>
          <w:szCs w:val="24"/>
        </w:rPr>
        <w:t>2.421.906,00</w:t>
      </w:r>
      <w:r w:rsidRPr="00AC2206">
        <w:rPr>
          <w:rFonts w:ascii="Arial" w:eastAsia="Times New Roman" w:hAnsi="Arial" w:cs="Arial"/>
          <w:b/>
          <w:bCs/>
          <w:sz w:val="24"/>
          <w:szCs w:val="24"/>
        </w:rPr>
        <w:t xml:space="preserve"> EUR</w:t>
      </w:r>
    </w:p>
    <w:p w14:paraId="5F94DC6A" w14:textId="77777777" w:rsidR="00E541EE" w:rsidRDefault="00E541EE" w:rsidP="00E541EE">
      <w:pPr>
        <w:jc w:val="both"/>
        <w:rPr>
          <w:rFonts w:ascii="Arial" w:eastAsia="Times New Roman" w:hAnsi="Arial" w:cs="Arial"/>
          <w:sz w:val="24"/>
          <w:szCs w:val="24"/>
        </w:rPr>
      </w:pPr>
    </w:p>
    <w:p w14:paraId="6CD8B9BA" w14:textId="431458F5" w:rsidR="00E541EE" w:rsidRPr="00261EBF" w:rsidRDefault="00E541EE" w:rsidP="00E541EE">
      <w:pPr>
        <w:pBdr>
          <w:top w:val="single" w:sz="4" w:space="1" w:color="auto"/>
          <w:left w:val="single" w:sz="4" w:space="4" w:color="auto"/>
          <w:bottom w:val="single" w:sz="4" w:space="1" w:color="auto"/>
          <w:right w:val="single" w:sz="4" w:space="4" w:color="auto"/>
        </w:pBdr>
        <w:shd w:val="clear" w:color="auto" w:fill="FFD5EA"/>
        <w:jc w:val="both"/>
        <w:rPr>
          <w:rFonts w:ascii="Arial" w:eastAsia="Times New Roman" w:hAnsi="Arial" w:cs="Arial"/>
          <w:b/>
          <w:bCs/>
          <w:sz w:val="24"/>
          <w:szCs w:val="24"/>
        </w:rPr>
      </w:pPr>
      <w:r w:rsidRPr="00261EBF">
        <w:rPr>
          <w:rFonts w:ascii="Arial" w:eastAsia="Times New Roman" w:hAnsi="Arial" w:cs="Arial"/>
          <w:b/>
          <w:bCs/>
          <w:sz w:val="24"/>
          <w:szCs w:val="24"/>
        </w:rPr>
        <w:t>Proračunski korisnik</w:t>
      </w:r>
      <w:r w:rsidR="00E80F33">
        <w:rPr>
          <w:rFonts w:ascii="Arial" w:eastAsia="Times New Roman" w:hAnsi="Arial" w:cs="Arial"/>
          <w:b/>
          <w:bCs/>
          <w:sz w:val="24"/>
          <w:szCs w:val="24"/>
        </w:rPr>
        <w:t>:</w:t>
      </w:r>
      <w:r w:rsidRPr="00261EBF">
        <w:rPr>
          <w:rFonts w:ascii="Arial" w:eastAsia="Times New Roman" w:hAnsi="Arial" w:cs="Arial"/>
          <w:b/>
          <w:bCs/>
          <w:sz w:val="24"/>
          <w:szCs w:val="24"/>
        </w:rPr>
        <w:t xml:space="preserve"> Pučko otvoreno učilište Grada Rovinja-Rovigno </w:t>
      </w:r>
    </w:p>
    <w:p w14:paraId="515A1200"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FFD5EA"/>
        <w:jc w:val="both"/>
        <w:rPr>
          <w:rFonts w:ascii="Arial" w:eastAsia="Times New Roman" w:hAnsi="Arial" w:cs="Arial"/>
          <w:b/>
          <w:bCs/>
          <w:sz w:val="24"/>
          <w:szCs w:val="24"/>
        </w:rPr>
      </w:pPr>
      <w:r w:rsidRPr="00261EBF">
        <w:rPr>
          <w:rFonts w:ascii="Arial" w:eastAsia="Times New Roman" w:hAnsi="Arial" w:cs="Arial"/>
          <w:b/>
          <w:bCs/>
          <w:sz w:val="24"/>
          <w:szCs w:val="24"/>
        </w:rPr>
        <w:t>= 908.126,00 EUR</w:t>
      </w:r>
    </w:p>
    <w:p w14:paraId="0771668A" w14:textId="77777777" w:rsidR="00E541EE" w:rsidRPr="00AC2206" w:rsidRDefault="00E541EE" w:rsidP="00E541EE">
      <w:pPr>
        <w:rPr>
          <w:rFonts w:ascii="Arial" w:eastAsia="Times New Roman" w:hAnsi="Arial" w:cs="Arial"/>
          <w:sz w:val="24"/>
          <w:szCs w:val="24"/>
        </w:rPr>
      </w:pPr>
    </w:p>
    <w:p w14:paraId="24777C20"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rPr>
          <w:rFonts w:ascii="Arial" w:eastAsia="Times New Roman" w:hAnsi="Arial" w:cs="Arial"/>
          <w:b/>
          <w:bCs/>
          <w:sz w:val="24"/>
          <w:szCs w:val="24"/>
        </w:rPr>
      </w:pPr>
      <w:r w:rsidRPr="00AC2206">
        <w:rPr>
          <w:rFonts w:ascii="Arial" w:eastAsia="Times New Roman" w:hAnsi="Arial" w:cs="Arial"/>
          <w:b/>
          <w:bCs/>
          <w:sz w:val="24"/>
          <w:szCs w:val="24"/>
        </w:rPr>
        <w:t xml:space="preserve">A 103701: Redovan rad ustanove u kulturi = </w:t>
      </w:r>
      <w:r>
        <w:rPr>
          <w:rFonts w:ascii="Arial" w:eastAsia="Times New Roman" w:hAnsi="Arial" w:cs="Arial"/>
          <w:b/>
          <w:bCs/>
          <w:sz w:val="24"/>
          <w:szCs w:val="24"/>
        </w:rPr>
        <w:t>451</w:t>
      </w:r>
      <w:r w:rsidRPr="00AC2206">
        <w:rPr>
          <w:rFonts w:ascii="Arial" w:eastAsia="Times New Roman" w:hAnsi="Arial" w:cs="Arial"/>
          <w:b/>
          <w:bCs/>
          <w:sz w:val="24"/>
          <w:szCs w:val="24"/>
        </w:rPr>
        <w:t>.</w:t>
      </w:r>
      <w:r>
        <w:rPr>
          <w:rFonts w:ascii="Arial" w:eastAsia="Times New Roman" w:hAnsi="Arial" w:cs="Arial"/>
          <w:b/>
          <w:bCs/>
          <w:sz w:val="24"/>
          <w:szCs w:val="24"/>
        </w:rPr>
        <w:t>775</w:t>
      </w:r>
      <w:r w:rsidRPr="00AC2206">
        <w:rPr>
          <w:rFonts w:ascii="Arial" w:eastAsia="Times New Roman" w:hAnsi="Arial" w:cs="Arial"/>
          <w:b/>
          <w:bCs/>
          <w:sz w:val="24"/>
          <w:szCs w:val="24"/>
        </w:rPr>
        <w:t>,00 EUR</w:t>
      </w:r>
    </w:p>
    <w:p w14:paraId="16E18FC0"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Zakonska osnova:</w:t>
      </w:r>
      <w:r w:rsidRPr="00AC2206">
        <w:rPr>
          <w:rFonts w:ascii="Arial" w:eastAsia="Times New Roman" w:hAnsi="Arial" w:cs="Arial"/>
          <w:sz w:val="24"/>
          <w:szCs w:val="24"/>
        </w:rPr>
        <w:t xml:space="preserve"> Zakon o lokalnoj i područnoj (regionalnoj) samoupravi, Zakon o pučkim otvorenim učilištima, Zakon o ustanovama.</w:t>
      </w:r>
    </w:p>
    <w:p w14:paraId="66546E19" w14:textId="77777777" w:rsidR="00E541EE" w:rsidRPr="0012580E" w:rsidRDefault="00E541EE" w:rsidP="00E541EE">
      <w:pPr>
        <w:pStyle w:val="Tijeloteksta"/>
        <w:rPr>
          <w:bCs/>
        </w:rPr>
      </w:pPr>
      <w:r w:rsidRPr="00AC2206">
        <w:rPr>
          <w:rFonts w:ascii="Arial" w:hAnsi="Arial" w:cs="Arial"/>
          <w:b/>
        </w:rPr>
        <w:t>Opis:</w:t>
      </w:r>
      <w:r w:rsidRPr="0012580E">
        <w:rPr>
          <w:bCs/>
        </w:rPr>
        <w:t xml:space="preserve"> </w:t>
      </w:r>
      <w:r>
        <w:rPr>
          <w:rFonts w:ascii="Arial" w:hAnsi="Arial" w:cs="Arial"/>
        </w:rPr>
        <w:t xml:space="preserve">Sredstvima gradskog proračuna u iznosu od 347.875,00 eura osigurava se isplata plaća i ostalih davanja </w:t>
      </w:r>
      <w:r w:rsidRPr="00C54D16">
        <w:rPr>
          <w:rFonts w:ascii="Arial" w:hAnsi="Arial" w:cs="Arial"/>
        </w:rPr>
        <w:t>s osnova</w:t>
      </w:r>
      <w:r>
        <w:rPr>
          <w:rFonts w:ascii="Arial" w:hAnsi="Arial" w:cs="Arial"/>
        </w:rPr>
        <w:t xml:space="preserve"> radnog odnosa za </w:t>
      </w:r>
      <w:r w:rsidRPr="00E34E89">
        <w:rPr>
          <w:rFonts w:ascii="Arial" w:hAnsi="Arial" w:cs="Arial"/>
        </w:rPr>
        <w:t>ukupno dvanaest (12) zaposlenika.</w:t>
      </w:r>
      <w:r>
        <w:rPr>
          <w:rFonts w:ascii="Arial" w:hAnsi="Arial" w:cs="Arial"/>
        </w:rPr>
        <w:t xml:space="preserve"> U rashode za zaposlene</w:t>
      </w:r>
      <w:r w:rsidRPr="007B45C7">
        <w:rPr>
          <w:rFonts w:ascii="Arial" w:hAnsi="Arial" w:cs="Arial"/>
        </w:rPr>
        <w:t xml:space="preserve"> </w:t>
      </w:r>
      <w:r>
        <w:rPr>
          <w:rFonts w:ascii="Arial" w:hAnsi="Arial" w:cs="Arial"/>
        </w:rPr>
        <w:t xml:space="preserve">planirana je plaća, neto iznos za stalni dodatak na plaću, za stalni dodatak na plaću na ime naknade za prehranu (topli obrok), </w:t>
      </w:r>
      <w:r w:rsidRPr="007B45C7">
        <w:rPr>
          <w:rFonts w:ascii="Arial" w:hAnsi="Arial" w:cs="Arial"/>
        </w:rPr>
        <w:t>planirane su pomoći</w:t>
      </w:r>
      <w:r>
        <w:rPr>
          <w:rFonts w:ascii="Arial" w:hAnsi="Arial" w:cs="Arial"/>
        </w:rPr>
        <w:t xml:space="preserve"> i potpore</w:t>
      </w:r>
      <w:r w:rsidRPr="007B45C7">
        <w:rPr>
          <w:rFonts w:ascii="Arial" w:hAnsi="Arial" w:cs="Arial"/>
        </w:rPr>
        <w:t>,</w:t>
      </w:r>
      <w:r>
        <w:rPr>
          <w:rFonts w:ascii="Arial" w:hAnsi="Arial" w:cs="Arial"/>
        </w:rPr>
        <w:t xml:space="preserve"> </w:t>
      </w:r>
      <w:r w:rsidRPr="007B45C7">
        <w:rPr>
          <w:rFonts w:ascii="Arial" w:hAnsi="Arial" w:cs="Arial"/>
        </w:rPr>
        <w:t>sredstva za regres i božićnicu</w:t>
      </w:r>
      <w:r>
        <w:rPr>
          <w:rFonts w:ascii="Arial" w:hAnsi="Arial" w:cs="Arial"/>
        </w:rPr>
        <w:t>, uskrsnica, sredstva za</w:t>
      </w:r>
      <w:r w:rsidRPr="007B45C7">
        <w:rPr>
          <w:rFonts w:ascii="Arial" w:hAnsi="Arial" w:cs="Arial"/>
        </w:rPr>
        <w:t xml:space="preserve"> dar djeci</w:t>
      </w:r>
      <w:r>
        <w:rPr>
          <w:rFonts w:ascii="Arial" w:hAnsi="Arial" w:cs="Arial"/>
        </w:rPr>
        <w:t xml:space="preserve"> </w:t>
      </w:r>
      <w:r w:rsidRPr="007B45C7">
        <w:rPr>
          <w:rFonts w:ascii="Arial" w:hAnsi="Arial" w:cs="Arial"/>
        </w:rPr>
        <w:t>do 15 godina starosti zaposlenika</w:t>
      </w:r>
      <w:r>
        <w:rPr>
          <w:rFonts w:ascii="Arial" w:hAnsi="Arial" w:cs="Arial"/>
        </w:rPr>
        <w:t xml:space="preserve"> Učilišta, sredstva za dar u naravi, jubilarna nagrada.</w:t>
      </w:r>
    </w:p>
    <w:p w14:paraId="50109B82" w14:textId="77777777" w:rsidR="00E541EE" w:rsidRDefault="00E541EE" w:rsidP="00E541EE">
      <w:pPr>
        <w:jc w:val="both"/>
        <w:rPr>
          <w:rFonts w:ascii="Arial" w:hAnsi="Arial" w:cs="Arial"/>
          <w:sz w:val="24"/>
          <w:szCs w:val="24"/>
        </w:rPr>
      </w:pPr>
      <w:r>
        <w:rPr>
          <w:rFonts w:ascii="Arial" w:hAnsi="Arial" w:cs="Arial"/>
          <w:sz w:val="24"/>
          <w:szCs w:val="24"/>
        </w:rPr>
        <w:t>Naknada za prijevoz zaposlenika na radno mjesto planirana je u iznosu od 10.400,00 eura.</w:t>
      </w:r>
    </w:p>
    <w:p w14:paraId="282AAFAE" w14:textId="77777777" w:rsidR="00E541EE" w:rsidRDefault="00E541EE" w:rsidP="00E541EE">
      <w:pPr>
        <w:jc w:val="both"/>
        <w:rPr>
          <w:rFonts w:ascii="Arial" w:hAnsi="Arial" w:cs="Arial"/>
          <w:sz w:val="24"/>
          <w:szCs w:val="24"/>
        </w:rPr>
      </w:pPr>
      <w:r>
        <w:rPr>
          <w:rFonts w:ascii="Arial" w:hAnsi="Arial" w:cs="Arial"/>
          <w:sz w:val="24"/>
          <w:szCs w:val="24"/>
        </w:rPr>
        <w:t xml:space="preserve">Za materijalne troškove osigurava se  ukupno 80.000,00 eura. Učilište je na uporabu dobilo  prostor Centra za mlade „Dino Škrapić“  i prizemlje Gandusia. </w:t>
      </w:r>
    </w:p>
    <w:p w14:paraId="08A27DCE" w14:textId="77777777" w:rsidR="00E541EE" w:rsidRPr="007B7887" w:rsidRDefault="00E541EE" w:rsidP="00E541EE">
      <w:pPr>
        <w:jc w:val="both"/>
        <w:rPr>
          <w:rFonts w:ascii="Arial" w:hAnsi="Arial" w:cs="Arial"/>
          <w:sz w:val="24"/>
          <w:szCs w:val="24"/>
        </w:rPr>
      </w:pPr>
      <w:r w:rsidRPr="001147C0">
        <w:rPr>
          <w:rFonts w:ascii="Arial" w:hAnsi="Arial" w:cs="Arial"/>
          <w:sz w:val="24"/>
          <w:szCs w:val="24"/>
        </w:rPr>
        <w:t>Planirani troškovi su  povećani zbog</w:t>
      </w:r>
      <w:r>
        <w:rPr>
          <w:rFonts w:ascii="Arial" w:hAnsi="Arial" w:cs="Arial"/>
          <w:sz w:val="24"/>
          <w:szCs w:val="24"/>
        </w:rPr>
        <w:t xml:space="preserve"> većih troškova plaća (Učilište je raspisalo natječaj za voditelja Centra za mlade, za jednog tehničara i spremačicu-biljeterku te se u 2026-toj godini planira zaposliti još jednog voditelja), došlo je do poskupljenja troškova za uredski materijal, materijal za čišćenje (npr. održavanje  ukupno 14 sanitarnih čvorova), energiju, troškova za uslugu (komunalna naknada, troškovi voda, troškovi telefona, troškovi za zamjene djelatnika, troškovi za održavanje knjigovodstvenih programa, troškovi za zaštitu na radu itd.).  </w:t>
      </w:r>
    </w:p>
    <w:p w14:paraId="5CC10846" w14:textId="77777777" w:rsidR="00E541EE" w:rsidRPr="00AC2206" w:rsidRDefault="00E541EE" w:rsidP="00E541EE">
      <w:pPr>
        <w:rPr>
          <w:rFonts w:ascii="Arial" w:eastAsia="Times New Roman" w:hAnsi="Arial" w:cs="Arial"/>
          <w:sz w:val="24"/>
          <w:szCs w:val="24"/>
        </w:rPr>
      </w:pPr>
      <w:r w:rsidRPr="00AC2206">
        <w:rPr>
          <w:rFonts w:ascii="Arial" w:eastAsia="Times New Roman" w:hAnsi="Arial" w:cs="Arial"/>
          <w:b/>
          <w:bCs/>
          <w:sz w:val="24"/>
          <w:szCs w:val="24"/>
        </w:rPr>
        <w:t>Opći</w:t>
      </w:r>
      <w:r>
        <w:rPr>
          <w:rFonts w:ascii="Arial" w:eastAsia="Times New Roman" w:hAnsi="Arial" w:cs="Arial"/>
          <w:b/>
          <w:bCs/>
          <w:sz w:val="24"/>
          <w:szCs w:val="24"/>
        </w:rPr>
        <w:t xml:space="preserve"> </w:t>
      </w:r>
      <w:r w:rsidRPr="00AC2206">
        <w:rPr>
          <w:rFonts w:ascii="Arial" w:eastAsia="Times New Roman" w:hAnsi="Arial" w:cs="Arial"/>
          <w:b/>
          <w:bCs/>
          <w:sz w:val="24"/>
          <w:szCs w:val="24"/>
        </w:rPr>
        <w:t>cilj</w:t>
      </w:r>
      <w:r w:rsidRPr="00AC2206">
        <w:rPr>
          <w:rFonts w:ascii="Arial" w:eastAsia="Times New Roman" w:hAnsi="Arial" w:cs="Arial"/>
          <w:b/>
          <w:sz w:val="24"/>
          <w:szCs w:val="24"/>
        </w:rPr>
        <w:t xml:space="preserve">: </w:t>
      </w:r>
      <w:r w:rsidRPr="00AC2206">
        <w:rPr>
          <w:rFonts w:ascii="Arial" w:eastAsia="Times New Roman" w:hAnsi="Arial" w:cs="Arial"/>
          <w:sz w:val="24"/>
          <w:szCs w:val="24"/>
        </w:rPr>
        <w:t>osiguravanje obavljanja djelatnosti ustanove.</w:t>
      </w:r>
      <w:r w:rsidRPr="00AC2206">
        <w:rPr>
          <w:rFonts w:ascii="Arial" w:eastAsia="Times New Roman" w:hAnsi="Arial" w:cs="Arial"/>
          <w:sz w:val="24"/>
          <w:szCs w:val="24"/>
        </w:rPr>
        <w:br/>
      </w:r>
      <w:r w:rsidRPr="00AC2206">
        <w:rPr>
          <w:rFonts w:ascii="Arial" w:eastAsia="Times New Roman" w:hAnsi="Arial" w:cs="Arial"/>
          <w:b/>
          <w:bCs/>
          <w:sz w:val="24"/>
          <w:szCs w:val="24"/>
        </w:rPr>
        <w:t>Pokazatelj uspješnosti</w:t>
      </w:r>
      <w:r w:rsidRPr="00AC2206">
        <w:rPr>
          <w:rFonts w:ascii="Arial" w:eastAsia="Times New Roman" w:hAnsi="Arial" w:cs="Arial"/>
          <w:b/>
          <w:sz w:val="24"/>
          <w:szCs w:val="24"/>
        </w:rPr>
        <w:t xml:space="preserve">: </w:t>
      </w:r>
      <w:r w:rsidRPr="00AC2206">
        <w:rPr>
          <w:rFonts w:ascii="Arial" w:eastAsia="Times New Roman" w:hAnsi="Arial" w:cs="Arial"/>
          <w:sz w:val="24"/>
          <w:szCs w:val="24"/>
        </w:rPr>
        <w:t>nesmetan rad ustanove te realizacija programa.</w:t>
      </w:r>
      <w:r w:rsidRPr="00AC2206">
        <w:rPr>
          <w:rFonts w:ascii="Arial" w:eastAsia="Times New Roman" w:hAnsi="Arial" w:cs="Arial"/>
          <w:b/>
          <w:sz w:val="24"/>
          <w:szCs w:val="24"/>
        </w:rPr>
        <w:t xml:space="preserve"> </w:t>
      </w:r>
    </w:p>
    <w:p w14:paraId="7467475C" w14:textId="77777777" w:rsidR="00E541EE" w:rsidRPr="00AC2206" w:rsidRDefault="00E541EE" w:rsidP="00E541EE">
      <w:pPr>
        <w:rPr>
          <w:rFonts w:ascii="Arial" w:eastAsia="Times New Roman" w:hAnsi="Arial" w:cs="Arial"/>
          <w:b/>
          <w:bCs/>
          <w:sz w:val="24"/>
          <w:szCs w:val="24"/>
        </w:rPr>
      </w:pPr>
    </w:p>
    <w:p w14:paraId="39297DC6"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AC2206">
        <w:rPr>
          <w:rFonts w:ascii="Arial" w:eastAsia="Times New Roman" w:hAnsi="Arial" w:cs="Arial"/>
          <w:b/>
          <w:bCs/>
          <w:sz w:val="24"/>
          <w:szCs w:val="24"/>
        </w:rPr>
        <w:t>A 103702: Upravno vijeće = 3.</w:t>
      </w:r>
      <w:r>
        <w:rPr>
          <w:rFonts w:ascii="Arial" w:eastAsia="Times New Roman" w:hAnsi="Arial" w:cs="Arial"/>
          <w:b/>
          <w:bCs/>
          <w:sz w:val="24"/>
          <w:szCs w:val="24"/>
        </w:rPr>
        <w:t>306</w:t>
      </w:r>
      <w:r w:rsidRPr="00AC2206">
        <w:rPr>
          <w:rFonts w:ascii="Arial" w:eastAsia="Times New Roman" w:hAnsi="Arial" w:cs="Arial"/>
          <w:b/>
          <w:bCs/>
          <w:sz w:val="24"/>
          <w:szCs w:val="24"/>
        </w:rPr>
        <w:t>,00 EUR</w:t>
      </w:r>
    </w:p>
    <w:p w14:paraId="07CAD765"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sz w:val="24"/>
          <w:szCs w:val="24"/>
        </w:rPr>
        <w:t xml:space="preserve">Zakonska osnova: </w:t>
      </w:r>
      <w:r w:rsidRPr="00AC2206">
        <w:rPr>
          <w:rFonts w:ascii="Arial" w:eastAsia="Times New Roman" w:hAnsi="Arial" w:cs="Arial"/>
          <w:sz w:val="24"/>
          <w:szCs w:val="24"/>
        </w:rPr>
        <w:t>Zakon o pučkim otvorenim učilištima, Zakon o ustanovama, Zakon o upravljanju javnim ustanovama u kulturi, Zakon o lokalnoj i područnoj (regionalnoj) samoupravi.</w:t>
      </w:r>
    </w:p>
    <w:p w14:paraId="0BB5F597"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sz w:val="24"/>
          <w:szCs w:val="24"/>
        </w:rPr>
        <w:t>Opis:</w:t>
      </w:r>
      <w:r w:rsidRPr="00AC2206">
        <w:rPr>
          <w:rFonts w:ascii="Arial" w:eastAsia="Times New Roman" w:hAnsi="Arial" w:cs="Arial"/>
          <w:sz w:val="24"/>
          <w:szCs w:val="24"/>
        </w:rPr>
        <w:t xml:space="preserve"> planiranim sredstvima isplaćuju se naknade za tri člana Upravnog vijeća prema održanim sjednicama i prisustvu članova na sjednicama. Visina naknade određena je posebnom Odlukom.</w:t>
      </w:r>
    </w:p>
    <w:p w14:paraId="5E9B68A9" w14:textId="77777777" w:rsidR="00E541EE" w:rsidRPr="00AC2206" w:rsidRDefault="00E541EE" w:rsidP="00E541EE">
      <w:pPr>
        <w:rPr>
          <w:rFonts w:ascii="Arial" w:eastAsia="Times New Roman" w:hAnsi="Arial" w:cs="Arial"/>
          <w:b/>
          <w:sz w:val="24"/>
          <w:szCs w:val="24"/>
        </w:rPr>
      </w:pPr>
      <w:r w:rsidRPr="00AC2206">
        <w:rPr>
          <w:rFonts w:ascii="Arial" w:eastAsia="Times New Roman" w:hAnsi="Arial" w:cs="Arial"/>
          <w:b/>
          <w:bCs/>
          <w:sz w:val="24"/>
          <w:szCs w:val="24"/>
        </w:rPr>
        <w:t>Opći cilj</w:t>
      </w:r>
      <w:r w:rsidRPr="00AC2206">
        <w:rPr>
          <w:rFonts w:ascii="Arial" w:eastAsia="Times New Roman" w:hAnsi="Arial" w:cs="Arial"/>
          <w:b/>
          <w:sz w:val="24"/>
          <w:szCs w:val="24"/>
        </w:rPr>
        <w:t xml:space="preserve">: </w:t>
      </w:r>
      <w:r w:rsidRPr="00AC2206">
        <w:rPr>
          <w:rFonts w:ascii="Arial" w:eastAsia="Times New Roman" w:hAnsi="Arial" w:cs="Arial"/>
          <w:sz w:val="24"/>
          <w:szCs w:val="24"/>
        </w:rPr>
        <w:t>osiguravanje uvjeta rada.</w:t>
      </w:r>
      <w:r w:rsidRPr="00AC2206">
        <w:rPr>
          <w:rFonts w:ascii="Arial" w:eastAsia="Times New Roman" w:hAnsi="Arial" w:cs="Arial"/>
          <w:b/>
          <w:sz w:val="24"/>
          <w:szCs w:val="24"/>
        </w:rPr>
        <w:t xml:space="preserve"> </w:t>
      </w:r>
      <w:r w:rsidRPr="00AC2206">
        <w:rPr>
          <w:rFonts w:ascii="Arial" w:eastAsia="Times New Roman" w:hAnsi="Arial" w:cs="Arial"/>
          <w:sz w:val="24"/>
          <w:szCs w:val="24"/>
        </w:rPr>
        <w:br/>
      </w:r>
      <w:r w:rsidRPr="00AC2206">
        <w:rPr>
          <w:rFonts w:ascii="Arial" w:eastAsia="Times New Roman" w:hAnsi="Arial" w:cs="Arial"/>
          <w:b/>
          <w:bCs/>
          <w:sz w:val="24"/>
          <w:szCs w:val="24"/>
        </w:rPr>
        <w:t>Pokazatelj uspješnosti</w:t>
      </w:r>
      <w:r w:rsidRPr="00AC2206">
        <w:rPr>
          <w:rFonts w:ascii="Arial" w:eastAsia="Times New Roman" w:hAnsi="Arial" w:cs="Arial"/>
          <w:b/>
          <w:sz w:val="24"/>
          <w:szCs w:val="24"/>
        </w:rPr>
        <w:t>:</w:t>
      </w:r>
      <w:r w:rsidRPr="00AC2206">
        <w:rPr>
          <w:rFonts w:ascii="Arial" w:eastAsia="Times New Roman" w:hAnsi="Arial" w:cs="Arial"/>
          <w:sz w:val="24"/>
          <w:szCs w:val="24"/>
        </w:rPr>
        <w:t xml:space="preserve"> donošenje pravovremenih odluka, nesmetano odvijanje djelatnosti ustanove.</w:t>
      </w:r>
    </w:p>
    <w:p w14:paraId="0B0B0E30" w14:textId="77777777" w:rsidR="00E541EE" w:rsidRPr="00AC2206" w:rsidRDefault="00E541EE" w:rsidP="00E541EE">
      <w:pPr>
        <w:jc w:val="both"/>
        <w:rPr>
          <w:rFonts w:ascii="Arial" w:eastAsia="Times New Roman" w:hAnsi="Arial" w:cs="Arial"/>
          <w:sz w:val="24"/>
          <w:szCs w:val="24"/>
        </w:rPr>
      </w:pPr>
    </w:p>
    <w:p w14:paraId="422C0567"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AC2206">
        <w:rPr>
          <w:rFonts w:ascii="Arial" w:eastAsia="Times New Roman" w:hAnsi="Arial" w:cs="Arial"/>
          <w:b/>
          <w:bCs/>
          <w:sz w:val="24"/>
          <w:szCs w:val="24"/>
        </w:rPr>
        <w:t xml:space="preserve">A 103703: Posebni programi ustanove = </w:t>
      </w:r>
      <w:r>
        <w:rPr>
          <w:rFonts w:ascii="Arial" w:eastAsia="Times New Roman" w:hAnsi="Arial" w:cs="Arial"/>
          <w:b/>
          <w:bCs/>
          <w:sz w:val="24"/>
          <w:szCs w:val="24"/>
        </w:rPr>
        <w:t>357</w:t>
      </w:r>
      <w:r w:rsidRPr="00AC2206">
        <w:rPr>
          <w:rFonts w:ascii="Arial" w:eastAsia="Times New Roman" w:hAnsi="Arial" w:cs="Arial"/>
          <w:b/>
          <w:bCs/>
          <w:sz w:val="24"/>
          <w:szCs w:val="24"/>
        </w:rPr>
        <w:t>.</w:t>
      </w:r>
      <w:r>
        <w:rPr>
          <w:rFonts w:ascii="Arial" w:eastAsia="Times New Roman" w:hAnsi="Arial" w:cs="Arial"/>
          <w:b/>
          <w:bCs/>
          <w:sz w:val="24"/>
          <w:szCs w:val="24"/>
        </w:rPr>
        <w:t>695,00</w:t>
      </w:r>
      <w:r w:rsidRPr="00AC2206">
        <w:rPr>
          <w:rFonts w:ascii="Arial" w:eastAsia="Times New Roman" w:hAnsi="Arial" w:cs="Arial"/>
          <w:b/>
          <w:bCs/>
          <w:sz w:val="24"/>
          <w:szCs w:val="24"/>
        </w:rPr>
        <w:t xml:space="preserve"> EUR</w:t>
      </w:r>
    </w:p>
    <w:p w14:paraId="2DD82293"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Zakonska osnova:</w:t>
      </w:r>
      <w:r w:rsidRPr="00AC2206">
        <w:rPr>
          <w:rFonts w:ascii="Arial" w:eastAsia="Times New Roman" w:hAnsi="Arial" w:cs="Arial"/>
          <w:sz w:val="24"/>
          <w:szCs w:val="24"/>
        </w:rPr>
        <w:t xml:space="preserve"> Zakon o lokalnoj i područnoj (regionalnoj) samoupravi, Zakon o pučkim otvorenim učilištima, Zakon o ustanovama.</w:t>
      </w:r>
    </w:p>
    <w:p w14:paraId="57B3394B" w14:textId="77777777" w:rsidR="00E541EE" w:rsidRPr="007B45C7" w:rsidRDefault="00E541EE" w:rsidP="00E541EE">
      <w:pPr>
        <w:jc w:val="both"/>
        <w:rPr>
          <w:rFonts w:ascii="Arial" w:hAnsi="Arial" w:cs="Arial"/>
          <w:sz w:val="24"/>
          <w:szCs w:val="24"/>
        </w:rPr>
      </w:pPr>
      <w:r w:rsidRPr="00AC2206">
        <w:rPr>
          <w:rFonts w:ascii="Arial" w:eastAsia="Times New Roman" w:hAnsi="Arial" w:cs="Arial"/>
          <w:b/>
          <w:sz w:val="24"/>
          <w:szCs w:val="24"/>
        </w:rPr>
        <w:t>Opis:</w:t>
      </w:r>
      <w:r w:rsidRPr="00AC2206">
        <w:rPr>
          <w:rFonts w:ascii="Arial" w:eastAsia="Times New Roman" w:hAnsi="Arial" w:cs="Arial"/>
          <w:sz w:val="24"/>
          <w:szCs w:val="24"/>
        </w:rPr>
        <w:t xml:space="preserve"> </w:t>
      </w:r>
      <w:r w:rsidRPr="007B45C7">
        <w:rPr>
          <w:rFonts w:ascii="Arial" w:hAnsi="Arial" w:cs="Arial"/>
          <w:sz w:val="24"/>
          <w:szCs w:val="24"/>
        </w:rPr>
        <w:t xml:space="preserve">Svoje programe </w:t>
      </w:r>
      <w:r>
        <w:rPr>
          <w:rFonts w:ascii="Arial" w:hAnsi="Arial" w:cs="Arial"/>
          <w:sz w:val="24"/>
          <w:szCs w:val="24"/>
        </w:rPr>
        <w:t>Učilište</w:t>
      </w:r>
      <w:r w:rsidRPr="007B45C7">
        <w:rPr>
          <w:rFonts w:ascii="Arial" w:hAnsi="Arial" w:cs="Arial"/>
          <w:sz w:val="24"/>
          <w:szCs w:val="24"/>
        </w:rPr>
        <w:t xml:space="preserve"> će realizirati kroz glazbeno-scensku, izložbenu i edukativno-književnu djelatnost.</w:t>
      </w:r>
    </w:p>
    <w:p w14:paraId="11A9CE90" w14:textId="77777777" w:rsidR="00E541EE" w:rsidRPr="006D2A94" w:rsidRDefault="00E541EE" w:rsidP="00E541EE">
      <w:pPr>
        <w:jc w:val="both"/>
        <w:rPr>
          <w:rFonts w:ascii="Arial" w:hAnsi="Arial" w:cs="Arial"/>
          <w:b/>
          <w:sz w:val="24"/>
          <w:szCs w:val="24"/>
        </w:rPr>
      </w:pPr>
      <w:r w:rsidRPr="007B45C7">
        <w:rPr>
          <w:rFonts w:ascii="Arial" w:hAnsi="Arial" w:cs="Arial"/>
          <w:sz w:val="24"/>
          <w:szCs w:val="24"/>
        </w:rPr>
        <w:t xml:space="preserve">Pored sredstava </w:t>
      </w:r>
      <w:r>
        <w:rPr>
          <w:rFonts w:ascii="Arial" w:hAnsi="Arial" w:cs="Arial"/>
          <w:sz w:val="24"/>
          <w:szCs w:val="24"/>
        </w:rPr>
        <w:t>G</w:t>
      </w:r>
      <w:r w:rsidRPr="007B45C7">
        <w:rPr>
          <w:rFonts w:ascii="Arial" w:hAnsi="Arial" w:cs="Arial"/>
          <w:sz w:val="24"/>
          <w:szCs w:val="24"/>
        </w:rPr>
        <w:t xml:space="preserve">radskog proračuna u iznosu </w:t>
      </w:r>
      <w:r w:rsidRPr="00EC7A92">
        <w:rPr>
          <w:rFonts w:ascii="Arial" w:hAnsi="Arial" w:cs="Arial"/>
          <w:sz w:val="24"/>
          <w:szCs w:val="24"/>
        </w:rPr>
        <w:t xml:space="preserve">od 261.550,00 </w:t>
      </w:r>
      <w:r>
        <w:rPr>
          <w:rFonts w:ascii="Arial" w:hAnsi="Arial" w:cs="Arial"/>
          <w:sz w:val="24"/>
          <w:szCs w:val="24"/>
        </w:rPr>
        <w:t>eura</w:t>
      </w:r>
      <w:r w:rsidRPr="007B45C7">
        <w:rPr>
          <w:rFonts w:ascii="Arial" w:hAnsi="Arial" w:cs="Arial"/>
          <w:sz w:val="24"/>
          <w:szCs w:val="24"/>
        </w:rPr>
        <w:t xml:space="preserve"> </w:t>
      </w:r>
      <w:r>
        <w:rPr>
          <w:rFonts w:ascii="Arial" w:hAnsi="Arial" w:cs="Arial"/>
          <w:sz w:val="24"/>
          <w:szCs w:val="24"/>
        </w:rPr>
        <w:t>Učilište</w:t>
      </w:r>
      <w:r w:rsidRPr="007B45C7">
        <w:rPr>
          <w:rFonts w:ascii="Arial" w:hAnsi="Arial" w:cs="Arial"/>
          <w:sz w:val="24"/>
          <w:szCs w:val="24"/>
        </w:rPr>
        <w:t xml:space="preserve"> planira ostvariti vlastite prihode od prodaje ulaznica za kazališne predstave i koncerte u iznosu od </w:t>
      </w:r>
      <w:r>
        <w:rPr>
          <w:rFonts w:ascii="Arial" w:hAnsi="Arial" w:cs="Arial"/>
          <w:sz w:val="24"/>
          <w:szCs w:val="24"/>
        </w:rPr>
        <w:t>42.745,00</w:t>
      </w:r>
      <w:r w:rsidRPr="007B45C7">
        <w:rPr>
          <w:rFonts w:ascii="Arial" w:hAnsi="Arial" w:cs="Arial"/>
          <w:sz w:val="24"/>
          <w:szCs w:val="24"/>
        </w:rPr>
        <w:t xml:space="preserve"> </w:t>
      </w:r>
      <w:r>
        <w:rPr>
          <w:rFonts w:ascii="Arial" w:hAnsi="Arial" w:cs="Arial"/>
          <w:sz w:val="24"/>
          <w:szCs w:val="24"/>
        </w:rPr>
        <w:t>eura</w:t>
      </w:r>
      <w:r w:rsidRPr="007B45C7">
        <w:rPr>
          <w:rFonts w:ascii="Arial" w:hAnsi="Arial" w:cs="Arial"/>
          <w:sz w:val="24"/>
          <w:szCs w:val="24"/>
        </w:rPr>
        <w:t xml:space="preserve">, </w:t>
      </w:r>
      <w:r>
        <w:rPr>
          <w:rFonts w:ascii="Arial" w:hAnsi="Arial" w:cs="Arial"/>
          <w:sz w:val="24"/>
          <w:szCs w:val="24"/>
        </w:rPr>
        <w:t xml:space="preserve">planira </w:t>
      </w:r>
      <w:r w:rsidRPr="007B45C7">
        <w:rPr>
          <w:rFonts w:ascii="Arial" w:hAnsi="Arial" w:cs="Arial"/>
          <w:sz w:val="24"/>
          <w:szCs w:val="24"/>
        </w:rPr>
        <w:t>donacij</w:t>
      </w:r>
      <w:r>
        <w:rPr>
          <w:rFonts w:ascii="Arial" w:hAnsi="Arial" w:cs="Arial"/>
          <w:sz w:val="24"/>
          <w:szCs w:val="24"/>
        </w:rPr>
        <w:t>e u iznosu od 28.600,00 eura</w:t>
      </w:r>
      <w:r w:rsidRPr="001147C0">
        <w:rPr>
          <w:rFonts w:ascii="Arial" w:hAnsi="Arial" w:cs="Arial"/>
          <w:sz w:val="24"/>
          <w:szCs w:val="24"/>
        </w:rPr>
        <w:t xml:space="preserve">, </w:t>
      </w:r>
      <w:r w:rsidRPr="001147C0">
        <w:rPr>
          <w:rFonts w:ascii="Arial" w:hAnsi="Arial" w:cs="Arial"/>
          <w:color w:val="000000" w:themeColor="text1"/>
          <w:sz w:val="24"/>
          <w:szCs w:val="24"/>
        </w:rPr>
        <w:t>i</w:t>
      </w:r>
      <w:r>
        <w:rPr>
          <w:rFonts w:ascii="Arial" w:hAnsi="Arial" w:cs="Arial"/>
          <w:color w:val="C00000"/>
          <w:sz w:val="24"/>
          <w:szCs w:val="24"/>
        </w:rPr>
        <w:t xml:space="preserve"> </w:t>
      </w:r>
      <w:r w:rsidRPr="007B45C7">
        <w:rPr>
          <w:rFonts w:ascii="Arial" w:hAnsi="Arial" w:cs="Arial"/>
          <w:sz w:val="24"/>
          <w:szCs w:val="24"/>
        </w:rPr>
        <w:t>potpor</w:t>
      </w:r>
      <w:r>
        <w:rPr>
          <w:rFonts w:ascii="Arial" w:hAnsi="Arial" w:cs="Arial"/>
          <w:sz w:val="24"/>
          <w:szCs w:val="24"/>
        </w:rPr>
        <w:t xml:space="preserve">e </w:t>
      </w:r>
      <w:r w:rsidRPr="007B45C7">
        <w:rPr>
          <w:rFonts w:ascii="Arial" w:hAnsi="Arial" w:cs="Arial"/>
          <w:sz w:val="24"/>
          <w:szCs w:val="24"/>
        </w:rPr>
        <w:t>državnog i županijskog</w:t>
      </w:r>
      <w:r>
        <w:rPr>
          <w:rFonts w:ascii="Arial" w:hAnsi="Arial" w:cs="Arial"/>
          <w:sz w:val="24"/>
          <w:szCs w:val="24"/>
        </w:rPr>
        <w:t xml:space="preserve"> proračuna u iznosu od 19.500,00 eura.</w:t>
      </w:r>
      <w:r w:rsidRPr="007B45C7">
        <w:rPr>
          <w:rFonts w:ascii="Arial" w:hAnsi="Arial" w:cs="Arial"/>
          <w:sz w:val="24"/>
          <w:szCs w:val="24"/>
        </w:rPr>
        <w:t xml:space="preserve"> </w:t>
      </w:r>
      <w:r w:rsidRPr="003A6978">
        <w:rPr>
          <w:rFonts w:ascii="Arial" w:hAnsi="Arial" w:cs="Arial"/>
          <w:sz w:val="24"/>
          <w:szCs w:val="24"/>
        </w:rPr>
        <w:t>P</w:t>
      </w:r>
      <w:r>
        <w:rPr>
          <w:rFonts w:ascii="Arial" w:hAnsi="Arial" w:cs="Arial"/>
          <w:sz w:val="24"/>
          <w:szCs w:val="24"/>
        </w:rPr>
        <w:t xml:space="preserve">osebni programi </w:t>
      </w:r>
      <w:r w:rsidRPr="003A6978">
        <w:rPr>
          <w:rFonts w:ascii="Arial" w:hAnsi="Arial" w:cs="Arial"/>
          <w:sz w:val="24"/>
          <w:szCs w:val="24"/>
        </w:rPr>
        <w:t xml:space="preserve"> U</w:t>
      </w:r>
      <w:r>
        <w:rPr>
          <w:rFonts w:ascii="Arial" w:hAnsi="Arial" w:cs="Arial"/>
          <w:sz w:val="24"/>
          <w:szCs w:val="24"/>
        </w:rPr>
        <w:t>čilišta</w:t>
      </w:r>
      <w:r w:rsidRPr="003A6978">
        <w:rPr>
          <w:rFonts w:ascii="Arial" w:hAnsi="Arial" w:cs="Arial"/>
          <w:sz w:val="24"/>
          <w:szCs w:val="24"/>
        </w:rPr>
        <w:t xml:space="preserve"> odvijat će se kako slijedi</w:t>
      </w:r>
      <w:r>
        <w:rPr>
          <w:rFonts w:ascii="Arial" w:hAnsi="Arial" w:cs="Arial"/>
          <w:sz w:val="24"/>
          <w:szCs w:val="24"/>
        </w:rPr>
        <w:t xml:space="preserve"> </w:t>
      </w:r>
      <w:r w:rsidRPr="007B45C7">
        <w:rPr>
          <w:rFonts w:ascii="Arial" w:hAnsi="Arial" w:cs="Arial"/>
          <w:sz w:val="24"/>
          <w:szCs w:val="24"/>
        </w:rPr>
        <w:t>Kazališni programi, Rovinj Spring Jazz,</w:t>
      </w:r>
      <w:r>
        <w:rPr>
          <w:rFonts w:ascii="Arial" w:hAnsi="Arial" w:cs="Arial"/>
          <w:sz w:val="24"/>
          <w:szCs w:val="24"/>
        </w:rPr>
        <w:t xml:space="preserve"> Abracadabra - Istarski lutkarski festival,</w:t>
      </w:r>
      <w:r w:rsidRPr="007B45C7">
        <w:rPr>
          <w:rFonts w:ascii="Arial" w:hAnsi="Arial" w:cs="Arial"/>
          <w:sz w:val="24"/>
          <w:szCs w:val="24"/>
        </w:rPr>
        <w:t xml:space="preserve"> Glazbeni poučak, Izložbe, Mali sajam starina,</w:t>
      </w:r>
      <w:r>
        <w:rPr>
          <w:rFonts w:ascii="Arial" w:hAnsi="Arial" w:cs="Arial"/>
          <w:sz w:val="24"/>
          <w:szCs w:val="24"/>
        </w:rPr>
        <w:t xml:space="preserve"> Ljetno kino,</w:t>
      </w:r>
      <w:r w:rsidRPr="007B45C7">
        <w:rPr>
          <w:rFonts w:ascii="Arial" w:hAnsi="Arial" w:cs="Arial"/>
          <w:sz w:val="24"/>
          <w:szCs w:val="24"/>
        </w:rPr>
        <w:t xml:space="preserve"> </w:t>
      </w:r>
      <w:r w:rsidRPr="006D2A94">
        <w:rPr>
          <w:rFonts w:ascii="Arial" w:hAnsi="Arial" w:cs="Arial"/>
          <w:sz w:val="24"/>
          <w:szCs w:val="24"/>
        </w:rPr>
        <w:t>Književni susreti sa srednjoškolcima:</w:t>
      </w:r>
    </w:p>
    <w:p w14:paraId="3A661566" w14:textId="77777777" w:rsidR="00E541EE" w:rsidRPr="006D2A94" w:rsidRDefault="00E541EE" w:rsidP="00E541EE">
      <w:pPr>
        <w:jc w:val="both"/>
        <w:rPr>
          <w:rFonts w:ascii="Arial" w:hAnsi="Arial" w:cs="Arial"/>
          <w:sz w:val="24"/>
          <w:szCs w:val="24"/>
        </w:rPr>
      </w:pPr>
      <w:r>
        <w:rPr>
          <w:rFonts w:ascii="Arial" w:hAnsi="Arial" w:cs="Arial"/>
          <w:sz w:val="24"/>
          <w:szCs w:val="24"/>
        </w:rPr>
        <w:t xml:space="preserve">- </w:t>
      </w:r>
      <w:r w:rsidRPr="006D2A94">
        <w:rPr>
          <w:rFonts w:ascii="Arial" w:hAnsi="Arial" w:cs="Arial"/>
          <w:sz w:val="24"/>
          <w:szCs w:val="24"/>
        </w:rPr>
        <w:t>od siječnja do lipnja i od listopada do prosinca organizirat će se mjesečno  kazališna gostovanja za odrasle te će se povećati broj kazališnih gostovanja za djecu i mlade; daljnje sudjelovanje u manifesta</w:t>
      </w:r>
      <w:r>
        <w:rPr>
          <w:rFonts w:ascii="Arial" w:hAnsi="Arial" w:cs="Arial"/>
          <w:sz w:val="24"/>
          <w:szCs w:val="24"/>
        </w:rPr>
        <w:t>ciji Noć Kazališta,</w:t>
      </w:r>
    </w:p>
    <w:p w14:paraId="794FAE89" w14:textId="77777777" w:rsidR="00E541EE" w:rsidRPr="006D2A94" w:rsidRDefault="00E541EE" w:rsidP="00E541EE">
      <w:pPr>
        <w:jc w:val="both"/>
        <w:rPr>
          <w:rFonts w:ascii="Arial" w:hAnsi="Arial" w:cs="Arial"/>
          <w:sz w:val="24"/>
          <w:szCs w:val="24"/>
        </w:rPr>
      </w:pPr>
      <w:r>
        <w:rPr>
          <w:rFonts w:ascii="Arial" w:hAnsi="Arial" w:cs="Arial"/>
          <w:sz w:val="24"/>
          <w:szCs w:val="24"/>
        </w:rPr>
        <w:t xml:space="preserve">- </w:t>
      </w:r>
      <w:r w:rsidRPr="006D2A94">
        <w:rPr>
          <w:rFonts w:ascii="Arial" w:hAnsi="Arial" w:cs="Arial"/>
          <w:sz w:val="24"/>
          <w:szCs w:val="24"/>
        </w:rPr>
        <w:t>nastavlja se s programima edukacije kazališne publike</w:t>
      </w:r>
      <w:r>
        <w:rPr>
          <w:rFonts w:ascii="Arial" w:hAnsi="Arial" w:cs="Arial"/>
          <w:sz w:val="24"/>
          <w:szCs w:val="24"/>
        </w:rPr>
        <w:t>,</w:t>
      </w:r>
    </w:p>
    <w:p w14:paraId="00E7BEBA" w14:textId="77777777" w:rsidR="00E541EE" w:rsidRDefault="00E541EE" w:rsidP="00E541EE">
      <w:pPr>
        <w:jc w:val="both"/>
        <w:rPr>
          <w:rFonts w:ascii="Arial" w:hAnsi="Arial" w:cs="Arial"/>
          <w:sz w:val="24"/>
          <w:szCs w:val="24"/>
        </w:rPr>
      </w:pPr>
      <w:r>
        <w:rPr>
          <w:rFonts w:ascii="Arial" w:hAnsi="Arial" w:cs="Arial"/>
          <w:sz w:val="24"/>
          <w:szCs w:val="24"/>
        </w:rPr>
        <w:t xml:space="preserve">- </w:t>
      </w:r>
      <w:r w:rsidRPr="006D2A94">
        <w:rPr>
          <w:rFonts w:ascii="Arial" w:hAnsi="Arial" w:cs="Arial"/>
          <w:sz w:val="24"/>
          <w:szCs w:val="24"/>
        </w:rPr>
        <w:t>koncertima i izložbama se nastavlja rad na podizanju raz</w:t>
      </w:r>
      <w:r>
        <w:rPr>
          <w:rFonts w:ascii="Arial" w:hAnsi="Arial" w:cs="Arial"/>
          <w:sz w:val="24"/>
          <w:szCs w:val="24"/>
        </w:rPr>
        <w:t>ine glazbene i likovne kulture.</w:t>
      </w:r>
    </w:p>
    <w:p w14:paraId="558C89E9" w14:textId="77777777" w:rsidR="00E541EE" w:rsidRPr="006D2A94" w:rsidRDefault="00E541EE" w:rsidP="00E541EE">
      <w:pPr>
        <w:jc w:val="both"/>
        <w:rPr>
          <w:rFonts w:ascii="Arial" w:hAnsi="Arial" w:cs="Arial"/>
          <w:sz w:val="24"/>
          <w:szCs w:val="24"/>
        </w:rPr>
      </w:pPr>
      <w:r>
        <w:rPr>
          <w:rFonts w:ascii="Arial" w:hAnsi="Arial" w:cs="Arial"/>
          <w:sz w:val="24"/>
          <w:szCs w:val="24"/>
        </w:rPr>
        <w:t xml:space="preserve">Kako je </w:t>
      </w:r>
      <w:r w:rsidRPr="003471E1">
        <w:rPr>
          <w:rFonts w:ascii="Arial" w:hAnsi="Arial" w:cs="Arial"/>
          <w:sz w:val="24"/>
          <w:szCs w:val="24"/>
        </w:rPr>
        <w:t xml:space="preserve">Učilište je na uporabu dobilo i prostor Centra za mlade „Dino Škrapić“  i prizemlje </w:t>
      </w:r>
      <w:r>
        <w:rPr>
          <w:rFonts w:ascii="Arial" w:hAnsi="Arial" w:cs="Arial"/>
          <w:sz w:val="24"/>
          <w:szCs w:val="24"/>
        </w:rPr>
        <w:t xml:space="preserve">kazališta „A. </w:t>
      </w:r>
      <w:r w:rsidRPr="003471E1">
        <w:rPr>
          <w:rFonts w:ascii="Arial" w:hAnsi="Arial" w:cs="Arial"/>
          <w:sz w:val="24"/>
          <w:szCs w:val="24"/>
        </w:rPr>
        <w:t>G</w:t>
      </w:r>
      <w:r>
        <w:rPr>
          <w:rFonts w:ascii="Arial" w:hAnsi="Arial" w:cs="Arial"/>
          <w:sz w:val="24"/>
          <w:szCs w:val="24"/>
        </w:rPr>
        <w:t xml:space="preserve">andusio“ povećao se i plan za provođenje raznih radionica i edukativnog sadržaja za mlade, te općenito za sve sugrađane. </w:t>
      </w:r>
    </w:p>
    <w:p w14:paraId="0B938D29"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Opći cilj</w:t>
      </w:r>
      <w:r w:rsidRPr="00AC2206">
        <w:rPr>
          <w:rFonts w:ascii="Arial" w:eastAsia="Times New Roman" w:hAnsi="Arial" w:cs="Arial"/>
          <w:b/>
          <w:sz w:val="24"/>
          <w:szCs w:val="24"/>
        </w:rPr>
        <w:t>:</w:t>
      </w:r>
      <w:r w:rsidRPr="00AC2206">
        <w:rPr>
          <w:rFonts w:ascii="Arial" w:eastAsia="Times New Roman" w:hAnsi="Arial" w:cs="Arial"/>
          <w:sz w:val="24"/>
          <w:szCs w:val="24"/>
        </w:rPr>
        <w:t xml:space="preserve"> obogaćenje ukupne kulturne ponude visokokvalitetnim sadržajima, poticanje kvalitetnije suradnje s osnovnim i srednjim školama. </w:t>
      </w:r>
    </w:p>
    <w:p w14:paraId="369B10D9" w14:textId="77777777" w:rsidR="00E541EE" w:rsidRPr="00AC2206" w:rsidRDefault="00E541EE" w:rsidP="00E541EE">
      <w:pPr>
        <w:rPr>
          <w:rFonts w:ascii="Arial" w:eastAsia="Times New Roman" w:hAnsi="Arial" w:cs="Arial"/>
          <w:sz w:val="24"/>
          <w:szCs w:val="24"/>
        </w:rPr>
      </w:pPr>
      <w:r w:rsidRPr="00AC2206">
        <w:rPr>
          <w:rFonts w:ascii="Arial" w:eastAsia="Times New Roman" w:hAnsi="Arial" w:cs="Arial"/>
          <w:b/>
          <w:bCs/>
          <w:sz w:val="24"/>
          <w:szCs w:val="24"/>
        </w:rPr>
        <w:t>Pokazatelj uspješnosti</w:t>
      </w:r>
      <w:r w:rsidRPr="00AC2206">
        <w:rPr>
          <w:rFonts w:ascii="Arial" w:eastAsia="Times New Roman" w:hAnsi="Arial" w:cs="Arial"/>
          <w:b/>
          <w:sz w:val="24"/>
          <w:szCs w:val="24"/>
        </w:rPr>
        <w:t xml:space="preserve">: </w:t>
      </w:r>
      <w:r w:rsidRPr="00AC2206">
        <w:rPr>
          <w:rFonts w:ascii="Arial" w:eastAsia="Times New Roman" w:hAnsi="Arial" w:cs="Arial"/>
          <w:sz w:val="24"/>
          <w:szCs w:val="24"/>
        </w:rPr>
        <w:t xml:space="preserve"> broj posjetitelja redovnih i posebnih kazališnih programa, </w:t>
      </w:r>
      <w:r>
        <w:rPr>
          <w:rFonts w:ascii="Arial" w:eastAsia="Times New Roman" w:hAnsi="Arial" w:cs="Arial"/>
          <w:sz w:val="24"/>
          <w:szCs w:val="24"/>
        </w:rPr>
        <w:t xml:space="preserve">radionica, edukacija, </w:t>
      </w:r>
      <w:r w:rsidRPr="00AC2206">
        <w:rPr>
          <w:rFonts w:ascii="Arial" w:eastAsia="Times New Roman" w:hAnsi="Arial" w:cs="Arial"/>
          <w:sz w:val="24"/>
          <w:szCs w:val="24"/>
        </w:rPr>
        <w:t>koncerata i izložbi.</w:t>
      </w:r>
      <w:r w:rsidRPr="00AC2206">
        <w:rPr>
          <w:rFonts w:ascii="Arial" w:eastAsia="Times New Roman" w:hAnsi="Arial" w:cs="Arial"/>
          <w:sz w:val="24"/>
          <w:szCs w:val="24"/>
        </w:rPr>
        <w:br/>
      </w:r>
    </w:p>
    <w:p w14:paraId="75E21C16"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AC2206">
        <w:rPr>
          <w:rFonts w:ascii="Arial" w:eastAsia="Times New Roman" w:hAnsi="Arial" w:cs="Arial"/>
          <w:b/>
          <w:bCs/>
          <w:sz w:val="24"/>
          <w:szCs w:val="24"/>
        </w:rPr>
        <w:t xml:space="preserve">A 103704: Dani Antuna Šoljana = </w:t>
      </w:r>
      <w:r>
        <w:rPr>
          <w:rFonts w:ascii="Arial" w:eastAsia="Times New Roman" w:hAnsi="Arial" w:cs="Arial"/>
          <w:b/>
          <w:bCs/>
          <w:sz w:val="24"/>
          <w:szCs w:val="24"/>
        </w:rPr>
        <w:t>11.700</w:t>
      </w:r>
      <w:r w:rsidRPr="00AC2206">
        <w:rPr>
          <w:rFonts w:ascii="Arial" w:eastAsia="Times New Roman" w:hAnsi="Arial" w:cs="Arial"/>
          <w:b/>
          <w:bCs/>
          <w:sz w:val="24"/>
          <w:szCs w:val="24"/>
        </w:rPr>
        <w:t>,00 EUR</w:t>
      </w:r>
    </w:p>
    <w:p w14:paraId="7E5C6E3A"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Zakonska osnova:</w:t>
      </w:r>
      <w:r w:rsidRPr="00AC2206">
        <w:rPr>
          <w:rFonts w:ascii="Arial" w:eastAsia="Times New Roman" w:hAnsi="Arial" w:cs="Arial"/>
          <w:sz w:val="24"/>
          <w:szCs w:val="24"/>
        </w:rPr>
        <w:t xml:space="preserve"> Zakon o lokalnoj i područnoj (regionalnoj) samoupravi, Zakon o pučkim otvorenim učilištima, Zakon o ustanovama.</w:t>
      </w:r>
    </w:p>
    <w:p w14:paraId="3AFD9930" w14:textId="77777777" w:rsidR="00E541EE" w:rsidRPr="00EC7A92" w:rsidRDefault="00E541EE" w:rsidP="00E541EE">
      <w:pPr>
        <w:pStyle w:val="Odlomakpopisa"/>
        <w:ind w:left="0"/>
        <w:jc w:val="both"/>
        <w:rPr>
          <w:lang w:val="hr-HR"/>
        </w:rPr>
      </w:pPr>
      <w:r w:rsidRPr="00EC7A92">
        <w:rPr>
          <w:b/>
          <w:lang w:val="hr-HR" w:eastAsia="hr-HR"/>
        </w:rPr>
        <w:t>Opis:</w:t>
      </w:r>
      <w:r w:rsidRPr="00EC7A92">
        <w:rPr>
          <w:lang w:val="hr-HR" w:eastAsia="hr-HR"/>
        </w:rPr>
        <w:t xml:space="preserve"> </w:t>
      </w:r>
      <w:r w:rsidRPr="00EC7A92">
        <w:rPr>
          <w:lang w:val="hr-HR"/>
        </w:rPr>
        <w:t xml:space="preserve">Učilište u suradnji s Društvom hrvatskih književnika i Gradskom knjižnicom organizirat će program XXX. Dani Antuna Šoljana. Pored sredstava iz Gradskog proračuna u iznosu od </w:t>
      </w:r>
      <w:r>
        <w:rPr>
          <w:lang w:val="hr-HR"/>
        </w:rPr>
        <w:t>5</w:t>
      </w:r>
      <w:r w:rsidRPr="00EC7A92">
        <w:rPr>
          <w:lang w:val="hr-HR"/>
        </w:rPr>
        <w:t>.</w:t>
      </w:r>
      <w:r>
        <w:rPr>
          <w:lang w:val="hr-HR"/>
        </w:rPr>
        <w:t>700</w:t>
      </w:r>
      <w:r w:rsidRPr="00EC7A92">
        <w:rPr>
          <w:lang w:val="hr-HR"/>
        </w:rPr>
        <w:t xml:space="preserve">,00 </w:t>
      </w:r>
      <w:r>
        <w:rPr>
          <w:lang w:val="hr-HR"/>
        </w:rPr>
        <w:t>eura</w:t>
      </w:r>
      <w:r w:rsidRPr="00EC7A92">
        <w:rPr>
          <w:lang w:val="hr-HR"/>
        </w:rPr>
        <w:t xml:space="preserve">, planira se ostvariti potpora Ministarstva kulture i medija i Istarske županije u iznosu od 6.000,00 </w:t>
      </w:r>
      <w:r w:rsidRPr="00893799">
        <w:rPr>
          <w:bCs/>
          <w:lang w:val="pl-PL"/>
        </w:rPr>
        <w:t>eura</w:t>
      </w:r>
      <w:r w:rsidRPr="00EC7A92">
        <w:rPr>
          <w:lang w:val="hr-HR"/>
        </w:rPr>
        <w:t xml:space="preserve">. </w:t>
      </w:r>
    </w:p>
    <w:p w14:paraId="2DEA927E" w14:textId="77777777" w:rsidR="00E541EE" w:rsidRPr="00EC7A92" w:rsidRDefault="00E541EE" w:rsidP="00E541EE">
      <w:pPr>
        <w:pStyle w:val="Odlomakpopisa"/>
        <w:ind w:left="0"/>
        <w:jc w:val="both"/>
        <w:rPr>
          <w:lang w:val="hr-HR"/>
        </w:rPr>
      </w:pPr>
      <w:r w:rsidRPr="00EC7A92">
        <w:rPr>
          <w:lang w:val="hr-HR"/>
        </w:rPr>
        <w:t>Povećan je iznos sredstava iz Gradskog proračuna jer se 2026. godine obilježava trideseta obljetnica manifestacije, a za tu se prigodu želi dodatno obogatiti program. Ujedno su porasli i troškovi  održavanja manifestacije</w:t>
      </w:r>
    </w:p>
    <w:p w14:paraId="1B02AD43"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Opći cilj</w:t>
      </w:r>
      <w:r w:rsidRPr="00AC2206">
        <w:rPr>
          <w:rFonts w:ascii="Arial" w:eastAsia="Times New Roman" w:hAnsi="Arial" w:cs="Arial"/>
          <w:b/>
          <w:sz w:val="24"/>
          <w:szCs w:val="24"/>
        </w:rPr>
        <w:t xml:space="preserve">: </w:t>
      </w:r>
      <w:r w:rsidRPr="00AC2206">
        <w:rPr>
          <w:rFonts w:ascii="Arial" w:eastAsia="Times New Roman" w:hAnsi="Arial" w:cs="Arial"/>
          <w:sz w:val="24"/>
          <w:szCs w:val="24"/>
        </w:rPr>
        <w:t>doprinos prepoznatljivosti kulturnog identiteta grada.</w:t>
      </w:r>
    </w:p>
    <w:p w14:paraId="50BDB3BD"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Pokazatelj uspješnosti</w:t>
      </w:r>
      <w:r w:rsidRPr="00AC2206">
        <w:rPr>
          <w:rFonts w:ascii="Arial" w:eastAsia="Times New Roman" w:hAnsi="Arial" w:cs="Arial"/>
          <w:b/>
          <w:sz w:val="24"/>
          <w:szCs w:val="24"/>
        </w:rPr>
        <w:t xml:space="preserve">: </w:t>
      </w:r>
      <w:r w:rsidRPr="00AC2206">
        <w:rPr>
          <w:rFonts w:ascii="Arial" w:eastAsia="Times New Roman" w:hAnsi="Arial" w:cs="Arial"/>
          <w:sz w:val="24"/>
          <w:szCs w:val="24"/>
        </w:rPr>
        <w:t>realizacija planiranih aktivnosti te praćenje pokazatelja.</w:t>
      </w:r>
    </w:p>
    <w:p w14:paraId="18A52FAE" w14:textId="77777777" w:rsidR="00E541EE" w:rsidRPr="00AC2206" w:rsidRDefault="00E541EE" w:rsidP="00E541EE">
      <w:pPr>
        <w:jc w:val="both"/>
        <w:rPr>
          <w:rFonts w:ascii="Arial" w:eastAsia="Times New Roman" w:hAnsi="Arial" w:cs="Arial"/>
          <w:sz w:val="24"/>
          <w:szCs w:val="24"/>
        </w:rPr>
      </w:pPr>
    </w:p>
    <w:p w14:paraId="1422EDC5"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DEDED" w:themeFill="accent3" w:themeFillTint="33"/>
        <w:jc w:val="both"/>
        <w:rPr>
          <w:rFonts w:ascii="Arial" w:eastAsia="Times New Roman" w:hAnsi="Arial" w:cs="Arial"/>
          <w:b/>
          <w:bCs/>
          <w:sz w:val="24"/>
          <w:szCs w:val="24"/>
        </w:rPr>
      </w:pPr>
      <w:r w:rsidRPr="00AC2206">
        <w:rPr>
          <w:rFonts w:ascii="Arial" w:eastAsia="Times New Roman" w:hAnsi="Arial" w:cs="Arial"/>
          <w:b/>
          <w:bCs/>
          <w:sz w:val="24"/>
          <w:szCs w:val="24"/>
        </w:rPr>
        <w:t>A 103720: Grisia = 1</w:t>
      </w:r>
      <w:r>
        <w:rPr>
          <w:rFonts w:ascii="Arial" w:eastAsia="Times New Roman" w:hAnsi="Arial" w:cs="Arial"/>
          <w:b/>
          <w:bCs/>
          <w:sz w:val="24"/>
          <w:szCs w:val="24"/>
        </w:rPr>
        <w:t>5</w:t>
      </w:r>
      <w:r w:rsidRPr="00AC2206">
        <w:rPr>
          <w:rFonts w:ascii="Arial" w:eastAsia="Times New Roman" w:hAnsi="Arial" w:cs="Arial"/>
          <w:b/>
          <w:bCs/>
          <w:sz w:val="24"/>
          <w:szCs w:val="24"/>
        </w:rPr>
        <w:t>.</w:t>
      </w:r>
      <w:r>
        <w:rPr>
          <w:rFonts w:ascii="Arial" w:eastAsia="Times New Roman" w:hAnsi="Arial" w:cs="Arial"/>
          <w:b/>
          <w:bCs/>
          <w:sz w:val="24"/>
          <w:szCs w:val="24"/>
        </w:rPr>
        <w:t>2</w:t>
      </w:r>
      <w:r w:rsidRPr="00AC2206">
        <w:rPr>
          <w:rFonts w:ascii="Arial" w:eastAsia="Times New Roman" w:hAnsi="Arial" w:cs="Arial"/>
          <w:b/>
          <w:bCs/>
          <w:sz w:val="24"/>
          <w:szCs w:val="24"/>
        </w:rPr>
        <w:t>00,00 EUR</w:t>
      </w:r>
    </w:p>
    <w:p w14:paraId="1B0863F4"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Zakonska osnova:</w:t>
      </w:r>
      <w:r w:rsidRPr="00AC2206">
        <w:rPr>
          <w:rFonts w:ascii="Arial" w:eastAsia="Times New Roman" w:hAnsi="Arial" w:cs="Arial"/>
          <w:sz w:val="24"/>
          <w:szCs w:val="24"/>
        </w:rPr>
        <w:t xml:space="preserve"> Zakon o lokalnoj i područnoj (regionalnoj) samoupravi, Zakon o pučkim otvorenim učilištima, Zakon o ustanovama</w:t>
      </w:r>
      <w:r>
        <w:rPr>
          <w:rFonts w:ascii="Arial" w:eastAsia="Times New Roman" w:hAnsi="Arial" w:cs="Arial"/>
          <w:sz w:val="24"/>
          <w:szCs w:val="24"/>
        </w:rPr>
        <w:t>, Zakon o kulturnim vijećima i financiranju javnih potreba u kulturi</w:t>
      </w:r>
    </w:p>
    <w:p w14:paraId="2BEF42C3" w14:textId="77777777" w:rsidR="00E541EE" w:rsidRPr="00372840" w:rsidRDefault="00E541EE" w:rsidP="00E541EE">
      <w:pPr>
        <w:jc w:val="both"/>
        <w:rPr>
          <w:rFonts w:ascii="Arial" w:hAnsi="Arial" w:cs="Arial"/>
          <w:sz w:val="24"/>
          <w:szCs w:val="24"/>
        </w:rPr>
      </w:pPr>
      <w:r w:rsidRPr="00AC2206">
        <w:rPr>
          <w:rFonts w:ascii="Arial" w:eastAsia="Times New Roman" w:hAnsi="Arial" w:cs="Arial"/>
          <w:b/>
          <w:sz w:val="24"/>
          <w:szCs w:val="24"/>
        </w:rPr>
        <w:t>Opis:</w:t>
      </w:r>
      <w:r w:rsidRPr="00AC2206">
        <w:rPr>
          <w:rFonts w:ascii="Arial" w:eastAsia="Times New Roman" w:hAnsi="Arial" w:cs="Arial"/>
          <w:sz w:val="24"/>
          <w:szCs w:val="24"/>
        </w:rPr>
        <w:t xml:space="preserve"> </w:t>
      </w:r>
      <w:r w:rsidRPr="00372840">
        <w:rPr>
          <w:rFonts w:ascii="Arial" w:hAnsi="Arial" w:cs="Arial"/>
          <w:sz w:val="24"/>
          <w:szCs w:val="24"/>
        </w:rPr>
        <w:t>U suradnji s</w:t>
      </w:r>
      <w:r>
        <w:rPr>
          <w:rFonts w:ascii="Arial" w:hAnsi="Arial" w:cs="Arial"/>
          <w:sz w:val="24"/>
          <w:szCs w:val="24"/>
        </w:rPr>
        <w:t xml:space="preserve"> Gradom Rovinj-</w:t>
      </w:r>
      <w:r w:rsidRPr="00372840">
        <w:rPr>
          <w:rFonts w:ascii="Arial" w:hAnsi="Arial" w:cs="Arial"/>
          <w:sz w:val="24"/>
          <w:szCs w:val="24"/>
        </w:rPr>
        <w:t xml:space="preserve">Rovigno i </w:t>
      </w:r>
      <w:r>
        <w:rPr>
          <w:rFonts w:ascii="Arial" w:hAnsi="Arial" w:cs="Arial"/>
          <w:sz w:val="24"/>
          <w:szCs w:val="24"/>
        </w:rPr>
        <w:t>M</w:t>
      </w:r>
      <w:r w:rsidRPr="00372840">
        <w:rPr>
          <w:rFonts w:ascii="Arial" w:hAnsi="Arial" w:cs="Arial"/>
          <w:sz w:val="24"/>
          <w:szCs w:val="24"/>
        </w:rPr>
        <w:t>uzejom</w:t>
      </w:r>
      <w:r>
        <w:rPr>
          <w:rFonts w:ascii="Arial" w:hAnsi="Arial" w:cs="Arial"/>
          <w:sz w:val="24"/>
          <w:szCs w:val="24"/>
        </w:rPr>
        <w:t xml:space="preserve"> Grada Rovinja-Rovigno</w:t>
      </w:r>
      <w:r w:rsidRPr="00372840">
        <w:rPr>
          <w:rFonts w:ascii="Arial" w:hAnsi="Arial" w:cs="Arial"/>
          <w:sz w:val="24"/>
          <w:szCs w:val="24"/>
        </w:rPr>
        <w:t xml:space="preserve"> ustanova </w:t>
      </w:r>
      <w:r>
        <w:rPr>
          <w:rFonts w:ascii="Arial" w:hAnsi="Arial" w:cs="Arial"/>
          <w:sz w:val="24"/>
          <w:szCs w:val="24"/>
        </w:rPr>
        <w:t>će organizirati likovnu</w:t>
      </w:r>
      <w:r w:rsidRPr="00372840">
        <w:rPr>
          <w:rFonts w:ascii="Arial" w:hAnsi="Arial" w:cs="Arial"/>
          <w:sz w:val="24"/>
          <w:szCs w:val="24"/>
        </w:rPr>
        <w:t xml:space="preserve"> izložb</w:t>
      </w:r>
      <w:r>
        <w:rPr>
          <w:rFonts w:ascii="Arial" w:hAnsi="Arial" w:cs="Arial"/>
          <w:sz w:val="24"/>
          <w:szCs w:val="24"/>
        </w:rPr>
        <w:t>u Grisia.</w:t>
      </w:r>
      <w:r w:rsidRPr="00372840">
        <w:rPr>
          <w:rFonts w:ascii="Arial" w:hAnsi="Arial" w:cs="Arial"/>
          <w:sz w:val="24"/>
          <w:szCs w:val="24"/>
        </w:rPr>
        <w:t xml:space="preserve"> </w:t>
      </w:r>
    </w:p>
    <w:p w14:paraId="14E0F262" w14:textId="77777777" w:rsidR="00E541EE" w:rsidRPr="00372840" w:rsidRDefault="00E541EE" w:rsidP="00E541EE">
      <w:pPr>
        <w:jc w:val="both"/>
        <w:rPr>
          <w:rFonts w:ascii="Arial" w:hAnsi="Arial" w:cs="Arial"/>
          <w:sz w:val="24"/>
          <w:szCs w:val="24"/>
        </w:rPr>
      </w:pPr>
      <w:r>
        <w:rPr>
          <w:rFonts w:ascii="Arial" w:hAnsi="Arial" w:cs="Arial"/>
          <w:sz w:val="24"/>
          <w:szCs w:val="24"/>
        </w:rPr>
        <w:t xml:space="preserve">Poseban interes </w:t>
      </w:r>
      <w:r w:rsidRPr="00372840">
        <w:rPr>
          <w:rFonts w:ascii="Arial" w:hAnsi="Arial" w:cs="Arial"/>
          <w:sz w:val="24"/>
          <w:szCs w:val="24"/>
        </w:rPr>
        <w:t>odjela</w:t>
      </w:r>
      <w:r>
        <w:rPr>
          <w:rFonts w:ascii="Arial" w:hAnsi="Arial" w:cs="Arial"/>
          <w:sz w:val="24"/>
          <w:szCs w:val="24"/>
        </w:rPr>
        <w:t xml:space="preserve"> za kulturnu djelatnost </w:t>
      </w:r>
      <w:r w:rsidRPr="00372840">
        <w:rPr>
          <w:rFonts w:ascii="Arial" w:hAnsi="Arial" w:cs="Arial"/>
          <w:sz w:val="24"/>
          <w:szCs w:val="24"/>
        </w:rPr>
        <w:t>predstavlja briga o tradicionalnim manifestacijama sa ciljem o</w:t>
      </w:r>
      <w:r>
        <w:rPr>
          <w:rFonts w:ascii="Arial" w:hAnsi="Arial" w:cs="Arial"/>
          <w:sz w:val="24"/>
          <w:szCs w:val="24"/>
        </w:rPr>
        <w:t>kupljanja</w:t>
      </w:r>
      <w:r w:rsidRPr="00372840">
        <w:rPr>
          <w:rFonts w:ascii="Arial" w:hAnsi="Arial" w:cs="Arial"/>
          <w:sz w:val="24"/>
          <w:szCs w:val="24"/>
        </w:rPr>
        <w:t xml:space="preserve"> većeg broja </w:t>
      </w:r>
      <w:r>
        <w:rPr>
          <w:rFonts w:ascii="Arial" w:hAnsi="Arial" w:cs="Arial"/>
          <w:sz w:val="24"/>
          <w:szCs w:val="24"/>
        </w:rPr>
        <w:t>akademskih umjetnika koji kvalitetom svojih umjetničkih djela podižu razinu cijele manifestacije. Manifestacija će biti dodatno obogaćena popratnim kulturnim događajima.</w:t>
      </w:r>
      <w:r w:rsidRPr="00372840">
        <w:rPr>
          <w:rFonts w:ascii="Arial" w:hAnsi="Arial" w:cs="Arial"/>
          <w:sz w:val="24"/>
          <w:szCs w:val="24"/>
        </w:rPr>
        <w:t xml:space="preserve"> </w:t>
      </w:r>
    </w:p>
    <w:p w14:paraId="14BF4E47" w14:textId="77777777" w:rsidR="00E541EE" w:rsidRDefault="00E541EE" w:rsidP="00E541EE">
      <w:pPr>
        <w:pStyle w:val="western"/>
        <w:spacing w:before="0" w:beforeAutospacing="0" w:after="0"/>
        <w:jc w:val="both"/>
        <w:rPr>
          <w:rFonts w:ascii="Arial" w:hAnsi="Arial" w:cs="Arial"/>
        </w:rPr>
      </w:pPr>
      <w:r w:rsidRPr="00372840">
        <w:rPr>
          <w:rFonts w:ascii="Arial" w:hAnsi="Arial" w:cs="Arial"/>
        </w:rPr>
        <w:t xml:space="preserve">Iz sredstava Proračuna Grada Rovinja-Rovigno osigurava se iznos od </w:t>
      </w:r>
      <w:r>
        <w:rPr>
          <w:rFonts w:ascii="Arial" w:hAnsi="Arial" w:cs="Arial"/>
        </w:rPr>
        <w:t>12</w:t>
      </w:r>
      <w:r w:rsidRPr="00372840">
        <w:rPr>
          <w:rFonts w:ascii="Arial" w:hAnsi="Arial" w:cs="Arial"/>
        </w:rPr>
        <w:t>.</w:t>
      </w:r>
      <w:r>
        <w:rPr>
          <w:rFonts w:ascii="Arial" w:hAnsi="Arial" w:cs="Arial"/>
        </w:rPr>
        <w:t>9</w:t>
      </w:r>
      <w:r w:rsidRPr="00372840">
        <w:rPr>
          <w:rFonts w:ascii="Arial" w:hAnsi="Arial" w:cs="Arial"/>
        </w:rPr>
        <w:t>00,00</w:t>
      </w:r>
      <w:r>
        <w:rPr>
          <w:rFonts w:ascii="Arial" w:hAnsi="Arial" w:cs="Arial"/>
        </w:rPr>
        <w:t xml:space="preserve"> eura</w:t>
      </w:r>
    </w:p>
    <w:p w14:paraId="0A2AC7DF" w14:textId="77777777" w:rsidR="00E541EE" w:rsidRDefault="00E541EE" w:rsidP="00E541EE">
      <w:pPr>
        <w:pStyle w:val="western"/>
        <w:spacing w:before="0" w:beforeAutospacing="0" w:after="0"/>
        <w:jc w:val="both"/>
        <w:rPr>
          <w:rFonts w:ascii="Arial" w:hAnsi="Arial" w:cs="Arial"/>
        </w:rPr>
      </w:pPr>
      <w:r>
        <w:rPr>
          <w:rFonts w:ascii="Arial" w:hAnsi="Arial" w:cs="Arial"/>
        </w:rPr>
        <w:t>Planiran je i iznos financijske potpore od strane Turističke zajednice grada Rovinja-Rovigno u iznosu od 2.300,00 eura.</w:t>
      </w:r>
      <w:r w:rsidRPr="00372840">
        <w:rPr>
          <w:rFonts w:ascii="Arial" w:hAnsi="Arial" w:cs="Arial"/>
        </w:rPr>
        <w:t xml:space="preserve"> </w:t>
      </w:r>
    </w:p>
    <w:p w14:paraId="264273D4"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Opći cilj</w:t>
      </w:r>
      <w:r w:rsidRPr="00AC2206">
        <w:rPr>
          <w:rFonts w:ascii="Arial" w:eastAsia="Times New Roman" w:hAnsi="Arial" w:cs="Arial"/>
          <w:b/>
          <w:sz w:val="24"/>
          <w:szCs w:val="24"/>
        </w:rPr>
        <w:t>:</w:t>
      </w:r>
      <w:r w:rsidRPr="00AC2206">
        <w:rPr>
          <w:rFonts w:ascii="Arial" w:eastAsia="Times New Roman" w:hAnsi="Arial" w:cs="Arial"/>
          <w:sz w:val="24"/>
          <w:szCs w:val="24"/>
        </w:rPr>
        <w:t xml:space="preserve"> obogaćenje ukupne kulturne ponude visokokvalitetnim sadržajima </w:t>
      </w:r>
    </w:p>
    <w:p w14:paraId="5E62603C" w14:textId="77777777" w:rsidR="00E541EE" w:rsidRPr="00AC2206" w:rsidRDefault="00E541EE" w:rsidP="00E541EE">
      <w:pPr>
        <w:rPr>
          <w:rFonts w:ascii="Arial" w:eastAsia="Times New Roman" w:hAnsi="Arial" w:cs="Arial"/>
          <w:sz w:val="24"/>
          <w:szCs w:val="24"/>
        </w:rPr>
      </w:pPr>
      <w:r w:rsidRPr="00AC2206">
        <w:rPr>
          <w:rFonts w:ascii="Arial" w:eastAsia="Times New Roman" w:hAnsi="Arial" w:cs="Arial"/>
          <w:b/>
          <w:bCs/>
          <w:sz w:val="24"/>
          <w:szCs w:val="24"/>
        </w:rPr>
        <w:t>Pokazatelj uspješnosti</w:t>
      </w:r>
      <w:r w:rsidRPr="00AC2206">
        <w:rPr>
          <w:rFonts w:ascii="Arial" w:eastAsia="Times New Roman" w:hAnsi="Arial" w:cs="Arial"/>
          <w:b/>
          <w:sz w:val="24"/>
          <w:szCs w:val="24"/>
        </w:rPr>
        <w:t xml:space="preserve">: </w:t>
      </w:r>
      <w:r w:rsidRPr="00AC2206">
        <w:rPr>
          <w:rFonts w:ascii="Arial" w:eastAsia="Times New Roman" w:hAnsi="Arial" w:cs="Arial"/>
          <w:sz w:val="24"/>
          <w:szCs w:val="24"/>
        </w:rPr>
        <w:t xml:space="preserve"> </w:t>
      </w:r>
      <w:r>
        <w:rPr>
          <w:rFonts w:ascii="Arial" w:eastAsia="Times New Roman" w:hAnsi="Arial" w:cs="Arial"/>
          <w:sz w:val="24"/>
          <w:szCs w:val="24"/>
        </w:rPr>
        <w:t>realizirana aktivnost</w:t>
      </w:r>
    </w:p>
    <w:p w14:paraId="7F12BDED" w14:textId="77777777" w:rsidR="00E541EE" w:rsidRPr="00AC2206" w:rsidRDefault="00E541EE" w:rsidP="00E541EE">
      <w:pPr>
        <w:jc w:val="both"/>
        <w:rPr>
          <w:rFonts w:ascii="Arial" w:eastAsia="Times New Roman" w:hAnsi="Arial" w:cs="Arial"/>
          <w:sz w:val="24"/>
          <w:szCs w:val="24"/>
        </w:rPr>
      </w:pPr>
    </w:p>
    <w:p w14:paraId="0D0D2F07"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sz w:val="24"/>
          <w:szCs w:val="24"/>
        </w:rPr>
      </w:pPr>
      <w:r w:rsidRPr="00AC2206">
        <w:rPr>
          <w:rFonts w:ascii="Arial" w:eastAsia="Times New Roman" w:hAnsi="Arial" w:cs="Arial"/>
          <w:b/>
          <w:sz w:val="24"/>
          <w:szCs w:val="24"/>
        </w:rPr>
        <w:t>A 103705: Kino prikazivačka djelatnost = 21.</w:t>
      </w:r>
      <w:r>
        <w:rPr>
          <w:rFonts w:ascii="Arial" w:eastAsia="Times New Roman" w:hAnsi="Arial" w:cs="Arial"/>
          <w:b/>
          <w:sz w:val="24"/>
          <w:szCs w:val="24"/>
        </w:rPr>
        <w:t>950</w:t>
      </w:r>
      <w:r w:rsidRPr="00AC2206">
        <w:rPr>
          <w:rFonts w:ascii="Arial" w:eastAsia="Times New Roman" w:hAnsi="Arial" w:cs="Arial"/>
          <w:b/>
          <w:sz w:val="24"/>
          <w:szCs w:val="24"/>
        </w:rPr>
        <w:t>,00 EUR</w:t>
      </w:r>
    </w:p>
    <w:p w14:paraId="4DD1D1D2"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Zakonska osnova:</w:t>
      </w:r>
      <w:r w:rsidRPr="00AC2206">
        <w:rPr>
          <w:rFonts w:ascii="Arial" w:eastAsia="Times New Roman" w:hAnsi="Arial" w:cs="Arial"/>
          <w:sz w:val="24"/>
          <w:szCs w:val="24"/>
        </w:rPr>
        <w:t xml:space="preserve"> Zakon o pučkim otvorenim učilištima, Zakon o ustanovama.</w:t>
      </w:r>
    </w:p>
    <w:p w14:paraId="056B3A90" w14:textId="77777777" w:rsidR="00E541EE" w:rsidRPr="00AC2206" w:rsidRDefault="00E541EE" w:rsidP="00E541EE">
      <w:pPr>
        <w:jc w:val="both"/>
        <w:rPr>
          <w:rFonts w:ascii="Arial" w:hAnsi="Arial" w:cs="Arial"/>
          <w:sz w:val="24"/>
          <w:szCs w:val="24"/>
        </w:rPr>
      </w:pPr>
      <w:r w:rsidRPr="00AC2206">
        <w:rPr>
          <w:rFonts w:ascii="Arial" w:eastAsia="Times New Roman" w:hAnsi="Arial" w:cs="Arial"/>
          <w:b/>
          <w:sz w:val="24"/>
          <w:szCs w:val="24"/>
        </w:rPr>
        <w:t xml:space="preserve">Opis: </w:t>
      </w:r>
      <w:r w:rsidRPr="00AC2206">
        <w:rPr>
          <w:rFonts w:ascii="Arial" w:hAnsi="Arial" w:cs="Arial"/>
          <w:sz w:val="24"/>
          <w:szCs w:val="24"/>
        </w:rPr>
        <w:t>najveći dio sredstava troši se za najam filmova (1</w:t>
      </w:r>
      <w:r>
        <w:rPr>
          <w:rFonts w:ascii="Arial" w:hAnsi="Arial" w:cs="Arial"/>
          <w:sz w:val="24"/>
          <w:szCs w:val="24"/>
        </w:rPr>
        <w:t>2</w:t>
      </w:r>
      <w:r w:rsidRPr="00AC2206">
        <w:rPr>
          <w:rFonts w:ascii="Arial" w:hAnsi="Arial" w:cs="Arial"/>
          <w:sz w:val="24"/>
          <w:szCs w:val="24"/>
        </w:rPr>
        <w:t>.</w:t>
      </w:r>
      <w:r>
        <w:rPr>
          <w:rFonts w:ascii="Arial" w:hAnsi="Arial" w:cs="Arial"/>
          <w:sz w:val="24"/>
          <w:szCs w:val="24"/>
        </w:rPr>
        <w:t>0</w:t>
      </w:r>
      <w:r w:rsidRPr="00AC2206">
        <w:rPr>
          <w:rFonts w:ascii="Arial" w:hAnsi="Arial" w:cs="Arial"/>
          <w:sz w:val="24"/>
          <w:szCs w:val="24"/>
        </w:rPr>
        <w:t xml:space="preserve">00,00 </w:t>
      </w:r>
      <w:r>
        <w:rPr>
          <w:rFonts w:ascii="Arial" w:hAnsi="Arial" w:cs="Arial"/>
          <w:sz w:val="24"/>
          <w:szCs w:val="24"/>
        </w:rPr>
        <w:t>eura</w:t>
      </w:r>
      <w:r w:rsidRPr="00AC2206">
        <w:rPr>
          <w:rFonts w:ascii="Arial" w:hAnsi="Arial" w:cs="Arial"/>
          <w:sz w:val="24"/>
          <w:szCs w:val="24"/>
        </w:rPr>
        <w:t>) dok se ostatak sredstva koristi za materijalno režijske troškove (sitan inventar, uredski materijal, poštarina za slanje filmova, materijal za čišćenje, troškove rezervacijskog sustava).</w:t>
      </w:r>
    </w:p>
    <w:p w14:paraId="7DB24E8C" w14:textId="77777777" w:rsidR="00E541EE" w:rsidRPr="00AC2206" w:rsidRDefault="00E541EE" w:rsidP="00E541EE">
      <w:pPr>
        <w:jc w:val="both"/>
        <w:rPr>
          <w:rFonts w:ascii="Arial" w:hAnsi="Arial" w:cs="Arial"/>
          <w:sz w:val="24"/>
          <w:szCs w:val="24"/>
        </w:rPr>
      </w:pPr>
      <w:r w:rsidRPr="00AC2206">
        <w:rPr>
          <w:rFonts w:ascii="Arial" w:hAnsi="Arial" w:cs="Arial"/>
          <w:sz w:val="24"/>
          <w:szCs w:val="24"/>
        </w:rPr>
        <w:t>Broj filmskih projekcija i posebnih filmskih programa povećat će se sukladno programu koji je propisalo resorno ministarstvo a kako je kino digitalizirano projekcije će biti digitalne i 3D.</w:t>
      </w:r>
    </w:p>
    <w:p w14:paraId="3C7C3F74" w14:textId="77777777" w:rsidR="00E541EE" w:rsidRPr="00AC2206" w:rsidRDefault="00E541EE" w:rsidP="00E541EE">
      <w:pPr>
        <w:jc w:val="both"/>
        <w:rPr>
          <w:rFonts w:ascii="Arial" w:hAnsi="Arial" w:cs="Arial"/>
          <w:sz w:val="24"/>
          <w:szCs w:val="24"/>
        </w:rPr>
      </w:pPr>
      <w:r w:rsidRPr="00AC2206">
        <w:rPr>
          <w:rFonts w:ascii="Arial" w:hAnsi="Arial" w:cs="Arial"/>
          <w:sz w:val="24"/>
          <w:szCs w:val="24"/>
        </w:rPr>
        <w:t>S ciljem poticanja filmske pismenosti i filmskog stvaralaštva djece i mladih planiran je višegodišnji ciklus filmskih radionica za  pod nazivom „ FUŠ I FILM U NAŠEM KINU“ u suradnji sa Pula Film Festivalom, senzorne projekcije za djecu s posebnim potrebama u suradnji s Udrugom Metamedij i Pule.</w:t>
      </w:r>
    </w:p>
    <w:p w14:paraId="059B22E1" w14:textId="77777777" w:rsidR="00E541EE" w:rsidRPr="00AC2206" w:rsidRDefault="00E541EE" w:rsidP="00E541EE">
      <w:pPr>
        <w:jc w:val="both"/>
        <w:rPr>
          <w:rFonts w:ascii="Arial" w:hAnsi="Arial" w:cs="Arial"/>
          <w:sz w:val="24"/>
          <w:szCs w:val="24"/>
        </w:rPr>
      </w:pPr>
      <w:r w:rsidRPr="00AC2206">
        <w:rPr>
          <w:rFonts w:ascii="Arial" w:hAnsi="Arial" w:cs="Arial"/>
          <w:sz w:val="24"/>
          <w:szCs w:val="24"/>
        </w:rPr>
        <w:t>Planiraju se nastavak filmskih radionica za srednjoškolce u sklopu našeg programa „Vidimo se u knjižnici“.</w:t>
      </w:r>
    </w:p>
    <w:p w14:paraId="2B95CE22"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Opći cilj</w:t>
      </w:r>
      <w:r w:rsidRPr="00AC2206">
        <w:rPr>
          <w:rFonts w:ascii="Arial" w:eastAsia="Times New Roman" w:hAnsi="Arial" w:cs="Arial"/>
          <w:b/>
          <w:sz w:val="24"/>
          <w:szCs w:val="24"/>
        </w:rPr>
        <w:t>:</w:t>
      </w:r>
      <w:r w:rsidRPr="00AC2206">
        <w:rPr>
          <w:rFonts w:ascii="Arial" w:eastAsia="Times New Roman" w:hAnsi="Arial" w:cs="Arial"/>
          <w:sz w:val="24"/>
          <w:szCs w:val="24"/>
        </w:rPr>
        <w:t xml:space="preserve"> obogaćenje ukupne kulturne ponude visokokvalitetnim sadržajima, postizanje višeg stupnja filmske pismenosti i senzibilnosti u cijeloj populaciji.</w:t>
      </w:r>
    </w:p>
    <w:p w14:paraId="2D11B144"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Pokazatelj uspješnosti</w:t>
      </w:r>
      <w:r w:rsidRPr="00AC2206">
        <w:rPr>
          <w:rFonts w:ascii="Arial" w:eastAsia="Times New Roman" w:hAnsi="Arial" w:cs="Arial"/>
          <w:b/>
          <w:sz w:val="24"/>
          <w:szCs w:val="24"/>
        </w:rPr>
        <w:t>:</w:t>
      </w:r>
      <w:r w:rsidRPr="00AC2206">
        <w:rPr>
          <w:rFonts w:ascii="Arial" w:eastAsia="Times New Roman" w:hAnsi="Arial" w:cs="Arial"/>
          <w:sz w:val="24"/>
          <w:szCs w:val="24"/>
        </w:rPr>
        <w:t xml:space="preserve"> broj posjetitelja redovnih i posebnih filmskih programa.</w:t>
      </w:r>
    </w:p>
    <w:p w14:paraId="1ACA390D" w14:textId="77777777" w:rsidR="00E541EE" w:rsidRPr="00AC2206" w:rsidRDefault="00E541EE" w:rsidP="00E541EE">
      <w:pPr>
        <w:jc w:val="both"/>
        <w:rPr>
          <w:rFonts w:ascii="Arial" w:eastAsia="Times New Roman" w:hAnsi="Arial" w:cs="Arial"/>
          <w:sz w:val="24"/>
          <w:szCs w:val="24"/>
        </w:rPr>
      </w:pPr>
    </w:p>
    <w:p w14:paraId="5AFB55CD"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sz w:val="24"/>
          <w:szCs w:val="24"/>
        </w:rPr>
      </w:pPr>
      <w:r w:rsidRPr="00AC2206">
        <w:rPr>
          <w:rFonts w:ascii="Arial" w:eastAsia="Times New Roman" w:hAnsi="Arial" w:cs="Arial"/>
          <w:b/>
          <w:sz w:val="24"/>
          <w:szCs w:val="24"/>
        </w:rPr>
        <w:t xml:space="preserve">A 103706: Obrazovna djelatnost = </w:t>
      </w:r>
      <w:r>
        <w:rPr>
          <w:rFonts w:ascii="Arial" w:eastAsia="Times New Roman" w:hAnsi="Arial" w:cs="Arial"/>
          <w:b/>
          <w:sz w:val="24"/>
          <w:szCs w:val="24"/>
        </w:rPr>
        <w:t>41</w:t>
      </w:r>
      <w:r w:rsidRPr="00AC2206">
        <w:rPr>
          <w:rFonts w:ascii="Arial" w:eastAsia="Times New Roman" w:hAnsi="Arial" w:cs="Arial"/>
          <w:b/>
          <w:sz w:val="24"/>
          <w:szCs w:val="24"/>
        </w:rPr>
        <w:t>.500,00 EUR</w:t>
      </w:r>
    </w:p>
    <w:p w14:paraId="77178E82"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Zakonska osnova:</w:t>
      </w:r>
      <w:r w:rsidRPr="00AC2206">
        <w:rPr>
          <w:rFonts w:ascii="Arial" w:eastAsia="Times New Roman" w:hAnsi="Arial" w:cs="Arial"/>
          <w:sz w:val="24"/>
          <w:szCs w:val="24"/>
        </w:rPr>
        <w:t xml:space="preserve"> Zakon o pučkim otvorenim učilištima, Zakon o obrazovanju odraslih, Zakon o ustanovama.</w:t>
      </w:r>
    </w:p>
    <w:p w14:paraId="5DC306CA" w14:textId="77777777" w:rsidR="00E541EE" w:rsidRPr="00AC2206" w:rsidRDefault="00E541EE" w:rsidP="00E541EE">
      <w:pPr>
        <w:jc w:val="both"/>
        <w:rPr>
          <w:rFonts w:ascii="Arial" w:hAnsi="Arial" w:cs="Arial"/>
          <w:sz w:val="24"/>
          <w:szCs w:val="24"/>
        </w:rPr>
      </w:pPr>
      <w:r w:rsidRPr="00AC2206">
        <w:rPr>
          <w:rFonts w:ascii="Arial" w:eastAsia="Times New Roman" w:hAnsi="Arial" w:cs="Arial"/>
          <w:b/>
          <w:sz w:val="24"/>
          <w:szCs w:val="24"/>
        </w:rPr>
        <w:t>Opis:</w:t>
      </w:r>
      <w:r w:rsidRPr="00AC2206">
        <w:rPr>
          <w:rFonts w:ascii="Arial" w:eastAsia="Times New Roman" w:hAnsi="Arial" w:cs="Arial"/>
          <w:sz w:val="24"/>
          <w:szCs w:val="24"/>
        </w:rPr>
        <w:t xml:space="preserve"> </w:t>
      </w:r>
      <w:r w:rsidRPr="00AC2206">
        <w:rPr>
          <w:rFonts w:ascii="Arial" w:hAnsi="Arial" w:cs="Arial"/>
          <w:sz w:val="24"/>
          <w:szCs w:val="24"/>
        </w:rPr>
        <w:t>prihodi koji se ostvaruju iz obrazovne djelatnosti najvećim se dijelom troše za plaćanje profesora i voditelja radionica, kao i za nabavku literature, promidžbu i tiskanje promotivnog materijala, uredskog materijala, sitnog inventara i dr.</w:t>
      </w:r>
    </w:p>
    <w:p w14:paraId="1DE84D13" w14:textId="77777777" w:rsidR="00E541EE" w:rsidRPr="00AC2206" w:rsidRDefault="00E541EE" w:rsidP="00E541EE">
      <w:pPr>
        <w:jc w:val="both"/>
        <w:rPr>
          <w:rFonts w:ascii="Arial" w:hAnsi="Arial" w:cs="Arial"/>
          <w:sz w:val="24"/>
          <w:szCs w:val="24"/>
        </w:rPr>
      </w:pPr>
      <w:r w:rsidRPr="00AC2206">
        <w:rPr>
          <w:rFonts w:ascii="Arial" w:hAnsi="Arial" w:cs="Arial"/>
          <w:sz w:val="24"/>
          <w:szCs w:val="24"/>
        </w:rPr>
        <w:t xml:space="preserve">Ažuriranje verificiranih programa stručnog osposobljavanja te promocija istih. Organizacija tečajeva jezika kroz dva ciklusa (jesenski i proljetni), kreativnih radionica, te tečajeva i programa profesionalnog usavršavanja verificiranih od strane resornog Ministarstva (u suradnji s učilištem Diopter iz Pule). Obrazovna djelatnost će u svojoj ponudi i dalje imati programe tjelovježbi i sl., a organizirat će kao i dosad razne seminare i stručna predavanja. </w:t>
      </w:r>
    </w:p>
    <w:p w14:paraId="73E195A2" w14:textId="77777777" w:rsidR="00E541EE" w:rsidRPr="00AC2206" w:rsidRDefault="00E541EE" w:rsidP="00E541EE">
      <w:pPr>
        <w:jc w:val="both"/>
        <w:rPr>
          <w:rFonts w:ascii="Arial" w:hAnsi="Arial" w:cs="Arial"/>
          <w:sz w:val="24"/>
          <w:szCs w:val="24"/>
        </w:rPr>
      </w:pPr>
      <w:r w:rsidRPr="00AC2206">
        <w:rPr>
          <w:rFonts w:ascii="Arial" w:hAnsi="Arial" w:cs="Arial"/>
          <w:sz w:val="24"/>
          <w:szCs w:val="24"/>
        </w:rPr>
        <w:t xml:space="preserve">Učilište će u vlastitim prostorima organizirati cjelogodišnje i povremene kreativne radionice za građanstvo na razne teme. </w:t>
      </w:r>
    </w:p>
    <w:p w14:paraId="30366FD9" w14:textId="77777777" w:rsidR="00E541EE" w:rsidRPr="00AC2206" w:rsidRDefault="00E541EE" w:rsidP="00E541EE">
      <w:pPr>
        <w:jc w:val="both"/>
        <w:rPr>
          <w:rFonts w:ascii="Arial" w:hAnsi="Arial" w:cs="Arial"/>
          <w:b/>
          <w:sz w:val="24"/>
          <w:szCs w:val="24"/>
        </w:rPr>
      </w:pPr>
      <w:r w:rsidRPr="00AC2206">
        <w:rPr>
          <w:rFonts w:ascii="Arial" w:eastAsia="Times New Roman" w:hAnsi="Arial" w:cs="Arial"/>
          <w:b/>
          <w:bCs/>
          <w:sz w:val="24"/>
          <w:szCs w:val="24"/>
        </w:rPr>
        <w:t>Opći cilj</w:t>
      </w:r>
      <w:r w:rsidRPr="00AC2206">
        <w:rPr>
          <w:rFonts w:ascii="Arial" w:eastAsia="Times New Roman" w:hAnsi="Arial" w:cs="Arial"/>
          <w:b/>
          <w:sz w:val="24"/>
          <w:szCs w:val="24"/>
        </w:rPr>
        <w:t>:</w:t>
      </w:r>
      <w:r w:rsidRPr="00AC2206">
        <w:rPr>
          <w:rFonts w:ascii="Arial" w:eastAsia="Times New Roman" w:hAnsi="Arial" w:cs="Arial"/>
          <w:sz w:val="24"/>
          <w:szCs w:val="24"/>
        </w:rPr>
        <w:t xml:space="preserve"> poticanje cjeloživotnog učenja, organizirano provođenje slobodnog vremena.</w:t>
      </w:r>
    </w:p>
    <w:p w14:paraId="336DA562"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Pokazatelj uspješnosti</w:t>
      </w:r>
      <w:r w:rsidRPr="00AC2206">
        <w:rPr>
          <w:rFonts w:ascii="Arial" w:eastAsia="Times New Roman" w:hAnsi="Arial" w:cs="Arial"/>
          <w:b/>
          <w:sz w:val="24"/>
          <w:szCs w:val="24"/>
        </w:rPr>
        <w:t xml:space="preserve">: </w:t>
      </w:r>
      <w:r w:rsidRPr="00AC2206">
        <w:rPr>
          <w:rFonts w:ascii="Arial" w:eastAsia="Times New Roman" w:hAnsi="Arial" w:cs="Arial"/>
          <w:sz w:val="24"/>
          <w:szCs w:val="24"/>
        </w:rPr>
        <w:t>broj polaznika obrazovnog programa i radionica te praćenje pokazatelja.</w:t>
      </w:r>
    </w:p>
    <w:p w14:paraId="106E7A5E" w14:textId="77777777" w:rsidR="00E541EE" w:rsidRPr="00AC2206" w:rsidRDefault="00E541EE" w:rsidP="00E541EE">
      <w:pPr>
        <w:jc w:val="both"/>
        <w:rPr>
          <w:rFonts w:ascii="Arial" w:eastAsia="Times New Roman" w:hAnsi="Arial" w:cs="Arial"/>
          <w:sz w:val="24"/>
          <w:szCs w:val="24"/>
        </w:rPr>
      </w:pPr>
    </w:p>
    <w:p w14:paraId="795932D9"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AC2206">
        <w:rPr>
          <w:rFonts w:ascii="Arial" w:eastAsia="Times New Roman" w:hAnsi="Arial" w:cs="Arial"/>
          <w:b/>
          <w:bCs/>
          <w:sz w:val="24"/>
          <w:szCs w:val="24"/>
        </w:rPr>
        <w:t xml:space="preserve">K 103701: Opremanje prostora = </w:t>
      </w:r>
      <w:r>
        <w:rPr>
          <w:rFonts w:ascii="Arial" w:eastAsia="Times New Roman" w:hAnsi="Arial" w:cs="Arial"/>
          <w:b/>
          <w:bCs/>
          <w:sz w:val="24"/>
          <w:szCs w:val="24"/>
        </w:rPr>
        <w:t>5</w:t>
      </w:r>
      <w:r w:rsidRPr="00AC2206">
        <w:rPr>
          <w:rFonts w:ascii="Arial" w:eastAsia="Times New Roman" w:hAnsi="Arial" w:cs="Arial"/>
          <w:b/>
          <w:bCs/>
          <w:sz w:val="24"/>
          <w:szCs w:val="24"/>
        </w:rPr>
        <w:t>.</w:t>
      </w:r>
      <w:r>
        <w:rPr>
          <w:rFonts w:ascii="Arial" w:eastAsia="Times New Roman" w:hAnsi="Arial" w:cs="Arial"/>
          <w:b/>
          <w:bCs/>
          <w:sz w:val="24"/>
          <w:szCs w:val="24"/>
        </w:rPr>
        <w:t>0</w:t>
      </w:r>
      <w:r w:rsidRPr="00AC2206">
        <w:rPr>
          <w:rFonts w:ascii="Arial" w:eastAsia="Times New Roman" w:hAnsi="Arial" w:cs="Arial"/>
          <w:b/>
          <w:bCs/>
          <w:sz w:val="24"/>
          <w:szCs w:val="24"/>
        </w:rPr>
        <w:t>00,00 EUR</w:t>
      </w:r>
    </w:p>
    <w:p w14:paraId="6E00B2B4"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Zakonska osnova:</w:t>
      </w:r>
      <w:r w:rsidRPr="00AC2206">
        <w:rPr>
          <w:rFonts w:ascii="Arial" w:eastAsia="Times New Roman" w:hAnsi="Arial" w:cs="Arial"/>
          <w:sz w:val="24"/>
          <w:szCs w:val="24"/>
        </w:rPr>
        <w:t xml:space="preserve"> Zakon o lokalnoj i područnoj (regionalnoj) samoupravi, Zakon o pučkim otvorenim učilištima, Zakon o ustanovama.</w:t>
      </w:r>
    </w:p>
    <w:p w14:paraId="2BD4979B" w14:textId="77777777" w:rsidR="00E541EE" w:rsidRPr="00DF447C" w:rsidRDefault="00E541EE" w:rsidP="00E541EE">
      <w:pPr>
        <w:jc w:val="both"/>
        <w:rPr>
          <w:rFonts w:ascii="Arial" w:hAnsi="Arial" w:cs="Arial"/>
          <w:sz w:val="24"/>
          <w:szCs w:val="24"/>
        </w:rPr>
      </w:pPr>
      <w:r w:rsidRPr="00AC2206">
        <w:rPr>
          <w:rFonts w:ascii="Arial" w:eastAsia="Times New Roman" w:hAnsi="Arial" w:cs="Arial"/>
          <w:b/>
          <w:sz w:val="24"/>
          <w:szCs w:val="24"/>
        </w:rPr>
        <w:t>Opis:</w:t>
      </w:r>
      <w:r w:rsidRPr="00AC2206">
        <w:rPr>
          <w:rFonts w:ascii="Arial" w:eastAsia="Times New Roman" w:hAnsi="Arial" w:cs="Arial"/>
          <w:sz w:val="24"/>
          <w:szCs w:val="24"/>
        </w:rPr>
        <w:t xml:space="preserve"> </w:t>
      </w:r>
      <w:r w:rsidRPr="00DF447C">
        <w:rPr>
          <w:rFonts w:ascii="Arial" w:hAnsi="Arial" w:cs="Arial"/>
          <w:bCs/>
          <w:sz w:val="24"/>
          <w:szCs w:val="24"/>
        </w:rPr>
        <w:t xml:space="preserve">Za 2026. godinu Učilište sredstvima iz Gradskog proračuna </w:t>
      </w:r>
      <w:r w:rsidRPr="00DF447C">
        <w:rPr>
          <w:rFonts w:ascii="Arial" w:hAnsi="Arial" w:cs="Arial"/>
          <w:sz w:val="24"/>
          <w:szCs w:val="24"/>
        </w:rPr>
        <w:t>planira ulaganja u prizemlje Gandusia: zastori za zatamnjenje i buku, vješalice, stolovi i stolice.</w:t>
      </w:r>
    </w:p>
    <w:p w14:paraId="15C8E4A9" w14:textId="77777777" w:rsidR="00E541EE" w:rsidRPr="00AC2206" w:rsidRDefault="00E541EE" w:rsidP="00E541EE">
      <w:pPr>
        <w:rPr>
          <w:rFonts w:ascii="Arial" w:hAnsi="Arial" w:cs="Arial"/>
          <w:sz w:val="24"/>
          <w:szCs w:val="24"/>
        </w:rPr>
      </w:pPr>
      <w:r w:rsidRPr="00AC2206">
        <w:rPr>
          <w:rFonts w:ascii="Arial" w:eastAsia="Times New Roman" w:hAnsi="Arial" w:cs="Arial"/>
          <w:b/>
          <w:bCs/>
          <w:sz w:val="24"/>
          <w:szCs w:val="24"/>
        </w:rPr>
        <w:t>Opći cilj</w:t>
      </w:r>
      <w:r w:rsidRPr="00AC2206">
        <w:rPr>
          <w:rFonts w:ascii="Arial" w:eastAsia="Times New Roman" w:hAnsi="Arial" w:cs="Arial"/>
          <w:b/>
          <w:sz w:val="24"/>
          <w:szCs w:val="24"/>
        </w:rPr>
        <w:t xml:space="preserve">: </w:t>
      </w:r>
      <w:r w:rsidRPr="00AC2206">
        <w:rPr>
          <w:rFonts w:ascii="Arial" w:eastAsia="Times New Roman" w:hAnsi="Arial" w:cs="Arial"/>
          <w:sz w:val="24"/>
          <w:szCs w:val="24"/>
        </w:rPr>
        <w:t>osiguravanje uvjeta rada.</w:t>
      </w:r>
      <w:r w:rsidRPr="00AC2206">
        <w:rPr>
          <w:rFonts w:ascii="Arial" w:eastAsia="Times New Roman" w:hAnsi="Arial" w:cs="Arial"/>
          <w:sz w:val="24"/>
          <w:szCs w:val="24"/>
        </w:rPr>
        <w:br/>
      </w:r>
      <w:r w:rsidRPr="00AC2206">
        <w:rPr>
          <w:rFonts w:ascii="Arial" w:eastAsia="Times New Roman" w:hAnsi="Arial" w:cs="Arial"/>
          <w:b/>
          <w:bCs/>
          <w:sz w:val="24"/>
          <w:szCs w:val="24"/>
        </w:rPr>
        <w:t>Pokazatelj uspješnosti</w:t>
      </w:r>
      <w:r w:rsidRPr="00AC2206">
        <w:rPr>
          <w:rFonts w:ascii="Arial" w:eastAsia="Times New Roman" w:hAnsi="Arial" w:cs="Arial"/>
          <w:b/>
          <w:sz w:val="24"/>
          <w:szCs w:val="24"/>
        </w:rPr>
        <w:t xml:space="preserve">: </w:t>
      </w:r>
      <w:r w:rsidRPr="00AC2206">
        <w:rPr>
          <w:rFonts w:ascii="Arial" w:eastAsia="Times New Roman" w:hAnsi="Arial" w:cs="Arial"/>
          <w:sz w:val="24"/>
          <w:szCs w:val="24"/>
        </w:rPr>
        <w:t>nabavljena oprema.</w:t>
      </w:r>
    </w:p>
    <w:p w14:paraId="56F8E895" w14:textId="77777777" w:rsidR="00E541EE" w:rsidRPr="00AC2206" w:rsidRDefault="00E541EE" w:rsidP="00E541EE">
      <w:pPr>
        <w:rPr>
          <w:rFonts w:ascii="Arial" w:eastAsia="Times New Roman" w:hAnsi="Arial" w:cs="Arial"/>
          <w:sz w:val="24"/>
          <w:szCs w:val="24"/>
        </w:rPr>
      </w:pPr>
    </w:p>
    <w:p w14:paraId="25FF7705" w14:textId="64DECDE6"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FFD5EA"/>
        <w:rPr>
          <w:rFonts w:ascii="Arial" w:eastAsia="Times New Roman" w:hAnsi="Arial" w:cs="Arial"/>
          <w:b/>
          <w:bCs/>
          <w:sz w:val="24"/>
          <w:szCs w:val="24"/>
        </w:rPr>
      </w:pPr>
      <w:r w:rsidRPr="00261EBF">
        <w:rPr>
          <w:rFonts w:ascii="Arial" w:eastAsia="Times New Roman" w:hAnsi="Arial" w:cs="Arial"/>
          <w:b/>
          <w:bCs/>
          <w:sz w:val="24"/>
          <w:szCs w:val="24"/>
        </w:rPr>
        <w:t>Proračunski korisnik</w:t>
      </w:r>
      <w:r w:rsidR="00E80F33">
        <w:rPr>
          <w:rFonts w:ascii="Arial" w:eastAsia="Times New Roman" w:hAnsi="Arial" w:cs="Arial"/>
          <w:b/>
          <w:bCs/>
          <w:sz w:val="24"/>
          <w:szCs w:val="24"/>
        </w:rPr>
        <w:t>:</w:t>
      </w:r>
      <w:r w:rsidRPr="00261EBF">
        <w:rPr>
          <w:rFonts w:ascii="Arial" w:eastAsia="Times New Roman" w:hAnsi="Arial" w:cs="Arial"/>
          <w:b/>
          <w:bCs/>
          <w:sz w:val="24"/>
          <w:szCs w:val="24"/>
        </w:rPr>
        <w:t xml:space="preserve">  Muzej Grada Rovinja-Rovigno = 816.700,00 EUR</w:t>
      </w:r>
    </w:p>
    <w:p w14:paraId="5485BAF4" w14:textId="77777777" w:rsidR="00E541EE" w:rsidRPr="00AC2206" w:rsidRDefault="00E541EE" w:rsidP="00E541EE">
      <w:pPr>
        <w:jc w:val="both"/>
        <w:rPr>
          <w:rFonts w:ascii="Arial" w:eastAsia="Times New Roman" w:hAnsi="Arial" w:cs="Arial"/>
          <w:sz w:val="24"/>
          <w:szCs w:val="24"/>
        </w:rPr>
      </w:pPr>
    </w:p>
    <w:p w14:paraId="29620F10"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AC2206">
        <w:rPr>
          <w:rFonts w:ascii="Arial" w:eastAsia="Times New Roman" w:hAnsi="Arial" w:cs="Arial"/>
          <w:b/>
          <w:bCs/>
          <w:sz w:val="24"/>
          <w:szCs w:val="24"/>
        </w:rPr>
        <w:t xml:space="preserve">A 103707: Redovan rad ustanove u kulturi = </w:t>
      </w:r>
      <w:r>
        <w:rPr>
          <w:rFonts w:ascii="Arial" w:eastAsia="Times New Roman" w:hAnsi="Arial" w:cs="Arial"/>
          <w:b/>
          <w:bCs/>
          <w:sz w:val="24"/>
          <w:szCs w:val="24"/>
        </w:rPr>
        <w:t>470.800,00</w:t>
      </w:r>
      <w:r w:rsidRPr="00AC2206">
        <w:rPr>
          <w:rFonts w:ascii="Arial" w:eastAsia="Times New Roman" w:hAnsi="Arial" w:cs="Arial"/>
          <w:b/>
          <w:bCs/>
          <w:sz w:val="24"/>
          <w:szCs w:val="24"/>
        </w:rPr>
        <w:t xml:space="preserve"> EUR</w:t>
      </w:r>
    </w:p>
    <w:p w14:paraId="31E8AC49"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sz w:val="24"/>
          <w:szCs w:val="24"/>
        </w:rPr>
        <w:t>Zakonska osnova:</w:t>
      </w:r>
      <w:r w:rsidRPr="00AC2206">
        <w:rPr>
          <w:rFonts w:ascii="Arial" w:eastAsia="Times New Roman" w:hAnsi="Arial" w:cs="Arial"/>
          <w:sz w:val="24"/>
          <w:szCs w:val="24"/>
        </w:rPr>
        <w:t xml:space="preserve"> </w:t>
      </w:r>
      <w:r w:rsidRPr="00AC2206">
        <w:rPr>
          <w:rFonts w:ascii="Arial" w:hAnsi="Arial" w:cs="Arial"/>
          <w:sz w:val="24"/>
          <w:szCs w:val="24"/>
        </w:rPr>
        <w:t>Zakon o muzejima, Zakon o zaštiti i očuvanju kulturnih dobara, Zakon o ustanovama, Zakon o kulturnim vijećima i financiranju javnih potreba u kulturi, Zakon o lokalnoj i područnoj (regionalnoj) samoupravi.</w:t>
      </w:r>
    </w:p>
    <w:p w14:paraId="46262D55" w14:textId="77777777" w:rsidR="00E541EE" w:rsidRPr="00DF447C" w:rsidRDefault="00E541EE" w:rsidP="00E541EE">
      <w:pPr>
        <w:jc w:val="both"/>
        <w:rPr>
          <w:rFonts w:ascii="Arial" w:hAnsi="Arial" w:cs="Arial"/>
          <w:sz w:val="24"/>
          <w:szCs w:val="24"/>
        </w:rPr>
      </w:pPr>
      <w:r w:rsidRPr="00DF447C">
        <w:rPr>
          <w:rFonts w:ascii="Arial" w:eastAsia="Times New Roman" w:hAnsi="Arial" w:cs="Arial"/>
          <w:b/>
          <w:sz w:val="24"/>
          <w:szCs w:val="24"/>
        </w:rPr>
        <w:t>Opis:</w:t>
      </w:r>
      <w:r w:rsidRPr="00DF447C">
        <w:rPr>
          <w:rFonts w:ascii="Arial" w:hAnsi="Arial" w:cs="Arial"/>
          <w:sz w:val="24"/>
          <w:szCs w:val="24"/>
        </w:rPr>
        <w:t xml:space="preserve"> Planiranim sredstvima osiguravaju se najvećim dijelom rashodi za zaposlene. Trošak provođenja redovne djelatnosti temeljen je na 10 djelatnika. </w:t>
      </w:r>
    </w:p>
    <w:p w14:paraId="41A5F44A" w14:textId="77777777" w:rsidR="00E541EE" w:rsidRPr="00DF447C" w:rsidRDefault="00E541EE" w:rsidP="00E541EE">
      <w:pPr>
        <w:jc w:val="both"/>
        <w:rPr>
          <w:rFonts w:ascii="Arial" w:hAnsi="Arial" w:cs="Arial"/>
          <w:sz w:val="24"/>
          <w:szCs w:val="24"/>
        </w:rPr>
      </w:pPr>
      <w:r w:rsidRPr="00DF447C">
        <w:rPr>
          <w:rFonts w:ascii="Arial" w:hAnsi="Arial" w:cs="Arial"/>
          <w:sz w:val="24"/>
          <w:szCs w:val="24"/>
        </w:rPr>
        <w:t>Materijalni i financijski rashodi za redovnu djelatnost planirani su na razini ugovorenih usluga, dok su rashodi za nabavu nefinancijske imovine planirani u minimalnom iznosu.</w:t>
      </w:r>
    </w:p>
    <w:p w14:paraId="16998FA1" w14:textId="77777777" w:rsidR="00E541EE" w:rsidRPr="00AC2206" w:rsidRDefault="00E541EE" w:rsidP="00E541EE">
      <w:pPr>
        <w:jc w:val="both"/>
        <w:rPr>
          <w:rFonts w:ascii="Arial" w:hAnsi="Arial" w:cs="Arial"/>
          <w:sz w:val="24"/>
          <w:szCs w:val="24"/>
        </w:rPr>
      </w:pPr>
      <w:r w:rsidRPr="00AC2206">
        <w:rPr>
          <w:rFonts w:ascii="Arial" w:eastAsia="Times New Roman" w:hAnsi="Arial" w:cs="Arial"/>
          <w:b/>
          <w:bCs/>
          <w:sz w:val="24"/>
          <w:szCs w:val="24"/>
        </w:rPr>
        <w:t>Opći cilj</w:t>
      </w:r>
      <w:r w:rsidRPr="00AC2206">
        <w:rPr>
          <w:rFonts w:ascii="Arial" w:eastAsia="Times New Roman" w:hAnsi="Arial" w:cs="Arial"/>
          <w:b/>
          <w:sz w:val="24"/>
          <w:szCs w:val="24"/>
        </w:rPr>
        <w:t xml:space="preserve">: </w:t>
      </w:r>
      <w:r w:rsidRPr="00AC2206">
        <w:rPr>
          <w:rFonts w:ascii="Arial" w:eastAsia="Times New Roman" w:hAnsi="Arial" w:cs="Arial"/>
          <w:sz w:val="24"/>
          <w:szCs w:val="24"/>
        </w:rPr>
        <w:t>osiguravanje uvjeta rada.</w:t>
      </w:r>
    </w:p>
    <w:p w14:paraId="1C27D7AD"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Pokazatelj uspješnosti</w:t>
      </w:r>
      <w:r w:rsidRPr="00AC2206">
        <w:rPr>
          <w:rFonts w:ascii="Arial" w:eastAsia="Times New Roman" w:hAnsi="Arial" w:cs="Arial"/>
          <w:b/>
          <w:sz w:val="24"/>
          <w:szCs w:val="24"/>
        </w:rPr>
        <w:t>:</w:t>
      </w:r>
      <w:r w:rsidRPr="00AC2206">
        <w:rPr>
          <w:rFonts w:ascii="Arial" w:eastAsia="Times New Roman" w:hAnsi="Arial" w:cs="Arial"/>
          <w:sz w:val="24"/>
          <w:szCs w:val="24"/>
        </w:rPr>
        <w:t xml:space="preserve"> cjelovitost inventarizacije muzejske građe i dokumentacije, stručna obrada građe</w:t>
      </w:r>
    </w:p>
    <w:p w14:paraId="3F89C690" w14:textId="77777777" w:rsidR="00E541EE" w:rsidRPr="00AC2206" w:rsidRDefault="00E541EE" w:rsidP="00E541EE">
      <w:pPr>
        <w:jc w:val="both"/>
        <w:rPr>
          <w:rFonts w:ascii="Arial" w:eastAsia="Times New Roman" w:hAnsi="Arial" w:cs="Arial"/>
          <w:sz w:val="24"/>
          <w:szCs w:val="24"/>
        </w:rPr>
      </w:pPr>
    </w:p>
    <w:p w14:paraId="23935D6D"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AC2206">
        <w:rPr>
          <w:rFonts w:ascii="Arial" w:eastAsia="Times New Roman" w:hAnsi="Arial" w:cs="Arial"/>
          <w:b/>
          <w:bCs/>
          <w:sz w:val="24"/>
          <w:szCs w:val="24"/>
        </w:rPr>
        <w:t>A 103708: Upravno vijeće = 1.500,00 EUR</w:t>
      </w:r>
    </w:p>
    <w:p w14:paraId="6773F3A4"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sz w:val="24"/>
          <w:szCs w:val="24"/>
        </w:rPr>
        <w:t>Zakonska osnova:</w:t>
      </w:r>
      <w:r w:rsidRPr="00AC2206">
        <w:rPr>
          <w:rFonts w:ascii="Arial" w:eastAsia="Times New Roman" w:hAnsi="Arial" w:cs="Arial"/>
          <w:sz w:val="24"/>
          <w:szCs w:val="24"/>
        </w:rPr>
        <w:t xml:space="preserve"> </w:t>
      </w:r>
      <w:r w:rsidRPr="00AC2206">
        <w:rPr>
          <w:rFonts w:ascii="Arial" w:hAnsi="Arial" w:cs="Arial"/>
          <w:sz w:val="24"/>
          <w:szCs w:val="24"/>
        </w:rPr>
        <w:t>Zakon o muzejima, Zakon o zaštiti i očuvanju kulturnih dobara, Zakon o ustanovama, Zakon o kulturnim vijećima i financiranju javnih potreba u kulturi, Zakon o lokalnoj i područnoj (regionalnoj) samoupravi.</w:t>
      </w:r>
    </w:p>
    <w:p w14:paraId="6656BAA2"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sz w:val="24"/>
          <w:szCs w:val="24"/>
        </w:rPr>
        <w:t>Opis:</w:t>
      </w:r>
      <w:r w:rsidRPr="00AC2206">
        <w:rPr>
          <w:rFonts w:ascii="Arial" w:eastAsia="Times New Roman" w:hAnsi="Arial" w:cs="Arial"/>
          <w:sz w:val="24"/>
          <w:szCs w:val="24"/>
        </w:rPr>
        <w:t xml:space="preserve"> planiranim sredstvima isplaćuju se naknade za pet članova Upravnog vijeća prema održanim sjednicama i prisustvu članova na sjednicama. Visina naknade određena je posebnom Odlukom.</w:t>
      </w:r>
    </w:p>
    <w:p w14:paraId="2842D3D0" w14:textId="77777777" w:rsidR="00E541EE" w:rsidRPr="00AC2206" w:rsidRDefault="00E541EE" w:rsidP="00E541EE">
      <w:pPr>
        <w:rPr>
          <w:rFonts w:ascii="Arial" w:eastAsia="Times New Roman" w:hAnsi="Arial" w:cs="Arial"/>
          <w:sz w:val="24"/>
          <w:szCs w:val="24"/>
        </w:rPr>
      </w:pPr>
      <w:r w:rsidRPr="00AC2206">
        <w:rPr>
          <w:rFonts w:ascii="Arial" w:eastAsia="Times New Roman" w:hAnsi="Arial" w:cs="Arial"/>
          <w:b/>
          <w:bCs/>
          <w:sz w:val="24"/>
          <w:szCs w:val="24"/>
        </w:rPr>
        <w:t>Opći cilj</w:t>
      </w:r>
      <w:r w:rsidRPr="00AC2206">
        <w:rPr>
          <w:rFonts w:ascii="Arial" w:eastAsia="Times New Roman" w:hAnsi="Arial" w:cs="Arial"/>
          <w:b/>
          <w:sz w:val="24"/>
          <w:szCs w:val="24"/>
        </w:rPr>
        <w:t xml:space="preserve">: </w:t>
      </w:r>
      <w:r w:rsidRPr="00AC2206">
        <w:rPr>
          <w:rFonts w:ascii="Arial" w:eastAsia="Times New Roman" w:hAnsi="Arial" w:cs="Arial"/>
          <w:sz w:val="24"/>
          <w:szCs w:val="24"/>
        </w:rPr>
        <w:t>osiguravanje uvjeta rada.</w:t>
      </w:r>
      <w:r w:rsidRPr="00AC2206">
        <w:rPr>
          <w:rFonts w:ascii="Arial" w:eastAsia="Times New Roman" w:hAnsi="Arial" w:cs="Arial"/>
          <w:sz w:val="24"/>
          <w:szCs w:val="24"/>
        </w:rPr>
        <w:br/>
      </w:r>
      <w:r w:rsidRPr="00AC2206">
        <w:rPr>
          <w:rFonts w:ascii="Arial" w:eastAsia="Times New Roman" w:hAnsi="Arial" w:cs="Arial"/>
          <w:b/>
          <w:bCs/>
          <w:sz w:val="24"/>
          <w:szCs w:val="24"/>
        </w:rPr>
        <w:t>Pokazatelj uspješnosti</w:t>
      </w:r>
      <w:r w:rsidRPr="00AC2206">
        <w:rPr>
          <w:rFonts w:ascii="Arial" w:eastAsia="Times New Roman" w:hAnsi="Arial" w:cs="Arial"/>
          <w:b/>
          <w:sz w:val="24"/>
          <w:szCs w:val="24"/>
        </w:rPr>
        <w:t>:</w:t>
      </w:r>
      <w:r w:rsidRPr="00AC2206">
        <w:rPr>
          <w:rFonts w:ascii="Arial" w:eastAsia="Times New Roman" w:hAnsi="Arial" w:cs="Arial"/>
          <w:sz w:val="24"/>
          <w:szCs w:val="24"/>
        </w:rPr>
        <w:t xml:space="preserve"> </w:t>
      </w:r>
      <w:r w:rsidRPr="00AC2206">
        <w:rPr>
          <w:rFonts w:ascii="Arial" w:hAnsi="Arial" w:cs="Arial"/>
          <w:sz w:val="24"/>
          <w:szCs w:val="24"/>
        </w:rPr>
        <w:t>poboljšanje uvjeta rada Muzeja i skrbi za muzejsku građu i dokumentaciju, pravovremeno i učinkovito donošenje odluka.</w:t>
      </w:r>
    </w:p>
    <w:p w14:paraId="26C488D0" w14:textId="77777777" w:rsidR="00E541EE" w:rsidRPr="00AC2206" w:rsidRDefault="00E541EE" w:rsidP="00E541EE">
      <w:pPr>
        <w:rPr>
          <w:rFonts w:ascii="Arial" w:eastAsia="Times New Roman" w:hAnsi="Arial" w:cs="Arial"/>
          <w:sz w:val="24"/>
          <w:szCs w:val="24"/>
        </w:rPr>
      </w:pPr>
    </w:p>
    <w:p w14:paraId="5CC15A85"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AC2206">
        <w:rPr>
          <w:rFonts w:ascii="Arial" w:eastAsia="Times New Roman" w:hAnsi="Arial" w:cs="Arial"/>
          <w:b/>
          <w:bCs/>
          <w:sz w:val="24"/>
          <w:szCs w:val="24"/>
        </w:rPr>
        <w:t>A 103709: Posebni programi ustanove = 4</w:t>
      </w:r>
      <w:r>
        <w:rPr>
          <w:rFonts w:ascii="Arial" w:eastAsia="Times New Roman" w:hAnsi="Arial" w:cs="Arial"/>
          <w:b/>
          <w:bCs/>
          <w:sz w:val="24"/>
          <w:szCs w:val="24"/>
        </w:rPr>
        <w:t>8</w:t>
      </w:r>
      <w:r w:rsidRPr="00AC2206">
        <w:rPr>
          <w:rFonts w:ascii="Arial" w:eastAsia="Times New Roman" w:hAnsi="Arial" w:cs="Arial"/>
          <w:b/>
          <w:bCs/>
          <w:sz w:val="24"/>
          <w:szCs w:val="24"/>
        </w:rPr>
        <w:t>.</w:t>
      </w:r>
      <w:r>
        <w:rPr>
          <w:rFonts w:ascii="Arial" w:eastAsia="Times New Roman" w:hAnsi="Arial" w:cs="Arial"/>
          <w:b/>
          <w:bCs/>
          <w:sz w:val="24"/>
          <w:szCs w:val="24"/>
        </w:rPr>
        <w:t>6</w:t>
      </w:r>
      <w:r w:rsidRPr="00AC2206">
        <w:rPr>
          <w:rFonts w:ascii="Arial" w:eastAsia="Times New Roman" w:hAnsi="Arial" w:cs="Arial"/>
          <w:b/>
          <w:bCs/>
          <w:sz w:val="24"/>
          <w:szCs w:val="24"/>
        </w:rPr>
        <w:t>00,00 EUR</w:t>
      </w:r>
    </w:p>
    <w:p w14:paraId="00BA7AAF"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sz w:val="24"/>
          <w:szCs w:val="24"/>
        </w:rPr>
        <w:t>Zakonska osnova:</w:t>
      </w:r>
      <w:r w:rsidRPr="00AC2206">
        <w:rPr>
          <w:rFonts w:ascii="Arial" w:eastAsia="Times New Roman" w:hAnsi="Arial" w:cs="Arial"/>
          <w:sz w:val="24"/>
          <w:szCs w:val="24"/>
        </w:rPr>
        <w:t xml:space="preserve"> </w:t>
      </w:r>
      <w:r w:rsidRPr="00AC2206">
        <w:rPr>
          <w:rFonts w:ascii="Arial" w:hAnsi="Arial" w:cs="Arial"/>
          <w:sz w:val="24"/>
          <w:szCs w:val="24"/>
        </w:rPr>
        <w:t>Zakon o muzejima, Zakon o zaštiti i očuvanju kulturnih dobara, Zakon o ustanovama, Zakon o kulturnim vijećima i financiranju javnih potreba u kulturi, Zakon o lokalnoj i područnoj (regionalnoj) samoupravi.</w:t>
      </w:r>
    </w:p>
    <w:p w14:paraId="0D01414D" w14:textId="77777777" w:rsidR="00E541EE" w:rsidRPr="00DF447C" w:rsidRDefault="00E541EE" w:rsidP="00E541EE">
      <w:pPr>
        <w:jc w:val="both"/>
        <w:rPr>
          <w:rFonts w:ascii="Arial" w:hAnsi="Arial" w:cs="Arial"/>
          <w:sz w:val="24"/>
          <w:szCs w:val="24"/>
        </w:rPr>
      </w:pPr>
      <w:r w:rsidRPr="00DF447C">
        <w:rPr>
          <w:rFonts w:ascii="Arial" w:eastAsia="Times New Roman" w:hAnsi="Arial" w:cs="Arial"/>
          <w:b/>
          <w:sz w:val="24"/>
          <w:szCs w:val="24"/>
        </w:rPr>
        <w:t>Opis:</w:t>
      </w:r>
      <w:r w:rsidRPr="00DF447C">
        <w:rPr>
          <w:rFonts w:ascii="Arial" w:eastAsia="Times New Roman" w:hAnsi="Arial" w:cs="Arial"/>
          <w:sz w:val="24"/>
          <w:szCs w:val="24"/>
        </w:rPr>
        <w:t xml:space="preserve"> </w:t>
      </w:r>
      <w:r w:rsidRPr="00DF447C">
        <w:rPr>
          <w:rFonts w:ascii="Arial" w:hAnsi="Arial" w:cs="Arial"/>
          <w:sz w:val="24"/>
          <w:szCs w:val="24"/>
        </w:rPr>
        <w:t>Programskom djelatnosti prikazuje se dio građe i dokumentacije koja se tijekom godine stručno obrađuje prema muzejskim standardima. Prilikom osmišljavanja izložbenog programa vodi se računa o tome da se izlože radovi autora koji su značajni za rovinjsku likovnu scenu. U 2026. godini priredit će se sljedeće izložbe:</w:t>
      </w:r>
    </w:p>
    <w:p w14:paraId="0432E385" w14:textId="77777777" w:rsidR="00E541EE" w:rsidRDefault="00E541EE" w:rsidP="00E541EE">
      <w:pPr>
        <w:jc w:val="both"/>
        <w:rPr>
          <w:rFonts w:ascii="Arial" w:hAnsi="Arial" w:cs="Arial"/>
          <w:sz w:val="24"/>
          <w:szCs w:val="24"/>
        </w:rPr>
      </w:pPr>
      <w:r>
        <w:t xml:space="preserve">- </w:t>
      </w:r>
      <w:r w:rsidRPr="00034A3D">
        <w:rPr>
          <w:rFonts w:ascii="Arial" w:hAnsi="Arial" w:cs="Arial"/>
          <w:sz w:val="24"/>
          <w:szCs w:val="24"/>
        </w:rPr>
        <w:t xml:space="preserve">Noć muzeja 2026. – program će se definirati sukladno zadanoj temi Hrvatskog </w:t>
      </w:r>
    </w:p>
    <w:p w14:paraId="2F4F1B4E" w14:textId="77777777" w:rsidR="00E541EE" w:rsidRPr="00034A3D" w:rsidRDefault="00E541EE" w:rsidP="00E541EE">
      <w:pPr>
        <w:jc w:val="both"/>
        <w:rPr>
          <w:rFonts w:ascii="Arial" w:hAnsi="Arial" w:cs="Arial"/>
          <w:sz w:val="24"/>
          <w:szCs w:val="24"/>
        </w:rPr>
      </w:pPr>
      <w:r>
        <w:rPr>
          <w:rFonts w:ascii="Arial" w:hAnsi="Arial" w:cs="Arial"/>
          <w:sz w:val="24"/>
          <w:szCs w:val="24"/>
        </w:rPr>
        <w:t xml:space="preserve">  </w:t>
      </w:r>
      <w:r w:rsidRPr="00034A3D">
        <w:rPr>
          <w:rFonts w:ascii="Arial" w:hAnsi="Arial" w:cs="Arial"/>
          <w:sz w:val="24"/>
          <w:szCs w:val="24"/>
        </w:rPr>
        <w:t xml:space="preserve">muzejskog društva; </w:t>
      </w:r>
    </w:p>
    <w:p w14:paraId="08D74117" w14:textId="77777777" w:rsidR="00E541EE" w:rsidRPr="00034A3D" w:rsidRDefault="00E541EE" w:rsidP="00E541EE">
      <w:pPr>
        <w:jc w:val="both"/>
        <w:rPr>
          <w:rFonts w:ascii="Arial" w:hAnsi="Arial" w:cs="Arial"/>
          <w:sz w:val="24"/>
          <w:szCs w:val="24"/>
        </w:rPr>
      </w:pPr>
      <w:r w:rsidRPr="00034A3D">
        <w:rPr>
          <w:rFonts w:ascii="Arial" w:hAnsi="Arial" w:cs="Arial"/>
          <w:sz w:val="24"/>
          <w:szCs w:val="24"/>
        </w:rPr>
        <w:t>- Bruno Mascarelli – izložba kojom se obilježava stota godišnjica umjetnikova rođenja;</w:t>
      </w:r>
    </w:p>
    <w:p w14:paraId="44E8BE99" w14:textId="77777777" w:rsidR="00E541EE" w:rsidRPr="00034A3D" w:rsidRDefault="00E541EE" w:rsidP="00E541EE">
      <w:pPr>
        <w:jc w:val="both"/>
        <w:rPr>
          <w:rFonts w:ascii="Arial" w:hAnsi="Arial" w:cs="Arial"/>
          <w:sz w:val="24"/>
          <w:szCs w:val="24"/>
        </w:rPr>
      </w:pPr>
      <w:r w:rsidRPr="00034A3D">
        <w:rPr>
          <w:rFonts w:ascii="Arial" w:hAnsi="Arial" w:cs="Arial"/>
          <w:sz w:val="24"/>
          <w:szCs w:val="24"/>
        </w:rPr>
        <w:t>- Stručni skup posvećen Brunu Mascarelliju (povodom stote godišnjice rođenja);</w:t>
      </w:r>
    </w:p>
    <w:p w14:paraId="2FE4CE5C" w14:textId="77777777" w:rsidR="00E541EE" w:rsidRPr="00034A3D" w:rsidRDefault="00E541EE" w:rsidP="00E541EE">
      <w:pPr>
        <w:jc w:val="both"/>
        <w:rPr>
          <w:rFonts w:ascii="Arial" w:hAnsi="Arial" w:cs="Arial"/>
          <w:sz w:val="24"/>
          <w:szCs w:val="24"/>
        </w:rPr>
      </w:pPr>
      <w:r w:rsidRPr="00034A3D">
        <w:rPr>
          <w:rFonts w:ascii="Arial" w:hAnsi="Arial" w:cs="Arial"/>
          <w:sz w:val="24"/>
          <w:szCs w:val="24"/>
        </w:rPr>
        <w:t>- Izložba predmeta iz muzejskog fundusa (uključuje sve zbirke);</w:t>
      </w:r>
    </w:p>
    <w:p w14:paraId="77CD6840" w14:textId="77777777" w:rsidR="00E541EE" w:rsidRPr="00034A3D" w:rsidRDefault="00E541EE" w:rsidP="00E541EE">
      <w:pPr>
        <w:jc w:val="both"/>
        <w:rPr>
          <w:rFonts w:ascii="Arial" w:hAnsi="Arial" w:cs="Arial"/>
          <w:sz w:val="24"/>
          <w:szCs w:val="24"/>
        </w:rPr>
      </w:pPr>
      <w:r w:rsidRPr="00034A3D">
        <w:rPr>
          <w:rFonts w:ascii="Arial" w:hAnsi="Arial" w:cs="Arial"/>
          <w:sz w:val="24"/>
          <w:szCs w:val="24"/>
        </w:rPr>
        <w:t xml:space="preserve">- Izložba predmeta iz arheološke zbirke Muzeja;  </w:t>
      </w:r>
    </w:p>
    <w:p w14:paraId="1E254E5F" w14:textId="77777777" w:rsidR="00E541EE" w:rsidRPr="00034A3D" w:rsidRDefault="00E541EE" w:rsidP="00E541EE">
      <w:pPr>
        <w:jc w:val="both"/>
        <w:rPr>
          <w:rFonts w:ascii="Arial" w:hAnsi="Arial" w:cs="Arial"/>
          <w:sz w:val="24"/>
          <w:szCs w:val="24"/>
        </w:rPr>
      </w:pPr>
      <w:r w:rsidRPr="00034A3D">
        <w:rPr>
          <w:rFonts w:ascii="Arial" w:hAnsi="Arial" w:cs="Arial"/>
          <w:sz w:val="24"/>
          <w:szCs w:val="24"/>
        </w:rPr>
        <w:t xml:space="preserve">- Bogumil Car – izložba radova s naglaskom na rovinjske motive. </w:t>
      </w:r>
    </w:p>
    <w:p w14:paraId="183C5460" w14:textId="77777777" w:rsidR="00E541EE" w:rsidRPr="00AC2206" w:rsidRDefault="00E541EE" w:rsidP="00E541EE">
      <w:pPr>
        <w:jc w:val="both"/>
        <w:rPr>
          <w:rFonts w:ascii="Arial" w:hAnsi="Arial" w:cs="Arial"/>
          <w:sz w:val="24"/>
          <w:szCs w:val="24"/>
        </w:rPr>
      </w:pPr>
      <w:r w:rsidRPr="00AC2206">
        <w:rPr>
          <w:rFonts w:ascii="Arial" w:hAnsi="Arial" w:cs="Arial"/>
          <w:b/>
          <w:sz w:val="24"/>
          <w:szCs w:val="24"/>
        </w:rPr>
        <w:t xml:space="preserve">Opći cilj: </w:t>
      </w:r>
      <w:r w:rsidRPr="00AC2206">
        <w:rPr>
          <w:rFonts w:ascii="Arial" w:hAnsi="Arial" w:cs="Arial"/>
          <w:sz w:val="24"/>
          <w:szCs w:val="24"/>
        </w:rPr>
        <w:t>obogaćivanje kulturne ponude</w:t>
      </w:r>
    </w:p>
    <w:p w14:paraId="5D7DB3C0" w14:textId="77777777" w:rsidR="00E541EE" w:rsidRDefault="00E541EE" w:rsidP="00E541EE">
      <w:pPr>
        <w:jc w:val="both"/>
        <w:rPr>
          <w:rFonts w:ascii="Arial" w:hAnsi="Arial" w:cs="Arial"/>
          <w:sz w:val="24"/>
          <w:szCs w:val="24"/>
        </w:rPr>
      </w:pPr>
      <w:r w:rsidRPr="00AC2206">
        <w:rPr>
          <w:rFonts w:ascii="Arial" w:eastAsia="Times New Roman" w:hAnsi="Arial" w:cs="Arial"/>
          <w:b/>
          <w:bCs/>
          <w:sz w:val="24"/>
          <w:szCs w:val="24"/>
        </w:rPr>
        <w:t>Pokazatelj uspješnosti</w:t>
      </w:r>
      <w:r w:rsidRPr="00AC2206">
        <w:rPr>
          <w:rFonts w:ascii="Arial" w:eastAsia="Times New Roman" w:hAnsi="Arial" w:cs="Arial"/>
          <w:b/>
          <w:sz w:val="24"/>
          <w:szCs w:val="24"/>
        </w:rPr>
        <w:t>:</w:t>
      </w:r>
      <w:r w:rsidRPr="00AC2206">
        <w:rPr>
          <w:rFonts w:ascii="Arial" w:eastAsia="Times New Roman" w:hAnsi="Arial" w:cs="Arial"/>
          <w:sz w:val="24"/>
          <w:szCs w:val="24"/>
        </w:rPr>
        <w:t xml:space="preserve"> </w:t>
      </w:r>
      <w:r w:rsidRPr="00AC2206">
        <w:rPr>
          <w:rFonts w:ascii="Arial" w:hAnsi="Arial" w:cs="Arial"/>
          <w:sz w:val="24"/>
          <w:szCs w:val="24"/>
        </w:rPr>
        <w:t>prezentacija muzejskog fundusa domicilnom stanovništvu i posjetiteljima tijekom turističke sezone</w:t>
      </w:r>
    </w:p>
    <w:p w14:paraId="7BF993A9" w14:textId="77777777" w:rsidR="008B3204" w:rsidRPr="00AC2206" w:rsidRDefault="008B3204" w:rsidP="00E541EE">
      <w:pPr>
        <w:jc w:val="both"/>
        <w:rPr>
          <w:rFonts w:ascii="Arial" w:hAnsi="Arial" w:cs="Arial"/>
          <w:sz w:val="24"/>
          <w:szCs w:val="24"/>
        </w:rPr>
      </w:pPr>
    </w:p>
    <w:p w14:paraId="3A65B487"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AC2206">
        <w:rPr>
          <w:rFonts w:ascii="Arial" w:eastAsia="Times New Roman" w:hAnsi="Arial" w:cs="Arial"/>
          <w:b/>
          <w:bCs/>
          <w:sz w:val="24"/>
          <w:szCs w:val="24"/>
        </w:rPr>
        <w:t>A 103711: Grisia = 5.000,00 EUR</w:t>
      </w:r>
    </w:p>
    <w:p w14:paraId="6ACB6878"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sz w:val="24"/>
          <w:szCs w:val="24"/>
        </w:rPr>
        <w:t>Zakonska osnova:</w:t>
      </w:r>
      <w:r w:rsidRPr="00AC2206">
        <w:rPr>
          <w:rFonts w:ascii="Arial" w:eastAsia="Times New Roman" w:hAnsi="Arial" w:cs="Arial"/>
          <w:sz w:val="24"/>
          <w:szCs w:val="24"/>
        </w:rPr>
        <w:t xml:space="preserve"> </w:t>
      </w:r>
      <w:r w:rsidRPr="00AC2206">
        <w:rPr>
          <w:rFonts w:ascii="Arial" w:hAnsi="Arial" w:cs="Arial"/>
          <w:sz w:val="24"/>
          <w:szCs w:val="24"/>
        </w:rPr>
        <w:t>Zakon o muzejima, Zakon o ustanovama, Zakon o kulturnim vijećima i financiranju javnih potreba u kulturi, Zakon o lokalnoj i područnoj (regionalnoj) samoupravi.</w:t>
      </w:r>
    </w:p>
    <w:p w14:paraId="1873C419" w14:textId="77777777" w:rsidR="00E541EE" w:rsidRDefault="00E541EE" w:rsidP="00E541EE">
      <w:pPr>
        <w:jc w:val="both"/>
        <w:rPr>
          <w:rFonts w:ascii="Arial" w:hAnsi="Arial" w:cs="Arial"/>
          <w:sz w:val="24"/>
          <w:szCs w:val="24"/>
        </w:rPr>
      </w:pPr>
      <w:r w:rsidRPr="00DF447C">
        <w:rPr>
          <w:rFonts w:ascii="Arial" w:eastAsia="Times New Roman" w:hAnsi="Arial" w:cs="Arial"/>
          <w:b/>
          <w:sz w:val="24"/>
          <w:szCs w:val="24"/>
        </w:rPr>
        <w:t xml:space="preserve">Opis: </w:t>
      </w:r>
      <w:r w:rsidRPr="00DF447C">
        <w:rPr>
          <w:rFonts w:ascii="Arial" w:hAnsi="Arial" w:cs="Arial"/>
          <w:sz w:val="24"/>
          <w:szCs w:val="24"/>
        </w:rPr>
        <w:t xml:space="preserve">U suradnji Pučkog otvorenog učilišta Grada Rovinja - Rovigno i Muzeja grada Rovinja-Rovigno i u 2026. godini organizirat će se izložba Grisia. POU preuzima organizacijski dio programa dok je Muzej zadužen za njegov stručni dio. Rad kojemu se dodijeli prva (otkupna) nagrada ostaje u fundusu Muzeja. </w:t>
      </w:r>
    </w:p>
    <w:p w14:paraId="2C36BA57" w14:textId="77777777" w:rsidR="00E541EE" w:rsidRPr="00DF447C" w:rsidRDefault="00E541EE" w:rsidP="00E541EE">
      <w:pPr>
        <w:jc w:val="both"/>
        <w:rPr>
          <w:rFonts w:ascii="Arial" w:hAnsi="Arial" w:cs="Arial"/>
          <w:sz w:val="24"/>
          <w:szCs w:val="24"/>
        </w:rPr>
      </w:pPr>
      <w:r w:rsidRPr="00AC2206">
        <w:rPr>
          <w:rFonts w:ascii="Arial" w:hAnsi="Arial" w:cs="Arial"/>
          <w:b/>
          <w:sz w:val="24"/>
          <w:szCs w:val="24"/>
        </w:rPr>
        <w:t xml:space="preserve">Opći cilj: </w:t>
      </w:r>
      <w:r w:rsidRPr="00AC2206">
        <w:rPr>
          <w:rFonts w:ascii="Arial" w:hAnsi="Arial" w:cs="Arial"/>
          <w:sz w:val="24"/>
          <w:szCs w:val="24"/>
        </w:rPr>
        <w:t>obogaćivanje kulturne ponude</w:t>
      </w:r>
      <w:r>
        <w:rPr>
          <w:rFonts w:ascii="Arial" w:hAnsi="Arial" w:cs="Arial"/>
          <w:sz w:val="24"/>
          <w:szCs w:val="24"/>
        </w:rPr>
        <w:t xml:space="preserve"> visokokvalitetnim sadržajima</w:t>
      </w:r>
    </w:p>
    <w:p w14:paraId="4A976B7B" w14:textId="77777777" w:rsidR="00E541EE" w:rsidRDefault="00E541EE" w:rsidP="00E541EE">
      <w:pPr>
        <w:jc w:val="both"/>
        <w:rPr>
          <w:rFonts w:ascii="Arial" w:eastAsia="Times New Roman" w:hAnsi="Arial" w:cs="Arial"/>
          <w:b/>
          <w:sz w:val="24"/>
          <w:szCs w:val="24"/>
        </w:rPr>
      </w:pPr>
      <w:r w:rsidRPr="00AC2206">
        <w:rPr>
          <w:rFonts w:ascii="Arial" w:eastAsia="Times New Roman" w:hAnsi="Arial" w:cs="Arial"/>
          <w:b/>
          <w:bCs/>
          <w:sz w:val="24"/>
          <w:szCs w:val="24"/>
        </w:rPr>
        <w:t>Pokazatelj uspješnosti</w:t>
      </w:r>
      <w:r w:rsidRPr="00AC2206">
        <w:rPr>
          <w:rFonts w:ascii="Arial" w:eastAsia="Times New Roman" w:hAnsi="Arial" w:cs="Arial"/>
          <w:b/>
          <w:sz w:val="24"/>
          <w:szCs w:val="24"/>
        </w:rPr>
        <w:t>:</w:t>
      </w:r>
      <w:r w:rsidRPr="00AC2206">
        <w:rPr>
          <w:rFonts w:ascii="Arial" w:eastAsia="Times New Roman" w:hAnsi="Arial" w:cs="Arial"/>
          <w:sz w:val="24"/>
          <w:szCs w:val="24"/>
        </w:rPr>
        <w:t xml:space="preserve"> </w:t>
      </w:r>
      <w:r>
        <w:rPr>
          <w:rFonts w:ascii="Arial" w:eastAsia="Times New Roman" w:hAnsi="Arial" w:cs="Arial"/>
          <w:sz w:val="24"/>
          <w:szCs w:val="24"/>
        </w:rPr>
        <w:t>realizirana aktivnost</w:t>
      </w:r>
    </w:p>
    <w:p w14:paraId="2E03194A" w14:textId="77777777" w:rsidR="00E541EE" w:rsidRPr="00531EAA" w:rsidRDefault="00E541EE" w:rsidP="00E541EE">
      <w:pPr>
        <w:jc w:val="both"/>
        <w:rPr>
          <w:rFonts w:ascii="Arial" w:eastAsia="Times New Roman" w:hAnsi="Arial" w:cs="Arial"/>
          <w:b/>
          <w:sz w:val="24"/>
          <w:szCs w:val="24"/>
        </w:rPr>
      </w:pPr>
    </w:p>
    <w:p w14:paraId="47EDE9EC"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AC2206">
        <w:rPr>
          <w:rFonts w:ascii="Arial" w:eastAsia="Times New Roman" w:hAnsi="Arial" w:cs="Arial"/>
          <w:b/>
          <w:bCs/>
          <w:sz w:val="24"/>
          <w:szCs w:val="24"/>
        </w:rPr>
        <w:t>K 103702: Rekonstrukcija i opremanje prostora = 2</w:t>
      </w:r>
      <w:r>
        <w:rPr>
          <w:rFonts w:ascii="Arial" w:eastAsia="Times New Roman" w:hAnsi="Arial" w:cs="Arial"/>
          <w:b/>
          <w:bCs/>
          <w:sz w:val="24"/>
          <w:szCs w:val="24"/>
        </w:rPr>
        <w:t>35</w:t>
      </w:r>
      <w:r w:rsidRPr="00AC2206">
        <w:rPr>
          <w:rFonts w:ascii="Arial" w:eastAsia="Times New Roman" w:hAnsi="Arial" w:cs="Arial"/>
          <w:b/>
          <w:bCs/>
          <w:sz w:val="24"/>
          <w:szCs w:val="24"/>
        </w:rPr>
        <w:t>.</w:t>
      </w:r>
      <w:r>
        <w:rPr>
          <w:rFonts w:ascii="Arial" w:eastAsia="Times New Roman" w:hAnsi="Arial" w:cs="Arial"/>
          <w:b/>
          <w:bCs/>
          <w:sz w:val="24"/>
          <w:szCs w:val="24"/>
        </w:rPr>
        <w:t>0</w:t>
      </w:r>
      <w:r w:rsidRPr="00AC2206">
        <w:rPr>
          <w:rFonts w:ascii="Arial" w:eastAsia="Times New Roman" w:hAnsi="Arial" w:cs="Arial"/>
          <w:b/>
          <w:bCs/>
          <w:sz w:val="24"/>
          <w:szCs w:val="24"/>
        </w:rPr>
        <w:t>00,00 EUR</w:t>
      </w:r>
    </w:p>
    <w:p w14:paraId="0D33EBDD"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sz w:val="24"/>
          <w:szCs w:val="24"/>
        </w:rPr>
        <w:t>Zakonska osnova:</w:t>
      </w:r>
      <w:r w:rsidRPr="00AC2206">
        <w:rPr>
          <w:rFonts w:ascii="Arial" w:eastAsia="Times New Roman" w:hAnsi="Arial" w:cs="Arial"/>
          <w:sz w:val="24"/>
          <w:szCs w:val="24"/>
        </w:rPr>
        <w:t xml:space="preserve"> Zakon o  muzejima, Zakon o lokalnoj i područnoj (regionalnoj) samoupravi</w:t>
      </w:r>
    </w:p>
    <w:p w14:paraId="1BEC2AB2" w14:textId="77777777" w:rsidR="00E541EE" w:rsidRDefault="00E541EE" w:rsidP="00E541EE">
      <w:pPr>
        <w:jc w:val="both"/>
        <w:rPr>
          <w:rFonts w:ascii="Arial" w:hAnsi="Arial" w:cs="Arial"/>
          <w:sz w:val="24"/>
          <w:szCs w:val="24"/>
        </w:rPr>
      </w:pPr>
      <w:r w:rsidRPr="00AC2206">
        <w:rPr>
          <w:rFonts w:ascii="Arial" w:eastAsia="Times New Roman" w:hAnsi="Arial" w:cs="Arial"/>
          <w:b/>
          <w:sz w:val="24"/>
          <w:szCs w:val="24"/>
        </w:rPr>
        <w:t>Opis:</w:t>
      </w:r>
      <w:r w:rsidRPr="00AC2206">
        <w:rPr>
          <w:rFonts w:ascii="Arial" w:eastAsia="Times New Roman" w:hAnsi="Arial" w:cs="Arial"/>
          <w:sz w:val="24"/>
          <w:szCs w:val="24"/>
        </w:rPr>
        <w:t xml:space="preserve"> </w:t>
      </w:r>
      <w:r>
        <w:rPr>
          <w:rFonts w:ascii="Arial" w:hAnsi="Arial" w:cs="Arial"/>
          <w:sz w:val="24"/>
          <w:szCs w:val="24"/>
        </w:rPr>
        <w:t>u</w:t>
      </w:r>
      <w:r w:rsidRPr="00DF447C">
        <w:rPr>
          <w:rFonts w:ascii="Arial" w:hAnsi="Arial" w:cs="Arial"/>
          <w:sz w:val="24"/>
          <w:szCs w:val="24"/>
        </w:rPr>
        <w:t xml:space="preserve"> 2026. godini nastavljaju se radovi na sanaciji oslikane stropne žbuke i međukatne konstrukcije između II. i III.</w:t>
      </w:r>
      <w:r>
        <w:rPr>
          <w:rFonts w:ascii="Arial" w:hAnsi="Arial" w:cs="Arial"/>
          <w:sz w:val="24"/>
          <w:szCs w:val="24"/>
        </w:rPr>
        <w:t>kata.</w:t>
      </w:r>
    </w:p>
    <w:p w14:paraId="4E2EA4FD" w14:textId="77777777" w:rsidR="00E541EE" w:rsidRPr="00AC2206" w:rsidRDefault="00E541EE" w:rsidP="00E541EE">
      <w:pPr>
        <w:jc w:val="both"/>
        <w:rPr>
          <w:rFonts w:ascii="Arial" w:hAnsi="Arial" w:cs="Arial"/>
          <w:sz w:val="24"/>
          <w:szCs w:val="24"/>
        </w:rPr>
      </w:pPr>
      <w:r>
        <w:rPr>
          <w:rFonts w:ascii="Arial" w:hAnsi="Arial" w:cs="Arial"/>
          <w:sz w:val="24"/>
          <w:szCs w:val="24"/>
        </w:rPr>
        <w:t>Sredstva se osiguravaju iz općih prihoda i primitaka (120.000,00 eura), vlastitih prihoda (35.000,00 eura) te Ministarstva kulture i medija (80.000,00 eura)</w:t>
      </w:r>
    </w:p>
    <w:p w14:paraId="6E7C4BD5" w14:textId="77777777" w:rsidR="00E541EE" w:rsidRPr="00AC2206" w:rsidRDefault="00E541EE" w:rsidP="00E541EE">
      <w:pPr>
        <w:rPr>
          <w:rFonts w:ascii="Arial" w:hAnsi="Arial" w:cs="Arial"/>
          <w:sz w:val="24"/>
          <w:szCs w:val="24"/>
        </w:rPr>
      </w:pPr>
      <w:r w:rsidRPr="00AC2206">
        <w:rPr>
          <w:rFonts w:ascii="Arial" w:eastAsia="Times New Roman" w:hAnsi="Arial" w:cs="Arial"/>
          <w:b/>
          <w:bCs/>
          <w:kern w:val="4"/>
          <w:sz w:val="24"/>
          <w:szCs w:val="24"/>
        </w:rPr>
        <w:t>Opći cilj</w:t>
      </w:r>
      <w:r w:rsidRPr="00AC2206">
        <w:rPr>
          <w:rFonts w:ascii="Arial" w:eastAsia="Times New Roman" w:hAnsi="Arial" w:cs="Arial"/>
          <w:b/>
          <w:kern w:val="4"/>
          <w:sz w:val="24"/>
          <w:szCs w:val="24"/>
        </w:rPr>
        <w:t>:</w:t>
      </w:r>
      <w:r w:rsidRPr="00AC2206">
        <w:rPr>
          <w:rFonts w:ascii="Arial" w:eastAsia="Times New Roman" w:hAnsi="Arial" w:cs="Arial"/>
          <w:kern w:val="4"/>
          <w:sz w:val="24"/>
          <w:szCs w:val="24"/>
        </w:rPr>
        <w:t xml:space="preserve"> stvaranje preduvjeta za obnovu Muzeja i postavljanje prvog stalnog postava koji će prikazivati povijest Rovinja od prapovijesti nadalje.</w:t>
      </w:r>
      <w:r w:rsidRPr="00AC2206">
        <w:rPr>
          <w:rFonts w:ascii="Arial" w:eastAsia="Times New Roman" w:hAnsi="Arial" w:cs="Arial"/>
          <w:kern w:val="4"/>
          <w:sz w:val="24"/>
          <w:szCs w:val="24"/>
        </w:rPr>
        <w:br/>
      </w:r>
      <w:r w:rsidRPr="00AC2206">
        <w:rPr>
          <w:rFonts w:ascii="Arial" w:eastAsia="Times New Roman" w:hAnsi="Arial" w:cs="Arial"/>
          <w:b/>
          <w:bCs/>
          <w:sz w:val="24"/>
          <w:szCs w:val="24"/>
        </w:rPr>
        <w:t>Pokazatelj uspješnosti</w:t>
      </w:r>
      <w:r w:rsidRPr="00AC2206">
        <w:rPr>
          <w:rFonts w:ascii="Arial" w:eastAsia="Times New Roman" w:hAnsi="Arial" w:cs="Arial"/>
          <w:b/>
          <w:sz w:val="24"/>
          <w:szCs w:val="24"/>
        </w:rPr>
        <w:t>:</w:t>
      </w:r>
      <w:r w:rsidRPr="00AC2206">
        <w:rPr>
          <w:rFonts w:ascii="Arial" w:eastAsia="Times New Roman" w:hAnsi="Arial" w:cs="Arial"/>
          <w:sz w:val="24"/>
          <w:szCs w:val="24"/>
        </w:rPr>
        <w:t xml:space="preserve"> realizirane planirane aktivnosti.</w:t>
      </w:r>
    </w:p>
    <w:p w14:paraId="317626FC" w14:textId="77777777" w:rsidR="00E541EE" w:rsidRPr="00AC2206" w:rsidRDefault="00E541EE" w:rsidP="00E541EE">
      <w:pPr>
        <w:jc w:val="both"/>
        <w:rPr>
          <w:rFonts w:ascii="Arial" w:eastAsia="Times New Roman" w:hAnsi="Arial" w:cs="Arial"/>
          <w:b/>
          <w:sz w:val="24"/>
          <w:szCs w:val="24"/>
        </w:rPr>
      </w:pPr>
    </w:p>
    <w:p w14:paraId="1CC26E16" w14:textId="77777777" w:rsidR="00E541EE" w:rsidRPr="00AC2206" w:rsidRDefault="00E541EE" w:rsidP="00E541EE">
      <w:pPr>
        <w:pBdr>
          <w:top w:val="single" w:sz="4" w:space="1" w:color="auto"/>
          <w:left w:val="single" w:sz="4" w:space="4" w:color="auto"/>
          <w:bottom w:val="single" w:sz="4" w:space="2" w:color="auto"/>
          <w:right w:val="single" w:sz="4" w:space="4" w:color="auto"/>
        </w:pBdr>
        <w:shd w:val="clear" w:color="auto" w:fill="E9E9E9"/>
        <w:ind w:right="-1"/>
        <w:rPr>
          <w:rFonts w:ascii="Arial" w:eastAsia="Times New Roman" w:hAnsi="Arial" w:cs="Arial"/>
          <w:b/>
          <w:sz w:val="24"/>
          <w:szCs w:val="24"/>
        </w:rPr>
      </w:pPr>
      <w:r w:rsidRPr="00AC2206">
        <w:rPr>
          <w:rFonts w:ascii="Arial" w:eastAsia="Times New Roman" w:hAnsi="Arial" w:cs="Arial"/>
          <w:b/>
          <w:sz w:val="24"/>
          <w:szCs w:val="24"/>
        </w:rPr>
        <w:t xml:space="preserve">A 103715: Muzejske zbirke i dokumentacija = </w:t>
      </w:r>
      <w:r>
        <w:rPr>
          <w:rFonts w:ascii="Arial" w:eastAsia="Times New Roman" w:hAnsi="Arial" w:cs="Arial"/>
          <w:b/>
          <w:sz w:val="24"/>
          <w:szCs w:val="24"/>
        </w:rPr>
        <w:t>55</w:t>
      </w:r>
      <w:r w:rsidRPr="00AC2206">
        <w:rPr>
          <w:rFonts w:ascii="Arial" w:eastAsia="Times New Roman" w:hAnsi="Arial" w:cs="Arial"/>
          <w:b/>
          <w:sz w:val="24"/>
          <w:szCs w:val="24"/>
        </w:rPr>
        <w:t>.</w:t>
      </w:r>
      <w:r>
        <w:rPr>
          <w:rFonts w:ascii="Arial" w:eastAsia="Times New Roman" w:hAnsi="Arial" w:cs="Arial"/>
          <w:b/>
          <w:sz w:val="24"/>
          <w:szCs w:val="24"/>
        </w:rPr>
        <w:t>80</w:t>
      </w:r>
      <w:r w:rsidRPr="00AC2206">
        <w:rPr>
          <w:rFonts w:ascii="Arial" w:eastAsia="Times New Roman" w:hAnsi="Arial" w:cs="Arial"/>
          <w:b/>
          <w:sz w:val="24"/>
          <w:szCs w:val="24"/>
        </w:rPr>
        <w:t>0,00 EUR</w:t>
      </w:r>
    </w:p>
    <w:p w14:paraId="6A0601FB"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sz w:val="24"/>
          <w:szCs w:val="24"/>
        </w:rPr>
        <w:t>Zakonska osnova:</w:t>
      </w:r>
      <w:r w:rsidRPr="00AC2206">
        <w:rPr>
          <w:rFonts w:ascii="Arial" w:eastAsia="Times New Roman" w:hAnsi="Arial" w:cs="Arial"/>
          <w:sz w:val="24"/>
          <w:szCs w:val="24"/>
        </w:rPr>
        <w:t xml:space="preserve"> Zakon o  muzejima, Zakon o zaštiti i očuvanju kulturnih dobara,  Zakon o kulturnim vijećima i financiranju javnih potreba u kulturi.</w:t>
      </w:r>
    </w:p>
    <w:p w14:paraId="0386D8AC" w14:textId="77777777" w:rsidR="00E541EE" w:rsidRPr="003A2645" w:rsidRDefault="00E541EE" w:rsidP="00E541EE">
      <w:pPr>
        <w:jc w:val="both"/>
        <w:rPr>
          <w:rFonts w:ascii="Arial" w:hAnsi="Arial" w:cs="Arial"/>
          <w:sz w:val="24"/>
          <w:szCs w:val="24"/>
        </w:rPr>
      </w:pPr>
      <w:r w:rsidRPr="00DF447C">
        <w:rPr>
          <w:rFonts w:ascii="Arial" w:eastAsia="Times New Roman" w:hAnsi="Arial" w:cs="Arial"/>
          <w:b/>
          <w:sz w:val="24"/>
          <w:szCs w:val="24"/>
        </w:rPr>
        <w:t>Opis</w:t>
      </w:r>
      <w:r w:rsidRPr="003A2645">
        <w:rPr>
          <w:rFonts w:ascii="Arial" w:eastAsia="Times New Roman" w:hAnsi="Arial" w:cs="Arial"/>
          <w:b/>
          <w:sz w:val="24"/>
          <w:szCs w:val="24"/>
        </w:rPr>
        <w:t>:</w:t>
      </w:r>
      <w:r w:rsidRPr="003A2645">
        <w:rPr>
          <w:rFonts w:ascii="Arial" w:eastAsia="Times New Roman" w:hAnsi="Arial" w:cs="Arial"/>
          <w:sz w:val="24"/>
          <w:szCs w:val="24"/>
        </w:rPr>
        <w:t xml:space="preserve"> </w:t>
      </w:r>
      <w:r w:rsidRPr="003A2645">
        <w:rPr>
          <w:rFonts w:ascii="Arial" w:hAnsi="Arial" w:cs="Arial"/>
          <w:sz w:val="24"/>
          <w:szCs w:val="24"/>
        </w:rPr>
        <w:t>Iz planiranih sredstva financirat će se preventivna zaštita i restauracija muzejske građe te otkupi muzejskih predmeta. Nastavlja se i s digitalizacijom građe čime se pridonosi očuvanju i prezentaciji građe u digitalnom okruženju.</w:t>
      </w:r>
    </w:p>
    <w:p w14:paraId="6732F3D5" w14:textId="77777777" w:rsidR="00E541EE" w:rsidRPr="00AC2206" w:rsidRDefault="00E541EE" w:rsidP="00E541EE">
      <w:pPr>
        <w:jc w:val="both"/>
        <w:rPr>
          <w:rFonts w:ascii="Arial" w:hAnsi="Arial" w:cs="Arial"/>
          <w:sz w:val="24"/>
          <w:szCs w:val="24"/>
        </w:rPr>
      </w:pPr>
      <w:r w:rsidRPr="00AC2206">
        <w:rPr>
          <w:rFonts w:ascii="Arial" w:eastAsia="Times New Roman" w:hAnsi="Arial" w:cs="Arial"/>
          <w:b/>
          <w:bCs/>
          <w:sz w:val="24"/>
          <w:szCs w:val="24"/>
        </w:rPr>
        <w:t>Opći cilj</w:t>
      </w:r>
      <w:r w:rsidRPr="00AC2206">
        <w:rPr>
          <w:rFonts w:ascii="Arial" w:eastAsia="Times New Roman" w:hAnsi="Arial" w:cs="Arial"/>
          <w:b/>
          <w:sz w:val="24"/>
          <w:szCs w:val="24"/>
        </w:rPr>
        <w:t xml:space="preserve">:  </w:t>
      </w:r>
      <w:r w:rsidRPr="00AC2206">
        <w:rPr>
          <w:rFonts w:ascii="Arial" w:eastAsia="Times New Roman" w:hAnsi="Arial" w:cs="Arial"/>
          <w:sz w:val="24"/>
          <w:szCs w:val="24"/>
        </w:rPr>
        <w:t>zaštita muzejske građe.</w:t>
      </w:r>
    </w:p>
    <w:p w14:paraId="28C118CF" w14:textId="77777777" w:rsidR="00E541EE" w:rsidRDefault="00E541EE" w:rsidP="00E541EE">
      <w:pPr>
        <w:jc w:val="both"/>
        <w:rPr>
          <w:rFonts w:ascii="Arial" w:eastAsia="Times New Roman" w:hAnsi="Arial" w:cs="Arial"/>
          <w:sz w:val="24"/>
          <w:szCs w:val="24"/>
        </w:rPr>
      </w:pPr>
      <w:r w:rsidRPr="00AC2206">
        <w:rPr>
          <w:rFonts w:ascii="Arial" w:eastAsia="Times New Roman" w:hAnsi="Arial" w:cs="Arial"/>
          <w:b/>
          <w:sz w:val="24"/>
          <w:szCs w:val="24"/>
        </w:rPr>
        <w:t>Pokazatelj uspješnosti:</w:t>
      </w:r>
      <w:r w:rsidRPr="00AC2206">
        <w:rPr>
          <w:rFonts w:ascii="Arial" w:eastAsia="Times New Roman" w:hAnsi="Arial" w:cs="Arial"/>
          <w:sz w:val="24"/>
          <w:szCs w:val="24"/>
        </w:rPr>
        <w:t xml:space="preserve"> osiguranje primjerenih uvjeta za zaštitu i čuvanje muzejske građe i muzejske dokumentacije.</w:t>
      </w:r>
    </w:p>
    <w:p w14:paraId="12E17C4B" w14:textId="77777777" w:rsidR="00E541EE" w:rsidRDefault="00E541EE" w:rsidP="00E541EE">
      <w:pPr>
        <w:jc w:val="both"/>
        <w:rPr>
          <w:rFonts w:ascii="Arial" w:eastAsia="Times New Roman" w:hAnsi="Arial" w:cs="Arial"/>
          <w:sz w:val="24"/>
          <w:szCs w:val="24"/>
        </w:rPr>
      </w:pPr>
    </w:p>
    <w:p w14:paraId="6F69FA79" w14:textId="77777777" w:rsidR="00E541EE" w:rsidRPr="00AC2206" w:rsidRDefault="00E541EE" w:rsidP="00E541EE">
      <w:pPr>
        <w:jc w:val="both"/>
        <w:rPr>
          <w:rFonts w:ascii="Arial" w:eastAsia="Times New Roman" w:hAnsi="Arial" w:cs="Arial"/>
          <w:sz w:val="24"/>
          <w:szCs w:val="24"/>
        </w:rPr>
      </w:pPr>
    </w:p>
    <w:p w14:paraId="4FBADAC2" w14:textId="40DD6906"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FFD5EA"/>
        <w:jc w:val="both"/>
        <w:rPr>
          <w:rFonts w:ascii="Arial" w:eastAsia="Times New Roman" w:hAnsi="Arial" w:cs="Arial"/>
          <w:b/>
          <w:sz w:val="24"/>
          <w:szCs w:val="24"/>
        </w:rPr>
      </w:pPr>
      <w:r w:rsidRPr="00261EBF">
        <w:rPr>
          <w:rFonts w:ascii="Arial" w:eastAsia="Times New Roman" w:hAnsi="Arial" w:cs="Arial"/>
          <w:b/>
          <w:sz w:val="24"/>
          <w:szCs w:val="24"/>
        </w:rPr>
        <w:t>Proračunski korisnik: Kuća o batani - Casa della batana  = 367.000,00 EUR</w:t>
      </w:r>
    </w:p>
    <w:p w14:paraId="4E672668" w14:textId="77777777" w:rsidR="00E541EE" w:rsidRPr="00AC2206" w:rsidRDefault="00E541EE" w:rsidP="00E541EE">
      <w:pPr>
        <w:jc w:val="both"/>
        <w:rPr>
          <w:rFonts w:ascii="Arial" w:eastAsia="Times New Roman" w:hAnsi="Arial" w:cs="Arial"/>
          <w:sz w:val="24"/>
          <w:szCs w:val="24"/>
        </w:rPr>
      </w:pPr>
    </w:p>
    <w:p w14:paraId="66394D21"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rPr>
          <w:rFonts w:ascii="Arial" w:eastAsia="Times New Roman" w:hAnsi="Arial" w:cs="Arial"/>
          <w:b/>
          <w:bCs/>
          <w:sz w:val="24"/>
          <w:szCs w:val="24"/>
        </w:rPr>
      </w:pPr>
      <w:r w:rsidRPr="00AC2206">
        <w:rPr>
          <w:rFonts w:ascii="Arial" w:eastAsia="Times New Roman" w:hAnsi="Arial" w:cs="Arial"/>
          <w:b/>
          <w:bCs/>
          <w:sz w:val="24"/>
          <w:szCs w:val="24"/>
        </w:rPr>
        <w:t xml:space="preserve">A 103717: Redovan rad ustanove u kulturi = </w:t>
      </w:r>
      <w:r>
        <w:rPr>
          <w:rFonts w:ascii="Arial" w:eastAsia="Times New Roman" w:hAnsi="Arial" w:cs="Arial"/>
          <w:b/>
          <w:bCs/>
          <w:sz w:val="24"/>
          <w:szCs w:val="24"/>
        </w:rPr>
        <w:t>219.000</w:t>
      </w:r>
      <w:r w:rsidRPr="00AC2206">
        <w:rPr>
          <w:rFonts w:ascii="Arial" w:eastAsia="Times New Roman" w:hAnsi="Arial" w:cs="Arial"/>
          <w:b/>
          <w:bCs/>
          <w:sz w:val="24"/>
          <w:szCs w:val="24"/>
        </w:rPr>
        <w:t>,00 EUR</w:t>
      </w:r>
    </w:p>
    <w:p w14:paraId="3F50D3AA"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Zakonska osnova:</w:t>
      </w:r>
      <w:r w:rsidRPr="00AC2206">
        <w:rPr>
          <w:rFonts w:ascii="Arial" w:eastAsia="Times New Roman" w:hAnsi="Arial" w:cs="Arial"/>
          <w:sz w:val="24"/>
          <w:szCs w:val="24"/>
        </w:rPr>
        <w:t xml:space="preserve"> Zakon o lokalnoj i područnoj (regionalnoj) samoupravi,  Zakon o ustanovama.</w:t>
      </w:r>
    </w:p>
    <w:p w14:paraId="1AD4F115" w14:textId="77777777" w:rsidR="00E541EE" w:rsidRPr="00A16251" w:rsidRDefault="00E541EE" w:rsidP="00E541EE">
      <w:pPr>
        <w:jc w:val="both"/>
        <w:rPr>
          <w:rFonts w:ascii="Arial" w:hAnsi="Arial" w:cs="Arial"/>
          <w:sz w:val="24"/>
          <w:szCs w:val="24"/>
        </w:rPr>
      </w:pPr>
      <w:r w:rsidRPr="00AC2206">
        <w:rPr>
          <w:rFonts w:ascii="Arial" w:eastAsia="Times New Roman" w:hAnsi="Arial" w:cs="Arial"/>
          <w:b/>
          <w:sz w:val="24"/>
          <w:szCs w:val="24"/>
        </w:rPr>
        <w:t>Opis:</w:t>
      </w:r>
      <w:r w:rsidRPr="00AC2206">
        <w:rPr>
          <w:rFonts w:ascii="Arial" w:eastAsia="Times New Roman" w:hAnsi="Arial" w:cs="Arial"/>
          <w:sz w:val="24"/>
          <w:szCs w:val="24"/>
        </w:rPr>
        <w:t xml:space="preserve"> </w:t>
      </w:r>
      <w:r w:rsidRPr="00A16251">
        <w:rPr>
          <w:rFonts w:ascii="Arial" w:hAnsi="Arial" w:cs="Arial"/>
          <w:sz w:val="24"/>
          <w:szCs w:val="24"/>
        </w:rPr>
        <w:t xml:space="preserve">Sukladno Zakonu o muzejima sredstva za redovan rad ustanove osigurava osnivač. </w:t>
      </w:r>
    </w:p>
    <w:p w14:paraId="763181AD" w14:textId="77777777" w:rsidR="00E541EE" w:rsidRPr="00A16251" w:rsidRDefault="00E541EE" w:rsidP="00E541EE">
      <w:pPr>
        <w:jc w:val="both"/>
        <w:rPr>
          <w:rFonts w:ascii="Arial" w:hAnsi="Arial" w:cs="Arial"/>
          <w:sz w:val="24"/>
          <w:szCs w:val="24"/>
        </w:rPr>
      </w:pPr>
      <w:r w:rsidRPr="00A16251">
        <w:rPr>
          <w:rFonts w:ascii="Arial" w:hAnsi="Arial" w:cs="Arial"/>
          <w:sz w:val="24"/>
          <w:szCs w:val="24"/>
        </w:rPr>
        <w:t>Trenutno su u ustanovi zaposlene tri osobe, i to ravnateljica i voditeljica suvenirnice na puno radno vrijeme, te voditeljica promoviranja i arhive na pola radnog vremena. U tekućoj godini planira se zaposliti i kućni majstor na pola radnog vremen</w:t>
      </w:r>
      <w:r>
        <w:rPr>
          <w:rFonts w:ascii="Arial" w:hAnsi="Arial" w:cs="Arial"/>
          <w:sz w:val="24"/>
          <w:szCs w:val="24"/>
        </w:rPr>
        <w:t>a</w:t>
      </w:r>
      <w:r w:rsidRPr="00A16251">
        <w:rPr>
          <w:rFonts w:ascii="Arial" w:hAnsi="Arial" w:cs="Arial"/>
          <w:sz w:val="24"/>
          <w:szCs w:val="24"/>
        </w:rPr>
        <w:t>, dok se u 2026. godini planira zaposliti čista</w:t>
      </w:r>
      <w:r>
        <w:rPr>
          <w:rFonts w:ascii="Arial" w:hAnsi="Arial" w:cs="Arial"/>
          <w:sz w:val="24"/>
          <w:szCs w:val="24"/>
        </w:rPr>
        <w:t>č</w:t>
      </w:r>
      <w:r w:rsidRPr="00A16251">
        <w:rPr>
          <w:rFonts w:ascii="Arial" w:hAnsi="Arial" w:cs="Arial"/>
          <w:sz w:val="24"/>
          <w:szCs w:val="24"/>
        </w:rPr>
        <w:t>ica isto na pola radnog vremena. U prijedlog plana dodana je plaća za novo</w:t>
      </w:r>
      <w:r>
        <w:rPr>
          <w:rFonts w:ascii="Arial" w:hAnsi="Arial" w:cs="Arial"/>
          <w:sz w:val="24"/>
          <w:szCs w:val="24"/>
        </w:rPr>
        <w:t xml:space="preserve"> </w:t>
      </w:r>
      <w:r w:rsidRPr="00A16251">
        <w:rPr>
          <w:rFonts w:ascii="Arial" w:hAnsi="Arial" w:cs="Arial"/>
          <w:sz w:val="24"/>
          <w:szCs w:val="24"/>
        </w:rPr>
        <w:t>radno mjesto. Bitan porast troškova za plaće zaposlenih u odnosu na 2025. godinu odnosi se na planirano novo zaposlenje, te na ukupan period od 12.mjeseci obzirom da je u 2025. godini zapošljavanje novih radnika uslijedilo u 2. periodu godine. U projekcijama za 2027. i 2028. godinu nije predviđen bitan rast  rashoda za zaposlene.</w:t>
      </w:r>
    </w:p>
    <w:p w14:paraId="6448BBE3" w14:textId="77777777" w:rsidR="00E541EE" w:rsidRPr="00A16251" w:rsidRDefault="00E541EE" w:rsidP="00E541EE">
      <w:pPr>
        <w:jc w:val="both"/>
        <w:rPr>
          <w:rFonts w:ascii="Arial" w:hAnsi="Arial" w:cs="Arial"/>
          <w:sz w:val="24"/>
          <w:szCs w:val="24"/>
        </w:rPr>
      </w:pPr>
      <w:r w:rsidRPr="00A16251">
        <w:rPr>
          <w:rFonts w:ascii="Arial" w:hAnsi="Arial" w:cs="Arial"/>
          <w:sz w:val="24"/>
          <w:szCs w:val="24"/>
        </w:rPr>
        <w:t>Materijalni rashodi za 2026. godinu isto rastu u odnosu na prethodnu godinu, zbog povećanja broja zaposlenih (stručna usavršavanja, prijevozni troškovi, uredski materijal i sl.), zbog nove dugotrajne imovine (službeni auto, auto prikolica, računovodstveni programi, oprema) koja zahtjeva dodatna sredstva za održavanje (tekuće održavanje, energija, ostali troškovi).</w:t>
      </w:r>
    </w:p>
    <w:p w14:paraId="555CDEFC" w14:textId="77777777" w:rsidR="00E541EE" w:rsidRPr="00A16251" w:rsidRDefault="00E541EE" w:rsidP="00E541EE">
      <w:pPr>
        <w:jc w:val="both"/>
        <w:rPr>
          <w:rFonts w:ascii="Arial" w:hAnsi="Arial" w:cs="Arial"/>
          <w:sz w:val="24"/>
          <w:szCs w:val="24"/>
        </w:rPr>
      </w:pPr>
      <w:r w:rsidRPr="00A16251">
        <w:rPr>
          <w:rFonts w:ascii="Arial" w:hAnsi="Arial" w:cs="Arial"/>
          <w:sz w:val="24"/>
          <w:szCs w:val="24"/>
        </w:rPr>
        <w:t>Zakupnine i najamnine se odnose na godišnji zakup muzejskih prostora Casa del pescador i Casa del sapador.</w:t>
      </w:r>
    </w:p>
    <w:p w14:paraId="66E35C7C" w14:textId="77777777" w:rsidR="00E541EE" w:rsidRPr="00A16251" w:rsidRDefault="00E541EE" w:rsidP="00E541EE">
      <w:pPr>
        <w:jc w:val="both"/>
        <w:rPr>
          <w:rFonts w:ascii="Arial" w:hAnsi="Arial" w:cs="Arial"/>
          <w:sz w:val="24"/>
          <w:szCs w:val="24"/>
        </w:rPr>
      </w:pPr>
      <w:r w:rsidRPr="00A16251">
        <w:rPr>
          <w:rFonts w:ascii="Arial" w:hAnsi="Arial" w:cs="Arial"/>
          <w:sz w:val="24"/>
          <w:szCs w:val="24"/>
        </w:rPr>
        <w:t>Intelektualne usluge predstavljaju značajnu stavku u materijalnim rashodima, a oni uključuju računovodstvene usluge , informatičke usluge i usluge promidžbe.</w:t>
      </w:r>
    </w:p>
    <w:p w14:paraId="3B5FF350" w14:textId="77777777" w:rsidR="00E541EE" w:rsidRDefault="00E541EE" w:rsidP="00E541EE">
      <w:pPr>
        <w:jc w:val="both"/>
        <w:rPr>
          <w:rFonts w:ascii="Arial" w:eastAsia="Times New Roman" w:hAnsi="Arial" w:cs="Arial"/>
          <w:sz w:val="24"/>
          <w:szCs w:val="24"/>
        </w:rPr>
      </w:pPr>
      <w:r w:rsidRPr="00A16251">
        <w:rPr>
          <w:rFonts w:ascii="Arial" w:hAnsi="Arial" w:cs="Arial"/>
          <w:sz w:val="24"/>
          <w:szCs w:val="24"/>
        </w:rPr>
        <w:t>U projekcijama za 2027. i 2028. godinu nije predviđen bitan rast materijalnih rashoda. Redovan rad ustanove u kulturi planira se iz općih prihoda i primitka Grada Rovinj-Rovigno</w:t>
      </w:r>
    </w:p>
    <w:p w14:paraId="6B061DF9"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Opći cilj</w:t>
      </w:r>
      <w:r w:rsidRPr="00AC2206">
        <w:rPr>
          <w:rFonts w:ascii="Arial" w:eastAsia="Times New Roman" w:hAnsi="Arial" w:cs="Arial"/>
          <w:b/>
          <w:sz w:val="24"/>
          <w:szCs w:val="24"/>
        </w:rPr>
        <w:t>:</w:t>
      </w:r>
      <w:r w:rsidRPr="00AC2206">
        <w:rPr>
          <w:rFonts w:ascii="Arial" w:eastAsia="Times New Roman" w:hAnsi="Arial" w:cs="Arial"/>
          <w:sz w:val="24"/>
          <w:szCs w:val="24"/>
        </w:rPr>
        <w:t xml:space="preserve"> financiranje redovne djelatnosti ustanove.</w:t>
      </w:r>
    </w:p>
    <w:p w14:paraId="64B8D875" w14:textId="77777777" w:rsidR="00E541EE" w:rsidRPr="00AC2206" w:rsidRDefault="00E541EE" w:rsidP="00E541EE">
      <w:pPr>
        <w:jc w:val="both"/>
        <w:rPr>
          <w:rFonts w:ascii="Arial" w:eastAsia="Times New Roman" w:hAnsi="Arial" w:cs="Arial"/>
          <w:b/>
          <w:sz w:val="24"/>
          <w:szCs w:val="24"/>
        </w:rPr>
      </w:pPr>
      <w:r w:rsidRPr="00AC2206">
        <w:rPr>
          <w:rFonts w:ascii="Arial" w:eastAsia="Times New Roman" w:hAnsi="Arial" w:cs="Arial"/>
          <w:b/>
          <w:bCs/>
          <w:sz w:val="24"/>
          <w:szCs w:val="24"/>
        </w:rPr>
        <w:t>Pokazatelj uspješnosti</w:t>
      </w:r>
      <w:r w:rsidRPr="00AC2206">
        <w:rPr>
          <w:rFonts w:ascii="Arial" w:eastAsia="Times New Roman" w:hAnsi="Arial" w:cs="Arial"/>
          <w:b/>
          <w:sz w:val="24"/>
          <w:szCs w:val="24"/>
        </w:rPr>
        <w:t>:</w:t>
      </w:r>
      <w:r w:rsidRPr="00AC2206">
        <w:rPr>
          <w:rFonts w:ascii="Arial" w:eastAsia="Times New Roman" w:hAnsi="Arial" w:cs="Arial"/>
          <w:sz w:val="24"/>
          <w:szCs w:val="24"/>
        </w:rPr>
        <w:t xml:space="preserve"> ostvareni uvjeti za redovno funkcioniranje ustanove.</w:t>
      </w:r>
    </w:p>
    <w:p w14:paraId="2254FC36" w14:textId="77777777" w:rsidR="00E541EE" w:rsidRPr="00AC2206" w:rsidRDefault="00E541EE" w:rsidP="00E541EE">
      <w:pPr>
        <w:jc w:val="both"/>
        <w:rPr>
          <w:rFonts w:ascii="Arial" w:eastAsia="Times New Roman" w:hAnsi="Arial" w:cs="Arial"/>
          <w:sz w:val="24"/>
          <w:szCs w:val="24"/>
        </w:rPr>
      </w:pPr>
    </w:p>
    <w:p w14:paraId="315C7930"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AC2206">
        <w:rPr>
          <w:rFonts w:ascii="Arial" w:eastAsia="Times New Roman" w:hAnsi="Arial" w:cs="Arial"/>
          <w:b/>
          <w:bCs/>
          <w:sz w:val="24"/>
          <w:szCs w:val="24"/>
        </w:rPr>
        <w:t xml:space="preserve">A 103718: Posebni programi ustanove = </w:t>
      </w:r>
      <w:r>
        <w:rPr>
          <w:rFonts w:ascii="Arial" w:eastAsia="Times New Roman" w:hAnsi="Arial" w:cs="Arial"/>
          <w:b/>
          <w:bCs/>
          <w:sz w:val="24"/>
          <w:szCs w:val="24"/>
        </w:rPr>
        <w:t>126</w:t>
      </w:r>
      <w:r w:rsidRPr="00AC2206">
        <w:rPr>
          <w:rFonts w:ascii="Arial" w:eastAsia="Times New Roman" w:hAnsi="Arial" w:cs="Arial"/>
          <w:b/>
          <w:bCs/>
          <w:sz w:val="24"/>
          <w:szCs w:val="24"/>
        </w:rPr>
        <w:t>.</w:t>
      </w:r>
      <w:r>
        <w:rPr>
          <w:rFonts w:ascii="Arial" w:eastAsia="Times New Roman" w:hAnsi="Arial" w:cs="Arial"/>
          <w:b/>
          <w:bCs/>
          <w:sz w:val="24"/>
          <w:szCs w:val="24"/>
        </w:rPr>
        <w:t>50</w:t>
      </w:r>
      <w:r w:rsidRPr="00AC2206">
        <w:rPr>
          <w:rFonts w:ascii="Arial" w:eastAsia="Times New Roman" w:hAnsi="Arial" w:cs="Arial"/>
          <w:b/>
          <w:bCs/>
          <w:sz w:val="24"/>
          <w:szCs w:val="24"/>
        </w:rPr>
        <w:t>0,00 EUR</w:t>
      </w:r>
    </w:p>
    <w:p w14:paraId="43A1EA8C" w14:textId="77777777" w:rsidR="00E541EE" w:rsidRPr="00AC2206" w:rsidRDefault="00E541EE" w:rsidP="00E541EE">
      <w:pPr>
        <w:jc w:val="both"/>
        <w:rPr>
          <w:rFonts w:ascii="Arial" w:eastAsia="Times New Roman" w:hAnsi="Arial" w:cs="Arial"/>
          <w:sz w:val="24"/>
          <w:szCs w:val="24"/>
          <w:highlight w:val="yellow"/>
        </w:rPr>
      </w:pPr>
      <w:r w:rsidRPr="00AC2206">
        <w:rPr>
          <w:rFonts w:ascii="Arial" w:eastAsia="Times New Roman" w:hAnsi="Arial" w:cs="Arial"/>
          <w:b/>
          <w:bCs/>
          <w:sz w:val="24"/>
          <w:szCs w:val="24"/>
        </w:rPr>
        <w:t>Zakonska osnova:</w:t>
      </w:r>
      <w:r w:rsidRPr="00AC2206">
        <w:rPr>
          <w:rFonts w:ascii="Arial" w:eastAsia="Times New Roman" w:hAnsi="Arial" w:cs="Arial"/>
          <w:sz w:val="24"/>
          <w:szCs w:val="24"/>
        </w:rPr>
        <w:t xml:space="preserve"> Zakon o ustanovama </w:t>
      </w:r>
    </w:p>
    <w:p w14:paraId="35AFDAF8" w14:textId="77777777" w:rsidR="00E541EE" w:rsidRDefault="00E541EE" w:rsidP="00E541EE">
      <w:pPr>
        <w:pStyle w:val="Bezproreda"/>
        <w:jc w:val="both"/>
        <w:rPr>
          <w:rFonts w:ascii="Arial" w:eastAsia="Times New Roman" w:hAnsi="Arial" w:cs="Arial"/>
          <w:sz w:val="24"/>
          <w:szCs w:val="24"/>
        </w:rPr>
      </w:pPr>
      <w:r w:rsidRPr="00AC2206">
        <w:rPr>
          <w:rFonts w:ascii="Arial" w:eastAsia="Times New Roman" w:hAnsi="Arial" w:cs="Arial"/>
          <w:b/>
          <w:sz w:val="24"/>
          <w:szCs w:val="24"/>
        </w:rPr>
        <w:t>Opis:</w:t>
      </w:r>
      <w:r w:rsidRPr="00AC2206">
        <w:rPr>
          <w:rFonts w:ascii="Arial" w:eastAsia="Times New Roman" w:hAnsi="Arial" w:cs="Arial"/>
          <w:sz w:val="24"/>
          <w:szCs w:val="24"/>
        </w:rPr>
        <w:t xml:space="preserve"> </w:t>
      </w:r>
      <w:r w:rsidRPr="00A16251">
        <w:rPr>
          <w:rFonts w:ascii="Arial" w:eastAsia="Times New Roman" w:hAnsi="Arial" w:cs="Arial"/>
          <w:sz w:val="24"/>
          <w:szCs w:val="24"/>
        </w:rPr>
        <w:t xml:space="preserve">Prema prijedlogu financijskog plana za 2026. godinu planirano je bitno povećanje aktivnosti vezanih uz posebne programe, koji se financiraju iz </w:t>
      </w:r>
      <w:r>
        <w:rPr>
          <w:rFonts w:ascii="Arial" w:eastAsia="Times New Roman" w:hAnsi="Arial" w:cs="Arial"/>
          <w:sz w:val="24"/>
          <w:szCs w:val="24"/>
        </w:rPr>
        <w:t>gradskog proračuna (100.500,00 eura), iz vlastitih prihoda (18.000,00 eura) te iz donacija (8.000,00 eura)</w:t>
      </w:r>
    </w:p>
    <w:p w14:paraId="36703B54" w14:textId="77777777" w:rsidR="00E541EE" w:rsidRPr="00A16251" w:rsidRDefault="00E541EE" w:rsidP="00E541EE">
      <w:pPr>
        <w:pStyle w:val="Bezproreda"/>
        <w:jc w:val="both"/>
        <w:rPr>
          <w:rFonts w:ascii="Arial" w:eastAsia="Times New Roman" w:hAnsi="Arial" w:cs="Arial"/>
          <w:sz w:val="24"/>
          <w:szCs w:val="24"/>
        </w:rPr>
      </w:pPr>
      <w:r w:rsidRPr="00A16251">
        <w:rPr>
          <w:rFonts w:ascii="Arial" w:eastAsia="Times New Roman" w:hAnsi="Arial" w:cs="Arial"/>
          <w:sz w:val="24"/>
          <w:szCs w:val="24"/>
        </w:rPr>
        <w:t xml:space="preserve">Planirani programi jesu: </w:t>
      </w:r>
    </w:p>
    <w:p w14:paraId="0AA0DA30" w14:textId="77777777" w:rsidR="00E541EE" w:rsidRPr="00A16251" w:rsidRDefault="00E541EE" w:rsidP="00E541EE">
      <w:pPr>
        <w:pStyle w:val="Bezproreda"/>
        <w:numPr>
          <w:ilvl w:val="0"/>
          <w:numId w:val="8"/>
        </w:numPr>
        <w:jc w:val="both"/>
        <w:rPr>
          <w:rFonts w:ascii="Arial" w:hAnsi="Arial" w:cs="Arial"/>
          <w:sz w:val="24"/>
          <w:szCs w:val="24"/>
        </w:rPr>
      </w:pPr>
      <w:r w:rsidRPr="00A16251">
        <w:rPr>
          <w:rFonts w:ascii="Arial" w:eastAsia="Times New Roman" w:hAnsi="Arial" w:cs="Arial"/>
          <w:sz w:val="24"/>
          <w:szCs w:val="24"/>
        </w:rPr>
        <w:t xml:space="preserve">Noć muzeja 2026. </w:t>
      </w:r>
    </w:p>
    <w:p w14:paraId="57DF20A7" w14:textId="77777777" w:rsidR="00E541EE" w:rsidRPr="00A16251" w:rsidRDefault="00E541EE" w:rsidP="00E541EE">
      <w:pPr>
        <w:pStyle w:val="Bezproreda"/>
        <w:numPr>
          <w:ilvl w:val="0"/>
          <w:numId w:val="8"/>
        </w:numPr>
        <w:jc w:val="both"/>
        <w:rPr>
          <w:rFonts w:ascii="Arial" w:hAnsi="Arial" w:cs="Arial"/>
          <w:sz w:val="24"/>
          <w:szCs w:val="24"/>
        </w:rPr>
      </w:pPr>
      <w:r w:rsidRPr="00A16251">
        <w:rPr>
          <w:rFonts w:ascii="Arial" w:eastAsia="Times New Roman" w:hAnsi="Arial" w:cs="Arial"/>
          <w:sz w:val="24"/>
          <w:szCs w:val="24"/>
        </w:rPr>
        <w:t xml:space="preserve">Karneval 2026. </w:t>
      </w:r>
    </w:p>
    <w:p w14:paraId="25F48FDF" w14:textId="77777777" w:rsidR="00E541EE" w:rsidRPr="00A16251" w:rsidRDefault="00E541EE" w:rsidP="00E541EE">
      <w:pPr>
        <w:pStyle w:val="Bezproreda"/>
        <w:numPr>
          <w:ilvl w:val="0"/>
          <w:numId w:val="8"/>
        </w:numPr>
        <w:jc w:val="both"/>
        <w:rPr>
          <w:rFonts w:ascii="Arial" w:hAnsi="Arial" w:cs="Arial"/>
          <w:sz w:val="24"/>
          <w:szCs w:val="24"/>
        </w:rPr>
      </w:pPr>
      <w:r w:rsidRPr="00A16251">
        <w:rPr>
          <w:rFonts w:ascii="Arial" w:eastAsia="Times New Roman" w:hAnsi="Arial" w:cs="Arial"/>
          <w:sz w:val="24"/>
          <w:szCs w:val="24"/>
        </w:rPr>
        <w:t xml:space="preserve">Izložba 8. mart  </w:t>
      </w:r>
    </w:p>
    <w:p w14:paraId="32401263" w14:textId="77777777" w:rsidR="00E541EE" w:rsidRPr="00A16251" w:rsidRDefault="00E541EE" w:rsidP="00E541EE">
      <w:pPr>
        <w:pStyle w:val="Bezproreda"/>
        <w:numPr>
          <w:ilvl w:val="0"/>
          <w:numId w:val="8"/>
        </w:numPr>
        <w:jc w:val="both"/>
        <w:rPr>
          <w:rFonts w:ascii="Arial" w:hAnsi="Arial" w:cs="Arial"/>
          <w:sz w:val="24"/>
          <w:szCs w:val="24"/>
        </w:rPr>
      </w:pPr>
      <w:r w:rsidRPr="00A16251">
        <w:rPr>
          <w:rFonts w:ascii="Arial" w:eastAsia="Times New Roman" w:hAnsi="Arial" w:cs="Arial"/>
          <w:sz w:val="24"/>
          <w:szCs w:val="24"/>
        </w:rPr>
        <w:t xml:space="preserve">Mala škola – mali moreplovci </w:t>
      </w:r>
    </w:p>
    <w:p w14:paraId="5F0E3887" w14:textId="77777777" w:rsidR="00E541EE" w:rsidRPr="00A16251" w:rsidRDefault="00E541EE" w:rsidP="00E541EE">
      <w:pPr>
        <w:pStyle w:val="Bezproreda"/>
        <w:numPr>
          <w:ilvl w:val="0"/>
          <w:numId w:val="8"/>
        </w:numPr>
        <w:jc w:val="both"/>
        <w:rPr>
          <w:rFonts w:ascii="Arial" w:hAnsi="Arial" w:cs="Arial"/>
          <w:sz w:val="24"/>
          <w:szCs w:val="24"/>
        </w:rPr>
      </w:pPr>
      <w:r w:rsidRPr="00A16251">
        <w:rPr>
          <w:rFonts w:ascii="Arial" w:eastAsia="Times New Roman" w:hAnsi="Arial" w:cs="Arial"/>
          <w:sz w:val="24"/>
          <w:szCs w:val="24"/>
        </w:rPr>
        <w:t xml:space="preserve">Uskrs 2026. </w:t>
      </w:r>
    </w:p>
    <w:p w14:paraId="3F9B87B5" w14:textId="77777777" w:rsidR="00E541EE" w:rsidRPr="00A16251" w:rsidRDefault="00E541EE" w:rsidP="00E541EE">
      <w:pPr>
        <w:pStyle w:val="Bezproreda"/>
        <w:numPr>
          <w:ilvl w:val="0"/>
          <w:numId w:val="8"/>
        </w:numPr>
        <w:jc w:val="both"/>
        <w:rPr>
          <w:rFonts w:ascii="Arial" w:hAnsi="Arial" w:cs="Arial"/>
          <w:sz w:val="24"/>
          <w:szCs w:val="24"/>
        </w:rPr>
      </w:pPr>
      <w:r w:rsidRPr="00A16251">
        <w:rPr>
          <w:rFonts w:ascii="Arial" w:eastAsia="Times New Roman" w:hAnsi="Arial" w:cs="Arial"/>
          <w:sz w:val="24"/>
          <w:szCs w:val="24"/>
        </w:rPr>
        <w:t xml:space="preserve">5. </w:t>
      </w:r>
      <w:r>
        <w:rPr>
          <w:rFonts w:ascii="Arial" w:eastAsia="Times New Roman" w:hAnsi="Arial" w:cs="Arial"/>
          <w:sz w:val="24"/>
          <w:szCs w:val="24"/>
        </w:rPr>
        <w:t>obljetnica</w:t>
      </w:r>
      <w:r w:rsidRPr="00A16251">
        <w:rPr>
          <w:rFonts w:ascii="Arial" w:eastAsia="Times New Roman" w:hAnsi="Arial" w:cs="Arial"/>
          <w:sz w:val="24"/>
          <w:szCs w:val="24"/>
        </w:rPr>
        <w:t xml:space="preserve"> ustanove </w:t>
      </w:r>
    </w:p>
    <w:p w14:paraId="4CB1FD79" w14:textId="77777777" w:rsidR="00E541EE" w:rsidRPr="00A16251" w:rsidRDefault="00E541EE" w:rsidP="00E541EE">
      <w:pPr>
        <w:pStyle w:val="Bezproreda"/>
        <w:numPr>
          <w:ilvl w:val="0"/>
          <w:numId w:val="8"/>
        </w:numPr>
        <w:jc w:val="both"/>
        <w:rPr>
          <w:rFonts w:ascii="Arial" w:hAnsi="Arial" w:cs="Arial"/>
          <w:sz w:val="24"/>
          <w:szCs w:val="24"/>
        </w:rPr>
      </w:pPr>
      <w:r w:rsidRPr="00A16251">
        <w:rPr>
          <w:rFonts w:ascii="Arial" w:eastAsia="Times New Roman" w:hAnsi="Arial" w:cs="Arial"/>
          <w:sz w:val="24"/>
          <w:szCs w:val="24"/>
        </w:rPr>
        <w:t xml:space="preserve">20. regata </w:t>
      </w:r>
    </w:p>
    <w:p w14:paraId="6355F92D" w14:textId="77777777" w:rsidR="00E541EE" w:rsidRPr="00A16251" w:rsidRDefault="00E541EE" w:rsidP="00E541EE">
      <w:pPr>
        <w:pStyle w:val="Bezproreda"/>
        <w:numPr>
          <w:ilvl w:val="0"/>
          <w:numId w:val="8"/>
        </w:numPr>
        <w:jc w:val="both"/>
        <w:rPr>
          <w:rFonts w:ascii="Arial" w:hAnsi="Arial" w:cs="Arial"/>
          <w:sz w:val="24"/>
          <w:szCs w:val="24"/>
        </w:rPr>
      </w:pPr>
      <w:r w:rsidRPr="00A16251">
        <w:rPr>
          <w:rFonts w:ascii="Arial" w:eastAsia="Times New Roman" w:hAnsi="Arial" w:cs="Arial"/>
          <w:sz w:val="24"/>
          <w:szCs w:val="24"/>
        </w:rPr>
        <w:t xml:space="preserve">Ljeto 2026. – tematske večeri </w:t>
      </w:r>
    </w:p>
    <w:p w14:paraId="7445149A" w14:textId="77777777" w:rsidR="00E541EE" w:rsidRPr="00A16251" w:rsidRDefault="00E541EE" w:rsidP="00E541EE">
      <w:pPr>
        <w:pStyle w:val="Bezproreda"/>
        <w:numPr>
          <w:ilvl w:val="0"/>
          <w:numId w:val="8"/>
        </w:numPr>
        <w:jc w:val="both"/>
        <w:rPr>
          <w:rFonts w:ascii="Arial" w:hAnsi="Arial" w:cs="Arial"/>
          <w:sz w:val="24"/>
          <w:szCs w:val="24"/>
        </w:rPr>
      </w:pPr>
      <w:r w:rsidRPr="00A16251">
        <w:rPr>
          <w:rFonts w:ascii="Arial" w:eastAsia="Times New Roman" w:hAnsi="Arial" w:cs="Arial"/>
          <w:sz w:val="24"/>
          <w:szCs w:val="24"/>
        </w:rPr>
        <w:t xml:space="preserve">Konferencija pomorske baštine </w:t>
      </w:r>
    </w:p>
    <w:p w14:paraId="19344F4F" w14:textId="77777777" w:rsidR="00E541EE" w:rsidRPr="00A16251" w:rsidRDefault="00E541EE" w:rsidP="00E541EE">
      <w:pPr>
        <w:pStyle w:val="Bezproreda"/>
        <w:numPr>
          <w:ilvl w:val="0"/>
          <w:numId w:val="8"/>
        </w:numPr>
        <w:jc w:val="both"/>
        <w:rPr>
          <w:rFonts w:ascii="Arial" w:hAnsi="Arial" w:cs="Arial"/>
          <w:sz w:val="24"/>
          <w:szCs w:val="24"/>
        </w:rPr>
      </w:pPr>
      <w:r w:rsidRPr="00A16251">
        <w:rPr>
          <w:rFonts w:ascii="Arial" w:eastAsia="Times New Roman" w:hAnsi="Arial" w:cs="Arial"/>
          <w:sz w:val="24"/>
          <w:szCs w:val="24"/>
        </w:rPr>
        <w:t xml:space="preserve">5. regata batana na vesla </w:t>
      </w:r>
    </w:p>
    <w:p w14:paraId="06D34AD1" w14:textId="77777777" w:rsidR="00E541EE" w:rsidRPr="00A16251" w:rsidRDefault="00E541EE" w:rsidP="00E541EE">
      <w:pPr>
        <w:pStyle w:val="Bezproreda"/>
        <w:numPr>
          <w:ilvl w:val="0"/>
          <w:numId w:val="8"/>
        </w:numPr>
        <w:jc w:val="both"/>
        <w:rPr>
          <w:rFonts w:ascii="Arial" w:hAnsi="Arial" w:cs="Arial"/>
          <w:sz w:val="24"/>
          <w:szCs w:val="24"/>
        </w:rPr>
      </w:pPr>
      <w:r w:rsidRPr="00A16251">
        <w:rPr>
          <w:rFonts w:ascii="Arial" w:eastAsia="Times New Roman" w:hAnsi="Arial" w:cs="Arial"/>
          <w:sz w:val="24"/>
          <w:szCs w:val="24"/>
        </w:rPr>
        <w:t xml:space="preserve">Dječji tjedan 2026. </w:t>
      </w:r>
    </w:p>
    <w:p w14:paraId="72E9E17B" w14:textId="77777777" w:rsidR="00E541EE" w:rsidRPr="00F343DF" w:rsidRDefault="00E541EE" w:rsidP="00E541EE">
      <w:pPr>
        <w:pStyle w:val="Bezproreda"/>
        <w:numPr>
          <w:ilvl w:val="0"/>
          <w:numId w:val="8"/>
        </w:numPr>
        <w:jc w:val="both"/>
        <w:rPr>
          <w:rFonts w:ascii="Arial" w:hAnsi="Arial" w:cs="Arial"/>
          <w:sz w:val="24"/>
          <w:szCs w:val="24"/>
        </w:rPr>
      </w:pPr>
      <w:r w:rsidRPr="00F343DF">
        <w:rPr>
          <w:rFonts w:ascii="Arial" w:eastAsia="Times New Roman" w:hAnsi="Arial" w:cs="Arial"/>
          <w:sz w:val="24"/>
          <w:szCs w:val="24"/>
        </w:rPr>
        <w:t xml:space="preserve">10. </w:t>
      </w:r>
      <w:r>
        <w:rPr>
          <w:rFonts w:ascii="Arial" w:eastAsia="Times New Roman" w:hAnsi="Arial" w:cs="Arial"/>
          <w:sz w:val="24"/>
          <w:szCs w:val="24"/>
        </w:rPr>
        <w:t>godišnjica</w:t>
      </w:r>
      <w:r w:rsidRPr="00F343DF">
        <w:rPr>
          <w:rFonts w:ascii="Arial" w:eastAsia="Times New Roman" w:hAnsi="Arial" w:cs="Arial"/>
          <w:sz w:val="24"/>
          <w:szCs w:val="24"/>
        </w:rPr>
        <w:t xml:space="preserve"> upisa </w:t>
      </w:r>
      <w:hyperlink r:id="rId10" w:history="1">
        <w:r w:rsidRPr="00261EBF">
          <w:rPr>
            <w:rStyle w:val="Hiperveza"/>
          </w:rPr>
          <w:t>Ekomuzeja „Batana“</w:t>
        </w:r>
      </w:hyperlink>
      <w:r w:rsidRPr="00261EBF">
        <w:rPr>
          <w:rFonts w:ascii="Arial" w:eastAsia="Times New Roman" w:hAnsi="Arial" w:cs="Arial"/>
          <w:sz w:val="24"/>
          <w:szCs w:val="24"/>
        </w:rPr>
        <w:t xml:space="preserve">  </w:t>
      </w:r>
      <w:r w:rsidRPr="00F343DF">
        <w:rPr>
          <w:rFonts w:ascii="Arial" w:eastAsia="Times New Roman" w:hAnsi="Arial" w:cs="Arial"/>
          <w:sz w:val="24"/>
          <w:szCs w:val="24"/>
        </w:rPr>
        <w:t>u UNESCO-ov Registar najboljih praksi očuvanja nematerijalne kulturne baštine,</w:t>
      </w:r>
    </w:p>
    <w:p w14:paraId="117C164F" w14:textId="77777777" w:rsidR="00E541EE" w:rsidRPr="00A16251" w:rsidRDefault="00E541EE" w:rsidP="00E541EE">
      <w:pPr>
        <w:pStyle w:val="Bezproreda"/>
        <w:numPr>
          <w:ilvl w:val="0"/>
          <w:numId w:val="8"/>
        </w:numPr>
        <w:jc w:val="both"/>
        <w:rPr>
          <w:rFonts w:ascii="Arial" w:hAnsi="Arial" w:cs="Arial"/>
          <w:sz w:val="24"/>
          <w:szCs w:val="24"/>
        </w:rPr>
      </w:pPr>
      <w:r w:rsidRPr="00A16251">
        <w:rPr>
          <w:rFonts w:ascii="Arial" w:eastAsia="Times New Roman" w:hAnsi="Arial" w:cs="Arial"/>
          <w:sz w:val="24"/>
          <w:szCs w:val="24"/>
        </w:rPr>
        <w:t xml:space="preserve">Festival Escale a Sete </w:t>
      </w:r>
    </w:p>
    <w:p w14:paraId="60709A75" w14:textId="77777777" w:rsidR="00E541EE" w:rsidRPr="00313F9B" w:rsidRDefault="00E541EE" w:rsidP="00E541EE">
      <w:pPr>
        <w:pStyle w:val="Bezproreda"/>
        <w:numPr>
          <w:ilvl w:val="0"/>
          <w:numId w:val="8"/>
        </w:numPr>
        <w:jc w:val="both"/>
        <w:rPr>
          <w:rFonts w:ascii="Arial" w:hAnsi="Arial" w:cs="Arial"/>
          <w:sz w:val="24"/>
          <w:szCs w:val="24"/>
        </w:rPr>
      </w:pPr>
      <w:r w:rsidRPr="00A16251">
        <w:rPr>
          <w:rFonts w:ascii="Arial" w:eastAsia="Times New Roman" w:hAnsi="Arial" w:cs="Arial"/>
          <w:sz w:val="24"/>
          <w:szCs w:val="24"/>
        </w:rPr>
        <w:t xml:space="preserve">Advent 2026. </w:t>
      </w:r>
    </w:p>
    <w:p w14:paraId="5AE25876"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Opći cilj</w:t>
      </w:r>
      <w:r w:rsidRPr="00AC2206">
        <w:rPr>
          <w:rFonts w:ascii="Arial" w:eastAsia="Times New Roman" w:hAnsi="Arial" w:cs="Arial"/>
          <w:b/>
          <w:sz w:val="24"/>
          <w:szCs w:val="24"/>
        </w:rPr>
        <w:t>:</w:t>
      </w:r>
      <w:r w:rsidRPr="00AC2206">
        <w:rPr>
          <w:rFonts w:ascii="Arial" w:eastAsia="Times New Roman" w:hAnsi="Arial" w:cs="Arial"/>
          <w:sz w:val="24"/>
          <w:szCs w:val="24"/>
        </w:rPr>
        <w:t xml:space="preserve"> promicanje i očuvanje kulturne baštine. </w:t>
      </w:r>
    </w:p>
    <w:p w14:paraId="38689E87" w14:textId="77777777" w:rsidR="00E541EE" w:rsidRPr="00AC2206" w:rsidRDefault="00E541EE" w:rsidP="00E541EE">
      <w:pPr>
        <w:jc w:val="both"/>
        <w:rPr>
          <w:rFonts w:ascii="Arial" w:eastAsia="Times New Roman" w:hAnsi="Arial" w:cs="Arial"/>
          <w:b/>
          <w:sz w:val="24"/>
          <w:szCs w:val="24"/>
        </w:rPr>
      </w:pPr>
      <w:r w:rsidRPr="00AC2206">
        <w:rPr>
          <w:rFonts w:ascii="Arial" w:eastAsia="Times New Roman" w:hAnsi="Arial" w:cs="Arial"/>
          <w:b/>
          <w:bCs/>
          <w:sz w:val="24"/>
          <w:szCs w:val="24"/>
        </w:rPr>
        <w:t>Pokazatelj uspješnosti</w:t>
      </w:r>
      <w:r w:rsidRPr="00AC2206">
        <w:rPr>
          <w:rFonts w:ascii="Arial" w:eastAsia="Times New Roman" w:hAnsi="Arial" w:cs="Arial"/>
          <w:b/>
          <w:sz w:val="24"/>
          <w:szCs w:val="24"/>
        </w:rPr>
        <w:t xml:space="preserve">: </w:t>
      </w:r>
      <w:r w:rsidRPr="00AC2206">
        <w:rPr>
          <w:rFonts w:ascii="Arial" w:eastAsia="Times New Roman" w:hAnsi="Arial" w:cs="Arial"/>
          <w:sz w:val="24"/>
          <w:szCs w:val="24"/>
        </w:rPr>
        <w:t>realizirane planirane aktivnosti, te praćenje pokazatelja.</w:t>
      </w:r>
    </w:p>
    <w:p w14:paraId="20967DF5" w14:textId="77777777" w:rsidR="00E541EE" w:rsidRPr="00AC2206" w:rsidRDefault="00E541EE" w:rsidP="00E541EE">
      <w:pPr>
        <w:jc w:val="both"/>
        <w:rPr>
          <w:rFonts w:ascii="Arial" w:eastAsia="Times New Roman" w:hAnsi="Arial" w:cs="Arial"/>
          <w:sz w:val="24"/>
          <w:szCs w:val="24"/>
        </w:rPr>
      </w:pPr>
    </w:p>
    <w:p w14:paraId="486ADC79"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AC2206">
        <w:rPr>
          <w:rFonts w:ascii="Arial" w:eastAsia="Times New Roman" w:hAnsi="Arial" w:cs="Arial"/>
          <w:b/>
          <w:bCs/>
          <w:sz w:val="24"/>
          <w:szCs w:val="24"/>
        </w:rPr>
        <w:t>K 103707: Opremanje  = 2</w:t>
      </w:r>
      <w:r>
        <w:rPr>
          <w:rFonts w:ascii="Arial" w:eastAsia="Times New Roman" w:hAnsi="Arial" w:cs="Arial"/>
          <w:b/>
          <w:bCs/>
          <w:sz w:val="24"/>
          <w:szCs w:val="24"/>
        </w:rPr>
        <w:t>1</w:t>
      </w:r>
      <w:r w:rsidRPr="00AC2206">
        <w:rPr>
          <w:rFonts w:ascii="Arial" w:eastAsia="Times New Roman" w:hAnsi="Arial" w:cs="Arial"/>
          <w:b/>
          <w:bCs/>
          <w:sz w:val="24"/>
          <w:szCs w:val="24"/>
        </w:rPr>
        <w:t>.</w:t>
      </w:r>
      <w:r>
        <w:rPr>
          <w:rFonts w:ascii="Arial" w:eastAsia="Times New Roman" w:hAnsi="Arial" w:cs="Arial"/>
          <w:b/>
          <w:bCs/>
          <w:sz w:val="24"/>
          <w:szCs w:val="24"/>
        </w:rPr>
        <w:t>50</w:t>
      </w:r>
      <w:r w:rsidRPr="00AC2206">
        <w:rPr>
          <w:rFonts w:ascii="Arial" w:eastAsia="Times New Roman" w:hAnsi="Arial" w:cs="Arial"/>
          <w:b/>
          <w:bCs/>
          <w:sz w:val="24"/>
          <w:szCs w:val="24"/>
        </w:rPr>
        <w:t>0,00 EUR</w:t>
      </w:r>
    </w:p>
    <w:p w14:paraId="4698D7D6"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Zakonska osnova:</w:t>
      </w:r>
      <w:r w:rsidRPr="00AC2206">
        <w:rPr>
          <w:rFonts w:ascii="Arial" w:eastAsia="Times New Roman" w:hAnsi="Arial" w:cs="Arial"/>
          <w:sz w:val="24"/>
          <w:szCs w:val="24"/>
        </w:rPr>
        <w:t xml:space="preserve"> Zakon o lokalnoj i područnoj (regionalnoj) samoupravi, Zakon o ustanovama.</w:t>
      </w:r>
    </w:p>
    <w:p w14:paraId="709D0A53" w14:textId="77777777" w:rsidR="00E541EE" w:rsidRPr="00A16251" w:rsidRDefault="00E541EE" w:rsidP="00E541EE">
      <w:pPr>
        <w:pStyle w:val="Bezproreda"/>
        <w:jc w:val="both"/>
        <w:rPr>
          <w:rFonts w:ascii="Arial" w:hAnsi="Arial" w:cs="Arial"/>
          <w:bCs/>
          <w:sz w:val="24"/>
          <w:szCs w:val="24"/>
        </w:rPr>
      </w:pPr>
      <w:r w:rsidRPr="00AC2206">
        <w:rPr>
          <w:rFonts w:ascii="Arial" w:eastAsia="Times New Roman" w:hAnsi="Arial" w:cs="Arial"/>
          <w:b/>
          <w:sz w:val="24"/>
          <w:szCs w:val="24"/>
        </w:rPr>
        <w:t>Opis:</w:t>
      </w:r>
      <w:r w:rsidRPr="00AC2206">
        <w:rPr>
          <w:rFonts w:ascii="Arial" w:eastAsia="Times New Roman" w:hAnsi="Arial" w:cs="Arial"/>
          <w:sz w:val="24"/>
          <w:szCs w:val="24"/>
        </w:rPr>
        <w:t xml:space="preserve"> </w:t>
      </w:r>
      <w:r w:rsidRPr="00A16251">
        <w:rPr>
          <w:rFonts w:ascii="Arial" w:hAnsi="Arial" w:cs="Arial"/>
          <w:bCs/>
          <w:sz w:val="24"/>
          <w:szCs w:val="24"/>
        </w:rPr>
        <w:t xml:space="preserve">Planiranim sredstvima osigurava se nabava uredskog namještaja i računala za prostorije ustanove te za uređenje građevine Škver, za nabavu računalnog programa za arhivu sa svrhom uspostave i razvoja arhive, zbirki i dokumentacijskog fonda kao temeljnog infrastrukturnog segmenta rada </w:t>
      </w:r>
      <w:r>
        <w:rPr>
          <w:rFonts w:ascii="Arial" w:hAnsi="Arial" w:cs="Arial"/>
          <w:bCs/>
          <w:sz w:val="24"/>
          <w:szCs w:val="24"/>
        </w:rPr>
        <w:t>E</w:t>
      </w:r>
      <w:r w:rsidRPr="00A16251">
        <w:rPr>
          <w:rFonts w:ascii="Arial" w:hAnsi="Arial" w:cs="Arial"/>
          <w:bCs/>
          <w:sz w:val="24"/>
          <w:szCs w:val="24"/>
        </w:rPr>
        <w:t>komuzeja i programa za Škver.</w:t>
      </w:r>
    </w:p>
    <w:p w14:paraId="53A20D55"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Opći cilj</w:t>
      </w:r>
      <w:r w:rsidRPr="00AC2206">
        <w:rPr>
          <w:rFonts w:ascii="Arial" w:eastAsia="Times New Roman" w:hAnsi="Arial" w:cs="Arial"/>
          <w:b/>
          <w:sz w:val="24"/>
          <w:szCs w:val="24"/>
        </w:rPr>
        <w:t xml:space="preserve">: </w:t>
      </w:r>
      <w:r w:rsidRPr="00AC2206">
        <w:rPr>
          <w:rFonts w:ascii="Arial" w:eastAsia="Times New Roman" w:hAnsi="Arial" w:cs="Arial"/>
          <w:sz w:val="24"/>
          <w:szCs w:val="24"/>
        </w:rPr>
        <w:t>osiguravanje uvjeta rada.</w:t>
      </w:r>
    </w:p>
    <w:p w14:paraId="0AE66766"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Pokazatelj uspješnosti</w:t>
      </w:r>
      <w:r w:rsidRPr="00AC2206">
        <w:rPr>
          <w:rFonts w:ascii="Arial" w:eastAsia="Times New Roman" w:hAnsi="Arial" w:cs="Arial"/>
          <w:b/>
          <w:sz w:val="24"/>
          <w:szCs w:val="24"/>
        </w:rPr>
        <w:t xml:space="preserve">: </w:t>
      </w:r>
      <w:r w:rsidRPr="00AC2206">
        <w:rPr>
          <w:rFonts w:ascii="Arial" w:eastAsia="Times New Roman" w:hAnsi="Arial" w:cs="Arial"/>
          <w:sz w:val="24"/>
          <w:szCs w:val="24"/>
        </w:rPr>
        <w:t xml:space="preserve">nabavljena oprema. </w:t>
      </w:r>
    </w:p>
    <w:p w14:paraId="44196EA6" w14:textId="77777777" w:rsidR="00E541EE" w:rsidRPr="00AC2206" w:rsidRDefault="00E541EE" w:rsidP="00E541EE">
      <w:pPr>
        <w:jc w:val="both"/>
        <w:rPr>
          <w:rFonts w:ascii="Times New Roman" w:eastAsia="Times New Roman" w:hAnsi="Times New Roman" w:cs="Times New Roman"/>
          <w:sz w:val="24"/>
          <w:szCs w:val="24"/>
        </w:rPr>
      </w:pPr>
    </w:p>
    <w:p w14:paraId="1EB6B1CB" w14:textId="14CFAC55"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FFD5EA"/>
        <w:jc w:val="both"/>
        <w:rPr>
          <w:rFonts w:ascii="Arial" w:eastAsia="Times New Roman" w:hAnsi="Arial" w:cs="Arial"/>
          <w:b/>
          <w:sz w:val="24"/>
          <w:szCs w:val="24"/>
        </w:rPr>
      </w:pPr>
      <w:r w:rsidRPr="00261EBF">
        <w:rPr>
          <w:rFonts w:ascii="Arial" w:eastAsia="Times New Roman" w:hAnsi="Arial" w:cs="Arial"/>
          <w:b/>
          <w:sz w:val="24"/>
          <w:szCs w:val="24"/>
        </w:rPr>
        <w:t xml:space="preserve">Proračunski korisnik: Gradska knjižnica </w:t>
      </w:r>
      <w:r w:rsidRPr="00261EBF">
        <w:rPr>
          <w:rFonts w:ascii="Arial" w:eastAsia="Times New Roman" w:hAnsi="Arial" w:cs="Arial"/>
          <w:sz w:val="24"/>
          <w:szCs w:val="24"/>
        </w:rPr>
        <w:t>„</w:t>
      </w:r>
      <w:r w:rsidRPr="00261EBF">
        <w:rPr>
          <w:rFonts w:ascii="Arial" w:eastAsia="Times New Roman" w:hAnsi="Arial" w:cs="Arial"/>
          <w:b/>
          <w:sz w:val="24"/>
          <w:szCs w:val="24"/>
        </w:rPr>
        <w:t>Matija Vlačić Ilirik</w:t>
      </w:r>
      <w:r w:rsidRPr="00261EBF">
        <w:rPr>
          <w:rFonts w:ascii="Arial" w:eastAsia="Times New Roman" w:hAnsi="Arial" w:cs="Arial"/>
          <w:sz w:val="24"/>
          <w:szCs w:val="24"/>
        </w:rPr>
        <w:t xml:space="preserve">“ </w:t>
      </w:r>
      <w:r w:rsidRPr="00261EBF">
        <w:rPr>
          <w:rFonts w:ascii="Arial" w:eastAsia="Times New Roman" w:hAnsi="Arial" w:cs="Arial"/>
          <w:b/>
          <w:sz w:val="24"/>
          <w:szCs w:val="24"/>
        </w:rPr>
        <w:t>Rovinj-Rovigno = 330.080,00 EUR</w:t>
      </w:r>
    </w:p>
    <w:p w14:paraId="61CF8A44" w14:textId="77777777" w:rsidR="00E541EE" w:rsidRPr="00AC2206" w:rsidRDefault="00E541EE" w:rsidP="00E541EE">
      <w:pPr>
        <w:rPr>
          <w:rFonts w:ascii="Arial" w:eastAsia="Times New Roman" w:hAnsi="Arial" w:cs="Arial"/>
          <w:sz w:val="24"/>
          <w:szCs w:val="24"/>
        </w:rPr>
      </w:pPr>
    </w:p>
    <w:p w14:paraId="71F84484"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rPr>
          <w:rFonts w:ascii="Arial" w:eastAsia="Times New Roman" w:hAnsi="Arial" w:cs="Arial"/>
          <w:b/>
          <w:bCs/>
          <w:sz w:val="24"/>
          <w:szCs w:val="24"/>
        </w:rPr>
      </w:pPr>
      <w:r w:rsidRPr="00AC2206">
        <w:rPr>
          <w:rFonts w:ascii="Arial" w:eastAsia="Times New Roman" w:hAnsi="Arial" w:cs="Arial"/>
          <w:b/>
          <w:bCs/>
          <w:sz w:val="24"/>
          <w:szCs w:val="24"/>
        </w:rPr>
        <w:t>A 103712: Redovan rad ustanove u kulturi = 2</w:t>
      </w:r>
      <w:r>
        <w:rPr>
          <w:rFonts w:ascii="Arial" w:eastAsia="Times New Roman" w:hAnsi="Arial" w:cs="Arial"/>
          <w:b/>
          <w:bCs/>
          <w:sz w:val="24"/>
          <w:szCs w:val="24"/>
        </w:rPr>
        <w:t>51</w:t>
      </w:r>
      <w:r w:rsidRPr="00AC2206">
        <w:rPr>
          <w:rFonts w:ascii="Arial" w:eastAsia="Times New Roman" w:hAnsi="Arial" w:cs="Arial"/>
          <w:b/>
          <w:bCs/>
          <w:sz w:val="24"/>
          <w:szCs w:val="24"/>
        </w:rPr>
        <w:t>.</w:t>
      </w:r>
      <w:r>
        <w:rPr>
          <w:rFonts w:ascii="Arial" w:eastAsia="Times New Roman" w:hAnsi="Arial" w:cs="Arial"/>
          <w:b/>
          <w:bCs/>
          <w:sz w:val="24"/>
          <w:szCs w:val="24"/>
        </w:rPr>
        <w:t>084</w:t>
      </w:r>
      <w:r w:rsidRPr="00AC2206">
        <w:rPr>
          <w:rFonts w:ascii="Arial" w:eastAsia="Times New Roman" w:hAnsi="Arial" w:cs="Arial"/>
          <w:b/>
          <w:bCs/>
          <w:sz w:val="24"/>
          <w:szCs w:val="24"/>
        </w:rPr>
        <w:t>,00 EUR</w:t>
      </w:r>
    </w:p>
    <w:p w14:paraId="5C6978C8"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Zakonska osnova:</w:t>
      </w:r>
      <w:r w:rsidRPr="00AC2206">
        <w:rPr>
          <w:rFonts w:ascii="Arial" w:eastAsia="Times New Roman" w:hAnsi="Arial" w:cs="Arial"/>
          <w:sz w:val="24"/>
          <w:szCs w:val="24"/>
        </w:rPr>
        <w:t xml:space="preserve"> Zakon o lokalnoj i područnoj (regionalnoj) samoupravi, Zakon o knjižnicama, Zakon o ustanovama.</w:t>
      </w:r>
    </w:p>
    <w:p w14:paraId="554B822C" w14:textId="77777777" w:rsidR="00E541EE" w:rsidRPr="004052EF" w:rsidRDefault="00E541EE" w:rsidP="00E541EE">
      <w:pPr>
        <w:pStyle w:val="Tijeloteksta"/>
        <w:rPr>
          <w:rFonts w:ascii="Arial" w:hAnsi="Arial" w:cs="Arial"/>
        </w:rPr>
      </w:pPr>
      <w:r w:rsidRPr="00AC2206">
        <w:rPr>
          <w:rFonts w:ascii="Arial" w:hAnsi="Arial" w:cs="Arial"/>
          <w:b/>
        </w:rPr>
        <w:t>Opis:</w:t>
      </w:r>
      <w:r w:rsidRPr="00AC2206">
        <w:rPr>
          <w:rFonts w:ascii="Arial" w:hAnsi="Arial" w:cs="Arial"/>
        </w:rPr>
        <w:t xml:space="preserve"> </w:t>
      </w:r>
      <w:r>
        <w:rPr>
          <w:rFonts w:ascii="Arial" w:hAnsi="Arial" w:cs="Arial"/>
        </w:rPr>
        <w:t>o</w:t>
      </w:r>
      <w:r w:rsidRPr="004052EF">
        <w:rPr>
          <w:rFonts w:ascii="Arial" w:hAnsi="Arial" w:cs="Arial"/>
        </w:rPr>
        <w:t>vim sredstvima osigurava se:</w:t>
      </w:r>
    </w:p>
    <w:p w14:paraId="4CCDB2F1" w14:textId="77777777" w:rsidR="00E541EE" w:rsidRPr="004052EF" w:rsidRDefault="00E541EE" w:rsidP="00E541EE">
      <w:pPr>
        <w:pStyle w:val="Tijeloteksta"/>
        <w:rPr>
          <w:rFonts w:ascii="Arial" w:hAnsi="Arial" w:cs="Arial"/>
        </w:rPr>
      </w:pPr>
      <w:r>
        <w:rPr>
          <w:rFonts w:ascii="Arial" w:hAnsi="Arial" w:cs="Arial"/>
        </w:rPr>
        <w:t>-</w:t>
      </w:r>
      <w:r w:rsidRPr="004052EF">
        <w:rPr>
          <w:rFonts w:ascii="Arial" w:hAnsi="Arial" w:cs="Arial"/>
        </w:rPr>
        <w:t>isplata plaća i ostalih davanja s osnova radnog odnosa za ukupno pet zaposlenika (tri diplomirana knjižničara, ravnateljicu i voditeljicu računovodstva i općih poslova)</w:t>
      </w:r>
    </w:p>
    <w:p w14:paraId="0A56A30B" w14:textId="77777777" w:rsidR="00E541EE" w:rsidRPr="004052EF" w:rsidRDefault="00E541EE" w:rsidP="00E541EE">
      <w:pPr>
        <w:pStyle w:val="Tijeloteksta"/>
        <w:rPr>
          <w:rFonts w:ascii="Arial" w:hAnsi="Arial" w:cs="Arial"/>
        </w:rPr>
      </w:pPr>
      <w:r>
        <w:rPr>
          <w:rFonts w:ascii="Arial" w:hAnsi="Arial" w:cs="Arial"/>
        </w:rPr>
        <w:t xml:space="preserve">- </w:t>
      </w:r>
      <w:r w:rsidRPr="004052EF">
        <w:rPr>
          <w:rFonts w:ascii="Arial" w:hAnsi="Arial" w:cs="Arial"/>
        </w:rPr>
        <w:t>plaćanje obveza koje proizlaze iz redovnog poslovanja ustanove: električna energija, uredski materijal, usluge (telefona, pošte, računalne – planira se osuvremenjivanje web stranice kao i implementacija novog loga, intelektualne, usluge održavanja i ostale usluge), financijski rashodi i osiguranje imovine.</w:t>
      </w:r>
    </w:p>
    <w:p w14:paraId="38B98828" w14:textId="77777777" w:rsidR="00E541EE" w:rsidRPr="004052EF" w:rsidRDefault="00E541EE" w:rsidP="00E541EE">
      <w:pPr>
        <w:jc w:val="both"/>
        <w:rPr>
          <w:rFonts w:ascii="Arial" w:hAnsi="Arial" w:cs="Arial"/>
          <w:sz w:val="24"/>
          <w:szCs w:val="24"/>
        </w:rPr>
      </w:pPr>
      <w:r w:rsidRPr="004052EF">
        <w:rPr>
          <w:rFonts w:ascii="Arial" w:hAnsi="Arial" w:cs="Arial"/>
          <w:sz w:val="24"/>
          <w:szCs w:val="24"/>
        </w:rPr>
        <w:t>Izvor financiranja je Grad Rovin</w:t>
      </w:r>
      <w:r>
        <w:rPr>
          <w:rFonts w:ascii="Arial" w:hAnsi="Arial" w:cs="Arial"/>
          <w:sz w:val="24"/>
          <w:szCs w:val="24"/>
        </w:rPr>
        <w:t>j-Rovigno</w:t>
      </w:r>
      <w:r w:rsidRPr="004052EF">
        <w:rPr>
          <w:rFonts w:ascii="Arial" w:hAnsi="Arial" w:cs="Arial"/>
          <w:sz w:val="24"/>
          <w:szCs w:val="24"/>
        </w:rPr>
        <w:t>,</w:t>
      </w:r>
      <w:r>
        <w:rPr>
          <w:rFonts w:ascii="Arial" w:hAnsi="Arial" w:cs="Arial"/>
          <w:sz w:val="24"/>
          <w:szCs w:val="24"/>
        </w:rPr>
        <w:t>a</w:t>
      </w:r>
      <w:r w:rsidRPr="004052EF">
        <w:rPr>
          <w:rFonts w:ascii="Arial" w:hAnsi="Arial" w:cs="Arial"/>
          <w:sz w:val="24"/>
          <w:szCs w:val="24"/>
        </w:rPr>
        <w:t xml:space="preserve"> za dio uredskog materijala i ostale materijalne troškove u iznosu od 2.000,00 </w:t>
      </w:r>
      <w:r>
        <w:rPr>
          <w:rFonts w:ascii="Arial" w:hAnsi="Arial" w:cs="Arial"/>
          <w:sz w:val="24"/>
          <w:szCs w:val="24"/>
        </w:rPr>
        <w:t>eura</w:t>
      </w:r>
      <w:r w:rsidRPr="004052EF">
        <w:rPr>
          <w:rFonts w:ascii="Arial" w:hAnsi="Arial" w:cs="Arial"/>
          <w:sz w:val="24"/>
          <w:szCs w:val="24"/>
        </w:rPr>
        <w:t xml:space="preserve"> Ustanova koristi vlastite prihode.</w:t>
      </w:r>
    </w:p>
    <w:p w14:paraId="40A931FC"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Opći cilj</w:t>
      </w:r>
      <w:r w:rsidRPr="00AC2206">
        <w:rPr>
          <w:rFonts w:ascii="Arial" w:eastAsia="Times New Roman" w:hAnsi="Arial" w:cs="Arial"/>
          <w:b/>
          <w:sz w:val="24"/>
          <w:szCs w:val="24"/>
        </w:rPr>
        <w:t>:</w:t>
      </w:r>
      <w:r w:rsidRPr="00AC2206">
        <w:rPr>
          <w:rFonts w:ascii="Arial" w:eastAsia="Times New Roman" w:hAnsi="Arial" w:cs="Arial"/>
          <w:sz w:val="24"/>
          <w:szCs w:val="24"/>
        </w:rPr>
        <w:t xml:space="preserve"> financiranje redovne djelatnosti ustanove.</w:t>
      </w:r>
    </w:p>
    <w:p w14:paraId="35EF6704" w14:textId="77777777" w:rsidR="00E541EE" w:rsidRPr="00AC2206" w:rsidRDefault="00E541EE" w:rsidP="00E541EE">
      <w:pPr>
        <w:jc w:val="both"/>
        <w:rPr>
          <w:rFonts w:ascii="Arial" w:eastAsia="Times New Roman" w:hAnsi="Arial" w:cs="Arial"/>
          <w:b/>
          <w:sz w:val="24"/>
          <w:szCs w:val="24"/>
        </w:rPr>
      </w:pPr>
      <w:r w:rsidRPr="00AC2206">
        <w:rPr>
          <w:rFonts w:ascii="Arial" w:eastAsia="Times New Roman" w:hAnsi="Arial" w:cs="Arial"/>
          <w:b/>
          <w:bCs/>
          <w:sz w:val="24"/>
          <w:szCs w:val="24"/>
        </w:rPr>
        <w:t>Pokazatelj uspješnosti</w:t>
      </w:r>
      <w:r w:rsidRPr="00AC2206">
        <w:rPr>
          <w:rFonts w:ascii="Arial" w:eastAsia="Times New Roman" w:hAnsi="Arial" w:cs="Arial"/>
          <w:b/>
          <w:sz w:val="24"/>
          <w:szCs w:val="24"/>
        </w:rPr>
        <w:t>:</w:t>
      </w:r>
      <w:r w:rsidRPr="00AC2206">
        <w:rPr>
          <w:rFonts w:ascii="Arial" w:eastAsia="Times New Roman" w:hAnsi="Arial" w:cs="Arial"/>
          <w:sz w:val="24"/>
          <w:szCs w:val="24"/>
        </w:rPr>
        <w:t xml:space="preserve"> ostvareni uvjeti za redovno funkcioniranje ustanove.</w:t>
      </w:r>
    </w:p>
    <w:p w14:paraId="3C4FCF75" w14:textId="77777777" w:rsidR="00E541EE" w:rsidRPr="00AC2206" w:rsidRDefault="00E541EE" w:rsidP="00E541EE">
      <w:pPr>
        <w:jc w:val="both"/>
        <w:rPr>
          <w:rFonts w:ascii="Arial" w:eastAsia="Times New Roman" w:hAnsi="Arial" w:cs="Arial"/>
          <w:iCs/>
          <w:sz w:val="24"/>
          <w:szCs w:val="24"/>
        </w:rPr>
      </w:pPr>
    </w:p>
    <w:p w14:paraId="5CD68E86"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AC2206">
        <w:rPr>
          <w:rFonts w:ascii="Arial" w:eastAsia="Times New Roman" w:hAnsi="Arial" w:cs="Arial"/>
          <w:b/>
          <w:bCs/>
          <w:sz w:val="24"/>
          <w:szCs w:val="24"/>
        </w:rPr>
        <w:t xml:space="preserve">A 103713: Posebni programi ustanove = </w:t>
      </w:r>
      <w:r>
        <w:rPr>
          <w:rFonts w:ascii="Arial" w:eastAsia="Times New Roman" w:hAnsi="Arial" w:cs="Arial"/>
          <w:b/>
          <w:bCs/>
          <w:sz w:val="24"/>
          <w:szCs w:val="24"/>
        </w:rPr>
        <w:t>9</w:t>
      </w:r>
      <w:r w:rsidRPr="00AC2206">
        <w:rPr>
          <w:rFonts w:ascii="Arial" w:eastAsia="Times New Roman" w:hAnsi="Arial" w:cs="Arial"/>
          <w:b/>
          <w:bCs/>
          <w:sz w:val="24"/>
          <w:szCs w:val="24"/>
        </w:rPr>
        <w:t>.</w:t>
      </w:r>
      <w:r>
        <w:rPr>
          <w:rFonts w:ascii="Arial" w:eastAsia="Times New Roman" w:hAnsi="Arial" w:cs="Arial"/>
          <w:b/>
          <w:bCs/>
          <w:sz w:val="24"/>
          <w:szCs w:val="24"/>
        </w:rPr>
        <w:t>6</w:t>
      </w:r>
      <w:r w:rsidRPr="00AC2206">
        <w:rPr>
          <w:rFonts w:ascii="Arial" w:eastAsia="Times New Roman" w:hAnsi="Arial" w:cs="Arial"/>
          <w:b/>
          <w:bCs/>
          <w:sz w:val="24"/>
          <w:szCs w:val="24"/>
        </w:rPr>
        <w:t>00,00 EUR</w:t>
      </w:r>
    </w:p>
    <w:p w14:paraId="2E268E69"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Zakonska osnova:</w:t>
      </w:r>
      <w:r w:rsidRPr="00AC2206">
        <w:rPr>
          <w:rFonts w:ascii="Arial" w:eastAsia="Times New Roman" w:hAnsi="Arial" w:cs="Arial"/>
          <w:sz w:val="24"/>
          <w:szCs w:val="24"/>
        </w:rPr>
        <w:t xml:space="preserve">  Zakon o knjižnicama, Zakon o ustanovama, Zakon o autorskom pravu i srodnim pravima.</w:t>
      </w:r>
    </w:p>
    <w:p w14:paraId="183222EC" w14:textId="77777777" w:rsidR="00E541EE" w:rsidRPr="00AC2206" w:rsidRDefault="00E541EE" w:rsidP="00E541EE">
      <w:pPr>
        <w:jc w:val="both"/>
        <w:rPr>
          <w:rFonts w:ascii="Arial" w:hAnsi="Arial" w:cs="Arial"/>
          <w:sz w:val="24"/>
          <w:szCs w:val="24"/>
        </w:rPr>
      </w:pPr>
      <w:r w:rsidRPr="00AC2206">
        <w:rPr>
          <w:rFonts w:ascii="Arial" w:eastAsia="Times New Roman" w:hAnsi="Arial" w:cs="Arial"/>
          <w:b/>
          <w:sz w:val="24"/>
          <w:szCs w:val="24"/>
        </w:rPr>
        <w:t>Opis:</w:t>
      </w:r>
      <w:r w:rsidRPr="00AC2206">
        <w:rPr>
          <w:rFonts w:ascii="Arial" w:eastAsia="Times New Roman" w:hAnsi="Arial" w:cs="Arial"/>
          <w:sz w:val="24"/>
          <w:szCs w:val="24"/>
        </w:rPr>
        <w:t xml:space="preserve"> </w:t>
      </w:r>
      <w:r w:rsidRPr="00AC2206">
        <w:rPr>
          <w:rFonts w:ascii="Arial" w:hAnsi="Arial" w:cs="Arial"/>
          <w:sz w:val="24"/>
          <w:szCs w:val="24"/>
        </w:rPr>
        <w:t xml:space="preserve">Knjižnica će održavati književne susrete i radionice za djecu i odrasle. </w:t>
      </w:r>
    </w:p>
    <w:p w14:paraId="567263DE"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Opći cilj</w:t>
      </w:r>
      <w:r w:rsidRPr="00AC2206">
        <w:rPr>
          <w:rFonts w:ascii="Arial" w:eastAsia="Times New Roman" w:hAnsi="Arial" w:cs="Arial"/>
          <w:b/>
          <w:sz w:val="24"/>
          <w:szCs w:val="24"/>
        </w:rPr>
        <w:t>:</w:t>
      </w:r>
      <w:r w:rsidRPr="00AC2206">
        <w:rPr>
          <w:rFonts w:ascii="Arial" w:eastAsia="Times New Roman" w:hAnsi="Arial" w:cs="Arial"/>
          <w:sz w:val="24"/>
          <w:szCs w:val="24"/>
        </w:rPr>
        <w:t xml:space="preserve"> obogaćenje ponude kulturnih događanja grada Rovinja-Rovigno, poticanje čitanja kod djece i odraslih, postizanje senzibilnosti za posjećivanje književnih manifestacija</w:t>
      </w:r>
    </w:p>
    <w:p w14:paraId="7D6E14F6"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Pokazatelj uspješnosti</w:t>
      </w:r>
      <w:r w:rsidRPr="00AC2206">
        <w:rPr>
          <w:rFonts w:ascii="Arial" w:eastAsia="Times New Roman" w:hAnsi="Arial" w:cs="Arial"/>
          <w:b/>
          <w:sz w:val="24"/>
          <w:szCs w:val="24"/>
        </w:rPr>
        <w:t xml:space="preserve">: </w:t>
      </w:r>
      <w:r w:rsidRPr="00AC2206">
        <w:rPr>
          <w:rFonts w:ascii="Arial" w:eastAsia="Times New Roman" w:hAnsi="Arial" w:cs="Arial"/>
          <w:sz w:val="24"/>
          <w:szCs w:val="24"/>
        </w:rPr>
        <w:t>realizirane planirane aktivnosti, te praćenje pokazatelja.</w:t>
      </w:r>
    </w:p>
    <w:p w14:paraId="03270EFE" w14:textId="77777777" w:rsidR="00E541EE" w:rsidRPr="00AC2206" w:rsidRDefault="00E541EE" w:rsidP="00E541EE">
      <w:pPr>
        <w:jc w:val="both"/>
        <w:rPr>
          <w:rFonts w:ascii="Arial" w:eastAsia="Times New Roman" w:hAnsi="Arial" w:cs="Arial"/>
          <w:sz w:val="24"/>
          <w:szCs w:val="24"/>
        </w:rPr>
      </w:pPr>
    </w:p>
    <w:p w14:paraId="0C76CFDD"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AC2206">
        <w:rPr>
          <w:rFonts w:ascii="Arial" w:eastAsia="Times New Roman" w:hAnsi="Arial" w:cs="Arial"/>
          <w:b/>
          <w:bCs/>
          <w:sz w:val="24"/>
          <w:szCs w:val="24"/>
        </w:rPr>
        <w:t>K 103704: Nabava knjižne građe = 3</w:t>
      </w:r>
      <w:r>
        <w:rPr>
          <w:rFonts w:ascii="Arial" w:eastAsia="Times New Roman" w:hAnsi="Arial" w:cs="Arial"/>
          <w:b/>
          <w:bCs/>
          <w:sz w:val="24"/>
          <w:szCs w:val="24"/>
        </w:rPr>
        <w:t>8</w:t>
      </w:r>
      <w:r w:rsidRPr="00AC2206">
        <w:rPr>
          <w:rFonts w:ascii="Arial" w:eastAsia="Times New Roman" w:hAnsi="Arial" w:cs="Arial"/>
          <w:b/>
          <w:bCs/>
          <w:sz w:val="24"/>
          <w:szCs w:val="24"/>
        </w:rPr>
        <w:t>.</w:t>
      </w:r>
      <w:r>
        <w:rPr>
          <w:rFonts w:ascii="Arial" w:eastAsia="Times New Roman" w:hAnsi="Arial" w:cs="Arial"/>
          <w:b/>
          <w:bCs/>
          <w:sz w:val="24"/>
          <w:szCs w:val="24"/>
        </w:rPr>
        <w:t>636</w:t>
      </w:r>
      <w:r w:rsidRPr="00AC2206">
        <w:rPr>
          <w:rFonts w:ascii="Arial" w:eastAsia="Times New Roman" w:hAnsi="Arial" w:cs="Arial"/>
          <w:b/>
          <w:bCs/>
          <w:sz w:val="24"/>
          <w:szCs w:val="24"/>
        </w:rPr>
        <w:t>,00 EUR</w:t>
      </w:r>
    </w:p>
    <w:p w14:paraId="4510FD7F"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Zakonska osnova:</w:t>
      </w:r>
      <w:r w:rsidRPr="00AC2206">
        <w:rPr>
          <w:rFonts w:ascii="Arial" w:eastAsia="Times New Roman" w:hAnsi="Arial" w:cs="Arial"/>
          <w:sz w:val="24"/>
          <w:szCs w:val="24"/>
        </w:rPr>
        <w:t xml:space="preserve"> Zakon o knjižnicama, Zakon o autorskom pravu i srodnim pravima, Zakon o financiranju javnih potreba u kulturi.</w:t>
      </w:r>
    </w:p>
    <w:p w14:paraId="37D9C20D"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sz w:val="24"/>
          <w:szCs w:val="24"/>
        </w:rPr>
        <w:t>Opis:</w:t>
      </w:r>
      <w:r w:rsidRPr="00AC2206">
        <w:rPr>
          <w:rFonts w:ascii="Arial" w:eastAsia="Times New Roman" w:hAnsi="Arial" w:cs="Arial"/>
          <w:sz w:val="24"/>
          <w:szCs w:val="24"/>
        </w:rPr>
        <w:t xml:space="preserve"> Ustanova tijekom godine nabavlja novu knjižnu građu što se financira sredstvima Proračuna Grada Rovinja-Rovigno (</w:t>
      </w:r>
      <w:r>
        <w:rPr>
          <w:rFonts w:ascii="Arial" w:eastAsia="Times New Roman" w:hAnsi="Arial" w:cs="Arial"/>
          <w:sz w:val="24"/>
          <w:szCs w:val="24"/>
        </w:rPr>
        <w:t>5</w:t>
      </w:r>
      <w:r w:rsidRPr="00AC2206">
        <w:rPr>
          <w:rFonts w:ascii="Arial" w:eastAsia="Times New Roman" w:hAnsi="Arial" w:cs="Arial"/>
          <w:sz w:val="24"/>
          <w:szCs w:val="24"/>
        </w:rPr>
        <w:t>.</w:t>
      </w:r>
      <w:r>
        <w:rPr>
          <w:rFonts w:ascii="Arial" w:eastAsia="Times New Roman" w:hAnsi="Arial" w:cs="Arial"/>
          <w:sz w:val="24"/>
          <w:szCs w:val="24"/>
        </w:rPr>
        <w:t>500</w:t>
      </w:r>
      <w:r w:rsidRPr="00AC2206">
        <w:rPr>
          <w:rFonts w:ascii="Arial" w:eastAsia="Times New Roman" w:hAnsi="Arial" w:cs="Arial"/>
          <w:sz w:val="24"/>
          <w:szCs w:val="24"/>
        </w:rPr>
        <w:t xml:space="preserve">,00 </w:t>
      </w:r>
      <w:r>
        <w:rPr>
          <w:rFonts w:ascii="Arial" w:eastAsia="Times New Roman" w:hAnsi="Arial" w:cs="Arial"/>
          <w:sz w:val="24"/>
          <w:szCs w:val="24"/>
        </w:rPr>
        <w:t>eura</w:t>
      </w:r>
      <w:r w:rsidRPr="00AC2206">
        <w:rPr>
          <w:rFonts w:ascii="Arial" w:eastAsia="Times New Roman" w:hAnsi="Arial" w:cs="Arial"/>
          <w:sz w:val="24"/>
          <w:szCs w:val="24"/>
        </w:rPr>
        <w:t>), ali i iz sredstava Ministarstva kulture (</w:t>
      </w:r>
      <w:r>
        <w:rPr>
          <w:rFonts w:ascii="Arial" w:eastAsia="Times New Roman" w:hAnsi="Arial" w:cs="Arial"/>
          <w:sz w:val="24"/>
          <w:szCs w:val="24"/>
        </w:rPr>
        <w:t>25</w:t>
      </w:r>
      <w:r w:rsidRPr="00AC2206">
        <w:rPr>
          <w:rFonts w:ascii="Arial" w:eastAsia="Times New Roman" w:hAnsi="Arial" w:cs="Arial"/>
          <w:sz w:val="24"/>
          <w:szCs w:val="24"/>
        </w:rPr>
        <w:t xml:space="preserve">.000,00 </w:t>
      </w:r>
      <w:r>
        <w:rPr>
          <w:rFonts w:ascii="Arial" w:eastAsia="Times New Roman" w:hAnsi="Arial" w:cs="Arial"/>
          <w:sz w:val="24"/>
          <w:szCs w:val="24"/>
        </w:rPr>
        <w:t>eura</w:t>
      </w:r>
      <w:r w:rsidRPr="00AC2206">
        <w:rPr>
          <w:rFonts w:ascii="Arial" w:eastAsia="Times New Roman" w:hAnsi="Arial" w:cs="Arial"/>
          <w:sz w:val="24"/>
          <w:szCs w:val="24"/>
        </w:rPr>
        <w:t>), vlastitih sredstava ustanove (</w:t>
      </w:r>
      <w:r>
        <w:rPr>
          <w:rFonts w:ascii="Arial" w:eastAsia="Times New Roman" w:hAnsi="Arial" w:cs="Arial"/>
          <w:sz w:val="24"/>
          <w:szCs w:val="24"/>
        </w:rPr>
        <w:t>5</w:t>
      </w:r>
      <w:r w:rsidRPr="00AC2206">
        <w:rPr>
          <w:rFonts w:ascii="Arial" w:eastAsia="Times New Roman" w:hAnsi="Arial" w:cs="Arial"/>
          <w:sz w:val="24"/>
          <w:szCs w:val="24"/>
        </w:rPr>
        <w:t>.</w:t>
      </w:r>
      <w:r>
        <w:rPr>
          <w:rFonts w:ascii="Arial" w:eastAsia="Times New Roman" w:hAnsi="Arial" w:cs="Arial"/>
          <w:sz w:val="24"/>
          <w:szCs w:val="24"/>
        </w:rPr>
        <w:t>2</w:t>
      </w:r>
      <w:r w:rsidRPr="00AC2206">
        <w:rPr>
          <w:rFonts w:ascii="Arial" w:eastAsia="Times New Roman" w:hAnsi="Arial" w:cs="Arial"/>
          <w:sz w:val="24"/>
          <w:szCs w:val="24"/>
        </w:rPr>
        <w:t xml:space="preserve">00,00 </w:t>
      </w:r>
      <w:r>
        <w:rPr>
          <w:rFonts w:ascii="Arial" w:eastAsia="Times New Roman" w:hAnsi="Arial" w:cs="Arial"/>
          <w:sz w:val="24"/>
          <w:szCs w:val="24"/>
        </w:rPr>
        <w:t>eura</w:t>
      </w:r>
      <w:r w:rsidRPr="00AC2206">
        <w:rPr>
          <w:rFonts w:ascii="Arial" w:eastAsia="Times New Roman" w:hAnsi="Arial" w:cs="Arial"/>
          <w:sz w:val="24"/>
          <w:szCs w:val="24"/>
        </w:rPr>
        <w:t>) te donacija (</w:t>
      </w:r>
      <w:r>
        <w:rPr>
          <w:rFonts w:ascii="Arial" w:eastAsia="Times New Roman" w:hAnsi="Arial" w:cs="Arial"/>
          <w:sz w:val="24"/>
          <w:szCs w:val="24"/>
        </w:rPr>
        <w:t>4.000</w:t>
      </w:r>
      <w:r w:rsidRPr="00AC2206">
        <w:rPr>
          <w:rFonts w:ascii="Arial" w:eastAsia="Times New Roman" w:hAnsi="Arial" w:cs="Arial"/>
          <w:sz w:val="24"/>
          <w:szCs w:val="24"/>
        </w:rPr>
        <w:t xml:space="preserve">,00 </w:t>
      </w:r>
      <w:r>
        <w:rPr>
          <w:rFonts w:ascii="Arial" w:eastAsia="Times New Roman" w:hAnsi="Arial" w:cs="Arial"/>
          <w:sz w:val="24"/>
          <w:szCs w:val="24"/>
        </w:rPr>
        <w:t>eura</w:t>
      </w:r>
      <w:r w:rsidRPr="00AC2206">
        <w:rPr>
          <w:rFonts w:ascii="Arial" w:eastAsia="Times New Roman" w:hAnsi="Arial" w:cs="Arial"/>
          <w:sz w:val="24"/>
          <w:szCs w:val="24"/>
        </w:rPr>
        <w:t>).</w:t>
      </w:r>
    </w:p>
    <w:p w14:paraId="37F63DDF"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Opći cilj</w:t>
      </w:r>
      <w:r w:rsidRPr="00AC2206">
        <w:rPr>
          <w:rFonts w:ascii="Arial" w:eastAsia="Times New Roman" w:hAnsi="Arial" w:cs="Arial"/>
          <w:b/>
          <w:sz w:val="24"/>
          <w:szCs w:val="24"/>
        </w:rPr>
        <w:t>:</w:t>
      </w:r>
      <w:r w:rsidRPr="00AC2206">
        <w:rPr>
          <w:rFonts w:ascii="Arial" w:eastAsia="Times New Roman" w:hAnsi="Arial" w:cs="Arial"/>
          <w:sz w:val="24"/>
          <w:szCs w:val="24"/>
        </w:rPr>
        <w:t xml:space="preserve"> kontinuirana nabava nove knjižne građe, poticanje čitanja kod djece i odraslih.</w:t>
      </w:r>
    </w:p>
    <w:p w14:paraId="7CB062FC"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Pokazatelj uspješnosti</w:t>
      </w:r>
      <w:r w:rsidRPr="00AC2206">
        <w:rPr>
          <w:rFonts w:ascii="Arial" w:eastAsia="Times New Roman" w:hAnsi="Arial" w:cs="Arial"/>
          <w:b/>
          <w:sz w:val="24"/>
          <w:szCs w:val="24"/>
        </w:rPr>
        <w:t>:</w:t>
      </w:r>
      <w:r w:rsidRPr="00AC2206">
        <w:rPr>
          <w:rFonts w:ascii="Arial" w:eastAsia="Times New Roman" w:hAnsi="Arial" w:cs="Arial"/>
          <w:sz w:val="24"/>
          <w:szCs w:val="24"/>
        </w:rPr>
        <w:t xml:space="preserve"> povećanje broja članova knjižnice, obogaćivanje fonda visokokvalitetnim literarnim sadržajima.</w:t>
      </w:r>
    </w:p>
    <w:p w14:paraId="15D2489F" w14:textId="77777777" w:rsidR="00E541EE" w:rsidRPr="00AC2206" w:rsidRDefault="00E541EE" w:rsidP="00E541EE">
      <w:pPr>
        <w:jc w:val="both"/>
        <w:rPr>
          <w:rFonts w:ascii="Arial" w:eastAsia="Times New Roman" w:hAnsi="Arial" w:cs="Arial"/>
          <w:sz w:val="24"/>
          <w:szCs w:val="24"/>
        </w:rPr>
      </w:pPr>
    </w:p>
    <w:p w14:paraId="3F38C4F8"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AC2206">
        <w:rPr>
          <w:rFonts w:ascii="Arial" w:eastAsia="Times New Roman" w:hAnsi="Arial" w:cs="Arial"/>
          <w:b/>
          <w:bCs/>
          <w:sz w:val="24"/>
          <w:szCs w:val="24"/>
        </w:rPr>
        <w:t xml:space="preserve">K 103705: Opremanje prostora = </w:t>
      </w:r>
      <w:r>
        <w:rPr>
          <w:rFonts w:ascii="Arial" w:eastAsia="Times New Roman" w:hAnsi="Arial" w:cs="Arial"/>
          <w:b/>
          <w:bCs/>
          <w:sz w:val="24"/>
          <w:szCs w:val="24"/>
        </w:rPr>
        <w:t>30</w:t>
      </w:r>
      <w:r w:rsidRPr="00AC2206">
        <w:rPr>
          <w:rFonts w:ascii="Arial" w:eastAsia="Times New Roman" w:hAnsi="Arial" w:cs="Arial"/>
          <w:b/>
          <w:bCs/>
          <w:sz w:val="24"/>
          <w:szCs w:val="24"/>
        </w:rPr>
        <w:t>.76</w:t>
      </w:r>
      <w:r>
        <w:rPr>
          <w:rFonts w:ascii="Arial" w:eastAsia="Times New Roman" w:hAnsi="Arial" w:cs="Arial"/>
          <w:b/>
          <w:bCs/>
          <w:sz w:val="24"/>
          <w:szCs w:val="24"/>
        </w:rPr>
        <w:t>0</w:t>
      </w:r>
      <w:r w:rsidRPr="00AC2206">
        <w:rPr>
          <w:rFonts w:ascii="Arial" w:eastAsia="Times New Roman" w:hAnsi="Arial" w:cs="Arial"/>
          <w:b/>
          <w:bCs/>
          <w:sz w:val="24"/>
          <w:szCs w:val="24"/>
        </w:rPr>
        <w:t>,00 EUR</w:t>
      </w:r>
    </w:p>
    <w:p w14:paraId="7FE92353"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Zakonska osnova:</w:t>
      </w:r>
      <w:r w:rsidRPr="00AC2206">
        <w:rPr>
          <w:rFonts w:ascii="Arial" w:eastAsia="Times New Roman" w:hAnsi="Arial" w:cs="Arial"/>
          <w:sz w:val="24"/>
          <w:szCs w:val="24"/>
        </w:rPr>
        <w:t xml:space="preserve"> Zakon o lokalnoj i područnoj (regionalnoj) samoupravi, Zakon o knjižnicama, Zakon o ustanovama.</w:t>
      </w:r>
    </w:p>
    <w:p w14:paraId="2DFD2110" w14:textId="77777777" w:rsidR="00E541EE" w:rsidRPr="00313F9B" w:rsidRDefault="00E541EE" w:rsidP="00E541EE">
      <w:pPr>
        <w:jc w:val="both"/>
        <w:rPr>
          <w:rFonts w:ascii="Arial" w:hAnsi="Arial" w:cs="Arial"/>
          <w:sz w:val="24"/>
          <w:szCs w:val="24"/>
        </w:rPr>
      </w:pPr>
      <w:r w:rsidRPr="00AC2206">
        <w:rPr>
          <w:rFonts w:ascii="Arial" w:eastAsia="Times New Roman" w:hAnsi="Arial" w:cs="Arial"/>
          <w:b/>
          <w:sz w:val="24"/>
          <w:szCs w:val="24"/>
        </w:rPr>
        <w:t>Opis:</w:t>
      </w:r>
      <w:r w:rsidRPr="00C63D7F">
        <w:rPr>
          <w:rFonts w:ascii="Arial" w:eastAsia="Times New Roman" w:hAnsi="Arial" w:cs="Arial"/>
          <w:sz w:val="24"/>
          <w:szCs w:val="24"/>
        </w:rPr>
        <w:t xml:space="preserve"> </w:t>
      </w:r>
      <w:r w:rsidRPr="00313F9B">
        <w:rPr>
          <w:rFonts w:ascii="Arial" w:hAnsi="Arial" w:cs="Arial"/>
          <w:sz w:val="24"/>
          <w:szCs w:val="24"/>
        </w:rPr>
        <w:t>Zbog proširenja prostora knjižnice potrebno je nadograditi sustav video nadzora.</w:t>
      </w:r>
    </w:p>
    <w:p w14:paraId="62EA2AAB" w14:textId="77777777" w:rsidR="00E541EE" w:rsidRPr="00313F9B" w:rsidRDefault="00E541EE" w:rsidP="00E541EE">
      <w:pPr>
        <w:jc w:val="both"/>
        <w:rPr>
          <w:rFonts w:ascii="Arial" w:hAnsi="Arial" w:cs="Arial"/>
          <w:sz w:val="24"/>
          <w:szCs w:val="24"/>
        </w:rPr>
      </w:pPr>
      <w:r w:rsidRPr="00313F9B">
        <w:rPr>
          <w:rFonts w:ascii="Arial" w:hAnsi="Arial" w:cs="Arial"/>
          <w:sz w:val="24"/>
          <w:szCs w:val="24"/>
        </w:rPr>
        <w:t xml:space="preserve">Isto tako zbog zastarjelosti kompjuterske opreme (3 računala), potrebno ih je zamijeniti novima. </w:t>
      </w:r>
    </w:p>
    <w:p w14:paraId="4C73C361" w14:textId="77777777" w:rsidR="00E541EE" w:rsidRPr="00313F9B" w:rsidRDefault="00E541EE" w:rsidP="00E541EE">
      <w:pPr>
        <w:jc w:val="both"/>
        <w:rPr>
          <w:rFonts w:ascii="Arial" w:hAnsi="Arial" w:cs="Arial"/>
          <w:sz w:val="24"/>
          <w:szCs w:val="24"/>
        </w:rPr>
      </w:pPr>
      <w:r w:rsidRPr="00313F9B">
        <w:rPr>
          <w:rFonts w:ascii="Arial" w:hAnsi="Arial" w:cs="Arial"/>
          <w:sz w:val="24"/>
          <w:szCs w:val="24"/>
        </w:rPr>
        <w:t>Budući da će se u 2025. godini prizemlje knjižnice opremiti novim namještajem, potrebn</w:t>
      </w:r>
      <w:r>
        <w:rPr>
          <w:rFonts w:ascii="Arial" w:hAnsi="Arial" w:cs="Arial"/>
          <w:sz w:val="24"/>
          <w:szCs w:val="24"/>
        </w:rPr>
        <w:t>o</w:t>
      </w:r>
      <w:r w:rsidRPr="00313F9B">
        <w:rPr>
          <w:rFonts w:ascii="Arial" w:hAnsi="Arial" w:cs="Arial"/>
          <w:sz w:val="24"/>
          <w:szCs w:val="24"/>
        </w:rPr>
        <w:t xml:space="preserve"> </w:t>
      </w:r>
      <w:r>
        <w:rPr>
          <w:rFonts w:ascii="Arial" w:hAnsi="Arial" w:cs="Arial"/>
          <w:sz w:val="24"/>
          <w:szCs w:val="24"/>
        </w:rPr>
        <w:t>je</w:t>
      </w:r>
      <w:r w:rsidRPr="00313F9B">
        <w:rPr>
          <w:rFonts w:ascii="Arial" w:hAnsi="Arial" w:cs="Arial"/>
          <w:sz w:val="24"/>
          <w:szCs w:val="24"/>
        </w:rPr>
        <w:t xml:space="preserve"> </w:t>
      </w:r>
      <w:r>
        <w:rPr>
          <w:rFonts w:ascii="Arial" w:hAnsi="Arial" w:cs="Arial"/>
          <w:sz w:val="24"/>
          <w:szCs w:val="24"/>
        </w:rPr>
        <w:t>osigurati</w:t>
      </w:r>
      <w:r w:rsidRPr="00313F9B">
        <w:rPr>
          <w:rFonts w:ascii="Arial" w:hAnsi="Arial" w:cs="Arial"/>
          <w:sz w:val="24"/>
          <w:szCs w:val="24"/>
        </w:rPr>
        <w:t xml:space="preserve"> dodatna sredstva za zamjenu dotrajale garniture za sjedenje u čitaonici dnevnog tiska.</w:t>
      </w:r>
    </w:p>
    <w:p w14:paraId="101B313D" w14:textId="77777777" w:rsidR="00E541EE" w:rsidRPr="00313F9B" w:rsidRDefault="00E541EE" w:rsidP="00E541EE">
      <w:pPr>
        <w:jc w:val="both"/>
        <w:rPr>
          <w:rFonts w:ascii="Arial" w:hAnsi="Arial" w:cs="Arial"/>
          <w:sz w:val="24"/>
          <w:szCs w:val="24"/>
        </w:rPr>
      </w:pPr>
      <w:r w:rsidRPr="00313F9B">
        <w:rPr>
          <w:rFonts w:ascii="Arial" w:hAnsi="Arial" w:cs="Arial"/>
          <w:sz w:val="24"/>
          <w:szCs w:val="24"/>
        </w:rPr>
        <w:t>Planira se i ugradnja pokretne stolice u stubištu zgrade za pristup teže pokretnim osobama na više katove.</w:t>
      </w:r>
    </w:p>
    <w:p w14:paraId="7E3CB232" w14:textId="77777777" w:rsidR="00E541EE" w:rsidRPr="00C63D7F" w:rsidRDefault="00E541EE" w:rsidP="00E541EE">
      <w:pPr>
        <w:jc w:val="both"/>
        <w:rPr>
          <w:rFonts w:ascii="Arial" w:hAnsi="Arial" w:cs="Arial"/>
          <w:sz w:val="24"/>
          <w:szCs w:val="24"/>
        </w:rPr>
      </w:pPr>
      <w:r w:rsidRPr="00AC2206">
        <w:rPr>
          <w:rFonts w:ascii="Arial" w:eastAsia="Times New Roman" w:hAnsi="Arial" w:cs="Arial"/>
          <w:b/>
          <w:bCs/>
          <w:sz w:val="24"/>
          <w:szCs w:val="24"/>
        </w:rPr>
        <w:t>Opći cilj</w:t>
      </w:r>
      <w:r w:rsidRPr="00AC2206">
        <w:rPr>
          <w:rFonts w:ascii="Arial" w:eastAsia="Times New Roman" w:hAnsi="Arial" w:cs="Arial"/>
          <w:b/>
          <w:sz w:val="24"/>
          <w:szCs w:val="24"/>
        </w:rPr>
        <w:t xml:space="preserve">: </w:t>
      </w:r>
      <w:r w:rsidRPr="00AC2206">
        <w:rPr>
          <w:rFonts w:ascii="Arial" w:eastAsia="Times New Roman" w:hAnsi="Arial" w:cs="Arial"/>
          <w:sz w:val="24"/>
          <w:szCs w:val="24"/>
        </w:rPr>
        <w:t>osiguravanje uvjeta rada</w:t>
      </w:r>
    </w:p>
    <w:p w14:paraId="798D1B7A" w14:textId="77777777" w:rsidR="00E541EE"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Pokazatelj uspješnosti</w:t>
      </w:r>
      <w:r w:rsidRPr="00AC2206">
        <w:rPr>
          <w:rFonts w:ascii="Arial" w:eastAsia="Times New Roman" w:hAnsi="Arial" w:cs="Arial"/>
          <w:b/>
          <w:sz w:val="24"/>
          <w:szCs w:val="24"/>
        </w:rPr>
        <w:t xml:space="preserve">: </w:t>
      </w:r>
      <w:r w:rsidRPr="00AC2206">
        <w:rPr>
          <w:rFonts w:ascii="Arial" w:eastAsia="Times New Roman" w:hAnsi="Arial" w:cs="Arial"/>
          <w:sz w:val="24"/>
          <w:szCs w:val="24"/>
        </w:rPr>
        <w:t>nabavljena oprema</w:t>
      </w:r>
    </w:p>
    <w:p w14:paraId="35640624" w14:textId="77777777" w:rsidR="00E541EE" w:rsidRPr="00F5410C" w:rsidRDefault="00E541EE" w:rsidP="00E541EE">
      <w:pPr>
        <w:jc w:val="both"/>
        <w:rPr>
          <w:rFonts w:ascii="Arial" w:eastAsia="Times New Roman" w:hAnsi="Arial" w:cs="Arial"/>
          <w:sz w:val="24"/>
          <w:szCs w:val="24"/>
        </w:rPr>
      </w:pPr>
    </w:p>
    <w:p w14:paraId="594C5F6E"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B1EDA0"/>
        <w:jc w:val="both"/>
        <w:rPr>
          <w:rFonts w:ascii="Arial" w:eastAsia="Times New Roman" w:hAnsi="Arial" w:cs="Arial"/>
          <w:b/>
          <w:bCs/>
          <w:sz w:val="24"/>
          <w:szCs w:val="24"/>
        </w:rPr>
      </w:pPr>
      <w:r w:rsidRPr="00AC2206">
        <w:rPr>
          <w:rFonts w:ascii="Arial" w:eastAsia="Times New Roman" w:hAnsi="Arial" w:cs="Arial"/>
          <w:b/>
          <w:bCs/>
          <w:sz w:val="24"/>
          <w:szCs w:val="24"/>
        </w:rPr>
        <w:t>GLAVA 00705: ZAŠTITA I SPAŠAVANJE = 2.</w:t>
      </w:r>
      <w:r>
        <w:rPr>
          <w:rFonts w:ascii="Arial" w:eastAsia="Times New Roman" w:hAnsi="Arial" w:cs="Arial"/>
          <w:b/>
          <w:bCs/>
          <w:sz w:val="24"/>
          <w:szCs w:val="24"/>
        </w:rPr>
        <w:t>682</w:t>
      </w:r>
      <w:r w:rsidRPr="00AC2206">
        <w:rPr>
          <w:rFonts w:ascii="Arial" w:eastAsia="Times New Roman" w:hAnsi="Arial" w:cs="Arial"/>
          <w:b/>
          <w:bCs/>
          <w:sz w:val="24"/>
          <w:szCs w:val="24"/>
        </w:rPr>
        <w:t>.</w:t>
      </w:r>
      <w:r>
        <w:rPr>
          <w:rFonts w:ascii="Arial" w:eastAsia="Times New Roman" w:hAnsi="Arial" w:cs="Arial"/>
          <w:b/>
          <w:bCs/>
          <w:sz w:val="24"/>
          <w:szCs w:val="24"/>
        </w:rPr>
        <w:t>009</w:t>
      </w:r>
      <w:r w:rsidRPr="00AC2206">
        <w:rPr>
          <w:rFonts w:ascii="Arial" w:eastAsia="Times New Roman" w:hAnsi="Arial" w:cs="Arial"/>
          <w:b/>
          <w:bCs/>
          <w:sz w:val="24"/>
          <w:szCs w:val="24"/>
        </w:rPr>
        <w:t>,</w:t>
      </w:r>
      <w:r>
        <w:rPr>
          <w:rFonts w:ascii="Arial" w:eastAsia="Times New Roman" w:hAnsi="Arial" w:cs="Arial"/>
          <w:b/>
          <w:bCs/>
          <w:sz w:val="24"/>
          <w:szCs w:val="24"/>
        </w:rPr>
        <w:t>13</w:t>
      </w:r>
      <w:r w:rsidRPr="00AC2206">
        <w:rPr>
          <w:rFonts w:ascii="Arial" w:eastAsia="Times New Roman" w:hAnsi="Arial" w:cs="Arial"/>
          <w:b/>
          <w:bCs/>
          <w:sz w:val="24"/>
          <w:szCs w:val="24"/>
        </w:rPr>
        <w:t xml:space="preserve"> EUR</w:t>
      </w:r>
    </w:p>
    <w:p w14:paraId="61F5DC52" w14:textId="77777777" w:rsidR="00E541EE" w:rsidRPr="00AC2206" w:rsidRDefault="00E541EE" w:rsidP="00E541EE">
      <w:pPr>
        <w:jc w:val="both"/>
        <w:rPr>
          <w:rFonts w:ascii="Arial" w:eastAsia="Times New Roman" w:hAnsi="Arial" w:cs="Arial"/>
          <w:b/>
          <w:bCs/>
          <w:sz w:val="24"/>
          <w:szCs w:val="24"/>
        </w:rPr>
      </w:pPr>
    </w:p>
    <w:p w14:paraId="30121C11"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FFFF80"/>
        <w:jc w:val="both"/>
        <w:rPr>
          <w:rFonts w:ascii="Arial" w:eastAsia="Times New Roman" w:hAnsi="Arial" w:cs="Arial"/>
          <w:b/>
          <w:bCs/>
          <w:sz w:val="24"/>
          <w:szCs w:val="24"/>
        </w:rPr>
      </w:pPr>
      <w:r w:rsidRPr="00AC2206">
        <w:rPr>
          <w:rFonts w:ascii="Arial" w:eastAsia="Times New Roman" w:hAnsi="Arial" w:cs="Arial"/>
          <w:b/>
          <w:bCs/>
          <w:sz w:val="24"/>
          <w:szCs w:val="24"/>
        </w:rPr>
        <w:t xml:space="preserve">Program 1038: Civilna zaštita = </w:t>
      </w:r>
      <w:r>
        <w:rPr>
          <w:rFonts w:ascii="Arial" w:eastAsia="Times New Roman" w:hAnsi="Arial" w:cs="Arial"/>
          <w:b/>
          <w:bCs/>
          <w:sz w:val="24"/>
          <w:szCs w:val="24"/>
        </w:rPr>
        <w:t>62</w:t>
      </w:r>
      <w:r w:rsidRPr="00AC2206">
        <w:rPr>
          <w:rFonts w:ascii="Arial" w:eastAsia="Times New Roman" w:hAnsi="Arial" w:cs="Arial"/>
          <w:b/>
          <w:bCs/>
          <w:sz w:val="24"/>
          <w:szCs w:val="24"/>
        </w:rPr>
        <w:t>.</w:t>
      </w:r>
      <w:r>
        <w:rPr>
          <w:rFonts w:ascii="Arial" w:eastAsia="Times New Roman" w:hAnsi="Arial" w:cs="Arial"/>
          <w:b/>
          <w:bCs/>
          <w:sz w:val="24"/>
          <w:szCs w:val="24"/>
        </w:rPr>
        <w:t>970</w:t>
      </w:r>
      <w:r w:rsidRPr="00AC2206">
        <w:rPr>
          <w:rFonts w:ascii="Arial" w:eastAsia="Times New Roman" w:hAnsi="Arial" w:cs="Arial"/>
          <w:b/>
          <w:bCs/>
          <w:sz w:val="24"/>
          <w:szCs w:val="24"/>
        </w:rPr>
        <w:t>,00 EUR</w:t>
      </w:r>
    </w:p>
    <w:p w14:paraId="41CB8FB1" w14:textId="77777777" w:rsidR="00E541EE" w:rsidRPr="00AC2206" w:rsidRDefault="00E541EE" w:rsidP="00E541EE">
      <w:pPr>
        <w:jc w:val="both"/>
        <w:rPr>
          <w:rFonts w:ascii="Arial" w:eastAsia="Times New Roman" w:hAnsi="Arial" w:cs="Arial"/>
          <w:sz w:val="24"/>
          <w:szCs w:val="24"/>
        </w:rPr>
      </w:pPr>
    </w:p>
    <w:tbl>
      <w:tblPr>
        <w:tblW w:w="1049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9"/>
        <w:gridCol w:w="954"/>
        <w:gridCol w:w="991"/>
        <w:gridCol w:w="850"/>
        <w:gridCol w:w="1133"/>
        <w:gridCol w:w="1275"/>
        <w:gridCol w:w="998"/>
        <w:gridCol w:w="850"/>
        <w:gridCol w:w="823"/>
        <w:gridCol w:w="737"/>
        <w:gridCol w:w="850"/>
      </w:tblGrid>
      <w:tr w:rsidR="00E541EE" w:rsidRPr="00E64D14" w14:paraId="272FD5FC" w14:textId="77777777" w:rsidTr="00E80F33">
        <w:trPr>
          <w:trHeight w:val="637"/>
        </w:trPr>
        <w:tc>
          <w:tcPr>
            <w:tcW w:w="1029" w:type="dxa"/>
            <w:vMerge w:val="restart"/>
            <w:vAlign w:val="center"/>
          </w:tcPr>
          <w:p w14:paraId="39545923" w14:textId="77777777" w:rsidR="00E541EE" w:rsidRPr="00E64D14" w:rsidRDefault="00E541EE" w:rsidP="00A84BB5">
            <w:pPr>
              <w:widowControl w:val="0"/>
              <w:autoSpaceDE w:val="0"/>
              <w:autoSpaceDN w:val="0"/>
              <w:spacing w:before="49"/>
              <w:jc w:val="center"/>
              <w:rPr>
                <w:b/>
                <w:sz w:val="15"/>
                <w:szCs w:val="15"/>
              </w:rPr>
            </w:pPr>
            <w:r w:rsidRPr="00E64D14">
              <w:rPr>
                <w:b/>
                <w:sz w:val="15"/>
                <w:szCs w:val="15"/>
              </w:rPr>
              <w:t>Doprinos</w:t>
            </w:r>
            <w:r w:rsidRPr="00E64D14">
              <w:rPr>
                <w:b/>
                <w:spacing w:val="-34"/>
                <w:sz w:val="15"/>
                <w:szCs w:val="15"/>
              </w:rPr>
              <w:t xml:space="preserve"> </w:t>
            </w:r>
            <w:r w:rsidRPr="00E64D14">
              <w:rPr>
                <w:b/>
                <w:sz w:val="15"/>
                <w:szCs w:val="15"/>
              </w:rPr>
              <w:t>provedbi</w:t>
            </w:r>
          </w:p>
          <w:p w14:paraId="73EC5367" w14:textId="77777777" w:rsidR="00E541EE" w:rsidRPr="00E64D14" w:rsidRDefault="00E541EE" w:rsidP="00A84BB5">
            <w:pPr>
              <w:widowControl w:val="0"/>
              <w:autoSpaceDE w:val="0"/>
              <w:autoSpaceDN w:val="0"/>
              <w:spacing w:line="194" w:lineRule="exact"/>
              <w:jc w:val="center"/>
              <w:rPr>
                <w:b/>
                <w:sz w:val="15"/>
                <w:szCs w:val="15"/>
              </w:rPr>
            </w:pPr>
            <w:r w:rsidRPr="00E64D14">
              <w:rPr>
                <w:b/>
                <w:sz w:val="15"/>
                <w:szCs w:val="15"/>
              </w:rPr>
              <w:t>nadređenog</w:t>
            </w:r>
          </w:p>
          <w:p w14:paraId="4C487F64" w14:textId="77777777" w:rsidR="00E541EE" w:rsidRPr="00E64D14" w:rsidRDefault="00E541EE" w:rsidP="00A84BB5">
            <w:pPr>
              <w:widowControl w:val="0"/>
              <w:autoSpaceDE w:val="0"/>
              <w:autoSpaceDN w:val="0"/>
              <w:spacing w:before="49"/>
              <w:jc w:val="center"/>
              <w:rPr>
                <w:b/>
                <w:sz w:val="15"/>
                <w:szCs w:val="15"/>
              </w:rPr>
            </w:pPr>
            <w:r w:rsidRPr="00E64D14">
              <w:rPr>
                <w:b/>
                <w:sz w:val="15"/>
                <w:szCs w:val="15"/>
              </w:rPr>
              <w:t>akta</w:t>
            </w:r>
            <w:r w:rsidRPr="00E64D14">
              <w:rPr>
                <w:b/>
                <w:spacing w:val="1"/>
                <w:sz w:val="15"/>
                <w:szCs w:val="15"/>
              </w:rPr>
              <w:t xml:space="preserve"> </w:t>
            </w:r>
            <w:r w:rsidRPr="00E64D14">
              <w:rPr>
                <w:b/>
                <w:sz w:val="15"/>
                <w:szCs w:val="15"/>
              </w:rPr>
              <w:t>strateškog</w:t>
            </w:r>
            <w:r w:rsidRPr="00E64D14">
              <w:rPr>
                <w:b/>
                <w:spacing w:val="-34"/>
                <w:sz w:val="15"/>
                <w:szCs w:val="15"/>
              </w:rPr>
              <w:t xml:space="preserve"> </w:t>
            </w:r>
            <w:r w:rsidRPr="00E64D14">
              <w:rPr>
                <w:b/>
                <w:sz w:val="15"/>
                <w:szCs w:val="15"/>
              </w:rPr>
              <w:t>planiranja</w:t>
            </w:r>
          </w:p>
        </w:tc>
        <w:tc>
          <w:tcPr>
            <w:tcW w:w="954" w:type="dxa"/>
            <w:vMerge w:val="restart"/>
            <w:vAlign w:val="center"/>
          </w:tcPr>
          <w:p w14:paraId="144C0B9A" w14:textId="77777777" w:rsidR="00E541EE" w:rsidRPr="00E64D14" w:rsidRDefault="00E541EE" w:rsidP="00A84BB5">
            <w:pPr>
              <w:widowControl w:val="0"/>
              <w:autoSpaceDE w:val="0"/>
              <w:autoSpaceDN w:val="0"/>
              <w:spacing w:line="195" w:lineRule="exact"/>
              <w:ind w:left="44" w:right="35"/>
              <w:jc w:val="center"/>
              <w:rPr>
                <w:b/>
                <w:sz w:val="15"/>
                <w:szCs w:val="15"/>
              </w:rPr>
            </w:pPr>
            <w:r w:rsidRPr="00E64D14">
              <w:rPr>
                <w:b/>
                <w:sz w:val="15"/>
                <w:szCs w:val="15"/>
              </w:rPr>
              <w:t>Naziv</w:t>
            </w:r>
            <w:r w:rsidRPr="00E64D14">
              <w:rPr>
                <w:b/>
                <w:spacing w:val="-3"/>
                <w:sz w:val="15"/>
                <w:szCs w:val="15"/>
              </w:rPr>
              <w:t xml:space="preserve"> </w:t>
            </w:r>
            <w:r w:rsidRPr="00E64D14">
              <w:rPr>
                <w:b/>
                <w:sz w:val="15"/>
                <w:szCs w:val="15"/>
              </w:rPr>
              <w:t>cilja nadređenog</w:t>
            </w:r>
            <w:r w:rsidRPr="00E64D14">
              <w:rPr>
                <w:b/>
                <w:spacing w:val="1"/>
                <w:sz w:val="15"/>
                <w:szCs w:val="15"/>
              </w:rPr>
              <w:t xml:space="preserve"> </w:t>
            </w:r>
            <w:r w:rsidRPr="00E64D14">
              <w:rPr>
                <w:b/>
                <w:spacing w:val="-1"/>
                <w:sz w:val="15"/>
                <w:szCs w:val="15"/>
              </w:rPr>
              <w:t>akta</w:t>
            </w:r>
            <w:r w:rsidRPr="00E64D14">
              <w:rPr>
                <w:b/>
                <w:spacing w:val="-2"/>
                <w:sz w:val="15"/>
                <w:szCs w:val="15"/>
              </w:rPr>
              <w:t xml:space="preserve"> </w:t>
            </w:r>
            <w:r w:rsidRPr="00E64D14">
              <w:rPr>
                <w:b/>
                <w:spacing w:val="-1"/>
                <w:sz w:val="15"/>
                <w:szCs w:val="15"/>
              </w:rPr>
              <w:t xml:space="preserve">strateškog </w:t>
            </w:r>
            <w:r w:rsidRPr="00E64D14">
              <w:rPr>
                <w:b/>
                <w:sz w:val="15"/>
                <w:szCs w:val="15"/>
              </w:rPr>
              <w:t>planiranja</w:t>
            </w:r>
          </w:p>
        </w:tc>
        <w:tc>
          <w:tcPr>
            <w:tcW w:w="991" w:type="dxa"/>
            <w:vMerge w:val="restart"/>
            <w:vAlign w:val="center"/>
          </w:tcPr>
          <w:p w14:paraId="4465D87B" w14:textId="77777777" w:rsidR="00E541EE" w:rsidRPr="00E64D14" w:rsidRDefault="00E541EE" w:rsidP="00A84BB5">
            <w:pPr>
              <w:widowControl w:val="0"/>
              <w:autoSpaceDE w:val="0"/>
              <w:autoSpaceDN w:val="0"/>
              <w:ind w:left="125" w:right="114"/>
              <w:jc w:val="center"/>
              <w:rPr>
                <w:b/>
                <w:sz w:val="15"/>
                <w:szCs w:val="15"/>
              </w:rPr>
            </w:pPr>
            <w:r w:rsidRPr="00E64D14">
              <w:rPr>
                <w:b/>
                <w:spacing w:val="-1"/>
                <w:sz w:val="15"/>
                <w:szCs w:val="15"/>
              </w:rPr>
              <w:t xml:space="preserve">Program </w:t>
            </w:r>
            <w:r w:rsidRPr="00E64D14">
              <w:rPr>
                <w:b/>
                <w:sz w:val="15"/>
                <w:szCs w:val="15"/>
              </w:rPr>
              <w:t>u</w:t>
            </w:r>
            <w:r w:rsidRPr="00E64D14">
              <w:rPr>
                <w:b/>
                <w:spacing w:val="-34"/>
                <w:sz w:val="15"/>
                <w:szCs w:val="15"/>
              </w:rPr>
              <w:t xml:space="preserve"> </w:t>
            </w:r>
            <w:r w:rsidRPr="00E64D14">
              <w:rPr>
                <w:b/>
                <w:sz w:val="15"/>
                <w:szCs w:val="15"/>
              </w:rPr>
              <w:t xml:space="preserve">proračunu </w:t>
            </w:r>
            <w:r w:rsidRPr="00E64D14">
              <w:rPr>
                <w:b/>
                <w:spacing w:val="-34"/>
                <w:sz w:val="15"/>
                <w:szCs w:val="15"/>
              </w:rPr>
              <w:t xml:space="preserve"> </w:t>
            </w:r>
            <w:r w:rsidRPr="00E64D14">
              <w:rPr>
                <w:b/>
                <w:sz w:val="15"/>
                <w:szCs w:val="15"/>
              </w:rPr>
              <w:t>JLS</w:t>
            </w:r>
          </w:p>
        </w:tc>
        <w:tc>
          <w:tcPr>
            <w:tcW w:w="850" w:type="dxa"/>
            <w:vMerge w:val="restart"/>
            <w:vAlign w:val="center"/>
          </w:tcPr>
          <w:p w14:paraId="122EAFBE" w14:textId="77777777" w:rsidR="00E541EE" w:rsidRPr="00E64D14" w:rsidRDefault="00E541EE" w:rsidP="00A84BB5">
            <w:pPr>
              <w:widowControl w:val="0"/>
              <w:autoSpaceDE w:val="0"/>
              <w:autoSpaceDN w:val="0"/>
              <w:jc w:val="center"/>
              <w:rPr>
                <w:b/>
                <w:sz w:val="15"/>
                <w:szCs w:val="15"/>
              </w:rPr>
            </w:pPr>
            <w:r w:rsidRPr="00E64D14">
              <w:rPr>
                <w:b/>
                <w:sz w:val="15"/>
                <w:szCs w:val="15"/>
              </w:rPr>
              <w:t>Naziv</w:t>
            </w:r>
            <w:r w:rsidRPr="00E64D14">
              <w:rPr>
                <w:b/>
                <w:spacing w:val="-2"/>
                <w:sz w:val="15"/>
                <w:szCs w:val="15"/>
              </w:rPr>
              <w:t xml:space="preserve"> </w:t>
            </w:r>
            <w:r w:rsidRPr="00E64D14">
              <w:rPr>
                <w:b/>
                <w:sz w:val="15"/>
                <w:szCs w:val="15"/>
              </w:rPr>
              <w:t>mjere</w:t>
            </w:r>
          </w:p>
        </w:tc>
        <w:tc>
          <w:tcPr>
            <w:tcW w:w="1133" w:type="dxa"/>
            <w:vMerge w:val="restart"/>
            <w:vAlign w:val="center"/>
          </w:tcPr>
          <w:p w14:paraId="2418C353" w14:textId="77777777" w:rsidR="00E541EE" w:rsidRPr="00E64D14" w:rsidRDefault="00E541EE" w:rsidP="00A84BB5">
            <w:pPr>
              <w:widowControl w:val="0"/>
              <w:autoSpaceDE w:val="0"/>
              <w:autoSpaceDN w:val="0"/>
              <w:ind w:left="70" w:right="60"/>
              <w:jc w:val="center"/>
              <w:rPr>
                <w:b/>
                <w:sz w:val="15"/>
                <w:szCs w:val="15"/>
              </w:rPr>
            </w:pPr>
            <w:r w:rsidRPr="00E64D14">
              <w:rPr>
                <w:b/>
                <w:sz w:val="15"/>
                <w:szCs w:val="15"/>
              </w:rPr>
              <w:t>Procijenjeni</w:t>
            </w:r>
            <w:r w:rsidRPr="00E64D14">
              <w:rPr>
                <w:b/>
                <w:spacing w:val="-34"/>
                <w:sz w:val="15"/>
                <w:szCs w:val="15"/>
              </w:rPr>
              <w:t xml:space="preserve"> </w:t>
            </w:r>
            <w:r w:rsidRPr="00E64D14">
              <w:rPr>
                <w:b/>
                <w:sz w:val="15"/>
                <w:szCs w:val="15"/>
              </w:rPr>
              <w:t>trošak</w:t>
            </w:r>
            <w:r w:rsidRPr="00E64D14">
              <w:rPr>
                <w:b/>
                <w:spacing w:val="1"/>
                <w:sz w:val="15"/>
                <w:szCs w:val="15"/>
              </w:rPr>
              <w:t xml:space="preserve"> </w:t>
            </w:r>
            <w:r w:rsidRPr="00E64D14">
              <w:rPr>
                <w:b/>
                <w:sz w:val="15"/>
                <w:szCs w:val="15"/>
              </w:rPr>
              <w:t>provedbe</w:t>
            </w:r>
            <w:r w:rsidRPr="00E64D14">
              <w:rPr>
                <w:b/>
                <w:spacing w:val="1"/>
                <w:sz w:val="15"/>
                <w:szCs w:val="15"/>
              </w:rPr>
              <w:t xml:space="preserve"> </w:t>
            </w:r>
            <w:r w:rsidRPr="00E64D14">
              <w:rPr>
                <w:b/>
                <w:sz w:val="15"/>
                <w:szCs w:val="15"/>
              </w:rPr>
              <w:t>mjere 2026.</w:t>
            </w:r>
          </w:p>
          <w:p w14:paraId="6509FC93" w14:textId="77777777" w:rsidR="00E541EE" w:rsidRPr="00E64D14" w:rsidRDefault="00E541EE" w:rsidP="00A84BB5">
            <w:pPr>
              <w:widowControl w:val="0"/>
              <w:autoSpaceDE w:val="0"/>
              <w:autoSpaceDN w:val="0"/>
              <w:spacing w:before="2"/>
              <w:ind w:left="70" w:right="58"/>
              <w:jc w:val="center"/>
              <w:rPr>
                <w:b/>
                <w:sz w:val="15"/>
                <w:szCs w:val="15"/>
              </w:rPr>
            </w:pPr>
            <w:r w:rsidRPr="00E64D14">
              <w:rPr>
                <w:b/>
                <w:sz w:val="15"/>
                <w:szCs w:val="15"/>
              </w:rPr>
              <w:t>(u EUR)</w:t>
            </w:r>
          </w:p>
        </w:tc>
        <w:tc>
          <w:tcPr>
            <w:tcW w:w="1275" w:type="dxa"/>
            <w:vMerge w:val="restart"/>
            <w:vAlign w:val="center"/>
          </w:tcPr>
          <w:p w14:paraId="4B2B80CC" w14:textId="77777777" w:rsidR="00E541EE" w:rsidRPr="00E64D14" w:rsidRDefault="00E541EE" w:rsidP="00A84BB5">
            <w:pPr>
              <w:widowControl w:val="0"/>
              <w:autoSpaceDE w:val="0"/>
              <w:autoSpaceDN w:val="0"/>
              <w:ind w:left="311"/>
              <w:rPr>
                <w:b/>
                <w:sz w:val="15"/>
                <w:szCs w:val="15"/>
              </w:rPr>
            </w:pPr>
            <w:r w:rsidRPr="00E64D14">
              <w:rPr>
                <w:b/>
                <w:sz w:val="15"/>
                <w:szCs w:val="15"/>
              </w:rPr>
              <w:t>Ključne</w:t>
            </w:r>
          </w:p>
          <w:p w14:paraId="5EF8F371" w14:textId="77777777" w:rsidR="00E541EE" w:rsidRPr="00E64D14" w:rsidRDefault="00E541EE" w:rsidP="00A84BB5">
            <w:pPr>
              <w:widowControl w:val="0"/>
              <w:autoSpaceDE w:val="0"/>
              <w:autoSpaceDN w:val="0"/>
              <w:spacing w:before="1"/>
              <w:ind w:left="227"/>
              <w:rPr>
                <w:b/>
                <w:sz w:val="15"/>
                <w:szCs w:val="15"/>
              </w:rPr>
            </w:pPr>
            <w:r w:rsidRPr="00E64D14">
              <w:rPr>
                <w:b/>
                <w:sz w:val="15"/>
                <w:szCs w:val="15"/>
              </w:rPr>
              <w:t>aktivnosti</w:t>
            </w:r>
          </w:p>
        </w:tc>
        <w:tc>
          <w:tcPr>
            <w:tcW w:w="998" w:type="dxa"/>
            <w:vMerge w:val="restart"/>
            <w:vAlign w:val="center"/>
          </w:tcPr>
          <w:p w14:paraId="0FA00E05" w14:textId="77777777" w:rsidR="00E541EE" w:rsidRPr="00E64D14" w:rsidRDefault="00E541EE" w:rsidP="00A84BB5">
            <w:pPr>
              <w:widowControl w:val="0"/>
              <w:autoSpaceDE w:val="0"/>
              <w:autoSpaceDN w:val="0"/>
              <w:ind w:hanging="44"/>
              <w:jc w:val="center"/>
              <w:rPr>
                <w:rFonts w:cstheme="minorHAnsi"/>
                <w:b/>
                <w:sz w:val="15"/>
                <w:szCs w:val="15"/>
              </w:rPr>
            </w:pPr>
            <w:r w:rsidRPr="00E64D14">
              <w:rPr>
                <w:rFonts w:cstheme="minorHAnsi"/>
                <w:b/>
                <w:sz w:val="15"/>
                <w:szCs w:val="15"/>
              </w:rPr>
              <w:t>Pokazatelj</w:t>
            </w:r>
            <w:r w:rsidRPr="00E64D14">
              <w:rPr>
                <w:rFonts w:cstheme="minorHAnsi"/>
                <w:b/>
                <w:spacing w:val="-34"/>
                <w:sz w:val="15"/>
                <w:szCs w:val="15"/>
              </w:rPr>
              <w:t xml:space="preserve"> </w:t>
            </w:r>
            <w:r w:rsidRPr="00E64D14">
              <w:rPr>
                <w:rFonts w:cstheme="minorHAnsi"/>
                <w:b/>
                <w:sz w:val="15"/>
                <w:szCs w:val="15"/>
              </w:rPr>
              <w:t>rezultata</w:t>
            </w:r>
          </w:p>
        </w:tc>
        <w:tc>
          <w:tcPr>
            <w:tcW w:w="850" w:type="dxa"/>
            <w:vMerge w:val="restart"/>
            <w:vAlign w:val="center"/>
          </w:tcPr>
          <w:p w14:paraId="0A4692BD" w14:textId="77777777" w:rsidR="00E541EE" w:rsidRPr="00E64D14" w:rsidRDefault="00E541EE" w:rsidP="00A84BB5">
            <w:pPr>
              <w:widowControl w:val="0"/>
              <w:autoSpaceDE w:val="0"/>
              <w:autoSpaceDN w:val="0"/>
              <w:ind w:left="44" w:right="32"/>
              <w:jc w:val="center"/>
              <w:rPr>
                <w:rFonts w:cstheme="minorHAnsi"/>
                <w:b/>
                <w:sz w:val="15"/>
                <w:szCs w:val="15"/>
              </w:rPr>
            </w:pPr>
            <w:r w:rsidRPr="00E64D14">
              <w:rPr>
                <w:rFonts w:cstheme="minorHAnsi"/>
                <w:b/>
                <w:sz w:val="15"/>
                <w:szCs w:val="15"/>
              </w:rPr>
              <w:t>Početna</w:t>
            </w:r>
            <w:r w:rsidRPr="00E64D14">
              <w:rPr>
                <w:rFonts w:cstheme="minorHAnsi"/>
                <w:b/>
                <w:spacing w:val="1"/>
                <w:sz w:val="15"/>
                <w:szCs w:val="15"/>
              </w:rPr>
              <w:t xml:space="preserve"> </w:t>
            </w:r>
            <w:r w:rsidRPr="00E64D14">
              <w:rPr>
                <w:rFonts w:cstheme="minorHAnsi"/>
                <w:b/>
                <w:sz w:val="15"/>
                <w:szCs w:val="15"/>
              </w:rPr>
              <w:t>vrijednost 2025.</w:t>
            </w:r>
            <w:r w:rsidRPr="00E64D14">
              <w:rPr>
                <w:rFonts w:cstheme="minorHAnsi"/>
                <w:b/>
                <w:spacing w:val="-34"/>
                <w:sz w:val="15"/>
                <w:szCs w:val="15"/>
              </w:rPr>
              <w:t xml:space="preserve"> </w:t>
            </w:r>
          </w:p>
        </w:tc>
        <w:tc>
          <w:tcPr>
            <w:tcW w:w="2410" w:type="dxa"/>
            <w:gridSpan w:val="3"/>
            <w:vAlign w:val="center"/>
          </w:tcPr>
          <w:p w14:paraId="5078039F" w14:textId="77777777" w:rsidR="00E541EE" w:rsidRPr="00E64D14" w:rsidRDefault="00E541EE" w:rsidP="00A84BB5">
            <w:pPr>
              <w:widowControl w:val="0"/>
              <w:autoSpaceDE w:val="0"/>
              <w:autoSpaceDN w:val="0"/>
              <w:ind w:left="70" w:right="56"/>
              <w:jc w:val="center"/>
              <w:rPr>
                <w:rFonts w:cstheme="minorHAnsi"/>
                <w:b/>
                <w:sz w:val="15"/>
                <w:szCs w:val="15"/>
              </w:rPr>
            </w:pPr>
            <w:r w:rsidRPr="00E64D14">
              <w:rPr>
                <w:rFonts w:cstheme="minorHAnsi"/>
                <w:b/>
                <w:sz w:val="15"/>
                <w:szCs w:val="15"/>
              </w:rPr>
              <w:t>Ciljna</w:t>
            </w:r>
            <w:r w:rsidRPr="00E64D14">
              <w:rPr>
                <w:rFonts w:cstheme="minorHAnsi"/>
                <w:b/>
                <w:spacing w:val="1"/>
                <w:sz w:val="15"/>
                <w:szCs w:val="15"/>
              </w:rPr>
              <w:t xml:space="preserve"> </w:t>
            </w:r>
            <w:r w:rsidRPr="00E64D14">
              <w:rPr>
                <w:rFonts w:cstheme="minorHAnsi"/>
                <w:b/>
                <w:sz w:val="15"/>
                <w:szCs w:val="15"/>
              </w:rPr>
              <w:t>vrijednost</w:t>
            </w:r>
            <w:r w:rsidRPr="00E64D14">
              <w:rPr>
                <w:rFonts w:cstheme="minorHAnsi"/>
                <w:b/>
                <w:spacing w:val="-34"/>
                <w:sz w:val="15"/>
                <w:szCs w:val="15"/>
              </w:rPr>
              <w:t xml:space="preserve"> </w:t>
            </w:r>
          </w:p>
        </w:tc>
      </w:tr>
      <w:tr w:rsidR="00E541EE" w:rsidRPr="00E64D14" w14:paraId="74F29C50" w14:textId="77777777" w:rsidTr="00E80F33">
        <w:trPr>
          <w:trHeight w:val="636"/>
        </w:trPr>
        <w:tc>
          <w:tcPr>
            <w:tcW w:w="1029" w:type="dxa"/>
            <w:vMerge/>
            <w:vAlign w:val="center"/>
          </w:tcPr>
          <w:p w14:paraId="7130FB9C" w14:textId="77777777" w:rsidR="00E541EE" w:rsidRPr="00E64D14" w:rsidRDefault="00E541EE" w:rsidP="00A84BB5">
            <w:pPr>
              <w:widowControl w:val="0"/>
              <w:autoSpaceDE w:val="0"/>
              <w:autoSpaceDN w:val="0"/>
              <w:spacing w:before="49"/>
              <w:jc w:val="center"/>
              <w:rPr>
                <w:b/>
                <w:sz w:val="15"/>
                <w:szCs w:val="15"/>
              </w:rPr>
            </w:pPr>
          </w:p>
        </w:tc>
        <w:tc>
          <w:tcPr>
            <w:tcW w:w="954" w:type="dxa"/>
            <w:vMerge/>
            <w:vAlign w:val="center"/>
          </w:tcPr>
          <w:p w14:paraId="7F31926B" w14:textId="77777777" w:rsidR="00E541EE" w:rsidRPr="00E64D14" w:rsidRDefault="00E541EE" w:rsidP="00A84BB5">
            <w:pPr>
              <w:widowControl w:val="0"/>
              <w:autoSpaceDE w:val="0"/>
              <w:autoSpaceDN w:val="0"/>
              <w:spacing w:line="195" w:lineRule="exact"/>
              <w:ind w:left="44" w:right="35"/>
              <w:jc w:val="center"/>
              <w:rPr>
                <w:b/>
                <w:sz w:val="15"/>
                <w:szCs w:val="15"/>
              </w:rPr>
            </w:pPr>
          </w:p>
        </w:tc>
        <w:tc>
          <w:tcPr>
            <w:tcW w:w="991" w:type="dxa"/>
            <w:vMerge/>
            <w:vAlign w:val="center"/>
          </w:tcPr>
          <w:p w14:paraId="2BCB11BA" w14:textId="77777777" w:rsidR="00E541EE" w:rsidRPr="00E64D14" w:rsidRDefault="00E541EE" w:rsidP="00A84BB5">
            <w:pPr>
              <w:widowControl w:val="0"/>
              <w:autoSpaceDE w:val="0"/>
              <w:autoSpaceDN w:val="0"/>
              <w:ind w:left="125" w:right="114"/>
              <w:jc w:val="center"/>
              <w:rPr>
                <w:b/>
                <w:spacing w:val="-1"/>
                <w:sz w:val="15"/>
                <w:szCs w:val="15"/>
              </w:rPr>
            </w:pPr>
          </w:p>
        </w:tc>
        <w:tc>
          <w:tcPr>
            <w:tcW w:w="850" w:type="dxa"/>
            <w:vMerge/>
            <w:vAlign w:val="center"/>
          </w:tcPr>
          <w:p w14:paraId="2873D3FB" w14:textId="77777777" w:rsidR="00E541EE" w:rsidRPr="00E64D14" w:rsidRDefault="00E541EE" w:rsidP="00A84BB5">
            <w:pPr>
              <w:widowControl w:val="0"/>
              <w:autoSpaceDE w:val="0"/>
              <w:autoSpaceDN w:val="0"/>
              <w:jc w:val="center"/>
              <w:rPr>
                <w:b/>
                <w:sz w:val="15"/>
                <w:szCs w:val="15"/>
              </w:rPr>
            </w:pPr>
          </w:p>
        </w:tc>
        <w:tc>
          <w:tcPr>
            <w:tcW w:w="1133" w:type="dxa"/>
            <w:vMerge/>
            <w:vAlign w:val="center"/>
          </w:tcPr>
          <w:p w14:paraId="7E97FBA1" w14:textId="77777777" w:rsidR="00E541EE" w:rsidRPr="00E64D14" w:rsidRDefault="00E541EE" w:rsidP="00A84BB5">
            <w:pPr>
              <w:widowControl w:val="0"/>
              <w:autoSpaceDE w:val="0"/>
              <w:autoSpaceDN w:val="0"/>
              <w:ind w:left="70" w:right="60"/>
              <w:jc w:val="center"/>
              <w:rPr>
                <w:b/>
                <w:sz w:val="15"/>
                <w:szCs w:val="15"/>
              </w:rPr>
            </w:pPr>
          </w:p>
        </w:tc>
        <w:tc>
          <w:tcPr>
            <w:tcW w:w="1275" w:type="dxa"/>
            <w:vMerge/>
            <w:vAlign w:val="center"/>
          </w:tcPr>
          <w:p w14:paraId="279D3937" w14:textId="77777777" w:rsidR="00E541EE" w:rsidRPr="00E64D14" w:rsidRDefault="00E541EE" w:rsidP="00A84BB5">
            <w:pPr>
              <w:widowControl w:val="0"/>
              <w:autoSpaceDE w:val="0"/>
              <w:autoSpaceDN w:val="0"/>
              <w:ind w:left="311"/>
              <w:jc w:val="center"/>
              <w:rPr>
                <w:b/>
                <w:sz w:val="15"/>
                <w:szCs w:val="15"/>
              </w:rPr>
            </w:pPr>
          </w:p>
        </w:tc>
        <w:tc>
          <w:tcPr>
            <w:tcW w:w="998" w:type="dxa"/>
            <w:vMerge/>
            <w:tcBorders>
              <w:bottom w:val="single" w:sz="4" w:space="0" w:color="auto"/>
            </w:tcBorders>
            <w:vAlign w:val="center"/>
          </w:tcPr>
          <w:p w14:paraId="55A8B1D8" w14:textId="77777777" w:rsidR="00E541EE" w:rsidRPr="00E64D14" w:rsidRDefault="00E541EE" w:rsidP="00A84BB5">
            <w:pPr>
              <w:widowControl w:val="0"/>
              <w:autoSpaceDE w:val="0"/>
              <w:autoSpaceDN w:val="0"/>
              <w:ind w:hanging="44"/>
              <w:jc w:val="center"/>
              <w:rPr>
                <w:rFonts w:cstheme="minorHAnsi"/>
                <w:b/>
                <w:sz w:val="15"/>
                <w:szCs w:val="15"/>
              </w:rPr>
            </w:pPr>
          </w:p>
        </w:tc>
        <w:tc>
          <w:tcPr>
            <w:tcW w:w="850" w:type="dxa"/>
            <w:vMerge/>
            <w:tcBorders>
              <w:bottom w:val="single" w:sz="4" w:space="0" w:color="auto"/>
            </w:tcBorders>
            <w:vAlign w:val="center"/>
          </w:tcPr>
          <w:p w14:paraId="43BB9485" w14:textId="77777777" w:rsidR="00E541EE" w:rsidRPr="00E64D14" w:rsidRDefault="00E541EE" w:rsidP="00A84BB5">
            <w:pPr>
              <w:widowControl w:val="0"/>
              <w:autoSpaceDE w:val="0"/>
              <w:autoSpaceDN w:val="0"/>
              <w:ind w:left="44" w:right="32"/>
              <w:jc w:val="center"/>
              <w:rPr>
                <w:rFonts w:cstheme="minorHAnsi"/>
                <w:b/>
                <w:sz w:val="15"/>
                <w:szCs w:val="15"/>
              </w:rPr>
            </w:pPr>
          </w:p>
        </w:tc>
        <w:tc>
          <w:tcPr>
            <w:tcW w:w="823" w:type="dxa"/>
            <w:tcBorders>
              <w:bottom w:val="single" w:sz="4" w:space="0" w:color="auto"/>
            </w:tcBorders>
            <w:vAlign w:val="center"/>
          </w:tcPr>
          <w:p w14:paraId="0E3D7F1F" w14:textId="77777777" w:rsidR="00E541EE" w:rsidRPr="00E64D14" w:rsidRDefault="00E541EE" w:rsidP="00A84BB5">
            <w:pPr>
              <w:widowControl w:val="0"/>
              <w:autoSpaceDE w:val="0"/>
              <w:autoSpaceDN w:val="0"/>
              <w:ind w:left="87" w:right="70"/>
              <w:jc w:val="center"/>
              <w:rPr>
                <w:rFonts w:cstheme="minorHAnsi"/>
                <w:b/>
                <w:sz w:val="15"/>
                <w:szCs w:val="15"/>
              </w:rPr>
            </w:pPr>
            <w:r w:rsidRPr="00E64D14">
              <w:rPr>
                <w:rFonts w:cstheme="minorHAnsi"/>
                <w:b/>
                <w:sz w:val="15"/>
                <w:szCs w:val="15"/>
              </w:rPr>
              <w:t>za 2026.</w:t>
            </w:r>
          </w:p>
        </w:tc>
        <w:tc>
          <w:tcPr>
            <w:tcW w:w="737" w:type="dxa"/>
            <w:tcBorders>
              <w:bottom w:val="single" w:sz="4" w:space="0" w:color="auto"/>
            </w:tcBorders>
            <w:vAlign w:val="center"/>
          </w:tcPr>
          <w:p w14:paraId="684282B4" w14:textId="77777777" w:rsidR="00E541EE" w:rsidRPr="00E64D14" w:rsidRDefault="00E541EE" w:rsidP="00A84BB5">
            <w:pPr>
              <w:widowControl w:val="0"/>
              <w:autoSpaceDE w:val="0"/>
              <w:autoSpaceDN w:val="0"/>
              <w:ind w:left="75" w:right="61"/>
              <w:jc w:val="center"/>
              <w:rPr>
                <w:rFonts w:cstheme="minorHAnsi"/>
                <w:b/>
                <w:sz w:val="15"/>
                <w:szCs w:val="15"/>
              </w:rPr>
            </w:pPr>
            <w:r w:rsidRPr="00E64D14">
              <w:rPr>
                <w:rFonts w:cstheme="minorHAnsi"/>
                <w:b/>
                <w:sz w:val="15"/>
                <w:szCs w:val="15"/>
              </w:rPr>
              <w:t>za</w:t>
            </w:r>
          </w:p>
          <w:p w14:paraId="5A9D274E" w14:textId="77777777" w:rsidR="00E541EE" w:rsidRPr="00E64D14" w:rsidRDefault="00E541EE" w:rsidP="00A84BB5">
            <w:pPr>
              <w:widowControl w:val="0"/>
              <w:autoSpaceDE w:val="0"/>
              <w:autoSpaceDN w:val="0"/>
              <w:ind w:left="75" w:right="61"/>
              <w:jc w:val="center"/>
              <w:rPr>
                <w:rFonts w:cstheme="minorHAnsi"/>
                <w:b/>
                <w:sz w:val="15"/>
                <w:szCs w:val="15"/>
              </w:rPr>
            </w:pPr>
            <w:r w:rsidRPr="00E64D14">
              <w:rPr>
                <w:rFonts w:cstheme="minorHAnsi"/>
                <w:b/>
                <w:sz w:val="15"/>
                <w:szCs w:val="15"/>
              </w:rPr>
              <w:t>2027.</w:t>
            </w:r>
          </w:p>
        </w:tc>
        <w:tc>
          <w:tcPr>
            <w:tcW w:w="850" w:type="dxa"/>
            <w:tcBorders>
              <w:bottom w:val="single" w:sz="4" w:space="0" w:color="auto"/>
            </w:tcBorders>
            <w:vAlign w:val="center"/>
          </w:tcPr>
          <w:p w14:paraId="59F9B519" w14:textId="77777777" w:rsidR="00E541EE" w:rsidRPr="00E64D14" w:rsidRDefault="00E541EE" w:rsidP="00A84BB5">
            <w:pPr>
              <w:widowControl w:val="0"/>
              <w:autoSpaceDE w:val="0"/>
              <w:autoSpaceDN w:val="0"/>
              <w:ind w:left="70" w:right="56"/>
              <w:jc w:val="center"/>
              <w:rPr>
                <w:rFonts w:cstheme="minorHAnsi"/>
                <w:b/>
                <w:sz w:val="15"/>
                <w:szCs w:val="15"/>
              </w:rPr>
            </w:pPr>
            <w:r w:rsidRPr="00E64D14">
              <w:rPr>
                <w:rFonts w:cstheme="minorHAnsi"/>
                <w:b/>
                <w:sz w:val="15"/>
                <w:szCs w:val="15"/>
              </w:rPr>
              <w:t>za</w:t>
            </w:r>
          </w:p>
          <w:p w14:paraId="5BA57126" w14:textId="77777777" w:rsidR="00E541EE" w:rsidRPr="00E64D14" w:rsidRDefault="00E541EE" w:rsidP="00A84BB5">
            <w:pPr>
              <w:widowControl w:val="0"/>
              <w:autoSpaceDE w:val="0"/>
              <w:autoSpaceDN w:val="0"/>
              <w:ind w:left="70" w:right="56"/>
              <w:jc w:val="center"/>
              <w:rPr>
                <w:rFonts w:cstheme="minorHAnsi"/>
                <w:b/>
                <w:sz w:val="15"/>
                <w:szCs w:val="15"/>
              </w:rPr>
            </w:pPr>
            <w:r w:rsidRPr="00E64D14">
              <w:rPr>
                <w:rFonts w:cstheme="minorHAnsi"/>
                <w:b/>
                <w:sz w:val="15"/>
                <w:szCs w:val="15"/>
              </w:rPr>
              <w:t>2028.</w:t>
            </w:r>
          </w:p>
        </w:tc>
      </w:tr>
      <w:tr w:rsidR="00E541EE" w:rsidRPr="00E64D14" w14:paraId="6AE9029C" w14:textId="77777777" w:rsidTr="00E80F33">
        <w:trPr>
          <w:trHeight w:val="60"/>
        </w:trPr>
        <w:tc>
          <w:tcPr>
            <w:tcW w:w="1029" w:type="dxa"/>
            <w:vAlign w:val="center"/>
          </w:tcPr>
          <w:p w14:paraId="1A639D47" w14:textId="77777777" w:rsidR="00E541EE" w:rsidRPr="00E64D14" w:rsidRDefault="00E541EE" w:rsidP="00A84BB5">
            <w:pPr>
              <w:pStyle w:val="TableParagraph"/>
              <w:spacing w:before="49"/>
              <w:ind w:left="137" w:right="35"/>
              <w:jc w:val="center"/>
              <w:rPr>
                <w:sz w:val="15"/>
                <w:szCs w:val="15"/>
              </w:rPr>
            </w:pPr>
            <w:r w:rsidRPr="00E64D14">
              <w:rPr>
                <w:sz w:val="15"/>
                <w:szCs w:val="15"/>
              </w:rPr>
              <w:t>Provedbeni program Grada Rovinja-Rovigno za razdoblje 2025.-2029. godine</w:t>
            </w:r>
          </w:p>
        </w:tc>
        <w:tc>
          <w:tcPr>
            <w:tcW w:w="954" w:type="dxa"/>
            <w:vAlign w:val="center"/>
          </w:tcPr>
          <w:p w14:paraId="7A957C24" w14:textId="77777777" w:rsidR="00E541EE" w:rsidRPr="00E64D14" w:rsidRDefault="00E541EE" w:rsidP="00A84BB5">
            <w:pPr>
              <w:pStyle w:val="TableParagraph"/>
              <w:ind w:left="137" w:right="19"/>
              <w:jc w:val="center"/>
              <w:rPr>
                <w:sz w:val="15"/>
                <w:szCs w:val="15"/>
              </w:rPr>
            </w:pPr>
            <w:r w:rsidRPr="00E64D14">
              <w:rPr>
                <w:sz w:val="15"/>
                <w:szCs w:val="15"/>
              </w:rPr>
              <w:t>1.6. Jačanje kapaciteta za upravljanje rizicima</w:t>
            </w:r>
          </w:p>
        </w:tc>
        <w:tc>
          <w:tcPr>
            <w:tcW w:w="991" w:type="dxa"/>
            <w:shd w:val="clear" w:color="auto" w:fill="FFF1CC"/>
            <w:vAlign w:val="center"/>
          </w:tcPr>
          <w:p w14:paraId="53C858A1" w14:textId="77777777" w:rsidR="00E541EE" w:rsidRPr="00E64D14" w:rsidRDefault="00E541EE" w:rsidP="00A84BB5">
            <w:pPr>
              <w:pStyle w:val="TableParagraph"/>
              <w:spacing w:before="7"/>
              <w:ind w:left="137"/>
              <w:rPr>
                <w:sz w:val="15"/>
                <w:szCs w:val="15"/>
              </w:rPr>
            </w:pPr>
          </w:p>
          <w:p w14:paraId="47FCF387" w14:textId="77777777" w:rsidR="00E541EE" w:rsidRPr="00E64D14" w:rsidRDefault="00E541EE" w:rsidP="00A84BB5">
            <w:pPr>
              <w:pStyle w:val="TableParagraph"/>
              <w:ind w:left="137" w:right="63"/>
              <w:rPr>
                <w:sz w:val="15"/>
                <w:szCs w:val="15"/>
                <w:highlight w:val="yellow"/>
              </w:rPr>
            </w:pPr>
            <w:r w:rsidRPr="00E64D14">
              <w:rPr>
                <w:sz w:val="15"/>
                <w:szCs w:val="15"/>
              </w:rPr>
              <w:t xml:space="preserve">P-1038 Program: civilna zaštita </w:t>
            </w:r>
          </w:p>
        </w:tc>
        <w:tc>
          <w:tcPr>
            <w:tcW w:w="850" w:type="dxa"/>
            <w:vAlign w:val="center"/>
          </w:tcPr>
          <w:p w14:paraId="4E17501E" w14:textId="77777777" w:rsidR="00E541EE" w:rsidRPr="00E64D14" w:rsidRDefault="00E541EE" w:rsidP="00A84BB5">
            <w:pPr>
              <w:pStyle w:val="TableParagraph"/>
              <w:spacing w:before="7"/>
              <w:rPr>
                <w:sz w:val="15"/>
                <w:szCs w:val="15"/>
              </w:rPr>
            </w:pPr>
          </w:p>
          <w:p w14:paraId="6F697313" w14:textId="77777777" w:rsidR="00E541EE" w:rsidRPr="00E64D14" w:rsidRDefault="00E541EE" w:rsidP="00A84BB5">
            <w:pPr>
              <w:pStyle w:val="TableParagraph"/>
              <w:ind w:right="11"/>
              <w:rPr>
                <w:sz w:val="15"/>
                <w:szCs w:val="15"/>
                <w:highlight w:val="yellow"/>
              </w:rPr>
            </w:pPr>
            <w:r w:rsidRPr="00E64D14">
              <w:rPr>
                <w:sz w:val="15"/>
                <w:szCs w:val="15"/>
              </w:rPr>
              <w:t>11. Unaprjeđenje sustava civilne zašite</w:t>
            </w:r>
          </w:p>
        </w:tc>
        <w:tc>
          <w:tcPr>
            <w:tcW w:w="1133" w:type="dxa"/>
            <w:shd w:val="clear" w:color="auto" w:fill="FFF1CC"/>
            <w:vAlign w:val="center"/>
          </w:tcPr>
          <w:p w14:paraId="3B709A7C" w14:textId="77777777" w:rsidR="00E541EE" w:rsidRPr="00E64D14" w:rsidRDefault="00E541EE" w:rsidP="00A84BB5">
            <w:pPr>
              <w:pStyle w:val="TableParagraph"/>
              <w:ind w:left="137"/>
              <w:rPr>
                <w:sz w:val="15"/>
                <w:szCs w:val="15"/>
              </w:rPr>
            </w:pPr>
          </w:p>
          <w:p w14:paraId="69E3672D" w14:textId="77777777" w:rsidR="00E541EE" w:rsidRPr="00E64D14" w:rsidRDefault="00E541EE" w:rsidP="00A84BB5">
            <w:pPr>
              <w:pStyle w:val="TableParagraph"/>
              <w:spacing w:before="8"/>
              <w:ind w:left="137"/>
              <w:rPr>
                <w:sz w:val="15"/>
                <w:szCs w:val="15"/>
              </w:rPr>
            </w:pPr>
          </w:p>
          <w:p w14:paraId="53FA2B46" w14:textId="77777777" w:rsidR="00E541EE" w:rsidRPr="00E64D14" w:rsidRDefault="00E541EE" w:rsidP="00A84BB5">
            <w:pPr>
              <w:pStyle w:val="TableParagraph"/>
              <w:ind w:left="137"/>
              <w:rPr>
                <w:sz w:val="15"/>
                <w:szCs w:val="15"/>
                <w:highlight w:val="yellow"/>
              </w:rPr>
            </w:pPr>
            <w:r w:rsidRPr="00E64D14">
              <w:rPr>
                <w:sz w:val="15"/>
                <w:szCs w:val="15"/>
              </w:rPr>
              <w:t>62.970,00</w:t>
            </w:r>
          </w:p>
        </w:tc>
        <w:tc>
          <w:tcPr>
            <w:tcW w:w="1275" w:type="dxa"/>
            <w:tcBorders>
              <w:right w:val="single" w:sz="4" w:space="0" w:color="auto"/>
            </w:tcBorders>
            <w:vAlign w:val="center"/>
          </w:tcPr>
          <w:p w14:paraId="3F5AF4EC" w14:textId="77777777" w:rsidR="00E541EE" w:rsidRPr="00E64D14" w:rsidRDefault="00E541EE" w:rsidP="00A84BB5">
            <w:pPr>
              <w:ind w:left="137"/>
              <w:rPr>
                <w:sz w:val="15"/>
                <w:szCs w:val="15"/>
              </w:rPr>
            </w:pPr>
            <w:r w:rsidRPr="00E64D14">
              <w:rPr>
                <w:sz w:val="15"/>
                <w:szCs w:val="15"/>
              </w:rPr>
              <w:t>A 103801: Priprema i opremanje jedinica civilne zaštite</w:t>
            </w:r>
          </w:p>
          <w:p w14:paraId="1F72C912" w14:textId="77777777" w:rsidR="00E541EE" w:rsidRPr="00E64D14" w:rsidRDefault="00E541EE" w:rsidP="00A84BB5">
            <w:pPr>
              <w:ind w:left="137"/>
              <w:rPr>
                <w:sz w:val="15"/>
                <w:szCs w:val="15"/>
              </w:rPr>
            </w:pPr>
            <w:r w:rsidRPr="00E64D14">
              <w:rPr>
                <w:sz w:val="15"/>
                <w:szCs w:val="15"/>
              </w:rPr>
              <w:t>A 103802: Sufinanciranje regionalne službe zaštite i spašavanja</w:t>
            </w:r>
          </w:p>
          <w:p w14:paraId="11986805" w14:textId="77777777" w:rsidR="00E541EE" w:rsidRPr="00E64D14" w:rsidRDefault="00E541EE" w:rsidP="00A84BB5">
            <w:pPr>
              <w:ind w:left="137"/>
              <w:rPr>
                <w:sz w:val="15"/>
                <w:szCs w:val="15"/>
              </w:rPr>
            </w:pPr>
            <w:r w:rsidRPr="00E64D14">
              <w:rPr>
                <w:sz w:val="15"/>
                <w:szCs w:val="15"/>
              </w:rPr>
              <w:t>A 103804: Sufinanciranje Gorske službe spašavanja</w:t>
            </w:r>
          </w:p>
          <w:p w14:paraId="1EDB4F4D" w14:textId="77777777" w:rsidR="00E541EE" w:rsidRPr="00E64D14" w:rsidRDefault="00E541EE" w:rsidP="00A84BB5">
            <w:pPr>
              <w:ind w:left="137"/>
              <w:rPr>
                <w:sz w:val="15"/>
                <w:szCs w:val="15"/>
              </w:rPr>
            </w:pPr>
            <w:r w:rsidRPr="00E64D14">
              <w:rPr>
                <w:sz w:val="15"/>
                <w:szCs w:val="15"/>
              </w:rPr>
              <w:t>T 103805 Plan zaštite divljači</w:t>
            </w:r>
          </w:p>
          <w:p w14:paraId="5E7DFB63" w14:textId="77777777" w:rsidR="00E541EE" w:rsidRPr="00E64D14" w:rsidRDefault="00E541EE" w:rsidP="00A84BB5">
            <w:pPr>
              <w:ind w:left="137"/>
              <w:rPr>
                <w:sz w:val="15"/>
                <w:szCs w:val="15"/>
              </w:rPr>
            </w:pPr>
          </w:p>
          <w:p w14:paraId="2221EA92" w14:textId="77777777" w:rsidR="00E541EE" w:rsidRPr="00E64D14" w:rsidRDefault="00E541EE" w:rsidP="00A84BB5">
            <w:pPr>
              <w:ind w:left="137"/>
              <w:rPr>
                <w:sz w:val="15"/>
                <w:szCs w:val="15"/>
                <w:highlight w:val="yellow"/>
              </w:rPr>
            </w:pPr>
            <w:r w:rsidRPr="00E64D14">
              <w:rPr>
                <w:sz w:val="15"/>
                <w:szCs w:val="15"/>
              </w:rPr>
              <w:t>T 103807 Plan civilne zaštite</w:t>
            </w:r>
          </w:p>
        </w:tc>
        <w:tc>
          <w:tcPr>
            <w:tcW w:w="998" w:type="dxa"/>
            <w:tcBorders>
              <w:top w:val="single" w:sz="4" w:space="0" w:color="auto"/>
              <w:left w:val="single" w:sz="4" w:space="0" w:color="auto"/>
              <w:bottom w:val="single" w:sz="4" w:space="0" w:color="auto"/>
              <w:right w:val="single" w:sz="4" w:space="0" w:color="auto"/>
            </w:tcBorders>
            <w:vAlign w:val="center"/>
          </w:tcPr>
          <w:p w14:paraId="0A30A235" w14:textId="77777777" w:rsidR="00E541EE" w:rsidRPr="00E64D14" w:rsidRDefault="00E541EE" w:rsidP="00A84BB5">
            <w:pPr>
              <w:ind w:hanging="44"/>
              <w:jc w:val="center"/>
              <w:rPr>
                <w:rFonts w:cstheme="minorHAnsi"/>
                <w:sz w:val="15"/>
                <w:szCs w:val="15"/>
                <w:highlight w:val="yellow"/>
              </w:rPr>
            </w:pPr>
            <w:r w:rsidRPr="00E64D14">
              <w:rPr>
                <w:rFonts w:eastAsia="Times New Roman" w:cstheme="minorHAnsi"/>
                <w:sz w:val="15"/>
                <w:szCs w:val="15"/>
              </w:rPr>
              <w:t>Ukupan broj pripadnika sustava civilne zaštite na području JLP(R)S</w:t>
            </w:r>
          </w:p>
        </w:tc>
        <w:tc>
          <w:tcPr>
            <w:tcW w:w="850" w:type="dxa"/>
            <w:tcBorders>
              <w:top w:val="single" w:sz="4" w:space="0" w:color="auto"/>
              <w:left w:val="single" w:sz="4" w:space="0" w:color="auto"/>
              <w:bottom w:val="single" w:sz="4" w:space="0" w:color="auto"/>
              <w:right w:val="single" w:sz="4" w:space="0" w:color="auto"/>
            </w:tcBorders>
            <w:vAlign w:val="center"/>
          </w:tcPr>
          <w:p w14:paraId="06CB8374" w14:textId="77777777" w:rsidR="00E541EE" w:rsidRPr="00E64D14" w:rsidRDefault="00E541EE" w:rsidP="00A84BB5">
            <w:pPr>
              <w:ind w:left="137"/>
              <w:jc w:val="center"/>
              <w:rPr>
                <w:rFonts w:cstheme="minorHAnsi"/>
                <w:sz w:val="15"/>
                <w:szCs w:val="15"/>
                <w:highlight w:val="yellow"/>
              </w:rPr>
            </w:pPr>
            <w:r w:rsidRPr="00E64D14">
              <w:rPr>
                <w:rFonts w:eastAsia="Times New Roman" w:cstheme="minorHAnsi"/>
                <w:sz w:val="15"/>
                <w:szCs w:val="15"/>
              </w:rPr>
              <w:t>60</w:t>
            </w:r>
          </w:p>
        </w:tc>
        <w:tc>
          <w:tcPr>
            <w:tcW w:w="823" w:type="dxa"/>
            <w:tcBorders>
              <w:top w:val="single" w:sz="4" w:space="0" w:color="auto"/>
              <w:left w:val="single" w:sz="4" w:space="0" w:color="auto"/>
              <w:bottom w:val="single" w:sz="4" w:space="0" w:color="auto"/>
              <w:right w:val="single" w:sz="4" w:space="0" w:color="auto"/>
            </w:tcBorders>
            <w:vAlign w:val="center"/>
          </w:tcPr>
          <w:p w14:paraId="487EB575" w14:textId="77777777" w:rsidR="00E541EE" w:rsidRPr="00E64D14" w:rsidRDefault="00E541EE" w:rsidP="00A84BB5">
            <w:pPr>
              <w:ind w:left="137"/>
              <w:jc w:val="center"/>
              <w:rPr>
                <w:rFonts w:cstheme="minorHAnsi"/>
                <w:sz w:val="15"/>
                <w:szCs w:val="15"/>
              </w:rPr>
            </w:pPr>
            <w:r w:rsidRPr="00E64D14">
              <w:rPr>
                <w:rFonts w:eastAsia="Times New Roman" w:cstheme="minorHAnsi"/>
                <w:sz w:val="15"/>
                <w:szCs w:val="15"/>
              </w:rPr>
              <w:t>63</w:t>
            </w:r>
          </w:p>
        </w:tc>
        <w:tc>
          <w:tcPr>
            <w:tcW w:w="737" w:type="dxa"/>
            <w:tcBorders>
              <w:top w:val="single" w:sz="4" w:space="0" w:color="auto"/>
              <w:left w:val="single" w:sz="4" w:space="0" w:color="auto"/>
              <w:bottom w:val="single" w:sz="4" w:space="0" w:color="auto"/>
              <w:right w:val="single" w:sz="4" w:space="0" w:color="auto"/>
            </w:tcBorders>
            <w:vAlign w:val="center"/>
          </w:tcPr>
          <w:p w14:paraId="40042BCF" w14:textId="77777777" w:rsidR="00E541EE" w:rsidRPr="00E64D14" w:rsidRDefault="00E541EE" w:rsidP="00A84BB5">
            <w:pPr>
              <w:ind w:left="137"/>
              <w:jc w:val="center"/>
              <w:rPr>
                <w:rFonts w:cstheme="minorHAnsi"/>
                <w:sz w:val="15"/>
                <w:szCs w:val="15"/>
              </w:rPr>
            </w:pPr>
            <w:r w:rsidRPr="00E64D14">
              <w:rPr>
                <w:rFonts w:eastAsia="Times New Roman" w:cstheme="minorHAnsi"/>
                <w:sz w:val="15"/>
                <w:szCs w:val="15"/>
              </w:rPr>
              <w:t>65</w:t>
            </w:r>
          </w:p>
        </w:tc>
        <w:tc>
          <w:tcPr>
            <w:tcW w:w="850" w:type="dxa"/>
            <w:tcBorders>
              <w:top w:val="single" w:sz="4" w:space="0" w:color="auto"/>
              <w:left w:val="single" w:sz="4" w:space="0" w:color="auto"/>
              <w:bottom w:val="single" w:sz="4" w:space="0" w:color="auto"/>
              <w:right w:val="single" w:sz="4" w:space="0" w:color="auto"/>
            </w:tcBorders>
            <w:vAlign w:val="center"/>
          </w:tcPr>
          <w:p w14:paraId="7B118A06" w14:textId="77777777" w:rsidR="00E541EE" w:rsidRPr="00E64D14" w:rsidRDefault="00E541EE" w:rsidP="00A84BB5">
            <w:pPr>
              <w:ind w:left="137"/>
              <w:jc w:val="center"/>
              <w:rPr>
                <w:rFonts w:cstheme="minorHAnsi"/>
                <w:sz w:val="15"/>
                <w:szCs w:val="15"/>
              </w:rPr>
            </w:pPr>
            <w:r w:rsidRPr="00E64D14">
              <w:rPr>
                <w:rFonts w:eastAsia="Times New Roman" w:cstheme="minorHAnsi"/>
                <w:sz w:val="15"/>
                <w:szCs w:val="15"/>
              </w:rPr>
              <w:t>67</w:t>
            </w:r>
          </w:p>
        </w:tc>
      </w:tr>
      <w:tr w:rsidR="008B3204" w:rsidRPr="00E64D14" w14:paraId="54A92B49" w14:textId="77777777" w:rsidTr="00E80F33">
        <w:trPr>
          <w:trHeight w:val="60"/>
        </w:trPr>
        <w:tc>
          <w:tcPr>
            <w:tcW w:w="1029" w:type="dxa"/>
            <w:vAlign w:val="center"/>
          </w:tcPr>
          <w:p w14:paraId="4F79D238" w14:textId="77777777" w:rsidR="008B3204" w:rsidRPr="00E64D14" w:rsidRDefault="008B3204" w:rsidP="00A84BB5">
            <w:pPr>
              <w:pStyle w:val="TableParagraph"/>
              <w:spacing w:before="49"/>
              <w:ind w:left="137" w:right="35"/>
              <w:jc w:val="center"/>
              <w:rPr>
                <w:sz w:val="15"/>
                <w:szCs w:val="15"/>
              </w:rPr>
            </w:pPr>
          </w:p>
        </w:tc>
        <w:tc>
          <w:tcPr>
            <w:tcW w:w="954" w:type="dxa"/>
            <w:vAlign w:val="center"/>
          </w:tcPr>
          <w:p w14:paraId="0F82967F" w14:textId="77777777" w:rsidR="008B3204" w:rsidRPr="00E64D14" w:rsidRDefault="008B3204" w:rsidP="00A84BB5">
            <w:pPr>
              <w:pStyle w:val="TableParagraph"/>
              <w:ind w:left="137" w:right="19"/>
              <w:jc w:val="center"/>
              <w:rPr>
                <w:sz w:val="15"/>
                <w:szCs w:val="15"/>
              </w:rPr>
            </w:pPr>
          </w:p>
        </w:tc>
        <w:tc>
          <w:tcPr>
            <w:tcW w:w="991" w:type="dxa"/>
            <w:shd w:val="clear" w:color="auto" w:fill="FFF1CC"/>
            <w:vAlign w:val="center"/>
          </w:tcPr>
          <w:p w14:paraId="1FD44C0C" w14:textId="77777777" w:rsidR="008B3204" w:rsidRPr="00E64D14" w:rsidRDefault="008B3204" w:rsidP="00A84BB5">
            <w:pPr>
              <w:pStyle w:val="TableParagraph"/>
              <w:spacing w:before="7"/>
              <w:ind w:left="137"/>
              <w:rPr>
                <w:sz w:val="15"/>
                <w:szCs w:val="15"/>
              </w:rPr>
            </w:pPr>
          </w:p>
        </w:tc>
        <w:tc>
          <w:tcPr>
            <w:tcW w:w="850" w:type="dxa"/>
            <w:vAlign w:val="center"/>
          </w:tcPr>
          <w:p w14:paraId="2E762DE5" w14:textId="77777777" w:rsidR="008B3204" w:rsidRPr="00E64D14" w:rsidRDefault="008B3204" w:rsidP="00A84BB5">
            <w:pPr>
              <w:pStyle w:val="TableParagraph"/>
              <w:spacing w:before="7"/>
              <w:rPr>
                <w:sz w:val="15"/>
                <w:szCs w:val="15"/>
              </w:rPr>
            </w:pPr>
          </w:p>
        </w:tc>
        <w:tc>
          <w:tcPr>
            <w:tcW w:w="1133" w:type="dxa"/>
            <w:shd w:val="clear" w:color="auto" w:fill="FFF1CC"/>
            <w:vAlign w:val="center"/>
          </w:tcPr>
          <w:p w14:paraId="06CB7340" w14:textId="77777777" w:rsidR="008B3204" w:rsidRPr="00E64D14" w:rsidRDefault="008B3204" w:rsidP="00A84BB5">
            <w:pPr>
              <w:pStyle w:val="TableParagraph"/>
              <w:ind w:left="137"/>
              <w:rPr>
                <w:sz w:val="15"/>
                <w:szCs w:val="15"/>
              </w:rPr>
            </w:pPr>
          </w:p>
        </w:tc>
        <w:tc>
          <w:tcPr>
            <w:tcW w:w="1275" w:type="dxa"/>
            <w:tcBorders>
              <w:right w:val="single" w:sz="4" w:space="0" w:color="auto"/>
            </w:tcBorders>
            <w:vAlign w:val="center"/>
          </w:tcPr>
          <w:p w14:paraId="4611158C" w14:textId="77777777" w:rsidR="008B3204" w:rsidRPr="00E64D14" w:rsidRDefault="008B3204" w:rsidP="00A84BB5">
            <w:pPr>
              <w:ind w:left="137"/>
              <w:rPr>
                <w:sz w:val="15"/>
                <w:szCs w:val="15"/>
              </w:rPr>
            </w:pPr>
          </w:p>
        </w:tc>
        <w:tc>
          <w:tcPr>
            <w:tcW w:w="998" w:type="dxa"/>
            <w:tcBorders>
              <w:top w:val="single" w:sz="4" w:space="0" w:color="auto"/>
              <w:left w:val="single" w:sz="4" w:space="0" w:color="auto"/>
              <w:bottom w:val="single" w:sz="4" w:space="0" w:color="auto"/>
              <w:right w:val="single" w:sz="4" w:space="0" w:color="auto"/>
            </w:tcBorders>
            <w:vAlign w:val="center"/>
          </w:tcPr>
          <w:p w14:paraId="187477A6" w14:textId="77777777" w:rsidR="008B3204" w:rsidRPr="00E64D14" w:rsidRDefault="008B3204" w:rsidP="00A84BB5">
            <w:pPr>
              <w:ind w:hanging="44"/>
              <w:jc w:val="center"/>
              <w:rPr>
                <w:rFonts w:eastAsia="Times New Roman" w:cstheme="minorHAnsi"/>
                <w:sz w:val="15"/>
                <w:szCs w:val="15"/>
              </w:rPr>
            </w:pPr>
          </w:p>
        </w:tc>
        <w:tc>
          <w:tcPr>
            <w:tcW w:w="850" w:type="dxa"/>
            <w:tcBorders>
              <w:top w:val="single" w:sz="4" w:space="0" w:color="auto"/>
              <w:left w:val="single" w:sz="4" w:space="0" w:color="auto"/>
              <w:bottom w:val="single" w:sz="4" w:space="0" w:color="auto"/>
              <w:right w:val="single" w:sz="4" w:space="0" w:color="auto"/>
            </w:tcBorders>
            <w:vAlign w:val="center"/>
          </w:tcPr>
          <w:p w14:paraId="471EE256" w14:textId="77777777" w:rsidR="008B3204" w:rsidRPr="00E64D14" w:rsidRDefault="008B3204" w:rsidP="00A84BB5">
            <w:pPr>
              <w:ind w:left="137"/>
              <w:jc w:val="center"/>
              <w:rPr>
                <w:rFonts w:eastAsia="Times New Roman" w:cstheme="minorHAnsi"/>
                <w:sz w:val="15"/>
                <w:szCs w:val="15"/>
              </w:rPr>
            </w:pPr>
          </w:p>
        </w:tc>
        <w:tc>
          <w:tcPr>
            <w:tcW w:w="823" w:type="dxa"/>
            <w:tcBorders>
              <w:top w:val="single" w:sz="4" w:space="0" w:color="auto"/>
              <w:left w:val="single" w:sz="4" w:space="0" w:color="auto"/>
              <w:bottom w:val="single" w:sz="4" w:space="0" w:color="auto"/>
              <w:right w:val="single" w:sz="4" w:space="0" w:color="auto"/>
            </w:tcBorders>
            <w:vAlign w:val="center"/>
          </w:tcPr>
          <w:p w14:paraId="06DDDE94" w14:textId="77777777" w:rsidR="008B3204" w:rsidRPr="00E64D14" w:rsidRDefault="008B3204" w:rsidP="00A84BB5">
            <w:pPr>
              <w:ind w:left="137"/>
              <w:jc w:val="center"/>
              <w:rPr>
                <w:rFonts w:eastAsia="Times New Roman" w:cstheme="minorHAnsi"/>
                <w:sz w:val="15"/>
                <w:szCs w:val="15"/>
              </w:rPr>
            </w:pPr>
          </w:p>
        </w:tc>
        <w:tc>
          <w:tcPr>
            <w:tcW w:w="737" w:type="dxa"/>
            <w:tcBorders>
              <w:top w:val="single" w:sz="4" w:space="0" w:color="auto"/>
              <w:left w:val="single" w:sz="4" w:space="0" w:color="auto"/>
              <w:bottom w:val="single" w:sz="4" w:space="0" w:color="auto"/>
              <w:right w:val="single" w:sz="4" w:space="0" w:color="auto"/>
            </w:tcBorders>
            <w:vAlign w:val="center"/>
          </w:tcPr>
          <w:p w14:paraId="08B0855F" w14:textId="77777777" w:rsidR="008B3204" w:rsidRPr="00E64D14" w:rsidRDefault="008B3204" w:rsidP="00A84BB5">
            <w:pPr>
              <w:ind w:left="137"/>
              <w:jc w:val="center"/>
              <w:rPr>
                <w:rFonts w:eastAsia="Times New Roman" w:cstheme="minorHAnsi"/>
                <w:sz w:val="15"/>
                <w:szCs w:val="15"/>
              </w:rPr>
            </w:pPr>
          </w:p>
        </w:tc>
        <w:tc>
          <w:tcPr>
            <w:tcW w:w="850" w:type="dxa"/>
            <w:tcBorders>
              <w:top w:val="single" w:sz="4" w:space="0" w:color="auto"/>
              <w:left w:val="single" w:sz="4" w:space="0" w:color="auto"/>
              <w:bottom w:val="single" w:sz="4" w:space="0" w:color="auto"/>
              <w:right w:val="single" w:sz="4" w:space="0" w:color="auto"/>
            </w:tcBorders>
            <w:vAlign w:val="center"/>
          </w:tcPr>
          <w:p w14:paraId="76F94A6D" w14:textId="77777777" w:rsidR="008B3204" w:rsidRPr="00E64D14" w:rsidRDefault="008B3204" w:rsidP="00A84BB5">
            <w:pPr>
              <w:ind w:left="137"/>
              <w:jc w:val="center"/>
              <w:rPr>
                <w:rFonts w:eastAsia="Times New Roman" w:cstheme="minorHAnsi"/>
                <w:sz w:val="15"/>
                <w:szCs w:val="15"/>
              </w:rPr>
            </w:pPr>
          </w:p>
        </w:tc>
      </w:tr>
    </w:tbl>
    <w:p w14:paraId="233932E7" w14:textId="77777777" w:rsidR="00E80F33" w:rsidRPr="00AC2206" w:rsidRDefault="00E80F33" w:rsidP="00E80F33">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AC2206">
        <w:rPr>
          <w:rFonts w:ascii="Arial" w:eastAsia="Times New Roman" w:hAnsi="Arial" w:cs="Arial"/>
          <w:b/>
          <w:bCs/>
          <w:sz w:val="24"/>
          <w:szCs w:val="24"/>
        </w:rPr>
        <w:t>T 103804: Sufinanciranje Gorske službe spašavanja = 670,00 EUR</w:t>
      </w:r>
    </w:p>
    <w:p w14:paraId="6462800A" w14:textId="77777777" w:rsidR="00E80F33" w:rsidRPr="00AC2206" w:rsidRDefault="00E80F33" w:rsidP="00E80F33">
      <w:pPr>
        <w:jc w:val="both"/>
        <w:rPr>
          <w:rFonts w:ascii="Arial" w:eastAsia="Times New Roman" w:hAnsi="Arial" w:cs="Arial"/>
          <w:b/>
          <w:sz w:val="24"/>
          <w:szCs w:val="24"/>
        </w:rPr>
      </w:pPr>
      <w:r w:rsidRPr="00AC2206">
        <w:rPr>
          <w:rFonts w:ascii="Arial" w:eastAsia="Times New Roman" w:hAnsi="Arial" w:cs="Arial"/>
          <w:b/>
          <w:bCs/>
          <w:sz w:val="24"/>
          <w:szCs w:val="24"/>
        </w:rPr>
        <w:t>Zakonska osnova:</w:t>
      </w:r>
      <w:r w:rsidRPr="00AC2206">
        <w:rPr>
          <w:rFonts w:ascii="Arial" w:eastAsia="Times New Roman" w:hAnsi="Arial" w:cs="Arial"/>
          <w:sz w:val="24"/>
          <w:szCs w:val="24"/>
        </w:rPr>
        <w:t xml:space="preserve"> Zakon o lokalnoj i područnoj (regionalnoj) samoupravi, Zakon o zaštiti i spašavanju, Zakon o udrugama.</w:t>
      </w:r>
    </w:p>
    <w:p w14:paraId="31D6DB59" w14:textId="77777777" w:rsidR="00E80F33" w:rsidRPr="00AC2206" w:rsidRDefault="00E80F33" w:rsidP="00E80F33">
      <w:pPr>
        <w:jc w:val="both"/>
        <w:rPr>
          <w:rFonts w:ascii="Arial" w:eastAsia="Times New Roman" w:hAnsi="Arial" w:cs="Arial"/>
          <w:sz w:val="24"/>
          <w:szCs w:val="24"/>
        </w:rPr>
      </w:pPr>
      <w:r w:rsidRPr="00AC2206">
        <w:rPr>
          <w:rFonts w:ascii="Arial" w:eastAsia="Times New Roman" w:hAnsi="Arial" w:cs="Arial"/>
          <w:b/>
          <w:sz w:val="24"/>
          <w:szCs w:val="24"/>
        </w:rPr>
        <w:t>Opis:</w:t>
      </w:r>
      <w:r w:rsidRPr="00AC2206">
        <w:rPr>
          <w:rFonts w:ascii="Arial" w:eastAsia="Times New Roman" w:hAnsi="Arial" w:cs="Arial"/>
          <w:sz w:val="24"/>
          <w:szCs w:val="24"/>
        </w:rPr>
        <w:t xml:space="preserve"> iznos od 670,00 </w:t>
      </w:r>
      <w:r>
        <w:rPr>
          <w:rFonts w:ascii="Arial" w:eastAsia="Times New Roman" w:hAnsi="Arial" w:cs="Arial"/>
          <w:sz w:val="24"/>
          <w:szCs w:val="24"/>
        </w:rPr>
        <w:t>eura</w:t>
      </w:r>
      <w:r w:rsidRPr="00AC2206">
        <w:rPr>
          <w:rFonts w:ascii="Arial" w:eastAsia="Times New Roman" w:hAnsi="Arial" w:cs="Arial"/>
          <w:sz w:val="24"/>
          <w:szCs w:val="24"/>
        </w:rPr>
        <w:t xml:space="preserve"> namijenjen je za financiranje djelovanja HGSS-a na našem području, ali i širem području Istre i Hrvatske, obzirom da je HGSS jedna od operativnih snaga civilne zaštite definirana važećim zakonom. </w:t>
      </w:r>
    </w:p>
    <w:p w14:paraId="1AA9A566" w14:textId="77777777" w:rsidR="00E80F33" w:rsidRDefault="00E80F33" w:rsidP="00E80F33">
      <w:pPr>
        <w:rPr>
          <w:rFonts w:ascii="Arial" w:eastAsia="Times New Roman" w:hAnsi="Arial" w:cs="Arial"/>
          <w:b/>
          <w:sz w:val="24"/>
          <w:szCs w:val="24"/>
        </w:rPr>
      </w:pPr>
      <w:r w:rsidRPr="00AC2206">
        <w:rPr>
          <w:rFonts w:ascii="Arial" w:eastAsia="Times New Roman" w:hAnsi="Arial" w:cs="Arial"/>
          <w:b/>
          <w:bCs/>
          <w:sz w:val="24"/>
          <w:szCs w:val="24"/>
        </w:rPr>
        <w:t>Opći cilj</w:t>
      </w:r>
      <w:r w:rsidRPr="00AC2206">
        <w:rPr>
          <w:rFonts w:ascii="Arial" w:eastAsia="Times New Roman" w:hAnsi="Arial" w:cs="Arial"/>
          <w:b/>
          <w:sz w:val="24"/>
          <w:szCs w:val="24"/>
        </w:rPr>
        <w:t xml:space="preserve">: </w:t>
      </w:r>
      <w:r w:rsidRPr="00AC2206">
        <w:rPr>
          <w:rFonts w:ascii="Arial" w:eastAsia="Times New Roman" w:hAnsi="Arial" w:cs="Arial"/>
          <w:sz w:val="24"/>
          <w:szCs w:val="24"/>
        </w:rPr>
        <w:t>jačanje službi zaštite i spašavanja.</w:t>
      </w:r>
      <w:r w:rsidRPr="00AC2206">
        <w:rPr>
          <w:rFonts w:ascii="Arial" w:eastAsia="Times New Roman" w:hAnsi="Arial" w:cs="Arial"/>
          <w:sz w:val="24"/>
          <w:szCs w:val="24"/>
        </w:rPr>
        <w:br/>
      </w:r>
      <w:r w:rsidRPr="00AC2206">
        <w:rPr>
          <w:rFonts w:ascii="Arial" w:eastAsia="Times New Roman" w:hAnsi="Arial" w:cs="Arial"/>
          <w:b/>
          <w:bCs/>
          <w:sz w:val="24"/>
          <w:szCs w:val="24"/>
        </w:rPr>
        <w:t>Pokazatelj uspješnosti</w:t>
      </w:r>
      <w:r w:rsidRPr="00AC2206">
        <w:rPr>
          <w:rFonts w:ascii="Arial" w:eastAsia="Times New Roman" w:hAnsi="Arial" w:cs="Arial"/>
          <w:b/>
          <w:sz w:val="24"/>
          <w:szCs w:val="24"/>
        </w:rPr>
        <w:t xml:space="preserve">: </w:t>
      </w:r>
      <w:r w:rsidRPr="00AC2206">
        <w:rPr>
          <w:rFonts w:ascii="Arial" w:eastAsia="Times New Roman" w:hAnsi="Arial" w:cs="Arial"/>
          <w:sz w:val="24"/>
          <w:szCs w:val="24"/>
        </w:rPr>
        <w:t>intervencije i praćenje pokazatelja.</w:t>
      </w:r>
      <w:r w:rsidRPr="00AC2206">
        <w:rPr>
          <w:rFonts w:ascii="Arial" w:eastAsia="Times New Roman" w:hAnsi="Arial" w:cs="Arial"/>
          <w:b/>
          <w:sz w:val="24"/>
          <w:szCs w:val="24"/>
        </w:rPr>
        <w:t xml:space="preserve"> </w:t>
      </w:r>
    </w:p>
    <w:p w14:paraId="376BE9FD" w14:textId="77777777" w:rsidR="00E80F33" w:rsidRDefault="00E80F33" w:rsidP="00E80F33">
      <w:pPr>
        <w:rPr>
          <w:rFonts w:ascii="Arial" w:eastAsia="Times New Roman" w:hAnsi="Arial" w:cs="Arial"/>
          <w:b/>
          <w:sz w:val="24"/>
          <w:szCs w:val="24"/>
        </w:rPr>
      </w:pPr>
    </w:p>
    <w:p w14:paraId="07822B1A" w14:textId="77777777" w:rsidR="00E80F33" w:rsidRPr="00AC2206" w:rsidRDefault="00E80F33" w:rsidP="00E80F33">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AC2206">
        <w:rPr>
          <w:rFonts w:ascii="Arial" w:eastAsia="Times New Roman" w:hAnsi="Arial" w:cs="Arial"/>
          <w:b/>
          <w:bCs/>
          <w:sz w:val="24"/>
          <w:szCs w:val="24"/>
        </w:rPr>
        <w:t xml:space="preserve">T 103807: Plan civilne zaštite = </w:t>
      </w:r>
      <w:r>
        <w:rPr>
          <w:rFonts w:ascii="Arial" w:eastAsia="Times New Roman" w:hAnsi="Arial" w:cs="Arial"/>
          <w:b/>
          <w:bCs/>
          <w:sz w:val="24"/>
          <w:szCs w:val="24"/>
        </w:rPr>
        <w:t>8</w:t>
      </w:r>
      <w:r w:rsidRPr="00AC2206">
        <w:rPr>
          <w:rFonts w:ascii="Arial" w:eastAsia="Times New Roman" w:hAnsi="Arial" w:cs="Arial"/>
          <w:b/>
          <w:bCs/>
          <w:sz w:val="24"/>
          <w:szCs w:val="24"/>
        </w:rPr>
        <w:t>.</w:t>
      </w:r>
      <w:r>
        <w:rPr>
          <w:rFonts w:ascii="Arial" w:eastAsia="Times New Roman" w:hAnsi="Arial" w:cs="Arial"/>
          <w:b/>
          <w:bCs/>
          <w:sz w:val="24"/>
          <w:szCs w:val="24"/>
        </w:rPr>
        <w:t>50</w:t>
      </w:r>
      <w:r w:rsidRPr="00AC2206">
        <w:rPr>
          <w:rFonts w:ascii="Arial" w:eastAsia="Times New Roman" w:hAnsi="Arial" w:cs="Arial"/>
          <w:b/>
          <w:bCs/>
          <w:sz w:val="24"/>
          <w:szCs w:val="24"/>
        </w:rPr>
        <w:t>0,00 EUR</w:t>
      </w:r>
    </w:p>
    <w:p w14:paraId="27BC481B" w14:textId="77777777" w:rsidR="00E80F33" w:rsidRPr="00C63D7F" w:rsidRDefault="00E80F33" w:rsidP="00E80F33">
      <w:pPr>
        <w:jc w:val="both"/>
        <w:rPr>
          <w:rFonts w:ascii="Arial" w:hAnsi="Arial" w:cs="Arial"/>
          <w:sz w:val="24"/>
          <w:szCs w:val="24"/>
        </w:rPr>
      </w:pPr>
      <w:r w:rsidRPr="00C63D7F">
        <w:rPr>
          <w:rFonts w:ascii="Arial" w:hAnsi="Arial" w:cs="Arial"/>
          <w:b/>
          <w:bCs/>
          <w:sz w:val="24"/>
          <w:szCs w:val="24"/>
        </w:rPr>
        <w:t xml:space="preserve">Zakonska osnova: </w:t>
      </w:r>
      <w:r w:rsidRPr="00C63D7F">
        <w:rPr>
          <w:rFonts w:ascii="Arial" w:hAnsi="Arial" w:cs="Arial"/>
          <w:sz w:val="24"/>
          <w:szCs w:val="24"/>
        </w:rPr>
        <w:t>Zakon o lokalnoj i područnoj (regionalnoj) samoupravi, Zakon o sustavu civilne zaštite</w:t>
      </w:r>
      <w:r>
        <w:rPr>
          <w:rFonts w:ascii="Arial" w:hAnsi="Arial" w:cs="Arial"/>
          <w:sz w:val="24"/>
          <w:szCs w:val="24"/>
        </w:rPr>
        <w:t>.</w:t>
      </w:r>
    </w:p>
    <w:p w14:paraId="7D270E78" w14:textId="77777777" w:rsidR="00E80F33" w:rsidRPr="005638B3" w:rsidRDefault="00E80F33" w:rsidP="00E80F33">
      <w:pPr>
        <w:jc w:val="both"/>
        <w:rPr>
          <w:rFonts w:ascii="Arial" w:hAnsi="Arial" w:cs="Arial"/>
          <w:sz w:val="24"/>
          <w:szCs w:val="24"/>
        </w:rPr>
      </w:pPr>
      <w:r w:rsidRPr="005638B3">
        <w:rPr>
          <w:rFonts w:ascii="Arial" w:hAnsi="Arial" w:cs="Arial"/>
          <w:b/>
          <w:bCs/>
          <w:sz w:val="24"/>
          <w:szCs w:val="24"/>
        </w:rPr>
        <w:t>Opis:</w:t>
      </w:r>
      <w:r w:rsidRPr="005638B3">
        <w:rPr>
          <w:rFonts w:ascii="Arial" w:hAnsi="Arial" w:cs="Arial"/>
          <w:sz w:val="24"/>
          <w:szCs w:val="24"/>
        </w:rPr>
        <w:t xml:space="preserve"> </w:t>
      </w:r>
      <w:r>
        <w:rPr>
          <w:rFonts w:ascii="Arial" w:hAnsi="Arial" w:cs="Arial"/>
          <w:sz w:val="24"/>
          <w:szCs w:val="24"/>
        </w:rPr>
        <w:t>s</w:t>
      </w:r>
      <w:r w:rsidRPr="005638B3">
        <w:rPr>
          <w:rFonts w:ascii="Arial" w:hAnsi="Arial" w:cs="Arial"/>
          <w:sz w:val="24"/>
          <w:szCs w:val="24"/>
        </w:rPr>
        <w:t xml:space="preserve">ukladno Pravilniku o nositeljima, sadržaju i postupcima izrade planskih dokumenata u Civilnoj zaštiti te načinu informiranja javnosti u postupku njihovog donošenja potrebno je nakon donošenja Procjene rizika izvršiti usklađivanje Plana civilne zaštite. </w:t>
      </w:r>
    </w:p>
    <w:p w14:paraId="5E63098D" w14:textId="77777777" w:rsidR="00E80F33" w:rsidRPr="00C63D7F" w:rsidRDefault="00E80F33" w:rsidP="00E80F33">
      <w:pPr>
        <w:jc w:val="both"/>
        <w:rPr>
          <w:rFonts w:ascii="Arial" w:hAnsi="Arial" w:cs="Arial"/>
          <w:sz w:val="24"/>
          <w:szCs w:val="24"/>
        </w:rPr>
      </w:pPr>
      <w:r w:rsidRPr="005638B3">
        <w:rPr>
          <w:rFonts w:ascii="Arial" w:hAnsi="Arial" w:cs="Arial"/>
          <w:b/>
          <w:bCs/>
          <w:sz w:val="24"/>
          <w:szCs w:val="24"/>
        </w:rPr>
        <w:t>Opći cilj:</w:t>
      </w:r>
      <w:r w:rsidRPr="005638B3">
        <w:rPr>
          <w:rFonts w:ascii="Arial" w:hAnsi="Arial" w:cs="Arial"/>
          <w:sz w:val="24"/>
          <w:szCs w:val="24"/>
        </w:rPr>
        <w:t xml:space="preserve"> smanjenje rizika od katastrofa te provođenje ciljanih preventivnih mjera</w:t>
      </w:r>
    </w:p>
    <w:p w14:paraId="18725F16" w14:textId="77777777" w:rsidR="00E80F33" w:rsidRPr="00795BF4" w:rsidRDefault="00E80F33" w:rsidP="00E80F33">
      <w:pPr>
        <w:jc w:val="both"/>
        <w:rPr>
          <w:rFonts w:ascii="Arial" w:hAnsi="Arial" w:cs="Arial"/>
          <w:sz w:val="24"/>
          <w:szCs w:val="24"/>
        </w:rPr>
      </w:pPr>
      <w:r w:rsidRPr="00C63D7F">
        <w:rPr>
          <w:rFonts w:ascii="Arial" w:hAnsi="Arial" w:cs="Arial"/>
          <w:b/>
          <w:bCs/>
          <w:sz w:val="24"/>
          <w:szCs w:val="24"/>
        </w:rPr>
        <w:t>Pokazatelj uspješnosti:</w:t>
      </w:r>
      <w:r w:rsidRPr="00C63D7F">
        <w:rPr>
          <w:rFonts w:ascii="Arial" w:hAnsi="Arial" w:cs="Arial"/>
          <w:sz w:val="24"/>
          <w:szCs w:val="24"/>
        </w:rPr>
        <w:t xml:space="preserve"> izrada potrebnog akta u planiranom razdoblju</w:t>
      </w:r>
      <w:r>
        <w:rPr>
          <w:rFonts w:ascii="Arial" w:hAnsi="Arial" w:cs="Arial"/>
          <w:sz w:val="24"/>
          <w:szCs w:val="24"/>
        </w:rPr>
        <w:t>.</w:t>
      </w:r>
    </w:p>
    <w:p w14:paraId="08AD9D8F" w14:textId="77777777" w:rsidR="00E80F33" w:rsidRDefault="00E80F33" w:rsidP="00E80F33">
      <w:pPr>
        <w:rPr>
          <w:rFonts w:ascii="Arial" w:eastAsia="Times New Roman" w:hAnsi="Arial" w:cs="Arial"/>
          <w:b/>
          <w:sz w:val="24"/>
          <w:szCs w:val="24"/>
        </w:rPr>
      </w:pPr>
    </w:p>
    <w:p w14:paraId="1EBD122D" w14:textId="77777777" w:rsidR="00E80F33" w:rsidRPr="00AC2206" w:rsidRDefault="00E80F33" w:rsidP="00E80F33">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AC2206">
        <w:rPr>
          <w:rFonts w:ascii="Arial" w:eastAsia="Times New Roman" w:hAnsi="Arial" w:cs="Arial"/>
          <w:b/>
          <w:bCs/>
          <w:sz w:val="24"/>
          <w:szCs w:val="24"/>
        </w:rPr>
        <w:t>T 103805: Plan zaštite od divljači = 14.800,00 EUR</w:t>
      </w:r>
    </w:p>
    <w:p w14:paraId="566F1825" w14:textId="77777777" w:rsidR="00E80F33" w:rsidRPr="00AC2206" w:rsidRDefault="00E80F33" w:rsidP="00E80F33">
      <w:pPr>
        <w:jc w:val="both"/>
        <w:rPr>
          <w:rFonts w:ascii="Arial" w:eastAsia="Times New Roman" w:hAnsi="Arial" w:cs="Arial"/>
          <w:b/>
          <w:bCs/>
          <w:sz w:val="24"/>
          <w:szCs w:val="24"/>
        </w:rPr>
      </w:pPr>
      <w:r w:rsidRPr="00AC2206">
        <w:rPr>
          <w:rFonts w:ascii="Arial" w:eastAsia="Times New Roman" w:hAnsi="Arial" w:cs="Arial"/>
          <w:b/>
          <w:bCs/>
          <w:sz w:val="24"/>
          <w:szCs w:val="24"/>
        </w:rPr>
        <w:t xml:space="preserve">Zakonska osnova: </w:t>
      </w:r>
      <w:r w:rsidRPr="00AC2206">
        <w:rPr>
          <w:rFonts w:ascii="Arial" w:eastAsia="Times New Roman" w:hAnsi="Arial" w:cs="Arial"/>
          <w:sz w:val="24"/>
          <w:szCs w:val="24"/>
        </w:rPr>
        <w:t>Zakon o lokalnoj i područnoj (regionalnoj) samoupravi, Zakon u lovstvu.</w:t>
      </w:r>
    </w:p>
    <w:p w14:paraId="7EFE2E6F" w14:textId="77777777" w:rsidR="00E80F33" w:rsidRPr="00AC2206" w:rsidRDefault="00E80F33" w:rsidP="00E80F33">
      <w:pPr>
        <w:jc w:val="both"/>
        <w:rPr>
          <w:rFonts w:ascii="Arial" w:eastAsia="Times New Roman" w:hAnsi="Arial" w:cs="Arial"/>
          <w:sz w:val="24"/>
          <w:szCs w:val="24"/>
        </w:rPr>
      </w:pPr>
      <w:r w:rsidRPr="00AC2206">
        <w:rPr>
          <w:rFonts w:ascii="Arial" w:eastAsia="Times New Roman" w:hAnsi="Arial" w:cs="Arial"/>
          <w:b/>
          <w:bCs/>
          <w:sz w:val="24"/>
          <w:szCs w:val="24"/>
        </w:rPr>
        <w:t>Opis:</w:t>
      </w:r>
      <w:r w:rsidRPr="00AC2206">
        <w:rPr>
          <w:rFonts w:ascii="Arial" w:eastAsia="Times New Roman" w:hAnsi="Arial" w:cs="Arial"/>
          <w:sz w:val="24"/>
          <w:szCs w:val="24"/>
        </w:rPr>
        <w:t xml:space="preserve"> donošenjem Programa zaštite divljači za površine izvan lovišta Grada Rovinja-Rovigno, a sukladno Zakonu o lovstvu potrebno je imati stručnu osobu za provedbu programa zaštite divljači. Također potrebno je angažirati Lovačko društvo za provedbu lova i lovnih aktivnosti.</w:t>
      </w:r>
    </w:p>
    <w:p w14:paraId="78486736" w14:textId="77777777" w:rsidR="00E80F33" w:rsidRPr="00AC2206" w:rsidRDefault="00E80F33" w:rsidP="00E80F33">
      <w:pPr>
        <w:jc w:val="both"/>
        <w:rPr>
          <w:rFonts w:ascii="Arial" w:eastAsia="Times New Roman" w:hAnsi="Arial" w:cs="Arial"/>
          <w:sz w:val="24"/>
          <w:szCs w:val="24"/>
        </w:rPr>
      </w:pPr>
      <w:r w:rsidRPr="00AC2206">
        <w:rPr>
          <w:rFonts w:ascii="Arial" w:eastAsia="Times New Roman" w:hAnsi="Arial" w:cs="Arial"/>
          <w:b/>
          <w:bCs/>
          <w:sz w:val="24"/>
          <w:szCs w:val="24"/>
        </w:rPr>
        <w:t xml:space="preserve">Opći cilj: </w:t>
      </w:r>
      <w:r w:rsidRPr="00AC2206">
        <w:rPr>
          <w:rFonts w:ascii="Arial" w:eastAsia="Times New Roman" w:hAnsi="Arial" w:cs="Arial"/>
          <w:sz w:val="24"/>
          <w:szCs w:val="24"/>
        </w:rPr>
        <w:t>provedba programa zaštite divljači.</w:t>
      </w:r>
    </w:p>
    <w:p w14:paraId="0CAC6B72" w14:textId="77777777" w:rsidR="00E80F33" w:rsidRPr="00AC2206" w:rsidRDefault="00E80F33" w:rsidP="00E80F33">
      <w:pPr>
        <w:jc w:val="both"/>
        <w:rPr>
          <w:rFonts w:ascii="Arial" w:eastAsia="Times New Roman" w:hAnsi="Arial" w:cs="Arial"/>
          <w:sz w:val="24"/>
          <w:szCs w:val="24"/>
        </w:rPr>
      </w:pPr>
      <w:r w:rsidRPr="00AC2206">
        <w:rPr>
          <w:rFonts w:ascii="Arial" w:eastAsia="Times New Roman" w:hAnsi="Arial" w:cs="Arial"/>
          <w:b/>
          <w:bCs/>
          <w:sz w:val="24"/>
          <w:szCs w:val="24"/>
        </w:rPr>
        <w:t xml:space="preserve">Pokazatelj uspješnosti: </w:t>
      </w:r>
      <w:r w:rsidRPr="00AC2206">
        <w:rPr>
          <w:rFonts w:ascii="Arial" w:eastAsia="Times New Roman" w:hAnsi="Arial" w:cs="Arial"/>
          <w:sz w:val="24"/>
          <w:szCs w:val="24"/>
        </w:rPr>
        <w:t>izvršenje obaveza prema sklopljenim ugovorima.</w:t>
      </w:r>
    </w:p>
    <w:p w14:paraId="7B9BB008" w14:textId="77777777" w:rsidR="00E80F33" w:rsidRPr="00AC2206" w:rsidRDefault="00E80F33" w:rsidP="00E80F33">
      <w:pPr>
        <w:rPr>
          <w:rFonts w:ascii="Arial" w:eastAsia="Times New Roman" w:hAnsi="Arial" w:cs="Arial"/>
          <w:b/>
          <w:sz w:val="24"/>
          <w:szCs w:val="24"/>
        </w:rPr>
      </w:pPr>
    </w:p>
    <w:p w14:paraId="51F2620E" w14:textId="77777777" w:rsidR="00E541EE"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AC2206">
        <w:rPr>
          <w:rFonts w:ascii="Arial" w:eastAsia="Times New Roman" w:hAnsi="Arial" w:cs="Arial"/>
          <w:b/>
          <w:bCs/>
          <w:sz w:val="24"/>
          <w:szCs w:val="24"/>
        </w:rPr>
        <w:t xml:space="preserve">A 103801: Priprema i opremanje jedinica civilne zaštite = </w:t>
      </w:r>
      <w:r>
        <w:rPr>
          <w:rFonts w:ascii="Arial" w:eastAsia="Times New Roman" w:hAnsi="Arial" w:cs="Arial"/>
          <w:b/>
          <w:bCs/>
          <w:sz w:val="24"/>
          <w:szCs w:val="24"/>
        </w:rPr>
        <w:t>35</w:t>
      </w:r>
      <w:r w:rsidRPr="00AC2206">
        <w:rPr>
          <w:rFonts w:ascii="Arial" w:eastAsia="Times New Roman" w:hAnsi="Arial" w:cs="Arial"/>
          <w:b/>
          <w:bCs/>
          <w:sz w:val="24"/>
          <w:szCs w:val="24"/>
        </w:rPr>
        <w:t>.</w:t>
      </w:r>
      <w:r>
        <w:rPr>
          <w:rFonts w:ascii="Arial" w:eastAsia="Times New Roman" w:hAnsi="Arial" w:cs="Arial"/>
          <w:b/>
          <w:bCs/>
          <w:sz w:val="24"/>
          <w:szCs w:val="24"/>
        </w:rPr>
        <w:t>000</w:t>
      </w:r>
      <w:r w:rsidRPr="00AC2206">
        <w:rPr>
          <w:rFonts w:ascii="Arial" w:eastAsia="Times New Roman" w:hAnsi="Arial" w:cs="Arial"/>
          <w:b/>
          <w:bCs/>
          <w:sz w:val="24"/>
          <w:szCs w:val="24"/>
        </w:rPr>
        <w:t>,00 EUR</w:t>
      </w:r>
    </w:p>
    <w:p w14:paraId="5AA8898D"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Zakonska osnova</w:t>
      </w:r>
      <w:r w:rsidRPr="00AC2206">
        <w:rPr>
          <w:rFonts w:ascii="Arial" w:eastAsia="Times New Roman" w:hAnsi="Arial" w:cs="Arial"/>
          <w:b/>
          <w:sz w:val="24"/>
          <w:szCs w:val="24"/>
        </w:rPr>
        <w:t>:</w:t>
      </w:r>
      <w:r w:rsidRPr="00AC2206">
        <w:rPr>
          <w:rFonts w:ascii="Arial" w:eastAsia="Times New Roman" w:hAnsi="Arial" w:cs="Arial"/>
          <w:sz w:val="24"/>
          <w:szCs w:val="24"/>
        </w:rPr>
        <w:t xml:space="preserve"> Zakon o lokalnoj i područnoj (regionalnoj) samoupravi, Zakon o sustavu civilne zaštite.</w:t>
      </w:r>
    </w:p>
    <w:p w14:paraId="0EB1D798" w14:textId="77777777" w:rsidR="00E541EE" w:rsidRPr="005638B3" w:rsidRDefault="00E541EE" w:rsidP="00E541EE">
      <w:pPr>
        <w:jc w:val="both"/>
        <w:rPr>
          <w:rFonts w:ascii="Arial" w:eastAsia="Times New Roman" w:hAnsi="Arial" w:cs="Arial"/>
          <w:sz w:val="24"/>
          <w:szCs w:val="24"/>
        </w:rPr>
      </w:pPr>
      <w:r w:rsidRPr="00AC2206">
        <w:rPr>
          <w:rFonts w:ascii="Arial" w:eastAsia="Times New Roman" w:hAnsi="Arial" w:cs="Arial"/>
          <w:b/>
          <w:sz w:val="24"/>
          <w:szCs w:val="24"/>
        </w:rPr>
        <w:t>Opis:</w:t>
      </w:r>
      <w:r w:rsidRPr="00AC2206">
        <w:rPr>
          <w:rFonts w:ascii="Arial" w:eastAsia="Times New Roman" w:hAnsi="Arial" w:cs="Arial"/>
          <w:sz w:val="24"/>
          <w:szCs w:val="24"/>
        </w:rPr>
        <w:t xml:space="preserve"> iznos od </w:t>
      </w:r>
      <w:r>
        <w:rPr>
          <w:rFonts w:ascii="Arial" w:eastAsia="Times New Roman" w:hAnsi="Arial" w:cs="Arial"/>
          <w:sz w:val="24"/>
          <w:szCs w:val="24"/>
        </w:rPr>
        <w:t>35</w:t>
      </w:r>
      <w:r w:rsidRPr="00AC2206">
        <w:rPr>
          <w:rFonts w:ascii="Arial" w:eastAsia="Times New Roman" w:hAnsi="Arial" w:cs="Arial"/>
          <w:sz w:val="24"/>
          <w:szCs w:val="24"/>
        </w:rPr>
        <w:t>.</w:t>
      </w:r>
      <w:r>
        <w:rPr>
          <w:rFonts w:ascii="Arial" w:eastAsia="Times New Roman" w:hAnsi="Arial" w:cs="Arial"/>
          <w:sz w:val="24"/>
          <w:szCs w:val="24"/>
        </w:rPr>
        <w:t>000</w:t>
      </w:r>
      <w:r w:rsidRPr="00AC2206">
        <w:rPr>
          <w:rFonts w:ascii="Arial" w:eastAsia="Times New Roman" w:hAnsi="Arial" w:cs="Arial"/>
          <w:sz w:val="24"/>
          <w:szCs w:val="24"/>
        </w:rPr>
        <w:t xml:space="preserve">,00 </w:t>
      </w:r>
      <w:r>
        <w:rPr>
          <w:rFonts w:ascii="Arial" w:eastAsia="Times New Roman" w:hAnsi="Arial" w:cs="Arial"/>
          <w:sz w:val="24"/>
          <w:szCs w:val="24"/>
        </w:rPr>
        <w:t>eura</w:t>
      </w:r>
      <w:r w:rsidRPr="00AC2206">
        <w:rPr>
          <w:rFonts w:ascii="Arial" w:eastAsia="Times New Roman" w:hAnsi="Arial" w:cs="Arial"/>
          <w:sz w:val="24"/>
          <w:szCs w:val="24"/>
        </w:rPr>
        <w:t xml:space="preserve"> planira se za nabavu materijalno tehničkih sredstava </w:t>
      </w:r>
      <w:r w:rsidRPr="005638B3">
        <w:rPr>
          <w:rFonts w:ascii="Arial" w:eastAsia="Times New Roman" w:hAnsi="Arial" w:cs="Arial"/>
          <w:sz w:val="24"/>
          <w:szCs w:val="24"/>
        </w:rPr>
        <w:t>za potrebe civilne zaštite na području Grada Rovinja-Rovigno. Odlukom o udrugama i pravnim osobama od interesa za sustav Civilne zaštite Grada Rovinja-Rovigno, a u skladu sa pozitivnim propisima, Grad Rovinja-Rovigno je preuzeo obvezu ustrajavanja i opremanja snaga od interesa za sustav civilne zaštite na svom području. Za potrebe skladištenja opreme osigurana su sredstva za najam skladišta. Planirana su sredstva za održavanje postojećeg sustava videonadzora na kružnim tokovima i dječjim igralištima.</w:t>
      </w:r>
    </w:p>
    <w:p w14:paraId="57A88EE0" w14:textId="77777777" w:rsidR="00E541EE" w:rsidRPr="00AC2206" w:rsidRDefault="00E541EE" w:rsidP="00E541EE">
      <w:pPr>
        <w:rPr>
          <w:rFonts w:ascii="Arial" w:eastAsia="Times New Roman" w:hAnsi="Arial" w:cs="Arial"/>
          <w:sz w:val="24"/>
          <w:szCs w:val="24"/>
        </w:rPr>
      </w:pPr>
      <w:r w:rsidRPr="005638B3">
        <w:rPr>
          <w:rFonts w:ascii="Arial" w:eastAsia="Times New Roman" w:hAnsi="Arial" w:cs="Arial"/>
          <w:b/>
          <w:bCs/>
          <w:sz w:val="24"/>
          <w:szCs w:val="24"/>
        </w:rPr>
        <w:t>Opći cilj</w:t>
      </w:r>
      <w:r w:rsidRPr="005638B3">
        <w:rPr>
          <w:rFonts w:ascii="Arial" w:eastAsia="Times New Roman" w:hAnsi="Arial" w:cs="Arial"/>
          <w:b/>
          <w:sz w:val="24"/>
          <w:szCs w:val="24"/>
        </w:rPr>
        <w:t>:</w:t>
      </w:r>
      <w:r w:rsidRPr="005638B3">
        <w:rPr>
          <w:rFonts w:ascii="Arial" w:eastAsia="Times New Roman" w:hAnsi="Arial" w:cs="Arial"/>
          <w:sz w:val="24"/>
          <w:szCs w:val="24"/>
        </w:rPr>
        <w:t xml:space="preserve"> opremanje civilne zaštite, povećanje razine sigurnosti u gradu, razvoj</w:t>
      </w:r>
      <w:r w:rsidRPr="00AC2206">
        <w:rPr>
          <w:rFonts w:ascii="Arial" w:eastAsia="Times New Roman" w:hAnsi="Arial" w:cs="Arial"/>
          <w:sz w:val="24"/>
          <w:szCs w:val="24"/>
        </w:rPr>
        <w:t xml:space="preserve"> sustava nadzora gradskih površina.</w:t>
      </w:r>
      <w:r w:rsidRPr="00AC2206">
        <w:rPr>
          <w:rFonts w:ascii="Arial" w:eastAsia="Times New Roman" w:hAnsi="Arial" w:cs="Arial"/>
          <w:sz w:val="24"/>
          <w:szCs w:val="24"/>
        </w:rPr>
        <w:br/>
      </w:r>
      <w:r w:rsidRPr="00AC2206">
        <w:rPr>
          <w:rFonts w:ascii="Arial" w:eastAsia="Times New Roman" w:hAnsi="Arial" w:cs="Arial"/>
          <w:b/>
          <w:bCs/>
          <w:sz w:val="24"/>
          <w:szCs w:val="24"/>
        </w:rPr>
        <w:t>Pokazatelj uspješnosti</w:t>
      </w:r>
      <w:r w:rsidRPr="00AC2206">
        <w:rPr>
          <w:rFonts w:ascii="Arial" w:eastAsia="Times New Roman" w:hAnsi="Arial" w:cs="Arial"/>
          <w:b/>
          <w:sz w:val="24"/>
          <w:szCs w:val="24"/>
        </w:rPr>
        <w:t>:</w:t>
      </w:r>
      <w:r w:rsidRPr="00AC2206">
        <w:rPr>
          <w:rFonts w:ascii="Arial" w:eastAsia="Times New Roman" w:hAnsi="Arial" w:cs="Arial"/>
          <w:sz w:val="24"/>
          <w:szCs w:val="24"/>
        </w:rPr>
        <w:t xml:space="preserve"> spremnost postrojbe za intervenciju, nabavljena oprema.</w:t>
      </w:r>
    </w:p>
    <w:p w14:paraId="787E0B1A" w14:textId="77777777" w:rsidR="00E541EE" w:rsidRPr="00AC2206" w:rsidRDefault="00E541EE" w:rsidP="00E541EE">
      <w:pPr>
        <w:rPr>
          <w:rFonts w:ascii="Arial" w:eastAsia="Times New Roman" w:hAnsi="Arial" w:cs="Arial"/>
          <w:b/>
          <w:sz w:val="24"/>
          <w:szCs w:val="24"/>
        </w:rPr>
      </w:pPr>
    </w:p>
    <w:p w14:paraId="167CDB96"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AC2206">
        <w:rPr>
          <w:rFonts w:ascii="Arial" w:eastAsia="Times New Roman" w:hAnsi="Arial" w:cs="Arial"/>
          <w:b/>
          <w:bCs/>
          <w:sz w:val="24"/>
          <w:szCs w:val="24"/>
        </w:rPr>
        <w:t>A 103802: Sufinanciranje Regionalne službe  zaštite i spašavanja = 4.000,00 EUR</w:t>
      </w:r>
    </w:p>
    <w:p w14:paraId="4F00B5C6" w14:textId="77777777" w:rsidR="00E541EE" w:rsidRPr="00AC2206" w:rsidRDefault="00E541EE" w:rsidP="00E541EE">
      <w:pPr>
        <w:jc w:val="both"/>
        <w:rPr>
          <w:rFonts w:ascii="Arial" w:eastAsia="Times New Roman" w:hAnsi="Arial" w:cs="Arial"/>
          <w:b/>
          <w:sz w:val="24"/>
          <w:szCs w:val="24"/>
        </w:rPr>
      </w:pPr>
      <w:r w:rsidRPr="00AC2206">
        <w:rPr>
          <w:rFonts w:ascii="Arial" w:eastAsia="Times New Roman" w:hAnsi="Arial" w:cs="Arial"/>
          <w:b/>
          <w:bCs/>
          <w:sz w:val="24"/>
          <w:szCs w:val="24"/>
        </w:rPr>
        <w:t xml:space="preserve">Zakonska osnova: </w:t>
      </w:r>
      <w:r w:rsidRPr="00AC2206">
        <w:rPr>
          <w:rFonts w:ascii="Arial" w:eastAsia="Times New Roman" w:hAnsi="Arial" w:cs="Arial"/>
          <w:sz w:val="24"/>
          <w:szCs w:val="24"/>
        </w:rPr>
        <w:t>Zakon o lokalnoj i područnoj (regionalnoj) samoupravi, Zakon o zaštiti i spašavanju</w:t>
      </w:r>
      <w:r>
        <w:rPr>
          <w:rFonts w:ascii="Arial" w:eastAsia="Times New Roman" w:hAnsi="Arial" w:cs="Arial"/>
          <w:sz w:val="24"/>
          <w:szCs w:val="24"/>
        </w:rPr>
        <w:t>.</w:t>
      </w:r>
    </w:p>
    <w:p w14:paraId="694A542E"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sz w:val="24"/>
          <w:szCs w:val="24"/>
        </w:rPr>
        <w:t>Opis:</w:t>
      </w:r>
      <w:r w:rsidRPr="00AC2206">
        <w:rPr>
          <w:rFonts w:ascii="Arial" w:eastAsia="Times New Roman" w:hAnsi="Arial" w:cs="Arial"/>
          <w:sz w:val="24"/>
          <w:szCs w:val="24"/>
        </w:rPr>
        <w:t xml:space="preserve"> Zakonom o zaštiti i spašavanju dio poslova zaštite i spašavanja prenesen je i na jedinice lokalne samouprave. Stoga je na razini Vatrogasne zajednice Istarske županije organizirana regionalna služba zaštite i spašavanja koja vodi brigu o navedenim poslovima za sve gradove i općine na području naše županije. Za potrebe funkcioniranja ove službe osigurava se iznos od 4.000,00 </w:t>
      </w:r>
      <w:r>
        <w:rPr>
          <w:rFonts w:ascii="Arial" w:eastAsia="Times New Roman" w:hAnsi="Arial" w:cs="Arial"/>
          <w:sz w:val="24"/>
          <w:szCs w:val="24"/>
        </w:rPr>
        <w:t>eura</w:t>
      </w:r>
      <w:r w:rsidRPr="00AC2206">
        <w:rPr>
          <w:rFonts w:ascii="Arial" w:eastAsia="Times New Roman" w:hAnsi="Arial" w:cs="Arial"/>
          <w:sz w:val="24"/>
          <w:szCs w:val="24"/>
        </w:rPr>
        <w:t>.</w:t>
      </w:r>
    </w:p>
    <w:p w14:paraId="638C4E16"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Opći cilj</w:t>
      </w:r>
      <w:r w:rsidRPr="00AC2206">
        <w:rPr>
          <w:rFonts w:ascii="Arial" w:eastAsia="Times New Roman" w:hAnsi="Arial" w:cs="Arial"/>
          <w:b/>
          <w:sz w:val="24"/>
          <w:szCs w:val="24"/>
        </w:rPr>
        <w:t xml:space="preserve">: </w:t>
      </w:r>
      <w:r w:rsidRPr="00AC2206">
        <w:rPr>
          <w:rFonts w:ascii="Arial" w:eastAsia="Times New Roman" w:hAnsi="Arial" w:cs="Arial"/>
          <w:sz w:val="24"/>
          <w:szCs w:val="24"/>
        </w:rPr>
        <w:t>koordinacija poslova iz nadležnosti zaštite i spašavanja.</w:t>
      </w:r>
    </w:p>
    <w:p w14:paraId="189C98FB"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Pokazatelj uspješnosti</w:t>
      </w:r>
      <w:r w:rsidRPr="00AC2206">
        <w:rPr>
          <w:rFonts w:ascii="Arial" w:eastAsia="Times New Roman" w:hAnsi="Arial" w:cs="Arial"/>
          <w:b/>
          <w:sz w:val="24"/>
          <w:szCs w:val="24"/>
        </w:rPr>
        <w:t xml:space="preserve">: </w:t>
      </w:r>
      <w:r w:rsidRPr="00AC2206">
        <w:rPr>
          <w:rFonts w:ascii="Arial" w:eastAsia="Times New Roman" w:hAnsi="Arial" w:cs="Arial"/>
          <w:sz w:val="24"/>
          <w:szCs w:val="24"/>
        </w:rPr>
        <w:t>donošenje akata iz nadležnosti zaštite i spašavanja te provedene aktivnosti.</w:t>
      </w:r>
    </w:p>
    <w:p w14:paraId="4AA599BE" w14:textId="77777777" w:rsidR="00E541EE" w:rsidRPr="00AC2206" w:rsidRDefault="00E541EE" w:rsidP="00E541EE">
      <w:pPr>
        <w:jc w:val="both"/>
        <w:rPr>
          <w:rFonts w:ascii="Arial" w:eastAsia="Times New Roman" w:hAnsi="Arial" w:cs="Arial"/>
          <w:sz w:val="24"/>
          <w:szCs w:val="24"/>
        </w:rPr>
      </w:pPr>
    </w:p>
    <w:p w14:paraId="27E86FA9" w14:textId="77777777" w:rsidR="00E541EE" w:rsidRPr="00AC2206" w:rsidRDefault="00E541EE" w:rsidP="00E541EE">
      <w:pPr>
        <w:jc w:val="both"/>
        <w:rPr>
          <w:rFonts w:ascii="Arial" w:eastAsia="Times New Roman" w:hAnsi="Arial" w:cs="Arial"/>
          <w:sz w:val="24"/>
          <w:szCs w:val="24"/>
        </w:rPr>
      </w:pPr>
    </w:p>
    <w:p w14:paraId="1B10810F" w14:textId="77777777" w:rsidR="00E541EE" w:rsidRPr="00AC2206" w:rsidRDefault="00E541EE" w:rsidP="00E541EE">
      <w:pPr>
        <w:pBdr>
          <w:top w:val="single" w:sz="4" w:space="1" w:color="auto"/>
          <w:left w:val="single" w:sz="4" w:space="4" w:color="auto"/>
          <w:bottom w:val="single" w:sz="4" w:space="1" w:color="auto"/>
          <w:right w:val="single" w:sz="4" w:space="0" w:color="auto"/>
        </w:pBdr>
        <w:shd w:val="clear" w:color="auto" w:fill="FFFF80"/>
        <w:jc w:val="both"/>
        <w:rPr>
          <w:rFonts w:ascii="Arial" w:eastAsia="Times New Roman" w:hAnsi="Arial" w:cs="Arial"/>
          <w:b/>
          <w:bCs/>
          <w:sz w:val="24"/>
          <w:szCs w:val="24"/>
        </w:rPr>
      </w:pPr>
      <w:r w:rsidRPr="00AC2206">
        <w:rPr>
          <w:rFonts w:ascii="Arial" w:eastAsia="Times New Roman" w:hAnsi="Arial" w:cs="Arial"/>
          <w:b/>
          <w:bCs/>
          <w:sz w:val="24"/>
          <w:szCs w:val="24"/>
        </w:rPr>
        <w:t>Program 1039: Vatrogastvo = 2.</w:t>
      </w:r>
      <w:r>
        <w:rPr>
          <w:rFonts w:ascii="Arial" w:eastAsia="Times New Roman" w:hAnsi="Arial" w:cs="Arial"/>
          <w:b/>
          <w:bCs/>
          <w:sz w:val="24"/>
          <w:szCs w:val="24"/>
        </w:rPr>
        <w:t>619</w:t>
      </w:r>
      <w:r w:rsidRPr="00AC2206">
        <w:rPr>
          <w:rFonts w:ascii="Arial" w:eastAsia="Times New Roman" w:hAnsi="Arial" w:cs="Arial"/>
          <w:b/>
          <w:bCs/>
          <w:sz w:val="24"/>
          <w:szCs w:val="24"/>
        </w:rPr>
        <w:t>.</w:t>
      </w:r>
      <w:r>
        <w:rPr>
          <w:rFonts w:ascii="Arial" w:eastAsia="Times New Roman" w:hAnsi="Arial" w:cs="Arial"/>
          <w:b/>
          <w:bCs/>
          <w:sz w:val="24"/>
          <w:szCs w:val="24"/>
        </w:rPr>
        <w:t>039,13</w:t>
      </w:r>
      <w:r w:rsidRPr="00AC2206">
        <w:rPr>
          <w:rFonts w:ascii="Arial" w:eastAsia="Times New Roman" w:hAnsi="Arial" w:cs="Arial"/>
          <w:b/>
          <w:bCs/>
          <w:sz w:val="24"/>
          <w:szCs w:val="24"/>
        </w:rPr>
        <w:t xml:space="preserve"> EUR</w:t>
      </w:r>
    </w:p>
    <w:p w14:paraId="6333EE0B" w14:textId="77777777" w:rsidR="00E541EE" w:rsidRPr="00AC2206" w:rsidRDefault="00E541EE" w:rsidP="00E541EE">
      <w:pPr>
        <w:jc w:val="both"/>
        <w:rPr>
          <w:rFonts w:ascii="Arial" w:eastAsia="Times New Roman" w:hAnsi="Arial" w:cs="Arial"/>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27"/>
        <w:gridCol w:w="1080"/>
        <w:gridCol w:w="1081"/>
        <w:gridCol w:w="928"/>
        <w:gridCol w:w="1236"/>
        <w:gridCol w:w="926"/>
        <w:gridCol w:w="1236"/>
        <w:gridCol w:w="928"/>
        <w:gridCol w:w="618"/>
        <w:gridCol w:w="618"/>
        <w:gridCol w:w="618"/>
      </w:tblGrid>
      <w:tr w:rsidR="00E541EE" w:rsidRPr="00E64D14" w14:paraId="3BEABE00" w14:textId="77777777" w:rsidTr="00A84BB5">
        <w:trPr>
          <w:trHeight w:val="637"/>
        </w:trPr>
        <w:tc>
          <w:tcPr>
            <w:tcW w:w="455" w:type="pct"/>
            <w:vMerge w:val="restart"/>
            <w:vAlign w:val="center"/>
          </w:tcPr>
          <w:p w14:paraId="5A4014C7" w14:textId="77777777" w:rsidR="00E541EE" w:rsidRPr="00E64D14" w:rsidRDefault="00E541EE" w:rsidP="00A84BB5">
            <w:pPr>
              <w:widowControl w:val="0"/>
              <w:autoSpaceDE w:val="0"/>
              <w:autoSpaceDN w:val="0"/>
              <w:spacing w:before="49"/>
              <w:jc w:val="center"/>
              <w:rPr>
                <w:b/>
                <w:sz w:val="15"/>
                <w:szCs w:val="15"/>
              </w:rPr>
            </w:pPr>
            <w:r w:rsidRPr="00E64D14">
              <w:rPr>
                <w:b/>
                <w:sz w:val="15"/>
                <w:szCs w:val="15"/>
              </w:rPr>
              <w:t>Doprinos</w:t>
            </w:r>
            <w:r w:rsidRPr="00E64D14">
              <w:rPr>
                <w:b/>
                <w:spacing w:val="-34"/>
                <w:sz w:val="15"/>
                <w:szCs w:val="15"/>
              </w:rPr>
              <w:t xml:space="preserve"> </w:t>
            </w:r>
            <w:r w:rsidRPr="00E64D14">
              <w:rPr>
                <w:b/>
                <w:sz w:val="15"/>
                <w:szCs w:val="15"/>
              </w:rPr>
              <w:t>provedbi</w:t>
            </w:r>
          </w:p>
          <w:p w14:paraId="676A0F00" w14:textId="77777777" w:rsidR="00E541EE" w:rsidRPr="00E64D14" w:rsidRDefault="00E541EE" w:rsidP="00A84BB5">
            <w:pPr>
              <w:widowControl w:val="0"/>
              <w:autoSpaceDE w:val="0"/>
              <w:autoSpaceDN w:val="0"/>
              <w:spacing w:line="194" w:lineRule="exact"/>
              <w:jc w:val="center"/>
              <w:rPr>
                <w:b/>
                <w:sz w:val="15"/>
                <w:szCs w:val="15"/>
              </w:rPr>
            </w:pPr>
            <w:r w:rsidRPr="00E64D14">
              <w:rPr>
                <w:b/>
                <w:sz w:val="15"/>
                <w:szCs w:val="15"/>
              </w:rPr>
              <w:t>nadređenog</w:t>
            </w:r>
          </w:p>
          <w:p w14:paraId="6ACE64BD" w14:textId="77777777" w:rsidR="00E541EE" w:rsidRPr="00E64D14" w:rsidRDefault="00E541EE" w:rsidP="00A84BB5">
            <w:pPr>
              <w:widowControl w:val="0"/>
              <w:autoSpaceDE w:val="0"/>
              <w:autoSpaceDN w:val="0"/>
              <w:spacing w:before="49"/>
              <w:jc w:val="center"/>
              <w:rPr>
                <w:b/>
                <w:sz w:val="15"/>
                <w:szCs w:val="15"/>
              </w:rPr>
            </w:pPr>
            <w:r w:rsidRPr="00E64D14">
              <w:rPr>
                <w:b/>
                <w:sz w:val="15"/>
                <w:szCs w:val="15"/>
              </w:rPr>
              <w:t>akta</w:t>
            </w:r>
            <w:r w:rsidRPr="00E64D14">
              <w:rPr>
                <w:b/>
                <w:spacing w:val="1"/>
                <w:sz w:val="15"/>
                <w:szCs w:val="15"/>
              </w:rPr>
              <w:t xml:space="preserve"> </w:t>
            </w:r>
            <w:r w:rsidRPr="00E64D14">
              <w:rPr>
                <w:b/>
                <w:sz w:val="15"/>
                <w:szCs w:val="15"/>
              </w:rPr>
              <w:t>strateškog</w:t>
            </w:r>
            <w:r w:rsidRPr="00E64D14">
              <w:rPr>
                <w:b/>
                <w:spacing w:val="-34"/>
                <w:sz w:val="15"/>
                <w:szCs w:val="15"/>
              </w:rPr>
              <w:t xml:space="preserve"> </w:t>
            </w:r>
            <w:r w:rsidRPr="00E64D14">
              <w:rPr>
                <w:b/>
                <w:sz w:val="15"/>
                <w:szCs w:val="15"/>
              </w:rPr>
              <w:t>planiranja</w:t>
            </w:r>
          </w:p>
        </w:tc>
        <w:tc>
          <w:tcPr>
            <w:tcW w:w="530" w:type="pct"/>
            <w:vMerge w:val="restart"/>
            <w:vAlign w:val="center"/>
          </w:tcPr>
          <w:p w14:paraId="0AFB9C87" w14:textId="77777777" w:rsidR="00E541EE" w:rsidRPr="00E64D14" w:rsidRDefault="00E541EE" w:rsidP="00A84BB5">
            <w:pPr>
              <w:widowControl w:val="0"/>
              <w:autoSpaceDE w:val="0"/>
              <w:autoSpaceDN w:val="0"/>
              <w:spacing w:line="195" w:lineRule="exact"/>
              <w:ind w:left="44" w:right="35"/>
              <w:jc w:val="center"/>
              <w:rPr>
                <w:b/>
                <w:sz w:val="15"/>
                <w:szCs w:val="15"/>
              </w:rPr>
            </w:pPr>
            <w:r w:rsidRPr="00E64D14">
              <w:rPr>
                <w:b/>
                <w:sz w:val="15"/>
                <w:szCs w:val="15"/>
              </w:rPr>
              <w:t>Naziv</w:t>
            </w:r>
            <w:r w:rsidRPr="00E64D14">
              <w:rPr>
                <w:b/>
                <w:spacing w:val="-3"/>
                <w:sz w:val="15"/>
                <w:szCs w:val="15"/>
              </w:rPr>
              <w:t xml:space="preserve"> </w:t>
            </w:r>
            <w:r w:rsidRPr="00E64D14">
              <w:rPr>
                <w:b/>
                <w:sz w:val="15"/>
                <w:szCs w:val="15"/>
              </w:rPr>
              <w:t>cilja nadređenog</w:t>
            </w:r>
            <w:r w:rsidRPr="00E64D14">
              <w:rPr>
                <w:b/>
                <w:spacing w:val="1"/>
                <w:sz w:val="15"/>
                <w:szCs w:val="15"/>
              </w:rPr>
              <w:t xml:space="preserve"> </w:t>
            </w:r>
            <w:r w:rsidRPr="00E64D14">
              <w:rPr>
                <w:b/>
                <w:spacing w:val="-1"/>
                <w:sz w:val="15"/>
                <w:szCs w:val="15"/>
              </w:rPr>
              <w:t>akta</w:t>
            </w:r>
            <w:r w:rsidRPr="00E64D14">
              <w:rPr>
                <w:b/>
                <w:spacing w:val="-2"/>
                <w:sz w:val="15"/>
                <w:szCs w:val="15"/>
              </w:rPr>
              <w:t xml:space="preserve"> </w:t>
            </w:r>
            <w:r w:rsidRPr="00E64D14">
              <w:rPr>
                <w:b/>
                <w:spacing w:val="-1"/>
                <w:sz w:val="15"/>
                <w:szCs w:val="15"/>
              </w:rPr>
              <w:t xml:space="preserve">strateškog </w:t>
            </w:r>
            <w:r w:rsidRPr="00E64D14">
              <w:rPr>
                <w:b/>
                <w:sz w:val="15"/>
                <w:szCs w:val="15"/>
              </w:rPr>
              <w:t>planiranja</w:t>
            </w:r>
          </w:p>
        </w:tc>
        <w:tc>
          <w:tcPr>
            <w:tcW w:w="530" w:type="pct"/>
            <w:vMerge w:val="restart"/>
            <w:vAlign w:val="center"/>
          </w:tcPr>
          <w:p w14:paraId="71B08FE0" w14:textId="77777777" w:rsidR="00E541EE" w:rsidRPr="00E64D14" w:rsidRDefault="00E541EE" w:rsidP="00A84BB5">
            <w:pPr>
              <w:widowControl w:val="0"/>
              <w:autoSpaceDE w:val="0"/>
              <w:autoSpaceDN w:val="0"/>
              <w:ind w:left="125" w:right="114"/>
              <w:jc w:val="center"/>
              <w:rPr>
                <w:b/>
                <w:sz w:val="15"/>
                <w:szCs w:val="15"/>
              </w:rPr>
            </w:pPr>
            <w:r w:rsidRPr="00E64D14">
              <w:rPr>
                <w:b/>
                <w:spacing w:val="-1"/>
                <w:sz w:val="15"/>
                <w:szCs w:val="15"/>
              </w:rPr>
              <w:t xml:space="preserve">Program </w:t>
            </w:r>
            <w:r w:rsidRPr="00E64D14">
              <w:rPr>
                <w:b/>
                <w:sz w:val="15"/>
                <w:szCs w:val="15"/>
              </w:rPr>
              <w:t>u</w:t>
            </w:r>
            <w:r w:rsidRPr="00E64D14">
              <w:rPr>
                <w:b/>
                <w:spacing w:val="-34"/>
                <w:sz w:val="15"/>
                <w:szCs w:val="15"/>
              </w:rPr>
              <w:t xml:space="preserve"> </w:t>
            </w:r>
            <w:r w:rsidRPr="00E64D14">
              <w:rPr>
                <w:b/>
                <w:sz w:val="15"/>
                <w:szCs w:val="15"/>
              </w:rPr>
              <w:t xml:space="preserve">proračunu </w:t>
            </w:r>
            <w:r w:rsidRPr="00E64D14">
              <w:rPr>
                <w:b/>
                <w:spacing w:val="-34"/>
                <w:sz w:val="15"/>
                <w:szCs w:val="15"/>
              </w:rPr>
              <w:t xml:space="preserve"> </w:t>
            </w:r>
            <w:r w:rsidRPr="00E64D14">
              <w:rPr>
                <w:b/>
                <w:sz w:val="15"/>
                <w:szCs w:val="15"/>
              </w:rPr>
              <w:t>JLS</w:t>
            </w:r>
          </w:p>
        </w:tc>
        <w:tc>
          <w:tcPr>
            <w:tcW w:w="455" w:type="pct"/>
            <w:vMerge w:val="restart"/>
            <w:vAlign w:val="center"/>
          </w:tcPr>
          <w:p w14:paraId="1D8C845B" w14:textId="77777777" w:rsidR="00E541EE" w:rsidRPr="00E64D14" w:rsidRDefault="00E541EE" w:rsidP="00A84BB5">
            <w:pPr>
              <w:widowControl w:val="0"/>
              <w:autoSpaceDE w:val="0"/>
              <w:autoSpaceDN w:val="0"/>
              <w:ind w:left="179"/>
              <w:rPr>
                <w:b/>
                <w:sz w:val="15"/>
                <w:szCs w:val="15"/>
              </w:rPr>
            </w:pPr>
            <w:r w:rsidRPr="00E64D14">
              <w:rPr>
                <w:b/>
                <w:sz w:val="15"/>
                <w:szCs w:val="15"/>
              </w:rPr>
              <w:t>Naziv</w:t>
            </w:r>
            <w:r w:rsidRPr="00E64D14">
              <w:rPr>
                <w:b/>
                <w:spacing w:val="-2"/>
                <w:sz w:val="15"/>
                <w:szCs w:val="15"/>
              </w:rPr>
              <w:t xml:space="preserve"> </w:t>
            </w:r>
            <w:r w:rsidRPr="00E64D14">
              <w:rPr>
                <w:b/>
                <w:sz w:val="15"/>
                <w:szCs w:val="15"/>
              </w:rPr>
              <w:t>mjere</w:t>
            </w:r>
          </w:p>
        </w:tc>
        <w:tc>
          <w:tcPr>
            <w:tcW w:w="606" w:type="pct"/>
            <w:vMerge w:val="restart"/>
            <w:vAlign w:val="center"/>
          </w:tcPr>
          <w:p w14:paraId="32BE53D4" w14:textId="77777777" w:rsidR="00E541EE" w:rsidRPr="00E64D14" w:rsidRDefault="00E541EE" w:rsidP="00A84BB5">
            <w:pPr>
              <w:widowControl w:val="0"/>
              <w:autoSpaceDE w:val="0"/>
              <w:autoSpaceDN w:val="0"/>
              <w:ind w:left="70" w:right="60"/>
              <w:jc w:val="center"/>
              <w:rPr>
                <w:b/>
                <w:sz w:val="15"/>
                <w:szCs w:val="15"/>
              </w:rPr>
            </w:pPr>
            <w:r w:rsidRPr="00E64D14">
              <w:rPr>
                <w:b/>
                <w:sz w:val="15"/>
                <w:szCs w:val="15"/>
              </w:rPr>
              <w:t>Procijenjeni</w:t>
            </w:r>
            <w:r w:rsidRPr="00E64D14">
              <w:rPr>
                <w:b/>
                <w:spacing w:val="-34"/>
                <w:sz w:val="15"/>
                <w:szCs w:val="15"/>
              </w:rPr>
              <w:t xml:space="preserve"> </w:t>
            </w:r>
            <w:r w:rsidRPr="00E64D14">
              <w:rPr>
                <w:b/>
                <w:sz w:val="15"/>
                <w:szCs w:val="15"/>
              </w:rPr>
              <w:t>trošak</w:t>
            </w:r>
            <w:r w:rsidRPr="00E64D14">
              <w:rPr>
                <w:b/>
                <w:spacing w:val="1"/>
                <w:sz w:val="15"/>
                <w:szCs w:val="15"/>
              </w:rPr>
              <w:t xml:space="preserve"> </w:t>
            </w:r>
            <w:r w:rsidRPr="00E64D14">
              <w:rPr>
                <w:b/>
                <w:sz w:val="15"/>
                <w:szCs w:val="15"/>
              </w:rPr>
              <w:t>provedbe</w:t>
            </w:r>
            <w:r w:rsidRPr="00E64D14">
              <w:rPr>
                <w:b/>
                <w:spacing w:val="1"/>
                <w:sz w:val="15"/>
                <w:szCs w:val="15"/>
              </w:rPr>
              <w:t xml:space="preserve"> </w:t>
            </w:r>
            <w:r w:rsidRPr="00E64D14">
              <w:rPr>
                <w:b/>
                <w:sz w:val="15"/>
                <w:szCs w:val="15"/>
              </w:rPr>
              <w:t>mjere 2026.</w:t>
            </w:r>
          </w:p>
          <w:p w14:paraId="4AA2AB68" w14:textId="77777777" w:rsidR="00E541EE" w:rsidRPr="00E64D14" w:rsidRDefault="00E541EE" w:rsidP="00A84BB5">
            <w:pPr>
              <w:widowControl w:val="0"/>
              <w:autoSpaceDE w:val="0"/>
              <w:autoSpaceDN w:val="0"/>
              <w:spacing w:before="2"/>
              <w:ind w:left="70" w:right="58"/>
              <w:jc w:val="center"/>
              <w:rPr>
                <w:b/>
                <w:sz w:val="15"/>
                <w:szCs w:val="15"/>
              </w:rPr>
            </w:pPr>
            <w:r w:rsidRPr="00E64D14">
              <w:rPr>
                <w:b/>
                <w:sz w:val="15"/>
                <w:szCs w:val="15"/>
              </w:rPr>
              <w:t>(u EUR)</w:t>
            </w:r>
          </w:p>
        </w:tc>
        <w:tc>
          <w:tcPr>
            <w:tcW w:w="454" w:type="pct"/>
            <w:vMerge w:val="restart"/>
            <w:vAlign w:val="center"/>
          </w:tcPr>
          <w:p w14:paraId="5D9681E2" w14:textId="77777777" w:rsidR="00E541EE" w:rsidRPr="00E64D14" w:rsidRDefault="00E541EE" w:rsidP="00A84BB5">
            <w:pPr>
              <w:widowControl w:val="0"/>
              <w:autoSpaceDE w:val="0"/>
              <w:autoSpaceDN w:val="0"/>
              <w:rPr>
                <w:b/>
                <w:sz w:val="15"/>
                <w:szCs w:val="15"/>
              </w:rPr>
            </w:pPr>
            <w:r w:rsidRPr="00E64D14">
              <w:rPr>
                <w:b/>
                <w:sz w:val="15"/>
                <w:szCs w:val="15"/>
              </w:rPr>
              <w:t xml:space="preserve">       Ključne</w:t>
            </w:r>
          </w:p>
          <w:p w14:paraId="7201916B" w14:textId="77777777" w:rsidR="00E541EE" w:rsidRPr="00E64D14" w:rsidRDefault="00E541EE" w:rsidP="00A84BB5">
            <w:pPr>
              <w:widowControl w:val="0"/>
              <w:autoSpaceDE w:val="0"/>
              <w:autoSpaceDN w:val="0"/>
              <w:spacing w:before="1"/>
              <w:rPr>
                <w:b/>
                <w:sz w:val="15"/>
                <w:szCs w:val="15"/>
              </w:rPr>
            </w:pPr>
            <w:r w:rsidRPr="00E64D14">
              <w:rPr>
                <w:b/>
                <w:sz w:val="15"/>
                <w:szCs w:val="15"/>
              </w:rPr>
              <w:t xml:space="preserve">     aktivnosti</w:t>
            </w:r>
          </w:p>
        </w:tc>
        <w:tc>
          <w:tcPr>
            <w:tcW w:w="606" w:type="pct"/>
            <w:vMerge w:val="restart"/>
            <w:vAlign w:val="center"/>
          </w:tcPr>
          <w:p w14:paraId="4134994D" w14:textId="77777777" w:rsidR="00E541EE" w:rsidRPr="00E64D14" w:rsidRDefault="00E541EE" w:rsidP="00A84BB5">
            <w:pPr>
              <w:widowControl w:val="0"/>
              <w:autoSpaceDE w:val="0"/>
              <w:autoSpaceDN w:val="0"/>
              <w:ind w:left="62" w:right="97" w:hanging="44"/>
              <w:jc w:val="center"/>
              <w:rPr>
                <w:rFonts w:cstheme="minorHAnsi"/>
                <w:b/>
                <w:sz w:val="15"/>
                <w:szCs w:val="15"/>
              </w:rPr>
            </w:pPr>
            <w:r w:rsidRPr="00E64D14">
              <w:rPr>
                <w:rFonts w:cstheme="minorHAnsi"/>
                <w:b/>
                <w:sz w:val="15"/>
                <w:szCs w:val="15"/>
              </w:rPr>
              <w:t>Pokazatelj</w:t>
            </w:r>
            <w:r w:rsidRPr="00E64D14">
              <w:rPr>
                <w:rFonts w:cstheme="minorHAnsi"/>
                <w:b/>
                <w:spacing w:val="-34"/>
                <w:sz w:val="15"/>
                <w:szCs w:val="15"/>
              </w:rPr>
              <w:t xml:space="preserve"> </w:t>
            </w:r>
            <w:r w:rsidRPr="00E64D14">
              <w:rPr>
                <w:rFonts w:cstheme="minorHAnsi"/>
                <w:b/>
                <w:sz w:val="15"/>
                <w:szCs w:val="15"/>
              </w:rPr>
              <w:t>rezultata</w:t>
            </w:r>
          </w:p>
        </w:tc>
        <w:tc>
          <w:tcPr>
            <w:tcW w:w="455" w:type="pct"/>
            <w:vMerge w:val="restart"/>
            <w:vAlign w:val="center"/>
          </w:tcPr>
          <w:p w14:paraId="19E9FA50" w14:textId="77777777" w:rsidR="00E541EE" w:rsidRPr="00E64D14" w:rsidRDefault="00E541EE" w:rsidP="00A84BB5">
            <w:pPr>
              <w:widowControl w:val="0"/>
              <w:autoSpaceDE w:val="0"/>
              <w:autoSpaceDN w:val="0"/>
              <w:ind w:left="44" w:right="32"/>
              <w:jc w:val="center"/>
              <w:rPr>
                <w:rFonts w:cstheme="minorHAnsi"/>
                <w:b/>
                <w:sz w:val="15"/>
                <w:szCs w:val="15"/>
              </w:rPr>
            </w:pPr>
            <w:r w:rsidRPr="00E64D14">
              <w:rPr>
                <w:rFonts w:cstheme="minorHAnsi"/>
                <w:b/>
                <w:sz w:val="15"/>
                <w:szCs w:val="15"/>
              </w:rPr>
              <w:t>Početna</w:t>
            </w:r>
            <w:r w:rsidRPr="00E64D14">
              <w:rPr>
                <w:rFonts w:cstheme="minorHAnsi"/>
                <w:b/>
                <w:spacing w:val="1"/>
                <w:sz w:val="15"/>
                <w:szCs w:val="15"/>
              </w:rPr>
              <w:t xml:space="preserve"> </w:t>
            </w:r>
            <w:r w:rsidRPr="00E64D14">
              <w:rPr>
                <w:rFonts w:cstheme="minorHAnsi"/>
                <w:b/>
                <w:sz w:val="15"/>
                <w:szCs w:val="15"/>
              </w:rPr>
              <w:t>vrijednost 2025.</w:t>
            </w:r>
            <w:r w:rsidRPr="00E64D14">
              <w:rPr>
                <w:rFonts w:cstheme="minorHAnsi"/>
                <w:b/>
                <w:spacing w:val="-34"/>
                <w:sz w:val="15"/>
                <w:szCs w:val="15"/>
              </w:rPr>
              <w:t xml:space="preserve"> </w:t>
            </w:r>
          </w:p>
        </w:tc>
        <w:tc>
          <w:tcPr>
            <w:tcW w:w="909" w:type="pct"/>
            <w:gridSpan w:val="3"/>
            <w:vAlign w:val="center"/>
          </w:tcPr>
          <w:p w14:paraId="403492A6" w14:textId="77777777" w:rsidR="00E541EE" w:rsidRPr="00E64D14" w:rsidRDefault="00E541EE" w:rsidP="00A84BB5">
            <w:pPr>
              <w:widowControl w:val="0"/>
              <w:autoSpaceDE w:val="0"/>
              <w:autoSpaceDN w:val="0"/>
              <w:ind w:left="70" w:right="56"/>
              <w:jc w:val="center"/>
              <w:rPr>
                <w:rFonts w:cstheme="minorHAnsi"/>
                <w:b/>
                <w:sz w:val="15"/>
                <w:szCs w:val="15"/>
              </w:rPr>
            </w:pPr>
            <w:r w:rsidRPr="00E64D14">
              <w:rPr>
                <w:rFonts w:cstheme="minorHAnsi"/>
                <w:b/>
                <w:sz w:val="15"/>
                <w:szCs w:val="15"/>
              </w:rPr>
              <w:t>Ciljna</w:t>
            </w:r>
            <w:r w:rsidRPr="00E64D14">
              <w:rPr>
                <w:rFonts w:cstheme="minorHAnsi"/>
                <w:b/>
                <w:spacing w:val="1"/>
                <w:sz w:val="15"/>
                <w:szCs w:val="15"/>
              </w:rPr>
              <w:t xml:space="preserve"> </w:t>
            </w:r>
            <w:r w:rsidRPr="00E64D14">
              <w:rPr>
                <w:rFonts w:cstheme="minorHAnsi"/>
                <w:b/>
                <w:sz w:val="15"/>
                <w:szCs w:val="15"/>
              </w:rPr>
              <w:t>vrijednost</w:t>
            </w:r>
            <w:r w:rsidRPr="00E64D14">
              <w:rPr>
                <w:rFonts w:cstheme="minorHAnsi"/>
                <w:b/>
                <w:spacing w:val="-34"/>
                <w:sz w:val="15"/>
                <w:szCs w:val="15"/>
              </w:rPr>
              <w:t xml:space="preserve"> </w:t>
            </w:r>
          </w:p>
        </w:tc>
      </w:tr>
      <w:tr w:rsidR="00E541EE" w:rsidRPr="00E64D14" w14:paraId="5C740BBA" w14:textId="77777777" w:rsidTr="00A84BB5">
        <w:trPr>
          <w:trHeight w:val="636"/>
        </w:trPr>
        <w:tc>
          <w:tcPr>
            <w:tcW w:w="455" w:type="pct"/>
            <w:vMerge/>
            <w:vAlign w:val="center"/>
          </w:tcPr>
          <w:p w14:paraId="3787DBB8" w14:textId="77777777" w:rsidR="00E541EE" w:rsidRPr="00E64D14" w:rsidRDefault="00E541EE" w:rsidP="00A84BB5">
            <w:pPr>
              <w:widowControl w:val="0"/>
              <w:autoSpaceDE w:val="0"/>
              <w:autoSpaceDN w:val="0"/>
              <w:spacing w:before="49"/>
              <w:jc w:val="center"/>
              <w:rPr>
                <w:b/>
                <w:sz w:val="15"/>
                <w:szCs w:val="15"/>
              </w:rPr>
            </w:pPr>
          </w:p>
        </w:tc>
        <w:tc>
          <w:tcPr>
            <w:tcW w:w="530" w:type="pct"/>
            <w:vMerge/>
            <w:vAlign w:val="center"/>
          </w:tcPr>
          <w:p w14:paraId="7204F3E3" w14:textId="77777777" w:rsidR="00E541EE" w:rsidRPr="00E64D14" w:rsidRDefault="00E541EE" w:rsidP="00A84BB5">
            <w:pPr>
              <w:widowControl w:val="0"/>
              <w:autoSpaceDE w:val="0"/>
              <w:autoSpaceDN w:val="0"/>
              <w:spacing w:line="195" w:lineRule="exact"/>
              <w:ind w:left="44" w:right="35"/>
              <w:jc w:val="center"/>
              <w:rPr>
                <w:b/>
                <w:sz w:val="15"/>
                <w:szCs w:val="15"/>
              </w:rPr>
            </w:pPr>
          </w:p>
        </w:tc>
        <w:tc>
          <w:tcPr>
            <w:tcW w:w="530" w:type="pct"/>
            <w:vMerge/>
            <w:vAlign w:val="center"/>
          </w:tcPr>
          <w:p w14:paraId="430D47B2" w14:textId="77777777" w:rsidR="00E541EE" w:rsidRPr="00E64D14" w:rsidRDefault="00E541EE" w:rsidP="00A84BB5">
            <w:pPr>
              <w:widowControl w:val="0"/>
              <w:autoSpaceDE w:val="0"/>
              <w:autoSpaceDN w:val="0"/>
              <w:ind w:left="125" w:right="114"/>
              <w:jc w:val="center"/>
              <w:rPr>
                <w:b/>
                <w:spacing w:val="-1"/>
                <w:sz w:val="15"/>
                <w:szCs w:val="15"/>
              </w:rPr>
            </w:pPr>
          </w:p>
        </w:tc>
        <w:tc>
          <w:tcPr>
            <w:tcW w:w="455" w:type="pct"/>
            <w:vMerge/>
            <w:vAlign w:val="center"/>
          </w:tcPr>
          <w:p w14:paraId="6F8457CB" w14:textId="77777777" w:rsidR="00E541EE" w:rsidRPr="00E64D14" w:rsidRDefault="00E541EE" w:rsidP="00A84BB5">
            <w:pPr>
              <w:widowControl w:val="0"/>
              <w:autoSpaceDE w:val="0"/>
              <w:autoSpaceDN w:val="0"/>
              <w:ind w:left="179"/>
              <w:jc w:val="center"/>
              <w:rPr>
                <w:b/>
                <w:sz w:val="15"/>
                <w:szCs w:val="15"/>
              </w:rPr>
            </w:pPr>
          </w:p>
        </w:tc>
        <w:tc>
          <w:tcPr>
            <w:tcW w:w="606" w:type="pct"/>
            <w:vMerge/>
            <w:vAlign w:val="center"/>
          </w:tcPr>
          <w:p w14:paraId="432908AC" w14:textId="77777777" w:rsidR="00E541EE" w:rsidRPr="00E64D14" w:rsidRDefault="00E541EE" w:rsidP="00A84BB5">
            <w:pPr>
              <w:widowControl w:val="0"/>
              <w:autoSpaceDE w:val="0"/>
              <w:autoSpaceDN w:val="0"/>
              <w:ind w:left="70" w:right="60"/>
              <w:jc w:val="center"/>
              <w:rPr>
                <w:b/>
                <w:sz w:val="15"/>
                <w:szCs w:val="15"/>
              </w:rPr>
            </w:pPr>
          </w:p>
        </w:tc>
        <w:tc>
          <w:tcPr>
            <w:tcW w:w="454" w:type="pct"/>
            <w:vMerge/>
            <w:vAlign w:val="center"/>
          </w:tcPr>
          <w:p w14:paraId="183E8721" w14:textId="77777777" w:rsidR="00E541EE" w:rsidRPr="00E64D14" w:rsidRDefault="00E541EE" w:rsidP="00A84BB5">
            <w:pPr>
              <w:widowControl w:val="0"/>
              <w:autoSpaceDE w:val="0"/>
              <w:autoSpaceDN w:val="0"/>
              <w:ind w:left="311"/>
              <w:jc w:val="center"/>
              <w:rPr>
                <w:b/>
                <w:sz w:val="15"/>
                <w:szCs w:val="15"/>
              </w:rPr>
            </w:pPr>
          </w:p>
        </w:tc>
        <w:tc>
          <w:tcPr>
            <w:tcW w:w="606" w:type="pct"/>
            <w:vMerge/>
            <w:tcBorders>
              <w:bottom w:val="single" w:sz="4" w:space="0" w:color="auto"/>
            </w:tcBorders>
            <w:vAlign w:val="center"/>
          </w:tcPr>
          <w:p w14:paraId="31D2ABE5" w14:textId="77777777" w:rsidR="00E541EE" w:rsidRPr="00E64D14" w:rsidRDefault="00E541EE" w:rsidP="00A84BB5">
            <w:pPr>
              <w:widowControl w:val="0"/>
              <w:autoSpaceDE w:val="0"/>
              <w:autoSpaceDN w:val="0"/>
              <w:ind w:left="174" w:right="97" w:hanging="44"/>
              <w:jc w:val="center"/>
              <w:rPr>
                <w:rFonts w:cstheme="minorHAnsi"/>
                <w:b/>
                <w:sz w:val="15"/>
                <w:szCs w:val="15"/>
              </w:rPr>
            </w:pPr>
          </w:p>
        </w:tc>
        <w:tc>
          <w:tcPr>
            <w:tcW w:w="455" w:type="pct"/>
            <w:vMerge/>
            <w:tcBorders>
              <w:bottom w:val="single" w:sz="4" w:space="0" w:color="000000"/>
            </w:tcBorders>
            <w:vAlign w:val="center"/>
          </w:tcPr>
          <w:p w14:paraId="7A193ECA" w14:textId="77777777" w:rsidR="00E541EE" w:rsidRPr="00E64D14" w:rsidRDefault="00E541EE" w:rsidP="00A84BB5">
            <w:pPr>
              <w:widowControl w:val="0"/>
              <w:autoSpaceDE w:val="0"/>
              <w:autoSpaceDN w:val="0"/>
              <w:ind w:left="44" w:right="32"/>
              <w:jc w:val="center"/>
              <w:rPr>
                <w:rFonts w:cstheme="minorHAnsi"/>
                <w:b/>
                <w:sz w:val="15"/>
                <w:szCs w:val="15"/>
              </w:rPr>
            </w:pPr>
          </w:p>
        </w:tc>
        <w:tc>
          <w:tcPr>
            <w:tcW w:w="303" w:type="pct"/>
            <w:tcBorders>
              <w:bottom w:val="single" w:sz="4" w:space="0" w:color="000000"/>
            </w:tcBorders>
            <w:vAlign w:val="center"/>
          </w:tcPr>
          <w:p w14:paraId="358AB9FA" w14:textId="77777777" w:rsidR="00E541EE" w:rsidRPr="00E64D14" w:rsidRDefault="00E541EE" w:rsidP="00A84BB5">
            <w:pPr>
              <w:widowControl w:val="0"/>
              <w:autoSpaceDE w:val="0"/>
              <w:autoSpaceDN w:val="0"/>
              <w:ind w:left="87" w:right="70"/>
              <w:jc w:val="center"/>
              <w:rPr>
                <w:rFonts w:cstheme="minorHAnsi"/>
                <w:b/>
                <w:sz w:val="15"/>
                <w:szCs w:val="15"/>
              </w:rPr>
            </w:pPr>
            <w:r w:rsidRPr="00E64D14">
              <w:rPr>
                <w:rFonts w:cstheme="minorHAnsi"/>
                <w:b/>
                <w:sz w:val="15"/>
                <w:szCs w:val="15"/>
              </w:rPr>
              <w:t>za 2026.</w:t>
            </w:r>
          </w:p>
        </w:tc>
        <w:tc>
          <w:tcPr>
            <w:tcW w:w="303" w:type="pct"/>
            <w:tcBorders>
              <w:bottom w:val="single" w:sz="4" w:space="0" w:color="000000"/>
            </w:tcBorders>
            <w:vAlign w:val="center"/>
          </w:tcPr>
          <w:p w14:paraId="260D898F" w14:textId="77777777" w:rsidR="00E541EE" w:rsidRPr="00E64D14" w:rsidRDefault="00E541EE" w:rsidP="00A84BB5">
            <w:pPr>
              <w:widowControl w:val="0"/>
              <w:autoSpaceDE w:val="0"/>
              <w:autoSpaceDN w:val="0"/>
              <w:ind w:left="75" w:right="61"/>
              <w:jc w:val="center"/>
              <w:rPr>
                <w:rFonts w:cstheme="minorHAnsi"/>
                <w:b/>
                <w:sz w:val="15"/>
                <w:szCs w:val="15"/>
              </w:rPr>
            </w:pPr>
            <w:r w:rsidRPr="00E64D14">
              <w:rPr>
                <w:rFonts w:cstheme="minorHAnsi"/>
                <w:b/>
                <w:sz w:val="15"/>
                <w:szCs w:val="15"/>
              </w:rPr>
              <w:t>za</w:t>
            </w:r>
          </w:p>
          <w:p w14:paraId="7062EF57" w14:textId="77777777" w:rsidR="00E541EE" w:rsidRPr="00E64D14" w:rsidRDefault="00E541EE" w:rsidP="00A84BB5">
            <w:pPr>
              <w:widowControl w:val="0"/>
              <w:autoSpaceDE w:val="0"/>
              <w:autoSpaceDN w:val="0"/>
              <w:ind w:left="75" w:right="61"/>
              <w:jc w:val="center"/>
              <w:rPr>
                <w:rFonts w:cstheme="minorHAnsi"/>
                <w:b/>
                <w:sz w:val="15"/>
                <w:szCs w:val="15"/>
              </w:rPr>
            </w:pPr>
            <w:r w:rsidRPr="00E64D14">
              <w:rPr>
                <w:rFonts w:cstheme="minorHAnsi"/>
                <w:b/>
                <w:sz w:val="15"/>
                <w:szCs w:val="15"/>
              </w:rPr>
              <w:t>2027.</w:t>
            </w:r>
          </w:p>
        </w:tc>
        <w:tc>
          <w:tcPr>
            <w:tcW w:w="303" w:type="pct"/>
            <w:tcBorders>
              <w:bottom w:val="single" w:sz="4" w:space="0" w:color="000000"/>
            </w:tcBorders>
            <w:vAlign w:val="center"/>
          </w:tcPr>
          <w:p w14:paraId="1E84C5E2" w14:textId="77777777" w:rsidR="00E541EE" w:rsidRPr="00E64D14" w:rsidRDefault="00E541EE" w:rsidP="00A84BB5">
            <w:pPr>
              <w:widowControl w:val="0"/>
              <w:autoSpaceDE w:val="0"/>
              <w:autoSpaceDN w:val="0"/>
              <w:ind w:left="70" w:right="56"/>
              <w:jc w:val="center"/>
              <w:rPr>
                <w:rFonts w:cstheme="minorHAnsi"/>
                <w:b/>
                <w:sz w:val="15"/>
                <w:szCs w:val="15"/>
              </w:rPr>
            </w:pPr>
            <w:r w:rsidRPr="00E64D14">
              <w:rPr>
                <w:rFonts w:cstheme="minorHAnsi"/>
                <w:b/>
                <w:sz w:val="15"/>
                <w:szCs w:val="15"/>
              </w:rPr>
              <w:t>za</w:t>
            </w:r>
          </w:p>
          <w:p w14:paraId="66A82A85" w14:textId="77777777" w:rsidR="00E541EE" w:rsidRPr="00E64D14" w:rsidRDefault="00E541EE" w:rsidP="00A84BB5">
            <w:pPr>
              <w:widowControl w:val="0"/>
              <w:autoSpaceDE w:val="0"/>
              <w:autoSpaceDN w:val="0"/>
              <w:ind w:left="70" w:right="56"/>
              <w:jc w:val="center"/>
              <w:rPr>
                <w:rFonts w:cstheme="minorHAnsi"/>
                <w:b/>
                <w:sz w:val="15"/>
                <w:szCs w:val="15"/>
              </w:rPr>
            </w:pPr>
            <w:r w:rsidRPr="00E64D14">
              <w:rPr>
                <w:rFonts w:cstheme="minorHAnsi"/>
                <w:b/>
                <w:sz w:val="15"/>
                <w:szCs w:val="15"/>
              </w:rPr>
              <w:t>2028.</w:t>
            </w:r>
          </w:p>
        </w:tc>
      </w:tr>
      <w:tr w:rsidR="00E541EE" w:rsidRPr="00E64D14" w14:paraId="512A4FF5" w14:textId="77777777" w:rsidTr="00A84BB5">
        <w:trPr>
          <w:trHeight w:val="830"/>
        </w:trPr>
        <w:tc>
          <w:tcPr>
            <w:tcW w:w="455" w:type="pct"/>
            <w:vMerge w:val="restart"/>
            <w:vAlign w:val="center"/>
          </w:tcPr>
          <w:p w14:paraId="6AF2CF7C" w14:textId="77777777" w:rsidR="00E541EE" w:rsidRPr="00795BF4" w:rsidRDefault="00E541EE" w:rsidP="00A84BB5">
            <w:pPr>
              <w:pStyle w:val="TableParagraph"/>
              <w:spacing w:before="49"/>
              <w:ind w:left="44" w:right="35"/>
              <w:jc w:val="center"/>
              <w:rPr>
                <w:sz w:val="14"/>
                <w:szCs w:val="14"/>
              </w:rPr>
            </w:pPr>
            <w:r w:rsidRPr="00795BF4">
              <w:rPr>
                <w:sz w:val="14"/>
                <w:szCs w:val="14"/>
              </w:rPr>
              <w:t>Provedbeni program Grada Rovinja-Rovigno za razdoblje 2025.-2029. godine</w:t>
            </w:r>
          </w:p>
        </w:tc>
        <w:tc>
          <w:tcPr>
            <w:tcW w:w="530" w:type="pct"/>
            <w:vMerge w:val="restart"/>
            <w:vAlign w:val="center"/>
          </w:tcPr>
          <w:p w14:paraId="000EBDFD" w14:textId="77777777" w:rsidR="00E541EE" w:rsidRPr="00795BF4" w:rsidRDefault="00E541EE" w:rsidP="00A84BB5">
            <w:pPr>
              <w:pStyle w:val="TableParagraph"/>
              <w:jc w:val="center"/>
              <w:rPr>
                <w:sz w:val="14"/>
                <w:szCs w:val="14"/>
              </w:rPr>
            </w:pPr>
          </w:p>
          <w:p w14:paraId="509B42CA" w14:textId="77777777" w:rsidR="00E541EE" w:rsidRPr="00795BF4" w:rsidRDefault="00E541EE" w:rsidP="00A84BB5">
            <w:pPr>
              <w:pStyle w:val="TableParagraph"/>
              <w:ind w:left="28" w:right="19" w:firstLine="2"/>
              <w:jc w:val="center"/>
              <w:rPr>
                <w:sz w:val="14"/>
                <w:szCs w:val="14"/>
              </w:rPr>
            </w:pPr>
            <w:r w:rsidRPr="00795BF4">
              <w:rPr>
                <w:sz w:val="14"/>
                <w:szCs w:val="14"/>
              </w:rPr>
              <w:t>1.6.Jačanje kapaciteta za upravljanje rizicima</w:t>
            </w:r>
          </w:p>
        </w:tc>
        <w:tc>
          <w:tcPr>
            <w:tcW w:w="530" w:type="pct"/>
            <w:vMerge w:val="restart"/>
            <w:shd w:val="clear" w:color="auto" w:fill="FFF1CC"/>
            <w:vAlign w:val="center"/>
          </w:tcPr>
          <w:p w14:paraId="6F5E1BD8" w14:textId="77777777" w:rsidR="00E541EE" w:rsidRPr="00795BF4" w:rsidRDefault="00E541EE" w:rsidP="00A84BB5">
            <w:pPr>
              <w:pStyle w:val="TableParagraph"/>
              <w:spacing w:before="7"/>
              <w:jc w:val="center"/>
              <w:rPr>
                <w:sz w:val="14"/>
                <w:szCs w:val="14"/>
              </w:rPr>
            </w:pPr>
          </w:p>
          <w:p w14:paraId="085F1A7E" w14:textId="77777777" w:rsidR="00E541EE" w:rsidRPr="00795BF4" w:rsidRDefault="00E541EE" w:rsidP="00A84BB5">
            <w:pPr>
              <w:pStyle w:val="TableParagraph"/>
              <w:ind w:left="74" w:right="63" w:hanging="4"/>
              <w:jc w:val="center"/>
              <w:rPr>
                <w:sz w:val="14"/>
                <w:szCs w:val="14"/>
                <w:highlight w:val="yellow"/>
              </w:rPr>
            </w:pPr>
            <w:r w:rsidRPr="00795BF4">
              <w:rPr>
                <w:sz w:val="14"/>
                <w:szCs w:val="14"/>
              </w:rPr>
              <w:t>P-1039 Program: Vatrogastvo</w:t>
            </w:r>
          </w:p>
        </w:tc>
        <w:tc>
          <w:tcPr>
            <w:tcW w:w="455" w:type="pct"/>
            <w:vMerge w:val="restart"/>
            <w:vAlign w:val="center"/>
          </w:tcPr>
          <w:p w14:paraId="43881257" w14:textId="77777777" w:rsidR="00E541EE" w:rsidRPr="00795BF4" w:rsidRDefault="00E541EE" w:rsidP="00A84BB5">
            <w:pPr>
              <w:pStyle w:val="TableParagraph"/>
              <w:spacing w:before="7"/>
              <w:jc w:val="center"/>
              <w:rPr>
                <w:sz w:val="14"/>
                <w:szCs w:val="14"/>
              </w:rPr>
            </w:pPr>
          </w:p>
          <w:p w14:paraId="563460C8" w14:textId="77777777" w:rsidR="00E541EE" w:rsidRPr="00795BF4" w:rsidRDefault="00E541EE" w:rsidP="00A84BB5">
            <w:pPr>
              <w:pStyle w:val="TableParagraph"/>
              <w:ind w:left="29" w:right="11" w:firstLine="9"/>
              <w:jc w:val="center"/>
              <w:rPr>
                <w:sz w:val="14"/>
                <w:szCs w:val="14"/>
                <w:highlight w:val="yellow"/>
              </w:rPr>
            </w:pPr>
            <w:r w:rsidRPr="00795BF4">
              <w:rPr>
                <w:sz w:val="14"/>
                <w:szCs w:val="14"/>
              </w:rPr>
              <w:t>11. Unaprjeđenje sustava civilne zašite</w:t>
            </w:r>
          </w:p>
        </w:tc>
        <w:tc>
          <w:tcPr>
            <w:tcW w:w="606" w:type="pct"/>
            <w:vMerge w:val="restart"/>
            <w:shd w:val="clear" w:color="auto" w:fill="FFF1CC"/>
            <w:vAlign w:val="center"/>
          </w:tcPr>
          <w:p w14:paraId="3271B5F1" w14:textId="77777777" w:rsidR="00E541EE" w:rsidRPr="00795BF4" w:rsidRDefault="00E541EE" w:rsidP="00A84BB5">
            <w:pPr>
              <w:pStyle w:val="TableParagraph"/>
              <w:spacing w:before="8"/>
              <w:jc w:val="center"/>
              <w:rPr>
                <w:sz w:val="14"/>
                <w:szCs w:val="14"/>
              </w:rPr>
            </w:pPr>
          </w:p>
          <w:p w14:paraId="4F5DBDDC" w14:textId="77777777" w:rsidR="00E541EE" w:rsidRPr="00795BF4" w:rsidRDefault="00E541EE" w:rsidP="00A84BB5">
            <w:pPr>
              <w:pStyle w:val="TableParagraph"/>
              <w:ind w:left="142"/>
              <w:jc w:val="center"/>
              <w:rPr>
                <w:sz w:val="14"/>
                <w:szCs w:val="14"/>
                <w:highlight w:val="yellow"/>
              </w:rPr>
            </w:pPr>
            <w:r w:rsidRPr="00795BF4">
              <w:rPr>
                <w:sz w:val="14"/>
                <w:szCs w:val="14"/>
              </w:rPr>
              <w:t>2.566.711,00</w:t>
            </w:r>
          </w:p>
        </w:tc>
        <w:tc>
          <w:tcPr>
            <w:tcW w:w="454" w:type="pct"/>
            <w:vMerge w:val="restart"/>
            <w:vAlign w:val="center"/>
          </w:tcPr>
          <w:p w14:paraId="5A497C8F" w14:textId="77777777" w:rsidR="00E541EE" w:rsidRPr="00795BF4" w:rsidRDefault="00E541EE" w:rsidP="00A84BB5">
            <w:pPr>
              <w:rPr>
                <w:sz w:val="14"/>
                <w:szCs w:val="14"/>
              </w:rPr>
            </w:pPr>
          </w:p>
          <w:p w14:paraId="503C5968" w14:textId="77777777" w:rsidR="00E541EE" w:rsidRPr="00795BF4" w:rsidRDefault="00E541EE" w:rsidP="00A84BB5">
            <w:pPr>
              <w:jc w:val="center"/>
              <w:rPr>
                <w:sz w:val="14"/>
                <w:szCs w:val="14"/>
              </w:rPr>
            </w:pPr>
            <w:r w:rsidRPr="00795BF4">
              <w:rPr>
                <w:sz w:val="14"/>
                <w:szCs w:val="14"/>
              </w:rPr>
              <w:t>A 103901: Sufinanciranje Područne vatrogasne zajednice</w:t>
            </w:r>
          </w:p>
          <w:p w14:paraId="363ED45B" w14:textId="77777777" w:rsidR="00E541EE" w:rsidRPr="00795BF4" w:rsidRDefault="00E541EE" w:rsidP="00A84BB5">
            <w:pPr>
              <w:jc w:val="center"/>
              <w:rPr>
                <w:sz w:val="14"/>
                <w:szCs w:val="14"/>
              </w:rPr>
            </w:pPr>
            <w:r w:rsidRPr="00795BF4">
              <w:rPr>
                <w:sz w:val="14"/>
                <w:szCs w:val="14"/>
              </w:rPr>
              <w:t>Proračunski korisnik 34459: Javna vatrogasna postrojba Rovinj-Rovigno</w:t>
            </w:r>
          </w:p>
          <w:p w14:paraId="23657E47" w14:textId="77777777" w:rsidR="00E541EE" w:rsidRPr="00795BF4" w:rsidRDefault="00E541EE" w:rsidP="00A84BB5">
            <w:pPr>
              <w:rPr>
                <w:sz w:val="14"/>
                <w:szCs w:val="14"/>
                <w:highlight w:val="yellow"/>
              </w:rPr>
            </w:pPr>
          </w:p>
        </w:tc>
        <w:tc>
          <w:tcPr>
            <w:tcW w:w="606" w:type="pct"/>
            <w:tcBorders>
              <w:top w:val="single" w:sz="4" w:space="0" w:color="5B9BD5" w:themeColor="accent5"/>
              <w:left w:val="single" w:sz="4" w:space="0" w:color="5B9BD5" w:themeColor="accent5"/>
              <w:bottom w:val="single" w:sz="4" w:space="0" w:color="000000"/>
              <w:right w:val="single" w:sz="4" w:space="0" w:color="000000"/>
            </w:tcBorders>
            <w:shd w:val="clear" w:color="auto" w:fill="FFFFFF" w:themeFill="background1"/>
            <w:vAlign w:val="center"/>
          </w:tcPr>
          <w:p w14:paraId="07AA2DC2" w14:textId="77777777" w:rsidR="00E541EE" w:rsidRPr="00795BF4" w:rsidRDefault="00E541EE" w:rsidP="00A84BB5">
            <w:pPr>
              <w:jc w:val="center"/>
              <w:rPr>
                <w:rFonts w:cstheme="minorHAnsi"/>
                <w:sz w:val="14"/>
                <w:szCs w:val="14"/>
                <w:highlight w:val="yellow"/>
              </w:rPr>
            </w:pPr>
            <w:r w:rsidRPr="00795BF4">
              <w:rPr>
                <w:rFonts w:eastAsia="Times New Roman" w:cstheme="minorHAnsi"/>
                <w:sz w:val="14"/>
                <w:szCs w:val="14"/>
              </w:rPr>
              <w:t>Broj novih operativnih vatrogasaca JVP-a</w:t>
            </w:r>
          </w:p>
        </w:tc>
        <w:tc>
          <w:tcPr>
            <w:tcW w:w="45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6AA154A" w14:textId="77777777" w:rsidR="00E541EE" w:rsidRPr="00795BF4" w:rsidRDefault="00E541EE" w:rsidP="00A84BB5">
            <w:pPr>
              <w:jc w:val="center"/>
              <w:rPr>
                <w:rFonts w:eastAsia="Times New Roman" w:cstheme="minorHAnsi"/>
                <w:sz w:val="14"/>
                <w:szCs w:val="14"/>
              </w:rPr>
            </w:pPr>
          </w:p>
          <w:p w14:paraId="65FF78FE" w14:textId="77777777" w:rsidR="00E541EE" w:rsidRPr="00795BF4" w:rsidRDefault="00E541EE" w:rsidP="00A84BB5">
            <w:pPr>
              <w:jc w:val="center"/>
              <w:rPr>
                <w:rFonts w:cstheme="minorHAnsi"/>
                <w:sz w:val="14"/>
                <w:szCs w:val="14"/>
              </w:rPr>
            </w:pPr>
            <w:r w:rsidRPr="00795BF4">
              <w:rPr>
                <w:rFonts w:eastAsia="Times New Roman" w:cstheme="minorHAnsi"/>
                <w:sz w:val="14"/>
                <w:szCs w:val="14"/>
              </w:rPr>
              <w:t>28</w:t>
            </w:r>
          </w:p>
        </w:tc>
        <w:tc>
          <w:tcPr>
            <w:tcW w:w="30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4D1A28F" w14:textId="77777777" w:rsidR="00E541EE" w:rsidRPr="00795BF4" w:rsidRDefault="00E541EE" w:rsidP="00A84BB5">
            <w:pPr>
              <w:jc w:val="center"/>
              <w:rPr>
                <w:rFonts w:eastAsia="Times New Roman" w:cstheme="minorHAnsi"/>
                <w:sz w:val="14"/>
                <w:szCs w:val="14"/>
              </w:rPr>
            </w:pPr>
          </w:p>
          <w:p w14:paraId="49560C35" w14:textId="77777777" w:rsidR="00E541EE" w:rsidRPr="00795BF4" w:rsidRDefault="00E541EE" w:rsidP="00A84BB5">
            <w:pPr>
              <w:jc w:val="center"/>
              <w:rPr>
                <w:rFonts w:cstheme="minorHAnsi"/>
                <w:sz w:val="14"/>
                <w:szCs w:val="14"/>
              </w:rPr>
            </w:pPr>
            <w:r w:rsidRPr="00795BF4">
              <w:rPr>
                <w:rFonts w:eastAsia="Times New Roman" w:cstheme="minorHAnsi"/>
                <w:sz w:val="14"/>
                <w:szCs w:val="14"/>
              </w:rPr>
              <w:t>30</w:t>
            </w:r>
          </w:p>
        </w:tc>
        <w:tc>
          <w:tcPr>
            <w:tcW w:w="30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51F394E" w14:textId="77777777" w:rsidR="00E541EE" w:rsidRPr="00795BF4" w:rsidRDefault="00E541EE" w:rsidP="00A84BB5">
            <w:pPr>
              <w:jc w:val="center"/>
              <w:rPr>
                <w:rFonts w:eastAsia="Times New Roman" w:cstheme="minorHAnsi"/>
                <w:sz w:val="14"/>
                <w:szCs w:val="14"/>
              </w:rPr>
            </w:pPr>
          </w:p>
          <w:p w14:paraId="19E615F8" w14:textId="77777777" w:rsidR="00E541EE" w:rsidRPr="00795BF4" w:rsidRDefault="00E541EE" w:rsidP="00A84BB5">
            <w:pPr>
              <w:jc w:val="center"/>
              <w:rPr>
                <w:rFonts w:cstheme="minorHAnsi"/>
                <w:sz w:val="14"/>
                <w:szCs w:val="14"/>
              </w:rPr>
            </w:pPr>
            <w:r w:rsidRPr="00795BF4">
              <w:rPr>
                <w:rFonts w:eastAsia="Times New Roman" w:cstheme="minorHAnsi"/>
                <w:sz w:val="14"/>
                <w:szCs w:val="14"/>
              </w:rPr>
              <w:t>30</w:t>
            </w:r>
          </w:p>
        </w:tc>
        <w:tc>
          <w:tcPr>
            <w:tcW w:w="30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AE57A26" w14:textId="77777777" w:rsidR="00E541EE" w:rsidRPr="00795BF4" w:rsidRDefault="00E541EE" w:rsidP="00A84BB5">
            <w:pPr>
              <w:pStyle w:val="TableParagraph"/>
              <w:spacing w:before="49"/>
              <w:ind w:right="35"/>
              <w:jc w:val="center"/>
              <w:rPr>
                <w:rFonts w:asciiTheme="minorHAnsi" w:eastAsia="Times New Roman" w:hAnsiTheme="minorHAnsi" w:cstheme="minorHAnsi"/>
                <w:sz w:val="14"/>
                <w:szCs w:val="14"/>
                <w:lang w:eastAsia="hr-HR"/>
              </w:rPr>
            </w:pPr>
          </w:p>
          <w:p w14:paraId="408BE057" w14:textId="77777777" w:rsidR="00E541EE" w:rsidRPr="00795BF4" w:rsidRDefault="00E541EE" w:rsidP="00A84BB5">
            <w:pPr>
              <w:pStyle w:val="TableParagraph"/>
              <w:spacing w:before="49"/>
              <w:ind w:right="35"/>
              <w:jc w:val="center"/>
              <w:rPr>
                <w:rFonts w:asciiTheme="minorHAnsi" w:hAnsiTheme="minorHAnsi" w:cstheme="minorHAnsi"/>
                <w:sz w:val="14"/>
                <w:szCs w:val="14"/>
              </w:rPr>
            </w:pPr>
            <w:r w:rsidRPr="00795BF4">
              <w:rPr>
                <w:rFonts w:asciiTheme="minorHAnsi" w:eastAsia="Times New Roman" w:hAnsiTheme="minorHAnsi" w:cstheme="minorHAnsi"/>
                <w:sz w:val="14"/>
                <w:szCs w:val="14"/>
                <w:lang w:eastAsia="hr-HR"/>
              </w:rPr>
              <w:t>32</w:t>
            </w:r>
          </w:p>
        </w:tc>
      </w:tr>
      <w:tr w:rsidR="00E541EE" w:rsidRPr="00E64D14" w14:paraId="419E25E5" w14:textId="77777777" w:rsidTr="00A84BB5">
        <w:trPr>
          <w:trHeight w:val="550"/>
        </w:trPr>
        <w:tc>
          <w:tcPr>
            <w:tcW w:w="455" w:type="pct"/>
            <w:vMerge/>
            <w:vAlign w:val="center"/>
          </w:tcPr>
          <w:p w14:paraId="5F4A487D" w14:textId="77777777" w:rsidR="00E541EE" w:rsidRPr="00795BF4" w:rsidRDefault="00E541EE" w:rsidP="00A84BB5">
            <w:pPr>
              <w:pStyle w:val="TableParagraph"/>
              <w:spacing w:before="49"/>
              <w:ind w:left="44" w:right="35"/>
              <w:jc w:val="center"/>
              <w:rPr>
                <w:sz w:val="14"/>
                <w:szCs w:val="14"/>
              </w:rPr>
            </w:pPr>
          </w:p>
        </w:tc>
        <w:tc>
          <w:tcPr>
            <w:tcW w:w="530" w:type="pct"/>
            <w:vMerge/>
            <w:vAlign w:val="center"/>
          </w:tcPr>
          <w:p w14:paraId="3FCBBF1F" w14:textId="77777777" w:rsidR="00E541EE" w:rsidRPr="00795BF4" w:rsidRDefault="00E541EE" w:rsidP="00A84BB5">
            <w:pPr>
              <w:pStyle w:val="TableParagraph"/>
              <w:jc w:val="center"/>
              <w:rPr>
                <w:sz w:val="14"/>
                <w:szCs w:val="14"/>
              </w:rPr>
            </w:pPr>
          </w:p>
        </w:tc>
        <w:tc>
          <w:tcPr>
            <w:tcW w:w="530" w:type="pct"/>
            <w:vMerge/>
            <w:shd w:val="clear" w:color="auto" w:fill="FFF1CC"/>
            <w:vAlign w:val="center"/>
          </w:tcPr>
          <w:p w14:paraId="066FEEB1" w14:textId="77777777" w:rsidR="00E541EE" w:rsidRPr="00795BF4" w:rsidRDefault="00E541EE" w:rsidP="00A84BB5">
            <w:pPr>
              <w:pStyle w:val="TableParagraph"/>
              <w:spacing w:before="7"/>
              <w:rPr>
                <w:sz w:val="14"/>
                <w:szCs w:val="14"/>
              </w:rPr>
            </w:pPr>
          </w:p>
        </w:tc>
        <w:tc>
          <w:tcPr>
            <w:tcW w:w="455" w:type="pct"/>
            <w:vMerge/>
            <w:vAlign w:val="center"/>
          </w:tcPr>
          <w:p w14:paraId="0F24BB65" w14:textId="77777777" w:rsidR="00E541EE" w:rsidRPr="00795BF4" w:rsidRDefault="00E541EE" w:rsidP="00A84BB5">
            <w:pPr>
              <w:pStyle w:val="TableParagraph"/>
              <w:spacing w:before="7"/>
              <w:rPr>
                <w:sz w:val="14"/>
                <w:szCs w:val="14"/>
              </w:rPr>
            </w:pPr>
          </w:p>
        </w:tc>
        <w:tc>
          <w:tcPr>
            <w:tcW w:w="606" w:type="pct"/>
            <w:vMerge/>
            <w:shd w:val="clear" w:color="auto" w:fill="FFF1CC"/>
            <w:vAlign w:val="center"/>
          </w:tcPr>
          <w:p w14:paraId="0F35C2EC" w14:textId="77777777" w:rsidR="00E541EE" w:rsidRPr="00795BF4" w:rsidRDefault="00E541EE" w:rsidP="00A84BB5">
            <w:pPr>
              <w:pStyle w:val="TableParagraph"/>
              <w:spacing w:before="8"/>
              <w:rPr>
                <w:sz w:val="14"/>
                <w:szCs w:val="14"/>
              </w:rPr>
            </w:pPr>
          </w:p>
        </w:tc>
        <w:tc>
          <w:tcPr>
            <w:tcW w:w="454" w:type="pct"/>
            <w:vMerge/>
            <w:vAlign w:val="center"/>
          </w:tcPr>
          <w:p w14:paraId="1C83982D" w14:textId="77777777" w:rsidR="00E541EE" w:rsidRPr="00795BF4" w:rsidRDefault="00E541EE" w:rsidP="00A84BB5">
            <w:pPr>
              <w:rPr>
                <w:sz w:val="14"/>
                <w:szCs w:val="14"/>
              </w:rPr>
            </w:pPr>
          </w:p>
        </w:tc>
        <w:tc>
          <w:tcPr>
            <w:tcW w:w="606" w:type="pct"/>
            <w:tcBorders>
              <w:top w:val="single" w:sz="4" w:space="0" w:color="000000"/>
              <w:left w:val="single" w:sz="4" w:space="0" w:color="5B9BD5" w:themeColor="accent5"/>
              <w:bottom w:val="single" w:sz="4" w:space="0" w:color="000000"/>
              <w:right w:val="single" w:sz="4" w:space="0" w:color="000000"/>
            </w:tcBorders>
            <w:shd w:val="clear" w:color="auto" w:fill="FFFFFF" w:themeFill="background1"/>
            <w:vAlign w:val="center"/>
          </w:tcPr>
          <w:p w14:paraId="7F71B1E9" w14:textId="77777777" w:rsidR="00E541EE" w:rsidRPr="00795BF4" w:rsidRDefault="00E541EE" w:rsidP="00A84BB5">
            <w:pPr>
              <w:jc w:val="center"/>
              <w:rPr>
                <w:rFonts w:cstheme="minorHAnsi"/>
                <w:sz w:val="14"/>
                <w:szCs w:val="14"/>
              </w:rPr>
            </w:pPr>
            <w:r w:rsidRPr="00795BF4">
              <w:rPr>
                <w:rFonts w:eastAsia="Times New Roman" w:cstheme="minorHAnsi"/>
                <w:sz w:val="14"/>
                <w:szCs w:val="14"/>
              </w:rPr>
              <w:t>Broj opremljenih objekata dobrovoljnih vatrogasnih društava nabavom nove/dodatne opreme</w:t>
            </w:r>
          </w:p>
        </w:tc>
        <w:tc>
          <w:tcPr>
            <w:tcW w:w="45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7C3475B" w14:textId="77777777" w:rsidR="00E541EE" w:rsidRPr="00795BF4" w:rsidRDefault="00E541EE" w:rsidP="00A84BB5">
            <w:pPr>
              <w:jc w:val="center"/>
              <w:rPr>
                <w:rFonts w:eastAsia="Times New Roman" w:cstheme="minorHAnsi"/>
                <w:sz w:val="14"/>
                <w:szCs w:val="14"/>
              </w:rPr>
            </w:pPr>
          </w:p>
          <w:p w14:paraId="299556E3" w14:textId="77777777" w:rsidR="00E541EE" w:rsidRPr="00795BF4" w:rsidRDefault="00E541EE" w:rsidP="00A84BB5">
            <w:pPr>
              <w:jc w:val="center"/>
              <w:rPr>
                <w:rFonts w:cstheme="minorHAnsi"/>
                <w:sz w:val="14"/>
                <w:szCs w:val="14"/>
              </w:rPr>
            </w:pPr>
            <w:r w:rsidRPr="00795BF4">
              <w:rPr>
                <w:rFonts w:eastAsia="Times New Roman" w:cstheme="minorHAnsi"/>
                <w:sz w:val="14"/>
                <w:szCs w:val="14"/>
              </w:rPr>
              <w:t>1</w:t>
            </w:r>
          </w:p>
        </w:tc>
        <w:tc>
          <w:tcPr>
            <w:tcW w:w="30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132FA5C" w14:textId="77777777" w:rsidR="00E541EE" w:rsidRPr="00795BF4" w:rsidRDefault="00E541EE" w:rsidP="00A84BB5">
            <w:pPr>
              <w:jc w:val="center"/>
              <w:rPr>
                <w:rFonts w:eastAsia="Times New Roman" w:cstheme="minorHAnsi"/>
                <w:sz w:val="14"/>
                <w:szCs w:val="14"/>
              </w:rPr>
            </w:pPr>
          </w:p>
          <w:p w14:paraId="7BBB8897" w14:textId="77777777" w:rsidR="00E541EE" w:rsidRPr="00795BF4" w:rsidRDefault="00E541EE" w:rsidP="00A84BB5">
            <w:pPr>
              <w:jc w:val="center"/>
              <w:rPr>
                <w:rFonts w:cstheme="minorHAnsi"/>
                <w:sz w:val="14"/>
                <w:szCs w:val="14"/>
              </w:rPr>
            </w:pPr>
            <w:r w:rsidRPr="00795BF4">
              <w:rPr>
                <w:rFonts w:eastAsia="Times New Roman" w:cstheme="minorHAnsi"/>
                <w:sz w:val="14"/>
                <w:szCs w:val="14"/>
              </w:rPr>
              <w:t>1</w:t>
            </w:r>
          </w:p>
        </w:tc>
        <w:tc>
          <w:tcPr>
            <w:tcW w:w="30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473FBA5" w14:textId="77777777" w:rsidR="00E541EE" w:rsidRPr="00795BF4" w:rsidRDefault="00E541EE" w:rsidP="00A84BB5">
            <w:pPr>
              <w:jc w:val="center"/>
              <w:rPr>
                <w:rFonts w:eastAsia="Times New Roman" w:cstheme="minorHAnsi"/>
                <w:sz w:val="14"/>
                <w:szCs w:val="14"/>
              </w:rPr>
            </w:pPr>
          </w:p>
          <w:p w14:paraId="5089CD45" w14:textId="77777777" w:rsidR="00E541EE" w:rsidRPr="00795BF4" w:rsidRDefault="00E541EE" w:rsidP="00A84BB5">
            <w:pPr>
              <w:jc w:val="center"/>
              <w:rPr>
                <w:rFonts w:cstheme="minorHAnsi"/>
                <w:sz w:val="14"/>
                <w:szCs w:val="14"/>
              </w:rPr>
            </w:pPr>
            <w:r w:rsidRPr="00795BF4">
              <w:rPr>
                <w:rFonts w:eastAsia="Times New Roman" w:cstheme="minorHAnsi"/>
                <w:sz w:val="14"/>
                <w:szCs w:val="14"/>
              </w:rPr>
              <w:t>1</w:t>
            </w:r>
          </w:p>
        </w:tc>
        <w:tc>
          <w:tcPr>
            <w:tcW w:w="30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194B239" w14:textId="77777777" w:rsidR="00E541EE" w:rsidRDefault="00E541EE" w:rsidP="00A84BB5">
            <w:pPr>
              <w:pStyle w:val="TableParagraph"/>
              <w:spacing w:before="49"/>
              <w:ind w:right="35"/>
              <w:jc w:val="center"/>
              <w:rPr>
                <w:rFonts w:asciiTheme="minorHAnsi" w:eastAsia="Times New Roman" w:hAnsiTheme="minorHAnsi" w:cstheme="minorHAnsi"/>
                <w:sz w:val="14"/>
                <w:szCs w:val="14"/>
                <w:lang w:eastAsia="hr-HR"/>
              </w:rPr>
            </w:pPr>
          </w:p>
          <w:p w14:paraId="50860C99" w14:textId="77777777" w:rsidR="00E541EE" w:rsidRPr="00795BF4" w:rsidRDefault="00E541EE" w:rsidP="00A84BB5">
            <w:pPr>
              <w:pStyle w:val="TableParagraph"/>
              <w:spacing w:before="49"/>
              <w:ind w:right="35"/>
              <w:jc w:val="center"/>
              <w:rPr>
                <w:rFonts w:asciiTheme="minorHAnsi" w:hAnsiTheme="minorHAnsi" w:cstheme="minorHAnsi"/>
                <w:sz w:val="14"/>
                <w:szCs w:val="14"/>
              </w:rPr>
            </w:pPr>
            <w:r w:rsidRPr="00795BF4">
              <w:rPr>
                <w:rFonts w:asciiTheme="minorHAnsi" w:eastAsia="Times New Roman" w:hAnsiTheme="minorHAnsi" w:cstheme="minorHAnsi"/>
                <w:sz w:val="14"/>
                <w:szCs w:val="14"/>
                <w:lang w:eastAsia="hr-HR"/>
              </w:rPr>
              <w:t>1</w:t>
            </w:r>
          </w:p>
        </w:tc>
      </w:tr>
      <w:tr w:rsidR="00E541EE" w:rsidRPr="00E64D14" w14:paraId="2C446BFA" w14:textId="77777777" w:rsidTr="00A84BB5">
        <w:trPr>
          <w:trHeight w:val="1150"/>
        </w:trPr>
        <w:tc>
          <w:tcPr>
            <w:tcW w:w="455" w:type="pct"/>
            <w:vMerge/>
            <w:vAlign w:val="center"/>
          </w:tcPr>
          <w:p w14:paraId="6B2093A3" w14:textId="77777777" w:rsidR="00E541EE" w:rsidRPr="00795BF4" w:rsidRDefault="00E541EE" w:rsidP="00A84BB5">
            <w:pPr>
              <w:widowControl w:val="0"/>
              <w:autoSpaceDE w:val="0"/>
              <w:autoSpaceDN w:val="0"/>
              <w:spacing w:before="49"/>
              <w:ind w:left="44" w:right="35"/>
              <w:jc w:val="center"/>
              <w:rPr>
                <w:sz w:val="14"/>
                <w:szCs w:val="14"/>
              </w:rPr>
            </w:pPr>
          </w:p>
        </w:tc>
        <w:tc>
          <w:tcPr>
            <w:tcW w:w="530" w:type="pct"/>
            <w:vMerge/>
            <w:vAlign w:val="center"/>
          </w:tcPr>
          <w:p w14:paraId="5BCCBF10" w14:textId="77777777" w:rsidR="00E541EE" w:rsidRPr="00795BF4" w:rsidRDefault="00E541EE" w:rsidP="00A84BB5">
            <w:pPr>
              <w:widowControl w:val="0"/>
              <w:autoSpaceDE w:val="0"/>
              <w:autoSpaceDN w:val="0"/>
              <w:jc w:val="center"/>
              <w:rPr>
                <w:color w:val="FF0000"/>
                <w:sz w:val="14"/>
                <w:szCs w:val="14"/>
              </w:rPr>
            </w:pPr>
          </w:p>
        </w:tc>
        <w:tc>
          <w:tcPr>
            <w:tcW w:w="530" w:type="pct"/>
            <w:vMerge/>
            <w:shd w:val="clear" w:color="auto" w:fill="FFF1CC"/>
            <w:vAlign w:val="center"/>
          </w:tcPr>
          <w:p w14:paraId="58CAA38D" w14:textId="77777777" w:rsidR="00E541EE" w:rsidRPr="00795BF4" w:rsidRDefault="00E541EE" w:rsidP="00A84BB5">
            <w:pPr>
              <w:widowControl w:val="0"/>
              <w:autoSpaceDE w:val="0"/>
              <w:autoSpaceDN w:val="0"/>
              <w:spacing w:before="7"/>
              <w:rPr>
                <w:color w:val="FF0000"/>
                <w:sz w:val="14"/>
                <w:szCs w:val="14"/>
              </w:rPr>
            </w:pPr>
          </w:p>
        </w:tc>
        <w:tc>
          <w:tcPr>
            <w:tcW w:w="455" w:type="pct"/>
            <w:vMerge/>
            <w:vAlign w:val="center"/>
          </w:tcPr>
          <w:p w14:paraId="70F130C9" w14:textId="77777777" w:rsidR="00E541EE" w:rsidRPr="00795BF4" w:rsidRDefault="00E541EE" w:rsidP="00A84BB5">
            <w:pPr>
              <w:widowControl w:val="0"/>
              <w:autoSpaceDE w:val="0"/>
              <w:autoSpaceDN w:val="0"/>
              <w:spacing w:before="7"/>
              <w:rPr>
                <w:color w:val="FF0000"/>
                <w:sz w:val="14"/>
                <w:szCs w:val="14"/>
              </w:rPr>
            </w:pPr>
          </w:p>
        </w:tc>
        <w:tc>
          <w:tcPr>
            <w:tcW w:w="606" w:type="pct"/>
            <w:vMerge/>
            <w:shd w:val="clear" w:color="auto" w:fill="FFF1CC"/>
            <w:vAlign w:val="center"/>
          </w:tcPr>
          <w:p w14:paraId="6FE983AE" w14:textId="77777777" w:rsidR="00E541EE" w:rsidRPr="00795BF4" w:rsidRDefault="00E541EE" w:rsidP="00A84BB5">
            <w:pPr>
              <w:widowControl w:val="0"/>
              <w:autoSpaceDE w:val="0"/>
              <w:autoSpaceDN w:val="0"/>
              <w:rPr>
                <w:color w:val="FF0000"/>
                <w:sz w:val="14"/>
                <w:szCs w:val="14"/>
              </w:rPr>
            </w:pPr>
          </w:p>
        </w:tc>
        <w:tc>
          <w:tcPr>
            <w:tcW w:w="454" w:type="pct"/>
            <w:vMerge/>
            <w:vAlign w:val="center"/>
          </w:tcPr>
          <w:p w14:paraId="6C6DA35E" w14:textId="77777777" w:rsidR="00E541EE" w:rsidRPr="00795BF4" w:rsidRDefault="00E541EE" w:rsidP="00A84BB5">
            <w:pPr>
              <w:rPr>
                <w:color w:val="EE0000"/>
                <w:sz w:val="14"/>
                <w:szCs w:val="14"/>
              </w:rPr>
            </w:pPr>
          </w:p>
        </w:tc>
        <w:tc>
          <w:tcPr>
            <w:tcW w:w="606" w:type="pct"/>
            <w:tcBorders>
              <w:top w:val="single" w:sz="4" w:space="0" w:color="000000"/>
              <w:left w:val="single" w:sz="4" w:space="0" w:color="5B9BD5" w:themeColor="accent5"/>
              <w:bottom w:val="single" w:sz="4" w:space="0" w:color="000000"/>
              <w:right w:val="single" w:sz="4" w:space="0" w:color="000000"/>
            </w:tcBorders>
            <w:shd w:val="clear" w:color="auto" w:fill="FFFFFF" w:themeFill="background1"/>
            <w:vAlign w:val="center"/>
          </w:tcPr>
          <w:p w14:paraId="45214269" w14:textId="77777777" w:rsidR="00E541EE" w:rsidRPr="00795BF4" w:rsidRDefault="00E541EE" w:rsidP="00A84BB5">
            <w:pPr>
              <w:jc w:val="center"/>
              <w:rPr>
                <w:rFonts w:cstheme="minorHAnsi"/>
                <w:sz w:val="14"/>
                <w:szCs w:val="14"/>
              </w:rPr>
            </w:pPr>
            <w:r w:rsidRPr="00795BF4">
              <w:rPr>
                <w:rFonts w:eastAsia="Times New Roman" w:cstheme="minorHAnsi"/>
                <w:sz w:val="14"/>
                <w:szCs w:val="14"/>
              </w:rPr>
              <w:t>Broj dodatno osposobljenih članova dobrovoljnih vatrogasnih društava</w:t>
            </w:r>
          </w:p>
        </w:tc>
        <w:tc>
          <w:tcPr>
            <w:tcW w:w="45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7FD9A53" w14:textId="77777777" w:rsidR="00E541EE" w:rsidRPr="00795BF4" w:rsidRDefault="00E541EE" w:rsidP="00A84BB5">
            <w:pPr>
              <w:jc w:val="center"/>
              <w:rPr>
                <w:rFonts w:eastAsia="Times New Roman" w:cstheme="minorHAnsi"/>
                <w:sz w:val="14"/>
                <w:szCs w:val="14"/>
              </w:rPr>
            </w:pPr>
          </w:p>
          <w:p w14:paraId="4716365F" w14:textId="77777777" w:rsidR="00E541EE" w:rsidRPr="00795BF4" w:rsidRDefault="00E541EE" w:rsidP="00A84BB5">
            <w:pPr>
              <w:jc w:val="center"/>
              <w:rPr>
                <w:rFonts w:cstheme="minorHAnsi"/>
                <w:sz w:val="14"/>
                <w:szCs w:val="14"/>
              </w:rPr>
            </w:pPr>
            <w:r w:rsidRPr="00795BF4">
              <w:rPr>
                <w:rFonts w:eastAsia="Times New Roman" w:cstheme="minorHAnsi"/>
                <w:sz w:val="14"/>
                <w:szCs w:val="14"/>
              </w:rPr>
              <w:t>10</w:t>
            </w:r>
          </w:p>
        </w:tc>
        <w:tc>
          <w:tcPr>
            <w:tcW w:w="30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A30BAA5" w14:textId="77777777" w:rsidR="00E541EE" w:rsidRPr="00795BF4" w:rsidRDefault="00E541EE" w:rsidP="00A84BB5">
            <w:pPr>
              <w:jc w:val="center"/>
              <w:rPr>
                <w:rFonts w:eastAsia="Times New Roman" w:cstheme="minorHAnsi"/>
                <w:sz w:val="14"/>
                <w:szCs w:val="14"/>
              </w:rPr>
            </w:pPr>
          </w:p>
          <w:p w14:paraId="7A752780" w14:textId="77777777" w:rsidR="00E541EE" w:rsidRPr="00795BF4" w:rsidRDefault="00E541EE" w:rsidP="00A84BB5">
            <w:pPr>
              <w:jc w:val="center"/>
              <w:rPr>
                <w:rFonts w:cstheme="minorHAnsi"/>
                <w:sz w:val="14"/>
                <w:szCs w:val="14"/>
              </w:rPr>
            </w:pPr>
            <w:r w:rsidRPr="00795BF4">
              <w:rPr>
                <w:rFonts w:eastAsia="Times New Roman" w:cstheme="minorHAnsi"/>
                <w:sz w:val="14"/>
                <w:szCs w:val="14"/>
              </w:rPr>
              <w:t>12</w:t>
            </w:r>
          </w:p>
        </w:tc>
        <w:tc>
          <w:tcPr>
            <w:tcW w:w="30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B79585A" w14:textId="77777777" w:rsidR="00E541EE" w:rsidRPr="00795BF4" w:rsidRDefault="00E541EE" w:rsidP="00A84BB5">
            <w:pPr>
              <w:jc w:val="center"/>
              <w:rPr>
                <w:rFonts w:eastAsia="Times New Roman" w:cstheme="minorHAnsi"/>
                <w:sz w:val="14"/>
                <w:szCs w:val="14"/>
              </w:rPr>
            </w:pPr>
            <w:r w:rsidRPr="00795BF4">
              <w:rPr>
                <w:rFonts w:eastAsia="Times New Roman" w:cstheme="minorHAnsi"/>
                <w:sz w:val="14"/>
                <w:szCs w:val="14"/>
              </w:rPr>
              <w:t xml:space="preserve"> </w:t>
            </w:r>
          </w:p>
          <w:p w14:paraId="793F6276" w14:textId="77777777" w:rsidR="00E541EE" w:rsidRPr="00795BF4" w:rsidRDefault="00E541EE" w:rsidP="00A84BB5">
            <w:pPr>
              <w:jc w:val="center"/>
              <w:rPr>
                <w:rFonts w:cstheme="minorHAnsi"/>
                <w:sz w:val="14"/>
                <w:szCs w:val="14"/>
              </w:rPr>
            </w:pPr>
            <w:r w:rsidRPr="00795BF4">
              <w:rPr>
                <w:rFonts w:eastAsia="Times New Roman" w:cstheme="minorHAnsi"/>
                <w:sz w:val="14"/>
                <w:szCs w:val="14"/>
              </w:rPr>
              <w:t>15</w:t>
            </w:r>
          </w:p>
        </w:tc>
        <w:tc>
          <w:tcPr>
            <w:tcW w:w="30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FB14D1E" w14:textId="77777777" w:rsidR="00E541EE" w:rsidRDefault="00E541EE" w:rsidP="00A84BB5">
            <w:pPr>
              <w:pStyle w:val="TableParagraph"/>
              <w:spacing w:before="49"/>
              <w:ind w:right="35"/>
              <w:rPr>
                <w:rFonts w:asciiTheme="minorHAnsi" w:eastAsia="Times New Roman" w:hAnsiTheme="minorHAnsi" w:cstheme="minorHAnsi"/>
                <w:sz w:val="14"/>
                <w:szCs w:val="14"/>
                <w:lang w:eastAsia="hr-HR"/>
              </w:rPr>
            </w:pPr>
            <w:r w:rsidRPr="00795BF4">
              <w:rPr>
                <w:rFonts w:asciiTheme="minorHAnsi" w:eastAsia="Times New Roman" w:hAnsiTheme="minorHAnsi" w:cstheme="minorHAnsi"/>
                <w:sz w:val="14"/>
                <w:szCs w:val="14"/>
                <w:lang w:eastAsia="hr-HR"/>
              </w:rPr>
              <w:t xml:space="preserve"> </w:t>
            </w:r>
          </w:p>
          <w:p w14:paraId="1FE8424E" w14:textId="77777777" w:rsidR="00E541EE" w:rsidRPr="00795BF4" w:rsidRDefault="00E541EE" w:rsidP="00A84BB5">
            <w:pPr>
              <w:pStyle w:val="TableParagraph"/>
              <w:spacing w:before="49"/>
              <w:ind w:right="35"/>
              <w:jc w:val="center"/>
              <w:rPr>
                <w:rFonts w:asciiTheme="minorHAnsi" w:hAnsiTheme="minorHAnsi" w:cstheme="minorHAnsi"/>
                <w:sz w:val="14"/>
                <w:szCs w:val="14"/>
              </w:rPr>
            </w:pPr>
            <w:r w:rsidRPr="00795BF4">
              <w:rPr>
                <w:rFonts w:asciiTheme="minorHAnsi" w:eastAsia="Times New Roman" w:hAnsiTheme="minorHAnsi" w:cstheme="minorHAnsi"/>
                <w:sz w:val="14"/>
                <w:szCs w:val="14"/>
                <w:lang w:eastAsia="hr-HR"/>
              </w:rPr>
              <w:t>18</w:t>
            </w:r>
          </w:p>
        </w:tc>
      </w:tr>
    </w:tbl>
    <w:p w14:paraId="57EF0DCA" w14:textId="77777777" w:rsidR="00E541EE" w:rsidRPr="00AC2206" w:rsidRDefault="00E541EE" w:rsidP="00E541EE">
      <w:pPr>
        <w:jc w:val="both"/>
        <w:rPr>
          <w:rFonts w:ascii="Arial" w:eastAsia="Times New Roman" w:hAnsi="Arial" w:cs="Arial"/>
          <w:sz w:val="24"/>
          <w:szCs w:val="24"/>
        </w:rPr>
      </w:pPr>
    </w:p>
    <w:p w14:paraId="08F0F286"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AC2206">
        <w:rPr>
          <w:rFonts w:ascii="Arial" w:eastAsia="Times New Roman" w:hAnsi="Arial" w:cs="Arial"/>
          <w:b/>
          <w:bCs/>
          <w:sz w:val="24"/>
          <w:szCs w:val="24"/>
        </w:rPr>
        <w:t>A 103901: Sufinanciranje Područne vatrogasne zajednice = 2</w:t>
      </w:r>
      <w:r>
        <w:rPr>
          <w:rFonts w:ascii="Arial" w:eastAsia="Times New Roman" w:hAnsi="Arial" w:cs="Arial"/>
          <w:b/>
          <w:bCs/>
          <w:sz w:val="24"/>
          <w:szCs w:val="24"/>
        </w:rPr>
        <w:t>38</w:t>
      </w:r>
      <w:r w:rsidRPr="00AC2206">
        <w:rPr>
          <w:rFonts w:ascii="Arial" w:eastAsia="Times New Roman" w:hAnsi="Arial" w:cs="Arial"/>
          <w:b/>
          <w:bCs/>
          <w:sz w:val="24"/>
          <w:szCs w:val="24"/>
        </w:rPr>
        <w:t>.</w:t>
      </w:r>
      <w:r>
        <w:rPr>
          <w:rFonts w:ascii="Arial" w:eastAsia="Times New Roman" w:hAnsi="Arial" w:cs="Arial"/>
          <w:b/>
          <w:bCs/>
          <w:sz w:val="24"/>
          <w:szCs w:val="24"/>
        </w:rPr>
        <w:t>0</w:t>
      </w:r>
      <w:r w:rsidRPr="00AC2206">
        <w:rPr>
          <w:rFonts w:ascii="Arial" w:eastAsia="Times New Roman" w:hAnsi="Arial" w:cs="Arial"/>
          <w:b/>
          <w:bCs/>
          <w:sz w:val="24"/>
          <w:szCs w:val="24"/>
        </w:rPr>
        <w:t>00,00 EUR</w:t>
      </w:r>
    </w:p>
    <w:p w14:paraId="1E94C6FD"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Zakonska osnova:</w:t>
      </w:r>
      <w:r w:rsidRPr="00AC2206">
        <w:rPr>
          <w:rFonts w:ascii="Arial" w:eastAsia="Times New Roman" w:hAnsi="Arial" w:cs="Arial"/>
          <w:sz w:val="24"/>
          <w:szCs w:val="24"/>
        </w:rPr>
        <w:t xml:space="preserve"> Zakon o vatrogastvu, Zakon o zaštiti od požara, Zakon o lokalnoj i područnoj (regionalnoj) samoupravi, Zakon o udrugama.</w:t>
      </w:r>
    </w:p>
    <w:p w14:paraId="4CA29640"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sz w:val="24"/>
          <w:szCs w:val="24"/>
        </w:rPr>
        <w:t>Opis:</w:t>
      </w:r>
      <w:r w:rsidRPr="00AC2206">
        <w:rPr>
          <w:rFonts w:ascii="Arial" w:eastAsia="Times New Roman" w:hAnsi="Arial" w:cs="Arial"/>
          <w:sz w:val="24"/>
          <w:szCs w:val="24"/>
        </w:rPr>
        <w:t xml:space="preserve"> sredstva Područne vatrogasne zajednice koriste se za financiranje rada DVD-a Rovinjsko Selo, i to za pokrivanje materijalnih troškova po intervencijama</w:t>
      </w:r>
      <w:r>
        <w:rPr>
          <w:rFonts w:ascii="Arial" w:eastAsia="Times New Roman" w:hAnsi="Arial" w:cs="Arial"/>
          <w:sz w:val="24"/>
          <w:szCs w:val="24"/>
        </w:rPr>
        <w:t xml:space="preserve">, </w:t>
      </w:r>
      <w:r w:rsidRPr="00D07248">
        <w:rPr>
          <w:rFonts w:ascii="Arial" w:eastAsia="Times New Roman" w:hAnsi="Arial" w:cs="Arial"/>
          <w:sz w:val="24"/>
          <w:szCs w:val="24"/>
        </w:rPr>
        <w:t xml:space="preserve">najma skladišta Civilne zaštite i prostora vatrogasnog doma </w:t>
      </w:r>
      <w:r>
        <w:rPr>
          <w:rFonts w:ascii="Arial" w:eastAsia="Times New Roman" w:hAnsi="Arial" w:cs="Arial"/>
          <w:sz w:val="24"/>
          <w:szCs w:val="24"/>
        </w:rPr>
        <w:t>,</w:t>
      </w:r>
      <w:r w:rsidRPr="00AC2206">
        <w:rPr>
          <w:rFonts w:ascii="Arial" w:eastAsia="Times New Roman" w:hAnsi="Arial" w:cs="Arial"/>
          <w:sz w:val="24"/>
          <w:szCs w:val="24"/>
        </w:rPr>
        <w:t xml:space="preserve"> održavanje opreme te za otplatu kredita za nabavku novih vatrogasnih vozila sukladno</w:t>
      </w:r>
      <w:r w:rsidRPr="00AC2206">
        <w:rPr>
          <w:rFonts w:ascii="Arial" w:eastAsia="Times New Roman" w:hAnsi="Arial" w:cs="Arial"/>
          <w:b/>
          <w:bCs/>
          <w:sz w:val="24"/>
          <w:szCs w:val="24"/>
        </w:rPr>
        <w:t xml:space="preserve"> </w:t>
      </w:r>
      <w:r w:rsidRPr="00AC2206">
        <w:rPr>
          <w:rFonts w:ascii="Arial" w:eastAsia="Times New Roman" w:hAnsi="Arial" w:cs="Arial"/>
          <w:sz w:val="24"/>
          <w:szCs w:val="24"/>
        </w:rPr>
        <w:t>Odluci o davanju suglasnosti Javnoj vatrogasnoj postaji Rovinj-Rovigno-Unitaˋ dei vigili del fuoco pubblica Rovinj-Rovigno i Područnoj vatrogasnoj zajednici Rovinj-Rovigno - Comunitaˋdei vigili del fuoco territoriale Rovinj-Rovigno za izdavanje jamstva za zaduživanje kod Istarske kreditne banke Umag d.d. Sredstva se osiguravaju u skladu sa Zakonom o zaštiti od požara.</w:t>
      </w:r>
    </w:p>
    <w:p w14:paraId="146AF3E3"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Opći cilj</w:t>
      </w:r>
      <w:r w:rsidRPr="00AC2206">
        <w:rPr>
          <w:rFonts w:ascii="Arial" w:eastAsia="Times New Roman" w:hAnsi="Arial" w:cs="Arial"/>
          <w:b/>
          <w:sz w:val="24"/>
          <w:szCs w:val="24"/>
        </w:rPr>
        <w:t>:</w:t>
      </w:r>
      <w:r w:rsidRPr="00AC2206">
        <w:rPr>
          <w:rFonts w:ascii="Arial" w:eastAsia="Times New Roman" w:hAnsi="Arial" w:cs="Arial"/>
          <w:sz w:val="24"/>
          <w:szCs w:val="24"/>
        </w:rPr>
        <w:t xml:space="preserve"> zajedničko djelovanje Javne vatrogasne postrojbe i dobrovoljnih vatrogasnih društava za područje Grada Rovinja-Rovigno te općina Bale, Kanfanar i Žminj.</w:t>
      </w:r>
    </w:p>
    <w:p w14:paraId="661B0EC0" w14:textId="77777777" w:rsidR="00E541EE"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Pokazatelj uspješnosti</w:t>
      </w:r>
      <w:r w:rsidRPr="00AC2206">
        <w:rPr>
          <w:rFonts w:ascii="Arial" w:eastAsia="Times New Roman" w:hAnsi="Arial" w:cs="Arial"/>
          <w:b/>
          <w:sz w:val="24"/>
          <w:szCs w:val="24"/>
        </w:rPr>
        <w:t xml:space="preserve">: </w:t>
      </w:r>
      <w:r w:rsidRPr="00AC2206">
        <w:rPr>
          <w:rFonts w:ascii="Arial" w:eastAsia="Times New Roman" w:hAnsi="Arial" w:cs="Arial"/>
          <w:sz w:val="24"/>
          <w:szCs w:val="24"/>
        </w:rPr>
        <w:t>pravovremena intervencija, smanjenje opožarenih površina i smanjenje šteta uzrokovanih požarom.</w:t>
      </w:r>
    </w:p>
    <w:p w14:paraId="3711B9F0" w14:textId="77777777" w:rsidR="00E541EE" w:rsidRDefault="00E541EE" w:rsidP="00E541EE">
      <w:pPr>
        <w:jc w:val="both"/>
        <w:rPr>
          <w:rFonts w:ascii="Arial" w:eastAsia="Times New Roman" w:hAnsi="Arial" w:cs="Arial"/>
          <w:sz w:val="24"/>
          <w:szCs w:val="24"/>
        </w:rPr>
      </w:pPr>
    </w:p>
    <w:p w14:paraId="3E16EC07" w14:textId="1775CB3C" w:rsidR="00E541EE" w:rsidRPr="00261EBF" w:rsidRDefault="00E541EE" w:rsidP="00E541EE">
      <w:pPr>
        <w:pBdr>
          <w:top w:val="single" w:sz="4" w:space="1" w:color="auto"/>
          <w:left w:val="single" w:sz="4" w:space="4" w:color="auto"/>
          <w:bottom w:val="single" w:sz="4" w:space="1" w:color="auto"/>
          <w:right w:val="single" w:sz="4" w:space="4" w:color="auto"/>
        </w:pBdr>
        <w:shd w:val="clear" w:color="auto" w:fill="FFD5EA"/>
        <w:jc w:val="both"/>
        <w:rPr>
          <w:rFonts w:ascii="Arial" w:eastAsia="Times New Roman" w:hAnsi="Arial" w:cs="Arial"/>
          <w:b/>
          <w:bCs/>
          <w:sz w:val="24"/>
          <w:szCs w:val="24"/>
        </w:rPr>
      </w:pPr>
      <w:r w:rsidRPr="00261EBF">
        <w:rPr>
          <w:rFonts w:ascii="Arial" w:eastAsia="Times New Roman" w:hAnsi="Arial" w:cs="Arial"/>
          <w:b/>
          <w:bCs/>
          <w:sz w:val="24"/>
          <w:szCs w:val="24"/>
        </w:rPr>
        <w:t xml:space="preserve">Proračunski korisnik: Javna vatrogasna postrojba Rovinj-Rovigno </w:t>
      </w:r>
    </w:p>
    <w:p w14:paraId="10699918"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FFD5EA"/>
        <w:jc w:val="both"/>
        <w:rPr>
          <w:rFonts w:ascii="Arial" w:eastAsia="Times New Roman" w:hAnsi="Arial" w:cs="Arial"/>
          <w:b/>
          <w:bCs/>
          <w:sz w:val="24"/>
          <w:szCs w:val="24"/>
        </w:rPr>
      </w:pPr>
      <w:r w:rsidRPr="00261EBF">
        <w:rPr>
          <w:rFonts w:ascii="Arial" w:eastAsia="Times New Roman" w:hAnsi="Arial" w:cs="Arial"/>
          <w:b/>
          <w:bCs/>
          <w:sz w:val="24"/>
          <w:szCs w:val="24"/>
        </w:rPr>
        <w:t>= 2.381.039,13 EUR</w:t>
      </w:r>
    </w:p>
    <w:p w14:paraId="3E22EB4F" w14:textId="77777777" w:rsidR="00E541EE" w:rsidRPr="00AC2206" w:rsidRDefault="00E541EE" w:rsidP="00E541EE">
      <w:pPr>
        <w:jc w:val="both"/>
        <w:rPr>
          <w:rFonts w:ascii="Arial" w:eastAsia="Times New Roman" w:hAnsi="Arial" w:cs="Arial"/>
          <w:b/>
          <w:bCs/>
          <w:sz w:val="24"/>
          <w:szCs w:val="24"/>
        </w:rPr>
      </w:pPr>
    </w:p>
    <w:p w14:paraId="5CAA1B60"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ind w:right="-2"/>
        <w:jc w:val="both"/>
        <w:rPr>
          <w:rFonts w:ascii="Arial" w:eastAsia="Times New Roman" w:hAnsi="Arial" w:cs="Arial"/>
          <w:b/>
          <w:bCs/>
          <w:sz w:val="24"/>
          <w:szCs w:val="24"/>
        </w:rPr>
      </w:pPr>
      <w:r w:rsidRPr="00AC2206">
        <w:rPr>
          <w:rFonts w:ascii="Arial" w:eastAsia="Times New Roman" w:hAnsi="Arial" w:cs="Arial"/>
          <w:b/>
          <w:bCs/>
          <w:sz w:val="24"/>
          <w:szCs w:val="24"/>
        </w:rPr>
        <w:t xml:space="preserve">A 103902: Decentralizirane funkcije protupožarne zaštite-općine </w:t>
      </w:r>
    </w:p>
    <w:p w14:paraId="04E91E60"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ind w:right="-2"/>
        <w:jc w:val="both"/>
        <w:rPr>
          <w:rFonts w:ascii="Arial" w:eastAsia="Times New Roman" w:hAnsi="Arial" w:cs="Arial"/>
          <w:b/>
          <w:bCs/>
          <w:sz w:val="24"/>
          <w:szCs w:val="24"/>
        </w:rPr>
      </w:pPr>
      <w:r w:rsidRPr="00AC2206">
        <w:rPr>
          <w:rFonts w:ascii="Arial" w:eastAsia="Times New Roman" w:hAnsi="Arial" w:cs="Arial"/>
          <w:b/>
          <w:bCs/>
          <w:sz w:val="24"/>
          <w:szCs w:val="24"/>
        </w:rPr>
        <w:t xml:space="preserve">= </w:t>
      </w:r>
      <w:r>
        <w:rPr>
          <w:rFonts w:ascii="Arial" w:eastAsia="Times New Roman" w:hAnsi="Arial" w:cs="Arial"/>
          <w:b/>
          <w:bCs/>
          <w:sz w:val="24"/>
          <w:szCs w:val="24"/>
        </w:rPr>
        <w:t>116.333,52</w:t>
      </w:r>
      <w:r w:rsidRPr="00AC2206">
        <w:rPr>
          <w:rFonts w:ascii="Arial" w:eastAsia="Times New Roman" w:hAnsi="Arial" w:cs="Arial"/>
          <w:b/>
          <w:bCs/>
          <w:sz w:val="24"/>
          <w:szCs w:val="24"/>
        </w:rPr>
        <w:t xml:space="preserve"> EUR</w:t>
      </w:r>
    </w:p>
    <w:p w14:paraId="7E3EFCF2" w14:textId="77777777" w:rsidR="00E541EE" w:rsidRPr="00AC2206" w:rsidRDefault="00E541EE" w:rsidP="00E541EE">
      <w:pPr>
        <w:jc w:val="both"/>
        <w:rPr>
          <w:rFonts w:ascii="Arial" w:eastAsia="Times New Roman" w:hAnsi="Arial" w:cs="Arial"/>
          <w:b/>
          <w:bCs/>
          <w:sz w:val="24"/>
          <w:szCs w:val="24"/>
        </w:rPr>
      </w:pPr>
    </w:p>
    <w:p w14:paraId="517AD955"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AC2206">
        <w:rPr>
          <w:rFonts w:ascii="Arial" w:eastAsia="Times New Roman" w:hAnsi="Arial" w:cs="Arial"/>
          <w:b/>
          <w:bCs/>
          <w:sz w:val="24"/>
          <w:szCs w:val="24"/>
        </w:rPr>
        <w:t xml:space="preserve">A 103903: Decentralizirane funkcije protupožarne zaštite-grad = </w:t>
      </w:r>
      <w:r>
        <w:rPr>
          <w:rFonts w:ascii="Arial" w:eastAsia="Times New Roman" w:hAnsi="Arial" w:cs="Arial"/>
          <w:b/>
          <w:bCs/>
          <w:sz w:val="24"/>
          <w:szCs w:val="24"/>
        </w:rPr>
        <w:t>455.329,95</w:t>
      </w:r>
      <w:r w:rsidRPr="00AC2206">
        <w:rPr>
          <w:rFonts w:ascii="Arial" w:eastAsia="Times New Roman" w:hAnsi="Arial" w:cs="Arial"/>
          <w:b/>
          <w:bCs/>
          <w:sz w:val="24"/>
          <w:szCs w:val="24"/>
        </w:rPr>
        <w:t xml:space="preserve"> EUR</w:t>
      </w:r>
    </w:p>
    <w:p w14:paraId="70F070CF"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Zakonska osnova:</w:t>
      </w:r>
      <w:r w:rsidRPr="00AC2206">
        <w:rPr>
          <w:rFonts w:ascii="Arial" w:eastAsia="Times New Roman" w:hAnsi="Arial" w:cs="Arial"/>
          <w:sz w:val="24"/>
          <w:szCs w:val="24"/>
        </w:rPr>
        <w:t xml:space="preserve"> Zakon o vatrogastvu, Zakon o zaštiti od požara, Zakon o lokalnoj i područnoj (regionalnoj) samoupravi.</w:t>
      </w:r>
    </w:p>
    <w:p w14:paraId="5324BAB8"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sz w:val="24"/>
          <w:szCs w:val="24"/>
        </w:rPr>
        <w:t>Opis:</w:t>
      </w:r>
      <w:r w:rsidRPr="00AC2206">
        <w:rPr>
          <w:rFonts w:ascii="Arial" w:eastAsia="Times New Roman" w:hAnsi="Arial" w:cs="Arial"/>
          <w:sz w:val="24"/>
          <w:szCs w:val="24"/>
        </w:rPr>
        <w:t xml:space="preserve"> financiranje zakonske obveze javnih vatrogasnih postrojbi provodi se u skladu sa standardima koje određuje Vlada svojom Odlukom, a koja se donosi za svaku proračunsku godinu. Iz ovih se sredstava financiraju plaće zaposlenih i materijalni rashodi. Sredstva se osiguravaju iz sredstava fonda poravnanja i iznosa od 1,0% poreza na dohodak. </w:t>
      </w:r>
    </w:p>
    <w:p w14:paraId="431C190F"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sz w:val="24"/>
          <w:szCs w:val="24"/>
        </w:rPr>
        <w:t>Ukoliko se iz dodatnog udjela u porezu na dohodak ne osiguraju potrebna sredstva za financiranje rashoda decentraliziranih funkcija vatrogastva, razlika se osigurava s pozicije pomoći izravnanja za decentralizirane funkcije iz Državnog proračuna RH.</w:t>
      </w:r>
    </w:p>
    <w:p w14:paraId="27FA23BA" w14:textId="77777777" w:rsidR="00E541EE" w:rsidRPr="00AC2206" w:rsidRDefault="00E541EE" w:rsidP="00E541EE">
      <w:pPr>
        <w:rPr>
          <w:rFonts w:ascii="Arial" w:eastAsia="Times New Roman" w:hAnsi="Arial" w:cs="Arial"/>
          <w:sz w:val="24"/>
          <w:szCs w:val="24"/>
        </w:rPr>
      </w:pPr>
      <w:r w:rsidRPr="00AC2206">
        <w:rPr>
          <w:rFonts w:ascii="Arial" w:eastAsia="Times New Roman" w:hAnsi="Arial" w:cs="Arial"/>
          <w:b/>
          <w:bCs/>
          <w:sz w:val="24"/>
          <w:szCs w:val="24"/>
        </w:rPr>
        <w:t>Opći cilj</w:t>
      </w:r>
      <w:r w:rsidRPr="00AC2206">
        <w:rPr>
          <w:rFonts w:ascii="Arial" w:eastAsia="Times New Roman" w:hAnsi="Arial" w:cs="Arial"/>
          <w:b/>
          <w:sz w:val="24"/>
          <w:szCs w:val="24"/>
        </w:rPr>
        <w:t xml:space="preserve">: </w:t>
      </w:r>
      <w:r w:rsidRPr="00AC2206">
        <w:rPr>
          <w:rFonts w:ascii="Arial" w:eastAsia="Times New Roman" w:hAnsi="Arial" w:cs="Arial"/>
          <w:sz w:val="24"/>
          <w:szCs w:val="24"/>
        </w:rPr>
        <w:t>funkcioniranje i djelovanje Javne vatrogasne postrojbe, spašavanje ljudi, imovine i materijalnih resursa.</w:t>
      </w:r>
      <w:r w:rsidRPr="00AC2206">
        <w:rPr>
          <w:rFonts w:ascii="Arial" w:eastAsia="Times New Roman" w:hAnsi="Arial" w:cs="Arial"/>
          <w:b/>
          <w:bCs/>
          <w:color w:val="BF8F00"/>
          <w:sz w:val="24"/>
          <w:szCs w:val="24"/>
        </w:rPr>
        <w:br/>
      </w:r>
      <w:r w:rsidRPr="00AC2206">
        <w:rPr>
          <w:rFonts w:ascii="Arial" w:eastAsia="Times New Roman" w:hAnsi="Arial" w:cs="Arial"/>
          <w:b/>
          <w:bCs/>
          <w:sz w:val="24"/>
          <w:szCs w:val="24"/>
        </w:rPr>
        <w:t>Pokazatelj uspješnosti</w:t>
      </w:r>
      <w:r w:rsidRPr="00AC2206">
        <w:rPr>
          <w:rFonts w:ascii="Arial" w:eastAsia="Times New Roman" w:hAnsi="Arial" w:cs="Arial"/>
          <w:b/>
          <w:sz w:val="24"/>
          <w:szCs w:val="24"/>
        </w:rPr>
        <w:t>:</w:t>
      </w:r>
      <w:r w:rsidRPr="00AC2206">
        <w:rPr>
          <w:rFonts w:ascii="Arial" w:eastAsia="Times New Roman" w:hAnsi="Arial" w:cs="Arial"/>
          <w:sz w:val="24"/>
          <w:szCs w:val="24"/>
        </w:rPr>
        <w:t xml:space="preserve"> pravovremena intervencija, smanjenje požarnih površina i smanjenje šteta uzrokovanih požarom.</w:t>
      </w:r>
    </w:p>
    <w:p w14:paraId="423950CA" w14:textId="77777777" w:rsidR="00E541EE" w:rsidRPr="00AC2206" w:rsidRDefault="00E541EE" w:rsidP="00E541EE">
      <w:pPr>
        <w:rPr>
          <w:rFonts w:ascii="Arial" w:eastAsia="Times New Roman" w:hAnsi="Arial" w:cs="Arial"/>
          <w:b/>
          <w:sz w:val="24"/>
          <w:szCs w:val="24"/>
        </w:rPr>
      </w:pPr>
    </w:p>
    <w:p w14:paraId="2BDD3465"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AC2206">
        <w:rPr>
          <w:rFonts w:ascii="Arial" w:eastAsia="Times New Roman" w:hAnsi="Arial" w:cs="Arial"/>
          <w:b/>
          <w:bCs/>
          <w:sz w:val="24"/>
          <w:szCs w:val="24"/>
        </w:rPr>
        <w:t>A 103904: Dodatni standardi protupožarne zaštite–postrojba = 1.</w:t>
      </w:r>
      <w:r>
        <w:rPr>
          <w:rFonts w:ascii="Arial" w:eastAsia="Times New Roman" w:hAnsi="Arial" w:cs="Arial"/>
          <w:b/>
          <w:bCs/>
          <w:sz w:val="24"/>
          <w:szCs w:val="24"/>
        </w:rPr>
        <w:t>661</w:t>
      </w:r>
      <w:r w:rsidRPr="00AC2206">
        <w:rPr>
          <w:rFonts w:ascii="Arial" w:eastAsia="Times New Roman" w:hAnsi="Arial" w:cs="Arial"/>
          <w:b/>
          <w:bCs/>
          <w:sz w:val="24"/>
          <w:szCs w:val="24"/>
        </w:rPr>
        <w:t>.</w:t>
      </w:r>
      <w:r>
        <w:rPr>
          <w:rFonts w:ascii="Arial" w:eastAsia="Times New Roman" w:hAnsi="Arial" w:cs="Arial"/>
          <w:b/>
          <w:bCs/>
          <w:sz w:val="24"/>
          <w:szCs w:val="24"/>
        </w:rPr>
        <w:t xml:space="preserve">451,66 </w:t>
      </w:r>
      <w:r w:rsidRPr="00AC2206">
        <w:rPr>
          <w:rFonts w:ascii="Arial" w:eastAsia="Times New Roman" w:hAnsi="Arial" w:cs="Arial"/>
          <w:b/>
          <w:bCs/>
          <w:sz w:val="24"/>
          <w:szCs w:val="24"/>
        </w:rPr>
        <w:t>EUR</w:t>
      </w:r>
    </w:p>
    <w:p w14:paraId="602FC674" w14:textId="77777777" w:rsidR="00E541EE" w:rsidRPr="00AC2206" w:rsidRDefault="00E541EE" w:rsidP="00E541EE">
      <w:pPr>
        <w:jc w:val="both"/>
        <w:rPr>
          <w:rFonts w:ascii="Arial" w:eastAsia="Times New Roman" w:hAnsi="Arial" w:cs="Arial"/>
          <w:bCs/>
          <w:sz w:val="24"/>
          <w:szCs w:val="24"/>
        </w:rPr>
      </w:pPr>
      <w:r w:rsidRPr="00AC2206">
        <w:rPr>
          <w:rFonts w:ascii="Arial" w:eastAsia="Times New Roman" w:hAnsi="Arial" w:cs="Arial"/>
          <w:b/>
          <w:bCs/>
          <w:sz w:val="24"/>
          <w:szCs w:val="24"/>
        </w:rPr>
        <w:t>Zakonska osnova:</w:t>
      </w:r>
      <w:r w:rsidRPr="00AC2206">
        <w:rPr>
          <w:rFonts w:ascii="Arial" w:eastAsia="Times New Roman" w:hAnsi="Arial" w:cs="Arial"/>
          <w:sz w:val="24"/>
          <w:szCs w:val="24"/>
        </w:rPr>
        <w:t xml:space="preserve"> Zakon o vatrogastvu, Zakon o zaštiti od požara, Zakon o lokalnoj i područnoj (regionalnoj) samoupravi,</w:t>
      </w:r>
      <w:r w:rsidRPr="00AC2206">
        <w:rPr>
          <w:rFonts w:ascii="Arial" w:eastAsia="Times New Roman" w:hAnsi="Arial" w:cs="Arial"/>
          <w:bCs/>
          <w:sz w:val="24"/>
          <w:szCs w:val="24"/>
        </w:rPr>
        <w:t xml:space="preserve"> Pravilnik o minimumu opreme i sredstava za rad vatrogasnih postrojbi, Pravilnik o tehničkim zahtjevima za zaštitnu i drugu opremu koju pripadnici VP koriste prilikom vatrogasnih intervencija.</w:t>
      </w:r>
    </w:p>
    <w:p w14:paraId="23DD4016" w14:textId="77777777" w:rsidR="00E541EE" w:rsidRDefault="00E541EE" w:rsidP="00E541EE">
      <w:pPr>
        <w:jc w:val="both"/>
        <w:rPr>
          <w:rFonts w:ascii="Arial" w:eastAsia="Times New Roman" w:hAnsi="Arial" w:cs="Arial"/>
          <w:sz w:val="24"/>
          <w:szCs w:val="24"/>
        </w:rPr>
      </w:pPr>
      <w:r w:rsidRPr="00AC2206">
        <w:rPr>
          <w:rFonts w:ascii="Arial" w:eastAsia="Times New Roman" w:hAnsi="Arial" w:cs="Arial"/>
          <w:b/>
          <w:sz w:val="24"/>
          <w:szCs w:val="24"/>
        </w:rPr>
        <w:t>Opis:</w:t>
      </w:r>
      <w:r w:rsidRPr="00AC2206">
        <w:rPr>
          <w:rFonts w:ascii="Arial" w:eastAsia="Times New Roman" w:hAnsi="Arial" w:cs="Arial"/>
          <w:sz w:val="24"/>
          <w:szCs w:val="24"/>
        </w:rPr>
        <w:t xml:space="preserve"> obzirom da su sredstva koja se ostvaruju s osnova Odluke o minimalnim standardima kada je riječ o financiranju JVP-a nedostatna za funkcioniranje postrojbe i pokriće redovitih izdataka, Grad osigurava dodatne standarde JVP ponajprije kroz kadrovsko ekipiranje, stručno usavršavanje i školovanje zaposlenika te osiguravanjem sredstava za provođenje Kolektivnog ugovora. Općine suosnivači sudjeluju u podmirenju rashoda u skladu sa udjelima.</w:t>
      </w:r>
    </w:p>
    <w:p w14:paraId="79F04DB3" w14:textId="77777777" w:rsidR="00E541EE" w:rsidRDefault="00E541EE" w:rsidP="00E541EE">
      <w:pPr>
        <w:jc w:val="both"/>
        <w:rPr>
          <w:rFonts w:ascii="Arial" w:eastAsia="Times New Roman" w:hAnsi="Arial" w:cs="Arial"/>
          <w:sz w:val="24"/>
          <w:szCs w:val="24"/>
        </w:rPr>
      </w:pPr>
      <w:r>
        <w:rPr>
          <w:rFonts w:ascii="Arial" w:eastAsia="Times New Roman" w:hAnsi="Arial" w:cs="Arial"/>
          <w:sz w:val="24"/>
          <w:szCs w:val="24"/>
        </w:rPr>
        <w:t xml:space="preserve">Dodatna sredstva iz gradskog proračuna  za plaće i materijalne rashode osiguravaju se u iznosu od 1.309.803,00 eura, dok se iz sredstava ostalih osnivača osigurava iznos od 285.435,00 eura. Osim navedenog za materijalne rashode ustanova koristi i vlastite prihode u iznosu od 13.000,00 eura. Razlika u planu u odnosu na prošlu godinu najznačajnija je u dijelu sredstava za plaće zaposlenih iz razloga što su uvećani koeficijenti kao i osnovica za obračun plaće. </w:t>
      </w:r>
    </w:p>
    <w:p w14:paraId="12E1D7B2" w14:textId="77777777" w:rsidR="00E541EE" w:rsidRPr="00AC2206" w:rsidRDefault="00E541EE" w:rsidP="00E541EE">
      <w:pPr>
        <w:rPr>
          <w:rFonts w:ascii="Arial" w:eastAsia="Times New Roman" w:hAnsi="Arial" w:cs="Arial"/>
          <w:sz w:val="24"/>
          <w:szCs w:val="24"/>
        </w:rPr>
      </w:pPr>
      <w:r w:rsidRPr="00AC2206">
        <w:rPr>
          <w:rFonts w:ascii="Arial" w:eastAsia="Times New Roman" w:hAnsi="Arial" w:cs="Arial"/>
          <w:b/>
          <w:bCs/>
          <w:sz w:val="24"/>
          <w:szCs w:val="24"/>
        </w:rPr>
        <w:t>Opći cilj</w:t>
      </w:r>
      <w:r w:rsidRPr="00AC2206">
        <w:rPr>
          <w:rFonts w:ascii="Arial" w:eastAsia="Times New Roman" w:hAnsi="Arial" w:cs="Arial"/>
          <w:b/>
          <w:sz w:val="24"/>
          <w:szCs w:val="24"/>
        </w:rPr>
        <w:t xml:space="preserve">: </w:t>
      </w:r>
      <w:r w:rsidRPr="00AC2206">
        <w:rPr>
          <w:rFonts w:ascii="Arial" w:eastAsia="Times New Roman" w:hAnsi="Arial" w:cs="Arial"/>
          <w:sz w:val="24"/>
          <w:szCs w:val="24"/>
        </w:rPr>
        <w:t>osiguravanje uvjeta za funkcioniranje Javne vatrogasne postrojbe.</w:t>
      </w:r>
    </w:p>
    <w:p w14:paraId="7D1C9151" w14:textId="77777777" w:rsidR="00E541EE" w:rsidRPr="00AC2206" w:rsidRDefault="00E541EE" w:rsidP="00E541EE">
      <w:pPr>
        <w:rPr>
          <w:rFonts w:ascii="Arial" w:eastAsia="Times New Roman" w:hAnsi="Arial" w:cs="Arial"/>
          <w:sz w:val="24"/>
          <w:szCs w:val="24"/>
        </w:rPr>
      </w:pPr>
      <w:r w:rsidRPr="00AC2206">
        <w:rPr>
          <w:rFonts w:ascii="Arial" w:eastAsia="Times New Roman" w:hAnsi="Arial" w:cs="Arial"/>
          <w:b/>
          <w:bCs/>
          <w:sz w:val="24"/>
          <w:szCs w:val="24"/>
        </w:rPr>
        <w:t>Pokazatelj uspješnosti</w:t>
      </w:r>
      <w:r w:rsidRPr="00AC2206">
        <w:rPr>
          <w:rFonts w:ascii="Arial" w:eastAsia="Times New Roman" w:hAnsi="Arial" w:cs="Arial"/>
          <w:b/>
          <w:sz w:val="24"/>
          <w:szCs w:val="24"/>
        </w:rPr>
        <w:t>:</w:t>
      </w:r>
      <w:r w:rsidRPr="00AC2206">
        <w:rPr>
          <w:rFonts w:ascii="Arial" w:eastAsia="Times New Roman" w:hAnsi="Arial" w:cs="Arial"/>
          <w:sz w:val="24"/>
          <w:szCs w:val="24"/>
        </w:rPr>
        <w:t xml:space="preserve"> pravovremena intervencija, smanjenje požarnih površina i smanjenje šteta uzrokovanih požarom, opremanje vatrogasaca osobnom zaštitnom opremom, redovno održavanje vozila.</w:t>
      </w:r>
    </w:p>
    <w:p w14:paraId="4BFFBF78" w14:textId="77777777" w:rsidR="00E541EE" w:rsidRDefault="00E541EE" w:rsidP="00E541EE">
      <w:pPr>
        <w:rPr>
          <w:rFonts w:ascii="Arial" w:eastAsia="Times New Roman" w:hAnsi="Arial" w:cs="Arial"/>
          <w:b/>
          <w:sz w:val="24"/>
          <w:szCs w:val="24"/>
        </w:rPr>
      </w:pPr>
    </w:p>
    <w:p w14:paraId="2D613FED"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AC2206">
        <w:rPr>
          <w:rFonts w:ascii="Arial" w:eastAsia="Times New Roman" w:hAnsi="Arial" w:cs="Arial"/>
          <w:b/>
          <w:bCs/>
          <w:sz w:val="24"/>
          <w:szCs w:val="24"/>
        </w:rPr>
        <w:t xml:space="preserve">A 103905: Sezonski vatrogasci = </w:t>
      </w:r>
      <w:r>
        <w:rPr>
          <w:rFonts w:ascii="Arial" w:eastAsia="Times New Roman" w:hAnsi="Arial" w:cs="Arial"/>
          <w:b/>
          <w:bCs/>
          <w:sz w:val="24"/>
          <w:szCs w:val="24"/>
        </w:rPr>
        <w:t>63</w:t>
      </w:r>
      <w:r w:rsidRPr="00AC2206">
        <w:rPr>
          <w:rFonts w:ascii="Arial" w:eastAsia="Times New Roman" w:hAnsi="Arial" w:cs="Arial"/>
          <w:b/>
          <w:bCs/>
          <w:sz w:val="24"/>
          <w:szCs w:val="24"/>
        </w:rPr>
        <w:t>.</w:t>
      </w:r>
      <w:r>
        <w:rPr>
          <w:rFonts w:ascii="Arial" w:eastAsia="Times New Roman" w:hAnsi="Arial" w:cs="Arial"/>
          <w:b/>
          <w:bCs/>
          <w:sz w:val="24"/>
          <w:szCs w:val="24"/>
        </w:rPr>
        <w:t>179</w:t>
      </w:r>
      <w:r w:rsidRPr="00AC2206">
        <w:rPr>
          <w:rFonts w:ascii="Arial" w:eastAsia="Times New Roman" w:hAnsi="Arial" w:cs="Arial"/>
          <w:b/>
          <w:bCs/>
          <w:sz w:val="24"/>
          <w:szCs w:val="24"/>
        </w:rPr>
        <w:t>,00 EUR</w:t>
      </w:r>
    </w:p>
    <w:p w14:paraId="06DE3F11"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Zakonska osnova:</w:t>
      </w:r>
      <w:r w:rsidRPr="00AC2206">
        <w:rPr>
          <w:rFonts w:ascii="Arial" w:eastAsia="Times New Roman" w:hAnsi="Arial" w:cs="Arial"/>
          <w:sz w:val="24"/>
          <w:szCs w:val="24"/>
        </w:rPr>
        <w:t xml:space="preserve"> Zakon o vatrogastvu, Zakon o zaštiti od požara, Zakon o lokalnoj i područnoj (regionalnoj) samoupravi.</w:t>
      </w:r>
    </w:p>
    <w:p w14:paraId="17262C18"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sz w:val="24"/>
          <w:szCs w:val="24"/>
        </w:rPr>
        <w:t>Opis:</w:t>
      </w:r>
      <w:r w:rsidRPr="00AC2206">
        <w:rPr>
          <w:rFonts w:ascii="Arial" w:eastAsia="Times New Roman" w:hAnsi="Arial" w:cs="Arial"/>
          <w:sz w:val="24"/>
          <w:szCs w:val="24"/>
        </w:rPr>
        <w:t xml:space="preserve"> u periodu od 1. lipnja do 30. rujna </w:t>
      </w:r>
      <w:r>
        <w:rPr>
          <w:rFonts w:ascii="Arial" w:eastAsia="Times New Roman" w:hAnsi="Arial" w:cs="Arial"/>
          <w:sz w:val="24"/>
          <w:szCs w:val="24"/>
        </w:rPr>
        <w:t xml:space="preserve">2025. </w:t>
      </w:r>
      <w:r w:rsidRPr="00AC2206">
        <w:rPr>
          <w:rFonts w:ascii="Arial" w:eastAsia="Times New Roman" w:hAnsi="Arial" w:cs="Arial"/>
          <w:sz w:val="24"/>
          <w:szCs w:val="24"/>
        </w:rPr>
        <w:t xml:space="preserve">JVP će dodatno zaposliti sezonske vatrogasce sukladno naputku DUZS. U tom razdoblju će šest sezonskih gasitelja biti angažirani na gašenju požara na otvorenom prostoru te će preventivno vršiti ophodnju po park šumi Zlatni rt. Iz gradskog se Proračuna osigurava iznos od </w:t>
      </w:r>
      <w:r>
        <w:rPr>
          <w:rFonts w:ascii="Arial" w:eastAsia="Times New Roman" w:hAnsi="Arial" w:cs="Arial"/>
          <w:sz w:val="24"/>
          <w:szCs w:val="24"/>
        </w:rPr>
        <w:t>4.779</w:t>
      </w:r>
      <w:r w:rsidRPr="00AC2206">
        <w:rPr>
          <w:rFonts w:ascii="Arial" w:eastAsia="Times New Roman" w:hAnsi="Arial" w:cs="Arial"/>
          <w:sz w:val="24"/>
          <w:szCs w:val="24"/>
        </w:rPr>
        <w:t xml:space="preserve">,00 </w:t>
      </w:r>
      <w:r>
        <w:rPr>
          <w:rFonts w:ascii="Arial" w:eastAsia="Times New Roman" w:hAnsi="Arial" w:cs="Arial"/>
          <w:sz w:val="24"/>
          <w:szCs w:val="24"/>
        </w:rPr>
        <w:t>eura</w:t>
      </w:r>
      <w:r w:rsidRPr="00AC2206">
        <w:rPr>
          <w:rFonts w:ascii="Arial" w:eastAsia="Times New Roman" w:hAnsi="Arial" w:cs="Arial"/>
          <w:sz w:val="24"/>
          <w:szCs w:val="24"/>
        </w:rPr>
        <w:t>.</w:t>
      </w:r>
    </w:p>
    <w:p w14:paraId="2E76620C" w14:textId="77777777" w:rsidR="00E541EE" w:rsidRDefault="00E541EE" w:rsidP="00E541EE">
      <w:pPr>
        <w:jc w:val="both"/>
        <w:rPr>
          <w:rFonts w:ascii="Arial" w:eastAsia="Times New Roman" w:hAnsi="Arial" w:cs="Arial"/>
          <w:sz w:val="24"/>
          <w:szCs w:val="24"/>
        </w:rPr>
      </w:pPr>
      <w:r w:rsidRPr="00AC2206">
        <w:rPr>
          <w:rFonts w:ascii="Arial" w:eastAsia="Times New Roman" w:hAnsi="Arial" w:cs="Arial"/>
          <w:bCs/>
          <w:sz w:val="24"/>
          <w:szCs w:val="24"/>
        </w:rPr>
        <w:t>Javna vatrogasna postrojba</w:t>
      </w:r>
      <w:r w:rsidRPr="00AC2206">
        <w:rPr>
          <w:rFonts w:ascii="Arial" w:eastAsia="Times New Roman" w:hAnsi="Arial" w:cs="Arial"/>
          <w:sz w:val="24"/>
          <w:szCs w:val="24"/>
        </w:rPr>
        <w:t xml:space="preserve"> ostvaruje prihode za ovu namjenu i iz državnog proračuna </w:t>
      </w:r>
      <w:r>
        <w:rPr>
          <w:rFonts w:ascii="Arial" w:eastAsia="Times New Roman" w:hAnsi="Arial" w:cs="Arial"/>
          <w:sz w:val="24"/>
          <w:szCs w:val="24"/>
        </w:rPr>
        <w:t xml:space="preserve">(40.000,00 eura) </w:t>
      </w:r>
      <w:r w:rsidRPr="00AC2206">
        <w:rPr>
          <w:rFonts w:ascii="Arial" w:eastAsia="Times New Roman" w:hAnsi="Arial" w:cs="Arial"/>
          <w:sz w:val="24"/>
          <w:szCs w:val="24"/>
        </w:rPr>
        <w:t>i Turističke zajednice Grada Rovinja-Rovigno</w:t>
      </w:r>
      <w:r>
        <w:rPr>
          <w:rFonts w:ascii="Arial" w:eastAsia="Times New Roman" w:hAnsi="Arial" w:cs="Arial"/>
          <w:sz w:val="24"/>
          <w:szCs w:val="24"/>
        </w:rPr>
        <w:t xml:space="preserve"> (13.400,00 eura) te vlastite prihode (5.000,00 eura)</w:t>
      </w:r>
      <w:r w:rsidRPr="00AC2206">
        <w:rPr>
          <w:rFonts w:ascii="Arial" w:eastAsia="Times New Roman" w:hAnsi="Arial" w:cs="Arial"/>
          <w:sz w:val="24"/>
          <w:szCs w:val="24"/>
        </w:rPr>
        <w:t>.</w:t>
      </w:r>
    </w:p>
    <w:p w14:paraId="0E9C2B39" w14:textId="77777777" w:rsidR="00E541EE" w:rsidRPr="00AC2206" w:rsidRDefault="00E541EE" w:rsidP="00E541EE">
      <w:pPr>
        <w:rPr>
          <w:rFonts w:ascii="Arial" w:eastAsia="Times New Roman" w:hAnsi="Arial" w:cs="Arial"/>
          <w:sz w:val="24"/>
          <w:szCs w:val="24"/>
        </w:rPr>
      </w:pPr>
      <w:r w:rsidRPr="00AC2206">
        <w:rPr>
          <w:rFonts w:ascii="Arial" w:eastAsia="Times New Roman" w:hAnsi="Arial" w:cs="Arial"/>
          <w:b/>
          <w:bCs/>
          <w:sz w:val="24"/>
          <w:szCs w:val="24"/>
        </w:rPr>
        <w:t>Opći cilj</w:t>
      </w:r>
      <w:r w:rsidRPr="00AC2206">
        <w:rPr>
          <w:rFonts w:ascii="Arial" w:eastAsia="Times New Roman" w:hAnsi="Arial" w:cs="Arial"/>
          <w:b/>
          <w:sz w:val="24"/>
          <w:szCs w:val="24"/>
        </w:rPr>
        <w:t xml:space="preserve">: </w:t>
      </w:r>
      <w:r w:rsidRPr="00AC2206">
        <w:rPr>
          <w:rFonts w:ascii="Arial" w:eastAsia="Times New Roman" w:hAnsi="Arial" w:cs="Arial"/>
          <w:sz w:val="24"/>
          <w:szCs w:val="24"/>
        </w:rPr>
        <w:t xml:space="preserve">jačanje kapaciteta </w:t>
      </w:r>
      <w:r w:rsidRPr="00AC2206">
        <w:rPr>
          <w:rFonts w:ascii="Arial" w:eastAsia="Times New Roman" w:hAnsi="Arial" w:cs="Arial"/>
          <w:bCs/>
          <w:sz w:val="24"/>
          <w:szCs w:val="24"/>
        </w:rPr>
        <w:t>Javne vatrogasne postrojbe</w:t>
      </w:r>
      <w:r w:rsidRPr="00AC2206">
        <w:rPr>
          <w:rFonts w:ascii="Arial" w:eastAsia="Times New Roman" w:hAnsi="Arial" w:cs="Arial"/>
          <w:sz w:val="24"/>
          <w:szCs w:val="24"/>
        </w:rPr>
        <w:t xml:space="preserve"> tijekom ljetne sezone, spašavanje ljudi, imovine i materijalnih resursa.</w:t>
      </w:r>
      <w:r w:rsidRPr="00AC2206">
        <w:rPr>
          <w:rFonts w:ascii="Arial" w:eastAsia="Times New Roman" w:hAnsi="Arial" w:cs="Arial"/>
          <w:b/>
          <w:sz w:val="24"/>
          <w:szCs w:val="24"/>
        </w:rPr>
        <w:t xml:space="preserve"> </w:t>
      </w:r>
      <w:r w:rsidRPr="00AC2206">
        <w:rPr>
          <w:rFonts w:ascii="Arial" w:eastAsia="Times New Roman" w:hAnsi="Arial" w:cs="Arial"/>
          <w:sz w:val="24"/>
          <w:szCs w:val="24"/>
        </w:rPr>
        <w:br/>
      </w:r>
      <w:r w:rsidRPr="00AC2206">
        <w:rPr>
          <w:rFonts w:ascii="Arial" w:eastAsia="Times New Roman" w:hAnsi="Arial" w:cs="Arial"/>
          <w:b/>
          <w:bCs/>
          <w:sz w:val="24"/>
          <w:szCs w:val="24"/>
        </w:rPr>
        <w:t>Pokazatelj uspješnosti</w:t>
      </w:r>
      <w:r w:rsidRPr="00AC2206">
        <w:rPr>
          <w:rFonts w:ascii="Arial" w:eastAsia="Times New Roman" w:hAnsi="Arial" w:cs="Arial"/>
          <w:b/>
          <w:sz w:val="24"/>
          <w:szCs w:val="24"/>
        </w:rPr>
        <w:t>:</w:t>
      </w:r>
      <w:r w:rsidRPr="00AC2206">
        <w:rPr>
          <w:rFonts w:ascii="Arial" w:eastAsia="Times New Roman" w:hAnsi="Arial" w:cs="Arial"/>
          <w:sz w:val="24"/>
          <w:szCs w:val="24"/>
        </w:rPr>
        <w:t xml:space="preserve"> pravovremena intervencija, smanjenje požarnih površina i smanjenje šteta uzrokovanih požarom.</w:t>
      </w:r>
    </w:p>
    <w:p w14:paraId="1832DA6A" w14:textId="77777777" w:rsidR="00E541EE" w:rsidRPr="00AC2206" w:rsidRDefault="00E541EE" w:rsidP="00E541EE">
      <w:pPr>
        <w:rPr>
          <w:rFonts w:ascii="Arial" w:eastAsia="Times New Roman" w:hAnsi="Arial" w:cs="Arial"/>
          <w:sz w:val="24"/>
          <w:szCs w:val="24"/>
        </w:rPr>
      </w:pPr>
    </w:p>
    <w:p w14:paraId="71F1CA87"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AC2206">
        <w:rPr>
          <w:rFonts w:ascii="Arial" w:eastAsia="Times New Roman" w:hAnsi="Arial" w:cs="Arial"/>
          <w:b/>
          <w:bCs/>
          <w:sz w:val="24"/>
          <w:szCs w:val="24"/>
        </w:rPr>
        <w:t xml:space="preserve">K 103901: Opremanje postrojbe = </w:t>
      </w:r>
      <w:r>
        <w:rPr>
          <w:rFonts w:ascii="Arial" w:eastAsia="Times New Roman" w:hAnsi="Arial" w:cs="Arial"/>
          <w:b/>
          <w:bCs/>
          <w:sz w:val="24"/>
          <w:szCs w:val="24"/>
        </w:rPr>
        <w:t>71</w:t>
      </w:r>
      <w:r w:rsidRPr="00AC2206">
        <w:rPr>
          <w:rFonts w:ascii="Arial" w:eastAsia="Times New Roman" w:hAnsi="Arial" w:cs="Arial"/>
          <w:b/>
          <w:bCs/>
          <w:sz w:val="24"/>
          <w:szCs w:val="24"/>
        </w:rPr>
        <w:t>.</w:t>
      </w:r>
      <w:r>
        <w:rPr>
          <w:rFonts w:ascii="Arial" w:eastAsia="Times New Roman" w:hAnsi="Arial" w:cs="Arial"/>
          <w:b/>
          <w:bCs/>
          <w:sz w:val="24"/>
          <w:szCs w:val="24"/>
        </w:rPr>
        <w:t>473,00</w:t>
      </w:r>
      <w:r w:rsidRPr="00AC2206">
        <w:rPr>
          <w:rFonts w:ascii="Arial" w:eastAsia="Times New Roman" w:hAnsi="Arial" w:cs="Arial"/>
          <w:b/>
          <w:bCs/>
          <w:sz w:val="24"/>
          <w:szCs w:val="24"/>
        </w:rPr>
        <w:t xml:space="preserve"> EUR</w:t>
      </w:r>
    </w:p>
    <w:p w14:paraId="63F39BD2"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Zakonska osnova:</w:t>
      </w:r>
      <w:r w:rsidRPr="00AC2206">
        <w:rPr>
          <w:rFonts w:ascii="Arial" w:eastAsia="Times New Roman" w:hAnsi="Arial" w:cs="Arial"/>
          <w:sz w:val="24"/>
          <w:szCs w:val="24"/>
        </w:rPr>
        <w:t xml:space="preserve"> Zakon o vatrogastvu, Zakon o zaštiti od požara, Zakon o lokalnoj i područnoj (regionalnoj) samoupravi.</w:t>
      </w:r>
    </w:p>
    <w:p w14:paraId="13ADAE05" w14:textId="77777777" w:rsidR="00E541EE" w:rsidRDefault="00E541EE" w:rsidP="00E541EE">
      <w:pPr>
        <w:jc w:val="both"/>
        <w:rPr>
          <w:rFonts w:ascii="Arial" w:hAnsi="Arial" w:cs="Arial"/>
          <w:sz w:val="24"/>
          <w:szCs w:val="24"/>
        </w:rPr>
      </w:pPr>
      <w:r w:rsidRPr="00AC2206">
        <w:rPr>
          <w:rFonts w:ascii="Arial" w:eastAsia="Times New Roman" w:hAnsi="Arial" w:cs="Arial"/>
          <w:b/>
          <w:sz w:val="24"/>
          <w:szCs w:val="24"/>
        </w:rPr>
        <w:t>Opis:</w:t>
      </w:r>
      <w:r w:rsidRPr="00AC2206">
        <w:rPr>
          <w:rFonts w:ascii="Arial" w:eastAsia="Times New Roman" w:hAnsi="Arial" w:cs="Arial"/>
          <w:sz w:val="24"/>
          <w:szCs w:val="24"/>
        </w:rPr>
        <w:t xml:space="preserve"> </w:t>
      </w:r>
      <w:r>
        <w:rPr>
          <w:rFonts w:ascii="Arial" w:hAnsi="Arial" w:cs="Arial"/>
          <w:sz w:val="24"/>
          <w:szCs w:val="24"/>
        </w:rPr>
        <w:t>p</w:t>
      </w:r>
      <w:r w:rsidRPr="00AC2206">
        <w:rPr>
          <w:rFonts w:ascii="Arial" w:hAnsi="Arial" w:cs="Arial"/>
          <w:sz w:val="24"/>
          <w:szCs w:val="24"/>
        </w:rPr>
        <w:t xml:space="preserve">laniranim iznosom od </w:t>
      </w:r>
      <w:r>
        <w:rPr>
          <w:rFonts w:ascii="Arial" w:hAnsi="Arial" w:cs="Arial"/>
          <w:sz w:val="24"/>
          <w:szCs w:val="24"/>
        </w:rPr>
        <w:t>42.193,00 eura proračunskih sredstava</w:t>
      </w:r>
      <w:r w:rsidRPr="00AC2206">
        <w:rPr>
          <w:rFonts w:ascii="Arial" w:hAnsi="Arial" w:cs="Arial"/>
          <w:sz w:val="24"/>
          <w:szCs w:val="24"/>
        </w:rPr>
        <w:t xml:space="preserve"> osigurava se nabavka opreme za potrebe postrojbe i to: oprema za komunikaciju, pjenilo, </w:t>
      </w:r>
      <w:r>
        <w:rPr>
          <w:rFonts w:ascii="Arial" w:hAnsi="Arial" w:cs="Arial"/>
          <w:sz w:val="24"/>
          <w:szCs w:val="24"/>
        </w:rPr>
        <w:t xml:space="preserve">koritasta nosila, </w:t>
      </w:r>
      <w:r w:rsidRPr="00AC2206">
        <w:rPr>
          <w:rFonts w:ascii="Arial" w:hAnsi="Arial" w:cs="Arial"/>
          <w:sz w:val="24"/>
          <w:szCs w:val="24"/>
        </w:rPr>
        <w:t>vatrogasne  cijevi, mlaznice</w:t>
      </w:r>
      <w:r w:rsidRPr="00501782">
        <w:rPr>
          <w:rFonts w:ascii="Arial" w:hAnsi="Arial" w:cs="Arial"/>
          <w:sz w:val="24"/>
          <w:szCs w:val="24"/>
        </w:rPr>
        <w:t xml:space="preserve"> </w:t>
      </w:r>
      <w:r w:rsidRPr="00AC2206">
        <w:rPr>
          <w:rFonts w:ascii="Arial" w:hAnsi="Arial" w:cs="Arial"/>
          <w:sz w:val="24"/>
          <w:szCs w:val="24"/>
        </w:rPr>
        <w:t>te drug</w:t>
      </w:r>
      <w:r>
        <w:rPr>
          <w:rFonts w:ascii="Arial" w:hAnsi="Arial" w:cs="Arial"/>
          <w:sz w:val="24"/>
          <w:szCs w:val="24"/>
        </w:rPr>
        <w:t>a</w:t>
      </w:r>
      <w:r w:rsidRPr="00AC2206">
        <w:rPr>
          <w:rFonts w:ascii="Arial" w:hAnsi="Arial" w:cs="Arial"/>
          <w:sz w:val="24"/>
          <w:szCs w:val="24"/>
        </w:rPr>
        <w:t xml:space="preserve"> oprema za protupožarnu zaštitu</w:t>
      </w:r>
      <w:r>
        <w:rPr>
          <w:rFonts w:ascii="Arial" w:hAnsi="Arial" w:cs="Arial"/>
          <w:sz w:val="24"/>
          <w:szCs w:val="24"/>
        </w:rPr>
        <w:t xml:space="preserve">. Općine dodatno financiraju opremu </w:t>
      </w:r>
      <w:r w:rsidRPr="00C36107">
        <w:rPr>
          <w:rFonts w:ascii="Arial" w:hAnsi="Arial" w:cs="Arial"/>
          <w:sz w:val="24"/>
          <w:szCs w:val="24"/>
        </w:rPr>
        <w:t xml:space="preserve">u iznosu od 10.780,00 </w:t>
      </w:r>
      <w:r>
        <w:rPr>
          <w:rFonts w:ascii="Arial" w:hAnsi="Arial" w:cs="Arial"/>
          <w:sz w:val="24"/>
          <w:szCs w:val="24"/>
        </w:rPr>
        <w:t>eura</w:t>
      </w:r>
      <w:r w:rsidRPr="00C36107">
        <w:rPr>
          <w:rFonts w:ascii="Arial" w:hAnsi="Arial" w:cs="Arial"/>
          <w:sz w:val="24"/>
          <w:szCs w:val="24"/>
        </w:rPr>
        <w:t>.</w:t>
      </w:r>
    </w:p>
    <w:p w14:paraId="08F9AA6B" w14:textId="77777777" w:rsidR="00E541EE" w:rsidRDefault="00E541EE" w:rsidP="00E541EE">
      <w:pPr>
        <w:jc w:val="both"/>
        <w:rPr>
          <w:rFonts w:ascii="Arial" w:hAnsi="Arial" w:cs="Arial"/>
          <w:sz w:val="24"/>
          <w:szCs w:val="24"/>
        </w:rPr>
      </w:pPr>
      <w:r w:rsidRPr="00AC2206">
        <w:rPr>
          <w:rFonts w:ascii="Arial" w:hAnsi="Arial" w:cs="Arial"/>
          <w:sz w:val="24"/>
          <w:szCs w:val="24"/>
        </w:rPr>
        <w:t>JVP će iz vlastitih prihoda u visini od 1</w:t>
      </w:r>
      <w:r>
        <w:rPr>
          <w:rFonts w:ascii="Arial" w:hAnsi="Arial" w:cs="Arial"/>
          <w:sz w:val="24"/>
          <w:szCs w:val="24"/>
        </w:rPr>
        <w:t>8</w:t>
      </w:r>
      <w:r w:rsidRPr="00AC2206">
        <w:rPr>
          <w:rFonts w:ascii="Arial" w:hAnsi="Arial" w:cs="Arial"/>
          <w:sz w:val="24"/>
          <w:szCs w:val="24"/>
        </w:rPr>
        <w:t>.</w:t>
      </w:r>
      <w:r>
        <w:rPr>
          <w:rFonts w:ascii="Arial" w:hAnsi="Arial" w:cs="Arial"/>
          <w:sz w:val="24"/>
          <w:szCs w:val="24"/>
        </w:rPr>
        <w:t>500</w:t>
      </w:r>
      <w:r w:rsidRPr="00AC2206">
        <w:rPr>
          <w:rFonts w:ascii="Arial" w:hAnsi="Arial" w:cs="Arial"/>
          <w:sz w:val="24"/>
          <w:szCs w:val="24"/>
        </w:rPr>
        <w:t xml:space="preserve">,00 </w:t>
      </w:r>
      <w:r>
        <w:rPr>
          <w:rFonts w:ascii="Arial" w:hAnsi="Arial" w:cs="Arial"/>
          <w:sz w:val="24"/>
          <w:szCs w:val="24"/>
        </w:rPr>
        <w:t>eura</w:t>
      </w:r>
      <w:r w:rsidRPr="00AC2206">
        <w:rPr>
          <w:rFonts w:ascii="Arial" w:hAnsi="Arial" w:cs="Arial"/>
          <w:sz w:val="24"/>
          <w:szCs w:val="24"/>
        </w:rPr>
        <w:t xml:space="preserve"> nabaviti preostalu potrebnu specijalističku opremu. </w:t>
      </w:r>
    </w:p>
    <w:p w14:paraId="6D0B91FA" w14:textId="77777777" w:rsidR="00E541EE" w:rsidRPr="00AC2206" w:rsidRDefault="00E541EE" w:rsidP="00E541EE">
      <w:pPr>
        <w:jc w:val="both"/>
        <w:rPr>
          <w:rFonts w:ascii="Arial" w:hAnsi="Arial" w:cs="Arial"/>
          <w:sz w:val="24"/>
          <w:szCs w:val="24"/>
        </w:rPr>
      </w:pPr>
      <w:r w:rsidRPr="00AC2206">
        <w:rPr>
          <w:rFonts w:ascii="Arial" w:hAnsi="Arial" w:cs="Arial"/>
          <w:b/>
          <w:sz w:val="24"/>
          <w:szCs w:val="24"/>
        </w:rPr>
        <w:t>Opći cilj:</w:t>
      </w:r>
      <w:r w:rsidRPr="00AC2206">
        <w:rPr>
          <w:rFonts w:ascii="Arial" w:hAnsi="Arial" w:cs="Arial"/>
          <w:sz w:val="24"/>
          <w:szCs w:val="24"/>
        </w:rPr>
        <w:t xml:space="preserve"> obnova opreme ustanove</w:t>
      </w:r>
      <w:r>
        <w:rPr>
          <w:rFonts w:ascii="Arial" w:hAnsi="Arial" w:cs="Arial"/>
          <w:sz w:val="24"/>
          <w:szCs w:val="24"/>
        </w:rPr>
        <w:t>.</w:t>
      </w:r>
    </w:p>
    <w:p w14:paraId="6FEC0C1E" w14:textId="77777777" w:rsidR="00E541EE" w:rsidRPr="00AC2206" w:rsidRDefault="00E541EE" w:rsidP="00E541EE">
      <w:pPr>
        <w:jc w:val="both"/>
        <w:rPr>
          <w:rFonts w:ascii="Arial" w:hAnsi="Arial" w:cs="Arial"/>
          <w:sz w:val="24"/>
          <w:szCs w:val="24"/>
        </w:rPr>
      </w:pPr>
      <w:r w:rsidRPr="00AC2206">
        <w:rPr>
          <w:rFonts w:ascii="Arial" w:eastAsia="Times New Roman" w:hAnsi="Arial" w:cs="Arial"/>
          <w:b/>
          <w:bCs/>
          <w:sz w:val="24"/>
          <w:szCs w:val="24"/>
        </w:rPr>
        <w:t>Pokazatelj uspješnosti</w:t>
      </w:r>
      <w:r w:rsidRPr="00AC2206">
        <w:rPr>
          <w:rFonts w:ascii="Arial" w:eastAsia="Times New Roman" w:hAnsi="Arial" w:cs="Arial"/>
          <w:b/>
          <w:sz w:val="24"/>
          <w:szCs w:val="24"/>
        </w:rPr>
        <w:t xml:space="preserve">: </w:t>
      </w:r>
      <w:r w:rsidRPr="00AC2206">
        <w:rPr>
          <w:rFonts w:ascii="Arial" w:eastAsia="Times New Roman" w:hAnsi="Arial" w:cs="Arial"/>
          <w:sz w:val="24"/>
          <w:szCs w:val="24"/>
        </w:rPr>
        <w:t>nabavljena oprema prema planu.</w:t>
      </w:r>
    </w:p>
    <w:p w14:paraId="4D99D51B" w14:textId="77777777" w:rsidR="00E541EE" w:rsidRPr="00AC2206" w:rsidRDefault="00E541EE" w:rsidP="00E541EE">
      <w:pPr>
        <w:jc w:val="both"/>
        <w:rPr>
          <w:rFonts w:ascii="Arial" w:eastAsia="Times New Roman" w:hAnsi="Arial" w:cs="Arial"/>
          <w:sz w:val="24"/>
          <w:szCs w:val="24"/>
        </w:rPr>
      </w:pPr>
    </w:p>
    <w:p w14:paraId="2191508A" w14:textId="77777777" w:rsidR="00E541EE" w:rsidRPr="00AC2206" w:rsidRDefault="00E541EE" w:rsidP="00E541EE">
      <w:pPr>
        <w:pBdr>
          <w:top w:val="single" w:sz="4" w:space="1" w:color="auto"/>
          <w:left w:val="single" w:sz="4" w:space="4" w:color="auto"/>
          <w:bottom w:val="single" w:sz="4" w:space="1" w:color="auto"/>
          <w:right w:val="single" w:sz="4" w:space="4" w:color="auto"/>
        </w:pBdr>
        <w:shd w:val="clear" w:color="auto" w:fill="E9E9E9"/>
        <w:jc w:val="both"/>
        <w:rPr>
          <w:rFonts w:ascii="Arial" w:eastAsia="Times New Roman" w:hAnsi="Arial" w:cs="Arial"/>
          <w:b/>
          <w:bCs/>
          <w:sz w:val="24"/>
          <w:szCs w:val="24"/>
        </w:rPr>
      </w:pPr>
      <w:r w:rsidRPr="00AC2206">
        <w:rPr>
          <w:rFonts w:ascii="Arial" w:eastAsia="Times New Roman" w:hAnsi="Arial" w:cs="Arial"/>
          <w:b/>
          <w:bCs/>
          <w:sz w:val="24"/>
          <w:szCs w:val="24"/>
        </w:rPr>
        <w:t>K 103902: Sufinancirani troškovi održavanja i nabave opreme = 13.272,00 EUR</w:t>
      </w:r>
    </w:p>
    <w:p w14:paraId="5ECB8EE7" w14:textId="77777777" w:rsidR="00E541EE" w:rsidRPr="00AC2206" w:rsidRDefault="00E541EE" w:rsidP="00E541EE">
      <w:pPr>
        <w:jc w:val="both"/>
        <w:rPr>
          <w:rFonts w:ascii="Arial" w:eastAsia="Times New Roman" w:hAnsi="Arial" w:cs="Arial"/>
          <w:sz w:val="24"/>
          <w:szCs w:val="24"/>
        </w:rPr>
      </w:pPr>
      <w:r w:rsidRPr="00AC2206">
        <w:rPr>
          <w:rFonts w:ascii="Arial" w:eastAsia="Times New Roman" w:hAnsi="Arial" w:cs="Arial"/>
          <w:b/>
          <w:bCs/>
          <w:sz w:val="24"/>
          <w:szCs w:val="24"/>
        </w:rPr>
        <w:t>Zakonska osnova:</w:t>
      </w:r>
      <w:r w:rsidRPr="00AC2206">
        <w:rPr>
          <w:rFonts w:ascii="Arial" w:eastAsia="Times New Roman" w:hAnsi="Arial" w:cs="Arial"/>
          <w:sz w:val="24"/>
          <w:szCs w:val="24"/>
        </w:rPr>
        <w:t xml:space="preserve"> Zakon o vatrogastvu, Zakon o zaštiti od požara.</w:t>
      </w:r>
    </w:p>
    <w:p w14:paraId="42362CC7" w14:textId="77777777" w:rsidR="00E541EE" w:rsidRDefault="00E541EE" w:rsidP="00E541EE">
      <w:pPr>
        <w:jc w:val="both"/>
        <w:rPr>
          <w:rFonts w:ascii="Arial" w:eastAsia="Times New Roman" w:hAnsi="Arial" w:cs="Arial"/>
          <w:sz w:val="24"/>
          <w:szCs w:val="24"/>
        </w:rPr>
      </w:pPr>
      <w:r w:rsidRPr="00AC2206">
        <w:rPr>
          <w:rFonts w:ascii="Arial" w:eastAsia="Times New Roman" w:hAnsi="Arial" w:cs="Arial"/>
          <w:b/>
          <w:sz w:val="24"/>
          <w:szCs w:val="24"/>
        </w:rPr>
        <w:t>Opis:</w:t>
      </w:r>
      <w:r w:rsidRPr="00AC2206">
        <w:rPr>
          <w:rFonts w:ascii="Arial" w:eastAsia="Times New Roman" w:hAnsi="Arial" w:cs="Arial"/>
          <w:sz w:val="24"/>
          <w:szCs w:val="24"/>
        </w:rPr>
        <w:t xml:space="preserve"> planirana su namjenska sredstva koja osigurava Državna uprava za zaštitu i spašavanje za posebne mjere zaštite od požara, i to za održavanje i nabavku  vatrogasne opreme.</w:t>
      </w:r>
    </w:p>
    <w:p w14:paraId="3360A79C" w14:textId="77777777" w:rsidR="00E541EE" w:rsidRDefault="00E541EE" w:rsidP="00E541EE">
      <w:pPr>
        <w:suppressAutoHyphens/>
        <w:ind w:right="-483"/>
        <w:rPr>
          <w:rFonts w:ascii="Arial" w:eastAsia="Times New Roman" w:hAnsi="Arial" w:cs="Arial"/>
          <w:sz w:val="24"/>
          <w:szCs w:val="24"/>
          <w:lang w:eastAsia="ar-SA"/>
        </w:rPr>
      </w:pPr>
      <w:r w:rsidRPr="00AC2206">
        <w:rPr>
          <w:rFonts w:ascii="Arial" w:eastAsia="Times New Roman" w:hAnsi="Arial" w:cs="Arial"/>
          <w:b/>
          <w:bCs/>
          <w:sz w:val="24"/>
          <w:szCs w:val="24"/>
          <w:lang w:eastAsia="ar-SA"/>
        </w:rPr>
        <w:t>Opći cilj</w:t>
      </w:r>
      <w:r w:rsidRPr="00AC2206">
        <w:rPr>
          <w:rFonts w:ascii="Arial" w:eastAsia="Times New Roman" w:hAnsi="Arial" w:cs="Arial"/>
          <w:b/>
          <w:sz w:val="24"/>
          <w:szCs w:val="24"/>
          <w:lang w:eastAsia="ar-SA"/>
        </w:rPr>
        <w:t>:</w:t>
      </w:r>
      <w:r w:rsidRPr="00AC2206">
        <w:rPr>
          <w:rFonts w:ascii="Times New Roman" w:eastAsia="Times New Roman" w:hAnsi="Times New Roman" w:cs="Times New Roman"/>
          <w:sz w:val="24"/>
          <w:szCs w:val="24"/>
          <w:lang w:eastAsia="ar-SA"/>
        </w:rPr>
        <w:t xml:space="preserve"> </w:t>
      </w:r>
      <w:r w:rsidRPr="00AC2206">
        <w:rPr>
          <w:rFonts w:ascii="Arial" w:eastAsia="Times New Roman" w:hAnsi="Arial" w:cs="Arial"/>
          <w:sz w:val="24"/>
          <w:szCs w:val="24"/>
          <w:lang w:eastAsia="ar-SA"/>
        </w:rPr>
        <w:t>održavanje i obnova opreme Javne vatrogasne postrojbe.</w:t>
      </w:r>
      <w:r w:rsidRPr="00AC2206">
        <w:rPr>
          <w:rFonts w:ascii="Arial" w:eastAsia="Times New Roman" w:hAnsi="Arial" w:cs="Arial"/>
          <w:sz w:val="24"/>
          <w:szCs w:val="24"/>
          <w:lang w:eastAsia="ar-SA"/>
        </w:rPr>
        <w:br/>
      </w:r>
      <w:r w:rsidRPr="00AC2206">
        <w:rPr>
          <w:rFonts w:ascii="Arial" w:eastAsia="Times New Roman" w:hAnsi="Arial" w:cs="Arial"/>
          <w:b/>
          <w:bCs/>
          <w:sz w:val="24"/>
          <w:szCs w:val="24"/>
          <w:lang w:eastAsia="ar-SA"/>
        </w:rPr>
        <w:t>Pokazatelj uspješnosti</w:t>
      </w:r>
      <w:r w:rsidRPr="00AC2206">
        <w:rPr>
          <w:rFonts w:ascii="Arial" w:eastAsia="Times New Roman" w:hAnsi="Arial" w:cs="Arial"/>
          <w:b/>
          <w:sz w:val="24"/>
          <w:szCs w:val="24"/>
          <w:lang w:eastAsia="ar-SA"/>
        </w:rPr>
        <w:t>:</w:t>
      </w:r>
      <w:r w:rsidRPr="00AC2206">
        <w:rPr>
          <w:rFonts w:ascii="Times New Roman" w:eastAsia="Times New Roman" w:hAnsi="Times New Roman" w:cs="Times New Roman"/>
          <w:sz w:val="24"/>
          <w:szCs w:val="24"/>
          <w:lang w:eastAsia="ar-SA"/>
        </w:rPr>
        <w:t xml:space="preserve"> </w:t>
      </w:r>
      <w:r w:rsidRPr="00AC2206">
        <w:rPr>
          <w:rFonts w:ascii="Arial" w:eastAsia="Times New Roman" w:hAnsi="Arial" w:cs="Arial"/>
          <w:sz w:val="24"/>
          <w:szCs w:val="24"/>
          <w:lang w:eastAsia="ar-SA"/>
        </w:rPr>
        <w:t>nabavljena nova oprema, održavanje postojeće opreme.</w:t>
      </w:r>
    </w:p>
    <w:p w14:paraId="1E0AD2EE" w14:textId="77777777" w:rsidR="00B7129B" w:rsidRPr="00E541EE" w:rsidRDefault="00B7129B" w:rsidP="00E541EE">
      <w:pPr>
        <w:suppressAutoHyphens/>
        <w:ind w:right="-483"/>
        <w:rPr>
          <w:rFonts w:ascii="Arial" w:eastAsia="Times New Roman" w:hAnsi="Arial" w:cs="Arial"/>
          <w:sz w:val="24"/>
          <w:szCs w:val="24"/>
          <w:lang w:eastAsia="ar-SA"/>
        </w:rPr>
      </w:pPr>
    </w:p>
    <w:p w14:paraId="204AC456" w14:textId="77777777" w:rsidR="00E541EE" w:rsidRDefault="00E541EE" w:rsidP="00E541EE">
      <w:pPr>
        <w:jc w:val="both"/>
        <w:rPr>
          <w:rFonts w:ascii="Arial" w:eastAsia="Times New Roman" w:hAnsi="Arial" w:cs="Arial"/>
          <w:sz w:val="24"/>
          <w:szCs w:val="24"/>
        </w:rPr>
      </w:pPr>
    </w:p>
    <w:p w14:paraId="6F5AE2D8" w14:textId="77777777" w:rsidR="00E541EE" w:rsidRPr="00A4478D" w:rsidRDefault="00E541EE" w:rsidP="00E541EE">
      <w:pPr>
        <w:pStyle w:val="Odlomakpopisa"/>
        <w:numPr>
          <w:ilvl w:val="0"/>
          <w:numId w:val="11"/>
        </w:numPr>
        <w:jc w:val="both"/>
        <w:rPr>
          <w:rFonts w:eastAsiaTheme="minorHAnsi"/>
          <w:b/>
          <w:i/>
          <w:lang w:val="hr-HR"/>
        </w:rPr>
      </w:pPr>
      <w:r w:rsidRPr="00A4478D">
        <w:rPr>
          <w:rFonts w:eastAsiaTheme="minorHAnsi"/>
          <w:b/>
          <w:i/>
          <w:lang w:val="hr-HR"/>
        </w:rPr>
        <w:t>OCJENA POTREBNIH SREDSTAVA</w:t>
      </w:r>
    </w:p>
    <w:p w14:paraId="0CBD5CE0" w14:textId="77777777" w:rsidR="00E541EE" w:rsidRPr="00A4478D" w:rsidRDefault="00E541EE" w:rsidP="00E541EE">
      <w:pPr>
        <w:pStyle w:val="Odlomakpopisa"/>
        <w:ind w:left="0"/>
        <w:jc w:val="both"/>
        <w:rPr>
          <w:lang w:val="hr-HR"/>
        </w:rPr>
      </w:pPr>
    </w:p>
    <w:p w14:paraId="57A0C023" w14:textId="77777777" w:rsidR="00D673B7" w:rsidRPr="00E541EE" w:rsidRDefault="00E541EE" w:rsidP="00E541EE">
      <w:pPr>
        <w:pStyle w:val="Odlomakpopisa"/>
        <w:ind w:left="0"/>
        <w:jc w:val="both"/>
        <w:rPr>
          <w:rFonts w:eastAsiaTheme="minorHAnsi"/>
          <w:b/>
          <w:i/>
          <w:lang w:val="hr-HR"/>
        </w:rPr>
      </w:pPr>
      <w:r w:rsidRPr="00A4478D">
        <w:rPr>
          <w:lang w:val="hr-HR"/>
        </w:rPr>
        <w:tab/>
        <w:t>Proračunom Grada Rovinja-Rovigno za 202</w:t>
      </w:r>
      <w:r>
        <w:rPr>
          <w:lang w:val="hr-HR"/>
        </w:rPr>
        <w:t>6</w:t>
      </w:r>
      <w:r w:rsidRPr="00A4478D">
        <w:rPr>
          <w:lang w:val="hr-HR"/>
        </w:rPr>
        <w:t>. godinu osigurana su financijska sredstva radi potrebe financiranja poslova, funkcija i programa gradskih upravnih tijela te proračunskih korisnika u cilju ostvarivanja javnih potreba građana, koji se temeljem posebnih zakona i drugih propisa financiraju iz javnih prihoda.</w:t>
      </w:r>
    </w:p>
    <w:sectPr w:rsidR="00D673B7" w:rsidRPr="00E541EE" w:rsidSect="00005474">
      <w:pgSz w:w="11908" w:h="16833" w:code="9"/>
      <w:pgMar w:top="1134" w:right="851" w:bottom="851" w:left="851"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EE"/>
    <w:family w:val="swiss"/>
    <w:pitch w:val="variable"/>
    <w:sig w:usb0="E5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Garamond">
    <w:altName w:val="Times New Roman"/>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62E84"/>
    <w:multiLevelType w:val="hybridMultilevel"/>
    <w:tmpl w:val="4E64D262"/>
    <w:lvl w:ilvl="0" w:tplc="536CE96E">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0D703126"/>
    <w:multiLevelType w:val="multilevel"/>
    <w:tmpl w:val="9C5E6FC4"/>
    <w:styleLink w:val="WWNum4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BA001E"/>
    <w:multiLevelType w:val="multilevel"/>
    <w:tmpl w:val="51DCFB34"/>
    <w:styleLink w:val="WWNum45"/>
    <w:lvl w:ilvl="0">
      <w:numFmt w:val="bullet"/>
      <w:lvlText w:val="-"/>
      <w:lvlJc w:val="left"/>
      <w:pPr>
        <w:ind w:left="502" w:hanging="360"/>
      </w:pPr>
      <w:rPr>
        <w:rFonts w:ascii="Arial" w:eastAsia="Times New Roman" w:hAnsi="Arial" w:cs="Arial"/>
        <w:b/>
        <w:sz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82E2DFC"/>
    <w:multiLevelType w:val="hybridMultilevel"/>
    <w:tmpl w:val="7D3A83B0"/>
    <w:lvl w:ilvl="0" w:tplc="D0DAE598">
      <w:start w:val="1"/>
      <w:numFmt w:val="bullet"/>
      <w:lvlText w:val="-"/>
      <w:lvlJc w:val="left"/>
      <w:pPr>
        <w:ind w:left="720" w:hanging="360"/>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293925DC"/>
    <w:multiLevelType w:val="hybridMultilevel"/>
    <w:tmpl w:val="A5ECE2C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15:restartNumberingAfterBreak="0">
    <w:nsid w:val="369665DB"/>
    <w:multiLevelType w:val="hybridMultilevel"/>
    <w:tmpl w:val="6024C45C"/>
    <w:lvl w:ilvl="0" w:tplc="EC3E8CDC">
      <w:numFmt w:val="bullet"/>
      <w:lvlText w:val="-"/>
      <w:lvlJc w:val="left"/>
      <w:pPr>
        <w:ind w:left="720" w:hanging="360"/>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 w15:restartNumberingAfterBreak="0">
    <w:nsid w:val="3CF41E63"/>
    <w:multiLevelType w:val="hybridMultilevel"/>
    <w:tmpl w:val="3968C4A0"/>
    <w:lvl w:ilvl="0" w:tplc="FFFFFFFF">
      <w:start w:val="1"/>
      <w:numFmt w:val="upp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595B3DFE"/>
    <w:multiLevelType w:val="multilevel"/>
    <w:tmpl w:val="0B588E92"/>
    <w:styleLink w:val="WWNum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1CF66C6"/>
    <w:multiLevelType w:val="hybridMultilevel"/>
    <w:tmpl w:val="72F21AE2"/>
    <w:lvl w:ilvl="0" w:tplc="DFE85BC8">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4CA44D6"/>
    <w:multiLevelType w:val="hybridMultilevel"/>
    <w:tmpl w:val="3968C4A0"/>
    <w:lvl w:ilvl="0" w:tplc="041A0013">
      <w:start w:val="1"/>
      <w:numFmt w:val="upperRoman"/>
      <w:lvlText w:val="%1."/>
      <w:lvlJc w:val="righ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16cid:durableId="1505394300">
    <w:abstractNumId w:val="8"/>
  </w:num>
  <w:num w:numId="2" w16cid:durableId="6187988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7828621">
    <w:abstractNumId w:val="3"/>
  </w:num>
  <w:num w:numId="4" w16cid:durableId="5610657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283676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26634983">
    <w:abstractNumId w:val="7"/>
  </w:num>
  <w:num w:numId="7" w16cid:durableId="3874578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94627289">
    <w:abstractNumId w:val="5"/>
  </w:num>
  <w:num w:numId="9" w16cid:durableId="1077674552">
    <w:abstractNumId w:val="1"/>
  </w:num>
  <w:num w:numId="10" w16cid:durableId="677344773">
    <w:abstractNumId w:val="2"/>
  </w:num>
  <w:num w:numId="11" w16cid:durableId="1830897903">
    <w:abstractNumId w:val="9"/>
  </w:num>
  <w:num w:numId="12" w16cid:durableId="1309558465">
    <w:abstractNumId w:val="0"/>
  </w:num>
  <w:num w:numId="13" w16cid:durableId="1448963618">
    <w:abstractNumId w:val="4"/>
  </w:num>
  <w:num w:numId="14" w16cid:durableId="15063638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GrammaticalErrors/>
  <w:defaultTabStop w:val="720"/>
  <w:hyphenationZone w:val="425"/>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EAA"/>
    <w:rsid w:val="00001106"/>
    <w:rsid w:val="00005474"/>
    <w:rsid w:val="00021D6C"/>
    <w:rsid w:val="00037D26"/>
    <w:rsid w:val="000730AB"/>
    <w:rsid w:val="0008531F"/>
    <w:rsid w:val="000C3A36"/>
    <w:rsid w:val="000E56DA"/>
    <w:rsid w:val="000E6EAA"/>
    <w:rsid w:val="00107D76"/>
    <w:rsid w:val="00180899"/>
    <w:rsid w:val="001F38D6"/>
    <w:rsid w:val="00220805"/>
    <w:rsid w:val="002A4BFB"/>
    <w:rsid w:val="002E7DCD"/>
    <w:rsid w:val="00456ED6"/>
    <w:rsid w:val="00597603"/>
    <w:rsid w:val="006E7060"/>
    <w:rsid w:val="006F4949"/>
    <w:rsid w:val="00700EC2"/>
    <w:rsid w:val="00713F08"/>
    <w:rsid w:val="007168E2"/>
    <w:rsid w:val="0072444D"/>
    <w:rsid w:val="00736B58"/>
    <w:rsid w:val="00742357"/>
    <w:rsid w:val="00771B82"/>
    <w:rsid w:val="007D706A"/>
    <w:rsid w:val="00807E36"/>
    <w:rsid w:val="00810CA1"/>
    <w:rsid w:val="0082221C"/>
    <w:rsid w:val="00832B9B"/>
    <w:rsid w:val="008B3204"/>
    <w:rsid w:val="008E3EC5"/>
    <w:rsid w:val="008E4E1E"/>
    <w:rsid w:val="00925A6B"/>
    <w:rsid w:val="00992987"/>
    <w:rsid w:val="009A4261"/>
    <w:rsid w:val="009E3961"/>
    <w:rsid w:val="00A11D1C"/>
    <w:rsid w:val="00AB2AF3"/>
    <w:rsid w:val="00B521A3"/>
    <w:rsid w:val="00B62CCF"/>
    <w:rsid w:val="00B7129B"/>
    <w:rsid w:val="00BB4A05"/>
    <w:rsid w:val="00C03A15"/>
    <w:rsid w:val="00D0475D"/>
    <w:rsid w:val="00D13D77"/>
    <w:rsid w:val="00D30D8C"/>
    <w:rsid w:val="00D673B7"/>
    <w:rsid w:val="00D73D33"/>
    <w:rsid w:val="00D93EBC"/>
    <w:rsid w:val="00E172BB"/>
    <w:rsid w:val="00E34B7A"/>
    <w:rsid w:val="00E373CC"/>
    <w:rsid w:val="00E541EE"/>
    <w:rsid w:val="00E603CB"/>
    <w:rsid w:val="00E80F33"/>
    <w:rsid w:val="00EA7817"/>
    <w:rsid w:val="00EE5AFF"/>
    <w:rsid w:val="00F24148"/>
    <w:rsid w:val="00F36433"/>
    <w:rsid w:val="00F664F1"/>
    <w:rsid w:val="00FB706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00097"/>
  <w15:docId w15:val="{495275FF-6C9A-40B2-9825-B6670BD76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hr-HR" w:eastAsia="hr-H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iPriority="0" w:unhideWhenUsed="1"/>
    <w:lsdException w:name="FollowedHyperlink" w:semiHidden="1" w:unhideWhenUsed="1" w:qFormat="1"/>
    <w:lsdException w:name="Strong" w:uiPriority="0"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qFormat/>
    <w:rsid w:val="00E541EE"/>
    <w:pPr>
      <w:keepNext/>
      <w:keepLines/>
      <w:spacing w:before="480" w:line="276" w:lineRule="auto"/>
      <w:outlineLvl w:val="0"/>
    </w:pPr>
    <w:rPr>
      <w:rFonts w:ascii="Cambria" w:eastAsia="Times New Roman" w:hAnsi="Cambria" w:cs="Times New Roman"/>
      <w:b/>
      <w:bCs/>
      <w:color w:val="365F91"/>
      <w:sz w:val="28"/>
      <w:szCs w:val="28"/>
      <w:lang w:eastAsia="en-US"/>
    </w:rPr>
  </w:style>
  <w:style w:type="paragraph" w:styleId="Naslov2">
    <w:name w:val="heading 2"/>
    <w:basedOn w:val="Normal"/>
    <w:next w:val="Normal"/>
    <w:link w:val="Naslov2Char"/>
    <w:unhideWhenUsed/>
    <w:qFormat/>
    <w:rsid w:val="00E541EE"/>
    <w:pPr>
      <w:keepNext/>
      <w:keepLines/>
      <w:spacing w:before="40" w:line="276" w:lineRule="auto"/>
      <w:outlineLvl w:val="1"/>
    </w:pPr>
    <w:rPr>
      <w:rFonts w:ascii="Calibri Light" w:eastAsia="SimSun" w:hAnsi="Calibri Light" w:cs="Times New Roman"/>
      <w:color w:val="2E74B5"/>
      <w:kern w:val="2"/>
      <w:sz w:val="26"/>
      <w:szCs w:val="26"/>
      <w:lang w:eastAsia="en-US"/>
      <w14:ligatures w14:val="standardContextual"/>
    </w:rPr>
  </w:style>
  <w:style w:type="paragraph" w:styleId="Naslov4">
    <w:name w:val="heading 4"/>
    <w:basedOn w:val="Normal"/>
    <w:next w:val="Normal"/>
    <w:link w:val="Naslov4Char"/>
    <w:unhideWhenUsed/>
    <w:qFormat/>
    <w:rsid w:val="00E541EE"/>
    <w:pPr>
      <w:keepNext/>
      <w:spacing w:before="240" w:after="60"/>
      <w:outlineLvl w:val="3"/>
    </w:pPr>
    <w:rPr>
      <w:rFonts w:ascii="Times New Roman" w:eastAsia="Times New Roman" w:hAnsi="Times New Roman" w:cs="Times New Roman"/>
      <w:b/>
      <w:bCs/>
      <w:sz w:val="28"/>
      <w:szCs w:val="28"/>
      <w:lang w:eastAsia="en-US"/>
    </w:rPr>
  </w:style>
  <w:style w:type="paragraph" w:styleId="Naslov5">
    <w:name w:val="heading 5"/>
    <w:basedOn w:val="Normal"/>
    <w:next w:val="Normal"/>
    <w:link w:val="Naslov5Char"/>
    <w:uiPriority w:val="9"/>
    <w:semiHidden/>
    <w:unhideWhenUsed/>
    <w:qFormat/>
    <w:rsid w:val="00E541EE"/>
    <w:pPr>
      <w:keepNext/>
      <w:keepLines/>
      <w:spacing w:before="200" w:line="276" w:lineRule="auto"/>
      <w:outlineLvl w:val="4"/>
    </w:pPr>
    <w:rPr>
      <w:rFonts w:ascii="Cambria" w:eastAsia="Times New Roman" w:hAnsi="Cambria" w:cs="Times New Roman"/>
      <w:color w:val="243F60"/>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ParagraphStyle0">
    <w:name w:val="ParagraphStyle0"/>
    <w:hidden/>
    <w:qFormat/>
    <w:pPr>
      <w:spacing w:before="28" w:after="28"/>
      <w:ind w:left="28" w:right="28"/>
      <w:jc w:val="center"/>
    </w:pPr>
  </w:style>
  <w:style w:type="paragraph" w:customStyle="1" w:styleId="ParagraphStyle1">
    <w:name w:val="ParagraphStyle1"/>
    <w:hidden/>
    <w:qFormat/>
    <w:pPr>
      <w:spacing w:before="28" w:after="28"/>
      <w:ind w:left="28" w:right="28"/>
      <w:jc w:val="center"/>
    </w:pPr>
  </w:style>
  <w:style w:type="paragraph" w:customStyle="1" w:styleId="ParagraphStyle2">
    <w:name w:val="ParagraphStyle2"/>
    <w:hidden/>
    <w:qFormat/>
    <w:pPr>
      <w:spacing w:before="28" w:after="28"/>
      <w:ind w:left="28" w:right="28"/>
      <w:jc w:val="center"/>
    </w:pPr>
  </w:style>
  <w:style w:type="paragraph" w:customStyle="1" w:styleId="ParagraphStyle3">
    <w:name w:val="ParagraphStyle3"/>
    <w:hidden/>
    <w:qFormat/>
    <w:pPr>
      <w:spacing w:before="28" w:after="28"/>
      <w:ind w:left="28" w:right="28"/>
      <w:jc w:val="center"/>
    </w:pPr>
  </w:style>
  <w:style w:type="paragraph" w:customStyle="1" w:styleId="ParagraphStyle4">
    <w:name w:val="ParagraphStyle4"/>
    <w:hidden/>
    <w:qFormat/>
    <w:pPr>
      <w:ind w:left="28" w:right="28"/>
    </w:pPr>
  </w:style>
  <w:style w:type="paragraph" w:customStyle="1" w:styleId="ParagraphStyle5">
    <w:name w:val="ParagraphStyle5"/>
    <w:hidden/>
    <w:qFormat/>
    <w:pPr>
      <w:ind w:left="28" w:right="28"/>
    </w:pPr>
  </w:style>
  <w:style w:type="paragraph" w:customStyle="1" w:styleId="ParagraphStyle6">
    <w:name w:val="ParagraphStyle6"/>
    <w:hidden/>
    <w:qFormat/>
    <w:pPr>
      <w:ind w:left="28" w:right="28"/>
      <w:jc w:val="right"/>
    </w:pPr>
  </w:style>
  <w:style w:type="paragraph" w:customStyle="1" w:styleId="ParagraphStyle7">
    <w:name w:val="ParagraphStyle7"/>
    <w:hidden/>
    <w:qFormat/>
    <w:pPr>
      <w:ind w:left="28" w:right="28"/>
    </w:pPr>
  </w:style>
  <w:style w:type="paragraph" w:customStyle="1" w:styleId="ParagraphStyle8">
    <w:name w:val="ParagraphStyle8"/>
    <w:hidden/>
    <w:qFormat/>
    <w:pPr>
      <w:ind w:left="28" w:right="28"/>
    </w:pPr>
  </w:style>
  <w:style w:type="paragraph" w:customStyle="1" w:styleId="ParagraphStyle9">
    <w:name w:val="ParagraphStyle9"/>
    <w:hidden/>
    <w:qFormat/>
    <w:pPr>
      <w:ind w:left="28" w:right="28"/>
      <w:jc w:val="right"/>
    </w:pPr>
  </w:style>
  <w:style w:type="paragraph" w:customStyle="1" w:styleId="ParagraphStyle10">
    <w:name w:val="ParagraphStyle10"/>
    <w:hidden/>
    <w:qFormat/>
    <w:pPr>
      <w:ind w:left="28" w:right="28"/>
    </w:pPr>
  </w:style>
  <w:style w:type="paragraph" w:customStyle="1" w:styleId="ParagraphStyle11">
    <w:name w:val="ParagraphStyle11"/>
    <w:hidden/>
    <w:qFormat/>
    <w:pPr>
      <w:ind w:left="28" w:right="28"/>
    </w:pPr>
  </w:style>
  <w:style w:type="paragraph" w:customStyle="1" w:styleId="ParagraphStyle12">
    <w:name w:val="ParagraphStyle12"/>
    <w:hidden/>
    <w:qFormat/>
    <w:pPr>
      <w:ind w:left="28" w:right="28"/>
      <w:jc w:val="right"/>
    </w:pPr>
  </w:style>
  <w:style w:type="character" w:styleId="Brojretka">
    <w:name w:val="line number"/>
    <w:basedOn w:val="Zadanifontodlomka"/>
    <w:semiHidden/>
  </w:style>
  <w:style w:type="character" w:styleId="Hiperveza">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Arial" w:eastAsia="Arial" w:hAnsi="Arial" w:cs="Arial"/>
      <w:b/>
      <w:i w:val="0"/>
      <w:strike w:val="0"/>
      <w:noProof/>
      <w:color w:val="000000"/>
      <w:sz w:val="20"/>
      <w:szCs w:val="20"/>
      <w:u w:val="none"/>
    </w:rPr>
  </w:style>
  <w:style w:type="character" w:customStyle="1" w:styleId="CharacterStyle1">
    <w:name w:val="CharacterStyle1"/>
    <w:hidden/>
    <w:rPr>
      <w:rFonts w:ascii="Arial" w:eastAsia="Arial" w:hAnsi="Arial" w:cs="Arial"/>
      <w:b w:val="0"/>
      <w:i w:val="0"/>
      <w:strike w:val="0"/>
      <w:noProof/>
      <w:color w:val="000000"/>
      <w:sz w:val="20"/>
      <w:szCs w:val="20"/>
      <w:u w:val="none"/>
    </w:rPr>
  </w:style>
  <w:style w:type="character" w:customStyle="1" w:styleId="CharacterStyle2">
    <w:name w:val="CharacterStyle2"/>
    <w:hidden/>
    <w:rPr>
      <w:rFonts w:ascii="Arial" w:eastAsia="Arial" w:hAnsi="Arial" w:cs="Arial"/>
      <w:b/>
      <w:i w:val="0"/>
      <w:strike w:val="0"/>
      <w:noProof/>
      <w:color w:val="000000"/>
      <w:sz w:val="16"/>
      <w:szCs w:val="16"/>
      <w:u w:val="none"/>
    </w:rPr>
  </w:style>
  <w:style w:type="character" w:customStyle="1" w:styleId="CharacterStyle3">
    <w:name w:val="CharacterStyle3"/>
    <w:hidden/>
    <w:rPr>
      <w:rFonts w:ascii="Arial" w:eastAsia="Arial" w:hAnsi="Arial" w:cs="Arial"/>
      <w:b/>
      <w:i w:val="0"/>
      <w:strike w:val="0"/>
      <w:noProof/>
      <w:color w:val="000000"/>
      <w:sz w:val="16"/>
      <w:szCs w:val="16"/>
      <w:u w:val="none"/>
    </w:rPr>
  </w:style>
  <w:style w:type="character" w:customStyle="1" w:styleId="CharacterStyle4">
    <w:name w:val="CharacterStyle4"/>
    <w:hidden/>
    <w:rPr>
      <w:rFonts w:ascii="Arial" w:eastAsia="Arial" w:hAnsi="Arial" w:cs="Arial"/>
      <w:b/>
      <w:i w:val="0"/>
      <w:strike w:val="0"/>
      <w:noProof/>
      <w:color w:val="000000"/>
      <w:sz w:val="16"/>
      <w:szCs w:val="16"/>
      <w:u w:val="none"/>
    </w:rPr>
  </w:style>
  <w:style w:type="character" w:customStyle="1" w:styleId="CharacterStyle5">
    <w:name w:val="CharacterStyle5"/>
    <w:hidden/>
    <w:rPr>
      <w:rFonts w:ascii="Arial" w:eastAsia="Arial" w:hAnsi="Arial" w:cs="Arial"/>
      <w:b/>
      <w:i w:val="0"/>
      <w:strike w:val="0"/>
      <w:noProof/>
      <w:color w:val="000000"/>
      <w:sz w:val="16"/>
      <w:szCs w:val="16"/>
      <w:u w:val="none"/>
    </w:rPr>
  </w:style>
  <w:style w:type="character" w:customStyle="1" w:styleId="CharacterStyle6">
    <w:name w:val="CharacterStyle6"/>
    <w:hidden/>
    <w:rPr>
      <w:rFonts w:ascii="Arial" w:eastAsia="Arial" w:hAnsi="Arial" w:cs="Arial"/>
      <w:b/>
      <w:i w:val="0"/>
      <w:strike w:val="0"/>
      <w:noProof/>
      <w:color w:val="000000"/>
      <w:sz w:val="16"/>
      <w:szCs w:val="16"/>
      <w:u w:val="none"/>
    </w:rPr>
  </w:style>
  <w:style w:type="character" w:customStyle="1" w:styleId="CharacterStyle7">
    <w:name w:val="CharacterStyle7"/>
    <w:hidden/>
    <w:rPr>
      <w:rFonts w:ascii="Arial" w:eastAsia="Arial" w:hAnsi="Arial" w:cs="Arial"/>
      <w:b w:val="0"/>
      <w:i/>
      <w:strike w:val="0"/>
      <w:noProof/>
      <w:color w:val="000000"/>
      <w:sz w:val="16"/>
      <w:szCs w:val="16"/>
      <w:u w:val="none"/>
    </w:rPr>
  </w:style>
  <w:style w:type="character" w:customStyle="1" w:styleId="CharacterStyle8">
    <w:name w:val="CharacterStyle8"/>
    <w:hidden/>
    <w:rPr>
      <w:rFonts w:ascii="Arial" w:eastAsia="Arial" w:hAnsi="Arial" w:cs="Arial"/>
      <w:b w:val="0"/>
      <w:i/>
      <w:strike w:val="0"/>
      <w:noProof/>
      <w:color w:val="000000"/>
      <w:sz w:val="16"/>
      <w:szCs w:val="16"/>
      <w:u w:val="none"/>
    </w:rPr>
  </w:style>
  <w:style w:type="character" w:customStyle="1" w:styleId="CharacterStyle9">
    <w:name w:val="CharacterStyle9"/>
    <w:hidden/>
    <w:rPr>
      <w:rFonts w:ascii="Arial" w:eastAsia="Arial" w:hAnsi="Arial" w:cs="Arial"/>
      <w:b w:val="0"/>
      <w:i/>
      <w:strike w:val="0"/>
      <w:noProof/>
      <w:color w:val="000000"/>
      <w:sz w:val="16"/>
      <w:szCs w:val="16"/>
      <w:u w:val="none"/>
    </w:rPr>
  </w:style>
  <w:style w:type="character" w:customStyle="1" w:styleId="CharacterStyle10">
    <w:name w:val="CharacterStyle10"/>
    <w:hidden/>
    <w:rPr>
      <w:rFonts w:ascii="Arial" w:eastAsia="Arial" w:hAnsi="Arial" w:cs="Arial"/>
      <w:b w:val="0"/>
      <w:i w:val="0"/>
      <w:strike w:val="0"/>
      <w:noProof/>
      <w:color w:val="000000"/>
      <w:sz w:val="16"/>
      <w:szCs w:val="16"/>
      <w:u w:val="none"/>
    </w:rPr>
  </w:style>
  <w:style w:type="character" w:customStyle="1" w:styleId="CharacterStyle11">
    <w:name w:val="CharacterStyle11"/>
    <w:hidden/>
    <w:rPr>
      <w:rFonts w:ascii="Arial" w:eastAsia="Arial" w:hAnsi="Arial" w:cs="Arial"/>
      <w:b w:val="0"/>
      <w:i w:val="0"/>
      <w:strike w:val="0"/>
      <w:noProof/>
      <w:color w:val="000000"/>
      <w:sz w:val="16"/>
      <w:szCs w:val="16"/>
      <w:u w:val="none"/>
    </w:rPr>
  </w:style>
  <w:style w:type="character" w:customStyle="1" w:styleId="CharacterStyle12">
    <w:name w:val="CharacterStyle12"/>
    <w:hidden/>
    <w:rPr>
      <w:rFonts w:ascii="Arial" w:eastAsia="Arial" w:hAnsi="Arial" w:cs="Arial"/>
      <w:b w:val="0"/>
      <w:i w:val="0"/>
      <w:strike w:val="0"/>
      <w:noProof/>
      <w:color w:val="000000"/>
      <w:sz w:val="16"/>
      <w:szCs w:val="16"/>
      <w:u w:val="none"/>
    </w:rPr>
  </w:style>
  <w:style w:type="table" w:styleId="Jednostavnatablica1">
    <w:name w:val="Table Simple 1"/>
    <w:basedOn w:val="Obinatablica"/>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Style13">
    <w:name w:val="ParagraphStyle13"/>
    <w:hidden/>
    <w:qFormat/>
    <w:rsid w:val="002A4BFB"/>
    <w:pPr>
      <w:ind w:left="28"/>
    </w:pPr>
  </w:style>
  <w:style w:type="paragraph" w:customStyle="1" w:styleId="ParagraphStyle14">
    <w:name w:val="ParagraphStyle14"/>
    <w:hidden/>
    <w:qFormat/>
    <w:rsid w:val="002A4BFB"/>
    <w:pPr>
      <w:ind w:left="28" w:right="28"/>
      <w:jc w:val="right"/>
    </w:pPr>
  </w:style>
  <w:style w:type="paragraph" w:customStyle="1" w:styleId="ParagraphStyle15">
    <w:name w:val="ParagraphStyle15"/>
    <w:hidden/>
    <w:qFormat/>
    <w:rsid w:val="002A4BFB"/>
    <w:pPr>
      <w:ind w:right="28"/>
      <w:jc w:val="right"/>
    </w:pPr>
  </w:style>
  <w:style w:type="character" w:customStyle="1" w:styleId="CharacterStyle13">
    <w:name w:val="CharacterStyle13"/>
    <w:hidden/>
    <w:rsid w:val="002A4BFB"/>
    <w:rPr>
      <w:rFonts w:ascii="Arial" w:eastAsia="Arial" w:hAnsi="Arial" w:cs="Arial"/>
      <w:b w:val="0"/>
      <w:i w:val="0"/>
      <w:strike w:val="0"/>
      <w:noProof/>
      <w:color w:val="000000"/>
      <w:sz w:val="16"/>
      <w:szCs w:val="16"/>
      <w:u w:val="none"/>
    </w:rPr>
  </w:style>
  <w:style w:type="character" w:customStyle="1" w:styleId="CharacterStyle14">
    <w:name w:val="CharacterStyle14"/>
    <w:hidden/>
    <w:rsid w:val="002A4BFB"/>
    <w:rPr>
      <w:rFonts w:ascii="Arial" w:eastAsia="Arial" w:hAnsi="Arial" w:cs="Arial"/>
      <w:b w:val="0"/>
      <w:i w:val="0"/>
      <w:strike w:val="0"/>
      <w:noProof/>
      <w:color w:val="000000"/>
      <w:sz w:val="16"/>
      <w:szCs w:val="16"/>
      <w:u w:val="none"/>
    </w:rPr>
  </w:style>
  <w:style w:type="character" w:customStyle="1" w:styleId="CharacterStyle15">
    <w:name w:val="CharacterStyle15"/>
    <w:hidden/>
    <w:rsid w:val="002A4BFB"/>
    <w:rPr>
      <w:rFonts w:ascii="Arial" w:eastAsia="Arial" w:hAnsi="Arial" w:cs="Arial"/>
      <w:b w:val="0"/>
      <w:i w:val="0"/>
      <w:strike w:val="0"/>
      <w:noProof/>
      <w:color w:val="000000"/>
      <w:sz w:val="16"/>
      <w:szCs w:val="16"/>
      <w:u w:val="none"/>
    </w:rPr>
  </w:style>
  <w:style w:type="paragraph" w:styleId="Tijeloteksta">
    <w:name w:val="Body Text"/>
    <w:aliases w:val="uvlaka 2,uvlaka 3,  uvlaka 2, uvlaka 3"/>
    <w:basedOn w:val="Normal"/>
    <w:link w:val="TijelotekstaChar"/>
    <w:qFormat/>
    <w:rsid w:val="002A4BFB"/>
    <w:pPr>
      <w:widowControl w:val="0"/>
      <w:autoSpaceDE w:val="0"/>
      <w:autoSpaceDN w:val="0"/>
    </w:pPr>
    <w:rPr>
      <w:rFonts w:ascii="Microsoft Sans Serif" w:eastAsia="Microsoft Sans Serif" w:hAnsi="Microsoft Sans Serif" w:cs="Microsoft Sans Serif"/>
      <w:sz w:val="24"/>
      <w:szCs w:val="24"/>
      <w:lang w:val="bs-Latn" w:eastAsia="en-US"/>
    </w:rPr>
  </w:style>
  <w:style w:type="character" w:customStyle="1" w:styleId="TijelotekstaChar">
    <w:name w:val="Tijelo teksta Char"/>
    <w:aliases w:val="uvlaka 2 Char,uvlaka 3 Char,  uvlaka 2 Char, uvlaka 3 Char"/>
    <w:basedOn w:val="Zadanifontodlomka"/>
    <w:link w:val="Tijeloteksta"/>
    <w:rsid w:val="002A4BFB"/>
    <w:rPr>
      <w:rFonts w:ascii="Microsoft Sans Serif" w:eastAsia="Microsoft Sans Serif" w:hAnsi="Microsoft Sans Serif" w:cs="Microsoft Sans Serif"/>
      <w:sz w:val="24"/>
      <w:szCs w:val="24"/>
      <w:lang w:val="bs-Latn" w:eastAsia="en-US"/>
    </w:rPr>
  </w:style>
  <w:style w:type="character" w:customStyle="1" w:styleId="Naslov1Char">
    <w:name w:val="Naslov 1 Char"/>
    <w:basedOn w:val="Zadanifontodlomka"/>
    <w:link w:val="Naslov1"/>
    <w:rsid w:val="00E541EE"/>
    <w:rPr>
      <w:rFonts w:ascii="Cambria" w:eastAsia="Times New Roman" w:hAnsi="Cambria" w:cs="Times New Roman"/>
      <w:b/>
      <w:bCs/>
      <w:color w:val="365F91"/>
      <w:sz w:val="28"/>
      <w:szCs w:val="28"/>
      <w:lang w:eastAsia="en-US"/>
    </w:rPr>
  </w:style>
  <w:style w:type="character" w:customStyle="1" w:styleId="Naslov2Char">
    <w:name w:val="Naslov 2 Char"/>
    <w:basedOn w:val="Zadanifontodlomka"/>
    <w:link w:val="Naslov2"/>
    <w:rsid w:val="00E541EE"/>
    <w:rPr>
      <w:rFonts w:ascii="Calibri Light" w:eastAsia="SimSun" w:hAnsi="Calibri Light" w:cs="Times New Roman"/>
      <w:color w:val="2E74B5"/>
      <w:kern w:val="2"/>
      <w:sz w:val="26"/>
      <w:szCs w:val="26"/>
      <w:lang w:eastAsia="en-US"/>
      <w14:ligatures w14:val="standardContextual"/>
    </w:rPr>
  </w:style>
  <w:style w:type="character" w:customStyle="1" w:styleId="Naslov4Char">
    <w:name w:val="Naslov 4 Char"/>
    <w:basedOn w:val="Zadanifontodlomka"/>
    <w:link w:val="Naslov4"/>
    <w:rsid w:val="00E541EE"/>
    <w:rPr>
      <w:rFonts w:ascii="Times New Roman" w:eastAsia="Times New Roman" w:hAnsi="Times New Roman" w:cs="Times New Roman"/>
      <w:b/>
      <w:bCs/>
      <w:sz w:val="28"/>
      <w:szCs w:val="28"/>
      <w:lang w:eastAsia="en-US"/>
    </w:rPr>
  </w:style>
  <w:style w:type="character" w:customStyle="1" w:styleId="Naslov5Char">
    <w:name w:val="Naslov 5 Char"/>
    <w:basedOn w:val="Zadanifontodlomka"/>
    <w:link w:val="Naslov5"/>
    <w:uiPriority w:val="9"/>
    <w:semiHidden/>
    <w:qFormat/>
    <w:rsid w:val="00E541EE"/>
    <w:rPr>
      <w:rFonts w:ascii="Cambria" w:eastAsia="Times New Roman" w:hAnsi="Cambria" w:cs="Times New Roman"/>
      <w:color w:val="243F60"/>
      <w:szCs w:val="22"/>
      <w:lang w:eastAsia="en-US"/>
    </w:rPr>
  </w:style>
  <w:style w:type="paragraph" w:styleId="Tekstbalonia">
    <w:name w:val="Balloon Text"/>
    <w:basedOn w:val="Normal"/>
    <w:link w:val="TekstbaloniaChar"/>
    <w:unhideWhenUsed/>
    <w:qFormat/>
    <w:rsid w:val="00E541EE"/>
    <w:rPr>
      <w:rFonts w:ascii="Segoe UI" w:hAnsi="Segoe UI" w:cs="Segoe UI"/>
      <w:sz w:val="18"/>
      <w:szCs w:val="18"/>
    </w:rPr>
  </w:style>
  <w:style w:type="character" w:customStyle="1" w:styleId="TekstbaloniaChar">
    <w:name w:val="Tekst balončića Char"/>
    <w:basedOn w:val="Zadanifontodlomka"/>
    <w:link w:val="Tekstbalonia"/>
    <w:qFormat/>
    <w:rsid w:val="00E541EE"/>
    <w:rPr>
      <w:rFonts w:ascii="Segoe UI" w:hAnsi="Segoe UI" w:cs="Segoe UI"/>
      <w:sz w:val="18"/>
      <w:szCs w:val="18"/>
    </w:rPr>
  </w:style>
  <w:style w:type="character" w:styleId="SlijeenaHiperveza">
    <w:name w:val="FollowedHyperlink"/>
    <w:basedOn w:val="Zadanifontodlomka"/>
    <w:uiPriority w:val="99"/>
    <w:semiHidden/>
    <w:unhideWhenUsed/>
    <w:qFormat/>
    <w:rsid w:val="00E541EE"/>
    <w:rPr>
      <w:color w:val="954F72" w:themeColor="followedHyperlink"/>
      <w:u w:val="single"/>
    </w:rPr>
  </w:style>
  <w:style w:type="paragraph" w:customStyle="1" w:styleId="msonormal0">
    <w:name w:val="msonormal"/>
    <w:basedOn w:val="Normal"/>
    <w:qFormat/>
    <w:rsid w:val="00E541EE"/>
    <w:pPr>
      <w:spacing w:after="200" w:line="276" w:lineRule="auto"/>
    </w:pPr>
    <w:rPr>
      <w:rFonts w:ascii="Times New Roman" w:eastAsiaTheme="minorHAnsi" w:hAnsi="Times New Roman" w:cs="Times New Roman"/>
      <w:sz w:val="24"/>
      <w:szCs w:val="24"/>
      <w:lang w:eastAsia="en-US"/>
    </w:rPr>
  </w:style>
  <w:style w:type="paragraph" w:styleId="StandardWeb">
    <w:name w:val="Normal (Web)"/>
    <w:basedOn w:val="Normal"/>
    <w:unhideWhenUsed/>
    <w:qFormat/>
    <w:rsid w:val="00E541EE"/>
    <w:pPr>
      <w:spacing w:after="200" w:line="276" w:lineRule="auto"/>
    </w:pPr>
    <w:rPr>
      <w:rFonts w:ascii="Times New Roman" w:eastAsiaTheme="minorHAnsi" w:hAnsi="Times New Roman" w:cs="Times New Roman"/>
      <w:sz w:val="24"/>
      <w:szCs w:val="24"/>
      <w:lang w:eastAsia="en-US"/>
    </w:rPr>
  </w:style>
  <w:style w:type="paragraph" w:styleId="Tekstfusnote">
    <w:name w:val="footnote text"/>
    <w:basedOn w:val="Normal"/>
    <w:link w:val="TekstfusnoteChar"/>
    <w:uiPriority w:val="99"/>
    <w:semiHidden/>
    <w:unhideWhenUsed/>
    <w:qFormat/>
    <w:rsid w:val="00E541EE"/>
    <w:rPr>
      <w:rFonts w:asciiTheme="minorHAnsi" w:eastAsiaTheme="minorHAnsi" w:hAnsiTheme="minorHAnsi" w:cstheme="minorBidi"/>
      <w:sz w:val="20"/>
      <w:lang w:eastAsia="en-US"/>
    </w:rPr>
  </w:style>
  <w:style w:type="character" w:customStyle="1" w:styleId="TekstfusnoteChar">
    <w:name w:val="Tekst fusnote Char"/>
    <w:basedOn w:val="Zadanifontodlomka"/>
    <w:link w:val="Tekstfusnote"/>
    <w:uiPriority w:val="99"/>
    <w:semiHidden/>
    <w:qFormat/>
    <w:rsid w:val="00E541EE"/>
    <w:rPr>
      <w:rFonts w:asciiTheme="minorHAnsi" w:eastAsiaTheme="minorHAnsi" w:hAnsiTheme="minorHAnsi" w:cstheme="minorBidi"/>
      <w:sz w:val="20"/>
      <w:lang w:eastAsia="en-US"/>
    </w:rPr>
  </w:style>
  <w:style w:type="paragraph" w:styleId="Tekstkomentara">
    <w:name w:val="annotation text"/>
    <w:basedOn w:val="Normal"/>
    <w:link w:val="TekstkomentaraChar"/>
    <w:uiPriority w:val="99"/>
    <w:semiHidden/>
    <w:unhideWhenUsed/>
    <w:qFormat/>
    <w:rsid w:val="00E541EE"/>
    <w:pPr>
      <w:spacing w:after="200"/>
    </w:pPr>
    <w:rPr>
      <w:rFonts w:asciiTheme="minorHAnsi" w:eastAsiaTheme="minorHAnsi" w:hAnsiTheme="minorHAnsi" w:cstheme="minorBidi"/>
      <w:sz w:val="20"/>
      <w:lang w:eastAsia="en-US"/>
    </w:rPr>
  </w:style>
  <w:style w:type="character" w:customStyle="1" w:styleId="TekstkomentaraChar">
    <w:name w:val="Tekst komentara Char"/>
    <w:basedOn w:val="Zadanifontodlomka"/>
    <w:link w:val="Tekstkomentara"/>
    <w:uiPriority w:val="99"/>
    <w:semiHidden/>
    <w:rsid w:val="00E541EE"/>
    <w:rPr>
      <w:rFonts w:asciiTheme="minorHAnsi" w:eastAsiaTheme="minorHAnsi" w:hAnsiTheme="minorHAnsi" w:cstheme="minorBidi"/>
      <w:sz w:val="20"/>
      <w:lang w:eastAsia="en-US"/>
    </w:rPr>
  </w:style>
  <w:style w:type="character" w:customStyle="1" w:styleId="ZaglavljeChar">
    <w:name w:val="Zaglavlje Char"/>
    <w:aliases w:val="Header Char1 Char Char1,Header Char Char Char Char Char,Header Char Char1 Char,Header Char1 Char Char Char"/>
    <w:basedOn w:val="Zadanifontodlomka"/>
    <w:link w:val="Zaglavlje"/>
    <w:qFormat/>
    <w:locked/>
    <w:rsid w:val="00E541EE"/>
    <w:rPr>
      <w:rFonts w:ascii="Arial" w:eastAsia="Times New Roman" w:hAnsi="Arial" w:cs="Times New Roman"/>
      <w:szCs w:val="24"/>
    </w:rPr>
  </w:style>
  <w:style w:type="paragraph" w:styleId="Zaglavlje">
    <w:name w:val="header"/>
    <w:aliases w:val="Header Char1 Char,Header Char Char Char Char,Header Char Char1,Header Char1 Char Char"/>
    <w:basedOn w:val="Normal"/>
    <w:link w:val="ZaglavljeChar"/>
    <w:unhideWhenUsed/>
    <w:qFormat/>
    <w:rsid w:val="00E541EE"/>
    <w:pPr>
      <w:tabs>
        <w:tab w:val="center" w:pos="4536"/>
        <w:tab w:val="right" w:pos="9072"/>
      </w:tabs>
      <w:jc w:val="both"/>
    </w:pPr>
    <w:rPr>
      <w:rFonts w:ascii="Arial" w:eastAsia="Times New Roman" w:hAnsi="Arial" w:cs="Times New Roman"/>
      <w:szCs w:val="24"/>
    </w:rPr>
  </w:style>
  <w:style w:type="character" w:customStyle="1" w:styleId="HeaderChar">
    <w:name w:val="Header Char"/>
    <w:aliases w:val="Zaglavlje Char1,Header Char1 Char Char2,Header Char Char Char Char Char1,Header Char Char1 Char1,Header Char1 Char Char Char1"/>
    <w:basedOn w:val="Zadanifontodlomka"/>
    <w:qFormat/>
    <w:rsid w:val="00E541EE"/>
  </w:style>
  <w:style w:type="paragraph" w:styleId="Podnoje">
    <w:name w:val="footer"/>
    <w:basedOn w:val="Normal"/>
    <w:link w:val="PodnojeChar"/>
    <w:unhideWhenUsed/>
    <w:qFormat/>
    <w:rsid w:val="00E541EE"/>
    <w:pPr>
      <w:tabs>
        <w:tab w:val="center" w:pos="4536"/>
        <w:tab w:val="right" w:pos="9072"/>
      </w:tabs>
    </w:pPr>
    <w:rPr>
      <w:rFonts w:asciiTheme="minorHAnsi" w:eastAsiaTheme="minorHAnsi" w:hAnsiTheme="minorHAnsi" w:cstheme="minorBidi"/>
      <w:szCs w:val="22"/>
      <w:lang w:eastAsia="en-US"/>
    </w:rPr>
  </w:style>
  <w:style w:type="character" w:customStyle="1" w:styleId="PodnojeChar">
    <w:name w:val="Podnožje Char"/>
    <w:basedOn w:val="Zadanifontodlomka"/>
    <w:link w:val="Podnoje"/>
    <w:qFormat/>
    <w:rsid w:val="00E541EE"/>
    <w:rPr>
      <w:rFonts w:asciiTheme="minorHAnsi" w:eastAsiaTheme="minorHAnsi" w:hAnsiTheme="minorHAnsi" w:cstheme="minorBidi"/>
      <w:szCs w:val="22"/>
      <w:lang w:eastAsia="en-US"/>
    </w:rPr>
  </w:style>
  <w:style w:type="paragraph" w:styleId="Naslov">
    <w:name w:val="Title"/>
    <w:basedOn w:val="Normal"/>
    <w:link w:val="NaslovChar"/>
    <w:qFormat/>
    <w:rsid w:val="00E541EE"/>
    <w:pPr>
      <w:jc w:val="center"/>
    </w:pPr>
    <w:rPr>
      <w:rFonts w:ascii="Arial" w:eastAsia="Times New Roman" w:hAnsi="Arial" w:cs="Arial"/>
      <w:b/>
      <w:bCs/>
      <w:sz w:val="24"/>
      <w:szCs w:val="24"/>
      <w:lang w:eastAsia="en-US"/>
    </w:rPr>
  </w:style>
  <w:style w:type="character" w:customStyle="1" w:styleId="NaslovChar">
    <w:name w:val="Naslov Char"/>
    <w:basedOn w:val="Zadanifontodlomka"/>
    <w:link w:val="Naslov"/>
    <w:rsid w:val="00E541EE"/>
    <w:rPr>
      <w:rFonts w:ascii="Arial" w:eastAsia="Times New Roman" w:hAnsi="Arial" w:cs="Arial"/>
      <w:b/>
      <w:bCs/>
      <w:sz w:val="24"/>
      <w:szCs w:val="24"/>
      <w:lang w:eastAsia="en-US"/>
    </w:rPr>
  </w:style>
  <w:style w:type="character" w:customStyle="1" w:styleId="TijelotekstaChar1">
    <w:name w:val="Tijelo teksta Char1"/>
    <w:aliases w:val="uvlaka 2 Char2,uvlaka 3 Char1,uvlaka 2 Char1"/>
    <w:basedOn w:val="Zadanifontodlomka"/>
    <w:semiHidden/>
    <w:rsid w:val="00E541EE"/>
    <w:rPr>
      <w:rFonts w:asciiTheme="minorHAnsi" w:eastAsiaTheme="minorHAnsi" w:hAnsiTheme="minorHAnsi" w:cstheme="minorBidi"/>
      <w:szCs w:val="22"/>
      <w:lang w:eastAsia="en-US"/>
    </w:rPr>
  </w:style>
  <w:style w:type="paragraph" w:styleId="Uvuenotijeloteksta">
    <w:name w:val="Body Text Indent"/>
    <w:basedOn w:val="Normal"/>
    <w:link w:val="UvuenotijelotekstaChar"/>
    <w:unhideWhenUsed/>
    <w:qFormat/>
    <w:rsid w:val="00E541EE"/>
    <w:pPr>
      <w:spacing w:after="120"/>
      <w:ind w:left="283"/>
    </w:pPr>
    <w:rPr>
      <w:rFonts w:ascii="Times New Roman" w:eastAsia="Times New Roman" w:hAnsi="Times New Roman" w:cs="Times New Roman"/>
      <w:sz w:val="24"/>
      <w:szCs w:val="24"/>
      <w:lang w:eastAsia="en-US"/>
    </w:rPr>
  </w:style>
  <w:style w:type="character" w:customStyle="1" w:styleId="UvuenotijelotekstaChar">
    <w:name w:val="Uvučeno tijelo teksta Char"/>
    <w:basedOn w:val="Zadanifontodlomka"/>
    <w:link w:val="Uvuenotijeloteksta"/>
    <w:rsid w:val="00E541EE"/>
    <w:rPr>
      <w:rFonts w:ascii="Times New Roman" w:eastAsia="Times New Roman" w:hAnsi="Times New Roman" w:cs="Times New Roman"/>
      <w:sz w:val="24"/>
      <w:szCs w:val="24"/>
      <w:lang w:eastAsia="en-US"/>
    </w:rPr>
  </w:style>
  <w:style w:type="paragraph" w:styleId="Tijeloteksta2">
    <w:name w:val="Body Text 2"/>
    <w:basedOn w:val="Normal"/>
    <w:link w:val="Tijeloteksta2Char"/>
    <w:semiHidden/>
    <w:unhideWhenUsed/>
    <w:qFormat/>
    <w:rsid w:val="00E541EE"/>
    <w:pPr>
      <w:spacing w:after="120" w:line="480" w:lineRule="auto"/>
    </w:pPr>
    <w:rPr>
      <w:rFonts w:ascii="Times New Roman" w:eastAsia="Times New Roman" w:hAnsi="Times New Roman" w:cs="Times New Roman"/>
      <w:sz w:val="24"/>
      <w:szCs w:val="24"/>
      <w:lang w:eastAsia="en-US"/>
    </w:rPr>
  </w:style>
  <w:style w:type="character" w:customStyle="1" w:styleId="Tijeloteksta2Char">
    <w:name w:val="Tijelo teksta 2 Char"/>
    <w:basedOn w:val="Zadanifontodlomka"/>
    <w:link w:val="Tijeloteksta2"/>
    <w:semiHidden/>
    <w:rsid w:val="00E541EE"/>
    <w:rPr>
      <w:rFonts w:ascii="Times New Roman" w:eastAsia="Times New Roman" w:hAnsi="Times New Roman" w:cs="Times New Roman"/>
      <w:sz w:val="24"/>
      <w:szCs w:val="24"/>
      <w:lang w:eastAsia="en-US"/>
    </w:rPr>
  </w:style>
  <w:style w:type="paragraph" w:styleId="Tijeloteksta3">
    <w:name w:val="Body Text 3"/>
    <w:basedOn w:val="Normal"/>
    <w:link w:val="Tijeloteksta3Char"/>
    <w:uiPriority w:val="99"/>
    <w:unhideWhenUsed/>
    <w:qFormat/>
    <w:rsid w:val="00E541EE"/>
    <w:pPr>
      <w:spacing w:after="120" w:line="276" w:lineRule="auto"/>
    </w:pPr>
    <w:rPr>
      <w:rFonts w:asciiTheme="minorHAnsi" w:eastAsiaTheme="minorHAnsi" w:hAnsiTheme="minorHAnsi" w:cstheme="minorBidi"/>
      <w:sz w:val="16"/>
      <w:szCs w:val="16"/>
      <w:lang w:eastAsia="en-US"/>
    </w:rPr>
  </w:style>
  <w:style w:type="character" w:customStyle="1" w:styleId="Tijeloteksta3Char">
    <w:name w:val="Tijelo teksta 3 Char"/>
    <w:basedOn w:val="Zadanifontodlomka"/>
    <w:link w:val="Tijeloteksta3"/>
    <w:uiPriority w:val="99"/>
    <w:rsid w:val="00E541EE"/>
    <w:rPr>
      <w:rFonts w:asciiTheme="minorHAnsi" w:eastAsiaTheme="minorHAnsi" w:hAnsiTheme="minorHAnsi" w:cstheme="minorBidi"/>
      <w:sz w:val="16"/>
      <w:szCs w:val="16"/>
      <w:lang w:eastAsia="en-US"/>
    </w:rPr>
  </w:style>
  <w:style w:type="paragraph" w:styleId="Tijeloteksta-uvlaka2">
    <w:name w:val="Body Text Indent 2"/>
    <w:basedOn w:val="Normal"/>
    <w:link w:val="Tijeloteksta-uvlaka2Char"/>
    <w:unhideWhenUsed/>
    <w:qFormat/>
    <w:rsid w:val="00E541EE"/>
    <w:pPr>
      <w:spacing w:after="120" w:line="480" w:lineRule="auto"/>
      <w:ind w:left="283"/>
    </w:pPr>
    <w:rPr>
      <w:rFonts w:ascii="Times New Roman" w:eastAsia="Times New Roman" w:hAnsi="Times New Roman" w:cs="Times New Roman"/>
      <w:sz w:val="24"/>
      <w:szCs w:val="24"/>
      <w:lang w:eastAsia="en-US"/>
    </w:rPr>
  </w:style>
  <w:style w:type="character" w:customStyle="1" w:styleId="Tijeloteksta-uvlaka2Char">
    <w:name w:val="Tijelo teksta - uvlaka 2 Char"/>
    <w:basedOn w:val="Zadanifontodlomka"/>
    <w:link w:val="Tijeloteksta-uvlaka2"/>
    <w:qFormat/>
    <w:rsid w:val="00E541EE"/>
    <w:rPr>
      <w:rFonts w:ascii="Times New Roman" w:eastAsia="Times New Roman" w:hAnsi="Times New Roman" w:cs="Times New Roman"/>
      <w:sz w:val="24"/>
      <w:szCs w:val="24"/>
      <w:lang w:eastAsia="en-US"/>
    </w:rPr>
  </w:style>
  <w:style w:type="paragraph" w:styleId="Tijeloteksta-uvlaka3">
    <w:name w:val="Body Text Indent 3"/>
    <w:basedOn w:val="Normal"/>
    <w:link w:val="Tijeloteksta-uvlaka3Char"/>
    <w:semiHidden/>
    <w:unhideWhenUsed/>
    <w:qFormat/>
    <w:rsid w:val="00E541EE"/>
    <w:pPr>
      <w:spacing w:after="120"/>
      <w:ind w:left="283"/>
    </w:pPr>
    <w:rPr>
      <w:rFonts w:ascii="Times New Roman" w:hAnsi="Times New Roman" w:cs="Times New Roman"/>
      <w:sz w:val="16"/>
      <w:szCs w:val="16"/>
      <w:lang w:eastAsia="en-US"/>
    </w:rPr>
  </w:style>
  <w:style w:type="character" w:customStyle="1" w:styleId="Tijeloteksta-uvlaka3Char">
    <w:name w:val="Tijelo teksta - uvlaka 3 Char"/>
    <w:basedOn w:val="Zadanifontodlomka"/>
    <w:link w:val="Tijeloteksta-uvlaka3"/>
    <w:semiHidden/>
    <w:rsid w:val="00E541EE"/>
    <w:rPr>
      <w:rFonts w:ascii="Times New Roman" w:hAnsi="Times New Roman" w:cs="Times New Roman"/>
      <w:sz w:val="16"/>
      <w:szCs w:val="16"/>
      <w:lang w:eastAsia="en-US"/>
    </w:rPr>
  </w:style>
  <w:style w:type="paragraph" w:styleId="Kartadokumenta">
    <w:name w:val="Document Map"/>
    <w:basedOn w:val="Normal"/>
    <w:link w:val="KartadokumentaChar"/>
    <w:semiHidden/>
    <w:unhideWhenUsed/>
    <w:qFormat/>
    <w:rsid w:val="00E541EE"/>
    <w:pPr>
      <w:shd w:val="clear" w:color="auto" w:fill="000080"/>
    </w:pPr>
    <w:rPr>
      <w:rFonts w:ascii="Tahoma" w:eastAsia="Times New Roman" w:hAnsi="Tahoma" w:cs="Tahoma"/>
      <w:sz w:val="20"/>
      <w:lang w:eastAsia="en-US"/>
    </w:rPr>
  </w:style>
  <w:style w:type="character" w:customStyle="1" w:styleId="KartadokumentaChar">
    <w:name w:val="Karta dokumenta Char"/>
    <w:basedOn w:val="Zadanifontodlomka"/>
    <w:link w:val="Kartadokumenta"/>
    <w:semiHidden/>
    <w:rsid w:val="00E541EE"/>
    <w:rPr>
      <w:rFonts w:ascii="Tahoma" w:eastAsia="Times New Roman" w:hAnsi="Tahoma" w:cs="Tahoma"/>
      <w:sz w:val="20"/>
      <w:shd w:val="clear" w:color="auto" w:fill="000080"/>
      <w:lang w:eastAsia="en-US"/>
    </w:rPr>
  </w:style>
  <w:style w:type="paragraph" w:styleId="Predmetkomentara">
    <w:name w:val="annotation subject"/>
    <w:basedOn w:val="Tekstkomentara"/>
    <w:next w:val="Tekstkomentara"/>
    <w:link w:val="PredmetkomentaraChar"/>
    <w:uiPriority w:val="99"/>
    <w:semiHidden/>
    <w:unhideWhenUsed/>
    <w:qFormat/>
    <w:rsid w:val="00E541EE"/>
    <w:rPr>
      <w:b/>
      <w:bCs/>
    </w:rPr>
  </w:style>
  <w:style w:type="character" w:customStyle="1" w:styleId="PredmetkomentaraChar">
    <w:name w:val="Predmet komentara Char"/>
    <w:basedOn w:val="TekstkomentaraChar"/>
    <w:link w:val="Predmetkomentara"/>
    <w:uiPriority w:val="99"/>
    <w:semiHidden/>
    <w:rsid w:val="00E541EE"/>
    <w:rPr>
      <w:rFonts w:asciiTheme="minorHAnsi" w:eastAsiaTheme="minorHAnsi" w:hAnsiTheme="minorHAnsi" w:cstheme="minorBidi"/>
      <w:b/>
      <w:bCs/>
      <w:sz w:val="20"/>
      <w:lang w:eastAsia="en-US"/>
    </w:rPr>
  </w:style>
  <w:style w:type="paragraph" w:styleId="Bezproreda">
    <w:name w:val="No Spacing"/>
    <w:uiPriority w:val="1"/>
    <w:qFormat/>
    <w:rsid w:val="00E541EE"/>
    <w:rPr>
      <w:rFonts w:cs="Times New Roman"/>
      <w:szCs w:val="22"/>
      <w:lang w:eastAsia="en-US"/>
    </w:rPr>
  </w:style>
  <w:style w:type="paragraph" w:styleId="Odlomakpopisa">
    <w:name w:val="List Paragraph"/>
    <w:basedOn w:val="Normal"/>
    <w:uiPriority w:val="34"/>
    <w:qFormat/>
    <w:rsid w:val="00E541EE"/>
    <w:pPr>
      <w:ind w:left="720"/>
      <w:contextualSpacing/>
    </w:pPr>
    <w:rPr>
      <w:rFonts w:ascii="Arial" w:eastAsia="Times New Roman" w:hAnsi="Arial" w:cs="Arial"/>
      <w:sz w:val="24"/>
      <w:szCs w:val="24"/>
      <w:lang w:val="en-GB" w:eastAsia="en-US"/>
    </w:rPr>
  </w:style>
  <w:style w:type="paragraph" w:customStyle="1" w:styleId="TableParagraph">
    <w:name w:val="Table Paragraph"/>
    <w:basedOn w:val="Normal"/>
    <w:uiPriority w:val="1"/>
    <w:qFormat/>
    <w:rsid w:val="00E541EE"/>
    <w:pPr>
      <w:widowControl w:val="0"/>
      <w:autoSpaceDE w:val="0"/>
      <w:autoSpaceDN w:val="0"/>
    </w:pPr>
    <w:rPr>
      <w:szCs w:val="22"/>
      <w:lang w:eastAsia="en-US"/>
    </w:rPr>
  </w:style>
  <w:style w:type="paragraph" w:customStyle="1" w:styleId="Default">
    <w:name w:val="Default"/>
    <w:qFormat/>
    <w:rsid w:val="00E541EE"/>
    <w:pPr>
      <w:autoSpaceDE w:val="0"/>
      <w:autoSpaceDN w:val="0"/>
      <w:adjustRightInd w:val="0"/>
    </w:pPr>
    <w:rPr>
      <w:rFonts w:ascii="Times New Roman" w:hAnsi="Times New Roman" w:cs="Times New Roman"/>
      <w:color w:val="000000"/>
      <w:sz w:val="24"/>
      <w:szCs w:val="24"/>
      <w:lang w:eastAsia="en-US"/>
    </w:rPr>
  </w:style>
  <w:style w:type="paragraph" w:customStyle="1" w:styleId="Heading21">
    <w:name w:val="Heading 21"/>
    <w:basedOn w:val="Normal"/>
    <w:next w:val="Normal"/>
    <w:qFormat/>
    <w:rsid w:val="00E541EE"/>
    <w:pPr>
      <w:keepNext/>
      <w:keepLines/>
      <w:spacing w:before="40" w:line="276" w:lineRule="auto"/>
      <w:outlineLvl w:val="1"/>
    </w:pPr>
    <w:rPr>
      <w:rFonts w:ascii="Calibri Light" w:eastAsia="SimSun" w:hAnsi="Calibri Light" w:cs="Times New Roman"/>
      <w:color w:val="2E74B5"/>
      <w:sz w:val="26"/>
      <w:szCs w:val="26"/>
      <w:lang w:eastAsia="en-US"/>
    </w:rPr>
  </w:style>
  <w:style w:type="paragraph" w:customStyle="1" w:styleId="ListParagraph1">
    <w:name w:val="List Paragraph1"/>
    <w:basedOn w:val="Normal"/>
    <w:qFormat/>
    <w:rsid w:val="00E541EE"/>
    <w:pPr>
      <w:ind w:left="720"/>
    </w:pPr>
    <w:rPr>
      <w:rFonts w:ascii="Times New Roman" w:eastAsia="Times New Roman" w:hAnsi="Times New Roman" w:cs="Times New Roman"/>
      <w:sz w:val="24"/>
      <w:szCs w:val="24"/>
      <w:lang w:eastAsia="en-US"/>
    </w:rPr>
  </w:style>
  <w:style w:type="paragraph" w:customStyle="1" w:styleId="western">
    <w:name w:val="western"/>
    <w:basedOn w:val="Normal"/>
    <w:qFormat/>
    <w:rsid w:val="00E541EE"/>
    <w:pPr>
      <w:spacing w:before="100" w:beforeAutospacing="1" w:after="119"/>
    </w:pPr>
    <w:rPr>
      <w:rFonts w:ascii="AGaramond" w:eastAsia="Times New Roman" w:hAnsi="AGaramond" w:cs="Times New Roman"/>
      <w:sz w:val="24"/>
      <w:szCs w:val="24"/>
    </w:rPr>
  </w:style>
  <w:style w:type="paragraph" w:customStyle="1" w:styleId="Tijeloteksta21">
    <w:name w:val="Tijelo teksta 21"/>
    <w:basedOn w:val="Normal"/>
    <w:uiPriority w:val="99"/>
    <w:qFormat/>
    <w:rsid w:val="00E541EE"/>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s>
      <w:overflowPunct w:val="0"/>
      <w:autoSpaceDE w:val="0"/>
      <w:autoSpaceDN w:val="0"/>
      <w:adjustRightInd w:val="0"/>
      <w:spacing w:after="80"/>
      <w:jc w:val="both"/>
    </w:pPr>
    <w:rPr>
      <w:rFonts w:ascii="Arial" w:eastAsia="Times New Roman" w:hAnsi="Arial" w:cs="Times New Roman"/>
      <w:sz w:val="28"/>
    </w:rPr>
  </w:style>
  <w:style w:type="paragraph" w:customStyle="1" w:styleId="Normal1">
    <w:name w:val="Normal1"/>
    <w:qFormat/>
    <w:rsid w:val="00E541EE"/>
    <w:pPr>
      <w:spacing w:line="276" w:lineRule="auto"/>
    </w:pPr>
    <w:rPr>
      <w:rFonts w:ascii="Arial" w:eastAsia="Arial" w:hAnsi="Arial" w:cs="Arial"/>
      <w:szCs w:val="22"/>
    </w:rPr>
  </w:style>
  <w:style w:type="paragraph" w:customStyle="1" w:styleId="Standard">
    <w:name w:val="Standard"/>
    <w:qFormat/>
    <w:rsid w:val="00E541EE"/>
    <w:pPr>
      <w:suppressAutoHyphens/>
      <w:autoSpaceDN w:val="0"/>
      <w:spacing w:before="40" w:after="160" w:line="288" w:lineRule="auto"/>
    </w:pPr>
    <w:rPr>
      <w:rFonts w:ascii="Cambria" w:eastAsia="Cambria" w:hAnsi="Cambria" w:cs="Tahoma"/>
      <w:color w:val="595959"/>
      <w:kern w:val="3"/>
      <w:sz w:val="20"/>
    </w:rPr>
  </w:style>
  <w:style w:type="paragraph" w:customStyle="1" w:styleId="NoSpacing1">
    <w:name w:val="No Spacing1"/>
    <w:qFormat/>
    <w:rsid w:val="00E541EE"/>
    <w:rPr>
      <w:rFonts w:cs="Times New Roman"/>
      <w:szCs w:val="22"/>
      <w:lang w:eastAsia="en-US"/>
    </w:rPr>
  </w:style>
  <w:style w:type="paragraph" w:customStyle="1" w:styleId="m-3999646092548177532standard">
    <w:name w:val="m_-3999646092548177532standard"/>
    <w:basedOn w:val="Normal"/>
    <w:qFormat/>
    <w:rsid w:val="00E541EE"/>
    <w:pPr>
      <w:autoSpaceDN w:val="0"/>
      <w:spacing w:before="100" w:after="100"/>
    </w:pPr>
    <w:rPr>
      <w:szCs w:val="22"/>
    </w:rPr>
  </w:style>
  <w:style w:type="character" w:styleId="Referencakomentara">
    <w:name w:val="annotation reference"/>
    <w:basedOn w:val="Zadanifontodlomka"/>
    <w:uiPriority w:val="99"/>
    <w:semiHidden/>
    <w:unhideWhenUsed/>
    <w:rsid w:val="00E541EE"/>
    <w:rPr>
      <w:sz w:val="16"/>
      <w:szCs w:val="16"/>
    </w:rPr>
  </w:style>
  <w:style w:type="character" w:customStyle="1" w:styleId="FollowedHyperlink1">
    <w:name w:val="FollowedHyperlink1"/>
    <w:basedOn w:val="Zadanifontodlomka"/>
    <w:uiPriority w:val="99"/>
    <w:semiHidden/>
    <w:qFormat/>
    <w:rsid w:val="00E541EE"/>
    <w:rPr>
      <w:color w:val="954F72"/>
      <w:u w:val="single"/>
    </w:rPr>
  </w:style>
  <w:style w:type="character" w:customStyle="1" w:styleId="Hyperlink1">
    <w:name w:val="Hyperlink1"/>
    <w:basedOn w:val="Zadanifontodlomka"/>
    <w:rsid w:val="00E541EE"/>
    <w:rPr>
      <w:color w:val="0563C1"/>
      <w:u w:val="single"/>
    </w:rPr>
  </w:style>
  <w:style w:type="character" w:customStyle="1" w:styleId="FooterChar1">
    <w:name w:val="Footer Char1"/>
    <w:rsid w:val="00E541EE"/>
    <w:rPr>
      <w:rFonts w:ascii="Times New Roman" w:eastAsia="Times New Roman" w:hAnsi="Times New Roman" w:cs="Times New Roman" w:hint="default"/>
      <w:sz w:val="24"/>
      <w:szCs w:val="24"/>
      <w:lang w:val="zh-CN"/>
    </w:rPr>
  </w:style>
  <w:style w:type="character" w:customStyle="1" w:styleId="CharChar">
    <w:name w:val="Char Char"/>
    <w:qFormat/>
    <w:locked/>
    <w:rsid w:val="00E541EE"/>
    <w:rPr>
      <w:rFonts w:ascii="Calibri" w:eastAsia="Calibri" w:hAnsi="Calibri" w:cs="Calibri" w:hint="default"/>
      <w:sz w:val="16"/>
      <w:szCs w:val="16"/>
      <w:lang w:val="hr-HR" w:eastAsia="en-US" w:bidi="ar-SA"/>
    </w:rPr>
  </w:style>
  <w:style w:type="character" w:customStyle="1" w:styleId="apple-converted-space">
    <w:name w:val="apple-converted-space"/>
    <w:basedOn w:val="Zadanifontodlomka"/>
    <w:rsid w:val="00E541EE"/>
  </w:style>
  <w:style w:type="character" w:customStyle="1" w:styleId="CharChar7">
    <w:name w:val="Char Char7"/>
    <w:rsid w:val="00E541EE"/>
    <w:rPr>
      <w:rFonts w:ascii="Arial" w:eastAsia="Times New Roman" w:hAnsi="Arial" w:cs="Times New Roman" w:hint="default"/>
      <w:szCs w:val="24"/>
    </w:rPr>
  </w:style>
  <w:style w:type="character" w:customStyle="1" w:styleId="Zadanifontodlomka1">
    <w:name w:val="Zadani font odlomka1"/>
    <w:rsid w:val="00E541EE"/>
  </w:style>
  <w:style w:type="character" w:customStyle="1" w:styleId="SlijeenaHiperveza1">
    <w:name w:val="SlijeđenaHiperveza1"/>
    <w:basedOn w:val="Zadanifontodlomka"/>
    <w:uiPriority w:val="99"/>
    <w:semiHidden/>
    <w:rsid w:val="00E541EE"/>
    <w:rPr>
      <w:color w:val="954F72"/>
      <w:u w:val="single"/>
    </w:rPr>
  </w:style>
  <w:style w:type="character" w:customStyle="1" w:styleId="Zadanifontodlomka2">
    <w:name w:val="Zadani font odlomka2"/>
    <w:qFormat/>
    <w:rsid w:val="00E541EE"/>
  </w:style>
  <w:style w:type="character" w:customStyle="1" w:styleId="Zadanifontodlomka3">
    <w:name w:val="Zadani font odlomka3"/>
    <w:rsid w:val="00E541EE"/>
  </w:style>
  <w:style w:type="character" w:customStyle="1" w:styleId="Heading2Char1">
    <w:name w:val="Heading 2 Char1"/>
    <w:basedOn w:val="Zadanifontodlomka"/>
    <w:uiPriority w:val="9"/>
    <w:semiHidden/>
    <w:rsid w:val="00E541EE"/>
    <w:rPr>
      <w:rFonts w:asciiTheme="majorHAnsi" w:eastAsiaTheme="majorEastAsia" w:hAnsiTheme="majorHAnsi" w:cstheme="majorBidi" w:hint="default"/>
      <w:color w:val="2F5496" w:themeColor="accent1" w:themeShade="BF"/>
      <w:kern w:val="0"/>
      <w:sz w:val="26"/>
      <w:szCs w:val="26"/>
      <w14:ligatures w14:val="none"/>
    </w:rPr>
  </w:style>
  <w:style w:type="character" w:customStyle="1" w:styleId="Zadanifontodlomka4">
    <w:name w:val="Zadani font odlomka4"/>
    <w:rsid w:val="00E541EE"/>
  </w:style>
  <w:style w:type="character" w:customStyle="1" w:styleId="Nerijeenospominjanje1">
    <w:name w:val="Neriješeno spominjanje1"/>
    <w:basedOn w:val="Zadanifontodlomka"/>
    <w:uiPriority w:val="99"/>
    <w:semiHidden/>
    <w:rsid w:val="00E541EE"/>
    <w:rPr>
      <w:color w:val="605E5C"/>
      <w:shd w:val="clear" w:color="auto" w:fill="E1DFDD"/>
    </w:rPr>
  </w:style>
  <w:style w:type="character" w:customStyle="1" w:styleId="HeaderChar1">
    <w:name w:val="Header Char1"/>
    <w:rsid w:val="00E541EE"/>
    <w:rPr>
      <w:rFonts w:ascii="Times New Roman" w:eastAsia="Times New Roman" w:hAnsi="Times New Roman" w:cs="Times New Roman" w:hint="default"/>
      <w:sz w:val="24"/>
      <w:szCs w:val="20"/>
    </w:rPr>
  </w:style>
  <w:style w:type="table" w:styleId="Reetkatablice">
    <w:name w:val="Table Grid"/>
    <w:basedOn w:val="Obinatablica"/>
    <w:qFormat/>
    <w:rsid w:val="00E541EE"/>
    <w:rPr>
      <w:rFonts w:ascii="Times New Roman" w:eastAsia="Times New Roman"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Obinatablica"/>
    <w:qFormat/>
    <w:rsid w:val="00E541EE"/>
    <w:rPr>
      <w:rFonts w:ascii="Times New Roman" w:eastAsia="Times New Roman" w:hAnsi="Times New Roman" w:cs="Times New Roman"/>
      <w:sz w:val="20"/>
    </w:rPr>
    <w:tblPr>
      <w:tblBorders>
        <w:top w:val="single" w:sz="12" w:space="0" w:color="008000"/>
        <w:bottom w:val="single" w:sz="12" w:space="0" w:color="008000"/>
      </w:tblBorders>
    </w:tbl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character" w:styleId="Naglaeno">
    <w:name w:val="Strong"/>
    <w:basedOn w:val="Zadanifontodlomka"/>
    <w:qFormat/>
    <w:rsid w:val="00E541EE"/>
    <w:rPr>
      <w:b/>
      <w:bCs/>
    </w:rPr>
  </w:style>
  <w:style w:type="numbering" w:customStyle="1" w:styleId="WWNum48">
    <w:name w:val="WWNum48"/>
    <w:rsid w:val="00E541EE"/>
    <w:pPr>
      <w:numPr>
        <w:numId w:val="6"/>
      </w:numPr>
    </w:pPr>
  </w:style>
  <w:style w:type="numbering" w:customStyle="1" w:styleId="WWNum49">
    <w:name w:val="WWNum49"/>
    <w:rsid w:val="00E541EE"/>
    <w:pPr>
      <w:numPr>
        <w:numId w:val="9"/>
      </w:numPr>
    </w:pPr>
  </w:style>
  <w:style w:type="numbering" w:customStyle="1" w:styleId="WWNum45">
    <w:name w:val="WWNum45"/>
    <w:rsid w:val="00E541EE"/>
    <w:pPr>
      <w:numPr>
        <w:numId w:val="10"/>
      </w:numPr>
    </w:pPr>
  </w:style>
  <w:style w:type="character" w:customStyle="1" w:styleId="Nerijeenospominjanje2">
    <w:name w:val="Neriješeno spominjanje2"/>
    <w:basedOn w:val="Zadanifontodlomka"/>
    <w:uiPriority w:val="99"/>
    <w:semiHidden/>
    <w:unhideWhenUsed/>
    <w:rsid w:val="00E541EE"/>
    <w:rPr>
      <w:color w:val="605E5C"/>
      <w:shd w:val="clear" w:color="auto" w:fill="E1DFDD"/>
    </w:rPr>
  </w:style>
  <w:style w:type="numbering" w:customStyle="1" w:styleId="NoList1">
    <w:name w:val="No List1"/>
    <w:next w:val="Bezpopisa"/>
    <w:semiHidden/>
    <w:unhideWhenUsed/>
    <w:rsid w:val="00E541EE"/>
  </w:style>
  <w:style w:type="character" w:styleId="Brojstranice">
    <w:name w:val="page number"/>
    <w:basedOn w:val="Zadanifontodlomka"/>
    <w:qFormat/>
    <w:rsid w:val="00E541EE"/>
  </w:style>
  <w:style w:type="numbering" w:customStyle="1" w:styleId="NoList2">
    <w:name w:val="No List2"/>
    <w:next w:val="Bezpopisa"/>
    <w:uiPriority w:val="99"/>
    <w:semiHidden/>
    <w:unhideWhenUsed/>
    <w:rsid w:val="00E541EE"/>
  </w:style>
  <w:style w:type="numbering" w:customStyle="1" w:styleId="Bezpopisa1">
    <w:name w:val="Bez popisa1"/>
    <w:next w:val="Bezpopisa"/>
    <w:uiPriority w:val="99"/>
    <w:semiHidden/>
    <w:unhideWhenUsed/>
    <w:rsid w:val="00E541EE"/>
  </w:style>
  <w:style w:type="numbering" w:customStyle="1" w:styleId="Bezpopisa11">
    <w:name w:val="Bez popisa11"/>
    <w:next w:val="Bezpopisa"/>
    <w:semiHidden/>
    <w:rsid w:val="00E541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62059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oogle.com/search?q=Ekomuzej+%E2%80%9EBatana%E2%80%9C&amp;oq=batana+upis+uNESCO&amp;gs_lcrp=EgZjaHJvbWUyBggAEEUYOTIHCAEQIRigAdIBCTM5NDhqMGoxNagCCLACAfEF-Mig_nsdWm4&amp;sourceid=chrome&amp;ie=UTF-8&amp;mstk=AUtExfCDWTmqOvh5l7in1U0C2wNejh58y5Cshq_07Hr28yBeOuzsH6SftN9SFXeZh1LOhhoK-ca4QE7yPaEaMsg4T7GHi8Oa9iRdvT1Euj3bQseDUYYMuvbQYAq6ZfS-43hmXZY&amp;csui=3&amp;ved=2ahUKEwilqNH-ieiQAxVp7bsIHag6JiYQgK4QegQIAhAC" TargetMode="Externa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Kristina\Downloads\report%20(1).xls"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Kristina\Downloads\report%20(1).xls"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Kristina\Desktop\Knjiga1.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r-HR"/>
              <a:t>Prihodi i primici</a:t>
            </a:r>
            <a:r>
              <a:rPr lang="en-US"/>
              <a:t>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r-Latn-R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0.28017198553632106"/>
          <c:w val="0.60498738794014373"/>
          <c:h val="0.46056224176638283"/>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35DE-4A25-9C9A-14241CD3D847}"/>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35DE-4A25-9C9A-14241CD3D847}"/>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35DE-4A25-9C9A-14241CD3D847}"/>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35DE-4A25-9C9A-14241CD3D847}"/>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35DE-4A25-9C9A-14241CD3D847}"/>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35DE-4A25-9C9A-14241CD3D847}"/>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35DE-4A25-9C9A-14241CD3D847}"/>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35DE-4A25-9C9A-14241CD3D84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List1!$C$5:$C$12</c:f>
              <c:strCache>
                <c:ptCount val="8"/>
                <c:pt idx="0">
                  <c:v>Prihodi od poreza</c:v>
                </c:pt>
                <c:pt idx="1">
                  <c:v>Pomoći iz inozemstva i od subjekata unutar općeg proračuna</c:v>
                </c:pt>
                <c:pt idx="2">
                  <c:v>Prihodi od imovine</c:v>
                </c:pt>
                <c:pt idx="3">
                  <c:v>Prihodi od upravnih i administrativnih pristojbi,</c:v>
                </c:pt>
                <c:pt idx="4">
                  <c:v>Prihodi od prodaje proizvoda i robe te pruženih usluga, prihodi od donacija te povrati po protestiranim jamstvima</c:v>
                </c:pt>
                <c:pt idx="5">
                  <c:v>Kazne, upravne mjere i ostali prihodi</c:v>
                </c:pt>
                <c:pt idx="6">
                  <c:v>Prihodi od prodaje neproizvedene dugotrajne imovine</c:v>
                </c:pt>
                <c:pt idx="7">
                  <c:v>Prihodi od prodaje proizvedene dugotrajne imovine</c:v>
                </c:pt>
              </c:strCache>
            </c:strRef>
          </c:cat>
          <c:val>
            <c:numRef>
              <c:f>List1!$D$5:$D$12</c:f>
              <c:numCache>
                <c:formatCode>0.00</c:formatCode>
                <c:ptCount val="8"/>
                <c:pt idx="0">
                  <c:v>39.350054828984483</c:v>
                </c:pt>
                <c:pt idx="1">
                  <c:v>39.473512495296049</c:v>
                </c:pt>
                <c:pt idx="2">
                  <c:v>4.046122179008492</c:v>
                </c:pt>
                <c:pt idx="3">
                  <c:v>13.566421109946511</c:v>
                </c:pt>
                <c:pt idx="4">
                  <c:v>0.95083293291106774</c:v>
                </c:pt>
                <c:pt idx="5">
                  <c:v>0.12759696960699973</c:v>
                </c:pt>
                <c:pt idx="6">
                  <c:v>2.2576898888591539</c:v>
                </c:pt>
                <c:pt idx="7">
                  <c:v>0.22</c:v>
                </c:pt>
              </c:numCache>
            </c:numRef>
          </c:val>
          <c:extLst>
            <c:ext xmlns:c16="http://schemas.microsoft.com/office/drawing/2014/chart" uri="{C3380CC4-5D6E-409C-BE32-E72D297353CC}">
              <c16:uniqueId val="{00000010-35DE-4A25-9C9A-14241CD3D847}"/>
            </c:ext>
          </c:extLst>
        </c:ser>
        <c:dLbls>
          <c:dLblPos val="bestFit"/>
          <c:showLegendKey val="0"/>
          <c:showVal val="1"/>
          <c:showCatName val="0"/>
          <c:showSerName val="0"/>
          <c:showPercent val="0"/>
          <c:showBubbleSize val="0"/>
          <c:showLeaderLines val="1"/>
        </c:dLbls>
      </c:pie3DChart>
      <c:spPr>
        <a:noFill/>
        <a:ln>
          <a:noFill/>
        </a:ln>
        <a:effectLst/>
      </c:spPr>
    </c:plotArea>
    <c:legend>
      <c:legendPos val="b"/>
      <c:layout>
        <c:manualLayout>
          <c:xMode val="edge"/>
          <c:yMode val="edge"/>
          <c:x val="0.51204067181424617"/>
          <c:y val="0.15065265540692171"/>
          <c:w val="0.4879592627523231"/>
          <c:h val="0.8493472915817983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r>
              <a:rPr lang="hr-HR"/>
              <a:t>R</a:t>
            </a:r>
            <a:r>
              <a:rPr lang="en-US"/>
              <a:t>ashodi prema</a:t>
            </a:r>
            <a:r>
              <a:rPr lang="hr-HR"/>
              <a:t> izvorima financiranja</a:t>
            </a:r>
            <a:endParaRPr lang="en-US"/>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0.24312044327792359"/>
          <c:w val="0.68315972222222232"/>
          <c:h val="0.50896580635753863"/>
        </c:manualLayout>
      </c:layout>
      <c:pie3DChart>
        <c:varyColors val="1"/>
        <c:ser>
          <c:idx val="0"/>
          <c:order val="0"/>
          <c:explosion val="3"/>
          <c:dPt>
            <c:idx val="0"/>
            <c:bubble3D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a:noFill/>
              </a:ln>
              <a:effectLst/>
              <a:sp3d/>
            </c:spPr>
            <c:extLst>
              <c:ext xmlns:c16="http://schemas.microsoft.com/office/drawing/2014/chart" uri="{C3380CC4-5D6E-409C-BE32-E72D297353CC}">
                <c16:uniqueId val="{00000001-3932-4CFA-9095-F6DF4F26D4DB}"/>
              </c:ext>
            </c:extLst>
          </c:dPt>
          <c:dPt>
            <c:idx val="1"/>
            <c:bubble3D val="0"/>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a:noFill/>
              </a:ln>
              <a:effectLst/>
              <a:sp3d/>
            </c:spPr>
            <c:extLst>
              <c:ext xmlns:c16="http://schemas.microsoft.com/office/drawing/2014/chart" uri="{C3380CC4-5D6E-409C-BE32-E72D297353CC}">
                <c16:uniqueId val="{00000003-3932-4CFA-9095-F6DF4F26D4DB}"/>
              </c:ext>
            </c:extLst>
          </c:dPt>
          <c:dPt>
            <c:idx val="2"/>
            <c:bubble3D val="0"/>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a:noFill/>
              </a:ln>
              <a:effectLst/>
              <a:sp3d/>
            </c:spPr>
            <c:extLst>
              <c:ext xmlns:c16="http://schemas.microsoft.com/office/drawing/2014/chart" uri="{C3380CC4-5D6E-409C-BE32-E72D297353CC}">
                <c16:uniqueId val="{00000005-3932-4CFA-9095-F6DF4F26D4DB}"/>
              </c:ext>
            </c:extLst>
          </c:dPt>
          <c:dPt>
            <c:idx val="3"/>
            <c:bubble3D val="0"/>
            <c:spPr>
              <a:gradFill rotWithShape="1">
                <a:gsLst>
                  <a:gs pos="0">
                    <a:schemeClr val="accent4">
                      <a:lumMod val="110000"/>
                      <a:satMod val="105000"/>
                      <a:tint val="67000"/>
                    </a:schemeClr>
                  </a:gs>
                  <a:gs pos="50000">
                    <a:schemeClr val="accent4">
                      <a:lumMod val="105000"/>
                      <a:satMod val="103000"/>
                      <a:tint val="73000"/>
                    </a:schemeClr>
                  </a:gs>
                  <a:gs pos="100000">
                    <a:schemeClr val="accent4">
                      <a:lumMod val="105000"/>
                      <a:satMod val="109000"/>
                      <a:tint val="81000"/>
                    </a:schemeClr>
                  </a:gs>
                </a:gsLst>
                <a:lin ang="5400000" scaled="0"/>
              </a:gradFill>
              <a:ln>
                <a:noFill/>
              </a:ln>
              <a:effectLst/>
              <a:sp3d/>
            </c:spPr>
            <c:extLst>
              <c:ext xmlns:c16="http://schemas.microsoft.com/office/drawing/2014/chart" uri="{C3380CC4-5D6E-409C-BE32-E72D297353CC}">
                <c16:uniqueId val="{00000007-3932-4CFA-9095-F6DF4F26D4DB}"/>
              </c:ext>
            </c:extLst>
          </c:dPt>
          <c:dPt>
            <c:idx val="4"/>
            <c:bubble3D val="0"/>
            <c:spPr>
              <a:gradFill rotWithShape="1">
                <a:gsLst>
                  <a:gs pos="0">
                    <a:schemeClr val="accent5">
                      <a:lumMod val="110000"/>
                      <a:satMod val="105000"/>
                      <a:tint val="67000"/>
                    </a:schemeClr>
                  </a:gs>
                  <a:gs pos="50000">
                    <a:schemeClr val="accent5">
                      <a:lumMod val="105000"/>
                      <a:satMod val="103000"/>
                      <a:tint val="73000"/>
                    </a:schemeClr>
                  </a:gs>
                  <a:gs pos="100000">
                    <a:schemeClr val="accent5">
                      <a:lumMod val="105000"/>
                      <a:satMod val="109000"/>
                      <a:tint val="81000"/>
                    </a:schemeClr>
                  </a:gs>
                </a:gsLst>
                <a:lin ang="5400000" scaled="0"/>
              </a:gradFill>
              <a:ln>
                <a:noFill/>
              </a:ln>
              <a:effectLst/>
              <a:sp3d/>
            </c:spPr>
            <c:extLst>
              <c:ext xmlns:c16="http://schemas.microsoft.com/office/drawing/2014/chart" uri="{C3380CC4-5D6E-409C-BE32-E72D297353CC}">
                <c16:uniqueId val="{00000009-3932-4CFA-9095-F6DF4F26D4DB}"/>
              </c:ext>
            </c:extLst>
          </c:dPt>
          <c:dPt>
            <c:idx val="5"/>
            <c:bubble3D val="0"/>
            <c:spPr>
              <a:gradFill rotWithShape="1">
                <a:gsLst>
                  <a:gs pos="0">
                    <a:schemeClr val="accent6">
                      <a:lumMod val="110000"/>
                      <a:satMod val="105000"/>
                      <a:tint val="67000"/>
                    </a:schemeClr>
                  </a:gs>
                  <a:gs pos="50000">
                    <a:schemeClr val="accent6">
                      <a:lumMod val="105000"/>
                      <a:satMod val="103000"/>
                      <a:tint val="73000"/>
                    </a:schemeClr>
                  </a:gs>
                  <a:gs pos="100000">
                    <a:schemeClr val="accent6">
                      <a:lumMod val="105000"/>
                      <a:satMod val="109000"/>
                      <a:tint val="81000"/>
                    </a:schemeClr>
                  </a:gs>
                </a:gsLst>
                <a:lin ang="5400000" scaled="0"/>
              </a:gradFill>
              <a:ln>
                <a:noFill/>
              </a:ln>
              <a:effectLst/>
              <a:sp3d/>
            </c:spPr>
            <c:extLst>
              <c:ext xmlns:c16="http://schemas.microsoft.com/office/drawing/2014/chart" uri="{C3380CC4-5D6E-409C-BE32-E72D297353CC}">
                <c16:uniqueId val="{0000000B-3932-4CFA-9095-F6DF4F26D4DB}"/>
              </c:ext>
            </c:extLst>
          </c:dPt>
          <c:dLbls>
            <c:dLbl>
              <c:idx val="1"/>
              <c:tx>
                <c:rich>
                  <a:bodyPr/>
                  <a:lstStyle/>
                  <a:p>
                    <a:r>
                      <a:rPr lang="en-US"/>
                      <a:t>0,53</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3932-4CFA-9095-F6DF4F26D4D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65000"/>
                        <a:lumOff val="35000"/>
                      </a:schemeClr>
                    </a:solidFill>
                    <a:latin typeface="+mn-lt"/>
                    <a:ea typeface="+mn-ea"/>
                    <a:cs typeface="+mn-cs"/>
                  </a:defRPr>
                </a:pPr>
                <a:endParaRPr lang="sr-Latn-RS"/>
              </a:p>
            </c:txPr>
            <c:dLblPos val="bestFit"/>
            <c:showLegendKey val="0"/>
            <c:showVal val="1"/>
            <c:showCatName val="0"/>
            <c:showSerName val="0"/>
            <c:showPercent val="0"/>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List2!$B$3:$B$8</c:f>
              <c:strCache>
                <c:ptCount val="6"/>
                <c:pt idx="0">
                  <c:v>Opći prihodi i primici</c:v>
                </c:pt>
                <c:pt idx="1">
                  <c:v>Vlastiti prihodi</c:v>
                </c:pt>
                <c:pt idx="2">
                  <c:v>Prihodi za posebne namjene</c:v>
                </c:pt>
                <c:pt idx="3">
                  <c:v>Pomoći</c:v>
                </c:pt>
                <c:pt idx="4">
                  <c:v>Donacije</c:v>
                </c:pt>
                <c:pt idx="5">
                  <c:v>Prihodi od prodaje nefinacijske imovine</c:v>
                </c:pt>
              </c:strCache>
            </c:strRef>
          </c:cat>
          <c:val>
            <c:numRef>
              <c:f>List2!$C$3:$C$8</c:f>
              <c:numCache>
                <c:formatCode>0.00</c:formatCode>
                <c:ptCount val="6"/>
                <c:pt idx="0">
                  <c:v>56.84</c:v>
                </c:pt>
                <c:pt idx="1">
                  <c:v>0.52</c:v>
                </c:pt>
                <c:pt idx="2">
                  <c:v>11.45</c:v>
                </c:pt>
                <c:pt idx="3">
                  <c:v>29.05</c:v>
                </c:pt>
                <c:pt idx="4">
                  <c:v>0.3</c:v>
                </c:pt>
                <c:pt idx="5">
                  <c:v>1.83</c:v>
                </c:pt>
              </c:numCache>
            </c:numRef>
          </c:val>
          <c:extLst>
            <c:ext xmlns:c16="http://schemas.microsoft.com/office/drawing/2014/chart" uri="{C3380CC4-5D6E-409C-BE32-E72D297353CC}">
              <c16:uniqueId val="{0000000C-3932-4CFA-9095-F6DF4F26D4DB}"/>
            </c:ext>
          </c:extLst>
        </c:ser>
        <c:dLbls>
          <c:dLblPos val="bestFit"/>
          <c:showLegendKey val="0"/>
          <c:showVal val="1"/>
          <c:showCatName val="0"/>
          <c:showSerName val="0"/>
          <c:showPercent val="0"/>
          <c:showBubbleSize val="0"/>
          <c:showLeaderLines val="1"/>
        </c:dLbls>
      </c:pie3DChart>
      <c:spPr>
        <a:noFill/>
        <a:ln>
          <a:noFill/>
        </a:ln>
        <a:effectLst/>
      </c:spPr>
    </c:plotArea>
    <c:legend>
      <c:legendPos val="b"/>
      <c:layout>
        <c:manualLayout>
          <c:xMode val="edge"/>
          <c:yMode val="edge"/>
          <c:x val="0.56747840294797591"/>
          <c:y val="0.2160171240730831"/>
          <c:w val="0.40367454068241471"/>
          <c:h val="0.7192579568330658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r>
              <a:rPr lang="hr-HR"/>
              <a:t>Rashodi po funkcijskoj klasifikaciji </a:t>
            </a:r>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endParaRPr lang="sr-Latn-R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1560778615119464E-2"/>
          <c:y val="0.23725393700787401"/>
          <c:w val="0.42786100503531477"/>
          <c:h val="0.50479768153980753"/>
        </c:manualLayout>
      </c:layout>
      <c:pie3DChart>
        <c:varyColors val="1"/>
        <c:ser>
          <c:idx val="0"/>
          <c:order val="0"/>
          <c:dPt>
            <c:idx val="0"/>
            <c:bubble3D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a:noFill/>
              </a:ln>
              <a:effectLst/>
              <a:sp3d/>
            </c:spPr>
            <c:extLst>
              <c:ext xmlns:c16="http://schemas.microsoft.com/office/drawing/2014/chart" uri="{C3380CC4-5D6E-409C-BE32-E72D297353CC}">
                <c16:uniqueId val="{00000001-C60A-4182-9D7D-8C398F780827}"/>
              </c:ext>
            </c:extLst>
          </c:dPt>
          <c:dPt>
            <c:idx val="1"/>
            <c:bubble3D val="0"/>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a:noFill/>
              </a:ln>
              <a:effectLst/>
              <a:sp3d/>
            </c:spPr>
            <c:extLst>
              <c:ext xmlns:c16="http://schemas.microsoft.com/office/drawing/2014/chart" uri="{C3380CC4-5D6E-409C-BE32-E72D297353CC}">
                <c16:uniqueId val="{00000003-C60A-4182-9D7D-8C398F780827}"/>
              </c:ext>
            </c:extLst>
          </c:dPt>
          <c:dPt>
            <c:idx val="2"/>
            <c:bubble3D val="0"/>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a:noFill/>
              </a:ln>
              <a:effectLst/>
              <a:sp3d/>
            </c:spPr>
            <c:extLst>
              <c:ext xmlns:c16="http://schemas.microsoft.com/office/drawing/2014/chart" uri="{C3380CC4-5D6E-409C-BE32-E72D297353CC}">
                <c16:uniqueId val="{00000005-C60A-4182-9D7D-8C398F780827}"/>
              </c:ext>
            </c:extLst>
          </c:dPt>
          <c:dPt>
            <c:idx val="3"/>
            <c:bubble3D val="0"/>
            <c:spPr>
              <a:gradFill rotWithShape="1">
                <a:gsLst>
                  <a:gs pos="0">
                    <a:schemeClr val="accent4">
                      <a:lumMod val="110000"/>
                      <a:satMod val="105000"/>
                      <a:tint val="67000"/>
                    </a:schemeClr>
                  </a:gs>
                  <a:gs pos="50000">
                    <a:schemeClr val="accent4">
                      <a:lumMod val="105000"/>
                      <a:satMod val="103000"/>
                      <a:tint val="73000"/>
                    </a:schemeClr>
                  </a:gs>
                  <a:gs pos="100000">
                    <a:schemeClr val="accent4">
                      <a:lumMod val="105000"/>
                      <a:satMod val="109000"/>
                      <a:tint val="81000"/>
                    </a:schemeClr>
                  </a:gs>
                </a:gsLst>
                <a:lin ang="5400000" scaled="0"/>
              </a:gradFill>
              <a:ln>
                <a:noFill/>
              </a:ln>
              <a:effectLst/>
              <a:sp3d/>
            </c:spPr>
            <c:extLst>
              <c:ext xmlns:c16="http://schemas.microsoft.com/office/drawing/2014/chart" uri="{C3380CC4-5D6E-409C-BE32-E72D297353CC}">
                <c16:uniqueId val="{00000007-C60A-4182-9D7D-8C398F780827}"/>
              </c:ext>
            </c:extLst>
          </c:dPt>
          <c:dPt>
            <c:idx val="4"/>
            <c:bubble3D val="0"/>
            <c:spPr>
              <a:gradFill rotWithShape="1">
                <a:gsLst>
                  <a:gs pos="0">
                    <a:schemeClr val="accent5">
                      <a:lumMod val="110000"/>
                      <a:satMod val="105000"/>
                      <a:tint val="67000"/>
                    </a:schemeClr>
                  </a:gs>
                  <a:gs pos="50000">
                    <a:schemeClr val="accent5">
                      <a:lumMod val="105000"/>
                      <a:satMod val="103000"/>
                      <a:tint val="73000"/>
                    </a:schemeClr>
                  </a:gs>
                  <a:gs pos="100000">
                    <a:schemeClr val="accent5">
                      <a:lumMod val="105000"/>
                      <a:satMod val="109000"/>
                      <a:tint val="81000"/>
                    </a:schemeClr>
                  </a:gs>
                </a:gsLst>
                <a:lin ang="5400000" scaled="0"/>
              </a:gradFill>
              <a:ln>
                <a:noFill/>
              </a:ln>
              <a:effectLst/>
              <a:sp3d/>
            </c:spPr>
            <c:extLst>
              <c:ext xmlns:c16="http://schemas.microsoft.com/office/drawing/2014/chart" uri="{C3380CC4-5D6E-409C-BE32-E72D297353CC}">
                <c16:uniqueId val="{00000009-C60A-4182-9D7D-8C398F780827}"/>
              </c:ext>
            </c:extLst>
          </c:dPt>
          <c:dPt>
            <c:idx val="5"/>
            <c:bubble3D val="0"/>
            <c:spPr>
              <a:solidFill>
                <a:schemeClr val="accent1">
                  <a:lumMod val="40000"/>
                  <a:lumOff val="60000"/>
                </a:schemeClr>
              </a:solidFill>
              <a:ln>
                <a:noFill/>
              </a:ln>
              <a:effectLst/>
              <a:sp3d/>
            </c:spPr>
            <c:extLst>
              <c:ext xmlns:c16="http://schemas.microsoft.com/office/drawing/2014/chart" uri="{C3380CC4-5D6E-409C-BE32-E72D297353CC}">
                <c16:uniqueId val="{0000000B-C60A-4182-9D7D-8C398F780827}"/>
              </c:ext>
            </c:extLst>
          </c:dPt>
          <c:dPt>
            <c:idx val="6"/>
            <c:bubble3D val="0"/>
            <c:spPr>
              <a:solidFill>
                <a:schemeClr val="accent1">
                  <a:lumMod val="40000"/>
                  <a:lumOff val="60000"/>
                </a:schemeClr>
              </a:solidFill>
              <a:ln>
                <a:noFill/>
              </a:ln>
              <a:effectLst/>
              <a:sp3d/>
            </c:spPr>
            <c:extLst>
              <c:ext xmlns:c16="http://schemas.microsoft.com/office/drawing/2014/chart" uri="{C3380CC4-5D6E-409C-BE32-E72D297353CC}">
                <c16:uniqueId val="{0000000D-C60A-4182-9D7D-8C398F780827}"/>
              </c:ext>
            </c:extLst>
          </c:dPt>
          <c:dLbls>
            <c:dLbl>
              <c:idx val="0"/>
              <c:layout>
                <c:manualLayout>
                  <c:x val="-0.12276671961069248"/>
                  <c:y val="6.7214931466899969E-2"/>
                </c:manualLayout>
              </c:layout>
              <c:tx>
                <c:rich>
                  <a:bodyPr/>
                  <a:lstStyle/>
                  <a:p>
                    <a:r>
                      <a:rPr lang="en-US"/>
                      <a:t>45,34</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C60A-4182-9D7D-8C398F780827}"/>
                </c:ext>
              </c:extLst>
            </c:dLbl>
            <c:dLbl>
              <c:idx val="1"/>
              <c:layout>
                <c:manualLayout>
                  <c:x val="8.3528268730357208E-2"/>
                  <c:y val="-0.23636847477398659"/>
                </c:manualLayout>
              </c:layout>
              <c:tx>
                <c:rich>
                  <a:bodyPr/>
                  <a:lstStyle/>
                  <a:p>
                    <a:r>
                      <a:rPr lang="en-US"/>
                      <a:t>17,15</a:t>
                    </a:r>
                  </a:p>
                  <a:p>
                    <a:endParaRPr lang="en-US"/>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C60A-4182-9D7D-8C398F780827}"/>
                </c:ext>
              </c:extLst>
            </c:dLbl>
            <c:dLbl>
              <c:idx val="2"/>
              <c:tx>
                <c:rich>
                  <a:bodyPr/>
                  <a:lstStyle/>
                  <a:p>
                    <a:r>
                      <a:rPr lang="en-US"/>
                      <a:t>9,71</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C60A-4182-9D7D-8C398F780827}"/>
                </c:ext>
              </c:extLst>
            </c:dLbl>
            <c:dLbl>
              <c:idx val="3"/>
              <c:tx>
                <c:rich>
                  <a:bodyPr/>
                  <a:lstStyle/>
                  <a:p>
                    <a:r>
                      <a:rPr lang="en-US"/>
                      <a:t>9,69</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C60A-4182-9D7D-8C398F780827}"/>
                </c:ext>
              </c:extLst>
            </c:dLbl>
            <c:dLbl>
              <c:idx val="4"/>
              <c:tx>
                <c:rich>
                  <a:bodyPr/>
                  <a:lstStyle/>
                  <a:p>
                    <a:r>
                      <a:rPr lang="en-US"/>
                      <a:t>9,86</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C60A-4182-9D7D-8C398F780827}"/>
                </c:ext>
              </c:extLst>
            </c:dLbl>
            <c:dLbl>
              <c:idx val="5"/>
              <c:delete val="1"/>
              <c:extLst>
                <c:ext xmlns:c15="http://schemas.microsoft.com/office/drawing/2012/chart" uri="{CE6537A1-D6FC-4f65-9D91-7224C49458BB}"/>
                <c:ext xmlns:c16="http://schemas.microsoft.com/office/drawing/2014/chart" uri="{C3380CC4-5D6E-409C-BE32-E72D297353CC}">
                  <c16:uniqueId val="{0000000B-C60A-4182-9D7D-8C398F780827}"/>
                </c:ext>
              </c:extLst>
            </c:dLbl>
            <c:dLbl>
              <c:idx val="6"/>
              <c:tx>
                <c:rich>
                  <a:bodyPr/>
                  <a:lstStyle/>
                  <a:p>
                    <a:r>
                      <a:rPr lang="en-US"/>
                      <a:t>8,25</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C60A-4182-9D7D-8C398F78082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65000"/>
                        <a:lumOff val="35000"/>
                      </a:schemeClr>
                    </a:solidFill>
                    <a:latin typeface="+mn-lt"/>
                    <a:ea typeface="+mn-ea"/>
                    <a:cs typeface="+mn-cs"/>
                  </a:defRPr>
                </a:pPr>
                <a:endParaRPr lang="sr-Latn-RS"/>
              </a:p>
            </c:txPr>
            <c:dLblPos val="bestFit"/>
            <c:showLegendKey val="0"/>
            <c:showVal val="1"/>
            <c:showCatName val="0"/>
            <c:showSerName val="0"/>
            <c:showPercent val="0"/>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List1!$B$56:$B$62</c:f>
              <c:strCache>
                <c:ptCount val="7"/>
                <c:pt idx="0">
                  <c:v>Obrazovanje</c:v>
                </c:pt>
                <c:pt idx="1">
                  <c:v>Usluga unaprijeđenja stanovanja i zajednice</c:v>
                </c:pt>
                <c:pt idx="2">
                  <c:v>Rekreacija, kultura i religija</c:v>
                </c:pt>
                <c:pt idx="3">
                  <c:v>Opće javne usluge</c:v>
                </c:pt>
                <c:pt idx="4">
                  <c:v>Zaštita okoliša</c:v>
                </c:pt>
                <c:pt idx="5">
                  <c:v>Javni redi i sigurnost</c:v>
                </c:pt>
                <c:pt idx="6">
                  <c:v>Ostalo</c:v>
                </c:pt>
              </c:strCache>
            </c:strRef>
          </c:cat>
          <c:val>
            <c:numRef>
              <c:f>List1!$E$56:$E$62</c:f>
              <c:numCache>
                <c:formatCode>0.00</c:formatCode>
                <c:ptCount val="7"/>
                <c:pt idx="0">
                  <c:v>45.852778729800079</c:v>
                </c:pt>
                <c:pt idx="1">
                  <c:v>21.249049851355007</c:v>
                </c:pt>
                <c:pt idx="2">
                  <c:v>9.227423700429469</c:v>
                </c:pt>
                <c:pt idx="3">
                  <c:v>9.1784615546250219</c:v>
                </c:pt>
                <c:pt idx="4">
                  <c:v>7.0991521257996499</c:v>
                </c:pt>
                <c:pt idx="5">
                  <c:v>4.0218866627696093</c:v>
                </c:pt>
                <c:pt idx="6">
                  <c:v>3.3712473752211674</c:v>
                </c:pt>
              </c:numCache>
            </c:numRef>
          </c:val>
          <c:extLst>
            <c:ext xmlns:c16="http://schemas.microsoft.com/office/drawing/2014/chart" uri="{C3380CC4-5D6E-409C-BE32-E72D297353CC}">
              <c16:uniqueId val="{0000000E-C60A-4182-9D7D-8C398F780827}"/>
            </c:ext>
          </c:extLst>
        </c:ser>
        <c:dLbls>
          <c:dLblPos val="bestFit"/>
          <c:showLegendKey val="0"/>
          <c:showVal val="1"/>
          <c:showCatName val="0"/>
          <c:showSerName val="0"/>
          <c:showPercent val="0"/>
          <c:showBubbleSize val="0"/>
          <c:showLeaderLines val="1"/>
        </c:dLbls>
      </c:pie3DChart>
      <c:spPr>
        <a:noFill/>
        <a:ln>
          <a:noFill/>
        </a:ln>
        <a:effectLst/>
      </c:spPr>
    </c:plotArea>
    <c:legend>
      <c:legendPos val="b"/>
      <c:legendEntry>
        <c:idx val="5"/>
        <c:delete val="1"/>
      </c:legendEntry>
      <c:layout>
        <c:manualLayout>
          <c:xMode val="edge"/>
          <c:yMode val="edge"/>
          <c:x val="0.54864166284769955"/>
          <c:y val="0.15352369633041152"/>
          <c:w val="0.45037313463779111"/>
          <c:h val="0.816320507106422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5">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65">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D7A4F-2604-4CEF-BE97-CFE08EA00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88117</Words>
  <Characters>502273</Characters>
  <Application>Microsoft Office Word</Application>
  <DocSecurity>0</DocSecurity>
  <Lines>4185</Lines>
  <Paragraphs>1178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dc:creator>
  <cp:lastModifiedBy>Kristina</cp:lastModifiedBy>
  <cp:revision>2</cp:revision>
  <dcterms:created xsi:type="dcterms:W3CDTF">2026-01-28T08:35:00Z</dcterms:created>
  <dcterms:modified xsi:type="dcterms:W3CDTF">2026-01-28T08:35:00Z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22.2.5.0</vt:lpwstr>
  </property>
</Properties>
</file>